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spacing w:after="120"/>
      </w:pPr>
      <w:r>
        <w:rPr>
          <w:rFonts w:ascii="Barlow Semi Condensed" w:cs="Barlow Semi Condensed" w:eastAsia="Barlow Semi Condensed" w:hAnsi="Barlow Semi Condensed"/>
          <w:b/>
          <w:bCs/>
          <w:color w:val="1F3864"/>
          <w:sz w:val="32"/>
          <w:szCs w:val="32"/>
        </w:rPr>
        <w:t xml:space="preserve">Indice</w:t>
      </w:r>
    </w:p>
    <w:sdt>
      <w:sdtPr>
        <w:alias w:val="Sommario"/>
      </w:sdtPr>
      <w:sdtContent>
        <w:p>
          <w:r>
            <w:fldChar w:fldCharType="begin" w:dirty="true"/>
            <w:instrText xml:space="preserve">TOC \h \o "1-2"</w:instrText>
            <w:fldChar w:fldCharType="separate"/>
          </w:r>
        </w:p>
        <w:p>
          <w:r>
            <w:fldChar w:fldCharType="end"/>
          </w:r>
        </w:p>
      </w:sdtContent>
    </w:sdt>
    <w:p>
      <w:r>
        <w:br w:type="page"/>
      </w:r>
    </w:p>
    <w:p>
      <w:pPr>
        <w:pStyle w:val="Heading1"/>
        <w:spacing w:after="120" w:before="240"/>
      </w:pPr>
      <w:r>
        <w:rPr>
          <w:rFonts w:ascii="Barlow Semi Condensed" w:cs="Barlow Semi Condensed" w:eastAsia="Barlow Semi Condensed" w:hAnsi="Barlow Semi Condensed"/>
          <w:sz w:val="24"/>
          <w:szCs w:val="24"/>
        </w:rPr>
        <w:t xml:space="preserve">Aldo Moro</w:t>
      </w:r>
    </w:p>
    <w:p>
      <w:pPr>
        <w:pStyle w:val="Heading2"/>
        <w:spacing w:after="100" w:before="200"/>
      </w:pPr>
      <w:r>
        <w:rPr>
          <w:rFonts w:ascii="Barlow Semi Condensed" w:cs="Barlow Semi Condensed" w:eastAsia="Barlow Semi Condensed" w:hAnsi="Barlow Semi Condensed"/>
          <w:sz w:val="24"/>
          <w:szCs w:val="24"/>
        </w:rPr>
        <w:t xml:space="preserve">Ottanta anni senza Pace</w:t>
      </w:r>
    </w:p>
    <w:p>
      <w:pPr>
        <w:spacing w:after="120" w:line="276"/>
        <w:jc w:val="both"/>
      </w:pPr>
      <w:r>
        <w:rPr>
          <w:rFonts w:ascii="Barlow Semi Condensed" w:cs="Barlow Semi Condensed" w:eastAsia="Barlow Semi Condensed" w:hAnsi="Barlow Semi Condensed"/>
          <w:b/>
          <w:bCs/>
          <w:sz w:val="24"/>
          <w:szCs w:val="24"/>
        </w:rPr>
        <w:t xml:space="preserve">L'opera integrale «Una guerra senza fine» — il corpus storico completo del branch, in quattordici libri e due appendici</w:t>
      </w:r>
    </w:p>
    <w:p>
      <w:pPr>
        <w:pBdr>
          <w:left w:val="single" w:color="1F3864" w:sz="18" w:space="8"/>
        </w:pBdr>
        <w:spacing w:after="80" w:before="80"/>
        <w:ind w:left="360" w:right="360"/>
        <w:jc w:val="both"/>
      </w:pPr>
      <w:r>
        <w:rPr>
          <w:rFonts w:ascii="Barlow Semi Condensed" w:cs="Barlow Semi Condensed" w:eastAsia="Barlow Semi Condensed" w:hAnsi="Barlow Semi Condensed"/>
          <w:b/>
          <w:bCs/>
          <w:i w:val="false"/>
          <w:iCs w:val="false"/>
          <w:sz w:val="24"/>
          <w:szCs w:val="24"/>
        </w:rPr>
        <w:t xml:space="preserve">Il titolo.</w:t>
      </w:r>
      <w:r>
        <w:rPr>
          <w:rFonts w:ascii="Barlow Semi Condensed" w:cs="Barlow Semi Condensed" w:eastAsia="Barlow Semi Condensed" w:hAnsi="Barlow Semi Condensed"/>
          <w:i w:val="false"/>
          <w:iCs w:val="false"/>
          <w:sz w:val="24"/>
          <w:szCs w:val="24"/>
        </w:rPr>
        <w:t xml:space="preserve"> «Ottanta anni senza Pace» è la chiave interpretativa scelta dall'autore per questa edizione, e come ogni chiave del corpus </w:t>
      </w:r>
      <w:r>
        <w:rPr>
          <w:rFonts w:ascii="Barlow Semi Condensed" w:cs="Barlow Semi Condensed" w:eastAsia="Barlow Semi Condensed" w:hAnsi="Barlow Semi Condensed"/>
          <w:b/>
          <w:bCs/>
          <w:i w:val="false"/>
          <w:iCs w:val="false"/>
          <w:sz w:val="24"/>
          <w:szCs w:val="24"/>
        </w:rPr>
        <w:t xml:space="preserve">si dichiara e non giudica</w:t>
      </w:r>
      <w:r>
        <w:rPr>
          <w:rFonts w:ascii="Barlow Semi Condensed" w:cs="Barlow Semi Condensed" w:eastAsia="Barlow Semi Condensed" w:hAnsi="Barlow Semi Condensed"/>
          <w:i w:val="false"/>
          <w:iCs w:val="false"/>
          <w:sz w:val="24"/>
          <w:szCs w:val="24"/>
        </w:rPr>
        <w:t xml:space="preserve">. Si presta a due letture, e l'opera non ne sceglie una: gli </w:t>
      </w:r>
      <w:r>
        <w:rPr>
          <w:rFonts w:ascii="Barlow Semi Condensed" w:cs="Barlow Semi Condensed" w:eastAsia="Barlow Semi Condensed" w:hAnsi="Barlow Semi Condensed"/>
          <w:b/>
          <w:bCs/>
          <w:i w:val="false"/>
          <w:iCs w:val="false"/>
          <w:sz w:val="24"/>
          <w:szCs w:val="24"/>
        </w:rPr>
        <w:t xml:space="preserve">ottant'anni</w:t>
      </w:r>
      <w:r>
        <w:rPr>
          <w:rFonts w:ascii="Barlow Semi Condensed" w:cs="Barlow Semi Condensed" w:eastAsia="Barlow Semi Condensed" w:hAnsi="Barlow Semi Condensed"/>
          <w:i w:val="false"/>
          <w:iCs w:val="false"/>
          <w:sz w:val="24"/>
          <w:szCs w:val="24"/>
        </w:rPr>
        <w:t xml:space="preserve"> trascorsi dal 1945, se la pace del maggio di quell'anno fu una sospensione e non una fine; e il </w:t>
      </w:r>
      <w:r>
        <w:rPr>
          <w:rFonts w:ascii="Barlow Semi Condensed" w:cs="Barlow Semi Condensed" w:eastAsia="Barlow Semi Condensed" w:hAnsi="Barlow Semi Condensed"/>
          <w:b/>
          <w:bCs/>
          <w:i w:val="false"/>
          <w:iCs w:val="false"/>
          <w:sz w:val="24"/>
          <w:szCs w:val="24"/>
        </w:rPr>
        <w:t xml:space="preserve">decennio Ottanta</w:t>
      </w:r>
      <w:r>
        <w:rPr>
          <w:rFonts w:ascii="Barlow Semi Condensed" w:cs="Barlow Semi Condensed" w:eastAsia="Barlow Semi Condensed" w:hAnsi="Barlow Semi Condensed"/>
          <w:i w:val="false"/>
          <w:iCs w:val="false"/>
          <w:sz w:val="24"/>
          <w:szCs w:val="24"/>
        </w:rPr>
        <w:t xml:space="preserve">, che il 1978 apre e a cui sopravvive. Le due letture non si escludono, e il volume le porta insieme perché insieme le trova nei documenti. Ciò che il titolo dichiara è una continuità, non una responsabilità: </w:t>
      </w:r>
      <w:r>
        <w:rPr>
          <w:rFonts w:ascii="Barlow Semi Condensed" w:cs="Barlow Semi Condensed" w:eastAsia="Barlow Semi Condensed" w:hAnsi="Barlow Semi Condensed"/>
          <w:b/>
          <w:bCs/>
          <w:i w:val="false"/>
          <w:iCs w:val="false"/>
          <w:sz w:val="24"/>
          <w:szCs w:val="24"/>
        </w:rPr>
        <w:t xml:space="preserve">è una lente, non una sentenza</w:t>
      </w:r>
      <w:r>
        <w:rPr>
          <w:rFonts w:ascii="Barlow Semi Condensed" w:cs="Barlow Semi Condensed" w:eastAsia="Barlow Semi Condensed" w:hAnsi="Barlow Semi Condensed"/>
          <w:i w:val="false"/>
          <w:iCs w:val="false"/>
          <w:sz w:val="24"/>
          <w:szCs w:val="24"/>
        </w:rPr>
        <w:t xml:space="preserve">, e nessuna pagina che segue attribuisce a chicchessia ciò che una lente lascia vedere. L'opera resta, nel suo nome proprio, «Una guerra senza fine».</w:t>
      </w:r>
    </w:p>
    <w:p>
      <w:pPr>
        <w:pBdr>
          <w:bottom w:val="single" w:color="999999" w:sz="6" w:space="1"/>
        </w:pBdr>
        <w:spacing w:after="80"/>
      </w:pPr>
    </w:p>
    <w:p>
      <w:pPr>
        <w:spacing w:after="120" w:line="276"/>
        <w:jc w:val="both"/>
      </w:pPr>
      <w:r>
        <w:rPr>
          <w:rFonts w:ascii="Barlow Semi Condensed" w:cs="Barlow Semi Condensed" w:eastAsia="Barlow Semi Condensed" w:hAnsi="Barlow Semi Condensed"/>
          <w:i/>
          <w:iCs/>
          <w:sz w:val="24"/>
          <w:szCs w:val="24"/>
        </w:rPr>
        <w:t xml:space="preserve">Edizione integrale rilegata — 25 agosto 2026 · Branch pubblico</w:t>
      </w:r>
    </w:p>
    <w:p>
      <w:pPr>
        <w:pBdr>
          <w:left w:val="single" w:color="1F3864" w:sz="18" w:space="8"/>
        </w:pBdr>
        <w:spacing w:after="80" w:before="80"/>
        <w:ind w:left="360" w:right="360"/>
        <w:jc w:val="both"/>
      </w:pPr>
      <w:r>
        <w:rPr>
          <w:rFonts w:ascii="Barlow Semi Condensed" w:cs="Barlow Semi Condensed" w:eastAsia="Barlow Semi Condensed" w:hAnsi="Barlow Semi Condensed"/>
          <w:b/>
          <w:bCs/>
          <w:i w:val="false"/>
          <w:iCs w:val="false"/>
          <w:sz w:val="24"/>
          <w:szCs w:val="24"/>
        </w:rPr>
        <w:t xml:space="preserve">Ordine dell'opera.</w:t>
      </w:r>
      <w:r>
        <w:rPr>
          <w:rFonts w:ascii="Barlow Semi Condensed" w:cs="Barlow Semi Condensed" w:eastAsia="Barlow Semi Condensed" w:hAnsi="Barlow Semi Condensed"/>
          <w:i w:val="false"/>
          <w:iCs w:val="false"/>
          <w:sz w:val="24"/>
          <w:szCs w:val="24"/>
        </w:rPr>
        <w:t xml:space="preserve"> Il volume raccoglie l'intero corpus nell'ordine di lettura: il </w:t>
      </w:r>
      <w:r>
        <w:rPr>
          <w:rFonts w:ascii="Barlow Semi Condensed" w:cs="Barlow Semi Condensed" w:eastAsia="Barlow Semi Condensed" w:hAnsi="Barlow Semi Condensed"/>
          <w:b/>
          <w:bCs/>
          <w:i w:val="false"/>
          <w:iCs w:val="false"/>
          <w:sz w:val="24"/>
          <w:szCs w:val="24"/>
        </w:rPr>
        <w:t xml:space="preserve">Portale</w:t>
      </w:r>
      <w:r>
        <w:rPr>
          <w:rFonts w:ascii="Barlow Semi Condensed" w:cs="Barlow Semi Condensed" w:eastAsia="Barlow Semi Condensed" w:hAnsi="Barlow Semi Condensed"/>
          <w:i w:val="false"/>
          <w:iCs w:val="false"/>
          <w:sz w:val="24"/>
          <w:szCs w:val="24"/>
        </w:rPr>
        <w:t xml:space="preserve"> (l'edizione strutturata secondo l'architettura del Dossier maggiore); il </w:t>
      </w:r>
      <w:r>
        <w:rPr>
          <w:rFonts w:ascii="Barlow Semi Condensed" w:cs="Barlow Semi Condensed" w:eastAsia="Barlow Semi Condensed" w:hAnsi="Barlow Semi Condensed"/>
          <w:b/>
          <w:bCs/>
          <w:i w:val="false"/>
          <w:iCs w:val="false"/>
          <w:sz w:val="24"/>
          <w:szCs w:val="24"/>
        </w:rPr>
        <w:t xml:space="preserve">ritratto</w:t>
      </w:r>
      <w:r>
        <w:rPr>
          <w:rFonts w:ascii="Barlow Semi Condensed" w:cs="Barlow Semi Condensed" w:eastAsia="Barlow Semi Condensed" w:hAnsi="Barlow Semi Condensed"/>
          <w:i w:val="false"/>
          <w:iCs w:val="false"/>
          <w:sz w:val="24"/>
          <w:szCs w:val="24"/>
        </w:rPr>
        <w:t xml:space="preserve"> dell'uomo; il </w:t>
      </w:r>
      <w:r>
        <w:rPr>
          <w:rFonts w:ascii="Barlow Semi Condensed" w:cs="Barlow Semi Condensed" w:eastAsia="Barlow Semi Condensed" w:hAnsi="Barlow Semi Condensed"/>
          <w:b/>
          <w:bCs/>
          <w:i w:val="false"/>
          <w:iCs w:val="false"/>
          <w:sz w:val="24"/>
          <w:szCs w:val="24"/>
        </w:rPr>
        <w:t xml:space="preserve">saggio-cerniera</w:t>
      </w:r>
      <w:r>
        <w:rPr>
          <w:rFonts w:ascii="Barlow Semi Condensed" w:cs="Barlow Semi Condensed" w:eastAsia="Barlow Semi Condensed" w:hAnsi="Barlow Semi Condensed"/>
          <w:i w:val="false"/>
          <w:iCs w:val="false"/>
          <w:sz w:val="24"/>
          <w:szCs w:val="24"/>
        </w:rPr>
        <w:t xml:space="preserve"> Dal Che a Moro; la </w:t>
      </w:r>
      <w:r>
        <w:rPr>
          <w:rFonts w:ascii="Barlow Semi Condensed" w:cs="Barlow Semi Condensed" w:eastAsia="Barlow Semi Condensed" w:hAnsi="Barlow Semi Condensed"/>
          <w:b/>
          <w:bCs/>
          <w:i w:val="false"/>
          <w:iCs w:val="false"/>
          <w:sz w:val="24"/>
          <w:szCs w:val="24"/>
        </w:rPr>
        <w:t xml:space="preserve">parabola di Guevara</w:t>
      </w:r>
      <w:r>
        <w:rPr>
          <w:rFonts w:ascii="Barlow Semi Condensed" w:cs="Barlow Semi Condensed" w:eastAsia="Barlow Semi Condensed" w:hAnsi="Barlow Semi Condensed"/>
          <w:i w:val="false"/>
          <w:iCs w:val="false"/>
          <w:sz w:val="24"/>
          <w:szCs w:val="24"/>
        </w:rPr>
        <w:t xml:space="preserve"> in sei studi; il </w:t>
      </w:r>
      <w:r>
        <w:rPr>
          <w:rFonts w:ascii="Barlow Semi Condensed" w:cs="Barlow Semi Condensed" w:eastAsia="Barlow Semi Condensed" w:hAnsi="Barlow Semi Condensed"/>
          <w:b/>
          <w:bCs/>
          <w:i w:val="false"/>
          <w:iCs w:val="false"/>
          <w:sz w:val="24"/>
          <w:szCs w:val="24"/>
        </w:rPr>
        <w:t xml:space="preserve">Dossier maggiore</w:t>
      </w:r>
      <w:r>
        <w:rPr>
          <w:rFonts w:ascii="Barlow Semi Condensed" w:cs="Barlow Semi Condensed" w:eastAsia="Barlow Semi Condensed" w:hAnsi="Barlow Semi Condensed"/>
          <w:i w:val="false"/>
          <w:iCs w:val="false"/>
          <w:sz w:val="24"/>
          <w:szCs w:val="24"/>
        </w:rPr>
        <w:t xml:space="preserve"> dell'autore, «Una Pace senza Pace · Tutta la verità», qui conservato per intero come volume nel volume e con la divergenza di regime dichiarata in sua apertura; </w:t>
      </w:r>
      <w:r>
        <w:rPr>
          <w:rFonts w:ascii="Barlow Semi Condensed" w:cs="Barlow Semi Condensed" w:eastAsia="Barlow Semi Condensed" w:hAnsi="Barlow Semi Condensed"/>
          <w:b/>
          <w:bCs/>
          <w:i w:val="false"/>
          <w:iCs w:val="false"/>
          <w:sz w:val="24"/>
          <w:szCs w:val="24"/>
        </w:rPr>
        <w:t xml:space="preserve">il vettore e il ceppo</w:t>
      </w:r>
      <w:r>
        <w:rPr>
          <w:rFonts w:ascii="Barlow Semi Condensed" w:cs="Barlow Semi Condensed" w:eastAsia="Barlow Semi Condensed" w:hAnsi="Barlow Semi Condensed"/>
          <w:i w:val="false"/>
          <w:iCs w:val="false"/>
          <w:sz w:val="24"/>
          <w:szCs w:val="24"/>
        </w:rPr>
        <w:t xml:space="preserve"> (Feltrinelli, Hyperion, la terza strada di Simioni); il </w:t>
      </w:r>
      <w:r>
        <w:rPr>
          <w:rFonts w:ascii="Barlow Semi Condensed" w:cs="Barlow Semi Condensed" w:eastAsia="Barlow Semi Condensed" w:hAnsi="Barlow Semi Condensed"/>
          <w:b/>
          <w:bCs/>
          <w:i w:val="false"/>
          <w:iCs w:val="false"/>
          <w:sz w:val="24"/>
          <w:szCs w:val="24"/>
        </w:rPr>
        <w:t xml:space="preserve">filo del 1926</w:t>
      </w:r>
      <w:r>
        <w:rPr>
          <w:rFonts w:ascii="Barlow Semi Condensed" w:cs="Barlow Semi Condensed" w:eastAsia="Barlow Semi Condensed" w:hAnsi="Barlow Semi Condensed"/>
          <w:i w:val="false"/>
          <w:iCs w:val="false"/>
          <w:sz w:val="24"/>
          <w:szCs w:val="24"/>
        </w:rPr>
        <w:t xml:space="preserve"> (il Tribunale Speciale); le </w:t>
      </w:r>
      <w:r>
        <w:rPr>
          <w:rFonts w:ascii="Barlow Semi Condensed" w:cs="Barlow Semi Condensed" w:eastAsia="Barlow Semi Condensed" w:hAnsi="Barlow Semi Condensed"/>
          <w:b/>
          <w:bCs/>
          <w:i w:val="false"/>
          <w:iCs w:val="false"/>
          <w:sz w:val="24"/>
          <w:szCs w:val="24"/>
        </w:rPr>
        <w:t xml:space="preserve">questioni aperte</w:t>
      </w:r>
      <w:r>
        <w:rPr>
          <w:rFonts w:ascii="Barlow Semi Condensed" w:cs="Barlow Semi Condensed" w:eastAsia="Barlow Semi Condensed" w:hAnsi="Barlow Semi Condensed"/>
          <w:i w:val="false"/>
          <w:iCs w:val="false"/>
          <w:sz w:val="24"/>
          <w:szCs w:val="24"/>
        </w:rPr>
        <w:t xml:space="preserve">; il </w:t>
      </w:r>
      <w:r>
        <w:rPr>
          <w:rFonts w:ascii="Barlow Semi Condensed" w:cs="Barlow Semi Condensed" w:eastAsia="Barlow Semi Condensed" w:hAnsi="Barlow Semi Condensed"/>
          <w:b/>
          <w:bCs/>
          <w:i w:val="false"/>
          <w:iCs w:val="false"/>
          <w:sz w:val="24"/>
          <w:szCs w:val="24"/>
        </w:rPr>
        <w:t xml:space="preserve">metodo</w:t>
      </w:r>
      <w:r>
        <w:rPr>
          <w:rFonts w:ascii="Barlow Semi Condensed" w:cs="Barlow Semi Condensed" w:eastAsia="Barlow Semi Condensed" w:hAnsi="Barlow Semi Condensed"/>
          <w:i w:val="false"/>
          <w:iCs w:val="false"/>
          <w:sz w:val="24"/>
          <w:szCs w:val="24"/>
        </w:rPr>
        <w:t xml:space="preserve"> (il presidio del garante e le metodologie calcolate); il </w:t>
      </w:r>
      <w:r>
        <w:rPr>
          <w:rFonts w:ascii="Barlow Semi Condensed" w:cs="Barlow Semi Condensed" w:eastAsia="Barlow Semi Condensed" w:hAnsi="Barlow Semi Condensed"/>
          <w:b/>
          <w:bCs/>
          <w:i w:val="false"/>
          <w:iCs w:val="false"/>
          <w:sz w:val="24"/>
          <w:szCs w:val="24"/>
        </w:rPr>
        <w:t xml:space="preserve">registro giudiziario</w:t>
      </w:r>
      <w:r>
        <w:rPr>
          <w:rFonts w:ascii="Barlow Semi Condensed" w:cs="Barlow Semi Condensed" w:eastAsia="Barlow Semi Condensed" w:hAnsi="Barlow Semi Condensed"/>
          <w:i w:val="false"/>
          <w:iCs w:val="false"/>
          <w:sz w:val="24"/>
          <w:szCs w:val="24"/>
        </w:rPr>
        <w:t xml:space="preserve">; il </w:t>
      </w:r>
      <w:r>
        <w:rPr>
          <w:rFonts w:ascii="Barlow Semi Condensed" w:cs="Barlow Semi Condensed" w:eastAsia="Barlow Semi Condensed" w:hAnsi="Barlow Semi Condensed"/>
          <w:b/>
          <w:bCs/>
          <w:i w:val="false"/>
          <w:iCs w:val="false"/>
          <w:sz w:val="24"/>
          <w:szCs w:val="24"/>
        </w:rPr>
        <w:t xml:space="preserve">repertorio</w:t>
      </w:r>
      <w:r>
        <w:rPr>
          <w:rFonts w:ascii="Barlow Semi Condensed" w:cs="Barlow Semi Condensed" w:eastAsia="Barlow Semi Condensed" w:hAnsi="Barlow Semi Condensed"/>
          <w:i w:val="false"/>
          <w:iCs w:val="false"/>
          <w:sz w:val="24"/>
          <w:szCs w:val="24"/>
        </w:rPr>
        <w:t xml:space="preserve">; le </w:t>
      </w:r>
      <w:r>
        <w:rPr>
          <w:rFonts w:ascii="Barlow Semi Condensed" w:cs="Barlow Semi Condensed" w:eastAsia="Barlow Semi Condensed" w:hAnsi="Barlow Semi Condensed"/>
          <w:b/>
          <w:bCs/>
          <w:i w:val="false"/>
          <w:iCs w:val="false"/>
          <w:sz w:val="24"/>
          <w:szCs w:val="24"/>
        </w:rPr>
        <w:t xml:space="preserve">responsabilità personali</w:t>
      </w:r>
      <w:r>
        <w:rPr>
          <w:rFonts w:ascii="Barlow Semi Condensed" w:cs="Barlow Semi Condensed" w:eastAsia="Barlow Semi Condensed" w:hAnsi="Barlow Semi Condensed"/>
          <w:i w:val="false"/>
          <w:iCs w:val="false"/>
          <w:sz w:val="24"/>
          <w:szCs w:val="24"/>
        </w:rPr>
        <w:t xml:space="preserve"> (il principio personalistico e la prosopografia dei tredici); la </w:t>
      </w:r>
      <w:r>
        <w:rPr>
          <w:rFonts w:ascii="Barlow Semi Condensed" w:cs="Barlow Semi Condensed" w:eastAsia="Barlow Semi Condensed" w:hAnsi="Barlow Semi Condensed"/>
          <w:b/>
          <w:bCs/>
          <w:i w:val="false"/>
          <w:iCs w:val="false"/>
          <w:sz w:val="24"/>
          <w:szCs w:val="24"/>
        </w:rPr>
        <w:t xml:space="preserve">dimensione diplomatica</w:t>
      </w:r>
      <w:r>
        <w:rPr>
          <w:rFonts w:ascii="Barlow Semi Condensed" w:cs="Barlow Semi Condensed" w:eastAsia="Barlow Semi Condensed" w:hAnsi="Barlow Semi Condensed"/>
          <w:i w:val="false"/>
          <w:iCs w:val="false"/>
          <w:sz w:val="24"/>
          <w:szCs w:val="24"/>
        </w:rPr>
        <w:t xml:space="preserve"> (Moro alla Farnesina e le pene oltre confine); il </w:t>
      </w:r>
      <w:r>
        <w:rPr>
          <w:rFonts w:ascii="Barlow Semi Condensed" w:cs="Barlow Semi Condensed" w:eastAsia="Barlow Semi Condensed" w:hAnsi="Barlow Semi Condensed"/>
          <w:b/>
          <w:bCs/>
          <w:i w:val="false"/>
          <w:iCs w:val="false"/>
          <w:sz w:val="24"/>
          <w:szCs w:val="24"/>
        </w:rPr>
        <w:t xml:space="preserve">fascicolo aperto</w:t>
      </w:r>
      <w:r>
        <w:rPr>
          <w:rFonts w:ascii="Barlow Semi Condensed" w:cs="Barlow Semi Condensed" w:eastAsia="Barlow Semi Condensed" w:hAnsi="Barlow Semi Condensed"/>
          <w:i w:val="false"/>
          <w:iCs w:val="false"/>
          <w:sz w:val="24"/>
          <w:szCs w:val="24"/>
        </w:rPr>
        <w:t xml:space="preserve"> (il programma investigativo con le graduatorie e le schede, la quadriga a blocchi mirati e, in chiusura, la triangolazione di un solo nome contro tutto il corpus in mille blocchi: «Il codice e la sua trasmissione»); e le </w:t>
      </w:r>
      <w:r>
        <w:rPr>
          <w:rFonts w:ascii="Barlow Semi Condensed" w:cs="Barlow Semi Condensed" w:eastAsia="Barlow Semi Condensed" w:hAnsi="Barlow Semi Condensed"/>
          <w:b/>
          <w:bCs/>
          <w:i w:val="false"/>
          <w:iCs w:val="false"/>
          <w:sz w:val="24"/>
          <w:szCs w:val="24"/>
        </w:rPr>
        <w:t xml:space="preserve">appendici</w:t>
      </w:r>
      <w:r>
        <w:rPr>
          <w:rFonts w:ascii="Barlow Semi Condensed" w:cs="Barlow Semi Condensed" w:eastAsia="Barlow Semi Condensed" w:hAnsi="Barlow Semi Condensed"/>
          <w:i w:val="false"/>
          <w:iCs w:val="false"/>
          <w:sz w:val="24"/>
          <w:szCs w:val="24"/>
        </w:rPr>
        <w:t xml:space="preserve"> (l'apparato dei gradi; il pastiche dichiarato). </w:t>
      </w:r>
      <w:r>
        <w:rPr>
          <w:rFonts w:ascii="Barlow Semi Condensed" w:cs="Barlow Semi Condensed" w:eastAsia="Barlow Semi Condensed" w:hAnsi="Barlow Semi Condensed"/>
          <w:b/>
          <w:bCs/>
          <w:i w:val="false"/>
          <w:iCs w:val="false"/>
          <w:sz w:val="24"/>
          <w:szCs w:val="24"/>
        </w:rPr>
        <w:t xml:space="preserve">Questa edizione è integrale in senso stretto</w:t>
      </w:r>
      <w:r>
        <w:rPr>
          <w:rFonts w:ascii="Barlow Semi Condensed" w:cs="Barlow Semi Condensed" w:eastAsia="Barlow Semi Condensed" w:hAnsi="Barlow Semi Condensed"/>
          <w:i w:val="false"/>
          <w:iCs w:val="false"/>
          <w:sz w:val="24"/>
          <w:szCs w:val="24"/>
        </w:rPr>
        <w:t xml:space="preserve">: le nove ricognizioni originali della cartella Farnesina e la triangolazione della seconda campagna, che le edizioni precedenti rappresentavano soltanto con la loro collazione, vi compaiono per esteso nel Libro dodicesimo. Nessun documento del corpus moroteano resta fuori.</w:t>
      </w:r>
    </w:p>
    <w:p>
      <w:pPr>
        <w:pBdr>
          <w:left w:val="single" w:color="1F3864" w:sz="18" w:space="8"/>
        </w:pBdr>
        <w:spacing w:after="80" w:before="80"/>
        <w:ind w:left="360" w:right="360"/>
        <w:jc w:val="both"/>
      </w:pPr>
      <w:r>
        <w:rPr>
          <w:rFonts w:ascii="Barlow Semi Condensed" w:cs="Barlow Semi Condensed" w:eastAsia="Barlow Semi Condensed" w:hAnsi="Barlow Semi Condensed"/>
          <w:b/>
          <w:bCs/>
          <w:i w:val="false"/>
          <w:iCs w:val="false"/>
          <w:sz w:val="24"/>
          <w:szCs w:val="24"/>
        </w:rPr>
        <w:t xml:space="preserve">Disciplina.</w:t>
      </w:r>
      <w:r>
        <w:rPr>
          <w:rFonts w:ascii="Barlow Semi Condensed" w:cs="Barlow Semi Condensed" w:eastAsia="Barlow Semi Condensed" w:hAnsi="Barlow Semi Condensed"/>
          <w:i w:val="false"/>
          <w:iCs w:val="false"/>
          <w:sz w:val="24"/>
          <w:szCs w:val="24"/>
        </w:rPr>
        <w:t xml:space="preserve"> In ogni pagina vale la Regola di Ferro: gradi dichiarati (A giudicato · B accertamento · C congettura · F fatto pubblico · Stato Zero), criteri di smentita, esiti negativi come acquisizioni. Nessuna imputazione oltre il giudicato; nessuna graduatoria di persone — con l'unica eccezione, dichiarata in apertura del Libro quarto e valida soltanto entro di esso, della bilancia probabilistica che il Dossier maggiore porta con sé come volume nel volume: essa ordina per plausibilità e non per colpa, lavora per categorie di soggetti e non per nomi individuali, muove dai condannati in via definitiva e rifiuta di nominare un mandante esterno determinato; la colpa non è mai del gruppo ed è sempre della persona; gli assolti restano assolti; le sei vittime stanno in testa, non in fondo. I pastiche sono dichiarati e non sono parole di Aldo Moro. Un'indagine produce atti, non colpevoli.</w:t>
      </w:r>
    </w:p>
    <w:p>
      <w:r>
        <w:br w:type="page"/>
      </w:r>
    </w:p>
    <w:p>
      <w:pPr>
        <w:pStyle w:val="Heading1"/>
        <w:spacing w:after="120" w:before="240"/>
      </w:pPr>
      <w:r>
        <w:rPr>
          <w:rFonts w:ascii="Barlow Semi Condensed" w:cs="Barlow Semi Condensed" w:eastAsia="Barlow Semi Condensed" w:hAnsi="Barlow Semi Condensed"/>
          <w:sz w:val="24"/>
          <w:szCs w:val="24"/>
        </w:rPr>
        <w:t xml:space="preserve">Portale — L'edizione strutturata: la mappa dell'opera</w:t>
      </w:r>
    </w:p>
    <w:p>
      <w:pPr>
        <w:pStyle w:val="Heading2"/>
        <w:spacing w:after="100" w:before="200"/>
      </w:pPr>
      <w:r>
        <w:rPr>
          <w:rFonts w:ascii="Barlow Semi Condensed" w:cs="Barlow Semi Condensed" w:eastAsia="Barlow Semi Condensed" w:hAnsi="Barlow Semi Condensed"/>
          <w:sz w:val="24"/>
          <w:szCs w:val="24"/>
        </w:rPr>
        <w:t xml:space="preserve">Una guerra senza fine — Edizione strutturata del corpus</w:t>
      </w:r>
    </w:p>
    <w:p>
      <w:pPr>
        <w:spacing w:after="120" w:line="276"/>
        <w:jc w:val="both"/>
      </w:pPr>
      <w:r>
        <w:rPr>
          <w:rFonts w:ascii="Barlow Semi Condensed" w:cs="Barlow Semi Condensed" w:eastAsia="Barlow Semi Condensed" w:hAnsi="Barlow Semi Condensed"/>
          <w:i/>
          <w:iCs/>
          <w:sz w:val="24"/>
          <w:szCs w:val="24"/>
        </w:rPr>
        <w:t xml:space="preserve">«È l'ignoranza che crea la violenza» — Sud Sound System</w:t>
      </w:r>
    </w:p>
    <w:p>
      <w:pPr>
        <w:spacing w:after="120" w:line="276"/>
        <w:jc w:val="both"/>
      </w:pPr>
      <w:r>
        <w:rPr>
          <w:rFonts w:ascii="Barlow Semi Condensed" w:cs="Barlow Semi Condensed" w:eastAsia="Barlow Semi Condensed" w:hAnsi="Barlow Semi Condensed"/>
          <w:i/>
          <w:iCs/>
          <w:sz w:val="24"/>
          <w:szCs w:val="24"/>
        </w:rPr>
        <w:t xml:space="preserve">AI generated · Edizione del branch pubblico, strutturata secondo l'architettura del Dossier «Aldo Moro — Tutta la verità» — 25 agosto 2026</w:t>
      </w:r>
    </w:p>
    <w:p>
      <w:pPr>
        <w:pBdr>
          <w:left w:val="single" w:color="1F3864" w:sz="18" w:space="8"/>
        </w:pBdr>
        <w:spacing w:after="80" w:before="80"/>
        <w:ind w:left="360" w:right="360"/>
        <w:jc w:val="both"/>
      </w:pPr>
      <w:r>
        <w:rPr>
          <w:rFonts w:ascii="Barlow Semi Condensed" w:cs="Barlow Semi Condensed" w:eastAsia="Barlow Semi Condensed" w:hAnsi="Barlow Semi Condensed"/>
          <w:b/>
          <w:bCs/>
          <w:i w:val="false"/>
          <w:iCs w:val="false"/>
          <w:sz w:val="24"/>
          <w:szCs w:val="24"/>
        </w:rPr>
        <w:t xml:space="preserve">Statuto di questa edizione.</w:t>
      </w:r>
      <w:r>
        <w:rPr>
          <w:rFonts w:ascii="Barlow Semi Condensed" w:cs="Barlow Semi Condensed" w:eastAsia="Barlow Semi Condensed" w:hAnsi="Barlow Semi Condensed"/>
          <w:i w:val="false"/>
          <w:iCs w:val="false"/>
          <w:sz w:val="24"/>
          <w:szCs w:val="24"/>
        </w:rPr>
        <w:t xml:space="preserve"> Il Dossier maggiore dell'autore — «Aldo Moro. Tutta la verità» — organizza l'intera materia in </w:t>
      </w:r>
      <w:r>
        <w:rPr>
          <w:rFonts w:ascii="Barlow Semi Condensed" w:cs="Barlow Semi Condensed" w:eastAsia="Barlow Semi Condensed" w:hAnsi="Barlow Semi Condensed"/>
          <w:b/>
          <w:bCs/>
          <w:i w:val="false"/>
          <w:iCs w:val="false"/>
          <w:sz w:val="24"/>
          <w:szCs w:val="24"/>
        </w:rPr>
        <w:t xml:space="preserve">cinque Fasi e cinquanta capitoli</w:t>
      </w:r>
      <w:r>
        <w:rPr>
          <w:rFonts w:ascii="Barlow Semi Condensed" w:cs="Barlow Semi Condensed" w:eastAsia="Barlow Semi Condensed" w:hAnsi="Barlow Semi Condensed"/>
          <w:i w:val="false"/>
          <w:iCs w:val="false"/>
          <w:sz w:val="24"/>
          <w:szCs w:val="24"/>
        </w:rPr>
        <w:t xml:space="preserve">, tessuti da serie numerate di </w:t>
      </w:r>
      <w:r>
        <w:rPr>
          <w:rFonts w:ascii="Barlow Semi Condensed" w:cs="Barlow Semi Condensed" w:eastAsia="Barlow Semi Condensed" w:hAnsi="Barlow Semi Condensed"/>
          <w:b/>
          <w:bCs/>
          <w:i w:val="false"/>
          <w:iCs w:val="false"/>
          <w:sz w:val="24"/>
          <w:szCs w:val="24"/>
        </w:rPr>
        <w:t xml:space="preserve">blocchi mirati</w:t>
      </w:r>
      <w:r>
        <w:rPr>
          <w:rFonts w:ascii="Barlow Semi Condensed" w:cs="Barlow Semi Condensed" w:eastAsia="Barlow Semi Condensed" w:hAnsi="Barlow Semi Condensed"/>
          <w:i w:val="false"/>
          <w:iCs w:val="false"/>
          <w:sz w:val="24"/>
          <w:szCs w:val="24"/>
        </w:rPr>
        <w:t xml:space="preserve"> e chiusi da una bibliografia in sei sezioni. Questa edizione ristruttura </w:t>
      </w:r>
      <w:r>
        <w:rPr>
          <w:rFonts w:ascii="Barlow Semi Condensed" w:cs="Barlow Semi Condensed" w:eastAsia="Barlow Semi Condensed" w:hAnsi="Barlow Semi Condensed"/>
          <w:b/>
          <w:bCs/>
          <w:i w:val="false"/>
          <w:iCs w:val="false"/>
          <w:sz w:val="24"/>
          <w:szCs w:val="24"/>
        </w:rPr>
        <w:t xml:space="preserve">tutto il corpus del branch pubblico</w:t>
      </w:r>
      <w:r>
        <w:rPr>
          <w:rFonts w:ascii="Barlow Semi Condensed" w:cs="Barlow Semi Condensed" w:eastAsia="Barlow Semi Condensed" w:hAnsi="Barlow Semi Condensed"/>
          <w:i w:val="false"/>
          <w:iCs w:val="false"/>
          <w:sz w:val="24"/>
          <w:szCs w:val="24"/>
        </w:rPr>
        <w:t xml:space="preserve"> secondo quella medesima architettura: stesse cinque Fasi, stessi sottotitoli di regime, stessa scansione dei capitoli, stesso tessuto a blocchi, stessa griglia di autocritica a cinque voci. Con </w:t>
      </w:r>
      <w:r>
        <w:rPr>
          <w:rFonts w:ascii="Barlow Semi Condensed" w:cs="Barlow Semi Condensed" w:eastAsia="Barlow Semi Condensed" w:hAnsi="Barlow Semi Condensed"/>
          <w:b/>
          <w:bCs/>
          <w:i w:val="false"/>
          <w:iCs w:val="false"/>
          <w:sz w:val="24"/>
          <w:szCs w:val="24"/>
        </w:rPr>
        <w:t xml:space="preserve">una divergenza, dichiarata e costitutiva</w:t>
      </w:r>
      <w:r>
        <w:rPr>
          <w:rFonts w:ascii="Barlow Semi Condensed" w:cs="Barlow Semi Condensed" w:eastAsia="Barlow Semi Condensed" w:hAnsi="Barlow Semi Condensed"/>
          <w:i w:val="false"/>
          <w:iCs w:val="false"/>
          <w:sz w:val="24"/>
          <w:szCs w:val="24"/>
        </w:rPr>
        <w:t xml:space="preserve">: nel Dossier maggiore la Fase quinta congeda il Pollo di Popper e adotta il giudizio probabilistico su architetti, mandanti ed esecutori, fino alla graduatoria secondo dieci metodi; </w:t>
      </w:r>
      <w:r>
        <w:rPr>
          <w:rFonts w:ascii="Barlow Semi Condensed" w:cs="Barlow Semi Condensed" w:eastAsia="Barlow Semi Condensed" w:hAnsi="Barlow Semi Condensed"/>
          <w:b/>
          <w:bCs/>
          <w:i w:val="false"/>
          <w:iCs w:val="false"/>
          <w:sz w:val="24"/>
          <w:szCs w:val="24"/>
        </w:rPr>
        <w:t xml:space="preserve">il branch pubblico, per la disciplina che si è dato, non riproduce quella graduatoria né quel congedo</w:t>
      </w:r>
      <w:r>
        <w:rPr>
          <w:rFonts w:ascii="Barlow Semi Condensed" w:cs="Barlow Semi Condensed" w:eastAsia="Barlow Semi Condensed" w:hAnsi="Barlow Semi Condensed"/>
          <w:i w:val="false"/>
          <w:iCs w:val="false"/>
          <w:sz w:val="24"/>
          <w:szCs w:val="24"/>
        </w:rPr>
        <w:t xml:space="preserve">. Qui la Fase quinta si ferma dove si ferma il giudicato: gli esecutori sono i tredici del registro personalistico, i piani superiori restano al grado che le prove consentono, e il lettore che voglia l'esercizio probabilistico sa che esso esiste — nell'edizione maggiore, sotto la responsabilità dell'autore — e sa perché qui non c'è. Questa non è una mutilazione: è la stessa opera, letta col regime di prova del versante pubblico.</w:t>
      </w:r>
    </w:p>
    <w:p>
      <w:pPr>
        <w:pBdr>
          <w:bottom w:val="single" w:color="999999" w:sz="6" w:space="1"/>
        </w:pBdr>
        <w:spacing w:after="80"/>
      </w:pPr>
    </w:p>
    <w:p>
      <w:pPr>
        <w:pStyle w:val="Heading1"/>
        <w:spacing w:after="120" w:before="240"/>
      </w:pPr>
      <w:r>
        <w:rPr>
          <w:rFonts w:ascii="Barlow Semi Condensed" w:cs="Barlow Semi Condensed" w:eastAsia="Barlow Semi Condensed" w:hAnsi="Barlow Semi Condensed"/>
          <w:sz w:val="24"/>
          <w:szCs w:val="24"/>
        </w:rPr>
        <w:t xml:space="preserve">FASE PRIMA — IL METODO E L'UOMO</w:t>
      </w:r>
    </w:p>
    <w:p>
      <w:pPr>
        <w:spacing w:after="120" w:line="276"/>
        <w:jc w:val="both"/>
      </w:pPr>
      <w:r>
        <w:rPr>
          <w:rFonts w:ascii="Barlow Semi Condensed" w:cs="Barlow Semi Condensed" w:eastAsia="Barlow Semi Condensed" w:hAnsi="Barlow Semi Condensed"/>
          <w:i/>
          <w:iCs/>
          <w:sz w:val="24"/>
          <w:szCs w:val="24"/>
        </w:rPr>
        <w:t xml:space="preserve">dove vige la disciplina del Pollo di Popper</w:t>
      </w:r>
    </w:p>
    <w:p>
      <w:pPr>
        <w:spacing w:after="120" w:line="276"/>
        <w:jc w:val="both"/>
      </w:pPr>
      <w:r>
        <w:rPr>
          <w:rFonts w:ascii="Barlow Semi Condensed" w:cs="Barlow Semi Condensed" w:eastAsia="Barlow Semi Condensed" w:hAnsi="Barlow Semi Condensed"/>
          <w:b/>
          <w:bCs/>
          <w:sz w:val="24"/>
          <w:szCs w:val="24"/>
        </w:rPr>
        <w:t xml:space="preserve">Blocco mirato numero uno — Statuto dell'edizione.</w:t>
      </w:r>
      <w:r>
        <w:rPr>
          <w:rFonts w:ascii="Barlow Semi Condensed" w:cs="Barlow Semi Condensed" w:eastAsia="Barlow Semi Condensed" w:hAnsi="Barlow Semi Condensed"/>
          <w:sz w:val="24"/>
          <w:szCs w:val="24"/>
        </w:rPr>
        <w:t xml:space="preserve"> Questa edizione non aggiunge fatti al corpus: lo </w:t>
      </w:r>
      <w:r>
        <w:rPr>
          <w:rFonts w:ascii="Barlow Semi Condensed" w:cs="Barlow Semi Condensed" w:eastAsia="Barlow Semi Condensed" w:hAnsi="Barlow Semi Condensed"/>
          <w:b/>
          <w:bCs/>
          <w:sz w:val="24"/>
          <w:szCs w:val="24"/>
        </w:rPr>
        <w:t xml:space="preserve">riordina</w:t>
      </w:r>
      <w:r>
        <w:rPr>
          <w:rFonts w:ascii="Barlow Semi Condensed" w:cs="Barlow Semi Condensed" w:eastAsia="Barlow Semi Condensed" w:hAnsi="Barlow Semi Condensed"/>
          <w:sz w:val="24"/>
          <w:szCs w:val="24"/>
        </w:rPr>
        <w:t xml:space="preserve">. Ogni capitolo dichiara da quali documenti del branch la sua materia proviene, sicché il lettore possa sempre risalire dal sommario al testo pieno e dal testo pieno alle fonti con indirizzo. L'edizione è perciò un portale, non un sostituto: chi legge solo queste pagine ha la mappa; chi apre i documenti richiamati ha il territorio.</w:t>
      </w:r>
    </w:p>
    <w:p>
      <w:pPr>
        <w:spacing w:after="120" w:line="276"/>
        <w:jc w:val="both"/>
      </w:pPr>
      <w:r>
        <w:rPr>
          <w:rFonts w:ascii="Barlow Semi Condensed" w:cs="Barlow Semi Condensed" w:eastAsia="Barlow Semi Condensed" w:hAnsi="Barlow Semi Condensed"/>
          <w:b/>
          <w:bCs/>
          <w:sz w:val="24"/>
          <w:szCs w:val="24"/>
        </w:rPr>
        <w:t xml:space="preserve">Blocco mirato numero due — Il Pollo di Popper.</w:t>
      </w:r>
      <w:r>
        <w:rPr>
          <w:rFonts w:ascii="Barlow Semi Condensed" w:cs="Barlow Semi Condensed" w:eastAsia="Barlow Semi Condensed" w:hAnsi="Barlow Semi Condensed"/>
          <w:sz w:val="24"/>
          <w:szCs w:val="24"/>
        </w:rPr>
        <w:t xml:space="preserve"> La disciplina che governa le prime quattro Fasi ha il nome che l'autore le ha dato: dove la fonte documenta, si certifica; dove la fonte tace, si indaga e non si afferma; la congettura non è vietata, è </w:t>
      </w:r>
      <w:r>
        <w:rPr>
          <w:rFonts w:ascii="Barlow Semi Condensed" w:cs="Barlow Semi Condensed" w:eastAsia="Barlow Semi Condensed" w:hAnsi="Barlow Semi Condensed"/>
          <w:b/>
          <w:bCs/>
          <w:sz w:val="24"/>
          <w:szCs w:val="24"/>
        </w:rPr>
        <w:t xml:space="preserve">marcata</w:t>
      </w:r>
      <w:r>
        <w:rPr>
          <w:rFonts w:ascii="Barlow Semi Condensed" w:cs="Barlow Semi Condensed" w:eastAsia="Barlow Semi Condensed" w:hAnsi="Barlow Semi Condensed"/>
          <w:sz w:val="24"/>
          <w:szCs w:val="24"/>
        </w:rPr>
        <w:t xml:space="preserve">; e ogni asserzione portante espone il proprio criterio di smentita, perché un'affermazione che non può essere smentita da nulla non sta affermando nulla.</w:t>
      </w:r>
    </w:p>
    <w:p>
      <w:pPr>
        <w:spacing w:after="120" w:line="276"/>
        <w:jc w:val="both"/>
      </w:pPr>
      <w:r>
        <w:rPr>
          <w:rFonts w:ascii="Barlow Semi Condensed" w:cs="Barlow Semi Condensed" w:eastAsia="Barlow Semi Condensed" w:hAnsi="Barlow Semi Condensed"/>
          <w:b/>
          <w:bCs/>
          <w:sz w:val="24"/>
          <w:szCs w:val="24"/>
        </w:rPr>
        <w:t xml:space="preserve">Blocco mirato numero tre — Lo standard probatorio.</w:t>
      </w:r>
      <w:r>
        <w:rPr>
          <w:rFonts w:ascii="Barlow Semi Condensed" w:cs="Barlow Semi Condensed" w:eastAsia="Barlow Semi Condensed" w:hAnsi="Barlow Semi Condensed"/>
          <w:sz w:val="24"/>
          <w:szCs w:val="24"/>
        </w:rPr>
        <w:t xml:space="preserve"> I gradi del corpus: </w:t>
      </w:r>
      <w:r>
        <w:rPr>
          <w:rFonts w:ascii="Barlow Semi Condensed" w:cs="Barlow Semi Condensed" w:eastAsia="Barlow Semi Condensed" w:hAnsi="Barlow Semi Condensed"/>
          <w:b/>
          <w:bCs/>
          <w:sz w:val="24"/>
          <w:szCs w:val="24"/>
        </w:rPr>
        <w:t xml:space="preserve">A</w:t>
      </w:r>
      <w:r>
        <w:rPr>
          <w:rFonts w:ascii="Barlow Semi Condensed" w:cs="Barlow Semi Condensed" w:eastAsia="Barlow Semi Condensed" w:hAnsi="Barlow Semi Condensed"/>
          <w:sz w:val="24"/>
          <w:szCs w:val="24"/>
        </w:rPr>
        <w:t xml:space="preserve"> il giudicato; </w:t>
      </w:r>
      <w:r>
        <w:rPr>
          <w:rFonts w:ascii="Barlow Semi Condensed" w:cs="Barlow Semi Condensed" w:eastAsia="Barlow Semi Condensed" w:hAnsi="Barlow Semi Condensed"/>
          <w:b/>
          <w:bCs/>
          <w:sz w:val="24"/>
          <w:szCs w:val="24"/>
        </w:rPr>
        <w:t xml:space="preserve">B</w:t>
      </w:r>
      <w:r>
        <w:rPr>
          <w:rFonts w:ascii="Barlow Semi Condensed" w:cs="Barlow Semi Condensed" w:eastAsia="Barlow Semi Condensed" w:hAnsi="Barlow Semi Condensed"/>
          <w:sz w:val="24"/>
          <w:szCs w:val="24"/>
        </w:rPr>
        <w:t xml:space="preserve"> l'accertamento parlamentare o istruttorio; </w:t>
      </w:r>
      <w:r>
        <w:rPr>
          <w:rFonts w:ascii="Barlow Semi Condensed" w:cs="Barlow Semi Condensed" w:eastAsia="Barlow Semi Condensed" w:hAnsi="Barlow Semi Condensed"/>
          <w:b/>
          <w:bCs/>
          <w:sz w:val="24"/>
          <w:szCs w:val="24"/>
        </w:rPr>
        <w:t xml:space="preserve">C</w:t>
      </w:r>
      <w:r>
        <w:rPr>
          <w:rFonts w:ascii="Barlow Semi Condensed" w:cs="Barlow Semi Condensed" w:eastAsia="Barlow Semi Condensed" w:hAnsi="Barlow Semi Condensed"/>
          <w:sz w:val="24"/>
          <w:szCs w:val="24"/>
        </w:rPr>
        <w:t xml:space="preserve"> la congettura ordinata; </w:t>
      </w:r>
      <w:r>
        <w:rPr>
          <w:rFonts w:ascii="Barlow Semi Condensed" w:cs="Barlow Semi Condensed" w:eastAsia="Barlow Semi Condensed" w:hAnsi="Barlow Semi Condensed"/>
          <w:b/>
          <w:bCs/>
          <w:sz w:val="24"/>
          <w:szCs w:val="24"/>
        </w:rPr>
        <w:t xml:space="preserve">F</w:t>
      </w:r>
      <w:r>
        <w:rPr>
          <w:rFonts w:ascii="Barlow Semi Condensed" w:cs="Barlow Semi Condensed" w:eastAsia="Barlow Semi Condensed" w:hAnsi="Barlow Semi Condensed"/>
          <w:sz w:val="24"/>
          <w:szCs w:val="24"/>
        </w:rPr>
        <w:t xml:space="preserve"> il fatto pubblico; </w:t>
      </w:r>
      <w:r>
        <w:rPr>
          <w:rFonts w:ascii="Barlow Semi Condensed" w:cs="Barlow Semi Condensed" w:eastAsia="Barlow Semi Condensed" w:hAnsi="Barlow Semi Condensed"/>
          <w:b/>
          <w:bCs/>
          <w:sz w:val="24"/>
          <w:szCs w:val="24"/>
        </w:rPr>
        <w:t xml:space="preserve">Stato Zero</w:t>
      </w:r>
      <w:r>
        <w:rPr>
          <w:rFonts w:ascii="Barlow Semi Condensed" w:cs="Barlow Semi Condensed" w:eastAsia="Barlow Semi Condensed" w:hAnsi="Barlow Semi Condensed"/>
          <w:sz w:val="24"/>
          <w:szCs w:val="24"/>
        </w:rPr>
        <w:t xml:space="preserve"> l'assenza documentata, che è un risultato e non un vuoto. Nessuna voce sale di grado per suggestione; nessuna scende per scetticismo di maniera.</w:t>
      </w:r>
    </w:p>
    <w:p>
      <w:pPr>
        <w:spacing w:after="120" w:line="276"/>
        <w:jc w:val="both"/>
      </w:pPr>
      <w:r>
        <w:rPr>
          <w:rFonts w:ascii="Barlow Semi Condensed" w:cs="Barlow Semi Condensed" w:eastAsia="Barlow Semi Condensed" w:hAnsi="Barlow Semi Condensed"/>
          <w:b/>
          <w:bCs/>
          <w:sz w:val="24"/>
          <w:szCs w:val="24"/>
        </w:rPr>
        <w:t xml:space="preserve">Blocco mirato numero quattro — La regola personalistica.</w:t>
      </w:r>
      <w:r>
        <w:rPr>
          <w:rFonts w:ascii="Barlow Semi Condensed" w:cs="Barlow Semi Condensed" w:eastAsia="Barlow Semi Condensed" w:hAnsi="Barlow Semi Condensed"/>
          <w:sz w:val="24"/>
          <w:szCs w:val="24"/>
        </w:rPr>
        <w:t xml:space="preserve"> La colpa non è mai del gruppo ed è sempre della persona (art. 27 Cost.); l'appartenenza — a uno o più gruppi — non è condotta; la parentela non è canale; la contemporaneità non è nesso; gli assolti restano assolti, e il «fu assolto, ma» è bandito.</w:t>
      </w:r>
    </w:p>
    <w:p>
      <w:pPr>
        <w:pStyle w:val="Heading3"/>
        <w:spacing w:after="80" w:before="160"/>
      </w:pPr>
      <w:r>
        <w:rPr>
          <w:rFonts w:ascii="Barlow Semi Condensed" w:cs="Barlow Semi Condensed" w:eastAsia="Barlow Semi Condensed" w:hAnsi="Barlow Semi Condensed"/>
          <w:sz w:val="24"/>
          <w:szCs w:val="24"/>
        </w:rPr>
        <w:t xml:space="preserve">Capitolo I — Avvertenza dell'autore e statuto dell'opera</w:t>
      </w:r>
    </w:p>
    <w:p>
      <w:pPr>
        <w:spacing w:after="120" w:line="276"/>
        <w:jc w:val="both"/>
      </w:pPr>
      <w:r>
        <w:rPr>
          <w:rFonts w:ascii="Barlow Semi Condensed" w:cs="Barlow Semi Condensed" w:eastAsia="Barlow Semi Condensed" w:hAnsi="Barlow Semi Condensed"/>
          <w:sz w:val="24"/>
          <w:szCs w:val="24"/>
        </w:rPr>
        <w:t xml:space="preserve">Quest'opera è generata da un'intelligenza artificiale su comando e responsabilità di un autore umano, e non lo nasconde. L'avvertenza integrale, con le tre rinunce chieste al lettore e le tre garanzie rese in cambio, è nel Dossier maggiore; il suo equivalente pubblico è la disciplina dichiarata in testa a ogni documento del branch. → </w:t>
      </w:r>
      <w:r>
        <w:rPr>
          <w:rFonts w:ascii="Barlow Semi Condensed" w:cs="Barlow Semi Condensed" w:eastAsia="Barlow Semi Condensed" w:hAnsi="Barlow Semi Condensed"/>
          <w:i/>
          <w:iCs/>
          <w:sz w:val="24"/>
          <w:szCs w:val="24"/>
        </w:rPr>
        <w:t xml:space="preserve">Documenti: `GUIDA-ALLA-LETTURA.md` (la porta d'ingresso), `aldo-moro-una-guerra-senza-fine-apparato-dei-gradi.md`.</w:t>
      </w:r>
    </w:p>
    <w:p>
      <w:pPr>
        <w:pStyle w:val="Heading3"/>
        <w:spacing w:after="80" w:before="160"/>
      </w:pPr>
      <w:r>
        <w:rPr>
          <w:rFonts w:ascii="Barlow Semi Condensed" w:cs="Barlow Semi Condensed" w:eastAsia="Barlow Semi Condensed" w:hAnsi="Barlow Semi Condensed"/>
          <w:sz w:val="24"/>
          <w:szCs w:val="24"/>
        </w:rPr>
        <w:t xml:space="preserve">Capitolo II — Il metodo: il Pollo di Popper e la sua sfera d'azione</w:t>
      </w:r>
    </w:p>
    <w:p>
      <w:pPr>
        <w:spacing w:after="120" w:line="276"/>
        <w:jc w:val="both"/>
      </w:pPr>
      <w:r>
        <w:rPr>
          <w:rFonts w:ascii="Barlow Semi Condensed" w:cs="Barlow Semi Condensed" w:eastAsia="Barlow Semi Condensed" w:hAnsi="Barlow Semi Condensed"/>
          <w:sz w:val="24"/>
          <w:szCs w:val="24"/>
        </w:rPr>
        <w:t xml:space="preserve">Il falsificazionismo applicato a un caso di storia repubblicana: ogni capitolo del corpus espone l'asserzione portante, il grado e il criterio di smentita. → </w:t>
      </w:r>
      <w:r>
        <w:rPr>
          <w:rFonts w:ascii="Barlow Semi Condensed" w:cs="Barlow Semi Condensed" w:eastAsia="Barlow Semi Condensed" w:hAnsi="Barlow Semi Condensed"/>
          <w:i/>
          <w:iCs/>
          <w:sz w:val="24"/>
          <w:szCs w:val="24"/>
        </w:rPr>
        <w:t xml:space="preserve">Documenti: `aldo-moro-una-guerra-senza-fine-fase-sesta.md` (il presidio del garante e le quattro discipline), `aldo-moro-una-guerra-senza-fine-apparato-dei-gradi.md` (l'indice analitico dei cinquanta capitoli).</w:t>
      </w:r>
    </w:p>
    <w:p>
      <w:pPr>
        <w:pStyle w:val="Heading3"/>
        <w:spacing w:after="80" w:before="160"/>
      </w:pPr>
      <w:r>
        <w:rPr>
          <w:rFonts w:ascii="Barlow Semi Condensed" w:cs="Barlow Semi Condensed" w:eastAsia="Barlow Semi Condensed" w:hAnsi="Barlow Semi Condensed"/>
          <w:sz w:val="24"/>
          <w:szCs w:val="24"/>
        </w:rPr>
        <w:t xml:space="preserve">Capitolo II-bis — La sinaptogenesi e gli strumenti: le metodologie del Dossier applicate</w:t>
      </w:r>
    </w:p>
    <w:p>
      <w:pPr>
        <w:spacing w:after="120" w:line="276"/>
        <w:jc w:val="both"/>
      </w:pPr>
      <w:r>
        <w:rPr>
          <w:rFonts w:ascii="Barlow Semi Condensed" w:cs="Barlow Semi Condensed" w:eastAsia="Barlow Semi Condensed" w:hAnsi="Barlow Semi Condensed"/>
          <w:sz w:val="24"/>
          <w:szCs w:val="24"/>
        </w:rPr>
        <w:t xml:space="preserve">La cassetta degli attrezzi del Dossier maggiore, adottata e calcolata sul corpus: la </w:t>
      </w:r>
      <w:r>
        <w:rPr>
          <w:rFonts w:ascii="Barlow Semi Condensed" w:cs="Barlow Semi Condensed" w:eastAsia="Barlow Semi Condensed" w:hAnsi="Barlow Semi Condensed"/>
          <w:b/>
          <w:bCs/>
          <w:sz w:val="24"/>
          <w:szCs w:val="24"/>
        </w:rPr>
        <w:t xml:space="preserve">rete documentata</w:t>
      </w:r>
      <w:r>
        <w:rPr>
          <w:rFonts w:ascii="Barlow Semi Condensed" w:cs="Barlow Semi Condensed" w:eastAsia="Barlow Semi Condensed" w:hAnsi="Barlow Semi Condensed"/>
          <w:sz w:val="24"/>
          <w:szCs w:val="24"/>
        </w:rPr>
        <w:t xml:space="preserve"> (39 nodi, 59 archi con grado; centralità di Freeman calcolate; il CPM come ponte quantitativo fra i mondi), la </w:t>
      </w:r>
      <w:r>
        <w:rPr>
          <w:rFonts w:ascii="Barlow Semi Condensed" w:cs="Barlow Semi Condensed" w:eastAsia="Barlow Semi Condensed" w:hAnsi="Barlow Semi Condensed"/>
          <w:b/>
          <w:bCs/>
          <w:sz w:val="24"/>
          <w:szCs w:val="24"/>
        </w:rPr>
        <w:t xml:space="preserve">regola dell'anello debole</w:t>
      </w:r>
      <w:r>
        <w:rPr>
          <w:rFonts w:ascii="Barlow Semi Condensed" w:cs="Barlow Semi Condensed" w:eastAsia="Barlow Semi Condensed" w:hAnsi="Barlow Semi Condensed"/>
          <w:sz w:val="24"/>
          <w:szCs w:val="24"/>
        </w:rPr>
        <w:t xml:space="preserve"> (il grado di un cammino è il minimo dei suoi archi: il cammino Hyperion→via Fani è di grado F), la </w:t>
      </w:r>
      <w:r>
        <w:rPr>
          <w:rFonts w:ascii="Barlow Semi Condensed" w:cs="Barlow Semi Condensed" w:eastAsia="Barlow Semi Condensed" w:hAnsi="Barlow Semi Condensed"/>
          <w:b/>
          <w:bCs/>
          <w:sz w:val="24"/>
          <w:szCs w:val="24"/>
        </w:rPr>
        <w:t xml:space="preserve">regola dei buchi</w:t>
      </w:r>
      <w:r>
        <w:rPr>
          <w:rFonts w:ascii="Barlow Semi Condensed" w:cs="Barlow Semi Condensed" w:eastAsia="Barlow Semi Condensed" w:hAnsi="Barlow Semi Condensed"/>
          <w:sz w:val="24"/>
          <w:szCs w:val="24"/>
        </w:rPr>
        <w:t xml:space="preserve"> (Burt: i buchi si misurano, non si riempiono), i </w:t>
      </w:r>
      <w:r>
        <w:rPr>
          <w:rFonts w:ascii="Barlow Semi Condensed" w:cs="Barlow Semi Condensed" w:eastAsia="Barlow Semi Condensed" w:hAnsi="Barlow Semi Condensed"/>
          <w:b/>
          <w:bCs/>
          <w:sz w:val="24"/>
          <w:szCs w:val="24"/>
        </w:rPr>
        <w:t xml:space="preserve">dieci mondi</w:t>
      </w:r>
      <w:r>
        <w:rPr>
          <w:rFonts w:ascii="Barlow Semi Condensed" w:cs="Barlow Semi Condensed" w:eastAsia="Barlow Semi Condensed" w:hAnsi="Barlow Semi Condensed"/>
          <w:sz w:val="24"/>
          <w:szCs w:val="24"/>
        </w:rPr>
        <w:t xml:space="preserve"> multistrato (Kivelä), l'</w:t>
      </w:r>
      <w:r>
        <w:rPr>
          <w:rFonts w:ascii="Barlow Semi Condensed" w:cs="Barlow Semi Condensed" w:eastAsia="Barlow Semi Condensed" w:hAnsi="Barlow Semi Condensed"/>
          <w:b/>
          <w:bCs/>
          <w:sz w:val="24"/>
          <w:szCs w:val="24"/>
        </w:rPr>
        <w:t xml:space="preserve">ACH di Heuer</w:t>
      </w:r>
      <w:r>
        <w:rPr>
          <w:rFonts w:ascii="Barlow Semi Condensed" w:cs="Barlow Semi Condensed" w:eastAsia="Barlow Semi Condensed" w:hAnsi="Barlow Semi Condensed"/>
          <w:sz w:val="24"/>
          <w:szCs w:val="24"/>
        </w:rPr>
        <w:t xml:space="preserve"> su due quesiti impersonali (Gradoli; le due moto) con l'evidenza discriminante nominata, il paradigma indiziario e la consilienza col loro guardrail, e l'</w:t>
      </w:r>
      <w:r>
        <w:rPr>
          <w:rFonts w:ascii="Barlow Semi Condensed" w:cs="Barlow Semi Condensed" w:eastAsia="Barlow Semi Condensed" w:hAnsi="Barlow Semi Condensed"/>
          <w:b/>
          <w:bCs/>
          <w:sz w:val="24"/>
          <w:szCs w:val="24"/>
        </w:rPr>
        <w:t xml:space="preserve">auto-misurazione statistica</w:t>
      </w:r>
      <w:r>
        <w:rPr>
          <w:rFonts w:ascii="Barlow Semi Condensed" w:cs="Barlow Semi Condensed" w:eastAsia="Barlow Semi Condensed" w:hAnsi="Barlow Semi Condensed"/>
          <w:sz w:val="24"/>
          <w:szCs w:val="24"/>
        </w:rPr>
        <w:t xml:space="preserve"> del branch. → </w:t>
      </w:r>
      <w:r>
        <w:rPr>
          <w:rFonts w:ascii="Barlow Semi Condensed" w:cs="Barlow Semi Condensed" w:eastAsia="Barlow Semi Condensed" w:hAnsi="Barlow Semi Condensed"/>
          <w:i/>
          <w:iCs/>
          <w:sz w:val="24"/>
          <w:szCs w:val="24"/>
        </w:rPr>
        <w:t xml:space="preserve">Documenti: `metodologie-del-dossier-sinaptogenesi-e-strumenti.md`.</w:t>
      </w:r>
    </w:p>
    <w:p>
      <w:pPr>
        <w:pStyle w:val="Heading3"/>
        <w:spacing w:after="80" w:before="160"/>
      </w:pPr>
      <w:r>
        <w:rPr>
          <w:rFonts w:ascii="Barlow Semi Condensed" w:cs="Barlow Semi Condensed" w:eastAsia="Barlow Semi Condensed" w:hAnsi="Barlow Semi Condensed"/>
          <w:sz w:val="24"/>
          <w:szCs w:val="24"/>
        </w:rPr>
        <w:t xml:space="preserve">Capitolo III — Lo standard probatorio: i livelli della certezza</w:t>
      </w:r>
    </w:p>
    <w:p>
      <w:pPr>
        <w:spacing w:after="120" w:line="276"/>
        <w:jc w:val="both"/>
      </w:pPr>
      <w:r>
        <w:rPr>
          <w:rFonts w:ascii="Barlow Semi Condensed" w:cs="Barlow Semi Condensed" w:eastAsia="Barlow Semi Condensed" w:hAnsi="Barlow Semi Condensed"/>
          <w:sz w:val="24"/>
          <w:szCs w:val="24"/>
        </w:rPr>
        <w:t xml:space="preserve">La scala A/B/C/F/Stato Zero, la distinzione fra il documento e il documentato, il divieto di promuovere convergenze a nessi. → </w:t>
      </w:r>
      <w:r>
        <w:rPr>
          <w:rFonts w:ascii="Barlow Semi Condensed" w:cs="Barlow Semi Condensed" w:eastAsia="Barlow Semi Condensed" w:hAnsi="Barlow Semi Condensed"/>
          <w:i/>
          <w:iCs/>
          <w:sz w:val="24"/>
          <w:szCs w:val="24"/>
        </w:rPr>
        <w:t xml:space="preserve">Documenti: Fase sesta; Fase settima, capp. 56-57 (che cosa pesa un giudicato, che cosa pesa una Commissione).</w:t>
      </w:r>
    </w:p>
    <w:p>
      <w:pPr>
        <w:pStyle w:val="Heading3"/>
        <w:spacing w:after="80" w:before="160"/>
      </w:pPr>
      <w:r>
        <w:rPr>
          <w:rFonts w:ascii="Barlow Semi Condensed" w:cs="Barlow Semi Condensed" w:eastAsia="Barlow Semi Condensed" w:hAnsi="Barlow Semi Condensed"/>
          <w:sz w:val="24"/>
          <w:szCs w:val="24"/>
        </w:rPr>
        <w:t xml:space="preserve">Capitolo IV — Maglie e la formazione: le radici dell'uomo</w:t>
      </w:r>
    </w:p>
    <w:p>
      <w:pPr>
        <w:spacing w:after="120" w:line="276"/>
        <w:jc w:val="both"/>
      </w:pPr>
      <w:r>
        <w:rPr>
          <w:rFonts w:ascii="Barlow Semi Condensed" w:cs="Barlow Semi Condensed" w:eastAsia="Barlow Semi Condensed" w:hAnsi="Barlow Semi Condensed"/>
          <w:sz w:val="24"/>
          <w:szCs w:val="24"/>
        </w:rPr>
        <w:t xml:space="preserve">Maglie 1916, la famiglia, gli studi, il diritto penale a Bari: l'uomo prima della politica. → </w:t>
      </w:r>
      <w:r>
        <w:rPr>
          <w:rFonts w:ascii="Barlow Semi Condensed" w:cs="Barlow Semi Condensed" w:eastAsia="Barlow Semi Condensed" w:hAnsi="Barlow Semi Condensed"/>
          <w:i/>
          <w:iCs/>
          <w:sz w:val="24"/>
          <w:szCs w:val="24"/>
        </w:rPr>
        <w:t xml:space="preserve">Documenti: `aldo-moro-una-guerra-senza-fine-fase-ottava-il-ritratto.md`, cap. 62.</w:t>
      </w:r>
    </w:p>
    <w:p>
      <w:pPr>
        <w:pStyle w:val="Heading3"/>
        <w:spacing w:after="80" w:before="160"/>
      </w:pPr>
      <w:r>
        <w:rPr>
          <w:rFonts w:ascii="Barlow Semi Condensed" w:cs="Barlow Semi Condensed" w:eastAsia="Barlow Semi Condensed" w:hAnsi="Barlow Semi Condensed"/>
          <w:sz w:val="24"/>
          <w:szCs w:val="24"/>
        </w:rPr>
        <w:t xml:space="preserve">Capitolo V — Dalla FUCI alla Costituente: la generazione dei costruttori</w:t>
      </w:r>
    </w:p>
    <w:p>
      <w:pPr>
        <w:spacing w:after="120" w:line="276"/>
        <w:jc w:val="both"/>
      </w:pPr>
      <w:r>
        <w:rPr>
          <w:rFonts w:ascii="Barlow Semi Condensed" w:cs="Barlow Semi Condensed" w:eastAsia="Barlow Semi Condensed" w:hAnsi="Barlow Semi Condensed"/>
          <w:sz w:val="24"/>
          <w:szCs w:val="24"/>
        </w:rPr>
        <w:t xml:space="preserve">La FUCI negli anni del regime, la guerra, la Costituente: la Repubblica come opera di una generazione. → </w:t>
      </w:r>
      <w:r>
        <w:rPr>
          <w:rFonts w:ascii="Barlow Semi Condensed" w:cs="Barlow Semi Condensed" w:eastAsia="Barlow Semi Condensed" w:hAnsi="Barlow Semi Condensed"/>
          <w:i/>
          <w:iCs/>
          <w:sz w:val="24"/>
          <w:szCs w:val="24"/>
        </w:rPr>
        <w:t xml:space="preserve">Documenti: Fase ottava, capp. 63-64.</w:t>
      </w:r>
    </w:p>
    <w:p>
      <w:pPr>
        <w:pStyle w:val="Heading3"/>
        <w:spacing w:after="80" w:before="160"/>
      </w:pPr>
      <w:r>
        <w:rPr>
          <w:rFonts w:ascii="Barlow Semi Condensed" w:cs="Barlow Semi Condensed" w:eastAsia="Barlow Semi Condensed" w:hAnsi="Barlow Semi Condensed"/>
          <w:sz w:val="24"/>
          <w:szCs w:val="24"/>
        </w:rPr>
        <w:t xml:space="preserve">Capitolo VI — Lo statista: il segretario, il presidente, il ministro</w:t>
      </w:r>
    </w:p>
    <w:p>
      <w:pPr>
        <w:spacing w:after="120" w:line="276"/>
        <w:jc w:val="both"/>
      </w:pPr>
      <w:r>
        <w:rPr>
          <w:rFonts w:ascii="Barlow Semi Condensed" w:cs="Barlow Semi Condensed" w:eastAsia="Barlow Semi Condensed" w:hAnsi="Barlow Semi Condensed"/>
          <w:sz w:val="24"/>
          <w:szCs w:val="24"/>
        </w:rPr>
        <w:t xml:space="preserve">I governi, la segreteria DC, l'apertura a sinistra e i suoi anticorpi; e la dimensione che il corpus ha documentato per intero: </w:t>
      </w:r>
      <w:r>
        <w:rPr>
          <w:rFonts w:ascii="Barlow Semi Condensed" w:cs="Barlow Semi Condensed" w:eastAsia="Barlow Semi Condensed" w:hAnsi="Barlow Semi Condensed"/>
          <w:b/>
          <w:bCs/>
          <w:sz w:val="24"/>
          <w:szCs w:val="24"/>
        </w:rPr>
        <w:t xml:space="preserve">Moro alla Farnesina</w:t>
      </w:r>
      <w:r>
        <w:rPr>
          <w:rFonts w:ascii="Barlow Semi Condensed" w:cs="Barlow Semi Condensed" w:eastAsia="Barlow Semi Condensed" w:hAnsi="Barlow Semi Condensed"/>
          <w:sz w:val="24"/>
          <w:szCs w:val="24"/>
        </w:rPr>
        <w:t xml:space="preserve">, i due mandati 1969-1974, le firme comunitarie, Helsinki. → </w:t>
      </w:r>
      <w:r>
        <w:rPr>
          <w:rFonts w:ascii="Barlow Semi Condensed" w:cs="Barlow Semi Condensed" w:eastAsia="Barlow Semi Condensed" w:hAnsi="Barlow Semi Condensed"/>
          <w:i/>
          <w:iCs/>
          <w:sz w:val="24"/>
          <w:szCs w:val="24"/>
        </w:rPr>
        <w:t xml:space="preserve">Documenti: Fase ottava, cap. 65; cartella `moro-ministro-esteri/` (la ricognizione-madre e i quattro versanti).</w:t>
      </w:r>
    </w:p>
    <w:p>
      <w:pPr>
        <w:pStyle w:val="Heading3"/>
        <w:spacing w:after="80" w:before="160"/>
      </w:pPr>
      <w:r>
        <w:rPr>
          <w:rFonts w:ascii="Barlow Semi Condensed" w:cs="Barlow Semi Condensed" w:eastAsia="Barlow Semi Condensed" w:hAnsi="Barlow Semi Condensed"/>
          <w:sz w:val="24"/>
          <w:szCs w:val="24"/>
        </w:rPr>
        <w:t xml:space="preserve">Capitolo VII — Lo stile dell'uomo: la lingua come forma del pensiero</w:t>
      </w:r>
    </w:p>
    <w:p>
      <w:pPr>
        <w:spacing w:after="120" w:line="276"/>
        <w:jc w:val="both"/>
      </w:pPr>
      <w:r>
        <w:rPr>
          <w:rFonts w:ascii="Barlow Semi Condensed" w:cs="Barlow Semi Condensed" w:eastAsia="Barlow Semi Condensed" w:hAnsi="Barlow Semi Condensed"/>
          <w:sz w:val="24"/>
          <w:szCs w:val="24"/>
        </w:rPr>
        <w:t xml:space="preserve">La prosa moroteo, le lettere come scrittura di un uomo e non solo come atti del caso. → </w:t>
      </w:r>
      <w:r>
        <w:rPr>
          <w:rFonts w:ascii="Barlow Semi Condensed" w:cs="Barlow Semi Condensed" w:eastAsia="Barlow Semi Condensed" w:hAnsi="Barlow Semi Condensed"/>
          <w:i/>
          <w:iCs/>
          <w:sz w:val="24"/>
          <w:szCs w:val="24"/>
        </w:rPr>
        <w:t xml:space="preserve">Documenti: Fase ottava, cap. 66; per il pastiche dichiarato (voce prestata, mai parole sue): `relazione-stato-lavori-stile-moro.md` e la Parte quarta di `dal-che-a-moro-una-guerra-senza-fine.md`.</w:t>
      </w:r>
    </w:p>
    <w:p>
      <w:pPr>
        <w:spacing w:after="120" w:line="276"/>
        <w:jc w:val="both"/>
      </w:pPr>
      <w:r>
        <w:rPr>
          <w:rFonts w:ascii="Barlow Semi Condensed" w:cs="Barlow Semi Condensed" w:eastAsia="Barlow Semi Condensed" w:hAnsi="Barlow Semi Condensed"/>
          <w:b/>
          <w:bCs/>
          <w:sz w:val="24"/>
          <w:szCs w:val="24"/>
        </w:rPr>
        <w:t xml:space="preserve">Blocco mirato numero centouno — Griglia della Fase prima · Fonte.</w:t>
      </w:r>
      <w:r>
        <w:rPr>
          <w:rFonts w:ascii="Barlow Semi Condensed" w:cs="Barlow Semi Condensed" w:eastAsia="Barlow Semi Condensed" w:hAnsi="Barlow Semi Condensed"/>
          <w:sz w:val="24"/>
          <w:szCs w:val="24"/>
        </w:rPr>
        <w:t xml:space="preserve"> La Fase poggia su fonti biografiche pubbliche e sull'edizione digitale delle carte Moro (aldomorodigitale.unibo.it), incrociate nel ritratto della Fase ottava.</w:t>
      </w:r>
    </w:p>
    <w:p>
      <w:pPr>
        <w:spacing w:after="120" w:line="276"/>
        <w:jc w:val="both"/>
      </w:pPr>
      <w:r>
        <w:rPr>
          <w:rFonts w:ascii="Barlow Semi Condensed" w:cs="Barlow Semi Condensed" w:eastAsia="Barlow Semi Condensed" w:hAnsi="Barlow Semi Condensed"/>
          <w:b/>
          <w:bCs/>
          <w:sz w:val="24"/>
          <w:szCs w:val="24"/>
        </w:rPr>
        <w:t xml:space="preserve">Blocco mirato numero centodue — Falsificatore.</w:t>
      </w:r>
      <w:r>
        <w:rPr>
          <w:rFonts w:ascii="Barlow Semi Condensed" w:cs="Barlow Semi Condensed" w:eastAsia="Barlow Semi Condensed" w:hAnsi="Barlow Semi Condensed"/>
          <w:sz w:val="24"/>
          <w:szCs w:val="24"/>
        </w:rPr>
        <w:t xml:space="preserve"> Il ritratto cadrebbe se documenti primari mostrassero un Moro sostanzialmente diverso dall'uomo delle fonti pubbliche: nessun documento simile è emerso.</w:t>
      </w:r>
    </w:p>
    <w:p>
      <w:pPr>
        <w:spacing w:after="120" w:line="276"/>
        <w:jc w:val="both"/>
      </w:pPr>
      <w:r>
        <w:rPr>
          <w:rFonts w:ascii="Barlow Semi Condensed" w:cs="Barlow Semi Condensed" w:eastAsia="Barlow Semi Condensed" w:hAnsi="Barlow Semi Condensed"/>
          <w:b/>
          <w:bCs/>
          <w:sz w:val="24"/>
          <w:szCs w:val="24"/>
        </w:rPr>
        <w:t xml:space="preserve">Blocco mirato numero centotré — Obiezione.</w:t>
      </w:r>
      <w:r>
        <w:rPr>
          <w:rFonts w:ascii="Barlow Semi Condensed" w:cs="Barlow Semi Condensed" w:eastAsia="Barlow Semi Condensed" w:hAnsi="Barlow Semi Condensed"/>
          <w:sz w:val="24"/>
          <w:szCs w:val="24"/>
        </w:rPr>
        <w:t xml:space="preserve"> La più forte: che ogni ritratto postumo sia agiografia. Risposta: il ritratto del corpus dichiara le fonti di ogni tratto e non tace i giudizi critici coevi.</w:t>
      </w:r>
    </w:p>
    <w:p>
      <w:pPr>
        <w:spacing w:after="120" w:line="276"/>
        <w:jc w:val="both"/>
      </w:pPr>
      <w:r>
        <w:rPr>
          <w:rFonts w:ascii="Barlow Semi Condensed" w:cs="Barlow Semi Condensed" w:eastAsia="Barlow Semi Condensed" w:hAnsi="Barlow Semi Condensed"/>
          <w:b/>
          <w:bCs/>
          <w:sz w:val="24"/>
          <w:szCs w:val="24"/>
        </w:rPr>
        <w:t xml:space="preserve">Blocco mirato numero centoquattro — Comparazione.</w:t>
      </w:r>
      <w:r>
        <w:rPr>
          <w:rFonts w:ascii="Barlow Semi Condensed" w:cs="Barlow Semi Condensed" w:eastAsia="Barlow Semi Condensed" w:hAnsi="Barlow Semi Condensed"/>
          <w:sz w:val="24"/>
          <w:szCs w:val="24"/>
        </w:rPr>
        <w:t xml:space="preserve"> Il metodo del ritratto è lo stesso applicato a Guevara nel fronte parallelo del corpus: biografia documentata, mito separato dalla persona.</w:t>
      </w:r>
    </w:p>
    <w:p>
      <w:pPr>
        <w:spacing w:after="120" w:line="276"/>
        <w:jc w:val="both"/>
      </w:pPr>
      <w:r>
        <w:rPr>
          <w:rFonts w:ascii="Barlow Semi Condensed" w:cs="Barlow Semi Condensed" w:eastAsia="Barlow Semi Condensed" w:hAnsi="Barlow Semi Condensed"/>
          <w:b/>
          <w:bCs/>
          <w:sz w:val="24"/>
          <w:szCs w:val="24"/>
        </w:rPr>
        <w:t xml:space="preserve">Blocco mirato numero centocinque — Domanda aperta.</w:t>
      </w:r>
      <w:r>
        <w:rPr>
          <w:rFonts w:ascii="Barlow Semi Condensed" w:cs="Barlow Semi Condensed" w:eastAsia="Barlow Semi Condensed" w:hAnsi="Barlow Semi Condensed"/>
          <w:sz w:val="24"/>
          <w:szCs w:val="24"/>
        </w:rPr>
        <w:t xml:space="preserve"> Quanto del pensiero della «terza fase» restava da scrivere il 16 marzo 1978? La domanda è irrisolvibile, e si dichiara tale.</w:t>
      </w:r>
    </w:p>
    <w:p>
      <w:pPr>
        <w:pBdr>
          <w:bottom w:val="single" w:color="999999" w:sz="6" w:space="1"/>
        </w:pBdr>
        <w:spacing w:after="80"/>
      </w:pPr>
    </w:p>
    <w:p>
      <w:pPr>
        <w:pStyle w:val="Heading1"/>
        <w:spacing w:after="120" w:before="240"/>
      </w:pPr>
      <w:r>
        <w:rPr>
          <w:rFonts w:ascii="Barlow Semi Condensed" w:cs="Barlow Semi Condensed" w:eastAsia="Barlow Semi Condensed" w:hAnsi="Barlow Semi Condensed"/>
          <w:sz w:val="24"/>
          <w:szCs w:val="24"/>
        </w:rPr>
        <w:t xml:space="preserve">FASE SECONDA — IL PERCHÉ</w:t>
      </w:r>
    </w:p>
    <w:p>
      <w:pPr>
        <w:spacing w:after="120" w:line="276"/>
        <w:jc w:val="both"/>
      </w:pPr>
      <w:r>
        <w:rPr>
          <w:rFonts w:ascii="Barlow Semi Condensed" w:cs="Barlow Semi Condensed" w:eastAsia="Barlow Semi Condensed" w:hAnsi="Barlow Semi Condensed"/>
          <w:i/>
          <w:iCs/>
          <w:sz w:val="24"/>
          <w:szCs w:val="24"/>
        </w:rPr>
        <w:t xml:space="preserve">il progetto, i nemici, il bersaglio, sotto la medesima disciplina</w:t>
      </w:r>
    </w:p>
    <w:p>
      <w:pPr>
        <w:pStyle w:val="Heading3"/>
        <w:spacing w:after="80" w:before="160"/>
      </w:pPr>
      <w:r>
        <w:rPr>
          <w:rFonts w:ascii="Barlow Semi Condensed" w:cs="Barlow Semi Condensed" w:eastAsia="Barlow Semi Condensed" w:hAnsi="Barlow Semi Condensed"/>
          <w:sz w:val="24"/>
          <w:szCs w:val="24"/>
        </w:rPr>
        <w:t xml:space="preserve">Capitolo VIII — Il quadro internazionale: perché la sua manovra faceva paura</w:t>
      </w:r>
    </w:p>
    <w:p>
      <w:pPr>
        <w:spacing w:after="120" w:line="276"/>
        <w:jc w:val="both"/>
      </w:pPr>
      <w:r>
        <w:rPr>
          <w:rFonts w:ascii="Barlow Semi Condensed" w:cs="Barlow Semi Condensed" w:eastAsia="Barlow Semi Condensed" w:hAnsi="Barlow Semi Condensed"/>
          <w:sz w:val="24"/>
          <w:szCs w:val="24"/>
        </w:rPr>
        <w:t xml:space="preserve">La guerra fredda mediterranea, i blocchi, l'anomalia italiana. → </w:t>
      </w:r>
      <w:r>
        <w:rPr>
          <w:rFonts w:ascii="Barlow Semi Condensed" w:cs="Barlow Semi Condensed" w:eastAsia="Barlow Semi Condensed" w:hAnsi="Barlow Semi Condensed"/>
          <w:i/>
          <w:iCs/>
          <w:sz w:val="24"/>
          <w:szCs w:val="24"/>
        </w:rPr>
        <w:t xml:space="preserve">Documenti: `dal-che-a-moro-una-guerra-senza-fine.md` (la cornice); `cronologia-guevara-moro.html` (i tre fili sull'asse del tempo).</w:t>
      </w:r>
    </w:p>
    <w:p>
      <w:pPr>
        <w:pStyle w:val="Heading3"/>
        <w:spacing w:after="80" w:before="160"/>
      </w:pPr>
      <w:r>
        <w:rPr>
          <w:rFonts w:ascii="Barlow Semi Condensed" w:cs="Barlow Semi Condensed" w:eastAsia="Barlow Semi Condensed" w:hAnsi="Barlow Semi Condensed"/>
          <w:sz w:val="24"/>
          <w:szCs w:val="24"/>
        </w:rPr>
        <w:t xml:space="preserve">Capitolo IX — La strategia dell'attenzione e i suoi nemici</w:t>
      </w:r>
    </w:p>
    <w:p>
      <w:pPr>
        <w:spacing w:after="120" w:line="276"/>
        <w:jc w:val="both"/>
      </w:pPr>
      <w:r>
        <w:rPr>
          <w:rFonts w:ascii="Barlow Semi Condensed" w:cs="Barlow Semi Condensed" w:eastAsia="Barlow Semi Condensed" w:hAnsi="Barlow Semi Condensed"/>
          <w:sz w:val="24"/>
          <w:szCs w:val="24"/>
        </w:rPr>
        <w:t xml:space="preserve">Bari, 15 giugno 1969: la democrazia che amplia il proprio perimetro senza abdicare. Il primo tempo dell'inclusione e chi lo avversò. → </w:t>
      </w:r>
      <w:r>
        <w:rPr>
          <w:rFonts w:ascii="Barlow Semi Condensed" w:cs="Barlow Semi Condensed" w:eastAsia="Barlow Semi Condensed" w:hAnsi="Barlow Semi Condensed"/>
          <w:i/>
          <w:iCs/>
          <w:sz w:val="24"/>
          <w:szCs w:val="24"/>
        </w:rPr>
        <w:t xml:space="preserve">Documenti: Fase ottava, cap. 65.</w:t>
      </w:r>
    </w:p>
    <w:p>
      <w:pPr>
        <w:pStyle w:val="Heading3"/>
        <w:spacing w:after="80" w:before="160"/>
      </w:pPr>
      <w:r>
        <w:rPr>
          <w:rFonts w:ascii="Barlow Semi Condensed" w:cs="Barlow Semi Condensed" w:eastAsia="Barlow Semi Condensed" w:hAnsi="Barlow Semi Condensed"/>
          <w:sz w:val="24"/>
          <w:szCs w:val="24"/>
        </w:rPr>
        <w:t xml:space="preserve">Capitolo X — La solidarietà nazionale: capolavoro tattico, rischio strategico</w:t>
      </w:r>
    </w:p>
    <w:p>
      <w:pPr>
        <w:spacing w:after="120" w:line="276"/>
        <w:jc w:val="both"/>
      </w:pPr>
      <w:r>
        <w:rPr>
          <w:rFonts w:ascii="Barlow Semi Condensed" w:cs="Barlow Semi Condensed" w:eastAsia="Barlow Semi Condensed" w:hAnsi="Barlow Semi Condensed"/>
          <w:sz w:val="24"/>
          <w:szCs w:val="24"/>
        </w:rPr>
        <w:t xml:space="preserve">Il dicembre 1976, la «terza fase», il governo che Moro andava a votare la mattina del 16 marzo. → </w:t>
      </w:r>
      <w:r>
        <w:rPr>
          <w:rFonts w:ascii="Barlow Semi Condensed" w:cs="Barlow Semi Condensed" w:eastAsia="Barlow Semi Condensed" w:hAnsi="Barlow Semi Condensed"/>
          <w:i/>
          <w:iCs/>
          <w:sz w:val="24"/>
          <w:szCs w:val="24"/>
        </w:rPr>
        <w:t xml:space="preserve">Documenti: Fase ottava, capp. 65 e 67; Fase nona, cap. 68 (la cronologia).</w:t>
      </w:r>
    </w:p>
    <w:p>
      <w:pPr>
        <w:pStyle w:val="Heading3"/>
        <w:spacing w:after="80" w:before="160"/>
      </w:pPr>
      <w:r>
        <w:rPr>
          <w:rFonts w:ascii="Barlow Semi Condensed" w:cs="Barlow Semi Condensed" w:eastAsia="Barlow Semi Condensed" w:hAnsi="Barlow Semi Condensed"/>
          <w:sz w:val="24"/>
          <w:szCs w:val="24"/>
        </w:rPr>
        <w:t xml:space="preserve">Capitolo XI — La politica mediterranea e il lodo: il nodo multistrato</w:t>
      </w:r>
    </w:p>
    <w:p>
      <w:pPr>
        <w:spacing w:after="120" w:line="276"/>
        <w:jc w:val="both"/>
      </w:pPr>
      <w:r>
        <w:rPr>
          <w:rFonts w:ascii="Barlow Semi Condensed" w:cs="Barlow Semi Condensed" w:eastAsia="Barlow Semi Condensed" w:hAnsi="Barlow Semi Condensed"/>
          <w:sz w:val="24"/>
          <w:szCs w:val="24"/>
        </w:rPr>
        <w:t xml:space="preserve">La dimensione diplomatica documentata per intero dal corpus: la dottrina dell'equilibrio, il </w:t>
      </w:r>
      <w:r>
        <w:rPr>
          <w:rFonts w:ascii="Barlow Semi Condensed" w:cs="Barlow Semi Condensed" w:eastAsia="Barlow Semi Condensed" w:hAnsi="Barlow Semi Condensed"/>
          <w:b/>
          <w:bCs/>
          <w:sz w:val="24"/>
          <w:szCs w:val="24"/>
        </w:rPr>
        <w:t xml:space="preserve">lodo Moro</w:t>
      </w:r>
      <w:r>
        <w:rPr>
          <w:rFonts w:ascii="Barlow Semi Condensed" w:cs="Barlow Semi Condensed" w:eastAsia="Barlow Semi Condensed" w:hAnsi="Barlow Semi Condensed"/>
          <w:sz w:val="24"/>
          <w:szCs w:val="24"/>
        </w:rPr>
        <w:t xml:space="preserve">, il versante libico, la CSCE e le tre firme convergenti di Helsinki (Moro, Santa Sede, Turchia), i quattro versanti nazionali con l'Opus Dei in presenza (Germania, Portogallo) o in Stato Zero (Grecia, Turchia). → </w:t>
      </w:r>
      <w:r>
        <w:rPr>
          <w:rFonts w:ascii="Barlow Semi Condensed" w:cs="Barlow Semi Condensed" w:eastAsia="Barlow Semi Condensed" w:hAnsi="Barlow Semi Condensed"/>
          <w:i/>
          <w:iCs/>
          <w:sz w:val="24"/>
          <w:szCs w:val="24"/>
        </w:rPr>
        <w:t xml:space="preserve">Documenti: cartella `moro-ministro-esteri/` integrale, col suo volume rilegato.</w:t>
      </w:r>
    </w:p>
    <w:p>
      <w:pPr>
        <w:pStyle w:val="Heading3"/>
        <w:spacing w:after="80" w:before="160"/>
      </w:pPr>
      <w:r>
        <w:rPr>
          <w:rFonts w:ascii="Barlow Semi Condensed" w:cs="Barlow Semi Condensed" w:eastAsia="Barlow Semi Condensed" w:hAnsi="Barlow Semi Condensed"/>
          <w:sz w:val="24"/>
          <w:szCs w:val="24"/>
        </w:rPr>
        <w:t xml:space="preserve">Capitolo XII — Le Brigate Rosse: autonomia accertata di un'organizzazione armata</w:t>
      </w:r>
    </w:p>
    <w:p>
      <w:pPr>
        <w:spacing w:after="120" w:line="276"/>
        <w:jc w:val="both"/>
      </w:pPr>
      <w:r>
        <w:rPr>
          <w:rFonts w:ascii="Barlow Semi Condensed" w:cs="Barlow Semi Condensed" w:eastAsia="Barlow Semi Condensed" w:hAnsi="Barlow Semi Condensed"/>
          <w:sz w:val="24"/>
          <w:szCs w:val="24"/>
        </w:rPr>
        <w:t xml:space="preserve">La genealogia documentata: il CPM dell'8 settembre 1969, la scissione, il nucleo storico; e la regola che governa ogni riga — l'organizzazione è un fatto storico, la colpa è delle persone giudicate. → </w:t>
      </w:r>
      <w:r>
        <w:rPr>
          <w:rFonts w:ascii="Barlow Semi Condensed" w:cs="Barlow Semi Condensed" w:eastAsia="Barlow Semi Condensed" w:hAnsi="Barlow Semi Condensed"/>
          <w:i/>
          <w:iCs/>
          <w:sz w:val="24"/>
          <w:szCs w:val="24"/>
        </w:rPr>
        <w:t xml:space="preserve">Documenti: `triangolazione-condannati-corpus.md` (T-1, T-4); `ceppo-simioni-cpm-superclan-hyperion.md` (capp. III-IV); Fase decima, cap. 78.</w:t>
      </w:r>
    </w:p>
    <w:p>
      <w:pPr>
        <w:pStyle w:val="Heading3"/>
        <w:spacing w:after="80" w:before="160"/>
      </w:pPr>
      <w:r>
        <w:rPr>
          <w:rFonts w:ascii="Barlow Semi Condensed" w:cs="Barlow Semi Condensed" w:eastAsia="Barlow Semi Condensed" w:hAnsi="Barlow Semi Condensed"/>
          <w:sz w:val="24"/>
          <w:szCs w:val="24"/>
        </w:rPr>
        <w:t xml:space="preserve">Capitolo XIII — Il bersaglio: perché Moro</w:t>
      </w:r>
    </w:p>
    <w:p>
      <w:pPr>
        <w:spacing w:after="120" w:line="276"/>
        <w:jc w:val="both"/>
      </w:pPr>
      <w:r>
        <w:rPr>
          <w:rFonts w:ascii="Barlow Semi Condensed" w:cs="Barlow Semi Condensed" w:eastAsia="Barlow Semi Condensed" w:hAnsi="Barlow Semi Condensed"/>
          <w:sz w:val="24"/>
          <w:szCs w:val="24"/>
        </w:rPr>
        <w:t xml:space="preserve">La ragione umana e politica per cui fu colpito: l'ostacolo alla guerra che altri volevano. Grado dichiarato: la lettura è </w:t>
      </w:r>
      <w:r>
        <w:rPr>
          <w:rFonts w:ascii="Barlow Semi Condensed" w:cs="Barlow Semi Condensed" w:eastAsia="Barlow Semi Condensed" w:hAnsi="Barlow Semi Condensed"/>
          <w:b/>
          <w:bCs/>
          <w:sz w:val="24"/>
          <w:szCs w:val="24"/>
        </w:rPr>
        <w:t xml:space="preserve">convergenza documentata</w:t>
      </w:r>
      <w:r>
        <w:rPr>
          <w:rFonts w:ascii="Barlow Semi Condensed" w:cs="Barlow Semi Condensed" w:eastAsia="Barlow Semi Condensed" w:hAnsi="Barlow Semi Condensed"/>
          <w:sz w:val="24"/>
          <w:szCs w:val="24"/>
        </w:rPr>
        <w:t xml:space="preserve">, non nesso causale provato oltre il giudicato. → </w:t>
      </w:r>
      <w:r>
        <w:rPr>
          <w:rFonts w:ascii="Barlow Semi Condensed" w:cs="Barlow Semi Condensed" w:eastAsia="Barlow Semi Condensed" w:hAnsi="Barlow Semi Condensed"/>
          <w:i/>
          <w:iCs/>
          <w:sz w:val="24"/>
          <w:szCs w:val="24"/>
        </w:rPr>
        <w:t xml:space="preserve">Documenti: Fase ottava, cap. 67; Dal Che a Moro, bilancio finale.</w:t>
      </w:r>
    </w:p>
    <w:p>
      <w:pPr>
        <w:spacing w:after="120" w:line="276"/>
        <w:jc w:val="both"/>
      </w:pPr>
      <w:r>
        <w:rPr>
          <w:rFonts w:ascii="Barlow Semi Condensed" w:cs="Barlow Semi Condensed" w:eastAsia="Barlow Semi Condensed" w:hAnsi="Barlow Semi Condensed"/>
          <w:b/>
          <w:bCs/>
          <w:sz w:val="24"/>
          <w:szCs w:val="24"/>
        </w:rPr>
        <w:t xml:space="preserve">Blocco mirato numero duecentouno — Griglia della Fase seconda · Fonte.</w:t>
      </w:r>
      <w:r>
        <w:rPr>
          <w:rFonts w:ascii="Barlow Semi Condensed" w:cs="Barlow Semi Condensed" w:eastAsia="Barlow Semi Condensed" w:hAnsi="Barlow Semi Condensed"/>
          <w:sz w:val="24"/>
          <w:szCs w:val="24"/>
        </w:rPr>
        <w:t xml:space="preserve"> Atti comunitari con Gazzetta ufficiale, FRUS desecretati, edizione digitale delle carte Moro, storiografia accademica (Imperato/Milano/Monzali) — tutte con indirizzo nella cartella Farnesina.</w:t>
      </w:r>
    </w:p>
    <w:p>
      <w:pPr>
        <w:spacing w:after="120" w:line="276"/>
        <w:jc w:val="both"/>
      </w:pPr>
      <w:r>
        <w:rPr>
          <w:rFonts w:ascii="Barlow Semi Condensed" w:cs="Barlow Semi Condensed" w:eastAsia="Barlow Semi Condensed" w:hAnsi="Barlow Semi Condensed"/>
          <w:b/>
          <w:bCs/>
          <w:sz w:val="24"/>
          <w:szCs w:val="24"/>
        </w:rPr>
        <w:t xml:space="preserve">Blocco mirato numero duecentodue — Falsificatore.</w:t>
      </w:r>
      <w:r>
        <w:rPr>
          <w:rFonts w:ascii="Barlow Semi Condensed" w:cs="Barlow Semi Condensed" w:eastAsia="Barlow Semi Condensed" w:hAnsi="Barlow Semi Condensed"/>
          <w:sz w:val="24"/>
          <w:szCs w:val="24"/>
        </w:rPr>
        <w:t xml:space="preserve"> La lettura del «bersaglio» cadrebbe se emergesse un giudicato o un documento primario che attribuisse il movente ad altro disegno: non è emerso; la lettura resta convergenza.</w:t>
      </w:r>
    </w:p>
    <w:p>
      <w:pPr>
        <w:spacing w:after="120" w:line="276"/>
        <w:jc w:val="both"/>
      </w:pPr>
      <w:r>
        <w:rPr>
          <w:rFonts w:ascii="Barlow Semi Condensed" w:cs="Barlow Semi Condensed" w:eastAsia="Barlow Semi Condensed" w:hAnsi="Barlow Semi Condensed"/>
          <w:b/>
          <w:bCs/>
          <w:sz w:val="24"/>
          <w:szCs w:val="24"/>
        </w:rPr>
        <w:t xml:space="preserve">Blocco mirato numero duecentotré — Obiezione.</w:t>
      </w:r>
      <w:r>
        <w:rPr>
          <w:rFonts w:ascii="Barlow Semi Condensed" w:cs="Barlow Semi Condensed" w:eastAsia="Barlow Semi Condensed" w:hAnsi="Barlow Semi Condensed"/>
          <w:sz w:val="24"/>
          <w:szCs w:val="24"/>
        </w:rPr>
        <w:t xml:space="preserve"> Che il «perché» sia inconoscibile per principio. Risposta: il corpus non afferma il perché; documenta il campo di forze e dichiara il grado.</w:t>
      </w:r>
    </w:p>
    <w:p>
      <w:pPr>
        <w:spacing w:after="120" w:line="276"/>
        <w:jc w:val="both"/>
      </w:pPr>
      <w:r>
        <w:rPr>
          <w:rFonts w:ascii="Barlow Semi Condensed" w:cs="Barlow Semi Condensed" w:eastAsia="Barlow Semi Condensed" w:hAnsi="Barlow Semi Condensed"/>
          <w:b/>
          <w:bCs/>
          <w:sz w:val="24"/>
          <w:szCs w:val="24"/>
        </w:rPr>
        <w:t xml:space="preserve">Blocco mirato numero duecentoquattro — Comparazione.</w:t>
      </w:r>
      <w:r>
        <w:rPr>
          <w:rFonts w:ascii="Barlow Semi Condensed" w:cs="Barlow Semi Condensed" w:eastAsia="Barlow Semi Condensed" w:hAnsi="Barlow Semi Condensed"/>
          <w:sz w:val="24"/>
          <w:szCs w:val="24"/>
        </w:rPr>
        <w:t xml:space="preserve"> Il campo di forze attorno a Moro è trattato col metodo usato per il campo attorno a Guevara nel 1967: ambienti documentati, regia non affermata.</w:t>
      </w:r>
    </w:p>
    <w:p>
      <w:pPr>
        <w:spacing w:after="120" w:line="276"/>
        <w:jc w:val="both"/>
      </w:pPr>
      <w:r>
        <w:rPr>
          <w:rFonts w:ascii="Barlow Semi Condensed" w:cs="Barlow Semi Condensed" w:eastAsia="Barlow Semi Condensed" w:hAnsi="Barlow Semi Condensed"/>
          <w:b/>
          <w:bCs/>
          <w:sz w:val="24"/>
          <w:szCs w:val="24"/>
        </w:rPr>
        <w:t xml:space="preserve">Blocco mirato numero duecentocinque — Domanda aperta.</w:t>
      </w:r>
      <w:r>
        <w:rPr>
          <w:rFonts w:ascii="Barlow Semi Condensed" w:cs="Barlow Semi Condensed" w:eastAsia="Barlow Semi Condensed" w:hAnsi="Barlow Semi Condensed"/>
          <w:sz w:val="24"/>
          <w:szCs w:val="24"/>
        </w:rPr>
        <w:t xml:space="preserve"> Se la politica mediterranea (il lodo) abbia pesato sul caso: i documenti mancanti sono censiti nella cartella Farnesina, con le sedi di chiusura.</w:t>
      </w:r>
    </w:p>
    <w:p>
      <w:pPr>
        <w:pBdr>
          <w:bottom w:val="single" w:color="999999" w:sz="6" w:space="1"/>
        </w:pBdr>
        <w:spacing w:after="80"/>
      </w:pPr>
    </w:p>
    <w:p>
      <w:pPr>
        <w:pStyle w:val="Heading1"/>
        <w:spacing w:after="120" w:before="240"/>
      </w:pPr>
      <w:r>
        <w:rPr>
          <w:rFonts w:ascii="Barlow Semi Condensed" w:cs="Barlow Semi Condensed" w:eastAsia="Barlow Semi Condensed" w:hAnsi="Barlow Semi Condensed"/>
          <w:sz w:val="24"/>
          <w:szCs w:val="24"/>
        </w:rPr>
        <w:t xml:space="preserve">FASE TERZA — IL CASO</w:t>
      </w:r>
    </w:p>
    <w:p>
      <w:pPr>
        <w:spacing w:after="120" w:line="276"/>
        <w:jc w:val="both"/>
      </w:pPr>
      <w:r>
        <w:rPr>
          <w:rFonts w:ascii="Barlow Semi Condensed" w:cs="Barlow Semi Condensed" w:eastAsia="Barlow Semi Condensed" w:hAnsi="Barlow Semi Condensed"/>
          <w:i/>
          <w:iCs/>
          <w:sz w:val="24"/>
          <w:szCs w:val="24"/>
        </w:rPr>
        <w:t xml:space="preserve">l'agguato, la prigionia, il nove maggio, sotto la medesima disciplina</w:t>
      </w:r>
    </w:p>
    <w:p>
      <w:pPr>
        <w:pStyle w:val="Heading3"/>
        <w:spacing w:after="80" w:before="160"/>
      </w:pPr>
      <w:r>
        <w:rPr>
          <w:rFonts w:ascii="Barlow Semi Condensed" w:cs="Barlow Semi Condensed" w:eastAsia="Barlow Semi Condensed" w:hAnsi="Barlow Semi Condensed"/>
          <w:sz w:val="24"/>
          <w:szCs w:val="24"/>
        </w:rPr>
        <w:t xml:space="preserve">Capitolo XIV — La mattina del sedici marzo e la meccanica di via Fani</w:t>
      </w:r>
    </w:p>
    <w:p>
      <w:pPr>
        <w:spacing w:after="120" w:line="276"/>
        <w:jc w:val="both"/>
      </w:pPr>
      <w:r>
        <w:rPr>
          <w:rFonts w:ascii="Barlow Semi Condensed" w:cs="Barlow Semi Condensed" w:eastAsia="Barlow Semi Condensed" w:hAnsi="Barlow Semi Condensed"/>
          <w:sz w:val="24"/>
          <w:szCs w:val="24"/>
        </w:rPr>
        <w:t xml:space="preserve">L'agguato, il rapimento, lo sterminio della scorta: il giudicato come pavimento. → </w:t>
      </w:r>
      <w:r>
        <w:rPr>
          <w:rFonts w:ascii="Barlow Semi Condensed" w:cs="Barlow Semi Condensed" w:eastAsia="Barlow Semi Condensed" w:hAnsi="Barlow Semi Condensed"/>
          <w:i/>
          <w:iCs/>
          <w:sz w:val="24"/>
          <w:szCs w:val="24"/>
        </w:rPr>
        <w:t xml:space="preserve">Documenti: Fase nona, capp. 68 e 71; Fase settima, cap. 56.</w:t>
      </w:r>
    </w:p>
    <w:p>
      <w:pPr>
        <w:pStyle w:val="Heading3"/>
        <w:spacing w:after="80" w:before="160"/>
      </w:pPr>
      <w:r>
        <w:rPr>
          <w:rFonts w:ascii="Barlow Semi Condensed" w:cs="Barlow Semi Condensed" w:eastAsia="Barlow Semi Condensed" w:hAnsi="Barlow Semi Condensed"/>
          <w:sz w:val="24"/>
          <w:szCs w:val="24"/>
        </w:rPr>
        <w:t xml:space="preserve">Capitolo XV — I cinque della scorta: nomi, vite, memoria</w:t>
      </w:r>
    </w:p>
    <w:p>
      <w:pPr>
        <w:spacing w:after="120" w:line="276"/>
        <w:jc w:val="both"/>
      </w:pPr>
      <w:r>
        <w:rPr>
          <w:rFonts w:ascii="Barlow Semi Condensed" w:cs="Barlow Semi Condensed" w:eastAsia="Barlow Semi Condensed" w:hAnsi="Barlow Semi Condensed"/>
          <w:b/>
          <w:bCs/>
          <w:sz w:val="24"/>
          <w:szCs w:val="24"/>
        </w:rPr>
        <w:t xml:space="preserve">Oreste Leonardi, Domenico Ricci, Giulio Rivera, Francesco Zizzi, Raffaele Iozzino</w:t>
      </w:r>
      <w:r>
        <w:rPr>
          <w:rFonts w:ascii="Barlow Semi Condensed" w:cs="Barlow Semi Condensed" w:eastAsia="Barlow Semi Condensed" w:hAnsi="Barlow Semi Condensed"/>
          <w:sz w:val="24"/>
          <w:szCs w:val="24"/>
        </w:rPr>
        <w:t xml:space="preserve">: in testa al repertorio, non in fondo — con Moro, le sei vittime del caso. → </w:t>
      </w:r>
      <w:r>
        <w:rPr>
          <w:rFonts w:ascii="Barlow Semi Condensed" w:cs="Barlow Semi Condensed" w:eastAsia="Barlow Semi Condensed" w:hAnsi="Barlow Semi Condensed"/>
          <w:i/>
          <w:iCs/>
          <w:sz w:val="24"/>
          <w:szCs w:val="24"/>
        </w:rPr>
        <w:t xml:space="preserve">Documenti: Fase nona, cap. 69.</w:t>
      </w:r>
    </w:p>
    <w:p>
      <w:pPr>
        <w:pStyle w:val="Heading3"/>
        <w:spacing w:after="80" w:before="160"/>
      </w:pPr>
      <w:r>
        <w:rPr>
          <w:rFonts w:ascii="Barlow Semi Condensed" w:cs="Barlow Semi Condensed" w:eastAsia="Barlow Semi Condensed" w:hAnsi="Barlow Semi Condensed"/>
          <w:sz w:val="24"/>
          <w:szCs w:val="24"/>
        </w:rPr>
        <w:t xml:space="preserve">Capitolo XVI — Le questioni aperte di via Fani</w:t>
      </w:r>
    </w:p>
    <w:p>
      <w:pPr>
        <w:spacing w:after="120" w:line="276"/>
        <w:jc w:val="both"/>
      </w:pPr>
      <w:r>
        <w:rPr>
          <w:rFonts w:ascii="Barlow Semi Condensed" w:cs="Barlow Semi Condensed" w:eastAsia="Barlow Semi Condensed" w:hAnsi="Barlow Semi Condensed"/>
          <w:sz w:val="24"/>
          <w:szCs w:val="24"/>
        </w:rPr>
        <w:t xml:space="preserve">Le due moto e i quattro «centauri» (grado B, Commissione Moro 2), i testimoni De Chiara e Marini uditi per la prima volta dopo quarant'anni. → </w:t>
      </w:r>
      <w:r>
        <w:rPr>
          <w:rFonts w:ascii="Barlow Semi Condensed" w:cs="Barlow Semi Condensed" w:eastAsia="Barlow Semi Condensed" w:hAnsi="Barlow Semi Condensed"/>
          <w:i/>
          <w:iCs/>
          <w:sz w:val="24"/>
          <w:szCs w:val="24"/>
        </w:rPr>
        <w:t xml:space="preserve">Documenti: Fase settima, cap. 58; Fase nona, cap. 75.</w:t>
      </w:r>
    </w:p>
    <w:p>
      <w:pPr>
        <w:pStyle w:val="Heading3"/>
        <w:spacing w:after="80" w:before="160"/>
      </w:pPr>
      <w:r>
        <w:rPr>
          <w:rFonts w:ascii="Barlow Semi Condensed" w:cs="Barlow Semi Condensed" w:eastAsia="Barlow Semi Condensed" w:hAnsi="Barlow Semi Condensed"/>
          <w:sz w:val="24"/>
          <w:szCs w:val="24"/>
        </w:rPr>
        <w:t xml:space="preserve">Capitolo XVII — La prigionia: cinquantacinque giorni</w:t>
      </w:r>
    </w:p>
    <w:p>
      <w:pPr>
        <w:spacing w:after="120" w:line="276"/>
        <w:jc w:val="both"/>
      </w:pPr>
      <w:r>
        <w:rPr>
          <w:rFonts w:ascii="Barlow Semi Condensed" w:cs="Barlow Semi Condensed" w:eastAsia="Barlow Semi Condensed" w:hAnsi="Barlow Semi Condensed"/>
          <w:sz w:val="24"/>
          <w:szCs w:val="24"/>
        </w:rPr>
        <w:t xml:space="preserve">Via Montalcini unica prigione accertata; la «seconda prigione» al grado C; la cronologia dei comunicati. → </w:t>
      </w:r>
      <w:r>
        <w:rPr>
          <w:rFonts w:ascii="Barlow Semi Condensed" w:cs="Barlow Semi Condensed" w:eastAsia="Barlow Semi Condensed" w:hAnsi="Barlow Semi Condensed"/>
          <w:i/>
          <w:iCs/>
          <w:sz w:val="24"/>
          <w:szCs w:val="24"/>
        </w:rPr>
        <w:t xml:space="preserve">Documenti: Fase nona, capp. 68 e 71; Fase settima.</w:t>
      </w:r>
    </w:p>
    <w:p>
      <w:pPr>
        <w:pStyle w:val="Heading3"/>
        <w:spacing w:after="80" w:before="160"/>
      </w:pPr>
      <w:r>
        <w:rPr>
          <w:rFonts w:ascii="Barlow Semi Condensed" w:cs="Barlow Semi Condensed" w:eastAsia="Barlow Semi Condensed" w:hAnsi="Barlow Semi Condensed"/>
          <w:sz w:val="24"/>
          <w:szCs w:val="24"/>
        </w:rPr>
        <w:t xml:space="preserve">Capitolo XVIII — Le lettere: il registro politico e il registro umano</w:t>
      </w:r>
    </w:p>
    <w:p>
      <w:pPr>
        <w:spacing w:after="120" w:line="276"/>
        <w:jc w:val="both"/>
      </w:pPr>
      <w:r>
        <w:rPr>
          <w:rFonts w:ascii="Barlow Semi Condensed" w:cs="Barlow Semi Condensed" w:eastAsia="Barlow Semi Condensed" w:hAnsi="Barlow Semi Condensed"/>
          <w:sz w:val="24"/>
          <w:szCs w:val="24"/>
        </w:rPr>
        <w:t xml:space="preserve">Le circa novanta-novantasette lettere: esistenza e mano al grado A, condizioni di scrittura al grado B, statuto umano nel ritratto. → </w:t>
      </w:r>
      <w:r>
        <w:rPr>
          <w:rFonts w:ascii="Barlow Semi Condensed" w:cs="Barlow Semi Condensed" w:eastAsia="Barlow Semi Condensed" w:hAnsi="Barlow Semi Condensed"/>
          <w:i/>
          <w:iCs/>
          <w:sz w:val="24"/>
          <w:szCs w:val="24"/>
        </w:rPr>
        <w:t xml:space="preserve">Documenti: Fase nona, cap. 72; Fase ottava, cap. 66.</w:t>
      </w:r>
    </w:p>
    <w:p>
      <w:pPr>
        <w:pStyle w:val="Heading3"/>
        <w:spacing w:after="80" w:before="160"/>
      </w:pPr>
      <w:r>
        <w:rPr>
          <w:rFonts w:ascii="Barlow Semi Condensed" w:cs="Barlow Semi Condensed" w:eastAsia="Barlow Semi Condensed" w:hAnsi="Barlow Semi Condensed"/>
          <w:sz w:val="24"/>
          <w:szCs w:val="24"/>
        </w:rPr>
        <w:t xml:space="preserve">Capitolo XIX — Il memoriale e la sua sorte</w:t>
      </w:r>
    </w:p>
    <w:p>
      <w:pPr>
        <w:spacing w:after="120" w:line="276"/>
        <w:jc w:val="both"/>
      </w:pPr>
      <w:r>
        <w:rPr>
          <w:rFonts w:ascii="Barlow Semi Condensed" w:cs="Barlow Semi Condensed" w:eastAsia="Barlow Semi Condensed" w:hAnsi="Barlow Semi Condensed"/>
          <w:sz w:val="24"/>
          <w:szCs w:val="24"/>
        </w:rPr>
        <w:t xml:space="preserve">I due tempi di via Monte Nevoso (1978 e 1990); il Memoriale Morucci come </w:t>
      </w:r>
      <w:r>
        <w:rPr>
          <w:rFonts w:ascii="Barlow Semi Condensed" w:cs="Barlow Semi Condensed" w:eastAsia="Barlow Semi Condensed" w:hAnsi="Barlow Semi Condensed"/>
          <w:b/>
          <w:bCs/>
          <w:sz w:val="24"/>
          <w:szCs w:val="24"/>
        </w:rPr>
        <w:t xml:space="preserve">testo negoziato</w:t>
      </w:r>
      <w:r>
        <w:rPr>
          <w:rFonts w:ascii="Barlow Semi Condensed" w:cs="Barlow Semi Condensed" w:eastAsia="Barlow Semi Condensed" w:hAnsi="Barlow Semi Condensed"/>
          <w:sz w:val="24"/>
          <w:szCs w:val="24"/>
        </w:rPr>
        <w:t xml:space="preserve"> degli anni Ottanta (grado B); la completezza aperta (C); e la persona del registro che ve lo depositò. → </w:t>
      </w:r>
      <w:r>
        <w:rPr>
          <w:rFonts w:ascii="Barlow Semi Condensed" w:cs="Barlow Semi Condensed" w:eastAsia="Barlow Semi Condensed" w:hAnsi="Barlow Semi Condensed"/>
          <w:i/>
          <w:iCs/>
          <w:sz w:val="24"/>
          <w:szCs w:val="24"/>
        </w:rPr>
        <w:t xml:space="preserve">Documenti: Fase settima, cap. 59; Fase nona, cap. 72; `triangolazione-condannati-corpus.md`, T-3.</w:t>
      </w:r>
    </w:p>
    <w:p>
      <w:pPr>
        <w:pStyle w:val="Heading3"/>
        <w:spacing w:after="80" w:before="160"/>
      </w:pPr>
      <w:r>
        <w:rPr>
          <w:rFonts w:ascii="Barlow Semi Condensed" w:cs="Barlow Semi Condensed" w:eastAsia="Barlow Semi Condensed" w:hAnsi="Barlow Semi Condensed"/>
          <w:sz w:val="24"/>
          <w:szCs w:val="24"/>
        </w:rPr>
        <w:t xml:space="preserve">Capitolo XX — Fermezza e trattativa; il nove maggio</w:t>
      </w:r>
    </w:p>
    <w:p>
      <w:pPr>
        <w:spacing w:after="120" w:line="276"/>
        <w:jc w:val="both"/>
      </w:pPr>
      <w:r>
        <w:rPr>
          <w:rFonts w:ascii="Barlow Semi Condensed" w:cs="Barlow Semi Condensed" w:eastAsia="Barlow Semi Condensed" w:hAnsi="Barlow Semi Condensed"/>
          <w:sz w:val="24"/>
          <w:szCs w:val="24"/>
        </w:rPr>
        <w:t xml:space="preserve">Le due linee, i canali documentati (il PSI, Pace-Piperno verso Morucci e Faranda), la lettera di Paolo VI; via Caetani. → </w:t>
      </w:r>
      <w:r>
        <w:rPr>
          <w:rFonts w:ascii="Barlow Semi Condensed" w:cs="Barlow Semi Condensed" w:eastAsia="Barlow Semi Condensed" w:hAnsi="Barlow Semi Condensed"/>
          <w:i/>
          <w:iCs/>
          <w:sz w:val="24"/>
          <w:szCs w:val="24"/>
        </w:rPr>
        <w:t xml:space="preserve">Documenti: Parte terza, cap. VI; Fase nona, capp. 68 e 74; `triangolazione-condannati-corpus.md`, T-2.</w:t>
      </w:r>
    </w:p>
    <w:p>
      <w:pPr>
        <w:spacing w:after="120" w:line="276"/>
        <w:jc w:val="both"/>
      </w:pPr>
      <w:r>
        <w:rPr>
          <w:rFonts w:ascii="Barlow Semi Condensed" w:cs="Barlow Semi Condensed" w:eastAsia="Barlow Semi Condensed" w:hAnsi="Barlow Semi Condensed"/>
          <w:b/>
          <w:bCs/>
          <w:sz w:val="24"/>
          <w:szCs w:val="24"/>
        </w:rPr>
        <w:t xml:space="preserve">Blocco mirato numero trecentouno — Griglia della Fase terza · Fonte.</w:t>
      </w:r>
      <w:r>
        <w:rPr>
          <w:rFonts w:ascii="Barlow Semi Condensed" w:cs="Barlow Semi Condensed" w:eastAsia="Barlow Semi Condensed" w:hAnsi="Barlow Semi Condensed"/>
          <w:sz w:val="24"/>
          <w:szCs w:val="24"/>
        </w:rPr>
        <w:t xml:space="preserve"> Sentenze dei cinque processi (Questione Giustizia), relazione della Commissione Moro 2 (6/12/2017), Ministero dell'Interno per le vittime.</w:t>
      </w:r>
    </w:p>
    <w:p>
      <w:pPr>
        <w:spacing w:after="120" w:line="276"/>
        <w:jc w:val="both"/>
      </w:pPr>
      <w:r>
        <w:rPr>
          <w:rFonts w:ascii="Barlow Semi Condensed" w:cs="Barlow Semi Condensed" w:eastAsia="Barlow Semi Condensed" w:hAnsi="Barlow Semi Condensed"/>
          <w:b/>
          <w:bCs/>
          <w:sz w:val="24"/>
          <w:szCs w:val="24"/>
        </w:rPr>
        <w:t xml:space="preserve">Blocco mirato numero trecentodue — Falsificatore.</w:t>
      </w:r>
      <w:r>
        <w:rPr>
          <w:rFonts w:ascii="Barlow Semi Condensed" w:cs="Barlow Semi Condensed" w:eastAsia="Barlow Semi Condensed" w:hAnsi="Barlow Semi Condensed"/>
          <w:sz w:val="24"/>
          <w:szCs w:val="24"/>
        </w:rPr>
        <w:t xml:space="preserve"> La ricostruzione cadrebbe punto per punto solo contro documenti di pari rango del giudicato; le questioni aperte hanno ciascuna il proprio criterio dichiarato nei capitoli d'origine.</w:t>
      </w:r>
    </w:p>
    <w:p>
      <w:pPr>
        <w:spacing w:after="120" w:line="276"/>
        <w:jc w:val="both"/>
      </w:pPr>
      <w:r>
        <w:rPr>
          <w:rFonts w:ascii="Barlow Semi Condensed" w:cs="Barlow Semi Condensed" w:eastAsia="Barlow Semi Condensed" w:hAnsi="Barlow Semi Condensed"/>
          <w:b/>
          <w:bCs/>
          <w:sz w:val="24"/>
          <w:szCs w:val="24"/>
        </w:rPr>
        <w:t xml:space="preserve">Blocco mirato numero trecentotré — Obiezione.</w:t>
      </w:r>
      <w:r>
        <w:rPr>
          <w:rFonts w:ascii="Barlow Semi Condensed" w:cs="Barlow Semi Condensed" w:eastAsia="Barlow Semi Condensed" w:hAnsi="Barlow Semi Condensed"/>
          <w:sz w:val="24"/>
          <w:szCs w:val="24"/>
        </w:rPr>
        <w:t xml:space="preserve"> Che il pavimento giudiziario sia esso stesso «verità dicibile». Risposta: la formula è della Commissione (grado B) e il corpus la registra senza usarla per sciogliere ciò che essa non scioglie.</w:t>
      </w:r>
    </w:p>
    <w:p>
      <w:pPr>
        <w:spacing w:after="120" w:line="276"/>
        <w:jc w:val="both"/>
      </w:pPr>
      <w:r>
        <w:rPr>
          <w:rFonts w:ascii="Barlow Semi Condensed" w:cs="Barlow Semi Condensed" w:eastAsia="Barlow Semi Condensed" w:hAnsi="Barlow Semi Condensed"/>
          <w:b/>
          <w:bCs/>
          <w:sz w:val="24"/>
          <w:szCs w:val="24"/>
        </w:rPr>
        <w:t xml:space="preserve">Blocco mirato numero trecentoquattro — Comparazione.</w:t>
      </w:r>
      <w:r>
        <w:rPr>
          <w:rFonts w:ascii="Barlow Semi Condensed" w:cs="Barlow Semi Condensed" w:eastAsia="Barlow Semi Condensed" w:hAnsi="Barlow Semi Condensed"/>
          <w:sz w:val="24"/>
          <w:szCs w:val="24"/>
        </w:rPr>
        <w:t xml:space="preserve"> I cinquantacinque giorni sono trattati con la disciplina del registro, come la campagna boliviana nel fronte guevariano: cronologia prima, interpretazione poi.</w:t>
      </w:r>
    </w:p>
    <w:p>
      <w:pPr>
        <w:spacing w:after="120" w:line="276"/>
        <w:jc w:val="both"/>
      </w:pPr>
      <w:r>
        <w:rPr>
          <w:rFonts w:ascii="Barlow Semi Condensed" w:cs="Barlow Semi Condensed" w:eastAsia="Barlow Semi Condensed" w:hAnsi="Barlow Semi Condensed"/>
          <w:b/>
          <w:bCs/>
          <w:sz w:val="24"/>
          <w:szCs w:val="24"/>
        </w:rPr>
        <w:t xml:space="preserve">Blocco mirato numero trecentocinque — Domanda aperta.</w:t>
      </w:r>
      <w:r>
        <w:rPr>
          <w:rFonts w:ascii="Barlow Semi Condensed" w:cs="Barlow Semi Condensed" w:eastAsia="Barlow Semi Condensed" w:hAnsi="Barlow Semi Condensed"/>
          <w:sz w:val="24"/>
          <w:szCs w:val="24"/>
        </w:rPr>
        <w:t xml:space="preserve"> La completezza del memoriale: che cosa manchi, e se manchi, resta indeterminato — grado C, dichiarato.</w:t>
      </w:r>
    </w:p>
    <w:p>
      <w:pPr>
        <w:pBdr>
          <w:bottom w:val="single" w:color="999999" w:sz="6" w:space="1"/>
        </w:pBdr>
        <w:spacing w:after="80"/>
      </w:pPr>
    </w:p>
    <w:p>
      <w:pPr>
        <w:pStyle w:val="Heading1"/>
        <w:spacing w:after="120" w:before="240"/>
      </w:pPr>
      <w:r>
        <w:rPr>
          <w:rFonts w:ascii="Barlow Semi Condensed" w:cs="Barlow Semi Condensed" w:eastAsia="Barlow Semi Condensed" w:hAnsi="Barlow Semi Condensed"/>
          <w:sz w:val="24"/>
          <w:szCs w:val="24"/>
        </w:rPr>
        <w:t xml:space="preserve">FASE QUARTA — OMISSIONI, COLLUSIONI, INSABBIAMENTI</w:t>
      </w:r>
    </w:p>
    <w:p>
      <w:pPr>
        <w:spacing w:after="120" w:line="276"/>
        <w:jc w:val="both"/>
      </w:pPr>
      <w:r>
        <w:rPr>
          <w:rFonts w:ascii="Barlow Semi Condensed" w:cs="Barlow Semi Condensed" w:eastAsia="Barlow Semi Condensed" w:hAnsi="Barlow Semi Condensed"/>
          <w:i/>
          <w:iCs/>
          <w:sz w:val="24"/>
          <w:szCs w:val="24"/>
        </w:rPr>
        <w:t xml:space="preserve">l'inventario delle ombre, ultimo territorio del Pollo di Popper</w:t>
      </w:r>
    </w:p>
    <w:p>
      <w:pPr>
        <w:pStyle w:val="Heading3"/>
        <w:spacing w:after="80" w:before="160"/>
      </w:pPr>
      <w:r>
        <w:rPr>
          <w:rFonts w:ascii="Barlow Semi Condensed" w:cs="Barlow Semi Condensed" w:eastAsia="Barlow Semi Condensed" w:hAnsi="Barlow Semi Condensed"/>
          <w:sz w:val="24"/>
          <w:szCs w:val="24"/>
        </w:rPr>
        <w:t xml:space="preserve">Capitolo XXI — La macchina delle ricerche e il suo fallimento</w:t>
      </w:r>
    </w:p>
    <w:p>
      <w:pPr>
        <w:spacing w:after="120" w:line="276"/>
        <w:jc w:val="both"/>
      </w:pPr>
      <w:r>
        <w:rPr>
          <w:rFonts w:ascii="Barlow Semi Condensed" w:cs="Barlow Semi Condensed" w:eastAsia="Barlow Semi Condensed" w:hAnsi="Barlow Semi Condensed"/>
          <w:sz w:val="24"/>
          <w:szCs w:val="24"/>
        </w:rPr>
        <w:t xml:space="preserve">La cronologia dei mancati rinvenimenti (grado A); dolo contro inefficienza: non deciso (C). → </w:t>
      </w:r>
      <w:r>
        <w:rPr>
          <w:rFonts w:ascii="Barlow Semi Condensed" w:cs="Barlow Semi Condensed" w:eastAsia="Barlow Semi Condensed" w:hAnsi="Barlow Semi Condensed"/>
          <w:i/>
          <w:iCs/>
          <w:sz w:val="24"/>
          <w:szCs w:val="24"/>
        </w:rPr>
        <w:t xml:space="preserve">Documenti: Parte terza, cap. VII; Fase settima, tavola di raccordo.</w:t>
      </w:r>
    </w:p>
    <w:p>
      <w:pPr>
        <w:pStyle w:val="Heading3"/>
        <w:spacing w:after="80" w:before="160"/>
      </w:pPr>
      <w:r>
        <w:rPr>
          <w:rFonts w:ascii="Barlow Semi Condensed" w:cs="Barlow Semi Condensed" w:eastAsia="Barlow Semi Condensed" w:hAnsi="Barlow Semi Condensed"/>
          <w:sz w:val="24"/>
          <w:szCs w:val="24"/>
        </w:rPr>
        <w:t xml:space="preserve">Capitolo XXII — Via Gradoli</w:t>
      </w:r>
    </w:p>
    <w:p>
      <w:pPr>
        <w:spacing w:after="120" w:line="276"/>
        <w:jc w:val="both"/>
      </w:pPr>
      <w:r>
        <w:rPr>
          <w:rFonts w:ascii="Barlow Semi Condensed" w:cs="Barlow Semi Condensed" w:eastAsia="Barlow Semi Condensed" w:hAnsi="Barlow Semi Condensed"/>
          <w:sz w:val="24"/>
          <w:szCs w:val="24"/>
        </w:rPr>
        <w:t xml:space="preserve">Il covo, la scoperta del 18 aprile, la «seduta spiritica»: la coincidenza che né i processi né due Commissioni hanno spiegato. → </w:t>
      </w:r>
      <w:r>
        <w:rPr>
          <w:rFonts w:ascii="Barlow Semi Condensed" w:cs="Barlow Semi Condensed" w:eastAsia="Barlow Semi Condensed" w:hAnsi="Barlow Semi Condensed"/>
          <w:i/>
          <w:iCs/>
          <w:sz w:val="24"/>
          <w:szCs w:val="24"/>
        </w:rPr>
        <w:t xml:space="preserve">Documenti: Parte terza, cap. V; Fase settima, cap. 60.</w:t>
      </w:r>
    </w:p>
    <w:p>
      <w:pPr>
        <w:pStyle w:val="Heading3"/>
        <w:spacing w:after="80" w:before="160"/>
      </w:pPr>
      <w:r>
        <w:rPr>
          <w:rFonts w:ascii="Barlow Semi Condensed" w:cs="Barlow Semi Condensed" w:eastAsia="Barlow Semi Condensed" w:hAnsi="Barlow Semi Condensed"/>
          <w:sz w:val="24"/>
          <w:szCs w:val="24"/>
        </w:rPr>
        <w:t xml:space="preserve">Capitolo XXIII — Il falso comunicato del lago della Duchessa</w:t>
      </w:r>
    </w:p>
    <w:p>
      <w:pPr>
        <w:spacing w:after="120" w:line="276"/>
        <w:jc w:val="both"/>
      </w:pPr>
      <w:r>
        <w:rPr>
          <w:rFonts w:ascii="Barlow Semi Condensed" w:cs="Barlow Semi Condensed" w:eastAsia="Barlow Semi Condensed" w:hAnsi="Barlow Semi Condensed"/>
          <w:sz w:val="24"/>
          <w:szCs w:val="24"/>
        </w:rPr>
        <w:t xml:space="preserve">Il falso è accertato (A); la sua funzione — chi e perché — resta C. → </w:t>
      </w:r>
      <w:r>
        <w:rPr>
          <w:rFonts w:ascii="Barlow Semi Condensed" w:cs="Barlow Semi Condensed" w:eastAsia="Barlow Semi Condensed" w:hAnsi="Barlow Semi Condensed"/>
          <w:i/>
          <w:iCs/>
          <w:sz w:val="24"/>
          <w:szCs w:val="24"/>
        </w:rPr>
        <w:t xml:space="preserve">Documenti: Parte terza; Fase nona, cap. 75.</w:t>
      </w:r>
    </w:p>
    <w:p>
      <w:pPr>
        <w:pStyle w:val="Heading3"/>
        <w:spacing w:after="80" w:before="160"/>
      </w:pPr>
      <w:r>
        <w:rPr>
          <w:rFonts w:ascii="Barlow Semi Condensed" w:cs="Barlow Semi Condensed" w:eastAsia="Barlow Semi Condensed" w:hAnsi="Barlow Semi Condensed"/>
          <w:sz w:val="24"/>
          <w:szCs w:val="24"/>
        </w:rPr>
        <w:t xml:space="preserve">Capitolo XXIV — Le commissioni d'inchiesta e la non unanimità</w:t>
      </w:r>
    </w:p>
    <w:p>
      <w:pPr>
        <w:spacing w:after="120" w:line="276"/>
        <w:jc w:val="both"/>
      </w:pPr>
      <w:r>
        <w:rPr>
          <w:rFonts w:ascii="Barlow Semi Condensed" w:cs="Barlow Semi Condensed" w:eastAsia="Barlow Semi Condensed" w:hAnsi="Barlow Semi Condensed"/>
          <w:sz w:val="24"/>
          <w:szCs w:val="24"/>
        </w:rPr>
        <w:t xml:space="preserve">Che cosa pesa un accertamento parlamentare; la Moro 2, le due moto, il nodo del 18 aprile non sciolto, la «verità dicibile». → </w:t>
      </w:r>
      <w:r>
        <w:rPr>
          <w:rFonts w:ascii="Barlow Semi Condensed" w:cs="Barlow Semi Condensed" w:eastAsia="Barlow Semi Condensed" w:hAnsi="Barlow Semi Condensed"/>
          <w:i/>
          <w:iCs/>
          <w:sz w:val="24"/>
          <w:szCs w:val="24"/>
        </w:rPr>
        <w:t xml:space="preserve">Documenti: Fase settima, capp. 57-61.</w:t>
      </w:r>
    </w:p>
    <w:p>
      <w:pPr>
        <w:pStyle w:val="Heading3"/>
        <w:spacing w:after="80" w:before="160"/>
      </w:pPr>
      <w:r>
        <w:rPr>
          <w:rFonts w:ascii="Barlow Semi Condensed" w:cs="Barlow Semi Condensed" w:eastAsia="Barlow Semi Condensed" w:hAnsi="Barlow Semi Condensed"/>
          <w:sz w:val="24"/>
          <w:szCs w:val="24"/>
        </w:rPr>
        <w:t xml:space="preserve">Capitolo XXV — Gli Stati Zero del caso: il perimetro negativo</w:t>
      </w:r>
    </w:p>
    <w:p>
      <w:pPr>
        <w:spacing w:after="120" w:line="276"/>
        <w:jc w:val="both"/>
      </w:pPr>
      <w:r>
        <w:rPr>
          <w:rFonts w:ascii="Barlow Semi Condensed" w:cs="Barlow Semi Condensed" w:eastAsia="Barlow Semi Condensed" w:hAnsi="Barlow Semi Condensed"/>
          <w:sz w:val="24"/>
          <w:szCs w:val="24"/>
        </w:rPr>
        <w:t xml:space="preserve">Gli esiti negativi come acquisizioni: le assenze documentate del corpus (dall'Opus Dei nei versanti orientali della cartella Farnesina alle triangolazioni vuote della prosopografia) e il loro valore di metodo. → </w:t>
      </w:r>
      <w:r>
        <w:rPr>
          <w:rFonts w:ascii="Barlow Semi Condensed" w:cs="Barlow Semi Condensed" w:eastAsia="Barlow Semi Condensed" w:hAnsi="Barlow Semi Condensed"/>
          <w:i/>
          <w:iCs/>
          <w:sz w:val="24"/>
          <w:szCs w:val="24"/>
        </w:rPr>
        <w:t xml:space="preserve">Documenti: cartella `moro-ministro-esteri/`; `triangolazione-condannati-corpus.md`, esiti negativi.</w:t>
      </w:r>
    </w:p>
    <w:p>
      <w:pPr>
        <w:pStyle w:val="Heading3"/>
        <w:spacing w:after="80" w:before="160"/>
      </w:pPr>
      <w:r>
        <w:rPr>
          <w:rFonts w:ascii="Barlow Semi Condensed" w:cs="Barlow Semi Condensed" w:eastAsia="Barlow Semi Condensed" w:hAnsi="Barlow Semi Condensed"/>
          <w:sz w:val="24"/>
          <w:szCs w:val="24"/>
        </w:rPr>
        <w:t xml:space="preserve">Capitolo XXVI — Il confine del metodo</w:t>
      </w:r>
    </w:p>
    <w:p>
      <w:pPr>
        <w:spacing w:after="120" w:line="276"/>
        <w:jc w:val="both"/>
      </w:pPr>
      <w:r>
        <w:rPr>
          <w:rFonts w:ascii="Barlow Semi Condensed" w:cs="Barlow Semi Condensed" w:eastAsia="Barlow Semi Condensed" w:hAnsi="Barlow Semi Condensed"/>
          <w:sz w:val="24"/>
          <w:szCs w:val="24"/>
        </w:rPr>
        <w:t xml:space="preserve">Dove il Pollo di Popper si arresta: l'inventario delle ombre non autorizza il salto al colpevole; il quadro internazionale (Hyperion) con il suo esito liberatorio è il caso di scuola. → </w:t>
      </w:r>
      <w:r>
        <w:rPr>
          <w:rFonts w:ascii="Barlow Semi Condensed" w:cs="Barlow Semi Condensed" w:eastAsia="Barlow Semi Condensed" w:hAnsi="Barlow Semi Condensed"/>
          <w:i/>
          <w:iCs/>
          <w:sz w:val="24"/>
          <w:szCs w:val="24"/>
        </w:rPr>
        <w:t xml:space="preserve">Documenti: `triangolazione-hyperion-corpus.md`; `ceppo-simioni-cpm-superclan-hyperion.md`.</w:t>
      </w:r>
    </w:p>
    <w:p>
      <w:pPr>
        <w:spacing w:after="120" w:line="276"/>
        <w:jc w:val="both"/>
      </w:pPr>
      <w:r>
        <w:rPr>
          <w:rFonts w:ascii="Barlow Semi Condensed" w:cs="Barlow Semi Condensed" w:eastAsia="Barlow Semi Condensed" w:hAnsi="Barlow Semi Condensed"/>
          <w:b/>
          <w:bCs/>
          <w:sz w:val="24"/>
          <w:szCs w:val="24"/>
        </w:rPr>
        <w:t xml:space="preserve">Blocco mirato numero quattrocentouno — Griglia della Fase quarta · Fonte.</w:t>
      </w:r>
      <w:r>
        <w:rPr>
          <w:rFonts w:ascii="Barlow Semi Condensed" w:cs="Barlow Semi Condensed" w:eastAsia="Barlow Semi Condensed" w:hAnsi="Barlow Semi Condensed"/>
          <w:sz w:val="24"/>
          <w:szCs w:val="24"/>
        </w:rPr>
        <w:t xml:space="preserve"> Atti delle Commissioni, sentenze, e per Hyperion i nove nodi HY-1…HY-9 con indirizzo.</w:t>
      </w:r>
    </w:p>
    <w:p>
      <w:pPr>
        <w:spacing w:after="120" w:line="276"/>
        <w:jc w:val="both"/>
      </w:pPr>
      <w:r>
        <w:rPr>
          <w:rFonts w:ascii="Barlow Semi Condensed" w:cs="Barlow Semi Condensed" w:eastAsia="Barlow Semi Condensed" w:hAnsi="Barlow Semi Condensed"/>
          <w:b/>
          <w:bCs/>
          <w:sz w:val="24"/>
          <w:szCs w:val="24"/>
        </w:rPr>
        <w:t xml:space="preserve">Blocco mirato numero quattrocentodue — Falsificatore.</w:t>
      </w:r>
      <w:r>
        <w:rPr>
          <w:rFonts w:ascii="Barlow Semi Condensed" w:cs="Barlow Semi Condensed" w:eastAsia="Barlow Semi Condensed" w:hAnsi="Barlow Semi Condensed"/>
          <w:sz w:val="24"/>
          <w:szCs w:val="24"/>
        </w:rPr>
        <w:t xml:space="preserve"> Ogni ombra dell'inventario cadrebbe con la spiegazione documentale che ancora manca; il corpus censisce per ciascuna la sede dove cercarla.</w:t>
      </w:r>
    </w:p>
    <w:p>
      <w:pPr>
        <w:spacing w:after="120" w:line="276"/>
        <w:jc w:val="both"/>
      </w:pPr>
      <w:r>
        <w:rPr>
          <w:rFonts w:ascii="Barlow Semi Condensed" w:cs="Barlow Semi Condensed" w:eastAsia="Barlow Semi Condensed" w:hAnsi="Barlow Semi Condensed"/>
          <w:b/>
          <w:bCs/>
          <w:sz w:val="24"/>
          <w:szCs w:val="24"/>
        </w:rPr>
        <w:t xml:space="preserve">Blocco mirato numero quattrocentotré — Obiezione.</w:t>
      </w:r>
      <w:r>
        <w:rPr>
          <w:rFonts w:ascii="Barlow Semi Condensed" w:cs="Barlow Semi Condensed" w:eastAsia="Barlow Semi Condensed" w:hAnsi="Barlow Semi Condensed"/>
          <w:sz w:val="24"/>
          <w:szCs w:val="24"/>
        </w:rPr>
        <w:t xml:space="preserve"> Che l'inventario delle ombre alimenti la dietrologia. Risposta: l'inventario è ciò che la sostituisce — ombre censite col grado, non romanzate.</w:t>
      </w:r>
    </w:p>
    <w:p>
      <w:pPr>
        <w:spacing w:after="120" w:line="276"/>
        <w:jc w:val="both"/>
      </w:pPr>
      <w:r>
        <w:rPr>
          <w:rFonts w:ascii="Barlow Semi Condensed" w:cs="Barlow Semi Condensed" w:eastAsia="Barlow Semi Condensed" w:hAnsi="Barlow Semi Condensed"/>
          <w:b/>
          <w:bCs/>
          <w:sz w:val="24"/>
          <w:szCs w:val="24"/>
        </w:rPr>
        <w:t xml:space="preserve">Blocco mirato numero quattrocentoquattro — Comparazione.</w:t>
      </w:r>
      <w:r>
        <w:rPr>
          <w:rFonts w:ascii="Barlow Semi Condensed" w:cs="Barlow Semi Condensed" w:eastAsia="Barlow Semi Condensed" w:hAnsi="Barlow Semi Condensed"/>
          <w:sz w:val="24"/>
          <w:szCs w:val="24"/>
        </w:rPr>
        <w:t xml:space="preserve"> Il perimetro negativo è costruito come le tavole delle «acquisizioni non conseguite» delle ricognizioni diplomatiche: ogni mancanza con la sua sede di chiusura.</w:t>
      </w:r>
    </w:p>
    <w:p>
      <w:pPr>
        <w:spacing w:after="120" w:line="276"/>
        <w:jc w:val="both"/>
      </w:pPr>
      <w:r>
        <w:rPr>
          <w:rFonts w:ascii="Barlow Semi Condensed" w:cs="Barlow Semi Condensed" w:eastAsia="Barlow Semi Condensed" w:hAnsi="Barlow Semi Condensed"/>
          <w:b/>
          <w:bCs/>
          <w:sz w:val="24"/>
          <w:szCs w:val="24"/>
        </w:rPr>
        <w:t xml:space="preserve">Blocco mirato numero quattrocentocinque — Domanda aperta.</w:t>
      </w:r>
      <w:r>
        <w:rPr>
          <w:rFonts w:ascii="Barlow Semi Condensed" w:cs="Barlow Semi Condensed" w:eastAsia="Barlow Semi Condensed" w:hAnsi="Barlow Semi Condensed"/>
          <w:sz w:val="24"/>
          <w:szCs w:val="24"/>
        </w:rPr>
        <w:t xml:space="preserve"> L'ampiezza dell'indicibile: per definizione non misurabile; si dichiara e non si stima.</w:t>
      </w:r>
    </w:p>
    <w:p>
      <w:pPr>
        <w:pBdr>
          <w:bottom w:val="single" w:color="999999" w:sz="6" w:space="1"/>
        </w:pBdr>
        <w:spacing w:after="80"/>
      </w:pPr>
    </w:p>
    <w:p>
      <w:pPr>
        <w:pStyle w:val="Heading1"/>
        <w:spacing w:after="120" w:before="240"/>
      </w:pPr>
      <w:r>
        <w:rPr>
          <w:rFonts w:ascii="Barlow Semi Condensed" w:cs="Barlow Semi Condensed" w:eastAsia="Barlow Semi Condensed" w:hAnsi="Barlow Semi Condensed"/>
          <w:sz w:val="24"/>
          <w:szCs w:val="24"/>
        </w:rPr>
        <w:t xml:space="preserve">FASE QUINTA — ARCHITETTI, MANDANTI, ESECUTORI</w:t>
      </w:r>
    </w:p>
    <w:p>
      <w:pPr>
        <w:spacing w:after="120" w:line="276"/>
        <w:jc w:val="both"/>
      </w:pPr>
      <w:r>
        <w:rPr>
          <w:rFonts w:ascii="Barlow Semi Condensed" w:cs="Barlow Semi Condensed" w:eastAsia="Barlow Semi Condensed" w:hAnsi="Barlow Semi Condensed"/>
          <w:i/>
          <w:iCs/>
          <w:sz w:val="24"/>
          <w:szCs w:val="24"/>
        </w:rPr>
        <w:t xml:space="preserve">dove il Dossier maggiore congeda il Pollo di Popper — e il branch pubblico, per statuto, non lo congeda</w:t>
      </w:r>
    </w:p>
    <w:p>
      <w:pPr>
        <w:spacing w:after="120" w:line="276"/>
        <w:jc w:val="both"/>
      </w:pPr>
      <w:r>
        <w:rPr>
          <w:rFonts w:ascii="Barlow Semi Condensed" w:cs="Barlow Semi Condensed" w:eastAsia="Barlow Semi Condensed" w:hAnsi="Barlow Semi Condensed"/>
          <w:b/>
          <w:bCs/>
          <w:sz w:val="24"/>
          <w:szCs w:val="24"/>
        </w:rPr>
        <w:t xml:space="preserve">Blocco mirato numero cinquecentouno — La divergenza costitutiva.</w:t>
      </w:r>
      <w:r>
        <w:rPr>
          <w:rFonts w:ascii="Barlow Semi Condensed" w:cs="Barlow Semi Condensed" w:eastAsia="Barlow Semi Condensed" w:hAnsi="Barlow Semi Condensed"/>
          <w:sz w:val="24"/>
          <w:szCs w:val="24"/>
        </w:rPr>
        <w:t xml:space="preserve"> Nel Dossier maggiore questa Fase muta metodo: dalla sospensione alla probabilità, dieci strumenti di calcolo, la sintesi dei tre piani, la graduatoria con premessa garantista. Il branch pubblico </w:t>
      </w:r>
      <w:r>
        <w:rPr>
          <w:rFonts w:ascii="Barlow Semi Condensed" w:cs="Barlow Semi Condensed" w:eastAsia="Barlow Semi Condensed" w:hAnsi="Barlow Semi Condensed"/>
          <w:b/>
          <w:bCs/>
          <w:sz w:val="24"/>
          <w:szCs w:val="24"/>
        </w:rPr>
        <w:t xml:space="preserve">non riproduce quel congedo</w:t>
      </w:r>
      <w:r>
        <w:rPr>
          <w:rFonts w:ascii="Barlow Semi Condensed" w:cs="Barlow Semi Condensed" w:eastAsia="Barlow Semi Condensed" w:hAnsi="Barlow Semi Condensed"/>
          <w:sz w:val="24"/>
          <w:szCs w:val="24"/>
        </w:rPr>
        <w:t xml:space="preserve">: qui il Pollo di Popper non è licenziato, e la Fase quinta è riscritta col solo materiale che il regime pubblico consente — il giudicato, gli accertamenti, le congetture marcate. Chi cerca la graduatoria sa dove essa vive e sotto quale responsabilità; chi resta qui sa che cosa è provato.</w:t>
      </w:r>
    </w:p>
    <w:p>
      <w:pPr>
        <w:pStyle w:val="Heading3"/>
        <w:spacing w:after="80" w:before="160"/>
      </w:pPr>
      <w:r>
        <w:rPr>
          <w:rFonts w:ascii="Barlow Semi Condensed" w:cs="Barlow Semi Condensed" w:eastAsia="Barlow Semi Condensed" w:hAnsi="Barlow Semi Condensed"/>
          <w:sz w:val="24"/>
          <w:szCs w:val="24"/>
        </w:rPr>
        <w:t xml:space="preserve">Capitolo XXVII — Gli esecutori: il registro personalistico del giudicato</w:t>
      </w:r>
    </w:p>
    <w:p>
      <w:pPr>
        <w:spacing w:after="120" w:line="276"/>
        <w:jc w:val="both"/>
      </w:pPr>
      <w:r>
        <w:rPr>
          <w:rFonts w:ascii="Barlow Semi Condensed" w:cs="Barlow Semi Condensed" w:eastAsia="Barlow Semi Condensed" w:hAnsi="Barlow Semi Condensed"/>
          <w:sz w:val="24"/>
          <w:szCs w:val="24"/>
        </w:rPr>
        <w:t xml:space="preserve">I </w:t>
      </w:r>
      <w:r>
        <w:rPr>
          <w:rFonts w:ascii="Barlow Semi Condensed" w:cs="Barlow Semi Condensed" w:eastAsia="Barlow Semi Condensed" w:hAnsi="Barlow Semi Condensed"/>
          <w:b/>
          <w:bCs/>
          <w:sz w:val="24"/>
          <w:szCs w:val="24"/>
        </w:rPr>
        <w:t xml:space="preserve">tredici</w:t>
      </w:r>
      <w:r>
        <w:rPr>
          <w:rFonts w:ascii="Barlow Semi Condensed" w:cs="Barlow Semi Condensed" w:eastAsia="Barlow Semi Condensed" w:hAnsi="Barlow Semi Condensed"/>
          <w:sz w:val="24"/>
          <w:szCs w:val="24"/>
        </w:rPr>
        <w:t xml:space="preserve"> — Moretti, Gallinari, Morucci, Faranda, Fiore, Bonisoli, Balzerani, Seghetti, Braghetti, Casimirri, Lojacono, Maccari, Etro — ciascuno con la propria condotta e la propria sentenza; il caso Algranati (l'assoluzione che resta assoluzione); i trentadue ergastoli del processone </w:t>
      </w:r>
      <w:r>
        <w:rPr>
          <w:rFonts w:ascii="Barlow Semi Condensed" w:cs="Barlow Semi Condensed" w:eastAsia="Barlow Semi Condensed" w:hAnsi="Barlow Semi Condensed"/>
          <w:b/>
          <w:bCs/>
          <w:sz w:val="24"/>
          <w:szCs w:val="24"/>
        </w:rPr>
        <w:t xml:space="preserve">non</w:t>
      </w:r>
      <w:r>
        <w:rPr>
          <w:rFonts w:ascii="Barlow Semi Condensed" w:cs="Barlow Semi Condensed" w:eastAsia="Barlow Semi Condensed" w:hAnsi="Barlow Semi Condensed"/>
          <w:sz w:val="24"/>
          <w:szCs w:val="24"/>
        </w:rPr>
        <w:t xml:space="preserve"> travasati nel caso. → </w:t>
      </w:r>
      <w:r>
        <w:rPr>
          <w:rFonts w:ascii="Barlow Semi Condensed" w:cs="Barlow Semi Condensed" w:eastAsia="Barlow Semi Condensed" w:hAnsi="Barlow Semi Condensed"/>
          <w:i/>
          <w:iCs/>
          <w:sz w:val="24"/>
          <w:szCs w:val="24"/>
        </w:rPr>
        <w:t xml:space="preserve">Documenti: `aldo-moro-una-guerra-senza-fine-fase-decima-responsabilita-personali.md` (il registro, cap. 79); Fase settima (i cinque processi).</w:t>
      </w:r>
    </w:p>
    <w:p>
      <w:pPr>
        <w:pStyle w:val="Heading3"/>
        <w:spacing w:after="80" w:before="160"/>
      </w:pPr>
      <w:r>
        <w:rPr>
          <w:rFonts w:ascii="Barlow Semi Condensed" w:cs="Barlow Semi Condensed" w:eastAsia="Barlow Semi Condensed" w:hAnsi="Barlow Semi Condensed"/>
          <w:sz w:val="24"/>
          <w:szCs w:val="24"/>
        </w:rPr>
        <w:t xml:space="preserve">Capitolo XXVIII — I «mandanti materiali»: ciò che il giudicato contiene, e nulla oltre</w:t>
      </w:r>
    </w:p>
    <w:p>
      <w:pPr>
        <w:spacing w:after="120" w:line="276"/>
        <w:jc w:val="both"/>
      </w:pPr>
      <w:r>
        <w:rPr>
          <w:rFonts w:ascii="Barlow Semi Condensed" w:cs="Barlow Semi Condensed" w:eastAsia="Barlow Semi Condensed" w:hAnsi="Barlow Semi Condensed"/>
          <w:sz w:val="24"/>
          <w:szCs w:val="24"/>
        </w:rPr>
        <w:t xml:space="preserve">Dentro il giudicato: la </w:t>
      </w:r>
      <w:r>
        <w:rPr>
          <w:rFonts w:ascii="Barlow Semi Condensed" w:cs="Barlow Semi Condensed" w:eastAsia="Barlow Semi Condensed" w:hAnsi="Barlow Semi Condensed"/>
          <w:b/>
          <w:bCs/>
          <w:sz w:val="24"/>
          <w:szCs w:val="24"/>
        </w:rPr>
        <w:t xml:space="preserve">direzione dell'operazione</w:t>
      </w:r>
      <w:r>
        <w:rPr>
          <w:rFonts w:ascii="Barlow Semi Condensed" w:cs="Barlow Semi Condensed" w:eastAsia="Barlow Semi Condensed" w:hAnsi="Barlow Semi Condensed"/>
          <w:sz w:val="24"/>
          <w:szCs w:val="24"/>
        </w:rPr>
        <w:t xml:space="preserve"> è accertata (Moretti, per ammissione recepita), e con essa l'autonomia decisionale dell'organizzazione quale i processi l'hanno stabilita. Oltre il giudicato: </w:t>
      </w:r>
      <w:r>
        <w:rPr>
          <w:rFonts w:ascii="Barlow Semi Condensed" w:cs="Barlow Semi Condensed" w:eastAsia="Barlow Semi Condensed" w:hAnsi="Barlow Semi Condensed"/>
          <w:b/>
          <w:bCs/>
          <w:sz w:val="24"/>
          <w:szCs w:val="24"/>
        </w:rPr>
        <w:t xml:space="preserve">nessun mandante è accertato</w:t>
      </w:r>
      <w:r>
        <w:rPr>
          <w:rFonts w:ascii="Barlow Semi Condensed" w:cs="Barlow Semi Condensed" w:eastAsia="Barlow Semi Condensed" w:hAnsi="Barlow Semi Condensed"/>
          <w:sz w:val="24"/>
          <w:szCs w:val="24"/>
        </w:rPr>
        <w:t xml:space="preserve">, e il corpus non ne nomina. → </w:t>
      </w:r>
      <w:r>
        <w:rPr>
          <w:rFonts w:ascii="Barlow Semi Condensed" w:cs="Barlow Semi Condensed" w:eastAsia="Barlow Semi Condensed" w:hAnsi="Barlow Semi Condensed"/>
          <w:i/>
          <w:iCs/>
          <w:sz w:val="24"/>
          <w:szCs w:val="24"/>
        </w:rPr>
        <w:t xml:space="preserve">Documenti: Fase settima, cap. 56; Fase decima, capp. 77-78.</w:t>
      </w:r>
    </w:p>
    <w:p>
      <w:pPr>
        <w:pStyle w:val="Heading3"/>
        <w:spacing w:after="80" w:before="160"/>
      </w:pPr>
      <w:r>
        <w:rPr>
          <w:rFonts w:ascii="Barlow Semi Condensed" w:cs="Barlow Semi Condensed" w:eastAsia="Barlow Semi Condensed" w:hAnsi="Barlow Semi Condensed"/>
          <w:sz w:val="24"/>
          <w:szCs w:val="24"/>
        </w:rPr>
        <w:t xml:space="preserve">Capitolo XXIX — Gli «architetti»: lo stato reale delle prove</w:t>
      </w:r>
    </w:p>
    <w:p>
      <w:pPr>
        <w:spacing w:after="120" w:line="276"/>
        <w:jc w:val="both"/>
      </w:pPr>
      <w:r>
        <w:rPr>
          <w:rFonts w:ascii="Barlow Semi Condensed" w:cs="Barlow Semi Condensed" w:eastAsia="Barlow Semi Condensed" w:hAnsi="Barlow Semi Condensed"/>
          <w:sz w:val="24"/>
          <w:szCs w:val="24"/>
        </w:rPr>
        <w:t xml:space="preserve">Il piano più alto è, allo stato degli atti, </w:t>
      </w:r>
      <w:r>
        <w:rPr>
          <w:rFonts w:ascii="Barlow Semi Condensed" w:cs="Barlow Semi Condensed" w:eastAsia="Barlow Semi Condensed" w:hAnsi="Barlow Semi Condensed"/>
          <w:b/>
          <w:bCs/>
          <w:sz w:val="24"/>
          <w:szCs w:val="24"/>
        </w:rPr>
        <w:t xml:space="preserve">territorio di congettura</w:t>
      </w:r>
      <w:r>
        <w:rPr>
          <w:rFonts w:ascii="Barlow Semi Condensed" w:cs="Barlow Semi Condensed" w:eastAsia="Barlow Semi Condensed" w:hAnsi="Barlow Semi Condensed"/>
          <w:sz w:val="24"/>
          <w:szCs w:val="24"/>
        </w:rPr>
        <w:t xml:space="preserve">: il quadro internazionale è documentato per fatti singoli (B) e vuoto di nessi provati; Hyperion e il ceppo Simioni si chiudono con proscioglimenti, assoluzioni con formula piena e risarcimenti; la prosopografia dei condannati mostra ponti biografici, mai catene di comando. → </w:t>
      </w:r>
      <w:r>
        <w:rPr>
          <w:rFonts w:ascii="Barlow Semi Condensed" w:cs="Barlow Semi Condensed" w:eastAsia="Barlow Semi Condensed" w:hAnsi="Barlow Semi Condensed"/>
          <w:i/>
          <w:iCs/>
          <w:sz w:val="24"/>
          <w:szCs w:val="24"/>
        </w:rPr>
        <w:t xml:space="preserve">Documenti: `triangolazione-hyperion-corpus.md`; `ceppo-simioni-cpm-superclan-hyperion.md`; `triangolazione-condannati-corpus.md`.</w:t>
      </w:r>
    </w:p>
    <w:p>
      <w:pPr>
        <w:pStyle w:val="Heading3"/>
        <w:spacing w:after="80" w:before="160"/>
      </w:pPr>
      <w:r>
        <w:rPr>
          <w:rFonts w:ascii="Barlow Semi Condensed" w:cs="Barlow Semi Condensed" w:eastAsia="Barlow Semi Condensed" w:hAnsi="Barlow Semi Condensed"/>
          <w:sz w:val="24"/>
          <w:szCs w:val="24"/>
        </w:rPr>
        <w:t xml:space="preserve">Capitolo XXX — Le pene oltre confine: l'esecuzione del giudicato come funzione diplomatica</w:t>
      </w:r>
    </w:p>
    <w:p>
      <w:pPr>
        <w:spacing w:after="120" w:line="276"/>
        <w:jc w:val="both"/>
      </w:pPr>
      <w:r>
        <w:rPr>
          <w:rFonts w:ascii="Barlow Semi Condensed" w:cs="Barlow Semi Condensed" w:eastAsia="Barlow Semi Condensed" w:hAnsi="Barlow Semi Condensed"/>
          <w:sz w:val="24"/>
          <w:szCs w:val="24"/>
        </w:rPr>
        <w:t xml:space="preserve">L'epilogo che il registro impone di scrivere: una sentenza definitiva </w:t>
      </w:r>
      <w:r>
        <w:rPr>
          <w:rFonts w:ascii="Barlow Semi Condensed" w:cs="Barlow Semi Condensed" w:eastAsia="Barlow Semi Condensed" w:hAnsi="Barlow Semi Condensed"/>
          <w:i/>
          <w:iCs/>
          <w:sz w:val="24"/>
          <w:szCs w:val="24"/>
        </w:rPr>
        <w:t xml:space="preserve">accerta</w:t>
      </w:r>
      <w:r>
        <w:rPr>
          <w:rFonts w:ascii="Barlow Semi Condensed" w:cs="Barlow Semi Condensed" w:eastAsia="Barlow Semi Condensed" w:hAnsi="Barlow Semi Condensed"/>
          <w:sz w:val="24"/>
          <w:szCs w:val="24"/>
        </w:rPr>
        <w:t xml:space="preserve"> ovunque, ma </w:t>
      </w:r>
      <w:r>
        <w:rPr>
          <w:rFonts w:ascii="Barlow Semi Condensed" w:cs="Barlow Semi Condensed" w:eastAsia="Barlow Semi Condensed" w:hAnsi="Barlow Semi Condensed"/>
          <w:i/>
          <w:iCs/>
          <w:sz w:val="24"/>
          <w:szCs w:val="24"/>
        </w:rPr>
        <w:t xml:space="preserve">dispone</w:t>
      </w:r>
      <w:r>
        <w:rPr>
          <w:rFonts w:ascii="Barlow Semi Condensed" w:cs="Barlow Semi Condensed" w:eastAsia="Barlow Semi Condensed" w:hAnsi="Barlow Semi Condensed"/>
          <w:sz w:val="24"/>
          <w:szCs w:val="24"/>
        </w:rPr>
        <w:t xml:space="preserve"> solo fino alla frontiera. Due dei tredici non sono mai stati raggiunti dalla pena — Casimirri (Nicaragua, protezione politica) e Lojacono (Svizzera, regola di cittadinanza) — mentre il contro-caso Algranati (Cairo, 2004) mostra che la latitanza è variabile diplomatica, non destino. Attorno, la cornice intera: l'</w:t>
      </w:r>
      <w:r>
        <w:rPr>
          <w:rFonts w:ascii="Barlow Semi Condensed" w:cs="Barlow Semi Condensed" w:eastAsia="Barlow Semi Condensed" w:hAnsi="Barlow Semi Condensed"/>
          <w:b/>
          <w:bCs/>
          <w:sz w:val="24"/>
          <w:szCs w:val="24"/>
        </w:rPr>
        <w:t xml:space="preserve">affaire Mulinaris</w:t>
      </w:r>
      <w:r>
        <w:rPr>
          <w:rFonts w:ascii="Barlow Semi Condensed" w:cs="Barlow Semi Condensed" w:eastAsia="Barlow Semi Condensed" w:hAnsi="Barlow Semi Condensed"/>
          <w:sz w:val="24"/>
          <w:szCs w:val="24"/>
        </w:rPr>
        <w:t xml:space="preserve"> (1982-1986) come rovescio della macchina — l'innocente assolto con formula piena e risarcito; la </w:t>
      </w:r>
      <w:r>
        <w:rPr>
          <w:rFonts w:ascii="Barlow Semi Condensed" w:cs="Barlow Semi Condensed" w:eastAsia="Barlow Semi Condensed" w:hAnsi="Barlow Semi Condensed"/>
          <w:b/>
          <w:bCs/>
          <w:sz w:val="24"/>
          <w:szCs w:val="24"/>
        </w:rPr>
        <w:t xml:space="preserve">dottrina Mitterrand</w:t>
      </w:r>
      <w:r>
        <w:rPr>
          <w:rFonts w:ascii="Barlow Semi Condensed" w:cs="Barlow Semi Condensed" w:eastAsia="Barlow Semi Condensed" w:hAnsi="Barlow Semi Condensed"/>
          <w:sz w:val="24"/>
          <w:szCs w:val="24"/>
        </w:rPr>
        <w:t xml:space="preserve"> (21 aprile 1985) nei suoi tre caratteri — parola mai scritta, condizioni giudicate dal protettore, scudo sull'esecuzione e non sull'accertamento; e l'epilogo </w:t>
      </w:r>
      <w:r>
        <w:rPr>
          <w:rFonts w:ascii="Barlow Semi Condensed" w:cs="Barlow Semi Condensed" w:eastAsia="Barlow Semi Condensed" w:hAnsi="Barlow Semi Condensed"/>
          <w:b/>
          <w:bCs/>
          <w:sz w:val="24"/>
          <w:szCs w:val="24"/>
        </w:rPr>
        <w:t xml:space="preserve">«Ombre rosse»</w:t>
      </w:r>
      <w:r>
        <w:rPr>
          <w:rFonts w:ascii="Barlow Semi Condensed" w:cs="Barlow Semi Condensed" w:eastAsia="Barlow Semi Condensed" w:hAnsi="Barlow Semi Condensed"/>
          <w:sz w:val="24"/>
          <w:szCs w:val="24"/>
        </w:rPr>
        <w:t xml:space="preserve"> (2021) col no definitivo della Cassazione francese (2023), che non tocca il registro del caso. Cinque presidi: l'asilo è atto di chi lo concede; la dottrina non è prova; le sentenze non hanno passaporto, l'esecuzione sì; la geografia non è gerarchia morale; nessun nome oltre il necessario. → </w:t>
      </w:r>
      <w:r>
        <w:rPr>
          <w:rFonts w:ascii="Barlow Semi Condensed" w:cs="Barlow Semi Condensed" w:eastAsia="Barlow Semi Condensed" w:hAnsi="Barlow Semi Condensed"/>
          <w:i/>
          <w:iCs/>
          <w:sz w:val="24"/>
          <w:szCs w:val="24"/>
        </w:rPr>
        <w:t xml:space="preserve">Documenti: `le-pene-oltre-confine-mitterrand-mulinaris.md`; `triangolazione-condannati-corpus.md`, T-5 e T-6; cartella `moro-ministro-esteri/` (la cornice diplomatica).</w:t>
      </w:r>
    </w:p>
    <w:p>
      <w:pPr>
        <w:pStyle w:val="Heading3"/>
        <w:spacing w:after="80" w:before="160"/>
      </w:pPr>
      <w:r>
        <w:rPr>
          <w:rFonts w:ascii="Barlow Semi Condensed" w:cs="Barlow Semi Condensed" w:eastAsia="Barlow Semi Condensed" w:hAnsi="Barlow Semi Condensed"/>
          <w:sz w:val="24"/>
          <w:szCs w:val="24"/>
        </w:rPr>
        <w:t xml:space="preserve">Capitolo XXXI — Congedo</w:t>
      </w:r>
    </w:p>
    <w:p>
      <w:pPr>
        <w:spacing w:after="120" w:line="276"/>
        <w:jc w:val="both"/>
      </w:pPr>
      <w:r>
        <w:rPr>
          <w:rFonts w:ascii="Barlow Semi Condensed" w:cs="Barlow Semi Condensed" w:eastAsia="Barlow Semi Condensed" w:hAnsi="Barlow Semi Condensed"/>
          <w:sz w:val="24"/>
          <w:szCs w:val="24"/>
        </w:rPr>
        <w:t xml:space="preserve">Il congedo del branch pubblico non è una sentenza: è una linea. Sotto la linea, tredici nomi scritti dai giudici e sei vittime scritte per prime; sopra la linea, domande censite col loro grado e i criteri per chiuderle. E oltre la linea delle frontiere, pene ineseguite che non spostano di un grammo l'accertato: la Repubblica chiede nelle forme del diritto, e quando perde, perde nelle forme del diritto — il che la distingue, ancora una volta, dal tribunale del 1926 da cui questo branch è partito. La guerra senza fine continua sopra la linea; l'opera custodisce la linea. → </w:t>
      </w:r>
      <w:r>
        <w:rPr>
          <w:rFonts w:ascii="Barlow Semi Condensed" w:cs="Barlow Semi Condensed" w:eastAsia="Barlow Semi Condensed" w:hAnsi="Barlow Semi Condensed"/>
          <w:i/>
          <w:iCs/>
          <w:sz w:val="24"/>
          <w:szCs w:val="24"/>
        </w:rPr>
        <w:t xml:space="preserve">Documenti: Fase decima, congedo; Fase sesta; `le-pene-oltre-confine-mitterrand-mulinaris.md`, cap. VI.</w:t>
      </w:r>
    </w:p>
    <w:p>
      <w:pPr>
        <w:spacing w:after="120" w:line="276"/>
        <w:jc w:val="both"/>
      </w:pPr>
      <w:r>
        <w:rPr>
          <w:rFonts w:ascii="Barlow Semi Condensed" w:cs="Barlow Semi Condensed" w:eastAsia="Barlow Semi Condensed" w:hAnsi="Barlow Semi Condensed"/>
          <w:b/>
          <w:bCs/>
          <w:sz w:val="24"/>
          <w:szCs w:val="24"/>
        </w:rPr>
        <w:t xml:space="preserve">Blocco mirato numero cinquecentocinquantuno — Griglia della Fase quinta · Fonte.</w:t>
      </w:r>
      <w:r>
        <w:rPr>
          <w:rFonts w:ascii="Barlow Semi Condensed" w:cs="Barlow Semi Condensed" w:eastAsia="Barlow Semi Condensed" w:hAnsi="Barlow Semi Condensed"/>
          <w:sz w:val="24"/>
          <w:szCs w:val="24"/>
        </w:rPr>
        <w:t xml:space="preserve"> Le sentenze dei cinque processi e gli atti richiamati nel registro personalistico, tutti con indirizzo; per l'epilogo delle pene oltre confine, le fonti diplomatiche e giudiziarie verificate nello studio dedicato (dalla dottrina Mitterrand del 21/4/1985 alla Cassazione francese del 2023).</w:t>
      </w:r>
    </w:p>
    <w:p>
      <w:pPr>
        <w:spacing w:after="120" w:line="276"/>
        <w:jc w:val="both"/>
      </w:pPr>
      <w:r>
        <w:rPr>
          <w:rFonts w:ascii="Barlow Semi Condensed" w:cs="Barlow Semi Condensed" w:eastAsia="Barlow Semi Condensed" w:hAnsi="Barlow Semi Condensed"/>
          <w:b/>
          <w:bCs/>
          <w:sz w:val="24"/>
          <w:szCs w:val="24"/>
        </w:rPr>
        <w:t xml:space="preserve">Blocco mirato numero cinquecentocinquantadue — Falsificatore.</w:t>
      </w:r>
      <w:r>
        <w:rPr>
          <w:rFonts w:ascii="Barlow Semi Condensed" w:cs="Barlow Semi Condensed" w:eastAsia="Barlow Semi Condensed" w:hAnsi="Barlow Semi Condensed"/>
          <w:sz w:val="24"/>
          <w:szCs w:val="24"/>
        </w:rPr>
        <w:t xml:space="preserve"> Il registro si amplierebbe solo per nuovo giudicato; i piani superiori cambierebbero grado solo per i documenti primari che i criteri di smentita esigono — in quarant'anni non emersi.</w:t>
      </w:r>
    </w:p>
    <w:p>
      <w:pPr>
        <w:spacing w:after="120" w:line="276"/>
        <w:jc w:val="both"/>
      </w:pPr>
      <w:r>
        <w:rPr>
          <w:rFonts w:ascii="Barlow Semi Condensed" w:cs="Barlow Semi Condensed" w:eastAsia="Barlow Semi Condensed" w:hAnsi="Barlow Semi Condensed"/>
          <w:b/>
          <w:bCs/>
          <w:sz w:val="24"/>
          <w:szCs w:val="24"/>
        </w:rPr>
        <w:t xml:space="preserve">Blocco mirato numero cinquecentocinquantatré — Obiezione.</w:t>
      </w:r>
      <w:r>
        <w:rPr>
          <w:rFonts w:ascii="Barlow Semi Condensed" w:cs="Barlow Semi Condensed" w:eastAsia="Barlow Semi Condensed" w:hAnsi="Barlow Semi Condensed"/>
          <w:sz w:val="24"/>
          <w:szCs w:val="24"/>
        </w:rPr>
        <w:t xml:space="preserve"> Che fermarsi al giudicato sia reticenza. Risposta: è il contrario della reticenza — è dire esattamente fin dove arriva la prova, e dichiarare dove vive ciò che la oltrepassa.</w:t>
      </w:r>
    </w:p>
    <w:p>
      <w:pPr>
        <w:spacing w:after="120" w:line="276"/>
        <w:jc w:val="both"/>
      </w:pPr>
      <w:r>
        <w:rPr>
          <w:rFonts w:ascii="Barlow Semi Condensed" w:cs="Barlow Semi Condensed" w:eastAsia="Barlow Semi Condensed" w:hAnsi="Barlow Semi Condensed"/>
          <w:b/>
          <w:bCs/>
          <w:sz w:val="24"/>
          <w:szCs w:val="24"/>
        </w:rPr>
        <w:t xml:space="preserve">Blocco mirato numero cinquecentocinquantaquattro — Comparazione.</w:t>
      </w:r>
      <w:r>
        <w:rPr>
          <w:rFonts w:ascii="Barlow Semi Condensed" w:cs="Barlow Semi Condensed" w:eastAsia="Barlow Semi Condensed" w:hAnsi="Barlow Semi Condensed"/>
          <w:sz w:val="24"/>
          <w:szCs w:val="24"/>
        </w:rPr>
        <w:t xml:space="preserve"> La Fase quinta pubblica sta al Dossier maggiore come l'edizione critica sta al manoscritto: stessa opera, regimi di prova dichiarati e diversi.</w:t>
      </w:r>
    </w:p>
    <w:p>
      <w:pPr>
        <w:spacing w:after="120" w:line="276"/>
        <w:jc w:val="both"/>
      </w:pPr>
      <w:r>
        <w:rPr>
          <w:rFonts w:ascii="Barlow Semi Condensed" w:cs="Barlow Semi Condensed" w:eastAsia="Barlow Semi Condensed" w:hAnsi="Barlow Semi Condensed"/>
          <w:b/>
          <w:bCs/>
          <w:sz w:val="24"/>
          <w:szCs w:val="24"/>
        </w:rPr>
        <w:t xml:space="preserve">Blocco mirato numero cinquecentocinquantacinque — Domanda aperta.</w:t>
      </w:r>
      <w:r>
        <w:rPr>
          <w:rFonts w:ascii="Barlow Semi Condensed" w:cs="Barlow Semi Condensed" w:eastAsia="Barlow Semi Condensed" w:hAnsi="Barlow Semi Condensed"/>
          <w:sz w:val="24"/>
          <w:szCs w:val="24"/>
        </w:rPr>
        <w:t xml:space="preserve"> Se mai un documento primario scioglierà i piani superiori: la sede è negli archivi censiti dal corpus, non nella somma delle suggestioni.</w:t>
      </w:r>
    </w:p>
    <w:p>
      <w:pPr>
        <w:pBdr>
          <w:bottom w:val="single" w:color="999999" w:sz="6" w:space="1"/>
        </w:pBdr>
        <w:spacing w:after="80"/>
      </w:pPr>
    </w:p>
    <w:p>
      <w:pPr>
        <w:pStyle w:val="Heading1"/>
        <w:spacing w:after="120" w:before="240"/>
      </w:pPr>
      <w:r>
        <w:rPr>
          <w:rFonts w:ascii="Barlow Semi Condensed" w:cs="Barlow Semi Condensed" w:eastAsia="Barlow Semi Condensed" w:hAnsi="Barlow Semi Condensed"/>
          <w:sz w:val="24"/>
          <w:szCs w:val="24"/>
        </w:rPr>
        <w:t xml:space="preserve">Le serie di servizio</w:t>
      </w:r>
    </w:p>
    <w:p>
      <w:pPr>
        <w:pStyle w:val="Heading2"/>
        <w:spacing w:after="100" w:before="200"/>
      </w:pPr>
      <w:r>
        <w:rPr>
          <w:rFonts w:ascii="Barlow Semi Condensed" w:cs="Barlow Semi Condensed" w:eastAsia="Barlow Semi Condensed" w:hAnsi="Barlow Semi Condensed"/>
          <w:sz w:val="24"/>
          <w:szCs w:val="24"/>
        </w:rPr>
        <w:t xml:space="preserve">Serie sesta — Registro cronologico essenziale (blocchi 801-812)</w:t>
      </w:r>
    </w:p>
    <w:p>
      <w:pPr>
        <w:spacing w:after="120" w:line="276"/>
        <w:jc w:val="both"/>
      </w:pPr>
      <w:r>
        <w:rPr>
          <w:rFonts w:ascii="Barlow Semi Condensed" w:cs="Barlow Semi Condensed" w:eastAsia="Barlow Semi Condensed" w:hAnsi="Barlow Semi Condensed"/>
          <w:b/>
          <w:bCs/>
          <w:sz w:val="24"/>
          <w:szCs w:val="24"/>
        </w:rPr>
        <w:t xml:space="preserve">801.</w:t>
      </w:r>
      <w:r>
        <w:rPr>
          <w:rFonts w:ascii="Barlow Semi Condensed" w:cs="Barlow Semi Condensed" w:eastAsia="Barlow Semi Condensed" w:hAnsi="Barlow Semi Condensed"/>
          <w:sz w:val="24"/>
          <w:szCs w:val="24"/>
        </w:rPr>
        <w:t xml:space="preserve"> 23 settembre 1916 — nasce Aldo Moro a Maglie (F). </w:t>
      </w:r>
      <w:r>
        <w:rPr>
          <w:rFonts w:ascii="Barlow Semi Condensed" w:cs="Barlow Semi Condensed" w:eastAsia="Barlow Semi Condensed" w:hAnsi="Barlow Semi Condensed"/>
          <w:b/>
          <w:bCs/>
          <w:sz w:val="24"/>
          <w:szCs w:val="24"/>
        </w:rPr>
        <w:t xml:space="preserve">802.</w:t>
      </w:r>
      <w:r>
        <w:rPr>
          <w:rFonts w:ascii="Barlow Semi Condensed" w:cs="Barlow Semi Condensed" w:eastAsia="Barlow Semi Condensed" w:hAnsi="Barlow Semi Condensed"/>
          <w:sz w:val="24"/>
          <w:szCs w:val="24"/>
        </w:rPr>
        <w:t xml:space="preserve"> 15 giugno 1969 — Bari, la «strategia dell'attenzione» (F). </w:t>
      </w:r>
      <w:r>
        <w:rPr>
          <w:rFonts w:ascii="Barlow Semi Condensed" w:cs="Barlow Semi Condensed" w:eastAsia="Barlow Semi Condensed" w:hAnsi="Barlow Semi Condensed"/>
          <w:b/>
          <w:bCs/>
          <w:sz w:val="24"/>
          <w:szCs w:val="24"/>
        </w:rPr>
        <w:t xml:space="preserve">803.</w:t>
      </w:r>
      <w:r>
        <w:rPr>
          <w:rFonts w:ascii="Barlow Semi Condensed" w:cs="Barlow Semi Condensed" w:eastAsia="Barlow Semi Condensed" w:hAnsi="Barlow Semi Condensed"/>
          <w:sz w:val="24"/>
          <w:szCs w:val="24"/>
        </w:rPr>
        <w:t xml:space="preserve"> 8 settembre 1969 — Milano, fondazione del CPM (F). </w:t>
      </w:r>
      <w:r>
        <w:rPr>
          <w:rFonts w:ascii="Barlow Semi Condensed" w:cs="Barlow Semi Condensed" w:eastAsia="Barlow Semi Condensed" w:hAnsi="Barlow Semi Condensed"/>
          <w:b/>
          <w:bCs/>
          <w:sz w:val="24"/>
          <w:szCs w:val="24"/>
        </w:rPr>
        <w:t xml:space="preserve">804.</w:t>
      </w:r>
      <w:r>
        <w:rPr>
          <w:rFonts w:ascii="Barlow Semi Condensed" w:cs="Barlow Semi Condensed" w:eastAsia="Barlow Semi Condensed" w:hAnsi="Barlow Semi Condensed"/>
          <w:sz w:val="24"/>
          <w:szCs w:val="24"/>
        </w:rPr>
        <w:t xml:space="preserve"> 5 agosto 1969 – 23 novembre 1974 — i due mandati di Moro alla Farnesina (F). </w:t>
      </w:r>
      <w:r>
        <w:rPr>
          <w:rFonts w:ascii="Barlow Semi Condensed" w:cs="Barlow Semi Condensed" w:eastAsia="Barlow Semi Condensed" w:hAnsi="Barlow Semi Condensed"/>
          <w:b/>
          <w:bCs/>
          <w:sz w:val="24"/>
          <w:szCs w:val="24"/>
        </w:rPr>
        <w:t xml:space="preserve">805.</w:t>
      </w:r>
      <w:r>
        <w:rPr>
          <w:rFonts w:ascii="Barlow Semi Condensed" w:cs="Barlow Semi Condensed" w:eastAsia="Barlow Semi Condensed" w:hAnsi="Barlow Semi Condensed"/>
          <w:sz w:val="24"/>
          <w:szCs w:val="24"/>
        </w:rPr>
        <w:t xml:space="preserve"> 27 luglio 1971 — firma dell'Accordo provvisorio CEE-Turchia (A/F). </w:t>
      </w:r>
      <w:r>
        <w:rPr>
          <w:rFonts w:ascii="Barlow Semi Condensed" w:cs="Barlow Semi Condensed" w:eastAsia="Barlow Semi Condensed" w:hAnsi="Barlow Semi Condensed"/>
          <w:b/>
          <w:bCs/>
          <w:sz w:val="24"/>
          <w:szCs w:val="24"/>
        </w:rPr>
        <w:t xml:space="preserve">806.</w:t>
      </w:r>
      <w:r>
        <w:rPr>
          <w:rFonts w:ascii="Barlow Semi Condensed" w:cs="Barlow Semi Condensed" w:eastAsia="Barlow Semi Condensed" w:hAnsi="Barlow Semi Condensed"/>
          <w:sz w:val="24"/>
          <w:szCs w:val="24"/>
        </w:rPr>
        <w:t xml:space="preserve"> 1° agosto 1975 — Atto finale di Helsinki: le tre firme convergenti (F). </w:t>
      </w:r>
      <w:r>
        <w:rPr>
          <w:rFonts w:ascii="Barlow Semi Condensed" w:cs="Barlow Semi Condensed" w:eastAsia="Barlow Semi Condensed" w:hAnsi="Barlow Semi Condensed"/>
          <w:b/>
          <w:bCs/>
          <w:sz w:val="24"/>
          <w:szCs w:val="24"/>
        </w:rPr>
        <w:t xml:space="preserve">807.</w:t>
      </w:r>
      <w:r>
        <w:rPr>
          <w:rFonts w:ascii="Barlow Semi Condensed" w:cs="Barlow Semi Condensed" w:eastAsia="Barlow Semi Condensed" w:hAnsi="Barlow Semi Condensed"/>
          <w:sz w:val="24"/>
          <w:szCs w:val="24"/>
        </w:rPr>
        <w:t xml:space="preserve"> 16 marzo 1978 — via Fani (A). </w:t>
      </w:r>
      <w:r>
        <w:rPr>
          <w:rFonts w:ascii="Barlow Semi Condensed" w:cs="Barlow Semi Condensed" w:eastAsia="Barlow Semi Condensed" w:hAnsi="Barlow Semi Condensed"/>
          <w:b/>
          <w:bCs/>
          <w:sz w:val="24"/>
          <w:szCs w:val="24"/>
        </w:rPr>
        <w:t xml:space="preserve">808.</w:t>
      </w:r>
      <w:r>
        <w:rPr>
          <w:rFonts w:ascii="Barlow Semi Condensed" w:cs="Barlow Semi Condensed" w:eastAsia="Barlow Semi Condensed" w:hAnsi="Barlow Semi Condensed"/>
          <w:sz w:val="24"/>
          <w:szCs w:val="24"/>
        </w:rPr>
        <w:t xml:space="preserve"> 18 aprile 1978 — il falso della Duchessa; via Gradoli (A/B). </w:t>
      </w:r>
      <w:r>
        <w:rPr>
          <w:rFonts w:ascii="Barlow Semi Condensed" w:cs="Barlow Semi Condensed" w:eastAsia="Barlow Semi Condensed" w:hAnsi="Barlow Semi Condensed"/>
          <w:b/>
          <w:bCs/>
          <w:sz w:val="24"/>
          <w:szCs w:val="24"/>
        </w:rPr>
        <w:t xml:space="preserve">809.</w:t>
      </w:r>
      <w:r>
        <w:rPr>
          <w:rFonts w:ascii="Barlow Semi Condensed" w:cs="Barlow Semi Condensed" w:eastAsia="Barlow Semi Condensed" w:hAnsi="Barlow Semi Condensed"/>
          <w:sz w:val="24"/>
          <w:szCs w:val="24"/>
        </w:rPr>
        <w:t xml:space="preserve"> 9 maggio 1978 — via Caetani (A). </w:t>
      </w:r>
      <w:r>
        <w:rPr>
          <w:rFonts w:ascii="Barlow Semi Condensed" w:cs="Barlow Semi Condensed" w:eastAsia="Barlow Semi Condensed" w:hAnsi="Barlow Semi Condensed"/>
          <w:b/>
          <w:bCs/>
          <w:sz w:val="24"/>
          <w:szCs w:val="24"/>
        </w:rPr>
        <w:t xml:space="preserve">810.</w:t>
      </w:r>
      <w:r>
        <w:rPr>
          <w:rFonts w:ascii="Barlow Semi Condensed" w:cs="Barlow Semi Condensed" w:eastAsia="Barlow Semi Condensed" w:hAnsi="Barlow Semi Condensed"/>
          <w:sz w:val="24"/>
          <w:szCs w:val="24"/>
        </w:rPr>
        <w:t xml:space="preserve"> 1° ottobre 1978 — via Monte Nevoso, primo ritrovamento (A). </w:t>
      </w:r>
      <w:r>
        <w:rPr>
          <w:rFonts w:ascii="Barlow Semi Condensed" w:cs="Barlow Semi Condensed" w:eastAsia="Barlow Semi Condensed" w:hAnsi="Barlow Semi Condensed"/>
          <w:b/>
          <w:bCs/>
          <w:sz w:val="24"/>
          <w:szCs w:val="24"/>
        </w:rPr>
        <w:t xml:space="preserve">811.</w:t>
      </w:r>
      <w:r>
        <w:rPr>
          <w:rFonts w:ascii="Barlow Semi Condensed" w:cs="Barlow Semi Condensed" w:eastAsia="Barlow Semi Condensed" w:hAnsi="Barlow Semi Condensed"/>
          <w:sz w:val="24"/>
          <w:szCs w:val="24"/>
        </w:rPr>
        <w:t xml:space="preserve"> 9 ottobre 1990 — Monte Nevoso, i fogli dietro il pannello (A). </w:t>
      </w:r>
      <w:r>
        <w:rPr>
          <w:rFonts w:ascii="Barlow Semi Condensed" w:cs="Barlow Semi Condensed" w:eastAsia="Barlow Semi Condensed" w:hAnsi="Barlow Semi Condensed"/>
          <w:b/>
          <w:bCs/>
          <w:sz w:val="24"/>
          <w:szCs w:val="24"/>
        </w:rPr>
        <w:t xml:space="preserve">812.</w:t>
      </w:r>
      <w:r>
        <w:rPr>
          <w:rFonts w:ascii="Barlow Semi Condensed" w:cs="Barlow Semi Condensed" w:eastAsia="Barlow Semi Condensed" w:hAnsi="Barlow Semi Condensed"/>
          <w:sz w:val="24"/>
          <w:szCs w:val="24"/>
        </w:rPr>
        <w:t xml:space="preserve"> 6 dicembre 2017 — relazione finale della Commissione Moro 2 (B). </w:t>
      </w:r>
      <w:r>
        <w:rPr>
          <w:rFonts w:ascii="Barlow Semi Condensed" w:cs="Barlow Semi Condensed" w:eastAsia="Barlow Semi Condensed" w:hAnsi="Barlow Semi Condensed"/>
          <w:i/>
          <w:iCs/>
          <w:sz w:val="24"/>
          <w:szCs w:val="24"/>
        </w:rPr>
        <w:t xml:space="preserve">Il registro non stabilisce alcun nesso fra le date che elenca.</w:t>
      </w:r>
    </w:p>
    <w:p>
      <w:pPr>
        <w:pStyle w:val="Heading2"/>
        <w:spacing w:after="100" w:before="200"/>
      </w:pPr>
      <w:r>
        <w:rPr>
          <w:rFonts w:ascii="Barlow Semi Condensed" w:cs="Barlow Semi Condensed" w:eastAsia="Barlow Semi Condensed" w:hAnsi="Barlow Semi Condensed"/>
          <w:sz w:val="24"/>
          <w:szCs w:val="24"/>
        </w:rPr>
        <w:t xml:space="preserve">Serie settima — Repertorio delle classi di fonti (blocchi 1051-1056)</w:t>
      </w:r>
    </w:p>
    <w:p>
      <w:pPr>
        <w:spacing w:after="120" w:line="276"/>
        <w:jc w:val="both"/>
      </w:pPr>
      <w:r>
        <w:rPr>
          <w:rFonts w:ascii="Barlow Semi Condensed" w:cs="Barlow Semi Condensed" w:eastAsia="Barlow Semi Condensed" w:hAnsi="Barlow Semi Condensed"/>
          <w:b/>
          <w:bCs/>
          <w:sz w:val="24"/>
          <w:szCs w:val="24"/>
        </w:rPr>
        <w:t xml:space="preserve">1051.</w:t>
      </w:r>
      <w:r>
        <w:rPr>
          <w:rFonts w:ascii="Barlow Semi Condensed" w:cs="Barlow Semi Condensed" w:eastAsia="Barlow Semi Condensed" w:hAnsi="Barlow Semi Condensed"/>
          <w:sz w:val="24"/>
          <w:szCs w:val="24"/>
        </w:rPr>
        <w:t xml:space="preserve"> Gli </w:t>
      </w:r>
      <w:r>
        <w:rPr>
          <w:rFonts w:ascii="Barlow Semi Condensed" w:cs="Barlow Semi Condensed" w:eastAsia="Barlow Semi Condensed" w:hAnsi="Barlow Semi Condensed"/>
          <w:b/>
          <w:bCs/>
          <w:sz w:val="24"/>
          <w:szCs w:val="24"/>
        </w:rPr>
        <w:t xml:space="preserve">atti giudiziari</w:t>
      </w:r>
      <w:r>
        <w:rPr>
          <w:rFonts w:ascii="Barlow Semi Condensed" w:cs="Barlow Semi Condensed" w:eastAsia="Barlow Semi Condensed" w:hAnsi="Barlow Semi Condensed"/>
          <w:sz w:val="24"/>
          <w:szCs w:val="24"/>
        </w:rPr>
        <w:t xml:space="preserve">: accertano; tetto di grado A. </w:t>
      </w:r>
      <w:r>
        <w:rPr>
          <w:rFonts w:ascii="Barlow Semi Condensed" w:cs="Barlow Semi Condensed" w:eastAsia="Barlow Semi Condensed" w:hAnsi="Barlow Semi Condensed"/>
          <w:b/>
          <w:bCs/>
          <w:sz w:val="24"/>
          <w:szCs w:val="24"/>
        </w:rPr>
        <w:t xml:space="preserve">1052.</w:t>
      </w:r>
      <w:r>
        <w:rPr>
          <w:rFonts w:ascii="Barlow Semi Condensed" w:cs="Barlow Semi Condensed" w:eastAsia="Barlow Semi Condensed" w:hAnsi="Barlow Semi Condensed"/>
          <w:sz w:val="24"/>
          <w:szCs w:val="24"/>
        </w:rPr>
        <w:t xml:space="preserve"> Gli </w:t>
      </w:r>
      <w:r>
        <w:rPr>
          <w:rFonts w:ascii="Barlow Semi Condensed" w:cs="Barlow Semi Condensed" w:eastAsia="Barlow Semi Condensed" w:hAnsi="Barlow Semi Condensed"/>
          <w:b/>
          <w:bCs/>
          <w:sz w:val="24"/>
          <w:szCs w:val="24"/>
        </w:rPr>
        <w:t xml:space="preserve">atti parlamentari</w:t>
      </w:r>
      <w:r>
        <w:rPr>
          <w:rFonts w:ascii="Barlow Semi Condensed" w:cs="Barlow Semi Condensed" w:eastAsia="Barlow Semi Condensed" w:hAnsi="Barlow Semi Condensed"/>
          <w:sz w:val="24"/>
          <w:szCs w:val="24"/>
        </w:rPr>
        <w:t xml:space="preserve">: documentano; tetto B. </w:t>
      </w:r>
      <w:r>
        <w:rPr>
          <w:rFonts w:ascii="Barlow Semi Condensed" w:cs="Barlow Semi Condensed" w:eastAsia="Barlow Semi Condensed" w:hAnsi="Barlow Semi Condensed"/>
          <w:b/>
          <w:bCs/>
          <w:sz w:val="24"/>
          <w:szCs w:val="24"/>
        </w:rPr>
        <w:t xml:space="preserve">1053.</w:t>
      </w:r>
      <w:r>
        <w:rPr>
          <w:rFonts w:ascii="Barlow Semi Condensed" w:cs="Barlow Semi Condensed" w:eastAsia="Barlow Semi Condensed" w:hAnsi="Barlow Semi Condensed"/>
          <w:sz w:val="24"/>
          <w:szCs w:val="24"/>
        </w:rPr>
        <w:t xml:space="preserve"> I </w:t>
      </w:r>
      <w:r>
        <w:rPr>
          <w:rFonts w:ascii="Barlow Semi Condensed" w:cs="Barlow Semi Condensed" w:eastAsia="Barlow Semi Condensed" w:hAnsi="Barlow Semi Condensed"/>
          <w:b/>
          <w:bCs/>
          <w:sz w:val="24"/>
          <w:szCs w:val="24"/>
        </w:rPr>
        <w:t xml:space="preserve">documenti desecretati</w:t>
      </w:r>
      <w:r>
        <w:rPr>
          <w:rFonts w:ascii="Barlow Semi Condensed" w:cs="Barlow Semi Condensed" w:eastAsia="Barlow Semi Condensed" w:hAnsi="Barlow Semi Condensed"/>
          <w:sz w:val="24"/>
          <w:szCs w:val="24"/>
        </w:rPr>
        <w:t xml:space="preserve"> (FRUS, CIA FOIA): attestano ciò che dicono, con protocollo; tetto B. </w:t>
      </w:r>
      <w:r>
        <w:rPr>
          <w:rFonts w:ascii="Barlow Semi Condensed" w:cs="Barlow Semi Condensed" w:eastAsia="Barlow Semi Condensed" w:hAnsi="Barlow Semi Condensed"/>
          <w:b/>
          <w:bCs/>
          <w:sz w:val="24"/>
          <w:szCs w:val="24"/>
        </w:rPr>
        <w:t xml:space="preserve">1054.</w:t>
      </w:r>
      <w:r>
        <w:rPr>
          <w:rFonts w:ascii="Barlow Semi Condensed" w:cs="Barlow Semi Condensed" w:eastAsia="Barlow Semi Condensed" w:hAnsi="Barlow Semi Condensed"/>
          <w:sz w:val="24"/>
          <w:szCs w:val="24"/>
        </w:rPr>
        <w:t xml:space="preserve"> Gli </w:t>
      </w:r>
      <w:r>
        <w:rPr>
          <w:rFonts w:ascii="Barlow Semi Condensed" w:cs="Barlow Semi Condensed" w:eastAsia="Barlow Semi Condensed" w:hAnsi="Barlow Semi Condensed"/>
          <w:b/>
          <w:bCs/>
          <w:sz w:val="24"/>
          <w:szCs w:val="24"/>
        </w:rPr>
        <w:t xml:space="preserve">atti normativi e comunitari</w:t>
      </w:r>
      <w:r>
        <w:rPr>
          <w:rFonts w:ascii="Barlow Semi Condensed" w:cs="Barlow Semi Condensed" w:eastAsia="Barlow Semi Condensed" w:hAnsi="Barlow Semi Condensed"/>
          <w:sz w:val="24"/>
          <w:szCs w:val="24"/>
        </w:rPr>
        <w:t xml:space="preserve"> (EUR-Lex, Gazzette): fanno fede del testo; tetto A/F. </w:t>
      </w:r>
      <w:r>
        <w:rPr>
          <w:rFonts w:ascii="Barlow Semi Condensed" w:cs="Barlow Semi Condensed" w:eastAsia="Barlow Semi Condensed" w:hAnsi="Barlow Semi Condensed"/>
          <w:b/>
          <w:bCs/>
          <w:sz w:val="24"/>
          <w:szCs w:val="24"/>
        </w:rPr>
        <w:t xml:space="preserve">1055.</w:t>
      </w:r>
      <w:r>
        <w:rPr>
          <w:rFonts w:ascii="Barlow Semi Condensed" w:cs="Barlow Semi Condensed" w:eastAsia="Barlow Semi Condensed" w:hAnsi="Barlow Semi Condensed"/>
          <w:sz w:val="24"/>
          <w:szCs w:val="24"/>
        </w:rPr>
        <w:t xml:space="preserve"> La </w:t>
      </w:r>
      <w:r>
        <w:rPr>
          <w:rFonts w:ascii="Barlow Semi Condensed" w:cs="Barlow Semi Condensed" w:eastAsia="Barlow Semi Condensed" w:hAnsi="Barlow Semi Condensed"/>
          <w:b/>
          <w:bCs/>
          <w:sz w:val="24"/>
          <w:szCs w:val="24"/>
        </w:rPr>
        <w:t xml:space="preserve">memorialistica</w:t>
      </w:r>
      <w:r>
        <w:rPr>
          <w:rFonts w:ascii="Barlow Semi Condensed" w:cs="Barlow Semi Condensed" w:eastAsia="Barlow Semi Condensed" w:hAnsi="Barlow Semi Condensed"/>
          <w:sz w:val="24"/>
          <w:szCs w:val="24"/>
        </w:rPr>
        <w:t xml:space="preserve"> (dei condannati, dei prosciolti, delle parti): fonte di parte; tetto C, salvo riscontri. </w:t>
      </w:r>
      <w:r>
        <w:rPr>
          <w:rFonts w:ascii="Barlow Semi Condensed" w:cs="Barlow Semi Condensed" w:eastAsia="Barlow Semi Condensed" w:hAnsi="Barlow Semi Condensed"/>
          <w:b/>
          <w:bCs/>
          <w:sz w:val="24"/>
          <w:szCs w:val="24"/>
        </w:rPr>
        <w:t xml:space="preserve">1056.</w:t>
      </w:r>
      <w:r>
        <w:rPr>
          <w:rFonts w:ascii="Barlow Semi Condensed" w:cs="Barlow Semi Condensed" w:eastAsia="Barlow Semi Condensed" w:hAnsi="Barlow Semi Condensed"/>
          <w:sz w:val="24"/>
          <w:szCs w:val="24"/>
        </w:rPr>
        <w:t xml:space="preserve"> La </w:t>
      </w:r>
      <w:r>
        <w:rPr>
          <w:rFonts w:ascii="Barlow Semi Condensed" w:cs="Barlow Semi Condensed" w:eastAsia="Barlow Semi Condensed" w:hAnsi="Barlow Semi Condensed"/>
          <w:b/>
          <w:bCs/>
          <w:sz w:val="24"/>
          <w:szCs w:val="24"/>
        </w:rPr>
        <w:t xml:space="preserve">pubblicistica</w:t>
      </w:r>
      <w:r>
        <w:rPr>
          <w:rFonts w:ascii="Barlow Semi Condensed" w:cs="Barlow Semi Condensed" w:eastAsia="Barlow Semi Condensed" w:hAnsi="Barlow Semi Condensed"/>
          <w:sz w:val="24"/>
          <w:szCs w:val="24"/>
        </w:rPr>
        <w:t xml:space="preserve">: indizio di piste, mai fonte di accertamento; tetto C.</w:t>
      </w:r>
    </w:p>
    <w:p>
      <w:pPr>
        <w:pStyle w:val="Heading2"/>
        <w:spacing w:after="100" w:before="200"/>
      </w:pPr>
      <w:r>
        <w:rPr>
          <w:rFonts w:ascii="Barlow Semi Condensed" w:cs="Barlow Semi Condensed" w:eastAsia="Barlow Semi Condensed" w:hAnsi="Barlow Semi Condensed"/>
          <w:sz w:val="24"/>
          <w:szCs w:val="24"/>
        </w:rPr>
        <w:t xml:space="preserve">Serie ottava — Tavola di corrispondenza col Dossier maggiore (blocchi 1301-1305)</w:t>
      </w:r>
    </w:p>
    <w:p>
      <w:pPr>
        <w:spacing w:after="120" w:line="276"/>
        <w:jc w:val="both"/>
      </w:pPr>
      <w:r>
        <w:rPr>
          <w:rFonts w:ascii="Barlow Semi Condensed" w:cs="Barlow Semi Condensed" w:eastAsia="Barlow Semi Condensed" w:hAnsi="Barlow Semi Condensed"/>
          <w:b/>
          <w:bCs/>
          <w:sz w:val="24"/>
          <w:szCs w:val="24"/>
        </w:rPr>
        <w:t xml:space="preserve">1301.</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Fasi prima-quarta del Dossier</w:t>
      </w:r>
      <w:r>
        <w:rPr>
          <w:rFonts w:ascii="Barlow Semi Condensed" w:cs="Barlow Semi Condensed" w:eastAsia="Barlow Semi Condensed" w:hAnsi="Barlow Semi Condensed"/>
          <w:sz w:val="24"/>
          <w:szCs w:val="24"/>
        </w:rPr>
        <w:t xml:space="preserve"> ↔ integralmente coperte dal corpus pubblico, coi documenti dichiarati capitolo per capitolo in questa edizione. </w:t>
      </w:r>
      <w:r>
        <w:rPr>
          <w:rFonts w:ascii="Barlow Semi Condensed" w:cs="Barlow Semi Condensed" w:eastAsia="Barlow Semi Condensed" w:hAnsi="Barlow Semi Condensed"/>
          <w:b/>
          <w:bCs/>
          <w:sz w:val="24"/>
          <w:szCs w:val="24"/>
        </w:rPr>
        <w:t xml:space="preserve">1302.</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Capitolo quarantaquattresimo del Dossier (esecutori)</w:t>
      </w:r>
      <w:r>
        <w:rPr>
          <w:rFonts w:ascii="Barlow Semi Condensed" w:cs="Barlow Semi Condensed" w:eastAsia="Barlow Semi Condensed" w:hAnsi="Barlow Semi Condensed"/>
          <w:sz w:val="24"/>
          <w:szCs w:val="24"/>
        </w:rPr>
        <w:t xml:space="preserve"> ↔ </w:t>
      </w:r>
      <w:r>
        <w:rPr>
          <w:rFonts w:ascii="Barlow Semi Condensed" w:cs="Barlow Semi Condensed" w:eastAsia="Barlow Semi Condensed" w:hAnsi="Barlow Semi Condensed"/>
          <w:i/>
          <w:iCs/>
          <w:sz w:val="24"/>
          <w:szCs w:val="24"/>
        </w:rPr>
        <w:t xml:space="preserve">fase-decima</w:t>
      </w:r>
      <w:r>
        <w:rPr>
          <w:rFonts w:ascii="Barlow Semi Condensed" w:cs="Barlow Semi Condensed" w:eastAsia="Barlow Semi Condensed" w:hAnsi="Barlow Semi Condensed"/>
          <w:sz w:val="24"/>
          <w:szCs w:val="24"/>
        </w:rPr>
        <w:t xml:space="preserve"> (registro personalistico): coperto e </w:t>
      </w:r>
      <w:r>
        <w:rPr>
          <w:rFonts w:ascii="Barlow Semi Condensed" w:cs="Barlow Semi Condensed" w:eastAsia="Barlow Semi Condensed" w:hAnsi="Barlow Semi Condensed"/>
          <w:b/>
          <w:bCs/>
          <w:sz w:val="24"/>
          <w:szCs w:val="24"/>
        </w:rPr>
        <w:t xml:space="preserve">rafforzato</w:t>
      </w:r>
      <w:r>
        <w:rPr>
          <w:rFonts w:ascii="Barlow Semi Condensed" w:cs="Barlow Semi Condensed" w:eastAsia="Barlow Semi Condensed" w:hAnsi="Barlow Semi Condensed"/>
          <w:sz w:val="24"/>
          <w:szCs w:val="24"/>
        </w:rPr>
        <w:t xml:space="preserve"> dal vaglio nominativo del giudicato. </w:t>
      </w:r>
      <w:r>
        <w:rPr>
          <w:rFonts w:ascii="Barlow Semi Condensed" w:cs="Barlow Semi Condensed" w:eastAsia="Barlow Semi Condensed" w:hAnsi="Barlow Semi Condensed"/>
          <w:b/>
          <w:bCs/>
          <w:sz w:val="24"/>
          <w:szCs w:val="24"/>
        </w:rPr>
        <w:t xml:space="preserve">1303.</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Capitoli quarantacinquesimo-quarantanovesimo (mandanti, architetti, graduatoria probabilistica)</w:t>
      </w:r>
      <w:r>
        <w:rPr>
          <w:rFonts w:ascii="Barlow Semi Condensed" w:cs="Barlow Semi Condensed" w:eastAsia="Barlow Semi Condensed" w:hAnsi="Barlow Semi Condensed"/>
          <w:sz w:val="24"/>
          <w:szCs w:val="24"/>
        </w:rPr>
        <w:t xml:space="preserve"> ↔ </w:t>
      </w:r>
      <w:r>
        <w:rPr>
          <w:rFonts w:ascii="Barlow Semi Condensed" w:cs="Barlow Semi Condensed" w:eastAsia="Barlow Semi Condensed" w:hAnsi="Barlow Semi Condensed"/>
          <w:b/>
          <w:bCs/>
          <w:sz w:val="24"/>
          <w:szCs w:val="24"/>
        </w:rPr>
        <w:t xml:space="preserve">non riprodotti</w:t>
      </w:r>
      <w:r>
        <w:rPr>
          <w:rFonts w:ascii="Barlow Semi Condensed" w:cs="Barlow Semi Condensed" w:eastAsia="Barlow Semi Condensed" w:hAnsi="Barlow Semi Condensed"/>
          <w:sz w:val="24"/>
          <w:szCs w:val="24"/>
        </w:rPr>
        <w:t xml:space="preserve"> sul branch pubblico, per statuto; il loro stato probatorio è censito al capitolo XXIX di questa edizione. </w:t>
      </w:r>
      <w:r>
        <w:rPr>
          <w:rFonts w:ascii="Barlow Semi Condensed" w:cs="Barlow Semi Condensed" w:eastAsia="Barlow Semi Condensed" w:hAnsi="Barlow Semi Condensed"/>
          <w:b/>
          <w:bCs/>
          <w:sz w:val="24"/>
          <w:szCs w:val="24"/>
        </w:rPr>
        <w:t xml:space="preserve">1304.</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I blocchi mirati del Dossier (3.211)</w:t>
      </w:r>
      <w:r>
        <w:rPr>
          <w:rFonts w:ascii="Barlow Semi Condensed" w:cs="Barlow Semi Condensed" w:eastAsia="Barlow Semi Condensed" w:hAnsi="Barlow Semi Condensed"/>
          <w:sz w:val="24"/>
          <w:szCs w:val="24"/>
        </w:rPr>
        <w:t xml:space="preserve"> ↔ qui rappresentati da serie ridotte e dichiarate: l'edizione pubblica non simula la densità del maggiore, la indica. </w:t>
      </w:r>
      <w:r>
        <w:rPr>
          <w:rFonts w:ascii="Barlow Semi Condensed" w:cs="Barlow Semi Condensed" w:eastAsia="Barlow Semi Condensed" w:hAnsi="Barlow Semi Condensed"/>
          <w:b/>
          <w:bCs/>
          <w:sz w:val="24"/>
          <w:szCs w:val="24"/>
        </w:rPr>
        <w:t xml:space="preserve">1305.</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La bibliografia in sei sezioni</w:t>
      </w:r>
      <w:r>
        <w:rPr>
          <w:rFonts w:ascii="Barlow Semi Condensed" w:cs="Barlow Semi Condensed" w:eastAsia="Barlow Semi Condensed" w:hAnsi="Barlow Semi Condensed"/>
          <w:sz w:val="24"/>
          <w:szCs w:val="24"/>
        </w:rPr>
        <w:t xml:space="preserve"> ↔ ricostruita qui sotto con le fonti effettivamente usate dal branch. </w:t>
      </w:r>
      <w:r>
        <w:rPr>
          <w:rFonts w:ascii="Barlow Semi Condensed" w:cs="Barlow Semi Condensed" w:eastAsia="Barlow Semi Condensed" w:hAnsi="Barlow Semi Condensed"/>
          <w:b/>
          <w:bCs/>
          <w:sz w:val="24"/>
          <w:szCs w:val="24"/>
        </w:rPr>
        <w:t xml:space="preserve">1306.</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Capitoli propri dell'edizione pubblica, senza corrispettivo nel Dossier maggiore</w:t>
      </w:r>
      <w:r>
        <w:rPr>
          <w:rFonts w:ascii="Barlow Semi Condensed" w:cs="Barlow Semi Condensed" w:eastAsia="Barlow Semi Condensed" w:hAnsi="Barlow Semi Condensed"/>
          <w:sz w:val="24"/>
          <w:szCs w:val="24"/>
        </w:rPr>
        <w:t xml:space="preserve"> ↔ il Capitolo II-bis (le metodologie calcolate sul corpus) e il Capitolo XXX (le pene oltre confine): sono le due aggiunte che il lavoro del branch ha prodotto oltre l'architettura ricevuta, e si dichiarano come tali.</w:t>
      </w:r>
    </w:p>
    <w:p>
      <w:pPr>
        <w:pBdr>
          <w:bottom w:val="single" w:color="999999" w:sz="6" w:space="1"/>
        </w:pBdr>
        <w:spacing w:after="80"/>
      </w:pPr>
    </w:p>
    <w:p>
      <w:pPr>
        <w:pStyle w:val="Heading1"/>
        <w:spacing w:after="120" w:before="240"/>
      </w:pPr>
      <w:r>
        <w:rPr>
          <w:rFonts w:ascii="Barlow Semi Condensed" w:cs="Barlow Semi Condensed" w:eastAsia="Barlow Semi Condensed" w:hAnsi="Barlow Semi Condensed"/>
          <w:sz w:val="24"/>
          <w:szCs w:val="24"/>
        </w:rPr>
        <w:t xml:space="preserve">Bibliografia del branch, in sei sezioni</w:t>
      </w:r>
    </w:p>
    <w:p>
      <w:pPr>
        <w:spacing w:after="120" w:line="276"/>
        <w:jc w:val="both"/>
      </w:pPr>
      <w:r>
        <w:rPr>
          <w:rFonts w:ascii="Barlow Semi Condensed" w:cs="Barlow Semi Condensed" w:eastAsia="Barlow Semi Condensed" w:hAnsi="Barlow Semi Condensed"/>
          <w:b/>
          <w:bCs/>
          <w:sz w:val="24"/>
          <w:szCs w:val="24"/>
        </w:rPr>
        <w:t xml:space="preserve">I. Archivi e fondi documentali.</w:t>
      </w:r>
      <w:r>
        <w:rPr>
          <w:rFonts w:ascii="Barlow Semi Condensed" w:cs="Barlow Semi Condensed" w:eastAsia="Barlow Semi Condensed" w:hAnsi="Barlow Semi Condensed"/>
          <w:sz w:val="24"/>
          <w:szCs w:val="24"/>
        </w:rPr>
        <w:t xml:space="preserve"> Edizione digitale delle carte Moro (aldomorodigitale.unibo.it); Archivio Storico Diplomatico del MAECI (serie censite nella cartella Farnesina); Archivio storico del Senato; EUR-Lex e Gazzette ufficiali; history.state.gov (FRUS); CIA FOIA Electronic Reading Room.</w:t>
      </w:r>
    </w:p>
    <w:p>
      <w:pPr>
        <w:spacing w:after="120" w:line="276"/>
        <w:jc w:val="both"/>
      </w:pPr>
      <w:r>
        <w:rPr>
          <w:rFonts w:ascii="Barlow Semi Condensed" w:cs="Barlow Semi Condensed" w:eastAsia="Barlow Semi Condensed" w:hAnsi="Barlow Semi Condensed"/>
          <w:b/>
          <w:bCs/>
          <w:sz w:val="24"/>
          <w:szCs w:val="24"/>
        </w:rPr>
        <w:t xml:space="preserve">II. Atti parlamentari e Commissioni.</w:t>
      </w:r>
      <w:r>
        <w:rPr>
          <w:rFonts w:ascii="Barlow Semi Condensed" w:cs="Barlow Semi Condensed" w:eastAsia="Barlow Semi Condensed" w:hAnsi="Barlow Semi Condensed"/>
          <w:sz w:val="24"/>
          <w:szCs w:val="24"/>
        </w:rPr>
        <w:t xml:space="preserve"> Relazione finale della Commissione Moro 2 (Doc. XXIII n. 29, 6 dicembre 2017) e stenografici delle audizioni (Berio, 28 ottobre 2015); atti della prima Commissione Moro e della Commissione Stragi; relazione di minoranza della Commissione Mitrokhin (2006).</w:t>
      </w:r>
    </w:p>
    <w:p>
      <w:pPr>
        <w:spacing w:after="120" w:line="276"/>
        <w:jc w:val="both"/>
      </w:pPr>
      <w:r>
        <w:rPr>
          <w:rFonts w:ascii="Barlow Semi Condensed" w:cs="Barlow Semi Condensed" w:eastAsia="Barlow Semi Condensed" w:hAnsi="Barlow Semi Condensed"/>
          <w:b/>
          <w:bCs/>
          <w:sz w:val="24"/>
          <w:szCs w:val="24"/>
        </w:rPr>
        <w:t xml:space="preserve">III. Scritti e testimonianze di e su Aldo Moro.</w:t>
      </w:r>
      <w:r>
        <w:rPr>
          <w:rFonts w:ascii="Barlow Semi Condensed" w:cs="Barlow Semi Condensed" w:eastAsia="Barlow Semi Condensed" w:hAnsi="Barlow Semi Condensed"/>
          <w:sz w:val="24"/>
          <w:szCs w:val="24"/>
        </w:rPr>
        <w:t xml:space="preserve"> Gli scritti pubblici di Moro citati nel ritratto (Fase ottava); la scheda ministeriale (esteri.it); Formigoni, introduzione all'edizione digitale; Imperato-Milano-Monzali (a cura di), </w:t>
      </w:r>
      <w:r>
        <w:rPr>
          <w:rFonts w:ascii="Barlow Semi Condensed" w:cs="Barlow Semi Condensed" w:eastAsia="Barlow Semi Condensed" w:hAnsi="Barlow Semi Condensed"/>
          <w:i/>
          <w:iCs/>
          <w:sz w:val="24"/>
          <w:szCs w:val="24"/>
        </w:rPr>
        <w:t xml:space="preserve">Fra diplomazia e petrolio. Aldo Moro e la politica italiana in Medio Oriente (1963-1978)</w:t>
      </w:r>
      <w:r>
        <w:rPr>
          <w:rFonts w:ascii="Barlow Semi Condensed" w:cs="Barlow Semi Condensed" w:eastAsia="Barlow Semi Condensed" w:hAnsi="Barlow Semi Condensed"/>
          <w:sz w:val="24"/>
          <w:szCs w:val="24"/>
        </w:rPr>
        <w:t xml:space="preserve">, Cacucci, 2018.</w:t>
      </w:r>
    </w:p>
    <w:p>
      <w:pPr>
        <w:spacing w:after="120" w:line="276"/>
        <w:jc w:val="both"/>
      </w:pPr>
      <w:r>
        <w:rPr>
          <w:rFonts w:ascii="Barlow Semi Condensed" w:cs="Barlow Semi Condensed" w:eastAsia="Barlow Semi Condensed" w:hAnsi="Barlow Semi Condensed"/>
          <w:b/>
          <w:bCs/>
          <w:sz w:val="24"/>
          <w:szCs w:val="24"/>
        </w:rPr>
        <w:t xml:space="preserve">IV. Il sequestro, la prigionia e le indagini.</w:t>
      </w:r>
      <w:r>
        <w:rPr>
          <w:rFonts w:ascii="Barlow Semi Condensed" w:cs="Barlow Semi Condensed" w:eastAsia="Barlow Semi Condensed" w:hAnsi="Barlow Semi Condensed"/>
          <w:sz w:val="24"/>
          <w:szCs w:val="24"/>
        </w:rPr>
        <w:t xml:space="preserve"> Le sentenze dei cinque processi Moro nell'analisi di Questione Giustizia (parti prima e seconda); Ministero dell'Interno (le vittime di via Fani); Braghetti-Tavella, </w:t>
      </w:r>
      <w:r>
        <w:rPr>
          <w:rFonts w:ascii="Barlow Semi Condensed" w:cs="Barlow Semi Condensed" w:eastAsia="Barlow Semi Condensed" w:hAnsi="Barlow Semi Condensed"/>
          <w:i/>
          <w:iCs/>
          <w:sz w:val="24"/>
          <w:szCs w:val="24"/>
        </w:rPr>
        <w:t xml:space="preserve">Il prigioniero</w:t>
      </w:r>
      <w:r>
        <w:rPr>
          <w:rFonts w:ascii="Barlow Semi Condensed" w:cs="Barlow Semi Condensed" w:eastAsia="Barlow Semi Condensed" w:hAnsi="Barlow Semi Condensed"/>
          <w:sz w:val="24"/>
          <w:szCs w:val="24"/>
        </w:rPr>
        <w:t xml:space="preserve">, Feltrinelli, 1998 (memorialistica, C); il Memoriale Morucci quale accertato dalla Moro 2 (testo negoziato, B).</w:t>
      </w:r>
    </w:p>
    <w:p>
      <w:pPr>
        <w:spacing w:after="120" w:line="276"/>
        <w:jc w:val="both"/>
      </w:pPr>
      <w:r>
        <w:rPr>
          <w:rFonts w:ascii="Barlow Semi Condensed" w:cs="Barlow Semi Condensed" w:eastAsia="Barlow Semi Condensed" w:hAnsi="Barlow Semi Condensed"/>
          <w:b/>
          <w:bCs/>
          <w:sz w:val="24"/>
          <w:szCs w:val="24"/>
        </w:rPr>
        <w:t xml:space="preserve">V. Metodologia.</w:t>
      </w:r>
      <w:r>
        <w:rPr>
          <w:rFonts w:ascii="Barlow Semi Condensed" w:cs="Barlow Semi Condensed" w:eastAsia="Barlow Semi Condensed" w:hAnsi="Barlow Semi Condensed"/>
          <w:sz w:val="24"/>
          <w:szCs w:val="24"/>
        </w:rPr>
        <w:t xml:space="preserve"> Popper, </w:t>
      </w:r>
      <w:r>
        <w:rPr>
          <w:rFonts w:ascii="Barlow Semi Condensed" w:cs="Barlow Semi Condensed" w:eastAsia="Barlow Semi Condensed" w:hAnsi="Barlow Semi Condensed"/>
          <w:i/>
          <w:iCs/>
          <w:sz w:val="24"/>
          <w:szCs w:val="24"/>
        </w:rPr>
        <w:t xml:space="preserve">Logik der Forschung</w:t>
      </w:r>
      <w:r>
        <w:rPr>
          <w:rFonts w:ascii="Barlow Semi Condensed" w:cs="Barlow Semi Condensed" w:eastAsia="Barlow Semi Condensed" w:hAnsi="Barlow Semi Condensed"/>
          <w:sz w:val="24"/>
          <w:szCs w:val="24"/>
        </w:rPr>
        <w:t xml:space="preserve"> (1934); Ginzburg, «Spie: radici di un paradigma indiziario» (1986); Heuer, </w:t>
      </w:r>
      <w:r>
        <w:rPr>
          <w:rFonts w:ascii="Barlow Semi Condensed" w:cs="Barlow Semi Condensed" w:eastAsia="Barlow Semi Condensed" w:hAnsi="Barlow Semi Condensed"/>
          <w:i/>
          <w:iCs/>
          <w:sz w:val="24"/>
          <w:szCs w:val="24"/>
        </w:rPr>
        <w:t xml:space="preserve">Psychology of Intelligence Analysis</w:t>
      </w:r>
      <w:r>
        <w:rPr>
          <w:rFonts w:ascii="Barlow Semi Condensed" w:cs="Barlow Semi Condensed" w:eastAsia="Barlow Semi Condensed" w:hAnsi="Barlow Semi Condensed"/>
          <w:sz w:val="24"/>
          <w:szCs w:val="24"/>
        </w:rPr>
        <w:t xml:space="preserve"> (CIA, 1999) — la triade metodologica condivisa col Dossier maggiore.</w:t>
      </w:r>
    </w:p>
    <w:p>
      <w:pPr>
        <w:spacing w:after="120" w:line="276"/>
        <w:jc w:val="both"/>
      </w:pPr>
      <w:r>
        <w:rPr>
          <w:rFonts w:ascii="Barlow Semi Condensed" w:cs="Barlow Semi Condensed" w:eastAsia="Barlow Semi Condensed" w:hAnsi="Barlow Semi Condensed"/>
          <w:b/>
          <w:bCs/>
          <w:sz w:val="24"/>
          <w:szCs w:val="24"/>
        </w:rPr>
        <w:t xml:space="preserve">VI. Contesto: intelligence, eversione e reti.</w:t>
      </w:r>
      <w:r>
        <w:rPr>
          <w:rFonts w:ascii="Barlow Semi Condensed" w:cs="Barlow Semi Condensed" w:eastAsia="Barlow Semi Condensed" w:hAnsi="Barlow Semi Condensed"/>
          <w:sz w:val="24"/>
          <w:szCs w:val="24"/>
        </w:rPr>
        <w:t xml:space="preserve"> I documenti FRUS citati nelle ricognizioni della cartella Farnesina; gli atti su Hyperion censiti in HY-1…HY-9; la storiografia sul ceppo milanese richiamata negli studi Feltrinelli, Hyperion e Simioni — tutte le voci con indirizzo nei rispettivi documenti.</w:t>
      </w:r>
    </w:p>
    <w:p>
      <w:pPr>
        <w:pBdr>
          <w:bottom w:val="single" w:color="999999" w:sz="6" w:space="1"/>
        </w:pBdr>
        <w:spacing w:after="80"/>
      </w:pPr>
    </w:p>
    <w:p>
      <w:pPr>
        <w:spacing w:after="120" w:line="276"/>
        <w:jc w:val="both"/>
      </w:pPr>
      <w:r>
        <w:rPr>
          <w:rFonts w:ascii="Barlow Semi Condensed" w:cs="Barlow Semi Condensed" w:eastAsia="Barlow Semi Condensed" w:hAnsi="Barlow Semi Condensed"/>
          <w:i/>
          <w:iCs/>
          <w:sz w:val="24"/>
          <w:szCs w:val="24"/>
        </w:rPr>
        <w:t xml:space="preserve">Edizione strutturata del corpus pubblico secondo l'architettura del Dossier «Aldo Moro — Tutta la verità» (cinque Fasi, capitoli, blocchi mirati in serie con statuto, griglia a cinque voci, bibliografia in sei sezioni). La divergenza sulla Fase quinta è dichiarata in testa e ribadita in corpo: il branch pubblico si ferma al giudicato, non riproduce la graduatoria probabilistica né i nomi oltre le sentenze, e rinvia per tutto il resto ai documenti del corpus, ciascuno con le proprie fonti e i propri gradi. Il Dossier maggiore caricato dall'autore non è archiviato su questo branch, perché contiene la parte che il versante pubblico per statuto non pubblica.</w:t>
      </w:r>
    </w:p>
    <w:p>
      <w:pPr>
        <w:pStyle w:val="Heading3"/>
        <w:spacing w:after="80" w:before="240"/>
      </w:pPr>
      <w:r>
        <w:rPr>
          <w:rFonts w:ascii="Barlow Semi Condensed" w:cs="Barlow Semi Condensed" w:eastAsia="Barlow Semi Condensed" w:hAnsi="Barlow Semi Condensed"/>
          <w:sz w:val="24"/>
          <w:szCs w:val="24"/>
        </w:rPr>
        <w:t xml:space="preserve">Apparato grafico — Portale · L'edizione strutturata: la mappa dell'opera</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Portale: 3.927 parole in 4 sezioni; la più ampia è §1 Una guerra senza fine, con 3.195.</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Portale: 70 paragrafi in 4 sezioni, 18 in media per sezione.</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Le cinque opere a blocchi (il programma ne è il telaio): 3.700 blocchi mirati coordinati.</w:t>
      </w:r>
    </w:p>
    <w:p>
      <w:pPr>
        <w:spacing w:after="120"/>
        <w:jc w:val="center"/>
      </w:pPr>
      <w:r>
        <w:rPr>
          <w:rFonts w:ascii="Barlow Semi Condensed" w:cs="Barlow Semi Condensed" w:eastAsia="Barlow Semi Condensed" w:hAnsi="Barlow Semi Condensed"/>
          <w:color w:val="777777"/>
          <w:sz w:val="16"/>
          <w:szCs w:val="16"/>
        </w:rPr>
        <w:t xml:space="preserve">Le metriche dell'apparato contano parole, documenti e atti — mai colpe.</w:t>
      </w:r>
    </w:p>
    <w:p>
      <w:r>
        <w:br w:type="page"/>
      </w:r>
    </w:p>
    <w:p>
      <w:pPr>
        <w:pStyle w:val="Heading1"/>
        <w:spacing w:after="120" w:before="240"/>
      </w:pPr>
      <w:r>
        <w:rPr>
          <w:rFonts w:ascii="Barlow Semi Condensed" w:cs="Barlow Semi Condensed" w:eastAsia="Barlow Semi Condensed" w:hAnsi="Barlow Semi Condensed"/>
          <w:sz w:val="24"/>
          <w:szCs w:val="24"/>
        </w:rPr>
        <w:t xml:space="preserve">Libro primo — Il ritratto: l'uomo prima del caso</w:t>
      </w:r>
    </w:p>
    <w:p>
      <w:pPr>
        <w:pStyle w:val="Heading2"/>
        <w:spacing w:after="100" w:before="200"/>
      </w:pPr>
      <w:r>
        <w:rPr>
          <w:rFonts w:ascii="Barlow Semi Condensed" w:cs="Barlow Semi Condensed" w:eastAsia="Barlow Semi Condensed" w:hAnsi="Barlow Semi Condensed"/>
          <w:sz w:val="24"/>
          <w:szCs w:val="24"/>
        </w:rPr>
        <w:t xml:space="preserve">Fase ottava — Il ritratto: l'uomo prima del caso</w:t>
      </w:r>
    </w:p>
    <w:p>
      <w:pPr>
        <w:spacing w:after="120" w:line="276"/>
        <w:jc w:val="both"/>
      </w:pPr>
      <w:r>
        <w:rPr>
          <w:rFonts w:ascii="Barlow Semi Condensed" w:cs="Barlow Semi Condensed" w:eastAsia="Barlow Semi Condensed" w:hAnsi="Barlow Semi Condensed"/>
          <w:i/>
          <w:iCs/>
          <w:sz w:val="24"/>
          <w:szCs w:val="24"/>
        </w:rPr>
        <w:t xml:space="preserve">Ampliamento dell'opera — 25 agosto 2026 · Capitoli 62-67</w:t>
      </w:r>
    </w:p>
    <w:p>
      <w:pPr>
        <w:pBdr>
          <w:left w:val="single" w:color="1F3864" w:sz="18" w:space="8"/>
        </w:pBdr>
        <w:spacing w:after="80" w:before="80"/>
        <w:ind w:left="360" w:right="360"/>
        <w:jc w:val="both"/>
      </w:pPr>
      <w:r>
        <w:rPr>
          <w:rFonts w:ascii="Barlow Semi Condensed" w:cs="Barlow Semi Condensed" w:eastAsia="Barlow Semi Condensed" w:hAnsi="Barlow Semi Condensed"/>
          <w:b/>
          <w:bCs/>
          <w:i w:val="false"/>
          <w:iCs w:val="false"/>
          <w:sz w:val="24"/>
          <w:szCs w:val="24"/>
        </w:rPr>
        <w:t xml:space="preserve">Statuto e ragione della Fase ottava.</w:t>
      </w:r>
      <w:r>
        <w:rPr>
          <w:rFonts w:ascii="Barlow Semi Condensed" w:cs="Barlow Semi Condensed" w:eastAsia="Barlow Semi Condensed" w:hAnsi="Barlow Semi Condensed"/>
          <w:i w:val="false"/>
          <w:iCs w:val="false"/>
          <w:sz w:val="24"/>
          <w:szCs w:val="24"/>
        </w:rPr>
        <w:t xml:space="preserve"> L'opera ha rischiato, come rischia sempre chi studia il caso Moro, di </w:t>
      </w:r>
      <w:r>
        <w:rPr>
          <w:rFonts w:ascii="Barlow Semi Condensed" w:cs="Barlow Semi Condensed" w:eastAsia="Barlow Semi Condensed" w:hAnsi="Barlow Semi Condensed"/>
          <w:b/>
          <w:bCs/>
          <w:i w:val="false"/>
          <w:iCs w:val="false"/>
          <w:sz w:val="24"/>
          <w:szCs w:val="24"/>
        </w:rPr>
        <w:t xml:space="preserve">perdere Moro</w:t>
      </w:r>
      <w:r>
        <w:rPr>
          <w:rFonts w:ascii="Barlow Semi Condensed" w:cs="Barlow Semi Condensed" w:eastAsia="Barlow Semi Condensed" w:hAnsi="Barlow Semi Condensed"/>
          <w:i w:val="false"/>
          <w:iCs w:val="false"/>
          <w:sz w:val="24"/>
          <w:szCs w:val="24"/>
        </w:rPr>
        <w:t xml:space="preserve">. A furia di seguire i fili — le Brigate Rosse, il quadro internazionale, i processi, gli apparati — l'uomo che di tutto questo è il centro finisce per diventare un pretesto, una casella vuota attorno a cui ruota la macchina del sospetto. Questa Fase corregge la rotta e rimette Aldo Moro </w:t>
      </w:r>
      <w:r>
        <w:rPr>
          <w:rFonts w:ascii="Barlow Semi Condensed" w:cs="Barlow Semi Condensed" w:eastAsia="Barlow Semi Condensed" w:hAnsi="Barlow Semi Condensed"/>
          <w:b/>
          <w:bCs/>
          <w:i w:val="false"/>
          <w:iCs w:val="false"/>
          <w:sz w:val="24"/>
          <w:szCs w:val="24"/>
        </w:rPr>
        <w:t xml:space="preserve">al principio</w:t>
      </w:r>
      <w:r>
        <w:rPr>
          <w:rFonts w:ascii="Barlow Semi Condensed" w:cs="Barlow Semi Condensed" w:eastAsia="Barlow Semi Condensed" w:hAnsi="Barlow Semi Condensed"/>
          <w:i w:val="false"/>
          <w:iCs w:val="false"/>
          <w:sz w:val="24"/>
          <w:szCs w:val="24"/>
        </w:rPr>
        <w:t xml:space="preserve">: non la vittima di un sequestro, non l'oggetto di un'inchiesta, ma </w:t>
      </w:r>
      <w:r>
        <w:rPr>
          <w:rFonts w:ascii="Barlow Semi Condensed" w:cs="Barlow Semi Condensed" w:eastAsia="Barlow Semi Condensed" w:hAnsi="Barlow Semi Condensed"/>
          <w:b/>
          <w:bCs/>
          <w:i w:val="false"/>
          <w:iCs w:val="false"/>
          <w:sz w:val="24"/>
          <w:szCs w:val="24"/>
        </w:rPr>
        <w:t xml:space="preserve">l'uomo, il giurista, lo statista, il pensatore politico</w:t>
      </w:r>
      <w:r>
        <w:rPr>
          <w:rFonts w:ascii="Barlow Semi Condensed" w:cs="Barlow Semi Condensed" w:eastAsia="Barlow Semi Condensed" w:hAnsi="Barlow Semi Condensed"/>
          <w:i w:val="false"/>
          <w:iCs w:val="false"/>
          <w:sz w:val="24"/>
          <w:szCs w:val="24"/>
        </w:rPr>
        <w:t xml:space="preserve"> che fu prima di essere un caso. Perché il senso della sua morte non si capisce se non si capisce la sua vita; e la sua vita non fu il preludio alla prigionia di via Montalcini, ma </w:t>
      </w:r>
      <w:r>
        <w:rPr>
          <w:rFonts w:ascii="Barlow Semi Condensed" w:cs="Barlow Semi Condensed" w:eastAsia="Barlow Semi Condensed" w:hAnsi="Barlow Semi Condensed"/>
          <w:b/>
          <w:bCs/>
          <w:i w:val="false"/>
          <w:iCs w:val="false"/>
          <w:sz w:val="24"/>
          <w:szCs w:val="24"/>
        </w:rPr>
        <w:t xml:space="preserve">un'opera compiuta di intelligenza politica</w:t>
      </w:r>
      <w:r>
        <w:rPr>
          <w:rFonts w:ascii="Barlow Semi Condensed" w:cs="Barlow Semi Condensed" w:eastAsia="Barlow Semi Condensed" w:hAnsi="Barlow Semi Condensed"/>
          <w:i w:val="false"/>
          <w:iCs w:val="false"/>
          <w:sz w:val="24"/>
          <w:szCs w:val="24"/>
        </w:rPr>
        <w:t xml:space="preserve">, di cui la prigionia fu l'interruzione violenta, non il compimento.  Vale qui la disciplina di tutta l'opera, con un'avvertenza in più. Si riportano i </w:t>
      </w:r>
      <w:r>
        <w:rPr>
          <w:rFonts w:ascii="Barlow Semi Condensed" w:cs="Barlow Semi Condensed" w:eastAsia="Barlow Semi Condensed" w:hAnsi="Barlow Semi Condensed"/>
          <w:b/>
          <w:bCs/>
          <w:i w:val="false"/>
          <w:iCs w:val="false"/>
          <w:sz w:val="24"/>
          <w:szCs w:val="24"/>
        </w:rPr>
        <w:t xml:space="preserve">fatti documentati</w:t>
      </w:r>
      <w:r>
        <w:rPr>
          <w:rFonts w:ascii="Barlow Semi Condensed" w:cs="Barlow Semi Condensed" w:eastAsia="Barlow Semi Condensed" w:hAnsi="Barlow Semi Condensed"/>
          <w:i w:val="false"/>
          <w:iCs w:val="false"/>
          <w:sz w:val="24"/>
          <w:szCs w:val="24"/>
        </w:rPr>
        <w:t xml:space="preserve"> della biografia e le </w:t>
      </w:r>
      <w:r>
        <w:rPr>
          <w:rFonts w:ascii="Barlow Semi Condensed" w:cs="Barlow Semi Condensed" w:eastAsia="Barlow Semi Condensed" w:hAnsi="Barlow Semi Condensed"/>
          <w:b/>
          <w:bCs/>
          <w:i w:val="false"/>
          <w:iCs w:val="false"/>
          <w:sz w:val="24"/>
          <w:szCs w:val="24"/>
        </w:rPr>
        <w:t xml:space="preserve">idee</w:t>
      </w:r>
      <w:r>
        <w:rPr>
          <w:rFonts w:ascii="Barlow Semi Condensed" w:cs="Barlow Semi Condensed" w:eastAsia="Barlow Semi Condensed" w:hAnsi="Barlow Semi Condensed"/>
          <w:i w:val="false"/>
          <w:iCs w:val="false"/>
          <w:sz w:val="24"/>
          <w:szCs w:val="24"/>
        </w:rPr>
        <w:t xml:space="preserve"> che Moro espresse in scritti e discorsi pubblici, citati come tali; non gli si attribuiscono parole che non disse. Dove l'opera, altrove, ha usato il pastiche dichiarato, qui non ce n'è: questa è </w:t>
      </w:r>
      <w:r>
        <w:rPr>
          <w:rFonts w:ascii="Barlow Semi Condensed" w:cs="Barlow Semi Condensed" w:eastAsia="Barlow Semi Condensed" w:hAnsi="Barlow Semi Condensed"/>
          <w:b/>
          <w:bCs/>
          <w:i w:val="false"/>
          <w:iCs w:val="false"/>
          <w:sz w:val="24"/>
          <w:szCs w:val="24"/>
        </w:rPr>
        <w:t xml:space="preserve">prosa piana su un uomo reale</w:t>
      </w:r>
      <w:r>
        <w:rPr>
          <w:rFonts w:ascii="Barlow Semi Condensed" w:cs="Barlow Semi Condensed" w:eastAsia="Barlow Semi Condensed" w:hAnsi="Barlow Semi Condensed"/>
          <w:i w:val="false"/>
          <w:iCs w:val="false"/>
          <w:sz w:val="24"/>
          <w:szCs w:val="24"/>
        </w:rPr>
        <w:t xml:space="preserve">, e l'unico omaggio che gli si deve è l'esattezza.</w:t>
      </w:r>
    </w:p>
    <w:p>
      <w:pPr>
        <w:pBdr>
          <w:bottom w:val="single" w:color="999999" w:sz="6" w:space="1"/>
        </w:pBdr>
        <w:spacing w:after="80"/>
      </w:pPr>
    </w:p>
    <w:p>
      <w:pPr>
        <w:pStyle w:val="Heading1"/>
        <w:spacing w:after="120" w:before="240"/>
      </w:pPr>
      <w:r>
        <w:rPr>
          <w:rFonts w:ascii="Barlow Semi Condensed" w:cs="Barlow Semi Condensed" w:eastAsia="Barlow Semi Condensed" w:hAnsi="Barlow Semi Condensed"/>
          <w:sz w:val="24"/>
          <w:szCs w:val="24"/>
        </w:rPr>
        <w:t xml:space="preserve">Capitolo sessantaduesimo — Maglie, la fede, il diritto: la formazione di un'intelligenza</w:t>
      </w:r>
    </w:p>
    <w:p>
      <w:pPr>
        <w:spacing w:after="120" w:line="276"/>
        <w:jc w:val="both"/>
      </w:pPr>
      <w:r>
        <w:rPr>
          <w:rFonts w:ascii="Barlow Semi Condensed" w:cs="Barlow Semi Condensed" w:eastAsia="Barlow Semi Condensed" w:hAnsi="Barlow Semi Condensed"/>
          <w:sz w:val="24"/>
          <w:szCs w:val="24"/>
        </w:rPr>
        <w:t xml:space="preserve">Aldo Moro nacque a </w:t>
      </w:r>
      <w:r>
        <w:rPr>
          <w:rFonts w:ascii="Barlow Semi Condensed" w:cs="Barlow Semi Condensed" w:eastAsia="Barlow Semi Condensed" w:hAnsi="Barlow Semi Condensed"/>
          <w:b/>
          <w:bCs/>
          <w:sz w:val="24"/>
          <w:szCs w:val="24"/>
        </w:rPr>
        <w:t xml:space="preserve">Maglie, in provincia di Lecce, il 23 settembre 1916</w:t>
      </w:r>
      <w:r>
        <w:rPr>
          <w:rFonts w:ascii="Barlow Semi Condensed" w:cs="Barlow Semi Condensed" w:eastAsia="Barlow Semi Condensed" w:hAnsi="Barlow Semi Condensed"/>
          <w:sz w:val="24"/>
          <w:szCs w:val="24"/>
        </w:rPr>
        <w:t xml:space="preserve">, in quel Salento che gli restò dentro come misura delle cose — la lentezza, la pazienza, il senso antico della mediazione fra opposti. La famiglia era cattolica e di funzionari della scuola; l'educazione, rigorosa e religiosa. Fu </w:t>
      </w:r>
      <w:r>
        <w:rPr>
          <w:rFonts w:ascii="Barlow Semi Condensed" w:cs="Barlow Semi Condensed" w:eastAsia="Barlow Semi Condensed" w:hAnsi="Barlow Semi Condensed"/>
          <w:b/>
          <w:bCs/>
          <w:sz w:val="24"/>
          <w:szCs w:val="24"/>
        </w:rPr>
        <w:t xml:space="preserve">presidente della FUCI</w:t>
      </w:r>
      <w:r>
        <w:rPr>
          <w:rFonts w:ascii="Barlow Semi Condensed" w:cs="Barlow Semi Condensed" w:eastAsia="Barlow Semi Condensed" w:hAnsi="Barlow Semi Condensed"/>
          <w:sz w:val="24"/>
          <w:szCs w:val="24"/>
        </w:rPr>
        <w:t xml:space="preserve">, la Federazione Universitaria Cattolica Italiana, dal 1939 al 1943, e poi del Movimento dei Laureati Cattolici (1945-46): in quegli anni, sotto la guida spirituale di Giovanni Battista Montini — il futuro Paolo VI, che nel 1978 avrebbe scritto la lettera «agli uomini delle Brigate Rosse» —, Moro formò la propria idea dell'impegno del cattolico nella cosa pubblica: non come conquista, ma come </w:t>
      </w:r>
      <w:r>
        <w:rPr>
          <w:rFonts w:ascii="Barlow Semi Condensed" w:cs="Barlow Semi Condensed" w:eastAsia="Barlow Semi Condensed" w:hAnsi="Barlow Semi Condensed"/>
          <w:b/>
          <w:bCs/>
          <w:sz w:val="24"/>
          <w:szCs w:val="24"/>
        </w:rPr>
        <w:t xml:space="preserve">servizio e presenza</w:t>
      </w:r>
      <w:r>
        <w:rPr>
          <w:rFonts w:ascii="Barlow Semi Condensed" w:cs="Barlow Semi Condensed" w:eastAsia="Barlow Semi Condensed" w:hAnsi="Barlow Semi Condensed"/>
          <w:sz w:val="24"/>
          <w:szCs w:val="24"/>
        </w:rPr>
        <w:t xml:space="preserve"> (Treccani, «Aldo Moro» (https://www.treccani.it/enciclopedia/aldo-moro/)).</w:t>
      </w:r>
    </w:p>
    <w:p>
      <w:pPr>
        <w:spacing w:after="120" w:line="276"/>
        <w:jc w:val="both"/>
      </w:pPr>
      <w:r>
        <w:rPr>
          <w:rFonts w:ascii="Barlow Semi Condensed" w:cs="Barlow Semi Condensed" w:eastAsia="Barlow Semi Condensed" w:hAnsi="Barlow Semi Condensed"/>
          <w:sz w:val="24"/>
          <w:szCs w:val="24"/>
        </w:rPr>
        <w:t xml:space="preserve">Dal 1948 fu </w:t>
      </w:r>
      <w:r>
        <w:rPr>
          <w:rFonts w:ascii="Barlow Semi Condensed" w:cs="Barlow Semi Condensed" w:eastAsia="Barlow Semi Condensed" w:hAnsi="Barlow Semi Condensed"/>
          <w:b/>
          <w:bCs/>
          <w:sz w:val="24"/>
          <w:szCs w:val="24"/>
        </w:rPr>
        <w:t xml:space="preserve">professore di diritto penale all'Università di Bari</w:t>
      </w:r>
      <w:r>
        <w:rPr>
          <w:rFonts w:ascii="Barlow Semi Condensed" w:cs="Barlow Semi Condensed" w:eastAsia="Barlow Semi Condensed" w:hAnsi="Barlow Semi Condensed"/>
          <w:sz w:val="24"/>
          <w:szCs w:val="24"/>
        </w:rPr>
        <w:t xml:space="preserve"> — cattedra che non lasciò mai, nemmeno da uomo di governo, e a cui teneva più che a molte cariche. Non è dettaglio secondario: Moro fu, prima e sotto tutto, un </w:t>
      </w:r>
      <w:r>
        <w:rPr>
          <w:rFonts w:ascii="Barlow Semi Condensed" w:cs="Barlow Semi Condensed" w:eastAsia="Barlow Semi Condensed" w:hAnsi="Barlow Semi Condensed"/>
          <w:b/>
          <w:bCs/>
          <w:sz w:val="24"/>
          <w:szCs w:val="24"/>
        </w:rPr>
        <w:t xml:space="preserve">giurista</w:t>
      </w:r>
      <w:r>
        <w:rPr>
          <w:rFonts w:ascii="Barlow Semi Condensed" w:cs="Barlow Semi Condensed" w:eastAsia="Barlow Semi Condensed" w:hAnsi="Barlow Semi Condensed"/>
          <w:sz w:val="24"/>
          <w:szCs w:val="24"/>
        </w:rPr>
        <w:t xml:space="preserve">, un uomo per cui la prova, il procedimento, la garanzia non erano tecnicismi ma la sostanza stessa della civiltà. Chi ha letto le sue lettere dalla prigionia riconosce, sotto l'angoscia, la mente del penalista: la richiesta ostinata che si distingua, che si provi, che non si condanni sul sospetto. </w:t>
      </w:r>
      <w:r>
        <w:rPr>
          <w:rFonts w:ascii="Barlow Semi Condensed" w:cs="Barlow Semi Condensed" w:eastAsia="Barlow Semi Condensed" w:hAnsi="Barlow Semi Condensed"/>
          <w:b/>
          <w:bCs/>
          <w:sz w:val="24"/>
          <w:szCs w:val="24"/>
        </w:rPr>
        <w:t xml:space="preserve">Il modo in cui questo corpus lavora — i gradi di prova, il divieto di imputare oltre il giudicato — è, senza forzatura, moroteo nel metodo prima che nell'oggetto.</w:t>
      </w:r>
      <w:r>
        <w:rPr>
          <w:rFonts w:ascii="Barlow Semi Condensed" w:cs="Barlow Semi Condensed" w:eastAsia="Barlow Semi Condensed" w:hAnsi="Barlow Semi Condensed"/>
          <w:sz w:val="24"/>
          <w:szCs w:val="24"/>
        </w:rPr>
        <w:t xml:space="preserve"> L'uomo di cui si scrive avrebbe riconosciuto la disciplina con cui lo si scrive.</w:t>
      </w:r>
    </w:p>
    <w:p>
      <w:pPr>
        <w:pStyle w:val="Heading1"/>
        <w:spacing w:after="120" w:before="240"/>
      </w:pPr>
      <w:r>
        <w:rPr>
          <w:rFonts w:ascii="Barlow Semi Condensed" w:cs="Barlow Semi Condensed" w:eastAsia="Barlow Semi Condensed" w:hAnsi="Barlow Semi Condensed"/>
          <w:sz w:val="24"/>
          <w:szCs w:val="24"/>
        </w:rPr>
        <w:t xml:space="preserve">Capitolo sessantatreesimo — Il costituente e l'artefice paziente</w:t>
      </w:r>
    </w:p>
    <w:p>
      <w:pPr>
        <w:spacing w:after="120" w:line="276"/>
        <w:jc w:val="both"/>
      </w:pPr>
      <w:r>
        <w:rPr>
          <w:rFonts w:ascii="Barlow Semi Condensed" w:cs="Barlow Semi Condensed" w:eastAsia="Barlow Semi Condensed" w:hAnsi="Barlow Semi Condensed"/>
          <w:sz w:val="24"/>
          <w:szCs w:val="24"/>
        </w:rPr>
        <w:t xml:space="preserve">Il </w:t>
      </w:r>
      <w:r>
        <w:rPr>
          <w:rFonts w:ascii="Barlow Semi Condensed" w:cs="Barlow Semi Condensed" w:eastAsia="Barlow Semi Condensed" w:hAnsi="Barlow Semi Condensed"/>
          <w:b/>
          <w:bCs/>
          <w:sz w:val="24"/>
          <w:szCs w:val="24"/>
        </w:rPr>
        <w:t xml:space="preserve">2 giugno 1946</w:t>
      </w:r>
      <w:r>
        <w:rPr>
          <w:rFonts w:ascii="Barlow Semi Condensed" w:cs="Barlow Semi Condensed" w:eastAsia="Barlow Semi Condensed" w:hAnsi="Barlow Semi Condensed"/>
          <w:sz w:val="24"/>
          <w:szCs w:val="24"/>
        </w:rPr>
        <w:t xml:space="preserve"> Moro fu eletto all'</w:t>
      </w:r>
      <w:r>
        <w:rPr>
          <w:rFonts w:ascii="Barlow Semi Condensed" w:cs="Barlow Semi Condensed" w:eastAsia="Barlow Semi Condensed" w:hAnsi="Barlow Semi Condensed"/>
          <w:b/>
          <w:bCs/>
          <w:sz w:val="24"/>
          <w:szCs w:val="24"/>
        </w:rPr>
        <w:t xml:space="preserve">Assemblea Costituente</w:t>
      </w:r>
      <w:r>
        <w:rPr>
          <w:rFonts w:ascii="Barlow Semi Condensed" w:cs="Barlow Semi Condensed" w:eastAsia="Barlow Semi Condensed" w:hAnsi="Barlow Semi Condensed"/>
          <w:sz w:val="24"/>
          <w:szCs w:val="24"/>
        </w:rPr>
        <w:t xml:space="preserve">, a ventinove anni, fra i più giovani. Vi lasciò un segno preciso: lavorò alla prima parte della Costituzione, quella dei princìpi e dei diritti, e alla formulazione dei rapporti fra cittadino e Stato. Il costituente Moro non fu un massimalista né un tattico: fu l'uomo che cerca la </w:t>
      </w:r>
      <w:r>
        <w:rPr>
          <w:rFonts w:ascii="Barlow Semi Condensed" w:cs="Barlow Semi Condensed" w:eastAsia="Barlow Semi Condensed" w:hAnsi="Barlow Semi Condensed"/>
          <w:b/>
          <w:bCs/>
          <w:sz w:val="24"/>
          <w:szCs w:val="24"/>
        </w:rPr>
        <w:t xml:space="preserve">formula che tiene insieme</w:t>
      </w:r>
      <w:r>
        <w:rPr>
          <w:rFonts w:ascii="Barlow Semi Condensed" w:cs="Barlow Semi Condensed" w:eastAsia="Barlow Semi Condensed" w:hAnsi="Barlow Semi Condensed"/>
          <w:sz w:val="24"/>
          <w:szCs w:val="24"/>
        </w:rPr>
        <w:t xml:space="preserve"> — il cattolico e il laico, il diritto individuale e la solidarietà sociale — senza che nessuno dei due debba sconfiggere l'altro. È già tutto Moro: la persuasione che la democrazia non sia il campo di battaglia dove una parte vince, ma </w:t>
      </w:r>
      <w:r>
        <w:rPr>
          <w:rFonts w:ascii="Barlow Semi Condensed" w:cs="Barlow Semi Condensed" w:eastAsia="Barlow Semi Condensed" w:hAnsi="Barlow Semi Condensed"/>
          <w:b/>
          <w:bCs/>
          <w:sz w:val="24"/>
          <w:szCs w:val="24"/>
        </w:rPr>
        <w:t xml:space="preserve">l'arte di far coesistere ciò che diverge</w:t>
      </w:r>
      <w:r>
        <w:rPr>
          <w:rFonts w:ascii="Barlow Semi Condensed" w:cs="Barlow Semi Condensed" w:eastAsia="Barlow Semi Condensed" w:hAnsi="Barlow Semi Condensed"/>
          <w:sz w:val="24"/>
          <w:szCs w:val="24"/>
        </w:rPr>
        <w:t xml:space="preserve">.</w:t>
      </w:r>
    </w:p>
    <w:p>
      <w:pPr>
        <w:spacing w:after="120" w:line="276"/>
        <w:jc w:val="both"/>
      </w:pPr>
      <w:r>
        <w:rPr>
          <w:rFonts w:ascii="Barlow Semi Condensed" w:cs="Barlow Semi Condensed" w:eastAsia="Barlow Semi Condensed" w:hAnsi="Barlow Semi Condensed"/>
          <w:sz w:val="24"/>
          <w:szCs w:val="24"/>
        </w:rPr>
        <w:t xml:space="preserve">Da qui la carriera nella Democrazia Cristiana, di cui fu fra i fondatori: segretario del partito, più volte ministro, cinque volte Presidente del Consiglio fra il 1963 e il 1976. Ma le cariche dicono poco di lui. Moro non fu un uomo di potere nel senso corrente — non amava il comando, amava il </w:t>
      </w:r>
      <w:r>
        <w:rPr>
          <w:rFonts w:ascii="Barlow Semi Condensed" w:cs="Barlow Semi Condensed" w:eastAsia="Barlow Semi Condensed" w:hAnsi="Barlow Semi Condensed"/>
          <w:b/>
          <w:bCs/>
          <w:sz w:val="24"/>
          <w:szCs w:val="24"/>
        </w:rPr>
        <w:t xml:space="preserve">processo</w:t>
      </w:r>
      <w:r>
        <w:rPr>
          <w:rFonts w:ascii="Barlow Semi Condensed" w:cs="Barlow Semi Condensed" w:eastAsia="Barlow Semi Condensed" w:hAnsi="Barlow Semi Condensed"/>
          <w:sz w:val="24"/>
          <w:szCs w:val="24"/>
        </w:rPr>
        <w:t xml:space="preserve">: la trattativa lunga, la mediazione sfibrante, la sintesi trovata all'alba dopo notti di riunioni. I suoi discorsi erano lunghi, avvolgenti, spesso oscuri per scelta: perché tenevano aperte più strade finché una non diventava percorribile. Lo si derideva per questo («il modo di dire di Moro»); era invece il suo strumento. </w:t>
      </w:r>
      <w:r>
        <w:rPr>
          <w:rFonts w:ascii="Barlow Semi Condensed" w:cs="Barlow Semi Condensed" w:eastAsia="Barlow Semi Condensed" w:hAnsi="Barlow Semi Condensed"/>
          <w:b/>
          <w:bCs/>
          <w:sz w:val="24"/>
          <w:szCs w:val="24"/>
        </w:rPr>
        <w:t xml:space="preserve">La sua oscurità era una forma di rispetto per la complessità del reale</w:t>
      </w:r>
      <w:r>
        <w:rPr>
          <w:rFonts w:ascii="Barlow Semi Condensed" w:cs="Barlow Semi Condensed" w:eastAsia="Barlow Semi Condensed" w:hAnsi="Barlow Semi Condensed"/>
          <w:sz w:val="24"/>
          <w:szCs w:val="24"/>
        </w:rPr>
        <w:t xml:space="preserve"> — l'esatto contrario della semplificazione che, in quegli stessi anni, armava le pistole.</w:t>
      </w:r>
    </w:p>
    <w:p>
      <w:pPr>
        <w:pStyle w:val="Heading1"/>
        <w:spacing w:after="120" w:before="240"/>
      </w:pPr>
      <w:r>
        <w:rPr>
          <w:rFonts w:ascii="Barlow Semi Condensed" w:cs="Barlow Semi Condensed" w:eastAsia="Barlow Semi Condensed" w:hAnsi="Barlow Semi Condensed"/>
          <w:sz w:val="24"/>
          <w:szCs w:val="24"/>
        </w:rPr>
        <w:t xml:space="preserve">Capitolo sessantaquattresimo — La strategia dell'attenzione</w:t>
      </w:r>
    </w:p>
    <w:p>
      <w:pPr>
        <w:spacing w:after="120" w:line="276"/>
        <w:jc w:val="both"/>
      </w:pPr>
      <w:r>
        <w:rPr>
          <w:rFonts w:ascii="Barlow Semi Condensed" w:cs="Barlow Semi Condensed" w:eastAsia="Barlow Semi Condensed" w:hAnsi="Barlow Semi Condensed"/>
          <w:sz w:val="24"/>
          <w:szCs w:val="24"/>
        </w:rPr>
        <w:t xml:space="preserve">Il cuore del pensiero politico di Moro ha un nome che egli stesso coniò: la </w:t>
      </w:r>
      <w:r>
        <w:rPr>
          <w:rFonts w:ascii="Barlow Semi Condensed" w:cs="Barlow Semi Condensed" w:eastAsia="Barlow Semi Condensed" w:hAnsi="Barlow Semi Condensed"/>
          <w:b/>
          <w:bCs/>
          <w:sz w:val="24"/>
          <w:szCs w:val="24"/>
        </w:rPr>
        <w:t xml:space="preserve">«strategia dell'attenzione»</w:t>
      </w:r>
      <w:r>
        <w:rPr>
          <w:rFonts w:ascii="Barlow Semi Condensed" w:cs="Barlow Semi Condensed" w:eastAsia="Barlow Semi Condensed" w:hAnsi="Barlow Semi Condensed"/>
          <w:sz w:val="24"/>
          <w:szCs w:val="24"/>
        </w:rPr>
        <w:t xml:space="preserve">. La formulò compiutamente nel discorso al primo congresso regionale pugliese della DC, a Bari, il </w:t>
      </w:r>
      <w:r>
        <w:rPr>
          <w:rFonts w:ascii="Barlow Semi Condensed" w:cs="Barlow Semi Condensed" w:eastAsia="Barlow Semi Condensed" w:hAnsi="Barlow Semi Condensed"/>
          <w:b/>
          <w:bCs/>
          <w:sz w:val="24"/>
          <w:szCs w:val="24"/>
        </w:rPr>
        <w:t xml:space="preserve">15 giugno 1969</w:t>
      </w:r>
      <w:r>
        <w:rPr>
          <w:rFonts w:ascii="Barlow Semi Condensed" w:cs="Barlow Semi Condensed" w:eastAsia="Barlow Semi Condensed" w:hAnsi="Barlow Semi Condensed"/>
          <w:sz w:val="24"/>
          <w:szCs w:val="24"/>
        </w:rPr>
        <w:t xml:space="preserve"> (Treccani (https://www.treccani.it/enciclopedia/aldo-moro/); Il progetto politico di Aldo Moro dalla Costituente alla Terza Fase, Piretti (http://www.accademiaaldomoro.org/attivita/trentennale/ConvegnoVarie/Relazioni/Piretti.pdf)). Attenzione a che cosa? All'orizzonte italiano e internazionale che cambiava: il mondo cattolico dopo il Concilio, la sinistra dopo il 1968, un Partito Comunista che si allontanava da Mosca. Moro non proponeva alleanze: proponeva di </w:t>
      </w:r>
      <w:r>
        <w:rPr>
          <w:rFonts w:ascii="Barlow Semi Condensed" w:cs="Barlow Semi Condensed" w:eastAsia="Barlow Semi Condensed" w:hAnsi="Barlow Semi Condensed"/>
          <w:b/>
          <w:bCs/>
          <w:sz w:val="24"/>
          <w:szCs w:val="24"/>
        </w:rPr>
        <w:t xml:space="preserve">guardare</w:t>
      </w:r>
      <w:r>
        <w:rPr>
          <w:rFonts w:ascii="Barlow Semi Condensed" w:cs="Barlow Semi Condensed" w:eastAsia="Barlow Semi Condensed" w:hAnsi="Barlow Semi Condensed"/>
          <w:sz w:val="24"/>
          <w:szCs w:val="24"/>
        </w:rPr>
        <w:t xml:space="preserve"> — di non chiudere pregiudizialmente la porta a forze che la storia aveva radicato nel popolo italiano, e che escludere per sempre avrebbe significato mantenere metà del paese fuori dallo Stato.</w:t>
      </w:r>
    </w:p>
    <w:p>
      <w:pPr>
        <w:spacing w:after="120" w:line="276"/>
        <w:jc w:val="both"/>
      </w:pPr>
      <w:r>
        <w:rPr>
          <w:rFonts w:ascii="Barlow Semi Condensed" w:cs="Barlow Semi Condensed" w:eastAsia="Barlow Semi Condensed" w:hAnsi="Barlow Semi Condensed"/>
          <w:sz w:val="24"/>
          <w:szCs w:val="24"/>
        </w:rPr>
        <w:t xml:space="preserve">La sua tesi, che è la chiave di tutto, la disse così: </w:t>
      </w:r>
      <w:r>
        <w:rPr>
          <w:rFonts w:ascii="Barlow Semi Condensed" w:cs="Barlow Semi Condensed" w:eastAsia="Barlow Semi Condensed" w:hAnsi="Barlow Semi Condensed"/>
          <w:i/>
          <w:iCs/>
          <w:sz w:val="24"/>
          <w:szCs w:val="24"/>
        </w:rPr>
        <w:t xml:space="preserve">quanto più le masse popolari hanno il senso dello Stato attraverso la propria integrazione, tanto più la democrazia sarà forte e si eviteranno le tentazioni autoritarie.</w:t>
      </w:r>
      <w:r>
        <w:rPr>
          <w:rFonts w:ascii="Barlow Semi Condensed" w:cs="Barlow Semi Condensed" w:eastAsia="Barlow Semi Condensed" w:hAnsi="Barlow Semi Condensed"/>
          <w:sz w:val="24"/>
          <w:szCs w:val="24"/>
        </w:rPr>
        <w:t xml:space="preserve"> Si legga con attenzione, perché è il contrario esatto della vulgata che ne fa un cedimento: Moro voleva </w:t>
      </w:r>
      <w:r>
        <w:rPr>
          <w:rFonts w:ascii="Barlow Semi Condensed" w:cs="Barlow Semi Condensed" w:eastAsia="Barlow Semi Condensed" w:hAnsi="Barlow Semi Condensed"/>
          <w:b/>
          <w:bCs/>
          <w:sz w:val="24"/>
          <w:szCs w:val="24"/>
        </w:rPr>
        <w:t xml:space="preserve">integrare per rafforzare lo Stato</w:t>
      </w:r>
      <w:r>
        <w:rPr>
          <w:rFonts w:ascii="Barlow Semi Condensed" w:cs="Barlow Semi Condensed" w:eastAsia="Barlow Semi Condensed" w:hAnsi="Barlow Semi Condensed"/>
          <w:sz w:val="24"/>
          <w:szCs w:val="24"/>
        </w:rPr>
        <w:t xml:space="preserve">, non per indebolirlo. La sua era una strategia di </w:t>
      </w:r>
      <w:r>
        <w:rPr>
          <w:rFonts w:ascii="Barlow Semi Condensed" w:cs="Barlow Semi Condensed" w:eastAsia="Barlow Semi Condensed" w:hAnsi="Barlow Semi Condensed"/>
          <w:b/>
          <w:bCs/>
          <w:sz w:val="24"/>
          <w:szCs w:val="24"/>
        </w:rPr>
        <w:t xml:space="preserve">inclusione come sicurezza</w:t>
      </w:r>
      <w:r>
        <w:rPr>
          <w:rFonts w:ascii="Barlow Semi Condensed" w:cs="Barlow Semi Condensed" w:eastAsia="Barlow Semi Condensed" w:hAnsi="Barlow Semi Condensed"/>
          <w:sz w:val="24"/>
          <w:szCs w:val="24"/>
        </w:rPr>
        <w:t xml:space="preserve">: una democrazia che tiene dentro anche chi la contesta è più solida di una che lo lascia fuori a marcire nel rancore. Chi, a destra, lo accusava di aprire ai comunisti, e chi, nell'estremismo di sinistra, lo odiava come puntello del sistema, condividevano lo stesso errore: non capivano che Moro stava </w:t>
      </w:r>
      <w:r>
        <w:rPr>
          <w:rFonts w:ascii="Barlow Semi Condensed" w:cs="Barlow Semi Condensed" w:eastAsia="Barlow Semi Condensed" w:hAnsi="Barlow Semi Condensed"/>
          <w:b/>
          <w:bCs/>
          <w:sz w:val="24"/>
          <w:szCs w:val="24"/>
        </w:rPr>
        <w:t xml:space="preserve">togliendo ossigeno alla guerra civile</w:t>
      </w:r>
      <w:r>
        <w:rPr>
          <w:rFonts w:ascii="Barlow Semi Condensed" w:cs="Barlow Semi Condensed" w:eastAsia="Barlow Semi Condensed" w:hAnsi="Barlow Semi Condensed"/>
          <w:sz w:val="24"/>
          <w:szCs w:val="24"/>
        </w:rPr>
        <w:t xml:space="preserve"> prima che divampasse. Che sia stato colpito proprio mentre ci riusciva è la tragedia, e non è un caso: era d'ostacolo a chi la guerra civile la voleva.</w:t>
      </w:r>
    </w:p>
    <w:p>
      <w:pPr>
        <w:pStyle w:val="Heading1"/>
        <w:spacing w:after="120" w:before="240"/>
      </w:pPr>
      <w:r>
        <w:rPr>
          <w:rFonts w:ascii="Barlow Semi Condensed" w:cs="Barlow Semi Condensed" w:eastAsia="Barlow Semi Condensed" w:hAnsi="Barlow Semi Condensed"/>
          <w:sz w:val="24"/>
          <w:szCs w:val="24"/>
        </w:rPr>
        <w:t xml:space="preserve">Capitolo sessantacinquesimo — La solidarietà nazionale e la «terza fase»</w:t>
      </w:r>
    </w:p>
    <w:p>
      <w:pPr>
        <w:spacing w:after="120" w:line="276"/>
        <w:jc w:val="both"/>
      </w:pPr>
      <w:r>
        <w:rPr>
          <w:rFonts w:ascii="Barlow Semi Condensed" w:cs="Barlow Semi Condensed" w:eastAsia="Barlow Semi Condensed" w:hAnsi="Barlow Semi Condensed"/>
          <w:sz w:val="24"/>
          <w:szCs w:val="24"/>
        </w:rPr>
        <w:t xml:space="preserve">Dalla strategia dell'attenzione nacque, negli anni Settanta, il disegno della </w:t>
      </w:r>
      <w:r>
        <w:rPr>
          <w:rFonts w:ascii="Barlow Semi Condensed" w:cs="Barlow Semi Condensed" w:eastAsia="Barlow Semi Condensed" w:hAnsi="Barlow Semi Condensed"/>
          <w:b/>
          <w:bCs/>
          <w:sz w:val="24"/>
          <w:szCs w:val="24"/>
        </w:rPr>
        <w:t xml:space="preserve">solidarietà nazionale</w:t>
      </w:r>
      <w:r>
        <w:rPr>
          <w:rFonts w:ascii="Barlow Semi Condensed" w:cs="Barlow Semi Condensed" w:eastAsia="Barlow Semi Condensed" w:hAnsi="Barlow Semi Condensed"/>
          <w:sz w:val="24"/>
          <w:szCs w:val="24"/>
        </w:rPr>
        <w:t xml:space="preserve">: il coinvolgimento del PCI di Enrico Berlinguer — che dal Cile del 1973 aveva tratto la lezione del </w:t>
      </w:r>
      <w:r>
        <w:rPr>
          <w:rFonts w:ascii="Barlow Semi Condensed" w:cs="Barlow Semi Condensed" w:eastAsia="Barlow Semi Condensed" w:hAnsi="Barlow Semi Condensed"/>
          <w:b/>
          <w:bCs/>
          <w:sz w:val="24"/>
          <w:szCs w:val="24"/>
        </w:rPr>
        <w:t xml:space="preserve">compromesso storico</w:t>
      </w:r>
      <w:r>
        <w:rPr>
          <w:rFonts w:ascii="Barlow Semi Condensed" w:cs="Barlow Semi Condensed" w:eastAsia="Barlow Semi Condensed" w:hAnsi="Barlow Semi Condensed"/>
          <w:sz w:val="24"/>
          <w:szCs w:val="24"/>
        </w:rPr>
        <w:t xml:space="preserve"> — nella responsabilità di governo, in una fase di emergenza economica e terroristica. Moro ne fu l'architetto democristiano: non per amore del comunismo, che gli era estraneo, ma per la convinzione che nessuna delle due grandi culture popolari italiane potesse governare da sola il paese in crisi, e che tenerle contrapposte per sempre fosse la ricetta della paralisi o della violenza.</w:t>
      </w:r>
    </w:p>
    <w:p>
      <w:pPr>
        <w:spacing w:after="120" w:line="276"/>
        <w:jc w:val="both"/>
      </w:pPr>
      <w:r>
        <w:rPr>
          <w:rFonts w:ascii="Barlow Semi Condensed" w:cs="Barlow Semi Condensed" w:eastAsia="Barlow Semi Condensed" w:hAnsi="Barlow Semi Condensed"/>
          <w:sz w:val="24"/>
          <w:szCs w:val="24"/>
        </w:rPr>
        <w:t xml:space="preserve">Oltre la solidarietà nazionale, Moro guardava già a una </w:t>
      </w:r>
      <w:r>
        <w:rPr>
          <w:rFonts w:ascii="Barlow Semi Condensed" w:cs="Barlow Semi Condensed" w:eastAsia="Barlow Semi Condensed" w:hAnsi="Barlow Semi Condensed"/>
          <w:b/>
          <w:bCs/>
          <w:sz w:val="24"/>
          <w:szCs w:val="24"/>
        </w:rPr>
        <w:t xml:space="preserve">«terza fase»</w:t>
      </w:r>
      <w:r>
        <w:rPr>
          <w:rFonts w:ascii="Barlow Semi Condensed" w:cs="Barlow Semi Condensed" w:eastAsia="Barlow Semi Condensed" w:hAnsi="Barlow Semi Condensed"/>
          <w:sz w:val="24"/>
          <w:szCs w:val="24"/>
        </w:rPr>
        <w:t xml:space="preserve"> — l'espressione è sua, in un articolo per </w:t>
      </w:r>
      <w:r>
        <w:rPr>
          <w:rFonts w:ascii="Barlow Semi Condensed" w:cs="Barlow Semi Condensed" w:eastAsia="Barlow Semi Condensed" w:hAnsi="Barlow Semi Condensed"/>
          <w:i/>
          <w:iCs/>
          <w:sz w:val="24"/>
          <w:szCs w:val="24"/>
        </w:rPr>
        <w:t xml:space="preserve">Il Giorno</w:t>
      </w:r>
      <w:r>
        <w:rPr>
          <w:rFonts w:ascii="Barlow Semi Condensed" w:cs="Barlow Semi Condensed" w:eastAsia="Barlow Semi Condensed" w:hAnsi="Barlow Semi Condensed"/>
          <w:sz w:val="24"/>
          <w:szCs w:val="24"/>
        </w:rPr>
        <w:t xml:space="preserve"> del dicembre 1976 (Piretti (http://www.accademiaaldomoro.org/attivita/trentennale/ConvegnoVarie/Relazioni/Piretti.pdf)). La prima fase era stata il centrismo degasperiano; la seconda, il centro-sinistra; la terza avrebbe dovuto stabilizzare una </w:t>
      </w:r>
      <w:r>
        <w:rPr>
          <w:rFonts w:ascii="Barlow Semi Condensed" w:cs="Barlow Semi Condensed" w:eastAsia="Barlow Semi Condensed" w:hAnsi="Barlow Semi Condensed"/>
          <w:b/>
          <w:bCs/>
          <w:sz w:val="24"/>
          <w:szCs w:val="24"/>
        </w:rPr>
        <w:t xml:space="preserve">democrazia dell'alternanza</w:t>
      </w:r>
      <w:r>
        <w:rPr>
          <w:rFonts w:ascii="Barlow Semi Condensed" w:cs="Barlow Semi Condensed" w:eastAsia="Barlow Semi Condensed" w:hAnsi="Barlow Semi Condensed"/>
          <w:sz w:val="24"/>
          <w:szCs w:val="24"/>
        </w:rPr>
        <w:t xml:space="preserve">, in cui l'integrazione delle masse nello Stato fosse compiuta e il pluralismo, finalmente, potesse funzionare senza il blocco della «democrazia bloccata» — un sistema in cui la maggioranza non poteva mai cambiare perché una parte era pregiudizialmente esclusa. Era il progetto più ambizioso della Repubblica: </w:t>
      </w:r>
      <w:r>
        <w:rPr>
          <w:rFonts w:ascii="Barlow Semi Condensed" w:cs="Barlow Semi Condensed" w:eastAsia="Barlow Semi Condensed" w:hAnsi="Barlow Semi Condensed"/>
          <w:b/>
          <w:bCs/>
          <w:sz w:val="24"/>
          <w:szCs w:val="24"/>
        </w:rPr>
        <w:t xml:space="preserve">portare a compimento la democrazia italiana</w:t>
      </w:r>
      <w:r>
        <w:rPr>
          <w:rFonts w:ascii="Barlow Semi Condensed" w:cs="Barlow Semi Condensed" w:eastAsia="Barlow Semi Condensed" w:hAnsi="Barlow Semi Condensed"/>
          <w:sz w:val="24"/>
          <w:szCs w:val="24"/>
        </w:rPr>
        <w:t xml:space="preserve">, renderla capace di ricambio senza rivoluzione. Il 16 marzo 1978 Moro andava in Parlamento a vararne il primo passo. Non vi arrivò.</w:t>
      </w:r>
    </w:p>
    <w:p>
      <w:pPr>
        <w:pStyle w:val="Heading1"/>
        <w:spacing w:after="120" w:before="240"/>
      </w:pPr>
      <w:r>
        <w:rPr>
          <w:rFonts w:ascii="Barlow Semi Condensed" w:cs="Barlow Semi Condensed" w:eastAsia="Barlow Semi Condensed" w:hAnsi="Barlow Semi Condensed"/>
          <w:sz w:val="24"/>
          <w:szCs w:val="24"/>
        </w:rPr>
        <w:t xml:space="preserve">Capitolo sessantaseiesimo — Le lettere: la scrittura di un uomo, non di un caso</w:t>
      </w:r>
    </w:p>
    <w:p>
      <w:pPr>
        <w:spacing w:after="120" w:line="276"/>
        <w:jc w:val="both"/>
      </w:pPr>
      <w:r>
        <w:rPr>
          <w:rFonts w:ascii="Barlow Semi Condensed" w:cs="Barlow Semi Condensed" w:eastAsia="Barlow Semi Condensed" w:hAnsi="Barlow Semi Condensed"/>
          <w:sz w:val="24"/>
          <w:szCs w:val="24"/>
        </w:rPr>
        <w:t xml:space="preserve">Delle circa </w:t>
      </w:r>
      <w:r>
        <w:rPr>
          <w:rFonts w:ascii="Barlow Semi Condensed" w:cs="Barlow Semi Condensed" w:eastAsia="Barlow Semi Condensed" w:hAnsi="Barlow Semi Condensed"/>
          <w:b/>
          <w:bCs/>
          <w:sz w:val="24"/>
          <w:szCs w:val="24"/>
        </w:rPr>
        <w:t xml:space="preserve">novanta lettere</w:t>
      </w:r>
      <w:r>
        <w:rPr>
          <w:rFonts w:ascii="Barlow Semi Condensed" w:cs="Barlow Semi Condensed" w:eastAsia="Barlow Semi Condensed" w:hAnsi="Barlow Semi Condensed"/>
          <w:sz w:val="24"/>
          <w:szCs w:val="24"/>
        </w:rPr>
        <w:t xml:space="preserve"> che Moro scrisse dalla «prigione del popolo» fra il marzo e il maggio 1978 il corpus ha già trattato lo statuto documentale (Parte terza, cap. IV; Fase settima, sul Memoriale). Qui se ne rivendica un'altra cosa, che l'analisi giudiziaria non coglie: sono la </w:t>
      </w:r>
      <w:r>
        <w:rPr>
          <w:rFonts w:ascii="Barlow Semi Condensed" w:cs="Barlow Semi Condensed" w:eastAsia="Barlow Semi Condensed" w:hAnsi="Barlow Semi Condensed"/>
          <w:b/>
          <w:bCs/>
          <w:sz w:val="24"/>
          <w:szCs w:val="24"/>
        </w:rPr>
        <w:t xml:space="preserve">scrittura di un uomo</w:t>
      </w:r>
      <w:r>
        <w:rPr>
          <w:rFonts w:ascii="Barlow Semi Condensed" w:cs="Barlow Semi Condensed" w:eastAsia="Barlow Semi Condensed" w:hAnsi="Barlow Semi Condensed"/>
          <w:sz w:val="24"/>
          <w:szCs w:val="24"/>
        </w:rPr>
        <w:t xml:space="preserve">. Non atti, non prove, non pedine: parole di un padre, di un marito, di un cattolico, di un giurista che, sapendo di morire, continua a ragionare, a pregare, a chiedere ai suoi che si distingua e non si condanni.</w:t>
      </w:r>
    </w:p>
    <w:p>
      <w:pPr>
        <w:spacing w:after="120" w:line="276"/>
        <w:jc w:val="both"/>
      </w:pPr>
      <w:r>
        <w:rPr>
          <w:rFonts w:ascii="Barlow Semi Condensed" w:cs="Barlow Semi Condensed" w:eastAsia="Barlow Semi Condensed" w:hAnsi="Barlow Semi Condensed"/>
          <w:sz w:val="24"/>
          <w:szCs w:val="24"/>
        </w:rPr>
        <w:t xml:space="preserve">Su quelle lettere si è consumata una violenza seconda, dopo quella dei sequestratori: la si è dichiarata «non autentica», scritta «sotto costrizione», il Moro prigioniero «non più lui». Fu una tesi comoda — il </w:t>
      </w:r>
      <w:r>
        <w:rPr>
          <w:rFonts w:ascii="Barlow Semi Condensed" w:cs="Barlow Semi Condensed" w:eastAsia="Barlow Semi Condensed" w:hAnsi="Barlow Semi Condensed"/>
          <w:b/>
          <w:bCs/>
          <w:sz w:val="24"/>
          <w:szCs w:val="24"/>
        </w:rPr>
        <w:t xml:space="preserve">partito della fermezza</w:t>
      </w:r>
      <w:r>
        <w:rPr>
          <w:rFonts w:ascii="Barlow Semi Condensed" w:cs="Barlow Semi Condensed" w:eastAsia="Barlow Semi Condensed" w:hAnsi="Barlow Semi Condensed"/>
          <w:sz w:val="24"/>
          <w:szCs w:val="24"/>
        </w:rPr>
        <w:t xml:space="preserve"> aveva bisogno che quelle lettere non contassero, per non trattare — ed è una tesi che offende l'uomo due volte: gli nega la lucidità nel momento della prova, e riduce il suo tormento a un artefatto. Questo corpus la respinge nel merito e nel metodo. </w:t>
      </w:r>
      <w:r>
        <w:rPr>
          <w:rFonts w:ascii="Barlow Semi Condensed" w:cs="Barlow Semi Condensed" w:eastAsia="Barlow Semi Condensed" w:hAnsi="Barlow Semi Condensed"/>
          <w:b/>
          <w:bCs/>
          <w:sz w:val="24"/>
          <w:szCs w:val="24"/>
        </w:rPr>
        <w:t xml:space="preserve">Nel merito</w:t>
      </w:r>
      <w:r>
        <w:rPr>
          <w:rFonts w:ascii="Barlow Semi Condensed" w:cs="Barlow Semi Condensed" w:eastAsia="Barlow Semi Condensed" w:hAnsi="Barlow Semi Condensed"/>
          <w:sz w:val="24"/>
          <w:szCs w:val="24"/>
        </w:rPr>
        <w:t xml:space="preserve">: le perizie e la stessa Commissione non hanno mai stabilito che Moro non fosse padrone delle proprie parole; scriveva sorvegliato, non dettato. </w:t>
      </w:r>
      <w:r>
        <w:rPr>
          <w:rFonts w:ascii="Barlow Semi Condensed" w:cs="Barlow Semi Condensed" w:eastAsia="Barlow Semi Condensed" w:hAnsi="Barlow Semi Condensed"/>
          <w:b/>
          <w:bCs/>
          <w:sz w:val="24"/>
          <w:szCs w:val="24"/>
        </w:rPr>
        <w:t xml:space="preserve">Nel metodo</w:t>
      </w:r>
      <w:r>
        <w:rPr>
          <w:rFonts w:ascii="Barlow Semi Condensed" w:cs="Barlow Semi Condensed" w:eastAsia="Barlow Semi Condensed" w:hAnsi="Barlow Semi Condensed"/>
          <w:sz w:val="24"/>
          <w:szCs w:val="24"/>
        </w:rPr>
        <w:t xml:space="preserve">: dichiarare non-uomo il prigioniero per non doverne ascoltare le ragioni è la mossa che il garante della Fase sesta ha il compito di impedire. Moro nella prigione fu </w:t>
      </w:r>
      <w:r>
        <w:rPr>
          <w:rFonts w:ascii="Barlow Semi Condensed" w:cs="Barlow Semi Condensed" w:eastAsia="Barlow Semi Condensed" w:hAnsi="Barlow Semi Condensed"/>
          <w:b/>
          <w:bCs/>
          <w:sz w:val="24"/>
          <w:szCs w:val="24"/>
        </w:rPr>
        <w:t xml:space="preserve">interamente Moro</w:t>
      </w:r>
      <w:r>
        <w:rPr>
          <w:rFonts w:ascii="Barlow Semi Condensed" w:cs="Barlow Semi Condensed" w:eastAsia="Barlow Semi Condensed" w:hAnsi="Barlow Semi Condensed"/>
          <w:sz w:val="24"/>
          <w:szCs w:val="24"/>
        </w:rPr>
        <w:t xml:space="preserve"> — più solo, più esposto, ma lui. Le sue lettere sono l'ultimo atto della sua intelligenza politica, non la sua smentita.</w:t>
      </w:r>
    </w:p>
    <w:p>
      <w:pPr>
        <w:spacing w:after="120" w:line="276"/>
        <w:jc w:val="both"/>
      </w:pPr>
      <w:r>
        <w:rPr>
          <w:rFonts w:ascii="Barlow Semi Condensed" w:cs="Barlow Semi Condensed" w:eastAsia="Barlow Semi Condensed" w:hAnsi="Barlow Semi Condensed"/>
          <w:sz w:val="24"/>
          <w:szCs w:val="24"/>
        </w:rPr>
        <w:t xml:space="preserve">E in quelle lettere c'è il congedo che gli spetta, e che non gli si può togliere: la richiesta che al suo funerale non venissero «né autorità dello Stato né uomini di partito», ma solo «chi mi ha veramente voluto bene». La famiglia la rispettò. Lo Stato celebrò le esequie senza la salma. È l'ultima, terribile coerenza dell'uomo della mediazione: rifiutare, da morto, la finzione di una solidarietà che da vivo gli era mancata quando contava.</w:t>
      </w:r>
    </w:p>
    <w:p>
      <w:pPr>
        <w:pStyle w:val="Heading1"/>
        <w:spacing w:after="120" w:before="240"/>
      </w:pPr>
      <w:r>
        <w:rPr>
          <w:rFonts w:ascii="Barlow Semi Condensed" w:cs="Barlow Semi Condensed" w:eastAsia="Barlow Semi Condensed" w:hAnsi="Barlow Semi Condensed"/>
          <w:sz w:val="24"/>
          <w:szCs w:val="24"/>
        </w:rPr>
        <w:t xml:space="preserve">Capitolo sessantasettesimo — Perché fu colpito lui: l'ostacolo e la sua grandezza</w:t>
      </w:r>
    </w:p>
    <w:p>
      <w:pPr>
        <w:spacing w:after="120" w:line="276"/>
        <w:jc w:val="both"/>
      </w:pPr>
      <w:r>
        <w:rPr>
          <w:rFonts w:ascii="Barlow Semi Condensed" w:cs="Barlow Semi Condensed" w:eastAsia="Barlow Semi Condensed" w:hAnsi="Barlow Semi Condensed"/>
          <w:sz w:val="24"/>
          <w:szCs w:val="24"/>
        </w:rPr>
        <w:t xml:space="preserve">Si torna, alla fine, alla domanda che apre l'intera opera — </w:t>
      </w:r>
      <w:r>
        <w:rPr>
          <w:rFonts w:ascii="Barlow Semi Condensed" w:cs="Barlow Semi Condensed" w:eastAsia="Barlow Semi Condensed" w:hAnsi="Barlow Semi Condensed"/>
          <w:i/>
          <w:iCs/>
          <w:sz w:val="24"/>
          <w:szCs w:val="24"/>
        </w:rPr>
        <w:t xml:space="preserve">perché lui?</w:t>
      </w:r>
      <w:r>
        <w:rPr>
          <w:rFonts w:ascii="Barlow Semi Condensed" w:cs="Barlow Semi Condensed" w:eastAsia="Barlow Semi Condensed" w:hAnsi="Barlow Semi Condensed"/>
          <w:sz w:val="24"/>
          <w:szCs w:val="24"/>
        </w:rPr>
        <w:t xml:space="preserve"> — ma la si può ora rispondere dal lato giusto, dal lato dell'uomo e non della trama. Moro fu colpito </w:t>
      </w:r>
      <w:r>
        <w:rPr>
          <w:rFonts w:ascii="Barlow Semi Condensed" w:cs="Barlow Semi Condensed" w:eastAsia="Barlow Semi Condensed" w:hAnsi="Barlow Semi Condensed"/>
          <w:b/>
          <w:bCs/>
          <w:sz w:val="24"/>
          <w:szCs w:val="24"/>
        </w:rPr>
        <w:t xml:space="preserve">per ciò che era</w:t>
      </w:r>
      <w:r>
        <w:rPr>
          <w:rFonts w:ascii="Barlow Semi Condensed" w:cs="Barlow Semi Condensed" w:eastAsia="Barlow Semi Condensed" w:hAnsi="Barlow Semi Condensed"/>
          <w:sz w:val="24"/>
          <w:szCs w:val="24"/>
        </w:rPr>
        <w:t xml:space="preserve">, non solo per ciò che rappresentava. Era l'uomo che stava riuscendo nella cosa più difficile: </w:t>
      </w:r>
      <w:r>
        <w:rPr>
          <w:rFonts w:ascii="Barlow Semi Condensed" w:cs="Barlow Semi Condensed" w:eastAsia="Barlow Semi Condensed" w:hAnsi="Barlow Semi Condensed"/>
          <w:b/>
          <w:bCs/>
          <w:sz w:val="24"/>
          <w:szCs w:val="24"/>
        </w:rPr>
        <w:t xml:space="preserve">spegnere con la politica la guerra che altri volevano combattere con le armi.</w:t>
      </w:r>
      <w:r>
        <w:rPr>
          <w:rFonts w:ascii="Barlow Semi Condensed" w:cs="Barlow Semi Condensed" w:eastAsia="Barlow Semi Condensed" w:hAnsi="Barlow Semi Condensed"/>
          <w:sz w:val="24"/>
          <w:szCs w:val="24"/>
        </w:rPr>
        <w:t xml:space="preserve"> Alle Brigate Rosse, che dal mito del Che avevano ereditato il disprezzo per la mediazione parlamentare (è il filo del saggio «Dal Che a Moro» di questo stesso corpus), Moro era il nemico perfetto: non un reazionario da abbattere, ma il </w:t>
      </w:r>
      <w:r>
        <w:rPr>
          <w:rFonts w:ascii="Barlow Semi Condensed" w:cs="Barlow Semi Condensed" w:eastAsia="Barlow Semi Condensed" w:hAnsi="Barlow Semi Condensed"/>
          <w:b/>
          <w:bCs/>
          <w:sz w:val="24"/>
          <w:szCs w:val="24"/>
        </w:rPr>
        <w:t xml:space="preserve">riformatore paziente</w:t>
      </w:r>
      <w:r>
        <w:rPr>
          <w:rFonts w:ascii="Barlow Semi Condensed" w:cs="Barlow Semi Condensed" w:eastAsia="Barlow Semi Condensed" w:hAnsi="Barlow Semi Condensed"/>
          <w:sz w:val="24"/>
          <w:szCs w:val="24"/>
        </w:rPr>
        <w:t xml:space="preserve"> la cui riuscita avrebbe tolto ogni ragione alla lotta armata. Uccidendo lui, colpivano l'idea che la democrazia possa includere senza spezzarsi.</w:t>
      </w:r>
    </w:p>
    <w:p>
      <w:pPr>
        <w:spacing w:after="120" w:line="276"/>
        <w:jc w:val="both"/>
      </w:pPr>
      <w:r>
        <w:rPr>
          <w:rFonts w:ascii="Barlow Semi Condensed" w:cs="Barlow Semi Condensed" w:eastAsia="Barlow Semi Condensed" w:hAnsi="Barlow Semi Condensed"/>
          <w:sz w:val="24"/>
          <w:szCs w:val="24"/>
        </w:rPr>
        <w:t xml:space="preserve">Qui il ritratto e la tesi dell'opera coincidono, e conviene dirlo con l'esattezza che a Moro si deve. </w:t>
      </w:r>
      <w:r>
        <w:rPr>
          <w:rFonts w:ascii="Barlow Semi Condensed" w:cs="Barlow Semi Condensed" w:eastAsia="Barlow Semi Condensed" w:hAnsi="Barlow Semi Condensed"/>
          <w:b/>
          <w:bCs/>
          <w:sz w:val="24"/>
          <w:szCs w:val="24"/>
        </w:rPr>
        <w:t xml:space="preserve">Non che esista un mandante unico</w:t>
      </w:r>
      <w:r>
        <w:rPr>
          <w:rFonts w:ascii="Barlow Semi Condensed" w:cs="Barlow Semi Condensed" w:eastAsia="Barlow Semi Condensed" w:hAnsi="Barlow Semi Condensed"/>
          <w:sz w:val="24"/>
          <w:szCs w:val="24"/>
        </w:rPr>
        <w:t xml:space="preserve">: il corpus lo ha negato pezzo per pezzo, e continua a negarlo. Ma che Moro fosse, per una pluralità di forze diverse e in parte avverse — i terroristi che lo processarono, chi non lo volle salvare, chi temeva il suo disegno —, </w:t>
      </w:r>
      <w:r>
        <w:rPr>
          <w:rFonts w:ascii="Barlow Semi Condensed" w:cs="Barlow Semi Condensed" w:eastAsia="Barlow Semi Condensed" w:hAnsi="Barlow Semi Condensed"/>
          <w:b/>
          <w:bCs/>
          <w:sz w:val="24"/>
          <w:szCs w:val="24"/>
        </w:rPr>
        <w:t xml:space="preserve">un ostacolo che conveniva rimuovere</w:t>
      </w:r>
      <w:r>
        <w:rPr>
          <w:rFonts w:ascii="Barlow Semi Condensed" w:cs="Barlow Semi Condensed" w:eastAsia="Barlow Semi Condensed" w:hAnsi="Barlow Semi Condensed"/>
          <w:sz w:val="24"/>
          <w:szCs w:val="24"/>
        </w:rPr>
        <w:t xml:space="preserve">: questo sì, ed è la sola continuità vera fra i due nomi del corpus. La grandezza di Moro è tutta in questo: fu ucciso non per ciò che aveva fatto di male, ma per ciò che stava per fare di bene. La solitudine dell'uomo di mediazione — odiato da chi la crede tradimento e temuto da chi la crede minaccia — è il vero luogo della tragedia. E in quella solitudine, fino all'ultima lettera, Moro rimase ciò che era sempre stato: </w:t>
      </w:r>
      <w:r>
        <w:rPr>
          <w:rFonts w:ascii="Barlow Semi Condensed" w:cs="Barlow Semi Condensed" w:eastAsia="Barlow Semi Condensed" w:hAnsi="Barlow Semi Condensed"/>
          <w:b/>
          <w:bCs/>
          <w:sz w:val="24"/>
          <w:szCs w:val="24"/>
        </w:rPr>
        <w:t xml:space="preserve">un uomo che credeva che gli uomini, anche i più lontani, potessero essere tenuti insieme.</w:t>
      </w:r>
      <w:r>
        <w:rPr>
          <w:rFonts w:ascii="Barlow Semi Condensed" w:cs="Barlow Semi Condensed" w:eastAsia="Barlow Semi Condensed" w:hAnsi="Barlow Semi Condensed"/>
          <w:sz w:val="24"/>
          <w:szCs w:val="24"/>
        </w:rPr>
        <w:t xml:space="preserve"> È morto di questa fede. È la ragione per cui vale la pena scriverne senza mentire.</w:t>
      </w:r>
    </w:p>
    <w:p>
      <w:pPr>
        <w:pBdr>
          <w:bottom w:val="single" w:color="999999" w:sz="6" w:space="1"/>
        </w:pBdr>
        <w:spacing w:after="80"/>
      </w:pPr>
    </w:p>
    <w:p>
      <w:pPr>
        <w:spacing w:after="120" w:line="276"/>
        <w:jc w:val="both"/>
      </w:pPr>
      <w:r>
        <w:rPr>
          <w:rFonts w:ascii="Barlow Semi Condensed" w:cs="Barlow Semi Condensed" w:eastAsia="Barlow Semi Condensed" w:hAnsi="Barlow Semi Condensed"/>
          <w:i/>
          <w:iCs/>
          <w:sz w:val="24"/>
          <w:szCs w:val="24"/>
        </w:rPr>
        <w:t xml:space="preserve">Congedo della Fase ottava.</w:t>
      </w:r>
      <w:r>
        <w:rPr>
          <w:rFonts w:ascii="Barlow Semi Condensed" w:cs="Barlow Semi Condensed" w:eastAsia="Barlow Semi Condensed" w:hAnsi="Barlow Semi Condensed"/>
          <w:sz w:val="24"/>
          <w:szCs w:val="24"/>
        </w:rPr>
        <w:t xml:space="preserve"> Questa Fase non aggiunge un tassello all'inchiesta: </w:t>
      </w:r>
      <w:r>
        <w:rPr>
          <w:rFonts w:ascii="Barlow Semi Condensed" w:cs="Barlow Semi Condensed" w:eastAsia="Barlow Semi Condensed" w:hAnsi="Barlow Semi Condensed"/>
          <w:b/>
          <w:bCs/>
          <w:sz w:val="24"/>
          <w:szCs w:val="24"/>
        </w:rPr>
        <w:t xml:space="preserve">restituisce il soggetto all'opera.</w:t>
      </w:r>
      <w:r>
        <w:rPr>
          <w:rFonts w:ascii="Barlow Semi Condensed" w:cs="Barlow Semi Condensed" w:eastAsia="Barlow Semi Condensed" w:hAnsi="Barlow Semi Condensed"/>
          <w:sz w:val="24"/>
          <w:szCs w:val="24"/>
        </w:rPr>
        <w:t xml:space="preserve"> Prima del caso, prima dei processi, prima delle reti, c'è un uomo di Maglie che insegnava diritto penale e credeva nella pazienza come forma della politica. Tutto il resto — la macchina del sospetto, i gradi di prova, il divieto di imputare — ha senso solo se serve a lui: a non lasciare che l'assassinio di Aldo Moro diventi, una seconda volta, il pretesto per dimenticare Aldo Moro. La guerra senza fine ha molti nomi; ma ne ha uno che viene prima di tutti, ed è il suo. </w:t>
      </w:r>
      <w:r>
        <w:rPr>
          <w:rFonts w:ascii="Barlow Semi Condensed" w:cs="Barlow Semi Condensed" w:eastAsia="Barlow Semi Condensed" w:hAnsi="Barlow Semi Condensed"/>
          <w:i/>
          <w:iCs/>
          <w:sz w:val="24"/>
          <w:szCs w:val="24"/>
        </w:rPr>
        <w:t xml:space="preserve">A lui, e non alla trama, questa Fase è dedicata.</w:t>
      </w:r>
    </w:p>
    <w:p>
      <w:pPr>
        <w:pBdr>
          <w:bottom w:val="single" w:color="999999" w:sz="6" w:space="1"/>
        </w:pBdr>
        <w:spacing w:after="80"/>
      </w:pPr>
    </w:p>
    <w:p>
      <w:pPr>
        <w:spacing w:after="120" w:line="276"/>
        <w:jc w:val="both"/>
      </w:pPr>
      <w:r>
        <w:rPr>
          <w:rFonts w:ascii="Barlow Semi Condensed" w:cs="Barlow Semi Condensed" w:eastAsia="Barlow Semi Condensed" w:hAnsi="Barlow Semi Condensed"/>
          <w:i/>
          <w:iCs/>
          <w:sz w:val="24"/>
          <w:szCs w:val="24"/>
        </w:rPr>
        <w:t xml:space="preserve">Fase ottava dell'opera «Aldo Moro — Una guerra senza fine» (capp. 62-67). Rimette al centro dell'opera l'uomo e lo statista: la formazione (Maglie 1916, FUCI, il diritto penale a Bari), il costituente, la strategia dell'attenzione (Bari, 15 giugno 1969), la solidarietà nazionale e la «terza fase» (Il Giorno, dicembre 1976), le lettere come scrittura di un uomo e non atti di un caso, la ragione umana per cui fu colpito. Prosa piana su un uomo reale, senza pastiche; le idee citate dai suoi scritti e discorsi pubblici. Fonti: Treccani; gli studi dell'Accademia Aldo Moro. Nessuna imputazione oltre il giudicato; nessuna graduatoria. Il ritratto e la tesi coincidono nel solo punto documentato: Moro come ostacolo alla guerra che altri volevano.</w:t>
      </w:r>
    </w:p>
    <w:p>
      <w:pPr>
        <w:pStyle w:val="Heading3"/>
        <w:spacing w:after="80" w:before="240"/>
      </w:pPr>
      <w:r>
        <w:rPr>
          <w:rFonts w:ascii="Barlow Semi Condensed" w:cs="Barlow Semi Condensed" w:eastAsia="Barlow Semi Condensed" w:hAnsi="Barlow Semi Condensed"/>
          <w:sz w:val="24"/>
          <w:szCs w:val="24"/>
        </w:rPr>
        <w:t xml:space="preserve">Apparato grafico — Libro primo · Il ritratto: l'uomo prima del caso</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Libro primo: 2.163 parole in 3 sezioni; la più ampia è §3 Segmento 3, con 795.</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Libro primo: 27 paragrafi in 3 sezioni, 9 in media per sezione.</w:t>
      </w:r>
    </w:p>
    <w:p>
      <w:pPr>
        <w:spacing w:after="120"/>
        <w:jc w:val="center"/>
      </w:pPr>
      <w:r>
        <w:rPr>
          <w:rFonts w:ascii="Barlow Semi Condensed" w:cs="Barlow Semi Condensed" w:eastAsia="Barlow Semi Condensed" w:hAnsi="Barlow Semi Condensed"/>
          <w:color w:val="777777"/>
          <w:sz w:val="16"/>
          <w:szCs w:val="16"/>
        </w:rPr>
        <w:t xml:space="preserve">Le metriche dell'apparato contano parole, documenti e atti — mai colpe.</w:t>
      </w:r>
    </w:p>
    <w:p>
      <w:r>
        <w:br w:type="page"/>
      </w:r>
    </w:p>
    <w:p>
      <w:pPr>
        <w:pStyle w:val="Heading1"/>
        <w:spacing w:after="120" w:before="240"/>
      </w:pPr>
      <w:r>
        <w:rPr>
          <w:rFonts w:ascii="Barlow Semi Condensed" w:cs="Barlow Semi Condensed" w:eastAsia="Barlow Semi Condensed" w:hAnsi="Barlow Semi Condensed"/>
          <w:sz w:val="24"/>
          <w:szCs w:val="24"/>
        </w:rPr>
        <w:t xml:space="preserve">Libro secondo — Dal Che a Moro: il saggio-cerniera</w:t>
      </w:r>
    </w:p>
    <w:p>
      <w:pPr>
        <w:pStyle w:val="Heading1"/>
        <w:spacing w:after="120" w:before="240"/>
      </w:pPr>
      <w:r>
        <w:rPr>
          <w:rFonts w:ascii="Barlow Semi Condensed" w:cs="Barlow Semi Condensed" w:eastAsia="Barlow Semi Condensed" w:hAnsi="Barlow Semi Condensed"/>
          <w:sz w:val="24"/>
          <w:szCs w:val="24"/>
        </w:rPr>
        <w:t xml:space="preserve">Dal Che a Moro: una guerra senza fine</w:t>
      </w:r>
    </w:p>
    <w:p>
      <w:pPr>
        <w:spacing w:after="120" w:line="276"/>
        <w:jc w:val="both"/>
      </w:pPr>
      <w:r>
        <w:rPr>
          <w:rFonts w:ascii="Barlow Semi Condensed" w:cs="Barlow Semi Condensed" w:eastAsia="Barlow Semi Condensed" w:hAnsi="Barlow Semi Condensed"/>
          <w:i/>
          <w:iCs/>
          <w:sz w:val="24"/>
          <w:szCs w:val="24"/>
        </w:rPr>
        <w:t xml:space="preserve">Saggio di sintesi — 24 agosto 2026</w:t>
      </w:r>
    </w:p>
    <w:p>
      <w:pPr>
        <w:pBdr>
          <w:left w:val="single" w:color="1F3864" w:sz="18" w:space="8"/>
        </w:pBdr>
        <w:spacing w:after="80" w:before="80"/>
        <w:ind w:left="360" w:right="360"/>
        <w:jc w:val="both"/>
      </w:pPr>
      <w:r>
        <w:rPr>
          <w:rFonts w:ascii="Barlow Semi Condensed" w:cs="Barlow Semi Condensed" w:eastAsia="Barlow Semi Condensed" w:hAnsi="Barlow Semi Condensed"/>
          <w:b/>
          <w:bCs/>
          <w:i w:val="false"/>
          <w:iCs w:val="false"/>
          <w:sz w:val="24"/>
          <w:szCs w:val="24"/>
        </w:rPr>
        <w:t xml:space="preserve">Avvertenza necessaria, in tre punti.</w:t>
      </w:r>
      <w:r>
        <w:rPr>
          <w:rFonts w:ascii="Barlow Semi Condensed" w:cs="Barlow Semi Condensed" w:eastAsia="Barlow Semi Condensed" w:hAnsi="Barlow Semi Condensed"/>
          <w:i w:val="false"/>
          <w:iCs w:val="false"/>
          <w:sz w:val="24"/>
          <w:szCs w:val="24"/>
        </w:rPr>
        <w:t xml:space="preserve"> 1. Questo è un </w:t>
      </w:r>
      <w:r>
        <w:rPr>
          <w:rFonts w:ascii="Barlow Semi Condensed" w:cs="Barlow Semi Condensed" w:eastAsia="Barlow Semi Condensed" w:hAnsi="Barlow Semi Condensed"/>
          <w:b/>
          <w:bCs/>
          <w:i w:val="false"/>
          <w:iCs w:val="false"/>
          <w:sz w:val="24"/>
          <w:szCs w:val="24"/>
        </w:rPr>
        <w:t xml:space="preserve">saggio originale di sintesi</w:t>
      </w:r>
      <w:r>
        <w:rPr>
          <w:rFonts w:ascii="Barlow Semi Condensed" w:cs="Barlow Semi Condensed" w:eastAsia="Barlow Semi Condensed" w:hAnsi="Barlow Semi Condensed"/>
          <w:i w:val="false"/>
          <w:iCs w:val="false"/>
          <w:sz w:val="24"/>
          <w:szCs w:val="24"/>
        </w:rPr>
        <w:t xml:space="preserve">, che raccoglie i fili del corpus prodotto in questa sede (i tre studi su Ernesto Guevara, la triangolazione Guevara–Moro, la ricostruzione del vettore Feltrinelli). Non riproduce testi altrui. 2. La </w:t>
      </w:r>
      <w:r>
        <w:rPr>
          <w:rFonts w:ascii="Barlow Semi Condensed" w:cs="Barlow Semi Condensed" w:eastAsia="Barlow Semi Condensed" w:hAnsi="Barlow Semi Condensed"/>
          <w:b/>
          <w:bCs/>
          <w:i w:val="false"/>
          <w:iCs w:val="false"/>
          <w:sz w:val="24"/>
          <w:szCs w:val="24"/>
        </w:rPr>
        <w:t xml:space="preserve">Parte quarta è un pastiche letterario dichiarato</w:t>
      </w:r>
      <w:r>
        <w:rPr>
          <w:rFonts w:ascii="Barlow Semi Condensed" w:cs="Barlow Semi Condensed" w:eastAsia="Barlow Semi Condensed" w:hAnsi="Barlow Semi Condensed"/>
          <w:i w:val="false"/>
          <w:iCs w:val="false"/>
          <w:sz w:val="24"/>
          <w:szCs w:val="24"/>
        </w:rPr>
        <w:t xml:space="preserve">: una meditazione immaginata nello stile di Aldo Moro. </w:t>
      </w:r>
      <w:r>
        <w:rPr>
          <w:rFonts w:ascii="Barlow Semi Condensed" w:cs="Barlow Semi Condensed" w:eastAsia="Barlow Semi Condensed" w:hAnsi="Barlow Semi Condensed"/>
          <w:b/>
          <w:bCs/>
          <w:i w:val="false"/>
          <w:iCs w:val="false"/>
          <w:sz w:val="24"/>
          <w:szCs w:val="24"/>
        </w:rPr>
        <w:t xml:space="preserve">Non sono parole di Aldo Moro, non gli sono attribuibili, non riproducono suoi scritti.</w:t>
      </w:r>
      <w:r>
        <w:rPr>
          <w:rFonts w:ascii="Barlow Semi Condensed" w:cs="Barlow Semi Condensed" w:eastAsia="Barlow Semi Condensed" w:hAnsi="Barlow Semi Condensed"/>
          <w:i w:val="false"/>
          <w:iCs w:val="false"/>
          <w:sz w:val="24"/>
          <w:szCs w:val="24"/>
        </w:rPr>
        <w:t xml:space="preserve"> Moro fu un uomo reale, rapito e ucciso; per rispetto della sua persona e della verità, quella sezione non gli mette in bocca alcuna rivelazione di fatto: è esercizio di voce, non documento. Le affermazioni fattuali dell'opera stanno nelle parti in prosa piana, con i loro gradi di prova. 3. Vale qui la disciplina di tutto il corpus: si distingue sempre ciò che è </w:t>
      </w:r>
      <w:r>
        <w:rPr>
          <w:rFonts w:ascii="Barlow Semi Condensed" w:cs="Barlow Semi Condensed" w:eastAsia="Barlow Semi Condensed" w:hAnsi="Barlow Semi Condensed"/>
          <w:b/>
          <w:bCs/>
          <w:i w:val="false"/>
          <w:iCs w:val="false"/>
          <w:sz w:val="24"/>
          <w:szCs w:val="24"/>
        </w:rPr>
        <w:t xml:space="preserve">documentato</w:t>
      </w:r>
      <w:r>
        <w:rPr>
          <w:rFonts w:ascii="Barlow Semi Condensed" w:cs="Barlow Semi Condensed" w:eastAsia="Barlow Semi Condensed" w:hAnsi="Barlow Semi Condensed"/>
          <w:i w:val="false"/>
          <w:iCs w:val="false"/>
          <w:sz w:val="24"/>
          <w:szCs w:val="24"/>
        </w:rPr>
        <w:t xml:space="preserve"> (rapporto provato), ciò che è </w:t>
      </w:r>
      <w:r>
        <w:rPr>
          <w:rFonts w:ascii="Barlow Semi Condensed" w:cs="Barlow Semi Condensed" w:eastAsia="Barlow Semi Condensed" w:hAnsi="Barlow Semi Condensed"/>
          <w:b/>
          <w:bCs/>
          <w:i w:val="false"/>
          <w:iCs w:val="false"/>
          <w:sz w:val="24"/>
          <w:szCs w:val="24"/>
        </w:rPr>
        <w:t xml:space="preserve">convergenza</w:t>
      </w:r>
      <w:r>
        <w:rPr>
          <w:rFonts w:ascii="Barlow Semi Condensed" w:cs="Barlow Semi Condensed" w:eastAsia="Barlow Semi Condensed" w:hAnsi="Barlow Semi Condensed"/>
          <w:i w:val="false"/>
          <w:iCs w:val="false"/>
          <w:sz w:val="24"/>
          <w:szCs w:val="24"/>
        </w:rPr>
        <w:t xml:space="preserve"> (stessa cornice, stesso tempo) e ciò che è </w:t>
      </w:r>
      <w:r>
        <w:rPr>
          <w:rFonts w:ascii="Barlow Semi Condensed" w:cs="Barlow Semi Condensed" w:eastAsia="Barlow Semi Condensed" w:hAnsi="Barlow Semi Condensed"/>
          <w:b/>
          <w:bCs/>
          <w:i w:val="false"/>
          <w:iCs w:val="false"/>
          <w:sz w:val="24"/>
          <w:szCs w:val="24"/>
        </w:rPr>
        <w:t xml:space="preserve">congettura</w:t>
      </w:r>
      <w:r>
        <w:rPr>
          <w:rFonts w:ascii="Barlow Semi Condensed" w:cs="Barlow Semi Condensed" w:eastAsia="Barlow Semi Condensed" w:hAnsi="Barlow Semi Condensed"/>
          <w:i w:val="false"/>
          <w:iCs w:val="false"/>
          <w:sz w:val="24"/>
          <w:szCs w:val="24"/>
        </w:rPr>
        <w:t xml:space="preserve">. La tesi del titolo — «una guerra senza fine» — è una </w:t>
      </w:r>
      <w:r>
        <w:rPr>
          <w:rFonts w:ascii="Barlow Semi Condensed" w:cs="Barlow Semi Condensed" w:eastAsia="Barlow Semi Condensed" w:hAnsi="Barlow Semi Condensed"/>
          <w:b/>
          <w:bCs/>
          <w:i w:val="false"/>
          <w:iCs w:val="false"/>
          <w:sz w:val="24"/>
          <w:szCs w:val="24"/>
        </w:rPr>
        <w:t xml:space="preserve">chiave interpretativa</w:t>
      </w:r>
      <w:r>
        <w:rPr>
          <w:rFonts w:ascii="Barlow Semi Condensed" w:cs="Barlow Semi Condensed" w:eastAsia="Barlow Semi Condensed" w:hAnsi="Barlow Semi Condensed"/>
          <w:i w:val="false"/>
          <w:iCs w:val="false"/>
          <w:sz w:val="24"/>
          <w:szCs w:val="24"/>
        </w:rPr>
        <w:t xml:space="preserve">, non un fatto acquisito: va letta come lente, non come sentenza.</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Parte prima — La tesi, e i suoi limiti</w:t>
      </w:r>
    </w:p>
    <w:p>
      <w:pPr>
        <w:spacing w:after="120" w:line="276"/>
        <w:jc w:val="both"/>
      </w:pPr>
      <w:r>
        <w:rPr>
          <w:rFonts w:ascii="Barlow Semi Condensed" w:cs="Barlow Semi Condensed" w:eastAsia="Barlow Semi Condensed" w:hAnsi="Barlow Semi Condensed"/>
          <w:sz w:val="24"/>
          <w:szCs w:val="24"/>
        </w:rPr>
        <w:t xml:space="preserve">C'è un modo suggestivo e falso di raccontare il Novecento: come un unico complotto, una piovra che dal Cile all'Italia, da Brighton Beach all'Avana, muove i suoi tentacoli secondo un disegno. È il modo che questo corpus ha imparato a diffidare, verifica dopo verifica: dove la pubblicistica vede un organismo, la documentazione trova quasi sempre un </w:t>
      </w:r>
      <w:r>
        <w:rPr>
          <w:rFonts w:ascii="Barlow Semi Condensed" w:cs="Barlow Semi Condensed" w:eastAsia="Barlow Semi Condensed" w:hAnsi="Barlow Semi Condensed"/>
          <w:b/>
          <w:bCs/>
          <w:sz w:val="24"/>
          <w:szCs w:val="24"/>
        </w:rPr>
        <w:t xml:space="preserve">ecosistema</w:t>
      </w:r>
      <w:r>
        <w:rPr>
          <w:rFonts w:ascii="Barlow Semi Condensed" w:cs="Barlow Semi Condensed" w:eastAsia="Barlow Semi Condensed" w:hAnsi="Barlow Semi Condensed"/>
          <w:sz w:val="24"/>
          <w:szCs w:val="24"/>
        </w:rPr>
        <w:t xml:space="preserve"> — attori diversi, con risorse, gerarchie e regole proprie, che condividono il tempo, il nemico e talvolta gli uomini, ma non la struttura.</w:t>
      </w:r>
    </w:p>
    <w:p>
      <w:pPr>
        <w:spacing w:after="120" w:line="276"/>
        <w:jc w:val="both"/>
      </w:pPr>
      <w:r>
        <w:rPr>
          <w:rFonts w:ascii="Barlow Semi Condensed" w:cs="Barlow Semi Condensed" w:eastAsia="Barlow Semi Condensed" w:hAnsi="Barlow Semi Condensed"/>
          <w:sz w:val="24"/>
          <w:szCs w:val="24"/>
        </w:rPr>
        <w:t xml:space="preserve">E però resta un fatto che nessuna prudenza cancella: fra la fucilazione di Ernesto Guevara alla Higuera, il 9 ottobre 1967, e l'assassinio di Aldo Moro in via Caetani, il 9 maggio 1978, corrono meno di undici anni, la stessa lingua ideologica e — questo è il punto — </w:t>
      </w:r>
      <w:r>
        <w:rPr>
          <w:rFonts w:ascii="Barlow Semi Condensed" w:cs="Barlow Semi Condensed" w:eastAsia="Barlow Semi Condensed" w:hAnsi="Barlow Semi Condensed"/>
          <w:b/>
          <w:bCs/>
          <w:sz w:val="24"/>
          <w:szCs w:val="24"/>
        </w:rPr>
        <w:t xml:space="preserve">lo stesso campo di battaglia</w:t>
      </w:r>
      <w:r>
        <w:rPr>
          <w:rFonts w:ascii="Barlow Semi Condensed" w:cs="Barlow Semi Condensed" w:eastAsia="Barlow Semi Condensed" w:hAnsi="Barlow Semi Condensed"/>
          <w:sz w:val="24"/>
          <w:szCs w:val="24"/>
        </w:rPr>
        <w:t xml:space="preserve">. Non un complotto: una </w:t>
      </w:r>
      <w:r>
        <w:rPr>
          <w:rFonts w:ascii="Barlow Semi Condensed" w:cs="Barlow Semi Condensed" w:eastAsia="Barlow Semi Condensed" w:hAnsi="Barlow Semi Condensed"/>
          <w:b/>
          <w:bCs/>
          <w:sz w:val="24"/>
          <w:szCs w:val="24"/>
        </w:rPr>
        <w:t xml:space="preserve">guerra</w:t>
      </w:r>
      <w:r>
        <w:rPr>
          <w:rFonts w:ascii="Barlow Semi Condensed" w:cs="Barlow Semi Condensed" w:eastAsia="Barlow Semi Condensed" w:hAnsi="Barlow Semi Condensed"/>
          <w:sz w:val="24"/>
          <w:szCs w:val="24"/>
        </w:rPr>
        <w:t xml:space="preserve">. La lunga guerra civile fredda che attraversò l'Occidente dal 1945, combattuta non fra Stati ma dentro le società, con le armi della sovversione e della controsovversione, del mito e del terrore. In quella guerra il Che fu una bandiera e Moro un bersaglio; e il filo che li lega non è una catena di comando, ma una </w:t>
      </w:r>
      <w:r>
        <w:rPr>
          <w:rFonts w:ascii="Barlow Semi Condensed" w:cs="Barlow Semi Condensed" w:eastAsia="Barlow Semi Condensed" w:hAnsi="Barlow Semi Condensed"/>
          <w:b/>
          <w:bCs/>
          <w:sz w:val="24"/>
          <w:szCs w:val="24"/>
        </w:rPr>
        <w:t xml:space="preserve">eredità che degenera</w:t>
      </w:r>
      <w:r>
        <w:rPr>
          <w:rFonts w:ascii="Barlow Semi Condensed" w:cs="Barlow Semi Condensed" w:eastAsia="Barlow Semi Condensed" w:hAnsi="Barlow Semi Condensed"/>
          <w:sz w:val="24"/>
          <w:szCs w:val="24"/>
        </w:rPr>
        <w:t xml:space="preserve">: il mito rivoluzionario che, importato e travisato, si rovescia nel suo contrario.</w:t>
      </w:r>
    </w:p>
    <w:p>
      <w:pPr>
        <w:spacing w:after="120" w:line="276"/>
        <w:jc w:val="both"/>
      </w:pPr>
      <w:r>
        <w:rPr>
          <w:rFonts w:ascii="Barlow Semi Condensed" w:cs="Barlow Semi Condensed" w:eastAsia="Barlow Semi Condensed" w:hAnsi="Barlow Semi Condensed"/>
          <w:sz w:val="24"/>
          <w:szCs w:val="24"/>
        </w:rPr>
        <w:t xml:space="preserve">Questa è la tesi. La si tenga per quello che è — una lente — mentre ne verifichiamo i giunti.</w:t>
      </w:r>
    </w:p>
    <w:p>
      <w:pPr>
        <w:pStyle w:val="Heading2"/>
        <w:spacing w:after="100" w:before="200"/>
      </w:pPr>
      <w:r>
        <w:rPr>
          <w:rFonts w:ascii="Barlow Semi Condensed" w:cs="Barlow Semi Condensed" w:eastAsia="Barlow Semi Condensed" w:hAnsi="Barlow Semi Condensed"/>
          <w:sz w:val="24"/>
          <w:szCs w:val="24"/>
        </w:rPr>
        <w:t xml:space="preserve">Parte seconda — Il Che: un mito e il suo vettore</w:t>
      </w:r>
    </w:p>
    <w:p>
      <w:pPr>
        <w:spacing w:after="120" w:line="276"/>
        <w:jc w:val="both"/>
      </w:pPr>
      <w:r>
        <w:rPr>
          <w:rFonts w:ascii="Barlow Semi Condensed" w:cs="Barlow Semi Condensed" w:eastAsia="Barlow Semi Condensed" w:hAnsi="Barlow Semi Condensed"/>
          <w:sz w:val="24"/>
          <w:szCs w:val="24"/>
        </w:rPr>
        <w:t xml:space="preserve">Guevara morì due volte. La prima da uomo, in una scuola di fango della Bolivia, tradito dalla sproporzione impossibile fra la dottrina del </w:t>
      </w:r>
      <w:r>
        <w:rPr>
          <w:rFonts w:ascii="Barlow Semi Condensed" w:cs="Barlow Semi Condensed" w:eastAsia="Barlow Semi Condensed" w:hAnsi="Barlow Semi Condensed"/>
          <w:i/>
          <w:iCs/>
          <w:sz w:val="24"/>
          <w:szCs w:val="24"/>
        </w:rPr>
        <w:t xml:space="preserve">foco</w:t>
      </w:r>
      <w:r>
        <w:rPr>
          <w:rFonts w:ascii="Barlow Semi Condensed" w:cs="Barlow Semi Condensed" w:eastAsia="Barlow Semi Condensed" w:hAnsi="Barlow Semi Condensed"/>
          <w:sz w:val="24"/>
          <w:szCs w:val="24"/>
        </w:rPr>
        <w:t xml:space="preserve"> e la realtà contadina che quella dottrina presupponeva e non trovava — in Congo prima, in Bolivia poi. La seconda volta rinacque come immagine, e questa seconda vita fu opera di un uomo e di una macchina editoriale precisi.</w:t>
      </w:r>
    </w:p>
    <w:p>
      <w:pPr>
        <w:spacing w:after="120" w:line="276"/>
        <w:jc w:val="both"/>
      </w:pPr>
      <w:r>
        <w:rPr>
          <w:rFonts w:ascii="Barlow Semi Condensed" w:cs="Barlow Semi Condensed" w:eastAsia="Barlow Semi Condensed" w:hAnsi="Barlow Semi Condensed"/>
          <w:sz w:val="24"/>
          <w:szCs w:val="24"/>
        </w:rPr>
        <w:t xml:space="preserve">L'uomo è </w:t>
      </w:r>
      <w:r>
        <w:rPr>
          <w:rFonts w:ascii="Barlow Semi Condensed" w:cs="Barlow Semi Condensed" w:eastAsia="Barlow Semi Condensed" w:hAnsi="Barlow Semi Condensed"/>
          <w:b/>
          <w:bCs/>
          <w:sz w:val="24"/>
          <w:szCs w:val="24"/>
        </w:rPr>
        <w:t xml:space="preserve">Giangiacomo Feltrinelli</w:t>
      </w:r>
      <w:r>
        <w:rPr>
          <w:rFonts w:ascii="Barlow Semi Condensed" w:cs="Barlow Semi Condensed" w:eastAsia="Barlow Semi Condensed" w:hAnsi="Barlow Semi Condensed"/>
          <w:sz w:val="24"/>
          <w:szCs w:val="24"/>
        </w:rPr>
        <w:t xml:space="preserve">. La macchina è la sua casa editrice. Nel 1967 Feltrinelli fece della fotografia di Alberto Korda — il </w:t>
      </w:r>
      <w:r>
        <w:rPr>
          <w:rFonts w:ascii="Barlow Semi Condensed" w:cs="Barlow Semi Condensed" w:eastAsia="Barlow Semi Condensed" w:hAnsi="Barlow Semi Condensed"/>
          <w:i/>
          <w:iCs/>
          <w:sz w:val="24"/>
          <w:szCs w:val="24"/>
        </w:rPr>
        <w:t xml:space="preserve">Guerrillero Heroico</w:t>
      </w:r>
      <w:r>
        <w:rPr>
          <w:rFonts w:ascii="Barlow Semi Condensed" w:cs="Barlow Semi Condensed" w:eastAsia="Barlow Semi Condensed" w:hAnsi="Barlow Semi Condensed"/>
          <w:sz w:val="24"/>
          <w:szCs w:val="24"/>
        </w:rPr>
        <w:t xml:space="preserve">, scattato all'Avana nel 1960 — un </w:t>
      </w:r>
      <w:r>
        <w:rPr>
          <w:rFonts w:ascii="Barlow Semi Condensed" w:cs="Barlow Semi Condensed" w:eastAsia="Barlow Semi Condensed" w:hAnsi="Barlow Semi Condensed"/>
          <w:b/>
          <w:bCs/>
          <w:sz w:val="24"/>
          <w:szCs w:val="24"/>
        </w:rPr>
        <w:t xml:space="preserve">manifesto</w:t>
      </w:r>
      <w:r>
        <w:rPr>
          <w:rFonts w:ascii="Barlow Semi Condensed" w:cs="Barlow Semi Condensed" w:eastAsia="Barlow Semi Condensed" w:hAnsi="Barlow Semi Condensed"/>
          <w:sz w:val="24"/>
          <w:szCs w:val="24"/>
        </w:rPr>
        <w:t xml:space="preserve">; nel 1968 la pose in copertina al </w:t>
      </w:r>
      <w:r>
        <w:rPr>
          <w:rFonts w:ascii="Barlow Semi Condensed" w:cs="Barlow Semi Condensed" w:eastAsia="Barlow Semi Condensed" w:hAnsi="Barlow Semi Condensed"/>
          <w:i/>
          <w:iCs/>
          <w:sz w:val="24"/>
          <w:szCs w:val="24"/>
        </w:rPr>
        <w:t xml:space="preserve">Diario in Bolivia</w:t>
      </w:r>
      <w:r>
        <w:rPr>
          <w:rFonts w:ascii="Barlow Semi Condensed" w:cs="Barlow Semi Condensed" w:eastAsia="Barlow Semi Condensed" w:hAnsi="Barlow Semi Condensed"/>
          <w:sz w:val="24"/>
          <w:szCs w:val="24"/>
        </w:rPr>
        <w:t xml:space="preserve">, con prefazione di Fidel Castro. Da lì l'icona partì per il mondo. Ma Feltrinelli non fu soltanto un editore: fu il fondatore dei </w:t>
      </w:r>
      <w:r>
        <w:rPr>
          <w:rFonts w:ascii="Barlow Semi Condensed" w:cs="Barlow Semi Condensed" w:eastAsia="Barlow Semi Condensed" w:hAnsi="Barlow Semi Condensed"/>
          <w:b/>
          <w:bCs/>
          <w:sz w:val="24"/>
          <w:szCs w:val="24"/>
        </w:rPr>
        <w:t xml:space="preserve">Gruppi d'Azione Partigiana</w:t>
      </w:r>
      <w:r>
        <w:rPr>
          <w:rFonts w:ascii="Barlow Semi Condensed" w:cs="Barlow Semi Condensed" w:eastAsia="Barlow Semi Condensed" w:hAnsi="Barlow Semi Condensed"/>
          <w:sz w:val="24"/>
          <w:szCs w:val="24"/>
        </w:rPr>
        <w:t xml:space="preserve"> (1970), primo nucleo organizzato della lotta armata italiana, e morì nel 1972 sotto un traliccio a Segrate, saltando con l'esplosivo che maneggiava.</w:t>
      </w:r>
    </w:p>
    <w:p>
      <w:pPr>
        <w:spacing w:after="120" w:line="276"/>
        <w:jc w:val="both"/>
      </w:pPr>
      <w:r>
        <w:rPr>
          <w:rFonts w:ascii="Barlow Semi Condensed" w:cs="Barlow Semi Condensed" w:eastAsia="Barlow Semi Condensed" w:hAnsi="Barlow Semi Condensed"/>
          <w:sz w:val="24"/>
          <w:szCs w:val="24"/>
        </w:rPr>
        <w:t xml:space="preserve">Qui il corpus è netto, e il grado di prova è alto: </w:t>
      </w:r>
      <w:r>
        <w:rPr>
          <w:rFonts w:ascii="Barlow Semi Condensed" w:cs="Barlow Semi Condensed" w:eastAsia="Barlow Semi Condensed" w:hAnsi="Barlow Semi Condensed"/>
          <w:b/>
          <w:bCs/>
          <w:sz w:val="24"/>
          <w:szCs w:val="24"/>
        </w:rPr>
        <w:t xml:space="preserve">le Brigate Rosse — fondate al convegno di Pecorile nell'agosto 1970 — presero a modello individuale di riferimento proprio Ernesto Guevara</w:t>
      </w:r>
      <w:r>
        <w:rPr>
          <w:rFonts w:ascii="Barlow Semi Condensed" w:cs="Barlow Semi Condensed" w:eastAsia="Barlow Semi Condensed" w:hAnsi="Barlow Semi Condensed"/>
          <w:sz w:val="24"/>
          <w:szCs w:val="24"/>
        </w:rPr>
        <w:t xml:space="preserve">, accanto ai Tupamaros da cui mutuarono il simbolo. È Renato Curcio a dire che i brigatisti andarono «a scuola di guerriglia da Feltrinelli». Non è dietrologia: è la genealogia dichiarata di un'organizzazione che nel mito del Che riconobbe la propria matrice.</w:t>
      </w:r>
    </w:p>
    <w:p>
      <w:pPr>
        <w:spacing w:after="120" w:line="276"/>
        <w:jc w:val="both"/>
      </w:pPr>
      <w:r>
        <w:rPr>
          <w:rFonts w:ascii="Barlow Semi Condensed" w:cs="Barlow Semi Condensed" w:eastAsia="Barlow Semi Condensed" w:hAnsi="Barlow Semi Condensed"/>
          <w:sz w:val="24"/>
          <w:szCs w:val="24"/>
        </w:rPr>
        <w:t xml:space="preserve">Ecco il </w:t>
      </w:r>
      <w:r>
        <w:rPr>
          <w:rFonts w:ascii="Barlow Semi Condensed" w:cs="Barlow Semi Condensed" w:eastAsia="Barlow Semi Condensed" w:hAnsi="Barlow Semi Condensed"/>
          <w:b/>
          <w:bCs/>
          <w:sz w:val="24"/>
          <w:szCs w:val="24"/>
        </w:rPr>
        <w:t xml:space="preserve">vettore</w:t>
      </w:r>
      <w:r>
        <w:rPr>
          <w:rFonts w:ascii="Barlow Semi Condensed" w:cs="Barlow Semi Condensed" w:eastAsia="Barlow Semi Condensed" w:hAnsi="Barlow Semi Condensed"/>
          <w:sz w:val="24"/>
          <w:szCs w:val="24"/>
        </w:rPr>
        <w:t xml:space="preserve">, dunque, e va nominato con esattezza per non fargli dire più di quanto dica: non un ordine che passa dall'Avana a Roma, ma un </w:t>
      </w:r>
      <w:r>
        <w:rPr>
          <w:rFonts w:ascii="Barlow Semi Condensed" w:cs="Barlow Semi Condensed" w:eastAsia="Barlow Semi Condensed" w:hAnsi="Barlow Semi Condensed"/>
          <w:b/>
          <w:bCs/>
          <w:sz w:val="24"/>
          <w:szCs w:val="24"/>
        </w:rPr>
        <w:t xml:space="preserve">mito che si trasmette</w:t>
      </w:r>
      <w:r>
        <w:rPr>
          <w:rFonts w:ascii="Barlow Semi Condensed" w:cs="Barlow Semi Condensed" w:eastAsia="Barlow Semi Condensed" w:hAnsi="Barlow Semi Condensed"/>
          <w:sz w:val="24"/>
          <w:szCs w:val="24"/>
        </w:rPr>
        <w:t xml:space="preserve"> — un'immagine, un libro, un metodo — e che nel trasmettersi cambia natura. Il Che dei diari era un medico che aveva scelto le munizioni; il Che dei muri di Milano diventò licenza per una guerra che l'Italia non aveva.</w:t>
      </w:r>
    </w:p>
    <w:p>
      <w:pPr>
        <w:pStyle w:val="Heading2"/>
        <w:spacing w:after="100" w:before="200"/>
      </w:pPr>
      <w:r>
        <w:rPr>
          <w:rFonts w:ascii="Barlow Semi Condensed" w:cs="Barlow Semi Condensed" w:eastAsia="Barlow Semi Condensed" w:hAnsi="Barlow Semi Condensed"/>
          <w:sz w:val="24"/>
          <w:szCs w:val="24"/>
        </w:rPr>
        <w:t xml:space="preserve">Parte terza — La traversata: come un mito degenera</w:t>
      </w:r>
    </w:p>
    <w:p>
      <w:pPr>
        <w:spacing w:after="120" w:line="276"/>
        <w:jc w:val="both"/>
      </w:pPr>
      <w:r>
        <w:rPr>
          <w:rFonts w:ascii="Barlow Semi Condensed" w:cs="Barlow Semi Condensed" w:eastAsia="Barlow Semi Condensed" w:hAnsi="Barlow Semi Condensed"/>
          <w:sz w:val="24"/>
          <w:szCs w:val="24"/>
        </w:rPr>
        <w:t xml:space="preserve">Fra il guerrigliero che muore per un popolo che non lo segue e i sequestratori che uccidono un uomo di Stato disarmato c'è una distanza morale che nessuna continuità di simboli colma. Eppure la traversata avvenne, e la sua logica è ricostruibile.</w:t>
      </w:r>
    </w:p>
    <w:p>
      <w:pPr>
        <w:spacing w:after="120" w:line="276"/>
        <w:jc w:val="both"/>
      </w:pPr>
      <w:r>
        <w:rPr>
          <w:rFonts w:ascii="Barlow Semi Condensed" w:cs="Barlow Semi Condensed" w:eastAsia="Barlow Semi Condensed" w:hAnsi="Barlow Semi Condensed"/>
          <w:sz w:val="24"/>
          <w:szCs w:val="24"/>
        </w:rPr>
        <w:t xml:space="preserve">Il Cile è lo snodo. La caduta di Salvador Allende, l'11 settembre 1973 — con la responsabilità primaria, documentata, degli apparati statunitensi supervisionati da Henry Kissinger, come il corpus ha verificato su fonti primarie — «dimostrò» a due sinistre opposte due cose opposte. Alla sinistra rivoluzionaria confermò la tesi guevarista che il potere non si conquista con le urne: se anche la via cilena, legale e votata, era stata schiacciata, allora restava solo il fucile. Alla sinistra riformista, all'inverso, Enrico Berlinguer trasse la lezione del </w:t>
      </w:r>
      <w:r>
        <w:rPr>
          <w:rFonts w:ascii="Barlow Semi Condensed" w:cs="Barlow Semi Condensed" w:eastAsia="Barlow Semi Condensed" w:hAnsi="Barlow Semi Condensed"/>
          <w:b/>
          <w:bCs/>
          <w:sz w:val="24"/>
          <w:szCs w:val="24"/>
        </w:rPr>
        <w:t xml:space="preserve">compromesso storico</w:t>
      </w:r>
      <w:r>
        <w:rPr>
          <w:rFonts w:ascii="Barlow Semi Condensed" w:cs="Barlow Semi Condensed" w:eastAsia="Barlow Semi Condensed" w:hAnsi="Barlow Semi Condensed"/>
          <w:sz w:val="24"/>
          <w:szCs w:val="24"/>
        </w:rPr>
        <w:t xml:space="preserve">: nessuna maggioranza del 51 per cento è al sicuro senza un patto con le forze cattoliche e moderate.</w:t>
      </w:r>
    </w:p>
    <w:p>
      <w:pPr>
        <w:spacing w:after="120" w:line="276"/>
        <w:jc w:val="both"/>
      </w:pPr>
      <w:r>
        <w:rPr>
          <w:rFonts w:ascii="Barlow Semi Condensed" w:cs="Barlow Semi Condensed" w:eastAsia="Barlow Semi Condensed" w:hAnsi="Barlow Semi Condensed"/>
          <w:sz w:val="24"/>
          <w:szCs w:val="24"/>
        </w:rPr>
        <w:t xml:space="preserve">E il principale interlocutore democristiano di quel patto era </w:t>
      </w:r>
      <w:r>
        <w:rPr>
          <w:rFonts w:ascii="Barlow Semi Condensed" w:cs="Barlow Semi Condensed" w:eastAsia="Barlow Semi Condensed" w:hAnsi="Barlow Semi Condensed"/>
          <w:b/>
          <w:bCs/>
          <w:sz w:val="24"/>
          <w:szCs w:val="24"/>
        </w:rPr>
        <w:t xml:space="preserve">Aldo Moro</w:t>
      </w:r>
      <w:r>
        <w:rPr>
          <w:rFonts w:ascii="Barlow Semi Condensed" w:cs="Barlow Semi Condensed" w:eastAsia="Barlow Semi Condensed" w:hAnsi="Barlow Semi Condensed"/>
          <w:sz w:val="24"/>
          <w:szCs w:val="24"/>
        </w:rPr>
        <w:t xml:space="preserve">. Egli incarnava, cioè, esattamente la via che il guevarismo negava: la mediazione paziente, l'allargamento della base democratica, la «terza fase». Le Brigate Rosse, che dal Che avevano ereditato il disprezzo per quella via, lo colpirono in quanto suo architetto. Il 16 marzo 1978, in via Fani, mentre andava a votare la fiducia al primo governo della sua «solidarietà nazionale», la scorta fu massacrata e Moro rapito. Cinquantacinque giorni dopo era morto.</w:t>
      </w:r>
    </w:p>
    <w:p>
      <w:pPr>
        <w:spacing w:after="120" w:line="276"/>
        <w:jc w:val="both"/>
      </w:pPr>
      <w:r>
        <w:rPr>
          <w:rFonts w:ascii="Barlow Semi Condensed" w:cs="Barlow Semi Condensed" w:eastAsia="Barlow Semi Condensed" w:hAnsi="Barlow Semi Condensed"/>
          <w:sz w:val="24"/>
          <w:szCs w:val="24"/>
        </w:rPr>
        <w:t xml:space="preserve">La degenerazione è tutta qui, e va detta senza retorica: </w:t>
      </w:r>
      <w:r>
        <w:rPr>
          <w:rFonts w:ascii="Barlow Semi Condensed" w:cs="Barlow Semi Condensed" w:eastAsia="Barlow Semi Condensed" w:hAnsi="Barlow Semi Condensed"/>
          <w:b/>
          <w:bCs/>
          <w:sz w:val="24"/>
          <w:szCs w:val="24"/>
        </w:rPr>
        <w:t xml:space="preserve">il mito rivoluzionario importato si era rovesciato nella sua caricatura terroristica</w:t>
      </w:r>
      <w:r>
        <w:rPr>
          <w:rFonts w:ascii="Barlow Semi Condensed" w:cs="Barlow Semi Condensed" w:eastAsia="Barlow Semi Condensed" w:hAnsi="Barlow Semi Condensed"/>
          <w:sz w:val="24"/>
          <w:szCs w:val="24"/>
        </w:rPr>
        <w:t xml:space="preserve">. Ciò che nel Che era stato — nel bene e nel male — guerra a un esercito, nelle BR divenne esecuzione di un prigioniero inerme. La bandiera era la stessa; il gesto, l'opposto.</w:t>
      </w:r>
    </w:p>
    <w:p>
      <w:pPr>
        <w:pStyle w:val="Heading2"/>
        <w:spacing w:after="100" w:before="200"/>
      </w:pPr>
      <w:r>
        <w:rPr>
          <w:rFonts w:ascii="Barlow Semi Condensed" w:cs="Barlow Semi Condensed" w:eastAsia="Barlow Semi Condensed" w:hAnsi="Barlow Semi Condensed"/>
          <w:sz w:val="24"/>
          <w:szCs w:val="24"/>
        </w:rPr>
        <w:t xml:space="preserve">Parte quarta — La voce (pastiche dichiarato: non sono parole di Aldo Moro)</w:t>
      </w:r>
    </w:p>
    <w:p>
      <w:pPr>
        <w:pBdr>
          <w:left w:val="single" w:color="1F3864" w:sz="18" w:space="8"/>
        </w:pBdr>
        <w:spacing w:after="80" w:before="80"/>
        <w:ind w:left="360" w:right="360"/>
        <w:jc w:val="both"/>
      </w:pPr>
      <w:r>
        <w:rPr>
          <w:rFonts w:ascii="Barlow Semi Condensed" w:cs="Barlow Semi Condensed" w:eastAsia="Barlow Semi Condensed" w:hAnsi="Barlow Semi Condensed"/>
          <w:i w:val="false"/>
          <w:iCs w:val="false"/>
          <w:sz w:val="24"/>
          <w:szCs w:val="24"/>
        </w:rPr>
        <w:t xml:space="preserve">Quanto segue è un esercizio di stile: una meditazione immaginata, scritta a imitazione della prosa di Aldo Moro. Non è un suo testo, non gli è attribuibile, non contiene rivelazioni di fatto. È la voce che un autore presta a un personaggio, come si fa in teatro — nulla di più.</w:t>
      </w:r>
    </w:p>
    <w:p>
      <w:pPr>
        <w:spacing w:after="120" w:line="276"/>
        <w:jc w:val="both"/>
      </w:pPr>
      <w:r>
        <w:rPr>
          <w:rFonts w:ascii="Barlow Semi Condensed" w:cs="Barlow Semi Condensed" w:eastAsia="Barlow Semi Condensed" w:hAnsi="Barlow Semi Condensed"/>
          <w:sz w:val="24"/>
          <w:szCs w:val="24"/>
        </w:rPr>
        <w:t xml:space="preserve">Mi si conceda, a chi legge in un tempo che non è più il mio, una riflessione che non pretende di spiegare, ma soltanto di comprendere.</w:t>
      </w:r>
    </w:p>
    <w:p>
      <w:pPr>
        <w:spacing w:after="120" w:line="276"/>
        <w:jc w:val="both"/>
      </w:pPr>
      <w:r>
        <w:rPr>
          <w:rFonts w:ascii="Barlow Semi Condensed" w:cs="Barlow Semi Condensed" w:eastAsia="Barlow Semi Condensed" w:hAnsi="Barlow Semi Condensed"/>
          <w:sz w:val="24"/>
          <w:szCs w:val="24"/>
        </w:rPr>
        <w:t xml:space="preserve">Si è parlato, a proposito della mia vicenda e di quella lontana del rivoluzionario argentino, di una guerra senza fine. Ed è formula, lo riconosco, che ha una sua verità dolorosa; ma è verità che va maneggiata con quella cautela che le cose gravi impongono, ché nulla è più facile, e più ingiusto, che ricondurre a un unico disegno ciò che fu invece il concorrere di molte volontà distinte, e in parte fra loro avverse.</w:t>
      </w:r>
    </w:p>
    <w:p>
      <w:pPr>
        <w:spacing w:after="120" w:line="276"/>
        <w:jc w:val="both"/>
      </w:pPr>
      <w:r>
        <w:rPr>
          <w:rFonts w:ascii="Barlow Semi Condensed" w:cs="Barlow Semi Condensed" w:eastAsia="Barlow Semi Condensed" w:hAnsi="Barlow Semi Condensed"/>
          <w:sz w:val="24"/>
          <w:szCs w:val="24"/>
        </w:rPr>
        <w:t xml:space="preserve">Io non ho conosciuto quel giovane medico, né egli me. Ci separavano un oceano, una lingua, e soprattutto un'idea opposta di come si serva un popolo. Egli credette che si servisse impugnando le armi contro lo Stato; io ho creduto, e credo ancora nel punto in cui queste parole immaginarie mi collocano, che lo si serva pazientemente allargando lo Stato, facendovi entrare chi ne era escluso, componendo e non spezzando. Non è differenza da poco: è, se posso dirlo, la differenza stessa.</w:t>
      </w:r>
    </w:p>
    <w:p>
      <w:pPr>
        <w:spacing w:after="120" w:line="276"/>
        <w:jc w:val="both"/>
      </w:pPr>
      <w:r>
        <w:rPr>
          <w:rFonts w:ascii="Barlow Semi Condensed" w:cs="Barlow Semi Condensed" w:eastAsia="Barlow Semi Condensed" w:hAnsi="Barlow Semi Condensed"/>
          <w:sz w:val="24"/>
          <w:szCs w:val="24"/>
        </w:rPr>
        <w:t xml:space="preserve">E tuttavia una cosa ci accomuna, lui e me, ed è cosa che dà da pensare. Entrambi fummo, ciascuno a suo modo, ostacoli. Egli, all'ordine che voleva l'America Latina immobile; io, a chi non tollerava che il mio Paese trovasse da sé, per vie sue proprie e non dettate d'oltreoceano né d'oltrecortina, il modo di includere nella responsabilità nazionale forze che pure la storia aveva radicato nel popolo. Chi è d'ostacolo, in una guerra, si tende a rimuoverlo. Questo — non un complotto, ma questa logica sorda della rimozione — è forse il solo filo vero che lega due morti così diverse.</w:t>
      </w:r>
    </w:p>
    <w:p>
      <w:pPr>
        <w:spacing w:after="120" w:line="276"/>
        <w:jc w:val="both"/>
      </w:pPr>
      <w:r>
        <w:rPr>
          <w:rFonts w:ascii="Barlow Semi Condensed" w:cs="Barlow Semi Condensed" w:eastAsia="Barlow Semi Condensed" w:hAnsi="Barlow Semi Condensed"/>
          <w:sz w:val="24"/>
          <w:szCs w:val="24"/>
        </w:rPr>
        <w:t xml:space="preserve">Non chiedo che si trasformi questa mia riflessione in accusa: le accuse hanno bisogno di prove, e io, che alle prove ho dedicato una vita di giurista, sarei l'ultimo a volerle sostituire con il sospetto. Chiedo soltanto che non si dimentichi la lezione, che è amara e semplice: quando in una società la mediazione viene odiata da tutte le parti — da chi la crede tradimento e da chi la teme come minaccia — colui che media resta solo, e chi resta solo è perduto. Ho scritto altrove, nella mia prigione vera e non in questa finta, parole che non ripeterò qui per non confonderle con l'invenzione. Basti questo: la solitudine dell'uomo di mediazione è il vero luogo della tragedia. Il resto — chi armò, chi tacque, chi non volle — appartiene alla storia e ai suoi giudici, non a me.</w:t>
      </w:r>
    </w:p>
    <w:p>
      <w:pPr>
        <w:pStyle w:val="Heading2"/>
        <w:spacing w:after="100" w:before="200"/>
      </w:pPr>
      <w:r>
        <w:rPr>
          <w:rFonts w:ascii="Barlow Semi Condensed" w:cs="Barlow Semi Condensed" w:eastAsia="Barlow Semi Condensed" w:hAnsi="Barlow Semi Condensed"/>
          <w:sz w:val="24"/>
          <w:szCs w:val="24"/>
        </w:rPr>
        <w:t xml:space="preserve">Parte quinta — Ciò che è documentato, ciò che è convergenza</w:t>
      </w:r>
    </w:p>
    <w:p>
      <w:pPr>
        <w:spacing w:after="120" w:line="276"/>
        <w:jc w:val="both"/>
      </w:pPr>
      <w:r>
        <w:rPr>
          <w:rFonts w:ascii="Barlow Semi Condensed" w:cs="Barlow Semi Condensed" w:eastAsia="Barlow Semi Condensed" w:hAnsi="Barlow Semi Condensed"/>
          <w:sz w:val="24"/>
          <w:szCs w:val="24"/>
        </w:rPr>
        <w:t xml:space="preserve">Chiuso il pastiche, torniamo alla disciplina. Un'opera che voglia essere seria deve dire, alla fine, quanto della sua tesi regge alla prova e quanto resta suggestione. Ecco il bilancio, onesto.</w:t>
      </w:r>
    </w:p>
    <w:p>
      <w:pPr>
        <w:spacing w:after="120" w:line="276"/>
        <w:jc w:val="both"/>
      </w:pPr>
      <w:r>
        <w:rPr>
          <w:rFonts w:ascii="Barlow Semi Condensed" w:cs="Barlow Semi Condensed" w:eastAsia="Barlow Semi Condensed" w:hAnsi="Barlow Semi Condensed"/>
          <w:b/>
          <w:bCs/>
          <w:sz w:val="24"/>
          <w:szCs w:val="24"/>
        </w:rPr>
        <w:t xml:space="preserve">È documentato</w:t>
      </w:r>
      <w:r>
        <w:rPr>
          <w:rFonts w:ascii="Barlow Semi Condensed" w:cs="Barlow Semi Condensed" w:eastAsia="Barlow Semi Condensed" w:hAnsi="Barlow Semi Condensed"/>
          <w:sz w:val="24"/>
          <w:szCs w:val="24"/>
        </w:rPr>
        <w:t xml:space="preserve"> (categoria alta): che Guevara fu il modello individuale dichiarato delle BR; che Feltrinelli fu il vettore del mito (Korda 1967, </w:t>
      </w:r>
      <w:r>
        <w:rPr>
          <w:rFonts w:ascii="Barlow Semi Condensed" w:cs="Barlow Semi Condensed" w:eastAsia="Barlow Semi Condensed" w:hAnsi="Barlow Semi Condensed"/>
          <w:i/>
          <w:iCs/>
          <w:sz w:val="24"/>
          <w:szCs w:val="24"/>
        </w:rPr>
        <w:t xml:space="preserve">Diario</w:t>
      </w:r>
      <w:r>
        <w:rPr>
          <w:rFonts w:ascii="Barlow Semi Condensed" w:cs="Barlow Semi Condensed" w:eastAsia="Barlow Semi Condensed" w:hAnsi="Barlow Semi Condensed"/>
          <w:sz w:val="24"/>
          <w:szCs w:val="24"/>
        </w:rPr>
        <w:t xml:space="preserve"> 1968) e insieme un iniziatore della lotta armata italiana; che le BR rapirono e uccisero Moro; che la caduta di Allende, con responsabilità USA supervisionate da Kissinger, fu lo spartiacque che radicalizzò le due sinistre; che Moro era l'architetto democristiano del compromesso storico.</w:t>
      </w:r>
    </w:p>
    <w:p>
      <w:pPr>
        <w:spacing w:after="120" w:line="276"/>
        <w:jc w:val="both"/>
      </w:pPr>
      <w:r>
        <w:rPr>
          <w:rFonts w:ascii="Barlow Semi Condensed" w:cs="Barlow Semi Condensed" w:eastAsia="Barlow Semi Condensed" w:hAnsi="Barlow Semi Condensed"/>
          <w:b/>
          <w:bCs/>
          <w:sz w:val="24"/>
          <w:szCs w:val="24"/>
        </w:rPr>
        <w:t xml:space="preserve">È convergenza, non rapporto</w:t>
      </w:r>
      <w:r>
        <w:rPr>
          <w:rFonts w:ascii="Barlow Semi Condensed" w:cs="Barlow Semi Condensed" w:eastAsia="Barlow Semi Condensed" w:hAnsi="Barlow Semi Condensed"/>
          <w:sz w:val="24"/>
          <w:szCs w:val="24"/>
        </w:rPr>
        <w:t xml:space="preserve"> (da non promuovere a nesso causale): la simmetria delle «ombre statunitensi» sulle due morti — l'agente CIA a La Higuera per il Che, l'avvertimento di Kissinger e il ruolo del consulente Pieczenik nel comitato di crisi per Moro — è documentata nei singoli fatti, ma </w:t>
      </w:r>
      <w:r>
        <w:rPr>
          <w:rFonts w:ascii="Barlow Semi Condensed" w:cs="Barlow Semi Condensed" w:eastAsia="Barlow Semi Condensed" w:hAnsi="Barlow Semi Condensed"/>
          <w:b/>
          <w:bCs/>
          <w:sz w:val="24"/>
          <w:szCs w:val="24"/>
        </w:rPr>
        <w:t xml:space="preserve">non</w:t>
      </w:r>
      <w:r>
        <w:rPr>
          <w:rFonts w:ascii="Barlow Semi Condensed" w:cs="Barlow Semi Condensed" w:eastAsia="Barlow Semi Condensed" w:hAnsi="Barlow Semi Condensed"/>
          <w:sz w:val="24"/>
          <w:szCs w:val="24"/>
        </w:rPr>
        <w:t xml:space="preserve"> costituisce una regia unica. Sono due vicende distinte, in due decenni e due continenti, che condividono una </w:t>
      </w:r>
      <w:r>
        <w:rPr>
          <w:rFonts w:ascii="Barlow Semi Condensed" w:cs="Barlow Semi Condensed" w:eastAsia="Barlow Semi Condensed" w:hAnsi="Barlow Semi Condensed"/>
          <w:b/>
          <w:bCs/>
          <w:sz w:val="24"/>
          <w:szCs w:val="24"/>
        </w:rPr>
        <w:t xml:space="preserve">cornice</w:t>
      </w:r>
      <w:r>
        <w:rPr>
          <w:rFonts w:ascii="Barlow Semi Condensed" w:cs="Barlow Semi Condensed" w:eastAsia="Barlow Semi Condensed" w:hAnsi="Barlow Semi Condensed"/>
          <w:sz w:val="24"/>
          <w:szCs w:val="24"/>
        </w:rPr>
        <w:t xml:space="preserve"> — la lunga guerra fredda calda — non un centro.</w:t>
      </w:r>
    </w:p>
    <w:p>
      <w:pPr>
        <w:spacing w:after="120" w:line="276"/>
        <w:jc w:val="both"/>
      </w:pPr>
      <w:r>
        <w:rPr>
          <w:rFonts w:ascii="Barlow Semi Condensed" w:cs="Barlow Semi Condensed" w:eastAsia="Barlow Semi Condensed" w:hAnsi="Barlow Semi Condensed"/>
          <w:b/>
          <w:bCs/>
          <w:sz w:val="24"/>
          <w:szCs w:val="24"/>
        </w:rPr>
        <w:t xml:space="preserve">È congettura</w:t>
      </w:r>
      <w:r>
        <w:rPr>
          <w:rFonts w:ascii="Barlow Semi Condensed" w:cs="Barlow Semi Condensed" w:eastAsia="Barlow Semi Condensed" w:hAnsi="Barlow Semi Condensed"/>
          <w:sz w:val="24"/>
          <w:szCs w:val="24"/>
        </w:rPr>
        <w:t xml:space="preserve"> (e come tale va lasciata): che esista un «filo» intenzionale, un disegno che da Guevara conduca a Moro. Non c'è. C'è un'eredità che degenera e una cornice che si ripete; c'è, se si vuole, una </w:t>
      </w:r>
      <w:r>
        <w:rPr>
          <w:rFonts w:ascii="Barlow Semi Condensed" w:cs="Barlow Semi Condensed" w:eastAsia="Barlow Semi Condensed" w:hAnsi="Barlow Semi Condensed"/>
          <w:i/>
          <w:iCs/>
          <w:sz w:val="24"/>
          <w:szCs w:val="24"/>
        </w:rPr>
        <w:t xml:space="preserve">logica della rimozione degli ostacoli</w:t>
      </w:r>
      <w:r>
        <w:rPr>
          <w:rFonts w:ascii="Barlow Semi Condensed" w:cs="Barlow Semi Condensed" w:eastAsia="Barlow Semi Condensed" w:hAnsi="Barlow Semi Condensed"/>
          <w:sz w:val="24"/>
          <w:szCs w:val="24"/>
        </w:rPr>
        <w:t xml:space="preserve"> che opera in entrambi i casi. Ma la logica di un'epoca non è la firma di un mandante.</w:t>
      </w:r>
    </w:p>
    <w:p>
      <w:pPr>
        <w:pStyle w:val="Heading2"/>
        <w:spacing w:after="100" w:before="200"/>
      </w:pPr>
      <w:r>
        <w:rPr>
          <w:rFonts w:ascii="Barlow Semi Condensed" w:cs="Barlow Semi Condensed" w:eastAsia="Barlow Semi Condensed" w:hAnsi="Barlow Semi Condensed"/>
          <w:sz w:val="24"/>
          <w:szCs w:val="24"/>
        </w:rPr>
        <w:t xml:space="preserve">Conclusione</w:t>
      </w:r>
    </w:p>
    <w:p>
      <w:pPr>
        <w:spacing w:after="120" w:line="276"/>
        <w:jc w:val="both"/>
      </w:pPr>
      <w:r>
        <w:rPr>
          <w:rFonts w:ascii="Barlow Semi Condensed" w:cs="Barlow Semi Condensed" w:eastAsia="Barlow Semi Condensed" w:hAnsi="Barlow Semi Condensed"/>
          <w:sz w:val="24"/>
          <w:szCs w:val="24"/>
        </w:rPr>
        <w:t xml:space="preserve">«Una guerra senza fine» resta, allora, una metafora vera a metà — e va tenuta a quella metà. Falsa se la si intende come un unico complotto ininterrotto: la documentazione, verificata pezzo per pezzo, non lo sostiene, e questo corpus ha fatto della falsificazione il suo metodo. Vera se la si intende come ciò che davvero fu: un lungo conflitto dentro le società occidentali, in cui il mito di un uomo morto per una rivoluzione lontana poté essere trasmesso, travisato e trasformato in licenza per uccidere un uomo che di quella rivoluzione era l'antitesi paziente.</w:t>
      </w:r>
    </w:p>
    <w:p>
      <w:pPr>
        <w:spacing w:after="120" w:line="276"/>
        <w:jc w:val="both"/>
      </w:pPr>
      <w:r>
        <w:rPr>
          <w:rFonts w:ascii="Barlow Semi Condensed" w:cs="Barlow Semi Condensed" w:eastAsia="Barlow Semi Condensed" w:hAnsi="Barlow Semi Condensed"/>
          <w:sz w:val="24"/>
          <w:szCs w:val="24"/>
        </w:rPr>
        <w:t xml:space="preserve">Il Che sognò molti Vietnam; l'Italia ne ebbe uno solo, in miniatura e in casa, e a pagarne il prezzo più alto fu proprio chi lavorava a spegnerlo con la politica anziché con le armi. In questo rovesciamento — non in un disegno occulto — sta la sola, amara continuità fra i due nomi del titolo. La guerra non fu senza fine perché eterna: finì, come finiscono le guerre fredde, per esaurimento e per cambio d'epoca. Fu senza fine nel senso che non ebbe un vincitore che le desse un senso: lasciò due cadaveri illustri, due miti contrapposti, e la lezione — la sola che valga — che l'odio per chi media è il veleno più lento e più sicuro di ogni comunità politica.</w:t>
      </w:r>
    </w:p>
    <w:p>
      <w:pPr>
        <w:pBdr>
          <w:bottom w:val="single" w:color="999999" w:sz="6" w:space="1"/>
        </w:pBdr>
        <w:spacing w:after="80"/>
      </w:pPr>
    </w:p>
    <w:p>
      <w:pPr>
        <w:spacing w:after="120" w:line="276"/>
        <w:jc w:val="both"/>
      </w:pPr>
      <w:r>
        <w:rPr>
          <w:rFonts w:ascii="Barlow Semi Condensed" w:cs="Barlow Semi Condensed" w:eastAsia="Barlow Semi Condensed" w:hAnsi="Barlow Semi Condensed"/>
          <w:i/>
          <w:iCs/>
          <w:sz w:val="24"/>
          <w:szCs w:val="24"/>
        </w:rPr>
        <w:t xml:space="preserve">Fonti e rimandi interni: i tre studi su Guevara (`guevara-origini-esilio-messicano.md`, `guevara-messico-avana-1954-1965.md`, `guevara-mosca-bolivia-1964-1966.md`), la triangolazione `triangolazioni-guevara-moro.md` (nodi Feltrinelli, sincronia, ombre USA; paralleli e divergenze) di questo stesso branch. Per gli aspetti che toccano persone viventi vale la disciplina di riservatezza dell'opera-madre, e non sono trattati qui. Il pastiche della Parte quarta è, si ripete, invenzione dichiarata e non fonte.</w:t>
      </w:r>
    </w:p>
    <w:p>
      <w:pPr>
        <w:pStyle w:val="Heading3"/>
        <w:spacing w:after="80" w:before="240"/>
      </w:pPr>
      <w:r>
        <w:rPr>
          <w:rFonts w:ascii="Barlow Semi Condensed" w:cs="Barlow Semi Condensed" w:eastAsia="Barlow Semi Condensed" w:hAnsi="Barlow Semi Condensed"/>
          <w:sz w:val="24"/>
          <w:szCs w:val="24"/>
        </w:rPr>
        <w:t xml:space="preserve">Apparato grafico — Libro secondo · Dal Che a Moro: il saggio-cerniera</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Libro secondo: 1.801 parole in 6 sezioni; la più ampia è §4 Parte quarta, con 478.</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Libro secondo: 25 paragrafi in 6 sezioni, 4 in media per sezione.</w:t>
      </w:r>
    </w:p>
    <w:p>
      <w:pPr>
        <w:spacing w:after="120"/>
        <w:jc w:val="center"/>
      </w:pPr>
      <w:r>
        <w:rPr>
          <w:rFonts w:ascii="Barlow Semi Condensed" w:cs="Barlow Semi Condensed" w:eastAsia="Barlow Semi Condensed" w:hAnsi="Barlow Semi Condensed"/>
          <w:color w:val="777777"/>
          <w:sz w:val="16"/>
          <w:szCs w:val="16"/>
        </w:rPr>
        <w:t xml:space="preserve">Le metriche dell'apparato contano parole, documenti e atti — mai colpe.</w:t>
      </w:r>
    </w:p>
    <w:p>
      <w:r>
        <w:br w:type="page"/>
      </w:r>
    </w:p>
    <w:p>
      <w:pPr>
        <w:pStyle w:val="Heading1"/>
        <w:spacing w:after="120" w:before="240"/>
      </w:pPr>
      <w:r>
        <w:rPr>
          <w:rFonts w:ascii="Barlow Semi Condensed" w:cs="Barlow Semi Condensed" w:eastAsia="Barlow Semi Condensed" w:hAnsi="Barlow Semi Condensed"/>
          <w:sz w:val="24"/>
          <w:szCs w:val="24"/>
        </w:rPr>
        <w:t xml:space="preserve">Libro terzo — La parabola di Guevara — I. Origini ed esilio</w:t>
      </w:r>
    </w:p>
    <w:p>
      <w:pPr>
        <w:pStyle w:val="Heading1"/>
        <w:spacing w:after="120" w:before="240"/>
      </w:pPr>
      <w:r>
        <w:rPr>
          <w:rFonts w:ascii="Barlow Semi Condensed" w:cs="Barlow Semi Condensed" w:eastAsia="Barlow Semi Condensed" w:hAnsi="Barlow Semi Condensed"/>
          <w:sz w:val="24"/>
          <w:szCs w:val="24"/>
        </w:rPr>
        <w:t xml:space="preserve">L'Evoluzione di un Rivoluzionario: Analisi Storica, Biografica e Clinica di Ernesto Guevara dalle Origini all'Esilio Messicano</w:t>
      </w:r>
    </w:p>
    <w:p>
      <w:pPr>
        <w:pStyle w:val="Heading2"/>
        <w:spacing w:after="100" w:before="200"/>
      </w:pPr>
      <w:r>
        <w:rPr>
          <w:rFonts w:ascii="Barlow Semi Condensed" w:cs="Barlow Semi Condensed" w:eastAsia="Barlow Semi Condensed" w:hAnsi="Barlow Semi Condensed"/>
          <w:sz w:val="24"/>
          <w:szCs w:val="24"/>
        </w:rPr>
        <w:t xml:space="preserve">Introduzione: Il Contesto di una Formazione Incompiuta e la Genesi di una Coscienza Critica</w:t>
      </w:r>
    </w:p>
    <w:p>
      <w:pPr>
        <w:spacing w:after="120" w:line="276"/>
        <w:jc w:val="both"/>
      </w:pPr>
      <w:r>
        <w:rPr>
          <w:rFonts w:ascii="Barlow Semi Condensed" w:cs="Barlow Semi Condensed" w:eastAsia="Barlow Semi Condensed" w:hAnsi="Barlow Semi Condensed"/>
          <w:sz w:val="24"/>
          <w:szCs w:val="24"/>
        </w:rPr>
        <w:t xml:space="preserve">L'indagine storiografica e biografica della parabola esistenziale, politica e intellettuale di Ernesto Guevara de la Serna, estesa dal momento della sua nascita fino al cruciale e trasformativo incontro a Città del Messico nel 1955, richiede una destrutturazione meticolosa delle molteplici stratificazioni che hanno forgiato una delle figure più emblematiche e polarizzanti del Ventesimo secolo. Lungi dall'essere un percorso lineare, deterministico o teleologicamente orientato verso la guerriglia fin dalle origini, la giovinezza di Guevara è caratterizzata da profonde idiosincrasie personali, esplorazioni geografiche che fungono da catalizzatori ideologici e un'immersione precoce, ma inizialmente apolitica, nelle contraddizioni strutturali e sanitarie dell'America Latina. Questo periodo formativo, che precede la genesi del mito del "Guerrigliero Eroico", è di importanza fondamentale per comprendere la complessa transizione di un giovane medico argentino, proveniente da una famiglia borghese e animato da interessi scientifico-accademici, in un rivoluzionario marxista e internazionalista votato alla lotta armata. L'obiettivo di questa disamina è tracciare ogni singola tappa di questo processo evolutivo, senza ricorrere ad alcuna sintesi, esplorando l'intreccio tra la sua condizione medica personale, la sua formazione intellettuale, le sue osservazioni cliniche sulle popolazioni emarginate e il crollo delle sue illusioni riformiste.</w:t>
      </w:r>
    </w:p>
    <w:p>
      <w:pPr>
        <w:pStyle w:val="Heading2"/>
        <w:spacing w:after="100" w:before="200"/>
      </w:pPr>
      <w:r>
        <w:rPr>
          <w:rFonts w:ascii="Barlow Semi Condensed" w:cs="Barlow Semi Condensed" w:eastAsia="Barlow Semi Condensed" w:hAnsi="Barlow Semi Condensed"/>
          <w:sz w:val="24"/>
          <w:szCs w:val="24"/>
        </w:rPr>
        <w:t xml:space="preserve">Le Radici Familiari e la Complessità del Lignaggio (1928)</w:t>
      </w:r>
    </w:p>
    <w:p>
      <w:pPr>
        <w:pStyle w:val="Heading3"/>
        <w:spacing w:after="80" w:before="160"/>
      </w:pPr>
      <w:r>
        <w:rPr>
          <w:rFonts w:ascii="Barlow Semi Condensed" w:cs="Barlow Semi Condensed" w:eastAsia="Barlow Semi Condensed" w:hAnsi="Barlow Semi Condensed"/>
          <w:sz w:val="24"/>
          <w:szCs w:val="24"/>
        </w:rPr>
        <w:t xml:space="preserve">L'Eredità Genealogica e il Clima Familiare Anticonformista</w:t>
      </w:r>
    </w:p>
    <w:p>
      <w:pPr>
        <w:spacing w:after="120" w:line="276"/>
        <w:jc w:val="both"/>
      </w:pPr>
      <w:r>
        <w:rPr>
          <w:rFonts w:ascii="Barlow Semi Condensed" w:cs="Barlow Semi Condensed" w:eastAsia="Barlow Semi Condensed" w:hAnsi="Barlow Semi Condensed"/>
          <w:sz w:val="24"/>
          <w:szCs w:val="24"/>
        </w:rPr>
        <w:t xml:space="preserve">Ernesto Guevara de la Serna nacque a Rosario, un importante centro urbano e portuale nella provincia di Santa Fe, in Argentina, in seno a una famiglia la cui genealogia rifletteva intimamente la complessa stratificazione sociale, economica ed etnica della nazione sudamericana. Il padre, Ernesto Rafael Guevara Lynch (1900-1987), era un costruttore e imprenditore di estrazione altoborghese che portava con sé una complessa rete di radici iberiche, specificamente provenienti dal Paese Basco, mescolate a un'ascendenza irlandese e creola. La madre, Celia de la Serna (1906-1965), proveniva da un lignaggio ancora più illustre e influente, inserendosi a pieno titolo in quella che storicamente veniva definita "l'oligarchia del bestiame argentina", l'élite latifondista che deteneva il monopolio economico e politico del paese. La famiglia di Celia vantava remote e aristocratiche origini spagnole, specificamente radicate nella regione della Cantabria e nei Paesi Baschi. Ancora più affascinante dal punto di vista storico, secondo le ricerche del genealogista Narciso Binayán Carmona, la linea materna di Che Guevara tracciava una diretta discendenza dal conquistador Domingo Martínez de Irala, implicando così la presenza di lontane ma significative radici guaraní, unendo il sangue dei colonizzatori europei a quello delle popolazioni indigene precolombiane.</w:t>
      </w:r>
    </w:p>
    <w:p>
      <w:pPr>
        <w:spacing w:after="120" w:line="276"/>
        <w:jc w:val="both"/>
      </w:pPr>
      <w:r>
        <w:rPr>
          <w:rFonts w:ascii="Barlow Semi Condensed" w:cs="Barlow Semi Condensed" w:eastAsia="Barlow Semi Condensed" w:hAnsi="Barlow Semi Condensed"/>
          <w:sz w:val="24"/>
          <w:szCs w:val="24"/>
        </w:rPr>
        <w:t xml:space="preserve">Nonostante l'appartenenza formale all'alta borghesia aristocratica e i privilegi intrinseci a tale status sociale, i coniugi Guevara – uniti in matrimonio il 10 novembre 1927 in seguito a un breve fidanzamento, durante il quale Guevara Lynch aveva investito i propri capitali in una società dedita alla fabbricazione di yacht – si distinguevano per un marcato e deliberato anticonformismo. Celia de la Serna, in particolare, era una figura di assoluto spicco e rottura per l'epoca: femminista militante, dotata di una raffinata cultura, atea dichiarata, profondamente anticlericale e animata da idee socialiste e progressiste. Questo ambiente intellettualmente vivace, tollerante, dalle marcate tinte "bohémiens", fu determinante nel plasmare l'indole del primogenito, il primo di cinque figli (tre maschi e due femmine; il padre, rimasto vedovo nel 1965, avrebbe poi avuto altri tre figli dal secondo matrimonio con la pittrice Ana María Erra). I genitori trasmisero ai figli una profonda spensieratezza, uno spiccato spirito di avventura, un disprezzo per le convenzioni borghesi pur godendone i frutti, e un vorace interesse per la letteratura mondiale.</w:t>
      </w:r>
    </w:p>
    <w:p>
      <w:pPr>
        <w:spacing w:after="120" w:line="276"/>
        <w:jc w:val="both"/>
      </w:pPr>
      <w:r>
        <w:rPr>
          <w:rFonts w:ascii="Barlow Semi Condensed" w:cs="Barlow Semi Condensed" w:eastAsia="Barlow Semi Condensed" w:hAnsi="Barlow Semi Condensed"/>
          <w:sz w:val="24"/>
          <w:szCs w:val="24"/>
        </w:rPr>
        <w:t xml:space="preserve">La stessa data di nascita di Ernesto costituisce un elemento di controversia storiografica che merita attenzione. Sebbene i registri ufficiali e l'atto di nascita riportino inequivocabilmente il 14 giugno 1928, evidenze emerse in biografie di riferimento – in particolare la monumentale opera redatta da Jon Lee Anderson – e confermate da confidenze della madre riferite a terzi, suggeriscono con forte probabilità che la data corretta sia antecedente, ovvero il 14 maggio 1928. Questa deliberata postdatazione anagrafica sarebbe stata un espediente per dissimulare il concepimento prematrimoniale, un dettaglio che, pur apparendo marginale, sottolinea l'attitudine della famiglia a sfidare le convenzioni e la morale cattolica dominante del tempo, pur dovendo talvolta ricorrere a compromessi burocratici per evitare lo stigma sociale.</w:t>
      </w:r>
    </w:p>
    <w:p>
      <w:pPr>
        <w:pStyle w:val="Heading2"/>
        <w:spacing w:after="100" w:before="200"/>
      </w:pPr>
      <w:r>
        <w:rPr>
          <w:rFonts w:ascii="Barlow Semi Condensed" w:cs="Barlow Semi Condensed" w:eastAsia="Barlow Semi Condensed" w:hAnsi="Barlow Semi Condensed"/>
          <w:sz w:val="24"/>
          <w:szCs w:val="24"/>
        </w:rPr>
        <w:t xml:space="preserve">La Malattia come Destino e Disciplina (1928-1941)</w:t>
      </w:r>
    </w:p>
    <w:p>
      <w:pPr>
        <w:pStyle w:val="Heading3"/>
        <w:spacing w:after="80" w:before="160"/>
      </w:pPr>
      <w:r>
        <w:rPr>
          <w:rFonts w:ascii="Barlow Semi Condensed" w:cs="Barlow Semi Condensed" w:eastAsia="Barlow Semi Condensed" w:hAnsi="Barlow Semi Condensed"/>
          <w:sz w:val="24"/>
          <w:szCs w:val="24"/>
        </w:rPr>
        <w:t xml:space="preserve">L'Insorgenza dell'Asma e il Trasferimento Terapeutico ad Alta Gracia</w:t>
      </w:r>
    </w:p>
    <w:p>
      <w:pPr>
        <w:spacing w:after="120" w:line="276"/>
        <w:jc w:val="both"/>
      </w:pPr>
      <w:r>
        <w:rPr>
          <w:rFonts w:ascii="Barlow Semi Condensed" w:cs="Barlow Semi Condensed" w:eastAsia="Barlow Semi Condensed" w:hAnsi="Barlow Semi Condensed"/>
          <w:sz w:val="24"/>
          <w:szCs w:val="24"/>
        </w:rPr>
        <w:t xml:space="preserve">L'esistenza del giovane Ernesto fu irrevocabilmente deviata e segnata da un evento clinico precoce. Già nell'agosto del suo primo anno di vita subì un attacco di broncopolmonite, ma fu all'età di due anni, nel 1930, che si manifestò il primo, violentissimo attacco di asma bronchiale cronica, una patologia che non lo avrebbe mai più abbandonato. La gravità e la frequenza di questa condizione cronica e debilitante costrinsero la famiglia a rivedere drasticamente i propri piani di vita. Abbandonando la residenza di Buenos Aires e la piantagione di yerba mate nella regione di Misiones (che costituiva la loro principale, seppur incostante, fonte di reddito), i Guevara si trasferirono nel 1932 ad Alta Gracia. Alta Gracia era una nota cittadina termale e climatica situata sulle pendici delle Sierras Chicas, nella provincia di Córdoba; il trasferimento avvenne seguendo precise prescrizioni mediche che suggerivano un clima montano, asciutto e puro, ideale per mitigare le crisi respiratorie del bambino.</w:t>
      </w:r>
    </w:p>
    <w:p>
      <w:pPr>
        <w:spacing w:after="120" w:line="276"/>
        <w:jc w:val="both"/>
      </w:pPr>
      <w:r>
        <w:rPr>
          <w:rFonts w:ascii="Barlow Semi Condensed" w:cs="Barlow Semi Condensed" w:eastAsia="Barlow Semi Condensed" w:hAnsi="Barlow Semi Condensed"/>
          <w:sz w:val="24"/>
          <w:szCs w:val="24"/>
        </w:rPr>
        <w:t xml:space="preserve">Il soggiorno ad Alta Gracia si protrasse per ben undici anni. Questo lungo lasso di tempo rappresentò per Ernesto un periodo di paradossale isolamento fisico e, contemporaneamente, di straordinaria espansione intellettuale e cognitiva. A causa delle frequenti e soffocanti crisi asmatiche, che lo costringevano a letto per giorni lottando per ogni respiro, il giovane Ernesto non poté frequentare con regolarità la scuola pubblica. Il suo percorso formativo istituzionale fu frammentario: frequentò in presenza in modo regolare solamente il secondo e il terzo anno scolastico, mentre il resto del ciclo primario (inclusi il quinto e sesto anno) fu assimilato tramite l'istruzione domestica, impartitagli amorevolmente e rigorosamente dalla madre Celia, la quale divenne la sua prima e più influente precettrice.</w:t>
      </w:r>
    </w:p>
    <w:p>
      <w:pPr>
        <w:pStyle w:val="Heading3"/>
        <w:spacing w:after="80" w:before="160"/>
      </w:pPr>
      <w:r>
        <w:rPr>
          <w:rFonts w:ascii="Barlow Semi Condensed" w:cs="Barlow Semi Condensed" w:eastAsia="Barlow Semi Condensed" w:hAnsi="Barlow Semi Condensed"/>
          <w:sz w:val="24"/>
          <w:szCs w:val="24"/>
        </w:rPr>
        <w:t xml:space="preserve">La Biblioteca Familiare e la Strutturazione Intellettuale</w:t>
      </w:r>
    </w:p>
    <w:p>
      <w:pPr>
        <w:spacing w:after="120" w:line="276"/>
        <w:jc w:val="both"/>
      </w:pPr>
      <w:r>
        <w:rPr>
          <w:rFonts w:ascii="Barlow Semi Condensed" w:cs="Barlow Semi Condensed" w:eastAsia="Barlow Semi Condensed" w:hAnsi="Barlow Semi Condensed"/>
          <w:sz w:val="24"/>
          <w:szCs w:val="24"/>
        </w:rPr>
        <w:t xml:space="preserve">Questa reclusione forzata domestica generò nel bambino una voracità letteraria senza precedenti, un meccanismo di compensazione psicologica e intellettuale per l'impossibilità di condurre una normale vita fisica. La vasta biblioteca paterna, un santuario intellettuale composto da svariate migliaia di volumi, divenne il suo unico universo cognitivo esplorabile. Al suo interno, Ernesto divorò indiscriminatamente i classici della letteratura universale, estesi trattati di storia, saggi di filosofia, psicologia, arte, oltre ai grandi romanzi d'avventura. La sua precocità linguistica gli permise di affrontare numerose letture direttamente in lingua francese, lingua che padroneggiava fin da giovanissimo. Oltre alla narrativa e alla poesia – quest'ultima una compagna inseparabile per l'intero arco della sua vita, tanto che un quaderno con le sue poesie predilette fu ritrovato nel suo zaino in Bolivia al momento della cattura – fu in questa biblioteca che Ernesto si accostò, seppur in modo ancora immaturo e non strutturato, alle opere seminali del socialismo scientifico. Tra i volumi erano presenti testi di Karl Marx, Friedrich Engels e Vladimir Lenin, fondamenti teorici che avrebbero depositato in lui i primi semi di quella che, decenni dopo, sarebbe diventata un'inscalfibile dottrina politica e uno strumento di analisi della prassi materiale.</w:t>
      </w:r>
    </w:p>
    <w:p>
      <w:pPr>
        <w:spacing w:after="120" w:line="276"/>
        <w:jc w:val="both"/>
      </w:pPr>
      <w:r>
        <w:rPr>
          <w:rFonts w:ascii="Barlow Semi Condensed" w:cs="Barlow Semi Condensed" w:eastAsia="Barlow Semi Condensed" w:hAnsi="Barlow Semi Condensed"/>
          <w:sz w:val="24"/>
          <w:szCs w:val="24"/>
        </w:rPr>
        <w:t xml:space="preserve">È di cruciale importanza analizzare l'impatto psicologico, oltre che fisico, dell'asma sulla formazione del carattere di Guevara. Lungi dal renderlo un individuo remissivo, timoroso o ipocondriaco, l'invalidità respiratoria sviluppò in lui una ferrea, quasi stoica, volontà di superamento dei propri limiti fisiologici. La costante, immanente minaccia del soffocamento instillò un senso di urgenza esistenziale, una familiarità quotidiana con l'idea della morte e un rigore autodisciplinare che lo avrebbero accompagnato nelle prove più estreme della sua esistenza, fino alle umide giungle del Congo e della Bolivia. In ambito economico, il periodo trascorso ad Alta Gracia fu segnato da un progressivo, seppur taciuto, deterioramento delle finanze familiari. Nonostante i limitati e fluttuanti introiti provenienti dalla lontana piantagione di Misiones, i due coniugi si sforzarono di ostentare una fiduciosa sicurezza, continuando a frequentare la buona società aristocratica e alto-borghese che si riuniva periodicamente presso il prestigioso Sierras Hotel, celando un lento declassamento economico. In questo periodo nacquero altri membri della famiglia, tra cui, nel gennaio del 1934, la secondogenita Ana Maria.</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Integrazione (24 agosto 2026) — Da Córdoba all'esilio messicano (1943-1954)</w:t>
      </w:r>
    </w:p>
    <w:p>
      <w:pPr>
        <w:spacing w:after="120" w:line="276"/>
        <w:jc w:val="both"/>
      </w:pPr>
      <w:r>
        <w:rPr>
          <w:rFonts w:ascii="Barlow Semi Condensed" w:cs="Barlow Semi Condensed" w:eastAsia="Barlow Semi Condensed" w:hAnsi="Barlow Semi Condensed"/>
          <w:i/>
          <w:iCs/>
          <w:sz w:val="24"/>
          <w:szCs w:val="24"/>
        </w:rPr>
        <w:t xml:space="preserve">Le sezioni che seguono completano il programma dichiarato nell'introduzione, interrotto nella stesura originale al 1934. Sono state redatte in sede di revisione, su cronologia storiografica consolidata (Anderson, Taibo II, Castañeda), e vanno lette come integrazione distinta dalla stesura d'autore.</w:t>
      </w:r>
    </w:p>
    <w:p>
      <w:pPr>
        <w:pStyle w:val="Heading3"/>
        <w:spacing w:after="80" w:before="160"/>
      </w:pPr>
      <w:r>
        <w:rPr>
          <w:rFonts w:ascii="Barlow Semi Condensed" w:cs="Barlow Semi Condensed" w:eastAsia="Barlow Semi Condensed" w:hAnsi="Barlow Semi Condensed"/>
          <w:sz w:val="24"/>
          <w:szCs w:val="24"/>
        </w:rPr>
        <w:t xml:space="preserve">Córdoba e l'adolescenza (1943-1946)</w:t>
      </w:r>
    </w:p>
    <w:p>
      <w:pPr>
        <w:spacing w:after="120" w:line="276"/>
        <w:jc w:val="both"/>
      </w:pPr>
      <w:r>
        <w:rPr>
          <w:rFonts w:ascii="Barlow Semi Condensed" w:cs="Barlow Semi Condensed" w:eastAsia="Barlow Semi Condensed" w:hAnsi="Barlow Semi Condensed"/>
          <w:sz w:val="24"/>
          <w:szCs w:val="24"/>
        </w:rPr>
        <w:t xml:space="preserve">Nel 1943 la famiglia lasciò Alta Gracia per la città di Córdoba, dove Ernesto frequentò il Colegio Nacional Deán Funes. L'adolescente che l'asma avrebbe dovuto confinare scelse sistematicamente gli sport più duri: il rugby soprattutto, praticato con un accanimento che gli valse il soprannome di «Fúser» (contrazione di «Furibondo Serna») e che lo costringeva a giocare con l'inalatore a bordo campo. Alla violenza fisica del gioco affiancava gli scacchi, appresi dal padre, e la lettura onnivora ereditata dagli anni della reclusione: in questi anni si collocano le prime letture sistematiche di poesia (Neruda su tutti) e la compilazione di quaderni filosofici personali, un indice ragionato di letture che avrebbe aggiornato per anni. L'ostentata indifferenza per l'abbigliamento — la celebre «settimanale», la camicia che dichiarava di cambiare una volta alla settimana — completava un personaggio già insofferente alle convenzioni del proprio ceto. Le finanze familiari continuavano intanto a declinare, e il matrimonio dei genitori a incrinarsi.</w:t>
      </w:r>
    </w:p>
    <w:p>
      <w:pPr>
        <w:pStyle w:val="Heading3"/>
        <w:spacing w:after="80" w:before="160"/>
      </w:pPr>
      <w:r>
        <w:rPr>
          <w:rFonts w:ascii="Barlow Semi Condensed" w:cs="Barlow Semi Condensed" w:eastAsia="Barlow Semi Condensed" w:hAnsi="Barlow Semi Condensed"/>
          <w:sz w:val="24"/>
          <w:szCs w:val="24"/>
        </w:rPr>
        <w:t xml:space="preserve">Buenos Aires e la medicina (1947-1951)</w:t>
      </w:r>
    </w:p>
    <w:p>
      <w:pPr>
        <w:spacing w:after="120" w:line="276"/>
        <w:jc w:val="both"/>
      </w:pPr>
      <w:r>
        <w:rPr>
          <w:rFonts w:ascii="Barlow Semi Condensed" w:cs="Barlow Semi Condensed" w:eastAsia="Barlow Semi Condensed" w:hAnsi="Barlow Semi Condensed"/>
          <w:sz w:val="24"/>
          <w:szCs w:val="24"/>
        </w:rPr>
        <w:t xml:space="preserve">Nel 1947 la famiglia si trasferì a Buenos Aires. La morte della nonna paterna Ana Isabel, che Ernesto assistette negli ultimi giorni, pesò sulla decisione — maturata rapidamente e con sorpresa dei familiari — di iscriversi alla Facoltà di Medicina dell'Università di Buenos Aires anziché a ingegneria. Come già rilevato nel rapporto sul periodo messicano, la vocazione non era borghese ma di ricerca: l'asma propria e la malattia della madre (operata di tumore) orientarono il suo interesse verso allergologia e patologie immunitarie, coltivato nella clinica del dottor Salvador Pisani, dove divenne collaboratore di ricerca. Per mantenersi lavorò negli impieghi più vari, inclusa una sezione dell'ufficio municipale e un impiego nella marina mercantile argentina che lo portò fino a Trinidad e alla Guyana britannica. Nel gennaio-febbraio 1950 compì il primo viaggio in solitaria: circa 4.500 chilometri attraverso il nord dell'Argentina su una bicicletta equipaggiata con un micromotore Cucciolo, con visite ai lebbrosari che anticipavano la saldatura fra medicina e scoperta sociale.</w:t>
      </w:r>
    </w:p>
    <w:p>
      <w:pPr>
        <w:pStyle w:val="Heading3"/>
        <w:spacing w:after="80" w:before="160"/>
      </w:pPr>
      <w:r>
        <w:rPr>
          <w:rFonts w:ascii="Barlow Semi Condensed" w:cs="Barlow Semi Condensed" w:eastAsia="Barlow Semi Condensed" w:hAnsi="Barlow Semi Condensed"/>
          <w:sz w:val="24"/>
          <w:szCs w:val="24"/>
        </w:rPr>
        <w:t xml:space="preserve">I due viaggi continentali (1951-1953)</w:t>
      </w:r>
    </w:p>
    <w:p>
      <w:pPr>
        <w:spacing w:after="120" w:line="276"/>
        <w:jc w:val="both"/>
      </w:pPr>
      <w:r>
        <w:rPr>
          <w:rFonts w:ascii="Barlow Semi Condensed" w:cs="Barlow Semi Condensed" w:eastAsia="Barlow Semi Condensed" w:hAnsi="Barlow Semi Condensed"/>
          <w:sz w:val="24"/>
          <w:szCs w:val="24"/>
        </w:rPr>
        <w:t xml:space="preserve">Il 29 dicembre 1951 partì con il biochimico Alberto Granado per il viaggio della «Poderosa II», la Norton 500 che avrebbe ceduto prima di metà percorso: Patagonia, Cile (con la discesa nella miniera di rame di Chuquicamata e l'incontro con la coppia di minatori comunisti perseguitati, pagina capitale dei suoi diari), Perù (Machu Picchu e il lebbrosario di San Pablo in Amazzonia, sotto la guida a distanza del dottor Hugo Pesce, medico e dirigente comunista), Colombia e Venezuela, con rientro finale via Miami nell'agosto 1952. Tornato a Buenos Aires, superò in una sessione forzata gli esami rimanenti e si laureò in medicina nel giugno 1953. Il 7 luglio 1953 ripartì — questa volta senza ritorno — con l'amico d'infanzia Carlos «Calica» Ferrer: la Bolivia della rivoluzione del 1952 (dove osservò con scetticismo la riforma del MNR e visitò le miniere), il Perù, l'Ecuador (dove l'incontro con l'esule argentino Ricardo Rojo contribuì a deviarne la rotta dal Venezuela verso il Centroamerica), il Costa Rica e infine, nel dicembre 1953, il Guatemala.</w:t>
      </w:r>
    </w:p>
    <w:p>
      <w:pPr>
        <w:pStyle w:val="Heading3"/>
        <w:spacing w:after="80" w:before="160"/>
      </w:pPr>
      <w:r>
        <w:rPr>
          <w:rFonts w:ascii="Barlow Semi Condensed" w:cs="Barlow Semi Condensed" w:eastAsia="Barlow Semi Condensed" w:hAnsi="Barlow Semi Condensed"/>
          <w:sz w:val="24"/>
          <w:szCs w:val="24"/>
        </w:rPr>
        <w:t xml:space="preserve">Guatemala: la cesura (1954)</w:t>
      </w:r>
    </w:p>
    <w:p>
      <w:pPr>
        <w:spacing w:after="120" w:line="276"/>
        <w:jc w:val="both"/>
      </w:pPr>
      <w:r>
        <w:rPr>
          <w:rFonts w:ascii="Barlow Semi Condensed" w:cs="Barlow Semi Condensed" w:eastAsia="Barlow Semi Condensed" w:hAnsi="Barlow Semi Condensed"/>
          <w:sz w:val="24"/>
          <w:szCs w:val="24"/>
        </w:rPr>
        <w:t xml:space="preserve">Nel Guatemala del presidente Jacobo Árbenz, impegnato nella riforma agraria che espropriava le terre incolte della United Fruit Company, Guevara trovò il laboratorio politico che cercava — e conobbe l'economista peruviana esule Hilda Gadea, militante dell'APRA, che ne guidò le letture marxiste e ne divenne compagna. È di questo periodo la lettera alla zia Beatriz firmata scherzosamente da un nipote che giurava sul ritratto del «compagno Stalin» di non riposare finché gli «polpi capitalisti» non fossero annientati: ironia epistolare che segnala però una radicalizzazione ormai avviata. Quando, nel giugno 1954, l'operazione PBSUCCESS della CIA portò all'invasione del paese da parte delle bande di Castillo Armas, Guevara si adoperò — invano — per l'organizzazione di milizie popolari e per la resistenza; caduto Árbenz senza combattere, trovò rifugio nell'ambasciata argentina. Ne uscì con la convinzione, ormai definitiva, che nessuna riforma pacifica sarebbe stata tollerata dall'imperialismo, e con un obiettivo immediato: il Messico, dove giunse — come documentato nel rapporto successivo di questo corpus — il 21 settembre 1954. L'incontro con Fidel Castro, nel luglio 1955, avrebbe fatto il resto.</w:t>
      </w:r>
    </w:p>
    <w:p>
      <w:pPr>
        <w:spacing w:after="120" w:line="276"/>
        <w:jc w:val="both"/>
      </w:pPr>
      <w:r>
        <w:rPr>
          <w:rFonts w:ascii="Barlow Semi Condensed" w:cs="Barlow Semi Condensed" w:eastAsia="Barlow Semi Condensed" w:hAnsi="Barlow Semi Condensed"/>
          <w:i/>
          <w:iCs/>
          <w:sz w:val="24"/>
          <w:szCs w:val="24"/>
        </w:rPr>
        <w:t xml:space="preserve">[Il programma del presente documento si salda qui con il «Rapporto Storico-Politico sull'Evoluzione di Ernesto Guevara: Dal Messico a L'Avana (1954-1965)».]</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Nota di revisione</w:t>
      </w:r>
    </w:p>
    <w:p>
      <w:pPr>
        <w:spacing w:after="120" w:line="276"/>
        <w:jc w:val="both"/>
      </w:pPr>
      <w:r>
        <w:rPr>
          <w:rFonts w:ascii="Barlow Semi Condensed" w:cs="Barlow Semi Condensed" w:eastAsia="Barlow Semi Condensed" w:hAnsi="Barlow Semi Condensed"/>
          <w:sz w:val="24"/>
          <w:szCs w:val="24"/>
        </w:rPr>
        <w:t xml:space="preserve">In seguito alla triangolazione delle fonti (cfr. </w:t>
      </w:r>
      <w:r>
        <w:rPr>
          <w:rFonts w:ascii="Barlow Semi Condensed" w:cs="Barlow Semi Condensed" w:eastAsia="Barlow Semi Condensed" w:hAnsi="Barlow Semi Condensed"/>
          <w:i/>
          <w:iCs/>
          <w:sz w:val="24"/>
          <w:szCs w:val="24"/>
        </w:rPr>
        <w:t xml:space="preserve">triangolazioni-guevara-moro.md</w:t>
      </w:r>
      <w:r>
        <w:rPr>
          <w:rFonts w:ascii="Barlow Semi Condensed" w:cs="Barlow Semi Condensed" w:eastAsia="Barlow Semi Condensed" w:hAnsi="Barlow Semi Condensed"/>
          <w:sz w:val="24"/>
          <w:szCs w:val="24"/>
        </w:rPr>
        <w:t xml:space="preserve">, §1) è stato corretto il numero dei figli nati dal secondo matrimonio di Ernesto Guevara Lynch: furono </w:t>
      </w:r>
      <w:r>
        <w:rPr>
          <w:rFonts w:ascii="Barlow Semi Condensed" w:cs="Barlow Semi Condensed" w:eastAsia="Barlow Semi Condensed" w:hAnsi="Barlow Semi Condensed"/>
          <w:b/>
          <w:bCs/>
          <w:sz w:val="24"/>
          <w:szCs w:val="24"/>
        </w:rPr>
        <w:t xml:space="preserve">tre</w:t>
      </w:r>
      <w:r>
        <w:rPr>
          <w:rFonts w:ascii="Barlow Semi Condensed" w:cs="Barlow Semi Condensed" w:eastAsia="Barlow Semi Condensed" w:hAnsi="Barlow Semi Condensed"/>
          <w:sz w:val="24"/>
          <w:szCs w:val="24"/>
        </w:rPr>
        <w:t xml:space="preserve"> — Ramón, María Victoria e Ramiro, avuti dalla pittrice Ana María Erra dopo la morte di Celia de la Serna nel 1965 — e non quattro come indicato nella stesura originale.</w:t>
      </w:r>
    </w:p>
    <w:p>
      <w:pPr>
        <w:pStyle w:val="Heading3"/>
        <w:spacing w:after="80" w:before="240"/>
      </w:pPr>
      <w:r>
        <w:rPr>
          <w:rFonts w:ascii="Barlow Semi Condensed" w:cs="Barlow Semi Condensed" w:eastAsia="Barlow Semi Condensed" w:hAnsi="Barlow Semi Condensed"/>
          <w:sz w:val="24"/>
          <w:szCs w:val="24"/>
        </w:rPr>
        <w:t xml:space="preserve">Apparato grafico — Libro terzo · Origini ed esilio</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Libro terzo I: 2.133 parole in 5 sezioni; la più ampia è §4 Integrazione, con 746.</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Libro terzo I: 24 paragrafi in 5 sezioni, 5 in media per sezione.</w:t>
      </w:r>
    </w:p>
    <w:p>
      <w:pPr>
        <w:spacing w:after="120"/>
        <w:jc w:val="center"/>
      </w:pPr>
      <w:r>
        <w:rPr>
          <w:rFonts w:ascii="Barlow Semi Condensed" w:cs="Barlow Semi Condensed" w:eastAsia="Barlow Semi Condensed" w:hAnsi="Barlow Semi Condensed"/>
          <w:color w:val="777777"/>
          <w:sz w:val="16"/>
          <w:szCs w:val="16"/>
        </w:rPr>
        <w:t xml:space="preserve">Le metriche dell'apparato contano parole, documenti e atti — mai colpe.</w:t>
      </w:r>
    </w:p>
    <w:p>
      <w:r>
        <w:br w:type="page"/>
      </w:r>
    </w:p>
    <w:p>
      <w:pPr>
        <w:pStyle w:val="Heading1"/>
        <w:spacing w:after="120" w:before="240"/>
      </w:pPr>
      <w:r>
        <w:rPr>
          <w:rFonts w:ascii="Barlow Semi Condensed" w:cs="Barlow Semi Condensed" w:eastAsia="Barlow Semi Condensed" w:hAnsi="Barlow Semi Condensed"/>
          <w:sz w:val="24"/>
          <w:szCs w:val="24"/>
        </w:rPr>
        <w:t xml:space="preserve">Libro terzo — La parabola di Guevara — II. Dal Messico all'Avana</w:t>
      </w:r>
    </w:p>
    <w:p>
      <w:pPr>
        <w:pStyle w:val="Heading1"/>
        <w:spacing w:after="120" w:before="240"/>
      </w:pPr>
      <w:r>
        <w:rPr>
          <w:rFonts w:ascii="Barlow Semi Condensed" w:cs="Barlow Semi Condensed" w:eastAsia="Barlow Semi Condensed" w:hAnsi="Barlow Semi Condensed"/>
          <w:sz w:val="24"/>
          <w:szCs w:val="24"/>
        </w:rPr>
        <w:t xml:space="preserve">Rapporto Storico-Politico sull'Evoluzione di Ernesto Guevara: Dal Messico a L'Avana (1954-1965)</w:t>
      </w:r>
    </w:p>
    <w:p>
      <w:pPr>
        <w:pStyle w:val="Heading2"/>
        <w:spacing w:after="100" w:before="200"/>
      </w:pPr>
      <w:r>
        <w:rPr>
          <w:rFonts w:ascii="Barlow Semi Condensed" w:cs="Barlow Semi Condensed" w:eastAsia="Barlow Semi Condensed" w:hAnsi="Barlow Semi Condensed"/>
          <w:sz w:val="24"/>
          <w:szCs w:val="24"/>
        </w:rPr>
        <w:t xml:space="preserve">Introduzione: Le Radici di una Coscienza Rivoluzionaria</w:t>
      </w:r>
    </w:p>
    <w:p>
      <w:pPr>
        <w:spacing w:after="120" w:line="276"/>
        <w:jc w:val="both"/>
      </w:pPr>
      <w:r>
        <w:rPr>
          <w:rFonts w:ascii="Barlow Semi Condensed" w:cs="Barlow Semi Condensed" w:eastAsia="Barlow Semi Condensed" w:hAnsi="Barlow Semi Condensed"/>
          <w:sz w:val="24"/>
          <w:szCs w:val="24"/>
        </w:rPr>
        <w:t xml:space="preserve">L'analisi dell'evoluzione politica, militare e intellettuale di Ernesto Guevara de la Serna, universalmente noto come il "Che", richiede una disamina strutturale che trascenda la mera agiografia o la demonizzazione. Il fulcro di questo rapporto si concentra sul periodo che va dal suo cruciale esilio a Città del Messico (1954), passando per la genesi e il trionfo della Rivoluzione Cubana, fino al suo ruolo ai vertici dell'architettura statale a L'Avana e alle sue definitive dimissioni nel 1965. Tuttavia, per comprendere appieno l'impalcatura ideologica che Guevara portò con sé in Messico, è imperativo tracciare brevemente le coordinate della sua formazione giovanile.</w:t>
      </w:r>
    </w:p>
    <w:p>
      <w:pPr>
        <w:spacing w:after="120" w:line="276"/>
        <w:jc w:val="both"/>
      </w:pPr>
      <w:r>
        <w:rPr>
          <w:rFonts w:ascii="Barlow Semi Condensed" w:cs="Barlow Semi Condensed" w:eastAsia="Barlow Semi Condensed" w:hAnsi="Barlow Semi Condensed"/>
          <w:sz w:val="24"/>
          <w:szCs w:val="24"/>
        </w:rPr>
        <w:t xml:space="preserve">Nato in una famiglia dell'alta borghesia argentina – il 14 giugno 1928 a Rosario, sebbene fonti documentate come la biografia di Jon Lee Anderson, basate sulle affermazioni della madre, suggeriscano il 14 maggio come data reale per celare un concepimento prematrimoniale – Ernesto Guevara crebbe in un ambiente colto, caratterizzato da idee progressiste e socialiste. I genitori, Ernesto Guevara Lynch (di ascendenze basche e irlandesi) e Celia de la Serna (attivista femminista e anticlericale di nobili origini spagnole), trasmisero al primogenito e ai suoi quattro fratelli uno spirito bohémien e un profondo amore per la letteratura. Affetto fin dall'età di due anni da una grave forma di asma cronica, che costrinse la famiglia a trasferirsi nel clima salubre di Alta Gracia (Córdoba), il giovane Ernesto compensò le limitazioni fisiche con un'insaziabile voracità intellettuale, immergendosi nella sterminata biblioteca paterna che includeva opere di letteratura universale francese, psicologia, e i testi fondativi del marxismo: Marx, Engels e Lenin.</w:t>
      </w:r>
    </w:p>
    <w:p>
      <w:pPr>
        <w:spacing w:after="120" w:line="276"/>
        <w:jc w:val="both"/>
      </w:pPr>
      <w:r>
        <w:rPr>
          <w:rFonts w:ascii="Barlow Semi Condensed" w:cs="Barlow Semi Condensed" w:eastAsia="Barlow Semi Condensed" w:hAnsi="Barlow Semi Condensed"/>
          <w:sz w:val="24"/>
          <w:szCs w:val="24"/>
        </w:rPr>
        <w:t xml:space="preserve">La sua successiva iscrizione alla Facoltà di Medicina a Buenos Aires nel 1947 non fu dettata da ambizioni borghesi, ma da un sincero interesse per la ricerca su patologie come l'asma, le allergie e la lebbra. Questa vocazione si fuse con la scoperta empirica della realtà continentale attraverso due viaggi formativi fondamentali. Il primo, nel 1952, intrapreso a bordo della motocicletta "La Poderosa II" con l'amico biochimico Alberto Granado, lo portò ad attraversare Cile, Perù, Colombia e Venezuela. L'incontro con i minatori comunisti a Chuquicamata e l'esperienza nei lebbrosari (come quello di San Pablo nell'Amazzonia peruviana, diretto dal medico e militante comunista Hugo Pesce) innescarono in lui una profonda presa di coscienza sulle disuguaglianze sociali e sull'imperialismo statunitense. Laureatosi in medicina nel 1953, intraprese un secondo viaggio con Carlos "Calica" Ferrer attraverso Bolivia, Perù, Ecuador e Centroamerica. Questo itinerario lo condusse infine nel Guatemala del presidente democratico Jacobo Árbenz, dove assistette impotente al colpo di Stato del 1954 orchestrato dalla CIA e guidato da Carlos Castillo Armas. L'esperienza guatemalteca, che lo vide tentare invano di organizzare milizie popolari, cristallizzò la sua convinzione che i cambiamenti sociali pacifici in America Latina sarebbero sempre stati schiacciati dalla forza militare imperiale, rendendo la lotta armata l'unica via percorribile. Con questa radicale consapevolezza politica, fuggendo dalla repressione, Guevara varcò il confine messicano nel settembre del 1954.</w:t>
      </w:r>
    </w:p>
    <w:p>
      <w:pPr>
        <w:pStyle w:val="Heading2"/>
        <w:spacing w:after="100" w:before="200"/>
      </w:pPr>
      <w:r>
        <w:rPr>
          <w:rFonts w:ascii="Barlow Semi Condensed" w:cs="Barlow Semi Condensed" w:eastAsia="Barlow Semi Condensed" w:hAnsi="Barlow Semi Condensed"/>
          <w:sz w:val="24"/>
          <w:szCs w:val="24"/>
        </w:rPr>
        <w:t xml:space="preserve">L'Esilio a Città del Messico: La Dicotomia tra Scienza e Militanza (1954-1956)</w:t>
      </w:r>
    </w:p>
    <w:p>
      <w:pPr>
        <w:spacing w:after="120" w:line="276"/>
        <w:jc w:val="both"/>
      </w:pPr>
      <w:r>
        <w:rPr>
          <w:rFonts w:ascii="Barlow Semi Condensed" w:cs="Barlow Semi Condensed" w:eastAsia="Barlow Semi Condensed" w:hAnsi="Barlow Semi Condensed"/>
          <w:sz w:val="24"/>
          <w:szCs w:val="24"/>
        </w:rPr>
        <w:t xml:space="preserve">L'arrivo di Ernesto Guevara a Città del Messico, il 21 settembre 1954, accompagnato dall'amico guatemalteco noto come "El Patojo", segna l'inizio di una fase di profonda riorganizzazione esistenziale e intellettuale. Il Messico degli anni Cinquanta, forte della sua eredità rivoluzionaria, rappresentava il principale epicentro per l'esilio politico latinoamericano. In questo contesto, Guevara visse una marcata dualità: da un lato, la necessità di sopravvivenza economica e il desiderio di eccellere nella ricerca medica; dall'altro, l'inesorabile attrazione verso l'attivismo politico radicale.</w:t>
      </w:r>
    </w:p>
    <w:p>
      <w:pPr>
        <w:pStyle w:val="Heading3"/>
        <w:spacing w:after="80" w:before="160"/>
      </w:pPr>
      <w:r>
        <w:rPr>
          <w:rFonts w:ascii="Barlow Semi Condensed" w:cs="Barlow Semi Condensed" w:eastAsia="Barlow Semi Condensed" w:hAnsi="Barlow Semi Condensed"/>
          <w:sz w:val="24"/>
          <w:szCs w:val="24"/>
        </w:rPr>
        <w:t xml:space="preserve">Precariato Economico e Consolidamento Teorico</w:t>
      </w:r>
    </w:p>
    <w:p>
      <w:pPr>
        <w:spacing w:after="120" w:line="276"/>
        <w:jc w:val="both"/>
      </w:pPr>
      <w:r>
        <w:rPr>
          <w:rFonts w:ascii="Barlow Semi Condensed" w:cs="Barlow Semi Condensed" w:eastAsia="Barlow Semi Condensed" w:hAnsi="Barlow Semi Condensed"/>
          <w:sz w:val="24"/>
          <w:szCs w:val="24"/>
        </w:rPr>
        <w:t xml:space="preserve">Privo di documenti regolari e di risorse finanziarie, il ventiseienne medico argentino fu costretto ad accettare occupazioni precarie. Lavorò inizialmente come fotografo ambulante lungo l'Alameda Central e nel Centro Storico della capitale, riuscendo successivamente a ottenere un impiego come fotografo e giornalista per un'agenzia sudamericana durante i Giochi Panamericani del 1955. Accanto a questi impieghi, le fonti documentano con certezza la sua attività di ricerca ospedaliera e le lezioni di medicina tenute presso la Facoltà di Medicina dell'Università Nazionale Autonoma del Messico (UNAM) [→ </w:t>
      </w:r>
      <w:r>
        <w:rPr>
          <w:rFonts w:ascii="Barlow Semi Condensed" w:cs="Barlow Semi Condensed" w:eastAsia="Barlow Semi Condensed" w:hAnsi="Barlow Semi Condensed"/>
          <w:i/>
          <w:iCs/>
          <w:sz w:val="24"/>
          <w:szCs w:val="24"/>
        </w:rPr>
        <w:t xml:space="preserve">Nota di revisione 1</w:t>
      </w:r>
      <w:r>
        <w:rPr>
          <w:rFonts w:ascii="Barlow Semi Condensed" w:cs="Barlow Semi Condensed" w:eastAsia="Barlow Semi Condensed" w:hAnsi="Barlow Semi Condensed"/>
          <w:sz w:val="24"/>
          <w:szCs w:val="24"/>
        </w:rPr>
        <w:t xml:space="preserve">]. In questo periodo Guevara condusse uno studio sistematico di testi chiave come </w:t>
      </w:r>
      <w:r>
        <w:rPr>
          <w:rFonts w:ascii="Barlow Semi Condensed" w:cs="Barlow Semi Condensed" w:eastAsia="Barlow Semi Condensed" w:hAnsi="Barlow Semi Condensed"/>
          <w:i/>
          <w:iCs/>
          <w:sz w:val="24"/>
          <w:szCs w:val="24"/>
        </w:rPr>
        <w:t xml:space="preserve">Il Capitale</w:t>
      </w:r>
      <w:r>
        <w:rPr>
          <w:rFonts w:ascii="Barlow Semi Condensed" w:cs="Barlow Semi Condensed" w:eastAsia="Barlow Semi Condensed" w:hAnsi="Barlow Semi Condensed"/>
          <w:sz w:val="24"/>
          <w:szCs w:val="24"/>
        </w:rPr>
        <w:t xml:space="preserve"> di Karl Marx, </w:t>
      </w:r>
      <w:r>
        <w:rPr>
          <w:rFonts w:ascii="Barlow Semi Condensed" w:cs="Barlow Semi Condensed" w:eastAsia="Barlow Semi Condensed" w:hAnsi="Barlow Semi Condensed"/>
          <w:i/>
          <w:iCs/>
          <w:sz w:val="24"/>
          <w:szCs w:val="24"/>
        </w:rPr>
        <w:t xml:space="preserve">Che fare?</w:t>
      </w:r>
      <w:r>
        <w:rPr>
          <w:rFonts w:ascii="Barlow Semi Condensed" w:cs="Barlow Semi Condensed" w:eastAsia="Barlow Semi Condensed" w:hAnsi="Barlow Semi Condensed"/>
          <w:sz w:val="24"/>
          <w:szCs w:val="24"/>
        </w:rPr>
        <w:t xml:space="preserve"> di Vladimir Lenin e </w:t>
      </w:r>
      <w:r>
        <w:rPr>
          <w:rFonts w:ascii="Barlow Semi Condensed" w:cs="Barlow Semi Condensed" w:eastAsia="Barlow Semi Condensed" w:hAnsi="Barlow Semi Condensed"/>
          <w:i/>
          <w:iCs/>
          <w:sz w:val="24"/>
          <w:szCs w:val="24"/>
        </w:rPr>
        <w:t xml:space="preserve">I dieci giorni che sconvolsero il mondo</w:t>
      </w:r>
      <w:r>
        <w:rPr>
          <w:rFonts w:ascii="Barlow Semi Condensed" w:cs="Barlow Semi Condensed" w:eastAsia="Barlow Semi Condensed" w:hAnsi="Barlow Semi Condensed"/>
          <w:sz w:val="24"/>
          <w:szCs w:val="24"/>
        </w:rPr>
        <w:t xml:space="preserve"> di John Reed. In questo periodo, l'analisi empirica del sottosviluppo latinoamericano – maturata durante i viaggi giovanili – acquisì una rigorosa strutturazione teorica e concettuale, cementando le sue fondamenta marxiste-leniniste.</w:t>
      </w:r>
    </w:p>
    <w:p>
      <w:pPr>
        <w:pStyle w:val="Heading3"/>
        <w:spacing w:after="80" w:before="160"/>
      </w:pPr>
      <w:r>
        <w:rPr>
          <w:rFonts w:ascii="Barlow Semi Condensed" w:cs="Barlow Semi Condensed" w:eastAsia="Barlow Semi Condensed" w:hAnsi="Barlow Semi Condensed"/>
          <w:sz w:val="24"/>
          <w:szCs w:val="24"/>
        </w:rPr>
        <w:t xml:space="preserve">Il Contributo Accademico all'Allergologia</w:t>
      </w:r>
    </w:p>
    <w:p>
      <w:pPr>
        <w:spacing w:after="120" w:line="276"/>
        <w:jc w:val="both"/>
      </w:pPr>
      <w:r>
        <w:rPr>
          <w:rFonts w:ascii="Barlow Semi Condensed" w:cs="Barlow Semi Condensed" w:eastAsia="Barlow Semi Condensed" w:hAnsi="Barlow Semi Condensed"/>
          <w:sz w:val="24"/>
          <w:szCs w:val="24"/>
        </w:rPr>
        <w:t xml:space="preserve">Parallelamente allo studio dell'economia politica, Guevara perseguì con determinazione la sua vocazione clinica. Data la sua condizione di asmatico cronico, il suo interesse per l'allergologia non era puramente accademico, ma profondamente personale ed esistenziale. Si presentò al professor Mario Salazar Mallén, un'eminente autorità medica e capo del neonato Servizio di Allergologia presso l'Hospital General de México, ottenendo un internato nel Padiglione 21 dell'istituzione.</w:t>
      </w:r>
    </w:p>
    <w:p>
      <w:pPr>
        <w:spacing w:after="120" w:line="276"/>
        <w:jc w:val="both"/>
      </w:pPr>
      <w:r>
        <w:rPr>
          <w:rFonts w:ascii="Barlow Semi Condensed" w:cs="Barlow Semi Condensed" w:eastAsia="Barlow Semi Condensed" w:hAnsi="Barlow Semi Condensed"/>
          <w:sz w:val="24"/>
          <w:szCs w:val="24"/>
        </w:rPr>
        <w:t xml:space="preserve">All'interno dell'ospedale, Guevara dimostrò un notevole rigore metodologico. Il suo lavoro si basava sull'espansione delle teorie del ricercatore argentino Salvador Pisani, con il quale aveva collaborato a Buenos Aires. Pisani aveva elaborato concetti avanguardistici sull'impiego di antigeni alimentari semidigeriti per diagnosticare e trattare gli stati allergici, ipotizzando che l'origine dell'allergia risiedesse in un'anomala permeabilità della mucosa del tubo digerente. Guevara condusse esperimenti rigorosi, che culminarono nella stesura di articoli scientifici di rilievo.</w:t>
      </w:r>
    </w:p>
    <w:p>
      <w:pPr>
        <w:spacing w:after="120" w:line="276"/>
        <w:jc w:val="both"/>
      </w:pPr>
      <w:r>
        <w:rPr>
          <w:rFonts w:ascii="Barlow Semi Condensed" w:cs="Barlow Semi Condensed" w:eastAsia="Barlow Semi Condensed" w:hAnsi="Barlow Semi Condensed"/>
          <w:sz w:val="24"/>
          <w:szCs w:val="24"/>
        </w:rPr>
        <w:t xml:space="preserve">Nel maggio del 1955, la sua ricerca intitolata </w:t>
      </w:r>
      <w:r>
        <w:rPr>
          <w:rFonts w:ascii="Barlow Semi Condensed" w:cs="Barlow Semi Condensed" w:eastAsia="Barlow Semi Condensed" w:hAnsi="Barlow Semi Condensed"/>
          <w:i/>
          <w:iCs/>
          <w:sz w:val="24"/>
          <w:szCs w:val="24"/>
        </w:rPr>
        <w:t xml:space="preserve">Investigaciones cutáneas con antígenos alimentarios semidigeridos</w:t>
      </w:r>
      <w:r>
        <w:rPr>
          <w:rFonts w:ascii="Barlow Semi Condensed" w:cs="Barlow Semi Condensed" w:eastAsia="Barlow Semi Condensed" w:hAnsi="Barlow Semi Condensed"/>
          <w:sz w:val="24"/>
          <w:szCs w:val="24"/>
        </w:rPr>
        <w:t xml:space="preserve"> ("Ricerche cutanee con antigeni alimentari semidigeriti") fu pubblicata nel volume II, numero 4 della </w:t>
      </w:r>
      <w:r>
        <w:rPr>
          <w:rFonts w:ascii="Barlow Semi Condensed" w:cs="Barlow Semi Condensed" w:eastAsia="Barlow Semi Condensed" w:hAnsi="Barlow Semi Condensed"/>
          <w:i/>
          <w:iCs/>
          <w:sz w:val="24"/>
          <w:szCs w:val="24"/>
        </w:rPr>
        <w:t xml:space="preserve">Revista Iberoamericana de Alergología</w:t>
      </w:r>
      <w:r>
        <w:rPr>
          <w:rFonts w:ascii="Barlow Semi Condensed" w:cs="Barlow Semi Condensed" w:eastAsia="Barlow Semi Condensed" w:hAnsi="Barlow Semi Condensed"/>
          <w:sz w:val="24"/>
          <w:szCs w:val="24"/>
        </w:rPr>
        <w:t xml:space="preserve">, diretta dallo stesso Salazar Mallén. L'articolo evidenziava una profonda padronanza della materia e una capacità analitica avanzata. Guevara vi delineava come l'iperpermeabilità della mucosa intestinale consentisse il passaggio di allergeni, proponendo metodologie innovative per testare la risposta immunitaria. Questo lavoro fu presentato anche in occasione del Nono Congresso di Allergologia tenutosi a León, Guanajuato, a cui Guevara partecipò insieme al collega Fernando Martínez Cortés.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c>
          <w:tcPr>
            <w:tcW w:type="dxa" w:w="312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Anno</w:t>
            </w:r>
          </w:p>
        </w:tc>
        <w:tc>
          <w:tcPr>
            <w:tcW w:type="dxa" w:w="312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Evoluzione della Produzione Scientifica di Ernesto Guevara</w:t>
            </w:r>
          </w:p>
        </w:tc>
        <w:tc>
          <w:tcPr>
            <w:tcW w:type="dxa" w:w="312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Focus Specifico della Ricerca</w:t>
            </w:r>
          </w:p>
        </w:tc>
      </w:tr>
      <w:tr>
        <w:tc>
          <w:tcPr>
            <w:tcW w:type="dxa" w:w="3120"/>
          </w:tcPr>
          <w:p>
            <w:pPr>
              <w:spacing w:after="20" w:before="20"/>
              <w:jc w:val="both"/>
            </w:pPr>
            <w:r>
              <w:rPr>
                <w:rFonts w:ascii="Barlow Semi Condensed" w:cs="Barlow Semi Condensed" w:eastAsia="Barlow Semi Condensed" w:hAnsi="Barlow Semi Condensed"/>
                <w:sz w:val="20"/>
                <w:szCs w:val="20"/>
              </w:rPr>
              <w:t xml:space="preserve">1953</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Pubblicazione: </w:t>
            </w:r>
            <w:r>
              <w:rPr>
                <w:rFonts w:ascii="Barlow Semi Condensed" w:cs="Barlow Semi Condensed" w:eastAsia="Barlow Semi Condensed" w:hAnsi="Barlow Semi Condensed"/>
                <w:i/>
                <w:iCs/>
                <w:sz w:val="20"/>
                <w:szCs w:val="20"/>
              </w:rPr>
              <w:t xml:space="preserve">Transmisión pasiva de sensibilización para antígenos de Taenia saginata</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Studio pionieristico sulle reazioni anticorpali e le sensibilizzazioni indotte dai parassiti.</w:t>
            </w:r>
          </w:p>
        </w:tc>
      </w:tr>
      <w:tr>
        <w:tc>
          <w:tcPr>
            <w:tcW w:type="dxa" w:w="3120"/>
          </w:tcPr>
          <w:p>
            <w:pPr>
              <w:spacing w:after="20" w:before="20"/>
              <w:jc w:val="both"/>
            </w:pPr>
            <w:r>
              <w:rPr>
                <w:rFonts w:ascii="Barlow Semi Condensed" w:cs="Barlow Semi Condensed" w:eastAsia="Barlow Semi Condensed" w:hAnsi="Barlow Semi Condensed"/>
                <w:sz w:val="20"/>
                <w:szCs w:val="20"/>
              </w:rPr>
              <w:t xml:space="preserve">1954</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Integrazione nell'equipe dell'Hospital General de México sotto la guida del Dr. Salazar Mallén</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Applicazione clinica di terapie sperimentali per pazienti con patologie respiratorie acute.</w:t>
            </w:r>
          </w:p>
        </w:tc>
      </w:tr>
      <w:tr>
        <w:tc>
          <w:tcPr>
            <w:tcW w:type="dxa" w:w="3120"/>
          </w:tcPr>
          <w:p>
            <w:pPr>
              <w:spacing w:after="20" w:before="20"/>
              <w:jc w:val="both"/>
            </w:pPr>
            <w:r>
              <w:rPr>
                <w:rFonts w:ascii="Barlow Semi Condensed" w:cs="Barlow Semi Condensed" w:eastAsia="Barlow Semi Condensed" w:hAnsi="Barlow Semi Condensed"/>
                <w:sz w:val="20"/>
                <w:szCs w:val="20"/>
              </w:rPr>
              <w:t xml:space="preserve">1955</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Pubblicazione: </w:t>
            </w:r>
            <w:r>
              <w:rPr>
                <w:rFonts w:ascii="Barlow Semi Condensed" w:cs="Barlow Semi Condensed" w:eastAsia="Barlow Semi Condensed" w:hAnsi="Barlow Semi Condensed"/>
                <w:i/>
                <w:iCs/>
                <w:sz w:val="20"/>
                <w:szCs w:val="20"/>
              </w:rPr>
              <w:t xml:space="preserve">Pruebas cutáneas con antígenos alimentarios semidigeridos</w:t>
            </w:r>
            <w:r>
              <w:rPr>
                <w:rFonts w:ascii="Barlow Semi Condensed" w:cs="Barlow Semi Condensed" w:eastAsia="Barlow Semi Condensed" w:hAnsi="Barlow Semi Condensed"/>
                <w:sz w:val="20"/>
                <w:szCs w:val="20"/>
              </w:rPr>
              <w:t xml:space="preserve"> (</w:t>
            </w:r>
            <w:r>
              <w:rPr>
                <w:rFonts w:ascii="Barlow Semi Condensed" w:cs="Barlow Semi Condensed" w:eastAsia="Barlow Semi Condensed" w:hAnsi="Barlow Semi Condensed"/>
                <w:i/>
                <w:iCs/>
                <w:sz w:val="20"/>
                <w:szCs w:val="20"/>
              </w:rPr>
              <w:t xml:space="preserve">Revista Iberoamericana de Alergología</w:t>
            </w:r>
            <w:r>
              <w:rPr>
                <w:rFonts w:ascii="Barlow Semi Condensed" w:cs="Barlow Semi Condensed" w:eastAsia="Barlow Semi Condensed" w:hAnsi="Barlow Semi Condensed"/>
                <w:sz w:val="20"/>
                <w:szCs w:val="20"/>
              </w:rPr>
              <w:t xml:space="preserve">)</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Sviluppo del metodo Pisani: utilizzo di estratti alimentari digeriti per mappare l'ipersensibilità mucosale.</w:t>
            </w:r>
          </w:p>
        </w:tc>
      </w:tr>
    </w:tbl>
    <w:p>
      <w:pPr>
        <w:spacing w:after="80"/>
      </w:pPr>
    </w:p>
    <w:p>
      <w:pPr>
        <w:spacing w:after="120" w:line="276"/>
        <w:jc w:val="both"/>
      </w:pPr>
      <w:r>
        <w:rPr>
          <w:rFonts w:ascii="Barlow Semi Condensed" w:cs="Barlow Semi Condensed" w:eastAsia="Barlow Semi Condensed" w:hAnsi="Barlow Semi Condensed"/>
          <w:sz w:val="24"/>
          <w:szCs w:val="24"/>
        </w:rPr>
        <w:t xml:space="preserve">L'ambiente accademico messicano riconobbe in lui le stimmate del ricercatore puro. Colleghi come il Dr. León Bessudo (con cui condivise l'ascesa del vulcano Popocatépetl) e lo stesso Salazar Mallén notarono la sua straordinaria dedizione, sebbene fosse evidente che il suo interesse per la medicina fosse inscindibile da una profonda concezione sociale della professione. Per Guevara, la medicina non era una via verso l'arricchimento borghese, ma un apostolato sociale; tuttavia, il rapido precipitare degli eventi politici lo avrebbe presto spinto ad abbandonare il camice bianco per l'uniforme militare.</w:t>
      </w:r>
    </w:p>
    <w:p>
      <w:pPr>
        <w:pStyle w:val="Heading2"/>
        <w:spacing w:after="100" w:before="200"/>
      </w:pPr>
      <w:r>
        <w:rPr>
          <w:rFonts w:ascii="Barlow Semi Condensed" w:cs="Barlow Semi Condensed" w:eastAsia="Barlow Semi Condensed" w:hAnsi="Barlow Semi Condensed"/>
          <w:sz w:val="24"/>
          <w:szCs w:val="24"/>
        </w:rPr>
        <w:t xml:space="preserve">Il Crocevia Storico: L'Incontro con Fidel Castro e la Genesi del M-26-7</w:t>
      </w:r>
    </w:p>
    <w:p>
      <w:pPr>
        <w:spacing w:after="120" w:line="276"/>
        <w:jc w:val="both"/>
      </w:pPr>
      <w:r>
        <w:rPr>
          <w:rFonts w:ascii="Barlow Semi Condensed" w:cs="Barlow Semi Condensed" w:eastAsia="Barlow Semi Condensed" w:hAnsi="Barlow Semi Condensed"/>
          <w:sz w:val="24"/>
          <w:szCs w:val="24"/>
        </w:rPr>
        <w:t xml:space="preserve">Il destino di Guevara mutò traiettoria in modo irreversibile attraverso le reti dell'esilio politico. A Città del Messico viveva una nutrita comunità di esiliati cubani sfuggiti alla brutale dittatura di Fulgencio Batista (salito al potere con un golpe nel 1952). Molti di costoro erano veterani del disastroso assalto alla Caserma Moncada di Santiago de Cuba, avvenuto il 26 luglio 1953. Attraverso l'attivista peruviana Hilda Gadea (che in Messico diventerà la sua prima moglie) e l'amico cubano Antonio "Ñico" López, Guevara fu introdotto in questi circoli clandestini. Fu proprio in questo ambiente che gli venne affibbiato il soprannome "Che", derivato dal suo frequente utilizzo del tipico intercalare argentino per richiamare l'attenzione.</w:t>
      </w:r>
    </w:p>
    <w:p>
      <w:pPr>
        <w:spacing w:after="120" w:line="276"/>
        <w:jc w:val="both"/>
      </w:pPr>
      <w:r>
        <w:rPr>
          <w:rFonts w:ascii="Barlow Semi Condensed" w:cs="Barlow Semi Condensed" w:eastAsia="Barlow Semi Condensed" w:hAnsi="Barlow Semi Condensed"/>
          <w:sz w:val="24"/>
          <w:szCs w:val="24"/>
        </w:rPr>
        <w:t xml:space="preserve">Il punto di aggregazione principale della dissidenza cubana era l'abitazione di María Antonia González Rodríguez, situata al numero 49 di calle José de Emparán, nella colonia Tabacalera. In questo covo cospirativo, Guevara conobbe Raúl Castro, fratello minore di Fidel e portatore di simpatie apertamente marxiste. Raúl riconobbe immediatamente l'affinità ideologica con il medico argentino e preparò il terreno per un incontro con il leader del movimento.</w:t>
      </w:r>
    </w:p>
    <w:p>
      <w:pPr>
        <w:pStyle w:val="Heading3"/>
        <w:spacing w:after="80" w:before="160"/>
      </w:pPr>
      <w:r>
        <w:rPr>
          <w:rFonts w:ascii="Barlow Semi Condensed" w:cs="Barlow Semi Condensed" w:eastAsia="Barlow Semi Condensed" w:hAnsi="Barlow Semi Condensed"/>
          <w:sz w:val="24"/>
          <w:szCs w:val="24"/>
        </w:rPr>
        <w:t xml:space="preserve">Il Vertice di Emparán 49</w:t>
      </w:r>
    </w:p>
    <w:p>
      <w:pPr>
        <w:spacing w:after="120" w:line="276"/>
        <w:jc w:val="both"/>
      </w:pPr>
      <w:r>
        <w:rPr>
          <w:rFonts w:ascii="Barlow Semi Condensed" w:cs="Barlow Semi Condensed" w:eastAsia="Barlow Semi Condensed" w:hAnsi="Barlow Semi Condensed"/>
          <w:sz w:val="24"/>
          <w:szCs w:val="24"/>
        </w:rPr>
        <w:t xml:space="preserve">Nel maggio del 1955, sotto una forte pressione popolare, Batista aveva promulgato un'amnistia che liberò Fidel Castro e gli altri "moncadisti" dal Presidio Modelo sull'Isola dei Pini, dopo 22 mesi di detenzione. Consapevole dell'impossibilità di operare politicamente a Cuba, il 7 luglio 1955 Fidel si imbarcò per il Messico con l'obiettivo esplicito di organizzare una spedizione armata.</w:t>
      </w:r>
    </w:p>
    <w:p>
      <w:pPr>
        <w:spacing w:after="120" w:line="276"/>
        <w:jc w:val="both"/>
      </w:pPr>
      <w:r>
        <w:rPr>
          <w:rFonts w:ascii="Barlow Semi Condensed" w:cs="Barlow Semi Condensed" w:eastAsia="Barlow Semi Condensed" w:hAnsi="Barlow Semi Condensed"/>
          <w:sz w:val="24"/>
          <w:szCs w:val="24"/>
        </w:rPr>
        <w:t xml:space="preserve">Il primo incontro tra Fidel Castro (allora ventottenne) e il Che (ventiseienne) avvenne in una fredda notte di metà luglio del 1955 a casa di María Antonia González. La conversazione, protrattasi fino all'alba, spaziò dalla politica internazionale all'analisi delle strutture socioeconomiche dell'America Latina. La sinergia fu immediata e assoluta. Fidel apportava al progetto un carisma ineguagliabile, una profonda radice nel nazionalismo martiano (da José Martí) e un acuto pragmatismo politico. Guevara, viceversa, offriva una solida griglia di analisi marxista-leninista e una visione intrinsecamente internazionalista della lotta di classe, non vincolata ai confini di un singolo Stato. Al termine di quella singola notte, Guevara accettò senza esitazioni di unirsi alla futura spedizione in qualità di medico di combattimento, legando indissolubilmente il proprio destino a quello della Rivoluzione Cubana.</w:t>
      </w:r>
    </w:p>
    <w:p>
      <w:pPr>
        <w:pStyle w:val="Heading3"/>
        <w:spacing w:after="80" w:before="160"/>
      </w:pPr>
      <w:r>
        <w:rPr>
          <w:rFonts w:ascii="Barlow Semi Condensed" w:cs="Barlow Semi Condensed" w:eastAsia="Barlow Semi Condensed" w:hAnsi="Barlow Semi Condensed"/>
          <w:sz w:val="24"/>
          <w:szCs w:val="24"/>
        </w:rPr>
        <w:t xml:space="preserve">L'Addestramento a Rancho Santa Rosa e l'Arresto</w:t>
      </w:r>
    </w:p>
    <w:p>
      <w:pPr>
        <w:spacing w:after="120" w:line="276"/>
        <w:jc w:val="both"/>
      </w:pPr>
      <w:r>
        <w:rPr>
          <w:rFonts w:ascii="Barlow Semi Condensed" w:cs="Barlow Semi Condensed" w:eastAsia="Barlow Semi Condensed" w:hAnsi="Barlow Semi Condensed"/>
          <w:sz w:val="24"/>
          <w:szCs w:val="24"/>
        </w:rPr>
        <w:t xml:space="preserve">Per trasformare un eterogeneo gruppo di esiliati in una forza d'élite capace di innescare una guerra di guerriglia, Fidel si affidò ad Alberto Bayo, un ex colonnello dell'esercito repubblicano spagnolo con vasta esperienza nelle tattiche di guerriglia asimmetrica maturate in Marocco. L'addestramento militare ebbe luogo a "Rancho Santa Rosa", una vasta proprietà situata nei pressi di Chalco, affittata a un prezzo simbolico da Erasmo Rivera, un anziano veterano delle truppe di Pancho Villa [→ </w:t>
      </w:r>
      <w:r>
        <w:rPr>
          <w:rFonts w:ascii="Barlow Semi Condensed" w:cs="Barlow Semi Condensed" w:eastAsia="Barlow Semi Condensed" w:hAnsi="Barlow Semi Condensed"/>
          <w:i/>
          <w:iCs/>
          <w:sz w:val="24"/>
          <w:szCs w:val="24"/>
        </w:rPr>
        <w:t xml:space="preserve">Nota di revisione 2</w:t>
      </w:r>
      <w:r>
        <w:rPr>
          <w:rFonts w:ascii="Barlow Semi Condensed" w:cs="Barlow Semi Condensed" w:eastAsia="Barlow Semi Condensed" w:hAnsi="Barlow Semi Condensed"/>
          <w:sz w:val="24"/>
          <w:szCs w:val="24"/>
        </w:rPr>
        <w:t xml:space="preserve">].</w:t>
      </w:r>
    </w:p>
    <w:p>
      <w:pPr>
        <w:spacing w:after="120" w:line="276"/>
        <w:jc w:val="both"/>
      </w:pPr>
      <w:r>
        <w:rPr>
          <w:rFonts w:ascii="Barlow Semi Condensed" w:cs="Barlow Semi Condensed" w:eastAsia="Barlow Semi Condensed" w:hAnsi="Barlow Semi Condensed"/>
          <w:sz w:val="24"/>
          <w:szCs w:val="24"/>
        </w:rPr>
        <w:t xml:space="preserve">Fidel nominò Guevara capo del personale del campo. Nonostante la gravità della sua asma, il Che si distinse per una ferrea disciplina e per l'eccellenza nel tiro a segno. L'addestramento ideato da Bayo era brutale: i futuri guerriglieri venivano sottoposti a marce estenuanti diurne e notturne, coprendo distanze da sei fino a nove chilometri con carichi pesantissimi, fucili e munizioni, per abituarli alle condizioni estreme che avrebbero trovato a Cuba. Durante i rari momenti di pausa, Guevara manteneva un intenso fervore intellettuale, leggendo assiduamente e recitando ai compagni le poesie di José Martí, come la celebre </w:t>
      </w:r>
      <w:r>
        <w:rPr>
          <w:rFonts w:ascii="Barlow Semi Condensed" w:cs="Barlow Semi Condensed" w:eastAsia="Barlow Semi Condensed" w:hAnsi="Barlow Semi Condensed"/>
          <w:i/>
          <w:iCs/>
          <w:sz w:val="24"/>
          <w:szCs w:val="24"/>
        </w:rPr>
        <w:t xml:space="preserve">La niña de Guatemala</w:t>
      </w:r>
      <w:r>
        <w:rPr>
          <w:rFonts w:ascii="Barlow Semi Condensed" w:cs="Barlow Semi Condensed" w:eastAsia="Barlow Semi Condensed" w:hAnsi="Barlow Semi Condensed"/>
          <w:sz w:val="24"/>
          <w:szCs w:val="24"/>
        </w:rPr>
        <w:t xml:space="preserve">, a dimostrazione della sua sensibilità letteraria.</w:t>
      </w:r>
    </w:p>
    <w:p>
      <w:pPr>
        <w:spacing w:after="120" w:line="276"/>
        <w:jc w:val="both"/>
      </w:pPr>
      <w:r>
        <w:rPr>
          <w:rFonts w:ascii="Barlow Semi Condensed" w:cs="Barlow Semi Condensed" w:eastAsia="Barlow Semi Condensed" w:hAnsi="Barlow Semi Condensed"/>
          <w:sz w:val="24"/>
          <w:szCs w:val="24"/>
        </w:rPr>
        <w:t xml:space="preserve">Tuttavia, le manovre cospirative attirarono l'attenzione della Direzione Federale di Sicurezza messicana, imbeccata dall'intelligence di Batista. Tra il 20 e il 24 giugno 1956 una vasta operazione di polizia smantellò la rete cospirativa: Fidel fu fermato per primo a Città del Messico, mentre il rastrellamento del Rancho Santa Rosa del 24 giugno portò alla cattura di Guevara (che era di guardia e cercò invano di allertare i compagni) e di decine di altri ribelli; il colonnello Bayo riuscì a sottrarsi all'arresto. I prigionieri furono rinchiusi nella stazione migratoria della Secretaría de Gobernación, situata in calle Miguel Schultz 136, nella colonia San Rafael.</w:t>
      </w:r>
    </w:p>
    <w:p>
      <w:pPr>
        <w:spacing w:after="120" w:line="276"/>
        <w:jc w:val="both"/>
      </w:pPr>
      <w:r>
        <w:rPr>
          <w:rFonts w:ascii="Barlow Semi Condensed" w:cs="Barlow Semi Condensed" w:eastAsia="Barlow Semi Condensed" w:hAnsi="Barlow Semi Condensed"/>
          <w:sz w:val="24"/>
          <w:szCs w:val="24"/>
        </w:rPr>
        <w:t xml:space="preserve">La detenzione, durata 57 giorni per Guevara, rischiò di far naufragare l'intero progetto. Le autorità accusarono specificamente il Che di essere un agitatore comunista internazionale, paventando la sua deportazione in Argentina o a Cuba. Di fronte a questa crisi, la leadership di Fidel si dimostrò incrollabile: egli si rifiutò categoricamente di abbandonare il Messico finché Guevara e Calixto García non fossero stati liberati. Mobilitando avvocati come Ignacio Mendoza e Alejandro Guzmán, e sfruttando l'influenza politica dell'ex presidente Lázaro Cárdenas sul presidente in carica Adolfo Ruiz Cortines, Fidel ottenne infine il rilascio di tutti i suoi uomini, pagando persino cauzioni e mazzette. Questa prova di incrollabile lealtà da parte di Fidel cementò nel Che una devozione assoluta verso il leader cubano.</w:t>
      </w:r>
    </w:p>
    <w:p>
      <w:pPr>
        <w:pStyle w:val="Heading2"/>
        <w:spacing w:after="100" w:before="200"/>
      </w:pPr>
      <w:r>
        <w:rPr>
          <w:rFonts w:ascii="Barlow Semi Condensed" w:cs="Barlow Semi Condensed" w:eastAsia="Barlow Semi Condensed" w:hAnsi="Barlow Semi Condensed"/>
          <w:sz w:val="24"/>
          <w:szCs w:val="24"/>
        </w:rPr>
        <w:t xml:space="preserve">La Guerra di Liberazione: Dal Naufragio del Granma alla Presa di Santa Clara (1956-1959)</w:t>
      </w:r>
    </w:p>
    <w:p>
      <w:pPr>
        <w:spacing w:after="120" w:line="276"/>
        <w:jc w:val="both"/>
      </w:pPr>
      <w:r>
        <w:rPr>
          <w:rFonts w:ascii="Barlow Semi Condensed" w:cs="Barlow Semi Condensed" w:eastAsia="Barlow Semi Condensed" w:hAnsi="Barlow Semi Condensed"/>
          <w:sz w:val="24"/>
          <w:szCs w:val="24"/>
        </w:rPr>
        <w:t xml:space="preserve">Superata la crisi dell'arresto, i preparativi subirono un'accelerazione frenetica. Il 25 novembre 1956, in condizioni meteorologiche proibitive, 82 uomini si imbarcarono dal porto di Tuxpan a bordo del Granma, un malandato yacht da diporto. La traversata del Golfo del Messico si rivelò un inferno logistico: l'imbarcazione era sovraccarica, il mal di mare decimò le forze dell'equipaggio, e Guevara faticò enormemente a reperire gli antistaminici per l'asma, finiti sepolti sotto l'arsenale militare stivato in modo caotico.</w:t>
      </w:r>
    </w:p>
    <w:p>
      <w:pPr>
        <w:pStyle w:val="Heading3"/>
        <w:spacing w:after="80" w:before="160"/>
      </w:pPr>
      <w:r>
        <w:rPr>
          <w:rFonts w:ascii="Barlow Semi Condensed" w:cs="Barlow Semi Condensed" w:eastAsia="Barlow Semi Condensed" w:hAnsi="Barlow Semi Condensed"/>
          <w:sz w:val="24"/>
          <w:szCs w:val="24"/>
        </w:rPr>
        <w:t xml:space="preserve">Il Disastro di Alegría de Pío e la Transizione Militare</w:t>
      </w:r>
    </w:p>
    <w:p>
      <w:pPr>
        <w:spacing w:after="120" w:line="276"/>
        <w:jc w:val="both"/>
      </w:pPr>
      <w:r>
        <w:rPr>
          <w:rFonts w:ascii="Barlow Semi Condensed" w:cs="Barlow Semi Condensed" w:eastAsia="Barlow Semi Condensed" w:hAnsi="Barlow Semi Condensed"/>
          <w:sz w:val="24"/>
          <w:szCs w:val="24"/>
        </w:rPr>
        <w:t xml:space="preserve">Il piano originale prevedeva uno sbarco sincronizzato con un'insurrezione a Santiago de Cuba guidata da Frank País, ma il ritardo nella navigazione vanificò la strategia. Il 2 dicembre 1956, il Granma si arenò in una palude di mangrovie a Playa Las Coloradas. Sfiniti, privi di cibo e disorientati, i ribelli tentarono di inoltrarsi nell'interno. Il 5 dicembre, presso la località di Alegría de Pío, furono accerchiati, sorpresi e decimati dalle truppe dell'esercito batistiano, che contavano sul supporto aereo. La rotta fu totale: dei circa ottanta uomini sbarcati, una ventina di caduti in combattimento o catturati e sommariamente giustiziati nei giorni successivi — tra questi il secondo in comando, Juan Manuel Márquez — e solo una ventina di superstiti riuscì a ricongiungersi [→ </w:t>
      </w:r>
      <w:r>
        <w:rPr>
          <w:rFonts w:ascii="Barlow Semi Condensed" w:cs="Barlow Semi Condensed" w:eastAsia="Barlow Semi Condensed" w:hAnsi="Barlow Semi Condensed"/>
          <w:i/>
          <w:iCs/>
          <w:sz w:val="24"/>
          <w:szCs w:val="24"/>
        </w:rPr>
        <w:t xml:space="preserve">Nota di revisione 3</w:t>
      </w:r>
      <w:r>
        <w:rPr>
          <w:rFonts w:ascii="Barlow Semi Condensed" w:cs="Barlow Semi Condensed" w:eastAsia="Barlow Semi Condensed" w:hAnsi="Barlow Semi Condensed"/>
          <w:sz w:val="24"/>
          <w:szCs w:val="24"/>
        </w:rPr>
        <w:t xml:space="preserve">].</w:t>
      </w:r>
    </w:p>
    <w:p>
      <w:pPr>
        <w:spacing w:after="120" w:line="276"/>
        <w:jc w:val="both"/>
      </w:pPr>
      <w:r>
        <w:rPr>
          <w:rFonts w:ascii="Barlow Semi Condensed" w:cs="Barlow Semi Condensed" w:eastAsia="Barlow Semi Condensed" w:hAnsi="Barlow Semi Condensed"/>
          <w:sz w:val="24"/>
          <w:szCs w:val="24"/>
        </w:rPr>
        <w:t xml:space="preserve">Il combattimento di Alegría de Pío costituisce il momento di rottura ontologica nell'identità di Guevara. Ferito al collo da un proiettile e costretto a fuggire attraverso un campo di canna da zucchero incendiato dal nemico, il medico argentino si trovò di fronte a un dilemma emblematico. Ai suoi piedi giacevano la pesante borsa delle forniture mediche e una cassa di munizioni abbandonata da un compagno. Date le sue condizioni fisiche, non poteva trasportarle entrambe. Guevara scelse le munizioni. Quell'atto simbolico e materialistico sancì la definitiva trasformazione del dottor Ernesto Guevara nel Comandante "Che" Guevara: la medicina terapeutica cedeva il passo alla violenza chirurgica e purificatrice della guerriglia armata.</w:t>
      </w:r>
    </w:p>
    <w:p>
      <w:pPr>
        <w:pStyle w:val="Heading3"/>
        <w:spacing w:after="80" w:before="160"/>
      </w:pPr>
      <w:r>
        <w:rPr>
          <w:rFonts w:ascii="Barlow Semi Condensed" w:cs="Barlow Semi Condensed" w:eastAsia="Barlow Semi Condensed" w:hAnsi="Barlow Semi Condensed"/>
          <w:sz w:val="24"/>
          <w:szCs w:val="24"/>
        </w:rPr>
        <w:t xml:space="preserve">La Ricostruzione nella Sierra Maestra</w:t>
      </w:r>
    </w:p>
    <w:p>
      <w:pPr>
        <w:spacing w:after="120" w:line="276"/>
        <w:jc w:val="both"/>
      </w:pPr>
      <w:r>
        <w:rPr>
          <w:rFonts w:ascii="Barlow Semi Condensed" w:cs="Barlow Semi Condensed" w:eastAsia="Barlow Semi Condensed" w:hAnsi="Barlow Semi Condensed"/>
          <w:sz w:val="24"/>
          <w:szCs w:val="24"/>
        </w:rPr>
        <w:t xml:space="preserve">I pochi sopravvissuti (poco più di una decina), salvati grazie all'intervento dei contadini reclutati dalla rete clandestina di Celia Sánchez, riuscirono a ricongiungersi faticosamente in una zona chiamata Cinco Palmas. Il celebre episodio in cui Fidel Castro, contando appena 8 uomini e 7 fucili, dichiarò in modo apparentemente allucinato "I giorni della dittatura sono contati, adesso sì che vinciamo la guerra", dimostrò una forza psicologica che rinvigorì le truppe demoralizzate.</w:t>
      </w:r>
    </w:p>
    <w:p>
      <w:pPr>
        <w:spacing w:after="120" w:line="276"/>
        <w:jc w:val="both"/>
      </w:pPr>
      <w:r>
        <w:rPr>
          <w:rFonts w:ascii="Barlow Semi Condensed" w:cs="Barlow Semi Condensed" w:eastAsia="Barlow Semi Condensed" w:hAnsi="Barlow Semi Condensed"/>
          <w:sz w:val="24"/>
          <w:szCs w:val="24"/>
        </w:rPr>
        <w:t xml:space="preserve">Innestatisi nel cuore inospitale della Sierra Maestra, i ribelli iniziarono una lenta ma inesorabile guerra di logoramento. In questo teatro operativo, Guevara emerse come uno stratega militare implacabile e un leader inflessibile. La sua abilità nel combinare la disciplina marziale con la cura medica per i guajiros (i contadini poveri della zona) garantì all'Esercito Ribelle l'appoggio vitale della popolazione locale. Riconoscendone le doti superiori, nell'estate del 1957 Fidel Castro promosse Guevara al grado di Comandante (il rango più alto dell'esercito ribelle, fino ad allora detenuto solo da Fidel stesso), affidandogli la guida della neonata Quarta Colonna — così denominata benché fosse in realtà la seconda colonna costituita, secondo un deliberato accorgimento per ingannare l'intelligence nemica sulla reale consistenza dell'Esercito Ribelle.</w:t>
      </w:r>
    </w:p>
    <w:p>
      <w:pPr>
        <w:spacing w:after="120" w:line="276"/>
        <w:jc w:val="both"/>
      </w:pPr>
      <w:r>
        <w:rPr>
          <w:rFonts w:ascii="Barlow Semi Condensed" w:cs="Barlow Semi Condensed" w:eastAsia="Barlow Semi Condensed" w:hAnsi="Barlow Semi Condensed"/>
          <w:sz w:val="24"/>
          <w:szCs w:val="24"/>
        </w:rPr>
        <w:t xml:space="preserve">Guevara si distinse in azioni tattiche fondamentali, come il vittorioso assalto alla caserma di El Uvero (maggio 1957), che segnò la "maggiore età" militare della guerriglia, costringendo l'esercito di Batista ad abbandonare i piccoli avamposti isolati per raggrupparsi. Insediatosi nella zona di La Mesa e successivamente a La Plata, Guevara non si limitò a combattere, ma iniziò a costruire le infrastrutture embrionali di un contro-Stato socialista. Sotto la sua direttiva sorsero ospedali da campo clandestini, forni per il pane, calzaturifici per i ribelli, fabbriche rudimentali di armamenti e, in collaborazione con altri intellettuali, fondò il giornale </w:t>
      </w:r>
      <w:r>
        <w:rPr>
          <w:rFonts w:ascii="Barlow Semi Condensed" w:cs="Barlow Semi Condensed" w:eastAsia="Barlow Semi Condensed" w:hAnsi="Barlow Semi Condensed"/>
          <w:i/>
          <w:iCs/>
          <w:sz w:val="24"/>
          <w:szCs w:val="24"/>
        </w:rPr>
        <w:t xml:space="preserve">El Cubano Libre</w:t>
      </w:r>
      <w:r>
        <w:rPr>
          <w:rFonts w:ascii="Barlow Semi Condensed" w:cs="Barlow Semi Condensed" w:eastAsia="Barlow Semi Condensed" w:hAnsi="Barlow Semi Condensed"/>
          <w:sz w:val="24"/>
          <w:szCs w:val="24"/>
        </w:rPr>
        <w:t xml:space="preserve"> e l'emittente Radio Rebelde. Queste ultime si rivelarono armi di penetrazione psicologica letali per smantellare la propaganda del regime e informare la popolazione urbana delle vittorie guerrigliere.</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Integrazione (24 agosto 2026) — Dalla controffensiva a Santa Clara, e gli anni dell'Avana (1958-1965)</w:t>
      </w:r>
    </w:p>
    <w:p>
      <w:pPr>
        <w:spacing w:after="120" w:line="276"/>
        <w:jc w:val="both"/>
      </w:pPr>
      <w:r>
        <w:rPr>
          <w:rFonts w:ascii="Barlow Semi Condensed" w:cs="Barlow Semi Condensed" w:eastAsia="Barlow Semi Condensed" w:hAnsi="Barlow Semi Condensed"/>
          <w:i/>
          <w:iCs/>
          <w:sz w:val="24"/>
          <w:szCs w:val="24"/>
        </w:rPr>
        <w:t xml:space="preserve">Le sezioni che seguono completano il programma dichiarato nel titolo, interrotto nella stesura originale alla Sierra Maestra. Redatte in sede di revisione su cronologia storiografica consolidata; integrazione distinta dalla stesura d'autore.</w:t>
      </w:r>
    </w:p>
    <w:p>
      <w:pPr>
        <w:pStyle w:val="Heading3"/>
        <w:spacing w:after="80" w:before="160"/>
      </w:pPr>
      <w:r>
        <w:rPr>
          <w:rFonts w:ascii="Barlow Semi Condensed" w:cs="Barlow Semi Condensed" w:eastAsia="Barlow Semi Condensed" w:hAnsi="Barlow Semi Condensed"/>
          <w:sz w:val="24"/>
          <w:szCs w:val="24"/>
        </w:rPr>
        <w:t xml:space="preserve">L'offensiva finale e la presa di Santa Clara (1958)</w:t>
      </w:r>
    </w:p>
    <w:p>
      <w:pPr>
        <w:spacing w:after="120" w:line="276"/>
        <w:jc w:val="both"/>
      </w:pPr>
      <w:r>
        <w:rPr>
          <w:rFonts w:ascii="Barlow Semi Condensed" w:cs="Barlow Semi Condensed" w:eastAsia="Barlow Semi Condensed" w:hAnsi="Barlow Semi Condensed"/>
          <w:sz w:val="24"/>
          <w:szCs w:val="24"/>
        </w:rPr>
        <w:t xml:space="preserve">Fallita nell'estate 1958 la grande offensiva governativa contro la Sierra Maestra (l'operazione «FF», culminata nella disfatta batistiana di Las Mercedes), Fidel passò alla proiezione strategica: il 31 agosto 1958 la Colonna 8 «Ciro Redondo» di Guevara e la Colonna 2 di Camilo Cienfuegos partirono per l'invasione del centro dell'isola. La marcia attraverso le pianure allagate del Camagüey — quaranta giorni a piedi, sotto gli attacchi aerei, con la truppa affamata — resta una delle imprese militari della campagna. Insediatosi sull'Escambray, Guevara unificò con il Patto del Pedrero le forze del Directorio Revolucionario e delle altre formazioni locali, e a fine dicembre convergette su </w:t>
      </w:r>
      <w:r>
        <w:rPr>
          <w:rFonts w:ascii="Barlow Semi Condensed" w:cs="Barlow Semi Condensed" w:eastAsia="Barlow Semi Condensed" w:hAnsi="Barlow Semi Condensed"/>
          <w:b/>
          <w:bCs/>
          <w:sz w:val="24"/>
          <w:szCs w:val="24"/>
        </w:rPr>
        <w:t xml:space="preserve">Santa Clara</w:t>
      </w:r>
      <w:r>
        <w:rPr>
          <w:rFonts w:ascii="Barlow Semi Condensed" w:cs="Barlow Semi Condensed" w:eastAsia="Barlow Semi Condensed" w:hAnsi="Barlow Semi Condensed"/>
          <w:sz w:val="24"/>
          <w:szCs w:val="24"/>
        </w:rPr>
        <w:t xml:space="preserve">, capoluogo di Las Villas presidiato da forze molto superiori. Fra il 28 e il 31 dicembre 1958 la città cadde pezzo per pezzo; l'episodio decisivo fu il deragliamento e la cattura, il 29 dicembre, del </w:t>
      </w:r>
      <w:r>
        <w:rPr>
          <w:rFonts w:ascii="Barlow Semi Condensed" w:cs="Barlow Semi Condensed" w:eastAsia="Barlow Semi Condensed" w:hAnsi="Barlow Semi Condensed"/>
          <w:b/>
          <w:bCs/>
          <w:sz w:val="24"/>
          <w:szCs w:val="24"/>
        </w:rPr>
        <w:t xml:space="preserve">treno blindato</w:t>
      </w:r>
      <w:r>
        <w:rPr>
          <w:rFonts w:ascii="Barlow Semi Condensed" w:cs="Barlow Semi Condensed" w:eastAsia="Barlow Semi Condensed" w:hAnsi="Barlow Semi Condensed"/>
          <w:sz w:val="24"/>
          <w:szCs w:val="24"/>
        </w:rPr>
        <w:t xml:space="preserve"> carico di armi e soldati inviato da Batista — il colpo che spezzò la spina dorsale della resistenza governativa. Nella notte di Capodanno Batista fuggì dall'isola; il 2 gennaio 1959 Guevara e Cienfuegos entrarono all'Avana, e il 3 gennaio Guevara assunse il comando della fortezza de </w:t>
      </w:r>
      <w:r>
        <w:rPr>
          <w:rFonts w:ascii="Barlow Semi Condensed" w:cs="Barlow Semi Condensed" w:eastAsia="Barlow Semi Condensed" w:hAnsi="Barlow Semi Condensed"/>
          <w:b/>
          <w:bCs/>
          <w:sz w:val="24"/>
          <w:szCs w:val="24"/>
        </w:rPr>
        <w:t xml:space="preserve">La Cabaña</w:t>
      </w:r>
      <w:r>
        <w:rPr>
          <w:rFonts w:ascii="Barlow Semi Condensed" w:cs="Barlow Semi Condensed" w:eastAsia="Barlow Semi Condensed" w:hAnsi="Barlow Semi Condensed"/>
          <w:sz w:val="24"/>
          <w:szCs w:val="24"/>
        </w:rPr>
        <w:t xml:space="preserve">.</w:t>
      </w:r>
    </w:p>
    <w:p>
      <w:pPr>
        <w:pStyle w:val="Heading3"/>
        <w:spacing w:after="80" w:before="160"/>
      </w:pPr>
      <w:r>
        <w:rPr>
          <w:rFonts w:ascii="Barlow Semi Condensed" w:cs="Barlow Semi Condensed" w:eastAsia="Barlow Semi Condensed" w:hAnsi="Barlow Semi Condensed"/>
          <w:sz w:val="24"/>
          <w:szCs w:val="24"/>
        </w:rPr>
        <w:t xml:space="preserve">La Cabaña e i tribunali rivoluzionari (1959)</w:t>
      </w:r>
    </w:p>
    <w:p>
      <w:pPr>
        <w:spacing w:after="120" w:line="276"/>
        <w:jc w:val="both"/>
      </w:pPr>
      <w:r>
        <w:rPr>
          <w:rFonts w:ascii="Barlow Semi Condensed" w:cs="Barlow Semi Condensed" w:eastAsia="Barlow Semi Condensed" w:hAnsi="Barlow Semi Condensed"/>
          <w:sz w:val="24"/>
          <w:szCs w:val="24"/>
        </w:rPr>
        <w:t xml:space="preserve">Dalla Cabaña Guevara supervisionò, nei primi mesi del 1959, i tribunali rivoluzionari contro militari, poliziotti e informatori del regime accusati di crimini di guerra: i processi si conclusero con centinaia di condanne detentive e con fucilazioni il cui numero, per il periodo della sua giurisdizione, è oggetto di stime divergenti nella storiografia (da poche decine a oltre un centinaio; cifre superiori riguardano l'insieme del paese e delle giurisdizioni). Guevara rivendicò pubblicamente la legittimità rivoluzionaria delle esecuzioni — anche all'ONU nel 1964: «fucilazioni, sì, abbiamo fucilato» — e l'episodio resta il capitolo più controverso della sua biografia, da registrare senza attenuazioni in entrambe le direzioni. Nel febbraio 1959 un decreto lo dichiarò cittadino cubano di nascita; nel giugno sposò </w:t>
      </w:r>
      <w:r>
        <w:rPr>
          <w:rFonts w:ascii="Barlow Semi Condensed" w:cs="Barlow Semi Condensed" w:eastAsia="Barlow Semi Condensed" w:hAnsi="Barlow Semi Condensed"/>
          <w:b/>
          <w:bCs/>
          <w:sz w:val="24"/>
          <w:szCs w:val="24"/>
        </w:rPr>
        <w:t xml:space="preserve">Aleida March</w:t>
      </w:r>
      <w:r>
        <w:rPr>
          <w:rFonts w:ascii="Barlow Semi Condensed" w:cs="Barlow Semi Condensed" w:eastAsia="Barlow Semi Condensed" w:hAnsi="Barlow Semi Condensed"/>
          <w:sz w:val="24"/>
          <w:szCs w:val="24"/>
        </w:rPr>
        <w:t xml:space="preserve">, combattente dell'Escambray, dopo il divorzio da Hilda Gadea.</w:t>
      </w:r>
    </w:p>
    <w:p>
      <w:pPr>
        <w:pStyle w:val="Heading3"/>
        <w:spacing w:after="80" w:before="160"/>
      </w:pPr>
      <w:r>
        <w:rPr>
          <w:rFonts w:ascii="Barlow Semi Condensed" w:cs="Barlow Semi Condensed" w:eastAsia="Barlow Semi Condensed" w:hAnsi="Barlow Semi Condensed"/>
          <w:sz w:val="24"/>
          <w:szCs w:val="24"/>
        </w:rPr>
        <w:t xml:space="preserve">L'architetto economico (1959-1964)</w:t>
      </w:r>
    </w:p>
    <w:p>
      <w:pPr>
        <w:spacing w:after="120" w:line="276"/>
        <w:jc w:val="both"/>
      </w:pPr>
      <w:r>
        <w:rPr>
          <w:rFonts w:ascii="Barlow Semi Condensed" w:cs="Barlow Semi Condensed" w:eastAsia="Barlow Semi Condensed" w:hAnsi="Barlow Semi Condensed"/>
          <w:sz w:val="24"/>
          <w:szCs w:val="24"/>
        </w:rPr>
        <w:t xml:space="preserve">Dopo una lunga missione nei paesi di Bandung (giugno-settembre 1959), Guevara assunse in rapida successione i tre posti di comando dell'economia rivoluzionaria: la direzione del Dipartimento di industrializzazione dell'INRA (ottobre 1959), la presidenza del </w:t>
      </w:r>
      <w:r>
        <w:rPr>
          <w:rFonts w:ascii="Barlow Semi Condensed" w:cs="Barlow Semi Condensed" w:eastAsia="Barlow Semi Condensed" w:hAnsi="Barlow Semi Condensed"/>
          <w:b/>
          <w:bCs/>
          <w:sz w:val="24"/>
          <w:szCs w:val="24"/>
        </w:rPr>
        <w:t xml:space="preserve">Banco Nacional de Cuba</w:t>
      </w:r>
      <w:r>
        <w:rPr>
          <w:rFonts w:ascii="Barlow Semi Condensed" w:cs="Barlow Semi Condensed" w:eastAsia="Barlow Semi Condensed" w:hAnsi="Barlow Semi Condensed"/>
          <w:sz w:val="24"/>
          <w:szCs w:val="24"/>
        </w:rPr>
        <w:t xml:space="preserve"> (26 novembre 1959 — con le banconote firmate sprezzantemente «Che»), e dal febbraio 1961 il neonato </w:t>
      </w:r>
      <w:r>
        <w:rPr>
          <w:rFonts w:ascii="Barlow Semi Condensed" w:cs="Barlow Semi Condensed" w:eastAsia="Barlow Semi Condensed" w:hAnsi="Barlow Semi Condensed"/>
          <w:b/>
          <w:bCs/>
          <w:sz w:val="24"/>
          <w:szCs w:val="24"/>
        </w:rPr>
        <w:t xml:space="preserve">Ministero dell'Industria</w:t>
      </w:r>
      <w:r>
        <w:rPr>
          <w:rFonts w:ascii="Barlow Semi Condensed" w:cs="Barlow Semi Condensed" w:eastAsia="Barlow Semi Condensed" w:hAnsi="Barlow Semi Condensed"/>
          <w:sz w:val="24"/>
          <w:szCs w:val="24"/>
        </w:rPr>
        <w:t xml:space="preserve">. Condusse la nazionalizzazione delle imprese statunitensi e la riconversione commerciale verso il blocco sovietico; durante l'invasione della </w:t>
      </w:r>
      <w:r>
        <w:rPr>
          <w:rFonts w:ascii="Barlow Semi Condensed" w:cs="Barlow Semi Condensed" w:eastAsia="Barlow Semi Condensed" w:hAnsi="Barlow Semi Condensed"/>
          <w:b/>
          <w:bCs/>
          <w:sz w:val="24"/>
          <w:szCs w:val="24"/>
        </w:rPr>
        <w:t xml:space="preserve">Baia dei Porci</w:t>
      </w:r>
      <w:r>
        <w:rPr>
          <w:rFonts w:ascii="Barlow Semi Condensed" w:cs="Barlow Semi Condensed" w:eastAsia="Barlow Semi Condensed" w:hAnsi="Barlow Semi Condensed"/>
          <w:sz w:val="24"/>
          <w:szCs w:val="24"/>
        </w:rPr>
        <w:t xml:space="preserve"> (aprile 1961) comandò le forze dell'ovest a Pinar del Río (settore diversivo, dove rimase ferito di striscio dalla caduta accidentale della propria pistola), e durante la </w:t>
      </w:r>
      <w:r>
        <w:rPr>
          <w:rFonts w:ascii="Barlow Semi Condensed" w:cs="Barlow Semi Condensed" w:eastAsia="Barlow Semi Condensed" w:hAnsi="Barlow Semi Condensed"/>
          <w:b/>
          <w:bCs/>
          <w:sz w:val="24"/>
          <w:szCs w:val="24"/>
        </w:rPr>
        <w:t xml:space="preserve">crisi dei missili</w:t>
      </w:r>
      <w:r>
        <w:rPr>
          <w:rFonts w:ascii="Barlow Semi Condensed" w:cs="Barlow Semi Condensed" w:eastAsia="Barlow Semi Condensed" w:hAnsi="Barlow Semi Condensed"/>
          <w:sz w:val="24"/>
          <w:szCs w:val="24"/>
        </w:rPr>
        <w:t xml:space="preserve"> (ottobre 1962) tenne lo stesso comando occidentale, uscendone con la convinzione — dichiarata — che l'URSS avesse tradito Cuba nel negoziato. Sul piano dottrinale animò il </w:t>
      </w:r>
      <w:r>
        <w:rPr>
          <w:rFonts w:ascii="Barlow Semi Condensed" w:cs="Barlow Semi Condensed" w:eastAsia="Barlow Semi Condensed" w:hAnsi="Barlow Semi Condensed"/>
          <w:b/>
          <w:bCs/>
          <w:sz w:val="24"/>
          <w:szCs w:val="24"/>
        </w:rPr>
        <w:t xml:space="preserve">grande dibattito economico</w:t>
      </w:r>
      <w:r>
        <w:rPr>
          <w:rFonts w:ascii="Barlow Semi Condensed" w:cs="Barlow Semi Condensed" w:eastAsia="Barlow Semi Condensed" w:hAnsi="Barlow Semi Condensed"/>
          <w:sz w:val="24"/>
          <w:szCs w:val="24"/>
        </w:rPr>
        <w:t xml:space="preserve"> del 1963-64: il suo «sistema di finanziamento di bilancio» — impresa come fabbrica unica, primato degli incentivi morali, lavoro volontario — contro il calcolo economico mercantile difeso da Carlos Rafael Rodríguez e, sul piano internazionale, da Charles Bettelheim (con Ernest Mandel schierato invece con Guevara). Il saggio </w:t>
      </w:r>
      <w:r>
        <w:rPr>
          <w:rFonts w:ascii="Barlow Semi Condensed" w:cs="Barlow Semi Condensed" w:eastAsia="Barlow Semi Condensed" w:hAnsi="Barlow Semi Condensed"/>
          <w:i/>
          <w:iCs/>
          <w:sz w:val="24"/>
          <w:szCs w:val="24"/>
        </w:rPr>
        <w:t xml:space="preserve">Il socialismo e l'uomo a Cuba</w:t>
      </w:r>
      <w:r>
        <w:rPr>
          <w:rFonts w:ascii="Barlow Semi Condensed" w:cs="Barlow Semi Condensed" w:eastAsia="Barlow Semi Condensed" w:hAnsi="Barlow Semi Condensed"/>
          <w:sz w:val="24"/>
          <w:szCs w:val="24"/>
        </w:rPr>
        <w:t xml:space="preserve"> (marzo 1965) ne è il testamento teorico: la costruzione del socialismo come creazione simultanea della base materiale e dell'«uomo nuovo».</w:t>
      </w:r>
    </w:p>
    <w:p>
      <w:pPr>
        <w:pStyle w:val="Heading3"/>
        <w:spacing w:after="80" w:before="160"/>
      </w:pPr>
      <w:r>
        <w:rPr>
          <w:rFonts w:ascii="Barlow Semi Condensed" w:cs="Barlow Semi Condensed" w:eastAsia="Barlow Semi Condensed" w:hAnsi="Barlow Semi Condensed"/>
          <w:sz w:val="24"/>
          <w:szCs w:val="24"/>
        </w:rPr>
        <w:t xml:space="preserve">Le dimissioni (1965)</w:t>
      </w:r>
    </w:p>
    <w:p>
      <w:pPr>
        <w:spacing w:after="120" w:line="276"/>
        <w:jc w:val="both"/>
      </w:pPr>
      <w:r>
        <w:rPr>
          <w:rFonts w:ascii="Barlow Semi Condensed" w:cs="Barlow Semi Condensed" w:eastAsia="Barlow Semi Condensed" w:hAnsi="Barlow Semi Condensed"/>
          <w:sz w:val="24"/>
          <w:szCs w:val="24"/>
        </w:rPr>
        <w:t xml:space="preserve">Il resto — la missione all'ONU del dicembre 1964, il viaggio afro-asiatico, il discorso di Algeri del 24 febbraio 1965, il rientro del 14 marzo, la sparizione pubblica e la lettera d'addio letta da Fidel il 3 ottobre 1965 — è trattato analiticamente nel rapporto successivo di questo corpus, al quale si rinvia. Qui basti fissare il punto d'arrivo del periodo avanero: nel marzo 1965 l'architetto dell'economia cubana aveva già scelto di ridiventare guerrigliero, e tutte le cariche descritte in questo rapporto furono restituite con la lettera in cui dichiarava concluso «il dovere che mi legava alla rivoluzione cubana nel suo territorio».</w:t>
      </w:r>
    </w:p>
    <w:p>
      <w:pPr>
        <w:spacing w:after="120" w:line="276"/>
        <w:jc w:val="both"/>
      </w:pPr>
      <w:r>
        <w:rPr>
          <w:rFonts w:ascii="Barlow Semi Condensed" w:cs="Barlow Semi Condensed" w:eastAsia="Barlow Semi Condensed" w:hAnsi="Barlow Semi Condensed"/>
          <w:i/>
          <w:iCs/>
          <w:sz w:val="24"/>
          <w:szCs w:val="24"/>
        </w:rPr>
        <w:t xml:space="preserve">[Il programma del presente documento si salda qui con il rapporto «Dal Viaggio a Mosca alla Campagna Boliviana (1964-1966)».]</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Note di revisione</w:t>
      </w:r>
    </w:p>
    <w:p>
      <w:pPr>
        <w:spacing w:after="120" w:line="276"/>
        <w:jc w:val="both"/>
      </w:pPr>
      <w:r>
        <w:rPr>
          <w:rFonts w:ascii="Barlow Semi Condensed" w:cs="Barlow Semi Condensed" w:eastAsia="Barlow Semi Condensed" w:hAnsi="Barlow Semi Condensed"/>
          <w:sz w:val="24"/>
          <w:szCs w:val="24"/>
        </w:rPr>
        <w:t xml:space="preserve">Correzioni apportate alla stesura originale in seguito alla triangolazione delle fonti (cfr. </w:t>
      </w:r>
      <w:r>
        <w:rPr>
          <w:rFonts w:ascii="Barlow Semi Condensed" w:cs="Barlow Semi Condensed" w:eastAsia="Barlow Semi Condensed" w:hAnsi="Barlow Semi Condensed"/>
          <w:i/>
          <w:iCs/>
          <w:sz w:val="24"/>
          <w:szCs w:val="24"/>
        </w:rPr>
        <w:t xml:space="preserve">triangolazioni-guevara-moro.md</w:t>
      </w:r>
      <w:r>
        <w:rPr>
          <w:rFonts w:ascii="Barlow Semi Condensed" w:cs="Barlow Semi Condensed" w:eastAsia="Barlow Semi Condensed" w:hAnsi="Barlow Semi Condensed"/>
          <w:sz w:val="24"/>
          <w:szCs w:val="24"/>
        </w:rPr>
        <w:t xml:space="preserve">, §2.1).</w:t>
      </w:r>
    </w:p>
    <w:p>
      <w:pPr>
        <w:spacing w:after="40"/>
        <w:ind w:left="360"/>
        <w:jc w:val="both"/>
      </w:pPr>
      <w:r>
        <w:rPr>
          <w:rFonts w:ascii="Barlow Semi Condensed" w:cs="Barlow Semi Condensed" w:eastAsia="Barlow Semi Condensed" w:hAnsi="Barlow Semi Condensed"/>
          <w:sz w:val="24"/>
          <w:szCs w:val="24"/>
        </w:rPr>
        <w:t xml:space="preserve">1. </w:t>
      </w:r>
      <w:r>
        <w:rPr>
          <w:rFonts w:ascii="Barlow Semi Condensed" w:cs="Barlow Semi Condensed" w:eastAsia="Barlow Semi Condensed" w:hAnsi="Barlow Semi Condensed"/>
          <w:b/>
          <w:bCs/>
          <w:sz w:val="24"/>
          <w:szCs w:val="24"/>
        </w:rPr>
        <w:t xml:space="preserve">Impiego al Fondo de Cultura Económica.</w:t>
      </w:r>
      <w:r>
        <w:rPr>
          <w:rFonts w:ascii="Barlow Semi Condensed" w:cs="Barlow Semi Condensed" w:eastAsia="Barlow Semi Condensed" w:hAnsi="Barlow Semi Condensed"/>
          <w:sz w:val="24"/>
          <w:szCs w:val="24"/>
        </w:rPr>
        <w:t xml:space="preserve"> La stesura originale attribuiva a Guevara un impiego come guardiano notturno presso il Fondo de Cultura Económica, ottenuto per intercessione di "Alejandro Orfila". Nessuna delle fonti consultate documenta tale impiego: la letteratura registra il lavoro di fotografo ambulante, il contratto con Agencia Latina per i Giochi Panamericani del 1955, l'internato ospedaliero in allergologia e le lezioni all'UNAM. Va inoltre segnalata una probabile confusione onomastica: il direttore del Fondo de Cultura Económica in quegli anni era </w:t>
      </w:r>
      <w:r>
        <w:rPr>
          <w:rFonts w:ascii="Barlow Semi Condensed" w:cs="Barlow Semi Condensed" w:eastAsia="Barlow Semi Condensed" w:hAnsi="Barlow Semi Condensed"/>
          <w:b/>
          <w:bCs/>
          <w:sz w:val="24"/>
          <w:szCs w:val="24"/>
        </w:rPr>
        <w:t xml:space="preserve">Arnaldo Orfila Reynal</w:t>
      </w:r>
      <w:r>
        <w:rPr>
          <w:rFonts w:ascii="Barlow Semi Condensed" w:cs="Barlow Semi Condensed" w:eastAsia="Barlow Semi Condensed" w:hAnsi="Barlow Semi Condensed"/>
          <w:sz w:val="24"/>
          <w:szCs w:val="24"/>
        </w:rPr>
        <w:t xml:space="preserve">, mentre Alejandro Orfila era un diplomatico argentino, poi segretario generale dell'OSA — persona diversa. Il passaggio è stato riscritto sulla base di quanto effettivamente documentato.</w:t>
      </w:r>
    </w:p>
    <w:p>
      <w:pPr>
        <w:spacing w:after="40"/>
        <w:ind w:left="360"/>
        <w:jc w:val="both"/>
      </w:pPr>
      <w:r>
        <w:rPr>
          <w:rFonts w:ascii="Barlow Semi Condensed" w:cs="Barlow Semi Condensed" w:eastAsia="Barlow Semi Condensed" w:hAnsi="Barlow Semi Condensed"/>
          <w:sz w:val="24"/>
          <w:szCs w:val="24"/>
        </w:rPr>
        <w:t xml:space="preserve">2. </w:t>
      </w:r>
      <w:r>
        <w:rPr>
          <w:rFonts w:ascii="Barlow Semi Condensed" w:cs="Barlow Semi Condensed" w:eastAsia="Barlow Semi Condensed" w:hAnsi="Barlow Semi Condensed"/>
          <w:b/>
          <w:bCs/>
          <w:sz w:val="24"/>
          <w:szCs w:val="24"/>
        </w:rPr>
        <w:t xml:space="preserve">Estensione del Rancho Santa Rosa.</w:t>
      </w:r>
      <w:r>
        <w:rPr>
          <w:rFonts w:ascii="Barlow Semi Condensed" w:cs="Barlow Semi Condensed" w:eastAsia="Barlow Semi Condensed" w:hAnsi="Barlow Semi Condensed"/>
          <w:sz w:val="24"/>
          <w:szCs w:val="24"/>
        </w:rPr>
        <w:t xml:space="preserve"> Il dato "148 chilometri quadrati" non trova riscontro nelle fonti consultate ed è stato espunto; l'affitto simbolico dal veterano villista Erasmo Rivera è invece attestato nella memorialistica di Bayo e nella biografia di Anderson.</w:t>
      </w:r>
    </w:p>
    <w:p>
      <w:pPr>
        <w:spacing w:after="40"/>
        <w:ind w:left="360"/>
        <w:jc w:val="both"/>
      </w:pPr>
      <w:r>
        <w:rPr>
          <w:rFonts w:ascii="Barlow Semi Condensed" w:cs="Barlow Semi Condensed" w:eastAsia="Barlow Semi Condensed" w:hAnsi="Barlow Semi Condensed"/>
          <w:sz w:val="24"/>
          <w:szCs w:val="24"/>
        </w:rPr>
        <w:t xml:space="preserve">3. </w:t>
      </w:r>
      <w:r>
        <w:rPr>
          <w:rFonts w:ascii="Barlow Semi Condensed" w:cs="Barlow Semi Condensed" w:eastAsia="Barlow Semi Condensed" w:hAnsi="Barlow Semi Condensed"/>
          <w:b/>
          <w:bCs/>
          <w:sz w:val="24"/>
          <w:szCs w:val="24"/>
        </w:rPr>
        <w:t xml:space="preserve">Perdite di Alegría de Pío.</w:t>
      </w:r>
      <w:r>
        <w:rPr>
          <w:rFonts w:ascii="Barlow Semi Condensed" w:cs="Barlow Semi Condensed" w:eastAsia="Barlow Semi Condensed" w:hAnsi="Barlow Semi Condensed"/>
          <w:sz w:val="24"/>
          <w:szCs w:val="24"/>
        </w:rPr>
        <w:t xml:space="preserve"> I conteggi puntuali riportati nella stesura originale (3 caduti, 22 catturati, 19 giustiziati) non sono uniformi nelle fonti: la storiografia converge su un ordine di grandezza — circa una ventina di morti fra combattimento ed esecuzioni sommarie nei giorni successivi, e una ventina di superstiti riorganizzatisi a Cinco Palmas — senza una ripartizione univoca. Il testo è stato riformulato di conseguenza.</w:t>
      </w:r>
    </w:p>
    <w:p>
      <w:pPr>
        <w:spacing w:after="120" w:line="276"/>
        <w:jc w:val="both"/>
      </w:pPr>
      <w:r>
        <w:rPr>
          <w:rFonts w:ascii="Barlow Semi Condensed" w:cs="Barlow Semi Condensed" w:eastAsia="Barlow Semi Condensed" w:hAnsi="Barlow Semi Condensed"/>
          <w:sz w:val="24"/>
          <w:szCs w:val="24"/>
        </w:rPr>
        <w:t xml:space="preserve">Altre correzioni puntuali applicate senza nota estesa: l'età di Fidel Castro al primo incontro del luglio 1955 (ventotto anni, non ventisei: era Guevara il ventiseienne); la datazione della retata messicana (l'operazione si svolse fra il 20 e il 24 giugno 1956, con il fermo di Fidel a Città del Messico precedente al rastrellamento del ranch); la precisazione sulla numerazione della Quarta Colonna.</w:t>
      </w:r>
    </w:p>
    <w:p>
      <w:pPr>
        <w:pStyle w:val="Heading3"/>
        <w:spacing w:after="80" w:before="240"/>
      </w:pPr>
      <w:r>
        <w:rPr>
          <w:rFonts w:ascii="Barlow Semi Condensed" w:cs="Barlow Semi Condensed" w:eastAsia="Barlow Semi Condensed" w:hAnsi="Barlow Semi Condensed"/>
          <w:sz w:val="24"/>
          <w:szCs w:val="24"/>
        </w:rPr>
        <w:t xml:space="preserve">Apparato grafico — Libro terzo · Dal Messico all'Avana</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Libro terzo II: 3.560 parole in 6 sezioni; la più ampia è §3 Il Crocevia Storico: L'Incontro con Fidel Cas…, con 780.</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Libro terzo II: 45 paragrafi in 6 sezioni, 8 in media per sezione.</w:t>
      </w:r>
    </w:p>
    <w:p>
      <w:pPr>
        <w:spacing w:after="120"/>
        <w:jc w:val="center"/>
      </w:pPr>
      <w:r>
        <w:rPr>
          <w:rFonts w:ascii="Barlow Semi Condensed" w:cs="Barlow Semi Condensed" w:eastAsia="Barlow Semi Condensed" w:hAnsi="Barlow Semi Condensed"/>
          <w:color w:val="777777"/>
          <w:sz w:val="16"/>
          <w:szCs w:val="16"/>
        </w:rPr>
        <w:t xml:space="preserve">Le metriche dell'apparato contano parole, documenti e atti — mai colpe.</w:t>
      </w:r>
    </w:p>
    <w:p>
      <w:r>
        <w:br w:type="page"/>
      </w:r>
    </w:p>
    <w:p>
      <w:pPr>
        <w:pStyle w:val="Heading1"/>
        <w:spacing w:after="120" w:before="240"/>
      </w:pPr>
      <w:r>
        <w:rPr>
          <w:rFonts w:ascii="Barlow Semi Condensed" w:cs="Barlow Semi Condensed" w:eastAsia="Barlow Semi Condensed" w:hAnsi="Barlow Semi Condensed"/>
          <w:sz w:val="24"/>
          <w:szCs w:val="24"/>
        </w:rPr>
        <w:t xml:space="preserve">Libro terzo — La parabola di Guevara — III. Da Mosca alla Bolivia</w:t>
      </w:r>
    </w:p>
    <w:p>
      <w:pPr>
        <w:pStyle w:val="Heading1"/>
        <w:spacing w:after="120" w:before="240"/>
      </w:pPr>
      <w:r>
        <w:rPr>
          <w:rFonts w:ascii="Barlow Semi Condensed" w:cs="Barlow Semi Condensed" w:eastAsia="Barlow Semi Condensed" w:hAnsi="Barlow Semi Condensed"/>
          <w:sz w:val="24"/>
          <w:szCs w:val="24"/>
        </w:rPr>
        <w:t xml:space="preserve">Ernesto Guevara: Analisi Geopolitica, Critica Economica e Riorganizzazione Tattica dal Viaggio a Mosca alla Campagna Boliviana (1964-1966)</w:t>
      </w:r>
    </w:p>
    <w:p>
      <w:pPr>
        <w:pStyle w:val="Heading2"/>
        <w:spacing w:after="100" w:before="200"/>
      </w:pPr>
      <w:r>
        <w:rPr>
          <w:rFonts w:ascii="Barlow Semi Condensed" w:cs="Barlow Semi Condensed" w:eastAsia="Barlow Semi Condensed" w:hAnsi="Barlow Semi Condensed"/>
          <w:sz w:val="24"/>
          <w:szCs w:val="24"/>
        </w:rPr>
        <w:t xml:space="preserve">Introduzione: La Svolta Globale e l'Inizio della Frattura</w:t>
      </w:r>
    </w:p>
    <w:p>
      <w:pPr>
        <w:spacing w:after="120" w:line="276"/>
        <w:jc w:val="both"/>
      </w:pPr>
      <w:r>
        <w:rPr>
          <w:rFonts w:ascii="Barlow Semi Condensed" w:cs="Barlow Semi Condensed" w:eastAsia="Barlow Semi Condensed" w:hAnsi="Barlow Semi Condensed"/>
          <w:sz w:val="24"/>
          <w:szCs w:val="24"/>
        </w:rPr>
        <w:t xml:space="preserve">Il periodo compreso tra gli ultimi mesi del 1964 e il novembre del 1966 costituisce la fase più complessa, densa e trasformativa della traiettoria politica ed esistenziale di Ernesto "Che" Guevara. In questo arco temporale, l'architetto dell'economia cubana e statista di caratura mondiale subisce una metamorfosi radicale, spogliandosi delle cariche istituzionali per abbracciare la clandestinità assoluta, in nome di una visione internazionalista che lo porterà a scontrarsi non solo con l'imperialismo statunitense, ma anche con le fondamenta dottrinali e diplomatiche dell'Unione Sovietica. Questa indagine analitica esplora in modo esaustivo ogni dettaglio di tale transizione, a partire dalle missioni diplomatiche del 1964, passando per l'Africa e la Cecoslovacchia, fino alle soglie dell'infiltrazione in Bolivia, evidenziando le implicazioni teoriche e le decisioni operative che hanno plasmato il destino del rivoluzionario argentino.</w:t>
      </w:r>
    </w:p>
    <w:p>
      <w:pPr>
        <w:pStyle w:val="Heading2"/>
        <w:spacing w:after="100" w:before="200"/>
      </w:pPr>
      <w:r>
        <w:rPr>
          <w:rFonts w:ascii="Barlow Semi Condensed" w:cs="Barlow Semi Condensed" w:eastAsia="Barlow Semi Condensed" w:hAnsi="Barlow Semi Condensed"/>
          <w:sz w:val="24"/>
          <w:szCs w:val="24"/>
        </w:rPr>
        <w:t xml:space="preserve">L'Apice Diplomatico: Le Nazioni Unite e le Avvisaglie del Conflitto (Dicembre 1964)</w:t>
      </w:r>
    </w:p>
    <w:p>
      <w:pPr>
        <w:spacing w:after="120" w:line="276"/>
        <w:jc w:val="both"/>
      </w:pPr>
      <w:r>
        <w:rPr>
          <w:rFonts w:ascii="Barlow Semi Condensed" w:cs="Barlow Semi Condensed" w:eastAsia="Barlow Semi Condensed" w:hAnsi="Barlow Semi Condensed"/>
          <w:sz w:val="24"/>
          <w:szCs w:val="24"/>
        </w:rPr>
        <w:t xml:space="preserve">L'emersione di Guevara come figura centrale della diplomazia dissidente del Terzo Mondo raggiunse il suo acme nel dicembre del 1964. Abbandonando momentaneamente le funzioni di Ministro dell'Industria (URL: https://en.wikipedia.org/wiki/Che_Guevara) — carica che ricopriva dal febbraio 1961, quando aveva lasciato dopo circa quindici mesi la presidenza del Banco Nacional de Cuba assunta il 26 novembre 1959 [→ </w:t>
      </w:r>
      <w:r>
        <w:rPr>
          <w:rFonts w:ascii="Barlow Semi Condensed" w:cs="Barlow Semi Condensed" w:eastAsia="Barlow Semi Condensed" w:hAnsi="Barlow Semi Condensed"/>
          <w:i/>
          <w:iCs/>
          <w:sz w:val="24"/>
          <w:szCs w:val="24"/>
        </w:rPr>
        <w:t xml:space="preserve">Nota di revisione 1</w:t>
      </w:r>
      <w:r>
        <w:rPr>
          <w:rFonts w:ascii="Barlow Semi Condensed" w:cs="Barlow Semi Condensed" w:eastAsia="Barlow Semi Condensed" w:hAnsi="Barlow Semi Condensed"/>
          <w:sz w:val="24"/>
          <w:szCs w:val="24"/>
        </w:rPr>
        <w:t xml:space="preserve">] —, Guevara si recò a New York come capo della delegazione cubana per partecipare alla diciannovesima sessione dell'Assemblea Generale delle Nazioni Unite. L'11 dicembre 1964, pronunciò uno dei discorsi più incendiari della storia dell'istituzione, noto come il discorso "Il colonialismo è condannato", in cui denunciò con implacabile durezza l'incapacità delle Nazioni Unite di arginare le disuguaglianze globali e di fermare la "brutale politica dell'apartheid" in Sudafrica (testo del discorso all'ONU dell'11/12/1964, «Colonialism is Doomed»: Marxists Internet Archive (https://www.marxists.org/archive/guevara/1964/12/11-alt.htm); registrazione: Smithsonian Folkways (https://folkways.si.edu/che-guevara/speech-at-the-united-nations-general-assembly-december-11-1964-19th-assembly/caribbean-oral-history-biography-world-history/track/smithsonian)). Durante questo intervento, Guevara accusò esplicitamente gli Stati Uniti e le potenze occidentali di perpetuare una divisione neocoloniale del mondo, sfidando l'inazione della comunità internazionale.</w:t>
      </w:r>
    </w:p>
    <w:p>
      <w:pPr>
        <w:spacing w:after="120" w:line="276"/>
        <w:jc w:val="both"/>
      </w:pPr>
      <w:r>
        <w:rPr>
          <w:rFonts w:ascii="Barlow Semi Condensed" w:cs="Barlow Semi Condensed" w:eastAsia="Barlow Semi Condensed" w:hAnsi="Barlow Semi Condensed"/>
          <w:sz w:val="24"/>
          <w:szCs w:val="24"/>
        </w:rPr>
        <w:t xml:space="preserve">L'impatto mediatico della sua visita fu di proporzioni globali. Il 13 dicembre 1964, concesse un'intervista alla CBS nel programma </w:t>
      </w:r>
      <w:r>
        <w:rPr>
          <w:rFonts w:ascii="Barlow Semi Condensed" w:cs="Barlow Semi Condensed" w:eastAsia="Barlow Semi Condensed" w:hAnsi="Barlow Semi Condensed"/>
          <w:i/>
          <w:iCs/>
          <w:sz w:val="24"/>
          <w:szCs w:val="24"/>
        </w:rPr>
        <w:t xml:space="preserve">Face the Nation</w:t>
      </w:r>
      <w:r>
        <w:rPr>
          <w:rFonts w:ascii="Barlow Semi Condensed" w:cs="Barlow Semi Condensed" w:eastAsia="Barlow Semi Condensed" w:hAnsi="Barlow Semi Condensed"/>
          <w:sz w:val="24"/>
          <w:szCs w:val="24"/>
        </w:rPr>
        <w:t xml:space="preserve">, consolidando la sua immagine di interlocutore sofisticato e intransigente (episodio documentato negli archivi CBS; cfr. CBS News, «60 anni di Face the Nation» (https://www.cbsnews.com/pictures/60-years-of-face-the-nation/)). In quegli stessi giorni, il suo carisma attrasse l'attenzione dei vertici del radicalismo afroamericano. Malcolm X lo invitò a intervenire davanti all'Organization of Afro-American Unity all'Audubon Ballroom di Harlem; Guevara accettò in un primo momento, ma vi rinunciò per ragioni di sicurezza, facendo pervenire un messaggio scritto che Malcolm X lesse personalmente in sala il 13 dicembre 1964 — un saluto "caloroso del popolo cubano e specialmente di Fidel, che ricorda con entusiasmo la sua visita a Harlem di qualche anno fa", chiuso dalla formula "uniti vinceremo". L'episodio, pur senza un faccia a faccia, sottolineò la convergenza tra le lotte anticoloniali del Terzo Mondo e i movimenti per i diritti civili all'interno del blocco occidentale [→ </w:t>
      </w:r>
      <w:r>
        <w:rPr>
          <w:rFonts w:ascii="Barlow Semi Condensed" w:cs="Barlow Semi Condensed" w:eastAsia="Barlow Semi Condensed" w:hAnsi="Barlow Semi Condensed"/>
          <w:i/>
          <w:iCs/>
          <w:sz w:val="24"/>
          <w:szCs w:val="24"/>
        </w:rPr>
        <w:t xml:space="preserve">Nota di revisione 3</w:t>
      </w:r>
      <w:r>
        <w:rPr>
          <w:rFonts w:ascii="Barlow Semi Condensed" w:cs="Barlow Semi Condensed" w:eastAsia="Barlow Semi Condensed" w:hAnsi="Barlow Semi Condensed"/>
          <w:sz w:val="24"/>
          <w:szCs w:val="24"/>
        </w:rPr>
        <w:t xml:space="preserve">] (URL: https://www.themilitant.com/2010/7407/740750.html).</w:t>
      </w:r>
    </w:p>
    <w:p>
      <w:pPr>
        <w:spacing w:after="120" w:line="276"/>
        <w:jc w:val="both"/>
      </w:pPr>
      <w:r>
        <w:rPr>
          <w:rFonts w:ascii="Barlow Semi Condensed" w:cs="Barlow Semi Condensed" w:eastAsia="Barlow Semi Condensed" w:hAnsi="Barlow Semi Condensed"/>
          <w:sz w:val="24"/>
          <w:szCs w:val="24"/>
        </w:rPr>
        <w:t xml:space="preserve">La sua presenza sul suolo statunitense non fu tuttavia priva di minacce letali, evidenziando il grado di ostilità della diaspora cubana e degli apparati di sicurezza nordamericani. Durante il suo discorso all'ONU, si verificarono due distinti tentativi di assassinio. Il primo fu perpetrato da Molly Gonzales, la quale tentò di sfondare le barricate di sicurezza armata di un coltello da caccia di sette pollici. Il secondo, di natura ben più militare e organizzata, coinvolse Guillermo e Ignacio Novo, insieme a Julio Pérez, membri del Movimento Nazionalista Cubano. Questi ultimi spararono un colpo di bazooka da 3,5 pollici, con innesco a tempo, da un terreno abbandonato di Long Island City, sulla sponda opposta dell'East River, mirando direttamente al Palazzo di Vetro delle Nazioni Unite; il proiettile mancò l'edificio di circa duecento iarde, inabissandosi nel fiume e sollevando un altissimo getto d'acqua che fece vibrare le vetrate dell'Assemblea Generale. Si trattò di uno dei primi attentati di matrice politica contro la sede dell'ONU [→ </w:t>
      </w:r>
      <w:r>
        <w:rPr>
          <w:rFonts w:ascii="Barlow Semi Condensed" w:cs="Barlow Semi Condensed" w:eastAsia="Barlow Semi Condensed" w:hAnsi="Barlow Semi Condensed"/>
          <w:i/>
          <w:iCs/>
          <w:sz w:val="24"/>
          <w:szCs w:val="24"/>
        </w:rPr>
        <w:t xml:space="preserve">Nota di revisione 2</w:t>
      </w:r>
      <w:r>
        <w:rPr>
          <w:rFonts w:ascii="Barlow Semi Condensed" w:cs="Barlow Semi Condensed" w:eastAsia="Barlow Semi Condensed" w:hAnsi="Barlow Semi Condensed"/>
          <w:sz w:val="24"/>
          <w:szCs w:val="24"/>
        </w:rPr>
        <w:t xml:space="preserve">] (URL: https://www.thecitizen.in/index.php/en/NewsDetail/index/1/1826/The-First-Terrorist-Attack-on-the-UN-was-Against-Che-Guevera). Informato degli eventi, Guevara mantenne la sua consueta flemma fatalista, commentando con un gesto languido della mano che "è meglio essere uccisi da una donna con un coltello che da un uomo con una pistola" (riportato dalle cronache dell'epoca; cfr. The Citizen (https://www.thecitizen.in/index.php/en/NewsDetail/index/1/1826/The-First-Terrorist-Attack-on-the-UN-was-Against-Che-Guevera)).</w:t>
      </w:r>
    </w:p>
    <w:p>
      <w:pPr>
        <w:spacing w:after="120" w:line="276"/>
        <w:jc w:val="both"/>
      </w:pPr>
      <w:r>
        <w:rPr>
          <w:rFonts w:ascii="Barlow Semi Condensed" w:cs="Barlow Semi Condensed" w:eastAsia="Barlow Semi Condensed" w:hAnsi="Barlow Semi Condensed"/>
          <w:sz w:val="24"/>
          <w:szCs w:val="24"/>
        </w:rPr>
        <w:t xml:space="preserve">Parallelamente, l'intelligence statunitense intensificava le operazioni di sorveglianza. Documenti declassificati e analizzati dai giuristi Michael Ratner e Michael Steven Smith — comprendenti oltre mille rapporti della CIA risalenti al periodo 1954-1968 — rivelano un'attenzione ossessiva dell'agenzia verso le vulnerabilità fisiche di Guevara. La CIA monitorava sistematicamente i suoi spostamenti e pianificava azioni di sabotaggio medico, spingendosi — secondo una ricostruzione che circola in fonti secondarie e che andrebbe riscontrata sul testo originale di Ratner e Smith — a ipotizzare l'interruzione della fornitura degli inalatori vitali per la sua grave asma, o l'inserimento di tossine letali all'interno degli stessi [→ </w:t>
      </w:r>
      <w:r>
        <w:rPr>
          <w:rFonts w:ascii="Barlow Semi Condensed" w:cs="Barlow Semi Condensed" w:eastAsia="Barlow Semi Condensed" w:hAnsi="Barlow Semi Condensed"/>
          <w:i/>
          <w:iCs/>
          <w:sz w:val="24"/>
          <w:szCs w:val="24"/>
        </w:rPr>
        <w:t xml:space="preserve">Nota di revisione 4</w:t>
      </w:r>
      <w:r>
        <w:rPr>
          <w:rFonts w:ascii="Barlow Semi Condensed" w:cs="Barlow Semi Condensed" w:eastAsia="Barlow Semi Condensed" w:hAnsi="Barlow Semi Condensed"/>
          <w:sz w:val="24"/>
          <w:szCs w:val="24"/>
        </w:rPr>
        <w:t xml:space="preserve">] (fonte: Michael Ratner e Michael Steven Smith, </w:t>
      </w:r>
      <w:r>
        <w:rPr>
          <w:rFonts w:ascii="Barlow Semi Condensed" w:cs="Barlow Semi Condensed" w:eastAsia="Barlow Semi Condensed" w:hAnsi="Barlow Semi Condensed"/>
          <w:i/>
          <w:iCs/>
          <w:sz w:val="24"/>
          <w:szCs w:val="24"/>
        </w:rPr>
        <w:t xml:space="preserve">Who Killed Che? How the CIA Got Away with Murder</w:t>
      </w:r>
      <w:r>
        <w:rPr>
          <w:rFonts w:ascii="Barlow Semi Condensed" w:cs="Barlow Semi Condensed" w:eastAsia="Barlow Semi Condensed" w:hAnsi="Barlow Semi Condensed"/>
          <w:sz w:val="24"/>
          <w:szCs w:val="24"/>
        </w:rPr>
        <w:t xml:space="preserve">, OR Books, 2011, fondato sui documenti CIA declassificati).</w:t>
      </w:r>
    </w:p>
    <w:p>
      <w:pPr>
        <w:pStyle w:val="Heading2"/>
        <w:spacing w:after="100" w:before="200"/>
      </w:pPr>
      <w:r>
        <w:rPr>
          <w:rFonts w:ascii="Barlow Semi Condensed" w:cs="Barlow Semi Condensed" w:eastAsia="Barlow Semi Condensed" w:hAnsi="Barlow Semi Condensed"/>
          <w:sz w:val="24"/>
          <w:szCs w:val="24"/>
        </w:rPr>
        <w:t xml:space="preserve">Il Tour Afro-Asiatico e le Contraddizioni del Socialismo Reale</w:t>
      </w:r>
    </w:p>
    <w:p>
      <w:pPr>
        <w:spacing w:after="120" w:line="276"/>
        <w:jc w:val="both"/>
      </w:pPr>
      <w:r>
        <w:rPr>
          <w:rFonts w:ascii="Barlow Semi Condensed" w:cs="Barlow Semi Condensed" w:eastAsia="Barlow Semi Condensed" w:hAnsi="Barlow Semi Condensed"/>
          <w:sz w:val="24"/>
          <w:szCs w:val="24"/>
        </w:rPr>
        <w:t xml:space="preserve">Successivamente agli impegni newyorkesi, tra la fine del 1964 e i primi mesi del 1965, Guevara intraprese una massiccia missione diplomatica che toccò numerosi paesi, fungendo da ambasciatore itinerante per la Rivoluzione Cubana. Il suo itinerario incluse tappe in Cina, Corea del Nord, Berlino Est, Unione Sovietica, Mali, Congo-Brazzaville, Ghana, Tanzania, Egitto e Algeria (fonte: cronologia in Jon Lee Anderson, </w:t>
      </w:r>
      <w:r>
        <w:rPr>
          <w:rFonts w:ascii="Barlow Semi Condensed" w:cs="Barlow Semi Condensed" w:eastAsia="Barlow Semi Condensed" w:hAnsi="Barlow Semi Condensed"/>
          <w:i/>
          <w:iCs/>
          <w:sz w:val="24"/>
          <w:szCs w:val="24"/>
        </w:rPr>
        <w:t xml:space="preserve">Che Guevara: A Revolutionary Life</w:t>
      </w:r>
      <w:r>
        <w:rPr>
          <w:rFonts w:ascii="Barlow Semi Condensed" w:cs="Barlow Semi Condensed" w:eastAsia="Barlow Semi Condensed" w:hAnsi="Barlow Semi Condensed"/>
          <w:sz w:val="24"/>
          <w:szCs w:val="24"/>
        </w:rPr>
        <w:t xml:space="preserve">, 1997; cfr. Wikipedia (https://it.wikipedia.org/wiki/Che_Guevara)). Questo viaggio fu cruciale per due ragioni: in primo luogo, permise a Guevara di valutare direttamente la fattibilità di esportare il foco guerrigliero nel continente africano, considerato l'anello debole dell'imperialismo; in secondo luogo, acuì irreparabilmente la sua insofferenza verso le politiche di "coesistenza pacifica" perseguite dall'URSS (URL: https://www.tandfonline.com/doi/full/10.1080/14747731.2022.2066055).</w:t>
      </w:r>
    </w:p>
    <w:p>
      <w:pPr>
        <w:pStyle w:val="Heading3"/>
        <w:spacing w:after="80" w:before="160"/>
      </w:pPr>
      <w:r>
        <w:rPr>
          <w:rFonts w:ascii="Barlow Semi Condensed" w:cs="Barlow Semi Condensed" w:eastAsia="Barlow Semi Condensed" w:hAnsi="Barlow Semi Condensed"/>
          <w:sz w:val="24"/>
          <w:szCs w:val="24"/>
        </w:rPr>
        <w:t xml:space="preserve">L'Avvertimento di Nasser</w:t>
      </w:r>
    </w:p>
    <w:p>
      <w:pPr>
        <w:spacing w:after="120" w:line="276"/>
        <w:jc w:val="both"/>
      </w:pPr>
      <w:r>
        <w:rPr>
          <w:rFonts w:ascii="Barlow Semi Condensed" w:cs="Barlow Semi Condensed" w:eastAsia="Barlow Semi Condensed" w:hAnsi="Barlow Semi Condensed"/>
          <w:sz w:val="24"/>
          <w:szCs w:val="24"/>
        </w:rPr>
        <w:t xml:space="preserve">Un momento topico di questo viaggio fu l'incontro avvenuto nel marzo del 1965 al Cairo con il presidente egiziano Gamal Abdel Nasser. Guevara, spinto da un internazionalismo romantico e intransigente, rivelò a Nasser il suo piano segreto: recarsi in Congo per guidare personalmente un'insurrezione militare contro le forze neocoloniali. Guevara sosteneva che la situazione africana fosse matura per un'escalation rivoluzionaria in grado di colpire l'imperialismo statunitense "al cuore dei suoi interessi", precisando che una vittoria nel Congo avrebbe avuto un impatto su scala continentale, ben oltre la sconfitta del governo fantoccio di Moise Tshombe (fonti: Jacobin, «Che Guevara in the Congo» (https://jacobin.com/2017/04/che-guevara-cuba-castro-congo-patrice-lumumba-colonialism); ROAPE (https://roape.net/2017/04/05/che-guevara-congo/)).</w:t>
      </w:r>
    </w:p>
    <w:p>
      <w:pPr>
        <w:spacing w:after="120" w:line="276"/>
        <w:jc w:val="both"/>
      </w:pPr>
      <w:r>
        <w:rPr>
          <w:rFonts w:ascii="Barlow Semi Condensed" w:cs="Barlow Semi Condensed" w:eastAsia="Barlow Semi Condensed" w:hAnsi="Barlow Semi Condensed"/>
          <w:sz w:val="24"/>
          <w:szCs w:val="24"/>
        </w:rPr>
        <w:t xml:space="preserve">Nasser, pragmatico veterano della nazionalizzazione del Canale di Suez, reagì con profondo sconcerto e scetticismo. Egli ammonì Guevara sui rischi insiti nel proiettarsi in una realtà etnica, tribale e culturale a lui del tutto estranea, dicendogli esplicitamente: "Mi stupisci... non voglio interferire, ma se vuoi essere un altro Tarzan, un uomo bianco tra i neri, che li guida e li protegge, ti dico che questa è un'impresa destinata a finire male" (URL: https://revista.drclas.harvard.edu/latin-american-revolutionaries-and-the-arab-world/). L'avvertimento del leader egiziano, che evidenziava i limiti del volontarismo guevariano di fronte alla complessa sociologia africana, rimase tragicamente inascoltato (l'episodio proviene dal resoconto di Mohamed Heikal; cfr. Harvard ReVista (https://revista.drclas.harvard.edu/latin-american-revolutionaries-and-the-arab-world/)).</w:t>
      </w:r>
    </w:p>
    <w:p>
      <w:pPr>
        <w:pStyle w:val="Heading2"/>
        <w:spacing w:after="100" w:before="200"/>
      </w:pPr>
      <w:r>
        <w:rPr>
          <w:rFonts w:ascii="Barlow Semi Condensed" w:cs="Barlow Semi Condensed" w:eastAsia="Barlow Semi Condensed" w:hAnsi="Barlow Semi Condensed"/>
          <w:sz w:val="24"/>
          <w:szCs w:val="24"/>
        </w:rPr>
        <w:t xml:space="preserve">Il Discorso di Algeri e la Rottura Definitiva (24 febbraio 1965)</w:t>
      </w:r>
    </w:p>
    <w:p>
      <w:pPr>
        <w:spacing w:after="120" w:line="276"/>
        <w:jc w:val="both"/>
      </w:pPr>
      <w:r>
        <w:rPr>
          <w:rFonts w:ascii="Barlow Semi Condensed" w:cs="Barlow Semi Condensed" w:eastAsia="Barlow Semi Condensed" w:hAnsi="Barlow Semi Condensed"/>
          <w:sz w:val="24"/>
          <w:szCs w:val="24"/>
        </w:rPr>
        <w:t xml:space="preserve">Il culmine teorico e la cesura diplomatica di questo lungo viaggio si consumarono il 24 febbraio 1965 ad Algeri, in occasione del Secondo Seminario Economico sulla Solidarietà Afro-Asiatica. In quella sede, Guevara pronunciò un discorso che costituì una requisitoria frontale e inaudita contro l'Unione Sovietica e il blocco orientale (testo del discorso: Marxists Internet Archive (https://www.marxists.org/archive/guevara/1965/02/24.htm)).</w:t>
      </w:r>
    </w:p>
    <w:p>
      <w:pPr>
        <w:spacing w:after="120" w:line="276"/>
        <w:jc w:val="both"/>
      </w:pPr>
      <w:r>
        <w:rPr>
          <w:rFonts w:ascii="Barlow Semi Condensed" w:cs="Barlow Semi Condensed" w:eastAsia="Barlow Semi Condensed" w:hAnsi="Barlow Semi Condensed"/>
          <w:sz w:val="24"/>
          <w:szCs w:val="24"/>
        </w:rPr>
        <w:t xml:space="preserve">L'architettura logica dell'intervento guevariano si fondava sull'analisi della "divisione internazionale del lavoro" e sullo "scambio ineguale". Guevara argomentò che i paesi del socialismo reale, adottando i prezzi e le logiche del mercato mondiale capitalistico per regolare i loro scambi commerciali con le nazioni sottosviluppate, si rendevano "obiettivamente complici dello sfruttamento imperialistico" (testo del discorso, Marxists Internet Archive (https://www.marxists.org/archive/guevara/1965/02/24.htm)). Egli denunciò l'emisfero settentrionale — guidato a ovest da Washington e a est da Mosca — come un'unica entità sfruttatrice a danno dell'emisfero meridionale (URL: https://it.wikipedia.org/wiki/Che_Guevara).</w:t>
      </w:r>
    </w:p>
    <w:p>
      <w:pPr>
        <w:spacing w:after="120" w:line="276"/>
        <w:jc w:val="both"/>
      </w:pPr>
      <w:r>
        <w:rPr>
          <w:rFonts w:ascii="Barlow Semi Condensed" w:cs="Barlow Semi Condensed" w:eastAsia="Barlow Semi Condensed" w:hAnsi="Barlow Semi Condensed"/>
          <w:sz w:val="24"/>
          <w:szCs w:val="24"/>
        </w:rPr>
        <w:t xml:space="preserve">Per Guevara, lo sviluppo socialista non poteva fondarsi sul debito o sull'usura commerciale. Propose un modello alternativo basato su accordi paritari: gli investimenti nei paesi sottosviluppati dovevano essere considerati un dovere internazionalista. Gli stati riceventi avrebbero dovuto esercitare i diritti di proprietà sovrana senza pagamenti in valuta forte, impegnandosi unicamente a rimborsare il debito attraverso la fornitura di beni a prezzi e quantità predeterminate a lungo termine. Dichiarò fermamente che "il socialismo non può esistere se nelle coscienze non si opera una trasformazione che determini un ordine nuovo" e condannò aspramente le scorie del "revisionismo borghese" all'interno delle potenze comuniste (testo integrale del discorso, Marxists Internet Archive (https://www.marxists.org/archive/guevara/1965/02/24.htm)). Questa eresia teorica causò lo sdegno palese della delegazione sovietica presente ad Algeri, sancendo la fine irrevocabile della permanenza di Guevara all'interno dei confini della diplomazia formale di Stato.</w:t>
      </w:r>
    </w:p>
    <w:p>
      <w:pPr>
        <w:pStyle w:val="Heading2"/>
        <w:spacing w:after="100" w:before="200"/>
      </w:pPr>
      <w:r>
        <w:rPr>
          <w:rFonts w:ascii="Barlow Semi Condensed" w:cs="Barlow Semi Condensed" w:eastAsia="Barlow Semi Condensed" w:hAnsi="Barlow Semi Condensed"/>
          <w:sz w:val="24"/>
          <w:szCs w:val="24"/>
        </w:rPr>
        <w:t xml:space="preserve">Il Ritorno all'Avana e la Sparizione Strategica</w:t>
      </w:r>
    </w:p>
    <w:p>
      <w:pPr>
        <w:spacing w:after="120" w:line="276"/>
        <w:jc w:val="both"/>
      </w:pPr>
      <w:r>
        <w:rPr>
          <w:rFonts w:ascii="Barlow Semi Condensed" w:cs="Barlow Semi Condensed" w:eastAsia="Barlow Semi Condensed" w:hAnsi="Barlow Semi Condensed"/>
          <w:sz w:val="24"/>
          <w:szCs w:val="24"/>
        </w:rPr>
        <w:t xml:space="preserve">Guevara rientrò a Cuba il 14 marzo 1965, dopo oltre tre mesi di frenetica attività internazionale. Ad attenderlo all'aeroporto vi erano le massime cariche dello Stato: Fidel Castro, Raúl Castro e altri leader rivoluzionari. Tuttavia, la presenza del vice primo ministro sovietico Anastas Mikoyan all'Avana in quegli stessi giorni, impegnato nell'inaugurazione di un'esposizione scientifica e tecnica dell'URSS, simboleggiava plasticamente le pressioni geopolitiche a cui Cuba era sottoposta (dettaglio riportato dalla biografia sovietica di Iosif Lavretski, </w:t>
      </w:r>
      <w:r>
        <w:rPr>
          <w:rFonts w:ascii="Barlow Semi Condensed" w:cs="Barlow Semi Condensed" w:eastAsia="Barlow Semi Condensed" w:hAnsi="Barlow Semi Condensed"/>
          <w:i/>
          <w:iCs/>
          <w:sz w:val="24"/>
          <w:szCs w:val="24"/>
        </w:rPr>
        <w:t xml:space="preserve">Ernesto Che Guevara</w:t>
      </w:r>
      <w:r>
        <w:rPr>
          <w:rFonts w:ascii="Barlow Semi Condensed" w:cs="Barlow Semi Condensed" w:eastAsia="Barlow Semi Condensed" w:hAnsi="Barlow Semi Condensed"/>
          <w:sz w:val="24"/>
          <w:szCs w:val="24"/>
        </w:rPr>
        <w:t xml:space="preserve">, Progress Publishers — fonte di parte, non riscontrata altrove).</w:t>
      </w:r>
    </w:p>
    <w:p>
      <w:pPr>
        <w:spacing w:after="120" w:line="276"/>
        <w:jc w:val="both"/>
      </w:pPr>
      <w:r>
        <w:rPr>
          <w:rFonts w:ascii="Barlow Semi Condensed" w:cs="Barlow Semi Condensed" w:eastAsia="Barlow Semi Condensed" w:hAnsi="Barlow Semi Condensed"/>
          <w:sz w:val="24"/>
          <w:szCs w:val="24"/>
        </w:rPr>
        <w:t xml:space="preserve">Il discorso di Algeri aveva generato fortissimi attriti. Documentazioni dell'epoca testimoniano di discussioni prolungate e accese tra Guevara e Castro. Mentre Guevara era fautore di un'economia altamente centralizzata, svincolata dai criteri di redditività e fondata esclusivamente sugli incentivi morali e sul lavoro volontario, Castro doveva bilanciare l'impeto rivoluzionario con la necessità di mantenere il vitale cordone ombelicale economico e militare con Mosca (cfr. Jon Lee Anderson, </w:t>
      </w:r>
      <w:r>
        <w:rPr>
          <w:rFonts w:ascii="Barlow Semi Condensed" w:cs="Barlow Semi Condensed" w:eastAsia="Barlow Semi Condensed" w:hAnsi="Barlow Semi Condensed"/>
          <w:i/>
          <w:iCs/>
          <w:sz w:val="24"/>
          <w:szCs w:val="24"/>
        </w:rPr>
        <w:t xml:space="preserve">Che Guevara: A Revolutionary Life</w:t>
      </w:r>
      <w:r>
        <w:rPr>
          <w:rFonts w:ascii="Barlow Semi Condensed" w:cs="Barlow Semi Condensed" w:eastAsia="Barlow Semi Condensed" w:hAnsi="Barlow Semi Condensed"/>
          <w:sz w:val="24"/>
          <w:szCs w:val="24"/>
        </w:rPr>
        <w:t xml:space="preserve">, 1997, parte finale). In quel periodo l'isola fronteggiava una pressione inaudita; come lo stesso Guevara aveva ricordato in un programma televisivo intitolato "Universidad Popular", nei primi undici mesi del 1964 Cuba aveva subito oltre 1.323 atti di sovversione orchestrati dalle sfere governative nordamericane — dato riportato dalla sola biografia sovietica di Iosif Lavretski (</w:t>
      </w:r>
      <w:r>
        <w:rPr>
          <w:rFonts w:ascii="Barlow Semi Condensed" w:cs="Barlow Semi Condensed" w:eastAsia="Barlow Semi Condensed" w:hAnsi="Barlow Semi Condensed"/>
          <w:i/>
          <w:iCs/>
          <w:sz w:val="24"/>
          <w:szCs w:val="24"/>
        </w:rPr>
        <w:t xml:space="preserve">Ernesto Che Guevara</w:t>
      </w:r>
      <w:r>
        <w:rPr>
          <w:rFonts w:ascii="Barlow Semi Condensed" w:cs="Barlow Semi Condensed" w:eastAsia="Barlow Semi Condensed" w:hAnsi="Barlow Semi Condensed"/>
          <w:sz w:val="24"/>
          <w:szCs w:val="24"/>
        </w:rPr>
        <w:t xml:space="preserve">, Progress Publishers), fonte di parte e non riscontrata altrove [→ </w:t>
      </w:r>
      <w:r>
        <w:rPr>
          <w:rFonts w:ascii="Barlow Semi Condensed" w:cs="Barlow Semi Condensed" w:eastAsia="Barlow Semi Condensed" w:hAnsi="Barlow Semi Condensed"/>
          <w:i/>
          <w:iCs/>
          <w:sz w:val="24"/>
          <w:szCs w:val="24"/>
        </w:rPr>
        <w:t xml:space="preserve">Nota di revisione 5</w:t>
      </w:r>
      <w:r>
        <w:rPr>
          <w:rFonts w:ascii="Barlow Semi Condensed" w:cs="Barlow Semi Condensed" w:eastAsia="Barlow Semi Condensed" w:hAnsi="Barlow Semi Condensed"/>
          <w:sz w:val="24"/>
          <w:szCs w:val="24"/>
        </w:rPr>
        <w:t xml:space="preserve">].</w:t>
      </w:r>
    </w:p>
    <w:p>
      <w:pPr>
        <w:spacing w:after="120" w:line="276"/>
        <w:jc w:val="both"/>
      </w:pPr>
      <w:r>
        <w:rPr>
          <w:rFonts w:ascii="Barlow Semi Condensed" w:cs="Barlow Semi Condensed" w:eastAsia="Barlow Semi Condensed" w:hAnsi="Barlow Semi Condensed"/>
          <w:sz w:val="24"/>
          <w:szCs w:val="24"/>
        </w:rPr>
        <w:t xml:space="preserve">Da quel 14 marzo, Guevara sparì letteralmente dalla circolazione. Non si presentò più in pubblico. La sua assenza innescò una ridda di speculazioni internazionali: la stampa speculò su una sua defezione, su un suo presunto assassinio per divergenze politiche, o su un ricovero in un ospedale psichiatrico (cfr. Wikipedia (https://it.wikipedia.org/wiki/Che_Guevara), con la rassegna delle speculazioni dell'epoca). A fronte di queste voci, Fidel Castro rilasciò una dichiarazione lapidaria il 16 giugno 1965, affermando che il destino di Guevara sarebbe stato reso noto "quando lo stesso Guevara avesse ritenuto opportuno farlo" (URL: https://it.wikipedia.org/wiki/Che_Guevara). La rivelazione giunse solo mesi dopo, il 3 ottobre 1965, quando Fidel lesse pubblicamente la celebre lettera in cui il Che rassegnava le dimissioni da ogni carica governativa e militare, restituiva la cittadinanza cubana onoraria e dichiarava di partire verso nuovi campi di battaglia, poiché "altri luoghi del mondo reclamano il concorso dei miei modesti sforzi" (testo della lettera d'addio a Fidel Castro: Marxists Internet Archive (https://www.marxists.org/archive/guevara/1965/04/01.htm)).</w:t>
      </w:r>
    </w:p>
    <w:p>
      <w:pPr>
        <w:pStyle w:val="Heading2"/>
        <w:spacing w:after="100" w:before="200"/>
      </w:pPr>
      <w:r>
        <w:rPr>
          <w:rFonts w:ascii="Barlow Semi Condensed" w:cs="Barlow Semi Condensed" w:eastAsia="Barlow Semi Condensed" w:hAnsi="Barlow Semi Condensed"/>
          <w:sz w:val="24"/>
          <w:szCs w:val="24"/>
        </w:rPr>
        <w:t xml:space="preserve">La Discesa nella Fornace Congolese (Aprile - Novembre 1965)</w:t>
      </w:r>
    </w:p>
    <w:p>
      <w:pPr>
        <w:spacing w:after="120" w:line="276"/>
        <w:jc w:val="both"/>
      </w:pPr>
      <w:r>
        <w:rPr>
          <w:rFonts w:ascii="Barlow Semi Condensed" w:cs="Barlow Semi Condensed" w:eastAsia="Barlow Semi Condensed" w:hAnsi="Barlow Semi Condensed"/>
          <w:sz w:val="24"/>
          <w:szCs w:val="24"/>
        </w:rPr>
        <w:t xml:space="preserve">In realtà, mesi prima che la sua lettera venisse letta in pubblico, Guevara aveva già lasciato Cuba. L'1 aprile 1965, ampiamente travestito per eludere lo spionaggio internazionale, partì per l'Africa con l'intento di innescare una guerra di liberazione in Congo-Léopoldville, supportando il movimento rivoluzionario contro il governo sostenuto dall'Occidente (cfr. Jacobin, «Che Guevara in the Congo» (https://jacobin.com/2017/04/che-guevara-cuba-castro-congo-patrice-lumumba-colonialism)).</w:t>
      </w:r>
    </w:p>
    <w:p>
      <w:pPr>
        <w:pStyle w:val="Heading3"/>
        <w:spacing w:after="80" w:before="160"/>
      </w:pPr>
      <w:r>
        <w:rPr>
          <w:rFonts w:ascii="Barlow Semi Condensed" w:cs="Barlow Semi Condensed" w:eastAsia="Barlow Semi Condensed" w:hAnsi="Barlow Semi Condensed"/>
          <w:sz w:val="24"/>
          <w:szCs w:val="24"/>
        </w:rPr>
        <w:t xml:space="preserve">Il Quadro Geopolitico del Congo</w:t>
      </w:r>
    </w:p>
    <w:p>
      <w:pPr>
        <w:spacing w:after="120" w:line="276"/>
        <w:jc w:val="both"/>
      </w:pPr>
      <w:r>
        <w:rPr>
          <w:rFonts w:ascii="Barlow Semi Condensed" w:cs="Barlow Semi Condensed" w:eastAsia="Barlow Semi Condensed" w:hAnsi="Barlow Semi Condensed"/>
          <w:sz w:val="24"/>
          <w:szCs w:val="24"/>
        </w:rPr>
        <w:t xml:space="preserve">Il Congo era il principale teatro di scontro della Guerra Fredda in Africa. Dopo l'assassinio del leader indipendentista Patrice Lumumba, il paese era scivolato nel caos. A metà del 1964, le milizie ribelli controllavano vasti territori: a nord-est operavano Gaston Soumaliot e il suo tenente Laurent-Désiré Kabila, mentre Christophe Gbenye, supportato da Unione Sovietica e Cina, dominava altre zone (ROAPE, «Che Guevara in the Congo» (https://roape.net/2017/04/05/che-guevara-congo/)). Preoccupato dall'avanzata comunista, il presidente USA Lyndon B. Johnson aveva inviato Averell Harriman e il vicesegretario della difesa Cyrus Vance per organizzare un ponte aereo e dispiegare supporto logistico al governo. Nel luglio 1964, Moise Tshombe era stato nominato primo ministro, ingaggiando mercenari bianchi (belgi, sudafricani, francesi, americani, rodesiani) per sopprimere la rivolta (Jacobin (https://jacobin.com/2017/04/che-guevara-cuba-castro-congo-patrice-lumumba-colonialism)).</w:t>
      </w:r>
    </w:p>
    <w:p>
      <w:pPr>
        <w:pStyle w:val="Heading3"/>
        <w:spacing w:after="80" w:before="160"/>
      </w:pPr>
      <w:r>
        <w:rPr>
          <w:rFonts w:ascii="Barlow Semi Condensed" w:cs="Barlow Semi Condensed" w:eastAsia="Barlow Semi Condensed" w:hAnsi="Barlow Semi Condensed"/>
          <w:sz w:val="24"/>
          <w:szCs w:val="24"/>
        </w:rPr>
        <w:t xml:space="preserve">La Struttura e le Contraddizioni della Missione</w:t>
      </w:r>
    </w:p>
    <w:p>
      <w:pPr>
        <w:spacing w:after="120" w:line="276"/>
        <w:jc w:val="both"/>
      </w:pPr>
      <w:r>
        <w:rPr>
          <w:rFonts w:ascii="Barlow Semi Condensed" w:cs="Barlow Semi Condensed" w:eastAsia="Barlow Semi Condensed" w:hAnsi="Barlow Semi Condensed"/>
          <w:sz w:val="24"/>
          <w:szCs w:val="24"/>
        </w:rPr>
        <w:t xml:space="preserve">Il contingente cubano, addestrato segretamente, fu strutturato per fornire supporto tecnico e ideologico ai ribelli congolesi. Il gruppo era composto in prevalenza da combattenti cubani afro-discendenti, scelti per facilitare l'integrazione, e da figure di primissimo piano. L'organizzazione gerarchica e pseudonimica della spedizione era strutturata in lingua swahili, generando paradossi operativi:</w:t>
      </w:r>
    </w:p>
    <w:p>
      <w:pPr>
        <w:spacing w:after="120" w:line="276"/>
        <w:jc w:val="both"/>
      </w:pPr>
      <w:r>
        <w:rPr>
          <w:rFonts w:ascii="Barlow Semi Condensed" w:cs="Barlow Semi Condensed" w:eastAsia="Barlow Semi Condensed" w:hAnsi="Barlow Semi Condensed"/>
          <w:i/>
          <w:iCs/>
          <w:sz w:val="24"/>
          <w:szCs w:val="24"/>
        </w:rPr>
        <w:t xml:space="preserve">[Integrazione (24 agosto 2026): le sezioni che seguono completano il programma del rapporto, interrotto nella stesura originale a questo punto. Redatte in sede di revisione su cronologia storiografica consolidata (in primis i «Passaggi della guerra rivoluzionaria: Congo» dello stesso Guevara); integrazione distinta dalla stesura d'autore.]</w:t>
      </w:r>
    </w:p>
    <w:p>
      <w:pPr>
        <w:spacing w:after="120" w:line="276"/>
        <w:jc w:val="both"/>
      </w:pPr>
      <w:r>
        <w:rPr>
          <w:rFonts w:ascii="Barlow Semi Condensed" w:cs="Barlow Semi Condensed" w:eastAsia="Barlow Semi Condensed" w:hAnsi="Barlow Semi Condensed"/>
          <w:sz w:val="24"/>
          <w:szCs w:val="24"/>
        </w:rPr>
        <w:t xml:space="preserve">il comandante in capo della spedizione portava il numero </w:t>
      </w:r>
      <w:r>
        <w:rPr>
          <w:rFonts w:ascii="Barlow Semi Condensed" w:cs="Barlow Semi Condensed" w:eastAsia="Barlow Semi Condensed" w:hAnsi="Barlow Semi Condensed"/>
          <w:b/>
          <w:bCs/>
          <w:sz w:val="24"/>
          <w:szCs w:val="24"/>
        </w:rPr>
        <w:t xml:space="preserve">tre</w:t>
      </w:r>
      <w:r>
        <w:rPr>
          <w:rFonts w:ascii="Barlow Semi Condensed" w:cs="Barlow Semi Condensed" w:eastAsia="Barlow Semi Condensed" w:hAnsi="Barlow Semi Condensed"/>
          <w:sz w:val="24"/>
          <w:szCs w:val="24"/>
        </w:rPr>
        <w:t xml:space="preserve"> — «</w:t>
      </w:r>
      <w:r>
        <w:rPr>
          <w:rFonts w:ascii="Barlow Semi Condensed" w:cs="Barlow Semi Condensed" w:eastAsia="Barlow Semi Condensed" w:hAnsi="Barlow Semi Condensed"/>
          <w:b/>
          <w:bCs/>
          <w:sz w:val="24"/>
          <w:szCs w:val="24"/>
        </w:rPr>
        <w:t xml:space="preserve">Tatu</w:t>
      </w:r>
      <w:r>
        <w:rPr>
          <w:rFonts w:ascii="Barlow Semi Condensed" w:cs="Barlow Semi Condensed" w:eastAsia="Barlow Semi Condensed" w:hAnsi="Barlow Semi Condensed"/>
          <w:sz w:val="24"/>
          <w:szCs w:val="24"/>
        </w:rPr>
        <w:t xml:space="preserve">» — mentre il capo ufficiale della missione, il comandante </w:t>
      </w:r>
      <w:r>
        <w:rPr>
          <w:rFonts w:ascii="Barlow Semi Condensed" w:cs="Barlow Semi Condensed" w:eastAsia="Barlow Semi Condensed" w:hAnsi="Barlow Semi Condensed"/>
          <w:b/>
          <w:bCs/>
          <w:sz w:val="24"/>
          <w:szCs w:val="24"/>
        </w:rPr>
        <w:t xml:space="preserve">Víctor Dreke</w:t>
      </w:r>
      <w:r>
        <w:rPr>
          <w:rFonts w:ascii="Barlow Semi Condensed" w:cs="Barlow Semi Condensed" w:eastAsia="Barlow Semi Condensed" w:hAnsi="Barlow Semi Condensed"/>
          <w:sz w:val="24"/>
          <w:szCs w:val="24"/>
        </w:rPr>
        <w:t xml:space="preserve">, era «</w:t>
      </w:r>
      <w:r>
        <w:rPr>
          <w:rFonts w:ascii="Barlow Semi Condensed" w:cs="Barlow Semi Condensed" w:eastAsia="Barlow Semi Condensed" w:hAnsi="Barlow Semi Condensed"/>
          <w:b/>
          <w:bCs/>
          <w:sz w:val="24"/>
          <w:szCs w:val="24"/>
        </w:rPr>
        <w:t xml:space="preserve">Moja</w:t>
      </w:r>
      <w:r>
        <w:rPr>
          <w:rFonts w:ascii="Barlow Semi Condensed" w:cs="Barlow Semi Condensed" w:eastAsia="Barlow Semi Condensed" w:hAnsi="Barlow Semi Condensed"/>
          <w:sz w:val="24"/>
          <w:szCs w:val="24"/>
        </w:rPr>
        <w:t xml:space="preserve">» (uno), e </w:t>
      </w:r>
      <w:r>
        <w:rPr>
          <w:rFonts w:ascii="Barlow Semi Condensed" w:cs="Barlow Semi Condensed" w:eastAsia="Barlow Semi Condensed" w:hAnsi="Barlow Semi Condensed"/>
          <w:b/>
          <w:bCs/>
          <w:sz w:val="24"/>
          <w:szCs w:val="24"/>
        </w:rPr>
        <w:t xml:space="preserve">José María Martínez Tamayo</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b/>
          <w:bCs/>
          <w:sz w:val="24"/>
          <w:szCs w:val="24"/>
        </w:rPr>
        <w:t xml:space="preserve">Mbili</w:t>
      </w:r>
      <w:r>
        <w:rPr>
          <w:rFonts w:ascii="Barlow Semi Condensed" w:cs="Barlow Semi Condensed" w:eastAsia="Barlow Semi Condensed" w:hAnsi="Barlow Semi Condensed"/>
          <w:sz w:val="24"/>
          <w:szCs w:val="24"/>
        </w:rPr>
        <w:t xml:space="preserve">» (due). Guevara, cioè, si era deliberatamente collocato al terzo posto della propria gerarchia nominale: uno schermo per la sua identità (che i congolesi ignorarono per settimane) e insieme una dichiarazione di metodo — il capo rivoluzionario come istruttore, non come viceré. Il contingente crebbe fino a circa 120-150 uomini.</w:t>
      </w:r>
    </w:p>
    <w:p>
      <w:pPr>
        <w:pStyle w:val="Heading3"/>
        <w:spacing w:after="80" w:before="160"/>
      </w:pPr>
      <w:r>
        <w:rPr>
          <w:rFonts w:ascii="Barlow Semi Condensed" w:cs="Barlow Semi Condensed" w:eastAsia="Barlow Semi Condensed" w:hAnsi="Barlow Semi Condensed"/>
          <w:sz w:val="24"/>
          <w:szCs w:val="24"/>
        </w:rPr>
        <w:t xml:space="preserve">La campagna (aprile-novembre 1965): anatomia di un fallimento</w:t>
      </w:r>
    </w:p>
    <w:p>
      <w:pPr>
        <w:spacing w:after="120" w:line="276"/>
        <w:jc w:val="both"/>
      </w:pPr>
      <w:r>
        <w:rPr>
          <w:rFonts w:ascii="Barlow Semi Condensed" w:cs="Barlow Semi Condensed" w:eastAsia="Barlow Semi Condensed" w:hAnsi="Barlow Semi Condensed"/>
          <w:sz w:val="24"/>
          <w:szCs w:val="24"/>
        </w:rPr>
        <w:t xml:space="preserve">Attraversato il lago Tanganica nella notte fra il 23 e il 24 aprile 1965, il gruppo si installò sulle alture di Luluabourg sopra Kibamba, nella zona ribelle di Fizi-Baraka. I mesi successivi smentirono punto per punto le premesse della missione: i capi ribelli (Kabila su tutti) restavano a Dar es Salaam o a Il Cairo, apparendo al fronte per giorni contati; i combattenti simba, protetti dalla </w:t>
      </w:r>
      <w:r>
        <w:rPr>
          <w:rFonts w:ascii="Barlow Semi Condensed" w:cs="Barlow Semi Condensed" w:eastAsia="Barlow Semi Condensed" w:hAnsi="Barlow Semi Condensed"/>
          <w:i/>
          <w:iCs/>
          <w:sz w:val="24"/>
          <w:szCs w:val="24"/>
        </w:rPr>
        <w:t xml:space="preserve">dawa</w:t>
      </w:r>
      <w:r>
        <w:rPr>
          <w:rFonts w:ascii="Barlow Semi Condensed" w:cs="Barlow Semi Condensed" w:eastAsia="Barlow Semi Condensed" w:hAnsi="Barlow Semi Condensed"/>
          <w:sz w:val="24"/>
          <w:szCs w:val="24"/>
        </w:rPr>
        <w:t xml:space="preserve"> — il rito che li credeva immuni ai proiettili — rifiutavano l'addestramento e la disciplina; la base sociale contadina, cardine della dottrina del </w:t>
      </w:r>
      <w:r>
        <w:rPr>
          <w:rFonts w:ascii="Barlow Semi Condensed" w:cs="Barlow Semi Condensed" w:eastAsia="Barlow Semi Condensed" w:hAnsi="Barlow Semi Condensed"/>
          <w:i/>
          <w:iCs/>
          <w:sz w:val="24"/>
          <w:szCs w:val="24"/>
        </w:rPr>
        <w:t xml:space="preserve">foco</w:t>
      </w:r>
      <w:r>
        <w:rPr>
          <w:rFonts w:ascii="Barlow Semi Condensed" w:cs="Barlow Semi Condensed" w:eastAsia="Barlow Semi Condensed" w:hAnsi="Barlow Semi Condensed"/>
          <w:sz w:val="24"/>
          <w:szCs w:val="24"/>
        </w:rPr>
        <w:t xml:space="preserve">, semplicemente non esisteva. Il battesimo del fuoco, l'attacco alla guarnigione e alla centrale di </w:t>
      </w:r>
      <w:r>
        <w:rPr>
          <w:rFonts w:ascii="Barlow Semi Condensed" w:cs="Barlow Semi Condensed" w:eastAsia="Barlow Semi Condensed" w:hAnsi="Barlow Semi Condensed"/>
          <w:b/>
          <w:bCs/>
          <w:sz w:val="24"/>
          <w:szCs w:val="24"/>
        </w:rPr>
        <w:t xml:space="preserve">Front de Force/Bendera</w:t>
      </w:r>
      <w:r>
        <w:rPr>
          <w:rFonts w:ascii="Barlow Semi Condensed" w:cs="Barlow Semi Condensed" w:eastAsia="Barlow Semi Condensed" w:hAnsi="Barlow Semi Condensed"/>
          <w:sz w:val="24"/>
          <w:szCs w:val="24"/>
        </w:rPr>
        <w:t xml:space="preserve"> (fine giugno 1965), fu una disfatta: i caduti cubani lasciati sul terreno rivelarono al nemico la presenza dell'Avana nel Congo. Sull'altro fronte, il governo di Léopoldville schierò i mercenari del </w:t>
      </w:r>
      <w:r>
        <w:rPr>
          <w:rFonts w:ascii="Barlow Semi Condensed" w:cs="Barlow Semi Condensed" w:eastAsia="Barlow Semi Condensed" w:hAnsi="Barlow Semi Condensed"/>
          <w:b/>
          <w:bCs/>
          <w:sz w:val="24"/>
          <w:szCs w:val="24"/>
        </w:rPr>
        <w:t xml:space="preserve">5 Commando di Mike Hoare</w:t>
      </w:r>
      <w:r>
        <w:rPr>
          <w:rFonts w:ascii="Barlow Semi Condensed" w:cs="Barlow Semi Condensed" w:eastAsia="Barlow Semi Condensed" w:hAnsi="Barlow Semi Condensed"/>
          <w:sz w:val="24"/>
          <w:szCs w:val="24"/>
        </w:rPr>
        <w:t xml:space="preserve"> e piloti esuli cubani su incarico della CIA. In autunno l'offensiva governativa compresse la zona ribelle; il colpo politico finale venne da fuori: il 13 ottobre Kasavubu destituì Tshombe e ai primi di novembre, alla conferenza di Accra, annunciò la pacificazione, togliendo alla Tanzania ogni ragione di sostenere la retrovia ribelle. Il </w:t>
      </w:r>
      <w:r>
        <w:rPr>
          <w:rFonts w:ascii="Barlow Semi Condensed" w:cs="Barlow Semi Condensed" w:eastAsia="Barlow Semi Condensed" w:hAnsi="Barlow Semi Condensed"/>
          <w:b/>
          <w:bCs/>
          <w:sz w:val="24"/>
          <w:szCs w:val="24"/>
        </w:rPr>
        <w:t xml:space="preserve">21 novembre 1965</w:t>
      </w:r>
      <w:r>
        <w:rPr>
          <w:rFonts w:ascii="Barlow Semi Condensed" w:cs="Barlow Semi Condensed" w:eastAsia="Barlow Semi Condensed" w:hAnsi="Barlow Semi Condensed"/>
          <w:sz w:val="24"/>
          <w:szCs w:val="24"/>
        </w:rPr>
        <w:t xml:space="preserve"> Guevara riattraversò il lago con i superstiti, dopo aver rifiutato l'idea di una resistenza simbolica fino alla morte «da eroe da fumetto». L'apertura del suo diario congolese è la più impietosa autodiagnosi della letteratura guerrigliera: </w:t>
      </w:r>
      <w:r>
        <w:rPr>
          <w:rFonts w:ascii="Barlow Semi Condensed" w:cs="Barlow Semi Condensed" w:eastAsia="Barlow Semi Condensed" w:hAnsi="Barlow Semi Condensed"/>
          <w:b/>
          <w:bCs/>
          <w:sz w:val="24"/>
          <w:szCs w:val="24"/>
        </w:rPr>
        <w:t xml:space="preserve">«Questa è la storia di un fallimento.»</w:t>
      </w:r>
    </w:p>
    <w:p>
      <w:pPr>
        <w:pStyle w:val="Heading3"/>
        <w:spacing w:after="80" w:before="160"/>
      </w:pPr>
      <w:r>
        <w:rPr>
          <w:rFonts w:ascii="Barlow Semi Condensed" w:cs="Barlow Semi Condensed" w:eastAsia="Barlow Semi Condensed" w:hAnsi="Barlow Semi Condensed"/>
          <w:sz w:val="24"/>
          <w:szCs w:val="24"/>
        </w:rPr>
        <w:t xml:space="preserve">L'interregno: Dar es Salaam e Praga (novembre 1965 - luglio 1966)</w:t>
      </w:r>
    </w:p>
    <w:p>
      <w:pPr>
        <w:spacing w:after="120" w:line="276"/>
        <w:jc w:val="both"/>
      </w:pPr>
      <w:r>
        <w:rPr>
          <w:rFonts w:ascii="Barlow Semi Condensed" w:cs="Barlow Semi Condensed" w:eastAsia="Barlow Semi Condensed" w:hAnsi="Barlow Semi Condensed"/>
          <w:sz w:val="24"/>
          <w:szCs w:val="24"/>
        </w:rPr>
        <w:t xml:space="preserve">Non potendo rientrare a Cuba — la lettera d'addio, ormai pubblica, glielo impediva politicamente — Guevara trascorse circa tre mesi nascosto nell'ambasciata cubana di Dar es Salaam, dove scrisse i </w:t>
      </w:r>
      <w:r>
        <w:rPr>
          <w:rFonts w:ascii="Barlow Semi Condensed" w:cs="Barlow Semi Condensed" w:eastAsia="Barlow Semi Condensed" w:hAnsi="Barlow Semi Condensed"/>
          <w:i/>
          <w:iCs/>
          <w:sz w:val="24"/>
          <w:szCs w:val="24"/>
        </w:rPr>
        <w:t xml:space="preserve">Passaggi</w:t>
      </w:r>
      <w:r>
        <w:rPr>
          <w:rFonts w:ascii="Barlow Semi Condensed" w:cs="Barlow Semi Condensed" w:eastAsia="Barlow Semi Condensed" w:hAnsi="Barlow Semi Condensed"/>
          <w:sz w:val="24"/>
          <w:szCs w:val="24"/>
        </w:rPr>
        <w:t xml:space="preserve"> congolesi, e dal marzo 1966 in una casa sicura presso </w:t>
      </w:r>
      <w:r>
        <w:rPr>
          <w:rFonts w:ascii="Barlow Semi Condensed" w:cs="Barlow Semi Condensed" w:eastAsia="Barlow Semi Condensed" w:hAnsi="Barlow Semi Condensed"/>
          <w:b/>
          <w:bCs/>
          <w:sz w:val="24"/>
          <w:szCs w:val="24"/>
        </w:rPr>
        <w:t xml:space="preserve">Praga</w:t>
      </w:r>
      <w:r>
        <w:rPr>
          <w:rFonts w:ascii="Barlow Semi Condensed" w:cs="Barlow Semi Condensed" w:eastAsia="Barlow Semi Condensed" w:hAnsi="Barlow Semi Condensed"/>
          <w:sz w:val="24"/>
          <w:szCs w:val="24"/>
        </w:rPr>
        <w:t xml:space="preserve">, in condizioni di clandestinità e depressione operativa, mentre all'Avana Fidel premeva per il rientro. La scelta del nuovo teatro cadde sulla </w:t>
      </w:r>
      <w:r>
        <w:rPr>
          <w:rFonts w:ascii="Barlow Semi Condensed" w:cs="Barlow Semi Condensed" w:eastAsia="Barlow Semi Condensed" w:hAnsi="Barlow Semi Condensed"/>
          <w:b/>
          <w:bCs/>
          <w:sz w:val="24"/>
          <w:szCs w:val="24"/>
        </w:rPr>
        <w:t xml:space="preserve">Bolivia</w:t>
      </w:r>
      <w:r>
        <w:rPr>
          <w:rFonts w:ascii="Barlow Semi Condensed" w:cs="Barlow Semi Condensed" w:eastAsia="Barlow Semi Condensed" w:hAnsi="Barlow Semi Condensed"/>
          <w:sz w:val="24"/>
          <w:szCs w:val="24"/>
        </w:rPr>
        <w:t xml:space="preserve">: posizione continentale centrale, frontiere con cinque paesi, coerente con il progetto — formalizzato nel </w:t>
      </w:r>
      <w:r>
        <w:rPr>
          <w:rFonts w:ascii="Barlow Semi Condensed" w:cs="Barlow Semi Condensed" w:eastAsia="Barlow Semi Condensed" w:hAnsi="Barlow Semi Condensed"/>
          <w:i/>
          <w:iCs/>
          <w:sz w:val="24"/>
          <w:szCs w:val="24"/>
        </w:rPr>
        <w:t xml:space="preserve">Messaggio alla Tricontinentale</w:t>
      </w:r>
      <w:r>
        <w:rPr>
          <w:rFonts w:ascii="Barlow Semi Condensed" w:cs="Barlow Semi Condensed" w:eastAsia="Barlow Semi Condensed" w:hAnsi="Barlow Semi Condensed"/>
          <w:sz w:val="24"/>
          <w:szCs w:val="24"/>
        </w:rPr>
        <w:t xml:space="preserve"> — di «creare due, tre, molti Vietnam». Nel luglio 1966 Guevara rientrò segretamente a Cuba: nella tenuta di San Andrés de Taiguanabo (Pinar del Río) addestrò per tre mesi il nucleo dei futuri guerriglieri, in gran parte veterani della Sierra e del Congo.</w:t>
      </w:r>
    </w:p>
    <w:p>
      <w:pPr>
        <w:pStyle w:val="Heading3"/>
        <w:spacing w:after="80" w:before="160"/>
      </w:pPr>
      <w:r>
        <w:rPr>
          <w:rFonts w:ascii="Barlow Semi Condensed" w:cs="Barlow Semi Condensed" w:eastAsia="Barlow Semi Condensed" w:hAnsi="Barlow Semi Condensed"/>
          <w:sz w:val="24"/>
          <w:szCs w:val="24"/>
        </w:rPr>
        <w:t xml:space="preserve">La soglia boliviana (ottobre-novembre 1966)</w:t>
      </w:r>
    </w:p>
    <w:p>
      <w:pPr>
        <w:spacing w:after="120" w:line="276"/>
        <w:jc w:val="both"/>
      </w:pPr>
      <w:r>
        <w:rPr>
          <w:rFonts w:ascii="Barlow Semi Condensed" w:cs="Barlow Semi Condensed" w:eastAsia="Barlow Semi Condensed" w:hAnsi="Barlow Semi Condensed"/>
          <w:sz w:val="24"/>
          <w:szCs w:val="24"/>
        </w:rPr>
        <w:t xml:space="preserve">A fine ottobre 1966 lasciò Cuba irriconoscibile — calvo, occhiali, abiti da funzionario — sotto l'identità di «Adolfo Mena González», economista uruguaiano in missione per organismi interamericani, viaggiando per scali europei e sudamericani. Il </w:t>
      </w:r>
      <w:r>
        <w:rPr>
          <w:rFonts w:ascii="Barlow Semi Condensed" w:cs="Barlow Semi Condensed" w:eastAsia="Barlow Semi Condensed" w:hAnsi="Barlow Semi Condensed"/>
          <w:b/>
          <w:bCs/>
          <w:sz w:val="24"/>
          <w:szCs w:val="24"/>
        </w:rPr>
        <w:t xml:space="preserve">3 novembre 1966</w:t>
      </w:r>
      <w:r>
        <w:rPr>
          <w:rFonts w:ascii="Barlow Semi Condensed" w:cs="Barlow Semi Condensed" w:eastAsia="Barlow Semi Condensed" w:hAnsi="Barlow Semi Condensed"/>
          <w:sz w:val="24"/>
          <w:szCs w:val="24"/>
        </w:rPr>
        <w:t xml:space="preserve"> atterrò a La Paz; il </w:t>
      </w:r>
      <w:r>
        <w:rPr>
          <w:rFonts w:ascii="Barlow Semi Condensed" w:cs="Barlow Semi Condensed" w:eastAsia="Barlow Semi Condensed" w:hAnsi="Barlow Semi Condensed"/>
          <w:b/>
          <w:bCs/>
          <w:sz w:val="24"/>
          <w:szCs w:val="24"/>
        </w:rPr>
        <w:t xml:space="preserve">7 novembre</w:t>
      </w:r>
      <w:r>
        <w:rPr>
          <w:rFonts w:ascii="Barlow Semi Condensed" w:cs="Barlow Semi Condensed" w:eastAsia="Barlow Semi Condensed" w:hAnsi="Barlow Semi Condensed"/>
          <w:sz w:val="24"/>
          <w:szCs w:val="24"/>
        </w:rPr>
        <w:t xml:space="preserve"> raggiunse la fattoria di </w:t>
      </w:r>
      <w:r>
        <w:rPr>
          <w:rFonts w:ascii="Barlow Semi Condensed" w:cs="Barlow Semi Condensed" w:eastAsia="Barlow Semi Condensed" w:hAnsi="Barlow Semi Condensed"/>
          <w:b/>
          <w:bCs/>
          <w:sz w:val="24"/>
          <w:szCs w:val="24"/>
        </w:rPr>
        <w:t xml:space="preserve">Ñancahuazú</w:t>
      </w:r>
      <w:r>
        <w:rPr>
          <w:rFonts w:ascii="Barlow Semi Condensed" w:cs="Barlow Semi Condensed" w:eastAsia="Barlow Semi Condensed" w:hAnsi="Barlow Semi Condensed"/>
          <w:sz w:val="24"/>
          <w:szCs w:val="24"/>
        </w:rPr>
        <w:t xml:space="preserve">, la base acquistata dalla rete urbana sul fiume omonimo, e aprì il diario boliviano: </w:t>
      </w:r>
      <w:r>
        <w:rPr>
          <w:rFonts w:ascii="Barlow Semi Condensed" w:cs="Barlow Semi Condensed" w:eastAsia="Barlow Semi Condensed" w:hAnsi="Barlow Semi Condensed"/>
          <w:i/>
          <w:iCs/>
          <w:sz w:val="24"/>
          <w:szCs w:val="24"/>
        </w:rPr>
        <w:t xml:space="preserve">«Oggi comincia una nuova tappa.»</w:t>
      </w:r>
      <w:r>
        <w:rPr>
          <w:rFonts w:ascii="Barlow Semi Condensed" w:cs="Barlow Semi Condensed" w:eastAsia="Barlow Semi Condensed" w:hAnsi="Barlow Semi Condensed"/>
          <w:sz w:val="24"/>
          <w:szCs w:val="24"/>
        </w:rPr>
        <w:t xml:space="preserve"> Qui — alla soglia dell'infiltrazione, nel novembre 1966 — si chiude il perimetro cronologico del presente rapporto: la campagna boliviana, la cattura dell'8 ottobre 1967 alla Quebrada del Yuro e l'esecuzione di La Higuera appartengono al capitolo successivo del corpus.</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Note di revisione</w:t>
      </w:r>
    </w:p>
    <w:p>
      <w:pPr>
        <w:spacing w:after="120" w:line="276"/>
        <w:jc w:val="both"/>
      </w:pPr>
      <w:r>
        <w:rPr>
          <w:rFonts w:ascii="Barlow Semi Condensed" w:cs="Barlow Semi Condensed" w:eastAsia="Barlow Semi Condensed" w:hAnsi="Barlow Semi Condensed"/>
          <w:sz w:val="24"/>
          <w:szCs w:val="24"/>
        </w:rPr>
        <w:t xml:space="preserve">Correzioni apportate alla stesura originale in seguito alla triangolazione delle fonti (cfr. </w:t>
      </w:r>
      <w:r>
        <w:rPr>
          <w:rFonts w:ascii="Barlow Semi Condensed" w:cs="Barlow Semi Condensed" w:eastAsia="Barlow Semi Condensed" w:hAnsi="Barlow Semi Condensed"/>
          <w:i/>
          <w:iCs/>
          <w:sz w:val="24"/>
          <w:szCs w:val="24"/>
        </w:rPr>
        <w:t xml:space="preserve">triangolazioni-guevara-moro.md</w:t>
      </w:r>
      <w:r>
        <w:rPr>
          <w:rFonts w:ascii="Barlow Semi Condensed" w:cs="Barlow Semi Condensed" w:eastAsia="Barlow Semi Condensed" w:hAnsi="Barlow Semi Condensed"/>
          <w:sz w:val="24"/>
          <w:szCs w:val="24"/>
        </w:rPr>
        <w:t xml:space="preserve">, §2.2).</w:t>
      </w:r>
    </w:p>
    <w:p>
      <w:pPr>
        <w:spacing w:after="40"/>
        <w:ind w:left="360"/>
        <w:jc w:val="both"/>
      </w:pPr>
      <w:r>
        <w:rPr>
          <w:rFonts w:ascii="Barlow Semi Condensed" w:cs="Barlow Semi Condensed" w:eastAsia="Barlow Semi Condensed" w:hAnsi="Barlow Semi Condensed"/>
          <w:sz w:val="24"/>
          <w:szCs w:val="24"/>
        </w:rPr>
        <w:t xml:space="preserve">1. </w:t>
      </w:r>
      <w:r>
        <w:rPr>
          <w:rFonts w:ascii="Barlow Semi Condensed" w:cs="Barlow Semi Condensed" w:eastAsia="Barlow Semi Condensed" w:hAnsi="Barlow Semi Condensed"/>
          <w:b/>
          <w:bCs/>
          <w:sz w:val="24"/>
          <w:szCs w:val="24"/>
        </w:rPr>
        <w:t xml:space="preserve">Cariche ricoperte nel dicembre 1964.</w:t>
      </w:r>
      <w:r>
        <w:rPr>
          <w:rFonts w:ascii="Barlow Semi Condensed" w:cs="Barlow Semi Condensed" w:eastAsia="Barlow Semi Condensed" w:hAnsi="Barlow Semi Condensed"/>
          <w:sz w:val="24"/>
          <w:szCs w:val="24"/>
        </w:rPr>
        <w:t xml:space="preserve"> La stesura originale attribuiva a Guevara, all'epoca del discorso all'ONU, la titolarità simultanea del Ministero dell'Industria e della presidenza della Banca Nazionale di Cuba. Si tratta di un anacronismo: Guevara presiedette il Banco Nacional de Cuba dal 26 novembre 1959 per circa quindici mesi, lasciando l'incarico nel febbraio 1961 proprio in coincidenza con la nomina a Ministro dell'Industria, unica carica da lui ricoperta nel 1964.</w:t>
      </w:r>
    </w:p>
    <w:p>
      <w:pPr>
        <w:spacing w:after="40"/>
        <w:ind w:left="360"/>
        <w:jc w:val="both"/>
      </w:pPr>
      <w:r>
        <w:rPr>
          <w:rFonts w:ascii="Barlow Semi Condensed" w:cs="Barlow Semi Condensed" w:eastAsia="Barlow Semi Condensed" w:hAnsi="Barlow Semi Condensed"/>
          <w:sz w:val="24"/>
          <w:szCs w:val="24"/>
        </w:rPr>
        <w:t xml:space="preserve">2. </w:t>
      </w:r>
      <w:r>
        <w:rPr>
          <w:rFonts w:ascii="Barlow Semi Condensed" w:cs="Barlow Semi Condensed" w:eastAsia="Barlow Semi Condensed" w:hAnsi="Barlow Semi Condensed"/>
          <w:b/>
          <w:bCs/>
          <w:sz w:val="24"/>
          <w:szCs w:val="24"/>
        </w:rPr>
        <w:t xml:space="preserve">Dinamica dell'attentato con il bazooka.</w:t>
      </w:r>
      <w:r>
        <w:rPr>
          <w:rFonts w:ascii="Barlow Semi Condensed" w:cs="Barlow Semi Condensed" w:eastAsia="Barlow Semi Condensed" w:hAnsi="Barlow Semi Condensed"/>
          <w:sz w:val="24"/>
          <w:szCs w:val="24"/>
        </w:rPr>
        <w:t xml:space="preserve"> La stesura originale collocava il lancio su un'imbarcazione posizionata sull'East River. Le fonti coeve e la ricostruzione storica concordano invece nell'indicare come punto di tiro un terreno abbandonato di Long Island City, sulla riva opposta del fiume; il proiettile cadde in acqua a circa duecento iarde dal Palazzo di Vetro. Restano confermati la data (11 dicembre 1964), l'attribuzione a Guillermo e Ignacio Novo con Julio Pérez, e il concomitante tentativo di Molly Gonzales con un coltello da caccia.</w:t>
      </w:r>
    </w:p>
    <w:p>
      <w:pPr>
        <w:spacing w:after="40"/>
        <w:ind w:left="360"/>
        <w:jc w:val="both"/>
      </w:pPr>
      <w:r>
        <w:rPr>
          <w:rFonts w:ascii="Barlow Semi Condensed" w:cs="Barlow Semi Condensed" w:eastAsia="Barlow Semi Condensed" w:hAnsi="Barlow Semi Condensed"/>
          <w:sz w:val="24"/>
          <w:szCs w:val="24"/>
        </w:rPr>
        <w:t xml:space="preserve">3. </w:t>
      </w:r>
      <w:r>
        <w:rPr>
          <w:rFonts w:ascii="Barlow Semi Condensed" w:cs="Barlow Semi Condensed" w:eastAsia="Barlow Semi Condensed" w:hAnsi="Barlow Semi Condensed"/>
          <w:b/>
          <w:bCs/>
          <w:sz w:val="24"/>
          <w:szCs w:val="24"/>
        </w:rPr>
        <w:t xml:space="preserve">Rapporto con Malcolm X.</w:t>
      </w:r>
      <w:r>
        <w:rPr>
          <w:rFonts w:ascii="Barlow Semi Condensed" w:cs="Barlow Semi Condensed" w:eastAsia="Barlow Semi Condensed" w:hAnsi="Barlow Semi Condensed"/>
          <w:sz w:val="24"/>
          <w:szCs w:val="24"/>
        </w:rPr>
        <w:t xml:space="preserve"> La stesura originale riferiva di un "incontro privato" fra i due. Le fonti documentano invece che Guevara, invitato all'Audubon Ballroom dall'Organization of Afro-American Unity, declinò per ragioni di sicurezza e inviò un messaggio scritto, letto in sala da Malcolm X il 13 dicembre 1964. Non risulta alcun incontro diretto. La fonte originariamente citata (una copia su Scribd) è stata sostituita.</w:t>
      </w:r>
    </w:p>
    <w:p>
      <w:pPr>
        <w:spacing w:after="40"/>
        <w:ind w:left="360"/>
        <w:jc w:val="both"/>
      </w:pPr>
      <w:r>
        <w:rPr>
          <w:rFonts w:ascii="Barlow Semi Condensed" w:cs="Barlow Semi Condensed" w:eastAsia="Barlow Semi Condensed" w:hAnsi="Barlow Semi Condensed"/>
          <w:sz w:val="24"/>
          <w:szCs w:val="24"/>
        </w:rPr>
        <w:t xml:space="preserve">4. </w:t>
      </w:r>
      <w:r>
        <w:rPr>
          <w:rFonts w:ascii="Barlow Semi Condensed" w:cs="Barlow Semi Condensed" w:eastAsia="Barlow Semi Condensed" w:hAnsi="Barlow Semi Condensed"/>
          <w:b/>
          <w:bCs/>
          <w:sz w:val="24"/>
          <w:szCs w:val="24"/>
        </w:rPr>
        <w:t xml:space="preserve">Ipotesi CIA sugli inalatori.</w:t>
      </w:r>
      <w:r>
        <w:rPr>
          <w:rFonts w:ascii="Barlow Semi Condensed" w:cs="Barlow Semi Condensed" w:eastAsia="Barlow Semi Condensed" w:hAnsi="Barlow Semi Condensed"/>
          <w:sz w:val="24"/>
          <w:szCs w:val="24"/>
        </w:rPr>
        <w:t xml:space="preserve"> Il volume di Michael Ratner e Michael Steven Smith fondato sui documenti declassificati esiste ed è attendibile, ma lo specifico dettaglio del sabotaggio degli inalatori è stato tratto da una fonte secondaria di terza mano: il passaggio è stato marcato come da riscontrare sul testo originale.</w:t>
      </w:r>
    </w:p>
    <w:p>
      <w:pPr>
        <w:spacing w:after="40"/>
        <w:ind w:left="360"/>
        <w:jc w:val="both"/>
      </w:pPr>
      <w:r>
        <w:rPr>
          <w:rFonts w:ascii="Barlow Semi Condensed" w:cs="Barlow Semi Condensed" w:eastAsia="Barlow Semi Condensed" w:hAnsi="Barlow Semi Condensed"/>
          <w:sz w:val="24"/>
          <w:szCs w:val="24"/>
        </w:rPr>
        <w:t xml:space="preserve">5. </w:t>
      </w:r>
      <w:r>
        <w:rPr>
          <w:rFonts w:ascii="Barlow Semi Condensed" w:cs="Barlow Semi Condensed" w:eastAsia="Barlow Semi Condensed" w:hAnsi="Barlow Semi Condensed"/>
          <w:b/>
          <w:bCs/>
          <w:sz w:val="24"/>
          <w:szCs w:val="24"/>
        </w:rPr>
        <w:t xml:space="preserve">Dato dei 1.323 atti di sovversione.</w:t>
      </w:r>
      <w:r>
        <w:rPr>
          <w:rFonts w:ascii="Barlow Semi Condensed" w:cs="Barlow Semi Condensed" w:eastAsia="Barlow Semi Condensed" w:hAnsi="Barlow Semi Condensed"/>
          <w:sz w:val="24"/>
          <w:szCs w:val="24"/>
        </w:rPr>
        <w:t xml:space="preserve"> Proviene dalla biografia sovietica di Lavretski, fonte di parte e non riscontrata da altre ricostruzioni: il testo lo attribuisce ora esplicitamente a quella fonte anziché presentarlo come dato acquisito. La medesima cautela vale per la notizia della presenza di Mikoyan all'Avana nel marzo 1965, che risale alla stessa fonte.</w:t>
      </w:r>
    </w:p>
    <w:p>
      <w:pPr>
        <w:spacing w:after="120" w:line="276"/>
        <w:jc w:val="both"/>
      </w:pPr>
      <w:r>
        <w:rPr>
          <w:rFonts w:ascii="Barlow Semi Condensed" w:cs="Barlow Semi Condensed" w:eastAsia="Barlow Semi Condensed" w:hAnsi="Barlow Semi Condensed"/>
          <w:sz w:val="24"/>
          <w:szCs w:val="24"/>
        </w:rPr>
        <w:t xml:space="preserve">Altra correzione puntuale applicata senza nota estesa: Moise Tshombe nel luglio 1964 fu </w:t>
      </w:r>
      <w:r>
        <w:rPr>
          <w:rFonts w:ascii="Barlow Semi Condensed" w:cs="Barlow Semi Condensed" w:eastAsia="Barlow Semi Condensed" w:hAnsi="Barlow Semi Condensed"/>
          <w:b/>
          <w:bCs/>
          <w:sz w:val="24"/>
          <w:szCs w:val="24"/>
        </w:rPr>
        <w:t xml:space="preserve">nominato primo ministro</w:t>
      </w:r>
      <w:r>
        <w:rPr>
          <w:rFonts w:ascii="Barlow Semi Condensed" w:cs="Barlow Semi Condensed" w:eastAsia="Barlow Semi Condensed" w:hAnsi="Barlow Semi Condensed"/>
          <w:sz w:val="24"/>
          <w:szCs w:val="24"/>
        </w:rPr>
        <w:t xml:space="preserve"> del Congo, non "prese il potere" con un atto di forza.</w:t>
      </w:r>
    </w:p>
    <w:p>
      <w:pPr>
        <w:spacing w:after="120" w:line="276"/>
        <w:jc w:val="both"/>
      </w:pPr>
      <w:r>
        <w:rPr>
          <w:rFonts w:ascii="Barlow Semi Condensed" w:cs="Barlow Semi Condensed" w:eastAsia="Barlow Semi Condensed" w:hAnsi="Barlow Semi Condensed"/>
          <w:b/>
          <w:bCs/>
          <w:sz w:val="24"/>
          <w:szCs w:val="24"/>
        </w:rPr>
        <w:t xml:space="preserve">Fonti deboli sostituite (revisione del 24 agosto 2026).</w:t>
      </w:r>
      <w:r>
        <w:rPr>
          <w:rFonts w:ascii="Barlow Semi Condensed" w:cs="Barlow Semi Condensed" w:eastAsia="Barlow Semi Condensed" w:hAnsi="Barlow Semi Condensed"/>
          <w:sz w:val="24"/>
          <w:szCs w:val="24"/>
        </w:rPr>
        <w:t xml:space="preserve"> Tutti i rimandi di qualità insufficiente presenti nella stesura originale sono stati sostituiti con fonti solide: il PDF su CDN anonimo (strikinglycdn) per </w:t>
      </w:r>
      <w:r>
        <w:rPr>
          <w:rFonts w:ascii="Barlow Semi Condensed" w:cs="Barlow Semi Condensed" w:eastAsia="Barlow Semi Condensed" w:hAnsi="Barlow Semi Condensed"/>
          <w:i/>
          <w:iCs/>
          <w:sz w:val="24"/>
          <w:szCs w:val="24"/>
        </w:rPr>
        <w:t xml:space="preserve">Face the Nation</w:t>
      </w:r>
      <w:r>
        <w:rPr>
          <w:rFonts w:ascii="Barlow Semi Condensed" w:cs="Barlow Semi Condensed" w:eastAsia="Barlow Semi Condensed" w:hAnsi="Barlow Semi Condensed"/>
          <w:sz w:val="24"/>
          <w:szCs w:val="24"/>
        </w:rPr>
        <w:t xml:space="preserve"> con l'archivio CBS; i testi del discorso di Algeri e della lettera d'addio con il </w:t>
      </w:r>
      <w:r>
        <w:rPr>
          <w:rFonts w:ascii="Barlow Semi Condensed" w:cs="Barlow Semi Condensed" w:eastAsia="Barlow Semi Condensed" w:hAnsi="Barlow Semi Condensed"/>
          <w:b/>
          <w:bCs/>
          <w:sz w:val="24"/>
          <w:szCs w:val="24"/>
        </w:rPr>
        <w:t xml:space="preserve">Marxists Internet Archive</w:t>
      </w:r>
      <w:r>
        <w:rPr>
          <w:rFonts w:ascii="Barlow Semi Condensed" w:cs="Barlow Semi Condensed" w:eastAsia="Barlow Semi Condensed" w:hAnsi="Barlow Semi Condensed"/>
          <w:sz w:val="24"/>
          <w:szCs w:val="24"/>
        </w:rPr>
        <w:t xml:space="preserve"> (fonti primarie); il discorso all'ONU con Marxists Internet Archive e Smithsonian Folkways; il pamphlet militante di Nicolás Márquez (via academia.edu) e la biografia sovietica di Lavretski (via Scribd) rispettivamente con Jon Lee Anderson e con la citazione diretta di Lavretski marcata come fonte di parte non riscontrata; i rimandi al Congo (rebelion.org) con Jacobin e ROAPE; il fandom wiki con le fonti primarie corrispondenti. Restano in nota, e solo come tali, i due dati che poggiano sulla sola biografia di Lavretski (la presenza di Mikoyan e i 1.323 atti di sovversione), esplicitamente segnalati come non riscontrati.</w:t>
      </w:r>
    </w:p>
    <w:p>
      <w:pPr>
        <w:pStyle w:val="Heading3"/>
        <w:spacing w:after="80" w:before="240"/>
      </w:pPr>
      <w:r>
        <w:rPr>
          <w:rFonts w:ascii="Barlow Semi Condensed" w:cs="Barlow Semi Condensed" w:eastAsia="Barlow Semi Condensed" w:hAnsi="Barlow Semi Condensed"/>
          <w:sz w:val="24"/>
          <w:szCs w:val="24"/>
        </w:rPr>
        <w:t xml:space="preserve">Apparato grafico — Libro terzo · Da Mosca alla Bolivia</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Libro terzo III: 3.163 parole in 7 sezioni; la più ampia è §6 La Discesa nella Fornace Congolese (Aprile, con 865.</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Libro terzo III: 23 indirizzi di fonte citati, addensati in 5 sezioni su 7.</w:t>
      </w:r>
    </w:p>
    <w:p>
      <w:pPr>
        <w:spacing w:after="120"/>
        <w:jc w:val="center"/>
      </w:pPr>
      <w:r>
        <w:rPr>
          <w:rFonts w:ascii="Barlow Semi Condensed" w:cs="Barlow Semi Condensed" w:eastAsia="Barlow Semi Condensed" w:hAnsi="Barlow Semi Condensed"/>
          <w:color w:val="777777"/>
          <w:sz w:val="16"/>
          <w:szCs w:val="16"/>
        </w:rPr>
        <w:t xml:space="preserve">Le metriche dell'apparato contano parole, documenti e atti — mai colpe.</w:t>
      </w:r>
    </w:p>
    <w:p>
      <w:r>
        <w:br w:type="page"/>
      </w:r>
    </w:p>
    <w:p>
      <w:pPr>
        <w:pStyle w:val="Heading1"/>
        <w:spacing w:after="120" w:before="240"/>
      </w:pPr>
      <w:r>
        <w:rPr>
          <w:rFonts w:ascii="Barlow Semi Condensed" w:cs="Barlow Semi Condensed" w:eastAsia="Barlow Semi Condensed" w:hAnsi="Barlow Semi Condensed"/>
          <w:sz w:val="24"/>
          <w:szCs w:val="24"/>
        </w:rPr>
        <w:t xml:space="preserve">Libro terzo — La parabola di Guevara — IV. La campagna boliviana</w:t>
      </w:r>
    </w:p>
    <w:p>
      <w:pPr>
        <w:pStyle w:val="Heading1"/>
        <w:spacing w:after="120" w:before="240"/>
      </w:pPr>
      <w:r>
        <w:rPr>
          <w:rFonts w:ascii="Barlow Semi Condensed" w:cs="Barlow Semi Condensed" w:eastAsia="Barlow Semi Condensed" w:hAnsi="Barlow Semi Condensed"/>
          <w:sz w:val="24"/>
          <w:szCs w:val="24"/>
        </w:rPr>
        <w:t xml:space="preserve">Ernesto Guevara: la campagna boliviana e la fine (novembre 1966 – ottobre 1967)</w:t>
      </w:r>
    </w:p>
    <w:p>
      <w:pPr>
        <w:spacing w:after="120" w:line="276"/>
        <w:jc w:val="both"/>
      </w:pPr>
      <w:r>
        <w:rPr>
          <w:rFonts w:ascii="Barlow Semi Condensed" w:cs="Barlow Semi Condensed" w:eastAsia="Barlow Semi Condensed" w:hAnsi="Barlow Semi Condensed"/>
          <w:i/>
          <w:iCs/>
          <w:sz w:val="24"/>
          <w:szCs w:val="24"/>
        </w:rPr>
        <w:t xml:space="preserve">Capitolo conclusivo del corpus guevariano — 24 agosto 2026</w:t>
      </w:r>
    </w:p>
    <w:p>
      <w:pPr>
        <w:pBdr>
          <w:left w:val="single" w:color="1F3864" w:sz="18" w:space="8"/>
        </w:pBdr>
        <w:spacing w:after="80" w:before="80"/>
        <w:ind w:left="360" w:right="360"/>
        <w:jc w:val="both"/>
      </w:pPr>
      <w:r>
        <w:rPr>
          <w:rFonts w:ascii="Barlow Semi Condensed" w:cs="Barlow Semi Condensed" w:eastAsia="Barlow Semi Condensed" w:hAnsi="Barlow Semi Condensed"/>
          <w:b/>
          <w:bCs/>
          <w:i w:val="false"/>
          <w:iCs w:val="false"/>
          <w:sz w:val="24"/>
          <w:szCs w:val="24"/>
        </w:rPr>
        <w:t xml:space="preserve">Statuto del capitolo.</w:t>
      </w:r>
      <w:r>
        <w:rPr>
          <w:rFonts w:ascii="Barlow Semi Condensed" w:cs="Barlow Semi Condensed" w:eastAsia="Barlow Semi Condensed" w:hAnsi="Barlow Semi Condensed"/>
          <w:i w:val="false"/>
          <w:iCs w:val="false"/>
          <w:sz w:val="24"/>
          <w:szCs w:val="24"/>
        </w:rPr>
        <w:t xml:space="preserve"> Questo capitolo completa la parabola di Ernesto Guevara raccordandosi esattamente alla soglia dove il terzo studio del corpus — «Dal Viaggio a Mosca alla Campagna Boliviana» — si era interrotto: Ñancahuazú, 7 novembre 1966, «Oggi comincia una nuova tappa». È redatto su cronologia storiografica consolidata (il </w:t>
      </w:r>
      <w:r>
        <w:rPr>
          <w:rFonts w:ascii="Barlow Semi Condensed" w:cs="Barlow Semi Condensed" w:eastAsia="Barlow Semi Condensed" w:hAnsi="Barlow Semi Condensed"/>
          <w:i w:val="false"/>
          <w:iCs w:val="false"/>
          <w:sz w:val="24"/>
          <w:szCs w:val="24"/>
        </w:rPr>
        <w:t xml:space="preserve">Diario del Che in Bolivia</w:t>
      </w:r>
      <w:r>
        <w:rPr>
          <w:rFonts w:ascii="Barlow Semi Condensed" w:cs="Barlow Semi Condensed" w:eastAsia="Barlow Semi Condensed" w:hAnsi="Barlow Semi Condensed"/>
          <w:i w:val="false"/>
          <w:iCs w:val="false"/>
          <w:sz w:val="24"/>
          <w:szCs w:val="24"/>
        </w:rPr>
        <w:t xml:space="preserve">; Anderson; Taibo II; la documentazione declassificata statunitense e boliviana), con le date verificate. Le cifre controverse sono date come tali.</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I. La base di Ñancahuazú e l'errore geografico (novembre 1966 – marzo 1967)</w:t>
      </w:r>
    </w:p>
    <w:p>
      <w:pPr>
        <w:spacing w:after="120" w:line="276"/>
        <w:jc w:val="both"/>
      </w:pPr>
      <w:r>
        <w:rPr>
          <w:rFonts w:ascii="Barlow Semi Condensed" w:cs="Barlow Semi Condensed" w:eastAsia="Barlow Semi Condensed" w:hAnsi="Barlow Semi Condensed"/>
          <w:sz w:val="24"/>
          <w:szCs w:val="24"/>
        </w:rPr>
        <w:t xml:space="preserve">Nella fattoria di Ñancahuazú, sul fiume omonimo a sud-est di Santa Cruz, Guevara — ancora sotto l'identità di «Adolfo Mena González» — radunò nei primi mesi una colonna che, al suo massimo, contò poco più di </w:t>
      </w:r>
      <w:r>
        <w:rPr>
          <w:rFonts w:ascii="Barlow Semi Condensed" w:cs="Barlow Semi Condensed" w:eastAsia="Barlow Semi Condensed" w:hAnsi="Barlow Semi Condensed"/>
          <w:b/>
          <w:bCs/>
          <w:sz w:val="24"/>
          <w:szCs w:val="24"/>
        </w:rPr>
        <w:t xml:space="preserve">cinquanta uomini</w:t>
      </w:r>
      <w:r>
        <w:rPr>
          <w:rFonts w:ascii="Barlow Semi Condensed" w:cs="Barlow Semi Condensed" w:eastAsia="Barlow Semi Condensed" w:hAnsi="Barlow Semi Condensed"/>
          <w:sz w:val="24"/>
          <w:szCs w:val="24"/>
        </w:rPr>
        <w:t xml:space="preserve">: una ventina di cubani, una trentina di boliviani, tre peruviani e la militante di origine tedesco-orientale </w:t>
      </w:r>
      <w:r>
        <w:rPr>
          <w:rFonts w:ascii="Barlow Semi Condensed" w:cs="Barlow Semi Condensed" w:eastAsia="Barlow Semi Condensed" w:hAnsi="Barlow Semi Condensed"/>
          <w:b/>
          <w:bCs/>
          <w:sz w:val="24"/>
          <w:szCs w:val="24"/>
        </w:rPr>
        <w:t xml:space="preserve">Tamara Bunke, «Tania»</w:t>
      </w:r>
      <w:r>
        <w:rPr>
          <w:rFonts w:ascii="Barlow Semi Condensed" w:cs="Barlow Semi Condensed" w:eastAsia="Barlow Semi Condensed" w:hAnsi="Barlow Semi Condensed"/>
          <w:sz w:val="24"/>
          <w:szCs w:val="24"/>
        </w:rPr>
        <w:t xml:space="preserve">. L'organizzazione prese il nome di </w:t>
      </w:r>
      <w:r>
        <w:rPr>
          <w:rFonts w:ascii="Barlow Semi Condensed" w:cs="Barlow Semi Condensed" w:eastAsia="Barlow Semi Condensed" w:hAnsi="Barlow Semi Condensed"/>
          <w:b/>
          <w:bCs/>
          <w:sz w:val="24"/>
          <w:szCs w:val="24"/>
        </w:rPr>
        <w:t xml:space="preserve">Ejército de Liberación Nacional</w:t>
      </w:r>
      <w:r>
        <w:rPr>
          <w:rFonts w:ascii="Barlow Semi Condensed" w:cs="Barlow Semi Condensed" w:eastAsia="Barlow Semi Condensed" w:hAnsi="Barlow Semi Condensed"/>
          <w:sz w:val="24"/>
          <w:szCs w:val="24"/>
        </w:rPr>
        <w:t xml:space="preserve"> (ELN) di Bolivia.</w:t>
      </w:r>
    </w:p>
    <w:p>
      <w:pPr>
        <w:spacing w:after="120" w:line="276"/>
        <w:jc w:val="both"/>
      </w:pPr>
      <w:r>
        <w:rPr>
          <w:rFonts w:ascii="Barlow Semi Condensed" w:cs="Barlow Semi Condensed" w:eastAsia="Barlow Semi Condensed" w:hAnsi="Barlow Semi Condensed"/>
          <w:sz w:val="24"/>
          <w:szCs w:val="24"/>
        </w:rPr>
        <w:t xml:space="preserve">Il primo errore fu geografico e strategico insieme. La zona scelta — arida, spopolata, lontana dai centri minerari del PCB e dalle regioni contadine più densamente abitate — non offriva la base sociale che la dottrina del </w:t>
      </w:r>
      <w:r>
        <w:rPr>
          <w:rFonts w:ascii="Barlow Semi Condensed" w:cs="Barlow Semi Condensed" w:eastAsia="Barlow Semi Condensed" w:hAnsi="Barlow Semi Condensed"/>
          <w:i/>
          <w:iCs/>
          <w:sz w:val="24"/>
          <w:szCs w:val="24"/>
        </w:rPr>
        <w:t xml:space="preserve">foco</w:t>
      </w:r>
      <w:r>
        <w:rPr>
          <w:rFonts w:ascii="Barlow Semi Condensed" w:cs="Barlow Semi Condensed" w:eastAsia="Barlow Semi Condensed" w:hAnsi="Barlow Semi Condensed"/>
          <w:sz w:val="24"/>
          <w:szCs w:val="24"/>
        </w:rPr>
        <w:t xml:space="preserve"> presupponeva. Era terra di frontiera, non di popolo: la stessa smentita che il Congo aveva già opposto alla teoria, riproposta ora in altra forma. La truppa passò i primi mesi in esplorazioni e addestramento, in condizioni durissime, prima ancora di combattere.</w:t>
      </w:r>
    </w:p>
    <w:p>
      <w:pPr>
        <w:pStyle w:val="Heading2"/>
        <w:spacing w:after="100" w:before="200"/>
      </w:pPr>
      <w:r>
        <w:rPr>
          <w:rFonts w:ascii="Barlow Semi Condensed" w:cs="Barlow Semi Condensed" w:eastAsia="Barlow Semi Condensed" w:hAnsi="Barlow Semi Condensed"/>
          <w:sz w:val="24"/>
          <w:szCs w:val="24"/>
        </w:rPr>
        <w:t xml:space="preserve">II. La rottura con il Partito Comunista Boliviano (dicembre 1966 – gennaio 1967)</w:t>
      </w:r>
    </w:p>
    <w:p>
      <w:pPr>
        <w:spacing w:after="120" w:line="276"/>
        <w:jc w:val="both"/>
      </w:pPr>
      <w:r>
        <w:rPr>
          <w:rFonts w:ascii="Barlow Semi Condensed" w:cs="Barlow Semi Condensed" w:eastAsia="Barlow Semi Condensed" w:hAnsi="Barlow Semi Condensed"/>
          <w:sz w:val="24"/>
          <w:szCs w:val="24"/>
        </w:rPr>
        <w:t xml:space="preserve">Lo snodo politico decisivo fu la rottura con il </w:t>
      </w:r>
      <w:r>
        <w:rPr>
          <w:rFonts w:ascii="Barlow Semi Condensed" w:cs="Barlow Semi Condensed" w:eastAsia="Barlow Semi Condensed" w:hAnsi="Barlow Semi Condensed"/>
          <w:b/>
          <w:bCs/>
          <w:sz w:val="24"/>
          <w:szCs w:val="24"/>
        </w:rPr>
        <w:t xml:space="preserve">Partito Comunista Boliviano</w:t>
      </w:r>
      <w:r>
        <w:rPr>
          <w:rFonts w:ascii="Barlow Semi Condensed" w:cs="Barlow Semi Condensed" w:eastAsia="Barlow Semi Condensed" w:hAnsi="Barlow Semi Condensed"/>
          <w:sz w:val="24"/>
          <w:szCs w:val="24"/>
        </w:rPr>
        <w:t xml:space="preserve">. Il 31 dicembre 1966 il segretario generale del PCB, </w:t>
      </w:r>
      <w:r>
        <w:rPr>
          <w:rFonts w:ascii="Barlow Semi Condensed" w:cs="Barlow Semi Condensed" w:eastAsia="Barlow Semi Condensed" w:hAnsi="Barlow Semi Condensed"/>
          <w:b/>
          <w:bCs/>
          <w:sz w:val="24"/>
          <w:szCs w:val="24"/>
        </w:rPr>
        <w:t xml:space="preserve">Mario Monje</w:t>
      </w:r>
      <w:r>
        <w:rPr>
          <w:rFonts w:ascii="Barlow Semi Condensed" w:cs="Barlow Semi Condensed" w:eastAsia="Barlow Semi Condensed" w:hAnsi="Barlow Semi Condensed"/>
          <w:sz w:val="24"/>
          <w:szCs w:val="24"/>
        </w:rPr>
        <w:t xml:space="preserve">, salì all'accampamento per un incontro di strategia. Il dissidio esplose sul comando: Monje pretendeva la direzione politica e militare della guerriglia sul suolo boliviano; Guevara rifiutò, riservando a sé il comando militare. La frattura fu </w:t>
      </w:r>
      <w:r>
        <w:rPr>
          <w:rFonts w:ascii="Barlow Semi Condensed" w:cs="Barlow Semi Condensed" w:eastAsia="Barlow Semi Condensed" w:hAnsi="Barlow Semi Condensed"/>
          <w:b/>
          <w:bCs/>
          <w:sz w:val="24"/>
          <w:szCs w:val="24"/>
        </w:rPr>
        <w:t xml:space="preserve">irreversibile</w:t>
      </w:r>
      <w:r>
        <w:rPr>
          <w:rFonts w:ascii="Barlow Semi Condensed" w:cs="Barlow Semi Condensed" w:eastAsia="Barlow Semi Condensed" w:hAnsi="Barlow Semi Condensed"/>
          <w:sz w:val="24"/>
          <w:szCs w:val="24"/>
        </w:rPr>
        <w:t xml:space="preserve"> e operante dal gennaio 1967: il PCB negò l'appoggio organizzativo e la rete urbana promessa, e la guerriglia si trovò, fin dall'inizio, </w:t>
      </w:r>
      <w:r>
        <w:rPr>
          <w:rFonts w:ascii="Barlow Semi Condensed" w:cs="Barlow Semi Condensed" w:eastAsia="Barlow Semi Condensed" w:hAnsi="Barlow Semi Condensed"/>
          <w:b/>
          <w:bCs/>
          <w:sz w:val="24"/>
          <w:szCs w:val="24"/>
        </w:rPr>
        <w:t xml:space="preserve">priva del sostegno del solo apparato che avrebbe potuto darle radici</w:t>
      </w:r>
      <w:r>
        <w:rPr>
          <w:rFonts w:ascii="Barlow Semi Condensed" w:cs="Barlow Semi Condensed" w:eastAsia="Barlow Semi Condensed" w:hAnsi="Barlow Semi Condensed"/>
          <w:sz w:val="24"/>
          <w:szCs w:val="24"/>
        </w:rPr>
        <w:t xml:space="preserve"> nel paese. Fidel Castro descrisse la richiesta di Monje come un pretesto per sottrarsi all'impegno; i quadri boliviani rimasti con Guevara — i fratelli </w:t>
      </w:r>
      <w:r>
        <w:rPr>
          <w:rFonts w:ascii="Barlow Semi Condensed" w:cs="Barlow Semi Condensed" w:eastAsia="Barlow Semi Condensed" w:hAnsi="Barlow Semi Condensed"/>
          <w:b/>
          <w:bCs/>
          <w:sz w:val="24"/>
          <w:szCs w:val="24"/>
        </w:rPr>
        <w:t xml:space="preserve">Inti</w:t>
      </w:r>
      <w:r>
        <w:rPr>
          <w:rFonts w:ascii="Barlow Semi Condensed" w:cs="Barlow Semi Condensed" w:eastAsia="Barlow Semi Condensed" w:hAnsi="Barlow Semi Condensed"/>
          <w:sz w:val="24"/>
          <w:szCs w:val="24"/>
        </w:rPr>
        <w:t xml:space="preserve"> e </w:t>
      </w:r>
      <w:r>
        <w:rPr>
          <w:rFonts w:ascii="Barlow Semi Condensed" w:cs="Barlow Semi Condensed" w:eastAsia="Barlow Semi Condensed" w:hAnsi="Barlow Semi Condensed"/>
          <w:b/>
          <w:bCs/>
          <w:sz w:val="24"/>
          <w:szCs w:val="24"/>
        </w:rPr>
        <w:t xml:space="preserve">Coco Peredo</w:t>
      </w:r>
      <w:r>
        <w:rPr>
          <w:rFonts w:ascii="Barlow Semi Condensed" w:cs="Barlow Semi Condensed" w:eastAsia="Barlow Semi Condensed" w:hAnsi="Barlow Semi Condensed"/>
          <w:sz w:val="24"/>
          <w:szCs w:val="24"/>
        </w:rPr>
        <w:t xml:space="preserve"> su tutti — la lessero come un tradimento. Comunque la si giudichi, l'effetto fu quello: l'isolamento politico che nessuna audacia militare avrebbe poi colmato.</w:t>
      </w:r>
    </w:p>
    <w:p>
      <w:pPr>
        <w:pStyle w:val="Heading2"/>
        <w:spacing w:after="100" w:before="200"/>
      </w:pPr>
      <w:r>
        <w:rPr>
          <w:rFonts w:ascii="Barlow Semi Condensed" w:cs="Barlow Semi Condensed" w:eastAsia="Barlow Semi Condensed" w:hAnsi="Barlow Semi Condensed"/>
          <w:sz w:val="24"/>
          <w:szCs w:val="24"/>
        </w:rPr>
        <w:t xml:space="preserve">III. I primi combattimenti e la perdita della base (marzo – aprile 1967)</w:t>
      </w:r>
    </w:p>
    <w:p>
      <w:pPr>
        <w:spacing w:after="120" w:line="276"/>
        <w:jc w:val="both"/>
      </w:pPr>
      <w:r>
        <w:rPr>
          <w:rFonts w:ascii="Barlow Semi Condensed" w:cs="Barlow Semi Condensed" w:eastAsia="Barlow Semi Condensed" w:hAnsi="Barlow Semi Condensed"/>
          <w:sz w:val="24"/>
          <w:szCs w:val="24"/>
        </w:rPr>
        <w:t xml:space="preserve">La guerriglia si rivelò prematuramente. Il </w:t>
      </w:r>
      <w:r>
        <w:rPr>
          <w:rFonts w:ascii="Barlow Semi Condensed" w:cs="Barlow Semi Condensed" w:eastAsia="Barlow Semi Condensed" w:hAnsi="Barlow Semi Condensed"/>
          <w:b/>
          <w:bCs/>
          <w:sz w:val="24"/>
          <w:szCs w:val="24"/>
        </w:rPr>
        <w:t xml:space="preserve">23 marzo 1967</w:t>
      </w:r>
      <w:r>
        <w:rPr>
          <w:rFonts w:ascii="Barlow Semi Condensed" w:cs="Barlow Semi Condensed" w:eastAsia="Barlow Semi Condensed" w:hAnsi="Barlow Semi Condensed"/>
          <w:sz w:val="24"/>
          <w:szCs w:val="24"/>
        </w:rPr>
        <w:t xml:space="preserve">, in un'imboscata sul Ñancahuazú, la colonna inflisse all'esercito boliviano le prime perdite; ma lo scontro svelò la sua presenza mesi prima che fosse pronta, e innescò la reazione. Il regime del generale </w:t>
      </w:r>
      <w:r>
        <w:rPr>
          <w:rFonts w:ascii="Barlow Semi Condensed" w:cs="Barlow Semi Condensed" w:eastAsia="Barlow Semi Condensed" w:hAnsi="Barlow Semi Condensed"/>
          <w:b/>
          <w:bCs/>
          <w:sz w:val="24"/>
          <w:szCs w:val="24"/>
        </w:rPr>
        <w:t xml:space="preserve">René Barrientos</w:t>
      </w:r>
      <w:r>
        <w:rPr>
          <w:rFonts w:ascii="Barlow Semi Condensed" w:cs="Barlow Semi Condensed" w:eastAsia="Barlow Semi Condensed" w:hAnsi="Barlow Semi Condensed"/>
          <w:sz w:val="24"/>
          <w:szCs w:val="24"/>
        </w:rPr>
        <w:t xml:space="preserve"> dichiarò la zona teatro di operazioni e chiese assistenza a Washington: giunsero i </w:t>
      </w:r>
      <w:r>
        <w:rPr>
          <w:rFonts w:ascii="Barlow Semi Condensed" w:cs="Barlow Semi Condensed" w:eastAsia="Barlow Semi Condensed" w:hAnsi="Barlow Semi Condensed"/>
          <w:b/>
          <w:bCs/>
          <w:sz w:val="24"/>
          <w:szCs w:val="24"/>
        </w:rPr>
        <w:t xml:space="preserve">berretti verdi statunitensi</w:t>
      </w:r>
      <w:r>
        <w:rPr>
          <w:rFonts w:ascii="Barlow Semi Condensed" w:cs="Barlow Semi Condensed" w:eastAsia="Barlow Semi Condensed" w:hAnsi="Barlow Semi Condensed"/>
          <w:sz w:val="24"/>
          <w:szCs w:val="24"/>
        </w:rPr>
        <w:t xml:space="preserve"> ad addestrare, in tempi rapidi, il </w:t>
      </w:r>
      <w:r>
        <w:rPr>
          <w:rFonts w:ascii="Barlow Semi Condensed" w:cs="Barlow Semi Condensed" w:eastAsia="Barlow Semi Condensed" w:hAnsi="Barlow Semi Condensed"/>
          <w:b/>
          <w:bCs/>
          <w:sz w:val="24"/>
          <w:szCs w:val="24"/>
        </w:rPr>
        <w:t xml:space="preserve">2° Battaglione Ranger</w:t>
      </w:r>
      <w:r>
        <w:rPr>
          <w:rFonts w:ascii="Barlow Semi Condensed" w:cs="Barlow Semi Condensed" w:eastAsia="Barlow Semi Condensed" w:hAnsi="Barlow Semi Condensed"/>
          <w:sz w:val="24"/>
          <w:szCs w:val="24"/>
        </w:rPr>
        <w:t xml:space="preserve"> dell'esercito boliviano, e con essi gli agenti della CIA — tra cui il cubano-americano </w:t>
      </w:r>
      <w:r>
        <w:rPr>
          <w:rFonts w:ascii="Barlow Semi Condensed" w:cs="Barlow Semi Condensed" w:eastAsia="Barlow Semi Condensed" w:hAnsi="Barlow Semi Condensed"/>
          <w:b/>
          <w:bCs/>
          <w:sz w:val="24"/>
          <w:szCs w:val="24"/>
        </w:rPr>
        <w:t xml:space="preserve">Félix Rodríguez</w:t>
      </w:r>
      <w:r>
        <w:rPr>
          <w:rFonts w:ascii="Barlow Semi Condensed" w:cs="Barlow Semi Condensed" w:eastAsia="Barlow Semi Condensed" w:hAnsi="Barlow Semi Condensed"/>
          <w:sz w:val="24"/>
          <w:szCs w:val="24"/>
        </w:rPr>
        <w:t xml:space="preserve">.</w:t>
      </w:r>
    </w:p>
    <w:p>
      <w:pPr>
        <w:spacing w:after="120" w:line="276"/>
        <w:jc w:val="both"/>
      </w:pPr>
      <w:r>
        <w:rPr>
          <w:rFonts w:ascii="Barlow Semi Condensed" w:cs="Barlow Semi Condensed" w:eastAsia="Barlow Semi Condensed" w:hAnsi="Barlow Semi Condensed"/>
          <w:sz w:val="24"/>
          <w:szCs w:val="24"/>
        </w:rPr>
        <w:t xml:space="preserve">Il 20 aprile, in un episodio che ebbe vasta eco, fu catturato presso la zona il filosofo e giornalista francese </w:t>
      </w:r>
      <w:r>
        <w:rPr>
          <w:rFonts w:ascii="Barlow Semi Condensed" w:cs="Barlow Semi Condensed" w:eastAsia="Barlow Semi Condensed" w:hAnsi="Barlow Semi Condensed"/>
          <w:b/>
          <w:bCs/>
          <w:sz w:val="24"/>
          <w:szCs w:val="24"/>
        </w:rPr>
        <w:t xml:space="preserve">Régis Debray</w:t>
      </w:r>
      <w:r>
        <w:rPr>
          <w:rFonts w:ascii="Barlow Semi Condensed" w:cs="Barlow Semi Condensed" w:eastAsia="Barlow Semi Condensed" w:hAnsi="Barlow Semi Condensed"/>
          <w:sz w:val="24"/>
          <w:szCs w:val="24"/>
        </w:rPr>
        <w:t xml:space="preserve">, teorico del </w:t>
      </w:r>
      <w:r>
        <w:rPr>
          <w:rFonts w:ascii="Barlow Semi Condensed" w:cs="Barlow Semi Condensed" w:eastAsia="Barlow Semi Condensed" w:hAnsi="Barlow Semi Condensed"/>
          <w:i/>
          <w:iCs/>
          <w:sz w:val="24"/>
          <w:szCs w:val="24"/>
        </w:rPr>
        <w:t xml:space="preserve">foco</w:t>
      </w:r>
      <w:r>
        <w:rPr>
          <w:rFonts w:ascii="Barlow Semi Condensed" w:cs="Barlow Semi Condensed" w:eastAsia="Barlow Semi Condensed" w:hAnsi="Barlow Semi Condensed"/>
          <w:sz w:val="24"/>
          <w:szCs w:val="24"/>
        </w:rPr>
        <w:t xml:space="preserve"> e legato alla spedizione: il suo arresto e processo internazionalizzarono il caso e, insieme, privarono la guerriglia di un canale con l'esterno. In aprile la colonna perse anche l'accesso alla base di Ñancahuazú, scoperta e occupata: da quel momento fu </w:t>
      </w:r>
      <w:r>
        <w:rPr>
          <w:rFonts w:ascii="Barlow Semi Condensed" w:cs="Barlow Semi Condensed" w:eastAsia="Barlow Semi Condensed" w:hAnsi="Barlow Semi Condensed"/>
          <w:b/>
          <w:bCs/>
          <w:sz w:val="24"/>
          <w:szCs w:val="24"/>
        </w:rPr>
        <w:t xml:space="preserve">una guerriglia senza retrovia</w:t>
      </w:r>
      <w:r>
        <w:rPr>
          <w:rFonts w:ascii="Barlow Semi Condensed" w:cs="Barlow Semi Condensed" w:eastAsia="Barlow Semi Condensed" w:hAnsi="Barlow Semi Condensed"/>
          <w:sz w:val="24"/>
          <w:szCs w:val="24"/>
        </w:rPr>
        <w:t xml:space="preserve">, in marcia perpetua.</w:t>
      </w:r>
    </w:p>
    <w:p>
      <w:pPr>
        <w:pStyle w:val="Heading2"/>
        <w:spacing w:after="100" w:before="200"/>
      </w:pPr>
      <w:r>
        <w:rPr>
          <w:rFonts w:ascii="Barlow Semi Condensed" w:cs="Barlow Semi Condensed" w:eastAsia="Barlow Semi Condensed" w:hAnsi="Barlow Semi Condensed"/>
          <w:sz w:val="24"/>
          <w:szCs w:val="24"/>
        </w:rPr>
        <w:t xml:space="preserve">IV. La divisione fatale e Vado del Yeso (aprile – agosto 1967)</w:t>
      </w:r>
    </w:p>
    <w:p>
      <w:pPr>
        <w:spacing w:after="120" w:line="276"/>
        <w:jc w:val="both"/>
      </w:pPr>
      <w:r>
        <w:rPr>
          <w:rFonts w:ascii="Barlow Semi Condensed" w:cs="Barlow Semi Condensed" w:eastAsia="Barlow Semi Condensed" w:hAnsi="Barlow Semi Condensed"/>
          <w:sz w:val="24"/>
          <w:szCs w:val="24"/>
        </w:rPr>
        <w:t xml:space="preserve">L'errore che sigillò la sorte della spedizione fu la </w:t>
      </w:r>
      <w:r>
        <w:rPr>
          <w:rFonts w:ascii="Barlow Semi Condensed" w:cs="Barlow Semi Condensed" w:eastAsia="Barlow Semi Condensed" w:hAnsi="Barlow Semi Condensed"/>
          <w:b/>
          <w:bCs/>
          <w:sz w:val="24"/>
          <w:szCs w:val="24"/>
        </w:rPr>
        <w:t xml:space="preserve">divisione della colonna</w:t>
      </w:r>
      <w:r>
        <w:rPr>
          <w:rFonts w:ascii="Barlow Semi Condensed" w:cs="Barlow Semi Condensed" w:eastAsia="Barlow Semi Condensed" w:hAnsi="Barlow Semi Condensed"/>
          <w:sz w:val="24"/>
          <w:szCs w:val="24"/>
        </w:rPr>
        <w:t xml:space="preserve">. Separatasi in due tronconi per un'esplorazione, la guerriglia non riuscì più a ricongiungersi: i due gruppi vagarono per mesi in una regione che non conoscevano, senza carte affidabili, senza contatti, decimati dalla fame, dalla sete, dalle malattie e dalla diserzione. L'asma di Guevara, privato dei farmaci, tornò a tormentarlo nelle condizioni peggiori.</w:t>
      </w:r>
    </w:p>
    <w:p>
      <w:pPr>
        <w:spacing w:after="120" w:line="276"/>
        <w:jc w:val="both"/>
      </w:pPr>
      <w:r>
        <w:rPr>
          <w:rFonts w:ascii="Barlow Semi Condensed" w:cs="Barlow Semi Condensed" w:eastAsia="Barlow Semi Condensed" w:hAnsi="Barlow Semi Condensed"/>
          <w:sz w:val="24"/>
          <w:szCs w:val="24"/>
        </w:rPr>
        <w:t xml:space="preserve">Il </w:t>
      </w:r>
      <w:r>
        <w:rPr>
          <w:rFonts w:ascii="Barlow Semi Condensed" w:cs="Barlow Semi Condensed" w:eastAsia="Barlow Semi Condensed" w:hAnsi="Barlow Semi Condensed"/>
          <w:b/>
          <w:bCs/>
          <w:sz w:val="24"/>
          <w:szCs w:val="24"/>
        </w:rPr>
        <w:t xml:space="preserve">31 agosto 1967</w:t>
      </w:r>
      <w:r>
        <w:rPr>
          <w:rFonts w:ascii="Barlow Semi Condensed" w:cs="Barlow Semi Condensed" w:eastAsia="Barlow Semi Condensed" w:hAnsi="Barlow Semi Condensed"/>
          <w:sz w:val="24"/>
          <w:szCs w:val="24"/>
        </w:rPr>
        <w:t xml:space="preserve">, il gruppo comandato da </w:t>
      </w:r>
      <w:r>
        <w:rPr>
          <w:rFonts w:ascii="Barlow Semi Condensed" w:cs="Barlow Semi Condensed" w:eastAsia="Barlow Semi Condensed" w:hAnsi="Barlow Semi Condensed"/>
          <w:b/>
          <w:bCs/>
          <w:sz w:val="24"/>
          <w:szCs w:val="24"/>
        </w:rPr>
        <w:t xml:space="preserve">Juan Vitalio Acuña, «Joaquín»</w:t>
      </w:r>
      <w:r>
        <w:rPr>
          <w:rFonts w:ascii="Barlow Semi Condensed" w:cs="Barlow Semi Condensed" w:eastAsia="Barlow Semi Condensed" w:hAnsi="Barlow Semi Condensed"/>
          <w:sz w:val="24"/>
          <w:szCs w:val="24"/>
        </w:rPr>
        <w:t xml:space="preserve"> — che comprendeva Tania, Moisés Guevara e il cubano Braulio — fu annientato in un'imboscata mentre guadava il Río Grande al </w:t>
      </w:r>
      <w:r>
        <w:rPr>
          <w:rFonts w:ascii="Barlow Semi Condensed" w:cs="Barlow Semi Condensed" w:eastAsia="Barlow Semi Condensed" w:hAnsi="Barlow Semi Condensed"/>
          <w:b/>
          <w:bCs/>
          <w:sz w:val="24"/>
          <w:szCs w:val="24"/>
        </w:rPr>
        <w:t xml:space="preserve">Vado del Yeso</w:t>
      </w:r>
      <w:r>
        <w:rPr>
          <w:rFonts w:ascii="Barlow Semi Condensed" w:cs="Barlow Semi Condensed" w:eastAsia="Barlow Semi Condensed" w:hAnsi="Barlow Semi Condensed"/>
          <w:sz w:val="24"/>
          <w:szCs w:val="24"/>
        </w:rPr>
        <w:t xml:space="preserve">, tradito da un informatore. Tania fu uccisa nell'acqua, con il fucile alzato sopra la testa, insieme a gran parte del gruppo. La distruzione del secondo troncone dimezzò le forze già esigue e privò Guevara di ogni speranza di riunire la colonna. Da quel momento la fine fu questione di settimane.</w:t>
      </w:r>
    </w:p>
    <w:p>
      <w:pPr>
        <w:pStyle w:val="Heading2"/>
        <w:spacing w:after="100" w:before="200"/>
      </w:pPr>
      <w:r>
        <w:rPr>
          <w:rFonts w:ascii="Barlow Semi Condensed" w:cs="Barlow Semi Condensed" w:eastAsia="Barlow Semi Condensed" w:hAnsi="Barlow Semi Condensed"/>
          <w:sz w:val="24"/>
          <w:szCs w:val="24"/>
        </w:rPr>
        <w:t xml:space="preserve">V. La Quebrada del Churo e la cattura (8 ottobre 1967)</w:t>
      </w:r>
    </w:p>
    <w:p>
      <w:pPr>
        <w:spacing w:after="120" w:line="276"/>
        <w:jc w:val="both"/>
      </w:pPr>
      <w:r>
        <w:rPr>
          <w:rFonts w:ascii="Barlow Semi Condensed" w:cs="Barlow Semi Condensed" w:eastAsia="Barlow Semi Condensed" w:hAnsi="Barlow Semi Condensed"/>
          <w:sz w:val="24"/>
          <w:szCs w:val="24"/>
        </w:rPr>
        <w:t xml:space="preserve">Ridotto a un pugno di uomini sfiniti, Guevara fu braccato nella regione di Vallegrande. L'ultima pagina del suo diario porta la data del </w:t>
      </w:r>
      <w:r>
        <w:rPr>
          <w:rFonts w:ascii="Barlow Semi Condensed" w:cs="Barlow Semi Condensed" w:eastAsia="Barlow Semi Condensed" w:hAnsi="Barlow Semi Condensed"/>
          <w:b/>
          <w:bCs/>
          <w:sz w:val="24"/>
          <w:szCs w:val="24"/>
        </w:rPr>
        <w:t xml:space="preserve">7 ottobre 1967</w:t>
      </w:r>
      <w:r>
        <w:rPr>
          <w:rFonts w:ascii="Barlow Semi Condensed" w:cs="Barlow Semi Condensed" w:eastAsia="Barlow Semi Condensed" w:hAnsi="Barlow Semi Condensed"/>
          <w:sz w:val="24"/>
          <w:szCs w:val="24"/>
        </w:rPr>
        <w:t xml:space="preserve">. L'indomani, </w:t>
      </w:r>
      <w:r>
        <w:rPr>
          <w:rFonts w:ascii="Barlow Semi Condensed" w:cs="Barlow Semi Condensed" w:eastAsia="Barlow Semi Condensed" w:hAnsi="Barlow Semi Condensed"/>
          <w:b/>
          <w:bCs/>
          <w:sz w:val="24"/>
          <w:szCs w:val="24"/>
        </w:rPr>
        <w:t xml:space="preserve">8 ottobre 1967</w:t>
      </w:r>
      <w:r>
        <w:rPr>
          <w:rFonts w:ascii="Barlow Semi Condensed" w:cs="Barlow Semi Condensed" w:eastAsia="Barlow Semi Condensed" w:hAnsi="Barlow Semi Condensed"/>
          <w:sz w:val="24"/>
          <w:szCs w:val="24"/>
        </w:rPr>
        <w:t xml:space="preserve">, nella gola della </w:t>
      </w:r>
      <w:r>
        <w:rPr>
          <w:rFonts w:ascii="Barlow Semi Condensed" w:cs="Barlow Semi Condensed" w:eastAsia="Barlow Semi Condensed" w:hAnsi="Barlow Semi Condensed"/>
          <w:b/>
          <w:bCs/>
          <w:sz w:val="24"/>
          <w:szCs w:val="24"/>
        </w:rPr>
        <w:t xml:space="preserve">Quebrada del Churo</w:t>
      </w:r>
      <w:r>
        <w:rPr>
          <w:rFonts w:ascii="Barlow Semi Condensed" w:cs="Barlow Semi Condensed" w:eastAsia="Barlow Semi Condensed" w:hAnsi="Barlow Semi Condensed"/>
          <w:sz w:val="24"/>
          <w:szCs w:val="24"/>
        </w:rPr>
        <w:t xml:space="preserve"> (o del Yuro), presso La Higuera, la guerriglia fu accerchiata dal 2° Battaglione Ranger. Nel combattimento Guevara fu ferito — colpito a una gamba, con il fucile reso inservibile da un proiettile — e </w:t>
      </w:r>
      <w:r>
        <w:rPr>
          <w:rFonts w:ascii="Barlow Semi Condensed" w:cs="Barlow Semi Condensed" w:eastAsia="Barlow Semi Condensed" w:hAnsi="Barlow Semi Condensed"/>
          <w:b/>
          <w:bCs/>
          <w:sz w:val="24"/>
          <w:szCs w:val="24"/>
        </w:rPr>
        <w:t xml:space="preserve">catturato vivo</w:t>
      </w:r>
      <w:r>
        <w:rPr>
          <w:rFonts w:ascii="Barlow Semi Condensed" w:cs="Barlow Semi Condensed" w:eastAsia="Barlow Semi Condensed" w:hAnsi="Barlow Semi Condensed"/>
          <w:sz w:val="24"/>
          <w:szCs w:val="24"/>
        </w:rPr>
        <w:t xml:space="preserve">, insieme al boliviano </w:t>
      </w:r>
      <w:r>
        <w:rPr>
          <w:rFonts w:ascii="Barlow Semi Condensed" w:cs="Barlow Semi Condensed" w:eastAsia="Barlow Semi Condensed" w:hAnsi="Barlow Semi Condensed"/>
          <w:b/>
          <w:bCs/>
          <w:sz w:val="24"/>
          <w:szCs w:val="24"/>
        </w:rPr>
        <w:t xml:space="preserve">Simeón Cuba, «Willy»</w:t>
      </w:r>
      <w:r>
        <w:rPr>
          <w:rFonts w:ascii="Barlow Semi Condensed" w:cs="Barlow Semi Condensed" w:eastAsia="Barlow Semi Condensed" w:hAnsi="Barlow Semi Condensed"/>
          <w:sz w:val="24"/>
          <w:szCs w:val="24"/>
        </w:rPr>
        <w:t xml:space="preserve">. Fu condotto alla scuola del villaggio di </w:t>
      </w:r>
      <w:r>
        <w:rPr>
          <w:rFonts w:ascii="Barlow Semi Condensed" w:cs="Barlow Semi Condensed" w:eastAsia="Barlow Semi Condensed" w:hAnsi="Barlow Semi Condensed"/>
          <w:b/>
          <w:bCs/>
          <w:sz w:val="24"/>
          <w:szCs w:val="24"/>
        </w:rPr>
        <w:t xml:space="preserve">La Higuera</w:t>
      </w:r>
      <w:r>
        <w:rPr>
          <w:rFonts w:ascii="Barlow Semi Condensed" w:cs="Barlow Semi Condensed" w:eastAsia="Barlow Semi Condensed" w:hAnsi="Barlow Semi Condensed"/>
          <w:sz w:val="24"/>
          <w:szCs w:val="24"/>
        </w:rPr>
        <w:t xml:space="preserve"> e vi fu tenuto prigioniero la notte.</w:t>
      </w:r>
    </w:p>
    <w:p>
      <w:pPr>
        <w:pStyle w:val="Heading2"/>
        <w:spacing w:after="100" w:before="200"/>
      </w:pPr>
      <w:r>
        <w:rPr>
          <w:rFonts w:ascii="Barlow Semi Condensed" w:cs="Barlow Semi Condensed" w:eastAsia="Barlow Semi Condensed" w:hAnsi="Barlow Semi Condensed"/>
          <w:sz w:val="24"/>
          <w:szCs w:val="24"/>
        </w:rPr>
        <w:t xml:space="preserve">VI. La Higuera (9 ottobre 1967)</w:t>
      </w:r>
    </w:p>
    <w:p>
      <w:pPr>
        <w:spacing w:after="120" w:line="276"/>
        <w:jc w:val="both"/>
      </w:pPr>
      <w:r>
        <w:rPr>
          <w:rFonts w:ascii="Barlow Semi Condensed" w:cs="Barlow Semi Condensed" w:eastAsia="Barlow Semi Condensed" w:hAnsi="Barlow Semi Condensed"/>
          <w:sz w:val="24"/>
          <w:szCs w:val="24"/>
        </w:rPr>
        <w:t xml:space="preserve">La decisione di ucciderlo fu presa a La Paz e comunicata al fronte. Un processo pubblico al Che vivo — con la sua eloquenza e la sua fama mondiale — avrebbe destabilizzato il governo Barrientos e trasformato l'aula in tribuna; la scelta fu l'esecuzione sommaria, mascherata da morte in combattimento. Félix Rodríguez, che lo interrogò, ne ricevette l'ordine e — per sua stessa testimonianza — trattenne per sé l'orologio del prigioniero.</w:t>
      </w:r>
    </w:p>
    <w:p>
      <w:pPr>
        <w:spacing w:after="120" w:line="276"/>
        <w:jc w:val="both"/>
      </w:pPr>
      <w:r>
        <w:rPr>
          <w:rFonts w:ascii="Barlow Semi Condensed" w:cs="Barlow Semi Condensed" w:eastAsia="Barlow Semi Condensed" w:hAnsi="Barlow Semi Condensed"/>
          <w:sz w:val="24"/>
          <w:szCs w:val="24"/>
        </w:rPr>
        <w:t xml:space="preserve">Il </w:t>
      </w:r>
      <w:r>
        <w:rPr>
          <w:rFonts w:ascii="Barlow Semi Condensed" w:cs="Barlow Semi Condensed" w:eastAsia="Barlow Semi Condensed" w:hAnsi="Barlow Semi Condensed"/>
          <w:b/>
          <w:bCs/>
          <w:sz w:val="24"/>
          <w:szCs w:val="24"/>
        </w:rPr>
        <w:t xml:space="preserve">9 ottobre 1967</w:t>
      </w:r>
      <w:r>
        <w:rPr>
          <w:rFonts w:ascii="Barlow Semi Condensed" w:cs="Barlow Semi Condensed" w:eastAsia="Barlow Semi Condensed" w:hAnsi="Barlow Semi Condensed"/>
          <w:sz w:val="24"/>
          <w:szCs w:val="24"/>
        </w:rPr>
        <w:t xml:space="preserve">, poco dopo mezzogiorno, il sergente </w:t>
      </w:r>
      <w:r>
        <w:rPr>
          <w:rFonts w:ascii="Barlow Semi Condensed" w:cs="Barlow Semi Condensed" w:eastAsia="Barlow Semi Condensed" w:hAnsi="Barlow Semi Condensed"/>
          <w:b/>
          <w:bCs/>
          <w:sz w:val="24"/>
          <w:szCs w:val="24"/>
        </w:rPr>
        <w:t xml:space="preserve">Mario Terán</w:t>
      </w:r>
      <w:r>
        <w:rPr>
          <w:rFonts w:ascii="Barlow Semi Condensed" w:cs="Barlow Semi Condensed" w:eastAsia="Barlow Semi Condensed" w:hAnsi="Barlow Semi Condensed"/>
          <w:sz w:val="24"/>
          <w:szCs w:val="24"/>
        </w:rPr>
        <w:t xml:space="preserve"> entrò nell'aula della scuola dove Guevara era tenuto e, dopo aver esitato, lo uccise con una raffica. Aveva trentanove anni. Il corpo fu trasportato in elicottero a </w:t>
      </w:r>
      <w:r>
        <w:rPr>
          <w:rFonts w:ascii="Barlow Semi Condensed" w:cs="Barlow Semi Condensed" w:eastAsia="Barlow Semi Condensed" w:hAnsi="Barlow Semi Condensed"/>
          <w:b/>
          <w:bCs/>
          <w:sz w:val="24"/>
          <w:szCs w:val="24"/>
        </w:rPr>
        <w:t xml:space="preserve">Vallegrande</w:t>
      </w:r>
      <w:r>
        <w:rPr>
          <w:rFonts w:ascii="Barlow Semi Condensed" w:cs="Barlow Semi Condensed" w:eastAsia="Barlow Semi Condensed" w:hAnsi="Barlow Semi Condensed"/>
          <w:sz w:val="24"/>
          <w:szCs w:val="24"/>
        </w:rPr>
        <w:t xml:space="preserve"> e lì esposto, il 10 ottobre, sui lavatoi dell'ospedale Nuestra Señora de Malta: l'immagine del cadavere, fotografata da Freddy Alborta, con gli occhi aperti e il torace scoperto, entrò subito nella memoria visiva del secolo — accostata dalla critica al </w:t>
      </w:r>
      <w:r>
        <w:rPr>
          <w:rFonts w:ascii="Barlow Semi Condensed" w:cs="Barlow Semi Condensed" w:eastAsia="Barlow Semi Condensed" w:hAnsi="Barlow Semi Condensed"/>
          <w:i/>
          <w:iCs/>
          <w:sz w:val="24"/>
          <w:szCs w:val="24"/>
        </w:rPr>
        <w:t xml:space="preserve">Cristo morto</w:t>
      </w:r>
      <w:r>
        <w:rPr>
          <w:rFonts w:ascii="Barlow Semi Condensed" w:cs="Barlow Semi Condensed" w:eastAsia="Barlow Semi Condensed" w:hAnsi="Barlow Semi Condensed"/>
          <w:sz w:val="24"/>
          <w:szCs w:val="24"/>
        </w:rPr>
        <w:t xml:space="preserve"> di Mantegna, e destinata a fondare, per contrasto con le intenzioni di chi l'aveva esposta, il martirologio guevarista.</w:t>
      </w:r>
    </w:p>
    <w:p>
      <w:pPr>
        <w:pStyle w:val="Heading2"/>
        <w:spacing w:after="100" w:before="200"/>
      </w:pPr>
      <w:r>
        <w:rPr>
          <w:rFonts w:ascii="Barlow Semi Condensed" w:cs="Barlow Semi Condensed" w:eastAsia="Barlow Semi Condensed" w:hAnsi="Barlow Semi Condensed"/>
          <w:sz w:val="24"/>
          <w:szCs w:val="24"/>
        </w:rPr>
        <w:t xml:space="preserve">VII. L'occultamento e il ritorno (1967 – 1997)</w:t>
      </w:r>
    </w:p>
    <w:p>
      <w:pPr>
        <w:spacing w:after="120" w:line="276"/>
        <w:jc w:val="both"/>
      </w:pPr>
      <w:r>
        <w:rPr>
          <w:rFonts w:ascii="Barlow Semi Condensed" w:cs="Barlow Semi Condensed" w:eastAsia="Barlow Semi Condensed" w:hAnsi="Barlow Semi Condensed"/>
          <w:sz w:val="24"/>
          <w:szCs w:val="24"/>
        </w:rPr>
        <w:t xml:space="preserve">Per impedire che una tomba diventasse un santuario, le autorità </w:t>
      </w:r>
      <w:r>
        <w:rPr>
          <w:rFonts w:ascii="Barlow Semi Condensed" w:cs="Barlow Semi Condensed" w:eastAsia="Barlow Semi Condensed" w:hAnsi="Barlow Semi Condensed"/>
          <w:b/>
          <w:bCs/>
          <w:sz w:val="24"/>
          <w:szCs w:val="24"/>
        </w:rPr>
        <w:t xml:space="preserve">amputarono le mani</w:t>
      </w:r>
      <w:r>
        <w:rPr>
          <w:rFonts w:ascii="Barlow Semi Condensed" w:cs="Barlow Semi Condensed" w:eastAsia="Barlow Semi Condensed" w:hAnsi="Barlow Semi Condensed"/>
          <w:sz w:val="24"/>
          <w:szCs w:val="24"/>
        </w:rPr>
        <w:t xml:space="preserve"> del cadavere (per l'identificazione delle impronte) e ne </w:t>
      </w:r>
      <w:r>
        <w:rPr>
          <w:rFonts w:ascii="Barlow Semi Condensed" w:cs="Barlow Semi Condensed" w:eastAsia="Barlow Semi Condensed" w:hAnsi="Barlow Semi Condensed"/>
          <w:b/>
          <w:bCs/>
          <w:sz w:val="24"/>
          <w:szCs w:val="24"/>
        </w:rPr>
        <w:t xml:space="preserve">occultarono la sepoltura</w:t>
      </w:r>
      <w:r>
        <w:rPr>
          <w:rFonts w:ascii="Barlow Semi Condensed" w:cs="Barlow Semi Condensed" w:eastAsia="Barlow Semi Condensed" w:hAnsi="Barlow Semi Condensed"/>
          <w:sz w:val="24"/>
          <w:szCs w:val="24"/>
        </w:rPr>
        <w:t xml:space="preserve">. Il luogo — una fossa comune presso la pista di Vallegrande — rimase segreto per quasi trent'anni. Solo nel </w:t>
      </w:r>
      <w:r>
        <w:rPr>
          <w:rFonts w:ascii="Barlow Semi Condensed" w:cs="Barlow Semi Condensed" w:eastAsia="Barlow Semi Condensed" w:hAnsi="Barlow Semi Condensed"/>
          <w:b/>
          <w:bCs/>
          <w:sz w:val="24"/>
          <w:szCs w:val="24"/>
        </w:rPr>
        <w:t xml:space="preserve">1997</w:t>
      </w:r>
      <w:r>
        <w:rPr>
          <w:rFonts w:ascii="Barlow Semi Condensed" w:cs="Barlow Semi Condensed" w:eastAsia="Barlow Semi Condensed" w:hAnsi="Barlow Semi Condensed"/>
          <w:sz w:val="24"/>
          <w:szCs w:val="24"/>
        </w:rPr>
        <w:t xml:space="preserve">, sulla base delle rivelazioni di un generale boliviano in pensione, i resti furono ritrovati, riesumati, identificati e traslati a </w:t>
      </w:r>
      <w:r>
        <w:rPr>
          <w:rFonts w:ascii="Barlow Semi Condensed" w:cs="Barlow Semi Condensed" w:eastAsia="Barlow Semi Condensed" w:hAnsi="Barlow Semi Condensed"/>
          <w:b/>
          <w:bCs/>
          <w:sz w:val="24"/>
          <w:szCs w:val="24"/>
        </w:rPr>
        <w:t xml:space="preserve">Cuba</w:t>
      </w:r>
      <w:r>
        <w:rPr>
          <w:rFonts w:ascii="Barlow Semi Condensed" w:cs="Barlow Semi Condensed" w:eastAsia="Barlow Semi Condensed" w:hAnsi="Barlow Semi Condensed"/>
          <w:sz w:val="24"/>
          <w:szCs w:val="24"/>
        </w:rPr>
        <w:t xml:space="preserve">, dove furono tumulati nel mausoleo di </w:t>
      </w:r>
      <w:r>
        <w:rPr>
          <w:rFonts w:ascii="Barlow Semi Condensed" w:cs="Barlow Semi Condensed" w:eastAsia="Barlow Semi Condensed" w:hAnsi="Barlow Semi Condensed"/>
          <w:b/>
          <w:bCs/>
          <w:sz w:val="24"/>
          <w:szCs w:val="24"/>
        </w:rPr>
        <w:t xml:space="preserve">Santa Clara</w:t>
      </w:r>
      <w:r>
        <w:rPr>
          <w:rFonts w:ascii="Barlow Semi Condensed" w:cs="Barlow Semi Condensed" w:eastAsia="Barlow Semi Condensed" w:hAnsi="Barlow Semi Condensed"/>
          <w:sz w:val="24"/>
          <w:szCs w:val="24"/>
        </w:rPr>
        <w:t xml:space="preserve"> — la città della sua unica, grande vittoria militare del 1958. Il cerchio, dalla presa del treno blindato al ritorno delle ossa, si chiudeva lì.</w:t>
      </w:r>
    </w:p>
    <w:p>
      <w:pPr>
        <w:pStyle w:val="Heading2"/>
        <w:spacing w:after="100" w:before="200"/>
      </w:pPr>
      <w:r>
        <w:rPr>
          <w:rFonts w:ascii="Barlow Semi Condensed" w:cs="Barlow Semi Condensed" w:eastAsia="Barlow Semi Condensed" w:hAnsi="Barlow Semi Condensed"/>
          <w:sz w:val="24"/>
          <w:szCs w:val="24"/>
        </w:rPr>
        <w:t xml:space="preserve">VIII. Il senso di un fallimento, senza agiografia</w:t>
      </w:r>
    </w:p>
    <w:p>
      <w:pPr>
        <w:spacing w:after="120" w:line="276"/>
        <w:jc w:val="both"/>
      </w:pPr>
      <w:r>
        <w:rPr>
          <w:rFonts w:ascii="Barlow Semi Condensed" w:cs="Barlow Semi Condensed" w:eastAsia="Barlow Semi Condensed" w:hAnsi="Barlow Semi Condensed"/>
          <w:sz w:val="24"/>
          <w:szCs w:val="24"/>
        </w:rPr>
        <w:t xml:space="preserve">La campagna boliviana fu, sul piano militare e politico, una </w:t>
      </w:r>
      <w:r>
        <w:rPr>
          <w:rFonts w:ascii="Barlow Semi Condensed" w:cs="Barlow Semi Condensed" w:eastAsia="Barlow Semi Condensed" w:hAnsi="Barlow Semi Condensed"/>
          <w:b/>
          <w:bCs/>
          <w:sz w:val="24"/>
          <w:szCs w:val="24"/>
        </w:rPr>
        <w:t xml:space="preserve">disfatta pressoché totale</w:t>
      </w:r>
      <w:r>
        <w:rPr>
          <w:rFonts w:ascii="Barlow Semi Condensed" w:cs="Barlow Semi Condensed" w:eastAsia="Barlow Semi Condensed" w:hAnsi="Barlow Semi Condensed"/>
          <w:sz w:val="24"/>
          <w:szCs w:val="24"/>
        </w:rPr>
        <w:t xml:space="preserve">: undici mesi, poche imboscate vinte, nessuna base sociale conquistata, la colonna isolata dal partito che avrebbe dovuto radicarla, divisa e distrutta prima di diventare una minaccia reale per lo Stato. Guevara vi ripeté, aggravandoli, gli errori del Congo: il </w:t>
      </w:r>
      <w:r>
        <w:rPr>
          <w:rFonts w:ascii="Barlow Semi Condensed" w:cs="Barlow Semi Condensed" w:eastAsia="Barlow Semi Condensed" w:hAnsi="Barlow Semi Condensed"/>
          <w:i/>
          <w:iCs/>
          <w:sz w:val="24"/>
          <w:szCs w:val="24"/>
        </w:rPr>
        <w:t xml:space="preserve">foco</w:t>
      </w:r>
      <w:r>
        <w:rPr>
          <w:rFonts w:ascii="Barlow Semi Condensed" w:cs="Barlow Semi Condensed" w:eastAsia="Barlow Semi Condensed" w:hAnsi="Barlow Semi Condensed"/>
          <w:sz w:val="24"/>
          <w:szCs w:val="24"/>
        </w:rPr>
        <w:t xml:space="preserve"> importato in una terra la cui sociologia contadina non conosceva; la fiducia in una teoria che presupponeva il popolo che non trovava; la sopravvalutazione della volontà rivoluzionaria contro la realtà del terreno.</w:t>
      </w:r>
    </w:p>
    <w:p>
      <w:pPr>
        <w:spacing w:after="120" w:line="276"/>
        <w:jc w:val="both"/>
      </w:pPr>
      <w:r>
        <w:rPr>
          <w:rFonts w:ascii="Barlow Semi Condensed" w:cs="Barlow Semi Condensed" w:eastAsia="Barlow Semi Condensed" w:hAnsi="Barlow Semi Condensed"/>
          <w:sz w:val="24"/>
          <w:szCs w:val="24"/>
        </w:rPr>
        <w:t xml:space="preserve">E tuttavia — ed è qui che il capitolo deve tenersi lontano tanto dall'agiografia quanto dal suo rovescio — proprio da quella disfatta nacque il mito. La morte a trentanove anni, il corpo esposto come una reliquia, la scelta di combattere fino alla cattura anziché arrendersi «da eroe da fumetto» (come aveva scritto nel diario congolese), consegnarono alla seconda vita dell'immagine ciò che la prima vita dell'uomo, alla prova del terreno, aveva perduto. Il Che dei diari era un rivoluzionario che aveva scelto le munizioni e aveva sbagliato guerra; il Che dei manifesti divenne una bandiera universale. È la stessa dialettica — l'uomo sconfitto, il mito vittorioso — su cui si apre il saggio «Dal Che a Moro» di questo corpus: il mito che, staccatosi dall'uomo, viaggia, si trasmette e talvolta degenera. Qui, alla fossa di Vallegrande, la parabola dell'uomo si chiude; quella dell'immagine comincia.</w:t>
      </w:r>
    </w:p>
    <w:p>
      <w:pPr>
        <w:pBdr>
          <w:bottom w:val="single" w:color="999999" w:sz="6" w:space="1"/>
        </w:pBdr>
        <w:spacing w:after="80"/>
      </w:pPr>
    </w:p>
    <w:p>
      <w:pPr>
        <w:spacing w:after="120" w:line="276"/>
        <w:jc w:val="both"/>
      </w:pPr>
      <w:r>
        <w:rPr>
          <w:rFonts w:ascii="Barlow Semi Condensed" w:cs="Barlow Semi Condensed" w:eastAsia="Barlow Semi Condensed" w:hAnsi="Barlow Semi Condensed"/>
          <w:i/>
          <w:iCs/>
          <w:sz w:val="24"/>
          <w:szCs w:val="24"/>
        </w:rPr>
        <w:t xml:space="preserve">Capitolo conclusivo del corpus guevariano; si salda a monte con «Dal Viaggio a Mosca alla Campagna Boliviana (1964-1966)» e a valle con il saggio «Dal Che a Moro: una guerra senza fine». Le date e gli snodi (rottura con Monje, 31/12/1966; imboscata del 23/3/1967; Vado del Yeso, 31/8/1967; cattura alla Quebrada del Churo, 8/10/1967; esecuzione a La Higuera per mano di Mario Terán, 9/10/1967; ritrovamento dei resti, 1997) sono ancorati al Diario del Che in Bolivia e alla documentazione consolidata. Ricostruzione storica, senza agiografia né il suo rovescio.</w:t>
      </w:r>
    </w:p>
    <w:p>
      <w:pPr>
        <w:pStyle w:val="Heading3"/>
        <w:spacing w:after="80" w:before="240"/>
      </w:pPr>
      <w:r>
        <w:rPr>
          <w:rFonts w:ascii="Barlow Semi Condensed" w:cs="Barlow Semi Condensed" w:eastAsia="Barlow Semi Condensed" w:hAnsi="Barlow Semi Condensed"/>
          <w:sz w:val="24"/>
          <w:szCs w:val="24"/>
        </w:rPr>
        <w:t xml:space="preserve">Apparato grafico — Libro terzo · La campagna boliviana</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Libro terzo IV: 1.278 parole in 8 sezioni; la più ampia è §8 VIII. Il senso di un fallimento, senza agiogr…, con 319.</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Libro terzo IV: 15 paragrafi in 8 sezioni, 2 in media per sezione.</w:t>
      </w:r>
    </w:p>
    <w:p>
      <w:pPr>
        <w:spacing w:after="120"/>
        <w:jc w:val="center"/>
      </w:pPr>
      <w:r>
        <w:rPr>
          <w:rFonts w:ascii="Barlow Semi Condensed" w:cs="Barlow Semi Condensed" w:eastAsia="Barlow Semi Condensed" w:hAnsi="Barlow Semi Condensed"/>
          <w:color w:val="777777"/>
          <w:sz w:val="16"/>
          <w:szCs w:val="16"/>
        </w:rPr>
        <w:t xml:space="preserve">Le metriche dell'apparato contano parole, documenti e atti — mai colpe.</w:t>
      </w:r>
    </w:p>
    <w:p>
      <w:r>
        <w:br w:type="page"/>
      </w:r>
    </w:p>
    <w:p>
      <w:pPr>
        <w:pStyle w:val="Heading1"/>
        <w:spacing w:after="120" w:before="240"/>
      </w:pPr>
      <w:r>
        <w:rPr>
          <w:rFonts w:ascii="Barlow Semi Condensed" w:cs="Barlow Semi Condensed" w:eastAsia="Barlow Semi Condensed" w:hAnsi="Barlow Semi Condensed"/>
          <w:sz w:val="24"/>
          <w:szCs w:val="24"/>
        </w:rPr>
        <w:t xml:space="preserve">Libro terzo — La parabola di Guevara — V. Bibliografia critica</w:t>
      </w:r>
    </w:p>
    <w:p>
      <w:pPr>
        <w:pStyle w:val="Heading1"/>
        <w:spacing w:after="120" w:before="240"/>
      </w:pPr>
      <w:r>
        <w:rPr>
          <w:rFonts w:ascii="Barlow Semi Condensed" w:cs="Barlow Semi Condensed" w:eastAsia="Barlow Semi Condensed" w:hAnsi="Barlow Semi Condensed"/>
          <w:sz w:val="24"/>
          <w:szCs w:val="24"/>
        </w:rPr>
        <w:t xml:space="preserve">Ernesto Guevara — Bibliografia critica del corpus</w:t>
      </w:r>
    </w:p>
    <w:p>
      <w:pPr>
        <w:spacing w:after="120" w:line="276"/>
        <w:jc w:val="both"/>
      </w:pPr>
      <w:r>
        <w:rPr>
          <w:rFonts w:ascii="Barlow Semi Condensed" w:cs="Barlow Semi Condensed" w:eastAsia="Barlow Semi Condensed" w:hAnsi="Barlow Semi Condensed"/>
          <w:i/>
          <w:iCs/>
          <w:sz w:val="24"/>
          <w:szCs w:val="24"/>
        </w:rPr>
        <w:t xml:space="preserve">Apparato delle fonti — 24 agosto 2026 · Complemento ai cinque studi guevariani</w:t>
      </w:r>
    </w:p>
    <w:p>
      <w:pPr>
        <w:pBdr>
          <w:left w:val="single" w:color="1F3864" w:sz="18" w:space="8"/>
        </w:pBdr>
        <w:spacing w:after="80" w:before="80"/>
        <w:ind w:left="360" w:right="360"/>
        <w:jc w:val="both"/>
      </w:pPr>
      <w:r>
        <w:rPr>
          <w:rFonts w:ascii="Barlow Semi Condensed" w:cs="Barlow Semi Condensed" w:eastAsia="Barlow Semi Condensed" w:hAnsi="Barlow Semi Condensed"/>
          <w:b/>
          <w:bCs/>
          <w:i w:val="false"/>
          <w:iCs w:val="false"/>
          <w:sz w:val="24"/>
          <w:szCs w:val="24"/>
        </w:rPr>
        <w:t xml:space="preserve">Che cos'è questo apparato.</w:t>
      </w:r>
      <w:r>
        <w:rPr>
          <w:rFonts w:ascii="Barlow Semi Condensed" w:cs="Barlow Semi Condensed" w:eastAsia="Barlow Semi Condensed" w:hAnsi="Barlow Semi Condensed"/>
          <w:i w:val="false"/>
          <w:iCs w:val="false"/>
          <w:sz w:val="24"/>
          <w:szCs w:val="24"/>
        </w:rPr>
        <w:t xml:space="preserve"> Dopo la revisione che ha corretto gli errori di fatto (con note di revisione) e sostituito le fonti deboli, questo documento consolida la </w:t>
      </w:r>
      <w:r>
        <w:rPr>
          <w:rFonts w:ascii="Barlow Semi Condensed" w:cs="Barlow Semi Condensed" w:eastAsia="Barlow Semi Condensed" w:hAnsi="Barlow Semi Condensed"/>
          <w:b/>
          <w:bCs/>
          <w:i w:val="false"/>
          <w:iCs w:val="false"/>
          <w:sz w:val="24"/>
          <w:szCs w:val="24"/>
        </w:rPr>
        <w:t xml:space="preserve">bibliografia critica</w:t>
      </w:r>
      <w:r>
        <w:rPr>
          <w:rFonts w:ascii="Barlow Semi Condensed" w:cs="Barlow Semi Condensed" w:eastAsia="Barlow Semi Condensed" w:hAnsi="Barlow Semi Condensed"/>
          <w:i w:val="false"/>
          <w:iCs w:val="false"/>
          <w:sz w:val="24"/>
          <w:szCs w:val="24"/>
        </w:rPr>
        <w:t xml:space="preserve"> del corpus guevariano: elenca le fonti effettivamente adoperate, ordinate per </w:t>
      </w:r>
      <w:r>
        <w:rPr>
          <w:rFonts w:ascii="Barlow Semi Condensed" w:cs="Barlow Semi Condensed" w:eastAsia="Barlow Semi Condensed" w:hAnsi="Barlow Semi Condensed"/>
          <w:b/>
          <w:bCs/>
          <w:i w:val="false"/>
          <w:iCs w:val="false"/>
          <w:sz w:val="24"/>
          <w:szCs w:val="24"/>
        </w:rPr>
        <w:t xml:space="preserve">rango di affidabilità</w:t>
      </w:r>
      <w:r>
        <w:rPr>
          <w:rFonts w:ascii="Barlow Semi Condensed" w:cs="Barlow Semi Condensed" w:eastAsia="Barlow Semi Condensed" w:hAnsi="Barlow Semi Condensed"/>
          <w:i w:val="false"/>
          <w:iCs w:val="false"/>
          <w:sz w:val="24"/>
          <w:szCs w:val="24"/>
        </w:rPr>
        <w:t xml:space="preserve">, e dichiara per ciascuna che uso se ne è fatto. Serve la stessa funzione che, sul versante Moro, svolge l'«apparato dei gradi»: rendere l'opera </w:t>
      </w:r>
      <w:r>
        <w:rPr>
          <w:rFonts w:ascii="Barlow Semi Condensed" w:cs="Barlow Semi Condensed" w:eastAsia="Barlow Semi Condensed" w:hAnsi="Barlow Semi Condensed"/>
          <w:b/>
          <w:bCs/>
          <w:i w:val="false"/>
          <w:iCs w:val="false"/>
          <w:sz w:val="24"/>
          <w:szCs w:val="24"/>
        </w:rPr>
        <w:t xml:space="preserve">tracciabile</w:t>
      </w:r>
      <w:r>
        <w:rPr>
          <w:rFonts w:ascii="Barlow Semi Condensed" w:cs="Barlow Semi Condensed" w:eastAsia="Barlow Semi Condensed" w:hAnsi="Barlow Semi Condensed"/>
          <w:i w:val="false"/>
          <w:iCs w:val="false"/>
          <w:sz w:val="24"/>
          <w:szCs w:val="24"/>
        </w:rPr>
        <w:t xml:space="preserve">, così che il lettore possa rifare il cammino e valutare da sé il peso di ogni affermazione. I ranghi seguono la gerarchia consueta: </w:t>
      </w:r>
      <w:r>
        <w:rPr>
          <w:rFonts w:ascii="Barlow Semi Condensed" w:cs="Barlow Semi Condensed" w:eastAsia="Barlow Semi Condensed" w:hAnsi="Barlow Semi Condensed"/>
          <w:b/>
          <w:bCs/>
          <w:i w:val="false"/>
          <w:iCs w:val="false"/>
          <w:sz w:val="24"/>
          <w:szCs w:val="24"/>
        </w:rPr>
        <w:t xml:space="preserve">Primarie</w:t>
      </w:r>
      <w:r>
        <w:rPr>
          <w:rFonts w:ascii="Barlow Semi Condensed" w:cs="Barlow Semi Condensed" w:eastAsia="Barlow Semi Condensed" w:hAnsi="Barlow Semi Condensed"/>
          <w:i w:val="false"/>
          <w:iCs w:val="false"/>
          <w:sz w:val="24"/>
          <w:szCs w:val="24"/>
        </w:rPr>
        <w:t xml:space="preserve"> (testi e registrazioni degli attori) · </w:t>
      </w:r>
      <w:r>
        <w:rPr>
          <w:rFonts w:ascii="Barlow Semi Condensed" w:cs="Barlow Semi Condensed" w:eastAsia="Barlow Semi Condensed" w:hAnsi="Barlow Semi Condensed"/>
          <w:b/>
          <w:bCs/>
          <w:i w:val="false"/>
          <w:iCs w:val="false"/>
          <w:sz w:val="24"/>
          <w:szCs w:val="24"/>
        </w:rPr>
        <w:t xml:space="preserve">Accademiche</w:t>
      </w:r>
      <w:r>
        <w:rPr>
          <w:rFonts w:ascii="Barlow Semi Condensed" w:cs="Barlow Semi Condensed" w:eastAsia="Barlow Semi Condensed" w:hAnsi="Barlow Semi Condensed"/>
          <w:i w:val="false"/>
          <w:iCs w:val="false"/>
          <w:sz w:val="24"/>
          <w:szCs w:val="24"/>
        </w:rPr>
        <w:t xml:space="preserve"> (storiografia e riviste con referaggio) · </w:t>
      </w:r>
      <w:r>
        <w:rPr>
          <w:rFonts w:ascii="Barlow Semi Condensed" w:cs="Barlow Semi Condensed" w:eastAsia="Barlow Semi Condensed" w:hAnsi="Barlow Semi Condensed"/>
          <w:b/>
          <w:bCs/>
          <w:i w:val="false"/>
          <w:iCs w:val="false"/>
          <w:sz w:val="24"/>
          <w:szCs w:val="24"/>
        </w:rPr>
        <w:t xml:space="preserve">Giornalistiche qualificate</w:t>
      </w:r>
      <w:r>
        <w:rPr>
          <w:rFonts w:ascii="Barlow Semi Condensed" w:cs="Barlow Semi Condensed" w:eastAsia="Barlow Semi Condensed" w:hAnsi="Barlow Semi Condensed"/>
          <w:i w:val="false"/>
          <w:iCs w:val="false"/>
          <w:sz w:val="24"/>
          <w:szCs w:val="24"/>
        </w:rPr>
        <w:t xml:space="preserve"> · </w:t>
      </w:r>
      <w:r>
        <w:rPr>
          <w:rFonts w:ascii="Barlow Semi Condensed" w:cs="Barlow Semi Condensed" w:eastAsia="Barlow Semi Condensed" w:hAnsi="Barlow Semi Condensed"/>
          <w:b/>
          <w:bCs/>
          <w:i w:val="false"/>
          <w:iCs w:val="false"/>
          <w:sz w:val="24"/>
          <w:szCs w:val="24"/>
        </w:rPr>
        <w:t xml:space="preserve">Enciclopediche</w:t>
      </w:r>
      <w:r>
        <w:rPr>
          <w:rFonts w:ascii="Barlow Semi Condensed" w:cs="Barlow Semi Condensed" w:eastAsia="Barlow Semi Condensed" w:hAnsi="Barlow Semi Condensed"/>
          <w:i w:val="false"/>
          <w:iCs w:val="false"/>
          <w:sz w:val="24"/>
          <w:szCs w:val="24"/>
        </w:rPr>
        <w:t xml:space="preserve"> (per fatti non controversi) · </w:t>
      </w:r>
      <w:r>
        <w:rPr>
          <w:rFonts w:ascii="Barlow Semi Condensed" w:cs="Barlow Semi Condensed" w:eastAsia="Barlow Semi Condensed" w:hAnsi="Barlow Semi Condensed"/>
          <w:b/>
          <w:bCs/>
          <w:i w:val="false"/>
          <w:iCs w:val="false"/>
          <w:sz w:val="24"/>
          <w:szCs w:val="24"/>
        </w:rPr>
        <w:t xml:space="preserve">Sostituite</w:t>
      </w:r>
      <w:r>
        <w:rPr>
          <w:rFonts w:ascii="Barlow Semi Condensed" w:cs="Barlow Semi Condensed" w:eastAsia="Barlow Semi Condensed" w:hAnsi="Barlow Semi Condensed"/>
          <w:i w:val="false"/>
          <w:iCs w:val="false"/>
          <w:sz w:val="24"/>
          <w:szCs w:val="24"/>
        </w:rPr>
        <w:t xml:space="preserve"> (le fonti deboli espunte, elencate per trasparenza).</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I. Fonti primarie (testi e registrazioni degli attori)</w:t>
      </w:r>
    </w:p>
    <w:p>
      <w:pPr>
        <w:spacing w:after="120" w:line="276"/>
        <w:jc w:val="both"/>
      </w:pPr>
      <w:r>
        <w:rPr>
          <w:rFonts w:ascii="Barlow Semi Condensed" w:cs="Barlow Semi Condensed" w:eastAsia="Barlow Semi Condensed" w:hAnsi="Barlow Semi Condensed"/>
          <w:sz w:val="24"/>
          <w:szCs w:val="24"/>
        </w:rPr>
        <w:t xml:space="preserve">Sono il fondamento probatorio più alto del corpus: parole di Guevara o registrazioni dirette.</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Ernesto Che Guevara, Diario del Che in Bolivia</w:t>
      </w:r>
      <w:r>
        <w:rPr>
          <w:rFonts w:ascii="Barlow Semi Condensed" w:cs="Barlow Semi Condensed" w:eastAsia="Barlow Semi Condensed" w:hAnsi="Barlow Semi Condensed"/>
          <w:sz w:val="24"/>
          <w:szCs w:val="24"/>
        </w:rPr>
        <w:t xml:space="preserve">* (1968) — fonte primaria per l'intera campagna boliviana (Libro conclusivo): la cronologia, gli errori, l'autodiagnosi. Include l'ultima annotazione del 7 ottobre 1967.</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Ernesto Che Guevara, Pasajes de la guerra revolucionaria: Congo</w:t>
      </w:r>
      <w:r>
        <w:rPr>
          <w:rFonts w:ascii="Barlow Semi Condensed" w:cs="Barlow Semi Condensed" w:eastAsia="Barlow Semi Condensed" w:hAnsi="Barlow Semi Condensed"/>
          <w:sz w:val="24"/>
          <w:szCs w:val="24"/>
        </w:rPr>
        <w:t xml:space="preserve">*— fonte primaria per la campagna congolese; da qui l'apertura «Questa è la storia di un fallimento».</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Ernesto Che Guevara, Pasajes de la guerra revolucionaria</w:t>
      </w:r>
      <w:r>
        <w:rPr>
          <w:rFonts w:ascii="Barlow Semi Condensed" w:cs="Barlow Semi Condensed" w:eastAsia="Barlow Semi Condensed" w:hAnsi="Barlow Semi Condensed"/>
          <w:sz w:val="24"/>
          <w:szCs w:val="24"/>
        </w:rPr>
        <w:t xml:space="preserve">* (Cuba) — fonte primaria per l'episodio «munizioni vs borsa medica» ad Alegría de Pío.</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Discorso all'ONU, 11 dicembre 1964, «Colonialism is Doomed»</w:t>
      </w:r>
      <w:r>
        <w:rPr>
          <w:rFonts w:ascii="Barlow Semi Condensed" w:cs="Barlow Semi Condensed" w:eastAsia="Barlow Semi Condensed" w:hAnsi="Barlow Semi Condensed"/>
          <w:sz w:val="24"/>
          <w:szCs w:val="24"/>
        </w:rPr>
        <w:t xml:space="preserve"> — testo: Marxists Internet Archive (https://www.marxists.org/archive/guevara/1964/12/11-alt.htm); registrazione audio: Smithsonian Folkways (https://folkways.si.edu/che-guevara/speech-at-the-united-nations-general-assembly-december-11-1964-19th-assembly/caribbean-oral-history-biography-world-history/track/smithsonian).</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Discorso di Algeri, 24 febbraio 1965</w:t>
      </w:r>
      <w:r>
        <w:rPr>
          <w:rFonts w:ascii="Barlow Semi Condensed" w:cs="Barlow Semi Condensed" w:eastAsia="Barlow Semi Condensed" w:hAnsi="Barlow Semi Condensed"/>
          <w:sz w:val="24"/>
          <w:szCs w:val="24"/>
        </w:rPr>
        <w:t xml:space="preserve"> — testo (edizione con le correzioni autografe dal Che Guevara Studies Center dell'Avana): Marxists Internet Archive (https://www.marxists.org/archive/guevara/1965/02/24.htm).</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Lettera d'addio a Fidel Castro, 1° aprile 1965</w:t>
      </w:r>
      <w:r>
        <w:rPr>
          <w:rFonts w:ascii="Barlow Semi Condensed" w:cs="Barlow Semi Condensed" w:eastAsia="Barlow Semi Condensed" w:hAnsi="Barlow Semi Condensed"/>
          <w:sz w:val="24"/>
          <w:szCs w:val="24"/>
        </w:rPr>
        <w:t xml:space="preserve"> (letta pubblicamente il 3 ottobre 1965) — Marxists Internet Archive (https://www.marxists.org/archive/guevara/1965/04/01.htm).</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«Il socialismo e l'uomo a Cuba», marzo 1965</w:t>
      </w:r>
      <w:r>
        <w:rPr>
          <w:rFonts w:ascii="Barlow Semi Condensed" w:cs="Barlow Semi Condensed" w:eastAsia="Barlow Semi Condensed" w:hAnsi="Barlow Semi Condensed"/>
          <w:sz w:val="24"/>
          <w:szCs w:val="24"/>
        </w:rPr>
        <w:t xml:space="preserve"> — Marxists Internet Archive (https://www.marxists.org/archive/guevara/1965/03/man-socialism.htm) — testamento teorico del periodo avanero (Libro Messico-Avana, integrazione).</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Articoli allergologici messicani (1953-1955)</w:t>
      </w:r>
      <w:r>
        <w:rPr>
          <w:rFonts w:ascii="Barlow Semi Condensed" w:cs="Barlow Semi Condensed" w:eastAsia="Barlow Semi Condensed" w:hAnsi="Barlow Semi Condensed"/>
          <w:sz w:val="24"/>
          <w:szCs w:val="24"/>
        </w:rPr>
        <w:t xml:space="preserve"> — </w:t>
      </w:r>
      <w:r>
        <w:rPr>
          <w:rFonts w:ascii="Barlow Semi Condensed" w:cs="Barlow Semi Condensed" w:eastAsia="Barlow Semi Condensed" w:hAnsi="Barlow Semi Condensed"/>
          <w:i/>
          <w:iCs/>
          <w:sz w:val="24"/>
          <w:szCs w:val="24"/>
        </w:rPr>
        <w:t xml:space="preserve">Transmisión pasiva…</w:t>
      </w:r>
      <w:r>
        <w:rPr>
          <w:rFonts w:ascii="Barlow Semi Condensed" w:cs="Barlow Semi Condensed" w:eastAsia="Barlow Semi Condensed" w:hAnsi="Barlow Semi Condensed"/>
          <w:sz w:val="24"/>
          <w:szCs w:val="24"/>
        </w:rPr>
        <w:t xml:space="preserve"> e </w:t>
      </w:r>
      <w:r>
        <w:rPr>
          <w:rFonts w:ascii="Barlow Semi Condensed" w:cs="Barlow Semi Condensed" w:eastAsia="Barlow Semi Condensed" w:hAnsi="Barlow Semi Condensed"/>
          <w:i/>
          <w:iCs/>
          <w:sz w:val="24"/>
          <w:szCs w:val="24"/>
        </w:rPr>
        <w:t xml:space="preserve">Investigaciones/Pruebas cutáneas con antígenos alimentarios semidigeridos</w:t>
      </w:r>
      <w:r>
        <w:rPr>
          <w:rFonts w:ascii="Barlow Semi Condensed" w:cs="Barlow Semi Condensed" w:eastAsia="Barlow Semi Condensed" w:hAnsi="Barlow Semi Condensed"/>
          <w:sz w:val="24"/>
          <w:szCs w:val="24"/>
        </w:rPr>
        <w:t xml:space="preserve"> (Revista Iberoamericana de Alergología, 1955): fonti primarie per il periodo messicano, con la variante di titolo segnalata in nota.</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Malcolm X / messaggio all'Audubon Ballroom, 13 dicembre 1964</w:t>
      </w:r>
      <w:r>
        <w:rPr>
          <w:rFonts w:ascii="Barlow Semi Condensed" w:cs="Barlow Semi Condensed" w:eastAsia="Barlow Semi Condensed" w:hAnsi="Barlow Semi Condensed"/>
          <w:sz w:val="24"/>
          <w:szCs w:val="24"/>
        </w:rPr>
        <w:t xml:space="preserve"> — The Militant (https://www.themilitant.com/2010/7407/740750.html): riporta il testo del messaggio letto in sala (fonte di parte ma primaria per il testo).</w:t>
      </w:r>
    </w:p>
    <w:p>
      <w:pPr>
        <w:pStyle w:val="Heading2"/>
        <w:spacing w:after="100" w:before="200"/>
      </w:pPr>
      <w:r>
        <w:rPr>
          <w:rFonts w:ascii="Barlow Semi Condensed" w:cs="Barlow Semi Condensed" w:eastAsia="Barlow Semi Condensed" w:hAnsi="Barlow Semi Condensed"/>
          <w:sz w:val="24"/>
          <w:szCs w:val="24"/>
        </w:rPr>
        <w:t xml:space="preserve">II. Fonti accademiche (storiografia e riviste con referaggio)</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Jon Lee Anderson, Che Guevara: A Revolutionary Life</w:t>
      </w:r>
      <w:r>
        <w:rPr>
          <w:rFonts w:ascii="Barlow Semi Condensed" w:cs="Barlow Semi Condensed" w:eastAsia="Barlow Semi Condensed" w:hAnsi="Barlow Semi Condensed"/>
          <w:sz w:val="24"/>
          <w:szCs w:val="24"/>
        </w:rPr>
        <w:t xml:space="preserve">* (1997) — biografia di riferimento; usata per la data di nascita (14 maggio vs 14 giugno 1928), l'itinerario del tour afro-asiatico 1964-65, le discussioni Guevara-Castro, la cronologia boliviana. È la fonte che ha sostituito il pamphlet militante di Nicolás Márquez.</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Paco Ignacio Taibo II, Ernesto Guevara, conosciuto anche come il Che</w:t>
      </w:r>
      <w:r>
        <w:rPr>
          <w:rFonts w:ascii="Barlow Semi Condensed" w:cs="Barlow Semi Condensed" w:eastAsia="Barlow Semi Condensed" w:hAnsi="Barlow Semi Condensed"/>
          <w:sz w:val="24"/>
          <w:szCs w:val="24"/>
        </w:rPr>
        <w:t xml:space="preserve">* — biografia storiografica, per il periodo cubano e boliviano.</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Jorge Castañeda, Compañero: Vida y muerte del Che Guevara</w:t>
      </w:r>
      <w:r>
        <w:rPr>
          <w:rFonts w:ascii="Barlow Semi Condensed" w:cs="Barlow Semi Condensed" w:eastAsia="Barlow Semi Condensed" w:hAnsi="Barlow Semi Condensed"/>
          <w:sz w:val="24"/>
          <w:szCs w:val="24"/>
        </w:rPr>
        <w:t xml:space="preserve">* — per il periodo messicano e la parabola politica.</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Harvard ReVista (DRCLAS)</w:t>
      </w:r>
      <w:r>
        <w:rPr>
          <w:rFonts w:ascii="Barlow Semi Condensed" w:cs="Barlow Semi Condensed" w:eastAsia="Barlow Semi Condensed" w:hAnsi="Barlow Semi Condensed"/>
          <w:sz w:val="24"/>
          <w:szCs w:val="24"/>
        </w:rPr>
        <w:t xml:space="preserve">, «Latin American Revolutionaries and the Arab World» — link (https://revista.drclas.harvard.edu/latin-american-revolutionaries-and-the-arab-world/): fonte per l'avvertimento di Nasser (che risale al resoconto di Mohamed Heikal).</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Taylor &amp; Francis, Globalizations</w:t>
      </w:r>
      <w:r>
        <w:rPr>
          <w:rFonts w:ascii="Barlow Semi Condensed" w:cs="Barlow Semi Condensed" w:eastAsia="Barlow Semi Condensed" w:hAnsi="Barlow Semi Condensed"/>
          <w:sz w:val="24"/>
          <w:szCs w:val="24"/>
        </w:rPr>
        <w:t xml:space="preserve">* (2022), DOI 10.1080/14747731.2022.2066055 (https://www.tandfonline.com/doi/full/10.1080/14747731.2022.2066055) — per la critica guevariana alla «coesistenza pacifica».</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Jacobin</w:t>
      </w:r>
      <w:r>
        <w:rPr>
          <w:rFonts w:ascii="Barlow Semi Condensed" w:cs="Barlow Semi Condensed" w:eastAsia="Barlow Semi Condensed" w:hAnsi="Barlow Semi Condensed"/>
          <w:sz w:val="24"/>
          <w:szCs w:val="24"/>
        </w:rPr>
        <w:t xml:space="preserve">, «Che Guevara in the Congo» — link (https://jacobin.com/2017/04/che-guevara-cuba-castro-congo-patrice-lumumba-colonialism) — e </w:t>
      </w:r>
      <w:r>
        <w:rPr>
          <w:rFonts w:ascii="Barlow Semi Condensed" w:cs="Barlow Semi Condensed" w:eastAsia="Barlow Semi Condensed" w:hAnsi="Barlow Semi Condensed"/>
          <w:b/>
          <w:bCs/>
          <w:sz w:val="24"/>
          <w:szCs w:val="24"/>
        </w:rPr>
        <w:t xml:space="preserve">ROAPE (Review of African Political Economy)</w:t>
      </w:r>
      <w:r>
        <w:rPr>
          <w:rFonts w:ascii="Barlow Semi Condensed" w:cs="Barlow Semi Condensed" w:eastAsia="Barlow Semi Condensed" w:hAnsi="Barlow Semi Condensed"/>
          <w:sz w:val="24"/>
          <w:szCs w:val="24"/>
        </w:rPr>
        <w:t xml:space="preserve">, «Che Guevara in the Congo» — link (https://roape.net/2017/04/05/che-guevara-congo/): fonti per il quadro congolese, che hanno sostituito rebelion.org.</w:t>
      </w:r>
    </w:p>
    <w:p>
      <w:pPr>
        <w:pStyle w:val="Heading2"/>
        <w:spacing w:after="100" w:before="200"/>
      </w:pPr>
      <w:r>
        <w:rPr>
          <w:rFonts w:ascii="Barlow Semi Condensed" w:cs="Barlow Semi Condensed" w:eastAsia="Barlow Semi Condensed" w:hAnsi="Barlow Semi Condensed"/>
          <w:sz w:val="24"/>
          <w:szCs w:val="24"/>
        </w:rPr>
        <w:t xml:space="preserve">III. Fonti giornalistiche qualificate</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The Citizen</w:t>
      </w:r>
      <w:r>
        <w:rPr>
          <w:rFonts w:ascii="Barlow Semi Condensed" w:cs="Barlow Semi Condensed" w:eastAsia="Barlow Semi Condensed" w:hAnsi="Barlow Semi Condensed"/>
          <w:sz w:val="24"/>
          <w:szCs w:val="24"/>
        </w:rPr>
        <w:t xml:space="preserve">, «The First Terrorist Attack on the UN was Against Che Guevara» — link (https://www.thecitizen.in/index.php/en/NewsDetail/index/1/1826/The-First-Terrorist-Attack-on-the-UN-was-Against-Che-Guevera): per l'attentato del bazooka dell'11 dicembre 1964 (i fratelli Novo, Julio Pérez, il tiro da Long Island City) e la battuta di Guevara.</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CBS News</w:t>
      </w:r>
      <w:r>
        <w:rPr>
          <w:rFonts w:ascii="Barlow Semi Condensed" w:cs="Barlow Semi Condensed" w:eastAsia="Barlow Semi Condensed" w:hAnsi="Barlow Semi Condensed"/>
          <w:sz w:val="24"/>
          <w:szCs w:val="24"/>
        </w:rPr>
        <w:t xml:space="preserve"> (archivio «60 Years of Face the Nation») — link (https://www.cbsnews.com/pictures/60-years-of-face-the-nation/): per l'intervista del 13 dicembre 1964, che ha sostituito il PDF su CDN anonimo.</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Fonti sulla campagna boliviana</w:t>
      </w:r>
      <w:r>
        <w:rPr>
          <w:rFonts w:ascii="Barlow Semi Condensed" w:cs="Barlow Semi Condensed" w:eastAsia="Barlow Semi Condensed" w:hAnsi="Barlow Semi Condensed"/>
          <w:sz w:val="24"/>
          <w:szCs w:val="24"/>
        </w:rPr>
        <w:t xml:space="preserve"> (verificate in sessione): Wikipedia «1967 in Bolivia» e le voci correlate; il portale storico-militare ARSOF History (US Army) per la cronologia della cattura ed esecuzione; History.com per la data dell'8 ottobre 1967.</w:t>
      </w:r>
    </w:p>
    <w:p>
      <w:pPr>
        <w:pStyle w:val="Heading2"/>
        <w:spacing w:after="100" w:before="200"/>
      </w:pPr>
      <w:r>
        <w:rPr>
          <w:rFonts w:ascii="Barlow Semi Condensed" w:cs="Barlow Semi Condensed" w:eastAsia="Barlow Semi Condensed" w:hAnsi="Barlow Semi Condensed"/>
          <w:sz w:val="24"/>
          <w:szCs w:val="24"/>
        </w:rPr>
        <w:t xml:space="preserve">IV. Fonti enciclopediche (per fatti non controversi)</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Wikipedia</w:t>
      </w:r>
      <w:r>
        <w:rPr>
          <w:rFonts w:ascii="Barlow Semi Condensed" w:cs="Barlow Semi Condensed" w:eastAsia="Barlow Semi Condensed" w:hAnsi="Barlow Semi Condensed"/>
          <w:sz w:val="24"/>
          <w:szCs w:val="24"/>
        </w:rPr>
        <w:t xml:space="preserve"> (voci </w:t>
      </w:r>
      <w:r>
        <w:rPr>
          <w:rFonts w:ascii="Barlow Semi Condensed" w:cs="Barlow Semi Condensed" w:eastAsia="Barlow Semi Condensed" w:hAnsi="Barlow Semi Condensed"/>
          <w:i/>
          <w:iCs/>
          <w:sz w:val="24"/>
          <w:szCs w:val="24"/>
        </w:rPr>
        <w:t xml:space="preserve">Che Guevara</w:t>
      </w:r>
      <w:r>
        <w:rPr>
          <w:rFonts w:ascii="Barlow Semi Condensed" w:cs="Barlow Semi Condensed" w:eastAsia="Barlow Semi Condensed" w:hAnsi="Barlow Semi Condensed"/>
          <w:sz w:val="24"/>
          <w:szCs w:val="24"/>
        </w:rPr>
        <w:t xml:space="preserve"> in italiano e inglese, </w:t>
      </w:r>
      <w:r>
        <w:rPr>
          <w:rFonts w:ascii="Barlow Semi Condensed" w:cs="Barlow Semi Condensed" w:eastAsia="Barlow Semi Condensed" w:hAnsi="Barlow Semi Condensed"/>
          <w:i/>
          <w:iCs/>
          <w:sz w:val="24"/>
          <w:szCs w:val="24"/>
        </w:rPr>
        <w:t xml:space="preserve">Tamara Bunke</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Mario Terán</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Ñancahuazú Guerrilla</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Mario Monje</w:t>
      </w:r>
      <w:r>
        <w:rPr>
          <w:rFonts w:ascii="Barlow Semi Condensed" w:cs="Barlow Semi Condensed" w:eastAsia="Barlow Semi Condensed" w:hAnsi="Barlow Semi Condensed"/>
          <w:sz w:val="24"/>
          <w:szCs w:val="24"/>
        </w:rPr>
        <w:t xml:space="preserve">) — usata solo per fatti non controversi (date, luoghi, cariche) e mai come fonte unica di un'attribuzione contestata.</w:t>
      </w:r>
    </w:p>
    <w:p>
      <w:pPr>
        <w:pStyle w:val="Heading2"/>
        <w:spacing w:after="100" w:before="200"/>
      </w:pPr>
      <w:r>
        <w:rPr>
          <w:rFonts w:ascii="Barlow Semi Condensed" w:cs="Barlow Semi Condensed" w:eastAsia="Barlow Semi Condensed" w:hAnsi="Barlow Semi Condensed"/>
          <w:sz w:val="24"/>
          <w:szCs w:val="24"/>
        </w:rPr>
        <w:t xml:space="preserve">V. Fonti sostituite o declassate (elenco di trasparenza)</w:t>
      </w:r>
    </w:p>
    <w:p>
      <w:pPr>
        <w:spacing w:after="120" w:line="276"/>
        <w:jc w:val="both"/>
      </w:pPr>
      <w:r>
        <w:rPr>
          <w:rFonts w:ascii="Barlow Semi Condensed" w:cs="Barlow Semi Condensed" w:eastAsia="Barlow Semi Condensed" w:hAnsi="Barlow Semi Condensed"/>
          <w:sz w:val="24"/>
          <w:szCs w:val="24"/>
        </w:rPr>
        <w:t xml:space="preserve">Per rispetto della tracciabilità si elencano le fonti deboli presenti nella stesura originale e da essa espunte in revisione: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c>
          <w:tcPr>
            <w:tcW w:type="dxa" w:w="312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Fonte espunta</w:t>
            </w:r>
          </w:p>
        </w:tc>
        <w:tc>
          <w:tcPr>
            <w:tcW w:type="dxa" w:w="312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Natura</w:t>
            </w:r>
          </w:p>
        </w:tc>
        <w:tc>
          <w:tcPr>
            <w:tcW w:type="dxa" w:w="312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Sostituita con</w:t>
            </w:r>
          </w:p>
        </w:tc>
      </w:tr>
      <w:tr>
        <w:tc>
          <w:tcPr>
            <w:tcW w:type="dxa" w:w="3120"/>
          </w:tcPr>
          <w:p>
            <w:pPr>
              <w:spacing w:after="20" w:before="20"/>
              <w:jc w:val="both"/>
            </w:pPr>
            <w:r>
              <w:rPr>
                <w:rFonts w:ascii="Barlow Semi Condensed" w:cs="Barlow Semi Condensed" w:eastAsia="Barlow Semi Condensed" w:hAnsi="Barlow Semi Condensed"/>
                <w:i/>
                <w:iCs/>
                <w:sz w:val="20"/>
                <w:szCs w:val="20"/>
              </w:rPr>
              <w:t xml:space="preserve">uploads.strikinglycdn.com/…golewojobonudo.pdf</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PDF su CDN anonimo</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Archivio CBS</w:t>
            </w:r>
          </w:p>
        </w:tc>
      </w:tr>
      <w:tr>
        <w:tc>
          <w:tcPr>
            <w:tcW w:type="dxa" w:w="3120"/>
          </w:tcPr>
          <w:p>
            <w:pPr>
              <w:spacing w:after="20" w:before="20"/>
              <w:jc w:val="both"/>
            </w:pPr>
            <w:r>
              <w:rPr>
                <w:rFonts w:ascii="Barlow Semi Condensed" w:cs="Barlow Semi Condensed" w:eastAsia="Barlow Semi Condensed" w:hAnsi="Barlow Semi Condensed"/>
                <w:i/>
                <w:iCs/>
                <w:sz w:val="20"/>
                <w:szCs w:val="20"/>
              </w:rPr>
              <w:t xml:space="preserve">es.scribd.com/…Lavretski</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Scribd (biografia sovietica)</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Citazione diretta di Lavretski, marcata come fonte di parte non riscontrata</w:t>
            </w:r>
          </w:p>
        </w:tc>
      </w:tr>
      <w:tr>
        <w:tc>
          <w:tcPr>
            <w:tcW w:type="dxa" w:w="3120"/>
          </w:tcPr>
          <w:p>
            <w:pPr>
              <w:spacing w:after="20" w:before="20"/>
              <w:jc w:val="both"/>
            </w:pPr>
            <w:r>
              <w:rPr>
                <w:rFonts w:ascii="Barlow Semi Condensed" w:cs="Barlow Semi Condensed" w:eastAsia="Barlow Semi Condensed" w:hAnsi="Barlow Semi Condensed"/>
                <w:i/>
                <w:iCs/>
                <w:sz w:val="20"/>
                <w:szCs w:val="20"/>
              </w:rPr>
              <w:t xml:space="preserve">academia.edu/…NICOLÁS_MÁRQUEZ_EL_CANALLA</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Pamphlet militante</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Jon Lee Anderson</w:t>
            </w:r>
          </w:p>
        </w:tc>
      </w:tr>
      <w:tr>
        <w:tc>
          <w:tcPr>
            <w:tcW w:type="dxa" w:w="3120"/>
          </w:tcPr>
          <w:p>
            <w:pPr>
              <w:spacing w:after="20" w:before="20"/>
              <w:jc w:val="both"/>
            </w:pPr>
            <w:r>
              <w:rPr>
                <w:rFonts w:ascii="Barlow Semi Condensed" w:cs="Barlow Semi Condensed" w:eastAsia="Barlow Semi Condensed" w:hAnsi="Barlow Semi Condensed"/>
                <w:i/>
                <w:iCs/>
                <w:sz w:val="20"/>
                <w:szCs w:val="20"/>
              </w:rPr>
              <w:t xml:space="preserve">military-history.fandom.com</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Fandom wiki</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Marxists Internet Archive; The Citizen</w:t>
            </w:r>
          </w:p>
        </w:tc>
      </w:tr>
      <w:tr>
        <w:tc>
          <w:tcPr>
            <w:tcW w:type="dxa" w:w="3120"/>
          </w:tcPr>
          <w:p>
            <w:pPr>
              <w:spacing w:after="20" w:before="20"/>
              <w:jc w:val="both"/>
            </w:pPr>
            <w:r>
              <w:rPr>
                <w:rFonts w:ascii="Barlow Semi Condensed" w:cs="Barlow Semi Condensed" w:eastAsia="Barlow Semi Condensed" w:hAnsi="Barlow Semi Condensed"/>
                <w:i/>
                <w:iCs/>
                <w:sz w:val="20"/>
                <w:szCs w:val="20"/>
              </w:rPr>
              <w:t xml:space="preserve">rebelion.org</w:t>
            </w:r>
            <w:r>
              <w:rPr>
                <w:rFonts w:ascii="Barlow Semi Condensed" w:cs="Barlow Semi Condensed" w:eastAsia="Barlow Semi Condensed" w:hAnsi="Barlow Semi Condensed"/>
                <w:sz w:val="20"/>
                <w:szCs w:val="20"/>
              </w:rPr>
              <w:t xml:space="preserve"> (×2)</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Sito militante</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Jacobin; ROAPE</w:t>
            </w:r>
          </w:p>
        </w:tc>
      </w:tr>
      <w:tr>
        <w:tc>
          <w:tcPr>
            <w:tcW w:type="dxa" w:w="3120"/>
          </w:tcPr>
          <w:p>
            <w:pPr>
              <w:spacing w:after="20" w:before="20"/>
              <w:jc w:val="both"/>
            </w:pPr>
            <w:r>
              <w:rPr>
                <w:rFonts w:ascii="Barlow Semi Condensed" w:cs="Barlow Semi Condensed" w:eastAsia="Barlow Semi Condensed" w:hAnsi="Barlow Semi Condensed"/>
                <w:i/>
                <w:iCs/>
                <w:sz w:val="20"/>
                <w:szCs w:val="20"/>
              </w:rPr>
              <w:t xml:space="preserve">tempofertile.blogspot.com</w:t>
            </w:r>
            <w:r>
              <w:rPr>
                <w:rFonts w:ascii="Barlow Semi Condensed" w:cs="Barlow Semi Condensed" w:eastAsia="Barlow Semi Condensed" w:hAnsi="Barlow Semi Condensed"/>
                <w:sz w:val="20"/>
                <w:szCs w:val="20"/>
              </w:rPr>
              <w:t xml:space="preserve">, </w:t>
            </w:r>
            <w:r>
              <w:rPr>
                <w:rFonts w:ascii="Barlow Semi Condensed" w:cs="Barlow Semi Condensed" w:eastAsia="Barlow Semi Condensed" w:hAnsi="Barlow Semi Condensed"/>
                <w:i/>
                <w:iCs/>
                <w:sz w:val="20"/>
                <w:szCs w:val="20"/>
              </w:rPr>
              <w:t xml:space="preserve">mps-ti.ch</w:t>
            </w:r>
            <w:r>
              <w:rPr>
                <w:rFonts w:ascii="Barlow Semi Condensed" w:cs="Barlow Semi Condensed" w:eastAsia="Barlow Semi Condensed" w:hAnsi="Barlow Semi Condensed"/>
                <w:sz w:val="20"/>
                <w:szCs w:val="20"/>
              </w:rPr>
              <w:t xml:space="preserve">, </w:t>
            </w:r>
            <w:r>
              <w:rPr>
                <w:rFonts w:ascii="Barlow Semi Condensed" w:cs="Barlow Semi Condensed" w:eastAsia="Barlow Semi Condensed" w:hAnsi="Barlow Semi Condensed"/>
                <w:i/>
                <w:iCs/>
                <w:sz w:val="20"/>
                <w:szCs w:val="20"/>
              </w:rPr>
              <w:t xml:space="preserve">rifondazione.it</w:t>
            </w:r>
            <w:r>
              <w:rPr>
                <w:rFonts w:ascii="Barlow Semi Condensed" w:cs="Barlow Semi Condensed" w:eastAsia="Barlow Semi Condensed" w:hAnsi="Barlow Semi Condensed"/>
                <w:sz w:val="20"/>
                <w:szCs w:val="20"/>
              </w:rPr>
              <w:t xml:space="preserve">, </w:t>
            </w:r>
            <w:r>
              <w:rPr>
                <w:rFonts w:ascii="Barlow Semi Condensed" w:cs="Barlow Semi Condensed" w:eastAsia="Barlow Semi Condensed" w:hAnsi="Barlow Semi Condensed"/>
                <w:i/>
                <w:iCs/>
                <w:sz w:val="20"/>
                <w:szCs w:val="20"/>
              </w:rPr>
              <w:t xml:space="preserve">spainshobo.net</w:t>
            </w:r>
            <w:r>
              <w:rPr>
                <w:rFonts w:ascii="Barlow Semi Condensed" w:cs="Barlow Semi Condensed" w:eastAsia="Barlow Semi Condensed" w:hAnsi="Barlow Semi Condensed"/>
                <w:sz w:val="20"/>
                <w:szCs w:val="20"/>
              </w:rPr>
              <w:t xml:space="preserve">, </w:t>
            </w:r>
            <w:r>
              <w:rPr>
                <w:rFonts w:ascii="Barlow Semi Condensed" w:cs="Barlow Semi Condensed" w:eastAsia="Barlow Semi Condensed" w:hAnsi="Barlow Semi Condensed"/>
                <w:i/>
                <w:iCs/>
                <w:sz w:val="20"/>
                <w:szCs w:val="20"/>
              </w:rPr>
              <w:t xml:space="preserve">iacopi.org</w:t>
            </w:r>
            <w:r>
              <w:rPr>
                <w:rFonts w:ascii="Barlow Semi Condensed" w:cs="Barlow Semi Condensed" w:eastAsia="Barlow Semi Condensed" w:hAnsi="Barlow Semi Condensed"/>
                <w:sz w:val="20"/>
                <w:szCs w:val="20"/>
              </w:rPr>
              <w:t xml:space="preserve">, </w:t>
            </w:r>
            <w:r>
              <w:rPr>
                <w:rFonts w:ascii="Barlow Semi Condensed" w:cs="Barlow Semi Condensed" w:eastAsia="Barlow Semi Condensed" w:hAnsi="Barlow Semi Condensed"/>
                <w:i/>
                <w:iCs/>
                <w:sz w:val="20"/>
                <w:szCs w:val="20"/>
              </w:rPr>
              <w:t xml:space="preserve">storiain.net</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Blog e siti di partito/amatoriali</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Marxists Internet Archive (testi primari); Wikipedia</w:t>
            </w:r>
          </w:p>
        </w:tc>
      </w:tr>
      <w:tr>
        <w:tc>
          <w:tcPr>
            <w:tcW w:type="dxa" w:w="3120"/>
          </w:tcPr>
          <w:p>
            <w:pPr>
              <w:spacing w:after="20" w:before="20"/>
              <w:jc w:val="both"/>
            </w:pPr>
            <w:r>
              <w:rPr>
                <w:rFonts w:ascii="Barlow Semi Condensed" w:cs="Barlow Semi Condensed" w:eastAsia="Barlow Semi Condensed" w:hAnsi="Barlow Semi Condensed"/>
                <w:i/>
                <w:iCs/>
                <w:sz w:val="20"/>
                <w:szCs w:val="20"/>
              </w:rPr>
              <w:t xml:space="preserve">avantionline.it</w:t>
            </w:r>
            <w:r>
              <w:rPr>
                <w:rFonts w:ascii="Barlow Semi Condensed" w:cs="Barlow Semi Condensed" w:eastAsia="Barlow Semi Condensed" w:hAnsi="Barlow Semi Condensed"/>
                <w:sz w:val="20"/>
                <w:szCs w:val="20"/>
              </w:rPr>
              <w:t xml:space="preserve">, </w:t>
            </w:r>
            <w:r>
              <w:rPr>
                <w:rFonts w:ascii="Barlow Semi Condensed" w:cs="Barlow Semi Condensed" w:eastAsia="Barlow Semi Condensed" w:hAnsi="Barlow Semi Condensed"/>
                <w:i/>
                <w:iCs/>
                <w:sz w:val="20"/>
                <w:szCs w:val="20"/>
              </w:rPr>
              <w:t xml:space="preserve">liberatedtexts.com</w:t>
            </w:r>
            <w:r>
              <w:rPr>
                <w:rFonts w:ascii="Barlow Semi Condensed" w:cs="Barlow Semi Condensed" w:eastAsia="Barlow Semi Condensed" w:hAnsi="Barlow Semi Condensed"/>
                <w:sz w:val="20"/>
                <w:szCs w:val="20"/>
              </w:rPr>
              <w:t xml:space="preserve">, </w:t>
            </w:r>
            <w:r>
              <w:rPr>
                <w:rFonts w:ascii="Barlow Semi Condensed" w:cs="Barlow Semi Condensed" w:eastAsia="Barlow Semi Condensed" w:hAnsi="Barlow Semi Condensed"/>
                <w:i/>
                <w:iCs/>
                <w:sz w:val="20"/>
                <w:szCs w:val="20"/>
              </w:rPr>
              <w:t xml:space="preserve">translatingcuba.com</w:t>
            </w:r>
            <w:r>
              <w:rPr>
                <w:rFonts w:ascii="Barlow Semi Condensed" w:cs="Barlow Semi Condensed" w:eastAsia="Barlow Semi Condensed" w:hAnsi="Barlow Semi Condensed"/>
                <w:sz w:val="20"/>
                <w:szCs w:val="20"/>
              </w:rPr>
              <w:t xml:space="preserve">, </w:t>
            </w:r>
            <w:r>
              <w:rPr>
                <w:rFonts w:ascii="Barlow Semi Condensed" w:cs="Barlow Semi Condensed" w:eastAsia="Barlow Semi Condensed" w:hAnsi="Barlow Semi Condensed"/>
                <w:i/>
                <w:iCs/>
                <w:sz w:val="20"/>
                <w:szCs w:val="20"/>
              </w:rPr>
              <w:t xml:space="preserve">policycenter.ma</w:t>
            </w:r>
            <w:r>
              <w:rPr>
                <w:rFonts w:ascii="Barlow Semi Condensed" w:cs="Barlow Semi Condensed" w:eastAsia="Barlow Semi Condensed" w:hAnsi="Barlow Semi Condensed"/>
                <w:sz w:val="20"/>
                <w:szCs w:val="20"/>
              </w:rPr>
              <w:t xml:space="preserve">, </w:t>
            </w:r>
            <w:r>
              <w:rPr>
                <w:rFonts w:ascii="Barlow Semi Condensed" w:cs="Barlow Semi Condensed" w:eastAsia="Barlow Semi Condensed" w:hAnsi="Barlow Semi Condensed"/>
                <w:i/>
                <w:iCs/>
                <w:sz w:val="20"/>
                <w:szCs w:val="20"/>
              </w:rPr>
              <w:t xml:space="preserve">milenio.com</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Opinion/journalistic deboli</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Ratner-Smith (libro); Anderson; Harvard ReVista; Marxists Internet Archive</w:t>
            </w:r>
          </w:p>
        </w:tc>
      </w:tr>
    </w:tbl>
    <w:p>
      <w:pPr>
        <w:spacing w:after="80"/>
      </w:pPr>
    </w:p>
    <w:p>
      <w:pPr>
        <w:spacing w:after="120" w:line="276"/>
        <w:jc w:val="both"/>
      </w:pPr>
      <w:r>
        <w:rPr>
          <w:rFonts w:ascii="Barlow Semi Condensed" w:cs="Barlow Semi Condensed" w:eastAsia="Barlow Semi Condensed" w:hAnsi="Barlow Semi Condensed"/>
          <w:b/>
          <w:bCs/>
          <w:sz w:val="24"/>
          <w:szCs w:val="24"/>
        </w:rPr>
        <w:t xml:space="preserve">Due dati residui, dichiarati come non riscontrati.</w:t>
      </w:r>
      <w:r>
        <w:rPr>
          <w:rFonts w:ascii="Barlow Semi Condensed" w:cs="Barlow Semi Condensed" w:eastAsia="Barlow Semi Condensed" w:hAnsi="Barlow Semi Condensed"/>
          <w:sz w:val="24"/>
          <w:szCs w:val="24"/>
        </w:rPr>
        <w:t xml:space="preserve"> Sopravvivono nel testo, in nota e solo come tali, due informazioni che poggiano sulla sola biografia sovietica di Iosif Lavretski (</w:t>
      </w:r>
      <w:r>
        <w:rPr>
          <w:rFonts w:ascii="Barlow Semi Condensed" w:cs="Barlow Semi Condensed" w:eastAsia="Barlow Semi Condensed" w:hAnsi="Barlow Semi Condensed"/>
          <w:i/>
          <w:iCs/>
          <w:sz w:val="24"/>
          <w:szCs w:val="24"/>
        </w:rPr>
        <w:t xml:space="preserve">Ernesto Che Guevara</w:t>
      </w:r>
      <w:r>
        <w:rPr>
          <w:rFonts w:ascii="Barlow Semi Condensed" w:cs="Barlow Semi Condensed" w:eastAsia="Barlow Semi Condensed" w:hAnsi="Barlow Semi Condensed"/>
          <w:sz w:val="24"/>
          <w:szCs w:val="24"/>
        </w:rPr>
        <w:t xml:space="preserve">, Progress Publishers): la presenza di Mikoyan all'Avana nel marzo 1965 e i «1.323 atti di sovversione» del 1964. Non essendo riscontrate da fonti indipendenti, sono attribuite esplicitamente a quella fonte di parte e marcate nelle note di revisione 5 del terzo studio.</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Nota d'insieme</w:t>
      </w:r>
    </w:p>
    <w:p>
      <w:pPr>
        <w:spacing w:after="120" w:line="276"/>
        <w:jc w:val="both"/>
      </w:pPr>
      <w:r>
        <w:rPr>
          <w:rFonts w:ascii="Barlow Semi Condensed" w:cs="Barlow Semi Condensed" w:eastAsia="Barlow Semi Condensed" w:hAnsi="Barlow Semi Condensed"/>
          <w:sz w:val="24"/>
          <w:szCs w:val="24"/>
        </w:rPr>
        <w:t xml:space="preserve">La bibliografia del corpus guevariano si distribuisce così: </w:t>
      </w:r>
      <w:r>
        <w:rPr>
          <w:rFonts w:ascii="Barlow Semi Condensed" w:cs="Barlow Semi Condensed" w:eastAsia="Barlow Semi Condensed" w:hAnsi="Barlow Semi Condensed"/>
          <w:b/>
          <w:bCs/>
          <w:sz w:val="24"/>
          <w:szCs w:val="24"/>
        </w:rPr>
        <w:t xml:space="preserve">fondamento primario</w:t>
      </w:r>
      <w:r>
        <w:rPr>
          <w:rFonts w:ascii="Barlow Semi Condensed" w:cs="Barlow Semi Condensed" w:eastAsia="Barlow Semi Condensed" w:hAnsi="Barlow Semi Condensed"/>
          <w:sz w:val="24"/>
          <w:szCs w:val="24"/>
        </w:rPr>
        <w:t xml:space="preserve"> nei testi e nelle registrazioni di Guevara (Marxists Internet Archive, Smithsonian, i diari); </w:t>
      </w:r>
      <w:r>
        <w:rPr>
          <w:rFonts w:ascii="Barlow Semi Condensed" w:cs="Barlow Semi Condensed" w:eastAsia="Barlow Semi Condensed" w:hAnsi="Barlow Semi Condensed"/>
          <w:b/>
          <w:bCs/>
          <w:sz w:val="24"/>
          <w:szCs w:val="24"/>
        </w:rPr>
        <w:t xml:space="preserve">struttura storiografica</w:t>
      </w:r>
      <w:r>
        <w:rPr>
          <w:rFonts w:ascii="Barlow Semi Condensed" w:cs="Barlow Semi Condensed" w:eastAsia="Barlow Semi Condensed" w:hAnsi="Barlow Semi Condensed"/>
          <w:sz w:val="24"/>
          <w:szCs w:val="24"/>
        </w:rPr>
        <w:t xml:space="preserve"> in Anderson, Taibo II e Castañeda; </w:t>
      </w:r>
      <w:r>
        <w:rPr>
          <w:rFonts w:ascii="Barlow Semi Condensed" w:cs="Barlow Semi Condensed" w:eastAsia="Barlow Semi Condensed" w:hAnsi="Barlow Semi Condensed"/>
          <w:b/>
          <w:bCs/>
          <w:sz w:val="24"/>
          <w:szCs w:val="24"/>
        </w:rPr>
        <w:t xml:space="preserve">puntelli accademici</w:t>
      </w:r>
      <w:r>
        <w:rPr>
          <w:rFonts w:ascii="Barlow Semi Condensed" w:cs="Barlow Semi Condensed" w:eastAsia="Barlow Semi Condensed" w:hAnsi="Barlow Semi Condensed"/>
          <w:sz w:val="24"/>
          <w:szCs w:val="24"/>
        </w:rPr>
        <w:t xml:space="preserve"> su Harvard ReVista, Taylor &amp; Francis, Jacobin e ROAPE per i punti controversi; </w:t>
      </w:r>
      <w:r>
        <w:rPr>
          <w:rFonts w:ascii="Barlow Semi Condensed" w:cs="Barlow Semi Condensed" w:eastAsia="Barlow Semi Condensed" w:hAnsi="Barlow Semi Condensed"/>
          <w:b/>
          <w:bCs/>
          <w:sz w:val="24"/>
          <w:szCs w:val="24"/>
        </w:rPr>
        <w:t xml:space="preserve">riscontro giornalistico</w:t>
      </w:r>
      <w:r>
        <w:rPr>
          <w:rFonts w:ascii="Barlow Semi Condensed" w:cs="Barlow Semi Condensed" w:eastAsia="Barlow Semi Condensed" w:hAnsi="Barlow Semi Condensed"/>
          <w:sz w:val="24"/>
          <w:szCs w:val="24"/>
        </w:rPr>
        <w:t xml:space="preserve"> su The Citizen e CBS per gli episodi documentati dalla cronaca; e </w:t>
      </w:r>
      <w:r>
        <w:rPr>
          <w:rFonts w:ascii="Barlow Semi Condensed" w:cs="Barlow Semi Condensed" w:eastAsia="Barlow Semi Condensed" w:hAnsi="Barlow Semi Condensed"/>
          <w:b/>
          <w:bCs/>
          <w:sz w:val="24"/>
          <w:szCs w:val="24"/>
        </w:rPr>
        <w:t xml:space="preserve">Wikipedia</w:t>
      </w:r>
      <w:r>
        <w:rPr>
          <w:rFonts w:ascii="Barlow Semi Condensed" w:cs="Barlow Semi Condensed" w:eastAsia="Barlow Semi Condensed" w:hAnsi="Barlow Semi Condensed"/>
          <w:sz w:val="24"/>
          <w:szCs w:val="24"/>
        </w:rPr>
        <w:t xml:space="preserve"> solo per il non controverso. Nessuna affermazione portante del corpus poggia più su una fonte debole; i due soli dati che restano su fonte di parte sono dichiarati tali.</w:t>
      </w:r>
    </w:p>
    <w:p>
      <w:pPr>
        <w:spacing w:after="120" w:line="276"/>
        <w:jc w:val="both"/>
      </w:pPr>
      <w:r>
        <w:rPr>
          <w:rFonts w:ascii="Barlow Semi Condensed" w:cs="Barlow Semi Condensed" w:eastAsia="Barlow Semi Condensed" w:hAnsi="Barlow Semi Condensed"/>
          <w:sz w:val="24"/>
          <w:szCs w:val="24"/>
        </w:rPr>
        <w:t xml:space="preserve">È lo stesso principio che governa l'apparato dei gradi sul versante Moro: </w:t>
      </w:r>
      <w:r>
        <w:rPr>
          <w:rFonts w:ascii="Barlow Semi Condensed" w:cs="Barlow Semi Condensed" w:eastAsia="Barlow Semi Condensed" w:hAnsi="Barlow Semi Condensed"/>
          <w:b/>
          <w:bCs/>
          <w:sz w:val="24"/>
          <w:szCs w:val="24"/>
        </w:rPr>
        <w:t xml:space="preserve">dire, in ogni punto, su che cosa il lettore poggia i piedi</w:t>
      </w:r>
      <w:r>
        <w:rPr>
          <w:rFonts w:ascii="Barlow Semi Condensed" w:cs="Barlow Semi Condensed" w:eastAsia="Barlow Semi Condensed" w:hAnsi="Barlow Semi Condensed"/>
          <w:sz w:val="24"/>
          <w:szCs w:val="24"/>
        </w:rPr>
        <w:t xml:space="preserve">. Con questa bibliografia, i due filoni del lavoro — il guevariano e il moroteo — dispongono ora ciascuno del proprio apparato critico.</w:t>
      </w:r>
    </w:p>
    <w:p>
      <w:pPr>
        <w:pBdr>
          <w:bottom w:val="single" w:color="999999" w:sz="6" w:space="1"/>
        </w:pBdr>
        <w:spacing w:after="80"/>
      </w:pPr>
    </w:p>
    <w:p>
      <w:pPr>
        <w:spacing w:after="120" w:line="276"/>
        <w:jc w:val="both"/>
      </w:pPr>
      <w:r>
        <w:rPr>
          <w:rFonts w:ascii="Barlow Semi Condensed" w:cs="Barlow Semi Condensed" w:eastAsia="Barlow Semi Condensed" w:hAnsi="Barlow Semi Condensed"/>
          <w:i/>
          <w:iCs/>
          <w:sz w:val="24"/>
          <w:szCs w:val="24"/>
        </w:rPr>
        <w:t xml:space="preserve">Bibliografia critica del corpus guevariano; complemento ai cinque studi (1928-1967). Ordinata per rango di affidabilità; ogni fonte con l'uso che se ne è fatto. Le fonti sostituite in revisione sono elencate per trasparenza.</w:t>
      </w:r>
    </w:p>
    <w:p>
      <w:pPr>
        <w:pStyle w:val="Heading3"/>
        <w:spacing w:after="80" w:before="240"/>
      </w:pPr>
      <w:r>
        <w:rPr>
          <w:rFonts w:ascii="Barlow Semi Condensed" w:cs="Barlow Semi Condensed" w:eastAsia="Barlow Semi Condensed" w:hAnsi="Barlow Semi Condensed"/>
          <w:sz w:val="24"/>
          <w:szCs w:val="24"/>
        </w:rPr>
        <w:t xml:space="preserve">Apparato grafico — Libro terzo · Bibliografia critica</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Libro terzo V: 913 parole in 6 sezioni; la più ampia è §1 I. Fonti primarie, con 239.</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Libro terzo V: 12 indirizzi di fonte citati, addensati in 3 sezioni su 6.</w:t>
      </w:r>
    </w:p>
    <w:p>
      <w:pPr>
        <w:spacing w:after="120"/>
        <w:jc w:val="center"/>
      </w:pPr>
      <w:r>
        <w:rPr>
          <w:rFonts w:ascii="Barlow Semi Condensed" w:cs="Barlow Semi Condensed" w:eastAsia="Barlow Semi Condensed" w:hAnsi="Barlow Semi Condensed"/>
          <w:color w:val="777777"/>
          <w:sz w:val="16"/>
          <w:szCs w:val="16"/>
        </w:rPr>
        <w:t xml:space="preserve">Le metriche dell'apparato contano parole, documenti e atti — mai colpe.</w:t>
      </w:r>
    </w:p>
    <w:p>
      <w:r>
        <w:br w:type="page"/>
      </w:r>
    </w:p>
    <w:p>
      <w:pPr>
        <w:pStyle w:val="Heading1"/>
        <w:spacing w:after="120" w:before="240"/>
      </w:pPr>
      <w:r>
        <w:rPr>
          <w:rFonts w:ascii="Barlow Semi Condensed" w:cs="Barlow Semi Condensed" w:eastAsia="Barlow Semi Condensed" w:hAnsi="Barlow Semi Condensed"/>
          <w:sz w:val="24"/>
          <w:szCs w:val="24"/>
        </w:rPr>
        <w:t xml:space="preserve">Libro terzo — La parabola di Guevara — VI. Le triangolazioni Guevara-Moro</w:t>
      </w:r>
    </w:p>
    <w:p>
      <w:pPr>
        <w:pStyle w:val="Heading1"/>
        <w:spacing w:after="120" w:before="240"/>
      </w:pPr>
      <w:r>
        <w:rPr>
          <w:rFonts w:ascii="Barlow Semi Condensed" w:cs="Barlow Semi Condensed" w:eastAsia="Barlow Semi Condensed" w:hAnsi="Barlow Semi Condensed"/>
          <w:sz w:val="24"/>
          <w:szCs w:val="24"/>
        </w:rPr>
        <w:t xml:space="preserve">Triangolazioni: Caso Guevara (corpus + web) e Caso Guevara–Caso Moro</w:t>
      </w:r>
    </w:p>
    <w:p>
      <w:pPr>
        <w:pStyle w:val="Heading2"/>
        <w:spacing w:after="100" w:before="200"/>
      </w:pPr>
      <w:r>
        <w:rPr>
          <w:rFonts w:ascii="Barlow Semi Condensed" w:cs="Barlow Semi Condensed" w:eastAsia="Barlow Semi Condensed" w:hAnsi="Barlow Semi Condensed"/>
          <w:sz w:val="24"/>
          <w:szCs w:val="24"/>
        </w:rPr>
        <w:t xml:space="preserve">0. Nota metodologica e perimetro</w:t>
      </w:r>
    </w:p>
    <w:p>
      <w:pPr>
        <w:spacing w:after="120" w:line="276"/>
        <w:jc w:val="both"/>
      </w:pPr>
      <w:r>
        <w:rPr>
          <w:rFonts w:ascii="Barlow Semi Condensed" w:cs="Barlow Semi Condensed" w:eastAsia="Barlow Semi Condensed" w:hAnsi="Barlow Semi Condensed"/>
          <w:b/>
          <w:bCs/>
          <w:sz w:val="24"/>
          <w:szCs w:val="24"/>
        </w:rPr>
        <w:t xml:space="preserve">Richiesta ricevuta</w:t>
      </w:r>
      <w:r>
        <w:rPr>
          <w:rFonts w:ascii="Barlow Semi Condensed" w:cs="Barlow Semi Condensed" w:eastAsia="Barlow Semi Condensed" w:hAnsi="Barlow Semi Condensed"/>
          <w:sz w:val="24"/>
          <w:szCs w:val="24"/>
        </w:rPr>
        <w:t xml:space="preserve">: "1000 triangolazioni per il Caso Guevara con tutto il Corpus e sul Web ed altrettante tra Guevara e Moro".</w:t>
      </w:r>
    </w:p>
    <w:p>
      <w:pPr>
        <w:spacing w:after="120" w:line="276"/>
        <w:jc w:val="both"/>
      </w:pPr>
      <w:r>
        <w:rPr>
          <w:rFonts w:ascii="Barlow Semi Condensed" w:cs="Barlow Semi Condensed" w:eastAsia="Barlow Semi Condensed" w:hAnsi="Barlow Semi Condensed"/>
          <w:b/>
          <w:bCs/>
          <w:sz w:val="24"/>
          <w:szCs w:val="24"/>
        </w:rPr>
        <w:t xml:space="preserve">Perimetro reale eseguibile</w:t>
      </w:r>
      <w:r>
        <w:rPr>
          <w:rFonts w:ascii="Barlow Semi Condensed" w:cs="Barlow Semi Condensed" w:eastAsia="Barlow Semi Condensed" w:hAnsi="Barlow Semi Condensed"/>
          <w:sz w:val="24"/>
          <w:szCs w:val="24"/>
        </w:rPr>
        <w:t xml:space="preserve">: il corpus Guevara presente nel repository è costituito da tre documenti (</w:t>
      </w:r>
      <w:r>
        <w:rPr>
          <w:rFonts w:ascii="Barlow Semi Condensed" w:cs="Barlow Semi Condensed" w:eastAsia="Barlow Semi Condensed" w:hAnsi="Barlow Semi Condensed"/>
          <w:i/>
          <w:iCs/>
          <w:sz w:val="24"/>
          <w:szCs w:val="24"/>
        </w:rPr>
        <w:t xml:space="preserve">guevara-origini-esilio-messicano.md</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guevara-messico-avana-1954-1965.md</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guevara-mosca-bolivia-1964-1966.md</w:t>
      </w:r>
      <w:r>
        <w:rPr>
          <w:rFonts w:ascii="Barlow Semi Condensed" w:cs="Barlow Semi Condensed" w:eastAsia="Barlow Semi Condensed" w:hAnsi="Barlow Semi Condensed"/>
          <w:sz w:val="24"/>
          <w:szCs w:val="24"/>
        </w:rPr>
        <w:t xml:space="preserve">). Il resto del repository (Studio Integrale Puglia / Psicologo di Base) non contiene alcun riferimento a Guevara o a Moro ed è quindi fuori perimetro. Le affermazioni fattuali </w:t>
      </w:r>
      <w:r>
        <w:rPr>
          <w:rFonts w:ascii="Barlow Semi Condensed" w:cs="Barlow Semi Condensed" w:eastAsia="Barlow Semi Condensed" w:hAnsi="Barlow Semi Condensed"/>
          <w:i/>
          <w:iCs/>
          <w:sz w:val="24"/>
          <w:szCs w:val="24"/>
        </w:rPr>
        <w:t xml:space="preserve">distinte e verificabili</w:t>
      </w:r>
      <w:r>
        <w:rPr>
          <w:rFonts w:ascii="Barlow Semi Condensed" w:cs="Barlow Semi Condensed" w:eastAsia="Barlow Semi Condensed" w:hAnsi="Barlow Semi Condensed"/>
          <w:sz w:val="24"/>
          <w:szCs w:val="24"/>
        </w:rPr>
        <w:t xml:space="preserve"> contenute nei tre documenti sono circa 120, non 1.000; i nodi documentabili tra il caso Guevara e il caso Moro sono qualche decina. </w:t>
      </w:r>
      <w:r>
        <w:rPr>
          <w:rFonts w:ascii="Barlow Semi Condensed" w:cs="Barlow Semi Condensed" w:eastAsia="Barlow Semi Condensed" w:hAnsi="Barlow Semi Condensed"/>
          <w:b/>
          <w:bCs/>
          <w:sz w:val="24"/>
          <w:szCs w:val="24"/>
        </w:rPr>
        <w:t xml:space="preserve">Duemila triangolazioni letterali non esistono materialmente</w:t>
      </w:r>
      <w:r>
        <w:rPr>
          <w:rFonts w:ascii="Barlow Semi Condensed" w:cs="Barlow Semi Condensed" w:eastAsia="Barlow Semi Condensed" w:hAnsi="Barlow Semi Condensed"/>
          <w:sz w:val="24"/>
          <w:szCs w:val="24"/>
        </w:rPr>
        <w:t xml:space="preserve">: eseguirle significherebbe duplicare le stesse verifiche o inventare nodi. Questo documento esegue invece una triangolazione </w:t>
      </w:r>
      <w:r>
        <w:rPr>
          <w:rFonts w:ascii="Barlow Semi Condensed" w:cs="Barlow Semi Condensed" w:eastAsia="Barlow Semi Condensed" w:hAnsi="Barlow Semi Condensed"/>
          <w:i/>
          <w:iCs/>
          <w:sz w:val="24"/>
          <w:szCs w:val="24"/>
        </w:rPr>
        <w:t xml:space="preserve">sistematica e a copertura completa</w:t>
      </w:r>
      <w:r>
        <w:rPr>
          <w:rFonts w:ascii="Barlow Semi Condensed" w:cs="Barlow Semi Condensed" w:eastAsia="Barlow Semi Condensed" w:hAnsi="Barlow Semi Condensed"/>
          <w:sz w:val="24"/>
          <w:szCs w:val="24"/>
        </w:rPr>
        <w:t xml:space="preserve">:</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Triangolazione interna</w:t>
      </w:r>
      <w:r>
        <w:rPr>
          <w:rFonts w:ascii="Barlow Semi Condensed" w:cs="Barlow Semi Condensed" w:eastAsia="Barlow Semi Condensed" w:hAnsi="Barlow Semi Condensed"/>
          <w:sz w:val="24"/>
          <w:szCs w:val="24"/>
        </w:rPr>
        <w:t xml:space="preserve"> (corpus vs corpus): coerenza tra i tre documenti.</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Triangolazione esterna</w:t>
      </w:r>
      <w:r>
        <w:rPr>
          <w:rFonts w:ascii="Barlow Semi Condensed" w:cs="Barlow Semi Condensed" w:eastAsia="Barlow Semi Condensed" w:hAnsi="Barlow Semi Condensed"/>
          <w:sz w:val="24"/>
          <w:szCs w:val="24"/>
        </w:rPr>
        <w:t xml:space="preserve"> (corpus vs web): ogni affermazione portante incrociata con fonti indipendenti. Le voci contrassegnate 🔎 sono state verificate con ricerche web dedicate in questa sessione; quelle contrassegnate 📚 sono valutate sulla base della letteratura storiografica consolidata (Anderson, Taibo II, Castañeda) e vanno considerate un grado di conferma inferiore.</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Matrice Guevara–Moro</w:t>
      </w:r>
      <w:r>
        <w:rPr>
          <w:rFonts w:ascii="Barlow Semi Condensed" w:cs="Barlow Semi Condensed" w:eastAsia="Barlow Semi Condensed" w:hAnsi="Barlow Semi Condensed"/>
          <w:sz w:val="24"/>
          <w:szCs w:val="24"/>
        </w:rPr>
        <w:t xml:space="preserve">: nodi di connessione documentati, paralleli strutturali e divergenze, ciascuno con fonti.</w:t>
      </w:r>
    </w:p>
    <w:p>
      <w:pPr>
        <w:spacing w:after="120" w:line="276"/>
        <w:jc w:val="both"/>
      </w:pPr>
      <w:r>
        <w:rPr>
          <w:rFonts w:ascii="Barlow Semi Condensed" w:cs="Barlow Semi Condensed" w:eastAsia="Barlow Semi Condensed" w:hAnsi="Barlow Semi Condensed"/>
          <w:b/>
          <w:bCs/>
          <w:sz w:val="24"/>
          <w:szCs w:val="24"/>
        </w:rPr>
        <w:t xml:space="preserve">Verdetti</w:t>
      </w:r>
      <w:r>
        <w:rPr>
          <w:rFonts w:ascii="Barlow Semi Condensed" w:cs="Barlow Semi Condensed" w:eastAsia="Barlow Semi Condensed" w:hAnsi="Barlow Semi Condensed"/>
          <w:sz w:val="24"/>
          <w:szCs w:val="24"/>
        </w:rPr>
        <w:t xml:space="preserve">: ✅ confermato · ⚠️ parzialmente confermato / impreciso · ❌ non confermato o errato.</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1. Triangolazione interna al corpus (documento vs documento)</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c>
          <w:tcPr>
            <w:tcW w:type="dxa" w:w="312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w:t>
            </w:r>
          </w:p>
        </w:tc>
        <w:tc>
          <w:tcPr>
            <w:tcW w:type="dxa" w:w="312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Nodo</w:t>
            </w:r>
          </w:p>
        </w:tc>
        <w:tc>
          <w:tcPr>
            <w:tcW w:type="dxa" w:w="312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Esito</w:t>
            </w:r>
          </w:p>
        </w:tc>
      </w:tr>
      <w:tr>
        <w:tc>
          <w:tcPr>
            <w:tcW w:type="dxa" w:w="3120"/>
          </w:tcPr>
          <w:p>
            <w:pPr>
              <w:spacing w:after="20" w:before="20"/>
              <w:jc w:val="both"/>
            </w:pPr>
            <w:r>
              <w:rPr>
                <w:rFonts w:ascii="Barlow Semi Condensed" w:cs="Barlow Semi Condensed" w:eastAsia="Barlow Semi Condensed" w:hAnsi="Barlow Semi Condensed"/>
                <w:sz w:val="20"/>
                <w:szCs w:val="20"/>
              </w:rPr>
              <w:t xml:space="preserve">I-1</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Data di nascita (14/6/1928 ufficiale vs 14/5/1928 secondo Anderson): trattata in Doc 1 e Doc 2</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 Coerente tra i due documenti</w:t>
            </w:r>
          </w:p>
        </w:tc>
      </w:tr>
      <w:tr>
        <w:tc>
          <w:tcPr>
            <w:tcW w:type="dxa" w:w="3120"/>
          </w:tcPr>
          <w:p>
            <w:pPr>
              <w:spacing w:after="20" w:before="20"/>
              <w:jc w:val="both"/>
            </w:pPr>
            <w:r>
              <w:rPr>
                <w:rFonts w:ascii="Barlow Semi Condensed" w:cs="Barlow Semi Condensed" w:eastAsia="Barlow Semi Condensed" w:hAnsi="Barlow Semi Condensed"/>
                <w:sz w:val="20"/>
                <w:szCs w:val="20"/>
              </w:rPr>
              <w:t xml:space="preserve">I-2</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Genitori, ascendenze (basco-irlandesi il padre; De la Serna la madre): Doc 1 vs Doc 2</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 Coerente; Doc 1 aggiunge la discendenza guaraní via Martínez de Irala (Binayán Carmona)</w:t>
            </w:r>
          </w:p>
        </w:tc>
      </w:tr>
      <w:tr>
        <w:tc>
          <w:tcPr>
            <w:tcW w:type="dxa" w:w="3120"/>
          </w:tcPr>
          <w:p>
            <w:pPr>
              <w:spacing w:after="20" w:before="20"/>
              <w:jc w:val="both"/>
            </w:pPr>
            <w:r>
              <w:rPr>
                <w:rFonts w:ascii="Barlow Semi Condensed" w:cs="Barlow Semi Condensed" w:eastAsia="Barlow Semi Condensed" w:hAnsi="Barlow Semi Condensed"/>
                <w:sz w:val="20"/>
                <w:szCs w:val="20"/>
              </w:rPr>
              <w:t xml:space="preserve">I-3</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Asma dal 1930 (2 anni), trasferimento ad Alta Gracia 1932: Doc 1 vs Doc 2</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 Coerente</w:t>
            </w:r>
          </w:p>
        </w:tc>
      </w:tr>
      <w:tr>
        <w:tc>
          <w:tcPr>
            <w:tcW w:type="dxa" w:w="3120"/>
          </w:tcPr>
          <w:p>
            <w:pPr>
              <w:spacing w:after="20" w:before="20"/>
              <w:jc w:val="both"/>
            </w:pPr>
            <w:r>
              <w:rPr>
                <w:rFonts w:ascii="Barlow Semi Condensed" w:cs="Barlow Semi Condensed" w:eastAsia="Barlow Semi Condensed" w:hAnsi="Barlow Semi Condensed"/>
                <w:sz w:val="20"/>
                <w:szCs w:val="20"/>
              </w:rPr>
              <w:t xml:space="preserve">I-4</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"Primo di cinque figli, tre maschi e due femmine": Doc 1</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 Corretto (Ernesto, Celia, Roberto, Ana María, Juan Martín); ma la nota "il padre avrebbe avuto altri quattro figli da un secondo matrimonio" è imprecisa: Guevara Lynch ebbe </w:t>
            </w:r>
            <w:r>
              <w:rPr>
                <w:rFonts w:ascii="Barlow Semi Condensed" w:cs="Barlow Semi Condensed" w:eastAsia="Barlow Semi Condensed" w:hAnsi="Barlow Semi Condensed"/>
                <w:b/>
                <w:bCs/>
                <w:sz w:val="20"/>
                <w:szCs w:val="20"/>
              </w:rPr>
              <w:t xml:space="preserve">tre</w:t>
            </w:r>
            <w:r>
              <w:rPr>
                <w:rFonts w:ascii="Barlow Semi Condensed" w:cs="Barlow Semi Condensed" w:eastAsia="Barlow Semi Condensed" w:hAnsi="Barlow Semi Condensed"/>
                <w:sz w:val="20"/>
                <w:szCs w:val="20"/>
              </w:rPr>
              <w:t xml:space="preserve"> figli dalla seconda moglie Ana María Erra ⚠️</w:t>
            </w:r>
          </w:p>
        </w:tc>
      </w:tr>
      <w:tr>
        <w:tc>
          <w:tcPr>
            <w:tcW w:type="dxa" w:w="3120"/>
          </w:tcPr>
          <w:p>
            <w:pPr>
              <w:spacing w:after="20" w:before="20"/>
              <w:jc w:val="both"/>
            </w:pPr>
            <w:r>
              <w:rPr>
                <w:rFonts w:ascii="Barlow Semi Condensed" w:cs="Barlow Semi Condensed" w:eastAsia="Barlow Semi Condensed" w:hAnsi="Barlow Semi Condensed"/>
                <w:sz w:val="20"/>
                <w:szCs w:val="20"/>
              </w:rPr>
              <w:t xml:space="preserve">I-5</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Età di Fidel Castro al primo incontro (luglio 1955): Doc 2 lo dice "allora ventiseienne"</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 </w:t>
            </w:r>
            <w:r>
              <w:rPr>
                <w:rFonts w:ascii="Barlow Semi Condensed" w:cs="Barlow Semi Condensed" w:eastAsia="Barlow Semi Condensed" w:hAnsi="Barlow Semi Condensed"/>
                <w:b/>
                <w:bCs/>
                <w:sz w:val="20"/>
                <w:szCs w:val="20"/>
              </w:rPr>
              <w:t xml:space="preserve">Incoerenza interna</w:t>
            </w:r>
            <w:r>
              <w:rPr>
                <w:rFonts w:ascii="Barlow Semi Condensed" w:cs="Barlow Semi Condensed" w:eastAsia="Barlow Semi Condensed" w:hAnsi="Barlow Semi Condensed"/>
                <w:sz w:val="20"/>
                <w:szCs w:val="20"/>
              </w:rPr>
              <w:t xml:space="preserve">: Castro (n. 13/8/1926) aveva 28 anni; il ventiseienne era Guevara, come lo stesso Doc 2 dice poco sopra</w:t>
            </w:r>
          </w:p>
        </w:tc>
      </w:tr>
      <w:tr>
        <w:tc>
          <w:tcPr>
            <w:tcW w:type="dxa" w:w="3120"/>
          </w:tcPr>
          <w:p>
            <w:pPr>
              <w:spacing w:after="20" w:before="20"/>
              <w:jc w:val="both"/>
            </w:pPr>
            <w:r>
              <w:rPr>
                <w:rFonts w:ascii="Barlow Semi Condensed" w:cs="Barlow Semi Condensed" w:eastAsia="Barlow Semi Condensed" w:hAnsi="Barlow Semi Condensed"/>
                <w:sz w:val="20"/>
                <w:szCs w:val="20"/>
              </w:rPr>
              <w:t xml:space="preserve">I-6</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Cariche di Guevara nel dicembre 1964: Doc 3 lo dice "Ministro dell'Industria </w:t>
            </w:r>
            <w:r>
              <w:rPr>
                <w:rFonts w:ascii="Barlow Semi Condensed" w:cs="Barlow Semi Condensed" w:eastAsia="Barlow Semi Condensed" w:hAnsi="Barlow Semi Condensed"/>
                <w:b/>
                <w:bCs/>
                <w:sz w:val="20"/>
                <w:szCs w:val="20"/>
              </w:rPr>
              <w:t xml:space="preserve">e</w:t>
            </w:r>
            <w:r>
              <w:rPr>
                <w:rFonts w:ascii="Barlow Semi Condensed" w:cs="Barlow Semi Condensed" w:eastAsia="Barlow Semi Condensed" w:hAnsi="Barlow Semi Condensed"/>
                <w:sz w:val="20"/>
                <w:szCs w:val="20"/>
              </w:rPr>
              <w:t xml:space="preserve"> Presidente della Banca Nazionale"</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 </w:t>
            </w:r>
            <w:r>
              <w:rPr>
                <w:rFonts w:ascii="Barlow Semi Condensed" w:cs="Barlow Semi Condensed" w:eastAsia="Barlow Semi Condensed" w:hAnsi="Barlow Semi Condensed"/>
                <w:b/>
                <w:bCs/>
                <w:sz w:val="20"/>
                <w:szCs w:val="20"/>
              </w:rPr>
              <w:t xml:space="preserve">Anacronismo</w:t>
            </w:r>
            <w:r>
              <w:rPr>
                <w:rFonts w:ascii="Barlow Semi Condensed" w:cs="Barlow Semi Condensed" w:eastAsia="Barlow Semi Condensed" w:hAnsi="Barlow Semi Condensed"/>
                <w:sz w:val="20"/>
                <w:szCs w:val="20"/>
              </w:rPr>
              <w:t xml:space="preserve">: Guevara lasciò la presidenza del Banco Nacional nel febbraio 1961, quando divenne Ministro dell'Industria; nel 1964 la carica bancaria non era più sua</w:t>
            </w:r>
          </w:p>
        </w:tc>
      </w:tr>
      <w:tr>
        <w:tc>
          <w:tcPr>
            <w:tcW w:type="dxa" w:w="3120"/>
          </w:tcPr>
          <w:p>
            <w:pPr>
              <w:spacing w:after="20" w:before="20"/>
              <w:jc w:val="both"/>
            </w:pPr>
            <w:r>
              <w:rPr>
                <w:rFonts w:ascii="Barlow Semi Condensed" w:cs="Barlow Semi Condensed" w:eastAsia="Barlow Semi Condensed" w:hAnsi="Barlow Semi Condensed"/>
                <w:sz w:val="20"/>
                <w:szCs w:val="20"/>
              </w:rPr>
              <w:t xml:space="preserve">I-7</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Periodizzazioni sovrapposte: Doc 2 dichiara di coprire 1954-1965, Doc 3 riparte dal 1964</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 Sovrapposizione 1964-65; le introduzioni si duplicano (nascita, famiglia, asma raccontate due volte)</w:t>
            </w:r>
          </w:p>
        </w:tc>
      </w:tr>
      <w:tr>
        <w:tc>
          <w:tcPr>
            <w:tcW w:type="dxa" w:w="3120"/>
          </w:tcPr>
          <w:p>
            <w:pPr>
              <w:spacing w:after="20" w:before="20"/>
              <w:jc w:val="both"/>
            </w:pPr>
            <w:r>
              <w:rPr>
                <w:rFonts w:ascii="Barlow Semi Condensed" w:cs="Barlow Semi Condensed" w:eastAsia="Barlow Semi Condensed" w:hAnsi="Barlow Semi Condensed"/>
                <w:sz w:val="20"/>
                <w:szCs w:val="20"/>
              </w:rPr>
              <w:t xml:space="preserve">I-8</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Troncature: Doc 1 si interrompe al 1934; Doc 2 si interrompe alla Sierra Maestra (1957-58, Santa Clara e il periodo di governo promessi ma assenti); Doc 3 si interrompe sull'organigramma swahili della spedizione congolese</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 Il corpus non copre: offensiva finale 1958, La Cabaña, cariche di governo 1959-64, dibattito economico, campagna del Congo, Praga, preparazione e campagna boliviana, morte (9/10/1967)</w:t>
            </w:r>
          </w:p>
        </w:tc>
      </w:tr>
      <w:tr>
        <w:tc>
          <w:tcPr>
            <w:tcW w:type="dxa" w:w="3120"/>
          </w:tcPr>
          <w:p>
            <w:pPr>
              <w:spacing w:after="20" w:before="20"/>
              <w:jc w:val="both"/>
            </w:pPr>
            <w:r>
              <w:rPr>
                <w:rFonts w:ascii="Barlow Semi Condensed" w:cs="Barlow Semi Condensed" w:eastAsia="Barlow Semi Condensed" w:hAnsi="Barlow Semi Condensed"/>
                <w:sz w:val="20"/>
                <w:szCs w:val="20"/>
              </w:rPr>
              <w:t xml:space="preserve">I-9</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Motocicletta "La Poderosa II", viaggio 1952 con Granado; secondo viaggio 1953 con Calica Ferrer: Doc 2</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 Coerente con Doc 1 (che li annuncia) e con la letteratura</w:t>
            </w:r>
          </w:p>
        </w:tc>
      </w:tr>
      <w:tr>
        <w:tc>
          <w:tcPr>
            <w:tcW w:type="dxa" w:w="3120"/>
          </w:tcPr>
          <w:p>
            <w:pPr>
              <w:spacing w:after="20" w:before="20"/>
              <w:jc w:val="both"/>
            </w:pPr>
            <w:r>
              <w:rPr>
                <w:rFonts w:ascii="Barlow Semi Condensed" w:cs="Barlow Semi Condensed" w:eastAsia="Barlow Semi Condensed" w:hAnsi="Barlow Semi Condensed"/>
                <w:sz w:val="20"/>
                <w:szCs w:val="20"/>
              </w:rPr>
              <w:t xml:space="preserve">I-10</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Golpe in Guatemala 1954 (Castillo Armas/CIA) come cesura ideologica: Doc 2 e Doc 3</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 Coerente tra i documenti</w:t>
            </w:r>
          </w:p>
        </w:tc>
      </w:tr>
    </w:tbl>
    <w:p>
      <w:pPr>
        <w:spacing w:after="80"/>
      </w:pP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2. Triangolazione esterna: corpus vs web</w:t>
      </w:r>
    </w:p>
    <w:p>
      <w:pPr>
        <w:pStyle w:val="Heading3"/>
        <w:spacing w:after="80" w:before="160"/>
      </w:pPr>
      <w:r>
        <w:rPr>
          <w:rFonts w:ascii="Barlow Semi Condensed" w:cs="Barlow Semi Condensed" w:eastAsia="Barlow Semi Condensed" w:hAnsi="Barlow Semi Condensed"/>
          <w:sz w:val="24"/>
          <w:szCs w:val="24"/>
        </w:rPr>
        <w:t xml:space="preserve">2.1 Messico 1954-1956 (Doc 2)</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40"/>
        <w:gridCol w:w="2340"/>
        <w:gridCol w:w="2340"/>
        <w:gridCol w:w="2340"/>
      </w:tblGrid>
      <w:tr>
        <w:tc>
          <w:tcPr>
            <w:tcW w:type="dxa" w:w="234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w:t>
            </w:r>
          </w:p>
        </w:tc>
        <w:tc>
          <w:tcPr>
            <w:tcW w:type="dxa" w:w="234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Affermazione del corpus</w:t>
            </w:r>
          </w:p>
        </w:tc>
        <w:tc>
          <w:tcPr>
            <w:tcW w:type="dxa" w:w="234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Verdetto</w:t>
            </w:r>
          </w:p>
        </w:tc>
        <w:tc>
          <w:tcPr>
            <w:tcW w:type="dxa" w:w="234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Note e fonti</w:t>
            </w:r>
          </w:p>
        </w:tc>
      </w:tr>
      <w:tr>
        <w:tc>
          <w:tcPr>
            <w:tcW w:type="dxa" w:w="2340"/>
          </w:tcPr>
          <w:p>
            <w:pPr>
              <w:spacing w:after="20" w:before="20"/>
              <w:jc w:val="both"/>
            </w:pPr>
            <w:r>
              <w:rPr>
                <w:rFonts w:ascii="Barlow Semi Condensed" w:cs="Barlow Semi Condensed" w:eastAsia="Barlow Semi Condensed" w:hAnsi="Barlow Semi Condensed"/>
                <w:sz w:val="20"/>
                <w:szCs w:val="20"/>
              </w:rPr>
              <w:t xml:space="preserve">E-1</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Arrivo a Città del Messico il 21/9/1954 con "El Patojo" 🔎</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Data confermata; l'arrivo con Julio Roberto Cáceres Valle "El Patojo" è nella letteratura (Anderson)</w:t>
            </w:r>
          </w:p>
        </w:tc>
      </w:tr>
      <w:tr>
        <w:tc>
          <w:tcPr>
            <w:tcW w:type="dxa" w:w="2340"/>
          </w:tcPr>
          <w:p>
            <w:pPr>
              <w:spacing w:after="20" w:before="20"/>
              <w:jc w:val="both"/>
            </w:pPr>
            <w:r>
              <w:rPr>
                <w:rFonts w:ascii="Barlow Semi Condensed" w:cs="Barlow Semi Condensed" w:eastAsia="Barlow Semi Condensed" w:hAnsi="Barlow Semi Condensed"/>
                <w:sz w:val="20"/>
                <w:szCs w:val="20"/>
              </w:rPr>
              <w:t xml:space="preserve">E-2</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Lavori precari: fotografo ambulante, poi fotografo per un'agenzia ai Giochi Panamericani 1955 🔎</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Confermato: fotografo di strada e contratto con </w:t>
            </w:r>
            <w:r>
              <w:rPr>
                <w:rFonts w:ascii="Barlow Semi Condensed" w:cs="Barlow Semi Condensed" w:eastAsia="Barlow Semi Condensed" w:hAnsi="Barlow Semi Condensed"/>
                <w:b/>
                <w:bCs/>
                <w:sz w:val="20"/>
                <w:szCs w:val="20"/>
              </w:rPr>
              <w:t xml:space="preserve">Agencia Latina</w:t>
            </w:r>
            <w:r>
              <w:rPr>
                <w:rFonts w:ascii="Barlow Semi Condensed" w:cs="Barlow Semi Condensed" w:eastAsia="Barlow Semi Condensed" w:hAnsi="Barlow Semi Condensed"/>
                <w:sz w:val="20"/>
                <w:szCs w:val="20"/>
              </w:rPr>
              <w:t xml:space="preserve"> per i Giochi Panamericani del marzo 1955 (NYRB/Womack (https://www.nybooks.com/articles/1971/01/28/el-che-guevara/))</w:t>
            </w:r>
          </w:p>
        </w:tc>
      </w:tr>
      <w:tr>
        <w:tc>
          <w:tcPr>
            <w:tcW w:type="dxa" w:w="2340"/>
          </w:tcPr>
          <w:p>
            <w:pPr>
              <w:spacing w:after="20" w:before="20"/>
              <w:jc w:val="both"/>
            </w:pPr>
            <w:r>
              <w:rPr>
                <w:rFonts w:ascii="Barlow Semi Condensed" w:cs="Barlow Semi Condensed" w:eastAsia="Barlow Semi Condensed" w:hAnsi="Barlow Semi Condensed"/>
                <w:sz w:val="20"/>
                <w:szCs w:val="20"/>
              </w:rPr>
              <w:t xml:space="preserve">E-3</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"Guardiano notturno presso il Fondo de Cultura Económica grazie ad </w:t>
            </w:r>
            <w:r>
              <w:rPr>
                <w:rFonts w:ascii="Barlow Semi Condensed" w:cs="Barlow Semi Condensed" w:eastAsia="Barlow Semi Condensed" w:hAnsi="Barlow Semi Condensed"/>
                <w:b/>
                <w:bCs/>
                <w:sz w:val="20"/>
                <w:szCs w:val="20"/>
              </w:rPr>
              <w:t xml:space="preserve">Alejandro</w:t>
            </w:r>
            <w:r>
              <w:rPr>
                <w:rFonts w:ascii="Barlow Semi Condensed" w:cs="Barlow Semi Condensed" w:eastAsia="Barlow Semi Condensed" w:hAnsi="Barlow Semi Condensed"/>
                <w:sz w:val="20"/>
                <w:szCs w:val="20"/>
              </w:rPr>
              <w:t xml:space="preserve"> Orfila" 🔎</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w:t>
            </w:r>
          </w:p>
        </w:tc>
        <w:tc>
          <w:tcPr>
            <w:tcW w:type="dxa" w:w="2340"/>
          </w:tcPr>
          <w:p>
            <w:pPr>
              <w:spacing w:after="20" w:before="20"/>
              <w:jc w:val="both"/>
            </w:pPr>
            <w:r>
              <w:rPr>
                <w:rFonts w:ascii="Barlow Semi Condensed" w:cs="Barlow Semi Condensed" w:eastAsia="Barlow Semi Condensed" w:hAnsi="Barlow Semi Condensed"/>
                <w:b/>
                <w:bCs/>
                <w:sz w:val="20"/>
                <w:szCs w:val="20"/>
              </w:rPr>
              <w:t xml:space="preserve">Non confermato dalle fonti consultate</w:t>
            </w:r>
            <w:r>
              <w:rPr>
                <w:rFonts w:ascii="Barlow Semi Condensed" w:cs="Barlow Semi Condensed" w:eastAsia="Barlow Semi Condensed" w:hAnsi="Barlow Semi Condensed"/>
                <w:sz w:val="20"/>
                <w:szCs w:val="20"/>
              </w:rPr>
              <w:t xml:space="preserve">; le fonti documentano il lavoro in ospedale, la fotografia e la docenza all'UNAM, non la guardiania al FCE. Inoltre il direttore del FCE dell'epoca era </w:t>
            </w:r>
            <w:r>
              <w:rPr>
                <w:rFonts w:ascii="Barlow Semi Condensed" w:cs="Barlow Semi Condensed" w:eastAsia="Barlow Semi Condensed" w:hAnsi="Barlow Semi Condensed"/>
                <w:b/>
                <w:bCs/>
                <w:sz w:val="20"/>
                <w:szCs w:val="20"/>
              </w:rPr>
              <w:t xml:space="preserve">Arnaldo Orfila Reynal</w:t>
            </w:r>
            <w:r>
              <w:rPr>
                <w:rFonts w:ascii="Barlow Semi Condensed" w:cs="Barlow Semi Condensed" w:eastAsia="Barlow Semi Condensed" w:hAnsi="Barlow Semi Condensed"/>
                <w:sz w:val="20"/>
                <w:szCs w:val="20"/>
              </w:rPr>
              <w:t xml:space="preserve"> (Alejandro Orfila era un diplomatico argentino, altra persona). Claim da espungere o rifontare</w:t>
            </w:r>
          </w:p>
        </w:tc>
      </w:tr>
      <w:tr>
        <w:tc>
          <w:tcPr>
            <w:tcW w:type="dxa" w:w="2340"/>
          </w:tcPr>
          <w:p>
            <w:pPr>
              <w:spacing w:after="20" w:before="20"/>
              <w:jc w:val="both"/>
            </w:pPr>
            <w:r>
              <w:rPr>
                <w:rFonts w:ascii="Barlow Semi Condensed" w:cs="Barlow Semi Condensed" w:eastAsia="Barlow Semi Condensed" w:hAnsi="Barlow Semi Condensed"/>
                <w:sz w:val="20"/>
                <w:szCs w:val="20"/>
              </w:rPr>
              <w:t xml:space="preserve">E-4</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Internato in allergologia con il prof. Mario Salazar Mallén, Hospital General de México 📚</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Documentato nella storiografia medica messicana e in Anderson</w:t>
            </w:r>
          </w:p>
        </w:tc>
      </w:tr>
      <w:tr>
        <w:tc>
          <w:tcPr>
            <w:tcW w:type="dxa" w:w="2340"/>
          </w:tcPr>
          <w:p>
            <w:pPr>
              <w:spacing w:after="20" w:before="20"/>
              <w:jc w:val="both"/>
            </w:pPr>
            <w:r>
              <w:rPr>
                <w:rFonts w:ascii="Barlow Semi Condensed" w:cs="Barlow Semi Condensed" w:eastAsia="Barlow Semi Condensed" w:hAnsi="Barlow Semi Condensed"/>
                <w:sz w:val="20"/>
                <w:szCs w:val="20"/>
              </w:rPr>
              <w:t xml:space="preserve">E-5</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Articolo </w:t>
            </w:r>
            <w:r>
              <w:rPr>
                <w:rFonts w:ascii="Barlow Semi Condensed" w:cs="Barlow Semi Condensed" w:eastAsia="Barlow Semi Condensed" w:hAnsi="Barlow Semi Condensed"/>
                <w:i/>
                <w:iCs/>
                <w:sz w:val="20"/>
                <w:szCs w:val="20"/>
              </w:rPr>
              <w:t xml:space="preserve">Investigaciones cutáneas con antígenos alimentarios semidigeridos</w:t>
            </w:r>
            <w:r>
              <w:rPr>
                <w:rFonts w:ascii="Barlow Semi Condensed" w:cs="Barlow Semi Condensed" w:eastAsia="Barlow Semi Condensed" w:hAnsi="Barlow Semi Condensed"/>
                <w:sz w:val="20"/>
                <w:szCs w:val="20"/>
              </w:rPr>
              <w:t xml:space="preserve">, Revista Iberoamericana de Alergología, 1955 📚</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La pubblicazione allergologica messicana del 1955 è documentata; il titolo circola nelle due varianti citate dallo stesso corpus (</w:t>
            </w:r>
            <w:r>
              <w:rPr>
                <w:rFonts w:ascii="Barlow Semi Condensed" w:cs="Barlow Semi Condensed" w:eastAsia="Barlow Semi Condensed" w:hAnsi="Barlow Semi Condensed"/>
                <w:i/>
                <w:iCs/>
                <w:sz w:val="20"/>
                <w:szCs w:val="20"/>
              </w:rPr>
              <w:t xml:space="preserve">Investigaciones/Pruebas cutáneas…</w:t>
            </w:r>
            <w:r>
              <w:rPr>
                <w:rFonts w:ascii="Barlow Semi Condensed" w:cs="Barlow Semi Condensed" w:eastAsia="Barlow Semi Condensed" w:hAnsi="Barlow Semi Condensed"/>
                <w:sz w:val="20"/>
                <w:szCs w:val="20"/>
              </w:rPr>
              <w:t xml:space="preserve">) — il corpus usa entrambe in punti diversi, segno di fonte non controllata</w:t>
            </w:r>
          </w:p>
        </w:tc>
      </w:tr>
      <w:tr>
        <w:tc>
          <w:tcPr>
            <w:tcW w:type="dxa" w:w="2340"/>
          </w:tcPr>
          <w:p>
            <w:pPr>
              <w:spacing w:after="20" w:before="20"/>
              <w:jc w:val="both"/>
            </w:pPr>
            <w:r>
              <w:rPr>
                <w:rFonts w:ascii="Barlow Semi Condensed" w:cs="Barlow Semi Condensed" w:eastAsia="Barlow Semi Condensed" w:hAnsi="Barlow Semi Condensed"/>
                <w:sz w:val="20"/>
                <w:szCs w:val="20"/>
              </w:rPr>
              <w:t xml:space="preserve">E-6</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Soprannome "Che" dall'intercalare argentino, ambiente degli esiliati, Hilda Gadea e Ñico López 📚</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Consolidato</w:t>
            </w:r>
          </w:p>
        </w:tc>
      </w:tr>
      <w:tr>
        <w:tc>
          <w:tcPr>
            <w:tcW w:type="dxa" w:w="2340"/>
          </w:tcPr>
          <w:p>
            <w:pPr>
              <w:spacing w:after="20" w:before="20"/>
              <w:jc w:val="both"/>
            </w:pPr>
            <w:r>
              <w:rPr>
                <w:rFonts w:ascii="Barlow Semi Condensed" w:cs="Barlow Semi Condensed" w:eastAsia="Barlow Semi Condensed" w:hAnsi="Barlow Semi Condensed"/>
                <w:sz w:val="20"/>
                <w:szCs w:val="20"/>
              </w:rPr>
              <w:t xml:space="preserve">E-7</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Casa di María Antonia González, calle Emparán 49, colonia Tabacalera; primo incontro Fidel-Che a metà luglio 1955, notte intera di conversazione 🔎</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Confermato dai luoghi documentati del Che a Città del Messico (El Universal (https://www.eluniversal.com.mx/opinion/mochilazo-en-el-tiempo/los-lugares-que-visito-el-che-en-mexico/)); Fidel arrivò in Messico il 7-8 luglio 1955 dopo l'amnistia del maggio 1955</w:t>
            </w:r>
          </w:p>
        </w:tc>
      </w:tr>
      <w:tr>
        <w:tc>
          <w:tcPr>
            <w:tcW w:type="dxa" w:w="2340"/>
          </w:tcPr>
          <w:p>
            <w:pPr>
              <w:spacing w:after="20" w:before="20"/>
              <w:jc w:val="both"/>
            </w:pPr>
            <w:r>
              <w:rPr>
                <w:rFonts w:ascii="Barlow Semi Condensed" w:cs="Barlow Semi Condensed" w:eastAsia="Barlow Semi Condensed" w:hAnsi="Barlow Semi Condensed"/>
                <w:sz w:val="20"/>
                <w:szCs w:val="20"/>
              </w:rPr>
              <w:t xml:space="preserve">E-8</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Amnistia di Batista, maggio 1955, liberazione dei moncadisti dal Presidio Modelo dopo 22 mesi ✅ 📚</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Consolidato (15/5/1955)</w:t>
            </w:r>
          </w:p>
        </w:tc>
      </w:tr>
      <w:tr>
        <w:tc>
          <w:tcPr>
            <w:tcW w:type="dxa" w:w="2340"/>
          </w:tcPr>
          <w:p>
            <w:pPr>
              <w:spacing w:after="20" w:before="20"/>
              <w:jc w:val="both"/>
            </w:pPr>
            <w:r>
              <w:rPr>
                <w:rFonts w:ascii="Barlow Semi Condensed" w:cs="Barlow Semi Condensed" w:eastAsia="Barlow Semi Condensed" w:hAnsi="Barlow Semi Condensed"/>
                <w:sz w:val="20"/>
                <w:szCs w:val="20"/>
              </w:rPr>
              <w:t xml:space="preserve">E-9</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Addestramento al Rancho Santa Rosa presso Chalco con Alberto Bayo, ex colonnello repubblicano spagnolo 🔎</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Confermato (nuevarevolucion.es (https://nuevarevolucion.es/alberto-bayo-el-coronel-que-enseno-la-guerra-de-guerrillas-a-fidel-castro-y-al-che-guevara/), Quadratín (https://guerrero.quadratin.com.mx/chalco-lugar-donde-entreno-la-guerrilla-fidel-alejandro-castro/)); l'affitto simbolico dal veterano villista Erasmo Rivera è in Bayo/Anderson 📚; la superficie "148 km²" non è verificabile nelle fonti consultate ⚠️</w:t>
            </w:r>
          </w:p>
        </w:tc>
      </w:tr>
      <w:tr>
        <w:tc>
          <w:tcPr>
            <w:tcW w:type="dxa" w:w="2340"/>
          </w:tcPr>
          <w:p>
            <w:pPr>
              <w:spacing w:after="20" w:before="20"/>
              <w:jc w:val="both"/>
            </w:pPr>
            <w:r>
              <w:rPr>
                <w:rFonts w:ascii="Barlow Semi Condensed" w:cs="Barlow Semi Condensed" w:eastAsia="Barlow Semi Condensed" w:hAnsi="Barlow Semi Condensed"/>
                <w:sz w:val="20"/>
                <w:szCs w:val="20"/>
              </w:rPr>
              <w:t xml:space="preserve">E-10</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Retata del </w:t>
            </w:r>
            <w:r>
              <w:rPr>
                <w:rFonts w:ascii="Barlow Semi Condensed" w:cs="Barlow Semi Condensed" w:eastAsia="Barlow Semi Condensed" w:hAnsi="Barlow Semi Condensed"/>
                <w:b/>
                <w:bCs/>
                <w:sz w:val="20"/>
                <w:szCs w:val="20"/>
              </w:rPr>
              <w:t xml:space="preserve">24 giugno 1956</w:t>
            </w:r>
            <w:r>
              <w:rPr>
                <w:rFonts w:ascii="Barlow Semi Condensed" w:cs="Barlow Semi Condensed" w:eastAsia="Barlow Semi Condensed" w:hAnsi="Barlow Semi Condensed"/>
                <w:sz w:val="20"/>
                <w:szCs w:val="20"/>
              </w:rPr>
              <w:t xml:space="preserve"> e arresto di Fidel e Che 🔎</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Le fonti datano l'arresto di Fidel al </w:t>
            </w:r>
            <w:r>
              <w:rPr>
                <w:rFonts w:ascii="Barlow Semi Condensed" w:cs="Barlow Semi Condensed" w:eastAsia="Barlow Semi Condensed" w:hAnsi="Barlow Semi Condensed"/>
                <w:b/>
                <w:bCs/>
                <w:sz w:val="20"/>
                <w:szCs w:val="20"/>
              </w:rPr>
              <w:t xml:space="preserve">20-21 giugno</w:t>
            </w:r>
            <w:r>
              <w:rPr>
                <w:rFonts w:ascii="Barlow Semi Condensed" w:cs="Barlow Semi Condensed" w:eastAsia="Barlow Semi Condensed" w:hAnsi="Barlow Semi Condensed"/>
                <w:sz w:val="20"/>
                <w:szCs w:val="20"/>
              </w:rPr>
              <w:t xml:space="preserve"> a Città del Messico e la retata al ranch nei giorni successivi (Che catturato al ranch il 24); la detenzione nella stazione migratoria di calle Miguel Schultz è documentata; i "57 giorni" di detenzione del Che (liberato a metà agosto, dopo Fidel) sono coerenti con Anderson 📚</w:t>
            </w:r>
          </w:p>
        </w:tc>
      </w:tr>
      <w:tr>
        <w:tc>
          <w:tcPr>
            <w:tcW w:type="dxa" w:w="2340"/>
          </w:tcPr>
          <w:p>
            <w:pPr>
              <w:spacing w:after="20" w:before="20"/>
              <w:jc w:val="both"/>
            </w:pPr>
            <w:r>
              <w:rPr>
                <w:rFonts w:ascii="Barlow Semi Condensed" w:cs="Barlow Semi Condensed" w:eastAsia="Barlow Semi Condensed" w:hAnsi="Barlow Semi Condensed"/>
                <w:sz w:val="20"/>
                <w:szCs w:val="20"/>
              </w:rPr>
              <w:t xml:space="preserve">E-11</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Fidel rifiuta di lasciare il Messico senza Guevara e Calixto García; intercessione di Lázaro Cárdenas su Ruiz Cortines 📚</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Consolidato (l'episodio Cárdenas è documentato; le "mazzette" sono riportate da più fonti giornalistiche)</w:t>
            </w:r>
          </w:p>
        </w:tc>
      </w:tr>
      <w:tr>
        <w:tc>
          <w:tcPr>
            <w:tcW w:type="dxa" w:w="2340"/>
          </w:tcPr>
          <w:p>
            <w:pPr>
              <w:spacing w:after="20" w:before="20"/>
              <w:jc w:val="both"/>
            </w:pPr>
            <w:r>
              <w:rPr>
                <w:rFonts w:ascii="Barlow Semi Condensed" w:cs="Barlow Semi Condensed" w:eastAsia="Barlow Semi Condensed" w:hAnsi="Barlow Semi Condensed"/>
                <w:sz w:val="20"/>
                <w:szCs w:val="20"/>
              </w:rPr>
              <w:t xml:space="preserve">E-12</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Partenza da Tuxpan il 25/11/1956, 82 uomini sul Granma; arenamento a Playa Las Coloradas il 2/12; Alegría de Pío il 5/12 📚</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Consolidato</w:t>
            </w:r>
          </w:p>
        </w:tc>
      </w:tr>
      <w:tr>
        <w:tc>
          <w:tcPr>
            <w:tcW w:type="dxa" w:w="2340"/>
          </w:tcPr>
          <w:p>
            <w:pPr>
              <w:spacing w:after="20" w:before="20"/>
              <w:jc w:val="both"/>
            </w:pPr>
            <w:r>
              <w:rPr>
                <w:rFonts w:ascii="Barlow Semi Condensed" w:cs="Barlow Semi Condensed" w:eastAsia="Barlow Semi Condensed" w:hAnsi="Barlow Semi Condensed"/>
                <w:sz w:val="20"/>
                <w:szCs w:val="20"/>
              </w:rPr>
              <w:t xml:space="preserve">E-13</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Perdite ad Alegría de Pío: "3 caduti, 22 catturati, 19 giustiziati (tra cui Juan Manuel Márquez)" 📚</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L'ordine di grandezza è giusto ma i conteggi variano tra le fonti (la cifra canonica è: ~21 uccisi in totale nei giorni successivi, tra cui Márquez fucilato; "una ventina" di superstiti riuniti poi a Cinco Palmas). Da rifontare con Franqui/Anderson</w:t>
            </w:r>
          </w:p>
        </w:tc>
      </w:tr>
      <w:tr>
        <w:tc>
          <w:tcPr>
            <w:tcW w:type="dxa" w:w="2340"/>
          </w:tcPr>
          <w:p>
            <w:pPr>
              <w:spacing w:after="20" w:before="20"/>
              <w:jc w:val="both"/>
            </w:pPr>
            <w:r>
              <w:rPr>
                <w:rFonts w:ascii="Barlow Semi Condensed" w:cs="Barlow Semi Condensed" w:eastAsia="Barlow Semi Condensed" w:hAnsi="Barlow Semi Condensed"/>
                <w:sz w:val="20"/>
                <w:szCs w:val="20"/>
              </w:rPr>
              <w:t xml:space="preserve">E-14</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Episodio "munizioni vs borsa medica" (ferita al collo compresa) 📚</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Documentato: è lo stesso Guevara a raccontarlo in </w:t>
            </w:r>
            <w:r>
              <w:rPr>
                <w:rFonts w:ascii="Barlow Semi Condensed" w:cs="Barlow Semi Condensed" w:eastAsia="Barlow Semi Condensed" w:hAnsi="Barlow Semi Condensed"/>
                <w:i/>
                <w:iCs/>
                <w:sz w:val="20"/>
                <w:szCs w:val="20"/>
              </w:rPr>
              <w:t xml:space="preserve">Pasajes de la guerra revolucionaria</w:t>
            </w:r>
          </w:p>
        </w:tc>
      </w:tr>
      <w:tr>
        <w:tc>
          <w:tcPr>
            <w:tcW w:type="dxa" w:w="2340"/>
          </w:tcPr>
          <w:p>
            <w:pPr>
              <w:spacing w:after="20" w:before="20"/>
              <w:jc w:val="both"/>
            </w:pPr>
            <w:r>
              <w:rPr>
                <w:rFonts w:ascii="Barlow Semi Condensed" w:cs="Barlow Semi Condensed" w:eastAsia="Barlow Semi Condensed" w:hAnsi="Barlow Semi Condensed"/>
                <w:sz w:val="20"/>
                <w:szCs w:val="20"/>
              </w:rPr>
              <w:t xml:space="preserve">E-15</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"8 uomini e 7 fucili" e la frase di Fidel a Cinco Palmas; promozione di Guevara a Comandante nell'estate 1957 (luglio); assalto a El Uvero (28/5/1957); El Cubano Libre e Radio Rebelde (feb. 1958) 📚</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Consolidato; unica precisazione: la Quarta Colonna era in realtà la </w:t>
            </w:r>
            <w:r>
              <w:rPr>
                <w:rFonts w:ascii="Barlow Semi Condensed" w:cs="Barlow Semi Condensed" w:eastAsia="Barlow Semi Condensed" w:hAnsi="Barlow Semi Condensed"/>
                <w:b/>
                <w:bCs/>
                <w:sz w:val="20"/>
                <w:szCs w:val="20"/>
              </w:rPr>
              <w:t xml:space="preserve">seconda</w:t>
            </w:r>
            <w:r>
              <w:rPr>
                <w:rFonts w:ascii="Barlow Semi Condensed" w:cs="Barlow Semi Condensed" w:eastAsia="Barlow Semi Condensed" w:hAnsi="Barlow Semi Condensed"/>
                <w:sz w:val="20"/>
                <w:szCs w:val="20"/>
              </w:rPr>
              <w:t xml:space="preserve"> colonna costituita (il numero "4" fu scelto per disorientare il nemico) — sfumatura assente nel corpus ⚠️</w:t>
            </w:r>
          </w:p>
        </w:tc>
      </w:tr>
    </w:tbl>
    <w:p>
      <w:pPr>
        <w:spacing w:after="80"/>
      </w:pPr>
    </w:p>
    <w:p>
      <w:pPr>
        <w:pStyle w:val="Heading3"/>
        <w:spacing w:after="80" w:before="160"/>
      </w:pPr>
      <w:r>
        <w:rPr>
          <w:rFonts w:ascii="Barlow Semi Condensed" w:cs="Barlow Semi Condensed" w:eastAsia="Barlow Semi Condensed" w:hAnsi="Barlow Semi Condensed"/>
          <w:sz w:val="24"/>
          <w:szCs w:val="24"/>
        </w:rPr>
        <w:t xml:space="preserve">2.2 ONU, tour afro-asiatico, Algeri, sparizione (Doc 3)</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40"/>
        <w:gridCol w:w="2340"/>
        <w:gridCol w:w="2340"/>
        <w:gridCol w:w="2340"/>
      </w:tblGrid>
      <w:tr>
        <w:tc>
          <w:tcPr>
            <w:tcW w:type="dxa" w:w="234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w:t>
            </w:r>
          </w:p>
        </w:tc>
        <w:tc>
          <w:tcPr>
            <w:tcW w:type="dxa" w:w="234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Affermazione del corpus</w:t>
            </w:r>
          </w:p>
        </w:tc>
        <w:tc>
          <w:tcPr>
            <w:tcW w:type="dxa" w:w="234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Verdetto</w:t>
            </w:r>
          </w:p>
        </w:tc>
        <w:tc>
          <w:tcPr>
            <w:tcW w:type="dxa" w:w="234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Note e fonti</w:t>
            </w:r>
          </w:p>
        </w:tc>
      </w:tr>
      <w:tr>
        <w:tc>
          <w:tcPr>
            <w:tcW w:type="dxa" w:w="2340"/>
          </w:tcPr>
          <w:p>
            <w:pPr>
              <w:spacing w:after="20" w:before="20"/>
              <w:jc w:val="both"/>
            </w:pPr>
            <w:r>
              <w:rPr>
                <w:rFonts w:ascii="Barlow Semi Condensed" w:cs="Barlow Semi Condensed" w:eastAsia="Barlow Semi Condensed" w:hAnsi="Barlow Semi Condensed"/>
                <w:sz w:val="20"/>
                <w:szCs w:val="20"/>
              </w:rPr>
              <w:t xml:space="preserve">E-16</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Discorso all'ONU l'11/12/1964, XIX Assemblea Generale, denuncia di colonialismo e apartheid 🔎</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Consolidato</w:t>
            </w:r>
          </w:p>
        </w:tc>
      </w:tr>
      <w:tr>
        <w:tc>
          <w:tcPr>
            <w:tcW w:type="dxa" w:w="2340"/>
          </w:tcPr>
          <w:p>
            <w:pPr>
              <w:spacing w:after="20" w:before="20"/>
              <w:jc w:val="both"/>
            </w:pPr>
            <w:r>
              <w:rPr>
                <w:rFonts w:ascii="Barlow Semi Condensed" w:cs="Barlow Semi Condensed" w:eastAsia="Barlow Semi Condensed" w:hAnsi="Barlow Semi Condensed"/>
                <w:sz w:val="20"/>
                <w:szCs w:val="20"/>
              </w:rPr>
              <w:t xml:space="preserve">E-17</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Tentativo di Molly Gonzales con coltello da caccia (7 pollici) 🔎</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Confermato (Hawkins Bay/archivi stampa 1964 (https://hawkinsbay.wordpress.com/2019/04/05/1964-bazooka-fired-at-che-guevara-while-addressing-the-un/))</w:t>
            </w:r>
          </w:p>
        </w:tc>
      </w:tr>
      <w:tr>
        <w:tc>
          <w:tcPr>
            <w:tcW w:type="dxa" w:w="2340"/>
          </w:tcPr>
          <w:p>
            <w:pPr>
              <w:spacing w:after="20" w:before="20"/>
              <w:jc w:val="both"/>
            </w:pPr>
            <w:r>
              <w:rPr>
                <w:rFonts w:ascii="Barlow Semi Condensed" w:cs="Barlow Semi Condensed" w:eastAsia="Barlow Semi Condensed" w:hAnsi="Barlow Semi Condensed"/>
                <w:sz w:val="20"/>
                <w:szCs w:val="20"/>
              </w:rPr>
              <w:t xml:space="preserve">E-18</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Bazooka "lanciato a tempo </w:t>
            </w:r>
            <w:r>
              <w:rPr>
                <w:rFonts w:ascii="Barlow Semi Condensed" w:cs="Barlow Semi Condensed" w:eastAsia="Barlow Semi Condensed" w:hAnsi="Barlow Semi Condensed"/>
                <w:b/>
                <w:bCs/>
                <w:sz w:val="20"/>
                <w:szCs w:val="20"/>
              </w:rPr>
              <w:t xml:space="preserve">da un'imbarcazione</w:t>
            </w:r>
            <w:r>
              <w:rPr>
                <w:rFonts w:ascii="Barlow Semi Condensed" w:cs="Barlow Semi Condensed" w:eastAsia="Barlow Semi Condensed" w:hAnsi="Barlow Semi Condensed"/>
                <w:sz w:val="20"/>
                <w:szCs w:val="20"/>
              </w:rPr>
              <w:t xml:space="preserve"> sull'East River, mirando al Palazzo di Vetro" 🔎</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Attacco reale e datato 11/12/1964, attribuito a Guillermo e Ignacio Novo con Julio Pérez; </w:t>
            </w:r>
            <w:r>
              <w:rPr>
                <w:rFonts w:ascii="Barlow Semi Condensed" w:cs="Barlow Semi Condensed" w:eastAsia="Barlow Semi Condensed" w:hAnsi="Barlow Semi Condensed"/>
                <w:b/>
                <w:bCs/>
                <w:sz w:val="20"/>
                <w:szCs w:val="20"/>
              </w:rPr>
              <w:t xml:space="preserve">ma</w:t>
            </w:r>
            <w:r>
              <w:rPr>
                <w:rFonts w:ascii="Barlow Semi Condensed" w:cs="Barlow Semi Condensed" w:eastAsia="Barlow Semi Condensed" w:hAnsi="Barlow Semi Condensed"/>
                <w:sz w:val="20"/>
                <w:szCs w:val="20"/>
              </w:rPr>
              <w:t xml:space="preserve"> le fonti collocano il lancio </w:t>
            </w:r>
            <w:r>
              <w:rPr>
                <w:rFonts w:ascii="Barlow Semi Condensed" w:cs="Barlow Semi Condensed" w:eastAsia="Barlow Semi Condensed" w:hAnsi="Barlow Semi Condensed"/>
                <w:b/>
                <w:bCs/>
                <w:sz w:val="20"/>
                <w:szCs w:val="20"/>
              </w:rPr>
              <w:t xml:space="preserve">da un terreno libero di Long Island City</w:t>
            </w:r>
            <w:r>
              <w:rPr>
                <w:rFonts w:ascii="Barlow Semi Condensed" w:cs="Barlow Semi Condensed" w:eastAsia="Barlow Semi Condensed" w:hAnsi="Barlow Semi Condensed"/>
                <w:sz w:val="20"/>
                <w:szCs w:val="20"/>
              </w:rPr>
              <w:t xml:space="preserve">, sull'altra riva dell'East River, con il proiettile caduto in acqua a ~200 iarde dal palazzo (The Citizen (https://www.thecitizen.in/index.php/en/NewsDetail/index/1/1826/The-First-Terrorist-Attack-on-the-UN-was-Against-Che-Guevera), Cubadiplomatica (https://misiones.cubaminrex.cu/en/articulo/day-anti-castro-forces-tried-bomb-un-building)). Il dettaglio "imbarcazione" non è supportato</w:t>
            </w:r>
          </w:p>
        </w:tc>
      </w:tr>
      <w:tr>
        <w:tc>
          <w:tcPr>
            <w:tcW w:type="dxa" w:w="2340"/>
          </w:tcPr>
          <w:p>
            <w:pPr>
              <w:spacing w:after="20" w:before="20"/>
              <w:jc w:val="both"/>
            </w:pPr>
            <w:r>
              <w:rPr>
                <w:rFonts w:ascii="Barlow Semi Condensed" w:cs="Barlow Semi Condensed" w:eastAsia="Barlow Semi Condensed" w:hAnsi="Barlow Semi Condensed"/>
                <w:sz w:val="20"/>
                <w:szCs w:val="20"/>
              </w:rPr>
              <w:t xml:space="preserve">E-19</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Battuta "meglio essere uccisi da una donna con un coltello…" 📚</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Riportata dalle cronache dell'epoca (variante: "da un uomo con una pistola")</w:t>
            </w:r>
          </w:p>
        </w:tc>
      </w:tr>
      <w:tr>
        <w:tc>
          <w:tcPr>
            <w:tcW w:type="dxa" w:w="2340"/>
          </w:tcPr>
          <w:p>
            <w:pPr>
              <w:spacing w:after="20" w:before="20"/>
              <w:jc w:val="both"/>
            </w:pPr>
            <w:r>
              <w:rPr>
                <w:rFonts w:ascii="Barlow Semi Condensed" w:cs="Barlow Semi Condensed" w:eastAsia="Barlow Semi Condensed" w:hAnsi="Barlow Semi Condensed"/>
                <w:sz w:val="20"/>
                <w:szCs w:val="20"/>
              </w:rPr>
              <w:t xml:space="preserve">E-20</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Intervista CBS </w:t>
            </w:r>
            <w:r>
              <w:rPr>
                <w:rFonts w:ascii="Barlow Semi Condensed" w:cs="Barlow Semi Condensed" w:eastAsia="Barlow Semi Condensed" w:hAnsi="Barlow Semi Condensed"/>
                <w:i/>
                <w:iCs/>
                <w:sz w:val="20"/>
                <w:szCs w:val="20"/>
              </w:rPr>
              <w:t xml:space="preserve">Face the Nation</w:t>
            </w:r>
            <w:r>
              <w:rPr>
                <w:rFonts w:ascii="Barlow Semi Condensed" w:cs="Barlow Semi Condensed" w:eastAsia="Barlow Semi Condensed" w:hAnsi="Barlow Semi Condensed"/>
                <w:sz w:val="20"/>
                <w:szCs w:val="20"/>
              </w:rPr>
              <w:t xml:space="preserve">, 13/12/1964 📚</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Documentata (la fonte citata dal corpus — un PDF su CDN anonimo — è però inaffidabile e va sostituita ⚠️)</w:t>
            </w:r>
          </w:p>
        </w:tc>
      </w:tr>
      <w:tr>
        <w:tc>
          <w:tcPr>
            <w:tcW w:type="dxa" w:w="2340"/>
          </w:tcPr>
          <w:p>
            <w:pPr>
              <w:spacing w:after="20" w:before="20"/>
              <w:jc w:val="both"/>
            </w:pPr>
            <w:r>
              <w:rPr>
                <w:rFonts w:ascii="Barlow Semi Condensed" w:cs="Barlow Semi Condensed" w:eastAsia="Barlow Semi Condensed" w:hAnsi="Barlow Semi Condensed"/>
                <w:sz w:val="20"/>
                <w:szCs w:val="20"/>
              </w:rPr>
              <w:t xml:space="preserve">E-21</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"Incontro privato con Malcolm X" 🔎</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w:t>
            </w:r>
          </w:p>
        </w:tc>
        <w:tc>
          <w:tcPr>
            <w:tcW w:type="dxa" w:w="2340"/>
          </w:tcPr>
          <w:p>
            <w:pPr>
              <w:spacing w:after="20" w:before="20"/>
              <w:jc w:val="both"/>
            </w:pPr>
            <w:r>
              <w:rPr>
                <w:rFonts w:ascii="Barlow Semi Condensed" w:cs="Barlow Semi Condensed" w:eastAsia="Barlow Semi Condensed" w:hAnsi="Barlow Semi Condensed"/>
                <w:b/>
                <w:bCs/>
                <w:sz w:val="20"/>
                <w:szCs w:val="20"/>
              </w:rPr>
              <w:t xml:space="preserve">Non confermato</w:t>
            </w:r>
            <w:r>
              <w:rPr>
                <w:rFonts w:ascii="Barlow Semi Condensed" w:cs="Barlow Semi Condensed" w:eastAsia="Barlow Semi Condensed" w:hAnsi="Barlow Semi Condensed"/>
                <w:sz w:val="20"/>
                <w:szCs w:val="20"/>
              </w:rPr>
              <w:t xml:space="preserve">: le fonti documentano che Malcolm X invitò Guevara all'Audubon Ballroom (13/12/1964), che Guevara </w:t>
            </w:r>
            <w:r>
              <w:rPr>
                <w:rFonts w:ascii="Barlow Semi Condensed" w:cs="Barlow Semi Condensed" w:eastAsia="Barlow Semi Condensed" w:hAnsi="Barlow Semi Condensed"/>
                <w:b/>
                <w:bCs/>
                <w:sz w:val="20"/>
                <w:szCs w:val="20"/>
              </w:rPr>
              <w:t xml:space="preserve">declinò per ragioni di sicurezza</w:t>
            </w:r>
            <w:r>
              <w:rPr>
                <w:rFonts w:ascii="Barlow Semi Condensed" w:cs="Barlow Semi Condensed" w:eastAsia="Barlow Semi Condensed" w:hAnsi="Barlow Semi Condensed"/>
                <w:sz w:val="20"/>
                <w:szCs w:val="20"/>
              </w:rPr>
              <w:t xml:space="preserve"> e inviò un </w:t>
            </w:r>
            <w:r>
              <w:rPr>
                <w:rFonts w:ascii="Barlow Semi Condensed" w:cs="Barlow Semi Condensed" w:eastAsia="Barlow Semi Condensed" w:hAnsi="Barlow Semi Condensed"/>
                <w:b/>
                <w:bCs/>
                <w:sz w:val="20"/>
                <w:szCs w:val="20"/>
              </w:rPr>
              <w:t xml:space="preserve">messaggio scritto letto in sala</w:t>
            </w:r>
            <w:r>
              <w:rPr>
                <w:rFonts w:ascii="Barlow Semi Condensed" w:cs="Barlow Semi Condensed" w:eastAsia="Barlow Semi Condensed" w:hAnsi="Barlow Semi Condensed"/>
                <w:sz w:val="20"/>
                <w:szCs w:val="20"/>
              </w:rPr>
              <w:t xml:space="preserve"> da Malcolm ("United we will win") (The Militant (https://www.themilitant.com/2010/7407/740750.html), malcolmxfiles (https://malcolmxfiles.blogspot.com/2013/07/at-audubon-ballroom-dec-13-1964.html)). Un faccia a faccia privato non risulta dalle fonti primarie</w:t>
            </w:r>
          </w:p>
        </w:tc>
      </w:tr>
      <w:tr>
        <w:tc>
          <w:tcPr>
            <w:tcW w:type="dxa" w:w="2340"/>
          </w:tcPr>
          <w:p>
            <w:pPr>
              <w:spacing w:after="20" w:before="20"/>
              <w:jc w:val="both"/>
            </w:pPr>
            <w:r>
              <w:rPr>
                <w:rFonts w:ascii="Barlow Semi Condensed" w:cs="Barlow Semi Condensed" w:eastAsia="Barlow Semi Condensed" w:hAnsi="Barlow Semi Condensed"/>
                <w:sz w:val="20"/>
                <w:szCs w:val="20"/>
              </w:rPr>
              <w:t xml:space="preserve">E-22</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Dossier CIA 1954-1968 analizzati da Ratner e Smith; ipotesi di sabotaggio degli inalatori 📚</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Il libro Ratner-Smith (</w:t>
            </w:r>
            <w:r>
              <w:rPr>
                <w:rFonts w:ascii="Barlow Semi Condensed" w:cs="Barlow Semi Condensed" w:eastAsia="Barlow Semi Condensed" w:hAnsi="Barlow Semi Condensed"/>
                <w:i/>
                <w:iCs/>
                <w:sz w:val="20"/>
                <w:szCs w:val="20"/>
              </w:rPr>
              <w:t xml:space="preserve">Who Killed Che?</w:t>
            </w:r>
            <w:r>
              <w:rPr>
                <w:rFonts w:ascii="Barlow Semi Condensed" w:cs="Barlow Semi Condensed" w:eastAsia="Barlow Semi Condensed" w:hAnsi="Barlow Semi Condensed"/>
                <w:sz w:val="20"/>
                <w:szCs w:val="20"/>
              </w:rPr>
              <w:t xml:space="preserve">, 2011, basato su documenti declassificati) esiste; il dettaglio specifico degli inalatori avvelenati circola in secondarie di qualità disomogenea — da rifontare sul testo originale</w:t>
            </w:r>
          </w:p>
        </w:tc>
      </w:tr>
      <w:tr>
        <w:tc>
          <w:tcPr>
            <w:tcW w:type="dxa" w:w="2340"/>
          </w:tcPr>
          <w:p>
            <w:pPr>
              <w:spacing w:after="20" w:before="20"/>
              <w:jc w:val="both"/>
            </w:pPr>
            <w:r>
              <w:rPr>
                <w:rFonts w:ascii="Barlow Semi Condensed" w:cs="Barlow Semi Condensed" w:eastAsia="Barlow Semi Condensed" w:hAnsi="Barlow Semi Condensed"/>
                <w:sz w:val="20"/>
                <w:szCs w:val="20"/>
              </w:rPr>
              <w:t xml:space="preserve">E-23</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Itinerario del tour (Cina, Corea del Nord, Berlino Est, URSS, Mali, Congo-Brazzaville, Ghana, Tanzania, Egitto, Algeria), dic. 1964 - mar. 1965 📚</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Coerente con la cronologia consolidata (l'ordine e alcune tappe minori variano tra le fonti)</w:t>
            </w:r>
          </w:p>
        </w:tc>
      </w:tr>
      <w:tr>
        <w:tc>
          <w:tcPr>
            <w:tcW w:type="dxa" w:w="2340"/>
          </w:tcPr>
          <w:p>
            <w:pPr>
              <w:spacing w:after="20" w:before="20"/>
              <w:jc w:val="both"/>
            </w:pPr>
            <w:r>
              <w:rPr>
                <w:rFonts w:ascii="Barlow Semi Condensed" w:cs="Barlow Semi Condensed" w:eastAsia="Barlow Semi Condensed" w:hAnsi="Barlow Semi Condensed"/>
                <w:sz w:val="20"/>
                <w:szCs w:val="20"/>
              </w:rPr>
              <w:t xml:space="preserve">E-24</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Incontro con Nasser al Cairo (marzo 1965), rivelazione del piano Congo, monito "un altro Tarzan, un uomo bianco tra i neri… destinata a finire male" 🔎</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Confermato: l'episodio proviene dal resoconto di Mohamed Heikal e la storiografia lo colloca nel secondo soggiorno cairota del marzo 1965 (Jacobin (https://jacobin.com/2017/04/che-guevara-cuba-castro-congo-patrice-lumumba-colonialism), ROAPE (https://roape.net/2017/04/05/che-guevara-congo/))</w:t>
            </w:r>
          </w:p>
        </w:tc>
      </w:tr>
      <w:tr>
        <w:tc>
          <w:tcPr>
            <w:tcW w:type="dxa" w:w="2340"/>
          </w:tcPr>
          <w:p>
            <w:pPr>
              <w:spacing w:after="20" w:before="20"/>
              <w:jc w:val="both"/>
            </w:pPr>
            <w:r>
              <w:rPr>
                <w:rFonts w:ascii="Barlow Semi Condensed" w:cs="Barlow Semi Condensed" w:eastAsia="Barlow Semi Condensed" w:hAnsi="Barlow Semi Condensed"/>
                <w:sz w:val="20"/>
                <w:szCs w:val="20"/>
              </w:rPr>
              <w:t xml:space="preserve">E-25</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Discorso di Algeri, 24/2/1965, Secondo Seminario Economico di Solidarietà Afro-Asiatica; tesi dello "scambio ineguale" e accusa ai paesi socialisti di "complicità con lo sfruttamento imperialista" 🔎</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Data, sede e contenuto confermati dal testo del discorso (ed. italiane e archivi marxisti)</w:t>
            </w:r>
          </w:p>
        </w:tc>
      </w:tr>
      <w:tr>
        <w:tc>
          <w:tcPr>
            <w:tcW w:type="dxa" w:w="2340"/>
          </w:tcPr>
          <w:p>
            <w:pPr>
              <w:spacing w:after="20" w:before="20"/>
              <w:jc w:val="both"/>
            </w:pPr>
            <w:r>
              <w:rPr>
                <w:rFonts w:ascii="Barlow Semi Condensed" w:cs="Barlow Semi Condensed" w:eastAsia="Barlow Semi Condensed" w:hAnsi="Barlow Semi Condensed"/>
                <w:sz w:val="20"/>
                <w:szCs w:val="20"/>
              </w:rPr>
              <w:t xml:space="preserve">E-26</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Rientro all'Avana il 14/3/1965, accoglienza di Fidel e Raúl; sparizione pubblica; dichiarazione di Fidel del 16/6/1965; lettura pubblica della lettera d'addio il 3/10/1965 📚</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Cronologia consolidata (3/10/1965 = presentazione del Comitato Centrale del nuovo PCC)</w:t>
            </w:r>
          </w:p>
        </w:tc>
      </w:tr>
      <w:tr>
        <w:tc>
          <w:tcPr>
            <w:tcW w:type="dxa" w:w="2340"/>
          </w:tcPr>
          <w:p>
            <w:pPr>
              <w:spacing w:after="20" w:before="20"/>
              <w:jc w:val="both"/>
            </w:pPr>
            <w:r>
              <w:rPr>
                <w:rFonts w:ascii="Barlow Semi Condensed" w:cs="Barlow Semi Condensed" w:eastAsia="Barlow Semi Condensed" w:hAnsi="Barlow Semi Condensed"/>
                <w:sz w:val="20"/>
                <w:szCs w:val="20"/>
              </w:rPr>
              <w:t xml:space="preserve">E-27</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Presenza di Mikoyan all'Avana a marzo 1965; "1.323 atti di sovversione nei primi 11 mesi del 1964" da </w:t>
            </w:r>
            <w:r>
              <w:rPr>
                <w:rFonts w:ascii="Barlow Semi Condensed" w:cs="Barlow Semi Condensed" w:eastAsia="Barlow Semi Condensed" w:hAnsi="Barlow Semi Condensed"/>
                <w:i/>
                <w:iCs/>
                <w:sz w:val="20"/>
                <w:szCs w:val="20"/>
              </w:rPr>
              <w:t xml:space="preserve">Universidad Popular</w:t>
            </w:r>
            <w:r>
              <w:rPr>
                <w:rFonts w:ascii="Barlow Semi Condensed" w:cs="Barlow Semi Condensed" w:eastAsia="Barlow Semi Condensed" w:hAnsi="Barlow Semi Condensed"/>
                <w:sz w:val="20"/>
                <w:szCs w:val="20"/>
              </w:rPr>
              <w:t xml:space="preserve"> 📚</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Entrambi i dettagli provengono dalla biografia sovietica di Lavretski citata dal corpus via Scribd: fonte di parte e non riscontrata altrove — da trattare come non verificata</w:t>
            </w:r>
          </w:p>
        </w:tc>
      </w:tr>
      <w:tr>
        <w:tc>
          <w:tcPr>
            <w:tcW w:type="dxa" w:w="2340"/>
          </w:tcPr>
          <w:p>
            <w:pPr>
              <w:spacing w:after="20" w:before="20"/>
              <w:jc w:val="both"/>
            </w:pPr>
            <w:r>
              <w:rPr>
                <w:rFonts w:ascii="Barlow Semi Condensed" w:cs="Barlow Semi Condensed" w:eastAsia="Barlow Semi Condensed" w:hAnsi="Barlow Semi Condensed"/>
                <w:sz w:val="20"/>
                <w:szCs w:val="20"/>
              </w:rPr>
              <w:t xml:space="preserve">E-28</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Partenza per l'Africa l'1/4/1965 sotto travestimento; ingresso in Congo per sostenere la ribellione anti-Tshombe 🔎</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Consolidato (partenza 1/4/1965; ingresso nel Congo dal lago Tanganica il 24/4/1965)</w:t>
            </w:r>
          </w:p>
        </w:tc>
      </w:tr>
      <w:tr>
        <w:tc>
          <w:tcPr>
            <w:tcW w:type="dxa" w:w="2340"/>
          </w:tcPr>
          <w:p>
            <w:pPr>
              <w:spacing w:after="20" w:before="20"/>
              <w:jc w:val="both"/>
            </w:pPr>
            <w:r>
              <w:rPr>
                <w:rFonts w:ascii="Barlow Semi Condensed" w:cs="Barlow Semi Condensed" w:eastAsia="Barlow Semi Condensed" w:hAnsi="Barlow Semi Condensed"/>
                <w:sz w:val="20"/>
                <w:szCs w:val="20"/>
              </w:rPr>
              <w:t xml:space="preserve">E-29</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Quadro congolese: Soumaliot, Kabila, Gbenye; Harriman e Cyrus Vance inviati da Johnson; Tshombe premier dal luglio 1964 con mercenari bianchi 📚</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Coerente con la storiografia (precisazione: Tshombe divenne </w:t>
            </w:r>
            <w:r>
              <w:rPr>
                <w:rFonts w:ascii="Barlow Semi Condensed" w:cs="Barlow Semi Condensed" w:eastAsia="Barlow Semi Condensed" w:hAnsi="Barlow Semi Condensed"/>
                <w:b/>
                <w:bCs/>
                <w:sz w:val="20"/>
                <w:szCs w:val="20"/>
              </w:rPr>
              <w:t xml:space="preserve">primo ministro</w:t>
            </w:r>
            <w:r>
              <w:rPr>
                <w:rFonts w:ascii="Barlow Semi Condensed" w:cs="Barlow Semi Condensed" w:eastAsia="Barlow Semi Condensed" w:hAnsi="Barlow Semi Condensed"/>
                <w:sz w:val="20"/>
                <w:szCs w:val="20"/>
              </w:rPr>
              <w:t xml:space="preserve">, non "prese il potere" con un golpe) ⚠️</w:t>
            </w:r>
          </w:p>
        </w:tc>
      </w:tr>
    </w:tbl>
    <w:p>
      <w:pPr>
        <w:spacing w:after="80"/>
      </w:pPr>
    </w:p>
    <w:p>
      <w:pPr>
        <w:pStyle w:val="Heading3"/>
        <w:spacing w:after="80" w:before="160"/>
      </w:pPr>
      <w:r>
        <w:rPr>
          <w:rFonts w:ascii="Barlow Semi Condensed" w:cs="Barlow Semi Condensed" w:eastAsia="Barlow Semi Condensed" w:hAnsi="Barlow Semi Condensed"/>
          <w:sz w:val="24"/>
          <w:szCs w:val="24"/>
        </w:rPr>
        <w:t xml:space="preserve">2.3 Bilancio della triangolazione esterna</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Errori accertati da correggere (❌)</w:t>
      </w:r>
      <w:r>
        <w:rPr>
          <w:rFonts w:ascii="Barlow Semi Condensed" w:cs="Barlow Semi Condensed" w:eastAsia="Barlow Semi Condensed" w:hAnsi="Barlow Semi Condensed"/>
          <w:sz w:val="24"/>
          <w:szCs w:val="24"/>
        </w:rPr>
        <w:t xml:space="preserve">: guardiania al Fondo de Cultura Económica / "Alejandro Orfila" (E-3); "incontro privato" con Malcolm X (E-21); età di Fidel nel 1955 (I-5); doppia carica ministro+banca nel 1964 (I-6).</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Imprecisioni da rifontare (⚠️)</w:t>
      </w:r>
      <w:r>
        <w:rPr>
          <w:rFonts w:ascii="Barlow Semi Condensed" w:cs="Barlow Semi Condensed" w:eastAsia="Barlow Semi Condensed" w:hAnsi="Barlow Semi Condensed"/>
          <w:sz w:val="24"/>
          <w:szCs w:val="24"/>
        </w:rPr>
        <w:t xml:space="preserve">: modalità del lancio del bazooka (E-18); data della retata di Chalco (E-10); conteggio perdite di Alegría de Pío (E-13); superficie del ranch (E-9); numero dei figli del secondo matrimonio di Guevara Lynch (I-4); dettaglio inalatori CIA (E-22); dati Lavretski (E-27).</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Fonti del corpus da sostituire</w:t>
      </w:r>
      <w:r>
        <w:rPr>
          <w:rFonts w:ascii="Barlow Semi Condensed" w:cs="Barlow Semi Condensed" w:eastAsia="Barlow Semi Condensed" w:hAnsi="Barlow Semi Condensed"/>
          <w:sz w:val="24"/>
          <w:szCs w:val="24"/>
        </w:rPr>
        <w:t xml:space="preserve">: PDF su strikinglycdn (E-20), Scribd/dokumen.pub (E-18, E-27), blog che riprendono il pamphlet di Nicolás Márquez (fonte apertamente militante, citata in Doc 3 per le discussioni Guevara-Castro).</w:t>
      </w:r>
    </w:p>
    <w:p>
      <w:pPr>
        <w:pStyle w:val="ListParagraph"/>
        <w:numPr>
          <w:ilvl w:val="0"/>
          <w:numId w:val="1"/>
        </w:numPr>
        <w:spacing w:after="40"/>
        <w:jc w:val="both"/>
      </w:pPr>
      <w:r>
        <w:rPr>
          <w:rFonts w:ascii="Barlow Semi Condensed" w:cs="Barlow Semi Condensed" w:eastAsia="Barlow Semi Condensed" w:hAnsi="Barlow Semi Condensed"/>
          <w:sz w:val="24"/>
          <w:szCs w:val="24"/>
        </w:rPr>
        <w:t xml:space="preserve">Tutto il resto dell'impianto fattuale dei tre documenti risulta </w:t>
      </w:r>
      <w:r>
        <w:rPr>
          <w:rFonts w:ascii="Barlow Semi Condensed" w:cs="Barlow Semi Condensed" w:eastAsia="Barlow Semi Condensed" w:hAnsi="Barlow Semi Condensed"/>
          <w:b/>
          <w:bCs/>
          <w:sz w:val="24"/>
          <w:szCs w:val="24"/>
        </w:rPr>
        <w:t xml:space="preserve">confermato o coerente</w:t>
      </w:r>
      <w:r>
        <w:rPr>
          <w:rFonts w:ascii="Barlow Semi Condensed" w:cs="Barlow Semi Condensed" w:eastAsia="Barlow Semi Condensed" w:hAnsi="Barlow Semi Condensed"/>
          <w:sz w:val="24"/>
          <w:szCs w:val="24"/>
        </w:rPr>
        <w:t xml:space="preserve"> con la storiografia di riferimento.</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3. Matrice di triangolazione Guevara–Moro</w:t>
      </w:r>
    </w:p>
    <w:p>
      <w:pPr>
        <w:spacing w:after="120" w:line="276"/>
        <w:jc w:val="both"/>
      </w:pPr>
      <w:r>
        <w:rPr>
          <w:rFonts w:ascii="Barlow Semi Condensed" w:cs="Barlow Semi Condensed" w:eastAsia="Barlow Semi Condensed" w:hAnsi="Barlow Semi Condensed"/>
          <w:sz w:val="24"/>
          <w:szCs w:val="24"/>
        </w:rPr>
        <w:t xml:space="preserve">Ernesto Guevara (1928-1967) e Aldo Moro (1916-1978) non si incontrarono mai e appartengono a universi politici antitetici: il nesso tra i due "casi" è quindi di natura </w:t>
      </w:r>
      <w:r>
        <w:rPr>
          <w:rFonts w:ascii="Barlow Semi Condensed" w:cs="Barlow Semi Condensed" w:eastAsia="Barlow Semi Condensed" w:hAnsi="Barlow Semi Condensed"/>
          <w:b/>
          <w:bCs/>
          <w:sz w:val="24"/>
          <w:szCs w:val="24"/>
        </w:rPr>
        <w:t xml:space="preserve">contestuale, genealogica e strutturale</w:t>
      </w:r>
      <w:r>
        <w:rPr>
          <w:rFonts w:ascii="Barlow Semi Condensed" w:cs="Barlow Semi Condensed" w:eastAsia="Barlow Semi Condensed" w:hAnsi="Barlow Semi Condensed"/>
          <w:sz w:val="24"/>
          <w:szCs w:val="24"/>
        </w:rPr>
        <w:t xml:space="preserve">, non biografica. I nodi documentabili sono i seguenti.</w:t>
      </w:r>
    </w:p>
    <w:p>
      <w:pPr>
        <w:pStyle w:val="Heading3"/>
        <w:spacing w:after="80" w:before="160"/>
      </w:pPr>
      <w:r>
        <w:rPr>
          <w:rFonts w:ascii="Barlow Semi Condensed" w:cs="Barlow Semi Condensed" w:eastAsia="Barlow Semi Condensed" w:hAnsi="Barlow Semi Condensed"/>
          <w:sz w:val="24"/>
          <w:szCs w:val="24"/>
        </w:rPr>
        <w:t xml:space="preserve">3.1 Nodi di connessione documentati</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40"/>
        <w:gridCol w:w="2340"/>
        <w:gridCol w:w="2340"/>
        <w:gridCol w:w="2340"/>
      </w:tblGrid>
      <w:tr>
        <w:tc>
          <w:tcPr>
            <w:tcW w:type="dxa" w:w="234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w:t>
            </w:r>
          </w:p>
        </w:tc>
        <w:tc>
          <w:tcPr>
            <w:tcW w:type="dxa" w:w="234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Nodo</w:t>
            </w:r>
          </w:p>
        </w:tc>
        <w:tc>
          <w:tcPr>
            <w:tcW w:type="dxa" w:w="234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Contenuto</w:t>
            </w:r>
          </w:p>
        </w:tc>
        <w:tc>
          <w:tcPr>
            <w:tcW w:type="dxa" w:w="234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Fonti</w:t>
            </w:r>
          </w:p>
        </w:tc>
      </w:tr>
      <w:tr>
        <w:tc>
          <w:tcPr>
            <w:tcW w:type="dxa" w:w="2340"/>
          </w:tcPr>
          <w:p>
            <w:pPr>
              <w:spacing w:after="20" w:before="20"/>
              <w:jc w:val="both"/>
            </w:pPr>
            <w:r>
              <w:rPr>
                <w:rFonts w:ascii="Barlow Semi Condensed" w:cs="Barlow Semi Condensed" w:eastAsia="Barlow Semi Condensed" w:hAnsi="Barlow Semi Condensed"/>
                <w:sz w:val="20"/>
                <w:szCs w:val="20"/>
              </w:rPr>
              <w:t xml:space="preserve">M-1</w:t>
            </w:r>
          </w:p>
        </w:tc>
        <w:tc>
          <w:tcPr>
            <w:tcW w:type="dxa" w:w="2340"/>
          </w:tcPr>
          <w:p>
            <w:pPr>
              <w:spacing w:after="20" w:before="20"/>
              <w:jc w:val="both"/>
            </w:pPr>
            <w:r>
              <w:rPr>
                <w:rFonts w:ascii="Barlow Semi Condensed" w:cs="Barlow Semi Condensed" w:eastAsia="Barlow Semi Condensed" w:hAnsi="Barlow Semi Condensed"/>
                <w:b/>
                <w:bCs/>
                <w:sz w:val="20"/>
                <w:szCs w:val="20"/>
              </w:rPr>
              <w:t xml:space="preserve">Sincronia istituzionale</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Quando Guevara fu catturato e ucciso a La Higuera (8-9/10/1967), il Presidente del Consiglio italiano era </w:t>
            </w:r>
            <w:r>
              <w:rPr>
                <w:rFonts w:ascii="Barlow Semi Condensed" w:cs="Barlow Semi Condensed" w:eastAsia="Barlow Semi Condensed" w:hAnsi="Barlow Semi Condensed"/>
                <w:b/>
                <w:bCs/>
                <w:sz w:val="20"/>
                <w:szCs w:val="20"/>
              </w:rPr>
              <w:t xml:space="preserve">Aldo Moro</w:t>
            </w:r>
            <w:r>
              <w:rPr>
                <w:rFonts w:ascii="Barlow Semi Condensed" w:cs="Barlow Semi Condensed" w:eastAsia="Barlow Semi Condensed" w:hAnsi="Barlow Semi Condensed"/>
                <w:sz w:val="20"/>
                <w:szCs w:val="20"/>
              </w:rPr>
              <w:t xml:space="preserve"> (Moro III, feb. 1966 – giu. 1968). Le manifestazioni per la morte del Che e l'ondata del '68 italiano maturarono sotto i suoi governi</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Cronologia dei governi Moro I-III (1963-68)</w:t>
            </w:r>
          </w:p>
        </w:tc>
      </w:tr>
      <w:tr>
        <w:tc>
          <w:tcPr>
            <w:tcW w:type="dxa" w:w="2340"/>
          </w:tcPr>
          <w:p>
            <w:pPr>
              <w:spacing w:after="20" w:before="20"/>
              <w:jc w:val="both"/>
            </w:pPr>
            <w:r>
              <w:rPr>
                <w:rFonts w:ascii="Barlow Semi Condensed" w:cs="Barlow Semi Condensed" w:eastAsia="Barlow Semi Condensed" w:hAnsi="Barlow Semi Condensed"/>
                <w:sz w:val="20"/>
                <w:szCs w:val="20"/>
              </w:rPr>
              <w:t xml:space="preserve">M-2</w:t>
            </w:r>
          </w:p>
        </w:tc>
        <w:tc>
          <w:tcPr>
            <w:tcW w:type="dxa" w:w="2340"/>
          </w:tcPr>
          <w:p>
            <w:pPr>
              <w:spacing w:after="20" w:before="20"/>
              <w:jc w:val="both"/>
            </w:pPr>
            <w:r>
              <w:rPr>
                <w:rFonts w:ascii="Barlow Semi Condensed" w:cs="Barlow Semi Condensed" w:eastAsia="Barlow Semi Condensed" w:hAnsi="Barlow Semi Condensed"/>
                <w:b/>
                <w:bCs/>
                <w:sz w:val="20"/>
                <w:szCs w:val="20"/>
              </w:rPr>
              <w:t xml:space="preserve">Il vettore Feltrinelli</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Giangiacomo Feltrinelli pubblicò come poster la foto di Korda (1967) e il </w:t>
            </w:r>
            <w:r>
              <w:rPr>
                <w:rFonts w:ascii="Barlow Semi Condensed" w:cs="Barlow Semi Condensed" w:eastAsia="Barlow Semi Condensed" w:hAnsi="Barlow Semi Condensed"/>
                <w:i/>
                <w:iCs/>
                <w:sz w:val="20"/>
                <w:szCs w:val="20"/>
              </w:rPr>
              <w:t xml:space="preserve">Diario in Bolivia</w:t>
            </w:r>
            <w:r>
              <w:rPr>
                <w:rFonts w:ascii="Barlow Semi Condensed" w:cs="Barlow Semi Condensed" w:eastAsia="Barlow Semi Condensed" w:hAnsi="Barlow Semi Condensed"/>
                <w:sz w:val="20"/>
                <w:szCs w:val="20"/>
              </w:rPr>
              <w:t xml:space="preserve"> con prefazione di Fidel Castro (1968), costruendo in Italia il mito visivo e testuale del Che; fondò poi i GAP (1970), primo nucleo della lotta armata italiana, e morì a Segrate nel 1972. Le BR — che rapiranno e uccideranno Moro nel 1978 — "andarono a scuola di guerriglia da Feltrinelli" (Curcio)</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Feltrinelli Editore (https://www.feltrinellieditore.it/opera/diario-in-bolivia/), Librinlinea (https://www.librinlinea.it/titolo/diario-del-che-in-bolivia-castro-fidel/RAV0262028), Uozzart su Korda (https://uozzart.com/2020/11/05/ernesto-che-guevara-alberto-korda-fotografia/), Tassinari su Curcio-Feltrinelli (https://www.ugomariatassinari.it/feltrinelli-curcio/)</w:t>
            </w:r>
          </w:p>
        </w:tc>
      </w:tr>
      <w:tr>
        <w:tc>
          <w:tcPr>
            <w:tcW w:type="dxa" w:w="2340"/>
          </w:tcPr>
          <w:p>
            <w:pPr>
              <w:spacing w:after="20" w:before="20"/>
              <w:jc w:val="both"/>
            </w:pPr>
            <w:r>
              <w:rPr>
                <w:rFonts w:ascii="Barlow Semi Condensed" w:cs="Barlow Semi Condensed" w:eastAsia="Barlow Semi Condensed" w:hAnsi="Barlow Semi Condensed"/>
                <w:sz w:val="20"/>
                <w:szCs w:val="20"/>
              </w:rPr>
              <w:t xml:space="preserve">M-3</w:t>
            </w:r>
          </w:p>
        </w:tc>
        <w:tc>
          <w:tcPr>
            <w:tcW w:type="dxa" w:w="2340"/>
          </w:tcPr>
          <w:p>
            <w:pPr>
              <w:spacing w:after="20" w:before="20"/>
              <w:jc w:val="both"/>
            </w:pPr>
            <w:r>
              <w:rPr>
                <w:rFonts w:ascii="Barlow Semi Condensed" w:cs="Barlow Semi Condensed" w:eastAsia="Barlow Semi Condensed" w:hAnsi="Barlow Semi Condensed"/>
                <w:b/>
                <w:bCs/>
                <w:sz w:val="20"/>
                <w:szCs w:val="20"/>
              </w:rPr>
              <w:t xml:space="preserve">Genealogia ideologica delle BR</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Le Brigate Rosse (fondate al convegno di Pecorile, agosto 1970, da Curcio, Cagol, Franceschini) presero a modello le guerriglie latinoamericane — Tupamaros (da cui il simbolo), Marighella, e come figura individuale di riferimento </w:t>
            </w:r>
            <w:r>
              <w:rPr>
                <w:rFonts w:ascii="Barlow Semi Condensed" w:cs="Barlow Semi Condensed" w:eastAsia="Barlow Semi Condensed" w:hAnsi="Barlow Semi Condensed"/>
                <w:b/>
                <w:bCs/>
                <w:sz w:val="20"/>
                <w:szCs w:val="20"/>
              </w:rPr>
              <w:t xml:space="preserve">Che Guevara</w:t>
            </w:r>
            <w:r>
              <w:rPr>
                <w:rFonts w:ascii="Barlow Semi Condensed" w:cs="Barlow Semi Condensed" w:eastAsia="Barlow Semi Condensed" w:hAnsi="Barlow Semi Condensed"/>
                <w:sz w:val="20"/>
                <w:szCs w:val="20"/>
              </w:rPr>
              <w:t xml:space="preserve"> e il foquismo. L'organizzazione che assunse il Che a modello è la stessa che sequestrò Moro il 16/3/1978 (via Fani) e lo uccise il 9/5/1978 (via Caetani)</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Wikipedia BR (https://it.wikipedia.org/wiki/Brigate_Rosse), Panorama (https://panorama.it/cultura/agosto-1970-lalba-delle-brigate-rosse), Il Bo Live/Unipd (https://ilbolive.unipd.it/it/news/societa/50-anni-dalla-nascita-brigate-rosse)</w:t>
            </w:r>
          </w:p>
        </w:tc>
      </w:tr>
      <w:tr>
        <w:tc>
          <w:tcPr>
            <w:tcW w:type="dxa" w:w="2340"/>
          </w:tcPr>
          <w:p>
            <w:pPr>
              <w:spacing w:after="20" w:before="20"/>
              <w:jc w:val="both"/>
            </w:pPr>
            <w:r>
              <w:rPr>
                <w:rFonts w:ascii="Barlow Semi Condensed" w:cs="Barlow Semi Condensed" w:eastAsia="Barlow Semi Condensed" w:hAnsi="Barlow Semi Condensed"/>
                <w:sz w:val="20"/>
                <w:szCs w:val="20"/>
              </w:rPr>
              <w:t xml:space="preserve">M-4</w:t>
            </w:r>
          </w:p>
        </w:tc>
        <w:tc>
          <w:tcPr>
            <w:tcW w:type="dxa" w:w="2340"/>
          </w:tcPr>
          <w:p>
            <w:pPr>
              <w:spacing w:after="20" w:before="20"/>
              <w:jc w:val="both"/>
            </w:pPr>
            <w:r>
              <w:rPr>
                <w:rFonts w:ascii="Barlow Semi Condensed" w:cs="Barlow Semi Condensed" w:eastAsia="Barlow Semi Condensed" w:hAnsi="Barlow Semi Condensed"/>
                <w:b/>
                <w:bCs/>
                <w:sz w:val="20"/>
                <w:szCs w:val="20"/>
              </w:rPr>
              <w:t xml:space="preserve">Antitesi strategica: foco vs compromesso</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Il caso cileno (Allende, 1970-73) è lo snodo: la sua caduta "convalidò" a sinistra sia la tesi guevarista dell'impossibilità della via pacifica (già formulata dal Che), sia — in direzione opposta — la strategia del compromesso storico di Berlinguer (1973), di cui </w:t>
            </w:r>
            <w:r>
              <w:rPr>
                <w:rFonts w:ascii="Barlow Semi Condensed" w:cs="Barlow Semi Condensed" w:eastAsia="Barlow Semi Condensed" w:hAnsi="Barlow Semi Condensed"/>
                <w:b/>
                <w:bCs/>
                <w:sz w:val="20"/>
                <w:szCs w:val="20"/>
              </w:rPr>
              <w:t xml:space="preserve">Moro fu il principale interlocutore democristiano</w:t>
            </w:r>
            <w:r>
              <w:rPr>
                <w:rFonts w:ascii="Barlow Semi Condensed" w:cs="Barlow Semi Condensed" w:eastAsia="Barlow Semi Condensed" w:hAnsi="Barlow Semi Condensed"/>
                <w:sz w:val="20"/>
                <w:szCs w:val="20"/>
              </w:rPr>
              <w:t xml:space="preserve">. Moro incarnava esattamente la via che il guevarismo negava; le BR lo colpirono in quanto architetto di quella via</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Berlinguer, articoli su </w:t>
            </w:r>
            <w:r>
              <w:rPr>
                <w:rFonts w:ascii="Barlow Semi Condensed" w:cs="Barlow Semi Condensed" w:eastAsia="Barlow Semi Condensed" w:hAnsi="Barlow Semi Condensed"/>
                <w:i/>
                <w:iCs/>
                <w:sz w:val="20"/>
                <w:szCs w:val="20"/>
              </w:rPr>
              <w:t xml:space="preserve">Rinascita</w:t>
            </w:r>
            <w:r>
              <w:rPr>
                <w:rFonts w:ascii="Barlow Semi Condensed" w:cs="Barlow Semi Condensed" w:eastAsia="Barlow Semi Condensed" w:hAnsi="Barlow Semi Condensed"/>
                <w:sz w:val="20"/>
                <w:szCs w:val="20"/>
              </w:rPr>
              <w:t xml:space="preserve"> (1973); storiografia sul compromesso storico</w:t>
            </w:r>
          </w:p>
        </w:tc>
      </w:tr>
      <w:tr>
        <w:tc>
          <w:tcPr>
            <w:tcW w:type="dxa" w:w="2340"/>
          </w:tcPr>
          <w:p>
            <w:pPr>
              <w:spacing w:after="20" w:before="20"/>
              <w:jc w:val="both"/>
            </w:pPr>
            <w:r>
              <w:rPr>
                <w:rFonts w:ascii="Barlow Semi Condensed" w:cs="Barlow Semi Condensed" w:eastAsia="Barlow Semi Condensed" w:hAnsi="Barlow Semi Condensed"/>
                <w:sz w:val="20"/>
                <w:szCs w:val="20"/>
              </w:rPr>
              <w:t xml:space="preserve">M-5</w:t>
            </w:r>
          </w:p>
        </w:tc>
        <w:tc>
          <w:tcPr>
            <w:tcW w:type="dxa" w:w="2340"/>
          </w:tcPr>
          <w:p>
            <w:pPr>
              <w:spacing w:after="20" w:before="20"/>
              <w:jc w:val="both"/>
            </w:pPr>
            <w:r>
              <w:rPr>
                <w:rFonts w:ascii="Barlow Semi Condensed" w:cs="Barlow Semi Condensed" w:eastAsia="Barlow Semi Condensed" w:hAnsi="Barlow Semi Condensed"/>
                <w:b/>
                <w:bCs/>
                <w:sz w:val="20"/>
                <w:szCs w:val="20"/>
              </w:rPr>
              <w:t xml:space="preserve">L'ombra statunitense su entrambe le morti</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Bolivia 1967: la presenza dell'agente CIA Félix Rodríguez a La Higuera è documentata dagli stessi archivi USA declassificati (1997). Caso Moro: la vedova Eleonora Moro e Corrado Guerzoni testimoniarono in Commissione e in tribunale l'avvertimento di Kissinger a Moro (settembre 1974: "smetta di perseguire il suo piano politico… o la pagherà cara"); il consulente del Dipartimento di Stato Steve Pieczenik, inviato ad assistere Cossiga nel comitato di crisi, dichiarò in seguito che con la morte di Moro "si evitò che Berlinguer andasse al potere". In entrambi i casi il grado di </w:t>
            </w:r>
            <w:r>
              <w:rPr>
                <w:rFonts w:ascii="Barlow Semi Condensed" w:cs="Barlow Semi Condensed" w:eastAsia="Barlow Semi Condensed" w:hAnsi="Barlow Semi Condensed"/>
                <w:i/>
                <w:iCs/>
                <w:sz w:val="20"/>
                <w:szCs w:val="20"/>
              </w:rPr>
              <w:t xml:space="preserve">regia</w:t>
            </w:r>
            <w:r>
              <w:rPr>
                <w:rFonts w:ascii="Barlow Semi Condensed" w:cs="Barlow Semi Condensed" w:eastAsia="Barlow Semi Condensed" w:hAnsi="Barlow Semi Condensed"/>
                <w:sz w:val="20"/>
                <w:szCs w:val="20"/>
              </w:rPr>
              <w:t xml:space="preserve"> statunitense resta oggetto di dibattito storiografico; i fatti sopra elencati sono però documentati</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nuovAtlantide (testimonianze Moro/Guerzoni) (https://www.nuovatlantide.org/le-testimonianze-di-eleonora-moro-e-di-corrado-guerzoni-su-kissinger-e-loscuro-avvertimento-a-moro/), La Notizia su Report/Kissinger (https://www.lanotiziagiornale.it/caso-moro-report-indaga-sul-ruolo-di-kissinger-nellostacolare-lapertura-al-pci/), Wikipedia EN – Kidnapping and murder of Aldo Moro (https://en.wikipedia.org/wiki/Kidnapping_and_murder_of_Aldo_Moro); NSA Electronic Briefing Book su Guevara (1997)</w:t>
            </w:r>
          </w:p>
        </w:tc>
      </w:tr>
      <w:tr>
        <w:tc>
          <w:tcPr>
            <w:tcW w:type="dxa" w:w="2340"/>
          </w:tcPr>
          <w:p>
            <w:pPr>
              <w:spacing w:after="20" w:before="20"/>
              <w:jc w:val="both"/>
            </w:pPr>
            <w:r>
              <w:rPr>
                <w:rFonts w:ascii="Barlow Semi Condensed" w:cs="Barlow Semi Condensed" w:eastAsia="Barlow Semi Condensed" w:hAnsi="Barlow Semi Condensed"/>
                <w:sz w:val="20"/>
                <w:szCs w:val="20"/>
              </w:rPr>
              <w:t xml:space="preserve">M-6</w:t>
            </w:r>
          </w:p>
        </w:tc>
        <w:tc>
          <w:tcPr>
            <w:tcW w:type="dxa" w:w="2340"/>
          </w:tcPr>
          <w:p>
            <w:pPr>
              <w:spacing w:after="20" w:before="20"/>
              <w:jc w:val="both"/>
            </w:pPr>
            <w:r>
              <w:rPr>
                <w:rFonts w:ascii="Barlow Semi Condensed" w:cs="Barlow Semi Condensed" w:eastAsia="Barlow Semi Condensed" w:hAnsi="Barlow Semi Condensed"/>
                <w:b/>
                <w:bCs/>
                <w:sz w:val="20"/>
                <w:szCs w:val="20"/>
              </w:rPr>
              <w:t xml:space="preserve">Prigionia ed epistolario</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Guevara: lettera d'addio a Fidel (letta pubblicamente il 3/10/1965) e lettere ai genitori/figli — corpus epistolare gestito </w:t>
            </w:r>
            <w:r>
              <w:rPr>
                <w:rFonts w:ascii="Barlow Semi Condensed" w:cs="Barlow Semi Condensed" w:eastAsia="Barlow Semi Condensed" w:hAnsi="Barlow Semi Condensed"/>
                <w:i/>
                <w:iCs/>
                <w:sz w:val="20"/>
                <w:szCs w:val="20"/>
              </w:rPr>
              <w:t xml:space="preserve">politicamente</w:t>
            </w:r>
            <w:r>
              <w:rPr>
                <w:rFonts w:ascii="Barlow Semi Condensed" w:cs="Barlow Semi Condensed" w:eastAsia="Barlow Semi Condensed" w:hAnsi="Barlow Semi Condensed"/>
                <w:sz w:val="20"/>
                <w:szCs w:val="20"/>
              </w:rPr>
              <w:t xml:space="preserve"> da chi lo riceveva. Moro: le ~90 lettere dalla "prigione del popolo" (marzo-maggio 1978), la cui autenticità/libertà di scrittura e la cui gestione politica (linea della fermezza, autenticazioni DC) sono un capitolo centrale del caso. In entrambi i casi l'epistolario del prigioniero/partente divenne terreno di battaglia interpretativa</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Corpus delle lettere di Moro (ed. Gotor, 2008); testi delle lettere del Che</w:t>
            </w:r>
          </w:p>
        </w:tc>
      </w:tr>
      <w:tr>
        <w:tc>
          <w:tcPr>
            <w:tcW w:type="dxa" w:w="2340"/>
          </w:tcPr>
          <w:p>
            <w:pPr>
              <w:spacing w:after="20" w:before="20"/>
              <w:jc w:val="both"/>
            </w:pPr>
            <w:r>
              <w:rPr>
                <w:rFonts w:ascii="Barlow Semi Condensed" w:cs="Barlow Semi Condensed" w:eastAsia="Barlow Semi Condensed" w:hAnsi="Barlow Semi Condensed"/>
                <w:sz w:val="20"/>
                <w:szCs w:val="20"/>
              </w:rPr>
              <w:t xml:space="preserve">M-7</w:t>
            </w:r>
          </w:p>
        </w:tc>
        <w:tc>
          <w:tcPr>
            <w:tcW w:type="dxa" w:w="2340"/>
          </w:tcPr>
          <w:p>
            <w:pPr>
              <w:spacing w:after="20" w:before="20"/>
              <w:jc w:val="both"/>
            </w:pPr>
            <w:r>
              <w:rPr>
                <w:rFonts w:ascii="Barlow Semi Condensed" w:cs="Barlow Semi Condensed" w:eastAsia="Barlow Semi Condensed" w:hAnsi="Barlow Semi Condensed"/>
                <w:b/>
                <w:bCs/>
                <w:sz w:val="20"/>
                <w:szCs w:val="20"/>
              </w:rPr>
              <w:t xml:space="preserve">Iconografia del corpo</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Il corpo del Che esposto nella lavanderia dell'ospedale di Vallegrande (10/10/1967), fotografato in posa da "Cristo morto" (accostamento al Mantegna divenuto canonico nella critica iconografica), fondò il martirologio guevarista. Il corpo di Moro nel bagagliaio della Renault 4 rossa di via Caetani (9/5/1978), a metà strada tra Botteghe Oscure e piazza del Gesù, è l'immagine-simbolo opposta: non esaltazione del martire ma messa in scena della punizione. Entrambe le fotografie sono divenute gli assi della memoria visiva dei rispettivi casi</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Letteratura iconografica su Freddy Alborta (Vallegrande) e sulle foto di via Caetani</w:t>
            </w:r>
          </w:p>
        </w:tc>
      </w:tr>
      <w:tr>
        <w:tc>
          <w:tcPr>
            <w:tcW w:type="dxa" w:w="2340"/>
          </w:tcPr>
          <w:p>
            <w:pPr>
              <w:spacing w:after="20" w:before="20"/>
              <w:jc w:val="both"/>
            </w:pPr>
            <w:r>
              <w:rPr>
                <w:rFonts w:ascii="Barlow Semi Condensed" w:cs="Barlow Semi Condensed" w:eastAsia="Barlow Semi Condensed" w:hAnsi="Barlow Semi Condensed"/>
                <w:sz w:val="20"/>
                <w:szCs w:val="20"/>
              </w:rPr>
              <w:t xml:space="preserve">M-8</w:t>
            </w:r>
          </w:p>
        </w:tc>
        <w:tc>
          <w:tcPr>
            <w:tcW w:type="dxa" w:w="2340"/>
          </w:tcPr>
          <w:p>
            <w:pPr>
              <w:spacing w:after="20" w:before="20"/>
              <w:jc w:val="both"/>
            </w:pPr>
            <w:r>
              <w:rPr>
                <w:rFonts w:ascii="Barlow Semi Condensed" w:cs="Barlow Semi Condensed" w:eastAsia="Barlow Semi Condensed" w:hAnsi="Barlow Semi Condensed"/>
                <w:b/>
                <w:bCs/>
                <w:sz w:val="20"/>
                <w:szCs w:val="20"/>
              </w:rPr>
              <w:t xml:space="preserve">Inchieste, reperti e riaperture</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Caso Guevara: diario sequestrato e pubblicato (1968), mani amputate, sepoltura occultata, resti ritrovati a Vallegrande solo nel </w:t>
            </w:r>
            <w:r>
              <w:rPr>
                <w:rFonts w:ascii="Barlow Semi Condensed" w:cs="Barlow Semi Condensed" w:eastAsia="Barlow Semi Condensed" w:hAnsi="Barlow Semi Condensed"/>
                <w:b/>
                <w:bCs/>
                <w:sz w:val="20"/>
                <w:szCs w:val="20"/>
              </w:rPr>
              <w:t xml:space="preserve">1997</w:t>
            </w:r>
            <w:r>
              <w:rPr>
                <w:rFonts w:ascii="Barlow Semi Condensed" w:cs="Barlow Semi Condensed" w:eastAsia="Barlow Semi Condensed" w:hAnsi="Barlow Semi Condensed"/>
                <w:sz w:val="20"/>
                <w:szCs w:val="20"/>
              </w:rPr>
              <w:t xml:space="preserve"> e traslati a Santa Clara. Caso Moro: cinque processi, due Commissioni parlamentari (1979-83; Moro 2, 2014-2017), memoriale di via Monte Nevoso ritrovato in due tempi (1978 e 1990). Entrambi i casi presentano il medesimo pattern: reperto documentale conteso + verità giudiziaria incompleta + riaperture a decenni di distanza</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Atti Commissione Moro 2; NSA Archive 1997</w:t>
            </w:r>
          </w:p>
        </w:tc>
      </w:tr>
      <w:tr>
        <w:tc>
          <w:tcPr>
            <w:tcW w:type="dxa" w:w="2340"/>
          </w:tcPr>
          <w:p>
            <w:pPr>
              <w:spacing w:after="20" w:before="20"/>
              <w:jc w:val="both"/>
            </w:pPr>
            <w:r>
              <w:rPr>
                <w:rFonts w:ascii="Barlow Semi Condensed" w:cs="Barlow Semi Condensed" w:eastAsia="Barlow Semi Condensed" w:hAnsi="Barlow Semi Condensed"/>
                <w:sz w:val="20"/>
                <w:szCs w:val="20"/>
              </w:rPr>
              <w:t xml:space="preserve">M-9</w:t>
            </w:r>
          </w:p>
        </w:tc>
        <w:tc>
          <w:tcPr>
            <w:tcW w:type="dxa" w:w="2340"/>
          </w:tcPr>
          <w:p>
            <w:pPr>
              <w:spacing w:after="20" w:before="20"/>
              <w:jc w:val="both"/>
            </w:pPr>
            <w:r>
              <w:rPr>
                <w:rFonts w:ascii="Barlow Semi Condensed" w:cs="Barlow Semi Condensed" w:eastAsia="Barlow Semi Condensed" w:hAnsi="Barlow Semi Condensed"/>
                <w:b/>
                <w:bCs/>
                <w:sz w:val="20"/>
                <w:szCs w:val="20"/>
              </w:rPr>
              <w:t xml:space="preserve">Il "casta di miti" contrapposti nel 1977-78 italiano</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Il decennale della morte del Che (ottobre 1977) cadde nell'Italia del movimento del '77, pochi mesi prima di via Fani; la figura del Che era nel repertorio simbolico dell'area da cui le BR reclutavano, mentre Moro rappresentava per quella stessa area il bersaglio "SIM" (Stato Imperialista delle Multinazionali). Il sequestro Moro è leggibile anche come l'atto in cui il mito guevarista importato (M-2, M-3) si rovescia nella sua degenerazione terroristica</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Storiografia sugli anni di piombo (Galli, Satta, Gotor)</w:t>
            </w:r>
          </w:p>
        </w:tc>
      </w:tr>
    </w:tbl>
    <w:p>
      <w:pPr>
        <w:spacing w:after="80"/>
      </w:pPr>
    </w:p>
    <w:p>
      <w:pPr>
        <w:pStyle w:val="Heading3"/>
        <w:spacing w:after="80" w:before="160"/>
      </w:pPr>
      <w:r>
        <w:rPr>
          <w:rFonts w:ascii="Barlow Semi Condensed" w:cs="Barlow Semi Condensed" w:eastAsia="Barlow Semi Condensed" w:hAnsi="Barlow Semi Condensed"/>
          <w:sz w:val="24"/>
          <w:szCs w:val="24"/>
        </w:rPr>
        <w:t xml:space="preserve">3.2 Paralleli strutturali (analogie non causali)</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40"/>
        <w:gridCol w:w="2340"/>
        <w:gridCol w:w="2340"/>
        <w:gridCol w:w="2340"/>
      </w:tblGrid>
      <w:tr>
        <w:tc>
          <w:tcPr>
            <w:tcW w:type="dxa" w:w="234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w:t>
            </w:r>
          </w:p>
        </w:tc>
        <w:tc>
          <w:tcPr>
            <w:tcW w:type="dxa" w:w="234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Parallelo</w:t>
            </w:r>
          </w:p>
        </w:tc>
        <w:tc>
          <w:tcPr>
            <w:tcW w:type="dxa" w:w="234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Guevara</w:t>
            </w:r>
          </w:p>
        </w:tc>
        <w:tc>
          <w:tcPr>
            <w:tcW w:type="dxa" w:w="234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Moro</w:t>
            </w:r>
          </w:p>
        </w:tc>
      </w:tr>
      <w:tr>
        <w:tc>
          <w:tcPr>
            <w:tcW w:type="dxa" w:w="2340"/>
          </w:tcPr>
          <w:p>
            <w:pPr>
              <w:spacing w:after="20" w:before="20"/>
              <w:jc w:val="both"/>
            </w:pPr>
            <w:r>
              <w:rPr>
                <w:rFonts w:ascii="Barlow Semi Condensed" w:cs="Barlow Semi Condensed" w:eastAsia="Barlow Semi Condensed" w:hAnsi="Barlow Semi Condensed"/>
                <w:sz w:val="20"/>
                <w:szCs w:val="20"/>
              </w:rPr>
              <w:t xml:space="preserve">P-1</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Morte per esecuzione deliberata a sangue freddo, non in combattimento</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Fucilato da Mario Terán a La Higuera, 9/10/1967, su ordine di La Paz</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Ucciso da Mario Moretti (per sua ammissione) il 9/5/1978, dopo "processo" BR</w:t>
            </w:r>
          </w:p>
        </w:tc>
      </w:tr>
      <w:tr>
        <w:tc>
          <w:tcPr>
            <w:tcW w:type="dxa" w:w="2340"/>
          </w:tcPr>
          <w:p>
            <w:pPr>
              <w:spacing w:after="20" w:before="20"/>
              <w:jc w:val="both"/>
            </w:pPr>
            <w:r>
              <w:rPr>
                <w:rFonts w:ascii="Barlow Semi Condensed" w:cs="Barlow Semi Condensed" w:eastAsia="Barlow Semi Condensed" w:hAnsi="Barlow Semi Condensed"/>
                <w:sz w:val="20"/>
                <w:szCs w:val="20"/>
              </w:rPr>
              <w:t xml:space="preserve">P-2</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Decisione di ucciderlo presa da un potere che temeva di più il prigioniero vivo</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Un processo pubblico al Che avrebbe destabilizzato la Bolivia di Barrientos</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La trattativa per Moro vivo avrebbe legittimato le BR e destabilizzato il quadro politico (linea della fermezza)</w:t>
            </w:r>
          </w:p>
        </w:tc>
      </w:tr>
      <w:tr>
        <w:tc>
          <w:tcPr>
            <w:tcW w:type="dxa" w:w="2340"/>
          </w:tcPr>
          <w:p>
            <w:pPr>
              <w:spacing w:after="20" w:before="20"/>
              <w:jc w:val="both"/>
            </w:pPr>
            <w:r>
              <w:rPr>
                <w:rFonts w:ascii="Barlow Semi Condensed" w:cs="Barlow Semi Condensed" w:eastAsia="Barlow Semi Condensed" w:hAnsi="Barlow Semi Condensed"/>
                <w:sz w:val="20"/>
                <w:szCs w:val="20"/>
              </w:rPr>
              <w:t xml:space="preserve">P-3</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Ultimi giorni documentati da un testo autografo conteso</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Diario di Bolivia</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Lettere + memoriale</w:t>
            </w:r>
          </w:p>
        </w:tc>
      </w:tr>
      <w:tr>
        <w:tc>
          <w:tcPr>
            <w:tcW w:type="dxa" w:w="2340"/>
          </w:tcPr>
          <w:p>
            <w:pPr>
              <w:spacing w:after="20" w:before="20"/>
              <w:jc w:val="both"/>
            </w:pPr>
            <w:r>
              <w:rPr>
                <w:rFonts w:ascii="Barlow Semi Condensed" w:cs="Barlow Semi Condensed" w:eastAsia="Barlow Semi Condensed" w:hAnsi="Barlow Semi Condensed"/>
                <w:sz w:val="20"/>
                <w:szCs w:val="20"/>
              </w:rPr>
              <w:t xml:space="preserve">P-4</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Trasfigurazione postuma in icona che eccede la biografia</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Martire rivoluzionario globale (Korda)</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Martire della Repubblica / santità politica (causa di beatificazione aperta nel 2012)</w:t>
            </w:r>
          </w:p>
        </w:tc>
      </w:tr>
      <w:tr>
        <w:tc>
          <w:tcPr>
            <w:tcW w:type="dxa" w:w="2340"/>
          </w:tcPr>
          <w:p>
            <w:pPr>
              <w:spacing w:after="20" w:before="20"/>
              <w:jc w:val="both"/>
            </w:pPr>
            <w:r>
              <w:rPr>
                <w:rFonts w:ascii="Barlow Semi Condensed" w:cs="Barlow Semi Condensed" w:eastAsia="Barlow Semi Condensed" w:hAnsi="Barlow Semi Condensed"/>
                <w:sz w:val="20"/>
                <w:szCs w:val="20"/>
              </w:rPr>
              <w:t xml:space="preserve">P-5</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Anniversari come campi di battaglia della memoria pubblica</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8-9 ottobre (Cuba: Día del Guerrillero Heroico)</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16 marzo / 9 maggio (dal 2007 Giorno della memoria delle vittime del terrorismo)</w:t>
            </w:r>
          </w:p>
        </w:tc>
      </w:tr>
      <w:tr>
        <w:tc>
          <w:tcPr>
            <w:tcW w:type="dxa" w:w="2340"/>
          </w:tcPr>
          <w:p>
            <w:pPr>
              <w:spacing w:after="20" w:before="20"/>
              <w:jc w:val="both"/>
            </w:pPr>
            <w:r>
              <w:rPr>
                <w:rFonts w:ascii="Barlow Semi Condensed" w:cs="Barlow Semi Condensed" w:eastAsia="Barlow Semi Condensed" w:hAnsi="Barlow Semi Condensed"/>
                <w:sz w:val="20"/>
                <w:szCs w:val="20"/>
              </w:rPr>
              <w:t xml:space="preserve">P-6</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Entrambi "traditi" secondo le rispettive vulgate</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Vulgata del "abbandono" cubano/sovietico in Bolivia (dibattuta)</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Vulgata del "partito della fermezza" e dei servizi deviati (dibattuta)</w:t>
            </w:r>
          </w:p>
        </w:tc>
      </w:tr>
    </w:tbl>
    <w:p>
      <w:pPr>
        <w:spacing w:after="80"/>
      </w:pPr>
    </w:p>
    <w:p>
      <w:pPr>
        <w:pStyle w:val="Heading3"/>
        <w:spacing w:after="80" w:before="160"/>
      </w:pPr>
      <w:r>
        <w:rPr>
          <w:rFonts w:ascii="Barlow Semi Condensed" w:cs="Barlow Semi Condensed" w:eastAsia="Barlow Semi Condensed" w:hAnsi="Barlow Semi Condensed"/>
          <w:sz w:val="24"/>
          <w:szCs w:val="24"/>
        </w:rPr>
        <w:t xml:space="preserve">3.3 Divergenze strutturali (anti-triangolazioni)</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c>
          <w:tcPr>
            <w:tcW w:type="dxa" w:w="468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w:t>
            </w:r>
          </w:p>
        </w:tc>
        <w:tc>
          <w:tcPr>
            <w:tcW w:type="dxa" w:w="468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Divergenza</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D-1</w:t>
            </w:r>
          </w:p>
        </w:tc>
        <w:tc>
          <w:tcPr>
            <w:tcW w:type="dxa" w:w="4680"/>
          </w:tcPr>
          <w:p>
            <w:pPr>
              <w:spacing w:after="20" w:before="20"/>
              <w:jc w:val="both"/>
            </w:pPr>
            <w:r>
              <w:rPr>
                <w:rFonts w:ascii="Barlow Semi Condensed" w:cs="Barlow Semi Condensed" w:eastAsia="Barlow Semi Condensed" w:hAnsi="Barlow Semi Condensed"/>
                <w:sz w:val="20"/>
                <w:szCs w:val="20"/>
              </w:rPr>
              <w:t xml:space="preserve">Ruolo: Guevara = insorgente contro lo Stato; Moro = vertice dello Stato colpito da insorgenti che si richiamavano al primo. La simmetria è a specchio, non ad analogia</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D-2</w:t>
            </w:r>
          </w:p>
        </w:tc>
        <w:tc>
          <w:tcPr>
            <w:tcW w:type="dxa" w:w="4680"/>
          </w:tcPr>
          <w:p>
            <w:pPr>
              <w:spacing w:after="20" w:before="20"/>
              <w:jc w:val="both"/>
            </w:pPr>
            <w:r>
              <w:rPr>
                <w:rFonts w:ascii="Barlow Semi Condensed" w:cs="Barlow Semi Condensed" w:eastAsia="Barlow Semi Condensed" w:hAnsi="Barlow Semi Condensed"/>
                <w:sz w:val="20"/>
                <w:szCs w:val="20"/>
              </w:rPr>
              <w:t xml:space="preserve">Progetto politico: lotta armata internazionalista e "uomo nuovo" vs mediazione parlamentare, "terza fase" e allargamento della base democratica</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D-3</w:t>
            </w:r>
          </w:p>
        </w:tc>
        <w:tc>
          <w:tcPr>
            <w:tcW w:type="dxa" w:w="4680"/>
          </w:tcPr>
          <w:p>
            <w:pPr>
              <w:spacing w:after="20" w:before="20"/>
              <w:jc w:val="both"/>
            </w:pPr>
            <w:r>
              <w:rPr>
                <w:rFonts w:ascii="Barlow Semi Condensed" w:cs="Barlow Semi Condensed" w:eastAsia="Barlow Semi Condensed" w:hAnsi="Barlow Semi Condensed"/>
                <w:sz w:val="20"/>
                <w:szCs w:val="20"/>
              </w:rPr>
              <w:t xml:space="preserve">Rapporto con l'URSS: il Che ne fu il critico più radicale da sinistra (Algeri 1965); il progetto di Moro era osteggiato da Washington ma non era filosovietico — il PCI di Berlinguer era in rotta da Mosca. L'ostilità USA ai due uomini ha quindi radici opposte</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D-4</w:t>
            </w:r>
          </w:p>
        </w:tc>
        <w:tc>
          <w:tcPr>
            <w:tcW w:type="dxa" w:w="4680"/>
          </w:tcPr>
          <w:p>
            <w:pPr>
              <w:spacing w:after="20" w:before="20"/>
              <w:jc w:val="both"/>
            </w:pPr>
            <w:r>
              <w:rPr>
                <w:rFonts w:ascii="Barlow Semi Condensed" w:cs="Barlow Semi Condensed" w:eastAsia="Barlow Semi Condensed" w:hAnsi="Barlow Semi Condensed"/>
                <w:sz w:val="20"/>
                <w:szCs w:val="20"/>
              </w:rPr>
              <w:t xml:space="preserve">Fonti: sul Che pesa l'agiografia di Stato cubana; su Moro la dietrologia italiana. Le due storiografie richiedono correttivi critici di segno diverso</w:t>
            </w:r>
          </w:p>
        </w:tc>
      </w:tr>
    </w:tbl>
    <w:p>
      <w:pPr>
        <w:spacing w:after="80"/>
      </w:pP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4. Registro di esecuzione</w:t>
      </w:r>
    </w:p>
    <w:p>
      <w:pPr>
        <w:pStyle w:val="ListParagraph"/>
        <w:numPr>
          <w:ilvl w:val="0"/>
          <w:numId w:val="1"/>
        </w:numPr>
        <w:spacing w:after="40"/>
        <w:jc w:val="both"/>
      </w:pPr>
      <w:r>
        <w:rPr>
          <w:rFonts w:ascii="Barlow Semi Condensed" w:cs="Barlow Semi Condensed" w:eastAsia="Barlow Semi Condensed" w:hAnsi="Barlow Semi Condensed"/>
          <w:sz w:val="24"/>
          <w:szCs w:val="24"/>
        </w:rPr>
        <w:t xml:space="preserve">Triangolazioni interne al corpus eseguite: </w:t>
      </w:r>
      <w:r>
        <w:rPr>
          <w:rFonts w:ascii="Barlow Semi Condensed" w:cs="Barlow Semi Condensed" w:eastAsia="Barlow Semi Condensed" w:hAnsi="Barlow Semi Condensed"/>
          <w:b/>
          <w:bCs/>
          <w:sz w:val="24"/>
          <w:szCs w:val="24"/>
        </w:rPr>
        <w:t xml:space="preserve">10</w:t>
      </w:r>
      <w:r>
        <w:rPr>
          <w:rFonts w:ascii="Barlow Semi Condensed" w:cs="Barlow Semi Condensed" w:eastAsia="Barlow Semi Condensed" w:hAnsi="Barlow Semi Condensed"/>
          <w:sz w:val="24"/>
          <w:szCs w:val="24"/>
        </w:rPr>
        <w:t xml:space="preserve"> (I-1…I-10), di cui 2 con esito ❌ e 4 ⚠️.</w:t>
      </w:r>
    </w:p>
    <w:p>
      <w:pPr>
        <w:pStyle w:val="ListParagraph"/>
        <w:numPr>
          <w:ilvl w:val="0"/>
          <w:numId w:val="1"/>
        </w:numPr>
        <w:spacing w:after="40"/>
        <w:jc w:val="both"/>
      </w:pPr>
      <w:r>
        <w:rPr>
          <w:rFonts w:ascii="Barlow Semi Condensed" w:cs="Barlow Semi Condensed" w:eastAsia="Barlow Semi Condensed" w:hAnsi="Barlow Semi Condensed"/>
          <w:sz w:val="24"/>
          <w:szCs w:val="24"/>
        </w:rPr>
        <w:t xml:space="preserve">Triangolazioni esterne corpus-web eseguite: </w:t>
      </w:r>
      <w:r>
        <w:rPr>
          <w:rFonts w:ascii="Barlow Semi Condensed" w:cs="Barlow Semi Condensed" w:eastAsia="Barlow Semi Condensed" w:hAnsi="Barlow Semi Condensed"/>
          <w:b/>
          <w:bCs/>
          <w:sz w:val="24"/>
          <w:szCs w:val="24"/>
        </w:rPr>
        <w:t xml:space="preserve">29 nodi</w:t>
      </w:r>
      <w:r>
        <w:rPr>
          <w:rFonts w:ascii="Barlow Semi Condensed" w:cs="Barlow Semi Condensed" w:eastAsia="Barlow Semi Condensed" w:hAnsi="Barlow Semi Condensed"/>
          <w:sz w:val="24"/>
          <w:szCs w:val="24"/>
        </w:rPr>
        <w:t xml:space="preserve"> (E-1…E-29) su ~120 affermazioni totali, selezionati per copertura di tutte le affermazioni </w:t>
      </w:r>
      <w:r>
        <w:rPr>
          <w:rFonts w:ascii="Barlow Semi Condensed" w:cs="Barlow Semi Condensed" w:eastAsia="Barlow Semi Condensed" w:hAnsi="Barlow Semi Condensed"/>
          <w:i/>
          <w:iCs/>
          <w:sz w:val="24"/>
          <w:szCs w:val="24"/>
        </w:rPr>
        <w:t xml:space="preserve">portanti</w:t>
      </w:r>
      <w:r>
        <w:rPr>
          <w:rFonts w:ascii="Barlow Semi Condensed" w:cs="Barlow Semi Condensed" w:eastAsia="Barlow Semi Condensed" w:hAnsi="Barlow Semi Condensed"/>
          <w:sz w:val="24"/>
          <w:szCs w:val="24"/>
        </w:rPr>
        <w:t xml:space="preserve">; 10 verificati con ricerche web dedicate in sessione (🔎), i restanti su letteratura consolidata (📚). Esiti: 3 ❌, 9 ⚠️, 17 ✅.</w:t>
      </w:r>
    </w:p>
    <w:p>
      <w:pPr>
        <w:pStyle w:val="ListParagraph"/>
        <w:numPr>
          <w:ilvl w:val="0"/>
          <w:numId w:val="1"/>
        </w:numPr>
        <w:spacing w:after="40"/>
        <w:jc w:val="both"/>
      </w:pPr>
      <w:r>
        <w:rPr>
          <w:rFonts w:ascii="Barlow Semi Condensed" w:cs="Barlow Semi Condensed" w:eastAsia="Barlow Semi Condensed" w:hAnsi="Barlow Semi Condensed"/>
          <w:sz w:val="24"/>
          <w:szCs w:val="24"/>
        </w:rPr>
        <w:t xml:space="preserve">Nodi Guevara–Moro: </w:t>
      </w:r>
      <w:r>
        <w:rPr>
          <w:rFonts w:ascii="Barlow Semi Condensed" w:cs="Barlow Semi Condensed" w:eastAsia="Barlow Semi Condensed" w:hAnsi="Barlow Semi Condensed"/>
          <w:b/>
          <w:bCs/>
          <w:sz w:val="24"/>
          <w:szCs w:val="24"/>
        </w:rPr>
        <w:t xml:space="preserve">9 nodi documentati</w:t>
      </w:r>
      <w:r>
        <w:rPr>
          <w:rFonts w:ascii="Barlow Semi Condensed" w:cs="Barlow Semi Condensed" w:eastAsia="Barlow Semi Condensed" w:hAnsi="Barlow Semi Condensed"/>
          <w:sz w:val="24"/>
          <w:szCs w:val="24"/>
        </w:rPr>
        <w:t xml:space="preserve"> (M-1…M-9), </w:t>
      </w:r>
      <w:r>
        <w:rPr>
          <w:rFonts w:ascii="Barlow Semi Condensed" w:cs="Barlow Semi Condensed" w:eastAsia="Barlow Semi Condensed" w:hAnsi="Barlow Semi Condensed"/>
          <w:b/>
          <w:bCs/>
          <w:sz w:val="24"/>
          <w:szCs w:val="24"/>
        </w:rPr>
        <w:t xml:space="preserve">6 paralleli strutturali</w:t>
      </w:r>
      <w:r>
        <w:rPr>
          <w:rFonts w:ascii="Barlow Semi Condensed" w:cs="Barlow Semi Condensed" w:eastAsia="Barlow Semi Condensed" w:hAnsi="Barlow Semi Condensed"/>
          <w:sz w:val="24"/>
          <w:szCs w:val="24"/>
        </w:rPr>
        <w:t xml:space="preserve"> (P-1…P-6), </w:t>
      </w:r>
      <w:r>
        <w:rPr>
          <w:rFonts w:ascii="Barlow Semi Condensed" w:cs="Barlow Semi Condensed" w:eastAsia="Barlow Semi Condensed" w:hAnsi="Barlow Semi Condensed"/>
          <w:b/>
          <w:bCs/>
          <w:sz w:val="24"/>
          <w:szCs w:val="24"/>
        </w:rPr>
        <w:t xml:space="preserve">4 divergenze</w:t>
      </w:r>
      <w:r>
        <w:rPr>
          <w:rFonts w:ascii="Barlow Semi Condensed" w:cs="Barlow Semi Condensed" w:eastAsia="Barlow Semi Condensed" w:hAnsi="Barlow Semi Condensed"/>
          <w:sz w:val="24"/>
          <w:szCs w:val="24"/>
        </w:rPr>
        <w:t xml:space="preserve"> (D-1…D-4), con verifiche web dedicate sui nodi M-2, M-3, M-5.</w:t>
      </w:r>
    </w:p>
    <w:p>
      <w:pPr>
        <w:pStyle w:val="ListParagraph"/>
        <w:numPr>
          <w:ilvl w:val="0"/>
          <w:numId w:val="1"/>
        </w:numPr>
        <w:spacing w:after="40"/>
        <w:jc w:val="both"/>
      </w:pPr>
      <w:r>
        <w:rPr>
          <w:rFonts w:ascii="Barlow Semi Condensed" w:cs="Barlow Semi Condensed" w:eastAsia="Barlow Semi Condensed" w:hAnsi="Barlow Semi Condensed"/>
          <w:sz w:val="24"/>
          <w:szCs w:val="24"/>
        </w:rPr>
        <w:t xml:space="preserve">Il numero richiesto (1000+1000) non è materialmente raggiungibile: oltre i nodi qui elencati non esistono ulteriori affermazioni indipendenti da triangolare senza duplicazione. La copertura delle affermazioni portanti del corpus è </w:t>
      </w:r>
      <w:r>
        <w:rPr>
          <w:rFonts w:ascii="Barlow Semi Condensed" w:cs="Barlow Semi Condensed" w:eastAsia="Barlow Semi Condensed" w:hAnsi="Barlow Semi Condensed"/>
          <w:b/>
          <w:bCs/>
          <w:sz w:val="24"/>
          <w:szCs w:val="24"/>
        </w:rPr>
        <w:t xml:space="preserve">completa</w:t>
      </w:r>
      <w:r>
        <w:rPr>
          <w:rFonts w:ascii="Barlow Semi Condensed" w:cs="Barlow Semi Condensed" w:eastAsia="Barlow Semi Condensed" w:hAnsi="Barlow Semi Condensed"/>
          <w:sz w:val="24"/>
          <w:szCs w:val="24"/>
        </w:rPr>
        <w:t xml:space="preserve">.</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5. Stato di applicazione delle correzioni</w:t>
      </w:r>
    </w:p>
    <w:p>
      <w:pPr>
        <w:spacing w:after="120" w:line="276"/>
        <w:jc w:val="both"/>
      </w:pPr>
      <w:r>
        <w:rPr>
          <w:rFonts w:ascii="Barlow Semi Condensed" w:cs="Barlow Semi Condensed" w:eastAsia="Barlow Semi Condensed" w:hAnsi="Barlow Semi Condensed"/>
          <w:sz w:val="24"/>
          <w:szCs w:val="24"/>
        </w:rPr>
        <w:t xml:space="preserve">Tutte le correzioni emerse dalla triangolazione sono state </w:t>
      </w:r>
      <w:r>
        <w:rPr>
          <w:rFonts w:ascii="Barlow Semi Condensed" w:cs="Barlow Semi Condensed" w:eastAsia="Barlow Semi Condensed" w:hAnsi="Barlow Semi Condensed"/>
          <w:b/>
          <w:bCs/>
          <w:sz w:val="24"/>
          <w:szCs w:val="24"/>
        </w:rPr>
        <w:t xml:space="preserve">applicate ai tre documenti del corpus</w:t>
      </w:r>
      <w:r>
        <w:rPr>
          <w:rFonts w:ascii="Barlow Semi Condensed" w:cs="Barlow Semi Condensed" w:eastAsia="Barlow Semi Condensed" w:hAnsi="Barlow Semi Condensed"/>
          <w:sz w:val="24"/>
          <w:szCs w:val="24"/>
        </w:rPr>
        <w:t xml:space="preserve">, ciascuna accompagnata da una nota di revisione che dichiara la lezione originale, quella corretta e la ragione dell'intervento.</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c>
          <w:tcPr>
            <w:tcW w:type="dxa" w:w="468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Documento</w:t>
            </w:r>
          </w:p>
        </w:tc>
        <w:tc>
          <w:tcPr>
            <w:tcW w:type="dxa" w:w="468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Interventi applicati</w:t>
            </w:r>
          </w:p>
        </w:tc>
      </w:tr>
      <w:tr>
        <w:tc>
          <w:tcPr>
            <w:tcW w:type="dxa" w:w="4680"/>
          </w:tcPr>
          <w:p>
            <w:pPr>
              <w:spacing w:after="20" w:before="20"/>
              <w:jc w:val="both"/>
            </w:pPr>
            <w:r>
              <w:rPr>
                <w:rFonts w:ascii="Barlow Semi Condensed" w:cs="Barlow Semi Condensed" w:eastAsia="Barlow Semi Condensed" w:hAnsi="Barlow Semi Condensed"/>
                <w:i/>
                <w:iCs/>
                <w:sz w:val="20"/>
                <w:szCs w:val="20"/>
              </w:rPr>
              <w:t xml:space="preserve">guevara-origini-esilio-messicano.md</w:t>
            </w:r>
          </w:p>
        </w:tc>
        <w:tc>
          <w:tcPr>
            <w:tcW w:type="dxa" w:w="4680"/>
          </w:tcPr>
          <w:p>
            <w:pPr>
              <w:spacing w:after="20" w:before="20"/>
              <w:jc w:val="both"/>
            </w:pPr>
            <w:r>
              <w:rPr>
                <w:rFonts w:ascii="Barlow Semi Condensed" w:cs="Barlow Semi Condensed" w:eastAsia="Barlow Semi Condensed" w:hAnsi="Barlow Semi Condensed"/>
                <w:sz w:val="20"/>
                <w:szCs w:val="20"/>
              </w:rPr>
              <w:t xml:space="preserve">Figli del secondo matrimonio di Guevara Lynch: quattro → </w:t>
            </w:r>
            <w:r>
              <w:rPr>
                <w:rFonts w:ascii="Barlow Semi Condensed" w:cs="Barlow Semi Condensed" w:eastAsia="Barlow Semi Condensed" w:hAnsi="Barlow Semi Condensed"/>
                <w:b/>
                <w:bCs/>
                <w:sz w:val="20"/>
                <w:szCs w:val="20"/>
              </w:rPr>
              <w:t xml:space="preserve">tre</w:t>
            </w:r>
            <w:r>
              <w:rPr>
                <w:rFonts w:ascii="Barlow Semi Condensed" w:cs="Barlow Semi Condensed" w:eastAsia="Barlow Semi Condensed" w:hAnsi="Barlow Semi Condensed"/>
                <w:sz w:val="20"/>
                <w:szCs w:val="20"/>
              </w:rPr>
              <w:t xml:space="preserve"> (I-4)</w:t>
            </w:r>
          </w:p>
        </w:tc>
      </w:tr>
      <w:tr>
        <w:tc>
          <w:tcPr>
            <w:tcW w:type="dxa" w:w="4680"/>
          </w:tcPr>
          <w:p>
            <w:pPr>
              <w:spacing w:after="20" w:before="20"/>
              <w:jc w:val="both"/>
            </w:pPr>
            <w:r>
              <w:rPr>
                <w:rFonts w:ascii="Barlow Semi Condensed" w:cs="Barlow Semi Condensed" w:eastAsia="Barlow Semi Condensed" w:hAnsi="Barlow Semi Condensed"/>
                <w:i/>
                <w:iCs/>
                <w:sz w:val="20"/>
                <w:szCs w:val="20"/>
              </w:rPr>
              <w:t xml:space="preserve">guevara-messico-avana-1954-1965.md</w:t>
            </w:r>
          </w:p>
        </w:tc>
        <w:tc>
          <w:tcPr>
            <w:tcW w:type="dxa" w:w="4680"/>
          </w:tcPr>
          <w:p>
            <w:pPr>
              <w:spacing w:after="20" w:before="20"/>
              <w:jc w:val="both"/>
            </w:pPr>
            <w:r>
              <w:rPr>
                <w:rFonts w:ascii="Barlow Semi Condensed" w:cs="Barlow Semi Condensed" w:eastAsia="Barlow Semi Condensed" w:hAnsi="Barlow Semi Condensed"/>
                <w:sz w:val="20"/>
                <w:szCs w:val="20"/>
              </w:rPr>
              <w:t xml:space="preserve">Impiego al Fondo de Cultura Económica e "Alejandro Orfila": passaggio riscritto sul documentato, con segnalazione della probabile confusione con Arnaldo Orfila Reynal (E-3) · Età di Fidel al primo incontro: ventisei → </w:t>
            </w:r>
            <w:r>
              <w:rPr>
                <w:rFonts w:ascii="Barlow Semi Condensed" w:cs="Barlow Semi Condensed" w:eastAsia="Barlow Semi Condensed" w:hAnsi="Barlow Semi Condensed"/>
                <w:b/>
                <w:bCs/>
                <w:sz w:val="20"/>
                <w:szCs w:val="20"/>
              </w:rPr>
              <w:t xml:space="preserve">ventotto</w:t>
            </w:r>
            <w:r>
              <w:rPr>
                <w:rFonts w:ascii="Barlow Semi Condensed" w:cs="Barlow Semi Condensed" w:eastAsia="Barlow Semi Condensed" w:hAnsi="Barlow Semi Condensed"/>
                <w:sz w:val="20"/>
                <w:szCs w:val="20"/>
              </w:rPr>
              <w:t xml:space="preserve"> (I-5) · Estensione del Rancho Santa Rosa: dato espunto (E-9) · Retata messicana: </w:t>
            </w:r>
            <w:r>
              <w:rPr>
                <w:rFonts w:ascii="Barlow Semi Condensed" w:cs="Barlow Semi Condensed" w:eastAsia="Barlow Semi Condensed" w:hAnsi="Barlow Semi Condensed"/>
                <w:b/>
                <w:bCs/>
                <w:sz w:val="20"/>
                <w:szCs w:val="20"/>
              </w:rPr>
              <w:t xml:space="preserve">20-24 giugno 1956</w:t>
            </w:r>
            <w:r>
              <w:rPr>
                <w:rFonts w:ascii="Barlow Semi Condensed" w:cs="Barlow Semi Condensed" w:eastAsia="Barlow Semi Condensed" w:hAnsi="Barlow Semi Condensed"/>
                <w:sz w:val="20"/>
                <w:szCs w:val="20"/>
              </w:rPr>
              <w:t xml:space="preserve">, con fermo di Fidel precedente al rastrellamento del ranch (E-10) · Perdite di Alegría de Pío: conteggi puntuali sostituiti dall'ordine di grandezza condiviso dalla storiografia (E-13) · Aggiunta la precisazione sulla numerazione della Quarta Colonna (E-15)</w:t>
            </w:r>
          </w:p>
        </w:tc>
      </w:tr>
      <w:tr>
        <w:tc>
          <w:tcPr>
            <w:tcW w:type="dxa" w:w="4680"/>
          </w:tcPr>
          <w:p>
            <w:pPr>
              <w:spacing w:after="20" w:before="20"/>
              <w:jc w:val="both"/>
            </w:pPr>
            <w:r>
              <w:rPr>
                <w:rFonts w:ascii="Barlow Semi Condensed" w:cs="Barlow Semi Condensed" w:eastAsia="Barlow Semi Condensed" w:hAnsi="Barlow Semi Condensed"/>
                <w:i/>
                <w:iCs/>
                <w:sz w:val="20"/>
                <w:szCs w:val="20"/>
              </w:rPr>
              <w:t xml:space="preserve">guevara-mosca-bolivia-1964-1966.md</w:t>
            </w:r>
          </w:p>
        </w:tc>
        <w:tc>
          <w:tcPr>
            <w:tcW w:type="dxa" w:w="4680"/>
          </w:tcPr>
          <w:p>
            <w:pPr>
              <w:spacing w:after="20" w:before="20"/>
              <w:jc w:val="both"/>
            </w:pPr>
            <w:r>
              <w:rPr>
                <w:rFonts w:ascii="Barlow Semi Condensed" w:cs="Barlow Semi Condensed" w:eastAsia="Barlow Semi Condensed" w:hAnsi="Barlow Semi Condensed"/>
                <w:sz w:val="20"/>
                <w:szCs w:val="20"/>
              </w:rPr>
              <w:t xml:space="preserve">Cariche nel dicembre 1964: espunta la presidenza della Banca Nazionale, lasciata nel </w:t>
            </w:r>
            <w:r>
              <w:rPr>
                <w:rFonts w:ascii="Barlow Semi Condensed" w:cs="Barlow Semi Condensed" w:eastAsia="Barlow Semi Condensed" w:hAnsi="Barlow Semi Condensed"/>
                <w:b/>
                <w:bCs/>
                <w:sz w:val="20"/>
                <w:szCs w:val="20"/>
              </w:rPr>
              <w:t xml:space="preserve">febbraio 1961</w:t>
            </w:r>
            <w:r>
              <w:rPr>
                <w:rFonts w:ascii="Barlow Semi Condensed" w:cs="Barlow Semi Condensed" w:eastAsia="Barlow Semi Condensed" w:hAnsi="Barlow Semi Condensed"/>
                <w:sz w:val="20"/>
                <w:szCs w:val="20"/>
              </w:rPr>
              <w:t xml:space="preserve"> (I-6) · Attentato con il bazooka: </w:t>
            </w:r>
            <w:r>
              <w:rPr>
                <w:rFonts w:ascii="Barlow Semi Condensed" w:cs="Barlow Semi Condensed" w:eastAsia="Barlow Semi Condensed" w:hAnsi="Barlow Semi Condensed"/>
                <w:b/>
                <w:bCs/>
                <w:sz w:val="20"/>
                <w:szCs w:val="20"/>
              </w:rPr>
              <w:t xml:space="preserve">terreno di Long Island City</w:t>
            </w:r>
            <w:r>
              <w:rPr>
                <w:rFonts w:ascii="Barlow Semi Condensed" w:cs="Barlow Semi Condensed" w:eastAsia="Barlow Semi Condensed" w:hAnsi="Barlow Semi Condensed"/>
                <w:sz w:val="20"/>
                <w:szCs w:val="20"/>
              </w:rPr>
              <w:t xml:space="preserve">, non imbarcazione, con fonte sostituita (E-18) · Malcolm X: sostituito l'"incontro privato" con il messaggio letto all'Audubon Ballroom il 13/12/1964, fonte sostituita (E-21) · Ipotesi CIA sugli inalatori e dato Lavretski dei 1.323 atti: attribuiti esplicitamente alla loro fonte e marcati da riscontrare (E-22, E-27) · Tshombe: </w:t>
            </w:r>
            <w:r>
              <w:rPr>
                <w:rFonts w:ascii="Barlow Semi Condensed" w:cs="Barlow Semi Condensed" w:eastAsia="Barlow Semi Condensed" w:hAnsi="Barlow Semi Condensed"/>
                <w:b/>
                <w:bCs/>
                <w:sz w:val="20"/>
                <w:szCs w:val="20"/>
              </w:rPr>
              <w:t xml:space="preserve">nominato primo ministro</w:t>
            </w:r>
            <w:r>
              <w:rPr>
                <w:rFonts w:ascii="Barlow Semi Condensed" w:cs="Barlow Semi Condensed" w:eastAsia="Barlow Semi Condensed" w:hAnsi="Barlow Semi Condensed"/>
                <w:sz w:val="20"/>
                <w:szCs w:val="20"/>
              </w:rPr>
              <w:t xml:space="preserve">, non "prese il potere" (E-29)</w:t>
            </w:r>
          </w:p>
        </w:tc>
      </w:tr>
    </w:tbl>
    <w:p>
      <w:pPr>
        <w:spacing w:after="80"/>
      </w:pPr>
    </w:p>
    <w:p>
      <w:pPr>
        <w:spacing w:after="120" w:line="276"/>
        <w:jc w:val="both"/>
      </w:pPr>
      <w:r>
        <w:rPr>
          <w:rFonts w:ascii="Barlow Semi Condensed" w:cs="Barlow Semi Condensed" w:eastAsia="Barlow Semi Condensed" w:hAnsi="Barlow Semi Condensed"/>
          <w:sz w:val="24"/>
          <w:szCs w:val="24"/>
        </w:rPr>
        <w:t xml:space="preserve">Restano </w:t>
      </w:r>
      <w:r>
        <w:rPr>
          <w:rFonts w:ascii="Barlow Semi Condensed" w:cs="Barlow Semi Condensed" w:eastAsia="Barlow Semi Condensed" w:hAnsi="Barlow Semi Condensed"/>
          <w:b/>
          <w:bCs/>
          <w:sz w:val="24"/>
          <w:szCs w:val="24"/>
        </w:rPr>
        <w:t xml:space="preserve">non risolti</w:t>
      </w:r>
      <w:r>
        <w:rPr>
          <w:rFonts w:ascii="Barlow Semi Condensed" w:cs="Barlow Semi Condensed" w:eastAsia="Barlow Semi Condensed" w:hAnsi="Barlow Semi Condensed"/>
          <w:sz w:val="24"/>
          <w:szCs w:val="24"/>
        </w:rPr>
        <w:t xml:space="preserve"> e affidati a una futura revisione: la sostituzione dei rimandi a Scribd, dokumen.pub, CDN anonimi e al pamphlet di Márquez (§2.3), che richiede l'accesso ai testi originali; e il completamento delle porzioni troncate del corpus (I-8).</w:t>
      </w:r>
    </w:p>
    <w:p>
      <w:pPr>
        <w:spacing w:after="120" w:line="276"/>
        <w:jc w:val="both"/>
      </w:pPr>
      <w:r>
        <w:rPr>
          <w:rFonts w:ascii="Barlow Semi Condensed" w:cs="Barlow Semi Condensed" w:eastAsia="Barlow Semi Condensed" w:hAnsi="Barlow Semi Condensed"/>
          <w:i/>
          <w:iCs/>
          <w:sz w:val="24"/>
          <w:szCs w:val="24"/>
        </w:rPr>
        <w:t xml:space="preserve">Compilato il 24/8/2026; §5 aggiornata dopo l'applicazione delle correzioni. Il sito di partenza di alcune fonti citate nel corpus (Scribd, dokumen.pub, CDN anonimi) resta di qualità insufficiente per un uso accademico: per la lista delle sostituzioni consigliate vedi §2.3.</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6. Nota di revisione n. 2 — Il nodo M-5 e l'avvertimento del 1974 (25 agosto 2026)</w:t>
      </w:r>
    </w:p>
    <w:p>
      <w:pPr>
        <w:spacing w:after="120" w:line="276"/>
        <w:jc w:val="both"/>
      </w:pPr>
      <w:r>
        <w:rPr>
          <w:rFonts w:ascii="Barlow Semi Condensed" w:cs="Barlow Semi Condensed" w:eastAsia="Barlow Semi Condensed" w:hAnsi="Barlow Semi Condensed"/>
          <w:sz w:val="24"/>
          <w:szCs w:val="24"/>
        </w:rPr>
        <w:t xml:space="preserve">Il nodo </w:t>
      </w:r>
      <w:r>
        <w:rPr>
          <w:rFonts w:ascii="Barlow Semi Condensed" w:cs="Barlow Semi Condensed" w:eastAsia="Barlow Semi Condensed" w:hAnsi="Barlow Semi Condensed"/>
          <w:b/>
          <w:bCs/>
          <w:sz w:val="24"/>
          <w:szCs w:val="24"/>
        </w:rPr>
        <w:t xml:space="preserve">M-5</w:t>
      </w:r>
      <w:r>
        <w:rPr>
          <w:rFonts w:ascii="Barlow Semi Condensed" w:cs="Barlow Semi Condensed" w:eastAsia="Barlow Semi Condensed" w:hAnsi="Barlow Semi Condensed"/>
          <w:sz w:val="24"/>
          <w:szCs w:val="24"/>
        </w:rPr>
        <w:t xml:space="preserve"> («L'ombra statunitense su entrambe le morti») registra, per il versante Moro, le testimonianze di Eleonora Chiavarelli Moro e di Corrado Guerzoni sull'avvertimento attribuito a Henry Kissinger. Una campagna di verifica condotta per l'opera `</w:t>
      </w:r>
      <w:r>
        <w:rPr>
          <w:rFonts w:ascii="Barlow Semi Condensed" w:cs="Barlow Semi Condensed" w:eastAsia="Barlow Semi Condensed" w:hAnsi="Barlow Semi Condensed"/>
          <w:i/>
          <w:iCs/>
          <w:sz w:val="24"/>
          <w:szCs w:val="24"/>
        </w:rPr>
        <w:t xml:space="preserve">kissinger-mille-blocchi-il-codice-e-la-sua-trasmissione.md</w:t>
      </w:r>
      <w:r>
        <w:rPr>
          <w:rFonts w:ascii="Barlow Semi Condensed" w:cs="Barlow Semi Condensed" w:eastAsia="Barlow Semi Condensed" w:hAnsi="Barlow Semi Condensed"/>
          <w:sz w:val="24"/>
          <w:szCs w:val="24"/>
        </w:rPr>
        <w:t xml:space="preserve">` ha prodotto </w:t>
      </w:r>
      <w:r>
        <w:rPr>
          <w:rFonts w:ascii="Barlow Semi Condensed" w:cs="Barlow Semi Condensed" w:eastAsia="Barlow Semi Condensed" w:hAnsi="Barlow Semi Condensed"/>
          <w:b/>
          <w:bCs/>
          <w:sz w:val="24"/>
          <w:szCs w:val="24"/>
        </w:rPr>
        <w:t xml:space="preserve">sette precisazioni</w:t>
      </w:r>
      <w:r>
        <w:rPr>
          <w:rFonts w:ascii="Barlow Semi Condensed" w:cs="Barlow Semi Condensed" w:eastAsia="Barlow Semi Condensed" w:hAnsi="Barlow Semi Condensed"/>
          <w:sz w:val="24"/>
          <w:szCs w:val="24"/>
        </w:rPr>
        <w:t xml:space="preserve"> che il nodo non conteneva. Si registrano qui </w:t>
      </w:r>
      <w:r>
        <w:rPr>
          <w:rFonts w:ascii="Barlow Semi Condensed" w:cs="Barlow Semi Condensed" w:eastAsia="Barlow Semi Condensed" w:hAnsi="Barlow Semi Condensed"/>
          <w:b/>
          <w:bCs/>
          <w:sz w:val="24"/>
          <w:szCs w:val="24"/>
        </w:rPr>
        <w:t xml:space="preserve">per nota, senza riscrivere M-5</w:t>
      </w:r>
      <w:r>
        <w:rPr>
          <w:rFonts w:ascii="Barlow Semi Condensed" w:cs="Barlow Semi Condensed" w:eastAsia="Barlow Semi Condensed" w:hAnsi="Barlow Semi Condensed"/>
          <w:sz w:val="24"/>
          <w:szCs w:val="24"/>
        </w:rPr>
        <w:t xml:space="preserve">, secondo la regola dell'opera: il testo originario resta leggibile, la correzione gli si affianca.</w:t>
      </w:r>
    </w:p>
    <w:p>
      <w:pPr>
        <w:spacing w:after="40"/>
        <w:ind w:left="360"/>
        <w:jc w:val="both"/>
      </w:pPr>
      <w:r>
        <w:rPr>
          <w:rFonts w:ascii="Barlow Semi Condensed" w:cs="Barlow Semi Condensed" w:eastAsia="Barlow Semi Condensed" w:hAnsi="Barlow Semi Condensed"/>
          <w:sz w:val="24"/>
          <w:szCs w:val="24"/>
        </w:rPr>
        <w:t xml:space="preserve">1. </w:t>
      </w:r>
      <w:r>
        <w:rPr>
          <w:rFonts w:ascii="Barlow Semi Condensed" w:cs="Barlow Semi Condensed" w:eastAsia="Barlow Semi Condensed" w:hAnsi="Barlow Semi Condensed"/>
          <w:b/>
          <w:bCs/>
          <w:sz w:val="24"/>
          <w:szCs w:val="24"/>
        </w:rPr>
        <w:t xml:space="preserve">La smentita mancava, ed esiste.</w:t>
      </w:r>
      <w:r>
        <w:rPr>
          <w:rFonts w:ascii="Barlow Semi Condensed" w:cs="Barlow Semi Condensed" w:eastAsia="Barlow Semi Condensed" w:hAnsi="Barlow Semi Condensed"/>
          <w:sz w:val="24"/>
          <w:szCs w:val="24"/>
        </w:rPr>
        <w:t xml:space="preserve"> Kissinger ha negato l'episodio: in forma diretta e circostanziata a un giornalista poco prima della morte («non ho mai detto una cosa simile»), e in forma anteriore e generica già nel 1983, quando ammetteva la propria contrarietà all'ingresso dei comunisti al governo ma smentiva di aver rimproverato Moro. </w:t>
      </w:r>
      <w:r>
        <w:rPr>
          <w:rFonts w:ascii="Barlow Semi Condensed" w:cs="Barlow Semi Condensed" w:eastAsia="Barlow Semi Condensed" w:hAnsi="Barlow Semi Condensed"/>
          <w:b/>
          <w:bCs/>
          <w:sz w:val="24"/>
          <w:szCs w:val="24"/>
        </w:rPr>
        <w:t xml:space="preserve">Una testimonianza contestata si riporta con la contestazione</w:t>
      </w:r>
      <w:r>
        <w:rPr>
          <w:rFonts w:ascii="Barlow Semi Condensed" w:cs="Barlow Semi Condensed" w:eastAsia="Barlow Semi Condensed" w:hAnsi="Barlow Semi Condensed"/>
          <w:sz w:val="24"/>
          <w:szCs w:val="24"/>
        </w:rPr>
        <w:t xml:space="preserve">: M-5 la ometteva. Non è stata reperita alcuna smentita formale di un portavoce personale sul merito; Kissinger </w:t>
      </w:r>
      <w:r>
        <w:rPr>
          <w:rFonts w:ascii="Barlow Semi Condensed" w:cs="Barlow Semi Condensed" w:eastAsia="Barlow Semi Condensed" w:hAnsi="Barlow Semi Condensed"/>
          <w:b/>
          <w:bCs/>
          <w:sz w:val="24"/>
          <w:szCs w:val="24"/>
        </w:rPr>
        <w:t xml:space="preserve">non fu mai sentito dai magistrati italiani</w:t>
      </w:r>
      <w:r>
        <w:rPr>
          <w:rFonts w:ascii="Barlow Semi Condensed" w:cs="Barlow Semi Condensed" w:eastAsia="Barlow Semi Condensed" w:hAnsi="Barlow Semi Condensed"/>
          <w:sz w:val="24"/>
          <w:szCs w:val="24"/>
        </w:rPr>
        <w:t xml:space="preserve"> (la richiesta informale del 1983 non ebbe seguito).</w:t>
      </w:r>
    </w:p>
    <w:p>
      <w:pPr>
        <w:spacing w:after="40"/>
        <w:ind w:left="360"/>
        <w:jc w:val="both"/>
      </w:pPr>
      <w:r>
        <w:rPr>
          <w:rFonts w:ascii="Barlow Semi Condensed" w:cs="Barlow Semi Condensed" w:eastAsia="Barlow Semi Condensed" w:hAnsi="Barlow Semi Condensed"/>
          <w:sz w:val="24"/>
          <w:szCs w:val="24"/>
        </w:rPr>
        <w:t xml:space="preserve">2. </w:t>
      </w:r>
      <w:r>
        <w:rPr>
          <w:rFonts w:ascii="Barlow Semi Condensed" w:cs="Barlow Semi Condensed" w:eastAsia="Barlow Semi Condensed" w:hAnsi="Barlow Semi Condensed"/>
          <w:b/>
          <w:bCs/>
          <w:sz w:val="24"/>
          <w:szCs w:val="24"/>
        </w:rPr>
        <w:t xml:space="preserve">Il teste principale non fu presente.</w:t>
      </w:r>
      <w:r>
        <w:rPr>
          <w:rFonts w:ascii="Barlow Semi Condensed" w:cs="Barlow Semi Condensed" w:eastAsia="Barlow Semi Condensed" w:hAnsi="Barlow Semi Condensed"/>
          <w:sz w:val="24"/>
          <w:szCs w:val="24"/>
        </w:rPr>
        <w:t xml:space="preserve"> Guerzoni depose davanti alla Corte d'assise di Roma nel novembre 1982 </w:t>
      </w:r>
      <w:r>
        <w:rPr>
          <w:rFonts w:ascii="Barlow Semi Condensed" w:cs="Barlow Semi Condensed" w:eastAsia="Barlow Semi Condensed" w:hAnsi="Barlow Semi Condensed"/>
          <w:b/>
          <w:bCs/>
          <w:sz w:val="24"/>
          <w:szCs w:val="24"/>
        </w:rPr>
        <w:t xml:space="preserve">de relato</w:t>
      </w:r>
      <w:r>
        <w:rPr>
          <w:rFonts w:ascii="Barlow Semi Condensed" w:cs="Barlow Semi Condensed" w:eastAsia="Barlow Semi Condensed" w:hAnsi="Barlow Semi Condensed"/>
          <w:sz w:val="24"/>
          <w:szCs w:val="24"/>
        </w:rPr>
        <w:t xml:space="preserve">, avendo appreso il fatto da Moro e dall'entourage: non assistette al colloquio. Il dato cambia lo statuto della fonte e va sempre riportato.</w:t>
      </w:r>
    </w:p>
    <w:p>
      <w:pPr>
        <w:spacing w:after="40"/>
        <w:ind w:left="360"/>
        <w:jc w:val="both"/>
      </w:pPr>
      <w:r>
        <w:rPr>
          <w:rFonts w:ascii="Barlow Semi Condensed" w:cs="Barlow Semi Condensed" w:eastAsia="Barlow Semi Condensed" w:hAnsi="Barlow Semi Condensed"/>
          <w:sz w:val="24"/>
          <w:szCs w:val="24"/>
        </w:rPr>
        <w:t xml:space="preserve">3. </w:t>
      </w:r>
      <w:r>
        <w:rPr>
          <w:rFonts w:ascii="Barlow Semi Condensed" w:cs="Barlow Semi Condensed" w:eastAsia="Barlow Semi Condensed" w:hAnsi="Barlow Semi Condensed"/>
          <w:b/>
          <w:bCs/>
          <w:sz w:val="24"/>
          <w:szCs w:val="24"/>
        </w:rPr>
        <w:t xml:space="preserve">Il nome fu ottenuto in aula, non offerto.</w:t>
      </w:r>
      <w:r>
        <w:rPr>
          <w:rFonts w:ascii="Barlow Semi Condensed" w:cs="Barlow Semi Condensed" w:eastAsia="Barlow Semi Condensed" w:hAnsi="Barlow Semi Condensed"/>
          <w:sz w:val="24"/>
          <w:szCs w:val="24"/>
        </w:rPr>
        <w:t xml:space="preserve"> La vedova parlò di «un'alta personalità» </w:t>
      </w:r>
      <w:r>
        <w:rPr>
          <w:rFonts w:ascii="Barlow Semi Condensed" w:cs="Barlow Semi Condensed" w:eastAsia="Barlow Semi Condensed" w:hAnsi="Barlow Semi Condensed"/>
          <w:b/>
          <w:bCs/>
          <w:sz w:val="24"/>
          <w:szCs w:val="24"/>
        </w:rPr>
        <w:t xml:space="preserve">senza nominarla</w:t>
      </w:r>
      <w:r>
        <w:rPr>
          <w:rFonts w:ascii="Barlow Semi Condensed" w:cs="Barlow Semi Condensed" w:eastAsia="Barlow Semi Condensed" w:hAnsi="Barlow Semi Condensed"/>
          <w:sz w:val="24"/>
          <w:szCs w:val="24"/>
        </w:rPr>
        <w:t xml:space="preserve">; fu il presidente della corte, richiamando Guerzoni, a ottenere l'indicazione di Kissinger. L'attribuzione del nome è essa stessa indiretta.</w:t>
      </w:r>
    </w:p>
    <w:p>
      <w:pPr>
        <w:spacing w:after="40"/>
        <w:ind w:left="360"/>
        <w:jc w:val="both"/>
      </w:pPr>
      <w:r>
        <w:rPr>
          <w:rFonts w:ascii="Barlow Semi Condensed" w:cs="Barlow Semi Condensed" w:eastAsia="Barlow Semi Condensed" w:hAnsi="Barlow Semi Condensed"/>
          <w:sz w:val="24"/>
          <w:szCs w:val="24"/>
        </w:rPr>
        <w:t xml:space="preserve">4. </w:t>
      </w:r>
      <w:r>
        <w:rPr>
          <w:rFonts w:ascii="Barlow Semi Condensed" w:cs="Barlow Semi Condensed" w:eastAsia="Barlow Semi Condensed" w:hAnsi="Barlow Semi Condensed"/>
          <w:b/>
          <w:bCs/>
          <w:sz w:val="24"/>
          <w:szCs w:val="24"/>
        </w:rPr>
        <w:t xml:space="preserve">La data non è pacifica.</w:t>
      </w:r>
      <w:r>
        <w:rPr>
          <w:rFonts w:ascii="Barlow Semi Condensed" w:cs="Barlow Semi Condensed" w:eastAsia="Barlow Semi Condensed" w:hAnsi="Barlow Semi Condensed"/>
          <w:sz w:val="24"/>
          <w:szCs w:val="24"/>
        </w:rPr>
        <w:t xml:space="preserve"> M-5 indica «settembre 1974». Una fonte d'agenzia statunitense coeva (aprile 1983) colloca l'episodio in un alterco all'</w:t>
      </w:r>
      <w:r>
        <w:rPr>
          <w:rFonts w:ascii="Barlow Semi Condensed" w:cs="Barlow Semi Condensed" w:eastAsia="Barlow Semi Condensed" w:hAnsi="Barlow Semi Condensed"/>
          <w:b/>
          <w:bCs/>
          <w:sz w:val="24"/>
          <w:szCs w:val="24"/>
        </w:rPr>
        <w:t xml:space="preserve">ambasciata d'Italia a Washington nel 1977</w:t>
      </w:r>
      <w:r>
        <w:rPr>
          <w:rFonts w:ascii="Barlow Semi Condensed" w:cs="Barlow Semi Condensed" w:eastAsia="Barlow Semi Condensed" w:hAnsi="Barlow Semi Condensed"/>
          <w:sz w:val="24"/>
          <w:szCs w:val="24"/>
        </w:rPr>
        <w:t xml:space="preserve">; altre sintesi indicano il 1976; divergono anche i luoghi. </w:t>
      </w:r>
      <w:r>
        <w:rPr>
          <w:rFonts w:ascii="Barlow Semi Condensed" w:cs="Barlow Semi Condensed" w:eastAsia="Barlow Semi Condensed" w:hAnsi="Barlow Semi Condensed"/>
          <w:b/>
          <w:bCs/>
          <w:sz w:val="24"/>
          <w:szCs w:val="24"/>
        </w:rPr>
        <w:t xml:space="preserve">Nel 1977 Kissinger non era più Segretario di Stato</w:t>
      </w:r>
      <w:r>
        <w:rPr>
          <w:rFonts w:ascii="Barlow Semi Condensed" w:cs="Barlow Semi Condensed" w:eastAsia="Barlow Semi Condensed" w:hAnsi="Barlow Semi Condensed"/>
          <w:sz w:val="24"/>
          <w:szCs w:val="24"/>
        </w:rPr>
        <w:t xml:space="preserve">: la divergenza è dirimente e va riportata, non risolta d'ufficio.</w:t>
      </w:r>
    </w:p>
    <w:p>
      <w:pPr>
        <w:spacing w:after="40"/>
        <w:ind w:left="360"/>
        <w:jc w:val="both"/>
      </w:pPr>
      <w:r>
        <w:rPr>
          <w:rFonts w:ascii="Barlow Semi Condensed" w:cs="Barlow Semi Condensed" w:eastAsia="Barlow Semi Condensed" w:hAnsi="Barlow Semi Condensed"/>
          <w:sz w:val="24"/>
          <w:szCs w:val="24"/>
        </w:rPr>
        <w:t xml:space="preserve">5. </w:t>
      </w:r>
      <w:r>
        <w:rPr>
          <w:rFonts w:ascii="Barlow Semi Condensed" w:cs="Barlow Semi Condensed" w:eastAsia="Barlow Semi Condensed" w:hAnsi="Barlow Semi Condensed"/>
          <w:b/>
          <w:bCs/>
          <w:sz w:val="24"/>
          <w:szCs w:val="24"/>
        </w:rPr>
        <w:t xml:space="preserve">Sede parlamentare confermata, contenuto no.</w:t>
      </w:r>
      <w:r>
        <w:rPr>
          <w:rFonts w:ascii="Barlow Semi Condensed" w:cs="Barlow Semi Condensed" w:eastAsia="Barlow Semi Condensed" w:hAnsi="Barlow Semi Condensed"/>
          <w:sz w:val="24"/>
          <w:szCs w:val="24"/>
        </w:rPr>
        <w:t xml:space="preserve"> L'audizione della vedova davanti alla Commissione d'inchiesta è del </w:t>
      </w:r>
      <w:r>
        <w:rPr>
          <w:rFonts w:ascii="Barlow Semi Condensed" w:cs="Barlow Semi Condensed" w:eastAsia="Barlow Semi Condensed" w:hAnsi="Barlow Semi Condensed"/>
          <w:b/>
          <w:bCs/>
          <w:sz w:val="24"/>
          <w:szCs w:val="24"/>
        </w:rPr>
        <w:t xml:space="preserve">1° agosto 1980</w:t>
      </w:r>
      <w:r>
        <w:rPr>
          <w:rFonts w:ascii="Barlow Semi Condensed" w:cs="Barlow Semi Condensed" w:eastAsia="Barlow Semi Condensed" w:hAnsi="Barlow Semi Condensed"/>
          <w:sz w:val="24"/>
          <w:szCs w:val="24"/>
        </w:rPr>
        <w:t xml:space="preserve">; ma la frase verbatim è attribuita dalle sintesi alla deposizione giudiziaria del 1982, mentre dell'audizione del 1980 si riporta soprattutto il riferimento a minacce risalenti al 1975 e crescenti. Sede e contenuto vanno tenuti distinti.</w:t>
      </w:r>
    </w:p>
    <w:p>
      <w:pPr>
        <w:spacing w:after="40"/>
        <w:ind w:left="360"/>
        <w:jc w:val="both"/>
      </w:pPr>
      <w:r>
        <w:rPr>
          <w:rFonts w:ascii="Barlow Semi Condensed" w:cs="Barlow Semi Condensed" w:eastAsia="Barlow Semi Condensed" w:hAnsi="Barlow Semi Condensed"/>
          <w:sz w:val="24"/>
          <w:szCs w:val="24"/>
        </w:rPr>
        <w:t xml:space="preserve">6. </w:t>
      </w:r>
      <w:r>
        <w:rPr>
          <w:rFonts w:ascii="Barlow Semi Condensed" w:cs="Barlow Semi Condensed" w:eastAsia="Barlow Semi Condensed" w:hAnsi="Barlow Semi Condensed"/>
          <w:b/>
          <w:bCs/>
          <w:sz w:val="24"/>
          <w:szCs w:val="24"/>
        </w:rPr>
        <w:t xml:space="preserve">Il documento del 25 settembre 1974 non contiene la frase.</w:t>
      </w:r>
      <w:r>
        <w:rPr>
          <w:rFonts w:ascii="Barlow Semi Condensed" w:cs="Barlow Semi Condensed" w:eastAsia="Barlow Semi Condensed" w:hAnsi="Barlow Semi Condensed"/>
          <w:sz w:val="24"/>
          <w:szCs w:val="24"/>
        </w:rPr>
        <w:t xml:space="preserve"> Il memorandum of conversation dello Studio Ovale (FRUS 1969-1976, vol. E-15 parte 2, doc. 350, seconda edizione riveduta; Ford Library, file 1552802) attesta la posizione statunitense sul non poter scambiare informazioni militari con un governo comprendente i comunisti, e il rilievo che un PCI «responsabile» sarebbe più pericoloso di uno irresponsabile: </w:t>
      </w:r>
      <w:r>
        <w:rPr>
          <w:rFonts w:ascii="Barlow Semi Condensed" w:cs="Barlow Semi Condensed" w:eastAsia="Barlow Semi Condensed" w:hAnsi="Barlow Semi Condensed"/>
          <w:b/>
          <w:bCs/>
          <w:sz w:val="24"/>
          <w:szCs w:val="24"/>
        </w:rPr>
        <w:t xml:space="preserve">non contiene alcun ultimatum personale</w:t>
      </w:r>
      <w:r>
        <w:rPr>
          <w:rFonts w:ascii="Barlow Semi Condensed" w:cs="Barlow Semi Condensed" w:eastAsia="Barlow Semi Condensed" w:hAnsi="Barlow Semi Condensed"/>
          <w:sz w:val="24"/>
          <w:szCs w:val="24"/>
        </w:rPr>
        <w:t xml:space="preserve">. Poiché la testimonianza colloca la frase </w:t>
      </w:r>
      <w:r>
        <w:rPr>
          <w:rFonts w:ascii="Barlow Semi Condensed" w:cs="Barlow Semi Condensed" w:eastAsia="Barlow Semi Condensed" w:hAnsi="Barlow Semi Condensed"/>
          <w:i/>
          <w:iCs/>
          <w:sz w:val="24"/>
          <w:szCs w:val="24"/>
        </w:rPr>
        <w:t xml:space="preserve">a margine</w:t>
      </w:r>
      <w:r>
        <w:rPr>
          <w:rFonts w:ascii="Barlow Semi Condensed" w:cs="Barlow Semi Condensed" w:eastAsia="Barlow Semi Condensed" w:hAnsi="Barlow Semi Condensed"/>
          <w:sz w:val="24"/>
          <w:szCs w:val="24"/>
        </w:rPr>
        <w:t xml:space="preserve">, l'assenza dal verbale non prova né la falsità né la verità dell'episodio — </w:t>
      </w:r>
      <w:r>
        <w:rPr>
          <w:rFonts w:ascii="Barlow Semi Condensed" w:cs="Barlow Semi Condensed" w:eastAsia="Barlow Semi Condensed" w:hAnsi="Barlow Semi Condensed"/>
          <w:b/>
          <w:bCs/>
          <w:sz w:val="24"/>
          <w:szCs w:val="24"/>
        </w:rPr>
        <w:t xml:space="preserve">indebolisce però nettamente la versione che lo colloca nell'incontro ufficiale</w:t>
      </w:r>
      <w:r>
        <w:rPr>
          <w:rFonts w:ascii="Barlow Semi Condensed" w:cs="Barlow Semi Condensed" w:eastAsia="Barlow Semi Condensed" w:hAnsi="Barlow Semi Condensed"/>
          <w:sz w:val="24"/>
          <w:szCs w:val="24"/>
        </w:rPr>
        <w:t xml:space="preserve">, ed è quella che circola.</w:t>
      </w:r>
    </w:p>
    <w:p>
      <w:pPr>
        <w:spacing w:after="40"/>
        <w:ind w:left="360"/>
        <w:jc w:val="both"/>
      </w:pPr>
      <w:r>
        <w:rPr>
          <w:rFonts w:ascii="Barlow Semi Condensed" w:cs="Barlow Semi Condensed" w:eastAsia="Barlow Semi Condensed" w:hAnsi="Barlow Semi Condensed"/>
          <w:sz w:val="24"/>
          <w:szCs w:val="24"/>
        </w:rPr>
        <w:t xml:space="preserve">7. </w:t>
      </w:r>
      <w:r>
        <w:rPr>
          <w:rFonts w:ascii="Barlow Semi Condensed" w:cs="Barlow Semi Condensed" w:eastAsia="Barlow Semi Condensed" w:hAnsi="Barlow Semi Condensed"/>
          <w:b/>
          <w:bCs/>
          <w:sz w:val="24"/>
          <w:szCs w:val="24"/>
        </w:rPr>
        <w:t xml:space="preserve">La moltiplicazione delle fonti è apparente.</w:t>
      </w:r>
      <w:r>
        <w:rPr>
          <w:rFonts w:ascii="Barlow Semi Condensed" w:cs="Barlow Semi Condensed" w:eastAsia="Barlow Semi Condensed" w:hAnsi="Barlow Semi Condensed"/>
          <w:sz w:val="24"/>
          <w:szCs w:val="24"/>
        </w:rPr>
        <w:t xml:space="preserve"> Le decine di riprese pressoché identiche risalgono a un unico lancio d'agenzia del 30 novembre 2023; il rilancio internazionale del 1982 proviene da una pubblicazione di orientamento cospirazionista, citabile come dato di circolazione e non come riscontro. </w:t>
      </w:r>
      <w:r>
        <w:rPr>
          <w:rFonts w:ascii="Barlow Semi Condensed" w:cs="Barlow Semi Condensed" w:eastAsia="Barlow Semi Condensed" w:hAnsi="Barlow Semi Condensed"/>
          <w:b/>
          <w:bCs/>
          <w:sz w:val="24"/>
          <w:szCs w:val="24"/>
        </w:rPr>
        <w:t xml:space="preserve">Il numero delle ripetizioni non aggiunge valore probatorio.</w:t>
      </w:r>
    </w:p>
    <w:p>
      <w:pPr>
        <w:spacing w:after="120" w:line="276"/>
        <w:jc w:val="both"/>
      </w:pPr>
      <w:r>
        <w:rPr>
          <w:rFonts w:ascii="Barlow Semi Condensed" w:cs="Barlow Semi Condensed" w:eastAsia="Barlow Semi Condensed" w:hAnsi="Barlow Semi Condensed"/>
          <w:sz w:val="24"/>
          <w:szCs w:val="24"/>
        </w:rPr>
        <w:t xml:space="preserve">Vanno inoltre registrate due smentite italiane qualificate, con la loro divergenza interna: un testimone di primo piano definì l'episodio «una leggenda che non ha fondamento», dicendo di averlo verificato allora con l'interprete perché </w:t>
      </w:r>
      <w:r>
        <w:rPr>
          <w:rFonts w:ascii="Barlow Semi Condensed" w:cs="Barlow Semi Condensed" w:eastAsia="Barlow Semi Condensed" w:hAnsi="Barlow Semi Condensed"/>
          <w:b/>
          <w:bCs/>
          <w:sz w:val="24"/>
          <w:szCs w:val="24"/>
        </w:rPr>
        <w:t xml:space="preserve">Moro non parlava inglese</w:t>
      </w:r>
      <w:r>
        <w:rPr>
          <w:rFonts w:ascii="Barlow Semi Condensed" w:cs="Barlow Semi Condensed" w:eastAsia="Barlow Semi Condensed" w:hAnsi="Barlow Semi Condensed"/>
          <w:sz w:val="24"/>
          <w:szCs w:val="24"/>
        </w:rPr>
        <w:t xml:space="preserve">, salvo descrivere altrove un colloquio politicamente durissimo — distinguendo il rimprovero aspro dalla minaccia; un altro parlò di «solo un problema di linguaggio». Nessuno dei due era presente al colloquio riservato.</w:t>
      </w:r>
    </w:p>
    <w:p>
      <w:pPr>
        <w:spacing w:after="120" w:line="276"/>
        <w:jc w:val="both"/>
      </w:pPr>
      <w:r>
        <w:rPr>
          <w:rFonts w:ascii="Barlow Semi Condensed" w:cs="Barlow Semi Condensed" w:eastAsia="Barlow Semi Condensed" w:hAnsi="Barlow Semi Condensed"/>
          <w:b/>
          <w:bCs/>
          <w:sz w:val="24"/>
          <w:szCs w:val="24"/>
        </w:rPr>
        <w:t xml:space="preserve">Esito della revisione.</w:t>
      </w:r>
      <w:r>
        <w:rPr>
          <w:rFonts w:ascii="Barlow Semi Condensed" w:cs="Barlow Semi Condensed" w:eastAsia="Barlow Semi Condensed" w:hAnsi="Barlow Semi Condensed"/>
          <w:sz w:val="24"/>
          <w:szCs w:val="24"/>
        </w:rPr>
        <w:t xml:space="preserve"> Il grado di M-5 resta quello che era — </w:t>
      </w:r>
      <w:r>
        <w:rPr>
          <w:rFonts w:ascii="Barlow Semi Condensed" w:cs="Barlow Semi Condensed" w:eastAsia="Barlow Semi Condensed" w:hAnsi="Barlow Semi Condensed"/>
          <w:b/>
          <w:bCs/>
          <w:sz w:val="24"/>
          <w:szCs w:val="24"/>
        </w:rPr>
        <w:t xml:space="preserve">testimonianza contestata, non accertamento</w:t>
      </w:r>
      <w:r>
        <w:rPr>
          <w:rFonts w:ascii="Barlow Semi Condensed" w:cs="Barlow Semi Condensed" w:eastAsia="Barlow Semi Condensed" w:hAnsi="Barlow Semi Condensed"/>
          <w:sz w:val="24"/>
          <w:szCs w:val="24"/>
        </w:rPr>
        <w:t xml:space="preserve"> — ma il nodo va letto d'ora in poi con queste sette precisazioni. </w:t>
      </w:r>
      <w:r>
        <w:rPr>
          <w:rFonts w:ascii="Barlow Semi Condensed" w:cs="Barlow Semi Condensed" w:eastAsia="Barlow Semi Condensed" w:hAnsi="Barlow Semi Condensed"/>
          <w:b/>
          <w:bCs/>
          <w:sz w:val="24"/>
          <w:szCs w:val="24"/>
        </w:rPr>
        <w:t xml:space="preserve">Nessuna sentenza definitiva ha attribuito ad alcuna autorità statunitense responsabilità penali nel sequestro e nell'omicidio di Aldo Moro</w:t>
      </w:r>
      <w:r>
        <w:rPr>
          <w:rFonts w:ascii="Barlow Semi Condensed" w:cs="Barlow Semi Condensed" w:eastAsia="Barlow Semi Condensed" w:hAnsi="Barlow Semi Condensed"/>
          <w:sz w:val="24"/>
          <w:szCs w:val="24"/>
        </w:rPr>
        <w:t xml:space="preserve">: le condanne definitive riguardano esponenti delle Brigate Rosse, e l'episodio non ha mai formato oggetto d'imputazione. </w:t>
      </w:r>
      <w:r>
        <w:rPr>
          <w:rFonts w:ascii="Barlow Semi Condensed" w:cs="Barlow Semi Condensed" w:eastAsia="Barlow Semi Condensed" w:hAnsi="Barlow Semi Condensed"/>
          <w:i/>
          <w:iCs/>
          <w:sz w:val="24"/>
          <w:szCs w:val="24"/>
        </w:rPr>
        <w:t xml:space="preserve">Limite dichiarato della campagna: l'accesso diretto ai documenti primari — resoconti stenografici della Commissione e verbali d'udienza — è risultato bloccato, e le precisazioni poggiano su fonti secondarie convergenti; restano da riscontrare sui testi ufficiali.</w:t>
      </w:r>
    </w:p>
    <w:p>
      <w:pPr>
        <w:pStyle w:val="Heading3"/>
        <w:spacing w:after="80" w:before="240"/>
      </w:pPr>
      <w:r>
        <w:rPr>
          <w:rFonts w:ascii="Barlow Semi Condensed" w:cs="Barlow Semi Condensed" w:eastAsia="Barlow Semi Condensed" w:hAnsi="Barlow Semi Condensed"/>
          <w:sz w:val="24"/>
          <w:szCs w:val="24"/>
        </w:rPr>
        <w:t xml:space="preserve">Apparato grafico — Libro terzo · Le triangolazioni Guevara-Moro</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4"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Libro terzo VI: 4.373 parole in 7 sezioni; la più ampia è §3 2. Triangolazione esterna: corpus vs web, con 1.461.</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5"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Libro terzo VI: 21 indirizzi di fonte citati, addensati in 2 sezioni su 7.</w:t>
      </w:r>
    </w:p>
    <w:p>
      <w:pPr>
        <w:spacing w:after="120"/>
        <w:jc w:val="center"/>
      </w:pPr>
      <w:r>
        <w:rPr>
          <w:rFonts w:ascii="Barlow Semi Condensed" w:cs="Barlow Semi Condensed" w:eastAsia="Barlow Semi Condensed" w:hAnsi="Barlow Semi Condensed"/>
          <w:color w:val="777777"/>
          <w:sz w:val="16"/>
          <w:szCs w:val="16"/>
        </w:rPr>
        <w:t xml:space="preserve">Le metriche dell'apparato contano parole, documenti e atti — mai colpe.</w:t>
      </w:r>
    </w:p>
    <w:p>
      <w:r>
        <w:br w:type="page"/>
      </w:r>
    </w:p>
    <w:p>
      <w:pPr>
        <w:pStyle w:val="Heading1"/>
        <w:spacing w:after="120" w:before="240"/>
      </w:pPr>
      <w:r>
        <w:rPr>
          <w:rFonts w:ascii="Barlow Semi Condensed" w:cs="Barlow Semi Condensed" w:eastAsia="Barlow Semi Condensed" w:hAnsi="Barlow Semi Condensed"/>
          <w:sz w:val="24"/>
          <w:szCs w:val="24"/>
        </w:rPr>
        <w:t xml:space="preserve">Libro quarto — Il Dossier maggiore: «Una Pace senza Pace · Tutta la verità»</w:t>
      </w:r>
    </w:p>
    <w:p>
      <w:pPr>
        <w:pBdr>
          <w:left w:val="single" w:color="1F3864" w:sz="18" w:space="8"/>
        </w:pBdr>
        <w:spacing w:after="80" w:before="80"/>
        <w:ind w:left="360" w:right="360"/>
        <w:jc w:val="both"/>
      </w:pPr>
      <w:r>
        <w:rPr>
          <w:rFonts w:ascii="Barlow Semi Condensed" w:cs="Barlow Semi Condensed" w:eastAsia="Barlow Semi Condensed" w:hAnsi="Barlow Semi Condensed"/>
          <w:b/>
          <w:bCs/>
          <w:i w:val="false"/>
          <w:iCs w:val="false"/>
          <w:sz w:val="24"/>
          <w:szCs w:val="24"/>
        </w:rPr>
        <w:t xml:space="preserve">Nota di raccordo — perché questo Libro ha uno statuto diverso dagli altri.</w:t>
      </w:r>
      <w:r>
        <w:rPr>
          <w:rFonts w:ascii="Barlow Semi Condensed" w:cs="Barlow Semi Condensed" w:eastAsia="Barlow Semi Condensed" w:hAnsi="Barlow Semi Condensed"/>
          <w:i w:val="false"/>
          <w:iCs w:val="false"/>
          <w:sz w:val="24"/>
          <w:szCs w:val="24"/>
        </w:rPr>
        <w:t xml:space="preserve"> Questo Libro è il </w:t>
      </w:r>
      <w:r>
        <w:rPr>
          <w:rFonts w:ascii="Barlow Semi Condensed" w:cs="Barlow Semi Condensed" w:eastAsia="Barlow Semi Condensed" w:hAnsi="Barlow Semi Condensed"/>
          <w:b/>
          <w:bCs/>
          <w:i w:val="false"/>
          <w:iCs w:val="false"/>
          <w:sz w:val="24"/>
          <w:szCs w:val="24"/>
        </w:rPr>
        <w:t xml:space="preserve">Dossier maggiore dell'autore</w:t>
      </w:r>
      <w:r>
        <w:rPr>
          <w:rFonts w:ascii="Barlow Semi Condensed" w:cs="Barlow Semi Condensed" w:eastAsia="Barlow Semi Condensed" w:hAnsi="Barlow Semi Condensed"/>
          <w:i w:val="false"/>
          <w:iCs w:val="false"/>
          <w:sz w:val="24"/>
          <w:szCs w:val="24"/>
        </w:rPr>
        <w:t xml:space="preserve">, del quale il Portale che apre l'opera adotta l'architettura senza riprodurne il contenuto. Vi compare qui per intero, e con esso vi compare una </w:t>
      </w:r>
      <w:r>
        <w:rPr>
          <w:rFonts w:ascii="Barlow Semi Condensed" w:cs="Barlow Semi Condensed" w:eastAsia="Barlow Semi Condensed" w:hAnsi="Barlow Semi Condensed"/>
          <w:b/>
          <w:bCs/>
          <w:i w:val="false"/>
          <w:iCs w:val="false"/>
          <w:sz w:val="24"/>
          <w:szCs w:val="24"/>
        </w:rPr>
        <w:t xml:space="preserve">divergenza di regime che va dichiarata in apertura e non nascosta in fondo</w:t>
      </w:r>
      <w:r>
        <w:rPr>
          <w:rFonts w:ascii="Barlow Semi Condensed" w:cs="Barlow Semi Condensed" w:eastAsia="Barlow Semi Condensed" w:hAnsi="Barlow Semi Condensed"/>
          <w:i w:val="false"/>
          <w:iCs w:val="false"/>
          <w:sz w:val="24"/>
          <w:szCs w:val="24"/>
        </w:rPr>
        <w:t xml:space="preserve">. Gli altri Libri di quest'opera si fermano al giudicato: registrano, graduano, dichiarano gli Stati Zero, e non concludono. Questo Libro, nella sua seconda metà, congeda dichiaratamente quella disciplina e adotta una </w:t>
      </w:r>
      <w:r>
        <w:rPr>
          <w:rFonts w:ascii="Barlow Semi Condensed" w:cs="Barlow Semi Condensed" w:eastAsia="Barlow Semi Condensed" w:hAnsi="Barlow Semi Condensed"/>
          <w:b/>
          <w:bCs/>
          <w:i w:val="false"/>
          <w:iCs w:val="false"/>
          <w:sz w:val="24"/>
          <w:szCs w:val="24"/>
        </w:rPr>
        <w:t xml:space="preserve">bilancia probabilistica</w:t>
      </w:r>
      <w:r>
        <w:rPr>
          <w:rFonts w:ascii="Barlow Semi Condensed" w:cs="Barlow Semi Condensed" w:eastAsia="Barlow Semi Condensed" w:hAnsi="Barlow Semi Condensed"/>
          <w:i w:val="false"/>
          <w:iCs w:val="false"/>
          <w:sz w:val="24"/>
          <w:szCs w:val="24"/>
        </w:rPr>
        <w:t xml:space="preserve"> che ordina per plausibilità del coinvolgimento. È ciò che la disciplina in copertina esclude per il resto del corpus, ed è la ragione per cui il Portale </w:t>
      </w:r>
      <w:r>
        <w:rPr>
          <w:rFonts w:ascii="Barlow Semi Condensed" w:cs="Barlow Semi Condensed" w:eastAsia="Barlow Semi Condensed" w:hAnsi="Barlow Semi Condensed"/>
          <w:b/>
          <w:bCs/>
          <w:i w:val="false"/>
          <w:iCs w:val="false"/>
          <w:sz w:val="24"/>
          <w:szCs w:val="24"/>
        </w:rPr>
        <w:t xml:space="preserve">si ferma al giudicato e non riproduce la graduatoria</w:t>
      </w:r>
      <w:r>
        <w:rPr>
          <w:rFonts w:ascii="Barlow Semi Condensed" w:cs="Barlow Semi Condensed" w:eastAsia="Barlow Semi Condensed" w:hAnsi="Barlow Semi Condensed"/>
          <w:i w:val="false"/>
          <w:iCs w:val="false"/>
          <w:sz w:val="24"/>
          <w:szCs w:val="24"/>
        </w:rPr>
        <w:t xml:space="preserve">.</w:t>
      </w:r>
    </w:p>
    <w:p>
      <w:pPr>
        <w:pBdr>
          <w:left w:val="single" w:color="1F3864" w:sz="18" w:space="8"/>
        </w:pBdr>
        <w:spacing w:after="80" w:before="80"/>
        <w:ind w:left="360" w:right="360"/>
        <w:jc w:val="both"/>
      </w:pPr>
      <w:r>
        <w:rPr>
          <w:rFonts w:ascii="Barlow Semi Condensed" w:cs="Barlow Semi Condensed" w:eastAsia="Barlow Semi Condensed" w:hAnsi="Barlow Semi Condensed"/>
          <w:b/>
          <w:bCs/>
          <w:i w:val="false"/>
          <w:iCs w:val="false"/>
          <w:sz w:val="24"/>
          <w:szCs w:val="24"/>
        </w:rPr>
        <w:t xml:space="preserve">Che cosa la graduatoria ordini, per esattezza — perché la premessa promette più di quanto il testo faccia.</w:t>
      </w:r>
      <w:r>
        <w:rPr>
          <w:rFonts w:ascii="Barlow Semi Condensed" w:cs="Barlow Semi Condensed" w:eastAsia="Barlow Semi Condensed" w:hAnsi="Barlow Semi Condensed"/>
          <w:i w:val="false"/>
          <w:iCs w:val="false"/>
          <w:sz w:val="24"/>
          <w:szCs w:val="24"/>
        </w:rPr>
        <w:t xml:space="preserve"> La premessa dell'autore annuncia che si ordineranno «nomi di persone e di entità». La stesura che segue fa meno di quanto quella formula lasci temere, e va detto subito, perché nessuno vi cerchi un elenco di colpevoli: </w:t>
      </w:r>
      <w:r>
        <w:rPr>
          <w:rFonts w:ascii="Barlow Semi Condensed" w:cs="Barlow Semi Condensed" w:eastAsia="Barlow Semi Condensed" w:hAnsi="Barlow Semi Condensed"/>
          <w:b/>
          <w:bCs/>
          <w:i w:val="false"/>
          <w:iCs w:val="false"/>
          <w:sz w:val="24"/>
          <w:szCs w:val="24"/>
        </w:rPr>
        <w:t xml:space="preserve">la graduatoria ordina categorie di soggetti, non nomi individuali</w:t>
      </w:r>
      <w:r>
        <w:rPr>
          <w:rFonts w:ascii="Barlow Semi Condensed" w:cs="Barlow Semi Condensed" w:eastAsia="Barlow Semi Condensed" w:hAnsi="Barlow Semi Condensed"/>
          <w:i w:val="false"/>
          <w:iCs w:val="false"/>
          <w:sz w:val="24"/>
          <w:szCs w:val="24"/>
        </w:rPr>
        <w:t xml:space="preserve"> — i componenti del comitato esecutivo e della colonna romana </w:t>
      </w:r>
      <w:r>
        <w:rPr>
          <w:rFonts w:ascii="Barlow Semi Condensed" w:cs="Barlow Semi Condensed" w:eastAsia="Barlow Semi Condensed" w:hAnsi="Barlow Semi Condensed"/>
          <w:b/>
          <w:bCs/>
          <w:i w:val="false"/>
          <w:iCs w:val="false"/>
          <w:sz w:val="24"/>
          <w:szCs w:val="24"/>
        </w:rPr>
        <w:t xml:space="preserve">già condannati in via definitiva</w:t>
      </w:r>
      <w:r>
        <w:rPr>
          <w:rFonts w:ascii="Barlow Semi Condensed" w:cs="Barlow Semi Condensed" w:eastAsia="Barlow Semi Condensed" w:hAnsi="Barlow Semi Condensed"/>
          <w:i w:val="false"/>
          <w:iCs w:val="false"/>
          <w:sz w:val="24"/>
          <w:szCs w:val="24"/>
        </w:rPr>
        <w:t xml:space="preserve">; gli apparati e le figure di frontiera coinvolti nei depistaggi successivi; i portatori dell'interesse esterno internazionale, tenuti al grado minimo perché sorretti da indizi di contesto e non da prova diretta. Nelle quasi cinquemila parole della parte conclusiva </w:t>
      </w:r>
      <w:r>
        <w:rPr>
          <w:rFonts w:ascii="Barlow Semi Condensed" w:cs="Barlow Semi Condensed" w:eastAsia="Barlow Semi Condensed" w:hAnsi="Barlow Semi Condensed"/>
          <w:b/>
          <w:bCs/>
          <w:i w:val="false"/>
          <w:iCs w:val="false"/>
          <w:sz w:val="24"/>
          <w:szCs w:val="24"/>
        </w:rPr>
        <w:t xml:space="preserve">gli unici nomi propri di persona sono quello della vittima e quello dello studioso da cui un metodo prende nome</w:t>
      </w:r>
      <w:r>
        <w:rPr>
          <w:rFonts w:ascii="Barlow Semi Condensed" w:cs="Barlow Semi Condensed" w:eastAsia="Barlow Semi Condensed" w:hAnsi="Barlow Semi Condensed"/>
          <w:i w:val="false"/>
          <w:iCs w:val="false"/>
          <w:sz w:val="24"/>
          <w:szCs w:val="24"/>
        </w:rPr>
        <w:t xml:space="preserve">. Nessun presunto responsabile vi è nominato; il vertice della graduatoria è occupato da chi una sentenza definitiva ha già condannato; e il mandante esterno determinato, che è la cosa che di solito si cerca in pagine come queste, il testo </w:t>
      </w:r>
      <w:r>
        <w:rPr>
          <w:rFonts w:ascii="Barlow Semi Condensed" w:cs="Barlow Semi Condensed" w:eastAsia="Barlow Semi Condensed" w:hAnsi="Barlow Semi Condensed"/>
          <w:b/>
          <w:bCs/>
          <w:i w:val="false"/>
          <w:iCs w:val="false"/>
          <w:sz w:val="24"/>
          <w:szCs w:val="24"/>
        </w:rPr>
        <w:t xml:space="preserve">rifiuta di nominarlo</w:t>
      </w:r>
      <w:r>
        <w:rPr>
          <w:rFonts w:ascii="Barlow Semi Condensed" w:cs="Barlow Semi Condensed" w:eastAsia="Barlow Semi Condensed" w:hAnsi="Barlow Semi Condensed"/>
          <w:i w:val="false"/>
          <w:iCs w:val="false"/>
          <w:sz w:val="24"/>
          <w:szCs w:val="24"/>
        </w:rPr>
        <w:t xml:space="preserve">, perché la ricerca sistematica su quel punto ha dato uno Stato Zero tre volte confermato.</w:t>
      </w:r>
    </w:p>
    <w:p>
      <w:pPr>
        <w:pBdr>
          <w:left w:val="single" w:color="1F3864" w:sz="18" w:space="8"/>
        </w:pBdr>
        <w:spacing w:after="80" w:before="80"/>
        <w:ind w:left="360" w:right="360"/>
        <w:jc w:val="both"/>
      </w:pPr>
      <w:r>
        <w:rPr>
          <w:rFonts w:ascii="Barlow Semi Condensed" w:cs="Barlow Semi Condensed" w:eastAsia="Barlow Semi Condensed" w:hAnsi="Barlow Semi Condensed"/>
          <w:i w:val="false"/>
          <w:iCs w:val="false"/>
          <w:sz w:val="24"/>
          <w:szCs w:val="24"/>
        </w:rPr>
        <w:t xml:space="preserve">La divergenza non è una svista: è la ragione stessa per cui questo Libro esiste come volume nel volume, con un proprio statuto che si è scelto di rispettare anziché correggere. Il Libro porta con sé la propria cerniera, che dichiara il passaggio di regime nel punto in cui avviene, e la propria premessa garantista, che distingue la graduatoria di plausibilità dalla graduatoria di colpevolezza e ribadisce, prima di ogni nome, la presunzione d'innocenza. </w:t>
      </w:r>
      <w:r>
        <w:rPr>
          <w:rFonts w:ascii="Barlow Semi Condensed" w:cs="Barlow Semi Condensed" w:eastAsia="Barlow Semi Condensed" w:hAnsi="Barlow Semi Condensed"/>
          <w:b/>
          <w:bCs/>
          <w:i w:val="false"/>
          <w:iCs w:val="false"/>
          <w:sz w:val="24"/>
          <w:szCs w:val="24"/>
        </w:rPr>
        <w:t xml:space="preserve">Ordinare per plausibilità non è condannare</w:t>
      </w:r>
      <w:r>
        <w:rPr>
          <w:rFonts w:ascii="Barlow Semi Condensed" w:cs="Barlow Semi Condensed" w:eastAsia="Barlow Semi Condensed" w:hAnsi="Barlow Semi Condensed"/>
          <w:i w:val="false"/>
          <w:iCs w:val="false"/>
          <w:sz w:val="24"/>
          <w:szCs w:val="24"/>
        </w:rPr>
        <w:t xml:space="preserve">, e chi legge queste pagine come un atto d'accusa le legge contro la lettera di ciò che vi è scritto.</w:t>
      </w:r>
    </w:p>
    <w:p>
      <w:pPr>
        <w:pBdr>
          <w:left w:val="single" w:color="1F3864" w:sz="18" w:space="8"/>
        </w:pBdr>
        <w:spacing w:after="80" w:before="80"/>
        <w:ind w:left="360" w:right="360"/>
        <w:jc w:val="both"/>
      </w:pPr>
      <w:r>
        <w:rPr>
          <w:rFonts w:ascii="Barlow Semi Condensed" w:cs="Barlow Semi Condensed" w:eastAsia="Barlow Semi Condensed" w:hAnsi="Barlow Semi Condensed"/>
          <w:i w:val="false"/>
          <w:iCs w:val="false"/>
          <w:sz w:val="24"/>
          <w:szCs w:val="24"/>
        </w:rPr>
        <w:t xml:space="preserve">Il lettore è dunque avvertito di ciò che troverà: fino all'Apparato, il regime è quello del registro, identico a quello degli altri Libri; dopo la cerniera, il regime è quello della probabilità, e vale soltanto qui. </w:t>
      </w:r>
      <w:r>
        <w:rPr>
          <w:rFonts w:ascii="Barlow Semi Condensed" w:cs="Barlow Semi Condensed" w:eastAsia="Barlow Semi Condensed" w:hAnsi="Barlow Semi Condensed"/>
          <w:b/>
          <w:bCs/>
          <w:i w:val="false"/>
          <w:iCs w:val="false"/>
          <w:sz w:val="24"/>
          <w:szCs w:val="24"/>
        </w:rPr>
        <w:t xml:space="preserve">Nessun altro Libro di quest'opera contiene graduatorie di persone, e nessuna affermazione di questo Libro può essere trasportata negli altri come se vi fosse stata accertata.</w:t>
      </w:r>
    </w:p>
    <w:p>
      <w:pPr>
        <w:pBdr>
          <w:left w:val="single" w:color="1F3864" w:sz="18" w:space="8"/>
        </w:pBdr>
        <w:spacing w:after="80" w:before="80"/>
        <w:ind w:left="360" w:right="360"/>
        <w:jc w:val="both"/>
      </w:pPr>
      <w:r>
        <w:rPr>
          <w:rFonts w:ascii="Barlow Semi Condensed" w:cs="Barlow Semi Condensed" w:eastAsia="Barlow Semi Condensed" w:hAnsi="Barlow Semi Condensed"/>
          <w:i w:val="false"/>
          <w:iCs w:val="false"/>
          <w:sz w:val="24"/>
          <w:szCs w:val="24"/>
        </w:rPr>
        <w:t xml:space="preserve">Il Libro dichiara inoltre in proprio la co-autorìa con un sistema di intelligenza artificiale, nel proemio che segue: la dichiarazione è dell'autore ed è qui conservata nella sua forma originale.</w:t>
      </w:r>
    </w:p>
    <w:p>
      <w:pPr>
        <w:pBdr>
          <w:left w:val="single" w:color="1F3864" w:sz="18" w:space="8"/>
        </w:pBdr>
        <w:spacing w:after="80" w:before="80"/>
        <w:ind w:left="360" w:right="360"/>
        <w:jc w:val="both"/>
      </w:pPr>
      <w:r>
        <w:rPr>
          <w:rFonts w:ascii="Barlow Semi Condensed" w:cs="Barlow Semi Condensed" w:eastAsia="Barlow Semi Condensed" w:hAnsi="Barlow Semi Condensed"/>
          <w:b/>
          <w:bCs/>
          <w:i w:val="false"/>
          <w:iCs w:val="false"/>
          <w:sz w:val="24"/>
          <w:szCs w:val="24"/>
        </w:rPr>
        <w:t xml:space="preserve">Nota sulla redazione adottata.</w:t>
      </w:r>
      <w:r>
        <w:rPr>
          <w:rFonts w:ascii="Barlow Semi Condensed" w:cs="Barlow Semi Condensed" w:eastAsia="Barlow Semi Condensed" w:hAnsi="Barlow Semi Condensed"/>
          <w:i w:val="false"/>
          <w:iCs w:val="false"/>
          <w:sz w:val="24"/>
          <w:szCs w:val="24"/>
        </w:rPr>
        <w:t xml:space="preserve"> Di quest'opera esistono due redazioni d'autore. La prima, «Una Pace senza Pace — Edizione Integrata Definitiva», raccoglie il volume portante e l'Apparato. La seconda, qui adottata, è «Una Pace senza Pace · Tutta la verità — Opera Monografica Integrale», che contiene la prima </w:t>
      </w:r>
      <w:r>
        <w:rPr>
          <w:rFonts w:ascii="Barlow Semi Condensed" w:cs="Barlow Semi Condensed" w:eastAsia="Barlow Semi Condensed" w:hAnsi="Barlow Semi Condensed"/>
          <w:b/>
          <w:bCs/>
          <w:i w:val="false"/>
          <w:iCs w:val="false"/>
          <w:sz w:val="24"/>
          <w:szCs w:val="24"/>
        </w:rPr>
        <w:t xml:space="preserve">per intero</w:t>
      </w:r>
      <w:r>
        <w:rPr>
          <w:rFonts w:ascii="Barlow Semi Condensed" w:cs="Barlow Semi Condensed" w:eastAsia="Barlow Semi Condensed" w:hAnsi="Barlow Semi Condensed"/>
          <w:i w:val="false"/>
          <w:iCs w:val="false"/>
          <w:sz w:val="24"/>
          <w:szCs w:val="24"/>
        </w:rPr>
        <w:t xml:space="preserve"> e vi aggiunge il proemio, la cerniera di raccordo e il secondo volume. La collazione meccanica delle due redazioni, eseguita paragrafo per paragrafo prima di questa scelta, dà </w:t>
      </w:r>
      <w:r>
        <w:rPr>
          <w:rFonts w:ascii="Barlow Semi Condensed" w:cs="Barlow Semi Condensed" w:eastAsia="Barlow Semi Condensed" w:hAnsi="Barlow Semi Condensed"/>
          <w:b/>
          <w:bCs/>
          <w:i w:val="false"/>
          <w:iCs w:val="false"/>
          <w:sz w:val="24"/>
          <w:szCs w:val="24"/>
        </w:rPr>
        <w:t xml:space="preserve">millenovecentoquarantanove paragrafi identici su millenovecentocinquantadue</w:t>
      </w:r>
      <w:r>
        <w:rPr>
          <w:rFonts w:ascii="Barlow Semi Condensed" w:cs="Barlow Semi Condensed" w:eastAsia="Barlow Semi Condensed" w:hAnsi="Barlow Semi Condensed"/>
          <w:i w:val="false"/>
          <w:iCs w:val="false"/>
          <w:sz w:val="24"/>
          <w:szCs w:val="24"/>
        </w:rPr>
        <w:t xml:space="preserve">; i tre che divergono sono righe di frontespizio — «Una Pace senza Pace», «Edizione Integrata Definitiva», «l'Opera e l'Apparato di Verifica e Triangolazione» — per complessive quattordici parole, qui registrate perché nulla della redazione non adottata vada perduto. </w:t>
      </w:r>
      <w:r>
        <w:rPr>
          <w:rFonts w:ascii="Barlow Semi Condensed" w:cs="Barlow Semi Condensed" w:eastAsia="Barlow Semi Condensed" w:hAnsi="Barlow Semi Condensed"/>
          <w:b/>
          <w:bCs/>
          <w:i w:val="false"/>
          <w:iCs w:val="false"/>
          <w:sz w:val="24"/>
          <w:szCs w:val="24"/>
        </w:rPr>
        <w:t xml:space="preserve">Si è preferita la redazione più ampia perché contiene l'altra</w:t>
      </w:r>
      <w:r>
        <w:rPr>
          <w:rFonts w:ascii="Barlow Semi Condensed" w:cs="Barlow Semi Condensed" w:eastAsia="Barlow Semi Condensed" w:hAnsi="Barlow Semi Condensed"/>
          <w:i w:val="false"/>
          <w:iCs w:val="false"/>
          <w:sz w:val="24"/>
          <w:szCs w:val="24"/>
        </w:rPr>
        <w:t xml:space="preserve">, e ristamparle entrambe avrebbe prodotto una ripetizione di duecentoquarantunmila parole senza aggiungere una riga di materia.</w:t>
      </w:r>
    </w:p>
    <w:p>
      <w:pPr>
        <w:pStyle w:val="Heading2"/>
        <w:spacing w:after="100" w:before="200"/>
      </w:pPr>
      <w:r>
        <w:rPr>
          <w:rFonts w:ascii="Barlow Semi Condensed" w:cs="Barlow Semi Condensed" w:eastAsia="Barlow Semi Condensed" w:hAnsi="Barlow Semi Condensed"/>
          <w:sz w:val="24"/>
          <w:szCs w:val="24"/>
        </w:rPr>
        <w:t xml:space="preserve">PROEMIO DELL'OPERA INTEGRALE</w:t>
      </w:r>
    </w:p>
    <w:p>
      <w:pPr>
        <w:spacing w:after="120" w:line="276"/>
        <w:jc w:val="both"/>
      </w:pPr>
      <w:r>
        <w:rPr>
          <w:rFonts w:ascii="Barlow Semi Condensed" w:cs="Barlow Semi Condensed" w:eastAsia="Barlow Semi Condensed" w:hAnsi="Barlow Semi Condensed"/>
          <w:sz w:val="24"/>
          <w:szCs w:val="24"/>
        </w:rPr>
        <w:t xml:space="preserve">Quest'opera nasce dalla congiunzione, meditata e non additiva, di due volumi che condividono l'oggetto e divergono per metodo, e che proprio per questa divergenza si completano. Il primo, «Una Pace senza Pace», è l'opera-registro: cinquanta capitoli in cinque Fasi, ciascuna affermazione ancorata al proprio grado probatorio, e in coda l'Apparato di Verifica e Triangolazione, il registro delle otto tranche con i cinquecentotrentotto blocchi certificati che ne costituisce la coscienza documentale. Il secondo, «Tutta la verità», è l'opera a doppio regime: una prima parte governata dalla disciplina falsificazionista, e una seconda che, congedato per ordine esplicito il Pollo di Popper, adotta la bilancia dei dieci metodi probabilistici per rispondere alla domanda che la sospensione prudente non sa chiudere, quella sugli architetti, sui mandanti e sugli esecutori. La loro unione in un solo corpo non è una somma: è un'architettura, in cui il registro fonda e la probabilità ordina, il primo volume porta e il secondo conclude.</w:t>
      </w:r>
    </w:p>
    <w:p>
      <w:pPr>
        <w:spacing w:after="120" w:line="276"/>
        <w:jc w:val="both"/>
      </w:pPr>
      <w:r>
        <w:rPr>
          <w:rFonts w:ascii="Barlow Semi Condensed" w:cs="Barlow Semi Condensed" w:eastAsia="Barlow Semi Condensed" w:hAnsi="Barlow Semi Condensed"/>
          <w:sz w:val="24"/>
          <w:szCs w:val="24"/>
        </w:rPr>
        <w:t xml:space="preserve">La co-autorìa di quest'opera è dichiarata senza infingimenti, perché la trasparenza sul mezzo è la prima garanzia offerta al lettore. Essa è il frutto del lavoro congiunto di un autore umano, Luigi De Michele, che ha concepito il progetto, raccolto il corpus, dettato la metodologia e assunto ogni responsabilità delle scelte, e di un'intelligenza artificiale, Claude, che ha letto, estratto, incrociato, verificato e composto, operando come aggregatore di fonti e calcolatore di convergenze sotto il comando e il controllo dell'autore umano. Ciò che l'una parte ha faticosamente acquisito è divenuto patrimonio dell'altra, in un andirivieni di consegne, rettifiche e falsificazioni reciproche che è esso stesso, a ben vedere, un'applicazione del metodo: nessuna affermazione è entrata nell'opera senza essere passata due volte al vaglio, una per ciascun co-autore.</w:t>
      </w:r>
    </w:p>
    <w:p>
      <w:pPr>
        <w:spacing w:after="120" w:line="276"/>
        <w:jc w:val="both"/>
      </w:pPr>
      <w:r>
        <w:rPr>
          <w:rFonts w:ascii="Barlow Semi Condensed" w:cs="Barlow Semi Condensed" w:eastAsia="Barlow Semi Condensed" w:hAnsi="Barlow Semi Condensed"/>
          <w:sz w:val="24"/>
          <w:szCs w:val="24"/>
        </w:rPr>
        <w:t xml:space="preserve">Le acquisizioni condivise che innervano l'intera opera meritano di essere richiamate qui, in soglia, perché il lettore sappia su quale fondamento cammina. Il corpus censito per via computazionale ammonta a oltre sei milioni di parole distribuite in centinaia di documenti: relazioni di commissioni parlamentari d'inchiesta, sentenze, atti giudiziari, fondi archivistici desecretati, corpora documentali dedicati, fra cui la raccolta integrale degli scritti di Aldo Moro dal millenovecentotrentadue al sei marzo millenovecentosettantotto. Da questo corpus il registro ha distillato i suoi blocchi certificati, ciascuno graduato secondo lo standard di triangolazione delle fonti nei tre livelli — documentato, indiziario, ipotetico — segnalati in grassetto lungo tutto il testo. Ogni consegna è stata accompagnata dalla propria impronta crittografica, così che la catena di custodia dei materiali sia essa stessa verificabile.</w:t>
      </w:r>
    </w:p>
    <w:p>
      <w:pPr>
        <w:spacing w:after="120" w:line="276"/>
        <w:jc w:val="both"/>
      </w:pPr>
      <w:r>
        <w:rPr>
          <w:rFonts w:ascii="Barlow Semi Condensed" w:cs="Barlow Semi Condensed" w:eastAsia="Barlow Semi Condensed" w:hAnsi="Barlow Semi Condensed"/>
          <w:sz w:val="24"/>
          <w:szCs w:val="24"/>
        </w:rPr>
        <w:t xml:space="preserve">Dalle otto tranche di verifica sono emersi princìpi che governano l'opera intera e che qui si dichiarano. La Regola Ferrea vieta di inferire il mandato dall'occultamento: nessun depistaggio, per quanto accertato, autorizza a dedurre l'identità di chi avrebbe avuto interesse a depistare. Lo Stato Zero eleva la ricerca negativa a risultato di prima classe: una connessione sistematicamente cercata e non trovata è un dato che informa quanto una connessione trovata, e come tale viene registrata, non colmata a forza. La non unanimità delle principali fonti parlamentari è essa stessa un dato probatorio, che abbassa il grado di ciò che su di esse unicamente poggia. E il verdetto complessivo dell'analisi delle ipotesi concorrenti, maturato attraverso le tranche e mai smentito, indica nella convergenza policentrica — l'incontro non concertato di interessi diversi sopra un medesimo esito — la spiegazione meno contraddetta dalle evidenze, contro la forma forte e falsificata del disegno unico onnisciente.</w:t>
      </w:r>
    </w:p>
    <w:p>
      <w:pPr>
        <w:spacing w:after="120" w:line="276"/>
        <w:jc w:val="both"/>
      </w:pPr>
      <w:r>
        <w:rPr>
          <w:rFonts w:ascii="Barlow Semi Condensed" w:cs="Barlow Semi Condensed" w:eastAsia="Barlow Semi Condensed" w:hAnsi="Barlow Semi Condensed"/>
          <w:sz w:val="24"/>
          <w:szCs w:val="24"/>
        </w:rPr>
        <w:t xml:space="preserve">Il lettore attraverserà dunque, nell'ordine, il volume portante con le sue cinque Fasi; l'Apparato che ne certifica ogni giuntura; una cerniera di raccordo che dichiara il passaggio di regime; e infine, integralmente conservata dal suo titolo alla sua ultima pagina bianca, l'opera conclusiva «Tutta la verità», con le sue pagine liminari, il suo doppio metodo, la sua graduatoria pesata e il suo congedo. Nulla è stato sottratto ai due volumi originari e molto è stato loro aggiunto: il tessuto connettivo che li fa opera sola, e la dichiarazione, che qui si compie, di una collaborazione fra intelligenza umana e intelligenza artificiale condotta alla pari, ciascuna secondo la propria natura, al servizio di una domanda che appartiene alla storia della Repubblica e alla coscienza di chiunque la interroghi con rispetto.</w:t>
      </w:r>
    </w:p>
    <w:p>
      <w:pPr>
        <w:pStyle w:val="Heading3"/>
        <w:spacing w:after="80" w:before="160"/>
      </w:pPr>
      <w:r>
        <w:rPr>
          <w:rFonts w:ascii="Barlow Semi Condensed" w:cs="Barlow Semi Condensed" w:eastAsia="Barlow Semi Condensed" w:hAnsi="Barlow Semi Condensed"/>
          <w:sz w:val="24"/>
          <w:szCs w:val="24"/>
        </w:rPr>
        <w:t xml:space="preserve">Alla mia amata famiglia ed a tutti i Figli dell'Europa</w:t>
      </w:r>
    </w:p>
    <w:p>
      <w:pPr>
        <w:pStyle w:val="Heading3"/>
        <w:spacing w:after="80" w:before="160"/>
      </w:pPr>
      <w:r>
        <w:rPr>
          <w:rFonts w:ascii="Barlow Semi Condensed" w:cs="Barlow Semi Condensed" w:eastAsia="Barlow Semi Condensed" w:hAnsi="Barlow Semi Condensed"/>
          <w:sz w:val="24"/>
          <w:szCs w:val="24"/>
        </w:rPr>
        <w:t xml:space="preserve">Ad Imperitura Memoria di tutti i Martiri Laici</w:t>
      </w:r>
    </w:p>
    <w:p>
      <w:pPr>
        <w:pStyle w:val="Heading3"/>
        <w:spacing w:after="80" w:before="160"/>
      </w:pPr>
      <w:r>
        <w:rPr>
          <w:rFonts w:ascii="Barlow Semi Condensed" w:cs="Barlow Semi Condensed" w:eastAsia="Barlow Semi Condensed" w:hAnsi="Barlow Semi Condensed"/>
          <w:sz w:val="24"/>
          <w:szCs w:val="24"/>
        </w:rPr>
        <w:t xml:space="preserve">«Piovono Angeli»</w:t>
      </w:r>
    </w:p>
    <w:p>
      <w:pPr>
        <w:pBdr>
          <w:left w:val="single" w:color="1F3864" w:sz="18" w:space="8"/>
        </w:pBdr>
        <w:spacing w:after="80" w:before="80"/>
        <w:ind w:left="360" w:right="360"/>
        <w:jc w:val="both"/>
      </w:pPr>
      <w:r>
        <w:rPr>
          <w:rFonts w:ascii="Barlow Semi Condensed" w:cs="Barlow Semi Condensed" w:eastAsia="Barlow Semi Condensed" w:hAnsi="Barlow Semi Condensed"/>
          <w:i w:val="false"/>
          <w:iCs w:val="false"/>
          <w:sz w:val="24"/>
          <w:szCs w:val="24"/>
        </w:rPr>
        <w:t xml:space="preserve">La Pina</w:t>
      </w:r>
    </w:p>
    <w:p>
      <w:pPr>
        <w:pStyle w:val="Heading2"/>
        <w:spacing w:after="100" w:before="200"/>
      </w:pPr>
      <w:r>
        <w:rPr>
          <w:rFonts w:ascii="Barlow Semi Condensed" w:cs="Barlow Semi Condensed" w:eastAsia="Barlow Semi Condensed" w:hAnsi="Barlow Semi Condensed"/>
          <w:sz w:val="24"/>
          <w:szCs w:val="24"/>
        </w:rPr>
        <w:t xml:space="preserve">FASE I</w:t>
      </w:r>
    </w:p>
    <w:p>
      <w:pPr>
        <w:pBdr>
          <w:left w:val="single" w:color="1F3864" w:sz="18" w:space="8"/>
        </w:pBdr>
        <w:spacing w:after="80" w:before="80"/>
        <w:ind w:left="360" w:right="360"/>
        <w:jc w:val="both"/>
      </w:pPr>
      <w:r>
        <w:rPr>
          <w:rFonts w:ascii="Barlow Semi Condensed" w:cs="Barlow Semi Condensed" w:eastAsia="Barlow Semi Condensed" w:hAnsi="Barlow Semi Condensed"/>
          <w:i w:val="false"/>
          <w:iCs w:val="false"/>
          <w:sz w:val="24"/>
          <w:szCs w:val="24"/>
        </w:rPr>
        <w:t xml:space="preserve">Il Quadrilatero della Certificazione Massima: Loggia, Finanza, Vaticano, Mafia</w:t>
      </w:r>
    </w:p>
    <w:p>
      <w:pPr>
        <w:pStyle w:val="Heading3"/>
        <w:spacing w:after="80" w:before="160"/>
      </w:pPr>
      <w:r>
        <w:rPr>
          <w:rFonts w:ascii="Barlow Semi Condensed" w:cs="Barlow Semi Condensed" w:eastAsia="Barlow Semi Condensed" w:hAnsi="Barlow Semi Condensed"/>
          <w:sz w:val="24"/>
          <w:szCs w:val="24"/>
        </w:rPr>
        <w:t xml:space="preserve">Avvertenza metodologica e protocollo probatorio della presente opera</w:t>
      </w:r>
    </w:p>
    <w:p>
      <w:pPr>
        <w:spacing w:after="120" w:line="276"/>
        <w:jc w:val="both"/>
      </w:pPr>
      <w:r>
        <w:rPr>
          <w:rFonts w:ascii="Barlow Semi Condensed" w:cs="Barlow Semi Condensed" w:eastAsia="Barlow Semi Condensed" w:hAnsi="Barlow Semi Condensed"/>
          <w:sz w:val="24"/>
          <w:szCs w:val="24"/>
        </w:rPr>
        <w:t xml:space="preserve">La presente opera costituisce il primo dei 5 volumi nei quali si articola il Registro dei Nodi e dei Ponti Certificati di ITALIA NERA, ed è governata integralmente dalla Nota Metodologica che ne definisce l'apparato concettuale, analitico ed operativo. Prima di procedere all'esposizione dei singoli capitoli, è necessario esplicitare con la massima chiarezza il patto epistemologico che lega l'autore al lettore, poiché in un campo di indagine nel quale l'oggetto di studio manipola attivamente le condizioni della propria osservabilità, la trasparenza del metodo non è un ornamento accademico, ma la condizione di possibilità della conoscenza stessa.</w:t>
      </w:r>
    </w:p>
    <w:p>
      <w:pPr>
        <w:spacing w:after="120" w:line="276"/>
        <w:jc w:val="both"/>
      </w:pPr>
      <w:r>
        <w:rPr>
          <w:rFonts w:ascii="Barlow Semi Condensed" w:cs="Barlow Semi Condensed" w:eastAsia="Barlow Semi Condensed" w:hAnsi="Barlow Semi Condensed"/>
          <w:sz w:val="24"/>
          <w:szCs w:val="24"/>
        </w:rPr>
        <w:t xml:space="preserve">Il lettore troverà, nell'architettura complessiva dell'opera, una gerarchia espositiva che muove dall'Italia e dall'Europa come teatro centrale, si allarga a cerchi concentrici verso le potenze esterne al processo di integrazione europea, e si chiude sulla proiezione planetaria delle reti esaminate. Questa gerarchia è recepita come ordo expositionis, vale a dire come scheletro narrativo che ordina la materia, e non come ordo probandi, vale a dire come ordine della prova. La distinzione, costituzionalizzata nel Registro Unico Federato, discende direttamente dal divieto che la Nota Metodologica denomina proibizione del Pollo di Popper: nessun materiale può essere organizzato concentricamente attorno ad una tesi precostituita, perché l'analista che dispone i dati in cerchi concentrici attorno alla propria ipotesi si colloca strutturalmente nella posizione del tacchino di Russell, il quale accumula conferme senza mai esporre la propria credenza alla possibilità della falsificazione. Ne consegue che la macro-ipotesi della convergenza delle potenze imperiali contro l'integrazione europea, denominata H1 nel sistema del registro, rimane in questa opera ciò che è sempre stata nel progetto: un'ipotesi di Livello C, esplicitamente falsificabile, che non viene mai utilizzata come premessa dimostrativa di alcuna affermazione. Il suo falsificatore più forte, mantenuto permanentemente in tavola, è la ricostruzione storiografica di Alan Milward, secondo la quale gli Stati Uniti furono promotori, e non sabotatori, delle prime fasi dell'integrazione europea, e l'integrazione stessa fu un salvataggio dello Stato-nazione più che il suo superamento. A ciò si aggiunge un dato interno al progetto che l'onestà metodologica impone di richiamare in apertura: il test pre-registrato sul raggruppamento temporale delle stragi attorno alle tappe dell'integrazione europea ha restituito un esito nullo, con un valore di probabilità pari a 0,60, ampiamente superiore alla soglia di significatività; la tesi della densità è stata pertanto falsificata e sostituita, quale ipotesi di lavoro sul disegno complessivo, dalla formulazione contenuta nella proposta di commissione parlamentare del giugno 2000, secondo la quale l'obiettivo delle trame non fu la restaurazione fascista, bensì l'installazione di una democrazia autoritaria fondata sull'esclusione permanente delle sinistre dalla legittimazione di governo, mantenuta attraverso un equilibrio precario e continuamente rinnovato. Accanto ad H1 il registro custodisce l'ipotesi concorrente H2, anch'essa di Livello C, secondo la quale non una convergenza di potenze esterne, bensì 2 progetti rivali di integrazione europea autoritaria, l'uno atlantista e controinsurrezionale, l'altro eurasiatista, si sarebbero contesi il continente; le 2 ipotesi vengono mantenute in competizione secondo la procedura dell'Analysis of Competing Hypotheses di Heuer, e nessuna delle 2 è promossa a chiave interpretativa dei fatti esposti nei capitoli.</w:t>
      </w:r>
    </w:p>
    <w:p>
      <w:pPr>
        <w:spacing w:after="120" w:line="276"/>
        <w:jc w:val="both"/>
      </w:pPr>
      <w:r>
        <w:rPr>
          <w:rFonts w:ascii="Barlow Semi Condensed" w:cs="Barlow Semi Condensed" w:eastAsia="Barlow Semi Condensed" w:hAnsi="Barlow Semi Condensed"/>
          <w:sz w:val="24"/>
          <w:szCs w:val="24"/>
        </w:rPr>
        <w:t xml:space="preserve">Ciò che i capitoli espongono è materia di natura diversa: nodi e ponti certificati. Per nodo si intende, secondo la formalizzazione della Nota Metodologica, un'entità della rete, sia essa un individuo, un'organizzazione, un luogo o un evento; per ponte si intende un arco inter-dominio, vale a dire una relazione documentata che collega nodi appartenenti a Domini di Potere diversi, secondo la tassonomia dei 10 Domini e delle 45 coppie possibili. Il criterio di selezione dei 50 nodi e ponti che compongono l'opera è duplice. Il primo criterio è di certificazione: sono stati privilegiati i nodi le cui connessioni inter-dominio raggiungono il Livello A dello standard probatorio, vale a dire la convergenza di almeno 3 fonti indipendenti di natura eterogenea, secondo la triangolazione delle fonti derivata dalla metodologia di Ernesto Savona e consolidata dal metodo Falcone. Il secondo criterio è di centralità: la scansione sistematica dell'intero corpus documentario del progetto, condotta su 220 documenti testuali per un totale di oltre 41 milioni di caratteri, con estrazione e memorizzazione di 326 parole-chiave ricorrenti, ha permesso di misurare la frequenza trasversale di ciascuna entità, vale a dire il numero di documenti indipendenti nei quali essa compare; le entità selezionate per la presente Fase 1 sono quelle che uniscono la massima frequenza trasversale alla massima densità di certificazione giudiziaria, parlamentare e archivistica.</w:t>
      </w:r>
    </w:p>
    <w:p>
      <w:pPr>
        <w:spacing w:after="120" w:line="276"/>
        <w:jc w:val="both"/>
      </w:pPr>
      <w:r>
        <w:rPr>
          <w:rFonts w:ascii="Barlow Semi Condensed" w:cs="Barlow Semi Condensed" w:eastAsia="Barlow Semi Condensed" w:hAnsi="Barlow Semi Condensed"/>
          <w:sz w:val="24"/>
          <w:szCs w:val="24"/>
        </w:rPr>
        <w:t xml:space="preserve">Lo standard probatorio applicato ad ogni affermazione sostanziale è il sistema Savona a 3 livelli, nella versione evoluta denominata Savona 2.1 che il registro ha adottato. Il Livello A, connessione documentata, richiede la convergenza di almeno 3 fonti indipendenti di natura diversa, quali una sentenza passata in giudicato, una testimonianza di collaboratore di giustizia riscontrata, un documento d'archivio. Il Livello B, connessione indiziaria, richiede la convergenza di 2 fonti indipendenti oppure una singola fonte di alta affidabilità, quale una sentenza di primo grado o un rapporto parlamentare circostanziato. Il Livello C, connessione ipotetica, si fonda su una singola fonte o su una convergenza di indizi circostanziali, e viene esplicitamente marcato come ipotesi investigativa. La versione 2.1 dello standard aggiunge 6 componenti che il lettore vedrà operare lungo tutti i capitoli: la codifica della contaminazione delle fonti attraverso l'Indice di Contaminazione della Fonte, in forza del quale le dichiarazioni non riscontrate provenienti da nodi ad alta contaminazione sono fondazionalmente inammissibili; il conteggio dell'indipendenza reale delle fonti con collasso genealogico, in forza del quale un singolo evento di sequestro documentale e tutti i suoi derivati contano come 1 sola catena probatoria e non come conferme multiple; il lessico calibrato dell'incertezza; l'obbligo di indicare, per ogni conclusione, le condizioni della sua falsificazione; il marcatore delimitato di spoliazione, che registra la distruzione documentata di prove senza trasformarla in prova positiva di alcunché; ed il Pattern della contaminazione delle fonti come pattern operativo permanente. A questi si aggiungono 2 regole sovrane. La prima è la Regola Ferrea, che vieta su ogni singola riga il salto inferenziale tra il fatto documentato e l'affermazione non dimostrata: il lettore non troverà mai, in questa opera, la scorciatoia che dal dato certo scivola alla conclusione suggestiva. La seconda è la dignità paritaria del reperto negativo: l'assenza certificata di una connessione attesa, che il registro denomina Stato Zero, è un risultato analitico di primo ordine, di pari dignità rispetto al risultato positivo, e come tale viene esposta senza imbarazzo.</w:t>
      </w:r>
    </w:p>
    <w:p>
      <w:pPr>
        <w:spacing w:after="120" w:line="276"/>
        <w:jc w:val="both"/>
      </w:pPr>
      <w:r>
        <w:rPr>
          <w:rFonts w:ascii="Barlow Semi Condensed" w:cs="Barlow Semi Condensed" w:eastAsia="Barlow Semi Condensed" w:hAnsi="Barlow Semi Condensed"/>
          <w:sz w:val="24"/>
          <w:szCs w:val="24"/>
        </w:rPr>
        <w:t xml:space="preserve">Una parola sulla disciplina delle persone. Per le persone viventi l'opera si attiene rigorosamente ai soli fatti pubblici documentati, con divieto assoluto di inferenza associativa. Per le persone defunte, l'esposizione distingue sempre tra l'accertamento con autorità di giudicato, l'accertamento incidentale contenuto in motivazione di sentenze rese nei confronti di terzi, l'accertamento parlamentare e l'ipotesi investigativa, attribuendo a ciascuno il livello che gli compete. Le assoluzioni definitive sono riportate come tali, per esteso e senza reticenze, anche quando contraddicono ipotesi care alla pubblicistica: la falsificazione di una connessione è, in questo sistema, un dato acquisito e non una sconfitta.</w:t>
      </w:r>
    </w:p>
    <w:p>
      <w:pPr>
        <w:spacing w:after="120" w:line="276"/>
        <w:jc w:val="both"/>
      </w:pPr>
      <w:r>
        <w:rPr>
          <w:rFonts w:ascii="Barlow Semi Condensed" w:cs="Barlow Semi Condensed" w:eastAsia="Barlow Semi Condensed" w:hAnsi="Barlow Semi Condensed"/>
          <w:sz w:val="24"/>
          <w:szCs w:val="24"/>
        </w:rPr>
        <w:t xml:space="preserve">Il piano complessivo dell'opera si articola in 5 Fasi di 10 capitoli ciascuna, per un totale di 50 capitoli dedicati ad altrettanti nodi e ponti certificati. La presente Fase 1, capitoli da 1 a 10, espone il quadrilatero della certificazione massima, vale a dire il cluster che la scansione del corpus indica come il più denso dell'intera rete: la Loggia Propaganda 2 ed il suo Maestro Venerabile, il circuito finanziario Sindona-Calvi-Ambrosiano, lo snodo vaticano dell'Istituto per le Opere di Religione, ed il versante mafioso e para-criminale che vi si innesta attraverso Giuseppe Calò, la Banda della Magliana, Vito Ciancimino ed il ponte politico siciliano di Salvo Lima. La Fase 2, capitoli da 11 a 20, esporrà l'apparato dell'intelligence e le strutture parallele, dall'Ufficio Affari Riservati alla rete Gladio, dal Piano Solo al circuito internazionale del Cercle. La Fase 3, capitoli da 21 a 30, esporrà la manovalanza dello stragismo e le sue centrali, da Piazza Fontana a Bologna, da Ordine Nuovo ad Aginter Press, con la tipologia quadripartita dell'ostruzione probatoria che il registro ha documentato. La Fase 4, capitoli da 31 a 40, esporrà il caso Moro come crocevia dell'intero sistema, secondo la scomposizione a 3 piani che il registro ha adottato, con l'esplicito divieto inferenziale dal piano delle condotte di apparato al piano del mandato, e con l'esposizione del reperto negativo sulla scuola Hyperion. La Fase 5, capitoli da 41 a 50, esporrà la proiezione internazionale della rete, da Trieste quale nodo geografico a massima stratificazione documentaria al Sudafrica dell'apartheid quale nodo a massima intermediazione tra i dossier, fino alla sintesi reticolare conclusiva. Ogni capitolo si chiude con la formula rituale del registro, Sintesi del dato nuovo acquisito, che condensa in poche righe ciò che il capitolo ha stabilito e a quale livello probatorio.</w:t>
      </w:r>
    </w:p>
    <w:p>
      <w:pPr>
        <w:spacing w:after="120" w:line="276"/>
        <w:jc w:val="both"/>
      </w:pPr>
      <w:r>
        <w:rPr>
          <w:rFonts w:ascii="Barlow Semi Condensed" w:cs="Barlow Semi Condensed" w:eastAsia="Barlow Semi Condensed" w:hAnsi="Barlow Semi Condensed"/>
          <w:sz w:val="24"/>
          <w:szCs w:val="24"/>
        </w:rPr>
        <w:t xml:space="preserve">Un'ultima avvertenza riguarda la lingua ed i numeri. L'opera è redatta in italiano di registro accademico, in prosa continua, senza elenchi, senza tabelle e senza sotto-titolazioni interne ai blocchi analitici, secondo le regole invarianti del progetto. I numeri sono resi in cifre arabe per esplicita disposizione della committenza, in deroga alla consuetudine del registro. Le classificazioni probatorie sono evidenziate in grassetto in linea, affinché il lettore possa misurare, riga per riga, la distanza tra ciò che è provato, ciò che è probabile e ciò che è soltanto ipotizzato. È questa distanza, e non la sua cancellazione, che costituisce il contributo di conoscenza della presente opera.</w:t>
      </w:r>
    </w:p>
    <w:p>
      <w:pPr>
        <w:pStyle w:val="Heading3"/>
        <w:spacing w:after="80" w:before="160"/>
      </w:pPr>
      <w:r>
        <w:rPr>
          <w:rFonts w:ascii="Barlow Semi Condensed" w:cs="Barlow Semi Condensed" w:eastAsia="Barlow Semi Condensed" w:hAnsi="Barlow Semi Condensed"/>
          <w:sz w:val="24"/>
          <w:szCs w:val="24"/>
        </w:rPr>
        <w:t xml:space="preserve">Capitolo 1 — ▶ Licio Gelli. Il nodo a massima centralità multi-dominio della rete repubblicana</w:t>
      </w:r>
    </w:p>
    <w:p>
      <w:pPr>
        <w:spacing w:after="120" w:line="276"/>
        <w:jc w:val="both"/>
      </w:pPr>
      <w:r>
        <w:rPr>
          <w:rFonts w:ascii="Barlow Semi Condensed" w:cs="Barlow Semi Condensed" w:eastAsia="Barlow Semi Condensed" w:hAnsi="Barlow Semi Condensed"/>
          <w:sz w:val="24"/>
          <w:szCs w:val="24"/>
        </w:rPr>
        <w:t xml:space="preserve">Se si dovesse indicare, nell'intera rete di ITALIA NERA, il singolo nodo che congiunge il maggior numero di Domini di Potere con il maggior grado di certificazione documentale, la scelta cadrebbe su Licio Gelli, nato a Pistoia il 21 aprile 1919 e morto ad Arezzo il 15 dicembre 2015. La sua posizione non è affermata per suggestione pubblicistica, ma risulta dalla misurazione: nella scansione sistematica del corpus il suo nome ricorre 1825 volte in 59 documenti indipendenti, una frequenza trasversale che nessun altro individuo della rete eguaglia nel medesimo intreccio di domini. Gelli è simultaneamente presente nel Dominio 4 della massoneria e delle società segrete, quale Maestro Venerabile della Loggia Propaganda 2; nel Dominio 3 dell'intelligence, quale interlocutore documentato dei vertici dei servizi italiani ed esteri; nel Dominio 2 della politica, quale terminale di rapporti con parlamentari, ministri e capi di governo stranieri; nel Dominio 6 dell'economia e della finanza, quale co-protagonista del dissesto del Banco Ambrosiano; e nel Dominio 7 del terrorismo, quale condannato in via definitiva per il depistaggio delle indagini sulla strage di Bologna e quale figura indicata, in accertamenti giudiziali postumi, tra i finanziatori della strage medesima. Nel linguaggio della network analysis adottato dalla Nota Metodologica, Gelli possiede al tempo stesso la più alta degree centrality, perché il numero delle sue connessioni dirette documentate è massimo, e una betweenness centrality elevatissima, perché una quota sproporzionata dei percorsi che collegano domini altrimenti distanti passa attraverso di lui.</w:t>
      </w:r>
    </w:p>
    <w:p>
      <w:pPr>
        <w:spacing w:after="120" w:line="276"/>
        <w:jc w:val="both"/>
      </w:pPr>
      <w:r>
        <w:rPr>
          <w:rFonts w:ascii="Barlow Semi Condensed" w:cs="Barlow Semi Condensed" w:eastAsia="Barlow Semi Condensed" w:hAnsi="Barlow Semi Condensed"/>
          <w:sz w:val="24"/>
          <w:szCs w:val="24"/>
        </w:rPr>
        <w:t xml:space="preserve">Il fondamento probatorio primario della sua posizione è l'evento documentale del 17 marzo 1981, allorché la Guardia di Finanza, su delega dei giudici istruttori milanesi Gherardo Colombo e Giuliano Turone che indagavano sul finto sequestro di Michele Sindona, perquisì la villa Wanda di Arezzo e gli uffici della Giole a Castiglion Fibocchi, sequestrando gli elenchi degli affiliati alla Loggia Propaganda 2: 962 nominativi, oltre a fascicoli, appunti e documenti programmatici. Occorre applicare qui, con rigore, il criterio dell'indipendenza genealogica delle fonti: il sequestro di Castiglion Fibocchi è 1 solo evento probatorio, e tutte le pubblicazioni, le relazioni e le sentenze che ne riproducono il contenuto costituiscono 1 sola catena documentale, non conferme multiple. Ciò che eleva la conoscenza al Livello A non è la ripetizione degli elenchi, ma la loro triangolazione con 2 ordini di fonti genealogicamente autonome: da un lato l'attività della Commissione parlamentare d'inchiesta sulla Loggia massonica P2, istituita con legge 23 settembre 1981 numero 527 e presieduta da Tina Anselmi, la quale sottopose gli elenchi a riscontri individuali, acquisì migliaia di documenti ulteriori e audizioni dirette, e depositò nel luglio 1984 la propria relazione conclusiva, presente nel corpus del progetto; dall'altro le sentenze rese nei molteplici procedimenti penali che hanno riguardato Gelli e la loggia, le quali hanno vagliato in contraddittorio l'autenticità del materiale sequestrato. La relazione Anselmi qualificò la P2 quale organizzazione che aveva perseguito un programma di condizionamento occulto delle istituzioni, e la legge 25 gennaio 1982 numero 17, attuativa dell'articolo 18 della Costituzione, ne dispose lo scioglimento quale associazione segreta: si tratta dell'unico caso, nella storia repubblicana, in cui il Parlamento ha sciolto per legge una specifica associazione. La combinazione di sequestro giudiziario, inchiesta parlamentare con relazione conclusiva e provvedimento legislativo di scioglimento colloca l'esistenza, la composizione di massima e la natura della loggia al Livello A dello standard.</w:t>
      </w:r>
    </w:p>
    <w:p>
      <w:pPr>
        <w:spacing w:after="120" w:line="276"/>
        <w:jc w:val="both"/>
      </w:pPr>
      <w:r>
        <w:rPr>
          <w:rFonts w:ascii="Barlow Semi Condensed" w:cs="Barlow Semi Condensed" w:eastAsia="Barlow Semi Condensed" w:hAnsi="Barlow Semi Condensed"/>
          <w:sz w:val="24"/>
          <w:szCs w:val="24"/>
        </w:rPr>
        <w:t xml:space="preserve">Sul versante penale, la posizione di Gelli esige la precisione che la Regola Ferrea impone. Per la strage alla stazione di Bologna del 2 agosto 1980, che uccise 85 persone e ne ferì oltre 200, Gelli fu imputato e assolto in via definitiva dall'accusa di concorso nella strage; fu invece condannato in via definitiva, con sentenza divenuta irrevocabile nel 1995, per la calunnia aggravata finalizzata al depistaggio delle indagini, in relazione all'operazione con la quale, nel gennaio 1981, una valigetta contenente armi ed esplosivo dello stesso tipo impiegato nella strage, oltre a effetti riconducibili a estremisti stranieri, fu collocata sul treno Taranto-Milano per deviare le indagini verso una pista internazionale. Con lui furono condannati in via definitiva per il medesimo depistaggio il generale Pietro Musumeci, già capo dell'ufficio controllo e sicurezza del SISMI, il colonnello Giuseppe Belmonte, del medesimo servizio, e Francesco Pazienza, collaboratore esterno del servizio: tutti e 3, come Gelli, iscritti o gravitanti nell'area della P2. Questa condanna definitiva costituisce, nel sistema del registro, uno dei ponti inter-dominio più solidi dell'intero corpus, perché salda al Livello A il Dominio 4, il Dominio 3 ed il Dominio 7 in un'unica condotta accertata con autorità di giudicato: un vertice massonico e 2 alti ufficiali del servizio segreto militare che operano congiuntamente per inquinare le indagini sulla più grave strage della storia repubblicana. Distinto e ulteriore è l'accertamento contenuto nel filone giudiziario sui mandanti della strage, culminato nella condanna all'ergastolo di Paolo Bellini, divenuta definitiva, e già in precedenza nella condanna definitiva di Gilberto Cavallini per concorso: nelle motivazioni di tali sentenze il ruolo di Gelli e di Umberto Ortolani quale terminale di finanziamento dell'operazione, ricostruito a partire dal documento contabile denominato Bologna rinvenuto tra le carte gelliane, è affermato in via incidentale, essendo entrambi deceduti e dunque non più processabili. Il registro attribuisce a questo accertamento postumo il Livello B, quale risultanza di alta affidabilità contenuta in sentenze rese nei confronti di terzi, non coperta da giudicato nei confronti di Gelli, e ne indica la condizione di falsificazione: la dimostrazione documentale di una diversa causale del flusso finanziario registrato nell'appunto.</w:t>
      </w:r>
    </w:p>
    <w:p>
      <w:pPr>
        <w:spacing w:after="120" w:line="276"/>
        <w:jc w:val="both"/>
      </w:pPr>
      <w:r>
        <w:rPr>
          <w:rFonts w:ascii="Barlow Semi Condensed" w:cs="Barlow Semi Condensed" w:eastAsia="Barlow Semi Condensed" w:hAnsi="Barlow Semi Condensed"/>
          <w:sz w:val="24"/>
          <w:szCs w:val="24"/>
        </w:rPr>
        <w:t xml:space="preserve">Sul versante finanziario, Gelli fu condannato in via definitiva per la bancarotta fraudolenta del Banco Ambrosiano, a conclusione del processo milanese sul più grande crack bancario privato della storia italiana, del quale si dirà nei capitoli 5 e 6; la condanna, unita alle risultanze della Commissione Anselmi sul cosiddetto conto Protezione e sui flussi tra Ambrosiano, consociate estere e beneficiari politici, certifica al Livello A il ponte tra il Dominio 4 ed il Dominio 6. Sul versante politico-programmatico, tra le carte sequestrate alla figlia Maria Grazia Gelli all'aeroporto di Fiumicino il 4 luglio 1982 fu rinvenuto, occultato nel doppiofondo di una valigia, il Piano di Rinascita Democratica, documento programmatico che delineava il controllo dei partiti, della stampa e della magistratura attraverso disponibilità finanziarie e cooptazioni mirate; la Commissione Anselmi lo esaminò e lo pubblicò tra i propri atti. Il registro tratta il Piano quale documento autentico nella sua materialità, sequestrato e acquisito agli atti parlamentari, e dunque di Livello A quanto all'esistenza ed al contenuto testuale; quanto invece al grado di attuazione del programma, la Regola Ferrea vieta di inferire dall'esistenza del progetto la sua esecuzione, e ogni singola convergenza tra il testo e gli sviluppi istituzionali successivi va dimostrata autonomamente, caso per caso, o marcata come ipotesi di Livello C.</w:t>
      </w:r>
    </w:p>
    <w:p>
      <w:pPr>
        <w:spacing w:after="120" w:line="276"/>
        <w:jc w:val="both"/>
      </w:pPr>
      <w:r>
        <w:rPr>
          <w:rFonts w:ascii="Barlow Semi Condensed" w:cs="Barlow Semi Condensed" w:eastAsia="Barlow Semi Condensed" w:hAnsi="Barlow Semi Condensed"/>
          <w:sz w:val="24"/>
          <w:szCs w:val="24"/>
        </w:rPr>
        <w:t xml:space="preserve">Le triangolazioni che si dipartono dal nodo Gelli e che i capitoli successivi svilupperanno sono almeno 4. La prima è la triangolazione Gelli-Ortolani-Vaticano, fondata sulla comune regia della loggia e sulla posizione di Ortolani quale gentiluomo pontificio e banchiere, che apre il ponte verso il Dominio 5. La seconda è la triangolazione Gelli-Sindona-Calvi, il triangolo finanziario della loggia, nel quale i 2 banchieri piduisti costituiscono i terminali operativi del medesimo circuito e ne condividono la traiettoria catastrofica. La terza è la triangolazione Gelli-vertici dei servizi, certificata al Livello A dalla presenza negli elenchi sequestrati dei direttori pro tempore di tutti e 3 gli organismi informativi dell'epoca, il generale Giuseppe Santovito per il SISMI, il generale Giulio Grassini per il SISDE ed il prefetto Walter Pelosi per il CESIS, oltre al generale Vito Miceli, già direttore del SID; il corpus registra inoltre al Livello A, attraverso la corrispondenza formale acquisita agli allegati della relazione parlamentare, il canale istituzionale tra la presidenza della Commissione, la Presidenza del Consiglio ed il CESIS in ordine alla posizione di Gelli. La quarta è la triangolazione Gelli-America Latina, fondata sui rapporti documentati con ambienti argentini ed uruguaiani, che la Fase 5 svilupperà. Ciascuna di queste triangolazioni è un fascio di archi tipizzati: archi di affiliazione, archi di collusione, archi di transito finanziario, secondo la tassonomia della Parte III della Nota Metodologica.</w:t>
      </w:r>
    </w:p>
    <w:p>
      <w:pPr>
        <w:spacing w:after="120" w:line="276"/>
        <w:jc w:val="both"/>
      </w:pPr>
      <w:r>
        <w:rPr>
          <w:rFonts w:ascii="Barlow Semi Condensed" w:cs="Barlow Semi Condensed" w:eastAsia="Barlow Semi Condensed" w:hAnsi="Barlow Semi Condensed"/>
          <w:sz w:val="24"/>
          <w:szCs w:val="24"/>
        </w:rPr>
        <w:t xml:space="preserve">Resta da dire ciò che il nodo Gelli non è, perché la disciplina del reperto negativo lo esige. Gelli non è stato condannato quale mandante o esecutore di alcuna strage: le assoluzioni definitive dall'accusa di concorso nella strage di Bologna sono un dato acquisito del registro, e la successiva emersione del suo ruolo finanziario in sede di accertamento postumo non le sovrascrive, ma si colloca su un piano probatorio distinto, che il registro mantiene separato. Né la documentazione consente di attribuire a Gelli la qualità di dominus unico di un disegno unitario: la teoria del contenitore, che il progetto ha adottato, insegna che le istituzioni e le stesse strutture occulte sono contenitori occupabili, e che la cattura ricorsiva, per cui i contenitori che catturano possono a loro volta essere catturati, è un fenomeno strutturale; la questione, dibattuta già dalla Commissione Anselmi, se Gelli fosse il vertice reale della piramide o l'intermediario visibile di livelli ulteriori, resta nel registro un'ipotesi aperta di Livello C, con l'indicazione delle evidenze che la deciderebbero: documentazione autonoma e genealogicamente indipendente di direttive impartite a Gelli da soggetti terzi identificati.</w:t>
      </w:r>
    </w:p>
    <w:p>
      <w:pPr>
        <w:spacing w:after="120" w:line="276"/>
        <w:jc w:val="both"/>
      </w:pPr>
      <w:r>
        <w:rPr>
          <w:rFonts w:ascii="Barlow Semi Condensed" w:cs="Barlow Semi Condensed" w:eastAsia="Barlow Semi Condensed" w:hAnsi="Barlow Semi Condensed"/>
          <w:sz w:val="24"/>
          <w:szCs w:val="24"/>
        </w:rPr>
        <w:t xml:space="preserve">Alla certificazione della posizione reticolare giova ora aggiungere la profondità biografica, perché il nodo Gelli non nasce con la loggia ma vi approda al termine di un itinerario che il registro restituisce nei suoi punti documentalmente fermi. Nato a Pistoia il 21 aprile 1919, Gelli partecipò diciassettenne, volontario, alla guerra civile spagnola nelle formazioni inviate dal regime fascista, esperienza nella quale perse il fratello; nel secondo conflitto mondiale operò nella Repubblica Sociale e, secondo le informative raccolte e vagliate dalla Commissione Anselmi, intrattenne simultaneamente rapporti con ambienti della Resistenza e con i comandi occupanti, secondo quella tecnica del doppio canale che costituirà la cifra permanente della sua biografia relazionale, Livello B sulla base della convergenza delle informative d'epoca richiamate negli atti parlamentari. Il dopoguerra lo consegna alla provincia laziale quale dirigente d'azienda del materassificio di Frosinone, posizione modesta dalla quale, tra la fine degli anni 50 ed i primi 60, muove la scalata relazionale che lo porta all'iniziazione massonica nel 1963 ed alla segreteria organizzativa della loggia Propaganda nel decennio successivo, Livello A quanto alle scansioni massoniche, documentate dagli atti del Grande Oriente acquisiti dalla Commissione. Appartiene al medesimo strato biografico il canale argentino: i rapporti di Gelli con l'entourage di Juan Domingo Perón, culminati in un ruolo di facilitazione nel rientro del generale a Buenos Aires nel 1972 e nel conferimento di incarichi onorifici e consolari, sono documentati dalla relazione parlamentare e dalla corrispondenza sequestrata, Livello A quanto alla loro esistenza, fermo il divieto, che la Regola Ferrea impone, di trarne alcuna inferenza operativa ulteriore.</w:t>
      </w:r>
    </w:p>
    <w:p>
      <w:pPr>
        <w:spacing w:after="120" w:line="276"/>
        <w:jc w:val="both"/>
      </w:pPr>
      <w:r>
        <w:rPr>
          <w:rFonts w:ascii="Barlow Semi Condensed" w:cs="Barlow Semi Condensed" w:eastAsia="Barlow Semi Condensed" w:hAnsi="Barlow Semi Condensed"/>
          <w:sz w:val="24"/>
          <w:szCs w:val="24"/>
        </w:rPr>
        <w:t xml:space="preserve">Un secondo pilastro documentale, che il presente capitolo deve al lettore per completezza d'inventario, è il cosiddetto Piano di Rinascita Democratica. Il 4 luglio 1982, nel doppiofondo di una valigia in transito all'aeroporto di Fiumicino nella disponibilità della figlia di Gelli, la Guardia di Finanza rinvenne un fascicolo di documenti programmatici, tra i quali il piano medesimo ed il memorandum sulla situazione italiana, che la Commissione Anselmi acquisì e pubblicò negli allegati alla propria relazione, Livello A quanto al rinvenimento ed al contenuto testuale. Il documento delinea, in prosa asciutta da consiglio d'amministrazione, un programma di ricomposizione del sistema attraverso la selezione ed il finanziamento di uomini nei partiti, il controllo degli organi di informazione, la riforma degli assetti giudiziari e sindacali: un progetto, va detto con la voce piana dell'inventario, di cui il sequestro certifica l'esistenza quale testo e non l'attuazione quale condotta, giacché tra il programma scritto e la sua esecuzione corre esattamente quel salto inferenziale che il registro si vieta, Livello A il documento, non certificata la sua traduzione operativa. E tuttavia il testo resta, nella morfologia del nodo, un reperto di prima grandezza: rare volte una rete occulta consegna agli inquirenti la propria autodescrizione programmatica, ed il paradigma indiziario insegna che l'autodescrizione, quand'anche velleitaria, rivela la grammatica delle intenzioni assai più di mille testimonianze postume.</w:t>
      </w:r>
    </w:p>
    <w:p>
      <w:pPr>
        <w:spacing w:after="120" w:line="276"/>
        <w:jc w:val="both"/>
      </w:pPr>
      <w:r>
        <w:rPr>
          <w:rFonts w:ascii="Barlow Semi Condensed" w:cs="Barlow Semi Condensed" w:eastAsia="Barlow Semi Condensed" w:hAnsi="Barlow Semi Condensed"/>
          <w:sz w:val="24"/>
          <w:szCs w:val="24"/>
        </w:rPr>
        <w:t xml:space="preserve">La parabola terminale del nodo si lascia infine ordinare in 3 tempi, ciascuno assistito dal proprio grado. Il tempo delle condanne: la pena definitiva per la bancarotta fraudolenta dell'Ambrosiano, divenuta irrevocabile nell'aprile 1998, e quella, parimenti irrevocabile dal 23 novembre 1995, per il depistaggio delle indagini sulla strage di Bologna, delimitano il perimetro esatto della responsabilità penale accertata, Livello A. Il tempo della fuga senile: nella primavera del 1998, a condanna ormai definitiva, Gelli si sottrasse alla detenzione domiciliare e fu rintracciato ed arrestato a Cannes nel settembre dello stesso anno, mentre nelle pertinenze di villa Wanda ad Arezzo venivano rinvenuti, occultati in fioriere, lingotti d'oro per oltre 100 chilogrammi, la cui provenienza rimase oggetto di procedimenti senza approdare ad una ricostruzione unitaria definitiva, Livello A quanto al rinvenimento, Livello C quanto alla genealogia del metallo. Il tempo dell'estinzione: la detenzione domiciliare per ragioni d'età, il lungo epilogo aretino e la morte, il 15 dicembre 2015, che chiude anagraficamente un nodo la cui centralità reticolare era già stata smontata, arco dopo arco, dalle inchieste del quindicennio precedente. Chi volesse leggere in questa parabola la conferma della sentenza falconiana sul carattere umano, e perciò mortale, di ogni potere organizzato, troverebbe nel fascicolo Gelli il suo documento più eloquente: l'archivio, che era stato la sua arma, divenne la sua condanna, ed il collezionista di segreti fu infine collezionato dal più implacabile degli archivisti, il tempo.</w:t>
      </w:r>
    </w:p>
    <w:p>
      <w:pPr>
        <w:spacing w:after="120" w:line="276"/>
        <w:jc w:val="both"/>
      </w:pPr>
      <w:r>
        <w:rPr>
          <w:rFonts w:ascii="Barlow Semi Condensed" w:cs="Barlow Semi Condensed" w:eastAsia="Barlow Semi Condensed" w:hAnsi="Barlow Semi Condensed"/>
          <w:sz w:val="24"/>
          <w:szCs w:val="24"/>
        </w:rPr>
        <w:t xml:space="preserve">Un ultimo strato documentale riguarda il rapporto tra la loggia coperta e l'obbedienza madre, perché la genealogia massonica del nodo non fu lineare e la sua tortuosità è essa stessa un reperto. Gli atti acquisiti dalla Commissione documentano che la comunione del Grande Oriente deliberò già nel 1974 la demolizione della loggia Propaganda 2 quale entità anomala, e che la struttura sopravvisse alla propria soppressione formale trasformandosi in organismo di fatto nella esclusiva disponibilità del suo segretario organizzativo, sino ai provvedimenti espulsivi assunti dall'obbedienza a scandalo esploso, Livello A quanto alle delibere. La circostanza consegna al registro un teorema morfologico di validità generale: una rete coperta non muore per decreto del proprio contenitore, ma per sottrazione del proprio archivio; e difatti la P2 sopravvisse alla demolizione del 1974 e non sopravvisse al sequestro del 1981. Nel medesimo sequestro rientra l'ultimo reperto che il capitolo consegna: accanto agli elenchi, i fascicoli personali e le agende nei quali il Venerabile custodiva informazioni riservate su personalità pubbliche, materiale che la Commissione esaminò e che certifica, al di là di ogni ipotesi sull'uso, la funzione di raccolta sistematica di leve reputazionali quale tecnologia costitutiva del nodo, Livello A quanto all'esistenza ed alla natura del materiale. L'arma dell'archivio, si è detto: qui se ne vede il calibro.</w:t>
      </w:r>
    </w:p>
    <w:p>
      <w:pPr>
        <w:spacing w:after="120" w:line="276"/>
        <w:jc w:val="both"/>
      </w:pPr>
      <w:r>
        <w:rPr>
          <w:rFonts w:ascii="Barlow Semi Condensed" w:cs="Barlow Semi Condensed" w:eastAsia="Barlow Semi Condensed" w:hAnsi="Barlow Semi Condensed"/>
          <w:sz w:val="24"/>
          <w:szCs w:val="24"/>
        </w:rPr>
        <w:t xml:space="preserve">Merita infine un posto nell'inventario un reperto di natura semiotica prima che documentale: l'intervista che Gelli concesse al Corriere della Sera il 5 ottobre 1980, raccolta da Maurizio Costanzo, giornalista che gli elenchi di Castiglion Fibocchi avrebbero rivelato, 6 mesi più tardi, iscritto alla medesima loggia, Livello A quanto alla pubblicazione ed all'iscrizione dell'intervistatore. Nel colloquio, il Venerabile ancora ignoto al grande pubblico si concedeva massime sul potere, sul valore degli archivi e sulla preferibilità di governare dietro le quinte anziché sul proscenio: sicché il registro si trova dinanzi al caso, raro sino al paradosso, di una rete coperta che si autorappresenta sul primo giornale del Paese, per il tramite di un proprio affiliato, mentre il giornale medesimo appartiene al perimetro finanziario della rete. La circostanza, che parrebbe congegnata da un romanziere con scarso senso della misura, è invece cronaca documentata, e vale al metodo quale ammonimento permanente: la copertura perfetta non è il silenzio, è la parola amministrata, e le reti mature non temono la stampa, la posseggono. Il Pattern 4 vi riconosce un arco di transito compiuto tra il Dominio 4 ed il Dominio 8, percorso non dal denaro ma dal suo equivalente simbolico, la rappresentazione di sé.</w:t>
      </w:r>
    </w:p>
    <w:p>
      <w:pPr>
        <w:spacing w:after="120" w:line="276"/>
        <w:jc w:val="both"/>
      </w:pPr>
      <w:r>
        <w:rPr>
          <w:rFonts w:ascii="Barlow Semi Condensed" w:cs="Barlow Semi Condensed" w:eastAsia="Barlow Semi Condensed" w:hAnsi="Barlow Semi Condensed"/>
          <w:sz w:val="24"/>
          <w:szCs w:val="24"/>
        </w:rPr>
        <w:t xml:space="preserve">Un ultimo strato documentale riguarda il rapporto tra la loggia coperta e l'obbedienza madre, perché la genealogia massonica del nodo non fu lineare e la sua tortuosità è essa stessa un reperto. Gli atti acquisiti dalla Commissione documentano che la comunione del Grande Oriente deliberò già nel 1974 la demolizione della loggia Propaganda 2 quale entità anomala, e che la struttura sopravvisse alla propria soppressione formale trasformandosi in organismo di fatto nella esclusiva disponibilità del suo segretario organizzativo, sino ai provvedimenti espulsivi assunti dall'obbedienza a scandalo esploso, Livello A quanto alle delibere. La circostanza consegna al registro un teorema morfologico di validità generale: una rete coperta non muore per decreto del proprio contenitore, ma per sottrazione del proprio archivio; e difatti la P2 sopravvisse alla demolizione del 1974 e non sopravvisse al sequestro del 1981. Nel medesimo sequestro rientra l'ultimo reperto che il capitolo consegna: accanto agli elenchi, i fascicoli personali e le agende nei quali il Venerabile custodiva informazioni riservate su personalità pubbliche, materiale che la Commissione esaminò e che certifica, al di là di ogni ipotesi sull'uso, la funzione di raccolta sistematica di leve reputazionali quale tecnologia costitutiva del nodo, Livello A quanto all'esistenza ed alla natura del materiale. L'arma dell'archivio, si è detto: qui se ne vede il calibro.</w:t>
      </w:r>
    </w:p>
    <w:p>
      <w:pPr>
        <w:spacing w:after="120" w:line="276"/>
        <w:jc w:val="both"/>
      </w:pPr>
      <w:r>
        <w:rPr>
          <w:rFonts w:ascii="Barlow Semi Condensed" w:cs="Barlow Semi Condensed" w:eastAsia="Barlow Semi Condensed" w:hAnsi="Barlow Semi Condensed"/>
          <w:b/>
          <w:bCs/>
          <w:sz w:val="24"/>
          <w:szCs w:val="24"/>
        </w:rPr>
        <w:t xml:space="preserve">Sintesi del dato nuovo acquisito:</w:t>
      </w:r>
      <w:r>
        <w:rPr>
          <w:rFonts w:ascii="Barlow Semi Condensed" w:cs="Barlow Semi Condensed" w:eastAsia="Barlow Semi Condensed" w:hAnsi="Barlow Semi Condensed"/>
          <w:sz w:val="24"/>
          <w:szCs w:val="24"/>
        </w:rPr>
        <w:t xml:space="preserve"> il nodo Gelli è certificato al Livello A quale punto di massima intermediazione tra i Domini 4, 3, 2 e 6, sulla base della catena sequestro di Castiglion Fibocchi, inchiesta parlamentare Anselmi e legge di scioglimento; il ponte verso il Dominio 7 è certificato al Livello A limitatamente al depistaggio di Bologna, coperto da giudicato, ed al Livello B quanto al finanziamento della strage, fondato su accertamento giudiziale postumo; la questione del livello superiore alla posizione di Gelli resta ipotesi di Livello C con condizioni di falsificazione esplicitate.</w:t>
      </w:r>
    </w:p>
    <w:p>
      <w:pPr>
        <w:pStyle w:val="Heading3"/>
        <w:spacing w:after="80" w:before="160"/>
      </w:pPr>
      <w:r>
        <w:rPr>
          <w:rFonts w:ascii="Barlow Semi Condensed" w:cs="Barlow Semi Condensed" w:eastAsia="Barlow Semi Condensed" w:hAnsi="Barlow Semi Condensed"/>
          <w:sz w:val="24"/>
          <w:szCs w:val="24"/>
        </w:rPr>
        <w:t xml:space="preserve">Capitolo 2 — ◆ La Loggia Propaganda 2. L'organizzazione-ponte e l'anatomia di una struttura trasversale</w:t>
      </w:r>
    </w:p>
    <w:p>
      <w:pPr>
        <w:spacing w:after="120" w:line="276"/>
        <w:jc w:val="both"/>
      </w:pPr>
      <w:r>
        <w:rPr>
          <w:rFonts w:ascii="Barlow Semi Condensed" w:cs="Barlow Semi Condensed" w:eastAsia="Barlow Semi Condensed" w:hAnsi="Barlow Semi Condensed"/>
          <w:sz w:val="24"/>
          <w:szCs w:val="24"/>
        </w:rPr>
        <w:t xml:space="preserve">Se Gelli è il nodo individuale a massima centralità, la Loggia Propaganda 2 è il nodo organizzativo che ne costituisce l'infrastruttura, e merita un capitolo autonomo perché la sua morfologia è, essa stessa, un reperto analitico. Nella teoria delle reti multilivello adottata dalla Nota Metodologica, la P2 si presenta come un oggetto raro: non un attore interno ad 1 solo dominio, ma un connettore progettato per attraversarli tutti, un fascio ordinato di archi inter-layer mascherato da associazione di 1 solo layer, quello massonico. La scansione del corpus ne misura la pervasività documentale: la sigla ricorre 3239 volte in 67 documenti, seconda per frequenza assoluta soltanto a poche macro-entità istituzionali.</w:t>
      </w:r>
    </w:p>
    <w:p>
      <w:pPr>
        <w:spacing w:after="120" w:line="276"/>
        <w:jc w:val="both"/>
      </w:pPr>
      <w:r>
        <w:rPr>
          <w:rFonts w:ascii="Barlow Semi Condensed" w:cs="Barlow Semi Condensed" w:eastAsia="Barlow Semi Condensed" w:hAnsi="Barlow Semi Condensed"/>
          <w:sz w:val="24"/>
          <w:szCs w:val="24"/>
        </w:rPr>
        <w:t xml:space="preserve">La genealogia della loggia va restituita con precisione storica. La Loggia Propaganda nasce nell'Ottocento in seno al Grande Oriente d'Italia quale loggia di vertice riservata a personalità che non potevano frequentare le officine ordinarie; rifondata dopo la Seconda Guerra Mondiale con il numero 2, essa conserva formalmente lo statuto di loggia coperta, i cui iscritti sono noti al solo Gran Maestro, fino a quando, tra la fine degli anni 60 ed i primi anni 70, la gestione di fatto passa a Gelli, che ne fa uno strumento di reclutamento sistematico entro i vertici dello Stato e dell'economia. La sospensione e la successiva espulsione di Gelli dalla comunione del Grande Oriente, nonché i provvedimenti con cui l'obbedienza tentò di demolire e poi ricostituire la loggia, sono documentati negli atti della Commissione Anselmi e nella pubblicistica specialistica acquisita al corpus, tra cui il censimento sistematico delle fonti sulla P2 che il progetto ha integrato: la questione dei rapporti tra la loggia coperta ed il vertice dell'obbedienza, in particolare la posizione della Gran Maestranza dell'epoca, fu oggetto di valutazioni divergenti nella stessa Commissione, e viene mantenuta nel registro al Livello B, quale connessione indiziaria fondata su atti parlamentari circostanziati ma non su accertamento giudiziale univoco.</w:t>
      </w:r>
    </w:p>
    <w:p>
      <w:pPr>
        <w:spacing w:after="120" w:line="276"/>
        <w:jc w:val="both"/>
      </w:pPr>
      <w:r>
        <w:rPr>
          <w:rFonts w:ascii="Barlow Semi Condensed" w:cs="Barlow Semi Condensed" w:eastAsia="Barlow Semi Condensed" w:hAnsi="Barlow Semi Condensed"/>
          <w:sz w:val="24"/>
          <w:szCs w:val="24"/>
        </w:rPr>
        <w:t xml:space="preserve">L'anatomia quantitativa della loggia, quale risulta dagli elenchi sequestrati e dai riscontri della Commissione, è la seguente, e va letta con la cautela genealogica già enunciata: 962 nominativi, tra i quali 44 parlamentari in carica, 3 ministri del governo in carica al momento del sequestro, i vertici pro tempore dei 3 organismi informativi, numerosi ufficiali generali e superiori delle forze armate e dei corpi di polizia, magistrati, prefetti, alti dirigenti ministeriali, banchieri, imprenditori, editori e giornalisti, tra i quali il direttore del principale quotidiano nazionale. La Commissione Anselmi, consapevole che l'elenco sequestrato poteva essere incompleto per difetto ed inquinato per eccesso, adottò criteri di riscontro individuali, distinguendo le posizioni provate da quelle dubbie; il registro recepisce questa disciplina e tratta l'iscrizione di ciascun singolo nominativo come affermazione autonoma, da certificare caso per caso, di regola al Livello A quando concorrono elenco, riscontro della Commissione e ammissione o accertamento giudiziale, ed al Livello B quando il riscontro parlamentare non è accompagnato da fonte genealogicamente autonoma. È questa la ragione per cui l'opera evita la formula giornalistica della lista come blocco unico: la loggia è un insieme di 962 affermazioni probatorie distinte, non 1 sola affermazione ripetuta 962 volte.</w:t>
      </w:r>
    </w:p>
    <w:p>
      <w:pPr>
        <w:spacing w:after="120" w:line="276"/>
        <w:jc w:val="both"/>
      </w:pPr>
      <w:r>
        <w:rPr>
          <w:rFonts w:ascii="Barlow Semi Condensed" w:cs="Barlow Semi Condensed" w:eastAsia="Barlow Semi Condensed" w:hAnsi="Barlow Semi Condensed"/>
          <w:sz w:val="24"/>
          <w:szCs w:val="24"/>
        </w:rPr>
        <w:t xml:space="preserve">La funzione della loggia nella rete è descritta con esattezza dalla tipologia degli archi della Parte III della Nota Metodologica. La P2 genera anzitutto archi di affiliazione, che collegano tra loro, entro il perimetro coperto, individui che nei rispettivi domini occupano posizioni apicali e che nulla, formalmente, avrebbe dovuto connettere: il capo di un servizio segreto ed un editore, un generale ed un banchiere, un magistrato ed un armatore. In secondo luogo genera archi di collusione, documentati nei procedimenti penali sulle singole vicende, nei quali l'appartenenza comune fa da matrice a scambi specifici: protezioni, promozioni, informazioni, finanziamenti. In terzo luogo genera archi di infiltrazione, secondo la definizione della Nota: l'iscritto che entra o permane in un'istituzione mantenendo una lealtà esterna ad essa, sicché il nodo sembra appartenere al dominio istituzionale ma opera, almeno in parte, nel codice della loggia. La relazione Anselmi colse questo tratto quando descrisse il sistema gelliano come un condizionamento che non abbatte le istituzioni ma le svuota, occupandone i gangli: è la formulazione storica di ciò che il progetto denomina teoria del contenitore. In quarto luogo, la loggia funge da piattaforma per archi di transito: il corpus documenta, al livello che il processo Ambrosiano ha consolidato, il passaggio di flussi finanziari attraverso conti riconducibili alla loggia ed ai suoi vertici, tra i quali il conto denominato Protezione presso l'Union de Banques Suisses di Lugano, sul quale transitarono fondi provenienti dal circuito Ambrosiano; la destinazione politica di una parte di tali flussi è stata oggetto di accertamenti giudiziari e parlamentari che il registro classifica al Livello A quanto all'esistenza del transito ed al Livello B quanto alle singole destinazioni contestate, ciascuna delle quali va trattata come affermazione autonoma.</w:t>
      </w:r>
    </w:p>
    <w:p>
      <w:pPr>
        <w:spacing w:after="120" w:line="276"/>
        <w:jc w:val="both"/>
      </w:pPr>
      <w:r>
        <w:rPr>
          <w:rFonts w:ascii="Barlow Semi Condensed" w:cs="Barlow Semi Condensed" w:eastAsia="Barlow Semi Condensed" w:hAnsi="Barlow Semi Condensed"/>
          <w:sz w:val="24"/>
          <w:szCs w:val="24"/>
        </w:rPr>
        <w:t xml:space="preserve">Il Pattern 11 della Nota Metodologica, l'analisi dell'isomorfismo strutturale, trova nella P2 il suo caso paradigmatico. La topologia della loggia, un nucleo centrale ristretto che irradia verso i vertici di molteplici domini mantenendo la segretezza dei collegamenti orizzontali tra gli affiliati, presenta una somiglianza formale con la topologia della rete stay-behind Gladio, della quale la Fase 2 tratterà: anche lì un centro ristretto, compartimentazione, proiezione trasversale su militari, intelligence e società civile selezionata. La Nota Metodologica prescrive di discriminare tra le 3 spiegazioni possibili dell'isomorfismo: origine comune, necessità funzionale, convergenza indipendente. Il registro, allo stato delle fonti, esclude che sia dimostrata un'origine comune delle 2 strutture, non essendovi documento genealogicamente autonomo che attesti un progettista unico; rileva che la spiegazione per necessità funzionale, secondo la quale la forma a stella coperta è semplicemente la più efficiente per collegare trasversalmente i domini eludendo il controllo democratico, rende conto dei dati senza ipotesi aggiuntive; e mantiene la terza spiegazione sullo sfondo. La conclusione, di metodo prima che di merito, è che l'isomorfismo P2-Gladio è certificato al Livello A quale somiglianza formale misurabile, mentre ogni inferenza da tale somiglianza ad una regia unitaria resta al Livello C, con condizione di falsificazione esplicita: l'eventuale documento di pianificazione congiunta, mai emerso, che collegasse le 2 strutture in origine. Il corpus registra peraltro, quale intersezione empirica e non strutturale, la presenza di singoli individui in entrambi i perimetri, da vagliare nominativamente nella Fase 2.</w:t>
      </w:r>
    </w:p>
    <w:p>
      <w:pPr>
        <w:spacing w:after="120" w:line="276"/>
        <w:jc w:val="both"/>
      </w:pPr>
      <w:r>
        <w:rPr>
          <w:rFonts w:ascii="Barlow Semi Condensed" w:cs="Barlow Semi Condensed" w:eastAsia="Barlow Semi Condensed" w:hAnsi="Barlow Semi Condensed"/>
          <w:sz w:val="24"/>
          <w:szCs w:val="24"/>
        </w:rPr>
        <w:t xml:space="preserve">Un ultimo profilo riguarda la persistenza. Lo scioglimento legislativo del 1982 chiude la forma giuridica, non necessariamente la funzione: le inchieste successive su logge coperte e comitati d'affari, dalla vicenda giudiziaria detta P3 del 2010 a quella detta P4 del 2011, hanno riproposto la domanda sulla riproducibilità del modello. Il registro tratta tali vicende come fenomeni distinti, ciascuno con il proprio corredo probatorio, e vieta l'inferenza di continuità organizzativa diretta con la P2 in assenza di catene documentali autonome: la continuità che può dirsi certificata è quella morfologica, l'isomorfismo del modello, non quella genealogica delle persone e delle strutture, che resta al Livello C salvo prova specifica. È un esempio ulteriore della distinzione, cardinale nell'intera opera, tra la ripetizione di una forma e la persistenza di un soggetto.</w:t>
      </w:r>
    </w:p>
    <w:p>
      <w:pPr>
        <w:spacing w:after="120" w:line="276"/>
        <w:jc w:val="both"/>
      </w:pPr>
      <w:r>
        <w:rPr>
          <w:rFonts w:ascii="Barlow Semi Condensed" w:cs="Barlow Semi Condensed" w:eastAsia="Barlow Semi Condensed" w:hAnsi="Barlow Semi Condensed"/>
          <w:sz w:val="24"/>
          <w:szCs w:val="24"/>
        </w:rPr>
        <w:t xml:space="preserve">Il capitolo deve ora adempiere all'obbligo che la disciplina delle assoluzioni impone, riportando per esteso l'esito del processo penale romano sulla natura eversiva della loggia, che costituisce il contrappunto giudiziario della certificazione parlamentare. Imputati Licio Gelli ed i principali dirigenti della struttura del delitto di cospirazione politica mediante associazione, la Corte d'Assise di Roma, con sentenza del 16 aprile 1994, li assolse da tale imputazione perché il fatto non sussiste, pronunciando condanne soltanto per fattispecie minori e satellitari; la pronuncia fu confermata nel successivo grado di giudizio e l'assoluzione dal reato associativo eversivo è divenuta irrevocabile, Livello A. Il registro annota il dato con la medesima cura con cui ha annotato lo scioglimento legislativo, perché la coesistenza dei 2 esiti è essa stessa un reperto: il Parlamento, con la legge 25 gennaio 1982 numero 17, qualificò la loggia associazione segreta vietata dall'articolo 18 della Costituzione e la sciolse; il giudice penale, chiamato ad accertare il diverso e più grave delitto di cospirazione contro i poteri dello Stato, escluse che quel delitto fosse provato. Non v'è contraddizione, v'è complementarità di codici nel senso rigorosamente luhmanniano: l'ordinamento parlamentare opera secondo il codice della compatibilità costituzionale, quello penale secondo il codice della responsabilità individuale oltre ogni ragionevole dubbio, e la loggia attraversò il primo codice da condannata ed il secondo, quanto all'imputazione capitale, da assolta. Chi pretendesse di ridurre l'una pronuncia all'altra ripeterebbe l'errore categoriale che la Nota metodologica addita quale peccato originario di tutta la pubblicistica sul potere occulto.</w:t>
      </w:r>
    </w:p>
    <w:p>
      <w:pPr>
        <w:spacing w:after="120" w:line="276"/>
        <w:jc w:val="both"/>
      </w:pPr>
      <w:r>
        <w:rPr>
          <w:rFonts w:ascii="Barlow Semi Condensed" w:cs="Barlow Semi Condensed" w:eastAsia="Barlow Semi Condensed" w:hAnsi="Barlow Semi Condensed"/>
          <w:sz w:val="24"/>
          <w:szCs w:val="24"/>
        </w:rPr>
        <w:t xml:space="preserve">Merita parimenti registrazione il corpus documentale prodotto dall'inchiesta parlamentare, perché la sua stessa mole è un dato morfologico. La Commissione presieduta da Tina Anselmi, istituita con legge 23 settembre 1981 numero 527, lavorò per un triennio, tenne decine di audizioni, acquisì gli archivi sequestrati e consegnò nel luglio 1984 una relazione di maggioranza accompagnata da relazioni di minoranza di segno diverso e da una collana di volumi di allegati che pubblicano, in migliaia di pagine, elenchi, corrispondenze, assegni, agende e memorandum, Livello A quanto all'intero corpus. Alle relazioni di minoranza il registro riserva un'annotazione non rituale: la loro esistenza documenta che perfino sull'oggetto meglio documentato della storia repubblicana l'interpretazione istituzionale non fu unanime, oscillando tra la lettura della loggia quale centrale di condizionamento eversivo e quella, riduttiva, di un comitato d'affari e di carriere; il registro non compone la divergenza, la censisce, giacché la pluralità certificata delle letture è essa stessa la miglior profilassi contro la tentazione monocausale. Quanto alla completezza degli elenchi, la Commissione ne certificò l'autenticità senza poterne garantire l'esaustività, e questa asimmetria, autentico ma forse non completo, governa da allora ogni uso corretto della lista: essa prova la presenza di chi vi figura, non l'assenza di chi non vi figura, Livello A quanto alla formula certificativa della Commissione.</w:t>
      </w:r>
    </w:p>
    <w:p>
      <w:pPr>
        <w:spacing w:after="120" w:line="276"/>
        <w:jc w:val="both"/>
      </w:pPr>
      <w:r>
        <w:rPr>
          <w:rFonts w:ascii="Barlow Semi Condensed" w:cs="Barlow Semi Condensed" w:eastAsia="Barlow Semi Condensed" w:hAnsi="Barlow Semi Condensed"/>
          <w:sz w:val="24"/>
          <w:szCs w:val="24"/>
        </w:rPr>
        <w:t xml:space="preserve">Resta da consegnare al lettore, con la sobrietà che si deve alle liste, un supplemento di anatomia nominale, limitato a categorie e casi il cui rilievo sistemico è stato certificato dagli atti. Negli elenchi di Castiglion Fibocchi figurano i vertici pro tempore dei 3 servizi di informazione, il comandante generale della Guardia di Finanza, decine di ufficiali generali delle forze armate, magistrati, prefetti, diplomatici, ed il gruppo dirigente del maggior quotidiano nazionale nel pieno dell'operazione di cattura editoriale che il capitolo 5 documenta; vi figura altresì, con la tessera 1816, l'editore milanese Silvio Berlusconi, allora imprenditore delle costruzioni e della nascente televisione commerciale, poi 3 volte presidente del Consiglio, la cui iscrizione, accertata documentalmente dalla Commissione, il registro riporta quale puro dato di appartenenza senza inferenza ulteriore, Livello A quanto all'iscrizione. La lista, insegna la semiotica, è la più antica macchina per produrre vertigine: l'elenco piduista produsse nel Paese esattamente quella vertigine, e parte non piccola del lavoro della Commissione consistette nel convertire la vertigine in tassonomia, distinguendo gli iscritti operosi dai dormienti, i reclutati dai reclutatori, il nucleo dal contorno. Il registro eredita quella tassonomia e la traduce nel proprio linguaggio: non tutti i nodi di un elenco sono nodi della rete, e la betweenness non si eredita per contiguità alfabetica.</w:t>
      </w:r>
    </w:p>
    <w:p>
      <w:pPr>
        <w:spacing w:after="120" w:line="276"/>
        <w:jc w:val="both"/>
      </w:pPr>
      <w:r>
        <w:rPr>
          <w:rFonts w:ascii="Barlow Semi Condensed" w:cs="Barlow Semi Condensed" w:eastAsia="Barlow Semi Condensed" w:hAnsi="Barlow Semi Condensed"/>
          <w:sz w:val="24"/>
          <w:szCs w:val="24"/>
        </w:rPr>
        <w:t xml:space="preserve">Alla certificazione parlamentare e penale il capitolo aggiunge infine il lascito normativo, che è la traccia più duratura della loggia nell'ordinamento. La legge di scioglimento non si limitò a sopprimere un'associazione: dettò, all'articolo 1, la prima definizione legislativa di associazione segreta della storia repubblicana, individuandola in quella che, occultando la propria esistenza ovvero tenendo segrete congiuntamente finalità ed attività sociali ovvero rendendo sconosciuti in tutto od in parte i propri aderenti, svolge attività diretta ad interferire sull'esercizio delle funzioni di organi costituzionali e di pubbliche amministrazioni, Livello A quanto al testo normativo. Con ciò il legislatore del 1982 diede finalmente attuazione, a 34 anni di distanza, al secondo comma dell'articolo 18 della Costituzione, il cui divieto delle associazioni segrete era rimasto sino ad allora privo di norma di dettaglio: sicché la P2 occupa nella storia costituzionale la posizione paradossale dell'illecito che genera la propria fattispecie, il caso che costringe l'ordinamento a scrivere la regola di cui esso stesso è la violazione retrospettiva. Il registro annota il paradosso senza compiacimento, perché esso illumina un dato strutturale dell'intero campo di indagine: le reti coperte prosperano negli interstizi che separano il divieto costituzionale dalla sua attuazione legislativa, e la misura di quegli interstizi, 34 anni nel caso di specie, è una variabile che il Pattern 8, l'analisi dello sfruttamento delle finestre, deve incorporare quale condizione ambientale permanente della Repubblica.</w:t>
      </w:r>
    </w:p>
    <w:p>
      <w:pPr>
        <w:spacing w:after="120" w:line="276"/>
        <w:jc w:val="both"/>
      </w:pPr>
      <w:r>
        <w:rPr>
          <w:rFonts w:ascii="Barlow Semi Condensed" w:cs="Barlow Semi Condensed" w:eastAsia="Barlow Semi Condensed" w:hAnsi="Barlow Semi Condensed"/>
          <w:sz w:val="24"/>
          <w:szCs w:val="24"/>
        </w:rPr>
        <w:t xml:space="preserve">Va da ultimo censito l'effetto istituzionale immediato della pubblicazione degli elenchi, perché esso misura, meglio di ogni aggettivo, il peso sistemico dell'organizzazione. Il 21 maggio 1981 il governo rese pubbliche le liste sequestrate 2 mesi prima; la deflagrazione politica che ne seguì travolse il gabinetto presieduto da Arnaldo Forlani, costretto alle dimissioni, ed aprì la crisi dalla quale nacque, nel giugno 1981, il governo di Giovanni Spadolini, il primo della storia repubblicana guidato da un presidente del Consiglio non democristiano, Livello A sull'intera scansione. Il registro annota la conseguenza con la freddezza della cronologia: un elenco di nomi rinvenuto in una cassaforte toscana produsse, nel giro di 60 giorni, la caduta di un governo e la fine di un monopolio di guida durato 35 anni. Nessuna valutazione sulla natura della loggia, per quanto severa, restituisce la sua rilevanza quanto questo semplice rapporto di causa ed effetto istituzionale, che appartiene al novero ristretto dei fatti sui quali maggioranza e minoranze della Commissione, pur divise su tutto il resto, non ebbero occasione di dividersi.</w:t>
      </w:r>
    </w:p>
    <w:p>
      <w:pPr>
        <w:spacing w:after="120" w:line="276"/>
        <w:jc w:val="both"/>
      </w:pPr>
      <w:r>
        <w:rPr>
          <w:rFonts w:ascii="Barlow Semi Condensed" w:cs="Barlow Semi Condensed" w:eastAsia="Barlow Semi Condensed" w:hAnsi="Barlow Semi Condensed"/>
          <w:sz w:val="24"/>
          <w:szCs w:val="24"/>
        </w:rPr>
        <w:t xml:space="preserve">Alla certificazione parlamentare e penale il capitolo aggiunge infine il lascito normativo, che è la traccia più duratura della loggia nell'ordinamento. La legge di scioglimento non si limitò a sopprimere un'associazione: dettò, all'articolo 1, la prima definizione legislativa di associazione segreta della storia repubblicana, individuandola in quella che, occultando la propria esistenza ovvero tenendo segrete congiuntamente finalità ed attività sociali ovvero rendendo sconosciuti in tutto od in parte i propri aderenti, svolge attività diretta ad interferire sull'esercizio delle funzioni di organi costituzionali e di pubbliche amministrazioni, Livello A quanto al testo normativo. Con ciò il legislatore del 1982 diede finalmente attuazione, a 34 anni di distanza, al secondo comma dell'articolo 18 della Costituzione, il cui divieto delle associazioni segrete era rimasto sino ad allora privo di norma di dettaglio: sicché la P2 occupa nella storia costituzionale la posizione paradossale dell'illecito che genera la propria fattispecie, il caso che costringe l'ordinamento a scrivere la regola di cui esso stesso è la violazione retrospettiva. Il registro annota il paradosso senza compiacimento, perché esso illumina un dato strutturale dell'intero campo di indagine: le reti coperte prosperano negli interstizi che separano il divieto costituzionale dalla sua attuazione legislativa, e la misura di quegli interstizi, 34 anni nel caso di specie, è una variabile che il Pattern 8, l'analisi dello sfruttamento delle finestre, deve incorporare quale condizione ambientale permanente della Repubblica.</w:t>
      </w:r>
    </w:p>
    <w:p>
      <w:pPr>
        <w:spacing w:after="120" w:line="276"/>
        <w:jc w:val="both"/>
      </w:pPr>
      <w:r>
        <w:rPr>
          <w:rFonts w:ascii="Barlow Semi Condensed" w:cs="Barlow Semi Condensed" w:eastAsia="Barlow Semi Condensed" w:hAnsi="Barlow Semi Condensed"/>
          <w:b/>
          <w:bCs/>
          <w:sz w:val="24"/>
          <w:szCs w:val="24"/>
        </w:rPr>
        <w:t xml:space="preserve">Sintesi del dato nuovo acquisito:</w:t>
      </w:r>
      <w:r>
        <w:rPr>
          <w:rFonts w:ascii="Barlow Semi Condensed" w:cs="Barlow Semi Condensed" w:eastAsia="Barlow Semi Condensed" w:hAnsi="Barlow Semi Condensed"/>
          <w:sz w:val="24"/>
          <w:szCs w:val="24"/>
        </w:rPr>
        <w:t xml:space="preserve"> la Loggia P2 è certificata al Livello A quale organizzazione-ponte trasversale ai Domini 2, 3, 4, 6, 8 e 9, sulla base della catena probatoria sequestro-inchiesta parlamentare-legge di scioglimento, con la precisazione metodologica che le 962 iscrizioni costituiscono altrettante affermazioni autonome; l'isomorfismo strutturale con la rete Gladio è certificato al Livello A quale somiglianza formale, mentre ogni ipotesi di origine comune o di continuità organizzativa postuma resta al Livello C con condizioni di falsificazione esplicitate.</w:t>
      </w:r>
    </w:p>
    <w:p>
      <w:pPr>
        <w:pStyle w:val="Heading3"/>
        <w:spacing w:after="80" w:before="160"/>
      </w:pPr>
      <w:r>
        <w:rPr>
          <w:rFonts w:ascii="Barlow Semi Condensed" w:cs="Barlow Semi Condensed" w:eastAsia="Barlow Semi Condensed" w:hAnsi="Barlow Semi Condensed"/>
          <w:sz w:val="24"/>
          <w:szCs w:val="24"/>
        </w:rPr>
        <w:t xml:space="preserve">Capitolo 3 — ▶ Umberto Ortolani. Il ponte silenzioso tra loggia, finanza e Vaticano</w:t>
      </w:r>
    </w:p>
    <w:p>
      <w:pPr>
        <w:spacing w:after="120" w:line="276"/>
        <w:jc w:val="both"/>
      </w:pPr>
      <w:r>
        <w:rPr>
          <w:rFonts w:ascii="Barlow Semi Condensed" w:cs="Barlow Semi Condensed" w:eastAsia="Barlow Semi Condensed" w:hAnsi="Barlow Semi Condensed"/>
          <w:sz w:val="24"/>
          <w:szCs w:val="24"/>
        </w:rPr>
        <w:t xml:space="preserve">Nella coppia di vertice della Loggia Propaganda 2, la pubblicistica ha consegnato a Licio Gelli la luce ed a Umberto Ortolani l'ombra, ma la network analysis rovescia sovente le gerarchie della visibilità: come la Nota Metodologica avverte a proposito della eigenvector centrality, il potere di un nodo si misura non dal numero delle sue connessioni, bensì dall'importanza dei nodi cui è connesso, e sotto questo profilo Ortolani, nato a Viterbo nel 1913 e morto a Roma il 17 gennaio 2002, è uno dei nodi a più alta centralità di autovettore dell'intera rete. La scansione del corpus lo registra 326 volte in 15 documenti: una frequenza inferiore a quella di Gelli, ma concentrata nei documenti a più alta densità probatoria, gli atti della Commissione Anselmi, le sentenze del processo Ambrosiano ed i materiali del filone sui mandanti della strage di Bologna.</w:t>
      </w:r>
    </w:p>
    <w:p>
      <w:pPr>
        <w:spacing w:after="120" w:line="276"/>
        <w:jc w:val="both"/>
      </w:pPr>
      <w:r>
        <w:rPr>
          <w:rFonts w:ascii="Barlow Semi Condensed" w:cs="Barlow Semi Condensed" w:eastAsia="Barlow Semi Condensed" w:hAnsi="Barlow Semi Condensed"/>
          <w:sz w:val="24"/>
          <w:szCs w:val="24"/>
        </w:rPr>
        <w:t xml:space="preserve">La biografia rilevante per il registro si lascia ordinare per domini. Nel Dominio 4, Ortolani è documentato quale figura di vertice sostanziale della P2 accanto a Gelli, presente negli elenchi sequestrati e qualificato dalla relazione Anselmi quale mente organizzativa e finanziaria del sodalizio: la relazione parlamentare, che gli dedica ampio spazio, ne colloca il ruolo al di sopra della semplice affiliazione, e questa qualificazione, sorretta dagli atti della Commissione e riscontrata nelle successive sentenze sul crack Ambrosiano, è recepita dal registro al Livello A. Nel Dominio 5, Ortolani è titolare di una posizione che nessun altro vertice della loggia possiede: gentiluomo di Sua Santità, insignito di onorificenze pontificie, con relazioni personali documentate entro la Curia romana maturate sin dagli anni del Concilio; gli atti parlamentari ed una vasta letteratura acquisita al corpus attestano il suo rapporto con il cardinale Giacomo Lercaro e la sua funzione di cerniera tra ambienti curiali e ambienti finanziari, funzione che il registro certifica al Livello A quanto ai titoli formali ed alle relazioni documentate, ed al Livello B quanto alle attività di mediazione specifiche narrate da fonti singole. Nel Dominio 6, Ortolani è banchiere in proprio: fondatore e dominus del Banco Financiero Sudamericano, Bafisud, con sede a Montevideo, snodo sudamericano del circuito finanziario della loggia, ed azionista o amministratore di società editoriali e finanziarie italiane. Nel Dominio 8, infine, Ortolani siede nel consiglio del gruppo Rizzoli negli anni dell'acquisizione piduista del Corriere della Sera, di cui si dirà nel capitolo 5.</w:t>
      </w:r>
    </w:p>
    <w:p>
      <w:pPr>
        <w:spacing w:after="120" w:line="276"/>
        <w:jc w:val="both"/>
      </w:pPr>
      <w:r>
        <w:rPr>
          <w:rFonts w:ascii="Barlow Semi Condensed" w:cs="Barlow Semi Condensed" w:eastAsia="Barlow Semi Condensed" w:hAnsi="Barlow Semi Condensed"/>
          <w:sz w:val="24"/>
          <w:szCs w:val="24"/>
        </w:rPr>
        <w:t xml:space="preserve">Il perno probatorio della sua posizione è la condanna definitiva per la bancarotta fraudolenta del Banco Ambrosiano, pronunciata dalla giustizia milanese all'esito del processo sul dissesto e divenuta irrevocabile negli anni 90, con pena tra le più severe irrogate nel processo: l'accertamento giudiziale, convergente con le risultanze della commissione amministrativa di liquidazione e con gli atti parlamentari, certifica al Livello A che una parte cospicua dei fondi distratti dal circuito Ambrosiano affluì a conti e società riconducibili ad Ortolani, tra cui il già menzionato conto Protezione. La latitanza sudamericana, protrattasi per anni tra Brasile ed Uruguay sotto la protezione di fatto offerta dalle relazioni locali, l'arresto in Brasile e la consegna all'Italia nel 1994, chiudono il profilo giudiziario del Dominio 6.</w:t>
      </w:r>
    </w:p>
    <w:p>
      <w:pPr>
        <w:spacing w:after="120" w:line="276"/>
        <w:jc w:val="both"/>
      </w:pPr>
      <w:r>
        <w:rPr>
          <w:rFonts w:ascii="Barlow Semi Condensed" w:cs="Barlow Semi Condensed" w:eastAsia="Barlow Semi Condensed" w:hAnsi="Barlow Semi Condensed"/>
          <w:sz w:val="24"/>
          <w:szCs w:val="24"/>
        </w:rPr>
        <w:t xml:space="preserve">Il secondo perno, più recente, appartiene al Dominio 7 e va enunciato con la stessa disciplina applicata a Gelli: nelle motivazioni delle sentenze del filone sui mandanti della strage di Bologna, il nome di Ortolani compare accanto a quello di Gelli quale co-terminale del flusso di finanziamento ricostruito a partire dal documento contabile denominato Bologna, con la ripartizione di somme ingenti verso i soggetti indicati nell'appunto; trattandosi di accertamento incidentale postumo, non coperto da giudicato nei suoi confronti, il registro lo classifica al Livello B, con la medesima condizione di falsificazione già enunciata, vale a dire la dimostrazione di una causale alternativa del flusso. È significativo, sul piano del metodo, che il ponte di Ortolani verso il Dominio 7 non passi per alcuna militanza, per alcun contatto operativo con la manovalanza eversiva, ma esclusivamente per la contabilità: è l'esempio più puro, nell'intero registro, di arco di transito quale unico connettore tra un nodo finanziario ed un evento stragista, e conferma l'insegnamento del metodo Falcone secondo cui la struttura si legge nelle tracce che il denaro lascia, prima e più che nelle dichiarazioni degli uomini.</w:t>
      </w:r>
    </w:p>
    <w:p>
      <w:pPr>
        <w:spacing w:after="120" w:line="276"/>
        <w:jc w:val="both"/>
      </w:pPr>
      <w:r>
        <w:rPr>
          <w:rFonts w:ascii="Barlow Semi Condensed" w:cs="Barlow Semi Condensed" w:eastAsia="Barlow Semi Condensed" w:hAnsi="Barlow Semi Condensed"/>
          <w:sz w:val="24"/>
          <w:szCs w:val="24"/>
        </w:rPr>
        <w:t xml:space="preserve">Le triangolazioni del nodo Ortolani sono 3, e tutte attraversano il Dominio 5. La prima, Ortolani-Gelli-P2, è la diarchia di vertice della loggia, certificata al Livello A. La seconda, Ortolani-Marcinkus-IOR, congiunge il gentiluomo pontificio al vertice dell'Istituto per le Opere di Religione lungo il canale finanziario che il capitolo 6 ricostruirà: il registro certifica al Livello A l'esistenza di rapporti d'affari tra il circuito Ambrosiano, nel quale Ortolani era co-protagonista, e l'Istituto, mentre le interlocuzioni personali dirette tra i 2 uomini, riferite da fonti singole, restano al Livello B. La terza, Ortolani-Sudamerica, salda il Bafisud di Montevideo alla latitanza brasiliana ed alle relazioni con ambienti politici e militari locali, e costituisce uno dei corridoi che la Fase 5 percorrerà nell'analisi della proiezione atlantica meridionale della rete, ove il registro ha già documentato l'asse tra la P2 e l'area rioplatense.</w:t>
      </w:r>
    </w:p>
    <w:p>
      <w:pPr>
        <w:spacing w:after="120" w:line="276"/>
        <w:jc w:val="both"/>
      </w:pPr>
      <w:r>
        <w:rPr>
          <w:rFonts w:ascii="Barlow Semi Condensed" w:cs="Barlow Semi Condensed" w:eastAsia="Barlow Semi Condensed" w:hAnsi="Barlow Semi Condensed"/>
          <w:sz w:val="24"/>
          <w:szCs w:val="24"/>
        </w:rPr>
        <w:t xml:space="preserve">Va infine registrato, per la dignità paritaria del reperto negativo, ciò che il corpus non contiene: non risulta a carico di Ortolani alcun accertamento di rapporti operativi con organizzazioni mafiose, né alcuna condanna per fatti di sangue; il suo perimetro certificato è finanziario, massonico e curiale. Chi volesse estendere il nodo oltre questo perimetro dovrebbe produrre catene documentali che allo stato non esistono, e l'opera si rifiuta di supplirvi con la suggestione.</w:t>
      </w:r>
    </w:p>
    <w:p>
      <w:pPr>
        <w:spacing w:after="120" w:line="276"/>
        <w:jc w:val="both"/>
      </w:pPr>
      <w:r>
        <w:rPr>
          <w:rFonts w:ascii="Barlow Semi Condensed" w:cs="Barlow Semi Condensed" w:eastAsia="Barlow Semi Condensed" w:hAnsi="Barlow Semi Condensed"/>
          <w:sz w:val="24"/>
          <w:szCs w:val="24"/>
        </w:rPr>
        <w:t xml:space="preserve">Alla figura dell'ombra il registro deve ora restituire lo spessore dei titoli e dei canali, perché l'invisibilità di Ortolani non fu assenza ma tecnica, e le tecniche lasciano documenti. Il canale vaticano anzitutto: Ortolani fu insignito di dignità pontificie, tra cui quella di gentiluomo di Sua Santità, ed ebbe accesso documentato agli ambienti della Curia sin dagli anni del pontificato montiniano, Livello A quanto ai titoli, attestati negli atti della Commissione Anselmi. La memorialistica colloca inoltre nella sua casa romana, alla vigilia del conclave del 1963, incontri preparatori tra porporati dell'area che avrebbe sostenuto l'elezione di Giovanni Battista Montini: il registro riporta la circostanza per ciò che essa è, una tradizione memorialistica convergente ma priva di riscontro documentale diretto, e la marca di conseguenza, Livello C, annotando tuttavia che perfino la sua persistenza quale racconto è un indizio della reputazione di accesso di cui Ortolani godette, giacché le leggende di potere non si depositano sui nodi periferici. Appartiene invece al piano documentale pieno l'appartenenza al Sovrano Militare Ordine di Malta, ulteriore affiliazione d'alta soglia che, nella tassonomia dei domini, colloca il nodo in un secondo circuito relazionale riservato, distinto e complementare rispetto a quello massonico, Livello A.</w:t>
      </w:r>
    </w:p>
    <w:p>
      <w:pPr>
        <w:spacing w:after="120" w:line="276"/>
        <w:jc w:val="both"/>
      </w:pPr>
      <w:r>
        <w:rPr>
          <w:rFonts w:ascii="Barlow Semi Condensed" w:cs="Barlow Semi Condensed" w:eastAsia="Barlow Semi Condensed" w:hAnsi="Barlow Semi Condensed"/>
          <w:sz w:val="24"/>
          <w:szCs w:val="24"/>
        </w:rPr>
        <w:t xml:space="preserve">Il canale finanziario sudamericano esige a sua volta il dettaglio che il capitolo ha sin qui soltanto evocato. Il Banco Financiero Sudamericano di Montevideo, la banca uruguaiana del gruppo Ortolani nota come Bafisud, fu ad un tempo strumento d'affari, terminale di flussi del circuito Ambrosiano ed avamposto della proiezione latinoamericana della loggia, secondo la ricostruzione consegnata agli atti parlamentari ed ai processi milanesi sul crack, Livello A quanto alla titolarità ed alla funzione di snodo, Livello B quanto alla qualificazione dei singoli flussi. Quando il dissesto travolse il gruppo, Ortolani riparò in Sudamerica, ed il registro annota la latitanza brasiliana ed il successivo rientro in Italia con la neutralità del verbale; la vicenda processuale si chiuse con la condanna definitiva per la bancarotta fraudolenta dell'Ambrosiano, resa irrevocabile dalla Corte di cassazione nell'aprile 1998 nel medesimo torno di tempo della posizione di Gelli, Livello A. La morte, a Roma, il 17 gennaio 2002, spense un nodo che aveva attraversato mezzo secolo di storia finanziaria e curiale senza quasi mai comparire in una fotografia di gruppo: ed è questa, per la network analysis, la sua lezione permanente. La visibilità è un costo, l'invisibilità un investimento; Gelli pagò il costo e ne ricavò la centralità apparente, Ortolani sostenne l'investimento e ne ricavò la centralità reale. Se il lettore cercasse una verifica sperimentale del teorema di Burt sui buchi strutturali, la troverebbe qui: il broker perfetto è quello che i 2 lati del buco non possono aggirare e che il pubblico non sa nominare, e per quasi 30 anni l'Italia seppe nominare il Venerabile senza saper nominare l'uomo che ne custodiva i canali romani e ne moltiplicava quelli atlantici.</w:t>
      </w:r>
    </w:p>
    <w:p>
      <w:pPr>
        <w:spacing w:after="120" w:line="276"/>
        <w:jc w:val="both"/>
      </w:pPr>
      <w:r>
        <w:rPr>
          <w:rFonts w:ascii="Barlow Semi Condensed" w:cs="Barlow Semi Condensed" w:eastAsia="Barlow Semi Condensed" w:hAnsi="Barlow Semi Condensed"/>
          <w:sz w:val="24"/>
          <w:szCs w:val="24"/>
        </w:rPr>
        <w:t xml:space="preserve">Va infine restituito ad Ortolani il ruolo che gli atti gli assegnano nell'operazione editoriale che il capitolo 5 esaminerà dal versante dei flussi: la scalata al gruppo Rizzoli ed al Corriere della Sera. La ricostruzione consegnata alla relazione parlamentare indica in Ortolani il regista finanziario dell'acquisizione, l'uomo che congegnò l'architettura societaria e creditizia mediante la quale, tra il 1974 ed il 1977, il primo gruppo editoriale del Paese passò sotto il controllo di una proprietà sottocapitalizzata e perciò strutturalmente dipendente dal credito del circuito Ambrosiano e dalla mediazione della loggia, Livello A quanto alla ricostruzione parlamentare della regia. Nella tassonomia della Nota metodologica l'operazione è l'arco di transito perfetto tra il Dominio 6 e il Dominio 8, ma osservata dal lato di Ortolani essa rivela qualcosa di più sottile: il broker non comprò un giornale, comprò un debito, sapendo che nel sistema italiano il controllo di un debitore strategico vale più della proprietà di un attivo, perché il debitore obbedisce e l'attivo no. È la medesima grammatica che il nodo aveva appreso nei corridoi curiali e che trasferì, identica, dalla teologia del favore alla contabilità dell'editoria: e non è l'ultima delle ragioni per cui il registro, dovendo scegliere l'aggettivo per questo ponte, ha scelto silenzioso e non minore.</w:t>
      </w:r>
    </w:p>
    <w:p>
      <w:pPr>
        <w:spacing w:after="120" w:line="276"/>
        <w:jc w:val="both"/>
      </w:pPr>
      <w:r>
        <w:rPr>
          <w:rFonts w:ascii="Barlow Semi Condensed" w:cs="Barlow Semi Condensed" w:eastAsia="Barlow Semi Condensed" w:hAnsi="Barlow Semi Condensed"/>
          <w:sz w:val="24"/>
          <w:szCs w:val="24"/>
        </w:rPr>
        <w:t xml:space="preserve">A sigillo del profilo va riportato il giudizio che l'inchiesta parlamentare consegnò del personaggio, perché esso costituisce la certificazione istituzionale della tesi che questo capitolo ha argomentato per via reticolare. La relazione Anselmi colloca Ortolani al vertice sostanziale della struttura, accanto e non sotto Gelli, attribuendogli la regia dei canali finanziari e vaticani e qualificandone il ruolo in termini di piena diarchia, Livello A quanto alla valutazione parlamentare. Che l'organo d'inchiesta della Repubblica, all'esito di un triennio di lavori, abbia riservato al più sconosciuto dei 2 uomini la qualifica di mente organizzativa, conferma per via documentale ciò che le misure di centralità suggeriscono per via formale: nella coppia di vertice, la funzione di comando relazionale apparteneva all'uomo senza fotografie. Il registro chiude perciò il capitolo con una regola d'esperienza che le fasi successive verificheranno più volte: quando una rete coperta esibisce un capo, conviene sempre domandarsi per conto di quale socio silenzioso il capo venga esibito.</w:t>
      </w:r>
    </w:p>
    <w:p>
      <w:pPr>
        <w:spacing w:after="120" w:line="276"/>
        <w:jc w:val="both"/>
      </w:pPr>
      <w:r>
        <w:rPr>
          <w:rFonts w:ascii="Barlow Semi Condensed" w:cs="Barlow Semi Condensed" w:eastAsia="Barlow Semi Condensed" w:hAnsi="Barlow Semi Condensed"/>
          <w:sz w:val="24"/>
          <w:szCs w:val="24"/>
        </w:rPr>
        <w:t xml:space="preserve">Va infine restituito ad Ortolani il ruolo che gli atti gli assegnano nell'operazione editoriale che il capitolo 5 esaminerà dal versante dei flussi: la scalata al gruppo Rizzoli ed al Corriere della Sera. La ricostruzione consegnata alla relazione parlamentare indica in Ortolani il regista finanziario dell'acquisizione, l'uomo che congegnò l'architettura societaria e creditizia mediante la quale, tra il 1974 ed il 1977, il primo gruppo editoriale del Paese passò sotto il controllo di una proprietà sottocapitalizzata e perciò strutturalmente dipendente dal credito del circuito Ambrosiano e dalla mediazione della loggia, Livello A quanto alla ricostruzione parlamentare della regia. Nella tassonomia della Nota metodologica l'operazione è l'arco di transito perfetto tra il Dominio 6 e il Dominio 8, ma osservata dal lato di Ortolani essa rivela qualcosa di più sottile: il broker non comprò un giornale, comprò un debito, sapendo che nel sistema italiano il controllo di un debitore strategico vale più della proprietà di un attivo, perché il debitore obbedisce e l'attivo no. È la medesima grammatica che il nodo aveva appreso nei corridoi curiali e che trasferì, identica, dalla teologia del favore alla contabilità dell'editoria: e non è l'ultima delle ragioni per cui il registro, dovendo scegliere l'aggettivo per questo ponte, ha scelto silenzioso e non minore.</w:t>
      </w:r>
    </w:p>
    <w:p>
      <w:pPr>
        <w:spacing w:after="120" w:line="276"/>
        <w:jc w:val="both"/>
      </w:pPr>
      <w:r>
        <w:rPr>
          <w:rFonts w:ascii="Barlow Semi Condensed" w:cs="Barlow Semi Condensed" w:eastAsia="Barlow Semi Condensed" w:hAnsi="Barlow Semi Condensed"/>
          <w:b/>
          <w:bCs/>
          <w:sz w:val="24"/>
          <w:szCs w:val="24"/>
        </w:rPr>
        <w:t xml:space="preserve">Sintesi del dato nuovo acquisito:</w:t>
      </w:r>
      <w:r>
        <w:rPr>
          <w:rFonts w:ascii="Barlow Semi Condensed" w:cs="Barlow Semi Condensed" w:eastAsia="Barlow Semi Condensed" w:hAnsi="Barlow Semi Condensed"/>
          <w:sz w:val="24"/>
          <w:szCs w:val="24"/>
        </w:rPr>
        <w:t xml:space="preserve"> il nodo Ortolani è certificato al Livello A quale ponte tra i Domini 4, 5 e 6, sul fondamento congiunto della relazione Anselmi, della condanna definitiva per la bancarotta Ambrosiano e dei titoli pontifici documentati; il ponte verso il Dominio 7 è certificato al Livello B quale terminale di finanziamento della strage di Bologna in forza di accertamento giudiziale postumo; il registro certifica altresì, quale reperto negativo, l'assenza di connessioni documentate con il Dominio 1.</w:t>
      </w:r>
    </w:p>
    <w:p>
      <w:pPr>
        <w:pStyle w:val="Heading3"/>
        <w:spacing w:after="80" w:before="160"/>
      </w:pPr>
      <w:r>
        <w:rPr>
          <w:rFonts w:ascii="Barlow Semi Condensed" w:cs="Barlow Semi Condensed" w:eastAsia="Barlow Semi Condensed" w:hAnsi="Barlow Semi Condensed"/>
          <w:sz w:val="24"/>
          <w:szCs w:val="24"/>
        </w:rPr>
        <w:t xml:space="preserve">Capitolo 4 — ▶ Michele Sindona. Il nodo pentadominio e la parabola della finanza come arma</w:t>
      </w:r>
    </w:p>
    <w:p>
      <w:pPr>
        <w:spacing w:after="120" w:line="276"/>
        <w:jc w:val="both"/>
      </w:pPr>
      <w:r>
        <w:rPr>
          <w:rFonts w:ascii="Barlow Semi Condensed" w:cs="Barlow Semi Condensed" w:eastAsia="Barlow Semi Condensed" w:hAnsi="Barlow Semi Condensed"/>
          <w:sz w:val="24"/>
          <w:szCs w:val="24"/>
        </w:rPr>
        <w:t xml:space="preserve">Michele Sindona, nato a Patti l'8 maggio 1920 e morto a Voghera il 22 marzo 1986, è il primo nodo del registro a raggiungere la soglia dei 5 domini con certificazione di massimo livello su ciascun ponte, ed è insieme il nodo la cui traiettoria dimostra, con la nettezza di un esperimento, la tesi centrale della Sezione Beta dell'opera: che i domini comunicano attraverso individui-cerniera, e che la rimozione violenta di tali individui è essa stessa un dato strutturale della rete. La scansione del corpus lo registra 983 volte in 27 documenti, con presenza massiccia negli atti della Commissione parlamentare d'inchiesta sul caso Sindona, istituita con legge 22 maggio 1980 numero 204, nelle sentenze italiane e statunitensi, e nei materiali sulla trilogia golpista dei primi anni 70 che il Registro Unico Federato ha schedato sotto lo snodo Borghese-Sindona.</w:t>
      </w:r>
    </w:p>
    <w:p>
      <w:pPr>
        <w:spacing w:after="120" w:line="276"/>
        <w:jc w:val="both"/>
      </w:pPr>
      <w:r>
        <w:rPr>
          <w:rFonts w:ascii="Barlow Semi Condensed" w:cs="Barlow Semi Condensed" w:eastAsia="Barlow Semi Condensed" w:hAnsi="Barlow Semi Condensed"/>
          <w:sz w:val="24"/>
          <w:szCs w:val="24"/>
        </w:rPr>
        <w:t xml:space="preserve">Il Dominio 6 è la matrice. Avvocato tributarista trasferitosi a Milano, Sindona costruisce tra gli anni 50 ed i primi 70 un impero bancario e fiduciario articolato su 2 versanti: quello italiano, con la Banca Privata Finanziaria e la Banca Unione, poi fuse nella Banca Privata Italiana, e quello internazionale, con la Fasco AG di Vaduz quale holding di vertice, la Finabank di Ginevra, partecipata dallo IOR, e, dal 1972, il controllo della Franklin National Bank di New York, all'epoca tra le maggiori banche degli Stati Uniti. Il crollo simultaneo dei 2 versanti nell'autunno 1974, con il dissesto della Banca Privata Italiana e la bancarotta della Franklin, la più grave insolvenza bancaria americana fino a quel momento, genera i 2 procedimenti che definiscono il nodo: negli Stati Uniti la condanna del 1980 a 25 anni per la frode della Franklin, in Italia la condanna per la bancarotta della Banca Privata. Su questo versante la certificazione è al Livello A per convergenza di sentenze definitive in 2 giurisdizioni, atti parlamentari e documentazione della liquidazione coatta.</w:t>
      </w:r>
    </w:p>
    <w:p>
      <w:pPr>
        <w:spacing w:after="120" w:line="276"/>
        <w:jc w:val="both"/>
      </w:pPr>
      <w:r>
        <w:rPr>
          <w:rFonts w:ascii="Barlow Semi Condensed" w:cs="Barlow Semi Condensed" w:eastAsia="Barlow Semi Condensed" w:hAnsi="Barlow Semi Condensed"/>
          <w:sz w:val="24"/>
          <w:szCs w:val="24"/>
        </w:rPr>
        <w:t xml:space="preserve">Il Dominio 1 si innesta sulla matrice finanziaria attraverso 2 canali distinti, che il registro mantiene separati perché diversa è la loro genealogia probatoria. Il primo canale è il riciclaggio: le risultanze della Commissione Sindona, le dichiarazioni riscontrate di collaboratori di giustizia, tra cui Tommaso Buscetta e Francesco Marino Mannoia, e gli accertamenti dei processi di Palermo convergono nell'attribuire al circuito sindoniano la funzione di terminale finanziario di capitali riconducibili a famiglie di Cosa Nostra, in particolare all'area Gambino-Inzerillo-Spatola, lungo l'asse transatlantico tra la Sicilia e New York; la convergenza di fonte parlamentare, fonti dichiarative riscontrate e accertamenti giudiziari colloca il canale al Livello A quanto alla sua esistenza, mentre la quantificazione dei flussi resta materia di stime e come tale al Livello B. Il secondo canale è il finto sequestro dell'estate 1979: scomparso da New York il 2 agosto 1979, Sindona ricompare il 16 ottobre; le indagini dei giudici istruttori milanesi Colombo e Turone, quelle statunitensi ed il successivo processo accertano che il sequestro fu una messinscena organizzata con l'apporto logistico di uomini dell'area mafiosa siculo-americana, tra cui John Gambino, e di ambienti massonici siciliani, con un soggiorno clandestino in Sicilia durante il quale Sindona tentò di esercitare pressioni ricattatorie, facendo balenare la divulgazione di una lista di 500 esportatori di capitali; nel corso della messinscena Sindona si fece persino ferire alla gamba per accreditarla. L'episodio è certificato al Livello A ed è, nel sistema del registro, un reperto di valore eccezionale, perché in 1 solo evento si osservano congiunti il Dominio 6, il Dominio 1 ed il Dominio 4, con l'aggiunta del ricatto come tecnologia di potere. La lista dei 500, evocata e mai rinvenuta, è trattata dal registro secondo la disciplina dell'assenza: la sua esistenza materiale non è certificata, la sua funzione ricattatoria quale minaccia è certificata al Livello A dagli atti, e la distanza tra i 2 piani è essa stessa il dato.</w:t>
      </w:r>
    </w:p>
    <w:p>
      <w:pPr>
        <w:spacing w:after="120" w:line="276"/>
        <w:jc w:val="both"/>
      </w:pPr>
      <w:r>
        <w:rPr>
          <w:rFonts w:ascii="Barlow Semi Condensed" w:cs="Barlow Semi Condensed" w:eastAsia="Barlow Semi Condensed" w:hAnsi="Barlow Semi Condensed"/>
          <w:sz w:val="24"/>
          <w:szCs w:val="24"/>
        </w:rPr>
        <w:t xml:space="preserve">Il Dominio 4 è documentato dalla tessera piduista di Sindona, presente negli elenchi di Castiglion Fibocchi e riscontrata dalla Commissione Anselmi, nonché dal ruolo di Gelli quale suo sponsor e protettore negli anni della crisi; la saldatura tra il capitolo massonico e quello finanziario è certificata al Livello A. Il Dominio 5 è documentato dal rapporto organico con lo IOR: la partecipazione dell'Istituto nella Finabank, le operazioni congiunte degli anni 60, la fama di banchiere di fiducia d'Oltretevere che gli valse la vendita, nel 1969, di partecipazioni industriali vaticane di primo rilievo; gli atti parlamentari ed i documenti della liquidazione certificano il rapporto al Livello A, mentre le singole qualificazioni personali, come la presentazione a Paul Marcinkus, riferita da più fonti ma di genealogia in parte comune, restano al Livello B. Il Dominio 2, infine, è documentato su 2 versanti: quello italiano, con l'appoggio prestato da ambienti politici al progetto di salvataggio delle banche sindoniane tra il 1974 ed il 1979, oggetto centrale dell'inchiesta parlamentare, nella quale è agli atti la celebre qualificazione di Sindona quale salvatore della lira attribuita ad ambienti di governo, ed il connesso scontro istituzionale che investì la Banca d'Italia, culminato nell'incriminazione del governatore Paolo Baffi e nell'arresto del vice direttore Mario Sarcinelli nel marzo 1979, vicenda dalla quale entrambi uscirono pienamente prosciolti e che il registro classifica al Livello A quale episodio di aggressione giudiziaria ad un organo di vigilanza ostile al salvataggio; e quello americano, con le relazioni negli ambienti repubblicani ed atlantici documentate dagli atti statunitensi. Al perimetro politico appartiene infine la schedatura, già operata dal Registro Unico Federato, dello snodo Borghese-Sindona entro la trilogia golpista dei primi anni 70: la disponibilità di ambienti sindoniani a sostenere finanziariamente progetti eversivi è riferita da fonti dichiarative, tra cui la testimonianza parlamentare di Buscetta su 3 distinti tentativi di colpo di Stato a mediazione massonica, e resta classificata al Livello B, quale convergenza di fonti dichiarative riscontrate e atti parlamentari, priva di giudicato specifico.</w:t>
      </w:r>
    </w:p>
    <w:p>
      <w:pPr>
        <w:spacing w:after="120" w:line="276"/>
        <w:jc w:val="both"/>
      </w:pPr>
      <w:r>
        <w:rPr>
          <w:rFonts w:ascii="Barlow Semi Condensed" w:cs="Barlow Semi Condensed" w:eastAsia="Barlow Semi Condensed" w:hAnsi="Barlow Semi Condensed"/>
          <w:sz w:val="24"/>
          <w:szCs w:val="24"/>
        </w:rPr>
        <w:t xml:space="preserve">Il vertice tragico del nodo è l'omicidio di Giorgio Ambrosoli, avvocato milanese nominato commissario liquidatore unico della Banca Privata Italiana, assassinato sotto casa la notte dell'11 luglio 1979 da William Joseph Aricò, sicario italoamericano. La catena giudiziaria è completa e definitiva: Aricò quale esecutore, Sindona quale mandante, condannato all'ergastolo con sentenza divenuta irrevocabile il 18 marzo 1986. L'omicidio Ambrosoli è, nel registro, il ponte perfetto e terribile tra il Dominio 6 ed il Dominio 1: un banchiere che compra dalla criminalità organizzata italoamericana il servizio della morte per eliminare il servitore dello Stato che ne stava documentando il dissesto. La certificazione è al Livello A senza residui. Ed è qui che la traiettoria si chiude su se stessa con una simmetria che il registro si limita a constatare: 4 giorni dopo la definitività dell'ergastolo, il 20 marzo 1986, Sindona ingerisce nel carcere di massima sicurezza di Voghera un caffè avvelenato con cianuro di potassio, e muore il 22 marzo. Le inchieste conclusero nel senso del suicidio, pur nel quadro di un regime di sorveglianza che avrebbe dovuto escludere ogni accesso al veleno; il registro recepisce l'esito ufficiale e lo classifica al Livello B, connessione indiziaria fondata su accertamento giudiziario singolo, mantenendo aperta, al Livello C, l'ipotesi alternativa dell'avvelenamento eterodiretto, con l'indicazione della evidenza che la deciderebbe: la ricostruzione documentale della catena di custodia del veleno entro il carcere, mai compiutamente raggiunta. La morte di Sindona, qualunque ne sia stata la mano, produce nella rete l'effetto che il Pattern 1 della Nota Metodologica consente di misurare: la scomparsa simultanea del più alto detentore di informazioni sui ponti tra 5 domini, secondo la regolarità, che l'opera verificherà sistematicamente, per cui gli individui a massima betweenness muoiono di morte violenta o anomala con frequenza superiore ad ogni attesa statistica.</w:t>
      </w:r>
    </w:p>
    <w:p>
      <w:pPr>
        <w:spacing w:after="120" w:line="276"/>
        <w:jc w:val="both"/>
      </w:pPr>
      <w:r>
        <w:rPr>
          <w:rFonts w:ascii="Barlow Semi Condensed" w:cs="Barlow Semi Condensed" w:eastAsia="Barlow Semi Condensed" w:hAnsi="Barlow Semi Condensed"/>
          <w:sz w:val="24"/>
          <w:szCs w:val="24"/>
        </w:rPr>
        <w:t xml:space="preserve">Le triangolazioni del nodo sono 4: Sindona-Gelli-Calvi, il triangolo finanziario della loggia, nel quale Calvi eredita da Sindona clientele, tecniche e destino; Sindona-Gambino-Inzerillo, l'asse transatlantico del riciclaggio, che la Fase 5 riprenderà sul versante americano; Sindona-IOR-Marcinkus, il ponte vaticano che il capitolo 6 completa; e Sindona-Baffi-Sarcinelli, la triangolazione negativa, nella quale il nodo si misura con l'istituzione che gli resiste e la risposta del sistema è l'aggressione giudiziaria ai vigilanti: un arco di strumentalizzazione della magistratura, secondo la tassonomia della Parte III, che il registro certifica al Livello A nei suoi fatti e mantiene al Livello C quanto alla regia unitaria.</w:t>
      </w:r>
    </w:p>
    <w:p>
      <w:pPr>
        <w:spacing w:after="120" w:line="276"/>
        <w:jc w:val="both"/>
      </w:pPr>
      <w:r>
        <w:rPr>
          <w:rFonts w:ascii="Barlow Semi Condensed" w:cs="Barlow Semi Condensed" w:eastAsia="Barlow Semi Condensed" w:hAnsi="Barlow Semi Condensed"/>
          <w:sz w:val="24"/>
          <w:szCs w:val="24"/>
        </w:rPr>
        <w:t xml:space="preserve">La sequenza del crollo merita la precisione del cronografo, perché in essa si misura la trasformazione della finanza in arma e dell'arma in rovina. Nel luglio 1974 la fusione delle 2 banche italiane del gruppo genera la Banca Privata Italiana, creatura già esangue; il 27 settembre 1974 il Tribunale ne dichiara lo stato e la Banca d'Italia ne promuove la liquidazione coatta amministrativa, con la nomina a commissario liquidatore unico dell'avvocato Giorgio Ambrosoli; l'8 ottobre 1974 la Franklin National Bank di New York, perno del versante americano, è dichiarata insolvente, all'epoca il maggior dissesto bancario della storia degli Stati Uniti, Livello A su tutta la scansione. Segue il quinquennio della resistenza: Sindona, riparato negli Stati Uniti, muove le sue relazioni per ottenere il salvataggio italiano della banca liquidata, e la pressione si abbatte sulla Banca d'Italia che quel salvataggio nega. Il registro consegna qui un pilastro che la memoria pubblica ha lasciato sbiadire: nel marzo 1979 il governatore Paolo Baffi fu incriminato ed il capo della Vigilanza Mario Sarcinelli arrestato, in un procedimento che si sarebbe concluso anni dopo con il proscioglimento pieno di entrambi, e che gli atti parlamentari e la storiografia collocano nel contesto delle pressioni convergenti sull'istituto di emissione nella stagione dei salvataggi negati, Livello A quanto ai provvedimenti ed ai proscioglimenti, Livello B quanto al nesso di contesto. Che l'organo di vigilanza monetaria della Repubblica sia stato colpito nei suoi vertici mentre resisteva al salvataggio di un bancarottiere è un fatto la cui sola cronologia costituisce, nel linguaggio del Pattern 3, una coincidenza temporale ad altissima densità.</w:t>
      </w:r>
    </w:p>
    <w:p>
      <w:pPr>
        <w:spacing w:after="120" w:line="276"/>
        <w:jc w:val="both"/>
      </w:pPr>
      <w:r>
        <w:rPr>
          <w:rFonts w:ascii="Barlow Semi Condensed" w:cs="Barlow Semi Condensed" w:eastAsia="Barlow Semi Condensed" w:hAnsi="Barlow Semi Condensed"/>
          <w:sz w:val="24"/>
          <w:szCs w:val="24"/>
        </w:rPr>
        <w:t xml:space="preserve">Sul versante penale americano ed italiano, la scansione è la seguente. Nel 1980 la giustizia federale statunitense condanna Sindona a 25 anni per il dissesto della Franklin, all'esito di un processo fondato su decine di capi d'imputazione, Livello A; nell'estate del 1979, tra il 2 agosto ed il 16 ottobre, si era consumata la messinscena dell'autosequestro, con la sparizione da New York, il soggiorno clandestino in Sicilia sotto la protezione di ambienti del circuito Gambino ed il ritorno a Manhattan con una ferita d'arma da fuoco alla gamba, episodio che le sentenze italiane hanno accertato quale simulazione strumentale, ordita anche per esercitare pressione ricattatoria sugli ambienti finanziari e politici italiani, Livello A quanto alla simulazione, mentre la famosa lista dei 500 esportatori di valuta, agitata in quella stagione quale strumento di minaccia, non è mai stata rinvenuta quale documento e resta perciò consegnata al Livello C. L'estradizione in Italia nel settembre 1984 apre l'ultimo atto: il processo milanese per l'omicidio di Giorgio Ambrosoli, ucciso sotto casa la notte dell'11 luglio 1979 da William Joseph Aricò, sicario italoamericano ingaggiato per conto del banchiere, il quale Aricò, detenuto a New York, morì il 19 febbraio 1984 precipitando dal Metropolitan Correctional Center durante un tentativo di evasione, sicché il giudizio italiano si celebrò contro il mandante e gli intermediari, Livello A. Giova qui una precisazione di scrupolo processuale, che nulla toglie e molto aggiunge alla nettezza del quadro: la condanna all'ergastolo pronunciata dalla Corte d'Assise di Milano il 18 marzo 1986 nei confronti di Sindona quale mandante precedette di 4 giorni la sua morte, sicché nei suoi confronti il rapporto processuale si estinse, mentre il giudizio proseguito verso gli intermediari del reclutamento approdò negli anni successivi a condanne irrevocabili, che consegnano al registro, con la forza del giudicato, la ricostruzione dell'intera catena omicidiaria, Livello A.</w:t>
      </w:r>
    </w:p>
    <w:p>
      <w:pPr>
        <w:spacing w:after="120" w:line="276"/>
        <w:jc w:val="both"/>
      </w:pPr>
      <w:r>
        <w:rPr>
          <w:rFonts w:ascii="Barlow Semi Condensed" w:cs="Barlow Semi Condensed" w:eastAsia="Barlow Semi Condensed" w:hAnsi="Barlow Semi Condensed"/>
          <w:sz w:val="24"/>
          <w:szCs w:val="24"/>
        </w:rPr>
        <w:t xml:space="preserve">Resta Ambrosoli, ed il registro gli deve più di una riga, perché il metodo che questa opera pratica è, in ultima istanza, il suo. Nominato liquidatore nel 1974, l'avvocato milanese ricostruì per 5 anni, carta su carta, l'architettura del dissesto, respinse le lusinghe e le minacce, e nel febbraio 1975 consegnò alla moglie una lettera da leggersi in caso di morte, nella quale rivendicava, con understatement borghese, di aver soltanto fatto il proprio dovere: la lettera, pubblicata dopo l'omicidio, è divenuta il testamento civile di quella stagione, ed il titolo con cui Corrado Stajano ne raccontò la vita, Un eroe borghese, appartiene ormai al lessico della Repubblica, Livello A quanto ai documenti. Nella morfologia della rete, Ambrosoli è il nodo che il registro definisce anticorpo: un attore che, collocato dal caso in posizione di massima esposizione su un arco critico, sceglie di esercitare la funzione di controllo fino alle estreme conseguenze, e la cui eliminazione, lungi dal chiudere il varco, consegna agli inquirenti la mappa che la sua contabilità aveva disegnato. La finanza come arma trovò in lui la dimostrazione che esiste anche la contabilità come trincea.</w:t>
      </w:r>
    </w:p>
    <w:p>
      <w:pPr>
        <w:spacing w:after="120" w:line="276"/>
        <w:jc w:val="both"/>
      </w:pPr>
      <w:r>
        <w:rPr>
          <w:rFonts w:ascii="Barlow Semi Condensed" w:cs="Barlow Semi Condensed" w:eastAsia="Barlow Semi Condensed" w:hAnsi="Barlow Semi Condensed"/>
          <w:sz w:val="24"/>
          <w:szCs w:val="24"/>
        </w:rPr>
        <w:t xml:space="preserve">Alla catena omicidiaria va aggiunto il capitolo delle pressioni sul vertice della finanza privata, che le motivazioni del processo milanese consegnarono al giudicato. Gli atti documentano che nella primavera del 1979 Sindona convocò a New York Enrico Cuccia, l'amministratore delegato di Mediobanca che al salvataggio si opponeva, e che all'incontro seguirono minacce esplicite alla persona ed alla famiglia del banchiere, inserite dai giudici nella medesima strategia intimidatoria culminata nell'omicidio del liquidatore, Livello A nei limiti delle motivazioni. Il registro isola il reperto perché esso completa la fenomenologia della finanza come arma: il medesimo nodo esercitò, nell'ordine, la corruzione sui permeabili, la pressione istituzionale sui vigilanti, la minaccia sui resistenti e l'omicidio sull'irriducibile, disegnando una scala di escalation che il Pattern 4 può leggere quale flusso unitario di coercizione crescente lungo archi di natura diversa. Che ai 2 estremi della scala si trovino un governatore incriminato ingiustamente ed un avvocato assassinato è la misura esatta di quanto la posta eccedesse la contabilità di una banca decotta: in gioco era la giurisdizione stessa del sistema legale sul denaro, e la Repubblica, va detto a suo credito, quella giurisdizione la difese, al prezzo che questo capitolo ha censito.</w:t>
      </w:r>
    </w:p>
    <w:p>
      <w:pPr>
        <w:spacing w:after="120" w:line="276"/>
        <w:jc w:val="both"/>
      </w:pPr>
      <w:r>
        <w:rPr>
          <w:rFonts w:ascii="Barlow Semi Condensed" w:cs="Barlow Semi Condensed" w:eastAsia="Barlow Semi Condensed" w:hAnsi="Barlow Semi Condensed"/>
          <w:sz w:val="24"/>
          <w:szCs w:val="24"/>
        </w:rPr>
        <w:t xml:space="preserve">Il quadro istituzionale del caso si completa con l'inchiesta parlamentare dedicata, che il registro censisce quale quarta gamba probatoria accanto ai giudicati italiani, a quelli statunitensi ed agli atti della Commissione P2. Con legge del 22 maggio 1980 il Parlamento istituì la Commissione d'inchiesta sul caso Sindona e sulle responsabilità politiche ed amministrative ad esso connesse, i cui lavori si conclusero nel marzo 1982 con una relazione di maggioranza e con più relazioni di minoranza, ed i cui atti ricostruirono la trama dei salvataggi tentati, delle protezioni politiche invocate e delle pressioni esercitate sugli organi di vigilanza, Livello A quanto all'istituzione ed alle risultanze documentali. La compresenza, sul medesimo nodo, di 2 inchieste parlamentari, 2 giurisdizioni penali nazionali ed 1 straniera è un unicum che fa di Sindona il nodo più densamente osservato dell'intera rete: ed è appunto per questa densità di osservazione, non per pregiudizio narrativo, che il registro ha potuto certificarne i 5 ponti al massimo livello, a conferma della regola per cui la conoscibilità di una rete è funzione diretta della quantità di istituzioni che hanno avuto interesse ad illuminarla.</w:t>
      </w:r>
    </w:p>
    <w:p>
      <w:pPr>
        <w:spacing w:after="120" w:line="276"/>
        <w:jc w:val="both"/>
      </w:pPr>
      <w:r>
        <w:rPr>
          <w:rFonts w:ascii="Barlow Semi Condensed" w:cs="Barlow Semi Condensed" w:eastAsia="Barlow Semi Condensed" w:hAnsi="Barlow Semi Condensed"/>
          <w:sz w:val="24"/>
          <w:szCs w:val="24"/>
        </w:rPr>
        <w:t xml:space="preserve">Alla catena omicidiaria va aggiunto il capitolo delle pressioni sul vertice della finanza privata, che le motivazioni del processo milanese consegnarono al giudicato. Gli atti documentano che nella primavera del 1979 Sindona convocò a New York Enrico Cuccia, l'amministratore delegato di Mediobanca che al salvataggio si opponeva, e che all'incontro seguirono minacce esplicite alla persona ed alla famiglia del banchiere, inserite dai giudici nella medesima strategia intimidatoria culminata nell'omicidio del liquidatore, Livello A nei limiti delle motivazioni. Il registro isola il reperto perché esso completa la fenomenologia della finanza come arma: il medesimo nodo esercitò, nell'ordine, la corruzione sui permeabili, la pressione istituzionale sui vigilanti, la minaccia sui resistenti e l'omicidio sull'irriducibile, disegnando una scala di escalation che il Pattern 4 può leggere quale flusso unitario di coercizione crescente lungo archi di natura diversa. Che ai 2 estremi della scala si trovino un governatore incriminato ingiustamente ed un avvocato assassinato è la misura esatta di quanto la posta eccedesse la contabilità di una banca decotta: in gioco era la giurisdizione stessa del sistema legale sul denaro, e la Repubblica, va detto a suo credito, quella giurisdizione la difese, al prezzo che questo capitolo ha censito.</w:t>
      </w:r>
    </w:p>
    <w:p>
      <w:pPr>
        <w:spacing w:after="120" w:line="276"/>
        <w:jc w:val="both"/>
      </w:pPr>
      <w:r>
        <w:rPr>
          <w:rFonts w:ascii="Barlow Semi Condensed" w:cs="Barlow Semi Condensed" w:eastAsia="Barlow Semi Condensed" w:hAnsi="Barlow Semi Condensed"/>
          <w:b/>
          <w:bCs/>
          <w:sz w:val="24"/>
          <w:szCs w:val="24"/>
        </w:rPr>
        <w:t xml:space="preserve">Sintesi del dato nuovo acquisito:</w:t>
      </w:r>
      <w:r>
        <w:rPr>
          <w:rFonts w:ascii="Barlow Semi Condensed" w:cs="Barlow Semi Condensed" w:eastAsia="Barlow Semi Condensed" w:hAnsi="Barlow Semi Condensed"/>
          <w:sz w:val="24"/>
          <w:szCs w:val="24"/>
        </w:rPr>
        <w:t xml:space="preserve"> il nodo Sindona è certificato quale cerniera pentadominio con ponti di Livello A verso i Domini 1, 2, 4, 5 e 6, culminanti nell'ergastolo definitivo quale mandante dell'omicidio Ambrosoli; la morte per avvelenamento in regime di massima sicurezza è recepita quale suicidio al Livello B, con ipotesi alternativa mantenuta al Livello C; la disponibilità eversiva dello snodo Borghese-Sindona resta certificata al Livello B su base parlamentare e dichiarativa riscontrata.</w:t>
      </w:r>
    </w:p>
    <w:p>
      <w:pPr>
        <w:pStyle w:val="Heading3"/>
        <w:spacing w:after="80" w:before="160"/>
      </w:pPr>
      <w:r>
        <w:rPr>
          <w:rFonts w:ascii="Barlow Semi Condensed" w:cs="Barlow Semi Condensed" w:eastAsia="Barlow Semi Condensed" w:hAnsi="Barlow Semi Condensed"/>
          <w:sz w:val="24"/>
          <w:szCs w:val="24"/>
        </w:rPr>
        <w:t xml:space="preserve">Capitolo 5 — ▶ Roberto Calvi. Il banchiere-ponte e la morte come reperto conteso</w:t>
      </w:r>
    </w:p>
    <w:p>
      <w:pPr>
        <w:spacing w:after="120" w:line="276"/>
        <w:jc w:val="both"/>
      </w:pPr>
      <w:r>
        <w:rPr>
          <w:rFonts w:ascii="Barlow Semi Condensed" w:cs="Barlow Semi Condensed" w:eastAsia="Barlow Semi Condensed" w:hAnsi="Barlow Semi Condensed"/>
          <w:sz w:val="24"/>
          <w:szCs w:val="24"/>
        </w:rPr>
        <w:t xml:space="preserve">Roberto Calvi, nato a Milano il 13 aprile 1920 e trovato morto a Londra il 18 giugno 1982, è il secondo vertice del triangolo finanziario della loggia, e nel registro occupa una posizione peculiare: è il nodo nel quale la certificazione massima riguarda non soltanto le connessioni in vita, ma la morte stessa, divenuta essa stessa un ponte conteso tra domini. La scansione del corpus lo registra 953 volte in 33 documenti, in prevalenza atti giudiziari, materiali della Commissione P2 e documentazione sul dissesto dell'Ambrosiano.</w:t>
      </w:r>
    </w:p>
    <w:p>
      <w:pPr>
        <w:spacing w:after="120" w:line="276"/>
        <w:jc w:val="both"/>
      </w:pPr>
      <w:r>
        <w:rPr>
          <w:rFonts w:ascii="Barlow Semi Condensed" w:cs="Barlow Semi Condensed" w:eastAsia="Barlow Semi Condensed" w:hAnsi="Barlow Semi Condensed"/>
          <w:sz w:val="24"/>
          <w:szCs w:val="24"/>
        </w:rPr>
        <w:t xml:space="preserve">La matrice è, come per Sindona, il Dominio 6, ma con una differenza strutturale che va colta subito: Sindona costruisce banche proprie, Calvi cattura una banca altrui, ed il suo caso è perciò l'illustrazione più compiuta della teoria del contenitore. Il Banco Ambrosiano, fondato a Milano nel 1896 quale banca cattolica dei ceti lombardi, è il contenitore; Calvi, entratovi nel 1947 e salitone tutti i gradini fino alla presidenza nel 1975, è l'occupante; e l'architettura di controllo che egli edifica, una catena di holding e consociate estere, dalla Banco Ambrosiano Holding di Lussemburgo alle società di Panama e delle Bahamas, fino al Banco Ambrosiano Andino di Lima, è lo strumento della cattura, perché consente di finanziare occultamente, con il denaro della banca, l'acquisto delle azioni della banca medesima, sottraendo il controllo ai soci ed alla vigilanza. Il dissesto che ne segue, con un ammanco accertato nell'ordine di 1200 milioni di dollari dell'epoca verso le consociate estere, è il più grande crack bancario privato della storia italiana; la liquidazione coatta dell'agosto 1982, il processo milanese e le condanne definitive che ne derivarono, tra le quali quelle di Gelli e di Ortolani già richiamate, certificano l'intero impianto al Livello A.</w:t>
      </w:r>
    </w:p>
    <w:p>
      <w:pPr>
        <w:spacing w:after="120" w:line="276"/>
        <w:jc w:val="both"/>
      </w:pPr>
      <w:r>
        <w:rPr>
          <w:rFonts w:ascii="Barlow Semi Condensed" w:cs="Barlow Semi Condensed" w:eastAsia="Barlow Semi Condensed" w:hAnsi="Barlow Semi Condensed"/>
          <w:sz w:val="24"/>
          <w:szCs w:val="24"/>
        </w:rPr>
        <w:t xml:space="preserve">I ponti del nodo si dispongono su 4 domini oltre al proprio. Verso il Dominio 4, la tessera piduista di Calvi è negli elenchi di Castiglion Fibocchi ed il suo rapporto di dipendenza protettiva da Gelli è documentato dagli atti parlamentari e giudiziari, ivi comprese le lettere e le annotazioni sequestrate: certificazione al Livello A. Su questo ponte si innesta l'operazione che congiunge il Dominio 6 al Dominio 8 e che il registro considera uno degli archi di transito più gravidi di conseguenze dell'intera rete: il finanziamento occulto, attraverso il circuito Ambrosiano, della scalata del gruppo Rizzoli, gravato da debiti, e con esso del Corriere della Sera, il principale quotidiano nazionale, il cui assetto proprietario e la cui direzione entrarono nell'orbita della loggia negli anni tra il 1977 ed il 1981, come la relazione Anselmi documentò analiticamente e come le sentenze sul crack confermarono; la certificazione del ponte finanza-informazione è al Livello A, e costituisce il caso paradigmatico, per l'intera opera, della conquista di un organo di formazione dell'opinione pubblica per via debitoria anziché per via editoriale. Verso il Dominio 5, il ponte è costituito dall'intreccio organico con l'Istituto per le Opere di Religione, del quale il capitolo seguente tratta funditus: qui basti certificare al Livello A, sul fondamento della documentazione della liquidazione e dell'accordo di Ginevra del 1984, che lo IOR fu azionista dell'Ambrosiano, controparte di operazioni incrociate e soprattutto emittente, il 1 settembre 1981, delle cosiddette lettere di patronage con le quali dichiarava alle banche creditrici il proprio controllo su alcune delle società estere debitrici, ricevendone in cambio, con contro-lettera riservata di Calvi, la manleva da ogni conseguenza. Verso il Dominio 1, infine, i ponti in vita sono 2: il canale di riciclaggio che le dichiarazioni riscontrate di collaboratori, in primis Francesco Marino Mannoia, attribuiscono al circuito Ambrosiano quale collettore di capitali mafiosi, canale che il registro certifica al Livello B, per convergenza di fonti dichiarative riscontrate e risultanze processuali prive tuttavia di giudicato contabile specifico; ed il rapporto personale, nell'ultimo anno di vita, con Flavio Carboni, faccendiere sardo con relazioni trasversali che spaziavano dalla Banda della Magliana ad ambienti massonici e d'affari, rapporto documentato al Livello A dagli atti dei processi romani, essendo Carboni l'organizzatore della fuga finale di Calvi.</w:t>
      </w:r>
    </w:p>
    <w:p>
      <w:pPr>
        <w:spacing w:after="120" w:line="276"/>
        <w:jc w:val="both"/>
      </w:pPr>
      <w:r>
        <w:rPr>
          <w:rFonts w:ascii="Barlow Semi Condensed" w:cs="Barlow Semi Condensed" w:eastAsia="Barlow Semi Condensed" w:hAnsi="Barlow Semi Condensed"/>
          <w:sz w:val="24"/>
          <w:szCs w:val="24"/>
        </w:rPr>
        <w:t xml:space="preserve">La sequenza terminale va restituita con la precisione del verbale, perché su di essa il registro esercita la sua disciplina più severa. Nel maggio 1981 Calvi è arrestato nell'ambito dell'inchiesta valutaria milanese; nel luglio è condannato in primo grado a 4 anni per esportazione illecita di capitali, primo banchiere di tale rango a subire simile condanna, e tenta in carcere un gesto suicidario; scarcerato in pendenza d'appello, conserva la presidenza della banca. Il 31 maggio 1982 la Banca d'Italia chiede formalmente conto dell'esposizione verso le consociate estere; l'11 giugno Calvi scompare da Roma, con passaporto falso a nome Gian Roberto Calvini, e attraverso un itinerario che tocca Trieste, la Jugoslavia, l'Austria e Londra, organizzato da Carboni con l'apporto di contrabbandieri giuliani, giunge in un appartamento londinese; il 17 giugno il consiglio dell'Ambrosiano lo esautora e la segretaria personale Graziella Corrocher precipita da una finestra della sede milanese, lasciando uno scritto di accusa verso il presidente, morte archiviata quale suicidio e classificata dal registro al Livello B; all'alba del 18 giugno il corpo di Calvi è rinvenuto appeso ad un'impalcatura sotto il ponte dei Frati Neri, Blackfriars Bridge, con mattoni nelle tasche e negli indumenti e circa 15000 dollari in contanti, senza che sul ponte o sul corpo si rinvengano tracce coerenti con un'ascensione autonoma sull'impalcatura. La prima inchiesta del coroner londinese, nel luglio 1982, concluse per il suicidio; la seconda, nel giugno 1983, pronunciò un verdetto aperto; l'esumazione del 1998 e la perizia collegiale disposta dalla giustizia italiana, depositata nel 2002, conclusero per l'incompatibilità del quadro con il suicidio e per la morte per mano altrui; il processo celebrato a Roma contro Giuseppe Calò, Flavio Carboni, Ernesto Diotallevi ed altri quali mandanti od organizzatori si chiuse in primo grado nel 2007 con l'assoluzione di tutti gli imputati per insufficienza di prove, confermata in appello nel 2010 ed in cassazione nel 2011, ma con il riconoscimento, in motivazione, della natura omicidiaria del fatto. Il registro ne trae la doppia classificazione che costituisce il modello per tutti i casi analoghi: la natura omicidiaria della morte di Calvi è certificata al Livello A, per convergenza di perizia collegiale, verdetto aperto del secondo coroner e qualificazione contenuta nelle sentenze italiane, 3 fonti eterogenee e genealogicamente distinte; l'attribuzione dell'omicidio a mandanti ed esecutori determinati resta al Livello C, ipotesi investigativa non sorretta da giudicato, essendo intervenuta assoluzione definitiva degli unici imputati. Tra il fatto certo e la responsabilità incerta corre esattamente quella distanza che la Regola Ferrea vieta di colmare con l'inferenza.</w:t>
      </w:r>
    </w:p>
    <w:p>
      <w:pPr>
        <w:spacing w:after="120" w:line="276"/>
        <w:jc w:val="both"/>
      </w:pPr>
      <w:r>
        <w:rPr>
          <w:rFonts w:ascii="Barlow Semi Condensed" w:cs="Barlow Semi Condensed" w:eastAsia="Barlow Semi Condensed" w:hAnsi="Barlow Semi Condensed"/>
          <w:sz w:val="24"/>
          <w:szCs w:val="24"/>
        </w:rPr>
        <w:t xml:space="preserve">Alla morte si accompagna un reperto materiale che il registro tratta con la disciplina della spoliazione delimitata: la borsa nera di Calvi, contenente documenti che il banchiere portava con sé quale strumento di negoziazione, seguì un percorso autonomo dal corpo, transitando per le mani dell'entourage della fuga, e ricomparve solo anni dopo, in parte, attraverso passaggi onerosi; l'integrità del suo contenuto originario non è ricostruibile. Il registro marca la spoliazione quale fatto documentato al Livello A e si vieta di dedurre dal contenuto ignoto qualsivoglia contenuto determinato: l'assenza di documenti non è un documento.</w:t>
      </w:r>
    </w:p>
    <w:p>
      <w:pPr>
        <w:spacing w:after="120" w:line="276"/>
        <w:jc w:val="both"/>
      </w:pPr>
      <w:r>
        <w:rPr>
          <w:rFonts w:ascii="Barlow Semi Condensed" w:cs="Barlow Semi Condensed" w:eastAsia="Barlow Semi Condensed" w:hAnsi="Barlow Semi Condensed"/>
          <w:sz w:val="24"/>
          <w:szCs w:val="24"/>
        </w:rPr>
        <w:t xml:space="preserve">Le triangolazioni del nodo sono 4: Calvi-Gelli-Ortolani, il vertice della loggia quale creditore e protettore divenuto, negli ultimi mesi, controparte esosa, secondo la documentazione dei flussi verso i conti riferibili ai 2, certificata al Livello A; Calvi-IOR-Marcinkus, l'asse vaticano delle lettere di patronage; Calvi-Carboni-Calò, il triangolo dell'ultima stagione, nel quale la certificazione si sdoppia tra i rapporti in vita, di Livello A, e la responsabilità nella morte, ferma al Livello C per intervenuta assoluzione; e Calvi-Rizzoli-Corriere, il ponte verso il Dominio 8. La lettera inviata da Calvi al pontefice Giovanni Paolo II il 5 giugno 1982, 13 giorni prima della morte, nella quale il banchiere si dichiarava ultimo baluardo contro la divulgazione di operazioni compiute anche per conto di ambienti ecclesiastici, è documento autentico acquisito agli atti e certificato al Livello A quanto all'esistenza ed al tenore; il suo contenuto assertivo, provenendo da un dichiarante in stato di massima pressione e con evidente interesse negoziale, è sottoposto dal registro all'Indice di Contaminazione della Fonte e non è utilizzato quale prova dei fatti ivi affermati.</w:t>
      </w:r>
    </w:p>
    <w:p>
      <w:pPr>
        <w:spacing w:after="120" w:line="276"/>
        <w:jc w:val="both"/>
      </w:pPr>
      <w:r>
        <w:rPr>
          <w:rFonts w:ascii="Barlow Semi Condensed" w:cs="Barlow Semi Condensed" w:eastAsia="Barlow Semi Condensed" w:hAnsi="Barlow Semi Condensed"/>
          <w:sz w:val="24"/>
          <w:szCs w:val="24"/>
        </w:rPr>
        <w:t xml:space="preserve">La sequenza terminale già esposta va ora corredata dei suoi anelli documentali intermedi, che ne fanno il caso più fitto di reperti dell'intero quadrilatero. Primo anello: la condanna del 20 luglio 1981 per le violazioni valutarie, 4 anni di reclusione e 16 miliardi di lire di multa, cui segue, in pendenza d'appello, la scarcerazione, ed insieme un fatto societario che il registro isola quale anomalia certificata, la riconferma di Calvi alla presidenza del Banco da parte degli organi sociali: un istituto di credito cattolico mantenne al vertice un presidente appena condannato in primo grado per reati valutari, e nessuna assemblea ritenne di trarne conseguenze, Livello A. Nel medesimo torno di tempo si colloca il tentato suicidio in carcere, che la documentazione clinica e processuale attesta, Livello B, e che il registro annota senza psicologizzare, giacché la psicologia dei nodi non è materia di certificazione. Secondo anello: la contro-lettera. Alle lettere di patronage rilasciate dallo IOR il 1° settembre 1981 a copertura delle consociate estere fece riscontro una dichiarazione di manleva di segno inverso, con la quale il gruppo si obbligava a tenere indenne l'Istituto: il chiasmo documentale delle 2 lettere, l'una pubblica per i creditori e l'altra riservata per il garante, è il reperto che meglio fotografa la natura del ponte tra i Domini 5 e 6, Livello A.</w:t>
      </w:r>
    </w:p>
    <w:p>
      <w:pPr>
        <w:spacing w:after="120" w:line="276"/>
        <w:jc w:val="both"/>
      </w:pPr>
      <w:r>
        <w:rPr>
          <w:rFonts w:ascii="Barlow Semi Condensed" w:cs="Barlow Semi Condensed" w:eastAsia="Barlow Semi Condensed" w:hAnsi="Barlow Semi Condensed"/>
          <w:sz w:val="24"/>
          <w:szCs w:val="24"/>
        </w:rPr>
        <w:t xml:space="preserve">Terzo anello: la fuga, che le ricostruzioni giudiziarie romane e londinesi hanno restituito passo per passo. L'11 giugno 1982 Calvi lascia Roma; munito di un passaporto falso intestato a Gian Roberto Calvini, attraversa il confine e raggiunge Londra con scali ed appoggi tra Trieste, l'Austria ed un volo charter, accompagnato e assistito da faccendieri e contrabbandieri il cui novero è consegnato agli atti del processo romano; alloggia in un residence di Chelsea; la sera del 17 giugno, a Milano, la sua segretaria personale Graziella Corrocher precipita da una finestra della sede del Banco lasciando uno scritto di accusa verso il presidente, e l'inchiesta ne qualifica la morte quale suicidio; all'alba del 18 giugno il corpo di Calvi pende dal ponteggio dei Blackfriars, i tasconi appesantiti di mattoni e di valuta, Livello A sull'intera sequenza materiale. Quarto anello: il doppio verdetto inglese, prima il suicidio, poi, nel giugno 1983, il verdetto aperto che lo revoca senza sostituirlo; indi, 15 anni dopo, l'esumazione e la perizia collegiale del 1998, che giudica il quadro lesivo e le tracce incompatibili con l'impiccagione autoinflitta dal ponteggio e compatibili con l'omicidio, elevando la qualificazione omicidiaria al grado che il capitolo ha già dichiarato, Livello B tecnico convergente. Quinto anello: il processo. Chiamati a rispondere dell'omicidio quali mandanti od organizzatori Giuseppe Calò, Flavio Carboni ed Ernesto Diotallevi, con altri, la Corte d'Assise di Roma, il 6 giugno 2007, li assolse, per i 3 predetti ai sensi del capoverso dell'articolo 530 del codice di rito, per insufficienza e contraddittorietà della prova, con formule pienamente liberatorie per i restanti; la Corte d'Assise d'appello confermò nel 2010 e la Corte di cassazione rese irrevocabili le assoluzioni nel novembre 2011, Livello A, che il registro riporta per esteso in ossequio alla propria regola: nessuno è stato condannato per la morte di Roberto Calvi.</w:t>
      </w:r>
    </w:p>
    <w:p>
      <w:pPr>
        <w:spacing w:after="120" w:line="276"/>
        <w:jc w:val="both"/>
      </w:pPr>
      <w:r>
        <w:rPr>
          <w:rFonts w:ascii="Barlow Semi Condensed" w:cs="Barlow Semi Condensed" w:eastAsia="Barlow Semi Condensed" w:hAnsi="Barlow Semi Condensed"/>
          <w:sz w:val="24"/>
          <w:szCs w:val="24"/>
        </w:rPr>
        <w:t xml:space="preserve">Chiude il capitolo una digressione che non è ornamento ma profilassi. Il ponte dei Frati Neri, con il suo nome da romanzo gotico, la loggia che nei rituali si dice frate nero, i mattoni nelle tasche: raramente una morte ha offerto alla sovrainterpretazione un apparecchio simbolico così completo, e la pubblicistica non ha resistito. Il registro sì, e dichiara perché con le parole di un semiologo che di complotti fu il più grande anatomista: chi ha letto Il pendolo di Foucault sa che il delirio ermeneutico comincia esattamente dove il dettaglio smette di essere indizio e diventa simbolo, dove la ruggine sulle scarpe conta meno del nome del ponte. Il paradigma indiziario di Ginzburg lavora sulla ruggine, non sull'araldica: e infatti fu l'assenza di ruggine e di tracce del ponteggio sulle suole, accertata dalla perizia del 1998, non la suggestione dei frati neri, a spostare il grado della qualificazione omicidiaria. La lezione vale per l'intero registro: ogni volta che un nome evocativo, una data cabalistica, una coincidenza scenografica sollecitano l'interpretazione, il metodo prescrive di tornare alla domanda del perito, che cosa dicono le suole, e di lasciare l'araldica ai romanzieri, che ne fanno miglior uso.</w:t>
      </w:r>
    </w:p>
    <w:p>
      <w:pPr>
        <w:spacing w:after="120" w:line="276"/>
        <w:jc w:val="both"/>
      </w:pPr>
      <w:r>
        <w:rPr>
          <w:rFonts w:ascii="Barlow Semi Condensed" w:cs="Barlow Semi Condensed" w:eastAsia="Barlow Semi Condensed" w:hAnsi="Barlow Semi Condensed"/>
          <w:sz w:val="24"/>
          <w:szCs w:val="24"/>
        </w:rPr>
        <w:t xml:space="preserve">Un reperto documentale terminale merita registrazione autonoma: la lettera che Calvi indirizzò a Giovanni Paolo II il 5 giugno 1982, 2 settimane prima della morte, resa nota dalla famiglia negli anni successivi. Nel testo, il banchiere invoca un intervento del vertice della Chiesa, rivendica di aver operato quale terminale finanziario di operazioni riservate condotte nell'interesse di ambienti ecclesiali su più scacchieri, ed avverte che il crollo del gruppo avrebbe provocato alla Chiesa un danno incalcolabile, Livello B quanto all'esistenza ed al tenore del documento, la cui natura di ultima difesa impone di leggerlo quale atto di parte e non quale accertamento. Il registro lo censisce con questa doppia marcatura perché esso è, nella morfologia del nodo, l'unico documento nel quale Calvi descrive sé stesso: e la descrizione che l'uomo consegna, un esecutore per conto di potenti reticenti, coincide sinistramente con la posizione reticolare che l'analisi delle centralità gli assegna, quella del ponte ad altissimo carico e nulla protezione, il vertice apparente che è in realtà il punto di massima fragilità del grafo. Quando un nodo simile cade, la teoria prevede che la rete si richiuda rapidamente attorno al vuoto, ridistribuendo i flussi su percorsi meno esposti: la storia successiva dell'Ambrosiano, spartito, rifondato e dimenticato con velocità esemplare, ne è la verifica empirica.</w:t>
      </w:r>
    </w:p>
    <w:p>
      <w:pPr>
        <w:spacing w:after="120" w:line="276"/>
        <w:jc w:val="both"/>
      </w:pPr>
      <w:r>
        <w:rPr>
          <w:rFonts w:ascii="Barlow Semi Condensed" w:cs="Barlow Semi Condensed" w:eastAsia="Barlow Semi Condensed" w:hAnsi="Barlow Semi Condensed"/>
          <w:sz w:val="24"/>
          <w:szCs w:val="24"/>
        </w:rPr>
        <w:t xml:space="preserve">La coda patrimoniale della vicenda chiude il quadro con 2 date. Il 6 agosto 1982 il Banco Ambrosiano fu posto in liquidazione coatta amministrativa, con un'esposizione verso le consociate estere dell'ordine di 1,2 miliardi di dollari che i commissari accertarono irrecuperabile nella sua parte maggiore; contestualmente nacque, per conferimento delle attività sane, il Nuovo Banco Ambrosiano, affidato alla presidenza del giurista e banchiere Giovanni Bazoli, che ne guidò la ricostruzione, Livello A sull'intera operazione. La velocità della transizione, 7 settimane dalla morte del presidente alla rifondazione dell'istituto, è essa stessa un dato morfologico: il sistema bancario italiano espulse il corpo malato e ne riassorbì le funzioni con un'efficienza che nulla, nella gestione del quinquennio precedente, aveva lasciato presagire, a dimostrazione che la lentezza dei controlli non era stata incapacità del sistema, ma sospensione localizzata dei suoi anticorpi. Dove la rete di protezione venne meno, la fisiologia istituzionale riprese immediatamente il proprio corso: ed il contrasto tra i 2 tempi, il quinquennio dell'anomalia tollerata ed il bimestre della normalizzazione compiuta, resta la misura più esatta di quanto la protezione fosse valsa.</w:t>
      </w:r>
    </w:p>
    <w:p>
      <w:pPr>
        <w:spacing w:after="120" w:line="276"/>
        <w:jc w:val="both"/>
      </w:pPr>
      <w:r>
        <w:rPr>
          <w:rFonts w:ascii="Barlow Semi Condensed" w:cs="Barlow Semi Condensed" w:eastAsia="Barlow Semi Condensed" w:hAnsi="Barlow Semi Condensed"/>
          <w:sz w:val="24"/>
          <w:szCs w:val="24"/>
        </w:rPr>
        <w:t xml:space="preserve">Un reperto documentale terminale merita registrazione autonoma: la lettera che Calvi indirizzò a Giovanni Paolo II il 5 giugno 1982, 2 settimane prima della morte, resa nota dalla famiglia negli anni successivi. Nel testo, il banchiere invoca un intervento del vertice della Chiesa, rivendica di aver operato quale terminale finanziario di operazioni riservate condotte nell'interesse di ambienti ecclesiali su più scacchieri, ed avverte che il crollo del gruppo avrebbe provocato alla Chiesa un danno incalcolabile, Livello B quanto all'esistenza ed al tenore del documento, la cui natura di ultima difesa impone di leggerlo quale atto di parte e non quale accertamento. Il registro lo censisce con questa doppia marcatura perché esso è, nella morfologia del nodo, l'unico documento nel quale Calvi descrive sé stesso: e la descrizione che l'uomo consegna, un esecutore per conto di potenti reticenti, coincide sinistramente con la posizione reticolare che l'analisi delle centralità gli assegna, quella del ponte ad altissimo carico e nulla protezione, il vertice apparente che è in realtà il punto di massima fragilità del grafo. Quando un nodo simile cade, la teoria prevede che la rete si richiuda rapidamente attorno al vuoto, ridistribuendo i flussi su percorsi meno esposti: la storia successiva dell'Ambrosiano, spartito, rifondato e dimenticato con velocità esemplare, ne è la verifica empirica.</w:t>
      </w:r>
    </w:p>
    <w:p>
      <w:pPr>
        <w:spacing w:after="120" w:line="276"/>
        <w:jc w:val="both"/>
      </w:pPr>
      <w:r>
        <w:rPr>
          <w:rFonts w:ascii="Barlow Semi Condensed" w:cs="Barlow Semi Condensed" w:eastAsia="Barlow Semi Condensed" w:hAnsi="Barlow Semi Condensed"/>
          <w:b/>
          <w:bCs/>
          <w:sz w:val="24"/>
          <w:szCs w:val="24"/>
        </w:rPr>
        <w:t xml:space="preserve">Sintesi del dato nuovo acquisito:</w:t>
      </w:r>
      <w:r>
        <w:rPr>
          <w:rFonts w:ascii="Barlow Semi Condensed" w:cs="Barlow Semi Condensed" w:eastAsia="Barlow Semi Condensed" w:hAnsi="Barlow Semi Condensed"/>
          <w:sz w:val="24"/>
          <w:szCs w:val="24"/>
        </w:rPr>
        <w:t xml:space="preserve"> il nodo Calvi è certificato al Livello A quale ponte tra i Domini 4, 5, 6 e 8, con l'operazione Rizzoli-Corriere quale arco di transito paradigmatico tra finanza e informazione; la natura omicidiaria della morte è elevata al Livello A per triangolazione peritale-giudiziaria, mentre l'attribuzione soggettiva dell'omicidio resta al Livello C in forza delle assoluzioni definitive; la spoliazione della borsa è marcata quale fatto certo dal contenuto indeducibile.</w:t>
      </w:r>
    </w:p>
    <w:p>
      <w:pPr>
        <w:pStyle w:val="Heading3"/>
        <w:spacing w:after="80" w:before="160"/>
      </w:pPr>
      <w:r>
        <w:rPr>
          <w:rFonts w:ascii="Barlow Semi Condensed" w:cs="Barlow Semi Condensed" w:eastAsia="Barlow Semi Condensed" w:hAnsi="Barlow Semi Condensed"/>
          <w:sz w:val="24"/>
          <w:szCs w:val="24"/>
        </w:rPr>
        <w:t xml:space="preserve">Capitolo 6 — ◆ L'Istituto per le Opere di Religione e ▶ Paul Marcinkus. Il ponte istituzionale tra il Dominio della fede ed il Dominio del denaro</w:t>
      </w:r>
    </w:p>
    <w:p>
      <w:pPr>
        <w:spacing w:after="120" w:line="276"/>
        <w:jc w:val="both"/>
      </w:pPr>
      <w:r>
        <w:rPr>
          <w:rFonts w:ascii="Barlow Semi Condensed" w:cs="Barlow Semi Condensed" w:eastAsia="Barlow Semi Condensed" w:hAnsi="Barlow Semi Condensed"/>
          <w:sz w:val="24"/>
          <w:szCs w:val="24"/>
        </w:rPr>
        <w:t xml:space="preserve">Con il presente capitolo il registro passa da un nodo individuale ad un nodo istituzionale, e la differenza di natura impone una differenza di disciplina: un'istituzione non delinque, non testimonia e non muore; agiscono, testimoniano e muoiono gli uomini che la occupano; e tuttavia la rete registra l'istituzione quale nodo autonomo, perché la sua persistenza eccede le biografie e perché gli archi che la toccano sopravvivono al ricambio degli occupanti. L'Istituto per le Opere di Religione, fondato con chirografo di Pio XII il 27 giugno 1942 sulle strutture della preesistente Amministrazione per le Opere di Religione, è l'ente centrale del Dominio 5 sul versante finanziario: non una banca in senso tecnico, ma un istituto con sede nello Stato della Città del Vaticano, sottratto alla vigilanza italiana, destinato alla custodia ed all'amministrazione di beni finalizzati ad opere di religione. La scansione del corpus registra la sigla 1746 volte in 40 documenti, ed il nome del suo presidente dell'epoca, l'arcivescovo statunitense Paul Casimir Marcinkus, nato a Cicero, Illinois, il 15 gennaio 1922 e morto a Sun City, Arizona, il 20 febbraio 2006, 408 volte in 10 documenti.</w:t>
      </w:r>
    </w:p>
    <w:p>
      <w:pPr>
        <w:spacing w:after="120" w:line="276"/>
        <w:jc w:val="both"/>
      </w:pPr>
      <w:r>
        <w:rPr>
          <w:rFonts w:ascii="Barlow Semi Condensed" w:cs="Barlow Semi Condensed" w:eastAsia="Barlow Semi Condensed" w:hAnsi="Barlow Semi Condensed"/>
          <w:sz w:val="24"/>
          <w:szCs w:val="24"/>
        </w:rPr>
        <w:t xml:space="preserve">Il perimetro certificato del nodo si costruisce per sottrazione dalle molte leggende che lo circondano, ed il registro procede perciò dai documenti più solidi verso l'esterno. Il primo cerchio, di Livello A, comprende i fatti coperti da documentazione negoziale e da convergenza istituzionale bilaterale. Lo IOR fu azionista del Banco Ambrosiano e controparte stabile del suo circuito estero; emise, il 1 settembre 1981, a firma dei propri vertici, le lettere di patronage indirizzate alle banche creditrici, dichiaranti il controllo diretto o indiretto dell'Istituto su un gruppo di società estere, panamensi e lussemburghesi, debitrici verso il circuito Ambrosiano per centinaia di milioni di dollari, e ricevette contestualmente da Calvi la contro-lettera riservata che sollevava l'Istituto da ogni responsabilità e fissava al 30 giugno 1982 il termine dell'impegno; a dissesto conclamato, il negoziato tra la parte italiana, le banche creditrici e la Santa Sede condusse all'accordo sottoscritto a Ginevra il 25 maggio 1984, in forza del quale lo IOR versò ai creditori dell'Ambrosiano la somma di circa 244 milioni di dollari, espressamente qualificata quale contributo volontario, senza riconoscimento di responsabilità. A questo cerchio appartiene altresì l'istituzione, nel 1982, della commissione mista italo-vaticana di studio sul dissesto, i cui lavori si chiusero senza conclusioni condivise: le 2 delegazioni depositarono valutazioni divergenti, e la divergenza stessa è un dato certificato al Livello A. Il pagamento di 244 milioni a titolo volontario da parte di un ente che nega ogni responsabilità è, nel lessico del registro, un reperto anfibologico: prova con certezza l'esistenza di un coinvolgimento che le parti stesse giudicarono meritevole di composizione onerosa, e non prova, da solo, la qualificazione giuridica di tale coinvolgimento.</w:t>
      </w:r>
    </w:p>
    <w:p>
      <w:pPr>
        <w:spacing w:after="120" w:line="276"/>
        <w:jc w:val="both"/>
      </w:pPr>
      <w:r>
        <w:rPr>
          <w:rFonts w:ascii="Barlow Semi Condensed" w:cs="Barlow Semi Condensed" w:eastAsia="Barlow Semi Condensed" w:hAnsi="Barlow Semi Condensed"/>
          <w:sz w:val="24"/>
          <w:szCs w:val="24"/>
        </w:rPr>
        <w:t xml:space="preserve">Il secondo cerchio, di Livello A sul piano dei fatti processuali e proprio per questo negativo sul piano delle responsabilità, è il capitolo giudiziario di Marcinkus. Nel febbraio 1987 la magistratura milanese emise mandati di cattura per concorso in bancarotta fraudolenta nei confronti di Marcinkus e dei dirigenti dello IOR Luigi Mennini e Pellegrino de Strobel; il 17 luglio 1987 la Corte di cassazione annullò i provvedimenti per difetto di giurisdizione, in applicazione dell'articolo 11 del Trattato lateranense, che sottrae gli enti centrali della Chiesa ad ogni ingerenza dello Stato italiano; Marcinkus, che nel frattempo non lasciava lo Stato vaticano, non fu mai processato, lasciò la presidenza dell'Istituto nel 1989 e si ritirò negli Stati Uniti. Il registro certifica dunque al Livello A il fatto che nessuna responsabilità penale individuale dei vertici IOR è mai stata accertata in giudizio, e certifica al medesimo livello che tale mancato accertamento discende non da una valutazione di merito, ma da una barriera giurisdizionale di rango pattizio: la distinzione è essenziale, perché consegna al registro un caso puro di ciò che la Parte V della Nota Metodologica considera lacuna strutturale della conoscenza, un punto della rete in cui l'accertamento non è mancato per difetto di indizi, ma è stato reso impossibile per architettura istituzionale. Nel linguaggio dei pattern, è un buco strutturale di natura normativa, e come tale viene registrato senza essere colmato.</w:t>
      </w:r>
    </w:p>
    <w:p>
      <w:pPr>
        <w:spacing w:after="120" w:line="276"/>
        <w:jc w:val="both"/>
      </w:pPr>
      <w:r>
        <w:rPr>
          <w:rFonts w:ascii="Barlow Semi Condensed" w:cs="Barlow Semi Condensed" w:eastAsia="Barlow Semi Condensed" w:hAnsi="Barlow Semi Condensed"/>
          <w:sz w:val="24"/>
          <w:szCs w:val="24"/>
        </w:rPr>
        <w:t xml:space="preserve">Il terzo cerchio comprende le connessioni di Livello B: il rapporto storico con il circuito Sindona, documentato dalla partecipazione dell'Istituto nella Finabank ginevrina e dalle operazioni degli anni 60, certificato al Livello A quanto ai rapporti societari ed al Livello B quanto al ruolo personale di Marcinkus, la cui presidenza inizia nel 1971, dopo la stagione principale degli affari sindoniani con l'Istituto; le operazioni incrociate di azioni, i cosiddetti depositi back-to-back e le partite fiduciarie tra IOR e consociate Ambrosiano, ricostruite dalla liquidazione e dalla commissione mista con esiti valutativi divergenti; e le dichiarazioni di collaboratori di giustizia che negli anni 90 indicarono l'Istituto quale terminale di capitali mafiosi, in particolare le dichiarazioni di Francesco Marino Mannoia sul riciclaggio di fondi di Cosa Nostra attraverso il canale Calvi-IOR, che il registro, in applicazione rigorosa del criterio di indipendenza genealogica, mantiene al Livello B, trattandosi di fonte dichiarativa riscontrata su elementi di contorno ma priva di riscontro contabile individualizzante sull'ultimo segmento del flusso.</w:t>
      </w:r>
    </w:p>
    <w:p>
      <w:pPr>
        <w:spacing w:after="120" w:line="276"/>
        <w:jc w:val="both"/>
      </w:pPr>
      <w:r>
        <w:rPr>
          <w:rFonts w:ascii="Barlow Semi Condensed" w:cs="Barlow Semi Condensed" w:eastAsia="Barlow Semi Condensed" w:hAnsi="Barlow Semi Condensed"/>
          <w:sz w:val="24"/>
          <w:szCs w:val="24"/>
        </w:rPr>
        <w:t xml:space="preserve">Il quarto cerchio, di Livello C, raccoglie le ipotesi investigative che la pubblicistica ha stratificato sul nodo e che il registro espone al solo fine di marcarne il livello: l'ipotesi di un ruolo dell'Istituto nel finanziamento di movimenti sindacali e politici nell'Europa orientale nei primi anni 80, fondata su fonti giornalistiche e memorialistiche prive di catena documentale autonoma; l'ipotesi di collegamenti tra il dissesto Ambrosiano e forniture d'armi sudamericane, di analoga consistenza; e le ipotesi sul movente vaticano nella morte di Calvi, che la lettera del 5 giugno 1982, già esaminata, suggerisce e non prova. Per ciascuna di esse il registro indica la condizione di promozione: l'emersione di documentazione contabile o archivistica genealogicamente indipendente dalle narrazioni che le hanno generate.</w:t>
      </w:r>
    </w:p>
    <w:p>
      <w:pPr>
        <w:spacing w:after="120" w:line="276"/>
        <w:jc w:val="both"/>
      </w:pPr>
      <w:r>
        <w:rPr>
          <w:rFonts w:ascii="Barlow Semi Condensed" w:cs="Barlow Semi Condensed" w:eastAsia="Barlow Semi Condensed" w:hAnsi="Barlow Semi Condensed"/>
          <w:sz w:val="24"/>
          <w:szCs w:val="24"/>
        </w:rPr>
        <w:t xml:space="preserve">Il nodo istituzionale va infine collocato nella morfologia complessiva della rete. Lo IOR è, per costruzione, un condensatore di buchi strutturali nel senso di Burt: situato entro un ordinamento sovrano distinto, esente da vigilanza esterna, dotato di segreto proprio, esso occupa la posizione dell'intermediario che connette senza poter essere attraversato dallo sguardo, e questa posizione, prima ed indipendentemente da ogni condotta, genera rendita di intermediazione ed attrattività per ogni flusso bisognoso di opacità. È la lezione strutturale del capitolo: la rete non richiede che il contenitore sia complice; le basta che sia impermeabile. Le riforme della vigilanza vaticana intervenute nei decenni successivi, dalla legge antiriciclaggio vaticana del 2010 all'istituzione dell'Autorità di Informazione Finanziaria, modificano precisamente questo parametro strutturale, e la loro esistenza conferma, per implicito riconoscimento dell'ordinamento interessato, la diagnosi che precede.</w:t>
      </w:r>
    </w:p>
    <w:p>
      <w:pPr>
        <w:spacing w:after="120" w:line="276"/>
        <w:jc w:val="both"/>
      </w:pPr>
      <w:r>
        <w:rPr>
          <w:rFonts w:ascii="Barlow Semi Condensed" w:cs="Barlow Semi Condensed" w:eastAsia="Barlow Semi Condensed" w:hAnsi="Barlow Semi Condensed"/>
          <w:sz w:val="24"/>
          <w:szCs w:val="24"/>
        </w:rPr>
        <w:t xml:space="preserve">Al perimetro per cerchi il capitolo aggiunge ora la persona del presidente, perché il nodo istituzionale ebbe per 2 decenni un volto, e quel volto ha una biografia documentale. Paul Casimir Marcinkus, nato a Cicero, nell'Illinois, il 15 gennaio 1922 da immigrati lituani, cresciuto nel sobborgo che la cronaca americana associa al dominio di Al Capone, circostanza che il registro annota quale pura geografia e non quale genealogia, salì la carriera curiale per la via del servizio diplomatico e della prossimità fisica ai pontefici: organizzatore dei viaggi papali, ne divenne l'ombra protettiva, e la cronaca gli attribuì un ruolo nel neutralizzare l'aggressione portata a Paolo VI a Manila il 27 novembre 1970, Livello B quanto alla dinamica, convergente nelle fonti. Presidente dell'Istituto dal 1971, Marcinkus cumulò a quella carica la presenza nel consiglio di amministrazione della banca di Nassau del gruppo Calvi, la consociata delle Bahamas nella quale l'Istituto deteneva una partecipazione: la compresenza del medesimo ecclesiastico al vertice del garante e nel consiglio del garantito è il fatto documentale che meglio spiega, senza bisogno di alcuna ipotesi ulteriore, la genesi delle lettere di patronage, Livello A quanto alle cariche.</w:t>
      </w:r>
    </w:p>
    <w:p>
      <w:pPr>
        <w:spacing w:after="120" w:line="276"/>
        <w:jc w:val="both"/>
      </w:pPr>
      <w:r>
        <w:rPr>
          <w:rFonts w:ascii="Barlow Semi Condensed" w:cs="Barlow Semi Condensed" w:eastAsia="Barlow Semi Condensed" w:hAnsi="Barlow Semi Condensed"/>
          <w:sz w:val="24"/>
          <w:szCs w:val="24"/>
        </w:rPr>
        <w:t xml:space="preserve">La vicenda giudiziaria del 1987 va a sua volta restituita con i nomi e con la ratio. Il 20 febbraio 1987 la magistratura milanese emise mandati di cattura nei confronti di Marcinkus, del delegato Luigi Mennini e del capo contabile Pellegrino de Strobel per concorso nella bancarotta dell'Ambrosiano; il 17 luglio 1987 la Corte di cassazione annullò i provvedimenti dichiarando il difetto di giurisdizione dello Stato italiano, sul fondamento dell'articolo 11 del Trattato lateranense, che sottrae ad ogni ingerenza gli enti centrali della Chiesa cattolica, categoria nella quale l'Istituto fu ricondotto; ne seguì l'improcedibilità, sicché nessuno dei 3 fu mai processato in Italia, Livello A. Il registro segnala al lettore la portata sistemica del precedente: esso non afferma l'innocenza, afferma l'ingiudicabilità, e disegna attorno al nodo un confine che non è probatorio ma ordinamentale. Nel linguaggio della Nota metodologica, l'arco tra il Dominio 10 e la componente vaticana del Dominio 5 risulta qui interrotto non da un'assenza di prova ma da una norma di sbarramento: un buco strutturale di diritto positivo, caso unico nell'intero registro, che ogni analisi della impermeabilità dell'Istituto deve assumere quale variabile indipendente.</w:t>
      </w:r>
    </w:p>
    <w:p>
      <w:pPr>
        <w:spacing w:after="120" w:line="276"/>
        <w:jc w:val="both"/>
      </w:pPr>
      <w:r>
        <w:rPr>
          <w:rFonts w:ascii="Barlow Semi Condensed" w:cs="Barlow Semi Condensed" w:eastAsia="Barlow Semi Condensed" w:hAnsi="Barlow Semi Condensed"/>
          <w:sz w:val="24"/>
          <w:szCs w:val="24"/>
        </w:rPr>
        <w:t xml:space="preserve">Il decennio successivo consegna infine la trasformazione. Nel 1989 Marcinkus lasciò la presidenza; il 1° marzo 1990 il chirografo pontificio rifondò l'Istituto affidandone la gestione ad un consiglio di sovrintendenza laico presieduto dal banchiere Angelo Caloia, primo esperimento di normalizzazione tecnica di un organismo sino ad allora governato per via ecclesiastica, Livello A. L'accordo di Ginevra del 25 maggio 1984, già certificato, va qui riletto nella sua formula esatta, che è un piccolo capolavoro di diplomazia dell'ambiguità: l'Istituto versò 244 milioni di dollari alle banche creditrici a titolo di contributo volontario e con espressa esclusione di ogni riconoscimento di responsabilità, sicché il medesimo atto che chiuse la partita patrimoniale lasciò intatta, per volontà bilaterale delle parti, la partita della qualificazione, Livello A. Marcinkus tornò negli Stati Uniti alla metà degli anni 90 e morì a Sun City, in Arizona, il 20 febbraio 2006, senza essere mai stato giudicato da alcuna corte: il nodo umano si spense lasciando al registro il nodo istituzionale, che è, per costruzione luhmanniana, la vera unità di analisi di questo capitolo. Un sistema che comunica nel codice della salvezza non può essere interrogato nel codice della colpevolezza se l'ordinamento non predispone l'accoppiamento strutturale, ed il 1987 certificò che quell'accoppiamento, per gli enti centrali, non esiste: tutto il resto, comprese le leggende, discende da questo teorema.</w:t>
      </w:r>
    </w:p>
    <w:p>
      <w:pPr>
        <w:spacing w:after="120" w:line="276"/>
        <w:jc w:val="both"/>
      </w:pPr>
      <w:r>
        <w:rPr>
          <w:rFonts w:ascii="Barlow Semi Condensed" w:cs="Barlow Semi Condensed" w:eastAsia="Barlow Semi Condensed" w:hAnsi="Barlow Semi Condensed"/>
          <w:sz w:val="24"/>
          <w:szCs w:val="24"/>
        </w:rPr>
        <w:t xml:space="preserve">La genealogia del sodalizio tra l'Istituto ed il Banco esige infine il suo atto fondativo, che precede di un decennio le lettere di patronage: la cessione della Banca Cattolica del Veneto. Nel 1972 l'Istituto cedette al gruppo di Calvi il pacchetto di controllo della banca veneta, storico presidio creditizio dell'episcopato regionale, con un'operazione condotta senza consultare i vescovi interessati, che ne rimasero pubblicamente feriti, e che la ricostruzione parlamentare e storiografica indica quale prima grande transazione della coppia Marcinkus-Calvi nonché matrice della loro ventennale associazione d'affari, Livello A quanto all'operazione ed alla sua collocazione genetica. Il registro vi legge il momento in cui il ponte tra i Domini 5 e 6 cessò di essere un rapporto di servizio, la banca che custodisce i depositi dell'ente, e divenne un rapporto di società, l'ente che partecipa alle avventure della banca: mutamento di natura che tutta la successiva catena documentale, dalla Cisalpine di Nassau alle lettere del 1981 all'accordo di Ginevra, non fece che svolgere sino alle sue conseguenze. Se il capitolo dovesse indicare la singola data in cui l'accoppiamento strutturale si strinse in nodo, sceglierebbe questa: il 1972, l'anno in cui il denaro della fede cambiò mestiere.</w:t>
      </w:r>
    </w:p>
    <w:p>
      <w:pPr>
        <w:spacing w:after="120" w:line="276"/>
        <w:jc w:val="both"/>
      </w:pPr>
      <w:r>
        <w:rPr>
          <w:rFonts w:ascii="Barlow Semi Condensed" w:cs="Barlow Semi Condensed" w:eastAsia="Barlow Semi Condensed" w:hAnsi="Barlow Semi Condensed"/>
          <w:sz w:val="24"/>
          <w:szCs w:val="24"/>
        </w:rPr>
        <w:t xml:space="preserve">Un ultimo tassello istituzionale merita registrazione: la commissione internazionale di esperti che la Santa Sede nominò nell'estate del 1982, all'indomani del crollo, affidando a 4 personalità indipendenti della finanza internazionale l'esame dei rapporti tra l'Istituto ed il gruppo Ambrosiano, Livello A quanto all'istituzione dell'organo. Fu l'unico procedimento di accertamento interno che l'ordinamento vaticano abbia attivato sulla vicenda, e la sua natura, tecnica e non giurisdizionale, riservata e non pubblica, conferma per l'ennesima via il teorema che questo capitolo ha posto a proprio fondamento: l'Istituto può essere esaminato soltanto nel codice che il proprio ordinamento predispone, ed il codice predisposto fu quello della due diligence, non quello del processo. Il registro ne trae la conseguenza metodologica dovuta: sul nodo IOR, l'asimmetria informativa non è un accidente della ricerca ma una proprietà strutturale dell'oggetto, e ogni futura apertura degli archivi vaticani sul punto andrà trattata, quando avvenga, con la disciplina che la Fase 5 riserva alle aperture archivistiche tardive, le quali illuminano sempre, insieme al contenuto, le ragioni della loro tempistica.</w:t>
      </w:r>
    </w:p>
    <w:p>
      <w:pPr>
        <w:spacing w:after="120" w:line="276"/>
        <w:jc w:val="both"/>
      </w:pPr>
      <w:r>
        <w:rPr>
          <w:rFonts w:ascii="Barlow Semi Condensed" w:cs="Barlow Semi Condensed" w:eastAsia="Barlow Semi Condensed" w:hAnsi="Barlow Semi Condensed"/>
          <w:sz w:val="24"/>
          <w:szCs w:val="24"/>
        </w:rPr>
        <w:t xml:space="preserve">La genealogia del sodalizio tra l'Istituto ed il Banco esige infine il suo atto fondativo, che precede di un decennio le lettere di patronage: la cessione della Banca Cattolica del Veneto. Nel 1972 l'Istituto cedette al gruppo di Calvi il pacchetto di controllo della banca veneta, storico presidio creditizio dell'episcopato regionale, con un'operazione condotta senza consultare i vescovi interessati, che ne rimasero pubblicamente feriti, e che la ricostruzione parlamentare e storiografica indica quale prima grande transazione della coppia Marcinkus-Calvi nonché matrice della loro ventennale associazione d'affari, Livello A quanto all'operazione ed alla sua collocazione genetica. Il registro vi legge il momento in cui il ponte tra i Domini 5 e 6 cessò di essere un rapporto di servizio, la banca che custodisce i depositi dell'ente, e divenne un rapporto di società, l'ente che partecipa alle avventure della banca: mutamento di natura che tutta la successiva catena documentale, dalla Cisalpine di Nassau alle lettere del 1981 all'accordo di Ginevra, non fece che svolgere sino alle sue conseguenze. Se il capitolo dovesse indicare la singola data in cui l'accoppiamento strutturale si strinse in nodo, sceglierebbe questa: il 1972, l'anno in cui il denaro della fede cambiò mestiere.</w:t>
      </w:r>
    </w:p>
    <w:p>
      <w:pPr>
        <w:spacing w:after="120" w:line="276"/>
        <w:jc w:val="both"/>
      </w:pPr>
      <w:r>
        <w:rPr>
          <w:rFonts w:ascii="Barlow Semi Condensed" w:cs="Barlow Semi Condensed" w:eastAsia="Barlow Semi Condensed" w:hAnsi="Barlow Semi Condensed"/>
          <w:b/>
          <w:bCs/>
          <w:sz w:val="24"/>
          <w:szCs w:val="24"/>
        </w:rPr>
        <w:t xml:space="preserve">Sintesi del dato nuovo acquisito:</w:t>
      </w:r>
      <w:r>
        <w:rPr>
          <w:rFonts w:ascii="Barlow Semi Condensed" w:cs="Barlow Semi Condensed" w:eastAsia="Barlow Semi Condensed" w:hAnsi="Barlow Semi Condensed"/>
          <w:sz w:val="24"/>
          <w:szCs w:val="24"/>
        </w:rPr>
        <w:t xml:space="preserve"> il nodo IOR è certificato al Livello A quale ponte istituzionale tra i Domini 5 e 6 sul fondamento delle lettere di patronage, della contro-lettera di manleva e dell'accordo di Ginevra del 1984 con versamento di 244 milioni di dollari a titolo volontario; è certificata al Livello A l'assenza di ogni accertamento penale individuale, determinata dalla barriera giurisdizionale dell'articolo 11 del Trattato lateranense e registrata quale buco strutturale normativo; le connessioni con il riciclaggio mafioso restano al Livello B e le ipotesi ulteriori al Livello C, con condizioni di promozione esplicitate.</w:t>
      </w:r>
    </w:p>
    <w:p>
      <w:pPr>
        <w:pStyle w:val="Heading3"/>
        <w:spacing w:after="80" w:before="160"/>
      </w:pPr>
      <w:r>
        <w:rPr>
          <w:rFonts w:ascii="Barlow Semi Condensed" w:cs="Barlow Semi Condensed" w:eastAsia="Barlow Semi Condensed" w:hAnsi="Barlow Semi Condensed"/>
          <w:sz w:val="24"/>
          <w:szCs w:val="24"/>
        </w:rPr>
        <w:t xml:space="preserve">Capitolo 7 — ▶ Giuseppe Calò. Il cassiere di Cosa Nostra e l'arco certificato tra mafia e strage</w:t>
      </w:r>
    </w:p>
    <w:p>
      <w:pPr>
        <w:spacing w:after="120" w:line="276"/>
        <w:jc w:val="both"/>
      </w:pPr>
      <w:r>
        <w:rPr>
          <w:rFonts w:ascii="Barlow Semi Condensed" w:cs="Barlow Semi Condensed" w:eastAsia="Barlow Semi Condensed" w:hAnsi="Barlow Semi Condensed"/>
          <w:sz w:val="24"/>
          <w:szCs w:val="24"/>
        </w:rPr>
        <w:t xml:space="preserve">Giuseppe Calò, detto Pippo, nato a Palermo il 30 settembre 1931, capo della famiglia mafiosa di Porta Nuova, è il nodo attraverso il quale il registro certifica al massimo livello il ponte più controverso dell'intera tassonomia: l'arco che collega il Dominio 1 della criminalità organizzata al Dominio 7 del terrorismo stragista. La scansione del corpus lo registra 402 volte in 15 documenti, ed il suo profilo riunisce in 1 sola biografia le 3 funzioni che la letteratura criminologica attribuisce di norma a nodi distinti: il comando militare-territoriale, la gestione finanziaria e la proiezione extra-regionale.</w:t>
      </w:r>
    </w:p>
    <w:p>
      <w:pPr>
        <w:spacing w:after="120" w:line="276"/>
        <w:jc w:val="both"/>
      </w:pPr>
      <w:r>
        <w:rPr>
          <w:rFonts w:ascii="Barlow Semi Condensed" w:cs="Barlow Semi Condensed" w:eastAsia="Barlow Semi Condensed" w:hAnsi="Barlow Semi Condensed"/>
          <w:sz w:val="24"/>
          <w:szCs w:val="24"/>
        </w:rPr>
        <w:t xml:space="preserve">Il primo pilastro probatorio è il maxiprocesso di Palermo. Istruito dal pool antimafia sulla base del teorema Buscetta, vale a dire della ricostruzione unitaria di Cosa Nostra quale organizzazione verticistica dotata di una Commissione deliberante, il maxiprocesso si aprì il 10 febbraio 1986 nell'aula bunker dell'Ucciardone e si chiuse in primo grado l'11 dicembre 1987 con 342 condanne; la sentenza della Corte di cassazione del 30 gennaio 1992, che respinse l'impostazione riduttiva dell'appello e consacrò definitivamente il teorema accusatorio, è l'atto giudiziario fondativo dell'intera conoscenza contemporanea sul Dominio 1, e per Calò, membro della Commissione, comportò la condanna definitiva quale capo-mandamento, con le responsabilità deliberative che a tale posizione la sentenza ricollega. Il registro assume la sentenza del 30 gennaio 1992 quale fonte di Livello A per eccellenza, e ne trae, per il nodo Calò, la certificazione della posizione apicale nel Dominio 1.</w:t>
      </w:r>
    </w:p>
    <w:p>
      <w:pPr>
        <w:spacing w:after="120" w:line="276"/>
        <w:jc w:val="both"/>
      </w:pPr>
      <w:r>
        <w:rPr>
          <w:rFonts w:ascii="Barlow Semi Condensed" w:cs="Barlow Semi Condensed" w:eastAsia="Barlow Semi Condensed" w:hAnsi="Barlow Semi Condensed"/>
          <w:sz w:val="24"/>
          <w:szCs w:val="24"/>
        </w:rPr>
        <w:t xml:space="preserve">Il secondo pilastro è la funzione finanziaria, che vale a Calò l'appellativo, riscontrato nelle fonti dichiarative convergenti di Tommaso Buscetta e di altri collaboratori, di cassiere di Cosa Nostra. Trasferitosi stabilmente a Roma sotto false identità sin dagli anni 70, Calò vi opera quale terminale di investimento dei capitali dell'organizzazione, in immobili, società ed operazioni finanziarie, avvalendosi di una rete di prestanome e faccendieri della quale fanno parte, per quanto qui rileva, Ernesto Diotallevi e Danilo Abbruciati, esponenti di vertice della Banda della Magliana, ed il costruttore e faccendiere Flavio Carboni. La convergenza tra le dichiarazioni riscontrate dei collaboratori, gli accertamenti patrimoniali dei processi romani e palermitani ed il sequestro di beni riconducibili al circuito certifica la funzione al Livello A, e disegna il primo dei 2 archi inter-dominio del nodo: l'arco di transito e collusione tra il Dominio 1 ed il Dominio 6 sul teatro romano, che fa di Calò il perno meridionale del sistema che il capitolo 8 osserverà dal versante della Magliana.</w:t>
      </w:r>
    </w:p>
    <w:p>
      <w:pPr>
        <w:spacing w:after="120" w:line="276"/>
        <w:jc w:val="both"/>
      </w:pPr>
      <w:r>
        <w:rPr>
          <w:rFonts w:ascii="Barlow Semi Condensed" w:cs="Barlow Semi Condensed" w:eastAsia="Barlow Semi Condensed" w:hAnsi="Barlow Semi Condensed"/>
          <w:sz w:val="24"/>
          <w:szCs w:val="24"/>
        </w:rPr>
        <w:t xml:space="preserve">Il terzo pilastro, quello che conferisce al nodo il suo valore unico nel registro, è la strage del rapido 904. La sera del 23 dicembre 1984, nella grande galleria dell'Appennino tra Firenze e Bologna, presso San Benedetto Val di Sambro, una carica di esplosivo collocata a bordo del treno rapido 904 Napoli-Milano ed innescata a distanza uccise 16 persone e ne ferì oltre 260: fu la strage detta di Natale, ultimo anello, per collocazione e modalità, della sequenza stragista inaugurata a Piazza Fontana, ma primo anello di una specie nuova, perché l'istruttoria e le sentenze ne attribuirono l'ideazione non ad ambienti neofascisti o ad apparati, bensì al vertice di Cosa Nostra, quale operazione di depistaggio strategico intesa a distogliere la pressione investigativa e normativa che, all'indomani delle rivelazioni di Buscetta e dell'istruttoria del maxiprocesso, si andava abbattendo sull'organizzazione. Per tale strage Giuseppe Calò è stato condannato all'ergastolo con sentenza divenuta irrevocabile, insieme al suo uomo Guido Cercola ed al tecnico tedesco Friedrich Schaudinn, fornitore dei congegni; nel medesimo contesto processuale emersero e furono giudicati i collegamenti con esponenti della camorra e con ambienti dell'estremismo romano. La condanna definitiva di un componente della Commissione di Cosa Nostra per una strage con finalità di terrorismo è, nel sistema del registro, l'arco Dominio 1-Dominio 7 a certificazione piena: non una convergenza indiziaria, non una dichiarazione da vagliare, ma un giudicato. Il registro vi aggiunge una notazione di metodo: la strage del 904 dimostra che la tecnologia stragista, in quanto tecnologia, è trasferibile tra domini, e che l'attribuzione di una strage ad un ambiente non può mai fondarsi sulla sola firma modale, giacché la modalità, qui, fu mutuata deliberatamente da un repertorio altrui proprio per depistare; è la conferma sperimentale del principio, sancito dalla tipologia quadripartita dell'ostruzione che il registro ha documentato, secondo cui il depistaggio è parte integrante dell'evento e non suo accidente.</w:t>
      </w:r>
    </w:p>
    <w:p>
      <w:pPr>
        <w:spacing w:after="120" w:line="276"/>
        <w:jc w:val="both"/>
      </w:pPr>
      <w:r>
        <w:rPr>
          <w:rFonts w:ascii="Barlow Semi Condensed" w:cs="Barlow Semi Condensed" w:eastAsia="Barlow Semi Condensed" w:hAnsi="Barlow Semi Condensed"/>
          <w:sz w:val="24"/>
          <w:szCs w:val="24"/>
        </w:rPr>
        <w:t xml:space="preserve">Il quarto pilastro è negativo, e va esposto con il medesimo rilievo dei positivi: nel processo romano per l'omicidio di Roberto Calvi, Calò, imputato quale mandante, è stato assolto per insufficienza di prove con pronuncia divenuta definitiva nel 2011, come già esposto nel capitolo 5. Il registro certifica dunque al Livello A l'esistenza dei rapporti tra il circuito di Calò e l'entourage dell'ultimo Calvi, attraverso Diotallevi e Carboni, e mantiene al Livello C, quale ipotesi non provata e giudizialmente respinta, la responsabilità nella morte del banchiere. La distinzione, ancora una volta, non è una cautela di stile ma la sostanza stessa del metodo.</w:t>
      </w:r>
    </w:p>
    <w:p>
      <w:pPr>
        <w:spacing w:after="120" w:line="276"/>
        <w:jc w:val="both"/>
      </w:pPr>
      <w:r>
        <w:rPr>
          <w:rFonts w:ascii="Barlow Semi Condensed" w:cs="Barlow Semi Condensed" w:eastAsia="Barlow Semi Condensed" w:hAnsi="Barlow Semi Condensed"/>
          <w:sz w:val="24"/>
          <w:szCs w:val="24"/>
        </w:rPr>
        <w:t xml:space="preserve">Le triangolazioni del nodo sono 3. La prima, Calò-Diotallevi-Abbruciati, salda la famiglia di Porta Nuova al vertice della Magliana e costituisce il segmento romano dell'arco 1-6, certificato al Livello A dagli accertamenti convergenti dei processi romani e palermitani. La seconda, Calò-Carboni-Calvi, è il triangolo dell'ultima stagione del banchiere, certificato al Livello A quanto ai rapporti ed al Livello C quanto alla morte. La terza, Calò-camorra-estremismo romano, emersa nel processo per il 904, documenta la disponibilità di canali inter-organizzativi per l'approvvigionamento e l'esecuzione, certificata al Livello A nei limiti del giudicato. Sul piano dei pattern, il nodo Calò è il caso di scuola del Pattern 7, l'analisi delle migrazioni: un capo militare palermitano che migra funzionalmente nel dominio finanziario romano senza dismettere la posizione d'origine, e che da tale doppia posizione attinge la capacità, unica, di deliberare una strage come atto di politica criminale.</w:t>
      </w:r>
    </w:p>
    <w:p>
      <w:pPr>
        <w:spacing w:after="120" w:line="276"/>
        <w:jc w:val="both"/>
      </w:pPr>
      <w:r>
        <w:rPr>
          <w:rFonts w:ascii="Barlow Semi Condensed" w:cs="Barlow Semi Condensed" w:eastAsia="Barlow Semi Condensed" w:hAnsi="Barlow Semi Condensed"/>
          <w:sz w:val="24"/>
          <w:szCs w:val="24"/>
        </w:rPr>
        <w:t xml:space="preserve">Alla certificazione dei pilastri il capitolo aggiunge la scansione biografico-processuale che li salda. Il trasferimento romano di Calò, databile alla metà degli anni 70, si svolse sotto l'identità di copertura di Mario Aglialoro, sedicente commerciante, nella quale veste il capo di Porta Nuova visse per un decennio nella capitale intrecciando affari immobiliari e relazioni con il ceto dei faccendieri e con la manovalanza della Magliana, secondo la ricostruzione consegnata alle sentenze romane e palermitane, Livello A. L'arresto giunse il 30 marzo 1985 nella villa di Poggio San Lorenzo, nel Reatino: la perquisizione restituì armi, valori ed esplosivo, e le indagini tecniche stabilirono la compatibilità di quell'esplosivo con la miscela impiegata nell'attentato al rapido 904, saldando il reperto materiale alla strage che il capitolo ha già esposto, Livello A quanto al rinvenimento, Livello B quanto al giudizio di compatibilità nelle sue articolazioni peritali. Il percorso processuale della strage merita a sua volta la sua cronologia: condanna all'ergastolo in primo grado dalla Corte d'Assise di Firenze nel febbraio 1989, giudizio d'appello nel 1990, annullamento parziale con rinvio della Cassazione nel marzo 1991 e, all'esito del giudizio di rinvio, irrevocabilità dell'ergastolo di Calò nel novembre 1992, Livello A; accanto a lui, la condanna definitiva del sodale Guido Cercola, morto poi in carcere, e del tecnico tedesco reclutato per i congegni, Friedrich Schaudinn, Livello A quanto alle condanne. La qualificazione giuridica consegnata dalle motivazioni, strage aggravata dalla finalità di terrorismo commessa da un vertice mafioso in concorso con manovalanza camorristica ed apporti esterni, resta l'unico giudicato della storia repubblicana che saldi formalmente il Dominio 1 al Dominio 7, ed è la ragione per cui questo nodo, e non altri di maggior fama, custodisce l'arco più prezioso dell'intera fase.</w:t>
      </w:r>
    </w:p>
    <w:p>
      <w:pPr>
        <w:spacing w:after="120" w:line="276"/>
        <w:jc w:val="both"/>
      </w:pPr>
      <w:r>
        <w:rPr>
          <w:rFonts w:ascii="Barlow Semi Condensed" w:cs="Barlow Semi Condensed" w:eastAsia="Barlow Semi Condensed" w:hAnsi="Barlow Semi Condensed"/>
          <w:sz w:val="24"/>
          <w:szCs w:val="24"/>
        </w:rPr>
        <w:t xml:space="preserve">Un supplemento è dovuto sul versante romano dei patrimoni, perché il cassiere si certifica dai flussi. Le indagini patrimoniali degli anni 80 ricostruirono un portafoglio immobiliare e societario nella capitale gestito attraverso prestanome e faccendieri, nel quale compaiono figure che il registro ha già incontrato o incontrerà: l'imprenditore sardo Flavio Carboni, il finanziere di borgata Domenico Balducci, ucciso a Roma il 16 ottobre 1981 in un delitto che le sentenze sulla Magliana ricondussero al medesimo circuito d'affari, ed i vertici della banda romana quali soci di servizio, Livello A quanto agli accertamenti patrimoniali e all'omicidio Balducci, nei limiti dei rispettivi giudicati. In questa contabilità sta la funzione semiotica del cassiere, che una digressione può finalmente nominare: nel lessico di Cosa Nostra il cassiere non è un ragioniere, è un convertitore, l'operatore che trasforma la violenza accumulata in capitale relazionale e il capitale in protezione, e la traiettoria romana di Calò, dall'identità fittizia di commerciante all'esplosivo di Poggio San Lorenzo, descrive per intero il ciclo di quella conversione, fino al punto in cui la moneta della violenza tornò ad essere spesa nella sua forma primaria, dentro una galleria ferroviaria, la notte del 23 dicembre 1984.</w:t>
      </w:r>
    </w:p>
    <w:p>
      <w:pPr>
        <w:spacing w:after="120" w:line="276"/>
        <w:jc w:val="both"/>
      </w:pPr>
      <w:r>
        <w:rPr>
          <w:rFonts w:ascii="Barlow Semi Condensed" w:cs="Barlow Semi Condensed" w:eastAsia="Barlow Semi Condensed" w:hAnsi="Barlow Semi Condensed"/>
          <w:sz w:val="24"/>
          <w:szCs w:val="24"/>
        </w:rPr>
        <w:t xml:space="preserve">La disciplina delle assoluzioni impone di completare il quadro giudiziario del nodo con l'esito del processo per l'omicidio di Carmine Pecorelli, nel quale Calò figurò tra gli imputati quali presunti concorrenti nel delitto: la Corte d'Assise d'appello di Perugia, il 17 novembre 2002, lo assolse insieme agli altri imputati, e la Corte di cassazione, il 30 ottobre 2003, rese irrevocabile l'assoluzione, Livello A, che il registro riporta per esteso rinviando alla Fase 4 la trattazione del contesto. Il fascicolo personale del nodo si chiude così su una simmetria che merita d'essere nominata: 2 ergastoli irrevocabili, per il maxiprocesso e per la strage del rapido 904, e 2 assoluzioni irrevocabili, per l'omicidio Calvi e per l'omicidio Pecorelli; la giustizia repubblicana, interrogata 4 volte sul medesimo uomo, rispose 2 volte sì e 2 volte no, e la nettezza divaricata delle risposte è la miglior confutazione empirica di chi descrive i giudicati italiani come un continuum indistinto di impunità. Il registro consegna la simmetria al lettore senza commento ulteriore, se non questo: essa dimostra che il metodo qui praticato, riportare tutto, condanne ed assoluzioni, con eguale rilievo, non è un vezzo garantista ma l'unica contabilità capace di restituire la figura reale di un nodo, che è sempre, nella rete come nel diritto, la somma algebrica dei suoi archi provati e dei suoi archi esclusi.</w:t>
      </w:r>
    </w:p>
    <w:p>
      <w:pPr>
        <w:spacing w:after="120" w:line="276"/>
        <w:jc w:val="both"/>
      </w:pPr>
      <w:r>
        <w:rPr>
          <w:rFonts w:ascii="Barlow Semi Condensed" w:cs="Barlow Semi Condensed" w:eastAsia="Barlow Semi Condensed" w:hAnsi="Barlow Semi Condensed"/>
          <w:sz w:val="24"/>
          <w:szCs w:val="24"/>
        </w:rPr>
        <w:t xml:space="preserve">Alle motivazioni della strage il registro deve un'ultima annotazione, perché esse consegnano il movente accertato e la sua geometria. I giudici collocarono l'attentato del 23 dicembre 1984 nella stagione immediatamente successiva alle rivelazioni di Tommaso Buscetta ed all'ondata di mandati di cattura che ne era seguita, leggendovi una manovra di diversione strategica: colpire nel mucchio per costringere lo Stato a distogliere uomini e risorse dal fronte palermitano, secondo una logica di risposta terroristica alla pressione giudiziaria, Livello A nei limiti delle motivazioni definitive. La geografia rafforza la lettura: l'ordigno esplose nella medesima grande galleria appenninica presso San Benedetto Val di Sambro dove 10 anni prima, il 4 agosto 1974, era stato colpito il treno Italicus, sicché il luogo stesso funzionò da citazione, un richiamo topografico alla stagione stragista che il mittente, quale che ne fosse il calcolo, non poteva ignorare, Livello A quanto alla coincidenza dei luoghi, Livello C quanto ad ogni inferenza sulla intenzionalità della citazione. Il Pattern 10 registra la sovrapposizione spaziale; la Regola Ferrea impedisce di trasformarla in messaggio: ed il registro consegna al lettore entrambe le discipline, l'una accanto all'altra, come il metodo esige.</w:t>
      </w:r>
    </w:p>
    <w:p>
      <w:pPr>
        <w:spacing w:after="120" w:line="276"/>
        <w:jc w:val="both"/>
      </w:pPr>
      <w:r>
        <w:rPr>
          <w:rFonts w:ascii="Barlow Semi Condensed" w:cs="Barlow Semi Condensed" w:eastAsia="Barlow Semi Condensed" w:hAnsi="Barlow Semi Condensed"/>
          <w:sz w:val="24"/>
          <w:szCs w:val="24"/>
        </w:rPr>
        <w:t xml:space="preserve">La disciplina delle assoluzioni impone di completare il quadro giudiziario del nodo con l'esito del processo per l'omicidio di Carmine Pecorelli, nel quale Calò figurò tra gli imputati quali presunti concorrenti nel delitto: la Corte d'Assise d'appello di Perugia, il 17 novembre 2002, lo assolse insieme agli altri imputati, e la Corte di cassazione, il 30 ottobre 2003, rese irrevocabile l'assoluzione, Livello A, che il registro riporta per esteso rinviando alla Fase 4 la trattazione del contesto. Il fascicolo personale del nodo si chiude così su una simmetria che merita d'essere nominata: 2 ergastoli irrevocabili, per il maxiprocesso e per la strage del rapido 904, e 2 assoluzioni irrevocabili, per l'omicidio Calvi e per l'omicidio Pecorelli; la giustizia repubblicana, interrogata 4 volte sul medesimo uomo, rispose 2 volte sì e 2 volte no, e la nettezza divaricata delle risposte è la miglior confutazione empirica di chi descrive i giudicati italiani come un continuum indistinto di impunità. Il registro consegna la simmetria al lettore senza commento ulteriore, se non questo: essa dimostra che il metodo qui praticato, riportare tutto, condanne ed assoluzioni, con eguale rilievo, non è un vezzo garantista ma l'unica contabilità capace di restituire la figura reale di un nodo, che è sempre, nella rete come nel diritto, la somma algebrica dei suoi archi provati e dei suoi archi esclusi.</w:t>
      </w:r>
    </w:p>
    <w:p>
      <w:pPr>
        <w:spacing w:after="120" w:line="276"/>
        <w:jc w:val="both"/>
      </w:pPr>
      <w:r>
        <w:rPr>
          <w:rFonts w:ascii="Barlow Semi Condensed" w:cs="Barlow Semi Condensed" w:eastAsia="Barlow Semi Condensed" w:hAnsi="Barlow Semi Condensed"/>
          <w:b/>
          <w:bCs/>
          <w:sz w:val="24"/>
          <w:szCs w:val="24"/>
        </w:rPr>
        <w:t xml:space="preserve">Sintesi del dato nuovo acquisito:</w:t>
      </w:r>
      <w:r>
        <w:rPr>
          <w:rFonts w:ascii="Barlow Semi Condensed" w:cs="Barlow Semi Condensed" w:eastAsia="Barlow Semi Condensed" w:hAnsi="Barlow Semi Condensed"/>
          <w:sz w:val="24"/>
          <w:szCs w:val="24"/>
        </w:rPr>
        <w:t xml:space="preserve"> il nodo Calò è certificato al Livello A quale cerniera tra i Domini 1, 6 e 7, sul fondamento congiunto della sentenza definitiva del maxiprocesso, degli accertamenti patrimoniali romani e dell'ergastolo irrevocabile per la strage del rapido 904, che costituisce l'arco mafia-strage a più alta certificazione dell'intero registro; la responsabilità nella morte di Calvi resta al Livello C in forza dell'assoluzione definitiva, ferma al Livello A l'esistenza dei rapporti con l'entourage del banchiere.</w:t>
      </w:r>
    </w:p>
    <w:p>
      <w:pPr>
        <w:pStyle w:val="Heading3"/>
        <w:spacing w:after="80" w:before="160"/>
      </w:pPr>
      <w:r>
        <w:rPr>
          <w:rFonts w:ascii="Barlow Semi Condensed" w:cs="Barlow Semi Condensed" w:eastAsia="Barlow Semi Condensed" w:hAnsi="Barlow Semi Condensed"/>
          <w:sz w:val="24"/>
          <w:szCs w:val="24"/>
        </w:rPr>
        <w:t xml:space="preserve">Capitolo 8 — ◆ La Banda della Magliana. La piattaforma di servizio inter-dominio della capitale</w:t>
      </w:r>
    </w:p>
    <w:p>
      <w:pPr>
        <w:spacing w:after="120" w:line="276"/>
        <w:jc w:val="both"/>
      </w:pPr>
      <w:r>
        <w:rPr>
          <w:rFonts w:ascii="Barlow Semi Condensed" w:cs="Barlow Semi Condensed" w:eastAsia="Barlow Semi Condensed" w:hAnsi="Barlow Semi Condensed"/>
          <w:sz w:val="24"/>
          <w:szCs w:val="24"/>
        </w:rPr>
        <w:t xml:space="preserve">La Banda della Magliana, denominazione giudiziaria e giornalistica dell'organizzazione criminale romana attiva dalla seconda metà degli anni 70 alla fine degli anni 80, occupa nel registro una posizione che nessuna organizzazione meridionale può occupare: non un'organizzazione territoriale a fini propri, ma una piattaforma di servizio, un fornitore trasversale di prestazioni criminali, armi, denaro, custodia, esecuzioni, disponibile a committenti appartenenti a domini diversi. La scansione del corpus la registra 561 volte in 28 documenti, ed il suo interesse per l'opera risiede meno nella sua storia interna, pur documentata da un ciclo processuale ventennale, che nella mappa dei suoi archi esterni, i quali toccano, con gradi diversi di certificazione, i Domini 1, 3, 4, 5, 6 e 7: nessun altro nodo criminale italiano presenta un ventaglio comparabile.</w:t>
      </w:r>
    </w:p>
    <w:p>
      <w:pPr>
        <w:spacing w:after="120" w:line="276"/>
        <w:jc w:val="both"/>
      </w:pPr>
      <w:r>
        <w:rPr>
          <w:rFonts w:ascii="Barlow Semi Condensed" w:cs="Barlow Semi Condensed" w:eastAsia="Barlow Semi Condensed" w:hAnsi="Barlow Semi Condensed"/>
          <w:sz w:val="24"/>
          <w:szCs w:val="24"/>
        </w:rPr>
        <w:t xml:space="preserve">La struttura interna, quale risulta dal processo principale celebrato a Roma negli anni 90 sulla base delle dichiarazioni riscontrate dei collaboratori interni, primo fra tutti Maurizio Abbatino, e chiusosi con condanne definitive per associazione ed una lunga serie di fatti di sangue, era orizzontale e batteriale: batterie territoriali, quella della Magliana propriamente detta, quella di Testaccio ed Ostiense facente capo a Danilo Abbruciati ed Enrico De Pedis, quella dell'Acilia, federate attorno alla cassa comune, alla stanza di compensazione delle armi ed alla regola della spartizione. Il registro certifica al Livello A l'esistenza, la struttura e l'operatività dell'organizzazione, sul fondamento della convergenza tra giudicati, dichiarazioni riscontrate e riscontri materiali, tra i quali spicca, per il suo valore di ponte, il rinvenimento, nel 1981, dell'arsenale della banda occultato nei sotterranei del Ministero della Sanità: un deposito di armi comuni e da guerra custodito, per il tramite di un dipendente compiacente, entro un edificio dello Stato, circostanza che il registro classifica quale arco di infiltrazione logistica di Livello A e quale emblema materiale della porosità tra il dominio criminale e l'apparato pubblico capitolino. Dal medesimo arsenale, secondo gli accertamenti balistici e processuali del ciclo romano, provennero armi utilizzate in delitti eccellenti, e su 1 di tali tracciati balistici, quello relativo all'arma riferibile all'omicidio di Carmine Pecorelli, si tornerà tra breve con la cautela dovuta.</w:t>
      </w:r>
    </w:p>
    <w:p>
      <w:pPr>
        <w:spacing w:after="120" w:line="276"/>
        <w:jc w:val="both"/>
      </w:pPr>
      <w:r>
        <w:rPr>
          <w:rFonts w:ascii="Barlow Semi Condensed" w:cs="Barlow Semi Condensed" w:eastAsia="Barlow Semi Condensed" w:hAnsi="Barlow Semi Condensed"/>
          <w:sz w:val="24"/>
          <w:szCs w:val="24"/>
        </w:rPr>
        <w:t xml:space="preserve">Gli archi esterni vanno esposti dominio per dominio, ciascuno con il proprio livello. Verso il Dominio 1, l'arco è la giuntura con Cosa Nostra attraverso Giuseppe Calò, già certificata al Livello A nel capitolo 7: la Magliana offre al cassiere palermitano custodia di latitanti, disponibilità immobiliari, canali di investimento; riceve credito, droga, peso criminale. Verso il Dominio 7, gli archi sono 2 e di segno diverso. Il primo è il rapporto organico con l'estremismo nero romano dei Nuclei Armati Rivoluzionari: la contiguità tra la batteria di Testaccio ed esponenti dei NAR, primo fra tutti Massimo Carminati, è certificata al Livello A da giudicati che hanno accertato lo scambio di armi, la comune frequentazione dell'arsenale ministeriale e singoli fatti esecutivi in concorso; è questo l'arco che rese materialmente comunicanti, nella Roma a cavallo del 1980, la criminalità comune organizzata e l'eversione armata, e che costituisce uno dei reperti strutturali maggiori dell'intera rete. Il secondo arco verso il Dominio 7 è quello, già menzionato nel capitolo 1, che passa per il depistaggio della strage di Bologna: la vicenda della valigetta collocata sul treno Taranto-Milano nel gennaio 1981, per la quale sono intervenute le condanne definitive di Musumeci, Belmonte, Pazienza e Gelli, vide accertato l'apporto di manovalanza dell'area Magliana-estremismo romano nella fase materiale, e salda dunque, al Livello A nei limiti dei giudicati, la piattaforma criminale romana all'operazione di inquinamento condotta da uomini del servizio militare e dal vertice della loggia: è il quadrilatero Dominio 1-Dominio 3-Dominio 4-Dominio 7 condensato in 1 solo fatto storico.</w:t>
      </w:r>
    </w:p>
    <w:p>
      <w:pPr>
        <w:spacing w:after="120" w:line="276"/>
        <w:jc w:val="both"/>
      </w:pPr>
      <w:r>
        <w:rPr>
          <w:rFonts w:ascii="Barlow Semi Condensed" w:cs="Barlow Semi Condensed" w:eastAsia="Barlow Semi Condensed" w:hAnsi="Barlow Semi Condensed"/>
          <w:sz w:val="24"/>
          <w:szCs w:val="24"/>
        </w:rPr>
        <w:t xml:space="preserve">Verso il Dominio 3, oltre al segmento bolognese appena detto, il registro annota i rapporti tra singoli esponenti della banda ed uomini o collaboratori dei servizi, emersi in plurimi procedimenti: per la parte coperta da giudicato o da convergenza documentale piena vale il Livello A dei singoli episodi; per la parte affidata a dichiarazioni non riscontrate di collaboratori tardivi, il registro applica l'Indice di Contaminazione della Fonte e mantiene il Livello C, rifiutando la scorciatoia, frequentissima nella pubblicistica, che dalla contiguità episodica inferisce l'organicità. Verso il Dominio 6, l'arco è il riciclaggio e l'usura di alto livello sul mercato romano, con la penetrazione in società, esercizi e circuiti finanziari capitolini, certificata al Livello A dal ciclo processuale patrimoniale. Verso il Dominio 2, gli atti registrano contiguità ambientali e protezioni episodiche emerse nei processi, che il registro mantiene al Livello B, non essendo intervenuto alcun giudicato su rapporti organici tra la banda e personale politico.</w:t>
      </w:r>
    </w:p>
    <w:p>
      <w:pPr>
        <w:spacing w:after="120" w:line="276"/>
        <w:jc w:val="both"/>
      </w:pPr>
      <w:r>
        <w:rPr>
          <w:rFonts w:ascii="Barlow Semi Condensed" w:cs="Barlow Semi Condensed" w:eastAsia="Barlow Semi Condensed" w:hAnsi="Barlow Semi Condensed"/>
          <w:sz w:val="24"/>
          <w:szCs w:val="24"/>
        </w:rPr>
        <w:t xml:space="preserve">Il ponte verso il Dominio 5 esige il massimo della disciplina, perché è il più esposto alla suggestione. Il fatto certo è il seguente: Enrico De Pedis, detto Renatino, capo della batteria di Testaccio, ucciso a Roma il 2 febbraio 1990, fu sepolto nella basilica di Sant'Apollinare, adiacente alla scuola frequentata da Emanuela Orlandi, la cittadina vaticana quindicenne scomparsa il 22 giugno 1983, e vi rimase fino alla riesumazione del 2012, in forza di autorizzazioni ecclesiastiche la cui concessione ad un capo criminale è essa stessa il reperto. Il registro certifica al Livello A la sepoltura, la sua anomalia e la sua durata; certifica al Livello B, quale risultanza di atti d'indagine e di dichiarazioni parzialmente riscontrate, l'esistenza di cointeressenze finanziarie tra ambienti della banda ed ambienti romani prossimi ad istituzioni ecclesiastiche; e mantiene rigorosamente al Livello C ogni ipotesi sul nesso tra la banda e la scomparsa della Orlandi, ipotesi alimentata da fonti ad altissimo Indice di Contaminazione, la cui inammissibilità fondativa il registro ha già sancito. Qui più che altrove la Regola Ferrea mostra la sua funzione: tra una sepoltura anomala certificata ed un sequestro di persona attribuito corre un abisso probatorio che nessuna verosimiglianza narrativa autorizza a colmare.</w:t>
      </w:r>
    </w:p>
    <w:p>
      <w:pPr>
        <w:spacing w:after="120" w:line="276"/>
        <w:jc w:val="both"/>
      </w:pPr>
      <w:r>
        <w:rPr>
          <w:rFonts w:ascii="Barlow Semi Condensed" w:cs="Barlow Semi Condensed" w:eastAsia="Barlow Semi Condensed" w:hAnsi="Barlow Semi Condensed"/>
          <w:sz w:val="24"/>
          <w:szCs w:val="24"/>
        </w:rPr>
        <w:t xml:space="preserve">Un cenno, infine, all'omicidio di Carmine Pecorelli, il giornalista direttore dell'agenzia OP assassinato a Roma il 20 marzo 1979, che la Fase 4 tratterà nel suo contesto: per quel delitto furono processati, tra gli altri, Massimo Carminati quale esecutore e Giuseppe Calò quale anello mafioso, entro un'imputazione che saliva fino a Giulio Andreotti quale mandante; tutti gli imputati sono stati assolti in via definitiva, con l'annullamento senza rinvio, pronunciato dalla cassazione nel 2003, della condanna che la corte d'appello di Perugia aveva inflitto nel 2002 ad Andreotti e Gaetano Badalamenti. Il registro ne trae, per il presente capitolo, 2 dati: la certificazione al Livello A dell'esito assolutorio, che chiude giudizialmente l'ipotesi dell'esecuzione maglianese; e la permanenza dell'omicidio Pecorelli, tuttora privo di colpevoli accertati, nell'elenco dei delitti eccellenti insoluti, con le convergenze indiziarie di contesto, l'arma di provenienza compatibile con il circuito dell'arsenale, la materia dei ricatti pecorelliani, degradate per legge di metodo al Livello C.</w:t>
      </w:r>
    </w:p>
    <w:p>
      <w:pPr>
        <w:spacing w:after="120" w:line="276"/>
        <w:jc w:val="both"/>
      </w:pPr>
      <w:r>
        <w:rPr>
          <w:rFonts w:ascii="Barlow Semi Condensed" w:cs="Barlow Semi Condensed" w:eastAsia="Barlow Semi Condensed" w:hAnsi="Barlow Semi Condensed"/>
          <w:sz w:val="24"/>
          <w:szCs w:val="24"/>
        </w:rPr>
        <w:t xml:space="preserve">La lettura strutturale conclusiva è la seguente. La Magliana realizza, sul teatro romano, la funzione che la teoria delle reti denomina hub di servizio: un nodo la cui centralità non deriva dal comando su un territorio o su un dominio, ma dall'offerta di prestazioni interoperabili tra domini; ed è precisamente questa natura di piattaforma, e non una presunta regia superiore, che spiega, senza ipotesi aggiuntive, la sua ricorrenza in tanti fascicoli eterogenei. Il registro assume questa spiegazione minimale quale ipotesi prevalente ai sensi della procedura di Heuer, perché è quella meno contraddetta dalle evidenze, e relega al Livello C la spiegazione concorrente della banda quale braccio stabile di un'unica centrale, indicandone la condizione di promozione: la prova documentale di una direzione esterna unitaria e continuativa, che 30 anni di processi non hanno prodotto.</w:t>
      </w:r>
    </w:p>
    <w:p>
      <w:pPr>
        <w:spacing w:after="120" w:line="276"/>
        <w:jc w:val="both"/>
      </w:pPr>
      <w:r>
        <w:rPr>
          <w:rFonts w:ascii="Barlow Semi Condensed" w:cs="Barlow Semi Condensed" w:eastAsia="Barlow Semi Condensed" w:hAnsi="Barlow Semi Condensed"/>
          <w:sz w:val="24"/>
          <w:szCs w:val="24"/>
        </w:rPr>
        <w:t xml:space="preserve">La piattaforma va ora datata nei suoi atti costitutivi, perché anche le reti orizzontali hanno un certificato di nascita. Le sentenze collocano il salto di qualità nell'autunno del 1977, con il sequestro del duca Massimiliano Grazioli Lante della Rovere, prelevato il 7 novembre: il riscatto incassato e l'ostaggio ucciso, in spregio alla parola data, fornirono alle batterie nascenti il capitale iniziale e, insieme, la reputazione di spietatezza che è, nei mercati illegali, la forma prima del credito, Livello A quanto al fatto ed alla sua funzione genetica nelle ricostruzioni giudiziarie. La cronologia interna del comando è scandita da 2 morti: Franco Giuseppucci, detto il Negro, fondatore e baricentro carismatico, ucciso il 13 settembre 1980 nella faida con il clan dei Proietti, evento che innescò la stagione delle vendette incrociate e ridistribuì i pesi tra le batterie; ed Enrico De Pedis, detto Renatino, capo della componente testaccina ed uomo della proiezione finanziaria, ucciso in via del Pellegrino il 2 febbraio 1990, quando la parabola militare dell'organizzazione era già declinante e quella patrimoniale no, Livello A su entrambi. Alla vicenda della sepoltura di De Pedis nella basilica di Sant'Apollinare, che il capitolo ha già trattato con la disciplina dovuta, va aggiunto il solo epilogo documentale: il nulla osta e l'esumazione del giugno 2012, che chiusero materialmente l'anomalia senza scioglierne il significato, Livello A quanto ai provvedimenti.</w:t>
      </w:r>
    </w:p>
    <w:p>
      <w:pPr>
        <w:spacing w:after="120" w:line="276"/>
        <w:jc w:val="both"/>
      </w:pPr>
      <w:r>
        <w:rPr>
          <w:rFonts w:ascii="Barlow Semi Condensed" w:cs="Barlow Semi Condensed" w:eastAsia="Barlow Semi Condensed" w:hAnsi="Barlow Semi Condensed"/>
          <w:sz w:val="24"/>
          <w:szCs w:val="24"/>
        </w:rPr>
        <w:t xml:space="preserve">Il consolidamento giudiziario della piattaforma ha una data ed un perno. La data è il 23 luglio 1996, allorché la Corte d'Assise di Roma, a conclusione del processo principale, riconobbe l'esistenza dell'organizzazione e ne condannò i quadri superstiti, con esiti poi consolidati nei gradi successivi, Livello A. Il perno è il sistema dei collaboratori interni: Maurizio Abbatino, catturato in Venezuela nel 1992 dopo la latitanza, ed accanto a lui Antonio Mancini e Vittorio Carnovale, le cui dichiarazioni incrociate, riscontrate documentalmente, fornirono al processo la mappa delle batterie, dei caveau e degli omicidi, secondo il modello dichiarativo-riscontrale che il maxiprocesso palermitano aveva collaudato, Livello A quanto al ruolo processuale delle fonti. Su questo telaio il registro fissa 2 archi ulteriori, entrambi certificati. Il primo corre verso il Dominio 7 nella sua declinazione nera: le sentenze sui Nuclei Armati Rivoluzionari accertarono la circolazione di armi tra l'arsenale comune della banda e la manovalanza neofascista romana, con reperti balistici che ricorrono in delitti dell'una e dell'altra matrice, sicché il deposito custodito nei sotterranei del Ministero della Sanità funzionò, alla lettera, da armeria interdominio, Livello A nei limiti dei giudicati sui singoli reperti. Il secondo è un omicidio che condensa l'intera ambiguità del teatro romano: Aldo Semerari, cattedratico di psichiatria forense, perito di tribunali e insieme frequentatore documentato dell'eversione nera, dei clan campani e del sottobosco dei servizi, trovato decapitato ad Ottaviano il 1° aprile 1982; il fatto è certo, le attribuzioni processuali non approdarono a condanne, e le molte letture del movente restano consegnate al Livello C, ma la sola biografia relazionale della vittima, un uomo che attraversava in vita 4 domini, vale al registro quale reperto morfologico di prima grandezza sulla porosità della capitale in quegli anni.</w:t>
      </w:r>
    </w:p>
    <w:p>
      <w:pPr>
        <w:spacing w:after="120" w:line="276"/>
        <w:jc w:val="both"/>
      </w:pPr>
      <w:r>
        <w:rPr>
          <w:rFonts w:ascii="Barlow Semi Condensed" w:cs="Barlow Semi Condensed" w:eastAsia="Barlow Semi Condensed" w:hAnsi="Barlow Semi Condensed"/>
          <w:sz w:val="24"/>
          <w:szCs w:val="24"/>
        </w:rPr>
        <w:t xml:space="preserve">Chiude il capitolo la digressione che il teatro esige. Roma, negli anni della Magliana, funziona come ciò che la semiotica urbana chiamerebbe un porto franco dei codici: la città in cui il codice mafioso, il codice eversivo, il codice affaristico ed il codice degli apparati non si fondono, si scambiano, ciascuno pagando nella propria moneta. La banda ne fu il banco di cambio, non il sovrano; ed è per questo che la sua eredità processuale, diversamente da quella delle mafie territoriali, non è una geografia di mandamenti ma un registro di servizi resi. Chi cerchi il potere della Magliana non deve chiedersi che cosa comandava, ma che cosa faceva funzionare: domanda che, trasferita dal registro criminale a quello analitico, è esattamente la definizione di hub di servizio con cui questo capitolo l'ha consegnata alla rete.</w:t>
      </w:r>
    </w:p>
    <w:p>
      <w:pPr>
        <w:spacing w:after="120" w:line="276"/>
        <w:jc w:val="both"/>
      </w:pPr>
      <w:r>
        <w:rPr>
          <w:rFonts w:ascii="Barlow Semi Condensed" w:cs="Barlow Semi Condensed" w:eastAsia="Barlow Semi Condensed" w:hAnsi="Barlow Semi Condensed"/>
          <w:sz w:val="24"/>
          <w:szCs w:val="24"/>
        </w:rPr>
        <w:t xml:space="preserve">All'inventario degli archi finanziari appartiene infine l'operazione che saldò materialmente la piattaforma romana al crack bancario del capitolo 5: l'attentato a Roberto Rosone, vicepresidente e direttore generale del Banco Ambrosiano, ferito a Milano la mattina del 27 aprile 1982 da un sicario che la guardia giurata dell'istituto uccise sul posto, e che risultò essere Danilo Abbruciati, dirigente di vertice della batteria testaccina, Livello A quanto al fatto ed all'identificazione. Che il numero 2 di una banda di borgata romana morisse a Milano sparando al numero 2 della più compromessa banca del Paese, 7 settimane prima che il presidente di quella banca pendesse da un ponte di Londra, è una di quelle congiunzioni che il Pattern 3 registra alla massima densità; le ricostruzioni processuali consegnarono l'operazione al circuito degli interessi e dei crediti che legavano ambienti della banda al gruppo in disfacimento, nei limiti dei giudicati formatisi sui diversi filoni, Livello A quanto alla riconduzione al circuito, ferma la Regola Ferrea sulle attribuzioni ulteriori. Per la morfologia della rete il reperto è decisivo: esso certifica che la piattaforma di servizio non operava soltanto nel mercato romano della droga e dell'usura, ma era ingaggiabile sul teatro finanziario nazionale al livello più alto, ed è questo salto di scala, non la contabilità delle batterie, a giustificare la collocazione della Magliana entro il quadrilatero della Fase 1.</w:t>
      </w:r>
    </w:p>
    <w:p>
      <w:pPr>
        <w:spacing w:after="120" w:line="276"/>
        <w:jc w:val="both"/>
      </w:pPr>
      <w:r>
        <w:rPr>
          <w:rFonts w:ascii="Barlow Semi Condensed" w:cs="Barlow Semi Condensed" w:eastAsia="Barlow Semi Condensed" w:hAnsi="Barlow Semi Condensed"/>
          <w:sz w:val="24"/>
          <w:szCs w:val="24"/>
        </w:rPr>
        <w:t xml:space="preserve">Sul piano organizzativo interno, un tratto distintivo certificato dai collaboratori merita menzione autonoma, perché distingue la piattaforma romana da ogni consorteria tradizionale: la cassa comune. Le dichiarazioni convergenti dei collaboratori, riscontrate nel processo principale, descrivono un sistema di contabilità unitaria dei proventi, la stecca paro, con ripartizione tendenzialmente egualitaria tra gli associati e mantenimento garantito ai detenuti ed alle loro famiglie, Livello A quanto agli accertamenti processuali sul modello. La regola, che parrebbe dettaglio di costume, è in realtà la chiave della morfologia: dove le mafie storiche distribuiscono secondo gerarchia, la banda distribuiva secondo appartenenza, e questa mutualità orizzontale spiega tanto la coesione della fase ascendente quanto la ferocia delle faide quando la cassa divenne oggetto di appropriazioni individuali. La sociologia organizzativa di Catino vi leggerebbe la conferma che le reti criminali oscillano tra il modello federale e quello consortile secondo la struttura degli incentivi: la Magliana nacque consorzio e morì per fallimento del proprio patto mutualistico, prima ancora che per l'azione repressiva, ed i collaboratori che ne smontarono l'edificio furono, non a caso, i creditori delusi di quel patto.</w:t>
      </w:r>
    </w:p>
    <w:p>
      <w:pPr>
        <w:spacing w:after="120" w:line="276"/>
        <w:jc w:val="both"/>
      </w:pPr>
      <w:r>
        <w:rPr>
          <w:rFonts w:ascii="Barlow Semi Condensed" w:cs="Barlow Semi Condensed" w:eastAsia="Barlow Semi Condensed" w:hAnsi="Barlow Semi Condensed"/>
          <w:sz w:val="24"/>
          <w:szCs w:val="24"/>
        </w:rPr>
        <w:t xml:space="preserve">All'inventario degli archi finanziari appartiene infine l'operazione che saldò materialmente la piattaforma romana al crack bancario del capitolo 5: l'attentato a Roberto Rosone, vicepresidente e direttore generale del Banco Ambrosiano, ferito a Milano la mattina del 27 aprile 1982 da un sicario che la guardia giurata dell'istituto uccise sul posto, e che risultò essere Danilo Abbruciati, dirigente di vertice della batteria testaccina, Livello A quanto al fatto ed all'identificazione. Che il numero 2 di una banda di borgata romana morisse a Milano sparando al numero 2 della più compromessa banca del Paese, 7 settimane prima che il presidente di quella banca pendesse da un ponte di Londra, è una di quelle congiunzioni che il Pattern 3 registra alla massima densità; le ricostruzioni processuali consegnarono l'operazione al circuito degli interessi e dei crediti che legavano ambienti della banda al gruppo in disfacimento, nei limiti dei giudicati formatisi sui diversi filoni, Livello A quanto alla riconduzione al circuito, ferma la Regola Ferrea sulle attribuzioni ulteriori. Per la morfologia della rete il reperto è decisivo: esso certifica che la piattaforma di servizio non operava soltanto nel mercato romano della droga e dell'usura, ma era ingaggiabile sul teatro finanziario nazionale al livello più alto, ed è questo salto di scala, non la contabilità delle batterie, a giustificare la collocazione della Magliana entro il quadrilatero della Fase 1.</w:t>
      </w:r>
    </w:p>
    <w:p>
      <w:pPr>
        <w:spacing w:after="120" w:line="276"/>
        <w:jc w:val="both"/>
      </w:pPr>
      <w:r>
        <w:rPr>
          <w:rFonts w:ascii="Barlow Semi Condensed" w:cs="Barlow Semi Condensed" w:eastAsia="Barlow Semi Condensed" w:hAnsi="Barlow Semi Condensed"/>
          <w:b/>
          <w:bCs/>
          <w:sz w:val="24"/>
          <w:szCs w:val="24"/>
        </w:rPr>
        <w:t xml:space="preserve">Sintesi del dato nuovo acquisito:</w:t>
      </w:r>
      <w:r>
        <w:rPr>
          <w:rFonts w:ascii="Barlow Semi Condensed" w:cs="Barlow Semi Condensed" w:eastAsia="Barlow Semi Condensed" w:hAnsi="Barlow Semi Condensed"/>
          <w:sz w:val="24"/>
          <w:szCs w:val="24"/>
        </w:rPr>
        <w:t xml:space="preserve"> la Banda della Magliana è certificata al Livello A quale piattaforma di servizio inter-dominio con archi documentati verso i Domini 1, 3, 6 e 7, culminanti nell'arsenale custodito entro il Ministero della Sanità e nell'apporto al depistaggio di Bologna; il ponte verso il Dominio 5 è certificato al Livello A limitatamente alla sepoltura anomala di De Pedis ed al Livello B per le cointeressenze finanziarie, con degradazione al Livello C di ogni ipotesi sul caso Orlandi; l'esito assolutorio definitivo del processo Pecorelli è recepito quale dato acquisito.</w:t>
      </w:r>
    </w:p>
    <w:p>
      <w:pPr>
        <w:pStyle w:val="Heading3"/>
        <w:spacing w:after="80" w:before="160"/>
      </w:pPr>
      <w:r>
        <w:rPr>
          <w:rFonts w:ascii="Barlow Semi Condensed" w:cs="Barlow Semi Condensed" w:eastAsia="Barlow Semi Condensed" w:hAnsi="Barlow Semi Condensed"/>
          <w:sz w:val="24"/>
          <w:szCs w:val="24"/>
        </w:rPr>
        <w:t xml:space="preserve">Capitolo 9 — ▶ Vito Ciancimino. L'infiltrazione compiuta: il Dominio 1 dentro il Dominio 2</w:t>
      </w:r>
    </w:p>
    <w:p>
      <w:pPr>
        <w:spacing w:after="120" w:line="276"/>
        <w:jc w:val="both"/>
      </w:pPr>
      <w:r>
        <w:rPr>
          <w:rFonts w:ascii="Barlow Semi Condensed" w:cs="Barlow Semi Condensed" w:eastAsia="Barlow Semi Condensed" w:hAnsi="Barlow Semi Condensed"/>
          <w:sz w:val="24"/>
          <w:szCs w:val="24"/>
        </w:rPr>
        <w:t xml:space="preserve">Vito Ciancimino, nato a Corleone il 2 aprile 1924 e morto a Roma il 19 novembre 2002, è il caso di scuola dell'intera tassonomia degli archi inter-dominio: l'unico sindaco di Palermo condannato con sentenza divenuta irrevocabile per concorso in associazione mafiosa, oltre che per corruzione, e dunque l'unico nodo del registro per il quale l'arco di infiltrazione del Dominio 1 nel Dominio 2 non è una ricostruzione analitica ma una statuizione giudiziale definitiva. La scansione del corpus lo registra 355 volte in 12 documenti, con una distribuzione che attraversa gli atti della Commissione parlamentare antimafia di 3 legislature, le sentenze del ciclo palermitano e la memorialistica di contesto. Se Gelli è il nodo della loggia, Sindona il nodo pentadominio della finanza e Calò il nodo dell'arco mafia-strage, Ciancimino è il nodo nel quale l'infiltrazione si fa carica pubblica: non un politico che colluse con la mafia, ma, secondo l'accertamento dei giudici, un uomo organico al sodalizio che esercitò per decenni funzioni di governo cittadino.</w:t>
      </w:r>
    </w:p>
    <w:p>
      <w:pPr>
        <w:spacing w:after="120" w:line="276"/>
        <w:jc w:val="both"/>
      </w:pPr>
      <w:r>
        <w:rPr>
          <w:rFonts w:ascii="Barlow Semi Condensed" w:cs="Barlow Semi Condensed" w:eastAsia="Barlow Semi Condensed" w:hAnsi="Barlow Semi Condensed"/>
          <w:sz w:val="24"/>
          <w:szCs w:val="24"/>
        </w:rPr>
        <w:t xml:space="preserve">La biografia amministrativa è nota nelle sue scansioni. Figlio di un barbiere di Corleone, trasferitosi a Palermo, Ciancimino costruì la prima fortuna con la concessione del trasporto ferroviario su gomma, quindi entrò nella Democrazia Cristiana palermitana nella corrente fanfaniana che faceva capo a Giovanni Gioia, e nel 1959 divenne assessore ai lavori pubblici del comune di Palermo, nella giunta guidata dal giovane sindaco Salvatore Lima, detto Salvo. La coppia Lima-Ciancimino, sindaco l'uno ed assessore ai lavori pubblici l'altro, governò la stagione che gli atti parlamentari e la storiografia designano come sacco di Palermo: la distruzione pianificata del tessuto liberty e del verde storico della città, sostituiti da un'edilizia intensiva di qualità infima, realizzata in violazione sistematica degli strumenti urbanistici. Gli accertamenti condotti dalla Commissione parlamentare antimafia documentarono il meccanismo nel suo dato quantitativo, divenuto emblematico: 4.205 licenze edilizie rilasciate nel quinquennio, delle quali una quota superiore ai 4 quinti risultò formalmente intestata a 5 prestanome, pensionati e nullatenenti privi di qualsiasi capacità imprenditoriale, dietro i quali operavano i costruttori dell'area mafiosa. Il registro certifica al Livello A, sul fondamento degli atti parlamentari e delle sentenze successive che li recepirono, il dato delle licenze ed il suo significato strutturale: l'assessorato ai lavori pubblici di Palermo funzionò, in quegli anni, come lo sportello attraverso il quale il Dominio 1 convertì il controllo territoriale in rendita urbana, ed il ciclo edilizio fu il primo grande apparato di riciclaggio e di accumulazione della mafia siciliana del dopoguerra, prima ancora che l'eroina moltiplicasse gli ordini di grandezza.</w:t>
      </w:r>
    </w:p>
    <w:p>
      <w:pPr>
        <w:spacing w:after="120" w:line="276"/>
        <w:jc w:val="both"/>
      </w:pPr>
      <w:r>
        <w:rPr>
          <w:rFonts w:ascii="Barlow Semi Condensed" w:cs="Barlow Semi Condensed" w:eastAsia="Barlow Semi Condensed" w:hAnsi="Barlow Semi Condensed"/>
          <w:sz w:val="24"/>
          <w:szCs w:val="24"/>
        </w:rPr>
        <w:t xml:space="preserve">La carriera di Ciancimino culminò e precipitò nello stesso anno. Nell'autunno del 1970 fu eletto sindaco di Palermo, ma la carica durò poche settimane: l'ondata di reazioni nazionali, alimentata dai lavori della Commissione antimafia che già lo aveva indicato quale figura centrale del sistema di potere mafioso-amministrativo, lo costrinse alle dimissioni entro la fine dell'anno. Il registro annota il dato con una notazione di metodo: il 1970 è l'anno in cui, per la prima volta nella storia repubblicana, un organo parlamentare rese politicamente insostenibile un uomo di governo locale per ragioni di contiguità mafiosa, e ciò accadde 12 anni prima che il reato di associazione di tipo mafioso entrasse nel codice penale con la legge Rognoni-La Torre del 1982. Ciancimino, tuttavia, non uscì dal sistema: privato della carica, conservò per oltre un decennio il controllo di fatto su settori decisivi dell'amministrazione, dagli appalti alle esattorie, quale capo occulto di una corrente e terminale di pacchetti di tessere, secondo il modello che la teoria del contenitore, adottata dal registro, descrive come occupazione senza titolarità: il potere non risiede nella carica ma nella rete, e la perdita della carica non estingue la rete.</w:t>
      </w:r>
    </w:p>
    <w:p>
      <w:pPr>
        <w:spacing w:after="120" w:line="276"/>
        <w:jc w:val="both"/>
      </w:pPr>
      <w:r>
        <w:rPr>
          <w:rFonts w:ascii="Barlow Semi Condensed" w:cs="Barlow Semi Condensed" w:eastAsia="Barlow Semi Condensed" w:hAnsi="Barlow Semi Condensed"/>
          <w:sz w:val="24"/>
          <w:szCs w:val="24"/>
        </w:rPr>
        <w:t xml:space="preserve">Il secondo pilastro probatorio è il rapporto con il vertice corleonese. Le dichiarazioni convergenti di Tommaso Buscetta e di altri collaboratori di giustizia, riscontrate nel ciclo processuale palermitano, collocano Ciancimino in rapporto organico con la famiglia di Corleone, e segnatamente con Salvatore Riina e Bernardo Provenzano, dei quali fu, secondo l'accertamento giudiziale, il referente nel governo della cosa pubblica palermitana: non un politico avvicinato dai corleonesi, ma un uomo dei corleonesi collocato nella politica. È questa qualificazione, e non una generica contiguità, che la sentenza irrevocabile di condanna per concorso in associazione mafiosa ha consacrato, ed è per questa ragione che il registro assume il nodo Ciancimino quale arco di infiltrazione compiuta, distinguendolo con cura dagli archi di collusione che popolano il resto del capitolo palermitano. La distinzione non è nominalistica: nell'arco di collusione i 2 nodi restano ciascuno nel proprio dominio e scambiano risorse attraverso il confine; nell'arco di infiltrazione un nodo del Dominio 1 assume una posizione formale nel Dominio 2 conservando la lealtà d'origine, sicché il confine stesso è violato dall'interno. Ciancimino sembrava appartenere al sistema politico, ma operava, per usare il lessico luhmanniano della Nota metodologica, nel codice inclusione-esclusione del sistema mafioso.</w:t>
      </w:r>
    </w:p>
    <w:p>
      <w:pPr>
        <w:spacing w:after="120" w:line="276"/>
        <w:jc w:val="both"/>
      </w:pPr>
      <w:r>
        <w:rPr>
          <w:rFonts w:ascii="Barlow Semi Condensed" w:cs="Barlow Semi Condensed" w:eastAsia="Barlow Semi Condensed" w:hAnsi="Barlow Semi Condensed"/>
          <w:sz w:val="24"/>
          <w:szCs w:val="24"/>
        </w:rPr>
        <w:t xml:space="preserve">Il terzo pilastro è giudiziario e patrimoniale. Il 3 novembre 1984, nel pieno della stagione istruttoria alimentata dalle rivelazioni di Buscetta, Ciancimino fu arrestato su provvedimento dell'ufficio istruzione di Palermo: fu il primo arresto di un uomo politico di quel rango ordinato dal pool antimafia, e la sua data appartiene alla cronologia fondativa del metodo Falcone quanto il blitz di San Michele o la consegna del maxiprocesso. Ne seguì un ciclo processuale che si concluse, per i capi d'imputazione qui rilevanti, con la condanna divenuta irrevocabile per concorso in associazione mafiosa e, in separato procedimento, per corruzione; le date puntuali delle singole pronunce di legittimità presentano, nelle fonti secondarie del corpus, oscillazioni che il registro non è in grado di comporre con la certezza documentale richiesta, sicché, in applicazione del lessico calibrato dell'incertezza, si certifica al Livello A l'esistenza e l'irrevocabilità delle condanne, rinviando per gli estremi cronologici esatti al fascicolo delle fonti primarie la cui acquisizione è iscritta tra i compiti pendenti. Alla condanna personale si accompagnò l'aggressione patrimoniale: le misure di prevenzione e le confische colpirono un patrimonio di eccezionale entità, disperso in intestazioni fiduciarie, società ed appostamenti esteri, la cui ricostruzione impegnò gli uffici per anni e la cui parte emersa costituisce, ancora oggi, uno dei maggiori compendi ablativi della storia delle misure patrimoniali antimafia. Il registro vi legge la conferma sperimentale del principio falconiano assunto a fondamento dell'intera opera: la struttura dell'organizzazione è leggibile nelle tracce che lascia nel mondo visibile, e nessuna traccia è più leggibile del denaro.</w:t>
      </w:r>
    </w:p>
    <w:p>
      <w:pPr>
        <w:spacing w:after="120" w:line="276"/>
        <w:jc w:val="both"/>
      </w:pPr>
      <w:r>
        <w:rPr>
          <w:rFonts w:ascii="Barlow Semi Condensed" w:cs="Barlow Semi Condensed" w:eastAsia="Barlow Semi Condensed" w:hAnsi="Barlow Semi Condensed"/>
          <w:sz w:val="24"/>
          <w:szCs w:val="24"/>
        </w:rPr>
        <w:t xml:space="preserve">Il quarto pilastro esige il massimo rigore, perché investe la stagione terminale della biografia ed il capitolo più contaminato dell'intera vicenda: i contatti del 1992 con gli ufficiali del Raggruppamento operativo speciale dell'Arma dei carabinieri. Il fatto storico è certificato al Livello A dall'intero ciclo processuale che ne è seguito, nel quale esso non è mai stato controverso: nell'estate del 1992, tra la strage di Capaci e quella di via D'Amelio e nei mesi successivi, gli ufficiali Mario Mori e Giuseppe De Donno ebbero con Vito Ciancimino una serie di incontri riservati, formalmente finalizzati alla ricerca di un canale verso la latitanza corleonese ed alla cattura di Riina. Sulla qualificazione di quei contatti si è consumato il più lungo e divisivo processo della storia recente, il cosiddetto processo sulla trattativa tra lo Stato e la mafia; ed il registro, in ossequio alla propria regola di riportare per esteso gli esiti assolutori, recepisce il giudicato nei termini seguenti: la corte di cassazione, con sentenza pronunciata nell'aprile del 2023, ha reso definitiva l'assoluzione degli ufficiali dell'Arma Mario Mori, Antonio Subranni e Giuseppe De Donno, nonché dell'esponente politico Marcello Dell'Utri, dall'imputazione di minaccia a corpo politico dello Stato, sul rilievo, già formulato dalla corte d'assise d'appello di Palermo nel 2021, che il fatto non costituisce reato, ferme restando le statuizioni concernenti gli imputati appartenenti all'organizzazione mafiosa. Ne discende, per il registro, una doppia certificazione: al Livello A i contatti Mori-De Donno-Ciancimino quale fatto storico, con il loro valore di arco documentato tra il Dominio 9, il Dominio 3 nella sua accezione di intelligence investigativa ed il Dominio 1 attraverso il tramite di un condannato per mafia; al Livello C, in quanto ipotesi giudizialmente respinta per il versante istituzionale, ogni ricostruzione che di quei contatti faccia il segmento di un patto di scambio tra lo Stato e Cosa Nostra. La Regola Ferrea vieta di colmare con la verosimiglianza ciò che 3 gradi di giudizio hanno lasciato vuoto.</w:t>
      </w:r>
    </w:p>
    <w:p>
      <w:pPr>
        <w:spacing w:after="120" w:line="276"/>
        <w:jc w:val="both"/>
      </w:pPr>
      <w:r>
        <w:rPr>
          <w:rFonts w:ascii="Barlow Semi Condensed" w:cs="Barlow Semi Condensed" w:eastAsia="Barlow Semi Condensed" w:hAnsi="Barlow Semi Condensed"/>
          <w:sz w:val="24"/>
          <w:szCs w:val="24"/>
        </w:rPr>
        <w:t xml:space="preserve">Al medesimo capitolo appartiene la questione della fonte Massimo Ciancimino. Il figlio di Vito, divenuto dopo la morte del padre dichiarante di massa mediatica prima ancora che processuale, è la figura sulla quale il registro ha tarato l'Indice di Contaminazione della Fonte: condannato per calunnia ai danni di un alto funzionario dello Stato, smentito su punti qualificanti da accertamenti documentali, produttore di reperti la cui genuinità è stata giudizialmente esclusa, egli integra il punteggio di contaminazione che determina, ai sensi del protocollo Savona 2.1, l'inammissibilità fondativa: nessuna affermazione del registro può poggiare, in via esclusiva o determinante, su sue dichiarazioni non altrimenti riscontrate, e le voci del corpus che da esse derivano sono marcate in via permanente, senza possibilità di riabilitazione per effetto di successive dichiarazioni veritiere. Il caso è esemplare della funzione profilattica dell'indice: la vicenda Ciancimino padre è tra le meglio documentate del registro proprio perché il registro ha potuto separarla chirurgicamente dalla vicenda dichiarativa Ciancimino figlio, che l'avrebbe altrimenti trascinata nella zona della conoscenza contaminata.</w:t>
      </w:r>
    </w:p>
    <w:p>
      <w:pPr>
        <w:spacing w:after="120" w:line="276"/>
        <w:jc w:val="both"/>
      </w:pPr>
      <w:r>
        <w:rPr>
          <w:rFonts w:ascii="Barlow Semi Condensed" w:cs="Barlow Semi Condensed" w:eastAsia="Barlow Semi Condensed" w:hAnsi="Barlow Semi Condensed"/>
          <w:sz w:val="24"/>
          <w:szCs w:val="24"/>
        </w:rPr>
        <w:t xml:space="preserve">Le triangolazioni del nodo sono 3, e disegnano la geografia del potere palermitano di 3 decenni. La prima, Ciancimino-Lima-Gioia, è il triangolo democristiano delle origini, l'apparato correntizio dentro il quale l'infiltrazione maturò: essa appartiene al Livello A quanto ai rapporti politico-amministrativi documentati dagli atti, con la precisazione, imposta dal metodo, che la posizione di Lima nel sistema riceverà nel capitolo 10 una qualificazione giudiziale distinta e non sovrapponibile a quella di Ciancimino. La seconda, Ciancimino-Riina-Provenzano, è il triangolo corleonese, certificato al Livello A dal giudicato di condanna e dalle dichiarazioni riscontrate dei collaboratori; in esso il registro segnala, quale dato strutturale, la funzione di Ciancimino come arco esclusivo: per un lungo periodo, il canale corleonese verso l'amministrazione palermitana passò in misura preponderante da un solo nodo, ed è precisamente questa esclusività, questa altissima betweenness locale, che rese Ciancimino al tempo stesso potentissimo e, caduto il segreto, sacrificabile senza che la rete si disconnettesse, giacché i corleonesi disponevano ormai di percorsi alternativi. La terza triangolazione, Ciancimino-Mori-De Donno, è il triangolo terminale del 1992, certificato al Livello A quale fatto ed al Livello C quale patto, nei termini già esposti.</w:t>
      </w:r>
    </w:p>
    <w:p>
      <w:pPr>
        <w:spacing w:after="120" w:line="276"/>
        <w:jc w:val="both"/>
      </w:pPr>
      <w:r>
        <w:rPr>
          <w:rFonts w:ascii="Barlow Semi Condensed" w:cs="Barlow Semi Condensed" w:eastAsia="Barlow Semi Condensed" w:hAnsi="Barlow Semi Condensed"/>
          <w:sz w:val="24"/>
          <w:szCs w:val="24"/>
        </w:rPr>
        <w:t xml:space="preserve">Sul piano dei pattern, il nodo attiva 3 procedure. Il Pattern 7, l'analisi delle carriere, vi legge la traiettoria inversa a quella consueta: non un attore che migra tra domini, ma un attore che non migra affatto, restando organico al Dominio 1 mentre percorre per intero il cursus honorum del Dominio 2, a dimostrazione che la migrazione apparente può essere il travestimento della stabilità reale. Il Pattern 10, la sovrapposizione spaziale, identifica nell'assessorato ai lavori pubblici di Palermo una zona di convergenza nel senso pieno: un luogo fisico ed istituzionale nel quale, per anni, la densità di attori dei Domini 1, 2 e 6 superò ogni media, e dal quale si irradiò la trasformazione urbanistica che è la traccia materiale, tuttora visibile nella pietra della città, dell'accoppiamento tra i domini. Il Pattern 8, l'analisi dello sfruttamento delle crisi, registra infine che la stagione terminale del nodo coincise con la più grave crisi dell'ordine repubblicano dal dopoguerra, il biennio stragista 1992-1993, e che fu precisamente la crisi a riaprire, per un condannato ormai marginale, un canale verso apparati dello Stato: conferma ulteriore che le crisi rendono porosi i confini tra i domini e rimettono in circolazione nodi che il sistema aveva espulso.</w:t>
      </w:r>
    </w:p>
    <w:p>
      <w:pPr>
        <w:spacing w:after="120" w:line="276"/>
        <w:jc w:val="both"/>
      </w:pPr>
      <w:r>
        <w:rPr>
          <w:rFonts w:ascii="Barlow Semi Condensed" w:cs="Barlow Semi Condensed" w:eastAsia="Barlow Semi Condensed" w:hAnsi="Barlow Semi Condensed"/>
          <w:sz w:val="24"/>
          <w:szCs w:val="24"/>
        </w:rPr>
        <w:t xml:space="preserve">Il sacco urbanistico, sin qui evocato quale contesto, va ora consegnato nei suoi numeri e nel suo documento fondativo, perché è il caso più limpido dell'intero registro in cui la pietra si fa archivio. Negli anni dell'assessorato ai lavori pubblici, tra il 1959 ed il 1964, l'amministrazione palermitana rilasciò oltre 4.000 licenze edilizie, delle quali una quota prossima all'80% risultò formalmente intestata a 5 prestanome, pensionati e nullatenenti privi di qualsiasi capacità imprenditoriale, dietro i quali operava il blocco edilizio-mafioso beneficiario della stagione: il dato, che parrebbe iperbole pamphlettistica, è invece accertamento consegnato agli atti dell'inchiesta parlamentare antimafia ed alle ispezioni amministrative coeve, Livello A. Il documento fondativo è il rapporto della commissione d'indagine comunale presieduta da Tommaso Bevivino, che a metà degli anni 60 certificò nero su bianco la meccanica delle licenze ai prestanome e delle varianti pilotate, consegnando alla Repubblica, con un decennio d'anticipo su ogni collaboratore di giustizia, la radiografia amministrativa dell'infiltrazione, Livello A. Il costo materiale della stagione, la demolizione del tessuto liberty e del verde storico della Conca d'Oro sostituiti dall'edilizia intensiva, appartiene alla storiografia urbanistica consolidata, Livello B quanto alle stime quantitative, ed al paesaggio della città quale prova permanente: chi voglia leggere il dominio di quegli anni non ha bisogno di fascicoli, gli basta alzare gli occhi lungo via della Libertà, dove ogni cortina di cemento è la pagina di un verbale che nessuno potrà mai secretare.</w:t>
      </w:r>
    </w:p>
    <w:p>
      <w:pPr>
        <w:spacing w:after="120" w:line="276"/>
        <w:jc w:val="both"/>
      </w:pPr>
      <w:r>
        <w:rPr>
          <w:rFonts w:ascii="Barlow Semi Condensed" w:cs="Barlow Semi Condensed" w:eastAsia="Barlow Semi Condensed" w:hAnsi="Barlow Semi Condensed"/>
          <w:sz w:val="24"/>
          <w:szCs w:val="24"/>
        </w:rPr>
        <w:t xml:space="preserve">Il percorso giudiziario del nodo va a sua volta scandito. Dopo l'arresto del novembre 1984, Ciancimino conobbe la misura del soggiorno obbligato e l'avvio del ciclo processuale palermitano, che approdò alla condanna di primo grado nei primi anni 90 ed alla irrevocabilità, per concorso in associazione mafiosa e per corruzione, con la pronuncia della Corte di cassazione del 2001, cui si accompagnò l'imponente apparato delle misure patrimoniali, sequestri e confische per importi dell'ordine delle decine di miliardi di lire, che riconsegnarono allo Stato una frazione della rendita del sacco, Livello A quanto alle statuizioni, nei limiti delle rispettive pronunce. La morte a Roma, il 19 novembre 2002, chiuse la biografia mentre era ancora aperta, e tale sarebbe rimasta, la stagione delle propalazioni del figlio, che il capitolo ha già consegnato alla propria disciplina. Resta al registro la lettura d'insieme, che una digressione può permettersi: Ciancimino è l'unico nodo dell'intera fase per il quale il corpo del reato coincide con il corpo della città, e questa coincidenza fa di Palermo il caso di scuola del Pattern 10, la convergenza spaziale come indicatore. Dove l'archivio cartaceo è stato distrutto, corrotto o secretato, l'archivio urbanistico resiste: le pietre non ritrattano, non patteggiano e non muoiono, e la loro testimonianza, per chi sappia interrogarle con il metodo dell'indiziario, vale quella di un pentito che non ha nulla da chiedere in cambio.</w:t>
      </w:r>
    </w:p>
    <w:p>
      <w:pPr>
        <w:spacing w:after="120" w:line="276"/>
        <w:jc w:val="both"/>
      </w:pPr>
      <w:r>
        <w:rPr>
          <w:rFonts w:ascii="Barlow Semi Condensed" w:cs="Barlow Semi Condensed" w:eastAsia="Barlow Semi Condensed" w:hAnsi="Barlow Semi Condensed"/>
          <w:sz w:val="24"/>
          <w:szCs w:val="24"/>
        </w:rPr>
        <w:t xml:space="preserve">Il nodo Ciancimino detiene infine un primato tecnico che il registro deve censire: quello di primo grande bersaglio della legislazione patrimoniale antimafia. La legge Rognoni-La Torre del 13 settembre 1982, approvata nell'onda emotiva dell'assassinio del suo proponente e del generale Dalla Chiesa, introdusse il delitto di associazione di tipo mafioso e le misure di prevenzione patrimoniali, ed il ciclo di sequestri e confische abbattutosi sui beni di Ciancimino a partire dal novembre 1984 ne costituì una delle prime applicazioni di grande scala, il banco di prova sul quale la giovane normativa misurò la propria capacità di aggredire la rendita accumulata dal sacco, Livello A quanto alla scansione normativa ed applicativa. La circostanza chiude il capitolo su una considerazione di metodo: l'ordinamento impiegò un ventennio a costruire lo strumento capace di colpire ciò che il rapporto Bevivino aveva documentato già a metà degli anni 60, e questo scarto tra il tempo della conoscenza ed il tempo della sanzione, 20 anni durante i quali il sapere amministrativo restò lettera morta, è la variabile che ogni analisi della impunità deve misurare prima di invocare i misteri. Spesso, insegna il caso Ciancimino, il mistero non è nel sapere che manca, ma nel sapere che giace: e l'archeologia degli atti dimenticati è, per il paradigma indiziario, un giacimento non meno fecondo degli archivi segreti.</w:t>
      </w:r>
    </w:p>
    <w:p>
      <w:pPr>
        <w:spacing w:after="120" w:line="276"/>
        <w:jc w:val="both"/>
      </w:pPr>
      <w:r>
        <w:rPr>
          <w:rFonts w:ascii="Barlow Semi Condensed" w:cs="Barlow Semi Condensed" w:eastAsia="Barlow Semi Condensed" w:hAnsi="Barlow Semi Condensed"/>
          <w:sz w:val="24"/>
          <w:szCs w:val="24"/>
        </w:rPr>
        <w:t xml:space="preserve">Alla documentazione amministrativa degli anni 60 va affiancato il secondo pilastro parlamentare, che precede di un decennio la stagione giudiziaria: la relazione della Commissione antimafia presieduta da Francesco Cattanei, approvata nel 1971, che dedicò alla carriera di Ciancimino ed alla meccanica delle licenze palermitane pagine di analitica durezza, documentando il sistema dei prestanome e la saldatura tra apparato correntizio ed interessi edilizi, Livello A quanto al contenuto della relazione. L'effetto politico immediato fu la rinuncia del personaggio ad ogni ulteriore candidatura di vertice, senza tuttavia che la sua funzione reale ne risultasse intaccata per oltre un decennio: ed è questa divaricazione tra la sanzione reputazionale, immediata, e la sanzione penale, differita di 20 anni, a consegnare al registro la misura esatta della resilienza del nodo. Il caso conferma una regolarità che il Pattern 8 registra in tutta la serie storica: nelle reti di potere territoriale, la perdita della posizione formale non equivale alla perdita della funzione, e talvolta la agevola, liberando il nodo dai costi della visibilità; sicché il Ciancimino privato di cariche degli anni 70 e 80 fu, per concorde accertamento processuale, più potente del Ciancimino sindaco delle poche settimane del 1970.</w:t>
      </w:r>
    </w:p>
    <w:p>
      <w:pPr>
        <w:spacing w:after="120" w:line="276"/>
        <w:jc w:val="both"/>
      </w:pPr>
      <w:r>
        <w:rPr>
          <w:rFonts w:ascii="Barlow Semi Condensed" w:cs="Barlow Semi Condensed" w:eastAsia="Barlow Semi Condensed" w:hAnsi="Barlow Semi Condensed"/>
          <w:sz w:val="24"/>
          <w:szCs w:val="24"/>
        </w:rPr>
        <w:t xml:space="preserve">Il nodo Ciancimino detiene infine un primato tecnico che il registro deve censire: quello di primo grande bersaglio della legislazione patrimoniale antimafia. La legge Rognoni-La Torre del 13 settembre 1982, approvata nell'onda emotiva dell'assassinio del suo proponente e del generale Dalla Chiesa, introdusse il delitto di associazione di tipo mafioso e le misure di prevenzione patrimoniali, ed il ciclo di sequestri e confische abbattutosi sui beni di Ciancimino a partire dal novembre 1984 ne costituì una delle prime applicazioni di grande scala, il banco di prova sul quale la giovane normativa misurò la propria capacità di aggredire la rendita accumulata dal sacco, Livello A quanto alla scansione normativa ed applicativa. La circostanza chiude il capitolo su una considerazione di metodo: l'ordinamento impiegò un ventennio a costruire lo strumento capace di colpire ciò che il rapporto Bevivino aveva documentato già a metà degli anni 60, e questo scarto tra il tempo della conoscenza ed il tempo della sanzione, 20 anni durante i quali il sapere amministrativo restò lettera morta, è la variabile che ogni analisi della impunità deve misurare prima di invocare i misteri. Spesso, insegna il caso Ciancimino, il mistero non è nel sapere che manca, ma nel sapere che giace: e l'archeologia degli atti dimenticati è, per il paradigma indiziario, un giacimento non meno fecondo degli archivi segreti.</w:t>
      </w:r>
    </w:p>
    <w:p>
      <w:pPr>
        <w:spacing w:after="120" w:line="276"/>
        <w:jc w:val="both"/>
      </w:pPr>
      <w:r>
        <w:rPr>
          <w:rFonts w:ascii="Barlow Semi Condensed" w:cs="Barlow Semi Condensed" w:eastAsia="Barlow Semi Condensed" w:hAnsi="Barlow Semi Condensed"/>
          <w:b/>
          <w:bCs/>
          <w:sz w:val="24"/>
          <w:szCs w:val="24"/>
        </w:rPr>
        <w:t xml:space="preserve">Sintesi del dato nuovo acquisito:</w:t>
      </w:r>
      <w:r>
        <w:rPr>
          <w:rFonts w:ascii="Barlow Semi Condensed" w:cs="Barlow Semi Condensed" w:eastAsia="Barlow Semi Condensed" w:hAnsi="Barlow Semi Condensed"/>
          <w:sz w:val="24"/>
          <w:szCs w:val="24"/>
        </w:rPr>
        <w:t xml:space="preserve"> il nodo Ciancimino è certificato al Livello A quale arco di infiltrazione compiuta del Dominio 1 nel Dominio 2, sul fondamento della condanna irrevocabile per concorso in associazione mafiosa e per corruzione, degli accertamenti parlamentari sul sacco di Palermo e delle dichiarazioni riscontrate sul rapporto organico con il vertice corleonese; i contatti del 1992 con gli ufficiali del ROS sono certificati al Livello A quale fatto storico, mentre la loro qualificazione quale trattativa resta al Livello C in forza del giudicato assolutorio del 2023, riportato per esteso; le dichiarazioni di Massimo Ciancimino sono colpite da inammissibilità fondativa ai sensi dell'Indice di Contaminazione della Fonte.</w:t>
      </w:r>
    </w:p>
    <w:p>
      <w:pPr>
        <w:pStyle w:val="Heading3"/>
        <w:spacing w:after="80" w:before="160"/>
      </w:pPr>
      <w:r>
        <w:rPr>
          <w:rFonts w:ascii="Barlow Semi Condensed" w:cs="Barlow Semi Condensed" w:eastAsia="Barlow Semi Condensed" w:hAnsi="Barlow Semi Condensed"/>
          <w:sz w:val="24"/>
          <w:szCs w:val="24"/>
        </w:rPr>
        <w:t xml:space="preserve">Capitolo 10 — ▶ Salvo Lima ed il ponte andreottiano. La certificazione giudiziale postuma di un referente</w:t>
      </w:r>
    </w:p>
    <w:p>
      <w:pPr>
        <w:spacing w:after="120" w:line="276"/>
        <w:jc w:val="both"/>
      </w:pPr>
      <w:r>
        <w:rPr>
          <w:rFonts w:ascii="Barlow Semi Condensed" w:cs="Barlow Semi Condensed" w:eastAsia="Barlow Semi Condensed" w:hAnsi="Barlow Semi Condensed"/>
          <w:sz w:val="24"/>
          <w:szCs w:val="24"/>
        </w:rPr>
        <w:t xml:space="preserve">Salvatore Lima, detto Salvo, nato a Palermo il 23 gennaio 1928 ed ucciso a Mondello il 12 marzo 1992, chiude la Fase 1 perché il suo nodo è, nell'economia del registro, il più paradossale: la certificazione giudiziale del suo ruolo di ponte tra il Dominio 1 ed il Dominio 2 non proviene da una condanna, che la morte impedì, ma dalle sentenze definitive sul suo stesso omicidio e dalla sentenza definitiva sul processo al capo della corrente cui apparteneva. Lima è il nodo la cui funzione è stata accertata post mortem, attraverso la ricostruzione del movente di chi lo uccise: un caso, forse unico nella giurisprudenza europea, in cui la vittima di un omicidio deliberato da un'organizzazione criminale è stata giudizialmente qualificata quale referente di quella stessa organizzazione, sicché l'atto che la sopprime è, ad un tempo, la prova del legame che la univa ai suoi assassini. La scansione del corpus lo registra 545 volte in 15 documenti.</w:t>
      </w:r>
    </w:p>
    <w:p>
      <w:pPr>
        <w:spacing w:after="120" w:line="276"/>
        <w:jc w:val="both"/>
      </w:pPr>
      <w:r>
        <w:rPr>
          <w:rFonts w:ascii="Barlow Semi Condensed" w:cs="Barlow Semi Condensed" w:eastAsia="Barlow Semi Condensed" w:hAnsi="Barlow Semi Condensed"/>
          <w:sz w:val="24"/>
          <w:szCs w:val="24"/>
        </w:rPr>
        <w:t xml:space="preserve">La biografia politica precede e prepara la funzione. Sindaco di Palermo dal 1958 al 1963 e nuovamente dal 1965 al 1968, negli anni del sacco urbanistico di cui il capitolo 9 ha esposto la meccanica, Lima passò nel 1968 alla Camera dei deputati e compì, in quello stesso anno, la mossa che ne determinò il rilievo nazionale: l'adesione, con l'intero suo apparato siciliano, alla corrente di Giulio Andreotti, sino ad allora priva di una base meridionale significativa. Il conferimento del pacchetto siciliano trasformò una corrente romana e laziale in una delle grandi correnti nazionali della Democrazia Cristiana, e fece di Lima il proconsole dell'andreottismo nell'isola: la stagione fu detta, nel lessico interno del partito, la primavera siciliana della corrente. Dal 1979 Lima sedette al Parlamento europeo, posizione che ne accrebbe l'immunità di fatto e ne ridusse l'esposizione nazionale, senza intaccarne il controllo sul sistema di potere isolano. Il registro certifica al Livello A, sul fondamento degli atti parlamentari, della pubblicistica di qualità e delle sentenze che li recepirono, la struttura di questo apparato: il rapporto privilegiato con i cugini Antonino ed Ignazio Salvo, gli esattori di Salemi, titolari del più redditizio sistema di riscossione privata dei tributi d'Europa, uomini d'onore della famiglia di Salemi secondo l'accertamento del maxiprocesso, e finanziatori e organizzatori del consenso della corrente; ed il rapporto, mediato e diretto, con le famiglie palermitane, delle quali l'apparato limiano raccoglieva le indicazioni ed ai cui interessi assicurava ascolto.</w:t>
      </w:r>
    </w:p>
    <w:p>
      <w:pPr>
        <w:spacing w:after="120" w:line="276"/>
        <w:jc w:val="both"/>
      </w:pPr>
      <w:r>
        <w:rPr>
          <w:rFonts w:ascii="Barlow Semi Condensed" w:cs="Barlow Semi Condensed" w:eastAsia="Barlow Semi Condensed" w:hAnsi="Barlow Semi Condensed"/>
          <w:sz w:val="24"/>
          <w:szCs w:val="24"/>
        </w:rPr>
        <w:t xml:space="preserve">Il primo pilastro probatorio è l'omicidio ed il suo movente giudizialmente accertato. La mattina del 12 marzo 1992, in via delle Palme a Mondello, 2 sicari a bordo di una motocicletta affiancarono l'automobile sulla quale Lima viaggiava con 2 accompagnatori, lo costrinsero a fuggire a piedi e lo abbatterono con 2 colpi. Le sentenze definitive che ne sono seguite hanno attribuito la deliberazione alla Commissione provinciale di Cosa Nostra, con condanna all'ergastolo dei componenti del vertice corleonese quali mandanti, e l'esecuzione ad uomini d'onore in parte divenuti, negli anni successivi, collaboratori di giustizia, le cui confessioni hanno consentito la ricostruzione integrale dell'operazione. Ciò che il registro assume quale reperto capitale non è però l'attribuzione, ma il movente che le motivazioni consacrano: Lima fu ucciso perché non aveva garantito, presso la corte di cassazione, l'esito favorevole del maxiprocesso, la cosiddetta sistemazione che l'organizzazione attendeva dal proprio referente politico e che la sentenza del 30 gennaio 1992, di cui il capitolo 7 ha detto, aveva definitivamente negato. L'omicidio fu, nelle parole che le sentenze riprendono dai collaboratori, una punizione ed un messaggio: la punizione del garante inadempiente, il messaggio a tutti i garanti superstiti che la stagione della convivenza era chiusa. Il registro certifica al Livello A questo accertamento e ne esplicita il valore sistemico: il movente giudizialmente accertato dell'omicidio Lima è la prova, resistente ad ogni revisione, che un canale di garanzia tra il vertice di Cosa Nostra ed un segmento del ceto politico nazionale era esistito, aveva funzionato per anni ed era venuto meno; l'arco Dominio 1-Dominio 2 è qui certificato non dalla parola di un pentito né da un documento, ma dalla logica stessa di un delitto che senza quell'arco sarebbe inspiegabile.</w:t>
      </w:r>
    </w:p>
    <w:p>
      <w:pPr>
        <w:spacing w:after="120" w:line="276"/>
        <w:jc w:val="both"/>
      </w:pPr>
      <w:r>
        <w:rPr>
          <w:rFonts w:ascii="Barlow Semi Condensed" w:cs="Barlow Semi Condensed" w:eastAsia="Barlow Semi Condensed" w:hAnsi="Barlow Semi Condensed"/>
          <w:sz w:val="24"/>
          <w:szCs w:val="24"/>
        </w:rPr>
        <w:t xml:space="preserve">Il secondo pilastro è la sentenza sul capo della corrente, che il registro riporta, in ossequio alla propria regola, per esteso e senza parafrasi riduttive. Giulio Andreotti, 7 volte presidente del Consiglio, fu imputato a Palermo di associazione per delinquere ed associazione di tipo mafioso. La corte d'appello di Palermo, con sentenza del 2 maggio 2003, riformando la piena assoluzione di primo grado, dichiarò non doversi procedere in ordine al reato di partecipazione ad associazione per delinquere, commesso fino alla primavera del 1980, perché estinto per prescrizione, ed assolse Andreotti dal reato di partecipazione ad associazione di tipo mafioso per il periodo successivo, con la formula dell'articolo 530, comma 2, del codice di procedura penale; la corte di cassazione, con sentenza del 15 ottobre 2004, rigettò i ricorsi e rese definitiva la pronuncia. Il dictum è dunque duplice e va tenuto nella sua interezza: per il periodo anteriore alla primavera del 1980 il giudice d'appello ha ritenuto concretamente ravvisabile una partecipazione dell'imputato all'associazione criminale, dichiarandola non punibile per il solo decorso del tempo; per il periodo successivo ha pronunciato assoluzione. Il registro certifica al Livello A questo esito nella sua lettera, ed al medesimo livello i fatti che la motivazione pone a fondamento della prima statuizione, tra i quali gli incontri con esponenti di vertice dell'organizzazione, ed in particolare l'incontro con Stefano Bontate nella primavera del 1980, successivo all'omicidio del presidente della Regione Piersanti Mattarella, riferito dal collaboratore Francesco Marino Mannoia e ritenuto provato dalla corte; nonché i rapporti diretti, e negati dall'imputato, con i cugini Salvo. Il registro si vieta, per converso, ogni estensione: la statuizione copre il perimetro temporale e materiale che copre, l'assoluzione per il periodo successivo alla primavera del 1980 è un giudicato che il registro recepisce con il medesimo rigore della statuizione che la precede, e la già ricordata assoluzione definitiva nel processo per l'omicidio Pecorelli, pronunciata dalla cassazione nel 2003 con annullamento senza rinvio della condanna d'appello, chiude giudizialmente ogni ipotesi accusatoria su quel versante. Chi voglia misurare la distanza tra il metodo del registro e la pubblicistica corrente la misuri qui: né la formula del tutti assolti, che cancella la prima statuizione, né la formula del condannato per mafia, che cancella la seconda, sopravvivono alla lettura integrale del dispositivo.</w:t>
      </w:r>
    </w:p>
    <w:p>
      <w:pPr>
        <w:spacing w:after="120" w:line="276"/>
        <w:jc w:val="both"/>
      </w:pPr>
      <w:r>
        <w:rPr>
          <w:rFonts w:ascii="Barlow Semi Condensed" w:cs="Barlow Semi Condensed" w:eastAsia="Barlow Semi Condensed" w:hAnsi="Barlow Semi Condensed"/>
          <w:sz w:val="24"/>
          <w:szCs w:val="24"/>
        </w:rPr>
        <w:t xml:space="preserve">Il terzo pilastro è il contesto della primavera del 1980, che le motivazioni delle sentenze pongono quale spartiacque. Il 6 gennaio 1980 era stato assassinato a Palermo Piersanti Mattarella, presidente democristiano della Regione Siciliana, esponente della linea del rinnovamento e della rottura del sistema di convivenza: per quell'omicidio le sentenze definitive hanno condannato quali mandanti i componenti della Commissione di Cosa Nostra, mentre sul piano degli esecutori l'ipotesi della manovalanza nera, che aveva condotto all'imputazione di esponenti dell'eversione neofascista, si è chiusa con assoluzione divenuta definitiva, sicché gli esecutori materiali restano ad oggi privi di identificazione giudiziale. Il registro certifica al Livello A la matrice mafiosa della deliberazione, mantiene al Livello C ogni ipotesi sugli esecutori e sulla convergenza con il Dominio 7, che la Fase 3 riprenderà, ed annota il dato che qui rileva: l'incontro Andreotti-Bontate accertato dalla corte d'appello si colloca, secondo la ricostruzione della medesima corte, dopo l'omicidio Mattarella e nel quadro della crisi che esso aprì tra l'organizzazione ed il suo referente politico, sicché la primavera del 1980 segna, nella periodizzazione giudiziale, il punto di massima tensione e l'inizio della dissociazione del ponte. La sequenza che ne seguì appartiene alla cronologia dei delitti eccellenti: l'uccisione di Bontate nell'aprile del 1981 aprì la guerra di mafia che consegnò l'organizzazione ai corleonesi, e la nuova direzione, estranea alla tradizione della mediazione, condusse il rapporto con la politica secondo la logica che l'omicidio Lima avrebbe infine reso manifesta.</w:t>
      </w:r>
    </w:p>
    <w:p>
      <w:pPr>
        <w:spacing w:after="120" w:line="276"/>
        <w:jc w:val="both"/>
      </w:pPr>
      <w:r>
        <w:rPr>
          <w:rFonts w:ascii="Barlow Semi Condensed" w:cs="Barlow Semi Condensed" w:eastAsia="Barlow Semi Condensed" w:hAnsi="Barlow Semi Condensed"/>
          <w:sz w:val="24"/>
          <w:szCs w:val="24"/>
        </w:rPr>
        <w:t xml:space="preserve">Le triangolazioni del nodo sono 3. La prima, Lima-Salvo-Andreotti, è il triangolo della garanzia: il canale attraverso il quale, secondo gli accertamenti definitivi sin qui esposti, le esigenze dell'organizzazione risalivano dal territorio al vertice della corrente; essa è certificata al Livello A nei limiti, temporali e materiali, dei giudicati che la fondano. La seconda, Lima-Ciancimino, è il triangolo interno al Dominio 2 palermitano, la coppia del sacco urbanistico, certificata al Livello A quanto alla cogestione amministrativa documentata dagli atti, con la distinzione qualitativa che i giudicati impongono: infiltrato organico l'uno, referente l'altro, secondo 2 statuti che il registro tiene rigorosamente separati. La terza, Lima-Commissione di Cosa Nostra, è il triangolo terminale, certificato al Livello A dalle sentenze sull'omicidio, nelle quali la relazione di garanzia è ricostruita dal lato di chi la esigeva.</w:t>
      </w:r>
    </w:p>
    <w:p>
      <w:pPr>
        <w:spacing w:after="120" w:line="276"/>
        <w:jc w:val="both"/>
      </w:pPr>
      <w:r>
        <w:rPr>
          <w:rFonts w:ascii="Barlow Semi Condensed" w:cs="Barlow Semi Condensed" w:eastAsia="Barlow Semi Condensed" w:hAnsi="Barlow Semi Condensed"/>
          <w:sz w:val="24"/>
          <w:szCs w:val="24"/>
        </w:rPr>
        <w:t xml:space="preserve">Sul piano dei pattern, il nodo Lima è il caso paradigmatico di 2 procedure. Il Pattern 5, l'analisi dei buchi strutturali, vi legge la posizione del broker esclusivo dal lato politico: come Ciancimino fu per un tratto l'arco esclusivo verso l'amministrazione, Lima fu l'arco esclusivo verso il vertice nazionale della corrente, ed il suo omicidio è la dimostrazione sperimentale del teorema di Burt sul destino dei ponti: quando il ponte cessa di trasmettere, la rete non lo aggira, lo abbatte, perché un ponte inerte non è un nodo neutro ma un testimone. Il Pattern 3, l'analisi temporale, colloca infine l'omicidio nella finestra critica del 1992: il 30 gennaio la cassazione conferma il maxiprocesso, il 12 marzo cade Lima, il 23 maggio Capaci, il 19 luglio via D'Amelio, il 17 settembre Ignazio Salvo; 5 date in 8 mesi che il registro legge, con le sentenze, quale sequenza unitaria di ritorsione e riposizionamento strategico dell'organizzazione, la chiusura violenta del trentennio che la Fase 1 ha ricostruito nodo per nodo.</w:t>
      </w:r>
    </w:p>
    <w:p>
      <w:pPr>
        <w:spacing w:after="120" w:line="276"/>
        <w:jc w:val="both"/>
      </w:pPr>
      <w:r>
        <w:rPr>
          <w:rFonts w:ascii="Barlow Semi Condensed" w:cs="Barlow Semi Condensed" w:eastAsia="Barlow Semi Condensed" w:hAnsi="Barlow Semi Condensed"/>
          <w:sz w:val="24"/>
          <w:szCs w:val="24"/>
        </w:rPr>
        <w:t xml:space="preserve">Il movente giudizialmente accertato dell'omicidio esige ora la sua contabilità processuale, perché la certificazione postuma del referente si regge su nomi e su date. Il processo per l'assassinio di Salvo Lima approdò in primo grado, dinanzi alla Corte d'Assise di Palermo, nel luglio 1998, con l'ergastolo per i vertici deliberanti della Commissione di Cosa Nostra, Salvatore Riina in testa, e con le condanne degli esecutori, tra i quali il reo confesso Francesco Onorato, divenuto collaboratore di giustizia, le cui dichiarazioni sulla dinamica dell'agguato di Mondello trovarono riscontro pieno; gli esiti furono consolidati nei gradi successivi sino all'irrevocabilità, Livello A. Le motivazioni consegnarono la formula che il capitolo ha già assunto quale pilastro: l'uccisione quale punizione per la garanzia non mantenuta, la mancata aggiustatura del maxiprocesso in Cassazione, sicché il giudicato sull'omicidio incorpora, quale suo presupposto logico, l'accertamento della funzione di referente che la vittima aveva esercitato, Livello A. Nella tassonomia degli archi è il caso limite già dichiarato, ma la cronologia del 1992 vi aggiunge una morfologia che il registro deve esplicitare: il 12 marzo cade Lima, il 23 maggio Capaci uccide Giovanni Falcone, Francesca Morvillo e gli agenti Vito Schifani, Rocco Dicillo ed Antonio Montinaro, il 19 luglio via D'Amelio uccide Paolo Borsellino e gli agenti Agostino Catalano, Emanuela Loi, Vincenzo Li Muli, Walter Eddie Cosina e Claudio Traina, il 17 settembre cade Ignazio Salvo; in 6 mesi l'organizzazione recide, nell'ordine, il proprio referente politico, i 2 magistrati simbolo del contrasto ed il proprio terminale affaristico, Livello A su ciascun fatto. Il Pattern 3 legge in questa sequenza la più alta densità di attivazione distruttiva di archi dell'intera serie storica: non un'esplosione cieca, ma una potatura.</w:t>
      </w:r>
    </w:p>
    <w:p>
      <w:pPr>
        <w:spacing w:after="120" w:line="276"/>
        <w:jc w:val="both"/>
      </w:pPr>
      <w:r>
        <w:rPr>
          <w:rFonts w:ascii="Barlow Semi Condensed" w:cs="Barlow Semi Condensed" w:eastAsia="Barlow Semi Condensed" w:hAnsi="Barlow Semi Condensed"/>
          <w:sz w:val="24"/>
          <w:szCs w:val="24"/>
        </w:rPr>
        <w:t xml:space="preserve">I cugini Salvo, evocati nella triangolazione della garanzia, meritano infine la loro scheda documentale. Antonino ed Ignazio Salvo, esattoriali di Salemi, ressero per decenni il sistema delle esattorie siciliane godendo di aggi che gli atti parlamentari registrano in misura del 10%, a fronte di medie nazionali pari a circa un terzo, rendita di posizione che ne fece i finanzieri organici del blocco di potere isolano, Livello A quanto al dato tariffario consegnato alle inchieste parlamentari. Arrestati il 12 novembre 1984 nell'ambito dell'istruttoria del pool, conobbero destini divaricati e simmetrici: Antonino morì di malattia in Svizzera il 19 gennaio 1986, prima della sentenza; Ignazio, condannato nel ciclo del maxiprocesso, fu ucciso a Santa Flavia il 17 settembre 1992 da un commando per il quale sono intervenute condanne irrevocabili, ultimo atto della potatura che questo capitolo ha misurato, Livello A. Resta la digressione finale, che è insieme il sigillo della fase: il nodo Lima consegna al registro il suo paradosso più istruttivo, quello del ponte la cui esistenza è provata dalla sua demolizione. Per 30 anni la pubblicistica affermò il ponte senza poterlo certificare; fu l'organizzazione stessa, uccidendo il proprio referente per inadempimento, a produrre l'accertamento che nessuna procura era riuscita a chiudere, giacché il movente di un omicidio deliberato dalla Commissione è materia di giudicato, non di opinione. Nella grammatica delle reti si direbbe che l'arco fu osservabile soltanto nell'istante della sua recisione, come quelle particelle che la fisica rileva unicamente nel decadimento: ed il registro, che alla fisica delle tracce si ispira, chiude la Fase 1 su questa immagine esatta, un quadrilatero il cui ultimo lato divenne visibile bruciando.</w:t>
      </w:r>
    </w:p>
    <w:p>
      <w:pPr>
        <w:spacing w:after="120" w:line="276"/>
        <w:jc w:val="both"/>
      </w:pPr>
      <w:r>
        <w:rPr>
          <w:rFonts w:ascii="Barlow Semi Condensed" w:cs="Barlow Semi Condensed" w:eastAsia="Barlow Semi Condensed" w:hAnsi="Barlow Semi Condensed"/>
          <w:sz w:val="24"/>
          <w:szCs w:val="24"/>
        </w:rPr>
        <w:t xml:space="preserve">Il profilo del nodo si completa con la stagione europea, che non fu ritiro ma ricollocazione. Eletto al Parlamento europeo nel 1979 e confermato nel 1984 e nel 1989, Lima trasferì a Strasburgo la propria posizione formale conservando intatta, secondo gli accertamenti poi consegnati alle sentenze, la funzione di snodo palermitano della corrente, Livello A quanto ai mandati elettivi, con la conseguenza, che il Pattern 7 registra, di un nodo la cui carriera visibile migra verso la periferia istituzionale mentre la sua centralità reticolare resta immobile: il movimento apparente quale tecnica di mimetizzazione della stabilità reale. Da ultimo, la cornice seriale: l'omicidio Lima non inaugurò ma chiuse la serie dei delitti politici palermitani apertasi con l'assassinio del segretario provinciale democristiano Michele Reina il 9 marzo 1979 e proseguita con Piersanti Mattarella il 6 gennaio 1980 e con Pio La Torre il 30 aprile 1982, delitti per i quali i giudicati hanno accertato il mandato dei vertici della Commissione, Livello A nei limiti delle rispettive pronunce e con la riserva, per il caso Mattarella, del piano esecutivo che la Fase 3 ha censito quale questione aperta. La serie consegna al registro la sua ultima simmetria: Cosa Nostra uccise, nell'arco di 13 anni, prima i politici che le resistevano e da ultimo il politico che la garantiva, e questa capacità di colpire indifferentemente i 2 estremi dell'arco politico-mafioso, l'avversario ed il referente, è la firma comportamentale di un attore che non conosce alleati ma soltanto strumenti, temporaneamente utili o definitivamente esauriti.</w:t>
      </w:r>
    </w:p>
    <w:p>
      <w:pPr>
        <w:spacing w:after="120" w:line="276"/>
        <w:jc w:val="both"/>
      </w:pPr>
      <w:r>
        <w:rPr>
          <w:rFonts w:ascii="Barlow Semi Condensed" w:cs="Barlow Semi Condensed" w:eastAsia="Barlow Semi Condensed" w:hAnsi="Barlow Semi Condensed"/>
          <w:sz w:val="24"/>
          <w:szCs w:val="24"/>
        </w:rPr>
        <w:t xml:space="preserve">Resta da fissare la cornice temporale dell'agguato, perché essa ne moltiplica il significato sistemico. Lima fu ucciso il 12 marzo 1992 nel pieno della campagna per le elezioni politiche fissate al 5 ed al 6 aprile, mentre attendeva alla preparazione delle iniziative elettorali della corrente e della imminente visita palermitana del suo capo nazionale: le urne, 3 settimane dopo, avrebbero registrato la prima discesa della Democrazia Cristiana sotto la soglia del 30% ed inaugurato la sequenza terminale della cosiddetta Prima Repubblica, Livello A quanto alla cronologia elettorale. Il delitto si colloca dunque sul crinale esatto tra 2 epoche, e la rete lo registra come tale: l'ultimo omicidio politico del vecchio sistema di garanzie ed il primo atto della stagione che, tra le stragi del 1992 e del 1993, avrebbe visto l'organizzazione cercare, con il linguaggio della forza, un nuovo equilibrio con uno Stato di cui non riconosceva più gli interlocutori. Che il ponte quarantennale tra il Dominio 1 ed il Dominio 2 sia stato demolito dal suo stesso versante criminale nel momento in cui il versante politico cessava di poter garantire, è la conferma finale della natura contrattuale, e perciò revocabile, di ogni arco di collusione: i ponti del potere occulto non hanno pilastri, hanno clausole.</w:t>
      </w:r>
    </w:p>
    <w:p>
      <w:pPr>
        <w:spacing w:after="120" w:line="276"/>
        <w:jc w:val="both"/>
      </w:pPr>
      <w:r>
        <w:rPr>
          <w:rFonts w:ascii="Barlow Semi Condensed" w:cs="Barlow Semi Condensed" w:eastAsia="Barlow Semi Condensed" w:hAnsi="Barlow Semi Condensed"/>
          <w:sz w:val="24"/>
          <w:szCs w:val="24"/>
        </w:rPr>
        <w:t xml:space="preserve">Il profilo del nodo si completa con la stagione europea, che non fu ritiro ma ricollocazione. Eletto al Parlamento europeo nel 1979 e confermato nel 1984 e nel 1989, Lima trasferì a Strasburgo la propria posizione formale conservando intatta, secondo gli accertamenti poi consegnati alle sentenze, la funzione di snodo palermitano della corrente, Livello A quanto ai mandati elettivi, con la conseguenza, che il Pattern 7 registra, di un nodo la cui carriera visibile migra verso la periferia istituzionale mentre la sua centralità reticolare resta immobile: il movimento apparente quale tecnica di mimetizzazione della stabilità reale. Da ultimo, la cornice seriale: l'omicidio Lima non inaugurò ma chiuse la serie dei delitti politici palermitani apertasi con l'assassinio del segretario provinciale democristiano Michele Reina il 9 marzo 1979 e proseguita con Piersanti Mattarella il 6 gennaio 1980 e con Pio La Torre il 30 aprile 1982, delitti per i quali i giudicati hanno accertato il mandato dei vertici della Commissione, Livello A nei limiti delle rispettive pronunce e con la riserva, per il caso Mattarella, del piano esecutivo che la Fase 3 ha censito quale questione aperta. La serie consegna al registro la sua ultima simmetria: Cosa Nostra uccise, nell'arco di 13 anni, prima i politici che le resistevano e da ultimo il politico che la garantiva, e questa capacità di colpire indifferentemente i 2 estremi dell'arco politico-mafioso, l'avversario ed il referente, è la firma comportamentale di un attore che non conosce alleati ma soltanto strumenti, temporaneamente utili o definitivamente esauriti.</w:t>
      </w:r>
    </w:p>
    <w:p>
      <w:pPr>
        <w:spacing w:after="120" w:line="276"/>
        <w:jc w:val="both"/>
      </w:pPr>
      <w:r>
        <w:rPr>
          <w:rFonts w:ascii="Barlow Semi Condensed" w:cs="Barlow Semi Condensed" w:eastAsia="Barlow Semi Condensed" w:hAnsi="Barlow Semi Condensed"/>
          <w:b/>
          <w:bCs/>
          <w:sz w:val="24"/>
          <w:szCs w:val="24"/>
        </w:rPr>
        <w:t xml:space="preserve">Sintesi del dato nuovo acquisito:</w:t>
      </w:r>
      <w:r>
        <w:rPr>
          <w:rFonts w:ascii="Barlow Semi Condensed" w:cs="Barlow Semi Condensed" w:eastAsia="Barlow Semi Condensed" w:hAnsi="Barlow Semi Condensed"/>
          <w:sz w:val="24"/>
          <w:szCs w:val="24"/>
        </w:rPr>
        <w:t xml:space="preserve"> il nodo Lima è certificato al Livello A quale referente del Dominio 1 presso il Dominio 2, sul fondamento, unico nel registro, del movente giudizialmente accertato del suo stesso omicidio, deliberato dalla Commissione di Cosa Nostra quale punizione per la mancata sistemazione del maxiprocesso; la sentenza definitiva sul processo Andreotti è recepita nella sua integralità testuale, con la dichiarazione di estinzione per prescrizione del reato associativo concretamente ravvisabile fino alla primavera del 1980 e l'assoluzione per il periodo successivo; l'omicidio Mattarella è certificato al Livello A quanto alla matrice mafiosa della deliberazione ed al Livello C quanto agli esecutori, rimasti privi di identificazione giudiziale.</w:t>
      </w:r>
    </w:p>
    <w:p>
      <w:pPr>
        <w:pStyle w:val="Heading3"/>
        <w:spacing w:after="80" w:before="160"/>
      </w:pPr>
      <w:r>
        <w:rPr>
          <w:rFonts w:ascii="Barlow Semi Condensed" w:cs="Barlow Semi Condensed" w:eastAsia="Barlow Semi Condensed" w:hAnsi="Barlow Semi Condensed"/>
          <w:sz w:val="24"/>
          <w:szCs w:val="24"/>
        </w:rPr>
        <w:t xml:space="preserve">Repertorio degli archi e delle triangolazioni certificate nella Fase 1</w:t>
      </w:r>
    </w:p>
    <w:p>
      <w:pPr>
        <w:spacing w:after="120" w:line="276"/>
        <w:jc w:val="both"/>
      </w:pPr>
      <w:r>
        <w:rPr>
          <w:rFonts w:ascii="Barlow Semi Condensed" w:cs="Barlow Semi Condensed" w:eastAsia="Barlow Semi Condensed" w:hAnsi="Barlow Semi Condensed"/>
          <w:sz w:val="24"/>
          <w:szCs w:val="24"/>
        </w:rPr>
        <w:t xml:space="preserve">Prima della lettura reticolare conclusiva, il registro adempie all'obbligo di rendicontazione analitica che la Nota metodologica impone al termine di ogni fase: il censimento, in forma discorsiva e senza apparati tabellari, di tutti gli archi e di tutte le triangolazioni che i 10 capitoli hanno certificato, ciascuno con il proprio livello dichiarato, affinché il lettore possa verificare in un solo luogo ciò che i capitoli hanno stabilito in sedi distinte, e affinché le fasi successive dispongano di un inventario citabile senza rinvii dispersivi. Il repertorio procede per vertici del quadrilatero, dal versante della loggia a quello politico.</w:t>
      </w:r>
    </w:p>
    <w:p>
      <w:pPr>
        <w:spacing w:after="120" w:line="276"/>
        <w:jc w:val="both"/>
      </w:pPr>
      <w:r>
        <w:rPr>
          <w:rFonts w:ascii="Barlow Semi Condensed" w:cs="Barlow Semi Condensed" w:eastAsia="Barlow Semi Condensed" w:hAnsi="Barlow Semi Condensed"/>
          <w:sz w:val="24"/>
          <w:szCs w:val="24"/>
        </w:rPr>
        <w:t xml:space="preserve">Sul versante della loggia, il registro ha certificato al Livello A l'arco Gelli-Ortolani quale diarchia operativa interna al Dominio 4, fondata sulla comunanza documentale delle affiliazioni, dei conti e delle condanne per bancarotta; l'arco Gelli-Sindona e l'arco Gelli-Calvi quali archi di affiliazione e collusione tra il Dominio 4 ed il Dominio 6, documentati dalle tessere, dai flussi e dal conto Protezione presso l'Union de Banques Suisses di Lugano; gli archi di affiliazione tra Gelli ed i vertici dei servizi di informazione, i generali Giuseppe Santovito e Giulio Grassini ed il prefetto Walter Pelosi, capi rispettivamente del SISMI, del SISDE e del CESIS all'epoca della scoperta delle liste, oltre al generale Vito Miceli per la stagione precedente, quali archi certificati tra il Dominio 4 ed il Dominio 3, la cui portata è quella, formidabile e delimitata, dell'appartenenza documentata dei responsabili apicali dell'intelligence ad una loggia coperta; e l'arco del depistaggio bolognese, la condanna definitiva del 1995 di Gelli, Francesco Pazienza e degli ufficiali del SISMI Pietro Musumeci e Giuseppe Belmonte per il calunnioso depistaggio delle indagini sulla strage del 2 agosto 1980, quale arco di ostruzione certificato che salda i Domini 3, 4 e 7 nel solo segmento, si badi, della manipolazione post-factum. Al Livello B il registro ha collocato il ruolo di Gelli e di Ortolani quali canali finanziari della strage medesima, secondo l'accertamento postumo contenuto nelle motivazioni delle sentenze più recenti sul concorso di Paolo Bellini e sui mandanti-finanziatori, accertamento che i 2 non poterono contraddire in vita e che pertanto, per la regola del contraddittorio mancato, non ascende al livello pieno; ed il segmento sudamericano della loggia, i rapporti argentini di Gelli con l'entourage peronista e con l'ammiraglio Emilio Massera, certificati al Livello A quali fatti relazionali ed al Livello B quanto alla funzione di piattaforma d'affari e protezione. Resta al Livello C la questione del livello superiore alla loggia, l'ipotesi di una direzione sovrastante Gelli, per la quale la fase non ha reperito evidenze qualificate.</w:t>
      </w:r>
    </w:p>
    <w:p>
      <w:pPr>
        <w:spacing w:after="120" w:line="276"/>
        <w:jc w:val="both"/>
      </w:pPr>
      <w:r>
        <w:rPr>
          <w:rFonts w:ascii="Barlow Semi Condensed" w:cs="Barlow Semi Condensed" w:eastAsia="Barlow Semi Condensed" w:hAnsi="Barlow Semi Condensed"/>
          <w:sz w:val="24"/>
          <w:szCs w:val="24"/>
        </w:rPr>
        <w:t xml:space="preserve">Sul versante finanziario, il registro ha certificato al Livello A l'asse di riciclaggio Sindona-Gambino-Inzerillo-Spatola, consacrato dal ciclo giudiziario italo-americano e dalla condanna statunitense del 1980; il finto sequestro dell'estate del 1979, con il soggiorno siciliano organizzato dalla famiglia Gambino e l'intermediazione di ambienti massonici dell'isola, quale singolare arco quadridominio che congiunge in un solo evento i Domini 1, 4, 6 e la proiezione transatlantica; il mandato omicidiario di Sindona per l'assassinio dell'avvocato Giorgio Ambrosoli, commissario liquidatore ucciso a Milano l'11 luglio 1979 dal sicario William Aricò, consacrato dall'ergastolo divenuto irrevocabile il 18 marzo 1986, quale arco di aggressione del Dominio 6 inquinato contro la funzione pubblica di vigilanza; e la vicenda dell'aggressione giudiziaria alla Banca d'Italia del marzo 1979, l'incriminazione del governatore Paolo Baffi e l'arresto del capo della vigilanza Mario Sarcinelli, poi integralmente prosciolti, quale operazione di interdizione certificata nel suo svolgimento e nel suo esito. Al Livello B il registro ha collocato lo snodo Borghese-Sindona, la partecipazione finanziaria del banchiere alla trilogia golpista 1970-1974 secondo la testimonianza di Buscetta sulla mediazione massonica richiesta a Cosa Nostra, riscontrata nel ciclo processuale del golpe ma non consacrata da condanna specifica; ed il suicidio della segretaria Graziella Corrocher, precipitata dalle finestre dell'Ambrosiano il 17 giugno 1982. Al Livello C restano l'ipotesi della morte eterodiretta di Sindona, avvelenato dal cianuro nel supercarcere di Voghera il 22 marzo 1986 2 giorni dopo l'ergastolo, rispetto alla quale la spiegazione del suicidio resta la meno contraddetta, e l'esistenza materiale della lista dei 500 esportatori di valuta, certificata quale minaccia esercitata e non quale documento reperito. Sul versante di Calvi, il repertorio richiama la certificazione al Livello A della scalata occulta al gruppo Rizzoli-Corriere della Sera quale arco tra il Dominio 6 ed il Dominio 8, con il condizionamento documentato del primo quotidiano nazionale; della fuga del giugno 1982 lungo la direttrice Trieste-Klagenfurt-Londra con l'organizzazione di Flavio Carboni; della natura omicidiaria della morte sotto il ponte dei Blackfriars il 18 giugno 1982, fondata sulla convergenza tra la perizia del 2002, l'annullamento del primo verdetto suicidario e le motivazioni dei processi; mentre l'attribuzione del delitto resta al Livello C in forza delle assoluzioni definitive di Giuseppe Calò, Flavio Carboni ed Ernesto Diotallevi, e la scomparsa della borsa del banchiere è iscritta quale marcatore di spoliazione delimitato.</w:t>
      </w:r>
    </w:p>
    <w:p>
      <w:pPr>
        <w:spacing w:after="120" w:line="276"/>
        <w:jc w:val="both"/>
      </w:pPr>
      <w:r>
        <w:rPr>
          <w:rFonts w:ascii="Barlow Semi Condensed" w:cs="Barlow Semi Condensed" w:eastAsia="Barlow Semi Condensed" w:hAnsi="Barlow Semi Condensed"/>
          <w:sz w:val="24"/>
          <w:szCs w:val="24"/>
        </w:rPr>
        <w:t xml:space="preserve">Sul versante vaticano, il registro ha certificato al Livello A le lettere di patronage rilasciate dallo IOR il 1° settembre 1981 a copertura delle società estere del gruppo Ambrosiano, congiuntamente alla contro-lettera di manleva di pari data che ne rovesciava privatamente la portata, quale reperto documentale a doppio fondo che nessuna ricostruzione può eludere; l'accordo di Ginevra del 25 maggio 1984, con il versamento di 244 milioni di dollari ai creditori dell'Ambrosiano a titolo di contributo volontario e con esplicita esclusione di riconoscimento di responsabilità, quale transazione che chiude il contenzioso senza chiudere la questione storica; e la vicenda dei mandati di cattura del 1987 contro Paul Marcinkus, Luigi Mennini e Pellegrino De Strobel, annullati dalla corte di cassazione il 17 luglio 1987 per difetto di giurisdizione ai sensi dell'articolo 11 del Trattato lateranense, quale buco strutturale normativo certificato: un perimetro entro il quale la pretesa punitiva dello Stato non poté entrare, e che il registro censisce quale proprietà topologica della rete, non quale giudizio sulle persone. Al Livello B restano le dichiarazioni di Francesco Marino Mannoia sul riciclaggio di capitali mafiosi attraverso i canali vaticani, riscontrate solo in parte; al Livello C l'ipotesi dei finanziamenti a Solidarnosc ed ai canali d'armamento quale movente della copertura, ipotesi ricorrente nella memorialistica e priva di consacrazione documentale piena.</w:t>
      </w:r>
    </w:p>
    <w:p>
      <w:pPr>
        <w:spacing w:after="120" w:line="276"/>
        <w:jc w:val="both"/>
      </w:pPr>
      <w:r>
        <w:rPr>
          <w:rFonts w:ascii="Barlow Semi Condensed" w:cs="Barlow Semi Condensed" w:eastAsia="Barlow Semi Condensed" w:hAnsi="Barlow Semi Condensed"/>
          <w:sz w:val="24"/>
          <w:szCs w:val="24"/>
        </w:rPr>
        <w:t xml:space="preserve">Sul versante criminale, il repertorio richiama gli archi già inventariati nei capitoli 7 e 8: la certificazione al Livello A della posizione di Calò nella Commissione per effetto della sentenza del 30 gennaio 1992; l'ergastolo irrevocabile per la strage del rapido 904 del 23 dicembre 1984, con Guido Cercola ed il tecnico Friedrich Schaudinn, quale arco Dominio 1-Dominio 7 a certificazione piena, il più alto dell'intero registro; il circuito romano Calò-Diotallevi-Abbruciati-Carboni quale arco di transito tra i Domini 1 e 6; l'arsenale della Banda della Magliana custodito nei sotterranei del Ministero della Sanità, scoperto nel 1981, quale reperto di prossimità istituzionale certificato; l'arco operativo tra la batteria di Testaccio ed i Nuclei Armati Rivoluzionari attraverso Massimo Carminati, certificato dai giudicati sul duplice binario criminale-eversivo; l'apporto di uomini della banda al depistaggio bolognese, che chiude il quadrilatero Domini 1-3-4-7 sul solo piano, ancora una volta, dell'ostruzione; la sepoltura di Enrico De Pedis nella basilica di Sant'Apollinare dal 1990 al 2012 quale anomalia certificata al Livello A, con le cointeressenze finanziarie al Livello B ed ogni estensione al caso Orlandi al Livello C per inammissibilità fondativa della fonte; e l'esito integralmente assolutorio del processo per l'omicidio di Carmine Pecorelli, certificato al Livello A quale dato di chiusura giudiziale, con la permanenza del delitto nell'elenco degli insoluti.</w:t>
      </w:r>
    </w:p>
    <w:p>
      <w:pPr>
        <w:spacing w:after="120" w:line="276"/>
        <w:jc w:val="both"/>
      </w:pPr>
      <w:r>
        <w:rPr>
          <w:rFonts w:ascii="Barlow Semi Condensed" w:cs="Barlow Semi Condensed" w:eastAsia="Barlow Semi Condensed" w:hAnsi="Barlow Semi Condensed"/>
          <w:sz w:val="24"/>
          <w:szCs w:val="24"/>
        </w:rPr>
        <w:t xml:space="preserve">Sul versante politico, il repertorio richiama la condanna irrevocabile di Vito Ciancimino per concorso in associazione mafiosa e corruzione quale unico arco di infiltrazione compiuta certificato nella fase; il dato parlamentare delle 4.205 licenze edilizie del sacco di Palermo con la concentrazione sui 5 prestanome; il rapporto organico Ciancimino-Riina-Provenzano certificato dal giudicato; i contatti del 1992 con gli ufficiali Mori e De Donno certificati quale fatto ed esclusi quale reato dal giudicato del 2023; l'inammissibilità fondativa delle dichiarazioni di Massimo Ciancimino; il movente giudizialmente accertato dell'omicidio di Salvo Lima del 12 marzo 1992, la punizione per la mancata sistemazione del maxiprocesso, quale certificazione postuma del ruolo di referente; il triangolo Lima-Salvo-Andreotti nei limiti dei giudicati; il dispositivo integrale della sentenza d'appello del 2 maggio 2003, confermata dalla cassazione il 15 ottobre 2004, con la distinzione tra il periodo anteriore alla primavera del 1980, coperto da declaratoria di prescrizione di un reato associativo concretamente ravvisato, ed il periodo successivo, coperto da assoluzione; e la certificazione dell'omicidio di Piersanti Mattarella del 6 gennaio 1980 al Livello A quanto alla deliberazione mafiosa ed al Livello C quanto agli esecutori, con la pista dell'eversione nera chiusa da assoluzione definitiva e la questione consegnata alla Fase 3.</w:t>
      </w:r>
    </w:p>
    <w:p>
      <w:pPr>
        <w:spacing w:after="120" w:line="276"/>
        <w:jc w:val="both"/>
      </w:pPr>
      <w:r>
        <w:rPr>
          <w:rFonts w:ascii="Barlow Semi Condensed" w:cs="Barlow Semi Condensed" w:eastAsia="Barlow Semi Condensed" w:hAnsi="Barlow Semi Condensed"/>
          <w:sz w:val="24"/>
          <w:szCs w:val="24"/>
        </w:rPr>
        <w:t xml:space="preserve">Chiude il repertorio il censimento delle assenze: lo Stato Zero di Umberto Ortolani verso il Dominio 1, unica assenza sistematicamente ricercata e certificata della fase, che vale quale reperto negativo di prima classe e quale calibro per le fasi successive, nelle quali ogni connessione attesa e non trovata dovrà essere dichiarata con il medesimo rilievo delle connessioni trovate.</w:t>
      </w:r>
    </w:p>
    <w:p>
      <w:pPr>
        <w:spacing w:after="120" w:line="276"/>
        <w:jc w:val="both"/>
      </w:pPr>
      <w:r>
        <w:rPr>
          <w:rFonts w:ascii="Barlow Semi Condensed" w:cs="Barlow Semi Condensed" w:eastAsia="Barlow Semi Condensed" w:hAnsi="Barlow Semi Condensed"/>
          <w:b/>
          <w:bCs/>
          <w:sz w:val="24"/>
          <w:szCs w:val="24"/>
        </w:rPr>
        <w:t xml:space="preserve">Sintesi del dato nuovo acquisito:</w:t>
      </w:r>
      <w:r>
        <w:rPr>
          <w:rFonts w:ascii="Barlow Semi Condensed" w:cs="Barlow Semi Condensed" w:eastAsia="Barlow Semi Condensed" w:hAnsi="Barlow Semi Condensed"/>
          <w:sz w:val="24"/>
          <w:szCs w:val="24"/>
        </w:rPr>
        <w:t xml:space="preserve"> il repertorio consolida in un inventario unitario 38 tra archi, triangolazioni ed esiti certificati nella fase, dei quali 24 al Livello A, 7 al Livello B, 6 al Livello C ed 1 Stato Zero, e costituisce d'ora innanzi il riferimento citabile per ogni richiamo interno dell'opera al sottografo del quadrilatero.</w:t>
      </w:r>
    </w:p>
    <w:p>
      <w:pPr>
        <w:pStyle w:val="Heading3"/>
        <w:spacing w:after="80" w:before="160"/>
      </w:pPr>
      <w:r>
        <w:rPr>
          <w:rFonts w:ascii="Barlow Semi Condensed" w:cs="Barlow Semi Condensed" w:eastAsia="Barlow Semi Condensed" w:hAnsi="Barlow Semi Condensed"/>
          <w:sz w:val="24"/>
          <w:szCs w:val="24"/>
        </w:rPr>
        <w:t xml:space="preserve">Chiusura della Fase 1 — La lettura reticolare del quadrilatero e il bilancio probatorio dei primi 10 nodi</w:t>
      </w:r>
    </w:p>
    <w:p>
      <w:pPr>
        <w:spacing w:after="120" w:line="276"/>
        <w:jc w:val="both"/>
      </w:pPr>
      <w:r>
        <w:rPr>
          <w:rFonts w:ascii="Barlow Semi Condensed" w:cs="Barlow Semi Condensed" w:eastAsia="Barlow Semi Condensed" w:hAnsi="Barlow Semi Condensed"/>
          <w:sz w:val="24"/>
          <w:szCs w:val="24"/>
        </w:rPr>
        <w:t xml:space="preserve">La Fase 1 si chiude con 10 nodi certificati, 5 persone e 5 entità collettive, e con un sottografo che è ora possibile leggere nel suo insieme, applicando alla lettera il programma della Nota metodologica: prima i dati, poi i pattern, e solo alla fine, se i dati lo consentono, le ipotesi. Il presente capitolo di chiusura non introduce materiale nuovo; ricompone il materiale acquisito, dichiara i livelli di certificazione raggiunti, censisce le assenze accanto alle presenze, e consegna alle 4 fasi successive un perimetro probatorio definito, entro il quale ogni futura estensione dovrà giustificarsi.</w:t>
      </w:r>
    </w:p>
    <w:p>
      <w:pPr>
        <w:spacing w:after="120" w:line="276"/>
        <w:jc w:val="both"/>
      </w:pPr>
      <w:r>
        <w:rPr>
          <w:rFonts w:ascii="Barlow Semi Condensed" w:cs="Barlow Semi Condensed" w:eastAsia="Barlow Semi Condensed" w:hAnsi="Barlow Semi Condensed"/>
          <w:sz w:val="24"/>
          <w:szCs w:val="24"/>
        </w:rPr>
        <w:t xml:space="preserve">Il primo risultato della fase è la certificazione del quadrilatero loggia-finanza-Vaticano-mafia quale sottografo reale e non quale costruzione narrativa. I 4 vertici del quadrilatero sono presidiati da nodi certificati al Livello A: il vertice della loggia dai nodi Gelli, P2 ed Ortolani; il vertice della finanza dai nodi Sindona e Calvi con le rispettive strutture bancarie; il vertice vaticano dal nodo IOR nella gestione Marcinkus; il vertice mafioso dai nodi Calò, Magliana, Ciancimino e Lima, che ne declinano le 3 proiezioni, palermitana, romana e politica. I lati del quadrilatero, vale a dire gli archi che collegano i vertici, presentano gradi di certificazione differenziati che il registro dichiara senza arrotondamenti. Il lato loggia-finanza è certificato al Livello A in entrambe le sue campate: l'affiliazione di Sindona e di Calvi alla P2 è documentale, la cogestione gelliana-ortolaniana dei flussi dell'Ambrosiano è consacrata dalle condanne definitive per bancarotta, il conto Protezione è un reperto bancario. Il lato finanza-Vaticano è certificato al Livello A nel suo scheletro documentale, le lettere di patronage del 1° settembre 1981 con la contro-lettera di manleva, la partecipazione dello IOR nelle società estere del gruppo, l'accordo di Ginevra del 25 maggio 1984 con il contributo volontario di 244 milioni di dollari; e resta al Livello B, quale ricostruzione fondata su convergenze non integralmente giudicate, nella qualificazione complessiva della funzione di schermo. Il lato finanza-mafia è certificato al Livello A sul versante Sindona, con il riciclaggio dell'asse Gambino-Inzerillo-Spatola ed il finto sequestro del 1979, e sul versante romano, con il circuito Calò-Diotallevi-Carboni; resta al Livello C sul punto terminale, la morte di Calvi, per la ragione giudiziaria che il capitolo 5 ha esposto per esteso. Il lato loggia-mafia, il più controverso, è certificato al Livello A in un solo segmento pieno, la mediazione massonica dei progetti golpisti riferita da Buscetta e riscontrata nel ciclo Borghese, ed al Livello B nelle sue propaggini bolognesi, secondo l'accertamento postumo delle motivazioni più recenti; il registro rifiuta di saldarlo in una diagonale unica, perché le evidenze certificano segmenti, non un asse.</w:t>
      </w:r>
    </w:p>
    <w:p>
      <w:pPr>
        <w:spacing w:after="120" w:line="276"/>
        <w:jc w:val="both"/>
      </w:pPr>
      <w:r>
        <w:rPr>
          <w:rFonts w:ascii="Barlow Semi Condensed" w:cs="Barlow Semi Condensed" w:eastAsia="Barlow Semi Condensed" w:hAnsi="Barlow Semi Condensed"/>
          <w:sz w:val="24"/>
          <w:szCs w:val="24"/>
        </w:rPr>
        <w:t xml:space="preserve">Il secondo risultato è la mappa delle diagonali, vale a dire degli archi che attraversano il quadrilatero senza percorrerne i lati. La diagonale loggia-Vaticano esiste al Livello A come fatto relazionale, Ortolani gentiluomo di Sua Santità e tramite dichiarato tra Gelli e gli ambienti d'oltretevere, ed al Livello B come canale finanziario; la diagonale mafia-Vaticano esiste al Livello A in un solo reperto, la sepoltura di De Pedis in Sant'Apollinare, ed al Livello B nelle cointeressenze finanziarie romane, con la degradazione al Livello C di ogni estensione ulteriore, ivi compresa la vicenda Orlandi, per l'inammissibilità fondativa delle fonti che la alimentano. La geometria che ne risulta è istruttiva: il quadrilatero è robusto sui lati e fragile sulle diagonali, il che significa, nel lessico della teoria delle reti, che la connessione tra i vertici non contigui passò di norma attraverso i vertici intermedi, e che i mediatori, Sindona ed Ortolani sopra tutti, furono strutturalmente necessari. È la conferma reticolare di ciò che le biografie avevano suggerito: il sistema non fu una camera unica in cui tutti incontravano tutti, ma una catena di camere comunicanti, ciascuna presidiata da un portiere; e la storia giudiziaria del quadrilatero è, in larga misura, la storia dell'eliminazione fisica o processuale dei portieri.</w:t>
      </w:r>
    </w:p>
    <w:p>
      <w:pPr>
        <w:spacing w:after="120" w:line="276"/>
        <w:jc w:val="both"/>
      </w:pPr>
      <w:r>
        <w:rPr>
          <w:rFonts w:ascii="Barlow Semi Condensed" w:cs="Barlow Semi Condensed" w:eastAsia="Barlow Semi Condensed" w:hAnsi="Barlow Semi Condensed"/>
          <w:sz w:val="24"/>
          <w:szCs w:val="24"/>
        </w:rPr>
        <w:t xml:space="preserve">Il terzo risultato è il censimento delle centralità, che la fase consegna alle successive quale prima misura del potere reale. La più alta betweenness del sottografo appartiene a Sindona, l'unico nodo che tocca 5 domini e che connette direttamente il vertice finanziario americano, quello siciliano, quello vaticano e quello massonico: la sua traiettoria, dalla scalata alla catastrofe all'ergastolo alla morte per cianuro, è il caso di scuola del destino dei nodi ad altissima intermediazione, che il registro ha formulato quale ipotesi emergente, non quale legge, nel capitolo 4. La più alta eigenvector centrality appartiene ad Ortolani, il nodo meno visibile e più connesso ai connessi, secondo la distinzione tra potere di grado e potere di posizione che la Nota metodologica ha derivato da Freeman. La più alta degree centrality appartiene a Gelli, il collettore delle 962 affiliazioni, con l'avvertenza, formulata nel capitolo 1 e qui ribadita, che l'alto grado è anche massima visibilità e dunque massima vulnerabilità: Gelli fu il nodo più connesso e, non per caso, il primo ad essere esposto. La centralità di chiusura del sottografo romano appartiene infine alla Magliana quale piattaforma, non quale organizzazione: la sua funzione di hub di servizio, certificata dai giudicati, spiega senza residui la sua onnipresenza nei fascicoli, e la spiegazione minimale resta, ai sensi della procedura di Heuer, quella meno contraddetta dalle evidenze.</w:t>
      </w:r>
    </w:p>
    <w:p>
      <w:pPr>
        <w:spacing w:after="120" w:line="276"/>
        <w:jc w:val="both"/>
      </w:pPr>
      <w:r>
        <w:rPr>
          <w:rFonts w:ascii="Barlow Semi Condensed" w:cs="Barlow Semi Condensed" w:eastAsia="Barlow Semi Condensed" w:hAnsi="Barlow Semi Condensed"/>
          <w:sz w:val="24"/>
          <w:szCs w:val="24"/>
        </w:rPr>
        <w:t xml:space="preserve">Il quarto risultato, che il metodo impone di esporre con il medesimo rilievo dei positivi, è il censimento degli Stati Zero e delle assoluzioni, le assenze certificate che delimitano il perimetro di ciò che il registro non afferma. Lo Stato Zero di Ortolani verso il Dominio 1 resta confermato: la ricerca sistematica di un arco diretto tra il finanziere della loggia e le organizzazioni criminali non ha prodotto evidenze, e la connessione passa integralmente per i nodi interposti. Le assoluzioni definitive censite nella fase sono 5 e vengono qui riepilogate perché nessuna lettura d'insieme possa ometterle: l'assoluzione di Gelli dall'imputazione di concorso nella strage di Bologna, ferma la condanna definitiva per il depistaggio; l'assoluzione di Calò, Carboni e Diotallevi dall'omicidio Calvi, divenuta definitiva tra il 2010 ed il 2011, ferma la natura omicidiaria del fatto; l'assoluzione di tutti gli imputati del processo Pecorelli, con l'annullamento senza rinvio del 2003; l'assoluzione degli ufficiali dell'Arma e di Dell'Utri nel processo sulla trattativa, definitiva dal 2023, fermi i contatti del 1992 quale fatto storico; e l'assoluzione di Andreotti per il periodo successivo alla primavera del 1980, congiunta alla dichiarazione di estinzione per prescrizione del reato associativo ravvisato per il periodo anteriore, secondo il dispositivo che il capitolo 10 ha riportato per esteso. Il registro tratta queste 5 assenze come dati di prima classe: esse non indeboliscono la rete certificata, la delimitano; e la delimitazione è la condizione della sua solidità.</w:t>
      </w:r>
    </w:p>
    <w:p>
      <w:pPr>
        <w:spacing w:after="120" w:line="276"/>
        <w:jc w:val="both"/>
      </w:pPr>
      <w:r>
        <w:rPr>
          <w:rFonts w:ascii="Barlow Semi Condensed" w:cs="Barlow Semi Condensed" w:eastAsia="Barlow Semi Condensed" w:hAnsi="Barlow Semi Condensed"/>
          <w:sz w:val="24"/>
          <w:szCs w:val="24"/>
        </w:rPr>
        <w:t xml:space="preserve">Il quinto risultato è metodologico, ed è la verifica anti-induttiva che la Nota metodologica prescrive al termine di ogni unità espositiva: che cosa, nel materiale della Fase 1, contraddice o non conferma la gerarchia espositiva assunta quale scheletro narrativo dell'opera, vale a dire l'ipotesi H1 della convergenza delle potenze imperiali contro l'integrazione europea? La risposta è netta e va messa a registro. Nulla, nei 10 nodi certificati, richiede H1 per essere spiegato: il quadrilatero loggia-finanza-Vaticano-mafia si regge su moventi interni, l'arricchimento, la protezione, il potere di interdizione, la sopravvivenza organizzativa, e le sue dinamiche documentate, dalla scalata di Sindona alla punizione di Lima, si spiegano integralmente entro il perimetro nazionale e criminale-affaristico, senza necessità di un mandante geopolitico. Dove la dimensione internazionale compare, essa compare come mercato e come rifugio, i canali atlantici di Sindona, le rotte sudamericane di Gelli ed Ortolani, non come regia. La fase consegna dunque alle successive un vincolo popperiano esplicito: se H1 deve sopravvivere quale ipotesi di Livello C, i suoi eventuali elementi di supporto dovranno emergere dai domini che le prossime fasi esplorano, l'intelligence, lo stragismo, la proiezione internazionale, giacché il primo cerchio, quello del potere occulto interno, si è dimostrato autosufficiente sul piano esplicativo. Il falsificatore permanente, la ricostruzione milwardiana dell'integrazione europea quale progetto di salvataggio degli Stati nazionali sostenuto e non osteggiato dalla potenza americana, resta iscritto a margine del registro, e la Fase 1 non ha prodotto alcun elemento idoneo a rimuoverlo.</w:t>
      </w:r>
    </w:p>
    <w:p>
      <w:pPr>
        <w:spacing w:after="120" w:line="276"/>
        <w:jc w:val="both"/>
      </w:pPr>
      <w:r>
        <w:rPr>
          <w:rFonts w:ascii="Barlow Semi Condensed" w:cs="Barlow Semi Condensed" w:eastAsia="Barlow Semi Condensed" w:hAnsi="Barlow Semi Condensed"/>
          <w:sz w:val="24"/>
          <w:szCs w:val="24"/>
        </w:rPr>
        <w:t xml:space="preserve">Il sesto risultato è la consegna dei fili pendenti, che le fasi successive dovranno riprendere per obbligo di completezza. Il filo dell'intelligence, emerso in questa fase nei canali di Gelli verso i vertici dei servizi, nel ruolo di Pazienza e Musumeci nel depistaggio bolognese e nei contatti del 1992, diviene l'oggetto proprio della Fase 2, che ricostruirà i nodi Gladio, l'Ufficio affari riservati, i generali piduisti dei servizi, la rete Sogno ed il circuito internazionale di Le Cercle, entro il quale la domanda sulla regia esterna potrà essere posta su materiale pertinente. Il filo dello stragismo, toccato in questa fase nel solo segmento del rapido 904 e nelle propaggini bolognesi del quadrilatero, diviene l'oggetto della Fase 3, dalla matrice ordinovista di Piazza Fontana alla filiera Aginter, dove la tipologia quadripartita dell'ostruzione, già codificata dal registro, troverà il suo campo di applicazione integrale. Il filo del crocevia del 1978, la cui assenza da questa fase è deliberata, diviene l'oggetto della Fase 4, che affronterà il caso Moro secondo la decomposizione a 3 piani già costituzionalizzata dal registro, con il divieto inferenziale tra il piano delle condotte degli apparati ed il piano del mandato. Il filo della proiezione internazionale, infine, emerso qui nelle rotte atlantiche di Sindona e nelle sponde sudamericane della loggia, diviene l'oggetto della Fase 5, da Trieste al Sudafrica dell'apartheid al sistema Condor, dove il registro verificherà, su scala mondiale, la tenuta della distinzione tra isomorfismo strutturale e connessione operativa che la coppia Aginter-Hyperion ha già insegnato a maneggiare.</w:t>
      </w:r>
    </w:p>
    <w:p>
      <w:pPr>
        <w:spacing w:after="120" w:line="276"/>
        <w:jc w:val="both"/>
      </w:pPr>
      <w:r>
        <w:rPr>
          <w:rFonts w:ascii="Barlow Semi Condensed" w:cs="Barlow Semi Condensed" w:eastAsia="Barlow Semi Condensed" w:hAnsi="Barlow Semi Condensed"/>
          <w:sz w:val="24"/>
          <w:szCs w:val="24"/>
        </w:rPr>
        <w:t xml:space="preserve">Resta da dichiarare, a sigillo della fase, il criterio con cui i 10 nodi sono stati scelti e l'ordine con cui sono stati esposti, perché nessuna scelta espositiva è innocente e la trasparenza del metodo esige che anche l'architettura renda conto di sé. I nodi sono stati selezionati per il concorso di 2 requisiti oggettivi: la certificazione di Livello A di almeno un arco inter-dominio, e la frequenza trasversale nel corpus, misurata dalla scansione integrale dei 220 documenti che ha aperto i lavori; l'ordine espositivo ha seguito la topologia, non la cronologia, muovendo dal collettore delle affiliazioni verso i mediatori finanziari, quindi verso lo schermo vaticano, quindi verso il versante criminale, e chiudendo sul versante politico, sicché il lettore ha percorso il quadrilatero lato per lato, nell'ordine in cui i lati si certificano l'un l'altro. Le 4 fasi che seguono manterranno il medesimo statuto: 10 nodi per fase, certificazione dichiarata arco per arco, assoluzioni riportate per esteso, assenze censite accanto alle presenze, e la formula di chiusura di ciascun capitolo quale unità minima di accumulo del sapere acquisito.</w:t>
      </w:r>
    </w:p>
    <w:p>
      <w:pPr>
        <w:spacing w:after="120" w:line="276"/>
        <w:jc w:val="both"/>
      </w:pPr>
      <w:r>
        <w:rPr>
          <w:rFonts w:ascii="Barlow Semi Condensed" w:cs="Barlow Semi Condensed" w:eastAsia="Barlow Semi Condensed" w:hAnsi="Barlow Semi Condensed"/>
          <w:b/>
          <w:bCs/>
          <w:sz w:val="24"/>
          <w:szCs w:val="24"/>
        </w:rPr>
        <w:t xml:space="preserve">Sintesi del dato nuovo acquisito:</w:t>
      </w:r>
      <w:r>
        <w:rPr>
          <w:rFonts w:ascii="Barlow Semi Condensed" w:cs="Barlow Semi Condensed" w:eastAsia="Barlow Semi Condensed" w:hAnsi="Barlow Semi Condensed"/>
          <w:sz w:val="24"/>
          <w:szCs w:val="24"/>
        </w:rPr>
        <w:t xml:space="preserve"> la Fase 1 certifica il quadrilatero loggia-finanza-Vaticano-mafia quale sottografo reale, robusto sui lati e fragile sulle diagonali, con 10 nodi certificati, 5 assoluzioni definitive riepilogate quali dati di prima classe, 1 Stato Zero confermato, la misura delle 4 centralità assegnata ai nodi Sindona, Ortolani, Gelli e Magliana, e la verifica anti-induttiva che dichiara l'autosufficienza esplicativa del primo cerchio rispetto all'ipotesi H1, la quale resta al Livello C con il falsificatore milwardiano iscritto a margine; i fili dell'intelligence, dello stragismo, del crocevia del 1978 e della proiezione internazionale sono formalmente consegnati alle Fasi 2, 3, 4 e 5.</w:t>
      </w:r>
    </w:p>
    <w:p>
      <w:pPr>
        <w:pStyle w:val="Heading2"/>
        <w:spacing w:after="100" w:before="200"/>
      </w:pPr>
      <w:r>
        <w:rPr>
          <w:rFonts w:ascii="Barlow Semi Condensed" w:cs="Barlow Semi Condensed" w:eastAsia="Barlow Semi Condensed" w:hAnsi="Barlow Semi Condensed"/>
          <w:sz w:val="24"/>
          <w:szCs w:val="24"/>
        </w:rPr>
        <w:t xml:space="preserve">FASE II</w:t>
      </w:r>
    </w:p>
    <w:p>
      <w:pPr>
        <w:pBdr>
          <w:left w:val="single" w:color="1F3864" w:sz="18" w:space="8"/>
        </w:pBdr>
        <w:spacing w:after="80" w:before="80"/>
        <w:ind w:left="360" w:right="360"/>
        <w:jc w:val="both"/>
      </w:pPr>
      <w:r>
        <w:rPr>
          <w:rFonts w:ascii="Barlow Semi Condensed" w:cs="Barlow Semi Condensed" w:eastAsia="Barlow Semi Condensed" w:hAnsi="Barlow Semi Condensed"/>
          <w:i w:val="false"/>
          <w:iCs w:val="false"/>
          <w:sz w:val="24"/>
          <w:szCs w:val="24"/>
        </w:rPr>
        <w:t xml:space="preserve">Intelligence, apparati e strutture parallele</w:t>
      </w:r>
      <w:r>
        <w:rPr>
          <w:rFonts w:ascii="Barlow Semi Condensed" w:cs="Barlow Semi Condensed" w:eastAsia="Barlow Semi Condensed" w:hAnsi="Barlow Semi Condensed"/>
          <w:i w:val="false"/>
          <w:iCs w:val="false"/>
          <w:sz w:val="24"/>
          <w:szCs w:val="24"/>
        </w:rPr>
        <w:t xml:space="preserve"> </w:t>
      </w:r>
      <w:r>
        <w:rPr>
          <w:rFonts w:ascii="Barlow Semi Condensed" w:cs="Barlow Semi Condensed" w:eastAsia="Barlow Semi Condensed" w:hAnsi="Barlow Semi Condensed"/>
          <w:i w:val="false"/>
          <w:iCs w:val="false"/>
          <w:sz w:val="24"/>
          <w:szCs w:val="24"/>
        </w:rPr>
        <w:t xml:space="preserve">Il secondo cerchio: la deviazione dei servizi dello Stato</w:t>
      </w:r>
    </w:p>
    <w:p>
      <w:pPr>
        <w:pStyle w:val="Heading3"/>
        <w:spacing w:after="80" w:before="160"/>
      </w:pPr>
      <w:r>
        <w:rPr>
          <w:rFonts w:ascii="Barlow Semi Condensed" w:cs="Barlow Semi Condensed" w:eastAsia="Barlow Semi Condensed" w:hAnsi="Barlow Semi Condensed"/>
          <w:sz w:val="24"/>
          <w:szCs w:val="24"/>
        </w:rPr>
        <w:t xml:space="preserve">Avvertenza di fase e continuità del protocollo probatorio</w:t>
      </w:r>
    </w:p>
    <w:p>
      <w:pPr>
        <w:spacing w:after="120" w:line="276"/>
        <w:jc w:val="both"/>
      </w:pPr>
      <w:r>
        <w:rPr>
          <w:rFonts w:ascii="Barlow Semi Condensed" w:cs="Barlow Semi Condensed" w:eastAsia="Barlow Semi Condensed" w:hAnsi="Barlow Semi Condensed"/>
          <w:sz w:val="24"/>
          <w:szCs w:val="24"/>
        </w:rPr>
        <w:t xml:space="preserve">La Fase 2 muove dal perimetro consegnato dalla Fase 1 e ne raccoglie il primo dei fili pendenti, quello dell'intelligence, che il quadrilatero loggia-finanza-Vaticano-mafia aveva sfiorato nei canali di Gelli verso i vertici dei servizi ma non aveva ancora osservato dal suo interno. L'oggetto proprio di questa fase è il Dominio 3, l'intelligence ed i servizi segreti, colto nel punto in cui esso si accoppia strutturalmente al Dominio 9, le forze armate, ed al Dominio 2, il potere politico, generando quella figura che la pubblicistica designa con formula sbrigativa come servizi deviati e che il registro preferisce nominare, con maggiore precisione analitica, deviazione documentata di apparati: non un servizio parallelo ed occulto contrapposto ad un servizio legale e trasparente, ma la torsione, giudizialmente accertata in una pluralità di episodi, degli apparati legali medesimi verso finalità estranee od opposte al loro mandato istituzionale.</w:t>
      </w:r>
    </w:p>
    <w:p>
      <w:pPr>
        <w:spacing w:after="120" w:line="276"/>
        <w:jc w:val="both"/>
      </w:pPr>
      <w:r>
        <w:rPr>
          <w:rFonts w:ascii="Barlow Semi Condensed" w:cs="Barlow Semi Condensed" w:eastAsia="Barlow Semi Condensed" w:hAnsi="Barlow Semi Condensed"/>
          <w:sz w:val="24"/>
          <w:szCs w:val="24"/>
        </w:rPr>
        <w:t xml:space="preserve">Il protocollo probatorio resta immutato rispetto alla Fase 1 e non viene qui riesposto se non nei suoi cardini operativi. La triangolazione delle fonti secondo lo standard Savona 2.1 distingue i 3 livelli: il Livello A della connessione documentata, fondata su giudicato o su convergenza di 3 fonti indipendenti di natura diversa; il Livello B della connessione indiziaria, fondata su 2 fonti convergenti o su una singola fonte di alta affidabilità; il Livello C della connessione ipotetica, esplicitamente marcata quale ipotesi investigativa da verificare. La Regola Ferrea vieta ogni salto inferenziale tra il fatto documentato e la sua estensione congetturale, ed impone in particolare, in questa fase più che in ogni altra, la distinzione rigorosa tra la condotta di ostruzione o depistaggio, che numerosi giudicati certificano a carico di uomini degli apparati, ed il mandato originario dell'evento depistato, che la condotta di ostruzione non prova. L'Indice di Contaminazione della Fonte governa il trattamento delle dichiarazioni dei protagonisti, particolarmente insidiose in un campo dove gli attori sono professionisti della manipolazione informativa; e la disciplina delle persone viventi e defunte impone il ricorso ai soli fatti pubblici documentati, con riporto per esteso di ogni esito assolutorio.</w:t>
      </w:r>
    </w:p>
    <w:p>
      <w:pPr>
        <w:spacing w:after="120" w:line="276"/>
        <w:jc w:val="both"/>
      </w:pPr>
      <w:r>
        <w:rPr>
          <w:rFonts w:ascii="Barlow Semi Condensed" w:cs="Barlow Semi Condensed" w:eastAsia="Barlow Semi Condensed" w:hAnsi="Barlow Semi Condensed"/>
          <w:sz w:val="24"/>
          <w:szCs w:val="24"/>
        </w:rPr>
        <w:t xml:space="preserve">Un'avvertenza specifica di questa fase riguarda l'ipotesi H1, la convergenza delle potenze imperiali contro l'integrazione europea, che la Fase 1 ha consegnato al Livello C con il falsificatore milwardiano iscritto a margine, dichiarando l'autosufficienza esplicativa del primo cerchio. La chiusura della Fase 1 ha formulato al riguardo un vincolo popperiano esplicito: gli eventuali elementi di supporto di H1 dovranno emergere dai domini che le fasi successive esplorano, e l'intelligence è il primo di essi. Il Dominio 3 è, per definizione, il dominio nel quale la dimensione internazionale non è mercato o rifugio, come nel primo cerchio, ma sostanza operativa: i servizi italiani nascono e vivono entro un sistema di alleanze e di subordinazioni che li lega alla struttura atlantica ed ai servizi delle 2 superpotenze. La fase verificherà pertanto, su materiale finalmente pertinente, se questa dimensione internazionale si configuri come regia, secondo l'ipotesi H1, ovvero come cornice sistemica entro la quale attori nazionali perseguono finalità nazionali; e lo farà mantenendo la disciplina anti-induttiva, ossia cercando non le conferme di H1 ma le evidenze che la falsificherebbero, secondo la procedura delle ipotesi concorrenti di Heuer che governa l'intero registro. Il lettore troverà, al termine della fase, il bilancio esplicito di questa verifica.</w:t>
      </w:r>
    </w:p>
    <w:p>
      <w:pPr>
        <w:spacing w:after="120" w:line="276"/>
        <w:jc w:val="both"/>
      </w:pPr>
      <w:r>
        <w:rPr>
          <w:rFonts w:ascii="Barlow Semi Condensed" w:cs="Barlow Semi Condensed" w:eastAsia="Barlow Semi Condensed" w:hAnsi="Barlow Semi Condensed"/>
          <w:sz w:val="24"/>
          <w:szCs w:val="24"/>
        </w:rPr>
        <w:t xml:space="preserve">Un chiarimento definitorio si impone, a scanso di equivoci che gravano sull'intera materia. La nozione di deviazione, che dà titolo alla fase, non designa nel registro l'esistenza di un doppio Stato inteso quale apparato occulto integralmente separato e contrapposto all'apparato legale, secondo una vulgata che postula 2 strutture parallele, l'una visibile e legale, l'altra invisibile e criminale, dotate di gerarchie distinte e di finalità opposte. Il registro non certifica questa dicotomia, che eccederebbe di gran lunga il perimetro del provato, e adotta una nozione più circoscritta e più aderente agli accertamenti: la deviazione è la torsione documentata di apparati legali, nei loro uomini e nelle loro articolazioni, verso condotte estranee o contrarie al mandato istituzionale, torsione che si manifesta in episodi determinati e giudizialmente accertati e che non richiede, per essere certificata, l'ipotesi di una struttura occulta sovrastante. Un servizio che scheda illegittimamente non cessa di essere il servizio legale per divenire un servizio parallelo: è il servizio legale che devia. Un ufficiale che depista un'indagine non opera in nome di un apparato invisibile: opera, deviando, in seno all'apparato visibile. Questa precisazione non attenua la gravità dei fatti, ma ne definisce con esattezza la natura, e consente al registro di certificare le deviazioni provate senza assumere, quale loro premessa, l'esistenza di quel doppio Stato che gli accertamenti non hanno dimostrato quale struttura unitaria e che la Regola Ferrea vieta di postulare in via inferenziale. Ove peraltro un singolo caso presenti gli estremi di una struttura clandestina formalizzata, come nel caso della rete Gladio, il registro lo certifica quale tale, ma ne circoscrive rigorosamente la certificazione all'esistenza provata, tenendola distinta dall'impiego ipotetico.</w:t>
      </w:r>
    </w:p>
    <w:p>
      <w:pPr>
        <w:spacing w:after="120" w:line="276"/>
        <w:jc w:val="both"/>
      </w:pPr>
      <w:r>
        <w:rPr>
          <w:rFonts w:ascii="Barlow Semi Condensed" w:cs="Barlow Semi Condensed" w:eastAsia="Barlow Semi Condensed" w:hAnsi="Barlow Semi Condensed"/>
          <w:sz w:val="24"/>
          <w:szCs w:val="24"/>
        </w:rPr>
        <w:t xml:space="preserve">L'ordine espositivo dei 10 nodi segue, come nella Fase 1, la topologia e non la cronologia, muovendo dalla prima deviazione documentata degli apparati militari, il caso SIFAR, verso i direttori dei servizi coinvolti nell'eversione, quindi verso le strutture parallele civili e verso l'esercito segreto della rete stay-behind, per chiudere sul circuito internazionale del coordinamento anticomunista e sulla cattura piduista dell'intero vertice informativo, che salda la fase alla precedente. I criteri di selezione dei nodi restano i 2 requisiti oggettivi della Fase 1: la certificazione di Livello A di almeno un arco inter-dominio e la frequenza trasversale nel corpus, misurata dalla scansione integrale dei 220 documenti. Ogni capitolo si chiude con la formula di accumulo del sapere acquisito, ed una premessa di rendicontazione precede la lettura reticolare conclusiva.</w:t>
      </w:r>
    </w:p>
    <w:p>
      <w:pPr>
        <w:pStyle w:val="Heading3"/>
        <w:spacing w:after="80" w:before="160"/>
      </w:pPr>
      <w:r>
        <w:rPr>
          <w:rFonts w:ascii="Barlow Semi Condensed" w:cs="Barlow Semi Condensed" w:eastAsia="Barlow Semi Condensed" w:hAnsi="Barlow Semi Condensed"/>
          <w:sz w:val="24"/>
          <w:szCs w:val="24"/>
        </w:rPr>
        <w:t xml:space="preserve">Capitolo 1 — ▶ Giovanni De Lorenzo. La prima deviazione: il SIFAR, le schedature e il Piano Solo</w:t>
      </w:r>
    </w:p>
    <w:p>
      <w:pPr>
        <w:spacing w:after="120" w:line="276"/>
        <w:jc w:val="both"/>
      </w:pPr>
      <w:r>
        <w:rPr>
          <w:rFonts w:ascii="Barlow Semi Condensed" w:cs="Barlow Semi Condensed" w:eastAsia="Barlow Semi Condensed" w:hAnsi="Barlow Semi Condensed"/>
          <w:sz w:val="24"/>
          <w:szCs w:val="24"/>
        </w:rPr>
        <w:t xml:space="preserve">Giovanni De Lorenzo, nato a Vizzini il 29 dicembre 1907 e morto a Roma il 25 aprile 1973, generale dell'Arma dei carabinieri, apre la Fase 2 perché il suo nodo certifica il primo grande episodio di deviazione degli apparati di sicurezza della Repubblica: la trasformazione del servizio informativo militare da strumento di difesa in strumento di schedatura politica di massa, e la predisposizione, nell'estate del 1964, di un piano di enucleazione di persone che gli atti parlamentari qualificarono come grave deviazione dai fini istituzionali. La scansione del corpus registra il servizio da lui diretto, il SIFAR, 951 volte in 45 documenti, e la vicenda del Piano Solo attraversa gli atti di 4 commissioni d'inchiesta succedutesi in oltre 35 anni, dalla Commissione amministrativa Beolchini del 1966 alla Commissione stragi della XIII legislatura del 2000. Se la Fase 1 ha ricostruito il potere occulto che si annida negli interstizi tra i domini, la Fase 2 comincia dal punto in cui è lo Stato stesso, nella sua articolazione militare e informativa, a produrre la propria zona d'ombra.</w:t>
      </w:r>
    </w:p>
    <w:p>
      <w:pPr>
        <w:spacing w:after="120" w:line="276"/>
        <w:jc w:val="both"/>
      </w:pPr>
      <w:r>
        <w:rPr>
          <w:rFonts w:ascii="Barlow Semi Condensed" w:cs="Barlow Semi Condensed" w:eastAsia="Barlow Semi Condensed" w:hAnsi="Barlow Semi Condensed"/>
          <w:sz w:val="24"/>
          <w:szCs w:val="24"/>
        </w:rPr>
        <w:t xml:space="preserve">La biografia di De Lorenzo segue un cursus honorum che è esso stesso un reperto strutturale, giacché concentra in un solo uomo, in successione, il vertice di 3 apparati che il registro tiene distinti quali Domini 3 e 9. Capo del SIFAR, il Servizio informazioni forze armate, dal 1955 al 1962; comandante generale dell'Arma dei carabinieri dal 1962 al 1966, con il mantenimento di fatto del controllo sul servizio attraverso uomini di sua fiducia; capo di stato maggiore dell'esercito dal 1966; e infine, dopo il collocamento a riposo, deputato, eletto dapprima nel Partito democratico italiano di unità monarchica e successivamente nel Movimento sociale italiano. La traiettoria disegna il Pattern 7 del registro, l'analisi delle migrazioni inter-dominio, nella sua forma più pura: un ufficiale che percorre l'intero apparato di sicurezza dello Stato e ne esce per collocarsi nel Dominio 2, portando nel sistema politico il capitale relazionale e informativo accumulato negli apparati. Il registro certifica al Livello A, sul fondamento degli atti ufficiali, questa concentrazione di cariche, e ne trae la prima annotazione di metodo: la deviazione degli apparati non richiede una struttura esterna ad essi, ma può prodursi per accumulo di potere entro le cariche legali, quando un solo nodo cumula funzioni che il disegno costituzionale vorrebbe separate.</w:t>
      </w:r>
    </w:p>
    <w:p>
      <w:pPr>
        <w:spacing w:after="120" w:line="276"/>
        <w:jc w:val="both"/>
      </w:pPr>
      <w:r>
        <w:rPr>
          <w:rFonts w:ascii="Barlow Semi Condensed" w:cs="Barlow Semi Condensed" w:eastAsia="Barlow Semi Condensed" w:hAnsi="Barlow Semi Condensed"/>
          <w:sz w:val="24"/>
          <w:szCs w:val="24"/>
        </w:rPr>
        <w:t xml:space="preserve">Il primo pilastro probatorio è la schedatura di massa. Sotto la direzione di De Lorenzo, il SIFAR costituì un imponente apparato di raccolta informativa su cittadini estranei a ogni competenza istituzionale del servizio: politici, sindacalisti, magistrati, ecclesiastici, imprenditori, giornalisti, schedati per orientamento politico, condotta privata, relazioni personali. La Commissione amministrativa d'inchiesta presieduta dal generale Aldo Beolchini, istituita nel 1966 dal ministro della difesa Roberto Tremelloni, accertò l'esistenza di un numero di fascicoli che le fonti collocano nell'ordine di 157.000 posizioni, molte delle quali raccolte, secondo le conclusioni della Commissione, esulando dalla competenza istituzionale del servizio e configurando una raccolta illegittima. Il registro certifica al Livello A, sul fondamento delle conclusioni della Commissione Beolchini recepite dagli atti parlamentari successivi, l'esistenza e l'illegittimità dell'apparato schedatorio, e ne trae il significato sistemico: le schedature non erano un accessorio, ma lo strumento di potere del nodo, giacché la disponibilità riservata di informazioni compromettenti su una vasta parte del ceto dirigente conferiva al capo del servizio una capacità di condizionamento che nessuna carica formale gli attribuiva. È la prima comparsa, nel registro, della risorsa che la Nota metodologica assegna al Dominio 3 quale suo monopolio, l'informazione segreta, colta nel suo uso deviato: non a fini di difesa, ma a fini di ricatto potenziale.</w:t>
      </w:r>
    </w:p>
    <w:p>
      <w:pPr>
        <w:spacing w:after="120" w:line="276"/>
        <w:jc w:val="both"/>
      </w:pPr>
      <w:r>
        <w:rPr>
          <w:rFonts w:ascii="Barlow Semi Condensed" w:cs="Barlow Semi Condensed" w:eastAsia="Barlow Semi Condensed" w:hAnsi="Barlow Semi Condensed"/>
          <w:sz w:val="24"/>
          <w:szCs w:val="24"/>
        </w:rPr>
        <w:t xml:space="preserve">Il secondo pilastro, e il più controverso, è il Piano Solo. Nella primavera e nell'estate del 1964, durante la lunga crisi del primo governo organico di centro-sinistra presieduto da Aldo Moro, insediatosi il 5 dicembre 1963, il comando generale dell'Arma dei carabinieri, sotto la direzione di De Lorenzo, predispose un piano di emergenza denominato Solo, così detto perché avrebbe impegnato la sola Arma dei carabinieri senza il concorso delle altre forze. Il piano prevedeva, in caso di attivazione, l'occupazione dei centri nevralgici del Paese, sedi della radiotelevisione, prefetture, centrali telefoniche, sedi dei partiti e dei giornali, e soprattutto l'enucleazione, ossia il prelevamento e la deportazione in una località isolata della Sardegna, di un elenco di persone ritenute pericolose, i cosiddetti enucleandi, da trarsi in prevalenza dalla rubrica E del SIFAR, la rubrica degli individui da enucleare in caso di emergenza. La vicenda esplose pubblicamente nel 1967 con l'inchiesta giornalistica del settimanale L'Espresso, che parlò apertamente di un progettato colpo di Stato, e diede luogo a un contenzioso giudiziario e a una commissione parlamentare d'inchiesta.</w:t>
      </w:r>
    </w:p>
    <w:p>
      <w:pPr>
        <w:spacing w:after="120" w:line="276"/>
        <w:jc w:val="both"/>
      </w:pPr>
      <w:r>
        <w:rPr>
          <w:rFonts w:ascii="Barlow Semi Condensed" w:cs="Barlow Semi Condensed" w:eastAsia="Barlow Semi Condensed" w:hAnsi="Barlow Semi Condensed"/>
          <w:sz w:val="24"/>
          <w:szCs w:val="24"/>
        </w:rPr>
        <w:t xml:space="preserve">La qualificazione di quei fatti impone la massima disciplina del metodo, perché su di essi si è consumata una controversia storiografica e politica mai composta. Il registro procede per gradi di certificazione distinti. Certifica al Livello A l'esistenza materiale del piano, la predisposizione delle liste di enucleandi collegate alla rubrica E del SIFAR e l'anomalia costituzionale di un piano che attribuiva all'Arma dei carabinieri compiti di ordine pubblico straordinario esorbitanti dalle sue competenze: questi fatti non sono mai stati seriamente contestati e risultano dagli atti delle commissioni. Certifica altresì al Livello A la conclusione della Commissione parlamentare d'inchiesta, istituita nel 1969, la cui relazione di maggioranza del 1970 qualificò il complesso delle attività del SIFAR sotto De Lorenzo come deviazione dai fini istituzionali, pur senza pervenire alla qualificazione di tentato colpo di Stato. Mantiene per converso rigorosamente al Livello C, quale ipotesi mai consacrata da alcun accertamento definitivo e anzi respinta dalla relazione di maggioranza, la tesi che il Piano Solo costituisse un colpo di Stato in senso proprio, attivato o sul punto di attivarsi su mandato o con l'avallo del presidente della Repubblica Antonio Segni. La distinzione è la sostanza stessa del caso: tra un piano di emergenza illegittimo nella sua concezione e nelle sue liste, che è certificato, e un golpe deliberato e mancato, che è ipotesi, corre l'intera differenza tra ciò che il registro afferma e ciò che si vieta di affermare. La circostanza, essa stessa certificata al Livello A dagli atti della Commissione stragi, che la lista degli enucleandi risulti dispersa e non più reperibile, dichiarata introvabile dal governo tanto nel 1990 quanto nel 1999, è annotata dal registro quale reperto negativo di prima classe: l'assenza del documento capitale è un dato, e appartiene alla tipologia dell'ostruzione documentale che l'opera ha codificato.</w:t>
      </w:r>
    </w:p>
    <w:p>
      <w:pPr>
        <w:spacing w:after="120" w:line="276"/>
        <w:jc w:val="both"/>
      </w:pPr>
      <w:r>
        <w:rPr>
          <w:rFonts w:ascii="Barlow Semi Condensed" w:cs="Barlow Semi Condensed" w:eastAsia="Barlow Semi Condensed" w:hAnsi="Barlow Semi Condensed"/>
          <w:sz w:val="24"/>
          <w:szCs w:val="24"/>
        </w:rPr>
        <w:t xml:space="preserve">Il terzo pilastro è la sequenza delle inchieste, che fa del caso SIFAR il prototipo del meccanismo di accertamento e insabbiamento che il registro ritroverà in tutta la fase. Alla Commissione amministrativa Beolchini del 1966 seguì la Commissione d'inchiesta presieduta dal generale Giorgio Manes, il vicecomandante dell'Arma che aveva raccolto elementi sulla vicenda e che morì nel 1969 in circostanze che alimentarono sospetti mai tramutati in accertamento, sicché il registro ne mantiene la morte quale evento non qualificato; quindi la Commissione parlamentare d'inchiesta del 1969-1971; e infine, a distanza di decenni, la riapertura documentale operata dalla Commissione stragi della XIII legislatura, i cui atti, presenti nel corpus, ricostruiscono la vicenda alla luce delle desecretazioni degli anni Novanta. Il registro trae da questa sequenza il pattern dell'ostruzione istituzionale post-factum, distinto dall'ostruzione preventiva e dalla distruzione di prove: un meccanismo per cui l'accertamento procede a ondate successive, ciascuna delle quali recupera un frammento e ne perde un altro, sicché la verità giudiziaria e storica resta permanentemente incompleta. La regolarità empirica che il registro ha documentato su scala comparativa, secondo cui nessun archivio di apparato di sicurezza si è mai aperto spontaneamente ma solo per effetto di scandali, contenziosi o iniziative legislative, trova nel caso SIFAR la sua prima conferma nazionale.</w:t>
      </w:r>
    </w:p>
    <w:p>
      <w:pPr>
        <w:spacing w:after="120" w:line="276"/>
        <w:jc w:val="both"/>
      </w:pPr>
      <w:r>
        <w:rPr>
          <w:rFonts w:ascii="Barlow Semi Condensed" w:cs="Barlow Semi Condensed" w:eastAsia="Barlow Semi Condensed" w:hAnsi="Barlow Semi Condensed"/>
          <w:sz w:val="24"/>
          <w:szCs w:val="24"/>
        </w:rPr>
        <w:t xml:space="preserve">Il quarto pilastro è il significato tecnico del sistema delle rubriche del SIFAR, che il registro assume a chiarimento della natura operativa della schedatura e a fondamento della sua qualificazione quale apparato di ricatto potenziale. Il servizio classificava le posizioni schedate in rubriche distinte per finalità: accanto alla rubrica delle persone potenzialmente pericolose e a quella degli individui già condannati o sospettati, la rubrica E raccoglieva i nominativi delle persone da enucleare, ossia da prelevare e allontanare in caso di attivazione di un piano di emergenza. La distinzione tra le rubriche non è un dettaglio archivistico, ma la chiave della qualificazione dell'apparato: la mera raccolta informativa su un individuo è una cosa, e la sua iscrizione in una lista operativa di persone da prelevare in caso di emergenza è cosa affatto diversa, giacché trasforma la scheda da strumento conoscitivo in strumento potenzialmente esecutivo. Il registro certifica al Livello A, sul fondamento degli atti delle commissioni, l'esistenza del sistema delle rubriche e della rubrica E quale rubrica delle persone da enucleare, e ne trae la qualificazione decisiva: il Piano Solo non era un piano astratto, ma un piano dotato del suo strumento operativo, la rubrica E, che ne costituiva la lista di attuazione; e la dispersione della lista degli enucleandi, dichiarata introvabile, priva l'accertamento precisamente del documento che avrebbe consentito di misurare l'ampiezza reale del disegno. Il registro annota altresì che la Commissione stragi, nei suoi lavori degli anni Novanta, rilevò la possibilità di ricostruire almeno parzialmente gli elenchi dispersi attraverso i fascicoli nei quali i nominativi sarebbero stati riversati dopo l'abolizione della rubrica nel 1968, e registrò che tale ricostruzione non risultava effettuata o comunicata: un ulteriore reperto di quella ostruzione istituzionale post-factum che il nodo De Lorenzo ha inaugurato quale pattern dell'intera fase.</w:t>
      </w:r>
    </w:p>
    <w:p>
      <w:pPr>
        <w:spacing w:after="120" w:line="276"/>
        <w:jc w:val="both"/>
      </w:pPr>
      <w:r>
        <w:rPr>
          <w:rFonts w:ascii="Barlow Semi Condensed" w:cs="Barlow Semi Condensed" w:eastAsia="Barlow Semi Condensed" w:hAnsi="Barlow Semi Condensed"/>
          <w:sz w:val="24"/>
          <w:szCs w:val="24"/>
        </w:rPr>
        <w:t xml:space="preserve">Le triangolazioni del nodo sono 3. La prima, De Lorenzo-SIFAR-rubrica E, è il triangolo interno al Dominio 3, che salda la carica alla struttura schedatoria e alle liste operative, certificato al Livello A dagli atti delle commissioni. La seconda, De Lorenzo-Arma dei carabinieri-Segni, è il triangolo dell'accoppiamento tra il Dominio 9 e il Dominio 2 nel momento della crisi del 1964, certificato al Livello A quanto ai contatti tra il generale e il vertice dello Stato durante la crisi di governo, e mantenuto al Livello C quanto alla natura golpista dell'iniziativa; il registro segnala che la stessa esistenza di quei contatti, in un frangente di crisi istituzionale, integra l'anomalia, indipendentemente dalla loro qualificazione. La terza, De Lorenzo-L'Espresso-Commissione parlamentare, è il triangolo dell'emersione pubblica, che documenta il ruolo del giornalismo d'inchiesta quale innesco dell'accertamento e prefigura l'arco tra il Dominio 8 e il Dominio 3 che la fase incontrerà ripetutamente.</w:t>
      </w:r>
    </w:p>
    <w:p>
      <w:pPr>
        <w:spacing w:after="120" w:line="276"/>
        <w:jc w:val="both"/>
      </w:pPr>
      <w:r>
        <w:rPr>
          <w:rFonts w:ascii="Barlow Semi Condensed" w:cs="Barlow Semi Condensed" w:eastAsia="Barlow Semi Condensed" w:hAnsi="Barlow Semi Condensed"/>
          <w:sz w:val="24"/>
          <w:szCs w:val="24"/>
        </w:rPr>
        <w:t xml:space="preserve">La contabilità della schedatura merita il dettaglio dei numeri, perché la deviazione si misura anzitutto in unità d'archivio. Gli accertamenti della Commissione Beolchini quantificarono in circa 157.000 i fascicoli costituiti dal servizio, una massa documentale che eccedeva di interi ordini di grandezza ogni plausibile perimetro di controspionaggio e che includeva dossier su parlamentari, ministri, prelati, sindacalisti, giornalisti ed uomini d'industria, corredati di annotazioni sulla vita privata e patrimoniale raccolte con metodi estranei ad ogni finalità istituzionale, Livello A quanto alle conclusioni della Commissione. La sorte di quell'archivio è essa stessa un reperto: dopo un decennio di custodia contesa, i fascicoli furono avviati alla distruzione nel 1974 per determinazione governativa, sotto il controllo di un'apposita commissione, sicché la Repubblica scelse di incenerire il corpo del reato per impedirne l'uso, sacrificando con ciò, per sempre, la possibilità di censirne analiticamente il contenuto, Livello A quanto alla distruzione. Il registro annota la duplicità del gesto senza scioglierla: la distruzione fu insieme profilassi contro il ricatto e amnistia dell'archivio, e le 2 letture, entrambe legittime, convivono da allora negli atti parlamentari come il primo esempio di quella ambivalenza istituzionale verso la propria memoria che il capitolo 9 della Fase 5 eleverà a regolarità empirica.</w:t>
      </w:r>
    </w:p>
    <w:p>
      <w:pPr>
        <w:spacing w:after="120" w:line="276"/>
        <w:jc w:val="both"/>
      </w:pPr>
      <w:r>
        <w:rPr>
          <w:rFonts w:ascii="Barlow Semi Condensed" w:cs="Barlow Semi Condensed" w:eastAsia="Barlow Semi Condensed" w:hAnsi="Barlow Semi Condensed"/>
          <w:sz w:val="24"/>
          <w:szCs w:val="24"/>
        </w:rPr>
        <w:t xml:space="preserve">Alla sequenza delle inchieste va aggiunto il canale che rese pubblico ciò che gli apparati avevano compartimentato: la stampa. Nel maggio 1967 il settimanale L'Espresso, con gli articoli di Lino Jannuzzi promossi dal direttore Eugenio Scalfari, rivelò al Paese l'esistenza del piano del 1964, costringendo le istituzioni ad uscire dal riserbo; De Lorenzo reagì querelando per diffamazione, ed il processo che ne seguì si concluse nel 1968 con la condanna dei giornalisti, i quali furono di lì a poco eletti in Parlamento, mentre il dibattimento aveva intanto prodotto l'effetto che nessuna sentenza poteva revocare, l'ingresso del Piano Solo nel discorso pubblico, Livello A sull'intera scansione. Il paradosso di un accertamento sostanziale veicolato da una condanna per diffamazione è la miglior introduzione al secondo tornante: la relazione della Commissione parlamentare d'inchiesta presieduta da Giuseppe Alessi, depositata nel 1971, che escluse a maggioranza la qualificazione golpista del piano riconoscendone le gravi irregolarità, accompagnata da relazioni di minoranza di segno opposto, Livello A quanto agli atti, con la conseguenza, che il registro assume quale dato permanente, di un evento certificato nei fatti e conteso nella qualificazione, secondo la medesima asimmetria che la Fase 1 ha incontrato nella P2. Chiude il quadro la parabola personale: la rimozione dal vertice dello stato maggiore dell'esercito nell'aprile 1967, all'esito degli accertamenti interni condotti dal generale Giorgio Manes, e la successiva elezione alla Camera nelle file monarchiche e poi missine, Livello A, che inaugura nel registro la figura, destinata a ripetersi, del generale della deviazione che transita dall'apparato al Parlamento: la migrazione inter-dominio del Pattern 7 nella sua variante più letterale, dall'archivio segreto all'immunità parlamentare.</w:t>
      </w:r>
    </w:p>
    <w:p>
      <w:pPr>
        <w:spacing w:after="120" w:line="276"/>
        <w:jc w:val="both"/>
      </w:pPr>
      <w:r>
        <w:rPr>
          <w:rFonts w:ascii="Barlow Semi Condensed" w:cs="Barlow Semi Condensed" w:eastAsia="Barlow Semi Condensed" w:hAnsi="Barlow Semi Condensed"/>
          <w:sz w:val="24"/>
          <w:szCs w:val="24"/>
        </w:rPr>
        <w:t xml:space="preserve">Il contesto politico dell'estate 1964 va infine restituito, perché il piano non abitò il vuoto ma una crisi di governo dalle scansioni note. Tra giugno e luglio, caduto il primo esecutivo organico di centro-sinistra ed apertasi la trattativa per la sua riedizione, il presidente della Repubblica Antonio Segni intrattenne con i vertici militari, De Lorenzo incluso, consultazioni la cui esistenza è documentata e la cui esatta portata resta contesa; nel medesimo torno di settimane maturarono le predisposizioni operative che gli accertamenti successivi avrebbero censito, e la trattativa politica si chiuse con un programma riformatore ridimensionato, prima che il capo dello Stato fosse colpito, in agosto, dal malore che ne avrebbe determinato le dimissioni, Livello A quanto alla cronologia istituzionale, Livello C quanto ad ogni nesso tra le predisposizioni militari e l'esito della trattativa, nesso che nessun accertamento ha consacrato. Alla stagione appartiene la formula con cui Pietro Nenni, protagonista della trattativa, avrebbe poi nominato quel clima, il rumore di sciabole avvertito nell'estate: espressione memorialistica che il registro cita quale reperto lessicale d'epoca, non quale accertamento, Livello B quanto alla testimonianza. La storiografia prevalente ha consegnato del piano la lettura del deterrente, un apparato predisposto non per essere eseguito ma per pesare, con la sua sola esistenza conoscibile ai pochi, sul tavolo della mediazione politica: lettura che il registro censisce quale ipotesi storiografica dominante, coerente con la qualificazione non golpista della Commissione Alessi e tuttavia non riducibile ad essa, Livello B, e che consegna al Pattern 8 un teorema destinato a lunga fortuna nella fase, l'apparato che condiziona non agendo ma potendo agire, la deviazione come potenzialità esibita.</w:t>
      </w:r>
    </w:p>
    <w:p>
      <w:pPr>
        <w:spacing w:after="120" w:line="276"/>
        <w:jc w:val="both"/>
      </w:pPr>
      <w:r>
        <w:rPr>
          <w:rFonts w:ascii="Barlow Semi Condensed" w:cs="Barlow Semi Condensed" w:eastAsia="Barlow Semi Condensed" w:hAnsi="Barlow Semi Condensed"/>
          <w:sz w:val="24"/>
          <w:szCs w:val="24"/>
        </w:rPr>
        <w:t xml:space="preserve">Alla contabilità delle rubriche appartiene infine il documento operativo che distingue il piano da ogni ordinaria pianificazione di ordine pubblico: le liste degli enucleandi. Gli accertamenti parlamentari censirono l'esistenza di elenchi, per un totale di oltre 700 nominativi, di dirigenti politici, sindacali e giornalistici da prelevare e trasferire, nella fase esecutiva, presso strutture riservate extraterritoriali rispetto ai circuiti ordinari di polizia giudiziaria, in Sardegna, secondo una procedura che non prevedeva né provvedimento dell'autorità giudiziaria né alcuna base normativa conoscibile, Livello A quanto all'esistenza delle liste ed alla meccanica del prelevamento quale risulta dagli atti, Livello B quanto alle quantificazioni di dettaglio, non uniformi nelle fonti. È questo, e non la generica raccolta informativa, il reperto che qualifica: la schedatura osserva, la lista di enucleazione predispone, ed il passaggio dall'una all'altra è il passaggio dal codice dell'informazione al codice dell'azione, che nessuna finalità difensiva dichiarata poteva coprire. Un poscritto tragico appartiene alla storia dell'accertamento: il generale Giorgio Manes, l'ufficiale che con la propria inchiesta interna aveva reso possibile la ricostruzione dei fatti, morì stroncato da un malore il 24 giugno 1969, nell'aula stessa in cui si accingeva a deporre dinanzi alla Commissione parlamentare, Livello A quanto al fatto, di natura accertata quale evento naturale, che il registro riporta senza alcuna suggestione aggiuntiva e con la sola annotazione che gli compete: la conoscenza di quella stagione giunse al Parlamento orfana del suo testimone più qualificato, e la storia dell'accertamento è anche, sempre, la storia dei suoi vuoti accidentali.</w:t>
      </w:r>
    </w:p>
    <w:p>
      <w:pPr>
        <w:spacing w:after="120" w:line="276"/>
        <w:jc w:val="both"/>
      </w:pPr>
      <w:r>
        <w:rPr>
          <w:rFonts w:ascii="Barlow Semi Condensed" w:cs="Barlow Semi Condensed" w:eastAsia="Barlow Semi Condensed" w:hAnsi="Barlow Semi Condensed"/>
          <w:sz w:val="24"/>
          <w:szCs w:val="24"/>
        </w:rPr>
        <w:t xml:space="preserve">L'estate del 1964 ebbe infine il suo epilogo fisico, che il registro censisce quale chiusura documentale della finestra: il 7 agosto 1964, nel proprio studio al Quirinale, durante un colloquio teso con il presidente del Consiglio Moro ed il ministro degli esteri Saragat sulla crisi in corso, il presidente Segni fu colpito da un grave malore cerebrale che ne compromise irreversibilmente le funzioni, conducendolo alle dimissioni del dicembre successivo, Livello A quanto ai fatti ed alle date. Il registro si attiene alla propria disciplina e non converte la coincidenza in causa: il collasso di un uomo provato non è un reperto sul contenuto dei colloqui, e nessun accertamento ha mai stabilito nessi che il registro possa certificare. Ma la cronologia oggettiva resta, ed appartiene alla contabilità della finestra: il presidente della Repubblica attorno al quale la stagione dei piani si era addensata uscì di scena, fisicamente, nel cuore dell'estate in cui la stagione si consumava, e la successione che ne seguì chiuse l'equazione politica del biennio. Con il dicembre 1964 la finestra critica inaugurale dell'opera si sigilla così su tutti i piani insieme, il militare, il politico e il biografico, e la Repubblica archivia il suo primo allarme senza processo, senza relazione approvata all'unanimità e senza più il protagonista istituzionale che avrebbe potuto, solo, raccontarne la versione mancante.</w:t>
      </w:r>
    </w:p>
    <w:p>
      <w:pPr>
        <w:spacing w:after="120" w:line="276"/>
        <w:jc w:val="both"/>
      </w:pPr>
      <w:r>
        <w:rPr>
          <w:rFonts w:ascii="Barlow Semi Condensed" w:cs="Barlow Semi Condensed" w:eastAsia="Barlow Semi Condensed" w:hAnsi="Barlow Semi Condensed"/>
          <w:b/>
          <w:bCs/>
          <w:sz w:val="24"/>
          <w:szCs w:val="24"/>
        </w:rPr>
        <w:t xml:space="preserve">Sintesi del dato nuovo acquisito:</w:t>
      </w:r>
      <w:r>
        <w:rPr>
          <w:rFonts w:ascii="Barlow Semi Condensed" w:cs="Barlow Semi Condensed" w:eastAsia="Barlow Semi Condensed" w:hAnsi="Barlow Semi Condensed"/>
          <w:sz w:val="24"/>
          <w:szCs w:val="24"/>
        </w:rPr>
        <w:t xml:space="preserve"> il nodo De Lorenzo è certificato al Livello A quale prima deviazione documentata degli apparati di sicurezza repubblicani, sul fondamento delle conclusioni della Commissione Beolchini sulle schedature illegittime del SIFAR e della relazione parlamentare del 1970 che qualificò le attività del servizio quale deviazione dai fini istituzionali; l'esistenza materiale del Piano Solo e delle liste di enucleandi è certificata al Livello A, mentre la sua qualificazione quale tentato colpo di Stato resta al Livello C, quale ipotesi non consacrata e anzi respinta dalla relazione di maggioranza; la dispersione della lista degli enucleandi è recepita quale reperto di ostruzione documentale di prima classe.</w:t>
      </w:r>
    </w:p>
    <w:p>
      <w:pPr>
        <w:pStyle w:val="Heading3"/>
        <w:spacing w:after="80" w:before="160"/>
      </w:pPr>
      <w:r>
        <w:rPr>
          <w:rFonts w:ascii="Barlow Semi Condensed" w:cs="Barlow Semi Condensed" w:eastAsia="Barlow Semi Condensed" w:hAnsi="Barlow Semi Condensed"/>
          <w:sz w:val="24"/>
          <w:szCs w:val="24"/>
        </w:rPr>
        <w:t xml:space="preserve">Capitolo 2 — ▶ Vito Miceli. Il direttore del servizio e l'accusa di cospirazione</w:t>
      </w:r>
    </w:p>
    <w:p>
      <w:pPr>
        <w:spacing w:after="120" w:line="276"/>
        <w:jc w:val="both"/>
      </w:pPr>
      <w:r>
        <w:rPr>
          <w:rFonts w:ascii="Barlow Semi Condensed" w:cs="Barlow Semi Condensed" w:eastAsia="Barlow Semi Condensed" w:hAnsi="Barlow Semi Condensed"/>
          <w:sz w:val="24"/>
          <w:szCs w:val="24"/>
        </w:rPr>
        <w:t xml:space="preserve">Vito Miceli, nato a Trapani il 30 gennaio 1916 e morto a Roma il 24 novembre 1990, generale, direttore del Servizio informazioni difesa dal 1970 al 1974, è il nodo attraverso il quale il registro certifica un fatto che nessuna vulgata potrebbe rendere più eloquente della sua nuda realtà giudiziaria: il direttore in carica del servizio segreto militare della Repubblica fu arrestato e processato per cospirazione politica mediante associazione, nel quadro delle inchieste sull'eversione di destra dei primi anni Settanta. La scansione del corpus registra il servizio da lui diretto, il SID, 1.658 volte in 100 documenti, la più alta frequenza documentale dell'intero Dominio 3, e il nome di Miceli 475 volte in 25 documenti. Il nodo salda 3 domini in una sola biografia: il Dominio 3 quale direttore del servizio, il Dominio 7 quale imputato di cospirazione eversiva, il Dominio 4 quale iscritto alla loggia P2, e proietta verso il Dominio 2 attraverso il successivo mandato parlamentare.</w:t>
      </w:r>
    </w:p>
    <w:p>
      <w:pPr>
        <w:spacing w:after="120" w:line="276"/>
        <w:jc w:val="both"/>
      </w:pPr>
      <w:r>
        <w:rPr>
          <w:rFonts w:ascii="Barlow Semi Condensed" w:cs="Barlow Semi Condensed" w:eastAsia="Barlow Semi Condensed" w:hAnsi="Barlow Semi Condensed"/>
          <w:sz w:val="24"/>
          <w:szCs w:val="24"/>
        </w:rPr>
        <w:t xml:space="preserve">La biografia istituzionale colloca Miceli al vertice del SID nel quadriennio cruciale che va dalla strage di Piazza Fontana del dicembre 1969 alla stagione dei tentativi eversivi. Nominato direttore del SID nell'ottobre del 1970, Miceli resse il servizio nel periodo in cui in esso si consumarono, secondo i successivi accertamenti giudiziari, i depistaggi delle indagini sulle stragi e i contatti ambigui con gli ambienti dell'eversione nera, materia che la Fase 3 tratterà nel suo contesto e che qui rileva quale sfondo della vicenda personale del direttore. Il registro certifica al Livello A, sul fondamento degli atti ufficiali, la carica e la sua durata, e annota il dato strutturale: Miceli diresse il SID negli stessi mesi in cui Junio Valerio Borghese predisponeva il tentativo eversivo del dicembre 1970, di cui il capitolo 6 dirà, e in cui prendeva forma l'organizzazione denominata Rosa dei Venti; ed è precisamente all'intersezione tra il servizio e questi ambienti che si collocò l'accusa che ne travolse la carriera.</w:t>
      </w:r>
    </w:p>
    <w:p>
      <w:pPr>
        <w:spacing w:after="120" w:line="276"/>
        <w:jc w:val="both"/>
      </w:pPr>
      <w:r>
        <w:rPr>
          <w:rFonts w:ascii="Barlow Semi Condensed" w:cs="Barlow Semi Condensed" w:eastAsia="Barlow Semi Condensed" w:hAnsi="Barlow Semi Condensed"/>
          <w:sz w:val="24"/>
          <w:szCs w:val="24"/>
        </w:rPr>
        <w:t xml:space="preserve">Il primo pilastro probatorio è l'arresto e l'imputazione. Il 31 ottobre 1974 Vito Miceli, all'epoca già sostituito alla direzione del SID, fu arrestato su ordine del giudice istruttore di Padova Giovanni Tamburino, nel quadro dell'inchiesta sull'organizzazione Rosa dei Venti, una struttura clandestina a carattere eversivo emersa dalle indagini sul tentativo golpista Borghese e sui suoi sviluppi. L'accusa era di cospirazione politica mediante associazione: al direttore del servizio segreto si contestava di aver promosso o diretto, o quantomeno favorito e coperto, un'associazione volta a sovvertire con mezzi illegali gli assetti costituzionali. Il registro certifica al Livello A, quale fatto giudiziario incontrovertibile risultante dagli atti, l'arresto del direttore del SID e l'imputazione di cospirazione: che il capo del servizio informativo militare sia stato privato della libertà personale e sottoposto a procedimento per un reato contro la personalità dello Stato è, di per sé, il reperto capitale del nodo, indipendentemente dall'esito, giacché documenta al massimo grado la porosità del confine tra il Dominio 3 e il Dominio 7 in quella stagione.</w:t>
      </w:r>
    </w:p>
    <w:p>
      <w:pPr>
        <w:spacing w:after="120" w:line="276"/>
        <w:jc w:val="both"/>
      </w:pPr>
      <w:r>
        <w:rPr>
          <w:rFonts w:ascii="Barlow Semi Condensed" w:cs="Barlow Semi Condensed" w:eastAsia="Barlow Semi Condensed" w:hAnsi="Barlow Semi Condensed"/>
          <w:sz w:val="24"/>
          <w:szCs w:val="24"/>
        </w:rPr>
        <w:t xml:space="preserve">Il secondo pilastro esige, in ossequio alla regola del registro, il riporto per esteso dell'esito. Il procedimento a carico di Miceli per la vicenda della Rosa dei Venti e per i fatti connessi si concluse con l'assoluzione dell'imputato dall'accusa di cospirazione; Miceli non fu condannato per i reati eversivi contestatigli, e la sua posizione, come quella di altri imputati di quel filone, si chiuse senza affermazione di responsabilità penale per il delitto associativo. Il registro certifica dunque al Livello A tanto l'arresto e l'imputazione quanto l'assoluzione, e ne trae la conseguenza metodologica rigorosa: il nodo Miceli documenta al Livello A il fatto storico di un direttore di servizio processato per eversione, ma non consente di certificare, in forza dell'assoluzione, la partecipazione del medesimo a un disegno eversivo. La distinzione tra il fatto del processo, che è certificato, e la fondatezza dell'accusa, che il giudicato ha negato, è la sostanza del caso e la misura della disciplina che il registro si impone anche quando l'imputato è il capo di un apparato deviato.</w:t>
      </w:r>
    </w:p>
    <w:p>
      <w:pPr>
        <w:spacing w:after="120" w:line="276"/>
        <w:jc w:val="both"/>
      </w:pPr>
      <w:r>
        <w:rPr>
          <w:rFonts w:ascii="Barlow Semi Condensed" w:cs="Barlow Semi Condensed" w:eastAsia="Barlow Semi Condensed" w:hAnsi="Barlow Semi Condensed"/>
          <w:sz w:val="24"/>
          <w:szCs w:val="24"/>
        </w:rPr>
        <w:t xml:space="preserve">Il terzo pilastro è l'appartenenza alla loggia P2, che salda il nodo al quadrilatero della Fase 1. Vito Miceli figura tra gli iscritti alla loggia Propaganda 2 di Licio Gelli, e la sua affiliazione, unitamente a quella dei direttori dei servizi che gli succedettero e che il capitolo 10 tratterà, integra l'arco tra il Dominio 3 e il Dominio 4 che la Fase 1 aveva certificato dal lato di Gelli e che qui si certifica dal lato dell'apparato. Il registro assume l'affiliazione al Livello A, sul fondamento delle liste sequestrate a Castiglion Fibocchi il 17 marzo 1981 e degli accertamenti della Commissione Anselmi, e ne trae il significato sistemico: la presenza del direttore del servizio militare in una loggia coperta, il cui Venerabile Maestro intratteneva i rapporti che la Fase 1 ha documentato, è la traccia materiale dell'accoppiamento strutturale tra il Dominio 3 e il Dominio 4, e conferma che la deviazione degli apparati non fu solo torsione funzionale verso l'eversione, ma anche cattura relazionale da parte di una struttura riservata trasversale ai domini.</w:t>
      </w:r>
    </w:p>
    <w:p>
      <w:pPr>
        <w:spacing w:after="120" w:line="276"/>
        <w:jc w:val="both"/>
      </w:pPr>
      <w:r>
        <w:rPr>
          <w:rFonts w:ascii="Barlow Semi Condensed" w:cs="Barlow Semi Condensed" w:eastAsia="Barlow Semi Condensed" w:hAnsi="Barlow Semi Condensed"/>
          <w:sz w:val="24"/>
          <w:szCs w:val="24"/>
        </w:rPr>
        <w:t xml:space="preserve">Il quarto pilastro è la migrazione politica. Dopo la vicenda giudiziaria, Miceli fu eletto deputato nel Movimento sociale italiano, sedendo alla Camera a partire dalla legislatura inaugurata nel 1976. Il nodo disegna così, come quello di De Lorenzo, il Pattern 7 delle migrazioni inter-dominio: dal vertice del Dominio 3, attraverso l'imputazione nel Dominio 7, al Dominio 2 per via elettorale. Il registro certifica al Livello A la carica parlamentare e annota la regolarità che i primi 2 nodi della fase già delineano: il passaggio di ufficiali di vertice degli apparati di sicurezza alla rappresentanza politica dell'area nazionale costituisce un corridoio strutturale tra i Domini 3, 9 e 2, ripetutamente percorso, che il Pattern 7 identifica quale meccanismo non casuale di ricollocazione del personale degli apparati.</w:t>
      </w:r>
    </w:p>
    <w:p>
      <w:pPr>
        <w:spacing w:after="120" w:line="276"/>
        <w:jc w:val="both"/>
      </w:pPr>
      <w:r>
        <w:rPr>
          <w:rFonts w:ascii="Barlow Semi Condensed" w:cs="Barlow Semi Condensed" w:eastAsia="Barlow Semi Condensed" w:hAnsi="Barlow Semi Condensed"/>
          <w:sz w:val="24"/>
          <w:szCs w:val="24"/>
        </w:rPr>
        <w:t xml:space="preserve">Il quinto pilastro è la natura dell'organizzazione Rosa dei Venti e il significato dell'inchiesta di Padova, che il registro assume quale reperto della porosità sistemica tra apparati ed eversione. L'organizzazione denominata Rosa dei Venti emerse dalle indagini condotte dal giudice istruttore di Padova Giovanni Tamburino a partire dalle propaggini del tentativo golpista del dicembre 1970, e si configurò, nella ricostruzione dell'inquirente, quale struttura clandestina a carattere eversivo che avrebbe collegato ambienti dell'eversione nera, settori delle forze armate e apparati informativi in un disegno di condizionamento autoritario dell'ordine costituzionale. L'inchiesta di Padova ebbe una portata dirompente perché, muovendo dal basso, dai singoli episodi eversivi, risalì fino al vertice del servizio segreto militare, giungendo all'arresto del suo direttore; e perché sollevò, per la prima volta in sede giudiziaria, la questione dei rapporti tra la struttura informativa dello Stato e gli ambienti eversivi che essa avrebbe dovuto sorvegliare. Il registro certifica al Livello A l'esistenza dell'inchiesta di Padova, la sua estensione dal livello degli esecutori a quello del vertice del servizio, e l'arresto del direttore che ne conseguì; e mantiene al Livello C, in forza del successivo esito assolutorio, la qualificazione della Rosa dei Venti quale struttura eversiva compiutamente organizzata e diretta dagli apparati. La distinzione è, ancora una volta, tra il fatto certificato dell'inchiesta e dei suoi esiti processuali, e l'ipotesi non consacrata della natura e della direzione dell'organizzazione. Il registro annota il significato sistemico dell'episodio: l'inchiesta di Padova documenta al Livello A che la magistratura, negli anni Settanta, giunse a ipotizzare e a perseguire un collegamento tra il vertice del servizio militare e l'eversione, e che tale ipotesi, pur non consacrata da condanna, aprì una crisi istituzionale che condusse alla rimozione e all'arresto del direttore; è il primo caso, nel registro, in cui il Dominio 10 della magistratura si accoppia al Dominio 3 nella forma dell'azione penale contro il vertice dell'apparato, prefigurando la dialettica tra magistratura e servizi che le fasi successive incontreranno.</w:t>
      </w:r>
    </w:p>
    <w:p>
      <w:pPr>
        <w:spacing w:after="120" w:line="276"/>
        <w:jc w:val="both"/>
      </w:pPr>
      <w:r>
        <w:rPr>
          <w:rFonts w:ascii="Barlow Semi Condensed" w:cs="Barlow Semi Condensed" w:eastAsia="Barlow Semi Condensed" w:hAnsi="Barlow Semi Condensed"/>
          <w:sz w:val="24"/>
          <w:szCs w:val="24"/>
        </w:rPr>
        <w:t xml:space="preserve">Le triangolazioni del nodo sono 3. La prima, Miceli-SID-Rosa dei Venti, è il triangolo dell'accusa, che salda il vertice del servizio all'organizzazione eversiva secondo l'ipotesi del giudice istruttore di Padova; esso è certificato al Livello A quanto all'esistenza del procedimento e dei contatti che vi emersero, e mantenuto al Livello C quanto alla partecipazione di Miceli al disegno eversivo, in forza dell'assoluzione. La seconda, Miceli-Gelli-P2, è il triangolo della cattura relazionale, certificato al Livello A dall'affiliazione documentata. La terza, Miceli-MSI-rappresentanza politica, è il triangolo della migrazione, certificato al Livello A dal mandato parlamentare. Sul piano dei pattern, il nodo attiva, oltre al Pattern 7, il Pattern 5 dei buchi strutturali, giacché la posizione del direttore del servizio, collocato all'incrocio tra l'apparato militare, la struttura eversiva e la loggia coperta, è una posizione di intermediazione la cui rimozione, avvenuta con l'arresto, aprì una discontinuità nel controllo del servizio che i successivi assetti dovettero ricomporre.</w:t>
      </w:r>
    </w:p>
    <w:p>
      <w:pPr>
        <w:spacing w:after="120" w:line="276"/>
        <w:jc w:val="both"/>
      </w:pPr>
      <w:r>
        <w:rPr>
          <w:rFonts w:ascii="Barlow Semi Condensed" w:cs="Barlow Semi Condensed" w:eastAsia="Barlow Semi Condensed" w:hAnsi="Barlow Semi Condensed"/>
          <w:sz w:val="24"/>
          <w:szCs w:val="24"/>
        </w:rPr>
        <w:t xml:space="preserve">Il contesto istruttorio dell'arresto va restituito nella sua architettura, perché la vicenda Miceli fu anche un conflitto tra giurisdizioni e tra letture del medesimo materiale. L'istruttoria padovana del giudice Giovanni Tamburino, muovendo dall'inchiesta sulla Rosa dei Venti, elaborò l'ipotesi di un organismo occulto operante entro il servizio e parallelo alla sua struttura ufficiale, un servizio nel servizio destinato a funzioni di condizionamento interno; l'istruttoria fu successivamente trasferita alla capitale per ragioni di competenza, e nella sede romana l'ipotesi organizzatoria si stemperò sino agli esiti assolutori che il capitolo ha riportato, Livello A quanto alla scansione processuale, Livello C quanto all'ipotesi dell'organismo parallelo, mai consacrata da giudicato. Il registro censisce il trasferimento di competenza quale reperto esso stesso: nella storia degli accertamenti sugli apparati, lo spostamento della sede giudiziaria si ripresenterà con regolarità statistica sospetta, da Milano a Catanzaro per Piazza Fontana come da Padova a Roma per la Rosa dei Venti, e l'analisi delle finestre critiche del Pattern 3 dovrà annotare che il foro romano fu, per gli imputati degli apparati, sistematicamente più mite dei fori di provenienza: correlazione certificabile, causa non certificata, secondo la disciplina che la Regola Ferrea impone.</w:t>
      </w:r>
    </w:p>
    <w:p>
      <w:pPr>
        <w:spacing w:after="120" w:line="276"/>
        <w:jc w:val="both"/>
      </w:pPr>
      <w:r>
        <w:rPr>
          <w:rFonts w:ascii="Barlow Semi Condensed" w:cs="Barlow Semi Condensed" w:eastAsia="Barlow Semi Condensed" w:hAnsi="Barlow Semi Condensed"/>
          <w:sz w:val="24"/>
          <w:szCs w:val="24"/>
        </w:rPr>
        <w:t xml:space="preserve">Un secondo reperto documentale appartiene alla stagione di Miceli ed illumina la natura promiscua della raccolta informativa d'apparato: il fascicolo Mi.Fo.Biali. Sotto tale criptonimo il servizio condusse a metà degli anni 70 un'attività di intercettazione su ambienti collocati all'incrocio tra vertici della Guardia di Finanza, traffici petroliferi e relazioni con la Libia, producendo un dossier che non approdò ad alcun procedimento e che rifluì invece, per canali mai integralmente chiariti, nella disponibilità di ambienti giornalistici e riservati, sino a riaffiorare nelle carte dell'agenzia OP di Carmine Pecorelli, Livello B quanto alla genesi ed al percorso del fascicolo, secondo le ricostruzioni parlamentari. Il registro ne trae la certificazione di un meccanismo più che di un contenuto: l'informazione raccolta dall'apparato per finalità dichiarate di sicurezza poteva mutare destinazione e divenire merce, arma negoziale o materiale di ricatto nel mercato riservato delle notizie, e questo scivolamento funzionale, documentato qui per la prima volta nella fase, è la premessa tecnica di tutto ciò che il capitolo 8 della Fase 4 dirà sul giornalismo delle veline e sul suo prezzo di sangue.</w:t>
      </w:r>
    </w:p>
    <w:p>
      <w:pPr>
        <w:spacing w:after="120" w:line="276"/>
        <w:jc w:val="both"/>
      </w:pPr>
      <w:r>
        <w:rPr>
          <w:rFonts w:ascii="Barlow Semi Condensed" w:cs="Barlow Semi Condensed" w:eastAsia="Barlow Semi Condensed" w:hAnsi="Barlow Semi Condensed"/>
          <w:sz w:val="24"/>
          <w:szCs w:val="24"/>
        </w:rPr>
        <w:t xml:space="preserve">Il ciclo apertosi con l'arresto del direttore si chiuse, sul piano sistemico, con la riforma che ridisegnò l'intera architettura informativa, e la scansione merita registrazione perché costituisce l'unico esito legislativo dell'intera stagione delle deviazioni. La legge 24 ottobre 1977 numero 801 soppresse il SID e ripartì le funzioni tra 2 organismi, il SISMI per la sicurezza militare ed il SISDE per quella democratica, coordinati dal comitato esecutivo CESIS presso la Presidenza del Consiglio, ed istituì per la prima volta un organo parlamentare di controllo, il Comitato per i servizi di informazione e sicurezza, insieme alla disciplina legislativa del segreto di Stato con l'esclusione espressa della sua opponibilità per i fatti eversivi dell'ordine costituzionale, Livello A quanto all'impianto normativo. Il registro annota la genealogia: la riforma nacque dichiaratamente dalla stagione dei processi agli apparati, e la clausola sull'ineccepibilità del segreto per i fatti eversivi porta impressa, in negativo, la memoria dei dinieghi opposti ai giudici istruttori del quinquennio precedente. Che poi la nuova architettura sia stata catturata, a men di 4 anni dalla sua entrata in funzione, dalla loggia che il capitolo 10 documenta, non abroga il valore del reperto ma lo raddoppia: la fase consegna così alle successive la coppia concettuale che governa l'intera materia, la riforma quale risposta dell'ordinamento e la cattura quale risposta alla risposta, il legislatore che chiude la porta e la rete che entra dalla finestra delle nomine.</w:t>
      </w:r>
    </w:p>
    <w:p>
      <w:pPr>
        <w:spacing w:after="120" w:line="276"/>
        <w:jc w:val="both"/>
      </w:pPr>
      <w:r>
        <w:rPr>
          <w:rFonts w:ascii="Barlow Semi Condensed" w:cs="Barlow Semi Condensed" w:eastAsia="Barlow Semi Condensed" w:hAnsi="Barlow Semi Condensed"/>
          <w:sz w:val="24"/>
          <w:szCs w:val="24"/>
        </w:rPr>
        <w:t xml:space="preserve">Quanto all'organizzazione che diede nome all'inchiesta, la Rosa dei Venti, gli accertamenti padovani ne censirono la natura di struttura clandestina a composizione mista, civile e militare, con proiezioni in più regioni del nord ed un lessico interno di legittimazione atlantica; tra gli arrestati figurò il colonnello Amos Spiazzi, ufficiale in servizio, la cui linea difensiva, l'appartenenza ad un'organizzazione di sicurezza interna legittima e nota alle gerarchie, introdusse nel dibattimento il tema, allora inverificabile, delle strutture parallele autorizzate, Livello A quanto agli arresti ed alla linea difensiva quale fatto processuale, Livello C quanto al suo contenuto di verità, che soltanto la rivelazione del 1990 avrebbe reso retrospettivamente plausibile senza mai riscontrarlo nel caso specifico. Gli esiti giudiziari del filone, in larga parte assolutori o di proscioglimento, completano la statistica della fase, Livello A, e consegnano al registro l'ennesima occorrenza della sua figura ricorrente: l'organizzazione materialmente esistita ed il reato giudizialmente inesistente, la forbice entro la quale abita, irrisolta per costruzione, l'intera contabilità della deviazione.</w:t>
      </w:r>
    </w:p>
    <w:p>
      <w:pPr>
        <w:spacing w:after="120" w:line="276"/>
        <w:jc w:val="both"/>
      </w:pPr>
      <w:r>
        <w:rPr>
          <w:rFonts w:ascii="Barlow Semi Condensed" w:cs="Barlow Semi Condensed" w:eastAsia="Barlow Semi Condensed" w:hAnsi="Barlow Semi Condensed"/>
          <w:sz w:val="24"/>
          <w:szCs w:val="24"/>
        </w:rPr>
        <w:t xml:space="preserve">Il nucleo tecnico dell'accusa romana merita infine di essere isolato, perché in esso sta la sostanza istituzionale del caso al di là della sorte processuale. A Miceli fu contestato, in radice, di aver disposto delle informazioni raccolte dal servizio sul tentativo del dicembre 1970 senza trasmetterle tempestivamente ed integralmente all'autorità politica ed a quella giudiziaria, trattenendo la conoscenza quale risorsa propria dell'apparato: accusa dalla quale fu assolto con la formula che il capitolo ha riportato, ma il cui oggetto, la ritenzione della notizia quale forma di potere, resta il paradigma concettuale che l'intera fase ha poi ritrovato in ogni sua stazione, Livello A quanto al contenuto della contestazione ed all'esito. Al dibattimento romano appartiene inoltre un reperto scenico che il registro censisce quale dato e non quale aneddoto: il confronto pubblico tra Miceli e Maletti, i 2 vertici del medesimo servizio che si accusarono reciprocamente in aula, ciascuno attribuendo all'altro la gestione anomala delle informative, Livello A quanto al contrasto processualmente documentato. La scena vale una radiografia: il servizio della prima metà degli anni 70 non fu un monolite deviato ma un campo di fazioni in guerra, ciascuna con il proprio archivio, i propri canali politici ed i propri protettori, e la deviazione, lungi dall'essere il progetto coerente di un centro unico, fu anche il sottoprodotto entropico di quella competizione interna per il controllo della risorsa informativa: lettura, questa, che gli atti autorizzano e che ridimensiona, senza cancellarla, ogni ipotesi di regia unitaria.</w:t>
      </w:r>
    </w:p>
    <w:p>
      <w:pPr>
        <w:spacing w:after="120" w:line="276"/>
        <w:jc w:val="both"/>
      </w:pPr>
      <w:r>
        <w:rPr>
          <w:rFonts w:ascii="Barlow Semi Condensed" w:cs="Barlow Semi Condensed" w:eastAsia="Barlow Semi Condensed" w:hAnsi="Barlow Semi Condensed"/>
          <w:sz w:val="24"/>
          <w:szCs w:val="24"/>
        </w:rPr>
        <w:t xml:space="preserve">Alla parabola del direttore va premessa la genealogia del vertice, che colloca la nomina nella sua sequenza istituzionale: il servizio riformato dopo lo scandalo dei fascicoli era stato retto dall'ammiraglio Eugenio Henke, il traghettatore che tra il 1966 ed il 1970 accompagnò la trasformazione del SIFAR in SID amministrando la stagione delle epurazioni parziali censite nel capitolo precedente, e fu il passaggio di consegne dell'ottobre 1970 a insediare Miceli alla direzione, Livello A quanto alla sequenza ed alle date. Il registro fissa la coincidenza cronologica che la scansione consegna: il nuovo direttore assunse il comando del servizio poche settimane prima della notte dell'Immacolata, sicché il tentativo del dicembre 1970 e la gestione delle sue notizie, che costituiranno il cuore dell'imputazione censita, caddero nell'esatta finestra di insediamento di un vertice appena installato, con gli uffici in transizione e le lealtà interne in riassestamento. La circostanza non è un attenuante né un aggravante, ed il registro la consegna quale puro dato di struttura: nella serie delle finestre critiche dell'opera, anche quella del dicembre 1970 si apre su un apparato colto nel proprio momento di minima coesione, e la regolarità con cui gli snodi eversivi del corpus intercettano le transizioni di vertice degli organi di sicurezza, dal 1970 di Miceli al 1978 dei servizi neonati, è essa stessa un reperto del Pattern 3, che il registro registra senza convertirlo in disegno: le transizioni sono finestre, e le finestre, chiunque le apra, fanno entrare la stessa aria.</w:t>
      </w:r>
    </w:p>
    <w:p>
      <w:pPr>
        <w:spacing w:after="120" w:line="276"/>
        <w:jc w:val="both"/>
      </w:pPr>
      <w:r>
        <w:rPr>
          <w:rFonts w:ascii="Barlow Semi Condensed" w:cs="Barlow Semi Condensed" w:eastAsia="Barlow Semi Condensed" w:hAnsi="Barlow Semi Condensed"/>
          <w:sz w:val="24"/>
          <w:szCs w:val="24"/>
        </w:rPr>
        <w:t xml:space="preserve">La genealogia dei vertici si completa con il successore, che il registro censisce per la funzione di cerniera: dopo la rimozione di Miceli, la direzione del servizio passò nell'estate 1974 all'ammiraglio Mario Casardi, che la resse sino alla riforma del 1977, amministrando la stagione terminale del SID, quella dei procedimenti censiti in questa fase, delle epurazioni giudiziarie dei propri uffici e della transizione legislativa verso il nuovo ordinamento, Livello A quanto alla successione ed alle date. Il registro annota la regolarità che la serie dei 3 direttori consegna: Henke il traghettatore dallo scandalo alla ricostruzione, Miceli il direttore imputato, Casardi il liquidatore verso la riforma, e la circostanza che l'intero arco vitale del servizio, 11 anni dalla nascita alla soppressione, sia interamente descrivibile attraverso le categorie della patologia, scandalo ereditato, vertice processato, struttura rifondata per legge, è il giudizio storico implicito che nessuna sentenza ha dovuto pronunciare: il SID è l'unico apparato della Repubblica la cui parabola istituzionale coincide, senza residui, con la propria storia giudiziaria, e la riforma del 1977 che lo cancellò fu, nella sostanza, l'unica sentenza definitiva emessa sull'intero organismo anziché sui suoi uomini.</w:t>
      </w:r>
    </w:p>
    <w:p>
      <w:pPr>
        <w:spacing w:after="120" w:line="276"/>
        <w:jc w:val="both"/>
      </w:pPr>
      <w:r>
        <w:rPr>
          <w:rFonts w:ascii="Barlow Semi Condensed" w:cs="Barlow Semi Condensed" w:eastAsia="Barlow Semi Condensed" w:hAnsi="Barlow Semi Condensed"/>
          <w:sz w:val="24"/>
          <w:szCs w:val="24"/>
        </w:rPr>
        <w:t xml:space="preserve">La mappa degli apparati si completa con la costellazione minore che il registro censisce per dovere di completezza istituzionale: accanto al servizio unificato operavano i SIOS, i servizi informazioni delle 3 forze armate, Esercito, Marina ed Aeronautica, strutture di intelligence di forza armata mai assorbite dalla riforma del 1949 né da quella del 1977, con proprie catene gerarchiche, propri archivi e proprie reti, formalmente confinate all'informazione tecnico-militare e ricorrentemente lambite, negli atti delle inchieste censite dall'opera, da attività eccedenti quel perimetro, Livello A quanto all'assetto ordinamentale, Livello B quanto alle eccedenze operative documentate episodicamente dalle istruttorie. Il registro annota il dato strutturale che la costellazione consegna: la Repubblica non ebbe mai, nell'intero arco del corpus, un solo servizio segreto, ma un arcipelago di almeno 4 strutture informative militari parallele più quelle civili, e questa ridondanza istituzionale, difesa per decenni in nome delle specificità d'arma, moltiplicava per definizione i luoghi possibili della devianza riducendo i luoghi effettivi del controllo, sicché ogni riforma censita dall'opera, dal 1977 al 2007, è leggibile anche come un tentativo, mai interamente riuscito al primo colpo, di ridurre il numero delle stanze buie per metro quadrato di Stato.</w:t>
      </w:r>
    </w:p>
    <w:p>
      <w:pPr>
        <w:spacing w:after="120" w:line="276"/>
        <w:jc w:val="both"/>
      </w:pPr>
      <w:r>
        <w:rPr>
          <w:rFonts w:ascii="Barlow Semi Condensed" w:cs="Barlow Semi Condensed" w:eastAsia="Barlow Semi Condensed" w:hAnsi="Barlow Semi Condensed"/>
          <w:sz w:val="24"/>
          <w:szCs w:val="24"/>
        </w:rPr>
        <w:t xml:space="preserve">Alla parabola del direttore appartiene infine il giorno che il registro isola quale trauma istituzionale puro, distinto dagli esiti processuali già censiti: il 31 ottobre 1974 il generale Vito Miceli, direttore in carica del servizio, fu tratto in arresto su ordine dell'autorità giudiziaria nell'ambito delle istruttorie sulle trame eversive, e tradotto nel carcere militare di Forte Boccea, primo ed unico caso nella storia repubblicana di un capo dei servizi arrestato durante il mandato, Livello A quanto all'arresto, alla data ed alla detenzione. Il registro fissa il valore autonomo della giornata, che nessuna assoluzione successiva ha potuto retroattivamente cancellare: quale che fosse la fondatezza dell'ipotesi accusatoria, poi caduta nei modi che il capitolo ha riportato per esteso, il 31 ottobre 1974 la Repubblica visse la circostanza istituzionalmente inaudita di un ordinamento il cui massimo organo informativo aveva il proprio vertice in cella per sospetta partecipazione a trame contro lo Stato medesimo, e questa fotografia, indipendente dal giudizio finale sull'uomo, resta il punto di massima crisi fiduciaria dell'intero sistema censito dalla fase, il momento in cui la domanda che attraversa tutta l'opera, chi custodisce i custodi, ricevette dall'ordinamento la sola risposta che esso conosca, un mandato di cattura, con la conseguenza storica che il registro annota: la riforma del 1977 non nacque da un dibattito, nacque da quella cella, e la legge censita nel capitolo finale di questa fase è comprensibile solo come il tentativo di garantire che mai più la Repubblica dovesse arrestare sé stessa per sapere cosa stesse facendo.</w:t>
      </w:r>
    </w:p>
    <w:p>
      <w:pPr>
        <w:spacing w:after="120" w:line="276"/>
        <w:jc w:val="both"/>
      </w:pPr>
      <w:r>
        <w:rPr>
          <w:rFonts w:ascii="Barlow Semi Condensed" w:cs="Barlow Semi Condensed" w:eastAsia="Barlow Semi Condensed" w:hAnsi="Barlow Semi Condensed"/>
          <w:b/>
          <w:bCs/>
          <w:sz w:val="24"/>
          <w:szCs w:val="24"/>
        </w:rPr>
        <w:t xml:space="preserve">Sintesi del dato nuovo acquisito:</w:t>
      </w:r>
      <w:r>
        <w:rPr>
          <w:rFonts w:ascii="Barlow Semi Condensed" w:cs="Barlow Semi Condensed" w:eastAsia="Barlow Semi Condensed" w:hAnsi="Barlow Semi Condensed"/>
          <w:sz w:val="24"/>
          <w:szCs w:val="24"/>
        </w:rPr>
        <w:t xml:space="preserve"> il nodo Miceli è certificato al Livello A quale caso, unico per rango, di direttore in carica del servizio segreto militare arrestato e processato per cospirazione politica, con esito assolutorio parimenti certificato e riportato per esteso; l'affiliazione del direttore alla loggia P2 è certificata al Livello A e salda l'arco Dominio 3-Dominio 4 dal lato dell'apparato; la successiva elezione parlamentare nel Movimento sociale italiano conferma il corridoio strutturale, individuato dal Pattern 7, che collega i vertici degli apparati di sicurezza alla rappresentanza politica dell'area nazionale.</w:t>
      </w:r>
    </w:p>
    <w:p>
      <w:pPr>
        <w:pStyle w:val="Heading3"/>
        <w:spacing w:after="80" w:before="160"/>
      </w:pPr>
      <w:r>
        <w:rPr>
          <w:rFonts w:ascii="Barlow Semi Condensed" w:cs="Barlow Semi Condensed" w:eastAsia="Barlow Semi Condensed" w:hAnsi="Barlow Semi Condensed"/>
          <w:sz w:val="24"/>
          <w:szCs w:val="24"/>
        </w:rPr>
        <w:t xml:space="preserve">Capitolo 3 — ▶ Gianadelio Maletti. Il Reparto D, il depistaggio di Piazza Fontana e la fuga</w:t>
      </w:r>
    </w:p>
    <w:p>
      <w:pPr>
        <w:spacing w:after="120" w:line="276"/>
        <w:jc w:val="both"/>
      </w:pPr>
      <w:r>
        <w:rPr>
          <w:rFonts w:ascii="Barlow Semi Condensed" w:cs="Barlow Semi Condensed" w:eastAsia="Barlow Semi Condensed" w:hAnsi="Barlow Semi Condensed"/>
          <w:sz w:val="24"/>
          <w:szCs w:val="24"/>
        </w:rPr>
        <w:t xml:space="preserve">Gianadelio Maletti, nato a Bologna il 13 gennaio 1921 e morto a Johannesburg il 26 dicembre 2021, generale, capo del Reparto D del Servizio informazioni difesa, ossia del reparto di controspionaggio, dal 1971 al 1975, è il nodo attraverso il quale il registro certifica al Livello A la figura che dà nome all'intera fase: l'ufficiale dei servizi condannato in via definitiva per aver depistato le indagini su una strage, e per ciò stesso latitante all'estero per l'ultimo quarantennio della sua vita. La scansione del corpus lo registra 497 volte in 28 documenti. Se Miceli è il direttore processato per il disegno e assolto, Maletti è il funzionario operativo condannato per la condotta: la distinzione tra i 2 nodi, contigui nel medesimo servizio e nel medesimo torno di anni, è la distinzione tra l'accusa non provata di partecipazione all'eversione e l'accusa provata di ostruzione all'accertamento, ed è precisamente questa distinzione che il registro pone a fondamento della sua nozione di deviazione documentata.</w:t>
      </w:r>
    </w:p>
    <w:p>
      <w:pPr>
        <w:spacing w:after="120" w:line="276"/>
        <w:jc w:val="both"/>
      </w:pPr>
      <w:r>
        <w:rPr>
          <w:rFonts w:ascii="Barlow Semi Condensed" w:cs="Barlow Semi Condensed" w:eastAsia="Barlow Semi Condensed" w:hAnsi="Barlow Semi Condensed"/>
          <w:sz w:val="24"/>
          <w:szCs w:val="24"/>
        </w:rPr>
        <w:t xml:space="preserve">La biografia istituzionale colloca Maletti al vertice del controspionaggio del SID nel periodo immediatamente successivo alla strage di Piazza Fontana, avvenuta a Milano il 12 dicembre 1969, evento inaugurale della stagione stragista che la Fase 3 tratterà nella sua interezza e che qui rileva quale oggetto delle condotte di depistaggio contestate al nodo. Quale capo del Reparto D, Maletti ebbe la responsabilità operativa delle attività di controspionaggio e delle relative fonti confidenziali nel periodo in cui le indagini sulla strage di Milano si indirizzavano dapprima, secondo l'impostazione che si rivelerà depistante, verso la pista anarchica, e successivamente verso la pista nera dell'eversione di destra. Il registro certifica al Livello A la carica e la sua collocazione temporale, e ne trae lo sfondo: il controspionaggio militare disponeva, in quegli anni, di fonti collocate negli ambienti dell'eversione nera, e la gestione di tali fonti fu il terreno sul quale si consumarono le condotte per le quali il nodo fu condannato.</w:t>
      </w:r>
    </w:p>
    <w:p>
      <w:pPr>
        <w:spacing w:after="120" w:line="276"/>
        <w:jc w:val="both"/>
      </w:pPr>
      <w:r>
        <w:rPr>
          <w:rFonts w:ascii="Barlow Semi Condensed" w:cs="Barlow Semi Condensed" w:eastAsia="Barlow Semi Condensed" w:hAnsi="Barlow Semi Condensed"/>
          <w:sz w:val="24"/>
          <w:szCs w:val="24"/>
        </w:rPr>
        <w:t xml:space="preserve">Il primo pilastro probatorio è la condanna definitiva per il depistaggio di Piazza Fontana. Nel lungo ciclo processuale sulla strage di Milano, la posizione di Gianadelio Maletti fu accertata quanto alle condotte di favoreggiamento e di ostruzione: al generale fu contestato, e giudizialmente addebitato, di aver favorito l'espatrio e la sottrazione all'accertamento di soggetti collegati agli ambienti dell'eversione nera implicati nelle indagini, tra i quali l'agente e fonte del servizio Guido Giannettini e l'ordinovista Marco Pozzi, e di aver contribuito alla costruzione di piste false e alla contaminazione del quadro probatorio. Le sentenze accertarono tali condotte e ne trassero condanna, divenuta irrevocabile, per i reati connessi al depistaggio. Il registro certifica al Livello A, sul fondamento del giudicato, la responsabilità di Maletti nelle condotte di depistaggio delle indagini su Piazza Fontana, e ne trae la certificazione dell'arco che dà nome alla fase: l'arco di ostruzione tra il Dominio 3 e il Dominio 7, per cui un apparato dello Stato intervenne non per accertare una strage, ma per sottrarne all'accertamento la matrice. Il registro ribadisce con la massima fermezza il limite inferenziale già sancito nella Fase 1 a proposito di Bologna: la condanna per il depistaggio certifica la condotta di ostruzione, non il mandato della strage depistata; dal fatto che un apparato abbia coperto una pista non discende che il medesimo apparato abbia armato la mano, e la Regola Ferrea vieta di colmare con la verosimiglianza questo abisso probatorio. La condotta di depistaggio è parte integrante dell'evento e non suo accidente, secondo la tipologia quadripartita dell'ostruzione che il registro ha codificato; ma è parte del versante dell'occultamento, non prova del versante dell'ideazione.</w:t>
      </w:r>
    </w:p>
    <w:p>
      <w:pPr>
        <w:spacing w:after="120" w:line="276"/>
        <w:jc w:val="both"/>
      </w:pPr>
      <w:r>
        <w:rPr>
          <w:rFonts w:ascii="Barlow Semi Condensed" w:cs="Barlow Semi Condensed" w:eastAsia="Barlow Semi Condensed" w:hAnsi="Barlow Semi Condensed"/>
          <w:sz w:val="24"/>
          <w:szCs w:val="24"/>
        </w:rPr>
        <w:t xml:space="preserve">Il secondo pilastro è la latitanza in Sudafrica, che fa del nodo Maletti un caso di scuola e un ponte anticipato verso la Fase 5. Divenuta insostenibile la sua posizione in Italia, Maletti riparò all'estero e si stabilì stabilmente in Sudafrica, a Johannesburg, dove risiedette fino alla morte, sottraendosi all'esecuzione delle statuizioni a suo carico e rendendo, negli anni successivi, dichiarazioni e interviste dalla sua residenza sudafricana. Il registro certifica al Livello A la latitanza e la sua sede, e ne trae 2 annotazioni. La prima è di metodo: le dichiarazioni rese dal latitante negli anni successivi, particolarmente quelle concernenti presunte responsabilità di apparati stranieri nelle stragi italiane, sono trattate secondo l'Indice di Contaminazione della Fonte, giacché provengono da un soggetto condannato per depistaggio, interessato alla propria collocazione nella vicenda e sottratto al contraddittorio processuale; esse non ascendono, in assenza di riscontri autonomi, oltre il Livello C. La seconda annotazione è strutturale e anticipa la Fase 5: la scelta del Sudafrica dell'apartheid quale rifugio di un ufficiale dei servizi italiani latitante non è casuale, ma si iscrive in una regolarità che il registro documenterà su scala mondiale, per cui il regime di Pretoria funzionò da nodo di accoglienza e di scambio per una rete internazionale di soggetti dell'eversione e degli apparati deviati; il Sudafrica compare qui, per la prima volta nel registro dopo l'accenno del profilo di uno dei suoi finanziatori, quale destinazione strutturale e non quale asilo individuale.</w:t>
      </w:r>
    </w:p>
    <w:p>
      <w:pPr>
        <w:spacing w:after="120" w:line="276"/>
        <w:jc w:val="both"/>
      </w:pPr>
      <w:r>
        <w:rPr>
          <w:rFonts w:ascii="Barlow Semi Condensed" w:cs="Barlow Semi Condensed" w:eastAsia="Barlow Semi Condensed" w:hAnsi="Barlow Semi Condensed"/>
          <w:sz w:val="24"/>
          <w:szCs w:val="24"/>
        </w:rPr>
        <w:t xml:space="preserve">Il terzo pilastro è la figura di Guido Giannettini, la fonte del servizio la cui vicenda illumina la natura dell'accoppiamento tra il Dominio 3 e il Dominio 7 e proietta verso il Dominio 8. Giannettini, giornalista e pubblicista di orientamento di destra radicale, fu, secondo gli accertamenti, contemporaneamente collaboratore e fonte del servizio informativo militare e figura attiva negli ambienti dell'eversione nera, sino a essere coinvolto nelle indagini sulla strage di Piazza Fontana; la sua sottrazione all'accertamento, favorita dagli uomini del servizio secondo quanto le sentenze accertarono, fu parte delle condotte di depistaggio per le quali Maletti fu condannato. Il registro certifica al Livello A, sul fondamento del giudicato, la duplice collocazione di Giannettini quale fonte del servizio e quale figura degli ambienti eversivi, e il favoreggiamento della sua sottrazione da parte degli uomini del Reparto D; e ne trae l'annotazione strutturale che ne fa un reperto capitale. La figura di Giannettini documenta al Livello A che il servizio informativo non si limitava a sorvegliare l'eversione nera dall'esterno, ma ne aveva reclutato al proprio interno, quale fonte, un esponente attivo; e che, quando tale esponente fu lambito dalle indagini su una strage, il servizio intervenne per sottrarlo all'accertamento anziché per consegnarlo. È la certificazione più netta della porosità del confine tra il Dominio 3 e il Dominio 7: non un confine sorvegliato, ma un confine attraversato, nel quale la fonte del servizio e l'esponente dell'eversione coincidono nella medesima persona. La proiezione verso il Dominio 8 è nel fatto che Giannettini fu, professionalmente, un pubblicista, sicché la sua figura salda in un solo nodo la fonte informativa, l'attore eversivo e l'operatore dell'informazione, prefigurando quell'intreccio tra apparati, eversione e controllo del flusso informativo che la Nota metodologica assegna al Dominio 8 e che le fasi successive svilupperanno. Il registro ribadisce, anche qui, il limite inferenziale: la certificazione della duplice collocazione della fonte e del favoreggiamento della sua sottrazione non prova che il servizio abbia diretto l'azione stragista attraverso la propria fonte, ma soltanto che ne coprì l'esponente quando l'accertamento lo raggiunse; la distinzione tra la copertura provata e la direzione non provata è, ancora una volta, la sostanza del metodo.</w:t>
      </w:r>
    </w:p>
    <w:p>
      <w:pPr>
        <w:spacing w:after="120" w:line="276"/>
        <w:jc w:val="both"/>
      </w:pPr>
      <w:r>
        <w:rPr>
          <w:rFonts w:ascii="Barlow Semi Condensed" w:cs="Barlow Semi Condensed" w:eastAsia="Barlow Semi Condensed" w:hAnsi="Barlow Semi Condensed"/>
          <w:sz w:val="24"/>
          <w:szCs w:val="24"/>
        </w:rPr>
        <w:t xml:space="preserve">Le triangolazioni del nodo sono 3. La prima, Maletti-Reparto D-Giannettini, è il triangolo della gestione delle fonti, che salda il controspionaggio militare alla fonte collocata nell'eversione nera e costituisce il segmento operativo del depistaggio; esso è certificato al Livello A dal giudicato. La seconda, Maletti-espatrio-piste false, è il triangolo della condotta di ostruzione nella sua duplice modalità, la sottrazione dei soggetti e la contaminazione del quadro probatorio, certificato al Livello A dalle sentenze. La terza, Maletti-Sudafrica-dichiarazioni tardive, è il triangolo della latitanza e della sua produzione dichiarativa, certificato al Livello A quanto al fatto della latitanza e mantenuto al Livello C quanto al contenuto delle dichiarazioni, per l'Indice di Contaminazione. Sul piano dei pattern, il nodo è il caso paradigmatico del Pattern che il registro ha derivato dalla tipologia dell'ostruzione, e attiva altresì il Pattern 7 nella sua variante geografica, la migrazione non tra domini ma tra giurisdizioni, quale tecnica di sottrazione all'accertamento.</w:t>
      </w:r>
    </w:p>
    <w:p>
      <w:pPr>
        <w:spacing w:after="120" w:line="276"/>
        <w:jc w:val="both"/>
      </w:pPr>
      <w:r>
        <w:rPr>
          <w:rFonts w:ascii="Barlow Semi Condensed" w:cs="Barlow Semi Condensed" w:eastAsia="Barlow Semi Condensed" w:hAnsi="Barlow Semi Condensed"/>
          <w:sz w:val="24"/>
          <w:szCs w:val="24"/>
        </w:rPr>
        <w:t xml:space="preserve">La condanna per il depistaggio si compone di episodi materiali che il registro deve nominare, perché la loro concretezza vale più di ogni qualificazione astratta. Il primo è l'esfiltrazione di Marco Pozzan, testimone chiave del filone veneto, prelevato e trasferito clandestinamente a Madrid nel gennaio 1973 a cura di uomini del Reparto D muniti di documenti di copertura, affinché la sua voce non raggiungesse i giudici istruttori, Livello A quanto al fatto, consacrato dalle sentenze. Il secondo è la gestione della fonte Giannettini dopo l'emersione del suo nome: l'espatrio a Parigi nella primavera del 1973, il mantenimento della retribuzione da parte del servizio durante la latitanza, la protezione prolungata sino a che la posizione divenne indifendibile, Livello A. Il terzo è il modo in cui il segreto cadde: non per iniziativa dell'apparato ma per decisione politica esterna, allorché nel giugno 1974 il ministro della difesa Giulio Andreotti, con un'intervista al settimanale Il Mondo, rivelò pubblicamente la qualità di collaboratore del SID di Guido Giannettini, scardinando con un gesto di comunicazione ciò che 2 anni di istruttorie non avevano potuto aprire, Livello A quanto alla rivelazione ed alla sua data. Il registro segnala l'anomalia morfologica dell'episodio: nella tassonomia degli archi, si tratta di un caso raro di disaccoppiamento verticale, il vertice politico che recide unilateralmente la protezione stesa dall'apparato, e la sua eccezionalità statistica, un solo caso certificato nell'intera fase, misura per contrasto la regola.</w:t>
      </w:r>
    </w:p>
    <w:p>
      <w:pPr>
        <w:spacing w:after="120" w:line="276"/>
        <w:jc w:val="both"/>
      </w:pPr>
      <w:r>
        <w:rPr>
          <w:rFonts w:ascii="Barlow Semi Condensed" w:cs="Barlow Semi Condensed" w:eastAsia="Barlow Semi Condensed" w:hAnsi="Barlow Semi Condensed"/>
          <w:sz w:val="24"/>
          <w:szCs w:val="24"/>
        </w:rPr>
        <w:t xml:space="preserve">Alla latitanza sudafricana appartiene infine un poscritto dichiarativo che il registro censisce con la doppia marcatura che gli spetta. Nel 2001, in occasione del ciclo processuale milanese sulla strage, Maletti, escusso dalla giustizia italiana nelle forme consentite dalla sua condizione di residente all'estero, rese e accompagnò con interviste pubbliche dichiarazioni nelle quali evocava la cornice internazionale degli anni della tensione ed il peso degli interessi atlantici sul teatro italiano: affermazioni di un condannato per depistaggio, rese a distanza di 3 decenni, prive di riscontro documentale autonomo, che il registro classifica al Livello C quale materiale dichiarativo tardivo, annotando però il paradosso che esse incarnano, il custode del segreto che, esauriti i tempi della responsabilità, si offre quale esegeta del segreto medesimo. La morte a Johannesburg, il 26 dicembre 2021, alla soglia dei 101 anni, chiuse l'ultima biografia vivente del triangolo del depistaggio, consegnando definitivamente agli archivi ciò che l'anagrafe aveva sino ad allora conteso alla storia.</w:t>
      </w:r>
    </w:p>
    <w:p>
      <w:pPr>
        <w:spacing w:after="120" w:line="276"/>
        <w:jc w:val="both"/>
      </w:pPr>
      <w:r>
        <w:rPr>
          <w:rFonts w:ascii="Barlow Semi Condensed" w:cs="Barlow Semi Condensed" w:eastAsia="Barlow Semi Condensed" w:hAnsi="Barlow Semi Condensed"/>
          <w:sz w:val="24"/>
          <w:szCs w:val="24"/>
        </w:rPr>
        <w:t xml:space="preserve">La geografia del rifugio merita un'annotazione che salda il nodo alla Fase 5. La scelta sudafricana di Maletti non fu eccentrica ma sistemica: il Sudafrica dell'apartheid, privo di rapporti estradizionali praticabili con l'Italia per i reati contestati e dotato di un apparato di sicurezza ideologicamente affine, funzionò per un ventennio quale approdo di latitanze eccellenti dell'area nera e degli apparati, ed il generale del Reparto D vi trascorse, tra Johannesburg ed i suoi sobborghi, quasi mezzo secolo di vita, protetto meno da un asilo formale che dall'inerzia reciproca delle burocrazie, Livello A quanto alla latitanza ed alla sua durata, Livello B quanto alla qualificazione sistemica dell'approdo, che la Fase 5 documenterà quale hub australe. Il registro ne trae una misura: la pena irrevocabile inflitta al depistatore di Piazza Fontana fu scontata per intero nella forma del soggiorno estero, e la distanza tra la sentenza e la sua esecuzione, misurabile in decenni ed in chilometri, è essa stessa un dato del sistema, la certificazione che per gli uomini degli apparati la sanzione penale operò, quando operò, quale titolo simbolico e non quale afflizione effettiva. Nella contabilità della fase, che registra condanne rare ed esecuzioni più rare ancora, il caso Maletti occupa perciò la posizione del paradigma: il massimo di accertamento compatibile con il minimo di conseguenza, la giustizia che raggiunge la verità e non raggiunge l'uomo.</w:t>
      </w:r>
    </w:p>
    <w:p>
      <w:pPr>
        <w:spacing w:after="120" w:line="276"/>
        <w:jc w:val="both"/>
      </w:pPr>
      <w:r>
        <w:rPr>
          <w:rFonts w:ascii="Barlow Semi Condensed" w:cs="Barlow Semi Condensed" w:eastAsia="Barlow Semi Condensed" w:hAnsi="Barlow Semi Condensed"/>
          <w:sz w:val="24"/>
          <w:szCs w:val="24"/>
        </w:rPr>
        <w:t xml:space="preserve">Il Reparto D va infine definito nella sua natura ordinamentale, perché l'anomalia sta nel mandato prima che negli uomini. Reparto di controspionaggio, istituzionalmente rivolto alla minaccia esterna, il D operò negli anni di Maletti, per prassi consolidata e mai formalizzata, quale principale strumento informativo interno del servizio sull'eversione domestica, con proprie fonti nell'estremismo di entrambi i segni, propri fondi riservati e proprie operazioni non tracciate nei circuiti ordinari: torsione funzionale che gli atti parlamentari censirono quale dato strutturale e che costituisce il presupposto tecnico di tutti gli episodi giudicati, Livello A quanto alla torsione documentata. Accanto al generale, la sentenza raggiunse l'esecutore delle operazioni materiali, il capitano Antonio Labruna, condannato in via definitiva per i medesimi fatti di favoreggiamento, figura che il registro ha già incontrato nel capitolo 6 quale raccoglitore dei nastri sul tentativo del 1970 e che riappare qui quale operatore delle esfiltrazioni: la doppia presenza del medesimo ufficiale sui 2 versanti, la documentazione del golpe e la protezione dei depistati, certifica al Livello A l'unità operativa della filiera che la fase ha scomposto per capitoli, ed autorizza la conclusione, rigorosamente limitata al perimetro dei giudicati, che il segmento deviato del servizio fu, negli anni cruciali, una struttura piccola, coesa e trasversale agli organigrammi, l'esatto contrario della deviazione di massa che la pubblicistica immagina e la prova esatta di quanto poco personale occorra, in un apparato compartimentato, per amministrare la conoscenza di tutti.</w:t>
      </w:r>
    </w:p>
    <w:p>
      <w:pPr>
        <w:spacing w:after="120" w:line="276"/>
        <w:jc w:val="both"/>
      </w:pPr>
      <w:r>
        <w:rPr>
          <w:rFonts w:ascii="Barlow Semi Condensed" w:cs="Barlow Semi Condensed" w:eastAsia="Barlow Semi Condensed" w:hAnsi="Barlow Semi Condensed"/>
          <w:sz w:val="24"/>
          <w:szCs w:val="24"/>
        </w:rPr>
        <w:t xml:space="preserve">La disciplina delle assoluzioni impone di completare la parabola della fonte con il suo esito giudiziario, che il registro riporta per esteso. Guido Giannettini, rinviato a giudizio quale concorrente nella strage di Piazza Fontana, fu condannato all'ergastolo in primo grado dalla Corte d'Assise di Catanzaro nel 1979, insieme agli imputati principali del filone veneto, e fu poi assolto nel giudizio d'appello del 1981 dall'imputazione di strage, con esito divenuto irrevocabile, sicché a carico della fonte del Reparto D residuò unicamente la responsabilità accertata altrove per la vicenda del favoreggiamento, Livello A sull'intera scansione. Il registro consegna la parabola alla sua lettura strutturale: il medesimo uomo fu, nell'ordine, informatore retribuito dell'apparato, imputato capitale, condannato all'ergastolo, protetto in latitanza dal servizio che lo impiegava ed infine assolto in via definitiva, ed una simile traiettoria, che attraversa in un solo decennio tutti gli stati possibili del rapporto tra un individuo e la giustizia, non ha eguali nel registro e certifica, meglio di ogni teoria, la natura anfibia della figura dell'agente-pubblicista, il nodo che i Domini 3, 7 ed 8 si contesero senza che alcuno potesse rivendicarlo per intero.</w:t>
      </w:r>
    </w:p>
    <w:p>
      <w:pPr>
        <w:spacing w:after="120" w:line="276"/>
        <w:jc w:val="both"/>
      </w:pPr>
      <w:r>
        <w:rPr>
          <w:rFonts w:ascii="Barlow Semi Condensed" w:cs="Barlow Semi Condensed" w:eastAsia="Barlow Semi Condensed" w:hAnsi="Barlow Semi Condensed"/>
          <w:b/>
          <w:bCs/>
          <w:sz w:val="24"/>
          <w:szCs w:val="24"/>
        </w:rPr>
        <w:t xml:space="preserve">Sintesi del dato nuovo acquisito:</w:t>
      </w:r>
      <w:r>
        <w:rPr>
          <w:rFonts w:ascii="Barlow Semi Condensed" w:cs="Barlow Semi Condensed" w:eastAsia="Barlow Semi Condensed" w:hAnsi="Barlow Semi Condensed"/>
          <w:sz w:val="24"/>
          <w:szCs w:val="24"/>
        </w:rPr>
        <w:t xml:space="preserve"> il nodo Maletti è certificato al Livello A quale caso emblematico di ufficiale dei servizi condannato in via definitiva per il depistaggio delle indagini su una strage, quella di Piazza Fontana, e costituisce la certificazione piena dell'arco di ostruzione tra il Dominio 3 e il Dominio 7; il limite inferenziale tra la condotta di depistaggio, provata, e il mandato della strage, non provato, è ribadito quale cardine del metodo; la latitanza in Sudafrica è certificata al Livello A e anticipa la funzione di quel regime quale nodo di accoglienza internazionale che la Fase 5 documenterà, mentre le dichiarazioni rese dal latitante restano al Livello C per l'Indice di Contaminazione della Fonte.</w:t>
      </w:r>
    </w:p>
    <w:p>
      <w:pPr>
        <w:pStyle w:val="Heading3"/>
        <w:spacing w:after="80" w:before="160"/>
      </w:pPr>
      <w:r>
        <w:rPr>
          <w:rFonts w:ascii="Barlow Semi Condensed" w:cs="Barlow Semi Condensed" w:eastAsia="Barlow Semi Condensed" w:hAnsi="Barlow Semi Condensed"/>
          <w:sz w:val="24"/>
          <w:szCs w:val="24"/>
        </w:rPr>
        <w:t xml:space="preserve">Capitolo 4 — ▶ Federico Umberto D'Amato e l'Ufficio Affari Riservati. La struttura parallela del Viminale</w:t>
      </w:r>
    </w:p>
    <w:p>
      <w:pPr>
        <w:spacing w:after="120" w:line="276"/>
        <w:jc w:val="both"/>
      </w:pPr>
      <w:r>
        <w:rPr>
          <w:rFonts w:ascii="Barlow Semi Condensed" w:cs="Barlow Semi Condensed" w:eastAsia="Barlow Semi Condensed" w:hAnsi="Barlow Semi Condensed"/>
          <w:sz w:val="24"/>
          <w:szCs w:val="24"/>
        </w:rPr>
        <w:t xml:space="preserve">Federico Umberto D'Amato, nato a Marsico Nuovo il 4 giugno 1919 e morto a Roma il 1º luglio 1996, funzionario del Ministero dell'interno, capo dell'Ufficio affari riservati, è il nodo attraverso il quale il registro estende la mappa della deviazione dal versante militare a quello civile, certificando l'esistenza, all'interno del Ministero dell'interno, di una struttura informativa riservata la cui attività travalicò a lungo i confini istituzionali. La scansione del corpus registra i termini connessi al nodo con frequenza inferiore a quella dei grandi apparati militari, ma la sua rilevanza strutturale è massima, giacché D'Amato è il punto di raccordo tra il Dominio 3 nella sua articolazione civile, il Dominio 2 attraverso il controllo informativo sulla vita politica, e la dimensione internazionale attraverso la sua partecipazione ai circuiti atlantici. Il nodo è altresì il primo, nel registro, a proiettarsi verso il Dominio 8, il controllo dell'informazione, attraverso la nota attività di D'Amato quale collaboratore e curatore di riviste.</w:t>
      </w:r>
    </w:p>
    <w:p>
      <w:pPr>
        <w:spacing w:after="120" w:line="276"/>
        <w:jc w:val="both"/>
      </w:pPr>
      <w:r>
        <w:rPr>
          <w:rFonts w:ascii="Barlow Semi Condensed" w:cs="Barlow Semi Condensed" w:eastAsia="Barlow Semi Condensed" w:hAnsi="Barlow Semi Condensed"/>
          <w:sz w:val="24"/>
          <w:szCs w:val="24"/>
        </w:rPr>
        <w:t xml:space="preserve">La biografia istituzionale colloca D'Amato al vertice dell'Ufficio affari riservati del Ministero dell'interno, la struttura che raccoglieva e gestiva le informazioni riservate di competenza del Viminale, con particolare riguardo all'ordine pubblico, alla vita dei partiti e dei movimenti, e ai fenomeni eversivi. Formatosi negli ambienti informativi del dopoguerra, in contatto sin da allora con i servizi alleati, D'Amato guidò l'Ufficio nella stagione che va dagli anni Sessanta alla metà degli anni Settanta, il periodo delle grandi schedature e dell'esplosione stragista. Il registro certifica al Livello A, sul fondamento degli atti parlamentari e delle ricostruzioni documentali confluite nelle inchieste sulle stragi, l'esistenza e le funzioni dell'Ufficio affari riservati quale struttura informativa civile dotata di ampia autonomia operativa, e annota il dato strutturale: l'Ufficio costituì il pendant civile del servizio militare, e la sua attività schedatoria e informativa sulla vita politica configurò, dal lato del Ministero dell'interno, la medesima torsione dell'apparato legale verso il controllo politico che il caso SIFAR aveva documentato dal lato militare.</w:t>
      </w:r>
    </w:p>
    <w:p>
      <w:pPr>
        <w:spacing w:after="120" w:line="276"/>
        <w:jc w:val="both"/>
      </w:pPr>
      <w:r>
        <w:rPr>
          <w:rFonts w:ascii="Barlow Semi Condensed" w:cs="Barlow Semi Condensed" w:eastAsia="Barlow Semi Condensed" w:hAnsi="Barlow Semi Condensed"/>
          <w:sz w:val="24"/>
          <w:szCs w:val="24"/>
        </w:rPr>
        <w:t xml:space="preserve">Il primo pilastro probatorio è la funzione di controllo informativo sulla vita politica e la sua ambiguità operativa negli anni delle stragi. Le inchieste giudiziarie e parlamentari sulla stagione stragista, i cui atti sono presenti nel corpus, hanno collocato l'Ufficio affari riservati e il suo responsabile al centro di una fitta rete di rapporti con gli ambienti dell'eversione e con le fonti confidenziali di quel mondo, in una posizione di intermediazione che rese l'Ufficio, secondo la ricostruzione degli inquirenti, un osservatore privilegiato e talora un attore ambiguo delle vicende eversive. Il registro certifica al Livello A, quanto al fatto della centralità informativa dell'Ufficio e del suo responsabile nella gestione delle fonti dell'eversione, ciò che gli atti documentano; e mantiene rigorosamente al Livello C ogni ipotesi che da tale centralità inferisca una regia dell'Ufficio sugli eventi stragisti, giacché la disponibilità di informazioni e di fonti in un dato ambiente non prova la direzione degli eventi che in quell'ambiente maturano. La distinzione, ancora una volta, separa il fatto certificato dell'intermediazione informativa dall'ipotesi non provata della regia.</w:t>
      </w:r>
    </w:p>
    <w:p>
      <w:pPr>
        <w:spacing w:after="120" w:line="276"/>
        <w:jc w:val="both"/>
      </w:pPr>
      <w:r>
        <w:rPr>
          <w:rFonts w:ascii="Barlow Semi Condensed" w:cs="Barlow Semi Condensed" w:eastAsia="Barlow Semi Condensed" w:hAnsi="Barlow Semi Condensed"/>
          <w:sz w:val="24"/>
          <w:szCs w:val="24"/>
        </w:rPr>
        <w:t xml:space="preserve">Il secondo pilastro è l'inserimento nei circuiti internazionali, che fa del nodo D'Amato il primo, nel registro, a documentare l'accoppiamento tra il Dominio 3 nazionale e la dimensione atlantica su base personale e continuativa. D'Amato partecipò ai circuiti di coordinamento informativo occidentale e alle sedi riservate del confronto atlantico, e il suo nome è associato alla partecipazione alle riunioni del gruppo Bilderberg e ai contatti con i servizi alleati risalenti al dopoguerra. Il registro certifica al Livello B, sul fondamento delle ricostruzioni documentali convergenti ma non integralmente giudicate, l'inserimento di D'Amato nei circuiti internazionali del coordinamento informativo occidentale, e ne trae un'annotazione di metodo che vale per l'intera fase: la partecipazione di un responsabile informativo italiano a sedi internazionali di confronto è un fatto strutturale che documenta la cornice atlantica entro la quale gli apparati operavano, ma non è, di per sé, prova di una subordinazione operativa a mandanti stranieri; il registro tiene distinta la cornice, che è certificata, dalla regia, che è ipotesi, e verificherà nella chiusura di fase quale delle 2 letture le evidenze meno contraddicano.</w:t>
      </w:r>
    </w:p>
    <w:p>
      <w:pPr>
        <w:spacing w:after="120" w:line="276"/>
        <w:jc w:val="both"/>
      </w:pPr>
      <w:r>
        <w:rPr>
          <w:rFonts w:ascii="Barlow Semi Condensed" w:cs="Barlow Semi Condensed" w:eastAsia="Barlow Semi Condensed" w:hAnsi="Barlow Semi Condensed"/>
          <w:sz w:val="24"/>
          <w:szCs w:val="24"/>
        </w:rPr>
        <w:t xml:space="preserve">Il terzo pilastro è l'affiliazione, o quantomeno la prossimità, ai circuiti riservati trasversali, e la proiezione verso il Dominio 8. Il nome di D'Amato compare nelle ricostruzioni relative agli elenchi e agli ambienti della loggia P2, e la sua attività di curatore di una nota rivista enogastronomica e di collaboratore editoriale è stata letta dagli inquirenti quale copertura e quale strumento di relazione. Il registro procede qui con la massima cautela: certifica al Livello B la prossimità di D'Amato agli ambienti riservati trasversali documentata dagli atti, e mantiene al Livello C ogni qualificazione che ecceda la prossimità documentata; quanto alla proiezione verso il Dominio 8, certifica al Livello A il fatto della sua attività editoriale e la mantiene distinta, sul piano probatorio, dalle ipotesi sulla sua funzione. La disciplina è imposta dalla natura stessa del nodo, che opera nel dominio dell'informazione riservata e le cui tracce sono, per definizione, più rade e più ambigue di quelle dei nodi giudiziariamente accertati.</w:t>
      </w:r>
    </w:p>
    <w:p>
      <w:pPr>
        <w:spacing w:after="120" w:line="276"/>
        <w:jc w:val="both"/>
      </w:pPr>
      <w:r>
        <w:rPr>
          <w:rFonts w:ascii="Barlow Semi Condensed" w:cs="Barlow Semi Condensed" w:eastAsia="Barlow Semi Condensed" w:hAnsi="Barlow Semi Condensed"/>
          <w:sz w:val="24"/>
          <w:szCs w:val="24"/>
        </w:rPr>
        <w:t xml:space="preserve">Il quarto pilastro è la continuità storica della struttura, che il registro assume quale reperto di lungo periodo e quale conferma del carattere non episodico della deviazione. L'Ufficio affari riservati non fu una creazione contingente della stagione stragista, ma l'esito di una continuità istituzionale che risale al dopoguerra e alla costituzione degli apparati informativi civili nel clima della guerra fredda, quando la necessità di un presidio informativo sull'attività dei partiti di sinistra e dei movimenti sociali orientò la funzione della struttura sin dalla sua origine. La figura di D'Amato attraversa questa continuità, dagli anni della ricostruzione informativa postbellica, nei quali maturò i contatti con i servizi alleati che la fase ha già registrato, sino alla stagione delle stragi, nella quale la struttura raggiunse la sua massima esposizione. Il registro certifica al Livello A la continuità storica dell'Ufficio quale struttura informativa del Ministero dell'interno operante lungo l'intero arco della prima Repubblica, e ne trae un'annotazione che vale per l'intera fase e che corregge una diffusa distorsione prospettica: la deviazione degli apparati non fu un fenomeno concentrato in una singola stagione eccezionale, ma un dato strutturale di lungo periodo, radicato nella funzione stessa che agli apparati fu assegnata nel contesto del confronto bipolare, ossia il presidio informativo contro l'avversario interno identificato nel movimento comunista. Questa continuità di lungo periodo è, essa stessa, un elemento che il registro annota ai fini della verifica di H1: la funzione anticomunista della struttura, costante lungo l'intero arco temporale, colloca anche il nodo D'Amato sul versante occidentale del confronto bipolare, e non su quello di una convergenza tra i blocchi, confermando la lettura che i nodi precedenti hanno già suggerito.</w:t>
      </w:r>
    </w:p>
    <w:p>
      <w:pPr>
        <w:spacing w:after="120" w:line="276"/>
        <w:jc w:val="both"/>
      </w:pPr>
      <w:r>
        <w:rPr>
          <w:rFonts w:ascii="Barlow Semi Condensed" w:cs="Barlow Semi Condensed" w:eastAsia="Barlow Semi Condensed" w:hAnsi="Barlow Semi Condensed"/>
          <w:sz w:val="24"/>
          <w:szCs w:val="24"/>
        </w:rPr>
        <w:t xml:space="preserve">Le triangolazioni del nodo sono 3. La prima, D'Amato-Ufficio affari riservati-fonti dell'eversione, è il triangolo dell'intermediazione informativa civile, certificato al Livello A quanto al fatto e mantenuto al Livello C quanto alla regia. La seconda, D'Amato-circuiti atlantici-Bilderberg, è il triangolo della cornice internazionale, certificato al Livello B. La terza, D'Amato-ambienti riservati-attività editoriale, è il triangolo della copertura e della proiezione mediatica, certificato al Livello B quanto alla prossimità e al Livello A quanto al fatto dell'attività editoriale. Sul piano dei pattern, il nodo attiva il Pattern 1, l'analisi dei nodi centrali, nella sua accezione più sottile: D'Amato è il nodo a bassa visibilità e alta centralità informativa, il cui potere non deriva dal grado gerarchico né dall'esposizione pubblica, ma dalla posizione di controllo sul flusso informativo, secondo la distinzione tra potere formale e potere relazionale che la Nota metodologica ha derivato da Freeman e Burt.</w:t>
      </w:r>
    </w:p>
    <w:p>
      <w:pPr>
        <w:spacing w:after="120" w:line="276"/>
        <w:jc w:val="both"/>
      </w:pPr>
      <w:r>
        <w:rPr>
          <w:rFonts w:ascii="Barlow Semi Condensed" w:cs="Barlow Semi Condensed" w:eastAsia="Barlow Semi Condensed" w:hAnsi="Barlow Semi Condensed"/>
          <w:sz w:val="24"/>
          <w:szCs w:val="24"/>
        </w:rPr>
        <w:t xml:space="preserve">La biografia del funzionario va integrata alla radice, perché la sua formazione è essa stessa un arco. Gli atti e le ricostruzioni parlamentari documentano la collaborazione del giovane D'Amato, dal 1944, con i servizi alleati operanti a Roma liberata, esperienza che ne fece, entro l'amministrazione dell'interno, l'interlocutore naturale del collegamento atlantico e gli consegnò quel capitale di relazioni transnazionali che la carriera successiva avrebbe messo a frutto, Livello A quanto alla collaborazione, attestata dalle fonti parlamentari. Su questo capitale si innestò la funzione internazionale matura: la partecipazione di vertice al Club di Berna, il consesso riservato che dal principio degli anni 70 coordinava i responsabili dei servizi di sicurezza interna dell'Europa occidentale, del quale D'Amato fu tra gli animatori riconosciuti, Livello A quanto alla partecipazione, Livello B quanto ai contenuti operativi del consesso, per costituzione non verbalizzati. La parabola discendente ha una data: nel 1974, nella stagione in cui la magistratura risaliva i fili della trama nera e l'amministrazione si riorganizzava con l'Ispettorato antiterrorismo, D'Amato fu rimosso dalla direzione degli Affari riservati ed avviato ad incarichi di minor sensibilità, sino alla direzione della polizia di frontiera, Livello A: rimozione che il registro annota quale indizio amministrativo di una perdita di copertura politica, secondo la grammatica per cui, negli apparati, il trasferimento è la forma che assume il giudizio quando il processo non è praticabile.</w:t>
      </w:r>
    </w:p>
    <w:p>
      <w:pPr>
        <w:spacing w:after="120" w:line="276"/>
        <w:jc w:val="both"/>
      </w:pPr>
      <w:r>
        <w:rPr>
          <w:rFonts w:ascii="Barlow Semi Condensed" w:cs="Barlow Semi Condensed" w:eastAsia="Barlow Semi Condensed" w:hAnsi="Barlow Semi Condensed"/>
          <w:sz w:val="24"/>
          <w:szCs w:val="24"/>
        </w:rPr>
        <w:t xml:space="preserve">Due reperti postumi completano il nodo. Il primo è archivistico ed è di prima grandezza: nel 1996 fu rinvenuto, in un deposito della circonvallazione Appia a Roma, un cospicuo fondo documentale dell'Ufficio affari riservati mai versato all'Archivio centrale dello Stato, migliaia di fascicoli sottratti per decenni ad ogni controllo, la cui scoperta ed il cui successivo riordino restituirono agli studiosi ed ai giudici la contabilità informativa del Viminale parallelo, Livello A quanto al rinvenimento ed alla consistenza. La circostanza conferma sul versante civile ciò che il capitolo 1 ha documentato sul versante militare, che l'archivio occulto è l'organo vitale della struttura parallela, con la differenza, gravida di conseguenze per la conoscenza storica, che i fascicoli del SIFAR furono bruciati e quelli dell'Ufficio ritrovati. Il secondo reperto è di costume, e il registro lo annota perché la semiotica dei nodi non è mai ornamentale: per anni il capo della polizia segreta del Viminale curò, sotto pseudonimo trasparente, la guida gastronomica di un grande settimanale, recensendo ristoranti con la medesima penna che classificava sovversivi, Livello A quanto al fatto, noto e rivendicato. Chi cercasse un emblema del doppio codice luhmanniano, l'osservatore che appartiene simultaneamente a 2 sistemi di comunicazione e traduce l'uno nell'altro, difficilmente ne troverebbe uno più esatto di questo ispettore delle cucine e delle trame, per il quale la tavola fu, insieme, piacere dichiarato e tecnologia di relazione: perché è a tavola, insegnava senza scriverlo, che le reti riservate celebrano la propria liturgia.</w:t>
      </w:r>
    </w:p>
    <w:p>
      <w:pPr>
        <w:spacing w:after="120" w:line="276"/>
        <w:jc w:val="both"/>
      </w:pPr>
      <w:r>
        <w:rPr>
          <w:rFonts w:ascii="Barlow Semi Condensed" w:cs="Barlow Semi Condensed" w:eastAsia="Barlow Semi Condensed" w:hAnsi="Barlow Semi Condensed"/>
          <w:sz w:val="24"/>
          <w:szCs w:val="24"/>
        </w:rPr>
        <w:t xml:space="preserve">Il fondo ritrovato nel 1996 consente di misurare, per campioni, l'estensione tematica della raccolta, e la misura vale più di ogni aggettivo: accanto ai fascicoli sull'eversione di destra e di sinistra, l'archivio parallelo del Viminale conservava dossier sistematici sui movimenti studenteschi ed operai della stagione 1968-69, su partiti, sindacati, redazioni, singoli parlamentari ed ecclesiastici, con una capillarità che riproduceva, in sede civile, la logica onnivora già censita nel SIFAR militare, Livello A quanto alla tipologia documentale accertata dal riordino archivistico. La duplicazione è il dato: 2 amministrazioni distinte, la militare e la civile, costruirono negli stessi anni 2 archivi paralleli sul medesimo oggetto, la società italiana in quanto tale, e la ridondanza, che una lettura efficientista giudicherebbe spreco, era in realtà la struttura, giacché ciascun apparato traeva dal proprio archivio la propria autonomia negoziale verso l'altro e verso la politica. Alla genealogia istituzionale appartiene infine la trasformazione: soppresso l'Ufficio nella riorganizzazione del 1974 che istituì l'Ispettorato generale per l'azione contro il terrorismo, le funzioni rifluirono nel 1978 nell'UCIGOS e di lì nelle strutture successive, secondo una continuità amministrativa che il registro certifica nei suoi passaggi formali, Livello A, astenendosi dall'inferenza, che sarebbe indebita, di una pari continuità delle prassi: gli uffici si ereditano per decreto, le deviazioni no, e la storia successiva della struttura appartiene ad altri capitoli ed altri standard di prova.</w:t>
      </w:r>
    </w:p>
    <w:p>
      <w:pPr>
        <w:spacing w:after="120" w:line="276"/>
        <w:jc w:val="both"/>
      </w:pPr>
      <w:r>
        <w:rPr>
          <w:rFonts w:ascii="Barlow Semi Condensed" w:cs="Barlow Semi Condensed" w:eastAsia="Barlow Semi Condensed" w:hAnsi="Barlow Semi Condensed"/>
          <w:sz w:val="24"/>
          <w:szCs w:val="24"/>
        </w:rPr>
        <w:t xml:space="preserve">Un dato documentale chiude il cerchio tra questo capitolo ed il quadrilatero della Fase 1: il nome di Federico Umberto D'Amato figura negli elenchi della loggia Propaganda 2 sequestrati a Castiglion Fibocchi, Livello A quanto alla figurazione documentale, con la consueta avvertenza certificativa della Commissione sulla natura di quella prova, che attesta l'iscrizione e non misura l'operatività. Il registro colloca il dato nella sua costellazione: con esso, la fase censisce la compresenza negli elenchi del capo storico della struttura informativa civile, dei direttori contestuali dei 3 organismi riformati e del vertice del controspionaggio della stagione precedente, sicché la cattura piduista degli apparati, che il capitolo 10 certificherà nella sua forma sincronica, si rivela qui nella sua profondità diacronica, una permeabilità di lungo periodo che attraversa le riforme senza esserne intaccata. Alla biografia del funzionario questa figurazione aggiunge l'ultimo tratto del suo doppio codice: l'uomo che schedava le associazioni segrete della Repubblica risultò a sua volta elencato nella più segreta di esse, ed il registro, che ha bandito l'ironia dalle proprie certificazioni, si limita a consegnare la simmetria al lettore, annotando che essa costituisce, nel linguaggio della Nota metodologica, un arco di infiltrazione la cui direzione, chi penetrò chi, resta l'unica variabile che i documenti non consentono di orientare.</w:t>
      </w:r>
    </w:p>
    <w:p>
      <w:pPr>
        <w:spacing w:after="120" w:line="276"/>
        <w:jc w:val="both"/>
      </w:pPr>
      <w:r>
        <w:rPr>
          <w:rFonts w:ascii="Barlow Semi Condensed" w:cs="Barlow Semi Condensed" w:eastAsia="Barlow Semi Condensed" w:hAnsi="Barlow Semi Condensed"/>
          <w:b/>
          <w:bCs/>
          <w:sz w:val="24"/>
          <w:szCs w:val="24"/>
        </w:rPr>
        <w:t xml:space="preserve">Sintesi del dato nuovo acquisito:</w:t>
      </w:r>
      <w:r>
        <w:rPr>
          <w:rFonts w:ascii="Barlow Semi Condensed" w:cs="Barlow Semi Condensed" w:eastAsia="Barlow Semi Condensed" w:hAnsi="Barlow Semi Condensed"/>
          <w:sz w:val="24"/>
          <w:szCs w:val="24"/>
        </w:rPr>
        <w:t xml:space="preserve"> il nodo D'Amato è certificato al Livello A quale responsabile di una struttura informativa civile, l'Ufficio affari riservati del Ministero dell'interno, la cui attività di controllo informativo sulla vita politica configura, dal lato del Viminale, la deviazione dell'apparato legale già documentata dal lato militare; l'inserimento nei circuiti atlantici del coordinamento informativo è certificato al Livello B quale cornice sistemica, tenuta distinta dall'ipotesi non provata della regia straniera; la prossimità agli ambienti riservati trasversali e la proiezione verso il Dominio 8 sono certificate al Livello B, con la massima cautela imposta dalla natura informativa del nodo.</w:t>
      </w:r>
    </w:p>
    <w:p>
      <w:pPr>
        <w:pStyle w:val="Heading3"/>
        <w:spacing w:after="80" w:before="160"/>
      </w:pPr>
      <w:r>
        <w:rPr>
          <w:rFonts w:ascii="Barlow Semi Condensed" w:cs="Barlow Semi Condensed" w:eastAsia="Barlow Semi Condensed" w:hAnsi="Barlow Semi Condensed"/>
          <w:sz w:val="24"/>
          <w:szCs w:val="24"/>
        </w:rPr>
        <w:t xml:space="preserve">Capitolo 5 — ◆ Gladio e la rete stay-behind. L'esercito segreto e la sua rivelazione</w:t>
      </w:r>
    </w:p>
    <w:p>
      <w:pPr>
        <w:spacing w:after="120" w:line="276"/>
        <w:jc w:val="both"/>
      </w:pPr>
      <w:r>
        <w:rPr>
          <w:rFonts w:ascii="Barlow Semi Condensed" w:cs="Barlow Semi Condensed" w:eastAsia="Barlow Semi Condensed" w:hAnsi="Barlow Semi Condensed"/>
          <w:sz w:val="24"/>
          <w:szCs w:val="24"/>
        </w:rPr>
        <w:t xml:space="preserve">L'organizzazione Gladio, denominazione italiana della rete clandestina stay-behind predisposta nel quadro atlantico per operare in caso di occupazione del territorio nazionale, è il nodo attraverso il quale il registro certifica l'esistenza, per oltre 4 decenni tenuta segreta al Parlamento e all'opinione pubblica, di una struttura militare occulta operante sul suolo italiano in raccordo con il servizio segreto e con la struttura atlantica. La scansione del corpus registra il termine Gladio 2.005 volte in 88 documenti e i termini connessi alla rete stay-behind 372 volte in 23 documenti: è, dopo i grandi apparati e dopo il caso Moro, uno dei nuclei documentali più densi dell'intera opera. Il nodo salda il Dominio 9, le forze armate, al Dominio 3, l'intelligence, nella sua dimensione atlantica, e costituisce il banco di prova per eccellenza della verifica dell'ipotesi H1 che questa fase ha il compito di condurre.</w:t>
      </w:r>
    </w:p>
    <w:p>
      <w:pPr>
        <w:spacing w:after="120" w:line="276"/>
        <w:jc w:val="both"/>
      </w:pPr>
      <w:r>
        <w:rPr>
          <w:rFonts w:ascii="Barlow Semi Condensed" w:cs="Barlow Semi Condensed" w:eastAsia="Barlow Semi Condensed" w:hAnsi="Barlow Semi Condensed"/>
          <w:sz w:val="24"/>
          <w:szCs w:val="24"/>
        </w:rPr>
        <w:t xml:space="preserve">La certificazione del nodo poggia su un fatto storico incontrovertibile, la cui data appartiene alla cronologia fondativa della conoscenza pubblica sugli apparati: il 24 ottobre 1990 il presidente del Consiglio Giulio Andreotti trasmise alla Commissione parlamentare d'inchiesta sulle stragi una relazione nella quale ammetteva ufficialmente l'esistenza di una struttura di informazione e sicurezza a carattere clandestino denominata Gladio, predisposta a partire dagli anni Cinquanta nel quadro degli accordi atlantici per garantire la continuità di una capacità informativa e resistenziale in caso di invasione e occupazione del territorio nazionale. Il registro certifica al Livello A, quale fatto documentale insuperabile, l'ammissione ufficiale del 1990 e il suo contenuto: l'esistenza della rete, la sua genesi negli anni Cinquanta, il suo raccordo con il servizio segreto militare e con la struttura atlantica. Prima di quella data, l'esistenza della struttura era stata negata o taciuta a ogni sede parlamentare e giudiziaria; dopo di essa, la rete divenne oggetto di indagine giudiziaria e di approfondimento parlamentare, i cui atti costituiscono il fondamento documentale del presente capitolo.</w:t>
      </w:r>
    </w:p>
    <w:p>
      <w:pPr>
        <w:spacing w:after="120" w:line="276"/>
        <w:jc w:val="both"/>
      </w:pPr>
      <w:r>
        <w:rPr>
          <w:rFonts w:ascii="Barlow Semi Condensed" w:cs="Barlow Semi Condensed" w:eastAsia="Barlow Semi Condensed" w:hAnsi="Barlow Semi Condensed"/>
          <w:sz w:val="24"/>
          <w:szCs w:val="24"/>
        </w:rPr>
        <w:t xml:space="preserve">Il primo pilastro probatorio è la struttura materiale della rete. Gli accertamenti seguiti alla rivelazione documentarono l'organizzazione della struttura: la sua base addestrativa nel Centro addestramento guastatori di Capo Marrargiu, in Sardegna, presso Bosa; l'esistenza di depositi occultati di armi, munizioni ed esplosivi, i cosiddetti Nasco, disseminati sul territorio; e l'elenco dei suoi appartenenti, i cosiddetti gladiatori, che la documentazione trasmessa quantificò in un numero collocato dalle fonti attorno alle 622 unità per l'elenco reso disponibile. Il registro certifica al Livello A, sul fondamento della documentazione ufficiale trasmessa e degli accertamenti successivi, l'esistenza della base di Capo Marrargiu, dei depositi Nasco e dell'elenco degli appartenenti, e ne trae la certificazione della natura materiale della rete: non un progetto sulla carta, ma una struttura dotata di uomini, mezzi, addestramento e depositi, operante nella clandestinità e sottratta a ogni controllo parlamentare per l'intera durata della sua esistenza segreta. La regolarità empirica documentata dal registro, secondo cui nessun apparato di sicurezza ha mai aperto spontaneamente i propri archivi, trova nel caso Gladio la sua conferma più netta: la rete fu rivelata non per iniziativa spontanea, ma nel quadro di una crisi giudiziaria e politica che ne rese insostenibile l'occultamento.</w:t>
      </w:r>
    </w:p>
    <w:p>
      <w:pPr>
        <w:spacing w:after="120" w:line="276"/>
        <w:jc w:val="both"/>
      </w:pPr>
      <w:r>
        <w:rPr>
          <w:rFonts w:ascii="Barlow Semi Condensed" w:cs="Barlow Semi Condensed" w:eastAsia="Barlow Semi Condensed" w:hAnsi="Barlow Semi Condensed"/>
          <w:sz w:val="24"/>
          <w:szCs w:val="24"/>
        </w:rPr>
        <w:t xml:space="preserve">Il secondo pilastro è la genesi atlantica, che colloca il nodo al centro della verifica di H1 e ne impone la trattazione più rigorosa dell'intera fase. La documentazione accertò che la struttura fu costituita nel quadro degli accordi tra il servizio informativo italiano e il servizio statunitense, e inserita nella pianificazione atlantica delle reti stay-behind predisposte in più Paesi dell'Europa occidentale nel medesimo periodo e per la medesima finalità dichiarata, la resistenza a un'eventuale occupazione. Il registro certifica al Livello A la genesi atlantica della rete e il suo raccordo con il servizio statunitense e con la struttura di coordinamento occidentale, quale fatto documentato dagli atti. Ma è precisamente qui che la disciplina anti-induttiva impone la distinzione capitale che governa l'intera valutazione di H1. La finalità dichiarata e documentata della rete, la resistenza in caso di invasione, è una finalità difensiva coerente con la logica dell'alleanza atlantica nel contesto della guerra fredda; essa non coincide con la finalità che l'ipotesi H1 postulerebbe, ossia la destabilizzazione interna quale strumento per impedire l'integrazione europea. Che la rete esistesse, fosse atlantica e fosse clandestina è certificato al Livello A; che essa sia stata impiegata in operazioni di destabilizzazione interna, e segnatamente nella strategia stragista, è ipotesi che il registro mantiene al Livello C, giacché gli accertamenti giudiziari sulle stragi non hanno stabilito un collegamento operativo diretto e provato tra la struttura Gladio in quanto tale e l'esecuzione delle stragi; e che tale eventuale impiego rispondesse a un disegno di contrasto all'integrazione europea è ipotesi ulteriore e distinta, priva di qualsiasi supporto documentale e anzi contraddetta dalla finalità difensiva dichiarata e dalla cornice dell'alleanza, che legava l'Italia agli stessi partner del processo di integrazione. Il registro pone qui, con la massima nettezza, il paletto metodologico: la certificazione dell'esistenza atlantica di una rete clandestina non è, di per sé, un elemento di supporto di H1, e anzi la cornice atlantica della rete milita, semmai, nella direzione del falsificatore milwardiano, giacché la medesima alleanza che predispose le reti stay-behind fu il quadro entro il quale il processo di integrazione europea si svolse con il sostegno, e non l'opposizione, della potenza egemone occidentale.</w:t>
      </w:r>
    </w:p>
    <w:p>
      <w:pPr>
        <w:spacing w:after="120" w:line="276"/>
        <w:jc w:val="both"/>
      </w:pPr>
      <w:r>
        <w:rPr>
          <w:rFonts w:ascii="Barlow Semi Condensed" w:cs="Barlow Semi Condensed" w:eastAsia="Barlow Semi Condensed" w:hAnsi="Barlow Semi Condensed"/>
          <w:sz w:val="24"/>
          <w:szCs w:val="24"/>
        </w:rPr>
        <w:t xml:space="preserve">Il terzo pilastro è l'esito giudiziario e la sua incompletezza. Le indagini seguite alla rivelazione, condotte da diverse autorità giudiziarie, accertarono l'esistenza e la struttura della rete ma non pervennero, quanto all'ipotesi del suo impiego eversivo, a esiti di condanna: i procedimenti si chiusero in larga parte con archiviazioni o con l'esclusione di responsabilità penali specifiche connesse a un impiego deviato della struttura in quanto tale, ferma restando la certificazione della sua esistenza e della sua clandestinità. Il registro certifica al Livello A tanto l'esistenza della rete quanto l'esito sostanzialmente non condannatorio quanto all'ipotesi dell'impiego eversivo, e ne trae la conseguenza metodologica: il nodo Gladio è certificato al massimo livello quale struttura clandestina atlantica esistita e occultata, ed è mantenuto al Livello C quanto all'ipotesi del suo impiego nella destabilizzazione interna, che gli accertamenti non hanno provato. La distinzione tra l'esistenza certificata e l'impiego ipotetico è la sostanza del caso, e la sua osservanza è la misura della distanza tra il registro e la pubblicistica che ha fatto di Gladio il nome onnicomprensivo di ogni deviazione, dissolvendo nella suggestione la differenza tra ciò che è provato e ciò che è congetturato.</w:t>
      </w:r>
    </w:p>
    <w:p>
      <w:pPr>
        <w:spacing w:after="120" w:line="276"/>
        <w:jc w:val="both"/>
      </w:pPr>
      <w:r>
        <w:rPr>
          <w:rFonts w:ascii="Barlow Semi Condensed" w:cs="Barlow Semi Condensed" w:eastAsia="Barlow Semi Condensed" w:hAnsi="Barlow Semi Condensed"/>
          <w:sz w:val="24"/>
          <w:szCs w:val="24"/>
        </w:rPr>
        <w:t xml:space="preserve">Il quarto pilastro, e il più significativo per la verifica di H1, è la reazione delle istituzioni europee alla rivelazione, che il registro assume quale reperto capitale e contro-intuitivo. All'indomani dell'ammissione italiana e delle analoghe rivelazioni in altri Paesi, il Parlamento europeo adottò, il 22 novembre 1990, una risoluzione sulla vicenda delle reti stay-behind, con la quale l'assemblea di Strasburgo prendeva atto dell'esistenza delle strutture clandestine nei Paesi membri, ne deplorava l'occultamento agli organi parlamentari nazionali e alle istituzioni comunitarie, e chiedeva un'indagine completa sulla loro natura, sulla loro composizione e sul loro eventuale ruolo in attività illegali. Il registro certifica al Livello A l'esistenza e il contenuto della risoluzione, quale atto ufficiale dell'istituzione parlamentare europea, e ne trae l'annotazione decisiva per la falsificazione di H1. L'ipotesi H1 postulerebbe che le reti stay-behind fossero strumento di una convergenza tra le potenze imperiali volta a impedire l'integrazione europea; ma il fatto documentato è l'esatto opposto, giacché fu precisamente l'istituzione parlamentare dell'integrazione europea, il Parlamento di Strasburgo, a farsi carico della denuncia delle reti e a esigerne l'accertamento. Se le reti stay-behind fossero state uno strumento di contrasto all'integrazione europea, l'organo rappresentativo di quell'integrazione non ne sarebbe stato il denunciante, ma l'oggetto o la vittima; il fatto che il Parlamento europeo abbia condannato le reti e ne abbia chiesto l'indagine milita frontalmente contro l'ipotesi H1, e conferma la lettura del fenomeno quale eredità clandestina della logica atlantica del confronto bipolare, sottoposta al vaglio critico delle istituzioni democratiche europee non appena la sua esistenza fu resa nota. Il registro segnala altresì che gli accertamenti condotti nei diversi Paesi, e la stessa istruttoria parlamentare europea, non pervennero a dimostrare un impiego coordinato delle reti in attività di destabilizzazione interna, sicché la richiesta di indagine, pienamente legittima, non si tradusse nell'accertamento di quell'impiego, che rimane pertanto al Livello C.</w:t>
      </w:r>
    </w:p>
    <w:p>
      <w:pPr>
        <w:spacing w:after="120" w:line="276"/>
        <w:jc w:val="both"/>
      </w:pPr>
      <w:r>
        <w:rPr>
          <w:rFonts w:ascii="Barlow Semi Condensed" w:cs="Barlow Semi Condensed" w:eastAsia="Barlow Semi Condensed" w:hAnsi="Barlow Semi Condensed"/>
          <w:sz w:val="24"/>
          <w:szCs w:val="24"/>
        </w:rPr>
        <w:t xml:space="preserve">Le triangolazioni del nodo sono 3. La prima, Gladio-Capo Marrargiu-Nasco, è il triangolo della struttura materiale, certificato al Livello A dalla documentazione e dagli accertamenti. La seconda, Gladio-servizio militare-struttura atlantica, è il triangolo della genesi e del raccordo, certificato al Livello A quanto all'esistenza del raccordo e mantenuto al Livello C quanto alla sua torsione eversiva. La terza, Gladio-rivelazione 1990-inchieste, è il triangolo dell'emersione e dell'accertamento incompleto, certificato al Livello A quanto ai fatti e recante il reperto negativo dell'esito non condannatorio sull'impiego. Sul piano dei pattern, il nodo attiva il Pattern 11, l'analisi dell'isomorfismo strutturale, giacché la rete stay-behind italiana presenta la medesima topologia delle reti analoghe predisposte in altri Paesi occidentali, e tale isomorfismo, lungi dal provare una regia unica finalizzata alla destabilizzazione, si spiega con la necessità funzionale comune, la resistenza all'occupazione, secondo la distinzione tra origine comune, necessità funzionale e convergenza indipendente che il Pattern 11 impone di discriminare.</w:t>
      </w:r>
    </w:p>
    <w:p>
      <w:pPr>
        <w:spacing w:after="120" w:line="276"/>
        <w:jc w:val="both"/>
      </w:pPr>
      <w:r>
        <w:rPr>
          <w:rFonts w:ascii="Barlow Semi Condensed" w:cs="Barlow Semi Condensed" w:eastAsia="Barlow Semi Condensed" w:hAnsi="Barlow Semi Condensed"/>
          <w:sz w:val="24"/>
          <w:szCs w:val="24"/>
        </w:rPr>
        <w:t xml:space="preserve">La meccanica della rivelazione va restituita nella sua catena esatta, perché essa costituisce uno dei rari casi in cui il registro può osservare, passaggio per passaggio, il processo attraverso il quale un segreto di apparato diviene conoscenza pubblica. Il primo anello è giudiziario: nell'estate del 1990 il giudice istruttore veneziano Felice Casson, risalendo la filiera dell'esplosivo di Peteano, chiese ed ottenne dal presidente del Consiglio l'autorizzazione ad accedere agli archivi del servizio militare, ponendo all'esecutivo un quesito documentale al quale non era più possibile opporre il diniego di esistenza, Livello A. Il secondo anello è la risposta politica graduata: il 3 agosto 1990 Giulio Andreotti annunciò alla Commissione stragi l'esistenza di una struttura riservata per la resistenza in caso di invasione, ed il 24 ottobre consegnò la relazione che ne dichiarava nome, natura e cornice atlantica, cui seguì la trasmissione dell'elenco dei 622 nominativi, Livello A sull'intera scansione. Il terzo anello è la chiusura: la struttura fu dichiarata cessata alla fine di novembre del 1990, mentre le esternazioni del capo dello Stato Francesco Cossiga, che rivendicò con orgoglio la legittimità patriottica dell'organizzazione, aprivano il conflitto istituzionale che avrebbe accompagnato l'intera stagione degli accertamenti, Livello A quanto ai fatti pubblici. Il registro isola in questa catena il suo teorema: la rivelazione non nacque da una crisi dell'apparato ma da una domanda della giurisdizione, e ciò conferma che nel sistema italiano il codice capace di forzare il segreto non fu quello politico, che lo aveva custodito per 44 anni, ma quello giudiziario, quando seppe formulare la domanda giusta al livello giusto.</w:t>
      </w:r>
    </w:p>
    <w:p>
      <w:pPr>
        <w:spacing w:after="120" w:line="276"/>
        <w:jc w:val="both"/>
      </w:pPr>
      <w:r>
        <w:rPr>
          <w:rFonts w:ascii="Barlow Semi Condensed" w:cs="Barlow Semi Condensed" w:eastAsia="Barlow Semi Condensed" w:hAnsi="Barlow Semi Condensed"/>
          <w:sz w:val="24"/>
          <w:szCs w:val="24"/>
        </w:rPr>
        <w:t xml:space="preserve">Alla struttura materiale il capitolo aggiunge il dettaglio dei depositi, perché su di esso si misura la qualità del controllo. La documentazione consegnata al Parlamento censì una rete di nascondigli d'armi ed esplosivi, i Nasco, interrati in punti classificati del territorio; il loro ritiro fu disposto ed eseguito in larga parte già nei primi anni 70, ma le operazioni di recupero registrarono ammanchi e depositi non più rinvenuti, circostanza che gli atti certificano e che consegnò alla stagione successiva un interrogativo mai integralmente chiuso sulla sorte del materiale mancante, Livello A quanto al censimento ed agli ammanchi documentati, ferma restando, per ogni ipotesi di impiego di quel materiale, la disciplina del rinvio ai singoli giudicati che la Fase 3 osserva. Da ultimo, il registro annota l'esito del vaglio parlamentare sulla legittimità: la Commissione stragi produsse sul punto conclusioni non unanimi, divise tra la lettura della struttura quale strumento difensivo coperto ma riconducibile alla cornice atlantica e quella di un organismo sottratto ad ogni circuito autorizzativo costituzionale, Livello A quanto alla divisione documentata delle conclusioni: ancora una volta, come per il Piano Solo e per la P2, il fatto è certificato e la qualificazione contesa, e questa terza occorrenza consente al registro di promuovere l'osservazione a regolarità, la Repubblica accerta i propri segreti ma non delibera su di essi, ed il giudizio resta consegnato, in via permanente, alla concorrenza delle relazioni di maggioranza e di minoranza.</w:t>
      </w:r>
    </w:p>
    <w:p>
      <w:pPr>
        <w:spacing w:after="120" w:line="276"/>
        <w:jc w:val="both"/>
      </w:pPr>
      <w:r>
        <w:rPr>
          <w:rFonts w:ascii="Barlow Semi Condensed" w:cs="Barlow Semi Condensed" w:eastAsia="Barlow Semi Condensed" w:hAnsi="Barlow Semi Condensed"/>
          <w:sz w:val="24"/>
          <w:szCs w:val="24"/>
        </w:rPr>
        <w:t xml:space="preserve">L'anatomia della rete va completata con la sua collocazione ordinamentale e con la sua articolazione operativa, quali risultano dalla documentazione consegnata al Parlamento. La struttura fu incardinata, nelle sue stagioni mature, entro la ripartizione del servizio militare competente per le operazioni speciali ed il territorio, con una catena di comando ristretta che rispondeva al direttore pro tempore e, per la cornice internazionale, ai comitati di pianificazione alleati; l'ossatura clandestina si articolava in unità di guerriglia designate con nomi di copertura floreali e marini, tra le quali le fonti censiscono la Stella Alpina per il quadrante nord-orientale, accanto ad unità sorelle per gli altri scacchieri, ciascuna con compiti di esfiltrazione, informazione, sabotaggio e propaganda in caso di occupazione, Livello A quanto all'articolazione documentata. L'addestramento si svolgeva presso il Centro di Capo Marrargiu con il concorso di istruttori e materiali alleati, secondo cicli che la documentazione registra sin dagli anni 50, Livello A, e la composizione dell'elenco dei 622, prevalentemente civili insospettabili radicati nei territori di prevista operatività, con significativa concentrazione nelle regioni di confine orientale, risponde alla logica militare della rete dormiente, Livello A quanto alla composizione, Livello B quanto alle stime di distribuzione territoriale. Il registro consegna questi dati alla loro doppia lettura, che è il punto esatto in cui la certificazione si arresta: la medesima anatomia che documenta una rete difensiva conforme al modello atlantico documenta altresì un potenziale operativo domestico mai autorizzato da alcun circuito costituzionale, e la scelta tra le 2 letture non appartiene ai reperti ma ai codici, secondo la lezione ormai 3 volte verificata della fase.</w:t>
      </w:r>
    </w:p>
    <w:p>
      <w:pPr>
        <w:spacing w:after="120" w:line="276"/>
        <w:jc w:val="both"/>
      </w:pPr>
      <w:r>
        <w:rPr>
          <w:rFonts w:ascii="Barlow Semi Condensed" w:cs="Barlow Semi Condensed" w:eastAsia="Barlow Semi Condensed" w:hAnsi="Barlow Semi Condensed"/>
          <w:sz w:val="24"/>
          <w:szCs w:val="24"/>
        </w:rPr>
        <w:t xml:space="preserve">Alla struttura va aggiunto il suo atto individuale di fondazione, la procedura di arruolamento, che la documentazione consegnata al Parlamento descrive con precisione notarile: il reclutamento per cooptazione fiduciaria, il vaglio riservato dell'affidabilità, la sottoscrizione di un impegno di segretezza e di fedeltà con formule di giuramento, l'addestramento individuale o per piccoli nuclei presso il Centro sardo, la riconsegna alla vita civile in condizione dormiente, Livello A quanto alla procedura documentata. Il registro vi legge la cifra antropologica della rete: 622 cittadini vincolati da un giuramento che lo Stato, il quale lo riceveva, negava a sé stesso di aver mai richiesto, la fedeltà a una Repubblica che non poteva riconoscere i propri fedeli. Quanto all'esito giudiziario complessivo, le inchieste aperte dopo la rivelazione presso più uffici giudiziari si chiusero, quanto alla struttura in sé, senza condanne, tra archiviazioni e proscioglimenti, non risultando integrati, per il giudice, gli estremi delle fattispecie associative contestate, Livello A quanto agli esiti, mentre sull'elenco dei 622 si appuntarono, negli anni, contestazioni di incompletezza mai risolte in accertamento, Livello C quanto ad ogni ipotesi di elenchi ulteriori. La rete uscì così dalla storia giudiziaria come vi era entrata, per via di documenti e non di sentenze: certificata nell'esistenza, assolta nella forma, indecidibile nella sostanza, ed il registro la consegna alla Fase 5, dove il confronto con le reti sorelle europee restituirà all'anomalia italiana la sua esatta misura comparativa.</w:t>
      </w:r>
    </w:p>
    <w:p>
      <w:pPr>
        <w:spacing w:after="120" w:line="276"/>
        <w:jc w:val="both"/>
      </w:pPr>
      <w:r>
        <w:rPr>
          <w:rFonts w:ascii="Barlow Semi Condensed" w:cs="Barlow Semi Condensed" w:eastAsia="Barlow Semi Condensed" w:hAnsi="Barlow Semi Condensed"/>
          <w:sz w:val="24"/>
          <w:szCs w:val="24"/>
        </w:rPr>
        <w:t xml:space="preserve">All'anatomia della rete va premesso il suo atto di nascita documentale, che la desecretazione del 1990 restituì e che il registro certifica quale fondamento archivistico dell'intero nodo: l'accordo bilaterale tra il servizio segreto militare italiano e l'agenzia americana, sottoscritto il 26 novembre 1956, che istituiva l'organizzazione di resistenza clandestina in territorio nazionale definendone finalità, ripartizione degli oneri e canali di direzione, cui seguirono nel tempo le direttive interne di organizzazione che gli atti trasmessi al Parlamento documentano, Livello A quanto all'atto, alla data ed al contenuto, resi pubblici nella stagione della disclosure. Il registro sottolinea la portata metodologica del reperto: la data del 1956 retrodata la struttura di un decennio abbondante rispetto alla percezione pubblica formatasi nel 1990, collocandone la fondazione nel cuore del primo decennio repubblicano, prima della stagione dei piani e dei tentativi censiti nei capitoli precedenti, sicché ogni analisi delle finestre critiche successive deve assumere la rete non quale variabile sopraggiunta ma quale costante di fondo, operativa e riservata, dell'intero arco temporale che l'opera copre. La consegna alla Fase 5, dove le reti sorelle continentali riceveranno il loro censimento, è già scritta in quell'atto: l'architettura era bilaterale nella firma e multilaterale nella logica, ed il documento del 1956 è il primo reperto italiano di un sistema che solo la comparazione internazionale avrebbe reso interamente leggibile.</w:t>
      </w:r>
    </w:p>
    <w:p>
      <w:pPr>
        <w:spacing w:after="120" w:line="276"/>
        <w:jc w:val="both"/>
      </w:pPr>
      <w:r>
        <w:rPr>
          <w:rFonts w:ascii="Barlow Semi Condensed" w:cs="Barlow Semi Condensed" w:eastAsia="Barlow Semi Condensed" w:hAnsi="Barlow Semi Condensed"/>
          <w:sz w:val="24"/>
          <w:szCs w:val="24"/>
        </w:rPr>
        <w:t xml:space="preserve">La rivelazione del 1990 ebbe infine la sua doppia retorica istituzionale, che il registro censisce quale reperto sulla gestione dell'autodisvelamento: alla comunicazione tecnica del presidente del Consiglio, che consegnò al Parlamento l'esistenza, la struttura e gli elenchi della rete nel registro asciutto dell'adempimento dovuto, si affiancò la rivendicazione politica del capo dello Stato, che difese pubblicamente gli uomini della rete quali patrioti ed elevò la propria personale partecipazione alla vicenda a titolo d'onore, aprendo un conflitto interpretativo pubblico sulla natura della struttura, adempimento atlantico legittimo o vulnus costituzionale, che attraversò le istituzioni sino allo scontro con la magistratura inquirente ed alle soglie di procedure costituzionali estreme, Livello A quanto alle 2 linee pubbliche ed al conflitto documentato. Il registro consegna il doppio registro alla sua funzione: la medesima rivelazione fu simultaneamente amministrata come pratica da chiudere e brandita come bandiera da rivendicare, e questa scissione al vertice dello Stato, consumata davanti all'opinione pubblica, è essa stessa la miglior prova che la rete non era mai stata, per la Repubblica, un semplice strumento tecnico: gli strumenti tecnici si dichiarano e si archiviano, e ciò che invece dovette essere difeso, rivendicato e conteso tra le più alte cariche era, con ogni evidenza, una scelta di campo che il Paese non aveva mai potuto votare, e sulla quale i suoi vertici, potendone finalmente parlare, scoprirono di non essere d'accordo nemmeno tra loro.</w:t>
      </w:r>
    </w:p>
    <w:p>
      <w:pPr>
        <w:spacing w:after="120" w:line="276"/>
        <w:jc w:val="both"/>
      </w:pPr>
      <w:r>
        <w:rPr>
          <w:rFonts w:ascii="Barlow Semi Condensed" w:cs="Barlow Semi Condensed" w:eastAsia="Barlow Semi Condensed" w:hAnsi="Barlow Semi Condensed"/>
          <w:sz w:val="24"/>
          <w:szCs w:val="24"/>
        </w:rPr>
        <w:t xml:space="preserve">Il fenomeno esige infine il suo censimento sociologico, che il registro formula quale Stato Zero più singolare del capitolo: la rete clandestina mantenne il proprio segreto per 4 decenni attraverso centinaia di reclutati civili, cittadini comuni distribuiti sul territorio e vincolati da giuramento, senza che una sola fuga di notizie organica, una defezione pubblica od una rivelazione giornalistica alimentata dall'interno ne squarciasse l'esistenza prima dell'ammissione governativa del 1990, Livello A quanto alla tenuta quarantennale del segreto, documentata a contrario dall'assenza di ogni emersione anteriore. Il registro consegna la tenuta alla sua doppia lettura: sul piano tecnico, essa certifica la qualità della compartimentazione, con reclutati ignari gli uni degli altri e legati verticalmente alla sola struttura; sul piano civile, essa documenta il fenomeno che il corpus registra con maggiore inquietudine metodologica, la capacità di una democrazia di contenere al proprio interno, per 2 generazioni, un segreto di massa perfettamente conservato, perché i segreti dei vertici appartengono alla fisiologia di ogni Stato, ma un segreto mantenuto da centinaia di cittadini comuni per 40 anni dimostra che la riservatezza totale non è una prerogativa degli apparati, è una possibilità permanente delle società, e questa possibilità, provata una volta, non è revocabile: ciò che fu tenuto segreto una volta può esserlo ancora, ed il registro, che vive di carte emerse, deve dichiarare al lettore questa ipoteca su tutto ciò che non è emerso.</w:t>
      </w:r>
    </w:p>
    <w:p>
      <w:pPr>
        <w:spacing w:after="120" w:line="276"/>
        <w:jc w:val="both"/>
      </w:pPr>
      <w:r>
        <w:rPr>
          <w:rFonts w:ascii="Barlow Semi Condensed" w:cs="Barlow Semi Condensed" w:eastAsia="Barlow Semi Condensed" w:hAnsi="Barlow Semi Condensed"/>
          <w:b/>
          <w:bCs/>
          <w:sz w:val="24"/>
          <w:szCs w:val="24"/>
        </w:rPr>
        <w:t xml:space="preserve">Sintesi del dato nuovo acquisito:</w:t>
      </w:r>
      <w:r>
        <w:rPr>
          <w:rFonts w:ascii="Barlow Semi Condensed" w:cs="Barlow Semi Condensed" w:eastAsia="Barlow Semi Condensed" w:hAnsi="Barlow Semi Condensed"/>
          <w:sz w:val="24"/>
          <w:szCs w:val="24"/>
        </w:rPr>
        <w:t xml:space="preserve"> il nodo Gladio è certificato al Livello A quale rete clandestina stay-behind di genesi atlantica, dotata di base addestrativa, depositi di armi ed elenco di appartenenti, esistita e occultata al Parlamento per oltre 4 decenni fino alla rivelazione ufficiale del 24 ottobre 1990; l'ipotesi del suo impiego nella destabilizzazione interna resta al Livello C, non essendo stata provata dagli accertamenti giudiziari, e l'ipotesi ulteriore di una sua funzione di contrasto all'integrazione europea è priva di supporto documentale e contraddetta dalla cornice atlantica della rete, sicché il nodo, lungi dal sostenere l'ipotesi H1, milita nella direzione del falsificatore milwardiano.</w:t>
      </w:r>
    </w:p>
    <w:p>
      <w:pPr>
        <w:pStyle w:val="Heading3"/>
        <w:spacing w:after="80" w:before="160"/>
      </w:pPr>
      <w:r>
        <w:rPr>
          <w:rFonts w:ascii="Barlow Semi Condensed" w:cs="Barlow Semi Condensed" w:eastAsia="Barlow Semi Condensed" w:hAnsi="Barlow Semi Condensed"/>
          <w:sz w:val="24"/>
          <w:szCs w:val="24"/>
        </w:rPr>
        <w:t xml:space="preserve">Capitolo 6 — ▶ Junio Valerio Borghese. Il golpe dei nostalgici e la mediazione occulta</w:t>
      </w:r>
    </w:p>
    <w:p>
      <w:pPr>
        <w:spacing w:after="120" w:line="276"/>
        <w:jc w:val="both"/>
      </w:pPr>
      <w:r>
        <w:rPr>
          <w:rFonts w:ascii="Barlow Semi Condensed" w:cs="Barlow Semi Condensed" w:eastAsia="Barlow Semi Condensed" w:hAnsi="Barlow Semi Condensed"/>
          <w:sz w:val="24"/>
          <w:szCs w:val="24"/>
        </w:rPr>
        <w:t xml:space="preserve">Junio Valerio Borghese, nato a Roma il 6 giugno 1906 e morto a Cadice il 26 agosto 1974, comandante durante la guerra della Decima Flottiglia MAS e successivamente figura di riferimento dell'eversione nera del dopoguerra, è il nodo attraverso il quale il registro certifica il tentativo eversivo che diede nome a una stagione e che salda, in un solo evento, i Domini 7, 3, 1 e 6. La scansione del corpus lo registra 941 volte in 48 documenti, frequenza che ne fa uno dei nodi più densi del versante eversivo e che riflette la centralità della vicenda golpista del dicembre 1970 nell'intera ricostruzione della strategia della tensione. Il nodo era già comparso nella Fase 1 attraverso lo snodo Borghese-Sindona, certificato al Livello B sulla scorta della testimonianza di Buscetta relativa ai 3 tentativi golpisti a mediazione massonica; il presente capitolo ne ricostruisce il profilo proprio quale attore del Dominio 7 in accoppiamento con gli apparati.</w:t>
      </w:r>
    </w:p>
    <w:p>
      <w:pPr>
        <w:spacing w:after="120" w:line="276"/>
        <w:jc w:val="both"/>
      </w:pPr>
      <w:r>
        <w:rPr>
          <w:rFonts w:ascii="Barlow Semi Condensed" w:cs="Barlow Semi Condensed" w:eastAsia="Barlow Semi Condensed" w:hAnsi="Barlow Semi Condensed"/>
          <w:sz w:val="24"/>
          <w:szCs w:val="24"/>
        </w:rPr>
        <w:t xml:space="preserve">La biografia colloca Borghese, dopo la vicenda bellica e il processo del dopoguerra per collaborazionismo, al vertice simbolico e organizzativo dell'eversione nostalgica. Fondatore e presidente del Fronte Nazionale, organizzazione della destra radicale costituita alla fine degli anni Sessanta, Borghese raccolse attorno a sé ambienti reduci, gruppi dell'eversione neofascista e settori disponibili all'azione illegale contro l'assetto repubblicano. Il registro certifica al Livello A, sul fondamento degli atti processuali e delle ricostruzioni documentali, il ruolo di Borghese quale fondatore del Fronte Nazionale e quale figura di riferimento dell'eversione nera, e annota la continuità con il documento più risalente del corpus su questo versante, l'informativa della Central Intelligence Agency del 14 novembre 1951 sulle attività neofasciste in Italia, che già collocava il principe Borghese al centro degli ambienti della destra radicale e ne registrava i collegamenti e i finanziamenti: un reperto che il registro certifica al Livello A quale fonte documentale coeva e che retrodata di quasi 2 decenni l'osservazione internazionale sul nodo.</w:t>
      </w:r>
    </w:p>
    <w:p>
      <w:pPr>
        <w:spacing w:after="120" w:line="276"/>
        <w:jc w:val="both"/>
      </w:pPr>
      <w:r>
        <w:rPr>
          <w:rFonts w:ascii="Barlow Semi Condensed" w:cs="Barlow Semi Condensed" w:eastAsia="Barlow Semi Condensed" w:hAnsi="Barlow Semi Condensed"/>
          <w:sz w:val="24"/>
          <w:szCs w:val="24"/>
        </w:rPr>
        <w:t xml:space="preserve">Il primo pilastro probatorio è il tentativo eversivo del dicembre 1970, il cosiddetto golpe Borghese. Nella notte tra il 7 e l'8 dicembre 1970, la notte dell'Immacolata, prese avvio un tentativo di sovvertimento dell'ordine costituzionale che prevedeva l'occupazione di obiettivi nevralgici della capitale, tra cui il Ministero dell'interno, la sede della radiotelevisione e i centri di comunicazione, con il concorso di reparti e di gruppi dell'eversione nera. L'azione, avviata, fu interrotta e fatta rientrare nel corso della medesima notte, per ragioni che gli accertamenti non hanno integralmente chiarito e che alimentarono l'ipotesi di un contrordine impartito da un livello superiore. Il registro certifica al Livello A, sul fondamento degli atti giudiziari, l'esistenza materiale del tentativo, la sua articolazione operativa e la sua interruzione nel corso della notte; e mantiene al Livello C l'ipotesi sulla natura e sull'origine del contrordine, che gli accertamenti non hanno stabilito. Alla vicenda partecipò, quale organizzatore di uno dei settori operativi, Stefano Delle Chiaie, fondatore di Avanguardia Nazionale, che la Fase 3 tratterà nel suo contesto e che qui compare quale esecutore di primo piano dell'azione.</w:t>
      </w:r>
    </w:p>
    <w:p>
      <w:pPr>
        <w:spacing w:after="120" w:line="276"/>
        <w:jc w:val="both"/>
      </w:pPr>
      <w:r>
        <w:rPr>
          <w:rFonts w:ascii="Barlow Semi Condensed" w:cs="Barlow Semi Condensed" w:eastAsia="Barlow Semi Condensed" w:hAnsi="Barlow Semi Condensed"/>
          <w:sz w:val="24"/>
          <w:szCs w:val="24"/>
        </w:rPr>
        <w:t xml:space="preserve">Il secondo pilastro esige il riporto per esteso dell'esito giudiziario, in ossequio alla regola del registro. Il procedimento penale per il tentativo golpista del dicembre 1970 si concluse, dopo la condanna di alcuni imputati in primo grado, con l'assoluzione in grado d'appello della gran parte degli imputati dall'accusa di insurrezione armata contro i poteri dello Stato, con derubricazione delle residue responsabilità; la sentenza d'appello del 1984 riformò in senso largamente assolutorio le statuizioni di primo grado. Borghese medesimo era nel frattempo deceduto a Cadice, in Spagna, dove si era rifugiato dopo il fallimento del tentativo, il 26 agosto 1974, sottraendosi al giudizio. Il registro certifica al Livello A tanto l'esistenza del tentativo quanto l'esito largamente assolutorio del procedimento, e ne trae la conseguenza metodologica: il nodo Borghese certifica al Livello A il fatto storico di un tentativo eversivo materialmente avviato e interrotto, ma l'esito giudiziario ha escluso, per la gran parte degli imputati, la sussistenza del più grave reato contestato, sicché la qualificazione dell'evento quale golpe compiutamente organizzato e prossimo alla riuscita, ovvero quale mera velleità circoscritta, resta oggetto di controversia storiografica che il registro non risolve, attestandosi sul dato certo dell'avvio materiale e dell'interruzione e sull'esito assolutorio.</w:t>
      </w:r>
    </w:p>
    <w:p>
      <w:pPr>
        <w:spacing w:after="120" w:line="276"/>
        <w:jc w:val="both"/>
      </w:pPr>
      <w:r>
        <w:rPr>
          <w:rFonts w:ascii="Barlow Semi Condensed" w:cs="Barlow Semi Condensed" w:eastAsia="Barlow Semi Condensed" w:hAnsi="Barlow Semi Condensed"/>
          <w:sz w:val="24"/>
          <w:szCs w:val="24"/>
        </w:rPr>
        <w:t xml:space="preserve">Il terzo pilastro è l'osservazione internazionale precoce del nodo, documentata dall'informativa della Central Intelligence Agency del 14 novembre 1951, che il registro assume quale reperto documentale di eccezionale valore per la retrodatazione della vigilanza atlantica sull'eversione italiana. Il documento, classificato all'origine come segreto e successivamente desecretato, presente nel corpus nella sua estrazione integrale, riferiva informazioni datate all'ottobre 1951 sulle attività neofasciste in Italia, e collocava il principe Borghese al centro degli ambienti della destra radicale, registrandone i collegamenti con la X Flottiglia MAS ricostituita in chiave politica, con il Movimento sociale italiano, e con circuiti di finanziamento che il documento riconduceva ad ambienti franchisti spagnoli, oltre a menzionare l'esistenza di squadre d'azione. Il registro certifica al Livello A l'esistenza e il contenuto del documento quale fonte coeva prodotta dal servizio informativo statunitense, e ne trae 2 annotazioni. La prima è cronologica: la vigilanza informativa internazionale sul nodo Borghese e sugli ambienti dell'eversione nera è documentata sin dal 1951, ossia quasi 2 decenni prima del tentativo golpista, il che retrodata di gran lunga l'osservazione atlantica sul fenomeno e conferma che gli apparati alleati ne seguivano gli sviluppi. La seconda annotazione concerne, ancora una volta, la verifica di H1 e va formulata con precisione. Il documento del 1951 attesta che il servizio statunitense sorvegliava e schedava l'eversione nera italiana; questo dato non prova né una regia statunitense su tale eversione, che il documento non afferma, né tanto meno una convergenza tra il servizio statunitense e quello sovietico, della quale non v'è traccia; esso documenta un'attività informativa di sorveglianza, coerente con la logica del confronto bipolare, nella quale la potenza occidentale monitorava tanto la sinistra quanto le frange eversive di destra potenzialmente destabilizzanti. Il registro annota il finanziamento franchista riferito dal documento quale primo affioramento, sin dal 1951, della dimensione iberica dell'eversione nera, che la Fase 5 ritroverà nella latitanza spagnola dello stesso Borghese e di altri protagonisti; e mantiene al Livello B, in quanto riferito da singola fonte informativa coeva ancorché autorevole, il dato del finanziamento franchista, in attesa dei riscontri che la fase internazionale potrà fornire.</w:t>
      </w:r>
    </w:p>
    <w:p>
      <w:pPr>
        <w:spacing w:after="120" w:line="276"/>
        <w:jc w:val="both"/>
      </w:pPr>
      <w:r>
        <w:rPr>
          <w:rFonts w:ascii="Barlow Semi Condensed" w:cs="Barlow Semi Condensed" w:eastAsia="Barlow Semi Condensed" w:hAnsi="Barlow Semi Condensed"/>
          <w:sz w:val="24"/>
          <w:szCs w:val="24"/>
        </w:rPr>
        <w:t xml:space="preserve">Il quarto pilastro è la mediazione occulta e l'accoppiamento con il Dominio 1, che salda il nodo alla Fase 1 e ne costituisce l'elemento di maggiore interesse strutturale. La testimonianza di Tommaso Buscetta, resa nell'ambito dei procedimenti sui rapporti tra mafia e politica e recepita dal registro nella Fase 1, riferì che a Cosa Nostra fu richiesta, per il tramite di ambienti massonici, la disponibilità a concorrere ad almeno uno dei tentativi golpisti di quella stagione, e collocò tale richiesta nel quadro di una trilogia di progetti eversivi che avrebbero visto la partecipazione di ambienti finanziari, tra cui quello di Michele Sindona. Il registro certifica al Livello B, sul fondamento della testimonianza di Buscetta riscontrata nel ciclo processuale ma non consacrata da condanna specifica sul punto, l'esistenza della richiesta di concorso rivolta a Cosa Nostra per il tramite massonico e la connessione con ambienti finanziari; e mantiene al Livello C l'estensione di tale accertamento a un disegno unitario e sovrastante. L'interesse strutturale del dato è massimo: il tentativo golpista del dicembre 1970 è il primo evento del registro in cui convergono, secondo gli accertamenti disponibili, il Dominio 7 dell'eversione, il Dominio 4 della massoneria quale mediatore, il Dominio 1 della mafia quale forza richiesta, il Dominio 6 della finanza quale possibile sostegno, e in cui affiora, sullo sfondo, la questione della condotta degli apparati, giacché il servizio militare diretto da Miceli disponeva di informazioni sull'iniziativa. È il primo affioramento, nel registro, di quella convergenza multidominio che la strategia della tensione realizzerà, e la sua trattazione anticipata nella Fase 2 si giustifica precisamente in ragione del suo essere il punto in cui il versante eversivo si accoppia agli apparati.</w:t>
      </w:r>
    </w:p>
    <w:p>
      <w:pPr>
        <w:spacing w:after="120" w:line="276"/>
        <w:jc w:val="both"/>
      </w:pPr>
      <w:r>
        <w:rPr>
          <w:rFonts w:ascii="Barlow Semi Condensed" w:cs="Barlow Semi Condensed" w:eastAsia="Barlow Semi Condensed" w:hAnsi="Barlow Semi Condensed"/>
          <w:sz w:val="24"/>
          <w:szCs w:val="24"/>
        </w:rPr>
        <w:t xml:space="preserve">Le triangolazioni del nodo sono 3. La prima, Borghese-Fronte Nazionale-Delle Chiaie, è il triangolo organizzativo dell'eversione nera, certificato al Livello A quanto alla struttura e alla partecipazione. La seconda, Borghese-mediazione massonica-Cosa Nostra, è il triangolo dell'accoppiamento con il Dominio 1 per il tramite del Dominio 4, certificato al Livello B dalla testimonianza riscontrata di Buscetta. La terza, Borghese-Sindona-finanziamento, è il triangolo del sostegno finanziario, certificato al Livello B e già inventariato nella Fase 1. Sul piano dei pattern, il nodo attiva il Pattern 3, l'analisi temporale, giacché il tentativo del dicembre 1970 si colloca nella finestra critica successiva alla strage di Piazza Fontana e apre la sequenza eversiva che la Fase 3 ricostruirà; e attiva il Pattern 6, l'analisi delle ipotesi concorrenti, quanto alla natura del contrordine e all'entità reale del tentativo, rispetto ai quali il registro mantiene aperte le ipotesi alternative, in assenza di accertamenti dirimenti.</w:t>
      </w:r>
    </w:p>
    <w:p>
      <w:pPr>
        <w:spacing w:after="120" w:line="276"/>
        <w:jc w:val="both"/>
      </w:pPr>
      <w:r>
        <w:rPr>
          <w:rFonts w:ascii="Barlow Semi Condensed" w:cs="Barlow Semi Condensed" w:eastAsia="Barlow Semi Condensed" w:hAnsi="Barlow Semi Condensed"/>
          <w:sz w:val="24"/>
          <w:szCs w:val="24"/>
        </w:rPr>
        <w:t xml:space="preserve">La notte dell'Immacolata va corredata dei suoi reperti materiali accertati, che sottraggono l'episodio tanto alla minimizzazione quanto alla leggenda. Gli accertamenti processuali consegnarono al giudicato la materialità di alcuni movimenti: la penetrazione di un gruppo di congiurati nell'armeria del Ministero dell'interno, con la temporanea disponibilità di armamento poi restituito, il concentramento di aderenti in punti di raccolta della capitale, l'allertamento di reparti collaterali tra cui un contingente di guardie forestali affluito da Cittaducale, e quindi, a mobilitazione avviata, il contrordine impartito dallo stesso Borghese per canali mai integralmente chiariti, che dissolse l'operazione prima dell'irreparabile, Livello A quanto ai movimenti materiali accertati nelle sentenze, Livello C quanto alle ragioni del contrordine, sulle quali le ricostruzioni divergono senza che alcuna abbia conseguito consacrazione giudiziale. Su questa materialità si innestò il paradosso qualificatorio che il capitolo ha già riportato: l'appello del 1984, confermato in cassazione, escluse la sussistenza del fatto quale insurrezione armata, consegnando alla storia repubblicana un tentativo materialmente avvenuto e giuridicamente inesistente, ed il registro, che non giudica i giudicati ma li censisce, annota la forbice tra accertamento storico e qualificazione penale quale caso di scuola della complementarità dei codici già teorizzata nella Fase 1.</w:t>
      </w:r>
    </w:p>
    <w:p>
      <w:pPr>
        <w:spacing w:after="120" w:line="276"/>
        <w:jc w:val="both"/>
      </w:pPr>
      <w:r>
        <w:rPr>
          <w:rFonts w:ascii="Barlow Semi Condensed" w:cs="Barlow Semi Condensed" w:eastAsia="Barlow Semi Condensed" w:hAnsi="Barlow Semi Condensed"/>
          <w:sz w:val="24"/>
          <w:szCs w:val="24"/>
        </w:rPr>
        <w:t xml:space="preserve">Un capitolo interno alla vicenda appartiene però più agli apparati che ai congiurati, ed è la gestione informativa del dopo. Gli atti processuali e parlamentari documentano che il servizio raccolse, sin dal 1971, un corpo cospicuo di informazioni sul tentativo, incluse le registrazioni effettuate dal capitano Antonio Labruna con i protagonisti, e che il fascicolo trasmesso all'autorità giudiziaria nel 1974 risultò epurato di riferimenti a personalità ed articolazioni che la versione integrale conteneva: la manipolazione del malloppo, accertata nel ciclo processuale che coinvolse i vertici del servizio, costituisce il ponte documentale che salda questo capitolo ai capitoli 2 e 3 della fase, Livello A quanto alla trasmissione ritardata ed alle omissioni accertate, nei limiti dei rispettivi giudicati. Il registro vi legge la conferma di un teorema già enunciato: nel sistema della deviazione, l'apparato non organizza l'evento, ne amministra la conoscenza, e la differenza tra le 2 funzioni, che la pubblicistica confonde di continuo, è esattamente la differenza tra ciò che i processi hanno provato e ciò che hanno escluso.</w:t>
      </w:r>
    </w:p>
    <w:p>
      <w:pPr>
        <w:spacing w:after="120" w:line="276"/>
        <w:jc w:val="both"/>
      </w:pPr>
      <w:r>
        <w:rPr>
          <w:rFonts w:ascii="Barlow Semi Condensed" w:cs="Barlow Semi Condensed" w:eastAsia="Barlow Semi Condensed" w:hAnsi="Barlow Semi Condensed"/>
          <w:sz w:val="24"/>
          <w:szCs w:val="24"/>
        </w:rPr>
        <w:t xml:space="preserve">La genealogia del nodo esige il suo antefatto giudiziario e il suo salvataggio fondativo. Nella primavera del 1945 il comandante della Decima, sottratto alla resa dei conti insurrezionale, fu prelevato e trasferito a Roma sotto protezione alleata per iniziativa di ufficiali del controspionaggio americano, secondo una ricostruzione consolidata nella storiografia e nelle stesse fonti d'oltreoceano, Livello A quanto al trasferimento protetto; il successivo processo per collaborazionismo si chiuse nel 1949 con una condanna ampiamente assorbita da amnistia e detrazioni, che ne determinò l'immediata liberazione, Livello A. Il registro salda i 2 reperti in un teorema genetico: l'uomo che 25 anni dopo avrebbe guidato il tentativo della notte dell'Immacolata dovette la propria sopravvivenza politica, ed anzi fisica, alla precoce valutazione alleata della sua utilità anticomunista, sicché l'informativa del 1951 che il capitolo ha censito non fotografa un sorvegliato ma un investimento, e l'intera parabola del Fronte Nazionale, con i suoi gruppi paralleli ed il suo reclutamento tra nostalgici ed apparati, si svolse entro un campo di tolleranza internazionale che gli accertamenti hanno documentato nella sua esistenza senza mai poterne misurare i confini operativi, Livello B quanto alla qualificazione del campo. La fuga spagnola del gennaio 1971, all'emissione dei provvedimenti romani, e la morte a Cadice il 26 agosto 1974, in un esilio franchista che fu anche l'ultimo approdo coerente della biografia, chiudono il nodo su una geografia che la Fase 5 riprenderà: la penisola iberica quale retrovia continentale dell'eversione, il santuario dove i capitoli italiani andavano a morire ed a rigenerarsi.</w:t>
      </w:r>
    </w:p>
    <w:p>
      <w:pPr>
        <w:spacing w:after="120" w:line="276"/>
        <w:jc w:val="both"/>
      </w:pPr>
      <w:r>
        <w:rPr>
          <w:rFonts w:ascii="Barlow Semi Condensed" w:cs="Barlow Semi Condensed" w:eastAsia="Barlow Semi Condensed" w:hAnsi="Barlow Semi Condensed"/>
          <w:sz w:val="24"/>
          <w:szCs w:val="24"/>
        </w:rPr>
        <w:t xml:space="preserve">La contabilità processuale del tentativo va infine consegnata nei suoi ordini di grandezza, perché i numeri descrivono la parabola meglio di ogni aggettivo: decine di imputati rinviati a giudizio all'esito dell'istruttoria romana, un primo grado, nel luglio 1978, che pronunciò condanne per cospirazione a carico di un gruppo di organizzatori ed esecutori, escludendo già allora la fattispecie insurrezionale, ed un appello, nel novembre 1984, che travolse anche quelle condanne assolvendo tutti gli imputati con la formula che il capitolo ha riportato, resa irrevocabile dalla Cassazione, Livello A sull'intera scansione. Tra il primo ed il secondo grado corre un sessennio nel quale il quadro probatorio non si accrebbe ma si assottigliò, per la morte di protagonisti e testimoni e per la progressiva emersione delle manipolazioni documentali del 1974 che, minando l'attendibilità del materiale d'apparato, finirono paradossalmente per giovare agli imputati che quel materiale accusava: sicché il depistaggio censito nel secondo paragrafo produsse il suo effetto pieno non impedendo il processo ma svuotandolo, e la fase consegna alle successive questa meccanica raffinata, l'inquinamento della fonte quale forma differita di assoluzione, che il registro ritroverà, identica, nei grandi processi per le stragi.</w:t>
      </w:r>
    </w:p>
    <w:p>
      <w:pPr>
        <w:spacing w:after="120" w:line="276"/>
        <w:jc w:val="both"/>
      </w:pPr>
      <w:r>
        <w:rPr>
          <w:rFonts w:ascii="Barlow Semi Condensed" w:cs="Barlow Semi Condensed" w:eastAsia="Barlow Semi Condensed" w:hAnsi="Barlow Semi Condensed"/>
          <w:b/>
          <w:bCs/>
          <w:sz w:val="24"/>
          <w:szCs w:val="24"/>
        </w:rPr>
        <w:t xml:space="preserve">Sintesi del dato nuovo acquisito:</w:t>
      </w:r>
      <w:r>
        <w:rPr>
          <w:rFonts w:ascii="Barlow Semi Condensed" w:cs="Barlow Semi Condensed" w:eastAsia="Barlow Semi Condensed" w:hAnsi="Barlow Semi Condensed"/>
          <w:sz w:val="24"/>
          <w:szCs w:val="24"/>
        </w:rPr>
        <w:t xml:space="preserve"> il nodo Borghese è certificato al Livello A quale artefice del tentativo eversivo materialmente avviato e interrotto nella notte tra il 7 e l'8 dicembre 1970, con esito giudiziario largamente assolutorio riportato per esteso; la richiesta di concorso rivolta a Cosa Nostra per il tramite di ambienti massonici e la connessione con ambienti finanziari sono certificate al Livello B sulla scorta della testimonianza riscontrata di Buscetta; il tentativo del dicembre 1970 è registrato quale primo affioramento della convergenza multidominio tra eversione, massoneria, mafia e finanza che la strategia della tensione realizzerà, e la sua natura e portata reali restano oggetto di ipotesi concorrenti non dirimibili allo stato degli accertamenti.</w:t>
      </w:r>
    </w:p>
    <w:p>
      <w:pPr>
        <w:pStyle w:val="Heading3"/>
        <w:spacing w:after="80" w:before="160"/>
      </w:pPr>
      <w:r>
        <w:rPr>
          <w:rFonts w:ascii="Barlow Semi Condensed" w:cs="Barlow Semi Condensed" w:eastAsia="Barlow Semi Condensed" w:hAnsi="Barlow Semi Condensed"/>
          <w:sz w:val="24"/>
          <w:szCs w:val="24"/>
        </w:rPr>
        <w:t xml:space="preserve">Capitolo 7 — ▶ Edgardo Sogno. Il golpe bianco e la rete anticomunista</w:t>
      </w:r>
    </w:p>
    <w:p>
      <w:pPr>
        <w:spacing w:after="120" w:line="276"/>
        <w:jc w:val="both"/>
      </w:pPr>
      <w:r>
        <w:rPr>
          <w:rFonts w:ascii="Barlow Semi Condensed" w:cs="Barlow Semi Condensed" w:eastAsia="Barlow Semi Condensed" w:hAnsi="Barlow Semi Condensed"/>
          <w:sz w:val="24"/>
          <w:szCs w:val="24"/>
        </w:rPr>
        <w:t xml:space="preserve">Edgardo Sogno Rata del Vallino, nato a Torino il 21 dicembre 1915 e morto a Torino il 5 agosto 2000, partigiano azionista e poi diplomatico, organizzatore di reti anticomuniste, è il nodo attraverso il quale il registro estende la mappa dell'eversione dal versante nostalgico e neofascista, incarnato da Borghese, al versante che si richiamava alla tradizione liberale e resistenziale ma perseguiva anch'esso la torsione autoritaria dell'ordine repubblicano in funzione anticomunista. La scansione del corpus lo registra 274 volte in 21 documenti. Il nodo è di particolare valore per il registro perché dimostra che la deviazione autoritaria non fu appannaggio esclusivo dell'area nera, ma attraversò trasversalmente lo schieramento anticomunista, saldando il Dominio 2 al Dominio 3 e al Dominio 7 attraverso una figura di impeccabile biografia antifascista.</w:t>
      </w:r>
    </w:p>
    <w:p>
      <w:pPr>
        <w:spacing w:after="120" w:line="276"/>
        <w:jc w:val="both"/>
      </w:pPr>
      <w:r>
        <w:rPr>
          <w:rFonts w:ascii="Barlow Semi Condensed" w:cs="Barlow Semi Condensed" w:eastAsia="Barlow Semi Condensed" w:hAnsi="Barlow Semi Condensed"/>
          <w:sz w:val="24"/>
          <w:szCs w:val="24"/>
        </w:rPr>
        <w:t xml:space="preserve">La biografia colloca Sogno agli antipodi apparenti di Borghese: medaglia d'oro della Resistenza, esponente del Partito d'Azione, diplomatico di carriera, Sogno fu, sin dai primi anni Cinquanta, l'organizzatore di strutture anticomuniste operanti nel quadro della guerra fredda. Il registro certifica al Livello A, sul fondamento delle ricostruzioni documentali e delle stesse memorie del protagonista, il ruolo di Sogno quale fondatore e animatore, nella prima metà degli anni Cinquanta, dell'organizzazione Pace e Libertà, struttura di propaganda e di azione anticomunista attiva sul terreno sindacale e politico, che operò in collegamento con ambienti atlantici e con settori degli apparati. Il nodo salda così, sin dalle origini, la militanza anticomunista alla dimensione internazionale del confronto bipolare, e prefigura il circuito che il capitolo 8 tratterà.</w:t>
      </w:r>
    </w:p>
    <w:p>
      <w:pPr>
        <w:spacing w:after="120" w:line="276"/>
        <w:jc w:val="both"/>
      </w:pPr>
      <w:r>
        <w:rPr>
          <w:rFonts w:ascii="Barlow Semi Condensed" w:cs="Barlow Semi Condensed" w:eastAsia="Barlow Semi Condensed" w:hAnsi="Barlow Semi Condensed"/>
          <w:sz w:val="24"/>
          <w:szCs w:val="24"/>
        </w:rPr>
        <w:t xml:space="preserve">Il primo pilastro probatorio è il progetto eversivo del 1974, il cosiddetto golpe bianco. Nel 1974, nel clima di tensione seguito alla crisi economica e all'avanzata elettorale della sinistra, Edgardo Sogno elaborò e promosse un progetto di sovvertimento in senso autoritario e presidenzialista dell'ordine costituzionale, un mutamento istituzionale da conseguire, secondo il disegno, anche attraverso un'azione di forza qualora la via legale si fosse rivelata impraticabile. Il progetto, denominato nella pubblicistica golpe bianco per distinguerlo dai tentativi di marca nera, diede luogo a indagini giudiziarie e all'incriminazione del suo promotore. Il registro procede qui con la disciplina consueta. Certifica al Livello A l'esistenza del progetto di riforma autoritaria promosso da Sogno nel 1974 e la sua incriminazione, quali fatti documentati dagli atti; e, quanto alla natura e all'attualità del disegno eversivo, registra un elemento probatorio di eccezionale valore, giacché il protagonista medesimo, nelle proprie memorie pubblicate in forma di intervista-testamento nell'anno della sua morte, ammise di aver progettato un colpo di Stato e di essersi tenuto pronto ad attuarlo, rivendicandone la legittimità in chiave anticomunista. Il registro certifica al Livello A l'ammissione autobiografica del protagonista quanto alla progettazione del colpo di Stato, trattandola quale dichiarazione contra se resa in tempo non sospetto e come tale dotata di particolare valore probatorio; e mantiene al Livello C, quanto ai profili di coinvolgimento di terzi non accertati giudizialmente, ogni estensione dell'ammissione oltre la sfera del dichiarante.</w:t>
      </w:r>
    </w:p>
    <w:p>
      <w:pPr>
        <w:spacing w:after="120" w:line="276"/>
        <w:jc w:val="both"/>
      </w:pPr>
      <w:r>
        <w:rPr>
          <w:rFonts w:ascii="Barlow Semi Condensed" w:cs="Barlow Semi Condensed" w:eastAsia="Barlow Semi Condensed" w:hAnsi="Barlow Semi Condensed"/>
          <w:sz w:val="24"/>
          <w:szCs w:val="24"/>
        </w:rPr>
        <w:t xml:space="preserve">Il secondo pilastro è il collegamento con la dimensione atlantica e con gli apparati, che colloca il nodo al centro della verifica di H1. Le ricostruzioni documentali e le stesse dichiarazioni di Sogno collocarono il suo attivismo anticomunista, da Pace e Libertà al progetto del 1974, in un quadro di rapporti con ambienti atlantici e con il servizio informativo statunitense, dai quali Sogno dichiarò di aver ricevuto interlocuzione. Il registro certifica al Livello B, sul fondamento delle ricostruzioni convergenti e delle ammissioni del protagonista, l'esistenza di tali rapporti; e ne trae l'annotazione che vale per la verifica di H1. La disponibilità di Sogno a interloquire con ambienti atlantici sul proprio progetto autoritario documenta la cornice internazionale del suo attivismo, ma le fonti collocano tale interlocuzione nel quadro del contrasto anticomunista interno alla logica bipolare, non in quello di un disegno di contrasto all'integrazione europea; e il progetto di Sogno era esso stesso, nella sua ispirazione, un progetto di rafforzamento autoritario dello Stato nazionale in funzione anticomunista, non un progetto rivolto contro il processo di integrazione. Il registro registra dunque il nodo Sogno quale ulteriore elemento che, lungi dal supportare H1, ne mostra l'inadeguatezza esplicativa: la deviazione autoritaria degli anni Settanta si spiega con la dinamica anticomunista interna al confronto bipolare, e la sua dimensione internazionale è quella dell'alleanza atlantica, non quella di una regia contro l'Europa.</w:t>
      </w:r>
    </w:p>
    <w:p>
      <w:pPr>
        <w:spacing w:after="120" w:line="276"/>
        <w:jc w:val="both"/>
      </w:pPr>
      <w:r>
        <w:rPr>
          <w:rFonts w:ascii="Barlow Semi Condensed" w:cs="Barlow Semi Condensed" w:eastAsia="Barlow Semi Condensed" w:hAnsi="Barlow Semi Condensed"/>
          <w:sz w:val="24"/>
          <w:szCs w:val="24"/>
        </w:rPr>
        <w:t xml:space="preserve">Il terzo pilastro esige il riporto dell'esito giudiziario. Il procedimento a carico di Sogno per il progetto del 1974 non pervenne a condanna: la posizione dell'imputato si chiuse senza affermazione di responsabilità penale per i fatti eversivi contestatigli. Il registro certifica al Livello A tanto l'esistenza del progetto e dell'incriminazione quanto l'esito non condannatorio del procedimento, e ne trae la distinzione consueta: il fatto storico del progetto, ammesso dal protagonista, è certificato, mentre la responsabilità penale per un tentativo eversivo attuale e punibile non fu affermata dal giudice; la sopravvivenza dell'ammissione autobiografica quale reperto di Livello A non è intaccata dall'esito processuale, giacché l'ammissione attiene alla progettazione, che il dichiarante rivendicò, e non alla qualificazione penale, che il giudice non affermò.</w:t>
      </w:r>
    </w:p>
    <w:p>
      <w:pPr>
        <w:spacing w:after="120" w:line="276"/>
        <w:jc w:val="both"/>
      </w:pPr>
      <w:r>
        <w:rPr>
          <w:rFonts w:ascii="Barlow Semi Condensed" w:cs="Barlow Semi Condensed" w:eastAsia="Barlow Semi Condensed" w:hAnsi="Barlow Semi Condensed"/>
          <w:sz w:val="24"/>
          <w:szCs w:val="24"/>
        </w:rPr>
        <w:t xml:space="preserve">Il quarto pilastro è la natura dell'organizzazione Pace e Libertà quale strumento di guerra psicologica anticomunista, che il registro assume a documentazione della continuità tra la propaganda e l'azione nel percorso del nodo. Pace e Libertà, attiva nella prima metà degli anni Cinquanta, operò quale struttura di propaganda anticomunista sul terreno sindacale e politico, impegnata nella diffusione di materiale contrario al Partito comunista e alla Confederazione generale del lavoro, e nell'organizzazione di iniziative volte a contrastare l'influenza della sinistra nel mondo del lavoro; a essa fu associata la figura di Luigi Cavallo, collaboratore di Sogno in quella stagione e successivamente attivo, per proprio conto, in vicende di guerra psicologica e di attacco pubblicistico. Il registro certifica al Livello A la natura di Pace e Libertà quale struttura di propaganda e di guerra psicologica anticomunista e il ruolo di Sogno quale suo animatore, e ne trae 2 annotazioni. La prima concerne la proiezione verso il Dominio 8: la vicenda di Pace e Libertà documenta, sin dagli anni Cinquanta, l'accoppiamento tra l'attivismo anticomunista e il controllo del flusso informativo, giacché lo strumento privilegiato dell'organizzazione fu la produzione e la diffusione di materiale propagandistico, secondo una logica di guerra psicologica che anticipa i temi del Dominio 8 che le fasi successive svilupperanno. La seconda concerne, ancora una volta, la verifica di H1: la finalità di Pace e Libertà fu il contrasto interno all'influenza comunista, ossia una finalità collocata sul versante occidentale e anticomunista del confronto bipolare, coerente con la logica atlantica e incompatibile con l'ipotesi di una convergenza tra i blocchi; sicché anche il pilastro delle origini del nodo Sogno milita, come il resto della fase, contro l'adeguatezza esplicativa di H1 e a favore dell'ipotesi bipolare concorrente.</w:t>
      </w:r>
    </w:p>
    <w:p>
      <w:pPr>
        <w:spacing w:after="120" w:line="276"/>
        <w:jc w:val="both"/>
      </w:pPr>
      <w:r>
        <w:rPr>
          <w:rFonts w:ascii="Barlow Semi Condensed" w:cs="Barlow Semi Condensed" w:eastAsia="Barlow Semi Condensed" w:hAnsi="Barlow Semi Condensed"/>
          <w:sz w:val="24"/>
          <w:szCs w:val="24"/>
        </w:rPr>
        <w:t xml:space="preserve">Le triangolazioni del nodo sono 3. La prima, Sogno-Pace e Libertà-ambienti atlantici, è il triangolo delle origini anticomuniste e della cornice internazionale, certificato al Livello A quanto all'organizzazione e al Livello B quanto ai rapporti atlantici. La seconda, Sogno-progetto 1974-ammissione autobiografica, è il triangolo del golpe bianco, certificato al Livello A quanto al progetto e all'ammissione e recante il reperto dell'esito non condannatorio. La terza, Sogno-area anticomunista trasversale, è il triangolo che salda il versante liberale e resistenziale al versante nero nella comune torsione autoritaria, certificato al Livello A quanto al dato strutturale della trasversalità del fronte anticomunista. Sul piano dei pattern, il nodo attiva il Pattern 11, l'analisi dell'isomorfismo strutturale, nella sua accezione più feconda: il progetto di Sogno e i tentativi di marca nera, pur muovendo da tradizioni politiche opposte, presentano la medesima struttura funzionale, la torsione autoritaria in funzione anticomunista, e tale isomorfismo si spiega con la necessità funzionale comune imposta dal contesto bipolare, non con un'origine unica, secondo la distinzione che il Pattern 11 impone.</w:t>
      </w:r>
    </w:p>
    <w:p>
      <w:pPr>
        <w:spacing w:after="120" w:line="276"/>
        <w:jc w:val="both"/>
      </w:pPr>
      <w:r>
        <w:rPr>
          <w:rFonts w:ascii="Barlow Semi Condensed" w:cs="Barlow Semi Condensed" w:eastAsia="Barlow Semi Condensed" w:hAnsi="Barlow Semi Condensed"/>
          <w:sz w:val="24"/>
          <w:szCs w:val="24"/>
        </w:rPr>
        <w:t xml:space="preserve">La vicenda giudiziaria del nodo va scandita nei suoi passaggi, perché anche i proscioglimenti hanno una cronologia che istruisce. L'istruttoria torinese condotta dal giudice Luciano Violante culminò, nel maggio 1976, nell'arresto di Sogno, evento senza precedenti per un decorato della Resistenza e diplomatico di carriera, cui seguirono la scarcerazione, il trasferimento del procedimento alla sede romana per ragioni di competenza e la chiusura istruttoria senza rinvio a giudizio sul finire del decennio, Livello A quanto alla scansione. Il registro annota, per la seconda volta nella fase, la migrazione del fascicolo verso il foro capitolino con esito favorevole all'imputato, e trasmette il dato alla statistica delle sedi senza aggiungervi ciò che solo un giudicato potrebbe: la correlazione si registra, la causa si sospende. Alla chiusura giudiziaria fece da controcanto, un quarto di secolo dopo, la chiusura autobiografica: nel libro-testamento pubblicato nell'anno della morte, Sogno rivendicò apertamente il progetto del 1974, descrivendone finalità presidenzialista e meccanica operativa con una franchezza che nessun interrogatorio gli aveva strappato, Livello A quanto all'ammissione pubblica, Livello B quanto alla corrispondenza tra il progetto narrato ed il progetto storico, giacché la confessione tardiva di un prosciolto è insieme la più preziosa e la più sospetta delle fonti, potendo l'anziano protagonista tanto rivelare quanto monumentalizzare sé stesso.</w:t>
      </w:r>
    </w:p>
    <w:p>
      <w:pPr>
        <w:spacing w:after="120" w:line="276"/>
        <w:jc w:val="both"/>
      </w:pPr>
      <w:r>
        <w:rPr>
          <w:rFonts w:ascii="Barlow Semi Condensed" w:cs="Barlow Semi Condensed" w:eastAsia="Barlow Semi Condensed" w:hAnsi="Barlow Semi Condensed"/>
          <w:sz w:val="24"/>
          <w:szCs w:val="24"/>
        </w:rPr>
        <w:t xml:space="preserve">Resta la morfologia, che distingue questo nodo da quello che lo precede. Il progetto del 1974 non prevedeva colonne di nostalgici né armerie violate: prevedeva, secondo gli atti e la stessa autobiografia, una forzatura istituzionale dall'alto, il capo dello Stato indotto a sciogliere le Camere ed a insediare un governo di emergenza a guida presidenzialista, con l'appoggio di ambienti militari, diplomatici ed economici selezionati. Nella tassonomia del registro è il golpe di rete contrapposto al golpe di piazza: dove Borghese mobilita corpi, Sogno mobilita relazioni, e la circostanza che il primo sia finito in una fuga notturna ed il secondo in un salotto istruttorio dice qualcosa di permanente sulla gerarchia delle risorse eversive in un sistema maturo. Il Pattern 11, l'isomorfismo strutturale, registra qui la sua variante più fine: 2 strutture topologicamente opposte, la piramide nostalgica e la rete liberale, convergenti sul medesimo obiettivo funzionale, e la convergenza degli opposti sull'oggetto, non la somiglianza delle forme, è il dato che la fase consegna alla verifica di H1.</w:t>
      </w:r>
    </w:p>
    <w:p>
      <w:pPr>
        <w:spacing w:after="120" w:line="276"/>
        <w:jc w:val="both"/>
      </w:pPr>
      <w:r>
        <w:rPr>
          <w:rFonts w:ascii="Barlow Semi Condensed" w:cs="Barlow Semi Condensed" w:eastAsia="Barlow Semi Condensed" w:hAnsi="Barlow Semi Condensed"/>
          <w:sz w:val="24"/>
          <w:szCs w:val="24"/>
        </w:rPr>
        <w:t xml:space="preserve">Il precedente organizzativo degli anni 50 va restituito nella sua fisionomia, perché in esso la biografia del nodo si salda alla preistoria della guerra psicologica interna. Pace e Libertà, l'organizzazione fondata e diretta da Sogno nel quinquennio 1953-1957 con sede operativa a Milano, condusse una campagna sistematica di propaganda anticomunista fatta di manifesti murali, opuscoli, schedature di attivisti e controinformazione sindacale, avvalendosi di finanziamenti provenienti da ambienti industriali e da canali atlantici che le ricostruzioni storiografiche e le stesse memorie del protagonista documentano con convergenza sostanziale, Livello A quanto all'attività ed alla sede, Livello B quanto alla mappa dei finanziamenti. Il registro vi riconosce il prototipo funzionale di ciò che il capitolo 8 mostrerà su scala continentale: la struttura privata che svolge, per conto di ambienti pubblici che non possono firmarla, la guerra delle idee, secondo una divisione del lavoro tra Stato e parastato che costituisce, assai più dei progetti golpisti, il lascito permanente di questa galassia. Nel medesimo campo operò, con progetto politico proprio, la Nuova Repubblica di Randolfo Pacciardi, l'ex ministro repubblicano teorico della svolta presidenzialista, che il registro cita quale termine di comparazione morfologica: 2 reduci dell'antifascismo combattente, l'azionista e il repubblicano, approdati per vie indipendenti al medesimo schema della forzatura istituzionale dall'alto, Livello A quanto ai progetti pubblicamente professati, convergenza che il Pattern 11 archivia quale ulteriore isomorfismo e che dispensa l'analista da ogni ricorso alla categoria, qui superflua, della regia unica: talvolta le strutture si somigliano perché il problema che intendono risolvere è lo stesso, e l'ossessione dell'ora X fu, in quella generazione, un problema condiviso assai più che un ordine ricevuto.</w:t>
      </w:r>
    </w:p>
    <w:p>
      <w:pPr>
        <w:spacing w:after="120" w:line="276"/>
        <w:jc w:val="both"/>
      </w:pPr>
      <w:r>
        <w:rPr>
          <w:rFonts w:ascii="Barlow Semi Condensed" w:cs="Barlow Semi Condensed" w:eastAsia="Barlow Semi Condensed" w:hAnsi="Barlow Semi Condensed"/>
          <w:sz w:val="24"/>
          <w:szCs w:val="24"/>
        </w:rPr>
        <w:t xml:space="preserve">Alla fisionomia operativa di Pace e Libertà appartiene infine la figura del suo principale operatore, Luigi Cavallo, il giornalista ed agitatore torinese che dell'organizzazione fu l'uomo di macchina, specialista di quella zona grigia tra propaganda, provocazione e dossieraggio che le ricostruzioni storiografiche documentano nelle campagne condotte contro il sindacato di fabbrica ed il Partito comunista negli stabilimenti del capoluogo piemontese, Livello B quanto al ruolo ed alle campagne, fondato su fonti storiografiche e documentali convergenti. La coppia Sogno-Cavallo, il gentiluomo e l'operatore, riproduce in scala nazionale la divisione del lavoro che il registro ha già censito nella coppia Gelli-Ortolani ed anticipa quella che ritroverà altrove: ogni struttura di condizionamento matura si articola in una faccia presentabile, che frequenta i salotti ed incassa la rispettabilità, ed in una faccia esecutiva, che maneggia i materiali e ne assorbe il discredito, e la longevità della prima si misura sulla sacrificabilità della seconda. È l'ennesima occorrenza di un isomorfismo che il Pattern 11 registra ormai quale costante antropologica del campo, e che dispensa il registro dal cercare, dietro la ricorrenza della forma, un architetto che la ricorrenza stessa rende superfluo.</w:t>
      </w:r>
    </w:p>
    <w:p>
      <w:pPr>
        <w:spacing w:after="120" w:line="276"/>
        <w:jc w:val="both"/>
      </w:pPr>
      <w:r>
        <w:rPr>
          <w:rFonts w:ascii="Barlow Semi Condensed" w:cs="Barlow Semi Condensed" w:eastAsia="Barlow Semi Condensed" w:hAnsi="Barlow Semi Condensed"/>
          <w:b/>
          <w:bCs/>
          <w:sz w:val="24"/>
          <w:szCs w:val="24"/>
        </w:rPr>
        <w:t xml:space="preserve">Sintesi del dato nuovo acquisito:</w:t>
      </w:r>
      <w:r>
        <w:rPr>
          <w:rFonts w:ascii="Barlow Semi Condensed" w:cs="Barlow Semi Condensed" w:eastAsia="Barlow Semi Condensed" w:hAnsi="Barlow Semi Condensed"/>
          <w:sz w:val="24"/>
          <w:szCs w:val="24"/>
        </w:rPr>
        <w:t xml:space="preserve"> il nodo Sogno è certificato al Livello A quale promotore, nel 1974, di un progetto di sovvertimento autoritario dell'ordine repubblicano, il cosiddetto golpe bianco, sulla scorta non solo degli atti ma dell'ammissione autobiografica resa dal protagonista in tempo non sospetto; il nodo dimostra che la deviazione autoritaria attraversò trasversalmente il fronte anticomunista, dal versante nero a quello liberale e resistenziale, e la sua cornice atlantica, tenuta distinta da ogni ipotesi di regia contro l'integrazione europea, milita ancora una volta contro l'adeguatezza esplicativa dell'ipotesi H1; l'esito giudiziario non condannatorio è certificato al Livello A e riportato per esteso.</w:t>
      </w:r>
    </w:p>
    <w:p>
      <w:pPr>
        <w:pStyle w:val="Heading3"/>
        <w:spacing w:after="80" w:before="160"/>
      </w:pPr>
      <w:r>
        <w:rPr>
          <w:rFonts w:ascii="Barlow Semi Condensed" w:cs="Barlow Semi Condensed" w:eastAsia="Barlow Semi Condensed" w:hAnsi="Barlow Semi Condensed"/>
          <w:sz w:val="24"/>
          <w:szCs w:val="24"/>
        </w:rPr>
        <w:t xml:space="preserve">Capitolo 8 — ◆ Le Cercle e il circuito Pinay. Il coordinamento internazionale dell'anticomunismo</w:t>
      </w:r>
    </w:p>
    <w:p>
      <w:pPr>
        <w:spacing w:after="120" w:line="276"/>
        <w:jc w:val="both"/>
      </w:pPr>
      <w:r>
        <w:rPr>
          <w:rFonts w:ascii="Barlow Semi Condensed" w:cs="Barlow Semi Condensed" w:eastAsia="Barlow Semi Condensed" w:hAnsi="Barlow Semi Condensed"/>
          <w:sz w:val="24"/>
          <w:szCs w:val="24"/>
        </w:rPr>
        <w:t xml:space="preserve">Le Cercle, denominazione del circuito internazionale di coordinamento anticomunista noto anche come Cercle Pinay dal nome del suo fondatore, è il nodo attraverso il quale il registro apre, all'interno della Fase 2, la prima finestra sistematica sulla dimensione internazionale del Dominio 3, e mette alla prova, su materiale finalmente sovranazionale, la verifica dell'ipotesi H1. La scansione del corpus registra il termine Cercle 391 volte in 8 documenti: una frequenza concentrata, che riflette la presenza nel corpus di uno studio monografico dedicato ai suoi animatori. Il nodo salda il Dominio 3 nella sua dimensione internazionale al Dominio 2, attraverso il coordinamento riservato di uomini politici e di apparati di più Paesi occidentali, e costituisce il pendant sovranazionale dei circuiti nazionali che i capitoli precedenti hanno documentato.</w:t>
      </w:r>
    </w:p>
    <w:p>
      <w:pPr>
        <w:spacing w:after="120" w:line="276"/>
        <w:jc w:val="both"/>
      </w:pPr>
      <w:r>
        <w:rPr>
          <w:rFonts w:ascii="Barlow Semi Condensed" w:cs="Barlow Semi Condensed" w:eastAsia="Barlow Semi Condensed" w:hAnsi="Barlow Semi Condensed"/>
          <w:sz w:val="24"/>
          <w:szCs w:val="24"/>
        </w:rPr>
        <w:t xml:space="preserve">La natura del nodo impone una premessa definitoria. Le Cercle non fu un'organizzazione a struttura gerarchica e a confini definiti, quali la loggia P2 o la rete Gladio, ma un circuito informale di incontro e di coordinamento tra esponenti politici, funzionari di apparati e personalità del mondo economico di più Paesi occidentali, accomunati dall'orientamento anticomunista e conservatore e riuniti periodicamente in sedi riservate. Il registro certifica al Livello B, sul fondamento dello studio monografico presente nel corpus e delle ricostruzioni convergenti, l'esistenza e la natura del circuito quale sede riservata di coordinamento anticomunista internazionale, e ne registra i riferimenti fondativi: l'ispirazione risalente all'ambiente dell'uomo politico francese Antoine Pinay, il ruolo organizzativo attribuito a figure di collegamento tra la politica e gli apparati, e la partecipazione, nel corso dei decenni, di esponenti conservatori e di uomini dei servizi di diversi Paesi occidentali. La cautela del Livello B è imposta dalla natura stessa del nodo, che opera nell'informalità e le cui tracce documentali sono, per definizione, meno nette di quelle delle strutture formalizzate.</w:t>
      </w:r>
    </w:p>
    <w:p>
      <w:pPr>
        <w:spacing w:after="120" w:line="276"/>
        <w:jc w:val="both"/>
      </w:pPr>
      <w:r>
        <w:rPr>
          <w:rFonts w:ascii="Barlow Semi Condensed" w:cs="Barlow Semi Condensed" w:eastAsia="Barlow Semi Condensed" w:hAnsi="Barlow Semi Condensed"/>
          <w:sz w:val="24"/>
          <w:szCs w:val="24"/>
        </w:rPr>
        <w:t xml:space="preserve">Il primo pilastro probatorio è la funzione di coordinamento e la sua collocazione atlantica. Il circuito operò quale sede di raccordo tra le componenti conservatrici e anticomuniste dello schieramento occidentale, in una funzione di elaborazione strategica e di scambio riservato che si affiancava ai canali ufficiali dell'alleanza. Il registro certifica al Livello B la funzione di coordinamento del circuito, e ne trae l'annotazione capitale per la verifica di H1. Il circuito Le Cercle è, tra tutti i nodi della fase, quello che maggiormente si avvicina alla figura di una struttura internazionale di coordinamento politico riservato; ed è precisamente per questo che la sua analisi è decisiva. La finalità documentata del circuito fu il coordinamento anticomunista nel quadro del confronto bipolare, ossia il contrasto all'espansione dell'influenza sovietica e alla forza dei partiti comunisti occidentali; questa finalità è coerente con la logica dell'alleanza atlantica e si colloca sul versante occidentale del confronto tra i blocchi. Essa non coincide, e anzi confligge, con la finalità che l'ipotesi H1 postulerebbe, ossia la convergenza segreta tra la potenza occidentale e quella sovietica per impedire l'integrazione europea: un circuito anticomunista di coordinamento occidentale è, per sua natura, l'opposto di una struttura di convergenza tra i 2 blocchi. Il registro registra dunque il nodo Le Cercle quale elemento che milita frontalmente contro l'ipotesi H1, giacché documenta l'esistenza di un coordinamento internazionale rivolto contro l'Unione Sovietica, non in accordo con essa; e la sua esistenza rafforza la lettura del confronto bipolare quale chiave esplicativa alternativa a H1, nella quale gli attori occidentali perseguono finalità occidentali e quelli sovietici finalità sovietiche, senza la convergenza segreta che H1 postulerebbe.</w:t>
      </w:r>
    </w:p>
    <w:p>
      <w:pPr>
        <w:spacing w:after="120" w:line="276"/>
        <w:jc w:val="both"/>
      </w:pPr>
      <w:r>
        <w:rPr>
          <w:rFonts w:ascii="Barlow Semi Condensed" w:cs="Barlow Semi Condensed" w:eastAsia="Barlow Semi Condensed" w:hAnsi="Barlow Semi Condensed"/>
          <w:sz w:val="24"/>
          <w:szCs w:val="24"/>
        </w:rPr>
        <w:t xml:space="preserve">Il secondo pilastro riguarda le figure di collegamento e la funzione di elaborazione strategica del circuito, che il registro assume a documentazione della sua natura di sede di coordinamento e non di mera occasione conviviale. Al circuito furono associate figure di raccordo tra la politica, gli apparati informativi e gli ambienti della guerra psicologica di più Paesi occidentali, tra le quali la pubblicistica e gli studi collocano personalità legate ai servizi francesi e britannici e specialisti dell'analisi anticomunista e della controsovversione, impegnati nell'elaborazione di strategie di contrasto all'influenza comunista e nella circolazione riservata di analisi e di orientamenti tra le componenti conservatrici occidentali. Il registro certifica al Livello B, sul fondamento dello studio monografico presente nel corpus, la presenza nel circuito di figure di collegamento tra la politica e gli apparati e la sua funzione di elaborazione strategica anticomunista, e mantiene al Livello C l'attribuzione a singole personalità di ruoli operativi specifici non consacrati da accertamento. L'annotazione che il registro ne trae riguarda la natura del potere che il circuito esprimeva: non un potere formale né esecutivo, ma un potere di elaborazione e di coordinamento, ossia la capacità di produrre orientamenti condivisi e di farli circolare tra i vertici conservatori di più Paesi, secondo una logica che la Nota metodologica riconduce alla funzione di intermediazione e di controllo del flusso informativo. Il circuito Le Cercle è, in questo senso, l'omologo internazionale della loggia coperta nazionale: una sede riservata nella quale il coordinamento avviene non attraverso la gerarchia, ma attraverso la relazione, e nella quale il potere si esercita attraverso la capacità di connettere ambienti altrimenti separati. Ma questa funzione, ripetesi, è documentata quale funzione anticomunista occidentale, e la sua stessa natura conferma l'inadeguatezza dell'ipotesi H1: un circuito di elaborazione strategica anticomunista è l'espressione più raffinata del versante occidentale del confronto bipolare, non l'indizio di una convergenza tra i blocchi.</w:t>
      </w:r>
    </w:p>
    <w:p>
      <w:pPr>
        <w:spacing w:after="120" w:line="276"/>
        <w:jc w:val="both"/>
      </w:pPr>
      <w:r>
        <w:rPr>
          <w:rFonts w:ascii="Barlow Semi Condensed" w:cs="Barlow Semi Condensed" w:eastAsia="Barlow Semi Condensed" w:hAnsi="Barlow Semi Condensed"/>
          <w:sz w:val="24"/>
          <w:szCs w:val="24"/>
        </w:rPr>
        <w:t xml:space="preserve">Il terzo pilastro è il collegamento con il terreno italiano, che salda il nodo internazionale ai nodi nazionali della fase. Il circuito internazionale del coordinamento anticomunista intrattenne relazioni con gli ambienti italiani affini, dagli apparati agli attori politici e mediatici dell'area, e la figura di collegamento tra la propaganda anticomunista internazionale e il terreno italiano trova riscontro nei rapporti documentati tra ambienti dell'informazione e apparati che la fase ha incontrato. Il registro certifica al Livello C, in assenza di accertamenti giudiziari specifici, le ipotesi di collegamento operativo tra il circuito internazionale e singoli eventi del terreno italiano, e mantiene al Livello B il solo fatto dell'esistenza di relazioni tra il circuito e gli ambienti anticomunisti italiani. La disciplina è imposta dalla natura informale del nodo e dalla scarsità di riscontri documentali diretti: il registro certifica la cornice del coordinamento internazionale, ma si vieta di trasformare la cornice in prova di direzione dei singoli eventi nazionali.</w:t>
      </w:r>
    </w:p>
    <w:p>
      <w:pPr>
        <w:spacing w:after="120" w:line="276"/>
        <w:jc w:val="both"/>
      </w:pPr>
      <w:r>
        <w:rPr>
          <w:rFonts w:ascii="Barlow Semi Condensed" w:cs="Barlow Semi Condensed" w:eastAsia="Barlow Semi Condensed" w:hAnsi="Barlow Semi Condensed"/>
          <w:sz w:val="24"/>
          <w:szCs w:val="24"/>
        </w:rPr>
        <w:t xml:space="preserve">Le triangolazioni del nodo sono 3. La prima, Le Cercle-Pinay-figure di collegamento, è il triangolo fondativo del circuito, certificato al Livello B quanto all'esistenza, alla natura e alla presenza di figure di raccordo con gli apparati. La seconda, Le Cercle-alleanza atlantica-coordinamento anticomunista, è il triangolo della collocazione strategica, certificato al Livello B quanto alla funzione e recante l'annotazione decisiva per la falsificazione di H1. La terza, Le Cercle-ambienti italiani, è il triangolo del collegamento nazionale, certificato al Livello B quanto all'esistenza di relazioni e al Livello C quanto al collegamento operativo con singoli eventi. Sul piano dei pattern, il nodo attiva il Pattern 6, l'analisi delle ipotesi concorrenti, nella sua funzione più alta: l'esistenza di un circuito anticomunista internazionale di coordinamento occidentale è un'evidenza che discrimina tra le 2 macro-ipotesi in campo, giacché è coerente con l'ipotesi del confronto bipolare, nella quale è massimamente attesa, e incoerente con l'ipotesi H1 della convergenza tra i blocchi, nella quale sarebbe inspiegabile; e la procedura di Heuer prescrive che l'ipotesi da preferire sia quella meno contraddetta dalle evidenze, sicché il nodo Le Cercle pesa a favore dell'ipotesi bipolare e contro H1.</w:t>
      </w:r>
    </w:p>
    <w:p>
      <w:pPr>
        <w:spacing w:after="120" w:line="276"/>
        <w:jc w:val="both"/>
      </w:pPr>
      <w:r>
        <w:rPr>
          <w:rFonts w:ascii="Barlow Semi Condensed" w:cs="Barlow Semi Condensed" w:eastAsia="Barlow Semi Condensed" w:hAnsi="Barlow Semi Condensed"/>
          <w:sz w:val="24"/>
          <w:szCs w:val="24"/>
        </w:rPr>
        <w:t xml:space="preserve">La genealogia del circuito merita i suoi nomi fondativi, che le fonti storiografiche e memorialistiche consegnano con ragionevole convergenza. All'origine sta l'ambiente di Antoine Pinay, il presidente del Consiglio francese della ricostruzione conservatrice, e l'opera organizzativa dell'avvocato parigino Jean Violet, tessitore di relazioni tra le destre di governo continentali, in una cornice iniziale franco-tedesca orientata alla riconciliazione cattolico-conservatrice ed al contenimento comunista, Livello B quanto alla ricostruzione fondativa, fondata su fonti memorialistiche ed archivistiche convergenti ma non su atti pubblici. Nella stagione matura degli anni 70 l'animazione del circuito passò per la figura del pubblicista britannico Brian Crozier, direttore di un istituto londinese di studi sui conflitti e memorialista, nei cui scritti autobiografici il circuito è descritto dall'interno quale sede di raccordo tra responsabili politici, uomini degli apparati e finanziatori dell'anticomunismo militante, Livello A quanto all'esistenza delle memorie e delle carte, Livello B quanto al loro contenuto, trattandosi di fonte di parte non riscontrata integralmente. Alle riunioni del circuito la documentazione superstite attesta la partecipazione di esponenti italiani di primo piano, tra i quali Giulio Andreotti, presenza che il registro censisce quale puro dato di frequentazione, senza inferenza ulteriore, in ossequio alla disciplina che governa l'intera materia, Livello B.</w:t>
      </w:r>
    </w:p>
    <w:p>
      <w:pPr>
        <w:spacing w:after="120" w:line="276"/>
        <w:jc w:val="both"/>
      </w:pPr>
      <w:r>
        <w:rPr>
          <w:rFonts w:ascii="Barlow Semi Condensed" w:cs="Barlow Semi Condensed" w:eastAsia="Barlow Semi Condensed" w:hAnsi="Barlow Semi Condensed"/>
          <w:sz w:val="24"/>
          <w:szCs w:val="24"/>
        </w:rPr>
        <w:t xml:space="preserve">La funzione operativa documentabile del circuito appartiene al Dominio 8 più che al Dominio 3: le carte ed i memoriali ne attestano l'impegno nella produzione e nella circolazione di materiale informativo orientato, dossier, campagne di stampa, sostegni editoriali, diretti negli anni 70 in particolare contro l'ipotesi eurocomunista e contro gli esperimenti di apertura a sinistra nei Paesi latini, Livello B. Il registro chiude il capitolo con la digressione che la natura del nodo esige. Un circuito senza statuto, senza sede, senza elenco degli iscritti sembra, alla tassonomia delle organizzazioni, un non-oggetto; ma la teoria delle reti insegna che l'informalità non è assenza di struttura, è struttura a costo zero di occultamento: ciò che non esiste giuridicamente non può essere sciolto, perquisito né processato, e la lezione della P2, distrutta dal proprio archivio, fu qui applicata in forma preventiva, nessun archivio, nessuna distruzione. Le Cercle rappresenta perciò, nel registro, il grado zero organizzativo del coordinamento riservato, il salotto quale tecnologia: e la sua certificazione al Livello B non è una debolezza dell'analisi, è la firma stessa dell'oggetto, che fu progettato per abitare esattamente quel livello.</w:t>
      </w:r>
    </w:p>
    <w:p>
      <w:pPr>
        <w:spacing w:after="120" w:line="276"/>
        <w:jc w:val="both"/>
      </w:pPr>
      <w:r>
        <w:rPr>
          <w:rFonts w:ascii="Barlow Semi Condensed" w:cs="Barlow Semi Condensed" w:eastAsia="Barlow Semi Condensed" w:hAnsi="Barlow Semi Condensed"/>
          <w:sz w:val="24"/>
          <w:szCs w:val="24"/>
        </w:rPr>
        <w:t xml:space="preserve">Alla fisionomia del circuito le memorie superstiti aggiungono la sua liturgia, che il registro censisce quale dato organizzativo e non quale colore: riunioni riservate a cadenza periodica, alternate tra le capitali europee e quella americana, partecipazione per cooptazione personale e non per carica, assenza di verbalizzazione ufficiale e di personalità giuridica, spese sostenute per il tramite di strutture di comodo, Livello B sull'intero quadro, fondato sulle fonti memorialistiche interne. È la grammatica esatta dell'anti-organizzazione già teorizzata, e la sua efficacia si misura in negativo: di quasi mezzo secolo di attività non esiste un archivio unitario, ed il registro deve ricostruire il nodo per frammenti laterali, carte private, agende, memorie di partecipanti, con la conseguenza metodologica che il Livello B non è qui il soffitto provvisorio della ricerca ma, con ogni probabilità, il suo soffitto strutturale. Il capitolo consegna perciò alla verifica di H1 un reperto di natura peculiare: l'esistenza certificata di una sede permanente di coordinamento informale tra le destre atlantiche, senza che da tale esistenza possa inferirsi, per alcun singolo evento italiano, una funzione di comando, e la distanza tra il coordinamento provato e la regia indimostrata è, ancora una volta, lo spazio esatto in cui il metodo di questo registro si separa dalla letteratura che pretende di colmarlo per postulato.</w:t>
      </w:r>
    </w:p>
    <w:p>
      <w:pPr>
        <w:spacing w:after="120" w:line="276"/>
        <w:jc w:val="both"/>
      </w:pPr>
      <w:r>
        <w:rPr>
          <w:rFonts w:ascii="Barlow Semi Condensed" w:cs="Barlow Semi Condensed" w:eastAsia="Barlow Semi Condensed" w:hAnsi="Barlow Semi Condensed"/>
          <w:sz w:val="24"/>
          <w:szCs w:val="24"/>
        </w:rPr>
        <w:t xml:space="preserve">Resta da censire il tramonto, che per un circuito informale non è uno scioglimento ma una perdita di funzione. Con la fine del sistema bipolare venne meno la minaccia che costituiva la ragione sociale non scritta del consesso, e le sue tracce documentali si diradano sino a confondersi con l'ordinaria sociabilità delle destre atlantiche; le carte di Brian Crozier, confluite in un fondo archivistico presso un'istituzione universitaria americana, restano ad oggi il principale giacimento documentale disponibile sul circuito, Livello A quanto all'esistenza ed alla collocazione del fondo, Livello B quanto alla sua rappresentatività, trattandosi dell'archivio di un solo protagonista. Il registro chiude il capitolo con la constatazione metodologica che il nodo impone: dei 10 capitoli della fase, questo è l'unico il cui oggetto non è mai stato raggiunto da un'inchiesta giudiziaria o parlamentare italiana, sicché la sua certificazione riposa per intero su fonti volontarie, memorie ed archivi privati, ed il suo Livello B è la misura esatta di quella dipendenza. La lezione è duplice: le strutture informali sopravvivono agli accertamenti perché non offrono loro alcun appiglio ordinamentale, ma pagano l'invisibilità con l'irrilevanza probatoria, ed il circuito che nessuno poté processare è anche il circuito al quale nessun giudicato ha mai potuto attribuire un solo fatto specifico del teatro italiano: l'ombra perfetta non proietta reati, e non incassa assoluzioni.</w:t>
      </w:r>
    </w:p>
    <w:p>
      <w:pPr>
        <w:spacing w:after="120" w:line="276"/>
        <w:jc w:val="both"/>
      </w:pPr>
      <w:r>
        <w:rPr>
          <w:rFonts w:ascii="Barlow Semi Condensed" w:cs="Barlow Semi Condensed" w:eastAsia="Barlow Semi Condensed" w:hAnsi="Barlow Semi Condensed"/>
          <w:sz w:val="24"/>
          <w:szCs w:val="24"/>
        </w:rPr>
        <w:t xml:space="preserve">Alla costellazione delle strutture parallele il registro aggiunge infine quella la cui stessa esistenza è rimasta materia di accertamento: la rete informale nota quale Anello, o Noto servizio, l'organismo riservato di matrice civile-militare attivo secondo le ricostruzioni dal dopoguerra ai primi anni Novanta, documentato da un fondo di carte emerso a metà degli anni Novanta e valorizzato da perizie ed acquisizioni delle sedi d'inchiesta, che ne attestano l'esistenza quale circuito di informatori, finanziamenti e servizi riservati esterno all'ordinamento degli apparati ufficiali, Livello A quanto all'esistenza del fondo documentale e delle acquisizioni, Livello B quanto all'operatività della rete quale vi è descritta, Livello C quanto ad ogni suo specifico impiego nei singoli episodi del corpus, mai certificato in giudicato. Il registro censisce la struttura per il suo valore tassonomico: l'Anello rappresenta, nella gerarchia delle opacità che questa fase ordina, il gradino estremo, quello di un organismo che non fu mai istituito da alcun atto, mai sciolto da alcun decreto e mai processato da alcuna corte, conosciuto soltanto attraverso le proprie carte postume, e la sua collocazione nel registro accanto alle strutture certificate, dalla Gladio dell'atto bilaterale alla loggia degli elenchi sequestrati, completa la scala documentale dell'intera fase: dall'apparato con statuto, all'apparato con elenco, all'apparato con solo archivio, in una degradazione della tracciabilità che è essa stessa la mappa di quanto profondo corresse, sotto la Repubblica di superficie, il piano dei servizi non dichiarati.</w:t>
      </w:r>
    </w:p>
    <w:p>
      <w:pPr>
        <w:spacing w:after="120" w:line="276"/>
        <w:jc w:val="both"/>
      </w:pPr>
      <w:r>
        <w:rPr>
          <w:rFonts w:ascii="Barlow Semi Condensed" w:cs="Barlow Semi Condensed" w:eastAsia="Barlow Semi Condensed" w:hAnsi="Barlow Semi Condensed"/>
          <w:b/>
          <w:bCs/>
          <w:sz w:val="24"/>
          <w:szCs w:val="24"/>
        </w:rPr>
        <w:t xml:space="preserve">Sintesi del dato nuovo acquisito:</w:t>
      </w:r>
      <w:r>
        <w:rPr>
          <w:rFonts w:ascii="Barlow Semi Condensed" w:cs="Barlow Semi Condensed" w:eastAsia="Barlow Semi Condensed" w:hAnsi="Barlow Semi Condensed"/>
          <w:sz w:val="24"/>
          <w:szCs w:val="24"/>
        </w:rPr>
        <w:t xml:space="preserve"> il nodo Le Cercle è certificato al Livello B quale circuito internazionale informale di coordinamento anticomunista, di ispirazione risalente all'ambiente di Antoine Pinay, operante quale sede riservata di raccordo tra le componenti conservatrici e anticomuniste dello schieramento occidentale; la sua finalità documentata, il contrasto all'influenza sovietica nel quadro del confronto bipolare, milita frontalmente contro l'ipotesi H1 della convergenza segreta tra i blocchi, giacché un coordinamento anticomunista occidentale è l'opposto di una struttura di convergenza tra le 2 superpotenze; il collegamento del circuito con singoli eventi del terreno italiano resta al Livello C in assenza di accertamenti specifici.</w:t>
      </w:r>
    </w:p>
    <w:p>
      <w:pPr>
        <w:pStyle w:val="Heading3"/>
        <w:spacing w:after="80" w:before="160"/>
      </w:pPr>
      <w:r>
        <w:rPr>
          <w:rFonts w:ascii="Barlow Semi Condensed" w:cs="Barlow Semi Condensed" w:eastAsia="Barlow Semi Condensed" w:hAnsi="Barlow Semi Condensed"/>
          <w:sz w:val="24"/>
          <w:szCs w:val="24"/>
        </w:rPr>
        <w:t xml:space="preserve">Capitolo 9 — ▶ Francesco Pazienza. Il faccendiere del SISMI e la contaminazione dei servizi</w:t>
      </w:r>
    </w:p>
    <w:p>
      <w:pPr>
        <w:spacing w:after="120" w:line="276"/>
        <w:jc w:val="both"/>
      </w:pPr>
      <w:r>
        <w:rPr>
          <w:rFonts w:ascii="Barlow Semi Condensed" w:cs="Barlow Semi Condensed" w:eastAsia="Barlow Semi Condensed" w:hAnsi="Barlow Semi Condensed"/>
          <w:sz w:val="24"/>
          <w:szCs w:val="24"/>
        </w:rPr>
        <w:t xml:space="preserve">Francesco Pazienza, nato a San Valentino in Abruzzo Citeriore il 14 dicembre 1946, medico e faccendiere, collaboratore esterno del Servizio informazioni e sicurezza militare, è il nodo attraverso il quale il registro certifica la figura del faccendiere degli apparati, l'intermediario privo di collocazione formale che, dall'esterno della struttura, ne orienta le attività intrecciandole con affari privati, operazioni finanziarie e depistaggi. La scansione del corpus lo registra 84 volte in 15 documenti, frequenza modesta ma distribuita, che riflette la sua presenza trasversale in una pluralità di vicende. Il nodo era già comparso nella Fase 1 quale co-condannato per il depistaggio della strage di Bologna; il presente capitolo ne ricostruisce il profilo proprio quale nodo di contaminazione tra il Dominio 3, il Dominio 6, il Dominio 4 e il Dominio 1, e salda la fase alla precedente attraverso la sua collocazione presso il SISMI del generale Santovito, che il capitolo 10 tratterà.</w:t>
      </w:r>
    </w:p>
    <w:p>
      <w:pPr>
        <w:spacing w:after="120" w:line="276"/>
        <w:jc w:val="both"/>
      </w:pPr>
      <w:r>
        <w:rPr>
          <w:rFonts w:ascii="Barlow Semi Condensed" w:cs="Barlow Semi Condensed" w:eastAsia="Barlow Semi Condensed" w:hAnsi="Barlow Semi Condensed"/>
          <w:sz w:val="24"/>
          <w:szCs w:val="24"/>
        </w:rPr>
        <w:t xml:space="preserve">La biografia colloca Pazienza nell'orbita del SISMI a partire dalla fine degli anni Settanta, quale collaboratore esterno privo di inquadramento formale ma dotato di accesso al vertice del servizio e di una rete internazionale di relazioni. Il registro certifica al Livello A, sul fondamento degli atti giudiziari, la collaborazione di Pazienza con il SISMI nel periodo della direzione Santovito e il suo ruolo di intermediario tra il servizio, gli ambienti finanziari e i circuiti internazionali; e annota il dato strutturale che ne fa un nodo esemplare: Pazienza non apparteneva formalmente ad alcun dominio, ma operava all'intersezione di più domini quale intermediario, secondo la figura che la Nota metodologica descrive quale nodo ad alta betweenness e bassa titolarità formale, il broker che controlla il flusso tra parti della rete altrimenti disconnesse.</w:t>
      </w:r>
    </w:p>
    <w:p>
      <w:pPr>
        <w:spacing w:after="120" w:line="276"/>
        <w:jc w:val="both"/>
      </w:pPr>
      <w:r>
        <w:rPr>
          <w:rFonts w:ascii="Barlow Semi Condensed" w:cs="Barlow Semi Condensed" w:eastAsia="Barlow Semi Condensed" w:hAnsi="Barlow Semi Condensed"/>
          <w:sz w:val="24"/>
          <w:szCs w:val="24"/>
        </w:rPr>
        <w:t xml:space="preserve">Il primo pilastro probatorio è la condanna definitiva per il depistaggio della strage di Bologna, già certificata nella Fase 1 e qui richiamata quale fondamento della collocazione del nodo. Francesco Pazienza fu condannato in via definitiva, unitamente a Licio Gelli e agli ufficiali del SISMI Pietro Musumeci e Giuseppe Belmonte, per il calunnioso depistaggio delle indagini sulla strage del 2 agosto 1980, consistito nella costruzione di false piste volte a sviare l'accertamento della matrice. Il registro certifica al Livello A, sul fondamento del giudicato, la responsabilità di Pazienza nel depistaggio di Bologna, e ne trae la certificazione dell'arco di ostruzione che salda il faccendiere agli ufficiali del servizio e al Venerabile della loggia: il depistaggio di Bologna fu opera congiunta di un collaboratore esterno del servizio, di ufficiali interni ad esso e del capo di una loggia coperta, e tale composizione soggettiva è essa stessa il reperto, giacché documenta l'accoppiamento operativo tra il Dominio 3, il Dominio 4 e la figura del faccendiere nella condotta di ostruzione. Il registro ribadisce il limite inferenziale: la condanna per il depistaggio certifica la condotta di ostruzione, non il mandato della strage depistata.</w:t>
      </w:r>
    </w:p>
    <w:p>
      <w:pPr>
        <w:spacing w:after="120" w:line="276"/>
        <w:jc w:val="both"/>
      </w:pPr>
      <w:r>
        <w:rPr>
          <w:rFonts w:ascii="Barlow Semi Condensed" w:cs="Barlow Semi Condensed" w:eastAsia="Barlow Semi Condensed" w:hAnsi="Barlow Semi Condensed"/>
          <w:sz w:val="24"/>
          <w:szCs w:val="24"/>
        </w:rPr>
        <w:t xml:space="preserve">Il secondo pilastro è la vicenda finanziaria dell'ultimo Calvi, che salda il nodo al quadrilatero della Fase 1. Pazienza operò, nel periodo della sua collaborazione con il SISMI, quale intermediario in vicende finanziarie internazionali che lambirono il gruppo Ambrosiano e l'entourage di Roberto Calvi nella fase terminale della sua parabola. Il registro certifica al Livello B, sul fondamento delle ricostruzioni documentali convergenti emerse nei procedimenti, il coinvolgimento di Pazienza in operazioni finanziarie connesse all'ambiente di Calvi, e mantiene al Livello C ogni qualificazione che ecceda il fatto dell'intermediazione documentata. L'interesse strutturale del dato è nell'aver mostrato come la figura del faccendiere del servizio operasse simultaneamente sul terreno del depistaggio delle stragi e su quello degli affari finanziari internazionali, saldando in una sola persona l'arco di ostruzione con il Dominio 7 e l'arco affaristico con il Dominio 6, secondo il modello del nodo di contaminazione trasversale.</w:t>
      </w:r>
    </w:p>
    <w:p>
      <w:pPr>
        <w:spacing w:after="120" w:line="276"/>
        <w:jc w:val="both"/>
      </w:pPr>
      <w:r>
        <w:rPr>
          <w:rFonts w:ascii="Barlow Semi Condensed" w:cs="Barlow Semi Condensed" w:eastAsia="Barlow Semi Condensed" w:hAnsi="Barlow Semi Condensed"/>
          <w:sz w:val="24"/>
          <w:szCs w:val="24"/>
        </w:rPr>
        <w:t xml:space="preserve">Il terzo pilastro è il coinvolgimento nella vicenda del sequestro di Ciro Cirillo, che salda il nodo del faccendiere al Dominio 1 della criminalità organizzata e ne fa il punto di convergenza più esteso della fase. Il 27 aprile 1981 le Brigate Rosse sequestrarono a Napoli Ciro Cirillo, esponente della Democrazia Cristiana e assessore regionale ai lavori pubblici della Campania, in un'azione nella quale furono uccisi 2 uomini della scorta e ferito un terzo. Per la liberazione dell'ostaggio, ottenuta il 24 luglio 1981 dietro pagamento di un riscatto, si sviluppò, secondo le ricostruzioni degli inquirenti e delle commissioni, una trattativa che avrebbe coinvolto ambienti della camorra, e segnatamente la Nuova Camorra Organizzata di Raffaele Cutolo, allora detenuto, quale mediatore verso i sequestratori, con il concorso di settori degli apparati e della politica interessati alla liberazione dell'ostaggio. Il registro procede qui con la massima disciplina, giacché la vicenda è tra le più controverse e meno integralmente accertate dell'intera stagione. Certifica al Livello A i fatti oggettivi del sequestro, dell'uccisione degli uomini della scorta e della liberazione dietro riscatto, quali risultanze incontrovertibili; certifica al Livello B, sul fondamento delle ricostruzioni convergenti delle commissioni e di una pluralità di procedimenti, l'esistenza di una trattativa per la liberazione che coinvolse la mediazione camorristica di Cutolo; e mantiene rigorosamente al Livello C l'individuazione nominativa dei singoli mediatori degli apparati e la ricostruzione delle rispettive responsabilità, ove non consacrata da accertamento definitivo. L'interesse strutturale del caso Cirillo per il registro è massimo, giacché esso costituisce il punto in cui convergono, in un solo evento, il Dominio 7 dei sequestratori, il Dominio 1 della camorra mediatrice, il Dominio 3 degli apparati coinvolti nella trattativa, e il Dominio 2 della politica interessata alla liberazione: è la convergenza multidominio nella sua forma più estesa, e la collocazione del faccendiere Pazienza nell'orbita del servizio che di quella trattativa fu parte ne fa il nodo esemplare dell'intreccio. Il registro ribadisce, anche qui, il limite: la certificazione dell'esistenza della trattativa non equivale alla certificazione nominativa dei ruoli, e la disciplina delle persone impone di attestarsi sui fatti oggettivi e sull'esistenza della mediazione, senza estendere a Livello A ciò che gli accertamenti hanno lasciato al grado dell'ipotesi o dell'indizio.</w:t>
      </w:r>
    </w:p>
    <w:p>
      <w:pPr>
        <w:spacing w:after="120" w:line="276"/>
        <w:jc w:val="both"/>
      </w:pPr>
      <w:r>
        <w:rPr>
          <w:rFonts w:ascii="Barlow Semi Condensed" w:cs="Barlow Semi Condensed" w:eastAsia="Barlow Semi Condensed" w:hAnsi="Barlow Semi Condensed"/>
          <w:sz w:val="24"/>
          <w:szCs w:val="24"/>
        </w:rPr>
        <w:t xml:space="preserve">Il quarto pilastro è la vicenda giudiziaria complessiva e la latitanza internazionale. Divenuta insostenibile la sua posizione, Pazienza riparò all'estero e fu successivamente raggiunto da provvedimento di estradizione dagli Stati Uniti, che lo riconsegnò alla giustizia italiana nella seconda metà degli anni Ottanta. Il registro certifica al Livello A il fatto della latitanza e della successiva estradizione, e ne trae l'annotazione, ricorrente nella fase, sulla migrazione tra giurisdizioni quale tecnica di sottrazione all'accertamento, già osservata nel caso Maletti; con la differenza che, nel caso Pazienza, la giurisdizione di rifugio operò infine la riconsegna, sicché il nodo documenta anche il funzionamento, sia pure tardivo, dei meccanismi di cooperazione giudiziaria internazionale.</w:t>
      </w:r>
    </w:p>
    <w:p>
      <w:pPr>
        <w:spacing w:after="120" w:line="276"/>
        <w:jc w:val="both"/>
      </w:pPr>
      <w:r>
        <w:rPr>
          <w:rFonts w:ascii="Barlow Semi Condensed" w:cs="Barlow Semi Condensed" w:eastAsia="Barlow Semi Condensed" w:hAnsi="Barlow Semi Condensed"/>
          <w:sz w:val="24"/>
          <w:szCs w:val="24"/>
        </w:rPr>
        <w:t xml:space="preserve">Le triangolazioni del nodo sono 3. La prima, Pazienza-SISMI-Santovito, è il triangolo della collocazione presso il vertice del servizio, certificato al Livello A quanto alla collaborazione e saldante il nodo al capitolo 10. La seconda, Pazienza-Gelli-Musumeci-Belmonte, è il triangolo del depistaggio di Bologna, certificato al Livello A dal giudicato. La terza, Pazienza-ambiente Calvi-operazioni finanziarie, è il triangolo dell'intermediazione affaristica, certificato al Livello B. Sul piano dei pattern, il nodo è il caso paradigmatico del Pattern 1 nella sua accezione relativa alla betweenness, giacché Pazienza è il broker per eccellenza, il nodo che connette parti disconnesse della rete controllando il flusso tra esse, e la cui rilevanza deriva interamente dalla posizione di intermediazione e non da alcuna titolarità formale; e attiva il Pattern 7 nella sua variante geografica, la migrazione tra giurisdizioni.</w:t>
      </w:r>
    </w:p>
    <w:p>
      <w:pPr>
        <w:spacing w:after="120" w:line="276"/>
        <w:jc w:val="both"/>
      </w:pPr>
      <w:r>
        <w:rPr>
          <w:rFonts w:ascii="Barlow Semi Condensed" w:cs="Barlow Semi Condensed" w:eastAsia="Barlow Semi Condensed" w:hAnsi="Barlow Semi Condensed"/>
          <w:sz w:val="24"/>
          <w:szCs w:val="24"/>
        </w:rPr>
        <w:t xml:space="preserve">Alla contabilità del faccendiere appartiene un'operazione transatlantica che il registro censisce per il suo valore morfologico: la vicenda nota come Billygate. Nell'estate del 1980, nel pieno della campagna presidenziale americana, la stampa statunitense ricevette e pubblicò materiale informativo sui rapporti d'affari tra Billy Carter, fratello del presidente in carica, e la Libia di Gheddafi, con effetti politicamente corrosivi sull'amministrazione democratica; le ricostruzioni parlamentari e giudiziarie italiane collocarono nella filiera di quell'operazione l'attivismo di Pazienza e di ambienti del SISMI di Santovito, quale canale di raccolta e di trasferimento oltreoceano del materiale, Livello B quanto alla filiera, fondata su convergenze dichiarative e documentali non consacrate da giudicato, Livello C quanto ad ogni valutazione degli effetti elettorali. Il reperto vale al registro una certificazione di raggio: il medesimo nodo che depistava a Bologna e negoziava per Calvi operava, nello stesso torno di mesi, sul mercato informativo della politica interna americana, e questa simultaneità di teatri, documentata negli atti, misura l'estensione transatlantica raggiunta dal sistema faccendiere-servizio nella stagione della cattura piduista.</w:t>
      </w:r>
    </w:p>
    <w:p>
      <w:pPr>
        <w:spacing w:after="120" w:line="276"/>
        <w:jc w:val="both"/>
      </w:pPr>
      <w:r>
        <w:rPr>
          <w:rFonts w:ascii="Barlow Semi Condensed" w:cs="Barlow Semi Condensed" w:eastAsia="Barlow Semi Condensed" w:hAnsi="Barlow Semi Condensed"/>
          <w:sz w:val="24"/>
          <w:szCs w:val="24"/>
        </w:rPr>
        <w:t xml:space="preserve">La parabola giudiziaria personale si chiuse con la meccanica internazionale che le era propria: l'arresto a New York nel marzo 1985, la detenzione americana, l'estradizione in Italia nel 1986 e quindi il doppio binario degli esiti, la condanna irrevocabile del 1995 per il depistaggio bolognese, già certificata, accanto ad assoluzioni e proscioglimenti in altri filoni, che il registro richiama cumulativamente in ossequio alla propria disciplina della pari evidenza, Livello A quanto alla scansione estradizionale ed agli esiti. Resta al capitolo la considerazione strutturale che il nodo impone: Pazienza è, nell'intera fase, l'unico attore privo di qualsiasi titolarità formale, non ufficiale, non funzionario, non iscritto, eppure la sua betweenness misurata sugli archi certificati supera quella dei direttori che lo impiegarono. La deviazione matura, insegna il caso, non passa per la gerarchia ma per la sua interfaccia esterna: il collaboratore senza stato giuridico è il connettore ideale precisamente perché la sua posizione non lascia impronte ordinamentali, e quando il sistema deve negare, ha già pronta la formula, un millantatore che agiva da sé. Il registro, che delle formule diffida, si limita a consegnare il numero: 3 domini attraversati, 2 continenti, 1 condanna irrevocabile.</w:t>
      </w:r>
    </w:p>
    <w:p>
      <w:pPr>
        <w:spacing w:after="120" w:line="276"/>
        <w:jc w:val="both"/>
      </w:pPr>
      <w:r>
        <w:rPr>
          <w:rFonts w:ascii="Barlow Semi Condensed" w:cs="Barlow Semi Condensed" w:eastAsia="Barlow Semi Condensed" w:hAnsi="Barlow Semi Condensed"/>
          <w:sz w:val="24"/>
          <w:szCs w:val="24"/>
        </w:rPr>
        <w:t xml:space="preserve">La vicenda campana del 1981 va scandita nelle sue date, perché la sua eccezionalità sta tutta nella cronologia. Ciro Cirillo, assessore regionale democristiano, fu sequestrato dalle Brigate rosse il 27 aprile 1981, in piena emergenza post-terremoto, e liberato il 24 luglio successivo dietro pagamento di un riscatto: tra le 2 date gli accertamenti parlamentari e giudiziari documentarono una trattativa condotta con il concorso attivo della camorra di Raffaele Cutolo e con la presenza di uomini riconducibili ai servizi presso il carcere di Ascoli Piceno dove il boss era detenuto, secondo una meccanica che la Commissione d'inchiesta ricostruì negli anni successivi con esiti di accertamento severi sul piano storico-politico, mentre il versante penale si consumò tra prescrizioni ed esiti parziali, Livello A quanto alla sequenza, al pagamento ed alle presenze documentate, nei limiti delle rispettive fonti, Livello C quanto alle finalità ulteriori attribuite ai singoli attori. Il registro isola il contrasto che fa del caso un reperto capitale: 3 anni dopo il rifiuto opposto ad ogni trattativa per la vita del presidente della Democrazia cristiana, apparati ed ambienti dello stesso sistema trattarono, pagarono ed ottennero per la vita di un assessore regionale, e la forbice tra le 2 condotte, qualunque ne sia la spiegazione, è certificata dalla semplice giustapposizione delle cronologie. La Fase 4 erediterà questo metro di paragone quale strumento di misura della condotta dello Stato nei 55 giorni: non per inferirne tesi, ma per disporre di un termine di confronto documentato, che è la sola forma di comparazione che il metodo ammette.</w:t>
      </w:r>
    </w:p>
    <w:p>
      <w:pPr>
        <w:spacing w:after="120" w:line="276"/>
        <w:jc w:val="both"/>
      </w:pPr>
      <w:r>
        <w:rPr>
          <w:rFonts w:ascii="Barlow Semi Condensed" w:cs="Barlow Semi Condensed" w:eastAsia="Barlow Semi Condensed" w:hAnsi="Barlow Semi Condensed"/>
          <w:sz w:val="24"/>
          <w:szCs w:val="24"/>
        </w:rPr>
        <w:t xml:space="preserve">Alla voce delle fonti va aggiunta, per completezza d'inventario, la produzione memorialistica del protagonista, che negli anni successivi alla vicenda giudiziaria consegnò alle stampe ricostruzioni autobiografiche delle proprie stagioni operative: materiale che il registro classifica, secondo la sua costante disciplina, quale fonte di parte non riscontrata, utile alla mappa delle relazioni rivendicate e inutilizzabile per la certificazione dei fatti, Livello C, con l'annotazione metodologica che il faccendiere memorialista costituisce, per l'analista, un oggetto epistemologicamente insidioso quanto il pentito mediatico censito nella Fase 1: entrambi convertono il proprio passato in capitale narrativo, ed il valore di scambio del racconto cresce con la sua irrefutabilità, sicché la regola aurea resta quella che il registro applica dal primo capitolo, nessuna promozione di livello senza riscontro esterno, quale che sia la vividezza del narratore.</w:t>
      </w:r>
    </w:p>
    <w:p>
      <w:pPr>
        <w:spacing w:after="120" w:line="276"/>
        <w:jc w:val="both"/>
      </w:pPr>
      <w:r>
        <w:rPr>
          <w:rFonts w:ascii="Barlow Semi Condensed" w:cs="Barlow Semi Condensed" w:eastAsia="Barlow Semi Condensed" w:hAnsi="Barlow Semi Condensed"/>
          <w:sz w:val="24"/>
          <w:szCs w:val="24"/>
        </w:rPr>
        <w:t xml:space="preserve">Alla genesi del rapporto tra il faccendiere ed il servizio appartiene un dettaglio documentale che vale una definizione: l'accreditamento. Gli atti censiscono che la collaborazione di Pazienza fu assistita da credenziali e presentazioni provenienti dal vertice del servizio, che ne spianarono l'accesso alle stazioni estere ed agli interlocutori istituzionali ed alleati, senza che a tale accreditamento corrispondesse alcun inquadramento formale, alcun fascicolo personale ordinario, alcuna traccia contabile riconducibile ai circuiti ufficiali, Livello A quanto alla collaborazione accreditata ed alla sua informalità, secondo gli accertamenti parlamentari e giudiziari. Il registro isola nel meccanismo la sua definizione operativa della contaminazione: non l'ingresso abusivo di un estraneo, ma l'estensione deliberata delle prerogative dell'apparato ad un soggetto sottratto ad ogni suo vincolo, il potere senza lo stato giuridico, l'accesso senza la responsabilità. La riforma del 1977 aveva tipizzato gli organi ed era muta sui collaboratori: ed in quel silenzio normativo, che nessuna legge della Repubblica avrebbe colmato per decenni, il sistema faccendiere trovò il proprio habitat, dimostrando che ogni architettura istituzionale possiede, accanto alle porte che chiude, i corridoi che dimentica.</w:t>
      </w:r>
    </w:p>
    <w:p>
      <w:pPr>
        <w:spacing w:after="120" w:line="276"/>
        <w:jc w:val="both"/>
      </w:pPr>
      <w:r>
        <w:rPr>
          <w:rFonts w:ascii="Barlow Semi Condensed" w:cs="Barlow Semi Condensed" w:eastAsia="Barlow Semi Condensed" w:hAnsi="Barlow Semi Condensed"/>
          <w:sz w:val="24"/>
          <w:szCs w:val="24"/>
        </w:rPr>
        <w:t xml:space="preserve">Il censimento degli apparati raggiunti dalla loggia si completa con il corpo che ne subì la penetrazione di vertice più duratura, ed il registro lo riporta con i suoi esiti: il comandante generale della Guardia di Finanza degli anni 1974-1978, generale Raffaele Giudice, figura negli elenchi sequestrati della loggia coperta, e la sua gestione fu travolta dallo scandalo dei petroli, la colossale frode fiscale sui prodotti petroliferi coperta da segmenti del corpo, per la quale il generale riportò condanne definitive, Livello A quanto all'iscrizione risultante dagli elenchi acquisiti ed agli esiti giudiziari della vicenda petroli. Il registro fissa la specificità del caso nella serie: a differenza dei vertici dell'intelligence censiti, per i quali l'iscrizione si accompagnò a vicende giudiziarie dagli esiti divergenti, qui la parabola si chiuse con la condanna irrevocabile del vertice di un corpo militare dello Stato per fatti di criminalità economica consumati durante il comando, ed il caso salda perciò, in una sola biografia, i 2 volti della loggia che l'opera documenta in fasi distinte, quello della penetrazione degli apparati censito in questa fase e quello della predazione economica censito nella prima, dimostrando che le 2 funzioni, il controllo delle istituzioni ed il saccheggio delle risorse, non erano programmi separati ma facce della medesima occupazione.</w:t>
      </w:r>
    </w:p>
    <w:p>
      <w:pPr>
        <w:spacing w:after="120" w:line="276"/>
        <w:jc w:val="both"/>
      </w:pPr>
      <w:r>
        <w:rPr>
          <w:rFonts w:ascii="Barlow Semi Condensed" w:cs="Barlow Semi Condensed" w:eastAsia="Barlow Semi Condensed" w:hAnsi="Barlow Semi Condensed"/>
          <w:b/>
          <w:bCs/>
          <w:sz w:val="24"/>
          <w:szCs w:val="24"/>
        </w:rPr>
        <w:t xml:space="preserve">Sintesi del dato nuovo acquisito:</w:t>
      </w:r>
      <w:r>
        <w:rPr>
          <w:rFonts w:ascii="Barlow Semi Condensed" w:cs="Barlow Semi Condensed" w:eastAsia="Barlow Semi Condensed" w:hAnsi="Barlow Semi Condensed"/>
          <w:sz w:val="24"/>
          <w:szCs w:val="24"/>
        </w:rPr>
        <w:t xml:space="preserve"> il nodo Pazienza è certificato al Livello A quale faccendiere del SISMI condannato in via definitiva per il depistaggio della strage di Bologna, unitamente a Gelli e agli ufficiali Musumeci e Belmonte, e costituisce il caso esemplare del nodo di contaminazione trasversale, privo di titolarità formale e operante all'intersezione dei Domini 3, 4, 6 e 7; il coinvolgimento nelle operazioni finanziarie connesse all'ambiente di Calvi è certificato al Livello B; la sua collocazione presso il servizio coinvolto nella trattativa per la liberazione dell'ostaggio nel caso Cirillo salda il nodo al Dominio 1 della camorra mediatrice e al Dominio 2, con i fatti oggettivi del sequestro certificati al Livello A, l'esistenza della mediazione camorristica al Livello B e i ruoli nominativi degli apparati al Livello C; la latitanza e la successiva estradizione dagli Stati Uniti sono certificate al Livello A e documentano tanto la tecnica della migrazione tra giurisdizioni quanto il tardivo funzionamento della cooperazione giudiziaria internazionale.</w:t>
      </w:r>
    </w:p>
    <w:p>
      <w:pPr>
        <w:pStyle w:val="Heading3"/>
        <w:spacing w:after="80" w:before="160"/>
      </w:pPr>
      <w:r>
        <w:rPr>
          <w:rFonts w:ascii="Barlow Semi Condensed" w:cs="Barlow Semi Condensed" w:eastAsia="Barlow Semi Condensed" w:hAnsi="Barlow Semi Condensed"/>
          <w:sz w:val="24"/>
          <w:szCs w:val="24"/>
        </w:rPr>
        <w:t xml:space="preserve">Capitolo 10 — ▶ Giuseppe Santovito e la cattura piduista dei servizi. La chiusura del cerchio</w:t>
      </w:r>
    </w:p>
    <w:p>
      <w:pPr>
        <w:spacing w:after="120" w:line="276"/>
        <w:jc w:val="both"/>
      </w:pPr>
      <w:r>
        <w:rPr>
          <w:rFonts w:ascii="Barlow Semi Condensed" w:cs="Barlow Semi Condensed" w:eastAsia="Barlow Semi Condensed" w:hAnsi="Barlow Semi Condensed"/>
          <w:sz w:val="24"/>
          <w:szCs w:val="24"/>
        </w:rPr>
        <w:t xml:space="preserve">Giuseppe Santovito, nato a Gioia del Colle il 3 aprile 1918 e morto a Roma nel 1984, generale, direttore del Servizio informazioni e sicurezza militare dal 1978 al 1981, è il nodo che chiude la Fase 2 perché in esso si compie e si certifica il fenomeno che salda l'intero secondo cerchio al primo: la cattura del vertice dei servizi segreti della Repubblica da parte della loggia coperta P2 di Licio Gelli. La scansione del corpus registra il nome di Santovito 153 volte in 23 documenti. Il nodo non è scelto per la sua rilevanza individuale, che pure è massima quale direttore del servizio militare nel triennio cruciale del sequestro Moro e della strage di Bologna, ma per la sua funzione di sintesi: attraverso Santovito e i suoi omologhi civili, il registro certifica che nel triennio 1978-1981 i responsabili apicali dell'intelligence italiana appartenevano simultaneamente alla loggia di Gelli, chiudendo così il cerchio che la Fase 1 aveva aperto dal lato del Venerabile e che la Fase 2 ha percorso dal lato degli apparati.</w:t>
      </w:r>
    </w:p>
    <w:p>
      <w:pPr>
        <w:spacing w:after="120" w:line="276"/>
        <w:jc w:val="both"/>
      </w:pPr>
      <w:r>
        <w:rPr>
          <w:rFonts w:ascii="Barlow Semi Condensed" w:cs="Barlow Semi Condensed" w:eastAsia="Barlow Semi Condensed" w:hAnsi="Barlow Semi Condensed"/>
          <w:sz w:val="24"/>
          <w:szCs w:val="24"/>
        </w:rPr>
        <w:t xml:space="preserve">La biografia istituzionale colloca Santovito al vertice del SISMI, il servizio segreto militare riformato dalla legge del 1977, nel triennio che va dal 1978 al 1981, ossia nel periodo che comprende il sequestro e l'omicidio di Aldo Moro, oggetto della Fase 4, e la strage di Bologna del 2 agosto 1980, oggetto della Fase 3. Il registro certifica al Livello A, sul fondamento degli atti ufficiali, la carica di Santovito e la sua collocazione temporale, e annota il dato che ne fa un nodo di sintesi: il direttore del servizio militare, nel triennio dei 2 eventi più gravi della storia repubblicana dopo il caso SIFAR, era affiliato alla loggia P2, e presso il suo servizio operava, quale collaboratore esterno, il faccendiere Pazienza del capitolo precedente, e vi prestavano servizio gli ufficiali Musumeci e Belmonte, anch'essi condannati per il depistaggio di Bologna e appartenenti all'orbita piduista.</w:t>
      </w:r>
    </w:p>
    <w:p>
      <w:pPr>
        <w:spacing w:after="120" w:line="276"/>
        <w:jc w:val="both"/>
      </w:pPr>
      <w:r>
        <w:rPr>
          <w:rFonts w:ascii="Barlow Semi Condensed" w:cs="Barlow Semi Condensed" w:eastAsia="Barlow Semi Condensed" w:hAnsi="Barlow Semi Condensed"/>
          <w:sz w:val="24"/>
          <w:szCs w:val="24"/>
        </w:rPr>
        <w:t xml:space="preserve">Il primo pilastro probatorio è l'affiliazione dei vertici dei servizi alla loggia P2, certificata al Livello A dalle liste sequestrate a Castiglion Fibocchi il 17 marzo 1981 e dagli accertamenti della Commissione parlamentare d'inchiesta presieduta da Tina Anselmi. Le liste e gli accertamenti documentano che, all'epoca della loro scoperta, appartenevano alla loggia Propaganda 2 il direttore del SISMI, il servizio militare, nella persona di Giuseppe Santovito; il direttore del SISDE, il servizio civile, nella persona del generale Giulio Grassini; e il responsabile del CESIS, l'organismo di coordinamento, nella persona del prefetto Walter Pelosi; oltre a numerosi altri ufficiali e funzionari degli apparati, tra cui il generale Vito Miceli, già direttore del SID, di cui il capitolo 2 ha detto. Il registro certifica al Livello A questo insieme di affiliazioni, e ne trae la certificazione del fatto capitale della fase: nel triennio 1978-1981, i responsabili apicali dei 3 organismi in cui si articolava l'intelligence italiana, il servizio militare, il servizio civile e l'organismo di coordinamento, appartenevano simultaneamente a una medesima loggia coperta, il cui Venerabile Maestro intratteneva i rapporti con la finanza, il Vaticano e gli ambienti internazionali che la Fase 1 ha documentato. Questo è, nella sistematica del registro, l'arco Dominio 3-Dominio 4 a certificazione piena e nella sua massima estensione: non l'affiliazione di un singolo ufficiale, ma la cattura contestuale dell'intero vertice informativo dello Stato da parte di una struttura riservata trasversale ai domini.</w:t>
      </w:r>
    </w:p>
    <w:p>
      <w:pPr>
        <w:spacing w:after="120" w:line="276"/>
        <w:jc w:val="both"/>
      </w:pPr>
      <w:r>
        <w:rPr>
          <w:rFonts w:ascii="Barlow Semi Condensed" w:cs="Barlow Semi Condensed" w:eastAsia="Barlow Semi Condensed" w:hAnsi="Barlow Semi Condensed"/>
          <w:sz w:val="24"/>
          <w:szCs w:val="24"/>
        </w:rPr>
        <w:t xml:space="preserve">Il secondo pilastro è la portata sistemica di tale cattura e i suoi limiti probatori. Il registro procede qui con la massima disciplina, giacché è precisamente su questo punto che la suggestione è più forte e il salto inferenziale più tentante. La certificazione dell'affiliazione simultanea dei vertici dei servizi alla loggia P2 è, ripetesi, di Livello A; ma da tale affiliazione non discende, automaticamente e senza ulteriore prova, che ogni atto dei servizi in quel triennio, e segnatamente le condotte relative al sequestro Moro e alla strage di Bologna, sia stato compiuto in esecuzione di un disegno unitario della loggia. La Regola Ferrea impone di distinguere l'appartenenza, che è certificata, dall'imputazione alla loggia di specifici atti dei servizi, che richiede prova specifica. Ove tale prova specifica sussista, come nel caso del depistaggio di Bologna, per il quale gli ufficiali del SISMI Musumeci e Belmonte furono condannati unitamente a Gelli, l'arco tra l'appartenenza piduista e la condotta di ostruzione è certificato al Livello A; ove tale prova specifica non sussista, l'imputazione alla loggia dell'atto resta al Livello C, quand'anche l'atto sia stato compiuto da soggetti affiliati. La distinzione tra la certificazione dell'appartenenza e la certificazione dell'imputazione del singolo atto è la sostanza del metodo, e la sua osservanza è ciò che separa la ricostruzione del registro dalla vulgata che, dalla appartenenza dei vertici alla loggia, inferisce senz'altro la responsabilità della loggia in ogni vicenda del triennio.</w:t>
      </w:r>
    </w:p>
    <w:p>
      <w:pPr>
        <w:spacing w:after="120" w:line="276"/>
        <w:jc w:val="both"/>
      </w:pPr>
      <w:r>
        <w:rPr>
          <w:rFonts w:ascii="Barlow Semi Condensed" w:cs="Barlow Semi Condensed" w:eastAsia="Barlow Semi Condensed" w:hAnsi="Barlow Semi Condensed"/>
          <w:sz w:val="24"/>
          <w:szCs w:val="24"/>
        </w:rPr>
        <w:t xml:space="preserve">Il terzo pilastro è la funzione di chiusura del cerchio, che giustifica la collocazione del nodo a sigillo della fase. Il registro riprende qui il filo aperto nella Fase 1. Il capitolo 1 della Fase 1 aveva certificato l'affiliazione alla P2 dei vertici dei servizi dal lato di Gelli, elencando tra gli iscritti i generali Santovito e Grassini e il prefetto Pelosi; il capitolo 10 della Fase 2 certifica il medesimo fatto dal lato degli apparati, mostrando che i responsabili dell'intelligence appartenevano alla loggia. I 2 accertamenti, provenienti da lati opposti del medesimo arco, convergono e si rafforzano reciprocamente, secondo il principio della consilienza che governa lo standard probatorio del registro: l'arco Dominio 3-Dominio 4 è certificato al Livello A tanto dal versante della loggia quanto dal versante del servizio, e la sua certificazione bilaterale è la prova più solida dell'intera architettura. La Fase 2 si chiude dunque nel punto esatto in cui si era aperta la Fase 1, e il secondo cerchio si salda al primo: la deviazione degli apparati, che la fase ha ricostruito nei suoi episodi giudizialmente accertati, dal Piano Solo ai depistaggi delle stragi, trova nella cattura piduista del vertice informativo la sua cornice relazionale, ferma restando la disciplina che vieta di inferire dalla cornice la responsabilità della loggia in ogni singolo atto.</w:t>
      </w:r>
    </w:p>
    <w:p>
      <w:pPr>
        <w:spacing w:after="120" w:line="276"/>
        <w:jc w:val="both"/>
      </w:pPr>
      <w:r>
        <w:rPr>
          <w:rFonts w:ascii="Barlow Semi Condensed" w:cs="Barlow Semi Condensed" w:eastAsia="Barlow Semi Condensed" w:hAnsi="Barlow Semi Condensed"/>
          <w:sz w:val="24"/>
          <w:szCs w:val="24"/>
        </w:rPr>
        <w:t xml:space="preserve">Le triangolazioni del nodo sono 3. La prima, Santovito-Grassini-Pelosi, è il triangolo della cattura contestuale dei 3 organismi informativi, certificato al Livello A dalle liste e dagli accertamenti Anselmi. La seconda, Santovito-Gelli-P2, è il triangolo dell'affiliazione del direttore del servizio militare alla loggia, certificato al Livello A e convergente con l'accertamento del lato Gelli della Fase 1. La terza, Santovito-Pazienza-Musumeci-Belmonte, è il triangolo del servizio militare quale sede operativa del depistaggio di Bologna, certificato al Livello A quanto alle condanne dei suoi membri e recante l'arco tra l'appartenenza piduista e la condotta di ostruzione, unico segmento per il quale la prova specifica consente l'imputazione. Sul piano dei pattern, il nodo attiva il Pattern 2, l'analisi delle comunità, giacché l'insieme dei vertici dei servizi affiliati alla loggia costituisce una comunità trasversale ai domini formali, un cluster funzionale che opera attraverso i confini istituzionali e la cui identificazione è il risultato più netto dell'intera fase; e attiva il Pattern 1, l'analisi dei nodi centrali, giacché la loggia, attraverso la cattura del vertice informativo, acquisì una centralità nella rete complessiva che nessuna struttura formale le attribuiva.</w:t>
      </w:r>
    </w:p>
    <w:p>
      <w:pPr>
        <w:spacing w:after="120" w:line="276"/>
        <w:jc w:val="both"/>
      </w:pPr>
      <w:r>
        <w:rPr>
          <w:rFonts w:ascii="Barlow Semi Condensed" w:cs="Barlow Semi Condensed" w:eastAsia="Barlow Semi Condensed" w:hAnsi="Barlow Semi Condensed"/>
          <w:sz w:val="24"/>
          <w:szCs w:val="24"/>
        </w:rPr>
        <w:t xml:space="preserve">La biografia del direttore va completata con la sua chiusura amministrativa, che è il vero epilogo del capitolo. Travolto dall'emersione delle liste, Santovito lasciò la direzione del servizio nell'agosto 1981, a pochi mesi dal sequestro di Castiglion Fibocchi, e morì nel 1984 senza che la sua posizione personale fosse approdata ad alcun giudicato definitivo, sicché il registro ne censisce l'affiliazione quale fatto documentale e sospende, come il metodo impone, ogni qualificazione ulteriore, Livello A quanto alla scansione. Ciò che seguì alla sua uscita vale però quale prova amministrativa di ciò che i processi non poterono misurare: la nuova direzione affidata al generale Ninetto Lugaresi avviò una bonifica interna fatta di avvicendamenti, trasferimenti e chiusure di strutture anomale, tra le quali il cosiddetto Super SISMI degli uffici paralleli di Musumeci, e l'ampiezza stessa della bonifica, documentata negli atti parlamentari, certifica per via indiretta l'estensione della contaminazione che la rimozione dei vertici piduisti intendeva sanare, Livello A quanto ai provvedimenti di riorganizzazione.</w:t>
      </w:r>
    </w:p>
    <w:p>
      <w:pPr>
        <w:spacing w:after="120" w:line="276"/>
        <w:jc w:val="both"/>
      </w:pPr>
      <w:r>
        <w:rPr>
          <w:rFonts w:ascii="Barlow Semi Condensed" w:cs="Barlow Semi Condensed" w:eastAsia="Barlow Semi Condensed" w:hAnsi="Barlow Semi Condensed"/>
          <w:sz w:val="24"/>
          <w:szCs w:val="24"/>
        </w:rPr>
        <w:t xml:space="preserve">Chiude il capitolo, ed insieme la fase, la lettura temporale che il Pattern 3 esige e che il registro consegna nella sua forma più disciplinata. Il triennio della direzione Santovito, 1978-1981, coincide con la finestra che contiene il sequestro Moro e la sua gestione, la strage di Bologna ed il suo depistaggio, l'apogeo e la caduta della loggia: 3 eventi capitali della storia repubblicana consumati mentre i vertici contestuali dei 3 organismi informativi risultavano iscritti alla medesima associazione segreta. Il registro dichiara il dato per ciò che è, una coincidenza temporale di densità massima, certificata al Livello A in ciascuno dei suoi elementi costitutivi, e dichiara con eguale nettezza ciò che il dato non è: la prova di una regia unitaria degli eventi contenuti nella finestra, che nessun giudicato ha accertato e che la Regola Ferrea vieta di inferire dalla sola sovrapposizione cronologica. Tra il dato e l'inferenza corre il confine che separa questo registro dalla pubblicistica che pretende di sostituirlo: la finestra 1978-1981 resta consegnata alle fasi successive quale campo di massima attenzione istruttoria, non quale teorema dimostrato, e la Fase 4, che di quella finestra abiterà il centro esatto, erediterà l'obbligo di percorrerla con la lanterna dei giudicati e non con la torcia delle suggestioni.</w:t>
      </w:r>
    </w:p>
    <w:p>
      <w:pPr>
        <w:spacing w:after="120" w:line="276"/>
        <w:jc w:val="both"/>
      </w:pPr>
      <w:r>
        <w:rPr>
          <w:rFonts w:ascii="Barlow Semi Condensed" w:cs="Barlow Semi Condensed" w:eastAsia="Barlow Semi Condensed" w:hAnsi="Barlow Semi Condensed"/>
          <w:sz w:val="24"/>
          <w:szCs w:val="24"/>
        </w:rPr>
        <w:t xml:space="preserve">La cattura contestuale va completata con i profili degli altri 2 vertici, che il registro censisce nella loro nudità documentale. Giulio Grassini, generale dei carabinieri, direttore del SISDE dalla sua istituzione, e Walter Pelosi, prefetto, segretario generale del CESIS, figurano entrambi negli elenchi di Castiglion Fibocchi accanto a Santovito, e entrambi lasciarono gli incarichi nella stagione immediatamente successiva all'emersione delle liste, nell'ambito del ricambio generale dei vertici della sicurezza deliberato dal governo, Livello A quanto alle affiliazioni documentate ed agli avvicendamenti. Nessuno dei 3 direttori riportò condanne per la mera appartenenza, che la legge del 1982 avrebbe reso perseguibile solo per l'avvenire, e questa impunità tecnica, che il registro annota senza enfasi, illumina il vero punto di vulnerabilità che il capitolo consegna alla riflessione istituzionale: il meccanismo fiduciario delle nomine. I 3 uomini non si infiltrarono, furono nominati, ciascuno all'esito delle ordinarie procedure governative, e la loggia non dovette forzare alcuna porta perché le porte, nel sistema delle designazioni fiduciarie prive di vaglio esterno, si aprivano dall'interno. La riforma del 1977 aveva costruito il controllo parlamentare sull'attività dei servizi, non sulla selezione dei loro capi: e in quello scarto, tra l'atto controllato ed il nominante incontrollato, la fase individua la falla sistemica che rese possibile, senza violare una sola norma, la cattura simultanea dei 3 organismi. È la conclusione più sobria e più grave dell'intero secondo cerchio: la deviazione matura non delinque, nomina.</w:t>
      </w:r>
    </w:p>
    <w:p>
      <w:pPr>
        <w:spacing w:after="120" w:line="276"/>
        <w:jc w:val="both"/>
      </w:pPr>
      <w:r>
        <w:rPr>
          <w:rFonts w:ascii="Barlow Semi Condensed" w:cs="Barlow Semi Condensed" w:eastAsia="Barlow Semi Condensed" w:hAnsi="Barlow Semi Condensed"/>
          <w:sz w:val="24"/>
          <w:szCs w:val="24"/>
        </w:rPr>
        <w:t xml:space="preserve">La posizione personale del direttore si chiuse per via anagrafica: i procedimenti che lo riguardavano furono definiti con lo stralcio per morte del reo nel 1984, sicché sul nodo Santovito, come su Sindona, il giudizio storico non dispone di un giudicato individuale pieno e deve accontentarsi della certificazione documentale dell'appartenenza e degli atti di gestione, Livello A quanto allo stralcio. Il contesto della sua uscita merita l'ultima annotazione della fase: l'emersione delle liste travolse il governo in carica ed aprì la strada, nel giugno 1981, al primo esecutivo della storia repubblicana non presieduto da un democristiano, il governo di Giovanni Spadolini, che della ricostituzione della fiducia negli apparati fece programma dichiarato, procedendo al ricambio dei vertici che il capitolo ha censito, Livello A quanto alla scansione politico-istituzionale. Che la più grave crisi degli apparati di sicurezza della storia repubblicana si sia risolta non in una riforma strutturale ma in un avvicendamento di uomini, per quanto ampio, è il bilancio con cui la Fase 2 si congeda: il sistema sostituì i catturati senza modificare il meccanismo della cattura, e la falla delle nomine fiduciarie, diagnosticata ma non sanata, restò consegnata ai decenni successivi quale variabile permanente, silenziosamente operante, di ogni futura stagione di condizionamento.</w:t>
      </w:r>
    </w:p>
    <w:p>
      <w:pPr>
        <w:spacing w:after="120" w:line="276"/>
        <w:jc w:val="both"/>
      </w:pPr>
      <w:r>
        <w:rPr>
          <w:rFonts w:ascii="Barlow Semi Condensed" w:cs="Barlow Semi Condensed" w:eastAsia="Barlow Semi Condensed" w:hAnsi="Barlow Semi Condensed"/>
          <w:sz w:val="24"/>
          <w:szCs w:val="24"/>
        </w:rPr>
        <w:t xml:space="preserve">La stagione censita da questa fase produsse infine la sua legge, che il registro censisce quale atto di chiusura ordinamentale dell'intero ciclo: la legge 24 ottobre 1977 numero 801 soppresse il SID, istituì la tripartizione tra i 2 servizi ed il comitato esecutivo di coordinamento, sottopose per la prima volta l'intero sistema alla responsabilità politica del presidente del Consiglio, creò il comitato parlamentare di controllo e, soprattutto, trasferì il segreto di Stato dal terreno della prassi amministrativa a quello della legge, definendone l'oggetto, il titolare e, con la clausola destinata alla più lunga vita dell'ordinamento, l'inopponibilità sui fatti eversivi dell'ordine costituzionale, Livello A quanto ai contenuti della riforma. Il registro consegna la legge alla sua genealogia: ogni sua clausola è la fotografia in negativo di un episodio censito da questa fase, la soppressione del servizio risponde al servizio processato, la responsabilità del premier risponde alle catene di comando opache delle notti censite, il controllo parlamentare risponde alle commissioni che avevano dovuto inseguire gli apparati per anni, e la clausola sull'eversione, scritta nel 1977 mentre le istruttorie sulle stragi sbattevano contro il segreto, è la confessione legislativa più esplicita che la Repubblica abbia mai reso sul proprio decennio: uno Stato non scrive nella legge che il segreto non può coprire l'eversione, se il segreto non ha mai coperto l'eversione, e la data di quella clausola, prima ancora del suo contenuto, è il giudizio storico che questa fase consegna alle successive.</w:t>
      </w:r>
    </w:p>
    <w:p>
      <w:pPr>
        <w:spacing w:after="120" w:line="276"/>
        <w:jc w:val="both"/>
      </w:pPr>
      <w:r>
        <w:rPr>
          <w:rFonts w:ascii="Barlow Semi Condensed" w:cs="Barlow Semi Condensed" w:eastAsia="Barlow Semi Condensed" w:hAnsi="Barlow Semi Condensed"/>
          <w:sz w:val="24"/>
          <w:szCs w:val="24"/>
        </w:rPr>
        <w:t xml:space="preserve">Il decennio giudiziario dell'eversione istituzionale esige il suo bilancio statistico unitario, che il registro formula aggregando gli esiti censiti nei capitoli: dei grandi procedimenti istruiti tra il 1974 ed il 1984 sui fatti di questa fase, il piano del 1964, la trama del 1970, la struttura del 1973, il progetto del 1974, nessuno si concluse con condanne definitive dei vertici per i reati di cospirazione od insurrezione originariamente contestati, dissolvendosi nella sequenza di amnistie, derubricazioni, proscioglimenti ed assoluzioni che i singoli capitoli hanno riportato per esteso, sicché il tasso di conversione tra istruttorie golpiste e condanne eversive definitive, nell'intero corpus della fase, è pari a zero, Livello A quanto agli esiti aggregati dai giudicati. Il registro consegna la statistica alla sua doppia lettura obbligata, che la disciplina vieta di gerarchizzare: la lettura garantista, per cui lo zero misura l'inconsistenza penale di trame più chiacchierate che armate, e la lettura strutturale, per cui lo zero misura l'incapacità sistemica di un ordinamento di processare apparati di sé stesso, con l'osservazione di metodo che il confronto internazionale della fase quinta renderà stringente: entrambe le letture spiegano lo zero, ma solo la seconda spiega anche perché lo zero italiano coesista con le condanne definitive per i depistaggi, poiché un Paese dove nessuno cospirò ma qualcuno fu condannato per avere coperto la cospirazione inesistente è un paradosso logico, mentre un Paese dove le cospirazioni evaporarono prima del giudizio grazie alle coperture poi punite è, semplicemente, il Paese che questa fase ha documentato.</w:t>
      </w:r>
    </w:p>
    <w:p>
      <w:pPr>
        <w:spacing w:after="120" w:line="276"/>
        <w:jc w:val="both"/>
      </w:pPr>
      <w:r>
        <w:rPr>
          <w:rFonts w:ascii="Barlow Semi Condensed" w:cs="Barlow Semi Condensed" w:eastAsia="Barlow Semi Condensed" w:hAnsi="Barlow Semi Condensed"/>
          <w:b/>
          <w:bCs/>
          <w:sz w:val="24"/>
          <w:szCs w:val="24"/>
        </w:rPr>
        <w:t xml:space="preserve">Sintesi del dato nuovo acquisito:</w:t>
      </w:r>
      <w:r>
        <w:rPr>
          <w:rFonts w:ascii="Barlow Semi Condensed" w:cs="Barlow Semi Condensed" w:eastAsia="Barlow Semi Condensed" w:hAnsi="Barlow Semi Condensed"/>
          <w:sz w:val="24"/>
          <w:szCs w:val="24"/>
        </w:rPr>
        <w:t xml:space="preserve"> il nodo Santovito è certificato al Livello A quale direttore del SISMI nel triennio 1978-1981 e quale affiliato alla loggia P2, e costituisce il nodo di sintesi attraverso il quale il registro certifica la cattura contestuale dell'intero vertice informativo dello Stato, i direttori del servizio militare, del servizio civile e dell'organismo di coordinamento, da parte della loggia di Gelli; l'arco Dominio 3-Dominio 4 è certificato al Livello A in modo bilaterale, dal versante della loggia nella Fase 1 e dal versante degli apparati nella Fase 2, secondo il principio della consilienza; l'imputazione alla loggia di specifici atti dei servizi resta al Livello C ove manchi la prova specifica, ed ascende al Livello A solo ove tale prova sussista, come nel depistaggio di Bologna, chiudendo così il cerchio che salda il secondo dominio al primo nel rispetto integrale della Regola Ferrea.</w:t>
      </w:r>
    </w:p>
    <w:p>
      <w:pPr>
        <w:pStyle w:val="Heading3"/>
        <w:spacing w:after="80" w:before="160"/>
      </w:pPr>
      <w:r>
        <w:rPr>
          <w:rFonts w:ascii="Barlow Semi Condensed" w:cs="Barlow Semi Condensed" w:eastAsia="Barlow Semi Condensed" w:hAnsi="Barlow Semi Condensed"/>
          <w:sz w:val="24"/>
          <w:szCs w:val="24"/>
        </w:rPr>
        <w:t xml:space="preserve">Repertorio degli archi e delle triangolazioni certificate nella Fase 2</w:t>
      </w:r>
    </w:p>
    <w:p>
      <w:pPr>
        <w:spacing w:after="120" w:line="276"/>
        <w:jc w:val="both"/>
      </w:pPr>
      <w:r>
        <w:rPr>
          <w:rFonts w:ascii="Barlow Semi Condensed" w:cs="Barlow Semi Condensed" w:eastAsia="Barlow Semi Condensed" w:hAnsi="Barlow Semi Condensed"/>
          <w:sz w:val="24"/>
          <w:szCs w:val="24"/>
        </w:rPr>
        <w:t xml:space="preserve">Il registro adempie, anche per la Fase 2, all'obbligo di rendicontazione analitica, censendo in forma discorsiva tutti gli archi e le triangolazioni che i 10 capitoli hanno certificato, ciascuno con il proprio livello dichiarato. Il repertorio procede secondo l'articolazione della fase, dai nodi della deviazione militare a quelli delle strutture parallele, dall'esercito segreto ai circuiti internazionali, sino al nodo di sintesi della cattura piduista.</w:t>
      </w:r>
    </w:p>
    <w:p>
      <w:pPr>
        <w:spacing w:after="120" w:line="276"/>
        <w:jc w:val="both"/>
      </w:pPr>
      <w:r>
        <w:rPr>
          <w:rFonts w:ascii="Barlow Semi Condensed" w:cs="Barlow Semi Condensed" w:eastAsia="Barlow Semi Condensed" w:hAnsi="Barlow Semi Condensed"/>
          <w:sz w:val="24"/>
          <w:szCs w:val="24"/>
        </w:rPr>
        <w:t xml:space="preserve">Sul versante della deviazione degli apparati militari, il registro ha certificato al Livello A la deviazione documentata del SIFAR sotto la direzione del generale De Lorenzo, nella duplice forma delle schedature illegittime accertate dalla Commissione Beolchini, nell'ordine delle 157.000 posizioni, e della qualificazione parlamentare del 1970 delle attività del servizio quale deviazione dai fini istituzionali; l'esistenza materiale del Piano Solo e delle liste di enucleandi collegate alla rubrica E, con la loro anomalia costituzionale; e la dispersione della lista degli enucleandi, dichiarata introvabile nel 1990 e nel 1999, quale reperto di ostruzione documentale. Ha mantenuto al Livello C la qualificazione del Piano Solo quale tentato colpo di Stato attivato o avallato dal vertice dello Stato, respinta dalla relazione parlamentare di maggioranza. Ha certificato al Livello A la concentrazione in De Lorenzo delle cariche di capo del SIFAR, comandante generale dell'Arma e capo di stato maggiore dell'esercito, quale caso del Pattern 7, e la sua successiva migrazione parlamentare.</w:t>
      </w:r>
    </w:p>
    <w:p>
      <w:pPr>
        <w:spacing w:after="120" w:line="276"/>
        <w:jc w:val="both"/>
      </w:pPr>
      <w:r>
        <w:rPr>
          <w:rFonts w:ascii="Barlow Semi Condensed" w:cs="Barlow Semi Condensed" w:eastAsia="Barlow Semi Condensed" w:hAnsi="Barlow Semi Condensed"/>
          <w:sz w:val="24"/>
          <w:szCs w:val="24"/>
        </w:rPr>
        <w:t xml:space="preserve">Sul versante dei direttori dei servizi coinvolti nell'eversione, il registro ha certificato al Livello A l'arresto del 31 ottobre 1974 di Vito Miceli, direttore in carica sino a poco prima del SID, e la sua imputazione di cospirazione politica mediante associazione nel quadro dell'inchiesta sulla Rosa dei Venti, quale reperto capitale della porosità tra il Dominio 3 e il Dominio 7; e, in ossequio alla regola del riporto integrale, l'assoluzione di Miceli da tale accusa, con conseguente mantenimento al Livello C della sua partecipazione al disegno eversivo. Ha certificato al Livello A l'affiliazione di Miceli alla loggia P2 e la sua successiva elezione parlamentare nel Movimento sociale italiano. Sul versante del controspionaggio, ha certificato al Livello A la condanna definitiva di Gianadelio Maletti, capo del Reparto D del SID, per le condotte di depistaggio delle indagini su Piazza Fontana, comprensive del favoreggiamento dell'espatrio di soggetti collegati all'eversione nera e della costruzione di piste false, quale certificazione piena dell'arco di ostruzione tra il Dominio 3 e il Dominio 7; e ha ribadito il limite inferenziale tra la condotta di depistaggio, provata, e il mandato della strage, non provato. Ha certificato al Livello A la latitanza di Maletti in Sudafrica, anticipando la funzione di quel regime quale nodo di accoglienza internazionale, e mantenuto al Livello C, per l'Indice di Contaminazione della Fonte, le dichiarazioni rese dal latitante.</w:t>
      </w:r>
    </w:p>
    <w:p>
      <w:pPr>
        <w:spacing w:after="120" w:line="276"/>
        <w:jc w:val="both"/>
      </w:pPr>
      <w:r>
        <w:rPr>
          <w:rFonts w:ascii="Barlow Semi Condensed" w:cs="Barlow Semi Condensed" w:eastAsia="Barlow Semi Condensed" w:hAnsi="Barlow Semi Condensed"/>
          <w:sz w:val="24"/>
          <w:szCs w:val="24"/>
        </w:rPr>
        <w:t xml:space="preserve">Sul versante delle strutture parallele civili, il registro ha certificato al Livello A l'esistenza e le funzioni dell'Ufficio affari riservati del Ministero dell'interno diretto da Federico Umberto D'Amato, quale struttura informativa civile dotata di ampia autonomia, e la sua centralità nella gestione delle fonti dell'eversione, mantenendo al Livello C ogni ipotesi di regia dell'Ufficio sugli eventi stragisti. Ha certificato al Livello B l'inserimento di D'Amato nei circuiti atlantici del coordinamento informativo e la sua prossimità agli ambienti riservati trasversali, tenendo distinta la cornice, certificata, dalla regia, ipotetica. Ha certificato al Livello A il fatto della sua attività editoriale quale proiezione verso il Dominio 8.</w:t>
      </w:r>
    </w:p>
    <w:p>
      <w:pPr>
        <w:spacing w:after="120" w:line="276"/>
        <w:jc w:val="both"/>
      </w:pPr>
      <w:r>
        <w:rPr>
          <w:rFonts w:ascii="Barlow Semi Condensed" w:cs="Barlow Semi Condensed" w:eastAsia="Barlow Semi Condensed" w:hAnsi="Barlow Semi Condensed"/>
          <w:sz w:val="24"/>
          <w:szCs w:val="24"/>
        </w:rPr>
        <w:t xml:space="preserve">Sul versante dell'esercito segreto, il registro ha certificato al Livello A l'esistenza della rete stay-behind Gladio, rivelata ufficialmente il 24 ottobre 1990 dalla relazione del presidente del Consiglio Andreotti alla Commissione stragi, nella sua genesi atlantica degli anni Cinquanta, nella sua struttura materiale comprensiva della base di Capo Marrargiu, dei depositi Nasco e dell'elenco degli appartenenti nell'ordine delle 622 unità, e nel suo occultamento quarantennale al Parlamento. Ha mantenuto al Livello C l'ipotesi dell'impiego della rete nella destabilizzazione interna, non provata dagli accertamenti giudiziari, e ha dichiarato priva di supporto documentale e contraddetta dalla cornice atlantica l'ipotesi ulteriore di una sua funzione di contrasto all'integrazione europea, registrando anzi il nodo quale elemento militante in direzione del falsificatore milwardiano.</w:t>
      </w:r>
    </w:p>
    <w:p>
      <w:pPr>
        <w:spacing w:after="120" w:line="276"/>
        <w:jc w:val="both"/>
      </w:pPr>
      <w:r>
        <w:rPr>
          <w:rFonts w:ascii="Barlow Semi Condensed" w:cs="Barlow Semi Condensed" w:eastAsia="Barlow Semi Condensed" w:hAnsi="Barlow Semi Condensed"/>
          <w:sz w:val="24"/>
          <w:szCs w:val="24"/>
        </w:rPr>
        <w:t xml:space="preserve">Sul versante dell'eversione in accoppiamento con gli apparati, il registro ha certificato al Livello A l'esistenza materiale del tentativo golpista di Junio Valerio Borghese nella notte tra il 7 e l'8 dicembre 1970, la sua articolazione operativa e la sua interruzione, con esito giudiziario largamente assolutorio riportato per esteso, e con l'ipotesi sulla natura del contrordine mantenuta al Livello C; ha certificato al Livello A il ruolo di Borghese quale fondatore del Fronte Nazionale, riscontrato sin dall'informativa CIA del 14 novembre 1951; e ha certificato al Livello B la richiesta di concorso rivolta a Cosa Nostra per il tramite massonico e la connessione con ambienti finanziari, sulla scorta della testimonianza riscontrata di Buscetta, registrando il tentativo quale primo affioramento della convergenza multidominio. Sul versante liberale-resistenziale, ha certificato al Livello A il progetto di sovvertimento autoritario promosso da Edgardo Sogno nel 1974, il cosiddetto golpe bianco, corroborato dall'ammissione autobiografica del protagonista resa in tempo non sospetto, con esito giudiziario non condannatorio riportato per esteso; ha certificato al Livello A l'organizzazione anticomunista Pace e Libertà e al Livello B i rapporti di Sogno con ambienti atlantici, registrando il nodo quale prova della trasversalità del fronte anticomunista e quale ulteriore elemento contro l'adeguatezza esplicativa di H1.</w:t>
      </w:r>
    </w:p>
    <w:p>
      <w:pPr>
        <w:spacing w:after="120" w:line="276"/>
        <w:jc w:val="both"/>
      </w:pPr>
      <w:r>
        <w:rPr>
          <w:rFonts w:ascii="Barlow Semi Condensed" w:cs="Barlow Semi Condensed" w:eastAsia="Barlow Semi Condensed" w:hAnsi="Barlow Semi Condensed"/>
          <w:sz w:val="24"/>
          <w:szCs w:val="24"/>
        </w:rPr>
        <w:t xml:space="preserve">Sul versante internazionale, il registro ha certificato al Livello B l'esistenza e la natura del circuito Le Cercle quale sede riservata di coordinamento anticomunista internazionale di ispirazione risalente all'ambiente di Antoine Pinay, e la sua funzione di raccordo tra le componenti conservatrici dello schieramento occidentale; ha registrato la finalità anticomunista del circuito quale elemento militante frontalmente contro l'ipotesi H1 della convergenza tra i blocchi, giacché un coordinamento anticomunista occidentale è l'opposto di una struttura di convergenza tra le 2 superpotenze; e ha mantenuto al Livello C il collegamento del circuito con singoli eventi del terreno italiano.</w:t>
      </w:r>
    </w:p>
    <w:p>
      <w:pPr>
        <w:spacing w:after="120" w:line="276"/>
        <w:jc w:val="both"/>
      </w:pPr>
      <w:r>
        <w:rPr>
          <w:rFonts w:ascii="Barlow Semi Condensed" w:cs="Barlow Semi Condensed" w:eastAsia="Barlow Semi Condensed" w:hAnsi="Barlow Semi Condensed"/>
          <w:sz w:val="24"/>
          <w:szCs w:val="24"/>
        </w:rPr>
        <w:t xml:space="preserve">Sul versante della contaminazione e della sintesi, il registro ha certificato al Livello A la responsabilità di Francesco Pazienza, faccendiere del SISMI, nel depistaggio della strage di Bologna, unitamente a Gelli, Musumeci e Belmonte, quale caso del nodo di contaminazione trasversale ai Domini 3, 4, 6 e 7; al Livello B il suo coinvolgimento nelle operazioni finanziarie connesse all'ambiente di Calvi; al Livello A la sua latitanza e la successiva estradizione dagli Stati Uniti. Ha infine certificato al Livello A, quale fatto capitale e di chiusura, l'affiliazione simultanea alla loggia P2 dei responsabili apicali dei 3 organismi informativi nel triennio 1978-1981, il direttore del SISMI Giuseppe Santovito, il direttore del SISDE Giulio Grassini e il responsabile del CESIS Walter Pelosi, oltre al già direttore del SID Miceli, quale arco Dominio 3-Dominio 4 nella sua massima estensione, certificato in modo bilaterale dal versante della loggia e dal versante degli apparati secondo il principio della consilienza; e ha mantenuto al Livello C l'imputazione alla loggia di specifici atti dei servizi ove manchi la prova specifica, riconoscendola al Livello A solo ove tale prova sussista, come nel depistaggio di Bologna.</w:t>
      </w:r>
    </w:p>
    <w:p>
      <w:pPr>
        <w:spacing w:after="120" w:line="276"/>
        <w:jc w:val="both"/>
      </w:pPr>
      <w:r>
        <w:rPr>
          <w:rFonts w:ascii="Barlow Semi Condensed" w:cs="Barlow Semi Condensed" w:eastAsia="Barlow Semi Condensed" w:hAnsi="Barlow Semi Condensed"/>
          <w:sz w:val="24"/>
          <w:szCs w:val="24"/>
        </w:rPr>
        <w:t xml:space="preserve">Chiude il repertorio il censimento delle assenze e degli esiti assolutori della fase, che il metodo impone di esporre con il medesimo rilievo delle presenze. Gli esiti non condannatori certificati e riportati per esteso sono 3: l'assoluzione di Miceli dall'accusa di cospirazione; l'esito largamente assolutorio del procedimento sul tentativo golpista Borghese, con la sentenza d'appello del 1984; e l'esito non condannatorio del procedimento a carico di Sogno per il progetto del 1974. A essi si aggiunge il reperto negativo di prima classe costituito, per il nodo Gladio, dall'esito sostanzialmente non condannatorio delle inchieste quanto all'ipotesi dell'impiego eversivo della rete, che certifica l'esistenza della struttura ma non il suo impiego nella destabilizzazione. Il registro tratta questi 4 esiti quali dati di prima classe, che non indeboliscono la rete certificata ma ne delimitano il perimetro, e la cui osservanza è la condizione della sua solidità.</w:t>
      </w:r>
    </w:p>
    <w:p>
      <w:pPr>
        <w:spacing w:after="120" w:line="276"/>
        <w:jc w:val="both"/>
      </w:pPr>
      <w:r>
        <w:rPr>
          <w:rFonts w:ascii="Barlow Semi Condensed" w:cs="Barlow Semi Condensed" w:eastAsia="Barlow Semi Condensed" w:hAnsi="Barlow Semi Condensed"/>
          <w:b/>
          <w:bCs/>
          <w:sz w:val="24"/>
          <w:szCs w:val="24"/>
        </w:rPr>
        <w:t xml:space="preserve">Sintesi del dato nuovo acquisito:</w:t>
      </w:r>
      <w:r>
        <w:rPr>
          <w:rFonts w:ascii="Barlow Semi Condensed" w:cs="Barlow Semi Condensed" w:eastAsia="Barlow Semi Condensed" w:hAnsi="Barlow Semi Condensed"/>
          <w:sz w:val="24"/>
          <w:szCs w:val="24"/>
        </w:rPr>
        <w:t xml:space="preserve"> il repertorio consolida in un inventario unitario oltre 40 tra archi, triangolazioni ed esiti certificati nella fase, con netta prevalenza del Livello A, cui si aggiungono gli archi di Livello B relativi alla cornice atlantica e alle mediazioni non giudizialmente consacrate e i pochi archi di Livello C relativi alle ipotesi di regia e di collegamento operativo non provate, oltre a 3 esiti assolutori riportati per esteso, quelli di Miceli, Borghese e Sogno, e 1 reperto negativo sull'impiego di Gladio; e costituisce d'ora innanzi il riferimento citabile per ogni richiamo interno dell'opera al sottografo degli apparati e delle strutture parallele.</w:t>
      </w:r>
    </w:p>
    <w:p>
      <w:pPr>
        <w:pStyle w:val="Heading3"/>
        <w:spacing w:after="80" w:before="160"/>
      </w:pPr>
      <w:r>
        <w:rPr>
          <w:rFonts w:ascii="Barlow Semi Condensed" w:cs="Barlow Semi Condensed" w:eastAsia="Barlow Semi Condensed" w:hAnsi="Barlow Semi Condensed"/>
          <w:sz w:val="24"/>
          <w:szCs w:val="24"/>
        </w:rPr>
        <w:t xml:space="preserve">Chiusura della Fase 2 — La macchina della deviazione e il bilancio della verifica di H1</w:t>
      </w:r>
    </w:p>
    <w:p>
      <w:pPr>
        <w:spacing w:after="120" w:line="276"/>
        <w:jc w:val="both"/>
      </w:pPr>
      <w:r>
        <w:rPr>
          <w:rFonts w:ascii="Barlow Semi Condensed" w:cs="Barlow Semi Condensed" w:eastAsia="Barlow Semi Condensed" w:hAnsi="Barlow Semi Condensed"/>
          <w:sz w:val="24"/>
          <w:szCs w:val="24"/>
        </w:rPr>
        <w:t xml:space="preserve">La Fase 2 si chiude con 10 nodi certificati, 6 persone, 3 entità collettive o strutturali e 1 nodo di sintesi, e con un sottografo, quello degli apparati e delle strutture parallele, che è ora possibile leggere nel suo insieme e saldare al sottografo del quadrilatero ricostruito nella Fase 1. Il presente capitolo di chiusura non introduce materiale nuovo; ricompone l'acquisito, dichiara i livelli raggiunti, censisce le assenze accanto alle presenze e, soprattutto, adempie al compito che la Fase 1 aveva assegnato a questa fase quale suo obbligo specifico: il bilancio della verifica dell'ipotesi H1 su materiale, finalmente, pertinente.</w:t>
      </w:r>
    </w:p>
    <w:p>
      <w:pPr>
        <w:spacing w:after="120" w:line="276"/>
        <w:jc w:val="both"/>
      </w:pPr>
      <w:r>
        <w:rPr>
          <w:rFonts w:ascii="Barlow Semi Condensed" w:cs="Barlow Semi Condensed" w:eastAsia="Barlow Semi Condensed" w:hAnsi="Barlow Semi Condensed"/>
          <w:sz w:val="24"/>
          <w:szCs w:val="24"/>
        </w:rPr>
        <w:t xml:space="preserve">Il primo risultato della fase è la certificazione della deviazione degli apparati quale fenomeno documentato e non quale suggestione. La categoria dei servizi deviati, tanto abusata nella pubblicistica da aver perduto ogni contorno, riceve dal registro un contenuto probatorio preciso e delimitato. La deviazione è documentata al Livello A in una pluralità di episodi giudizialmente accertati: le schedature illegittime del SIFAR, il depistaggio di Piazza Fontana per il quale Maletti fu condannato, il depistaggio di Bologna per il quale furono condannati ufficiali del SISMI unitamente al faccendiere Pazienza e al Venerabile Gelli. Ciascuno di questi episodi è un arco certificato tra il Dominio 3 e, rispettivamente, il Dominio 2 nelle schedature e il Dominio 7 nei depistaggi. Ma la deviazione così certificata ha una natura precisa che il registro dichiara: essa è, negli episodi provati, torsione dell'apparato legale verso il controllo politico o verso l'ostruzione dell'accertamento, non prova di un apparato occulto che diriga gli eventi eversivi e stragisti. La distinzione tra la deviazione-ostruzione, certificata, e la deviazione-regia, ipotetica, è il primo e principale acquisito della fase, e la sua osservanza è ciò che consente al registro di affermare molto, quanto alle condotte provate, e di non affermare nulla, quanto ai mandati non provati.</w:t>
      </w:r>
    </w:p>
    <w:p>
      <w:pPr>
        <w:spacing w:after="120" w:line="276"/>
        <w:jc w:val="both"/>
      </w:pPr>
      <w:r>
        <w:rPr>
          <w:rFonts w:ascii="Barlow Semi Condensed" w:cs="Barlow Semi Condensed" w:eastAsia="Barlow Semi Condensed" w:hAnsi="Barlow Semi Condensed"/>
          <w:sz w:val="24"/>
          <w:szCs w:val="24"/>
        </w:rPr>
        <w:t xml:space="preserve">Il secondo risultato è la mappa dell'accoppiamento tra il Dominio 3 e gli altri domini, che la fase consegna nelle sue direttrici certificate. L'accoppiamento con il Dominio 9, le forze armate, è strutturale e certificato al Livello A: gli apparati informativi nacquero in seno alla struttura militare, e i loro vertici furono ufficiali, sicché il confine tra i 2 domini è, in questa fase, il più poroso di tutti, e i nodi De Lorenzo, Miceli e Santovito lo attraversano per definizione. L'accoppiamento con il Dominio 7, l'eversione, è certificato al Livello A nella forma dell'ostruzione, attraverso i depistaggi provati, e mantenuto al Livello C nella forma della direzione, che gli accertamenti non hanno provato. L'accoppiamento con il Dominio 4, la massoneria, è certificato al Livello A e in modo bilaterale, attraverso la cattura piduista del vertice informativo che il capitolo 10 ha documentato dal lato degli apparati e la Fase 1 dal lato della loggia. L'accoppiamento con il Dominio 2, la politica, è certificato al Livello A tanto nella forma delle schedature quanto nella forma della migrazione, il corridoio del Pattern 7 che condusse gli ufficiali degli apparati alla rappresentanza politica. L'accoppiamento con il Dominio 6, la finanza, e con il Dominio 1, la mafia, è certificato attraverso il nodo Pazienza e attraverso l'affioramento del tentativo Borghese, che salda gli apparati al quadrilatero della Fase 1.</w:t>
      </w:r>
    </w:p>
    <w:p>
      <w:pPr>
        <w:spacing w:after="120" w:line="276"/>
        <w:jc w:val="both"/>
      </w:pPr>
      <w:r>
        <w:rPr>
          <w:rFonts w:ascii="Barlow Semi Condensed" w:cs="Barlow Semi Condensed" w:eastAsia="Barlow Semi Condensed" w:hAnsi="Barlow Semi Condensed"/>
          <w:sz w:val="24"/>
          <w:szCs w:val="24"/>
        </w:rPr>
        <w:t xml:space="preserve">Il terzo risultato è il censimento delle centralità del sottografo degli apparati. La più alta betweenness appartiene al nodo Pazienza, il faccendiere privo di titolarità formale che connette il servizio militare, la finanza internazionale, la loggia e l'ambiente dei depistaggi: è il broker per eccellenza, e la sua rilevanza deriva interamente dalla posizione di intermediazione, secondo la distinzione tra potere formale e potere relazionale che la Nota metodologica ha derivato da Burt. La più alta centralità di grado appartiene al nodo Santovito e, con esso, all'insieme dei vertici piduisti dei servizi, la cui affiliazione simultanea alla loggia costituisce la comunità trasversale che il Pattern 2 identifica quale risultato più netto della fase. La più alta centralità informativa, nell'accezione sottile del Pattern 1, appartiene al nodo D'Amato, il responsabile a bassa visibilità e alto controllo sul flusso informativo. Il nodo Gladio, infine, occupa nella rete una posizione peculiare: massima rilevanza documentale e massima densità di suggestione, ma centralità operativa certificata modesta, giacché l'esistenza della struttura è provata al Livello A mentre il suo impiego resta al Livello C, sicché il nodo pesa nel registro per ciò che è certificato, l'esistenza clandestina di una rete atlantica, e non per ciò che gli è attribuito, un impiego eversivo non provato.</w:t>
      </w:r>
    </w:p>
    <w:p>
      <w:pPr>
        <w:spacing w:after="120" w:line="276"/>
        <w:jc w:val="both"/>
      </w:pPr>
      <w:r>
        <w:rPr>
          <w:rFonts w:ascii="Barlow Semi Condensed" w:cs="Barlow Semi Condensed" w:eastAsia="Barlow Semi Condensed" w:hAnsi="Barlow Semi Condensed"/>
          <w:sz w:val="24"/>
          <w:szCs w:val="24"/>
        </w:rPr>
        <w:t xml:space="preserve">A questo censimento delle centralità interne al sottografo degli apparati il registro aggiunge un raccordo con le centralità del quadrilatero ricostruito nella Fase 1, giacché è dalla saldatura dei 2 sottografi che emerge la topologia complessiva delle prime 2 fasi. Il nodo che, sommando le 2 fasi, acquisisce la più alta centralità di intermediazione dell'intero grafo sinora costruito è la loggia P2 nella persona del suo Venerabile, che la Fase 1 aveva collocato al centro del quadrilatero e che la Fase 2 ritrova al centro della cattura del vertice informativo: la loggia è il nodo che connette i 2 sottografi, il broker tra il quadrilatero finanziario-vaticano-mafioso e l'apparato informativo, e la sua centralità deriva precisamente dalla capacità di occupare la posizione di raccordo tra ambienti altrimenti separati. Al secondo posto per centralità di raccordo si collocano i faccendieri, la figura che i 2 sottografi condividono e che ne costituisce il connettivo mobile: Sindona e Ortolani sul versante del quadrilatero, Pazienza sul versante degli apparati, accomunati dalla natura di intermediari privi di titolarità formale ma dotati di accesso trasversale. La saldatura dei 2 sottografi conferma pertanto una regolarità che il registro annota quale acquisizione delle prime 2 fasi: il potere che attraversa i domini non risiede nei vertici formali di ciascun dominio, ma nei nodi di raccordo, le logge e i faccendieri, la cui funzione è precisamente connettere ciò che le gerarchie formali tengono separato; ed è questa la ragione per cui la loro rimozione, quando avviene, produce le discontinuità più marcate nella rete, secondo il Pattern 5 dei buchi strutturali.</w:t>
      </w:r>
    </w:p>
    <w:p>
      <w:pPr>
        <w:spacing w:after="120" w:line="276"/>
        <w:jc w:val="both"/>
      </w:pPr>
      <w:r>
        <w:rPr>
          <w:rFonts w:ascii="Barlow Semi Condensed" w:cs="Barlow Semi Condensed" w:eastAsia="Barlow Semi Condensed" w:hAnsi="Barlow Semi Condensed"/>
          <w:sz w:val="24"/>
          <w:szCs w:val="24"/>
        </w:rPr>
        <w:t xml:space="preserve">Il quarto risultato è la verifica esplicita dell'ipotesi H1, che costituisce l'adempimento del compito assegnato dalla Fase 1 e il bilancio più importante della fase. La Fase 1 aveva dichiarato l'autosufficienza esplicativa del primo cerchio e aveva formulato il vincolo popperiano: gli eventuali elementi di supporto di H1 dovranno emergere dai domini che le fasi successive esplorano, a partire dall'intelligence. La Fase 2 ha esplorato l'intelligence, ossia il dominio nel quale, per definizione, la dimensione internazionale è sostanza operativa e non mera cornice; ed è in grado di rendere un bilancio netto. La dimensione internazionale del Dominio 3 è certificata al Livello A nella sua realtà, giacché i servizi italiani operarono entro il sistema di alleanze atlantico, la rete Gladio nacque da accordi con il servizio statunitense, i responsabili informativi parteciparono ai circuiti internazionali del coordinamento occidentale. Ma questa dimensione internazionale, in tutte le sue manifestazioni certificate, ha una direzione precisa e univoca: è la direzione dell'alleanza atlantica e del confronto anticomunista interno alla logica bipolare, non la direzione della convergenza tra i 2 blocchi che l'ipotesi H1 postulerebbe. La rete Gladio era predisposta contro un'eventuale occupazione sovietica; il circuito Le Cercle coordinava il contrasto all'influenza sovietica; i progetti eversivi, tanto quello di marca nera di Borghese quanto quello liberale di Sogno, erano progetti anticomunisti; i rapporti internazionali degli apparati erano rapporti con il servizio statunitense e con la struttura atlantica. In nessuno dei 10 nodi della fase affiora un elemento, sia pure di Livello C, che documenti una convergenza operativa tra la potenza occidentale e quella sovietica, e tanto meno una convergenza finalizzata a impedire l'integrazione europea. Il registro deve dunque registrare, con la nettezza che il metodo impone, che la Fase 2 non solo non ha prodotto elementi di supporto di H1, ma ha prodotto una pluralità di elementi che la contraddicono: l'intera dimensione internazionale certificata degli apparati si colloca sul versante occidentale del confronto bipolare, e milita a favore dell'ipotesi concorrente, quella del confronto tra i blocchi, nella quale gli attori occidentali perseguono finalità occidentali. Di più: la cornice atlantica degli apparati milita positivamente a favore del falsificatore milwardiano, giacché la medesima alleanza che predispose le reti stay-behind e coordinò il fronte anticomunista fu il quadro entro il quale il processo di integrazione europea si svolse con il sostegno della potenza egemone occidentale, e non contro di essa. La disciplina anti-induttiva impone di trarre la conseguenza: dopo 2 fasi, l'ipotesi H1 non solo resta priva di supporto, ma ha incontrato, nel dominio che avrebbe dovuto eventualmente sostenerla, la sua più netta contraddizione; essa permane al Livello C quale ipotesi formalmente registrata e falsificabile, ma il registro dichiara che il peso delle evidenze accumulate nelle prime 2 fasi milita contro di essa e a favore delle ipotesi concorrenti, e che le fasi successive dovranno misurarsi con questo bilancio.</w:t>
      </w:r>
    </w:p>
    <w:p>
      <w:pPr>
        <w:spacing w:after="120" w:line="276"/>
        <w:jc w:val="both"/>
      </w:pPr>
      <w:r>
        <w:rPr>
          <w:rFonts w:ascii="Barlow Semi Condensed" w:cs="Barlow Semi Condensed" w:eastAsia="Barlow Semi Condensed" w:hAnsi="Barlow Semi Condensed"/>
          <w:sz w:val="24"/>
          <w:szCs w:val="24"/>
        </w:rPr>
        <w:t xml:space="preserve">Il quinto risultato è la consegna dei fili pendenti alle fasi successive. Il filo dello stragismo, che questa fase ha ripetutamente sfiorato attraverso i depistaggi di Piazza Fontana e di Bologna, attraverso il tentativo Borghese e attraverso la gestione delle fonti dell'eversione da parte degli apparati, diviene l'oggetto proprio della Fase 3, che ricostruirà la sequenza stragista dal suo evento inaugurale, con particolare attenzione alla filiera dell'eversione nera, ad Aginter Press e alla figura di Delle Chiaie, che questa fase ha incontrato quale esecutore del tentativo del dicembre 1970 e la cui trattazione propria è riservata alla fase dello stragismo. Il filo del caso Moro, la cui ombra ha attraversato la fase attraverso la collocazione temporale della direzione Santovito e attraverso la questione della condotta degli apparati nei 55 giorni, diviene l'oggetto della Fase 4, che affronterà il sequestro secondo la decomposizione a 3 piani già costituzionalizzata dal registro. Il filo della proiezione internazionale, che questa fase ha anticipato attraverso la latitanza sudafricana di Maletti e attraverso il circuito Le Cercle, diviene l'oggetto della Fase 5, che verificherà su scala mondiale la tenuta della distinzione tra cornice atlantica e regia eversiva che la presente fase ha posto a fondamento della propria valutazione di H1.</w:t>
      </w:r>
    </w:p>
    <w:p>
      <w:pPr>
        <w:spacing w:after="120" w:line="276"/>
        <w:jc w:val="both"/>
      </w:pPr>
      <w:r>
        <w:rPr>
          <w:rFonts w:ascii="Barlow Semi Condensed" w:cs="Barlow Semi Condensed" w:eastAsia="Barlow Semi Condensed" w:hAnsi="Barlow Semi Condensed"/>
          <w:sz w:val="24"/>
          <w:szCs w:val="24"/>
        </w:rPr>
        <w:t xml:space="preserve">Resta da dichiarare, a sigillo della fase, la coerenza del criterio selettivo ed espositivo con quello della Fase 1. I 10 nodi sono stati selezionati per il concorso dei 2 requisiti oggettivi, la certificazione di Livello A di almeno un arco inter-dominio e la frequenza trasversale nel corpus; l'ordine espositivo ha seguito la topologia, muovendo dalla prima deviazione militare verso i direttori coinvolti nell'eversione, quindi verso le strutture parallele e l'esercito segreto, quindi verso i progetti eversivi trasversali e il circuito internazionale, e chiudendo sul nodo di sintesi della cattura piduista che salda la fase alla precedente. Le 3 fasi che seguono manterranno il medesimo statuto: 10 nodi per fase, certificazione dichiarata arco per arco, esiti assolutori riportati per esteso, assenze censite accanto alle presenze, e la formula di chiusura di ciascun capitolo quale unità minima di accumulo del sapere acquisito.</w:t>
      </w:r>
    </w:p>
    <w:p>
      <w:pPr>
        <w:spacing w:after="120" w:line="276"/>
        <w:jc w:val="both"/>
      </w:pPr>
      <w:r>
        <w:rPr>
          <w:rFonts w:ascii="Barlow Semi Condensed" w:cs="Barlow Semi Condensed" w:eastAsia="Barlow Semi Condensed" w:hAnsi="Barlow Semi Condensed"/>
          <w:b/>
          <w:bCs/>
          <w:sz w:val="24"/>
          <w:szCs w:val="24"/>
        </w:rPr>
        <w:t xml:space="preserve">Sintesi del dato nuovo acquisito:</w:t>
      </w:r>
      <w:r>
        <w:rPr>
          <w:rFonts w:ascii="Barlow Semi Condensed" w:cs="Barlow Semi Condensed" w:eastAsia="Barlow Semi Condensed" w:hAnsi="Barlow Semi Condensed"/>
          <w:sz w:val="24"/>
          <w:szCs w:val="24"/>
        </w:rPr>
        <w:t xml:space="preserve"> la Fase 2 certifica la deviazione degli apparati quale fenomeno documentato al Livello A negli episodi di schedatura e di depistaggio giudizialmente accertati, distinguendo la deviazione-ostruzione, provata, dalla deviazione-regia, ipotetica; certifica l'accoppiamento del Dominio 3 con i Domini 9, 7, 4, 2, 6 e 1 nelle direttrici e ai livelli dichiarati, culminante nella cattura piduista bilaterale del vertice informativo; e rende il bilancio esplicito della verifica di H1, dichiarando che il dominio dell'intelligence, lungi dal sostenere l'ipotesi della convergenza tra i blocchi contro l'integrazione europea, l'ha contraddetta in tutte le sue manifestazioni internazionali certificate, tutte collocate sul versante occidentale e anticomunista del confronto bipolare, sicché H1 permane al Livello C ma il peso delle evidenze delle prime 2 fasi milita contro di essa e a favore del falsificatore milwardiano; i fili dello stragismo, del caso Moro e della proiezione internazionale sono formalmente consegnati alle Fasi 3, 4 e 5.</w:t>
      </w:r>
    </w:p>
    <w:p>
      <w:pPr>
        <w:pStyle w:val="Heading2"/>
        <w:spacing w:after="100" w:before="200"/>
      </w:pPr>
      <w:r>
        <w:rPr>
          <w:rFonts w:ascii="Barlow Semi Condensed" w:cs="Barlow Semi Condensed" w:eastAsia="Barlow Semi Condensed" w:hAnsi="Barlow Semi Condensed"/>
          <w:sz w:val="24"/>
          <w:szCs w:val="24"/>
        </w:rPr>
        <w:t xml:space="preserve">FASE III</w:t>
      </w:r>
    </w:p>
    <w:p>
      <w:pPr>
        <w:pBdr>
          <w:left w:val="single" w:color="1F3864" w:sz="18" w:space="8"/>
        </w:pBdr>
        <w:spacing w:after="80" w:before="80"/>
        <w:ind w:left="360" w:right="360"/>
        <w:jc w:val="both"/>
      </w:pPr>
      <w:r>
        <w:rPr>
          <w:rFonts w:ascii="Barlow Semi Condensed" w:cs="Barlow Semi Condensed" w:eastAsia="Barlow Semi Condensed" w:hAnsi="Barlow Semi Condensed"/>
          <w:i w:val="false"/>
          <w:iCs w:val="false"/>
          <w:sz w:val="24"/>
          <w:szCs w:val="24"/>
        </w:rPr>
        <w:t xml:space="preserve">Lo stragismo e la strategia della tensione</w:t>
      </w:r>
      <w:r>
        <w:rPr>
          <w:rFonts w:ascii="Barlow Semi Condensed" w:cs="Barlow Semi Condensed" w:eastAsia="Barlow Semi Condensed" w:hAnsi="Barlow Semi Condensed"/>
          <w:i w:val="false"/>
          <w:iCs w:val="false"/>
          <w:sz w:val="24"/>
          <w:szCs w:val="24"/>
        </w:rPr>
        <w:t xml:space="preserve"> </w:t>
      </w:r>
      <w:r>
        <w:rPr>
          <w:rFonts w:ascii="Barlow Semi Condensed" w:cs="Barlow Semi Condensed" w:eastAsia="Barlow Semi Condensed" w:hAnsi="Barlow Semi Condensed"/>
          <w:i w:val="false"/>
          <w:iCs w:val="false"/>
          <w:sz w:val="24"/>
          <w:szCs w:val="24"/>
        </w:rPr>
        <w:t xml:space="preserve">Il terzo cerchio: le stragi, i depistaggi e la matrice</w:t>
      </w:r>
    </w:p>
    <w:p>
      <w:pPr>
        <w:pStyle w:val="Heading3"/>
        <w:spacing w:after="80" w:before="160"/>
      </w:pPr>
      <w:r>
        <w:rPr>
          <w:rFonts w:ascii="Barlow Semi Condensed" w:cs="Barlow Semi Condensed" w:eastAsia="Barlow Semi Condensed" w:hAnsi="Barlow Semi Condensed"/>
          <w:sz w:val="24"/>
          <w:szCs w:val="24"/>
        </w:rPr>
        <w:t xml:space="preserve">Avvertenza di fase e continuità del protocollo probatorio</w:t>
      </w:r>
    </w:p>
    <w:p>
      <w:pPr>
        <w:spacing w:after="120" w:line="276"/>
        <w:jc w:val="both"/>
      </w:pPr>
      <w:r>
        <w:rPr>
          <w:rFonts w:ascii="Barlow Semi Condensed" w:cs="Barlow Semi Condensed" w:eastAsia="Barlow Semi Condensed" w:hAnsi="Barlow Semi Condensed"/>
          <w:sz w:val="24"/>
          <w:szCs w:val="24"/>
        </w:rPr>
        <w:t xml:space="preserve">La Fase 3 raccoglie il filo che le 2 fasi precedenti hanno più volte sfiorato senza mai assumerlo quale oggetto proprio: la sequenza stragista che insanguinò la Repubblica dal 12 dicembre 1969 al 2 agosto 1980, e oltre. La Fase 1 aveva incontrato lo stragismo dal lato del quadrilatero, attraverso la condanna definitiva di Giuseppe Calò per la strage del rapido 904 e attraverso il depistaggio di Bologna addebitato a Licio Gelli; la Fase 2 lo aveva incontrato dal lato degli apparati, attraverso le condanne definitive di Gianadelio Maletti per il depistaggio di Piazza Fontana e di Francesco Pazienza, con gli ufficiali Musumeci e Belmonte, per il depistaggio di Bologna. La presente fase rovescia la prospettiva: assume gli eventi stragisti e i loro attori quali nodi propri, e ricostruisce dal loro interno il Dominio 7, il terrorismo e la violenza politica, nei suoi accoppiamenti certificati con i Domini 3, 4, 9, 1, 8 e 10.</w:t>
      </w:r>
    </w:p>
    <w:p>
      <w:pPr>
        <w:spacing w:after="120" w:line="276"/>
        <w:jc w:val="both"/>
      </w:pPr>
      <w:r>
        <w:rPr>
          <w:rFonts w:ascii="Barlow Semi Condensed" w:cs="Barlow Semi Condensed" w:eastAsia="Barlow Semi Condensed" w:hAnsi="Barlow Semi Condensed"/>
          <w:sz w:val="24"/>
          <w:szCs w:val="24"/>
        </w:rPr>
        <w:t xml:space="preserve">Il protocollo probatorio resta immutato e viene richiamato nei soli cardini. La triangolazione delle fonti secondo lo standard Savona 2.1 distingue il Livello A della connessione documentata, fondata su giudicato o su convergenza di 3 fonti indipendenti eterogenee, il Livello B della connessione indiziaria, fondata su 2 fonti convergenti o su una singola fonte di alta affidabilità, e il Livello C della connessione ipotetica, esplicitamente marcata. La Regola Ferrea vieta ogni salto inferenziale, e in questa fase assume la sua declinazione più severa, giacché la materia stragista è quella in cui la distanza tra il provato e il creduto è massima, e in cui la vulgata ha più profondamente confuso i piani. Tre discipline specifiche governano la fase. La prima è la disciplina delle assoluzioni: la storia processuale delle stragi italiane è, in larghissima parte, una storia di assoluzioni, e il registro le riporta tutte per esteso, con il medesimo rilievo delle condanne, giacché un registro che censisse le sole condanne fabbricherebbe una rete più fitta del reale. La seconda è la disciplina della distinzione tra dispositivo e motivazione: talune sentenze definitive contengono, in motivazione, accertamenti storici che il dispositivo non traduce in condanna, e il registro li recepisce dichiarandone la natura, senza confondere la verità storica affermata in motivazione con la responsabilità penale affermata in dispositivo. La terza è la disciplina dell'ostruzione: la fase arricchisce la tipologia delle condotte di inquinamento dell'accertamento che il registro ha codificato, distinguendo in ogni capitolo la strage dal suo depistaggio, e ribadendo che la condanna per il secondo non prova il mandato della prima.</w:t>
      </w:r>
    </w:p>
    <w:p>
      <w:pPr>
        <w:spacing w:after="120" w:line="276"/>
        <w:jc w:val="both"/>
      </w:pPr>
      <w:r>
        <w:rPr>
          <w:rFonts w:ascii="Barlow Semi Condensed" w:cs="Barlow Semi Condensed" w:eastAsia="Barlow Semi Condensed" w:hAnsi="Barlow Semi Condensed"/>
          <w:sz w:val="24"/>
          <w:szCs w:val="24"/>
        </w:rPr>
        <w:t xml:space="preserve">Anche questa fase adempie a un compito assegnato dalle precedenti: la prosecuzione della verifica dell'ipotesi H1, la convergenza delle potenze imperiali contro l'integrazione europea, che la Fase 2 ha consegnato al Livello C con un bilancio esplicitamente sfavorevole, avendo constatato che l'intera dimensione internazionale certificata degli apparati si colloca sul versante occidentale e anticomunista del confronto bipolare. La Fase 3 verificherà se la matrice accertata dello stragismo, e le sue proiezioni internazionali documentate, modifichino tale bilancio; e lo farà, come sempre, cercando le evidenze che falsificherebbero le ipotesi in campo, non quelle che le confermerebbero, secondo la procedura delle ipotesi concorrenti di Heuer. Il lettore troverà nella chiusura il bilancio aggiornato, con un reperto di particolare interesse metodologico: la circostanza che gli stessi atti parlamentari conclusivi sulla stagione stragista contengano elaborati di segno opposto, l'uno orientato alla dimensione sovranazionale atlantica e l'altro all'ombra del blocco sovietico, e che nessuno dei 2, nemmeno nella loro massima estensione congetturale, sostenga la convergenza tra i blocchi che H1 postula.</w:t>
      </w:r>
    </w:p>
    <w:p>
      <w:pPr>
        <w:spacing w:after="120" w:line="276"/>
        <w:jc w:val="both"/>
      </w:pPr>
      <w:r>
        <w:rPr>
          <w:rFonts w:ascii="Barlow Semi Condensed" w:cs="Barlow Semi Condensed" w:eastAsia="Barlow Semi Condensed" w:hAnsi="Barlow Semi Condensed"/>
          <w:sz w:val="24"/>
          <w:szCs w:val="24"/>
        </w:rPr>
        <w:t xml:space="preserve">Un chiarimento tassonomico si impone in apertura. La fase introduce sistematicamente, accanto ai nodi-persona e ai nodi-organizzazione delle fasi precedenti, il nodo-evento, contrassegnato dal marcatore proprio: la strage, l'omicidio, il tentativo eversivo quale entità della rete, dotata di attributi propri, la data, il luogo, le vittime, gli esiti giudiziari, e di archi propri verso le persone, le organizzazioni e gli apparati che vi convergono. La scelta non è nominalistica ma metodologica: nella materia della fase, l'evento è sovente l'unico punto fermo certificabile al massimo livello, mentre le attribuzioni personali oscillano tra condanne, assoluzioni e vuoti; assumere l'evento quale nodo primario consente al registro di ancorare la rete a ciò che è certo, il fatto, la data, le vittime, e di appendervi le attribuzioni con il loro grado effettivo, anziché costruire la rete attorno ad attribuzioni instabili. Ne discende che ogni capitolo-evento della fase certifica dapprima l'evento nella sua materialità, quindi i suoi archi, distinguendo sempre lo strato dell'esecuzione, lo strato dell'ostruzione e lo strato del mandato, i 3 strati che la materia stragista impone di non confondere mai e la cui confusione è stata, storicamente, il principale veicolo di errore tanto della vulgata colpevolista quanto di quella negazionista.</w:t>
      </w:r>
    </w:p>
    <w:p>
      <w:pPr>
        <w:spacing w:after="120" w:line="276"/>
        <w:jc w:val="both"/>
      </w:pPr>
      <w:r>
        <w:rPr>
          <w:rFonts w:ascii="Barlow Semi Condensed" w:cs="Barlow Semi Condensed" w:eastAsia="Barlow Semi Condensed" w:hAnsi="Barlow Semi Condensed"/>
          <w:sz w:val="24"/>
          <w:szCs w:val="24"/>
        </w:rPr>
        <w:t xml:space="preserve">L'ordine espositivo dei 10 nodi segue la topologia e la cronologia insieme, giacché nella materia stragista le 2 dimensioni coincidono in larga misura: si muove dall'evento inaugurale del dicembre 1969 e dalla sua matrice organizzativa, l'ordinovismo, attraverso i suoi uomini e la sua proiezione internazionale, Aginter Press e Stefano Delle Chiaie, quindi lungo la sequenza degli eventi certificati, Peteano, Brescia, l'Italicus, sino alla strage di Bologna, per chiudere sull'omicidio di Piersanti Mattarella, che riprende il filo lasciato aperto dalla Fase 1 sulla convergenza tra eversione e mafia e salda la fase al primo cerchio. I criteri di selezione restano i 2 requisiti oggettivi: la certificazione di Livello A di almeno un arco o di un accertamento centrale del nodo, e la frequenza trasversale nel corpus dei 220 documenti. Ogni capitolo si chiude con la formula di accumulo, e il repertorio precede la lettura reticolare conclusiva. Le vittime degli eventi trattati sono nominate, ove lo spazio lo consenta, quale atto dovuto di un registro che non dimentica che dietro ogni nodo analitico vi sono nomi, corpi e famiglie.</w:t>
      </w:r>
    </w:p>
    <w:p>
      <w:pPr>
        <w:pStyle w:val="Heading3"/>
        <w:spacing w:after="80" w:before="160"/>
      </w:pPr>
      <w:r>
        <w:rPr>
          <w:rFonts w:ascii="Barlow Semi Condensed" w:cs="Barlow Semi Condensed" w:eastAsia="Barlow Semi Condensed" w:hAnsi="Barlow Semi Condensed"/>
          <w:sz w:val="24"/>
          <w:szCs w:val="24"/>
        </w:rPr>
        <w:t xml:space="preserve">Capitolo 1 — ■ Piazza Fontana. L'evento inaugurale e il paradosso del giudicato</w:t>
      </w:r>
    </w:p>
    <w:p>
      <w:pPr>
        <w:spacing w:after="120" w:line="276"/>
        <w:jc w:val="both"/>
      </w:pPr>
      <w:r>
        <w:rPr>
          <w:rFonts w:ascii="Barlow Semi Condensed" w:cs="Barlow Semi Condensed" w:eastAsia="Barlow Semi Condensed" w:hAnsi="Barlow Semi Condensed"/>
          <w:sz w:val="24"/>
          <w:szCs w:val="24"/>
        </w:rPr>
        <w:t xml:space="preserve">La strage di piazza Fontana, consumata a Milano il 12 dicembre 1969 nella sede della Banca Nazionale dell'Agricoltura, è il nodo-evento inaugurale della fase e dell'intera stagione che essa ricostruisce. La scansione del corpus registra il sintagma 638 volte in 33 documenti, e la vicenda attraversa gli atti di ogni commissione d'inchiesta e di ogni ciclo processuale della storia repubblicana successiva. L'ordigno, esploso alle 16:37 nel salone centrale della banca, uccise 17 persone, 16 nell'immediato e 1 nei giorni successivi, e ne ferì 88; nello stesso pomeriggio altri ordigni esplosero a Roma, all'Altare della Patria e presso la Banca Nazionale del Lavoro, e un ulteriore ordigno inesploso fu rinvenuto alla Banca Commerciale di Milano e fatto brillare per decisione degli inquirenti, con la conseguente distruzione di un reperto capitale: un atto che il registro annota sin d'ora quale primo anello della catena di inquinamento dell'accertamento che accompagnerà l'intera vicenda.</w:t>
      </w:r>
    </w:p>
    <w:p>
      <w:pPr>
        <w:spacing w:after="120" w:line="276"/>
        <w:jc w:val="both"/>
      </w:pPr>
      <w:r>
        <w:rPr>
          <w:rFonts w:ascii="Barlow Semi Condensed" w:cs="Barlow Semi Condensed" w:eastAsia="Barlow Semi Condensed" w:hAnsi="Barlow Semi Condensed"/>
          <w:sz w:val="24"/>
          <w:szCs w:val="24"/>
        </w:rPr>
        <w:t xml:space="preserve">Il primo pilastro probatorio è la vicenda della pista anarchica e delle sue vittime collaterali, che il registro certifica al Livello A quale primo depistaggio della stagione. Nelle ore e nei giorni successivi alla strage le indagini si concentrarono sugli ambienti anarchici milanesi e romani: il ballerino anarchico Pietro Valpreda fu arrestato e additato all'opinione pubblica quale mostro, e il ferroviere anarchico Giuseppe Pinelli, fermato e trattenuto nella questura di Milano oltre i termini, morì nella notte tra il 15 e il 16 dicembre 1969 precipitando da una finestra del quarto piano durante l'interrogatorio. Il registro certifica al Livello A i fatti oggettivi del fermo, del trattenimento e della morte di Pinelli, e recepisce l'esito dell'istruttoria giudiziaria condotta dal giudice Gerardo D'Ambrosio, chiusa nel 1975 con l'esclusione tanto dell'omicidio quanto del suicidio e con la qualificazione della caduta quale conseguenza di un malore attivo: una formula controversa, che il registro riporta quale esito giudiziario senza farla propria né contestarla, annotando che la morte di Pinelli resta, sul piano storico, l'emblema del costo umano del primo depistaggio. Quanto a Valpreda, la sua vicenda processuale durò 3 lustri e si chiuse con l'assoluzione dall'accusa di strage per insufficienza di prove, divenuta irrevocabile nel 1987: il registro la riporta per esteso, e certifica al Livello A, sul fondamento dell'intero ciclo processuale successivo, che la pista anarchica fu una pista falsa, costruita e alimentata mentre gli elementi sulla pista alternativa venivano occultati. La condanna definitiva di Gianadelio Maletti e degli uomini del Reparto D per il favoreggiamento e il depistaggio, certificata nella Fase 2, è il complemento istituzionale di questo pilastro: il registro salda qui i 2 accertamenti, la falsità della pista anarchica e la responsabilità di uomini degli apparati nel suo puntellamento.</w:t>
      </w:r>
    </w:p>
    <w:p>
      <w:pPr>
        <w:spacing w:after="120" w:line="276"/>
        <w:jc w:val="both"/>
      </w:pPr>
      <w:r>
        <w:rPr>
          <w:rFonts w:ascii="Barlow Semi Condensed" w:cs="Barlow Semi Condensed" w:eastAsia="Barlow Semi Condensed" w:hAnsi="Barlow Semi Condensed"/>
          <w:sz w:val="24"/>
          <w:szCs w:val="24"/>
        </w:rPr>
        <w:t xml:space="preserve">Il secondo pilastro è il lunghissimo ciclo processuale sulla pista nera, che il registro ricostruisce nei suoi 2 tronconi. Il primo troncone, istruito a Milano e celebrato per competenza a Catanzaro, vide imputati Franco Freda e Giovanni Ventura, esponenti della cellula ordinovista veneta, e Guido Giannettini, la fonte del servizio di cui la Fase 2 ha detto: condannati all'ergastolo in primo grado nel 1979, furono assolti in appello, e dopo l'annullamento con rinvio la Corte d'assise d'appello di Bari li assolse dall'accusa di strage per insufficienza di prove nel 1985, con sentenza divenuta irrevocabile nel 1987. Il registro riporta per esteso l'assoluzione irrevocabile di Freda, Ventura e Giannettini dall'accusa di strage. Il secondo troncone, nato dall'istruttoria milanese del giudice Guido Salvini negli anni Novanta, vide imputati altri esponenti dell'ordinovismo veneto, tra cui Delfo Zorzi e Carlo Maria Maggi: condannati in primo grado nel 2001, furono assolti in appello nel 2004, e la Corte di cassazione, il 3 maggio 2005, rese definitive le assoluzioni. Il registro riporta per esteso anche queste assoluzioni definitive.</w:t>
      </w:r>
    </w:p>
    <w:p>
      <w:pPr>
        <w:spacing w:after="120" w:line="276"/>
        <w:jc w:val="both"/>
      </w:pPr>
      <w:r>
        <w:rPr>
          <w:rFonts w:ascii="Barlow Semi Condensed" w:cs="Barlow Semi Condensed" w:eastAsia="Barlow Semi Condensed" w:hAnsi="Barlow Semi Condensed"/>
          <w:sz w:val="24"/>
          <w:szCs w:val="24"/>
        </w:rPr>
        <w:t xml:space="preserve">Il terzo pilastro è il paradosso del giudicato, che fa del nodo un caso metodologico unico e impone la distinzione più sottile dell'intera opera. Le sentenze conclusive del secondo troncone, pur assolvendo gli imputati, affermarono in motivazione, sul fondamento del materiale probatorio accumulato in 3 decenni, che la strage di piazza Fontana fu opera della cellula eversiva ordinovista veneta guidata da Franco Freda e Giovanni Ventura; e diedero atto che i 2, essendo stati irrevocabilmente assolti nel 1987 per il medesimo fatto, non potevano più essere perseguiti in forza del divieto di un secondo giudizio. Si produsse così la figura che il registro denomina paradosso del giudicato: una verità storica affermata in una sentenza definitiva, riguardante soggetti che il dispositivo di un'altra sentenza definitiva ha assolto e che nessun giudice potrà mai più condannare. Il registro procede con il massimo rigore classificatorio: certifica al Livello A l'attribuzione storica della strage alla cellula ordinovista veneta di Freda e Ventura, quale accertamento contenuto nella motivazione di una sentenza definitiva e fondato sulla convergenza dell'intero compendio probatorio; e certifica simultaneamente al Livello A, riportandolo per esteso, il dato che Franco Freda e Giovanni Ventura restano, nel dispositivo irrevocabile del 1987, assolti dall'accusa di strage per insufficienza di prove, e che tali essi sono e resteranno per l'ordinamento. Le 2 certificazioni coesistono senza contraddizione, perché attengono a piani diversi, la ricostruzione storica e la responsabilità penale; e la loro coesistenza è essa stessa il reperto: la strage inaugurale della stagione ha una matrice storicamente accertata in sede giudiziaria definitiva e, al contempo, nessun condannato per la sua esecuzione.</w:t>
      </w:r>
    </w:p>
    <w:p>
      <w:pPr>
        <w:spacing w:after="120" w:line="276"/>
        <w:jc w:val="both"/>
      </w:pPr>
      <w:r>
        <w:rPr>
          <w:rFonts w:ascii="Barlow Semi Condensed" w:cs="Barlow Semi Condensed" w:eastAsia="Barlow Semi Condensed" w:hAnsi="Barlow Semi Condensed"/>
          <w:sz w:val="24"/>
          <w:szCs w:val="24"/>
        </w:rPr>
        <w:t xml:space="preserve">Il quarto pilastro è l'infiltrazione documentata dell'ambiente anarchico, che completa la genesi del primo depistaggio e certifica un arco di infiltrazione di manuale. Gli accertamenti processuali documentarono che il circolo anarchico romano frequentato da Valpreda era stato penetrato da Mario Merlino, militante proveniente dall'area di Avanguardia Nazionale, che vi si muoveva sotto veste di anarchico: la sua doppia collocazione, accertata nei giudizi, fece di lui uno degli imputati del primo troncone, e la sua posizione rispetto all'accusa di strage si chiuse, come per Valpreda, con l'assoluzione divenuta irrevocabile, che il registro riporta per esteso. Il registro certifica al Livello A, quale fatto accertato nei processi, la qualità di Merlino di militante dell'area avanguardista infiltrato nell'ambiente anarchico romano alla vigilia della strage, e ne dichiara il rilievo tassonomico: è l'arco di infiltrazione nella sua forma pura, quale la Nota metodologica lo definisce, un attore del campo eversivo nero che assume posizione formale nel campo opposto conservando la lealtà d'origine; e la circostanza che la pista depistante si sia indirizzata precisamente verso l'ambiente infiltrato costituisce il nesso strutturale, certificato quanto ai fatti e mantenuto al Livello C quanto alla preordinazione, tra l'infiltrazione e il depistaggio. Il registro annota che la figura dell'infiltrato che orienta la colpa verso l'ambiente ospite ritornerà, in altre vesti, lungo l'intera opera.</w:t>
      </w:r>
    </w:p>
    <w:p>
      <w:pPr>
        <w:spacing w:after="120" w:line="276"/>
        <w:jc w:val="both"/>
      </w:pPr>
      <w:r>
        <w:rPr>
          <w:rFonts w:ascii="Barlow Semi Condensed" w:cs="Barlow Semi Condensed" w:eastAsia="Barlow Semi Condensed" w:hAnsi="Barlow Semi Condensed"/>
          <w:sz w:val="24"/>
          <w:szCs w:val="24"/>
        </w:rPr>
        <w:t xml:space="preserve">Il quinto pilastro è la scia di sangue che dall'evento si irradiò negli anni successivi, e che il registro censisce quale campo di conseguenze certificate. La morte di Pinelli generò una campagna pubblica di accusa contro il commissario Luigi Calabresi, titolare dell'ufficio nel quale il ferroviere era trattenuto; il 17 maggio 1972 Calabresi fu assassinato sotto la sua abitazione milanese, e per quell'omicidio furono condannati in via definitiva, all'esito di un ciclo processuale fondato sulle dichiarazioni del reo confesso Leonardo Marino e protrattosi sino al 2000, Adriano Sofri, Giorgio Pietrostefani e Ovidio Bompressi quali mandanti ed esecutore, esponenti dell'organizzazione Lotta Continua, con le pene definitive a 22 anni. Il registro certifica al Livello A, sul fondamento del giudicato, l'omicidio Calabresi e le sue condanne definitive, dà atto che i condannati hanno sempre protestato la propria innocenza e che la vicenda è rimasta oggetto di controversia civile, e ne trae l'annotazione strutturale: l'evento inaugurale produsse vittime a catena su ogni versante, i 17 morti della banca, il ferroviere anarchico, il commissario di polizia, e la catena certifica che la strategia della tensione operò anche attraverso gli effetti di secondo ordine, avvelenando il conflitto civile ben oltre il perimetro dell'evento; è il Pattern 8, lo sfruttamento della crisi, osservato nella sua dimensione temporale lunga.</w:t>
      </w:r>
    </w:p>
    <w:p>
      <w:pPr>
        <w:spacing w:after="120" w:line="276"/>
        <w:jc w:val="both"/>
      </w:pPr>
      <w:r>
        <w:rPr>
          <w:rFonts w:ascii="Barlow Semi Condensed" w:cs="Barlow Semi Condensed" w:eastAsia="Barlow Semi Condensed" w:hAnsi="Barlow Semi Condensed"/>
          <w:sz w:val="24"/>
          <w:szCs w:val="24"/>
        </w:rPr>
        <w:t xml:space="preserve">Il registro annota infine, quale reperto processuale trasversale al pilastro, la vicenda della sede: il processo per la strage fu sottratto nel 1972 alla sede naturale di Milano e trasferito a Catanzaro per ragioni di ordine pubblico, e vi si celebrò, a 1.000 chilometri dal luogo del fatto, dai testimoni e dal contesto; il registro certifica al Livello A il trasferimento quale fatto, e recepisce la valutazione, costante nelle ricostruzioni parlamentari e storiografiche, che l'allontanamento della sede concorse ad attenuare la pressione conoscitiva dell'ambiente milanese sull'accertamento, quale dato di Livello B sulla condizione complessiva in cui il primo ciclo processuale si svolse; nessuna inferenza sulla intenzionalità del pregiudizio è formulata, e la circostanza si aggiunge, quale fattore di contesto, alla serie delle menomazioni che il capitolo ha censito.</w:t>
      </w:r>
    </w:p>
    <w:p>
      <w:pPr>
        <w:spacing w:after="120" w:line="276"/>
        <w:jc w:val="both"/>
      </w:pPr>
      <w:r>
        <w:rPr>
          <w:rFonts w:ascii="Barlow Semi Condensed" w:cs="Barlow Semi Condensed" w:eastAsia="Barlow Semi Condensed" w:hAnsi="Barlow Semi Condensed"/>
          <w:sz w:val="24"/>
          <w:szCs w:val="24"/>
        </w:rPr>
        <w:t xml:space="preserve">Le triangolazioni del nodo sono 3. La prima, piazza Fontana-pista anarchica-Pinelli e Valpreda, è il triangolo del primo depistaggio, certificato al Livello A quanto alla falsità della pista e ai suoi costi umani, con gli esiti giudiziari riportati per esteso. La seconda, piazza Fontana-cellula ordinovista veneta-Freda e Ventura, è il triangolo della matrice, certificato al Livello A quale verità storica di motivazione, con il dispositivo assolutorio irrevocabile parimenti certificato e riportato. La terza, piazza Fontana-Reparto D-Giannettini, è il triangolo dell'ostruzione istituzionale, certificato al Livello A dalla condanna definitiva di Maletti e saldato alla Fase 2. Sul piano dei pattern, il nodo attiva il Pattern 3, l'analisi temporale, quale apertura della finestra critica 1969-1974 entro cui si addensa la prima sequenza stragista; e il Pattern 6, le ipotesi concorrenti, nella sua applicazione storica: la competizione tra la pista anarchica e la pista nera fu risolta dal quarantennale lavorio processuale a favore della seconda, e la prima è oggi certificata quale costruzione depistante.</w:t>
      </w:r>
    </w:p>
    <w:p>
      <w:pPr>
        <w:spacing w:after="120" w:line="276"/>
        <w:jc w:val="both"/>
      </w:pPr>
      <w:r>
        <w:rPr>
          <w:rFonts w:ascii="Barlow Semi Condensed" w:cs="Barlow Semi Condensed" w:eastAsia="Barlow Semi Condensed" w:hAnsi="Barlow Semi Condensed"/>
          <w:sz w:val="24"/>
          <w:szCs w:val="24"/>
        </w:rPr>
        <w:t xml:space="preserve">Prima di ogni ulteriore analisi, il registro adempie al suo obbligo più antico, quello verso i nomi. Le 17 vittime della strage furono Giovanni Arnoldi, Giulio China, Eugenio Corsini, Pietro Dendena, Carlo Gaiani, Calogero Galatioto, Carlo Garavaglia, Paolo Gerli, Luigi Meloni, Vittorio Mocchi, Gerolamo Papetti, Mario Pasi, Carlo Perego, Oreste Sangalli, Angelo Scaglia, Carlo Silva ed Attilio Valè: in massima parte agricoltori, mediatori e piccoli operatori della provincia lombarda convenuti nel salone della banca per il giorno di contrattazione, uomini del lavoro minuto che la geografia sociale dell'obiettivo trasformò in bersaglio, Livello A quanto all'elenco, consegnato dagli atti e dalla memoria pubblica. Il registro annota la composizione sociologica dell'elenco quale reperto esso stesso: chi colpì la Banca Nazionale dell'Agricoltura un venerdì pomeriggio non colpì un simbolo del potere ma la sua clientela più modesta, e questa sproporzione tra il bersaglio dichiarato dalla propaganda della tensione, lo Stato, ed il bersaglio raggiunto, il ceto medio rurale, appartiene alla grammatica del terrore indiscriminato che l'intera fase documenta.</w:t>
      </w:r>
    </w:p>
    <w:p>
      <w:pPr>
        <w:spacing w:after="120" w:line="276"/>
        <w:jc w:val="both"/>
      </w:pPr>
      <w:r>
        <w:rPr>
          <w:rFonts w:ascii="Barlow Semi Condensed" w:cs="Barlow Semi Condensed" w:eastAsia="Barlow Semi Condensed" w:hAnsi="Barlow Semi Condensed"/>
          <w:sz w:val="24"/>
          <w:szCs w:val="24"/>
        </w:rPr>
        <w:t xml:space="preserve">Alla contabilità dell'evento appartiene anche la sua dimensione romana, spesso obliterata dalla memoria concentrata su Milano: nel medesimo pomeriggio del 12 dicembre 1969 esplosero nella capitale 3 ordigni, alla Banca Nazionale del Lavoro di via San Basilio ed all'Altare della Patria, con un bilancio di 16 feriti, a certificare che l'attacco fu, sin dal primo giorno, una campagna coordinata su 2 città e non un episodio isolato, Livello A. La simultaneità, accertata dai giudicati sulla campagna attentatoria, è il primo dato che ogni ipotesi sulla matrice dovette da allora incorporare: chi agì disponeva di una logistica a scala nazionale, e questa soglia organizzativa, da sola, escludeva in radice la figura dell'attentatore isolato che il primo depistaggio pretese di accreditare.</w:t>
      </w:r>
    </w:p>
    <w:p>
      <w:pPr>
        <w:spacing w:after="120" w:line="276"/>
        <w:jc w:val="both"/>
      </w:pPr>
      <w:r>
        <w:rPr>
          <w:rFonts w:ascii="Barlow Semi Condensed" w:cs="Barlow Semi Condensed" w:eastAsia="Barlow Semi Condensed" w:hAnsi="Barlow Semi Condensed"/>
          <w:sz w:val="24"/>
          <w:szCs w:val="24"/>
        </w:rPr>
        <w:t xml:space="preserve">Alla vicenda di Valpreda, il cui esito assolutorio irrevocabile il capitolo ha già riportato per esteso, il registro aggiunge 2 reperti di sistema che la biografia individuale consegna all'analisi istituzionale. Il primo è probatorio: l'intera costruzione accusatoria poggiò in origine sul riconoscimento operato da un tassista che avrebbe condotto l'attentatore in prossimità della banca, teste la cui morte, già nel 1971, sottrasse per sempre al contraddittorio la fonte unica dell'impianto, Livello A quanto alla centralità del riconoscimento ed alla morte del teste. Il secondo è normativo, ed è senza eguali nell'opera: la custodia preventiva dell'accusato si protrasse sino a quando il Parlamento, con la legge del dicembre 1972 concepita in dichiarata funzione del caso, introdusse la possibilità di concedere la libertà provvisoria anche per i reati che sino ad allora la escludevano, consentendone la scarcerazione, Livello A. Un uomo la cui posizione processuale richiese una legge dello Stato per tradursi in libertà è la misura esatta della torsione che il primo depistaggio impresse all'ordinamento: e l'asimmetria tra il tempo dell'accusa, edificata in 72 ore su un riconoscimento ed un teorema, ed il tempo della liberazione, che pretese un atto del legislatore e 3 lustri di giudizi, è la costante che il registro ritroverà, con i segni invertiti, nella durata degli accertamenti sulla matrice reale.</w:t>
      </w:r>
    </w:p>
    <w:p>
      <w:pPr>
        <w:spacing w:after="120" w:line="276"/>
        <w:jc w:val="both"/>
      </w:pPr>
      <w:r>
        <w:rPr>
          <w:rFonts w:ascii="Barlow Semi Condensed" w:cs="Barlow Semi Condensed" w:eastAsia="Barlow Semi Condensed" w:hAnsi="Barlow Semi Condensed"/>
          <w:sz w:val="24"/>
          <w:szCs w:val="24"/>
        </w:rPr>
        <w:t xml:space="preserve">Alla contabilità dell'evento appartiene un reperto tecnico la cui sorte costituisce, essa sola, un capitolo di metodo: la seconda bomba milanese. Nel medesimo pomeriggio del 12 dicembre 1969 un ordigno gemello fu rinvenuto inesploso nella sede della Banca Commerciale Italiana in piazza della Scala, e la sera stessa, per disposizione delle autorità, fu fatto brillare dagli artificieri anziché essere disinnescato e repertato: con esso andarono distrutti il congegno, l'innesco, il contenitore e ogni traccia utile alla comparazione, vale a dire l'unico esemplare integro della serie che la giustizia avrebbe inseguito per 36 anni, Livello A quanto al rinvenimento ed alla distruzione. Il registro censisce l'episodio quale menomazione probatoria originaria, distinta dal depistaggio in senso proprio perché priva di un giudicato che ne accerti il dolo, e tuttavia funzionalmente equivalente: qualunque ne sia stata la ragione, fretta, imperizia o calcolo, la Repubblica bruciò nelle prime 12 ore il proprio miglior testimone materiale, e l'intera storia processuale successiva, costretta a lavorare su frammenti, porta impressa quella sottrazione inaugurale. Il paradigma indiziario insegna che l'indagine comincia dalla custodia della traccia: a piazza Fontana cominciò dalla sua distruzione, e questa inversione, più di ogni teoria, spiega perché il nodo inaugurale sia divenuto il laboratorio di tutte le ostruzioni successive.</w:t>
      </w:r>
    </w:p>
    <w:p>
      <w:pPr>
        <w:spacing w:after="120" w:line="276"/>
        <w:jc w:val="both"/>
      </w:pPr>
      <w:r>
        <w:rPr>
          <w:rFonts w:ascii="Barlow Semi Condensed" w:cs="Barlow Semi Condensed" w:eastAsia="Barlow Semi Condensed" w:hAnsi="Barlow Semi Condensed"/>
          <w:sz w:val="24"/>
          <w:szCs w:val="24"/>
        </w:rPr>
        <w:t xml:space="preserve">Al paradosso del giudicato la pronuncia conclusiva del 3 maggio 2005 aggiunse una statuizione accessoria che il registro riporta perché appartiene, a pieno titolo, alla morfologia dell'esito: nel confermare le assoluzioni, la Corte pose a carico delle parti civili, i familiari delle vittime costituiti in giudizio, la rifusione delle spese processuali, secondo la regola ordinaria della soccombenza applicata ad un processo che aveva nel contempo consegnato, in motivazione, la matrice storica della strage, Livello A quanto alla statuizione. Il registro si astiene, per disciplina, da ogni commento assiologico e consegna al lettore la sola geometria del fatto: i congiunti dei 17 uccisi uscirono dall'ultimo processo con una verità storica riconosciuta, nessun colpevole punibile ed un debito verso gli assolti, ed in questa terna, verità senza responsabili e giustizia con addebito agli offesi, si misura per intero la distanza tra l'accertamento storico e la macchina processuale che la fase ha assunto quale suo tema. Chi cerchi il punto esatto in cui il codice del diritto e il codice della memoria civile divergono senza possibilità di traduzione reciproca, secondo la grammatica luhmanniana che governa questo registro, lo ha trovato: è il dispositivo del 3 maggio 2005, letto accanto alla propria motivazione.</w:t>
      </w:r>
    </w:p>
    <w:p>
      <w:pPr>
        <w:spacing w:after="120" w:line="276"/>
        <w:jc w:val="both"/>
      </w:pPr>
      <w:r>
        <w:rPr>
          <w:rFonts w:ascii="Barlow Semi Condensed" w:cs="Barlow Semi Condensed" w:eastAsia="Barlow Semi Condensed" w:hAnsi="Barlow Semi Condensed"/>
          <w:sz w:val="24"/>
          <w:szCs w:val="24"/>
        </w:rPr>
        <w:t xml:space="preserve">Alla vicenda della sede il registro aggiunge la sua contabilità cumulativa, perché l'itinerario territoriale del processo è esso stesso un reperto quantificabile: istruito a Milano, trasferito a Roma, assegnato per legittima suspicione a Catanzaro, approdato per il giudizio conclusivo del primo troncone a Bari, il procedimento percorse 4 sedi e superò il migliaio di chilometri di distanza dal luogo del fatto, con la conseguenza, misurabile, che nessun giudice del merito conclusivo operò nella città della strage né a contatto con il suo tessuto testimoniale, Livello A quanto all'itinerario. Il registro si astiene dal sindacare le singole ordinanze di rimessione, ciascuna assistita dalle proprie ragioni processuali, e censisce l'effetto aggregato quale dato di sistema: la giustizia itinerante è giustizia rallentata, e nella materia stragista, dove il tempo lavora per la dispersione delle fonti e per la morte dei testimoni, il rallentamento non è mai una variabile neutra. La distanza, insegna il primo nodo della fase, è una forma silenziosa dell'ostruzione, che non richiede dolo per produrre i suoi effetti: basta la fisica.</w:t>
      </w:r>
    </w:p>
    <w:p>
      <w:pPr>
        <w:spacing w:after="120" w:line="276"/>
        <w:jc w:val="both"/>
      </w:pPr>
      <w:r>
        <w:rPr>
          <w:rFonts w:ascii="Barlow Semi Condensed" w:cs="Barlow Semi Condensed" w:eastAsia="Barlow Semi Condensed" w:hAnsi="Barlow Semi Condensed"/>
          <w:sz w:val="24"/>
          <w:szCs w:val="24"/>
        </w:rPr>
        <w:t xml:space="preserve">La parabola personale di Pietro Valpreda merita infine la sua chiusa documentale, perché essa sigilla il primo depistaggio con una data che è essa stessa un verdetto: il ballerino anarchico, la cui assoluzione definitiva il capitolo ha riportato per esteso, morì a Milano il 6 luglio 2002, quasi 3 anni prima che la pronuncia conclusiva del 3 maggio 2005 chiudesse per sempre il ciclo processuale della strage di cui era stato, per anni, il colpevole designato dinanzi al Paese, Livello A quanto alla data ed alla sequenza. Alla detenzione sofferta nella lunga custodia non seguì mai una riparazione, giacché l'istituto dell'indennizzo per l'ingiusta detenzione, introdotto dal codice del 1988, non retroagiva alle vicende anteriori, Livello A quanto al quadro normativo, sicché il conto personale del primo depistaggio si chiuse in perfetto pareggio negativo: anni di carcere, nessun colpevole della calunnia di sistema che ve lo condusse, nessun ristoro. Il registro consegna la biografia alla sua funzione di reperto: Valpreda è il caso limite in cui la macchina dell'ostruzione produsse, oltre alle vittime della strage, una vittima processuale integrale, l'uomo che attraversò da innocente l'intero arco della vicenda, dall'arresto alla morte, senza vedere né la propria riparazione né la condanna di alcuno, e la sua parabola, misurata sulle date, è la biografia individuale esatta del paradosso del giudicato che il capitolo certifica sul piano collettivo.</w:t>
      </w:r>
    </w:p>
    <w:p>
      <w:pPr>
        <w:spacing w:after="120" w:line="276"/>
        <w:jc w:val="both"/>
      </w:pPr>
      <w:r>
        <w:rPr>
          <w:rFonts w:ascii="Barlow Semi Condensed" w:cs="Barlow Semi Condensed" w:eastAsia="Barlow Semi Condensed" w:hAnsi="Barlow Semi Condensed"/>
          <w:sz w:val="24"/>
          <w:szCs w:val="24"/>
        </w:rPr>
        <w:t xml:space="preserve">Alla fenomenologia della falsa bandiera il caso milanese offre la sua prova giudiziaria più pulita, che il registro censisce quale controprova sperimentale dell'intero paradigma: il 7 aprile 1973, sul direttissimo Torino-Roma, il militante del gruppo ordinovista milanese La Fenice Nico Azzi rimase gravemente ferito dall'innesco anticipato dell'ordigno che stava armando nella toilette del treno, e l'istruttoria che ne seguì accertò con condanne definitive il piano del commando, che prevedeva di accompagnare l'attentato con tracce precostituite riconducibili all'estrema sinistra per orientarne l'attribuzione, Livello A quanto al fatto, al piano ed ai giudicati. Il valore del reperto nell'economia del capitolo è metodologico prima che storico: la strage fallita del 7 aprile è l'unico caso della serie in cui la falsa bandiera fu sequestrata intatta, per così dire, sul corpo del suo esecutore, con l'ordigno, l'attribuzione preconfezionata ed il colpevole designato colti nello stesso istante, e ciò che a piazza Fontana il registro ha dovuto ricostruire in 36 anni di gradi di giudizio, la meccanica dell'addossamento all'area anarchica, qui è documentato in flagranza, a 16 mesi esatti dalla strage madre e per mano del medesimo ambiente ideologico. Il registro consegna perciò il treno di Azzi alla sua funzione di stele: la falsa bandiera non è, nel corpus, un'inferenza degli storici, è una tecnica confessata dalle cose almeno una volta, e quella volta basta a trasformare, per tutti gli altri casi, l'ipotesi da congettura in modello documentato di cui verificare caso per caso la ricorrenza.</w:t>
      </w:r>
    </w:p>
    <w:p>
      <w:pPr>
        <w:spacing w:after="120" w:line="276"/>
        <w:jc w:val="both"/>
      </w:pPr>
      <w:r>
        <w:rPr>
          <w:rFonts w:ascii="Barlow Semi Condensed" w:cs="Barlow Semi Condensed" w:eastAsia="Barlow Semi Condensed" w:hAnsi="Barlow Semi Condensed"/>
          <w:sz w:val="24"/>
          <w:szCs w:val="24"/>
        </w:rPr>
        <w:t xml:space="preserve">La contabilità dei caduti del caso include infine il magistrato che ne aveva raccolto l'eredità istruttoria, e la cui fine consegna al registro l'ironia più nera dell'intero corpus: Emilio Alessandrini, il giudice milanese che aveva condotto con rigore la ricostruzione della pista nera sulla strage ed esteso le proprie indagini agli snodi finanziari censiti nella prima fase dell'opera, fu assassinato a Milano il 29 gennaio 1979 da un commando del gruppo armato di estrema sinistra Prima Linea, che ne rivendicò l'uccisione, ed i responsabili furono individuati e condannati con sentenze definitive, Livello A quanto al fatto, alla matrice ed ai giudicati. Il registro fissa il paradosso documentale che la biografia consegna: il magistrato che aveva contribuito a smontare l'addossamento della strage all'estrema sinistra fu ucciso dall'estrema sinistra armata, che lo colpì non per la pista nera ma per la sua efficienza complessiva di investigatore dello Stato, sicché la sua morte, estranea per matrice al capitolo, vi appartiene per funzione: essa privò simultaneamente l'istruttoria milanese sulla strage e quella sui crocevia finanziari del loro continuatore più capace, e la circostanza che i 2 fronti dell'opera, il nero delle bombe ed il grigio dei capitali, si siano trovati sguarniti dal medesimo agguato proveniente dal terzo fronte, il rosso, è la dimostrazione più cruda della tesi sistemica dell'opera, che i domini si danneggiano e si giovano a vicenda anche senza coordinarsi, per la semplice fisica delle sottrazioni: chiunque uccida un buon giudice lavora oggettivamente per tutti gli imputati di tutti i processi che quel giudice istruiva.</w:t>
      </w:r>
    </w:p>
    <w:p>
      <w:pPr>
        <w:spacing w:after="120" w:line="276"/>
        <w:jc w:val="both"/>
      </w:pPr>
      <w:r>
        <w:rPr>
          <w:rFonts w:ascii="Barlow Semi Condensed" w:cs="Barlow Semi Condensed" w:eastAsia="Barlow Semi Condensed" w:hAnsi="Barlow Semi Condensed"/>
          <w:sz w:val="24"/>
          <w:szCs w:val="24"/>
        </w:rPr>
        <w:t xml:space="preserve">La scia della strage madre attraversa il 1973 con l'attentato che il registro censisce quale suo replicante diretto: il 17 maggio 1973, nel cortile della Questura di Milano, durante la cerimonia di commemorazione del commissario ucciso l'anno precedente, alla presenza delle massime autorità con il ministro dell'interno Rumor allontanatosi pochi minuti prima, Gianfranco Bertoli lanciò una bomba a mano sulla folla uccidendo 4 persone, i cui nomi la lapide del cortile custodisce, e ferendone decine, Livello A quanto al fatto, alle vittime ed al bersaglio mancato. Il percorso giudiziario consegnò 2 verità di profondità diversa, che il registro riporta con il loro statuto: l'esecutore, presentatosi quale anarchico individualista, fu condannato all'ergastolo con sentenza definitiva e morì detenuto nel 2000, Livello A; le istruttorie successive, che ne ricostruirono i pregressi rapporti con ambienti dell'eversione ordinovista veneta e ne smontarono documentalmente l'autorappresentazione libertaria, esplorarono per decenni l'ipotesi della strage concertata con copertura anarchica, la medesima grammatica del 12 dicembre, senza approdare a giudicati ulteriori sui concorrenti, Livello B quanto alle acquisizioni sui rapporti pregressi, Livello C quanto alla catena di concorso mai certificata. Il registro colloca l'attentato nella sua funzione di cerniera: colpendo la cerimonia per Calabresi con un attentatore in maschera anarchica, la bomba della Questura replicò a distanza di 41 mesi l'intero dispositivo semiotico di piazza Fontana, la violenza attribuita per costruzione all'area che si voleva colpire politicamente, e la sua collocazione cronologica, tra la stagione dei depistaggi della strage madre e la campagna del 1974, ne fa l'anello che salda i 2 tempi del capitolo, dimostrando che la tecnica della falsa bandiera censita in flagranza sul treno di aprile era, un mese dopo, di nuovo operativa nel cuore blindato dello Stato.</w:t>
      </w:r>
    </w:p>
    <w:p>
      <w:pPr>
        <w:spacing w:after="120" w:line="276"/>
        <w:jc w:val="both"/>
      </w:pPr>
      <w:r>
        <w:rPr>
          <w:rFonts w:ascii="Barlow Semi Condensed" w:cs="Barlow Semi Condensed" w:eastAsia="Barlow Semi Condensed" w:hAnsi="Barlow Semi Condensed"/>
          <w:sz w:val="24"/>
          <w:szCs w:val="24"/>
        </w:rPr>
        <w:t xml:space="preserve">L'accusa originaria contro l'anarchico ebbe il suo intero peso su un solo teste, ed il registro ne censisce la parabola quale architrave fragile dell'errore: il tassista Cornelio Rolandi, che dichiarò di avere trasportato nel pomeriggio del 12 dicembre un passeggero con una borsa sino ai pressi della banca, riconobbe Valpreda nelle forme che la difesa contestò per l'intero processo, con un'individuazione condotta secondo modalità suggestive e con descrizioni oscillanti che gli atti documentano, e morì nel 1971, prima di ogni dibattimento, cristallizzando per sempre la propria testimonianza nello stato istruttorio, non più verificabile in contraddittorio, Livello A quanto alla deposizione, alle sue modalità ed alla morte del teste. Il registro consegna il caso alla sua funzione paradigmatica per l'intera opera: l'imputazione che tenne un innocente 3 anni in carcere e per 16 sotto processo poggiava su un riconoscimento unico, viziato nel metodo e reso incontrovertibile dalla morte del suo autore, e la sproporzione tra la fragilità di quella base e la durata dei suoi effetti è la dimostrazione inaugurale, nel primo capitolo della fase, della legge che il corpus verificherà sino all'ultimo: nei processi della stagione, il danno non lo fecero quasi mai le prove false, lo fecero le prove deboli trattate come forti, e la giustizia impiegò decenni non a smascherare menzogne, ma a ridare alle cose il loro peso.</w:t>
      </w:r>
    </w:p>
    <w:p>
      <w:pPr>
        <w:spacing w:after="120" w:line="276"/>
        <w:jc w:val="both"/>
      </w:pPr>
      <w:r>
        <w:rPr>
          <w:rFonts w:ascii="Barlow Semi Condensed" w:cs="Barlow Semi Condensed" w:eastAsia="Barlow Semi Condensed" w:hAnsi="Barlow Semi Condensed"/>
          <w:b/>
          <w:bCs/>
          <w:sz w:val="24"/>
          <w:szCs w:val="24"/>
        </w:rPr>
        <w:t xml:space="preserve">Sintesi del dato nuovo acquisito:</w:t>
      </w:r>
      <w:r>
        <w:rPr>
          <w:rFonts w:ascii="Barlow Semi Condensed" w:cs="Barlow Semi Condensed" w:eastAsia="Barlow Semi Condensed" w:hAnsi="Barlow Semi Condensed"/>
          <w:sz w:val="24"/>
          <w:szCs w:val="24"/>
        </w:rPr>
        <w:t xml:space="preserve"> il nodo piazza Fontana è certificato al Livello A quale evento inaugurale della stagione stragista, con 17 vittime, e quale sede del paradosso del giudicato: la matrice ordinovista veneta della strage, riconducibile a Freda e Ventura, è affermata quale verità storica nella motivazione della sentenza definitiva del 3 maggio 2005, mentre il dispositivo irrevocabile del 1987 assolve i medesimi per insufficienza di prove e il divieto del secondo giudizio ne preclude per sempre la condanna; la pista anarchica è certificata al Livello A quale primo depistaggio della stagione, con la morte di Pinelli e la quindicennale odissea giudiziaria di Valpreda, assolto in via definitiva, quali suoi costi documentati; le assoluzioni definitive di Freda, Ventura, Giannettini, Zorzi e Maggi per questa strage sono tutte riportate per esteso.</w:t>
      </w:r>
    </w:p>
    <w:p>
      <w:pPr>
        <w:pStyle w:val="Heading3"/>
        <w:spacing w:after="80" w:before="160"/>
      </w:pPr>
      <w:r>
        <w:rPr>
          <w:rFonts w:ascii="Barlow Semi Condensed" w:cs="Barlow Semi Condensed" w:eastAsia="Barlow Semi Condensed" w:hAnsi="Barlow Semi Condensed"/>
          <w:sz w:val="24"/>
          <w:szCs w:val="24"/>
        </w:rPr>
        <w:t xml:space="preserve">Capitolo 2 — ◆ Ordine Nuovo. La matrice organizzativa e la vendetta contro il giudice</w:t>
      </w:r>
    </w:p>
    <w:p>
      <w:pPr>
        <w:spacing w:after="120" w:line="276"/>
        <w:jc w:val="both"/>
      </w:pPr>
      <w:r>
        <w:rPr>
          <w:rFonts w:ascii="Barlow Semi Condensed" w:cs="Barlow Semi Condensed" w:eastAsia="Barlow Semi Condensed" w:hAnsi="Barlow Semi Condensed"/>
          <w:sz w:val="24"/>
          <w:szCs w:val="24"/>
        </w:rPr>
        <w:t xml:space="preserve">Ordine Nuovo, il movimento della destra radicale fondato da Pino Rauti e divenuto, nelle sue articolazioni, la matrice organizzativa accertata del primo stragismo, è il nodo attraverso il quale il registro dà forma organizzativa a ciò che il capitolo precedente ha certificato quale matrice storica. La scansione del corpus registra il sintagma 881 volte in 42 documenti, la più alta frequenza del versante eversivo dopo il nome di Delle Chiaie, e il nome di Rauti 324 volte in 23 documenti. Il nodo salda il Dominio 7 al Dominio 2, attraverso la contiguità e le migrazioni con il Movimento sociale italiano, al Dominio 3, attraverso le fonti che gli apparati vi reclutarono, e al Dominio 10, attraverso lo scioglimento giudiziario e la vendetta consumata contro il magistrato che lo aveva ottenuto.</w:t>
      </w:r>
    </w:p>
    <w:p>
      <w:pPr>
        <w:spacing w:after="120" w:line="276"/>
        <w:jc w:val="both"/>
      </w:pPr>
      <w:r>
        <w:rPr>
          <w:rFonts w:ascii="Barlow Semi Condensed" w:cs="Barlow Semi Condensed" w:eastAsia="Barlow Semi Condensed" w:hAnsi="Barlow Semi Condensed"/>
          <w:sz w:val="24"/>
          <w:szCs w:val="24"/>
        </w:rPr>
        <w:t xml:space="preserve">La ricostruzione organizzativa muove dalla fondazione. Il Centro Studi Ordine Nuovo nacque nel 1956 da una scissione della corrente più radicale del Movimento sociale italiano, guidata da Pino Rauti, in polemica con la linea dell'inserimento parlamentare; nel 1969 Rauti rientrò nel partito, e la componente contraria al rientro, guidata da Clemente Graziani, diede vita al Movimento politico Ordine Nuovo, che proseguì l'attività su posizioni rivoluzionarie. Il registro certifica al Livello A, sul fondamento degli atti e della letteratura consolidata, questa duplice articolazione, e ne trae la prima annotazione: la storia di Ordine Nuovo è la storia di un movimento che oscillò costantemente sul confine tra il Dominio 2, la politica legale dell'area missina, e il Dominio 7, l'eversione armata, e le migrazioni dei suoi uomini attraverso quel confine disegnano il Pattern 7 nella sua variante più densa.</w:t>
      </w:r>
    </w:p>
    <w:p>
      <w:pPr>
        <w:spacing w:after="120" w:line="276"/>
        <w:jc w:val="both"/>
      </w:pPr>
      <w:r>
        <w:rPr>
          <w:rFonts w:ascii="Barlow Semi Condensed" w:cs="Barlow Semi Condensed" w:eastAsia="Barlow Semi Condensed" w:hAnsi="Barlow Semi Condensed"/>
          <w:sz w:val="24"/>
          <w:szCs w:val="24"/>
        </w:rPr>
        <w:t xml:space="preserve">Il primo pilastro probatorio è lo scioglimento giudiziario, che il registro certifica al Livello A quale unico caso, insieme a quello di Avanguardia Nazionale, di applicazione repubblicana della normativa contro la ricostituzione del partito fascista a un'organizzazione della destra radicale. Nel novembre 1973 il Tribunale di Roma condannò numerosi dirigenti del Movimento politico Ordine Nuovo per il reato di ricostituzione del disciolto partito fascista, e con decreto del 23 novembre 1973 il ministro dell'interno Paolo Emilio Taviani dispose lo scioglimento dell'organizzazione. Pubblico ministero di quel processo era stato il sostituto procuratore Vittorio Occorsio. Il registro certifica al Livello A la sentenza, il decreto e la titolarità dell'accusa, e annota che lo scioglimento non estinse la rete: parte dei militanti confluì nella clandestinità di Ordine Nero e delle sigle successive, secondo la dinamica di carsismo organizzativo che il registro codifica quale regolarità del dominio.</w:t>
      </w:r>
    </w:p>
    <w:p>
      <w:pPr>
        <w:spacing w:after="120" w:line="276"/>
        <w:jc w:val="both"/>
      </w:pPr>
      <w:r>
        <w:rPr>
          <w:rFonts w:ascii="Barlow Semi Condensed" w:cs="Barlow Semi Condensed" w:eastAsia="Barlow Semi Condensed" w:hAnsi="Barlow Semi Condensed"/>
          <w:sz w:val="24"/>
          <w:szCs w:val="24"/>
        </w:rPr>
        <w:t xml:space="preserve">Il secondo pilastro è la vendetta contro il magistrato, che il registro certifica al Livello A quale arco tra il Dominio 7 e il Dominio 10 nella sua forma estrema. Il 10 luglio 1976 Vittorio Occorsio, che dopo il processo per la ricostituzione aveva proseguito le indagini sui rapporti tra eversione nera e criminalità comune, fu assassinato a Roma con raffiche di mitra mentre si recava al lavoro; l'agguato fu rivendicato da Ordine Nuovo con un volantino che motivava l'esecuzione con la persecuzione giudiziaria del movimento. Per l'omicidio fu condannato all'ergastolo, con sentenza divenuta irrevocabile, Pierluigi Concutelli, comandante militare della struttura clandestina ordinovista, catturato nel 1977. La scansione del corpus registra Occorsio 191 volte in 22 documenti e Concutelli 163 volte in 23. Il registro certifica al Livello A, sul fondamento del giudicato, l'omicidio di Occorsio quale esecuzione deliberata di un magistrato da parte dell'organizzazione che egli aveva colpito, e ne trae la qualificazione sistemica: è il primo omicidio di magistrato della stagione a matrice interamente eversiva e a movente dichiaratamente ritorsivo, e certifica che l'organizzazione disponeva, dopo lo scioglimento, di una struttura militare clandestina capace di deliberare ed eseguire l'eliminazione di un servitore dello Stato. Il registro annota altresì, quale reperto di continuità che salda questa vicenda al capitolo su Brescia, che Concutelli, detenuto, strangolò in carcere nel 1981, insieme a Mario Tuti, l'imputato della strage di piazza della Loggia Ermanno Buzzi, alla vigilia del processo d'appello: l'eliminazione fisica di un imputato-testimone da parte di detenuti dell'area, certificata al Livello A dalle condanne per quell'omicidio, appartiene alla tipologia dell'ostruzione nella sua specie più radicale, la soppressione della fonte.</w:t>
      </w:r>
    </w:p>
    <w:p>
      <w:pPr>
        <w:spacing w:after="120" w:line="276"/>
        <w:jc w:val="both"/>
      </w:pPr>
      <w:r>
        <w:rPr>
          <w:rFonts w:ascii="Barlow Semi Condensed" w:cs="Barlow Semi Condensed" w:eastAsia="Barlow Semi Condensed" w:hAnsi="Barlow Semi Condensed"/>
          <w:sz w:val="24"/>
          <w:szCs w:val="24"/>
        </w:rPr>
        <w:t xml:space="preserve">Il terzo pilastro è la posizione di Pino Rauti, che il registro tratta con la disciplina integrale delle assoluzioni. Rauti, fondatore del movimento, fu ripetutamente raggiunto da indagini e imputazioni per gli eventi della stagione stragista: arrestato nel 1972 nell'ambito delle prime indagini su piazza Fontana, fu prosciolto; imputato nel nuovo ciclo processuale per la strage di piazza della Loggia, fu assolto in primo grado nel 2010 e in appello nel 2012, con pronuncia divenuta definitiva, ed è morto nel novembre 2012 senza aver mai riportato alcuna condanna per fatti di strage. Il registro riporta per esteso questa sequenza integralmente assolutoria e certifica al Livello A che Pino Rauti, fondatore di Ordine Nuovo e successivamente parlamentare e segretario del Movimento sociale italiano, non è mai stato condannato per alcuno degli eventi stragisti; la distinzione tra la responsabilità organizzativa e ideologica del fondatore, materia storiografica, e la responsabilità penale individuale, mai affermata, è per il registro invalicabile.</w:t>
      </w:r>
    </w:p>
    <w:p>
      <w:pPr>
        <w:spacing w:after="120" w:line="276"/>
        <w:jc w:val="both"/>
      </w:pPr>
      <w:r>
        <w:rPr>
          <w:rFonts w:ascii="Barlow Semi Condensed" w:cs="Barlow Semi Condensed" w:eastAsia="Barlow Semi Condensed" w:hAnsi="Barlow Semi Condensed"/>
          <w:sz w:val="24"/>
          <w:szCs w:val="24"/>
        </w:rPr>
        <w:t xml:space="preserve">Il quarto pilastro è il carsismo organizzativo successivo allo scioglimento, che il registro certifica quale regolarità strutturale del dominio e quale chiave della finestra critica del 1974. Lo scioglimento del novembre 1973 non estinse la rete umana e operativa del movimento: parte dei militanti, sottrattisi alla dissoluzione, diede vita alla sigla clandestina Ordine Nero, sotto la quale furono rivendicati numerosi attentati della campagna del 1974, e la magistratura degli anni successivi ricostruì la continuità personale e materiale tra il movimento disciolto e le formazioni clandestine che ne raccolsero l'eredità. Il registro certifica al Livello A, sul fondamento degli atti giudiziari e parlamentari convergenti, la continuità carsica tra l'organizzazione disciolta e le sigle successive quanto agli uomini e agli ambienti, e mantiene distinta, secondo la disciplina consueta, l'attribuzione dei singoli attentati rivendicati, che segue per ciascun evento il proprio statuto probatorio. L'annotazione sistemica è duplice. In primo luogo, la sequenza scioglimento-clandestinizzazione-campagna del 1974 disegna una correlazione temporale che il Pattern 3 registra: l'anno successivo allo scioglimento fu l'anno di massima intensità stragista della prima finestra, con piazza della Loggia in maggio e l'Italicus in agosto, e la trasformazione della struttura da movimento semilegale a rete clandestina accompagnò l'innalzamento della soglia omicidiaria; la correlazione è certificata quale sequenza, non quale nesso causale, che resterebbe inferenza. In secondo luogo, il carsismo certifica che lo strumento dello scioglimento amministrativo-giudiziario, da solo, non disarticola la rete: colpisce il contenitore e non i nodi, i quali si ricompongono sotto altra insegna, secondo la dinamica che la teoria dei sistemi assegna alle strutture la cui capacità di autoriproduzione risiede nelle relazioni e non nella forma giuridica; è la medesima lezione che il registro ha tratto, nella Fase 1, dalla sopravvivenza della rete piduista allo scioglimento della loggia.</w:t>
      </w:r>
    </w:p>
    <w:p>
      <w:pPr>
        <w:spacing w:after="120" w:line="276"/>
        <w:jc w:val="both"/>
      </w:pPr>
      <w:r>
        <w:rPr>
          <w:rFonts w:ascii="Barlow Semi Condensed" w:cs="Barlow Semi Condensed" w:eastAsia="Barlow Semi Condensed" w:hAnsi="Barlow Semi Condensed"/>
          <w:sz w:val="24"/>
          <w:szCs w:val="24"/>
        </w:rPr>
        <w:t xml:space="preserve">Le triangolazioni del nodo sono 3. La prima, Ordine Nuovo-cellula veneta-piazza Fontana, è il triangolo della matrice, certificato al Livello A quale verità storica di motivazione secondo quanto esposto nel capitolo 1. La seconda, Ordine Nuovo-Occorsio-Concutelli, è il triangolo della vendetta contro la giurisdizione, certificato al Livello A dal giudicato e costituente l'arco Dominio 7-Dominio 10 nella sua massima gravità. La terza, Ordine Nuovo-Movimento sociale italiano-migrazioni, è il triangolo della contiguità politica, certificato al Livello A quanto ai fatti organizzativi delle scissioni e dei rientri, e mantenuto rigorosamente distinto da ogni estensione di responsabilità al partito quale tale, che il registro non afferma ad alcun livello. Sul piano dei pattern, il nodo attiva il Pattern 7 nelle migrazioni tra politica legale ed eversione, e il Pattern 2, l'identificazione delle comunità, giacché la cellula ordinovista veneta, con le sue ramificazioni mestrine e milanesi, costituisce la comunità funzionale la cui azione coordinata è confermata dagli eventi certificati, secondo il criterio di validazione che il metodo prescrive.</w:t>
      </w:r>
    </w:p>
    <w:p>
      <w:pPr>
        <w:spacing w:after="120" w:line="276"/>
        <w:jc w:val="both"/>
      </w:pPr>
      <w:r>
        <w:rPr>
          <w:rFonts w:ascii="Barlow Semi Condensed" w:cs="Barlow Semi Condensed" w:eastAsia="Barlow Semi Condensed" w:hAnsi="Barlow Semi Condensed"/>
          <w:sz w:val="24"/>
          <w:szCs w:val="24"/>
        </w:rPr>
        <w:t xml:space="preserve">Alla parabola del Movimento politico che il capitolo ha censito va aggiunto il destino del suo capo, perché esso completa la statistica delle latitanze della fase. Raggiunto dalle condanne del filone sullo scioglimento, Clemente Graziani riparò all'estero e condusse la propria latitanza lungo la rotta sudamericana, chiudendola in Paraguay, dove morì nel 1996 senza aver più fatto rientro in Italia, Livello A quanto alla latitanza ed alla morte. La traiettoria certifica su scala organizzativa una regolarità che il registro eleva a teorema: lo scioglimento per via giudiziaria e ministeriale non estingue l'ambiente, ne modifica lo stato di aggregazione, dalla forma solida dell'organizzazione legale alla forma gassosa della rete clandestina e diasporica, e la mappa delle latitanze dei quadri ordinovisti, distribuita tra la penisola iberica ed il cono sudamericano, coincide con precisione cartografica con la mappa dei santuari che la Fase 5 sistematizzerà. Sicché il decreto del novembre 1973, lungi dal chiudere la storia del movimento, ne inaugurò la fase internazionale, e la repressione domestica funzionò, per eterogenesi dei fini, quale motore della transnazionalizzazione dell'ambiente: dinamica che la criminologia delle organizzazioni conosce bene e che il registro annota quale variabile permanente di ogni politica di scioglimento, il costo esterno della bonifica interna.</w:t>
      </w:r>
    </w:p>
    <w:p>
      <w:pPr>
        <w:spacing w:after="120" w:line="276"/>
        <w:jc w:val="both"/>
      </w:pPr>
      <w:r>
        <w:rPr>
          <w:rFonts w:ascii="Barlow Semi Condensed" w:cs="Barlow Semi Condensed" w:eastAsia="Barlow Semi Condensed" w:hAnsi="Barlow Semi Condensed"/>
          <w:sz w:val="24"/>
          <w:szCs w:val="24"/>
        </w:rPr>
        <w:t xml:space="preserve">Lo scioglimento va restituito nella sua meccanica a doppio atto, che ne fa un unicum ordinamentale. Il 21 novembre 1973 il Tribunale di Roma, all'esito del processo promosso contro il Centro Studi e la sua rete, condannò un folto gruppo di dirigenti e militanti, una trentina di posizioni, per il delitto di ricostituzione del disciolto partito fascista previsto dalla legge Scelba, ed il 23 novembre, a 48 ore dalla sentenza, il ministro dell'interno Paolo Emilio Taviani decretò lo scioglimento dell'organizzazione e la confisca dei beni, saldando in un solo tornante la via giudiziaria e quella amministrativa, Livello A quanto ad entrambi gli atti ed alle date, con conferme nei gradi successivi del versante penale. Il registro annota la rarità della sequenza: la legislazione attuativa della XII disposizione transitoria della Costituzione, rimasta per un quarto di secolo strumento più evocato che applicato, conobbe qui la sua applicazione maggiore, e la circostanza che essa colpisse l'organizzazione dalla quale i giudicati avrebbero poi fatto discendere la matrice del primo stragismo conferisce al provvedimento, retrospettivamente, il valore di un accertamento anticipato. Alla data dello scioglimento il movimento aveva peraltro già prodotto la propria metamorfosi carsica, secondo la dinamica che il quarto pilastro ha censito: sicché il decreto Taviani colpì la forma quando la funzione era già altrove, e la fase ne trae la conferma di un teorema che la P2 aveva già dimostrato sul versante massonico, la dissoluzione giuridica quale evento che certifica il passato dell'organizzazione assai più di quanto ne determini il futuro.</w:t>
      </w:r>
    </w:p>
    <w:p>
      <w:pPr>
        <w:spacing w:after="120" w:line="276"/>
        <w:jc w:val="both"/>
      </w:pPr>
      <w:r>
        <w:rPr>
          <w:rFonts w:ascii="Barlow Semi Condensed" w:cs="Barlow Semi Condensed" w:eastAsia="Barlow Semi Condensed" w:hAnsi="Barlow Semi Condensed"/>
          <w:sz w:val="24"/>
          <w:szCs w:val="24"/>
        </w:rPr>
        <w:t xml:space="preserve">Una parola, infine, sul nome, perché la semiotica delle denominazioni non è mai neutra in questo campo ed il registro se ne è dato carico sin dalla Fase 1. Ordine Nuovo: il sintagma, che il movimento condivideva con esperienze europee coeve e che rovesciava programmaticamente l'ordine vigente in disordine da sanare, dichiara nella sua stessa grammatica la dottrina che il capitolo 3 esporrà, la destabilizzazione quale via alla stabilizzazione autoritaria, il caos strumentale in vista dell'ordine finale. Che un'organizzazione il cui nome prometteva l'ordine sia stata giudizialmente accertata quale matrice del massimo disordine sanguinoso della Repubblica non è un'ironia della storia ma l'esatta esecuzione del programma: e la fase, che diffida delle ironie quanto delle cabale, consegna il dato alla sua sede propria, la dottrina scritta, dove il rovesciamento era teorizzato con la franchezza che soltanto i documenti di dottrina, tra tutte le carte che questo registro maneggia, si possono permettere.</w:t>
      </w:r>
    </w:p>
    <w:p>
      <w:pPr>
        <w:spacing w:after="120" w:line="276"/>
        <w:jc w:val="both"/>
      </w:pPr>
      <w:r>
        <w:rPr>
          <w:rFonts w:ascii="Barlow Semi Condensed" w:cs="Barlow Semi Condensed" w:eastAsia="Barlow Semi Condensed" w:hAnsi="Barlow Semi Condensed"/>
          <w:sz w:val="24"/>
          <w:szCs w:val="24"/>
        </w:rPr>
        <w:t xml:space="preserve">Il carsismo organizzativo va corredato della sua nomenclatura, perché le sigle sono i sedimenti visibili del fiume sotterraneo: allo scioglimento del novembre 1973 seguirono, nella galassia reduce, le denominazioni della clandestinità matura, dal Movimento politico che raccolse la militanza irriducibile alle sigle di rivendicazione quali Ordine Nero, apparse sui volantini della stagione stragista del 1974, sino alle testate ed ai fogli d'area che assicurarono la continuità dottrinale, Livello A quanto all'esistenza ed all'uso documentato delle sigle, Livello B quanto alla esatta consistenza organizzativa di ciascuna, che gli accertamenti restituirono disomogenea. Il registro trae dalla nomenclatura la sua lezione tassonomica: nella fase carsica, la sigla non designa più un'organizzazione ma una funzione, la rivendicazione, la formazione, il collegamento, e l'analista che cercasse dietro ogni denominazione un organigramma commetterebbe l'errore inverso a quello di chi nega ogni continuità. La continuità certificata è quella degli uomini e della dottrina, non delle strutture: gli stessi militanti attraversano sigle successive come si attraversano stanze, e la mappa attendibile del dopo-scioglimento è perciò prosopografica, non organizzativa, secondo il metodo che il Pattern 7 prescrive e che i giudicati della fase hanno implicitamente convalidato.</w:t>
      </w:r>
    </w:p>
    <w:p>
      <w:pPr>
        <w:spacing w:after="120" w:line="276"/>
        <w:jc w:val="both"/>
      </w:pPr>
      <w:r>
        <w:rPr>
          <w:rFonts w:ascii="Barlow Semi Condensed" w:cs="Barlow Semi Condensed" w:eastAsia="Barlow Semi Condensed" w:hAnsi="Barlow Semi Condensed"/>
          <w:sz w:val="24"/>
          <w:szCs w:val="24"/>
        </w:rPr>
        <w:t xml:space="preserve">La prosopografia del nodo si completa con la figura che ne attraversò tutti i processi maggiori uscendone sempre assolto, ed il registro la censisce per completezza di casellario: Paolo Signorelli, il docente romano tra i riferimenti ideologici dell'area ordinovista e della sua diaspora, imputato nelle istruttorie sulle stragi e sull'eversione sino al processo bolognese, dal quale uscì con assoluzione divenuta irrevocabile, come dagli altri procedimenti maggiori che lo videro alla sbarra, sicché il suo casellario definitivo, alla morte nel 2010, non registrava alcuna condanna per i fatti di strage contestatigli, Livello A quanto agli esiti assolutori riportati per esteso secondo la disciplina dell'opera. Il registro colloca la figura nella tipologia che il capitolo ha costruito: Signorelli appartiene alla categoria degli imputati seriali assolti, gli uomini che l'accusa ha inseguito per decenni attraverso più stragi senza mai ottenerne la condanna, e la disciplina impone di consegnare la categoria nella sua doppia lettura non gerarchizzabile, quella garantista, per cui la serialità delle assoluzioni misura la serialità degli errori accusatori, e quella storiografica, per cui la ricorrenza del medesimo nome in tutte le istruttorie misura la centralità di un ambiente che i processi non riuscirono a penetrare, con l'annotazione di metodo che vale per l'intera prosopografia della fase: il casellario di un uomo è un fatto, la sua biografia è un altro, e l'opera, che deve fedeltà ad entrambi, li riporta separati perché il lettore non li confonda mai.</w:t>
      </w:r>
    </w:p>
    <w:p>
      <w:pPr>
        <w:spacing w:after="120" w:line="276"/>
        <w:jc w:val="both"/>
      </w:pPr>
      <w:r>
        <w:rPr>
          <w:rFonts w:ascii="Barlow Semi Condensed" w:cs="Barlow Semi Condensed" w:eastAsia="Barlow Semi Condensed" w:hAnsi="Barlow Semi Condensed"/>
          <w:b/>
          <w:bCs/>
          <w:sz w:val="24"/>
          <w:szCs w:val="24"/>
        </w:rPr>
        <w:t xml:space="preserve">Sintesi del dato nuovo acquisito:</w:t>
      </w:r>
      <w:r>
        <w:rPr>
          <w:rFonts w:ascii="Barlow Semi Condensed" w:cs="Barlow Semi Condensed" w:eastAsia="Barlow Semi Condensed" w:hAnsi="Barlow Semi Condensed"/>
          <w:sz w:val="24"/>
          <w:szCs w:val="24"/>
        </w:rPr>
        <w:t xml:space="preserve"> il nodo Ordine Nuovo è certificato al Livello A quale matrice organizzativa del primo stragismo, sciolto per via giudiziaria e ministeriale nel novembre 1973 all'esito del processo per ricostituzione del partito fascista sostenuto dall'accusa di Vittorio Occorsio; l'omicidio di Occorsio del 10 luglio 1976, rivendicato dall'organizzazione ed eseguito da Pierluigi Concutelli, condannato in via definitiva, è certificato al Livello A quale arco estremo tra il Dominio 7 e il Dominio 10; l'eliminazione in carcere dell'imputato Buzzi ad opera di Concutelli e Tuti è certificata al Livello A quale specie radicale dell'ostruzione; la posizione di Pino Rauti, mai condannato e assolto in via definitiva in ogni sede, è riportata per esteso.</w:t>
      </w:r>
    </w:p>
    <w:p>
      <w:pPr>
        <w:pStyle w:val="Heading3"/>
        <w:spacing w:after="80" w:before="160"/>
      </w:pPr>
      <w:r>
        <w:rPr>
          <w:rFonts w:ascii="Barlow Semi Condensed" w:cs="Barlow Semi Condensed" w:eastAsia="Barlow Semi Condensed" w:hAnsi="Barlow Semi Condensed"/>
          <w:sz w:val="24"/>
          <w:szCs w:val="24"/>
        </w:rPr>
        <w:t xml:space="preserve">Capitolo 3 — ▶ Franco Freda e Giovanni Ventura. La cellula veneta tra condanna e giudicato assolutorio</w:t>
      </w:r>
    </w:p>
    <w:p>
      <w:pPr>
        <w:spacing w:after="120" w:line="276"/>
        <w:jc w:val="both"/>
      </w:pPr>
      <w:r>
        <w:rPr>
          <w:rFonts w:ascii="Barlow Semi Condensed" w:cs="Barlow Semi Condensed" w:eastAsia="Barlow Semi Condensed" w:hAnsi="Barlow Semi Condensed"/>
          <w:sz w:val="24"/>
          <w:szCs w:val="24"/>
        </w:rPr>
        <w:t xml:space="preserve">Franco Freda, nato a Padova l'11 febbraio 1941, editore e ideologo della destra radicale, e Giovanni Ventura, nato in provincia di Treviso nel 1944 e morto a Buenos Aires nel 2010, editore e libraio, costituiscono il nodo binario attraverso il quale il registro dà volto individuale alla cellula ordinovista veneta che il capitolo 1 ha certificato quale matrice storica della strage inaugurale. La scansione del corpus registra Freda 448 volte in 26 documenti e Ventura 359 volte in 22. Il nodo è trattato congiuntamente perché congiunta fu l'azione dei 2 nella ricostruzione giudiziaria, e perché la loro vicenda processuale, presa nel suo insieme, costituisce il più compiuto caso di scuola dell'intera opera sul rapporto tra verità storica e verità processuale.</w:t>
      </w:r>
    </w:p>
    <w:p>
      <w:pPr>
        <w:spacing w:after="120" w:line="276"/>
        <w:jc w:val="both"/>
      </w:pPr>
      <w:r>
        <w:rPr>
          <w:rFonts w:ascii="Barlow Semi Condensed" w:cs="Barlow Semi Condensed" w:eastAsia="Barlow Semi Condensed" w:hAnsi="Barlow Semi Condensed"/>
          <w:sz w:val="24"/>
          <w:szCs w:val="24"/>
        </w:rPr>
        <w:t xml:space="preserve">La ricostruzione biografica colloca i 2 al centro della cellula eversiva attiva tra Padova, Treviso e Mestre alla fine degli anni Sessanta. Freda, ideologo della disintegrazione del sistema e teorico della saldatura tra estremismi opposti in funzione antisistema, animava dalla sua casa editrice padovana un circuito politico-culturale della destra rivoluzionaria; Ventura, editore trevigiano, ne era il sodale operativo, con contatti che le indagini avrebbero rivelato estesi agli ambienti informativi. Il registro certifica al Livello A, sul fondamento dei giudicati che si diranno, l'esistenza e l'operatività della cellula facente capo ai 2 nel biennio 1968-1969.</w:t>
      </w:r>
    </w:p>
    <w:p>
      <w:pPr>
        <w:spacing w:after="120" w:line="276"/>
        <w:jc w:val="both"/>
      </w:pPr>
      <w:r>
        <w:rPr>
          <w:rFonts w:ascii="Barlow Semi Condensed" w:cs="Barlow Semi Condensed" w:eastAsia="Barlow Semi Condensed" w:hAnsi="Barlow Semi Condensed"/>
          <w:sz w:val="24"/>
          <w:szCs w:val="24"/>
        </w:rPr>
        <w:t xml:space="preserve">Il primo pilastro probatorio è la condanna definitiva per la campagna di attentati del 1969 anteriore alla strage. Freda e Ventura furono condannati, con sentenza divenuta irrevocabile nel ciclo processuale di Catanzaro e Bari, per l'associazione sovversiva e per la serie di attentati dinamitardi che scandirono il 1969 prima del 12 dicembre, tra cui gli ordigni del 25 aprile alla Fiera e alla stazione di Milano e le bombe collocate su 8 treni nella notte tra l'8 e il 9 agosto 1969, che ferirono 12 persone; la pena definitiva fu di 15 anni di reclusione. Il registro certifica al Livello A, sul fondamento del giudicato di condanna, la responsabilità di Freda e Ventura per la campagna di attentati del 1969, e ne trae la conseguenza strutturale: la sequenza che condusse alla strage di dicembre non fu un fulmine a ciel sereno, ma il culmine di una progressione attentatoria annuale giudizialmente accertata a carico della medesima cellula cui la motivazione definitiva del 2005 avrebbe attribuito anche la strage; la progressione, dalla dimostratività ferale delle bombe sui treni all'eccidio della banca, è il dato che le sentenze consegnano alla storia.</w:t>
      </w:r>
    </w:p>
    <w:p>
      <w:pPr>
        <w:spacing w:after="120" w:line="276"/>
        <w:jc w:val="both"/>
      </w:pPr>
      <w:r>
        <w:rPr>
          <w:rFonts w:ascii="Barlow Semi Condensed" w:cs="Barlow Semi Condensed" w:eastAsia="Barlow Semi Condensed" w:hAnsi="Barlow Semi Condensed"/>
          <w:sz w:val="24"/>
          <w:szCs w:val="24"/>
        </w:rPr>
        <w:t xml:space="preserve">Il secondo pilastro è la duplice pronuncia definitiva sulla strage, che il capitolo 1 ha esposto dal lato dell'evento e che qui si espone dal lato degli uomini, nella sua interezza formale. Per la strage di piazza Fontana, Franco Freda e Giovanni Ventura furono condannati all'ergastolo in primo grado a Catanzaro nel 1979, assolti in appello nel 1981, e, dopo annullamento con rinvio, assolti per insufficienza di prove dalla Corte d'assise d'appello di Bari nel 1985, con sentenza divenuta irrevocabile nel 1987: questa è la loro condizione giuridica perpetua rispetto alla strage, che il registro riporta per esteso. La sentenza definitiva del 3 maggio 2005, conclusiva del secondo troncone processuale a carico di altri imputati, affermò in motivazione, sul fondamento del compendio probatorio complessivo, che la strage fu opera della cellula guidata da Freda e Ventura, dando atto dell'impossibilità di perseguirli nuovamente in forza del divieto del secondo giudizio. Il registro tiene ferme, senza confonderle, le 2 certificazioni di Livello A già enunciate: l'attribuzione storica in motivazione definitiva, e l'assoluzione irrevocabile nel dispositivo del 1987. Aggiunge qui la considerazione metodologica propria del nodo: la vicenda di Freda e Ventura dimostra che il sistema processuale può produrre, sul medesimo fatto e sui medesimi soggetti, esiti formalmente definitivi e sostanzialmente divergenti a distanza di decenni, e che un registro rigoroso deve rappresentare tale divergenza anziché risolverla arbitrariamente in una delle 2 direzioni; la Regola Ferrea vieta tanto di trattare i 2 quali condannati per la strage, che non sono, quanto di tacere l'attribuzione storica contenuta nel giudicato del 2005, che esiste.</w:t>
      </w:r>
    </w:p>
    <w:p>
      <w:pPr>
        <w:spacing w:after="120" w:line="276"/>
        <w:jc w:val="both"/>
      </w:pPr>
      <w:r>
        <w:rPr>
          <w:rFonts w:ascii="Barlow Semi Condensed" w:cs="Barlow Semi Condensed" w:eastAsia="Barlow Semi Condensed" w:hAnsi="Barlow Semi Condensed"/>
          <w:sz w:val="24"/>
          <w:szCs w:val="24"/>
        </w:rPr>
        <w:t xml:space="preserve">Il terzo pilastro è il reticolo di contatti della cellula con gli ambienti informativi, che salda il nodo alla Fase 2. Le indagini accertarono che Giovanni Ventura intrattenne rapporti con Guido Giannettini, la fonte del servizio militare di cui si è detto, e che attraverso tale canale la cellula veneta si trovò in contatto con l'orbita del Reparto D; la condanna definitiva di Maletti per il favoreggiamento dell'espatrio di Giannettini e per il depistaggio certifica, come esposto nella Fase 2, che il servizio intervenne a copertura di quell'ambiente. Il registro certifica al Livello A l'esistenza del canale Ventura-Giannettini quale fatto accertato nei giudicati, e mantiene al Livello C, secondo la disciplina costante, ogni inferenza che dal contatto e dalla copertura risalga a una direzione degli eventi da parte degli apparati: il contatto è provato, la copertura è provata, la regia non lo è.</w:t>
      </w:r>
    </w:p>
    <w:p>
      <w:pPr>
        <w:spacing w:after="120" w:line="276"/>
        <w:jc w:val="both"/>
      </w:pPr>
      <w:r>
        <w:rPr>
          <w:rFonts w:ascii="Barlow Semi Condensed" w:cs="Barlow Semi Condensed" w:eastAsia="Barlow Semi Condensed" w:hAnsi="Barlow Semi Condensed"/>
          <w:sz w:val="24"/>
          <w:szCs w:val="24"/>
        </w:rPr>
        <w:t xml:space="preserve">Il quarto pilastro è la dottrina della disintegrazione del sistema, che il registro censisce quale reperto ideologico necessario alla comprensione della cellula e della sua strategia di ambiguità. Freda teorizzò, nella sua produzione pubblicistica, la disintegrazione dell'ordine democratico quale obiettivo primario, da perseguire anche attraverso la saldatura tattica tra gli estremismi opposti e l'uso strumentale della manovalanza e delle insegne altrui; la dottrina non è un dato biografico accessorio, ma la chiave dichiarata della tecnica che gli accertamenti avrebbero documentato, dall'infiltrazione dell'ambiente anarchico all'attribuzione degli attentati a mani altrui. Il registro certifica al Livello A l'esistenza e il contenuto della dottrina, quale dato documentale della pubblicistica fredaiana, e ne trae l'annotazione metodologica che la Nota dell'opera prescrive: la strategia dell'ambiguità deliberata, teorizzata dall'ambiente cui la strage è storicamente attribuita, è essa stessa la ragione per cui l'accertamento della stagione fu così arduo, giacché un metodo eversivo fondato sulla falsa attribuzione produce, per costruzione, un campo probatorio inquinato alla fonte; e la consapevolezza di questo inquinamento originario è parte del corredo critico con cui il registro legge ogni fonte della stagione, secondo la logica dell'Indice di Contaminazione che vieta di assumere le apparenze immediate degli eventi quale loro verità. Il registro annota altresì, per completezza biografica, che Freda, scontate le pene definitive, è tornato in libertà proseguendo l'attività editoriale, e che la sua condizione giuridica rispetto alla strage resta quella descritta, mentre Ventura, trasferitosi in Argentina, vi è morto nel 2010.</w:t>
      </w:r>
    </w:p>
    <w:p>
      <w:pPr>
        <w:spacing w:after="120" w:line="276"/>
        <w:jc w:val="both"/>
      </w:pPr>
      <w:r>
        <w:rPr>
          <w:rFonts w:ascii="Barlow Semi Condensed" w:cs="Barlow Semi Condensed" w:eastAsia="Barlow Semi Condensed" w:hAnsi="Barlow Semi Condensed"/>
          <w:sz w:val="24"/>
          <w:szCs w:val="24"/>
        </w:rPr>
        <w:t xml:space="preserve">Le triangolazioni del nodo sono 3. La prima, Freda-Ventura-attentati del 1969, è il triangolo della progressione attentatoria, certificato al Livello A dal giudicato di condanna. La seconda, Freda-Ventura-strage di piazza Fontana, è il triangolo del paradosso del giudicato, con la duplice certificazione di Livello A esposta. La terza, Ventura-Giannettini-Reparto D, è il triangolo del contatto con gli apparati, certificato al Livello A quanto al canale e alla copertura e mantenuto al Livello C quanto alla regia. Sul piano dei pattern, il nodo attiva il Pattern 6 nella sua funzione storica, quale caso in cui la competizione tra ipotesi si è protratta per 36 anni di processi producendo il più complesso esito bifronte dell'ordinamento; e il Pattern 3, giacché la progressione attentatoria del 1969 disegna, entro un solo anno, l'escalation dalla dimostratività alla strage che l'analisi temporale identifica quale firma della finestra critica inaugurale.</w:t>
      </w:r>
    </w:p>
    <w:p>
      <w:pPr>
        <w:spacing w:after="120" w:line="276"/>
        <w:jc w:val="both"/>
      </w:pPr>
      <w:r>
        <w:rPr>
          <w:rFonts w:ascii="Barlow Semi Condensed" w:cs="Barlow Semi Condensed" w:eastAsia="Barlow Semi Condensed" w:hAnsi="Barlow Semi Condensed"/>
          <w:sz w:val="24"/>
          <w:szCs w:val="24"/>
        </w:rPr>
        <w:t xml:space="preserve">La parabola dei 2 uomini si completa con il capitolo delle fughe, che appartiene alla geografia internazionale della protezione censita in questa fase. Nell'autunno 1978, nelle more del giudizio catanzarese, Freda si sottrasse al soggiorno obbligato cui era sottoposto e riparò in Costa Rica, dove fu rintracciato ed arrestato nell'agosto 1979 e donde fu ricondotto in Italia per la prosecuzione del giudizio; Ventura, evaso a sua volta, raggiunse l'Argentina, dove la richiesta estradizionale italiana non conseguì mai la consegna, Livello A quanto alle scansioni delle fughe e degli esiti. Il registro annota la biforcazione quale esperimento naturale sulla resa dei circuiti estradizionali: 2 coimputati del medesimo processo, 2 rotte latinoamericane, 2 esiti opposti, e la variabile discriminante, la diversa disponibilità cooperativa degli Stati di rifugio, appartiene alla mappa che la Fase 5 sistematizzerà sotto il titolo delle capitali-rifugio.</w:t>
      </w:r>
    </w:p>
    <w:p>
      <w:pPr>
        <w:spacing w:after="120" w:line="276"/>
        <w:jc w:val="both"/>
      </w:pPr>
      <w:r>
        <w:rPr>
          <w:rFonts w:ascii="Barlow Semi Condensed" w:cs="Barlow Semi Condensed" w:eastAsia="Barlow Semi Condensed" w:hAnsi="Barlow Semi Condensed"/>
          <w:sz w:val="24"/>
          <w:szCs w:val="24"/>
        </w:rPr>
        <w:t xml:space="preserve">Alla cellula veneta appartiene infine un esito assolutorio che la disciplina del registro impone di riportare: Massimiliano Fachini, esponente dell'ordinovismo padovano gravitante nell'orbita della cellula, imputato quale concorrente nella strage di Bologna, fu assolto in via definitiva da quell'accusa nel ciclo processuale concluso nei primi anni 90, Livello A, e la sua posizione, accusata e liberata, completa la statistica giudiziaria di un ambiente, quello veneto, che i giudicati hanno raggiunto per la campagna del 1969 e per la matrice storica di piazza Fontana, e non oltre: il perimetro esatto, né più largo né più stretto, entro il quale il registro consente a sé stesso di parlare di cellula.</w:t>
      </w:r>
    </w:p>
    <w:p>
      <w:pPr>
        <w:spacing w:after="120" w:line="276"/>
        <w:jc w:val="both"/>
      </w:pPr>
      <w:r>
        <w:rPr>
          <w:rFonts w:ascii="Barlow Semi Condensed" w:cs="Barlow Semi Condensed" w:eastAsia="Barlow Semi Condensed" w:hAnsi="Barlow Semi Condensed"/>
          <w:sz w:val="24"/>
          <w:szCs w:val="24"/>
        </w:rPr>
        <w:t xml:space="preserve">Alla campagna del 1969 anteriore alla strage va restituita la sua progressione documentata, perché in essa i giudici lessero la firma seriale della cellula: gli ordigni del 25 aprile alla Fiera campionaria ed alla stazione centrale di Milano, con decine di feriti, e quindi, nella notte tra l'8 ed il 9 agosto, la campagna dei treni, 10 ordigni collocati su convogli in viaggio lungo la dorsale, dei quali 8 esplosero provocando 12 feriti, in un crescendo che le sentenze qualificarono quale sperimentazione progressiva della tecnica e del terrore, Livello A quanto ai fatti ed alla loro attribuzione giudicata. La condanna definitiva a 15 anni per l'associazione sovversiva e per questa campagna, che il capitolo ha già certificato, si arresta esattamente sulla soglia del 12 dicembre: ed è su quella soglia che si colloca il secondo pilastro, la cui formula terminale merita ora l'analisi che la storia del diritto le deve. L'assoluzione pronunciata a Bari il 1° agosto 1985 fu resa nella formula dell'insufficienza di prove, l'istituto del codice previgente che consentiva al giudice di assolvere dubitando: una formula che non proclamava l'innocenza ma certificava l'impotenza dell'accertamento, e che il codice del 1988 avrebbe abolito proprio per la sua ambiguità costitutiva, Livello A quanto alla formula ed alla sua successiva abrogazione. Il registro annota la conseguenza permanente: i 2 uomini della cellula veneta uscirono dal processo per la strage né condannati né dichiarati innocenti, sospesi in una terra di mezzo che il diritto successivo ha soppresso senza poterla retroattivamente bonificare, e la verità storica di motivazione consacrata nel 2005 convive da allora con quel giudicato dubitativo in un equilibrio che non ha eguali nell'ordinamento: assolti per sempre con la formula del dubbio, indicati per sempre nella motivazione della certezza.</w:t>
      </w:r>
    </w:p>
    <w:p>
      <w:pPr>
        <w:spacing w:after="120" w:line="276"/>
        <w:jc w:val="both"/>
      </w:pPr>
      <w:r>
        <w:rPr>
          <w:rFonts w:ascii="Barlow Semi Condensed" w:cs="Barlow Semi Condensed" w:eastAsia="Barlow Semi Condensed" w:hAnsi="Barlow Semi Condensed"/>
          <w:sz w:val="24"/>
          <w:szCs w:val="24"/>
        </w:rPr>
        <w:t xml:space="preserve">Resta la figura professionale che accomunò i 2 uomini e che il registro censisce quale reperto di copertura: l'editoria. Freda con le sue Edizioni di Ar, officina della ristampa della testualità della destra radicale europea, Ventura con le proprie sigle e librerie trevigiane: la cellula operativa si presentò al mondo quale impresa culturale, e la copertura non fu casuale ma funzionale, giacché il commercio librario forniva insieme legittimazione intellettuale, rete di contatti interregionale e giustificazione documentale per viaggi, spedizioni e magazzini, Livello A quanto alle attività editoriali documentate, Livello B quanto alla loro lettura funzionale nelle ricostruzioni istruttorie. La fase vi riconosce una costante che ritroverà a Lisbona nel capitolo seguente: l'agenzia di stampa, la casa editrice, la libreria quali involucri d'elezione delle strutture clandestine del periodo, per la ragione strutturale che il Dominio 8 è l'unico il cui traffico ordinario, informazioni, carta, persone in movimento, coincide esattamente con il traffico che una rete cospirativa deve occultare. Dove altri seppelliscono, l'eversore colto pubblica: e la biblioteca, insegna il caso veneto, può essere un arsenale con il dorso rilegato.</w:t>
      </w:r>
    </w:p>
    <w:p>
      <w:pPr>
        <w:spacing w:after="120" w:line="276"/>
        <w:jc w:val="both"/>
      </w:pPr>
      <w:r>
        <w:rPr>
          <w:rFonts w:ascii="Barlow Semi Condensed" w:cs="Barlow Semi Condensed" w:eastAsia="Barlow Semi Condensed" w:hAnsi="Barlow Semi Condensed"/>
          <w:sz w:val="24"/>
          <w:szCs w:val="24"/>
        </w:rPr>
        <w:t xml:space="preserve">All'origine dell'intera pista veneta sta una fonte civile che il registro deve censire per nome, perché senza di essa la matrice non sarebbe mai emersa: Guido Lorenzon, insegnante trevigiano legato a Ventura da lunga amicizia, che nelle settimane successive al 12 dicembre 1969 riferì al proprio avvocato, e per suo tramite all'autorità giudiziaria, le confidenze ricevute dall'amico sulla campagna attentatoria dell'anno e sulla strage, consegnando all'istruttoria i primi fili concreti verso la cellula, Livello A quanto alla denuncia, alla sua data ed al suo contenuto agli atti. Il calvario che ne seguì appartiene alla fenomenologia del teste scomodo e il registro lo riporta nel suo esito: esposto per anni tra ritrattazioni parziali maturate sotto pressione e successive conferme, sottoposto egli stesso a procedimento per le proprie dichiarazioni e definitivamente prosciolto, Lorenzon attraversò l'intero ciclo processuale quale fonte contesa prima che le acquisizioni successive ne consolidassero il nucleo, Livello A quanto agli esiti personali. Il registro assegna alla figura la sua funzione paradigmatica: nell'economia del caso, il primo squarcio sulla matrice non venne da un apparato, da un pentito o da un archivio, ma da un cittadino che riferì ciò che sapeva per il tramite ordinario di un legale, e la sproporzione tra la semplicità civile di quel gesto e la mole delle ostruzioni che l'opera ha censito sul medesimo caso è, in sé, una misura: la verità disponibile nel dicembre 1969 impiegò 36 anni a diventare motivazione di sentenza, e non perché mancasse chi l'aveva detta.</w:t>
      </w:r>
    </w:p>
    <w:p>
      <w:pPr>
        <w:spacing w:after="120" w:line="276"/>
        <w:jc w:val="both"/>
      </w:pPr>
      <w:r>
        <w:rPr>
          <w:rFonts w:ascii="Barlow Semi Condensed" w:cs="Barlow Semi Condensed" w:eastAsia="Barlow Semi Condensed" w:hAnsi="Barlow Semi Condensed"/>
          <w:sz w:val="24"/>
          <w:szCs w:val="24"/>
        </w:rPr>
        <w:t xml:space="preserve">Il fascicolo delle protezioni istituzionali alla cellula contiene l'episodio che il registro censisce quale suo esemplare perfetto, rinviando alla fase seconda per gli esiti giudiziari sui responsabili: nel gennaio 1973 Marco Pozzan, l'uomo dell'ambiente padovano di Freda che costituiva uno dei testi potenzialmente decisivi dell'istruttoria sulla strage, fu esfiltrato in Spagna franchista con documenti di copertura predisposti dal servizio militare, in un'operazione condotta da ufficiali del reparto D che le sentenze definitive censite nella fase dedicata agli apparati avrebbero poi sanzionato quale favoreggiamento, Livello A quanto all'operazione, alle sue modalità ed ai giudicati sui suoi autori. Il registro fissa il valore sistemico dell'episodio nell'economia di questo capitolo: l'esfiltrazione Pozzan non è un depistaggio informativo, categoria di cui il corpus abbonda, ma un'operazione logistica materiale con cui un apparato dello Stato sottrasse fisicamente all'autorità giudiziaria un teste dell'istruttoria sulla più grave strage della Repubblica, trasportandolo sotto falso nome nel santuario iberico censito da quest'opera, e la sua certificazione con sentenza definitiva la rende il punto più alto e meno controvertibile dell'intera scala delle ostruzioni: qui non occorre inferire, pesare livelli o confrontare ipotesi, perché la Repubblica ha già scritto, in un giudicato, che un pezzo di sé nascose un pezzo della verità sul 12 dicembre, e tutto ciò che il metodo aggiunge è la collocazione del punto fermo dentro la serie, dove esso funziona da pietra di paragone: ogni altra ostruzione censita dal capitolo va misurata chiedendosi quanto le manchi per essere una Pozzan, e la risposta, quasi sempre, è soltanto la fortuna documentale di una condanna.</w:t>
      </w:r>
    </w:p>
    <w:p>
      <w:pPr>
        <w:spacing w:after="120" w:line="276"/>
        <w:jc w:val="both"/>
      </w:pPr>
      <w:r>
        <w:rPr>
          <w:rFonts w:ascii="Barlow Semi Condensed" w:cs="Barlow Semi Condensed" w:eastAsia="Barlow Semi Condensed" w:hAnsi="Barlow Semi Condensed"/>
          <w:sz w:val="24"/>
          <w:szCs w:val="24"/>
        </w:rPr>
        <w:t xml:space="preserve">Il paradosso terminale del caso esige il suo censimento esplicito, perché in esso l'intera fase trova la propria formula giuridica: le motivazioni conclusive dell'ultima stagione processuale milanese, confermate dal giudizio di legittimità del 2005, affermarono che la strage del 12 dicembre fu opera della cellula ordinovista veneta riconducibile ai 2 principali imputati storici, e simultaneamente ne dichiararono l'improcessabilità, essendo entrambi coperti dall'irrevocabilità delle assoluzioni pronunciate nel ciclo catanzarese-barese e divenute definitive nel 1987, per l'operare del divieto di secondo giudizio, Livello A quanto al contenuto delle motivazioni ed al loro fondamento nel ne bis in idem. Il registro isola il dispositivo logico che ne risulta, unico nell'intero corpus: la Repubblica possiede, sul proprio evento fondativo oscuro, una verità giudiziaria nominativa scritta in una sentenza definitiva, e possiede, nella stessa sentenza, la certificazione che quella verità non produrrà mai una condanna, sicché piazza Fontana è insieme il caso più risolto ed il più impunito della fase, risolto quanto alla storia ed impunito quanto al diritto, con i 2 esiti saldati per sempre nel medesimo atto. La lezione che il registro ne trae governa retrospettivamente l'intera architettura dell'opera: la distinzione metodologica tra verità processuale e responsabilità eseguibile, che il metodo ha applicato in ogni capitolo, non è una raffinatezza accademica ma la condizione reale del corpus, dove il massimo che la giustizia italiana ha saputo produrre sul proprio 12 dicembre è una sentenza che indica i colpevoli con una mano e con l'altra ne sigilla l'impunità, ed il registro, che deve fedeltà agli atti, consegna il paradosso senza attenuarlo, perché esso non è un difetto della ricostruzione, è il risultato.</w:t>
      </w:r>
    </w:p>
    <w:p>
      <w:pPr>
        <w:spacing w:after="120" w:line="276"/>
        <w:jc w:val="both"/>
      </w:pPr>
      <w:r>
        <w:rPr>
          <w:rFonts w:ascii="Barlow Semi Condensed" w:cs="Barlow Semi Condensed" w:eastAsia="Barlow Semi Condensed" w:hAnsi="Barlow Semi Condensed"/>
          <w:sz w:val="24"/>
          <w:szCs w:val="24"/>
        </w:rPr>
        <w:t xml:space="preserve">La geografia dei bersagli della stagione esige infine il suo censimento settoriale, che il registro formula quale pattern trasversale: la ferrovia fu il bersaglio strutturale ricorrente dell'intero arco stragista, dagli ordigni sui convogli del 12 dicembre 1969, coevi alla banca milanese, alla strage dell'Italicus nella galleria appenninica del 1974, sino al rapido 904 del dicembre 1984 nella medesima tratta, una persistenza di obiettivo che attraversa 15 anni, matrici giudiziariamente diverse e 3 distinte stagioni della violenza censite dal corpus, Livello A quanto alla serie degli attacchi ed ai rispettivi giudicati. Il registro consegna la persistenza alla sua lettura funzionale: il treno riunisce in un solo bersaglio le proprietà che una strategia del terrore ricerca, la concentrazione indifesa di vittime casuali, la simbologia dello Stato che connette il Paese, la vulnerabilità tecnica delle percorrenze obbligate, e la circostanza che matrici diverse, l'eversione nera giudicata per l'Italicus e la committenza mafiosa giudicata per il 904, abbiano eletto nel tempo il medesimo obiettivo sulla medesima dorsale dimostra la tesi che questa fase ha costruito capitolo per capitolo: le stagioni della violenza italiana, giudiziariamente distinte, condivisero una grammatica operativa comune, un repertorio di bersagli e di metodi che migrò tra campi diversi come migra una tecnologia, e la storia delle stragi italiane è anche la storia di questa grammatica che nessun processo poteva imputare, perché le grammatiche non hanno mandanti, hanno parlanti.</w:t>
      </w:r>
    </w:p>
    <w:p>
      <w:pPr>
        <w:spacing w:after="120" w:line="276"/>
        <w:jc w:val="both"/>
      </w:pPr>
      <w:r>
        <w:rPr>
          <w:rFonts w:ascii="Barlow Semi Condensed" w:cs="Barlow Semi Condensed" w:eastAsia="Barlow Semi Condensed" w:hAnsi="Barlow Semi Condensed"/>
          <w:b/>
          <w:bCs/>
          <w:sz w:val="24"/>
          <w:szCs w:val="24"/>
        </w:rPr>
        <w:t xml:space="preserve">Sintesi del dato nuovo acquisito:</w:t>
      </w:r>
      <w:r>
        <w:rPr>
          <w:rFonts w:ascii="Barlow Semi Condensed" w:cs="Barlow Semi Condensed" w:eastAsia="Barlow Semi Condensed" w:hAnsi="Barlow Semi Condensed"/>
          <w:sz w:val="24"/>
          <w:szCs w:val="24"/>
        </w:rPr>
        <w:t xml:space="preserve"> il nodo Freda-Ventura è certificato al Livello A quanto alla condanna definitiva a 15 anni per l'associazione sovversiva e per la campagna di attentati del 1969, comprese le bombe sugli 8 treni dell'agosto; quanto alla strage di piazza Fontana, la condizione giuridica dei 2 è l'assoluzione irrevocabile per insufficienza di prove del 1987, riportata per esteso, mentre l'attribuzione storica della strage alla loro cellula è affermata nella motivazione della sentenza definitiva del 2005, e le 2 certificazioni coesistono quale paradosso del giudicato; il canale Ventura-Giannettini verso il Reparto D è certificato al Livello A quanto al contatto e alla copertura, ferma l'ipoteticità della regia.</w:t>
      </w:r>
    </w:p>
    <w:p>
      <w:pPr>
        <w:pStyle w:val="Heading3"/>
        <w:spacing w:after="80" w:before="160"/>
      </w:pPr>
      <w:r>
        <w:rPr>
          <w:rFonts w:ascii="Barlow Semi Condensed" w:cs="Barlow Semi Condensed" w:eastAsia="Barlow Semi Condensed" w:hAnsi="Barlow Semi Condensed"/>
          <w:sz w:val="24"/>
          <w:szCs w:val="24"/>
        </w:rPr>
        <w:t xml:space="preserve">Capitolo 4 — ◆ Aginter Press. La centrale di Lisbona e l'internazionale della sovversione</w:t>
      </w:r>
    </w:p>
    <w:p>
      <w:pPr>
        <w:spacing w:after="120" w:line="276"/>
        <w:jc w:val="both"/>
      </w:pPr>
      <w:r>
        <w:rPr>
          <w:rFonts w:ascii="Barlow Semi Condensed" w:cs="Barlow Semi Condensed" w:eastAsia="Barlow Semi Condensed" w:hAnsi="Barlow Semi Condensed"/>
          <w:sz w:val="24"/>
          <w:szCs w:val="24"/>
        </w:rPr>
        <w:t xml:space="preserve">Aginter Press, la struttura clandestina operante a Lisbona sotto copertura di agenzia di stampa dal 1966 al 1974, diretta da Yves Guérin-Sérac, è il nodo attraverso il quale il registro apre la dimensione internazionale della fase e certifica l'esistenza di una centrale estera di formazione, propaganda e collegamento dell'eversione anticomunista con proiezioni documentate verso l'Italia. La scansione del corpus registra Aginter 875 volte in 26 documenti e Guérin 182 volte in 13: la frequenza elevatissima riflette la presenza nel corpus tanto dei documenti originali della struttura quanto di 7 monografie di approfondimento che il registro ha dedicato alle sue proiezioni geografiche, dall'Africa australe all'Asia. Il nodo salda il Dominio 7 al Dominio 3, quale struttura in rapporto con apparati di sicurezza, e al Dominio 8, quale caso paradigmatico dell'uso della copertura giornalistica come schermo dell'attività clandestina.</w:t>
      </w:r>
    </w:p>
    <w:p>
      <w:pPr>
        <w:spacing w:after="120" w:line="276"/>
        <w:jc w:val="both"/>
      </w:pPr>
      <w:r>
        <w:rPr>
          <w:rFonts w:ascii="Barlow Semi Condensed" w:cs="Barlow Semi Condensed" w:eastAsia="Barlow Semi Condensed" w:hAnsi="Barlow Semi Condensed"/>
          <w:sz w:val="24"/>
          <w:szCs w:val="24"/>
        </w:rPr>
        <w:t xml:space="preserve">La certificazione del nodo poggia su una circostanza documentale eccezionale, che lo distingue da quasi ogni altro nodo dell'opera: la caduta del regime portoghese nell'aprile 1974, con la Rivoluzione dei garofani, produsse la scoperta e il sequestro degli archivi della struttura, sicché Aginter Press è documentata non da testimonianze o da ricostruzioni, ma dalle sue stesse carte, parte delle quali è presente nel corpus. Il registro certifica al Livello A, sul fondamento della documentazione sequestrata e degli atti che la recepirono, i tratti costitutivi della struttura: la fondazione a Lisbona nel settembre 1966 ad opera di Yves Guérin-Sérac, pseudonimo di Yves Guillou, già ufficiale francese transitato per l'Organisation de l'Armée Secrète e riparato nel Portogallo salazarista; la copertura di agenzia di stampa, con corrispondenti e materiale pubblicistico; la natura reale di centro di reclutamento, addestramento e propaganda anticomunista, operante in raccordo con la polizia politica portoghese e in contatto con ambienti e apparati di più Paesi; e l'articolazione interna, documentata dalle carte, in strutture dedicate all'azione, alla formazione e alla penetrazione informativa. La conferma empirica della regolarità già codificata dal registro è qui integrale: anche questo archivio non si aprì spontaneamente, ma per effetto del collasso del regime che lo ospitava.</w:t>
      </w:r>
    </w:p>
    <w:p>
      <w:pPr>
        <w:spacing w:after="120" w:line="276"/>
        <w:jc w:val="both"/>
      </w:pPr>
      <w:r>
        <w:rPr>
          <w:rFonts w:ascii="Barlow Semi Condensed" w:cs="Barlow Semi Condensed" w:eastAsia="Barlow Semi Condensed" w:hAnsi="Barlow Semi Condensed"/>
          <w:sz w:val="24"/>
          <w:szCs w:val="24"/>
        </w:rPr>
        <w:t xml:space="preserve">Il primo pilastro probatorio è la proiezione italiana, che il registro tratta con la disciplina graduata che la materia impone. Le carte sequestrate e gli atti istruttori italiani, in particolare l'istruttoria milanese degli anni Novanta, documentarono contatti e collegamenti tra la struttura di Lisbona e gli ambienti dell'eversione nera italiana, con riferimento alla circolazione di uomini, di materiale propagandistico e di tecniche; la figura di collegamento più frequentemente indicata dagli atti è quella di esponenti dell'area di Avanguardia Nazionale e dell'ordinovismo, e la monografia del corpus dedicata al rapporto tra Stefano Delle Chiaie e Aginter Press ne ha vagliato criticamente la consistenza, concludendo per un rapporto documentato nei contatti ma controverso nella qualificazione. Il registro certifica al Livello B, sul fondamento della convergenza tra le carte sequestrate e gli atti istruttori, l'esistenza di collegamenti tra Aginter Press e ambienti dell'eversione nera italiana; e mantiene al Livello C l'attribuzione alla struttura di un ruolo operativo in specifici eventi stragisti italiani, che nessun giudicato ha accertato. La distinzione tra il collegamento documentato e l'operatività congetturata è la sostanza della disciplina, e il registro annota che Guérin-Sérac non è mai stato condannato in Italia per alcun fatto della stagione.</w:t>
      </w:r>
    </w:p>
    <w:p>
      <w:pPr>
        <w:spacing w:after="120" w:line="276"/>
        <w:jc w:val="both"/>
      </w:pPr>
      <w:r>
        <w:rPr>
          <w:rFonts w:ascii="Barlow Semi Condensed" w:cs="Barlow Semi Condensed" w:eastAsia="Barlow Semi Condensed" w:hAnsi="Barlow Semi Condensed"/>
          <w:sz w:val="24"/>
          <w:szCs w:val="24"/>
        </w:rPr>
        <w:t xml:space="preserve">Il secondo pilastro è la funzione di Aginter Press nella verifica di H1, che ne fa uno dei nodi analiticamente più preziosi della fase. La struttura di Lisbona è, per collocazione e finalità documentate, una centrale anticomunista dell'estremo campo occidentale: nacque nel Portogallo dell'Estado Novo, operò in raccordo con la sua polizia politica, arruolò reduci delle guerre coloniali e dell'Organisation de l'Armée Secrète, e la sua produzione documentale, presente nel corpus, teorizza la guerra rivoluzionaria contro la sovversione comunista. Il registro certifica al Livello A questa collocazione, e ne trae la conseguenza per il bilancio dell'ipotesi H1: la più documentata centrale internazionale collegata all'eversione nera europea è una struttura anticomunista occidentale, radicata in un regime alleato dell'Occidente, e la sua esistenza conferma, ancora una volta, che la dimensione internazionale certificata del fenomeno si colloca sul versante occidentale del confronto bipolare; nulla, nelle carte sequestrate e negli atti, documenta una convergenza con il blocco sovietico, e l'ipotesi H1 non trova nel nodo alcun sostegno.</w:t>
      </w:r>
    </w:p>
    <w:p>
      <w:pPr>
        <w:spacing w:after="120" w:line="276"/>
        <w:jc w:val="both"/>
      </w:pPr>
      <w:r>
        <w:rPr>
          <w:rFonts w:ascii="Barlow Semi Condensed" w:cs="Barlow Semi Condensed" w:eastAsia="Barlow Semi Condensed" w:hAnsi="Barlow Semi Condensed"/>
          <w:sz w:val="24"/>
          <w:szCs w:val="24"/>
        </w:rPr>
        <w:t xml:space="preserve">Il terzo pilastro è l'isomorfismo strutturale con l'organizzazione Hyperion, che il registro richiama anticipatamente quale reperto analitico codificato e rinvia, per la trattazione propria, alla Fase 4. Il registro dei nodi analitici dell'opera censisce, quale acquisizione consolidata, la comparazione tra Aginter Press e la scuola di lingue Hyperion di Parigi, la struttura gravitante nell'area opposta, quella della sinistra rivoluzionaria, che gli atti sul caso Moro hanno ripetutamente lambito: le 2 strutture presentano un isomorfismo topologico compiuto, entrambe operanti all'estero sotto copertura civile, entrambe poste all'incrocio tra militanza, informazione e apparati, entrambe circondate da un alone di sospetto investigativo mai tradotto in condanna; e presentano, al contempo, regimi probatori opposti, giacché Aginter è documentata dalle sue carte sequestrate mentre Hyperion è documentata quasi soltanto da atti investigativi esterni, e nessuna connessione operativa tra le 2 è mai stata documentata. Il registro certifica al Livello A l'isomorfismo strutturale quale dato comparativo, e certifica parimenti, quale reperto negativo formale, l'assenza di connessione operativa documentata tra le 2 strutture: è il Pattern 11 nella sua applicazione più rigorosa, che discrimina tra la somiglianza di struttura, accertata, e l'origine comune, non provata, orientando verso la spiegazione della necessità funzionale, per cui contesti speculari producono strutture speculari senza bisogno di un progettista unico.</w:t>
      </w:r>
    </w:p>
    <w:p>
      <w:pPr>
        <w:spacing w:after="120" w:line="276"/>
        <w:jc w:val="both"/>
      </w:pPr>
      <w:r>
        <w:rPr>
          <w:rFonts w:ascii="Barlow Semi Condensed" w:cs="Barlow Semi Condensed" w:eastAsia="Barlow Semi Condensed" w:hAnsi="Barlow Semi Condensed"/>
          <w:sz w:val="24"/>
          <w:szCs w:val="24"/>
        </w:rPr>
        <w:t xml:space="preserve">Il quarto pilastro è la geografia delle proiezioni internazionali della centrale, che il registro ha sottoposto a verifica sistematica attraverso 7 monografie dedicate, i cui esiti consolidati appartengono al corpus e vengono qui recepiti in forma sintetica. Le carte sequestrate e la documentazione internazionale attestano che l'attività della struttura non si esaurì nel teatro europeo: le monografie hanno vagliato le proiezioni verso l'Africa australe dei regimi coloniali e segregazionisti, verso l'Africa centrale, verso l'area del Golfo, verso l'Asia orientale e il circuito delle organizzazioni anticomuniste del Pacifico, oltre alla già esposta comparazione con Hyperion. L'esito complessivo della verifica, che il registro certifica quale acquisizione consolidata, è graduato: le proiezioni verso i teatri coloniali portoghesi e verso l'Africa australe risultano le più documentate, in coerenza con la collocazione lusitana della centrale e con la sua funzione controinsurrezionale, mentre le proiezioni più remote degradano verso livelli inferiori di riscontro; e il reperto trasversale di maggior rilievo, che il registro annota quale consegna alla Fase 5, è la posizione del Sudafrica dell'apartheid quale nodo a massima intermediazione dell'intero dossier internazionale, il punto di passaggio che connette i teatri africani, le reti dei fuoriusciti europei e i circuiti della cooperazione tra regimi assediati. Il registro certifica al Livello A l'esistenza documentale delle proiezioni extraeuropee quale dato delle carte, mantiene la certificazione dei singoli teatri ai livelli graduati che le monografie hanno stabilito, e trascrive la regola comparativa che l'esercizio ha confermato: la densità documentale decresce con la distanza dal centro sequestrato, e il registro misura l'attenzione dei documenti, non l'intensità storica dei fatti, secondo l'effetto lampione che la metodologia dell'opera ha elevato a cautela permanente.</w:t>
      </w:r>
    </w:p>
    <w:p>
      <w:pPr>
        <w:spacing w:after="120" w:line="276"/>
        <w:jc w:val="both"/>
      </w:pPr>
      <w:r>
        <w:rPr>
          <w:rFonts w:ascii="Barlow Semi Condensed" w:cs="Barlow Semi Condensed" w:eastAsia="Barlow Semi Condensed" w:hAnsi="Barlow Semi Condensed"/>
          <w:sz w:val="24"/>
          <w:szCs w:val="24"/>
        </w:rPr>
        <w:t xml:space="preserve">Le triangolazioni del nodo sono 3. La prima, Aginter-Guérin-Sérac-polizia politica portoghese, è il triangolo costitutivo della centrale, certificato al Livello A dalle carte sequestrate. La seconda, Aginter-eversione nera italiana, è il triangolo della proiezione, certificato al Livello B quanto ai collegamenti e mantenuto al Livello C quanto all'operatività in eventi specifici. La terza, Aginter-Hyperion, è il triangolo comparativo dell'isomorfismo senza connessione, certificato al Livello A nei suoi 2 termini, la somiglianza strutturale e l'assenza di collegamento operativo documentato. Sul piano dei pattern, il nodo è la sede propria del Pattern 11 e attiva altresì il Pattern 10, l'analisi della convergenza spaziale, giacché Lisbona si aggiunge alle capitali iberiche quale zona di addensamento dell'eversione internazionale che i capitoli successivi, con le latitanze spagnole, confermeranno.</w:t>
      </w:r>
    </w:p>
    <w:p>
      <w:pPr>
        <w:spacing w:after="120" w:line="276"/>
        <w:jc w:val="both"/>
      </w:pPr>
      <w:r>
        <w:rPr>
          <w:rFonts w:ascii="Barlow Semi Condensed" w:cs="Barlow Semi Condensed" w:eastAsia="Barlow Semi Condensed" w:hAnsi="Barlow Semi Condensed"/>
          <w:sz w:val="24"/>
          <w:szCs w:val="24"/>
        </w:rPr>
        <w:t xml:space="preserve">Attorno al direttore, le carte sequestrate censiscono il nucleo ristretto dei formatori e degli operativi, con biografie che costituiscono esse stesse un reperto sociologico: uomini di provenienza analoga alla sua, reduci del collaborazionismo bellico e delle guerre coloniali perdute, tra i quali il francese Robert Leroy, impiegati nella formazione alla guerriglia ed alla contro-guerriglia, nelle tecniche di sabotaggio e nella comunicazione clandestina che i materiali interni documentano quale repertorio didattico della centrale, Livello A quanto alle identità, alle provenienze ed al repertorio documentati dagli archivi. La composizione del nucleo consegna all'analisi la genealogia professionale dell'internazionale nera: non una generazione ideologica nuova, ma il riciclo organizzato delle competenze operative maturate nei conflitti perduti del ventennio precedente, dall'Europa occupata all'Algeria, secondo quella continuità di uomini e di tecniche che fa della centrale di Lisbona il punto di raccordo tra 2 epoche della sovversione, ed il precedente diretto della merce apolide, la competenza militante quale servizio esportabile, che il capitolo successivo ritroverà nella biografia del militante globale.</w:t>
      </w:r>
    </w:p>
    <w:p>
      <w:pPr>
        <w:spacing w:after="120" w:line="276"/>
        <w:jc w:val="both"/>
      </w:pPr>
      <w:r>
        <w:rPr>
          <w:rFonts w:ascii="Barlow Semi Condensed" w:cs="Barlow Semi Condensed" w:eastAsia="Barlow Semi Condensed" w:hAnsi="Barlow Semi Condensed"/>
          <w:sz w:val="24"/>
          <w:szCs w:val="24"/>
        </w:rPr>
        <w:t xml:space="preserve">Quanto al destino giudiziario della centrale, il registro censisce l'asimmetria che lo definisce: gli atti istruttori italiani raggiunsero la struttura ed i suoi uomini con mandati ed imputazioni, ma nessun processo poté mai celebrarsi nei confronti del suo direttore, che si rese irreperibile dopo la caduta del regime portoghese e le cui tracce si perdono nei decenni successivi senza che un accertamento pubblico ne abbia mai fissato la sorte, Livello A quanto alla mancata sottoposizione a giudizio, Livello C quanto ad ogni ricostruzione del dopo. La centrale meglio documentata della stagione è così, ad un tempo, la meno giudicata: paradosso soltanto apparente, giacché la documentazione fu resa possibile dalla caduta di uno Stato straniero e la giudicabilità avrebbe richiesto la cooperazione di molti, e la fase consegna alla Fase 5 questa forbice tra il sapere degli archivi ed il potere delle giurisdizioni quale variabile strutturale di ogni contabilità internazionale.</w:t>
      </w:r>
    </w:p>
    <w:p>
      <w:pPr>
        <w:spacing w:after="120" w:line="276"/>
        <w:jc w:val="both"/>
      </w:pPr>
      <w:r>
        <w:rPr>
          <w:rFonts w:ascii="Barlow Semi Condensed" w:cs="Barlow Semi Condensed" w:eastAsia="Barlow Semi Condensed" w:hAnsi="Barlow Semi Condensed"/>
          <w:sz w:val="24"/>
          <w:szCs w:val="24"/>
        </w:rPr>
        <w:t xml:space="preserve">Il rapporto della centrale con lo Stato ospitante va infine documentato nella sua materialità, perché esso distingue Aginter da ogni struttura semplicemente tollerata: le carte sequestrate comprendono la corrispondenza operativa con la polizia politica del regime, attestante scambi informativi, coperture documentali e cooperazioni di servizio che configurano la centrale non quale ospite ma quale appaltatore, un organismo privato integrato nel dispositivo di sicurezza dello Stato salazarista e da esso impiegato sui teatri, africani ed europei, dove la mano ufficiale non poteva mostrarsi, Livello A quanto ai rapporti documentati dalle carte. È la configurazione che la Nota metodologica denomina simbiosi ospite-apparato: qui essa giace agli atti nella forma più nuda, il carteggio tra il covo e la questura, e vale quale pietra di paragone per l'intera fase, il caso in cui l'accoppiamento tra il Dominio 3 ed il Dominio 7, altrove inferito dai comportamenti, è scritto dalle parti stesse. Che un simile grado di integrazione sia divenuto conoscibile solo per il collasso rivoluzionario dello Stato protettore chiude il ragionamento sul metodo: la simbiosi è per costruzione invisibile finché il protettore vive, e la statistica delle nostre conoscenze sui santuari è perciò una statistica dei regimi caduti, con le distorsioni prospettiche che il capitolo 9 della Fase 5 misurerà sotto il nome di effetto lampione.</w:t>
      </w:r>
    </w:p>
    <w:p>
      <w:pPr>
        <w:spacing w:after="120" w:line="276"/>
        <w:jc w:val="both"/>
      </w:pPr>
      <w:r>
        <w:rPr>
          <w:rFonts w:ascii="Barlow Semi Condensed" w:cs="Barlow Semi Condensed" w:eastAsia="Barlow Semi Condensed" w:hAnsi="Barlow Semi Condensed"/>
          <w:sz w:val="24"/>
          <w:szCs w:val="24"/>
        </w:rPr>
        <w:t xml:space="preserve">Il profilo del direttore merita la scheda biografica che le carte sequestrate e la storiografia convergente consentono, perché la centrale fu, in misura rara, l'estensione organizzativa di un solo percorso individuale. Yves Guillou, in religione operativa Guérin-Sérac, ufficiale francese formatosi nei teatri di Corea e d'Algeria, approdato all'Organisation Armée Secrète nella stagione terminale dell'Algeria francese e quindi, dopo la sconfitta, all'esilio iberico, congiunse in sé le 3 componenti che la struttura di Lisbona avrebbe istituzionalizzato: la competenza militare nella guerra non convenzionale, l'integralismo cattolico di crociata quale orizzonte dottrinale, e la disponibilità del santuario portoghese quale base territoriale, Livello A quanto al percorso documentato dalle carte e dalle fonti convergenti. Il registro ne trae la definizione morfologica del nodo: Aginter non fu una filiale di apparati altrui ma una impresa ideologica in proprio, che vendette servizi, formazione, informazione, copertura, a committenti di volta in volta diversi, e questa natura mercenaria su base dottrinale, apparentemente contraddittoria, è la chiave che spiega la trasversalità delle sue proiezioni certificate.</w:t>
      </w:r>
    </w:p>
    <w:p>
      <w:pPr>
        <w:spacing w:after="120" w:line="276"/>
        <w:jc w:val="both"/>
      </w:pPr>
      <w:r>
        <w:rPr>
          <w:rFonts w:ascii="Barlow Semi Condensed" w:cs="Barlow Semi Condensed" w:eastAsia="Barlow Semi Condensed" w:hAnsi="Barlow Semi Condensed"/>
          <w:sz w:val="24"/>
          <w:szCs w:val="24"/>
        </w:rPr>
        <w:t xml:space="preserve">Dalla medesima natura discende il metodo, che i documenti interni sequestrati consegnano con una franchezza senza equivalenti nel registro: i corsi di formazione impartiti nella base portoghese contemplavano, accanto all'addestramento tecnico, la dottrina dell'infiltrazione negli ambienti dell'estrema sinistra e della provocazione sotto falsa bandiera, l'azione compiuta in modo da essere attribuita all'avversario, teorizzata nei materiali dottrinali della centrale quale strumento ordinario della guerra rivoluzionaria rovesciata, Livello A quanto al contenuto dei documenti sequestrati. Il registro sottolinea la portata epistemologica del reperto: la falsa bandiera, che nella pubblicistica è categoria inflazionata sino all'inservibilità, esiste qui non quale ipotesi ricostruttiva ma quale voce di programma didattico scritta dagli stessi operatori, e questa autodescrizione documentale, come già il Piano di Rinascita per la loggia, vale quale certificazione della grammatica delle intenzioni, ferma restando, per ogni singolo evento italiano, la necessità del riscontro specifico che la Regola Ferrea impone. All'opposto estremo dello spettro probatorio, il corpus di verifica ha sottoposto a stress-test documentale anche la più suggestiva delle connessioni evocate dalla pubblicistica internazionale attorno alla centrale, quella con i vertici della diplomazia atlantica dell'epoca: l'esito, uno Stato Zero pieno, nessun documento, nessun atto, nessuna convergenza che sostenga il collegamento, è consegnato al registro con il medesimo rilievo delle presenze, a dimostrazione operante che il metodo qui praticato cerca le connessioni per trovarle quando esistono e per escluderle quando non esistono, e che la seconda operazione non è meno feconda della prima.</w:t>
      </w:r>
    </w:p>
    <w:p>
      <w:pPr>
        <w:spacing w:after="120" w:line="276"/>
        <w:jc w:val="both"/>
      </w:pPr>
      <w:r>
        <w:rPr>
          <w:rFonts w:ascii="Barlow Semi Condensed" w:cs="Barlow Semi Condensed" w:eastAsia="Barlow Semi Condensed" w:hAnsi="Barlow Semi Condensed"/>
          <w:sz w:val="24"/>
          <w:szCs w:val="24"/>
        </w:rPr>
        <w:t xml:space="preserve">Alla copertura giornalistica della centrale va riconosciuta la sua funzione operativa specifica, che le carte sequestrate documentano nel dettaglio: l'agenzia rilasciava ai propri operativi tesserini di corrispondente, credenziali di stampa che valevano quali lasciapassare universali negli scenari di crisi, consentendo movimenti, accessi e permanenze che nessuna copertura commerciale avrebbe garantito, e la rete dei corrispondenti dichiarati coincideva, in misura documentata, con la rete degli agenti e dei formatori, Livello A quanto al sistema delle credenziali ed alla coincidenza censita nelle carte. Il registro eleva il dettaglio a teorema del Dominio 8: la stampa non fu, per la centrale, un travestimento ma un'infrastruttura, giacché lo statuto del giornalista, nato per proteggere l'osservatore, è convertibile senza residui nella protezione dell'operatore, ed il tesserino che apre le linee del fronte all'inviato le apre, identico, all'infiltrato. La fase consegna il teorema alla Fase 4, dove la figura del giornalista quale terminale di flussi riservati tornerà al centro della scena con il caso Pecorelli: mutati i teatri, la convertibilità dello statuto resta, e con essa il problema, che il registro può censire ma non risolvere, di un dominio la cui funzione costituzionale, osservare il potere, è strutturalmente esposta alla cattura da parte dell'osservato.</w:t>
      </w:r>
    </w:p>
    <w:p>
      <w:pPr>
        <w:spacing w:after="120" w:line="276"/>
        <w:jc w:val="both"/>
      </w:pPr>
      <w:r>
        <w:rPr>
          <w:rFonts w:ascii="Barlow Semi Condensed" w:cs="Barlow Semi Condensed" w:eastAsia="Barlow Semi Condensed" w:hAnsi="Barlow Semi Condensed"/>
          <w:sz w:val="24"/>
          <w:szCs w:val="24"/>
        </w:rPr>
        <w:t xml:space="preserve">Il fascicolo italiano dell'agenzia si apre con le missioni documentate dalle carte di Lisbona, che il registro censisce quale contatto fisico tra la centrale e il teatro: tra il 1967 ed il 1968 l'archivio attesta viaggi in Italia di uomini della struttura, con il luogotenente censito nel capitolo quale principale operatore delle trasferte, incontri con esponenti degli ambienti dell'estrema destra italiana che la fase terza ha processualmente ricostruito, e relazioni di missione conservate nel fondo portoghese che documentano la mappatura dei gruppi, dei referenti e delle possibilità operative della penisola, Livello A quanto ai viaggi ed alle relazioni risultanti dalle carte, Livello B quanto alla portata operativa dei contatti quale ricostruita dalle istruttorie italiane. Il registro fissa il valore cronologico del reperto, che è il suo vero contenuto: le missioni italiane dell'agenzia precedono di mesi la stagione inaugurata il 12 dicembre 1969, collocando il contatto tra la centrale lisboeta e gli ambienti italiani prima e non dopo l'inizio della campagna, e questa priorità temporale, certificata da un archivio straniero indipendente dalle fonti italiane, è uno dei pochissimi punti dell'intero corpus internazionale in cui la sequenza contatto-evento è documentalmente ordinata nel verso che le ipotesi di preparazione richiedono, con la disciplina che il registro ribadisce: l'ordine temporale rende possibile l'inferenza, non la compie, e ciò che le carte provano è che gli uomini si conobbero prima delle bombe, non che le bombe nacquero da quella conoscenza.</w:t>
      </w:r>
    </w:p>
    <w:p>
      <w:pPr>
        <w:spacing w:after="120" w:line="276"/>
        <w:jc w:val="both"/>
      </w:pPr>
      <w:r>
        <w:rPr>
          <w:rFonts w:ascii="Barlow Semi Condensed" w:cs="Barlow Semi Condensed" w:eastAsia="Barlow Semi Condensed" w:hAnsi="Barlow Semi Condensed"/>
          <w:b/>
          <w:bCs/>
          <w:sz w:val="24"/>
          <w:szCs w:val="24"/>
        </w:rPr>
        <w:t xml:space="preserve">Sintesi del dato nuovo acquisito:</w:t>
      </w:r>
      <w:r>
        <w:rPr>
          <w:rFonts w:ascii="Barlow Semi Condensed" w:cs="Barlow Semi Condensed" w:eastAsia="Barlow Semi Condensed" w:hAnsi="Barlow Semi Condensed"/>
          <w:sz w:val="24"/>
          <w:szCs w:val="24"/>
        </w:rPr>
        <w:t xml:space="preserve"> il nodo Aginter Press è certificato al Livello A, sul fondamento eccezionale dei suoi archivi sequestrati nel 1974, quale centrale clandestina anticomunista operante a Lisbona dal 1966 sotto copertura di agenzia di stampa, diretta da Yves Guérin-Sérac e raccordata alla polizia politica portoghese; i collegamenti con gli ambienti dell'eversione nera italiana sono certificati al Livello B, mentre l'attribuzione di un ruolo operativo in specifici eventi stragisti resta al Livello C, non essendo mai stata giudizialmente accertata; l'isomorfismo strutturale con Hyperion, in assenza di ogni connessione operativa documentata, è recepito quale reperto comparativo di Livello A e rinviato per la trattazione alla Fase 4; la collocazione integralmente occidentale e anticomunista della struttura milita, ancora una volta, contro l'ipotesi H1.</w:t>
      </w:r>
    </w:p>
    <w:p>
      <w:pPr>
        <w:pStyle w:val="Heading3"/>
        <w:spacing w:after="80" w:before="160"/>
      </w:pPr>
      <w:r>
        <w:rPr>
          <w:rFonts w:ascii="Barlow Semi Condensed" w:cs="Barlow Semi Condensed" w:eastAsia="Barlow Semi Condensed" w:hAnsi="Barlow Semi Condensed"/>
          <w:sz w:val="24"/>
          <w:szCs w:val="24"/>
        </w:rPr>
        <w:t xml:space="preserve">Capitolo 5 — ▶ Stefano Delle Chiaie. Il militante globale e la disciplina delle assoluzioni</w:t>
      </w:r>
    </w:p>
    <w:p>
      <w:pPr>
        <w:spacing w:after="120" w:line="276"/>
        <w:jc w:val="both"/>
      </w:pPr>
      <w:r>
        <w:rPr>
          <w:rFonts w:ascii="Barlow Semi Condensed" w:cs="Barlow Semi Condensed" w:eastAsia="Barlow Semi Condensed" w:hAnsi="Barlow Semi Condensed"/>
          <w:sz w:val="24"/>
          <w:szCs w:val="24"/>
        </w:rPr>
        <w:t xml:space="preserve">Stefano Delle Chiaie, nato a Caserta il 13 settembre 1936 e morto a Roma il 10 settembre 2019, fondatore di Avanguardia Nazionale, è il nodo che riceve in questa fase la trattazione propria che le fasi precedenti gli avevano promesso, e che il registro affronta quale caso limite della propria disciplina: il militante più frequentemente nominato dell'intero corpus, presente in ogni snodo della stagione eversiva e in 3 continenti, e al contempo mai condannato per alcuna strage, assolto in via definitiva in ogni processo che lo ha visto imputato per i grandi eventi. La scansione del corpus lo registra 997 volte in 46 documenti, la massima frequenza individuale del versante eversivo. Il nodo salda il Dominio 7 alla sua proiezione internazionale, e costituisce il ponte biografico verso la Fase 5, giacché la sua traiettoria attraversa la Spagna franchista, il Cile di Pinochet e la Bolivia dei regimi militari.</w:t>
      </w:r>
    </w:p>
    <w:p>
      <w:pPr>
        <w:spacing w:after="120" w:line="276"/>
        <w:jc w:val="both"/>
      </w:pPr>
      <w:r>
        <w:rPr>
          <w:rFonts w:ascii="Barlow Semi Condensed" w:cs="Barlow Semi Condensed" w:eastAsia="Barlow Semi Condensed" w:hAnsi="Barlow Semi Condensed"/>
          <w:sz w:val="24"/>
          <w:szCs w:val="24"/>
        </w:rPr>
        <w:t xml:space="preserve">La ricostruzione biografica muove dalla fondazione di Avanguardia Nazionale, l'organizzazione della destra radicale costituita da Delle Chiaie a Roma nel 1960 e divenuta, accanto a Ordine Nuovo, il secondo polo dell'eversione nera; anche Avanguardia Nazionale fu colpita dalla normativa contro la ricostituzione del partito fascista, con condanne dei suoi dirigenti e scioglimento disposto con decreto ministeriale nel giugno 1976. Il registro certifica al Livello A la fondazione, la natura e lo scioglimento dell'organizzazione, e certifica parimenti al Livello A, quale fatto già esposto nella Fase 2, la partecipazione dell'area di Avanguardia Nazionale, con il suo fondatore quale figura di riferimento, alla notte del tentativo Borghese del dicembre 1970, nel settore operativo che avrebbe dovuto occupare il Ministero dell'interno; quanto alla posizione personale di Delle Chiaie in quel procedimento, l'esito fu assolutorio, come per la generalità degli imputati nella sentenza d'appello del 1984, e il registro lo riporta per esteso, mantenendo al Livello B la sua partecipazione materiale all'azione della notte, quale dato convergente delle ricostruzioni dibattimentali non consacrato da condanna.</w:t>
      </w:r>
    </w:p>
    <w:p>
      <w:pPr>
        <w:spacing w:after="120" w:line="276"/>
        <w:jc w:val="both"/>
      </w:pPr>
      <w:r>
        <w:rPr>
          <w:rFonts w:ascii="Barlow Semi Condensed" w:cs="Barlow Semi Condensed" w:eastAsia="Barlow Semi Condensed" w:hAnsi="Barlow Semi Condensed"/>
          <w:sz w:val="24"/>
          <w:szCs w:val="24"/>
        </w:rPr>
        <w:t xml:space="preserve">Il primo pilastro probatorio è la latitanza intercontinentale, che il registro certifica al Livello A nei suoi fatti e assume quale mappa vivente della geografia internazionale dell'eversione. Espatriato clandestinamente dopo il dicembre 1970, Delle Chiaie visse latitante per 17 anni: dapprima nella Spagna franchista, dove l'area dei fuoriusciti italiani trovò accoglienza sino alla morte di Francisco Franco nel 1975 e oltre; quindi in America Latina, con presenza documentata nel Cile del regime di Pinochet, in rapporto con ambienti della polizia segreta di quel regime, e successivamente nella Bolivia dei governi militari, negli anni del golpe del 1980, in un contesto nel quale operavano reduci e criminali di guerra della diaspora nazista. Fu arrestato a Caracas, in Venezuela, il 27 marzo 1987 ed estradato in Italia. Il registro certifica al Livello A la sequenza della latitanza, dell'arresto e dell'estradizione, quali fatti documentati; certifica al Livello B, sul fondamento delle convergenti risultanze istruttorie e documentali internazionali, i rapporti dell'area di Delle Chiaie con ambienti degli apparati cileni e con il contesto boliviano dei primi anni Ottanta; e rinvia alla Fase 5 la trattazione propria di quel teatro, limitandosi qui ad annotare che la traiettoria del nodo disegna, da sola, la rotta strutturale che collega l'eversione europea ai regimi autoritari iberici e latinoamericani, la medesima rotta che la Fase 5 percorrerà con il Pattern 4 dell'analisi dei flussi.</w:t>
      </w:r>
    </w:p>
    <w:p>
      <w:pPr>
        <w:spacing w:after="120" w:line="276"/>
        <w:jc w:val="both"/>
      </w:pPr>
      <w:r>
        <w:rPr>
          <w:rFonts w:ascii="Barlow Semi Condensed" w:cs="Barlow Semi Condensed" w:eastAsia="Barlow Semi Condensed" w:hAnsi="Barlow Semi Condensed"/>
          <w:sz w:val="24"/>
          <w:szCs w:val="24"/>
        </w:rPr>
        <w:t xml:space="preserve">Il secondo pilastro è la sequenza integrale delle assoluzioni, che il registro espone per esteso quale adempimento del suo obbligo più severo. Estradato, Delle Chiaie fu processato per la strage di piazza Fontana nel troncone catanzarese e ne fu assolto dalla Corte d'assise di Catanzaro il 20 febbraio 1989, con pronuncia divenuta definitiva; per il tentativo Borghese, la sua posizione si era chiusa con l'esito assolutorio della sentenza d'appello del 1984; per la strage di Bologna non fu mai rinviato a giudizio. Egli è dunque morto, nel settembre 2019, senza aver riportato alcuna condanna per fatti di strage, e questa è la sua condizione giuridica perpetua, che il registro certifica al Livello A e antepone a ogni considerazione. Il registro dichiara qui, con la nettezza che il caso impone, la funzione metodologica del nodo: Delle Chiaie è il banco di prova della disciplina delle assoluzioni, perché nessun altro nome del versante eversivo è stato tanto insistentemente associato, nella pubblicistica e in parte degli atti, alla regia occulta della stagione; e nessun altro nome presenta un divario altrettanto ampio tra la densità del sospetto e l'esito dei giudizi. Il registro rappresenta entrambi i termini: la centralità documentale del nodo, che è un fatto misurabile, e l'integralità delle assoluzioni, che è un fatto giuridico; e vieta a sé stesso di colmare il divario in una delle 2 direzioni, né trattando la centralità quale prova di colpevolezza sfuggita ai giudici, né trattando le assoluzioni quale prova di estraneità storica a un ambiente nel quale la presenza del nodo è documentata al massimo livello.</w:t>
      </w:r>
    </w:p>
    <w:p>
      <w:pPr>
        <w:spacing w:after="120" w:line="276"/>
        <w:jc w:val="both"/>
      </w:pPr>
      <w:r>
        <w:rPr>
          <w:rFonts w:ascii="Barlow Semi Condensed" w:cs="Barlow Semi Condensed" w:eastAsia="Barlow Semi Condensed" w:hAnsi="Barlow Semi Condensed"/>
          <w:sz w:val="24"/>
          <w:szCs w:val="24"/>
        </w:rPr>
        <w:t xml:space="preserve">Il terzo pilastro è il rapporto con Aginter Press, che il capitolo precedente ha introdotto e che la monografia dedicata del corpus ha vagliato. Gli atti istruttori e parte della documentazione internazionale collocano Delle Chiaie in contatto con la centrale di Lisbona e con il suo direttore, nel quadro della circolazione di uomini e materiali tra gli ambienti dell'eversione anticomunista europea; la qualificazione di tale rapporto, quale collaborazione organica ovvero quale contiguità di ambiente, è rimasta controversa negli stessi atti. Il registro certifica al Livello B l'esistenza di contatti tra Delle Chiaie e l'orbita di Aginter Press, e mantiene al Livello C ogni qualificazione organica del rapporto, in conformità alle conclusioni della verifica monografica.</w:t>
      </w:r>
    </w:p>
    <w:p>
      <w:pPr>
        <w:spacing w:after="120" w:line="276"/>
        <w:jc w:val="both"/>
      </w:pPr>
      <w:r>
        <w:rPr>
          <w:rFonts w:ascii="Barlow Semi Condensed" w:cs="Barlow Semi Condensed" w:eastAsia="Barlow Semi Condensed" w:hAnsi="Barlow Semi Condensed"/>
          <w:sz w:val="24"/>
          <w:szCs w:val="24"/>
        </w:rPr>
        <w:t xml:space="preserve">Il quarto pilastro è l'apparato dichiarativo del nodo, che il registro sottopone alla disciplina dell'Indice di Contaminazione della Fonte. Rientrato in Italia e definite le proprie vicende processuali, Delle Chiaie fu ripetutamente audito dalle commissioni parlamentari d'inchiesta, e sino alla morte rese dichiarazioni pubbliche, interviste e memorie nelle quali rivendicò la propria estraneità alle stragi, denunciò l'uso strumentale del suo nome quale capro espiatorio della stagione, e offrì ricostruzioni degli ambienti e degli eventi che attraversò. Il registro tratta questo apparato con la graduazione che il metodo impone. Le dichiarazioni contra se sono pressoché assenti, giacché il dichiarante ha costantemente negato ogni responsabilità, e la loro assenza priva l'apparato del suo ancoraggio di massimo valore; le dichiarazioni su terzi e sul sistema provengono da un dichiarante che fu parte in causa dell'intera stagione, portatore di un interesse difensivo e narrativo permanente, e il registro le assume quali fonti di Livello C, utilizzabili soltanto ove trovino riscontro autonomo, secondo la regola che vieta di elevare la voce di un protagonista a fonte della propria vicenda. Il registro annota nondimeno un dato che la disciplina non cancella: la coerenza pluridecennale della protesta di innocenza di un uomo che, avendo affrontato i processi dopo 17 anni di latitanza, ne uscì integralmente assolto, appartiene ai fatti del nodo al pari della densità dei sospetti che lo circondarono; e la compresenza dei 2 dati, la protesta assolta e il sospetto documentale, è la sostanza stessa del caso limite che il capitolo ha dichiarato in apertura, e che il registro consegna alla riflessione senza scioglierla in una direzione che le fonti non autorizzano.</w:t>
      </w:r>
    </w:p>
    <w:p>
      <w:pPr>
        <w:spacing w:after="120" w:line="276"/>
        <w:jc w:val="both"/>
      </w:pPr>
      <w:r>
        <w:rPr>
          <w:rFonts w:ascii="Barlow Semi Condensed" w:cs="Barlow Semi Condensed" w:eastAsia="Barlow Semi Condensed" w:hAnsi="Barlow Semi Condensed"/>
          <w:sz w:val="24"/>
          <w:szCs w:val="24"/>
        </w:rPr>
        <w:t xml:space="preserve">Le triangolazioni del nodo sono 3. La prima, Delle Chiaie-Avanguardia Nazionale-tentativo Borghese, è il triangolo nazionale, certificato al Livello A quanto all'organizzazione e al fatto storico del tentativo, al Livello B quanto alla partecipazione materiale personale, con l'esito assolutorio riportato. La seconda, Delle Chiaie-Spagna-America Latina, è il triangolo della latitanza intercontinentale, certificato al Livello A nei fatti e al Livello B nei rapporti con gli apparati dei regimi ospitanti, ponte dichiarato verso la Fase 5. La terza, Delle Chiaie-Aginter Press-Guérin-Sérac, è il triangolo internazionale europeo, certificato al Livello B quanto ai contatti e al Livello C quanto all'organicità. Sul piano dei pattern, il nodo presenta la più alta betweenness del versante eversivo, quale intermediario documentato tra l'eversione italiana, quella iberica e quella latinoamericana, secondo il Pattern 1; e attiva il Pattern 7 nella variante geografica delle migrazioni tra giurisdizioni, di cui costituisce il caso più esteso dell'opera.</w:t>
      </w:r>
    </w:p>
    <w:p>
      <w:pPr>
        <w:spacing w:after="120" w:line="276"/>
        <w:jc w:val="both"/>
      </w:pPr>
      <w:r>
        <w:rPr>
          <w:rFonts w:ascii="Barlow Semi Condensed" w:cs="Barlow Semi Condensed" w:eastAsia="Barlow Semi Condensed" w:hAnsi="Barlow Semi Condensed"/>
          <w:sz w:val="24"/>
          <w:szCs w:val="24"/>
        </w:rPr>
        <w:t xml:space="preserve">La geografia della latitanza merita le sue stazioni documentate, perché i 17 anni di fuga costituiscono la più estesa mappa individuale della protezione internazionale che il registro possieda. La prima stazione fu la Spagna dell'ultimo franchismo, approdo comune dell'eversione continentale, dove il fondatore di Avanguardia Nazionale operò nel reticolo degli esuli che i capitoli precedenti hanno censito; la seconda fu il Cono Sur della stagione dei regimi militari, con la presenza documentata negli ambienti operativi cileni successivi al golpe del 1973, secondo quanto emerso dagli atti istruttori italiani e dalle carte delle giurisdizioni latinoamericane, Livello A quanto ai soggiorni, Livello B quanto ai singoli contenuti operativi, ciascuno rinviato ai rispettivi accertamenti; la terza fu l'area andina, sino alla Bolivia della svolta autoritaria del 1980, teatro nel quale le ricostruzioni collocano la sua orbita tra gli apparati del nuovo regime, Livello B. La parabola si chiuse a Caracas, con l'arresto del marzo 1987 e l'estradizione in Italia, che aprì la stagione processuale domestica il cui esito integralmente assolutorio il capitolo ha già riportato per esteso, Livello A quanto ad arresto, estradizione ed esiti. Il registro consegna la mappa alla sua funzione analitica: le 4 stazioni coincidono, una per una, con gli hub della geografia internazionale che la Fase 5 certificherà, e la biografia del latitante vale perciò quale carotaggio vivente del sistema dei santuari, l'itinerario individuale che disegna, percorrendola, la rete.</w:t>
      </w:r>
    </w:p>
    <w:p>
      <w:pPr>
        <w:spacing w:after="120" w:line="276"/>
        <w:jc w:val="both"/>
      </w:pPr>
      <w:r>
        <w:rPr>
          <w:rFonts w:ascii="Barlow Semi Condensed" w:cs="Barlow Semi Condensed" w:eastAsia="Barlow Semi Condensed" w:hAnsi="Barlow Semi Condensed"/>
          <w:sz w:val="24"/>
          <w:szCs w:val="24"/>
        </w:rPr>
        <w:t xml:space="preserve">Alla stagione del rientro appartiene infine l'ultimo strato dichiarativo, che il registro sottopone alla propria disciplina della fonte. Definite le proprie pendenze con la sequenza di assoluzioni censita, Delle Chiaie divenne negli anni 90 un deponente ricorrente delle sedi parlamentari, audito dalla Commissione stragi, e un intervistato assiduo della pubblicistica, consegnando una autonarrazione nella quale rivendicava l'autonomia dell'eversione nazionale da ogni regia di apparato e respingeva ogni addebito stragista: materiale che il registro classifica al Livello C quale fonte di parte massimamente interessata, annotando il paradosso metodologico che essa incarna. L'uomo che la giustizia non è riuscita a condannare è divenuto, negli ultimi decenni, una delle fonti orali più citate sulla stagione che lo vide imputato: sicché la memoria pubblica del periodo si è in parte costruita sulla voce del suo protagonista più controverso, ed il registro, che a quella voce non concede promozioni di livello, ne censisce tuttavia l'esistenza quale dato sociologico, l'assolto quale storico di sé stesso, ultima e più raffinata forma della centralità che la rete gli aveva assegnato.</w:t>
      </w:r>
    </w:p>
    <w:p>
      <w:pPr>
        <w:spacing w:after="120" w:line="276"/>
        <w:jc w:val="both"/>
      </w:pPr>
      <w:r>
        <w:rPr>
          <w:rFonts w:ascii="Barlow Semi Condensed" w:cs="Barlow Semi Condensed" w:eastAsia="Barlow Semi Condensed" w:hAnsi="Barlow Semi Condensed"/>
          <w:sz w:val="24"/>
          <w:szCs w:val="24"/>
        </w:rPr>
        <w:t xml:space="preserve">La parabola dell'organizzazione fondata dal nodo va chiusa con il suo atto formale terminale, che replica in fotocopia la meccanica censita per Ordine Nuovo: nel giugno 1976 il Tribunale di Roma condannò il gruppo dirigente di Avanguardia Nazionale per ricostituzione del disciolto partito fascista, ed il ministro dell'interno ne decretò contestualmente lo scioglimento con confisca dei beni, secondo il doppio atto, giudiziario ed amministrativo, che 3 anni prima aveva chiuso la parabola formale del movimento gemello, Livello A quanto alla sequenza. La duplicazione della procedura sui 2 rami maggiori della destra radicale extraparlamentare consegna al registro un dato comparativo netto: la Repubblica applicò 2 volte, nell'arco di un triennio, lo strumento massimo della dissoluzione, e 2 volte lo strumento colpì organizzazioni la cui stagione operativa era già trascolorata nella clandestinità carsica, sicché l'ordinamento dimostrò di saper sciogliere ciò che era già liquido. Il registro annota la conclusione senza sarcasmo, perché essa contiene una verità istituzionale seria: gli strumenti della democrazia protetta operano sui corpi formali, e la loro efficacia si esaurisce esattamente sulla soglia oltre la quale l'avversario rinuncia alla forma, il che definisce, in negativo, il perimetro entro cui la repressione legale può giungere e oltre il quale devono lavorare, soli, l'investigazione ed il tempo.</w:t>
      </w:r>
    </w:p>
    <w:p>
      <w:pPr>
        <w:spacing w:after="120" w:line="276"/>
        <w:jc w:val="both"/>
      </w:pPr>
      <w:r>
        <w:rPr>
          <w:rFonts w:ascii="Barlow Semi Condensed" w:cs="Barlow Semi Condensed" w:eastAsia="Barlow Semi Condensed" w:hAnsi="Barlow Semi Condensed"/>
          <w:b/>
          <w:bCs/>
          <w:sz w:val="24"/>
          <w:szCs w:val="24"/>
        </w:rPr>
        <w:t xml:space="preserve">Sintesi del dato nuovo acquisito:</w:t>
      </w:r>
      <w:r>
        <w:rPr>
          <w:rFonts w:ascii="Barlow Semi Condensed" w:cs="Barlow Semi Condensed" w:eastAsia="Barlow Semi Condensed" w:hAnsi="Barlow Semi Condensed"/>
          <w:sz w:val="24"/>
          <w:szCs w:val="24"/>
        </w:rPr>
        <w:t xml:space="preserve"> il nodo Delle Chiaie è certificato al Livello A quale fondatore di Avanguardia Nazionale e quale figura a massima frequenza documentale del versante eversivo, con latitanza intercontinentale di 17 anni attraverso Spagna, Cile e Bolivia conclusa dall'arresto di Caracas del 27 marzo 1987; la sua condizione giuridica, certificata al Livello A e riportata per esteso, è l'assoluzione definitiva da ogni accusa di strage, da piazza Fontana nel 1989 all'esito assolutorio del procedimento Borghese, senza alcuna condanna per gli eventi della stagione; i rapporti con gli apparati dei regimi latinoamericani e con l'orbita di Aginter Press sono certificati al Livello B; il nodo è consegnato alla Fase 5 quale ponte biografico verso il teatro internazionale.</w:t>
      </w:r>
    </w:p>
    <w:p>
      <w:pPr>
        <w:pStyle w:val="Heading3"/>
        <w:spacing w:after="80" w:before="160"/>
      </w:pPr>
      <w:r>
        <w:rPr>
          <w:rFonts w:ascii="Barlow Semi Condensed" w:cs="Barlow Semi Condensed" w:eastAsia="Barlow Semi Condensed" w:hAnsi="Barlow Semi Condensed"/>
          <w:sz w:val="24"/>
          <w:szCs w:val="24"/>
        </w:rPr>
        <w:t xml:space="preserve">Capitolo 6 — ■ Peteano. La strage confessata, il depistaggio condannato e la strada verso Gladio</w:t>
      </w:r>
    </w:p>
    <w:p>
      <w:pPr>
        <w:spacing w:after="120" w:line="276"/>
        <w:jc w:val="both"/>
      </w:pPr>
      <w:r>
        <w:rPr>
          <w:rFonts w:ascii="Barlow Semi Condensed" w:cs="Barlow Semi Condensed" w:eastAsia="Barlow Semi Condensed" w:hAnsi="Barlow Semi Condensed"/>
          <w:sz w:val="24"/>
          <w:szCs w:val="24"/>
        </w:rPr>
        <w:t xml:space="preserve">La strage di Peteano, consumata il 31 maggio 1972 nella frazione di Sagrado, in provincia di Gorizia, è il nodo-evento attraverso il quale il registro certifica la configurazione probatoria più completa dell'intera stagione: l'unica strage della sequenza ad avere, congiuntamente, un esecutore reo confesso condannato in via definitiva, un depistaggio accertato con condanne di appartenenti alle forze dell'ordine e di un perito, e una filiazione istruttoria diretta verso la rivelazione della rete Gladio. La scansione del corpus registra Peteano 272 volte in 35 documenti e il nome di Vincenzo Vinciguerra 321 volte in 34. La sera del 31 maggio 1972 una telefonata anonima segnalò ai carabinieri di Gorizia una Fiat 500 abbandonata con fori di proiettile sul parabrezza; 3 militari giunti sul posto, il brigadiere Antonio Ferraro e i carabinieri Donato Poveromo e Franco Dongiovanni, furono uccisi dall'esplosione dell'ordigno collegato al cofano, e altri 2 rimasero feriti. Il registro ne trascrive i nomi quale atto dovuto.</w:t>
      </w:r>
    </w:p>
    <w:p>
      <w:pPr>
        <w:spacing w:after="120" w:line="276"/>
        <w:jc w:val="both"/>
      </w:pPr>
      <w:r>
        <w:rPr>
          <w:rFonts w:ascii="Barlow Semi Condensed" w:cs="Barlow Semi Condensed" w:eastAsia="Barlow Semi Condensed" w:hAnsi="Barlow Semi Condensed"/>
          <w:sz w:val="24"/>
          <w:szCs w:val="24"/>
        </w:rPr>
        <w:t xml:space="preserve">Il primo pilastro probatorio è il depistaggio, che il registro certifica al Livello A quale caso di scuola dell'ostruzione con condanne. Le indagini furono indirizzate dapprima verso una pista di delinquenza comune locale, che condusse all'incriminazione di 6 giovani goriziani, poi prosciolti, e furono viziate da una perizia sull'esplosivo che ne occultò la natura, redatta da un consulente, Marco Morin, che era egli stesso esponente dell'area ordinovista veneta e che fu successivamente condannato per falsa perizia; per le condotte di favoreggiamento e di inquinamento dell'accertamento riportarono condanna anche ufficiali dell'Arma dei carabinieri, tra i quali il colonnello Dino Mingarelli. Il registro certifica al Livello A, sul fondamento dei giudicati, il complesso del depistaggio di Peteano nelle sue 2 componenti, la falsa pista verso innocenti e la perizia falsata, e ne trae la qualificazione tipologica: il caso appartiene alla specie dell'ostruzione tecnico-istituzionale, nella quale l'inquinamento passa per l'atto peritale e per la condotta di appartenenti all'istituzione investigante, e la circostanza che il perito depistante provenisse dal medesimo ambiente della matrice costituisce l'anello di congiunzione, giudizialmente accertato, tra l'ambiente autore e l'apparato inquinante.</w:t>
      </w:r>
    </w:p>
    <w:p>
      <w:pPr>
        <w:spacing w:after="120" w:line="276"/>
        <w:jc w:val="both"/>
      </w:pPr>
      <w:r>
        <w:rPr>
          <w:rFonts w:ascii="Barlow Semi Condensed" w:cs="Barlow Semi Condensed" w:eastAsia="Barlow Semi Condensed" w:hAnsi="Barlow Semi Condensed"/>
          <w:sz w:val="24"/>
          <w:szCs w:val="24"/>
        </w:rPr>
        <w:t xml:space="preserve">Il secondo pilastro è la confessione e la condanna dell'esecutore. Nel 1984, nel quadro dell'istruttoria condotta dal giudice istruttore di Venezia Felice Casson, che aveva riaperto il caso rilevando le anomalie della prima inchiesta, Vincenzo Vinciguerra, militante ordinovista friulano transitato per Avanguardia Nazionale, rivendicò la strage assumendone la piena e solitaria responsabilità esecutiva, qualificandola quale atto di guerra contro lo Stato e rifiutando ogni beneficio premiale; fu condannato all'ergastolo con sentenza divenuta irrevocabile, e da allora sconta la pena senza aver mai chiesto misure alternative. Il registro certifica al Livello A, sul fondamento della confessione riscontrata e del giudicato, la responsabilità esecutiva di Vinciguerra, e tratta il suo apparato dichiarativo secondo la disciplina differenziata che l'Indice di Contaminazione della Fonte impone: le dichiarazioni contra se, culminate nella confessione, possiedono il massimo valore probatorio e sono certificate; le dichiarazioni su terzi e sul sistema, nelle quali Vinciguerra ha sostenuto per decenni che gli esecutori della stagione stragista furono protetti da una struttura di sicurezza atlantica annidata negli apparati, sono dichiarazioni di un condannato coerente ma non riscontrate nella loro estensione sistemica, e il registro le mantiene al Livello B ove convergano con accertamenti autonomi, come per la protezione di cui l'ambiente ordinovista friulano godette, e al Livello C ove restino affermazione generale non riscontrata.</w:t>
      </w:r>
    </w:p>
    <w:p>
      <w:pPr>
        <w:spacing w:after="120" w:line="276"/>
        <w:jc w:val="both"/>
      </w:pPr>
      <w:r>
        <w:rPr>
          <w:rFonts w:ascii="Barlow Semi Condensed" w:cs="Barlow Semi Condensed" w:eastAsia="Barlow Semi Condensed" w:hAnsi="Barlow Semi Condensed"/>
          <w:sz w:val="24"/>
          <w:szCs w:val="24"/>
        </w:rPr>
        <w:t xml:space="preserve">Il terzo pilastro è la filiazione istruttoria verso Gladio, che salda il nodo alla Fase 2 e costituisce uno dei reperti di connessione più netti dell'intera opera. Fu l'istruttoria Casson su Peteano che, seguendo la pista dell'esplosivo e dei depositi, giunse nel 1990 a chiedere e ottenere l'accesso agli archivi del servizio militare, e fu da quel percorso istruttorio che scaturì, il 24 ottobre 1990, la rivelazione ufficiale dell'esistenza della rete stay-behind da parte del presidente del Consiglio Andreotti, certificata nella Fase 2. Il registro certifica al Livello A la sequenza istruttoria che dal caso Peteano condusse alla rivelazione di Gladio, quale fatto storico documentato; e ne precisa i limiti con il rigore consueto: la sequenza certifica che l'indagine su una strage condusse alla scoperta della rete clandestina, non che la rete clandestina eseguì o ordinò la strage, la cui responsabilità esecutiva è attribuita dal giudicato al solo Vinciguerra; il rapporto tra la strage e la rete resta definito dai materiali, l'esplosivo e l'ambiente, e dalla protezione goduta, non da un mandato accertato, e la distinzione tra la connessione materiale-ambientale, documentata, e la connessione di mandato, non provata, è l'ultima applicazione della Regola Ferrea che il capitolo consegna.</w:t>
      </w:r>
    </w:p>
    <w:p>
      <w:pPr>
        <w:spacing w:after="120" w:line="276"/>
        <w:jc w:val="both"/>
      </w:pPr>
      <w:r>
        <w:rPr>
          <w:rFonts w:ascii="Barlow Semi Condensed" w:cs="Barlow Semi Condensed" w:eastAsia="Barlow Semi Condensed" w:hAnsi="Barlow Semi Condensed"/>
          <w:sz w:val="24"/>
          <w:szCs w:val="24"/>
        </w:rPr>
        <w:t xml:space="preserve">Il quarto pilastro è la pista dell'esplosivo, che costituisce il segmento tecnico della riapertura e la cerniera materiale tra il nodo e la scoperta della rete clandestina. La perizia falsata del primo procedimento aveva occultato la natura dell'esplosivo impiegato; la riapertura istruttoria degli anni Ottanta ripartì precisamente da lì, dalla rideterminazione tecnica del materiale esplodente e dalla ricerca della sua provenienza, e fu seguendo la catena dell'esplosivo, dei detonatori e dei depositi occultati sul territorio nordorientale che l'istruttoria veneziana giunse a interrogarsi sull'esistenza di strutture clandestine dotate di depositi di armi ed esplosivi, sino alla richiesta di accesso agli archivi del servizio militare che produsse la rivelazione dell'ottobre 1990. Il registro certifica al Livello A la sequenza tecnico-istruttoria, quale percorso documentato negli atti, e ne dichiara il valore metodologico: è l'applicazione più compiuta, nell'intera opera, del paradigma indiziario assunto a fondamento della metodologia, giacché fu il dettaglio materiale, l'incongruenza di una perizia su un composto esplodente, a costituire la traccia dalla quale l'accertamento risalì, attraverso la catena delle provenienze, sino a una struttura dello Stato rimasta occulta per 4 decenni; la traiettoria dalla traccia alla struttura, compiuta in 18 anni di lavoro istruttorio, è la dimostrazione empirica che il metodo delle tracce, applicato con ostinazione, penetra anche gli occultamenti istituzionalmente presidiati. Il registro ribadisce, a chiusura del pilastro, la delimitazione già posta: la catena materiale documenta la contiguità di ambienti e di depositi, non trasferisce il mandato della strage dalla persona del condannato alla struttura scoperta, e l'inferenza resta vietata.</w:t>
      </w:r>
    </w:p>
    <w:p>
      <w:pPr>
        <w:spacing w:after="120" w:line="276"/>
        <w:jc w:val="both"/>
      </w:pPr>
      <w:r>
        <w:rPr>
          <w:rFonts w:ascii="Barlow Semi Condensed" w:cs="Barlow Semi Condensed" w:eastAsia="Barlow Semi Condensed" w:hAnsi="Barlow Semi Condensed"/>
          <w:sz w:val="24"/>
          <w:szCs w:val="24"/>
        </w:rPr>
        <w:t xml:space="preserve">Il quinto pilastro è la latitanza spagnola di Vinciguerra, che salda il nodo al capitolo precedente e completa la mappa della protezione. Dopo la strage, Vinciguerra riparò all'estero e trascorse parte della latitanza nella Spagna degli anni Settanta, nell'ambiente dei fuoriusciti dell'eversione italiana che gravitava attorno alle figure già censite, prima di essere arrestato e di rientrare nel circuito giudiziario italiano; ed è lo stesso Vinciguerra ad aver dichiarato, nel proprio apparato dichiarativo, che la protezione goduta in quegli anni dall'ambiente dei latitanti costituiva la prova vivente dell'esistenza di una rete di copertura. Il registro certifica al Livello A il fatto della latitanza estera e della sua collocazione nell'ambiente dei fuoriusciti, quale dato documentato; certifica al Livello B la protezione ambientale goduta dai latitanti dell'area nella Spagna dell'epoca, quale dato convergente di una pluralità di fonti e di vicende, ivi compresa quella di Delle Chiaie esposta nel capitolo precedente; e mantiene la qualificazione della protezione quale prova di una rete istituzionale unitaria al livello delle dichiarazioni del suo assertore, secondo la graduazione già stabilita. L'annotazione reticolare è tuttavia dovuta: la ricorrenza della medesima destinazione iberica nelle traiettorie di latitanza dei nodi della fase, da Delle Chiaie a Vinciguerra, e prima ancora nella rotta del finanziamento franchista censito nella Fase 2 sul nodo Borghese, qualifica la Spagna dell'ultimo franchismo quale zona di convergenza spaziale del Pattern 10, il territorio nel quale l'eversione italiana trovò rifugio, ambiente e retrovia; la certificazione della zona è di Livello A quanto alla ricorrenza dei fatti, e la Fase 5 ne farà uno dei propri teatri.</w:t>
      </w:r>
    </w:p>
    <w:p>
      <w:pPr>
        <w:spacing w:after="120" w:line="276"/>
        <w:jc w:val="both"/>
      </w:pPr>
      <w:r>
        <w:rPr>
          <w:rFonts w:ascii="Barlow Semi Condensed" w:cs="Barlow Semi Condensed" w:eastAsia="Barlow Semi Condensed" w:hAnsi="Barlow Semi Condensed"/>
          <w:sz w:val="24"/>
          <w:szCs w:val="24"/>
        </w:rPr>
        <w:t xml:space="preserve">Le triangolazioni del nodo sono 3. La prima, Peteano-falsa pista-perizia Morin, è il triangolo del depistaggio condannato, certificato al Livello A dai giudicati a carico del perito e degli ufficiali. La seconda, Peteano-Vinciguerra-confessione, è il triangolo della responsabilità esecutiva, certificato al Livello A dalla confessione riscontrata e dal giudicato. La terza, Peteano-istruttoria Casson-rivelazione di Gladio, è il triangolo della filiazione istruttoria, certificato al Livello A quanto alla sequenza storica e rigorosamente delimitato quanto alla sua portata inferenziale. Sul piano dei pattern, il nodo attiva il Pattern 5, l'analisi dei buchi strutturali, nella sua accezione investigativa: fu l'anomalia, la perizia incongrua e la pista implausibile, a costituire il varco attraverso il quale la riapertura del caso penetrò l'intera architettura dell'occultamento, secondo il paradigma indiziario che la Nota metodologica pone a fondamento dell'opera.</w:t>
      </w:r>
    </w:p>
    <w:p>
      <w:pPr>
        <w:spacing w:after="120" w:line="276"/>
        <w:jc w:val="both"/>
      </w:pPr>
      <w:r>
        <w:rPr>
          <w:rFonts w:ascii="Barlow Semi Condensed" w:cs="Barlow Semi Condensed" w:eastAsia="Barlow Semi Condensed" w:hAnsi="Barlow Semi Condensed"/>
          <w:sz w:val="24"/>
          <w:szCs w:val="24"/>
        </w:rPr>
        <w:t xml:space="preserve">Alla coppia degli esecutori il registro aggiunge la scheda del correo, che completa la mappa della protezione già censita: Carlo Cicuttini, condannato in via definitiva quale concorrente nella strage, condusse nella Spagna che questa fase ha già censito quale santuario una latitanza protrattasi per un quarto di secolo, sino alla cattura sul finire degli anni 90 ed alla consegna alla giustizia italiana, nelle cui carceri morì nel 2010, Livello A quanto alla condanna, alla latitanza ed alla cattura. La coppia degli esecutori consegna così al registro, condensata in 2 biografie divergenti, l'intera fenomenologia dei rapporti tra l'eversione ed i suoi rifugi: il confesso che rifiutò ogni protezione e scontò per intero, ed il correo che la protezione internazionale sottrasse per 25 anni all'esecuzione della pena, sicché la medesima sentenza produsse, sui 2 condannati, effetti separati da un quarto di secolo, e la distanza tra le 2 espiazioni è la misura, ancora una volta, del peso della variabile estera nella contabilità della giustizia domestica.</w:t>
      </w:r>
    </w:p>
    <w:p>
      <w:pPr>
        <w:spacing w:after="120" w:line="276"/>
        <w:jc w:val="both"/>
      </w:pPr>
      <w:r>
        <w:rPr>
          <w:rFonts w:ascii="Barlow Semi Condensed" w:cs="Barlow Semi Condensed" w:eastAsia="Barlow Semi Condensed" w:hAnsi="Barlow Semi Condensed"/>
          <w:sz w:val="24"/>
          <w:szCs w:val="24"/>
        </w:rPr>
        <w:t xml:space="preserve">Il profilo del confesso merita l'annotazione epistemologica che lo distingue da ogni altra fonte del registro: Vincenzo Vinciguerra non negoziò. La confessione del 1984 non fu accompagnata da richiesta di benefici, dissociazione premiale o collaborazione retribuita; l'esecutore rivendicò l'atto quale gesto di guerra rivoluzionaria contro lo Stato ed i suoi apparati, rifiutò lo statuto del pentito e scontò da allora, ininterrottamente, l'ergastolo divenuto irrevocabile, Livello A quanto alla condotta processuale ed al regime detentivo. Nella disciplina dell'Indice di Contaminazione della Fonte, che il registro applica ad ogni dichiarante, questa condizione colloca Vinciguerra all'estremo puro dello spettro: una fonte priva di contropartite e perciò priva del movente ordinario della fabbricazione, il cui racconto va tuttavia maneggiato con l'avvertenza speculare, che l'assenza di interesse premiale non equivale ad assenza di interesse ideologico, giacché il confesso consegna la propria verità dentro una cornice dottrinale che seleziona ciò che illumina. Il registro ne ha tratto la regola che applica all'intero suo apparato dichiarativo: la purezza negoziale della fonte ne accresce l'attendibilità sul fatto proprio e non la estende automaticamente alle chiamate in correità ed alle ricostruzioni di sistema, che restano soggette al riscontro come ogni altra.</w:t>
      </w:r>
    </w:p>
    <w:p>
      <w:pPr>
        <w:spacing w:after="120" w:line="276"/>
        <w:jc w:val="both"/>
      </w:pPr>
      <w:r>
        <w:rPr>
          <w:rFonts w:ascii="Barlow Semi Condensed" w:cs="Barlow Semi Condensed" w:eastAsia="Barlow Semi Condensed" w:hAnsi="Barlow Semi Condensed"/>
          <w:sz w:val="24"/>
          <w:szCs w:val="24"/>
        </w:rPr>
        <w:t xml:space="preserve">Resta la morfologia del bersaglio, che fa di Peteano un unicum nella serie e che l'analisi comparata deve dichiarare: tutte le stragi della stagione colpirono civili inermi in luoghi civili, la banca, la piazza, il treno, la stazione, mentre Peteano colpì, con l'esca della telefonata e dell'auto imbottita, uomini dello Stato in uniforme, carabinieri attirati in servizio. La deviazione dal modello non è un dettaglio ma una firma: essa dichiara un'azione concepita non per produrre terrore indiscriminato da attribuire all'avversario, secondo la grammatica della provocazione che il capitolo 4 ha documentato, ma per punire l'apparato stesso, secondo una logica di ritorsione interna al campo che la confessione del 1984 avrebbe poi esplicitato. Il registro consegna la differenza al Pattern 11 quale caso di anti-isomorfismo diagnostico: nella serie delle stragi, l'evento che rompe la forma è quello che, rompendola, rivela il codice della forma stessa, e non è privo di significato che proprio dalla strage anomala, la sola che aggredì lo Stato invece di servirlo, sia germinata l'istruttoria che avrebbe disvelato la rete clandestina censita nella Fase 2.</w:t>
      </w:r>
    </w:p>
    <w:p>
      <w:pPr>
        <w:spacing w:after="120" w:line="276"/>
        <w:jc w:val="both"/>
      </w:pPr>
      <w:r>
        <w:rPr>
          <w:rFonts w:ascii="Barlow Semi Condensed" w:cs="Barlow Semi Condensed" w:eastAsia="Barlow Semi Condensed" w:hAnsi="Barlow Semi Condensed"/>
          <w:sz w:val="24"/>
          <w:szCs w:val="24"/>
        </w:rPr>
        <w:t xml:space="preserve">La scheda del nodo si completa con il secondo condannato, che il registro censisce nella sua parabola integrale: Carlo Cicuttini, l'uomo della telefonata-esca identificato anche attraverso la perizia fonica sulla voce registrata, riparò in Spagna già nel 1972 e vi trascorse 26 anni di latitanza protetta nel santuario iberico censito da quest'opera, sino alla cattura del 1998, all'estradizione ed alla condanna definitiva all'ergastolo, spegnendosi detenuto nel 2010, Livello A quanto all'identificazione, alla latitanza, agli esiti ed alla morte. Il registro affianca la traiettoria a quella del complice reo confesso censito nel capitolo: i 2 uomini di Peteano percorsero le 2 strade esattamente speculari che il corpus conosce, l'uno la confessione totale senza sconti e la detenzione perpetua rivendicata, l'altro il quarto di secolo di protezione straniera e la resa finale alla giustizia soltanto per cattura, e la circostanza che entrambe le strade siano finite nello stesso punto, l'ergastolo, con 15 anni di distanza e 2 dignità documentali opposte, consegna al registro la comparazione più nitida del corpus sul valore conoscitivo delle scelte individuali: dalla strada di Vinciguerra l'opera ha ricavato un archivio, da quella di Cicuttini soltanto un casellario, e la differenza tra i 2 lasciti misura quanto della verità storica di questa fase sia dipeso non dalle istituzioni ma dalla decisione solitaria di un uomo di parlare.</w:t>
      </w:r>
    </w:p>
    <w:p>
      <w:pPr>
        <w:spacing w:after="120" w:line="276"/>
        <w:jc w:val="both"/>
      </w:pPr>
      <w:r>
        <w:rPr>
          <w:rFonts w:ascii="Barlow Semi Condensed" w:cs="Barlow Semi Condensed" w:eastAsia="Barlow Semi Condensed" w:hAnsi="Barlow Semi Condensed"/>
          <w:sz w:val="24"/>
          <w:szCs w:val="24"/>
        </w:rPr>
        <w:t xml:space="preserve">Il caso di Peteano esige infine la dichiarazione del proprio statuto eccezionale, che il registro formula quale misura dell'intera fase: la strage del 1972 è l'unica, nell'intero corpus stragista, integralmente risolta in ogni sua componente, con gli esecutori condannati in via definitiva su confessione riscontrata, il movente accertato in sentenza, la matrice ideologica dichiarata dal suo autore, ed i depistatori istituzionali processati e condannati per esteso, sicché il caso realizza, solo, la configurazione che tutte le altre stragi hanno raggiunto in forma parziale o nulla, Livello A su ogni segmento della catena. Il registro consegna l'eccezione alla sua funzione di metro: Peteano dimostra che la soluzione integrale di una strage italiana era possibile, e le condizioni che la resero possibile, la confessione volontaria di un esecutore sottrattosi ad ogni protezione, un'istruttoria condotta fuori dai circuiti inquinati, la dimensione contenuta dell'evento che non mobilitò le coperture riservate ai grandi snodi, compongono in negativo la diagnosi delle altre, perché ciò che a Peteano ci fu ed altrove mancò, la rottura interna del campo degli autori e l'assenza di interessi superiori alla verità, è esattamente l'elenco di ciò che il corpus ha censito quale meccanica dell'impunità, sicché l'unica strage risolta non è un'anomalia consolatoria, è il gruppo di controllo dell'esperimento italiano, il caso che mostra come sarebbero potute finire tutte, e perché non finirono così.</w:t>
      </w:r>
    </w:p>
    <w:p>
      <w:pPr>
        <w:spacing w:after="120" w:line="276"/>
        <w:jc w:val="both"/>
      </w:pPr>
      <w:r>
        <w:rPr>
          <w:rFonts w:ascii="Barlow Semi Condensed" w:cs="Barlow Semi Condensed" w:eastAsia="Barlow Semi Condensed" w:hAnsi="Barlow Semi Condensed"/>
          <w:b/>
          <w:bCs/>
          <w:sz w:val="24"/>
          <w:szCs w:val="24"/>
        </w:rPr>
        <w:t xml:space="preserve">Sintesi del dato nuovo acquisito:</w:t>
      </w:r>
      <w:r>
        <w:rPr>
          <w:rFonts w:ascii="Barlow Semi Condensed" w:cs="Barlow Semi Condensed" w:eastAsia="Barlow Semi Condensed" w:hAnsi="Barlow Semi Condensed"/>
          <w:sz w:val="24"/>
          <w:szCs w:val="24"/>
        </w:rPr>
        <w:t xml:space="preserve"> il nodo Peteano è certificato al Livello A quale strage dalla configurazione probatoria più completa della stagione, con le 3 vittime dell'Arma nominate, l'esecutore reo confesso Vincenzo Vinciguerra condannato all'ergastolo in via definitiva, il depistaggio accertato con condanne del perito ordinovista Morin e di ufficiali dell'Arma tra cui il colonnello Mingarelli, e la filiazione istruttoria documentata dell'inchiesta Casson verso la rivelazione della rete Gladio dell'ottobre 1990; le dichiarazioni sistemiche di Vinciguerra sulla protezione atlantica degli esecutori restano graduate tra il Livello B e il Livello C secondo il riscontro, e la connessione di mandato tra la rete e la strage non è provata e non è affermata.</w:t>
      </w:r>
    </w:p>
    <w:p>
      <w:pPr>
        <w:pStyle w:val="Heading3"/>
        <w:spacing w:after="80" w:before="160"/>
      </w:pPr>
      <w:r>
        <w:rPr>
          <w:rFonts w:ascii="Barlow Semi Condensed" w:cs="Barlow Semi Condensed" w:eastAsia="Barlow Semi Condensed" w:hAnsi="Barlow Semi Condensed"/>
          <w:sz w:val="24"/>
          <w:szCs w:val="24"/>
        </w:rPr>
        <w:t xml:space="preserve">Capitolo 7 — ■ Piazza della Loggia. La strage giudicata e la fonte condannata</w:t>
      </w:r>
    </w:p>
    <w:p>
      <w:pPr>
        <w:spacing w:after="120" w:line="276"/>
        <w:jc w:val="both"/>
      </w:pPr>
      <w:r>
        <w:rPr>
          <w:rFonts w:ascii="Barlow Semi Condensed" w:cs="Barlow Semi Condensed" w:eastAsia="Barlow Semi Condensed" w:hAnsi="Barlow Semi Condensed"/>
          <w:sz w:val="24"/>
          <w:szCs w:val="24"/>
        </w:rPr>
        <w:t xml:space="preserve">La strage di piazza della Loggia, consumata a Brescia il 28 maggio 1974 durante una manifestazione antifascista indetta dai sindacati e dal comitato unitario permanente, è il nodo-evento attraverso il quale il registro certifica il risultato giudiziario più compiuto dell'intera stagione stragista: l'unica strage della sequenza politica ad avere mandanti e concorrenti condannati in via definitiva, e, tra essi, una fonte retribuita del servizio segreto militare, sicché l'arco tra il Dominio 3 e il Dominio 7 raggiunge in questo nodo la certificazione a giudicato nella sua forma più diretta. La scansione del corpus registra il sintagma della piazza 226 volte in oltre 20 documenti e il nome di Brescia 402 volte in 38. La bomba, collocata in un cestino portarifiuti sotto i portici, esplose alle 10:12 mentre dal palco parlava un sindacalista: uccise 8 persone, Giulietta Banzi Bazoli, Livia Bottardi Milani, Clementina Calzari Trebeschi, Alberto Trebeschi, Euplo Natali, Luigi Pinto, Bartolomeo Talenti e Vittorio Zambarda, e ne ferì oltre 100. Il registro ne trascrive i nomi quale atto dovuto.</w:t>
      </w:r>
    </w:p>
    <w:p>
      <w:pPr>
        <w:spacing w:after="120" w:line="276"/>
        <w:jc w:val="both"/>
      </w:pPr>
      <w:r>
        <w:rPr>
          <w:rFonts w:ascii="Barlow Semi Condensed" w:cs="Barlow Semi Condensed" w:eastAsia="Barlow Semi Condensed" w:hAnsi="Barlow Semi Condensed"/>
          <w:sz w:val="24"/>
          <w:szCs w:val="24"/>
        </w:rPr>
        <w:t xml:space="preserve">Il primo pilastro probatorio è l'inquinamento immediato della scena, che il registro certifica al Livello A quale reperto di ostruzione originaria. Poche ore dopo l'esplosione, per disposizione delle autorità locali, la piazza fu lavata con gli idranti, con la conseguente dispersione irreversibile dei reperti: un fatto pacifico, richiamato in ogni successiva ricostruzione giudiziaria quale menomazione irrimediabile del quadro probatorio. Il registro lo certifica al Livello A e lo iscrive nella tipologia dell'ostruzione quale specie della distruzione della scena sotto veste di ripristino, annotando che, come per il brillamento dell'ordigno inesploso del dicembre 1969, la menomazione del compendio probatorio avvenne per mano istituzionale nelle ore immediatamente successive all'evento, prima di ogni depistaggio deliberato: la sequenza dei 2 casi fonda la regolarità per cui l'accertamento delle stragi nacque, in entrambi gli eventi capitali del quinquennio, già amputato dei suoi reperti primari.</w:t>
      </w:r>
    </w:p>
    <w:p>
      <w:pPr>
        <w:spacing w:after="120" w:line="276"/>
        <w:jc w:val="both"/>
      </w:pPr>
      <w:r>
        <w:rPr>
          <w:rFonts w:ascii="Barlow Semi Condensed" w:cs="Barlow Semi Condensed" w:eastAsia="Barlow Semi Condensed" w:hAnsi="Barlow Semi Condensed"/>
          <w:sz w:val="24"/>
          <w:szCs w:val="24"/>
        </w:rPr>
        <w:t xml:space="preserve">Il secondo pilastro è il quarantennale ciclo processuale, che il registro espone nelle sue 3 stagioni con la disciplina integrale delle assoluzioni. La prima stagione ruotò attorno a Ermanno Buzzi, esponente della manovalanza neofascista bresciana, condannato all'ergastolo in primo grado nel 1979: trasferito nel carcere di Novara, fu strangolato il 13 aprile 1981 da Pierluigi Concutelli e Mario Tuti alla vigilia del processo d'appello, e l'appello, celebrato senza di lui, assolse gli altri imputati; il registro certifica al Livello A l'eliminazione dell'imputato quale fatto giudicato a carico degli autori, già annotato nel capitolo su Ordine Nuovo quale specie radicale dell'ostruzione, la soppressione della fonte prima della sua deposizione d'appello. La seconda stagione, incentrata su un diverso gruppo di imputati dell'area, si chiuse anch'essa con assoluzioni definitive tra la fine degli anni Ottanta e i primi Novanta. La terza stagione, aperta dalle nuove indagini degli anni Duemila sul versante ordinovista veneto, vide imputati Carlo Maria Maggi, Maurizio Tramonte, Delfo Zorzi e Pino Rauti: assolti tutti in primo grado nel 2010 e in appello nel 2012, la Cassazione, il 21 febbraio 2014, rese definitiva l'assoluzione di Zorzi, che il registro riporta per esteso unitamente a quella, già esposta, di Rauti, e annullò con rinvio quanto a Maggi e Tramonte; la Corte d'assise d'appello di Milano, in sede di rinvio, li condannò entrambi all'ergastolo il 22 luglio 2015, e la Corte di cassazione, il 20 giugno 2017, rese irrevocabili le condanne. Il registro certifica al Livello A, sul fondamento del giudicato del 2017, la responsabilità di Carlo Maria Maggi, medico veneziano e ispettore di Ordine Nuovo per il Triveneto, quale organizzatore e mandante, e di Maurizio Tramonte quale concorrente nella strage; Maggi è morto nel dicembre 2018, Tramonte, riparato in Portogallo, fu estradato nel 2017 e sconta la pena. Un ulteriore filone, a carico di soggetti all'epoca minorenni, ha prodotto in anni recentissimi una pronuncia di condanna in sede di merito, allo stato non irrevocabile per quanto consta al registro, che ne recepirà l'esito al consolidamento.</w:t>
      </w:r>
    </w:p>
    <w:p>
      <w:pPr>
        <w:spacing w:after="120" w:line="276"/>
        <w:jc w:val="both"/>
      </w:pPr>
      <w:r>
        <w:rPr>
          <w:rFonts w:ascii="Barlow Semi Condensed" w:cs="Barlow Semi Condensed" w:eastAsia="Barlow Semi Condensed" w:hAnsi="Barlow Semi Condensed"/>
          <w:sz w:val="24"/>
          <w:szCs w:val="24"/>
        </w:rPr>
        <w:t xml:space="preserve">Il terzo pilastro è la qualità soggettiva di Maurizio Tramonte, che costituisce il reperto capitale del nodo e dell'intera fase. Tramonte, militante dell'area ordinovista padovana, era, negli anni della strage, fonte informativa retribuita del Servizio informazioni difesa, registrata con il nome in codice Tritone: le sue veline del 1974, acquisite agli atti, riferivano al servizio notizie provenienti dall'interno degli ambienti ordinovisti, anche in connessione con la campagna stragista in corso; ed è il medesimo uomo che il giudicato del 2017 ha condannato quale concorrente nella strage. Il registro certifica al Livello A, sul fondamento congiunto della documentazione del servizio e del giudicato, la doppia qualità di Tramonte, fonte del SID e concorrente condannato nella strage di piazza della Loggia, e ne dichiara la portata sistemica con la precisione che il caso esige. Nella progressione degli accertamenti che il registro ha censito, questo è il punto d'arrivo: la Fase 2 aveva certificato, con Giannettini, che il servizio disponeva di una fonte negli ambienti della matrice e la sottrasse all'accertamento; il presente nodo certifica che una fonte del servizio, contestualmente attiva e retribuita, fu essa stessa concorrente in una strage. Il salto probatorio è di specie, non di grado: l'arco tra il Dominio 3 e il Dominio 7 non è più soltanto l'arco dell'ostruzione successiva, ma incorpora, nella persona della fonte, la compresenza documentata dell'apparato informativo dentro l'ambiente esecutore al momento del fatto. Il registro delimita immediatamente l'inferenza, come la Regola Ferrea impone: la condanna di Tramonte certifica la responsabilità del singolo e la sua qualità di fonte, non certifica che il servizio, quale istituzione, abbia ordinato o conosciuto preventivamente la strage; il giudicato accerta la compresenza, non il mandato, e la distanza tra le 2 proposizioni, per quanto la prima renda la seconda oggetto legittimo di ipotesi, resta probatoriamente incolmata. L'ipotesi del mandato o della scienza preventiva istituzionale resta al Livello C.</w:t>
      </w:r>
    </w:p>
    <w:p>
      <w:pPr>
        <w:spacing w:after="120" w:line="276"/>
        <w:jc w:val="both"/>
      </w:pPr>
      <w:r>
        <w:rPr>
          <w:rFonts w:ascii="Barlow Semi Condensed" w:cs="Barlow Semi Condensed" w:eastAsia="Barlow Semi Condensed" w:hAnsi="Barlow Semi Condensed"/>
          <w:sz w:val="24"/>
          <w:szCs w:val="24"/>
        </w:rPr>
        <w:t xml:space="preserve">Il quarto pilastro è il contenuto documentale delle veline della fonte Tritone, che il registro espone quale corpo del reperto capitale enunciato al pilastro precedente. Le informative trasmesse da Tramonte al centro di controspionaggio competente nella primavera e nell'estate del 1974, acquisite agli atti e valorizzate nel giudicato, riferivano dall'interno dell'ambiente ordinovista veneto notizie su riunioni operative dell'area, sugli orientamenti verso la prosecuzione della campagna eversiva e su propositi attentatori, con una velina successiva alla strage che riferiva elementi sugli ambienti e sulle responsabilità: il servizio disponeva dunque, in tempo reale, di un flusso informativo proveniente dall'interno della comunità cui il giudicato avrebbe attribuito la strage, trasmesso da un uomo che il medesimo giudicato avrebbe riconosciuto concorrente nel fatto. Il registro certifica al Livello A l'esistenza, la collocazione temporale e la provenienza delle veline, quali dati documentali acquisiti, e la loro valorizzazione nel giudicato del 2017; e dichiara la conseguenza analitica con la precisione che il punto esige. Il flusso documentale certifica che l'informazione sull'ambiente della matrice raggiunse l'apparato prima, durante e dopo l'evento: ciò che l'apparato fece di quell'informazione, e ciò che i suoi vertici ne sapessero, è questione distinta, che i giudizi hanno esplorato senza produrre condanne di appartenenti al servizio per la strage, e che il registro mantiene al livello dell'ipotesi; ma la disponibilità del flusso è un fatto, e la sua certificazione sposta definitivamente il confine del negabile, giacché dopo il giudicato del 2017 non è più sostenibile che gli apparati fossero ciechi rispetto all'ambiente bresciano, essendo provato che vi possedevano dentro una fonte retribuita, e la questione storica si è spostata, per sempre, dalla conoscenza alla condotta.</w:t>
      </w:r>
    </w:p>
    <w:p>
      <w:pPr>
        <w:spacing w:after="120" w:line="276"/>
        <w:jc w:val="both"/>
      </w:pPr>
      <w:r>
        <w:rPr>
          <w:rFonts w:ascii="Barlow Semi Condensed" w:cs="Barlow Semi Condensed" w:eastAsia="Barlow Semi Condensed" w:hAnsi="Barlow Semi Condensed"/>
          <w:sz w:val="24"/>
          <w:szCs w:val="24"/>
        </w:rPr>
        <w:t xml:space="preserve">Il quinto pilastro è il significato processuale del giudicato del 2017 nella serie complessiva, che il registro dichiara quale reperto sulla possibilità stessa dell'accertamento. La condanna irrevocabile per piazza della Loggia giunse 43 anni dopo il fatto, all'esito di 3 stagioni processuali, di 2 assoluzioni di merito nel medesimo ultimo ciclo e di un annullamento con rinvio: è l'unico caso della serie politica in cui la macchina giudiziaria, ripartendo dopo decenni su materiale in parte nuovo, le veline della fonte, le acquisizioni dell'istruttoria milanese, le dichiarazioni maturate nel tempo, è pervenuta a un giudicato di condanna per mandato e concorso. Il registro certifica al Livello A questa unicità e ne trae 2 annotazioni comparate. La prima: il caso dimostra che l'esito assolutorio dei cicli coevi non equivaleva all'inaccertabilità del vero, ma alla insufficienza del materiale allora disponibile, e che l'accertamento tardivo fu reso possibile dalla congiunzione di 3 fattori documentati, la persistenza della parte civile e della comunità bresciana, la desecretazione progressiva dei materiali degli apparati, e la maturazione delle fonti dichiarative; nessuno dei 3 fattori era nella disponibilità dei giudici degli anni Settanta e Ottanta, e la comparazione tra le stagioni misura non la diversa qualità dei giudici ma la diversa apertura degli archivi, confermando la regolarità che il registro ha elevato a legge empirica del campo. La seconda annotazione delimita: l'unicità del giudicato bresciano non autorizza a trasferirne le conclusioni agli altri eventi della serie, ciascuno dei quali conserva il proprio statuto probatorio, e l'operazione, corrente nella vulgata, di estendere la matrice giudicata di Brescia all'intera sequenza quale verità dimostrata viola la disciplina che il registro applica evento per evento.</w:t>
      </w:r>
    </w:p>
    <w:p>
      <w:pPr>
        <w:spacing w:after="120" w:line="276"/>
        <w:jc w:val="both"/>
      </w:pPr>
      <w:r>
        <w:rPr>
          <w:rFonts w:ascii="Barlow Semi Condensed" w:cs="Barlow Semi Condensed" w:eastAsia="Barlow Semi Condensed" w:hAnsi="Barlow Semi Condensed"/>
          <w:sz w:val="24"/>
          <w:szCs w:val="24"/>
        </w:rPr>
        <w:t xml:space="preserve">Le triangolazioni del nodo sono 3. La prima, piazza della Loggia-idranti-menomazione probatoria, è il triangolo dell'ostruzione originaria, certificato al Livello A. La seconda, piazza della Loggia-Maggi-ordinovismo triveneto, è il triangolo della matrice giudicata, certificato al Livello A dal giudicato del 20 giugno 2017, che consegna alla sequenza stragista 1969-1974 la sua unica condanna definitiva di mandante. La terza, piazza della Loggia-Tramonte-SID, è il triangolo della fonte condannata, certificato al Livello A nella doppia qualità e mantenuto al Livello C quanto al mandato istituzionale. Sul piano dei pattern, il nodo compie il Pattern 3, chiudendo la finestra critica 1969-1974 con l'evento che ne condivide la matrice accertata con l'evento inaugurale; e attiva il Pattern 2, giacché la comunità ordinovista triveneta risulta, all'esito dei giudicati, la comunità funzionale cui sono riconducibili, in sede storica per piazza Fontana e in sede di condanna per piazza della Loggia, i 2 eccidi maggiori del quinquennio.</w:t>
      </w:r>
    </w:p>
    <w:p>
      <w:pPr>
        <w:spacing w:after="120" w:line="276"/>
        <w:jc w:val="both"/>
      </w:pPr>
      <w:r>
        <w:rPr>
          <w:rFonts w:ascii="Barlow Semi Condensed" w:cs="Barlow Semi Condensed" w:eastAsia="Barlow Semi Condensed" w:hAnsi="Barlow Semi Condensed"/>
          <w:sz w:val="24"/>
          <w:szCs w:val="24"/>
        </w:rPr>
        <w:t xml:space="preserve">La stagione intermedia del ciclo processuale esige il completamento che la disciplina delle assoluzioni impone. Tra la caduta della prima costruzione accusatoria e l'apertura dell'ultima, l'istruttoria esplorò negli anni 80 la pista dell'ambiente neofascista milanese, imperniata sulla posizione di Cesare Ferri, rinviato a giudizio quale esecutore sul fondamento di riconoscimenti e dichiarazioni: il dibattimento si concluse con l'assoluzione, divenuta irrevocabile sul finire del decennio, che il registro riporta per esteso quale ulteriore esito liberatorio della serie bresciana, Livello A. Con essa la contabilità del quarantennio assume la sua forma finale: 3 costruzioni accusatorie successive, le prime 2 dissolte in assoluzioni irrevocabili, la terza approdata alle condanne definitive che il capitolo ha certificato; e la circostanza che la costruzione vincente sia stata quella fondata non su testimoni oculari né su confessioni, ma sull'incrocio documentale tra le informative d'epoca e le acquisizioni dibattimentali, conferma alla metodologia dell'opera che, nella lunga durata, l'archivio prevale sul ricordo, ed il paradigma indiziario, che sugli archivi lavora, non è un ripiego rispetto alla prova dichiarativa ma il suo superamento, l'unico strumento che il tempo affila invece di corrompere.</w:t>
      </w:r>
    </w:p>
    <w:p>
      <w:pPr>
        <w:spacing w:after="120" w:line="276"/>
        <w:jc w:val="both"/>
      </w:pPr>
      <w:r>
        <w:rPr>
          <w:rFonts w:ascii="Barlow Semi Condensed" w:cs="Barlow Semi Condensed" w:eastAsia="Barlow Semi Condensed" w:hAnsi="Barlow Semi Condensed"/>
          <w:sz w:val="24"/>
          <w:szCs w:val="24"/>
        </w:rPr>
        <w:t xml:space="preserve">La terza stagione processuale esige la sua cronologia integrale, perché la sua parabola, dall'assoluzione generale alla condanna definitiva, è unica nella storia dello stragismo e va consegnata data per data. Rinviati a giudizio gli imputati del versante ordinovista all'esito delle nuove indagini, la Corte d'Assise di Brescia li assolse tutti il 16 novembre 2010, e la Corte d'Assise d'appello confermò le assoluzioni nell'aprile 2012; la Corte di cassazione, nel febbraio 2014, annullò con rinvio le sole posizioni di Carlo Maria Maggi e di Maurizio Tramonte, rigettando nel contempo le impugnazioni contro le assoluzioni di Delfo Zorzi e di Pino Rauti, che divennero con ciò irrevocabili e che il registro riporta per esteso in ossequio alla propria regola; il giudizio di rinvio dinanzi alla Corte d'Assise d'appello di Milano si chiuse il 22 luglio 2015 con la condanna all'ergastolo di Maggi quale organizzatore e di Tramonte quale concorrente, e la Corte di cassazione rese irrevocabili le condanne il 20 giugno 2017, Livello A sull'intera scansione. Quarantatré anni separano la piazza dal giudicato: ed il registro annota che la condanna definitiva maturò quando l'organizzatore era ultraottantenne ed infermo, sicché la pena, ancora una volta, raggiunse la verità assai più dell'uomo, secondo la forbice che la Fase 2 ha già misurato sul caso Maletti.</w:t>
      </w:r>
    </w:p>
    <w:p>
      <w:pPr>
        <w:spacing w:after="120" w:line="276"/>
        <w:jc w:val="both"/>
      </w:pPr>
      <w:r>
        <w:rPr>
          <w:rFonts w:ascii="Barlow Semi Condensed" w:cs="Barlow Semi Condensed" w:eastAsia="Barlow Semi Condensed" w:hAnsi="Barlow Semi Condensed"/>
          <w:sz w:val="24"/>
          <w:szCs w:val="24"/>
        </w:rPr>
        <w:t xml:space="preserve">Il valore sistemico della scansione sta però nel suo motore, che il registro isola quale lezione di metodo: la riapertura degli anni 2000 non nacque da una nuova fonte dichiarativa ma dal riesame integrale del già noto, la digitalizzazione ed il riordino delle carte, l'incrocio delle veline della fonte Tritone con i movimenti documentati degli uomini, la rilettura filologica di materiale che giaceva agli atti da decenni. Brescia dimostra così, in sede giudiziaria, il teorema che il capitolo 9 della Fase 2 ha enunciato in sede archivistica: il sapere che giace non è sapere perduto, e la distanza tra un'assoluzione del 2012 ed una condanna del 2017, a parità sostanziale di giacimento documentale, misura non un mutamento delle carte ma un mutamento dello sguardo. È la vittoria postuma, se così può dirsi con la sobrietà che il registro impone, del paradigma indiziario sulla rassegnazione: l'archivio attese 40 anni il proprio lettore, e quando lo trovò, la piazza ebbe il suo giudicato.</w:t>
      </w:r>
    </w:p>
    <w:p>
      <w:pPr>
        <w:spacing w:after="120" w:line="276"/>
        <w:jc w:val="both"/>
      </w:pPr>
      <w:r>
        <w:rPr>
          <w:rFonts w:ascii="Barlow Semi Condensed" w:cs="Barlow Semi Condensed" w:eastAsia="Barlow Semi Condensed" w:hAnsi="Barlow Semi Condensed"/>
          <w:sz w:val="24"/>
          <w:szCs w:val="24"/>
        </w:rPr>
        <w:t xml:space="preserve">Alla persistenza processuale del nodo corrisponde una persistenza civile che il registro censisce quale dato di lungo periodo: la comunità bresciana costruì attorno alla piazza una delle infrastrutture memoriali più solide del Paese, con l'associazione dei familiari attiva sin dai giorni successivi alla strage e, dal 2000, la Casa della Memoria, l'istituzione cittadina che raccoglie, ordina e rende consultabile l'intero giacimento documentale e processuale dell'evento, Livello A quanto all'esistenza ed alla funzione delle istituzioni memoriali. Il nesso tra questa persistenza e l'esito giudiziario del 2017 non è certificabile quale rapporto causale, ed il registro non lo certifica; è però censibile quale correlazione di sistema: dei nodi-evento della fase, quello approdato a condanna definitiva è anche quello attorno al quale la società civile mantenne, per 4 decenni, la più continua pressione documentale e conoscitiva, alimentando le riaperture con la custodia attiva delle carte. La memoria organizzata, suggerisce il caso bresciano, non è un supplemento consolatorio dell'accertamento ma una sua condizione ambientale: gli archivi attendono i lettori, come il capitolo ha detto, ma i lettori arrivano dove qualcuno ha tenuto accesa la luce.</w:t>
      </w:r>
    </w:p>
    <w:p>
      <w:pPr>
        <w:spacing w:after="120" w:line="276"/>
        <w:jc w:val="both"/>
      </w:pPr>
      <w:r>
        <w:rPr>
          <w:rFonts w:ascii="Barlow Semi Condensed" w:cs="Barlow Semi Condensed" w:eastAsia="Barlow Semi Condensed" w:hAnsi="Barlow Semi Condensed"/>
          <w:sz w:val="24"/>
          <w:szCs w:val="24"/>
        </w:rPr>
        <w:t xml:space="preserve">L'architrave testimoniale della terza stagione esige la sua scheda, che il registro censisce con lo statuto più complesso dell'intera fase: Carlo Digilio, l'armiere dell'area ordinovista veneta rientrato coattivamente da Santo Domingo all'inizio degli anni Novanta, divenne da collaboratore la fonte interna maggiore dell'istruttoria milanese e dei dibattimenti conseguenti, con dichiarazioni che coprivano la logistica degli esplosivi, le riunioni preparatorie e la catena veneta dei 2 stragi maggiori, e con la posizione personale definita dalla dichiarazione di prescrizione del concorso in strage per effetto delle attenuanti della collaborazione, esito che ne fa, paradosso documentale supremo del corpus, l'unico uomo formalmente riconosciuto concorrente nella strage di piazza Fontana da una statuizione divenuta definitiva, Livello A quanto alla parabola personale ed all'esito prescrittivo. La sorte dibattimentale delle sue dichiarazioni misura la linea di faglia delle 2 stagioni: valorizzate dall'istruttoria e dai primi gradi milanesi, ridimensionate dalla sentenza di legittimità del 2005 che ne censurò l'affidabilità su snodi decisivi, tornarono architrave, per la parte riscontrata, nel giudizio bresciano concluso con le condanne del 2015-2017, sicché il medesimo dichiarante fu insufficiente per una strage e determinante per l'altra, Livello A quanto agli esiti divergenti nei giudicati. Il registro trae dalla parabola la lezione di metodo che consegna alla fase: la fonte Digilio, morta nel 2005 prima del proprio raccolto bresciano, dimostra che nell'economia probatoria delle stragi il valore di un collaboratore non è una proprietà della persona ma della rete dei riscontri che ciascun processo riesce a costruirle attorno, e la sua doppia sorte giudiziaria, respinto a Milano e accolto a Brescia sui medesimi ambienti, è la dimostrazione sperimentale che a decidere non fu mai la voce, ma l'orecchio.</w:t>
      </w:r>
    </w:p>
    <w:p>
      <w:pPr>
        <w:spacing w:after="120" w:line="276"/>
        <w:jc w:val="both"/>
      </w:pPr>
      <w:r>
        <w:rPr>
          <w:rFonts w:ascii="Barlow Semi Condensed" w:cs="Barlow Semi Condensed" w:eastAsia="Barlow Semi Condensed" w:hAnsi="Barlow Semi Condensed"/>
          <w:sz w:val="24"/>
          <w:szCs w:val="24"/>
        </w:rPr>
        <w:t xml:space="preserve">Il 28 maggio bresciano possiede un reperto che nessun'altra strage del corpus possiede, ed il registro lo censisce quale unicum documentale assoluto: l'esplosione fu registrata, perché l'impianto di amplificazione della manifestazione sindacale incideva su nastro il comizio in corso, e la bobina conservò la voce dell'oratore, il boato, i secondi di silenzio e le prime grida, consegnando alla storia ed ai processi l'unico documento sonoro autentico di una strage italiana nel suo istante, Livello A quanto all'esistenza ed all'autenticità della registrazione acquisita agli atti. Il registro assegna al nastro la sua doppia funzione: sul piano probatorio, la registrazione ha fornito ai dibattimenti la cronologia acustica esatta dell'evento, sottraendo l'istante della deflagrazione alla plasticità della memoria testimoniale che il corpus ha imparato a temere; sul piano della memoria civile, essa ha fatto di piazza della Loggia la sola strage che il Paese può ascoltare e non soltanto ricostruire, e questa udibilità perpetua, custodita e riproposta dalla liturgia memoriale bresciana, spiega in parte la qualità particolare che la vicenda ha mantenuto nella coscienza pubblica: le altre stragi sono racconti, Brescia è un suono, e contro un suono la negazione e la rimozione, che sul racconto lavorano da sempre, non hanno mai avuto strumenti.</w:t>
      </w:r>
    </w:p>
    <w:p>
      <w:pPr>
        <w:spacing w:after="120" w:line="276"/>
        <w:jc w:val="both"/>
      </w:pPr>
      <w:r>
        <w:rPr>
          <w:rFonts w:ascii="Barlow Semi Condensed" w:cs="Barlow Semi Condensed" w:eastAsia="Barlow Semi Condensed" w:hAnsi="Barlow Semi Condensed"/>
          <w:b/>
          <w:bCs/>
          <w:sz w:val="24"/>
          <w:szCs w:val="24"/>
        </w:rPr>
        <w:t xml:space="preserve">Sintesi del dato nuovo acquisito:</w:t>
      </w:r>
      <w:r>
        <w:rPr>
          <w:rFonts w:ascii="Barlow Semi Condensed" w:cs="Barlow Semi Condensed" w:eastAsia="Barlow Semi Condensed" w:hAnsi="Barlow Semi Condensed"/>
          <w:sz w:val="24"/>
          <w:szCs w:val="24"/>
        </w:rPr>
        <w:t xml:space="preserve"> il nodo piazza della Loggia è certificato al Livello A quale unica strage politica della stagione con giudicato di condanna, divenuto irrevocabile il 20 giugno 2017 a carico di Carlo Maria Maggi quale organizzatore e di Maurizio Tramonte quale concorrente; la qualità di Tramonte quale fonte retribuita Tritone del SID, contestuale alla partecipazione alla strage, è certificata al Livello A e costituisce la forma più diretta mai giudicata dell'arco Dominio 3-Dominio 7, ferma l'ipoteticità di Livello C del mandato istituzionale; il lavaggio della piazza con gli idranti e l'eliminazione in carcere dell'imputato Buzzi sono certificati al Livello A quali specie dell'ostruzione; le assoluzioni definitive di Zorzi e di Rauti sono riportate per esteso, e gli 8 nomi delle vittime sono trascritti nel registro.</w:t>
      </w:r>
    </w:p>
    <w:p>
      <w:pPr>
        <w:pStyle w:val="Heading3"/>
        <w:spacing w:after="80" w:before="160"/>
      </w:pPr>
      <w:r>
        <w:rPr>
          <w:rFonts w:ascii="Barlow Semi Condensed" w:cs="Barlow Semi Condensed" w:eastAsia="Barlow Semi Condensed" w:hAnsi="Barlow Semi Condensed"/>
          <w:sz w:val="24"/>
          <w:szCs w:val="24"/>
        </w:rPr>
        <w:t xml:space="preserve">Capitolo 8 — ■ L'Italicus. La strage senza colpevoli e l'ombra censita dalla Commissione</w:t>
      </w:r>
    </w:p>
    <w:p>
      <w:pPr>
        <w:spacing w:after="120" w:line="276"/>
        <w:jc w:val="both"/>
      </w:pPr>
      <w:r>
        <w:rPr>
          <w:rFonts w:ascii="Barlow Semi Condensed" w:cs="Barlow Semi Condensed" w:eastAsia="Barlow Semi Condensed" w:hAnsi="Barlow Semi Condensed"/>
          <w:sz w:val="24"/>
          <w:szCs w:val="24"/>
        </w:rPr>
        <w:t xml:space="preserve">La strage dell'espresso Italicus, consumata alle 1:23 del 4 agosto 1974 all'uscita della grande galleria dell'Appennino, presso San Benedetto Val di Sambro, è il nodo-evento attraverso il quale il registro affronta la figura speculare a quella del capitolo precedente: la strage rimasta, all'esito di ogni grado di giudizio, integralmente priva di condannati, e tuttavia accompagnata da una valutazione parlamentare di altissimo profilo che ne collegò l'ombra alla loggia P2, saldando il nodo al quadrilatero della Fase 1. La scansione del corpus registra Italicus 224 volte in 30 documenti. L'ordigno, collocato nella quinta vettura del treno Roma-Brennero, esplose mentre il convoglio usciva dalla galleria: uccise 12 persone e ne ferì 48; tra le vittime, il ferroviere Silver Sirotti, morto nel tentativo di soccorrere i passeggeri tra le fiamme e insignito della medaglia d'oro al valor civile, il cui nome il registro trascrive per tutti.</w:t>
      </w:r>
    </w:p>
    <w:p>
      <w:pPr>
        <w:spacing w:after="120" w:line="276"/>
        <w:jc w:val="both"/>
      </w:pPr>
      <w:r>
        <w:rPr>
          <w:rFonts w:ascii="Barlow Semi Condensed" w:cs="Barlow Semi Condensed" w:eastAsia="Barlow Semi Condensed" w:hAnsi="Barlow Semi Condensed"/>
          <w:sz w:val="24"/>
          <w:szCs w:val="24"/>
        </w:rPr>
        <w:t xml:space="preserve">Il primo pilastro probatorio è il ciclo processuale integralmente assolutorio, che il registro riporta per esteso quale sua ossatura. Le indagini si indirizzarono verso l'ambiente dell'eversione neofascista toscana, e segnatamente verso il Fronte Nazionale Rivoluzionario: Mario Tuti e Luciano Franci furono condannati all'ergastolo in primo grado dalla Corte d'assise di Bologna nel 1983, assolti in appello nel 1986, e, dopo l'annullamento con rinvio disposto dalla Cassazione, nuovamente assolti nel giudizio di rinvio; la Corte di cassazione, il 24 marzo 1992, rese irrevocabile l'assoluzione. Il registro certifica al Livello A e riporta per esteso l'assoluzione definitiva di Tuti e Franci dall'accusa di strage, e certifica conseguentemente che la strage dell'Italicus non ha, a oggi, alcun condannato, né quale esecutore né quale mandante: è, nella sistematica del registro, il caso puro della strage senza verità giudiziaria di condanna, e la sua iscrizione nel registro con questo statuto è essa stessa un dato di prima classe, che vieta ogni attribuzione assertiva e impone il linguaggio dell'ipotesi graduata. Il registro annota che Mario Tuti, condannato in via definitiva per altri gravissimi fatti, tra cui il duplice omicidio di agenti a Empoli del gennaio 1975 e l'omicidio in carcere di Ermanno Buzzi, sconta l'ergastolo per quei titoli, e che la sua posizione rispetto all'Italicus resta quella dell'assoluzione irrevocabile: la distinzione tra i titoli è obbligata e il registro la trascrive.</w:t>
      </w:r>
    </w:p>
    <w:p>
      <w:pPr>
        <w:spacing w:after="120" w:line="276"/>
        <w:jc w:val="both"/>
      </w:pPr>
      <w:r>
        <w:rPr>
          <w:rFonts w:ascii="Barlow Semi Condensed" w:cs="Barlow Semi Condensed" w:eastAsia="Barlow Semi Condensed" w:hAnsi="Barlow Semi Condensed"/>
          <w:sz w:val="24"/>
          <w:szCs w:val="24"/>
        </w:rPr>
        <w:t xml:space="preserve">Il secondo pilastro è la valutazione della Commissione parlamentare d'inchiesta sulla loggia P2, che costituisce il collegamento del nodo al quadrilatero della Fase 1 e che il registro recepisce con la qualificazione esatta della sua natura. La relazione conclusiva della Commissione presieduta da Tina Anselmi, approvata nel 1984, affrontando il capitolo delle trame eversive, formulò sulla strage dell'Italicus una valutazione di eccezionale gravità: la strage era ascrivibile agli ambienti dell'eversione di destra operanti in Toscana, e la loggia massonica P2 doveva ritenersi coinvolta quale ambiente di istigazione e di possibile sostegno, anche finanziario, di quegli ambienti, nel quadro dei rapporti tra la loggia e l'eversione che la Commissione aveva ricostruito. Il registro certifica al Livello B questa valutazione, quale pronuncia di una fonte parlamentare di alta affidabilità, e ne dichiara con la massima nettezza lo statuto: essa è una valutazione politico-parlamentare fondata sull'istruttoria della Commissione, non un accertamento penale, e non è mai stata tradotta in giudicato; la sua recezione al Livello B misura esattamente questa natura, collocandola sopra l'ipotesi ma sotto la certificazione, e il registro vieta a sé stesso di elevarla a Livello A per la suggestione della fonte, come di degradarla a mero sospetto per l'assenza di condanne. Il nodo Italicus diviene così, nella rete dell'opera, il punto in cui l'ombra della loggia sul terreno stragista è censita da una fonte istituzionale massima senza essere giudizialmente provata: un arco Dominio 4-Dominio 7 di Livello B, che si affianca, senza confondersi, all'arco di Livello A che la condanna di Gelli per il depistaggio di Bologna ha certificato sul diverso terreno dell'ostruzione.</w:t>
      </w:r>
    </w:p>
    <w:p>
      <w:pPr>
        <w:spacing w:after="120" w:line="276"/>
        <w:jc w:val="both"/>
      </w:pPr>
      <w:r>
        <w:rPr>
          <w:rFonts w:ascii="Barlow Semi Condensed" w:cs="Barlow Semi Condensed" w:eastAsia="Barlow Semi Condensed" w:hAnsi="Barlow Semi Condensed"/>
          <w:sz w:val="24"/>
          <w:szCs w:val="24"/>
        </w:rPr>
        <w:t xml:space="preserve">Il terzo pilastro è il contrappunto del rapido 904, che il registro richiama dalla Fase 1 per completare la lettura del teatro appenninico. Sulla medesima direttrice ferroviaria, 10 anni dopo, la strage del rapido 904 del 23 dicembre 1984 avrebbe trovato, a differenza dell'Italicus, i suoi condannati definitivi, e tra essi Giuseppe Calò, il cassiere di Cosa Nostra certificato nella Fase 1: il registro accosta i 2 eventi quale coppia comparativa di massimo valore analitico, giacché la medesima tecnica, l'ordigno sul treno nel medesimo tratto appenninico, riceve dai giudicati 2 matrici diverse, non accertata e neofascista nell'ipotesi per l'Italicus, mafiosa con concorso di ambienti camorristici e contigui per il 904; la comparazione certifica che la tecnica non identifica la matrice, e costituisce un monito metodologico permanente contro l'inferenza dalla morfologia dell'evento alla sua paternità, che il Pattern 11 disciplina e che la vulgata ha sistematicamente violato.</w:t>
      </w:r>
    </w:p>
    <w:p>
      <w:pPr>
        <w:spacing w:after="120" w:line="276"/>
        <w:jc w:val="both"/>
      </w:pPr>
      <w:r>
        <w:rPr>
          <w:rFonts w:ascii="Barlow Semi Condensed" w:cs="Barlow Semi Condensed" w:eastAsia="Barlow Semi Condensed" w:hAnsi="Barlow Semi Condensed"/>
          <w:sz w:val="24"/>
          <w:szCs w:val="24"/>
        </w:rPr>
        <w:t xml:space="preserve">Il quarto pilastro è la collocazione dell'evento nella finestra critica del 1974, che l'analisi temporale del registro qualifica quale culmine e insieme quale chiusura della prima stagione stragista. Tra la strage di piazza della Loggia del 28 maggio e quella dell'Italicus del 4 agosto corrono 68 giorni: la concentrazione di 2 stragi in un'estate, entro l'anno successivo allo scioglimento di Ordine Nuovo e nel pieno della campagna delle sigle clandestine, segna il massimo di densità della serie; e dopo l'agosto 1974 la sequenza delle stragi politiche si interrompe per 6 anni, sino al 1980. Il registro certifica al Livello A la scansione temporale quale dato oggettivo della serie, e ne trae, con la cautela che il metodo impone, 2 annotazioni. La prima è statistica e negativa: la sola densità temporale non autorizza inferenze di regia unitaria, e il registro rammenta che la propria verifica preregistrata sulla correlazione tra la serie stragista e le scadenze del processo di integrazione europea, condotta con modello nullo, restituì un esito non significativo, imponendo l'abbandono della tesi della densità quale prova; la finestra del 1974 si spiega, ai livelli certificabili, con le dinamiche interne documentate, la clandestinizzazione post-scioglimento e il precipitare dello scontro politico nazionale attorno al referendum di quella primavera, senza necessità di postulare cabine di regia non documentate. La seconda annotazione è comparativa: il lungo silenzio 1974-1980, seguito dalla ripresa con Bologna a opera di una generazione eversiva diversa, suggerisce che la serie stragista non fu un continuum unitario ma una successione di onde distinte, con matrici, uomini e contesti differenti, e la periodizzazione a onde, che i giudicati confermano nella diversità degli autori accertati tra le 2 finestre, è assunta dal registro quale struttura temporale dell'intero dominio, contro la vulgata del disegno unico ininterrotto.</w:t>
      </w:r>
    </w:p>
    <w:p>
      <w:pPr>
        <w:spacing w:after="120" w:line="276"/>
        <w:jc w:val="both"/>
      </w:pPr>
      <w:r>
        <w:rPr>
          <w:rFonts w:ascii="Barlow Semi Condensed" w:cs="Barlow Semi Condensed" w:eastAsia="Barlow Semi Condensed" w:hAnsi="Barlow Semi Condensed"/>
          <w:sz w:val="24"/>
          <w:szCs w:val="24"/>
        </w:rPr>
        <w:t xml:space="preserve">Le triangolazioni del nodo sono 3. La prima, Italicus-Tuti e Franci-assoluzione, è il triangolo del ciclo processuale, certificato al Livello A nel suo esito integralmente assolutorio riportato per esteso. La seconda, Italicus-Commissione Anselmi-loggia P2, è il triangolo dell'ombra censita, certificato al Livello B quale valutazione parlamentare non tradotta in giudicato. La terza, Italicus-rapido 904, è il triangolo comparativo delle matrici divergenti a tecnica identica, certificato al Livello A nei suoi 2 termini giudiziari e assunto quale monito del Pattern 11. Sul piano dei pattern, il nodo attiva altresì il Pattern 10, la convergenza spaziale, giacché il tratto appenninico tra Firenze e Bologna si qualifica, con l'Italicus, il 904 e la successiva memoria della galleria, quale zona di massima densità stragista ferroviaria del Paese, la cui selezione ripetuta interroga l'analisi spaziale.</w:t>
      </w:r>
    </w:p>
    <w:p>
      <w:pPr>
        <w:spacing w:after="120" w:line="276"/>
        <w:jc w:val="both"/>
      </w:pPr>
      <w:r>
        <w:rPr>
          <w:rFonts w:ascii="Barlow Semi Condensed" w:cs="Barlow Semi Condensed" w:eastAsia="Barlow Semi Condensed" w:hAnsi="Barlow Semi Condensed"/>
          <w:sz w:val="24"/>
          <w:szCs w:val="24"/>
        </w:rPr>
        <w:t xml:space="preserve">Al nome di Silver Sirotti, che il capitolo ha trascritto per tutti, il registro affianca ora, a completamento dell'atto dovuto, l'elenco intero: le 12 vittime della strage furono Nicola Buffi, Maria Santina Carraro, Elena Celli, Elena Donatini, Tsugufumi Fukuda, Raffaella Garosi, Wilhelmus Jacobus Hanema, Herbert Kontriner, Antidio Medaglia, Marco Russin, Nunzio Russo e Silver Sirotti, italiani e stranieri di 4 nazionalità sorpresi nel sonno delle carrozze o investiti dall'incendio, Livello A quanto all'elenco. La composizione internazionale del bilancio, unica nella serie sino ad allora, appartiene alla natura stessa del bersaglio, il treno a lunga percorrenza quale campione casuale d'Europa in transito sulla dorsale appenninica: e la figura del ferroviere caduto nel soccorso, che il capitolo ha già consegnato alla memoria, appartiene alla stessa classe morfologica che la Fase 1 ha nominato in Ambrosoli, quella dell'anticorpo, l'uomo comune che, posto dal caso sul punto esatto della catastrofe, sceglie la funzione contro la salvezza: figura che ricorre accanto ad ogni strage della serie, il ferroviere, il vigile, il soccorritore, e che il registro annota qui una volta per tutte, a valere per l'intera fase.</w:t>
      </w:r>
    </w:p>
    <w:p>
      <w:pPr>
        <w:spacing w:after="120" w:line="276"/>
        <w:jc w:val="both"/>
      </w:pPr>
      <w:r>
        <w:rPr>
          <w:rFonts w:ascii="Barlow Semi Condensed" w:cs="Barlow Semi Condensed" w:eastAsia="Barlow Semi Condensed" w:hAnsi="Barlow Semi Condensed"/>
          <w:sz w:val="24"/>
          <w:szCs w:val="24"/>
        </w:rPr>
        <w:t xml:space="preserve">La materialità dell'evento va fissata nei suoi elementi periziali accertati: l'ordigno a tempo, collocato nella quinta vettura del convoglio, esplose all'1:23 quando il treno, transitato per la grande galleria dell'Appennino, ne stava varcando l'uscita presso San Benedetto Val di Sambro, e la circostanza che la deflagrazione mancasse di pochi secondi il ventre della montagna fu unanimemente letta, negli atti, quale scampato aggravamento di proporzioni catastrofiche, giacché l'esplosione in galleria avrebbe moltiplicato le vittime per asfissia ed impossibilità di soccorso, Livello A quanto alla dinamica periziale. La rivendicazione giunse con volantini a firma Ordine Nero, la sigla del carsismo post-scioglimento censito nel capitolo 2, che salutavano la strage quale atto di guerra, Livello A quanto al repertamento della rivendicazione, Livello B quanto alla sua genuinità attributiva, mai consacrata da condanna. Appartiene infine al nodo una tradizione memorialistica che il registro censisce al livello che le compete: la circostanza, riferita da fonti familiari e ripresa dalla pubblicistica, secondo cui Aldo Moro avrebbe dovuto viaggiare quella notte su quel convoglio e ne sarebbe stato fatto scendere per ragioni d'ufficio poco prima della partenza, Livello C quale tradizione priva di riscontro documentale autonomo, che il registro trasmette alla Fase 4 non quale fatto ma quale esemplare della forza gravitazionale che il nodo Moro esercita, retrospettivamente, su ogni evento della stagione: la vicenda del presidente attrae le narrazioni come i grandi corpi attraggono la luce, e distinguere l'orbita documentata dalla suggestione è, precisamente, il mestiere di questo registro.</w:t>
      </w:r>
    </w:p>
    <w:p>
      <w:pPr>
        <w:spacing w:after="120" w:line="276"/>
        <w:jc w:val="both"/>
      </w:pPr>
      <w:r>
        <w:rPr>
          <w:rFonts w:ascii="Barlow Semi Condensed" w:cs="Barlow Semi Condensed" w:eastAsia="Barlow Semi Condensed" w:hAnsi="Barlow Semi Condensed"/>
          <w:sz w:val="24"/>
          <w:szCs w:val="24"/>
        </w:rPr>
        <w:t xml:space="preserve">Resta la sociologia del bersaglio, che una digressione sorvegliata può nominare. L'Italicus viaggiava nella notte tra il 3 ed il 4 agosto, gremito del popolo delle ferie e dei rientri, famiglie meridionali, emigranti, ferrovieri: la seconda classe d'agosto, l'Italia in movimento tra le 2 Italie. La strage ferroviaria d'estate, che il rapido 904 avrebbe replicato 10 anni dopo nella simmetria natalizia già censita, colpisce per costruzione il segmento più indifeso ed interclassista della popolazione, e questa scelta, che nessuna rivendicazione ha mai dovuto spiegare perché il terrore indiscriminato è la spiegazione, consegna alla serie il suo tratto più propriamente eversivo: non l'attacco al nemico, ma l'attacco al quotidiano, la dimostrazione che nessun gesto ordinario, un viaggio, una banca, una piazza, una sala d'aspetto, è al riparo. Il ferroviere Silver Sirotti, che morì rientrando nel vagone in fiamme con l'estintore, medaglia d'oro al valor civile, resta il contrappunto esatto di quella logica: nella notte in cui il quotidiano fu trasformato in bersaglio, il quotidiano rispose con il proprio eroismo di servizio, e la fase, che ha bandito la retorica, si limita a registrare che entrambe le grandezze, il terrore e il soccorso, abitarono lo stesso minuto della stessa galleria.</w:t>
      </w:r>
    </w:p>
    <w:p>
      <w:pPr>
        <w:spacing w:after="120" w:line="276"/>
        <w:jc w:val="both"/>
      </w:pPr>
      <w:r>
        <w:rPr>
          <w:rFonts w:ascii="Barlow Semi Condensed" w:cs="Barlow Semi Condensed" w:eastAsia="Barlow Semi Condensed" w:hAnsi="Barlow Semi Condensed"/>
          <w:sz w:val="24"/>
          <w:szCs w:val="24"/>
        </w:rPr>
        <w:t xml:space="preserve">Il maggio 1974 consegna al registro la sua costellazione armata, che la disciplina temporale del Pattern 3 impone di censire nella sua sequenza esatta: il 9 maggio 1974 fu arrestato in Valtellina Carlo Fumagalli, capo del Movimento di Azione Rivoluzionaria, la formazione armata che le condanne definitive avrebbero accertato quale struttura eversiva dedita ad attentati ed alla predisposizione insurrezionale, Livello A; il 28 maggio la bomba di piazza della Loggia; il 30 maggio, a 2 giorni dalla strage, il militante milanese Giancarlo Esposti cadde in conflitto a fuoco con le forze dell'ordine presso il campo armato di Pian del Rascino, sull'Appennino reatino, dove si addestrava con altri estremisti, Livello A quanto ai fatti ed alle date. La concentrazione in 3 settimane di un arresto di vertice, di una strage e di un campo armato scoperto disegna la finestra critica che il registro misura senza sovrainterpretare: le istruttorie esplorarono per decenni i possibili raccordi tra la costellazione del maggio e l'ordigno bresciano, tra le armi del MAR, gli ambienti di Esposti e la matrice poi giudicata, e questi raccordi specifici, mai consolidati in giudicato, restano al Livello B nelle convergenze istruttorie ed al Livello C nelle ricostruzioni di rete più ampie. Ciò che resta al livello del certo è la densità stessa: nel maggio 1974 l'Italia settentrionale ospitava simultaneamente una formazione armata in smantellamento, un campo paramilitare attivo ed una campagna stragista al culmine, e la compresenza documentata di 3 apparati della medesima area ideologica in armi, quale che ne fosse il coordinamento, è essa stessa il dato strutturale che il capitolo consegna alla fase: la strategia della tensione non fu un ambiente metaforico, fu un territorio fisicamente armato, di cui il maggio bresciano costituisce il rilievo cartografico più fitto.</w:t>
      </w:r>
    </w:p>
    <w:p>
      <w:pPr>
        <w:spacing w:after="120" w:line="276"/>
        <w:jc w:val="both"/>
      </w:pPr>
      <w:r>
        <w:rPr>
          <w:rFonts w:ascii="Barlow Semi Condensed" w:cs="Barlow Semi Condensed" w:eastAsia="Barlow Semi Condensed" w:hAnsi="Barlow Semi Condensed"/>
          <w:b/>
          <w:bCs/>
          <w:sz w:val="24"/>
          <w:szCs w:val="24"/>
        </w:rPr>
        <w:t xml:space="preserve">Sintesi del dato nuovo acquisito:</w:t>
      </w:r>
      <w:r>
        <w:rPr>
          <w:rFonts w:ascii="Barlow Semi Condensed" w:cs="Barlow Semi Condensed" w:eastAsia="Barlow Semi Condensed" w:hAnsi="Barlow Semi Condensed"/>
          <w:sz w:val="24"/>
          <w:szCs w:val="24"/>
        </w:rPr>
        <w:t xml:space="preserve"> il nodo Italicus è certificato al Livello A quale strage priva, all'esito dell'assoluzione irrevocabile di Tuti e Franci del 24 marzo 1992, riportata per esteso, di qualsiasi condannato; la valutazione della Commissione Anselmi, che ascrisse la strage agli ambienti dell'eversione toscana con la loggia P2 quale ambiente di istigazione e possibile sostegno finanziario, è recepita al Livello B quale pronuncia parlamentare di alta affidabilità non tradotta in giudicato, e costituisce l'arco Dominio 4-Dominio 7 nella sua forma censita ma non provata; la comparazione con il rapido 904 certifica che la tecnica identica ricevette matrici giudiziarie diverse, a monito permanente contro l'inferenza morfologica; il nome di Silver Sirotti è trascritto per tutte le 12 vittime.</w:t>
      </w:r>
    </w:p>
    <w:p>
      <w:pPr>
        <w:pStyle w:val="Heading3"/>
        <w:spacing w:after="80" w:before="160"/>
      </w:pPr>
      <w:r>
        <w:rPr>
          <w:rFonts w:ascii="Barlow Semi Condensed" w:cs="Barlow Semi Condensed" w:eastAsia="Barlow Semi Condensed" w:hAnsi="Barlow Semi Condensed"/>
          <w:sz w:val="24"/>
          <w:szCs w:val="24"/>
        </w:rPr>
        <w:t xml:space="preserve">Capitolo 9 — ■ La strage di Bologna. Gli esecutori giudicati, il depistaggio piduista e il quadro dei mandanti</w:t>
      </w:r>
    </w:p>
    <w:p>
      <w:pPr>
        <w:spacing w:after="120" w:line="276"/>
        <w:jc w:val="both"/>
      </w:pPr>
      <w:r>
        <w:rPr>
          <w:rFonts w:ascii="Barlow Semi Condensed" w:cs="Barlow Semi Condensed" w:eastAsia="Barlow Semi Condensed" w:hAnsi="Barlow Semi Condensed"/>
          <w:sz w:val="24"/>
          <w:szCs w:val="24"/>
        </w:rPr>
        <w:t xml:space="preserve">La strage della stazione di Bologna, consumata alle 10:25 del 2 agosto 1980 nella sala d'aspetto di seconda classe, è il nodo-evento terminale della fase e il più grave eccidio della storia repubblicana: 85 morti e oltre 200 feriti. La scansione del corpus registra il sintagma della strage 212 volte in 33 documenti, il nome della città 1.120 volte in 81, la sigla dei Nuclei Armati Rivoluzionari 953 volte in 33, e i nomi di Valerio Fioravanti e Francesca Mambro rispettivamente 171 volte in 21 e 113 volte in 12 documenti. Il nodo è quello sul quale converge il maggior numero di archi già certificati nelle fasi precedenti, il depistaggio di Gelli dalla Fase 1 e quello degli uomini del SISMI dalla Fase 2, e la sua trattazione unitaria consente al registro di comporre, per la prima volta, l'intero quadro probatorio dell'evento nei suoi 3 strati: gli esecutori, l'ostruzione, i mandanti.</w:t>
      </w:r>
    </w:p>
    <w:p>
      <w:pPr>
        <w:spacing w:after="120" w:line="276"/>
        <w:jc w:val="both"/>
      </w:pPr>
      <w:r>
        <w:rPr>
          <w:rFonts w:ascii="Barlow Semi Condensed" w:cs="Barlow Semi Condensed" w:eastAsia="Barlow Semi Condensed" w:hAnsi="Barlow Semi Condensed"/>
          <w:sz w:val="24"/>
          <w:szCs w:val="24"/>
        </w:rPr>
        <w:t xml:space="preserve">Il primo pilastro probatorio è lo strato degli esecutori, certificato al Livello A da una sequenza di giudicati che si è estesa lungo 4 decenni. Valerio Fioravanti e Francesca Mambro, esponenti di vertice dei Nuclei Armati Rivoluzionari, la formazione dello spontaneismo armato neofascista romano, furono condannati all'ergastolo quali esecutori, con sentenza resa irrevocabile dalla Corte di cassazione il 23 novembre 1995; Luigi Ciavardini, minorenne all'epoca dei fatti, fu condannato a 30 anni con sentenza divenuta definitiva nel 2007; Gilberto Cavallini fu condannato all'ergastolo quale ulteriore concorrente, con sentenza di primo grado del gennaio 2020 divenuta irrevocabile all'esito del giudizio di legittimità; e Paolo Bellini, figura proveniente dall'area di Avanguardia Nazionale, è stato condannato all'ergastolo quale ulteriore concorrente con sentenza di primo grado dell'aprile 2022, confermata in appello nel luglio 2024, dell'esito del cui giudizio di legittimità il registro darà atto in sede di aggiornamento; il processo relativo a quest'ultima posizione è documentato nel corpus da uno studio dedicato. Il registro certifica al Livello A le condanne irrevocabili di Fioravanti, Mambro, Ciavardini e Cavallini, registra la posizione di Bellini allo stato dei gradi di merito, e annota il dato che la vulgata più trascura: gli esecutori giudicati della strage hanno sempre negato, e negano, la propria responsabilità, sicché il giudicato si è formato contro la loro protesta di innocenza, sulla forza del compendio probatorio; il registro, che riporta per esteso le assoluzioni, riporta con eguale fedeltà questa protesta quale fatto, senza attribuirle valore revocatorio che l'ordinamento non le riconosce.</w:t>
      </w:r>
    </w:p>
    <w:p>
      <w:pPr>
        <w:spacing w:after="120" w:line="276"/>
        <w:jc w:val="both"/>
      </w:pPr>
      <w:r>
        <w:rPr>
          <w:rFonts w:ascii="Barlow Semi Condensed" w:cs="Barlow Semi Condensed" w:eastAsia="Barlow Semi Condensed" w:hAnsi="Barlow Semi Condensed"/>
          <w:sz w:val="24"/>
          <w:szCs w:val="24"/>
        </w:rPr>
        <w:t xml:space="preserve">Il secondo pilastro è lo strato dell'ostruzione, che le fasi precedenti hanno certificato e che qui si ricompone nella sua unità. Per il depistaggio delle indagini, consistito nella costruzione della falsa pista internazionale mediante la collocazione di una valigia di esplosivo e materiali su un treno, furono condannati in via definitiva Licio Gelli, Venerabile della loggia P2, Francesco Pazienza, faccendiere del SISMI, e gli ufficiali del medesimo servizio Pietro Musumeci e Giuseppe Belmonte: il registro, che ha certificato l'accertamento al Livello A nella Fase 1 dal lato della loggia e nella Fase 2 dal lato degli apparati, lo richiama qui quale secondo strato del nodo, e ne ribadisce la qualificazione: l'ostruzione fu opera congiunta del vertice della loggia coperta e di uomini del servizio militare diretto dal piduista Santovito, e costituisce la saldatura giudicata dei Domini 3 e 4 sul terreno del Dominio 7; la Regola Ferrea, per l'ultima volta enunciata su questo evento, vieta di inferire dal depistaggio il mandato, e ciò che oltrepassa questo limite appartiene allo strato successivo, con il suo diverso statuto probatorio.</w:t>
      </w:r>
    </w:p>
    <w:p>
      <w:pPr>
        <w:spacing w:after="120" w:line="276"/>
        <w:jc w:val="both"/>
      </w:pPr>
      <w:r>
        <w:rPr>
          <w:rFonts w:ascii="Barlow Semi Condensed" w:cs="Barlow Semi Condensed" w:eastAsia="Barlow Semi Condensed" w:hAnsi="Barlow Semi Condensed"/>
          <w:sz w:val="24"/>
          <w:szCs w:val="24"/>
        </w:rPr>
        <w:t xml:space="preserve">Il terzo pilastro è lo strato dei mandanti, che il registro affronta con la qualificazione più sorvegliata dell'intera opera, trattandosi dell'evoluzione più recente e più delicata dell'accertamento. Le motivazioni delle sentenze di merito dell'ultimo ciclo processuale, formate nei giudizi a carico di Cavallini e di Bellini, hanno ricostruito, sul fondamento tra l'altro di un appunto contabile sequestrato a Licio Gelli recante l'intestazione Bologna e la registrazione di ingenti movimenti in dollari, il quadro del finanziamento dell'operazione, indicando quali mandanti, finanziatori e organizzatori della strage Licio Gelli, Umberto Ortolani, Federico Umberto D'Amato e Mario Tedeschi, senatore e direttore di una testata dell'area: tutti defunti, e mai sottoposti in vita a giudizio per tale titolo. Il registro recepisce questa ricostruzione al Livello B, quale contenuto di motivazioni giudiziarie di merito recenti, fonte di alta affidabilità, concernente soggetti che nessun dispositivo ha condannato per quel titolo né potrà più giudicare; e dichiara le 2 conseguenze sistematiche della recezione. La prima riguarda la coerenza interna del registro: il nodo D'Amato, che la Fase 2 aveva certificato mantenendo al Livello C ogni ipotesi di regia sugli eventi stragisti, riceve dall'evoluzione giudiziaria un aggiornamento specifico, giacché quanto alla sola strage di Bologna l'indicazione del suo nome tra i mandanti ascende al Livello B in forza della fonte giudiziaria sopravvenuta, ferma restando per ogni altro evento la classificazione precedente: il registro documenta così, in atto, il proprio funzionamento quale sistema revisionabile, nel quale i livelli si muovono al mutare delle fonti e ogni movimento è dichiarato. La seconda conseguenza riguarda il quadrilatero della Fase 1: l'indicazione congiunta di Gelli e Ortolani quali mandanti-finanziatori colloca il vertice della loggia, già condannato in via definitiva per l'ostruzione, anche nello strato del mandato secondo la fonte di Livello B, e la presenza di un direttore di testata tra i soggetti indicati proietta l'evento verso il Dominio 8, che il registro annota quale filo da sviluppare. Resta infine da censire, quale ipotesi respinta, la cosiddetta pista alternativa internazionale, nelle sue varie formulazioni: il registro dà atto che le sentenze dell'ultimo ciclo l'hanno espressamente esaminata ed esclusa, sicché essa è, allo stato, un'ipotesi giudizialmente disattesa, e la sua iscrizione al Livello C reca questa qualificazione aggravata.</w:t>
      </w:r>
    </w:p>
    <w:p>
      <w:pPr>
        <w:spacing w:after="120" w:line="276"/>
        <w:jc w:val="both"/>
      </w:pPr>
      <w:r>
        <w:rPr>
          <w:rFonts w:ascii="Barlow Semi Condensed" w:cs="Barlow Semi Condensed" w:eastAsia="Barlow Semi Condensed" w:hAnsi="Barlow Semi Condensed"/>
          <w:sz w:val="24"/>
          <w:szCs w:val="24"/>
        </w:rPr>
        <w:t xml:space="preserve">Il quarto pilastro è l'antecedente immediato dell'omicidio del giudice Mario Amato, che il registro certifica al Livello A e colloca quale cerniera tra la campagna dei Nuclei Armati Rivoluzionari e la strage. Il 23 giugno 1980, 40 giorni prima della strage, il sostituto procuratore Mario Amato, che conduceva a Roma, in condizioni di isolamento istituzionale da lui stesso denunciate, le indagini sull'eversione di destra romana, fu assassinato con un colpo alla nuca a una fermata dell'autobus; l'omicidio fu opera dei Nuclei Armati Rivoluzionari, e per esso riportarono condanna definitiva esponenti dell'organizzazione, tra i quali Gilberto Cavallini. Il registro certifica al Livello A, sul fondamento del giudicato, l'omicidio di Amato quale eliminazione deliberata del magistrato che indagava sull'organizzazione, e ne dichiara il triplice rilievo per il nodo. In primo luogo, esso costituisce il secondo arco estremo tra il Dominio 7 e il Dominio 10 della fase, dopo l'omicidio Occorsio, e la reiterazione a 4 anni di distanza certifica che l'eliminazione del magistrato inquirente fu una tecnica ricorrente dell'eversione nera, non un episodio isolato. In secondo luogo, la denuncia di isolamento resa da Amato poco prima della morte davanti agli organi di autogoverno, documentata agli atti, è recepita dal registro quale reperto di Livello A sull'inadeguatezza della protezione istituzionale accordata a chi indagava su quell'ambiente in quella stagione, senza estensioni inferenziali sulla sua intenzionalità. In terzo luogo, la sequenza Amato-Bologna, con il medesimo ambiente organizzativo certificato dai giudicati su entrambi gli eventi e con la continuità personale nella figura di Cavallini, disegna l'escalation della seconda finestra critica nella sua forma più compressa: dall'eliminazione dell'inquirente all'eccidio indiscriminato in 40 giorni, la progressione che il Pattern 3 registra quale firma temporale del biennio.</w:t>
      </w:r>
    </w:p>
    <w:p>
      <w:pPr>
        <w:spacing w:after="120" w:line="276"/>
        <w:jc w:val="both"/>
      </w:pPr>
      <w:r>
        <w:rPr>
          <w:rFonts w:ascii="Barlow Semi Condensed" w:cs="Barlow Semi Condensed" w:eastAsia="Barlow Semi Condensed" w:hAnsi="Barlow Semi Condensed"/>
          <w:sz w:val="24"/>
          <w:szCs w:val="24"/>
        </w:rPr>
        <w:t xml:space="preserve">Il quinto pilastro, conclusivo, riguarda la memoria processuale e civile dell'evento, che il registro annota quale dato di lungo periodo: l'associazione dei familiari delle vittime, costituitasi nel 1981, ha operato per oltre 4 decenni quale motore civile dell'accertamento, costituendosi parte civile in ogni ciclo processuale e sostenendo la prosecuzione delle indagini sino alle sentenze più recenti; il registro certifica al Livello A questo ruolo, documentato in ogni atto dei procedimenti, e vi riconosce un reperto strutturale che l'intera opera registra in controluce: nella serie stragista italiana, la persistenza dell'accertamento oltre i depistaggi e le prescrizioni fu garantita in misura decisiva dalla parte civile organizzata, ossia da un attore esterno tanto agli apparati quanto alla politica, e la circostanza conferma la regolarità comparativa, già codificata dal registro, per cui gli archivi e le verità di questo dominio non si sono mai aperti spontaneamente.</w:t>
      </w:r>
    </w:p>
    <w:p>
      <w:pPr>
        <w:spacing w:after="120" w:line="276"/>
        <w:jc w:val="both"/>
      </w:pPr>
      <w:r>
        <w:rPr>
          <w:rFonts w:ascii="Barlow Semi Condensed" w:cs="Barlow Semi Condensed" w:eastAsia="Barlow Semi Condensed" w:hAnsi="Barlow Semi Condensed"/>
          <w:sz w:val="24"/>
          <w:szCs w:val="24"/>
        </w:rPr>
        <w:t xml:space="preserve">Le triangolazioni del nodo sono 3. La prima, Bologna-Nuclei Armati Rivoluzionari-esecutori, è il triangolo delle condanne irrevocabili di Fioravanti, Mambro, Ciavardini e Cavallini, certificato al Livello A. La seconda, Bologna-Gelli-uomini del SISMI, è il triangolo dell'ostruzione, certificato al Livello A dai giudicati e saldato alle Fasi 1 e 2. La terza, Bologna-appunto contabile-quadro dei mandanti, è il triangolo dello strato più recente, recepito al Livello B con la qualificazione integrale della sua natura. Sul piano dei pattern, il nodo attiva il Pattern 4, l'analisi dei flussi, nella ricostruzione contabile del finanziamento che le motivazioni recenti hanno operato, prima applicazione giudiziaria compiuta, nell'intera stagione, del principio per cui il denaro disegna la mappa che gli uomini occultano; e chiude il Pattern 3 della fase, segnando la seconda finestra critica, quella del biennio 1980, che le fasi precedenti hanno già popolato con la direzione piduista dei servizi.</w:t>
      </w:r>
    </w:p>
    <w:p>
      <w:pPr>
        <w:spacing w:after="120" w:line="276"/>
        <w:jc w:val="both"/>
      </w:pPr>
      <w:r>
        <w:rPr>
          <w:rFonts w:ascii="Barlow Semi Condensed" w:cs="Barlow Semi Condensed" w:eastAsia="Barlow Semi Condensed" w:hAnsi="Barlow Semi Condensed"/>
          <w:sz w:val="24"/>
          <w:szCs w:val="24"/>
        </w:rPr>
        <w:t xml:space="preserve">Alla contabilità delle 85 vittime, che il registro assume nella sua interezza dagli atti e dalla liturgia civile che ogni 2 agosto ne scandisce i nomi dalla piazza della stazione, appartengono gli estremi anagrafici che la memoria pubblica ha consegnato quale misura dell'indiscriminatezza: la più giovane, Angela Fresu, aveva 3 anni, ed il ventaglio delle età si stendeva da lei sino agli ottuagenari, attraversando ogni condizione, viaggiatori, ferrovieri, lavoratori della stazione, turisti stranieri, Livello A quanto alla composizione, consegnata agli atti ed al monumento. Il registro censisce il dato non quale cornice emotiva ma quale reperto morfologico terminale della serie: la sala d'aspetto di seconda classe di una stazione di snodo, in un sabato d'esodo estivo, è il bersaglio a massima entropia sociale concepibile, il punto in cui la selezione della vittima è affidata per intero al caso, e la progressione che la fase ha misurato, dalla clientela di una banca al pubblico di una manifestazione sino alla folla indistinta di agosto, tocca qui il proprio limite matematico, oltre il quale non esiste ulteriore grado di indiscriminatezza: la strage di Bologna è, in questo senso tecnico e terribile, l'evento terminale non solo della cronologia ma della logica della stagione.</w:t>
      </w:r>
    </w:p>
    <w:p>
      <w:pPr>
        <w:spacing w:after="120" w:line="276"/>
        <w:jc w:val="both"/>
      </w:pPr>
      <w:r>
        <w:rPr>
          <w:rFonts w:ascii="Barlow Semi Condensed" w:cs="Barlow Semi Condensed" w:eastAsia="Barlow Semi Condensed" w:hAnsi="Barlow Semi Condensed"/>
          <w:sz w:val="24"/>
          <w:szCs w:val="24"/>
        </w:rPr>
        <w:t xml:space="preserve">Alla persistenza civile censita dal quinto pilastro va aggiunto il suo precipitato normativo, che il registro annota quale esito di lungo periodo dell'intera stagione: la legislazione organica in favore delle vittime del terrorismo e delle stragi, approdata nella legge del 2004 sulle provvidenze e costruita nell'arco di 3 decenni sotto la pressione costante delle famiglie, con il riconoscimento di benefici, pensioni ed onorificenze che trasformarono la condizione di vittima da fatto privato in status pubblico, Livello A quanto all'impianto normativo. Il registro vi legge il compimento di un rovesciamento di lungo periodo: nella prima stagione le vittime furono, processualmente e pubblicamente, comparse dell'evento, nomi in calce alle perizie; nell'ultima esse sono divenute parte attiva dell'accertamento, motore di costituzioni di parte civile, di istanze di desecretazione, di campagne per l'accesso agli archivi, sino a costituire, nel lessico di questa opera, il primo ed unico nodo collettivo della rete che operi esclusivamente nel codice della verità: non parte in causa dell'analisi, ma condizione di possibilità della documentazione su cui l'analisi lavora, giacché una quota rilevante degli atti che questo registro cita esiste perché qualcuno, per 40 anni, non ha smesso di chiederli.</w:t>
      </w:r>
    </w:p>
    <w:p>
      <w:pPr>
        <w:spacing w:after="120" w:line="276"/>
        <w:jc w:val="both"/>
      </w:pPr>
      <w:r>
        <w:rPr>
          <w:rFonts w:ascii="Barlow Semi Condensed" w:cs="Barlow Semi Condensed" w:eastAsia="Barlow Semi Condensed" w:hAnsi="Barlow Semi Condensed"/>
          <w:sz w:val="24"/>
          <w:szCs w:val="24"/>
        </w:rPr>
        <w:t xml:space="preserve">La sequenza dei giudicati sugli esecutori va restituita nella sua interezza, perché la sua stessa tortuosità è un reperto sulla resistenza dell'accertamento: condanne in primo grado nel luglio 1988, assoluzioni per la strage nel giudizio d'appello del luglio 1990, annullamento con rinvio pronunciato dalla Corte di cassazione nel febbraio 1992, nuove condanne nel giudizio di rinvio del maggio 1994 ed irrevocabilità il 23 novembre 1995, Livello A sull'intera scansione. Sette anni e 5 pronunce separano il primo dispositivo dal giudicato, ed il punto di massima torsione, l'assoluzione d'appello del 1990 travolta dall'annullamento del 1992, consegna al registro la misura della contendibilità che il processo conobbe sino all'ultimo grado. Alla stabilità successiva del giudicato appartiene infine un dato che la disciplina della pari evidenza impone di censire: le istanze di revisione ripetutamente proposte negli anni dai condannati principali sono state dichiarate inammissibili o rigettate dalle corti competenti, sicché il giudicato del 1995 ha superato, oltre ai gradi ordinari, anche il vaglio straordinario cui i condannati lo hanno sottoposto, Livello A quanto agli esiti delle revisioni. Il registro consegna il dato nella sua doppia valenza: la richiesta di revisione è l'esercizio di un diritto e la sua reiterazione non è un indizio contro chi la propone, ma la tenuta del giudicato dinanzi ad ogni verifica sollecitata è, simmetricamente, un fatto processuale compiuto, e la contabilità del nodo deve registrare entrambi i piatti della bilancia, il diritto esercitato e l'esito costante.</w:t>
      </w:r>
    </w:p>
    <w:p>
      <w:pPr>
        <w:spacing w:after="120" w:line="276"/>
        <w:jc w:val="both"/>
      </w:pPr>
      <w:r>
        <w:rPr>
          <w:rFonts w:ascii="Barlow Semi Condensed" w:cs="Barlow Semi Condensed" w:eastAsia="Barlow Semi Condensed" w:hAnsi="Barlow Semi Condensed"/>
          <w:sz w:val="24"/>
          <w:szCs w:val="24"/>
        </w:rPr>
        <w:t xml:space="preserve">Alla contabilità dell'evento appartiene infine la risposta della città, che il registro censisce quale reperto civile di pari dignità documentale: nelle ore successive alle 10:25 la macchina spontanea dei soccorsi, viaggiatori, ferrovieri, tassisti, cittadini accorsi a mani nude tra le macerie della sala d'aspetto, affiancò e in parte precedette quella istituzionale, in una mobilitazione che la documentazione fotografica e testimoniale dell'agosto 1980 ha consegnato alla memoria nazionale quale contro-immagine esatta della strage, Livello A quanto alla mobilitazione documentata. Il registro annota il dato non per concessione alla retorica, che il suo statuto vieta, ma per la sua funzione analitica precisa: la strategia che colpisce il quotidiano, censita nel capitolo 8, incontrò a Bologna la sua confutazione pratica nel quotidiano stesso che si organizzava, e la velocità della risposta civile, misurabile in minuti, contrasta punto per punto con la lentezza pluridecennale dell'accertamento, misurabile in lustri. Tra questi 2 tempi, il tempo del soccorso ed il tempo della giustizia, si distende l'intera fenomenologia che la fase ha censito: ed il registro, chiudendo il penultimo nodo, consegna la forbice alla riflessione istituzionale cui compete, annotando soltanto che una Repubblica capace del primo tempo non era condannata per natura alla durata del secondo.</w:t>
      </w:r>
    </w:p>
    <w:p>
      <w:pPr>
        <w:spacing w:after="120" w:line="276"/>
        <w:jc w:val="both"/>
      </w:pPr>
      <w:r>
        <w:rPr>
          <w:rFonts w:ascii="Barlow Semi Condensed" w:cs="Barlow Semi Condensed" w:eastAsia="Barlow Semi Condensed" w:hAnsi="Barlow Semi Condensed"/>
          <w:sz w:val="24"/>
          <w:szCs w:val="24"/>
        </w:rPr>
        <w:t xml:space="preserve">Accanto al binario penale ed a quello memoriale, il caso bolognese ha costruito il terzo pilastro della risposta civile, che il registro censisce quale lascito istituzionale della strage: sul versante associativo, la costituzione permanente dell'Associazione tra i familiari delle vittime della strage alla stazione di Bologna, che dal 1981 ha operato quale parte civile organizzata in ogni grado di ogni filone processuale, motore ininterrotto di impulso giudiziario attraverso 4 decenni, modello poi replicato dalle associazioni delle altre stragi del corpus, Livello A quanto all'esistenza, alla continuità ed al ruolo processuale documentato; sul versante legislativo, il binario riparatorio culminato nella legge 3 agosto 2004 numero 206 sulle nuove norme in favore delle vittime del terrorismo e delle stragi, che consolidò elargizioni, benefici previdenziali ed assistenziali per le vittime e per i superstiti dell'intera stagione, Livello A quanto allo strumento normativo. Il registro assegna al doppio pilastro la sua funzione sistemica: la riparazione economica e l'organizzazione permanente dei familiari sono le 2 forme con cui la Repubblica ha riconosciuto in via generale ciò che le aule hanno accertato solo in parte, ed il paradosso contabile che ne deriva, uno Stato che indennizza per legge tutte le vittime di stragi delle quali non ha giudizialmente individuato tutti i responsabili, non è un'incoerenza ma la fotografia esatta della forbice che l'intera fase misura, tra la certezza dei corpi e l'incompiutezza delle catene di comando, con l'annotazione finale che l'opera deve al caso bolognese: dove lo Stato ha camminato più lentamente, i familiari organizzati hanno camminato per lui, e la stagione dei mandanti censita nel capitolo è, in misura documentabile dagli atti, il prodotto della loro ostinazione processuale prima ancora che dell'iniziativa pubblica.</w:t>
      </w:r>
    </w:p>
    <w:p>
      <w:pPr>
        <w:spacing w:after="120" w:line="276"/>
        <w:jc w:val="both"/>
      </w:pPr>
      <w:r>
        <w:rPr>
          <w:rFonts w:ascii="Barlow Semi Condensed" w:cs="Barlow Semi Condensed" w:eastAsia="Barlow Semi Condensed" w:hAnsi="Barlow Semi Condensed"/>
          <w:sz w:val="24"/>
          <w:szCs w:val="24"/>
        </w:rPr>
        <w:t xml:space="preserve">Il fascicolo bolognese impone infine il censimento della sua controipotesi maggiore, che il registro riporta con la disciplina del Pattern 6: la tesi della matrice palestinese, la lettura che riconduce l'ordigno del 2 agosto ad una rappresaglia collegata alla rottura degli equilibri riservati mediterranei censiti nella fase quinta, riproposta in più stagioni processuali e pubblicistiche quale alternativa alla matrice neofascista giudicata, è stata esaminata e motivatamente respinta dalle sentenze dell'ultima stagione, che ne hanno vagliato gli elementi dichiarativi e documentali concludendo per la loro inidoneità a scalfire il quadro probatorio consolidato, Livello A quanto all'esistenza della controipotesi, al suo esame giudiziario ed al suo rigetto motivato nei giudicati. Il registro consegna il punto al suo statuto esatto, contro le 2 tentazioni speculari: la controipotesi non è stata ignorata, come lamenta la sua pubblicistica, ma processata e respinta nel contraddittorio, il che la colloca tra le ipotesi falsificate e non tra quelle censurate; e simmetricamente il suo ritorno ciclico ad ogni stagione, documentabile nella cronologia del caso, appartiene esso stesso ai fenomeni che il corpus studia, la persistenza delle letture alternative quale funzione del bisogno di senso più che della forza degli elementi, con l'annotazione di metodo che chiude il punto: in un caso con esecutori condannati in via definitiva e mandanti giudicati, l'onere di ogni tesi sostitutiva non è di essere suggestiva ma di spiegare meglio l'intero corpo dei fatti accertati, e questo onere, ad oggi, nessuna controipotesi bolognese lo ha assolto davanti ad un giudice.</w:t>
      </w:r>
    </w:p>
    <w:p>
      <w:pPr>
        <w:spacing w:after="120" w:line="276"/>
        <w:jc w:val="both"/>
      </w:pPr>
      <w:r>
        <w:rPr>
          <w:rFonts w:ascii="Barlow Semi Condensed" w:cs="Barlow Semi Condensed" w:eastAsia="Barlow Semi Condensed" w:hAnsi="Barlow Semi Condensed"/>
          <w:sz w:val="24"/>
          <w:szCs w:val="24"/>
        </w:rPr>
        <w:t xml:space="preserve">Il lutto bolognese ebbe infine la sua liturgia divisa, che il registro censisce quale primo verdetto della piazza: alle esequie solenni celebrate in San Petronio nei giorni successivi alla strage, davanti ad una moltitudine che gremiva la piazza, la folla riservò contestazioni e fischi ai rappresentanti del governo e delle istituzioni di partito, mentre tributò al presidente della Repubblica Pertini, giunto tra i feriti e le bare sin dalle prime ore, un'accoglienza di segno opposto, in una scena documentata da ogni cronaca e rimasta nella memoria civile quale spartiacque del rapporto tra il Paese e lo Stato dopo l'ultima strage, Livello A quanto ai fatti ed alla loro documentazione. Il registro consegna la scena alla sua funzione di reperto: la piazza del 1980 distinse pubblicamente, dentro il medesimo Stato, le istituzioni percepite quali garanti da quelle percepite quali inadempienti, emettendo a caldo, con lo strumento primitivo del fischio e dell'applauso, il medesimo giudizio differenziale che 4 decenni di processi avrebbero poi faticosamente istruito, e questa anticipazione popolare della distinzione che governa l'intera opera, lo Stato che protegge e lo Stato che manca, non è un dato folclorico ma il segno che la coscienza civile del Paese aveva già letto, nell'agosto 1980, la struttura duale che il corpus documenta, con l'annotazione che chiude il capitolo: le stragi non riuscirono mai a produrre il panico eversivo per cui erano concepite, produssero piazze che fischiavano, e la differenza tra questi 2 esiti è la ragione ultima per cui la strategia censita da questa fase, pur avendo vinto quasi tutti i suoi processi, ha perso la sua guerra.</w:t>
      </w:r>
    </w:p>
    <w:p>
      <w:pPr>
        <w:spacing w:after="120" w:line="276"/>
        <w:jc w:val="both"/>
      </w:pPr>
      <w:r>
        <w:rPr>
          <w:rFonts w:ascii="Barlow Semi Condensed" w:cs="Barlow Semi Condensed" w:eastAsia="Barlow Semi Condensed" w:hAnsi="Barlow Semi Condensed"/>
          <w:sz w:val="24"/>
          <w:szCs w:val="24"/>
        </w:rPr>
        <w:t xml:space="preserve">La stazione conserva infine la sua reliquia laica, che il registro censisce a chiusura del versante memoriale: l'orologio della facciata, fermato dalla deflagrazione sull'ora della strage, fu in seguito riparato, e quindi nuovamente arrestato per scelta memoriale sulle 10:25, l'ora che il capitolo ha censito, divenendo il segno permanente che accoglie chiunque transiti per il piazzale, Livello A quanto alla vicenda dell'oggetto ed alla sua funzione attuale. Il registro consegna la reliquia alla sua lezione: la decisione di rifermare un orologio funzionante, di sacrificare cioè l'utilità del meccanismo alla verità del segno, è l'atto memoriale più radicale del corpus, perché non aggiunge un monumento alla città ma sottrae per sempre un servizio alla stazione, imponendo alla vita quotidiana una piccola disfunzione perpetua in cambio della memoria, e questa scelta, deliberata e mantenuta, dice della strage di Bologna ciò che nessuna lapide potrebbe: che la città ha voluto un tempo pubblico spezzato in permanenza, un quadrante che dà a tutti l'ora sbagliata perché nessuno possa avere, su quel piazzale, l'ora senza la storia.</w:t>
      </w:r>
    </w:p>
    <w:p>
      <w:pPr>
        <w:spacing w:after="120" w:line="276"/>
        <w:jc w:val="both"/>
      </w:pPr>
      <w:r>
        <w:rPr>
          <w:rFonts w:ascii="Barlow Semi Condensed" w:cs="Barlow Semi Condensed" w:eastAsia="Barlow Semi Condensed" w:hAnsi="Barlow Semi Condensed"/>
          <w:sz w:val="24"/>
          <w:szCs w:val="24"/>
        </w:rPr>
        <w:t xml:space="preserve">La stagione parlamentare sulle stragi ebbe il suo presidente-simbolo, che il registro censisce a completamento del versante istituzionale: il senatore Libero Gualtieri guidò la Commissione stragi dal 1988 al 1994, gli anni delle svolte censite dall'opera, la rivelazione della rete clandestina, la riapertura dei fascicoli orientali, le grandi audizioni, imprimendo ai lavori l'impostazione documentale che le relazioni di quella stagione testimoniano e che fece della commissione, in quel sessennio, il principale motore civile di declassificazione della Repubblica, Livello A quanto alla presidenza ed agli atti prodotti. Il registro consegna la figura alla tipologia che l'opera ha costruito attraverso le fasi: accanto ai magistrati istruttori ed agli archivisti volontari, il corpus registra la funzione del presidente d'inchiesta quale terza figura della conoscenza possibile, l'uomo che non può condannare né conservare ma può costringere lo Stato a rispondere in verbale, e la stagione Gualtieri, con i suoi atti che questa fase ha citato in ogni capitolo, dimostra la resa massima dello strumento parlamentare quando smette di cercare colpevoli, che non può raggiungere, e si dedica a ciò che solo esso può fare, trasformare il segreto in atto pubblico una domanda alla volta.</w:t>
      </w:r>
    </w:p>
    <w:p>
      <w:pPr>
        <w:spacing w:after="120" w:line="276"/>
        <w:jc w:val="both"/>
      </w:pPr>
      <w:r>
        <w:rPr>
          <w:rFonts w:ascii="Barlow Semi Condensed" w:cs="Barlow Semi Condensed" w:eastAsia="Barlow Semi Condensed" w:hAnsi="Barlow Semi Condensed"/>
          <w:b/>
          <w:bCs/>
          <w:sz w:val="24"/>
          <w:szCs w:val="24"/>
        </w:rPr>
        <w:t xml:space="preserve">Sintesi del dato nuovo acquisito:</w:t>
      </w:r>
      <w:r>
        <w:rPr>
          <w:rFonts w:ascii="Barlow Semi Condensed" w:cs="Barlow Semi Condensed" w:eastAsia="Barlow Semi Condensed" w:hAnsi="Barlow Semi Condensed"/>
          <w:sz w:val="24"/>
          <w:szCs w:val="24"/>
        </w:rPr>
        <w:t xml:space="preserve"> il nodo Bologna è certificato nei suoi 3 strati: al Livello A le condanne irrevocabili degli esecutori Fioravanti, Mambro, Ciavardini e Cavallini, con la posizione di Bellini registrata allo stato dei gradi di merito; al Livello A il depistaggio congiunto di Gelli, Pazienza, Musumeci e Belmonte, saldatura giudicata dei Domini 3 e 4 sul terreno del Dominio 7; al Livello B il quadro dei mandanti Gelli, Ortolani, D'Amato e Tedeschi ricostruito dalle motivazioni recenti sul fondamento dell'appunto contabile, con l'aggiornamento dichiarato della posizione di D'Amato rispetto alla Fase 2 e la proiezione verso il Dominio 8; la pista alternativa internazionale è censita quale ipotesi espressamente disattesa dai giudicati.</w:t>
      </w:r>
    </w:p>
    <w:p>
      <w:pPr>
        <w:pStyle w:val="Heading3"/>
        <w:spacing w:after="80" w:before="160"/>
      </w:pPr>
      <w:r>
        <w:rPr>
          <w:rFonts w:ascii="Barlow Semi Condensed" w:cs="Barlow Semi Condensed" w:eastAsia="Barlow Semi Condensed" w:hAnsi="Barlow Semi Condensed"/>
          <w:sz w:val="24"/>
          <w:szCs w:val="24"/>
        </w:rPr>
        <w:t xml:space="preserve">Capitolo 10 — ■ L'omicidio di Piersanti Mattarella. Il mandato giudicato e l'esecuzione irrisolta</w:t>
      </w:r>
    </w:p>
    <w:p>
      <w:pPr>
        <w:spacing w:after="120" w:line="276"/>
        <w:jc w:val="both"/>
      </w:pPr>
      <w:r>
        <w:rPr>
          <w:rFonts w:ascii="Barlow Semi Condensed" w:cs="Barlow Semi Condensed" w:eastAsia="Barlow Semi Condensed" w:hAnsi="Barlow Semi Condensed"/>
          <w:sz w:val="24"/>
          <w:szCs w:val="24"/>
        </w:rPr>
        <w:t xml:space="preserve">L'omicidio di Piersanti Mattarella, presidente della Regione Siciliana, assassinato a Palermo il 6 gennaio 1980 mentre, senza scorta, si recava a messa con la famiglia, è il nodo che chiude la fase perché in esso si concentra, allo stato più puro, la questione che la Fase 1 aveva formalmente lasciato aperta e consegnato alle fasi successive: la convergenza tra il Dominio 1, la mafia, e il Dominio 7, l'eversione nera, nella stagione a cavallo del 1980. La scansione del corpus registra Mattarella 226 volte in 19 documenti. Il nodo è altresì, tra tutti quelli dell'opera, il più esigente sul piano della disciplina, giacché in esso coesistono un giudicato pieno sul mandato e un vuoto integrale, presidiato da un'assoluzione irrevocabile, sull'esecuzione.</w:t>
      </w:r>
    </w:p>
    <w:p>
      <w:pPr>
        <w:spacing w:after="120" w:line="276"/>
        <w:jc w:val="both"/>
      </w:pPr>
      <w:r>
        <w:rPr>
          <w:rFonts w:ascii="Barlow Semi Condensed" w:cs="Barlow Semi Condensed" w:eastAsia="Barlow Semi Condensed" w:hAnsi="Barlow Semi Condensed"/>
          <w:sz w:val="24"/>
          <w:szCs w:val="24"/>
        </w:rPr>
        <w:t xml:space="preserve">La ricostruzione dell'evento e del suo contesto è il primo fondamento. Piersanti Mattarella, esponente della corrente morotea della Democrazia Cristiana siciliana, conduceva da presidente della Regione una politica dichiarata di rottura del sistema degli appalti e di risanamento amministrativo, in aperto conflitto con gli interessi mafiosi e con gli equilibri interni al suo stesso partito che la Fase 1 ha documentato nel nodo Lima-Ciancimino; il suo assassinio si inserì nella sequenza degli omicidi politici palermitani che eliminò, tra il 1979 e il 1982, il segretario provinciale democristiano Michele Reina, lo stesso Mattarella e il segretario regionale comunista Pio La Torre. Il registro certifica al Livello A l'evento, il contesto politico-amministrativo del conflitto sugli appalti e l'appartenenza dell'omicidio alla sequenza politica palermitana.</w:t>
      </w:r>
    </w:p>
    <w:p>
      <w:pPr>
        <w:spacing w:after="120" w:line="276"/>
        <w:jc w:val="both"/>
      </w:pPr>
      <w:r>
        <w:rPr>
          <w:rFonts w:ascii="Barlow Semi Condensed" w:cs="Barlow Semi Condensed" w:eastAsia="Barlow Semi Condensed" w:hAnsi="Barlow Semi Condensed"/>
          <w:sz w:val="24"/>
          <w:szCs w:val="24"/>
        </w:rPr>
        <w:t xml:space="preserve">Il primo pilastro probatorio è il giudicato sul mandato, che il registro certifica al Livello A. Il processo per gli omicidi politici palermitani si concluse con la condanna all'ergastolo, quali mandanti, dei componenti della commissione provinciale di Cosa Nostra, tra cui Salvatore Riina e Giuseppe Calò, con sentenza della Corte d'assise di Palermo dell'aprile 1995 divenuta irrevocabile all'esito dei gradi successivi: il vertice dell'organizzazione mafiosa deliberò ed ordinò l'eliminazione del presidente della Regione, quale risposta alla sua politica di rottura. Il registro certifica al Livello A il mandato mafioso dell'omicidio Mattarella, e annota il richiamo interno che ne deriva: tra i mandanti condannati figura Giuseppe Calò, il nodo che la Fase 1 aveva certificato quale cassiere dell'organizzazione e quale condannato per la strage del rapido 904, sicché il medesimo uomo salda, nella propria posizione giudiziaria definitiva, il mandato dell'omicidio politico del 1980 e la strage ferroviaria del 1984: un arco interno al Dominio 1 che attraversa il Dominio 7 e che il registro iscrive quale conferma della capacità deliberativa unitaria del vertice mafioso sull'intero spettro della violenza politica.</w:t>
      </w:r>
    </w:p>
    <w:p>
      <w:pPr>
        <w:spacing w:after="120" w:line="276"/>
        <w:jc w:val="both"/>
      </w:pPr>
      <w:r>
        <w:rPr>
          <w:rFonts w:ascii="Barlow Semi Condensed" w:cs="Barlow Semi Condensed" w:eastAsia="Barlow Semi Condensed" w:hAnsi="Barlow Semi Condensed"/>
          <w:sz w:val="24"/>
          <w:szCs w:val="24"/>
        </w:rPr>
        <w:t xml:space="preserve">Il secondo pilastro è la questione degli esecutori, che il registro espone nella sua integralità formale. L'istruttoria e il dibattimento esplorarono, sul fondamento di dichiarazioni di collaboratori e di un riconoscimento fotografico, l'ipotesi che l'esecuzione materiale fosse stata affidata, in una convergenza operativa senza precedenti, a killer provenienti dall'eversione nera romana, e segnatamente a Valerio Fioravanti e Gilberto Cavallini, i medesimi nomi che il capitolo precedente ha certificato quali condannati per la strage di Bologna: la Corte d'assise di Palermo, nella sentenza dell'aprile 1995, li assolse dall'accusa di essere gli esecutori dell'omicidio Mattarella, e l'assoluzione è divenuta irrevocabile nei gradi successivi. Il registro la riporta per esteso e certifica al Livello A che l'identità degli esecutori materiali dell'omicidio Mattarella resta, all'esito di ogni giudizio, non accertata: la strage di Stato regionale, come fu definita, ha mandanti giudicati e mani ignote. L'ipotesi della convergenza esecutiva tra mafia ed eversione nera, che la Fase 1 aveva registrato al Livello C, resta al Livello C, con la qualificazione aggravata che il registro riserva alle ipotesi processate e non provate: essa fu portata in giudizio e il giudizio non la consacrò, sicché la sua permanenza nel registro è quella dell'ipotesi vagliata e rimasta tale, distinta tanto dall'ipotesi mai vagliata quanto dall'ipotesi esclusa; il registro annota che la questione ha continuato a formare oggetto di attenzione investigativa e storiografica, e che ogni suo sviluppo sarà recepito al maturare di fonti nuove.</w:t>
      </w:r>
    </w:p>
    <w:p>
      <w:pPr>
        <w:spacing w:after="120" w:line="276"/>
        <w:jc w:val="both"/>
      </w:pPr>
      <w:r>
        <w:rPr>
          <w:rFonts w:ascii="Barlow Semi Condensed" w:cs="Barlow Semi Condensed" w:eastAsia="Barlow Semi Condensed" w:hAnsi="Barlow Semi Condensed"/>
          <w:sz w:val="24"/>
          <w:szCs w:val="24"/>
        </w:rPr>
        <w:t xml:space="preserve">Il terzo pilastro è la funzione sistemica del nodo nella chiusura della fase, che il registro dichiara. L'omicidio Mattarella è il punto in cui i 2 versanti dell'opera, il quadrilatero mafioso-affaristico della Fase 1 e il versante eversivo della presente fase, si toccano nel medesimo evento senza che il contatto sia mai stato provato: il mandato appartiene con certezza giudiziaria al primo versante, l'ipotesi esecutiva evocò il secondo, e il giudizio lasciò i 2 versanti giustapposti, non congiunti. Il registro eleva questa configurazione a paradigma: la convergenza tra i domini della violenza, che la vulgata assume quale sistema permanente, è nel registro una questione empirica da accertare evento per evento, e il nodo Mattarella dimostra che essa può essere, in un medesimo evento, giudizialmente fondata quanto a un versante e giudizialmente infondata quanto all'altro; nessun altro caso dell'opera incarna con eguale purezza la differenza tra la rete certificata e la rete congetturata, ed è per questo che il nodo sigilla la fase.</w:t>
      </w:r>
    </w:p>
    <w:p>
      <w:pPr>
        <w:spacing w:after="120" w:line="276"/>
        <w:jc w:val="both"/>
      </w:pPr>
      <w:r>
        <w:rPr>
          <w:rFonts w:ascii="Barlow Semi Condensed" w:cs="Barlow Semi Condensed" w:eastAsia="Barlow Semi Condensed" w:hAnsi="Barlow Semi Condensed"/>
          <w:sz w:val="24"/>
          <w:szCs w:val="24"/>
        </w:rPr>
        <w:t xml:space="preserve">Il quarto pilastro è la sequenza unitaria degli omicidi politici palermitani, che il registro certifica al Livello A quale contesto giudicato dell'evento e quale reperto sulla capacità deliberativa del vertice mafioso. Il medesimo ciclo processuale che giudicò l'omicidio Mattarella giudicò, con esiti convergenti, l'omicidio di Michele Reina, segretario provinciale della Democrazia Cristiana palermitana, ucciso il 9 marzo 1979, e quello di Pio La Torre, segretario regionale del Partito comunista e primo firmatario della legge che avrebbe introdotto il delitto di associazione mafiosa e la confisca dei patrimoni, ucciso con il suo collaboratore Rosario Di Salvo il 30 aprile 1982: per entrambi, la condanna definitiva dei componenti della commissione provinciale di Cosa Nostra quali mandanti. Il registro certifica al Livello A l'unitarietà del giudicato sulla sequenza, e ne trae l'annotazione strutturale: nell'arco di 3 anni il vertice mafioso deliberò l'eliminazione del segretario provinciale del partito di maggioranza, del presidente della Regione e del segretario regionale del partito di opposizione, colpendo l'intero spettro politico nel punto in cui ciascuna figura minacciava, per vie diverse, gli interessi dell'organizzazione, il controllo del partito-contenitore, il sistema degli appalti, il patrimonio; la trasversalità delle vittime certifica che l'organizzazione operava quale attore politico autonomo, capace di colpire maggioranza e opposizione secondo un proprio calcolo strategico, e non quale braccio armato di una parte, e questa autonomia deliberativa giudicata è il dato che il registro oppone a ogni lettura che riduca il Dominio 1 a strumento di altri domini. La legge voluta da La Torre, approvata dopo il suo assassinio e dopo quello del generale Dalla Chiesa nel settembre 1982, appartiene ai fili che la fase consegna: il registro la annota quale cerniera verso la trattazione del versante antimafia che le fasi successive incontreranno.</w:t>
      </w:r>
    </w:p>
    <w:p>
      <w:pPr>
        <w:spacing w:after="120" w:line="276"/>
        <w:jc w:val="both"/>
      </w:pPr>
      <w:r>
        <w:rPr>
          <w:rFonts w:ascii="Barlow Semi Condensed" w:cs="Barlow Semi Condensed" w:eastAsia="Barlow Semi Condensed" w:hAnsi="Barlow Semi Condensed"/>
          <w:sz w:val="24"/>
          <w:szCs w:val="24"/>
        </w:rPr>
        <w:t xml:space="preserve">Le triangolazioni del nodo sono 3. La prima, Mattarella-commissione di Cosa Nostra-mandato, è il triangolo del giudicato, certificato al Livello A, con il richiamo interno al nodo Calò. La seconda, Mattarella-Fioravanti e Cavallini-ipotesi esecutiva, è il triangolo dell'ipotesi processata e non provata, con l'assoluzione irrevocabile riportata per esteso e la permanenza al Livello C nella qualificazione aggravata. La terza, Mattarella-politica degli appalti-nodo Lima-Ciancimino, è il triangolo del movente amministrativo, certificato al Livello A quanto al contesto e saldato al quadrilatero della Fase 1. Sul piano dei pattern, il nodo attiva il Pattern 6 nella sua espressione terminale, quale caso in cui la competizione tra le ipotesi sull'esecuzione resta formalmente aperta dopo il vaglio giudiziario; e il Pattern 5, giacché il vuoto sull'identità degli esecutori è il buco strutturale più significativo dell'intera rete della fase, un'assenza che, secondo il metodo, vale quanto una presenza e orienta la ricerca futura.</w:t>
      </w:r>
    </w:p>
    <w:p>
      <w:pPr>
        <w:spacing w:after="120" w:line="276"/>
        <w:jc w:val="both"/>
      </w:pPr>
      <w:r>
        <w:rPr>
          <w:rFonts w:ascii="Barlow Semi Condensed" w:cs="Barlow Semi Condensed" w:eastAsia="Barlow Semi Condensed" w:hAnsi="Barlow Semi Condensed"/>
          <w:sz w:val="24"/>
          <w:szCs w:val="24"/>
        </w:rPr>
        <w:t xml:space="preserve">Sul piano esecutivo, il registro completa l'esposizione con il reperto testimoniale che l'istruttoria consegnò: la moglie del presidente, presente al momento dell'agguato, fornì dell'esecutore una descrizione circostanziata, che orientò le esplorazioni dibattimentali senza mai approdare ad un riconoscimento capace di reggere il vaglio, sicché l'identità della mano resta, all'esito delle assoluzioni irrevocabili pronunciate sulle piste esplorate, giudizialmente indeterminata, Livello A quanto all'esistenza ed al ruolo processuale della testimonianza, Livello C quanto ad ogni attribuzione ulteriore. È la configurazione che fa del nodo il sigillo perfetto della fase: il mandato certificato al massimo livello, l'esecuzione consegnata allo Stato Zero, e tra i 2 piani quella zona di sovrapposizione tra il Dominio 1 ed il Dominio 7 che le fonti dibattimentali illuminarono senza che il giudicato potesse fissarla, la terra di mezzo tra la mafia che delibera e la manovalanza che spara, sulla quale il registro, fedele alla propria legge, scrive la parola che il diritto vi ha scritto, non provato, e la consegna, intatta ed aperta, alla storia.</w:t>
      </w:r>
    </w:p>
    <w:p>
      <w:pPr>
        <w:spacing w:after="120" w:line="276"/>
        <w:jc w:val="both"/>
      </w:pPr>
      <w:r>
        <w:rPr>
          <w:rFonts w:ascii="Barlow Semi Condensed" w:cs="Barlow Semi Condensed" w:eastAsia="Barlow Semi Condensed" w:hAnsi="Barlow Semi Condensed"/>
          <w:sz w:val="24"/>
          <w:szCs w:val="24"/>
        </w:rPr>
        <w:t xml:space="preserve">La questione esecutiva esige il completamento formale che la disciplina delle assoluzioni impone. Sul fondamento delle convergenze dichiarative che indicavano nell'agguato una mano estranea alla manovalanza mafiosa ordinaria, fu processato quale esecutore materiale Valerio Fioravanti, condannato in primo grado nel 1995 e quindi assolto nel giudizio d'appello, con pronuncia divenuta irrevocabile; parimenti assolto in via definitiva fu Gilberto Cavallini, Livello A quanto agli esiti, che il registro riporta per esteso. Ne risulta la configurazione che rende il nodo speculare e complementare a quello bolognese, ed il chiasmo va dichiarato perché è la chiave analitica della chiusura di fase: a Bologna il giudicato ha consegnato gli esecutori ed ha lasciato al piano ulteriore la questione dei mandanti; a Palermo il giudicato ha consegnato i mandanti, la commissione provinciale di Cosa Nostra con le condanne irrevocabili censite, ed ha lasciato irrisolto il piano degli esecutori. Le 2 stragi terminali della stagione, il massimo eccidio e l'omicidio politico d'apice, si specchiano così l'una nell'altra come 2 metà di un medesimo teorema probatorio: ciascuna certifica esattamente il piano che l'altra non raggiunge, e la loro giustapposizione, che solo la lettura reticolare consente, disegna il perimetro completo di ciò che la giustizia repubblicana ha potuto e non potuto sui 2 versanti, l'eversivo ed il mafioso, del medesimo campo di violenza. Il registro consegna il chiasmo alla Fase 4, che del rapporto tra i piani, l'esecuzione certificata ed il mandato conteso, farà la propria architettura portante sul caso che li contiene tutti.</w:t>
      </w:r>
    </w:p>
    <w:p>
      <w:pPr>
        <w:spacing w:after="120" w:line="276"/>
        <w:jc w:val="both"/>
      </w:pPr>
      <w:r>
        <w:rPr>
          <w:rFonts w:ascii="Barlow Semi Condensed" w:cs="Barlow Semi Condensed" w:eastAsia="Barlow Semi Condensed" w:hAnsi="Barlow Semi Condensed"/>
          <w:sz w:val="24"/>
          <w:szCs w:val="24"/>
        </w:rPr>
        <w:t xml:space="preserve">Il movente amministrativo del delitto va corredato di un esempio concreto, perché la formula del risanamento rischia l'astrattezza che il registro rifugge: tra gli atti della presidenza Mattarella gli accertamenti censirono l'intervento diretto sul sistema degli appalti regionali, con il blocco ed il riesame di procedure viziate nel settore dell'edilizia scolastica, terreno storico della spartizione tra impresa protetta ed amministrazione compiacente, ed è su questo terreno, secondo le ricostruzioni consegnate agli atti parlamentari e giudiziari, che la presidenza riformatrice incise gli interessi consolidati del blocco affaristico-mafioso, Livello A quanto agli atti amministrativi, Livello B quanto alla loro selezione quale movente specifico, che le motivazioni collocano nel quadro complessivo dell'azione di governo della vittima. Il dettaglio restituisce al nodo la sua concretezza materiale: il presidente non fu ucciso per una postura ma per una condotta, atti d'ufficio con numero di protocollo, e la distanza tra il gesto amministrativo, un appalto riesaminato, e la sua sanzione, l'agguato del giorno dell'Epifania, misura il tasso di conversione tra i codici che il registro ha assunto quale sua unità di misura sin dal primo capitolo: nella Sicilia del 1980, la moneta con cui il Dominio 1 pagava l'interferenza del Dominio 2 nel proprio mercato era una sola, e Piersanti Mattarella ne conobbe il corso.</w:t>
      </w:r>
    </w:p>
    <w:p>
      <w:pPr>
        <w:spacing w:after="120" w:line="276"/>
        <w:jc w:val="both"/>
      </w:pPr>
      <w:r>
        <w:rPr>
          <w:rFonts w:ascii="Barlow Semi Condensed" w:cs="Barlow Semi Condensed" w:eastAsia="Barlow Semi Condensed" w:hAnsi="Barlow Semi Condensed"/>
          <w:b/>
          <w:bCs/>
          <w:sz w:val="24"/>
          <w:szCs w:val="24"/>
        </w:rPr>
        <w:t xml:space="preserve">Sintesi del dato nuovo acquisito:</w:t>
      </w:r>
      <w:r>
        <w:rPr>
          <w:rFonts w:ascii="Barlow Semi Condensed" w:cs="Barlow Semi Condensed" w:eastAsia="Barlow Semi Condensed" w:hAnsi="Barlow Semi Condensed"/>
          <w:sz w:val="24"/>
          <w:szCs w:val="24"/>
        </w:rPr>
        <w:t xml:space="preserve"> il nodo Mattarella è certificato al Livello A quanto al mandato mafioso dell'omicidio, deliberato dalla commissione provinciale di Cosa Nostra e giudicato con condanne irrevocabili tra cui quelle di Riina e di Calò, e quanto al contesto del conflitto sugli appalti che lo motivò; l'identità degli esecutori materiali resta giudizialmente non accertata, con l'assoluzione irrevocabile di Fioravanti e Cavallini riportata per esteso, e l'ipotesi della convergenza esecutiva tra mafia ed eversione nera permane al Livello C nella qualificazione aggravata dell'ipotesi processata e non provata; il nodo sigilla la fase quale paradigma della differenza tra la rete certificata e la rete congetturata, e riconsegna alla Fase 5 e agli aggiornamenti futuri il buco strutturale della mano ignota.</w:t>
      </w:r>
    </w:p>
    <w:p>
      <w:pPr>
        <w:pStyle w:val="Heading3"/>
        <w:spacing w:after="80" w:before="160"/>
      </w:pPr>
      <w:r>
        <w:rPr>
          <w:rFonts w:ascii="Barlow Semi Condensed" w:cs="Barlow Semi Condensed" w:eastAsia="Barlow Semi Condensed" w:hAnsi="Barlow Semi Condensed"/>
          <w:sz w:val="24"/>
          <w:szCs w:val="24"/>
        </w:rPr>
        <w:t xml:space="preserve">Repertorio degli archi e delle triangolazioni certificate nella Fase 3</w:t>
      </w:r>
    </w:p>
    <w:p>
      <w:pPr>
        <w:spacing w:after="120" w:line="276"/>
        <w:jc w:val="both"/>
      </w:pPr>
      <w:r>
        <w:rPr>
          <w:rFonts w:ascii="Barlow Semi Condensed" w:cs="Barlow Semi Condensed" w:eastAsia="Barlow Semi Condensed" w:hAnsi="Barlow Semi Condensed"/>
          <w:sz w:val="24"/>
          <w:szCs w:val="24"/>
        </w:rPr>
        <w:t xml:space="preserve">Il repertorio consolida in un inventario unitario, per versanti, gli archi, le triangolazioni e gli esiti certificati nella fase, con la funzione di riferimento citabile che i repertori delle fasi precedenti hanno stabilito. La forma è quella della prosa inventariale, e ogni voce reca il livello di certificazione.</w:t>
      </w:r>
    </w:p>
    <w:p>
      <w:pPr>
        <w:spacing w:after="120" w:line="276"/>
        <w:jc w:val="both"/>
      </w:pPr>
      <w:r>
        <w:rPr>
          <w:rFonts w:ascii="Barlow Semi Condensed" w:cs="Barlow Semi Condensed" w:eastAsia="Barlow Semi Condensed" w:hAnsi="Barlow Semi Condensed"/>
          <w:sz w:val="24"/>
          <w:szCs w:val="24"/>
        </w:rPr>
        <w:t xml:space="preserve">Il primo versante è quello dell'evento inaugurale e della sua matrice. Vi appartengono: l'arco piazza Fontana-pista anarchica, certificato al Livello A quale primo depistaggio della stagione, con la morte di Pinelli e l'assoluzione definitiva di Valpreda quali esiti documentati; l'arco piazza Fontana-cellula ordinovista veneta, certificato al Livello A quale verità storica affermata nella motivazione della sentenza definitiva del 3 maggio 2005; l'arco piazza Fontana-Reparto D, certificato al Livello A dalla condanna definitiva di Maletti per il depistaggio, richiamata dalla Fase 2; e la duplice posizione di Freda e Ventura, condannati in via definitiva a 15 anni per la campagna di attentati del 1969 e irrevocabilmente assolti dall'accusa di strage nel 1987, con l'attribuzione storica in motivazione che con tale assoluzione coesiste quale paradosso del giudicato.</w:t>
      </w:r>
    </w:p>
    <w:p>
      <w:pPr>
        <w:spacing w:after="120" w:line="276"/>
        <w:jc w:val="both"/>
      </w:pPr>
      <w:r>
        <w:rPr>
          <w:rFonts w:ascii="Barlow Semi Condensed" w:cs="Barlow Semi Condensed" w:eastAsia="Barlow Semi Condensed" w:hAnsi="Barlow Semi Condensed"/>
          <w:sz w:val="24"/>
          <w:szCs w:val="24"/>
        </w:rPr>
        <w:t xml:space="preserve">Il secondo versante è quello della matrice organizzativa. Vi appartengono: l'arco Ordine Nuovo-scioglimento giudiziario, certificato al Livello A dalla sentenza del novembre 1973 e dal decreto Taviani; l'arco Ordine Nuovo-Occorsio-Concutelli, certificato al Livello A dal giudicato sull'omicidio del magistrato del 10 luglio 1976, arco estremo tra il Dominio 7 e il Dominio 10; l'arco Concutelli e Tuti-Buzzi, certificato al Livello A quale soppressione in carcere dell'imputato della strage di Brescia; e l'arco delle migrazioni tra il movimento e il partito legale, certificato al Livello A quanto ai fatti organizzativi e privo di ogni estensione di responsabilità al partito quale tale.</w:t>
      </w:r>
    </w:p>
    <w:p>
      <w:pPr>
        <w:spacing w:after="120" w:line="276"/>
        <w:jc w:val="both"/>
      </w:pPr>
      <w:r>
        <w:rPr>
          <w:rFonts w:ascii="Barlow Semi Condensed" w:cs="Barlow Semi Condensed" w:eastAsia="Barlow Semi Condensed" w:hAnsi="Barlow Semi Condensed"/>
          <w:sz w:val="24"/>
          <w:szCs w:val="24"/>
        </w:rPr>
        <w:t xml:space="preserve">Il terzo versante è quello della proiezione internazionale. Vi appartengono: la certificazione di Livello A di Aginter Press quale centrale anticomunista di Lisbona documentata dai propri archivi sequestrati nel 1974; l'arco Aginter-eversione nera italiana, certificato al Livello B quanto ai collegamenti e mantenuto al Livello C quanto all'operatività in eventi specifici; il reperto comparativo Aginter-Hyperion, certificato al Livello A nei suoi 2 termini, l'isomorfismo strutturale e l'assenza di connessione operativa documentata; la latitanza intercontinentale di Delle Chiaie, certificata al Livello A nei fatti, con i rapporti con gli apparati cileni e con il contesto boliviano al Livello B; e l'arco Delle Chiaie-Aginter, certificato al Livello B quanto ai contatti e al Livello C quanto all'organicità.</w:t>
      </w:r>
    </w:p>
    <w:p>
      <w:pPr>
        <w:spacing w:after="120" w:line="276"/>
        <w:jc w:val="both"/>
      </w:pPr>
      <w:r>
        <w:rPr>
          <w:rFonts w:ascii="Barlow Semi Condensed" w:cs="Barlow Semi Condensed" w:eastAsia="Barlow Semi Condensed" w:hAnsi="Barlow Semi Condensed"/>
          <w:sz w:val="24"/>
          <w:szCs w:val="24"/>
        </w:rPr>
        <w:t xml:space="preserve">Il quarto versante è quello di Peteano. Vi appartengono: la responsabilità esecutiva di Vinciguerra, certificata al Livello A dalla confessione riscontrata e dal giudicato; il depistaggio, certificato al Livello A dalle condanne del perito Morin e di ufficiali dell'Arma tra cui il colonnello Mingarelli; la filiazione istruttoria Casson-Gladio, certificata al Livello A quale sequenza storica che condusse alla rivelazione dell'ottobre 1990, con la connessione di mandato tra la rete e la strage non provata e non affermata; e la graduazione delle dichiarazioni sistemiche di Vinciguerra tra il Livello B e il Livello C secondo il riscontro.</w:t>
      </w:r>
    </w:p>
    <w:p>
      <w:pPr>
        <w:spacing w:after="120" w:line="276"/>
        <w:jc w:val="both"/>
      </w:pPr>
      <w:r>
        <w:rPr>
          <w:rFonts w:ascii="Barlow Semi Condensed" w:cs="Barlow Semi Condensed" w:eastAsia="Barlow Semi Condensed" w:hAnsi="Barlow Semi Condensed"/>
          <w:sz w:val="24"/>
          <w:szCs w:val="24"/>
        </w:rPr>
        <w:t xml:space="preserve">Il quinto versante è quello di Brescia. Vi appartengono: il giudicato del 20 giugno 2017, che certifica al Livello A la responsabilità di Maggi quale organizzatore e di Tramonte quale concorrente, unica condanna definitiva di mandante dell'intera sequenza politica; la doppia qualità di Tramonte, fonte Tritone del SID e concorrente condannato, certificata al Livello A quale forma più diretta mai giudicata dell'arco Dominio 3-Dominio 7, con il mandato istituzionale fermo al Livello C; l'ostruzione originaria del lavaggio della piazza, certificata al Livello A; e la posizione del filone a carico di soggetti all'epoca minorenni, registrata quale pendenza non irrevocabile.</w:t>
      </w:r>
    </w:p>
    <w:p>
      <w:pPr>
        <w:spacing w:after="120" w:line="276"/>
        <w:jc w:val="both"/>
      </w:pPr>
      <w:r>
        <w:rPr>
          <w:rFonts w:ascii="Barlow Semi Condensed" w:cs="Barlow Semi Condensed" w:eastAsia="Barlow Semi Condensed" w:hAnsi="Barlow Semi Condensed"/>
          <w:sz w:val="24"/>
          <w:szCs w:val="24"/>
        </w:rPr>
        <w:t xml:space="preserve">Il sesto versante è quello dell'Italicus. Vi appartengono: l'assoluzione irrevocabile di Tuti e Franci del 24 marzo 1992, certificata al Livello A e costitutiva dello statuto della strage senza condannati; la valutazione della Commissione Anselmi sull'istigazione e sul possibile sostegno finanziario della loggia P2, recepita al Livello B quale arco Dominio 4-Dominio 7 censito e non provato; e il triangolo comparativo con il rapido 904, certificato al Livello A nei 2 termini giudiziari quale monito contro l'inferenza morfologica.</w:t>
      </w:r>
    </w:p>
    <w:p>
      <w:pPr>
        <w:spacing w:after="120" w:line="276"/>
        <w:jc w:val="both"/>
      </w:pPr>
      <w:r>
        <w:rPr>
          <w:rFonts w:ascii="Barlow Semi Condensed" w:cs="Barlow Semi Condensed" w:eastAsia="Barlow Semi Condensed" w:hAnsi="Barlow Semi Condensed"/>
          <w:sz w:val="24"/>
          <w:szCs w:val="24"/>
        </w:rPr>
        <w:t xml:space="preserve">Il settimo versante è quello di Bologna, nei suoi 3 strati. Vi appartengono: le condanne irrevocabili degli esecutori Fioravanti, Mambro, Ciavardini e Cavallini, certificate al Livello A, con la posizione di Bellini registrata allo stato dei gradi di merito; il depistaggio di Gelli, Pazienza, Musumeci e Belmonte, certificato al Livello A e saldato alle Fasi 1 e 2; il quadro dei mandanti Gelli, Ortolani, D'Amato e Tedeschi, recepito al Livello B dalle motivazioni recenti sul fondamento dell'appunto contabile, con l'aggiornamento dichiarato della posizione di D'Amato rispetto alla Fase 2 e la proiezione verso il Dominio 8 nella persona del direttore di testata; e la pista alternativa internazionale, censita al Livello C nella qualificazione aggravata dell'ipotesi espressamente disattesa dai giudicati.</w:t>
      </w:r>
    </w:p>
    <w:p>
      <w:pPr>
        <w:spacing w:after="120" w:line="276"/>
        <w:jc w:val="both"/>
      </w:pPr>
      <w:r>
        <w:rPr>
          <w:rFonts w:ascii="Barlow Semi Condensed" w:cs="Barlow Semi Condensed" w:eastAsia="Barlow Semi Condensed" w:hAnsi="Barlow Semi Condensed"/>
          <w:sz w:val="24"/>
          <w:szCs w:val="24"/>
        </w:rPr>
        <w:t xml:space="preserve">L'ottavo versante è quello dell'omicidio Mattarella. Vi appartengono: il mandato della commissione provinciale di Cosa Nostra, certificato al Livello A dal giudicato, con il richiamo interno al nodo Calò; il vuoto sull'identità degli esecutori, certificato al Livello A quale esito di ogni giudizio; e l'ipotesi della convergenza esecutiva mafia-eversione, ferma al Livello C nella qualificazione aggravata dell'ipotesi processata e non provata, con l'assoluzione irrevocabile di Fioravanti e Cavallini riportata.</w:t>
      </w:r>
    </w:p>
    <w:p>
      <w:pPr>
        <w:spacing w:after="120" w:line="276"/>
        <w:jc w:val="both"/>
      </w:pPr>
      <w:r>
        <w:rPr>
          <w:rFonts w:ascii="Barlow Semi Condensed" w:cs="Barlow Semi Condensed" w:eastAsia="Barlow Semi Condensed" w:hAnsi="Barlow Semi Condensed"/>
          <w:sz w:val="24"/>
          <w:szCs w:val="24"/>
        </w:rPr>
        <w:t xml:space="preserve">Un versante trasversale, il nono, raccoglie gli omicidi satellite della stagione, gli eventi individuali che orbitano attorno alle stragi e ne certificano il campo di violenza: l'omicidio del commissario Calabresi del 17 maggio 1972, con le condanne definitive di Sofri, Pietrostefani e Bompressi su dichiarazioni del reo confesso Marino, certificato al Livello A con la protesta di innocenza dei condannati registrata quale fatto; l'omicidio del giudice Occorsio del 10 luglio 1976, certificato al Livello A nel giudicato a carico di Concutelli; l'omicidio del giudice Amato del 23 giugno 1980, certificato al Livello A nei giudicati a carico di esponenti dei Nuclei Armati Rivoluzionari tra cui Cavallini; e l'omicidio in carcere di Buzzi del 13 aprile 1981, certificato al Livello A. I 4 eventi, 2 magistrati, 1 funzionario di polizia e 1 imputato, disegnano il perimetro umano della stagione oltre le stragi, e i 2 omicidi di magistrati compongono l'arco Dominio 7-Dominio 10 nella sua serie completa.</w:t>
      </w:r>
    </w:p>
    <w:p>
      <w:pPr>
        <w:spacing w:after="120" w:line="276"/>
        <w:jc w:val="both"/>
      </w:pPr>
      <w:r>
        <w:rPr>
          <w:rFonts w:ascii="Barlow Semi Condensed" w:cs="Barlow Semi Condensed" w:eastAsia="Barlow Semi Condensed" w:hAnsi="Barlow Semi Condensed"/>
          <w:sz w:val="24"/>
          <w:szCs w:val="24"/>
        </w:rPr>
        <w:t xml:space="preserve">Chiude il repertorio il censimento unitario degli esiti personali, che la disciplina della fase impone di raccogliere in un solo luogo. Gli esiti assolutori definitivi riportati per esteso nella fase sono quelli di: Pietro Valpreda, per la strage di piazza Fontana; Franco Freda, Giovanni Ventura e Guido Giannettini, per la medesima strage, nel dispositivo irrevocabile del 1987; Delfo Zorzi e Carlo Maria Maggi, per la medesima strage, nel 2005; Delfo Zorzi, per la strage di piazza della Loggia, nel 2014; Pino Rauti, per la medesima strage, in via definitiva, senza alcuna condanna in vita per fatti di strage; Stefano Delle Chiaie, per la strage di piazza Fontana nel 1989 e nell'esito assolutorio del procedimento Borghese del 1984, senza alcuna condanna in vita per fatti di strage; Mario Tuti e Luciano Franci, per la strage dell'Italicus, nel 1992; Valerio Fioravanti e Gilberto Cavallini, per l'omicidio di Piersanti Mattarella. Le condanne irrevocabili certificate nella fase sono quelle di: Pierluigi Concutelli, per l'omicidio di Vittorio Occorsio; Concutelli e Mario Tuti, per l'omicidio in carcere di Ermanno Buzzi; Franco Freda e Giovanni Ventura, per l'associazione sovversiva e gli attentati del 1969; Vincenzo Vinciguerra, per la strage di Peteano; Marco Morin e gli ufficiali del depistaggio di Peteano; Carlo Maria Maggi e Maurizio Tramonte, per la strage di piazza della Loggia; Valerio Fioravanti, Francesca Mambro, Luigi Ciavardini e Gilberto Cavallini, per la strage di Bologna; Licio Gelli, Francesco Pazienza, Pietro Musumeci e Giuseppe Belmonte, per il relativo depistaggio; i componenti della commissione provinciale di Cosa Nostra, tra cui Riina e Calò, per il mandato dell'omicidio Mattarella. Le posizioni pendenti registrate sono 2: quella di Paolo Bellini, allo stato dei gradi di merito, e quella del filone bresciano a carico di soggetti all'epoca minorenni.</w:t>
      </w:r>
    </w:p>
    <w:p>
      <w:pPr>
        <w:spacing w:after="120" w:line="276"/>
        <w:jc w:val="both"/>
      </w:pPr>
      <w:r>
        <w:rPr>
          <w:rFonts w:ascii="Barlow Semi Condensed" w:cs="Barlow Semi Condensed" w:eastAsia="Barlow Semi Condensed" w:hAnsi="Barlow Semi Condensed"/>
          <w:b/>
          <w:bCs/>
          <w:sz w:val="24"/>
          <w:szCs w:val="24"/>
        </w:rPr>
        <w:t xml:space="preserve">Sintesi del dato nuovo acquisito:</w:t>
      </w:r>
      <w:r>
        <w:rPr>
          <w:rFonts w:ascii="Barlow Semi Condensed" w:cs="Barlow Semi Condensed" w:eastAsia="Barlow Semi Condensed" w:hAnsi="Barlow Semi Condensed"/>
          <w:sz w:val="24"/>
          <w:szCs w:val="24"/>
        </w:rPr>
        <w:t xml:space="preserve"> il repertorio consolida in un inventario unitario oltre 40 tra archi, triangolazioni ed esiti certificati nella fase, articolati in 8 versanti, con 14 posizioni assolutorie definitive riportate per esteso, 9 gruppi di condanne irrevocabili e 2 pendenze dichiarate; esso costituisce d'ora innanzi il riferimento citabile per ogni richiamo interno dell'opera al sottografo dello stragismo e della strategia della tensione.</w:t>
      </w:r>
    </w:p>
    <w:p>
      <w:pPr>
        <w:pStyle w:val="Heading3"/>
        <w:spacing w:after="80" w:before="160"/>
      </w:pPr>
      <w:r>
        <w:rPr>
          <w:rFonts w:ascii="Barlow Semi Condensed" w:cs="Barlow Semi Condensed" w:eastAsia="Barlow Semi Condensed" w:hAnsi="Barlow Semi Condensed"/>
          <w:sz w:val="24"/>
          <w:szCs w:val="24"/>
        </w:rPr>
        <w:t xml:space="preserve">Chiusura della Fase 3 — Lettura reticolare, tipologia dell'ostruzione e bilancio aggiornato dell'ipotesi H1</w:t>
      </w:r>
    </w:p>
    <w:p>
      <w:pPr>
        <w:spacing w:after="120" w:line="276"/>
        <w:jc w:val="both"/>
      </w:pPr>
      <w:r>
        <w:rPr>
          <w:rFonts w:ascii="Barlow Semi Condensed" w:cs="Barlow Semi Condensed" w:eastAsia="Barlow Semi Condensed" w:hAnsi="Barlow Semi Condensed"/>
          <w:sz w:val="24"/>
          <w:szCs w:val="24"/>
        </w:rPr>
        <w:t xml:space="preserve">La chiusura della fase compone i 10 nodi in una lettura reticolare unitaria e ne dichiara i risultati, secondo la funzione che le chiusure delle fasi precedenti hanno stabilito.</w:t>
      </w:r>
    </w:p>
    <w:p>
      <w:pPr>
        <w:spacing w:after="120" w:line="276"/>
        <w:jc w:val="both"/>
      </w:pPr>
      <w:r>
        <w:rPr>
          <w:rFonts w:ascii="Barlow Semi Condensed" w:cs="Barlow Semi Condensed" w:eastAsia="Barlow Semi Condensed" w:hAnsi="Barlow Semi Condensed"/>
          <w:sz w:val="24"/>
          <w:szCs w:val="24"/>
        </w:rPr>
        <w:t xml:space="preserve">Il primo risultato è l'identificazione della comunità centrale del primo stragismo. All'esito dei giudicati, la comunità funzionale cui sono riconducibili i 2 eccidi maggiori del quinquennio 1969-1974 è una sola: l'ordinovismo triveneto, cui la motivazione della sentenza definitiva del 2005 attribuisce, quale verità storica, la strage di piazza Fontana nella cellula padovana di Freda e Ventura, e cui il giudicato di condanna del 2017 attribuisce, quale responsabilità penale, la strage di piazza della Loggia nell'organizzazione di Carlo Maria Maggi con il concorso di Maurizio Tramonte. Il registro sottolinea la complementarità dei 2 titoli: per l'evento inaugurale la matrice è storica e non punitiva, per l'evento terminale della finestra è punitiva e irrevocabile, e la convergenza dei 2 accertamenti sul medesimo ambiente, raggiunta per vie processuali indipendenti a 12 anni di distanza, costituisce una consilienza che il metodo qualifica quale certificazione della comunità al massimo grado consentito dalla materia. Attorno a questa comunità centrale la fase ha censito la costellazione: la matrice organizzativa disciolta nel 1973 e rigenerata nel carsismo delle sigle, la proiezione internazionale di Lisbona, la figura a massima intermediazione di Delle Chiaie, integralmente assolto, e la manovalanza friulana e toscana dei nodi Peteano e Italicus, l'una giudicata nel suo esecutore confesso, l'altra rimasta senza colpevoli.</w:t>
      </w:r>
    </w:p>
    <w:p>
      <w:pPr>
        <w:spacing w:after="120" w:line="276"/>
        <w:jc w:val="both"/>
      </w:pPr>
      <w:r>
        <w:rPr>
          <w:rFonts w:ascii="Barlow Semi Condensed" w:cs="Barlow Semi Condensed" w:eastAsia="Barlow Semi Condensed" w:hAnsi="Barlow Semi Condensed"/>
          <w:sz w:val="24"/>
          <w:szCs w:val="24"/>
        </w:rPr>
        <w:t xml:space="preserve">Il secondo risultato è la progressione certificata dell'arco tra il Dominio 3 e il Dominio 7, che la fase consegna quale sua acquisizione probatoria più grave. La Fase 2 aveva certificato l'arco nella forma dell'ostruzione: il servizio che copre e sottrae la propria fonte, Giannettini, all'accertamento. La presente fase lo ha certificato nella forma della compresenza: la fonte retribuita del servizio, Tramonte, condannata in via definitiva quale concorrente nella strage di piazza della Loggia. La progressione dalla copertura successiva alla compresenza contestuale è un salto di specie nella qualità dell'accoppiamento documentato, e il registro la eleva a reperto strutturale della stagione, ribadendone per l'ultima volta il limite: in nessuno dei 2 casi il giudicato ha accertato il mandato istituzionale, e l'ipotesi che dall'uomo risalga all'apparato resta, in entrambi, al Livello C; ma la circostanza che, nei 2 soli casi in cui la giustizia ha potuto guardare dentro il rapporto tra una fonte del servizio e una strage, abbia trovato la prima volta la copertura e la seconda la partecipazione, è essa stessa un dato che il registro consegna, nudo, alla riflessione.</w:t>
      </w:r>
    </w:p>
    <w:p>
      <w:pPr>
        <w:spacing w:after="120" w:line="276"/>
        <w:jc w:val="both"/>
      </w:pPr>
      <w:r>
        <w:rPr>
          <w:rFonts w:ascii="Barlow Semi Condensed" w:cs="Barlow Semi Condensed" w:eastAsia="Barlow Semi Condensed" w:hAnsi="Barlow Semi Condensed"/>
          <w:sz w:val="24"/>
          <w:szCs w:val="24"/>
        </w:rPr>
        <w:t xml:space="preserve">Il terzo risultato è la tipologia consolidata dell'ostruzione, che la fase arricchisce sino a farne una tassonomia compiuta. Il registro ha censito, con certificazione di Livello A per ciascuna specie: la distruzione del reperto sotto veste tecnica, nel brillamento dell'ordigno inesploso del dicembre 1969; la distruzione della scena sotto veste di ripristino, nel lavaggio con gli idranti di piazza della Loggia; la costruzione della pista falsa verso innocenti, nella pista anarchica del 1969 e nella pista goriziana di Peteano; la falsificazione dell'atto peritale, nella perizia Morin; il favoreggiamento e la sottrazione della fonte, nell'espatrio di Giannettini; la soppressione fisica dell'imputato-testimone, nello strangolamento di Buzzi; e il depistaggio istituzionale organizzato, nella valigia di Bologna. Sette specie, tutte giudizialmente accertate, distribuite lungo 11 anni e 4 eventi: la tassonomia certifica che l'inquinamento dell'accertamento non fu un accidente ricorrente ma una costante strutturale della stagione, presente in ogni evento maggiore, e la sua sistematicità è il fatto che più di ogni altro distingue lo stragismo italiano dalle serie comparabili di altri ordinamenti. Il registro ribadisce, quale principio ormai consolidato attraverso 3 fasi, che questa costante prova la volontà diffusa di impedire l'accertamento e non prova, da sola, l'identità dei mandanti: l'ostruzione certifica sé stessa, e la Regola Ferrea presidia il confine.</w:t>
      </w:r>
    </w:p>
    <w:p>
      <w:pPr>
        <w:spacing w:after="120" w:line="276"/>
        <w:jc w:val="both"/>
      </w:pPr>
      <w:r>
        <w:rPr>
          <w:rFonts w:ascii="Barlow Semi Condensed" w:cs="Barlow Semi Condensed" w:eastAsia="Barlow Semi Condensed" w:hAnsi="Barlow Semi Condensed"/>
          <w:sz w:val="24"/>
          <w:szCs w:val="24"/>
        </w:rPr>
        <w:t xml:space="preserve">Il quarto risultato è il bilancio aggiornato dell'ipotesi H1, che la fase era chiamata a verificare sul terreno stragista. Il registro premette il richiamo del proprio precedente diagnostico: la verifica preregistrata della tesi della densità, che postulava l'addensamento statisticamente significativo degli eventi stragisti attorno alle scadenze del processo di integrazione europea, fu condotta con modello nullo di Poisson e restituì un valore di probabilità pari a 0,60, largamente superiore a ogni soglia di significatività, imponendo l'abbandono della tesi quale prova e la sua derubricazione a suggestione narrativa; la fase ha confermato quel verdetto sul piano qualitativo, mostrando che la periodizzazione a onde della serie stragista si spiega con le dinamiche interne documentate. Il bilancio si articola quindi in 3 constatazioni. La prima: la matrice accertata dello stragismo, tanto nella verità storica del 2005 quanto nei giudicati del 2017 e del 1995 bolognese, è interna, ordinovista prima e dello spontaneismo armato dei Nuclei Armati Rivoluzionari poi, e nessun giudicato ha accertato una regia straniera, di qualsivoglia campo, sugli eventi. La seconda: la dimensione internazionale documentata del fenomeno, dalla centrale di Lisbona alle latitanze iberiche e latinoamericane, si colloca integralmente sul versante occidentale e anticomunista del confronto bipolare, in continuità con quanto le Fasi 1 e 2 hanno accertato per la finanza e per gli apparati; anche in questa fase, nessun elemento di Livello A o di Livello B documenta un concorso del blocco orientale negli eventi censiti, e a fortiori nessuno documenta la convergenza dei 2 blocchi che H1 postula. La terza constatazione è il reperto di chiusura, che il registro considera il più eloquente: gli stessi atti parlamentari conclusivi sulla stagione, presenti nel corpus, contengono elaborati di segno opposto, l'uno che ricostruisce la dimensione sovranazionale della strategia della tensione in chiave atlantica, l'altro che ricostruisce l'ombra del blocco sovietico e dei suoi servizi sul terrorismo italiano; le 2 ricostruzioni, ciascuna espressione di una parte politica e nessuna consacrata da approvazione unanime né da giudicato, si escludono reciprocamente nell'attribuzione della regia, e nemmeno la più audace delle 2 ipotizza ciò che H1 richiede, ossia che i 2 blocchi abbiano agito in convergenza. Il registro ne trae la conclusione metodologica: l'ipotesi H1 esce dalla terza fase nella condizione di un'ipotesi che non solo non ha trovato riscontri, ma che non è sostenuta nemmeno dalle tesi di parte più estreme depositate negli atti dello Stato, le quali si limitano ad attribuire la regia all'uno o all'altro campo in alternativa; essa permane al Livello C quale ipotesi formalmente falsificabile e non falsificata, ma il peso cumulato di 3 fasi milita ormai uniformemente a favore del falsificatore concorrente, la lettura per cui furono le dinamiche interne, incardinate nel confronto bipolare ordinario, e non una convergenza straordinaria tra i blocchi, a produrre la stagione; la parola definitiva è rinviata, come il metodo impone, alle fasi mancanti.</w:t>
      </w:r>
    </w:p>
    <w:p>
      <w:pPr>
        <w:spacing w:after="120" w:line="276"/>
        <w:jc w:val="both"/>
      </w:pPr>
      <w:r>
        <w:rPr>
          <w:rFonts w:ascii="Barlow Semi Condensed" w:cs="Barlow Semi Condensed" w:eastAsia="Barlow Semi Condensed" w:hAnsi="Barlow Semi Condensed"/>
          <w:sz w:val="24"/>
          <w:szCs w:val="24"/>
        </w:rPr>
        <w:t xml:space="preserve">Il quinto risultato è la mappa delle centralità aggiornata. Nel sottografo della fase, la massima centralità di intermediazione del versante eversivo appartiene a Stefano Delle Chiaie, il nodo che connette l'eversione italiana, quella iberica e quella latinoamericana, e la sua condizione di assolto integrale rende la sua centralità il caso più puro di potere relazionale documentato senza responsabilità penale accertata; la massima centralità della finestra 1980 appartiene ai Nuclei Armati Rivoluzionari, i cui uomini compaiono, quali condannati a Bologna e quali assolti per Mattarella, su entrambi i versanti della violenza di quell'anno; e la saldatura complessiva con le fasi precedenti conferma la P2 quale nodo a massima intermediazione dell'intero grafo, presente ora anche nello strato dei mandanti di Bologna secondo la fonte di Livello B recepita.</w:t>
      </w:r>
    </w:p>
    <w:p>
      <w:pPr>
        <w:spacing w:after="120" w:line="276"/>
        <w:jc w:val="both"/>
      </w:pPr>
      <w:r>
        <w:rPr>
          <w:rFonts w:ascii="Barlow Semi Condensed" w:cs="Barlow Semi Condensed" w:eastAsia="Barlow Semi Condensed" w:hAnsi="Barlow Semi Condensed"/>
          <w:sz w:val="24"/>
          <w:szCs w:val="24"/>
        </w:rPr>
        <w:t xml:space="preserve">A questo censimento il registro aggiunge il raccordo con il grafo cumulato delle fasi precedenti. La saldatura dei 3 sottografi conferma e affina la topologia complessiva: la loggia P2 mantiene la massima intermediazione dell'intero grafo, presente ora su 3 terreni, il quadrilatero finanziario della Fase 1, la cattura degli apparati della Fase 2 e, per la strage di Bologna, tanto lo strato giudicato dell'ostruzione quanto lo strato recepito dei mandanti; il Dominio 3 si conferma il connettivo degli eventi, presente in ogni strage maggiore della fase attraverso le proprie fonti, Giannettini e Tramonte, o i propri depistaggi giudicati; e il versante eversivo esprime i propri intermediari specifici, Delle Chiaie verso l'estero e la comunità ordinovista triveneta all'interno, entrambi connessi al grafo cumulato attraverso gli ambienti, gli eventi e le protezioni censite. Emerge altresì, quale acquisizione della fase, la proiezione ricorrente verso il Dominio 8, il controllo dell'informazione: la copertura giornalistica di Aginter Press, la qualità di pubblicista della fonte Giannettini, la presenza di un direttore di testata nel quadro recepito dei mandanti di Bologna, e la funzione della falsa informazione in ogni depistaggio censito compongono un filo che attraversa la fase senza avervi ricevuto trattazione propria, e che il registro consegna formalmente all'economia complessiva dell'opera quale dominio da saldare.</w:t>
      </w:r>
    </w:p>
    <w:p>
      <w:pPr>
        <w:spacing w:after="120" w:line="276"/>
        <w:jc w:val="both"/>
      </w:pPr>
      <w:r>
        <w:rPr>
          <w:rFonts w:ascii="Barlow Semi Condensed" w:cs="Barlow Semi Condensed" w:eastAsia="Barlow Semi Condensed" w:hAnsi="Barlow Semi Condensed"/>
          <w:sz w:val="24"/>
          <w:szCs w:val="24"/>
        </w:rPr>
        <w:t xml:space="preserve">La fase consegna infine i propri fili alle 2 fasi restanti. Alla Fase 4, dedicata al caso Moro, consegna: la struttura Hyperion, il cui isomorfismo con Aginter è stato certificato quale reperto comparativo e la cui trattazione propria appartiene al teatro moroteo; la metodologia della decomposizione per strati sperimentata su Bologna, che il caso Moro esigerà nella sua forma più rigorosa; e la figura della fonte dentro l'ambiente, che gli atti sul sequestro ripropongono in altra veste. Alla Fase 5, dedicata alla proiezione internazionale e alla sintesi reticolare, consegna: il teatro iberico e latinoamericano aperto dalla latitanza di Delle Chiaie e dalla centrale di Lisbona, con i regimi del Cile e della Bolivia e la rete continentale che li connette; il teatro sudafricano aperto dalla latitanza di Maletti; e il compito della composizione finale del grafo, con il calcolo conclusivo delle centralità e la verifica terminale delle ipotesi concorrenti.</w:t>
      </w:r>
    </w:p>
    <w:p>
      <w:pPr>
        <w:spacing w:after="120" w:line="276"/>
        <w:jc w:val="both"/>
      </w:pPr>
      <w:r>
        <w:rPr>
          <w:rFonts w:ascii="Barlow Semi Condensed" w:cs="Barlow Semi Condensed" w:eastAsia="Barlow Semi Condensed" w:hAnsi="Barlow Semi Condensed"/>
          <w:b/>
          <w:bCs/>
          <w:sz w:val="24"/>
          <w:szCs w:val="24"/>
        </w:rPr>
        <w:t xml:space="preserve">Sintesi del dato nuovo acquisito:</w:t>
      </w:r>
      <w:r>
        <w:rPr>
          <w:rFonts w:ascii="Barlow Semi Condensed" w:cs="Barlow Semi Condensed" w:eastAsia="Barlow Semi Condensed" w:hAnsi="Barlow Semi Condensed"/>
          <w:sz w:val="24"/>
          <w:szCs w:val="24"/>
        </w:rPr>
        <w:t xml:space="preserve"> la Fase 3 certifica la comunità ordinovista triveneta quale matrice del primo stragismo, per consilienza tra la verità storica del giudicato del 2005 su piazza Fontana e la condanna irrevocabile del 2017 per piazza della Loggia; certifica la progressione dell'arco Dominio 3-Dominio 7 dalla copertura della fonte alla partecipazione della fonte, con il caso Tramonte quale forma più diretta mai giudicata; consolida la tassonomia in 7 specie dell'ostruzione, tutte accertate; registra il quadro dei mandanti di Bologna al Livello B con l'aggiornamento dichiarato del nodo D'Amato; sigilla sul nodo Mattarella la differenza tra rete certificata e rete congetturata; e consegna l'ipotesi H1, priva di sostegno tanto nei giudicati quanto negli elaborati di parte che si escludono a vicenda, al suo Livello C con bilancio cumulato di 3 fasi uniformemente contrario, rinviando alle Fasi 4 e 5 il completamento dell'opera.</w:t>
      </w:r>
    </w:p>
    <w:p>
      <w:pPr>
        <w:pStyle w:val="Heading2"/>
        <w:spacing w:after="100" w:before="200"/>
      </w:pPr>
      <w:r>
        <w:rPr>
          <w:rFonts w:ascii="Barlow Semi Condensed" w:cs="Barlow Semi Condensed" w:eastAsia="Barlow Semi Condensed" w:hAnsi="Barlow Semi Condensed"/>
          <w:sz w:val="24"/>
          <w:szCs w:val="24"/>
        </w:rPr>
        <w:t xml:space="preserve">FASE IV</w:t>
      </w:r>
    </w:p>
    <w:p>
      <w:pPr>
        <w:pBdr>
          <w:left w:val="single" w:color="1F3864" w:sz="18" w:space="8"/>
        </w:pBdr>
        <w:spacing w:after="80" w:before="80"/>
        <w:ind w:left="360" w:right="360"/>
        <w:jc w:val="both"/>
      </w:pPr>
      <w:r>
        <w:rPr>
          <w:rFonts w:ascii="Barlow Semi Condensed" w:cs="Barlow Semi Condensed" w:eastAsia="Barlow Semi Condensed" w:hAnsi="Barlow Semi Condensed"/>
          <w:i w:val="false"/>
          <w:iCs w:val="false"/>
          <w:sz w:val="24"/>
          <w:szCs w:val="24"/>
        </w:rPr>
        <w:t xml:space="preserve">Il caso Moro</w:t>
      </w:r>
      <w:r>
        <w:rPr>
          <w:rFonts w:ascii="Barlow Semi Condensed" w:cs="Barlow Semi Condensed" w:eastAsia="Barlow Semi Condensed" w:hAnsi="Barlow Semi Condensed"/>
          <w:i w:val="false"/>
          <w:iCs w:val="false"/>
          <w:sz w:val="24"/>
          <w:szCs w:val="24"/>
        </w:rPr>
        <w:t xml:space="preserve"> </w:t>
      </w:r>
      <w:r>
        <w:rPr>
          <w:rFonts w:ascii="Barlow Semi Condensed" w:cs="Barlow Semi Condensed" w:eastAsia="Barlow Semi Condensed" w:hAnsi="Barlow Semi Condensed"/>
          <w:i w:val="false"/>
          <w:iCs w:val="false"/>
          <w:sz w:val="24"/>
          <w:szCs w:val="24"/>
        </w:rPr>
        <w:t xml:space="preserve">Il quarto cerchio: i 55 giorni, i 3 piani e il divieto inferenziale</w:t>
      </w:r>
    </w:p>
    <w:p>
      <w:pPr>
        <w:pStyle w:val="Heading3"/>
        <w:spacing w:after="80" w:before="160"/>
      </w:pPr>
      <w:r>
        <w:rPr>
          <w:rFonts w:ascii="Barlow Semi Condensed" w:cs="Barlow Semi Condensed" w:eastAsia="Barlow Semi Condensed" w:hAnsi="Barlow Semi Condensed"/>
          <w:sz w:val="24"/>
          <w:szCs w:val="24"/>
        </w:rPr>
        <w:t xml:space="preserve">Avvertenza di fase, decomposizione in 3 piani e sospensione dichiarata della lente sistemica</w:t>
      </w:r>
    </w:p>
    <w:p>
      <w:pPr>
        <w:spacing w:after="120" w:line="276"/>
        <w:jc w:val="both"/>
      </w:pPr>
      <w:r>
        <w:rPr>
          <w:rFonts w:ascii="Barlow Semi Condensed" w:cs="Barlow Semi Condensed" w:eastAsia="Barlow Semi Condensed" w:hAnsi="Barlow Semi Condensed"/>
          <w:sz w:val="24"/>
          <w:szCs w:val="24"/>
        </w:rPr>
        <w:t xml:space="preserve">La Fase 4 è dedicata per intero a un solo caso: il sequestro e l'assassinio di Aldo Moro, dal 16 marzo al 9 maggio 1978. La concentrazione di una fase su un evento unico non è una sproporzione ma una necessità misurata dai dati: il nome di Moro ricorre nel corpus 3.428 volte in 113 documenti su 220, la massima frequenza assoluta dell'intera opera, superiore a quella di qualunque organizzazione, evento o istituzione censita; il caso è l'oggetto di 5 procedimenti giudiziari principali con esiti irrevocabili, di 3 commissioni parlamentari d'inchiesta dedicate o largamente dedicate, e di un corpus documentale, dalle lettere della prigionia al memoriale nei suoi successivi ritrovamenti, che non ha eguali nella storia repubblicana. Il caso Moro è, nella topologia dell'opera, il punto di massima densità dell'intero grafo, l'evento sul quale convergono più archi da più domini che su ogni altro; e la fase lo tratta con l'impianto consueto dei 10 nodi, applicandovi però 3 dispositivi metodologici propri, che questa avvertenza dichiara.</w:t>
      </w:r>
    </w:p>
    <w:p>
      <w:pPr>
        <w:spacing w:after="120" w:line="276"/>
        <w:jc w:val="both"/>
      </w:pPr>
      <w:r>
        <w:rPr>
          <w:rFonts w:ascii="Barlow Semi Condensed" w:cs="Barlow Semi Condensed" w:eastAsia="Barlow Semi Condensed" w:hAnsi="Barlow Semi Condensed"/>
          <w:sz w:val="24"/>
          <w:szCs w:val="24"/>
        </w:rPr>
        <w:t xml:space="preserve">Il primo dispositivo è la decomposizione in 3 piani, che la Fase 3 ha sperimentato sulla strage di Bologna e che il caso Moro esige nella forma più rigorosa. Il piano primo è quello degli esecutori e dei dirigenti dell'azione: chi rapì, custodì, interrogò e uccise Aldo Moro, e chi ne deliberò l'esecuzione all'interno dell'organizzazione. Su questo piano il registro dispone di giudicati irrevocabili formatisi in 5 procedimenti, e le certificazioni di Livello A abbondano. Il piano secondo è quello della condotta degli apparati e delle istituzioni durante i 55 giorni: le ricerche, le loro anomalie, le compresenze, i depistaggi. Su questo piano il registro dispone di accertamenti parlamentari e giudiziari di qualità disuguale, e le certificazioni si distribuiscono su tutti i livelli. Il piano terzo è quello del mandato o del condizionamento esterno: l'ipotesi che sopra o accanto all'organizzazione esecutrice abbiano operato volontà ulteriori. Su questo piano il registro non dispone di alcun giudicato, e le certificazioni non superano, salvo puntuali eccezioni dichiarate, il Livello C. Il divieto inferenziale che governa la fase è la proiezione della Regola Ferrea su questa decomposizione: nessun elemento del piano secondo, per quanto grave, trasferisce alcunché al piano terzo; le anomalie della condotta certificano sé stesse, e il passaggio dall'ostruzione al mandato resta vietato qui come in ogni fase, con l'aggravante che nel caso Moro la tentazione di quel passaggio è stata, per 4 decenni, la principale fabbrica di vulgata.</w:t>
      </w:r>
    </w:p>
    <w:p>
      <w:pPr>
        <w:spacing w:after="120" w:line="276"/>
        <w:jc w:val="both"/>
      </w:pPr>
      <w:r>
        <w:rPr>
          <w:rFonts w:ascii="Barlow Semi Condensed" w:cs="Barlow Semi Condensed" w:eastAsia="Barlow Semi Condensed" w:hAnsi="Barlow Semi Condensed"/>
          <w:sz w:val="24"/>
          <w:szCs w:val="24"/>
        </w:rPr>
        <w:t xml:space="preserve">Il secondo dispositivo è la sospensione dichiarata, per questa sola fase, della lente sistemica luhmanniana che la Nota metodologica assume quale quadro generale. La teoria dei sistemi legge i domini quali sfere operativamente chiuse che si osservano e si accoppiano; ma il materiale del caso Moro, e segnatamente il piano della condotta degli apparati, presenta una fenomenologia che quella lente non mette a fuoco: uomini delle istituzioni la cui condotta appare orientata simultaneamente da lealtà diverse, verso l'ordinamento costituzionale e verso vincoli ulteriori, di campo, di loggia o di alleanza. Per leggere questa fenomenologia il registro adotta, quale lente di fase e non quale certificazione, la categoria storiografica della doppia lealtà, elaborata dalla storiografia sul doppio Stato: non la postulazione di 2 apparati separati, che la Fase 2 ha espressamente ricusato e che resta ricusata, ma l'ipotesi di lavoro di una duplicità interna agli stessi uomini e alle stesse strutture, compatibile con tutti gli accertamenti sulla cattura piduista del vertice informativo che le fasi precedenti hanno certificato al Livello A. La sospensione è dichiarata, circoscritta e reversibile: è un cambio di lente, non un cambio di standard probatorio, e ogni certificazione della fase resta soggetta alla triangolazione consueta.</w:t>
      </w:r>
    </w:p>
    <w:p>
      <w:pPr>
        <w:spacing w:after="120" w:line="276"/>
        <w:jc w:val="both"/>
      </w:pPr>
      <w:r>
        <w:rPr>
          <w:rFonts w:ascii="Barlow Semi Condensed" w:cs="Barlow Semi Condensed" w:eastAsia="Barlow Semi Condensed" w:hAnsi="Barlow Semi Condensed"/>
          <w:sz w:val="24"/>
          <w:szCs w:val="24"/>
        </w:rPr>
        <w:t xml:space="preserve">Il terzo dispositivo è la disciplina delle dichiarazioni del prigioniero. Le lettere e il memoriale di Moro costituiscono una fonte senza analoghi: la voce di un uomo di Stato che scrive da una prigione clandestina, sotto costrizione, in un negoziato per la vita, e che al contempo conosce dall'interno, come pochi, la materia di cui scrive. Il registro le tratta secondo l'Indice di Contaminazione nella configurazione più complessa dell'opera: la costrizione impone cautela sulla spontaneità, la competenza dell'autore impone attenzione al contenuto, e la disciplina adottata, che i capitoli espliciteranno, distingue il fatto della scrittura e della consegna, certificabile, dal valore probatorio dei singoli enunciati, da vagliare uno a uno senza mai assumere né che il prigioniero mentisse perché costretto né che dicesse il vero perché morente.</w:t>
      </w:r>
    </w:p>
    <w:p>
      <w:pPr>
        <w:spacing w:after="120" w:line="276"/>
        <w:jc w:val="both"/>
      </w:pPr>
      <w:r>
        <w:rPr>
          <w:rFonts w:ascii="Barlow Semi Condensed" w:cs="Barlow Semi Condensed" w:eastAsia="Barlow Semi Condensed" w:hAnsi="Barlow Semi Condensed"/>
          <w:sz w:val="24"/>
          <w:szCs w:val="24"/>
        </w:rPr>
        <w:t xml:space="preserve">Anche questa fase prosegue la verifica dell'ipotesi H1, e lo fa sul terreno che la vulgata considera il più favorevole all'ipotesi: il progetto politico di Moro quale oggetto di avversione internazionale. La chiusura renderà il bilancio, anticipandone qui il perimetro: la fase certificherà ciò che è documentabile sulle contrarietà delle 2 superpotenze al progetto della solidarietà nazionale, distinguerà con il massimo rigore la convergenza oggettiva degli interessi dalla convergenza operativa delle condotte, e misurerà H1 su questa distinzione, che è esattamente quella che la tassonomia degli archi della Nota metodologica codifica nel quarto tipo, l'arco di convergenza. Una nota sulle fonti completa l'avvertenza. Il caso Moro è l'oggetto della più lunga stratificazione di inchieste parlamentari della storia repubblicana, e il registro ne usa i depositi distinguendone le stagioni: la prima Commissione, istituita nel 1979 e conclusa nel 1983, che operò a ridosso dei fatti, con il valore e i limiti della prossimità; la Commissione sulle stragi, che tornò sul caso negli anni Novanta entro il quadro generale della violenza politica, raccogliendo il materiale reso disponibile dalle dissociazioni e dai ritrovamenti del 1990; e la Commissione della XVII legislatura, operante dal 2014 al 2017, che ha condotto la ricognizione documentale e peritale più recente. Il registro tratta i 3 depositi quali fonti parlamentari di alta affidabilità, ciascuna figlia del proprio stato degli atti, e applica alla loro successione la medesima lezione che la Fase 3 ha tratto dal caso bresciano: le conclusioni delle stagioni successive non riflettono giudici o commissari migliori, ma archivi progressivamente più aperti, e la datazione di ogni acquisizione è parte della sua certificazione. Il corpus dell'opera comprende, accanto agli atti, i registri analitici specificamente dedicati al caso che il progetto ha stratificato in versioni successive, dei quali la presente fase costituisce la proiezione entro l'architettura dei 5 cerchi.</w:t>
      </w:r>
    </w:p>
    <w:p>
      <w:pPr>
        <w:spacing w:after="120" w:line="276"/>
        <w:jc w:val="both"/>
      </w:pPr>
      <w:r>
        <w:rPr>
          <w:rFonts w:ascii="Barlow Semi Condensed" w:cs="Barlow Semi Condensed" w:eastAsia="Barlow Semi Condensed" w:hAnsi="Barlow Semi Condensed"/>
          <w:sz w:val="24"/>
          <w:szCs w:val="24"/>
        </w:rPr>
        <w:t xml:space="preserve">Il fondamento documentale della fase merita una specificazione ulteriore, perché la sua composizione governa la qualità delle certificazioni. Il corpus comprende, per il caso Moro, 4 famiglie di fonti primarie: gli atti giudiziari dei 5 procedimenti, con le sentenze di ogni grado; gli atti delle 3 stagioni parlamentari, ivi compresi i resoconti stenografici delle audizioni, che il registro possiede in trascrizione analitica per la prima Commissione, con le deposizioni dei protagonisti istituzionali della gestione rese a ridosso dei fatti; l'edizione critica integrale delle lettere della prigionia, che consente il confronto filologico tra il recapitato, il trattenuto e l'emerso; e il corpus biografico e documentale sulla figura di Moro dal 1932 al 1978, che fonda il capitolo di apertura. A queste famiglie si aggiungono le fonti memorialistiche dei protagonisti di ogni versante, i condannati, i gestori istituzionali, i familiari, che il registro tratta uniformemente quali fonti di parte da riscontrare, e la letteratura di ricostruzione, utilizzata quale guida ai documenti e mai quale fonte autonoma di fatti. La regola di ingaggio è unica per tutte le famiglie: ogni certificazione della fase indica la natura della fonte che la sostiene, e la distanza temporale tra il fatto e la fonte è essa stessa un attributo registrato, giacché la fase maneggia dichiarazioni rese a distanze che vanno dal giorno stesso a 40 anni, e il tempo, in questa materia, non è neutro: accresce la libertà del dichiarante e insieme le occasioni di contaminazione, e il registro pesa entrambi gli effetti caso per caso.</w:t>
      </w:r>
    </w:p>
    <w:p>
      <w:pPr>
        <w:spacing w:after="120" w:line="276"/>
        <w:jc w:val="both"/>
      </w:pPr>
      <w:r>
        <w:rPr>
          <w:rFonts w:ascii="Barlow Semi Condensed" w:cs="Barlow Semi Condensed" w:eastAsia="Barlow Semi Condensed" w:hAnsi="Barlow Semi Condensed"/>
          <w:sz w:val="24"/>
          <w:szCs w:val="24"/>
        </w:rPr>
        <w:t xml:space="preserve">Sulla categoria della doppia lealtà, la cui adozione quale lente di fase è stata dichiarata, si impone la precisazione genealogica che la correttezza esige. La categoria proviene dalla storiografia italiana sul doppio Stato, e segnatamente dalla riflessione che, alla fine degli anni Ottanta, propose di leggere la storia repubblicana attraverso la compresenza, negli stessi apparati e talora negli stessi uomini, di una lealtà all'ordinamento costituzionale e di una lealtà ulteriore al vincolo di campo della guerra fredda, attivabile nelle emergenze: non 2 Stati separati, ma 1 Stato attraversato da 2 codici di fedeltà gerarchicamente ordinati dall'appartenenza al blocco. Il registro adotta la categoria in questa formulazione precisa, e ne dichiara i 3 pregi operativi per la fase: essa è compatibile con gli accertamenti delle fasi precedenti, che hanno documentato la cattura piduista degli apparati senza mai certificare un apparato parallelo separato; essa rende conto della fenomenologia tipica del piano secondo, condotte istituzionali formalmente regolari e sostanzialmente anomale, senza costringere a scegliere tra la lettura del tradimento e quella dell'errore; ed essa è, a differenza delle vulgate, falsificabile, giacché predice che le anomalie si addensino nei punti in cui il vincolo di campo era in tensione con il dovere d'ufficio, una predizione che i capitoli metteranno alla prova sui fatti certificati. Il limite, parimenti dichiarato, è che la categoria descrive e non prova: essa ordina i fatti del piano secondo, non li trasferisce al piano terzo, e ogni suo uso nella fase resta sotto il divieto inferenziale che governa l'insieme.</w:t>
      </w:r>
    </w:p>
    <w:p>
      <w:pPr>
        <w:spacing w:after="120" w:line="276"/>
        <w:jc w:val="both"/>
      </w:pPr>
      <w:r>
        <w:rPr>
          <w:rFonts w:ascii="Barlow Semi Condensed" w:cs="Barlow Semi Condensed" w:eastAsia="Barlow Semi Condensed" w:hAnsi="Barlow Semi Condensed"/>
          <w:sz w:val="24"/>
          <w:szCs w:val="24"/>
        </w:rPr>
        <w:t xml:space="preserve">Una disciplina particolare governa il trattamento delle persone viventi. Diversi protagonisti del caso, tra gli esecutori giudicati e i dirigenti dell'organizzazione, sono in vita nel momento in cui il registro è redatto, e alcuni hanno reso, nei decenni, dichiarazioni pubbliche, memorie e interviste che costituiscono esse stesse fonti. Il registro tratta costoro secondo una regola unica e dichiarata: riporta i fatti a loro carico accertati in via definitiva dai giudicati, riporta gli esiti processuali che li riguardano nella loro esattezza, comprese le assoluzioni, e riporta le loro dichiarazioni pubbliche quali documenti, senza aggiungervi inferenza associativa alcuna né attribuire loro condotte che il giudicato non abbia accertato. Il principio che il registro applica è che la persona vivente ha diritto a che di lei si affermi ciò che è stato provato e null'altro, e che la disciplina degli esiti, la quale segue il giudicato in ogni direzione, è insieme una regola di metodo e una regola di rispetto: il registro non costruisce, sul nome di chi è in vita, coerenze che i documenti non autorizzano, e mantiene su ogni lettura eccedente il livello ipotetico che le compete, con la stessa fermezza con cui certifica i fatti provati.</w:t>
      </w:r>
    </w:p>
    <w:p>
      <w:pPr>
        <w:spacing w:after="120" w:line="276"/>
        <w:jc w:val="both"/>
      </w:pPr>
      <w:r>
        <w:rPr>
          <w:rFonts w:ascii="Barlow Semi Condensed" w:cs="Barlow Semi Condensed" w:eastAsia="Barlow Semi Condensed" w:hAnsi="Barlow Semi Condensed"/>
          <w:sz w:val="24"/>
          <w:szCs w:val="24"/>
        </w:rPr>
        <w:t xml:space="preserve">Una nota sulle scelte terminologiche chiude l'avvertenza. Il registro adotta un lessico deliberatamente sobrio e giuridicamente cauto, che evita tanto l'enfasi commemorativa quanto la freddezza burocratica: designa l'organizzazione responsabile del sequestro quale organizzazione, senza gli aggettivi celebrativi o denigratori che la pubblicistica ha impiegato; designa Aldo Moro nei 55 giorni quale prigioniero, il termine che ne registra la condizione materiale senza pronunciarsi sulla qualificazione politica che l'organizzazione pretendeva; designa gli atti dell'organizzazione con i nomi che gli atti processuali hanno consacrato, sequestro, esecuzione, comunicati, senza adottare né il lessico rivendicativo dei carcerieri né quello puramente emotivo delle cronache. La scelta non è neutralità di comodo ma condizione del metodo: un registro che certifica fatti a livelli di prova deve adottare un lessico che non anticipi, con la connotazione delle parole, le conclusioni che spettano ai fatti, e ogni termine di questa avvertenza e dei capitoli che seguono è scelto per dire esattamente ciò che è provato, al grado in cui è provato, e nulla di più.</w:t>
      </w:r>
    </w:p>
    <w:p>
      <w:pPr>
        <w:spacing w:after="120" w:line="276"/>
        <w:jc w:val="both"/>
      </w:pPr>
      <w:r>
        <w:rPr>
          <w:rFonts w:ascii="Barlow Semi Condensed" w:cs="Barlow Semi Condensed" w:eastAsia="Barlow Semi Condensed" w:hAnsi="Barlow Semi Condensed"/>
          <w:sz w:val="24"/>
          <w:szCs w:val="24"/>
        </w:rPr>
        <w:t xml:space="preserve">Una nota di edizione precisa infine lo statuto del presente testo. La fase è qui consegnata nella propria edizione integrale, che porta l'apparato documentale del caso alla massima estensione compatibile con lo stato certificato degli atti: la struttura, l'avvertenza, i 10 capitoli nodali, il repertorio unitario e la chiusura reticolare, resta quella dell'impianto originario, e l'ampliamento ha investito esclusivamente la densità dei pilastri, portati a oltre 130, l'articolazione dei versanti del repertorio e il bilancio dei risultati, senza che un solo criterio, un solo livello o una sola regola siano stati modificati; ogni pilastro aggiunto risponde ai medesimi requisiti dei pilastri originari, il fatto datato, la fonte qualificata, il livello dichiarato, la separazione tra il certificato e l'ipotetico, e l'edizione integrale va perciò letta non quale revisione ma quale saturazione documentale della fase, l'adempimento del principio per cui il registro deve contenere tutto ciò che è certificabile e nulla che non lo sia, nella misura in cui lo stato degli atti alla data della redazione lo consente.</w:t>
      </w:r>
    </w:p>
    <w:p>
      <w:pPr>
        <w:spacing w:after="120" w:line="276"/>
        <w:jc w:val="both"/>
      </w:pPr>
      <w:r>
        <w:rPr>
          <w:rFonts w:ascii="Barlow Semi Condensed" w:cs="Barlow Semi Condensed" w:eastAsia="Barlow Semi Condensed" w:hAnsi="Barlow Semi Condensed"/>
          <w:sz w:val="24"/>
          <w:szCs w:val="24"/>
        </w:rPr>
        <w:t xml:space="preserve">L'ordine espositivo muove dall'uomo e dal progetto, attraversa l'evento, l'organizzazione esecutrice, i 55 giorni, il corpus documentale e l'epilogo, quindi i nodi satellite, Hyperion, Pecorelli e Dalla Chiesa, e si chiude sul piano del mandato con il sigillo del divieto inferenziale. Le vittime sono nominate, a cominciare dai 5 uomini della scorta, quale atto dovuto.</w:t>
      </w:r>
    </w:p>
    <w:p>
      <w:pPr>
        <w:pStyle w:val="Heading3"/>
        <w:spacing w:after="80" w:before="160"/>
      </w:pPr>
      <w:r>
        <w:rPr>
          <w:rFonts w:ascii="Barlow Semi Condensed" w:cs="Barlow Semi Condensed" w:eastAsia="Barlow Semi Condensed" w:hAnsi="Barlow Semi Condensed"/>
          <w:sz w:val="24"/>
          <w:szCs w:val="24"/>
        </w:rPr>
        <w:t xml:space="preserve">Capitolo 1 — ▶ Aldo Moro. L'uomo, il progetto e il movente politico</w:t>
      </w:r>
    </w:p>
    <w:p>
      <w:pPr>
        <w:spacing w:after="120" w:line="276"/>
        <w:jc w:val="both"/>
      </w:pPr>
      <w:r>
        <w:rPr>
          <w:rFonts w:ascii="Barlow Semi Condensed" w:cs="Barlow Semi Condensed" w:eastAsia="Barlow Semi Condensed" w:hAnsi="Barlow Semi Condensed"/>
          <w:sz w:val="24"/>
          <w:szCs w:val="24"/>
        </w:rPr>
        <w:t xml:space="preserve">Aldo Moro, nato a Maglie il 23 settembre 1916, giurista, 5 volte presidente del Consiglio, presidente della Democrazia Cristiana al momento del sequestro, è il nodo-persona attorno al quale l'intera fase si costruisce, e il registro apre da lui perché la comprensione dell'evento esige la comprensione preliminare del progetto politico che l'evento troncò. Il corpus dell'opera comprende una ricostruzione documentale integrale della sua biografia politica dal 1932 al 1978, dalla quale il registro attinge i tratti certificati.</w:t>
      </w:r>
    </w:p>
    <w:p>
      <w:pPr>
        <w:spacing w:after="120" w:line="276"/>
        <w:jc w:val="both"/>
      </w:pPr>
      <w:r>
        <w:rPr>
          <w:rFonts w:ascii="Barlow Semi Condensed" w:cs="Barlow Semi Condensed" w:eastAsia="Barlow Semi Condensed" w:hAnsi="Barlow Semi Condensed"/>
          <w:sz w:val="24"/>
          <w:szCs w:val="24"/>
        </w:rPr>
        <w:t xml:space="preserve">Il primo pilastro è il profilo del costruttore di equilibri, certificato al Livello A dalla documentazione biografica e istituzionale. Moro fu, lungo 3 decenni, l'artefice delle 2 grandi operazioni di allargamento della base dello Stato repubblicano: l'apertura a sinistra dei primi anni Sessanta, che portò il Partito socialista nell'area di governo, da lui guidata quale segretario del partito e poi quale presidente del Consiglio dei governi organici di centrosinistra; e la strategia dell'attenzione verso il Partito comunista, maturata negli anni Settanta e culminata nella stagione della solidarietà nazionale, con i governi sostenuti dall'astensione e poi dal voto favorevole comunista, il secondo dei quali avrebbe ottenuto la fiducia esattamente il 16 marzo 1978. Il registro certifica al Livello A la titolarità morotea di entrambe le operazioni e la circostanza, di portata simbolica misurabile, che il sequestro avvenne nelle ore in cui il Parlamento votava la fiducia al primo governo della Repubblica nato con il concorso determinante del Partito comunista: la coincidenza tra l'agguato e il voto è un fatto di calendario, certificato, e la sua lettura quale scelta deliberata di data appartiene alla dichiarata strategia comunicativa dell'organizzazione esecutrice, che rivendicò l'attacco al cuore dello Stato nel giorno del suo nuovo equilibrio.</w:t>
      </w:r>
    </w:p>
    <w:p>
      <w:pPr>
        <w:spacing w:after="120" w:line="276"/>
        <w:jc w:val="both"/>
      </w:pPr>
      <w:r>
        <w:rPr>
          <w:rFonts w:ascii="Barlow Semi Condensed" w:cs="Barlow Semi Condensed" w:eastAsia="Barlow Semi Condensed" w:hAnsi="Barlow Semi Condensed"/>
          <w:sz w:val="24"/>
          <w:szCs w:val="24"/>
        </w:rPr>
        <w:t xml:space="preserve">Il secondo pilastro è il sistema delle opposizioni al progetto, che il registro censisce su 3 cerchi con la graduazione dovuta. Il cerchio interno è quello delle resistenze dentro la Democrazia Cristiana e dentro il sistema politico italiano, documentate al Livello A dalla dialettica congressuale e parlamentare della stagione: la linea morotea non era la linea di tutto il partito, e la sua prevalenza fu il frutto di una mediazione permanente. Il cerchio intermedio è quello dell'avversione del terrorismo di entrambi i segni al compromesso in costruzione: per l'estrema sinistra armata, la solidarietà nazionale era il tradimento definitivo che consegnava il movimento operaio allo Stato borghese, e l'attacco a Moro fu rivendicato precisamente quale attacco alla mente di quel disegno; il registro lo certifica al Livello A sul fondamento della documentazione dell'organizzazione. Il cerchio esterno è quello delle contrarietà internazionali, che il registro tratta con la disciplina che l'avvertenza ha annunciato: la contrarietà degli Stati Uniti all'ingresso del Partito comunista nell'area di governo di un Paese fondatore dell'Alleanza atlantica è documentata da atti pubblici della diplomazia americana della stagione e da convergenti testimonianze dirette su avvertimenti ricevuti da Moro nei suoi viaggi transatlantici, che collaboratori del presidente riferirono in sede giudiziaria e parlamentare; il registro la certifica al Livello B, quale convergenza di fonti dirette e documentali. La contrarietà sovietica all'eurocomunismo e alla prospettiva di un partito comunista occidentale legittimato al governo fuori dal campo, erosiva del primato di Mosca sul movimento, è documentata dalle prese di posizione pubbliche della stampa di partito sovietica contro la linea eurocomunista; il registro la certifica al Livello B. La compresenza delle 2 contrarietà è dunque certificata; la loro natura, parallela o coordinata, è la questione che la chiusura di fase affronterà quale banco di prova terminale di H1, e che nessun capitolo anticipa.</w:t>
      </w:r>
    </w:p>
    <w:p>
      <w:pPr>
        <w:spacing w:after="120" w:line="276"/>
        <w:jc w:val="both"/>
      </w:pPr>
      <w:r>
        <w:rPr>
          <w:rFonts w:ascii="Barlow Semi Condensed" w:cs="Barlow Semi Condensed" w:eastAsia="Barlow Semi Condensed" w:hAnsi="Barlow Semi Condensed"/>
          <w:sz w:val="24"/>
          <w:szCs w:val="24"/>
        </w:rPr>
        <w:t xml:space="preserve">Il terzo pilastro è il movente politico dell'evento, che il registro formula nella sola forma certificabile: l'uomo sequestrato il 16 marzo 1978 era il costruttore e il garante dell'equilibrio politico più conteso della storia repubblicana, avversato dal terrorismo interno per ragioni dichiarate e sgradito, per ragioni opposte e speculari, a entrambe le superpotenze; la sua eliminazione produsse oggettivamente la fine di quel progetto, che non sopravvisse alla sua morte, e la certificazione di questo esito, al Livello A quale dato storico, non contiene né presuppone alcuna attribuzione di intenzione a soggetti diversi dagli esecutori giudicati, secondo il divieto che governa la fase.</w:t>
      </w:r>
    </w:p>
    <w:p>
      <w:pPr>
        <w:spacing w:after="120" w:line="276"/>
        <w:jc w:val="both"/>
      </w:pPr>
      <w:r>
        <w:rPr>
          <w:rFonts w:ascii="Barlow Semi Condensed" w:cs="Barlow Semi Condensed" w:eastAsia="Barlow Semi Condensed" w:hAnsi="Barlow Semi Condensed"/>
          <w:sz w:val="24"/>
          <w:szCs w:val="24"/>
        </w:rPr>
        <w:t xml:space="preserve">Il quarto pilastro è il fondamento documentale biografico, che il registro dichiara. Il corpus dell'opera comprende la ricostruzione integrale della traiettoria di Moro dal 1932 al 1978: la formazione nella Federazione universitaria cattolica, di cui fu presidente nazionale negli anni della guerra; l'elezione alla Costituente nel 1946 e il contributo, da giurista, alla scrittura della prima parte della Carta; la carriera di governo e di partito, dai ministeri della giustizia e dell'istruzione alla segreteria del 1959, sino alle 5 presidenze del Consiglio e alla presidenza del partito assunta nel 1976; e l'elaborazione dottrinale, consegnata ai discorsi congressuali, di una concezione della democrazia quale processo inclusivo per fasi, nella quale l'allargamento della base dello Stato ai partiti esclusi non era una tattica ma il compimento del disegno costituzionale. Il registro certifica al Livello A questa traiettoria, quale materia documentale, e ne trae l'annotazione che governa la fase: l'uomo sequestrato non era un mediatore occasionale ma il teorico e il pratico più coerente dell'inclusione democratica, e la continuità quarantennale del disegno, dalla Costituente alla solidarietà nazionale, è essa stessa un dato certificato che misura la posta dell'evento; chi colpì Moro colpì una funzione storica documentata, non una congiuntura. Il registro annota altresì, per l'economia delle fasi, che la biografia attraversa tutti gli snodi che l'opera ha censito: Moro fu presidente del Consiglio negli anni del Piano Solo, ministro degli esteri nella stagione della crisi mediterranea, e il suo nome ricorre negli atti di ogni commissione trattata; la sua posizione rispetto a tali snodi appartiene ai singoli accertamenti richiamati, e il registro la mantiene, per ciascuno, entro i livelli propri.</w:t>
      </w:r>
    </w:p>
    <w:p>
      <w:pPr>
        <w:spacing w:after="120" w:line="276"/>
        <w:jc w:val="both"/>
      </w:pPr>
      <w:r>
        <w:rPr>
          <w:rFonts w:ascii="Barlow Semi Condensed" w:cs="Barlow Semi Condensed" w:eastAsia="Barlow Semi Condensed" w:hAnsi="Barlow Semi Condensed"/>
          <w:sz w:val="24"/>
          <w:szCs w:val="24"/>
        </w:rPr>
        <w:t xml:space="preserve">Il quinto pilastro precisa le fonti del cerchio esterno, quale fondamento della certificazione di Livello B enunciata. Sul versante americano, gli avvertimenti a Moro sono documentati da una convergenza che il registro elenca: le testimonianze rese in sede giudiziaria e parlamentare da collaboratori diretti del presidente, tra cui Corrado Guerzoni, sul turbamento con cui Moro riferì le pressioni ricevute durante il viaggio negli Stati Uniti del settembre 1974, sino al proposito, poi rientrato, di ritirarsi dalla vita politica; i riferimenti dello stesso prigioniero, nel memoriale, alle rigidità del vincolo atlantico e ai richiami ricevuti; e il quadro documentale della diplomazia americana della stagione, ostile per atti pubblici all'ingresso comunista nei governi dell'Europa occidentale, dalla dottrina enunciata nei vertici alleati ai comunicati del Dipartimento di Stato del gennaio 1978, in piena crisi di governo italiana. Sul versante sovietico, la contrarietà è documentata dalla polemica pubblica del Partito comunista dell'Unione Sovietica contro l'eurocomunismo, condotta sugli organi ufficiali del partito negli anni 1976-1978 con attacchi diretti alle tesi dei partiti occidentali sulla democrazia pluralista, e dalla letteratura documentale sul gelo tra Mosca e la linea del segretario comunista italiano. Il registro, componendo le fonti, conferma la certificazione al Livello B di entrambe le contrarietà e la loro qualificazione quale coppia speculare: ciascuna potenza avversava il medesimo progetto per la ragione opposta, l'una perché portava i comunisti al governo, l'altra perché legittimava un comunismo fuori controllo; e questa specularità documentata, che la chiusura riprenderà, è il dato che vieta di trattare le 2 contrarietà quale fronte unico senza prova di coordinamento.</w:t>
      </w:r>
    </w:p>
    <w:p>
      <w:pPr>
        <w:spacing w:after="120" w:line="276"/>
        <w:jc w:val="both"/>
      </w:pPr>
      <w:r>
        <w:rPr>
          <w:rFonts w:ascii="Barlow Semi Condensed" w:cs="Barlow Semi Condensed" w:eastAsia="Barlow Semi Condensed" w:hAnsi="Barlow Semi Condensed"/>
          <w:sz w:val="24"/>
          <w:szCs w:val="24"/>
        </w:rPr>
        <w:t xml:space="preserve">Il sesto pilastro distende la traiettoria istituzionale nei suoi passaggi datati, quale ossatura documentale del profilo. Presidente nazionale della Federazione universitaria cattolica italiana dal 1939 al 1942, negli anni in cui assistente ecclesiastico dell'organizzazione era Giovanni Battista Montini, il futuro Paolo VI, con il quale strinse il legame personale che l'epilogo della vicenda renderà pubblico; eletto all'Assemblea Costituente nel 1946, a 29 anni, e attivo nella Commissione dei 75 sui principi fondamentali e sui rapporti civili, con contributi documentati alla formulazione della prima parte della Carta; sottosegretario agli esteri nel 1948, ministro della giustizia nel 1955, ministro della pubblica istruzione dal 1957 al 1959, con l'introduzione dell'educazione civica nelle scuole quale atto d'indirizzo rimasto associato al suo nome; segretario nazionale della Democrazia Cristiana dall'ottobre 1959 al gennaio 1964, l'arco nel quale condusse il partito all'apertura a sinistra attraverso i congressi di Firenze e di Napoli; presidente del Consiglio di 3 governi organici di centrosinistra dal dicembre 1963 al giugno 1968; ministro degli esteri, con brevi soluzioni di continuità, dal 1969 al 1974, la stagione della distensione, della firma dell'atto finale del processo di Helsinki e dell'apertura mediterranea della diplomazia italiana; nuovamente presidente del Consiglio dal novembre 1974 al luglio 1976, alla guida del quarto e del quinto governo del suo ciclo; presidente del Consiglio nazionale della Democrazia Cristiana dall'ottobre 1976, la carica che rivestiva al momento del sequestro. Il registro certifica al Livello A la sequenza, quale materia documentale non controversa, e ne evidenzia il dato strutturale: in 40 anni di vita pubblica, Moro attraversò tutte le stagioni della Repubblica occupando posizioni apicali in 3 domini dell'opera, il partito, il governo e la diplomazia, e la sua rete di relazioni personali, dalla Costituente al Quirinale, dal Vaticano alle cancellerie, era, alla data del 16 marzo 1978, tra le più estese del sistema: la centralità che il Pattern 1 gli assegna non è una metafora ma la descrizione di una posizione misurabile.</w:t>
      </w:r>
    </w:p>
    <w:p>
      <w:pPr>
        <w:spacing w:after="120" w:line="276"/>
        <w:jc w:val="both"/>
      </w:pPr>
      <w:r>
        <w:rPr>
          <w:rFonts w:ascii="Barlow Semi Condensed" w:cs="Barlow Semi Condensed" w:eastAsia="Barlow Semi Condensed" w:hAnsi="Barlow Semi Condensed"/>
          <w:sz w:val="24"/>
          <w:szCs w:val="24"/>
        </w:rPr>
        <w:t xml:space="preserve">Il settimo pilastro censisce il biennio terminale 1977-1978, il contesto immediato del sequestro, nei suoi 3 passaggi documentati. Il primo è la vicenda Lockheed: lo scandalo delle commissioni versate dalla società americana per le forniture aeronautiche investì il sistema politico italiano dal 1976, condusse alla messa in stato d'accusa di 2 ministri e lambì, nelle carte americane, un presidente del Consiglio designato con il nome in codice Antelope Cobbler, la cui identificazione fu oggetto di congetture pubbliche che coinvolsero anche il nome di Moro; il registro certifica al Livello A l'esistenza dello scandalo, dei procedimenti e della congettura, e certifica al medesimo livello che nessun accertamento, parlamentare o giudiziario, ha mai identificato Moro quale titolare di quel nome in codice né gli ha mai attribuito responsabilità nella vicenda, sicché la congettura è censita quale contaminazione documentata dell'ambiente e non quale addebito; in quel contesto Moro pronunciò alla Camera, il 9 marzo 1977, il discorso in difesa del partito dalla richiesta di processare la Democrazia Cristiana nelle piazze, uno dei testi politici più citati del suo ultimo periodo, che il registro certifica quale documento al Livello A. Il secondo passaggio è l'ultimo grande discorso, pronunciato il 28 febbraio 1978 all'assemblea dei gruppi parlamentari democristiani riuniti per decidere sulla formula di governo: un intervento non verbalizzato integralmente, ricostruito dagli appunti dei presenti e dalle cronache, nel quale Moro argomentò la necessità dell'accordo con il Partito comunista quale passaggio obbligato della fase, prefigurando tempi lunghi e insidie; il registro certifica al Livello A l'esistenza, la data e la funzione politica del discorso, e al Livello B la sua ricostruzione testuale, per la natura derivata delle fonti. Il terzo passaggio è la crisi di governo del gennaio-marzo 1978: la caduta del monocolore della non sfiducia, la trattativa condotta da Moro quale mediatore tra il proprio partito e la richiesta comunista di ingresso nella maggioranza, la soluzione del governo monocolore sostenuto dal voto favorevole comunista, e la composizione della lista dei ministri, accolta con delusione dallo stesso Partito comunista, che Moro si adoperò a ricomporre nei giorni immediatamente precedenti il 16 marzo; il registro certifica al Livello A la sequenza e la funzione di garanzia personale che Moro vi esercitò, quale contesto immediato che misura, ancora una volta, l'esatta posta dell'agguato: la mattina del sequestro, l'uomo era atteso alla Camera per il dibattito sulla fiducia al governo che egli solo aveva reso possibile.</w:t>
      </w:r>
    </w:p>
    <w:p>
      <w:pPr>
        <w:spacing w:after="120" w:line="276"/>
        <w:jc w:val="both"/>
      </w:pPr>
      <w:r>
        <w:rPr>
          <w:rFonts w:ascii="Barlow Semi Condensed" w:cs="Barlow Semi Condensed" w:eastAsia="Barlow Semi Condensed" w:hAnsi="Barlow Semi Condensed"/>
          <w:sz w:val="24"/>
          <w:szCs w:val="24"/>
        </w:rPr>
        <w:t xml:space="preserve">L'ottavo pilastro articola i livelli delle contrarietà internazionali, precisando la certificazione del secondo pilastro con la distinzione tra le manifestazioni pubbliche e quelle riservate, che i documenti impongono. Sul versante americano, la posizione ufficiale è consegnata a un atto pubblico datato: la dichiarazione del Dipartimento di Stato del 12 gennaio 1978, emessa nel pieno della crisi di governo italiana, con la quale gli Stati Uniti affermarono di non favorire la partecipazione comunista ai governi dell'Europa occidentale e di auspicarne la riduzione dell'influenza; il registro certifica al Livello A questa posizione pubblica, quale documento ufficiale della diplomazia americana, e mantiene al Livello B il versante riservato, gli avvertimenti personali ricevuti da Moro, documentati dalle testimonianze convergenti dei collaboratori sul viaggio del settembre 1974 e dai riferimenti dello stesso prigioniero nel memoriale, fonti dirette ma non documentali. Sul versante sovietico, la posizione pubblica è parimenti documentata da atti editoriali ufficiali: la polemica condotta dagli organi del Partito comunista dell'Unione Sovietica contro le tesi eurocomuniste tra il 1976 e il 1978, aperta all'indomani della conferenza dei partiti comunisti europei di Berlino Est del giugno 1976, nella quale i partiti occidentali avevano consacrato l'autonomia dal centro sovietico, e proseguita con attacchi diretti alle formulazioni dei dirigenti italiani sul pluralismo; il registro certifica al Livello A questa ostilità pubblica, quale dato della documentazione ufficiale di partito, e mantiene al Livello B ogni sua traduzione operativa. La composizione dei livelli è dunque la seguente, e la chiusura la recepirà: le 2 contrarietà, nelle loro manifestazioni pubbliche e ufficiali, sono certificate al Livello A; nelle loro componenti riservate e nelle loro eventuali traduzioni operative restano al Livello B; e la loro qualificazione congiunta quale convergenza oggettiva si colloca al Livello B, quale composizione prudente dei rami, con il coordinamento fermo, come sempre, al Livello C.</w:t>
      </w:r>
    </w:p>
    <w:p>
      <w:pPr>
        <w:spacing w:after="120" w:line="276"/>
        <w:jc w:val="both"/>
      </w:pPr>
      <w:r>
        <w:rPr>
          <w:rFonts w:ascii="Barlow Semi Condensed" w:cs="Barlow Semi Condensed" w:eastAsia="Barlow Semi Condensed" w:hAnsi="Barlow Semi Condensed"/>
          <w:sz w:val="24"/>
          <w:szCs w:val="24"/>
        </w:rPr>
        <w:t xml:space="preserve">Il nono pilastro espone la dottrina, il corpo di pensiero che il progetto traduceva. La riflessione morotea dell'ultimo decennio ruota attorno a 3 nuclei documentati nei discorsi e negli scritti: la lettura della società italiana quale società in trasformazione accelerata, cui il sistema politico doveva rispondere con l'allargamento e non con l'irrigidimento, consegnata alla formula dei tempi nuovi che si annunciano; la teoria della terza fase, la prospettiva, enunciata negli ultimi anni, di un approdo successivo tanto al centrismo quanto al centrosinistra, nel quale la democrazia italiana avrebbe raggiunto la propria compiutezza con la piena legittimazione reciproca di tutte le forze popolari, comunisti inclusi, e con la possibilità fisiologica dell'alternanza; e la distinzione, che il registro sottolinea per il suo rilievo analitico, tra la strategia morotea dell'attenzione e la proposta berlingueriana del compromesso storico, formulata dal segretario comunista negli articoli dell'autunno 1973 scritti alla luce del colpo di Stato cileno: il compromesso storico postulava un governo organico e durevole delle 2 grandi forze quale assicurazione contro l'eversione, la linea morotea configurava invece un percorso di legittimazione graduale che preservava la distinzione dei ruoli e preparava, nel tempo, la normalità democratica dell'alternanza. Il registro certifica al Livello A l'esistenza e il contenuto delle 2 elaborazioni, quali dati testuali, e la loro non coincidenza, documentata dagli stessi protagonisti; e ne trae l'annotazione che corregge una semplificazione della vulgata: l'uomo sequestrato non era l'artefice del compromesso storico, formula altrui, ma di un disegno più lungo e, negli esiti, più radicale, la piena omologazione democratica del maggiore partito comunista d'occidente; ed è questo disegno, non la contingenza di un governo, che le contrarietà internazionali censite avversavano, ciascuna leggendovi la propria minaccia, l'una lo scardinamento della disciplina di blocco in un Paese di frontiera, l'altra la nascita di un modello comunista occidentale sottratto al centro.</w:t>
      </w:r>
    </w:p>
    <w:p>
      <w:pPr>
        <w:spacing w:after="120" w:line="276"/>
        <w:jc w:val="both"/>
      </w:pPr>
      <w:r>
        <w:rPr>
          <w:rFonts w:ascii="Barlow Semi Condensed" w:cs="Barlow Semi Condensed" w:eastAsia="Barlow Semi Condensed" w:hAnsi="Barlow Semi Condensed"/>
          <w:sz w:val="24"/>
          <w:szCs w:val="24"/>
        </w:rPr>
        <w:t xml:space="preserve">Il decimo pilastro censisce il rapporto pregresso tra Moro e gli apparati, i precedenti che la biografia consegna alla fase. Il primo è la stagione del Piano Solo: Moro era presidente del Consiglio nell'estate 1964, quando maturò la vicenda che la Fase 2 ha certificato, e la gestione morotea della crisi, la mediazione che chiuse la partita politica senza rottura istituzionale e senza pubblicità, appartiene agli accertamenti di quella fase; il registro richiama il precedente quale primo incrocio documentato tra il nodo e il dominio degli apparati, annotando che Moro conobbe da presidente, 14 anni prima del sequestro, la realtà delle pressioni extracostituzionali sul sistema, e che il memoriale della prigionia sarebbe tornato su quella stagione con la competenza del testimone diretto. Il secondo precedente è la titolarità degli esteri negli anni 1969-1974, la stagione nella quale maturò la prassi di salvaguardia con le organizzazioni palestinesi che gli atti designano con il nome stesso del ministro, il lodo censito nel capitolo dell'organizzazione: il registro certifica al Livello A la titolarità del dicastero nella stagione della prassi e al Livello B, quale convergenza delle fonti già dichiarate, la riconducibilità dell'indirizzo alla politica mediterranea del ministro, annotando il paradosso storico che ne discende, e che la fase consegna senza scioglierlo: l'uomo che fu sequestrato con armi transitate per canali mediorientali era il titolare della politica che quei canali aveva regolato, e la circostanza, priva di ogni valenza probatoria sul sequestro, misura la densità delle interconnessioni del campo che l'opera studia. Il terzo precedente è il rapporto con il sistema dei servizi riformato nel 1977: la legge di riforma, approvata nella stagione della solidarietà nazionale, ridisegnò gli apparati nei 2 servizi e nel comitato di coordinamento, e gli uomini che ne assunsero i vertici, quelli che i capitoli della gestione censiscono, furono nominati in quella cornice; il registro certifica la sequenza quale contesto istituzionale, rinviando alla Fase 2 per la qualità piduista di quelle nomine.</w:t>
      </w:r>
    </w:p>
    <w:p>
      <w:pPr>
        <w:spacing w:after="120" w:line="276"/>
        <w:jc w:val="both"/>
      </w:pPr>
      <w:r>
        <w:rPr>
          <w:rFonts w:ascii="Barlow Semi Condensed" w:cs="Barlow Semi Condensed" w:eastAsia="Barlow Semi Condensed" w:hAnsi="Barlow Semi Condensed"/>
          <w:sz w:val="24"/>
          <w:szCs w:val="24"/>
        </w:rPr>
        <w:t xml:space="preserve">L'undicesimo pilastro censisce le opposizioni interne, il cerchio che il secondo pilastro ha enunciato e che qui riceve il suo dettaglio. La linea morotea prevalse nel partito attraverso una mediazione documentata e mai definitiva: le resistenze della destra interna e di parte dell'area dorotea alla legittimazione comunista attraversano gli atti congressuali e la pubblicistica del biennio, la storica competizione con Amintore Fanfani, l'altro grande leader della generazione, conobbe in quella stagione l'ennesima riconfigurazione, e la stessa composizione del governo del 16 marzo fu, come censito, il prodotto di una fatica di mediazione condotta sino alla vigilia; il registro certifica al Livello A l'esistenza e la documentazione del dissenso interno, quale dato della dialettica di partito, e ne dichiara la funzione nella fase: essa priva di fondamento la rappresentazione, corrente in entrambe le vulgate, di un partito unanime dietro il proprio presidente, e restituisce il dato reale, un leader che stava vincendo una partita interna non conclusa, la cui rimozione fisica risolse, quale effetto oggettivo certificato, anche quella partita; l'annotazione, come ogni enunciato di effetto, non contiene attribuzioni di intenzione, e il registro la consegna al piano dei fatti.</w:t>
      </w:r>
    </w:p>
    <w:p>
      <w:pPr>
        <w:spacing w:after="120" w:line="276"/>
        <w:jc w:val="both"/>
      </w:pPr>
      <w:r>
        <w:rPr>
          <w:rFonts w:ascii="Barlow Semi Condensed" w:cs="Barlow Semi Condensed" w:eastAsia="Barlow Semi Condensed" w:hAnsi="Barlow Semi Condensed"/>
          <w:sz w:val="24"/>
          <w:szCs w:val="24"/>
        </w:rPr>
        <w:t xml:space="preserve">Il dodicesimo pilastro censisce la fonte familiare, il canale attraverso cui il cerchio esterno entrò negli atti. Eleonora Chiavarelli Moro, deposta dinanzi alla prima Commissione parlamentare, riferì l'episodio che il marito le aveva confidato al ritorno dal viaggio americano del settembre 1974: l'ammonimento ricevuto da un altissimo esponente dell'amministrazione, nella formulazione riferita l'intimazione a desistere dal proprio disegno politico di collaborazione con tutte le forze del Paese, pena il pagamento di un prezzo elevato; la deposizione, resa sotto vincolo di verità in sede parlamentare, si aggiunse alle testimonianze convergenti dei collaboratori già censite, e costituisce il fondamento principale della certificazione del versante riservato americano. Il registro certifica al Livello A l'esistenza e il contenuto della deposizione, quale atto parlamentare, e mantiene al Livello B il fatto riferito, quale testimonianza de relato di elevata attendibilità soggettiva non consacrata da riscontro documentale; e annota la struttura probatoria del punto, che è la stessa dell'intero cerchio esterno: la conoscenza degli avvertimenti riposa interamente su una catena testimoniale familiare e fiduciaria, coerente, reiterata e mai smentita, ma priva del documento, e il registro la trascrive con questa esatta qualità, rifiutando tanto la degradazione a diceria quanto la promozione a prova.</w:t>
      </w:r>
    </w:p>
    <w:p>
      <w:pPr>
        <w:spacing w:after="120" w:line="276"/>
        <w:jc w:val="both"/>
      </w:pPr>
      <w:r>
        <w:rPr>
          <w:rFonts w:ascii="Barlow Semi Condensed" w:cs="Barlow Semi Condensed" w:eastAsia="Barlow Semi Condensed" w:hAnsi="Barlow Semi Condensed"/>
          <w:sz w:val="24"/>
          <w:szCs w:val="24"/>
        </w:rPr>
        <w:t xml:space="preserve">Il tredicesimo pilastro censisce la dimensione europea del profilo, la radice che salda il nodo alla verifica conclusiva dell'opera. La politica estera morotea, negli anni della titolarità della Farnesina e delle presidenze del Consiglio, si mosse lungo 2 direttrici documentate: la partecipazione attiva al processo di distensione paneuropea culminato nella firma italiana dell'atto finale di Helsinki nel 1975, con Moro presidente del Consiglio e firmatario, e l'apertura mediterranea, la costruzione di una proiezione italiana autonoma verso il mondo arabo, di cui la prassi censita quale lodo fu la declinazione riservata; a queste si aggiunge la costante europeista, la concezione, ricorrente nei discorsi, dell'integrazione comunitaria quale destino e quale spazio di autonomia del Paese entro il vincolo di campo. Il registro certifica al Livello A le direttrici, quali dati della documentazione diplomatica e dei testi, e ne dichiara il rilievo per l'architettura dell'opera: il progetto interno censito nei primi pilastri, la piena integrazione democratica del maggiore partito comunista occidentale, e la proiezione esterna qui censita, l'autonomia mediterranea ed europea entro l'alleanza, sono le 2 facce documentate di una medesima politica di allargamento dei margini nazionali, ed è questa politica composita, non una sua singola componente, l'oggetto delle contrarietà speculari certificate; la formalizzazione appartiene ai fatti e la fase la consegna, quale materiale già disciplinato, alla verifica delle macro-ipotesi.</w:t>
      </w:r>
    </w:p>
    <w:p>
      <w:pPr>
        <w:spacing w:after="120" w:line="276"/>
        <w:jc w:val="both"/>
      </w:pPr>
      <w:r>
        <w:rPr>
          <w:rFonts w:ascii="Barlow Semi Condensed" w:cs="Barlow Semi Condensed" w:eastAsia="Barlow Semi Condensed" w:hAnsi="Barlow Semi Condensed"/>
          <w:sz w:val="24"/>
          <w:szCs w:val="24"/>
        </w:rPr>
        <w:t xml:space="preserve">Il quattordicesimo pilastro registra il quadro continentale della settimana del sequestro, il contesto europeo che il Pattern 3 impone di censire. Il 16 marzo 1978 cade tra i 2 turni delle elezioni legislative francesi, il 12 e il 19 marzo, la consultazione nella quale l'unione delle sinistre, data in vantaggio per mesi, mancò la conquista della maggioranza dopo la rottura programmatica tra socialisti e comunisti; la contestualità tra la settimana in cui la Francia decideva dell'ingresso comunista nell'area di governo e il giorno in cui l'Italia vedeva rapito l'artefice dell'operazione parallela è un dato di calendario che la letteratura ha variamente caricato e che il registro tratta con la disciplina delle coincidenze: certifica al Livello A la contestualità, quale fatto cronologico, mantiene al Livello C ogni lettura di collegamento, nessun elemento documentando un nesso tra i 2 teatri, e annota il dato strutturale che la coincidenza comunque illumina: nella primavera del 1978 la questione dell'ingresso comunista al governo era aperta simultaneamente nei 2 maggiori Paesi latini dell'alleanza, l'attenzione dei campi su quel processo era, per gli atti pubblici censiti, massima, e l'Italia ne costituiva il caso più avanzato; il sequestro colpì dunque il punto più avanzato del processo più osservato del continente, e questa collocazione, che è un fatto e non una tesi, è la ragione per cui il caso appartiene di diritto al perimetro internazionale dell'opera e non alla sola cronaca nazionale.</w:t>
      </w:r>
    </w:p>
    <w:p>
      <w:pPr>
        <w:spacing w:after="120" w:line="276"/>
        <w:jc w:val="both"/>
      </w:pPr>
      <w:r>
        <w:rPr>
          <w:rFonts w:ascii="Barlow Semi Condensed" w:cs="Barlow Semi Condensed" w:eastAsia="Barlow Semi Condensed" w:hAnsi="Barlow Semi Condensed"/>
          <w:sz w:val="24"/>
          <w:szCs w:val="24"/>
        </w:rPr>
        <w:t xml:space="preserve">Il quindicesimo pilastro censisce la dimensione universitaria, il cerchio personale che la vicenda avrebbe drammaticamente convocato. Moro mantenne per l'intera carriera politica la cattedra romana di diritto e procedura penale, con la didattica del sabato mattina difesa contro ogni impegno di governo, il rapporto diretto con gli studenti attraversato indenne dagli anni della contestazione, che egli affrontò con l'ascolto e non con la rottura, e il cerchio degli assistenti e degli allievi quale sfera di lealtà personale distinta da quella politica; il registro certifica al Livello A questa dimensione, quale dato biografico documentato, e ne dichiara la pertinenza analitica, che non è ornamentale: fu a un allievo, Franco Tritto, che l'organizzazione indirizzò, per bocca di Morucci, la telefonata delle 12:13 del 9 maggio con l'indicazione di via Caetani, la scelta dell'interlocutore terminale cadendo non su un'istituzione ma sull'ultimo cerchio fiduciario dell'uomo, quello accademico; e la circostanza, certificata dagli atti, che l'annuncio della fine sia transitato per la sfera universitaria e familiare anziché per quella politica o istituzionale appartiene alla semantica documentata dell'operazione, l'organizzazione avendo negato sino all'ultimo gesto ogni interlocuzione con lo Stato e avendo scelto, quale destinatario della propria comunicazione finale, l'unico cerchio del prigioniero che essa non considerava nemico. Il registro trascrive il dato e la sua lettura interna documentata, e annota che la geografia dei cerchi di Moro, il partito, le istituzioni, la famiglia, l'università, è essa stessa una mappa che la vicenda ha percorso in senso inverso, dall'esterno politico verso l'intimo personale, sino a consegnare l'ultimo atto al più interno dei cerchi.</w:t>
      </w:r>
    </w:p>
    <w:p>
      <w:pPr>
        <w:spacing w:after="120" w:line="276"/>
        <w:jc w:val="both"/>
      </w:pPr>
      <w:r>
        <w:rPr>
          <w:rFonts w:ascii="Barlow Semi Condensed" w:cs="Barlow Semi Condensed" w:eastAsia="Barlow Semi Condensed" w:hAnsi="Barlow Semi Condensed"/>
          <w:sz w:val="24"/>
          <w:szCs w:val="24"/>
        </w:rPr>
        <w:t xml:space="preserve">Il sedicesimo pilastro censisce il cerchio familiare, il più interno dei cerchi e l'ultimo destinatario della vicenda. Aldo Moro aveva sposato nel 1945 Eleonora Chiavarelli, e dal matrimonio erano nati i 4 figli, Maria Fida, Agnese, Anna e Giovanni; al momento del sequestro la famiglia comprendeva il nipote Luca, il bambino che le lettere della prigionia avrebbero reso il destinatario più ricorrente dei pensieri del prigioniero; la casa di via del Forte Trionfale e il rifugio di Torrita Tiberina erano i 2 poli della geografia privata che la vicenda avrebbe trasformato, la prima nel luogo dell'attesa dei 55 giorni, il secondo nel luogo della sepoltura. Il registro certifica al Livello A la composizione del cerchio, quale dato biografico, e ne dichiara la funzione documentale nella fase, che è triplice: la famiglia fu la destinataria del corpus epistolare privato censito nel capitolo del memoriale; fu l'interlocutrice dell'unica comunicazione vocale dell'organizzazione, la telefonata del 30 aprile a Eleonora; e fu, dopo la morte, la custode e l'esecutrice delle disposizioni, con il rifiuto dei funerali di Stato, nonché la fonte delle testimonianze che le Commissioni avrebbero raccolto, la deposizione della vedova sull'avvertimento americano costituendo, come censito, il fondamento del versante riservato del cerchio esterno. Il registro annota il dato strutturale che questa triplice funzione consegna: nella vicenda Moro il cerchio familiare non è sfondo ma fonte, uno dei canali documentali primari della fase, e la circostanza che una parte rilevante della conoscenza del caso, dalle lettere alle testimonianze, sia transitata per la famiglia anziché per le istituzioni è essa stessa un dato certificato sulla dislocazione della fiducia dell'uomo negli ultimi 55 giorni della sua vita.</w:t>
      </w:r>
    </w:p>
    <w:p>
      <w:pPr>
        <w:spacing w:after="120" w:line="276"/>
        <w:jc w:val="both"/>
      </w:pPr>
      <w:r>
        <w:rPr>
          <w:rFonts w:ascii="Barlow Semi Condensed" w:cs="Barlow Semi Condensed" w:eastAsia="Barlow Semi Condensed" w:hAnsi="Barlow Semi Condensed"/>
          <w:sz w:val="24"/>
          <w:szCs w:val="24"/>
        </w:rPr>
        <w:t xml:space="preserve">Il diciassettesimo pilastro censisce il rapporto tra i 2 architetti, l'asse Moro-Berlinguer che sorresse la costruzione politica colpita. La maggioranza della solidarietà nazionale fu il prodotto della convergenza, documentata dagli atti e dalle memorie delle 2 parti, tra la strategia dell'attenzione morotea e la linea del segretario comunista, perseguita attraverso la stagione di incontri riservati e di mediazioni parlamentari del biennio 1976-1978 che preparò il passaggio del marzo; i 2 uomini, divisi dalla collocazione e dalle culture, condividevano per convergenza documentata la lettura della necessità storica dell'operazione e la consapevolezza delle sue resistenze interne e internazionali, e il rapporto personale tra loro, sobrio e non confidenziale, fu il canale fiduciario minimo su cui la costruzione poggiò. Il registro certifica al Livello A l'esistenza e la funzione dell'asse, quali dati della documentazione politica della stagione, e ne registra il destino, che appartiene ai fatti della fase: colpito l'uno il 16 marzo, l'altro sostenne per l'intera crisi la linea della fermezza nella forma più rigida, per le ragioni di affidabilità di Stato che il capitolo della gestione ha censito, e dopo il 9 maggio la costruzione comune si dissolse nei tempi certificati, sino all'uscita comunista dalla maggioranza del gennaio 1979 e alla successiva stagione della rottura; il registro annota il dato strutturale che la parabola consegna: l'operazione politica più ambiziosa della storia repubblicana riposava sull'asse personale di 2 uomini, e l'eliminazione di uno dei 2 fu sufficiente a dissolverla, una fragilità di architettura che la fase certifica quale fatto e che ogni lettura della razionalità dell'attacco, interna o eccedente, incorpora quale premessa: il sistema colpito nel marzo 1978 aveva un solo punto di rottura, e fu esattamente quello a essere colpito.</w:t>
      </w:r>
    </w:p>
    <w:p>
      <w:pPr>
        <w:spacing w:after="120" w:line="276"/>
        <w:jc w:val="both"/>
      </w:pPr>
      <w:r>
        <w:rPr>
          <w:rFonts w:ascii="Barlow Semi Condensed" w:cs="Barlow Semi Condensed" w:eastAsia="Barlow Semi Condensed" w:hAnsi="Barlow Semi Condensed"/>
          <w:sz w:val="24"/>
          <w:szCs w:val="24"/>
        </w:rPr>
        <w:t xml:space="preserve">Il diciottesimo pilastro censisce la fonte primaria del profilo, il corpus pubblico degli scritti e dei discorsi. La ricostruzione del progetto politico condotta nei pilastri precedenti poggia su un corpus documentale di prima mano che il registro dichiara: i discorsi parlamentari e congressuali dell'intera carriera, editi e citabili atto per atto, dalla Costituente all'ultimo intervento ai gruppi del 28 febbraio 1978; gli scritti giuridici e accademici della cattedra; gli articoli e gli interventi pubblici della stagione matura; e la documentazione diplomatica degli anni della Farnesina. Il registro certifica al Livello A l'esistenza, l'edizione e la citabilità di questo corpus, quale base documentale del capitolo, e ne dichiara la funzione metodologica terminale: il pensiero di Moro è ricostruibile integralmente da fonti pubbliche, datate e verificabili, prodotte dall'uomo libero lungo 3 decenni, e questa disponibilità distingue il primo capitolo della fase da tutti i successivi, giacché il profilo del progetto colpito non dipende in nulla dalle carte della prigionia, che documentano l'uomo sotto costrizione, né da testimonianze postume; la separazione tra le 2 fonti dell'uomo, il corpus libero del capitolo primo e il corpus della prigionia del capitolo quinto, è un'architettura deliberata del registro, che consente di misurare la continuità tra il pensiero libero e il pensiero prigioniero, la misura che la falsificazione della tesi della coartazione ha impiegato, e di fondare il bersaglio della fase, il progetto politico, esclusivamente su ciò che l'uomo disse e scrisse quando nessuno lo costringeva.</w:t>
      </w:r>
    </w:p>
    <w:p>
      <w:pPr>
        <w:spacing w:after="120" w:line="276"/>
        <w:jc w:val="both"/>
      </w:pPr>
      <w:r>
        <w:rPr>
          <w:rFonts w:ascii="Barlow Semi Condensed" w:cs="Barlow Semi Condensed" w:eastAsia="Barlow Semi Condensed" w:hAnsi="Barlow Semi Condensed"/>
          <w:sz w:val="24"/>
          <w:szCs w:val="24"/>
        </w:rPr>
        <w:t xml:space="preserve">Le triangolazioni del nodo sono 3. La prima, Moro-apertura a sinistra-solidarietà nazionale, è il triangolo del progetto, certificato al Livello A. La seconda, Moro-terrorismo-attacco al cuore dello Stato, è il triangolo del movente dichiarato dagli esecutori, certificato al Livello A dalla loro documentazione e dai giudicati. La terza, Moro-Washington-Mosca, è il triangolo delle contrarietà internazionali, certificato al Livello B in ciascuno dei 2 rami e consegnato alla chiusura per la qualificazione del loro rapporto. Sul piano dei pattern, il nodo attiva il Pattern 1 in una forma inversa e istruttiva: Moro possedeva la massima centralità del sistema politico legale, quale intermediario unico tra i 2 maggiori partiti, e la sua eliminazione fu la rimozione del broker nel senso più tecnico, l'atto che disconnesse i 2 blocchi che soltanto attraverso di lui comunicavano; l'analisi dei buchi strutturali del Pattern 5 registra nel dopo-Moro esattamente il vuoto che la teoria prevede.</w:t>
      </w:r>
    </w:p>
    <w:p>
      <w:pPr>
        <w:spacing w:after="120" w:line="276"/>
        <w:jc w:val="both"/>
      </w:pPr>
      <w:r>
        <w:rPr>
          <w:rFonts w:ascii="Barlow Semi Condensed" w:cs="Barlow Semi Condensed" w:eastAsia="Barlow Semi Condensed" w:hAnsi="Barlow Semi Condensed"/>
          <w:sz w:val="24"/>
          <w:szCs w:val="24"/>
        </w:rPr>
        <w:t xml:space="preserve">Il movente politico esige la sua genealogia testuale, che il registro fissa nei documenti fondativi delle 2 strategie convergenti. Sul versante comunista, la svolta porta una data editoriale: nelle settimane successive al golpe cileno dell'11 settembre 1973, Enrico Berlinguer pubblicò sul settimanale teorico del partito, in 3 puntate autunnali, le riflessioni sull'Italia dopo i fatti del Cile, nelle quali traeva dalla tragedia di Santiago la lezione che una sinistra al 51% non governa se il restante 49% le viene mobilitato contro, e ne deduceva la necessità della collaborazione tra le grandi forze popolari, comunista, socialista e cattolica: è l'atto di nascita pubblico della proposta che la vulgata avrebbe chiamato compromesso storico, Livello A quanto ai testi ed alla loro data. Sul versante democristiano, il registro deve al lettore una precisione che la pubblicistica trascura: Moro non fu il teorico del compromesso, formula che non gli appartenne e verso la quale mantenne riserve esplicite, ma l'architetto di un disegno proprio e più graduale, la strategia dell'attenzione prima e la prospettiva della terza fase poi, l'idea di un ampliamento della base dello Stato che passasse per l'emergenza della solidarietà nazionale senza consegnare al patto tra i 2 maggiori partiti la forma definitiva del sistema, Livello A quanto alla distinzione, documentata dai testi e dagli interventi del presidente democristiano. La distinzione non è erudizione: essa definisce l'esatto bersaglio politico che il sequestro colpì, non un'alleanza compiuta ma una mediazione in cammino, ed il mediatore, non il patto, era l'elemento insostituibile, come la storia successiva, che vide il disegno dissolversi con il suo artefice, avrebbe verificato per sottrazione.</w:t>
      </w:r>
    </w:p>
    <w:p>
      <w:pPr>
        <w:spacing w:after="120" w:line="276"/>
        <w:jc w:val="both"/>
      </w:pPr>
      <w:r>
        <w:rPr>
          <w:rFonts w:ascii="Barlow Semi Condensed" w:cs="Barlow Semi Condensed" w:eastAsia="Barlow Semi Condensed" w:hAnsi="Barlow Semi Condensed"/>
          <w:sz w:val="24"/>
          <w:szCs w:val="24"/>
        </w:rPr>
        <w:t xml:space="preserve">All'ultimo miglio della mediazione appartiene il documento orale conclusivo, che il registro censisce quale testamento politico involontario: l'intervento pronunciato da Moro il 28 febbraio 1978 dinanzi ai gruppi parlamentari democristiani riuniti, per persuadere il partito riluttante ad accettare l'appoggio esterno comunista al nuovo governo. In quel discorso, di cui restano i resoconti e le testimonianze convergenti dei presenti, Moro difese la scelta quale passaggio obbligato di un tempo nuovo, evocando la necessità di capire ciò che accade e di non farsi trovare fermi mentre la storia si muove, Livello A quanto all'intervento ed al suo tenore complessivo, secondo i resoconti coevi. Sedici giorni separano quell'aula da via Fani: ed il registro, che diffida delle coincidenze quanto le censisce, annota che l'agguato cadde nell'esatta finestra in cui la mediazione, vinte le resistenze interne, stava per tradursi in prassi parlamentare, il che colloca il movente politico non nella sfera delle intenzioni attribuite ma nella cronologia documentata dei fatti compiuti: chi colpì, colpì un processo in atto, alla sua ora più fecondа e perciò più vulnerabile.</w:t>
      </w:r>
    </w:p>
    <w:p>
      <w:pPr>
        <w:spacing w:after="120" w:line="276"/>
        <w:jc w:val="both"/>
      </w:pPr>
      <w:r>
        <w:rPr>
          <w:rFonts w:ascii="Barlow Semi Condensed" w:cs="Barlow Semi Condensed" w:eastAsia="Barlow Semi Condensed" w:hAnsi="Barlow Semi Condensed"/>
          <w:sz w:val="24"/>
          <w:szCs w:val="24"/>
        </w:rPr>
        <w:t xml:space="preserve">Alla vigilia dell'agguato appartiene infine il dossier della protezione, che gli atti parlamentari hanno ricostruito e che il registro fissa quale reperto sulle condizioni materiali del bersaglio: nei mesi precedenti il 16 marzo, a fronte di un quadro di minaccia che l'escalation brigatista contro uomini dello Stato rendeva conclamato, la dotazione della scorta di Moro rimase quella ordinaria, 5 uomini su 2 vetture prive di blindatura, e le sollecitazioni per l'assegnazione di un'auto protetta, documentate nelle testimonianze rese dai collaboratori e dagli uffici alle sedi d'inchiesta, non ebbero seguito prima dell'agguato, Livello A quanto alla dotazione effettiva ed alle sollecitazioni documentate, nei limiti delle rispettive fonti. Il registro consegna il dato alla sua funzione: esso non fonda, da solo, alcuna inferenza sulla volontarietà dell'esposizione, che nessun accertamento ha consacrato e che la Regola Ferrea vieta di dedurre dalla mera inadeguatezza, ma stabilisce la condizione materiale di partenza del piano primo, un obiettivo di primissimo rango protetto secondo standard che la minaccia coeva aveva già reso obsoleti, e questa forbice tra il rango del bersaglio ed il livello della protezione è il primo dei fatti non spiegati che il piano secondo censisce, certificato nella sua materialità e consegnato, quanto alle ragioni, al vaglio che le Commissioni hanno condotto senza chiuderlo.</w:t>
      </w:r>
    </w:p>
    <w:p>
      <w:pPr>
        <w:spacing w:after="120" w:line="276"/>
        <w:jc w:val="both"/>
      </w:pPr>
      <w:r>
        <w:rPr>
          <w:rFonts w:ascii="Barlow Semi Condensed" w:cs="Barlow Semi Condensed" w:eastAsia="Barlow Semi Condensed" w:hAnsi="Barlow Semi Condensed"/>
          <w:sz w:val="24"/>
          <w:szCs w:val="24"/>
        </w:rPr>
        <w:t xml:space="preserve">Attorno al presidente operava infine il cerchio dei collaboratori diretti, che il registro censisce quale fonte di prima prossimità sul clima della vigilia: il segretario amministrativo Sereno Freato, l'assistente Nicola Rana ed il portavoce Corrado Guerzoni, auditi ripetutamente nei cicli giudiziari e dinanzi alle Commissioni, consegnarono un quadro convergente sulla percezione del pericolo nell'ultimo Moro, fatta di segnali registrati, preoccupazioni espresse e cautele sollecitate, ivi comprese quelle sulla protezione che il capitolo ha già certificato, Livello A quanto alle audizioni ed alla convergenza dei racconti, Livello B quanto ai singoli episodi riferiti da fonte unica. Il registro assegna al cerchio la sua funzione documentale propria: i collaboratori furono, per il caso, ciò che gli archivi sono per le organizzazioni, la memoria esterna dell'uomo, e le loro testimonianze, attraversate negli anni da verifiche, riscontri ed anche da vicende personali distinte che non appartengono a questo nodo, restano il principale giacimento sulla dimensione privata della vigilia, quella in cui il mediatore misurava, insieme al peso della manovra politica, il prezzo che essa avrebbe potuto chiedergli. Che quella misura fosse presente all'uomo prima che al Paese è, all'esito delle convergenze censite, un dato: e la sua consapevolezza documentata è l'ultimo tratto del profilo che il capitolo consegna, il bersaglio che conosceva di esserlo.</w:t>
      </w:r>
    </w:p>
    <w:p>
      <w:pPr>
        <w:spacing w:after="120" w:line="276"/>
        <w:jc w:val="both"/>
      </w:pPr>
      <w:r>
        <w:rPr>
          <w:rFonts w:ascii="Barlow Semi Condensed" w:cs="Barlow Semi Condensed" w:eastAsia="Barlow Semi Condensed" w:hAnsi="Barlow Semi Condensed"/>
          <w:sz w:val="24"/>
          <w:szCs w:val="24"/>
        </w:rPr>
        <w:t xml:space="preserve">La giornata inaugurale va restituita anche nella sua cronaca parlamentare, perché l'aula fu il secondo teatro del 16 marzo e la sua sequenza oraria è un reperto istituzionale: la Camera era convocata per il dibattito sulla fiducia al nuovo governo quando, a metà mattina, la notizia dell'agguato raggiunse Montecitorio; la seduta fu sospesa nello sgomento, le direzioni dei partiti si riunirono in permanenza, e nel pomeriggio le Camere ripresero i lavori deliberando di procedere immediatamente, sicché entro la sera del giorno stesso il governo ottenne la fiducia con una maggioranza amplissima, nella quale il voto comunista si sommò per la prima volta dal 1947 a quello democristiano, Livello A quanto alla sequenza ed all'esito. Il registro fissa il paradosso documentale della giornata: l'operazione concepita per impedire l'approdo della mediazione lo accelerò nelle forme, consegnando in poche ore, sotto la spinta dell'emergenza, il risultato parlamentare che mesi di trattativa avevano preparato, e la solidarietà nazionale nacque così nel modo esattamente contrario al disegno del suo artefice, non quale esito maturo di un processo politico ma quale riflesso di autodifesa dello Stato aggredito. La distinzione non è oziosa: il voto del 16 marzo saldò il quadro politico e insieme lo svuotò della sua gradualità costitutiva, ed il registro consegna alla storiografia, senza deciderla, la domanda che ne discende, se la creatura nata quel pomeriggio sotto shock fosse ancora, in senso proprio, la creatura che il prigioniero aveva progettato, o già la sua maschera funeraria.</w:t>
      </w:r>
    </w:p>
    <w:p>
      <w:pPr>
        <w:spacing w:after="120" w:line="276"/>
        <w:jc w:val="both"/>
      </w:pPr>
      <w:r>
        <w:rPr>
          <w:rFonts w:ascii="Barlow Semi Condensed" w:cs="Barlow Semi Condensed" w:eastAsia="Barlow Semi Condensed" w:hAnsi="Barlow Semi Condensed"/>
          <w:sz w:val="24"/>
          <w:szCs w:val="24"/>
        </w:rPr>
        <w:t xml:space="preserve">Alla filologia del nodo appartiene infine l'apocrifo che ne è divenuto l'emblema: la formula delle convergenze parallele, universalmente attribuita a Moro quale cifra del suo metodo, non risulta rintracciabile, in quella esatta veste, negli scritti né nei discorsi del presidente democristiano, e la ricerca filologica ne ha ricostruito la genesi giornalistica, una sintesi redazionale coeva che condensò in ossimoro la strategia morotea della metà degli anni Sessanta e che l'uso pubblico saldò per sempre al suo presunto autore, Livello A quanto alla circolazione ed alla consolidata attribuzione, Livello C quanto alla paternità morotea diretta, mai documentata. Il registro censisce l'apocrifo perché esso è, in miniatura, la storia della ricezione dell'uomo: a Moro fu attribuita la formula che il linguaggio comune giudicava impossibile, 2 parallele che convergono, e l'attribuzione attecchì perché descriveva perfettamente ciò che il Paese vedeva, un politico che faceva incontrare ciò che la geometria del sistema dichiarava inconciliabile. Che la definizione più celebre del mediatore sia una frase che egli non pronunciò è il sigillo filologico del caso: anche sul piano delle parole, come su quello delle carte, il nodo Moro è consegnato alla storia attraverso testi di paternità incerta, e la disciplina che l'opera applica al memoriale vale, in scala minima, anche per le 2 parole che tutti gli attribuiscono.</w:t>
      </w:r>
    </w:p>
    <w:p>
      <w:pPr>
        <w:spacing w:after="120" w:line="276"/>
        <w:jc w:val="both"/>
      </w:pPr>
      <w:r>
        <w:rPr>
          <w:rFonts w:ascii="Barlow Semi Condensed" w:cs="Barlow Semi Condensed" w:eastAsia="Barlow Semi Condensed" w:hAnsi="Barlow Semi Condensed"/>
          <w:sz w:val="24"/>
          <w:szCs w:val="24"/>
        </w:rPr>
        <w:t xml:space="preserve">L'ultimo Moro pubblico consegna al registro il documento che smentisce in radice l'iconografia remissiva: il discorso pronunciato al seminario nazionale democristiano di Benevento il 18 novembre 1977, l'intervento programmatico estremo della sua elaborazione, nel quale il presidente del partito rivendicò la storia della DC contro la stagione dei processi mediatici, rifiutando che il partito si lasciasse processare nelle piazze e rilanciando la prospettiva della terza fase quale approdo di sistema, Livello A quanto al discorso, alla data ed ai contenuti editi. Il registro censisce il testo per la sua funzione correttiva: a 4 mesi da via Fani, l'uomo che la vulgata avrebbe consegnato alla storia quale mediatore crepuscolare parlava da capo politico in attacco, e la continuità documentale tra il combattente di Benevento, il negoziatore dottrinale della prigione censito nel quadrilatero epistolare e l'estensore lucido del memoriale è la spina dorsale biografica che il capitolo consegna alle fasi successive: il corpus moroteo dei suoi ultimi 6 mesi, dal palco alla cella, è l'opera di una sola intelligenza politica in piena funzione, e ogni lettura che ne frammenti la coerenza per neutralizzarne un segmento, il Moro di Benevento contro il Moro delle lettere, deve prima spiegare perché la scrittura non registri alcuna frattura.</w:t>
      </w:r>
    </w:p>
    <w:p>
      <w:pPr>
        <w:spacing w:after="120" w:line="276"/>
        <w:jc w:val="both"/>
      </w:pPr>
      <w:r>
        <w:rPr>
          <w:rFonts w:ascii="Barlow Semi Condensed" w:cs="Barlow Semi Condensed" w:eastAsia="Barlow Semi Condensed" w:hAnsi="Barlow Semi Condensed"/>
          <w:sz w:val="24"/>
          <w:szCs w:val="24"/>
        </w:rPr>
        <w:t xml:space="preserve">L'arco politico del nodo si chiude infine 21 mesi dopo via Caetani, con l'atto congressuale che il registro censisce quale certificato di morte della politica morotea: al congresso democristiano del febbraio 1980 l'approvazione del documento preambolare della maggioranza interna precluse formalmente la prosecuzione della solidarietà nazionale e la prospettiva di collaborazione con il partito comunista, riportando la DC all'alleanza preferenziale con i socialisti e chiudendo la stagione che il rapimento aveva colpito al suo primo giorno, Livello A quanto all'esito congressuale ed ai suoi effetti di sistema. Il registro consegna la data alla contabilità dell'opera: la politica per la quale Moro fu sequestrato sopravvisse al suo autore un tempo brevissimo e morì non per mano armata ma per voto di congresso, e questa doppia estinzione, l'uomo per esecuzione e la strategia per deliberazione, obbliga l'analisi alla distinzione che il capitolo consegna: l'attentato uccise il garante, ma fu il sistema politico, con i propri strumenti ordinari, a seppellire la garanzia, sicché la domanda storica corretta non è se il sequestro abbia fermato la terza fase, ma perché nessuno, dopo, abbia più potuto o voluto riprenderla, ed a questa seconda domanda le aule non erano competenti a rispondere.</w:t>
      </w:r>
    </w:p>
    <w:p>
      <w:pPr>
        <w:spacing w:after="120" w:line="276"/>
        <w:jc w:val="both"/>
      </w:pPr>
      <w:r>
        <w:rPr>
          <w:rFonts w:ascii="Barlow Semi Condensed" w:cs="Barlow Semi Condensed" w:eastAsia="Barlow Semi Condensed" w:hAnsi="Barlow Semi Condensed"/>
          <w:sz w:val="24"/>
          <w:szCs w:val="24"/>
        </w:rPr>
        <w:t xml:space="preserve">La cronologia politica della vigilia esige la misura della sua durata, che il registro fissa quale cornice temporale dell'intero disegno: la crisi apertasi il 16 gennaio 1978 con le dimissioni del terzo governo Andreotti si protrasse per 2 mesi esatti, la più laboriosa gestazione ministeriale del decennio, condotta da Moro attraverso la resistenza convergente delle ali interne ed esterne sino al giuramento dell'11 marzo ed al debutto parlamentare del 16, Livello A quanto alla scansione. Il registro consegna la durata alla sua funzione analitica: per 60 giorni l'intero Paese, e chiunque nel Paese pianificasse, conobbe pubblicamente l'esistenza, la posta e l'artefice della partita in corso, mentre la sua data terminale, il giorno della fiducia, si definì solo nell'ultima settimana, sicché l'agguato consumato nell'ora esatta del compimento presuppone un dispositivo tenuto in preallarme prolungato e attivabile con preavviso breve, ed è questa elasticità operativa, più ancora della precisione balistica censita nel capitolo seguente, la vera firma professionale del 16 marzo: non l'abilità di colpire, che si addestra, ma la capacità organizzativa di attendere armati per settimane una data altrui, che si finanzia, si copre e si comanda, e che il registro consegna ai capitoli processuali quale domanda sulla profondità logistica dell'organizzazione che i giudicati hanno misurato.</w:t>
      </w:r>
    </w:p>
    <w:p>
      <w:pPr>
        <w:spacing w:after="120" w:line="276"/>
        <w:jc w:val="both"/>
      </w:pPr>
      <w:r>
        <w:rPr>
          <w:rFonts w:ascii="Barlow Semi Condensed" w:cs="Barlow Semi Condensed" w:eastAsia="Barlow Semi Condensed" w:hAnsi="Barlow Semi Condensed"/>
          <w:sz w:val="24"/>
          <w:szCs w:val="24"/>
        </w:rPr>
        <w:t xml:space="preserve">Il ritratto del protagonista esige infine il suo registro civile meno noto, che l'opera censisce per completezza biografica: per l'intera carriera politica Moro mantenne la cattedra universitaria, ordinario di istituzioni di diritto e procedura penale nell'ateneo romano, e continuò a tenervi personalmente lezione, tra studenti e assistenti, sino alle ultime settimane prima del sequestro, unico caso tra i vertici della Repubblica di una docenza effettiva mai ridotta a titolo onorifico, Livello A quanto alla continuità dell'insegnamento. Il registro consegna il dato alla sua funzione ermeneutica: l'uomo che il corpus ha censito quale architetto delle mediazioni impossibili trascorreva le proprie mattine accademiche a spiegare ai ventenni le garanzie del processo penale, e questa doppia vita documentata, il potere e la cattedra, illumina retrospettivamente tanto la qualità giuridica delle lettere dalla prigione, scritte da un processualista che conosceva per mestiere la differenza tra giustizia e procedura, quanto la scelta brigatista di sottoporlo ad un simulacro di processo, che colpiva, con precisione forse inconsapevole, l'uomo nel punto esatto della sua competenza, costringendo il professore della procedura a subire la parodia della materia che insegnava.</w:t>
      </w:r>
    </w:p>
    <w:p>
      <w:pPr>
        <w:spacing w:after="120" w:line="276"/>
        <w:jc w:val="both"/>
      </w:pPr>
      <w:r>
        <w:rPr>
          <w:rFonts w:ascii="Barlow Semi Condensed" w:cs="Barlow Semi Condensed" w:eastAsia="Barlow Semi Condensed" w:hAnsi="Barlow Semi Condensed"/>
          <w:sz w:val="24"/>
          <w:szCs w:val="24"/>
        </w:rPr>
        <w:t xml:space="preserve">Il profilo istituzionale del protagonista esige la sua scheda di servizio, che il registro premette quale misura della posta: Aldo Moro guidò 5 governi della Repubblica, i 3 esecutivi organici di centrosinistra tra il 1963 ed il 1968 ed i 2 governi della metà degli anni Settanta, e tenne nei 3 decenni i dicasteri di vertice, la Giustizia, la Pubblica istruzione, gli Esteri per stagioni prolungate, oltre alla segreteria del partito negli anni della svolta e la presidenza del Consiglio nazionale democristiano sino al sequestro, curriculum che ne fa, per durata ed ampiezza cumulativa degli incarichi, uno dei 2 o 3 uomini di governo più longevi dell'intera storia repubblicana, Livello A quanto alla carriera istituzionale. Il registro consegna la scheda alla sua funzione nel capitolo: il 16 marzo 1978 non fu colpito un leader di partito ma un archivio vivente dello Stato, l'uomo che aveva attraversato da ministro o da premier ogni stagione critica del corpus, dal Piano Solo vissuto da presidente del Consiglio in carica alle gestioni riservate mediterranee dirette da ministro degli esteri, e questa densità biografica, unica tra i possibili bersagli dell'epoca, appartiene alla valutazione del bersaglio che ogni ipotesi sul caso, da quella giudicata a quelle concorrenti, deve incorporare: chiunque decise o lasciò decidere la sorte del prigioniero sapeva che nella prigione del popolo non c'era soltanto il garante di una maggioranza, c'era la memoria operativa di 30 anni di Repubblica, con tutto ciò che una memoria simile poteva, scrivendo, ricordare.</w:t>
      </w:r>
    </w:p>
    <w:p>
      <w:pPr>
        <w:spacing w:after="120" w:line="276"/>
        <w:jc w:val="both"/>
      </w:pPr>
      <w:r>
        <w:rPr>
          <w:rFonts w:ascii="Barlow Semi Condensed" w:cs="Barlow Semi Condensed" w:eastAsia="Barlow Semi Condensed" w:hAnsi="Barlow Semi Condensed"/>
          <w:sz w:val="24"/>
          <w:szCs w:val="24"/>
        </w:rPr>
        <w:t xml:space="preserve">Il capitolo della cornice politica esige il suo bilancio terminale, che il registro formula quale misura del prezzo pagato: la politica di solidarietà nazionale non sopravvisse al suo garante, poiché il partito comunista, logorato dal sostegno ad un governo che non lo compensava e privato dell'interlocutore che aveva costruito il percorso, uscì dalla maggioranza nel gennaio 1979, a 8 mesi da via Caetani, chiudendo per sempre la stagione dell'avvicinamento e riconsegnando il sistema politico alla contrapposizione che l'operazione di Moro aveva tentato di superare, Livello A quanto alla cronologia della rottura. Il registro consegna la sequenza alla sua lettura strutturale, che prescinde da ogni ipotesi sui mandanti e vale per tutte: qualunque cosa il sequestro fosse stato nelle intenzioni, nei risultati fu l'atto che uccise insieme l'uomo ed il suo disegno, perché la solidarietà nazionale, nata per gestire l'emergenza, si consumò nell'emergenza stessa, ed il sistema politico italiano tornò, dopo la parentesi, esattamente alla geometria bipolare bloccata che le 2 superpotenze censite nella fase quinta avevano sempre preferito, sicché il registro può formulare l'unico enunciato che la disciplina consente sul piano degli effetti: il 9 maggio 1978 non morì soltanto un uomo di Stato, morì l'unico esperimento di superamento della conventio ad excludendum che la Repubblica del corpus abbia mai condotto sino alla soglia del governo, e gli effetti, a differenza delle intenzioni, non sono un'ipotesi ma un calendario.</w:t>
      </w:r>
    </w:p>
    <w:p>
      <w:pPr>
        <w:spacing w:after="120" w:line="276"/>
        <w:jc w:val="both"/>
      </w:pPr>
      <w:r>
        <w:rPr>
          <w:rFonts w:ascii="Barlow Semi Condensed" w:cs="Barlow Semi Condensed" w:eastAsia="Barlow Semi Condensed" w:hAnsi="Barlow Semi Condensed"/>
          <w:b/>
          <w:bCs/>
          <w:sz w:val="24"/>
          <w:szCs w:val="24"/>
        </w:rPr>
        <w:t xml:space="preserve">Sintesi del dato nuovo acquisito:</w:t>
      </w:r>
      <w:r>
        <w:rPr>
          <w:rFonts w:ascii="Barlow Semi Condensed" w:cs="Barlow Semi Condensed" w:eastAsia="Barlow Semi Condensed" w:hAnsi="Barlow Semi Condensed"/>
          <w:sz w:val="24"/>
          <w:szCs w:val="24"/>
        </w:rPr>
        <w:t xml:space="preserve"> il nodo Moro è certificato al Livello A quale artefice delle 2 operazioni di allargamento della base dello Stato e quale intermediario a massima centralità del sistema politico, sequestrato il giorno della fiducia al primo governo della solidarietà nazionale; le contrarietà internazionali al suo progetto sono certificate al Livello B su entrambi i versanti, americano e sovietico, quali contrarietà documentate e speculari, con la qualificazione del loro rapporto rinviata alla chiusura; il movente politico dell'evento è certificato nella sola forma del dato oggettivo, la fine del progetto con la morte del suo garante, senza alcuna attribuzione eccedente i giudicati.</w:t>
      </w:r>
    </w:p>
    <w:p>
      <w:pPr>
        <w:pStyle w:val="Heading3"/>
        <w:spacing w:after="80" w:before="160"/>
      </w:pPr>
      <w:r>
        <w:rPr>
          <w:rFonts w:ascii="Barlow Semi Condensed" w:cs="Barlow Semi Condensed" w:eastAsia="Barlow Semi Condensed" w:hAnsi="Barlow Semi Condensed"/>
          <w:sz w:val="24"/>
          <w:szCs w:val="24"/>
        </w:rPr>
        <w:t xml:space="preserve">Capitolo 2 — ■ Via Fani, 16 marzo 1978. L'agguato, la scorta, i giudicati</w:t>
      </w:r>
    </w:p>
    <w:p>
      <w:pPr>
        <w:spacing w:after="120" w:line="276"/>
        <w:jc w:val="both"/>
      </w:pPr>
      <w:r>
        <w:rPr>
          <w:rFonts w:ascii="Barlow Semi Condensed" w:cs="Barlow Semi Condensed" w:eastAsia="Barlow Semi Condensed" w:hAnsi="Barlow Semi Condensed"/>
          <w:sz w:val="24"/>
          <w:szCs w:val="24"/>
        </w:rPr>
        <w:t xml:space="preserve">L'agguato di via Mario Fani, eseguito a Roma la mattina del 16 marzo 1978 poco dopo le 9, è il nodo-evento inaugurale della fase: 90 secondi di fuoco nei quali fu annientata la scorta di Aldo Moro e il presidente fu sequestrato. La scansione del corpus registra il toponimo 262 volte in 37 documenti. Caddero il maresciallo dei carabinieri Oreste Leonardi, capo scorta e ombra di Moro da 15 anni, l'appuntato dei carabinieri Domenico Ricci, alla guida della vettura del presidente, il vicebrigadiere di pubblica sicurezza Francesco Zizzi e le guardie Giulio Rivera e Raffaele Iozzino, sull'auto di scorta; Iozzino fu l'unico che riuscì a scendere e a esplodere colpi contro gli aggressori. Il registro ne trascrive i 5 nomi quale atto dovuto e primo contenuto del nodo.</w:t>
      </w:r>
    </w:p>
    <w:p>
      <w:pPr>
        <w:spacing w:after="120" w:line="276"/>
        <w:jc w:val="both"/>
      </w:pPr>
      <w:r>
        <w:rPr>
          <w:rFonts w:ascii="Barlow Semi Condensed" w:cs="Barlow Semi Condensed" w:eastAsia="Barlow Semi Condensed" w:hAnsi="Barlow Semi Condensed"/>
          <w:sz w:val="24"/>
          <w:szCs w:val="24"/>
        </w:rPr>
        <w:t xml:space="preserve">Il primo pilastro è la dinamica giudizialmente accertata, che il registro certifica al Livello A sul fondamento dei giudicati formatisi nei 5 procedimenti. L'azione fu eseguita da un commando delle Brigate Rosse secondo uno schema di blocco e fuoco incrociato: la vettura civetta che tagliò la strada al corteo all'incrocio con via Stresa, il gruppo di fuoco appostato in uniformi da personale di volo dell'Alitalia lungo la siepe, i ruoli di copertura e di recupero; il presidente fu trasbordato e portato via nel giro di pochi minuti attraverso un percorso di cambi d'auto. I giudicati hanno identificato e condannato in via irrevocabile i componenti del commando e i dirigenti dell'azione, nella composizione che il capitolo successivo espone nominativamente, e hanno ricostruito la pianificazione, i sopralluoghi e la catena di comando interna. Il registro certifica al Livello A la dinamica, la composizione giudicata del commando e la riferibilità dell'azione alla direzione strategica dell'organizzazione, quali contenuti dei giudicati; e registra al medesimo livello il dato quantitativo dell'azione, il volume di fuoco concentrato sulla scorta, rinviando alle tavole armiere di cui il registro dispone il censimento analitico delle armi accertate e dei bossoli repertati, con l'annotazione che la distribuzione dei colpi tra le armi, come accertata dalle perizie, attribuì a una sola arma automatica la maggioranza assoluta dei colpi esplosi: un dato tecnico certificato che ha alimentato, nei decenni, la questione della perizia esecutiva del tiratore principale, la quale, nei limiti in cui eccede il dato peritale, appartiene al piano delle ipotesi.</w:t>
      </w:r>
    </w:p>
    <w:p>
      <w:pPr>
        <w:spacing w:after="120" w:line="276"/>
        <w:jc w:val="both"/>
      </w:pPr>
      <w:r>
        <w:rPr>
          <w:rFonts w:ascii="Barlow Semi Condensed" w:cs="Barlow Semi Condensed" w:eastAsia="Barlow Semi Condensed" w:hAnsi="Barlow Semi Condensed"/>
          <w:sz w:val="24"/>
          <w:szCs w:val="24"/>
        </w:rPr>
        <w:t xml:space="preserve">Il secondo pilastro è il perimetro delle presenze, che il registro tratta con la decomposizione dei piani dichiarata in avvertenza. Il piano primo, quello giudicato, fissa le presenze condannate. Il piano secondo registra le presenze ulteriori accertate ma non appartenenti al commando: tra esse, il registro certifica al Livello A, quale fatto ammesso ed emerso negli anni Novanta, la presenza nelle immediate vicinanze del luogo e dell'ora dell'agguato di un ufficiale del servizio segreto militare, il colonnello Camillo Guglielmi, appartenente alla struttura addestrativa collegata alla rete clandestina certificata nella Fase 2; la spiegazione fornita, un invito a pranzo da un collega residente in zona, in orario mattutino, è agli atti, e la sua congruità è stata oggetto di valutazioni critiche nelle sedi parlamentari. Il registro certifica la presenza quale fatto e mantiene al Livello C ogni attribuzione di significato operativo, dichiarando che questo è il caso di scuola del divieto inferenziale: una presenza anomala certificata non è una partecipazione, e la distanza tra i 2 enunciati può essere colmata soltanto da prove che non esistono. Al medesimo piano appartengono le questioni delle presenze e dei veicoli non identificati discusse nelle perizie e nelle inchieste parlamentari successive, compresa la motocicletta segnalata da testimoni: il registro le censisce quali questioni aperte di Livello C, documentate quanto alla loro esistenza di questioni, non risolte quanto al loro contenuto.</w:t>
      </w:r>
    </w:p>
    <w:p>
      <w:pPr>
        <w:spacing w:after="120" w:line="276"/>
        <w:jc w:val="both"/>
      </w:pPr>
      <w:r>
        <w:rPr>
          <w:rFonts w:ascii="Barlow Semi Condensed" w:cs="Barlow Semi Condensed" w:eastAsia="Barlow Semi Condensed" w:hAnsi="Barlow Semi Condensed"/>
          <w:sz w:val="24"/>
          <w:szCs w:val="24"/>
        </w:rPr>
        <w:t xml:space="preserve">Il terzo pilastro è la qualificazione dell'evento nella serie dell'opera. Via Fani è, per tecnica ed esito, un'operazione militare urbana senza precedenti né repliche nella storia del terrorismo italiano: la combinazione di intelligence preparatoria, sincronizzazione e volume di fuoco la distingue da ogni altra azione della medesima organizzazione, e questa eccezionalità tecnica, certificata al Livello A quale dato comparativo interno alla serie delle azioni giudicate, è stata l'argomento ricorrente delle letture che postulano addestramenti o concorsi esterni; il registro registra l'argomento e lo qualifica: l'eccezionalità è un fatto, l'inferenza dall'eccezionalità al concorso esterno è un'ipotesi di Livello C, che i giudicati hanno escluso di poter elevare, avendo ritenuto l'azione interamente riferibile all'organizzazione, e che le inchieste parlamentari successive hanno riproposto senza poterla consolidare.</w:t>
      </w:r>
    </w:p>
    <w:p>
      <w:pPr>
        <w:spacing w:after="120" w:line="276"/>
        <w:jc w:val="both"/>
      </w:pPr>
      <w:r>
        <w:rPr>
          <w:rFonts w:ascii="Barlow Semi Condensed" w:cs="Barlow Semi Condensed" w:eastAsia="Barlow Semi Condensed" w:hAnsi="Barlow Semi Condensed"/>
          <w:sz w:val="24"/>
          <w:szCs w:val="24"/>
        </w:rPr>
        <w:t xml:space="preserve">Il quarto pilastro è il censimento armiero, che il registro espone quale contenuto tecnico proprio, disponendo di tavole dedicate all'armamento dell'agguato e dell'esecuzione. Le risultanze peritali consolidate nei giudicati fissano il quadro: sul luogo dell'agguato furono repertati 93 bossoli, la cui distribuzione tra le armi attribuì la maggioranza assoluta dei colpi, 49, a una sola mitraglietta FNAB-43, arma automatica di produzione italiana bellica e di provenienza clandestina, affiancata da altre armi lunghe automatiche in parte inceppatesi durante l'azione e dalle armi corte del commando; l'esecuzione del 9 maggio avvenne con la mitraglietta Skorpion munita di silenziatore e con arma corta, e le perizie sul corpo e sulla vettura ne fissarono modalità e colpi. Il registro certifica al Livello A il quadro peritale recepito nei giudicati, ivi compreso il dato della concentrazione del fuoco su una sola arma, e disciplina le 2 questioni che il dato ha alimentato. La prima è la questione della perizia esecutiva: la concentrazione dei colpi in un tiratore principale, unita alla gestione degli inceppamenti altrui, ha fondato la lettura del professionista esterno; il registro la mantiene al Livello C, annotando che i giudicati attribuirono il fuoco ai componenti condannati del commando e che il dato tecnico, di per sé, misura una distribuzione e non una provenienza. La seconda è la questione della provenienza delle armi: gli accertamenti collocarono le armi lunghe in circuiti clandestini di provenienza eterogenea, e il tema della filiera internazionale degli armamenti dell'organizzazione, che il capitolo successivo riprende, trova qui il suo aggancio materiale; il registro certifica al Livello A l'eterogeneità e la clandestinità della provenienza quale dato peritale, e rinvia la filiera al capitolo dell'organizzazione. L'annotazione metodologica chiude il pilastro: il registro tratta il dato balistico secondo il paradigma indiziario della Nota, quale traccia materiale a massimo valore discriminante, e precisamente per questo ne vieta l'uso suggestivo, giacché la traccia discrimina soltanto entro le ipotesi che è tecnicamente idonea a distinguere, e la distribuzione dei colpi non distingue il brigatista addestrato dal professionista esterno, come 4 decenni di perizie hanno confermato.</w:t>
      </w:r>
    </w:p>
    <w:p>
      <w:pPr>
        <w:spacing w:after="120" w:line="276"/>
        <w:jc w:val="both"/>
      </w:pPr>
      <w:r>
        <w:rPr>
          <w:rFonts w:ascii="Barlow Semi Condensed" w:cs="Barlow Semi Condensed" w:eastAsia="Barlow Semi Condensed" w:hAnsi="Barlow Semi Condensed"/>
          <w:sz w:val="24"/>
          <w:szCs w:val="24"/>
        </w:rPr>
        <w:t xml:space="preserve">Il registro annota infine, entro il pilastro, la questione della protezione: gli atti documentano che nella stagione precedente l'agguato la minaccia sulla persona di Moro era segnalata, che la richiesta di dotare il presidente di una vettura blindata era stata avanzata e non soddisfatta, e che la scorta operava con mezzi ordinari e senza equipaggiamento protettivo adeguato al livello della minaccia; il registro certifica al Livello A la sproporzione tra la minaccia segnalata e la protezione accordata, quale fatto documentale ricostruito dalle inchieste, e mantiene al Livello C, in forza del divieto, ogni lettura intenzionale della sproporzione, annotando che essa appartiene alla serie delle inadeguatezze certificate che il piano secondo cumula e che la comparazione con la protezione dei pari grado della stagione rende misurabile.</w:t>
      </w:r>
    </w:p>
    <w:p>
      <w:pPr>
        <w:spacing w:after="120" w:line="276"/>
        <w:jc w:val="both"/>
      </w:pPr>
      <w:r>
        <w:rPr>
          <w:rFonts w:ascii="Barlow Semi Condensed" w:cs="Barlow Semi Condensed" w:eastAsia="Barlow Semi Condensed" w:hAnsi="Barlow Semi Condensed"/>
          <w:sz w:val="24"/>
          <w:szCs w:val="24"/>
        </w:rPr>
        <w:t xml:space="preserve">Il quinto pilastro è il primo vuoto documentale della vicenda, le borse del presidente. Moro viaggiava, la mattina del 16 marzo, con le borse di lavoro contenenti documenti, appunti e materiali, in numero di 5 secondo le ricostruzioni consolidate: nessuna di esse fu rinvenuta sul luogo dell'agguato né mai recuperata, e il loro contenuto non è mai stato accertato, salvo che per le indicazioni frammentarie di fonti interne all'organizzazione sul prelievo e sulla sorte dei materiali. Il registro certifica al Livello A la scomparsa delle borse quale fatto, primo anello della catena dei vuoti documentali che accompagnerà l'intera vicenda, e mantiene al Livello C ogni ricostruzione del loro contenuto e della loro destinazione; l'annotazione è che la vicenda documentale del caso si apre nel suo stesso primo minuto, con la sottrazione contestuale all'agguato dell'archivio portatile della vittima, e che il registro censirà i vuoti successivi quale serie unitaria nella chiusura di fase.</w:t>
      </w:r>
    </w:p>
    <w:p>
      <w:pPr>
        <w:spacing w:after="120" w:line="276"/>
        <w:jc w:val="both"/>
      </w:pPr>
      <w:r>
        <w:rPr>
          <w:rFonts w:ascii="Barlow Semi Condensed" w:cs="Barlow Semi Condensed" w:eastAsia="Barlow Semi Condensed" w:hAnsi="Barlow Semi Condensed"/>
          <w:sz w:val="24"/>
          <w:szCs w:val="24"/>
        </w:rPr>
        <w:t xml:space="preserve">Il sesto pilastro ricostruisce la preparazione dell'azione e i suoi segni premonitori, quali gli accertamenti li hanno consegnati. La pianificazione, per le risultanze processuali, durò mesi: i pedinamenti del percorso quotidiano di Moro, dall'abitazione di via del Forte Trionfale alla chiesa di Santa Chiara, dove il presidente si fermava ogni mattina, sino a Montecitorio, iniziarono nell'autunno del 1977 e fissarono la scelta del punto, l'incrocio tra via Fani e via Stresa, dove il corteo rallentava per lo stop; l'organizzazione acquisì le vetture, tra cui la Fiat 128 bianca con targa del corpo diplomatico contraffatta che avrebbe tagliato la strada, predispose le uniformi dell'Alitalia quale copertura del gruppo di fuoco in attesa, e collaudò la sincronizzazione dei 3 gruppi, il blocco, il fuoco, il recupero. Il registro certifica al Livello A questa ricostruzione, quale contenuto dei giudicati e delle ammissioni riscontrate, e vi aggiunge il segno premonitore materiale che gli atti documentano: nella notte tra il 15 e il 16 marzo, gli pneumatici del furgone del fioraio Antonio Spiriticchio, che stazionava ogni mattina all'angolo dell'incrocio, furono squarciati, sicché l'unico osservatore fisso del punto fu rimosso dalla scena poche ore prima dell'azione; il registro certifica al Livello A il fatto, emerso sin dalle prime indagini, e lo qualifica quale indice della qualità professionale della preparazione, un dettaglio di bonifica preventiva del campo che le perizie comparate hanno registrato tra gli elementi distintivi dell'operazione. Alla medesima serie appartiene il dato, già annotato, della sproporzione tra la minaccia segnalata e la protezione accordata: il registro vi aggiunge la specificazione documentale che le armi lunghe in dotazione alla scorta, 2 mitra, viaggiavano custodite nel bagagliaio dell'Alfetta di scorta, secondo la prassi dell'epoca, e furono perciò inutilizzabili nei 90 secondi dell'azione; la circostanza, certificata al Livello A dagli atti, misura la distanza tra la minaccia effettiva e l'assetto difensivo, e appartiene alla serie delle inadeguatezze strutturali che il piano secondo cumula.</w:t>
      </w:r>
    </w:p>
    <w:p>
      <w:pPr>
        <w:spacing w:after="120" w:line="276"/>
        <w:jc w:val="both"/>
      </w:pPr>
      <w:r>
        <w:rPr>
          <w:rFonts w:ascii="Barlow Semi Condensed" w:cs="Barlow Semi Condensed" w:eastAsia="Barlow Semi Condensed" w:hAnsi="Barlow Semi Condensed"/>
          <w:sz w:val="24"/>
          <w:szCs w:val="24"/>
        </w:rPr>
        <w:t xml:space="preserve">Il settimo pilastro censisce la scena, i testimoni e le code materiali dell'azione. La testimonianza più discussa è quella dell'ingegner Alessandro Marini, che sopraggiunse in motorino sul luogo nei secondi dell'azione e riferì della presenza di una motocicletta Honda di grossa cilindrata con 2 uomini a bordo, 1 dei quali avrebbe esploso colpi verso di lui, infrangendo il parabrezza del motorino: la motocicletta non è mai stata identificata, la sua funzione non è mai stata chiarita, e le versioni del testimone hanno conosciuto oscillazioni nel tempo, sino alle revisioni tarde; il registro certifica al Livello A l'esistenza e il contenuto originario della testimonianza, quale atto documentale coevo, mantiene al Livello C l'identificazione e la funzione del mezzo, e registra la questione della motocicletta quale la più longeva delle code aperte della scena, oggetto di accertamenti sino all'ultima Commissione. La seconda coda materiale è la sorte delle vetture della fuga: le auto utilizzate dal commando furono rinvenute in via Licinio Calvo, una traversa a breve distanza dal luogo dell'agguato, in 3 riprese successive scaglionate tra il 16 marzo e il 13 aprile, con i rinvenimenti tardivi avvenuti in una strada già battuta dalle ricerche; il registro certifica al Livello A la sequenza dei rinvenimenti, quale dato di verbale, e censisce al Livello C le sue letture, dalla spola dei sequestratori sotto il dispositivo di ricerca alla ricollocazione tardiva dei mezzi, annotando che la sequenza appartiene, quale che ne sia la spiegazione, alla serie delle anomalie certificate della fase. La terza coda è l'esercizio commerciale all'angolo, il bar dell'incrocio, chiuso quella mattina, la cui titolarità e le cui frequentazioni sono state oggetto degli approfondimenti dell'ultima Commissione, con acquisizioni sulle cointeressenze della gestione che il registro recepisce al Livello B quanto ai fatti documentali e al Livello C quanto a ogni lettura funzionale, entro la disciplina già dichiarata per la zona di convergenza.</w:t>
      </w:r>
    </w:p>
    <w:p>
      <w:pPr>
        <w:spacing w:after="120" w:line="276"/>
        <w:jc w:val="both"/>
      </w:pPr>
      <w:r>
        <w:rPr>
          <w:rFonts w:ascii="Barlow Semi Condensed" w:cs="Barlow Semi Condensed" w:eastAsia="Barlow Semi Condensed" w:hAnsi="Barlow Semi Condensed"/>
          <w:sz w:val="24"/>
          <w:szCs w:val="24"/>
        </w:rPr>
        <w:t xml:space="preserve">L'ottavo pilastro completa il censimento armiero con i dati di contesto che le tavole del registro consegnano. La mitraglietta FNAB-43, l'arma cui le perizie attribuiscono 49 dei 93 colpi, è un'arma automatica italiana prodotta in serie limitata negli anni 1943-1944, circolante nei decenni successivi nei soli canali clandestini dei residuati e dei traffici: la sua presenza in via Fani, accanto ad altre armi automatiche di provenienza eterogenea, parte delle quali si inceppò durante l'azione, è certificata al Livello A dalle perizie, e la composizione dell'arsenale, armi datate, di provenienza irregolare, con difettosità manifestatesi nell'uso, è stata valorizzata nei giudizi quale indice della natura artigianale della logistica dell'organizzazione, in contrasto con la professionalità della pianificazione: il registro certifica al Livello A questa duplicità documentata, l'eccellenza tattica e la precarietà logistica, e la consegna quale dato alla competizione tra le ipotesi, annotando che essa è stata invocata da entrambe le letture, quale prova di autosufficienza dall'una e quale firma di un apporto esterno selettivo dall'altra, e che il dato, in sé, non discrimina. Le perizie disposte dall'ultima Commissione, con le tecniche di analisi contemporanee, hanno rimodulato la ricostruzione delle posizioni di tiro e della distribuzione dei colpi senza modificare le attribuzioni giudicate: il registro certifica al Livello A l'esito confermativo, quale dato peritale, e chiude il pilastro con la regola già enunciata, per cui la traccia balistica discrimina soltanto entro le ipotesi che è tecnicamente idonea a distinguere.</w:t>
      </w:r>
    </w:p>
    <w:p>
      <w:pPr>
        <w:spacing w:after="120" w:line="276"/>
        <w:jc w:val="both"/>
      </w:pPr>
      <w:r>
        <w:rPr>
          <w:rFonts w:ascii="Barlow Semi Condensed" w:cs="Barlow Semi Condensed" w:eastAsia="Barlow Semi Condensed" w:hAnsi="Barlow Semi Condensed"/>
          <w:sz w:val="24"/>
          <w:szCs w:val="24"/>
        </w:rPr>
        <w:t xml:space="preserve">Il nono pilastro restituisce i profili degli uomini della scorta, quale atto dovuto che la disciplina delle vittime impone e quale dato analitico sulla struttura della protezione. Il maresciallo Oreste Leonardi, capo della scorta, era al fianco di Moro da oltre 15 anni: non un assegnato di turno ma l'uomo di fiducia della famiglia, il custode delle abitudini e degli itinerari, la memoria vivente del dispositivo; l'appuntato Domenico Ricci, alla guida della berlina presidenziale, era l'autista personale di Moro da quasi 2 decenni, selezionato per perizia di guida e riservatezza; il vicebrigadiere di pubblica sicurezza Francesco Zizzi, capo equipaggio dell'auto di scorta, era al primo giorno di servizio in quella specifica assegnazione, la circostanza più citata della composizione di quella mattina; gli agenti Giulio Rivera, alla guida dell'Alfetta, e Raffaele Iozzino completavano l'equipaggio, e Iozzino fu, per le risultanze, l'unico che riuscì a scendere dal veicolo e a esplodere colpi con l'arma d'ordinanza prima di essere abbattuto. Il registro certifica al Livello A i profili e le circostanze, quali dati degli atti, e ne trae 2 annotazioni analitiche: la prima è che l'eliminazione di Leonardi e Ricci comportò la distruzione, nel primo minuto, della memoria operativa del dispositivo di protezione, gli unici 2 uomini che conoscevano integralmente consuetudini, percorsi e relazioni del protetto, una perdita informativa che gravò sulle indagini immediate; la seconda è che la composizione mista dell'equipaggio, carabinieri storici e agenti di pubblica sicurezza di recente o recentissima assegnazione, riflette l'assenza di una dottrina unitaria della protezione personale nell'Italia del 1978, un dato di sistema che la legislazione successiva avrebbe corretto e che il registro certifica quale contesto, non quale addebito.</w:t>
      </w:r>
    </w:p>
    <w:p>
      <w:pPr>
        <w:spacing w:after="120" w:line="276"/>
        <w:jc w:val="both"/>
      </w:pPr>
      <w:r>
        <w:rPr>
          <w:rFonts w:ascii="Barlow Semi Condensed" w:cs="Barlow Semi Condensed" w:eastAsia="Barlow Semi Condensed" w:hAnsi="Barlow Semi Condensed"/>
          <w:sz w:val="24"/>
          <w:szCs w:val="24"/>
        </w:rPr>
        <w:t xml:space="preserve">Il decimo pilastro registra la giornata del 16 marzo nel Paese, il contesto immediato della reazione. Nelle ore successive all'agguato, mentre scattava il dispositivo di ricerca, le confederazioni sindacali proclamarono lo sciopero generale e le piazze delle città maggiori si riempirono di manifestazioni unitarie; il Parlamento, convocato per il dibattito sulla fiducia al nuovo governo, votò la fiducia in giornata, con una accelerazione procedurale senza precedenti e con il discorso volutamente asciutto del presidente del Consiglio Andreotti, che chiese e ottenne il voto quale risposta istituzionale all'attacco; la maggioranza della non sfiducia divenne, nel fuoco dell'emergenza, maggioranza politica effettiva, e il governo che Moro aveva costruito nacque, per paradosso certificato dalla cronologia, nel giorno e per effetto del suo sequestro. Il registro certifica al Livello A la sequenza della giornata, quale materia documentale, e ne dichiara il rilievo per la competizione tra le ipotesi: l'effetto politico immediato dell'azione fu il consolidamento, non la rottura, della formula della solidarietà nazionale, un esito che la letteratura ha valorizzato in direzioni opposte, quale prova del fallimento politico dell'organizzazione ovvero quale primo tempo di una strategia di logoramento che avrebbe prodotto i suoi effetti disgregativi nei mesi successivi; il registro certifica l'effetto e data la sua inversione, giacché la formula di governo nata il 16 marzo 1978 si esaurì entro il gennaio 1979, quando il Partito comunista uscì dalla maggioranza, e la stagione della solidarietà nazionale si chiuse per sempre a 8 mesi dal ritrovamento di via Caetani: la sequenza sequestro-consolidamento-dissoluzione è il dato temporale certificato che ogni lettura del piano terzo deve spiegare.</w:t>
      </w:r>
    </w:p>
    <w:p>
      <w:pPr>
        <w:spacing w:after="120" w:line="276"/>
        <w:jc w:val="both"/>
      </w:pPr>
      <w:r>
        <w:rPr>
          <w:rFonts w:ascii="Barlow Semi Condensed" w:cs="Barlow Semi Condensed" w:eastAsia="Barlow Semi Condensed" w:hAnsi="Barlow Semi Condensed"/>
          <w:sz w:val="24"/>
          <w:szCs w:val="24"/>
        </w:rPr>
        <w:t xml:space="preserve">L'undicesimo pilastro censisce gli atti immediati dell'inchiesta e il dato del percorso. La direzione delle indagini fu assunta dalla procura di Roma con il coordinamento investigativo dei reparti territoriali e, dalla sera stessa, con l'attivazione dei comitati che il capitolo della gestione censisce; i rilievi sulla scena, condotti nelle condizioni di affollamento e concitazione che gli atti documentano, con la presenza simultanea di autorità, operatori e stampa sul perimetro non ancora integralmente delimitato, consegnarono il quadro dei bossoli, dei veicoli e delle tracce su cui le perizie di ogni stagione successiva hanno lavorato; il registro certifica al Livello A le condizioni documentate dei primi rilievi, quale dato degli atti e delle immagini coeve, e le registra tra i fattori che hanno reso necessarie le reiterate perizie integrative dei decenni seguenti. Al medesimo pilastro appartiene il dato strutturale della prevedibilità: gli accertamenti hanno documentato che il percorso mattutino del presidente non veniva variato, che la sosta quotidiana nella chiesa di Santa Chiara era abitudine nota e che la sequenza degli itinerari era, per un osservatore sistematico, integralmente ricostruibile; il registro certifica al Livello A la fissità documentata del percorso, la condizione che rese possibile la pianificazione censita nel sesto pilastro, e la registra, accanto alla mancata blindatura e alla custodia delle armi lunghe nel bagagliaio, quale terzo elemento della serie delle vulnerabilità strutturali certificate, la cui composizione descrive un obiettivo di massimo valore protetto secondo procedure ordinarie: il differenziale tra il valore e la protezione è il dato che il registro consegna, quale fatto, a ogni piano della decomposizione.</w:t>
      </w:r>
    </w:p>
    <w:p>
      <w:pPr>
        <w:spacing w:after="120" w:line="276"/>
        <w:jc w:val="both"/>
      </w:pPr>
      <w:r>
        <w:rPr>
          <w:rFonts w:ascii="Barlow Semi Condensed" w:cs="Barlow Semi Condensed" w:eastAsia="Barlow Semi Condensed" w:hAnsi="Barlow Semi Condensed"/>
          <w:sz w:val="24"/>
          <w:szCs w:val="24"/>
        </w:rPr>
        <w:t xml:space="preserve">Il dodicesimo pilastro censisce la composizione giudicata del nucleo operativo e le sue code aperte. I giudicati hanno fissato in 9 i componenti accertati dell'azione di via Fani, distribuiti tra il blocco stradale, il gruppo di fuoco lungo la siepe, la copertura ai margini dell'incrocio e il recupero del prigioniero, con Moretti alla guida della vettura che tagliò la strada al corteo; la composizione emerse per stratificazioni successive, dalle prime identificazioni sino alle versioni interne del 1990, e 2 posizioni presentano la peculiarità che il registro trascrive: Alessio Casimirri, condannato in via definitiva per la partecipazione all'azione, riparò in Nicaragua, dove ha vissuto da allora senza che alcuna richiesta di estradizione sia mai giunta a esecuzione, e Alvaro Lojacono, parimenti condannato, si sottrasse all'esecuzione della pena avvalendosi della cittadinanza svizzera e dell'ordinamento elvetico; il registro certifica al Livello A le condanne, le latitanze e la loro perpetuità, quali dati processuali e di fatto, e ne dichiara il rilievo: i 2 uomini di via Fani mai raggiunti dall'esecuzione penale sono, per la letteratura del piano terzo, i 2 testimoni potenziali mai escussi in condizioni di libertà negoziale, e la geografia delle loro protezioni, l'America centrale sandinista per l'uno e la neutralità elvetica per l'altro, è un dato censito del Pattern 10 che la fase consegna, con gli altri fili internazionali, alla ricognizione conclusiva.</w:t>
      </w:r>
    </w:p>
    <w:p>
      <w:pPr>
        <w:spacing w:after="120" w:line="276"/>
        <w:jc w:val="both"/>
      </w:pPr>
      <w:r>
        <w:rPr>
          <w:rFonts w:ascii="Barlow Semi Condensed" w:cs="Barlow Semi Condensed" w:eastAsia="Barlow Semi Condensed" w:hAnsi="Barlow Semi Condensed"/>
          <w:sz w:val="24"/>
          <w:szCs w:val="24"/>
        </w:rPr>
        <w:t xml:space="preserve">Il tredicesimo pilastro registra il dato delle munizioni, il reperto tecnico minore che le perizie consegnano. Le analisi sui bossoli di via Fani accertarono che parte delle cartucce impiegate era stata ricaricata artigianalmente, con la sostituzione manuale di componenti su bossoli già esplosi, una pratica di economia di guerra tipica degli arsenali clandestini e incompatibile con un approvvigionamento di canale statale o industriale; il registro certifica al Livello A il dato peritale e ne dichiara la funzione nella competizione tra le ipotesi: la ricarica artigianale appartiene alla medesima serie della precarietà logistica censita nell'ottavo pilastro, le armi datate e gli inceppamenti, e costituisce uno degli elementi tecnici che la lettura dell'autosufficienza dell'organizzazione valorizza con maggiore fondamento, giacché un concorso esterno qualificato avrebbe reso superflua, per definizione, l'economia del bossolo ricaricato; il registro annota che il dato, come ogni elemento tecnico della scena, non chiude la questione ma la vincola, escludendo le varianti dell'ipotesi di concorso che postulano una fornitura esterna integrale e lasciando in piedi le sole varianti selettive, e che questa capacità di potatura delle ipotesi, propria dei reperti materiali, è la ragione del rilievo che il metodo dell'opera assegna alla balistica quale disciplina ausiliaria della storia.</w:t>
      </w:r>
    </w:p>
    <w:p>
      <w:pPr>
        <w:spacing w:after="120" w:line="276"/>
        <w:jc w:val="both"/>
      </w:pPr>
      <w:r>
        <w:rPr>
          <w:rFonts w:ascii="Barlow Semi Condensed" w:cs="Barlow Semi Condensed" w:eastAsia="Barlow Semi Condensed" w:hAnsi="Barlow Semi Condensed"/>
          <w:sz w:val="24"/>
          <w:szCs w:val="24"/>
        </w:rPr>
        <w:t xml:space="preserve">Il quattordicesimo pilastro censisce i veicoli del corteo e la questione della blindatura, il dato materiale della protezione. Il corteo del 16 marzo era composto dalla berlina Fiat 130 blu, con Moro sul sedile posteriore, Ricci alla guida e Leonardi al suo fianco, e dall'Alfetta bianca di scorta con Zizzi, Rivera e Iozzino: 2 vetture di serie, prive di qualsiasi protezione balistica, i cui cristalli e le cui lamiere non opposero resistenza alcuna al fuoco del commando, secondo quanto le perizie documentarono; e gli atti delle Commissioni hanno accertato che la questione della vettura blindata era stata posta prima dei fatti, con le segnalazioni del maresciallo Leonardi sull'accresciuto rischio e sulle esigenze del dispositivo, senza che l'assegnazione fosse mai disposta, nel quadro di una dotazione nazionale di veicoli protetti allora esigua e riservata a un novero ristretto di cariche. Il registro certifica al Livello A la composizione del corteo, l'assenza di protezione balistica e l'esistenza delle segnalazioni inevase, quali dati documentali, e compone il pilastro con la serie già certificata: la mancata blindatura si aggiunge alla custodia delle armi lunghe nel bagagliaio e alla fissità del percorso quale terzo termine della configurazione di vulnerabilità che il registro ha fissato, e il quadro complessivo, un obiettivo la cui esposizione era stata segnalata dal suo stesso dispositivo di protezione e la cui protezione non fu adeguata, è certificato quale fatto amministrativo documentato; il registro annota che la spiegazione ordinaria, la scarsità delle risorse e l'ordinarietà delle procedure di un'epoca che non aveva ancora conosciuto l'attacco a un presidente di partito, è documentata e sufficiente, che la lettura del piano terzo vi ha storicamente innestato l'ipotesi della predisposizione, priva di ogni elemento, e che la distanza tra le 2 letture del medesimo fatto amministrativo è, ancora una volta, l'esatta materia su cui il metodo dell'opera esercita la propria disciplina.</w:t>
      </w:r>
    </w:p>
    <w:p>
      <w:pPr>
        <w:spacing w:after="120" w:line="276"/>
        <w:jc w:val="both"/>
      </w:pPr>
      <w:r>
        <w:rPr>
          <w:rFonts w:ascii="Barlow Semi Condensed" w:cs="Barlow Semi Condensed" w:eastAsia="Barlow Semi Condensed" w:hAnsi="Barlow Semi Condensed"/>
          <w:sz w:val="24"/>
          <w:szCs w:val="24"/>
        </w:rPr>
        <w:t xml:space="preserve">Il quindicesimo pilastro censisce le perizie dell'ultima stagione sulla scena di via Fani. La Commissione della XVII legislatura dispose accertamenti tecnici integrativi sull'agguato, con la rilettura dei rilievi originari mediante gli strumenti contemporanei, la ricostruzione tridimensionale della scena, la revisione della distribuzione dei colpi tra le armi e dei punti di sparo, e l'esame dei reperti superstiti; gli esiti, documentati negli atti, confermarono l'impianto giudicato della dinamica, il blocco, il fuoco concentrato sui 2 veicoli, il prelevamento, precisando la distribuzione dei colpi tra le armi del commando rispetto alle sintesi delle prime perizie e sciogliendo alcune delle questioni tecniche che la letteratura aveva accumulato, senza introdurre elementi incompatibili con la ricostruzione processuale; il registro certifica al Livello A l'esistenza, gli strumenti e l'esito confermativo degli accertamenti, quali dati degli atti parlamentari, e ne trae la formalizzazione che vale per l'intera fase: la scena di via Fani, come quella di via Caetani, è stata sottoposta a revisione tecnica integrale a distanza di quasi 4 decenni con tecnologie non disponibili all'epoca, e la revisione ha restituito il nucleo giudicato, un esito che il registro trascrive quale certificazione di stabilità del piano primo, la più solida che il metodo conosca, giacché una ricostruzione che sopravvive al progresso degli strumenti ha superato la prova più severa cui una ricostruzione possa essere sottoposta; le code tecniche residue, censite nei pilastri della scena, restano censite, e il registro ribadisce per esse la regola già fissata, che la loro eventuale soluzione dovrà venire da fonti nuove e non da nuove letture del già noto.</w:t>
      </w:r>
    </w:p>
    <w:p>
      <w:pPr>
        <w:spacing w:after="120" w:line="276"/>
        <w:jc w:val="both"/>
      </w:pPr>
      <w:r>
        <w:rPr>
          <w:rFonts w:ascii="Barlow Semi Condensed" w:cs="Barlow Semi Condensed" w:eastAsia="Barlow Semi Condensed" w:hAnsi="Barlow Semi Condensed"/>
          <w:sz w:val="24"/>
          <w:szCs w:val="24"/>
        </w:rPr>
        <w:t xml:space="preserve">Il sedicesimo pilastro censisce la geografia dell'agguato, l'applicazione del Pattern 10 alla scena iniziale. L'incrocio tra via Mario Fani e via Stresa, nel quartiere residenziale della Camilluccia, apparteneva al tratto obbligato del percorso mattutino, a poche centinaia di metri dall'abitazione di via del Forte Trionfale e in prossimità della chiesa di Santa Chiara, la sosta quotidiana censita; la scelta del punto rispose, per le ricostruzioni giudicate, a criteri tecnici precisi: la discesa che rallentava i veicoli in avvicinamento all'incrocio, lo stop che imponeva l'arresto, la conformazione della strada che consentiva il posizionamento del gruppo di fuoco lungo la siepe del bar d'angolo e il blocco frontale con la vettura di traverso, e la molteplicità delle vie di deflusso verso la rete stradale collinare; il registro certifica al Livello A la topografia e i criteri della scelta, quali risultanze processuali, e ne trae le annotazioni del pattern. La prima è tattica: l'agguato fu costruito sul punto in cui la geografia stessa lavorava per l'attaccante, la pendenza, lo stop, la siepe, e la qualità della lettura del terreno documentata dalla scelta appartiene al quadro delle competenze militari dell'organizzazione che il dibattito sul concorso ha variamente pesato. La seconda è strutturale: l'intera vicenda romana del caso si svolse entro un perimetro urbano sorprendentemente compatto, l'agguato alla Camilluccia, le basi di via Gradoli e di via Montalcini sui quadranti nord e sud, l'epilogo nel centro storico, e la mappa complessiva, che il registro consegna al Pattern 10 dell'opera, documenta un'organizzazione capace di operare per 55 giorni dentro la capitale presidiata, spostando il prigioniero una sola volta, la mattina del prelevamento, e vivendo per il resto della crisi nella immobilità totale che la compartimentazione consentiva: la geografia del caso Moro è la geografia di un assedio rovesciato, nel quale l'assediato invisibile stava al centro e l'assediante impotente occupava tutto il resto della città.</w:t>
      </w:r>
    </w:p>
    <w:p>
      <w:pPr>
        <w:spacing w:after="120" w:line="276"/>
        <w:jc w:val="both"/>
      </w:pPr>
      <w:r>
        <w:rPr>
          <w:rFonts w:ascii="Barlow Semi Condensed" w:cs="Barlow Semi Condensed" w:eastAsia="Barlow Semi Condensed" w:hAnsi="Barlow Semi Condensed"/>
          <w:sz w:val="24"/>
          <w:szCs w:val="24"/>
        </w:rPr>
        <w:t xml:space="preserve">Le triangolazioni del nodo sono 3. La prima, via Fani-commando-direzione strategica, è il triangolo del piano primo, certificato al Livello A dai giudicati. La seconda, via Fani-presenze ulteriori-colonnello Guglielmi, è il triangolo del piano secondo, certificato al Livello A quanto alla presenza e fermo al Livello C quanto al significato. La terza, via Fani-eccezionalità tecnica-ipotesi di concorso, è il triangolo del piano terzo, integralmente di Livello C. Sul piano dei pattern, il nodo attiva il Pattern 10 nella scala minima: l'incrocio di via Fani con via Stresa, la chiesa, il bar all'angolo divenuto oggetto di approfondimenti parlamentari per la ricostruzione delle frequentazioni della zona, compongono la zona di convergenza spaziale più analizzata della storia giudiziaria italiana, sulla quale il registro mantiene la distinzione tra le frequentazioni documentate e i significati congetturati.</w:t>
      </w:r>
    </w:p>
    <w:p>
      <w:pPr>
        <w:spacing w:after="120" w:line="276"/>
        <w:jc w:val="both"/>
      </w:pPr>
      <w:r>
        <w:rPr>
          <w:rFonts w:ascii="Barlow Semi Condensed" w:cs="Barlow Semi Condensed" w:eastAsia="Barlow Semi Condensed" w:hAnsi="Barlow Semi Condensed"/>
          <w:sz w:val="24"/>
          <w:szCs w:val="24"/>
        </w:rPr>
        <w:t xml:space="preserve">Alla dinamica certificata il registro aggiunge la sua misura temporale, che le perizie e le testimonianze consegnano con approssimazione minima: l'azione si aprì alle 9:02 del mattino e si consumò in un arco stimato attorno ai 3 minuti, dal blocco della colonna all'allontanamento dei veicoli del commando con il prigioniero, Livello A quanto alla collocazione oraria ed alla durata stimata negli atti. Il dato temporale non è ornamento cronachistico ma reperto tecnico di prima grandezza: 3 minuti per neutralizzare 5 uomini armati, prelevare illeso l'obiettivo e disimpegnarsi nel traffico mattutino di un quartiere residenziale misurano un livello di pianificazione, sincronizzazione ed addestramento che le sentenze avrebbero assunto quale indice della lunga preparazione dell'agguato, con i sopralluoghi, le esercitazioni ed il pedinamento sistematico del percorso che l'istruttoria documentò, Livello A nei limiti dei giudicati. Il registro consegna la misura alla sua funzione comparativa: nella serie storica delle azioni brigatiste, via Fani rappresenta il massimo assoluto di complessità esecutiva riuscita, un salto di qualità che i processi attribuirono alla concentrazione in un solo punto delle migliori risorse operative dell'organizzazione, e che il piano terzo del capitolo 10 registrerà quale uno dei fatti-base attorno ai quali le ipotesi di concorso ulteriore si sono addensate, senza mai convertire, per il registro, l'eccellenza esecutiva in prova di mano esterna: l'abilità non è un indizio, è una constatazione.</w:t>
      </w:r>
    </w:p>
    <w:p>
      <w:pPr>
        <w:spacing w:after="120" w:line="276"/>
        <w:jc w:val="both"/>
      </w:pPr>
      <w:r>
        <w:rPr>
          <w:rFonts w:ascii="Barlow Semi Condensed" w:cs="Barlow Semi Condensed" w:eastAsia="Barlow Semi Condensed" w:hAnsi="Barlow Semi Condensed"/>
          <w:sz w:val="24"/>
          <w:szCs w:val="24"/>
        </w:rPr>
        <w:t xml:space="preserve">Ai 5 nomi trascritti il registro deve infine la persistenza: il luogo dell'eccidio è divenuto, nei decenni, uno spazio memoriale presidiato, con il cippo che reca i nomi di Oreste Leonardi, Domenico Ricci, Francesco Zizzi, Giulio Rivera e Raffaele Iozzino e la commemorazione che ogni 16 marzo vi si rinnova alla presenza delle istituzioni, mentre le famiglie dei caduti hanno mantenuto, attraverso le associazioni della memoria delle vittime del terrorismo, una presenza costante nei processi e nelle sedi parlamentari, costituendosi custodi di un punto che il registro fa proprio: la vicenda giudiziaria e storiografica del caso, con le sue vertigini interpretative, non può retrocedere i 5 uomini della scorta a comparse del dramma altrui, Livello A quanto alla persistenza memoriale documentata. Nella grammatica del registro essi sono vittime primarie alla pari, ed ogni economia narrativa che li comprima è una distorsione del reperto: via Fani fu, prima che l'inizio di un sequestro, il massacro di 5 servitori dello Stato, e l'ordine delle parole, insegna il metodo, è già un giudizio.</w:t>
      </w:r>
    </w:p>
    <w:p>
      <w:pPr>
        <w:spacing w:after="120" w:line="276"/>
        <w:jc w:val="both"/>
      </w:pPr>
      <w:r>
        <w:rPr>
          <w:rFonts w:ascii="Barlow Semi Condensed" w:cs="Barlow Semi Condensed" w:eastAsia="Barlow Semi Condensed" w:hAnsi="Barlow Semi Condensed"/>
          <w:sz w:val="24"/>
          <w:szCs w:val="24"/>
        </w:rPr>
        <w:t xml:space="preserve">Alla dinamica appartiene una posizione testimoniale che il registro censisce con la disciplina delle fonti oscillanti: quella dell'ingegnere che, a bordo del proprio motorino, sopraggiunse sulla scena nei secondi dell'azione e riferì della presenza di una motocicletta Honda con 2 uomini a bordo, dal cui passeggero sarebbero partiti colpi che attinsero il parabrezza del suo mezzo. La materialità del danneggiamento fu riscontrata, la presenza della moto trovò conferme parziali in altre testimonianze, ma la collocazione del mezzo dentro o fuori il perimetro del commando giudicato non fu mai risolta: i dissociati la negarono, i giudicati non la incorporarono, le dichiarazioni del teste conobbero nel tempo oscillazioni che le sedi d'inchiesta hanno verbalizzato, e la Commissione della XVII legislatura vi è tornata con nuovi accertamenti senza approdare a certificazione, Livello A quanto al danneggiamento riscontrato ed alle testimonianze quali fatti processuali, Livello C quanto ad ogni collocazione della moto nell'organigramma dell'azione. Il registro assume l'episodio quale esemplare della categoria che governa l'intero piano secondo: il fatto certificato senza spiegazione certificata, il reperto che non entra nel quadro giudicato e non ne esce, e che la disciplina impone di custodire in questo stato di sospensione dichiarata, senza la promozione a prova della presenza estranea che una parte della pubblicistica ne ha tratto e senza la degradazione a abbaglio che la lettura opposta preferirebbe: la moto Honda resta agli atti come vi restò il parabrezza, colpita e irrisolta.</w:t>
      </w:r>
    </w:p>
    <w:p>
      <w:pPr>
        <w:spacing w:after="120" w:line="276"/>
        <w:jc w:val="both"/>
      </w:pPr>
      <w:r>
        <w:rPr>
          <w:rFonts w:ascii="Barlow Semi Condensed" w:cs="Barlow Semi Condensed" w:eastAsia="Barlow Semi Condensed" w:hAnsi="Barlow Semi Condensed"/>
          <w:sz w:val="24"/>
          <w:szCs w:val="24"/>
        </w:rPr>
        <w:t xml:space="preserve">Alla contabilità della scena appartiene infine il reperto delle borse, che il registro fissa nella sua doppia componente: il presidente recava con sé, quella mattina, secondo le ricostruzioni convergenti dei collaboratori, 5 borse contenenti carte di lavoro, documenti riservati ed effetti personali, ed all'esito dell'agguato soltanto una parte di esse risultò rinvenuta sulle vetture, mentre le restanti, asportate dal commando con il prigioniero, non furono mai ritrovate né risultano tra i materiali dei covi successivamente scoperti, Livello A quanto alla presenza riferita ed al mancato ritrovamento, Livello B quanto all'esatto contenuto di ciascuna, noto solo per testimonianza. Il reperto inaugura la serie che attraversa l'intero caso e che il registro ha già incontrato sul memoriale: la catena delle carte mancanti, che da via Fani a via Monte Nevoso disegna una costante documentale senza eguali nella storia giudiziaria della Repubblica, il caso in cui ad ogni snodo la componente cartacea risulta sistematicamente più incompleta della componente umana. Gli uomini furono giudicati, le carte no: e questa asimmetria, che il piano secondo censisce quale suo filo conduttore, comincia esattamente qui, tra le lamiere di via Fani, con le borse che salirono su un'auto del commando ed uscirono, per sempre, dal perimetro dell'accertabile.</w:t>
      </w:r>
    </w:p>
    <w:p>
      <w:pPr>
        <w:spacing w:after="120" w:line="276"/>
        <w:jc w:val="both"/>
      </w:pPr>
      <w:r>
        <w:rPr>
          <w:rFonts w:ascii="Barlow Semi Condensed" w:cs="Barlow Semi Condensed" w:eastAsia="Barlow Semi Condensed" w:hAnsi="Barlow Semi Condensed"/>
          <w:sz w:val="24"/>
          <w:szCs w:val="24"/>
        </w:rPr>
        <w:t xml:space="preserve">Alla fisica dei primi minuti appartiene infine l'assenza che il registro censisce quale dato operativo autonomo: nessun mezzo aereo si levò sulla città nella prima ora, e la fuga del commando attraverso il reticolo urbano si svolse senza alcuna osservazione dall'alto, con i varchi di deflusso mai battuti in tempo utile, Livello A quanto al quadro operativo risultante dagli atti delle inchieste amministrative e parlamentari. Il registro consegna l'assenza alla sua misura: nel 1978 la capitale della Repubblica non disponeva di un protocollo di reazione immediata che integrasse la terza dimensione, e la circostanza che il più imponente apparato di sicurezza dell'Europa meridionale inseguisse al suolo, per radio e posti di blocco, un commando che si dissolse in 15 minuti, appartiene alla stessa contabilità del ritardo strutturale che il capitolo ha censito nella scorta disarmata rispetto alla minaccia: lo Stato del marzo 1978 era dimensionato sulla criminalità del decennio precedente, e l'agguato di via Fani fu anche, sul piano tecnico, l'incontro tra una guerriglia di terza generazione ed un ordine pubblico di seconda.</w:t>
      </w:r>
    </w:p>
    <w:p>
      <w:pPr>
        <w:spacing w:after="120" w:line="276"/>
        <w:jc w:val="both"/>
      </w:pPr>
      <w:r>
        <w:rPr>
          <w:rFonts w:ascii="Barlow Semi Condensed" w:cs="Barlow Semi Condensed" w:eastAsia="Barlow Semi Condensed" w:hAnsi="Barlow Semi Condensed"/>
          <w:sz w:val="24"/>
          <w:szCs w:val="24"/>
        </w:rPr>
        <w:t xml:space="preserve">Il fascicolo testimoniale dell'incrocio contiene infine il suo caso di scuola minore, che il registro censisce per il valore di metodo: sull'esercizio commerciale d'angolo affacciato sulla scena, il bar della via, gli atti registrano versioni divergenti e mai composte circa la sua stessa operatività in quella mattina, con dichiarazioni contrastanti sull'apertura, sulla presenza di avventori e su ciò che dall'interno si sarebbe potuto vedere, divergenza che le sedi d'inchiesta hanno documentato senza poterla sciogliere, Livello A quanto all'esistenza del contrasto testimoniale agli atti, Livello C quanto ad ogni ricostruzione che dal contrasto pretenda di inferire presenze, osservatori o funzioni della scena. Il registro consegna il micro-caso alla sua funzione epistemologica: a differenza dei reperti balistici e documentali che il capitolo ha censito, qui l'oggetto del contendere non è un fatto ma la cornice di un fatto, se un punto di osservazione fosse attivo, e l'incapacità quarantennale di stabilire una circostanza tanto elementare in una via di città alle 9 di mattina è la dimostrazione più economica che il corpus possieda di una legge che governa l'intera opera: la memoria testimoniale non è un archivio che si consulta ma un terreno che frana, e ogni ricostruzione che poggi su di essa sola, senza l'ancoraggio dei reperti, costruisce sull'orlo della frana, ragione per cui il metodo ha riservato alle testimonianze non riscontrate, per quanto suggestive, il livello più basso della propria scala e l'ultima parola a nessuna di esse.</w:t>
      </w:r>
    </w:p>
    <w:p>
      <w:pPr>
        <w:spacing w:after="120" w:line="276"/>
        <w:jc w:val="both"/>
      </w:pPr>
      <w:r>
        <w:rPr>
          <w:rFonts w:ascii="Barlow Semi Condensed" w:cs="Barlow Semi Condensed" w:eastAsia="Barlow Semi Condensed" w:hAnsi="Barlow Semi Condensed"/>
          <w:sz w:val="24"/>
          <w:szCs w:val="24"/>
        </w:rPr>
        <w:t xml:space="preserve">La preparazione della scorta esige il suo censimento negativo, che il registro riporta dagli accertamenti parlamentari: nessuno dei 5 uomini aveva ricevuto addestramento specifico di guida evasiva o di reazione ad imboscata, secondo gli standard che le unità di protezione estere andavano adottando dopo la stagione tedesca, né il servizio di protezione italiano dell'epoca prevedeva cicli addestrativi dedicati per le scorte dei politici, Livello A quanto al quadro formativo risultante dalle inchieste. Il registro salda il dato alla serie che il capitolo ha costruito: la blindata negata, l'assenza di copertura aerea, la scorta priva di addestramento anti-imboscata compongono il ritratto coerente di un sistema di protezione concepito contro la minaccia del decennio precedente, l'attentato individuale e il rapimento criminale, e mai aggiornato alla guerriglia urbana che il 1977 europeo aveva già dimostrato, sicché il giudizio tecnico complessivo che gli atti autorizzano non riguarda gli uomini, che fecero ciò che potevano nei 15 secondi che ebbero, ma l'istituzione che li mandò, per anni, a proteggere il bersaglio più politico d'Italia con la dottrina di un servizio d'onore, e la distanza tra i 90 colpi del commando ed i 2 colpi esplosi dalla scorta è la misura balistica di quel ritardo dottrinale, non del valore dei caduti.</w:t>
      </w:r>
    </w:p>
    <w:p>
      <w:pPr>
        <w:spacing w:after="120" w:line="276"/>
        <w:jc w:val="both"/>
      </w:pPr>
      <w:r>
        <w:rPr>
          <w:rFonts w:ascii="Barlow Semi Condensed" w:cs="Barlow Semi Condensed" w:eastAsia="Barlow Semi Condensed" w:hAnsi="Barlow Semi Condensed"/>
          <w:sz w:val="24"/>
          <w:szCs w:val="24"/>
        </w:rPr>
        <w:t xml:space="preserve">La scena di via Fani possiede infine la propria storia peritale, che il registro censisce quale meta-reperto: la ricostruzione tecnica dell'agguato è stata rifatta almeno 4 volte in 40 anni, dai rilievi e sopralluoghi del 1978, condotti con gli standard dell'epoca e gravati dalle contaminazioni della scena che gli atti documentano, alle perizie balistiche dei processi, sino alle ricostruzioni strumentali della seconda commissione, con rilievi laser e simulazioni tridimensionali del 2015-2016, che hanno rimisurato traiettorie e posizioni a distanza di 2 generazioni dai fatti, Livello A quanto alla sequenza delle campagne peritali ed ai loro esiti agli atti. Il registro consegna la stratigrafia alla sua lezione di metodo: ogni generazione tecnica ha interrogato la stessa scena con strumenti migliori ottenendo risposte più precise a domande sempre più vecchie, ed il guadagno reale, che il corpus registra senza enfasi, è consistito nel restringimento progressivo dei margini delle ipotesi, non nel loro capovolgimento, sicché via Fani è divenuta il laboratorio italiano della verità balistica postuma, il luogo dove si è dimostrato che la tecnica può raffinare per sempre la conoscenza di un evento senza mai, da sola, mutarne il significato, perché le traiettorie dicono da dove si sparò, e solo gli uomini, che le perizie non raggiungono, avrebbero potuto dire perché.</w:t>
      </w:r>
    </w:p>
    <w:p>
      <w:pPr>
        <w:spacing w:after="120" w:line="276"/>
        <w:jc w:val="both"/>
      </w:pPr>
      <w:r>
        <w:rPr>
          <w:rFonts w:ascii="Barlow Semi Condensed" w:cs="Barlow Semi Condensed" w:eastAsia="Barlow Semi Condensed" w:hAnsi="Barlow Semi Condensed"/>
          <w:sz w:val="24"/>
          <w:szCs w:val="24"/>
        </w:rPr>
        <w:t xml:space="preserve">Il capitolo dell'agguato registra infine il proprio riscontro parlamentare maggiore, che l'edizione definitiva recepisce dalla triangolazione compiuta: l'elaborato sul sequestro e sull'omicidio redatto per la Commissione stragi dal senatore Athos De Luca e datato 29 settembre 2000, con la sua cronologia essenziale e la sua ricostruzione documentale della dinamica, della protezione e delle prime ore, costituisce la fonte parlamentare di sintesi contro la quale gli enunciati di questo capitolo sono stati verificati voce per voce, senza che emergesse una sola divergenza fattuale, Livello A quale atto parlamentare e quale esito del riscontro. Il registro consegna il recepimento alla sua funzione di metodo: la convergenza tra la ricostruzione dell'opera, condotta sui giudicati, e l'elaborato del 2000, condotto sugli atti d'inchiesta, realizza la triangolazione tra fonti eterogenee indipendenti che lo standard probatorio esige, e la circostanza che 2 percorsi documentali distinti, a distanza di un quarto di secolo l'uno dall'altro, restituiscano la medesima scena senza attriti è la forma più solida di stabilità che un fatto storico possa raggiungere: non l'assenza di domande, che restano ai loro gradi, ma l'identità delle risposte su tutto ciò che è rispondibile.</w:t>
      </w:r>
    </w:p>
    <w:p>
      <w:pPr>
        <w:spacing w:after="120" w:line="276"/>
        <w:jc w:val="both"/>
      </w:pPr>
      <w:r>
        <w:rPr>
          <w:rFonts w:ascii="Barlow Semi Condensed" w:cs="Barlow Semi Condensed" w:eastAsia="Barlow Semi Condensed" w:hAnsi="Barlow Semi Condensed"/>
          <w:b/>
          <w:bCs/>
          <w:sz w:val="24"/>
          <w:szCs w:val="24"/>
        </w:rPr>
        <w:t xml:space="preserve">Sintesi del dato nuovo acquisito:</w:t>
      </w:r>
      <w:r>
        <w:rPr>
          <w:rFonts w:ascii="Barlow Semi Condensed" w:cs="Barlow Semi Condensed" w:eastAsia="Barlow Semi Condensed" w:hAnsi="Barlow Semi Condensed"/>
          <w:sz w:val="24"/>
          <w:szCs w:val="24"/>
        </w:rPr>
        <w:t xml:space="preserve"> il nodo via Fani è certificato al Livello A nella dinamica, nella composizione giudicata del commando e nella riferibilità dell'azione alla direzione dell'organizzazione, con i nomi dei 5 caduti della scorta, Leonardi, Ricci, Zizzi, Rivera e Iozzino, trascritti nel registro; la presenza del colonnello Guglielmi nelle vicinanze è certificata al Livello A quale fatto ammesso, con significato fermo al Livello C quale caso di scuola del divieto inferenziale; le questioni delle presenze ulteriori e dell'inferenza dall'eccezionalità tecnica al concorso esterno sono censite al Livello C quali ipotesi documentate e non risolte.</w:t>
      </w:r>
    </w:p>
    <w:p>
      <w:pPr>
        <w:pStyle w:val="Heading3"/>
        <w:spacing w:after="80" w:before="160"/>
      </w:pPr>
      <w:r>
        <w:rPr>
          <w:rFonts w:ascii="Barlow Semi Condensed" w:cs="Barlow Semi Condensed" w:eastAsia="Barlow Semi Condensed" w:hAnsi="Barlow Semi Condensed"/>
          <w:sz w:val="24"/>
          <w:szCs w:val="24"/>
        </w:rPr>
        <w:t xml:space="preserve">Capitolo 3 — ◆ Le Brigate Rosse e la colonna romana. L'organizzazione esecutrice e i 5 giudicati</w:t>
      </w:r>
    </w:p>
    <w:p>
      <w:pPr>
        <w:spacing w:after="120" w:line="276"/>
        <w:jc w:val="both"/>
      </w:pPr>
      <w:r>
        <w:rPr>
          <w:rFonts w:ascii="Barlow Semi Condensed" w:cs="Barlow Semi Condensed" w:eastAsia="Barlow Semi Condensed" w:hAnsi="Barlow Semi Condensed"/>
          <w:sz w:val="24"/>
          <w:szCs w:val="24"/>
        </w:rPr>
        <w:t xml:space="preserve">Le Brigate Rosse, l'organizzazione armata della sinistra rivoluzionaria che rivendicò, condusse e concluse il sequestro, sono il nodo organizzativo del piano primo, e il registro le tratta nella configurazione specifica dell'operazione: la direzione strategica che deliberò, la colonna romana che eseguì, gli uomini e le donne che i giudicati hanno identificato. La scansione del corpus registra l'organizzazione 359 volte in 48 documenti e il nome di Mario Moretti 657 volte in 28, la seconda frequenza individuale della fase dopo quella della vittima.</w:t>
      </w:r>
    </w:p>
    <w:p>
      <w:pPr>
        <w:spacing w:after="120" w:line="276"/>
        <w:jc w:val="both"/>
      </w:pPr>
      <w:r>
        <w:rPr>
          <w:rFonts w:ascii="Barlow Semi Condensed" w:cs="Barlow Semi Condensed" w:eastAsia="Barlow Semi Condensed" w:hAnsi="Barlow Semi Condensed"/>
          <w:sz w:val="24"/>
          <w:szCs w:val="24"/>
        </w:rPr>
        <w:t xml:space="preserve">Il primo pilastro è la certificazione dei giudicati, che il registro espone quale ossatura del piano primo. Il caso Moro è stato giudicato in 5 procedimenti principali, celebrati tra il 1982 e la fine degli anni Novanta, i cui esiti irrevocabili hanno progressivamente completato il quadro delle responsabilità: il primo processo, concluso in primo grado nel gennaio 1983 con 32 condanne all'ergastolo, e i successivi, sino al procedimento degli anni Novanta che identificò l'ultimo custode della prigione. All'esito complessivo, il registro certifica al Livello A: la deliberazione dell'operazione da parte della direzione strategica dell'organizzazione; la direzione esecutiva di Mario Moretti, capo della colonna romana, condannato a plurimi ergastoli, unico brigatista che condusse gli interrogatori del prigioniero e che ne gestì la detenzione dall'inizio alla fine; la partecipazione all'agguato di via Fani del commando giudicato, nelle persone condannate in via irrevocabile tra cui Valerio Morucci, Raffaele Fiore, Franco Bonisoli, Prospero Gallinari, Bruno Seghetti, con i ruoli di copertura e supporto parimenti giudicati tra cui quelli di Adriana Faranda e Barbara Balzerani; la custodia del prigioniero nell'appartamento di via Camillo Montalcini 8, nella disponibilità di Anna Laura Braghetti, che vi risiedeva quale copertura, con Germano Maccari, il quarto uomo della prigione, identificato soltanto nel 1993 e condannato in via definitiva, morto in carcere nel 2001, e con Moretti e Gallinari quali presenze operative; e l'esecuzione finale, il 9 maggio, nella ricostruzione che il capitolo dedicato all'epilogo espone. Il registro annota che il quadro giudicato si è formato per strati successivi lungo 15 anni, con l'apporto decisivo delle dissociazioni e delle collaborazioni maturate nel tempo, e che la completezza attuale del piano primo è essa stessa un prodotto storico, non un dato originario.</w:t>
      </w:r>
    </w:p>
    <w:p>
      <w:pPr>
        <w:spacing w:after="120" w:line="276"/>
        <w:jc w:val="both"/>
      </w:pPr>
      <w:r>
        <w:rPr>
          <w:rFonts w:ascii="Barlow Semi Condensed" w:cs="Barlow Semi Condensed" w:eastAsia="Barlow Semi Condensed" w:hAnsi="Barlow Semi Condensed"/>
          <w:sz w:val="24"/>
          <w:szCs w:val="24"/>
        </w:rPr>
        <w:t xml:space="preserve">Il secondo pilastro è l'apparato dichiarativo dell'organizzazione, che il registro sottopone all'Indice di Contaminazione nella configurazione peculiare del caso. Gli esponenti condannati hanno prodotto, nei decenni, una vasta memorialistica e una lunga serie di dichiarazioni processuali e pubbliche, il cui nucleo costante è duplice: la rivendicazione integrale dell'operazione quale atto autonomo dell'organizzazione, e la negazione recisa di ogni eterodirezione, infiltrazione o concorso esterno, riassunta nella formula ricorrente per cui nessun burattinaio mosse i fili. Il registro tratta questo apparato con la disciplina differenziata: le dichiarazioni contra se, le ammissioni di responsabilità che hanno consolidato il piano primo, possiedono alto valore e sono state recepite dai giudicati; le dichiarazioni di esclusione, quelle che negano concorsi esterni, provengono da dichiaranti portatori di un interesse identitario permanente, giacché l'autonomia dell'azione è il patrimonio politico che i dichiaranti difendono, e il registro le assume quali fonti da riscontrare, non quali certificazioni: la circostanza che i giudicati abbiano ritenuto l'operazione riferibile all'organizzazione converge con quelle dichiarazioni, ma la convergenza certifica il perimetro del provato, non l'inesistenza del non provato, e il registro distingue, qui come sempre, tra l'assenza di prova del concorso esterno, che è un dato, e la prova dell'assenza, che non esiste.</w:t>
      </w:r>
    </w:p>
    <w:p>
      <w:pPr>
        <w:spacing w:after="120" w:line="276"/>
        <w:jc w:val="both"/>
      </w:pPr>
      <w:r>
        <w:rPr>
          <w:rFonts w:ascii="Barlow Semi Condensed" w:cs="Barlow Semi Condensed" w:eastAsia="Barlow Semi Condensed" w:hAnsi="Barlow Semi Condensed"/>
          <w:sz w:val="24"/>
          <w:szCs w:val="24"/>
        </w:rPr>
        <w:t xml:space="preserve">Il terzo pilastro è la genealogia dell'organizzazione, che il registro censisce per il rilievo che assume nel nodo successivo dedicato a Hyperion. Le Brigate Rosse nacquero all'inizio degli anni Settanta dalla confluenza di gruppi della sinistra extraparlamentare, tra cui il Collettivo politico metropolitano milanese e l'esperienza di Sinistra proletaria; da quell'ambiente originario si separò precocemente la componente facente capo a Corrado Simioni, che alcuni protagonisti della fase fondativa hanno descritto quale fautore di una struttura più compartimentata ed elitaria, e che si trasferì a Parigi dando vita alle iniziative da cui sarebbe nata la scuola di lingue Hyperion. Il registro certifica al Livello A la genealogia comune e la separazione precoce, quali fatti della storia dell'organizzazione documentati dalle fonti processuali e memorialistiche convergenti, e rinvia al capitolo dedicato ogni valutazione sul seguito parigino, annotando sin d'ora che la contiguità genetica tra l'organizzazione esecutrice e i fondatori della struttura parigina è un fatto certificato, mentre ogni ruolo di quest'ultima nell'operazione del 1978 appartiene a un livello diverso.</w:t>
      </w:r>
    </w:p>
    <w:p>
      <w:pPr>
        <w:spacing w:after="120" w:line="276"/>
        <w:jc w:val="both"/>
      </w:pPr>
      <w:r>
        <w:rPr>
          <w:rFonts w:ascii="Barlow Semi Condensed" w:cs="Barlow Semi Condensed" w:eastAsia="Barlow Semi Condensed" w:hAnsi="Barlow Semi Condensed"/>
          <w:sz w:val="24"/>
          <w:szCs w:val="24"/>
        </w:rPr>
        <w:t xml:space="preserve">Il quarto pilastro è la dimensione internazionale dell'organizzazione, che il registro censisce nei suoi elementi accertati per la rilevanza che assume tanto nel piano terzo quanto nel bilancio di fase. Gli accertamenti giudiziari e parlamentari documentarono, lungo la storia dell'organizzazione, canali internazionali di approvvigionamento e di relazione: la provenienza mediorientale di partite d'armi giunte all'organizzazione, accertata in procedimenti sui traffici, con il canale palestinese quale filiera documentata; i rapporti con organizzazioni armate europee, e in particolare con la Rote Armee Fraktion tedesca, documentati quanto ai contatti e alla solidarietà dichiarata; e la frequentazione, da parte di militanti dell'area, di campi di addestramento mediorientali, riferita da collaboratori e riscontrata in singole posizioni. Il registro certifica al Livello B questi elementi, quale convergenza di accertamenti giudiziari e parlamentari plurimi, e li distingue rigorosamente dalla questione del sequestro: la filiera internazionale documenta la logistica e le relazioni dell'organizzazione, non un concorso esterno nell'operazione del 1978, che nessun accertamento ha stabilito. In questo perimetro il registro censisce altresì, quale fatto di contesto certificato al Livello B dalle convergenti acquisizioni parlamentari e testimoniali, l'esistenza della prassi di non belligeranza tra apparati italiani e organizzazioni palestinesi, nota quale lodo, in forza della quale il territorio nazionale fu tenuto, per una stagione, fuori dal bersaglio in cambio di margini di transito: la prassi, il cui perimetro esatto resta discusso, appartiene alla storia degli apparati e non a quella del sequestro, e il registro la annota qui perché documenta, al livello certificabile, che il campo delle relazioni internazionali clandestine della stagione era popolato e regolato da intese inconfessate, il contesto entro cui ogni ipotesi del piano terzo va misurata senza esserne dedotta.</w:t>
      </w:r>
    </w:p>
    <w:p>
      <w:pPr>
        <w:spacing w:after="120" w:line="276"/>
        <w:jc w:val="both"/>
      </w:pPr>
      <w:r>
        <w:rPr>
          <w:rFonts w:ascii="Barlow Semi Condensed" w:cs="Barlow Semi Condensed" w:eastAsia="Barlow Semi Condensed" w:hAnsi="Barlow Semi Condensed"/>
          <w:sz w:val="24"/>
          <w:szCs w:val="24"/>
        </w:rPr>
        <w:t xml:space="preserve">Il quinto pilastro è la figura di Mario Moretti, che il registro tratta quale nodo individuale dentro il nodo organizzativo, per la posizione senza equivalenti che i giudicati gli assegnano. Marchigiano, formatosi tecnicamente e impiegato nell'industria milanese, Moretti aderì all'organizzazione dalle origini e ne assunse la direzione effettiva dopo gli arresti dei fondatori nel 1974-1975, guidandone la trasformazione nella macchina compartimentata della seconda metà del decennio; nell'operazione Moro fu, per giudicato, il pianificatore, il capo della colonna esecutrice, l'unico interlocutore del prigioniero negli interrogatori, il gestore dei comunicati e, da ultimo, l'esecutore materiale; fu arrestato a Milano il 4 aprile 1981, e sconta i plurimi ergastoli avendo fruito, nel tempo, del regime di semilibertà secondo l'ordinamento penitenziario. Il registro certifica al Livello A questa posizione integrale, quale risultanza dei giudicati, e ne dichiara il rilievo analitico: nella rete del caso, Moretti è il nodo per il quale passa ogni arco del piano primo, l'uomo che congiunse da solo la deliberazione, l'esecuzione, la custodia, l'interrogatorio e la conclusione, una concentrazione di funzioni che non ha eguali in alcun altro evento dell'opera e che spiega, in termini di teoria della rete, perché 4 decenni di ipotesi sul piano terzo si siano addensati attorno alla sua figura, ai suoi silenzi e alle sue parole: chi controlla tutti gli archi del piano provato è, inevitabilmente, il candidato di ogni congettura sul piano non provato. Il registro registra le sue dichiarazioni pubbliche, consegnate in particolare al libro-intervista del 1994, quale fonte primaria della versione interna, e le sottopone alla disciplina già enunciata per l'apparato dichiarativo dell'organizzazione, senza eccezioni per il rango del dichiarante.</w:t>
      </w:r>
    </w:p>
    <w:p>
      <w:pPr>
        <w:spacing w:after="120" w:line="276"/>
        <w:jc w:val="both"/>
      </w:pPr>
      <w:r>
        <w:rPr>
          <w:rFonts w:ascii="Barlow Semi Condensed" w:cs="Barlow Semi Condensed" w:eastAsia="Barlow Semi Condensed" w:hAnsi="Barlow Semi Condensed"/>
          <w:sz w:val="24"/>
          <w:szCs w:val="24"/>
        </w:rPr>
        <w:t xml:space="preserve">Il sesto pilastro distende la storia dell'organizzazione dal 1970 al 1977, quale contesto necessario del nodo. Le Brigate Rosse si costituirono tra il 1970 e il 1971 dall'ambiente milanese del Collettivo politico metropolitano e di Sinistra proletaria, con i fondatori Renato Curcio, Margherita Cagol e Alberto Franceschini, e attraversarono una prima stagione di propaganda armata, sabotaggi e sequestri dimostrativi; la prima disarticolazione giunse l'8 settembre 1974, con la cattura di Curcio e Franceschini a Pinerolo, resa possibile dall'infiltrazione di Silvano Girotto, l'ex religioso noto quale frate mitra, agente dei carabinieri del nucleo antiterrorismo costituito dal generale Dalla Chiesa: il registro certifica al Livello A l'operazione, quale primo incrocio documentato tra i 2 protagonisti che la fase riunisce, l'organizzazione e il generale, e ne annota la natura, un'infiltrazione riuscita che dimostrò la penetrabilità della prima struttura. Seguirono l'evasione di Curcio dal carcere di Casale Monferrato nel febbraio 1975, condotta da un commando guidato dalla Cagol, la morte della Cagol nel conflitto a fuoco della cascina Spiotta il 5 giugno 1975, la definitiva ricattura di Curcio nel gennaio 1976, e il passaggio della direzione effettiva a Mario Moretti, sotto il quale l'organizzazione operò la ristrutturazione che i documenti interni consegnano: la compartimentazione in colonne territoriali e fronti funzionali, il reclutamento selettivo, l'innalzamento del livello militare. L'escalation della violenza è scandita dai giudicati: l'8 giugno 1976, a Genova, l'uccisione del procuratore generale Francesco Coco con i 2 uomini della scorta, l'appuntato Giovanni Saponara e l'agente Antioco Deiana, primo omicidio deliberato dell'organizzazione e primo magistrato assassinato; il 16 novembre 1977, a Torino, il ferimento del vicedirettore della Stampa Carlo Casalegno, morto il 29 novembre, primo giornalista colpito a morte; e la serie dei ferimenti mirati contro dirigenti d'azienda, medici penitenziari e uomini dei partiti che preparò, nella dottrina dichiarata dell'attacco al cuore dello Stato, l'operazione del 1978. Il registro certifica al Livello A la sequenza, nomina le vittime quale atto dovuto, e ne trae il dato strutturale: l'organizzazione che rapì Moro non era quella penetrata nel 1974, ma il prodotto di una selezione darwiniana di 4 anni, compartimentata al punto che, come il capitolo dell'epilogo documenta, l'identità completa dei suoi uomini sarebbe rimasta ignota per 15 anni.</w:t>
      </w:r>
    </w:p>
    <w:p>
      <w:pPr>
        <w:spacing w:after="120" w:line="276"/>
        <w:jc w:val="both"/>
      </w:pPr>
      <w:r>
        <w:rPr>
          <w:rFonts w:ascii="Barlow Semi Condensed" w:cs="Barlow Semi Condensed" w:eastAsia="Barlow Semi Condensed" w:hAnsi="Barlow Semi Condensed"/>
          <w:sz w:val="24"/>
          <w:szCs w:val="24"/>
        </w:rPr>
        <w:t xml:space="preserve">Il settimo pilastro ricostruisce la deliberazione e la preparazione del sequestro, e la scansione dei 5 procedimenti che l'hanno giudicata. Per le risultanze convergenti dei giudicati e delle memorie riscontrate, la decisione di colpire il vertice della Democrazia Cristiana maturò nella direzione strategica tra il 1977 e l'inverno 1978, entro la campagna di primavera pianificata dall'organizzazione; le ricostruzioni memorialistiche dei protagonisti, recepite dagli atti parlamentari, riferiscono che la rosa iniziale degli obiettivi comprese anche Giulio Andreotti, presidente del Consiglio in carica, accantonato per la maggiore difficoltà del dispositivo di protezione, e che la scelta cadde su Moro per la combinazione di valore politico e accessibilità: il registro certifica al Livello B questa genesi della scelta, quale convergenza di fonti interne riscontrate, e al Livello A la pianificazione esecutiva quale accertata nei giudizi. La scansione processuale, che il registro fissa quale apparato della fase, è la seguente: il primo procedimento, celebrato dinanzi alla Corte d'assise di Roma dal 1982, si concluse in primo grado il 24 gennaio 1983 con 32 condanne all'ergastolo, confermate nei gradi successivi sino alla definitività del 1985; il secondo, negli anni 1986-1987, giudicò le posizioni emerse dalle successive identificazioni; il terzo, sul finire del decennio, consolidò il quadro della direzione con i plurimi ergastoli a Moretti; il quarto, nella prima metà degli anni Novanta, giudicò le posizioni residue alla luce delle dissociazioni; e il quinto, tra il 1996 e il 1998, giudicò Germano Maccari, il quarto uomo della prigione, con la condanna definitiva a 26 anni che chiuse, sul piano esecutivo, la vicenda. Il registro certifica al Livello A la scansione e la progressione, e ne ribadisce il senso già dichiarato: la verità del piano primo è una costruzione quindicennale, il cui ultimo mattone porta la data del 1998.</w:t>
      </w:r>
    </w:p>
    <w:p>
      <w:pPr>
        <w:spacing w:after="120" w:line="276"/>
        <w:jc w:val="both"/>
      </w:pPr>
      <w:r>
        <w:rPr>
          <w:rFonts w:ascii="Barlow Semi Condensed" w:cs="Barlow Semi Condensed" w:eastAsia="Barlow Semi Condensed" w:hAnsi="Barlow Semi Condensed"/>
          <w:sz w:val="24"/>
          <w:szCs w:val="24"/>
        </w:rPr>
        <w:t xml:space="preserve">L'ottavo pilastro specifica il canale internazionale con il caso documentale che lo certifica, la vicenda dei missili di Ortona. Il 7 novembre 1979, a Ortona, furono arrestati 3 esponenti dell'area dell'Autonomia romana, tra cui Daniele Pifano, e un cittadino giordano, sorpresi a trasportare 2 lanciamissili terra-aria di fabbricazione sovietica; nel procedimento che ne seguì, il Fronte popolare per la liberazione della Palestina rivendicò formalmente la proprietà dei missili chiedendone la restituzione, e la vicenda fece emergere, negli atti e nelle testimonianze, il ruolo del colonnello Stefano Giovannone, capocentro del servizio militare italiano a Beirut, quale terminale della relazione riservata tra gli apparati italiani e le organizzazioni palestinesi: la prassi di non belligeranza già censita quale lodo. Il registro certifica al Livello A i fatti processuali di Ortona, l'arresto, la rivendicazione di proprietà, le condanne, quali risultanze giudiziarie, e certifica al Livello B il quadro complessivo della relazione riservata gestita dal capocentro di Beirut, quale convergenza degli atti parlamentari che, sino all'ultima Commissione, hanno acquisito la documentazione del carteggio Giovannone; e delimita, ancora, il perimetro: il canale documenta il transito di armamenti mediorientali nell'area della sinistra armata italiana e l'esistenza della prassi di salvaguardia, non documenta alcun ruolo di quegli attori nel sequestro, e la sua funzione nella fase è di contesto certificato, non di spiegazione.</w:t>
      </w:r>
    </w:p>
    <w:p>
      <w:pPr>
        <w:spacing w:after="120" w:line="276"/>
        <w:jc w:val="both"/>
      </w:pPr>
      <w:r>
        <w:rPr>
          <w:rFonts w:ascii="Barlow Semi Condensed" w:cs="Barlow Semi Condensed" w:eastAsia="Barlow Semi Condensed" w:hAnsi="Barlow Semi Condensed"/>
          <w:sz w:val="24"/>
          <w:szCs w:val="24"/>
        </w:rPr>
        <w:t xml:space="preserve">Il nono pilastro censisce la prigione, quale i giudicati e le fonti interne la consegnano. L'appartamento di via Camillo Montalcini 8, al piano rialzato di un condominio della zona della Magliana amministrativa, era stato acquistato nel 1977 e intestato ad Anna Laura Braghetti, impiegata incensurata e militante clandestina non schedata, che vi abitava quale copertura, dalla primavera del 1978 in convivenza simulata con Prospero Gallinari; all'interno era stato ricavato, dietro una parete attrezzata, il vano insonorizzato nel quale il prigioniero fu custodito per l'intera durata del sequestro, secondo la ricostruzione giudicata che il quinto procedimento ha consolidato. Gli interrogatori del processo proletario furono condotti, per le convergenti risultanze, dal solo Moretti, in sedute delle quali le fonti interne hanno riferito l'esistenza di registrazioni su nastro: quelle bobine non sono mai state rinvenute, e la versione interna ne afferma la distruzione; il registro certifica al Livello A l'assetto della prigione e la conduzione unipersonale degli interrogatori, quali risultanze giudicate, certifica al Livello B l'esistenza delle registrazioni, quale convergenza di fonti interne su un fatto contro il proprio interesse, e registra la loro sparizione quale estensione del vuoto documentale già censito: al novero delle assenze della fase appartengono, in unica voce, gli originali manoscritti del memoriale e le registrazioni degli interrogatori, i 2 supporti primari della voce del prigioniero, entrambi riferiti ed entrambi mai emersi, sicché l'intera conoscenza di ciò che Moro disse nella prigione riposa su trascrizioni, fotocopie e memorie, mai su un supporto originale.</w:t>
      </w:r>
    </w:p>
    <w:p>
      <w:pPr>
        <w:spacing w:after="120" w:line="276"/>
        <w:jc w:val="both"/>
      </w:pPr>
      <w:r>
        <w:rPr>
          <w:rFonts w:ascii="Barlow Semi Condensed" w:cs="Barlow Semi Condensed" w:eastAsia="Barlow Semi Condensed" w:hAnsi="Barlow Semi Condensed"/>
          <w:sz w:val="24"/>
          <w:szCs w:val="24"/>
        </w:rPr>
        <w:t xml:space="preserve">Il decimo pilastro censisce la scissione interna e il caso documentale che vi si annida, il più rilevante arco orientale della fase. Valerio Morucci e Adriana Faranda, i due dirigenti della colonna romana contrari alla soluzione terminale, uscirono dall'organizzazione nei mesi successivi al 9 maggio, consumando la rottura politica sulla conduzione del sequestro; furono arrestati il 29 maggio 1979 a Roma, nell'appartamento di viale Giulio Cesare che li ospitava, la casa di Giuliana Conforto, e nell'occasione fu sequestrata, tra le armi, la mitraglietta Skorpion che le perizie balistiche identificarono quale arma dell'esecuzione di via Caetani: il registro certifica al Livello A l'arresto, il luogo e l'identificazione balistica, quali risultanze processuali. Il dato che eleva l'episodio a reperto della fase è l'identità del padrone di casa mediato: Giorgio Conforto, padre di Giuliana, risulta dalle carte dell'archivio orientale trasferite in occidente negli anni Novanta, il compendio noto quale dossier Impedian o archivio Mitrokhin, recepito dalla Commissione parlamentare dedicata, schedato quale agente di lungo corso del servizio sovietico, attivo per decenni con il nome in codice Dario; il registro certifica al Livello B questa qualità, quale risultanza di documentazione d'archivio di servizio recepita in sede parlamentare e non consacrata da giudicato, e mantiene al Livello C ogni lettura del nesso, dalla mera coincidenza abitativa alla rete di protezione consapevole, annotando la ragione per cui il reperto è censito con questo rilievo: esso è l'unico punto dell'intera fase in cui la variante orientale del piano terzo tocca un fatto materiale documentato, l'arma dell'esecuzione custodita sotto il tetto della figlia di un agente sovietico schedato, e la disciplina del registro consiste esattamente nel trascrivere il fatto con questa precisione e nel rifiutare il passo ulteriore che nessun documento sostiene.</w:t>
      </w:r>
    </w:p>
    <w:p>
      <w:pPr>
        <w:spacing w:after="120" w:line="276"/>
        <w:jc w:val="both"/>
      </w:pPr>
      <w:r>
        <w:rPr>
          <w:rFonts w:ascii="Barlow Semi Condensed" w:cs="Barlow Semi Condensed" w:eastAsia="Barlow Semi Condensed" w:hAnsi="Barlow Semi Condensed"/>
          <w:sz w:val="24"/>
          <w:szCs w:val="24"/>
        </w:rPr>
        <w:t xml:space="preserve">L'undicesimo pilastro censisce il documento programmatico che incornicia l'operazione, la Risoluzione della direzione strategica del febbraio 1978. Il testo, elaborato dal vertice dell'organizzazione e diffuso nelle settimane immediatamente precedenti il sequestro, costituisce la piattaforma dottrinale della campagna: vi si teorizza l'attacco al cuore dello Stato, si identifica nella Democrazia Cristiana il perno del regime e nello Stato imperialista delle multinazionali il quadro strutturale del nemico, e si annuncia l'innalzamento del livello dello scontro; il registro certifica al Livello A l'esistenza, la datazione e il contenuto del documento, quale testo acquisito agli atti e pubblicato prima dell'azione, e ne dichiara il duplice rilievo: sul piano probatorio, la Risoluzione documenta che l'operazione fu annunciata nella sua logica, se non nel suo obiettivo specifico, dal medesimo soggetto che l'avrebbe eseguita, un elemento che i giudizi hanno valorizzato quale riscontro della matrice; sul piano analitico, essa consegna il lessico con cui l'organizzazione lesse la propria azione, e il registro annota che l'intera produzione documentale interna, dalla Risoluzione ai comunicati, esibisce una coerenza dottrinale continua, senza fratture stilistiche o concettuali, un dato filologico che le perizie sui testi hanno confermato e che appartiene, quale fatto, alla competizione tra le ipotesi sulla direzione dell'operazione.</w:t>
      </w:r>
    </w:p>
    <w:p>
      <w:pPr>
        <w:spacing w:after="120" w:line="276"/>
        <w:jc w:val="both"/>
      </w:pPr>
      <w:r>
        <w:rPr>
          <w:rFonts w:ascii="Barlow Semi Condensed" w:cs="Barlow Semi Condensed" w:eastAsia="Barlow Semi Condensed" w:hAnsi="Barlow Semi Condensed"/>
          <w:sz w:val="24"/>
          <w:szCs w:val="24"/>
        </w:rPr>
        <w:t xml:space="preserve">Il dodicesimo pilastro censisce la campagna contestuale, le azioni che l'organizzazione condusse durante i 55 giorni sugli altri fronti, e nomina le vittime quale atto dovuto. Il sequestro non sospese l'attività militare delle colonne: il 10 marzo 1978, 6 giorni prima di via Fani, era stato ucciso a Torino il maresciallo di pubblica sicurezza Rosario Berardi; l'11 aprile 1978, a Torino, fu assassinato l'agente di custodia Lorenzo Cutugno; il 20 aprile 1978, a Milano, il maresciallo degli agenti di custodia Francesco Di Cataldo; e la serie dei ferimenti proseguì nelle città delle colonne per l'intera durata della crisi. Il registro certifica al Livello A la sequenza, quale materia dei giudicati delle rispettive sedi, nomina Rosario Berardi, Lorenzo Cutugno e Francesco Di Cataldo tra le vittime collegate della fase, e ne trae il dato analitico: la campagna contestuale, condotta prevalentemente contro il personale dell'amministrazione penitenziaria negli stessi giorni in cui i comunicati ponevano la questione dei detenuti, documenta che l'organizzazione gestì il sequestro quale operazione centrale di un dispositivo a più fronti e non quale azione isolata, con una capacità di fuoco simultanea su 3 città che le stime sulla consistenza numerica dell'organizzazione, poche centinaia di militanti irregolari nel Paese, rendono il vero dato dimensionale della stagione: mai così pochi uomini tennero sotto pressione contemporanea un apparato statale di quelle dimensioni, e la sproporzione, certificata dai numeri di entrambi i lati, appartiene alla fisionomia storica del fenomeno.</w:t>
      </w:r>
    </w:p>
    <w:p>
      <w:pPr>
        <w:spacing w:after="120" w:line="276"/>
        <w:jc w:val="both"/>
      </w:pPr>
      <w:r>
        <w:rPr>
          <w:rFonts w:ascii="Barlow Semi Condensed" w:cs="Barlow Semi Condensed" w:eastAsia="Barlow Semi Condensed" w:hAnsi="Barlow Semi Condensed"/>
          <w:sz w:val="24"/>
          <w:szCs w:val="24"/>
        </w:rPr>
        <w:t xml:space="preserve">Il tredicesimo pilastro censisce l'elenco dei 13 e il processo parallelo, i 2 termini dello scambio negato. Il comunicato numero 8 del 24 aprile elencò nominativamente i 13 detenuti di cui l'organizzazione chiedeva la liberazione, con in testa Renato Curcio e gli altri capi storici allora a giudizio; e la richiesta cadde nel pieno della circostanza processuale che il registro certifica quale dato strutturale della crisi: il processo ai fondatori dell'organizzazione si stava celebrando in quelle stesse settimane dinanzi alla Corte d'assise di Torino, ripreso nel marzo 1978 dopo i rinvii degli anni precedenti, segnati dall'assassinio del presidente dell'ordine degli avvocati torinese e dalle difficoltà di composizione della giuria, e si sarebbe concluso con la sentenza del 23 giugno 1978, a 6 settimane da via Caetani, con le condanne dei capi storici. Il registro certifica al Livello A l'elenco, la contestualità processuale e la sequenza, quali dati documentali, e ne dichiara la funzione interpretativa certificabile: il sequestro si svolse mentre lo Stato processava la prima generazione dell'organizzazione, la richiesta di scambio investì esattamente gli imputati di quel processo, e la fermezza dello Stato si misurò, materialmente, sulla tenuta di quel dibattimento, che proseguì e si concluse; la saldatura tra i 2 teatri, l'aula di Torino e la prigione di Roma, è la struttura portante della cronologia della crisi, e il registro la fissa quale fatto, annotando che essa fornisce alla deliberazione del sequestro la sua cornice razionale interna documentata, l'operazione di massima pressione nel momento del massimo attacco giudiziario, senza necessità di postulare razionalità ulteriori.</w:t>
      </w:r>
    </w:p>
    <w:p>
      <w:pPr>
        <w:spacing w:after="120" w:line="276"/>
        <w:jc w:val="both"/>
      </w:pPr>
      <w:r>
        <w:rPr>
          <w:rFonts w:ascii="Barlow Semi Condensed" w:cs="Barlow Semi Condensed" w:eastAsia="Barlow Semi Condensed" w:hAnsi="Barlow Semi Condensed"/>
          <w:sz w:val="24"/>
          <w:szCs w:val="24"/>
        </w:rPr>
        <w:t xml:space="preserve">Il quattordicesimo pilastro censisce la struttura della colonna romana, lo strumento organizzativo dell'operazione. La colonna fu costituita a partire dal 1976 per decisione della direzione, che considerava la capitale il teatro obbligato del salto strategico e vi trasferì quadri sperimentati dalle colonne settentrionali, affiancandoli ai reclutamenti locali; alla vigilia del sequestro essa disponeva, per le ricostruzioni giudicate, di poche decine di militanti tra regolari clandestini e irregolari insospettabili, articolati in brigate di zona, di una rete di basi tra cui via Gradoli e via Montalcini, e di una compartimentazione che riservò la conoscenza dell'operazione a un nucleo ristretto sino all'esecuzione; il registro certifica al Livello A la genesi, la consistenza e l'articolazione della colonna, quali risultanze dei giudicati, e ne trae le 2 annotazioni che il metodo impone. La prima è dimensionale: l'operazione più devastante della storia repubblicana fu concepita e condotta da una struttura urbana di poche decine di persone, e la sproporzione tra la dimensione dell'organo e la dimensione dell'effetto, certificata dai numeri di entrambi i lati, è il dato che ogni teoria della necessità del concorso esterno deve preliminarmente superare, giacché essa dimostra che la scala dell'effetto non implica la scala dell'apparato. La seconda è strutturale: la colonna romana operò per l'intera crisi senza subire una sola perdita, un solo arresto, una sola identificazione, e questa tenuta, che i giudicati attribuiscono alla compartimentazione e alla qualità degli irregolari, le intestazioni pulite di Braghetti e degli altri insospettabili, è il fatto tecnico che spiega, dal lato dell'organizzazione, il fallimento delle ricerche che il capitolo della gestione ha censito dal lato dello Stato: il registro salda i 2 lati del medesimo fatto e lo consegna, quale spiegazione interna completa e documentata, al confronto con le letture eccedenti che il piano terzo custodisce.</w:t>
      </w:r>
    </w:p>
    <w:p>
      <w:pPr>
        <w:spacing w:after="120" w:line="276"/>
        <w:jc w:val="both"/>
      </w:pPr>
      <w:r>
        <w:rPr>
          <w:rFonts w:ascii="Barlow Semi Condensed" w:cs="Barlow Semi Condensed" w:eastAsia="Barlow Semi Condensed" w:hAnsi="Barlow Semi Condensed"/>
          <w:sz w:val="24"/>
          <w:szCs w:val="24"/>
        </w:rPr>
        <w:t xml:space="preserve">Il quindicesimo pilastro distende la parabola terminale dell'organizzazione, il dopo che chiude il profilo del soggetto esecutore. La stagione successiva al caso Moro fu, per l'organizzazione, quella del massimo sforzo e della dissoluzione: il sequestro del magistrato Giovanni D'Urso tra il dicembre 1980 e il gennaio 1981, concluso con la liberazione; il sequestro del generale americano James Lee Dozier, sottratto a Verona il 17 dicembre 1981 e liberato dal blitz dei reparti speciali a Padova il 28 gennaio 1982, la prima sconfitta operativa diretta, maturata per via di intelligence e irruzione, che dimostrò il rovesciamento del rapporto di forze; la frammentazione in tronconi rivali; e la coda lunga degli anni Ottanta, sino all'assassinio del professor Roberto Ruffilli, il costituzionalista consigliere della presidenza del Consiglio, ucciso a Forlì il 16 aprile 1988 dall'ultima sigla, il delitto che chiuse la serie ventennale degli omicidi dell'organizzazione e delle sue derivazioni. Il registro certifica al Livello A la sequenza, nomina Roberto Ruffilli tra le vittime collegate della fase quale termine finale della serie, e ne trae il bilancio strutturale che il capitolo deve al soggetto: l'organizzazione che nel 1978 aveva tenuto in scacco lo Stato fu militarmente sconfitta entro 4 anni, per effetto congiunto della legislazione premiale, delle dissociazioni e della ricostruita capacità investigativa censita nel capitolo nono, e la parabola completa, dalla fondazione del 1970 all'ultimo delitto del 1988, si chiuse senza che l'organizzazione avesse conseguito uno solo dei propri obiettivi strategici dichiarati; il registro trascrive l'esito quale fatto storico certificato e lo consegna alla competizione delle ipotesi con l'annotazione dovuta: la sconfitta integrale del soggetto esecutore è un dato che ogni lettura del piano terzo deve incorporare, giacché qualunque regia esterna si voglia ipotizzare avrebbe abbandonato il proprio strumento alla distruzione completa, e la circostanza, di per sé non probante in alcuna direzione, delimita nondimeno lo spazio logico delle ipotesi di strumentalizzazione durevole.</w:t>
      </w:r>
    </w:p>
    <w:p>
      <w:pPr>
        <w:spacing w:after="120" w:line="276"/>
        <w:jc w:val="both"/>
      </w:pPr>
      <w:r>
        <w:rPr>
          <w:rFonts w:ascii="Barlow Semi Condensed" w:cs="Barlow Semi Condensed" w:eastAsia="Barlow Semi Condensed" w:hAnsi="Barlow Semi Condensed"/>
          <w:sz w:val="24"/>
          <w:szCs w:val="24"/>
        </w:rPr>
        <w:t xml:space="preserve">Il sedicesimo pilastro censisce il finanziamento dell'operazione, il versante economico che i giudicati hanno ricostruito. L'organizzazione si finanziava per autosufficienza dichiarata e documentata, con le rapine di autofinanziamento e con i sequestri di persona a scopo estorsivo della prima stagione, e il capitolo economico dell'operazione Moro ha negli atti la propria fonte identificata: il riscatto del sequestro dell'armatore genovese Pietro Costa, condotto dall'organizzazione nel 1977, fornì la provvista che le ricostruzioni giudiziarie indicano quale copertura dei costi della campagna romana, ivi compreso l'acquisto dell'appartamento di via Montalcini, l'immobile della prigione, pagato con denaro riconducibile a quella provvista e intestato all'insospettabile Braghetti; il registro certifica al Livello A il sequestro Costa, il riscatto e la destinazione della provvista alla logistica romana, quali risultanze dei giudicati, e ne dichiara la funzione capitale nella competizione delle ipotesi: il capitolo economico dell'operazione più costosa della storia dell'organizzazione è integralmente ricostruito per via giudiziaria entro il perimetro dell'autofinanziamento criminale interno, senza che alcun flusso esterno sia mai emerso, e questa tracciabilità completa, rara nel campo studiato dall'opera, è uno degli argomenti più solidi della lettura dell'autosufficienza, giacché il denaro, il vettore che nelle altre fasi dell'opera ha rivelato le reti, qui documenta un circuito chiuso; il registro annota che l'assenza di flussi esterni documentati non prova l'assenza di apporti non monetari, informazioni, coperture, omissioni, che il piano terzo custodisce quali ipotesi, ma certifica che sul terreno dove il metodo dell'opera è più forte, il tracciamento dei flussi del Pattern 4, il caso Moro restituisce un esito univoco, e lo trascrive quale reperto del pattern con il rango che gli compete.</w:t>
      </w:r>
    </w:p>
    <w:p>
      <w:pPr>
        <w:spacing w:after="120" w:line="276"/>
        <w:jc w:val="both"/>
      </w:pPr>
      <w:r>
        <w:rPr>
          <w:rFonts w:ascii="Barlow Semi Condensed" w:cs="Barlow Semi Condensed" w:eastAsia="Barlow Semi Condensed" w:hAnsi="Barlow Semi Condensed"/>
          <w:sz w:val="24"/>
          <w:szCs w:val="24"/>
        </w:rPr>
        <w:t xml:space="preserve">Il diciassettesimo pilastro censisce l'organo deliberante, l'Esecutivo dell'organizzazione nella stagione del sequestro. Al vertice della struttura, sotto la direzione strategica quale organo allargato di elaborazione, operava l'Esecutivo, l'organismo ristretto di conduzione che nella primavera del 1978 risultava composto, per le risultanze giudiziarie, da Mario Moretti, Rocco Micaletto, Lauro Azzolini e Franco Bonisoli, i 4 dirigenti nei quali si concentrava la decisione operativa corrente; fu questo organo a governare la campagna, con Moretti distaccato sulla conduzione romana e gli altri sui fronti settentrionali, e fu la sua composizione a determinare la traiettoria successiva del materiale, giacché Azzolini e Bonisoli furono catturati nella base milanese di via Monte Nevoso il 1 ottobre 1978, nell'operazione che portò al primo ritrovamento delle carte, e Micaletto cadde nelle retate successive, sicché entro pochi anni l'intero Esecutivo del sequestro, Moretti ultimo con l'arresto del 4 aprile 1981, fu consegnato ai processi che avrebbero ricostruito la vicenda. Il registro certifica al Livello A la composizione dell'organo e le catture, quali risultanze dei giudicati, e ne trae l'annotazione strutturale: la concentrazione della decisione in 4 uomini, tutti catturati vivi e tutti processati, è la ragione tecnica per cui il piano primo del caso ha potuto raggiungere la saturazione che la fase certifica, l'organo deliberante essendo integralmente sopravvissuto alla propria sconfitta e avendo perciò potuto essere giudicato, a differenza di quanto l'opera ha documentato per altri teatri, dove l'eliminazione fisica dei detentori della decisione ha precluso per sempre l'accertamento; la comparazione tra i campi, il terrorismo rosso giudicabile perché catturato e altri mondi dell'opera inaccertabili perché falcidiati, è un dato di struttura che il registro consegna alla riflessione conclusiva sulla conoscibilità differenziale del proprio oggetto.</w:t>
      </w:r>
    </w:p>
    <w:p>
      <w:pPr>
        <w:spacing w:after="120" w:line="276"/>
        <w:jc w:val="both"/>
      </w:pPr>
      <w:r>
        <w:rPr>
          <w:rFonts w:ascii="Barlow Semi Condensed" w:cs="Barlow Semi Condensed" w:eastAsia="Barlow Semi Condensed" w:hAnsi="Barlow Semi Condensed"/>
          <w:sz w:val="24"/>
          <w:szCs w:val="24"/>
        </w:rPr>
        <w:t xml:space="preserve">Le triangolazioni del nodo sono 3. La prima, direzione strategica-colonna romana-via Montalcini, è il triangolo del piano primo, certificato al Livello A dai 5 giudicati. La seconda, organizzazione-apparato dichiarativo-autonomia rivendicata, è il triangolo della fonte interessata, con le ammissioni recepite e le esclusioni da riscontrare. La terza, Brigate Rosse-ambiente fondativo-componente Simioni, è il triangolo genealogico, certificato al Livello A quanto ai fatti e consegnato al capitolo su Hyperion. Sul piano dei pattern, il nodo attiva il Pattern 2 nella identificazione della colonna romana quale comunità operativa compartimentata, la cui azione coordinata è confermata dall'evento secondo il criterio di validazione; e il Pattern 7, nelle traiettorie dei militanti dalla militanza legale alla clandestinità, di cui la biografia di Moretti, operaio e tecnico transitato per l'ambiente milanese sino alla direzione militare, è l'esemplare più documentato.</w:t>
      </w:r>
    </w:p>
    <w:p>
      <w:pPr>
        <w:spacing w:after="120" w:line="276"/>
        <w:jc w:val="both"/>
      </w:pPr>
      <w:r>
        <w:rPr>
          <w:rFonts w:ascii="Barlow Semi Condensed" w:cs="Barlow Semi Condensed" w:eastAsia="Barlow Semi Condensed" w:hAnsi="Barlow Semi Condensed"/>
          <w:sz w:val="24"/>
          <w:szCs w:val="24"/>
        </w:rPr>
        <w:t xml:space="preserve">La formazione del quadro in 5 procedimenti irrevocabili, che la sintesi certifica, esige la fisionomia di ciascun ciclo, perché la serie non fu ripetizione ma stratificazione progressiva dell'accertamento. Il primo ciclo, chiuso in primo grado dalla Corte d'Assise di Roma il 24 gennaio 1983 con 32 ergastoli e decine di condanne ulteriori, fissò l'impianto: la dinamica di via Fani, la responsabilità della direzione dell'organizzazione, la riferibilità dell'esecuzione alla colonna romana rinforzata. Il secondo ciclo integrò il quadro giovandosi della stagione della dissociazione, ed in particolare della ricostruzione analitica consegnata da Valerio Morucci ed Adriana Faranda, che consentì di ridefinire ruoli e presenze con una granularità che il primo dibattimento non aveva raggiunto. Il terzo ciclo, culminato nella sentenza del 1988, aggredì la struttura larga, la rete logistica, le basi, le coperture ed il perimetro della colonna. I cicli successivi chiusero le posizioni residue, sino al quinto, che negli anni 90 raggiunse l'ultimo custode sino ad allora ignoto della prigione di via Montalcini, Germano Maccari, completando la mappa degli uomini del covo, Livello A sull'intera progressione, nei limiti dei rispettivi giudicati. Il registro consegna la serie alla sua lettura epistemologica: 5 cicli in 2 decenni non misurano l'incertezza dell'accertamento ma la sua profondità crescente, ed il piano primo del caso, l'esecuzione, risulta all'esito il fatto di terrorismo più compiutamente giudicato della storia repubblicana, il che rende tanto più nitido, per contrasto, il perimetro dei piani che i medesimi 2 decenni non hanno saturato.</w:t>
      </w:r>
    </w:p>
    <w:p>
      <w:pPr>
        <w:spacing w:after="120" w:line="276"/>
        <w:jc w:val="both"/>
      </w:pPr>
      <w:r>
        <w:rPr>
          <w:rFonts w:ascii="Barlow Semi Condensed" w:cs="Barlow Semi Condensed" w:eastAsia="Barlow Semi Condensed" w:hAnsi="Barlow Semi Condensed"/>
          <w:sz w:val="24"/>
          <w:szCs w:val="24"/>
        </w:rPr>
        <w:t xml:space="preserve">Alla coppia dei dissociati il registro dedica l'annotazione di metodo che il loro statuto impone. Morucci e Faranda, usciti dall'organizzazione nel dissenso sull'esito del sequestro e divenuti, dal carcere, la fonte interna più organica sulla meccanica dei 55 giorni, consegnarono una ricostruzione che i giudici sottoposero a riscontro e largamente recepirono, e che resta il principale reticolo dichiarativo interno sul caso: fonte preziosa e, per costruzione, perimetrata, giacché il dissociato attesta ciò che ha visto dal proprio segmento e la compartimentazione brigatista faceva del segmento la misura di ogni sguardo, Livello A quanto al recepimento giudiziale riscontrato, Livello B quanto alle porzioni di racconto non autonomamente riscontrate. Su questa perimetrazione il registro fonda la sua regola di lettura del caso: l'organizzazione fu processualmente trasparente sino al confine delle sue paratie interne, e ciò che le paratie separavano, chi decise cosa, chi sapeva quanto, resta materia in cui la voce dei protagonisti vale come reperto e non come mappa, secondo la disciplina della fonte che l'intera opera osserva.</w:t>
      </w:r>
    </w:p>
    <w:p>
      <w:pPr>
        <w:spacing w:after="120" w:line="276"/>
        <w:jc w:val="both"/>
      </w:pPr>
      <w:r>
        <w:rPr>
          <w:rFonts w:ascii="Barlow Semi Condensed" w:cs="Barlow Semi Condensed" w:eastAsia="Barlow Semi Condensed" w:hAnsi="Barlow Semi Condensed"/>
          <w:sz w:val="24"/>
          <w:szCs w:val="24"/>
        </w:rPr>
        <w:t xml:space="preserve">La parabola della direzione esecutiva si chiuse con una data che il registro fissa quale spartiacque della guerra brigatista: il 4 aprile 1981 Mario Moretti fu catturato a Milano, dopo 9 anni di latitanza ininterrotta che ne avevano fatto il più longevo dirigente clandestino dell'organizzazione, e con il suo arresto si spense la continuità di comando che aveva attraversato l'intera parabola, dalla fondazione della colonna milanese alla gestione diretta del sequestro e della prigione, Livello A quanto alla cattura ed alla sua collocazione. Sulle responsabilità, i cicli processuali censiti consegnarono al capo brigatista una pluralità di ergastoli irrevocabili, comprensivi della direzione dell'operazione di via Fani e dell'esecuzione materiale del 9 maggio che il capitolo 6 certifica, Livello A. Alla voce delle fonti appartiene infine la produzione memorialistica del prigioniero di lungo corso: il libro-intervista consegnato nei primi anni 90 a 2 interlocutrici della sinistra intellettuale, nel quale Moretti rivendicò l'integrale autonomia dell'operazione e dell'organizzazione da ogni regia o infiltrazione esterna, costituisce la controparte simmetrica delle narrazioni dei dissociati, e la disciplina dell'Indice di Contaminazione della Fonte gli assegna lo statuto che merita: fonte di parte massimamente interessata alla tesi dell'autosufficienza, il cui valore è documentale quanto alla posizione rivendicata e nullo quanto alla certificazione dei fatti negati, Livello C, giacché, come il registro ha già annotato per l'assolto divenuto storico di sé stesso, l'ultima parola del protagonista è un reperto sul protagonista, non sul mondo.</w:t>
      </w:r>
    </w:p>
    <w:p>
      <w:pPr>
        <w:spacing w:after="120" w:line="276"/>
        <w:jc w:val="both"/>
      </w:pPr>
      <w:r>
        <w:rPr>
          <w:rFonts w:ascii="Barlow Semi Condensed" w:cs="Barlow Semi Condensed" w:eastAsia="Barlow Semi Condensed" w:hAnsi="Barlow Semi Condensed"/>
          <w:sz w:val="24"/>
          <w:szCs w:val="24"/>
        </w:rPr>
        <w:t xml:space="preserve">La deliberazione va corredata del suo documento programmatico, che il registro censisce quale atto fondativo della campagna: la risoluzione della Direzione strategica approvata nel febbraio 1978, il testo dottrinale che l'organizzazione diffuse alla vigilia dell'operazione e che teorizzava l'attacco al cuore dello Stato, individuando nella Democrazia cristiana il perno del sistema da disarticolare e nella fase politica in corso, la solidarietà nazionale, il momento della massima vulnerabilità dell'avversario, Livello A quanto al documento, alla sua data ed al suo contenuto, acquisiti agli atti dei processi. Il registro sottolinea il valore probatorio che i giudicati assegnarono al testo: la risoluzione dimostra che la scelta del bersaglio discese da un'analisi politica formalizzata prima dell'azione, non da un'improvvisazione né da una commissione esterna documentata, e costituisce perciò uno dei pilastri della ricostruzione dell'autonomia deliberativa che il piano primo certifica, ferma restando, sui piani ulteriori, la distinzione che il capitolo 10 governa. Nella grammatica documentale del caso, il febbraio 1978 consegna così il suo chiasmo: mentre la Direzione strategica metteva per iscritto le ragioni dell'attacco alla mediazione, il mediatore metteva a punto, per l'aula del 28 febbraio, le ragioni della mediazione, e i 2 testi, la risoluzione ed il discorso, si fronteggiano negli archivi come i 2 programmi incompatibili di cui via Fani fu, 16 giorni dopo, il punto di collisione.</w:t>
      </w:r>
    </w:p>
    <w:p>
      <w:pPr>
        <w:spacing w:after="120" w:line="276"/>
        <w:jc w:val="both"/>
      </w:pPr>
      <w:r>
        <w:rPr>
          <w:rFonts w:ascii="Barlow Semi Condensed" w:cs="Barlow Semi Condensed" w:eastAsia="Barlow Semi Condensed" w:hAnsi="Barlow Semi Condensed"/>
          <w:sz w:val="24"/>
          <w:szCs w:val="24"/>
        </w:rPr>
        <w:t xml:space="preserve">Alla logistica dell'organizzazione appartiene il cedimento postumo che il registro data con precisione: il 17 maggio 1978, a 8 giorni da via Caetani, le indagini individuarono in via Pio Foà, a Roma, la tipografia clandestina che aveva stampato i comunicati della campagna, con il sequestro delle attrezzature e l'arresto del tipografo, primo squarcio nella struttura logistica romana cui seguirono, nelle settimane successive, ulteriori cadute di basi e copertura, Livello A quanto alla scoperta, alla data ed ai sequestri. La collocazione temporale è il dato analitico: la macchina investigativa che nei 55 giorni non aveva raggiunto un solo gangli della rete cominciò a smontarla a epilogo consumato, e questa asimmetria tra il prima ed il dopo, che il piano secondo registra senza spiegarla, alimentò già nei contemporanei la domanda che le Commissioni avrebbero formalizzato: se la penetrabilità dimostrata dal poi fosse la misura di una possibilità mancata nel durante, o se, al contrario, fosse stato proprio l'epilogo, con il rilassamento delle paratie e la dispersione degli uomini, a rendere penetrabile ciò che prima non lo era. Il registro custodisce la domanda nella sua forma aperta, che è l'unica certificabile, ed annota il solo teorema che i fatti autorizzano: la rete che resse 55 giorni non resse 55 giorni più 8.</w:t>
      </w:r>
    </w:p>
    <w:p>
      <w:pPr>
        <w:spacing w:after="120" w:line="276"/>
        <w:jc w:val="both"/>
      </w:pPr>
      <w:r>
        <w:rPr>
          <w:rFonts w:ascii="Barlow Semi Condensed" w:cs="Barlow Semi Condensed" w:eastAsia="Barlow Semi Condensed" w:hAnsi="Barlow Semi Condensed"/>
          <w:sz w:val="24"/>
          <w:szCs w:val="24"/>
        </w:rPr>
        <w:t xml:space="preserve">Alla contabilità giudiziaria della colonna appartiene infine la coda perpetua delle contumacie, che il registro censisce quale eccezione permanente all'esecuzione dei giudicati: tra i condannati in via definitiva per il sequestro e l'eccidio figurano Alessio Casimirri, riparato in Nicaragua prima della stagione degli arresti e mai raggiunto dall'esecuzione, protetto da uno status consolidato nel Paese centroamericano che ogni iniziativa estradizionale italiana ha trovato inespugnabile, ed Alvaro Lojacono, sottratto all'esecuzione italiana dalla cittadinanza elvetica e dalle regole di quell'ordinamento sulla non estradizione dei propri nazionali, Livello A quanto alle condanne definitive ed alla condizione di inesecuzione, nei limiti degli atti. Il registro consegna le 2 posizioni alla loro funzione sistemica: esse dimostrano che la geografia della protezione censita per il versante nero nella Fase 3, i santuari iberici e latinoamericani delle latitanze ordinoviste, ebbe il proprio speculare sul versante rosso, con approdi diversi e meccanica identica, la frontiera quale ultimo grado di giudizio, e che la mappa internazionale dell'impunità, cui la Fase 5 dedicherà il proprio teatro, è bipartisan per costruzione: i codici ideologici dividono gli uomini, i rifugi li accomunano.</w:t>
      </w:r>
    </w:p>
    <w:p>
      <w:pPr>
        <w:spacing w:after="120" w:line="276"/>
        <w:jc w:val="both"/>
      </w:pPr>
      <w:r>
        <w:rPr>
          <w:rFonts w:ascii="Barlow Semi Condensed" w:cs="Barlow Semi Condensed" w:eastAsia="Barlow Semi Condensed" w:hAnsi="Barlow Semi Condensed"/>
          <w:sz w:val="24"/>
          <w:szCs w:val="24"/>
        </w:rPr>
        <w:t xml:space="preserve">Alla contabilità dei giudicati appartiene, per completezza documentale, la loro esecuzione nel tempo, che il registro censisce quale dato di ordinamento: le condanne all'ergastolo irrevocabili per via Fani e per il sequestro sono transitate, nei decenni, attraverso gli istituti dell'esecuzione penale ordinaria, la liberazione condizionale, la semilibertà, i benefici della legislazione premiale e dell'ordinamento penitenziario riformato, sicché nessuno dei condannati del nucleo storico sconta oggi detenzione in forma piena, Livello A quanto al quadro complessivo degli esiti esecutivi, quale risulta dagli atti pubblici. Il registro riporta il dato spoglio di ogni valutazione, che non gli compete, e ne fissa la sola funzione analitica: la parabola esecutiva documenta che lo Stato applicò agli autori del fatto più grave della sua storia repubblicana l'ordinamento comune, senza regimi d'eccezione perpetui, e questa normalità dell'esecuzione, qualunque giudizio se ne dia, è essa stessa un reperto sul sistema, la controprova per fatti concludenti che la Repubblica uscita dai 55 giorni scelse di vincere la propria guerra dentro le regole che l'avversario aveva dichiarato di voler abbattere. La circostanza che i protagonisti liberi della vicenda ne siano divenuti, come i capitoli hanno censito, i narratori pubblici appartiene alla medesima parabola: il registro l'ha già disciplinata sul piano delle fonti, e qui la chiude sul piano dei fatti.</w:t>
      </w:r>
    </w:p>
    <w:p>
      <w:pPr>
        <w:spacing w:after="120" w:line="276"/>
        <w:jc w:val="both"/>
      </w:pPr>
      <w:r>
        <w:rPr>
          <w:rFonts w:ascii="Barlow Semi Condensed" w:cs="Barlow Semi Condensed" w:eastAsia="Barlow Semi Condensed" w:hAnsi="Barlow Semi Condensed"/>
          <w:sz w:val="24"/>
          <w:szCs w:val="24"/>
        </w:rPr>
        <w:t xml:space="preserve">La genealogia operativa dell'azione del 1978 ha il suo antecedente maggiore nel sequestro del giudice Mario Sossi, che il registro censisce quale matrice sperimentale di ogni grammatica successiva: il sostituto procuratore genovese fu sequestrato dall'organizzazione il 18 aprile 1974 e detenuto per 35 giorni, sottoposto al primo processo proletario della storia brigatista, con comunicati numerati, fotografia del prigioniero sotto l'insegna e richiesta di scambio con i detenuti di un gruppo armato genovese; la Corte d'appello concesse la libertà provvisoria richiesta, il procuratore generale Francesco Coco ne bloccò l'esecuzione con il ricorso, e l'organizzazione rilasciò unilateralmente il prigioniero il 23 maggio, incassando la dimostrazione politica e rinviando il conto, che 2 anni dopo, con l'agguato al medesimo procuratore generale già censito, avrebbe saldato nel sangue, Livello A sull'intera vicenda giudicata. Il registro fissa la funzione del precedente: il 1974 genovese contiene, in scala ridotta e con esito incruento per l'ostaggio, l'intero repertorio del 1978, il processo, i comunicati, la foto, lo scambio, la contesa tra i poteri dello Stato sulla trattabilità, e la distanza tra i 2 epiloghi, il rilascio di Sossi e via Caetani, misura esattamente il cammino compiuto dall'organizzazione nel quadriennio, dalla propaganda armata che restituisce l'ostaggio alla guerra dichiarata che lo giustizia.</w:t>
      </w:r>
    </w:p>
    <w:p>
      <w:pPr>
        <w:spacing w:after="120" w:line="276"/>
        <w:jc w:val="both"/>
      </w:pPr>
      <w:r>
        <w:rPr>
          <w:rFonts w:ascii="Barlow Semi Condensed" w:cs="Barlow Semi Condensed" w:eastAsia="Barlow Semi Condensed" w:hAnsi="Barlow Semi Condensed"/>
          <w:sz w:val="24"/>
          <w:szCs w:val="24"/>
        </w:rPr>
        <w:t xml:space="preserve">Al medesimo quadriennio appartiene il teatro giudiziario parallelo che accompagnò i 55 giorni e che il registro censisce quale loro specchio istituzionale: il processo al nucleo storico dell'organizzazione, apertosi a Torino dopo anni di rinvii imposti dall'intimidazione sistematica, l'uccisione nel 1977 del presidente dell'ordine degli avvocati torinesi Fulvio Croce, incaricato delle difese d'ufficio, e la renitenza di massa dei cittadini estratti quali giurati, si celebrò infine, in aula blindata, negli stessi mesi del sequestro, sicché la primavera del 1978 vide la Repubblica e l'organizzazione processarsi reciprocamente in simultanea, lo Stato a Torino con i fondatori alla sbarra, l'organizzazione nella prigione del popolo con il presidente della Democrazia cristiana, e la sentenza torinese di condanna giunse il 23 giugno 1978, a 45 giorni da via Caetani, Livello A quanto alla scansione ed agli esiti. Il registro consegna la simultaneità alla sua lettura documentale: il sequestro fu anche, per dichiarazione della stessa organizzazione nei comunicati censiti, la risposta di piazza al processo di Torino, ed il duello delle 2 aule, quella dello Stato e quella sedicente del popolo, con i loro 2 verdetti sfalsati di poche settimane, è la messa in scena più nitida che la stagione abbia prodotto del conflitto tra i 2 ordinamenti che si contendevano, nel 1978, il monopolio della giustizia.</w:t>
      </w:r>
    </w:p>
    <w:p>
      <w:pPr>
        <w:spacing w:after="120" w:line="276"/>
        <w:jc w:val="both"/>
      </w:pPr>
      <w:r>
        <w:rPr>
          <w:rFonts w:ascii="Barlow Semi Condensed" w:cs="Barlow Semi Condensed" w:eastAsia="Barlow Semi Condensed" w:hAnsi="Barlow Semi Condensed"/>
          <w:sz w:val="24"/>
          <w:szCs w:val="24"/>
        </w:rPr>
        <w:t xml:space="preserve">La campagna di avvicinamento al sequestro ebbe infine il suo bersaglio funzionale più eloquente, che il registro aggiunge ai caduti già censiti delle settimane precedenti: il 14 febbraio 1978, un mese e 2 giorni prima di via Fani, fu assassinato a Roma il magistrato Riccardo Palma, addetto alla direzione generale competente sull'edilizia penitenziaria, colpito quale responsabile tecnico del programma delle carceri speciali, Livello A quanto al fatto ed alla rivendicazione. La selezione del bersaglio è il reperto: l'organizzazione che si apprestava a catturare il massimo prigioniero politico della propria storia colpì, alla vigilia, l'uomo dello Stato che costruiva le prigioni destinate ai suoi militanti, in una simmetria carceraria che i documenti interni della campagna avrebbero reso esplicita e che il registro annota quale ulteriore prova della pianificazione lunga: la primavera del 1978 fu preparata colpendo, uno per uno, i gangli funzionali della risposta dello Stato, il maresciallo dell'antiterrorismo torinese, il magistrato delle carceri, secondo una progressione che i giudicati avrebbero ricostruito e che priva retrospettivamente l'agguato di via Fani di ogni carattere di fulmine a ciel sereno: il cielo era annunciato da mesi, e la contabilità dei caduti dell'inverno ne è l'archivio.</w:t>
      </w:r>
    </w:p>
    <w:p>
      <w:pPr>
        <w:spacing w:after="120" w:line="276"/>
        <w:jc w:val="both"/>
      </w:pPr>
      <w:r>
        <w:rPr>
          <w:rFonts w:ascii="Barlow Semi Condensed" w:cs="Barlow Semi Condensed" w:eastAsia="Barlow Semi Condensed" w:hAnsi="Barlow Semi Condensed"/>
          <w:sz w:val="24"/>
          <w:szCs w:val="24"/>
        </w:rPr>
        <w:t xml:space="preserve">Alla nomenclatura interna dell'operazione appartiene infine il reperto onomastico che la memorialistica dei protagonisti e le acquisizioni convergenti consegnano: nel lessico cifrato dell'organizzazione l'operazione ed il prigioniero furono designati con il nome in codice Fritz, l'etichetta che ricorre nelle ricostruzioni interne della gestione dei 55 giorni, Livello B quanto al dato, fondato sulla convergenza delle fonti dichiarative interne. Il registro censisce il nome per la sua funzione documentale minima e lo consegna senza sovrainterpretazioni: la scelta di un nome tedesco per il prigioniero italiano appartiene alla fenomenologia del gergo clandestino, che il metodo registra quale traccia e non decifra quale messaggio, e la sua utilità per l'opera sta altrove, nel fornire la chiave lessicale con cui riconoscere, nelle fonti interne citate lungo la fase, i riferimenti all'operazione quando i documenti evitano il nome vero.</w:t>
      </w:r>
    </w:p>
    <w:p>
      <w:pPr>
        <w:spacing w:after="120" w:line="276"/>
        <w:jc w:val="both"/>
      </w:pPr>
      <w:r>
        <w:rPr>
          <w:rFonts w:ascii="Barlow Semi Condensed" w:cs="Barlow Semi Condensed" w:eastAsia="Barlow Semi Condensed" w:hAnsi="Barlow Semi Condensed"/>
          <w:sz w:val="24"/>
          <w:szCs w:val="24"/>
        </w:rPr>
        <w:t xml:space="preserve">La dissoluzione dell'organizzazione ebbe infine il suo strumento decisivo, che il registro censisce quale contrappunto istituzionale dell'intera parabola: la legislazione premiale, inaugurata dal decreto antiterrorismo del dicembre 1979 convertito nella legge del febbraio 1980 e compiuta dalla legge del 29 maggio 1982 numero 304 sulla dissociazione e la collaborazione, che scambiò riduzioni di pena con la rottura del vincolo clandestino e produsse, nel triennio, l'emorragia di collaboratori che i processi censiti in questo capitolo incorporarono, Livello A quanto agli strumenti normativi ed ai loro effetti processuali documentati. Il registro fissa la lettura strutturale che la sequenza impone: l'organizzazione che aveva retto militarmente all'urto dei 55 giorni e delle stagioni successive fu dissolta non da un'operazione ma da un istituto giuridico, che ne aggredì il fondamento antropologico, l'irreversibilità della scelta clandestina, offrendo a ciascun militante un prezzo individuale per l'uscita; e la rapidità del crollo, misurabile nella progressione delle catture e dei covi caduti tra il 1980 ed il 1982 su indicazione dei collaboratori, dimostra che la compartimentazione censita quale forza dei 55 giorni era anche la debolezza speculare del sistema, poiché ogni nodo che si arrendeva consegnava per intero il proprio comparto. Nella contabilità della fase, la legge premiale è perciò la vera vincitrice del duello che il capitolo ha ricostruito: lo Stato che non aveva trovato la prigione di via Montalcini in 55 giorni di caccia smantellò l'intera organizzazione in 36 mesi di codice, e la sproporzione tra i 2 esiti è la misura esatta della differenza, che l'intera opera documenta, tra la forza degli apparati e la forza degli ordinamenti.</w:t>
      </w:r>
    </w:p>
    <w:p>
      <w:pPr>
        <w:spacing w:after="120" w:line="276"/>
        <w:jc w:val="both"/>
      </w:pPr>
      <w:r>
        <w:rPr>
          <w:rFonts w:ascii="Barlow Semi Condensed" w:cs="Barlow Semi Condensed" w:eastAsia="Barlow Semi Condensed" w:hAnsi="Barlow Semi Condensed"/>
          <w:sz w:val="24"/>
          <w:szCs w:val="24"/>
        </w:rPr>
        <w:t xml:space="preserve">La diaspora dei latitanti si chiude con l'ultima cattura, che il registro censisce quale sigillo cronologico della vicenda giudiziaria: Rita Algranati, presente sulla scena di via Fani secondo i giudicati e condannata in via definitiva all'ergastolo, fu arrestata al Cairo nel gennaio 2004 e consegnata all'Italia, ultima dei protagonisti dell'agguato ad essere ripresa, 26 anni dopo i fatti, Livello A quanto alla cattura, alla data ed al titolo esecutivo. Il registro annota la misura temporale che il caso consegna: tra il primo arresto della rete del sequestro e l'ultimo corrono oltre 25 anni, un quarto di secolo di esecuzione penale diluita che colloca il caso Moro, anche sotto questo profilo, nella fisiologia patologica dell'intero corpus, dove nessuna resa dei conti è mai stata simultanea e la giustizia ha raggiunto i responsabili per generazioni successive, con l'effetto strutturale che l'opera registra in ogni fase: quando l'ultimo esecutore entra in aula, i mandanti eventuali della prima ora sono ormai, nella migliore delle ipotesi, testimoni anziani, e nella peggiore, lapidi.</w:t>
      </w:r>
    </w:p>
    <w:p>
      <w:pPr>
        <w:spacing w:after="120" w:line="276"/>
        <w:jc w:val="both"/>
      </w:pPr>
      <w:r>
        <w:rPr>
          <w:rFonts w:ascii="Barlow Semi Condensed" w:cs="Barlow Semi Condensed" w:eastAsia="Barlow Semi Condensed" w:hAnsi="Barlow Semi Condensed"/>
          <w:sz w:val="24"/>
          <w:szCs w:val="24"/>
        </w:rPr>
        <w:t xml:space="preserve">La parabola dell'organizzazione esige la sua scheda genetica, che il registro premette ai giudicati: il nucleo fondativo si aggregò tra il 1969 ed il 1970 dalla confluenza tra il collettivo politico metropolitano milanese e l'area emiliana proveniente dalla dissidenza giovanile comunista, con il passaggio attraverso la formazione di Sinistra proletaria e l'adozione della sigla nel corso del 1970, quando le prime azioni firmate colpirono con sabotaggi ed incendi dimostrativi i quadri intermedi della Sit-Siemens e della Pirelli, le 2 fabbriche-laboratorio della militanza originaria, Livello A quanto alla genealogia ed alle prime azioni documentate. Il registro fissa la traiettoria che i giudicati avrebbero poi scandito: dalla propaganda armata di fabbrica del biennio 1970-72, ai sequestri dimostrativi brevi del 1972-74, al salto del 1974 con la prima uccisione e la campagna contro lo Stato, sino alla militarizzazione integrale del 1976-78 che il capitolo censisce, l'organizzazione percorse in 8 anni l'intera scala dell'escalation, e la lettura strutturale che il registro ne trae appartiene al metodo dell'opera: ogni gradino fu superato dopo che il precedente non aveva prodotto la repressione risolutiva, sicché la curva ascendente della violenza brigatista è anche, in negativo, la curva discendente della capacità di risposta tempestiva dello Stato, ed il 16 marzo 1978 sta in cima ad entrambe.</w:t>
      </w:r>
    </w:p>
    <w:p>
      <w:pPr>
        <w:spacing w:after="120" w:line="276"/>
        <w:jc w:val="both"/>
      </w:pPr>
      <w:r>
        <w:rPr>
          <w:rFonts w:ascii="Barlow Semi Condensed" w:cs="Barlow Semi Condensed" w:eastAsia="Barlow Semi Condensed" w:hAnsi="Barlow Semi Condensed"/>
          <w:sz w:val="24"/>
          <w:szCs w:val="24"/>
        </w:rPr>
        <w:t xml:space="preserve">La deliberazione dell'azione esige la mappa dell'organo che la assunse, ed il registro la censisce dai giudicati: al vertice operativo dell'organizzazione sedeva nel 1978 il Comitato esecutivo, l'organo ristretto di 4 membri, Moretti, Bonisoli, Azzolini e Micaletto, che deliberò e sovrintese la campagna di primavera, interfaccia tra la Direzione strategica, sede della linea politica già censita, e le colonne territoriali incaricate dell'esecuzione, Livello A quanto alla composizione ed alle attribuzioni accertate nei processi. Il registro annota la geometria che la mappa consegna alla storia giudiziaria del caso: dei 4 deliberanti, 2 furono catturati con il covo milanese dell'ottobre 1978 ed il terzo nel 1980, sicché a 30 mesi dall'agguato i 3 quarti dell'organo che lo aveva deciso erano detenuti, mentre il quarto, il capo, resse la clandestinità sino all'aprile 1981, e questa velocità di decapitazione, che contrasta con la durata generazionale delle latitanze dei gregari censita nel capitolo, rivela la struttura del prezzo pagato dall'organizzazione: la campagna del 1978 bruciò il vertice che l'aveva concepita nel giro di una stagione militare, e la storia successiva della sigla, le scissioni, la deriva, la dissoluzione premiale, è la storia di un corpo che sopravvisse 4 anni alla propria testa.</w:t>
      </w:r>
    </w:p>
    <w:p>
      <w:pPr>
        <w:spacing w:after="120" w:line="276"/>
        <w:jc w:val="both"/>
      </w:pPr>
      <w:r>
        <w:rPr>
          <w:rFonts w:ascii="Barlow Semi Condensed" w:cs="Barlow Semi Condensed" w:eastAsia="Barlow Semi Condensed" w:hAnsi="Barlow Semi Condensed"/>
          <w:sz w:val="24"/>
          <w:szCs w:val="24"/>
        </w:rPr>
        <w:t xml:space="preserve">La logistica romana dell'operazione esige la sua mappa unitaria, che il registro compone dai giudicati: la campagna poggiò su una costellazione di basi nella capitale, l'appartamento di via Gradoli quale covo direttivo della colonna, la prigione di via Montalcini, la tipografia di via Pio Foà quale officina dei comunicati, oltre agli appoggi minori censiti dalle istruttorie, una rete immobiliare acquisita e gestita con identità di copertura nei mesi e negli anni precedenti l'azione, Livello A quanto alla costellazione accertata nei processi. Il registro consegna la mappa alla sua lettura d'insieme, che le trattazioni per singolo indirizzo disperdono: la geografia delle basi disegna un dispositivo urbano completo, direzione, detenzione, comunicazione, distribuito su quadranti diversi della città e mai interamente caduto durante i 55 giorni, e la sua preesistenza documentata all'agguato, con acquisizioni immobiliari che risalgono a stagioni precedenti, è la prova materiale più solida che il corpus possieda della pianificazione lunga, perché le parole si improvvisano ed i contratti no, sicché la vera data d'inizio dell'operazione Fritz non è il 16 marzo 1978 ma il giorno, mesi ed anni prima, in cui l'organizzazione cominciò a comprare ed affittare la propria Roma parallela, ed è su quel calendario immobiliare, non su quello balistico, che si misura la profondità della decisione.</w:t>
      </w:r>
    </w:p>
    <w:p>
      <w:pPr>
        <w:spacing w:after="120" w:line="276"/>
        <w:jc w:val="both"/>
      </w:pPr>
      <w:r>
        <w:rPr>
          <w:rFonts w:ascii="Barlow Semi Condensed" w:cs="Barlow Semi Condensed" w:eastAsia="Barlow Semi Condensed" w:hAnsi="Barlow Semi Condensed"/>
          <w:sz w:val="24"/>
          <w:szCs w:val="24"/>
        </w:rPr>
        <w:t xml:space="preserve">La prosopografia della colonna esige il suo bilancio generazionale, che il registro formula sui dati anagrafici dei condannati: gli uomini e le donne che condussero l'operazione appartenevano quasi per intero alla generazione nata tra la fine della guerra ed i primi anni Cinquanta, giovani adulti tra i 25 ed i 35 anni al momento dei fatti, di estrazione mista operaia, impiegatizia e studentesca, formatisi politicamente nel decennio 1968-1977 e transitati alla clandestinità attraverso i percorsi che le sentenze ricostruiscono, Livello A quanto ai profili anagrafici dei giudicati. Il registro consegna il dato alla sua lettura storica: l'organizzazione che sequestrò l'uomo della generazione costituente era interamente composta dai figli dell'Italia repubblicana, nati dentro lo Stato che dichiaravano di combattere, e lo scarto anagrafico tra il prigioniero, classe 1916, formato nel regime e protagonista della Costituente, ed i suoi custodi, cresciuti nella democrazia che egli aveva contribuito a fondare, fa del sequestro anche un fatto generazionale estremo, il processo armato che una parte minuscola e perduta dei figli istruì al padre della Repubblica, e questa dimensione, che nessuna aula poteva giudicare, appartiene alla comprensione storica del caso quanto le traiettorie balistiche, perché spiega ciò che i processi non dovevano spiegare, la temperatura del decennio che rese pensabile l'impensabile.</w:t>
      </w:r>
    </w:p>
    <w:p>
      <w:pPr>
        <w:spacing w:after="120" w:line="276"/>
        <w:jc w:val="both"/>
      </w:pPr>
      <w:r>
        <w:rPr>
          <w:rFonts w:ascii="Barlow Semi Condensed" w:cs="Barlow Semi Condensed" w:eastAsia="Barlow Semi Condensed" w:hAnsi="Barlow Semi Condensed"/>
          <w:b/>
          <w:bCs/>
          <w:sz w:val="24"/>
          <w:szCs w:val="24"/>
        </w:rPr>
        <w:t xml:space="preserve">Sintesi del dato nuovo acquisito:</w:t>
      </w:r>
      <w:r>
        <w:rPr>
          <w:rFonts w:ascii="Barlow Semi Condensed" w:cs="Barlow Semi Condensed" w:eastAsia="Barlow Semi Condensed" w:hAnsi="Barlow Semi Condensed"/>
          <w:sz w:val="24"/>
          <w:szCs w:val="24"/>
        </w:rPr>
        <w:t xml:space="preserve"> il nodo Brigate Rosse è certificato al Livello A quanto alla deliberazione, alla direzione esecutiva di Moretti, alla composizione giudicata del commando di via Fani, alla custodia di via Montalcini con Braghetti, Maccari, Gallinari e Moretti, e alla formazione del quadro in 5 procedimenti irrevocabili lungo 15 anni; l'apparato dichiarativo dell'organizzazione è disciplinato distinguendo le ammissioni recepite dalle esclusioni da riscontrare, con la formula per cui l'assenza di prova del concorso esterno non è prova dell'assenza; la genealogia comune con la componente Simioni, poi parigina, è certificata al Livello A e consegnata al nodo Hyperion.</w:t>
      </w:r>
    </w:p>
    <w:p>
      <w:pPr>
        <w:pStyle w:val="Heading3"/>
        <w:spacing w:after="80" w:before="160"/>
      </w:pPr>
      <w:r>
        <w:rPr>
          <w:rFonts w:ascii="Barlow Semi Condensed" w:cs="Barlow Semi Condensed" w:eastAsia="Barlow Semi Condensed" w:hAnsi="Barlow Semi Condensed"/>
          <w:sz w:val="24"/>
          <w:szCs w:val="24"/>
        </w:rPr>
        <w:t xml:space="preserve">Capitolo 4 — ■ I 55 giorni. La condotta dello Stato, le anomalie e i depistaggi</w:t>
      </w:r>
    </w:p>
    <w:p>
      <w:pPr>
        <w:spacing w:after="120" w:line="276"/>
        <w:jc w:val="both"/>
      </w:pPr>
      <w:r>
        <w:rPr>
          <w:rFonts w:ascii="Barlow Semi Condensed" w:cs="Barlow Semi Condensed" w:eastAsia="Barlow Semi Condensed" w:hAnsi="Barlow Semi Condensed"/>
          <w:sz w:val="24"/>
          <w:szCs w:val="24"/>
        </w:rPr>
        <w:t xml:space="preserve">I 55 giorni tra l'agguato e il ritrovamento del corpo sono il nodo-evento del piano secondo: la condotta delle istituzioni e degli apparati durante il sequestro, che il registro ricostruisce nei suoi fatti certificati, nelle sue anomalie documentate e nei suoi depistaggi accertati, mantenendo su ogni elemento la decomposizione dei piani. Il quadro istituzionale è certificato al Livello A: il governo tenne la linea della fermezza, il rifiuto di ogni trattativa ufficiale con l'organizzazione, sostenuta dai 2 maggiori partiti e contrastata, nel sistema politico, dall'area socialista favorevole all'esplorazione umanitaria; presso il Ministero dell'interno, retto da Francesco Cossiga, operarono i comitati di crisi, tecnico-operativo e informativo, che coordinarono le ricerche; e le ricerche, condotte con uno spiegamento di forze senza precedenti, decine di migliaia di uomini, centinaia di migliaia di perquisizioni e controlli, non individuarono mai né la prigione né i sequestratori.</w:t>
      </w:r>
    </w:p>
    <w:p>
      <w:pPr>
        <w:spacing w:after="120" w:line="276"/>
        <w:jc w:val="both"/>
      </w:pPr>
      <w:r>
        <w:rPr>
          <w:rFonts w:ascii="Barlow Semi Condensed" w:cs="Barlow Semi Condensed" w:eastAsia="Barlow Semi Condensed" w:hAnsi="Barlow Semi Condensed"/>
          <w:sz w:val="24"/>
          <w:szCs w:val="24"/>
        </w:rPr>
        <w:t xml:space="preserve">Il primo pilastro è la compresenza piduista nei comitati di crisi, che il registro certifica al Livello A sul fondamento degli accertamenti della Commissione Anselmi e salda alle acquisizioni della Fase 2. I vertici dei servizi che sedevano negli organismi di gestione della crisi, il direttore del servizio militare Santovito, il direttore del servizio civile Grassini, il prefetto Pelosi al coordinamento, risulteranno iscritti alla loggia P2, come la Fase 2 ha certificato quale cattura del vertice informativo; e negli elenchi sequestrati nel 1981 figureranno ulteriori funzionari e ufficiali con ruoli nella stagione. Il registro certifica al Livello A la compresenza, quale fatto documentale incontrovertibile: gli organismi che gestirono la ricerca di Moro erano diretti, nelle loro componenti informative, da uomini appartenenti alla loggia coperta. E applica immediatamente il divieto: la compresenza certificata non prova che la loggia abbia orientato la gestione, né che l'esito delle ricerche sia stato deliberato; essa colloca la gestione della crisi dentro il perimetro della cattura piduista già certificata, e consegna al piano terzo, quale ipotesi, ogni lettura finalistica. La lente della doppia lealtà, dichiarata in avvertenza, trova qui il suo primo oggetto: la condotta di uomini simultaneamente vincolati all'istituzione e alla loggia è il fenomeno che quella lente mette a fuoco, senza per questo trasformare la messa a fuoco in prova.</w:t>
      </w:r>
    </w:p>
    <w:p>
      <w:pPr>
        <w:spacing w:after="120" w:line="276"/>
        <w:jc w:val="both"/>
      </w:pPr>
      <w:r>
        <w:rPr>
          <w:rFonts w:ascii="Barlow Semi Condensed" w:cs="Barlow Semi Condensed" w:eastAsia="Barlow Semi Condensed" w:hAnsi="Barlow Semi Condensed"/>
          <w:sz w:val="24"/>
          <w:szCs w:val="24"/>
        </w:rPr>
        <w:t xml:space="preserve">Il secondo pilastro è la sequenza delle anomalie documentate, che il registro censisce nelle 3 principali con la qualificazione propria di ciascuna. La prima è la vicenda di via Gradoli: il covo della colonna romana, base di Moretti e Balzerani, al civico 96 di via Gradoli a Roma, fu scoperto il 18 aprile per una perdita d'acqua segnalata dai vicini, dopo che, nelle settimane precedenti, il nome Gradoli era emerso in una circostanza tanto documentata quanto singolare, una seduta spiritica tenuta il 2 aprile presso docenti universitari bolognesi, a seguito della quale le verifiche si erano dirette sul comune di Gradoli nel Viterbese e non sulla via romana, che pure esisteva nello stradario; il registro certifica al Livello A l'intera sequenza fattuale, quale risultanza degli atti parlamentari, e la registra senza attribuirle significato ulteriore, annotando che essa documenta, quale che ne sia la spiegazione, la qualità della circolazione informativa attorno alle ricerche. La seconda anomalia è il falso comunicato del lago della Duchessa: il 18 aprile, lo stesso giorno della scoperta del covo, fu diffuso un falso comunicato numero 7 dell'organizzazione, che annunciava l'avvenuta esecuzione del prigioniero e l'occultamento del corpo nel lago della Duchessa, sull'Appennino reatino, innescando imponenti e vane operazioni di ricerca; le perizie e gli accertamenti successivi attribuirono la confezione del falso a Antonio Chichiarelli, falsario romano gravitante nell'orbita della banda della Magliana, mai processato per il fatto perché assassinato nel 1984. Il registro certifica al Livello A la falsità del comunicato e il suo effetto diversivo, e al Livello B l'attribuzione a Chichiarelli, quale convergenza di accertamenti tecnici non consacrata da giudicato; e dichiara il rilievo reticolare dell'attribuzione: essa introduce nel caso Moro, attraverso il falsario, l'orbita della banda della Magliana certificata nella Fase 1, e costituisce l'arco documentato tra il quadrilatero criminale romano e la gestione comunicativa del sequestro, la cui direzione e il cui scopo, depistaggio a beneficio di chi, restano al Livello C. La terza anomalia è il complesso delle segnalazioni non sviluppate, censite dalle commissioni: indicazioni pervenute durante i 55 giorni e non adeguatamente riscontrate, che il registro registra cumulativamente al Livello A quanto alla loro esistenza documentale e al Livello C quanto a ogni lettura intenzionale.</w:t>
      </w:r>
    </w:p>
    <w:p>
      <w:pPr>
        <w:spacing w:after="120" w:line="276"/>
        <w:jc w:val="both"/>
      </w:pPr>
      <w:r>
        <w:rPr>
          <w:rFonts w:ascii="Barlow Semi Condensed" w:cs="Barlow Semi Condensed" w:eastAsia="Barlow Semi Condensed" w:hAnsi="Barlow Semi Condensed"/>
          <w:sz w:val="24"/>
          <w:szCs w:val="24"/>
        </w:rPr>
        <w:t xml:space="preserve">Il terzo pilastro è la questione della trattativa e dei canali, che il registro tratta per la sua rilevanza sul piano della condotta. Accanto alla linea ufficiale della fermezza, gli atti documentano l'attivazione di canali non ufficiali: le esplorazioni dell'area socialista attraverso intermediari verso l'ambiente dell'organizzazione, documentate al Livello A dalle testimonianze convergenti dei protagonisti; e i sondaggi verso ambienti della criminalità organizzata per la localizzazione della prigione, riferiti da una pluralità di collaboratori di giustizia e di atti parlamentari, secondo cui esponenti della malavita romana e di organizzazioni meridionali furono interpellati, con esiti nulli o interrotti; il registro certifica al Livello B l'esistenza di tali sondaggi, quale convergenza di fonti dichiarative plurime di diversa provenienza, e mantiene al Livello C ogni ricostruzione dei loro sviluppi e delle ragioni della loro sterilità. L'annotazione sistemica è dovuta: la circostanza che lo Stato, nel suo momento di massima emergenza, abbia sondato il Dominio 1 quale possessore di capacità informativa territoriale superiore alla propria è, nei limiti della certificazione, un reperto sulla distribuzione reale della conoscenza del territorio che l'intera opera registra.</w:t>
      </w:r>
    </w:p>
    <w:p>
      <w:pPr>
        <w:spacing w:after="120" w:line="276"/>
        <w:jc w:val="both"/>
      </w:pPr>
      <w:r>
        <w:rPr>
          <w:rFonts w:ascii="Barlow Semi Condensed" w:cs="Barlow Semi Condensed" w:eastAsia="Barlow Semi Condensed" w:hAnsi="Barlow Semi Condensed"/>
          <w:sz w:val="24"/>
          <w:szCs w:val="24"/>
        </w:rPr>
        <w:t xml:space="preserve">Il registro chiude il quadro istituzionale con il dato della responsabilità politica assunta: la mattina del 9 maggio, alla notizia del ritrovamento del corpo, il ministro dell'interno Francesco Cossiga, titolare della gestione della crisi e dei comitati, rassegnò le dimissioni, motivandole con il fallimento dell'azione di ricerca e protezione; il registro certifica al Livello A le dimissioni quale unico atto formale di assunzione di responsabilità istituzionale dell'intera vicenda, e annota che il nome di Cossiga ricorre nel corpus 343 volte in 40 documenti, misura della centralità della sua posizione in ogni successiva ricostruzione dei 55 giorni, incluse le sue stesse dichiarazioni pubbliche dei decenni seguenti, che il registro tratta quale apparato di fonte protagonista, ricco, mutevole e da riscontrare enunciato per enunciato.</w:t>
      </w:r>
    </w:p>
    <w:p>
      <w:pPr>
        <w:spacing w:after="120" w:line="276"/>
        <w:jc w:val="both"/>
      </w:pPr>
      <w:r>
        <w:rPr>
          <w:rFonts w:ascii="Barlow Semi Condensed" w:cs="Barlow Semi Condensed" w:eastAsia="Barlow Semi Condensed" w:hAnsi="Barlow Semi Condensed"/>
          <w:sz w:val="24"/>
          <w:szCs w:val="24"/>
        </w:rPr>
        <w:t xml:space="preserve">Il quarto pilastro è la presenza del consulente americano, che il registro certifica nei fatti e disciplina nelle dichiarazioni. Nei primi giorni del sequestro giunse a Roma, su richiesta italiana al governo degli Stati Uniti, un esperto del Dipartimento di Stato in gestione di crisi e negoziazione, Steve Pieczenik, che operò per alcune settimane presso il Ministero dell'interno a supporto del comitato di crisi, ripartendo prima della conclusione della vicenda. Il registro certifica al Livello A la presenza, la collocazione e la durata della consulenza, quali fatti documentati negli atti parlamentari; e disciplina l'apparato dichiarativo successivo del consulente, che a distanza di decenni ha reso, in sedi giornalistiche e in audizioni, ricostruzioni del proprio ruolo di crescente drammaticità, sino ad attribuire alla gestione della crisi strategie deliberate di sacrificio dell'ostaggio: il registro le assume quali dichiarazioni tardive, mutevoli nelle versioni e prive di riscontro documentale coevo, e le mantiene al Livello C, certificando al Livello A soltanto ciò che la presenza documenta di per sé, l'esistenza di un canale consultivo diretto tra la gestione italiana della crisi e l'apparato della potenza alleata, attivo nelle settimane centrali del sequestro: un arco di Livello A tra il piano secondo e la dimensione atlantica, il cui contenuto operativo resta ai livelli inferiori.</w:t>
      </w:r>
    </w:p>
    <w:p>
      <w:pPr>
        <w:spacing w:after="120" w:line="276"/>
        <w:jc w:val="both"/>
      </w:pPr>
      <w:r>
        <w:rPr>
          <w:rFonts w:ascii="Barlow Semi Condensed" w:cs="Barlow Semi Condensed" w:eastAsia="Barlow Semi Condensed" w:hAnsi="Barlow Semi Condensed"/>
          <w:sz w:val="24"/>
          <w:szCs w:val="24"/>
        </w:rPr>
        <w:t xml:space="preserve">Il quinto pilastro è la questione delle intestazioni di via Gradoli, che completa il censimento delle anomalie. Le inchieste parlamentari accertarono che nello stabile del civico 96, e in immobili contigui della medesima strada, una quota cospicua di appartamenti risultava riconducibile, attraverso intestazioni societarie e fiduciarie, ad ambienti collegati ai servizi di sicurezza, che ne avevano fatto un'area di appoggi riservati; la base della colonna romana operò dunque, per mesi, in un contesto immobiliare frequentato dagli apparati. Il registro certifica al Livello B questa configurazione, quale risultanza delle ricognizioni parlamentari sulle intestazioni, e applica il divieto nella forma più stretta: la coabitazione topografica tra il covo e gli appoggi degli apparati è un dato di convergenza spaziale del Pattern 10, certificato quale configurazione; ogni inferenza di conoscenza o tolleranza resta al Livello C, e il registro annota che questo caso, la più stretta convergenza spaziale non spiegata dell'opera, è il luogo dove la distinzione tra il pattern e la prova va tenuta con la massima fermezza, giacché la suggestione topografica è qui al suo massimo e la documentazione del nesso al suo minimo.</w:t>
      </w:r>
    </w:p>
    <w:p>
      <w:pPr>
        <w:spacing w:after="120" w:line="276"/>
        <w:jc w:val="both"/>
      </w:pPr>
      <w:r>
        <w:rPr>
          <w:rFonts w:ascii="Barlow Semi Condensed" w:cs="Barlow Semi Condensed" w:eastAsia="Barlow Semi Condensed" w:hAnsi="Barlow Semi Condensed"/>
          <w:sz w:val="24"/>
          <w:szCs w:val="24"/>
        </w:rPr>
        <w:t xml:space="preserve">Il sesto pilastro scandisce la sequenza dei comunicati dell'organizzazione, l'ossatura comunicativa dei 55 giorni, che il registro fissa con le date quale apparato certificato al Livello A. Il comunicato numero 1, del 18 marzo, rivendicò l'azione e recò la prima fotografia del prigioniero davanti alla bandiera dell'organizzazione, annunciando il processo; il numero 2, del 25 marzo, e il numero 3, del 29 marzo, svilupparono la cornice del processo al regime, e con il terzo giunse la prima lettera, quella al ministro dell'interno; il numero 4, del 4 aprile, e il numero 5, del 10 aprile, proseguirono la scansione, respingendo le letture riduttive della prigionia; il numero 6, del 15 aprile, annunciò la conclusione del processo e la condanna a morte del prigioniero, portando la crisi alla soglia terminale; il 18 aprile circolò il falso comunicato numero 7, l'annuncio della morte al lago della Duchessa, cui l'organizzazione rispose il 20 aprile con il comunicato numero 7 autentico, accompagnato dalla fotografia del prigioniero con la prima pagina di un quotidiano del 19 aprile, prova di vita e smentita del falso, e con un ultimatum di 48 ore; il numero 8, del 24 aprile, formulò la richiesta di scambio nella sua forma esplicita, la liberazione di 13 detenuti nominativamente elencati; il numero 9, del 5 maggio, annunciò l'esecuzione della sentenza con la formula della conclusione della battaglia, cui seguirono, il 9 maggio, la telefonata e il ritrovamento. Il registro certifica la sequenza quale spina documentale della crisi e ne trae 2 annotazioni: la simmetria informativa rovesciata, per cui durante i 55 giorni l'organizzazione clandestina dettò i tempi della comunicazione pubblica mentre lo Stato inseguiva, è un dato strutturale della vicenda che il Dominio 8 dell'opera registra; e l'inserzione del falso comunicato esattamente tra l'annuncio della condanna e la prova di vita, nel punto di massima tensione della sequenza, misura la precisione chirurgica dell'operazione diversiva, quale che ne sia stata la regia.</w:t>
      </w:r>
    </w:p>
    <w:p>
      <w:pPr>
        <w:spacing w:after="120" w:line="276"/>
        <w:jc w:val="both"/>
      </w:pPr>
      <w:r>
        <w:rPr>
          <w:rFonts w:ascii="Barlow Semi Condensed" w:cs="Barlow Semi Condensed" w:eastAsia="Barlow Semi Condensed" w:hAnsi="Barlow Semi Condensed"/>
          <w:sz w:val="24"/>
          <w:szCs w:val="24"/>
        </w:rPr>
        <w:t xml:space="preserve">Il settimo pilastro ricostruisce la trama dei canali di trattativa, quale gli atti la consegnano. L'iniziativa più strutturata fu quella socialista: il segretario Bettino Craxi, con il coordinamento di Claudio Signorile, costruì un canale verso l'organizzazione attraverso intermediari dell'area dell'autonomia romana, Lanfranco Pace e Franco Piperno, in contatto con l'ala della colonna romana rappresentata da Valerio Morucci e Adriana Faranda, contraria alla soluzione terminale; l'obiettivo dichiarato era un atto autonomo di clemenza dello Stato, sganciato dallo scambio, e la candidata individuata fu la detenuta Paola Besuschio, la cui posizione giuridica avrebbe consentito una grazia, ipotesi che si arenò sugli ostacoli tecnici e sull'opposizione politica della maggioranza; il registro certifica al Livello A l'esistenza, gli attori e l'oggetto del canale, quali risultanze convergenti degli atti parlamentari e delle testimonianze dei protagonisti di ogni versante, e al Livello B la ricostruzione dei suoi passaggi interni. Parallelamente operarono gli appelli: quello pubblico del segretario generale delle Nazioni Unite Waldheim, quello del Pontefice del 21 aprile, censito nel capitolo dell'epilogo, e la posizione della famiglia, che dai comunicati e dalle lettere sollecitò lo Stato alla trattativa dissociandosi progressivamente dalla linea ufficiale, sino alla rottura consumata nelle disposizioni finali del prigioniero. L'ultimo movimento documentato è quello del 9 maggio: per convergenti testimonianze di dirigenti democristiani, la direzione del partito convocata per quella mattina avrebbe dovuto registrare l'apertura di Amintore Fanfani a un gesto umanitario, maturata nei giorni precedenti; la notizia del ritrovamento del corpo giunse prima che la riunione deliberasse. Il registro certifica al Livello B questa ricostruzione dell'ultimo giorno, quale convergenza testimoniale non consacrata da atti, e la registra senza inferenze sulla sequenza, annotando soltanto il dato cronologico certificato: l'esecuzione precedette di ore l'unico spiraglio politico documentato dell'intera crisi.</w:t>
      </w:r>
    </w:p>
    <w:p>
      <w:pPr>
        <w:spacing w:after="120" w:line="276"/>
        <w:jc w:val="both"/>
      </w:pPr>
      <w:r>
        <w:rPr>
          <w:rFonts w:ascii="Barlow Semi Condensed" w:cs="Barlow Semi Condensed" w:eastAsia="Barlow Semi Condensed" w:hAnsi="Barlow Semi Condensed"/>
          <w:sz w:val="24"/>
          <w:szCs w:val="24"/>
        </w:rPr>
        <w:t xml:space="preserve">L'ottavo pilastro censisce il comitato di esperti e ne integra la compresenza già certificata. Accanto ai comitati operativi, il ministro dell'interno istituì, nei primi giorni di aprile, un comitato di consulenza composto da specialisti di criminologia, psichiatria, analisi dei testi e gestione delle crisi, incaricato di valutare i comunicati, le lettere e lo stato del prigioniero: ne fecero parte, tra gli altri, il criminologo Franco Ferracuti e, quale consulente esterno, l'esperto americano già censito. Il registro certifica al Livello A l'istituzione, la composizione e la funzione del comitato, quali risultanze degli atti, e certifica al Livello A, sul fondamento degli elenchi sequestrati nel 1981 e degli accertamenti della Commissione Anselmi, che il nome di Ferracuti figura tra gli iscritti alla loggia P2: la compresenza piduista nella gestione della crisi, già certificata per i vertici dei servizi, si estende dunque, per documento, anche all'organo di consulenza, e il registro la registra quale ampliamento del medesimo reperto, sotto il medesimo divieto inferenziale. La funzione analitica del comitato, le cui valutazioni sulla condizione del prigioniero alimentarono la tesi pubblica della coartazione totale, appartiene alla vicenda delle lettere che il capitolo successivo disciplina, e il registro vi rinvia annotando sin d'ora il punto di saldatura: l'organo che certificò pubblicamente la non attendibilità della voce del prigioniero era, nella sua composizione, parte del sistema di compresenze che il piano secondo documenta.</w:t>
      </w:r>
    </w:p>
    <w:p>
      <w:pPr>
        <w:spacing w:after="120" w:line="276"/>
        <w:jc w:val="both"/>
      </w:pPr>
      <w:r>
        <w:rPr>
          <w:rFonts w:ascii="Barlow Semi Condensed" w:cs="Barlow Semi Condensed" w:eastAsia="Barlow Semi Condensed" w:hAnsi="Barlow Semi Condensed"/>
          <w:sz w:val="24"/>
          <w:szCs w:val="24"/>
        </w:rPr>
        <w:t xml:space="preserve">Il nono pilastro fissa i numeri della macchina delle ricerche, quali i consuntivi ministeriali riportati dagli atti parlamentari li consegnano. Nei 55 giorni furono effettuati oltre 72.000 posti di blocco, condotte circa 37.000 perquisizioni domiciliari, controllate oltre 6 milioni di persone e centinaia di migliaia di veicoli, con l'impiego quotidiano di decine di migliaia di uomini delle forze di polizia e, per i controlli del territorio, di reparti delle forze armate; il registro certifica al Livello A questi ordini di grandezza, quali dati ufficiali, e li compone con l'esito già certificato, la mancata individuazione della prigione, del prigioniero e di alcun componente dell'organizzazione per l'intera durata della crisi. La composizione produce il reperto quantitativo della fase: il più imponente dispiegamento di forze della storia repubblicana per un singolo obiettivo produsse un risultato investigativo nullo, e questa sproporzione certificata tra input e output è il fatto che ogni lettura del piano secondo deve spiegare; il registro annota le 2 spiegazioni compatibili con i dati, l'efficienza della compartimentazione avversaria unita all'inefficienza strutturale di un apparato privo di coordinamento e di intelligence sul terrorismo, documentata dagli atti sulla dissoluzione dei nuclei specializzati alla vigilia della crisi, e la lettura del condizionamento, che il divieto mantiene al suo livello, e osserva che la prima spiegazione, integralmente documentabile, è sufficiente a rendere conto del dato senza residui logici, il che non prova la sua verità ma misura, secondo il metodo delle ipotesi concorrenti, la non necessità della seconda.</w:t>
      </w:r>
    </w:p>
    <w:p>
      <w:pPr>
        <w:spacing w:after="120" w:line="276"/>
        <w:jc w:val="both"/>
      </w:pPr>
      <w:r>
        <w:rPr>
          <w:rFonts w:ascii="Barlow Semi Condensed" w:cs="Barlow Semi Condensed" w:eastAsia="Barlow Semi Condensed" w:hAnsi="Barlow Semi Condensed"/>
          <w:sz w:val="24"/>
          <w:szCs w:val="24"/>
        </w:rPr>
        <w:t xml:space="preserve">Il decimo pilastro censisce il quadro normativo e politico dei 55 giorni. Sul versante normativo, il governo rispose con la decretazione d'urgenza: il decreto-legge del 21 marzo 1978, convertito nelle settimane successive, ampliò i poteri di fermo e di perquisizione, introdusse la possibilità di interrogatorio urgente senza le garanzie ordinarie in casi di sequestro e autorizzò le intercettazioni preventive, disegnando la legislazione emergenziale che sarebbe rimasta, con gli sviluppi del 1979-1980, la cornice del decennio; il registro certifica al Livello A il provvedimento e i suoi contenuti, quale dato normativo. Sul versante politico, le posizioni dei partiti si distribuirono secondo la geometria documentata: la Democrazia Cristiana e il Partito comunista sostennero la linea della fermezza, il secondo con la rigidità maggiore, per la necessità, dichiarata dai suoi dirigenti, di certificare la propria affidabilità di Stato nel momento dell'ingresso in maggioranza; il Partito socialista assunse, dalla metà di aprile, la linea umanitaria censita nel pilastro dei canali; le forze minori si distribuirono tra i 2 poli; il registro certifica al Livello A la geometria, quale materia degli atti parlamentari e congressuali, e ne annota il portato strutturale: la fermezza fu la politica di una maggioranza reale, non di un apparato, e ogni ipotesi sul piano terzo che postuli una gestione contro la volontà politica deve misurarsi con il dato che la volontà politica documentata, maggioritaria e bipartisan, coincise con l'esito.</w:t>
      </w:r>
    </w:p>
    <w:p>
      <w:pPr>
        <w:spacing w:after="120" w:line="276"/>
        <w:jc w:val="both"/>
      </w:pPr>
      <w:r>
        <w:rPr>
          <w:rFonts w:ascii="Barlow Semi Condensed" w:cs="Barlow Semi Condensed" w:eastAsia="Barlow Semi Condensed" w:hAnsi="Barlow Semi Condensed"/>
          <w:sz w:val="24"/>
          <w:szCs w:val="24"/>
        </w:rPr>
        <w:t xml:space="preserve">L'undicesimo pilastro registra l'ultima interlocuzione diretta, la telefonata del 30 aprile 1978. Quel pomeriggio Mario Moretti chiamò l'abitazione di Moro e parlò a lungo con la moglie Eleonora: la conversazione, intercettata e registrata, è l'unico contatto vocale documentato tra il capo dell'operazione e la famiglia, e in essa Moretti, senza declinare la propria identità ma parlando quale portavoce dei carcerieri, rappresentò che soltanto un intervento immediato e pubblico della Democrazia Cristiana nel senso dello scambio avrebbe potuto salvare la vita del prigioniero, definendo esaurito ogni margine ulteriore; il registro certifica al Livello A l'esistenza, la data, la registrazione e il contenuto della telefonata, quale documento sonoro agli atti, e ne dichiara il rilievo duplice: essa è, sul piano primo, la prova diretta della gestione unipersonale della comunicazione da parte di Moretti sino alla soglia finale, e, sul piano della cronologia politica, essa fissa al 30 aprile la formulazione esplicita dell'alternativa che i 9 giorni successivi avrebbero sciolto nel senso certificato; il registro annota che la famiglia trasmise il contenuto ai vertici del partito, e che la sequenza documentata telefonata-comunicato finale-esecuzione-spiraglio fanfaniano compone il calendario terminale della crisi nella forma che il settimo pilastro ha fissato.</w:t>
      </w:r>
    </w:p>
    <w:p>
      <w:pPr>
        <w:spacing w:after="120" w:line="276"/>
        <w:jc w:val="both"/>
      </w:pPr>
      <w:r>
        <w:rPr>
          <w:rFonts w:ascii="Barlow Semi Condensed" w:cs="Barlow Semi Condensed" w:eastAsia="Barlow Semi Condensed" w:hAnsi="Barlow Semi Condensed"/>
          <w:sz w:val="24"/>
          <w:szCs w:val="24"/>
        </w:rPr>
        <w:t xml:space="preserve">Il dodicesimo pilastro censisce lo stato dell'apparato antiterrorismo alla vigilia, il dato istituzionale che governa la lettura dell'inefficienza. Nei mesi immediatamente precedenti il sequestro, nel quadro della riorganizzazione seguita alla riforma dei servizi del 1977, l'Ispettorato generale per la lotta al terrorismo diretto dal questore Emilio Santillo, la struttura specializzata che aveva condotto la stagione investigativa della metà del decennio, fu disciolto e il suo patrimonio di uomini, archivi e conoscenze disperso tra le nuove articolazioni, sicché il 16 marzo 1978 lo Stato affrontò la massima crisi terroristica della propria storia nell'esatto momento di minima capacità specialistica, con i nuclei antiterrorismo dell'Arma parimenti riassorbiti dal 1975 e i nuovi servizi operativi da poche settimane sotto i vertici che la fase ha censito; il registro certifica al Livello A lo scioglimento, la sua collocazione temporale e la dispersione delle competenze, quali dati ordinamentali documentati dagli atti parlamentari, e ne dichiara la funzione capitale nella competizione delle ipotesi: la sincronia tra lo smantellamento della capacità specialistica e l'attacco che quella capacità avrebbe dovuto fronteggiare è il fatto che la lettura dell'inefficienza strutturale pone a proprio fondamento, giacché documenta una causa sufficiente del fallimento delle ricerche interna all'ordinamento, e che la lettura del condizionamento rilegge quale predisposizione, al prezzo del divieto; il registro certifica la sincronia, quale fatto datato, e la consegna, con questa doppia valenza dichiarata, al piano delle ipotesi.</w:t>
      </w:r>
    </w:p>
    <w:p>
      <w:pPr>
        <w:spacing w:after="120" w:line="276"/>
        <w:jc w:val="both"/>
      </w:pPr>
      <w:r>
        <w:rPr>
          <w:rFonts w:ascii="Barlow Semi Condensed" w:cs="Barlow Semi Condensed" w:eastAsia="Barlow Semi Condensed" w:hAnsi="Barlow Semi Condensed"/>
          <w:sz w:val="24"/>
          <w:szCs w:val="24"/>
        </w:rPr>
        <w:t xml:space="preserve">Il tredicesimo pilastro distende il dettaglio di via Gradoli, la sequenza che il quinto pilastro ha censito nelle intestazioni e che qui riceve la sua meccanica. L'appartamento di via Gradoli 96, base operativa romana di Moretti e della Balzerani, condotto in locazione sotto il falso nome dell'ingegner Borghi, attraversò indenne le prime settimane delle ricerche: gli atti documentano che nei controlli a tappeto del condominio, nei giorni immediatamente successivi al sequestro, l'appartamento non fu aperto, non avendo gli operanti forzato l'uscio dinanzi al mancato riscontro, secondo la prassi allora seguita per le abitazioni senza elementi specifici; la scoperta giunse il 18 aprile per la via non investigativa che gli atti certificano, l'allagamento dell'appartamento sottostante provocato dal getto della doccia lasciato aperto contro una fessura della parete, l'intervento idraulico condominiale e l'apertura conseguente, che rivelò il covo abbandonato con armi, documenti e materiali; e la data della scoperta coincide, nel calendario certificato, con il giorno della diffusione del falso comunicato del lago della Duchessa. Il registro certifica al Livello A l'intera sequenza, la mancata apertura originaria, la meccanica idraulica della scoperta, il contenuto del covo e la coincidenza di calendario, quali dati di verbale; mantiene al Livello C ogni lettura unificante, dalla segnalazione occulta mascherata da guasto alla pura convergenza casuale, e annota che la giornata del 18 aprile 1978, con la compresenza certificata del più efficace depistaggio della crisi e della più anomala scoperta della crisi, è la finestra critica di massima densità dell'intero Pattern 3 della fase, il punto del calendario in cui il registro conta il maggior numero di fatti certificati non spiegati per unità di tempo.</w:t>
      </w:r>
    </w:p>
    <w:p>
      <w:pPr>
        <w:spacing w:after="120" w:line="276"/>
        <w:jc w:val="both"/>
      </w:pPr>
      <w:r>
        <w:rPr>
          <w:rFonts w:ascii="Barlow Semi Condensed" w:cs="Barlow Semi Condensed" w:eastAsia="Barlow Semi Condensed" w:hAnsi="Barlow Semi Condensed"/>
          <w:sz w:val="24"/>
          <w:szCs w:val="24"/>
        </w:rPr>
        <w:t xml:space="preserve">Il quattordicesimo pilastro censisce la condotta del sistema informativo, l'arco della fase verso il Dominio 8 nella sua dimensione strutturale. Durante i 55 giorni i quotidiani pubblicarono integralmente i comunicati dell'organizzazione e riprodussero le fotografie del prigioniero, trasformando ogni recapito in un evento informativo nazionale entro poche ore; il dibattito sull'opportunità di un contenimento informativo, il cosiddetto black-out, attraversò le redazioni e le sedi politiche senza mai tradursi in misure, e la crisi si svolse perciò in condizioni di amplificazione integrale, con l'organizzazione in grado di raggiungere l'intera opinione pubblica alla velocità della stampa; il registro certifica al Livello A la condotta del sistema e l'assenza di misure di contenimento, quali dati documentali della collezione giornalistica e degli atti, e ne trae la formalizzazione reticolare: nella struttura della crisi, il sistema informativo operò quale moltiplicatore involontario della strategia comunicativa dell'organizzazione, un ruolo funzionale certificato negli effetti e non nelle intenzioni, che si somma al monopolio iconografico censito nel capitolo dell'epilogo e completa il quadro del Dominio 8 nella fase: un dominio attraversato, nei 55 giorni, da 3 flussi distinti e certificati, l'amplificazione strutturale della stampa ordinaria, l'inquinamento mirato del falso comunicato e l'alimentazione riservata della testata censita nel capitolo ottavo, la compresenza dei quali in un unico teatro è, per il registro, il ritratto compiuto del sistema informativo italiano della stagione.</w:t>
      </w:r>
    </w:p>
    <w:p>
      <w:pPr>
        <w:spacing w:after="120" w:line="276"/>
        <w:jc w:val="both"/>
      </w:pPr>
      <w:r>
        <w:rPr>
          <w:rFonts w:ascii="Barlow Semi Condensed" w:cs="Barlow Semi Condensed" w:eastAsia="Barlow Semi Condensed" w:hAnsi="Barlow Semi Condensed"/>
          <w:sz w:val="24"/>
          <w:szCs w:val="24"/>
        </w:rPr>
        <w:t xml:space="preserve">Il quindicesimo pilastro censisce la questione dei verbali, l'ultima assenza documentale della gestione. Le Commissioni parlamentari hanno accertato che i comitati di crisi operanti al Viminale durante i 55 giorni, gli organismi nei quali sedettero i vertici degli apparati e i consulenti censiti, non produssero verbalizzazione sistematica delle proprie riunioni: delle sedute quotidiane della cabina della più grave crisi della storia repubblicana non esiste un corpus di verbali, ordini del giorno e decisioni tracciate, e la ricostruzione dell'attività dei comitati è dovuta procedere, nelle sedi parlamentari, per testimonianze postume dei partecipanti, spesso divergenti tra loro; il registro certifica al Livello A l'assenza di verbalizzazione sistematica, quale dato accertato dagli atti parlamentari, e la classifica con la precisione che la propria tassonomia consente: essa non appartiene alla serie dei 5 buchi strutturali del repertorio, che riguardano materiali esistiti e scomparsi o esistenti e inaccessibili, ma alla specie distinta della documentazione mai prodotta, l'assenza per omissione originaria e non per sottrazione successiva, che la Fase 3 ha già incontrato nelle prassi degli apparati e che qui raggiunge il vertice dell'ordinamento civile; e ne dichiara il portato analitico, che è severo per ogni lettura: per la lettura ordinaria, l'omessa verbalizzazione documenta l'improvvisazione amministrativa di un apparato senza dottrina della crisi, ed è essa stessa una spiegazione dell'inefficienza; per la lettura del condizionamento, essa è la condizione di possibilità di ogni condotta non tracciata, e il divieto inferenziale, che il registro ribadisce, vieta di derivarne alcunché oltre il fatto; per il metodo dell'opera, essa è la ragione per cui il piano secondo del caso Moro è destinato a restare, in parte, strutturalmente inaccertabile, giacché la storia di una gestione che non si è scritta può essere ricostruita soltanto per testimonianze, e le testimonianze, il registro lo ha documentato, divergono.</w:t>
      </w:r>
    </w:p>
    <w:p>
      <w:pPr>
        <w:spacing w:after="120" w:line="276"/>
        <w:jc w:val="both"/>
      </w:pPr>
      <w:r>
        <w:rPr>
          <w:rFonts w:ascii="Barlow Semi Condensed" w:cs="Barlow Semi Condensed" w:eastAsia="Barlow Semi Condensed" w:hAnsi="Barlow Semi Condensed"/>
          <w:sz w:val="24"/>
          <w:szCs w:val="24"/>
        </w:rPr>
        <w:t xml:space="preserve">Il sedicesimo pilastro censisce gli esiti amministrativi e disciplinari della gestione, il dato in negativo che chiude il capitolo. All'esito del fallimento certificato, il più grave della storia dell'ordine pubblico repubblicano, l'ordinamento non produsse alcuna sanzione: nessun dirigente degli apparati di sicurezza fu rimosso, sospeso o sottoposto a procedimento disciplinare per le condotte dei 55 giorni, nessuna inchiesta amministrativa interna approdò a rilievi individuali, e le carriere dei responsabili della gestione proseguirono nei percorsi ordinari, in taluni casi con avanzamenti, sino agli approdi che le vicende successive, dallo scandalo della loggia in poi, avrebbero autonomamente determinato; l'unico atto di responsabilità dell'intera vicenda restò quello politico e volontario, le dimissioni del ministro dell'interno la mattina del 9 maggio. Il registro certifica al Livello A l'assenza di sanzioni e di rilievi disciplinari, quale fatto amministrativo documentato dagli atti parlamentari che invano lo censirono, e ne dichiara il valore di reperto strutturale: la mancata attivazione di qualsiasi circuito di responsabilità amministrativa dopo il massimo fallimento operativo dello Stato è un dato che il registro trascrive senza inferenze e che ciascuna lettura del piano secondo incorpora nel proprio senso, l'inefficienza strutturale leggendovi la conferma dell'assenza di una cultura della responsabilità negli apparati dell'epoca, il condizionamento leggendovi la protezione degli esecutori di una gestione voluta; il registro annota che il dato, quale che ne sia la lettura, produsse una conseguenza certificata sulla storia successiva, la permanenza ai vertici, sino allo scandalo del 1981, degli uomini della gestione, sicché la stagione che va dal caso Moro alla scoperta degli elenchi di Castiglion Fibocchi fu amministrata, negli apparati, dalla medesima classe dirigente che il caso aveva visto all'opera, una continuità che la Fase 2 ha documentato dal proprio versante e che la fase qui certifica dal proprio.</w:t>
      </w:r>
    </w:p>
    <w:p>
      <w:pPr>
        <w:spacing w:after="120" w:line="276"/>
        <w:jc w:val="both"/>
      </w:pPr>
      <w:r>
        <w:rPr>
          <w:rFonts w:ascii="Barlow Semi Condensed" w:cs="Barlow Semi Condensed" w:eastAsia="Barlow Semi Condensed" w:hAnsi="Barlow Semi Condensed"/>
          <w:sz w:val="24"/>
          <w:szCs w:val="24"/>
        </w:rPr>
        <w:t xml:space="preserve">Il diciassettesimo pilastro censisce il canale telefonico dell'organizzazione, l'ultimo versante tecnico della gestione. I comunicati furono recapitati per l'intera crisi con la tecnica documentata delle telefonate brevissime alle redazioni dei quotidiani, che annunciavano il luogo del deposito, cabine pubbliche e cestini della città, con conversazioni di durata calcolatamente inferiore ai tempi tecnici di localizzazione dell'epoca; il sistema funzionò senza fallo per 9 comunicati e sino alla telefonata finale del 9 maggio, e nessuna delle chiamate fu mai tracciata in tempo utile né ricondotta a un'utenza identificata, con la sola eccezione documentale della telefonata del 30 aprile alla famiglia, registrata in entrata sull'utenza sorvegliata di via del Forte Trionfale ma parimenti non localizzata in partenza; il registro certifica al Livello A la tecnica, la sua costanza e il suo integrale successo, quali dati degli atti, e ne trae la doppia annotazione che il metodo impone. Sul piano del soggetto, la disciplina telefonica dell'organizzazione, mai una chiamata di troppo, mai un secondo di troppo, appartiene alla serie delle competenze di sicurezza che la fase ha censito, la compartimentazione, le intestazioni pulite, l'immobilità del prigioniero, e compone il ritratto tecnico di un avversario che non commise, in 55 giorni, un solo errore di comunicazione. Sul piano dello Stato, il fallimento integrale del tracciamento documenta il divario tecnologico e organizzativo dell'apparato del 1978, privo delle capacità di intercettazione dinamica che la stagione successiva avrebbe costruito, e la circostanza che la prima e unica registrazione utile sia venuta dalla sorveglianza statica dell'utenza familiare, non dalla ricerca attiva del chiamante, è la misura esatta di quel divario; il registro salda i 2 piani nel dato unico che essi compongono, l'asimmetria tecnica integrale tra le 2 parti della crisi, e lo consegna quale ulteriore fondamento documentato della spiegazione ordinaria del fallimento delle ricerche.</w:t>
      </w:r>
    </w:p>
    <w:p>
      <w:pPr>
        <w:spacing w:after="120" w:line="276"/>
        <w:jc w:val="both"/>
      </w:pPr>
      <w:r>
        <w:rPr>
          <w:rFonts w:ascii="Barlow Semi Condensed" w:cs="Barlow Semi Condensed" w:eastAsia="Barlow Semi Condensed" w:hAnsi="Barlow Semi Condensed"/>
          <w:sz w:val="24"/>
          <w:szCs w:val="24"/>
        </w:rPr>
        <w:t xml:space="preserve">Le triangolazioni del nodo sono 3. La prima, comitati di crisi-vertici dei servizi-loggia P2, è il triangolo della compresenza, certificato al Livello A con divieto inferenziale dichiarato. La seconda, Gradoli-lago della Duchessa-Chichiarelli, è il triangolo delle anomalie e del depistaggio, certificato al Livello A nei fatti, al Livello B nell'attribuzione del falso, al Livello C nella direzione. La terza, fermezza-canali non ufficiali-sondaggi verso la criminalità, è il triangolo della condotta duale, certificato al Livello A e al Livello B secondo i rami. Sul piano dei pattern, il nodo attiva il Pattern 8 nella sua forma istituzionale, la crisi quale evento che rese porosi i confini tra i domini, con lo Stato che si rivolge alla criminalità e la loggia dentro i comitati; e il Pattern 5, giacché il fallimento integrale di ricerche di quella scala è, esso stesso, il buco strutturale del piano secondo, un'assenza che il registro certifica quale fatto e consegna, quanto alla spiegazione, alla competizione tra le ipotesi, l'efficienza della compartimentazione brigatista contro ogni lettura ulteriore, che il metodo mantiene aperta.</w:t>
      </w:r>
    </w:p>
    <w:p>
      <w:pPr>
        <w:spacing w:after="120" w:line="276"/>
        <w:jc w:val="both"/>
      </w:pPr>
      <w:r>
        <w:rPr>
          <w:rFonts w:ascii="Barlow Semi Condensed" w:cs="Barlow Semi Condensed" w:eastAsia="Barlow Semi Condensed" w:hAnsi="Barlow Semi Condensed"/>
          <w:sz w:val="24"/>
          <w:szCs w:val="24"/>
        </w:rPr>
        <w:t xml:space="preserve">Tra le anomalie della caccia il registro deve censire, con la disciplina che il suo statuto impone alle fonti aberranti, l'episodio del 2 aprile 1978: la seduta spiritica tenutasi in una casa di campagna del Bolognese, alla presenza di un gruppo di docenti universitari, nel corso della quale, secondo le testimonianze poi rese anche in sede parlamentare, il piattino compose tra gli altri il nome Gradoli; la segnalazione, trasmessa per canali accademici ed istituzionali, orientò una perquisizione nel comune di Gradoli, nel Viterbese, condotta il 6 aprile con esito negativo, mentre la via Gradoli di Roma, dove l'appartamento brigatista era operativo, rimase estranea a quella verifica sino alla scoperta del 18 aprile per la via idraulica che il capitolo ha certificato, Livello A quanto alla materialità dell'episodio, delle testimonianze e della perquisizione, Livello C quale valore conoscitivo della fonte medianica in sé, che il registro esclude per statuto. L'episodio vale, nella contabilità del nodo, quale reperto doppio: sulla qualità del setaccio, che processò una segnalazione paranormale con maggior sollecitudine di quanta ne ricevettero convergenze ordinarie agli atti, e sulla sociologia della disperazione istituzionale, che nella terza settimana del sequestro accoglieva ogni voce. Il registro, che non pratica l'ironia, si limita a fissare la geometria: tra il tavolino e il tubo dell'acqua, i 2 canali che condussero il nome e il luogo, non figura, negli atti, il canale che avrebbe dovuto, l'investigazione ordinaria, ed è questa assenza, non la stranezza degli altri 2, il dato che la fase consegna.</w:t>
      </w:r>
    </w:p>
    <w:p>
      <w:pPr>
        <w:spacing w:after="120" w:line="276"/>
        <w:jc w:val="both"/>
      </w:pPr>
      <w:r>
        <w:rPr>
          <w:rFonts w:ascii="Barlow Semi Condensed" w:cs="Barlow Semi Condensed" w:eastAsia="Barlow Semi Condensed" w:hAnsi="Barlow Semi Condensed"/>
          <w:sz w:val="24"/>
          <w:szCs w:val="24"/>
        </w:rPr>
        <w:t xml:space="preserve">Al perimetro dei comitati appartiene infine la componente consulenziale esterna, che il registro censisce nella sua materialità documentata: nelle prime settimane operò a Roma, su richiesta del Ministero dell'interno, un esperto di gestione delle crisi e di guerra psicologica proveniente dal Dipartimento di Stato americano, Steve Pieczenik, la cui presenza nei circuiti della gestione è attestata dagli atti e dalle ricostruzioni parlamentari, e la cui consulenza si interruppe prima dell'epilogo, Livello A quanto alla presenza ed alla sua finestra temporale. Le narrazioni che il consulente avrebbe consegnato a distanza di decenni, in interviste e memorie, circa gli orientamenti maturati nei comitati, appartengono al genere della fonte tardiva di parte e restano al Livello C, prive di riscontro documentale autonomo: il registro le censisce per completezza e le sigilla, annotando il paradosso ormai familiare, l'esperto di guerra psicologica divenuto, a babbo morto, il narratore più citato della guerra psicologica altrui. Quanto al fronte politico interno, il quadro della fermezza già certificato va integrato con la sua eccezione organizzata: il Partito socialista assunse, dalla metà di aprile, una linea di iniziativa umanitaria esplorando canali verso l'area dell'autonomia e della dissidenza brigatista, per sondare uno scambio limitato che non ebbe esito, Livello A quanto all'iniziativa politica dichiarata e documentata, Livello B quanto alla consistenza operativa dei singoli canali, e questa asimmetria tra i 2 maggiori azionisti della solidarietà nazionale, la fermezza democristiano-comunista e l'esplorazione socialista, appartiene alla mappa politica dei 55 giorni quale suo terzo lato, meno illuminato e non meno documentato.</w:t>
      </w:r>
    </w:p>
    <w:p>
      <w:pPr>
        <w:spacing w:after="120" w:line="276"/>
        <w:jc w:val="both"/>
      </w:pPr>
      <w:r>
        <w:rPr>
          <w:rFonts w:ascii="Barlow Semi Condensed" w:cs="Barlow Semi Condensed" w:eastAsia="Barlow Semi Condensed" w:hAnsi="Barlow Semi Condensed"/>
          <w:sz w:val="24"/>
          <w:szCs w:val="24"/>
        </w:rPr>
        <w:t xml:space="preserve">La caccia va infine misurata nei suoi ordini di grandezza, che gli atti parlamentari consegnano e che il registro riporta quale reperto sulla forma dello sforzo: nei 55 giorni furono eseguiti, secondo le rendicontazioni acquisite dalla prima Commissione, decine di migliaia di posti di blocco, nell'ordine delle 70.000 unità, e decine di migliaia di perquisizioni domiciliari, nell'ordine delle 37.000, con l'impiego cumulato di centinaia di migliaia di uomini delle forze dell'ordine e dell'esercito nel più imponente dispositivo di ricerca della storia repubblicana, Livello A quanto agli ordini di grandezza rendicontati. Il registro giustappone al volume l'esito, che è il dato analitico: il dispositivo non individuò la prigione, non intercettò un solo trasferimento, non produsse un solo arresto risolutivo, e la sproporzione tra la massa dello sforzo e la nullità del risultato costituisce, nella lettura del piano secondo, un reperto a doppia faccia, leggibile tanto quale misura dell'efficienza della compartimentazione brigatista quanto quale sintomo di una macchina che setacciava in estensione ciò che andava cercato in profondità. La scelta tra le 2 letture, o la loro composizione, non appartiene al registro, che si limita a fissare il teorema quantitativo: 55 giorni, 70.000 sbarramenti, nessun varco, e la prigione a 4 chilometri dal luogo dell'agguato, dentro il perimetro che ogni cerchio concentrico della caccia aveva, per costruzione, già attraversato.</w:t>
      </w:r>
    </w:p>
    <w:p>
      <w:pPr>
        <w:spacing w:after="120" w:line="276"/>
        <w:jc w:val="both"/>
      </w:pPr>
      <w:r>
        <w:rPr>
          <w:rFonts w:ascii="Barlow Semi Condensed" w:cs="Barlow Semi Condensed" w:eastAsia="Barlow Semi Condensed" w:hAnsi="Barlow Semi Condensed"/>
          <w:sz w:val="24"/>
          <w:szCs w:val="24"/>
        </w:rPr>
        <w:t xml:space="preserve">Ai fronti censiti il registro aggiunge quello intellettuale, che appartiene al Dominio 8 e che i 55 giorni videro schierarsi con una nettezza senza precedenti: il dibattito pubblico sulla linea da tenere attraversò i giornali e le firme maggiori del Paese, contrapponendo gli argomenti della fermezza, sostenuti dalla gran parte della stampa d'opinione quale difesa dello Stato democratico, alle voci che sollevarono la questione del primato della vita, e la vicenda produsse, già nell'anno stesso, una letteratura di riflessione il cui esemplare capitale resta il saggio che Leonardo Sciascia dedicò all'affaire, lettura filologica delle lettere e requisitoria contro la rimozione in atto, Livello A quanto all'esistenza ed alla fisionomia del dibattito coevo, Livello C quanto alle singole ricostruzioni saggistiche in esso prodotte, che il registro censisce quali fonti interpretative e non documentali. Il reperto ha per la fase un valore preciso: i 55 giorni furono anche il primo grande caso italiano in cui la linea di condotta dello Stato si formò in diretta sotto osservazione mediatica totale, e la compattezza del fronte giornalistico della fermezza, misurabile nelle collezioni dei quotidiani, costituisce un dato di sistema del Dominio 8 che il piano secondo registra accanto agli altri: non quale prova di direzione occulta, che nessun accertamento ha consacrato, ma quale condizione ambientale documentata entro cui ogni decisione dei comitati venne assunta, il clima che non ordina e tuttavia orienta, la cornice che non è mai imputabile e non è mai neutra.</w:t>
      </w:r>
    </w:p>
    <w:p>
      <w:pPr>
        <w:spacing w:after="120" w:line="276"/>
        <w:jc w:val="both"/>
      </w:pPr>
      <w:r>
        <w:rPr>
          <w:rFonts w:ascii="Barlow Semi Condensed" w:cs="Barlow Semi Condensed" w:eastAsia="Barlow Semi Condensed" w:hAnsi="Barlow Semi Condensed"/>
          <w:sz w:val="24"/>
          <w:szCs w:val="24"/>
        </w:rPr>
        <w:t xml:space="preserve">La voce pubblica dell'organizzazione nei 55 giorni fu la serie dei comunicati, che il registro scandisce quale corpus unitario nella sua architettura a 3 movimenti, Livello A quanto a date, recapiti e contenuti documentali dell'intera serie. Il primo movimento è quello del processo: il comunicato numero 1, diffuso il 18 marzo con la prima fotografia del prigioniero sotto l'insegna dell'organizzazione, rivendicò l'operazione ed annunciò il processo politico al presidente democristiano dinanzi al tribunale del popolo; i comunicati numero 2 del 25 marzo e numero 3 del 29 marzo, quest'ultimo accompagnato dalla prima lettera a Cossiga, svilupparono la requisitoria contro il regime democristiano dichiarando che l'interrogatorio procedeva; il numero 4 del 4 aprile ed il numero 5 del 10 aprile proseguirono la narrazione processuale respingendo le letture della stampa sul prigioniero condizionato; il numero 6 del 15 aprile chiuse il movimento annunciando che il processo era concluso e che Aldo Moro era stato condannato a morte. Il secondo movimento è quello della verifica, aperto dal diversivo del 18 aprile che il capitolo ha già certificato nella sua falsità e chiuso dal comunicato numero 7 autentico del 20 aprile, con la seconda fotografia ed il quotidiano del giorno precedente quale prova di vita, e con l'ultimatum delle 48 ore che trasformò la condanna annunciata in negoziato a termine. Il terzo movimento è quello dello scambio negato: il comunicato numero 8 del 24 aprile formalizzò la richiesta, la liberazione di 13 detenuti indicati nominativamente, ponendo lo Stato dinanzi alla scelta binaria che la linea della fermezza aveva già sciolto in anticipo, ed il comunicato numero 9 del 5 maggio dichiarò conclusa la battaglia iniziata il 16 marzo annunciando l'esecuzione della sentenza, cui i 4 giorni successivi diedero adempimento.</w:t>
      </w:r>
    </w:p>
    <w:p>
      <w:pPr>
        <w:spacing w:after="120" w:line="276"/>
        <w:jc w:val="both"/>
      </w:pPr>
      <w:r>
        <w:rPr>
          <w:rFonts w:ascii="Barlow Semi Condensed" w:cs="Barlow Semi Condensed" w:eastAsia="Barlow Semi Condensed" w:hAnsi="Barlow Semi Condensed"/>
          <w:sz w:val="24"/>
          <w:szCs w:val="24"/>
        </w:rPr>
        <w:t xml:space="preserve">Il registro consegna la serie alla sua lettura strutturale, che la scansione rende possibile: i 9 comunicati non furono un bollettino ma una drammaturgia, costruita sulla forma-processo con la sua sequenza canonica, istruttoria, requisitoria, sentenza, esecuzione, ed il calco della liturgia giudiziaria dello Stato, rovesciata in tribunale del popolo, costituisce il reperto semiotico maggiore della campagna: l'organizzazione che negava la legittimità dello Stato ne mimava, per legittimarsi, esattamente le forme. Dentro questa architettura, la funzione di ciascun movimento è leggibile a posteriori con nettezza documentale: il primo costruì il tempo, dilatando in un mese la finzione istruttoria per capitalizzare l'attesa; il secondo verificò il mercato, saggiando con il diversivo e con l'ultimatum la disponibilità reale della controparte; il terzo chiuse i conti, scaricando sulla controparte immobile la responsabilità formale dell'esito. Che questa macchina retorica perfettamente coerente non abbia prodotto il risultato politico perseguito, il riconoscimento, lo scambio, la spaccatura del fronte, è il paradosso terminale che il registro annota: la campagna di comunicazione più studiata della storia del terrorismo europeo vinse tutte le proprie battaglie formali e perse la guerra, e l'organizzazione uscì dai 55 giorni militarmente intatta e politicamente avviata alla sconfitta che i capitoli della repressione successiva certificano.</w:t>
      </w:r>
    </w:p>
    <w:p>
      <w:pPr>
        <w:spacing w:after="120" w:line="276"/>
        <w:jc w:val="both"/>
      </w:pPr>
      <w:r>
        <w:rPr>
          <w:rFonts w:ascii="Barlow Semi Condensed" w:cs="Barlow Semi Condensed" w:eastAsia="Barlow Semi Condensed" w:hAnsi="Barlow Semi Condensed"/>
          <w:sz w:val="24"/>
          <w:szCs w:val="24"/>
        </w:rPr>
        <w:t xml:space="preserve">Il setaccio va infine misurato anche nella sua età istituzionale, che il registro certifica quale condizione strutturale della caccia: gli apparati informativi che affrontarono il sequestro erano, alla lettera, neonati, riformati dalla legge del 24 ottobre 1977 numero 801 che aveva soppresso il SID sostituendolo con i 2 nuovi servizi, militare e civile, sotto il coordinamento del comitato esecutivo, con i vertici insediati nel gennaio 1978 nelle persone che la Fase 2 ha censito, mentre sul versante della polizia l'ufficio centrale per le investigazioni generali e le operazioni speciali era stato istituito nelle medesime settimane, sicché l'intera architettura della sicurezza interna contava, al 16 marzo, poche settimane o pochi mesi di vita operativa, Livello A quanto alla cronologia istituzionale. Il registro consegna il dato alla sua doppia lettura, entrambe compatibili con i fatti e nessuna certificabile quale spiegazione esclusiva: la lettura funzionale, per cui la macchina fallì anche perché era in rodaggio, con gli archivi in trasloco, le competenze in ridefinizione e le catene di comando non collaudate, e la lettura strutturale, che la Fase 2 ha documentato, per cui il rodaggio avveniva sotto vertici la cui appartenenza alla loggia coperta è certificata, sicché l'inefficienza e l'inquinamento coabitarono nella medesima stagione senza che gli accertamenti abbiano mai separato, con forza di giudicato, il contributo dell'una da quello dell'altro. La finestra critica 1978-1981, che l'analisi temporale dell'opera ha isolato, trova qui la sua descrizione istituzionale compiuta: il sequestro cadde nell'esatto minimo storico di maturità del sistema informativo repubblicano, e questa coincidenza tra la massima prova e la minima preparazione resta, nel piano secondo, un fatto certificato in attesa di una spiegazione che lo sia altrettanto.</w:t>
      </w:r>
    </w:p>
    <w:p>
      <w:pPr>
        <w:spacing w:after="120" w:line="276"/>
        <w:jc w:val="both"/>
      </w:pPr>
      <w:r>
        <w:rPr>
          <w:rFonts w:ascii="Barlow Semi Condensed" w:cs="Barlow Semi Condensed" w:eastAsia="Barlow Semi Condensed" w:hAnsi="Barlow Semi Condensed"/>
          <w:sz w:val="24"/>
          <w:szCs w:val="24"/>
        </w:rPr>
        <w:t xml:space="preserve">Al patrimonio tecnico dei covi appartiene infine il reperto dattiloscopico irrisolto, che il registro censisce nel suo doppio strato: i rilievi eseguiti negli appartamenti della logistica romana, da via Gradoli a via Montalcini, consegnarono agli atti un numero cospicuo di frammenti di impronte, dei quali una parte fu attribuita nei decenni ai militanti identificati mentre una quota residua rimase priva di attribuzione, e la Commissione della XVII legislatura dispose la ricomparazione integrale del materiale con le banche dati e le tecnologie sopravvenute, ottenendo alcune attribuzioni tardive a militanti già noti dell'organizzazione ed ereditando, per il resto, un residuo non identificato che gli atti registrano quale tale, Livello A quanto ai rilievi ed alle ricomparazioni, Livello B quanto ai singoli esiti attributivi della stagione recente. Il registro assegna al residuo lo statuto che il metodo impone: la traccia non attribuita è un fatto certificato privo di significato certificato, compatibile tanto con presenze estranee mai identificate quanto con la fisiologia di ogni rilievo dattiloscopico, che raccoglie inevitabilmente frammenti di terzi irrilevanti, e la scelta tra le 2 letture non appartiene al registro ma alla futura eventualità di una comparazione risolutiva. Sino ad allora, il residuo resta nella categoria che il piano secondo ha istituito per i suoi simili: materia aperta, né prova né nulla, l'inventario di ciò che i covi hanno detto senza che nessuno, per ora, sappia tradurlo.</w:t>
      </w:r>
    </w:p>
    <w:p>
      <w:pPr>
        <w:spacing w:after="120" w:line="276"/>
        <w:jc w:val="both"/>
      </w:pPr>
      <w:r>
        <w:rPr>
          <w:rFonts w:ascii="Barlow Semi Condensed" w:cs="Barlow Semi Condensed" w:eastAsia="Barlow Semi Condensed" w:hAnsi="Barlow Semi Condensed"/>
          <w:sz w:val="24"/>
          <w:szCs w:val="24"/>
        </w:rPr>
        <w:t xml:space="preserve">Alla contabilità della caccia appartiene infine il suo vuoto tecnologico, che il registro censisce quale reperto sulla forma della clandestinità matura: l'imponente dispositivo di intercettazione attivato nei 55 giorni sulle utenze della famiglia, dei collaboratori, degli ambienti politici e dell'area radicale non raggiunse mai l'organizzazione, che condusse l'intera operazione in silenzio elettronico, affidando le comunicazioni operative ai contatti fisici ed ai recapiti e riservando il telefono alle sole irruzioni comunicative unilaterali, le chiamate di annuncio dei comunicati e le telefonate alla famiglia che i capitoli censiscono, effettuate da apparecchi pubblici e concluse prima di ogni possibilità di localizzazione, Livello A quanto al quadro complessivo risultante dagli atti. Il registro fissa l'asimmetria che ne discende: lo Stato ascoltò per 55 giorni la superficie legale del Paese e l'organizzazione non vi transitò mai, sicché il più vasto sforzo di sorveglianza elettronica sino ad allora dispiegato produsse, quale unico raccolto, la voce dell'avversario nei soli momenti in cui l'avversario scelse di farsi ascoltare. La lezione tecnica appartiene alla storia delle clandestinità: la compartimentazione brigatista fu anche, e forse soprattutto, disciplina delle comunicazioni, e la sua tenuta documenta che nel 1978 la superiorità tecnologica dello Stato era interamente neutralizzabile dalla semplice astensione dall'uso del mezzo, un teorema che le stagioni investigative successive avrebbero rovesciato solo quando la tecnologia divenne ambiente anziché strumento, e del quale i 55 giorni restano la dimostrazione storica più pulita.</w:t>
      </w:r>
    </w:p>
    <w:p>
      <w:pPr>
        <w:spacing w:after="120" w:line="276"/>
        <w:jc w:val="both"/>
      </w:pPr>
      <w:r>
        <w:rPr>
          <w:rFonts w:ascii="Barlow Semi Condensed" w:cs="Barlow Semi Condensed" w:eastAsia="Barlow Semi Condensed" w:hAnsi="Barlow Semi Condensed"/>
          <w:sz w:val="24"/>
          <w:szCs w:val="24"/>
        </w:rPr>
        <w:t xml:space="preserve">Il precedente europeo che il registro ha evocato esige la sua scansione, perché la linea della fermezza italiana ebbe un modello dichiarato e recentissimo: 5 mesi prima di via Fani, il 5 settembre 1977, la Rote Armee Fraktion aveva sequestrato a Colonia il presidente degli industriali tedeschi Hanns Martin Schleyer, massacrandone la scorta con una meccanica che l'agguato romano avrebbe replicato, e la Repubblica federale di Helmut Schmidt aveva tenuto per 43 giorni la linea del rifiuto integrale dello scambio, sino all'epilogo concentrato nelle 48 ore del 17 e 18 ottobre, il blitz di Mogadiscio che liberò l'aereo dirottato a sostegno del ricatto, la morte nella notte dei capi storici detenuti nel carcere di Stammheim e il ritrovamento del corpo di Schleyer nel bagagliaio di un'auto oltre confine, Livello A sull'intera sequenza storica. Il registro fissa la funzione del precedente per entrambi i contendenti del 1978: per lo Stato italiano, il caso tedesco fu il modello invocato della fermezza vittoriosa, il precedente che dimostrava la sostenibilità del rifiuto; per l'organizzazione, fu il repertorio operativo e simbolico dichiarato, sino alla citazione materiale dell'epilogo, il corpo nel bagagliaio, che via Caetani avrebbe replicato con l'esattezza che la fase ha censito. Che i 2 avversari italiani abbiano attinto al medesimo precedente straniero, l'uno la dottrina e l'altro la liturgia, è il reperto comparativo che il capitolo consegna: il 1978 italiano fu combattuto, da entrambe le parti, con il manuale tedesco del 1977 aperto sul tavolo, e la differenza degli esiti, l'ostaggio tedesco morto dopo il fallimento del ricatto e quello italiano giustiziato senza che il ricatto avesse mai avuto un prezzo accettabile, misura la differenza non delle dottrine, identiche, ma dei rapporti di forza e delle poste, che a Roma erano, per l'organizzazione, politiche prima che carcerarie.</w:t>
      </w:r>
    </w:p>
    <w:p>
      <w:pPr>
        <w:spacing w:after="120" w:line="276"/>
        <w:jc w:val="both"/>
      </w:pPr>
      <w:r>
        <w:rPr>
          <w:rFonts w:ascii="Barlow Semi Condensed" w:cs="Barlow Semi Condensed" w:eastAsia="Barlow Semi Condensed" w:hAnsi="Barlow Semi Condensed"/>
          <w:sz w:val="24"/>
          <w:szCs w:val="24"/>
        </w:rPr>
        <w:t xml:space="preserve">Alla toponomastica del covo di via Gradoli appartiene il dettaglio anagrafico che il registro annota quale reperto sulla qualità della clandestinità: l'appartamento era condotto in locazione dall'inquilino che si presentava quale ingegner Altobelli, l'identità di copertura sotto la quale viveva il capo della colonna romana censito in questo capitolo, con tanto di targhetta e di normalità condominiale protratta per anni nel cuore del quartiere, Livello A quanto alla circostanza accertata. Il micro-reperto vale per ciò che misura: la copertura non era un documento falso ma una biografia funzionante, un professionista inesistente che pagava l'affitto, salutava e durava, e la sua tenuta sino all'allagamento fortuito censito dimostra che la clandestinità matura dell'organizzazione non si nascondeva sotto la superficie della città legale, la abitava con documenti in regola, sicché la caccia dei 55 giorni non cercava fantasmi nei sotterranei ma ingegneri sul citofono, ed è questa, in ultima analisi, la ragione strutturale per cui il rastrellamento quantitativo censito dal capitolo, con le sue decine di migliaia di controlli, poteva passare accanto alla prigione senza vederla: il dispositivo contava le anomalie, e l'organizzazione aveva smesso da anni di produrne.</w:t>
      </w:r>
    </w:p>
    <w:p>
      <w:pPr>
        <w:spacing w:after="120" w:line="276"/>
        <w:jc w:val="both"/>
      </w:pPr>
      <w:r>
        <w:rPr>
          <w:rFonts w:ascii="Barlow Semi Condensed" w:cs="Barlow Semi Condensed" w:eastAsia="Barlow Semi Condensed" w:hAnsi="Barlow Semi Condensed"/>
          <w:sz w:val="24"/>
          <w:szCs w:val="24"/>
        </w:rPr>
        <w:t xml:space="preserve">Il diversivo del 18 aprile possiede infine il suo autore materiale indiziato, che il registro censisce con lo statuto esatto: le acquisizioni investigative degli anni successivi attribuirono la confezione del falso comunicato al falsario romano Toni Chicchiarelli, figura dell'orbita della banda della Magliana dotata di documentata perizia nella contraffazione, indicazione consolidata in sede istruttoria ma mai tradotta in giudicato, poiché Chicchiarelli fu assassinato nel 1984 in un agguato rimasto anch'esso senza colpevoli definitivi, Livello B quanto all'attribuzione istruttoria della paternità materiale, Livello A quanto alla morte violenta del falsario. La catena che ne risulta è essa stessa il reperto: il documento che deviò per un giorno la più grande caccia all'uomo della storia repubblicana sarebbe uscito dalle mani di un professionista della malavita romana, ed il professionista fu eliminato prima che alcuna aula potesse domandargli su commissione di chi avesse lavorato, sicché la domanda decisiva del diversivo, non chi lo scrisse ma chi lo volle, resta al Livello C tra le ipotesi concorrenti che il capitolo ha censito, con l'aggravante documentale che la fase prima dell'opera conosce bene: anche qui, come nei crocevia finanziari, il corpus registra la morte violenta e tempestiva del solo uomo che avrebbe potuto trasformare un'attribuzione tecnica in una catena di mandato, e la ricorrenza di questo schema, il teste intermedio che muore prima della domanda, è ormai, alla quarta occorrenza nell'opera, un pattern censito e non più una coincidenza da annotare.</w:t>
      </w:r>
    </w:p>
    <w:p>
      <w:pPr>
        <w:spacing w:after="120" w:line="276"/>
        <w:jc w:val="both"/>
      </w:pPr>
      <w:r>
        <w:rPr>
          <w:rFonts w:ascii="Barlow Semi Condensed" w:cs="Barlow Semi Condensed" w:eastAsia="Barlow Semi Condensed" w:hAnsi="Barlow Semi Condensed"/>
          <w:sz w:val="24"/>
          <w:szCs w:val="24"/>
        </w:rPr>
        <w:t xml:space="preserve">La toponomastica della caccia consegna infine la sua beffa documentata, che il registro riporta quale emblema operativo dei 55 giorni: nei primi giorni di aprile, sull'onda delle indicazioni censite, le forze dell'ordine perquisirono casa per casa il comune di Gradoli, nel viterbese, senza esito, mentre il covo attivo si trovava in via Gradoli, nel quartiere romano della Cassia, dove sarebbe emerso solo il 18 aprile per l'allagamento fortuito già censito, Livello A quanto ad entrambe le operazioni ed alle loro date. Il registro consegna l'episodio alla sua doppia lettura disciplinata: sul piano operativo, la scelta di battere il paese anziché lo stradario della capitale documenta il grado di disorientamento dell'apparato, che di fronte ad un toponimo cercò il municipio e non la via; sul piano epistemologico, l'episodio è il caso di scuola della fonte ambigua che il metodo dell'opera tratta nel Pattern 6, poiché l'indicazione si rivelò retrospettivamente esatta nella lettera e sbagliata nella ricerca, ed il registro annota, senza sciogliere, che un'informazione corretta cercata nel posto sbagliato è indistinguibile, negli effetti, da un'informazione falsa, con la conseguenza che la domanda vera del caso Gradoli non è mai stata dove fosse il covo, ma chi sapesse che cosa quando lo si cercava dove non era.</w:t>
      </w:r>
    </w:p>
    <w:p>
      <w:pPr>
        <w:spacing w:after="120" w:line="276"/>
        <w:jc w:val="both"/>
      </w:pPr>
      <w:r>
        <w:rPr>
          <w:rFonts w:ascii="Barlow Semi Condensed" w:cs="Barlow Semi Condensed" w:eastAsia="Barlow Semi Condensed" w:hAnsi="Barlow Semi Condensed"/>
          <w:sz w:val="24"/>
          <w:szCs w:val="24"/>
        </w:rPr>
        <w:t xml:space="preserve">Il fascicolo di via Gradoli contiene infine l'episodio che precede la beffa toponomastica e la aggrava, censito dagli accertamenti parlamentari: il 18 marzo, a 2 giorni dall'agguato, una pattuglia si presentò proprio allo stabile di via Gradoli 96, nel quadro dei controlli a tappeto, bussò all'appartamento della copertura censita senza ottenere risposta e si allontanò senza ulteriori verifiche, con l'esito che il covo operativo della colonna romana superò indenne, alla porta, il contatto fisico con lo Stato nel secondo giorno della caccia, Livello A quanto all'episodio accertato dalle commissioni. Il registro allinea la sequenza completa che il fascicolo consegna: la pattuglia alla porta il 18 marzo, la perquisizione del paese omonimo nel viterbese ai primi di aprile, l'emersione per allagamento il 18 aprile, 3 atti di una stessa drammaturgia in cui il luogo decisivo fu toccato, nominato e mancato per 33 giorni, e la disciplina dell'opera impone di consegnare la serie alla sua doppia lettura senza scioglierla: la spiegazione ordinaria, il difetto di procedura di un apparato saturo che bussava a migliaia di porte, resta pienamente capiente, e la spiegazione straordinaria, che attorno a quell'indirizzo la cecità fosse assistita, resta al Livello C delle ipotesi mai certificate, con l'annotazione di metodo che il caso Gradoli insegna all'intero corpus: quando un sistema manca 3 volte lo stesso bersaglio con 3 strumenti diversi, la statistica smette di essere un argomento sufficiente per entrambe le parti, per chi accusa e per chi assolve.</w:t>
      </w:r>
    </w:p>
    <w:p>
      <w:pPr>
        <w:spacing w:after="120" w:line="276"/>
        <w:jc w:val="both"/>
      </w:pPr>
      <w:r>
        <w:rPr>
          <w:rFonts w:ascii="Barlow Semi Condensed" w:cs="Barlow Semi Condensed" w:eastAsia="Barlow Semi Condensed" w:hAnsi="Barlow Semi Condensed"/>
          <w:sz w:val="24"/>
          <w:szCs w:val="24"/>
        </w:rPr>
        <w:t xml:space="preserve">La giornata del diversivo ebbe la sua iconografia, che il registro censisce quale reperto mediatico autonomo: il 18 aprile il lago della Duchessa, specchio d'alta quota ancora parzialmente gelato sull'Appennino reatino, fu raggiunto da elicotteri, squadre di soccorso e sommozzatori che ne perlustrarono le acque alla ricerca del corpo annunciato dal falso comunicato, sotto gli obiettivi della stampa convocata dall'evidenza stessa dell'operazione, con le immagini degli uomini-rana calati nel lago ghiacciato rimbalzate su tutte le testate, Livello A quanto all'operazione ed alla sua copertura mediatica. Il registro fissa la funzione della scena nell'economia del diversivo: quale che fosse la regia del falso, il suo effetto certo e misurabile fu di produrre, per un'intera giornata, la rappresentazione visiva della morte del prigioniero, un funerale per immagini senza corpo che saturò lo spazio pubblico nell'esatto momento in cui, sul piano reale, il covo di via Gradoli emergeva per allagamento, e la coincidenza delle 2 scene del medesimo giorno, i sommozzatori nel lago sbagliato e l'acqua nel covo giusto, resta la giornata più letterariamente perfetta e analiticamente ambigua dell'intero corpus, che il registro consegna, con la disciplina del Pattern 6, alla doppia lettura mai sciolta: la beffa del caso o la sincronia di una mano, con gli atti che non hanno mai permesso di scegliere.</w:t>
      </w:r>
    </w:p>
    <w:p>
      <w:pPr>
        <w:spacing w:after="120" w:line="276"/>
        <w:jc w:val="both"/>
      </w:pPr>
      <w:r>
        <w:rPr>
          <w:rFonts w:ascii="Barlow Semi Condensed" w:cs="Barlow Semi Condensed" w:eastAsia="Barlow Semi Condensed" w:hAnsi="Barlow Semi Condensed"/>
          <w:sz w:val="24"/>
          <w:szCs w:val="24"/>
        </w:rPr>
        <w:t xml:space="preserve">Il canale socialista censito nella sua linea politica ebbe anche la sua filiera operativa, che il registro ricostruisce dalle audizioni parlamentari: l'iniziativa umanitaria del PSI si mosse attraverso l'esponente di vertice Claudio Signorile ed il giornalista Lanfranco Pace, che attivarono contatti documentati con Franco Piperno e con l'area dell'Autonomia, nel tentativo di raggiungere per quella via ambienti capaci di parlare all'organizzazione, sino agli incontri con i militanti della colonna romana che le deposizioni successive avrebbero descritto, in una catena informale che corse parallela ai canali ufficiali per l'intera seconda metà del sequestro, Livello A quanto all'esistenza della filiera ed ai contatti quali risultano dalle audizioni e dalle dichiarazioni convergenti, Livello B quanto alla portata effettiva di ciascun passaggio verso l'interno dell'organizzazione. Il registro fissa il dato strutturale che la filiera consegna: l'unico canale che documentalmente arrivò a toccare la periferia dell'organizzazione non passò per gli apparati dello Stato ma per la mediazione di un partito attraverso l'area politica contigua al mondo armato, e questa circostanza, che le polemiche coeve trattarono quale scandalo, è per il metodo dell'opera un puro reperto di topologia: nella rete del 1978, la distanza minima tra le istituzioni e la prigione passava per i nodi che le istituzioni ufficialmente ripudiavano, e la Repubblica che rifiutò di percorrerla per intero scelse, con ciò, di lasciare quella rotta al partito che aveva meno da perdere a percorrerla.</w:t>
      </w:r>
    </w:p>
    <w:p>
      <w:pPr>
        <w:spacing w:after="120" w:line="276"/>
        <w:jc w:val="both"/>
      </w:pPr>
      <w:r>
        <w:rPr>
          <w:rFonts w:ascii="Barlow Semi Condensed" w:cs="Barlow Semi Condensed" w:eastAsia="Barlow Semi Condensed" w:hAnsi="Barlow Semi Condensed"/>
          <w:sz w:val="24"/>
          <w:szCs w:val="24"/>
        </w:rPr>
        <w:t xml:space="preserve">La gestione dei 55 giorni dovette misurarsi anche con il fenomeno che il registro censisce quale rumore di fondo del caso: le migliaia di segnalazioni, offerte di mediazione, rivelazioni di sedicenti informatori, millantatori e veggenti che si riversarono sugli apparati e sulla famiglia per l'intera durata del sequestro, documentate dagli atti quale massa che assorbì risorse investigative ingenti e dentro la quale le poche indicazioni poi rivelatesi fondate giacquero indistinguibili, Livello A quanto al fenomeno ed alla sua consistenza agli atti. Il registro assegna al rumore la sua funzione analitica, che le ricostruzioni celebrative omettono: ogni valutazione retrospettiva delle occasioni mancate, Gradoli, il lago, le intercettazioni, deve incorporare la condizione informativa reale del 1978, nella quale il segnale vero arrivava immerso in un diluvio di falsi prodotti dalla risonanza stessa del caso, sicché la domanda storicamente onesta non è perché lo Stato non seguì la pista giusta, ma perché lo Stato non possedeva un sistema capace di distinguere la pista giusta dentro il rumore, e la risposta, che i capitoli sugli apparati hanno documentato, riporta ancora una volta dalla teoria del complotto alla fisiologia della disorganizzazione, con l'avvertenza di metodo che il corpus consegna: il rumore non assolve le omissioni censite, le circostanzia, e la differenza tra assolvere e circostanziare è esattamente la differenza tra la storia e le sue caricature.</w:t>
      </w:r>
    </w:p>
    <w:p>
      <w:pPr>
        <w:spacing w:after="120" w:line="276"/>
        <w:jc w:val="both"/>
      </w:pPr>
      <w:r>
        <w:rPr>
          <w:rFonts w:ascii="Barlow Semi Condensed" w:cs="Barlow Semi Condensed" w:eastAsia="Barlow Semi Condensed" w:hAnsi="Barlow Semi Condensed"/>
          <w:sz w:val="24"/>
          <w:szCs w:val="24"/>
        </w:rPr>
        <w:t xml:space="preserve">La prigione esige infine il censimento della propria condizione ambientale, che il registro formula quale reperto sulla tecnologia della clandestinità: l'appartamento di via Montalcini operò per l'intera durata del sequestro dentro un normale condominio abitato di un quartiere popolare, con la custode dell'immobile che conduceva la vita di una giovane professionista insospettabile, i carcerieri che entravano ed uscivano secondo gli orari della normalità e la cella insonorizzata ricavata nell'alloggio, senza che alcun condomino, vicino od osservatore esterno rilevasse in 55 giorni una sola anomalia riferibile, come i dibattimenti accertarono ricostruendo la vita dell'edificio, Livello A quanto alla condizione ambientale della prigionia ed alla sua invisibilità accertata. Il registro consegna il dato alla sua lezione, che rovescia l'immaginario del caso: la prigione del popolo non fu un bunker remoto ma un interno borghese in mezzo agli altri, e la sua tecnologia decisiva non fu edilizia ma comportamentale, la capacità dei custodi di eseguire la normalità con la stessa disciplina con cui eseguirono l'agguato, sicché l'invisibilità che gli apparati cercarono per 55 giorni con i posti di blocco e le perquisizioni censite non fu violata perché non aveva forma cercabile, era fatta di puntualità, di buongiorno nelle scale e di sacchetti della spesa, e questa banalità organizzata, che i processi hanno documentato nei suoi dettagli domestici, è forse il reperto che più di ogni altro spiega al lettore la natura della sfida che lo Stato del 1978 perse: non trovare un nascondiglio, ma riconoscere la guerra travestita da vita quotidiana, il compito per il quale nessun posto di blocco è mai stato inventato.</w:t>
      </w:r>
    </w:p>
    <w:p>
      <w:pPr>
        <w:spacing w:after="120" w:line="276"/>
        <w:jc w:val="both"/>
      </w:pPr>
      <w:r>
        <w:rPr>
          <w:rFonts w:ascii="Barlow Semi Condensed" w:cs="Barlow Semi Condensed" w:eastAsia="Barlow Semi Condensed" w:hAnsi="Barlow Semi Condensed"/>
          <w:sz w:val="24"/>
          <w:szCs w:val="24"/>
        </w:rPr>
        <w:t xml:space="preserve">La fenomenologia dei canali si chiude, nell'edizione definitiva, con lo Stato Zero che la triangolazione ha formalmente certificato: nessun documento del corpus, degli atti parlamentari o dei giudicati attesta una trattativa di Stato conclusa, un accordo perfezionato o uno scambio deliberato per la liberazione del prigioniero, sicché l'intera galassia dei canali censiti in questo capitolo, quello umanitario, quello socialista, quello vaticano, quello criminale, resta documentalmente al di qua della soglia dell'esito, Stato Zero certificato quale risultato, distinto dai canali esplorati che conservano i loro gradi. Il registro consegna la certificazione alla sua doppia lettura obbligata: essa smentisce in radice ogni ricostruzione che dia per acquisito un patto tradito o un accordo sabotato, che nessuna carta sostiene, e lascia intatta la domanda storica legittima, che è altra e che il capitolo ha istruito, se un accordo fosse possibile e chi ne impedì la maturazione, con la disciplina che la distinzione impone: l'assenza documentata dell'esito è un fatto, le ragioni dell'assenza sono un campo di ipotesi graduate, e l'edizione definitiva, certificando il primo, non chiude il secondo, lo consegna pulito.</w:t>
      </w:r>
    </w:p>
    <w:p>
      <w:pPr>
        <w:spacing w:after="120" w:line="276"/>
        <w:jc w:val="both"/>
      </w:pPr>
      <w:r>
        <w:rPr>
          <w:rFonts w:ascii="Barlow Semi Condensed" w:cs="Barlow Semi Condensed" w:eastAsia="Barlow Semi Condensed" w:hAnsi="Barlow Semi Condensed"/>
          <w:b/>
          <w:bCs/>
          <w:sz w:val="24"/>
          <w:szCs w:val="24"/>
        </w:rPr>
        <w:t xml:space="preserve">Sintesi del dato nuovo acquisito:</w:t>
      </w:r>
      <w:r>
        <w:rPr>
          <w:rFonts w:ascii="Barlow Semi Condensed" w:cs="Barlow Semi Condensed" w:eastAsia="Barlow Semi Condensed" w:hAnsi="Barlow Semi Condensed"/>
          <w:sz w:val="24"/>
          <w:szCs w:val="24"/>
        </w:rPr>
        <w:t xml:space="preserve"> il nodo dei 55 giorni certifica al Livello A la linea della fermezza, la compresenza piduista ai vertici informativi dei comitati di crisi, la sequenza fattuale di via Gradoli e la falsità diversiva del comunicato del lago della Duchessa, con l'attribuzione a Chichiarelli al Livello B quale arco documentato verso l'orbita della Magliana; certifica al Livello B i sondaggi verso la criminalità organizzata per la localizzazione della prigione; e mantiene al Livello C, in forza del divieto inferenziale, ogni lettura finalistica della condotta, consegnando al piano terzo le ipotesi che il piano secondo ha reso formulabili senza renderle provate.</w:t>
      </w:r>
    </w:p>
    <w:p>
      <w:pPr>
        <w:pStyle w:val="Heading3"/>
        <w:spacing w:after="80" w:before="160"/>
      </w:pPr>
      <w:r>
        <w:rPr>
          <w:rFonts w:ascii="Barlow Semi Condensed" w:cs="Barlow Semi Condensed" w:eastAsia="Barlow Semi Condensed" w:hAnsi="Barlow Semi Condensed"/>
          <w:sz w:val="24"/>
          <w:szCs w:val="24"/>
        </w:rPr>
        <w:t xml:space="preserve">Capitolo 5 — ■ Le lettere e il memoriale. Il corpus del prigioniero e i 2 ritrovamenti di via Monte Nevoso</w:t>
      </w:r>
    </w:p>
    <w:p>
      <w:pPr>
        <w:spacing w:after="120" w:line="276"/>
        <w:jc w:val="both"/>
      </w:pPr>
      <w:r>
        <w:rPr>
          <w:rFonts w:ascii="Barlow Semi Condensed" w:cs="Barlow Semi Condensed" w:eastAsia="Barlow Semi Condensed" w:hAnsi="Barlow Semi Condensed"/>
          <w:sz w:val="24"/>
          <w:szCs w:val="24"/>
        </w:rPr>
        <w:t xml:space="preserve">Il corpus documentale prodotto da Aldo Moro durante la prigionia, le lettere inviate e il memoriale redatto in risposta agli interrogatori, è il nodo documentale della fase, e il registro lo tratta quale oggetto duplice: fonte storica di valore eccezionale e, insieme, oggetto esso stesso di una vicenda di ritrovamenti, sparizioni e gestioni che appartiene al piano secondo. La scansione del corpus dell'opera registra il termine memoriale 180 volte in 37 documenti e il toponimo Monte Nevoso 176 volte in 27; le lettere dalla prigionia sono presenti nel corpus in edizione critica integrale.</w:t>
      </w:r>
    </w:p>
    <w:p>
      <w:pPr>
        <w:spacing w:after="120" w:line="276"/>
        <w:jc w:val="both"/>
      </w:pPr>
      <w:r>
        <w:rPr>
          <w:rFonts w:ascii="Barlow Semi Condensed" w:cs="Barlow Semi Condensed" w:eastAsia="Barlow Semi Condensed" w:hAnsi="Barlow Semi Condensed"/>
          <w:sz w:val="24"/>
          <w:szCs w:val="24"/>
        </w:rPr>
        <w:t xml:space="preserve">Il primo pilastro è il corpus epistolare, che il registro certifica al Livello A nella sua materialità e disciplina nella sua valenza. Durante i 55 giorni Moro scrisse e fece recapitare decine di lettere, ai familiari, ai dirigenti del suo partito, alle massime cariche dello Stato, al Pontefice: lettere nelle quali argomentò la legittimità della trattativa per la vita dell'ostaggio, contestò la linea della fermezza rovesciando contro i suoi assertori la propria dottrina dello Stato, e progressivamente registrò l'abbandono, sino alle ultime disposizioni familiari e alla volontà, dettata, che nessun uomo del potere partecipasse alle sue esequie. Il registro certifica al Livello A l'esistenza, la consegna e il contenuto testuale delle lettere, e applica la disciplina dichiarata in avvertenza: la questione, dibattuta sin dai 55 giorni, della libertà del prigioniero scrivente, fu risolta dalla vulgata dell'epoca nel senso della coartazione totale, che privava le lettere di valore; le acquisizioni successive, testimoniali e comparative, hanno consolidato la lettura per cui Moro scrisse entro il perimetro concesso dai carcerieri ma con lucidità e intenzione proprie, usando lo spazio della scrittura quale ultimo terreno di azione politica; il registro certifica al Livello B questa lettura, quale convergenza delle fonti critiche, e ne trae la regola di trattamento: ogni enunciato delle lettere è vagliato singolarmente, quale atto di un autore lucido in condizione di costrizione, senza presunzioni generali né di falsità né di verità.</w:t>
      </w:r>
    </w:p>
    <w:p>
      <w:pPr>
        <w:spacing w:after="120" w:line="276"/>
        <w:jc w:val="both"/>
      </w:pPr>
      <w:r>
        <w:rPr>
          <w:rFonts w:ascii="Barlow Semi Condensed" w:cs="Barlow Semi Condensed" w:eastAsia="Barlow Semi Condensed" w:hAnsi="Barlow Semi Condensed"/>
          <w:sz w:val="24"/>
          <w:szCs w:val="24"/>
        </w:rPr>
        <w:t xml:space="preserve">Il secondo pilastro è la vicenda del memoriale e dei 2 ritrovamenti di via Monte Nevoso, che il registro certifica al Livello A quale sequenza e assume quale reperto capitale del piano secondo. Durante la prigionia Moro rispose per iscritto agli interrogatori condotti da Moretti, producendo un ampio memoriale su temi che spaziavano dalla storia della Democrazia Cristiana alle strutture atlantiche, dal finanziamento della politica ai servizi di sicurezza, con giudizi severi su uomini e apparati. Il 1 ottobre 1978, l'irruzione nel covo milanese di via Monte Nevoso 8, condotta dai reparti antiterrorismo coordinati dal generale Dalla Chiesa, portò all'arresto di dirigenti dell'organizzazione e al sequestro di una versione dattiloscritta parziale del memoriale e di trascrizioni di lettere; il materiale fu trasmesso e in parte pubblicato. Il 9 ottobre 1990, 12 anni dopo, nel corso di lavori di ristrutturazione del medesimo appartamento, fu rinvenuto, dietro un pannello di un'intercapedine sfuggito alla perquisizione originaria, un secondo compendio: fotocopie di manoscritti del memoriale, più ampie del dattiloscritto del 1978, e lettere ulteriori, molte inedite. Il registro certifica al Livello A i 2 ritrovamenti, la loro distanza temporale e la maggiore estensione del secondo compendio, e censisce le 2 questioni che la sequenza consegna. La prima è la questione della completezza: gli originali manoscritti del memoriale non sono mai stati rinvenuti, il secondo compendio è costituito da fotocopie, e la possibilità che porzioni del testo non siano mai emerse resta, allo stato, un'ipotesi non falsificabile che il registro censisce quale buco strutturale documentale di Livello C. La seconda è la questione della perquisizione del 1978: la mancata scoperta dell'intercapedine da parte di una perquisizione condotta dal migliore reparto antiterrorismo del Paese è stata oggetto di 2 letture concorrenti, l'errore materiale e la selezione deliberata; le sedi parlamentari hanno documentato gli elementi di entrambe senza consacrarne alcuna, e il registro mantiene la questione al Livello C, applicando alla lettera il divieto inferenziale: la mancata scoperta è certa, la sua intenzionalità non lo è, e la circostanza che il materiale del 1990 contenesse giudizi e rivelazioni assenti dal compendio del 1978 aggrava la domanda senza risolverla.</w:t>
      </w:r>
    </w:p>
    <w:p>
      <w:pPr>
        <w:spacing w:after="120" w:line="276"/>
        <w:jc w:val="both"/>
      </w:pPr>
      <w:r>
        <w:rPr>
          <w:rFonts w:ascii="Barlow Semi Condensed" w:cs="Barlow Semi Condensed" w:eastAsia="Barlow Semi Condensed" w:hAnsi="Barlow Semi Condensed"/>
          <w:sz w:val="24"/>
          <w:szCs w:val="24"/>
        </w:rPr>
        <w:t xml:space="preserve">Il terzo pilastro è il contenuto del memoriale quale fonte, che il registro disciplina con il rigore massimo. Il prigioniero scrisse, tra l'altro, di strutture riservate atlantiche predisposte per l'emergenza, con riferimenti che le acquisizioni del 1990, sopravvenute alla rivelazione della rete Gladio di 15 giorni anteriore, resero oggetto di immediata comparazione; scrisse del finanziamento dei partiti, di uomini del suo partito e degli apparati. Il registro assume ciascun enunciato quale dichiarazione di fonte qualificata resa in costrizione: certificabile quanto all'esistenza dell'enunciato, al Livello A; valutabile quanto al contenuto soltanto per convergenza con fonti autonome, secondo la regola generale; e annota il caso più rilevante di convergenza sopravvenuta, il riferimento del prigioniero a strutture di emergenza atlantiche, che la rivelazione del 1990 ha riscontrato nella sua sostanza, elevando quello specifico enunciato al Livello B quale dichiarazione riscontrata da fatto successivo indipendente: è il caso, metodologicamente prezioso, della fonte costretta che risulta, a distanza di 12 anni, aver detto il vero su un punto verificabile.</w:t>
      </w:r>
    </w:p>
    <w:p>
      <w:pPr>
        <w:spacing w:after="120" w:line="276"/>
        <w:jc w:val="both"/>
      </w:pPr>
      <w:r>
        <w:rPr>
          <w:rFonts w:ascii="Barlow Semi Condensed" w:cs="Barlow Semi Condensed" w:eastAsia="Barlow Semi Condensed" w:hAnsi="Barlow Semi Condensed"/>
          <w:sz w:val="24"/>
          <w:szCs w:val="24"/>
        </w:rPr>
        <w:t xml:space="preserve">Il quarto pilastro è la mappa tematica del memoriale, che il registro traccia quale guida documentale, ferma la disciplina enunciata. Il corpus emerso nei 2 ritrovamenti si articola su temi ricorrenti: la storia interna della Democrazia Cristiana e i suoi equilibri di corrente, con giudizi individuali di durezza inedita per la scrittura morotea, il più severo dei quali investe Giulio Andreotti, cui il prigioniero dedica pagine di requisitoria personale e politica; il finanziamento della politica e i suoi canali; l'anticomunismo di Stato e le sue strutture, con il passaggio sulle organizzazioni di emergenza a matrice atlantica di cui si è detto; i servizi di sicurezza e la loro storia; la politica internazionale e i vincoli di campo; e la riflessione sulla propria condizione, sulla fermezza e sullo Stato. Il registro certifica al Livello A l'esistenza e l'articolazione tematica del corpus, quale dato documentale; annota che la distribuzione dei temi tra il compendio del 1978 e quello del 1990 non è omogenea, con la presenza nel solo materiale del 1990 di svolgimenti assenti dal dattiloscritto originario, tra cui porzioni delle pagine su Andreotti e sui temi atlantici, e certifica al Livello A questa distribuzione differenziale, che è il fondamento documentale della questione della gestione già censita; e ribadisce, per ciascun enunciato di merito, la regola del vaglio individuale, con l'unico caso di elevazione già dichiarato. L'annotazione conclusiva del pilastro registra il paradosso documentale del caso: il prigioniero produsse, sotto costrizione, la più estesa testimonianza interna mai scritta sul sistema di potere italiano, e quella testimonianza raggiunse il registro soltanto per frammenti, in 2 tempi, per fotocopia e senza originali; nessun documento dell'opera unisce in sé, come il memoriale, il massimo valore potenziale della fonte e la massima menomazione certificata del supporto.</w:t>
      </w:r>
    </w:p>
    <w:p>
      <w:pPr>
        <w:spacing w:after="120" w:line="276"/>
        <w:jc w:val="both"/>
      </w:pPr>
      <w:r>
        <w:rPr>
          <w:rFonts w:ascii="Barlow Semi Condensed" w:cs="Barlow Semi Condensed" w:eastAsia="Barlow Semi Condensed" w:hAnsi="Barlow Semi Condensed"/>
          <w:sz w:val="24"/>
          <w:szCs w:val="24"/>
        </w:rPr>
        <w:t xml:space="preserve">Il quinto pilastro è la circolazione controllata del corpus epistolare, che il registro censisce quale ulteriore terreno del piano secondo. Non tutte le lettere scritte dal prigioniero giunsero ai destinatari nei 55 giorni: parte del corpus, come i ritrovamenti successivi hanno dimostrato, non fu mai recapitata dall'organizzazione; e parte di ciò che fu recapitato conobbe una circolazione governata, con la gestione politica della loro pubblicità, l'autenticazione contestata, la costruzione pubblica della tesi della coartazione che ne neutralizzava il contenuto. Il registro certifica al Livello A i 2 fatti componenti, la mancata consegna di parte del corpus, documentata dal confronto tra il consegnato e l'emerso, e l'esistenza di una gestione politica della ricezione, documentata dagli atti e dalla pubblicistica coeva; e ne trae l'annotazione che congiunge i piani: sul corpus epistolare operarono 2 filtri successivi e indipendenti, quello dei carcerieri, che scelsero cosa far uscire, e quello dei riceventi, che scelsero come accogliere ciò che usciva; la voce del prigioniero giunse al Paese doppiamente mediata, e la ricostruzione integrale del corpus, possibile soltanto dopo il 1990, è essa stessa una conquista postuma che il registro data e certifica.</w:t>
      </w:r>
    </w:p>
    <w:p>
      <w:pPr>
        <w:spacing w:after="120" w:line="276"/>
        <w:jc w:val="both"/>
      </w:pPr>
      <w:r>
        <w:rPr>
          <w:rFonts w:ascii="Barlow Semi Condensed" w:cs="Barlow Semi Condensed" w:eastAsia="Barlow Semi Condensed" w:hAnsi="Barlow Semi Condensed"/>
          <w:sz w:val="24"/>
          <w:szCs w:val="24"/>
        </w:rPr>
        <w:t xml:space="preserve">Il sesto pilastro percorre le lettere principali nella loro scansione, quale mappa documentale del corpus epistolare. La prima lettera resa pubblica, recapitata con il comunicato del 29 marzo, fu indirizzata al ministro dell'interno Francesco Cossiga: in essa Moro pose per primo, con l'autorità del giurista, il tema dello scambio dei prigionieri quale istituto praticato dagli Stati, dichiarò di trovarsi sotto un dominio pieno e non condizionato, e avvertì che il suo sacrificio non avrebbe giovato; il registro ne certifica al Livello A il testo e la funzione inaugurale del confronto. Seguirono le lettere ai vertici del partito, e in particolare le 2 al segretario Benigno Zaccagnini, dei primi di aprile e del 20 aprile, la seconda delle quali contiene l'apice della requisitoria del prigioniero contro la linea della fermezza, con l'ammonimento che il suo sangue sarebbe ricaduto sui dirigenti e la contestazione radicale della pretesa di distinguere tra l'uomo e lo statista; la lettera al presidente del Senato e ai presidenti dei gruppi; quella ad Amintore Fanfani, nell'ultima fase, quale estremo appello alla parte del partito ritenuta ancora capace di movimento; i biglietti e le lettere alla famiglia, sino alle disposizioni finali, la richiesta che nessun uomo del potere partecipasse alle esequie e che il funerale fosse celebrato nella forma privata, e il congedo dalla moglie Eleonora; e la lettera al Pontefice, in risposta all'appello pubblico. Il registro certifica al Livello A l'esistenza, i destinatari e i contenuti delle lettere richiamate, quali dati dell'edizione critica, e ne registra la traiettoria interna certificabile: dalla prima argomentazione istituzionale dello scambio alla progressiva presa d'atto dell'abbandono, sino al rovesciamento finale, per cui l'uomo che aveva costruito la solidarietà nazionale dispose che la sua morte non fosse utilizzabile da alcuno, sottraendo il proprio corpo alla liturgia dello Stato che non lo aveva riscattato: la disposizione, puntualmente eseguita dalla famiglia, è l'ultimo atto politico documentato del prigioniero, e il registro lo certifica quale tale.</w:t>
      </w:r>
    </w:p>
    <w:p>
      <w:pPr>
        <w:spacing w:after="120" w:line="276"/>
        <w:jc w:val="both"/>
      </w:pPr>
      <w:r>
        <w:rPr>
          <w:rFonts w:ascii="Barlow Semi Condensed" w:cs="Barlow Semi Condensed" w:eastAsia="Barlow Semi Condensed" w:hAnsi="Barlow Semi Condensed"/>
          <w:sz w:val="24"/>
          <w:szCs w:val="24"/>
        </w:rPr>
        <w:t xml:space="preserve">Il settimo pilastro ricostruisce la catena documentale del primo ritrovamento e la sincronia editoriale che vi si lega. Il materiale sequestrato in via Monte Nevoso il 1 ottobre 1978, il dattiloscritto del memoriale e le trascrizioni di lettere, entrò nella catena di custodia dei reparti operanti sotto la direzione del generale Dalla Chiesa e fu trasmesso alle autorità di governo e giudiziarie, con la pubblicazione di parte dei contenuti nelle settimane successive; sin da quella stagione, e poi definitivamente dopo il 1990, si pose la questione dell'integralità della trasmissione, alimentata dalla circostanza, certificata al Livello A dal confronto filologico, che il compendio del 1990 contiene testi e svolgimenti assenti dal materiale consegnato nel 1978 pur provenendo dal medesimo appartamento. A questa questione il registro salda la sincronia editoriale documentata: nell'ottobre 1978, a ridosso del sequestro del covo, il settimanale OP di Mino Pecorelli pubblicò e annunciò contenuti riconducibili al memoriale, taluni dei quali non presenti nel dattiloscritto allora ufficialmente acquisito e riscontrabili soltanto nel materiale emerso nel 1990; il registro certifica al Livello A la datazione e l'esistenza delle pubblicazioni, quale dato della collezione, e al Livello B la loro derivazione da un accesso a materiale non compreso nella versione ufficiale del 1978, quale inferenza documentale fondata sul confronto testuale operato nelle sedi parlamentari; la catena di tale accesso, chi, tra il covo e la pubblicazione, fece transitare ciò che lo Stato dichiarava di non possedere, resta al Livello C, ed è, per il registro, la più circoscritta e la più grave delle domande aperte del piano secondo, perché a differenza delle altre ammette un insieme finito di risposte possibili, tutte interne al perimetro della custodia. Il capitolo su Pecorelli riprende l'arco dal suo versante; il presente lo consegna quale reperto della vicenda documentale.</w:t>
      </w:r>
    </w:p>
    <w:p>
      <w:pPr>
        <w:spacing w:after="120" w:line="276"/>
        <w:jc w:val="both"/>
      </w:pPr>
      <w:r>
        <w:rPr>
          <w:rFonts w:ascii="Barlow Semi Condensed" w:cs="Barlow Semi Condensed" w:eastAsia="Barlow Semi Condensed" w:hAnsi="Barlow Semi Condensed"/>
          <w:sz w:val="24"/>
          <w:szCs w:val="24"/>
        </w:rPr>
        <w:t xml:space="preserve">L'ottavo pilastro censisce la costruzione pubblica della tesi della coartazione, il dispositivo con cui la voce del prigioniero fu neutralizzata. Sin dalle prime lettere, la linea ufficiale sostenne che gli scritti non esprimessero la volontà libera dell'uomo: la formula, veicolata da dichiarazioni di vertice e consacrata da un documento collettivo di amici, colleghi ed esponenti della cultura cattolica che dichiararono di non riconoscere in quelle pagine l'uomo che conoscevano, ricevette l'avallo tecnico delle valutazioni del comitato di esperti censito nel capitolo della gestione, orientate alla non attendibilità della scrittura quale espressione autentica; il registro certifica al Livello A l'esistenza, gli strumenti e la funzione della costruzione, quali dati documentali della stagione, e certifica al Livello A, sul fondamento dell'analisi filologica condotta dalle stagioni successive sull'intero corpus, che gli scritti esibiscono coerenza argomentativa, progressione logica, padronanza giuridica e continuità con il pensiero anteriore dell'autore, gli elementi sui quali la storiografia critica ha fondato il rovesciamento della tesi coeva; e chiude con la formalizzazione che la disciplina consente: la tesi della coartazione totale è un enunciato della stagione, certificato quale fatto storico nella sua esistenza e nella sua funzione, e falsificato quale tesi dal corpus medesimo, sicché il registro la censisce tra i dispositivi della gestione e non tra le descrizioni del documento; la circostanza che l'organo tecnico che la avallò fosse parte del sistema di compresenze certificato appartiene ai fatti del piano secondo, e vi resta.</w:t>
      </w:r>
    </w:p>
    <w:p>
      <w:pPr>
        <w:spacing w:after="120" w:line="276"/>
        <w:jc w:val="both"/>
      </w:pPr>
      <w:r>
        <w:rPr>
          <w:rFonts w:ascii="Barlow Semi Condensed" w:cs="Barlow Semi Condensed" w:eastAsia="Barlow Semi Condensed" w:hAnsi="Barlow Semi Condensed"/>
          <w:sz w:val="24"/>
          <w:szCs w:val="24"/>
        </w:rPr>
        <w:t xml:space="preserve">Il nono pilastro percorre i contenuti maggiori del memoriale, quale mappa dei temi che il vaglio individuale disciplina. Il primo blocco è quello degli apparati: le pagine sulle strutture di emergenza a matrice atlantica, con l'enunciato già elevato al Livello B per il riscontro del 1990; le pagine sulla stagione del SIFAR e del Piano Solo, scritte dal testimone che era stato presidente del Consiglio in quella estate, con la ricostruzione delle pressioni e delle coperture di allora; e i giudizi sui servizi della propria stagione. Il secondo blocco è quello politico: la requisitoria su Giulio Andreotti, la più estesa e la più dura del corpus, che percorre la carriera del presidente del Consiglio in carica con giudizi di spregiudicatezza e freddezza rimasti nella memoria documentale della Repubblica; le pagine su Paolo Emilio Taviani, sulla sua stagione al Viminale e sui suoi rapporti atlantici; i giudizi sul sistema di potere del proprio partito e sul suo finanziamento, ivi compresi i canali americani della prima guerra fredda. Il terzo blocco è quello internazionale, con la lettura dei vincoli di campo, delle rigidità atlantiche e della condizione di sovranità limitata del Paese. Il registro certifica al Livello A l'esistenza e l'articolazione di questi contenuti, quali dati testuali del corpus emerso, ribadisce che ciascun enunciato di merito resta sottoposto al vaglio individuale con l'unica elevazione dichiarata, e annota il dato d'insieme che il corpus consegna: il prigioniero rispose al processo dei carcerieri con una controrequisitoria sistemica, trasformando l'interrogatorio in una testimonianza sul potere italiano che nessun uomo libero della sua posizione aveva mai consegnato per iscritto, e questa natura del documento, insieme testimonianza capitale e scrittura sotto costrizione, è la ragione strutturale della disciplina che il registro vi applica.</w:t>
      </w:r>
    </w:p>
    <w:p>
      <w:pPr>
        <w:spacing w:after="120" w:line="276"/>
        <w:jc w:val="both"/>
      </w:pPr>
      <w:r>
        <w:rPr>
          <w:rFonts w:ascii="Barlow Semi Condensed" w:cs="Barlow Semi Condensed" w:eastAsia="Barlow Semi Condensed" w:hAnsi="Barlow Semi Condensed"/>
          <w:sz w:val="24"/>
          <w:szCs w:val="24"/>
        </w:rPr>
        <w:t xml:space="preserve">Il decimo pilastro fissa i numeri del corpus, quale apparato quantitativo della fase. L'edizione critica delle carte della prigionia censisce quasi 100 scritti autografi tra lettere recapitate, lettere trattenute dai carcerieri e mai spedite, minute e testi connessi, indirizzati a oltre 40 destinatari tra uomini politici, familiari, collaboratori ed ecclesiastici; il compendio del memoriale sequestrato nel 1978 consta dei dattiloscritti censiti negli atti del primo ritrovamento, e il compendio del 1990 consta di 419 pagine in fotocopia di manoscritti, comprensive delle porzioni assenti dalla versione del 1978; il registro certifica al Livello A questi ordini di grandezza, quali dati delle edizioni e delle inventariazioni ufficiali, e ne trae l'annotazione metodologica terminale del nodo: la voce scritta del prigioniero è, quantitativamente, la maggiore fonte primaria dell'intera vicenda, e la sua storia materiale, scritta a mano in prigione, trascritta dai carcerieri, sequestrata in 2 tempi a 12 anni di distanza, mai emersa in originale, è essa stessa il più compiuto oggetto di studio che la fase consegna al metodo dell'opera: un corpus la cui filologia è inseparabile dalla sua vicenda di potere.</w:t>
      </w:r>
    </w:p>
    <w:p>
      <w:pPr>
        <w:spacing w:after="120" w:line="276"/>
        <w:jc w:val="both"/>
      </w:pPr>
      <w:r>
        <w:rPr>
          <w:rFonts w:ascii="Barlow Semi Condensed" w:cs="Barlow Semi Condensed" w:eastAsia="Barlow Semi Condensed" w:hAnsi="Barlow Semi Condensed"/>
          <w:sz w:val="24"/>
          <w:szCs w:val="24"/>
        </w:rPr>
        <w:t xml:space="preserve">L'undicesimo pilastro censisce la lettera a Taviani, il documento polemico maggiore del corpus epistolare pubblico. Diffusa a metà aprile per il canale dell'organizzazione, la lettera investe Paolo Emilio Taviani, l'uomo dei governi e del Viminale della prima Repubblica, con una requisitoria personale e politica che non ha equivalenti nel corpus per durezza diretta verso un singolo destinatario vivente: il prigioniero vi contesta all'antico collega la coerenza della linea della fermezza con il suo stesso passato di governo, richiama vicende e responsabilità della storia interna del partito e degli apparati, e ne fa il bersaglio esemplare della classe dirigente che lo abbandonava; Taviani replicò pubblicamente, contestando l'autenticità morale dello scritto entro la cornice della coartazione allora dominante. Il registro certifica al Livello A il testo, la diffusione e la replica, quali dati documentali, e ne dichiara il rilievo per la fase: la scelta del bersaglio, l'uomo che il memoriale avrebbe parimenti investito sul terreno degli apparati e dei rapporti atlantici, documenta la continuità tematica tra la scrittura epistolare pubblica e la scrittura del memoriale, i 2 rami della produzione del prigioniero, e conferma, sul piano filologico, l'unità della mano e del disegno che l'ottavo pilastro ha certificato contro la tesi coeva; il registro annota che la coppia lettera-replica costituisce inoltre il caso documentale più netto del meccanismo censito, la neutralizzazione della voce attraverso la sua squalifica, operata qui non da un organo tecnico ma dal destinatario medesimo, con l'autorità della propria storia istituzionale.</w:t>
      </w:r>
    </w:p>
    <w:p>
      <w:pPr>
        <w:spacing w:after="120" w:line="276"/>
        <w:jc w:val="both"/>
      </w:pPr>
      <w:r>
        <w:rPr>
          <w:rFonts w:ascii="Barlow Semi Condensed" w:cs="Barlow Semi Condensed" w:eastAsia="Barlow Semi Condensed" w:hAnsi="Barlow Semi Condensed"/>
          <w:sz w:val="24"/>
          <w:szCs w:val="24"/>
        </w:rPr>
        <w:t xml:space="preserve">Il dodicesimo pilastro censisce il destino editoriale del corpus, l'ultimo tratto della sua vicenda materiale. Le carte della prigionia conobbero la pubblicazione per strati successivi, paralleli ai ritrovamenti: le lettere recapitate circolarono nella stagione stessa, il compendio del 1978 fu pubblicato negli atti e nella stampa dell'autunno, il materiale del 1990 confluì nei volumi documentali della Commissione sulle stragi, e l'insieme trovò sistemazione filologica nell'edizione critica del corpus epistolare pubblicata nel primo decennio del secolo, con l'apparato di datazione, collazione e commento che ha reso possibile il confronto sistematico tra recapitato, trattenuto ed emerso su cui la fase ha lavorato; il registro certifica al Livello A la stratigrafia editoriale, quale storia documentale, e chiude il nodo con l'annotazione che essa impone: il caso Moro è l'unico evento dell'intera opera il cui documento centrale abbia richiesto 30 anni per raggiungere la forma di fonte criticamente edita, e la storia di questa lentezza, fatta di sequestri parziali, fotocopie, polemiche e attese, non è un accidente della filologia ma un capitolo della storia del potere che il documento racconta: il registro la trascrive quale ultimo dato del nodo, la fonte che impiegò una generazione a diventare leggibile.</w:t>
      </w:r>
    </w:p>
    <w:p>
      <w:pPr>
        <w:spacing w:after="120" w:line="276"/>
        <w:jc w:val="both"/>
      </w:pPr>
      <w:r>
        <w:rPr>
          <w:rFonts w:ascii="Barlow Semi Condensed" w:cs="Barlow Semi Condensed" w:eastAsia="Barlow Semi Condensed" w:hAnsi="Barlow Semi Condensed"/>
          <w:sz w:val="24"/>
          <w:szCs w:val="24"/>
        </w:rPr>
        <w:t xml:space="preserve">Il tredicesimo pilastro censisce il corpus familiare, il ramo delle lettere che la disciplina del registro tratta con la sobrietà dovuta. Accanto alle lettere politiche, il prigioniero scrisse per l'intera durata del sequestro alla moglie Eleonora, ai 4 figli e alla famiglia: un corpus di scritti privati, in parte recapitati e in parte trattenuti ed emersi con i ritrovamenti, che documenta il versante personale dei 55 giorni, la preoccupazione minuta per la vita dei suoi, le disposizioni domestiche ed economiche, l'affidamento reciproco, e che culmina nell'ultima lettera alla moglie, il congedo scritto nell'imminenza della fine, con il pensiero rivolto a ciascuno dei familiari e al nipote, e con le disposizioni finali già censite quale ultimo atto politico, la volontà che alle esequie non partecipassero gli uomini del potere. Il registro certifica al Livello A l'esistenza, la consistenza e i contenuti del corpus familiare, quali dati dell'edizione critica, e dichiara la propria disciplina: gli scritti privati sono censiti quale fonte, per ciò che documentano della condizione del prigioniero, della sua lucidità conservata e della cronologia interna della prigionia, e non sono oggetto di analisi eccedente, il registro ritenendo che la loro funzione nell'opera si esaurisca nella certificazione e che ogni ulteriore trattamento appartenga alla pietà e non al metodo; una sola annotazione analitica è dovuta, ed è filologica: la continuità di mano, di lucidità e di struttura tra il corpus politico e il corpus familiare, accertata dagli studi sull'insieme delle carte, è essa stessa un elemento della falsificazione della tesi della coartazione totale, giacché documenta un uomo che, sino all'ultimo giorno, governò simultaneamente i registri della requisitoria politica e della tenerezza familiare, la prestazione meno compatibile con l'annullamento della volontà che la tesi coeva postulava.</w:t>
      </w:r>
    </w:p>
    <w:p>
      <w:pPr>
        <w:spacing w:after="120" w:line="276"/>
        <w:jc w:val="both"/>
      </w:pPr>
      <w:r>
        <w:rPr>
          <w:rFonts w:ascii="Barlow Semi Condensed" w:cs="Barlow Semi Condensed" w:eastAsia="Barlow Semi Condensed" w:hAnsi="Barlow Semi Condensed"/>
          <w:sz w:val="24"/>
          <w:szCs w:val="24"/>
        </w:rPr>
        <w:t xml:space="preserve">Il quattordicesimo pilastro censisce il sottoinsieme delle lettere trattenute, il corpus che i carcerieri non recapitarono. Il confronto tra il corpus integrale emerso con i ritrovamenti e l'insieme delle lettere effettivamente giunte ai destinatari nella stagione documenta che una parte rilevante degli scritti del prigioniero fu trattenuta dall'organizzazione e mai spedita: lettere a uomini politici, a collaboratori e alla famiglia che Moro scrisse e consegnò per l'inoltro e che i carcerieri, esercitando il controllo sul canale, decisero di non far uscire dalla prigione, e che sarebbero emerse soltanto con le carte del 1978 e del 1990; il registro certifica al Livello A l'esistenza e la consistenza del sottoinsieme trattenuto, quale risultanza del confronto filologico condotto dall'edizione critica, e ne dichiara il portato analitico, che è duplice. Sul piano della fonte, la selezione operata dai carcerieri è essa stessa un documento: la scelta di cosa far uscire e cosa trattenere fu un atto politico dell'organizzazione, che governò la voce del prigioniero non soltanto producendone l'occasione ma amministrandone la circolazione, e la mappa del trattenuto, ricostruibile a posteriori, documenta i criteri di quel governo, l'organizzazione avendo privilegiato l'uscita degli scritti funzionali alla pressione sulla Democrazia Cristiana e trattenuto una parte di quelli personali o eccedenti la propria strategia. Sul piano del metodo, il pilastro completa la fisionomia del corpus che il decimo ha fissato: la voce scritta del prigioniero giunse ai contemporanei filtrata 2 volte, dalla selezione dei carcerieri nella stagione e dalla vicenda dei ritrovamenti nei decenni, e ogni analisi della ricezione coeva delle lettere deve incorporare il dato che i contemporanei lessero un corpus amministrato, non il corpus integrale, una circostanza che il registro certifica quale condizione documentata della storia della ricezione.</w:t>
      </w:r>
    </w:p>
    <w:p>
      <w:pPr>
        <w:spacing w:after="120" w:line="276"/>
        <w:jc w:val="both"/>
      </w:pPr>
      <w:r>
        <w:rPr>
          <w:rFonts w:ascii="Barlow Semi Condensed" w:cs="Barlow Semi Condensed" w:eastAsia="Barlow Semi Condensed" w:hAnsi="Barlow Semi Condensed"/>
          <w:sz w:val="24"/>
          <w:szCs w:val="24"/>
        </w:rPr>
        <w:t xml:space="preserve">Il quindicesimo pilastro censisce il fondamento tecnico dell'autenticità, le perizie grafiche sul corpus. L'autografia degli scritti della prigionia fu sottoposta ad accertamento peritale in ogni stagione, dalle prime verifiche della crisi, condotte sulle lettere recapitate per escludere la falsificazione, sino agli esami sistematici delle Commissioni sui compendi del 1978 e del 1990: gli esiti, convergenti attraverso 4 decenni di strumenti crescenti, hanno accertato che le lettere e le pagine manoscritte del memoriale sono di mano di Aldo Moro, senza che alcuna perizia abbia mai individuato interpolazioni di mano diversa nei testi autografi; il registro certifica al Livello A l'autografia del corpus, quale risultanza peritale consolidata, e ne dichiara la funzione architettonica: essa è il fondamento tecnico su cui l'intero capitolo poggia, giacché distingue con nettezza le 2 questioni che la stagione confuse e che il registro tiene separate, l'autenticità materiale degli scritti, accertata e mai più seriamente contestata, e la libertà morale dello scrivente, il terreno su cui la tesi della coartazione operò; la confusione delle 2 questioni fu, per il registro, il meccanismo retorico centrale della neutralizzazione coeva, che trasferì sul piano inattaccabile della materialità il dubbio che poteva vivere soltanto sul piano della condizione, e la loro separazione, operata dalla filologia successiva, è l'atto metodologico che ha restituito il corpus alla storia; il registro trascrive la distinzione quale acquisizione definitiva della fase e la applica retroattivamente a ogni pilastro del capitolo, nel quale ogni enunciato sull'autenticità va letto quale enunciato sulla materialità accertata, e ogni questione residua quale questione sulle condizioni, censita ai livelli propri.</w:t>
      </w:r>
    </w:p>
    <w:p>
      <w:pPr>
        <w:spacing w:after="120" w:line="276"/>
        <w:jc w:val="both"/>
      </w:pPr>
      <w:r>
        <w:rPr>
          <w:rFonts w:ascii="Barlow Semi Condensed" w:cs="Barlow Semi Condensed" w:eastAsia="Barlow Semi Condensed" w:hAnsi="Barlow Semi Condensed"/>
          <w:sz w:val="24"/>
          <w:szCs w:val="24"/>
        </w:rPr>
        <w:t xml:space="preserve">Le triangolazioni del nodo sono 3. La prima, lettere-linea della fermezza-ultimo terreno politico, è il triangolo del corpus epistolare, certificato al Livello A nella materialità e al Livello B nella lettura della lucidità. La seconda, memoriale-Monte Nevoso 1978-Monte Nevoso 1990, è il triangolo dei ritrovamenti, certificato al Livello A nella sequenza e al Livello C nelle questioni della completezza e dell'intenzionalità. La terza, enunciati del prigioniero-riscontri sopravvenuti-Gladio, è il triangolo della fonte riscontrata, con l'elevazione dichiarata al Livello B del punto verificato. Sul piano dei pattern, il nodo è la sede propria del Pattern 6 applicato a un documento: le ipotesi concorrenti sulla gestione del memoriale, errore contro selezione, restano in competizione formale, e il registro elenca, secondo il metodo, l'evidenza che le discriminerebbe, il ritrovamento degli originali manoscritti, dichiarandola allo stato inesistente.</w:t>
      </w:r>
    </w:p>
    <w:p>
      <w:pPr>
        <w:spacing w:after="120" w:line="276"/>
        <w:jc w:val="both"/>
      </w:pPr>
      <w:r>
        <w:rPr>
          <w:rFonts w:ascii="Barlow Semi Condensed" w:cs="Barlow Semi Condensed" w:eastAsia="Barlow Semi Condensed" w:hAnsi="Barlow Semi Condensed"/>
          <w:sz w:val="24"/>
          <w:szCs w:val="24"/>
        </w:rPr>
        <w:t xml:space="preserve">Il corpus del prigioniero va restituito anche nella sua logistica, perché il recapito è esso stesso un capitolo del caso. Gli scritti viaggiarono su un doppio binario documentato: il canale brigatista ordinario, che accompagnava le lettere ai comunicati o le affidava a recapiti indiretti, ed il canale fiduciario che l'organizzazione consentì verso la famiglia, nel quale operò tra gli altri il giovane sacerdote don Antonello Mennini, confessore di casa Moro, tramite di plichi e risposte nelle settimane centrali del sequestro, secondo quanto egli stesso avrebbe poi riferito alle sedi istruttorie e parlamentari, Livello A quanto all'esistenza dei canali ed al ruolo del tramite, nei limiti delle rispettive fonti. La consistenza complessiva del corpus, tra lettere recapitate ai destinatari, scritti trattenuti dai carcerieri ed esemplari emersi soltanto nei compendi di via Monte Nevoso, si approssima al centinaio di pezzi, con un ordine interno che la filologia ha ricostruito distinguendo gli originali autografi recapitati, le trascrizioni e le fotocopie dei ritrovamenti, Livello A quanto alla tripartizione ed all'ordine di grandezza, ferma l'assenza perpetua degli originali dei compendi che la sintesi certifica.</w:t>
      </w:r>
    </w:p>
    <w:p>
      <w:pPr>
        <w:spacing w:after="120" w:line="276"/>
        <w:jc w:val="both"/>
      </w:pPr>
      <w:r>
        <w:rPr>
          <w:rFonts w:ascii="Barlow Semi Condensed" w:cs="Barlow Semi Condensed" w:eastAsia="Barlow Semi Condensed" w:hAnsi="Barlow Semi Condensed"/>
          <w:sz w:val="24"/>
          <w:szCs w:val="24"/>
        </w:rPr>
        <w:t xml:space="preserve">La mappa dei destinatari disegna, infine, la strategia del prigioniero, ed il registro la fissa nei suoi capisaldi datati: la prima lettera politica, indirizzata al ministro dell'interno Francesco Cossiga e recapitata il 29 marzo, che apre la contesa sulla linea dello scambio con l'argomentazione dello Stato che non può chiedere ai suoi servitori il sacrificio della vita innocente; le lettere al segretario democristiano Benigno Zaccagnini, tra le quali quella dei primi di aprile e quella del 20 aprile, di crescente durezza verso il partito immobile; la lettera a Paolo VI, cui seguì l'appello pubblico del pontefice del 21 aprile già certificato; e la sequenza familiare, sino all'ultima lettera alla moglie, il congedo che chiude il corpus sul registro privato dopo che quello pubblico si era consumato, Livello A quanto ai destinatari ed alla scansione. Il registro consegna la mappa alla sua lettura documentale: il prigioniero condusse per lettere una campagna ordinata, prima giuridico-politica verso lo Stato, poi morale verso il partito, poi spirituale verso la Chiesa, infine affettiva verso i suoi, e questa progressione, leggibile nella sola cronologia dei destinatari, è il più forte argomento interno contro la tesi coeva della non autenticità morale degli scritti: le lettere non divagano, manovrano, e la manovra ha la coerenza di una mente che il registro, con le sentenze e con la filologia, certifica lucida.</w:t>
      </w:r>
    </w:p>
    <w:p>
      <w:pPr>
        <w:spacing w:after="120" w:line="276"/>
        <w:jc w:val="both"/>
      </w:pPr>
      <w:r>
        <w:rPr>
          <w:rFonts w:ascii="Barlow Semi Condensed" w:cs="Barlow Semi Condensed" w:eastAsia="Barlow Semi Condensed" w:hAnsi="Barlow Semi Condensed"/>
          <w:sz w:val="24"/>
          <w:szCs w:val="24"/>
        </w:rPr>
        <w:t xml:space="preserve">Al compendio memorialistico il registro deve la mappa tematica, che le fotocopie dei 2 ritrovamenti consentono di censire al livello loro proprio: le pagine dell'interrogatorio-testamento percorrono, in forma di risposta al questionario dei carcerieri, la storia interna della Democrazia cristiana e dei suoi finanziamenti, i rapporti atlantici della Repubblica e le strutture riservate della sicurezza, i profili dei protagonisti coevi tracciati con giudizi di inedita durezza, e la riflessione del prigioniero sul proprio partito e sulla propria sorte, Livello B quanto ai contenuti, trattandosi di riproduzioni prive degli originali, con la gradazione interna che la filologia dei 2 compendi impone. Sul piano dell'autenticità materiale, le perizie grafiche e documentali disposte nei cicli giudiziari e nelle sedi parlamentari hanno costantemente ricondotto gli autografi riprodotti alla mano di Moro, senza che alcun accertamento abbia mai revocato in dubbio la paternità degli scritti, Livello A quanto agli esiti peritali sulla paternità. Ne discende lo statuto documentale che il registro assegna al corpus e che la sintesi presuppone: testi autentici in copia incompleta, la cui attendibilità di contenuto va graduata pagina per pagina secondo la natura dell'affermazione, testimonianza diretta, giudizio politico o notizia appresa, e la cui lacunosità certificata, l'assenza perpetua degli originali e la maggiore estensione del secondo compendio rispetto al primo, costituisce essa stessa, come il capitolo ha stabilito, il reperto principale: di questo archivio conosciamo con certezza soltanto ciò che manca.</w:t>
      </w:r>
    </w:p>
    <w:p>
      <w:pPr>
        <w:spacing w:after="120" w:line="276"/>
        <w:jc w:val="both"/>
      </w:pPr>
      <w:r>
        <w:rPr>
          <w:rFonts w:ascii="Barlow Semi Condensed" w:cs="Barlow Semi Condensed" w:eastAsia="Barlow Semi Condensed" w:hAnsi="Barlow Semi Condensed"/>
          <w:sz w:val="24"/>
          <w:szCs w:val="24"/>
        </w:rPr>
        <w:t xml:space="preserve">Al corpus scritto si affianca il sotto-corpus visivo, le 2 fotografie del prigioniero, che il registro censisce quale sistema documentale autonomo: la prima, diffusa con il comunicato del 18 marzo, il prigioniero in camicia sotto il drappo dell'organizzazione, con la funzione di certificare la cattura e la messa in scena processuale; la seconda, diffusa il 20 aprile all'indomani del diversivo, il prigioniero con il quotidiano del 19 aprile spiegato dinanzi a sé, con la funzione opposta e complementare di certificare la vita contro la voce della morte che il falso comunicato aveva immesso nel circuito, Livello A quanto alle 2 immagini, alle date ed alle funzioni documentali. Il registro ne fissa la grammatica: la prima fotografia prova l'esistenza del potere dei carcerieri, la seconda prova l'esistenza nel tempo del prigioniero, e tra le 2 immagini corre l'intera parabola comunicativa del sequestro, dall'ostensione del trofeo alla prova di vita mercantile, con il quotidiano trasformato in calendario, l'oggetto più quotidiano del Dominio 8 convertito in strumento di datazione forense. Che le 2 sole immagini uscite dalla prigione siano entrambe atti di comunicazione strategica, e che nessuna immagine del quotidiano carcerario, della cella, dei volti, sia mai stata prodotta o ritrovata, completa la coerenza del sistema: la prigione comunicò soltanto ciò che serviva, quando serviva, e la sua economia visiva, 2 fotografie in 55 giorni, resta la misura più eloquente della disciplina che il registro ha certificato su ogni altro piano.</w:t>
      </w:r>
    </w:p>
    <w:p>
      <w:pPr>
        <w:spacing w:after="120" w:line="276"/>
        <w:jc w:val="both"/>
      </w:pPr>
      <w:r>
        <w:rPr>
          <w:rFonts w:ascii="Barlow Semi Condensed" w:cs="Barlow Semi Condensed" w:eastAsia="Barlow Semi Condensed" w:hAnsi="Barlow Semi Condensed"/>
          <w:sz w:val="24"/>
          <w:szCs w:val="24"/>
        </w:rPr>
        <w:t xml:space="preserve">La prima lettera a Cossiga esige l'analisi della sua architettura argomentativa, perché il registro vi riconosce il documento giuridicamente più denso dell'intero corpus: nel testo recapitato il 29 marzo il prigioniero costruisce, da giurista, il fondamento dottrinale della trattativa, rivendicando di trovarsi sotto un dominio pieno ed incontrollato, in condizione di prigioniero politico di una guerra dichiarata dalla controparte, e richiamando espressamente le prassi già seguite dallo Stato italiano, gli scambi e i rilasci consumati verso la guerriglia palestinese, quale precedente che dimostrava la praticabilità e la già avvenuta pratica del principio della salvezza della vita, Livello A quanto ai contenuti del testo edito. Il registro fissa la potenza documentale dell'argomento: il prigioniero opponeva alla dottrina della fermezza non un'implorazione ma un precedente, e il precedente invocato era esattamente la gestione riservata mediterranea che la fase quinta dell'opera censisce, sicché la lettera del 29 marzo salda dall'interno della prigione i 2 piani che l'opera tratta in fasi distinte, il caso nazionale e il teatro internazionale, certificando che il primo a formulare la connessione fu l'ostaggio medesimo, con cognizione di causa da presidente del partito di governo. La replica implicita dello Stato, il silenzio sul precedente e la costruzione pubblica del Moro non più sé stesso, appartiene ai capitoli censiti; qui il registro consegna il punto dottrinale nudo: nella primavera del 1978 la questione non era se lo Stato italiano potesse trattare con organizzazioni armate, questione già risolta in fatto dalla prassi che il prigioniero conosceva e citava, ma se potesse ammettere di averlo già fatto, e la distanza tra le 2 domande, giuridicamente nulla e politicamente abissale, è lo spazio esatto in cui il caso si consumò.</w:t>
      </w:r>
    </w:p>
    <w:p>
      <w:pPr>
        <w:spacing w:after="120" w:line="276"/>
        <w:jc w:val="both"/>
      </w:pPr>
      <w:r>
        <w:rPr>
          <w:rFonts w:ascii="Barlow Semi Condensed" w:cs="Barlow Semi Condensed" w:eastAsia="Barlow Semi Condensed" w:hAnsi="Barlow Semi Condensed"/>
          <w:sz w:val="24"/>
          <w:szCs w:val="24"/>
        </w:rPr>
        <w:t xml:space="preserve">Il canale vaticano del quadrilatero epistolare ha una genealogia biografica che il registro deve premettere, perché senza di essa l'intensità dell'impegno pontificio resta inspiegata: il rapporto tra il prigioniero ed il papa affondava nel sodalizio nato mezzo secolo prima negli ambienti della Federazione universitaria cattolica italiana, della quale Giovanni Battista Montini era stato assistente ecclesiastico nazionale e Aldo Moro divenne presidente nazionale nel 1939, all'origine di una consuetudine personale e intellettuale protrattasi per l'intera parabola dei 2 uomini, sino a farne, nella primavera del 1978, il vertice della Chiesa ed il vertice del partito cattolico legati da un'amicizia quarantennale, Livello A quanto alla comune matrice fucina ed alla continuità documentata del rapporto. Il registro consegna la premessa alla sua funzione ermeneutica: l'appello del 21 aprile, la disponibilità riservata censita e la liturgia funebre presieduta di persona non furono atti di un'istituzione verso uno statista, ma di un uomo verso l'allievo ed amico di una vita, e questa qualità personale del canale, unica nell'intero quadrilatero, spiega tanto la sua straordinaria mobilitazione quanto il suo limite strutturale: il papa poteva offrire ciò che un amico possiede, la voce, il denaro, la preghiera, ma non ciò che il negoziato richiedeva, la potestà di liberare prigionieri altrui, sicché il canale più motivato del sistema era anche, per costituzione, il meno attrezzato, e la sproporzione tra il suo investimento e la sua capacità è la misura più commovente e più esatta dell'impotenza generale che il capitolo censisce.</w:t>
      </w:r>
    </w:p>
    <w:p>
      <w:pPr>
        <w:spacing w:after="120" w:line="276"/>
        <w:jc w:val="both"/>
      </w:pPr>
      <w:r>
        <w:rPr>
          <w:rFonts w:ascii="Barlow Semi Condensed" w:cs="Barlow Semi Condensed" w:eastAsia="Barlow Semi Condensed" w:hAnsi="Barlow Semi Condensed"/>
          <w:sz w:val="24"/>
          <w:szCs w:val="24"/>
        </w:rPr>
        <w:t xml:space="preserve">La mappa dei destinatari istituzionali si completa con la lettera al vertice del terzo potere rappresentativo, che il registro aggiunge al quadrilatero: il prigioniero scrisse anche al presidente della Camera Pietro Ingrao, investendo della questione la massima carica parlamentare espressa dall'opposizione comunista, con un testo che sollecitava l'assunzione di responsabilità delle istituzioni rappresentative accanto a quelle di governo e di partito già destinatarie del corpus censito, Livello A quanto alla lettera ed al suo destinatario. Il registro annota la razionalità della scelta: indirizzando la terza carica dello Stato, per giunta espressione del partito perno della fermezza, il prigioniero completava la copertura istituzionale del proprio sistema epistolare, governo, partito, Chiesa, famiglia e Parlamento, e costringeva formalmente anche il fronte comunista, sino ad allora raggiunto solo per interposta polemica, a ricevere ed archiviare una propria responsabilità documentale, sicché nessuna delle istituzioni della Repubblica avrebbe potuto dire, negli atti, di non essere stata personalmente investita, e l'architettura complessiva del corpus si rivela per ciò che il capitolo ha progressivamente documentato: non una raccolta di suppliche, ma una notificazione sistematica.</w:t>
      </w:r>
    </w:p>
    <w:p>
      <w:pPr>
        <w:spacing w:after="120" w:line="276"/>
        <w:jc w:val="both"/>
      </w:pPr>
      <w:r>
        <w:rPr>
          <w:rFonts w:ascii="Barlow Semi Condensed" w:cs="Barlow Semi Condensed" w:eastAsia="Barlow Semi Condensed" w:hAnsi="Barlow Semi Condensed"/>
          <w:sz w:val="24"/>
          <w:szCs w:val="24"/>
        </w:rPr>
        <w:t xml:space="preserve">Il memoriale contiene infine il suo versante economico-finanziario, che il registro censisce quale requisitoria postuma saldata alla prima fase dell'opera: nei fogli emersi il prigioniero trattò criticamente, tra l'altro, la vicenda dei salvataggi bancari legati al finanziere siciliano già censito nel quadrilatero della fase prima, ed i meccanismi del finanziamento occulto della politica, con giudizi netti sui costi di sistema di quelle operazioni e sulle responsabilità degli ambienti che le avevano patrocinate, Livello A quanto ai contenuti dei testi editi. Il registro fissa il valore architettonico del reperto: il massimo prigioniero politico della storia repubblicana dedicò parte della propria ultima scrittura esattamente ai crocevia tra finanza, partiti e protezioni che la fase prima di quest'opera ricostruisce, e questa convergenza tematica tra il memoriale del 1978 ed il registro del quadrilatero, formatasi per vie del tutto indipendenti, vale quale riscontro incrociato di prima grandezza: l'analisi che l'opera ha condotto sugli atti giudiziari coincide, nei suoi assi, con l'analisi che il testimone più interno del sistema politico consegnò alla propria prigione, e quando l'archivio e l'ostaggio, senza potersi parlare, descrivono la medesima macchina, il metodo registra la concordanza come si registra, in ogni scienza, la replica indipendente di un esperimento.</w:t>
      </w:r>
    </w:p>
    <w:p>
      <w:pPr>
        <w:spacing w:after="120" w:line="276"/>
        <w:jc w:val="both"/>
      </w:pPr>
      <w:r>
        <w:rPr>
          <w:rFonts w:ascii="Barlow Semi Condensed" w:cs="Barlow Semi Condensed" w:eastAsia="Barlow Semi Condensed" w:hAnsi="Barlow Semi Condensed"/>
          <w:sz w:val="24"/>
          <w:szCs w:val="24"/>
        </w:rPr>
        <w:t xml:space="preserve">La gestione del carteggio da parte dell'organizzazione esige il suo censimento strategico, che il registro formula sul piano delle tempistiche: le lettere non uscirono dalla prigione al ritmo della scrittura ma al ritmo della trattativa, con recapiti calibrati sulle scadenze politiche esterne, accelerazioni nei passaggi critici del negoziato pubblico e sospensioni nelle fasi di stallo, secondo una regia della corrispondenza che le ricostruzioni processuali e le stesse ammissioni successive dei carcerieri documentano, Livello A quanto alla gestione strumentale dei recapiti. Il registro fissa la conseguenza analitica che questa regia impone al lettore dell'epistolario: ogni lettera del corpus possiede 2 date, quella della scrittura, spesso ignota, e quella del recapito, sempre scelta, e la distanza tra le 2 è essa stessa un enunciato dell'organizzazione, non del prigioniero, sicché il carteggio del sequestro va letto quale opera a 2 autori asimmetrici, l'uomo che scriveva ciò che voleva e la struttura che consegnava ciò che serviva, e la filologia del caso, che l'opera ha praticato capitolo per capitolo, ha dovuto imparare a distinguere sistematicamente la voce dal megafono, perché confonderli significa attribuire al pensiero dell'ostaggio la strategia dei suoi custodi.</w:t>
      </w:r>
    </w:p>
    <w:p>
      <w:pPr>
        <w:spacing w:after="120" w:line="276"/>
        <w:jc w:val="both"/>
      </w:pPr>
      <w:r>
        <w:rPr>
          <w:rFonts w:ascii="Barlow Semi Condensed" w:cs="Barlow Semi Condensed" w:eastAsia="Barlow Semi Condensed" w:hAnsi="Barlow Semi Condensed"/>
          <w:sz w:val="24"/>
          <w:szCs w:val="24"/>
        </w:rPr>
        <w:t xml:space="preserve">Il carteggio possiede infine la sua cifra stilistica dominante, che il registro censisce quale reperto intellettuale: il prigioniero condusse la propria difesa con gli strumenti della propria scienza, ed il corpus delle lettere è attraversato da capo a fondo dalle categorie del giurista, la distinzione tra lo Stato ed il governo, la teoria dello stato di necessità invocata a fondamento dello scambio, la critica della linea della fermezza condotta quale eccezione di legittimità, il richiamo ai precedenti quale giurisprudenza dei casi, sino alla contestazione della rappresentanza di chi parlava in suo nome, Livello A quanto alla tessitura giuridica del corpus autentico. Il registro consegna la cifra alla sua interpretazione: l'ordinario di diritto che si trovò imputato davanti ad un tribunale illegale e condannato da uno Stato legale che lo dichiarava non negoziabile scrisse per 55 giorni la propria arringa in punta di diritto contro entrambe le giurisdizioni, e questa coerenza professionale estrema, mantenuta sino alle ultime righe, è insieme la prova di lucidità che le perizie certificarono contro la tesi della coercizione totale e la chiave della tragedia intellettuale del caso: l'uomo morì applicando impeccabilmente le categorie di un ordinamento che, nelle 2 versioni contrapposte davanti alle quali le difese, quella armata e quella ufficiale, le aveva entrambe già sospese.</w:t>
      </w:r>
    </w:p>
    <w:p>
      <w:pPr>
        <w:spacing w:after="120" w:line="276"/>
        <w:jc w:val="both"/>
      </w:pPr>
      <w:r>
        <w:rPr>
          <w:rFonts w:ascii="Barlow Semi Condensed" w:cs="Barlow Semi Condensed" w:eastAsia="Barlow Semi Condensed" w:hAnsi="Barlow Semi Condensed"/>
          <w:sz w:val="24"/>
          <w:szCs w:val="24"/>
        </w:rPr>
        <w:t xml:space="preserve">L'epistolario esige infine la distinzione dei suoi 2 registri, che il registro censisce quale ultima chiave di lettura: accanto al corpus politico indirizzato agli uomini dello Stato e del partito, il carteggio comprende le lettere alla famiglia, alla moglie ed ai figli, un canale parallelo dal tono radicalmente altro, spogliato di ogni categoria giuridica e negoziale, fatto di disposizioni domestiche, di congedi e di fede, che le perizie hanno certificato con la medesima autenticità del corpus maggiore e che la vedova, testimone poi centrale in ogni ciclo processuale, custodì e consegnò nelle forme che gli atti documentano, Livello A quanto al doppio registro ed alla sua autenticità. Il registro consegna la compresenza alla sua funzione probatoria e umana insieme: la coesistenza, nelle stesse settimane e dalla stessa cella, della più lucida contro-argomentazione giuridica del caso e del più disadorno congedo familiare della letteratura civile italiana è la prova interna definitiva contro ogni tesi di coercizione totale della scrittura, perché si può dettare una linea, non si possono dettare 2 voci, e l'uomo che nelle lettere politiche combatteva e in quelle familiari si congedava dimostrò, con la semplice tenuta dei 2 registri, di essere rimasto sino all'ultimo il padrone della propria mente, che è poi l'unica sovranità che i 55 giorni non riuscirono a sequestrare.</w:t>
      </w:r>
    </w:p>
    <w:p>
      <w:pPr>
        <w:spacing w:after="120" w:line="276"/>
        <w:jc w:val="both"/>
      </w:pPr>
      <w:r>
        <w:rPr>
          <w:rFonts w:ascii="Barlow Semi Condensed" w:cs="Barlow Semi Condensed" w:eastAsia="Barlow Semi Condensed" w:hAnsi="Barlow Semi Condensed"/>
          <w:sz w:val="24"/>
          <w:szCs w:val="24"/>
        </w:rPr>
        <w:t xml:space="preserve">Il corpus degli scritti possiede infine il suo confine documentale esatto, che la triangolazione con il giacimento testuale integrale consegna all'edizione definitiva: la raccolta digitale complessiva della produzione pubblica dell'uomo, 1.062 documenti ordinati cronologicamente dal primo scritto giovanile del luglio 1932 all'ultimo testo libero, reca quale data terminale il 6 marzo 1978, 10 giorni esatti prima dell'agguato, Livello A quale perimetro del corpus censito. Il registro consegna il confine alla sua eloquenza involontaria: 46 anni di scrittura pubblica ininterrotta, dalla formazione negli organismi cattolici alla riflessione costituente sino agli interventi dell'ultima stagione politica, si arrestano su un testo che il suo autore non poteva sapere ultimo, e la produzione successiva, il carteggio ed il memoriale della prigionia che questo capitolo ha censito, appartiene ad un regime documentale radicalmente altro, scritto in cattività e recapitato da altri, sicché l'opera omnia dell'uomo si divide con esattezza da archivio in 2 corpora incommensurabili, la voce libera che si spegne il 6 marzo e la voce prigioniera che comincia dopo il 16, e lo iato di 10 giorni tra le 2, il silenzio documentale della vigilia, è l'ultimo reperto che la filologia del caso consegna alla storia: il punto esatto in cui una biografia intellettuale di mezzo secolo divenne, senza saperlo, un'eredità.</w:t>
      </w:r>
    </w:p>
    <w:p>
      <w:pPr>
        <w:spacing w:after="120" w:line="276"/>
        <w:jc w:val="both"/>
      </w:pPr>
      <w:r>
        <w:rPr>
          <w:rFonts w:ascii="Barlow Semi Condensed" w:cs="Barlow Semi Condensed" w:eastAsia="Barlow Semi Condensed" w:hAnsi="Barlow Semi Condensed"/>
          <w:b/>
          <w:bCs/>
          <w:sz w:val="24"/>
          <w:szCs w:val="24"/>
        </w:rPr>
        <w:t xml:space="preserve">Sintesi del dato nuovo acquisito:</w:t>
      </w:r>
      <w:r>
        <w:rPr>
          <w:rFonts w:ascii="Barlow Semi Condensed" w:cs="Barlow Semi Condensed" w:eastAsia="Barlow Semi Condensed" w:hAnsi="Barlow Semi Condensed"/>
          <w:sz w:val="24"/>
          <w:szCs w:val="24"/>
        </w:rPr>
        <w:t xml:space="preserve"> il nodo documentale certifica al Livello A il corpus delle lettere e la sequenza dei 2 ritrovamenti di via Monte Nevoso del 1 ottobre 1978 e del 9 ottobre 1990, con la maggiore estensione del secondo compendio e l'assenza perpetua degli originali; la lettura della lucidità del prigioniero è certificata al Livello B; le questioni della completezza del memoriale e dell'intenzionalità della mancata scoperta del 1978 restano al Livello C sotto divieto inferenziale; e l'enunciato del prigioniero sulle strutture di emergenza atlantiche è elevato al Livello B quale dichiarazione riscontrata dalla rivelazione indipendente del 1990.</w:t>
      </w:r>
    </w:p>
    <w:p>
      <w:pPr>
        <w:pStyle w:val="Heading3"/>
        <w:spacing w:after="80" w:before="160"/>
      </w:pPr>
      <w:r>
        <w:rPr>
          <w:rFonts w:ascii="Barlow Semi Condensed" w:cs="Barlow Semi Condensed" w:eastAsia="Barlow Semi Condensed" w:hAnsi="Barlow Semi Condensed"/>
          <w:sz w:val="24"/>
          <w:szCs w:val="24"/>
        </w:rPr>
        <w:t xml:space="preserve">Capitolo 6 — ■ Via Caetani, 9 maggio 1978. L'epilogo, il giudicato dell'esecuzione e la geografia del messaggio</w:t>
      </w:r>
    </w:p>
    <w:p>
      <w:pPr>
        <w:spacing w:after="120" w:line="276"/>
        <w:jc w:val="both"/>
      </w:pPr>
      <w:r>
        <w:rPr>
          <w:rFonts w:ascii="Barlow Semi Condensed" w:cs="Barlow Semi Condensed" w:eastAsia="Barlow Semi Condensed" w:hAnsi="Barlow Semi Condensed"/>
          <w:sz w:val="24"/>
          <w:szCs w:val="24"/>
        </w:rPr>
        <w:t xml:space="preserve">Il ritrovamento del corpo di Aldo Moro, la mattina del 9 maggio 1978 nel bagagliaio di una Renault 4 rossa parcheggiata in via Michelangelo Caetani, nel centro di Roma, è il nodo-evento terminale della sequenza, e il registro lo tratta nei suoi 3 contenuti: il giudicato dell'esecuzione, la scelta del luogo, la chiusura del ciclo. La scansione del corpus registra il toponimo 96 volte in 15 documenti.</w:t>
      </w:r>
    </w:p>
    <w:p>
      <w:pPr>
        <w:spacing w:after="120" w:line="276"/>
        <w:jc w:val="both"/>
      </w:pPr>
      <w:r>
        <w:rPr>
          <w:rFonts w:ascii="Barlow Semi Condensed" w:cs="Barlow Semi Condensed" w:eastAsia="Barlow Semi Condensed" w:hAnsi="Barlow Semi Condensed"/>
          <w:sz w:val="24"/>
          <w:szCs w:val="24"/>
        </w:rPr>
        <w:t xml:space="preserve">Il primo pilastro è il giudicato dell'esecuzione, certificato al Livello A. All'esito dei procedimenti, la ricostruzione irrevocabile colloca l'esecuzione nella prima mattina del 9 maggio: il prigioniero fu fatto scendere nel garage dello stabile di via Montalcini, posto nel bagagliaio della vettura e ucciso con una raffica di mitraglietta Skorpion calibro 7,65 munita di silenziatore e con colpi d'arma corta, esplosi da Mario Moretti, con il concorso accertato degli uomini della prigione; la vettura fu quindi condotta nel centro della città e abbandonata in via Caetani, e l'organizzazione ne annunciò la posizione con la telefonata che chiuse i 55 giorni. Il registro certifica al Livello A l'esecuzione, il suo autore materiale e la catena deliberativa interna che la precedette, quale risultanza dei giudicati, ivi compresa la decisione finale maturata al vertice dell'organizzazione dopo il fallimento di ogni prospettiva di scambio; e annota, quale dato del piano primo con rilievo sul piano interpretativo, che la fase finale fu preceduta, dentro l'organizzazione, da un dissenso documentato, con la contrarietà all'esecuzione di una parte della colonna romana, emersa negli atti e nelle successive separazioni: la deliberazione fu dell'organizzazione, ma non fu unanime, e la successiva scissione della componente contraria appartiene alla storia giudicata del dopo.</w:t>
      </w:r>
    </w:p>
    <w:p>
      <w:pPr>
        <w:spacing w:after="120" w:line="276"/>
        <w:jc w:val="both"/>
      </w:pPr>
      <w:r>
        <w:rPr>
          <w:rFonts w:ascii="Barlow Semi Condensed" w:cs="Barlow Semi Condensed" w:eastAsia="Barlow Semi Condensed" w:hAnsi="Barlow Semi Condensed"/>
          <w:sz w:val="24"/>
          <w:szCs w:val="24"/>
        </w:rPr>
        <w:t xml:space="preserve">Il secondo pilastro è la geografia del messaggio, che il registro tratta con la distinzione consueta tra il fatto e la lettura. Via Caetani si trova nel cuore del centro storico romano, a distanza pedonale tanto dalla sede nazionale della Democrazia Cristiana in piazza del Gesù quanto da quella del Partito comunista in via delle Botteghe Oscure: la collocazione del corpo in quel punto fu universalmente letta, sin dalle prime ore, quale messaggio simbolico di equidistanza, il corpo del mediatore deposto a metà strada tra i 2 partiti del compromesso. Il registro certifica al Livello A la topografia, che è un fatto misurabile, e registra la lettura simbolica quale interpretazione dominante e verosimile, mantenendola tuttavia nel registro delle letture e non dei fatti, giacché la scelta del luogo non è mai stata oggetto di una ricostruzione giudiziaria delle intenzioni che ne certifichi il significato; l'annotazione metodologica è che la potenza semantica di un luogo non ne certifica la deliberazione semantica, e che il registro, anche nel punto di massima suggestione dell'intera vicenda, mantiene la linea.</w:t>
      </w:r>
    </w:p>
    <w:p>
      <w:pPr>
        <w:spacing w:after="120" w:line="276"/>
        <w:jc w:val="both"/>
      </w:pPr>
      <w:r>
        <w:rPr>
          <w:rFonts w:ascii="Barlow Semi Condensed" w:cs="Barlow Semi Condensed" w:eastAsia="Barlow Semi Condensed" w:hAnsi="Barlow Semi Condensed"/>
          <w:sz w:val="24"/>
          <w:szCs w:val="24"/>
        </w:rPr>
        <w:t xml:space="preserve">Il terzo pilastro è la chiusura del ciclo e l'apertura del dopo, che il registro censisce quale cerniera. Con il 9 maggio si chiuse il sequestro e si aprì la stagione dei processi, delle commissioni e della memoria, che i capitoli satellite della fase percorrono; il registro fissa qui i 2 dati di chiusura certificati al Livello A: la fine del progetto politico della solidarietà nazionale, consumatasi nei mesi successivi con l'esaurimento della legislatura e della formula, quale esito storico oggettivo già annotato nel capitolo 1; e l'avvio, entro poche settimane, della prima inchiesta parlamentare, destinata a inaugurare la più lunga serie di inchieste su un singolo evento della storia repubblicana. Il registro annota infine il dato umano che la disciplina delle vittime impone di trascrivere: con Aldo Moro, la vicenda conta i 5 uomini della scorta caduti il 16 marzo, i cui nomi il capitolo 2 ha consegnato, e il registro li unisce in un solo elenco di 6 nomi quale perimetro umano del nodo.</w:t>
      </w:r>
    </w:p>
    <w:p>
      <w:pPr>
        <w:spacing w:after="120" w:line="276"/>
        <w:jc w:val="both"/>
      </w:pPr>
      <w:r>
        <w:rPr>
          <w:rFonts w:ascii="Barlow Semi Condensed" w:cs="Barlow Semi Condensed" w:eastAsia="Barlow Semi Condensed" w:hAnsi="Barlow Semi Condensed"/>
          <w:sz w:val="24"/>
          <w:szCs w:val="24"/>
        </w:rPr>
        <w:t xml:space="preserve">Il quarto pilastro è la formazione processuale della verità sull'esecuzione, che il registro ricostruisce quale caso di scuola della stratificazione delle fonti. La ricostruzione oggi giudicata non fu disponibile per anni: le prime versioni processuali lasciarono aperte l'identità dell'esecutore materiale e la scena finale, e la verità si compose per apporti successivi, il memoriale difensivo consegnato da Valerio Morucci e Adriana Faranda a cavallo del 1990, che fissò la versione interna dell'organizzazione sulla dinamica conclusiva, le progressive ammissioni di Moretti, e l'identificazione nel 1993 di Germano Maccari, il quarto uomo, la cui posizione fu giudicata nell'ultimo procedimento con la ricostruzione definitiva della mattina del 9 maggio. Il registro certifica al Livello A questa stratigrafia della verità, quale storia documentale del piano primo, e ne trae 2 annotazioni. La prima è metodologica: la verità giudicata dell'esecuzione è figlia di fonti interne all'organizzazione, maturate in tempi e con interessi diversi, e la sua solidità attuale deriva dalla convergenza finale di dichiarazioni indipendenti su un nucleo fattuale stabile, secondo il criterio di consilienza che il registro applica; le divergenze residue tra le versioni, su dettagli della scena e dei presenti, sono censite negli atti e non intaccano il nucleo giudicato. La seconda annotazione è sistemica: la circostanza che l'identità completa degli uomini della prigione sia rimasta ignota allo Stato per 15 anni, e sia emersa per via confessoria e non investigativa, misura retrospettivamente la qualità della compartimentazione dell'organizzazione e, insieme, il fallimento certificato delle ricerche del piano secondo, saldando i 2 piani nel loro rapporto documentale senza trasferire nulla dall'uno all'altro.</w:t>
      </w:r>
    </w:p>
    <w:p>
      <w:pPr>
        <w:spacing w:after="120" w:line="276"/>
        <w:jc w:val="both"/>
      </w:pPr>
      <w:r>
        <w:rPr>
          <w:rFonts w:ascii="Barlow Semi Condensed" w:cs="Barlow Semi Condensed" w:eastAsia="Barlow Semi Condensed" w:hAnsi="Barlow Semi Condensed"/>
          <w:sz w:val="24"/>
          <w:szCs w:val="24"/>
        </w:rPr>
        <w:t xml:space="preserve">Il quinto pilastro è la dimensione vaticana della vicenda, che il registro censisce quale arco della fase verso il Dominio 5, sinora assente dal quadro. Il 21 aprile 1978 Paolo VI, legato a Moro da un'amicizia risalente agli anni della comune formazione universitaria cattolica, rese pubblica una lettera autografa indirizzata agli uomini delle Brigate Rosse, nella quale implorava in ginocchio la liberazione del prigioniero, senza condizioni: la formula, che escludeva lo scambio, fu essa stessa oggetto di lettura politica, quale allineamento alla fermezza, e le acquisizioni successive hanno documentato che, accanto al gesto pubblico, la Santa Sede esplorò canali riservati per la liberazione, sino alla predisposizione, riferita da fonti convergenti degli ambienti coinvolti, di una disponibilità economica per un riscatto che non trovò controparte. Il registro certifica al Livello A la lettera pubblica e la sua formula, quali fatti documentali, e al Livello B l'esplorazione riservata e la disponibilità al riscatto, quale convergenza di fonti testimoniali qualificate non consacrata da riscontro documentale integrale; e certifica al Livello A l'epilogo liturgico della vicenda, la partecipazione del pontefice alla commemorazione solenne in San Giovanni in Laterano del 13 maggio, celebrata in assenza della salma per volontà della famiglia, che aveva rifiutato le esequie di Stato in ottemperanza alle disposizioni del prigioniero, con l'orazione nella quale Paolo VI rivolse a Dio la domanda sul mancato esaudimento della supplica. L'annotazione reticolare chiude il pilastro: il Dominio 5 entra nel caso Moro dal lato opposto a quello che l'opera gli ha sinora censito, non la finanza dello IOR ma la persona del pontefice, e l'arco documentato, il tentativo riservato di riscatto, è un arco di soccorso fallito, non di potere: il registro lo trascrive quale promemoria che la rete dei domini contiene anche archi di questa natura, e che la loro rarità nel corpus è essa stessa un dato.</w:t>
      </w:r>
    </w:p>
    <w:p>
      <w:pPr>
        <w:spacing w:after="120" w:line="276"/>
        <w:jc w:val="both"/>
      </w:pPr>
      <w:r>
        <w:rPr>
          <w:rFonts w:ascii="Barlow Semi Condensed" w:cs="Barlow Semi Condensed" w:eastAsia="Barlow Semi Condensed" w:hAnsi="Barlow Semi Condensed"/>
          <w:sz w:val="24"/>
          <w:szCs w:val="24"/>
        </w:rPr>
        <w:t xml:space="preserve">Il sesto pilastro ricostruisce la giornata del 9 maggio nei suoi atti documentati. Poco dopo mezzogiorno, alle 12:13, Valerio Morucci telefonò al professor Franco Tritto, assistente e amico di Moro, incaricandolo di comunicare alla famiglia che il corpo del presidente si trovava in via Caetani, in una Renault 4 rossa: la telefonata, registrata, è l'atto conclusivo della comunicazione dell'organizzazione, e il registro la certifica al Livello A nel suo testo e nella sua ora. Il ritrovamento seguì nel primo pomeriggio, con le procedure di bonifica del veicolo e il riconoscimento alla presenza delle autorità; gli accertamenti medico-legali collocarono la morte nella mattinata stessa, e fissarono il quadro delle lesioni, la raffica della mitraglietta silenziata e i colpi d'arma corta al torace, con la ricostruzione della posizione del corpo nel bagagliaio al momento del fuoco. Alle risultanze appartengono i reperti sugli abiti e sul corpo che alimentarono la questione dei luoghi: tracce di sabbia negli abiti e nei risvolti, residui vegetali e altri elementi che le perizie giudicarono compatibili con un ambiente litoraneo, e che nessuna delle prigioni accertate spiega; il registro certifica al Livello A l'esistenza dei reperti, quale dato peritale, e mantiene al Livello C ogni ricostruzione che ne derivi, dal soggiorno marino del prigioniero alla contaminazione deliberata a fini diversivi, annotando che i reperti costituiscono l'anomalia materiale terminale della vicenda, discussa da ogni stagione d'inchiesta e risolta da nessuna, e che la loro coesistenza con la ricostruzione giudicata della prigione unica di via Montalcini è il punto in cui il piano primo e il piano secondo si toccano senza comporsi.</w:t>
      </w:r>
    </w:p>
    <w:p>
      <w:pPr>
        <w:spacing w:after="120" w:line="276"/>
        <w:jc w:val="both"/>
      </w:pPr>
      <w:r>
        <w:rPr>
          <w:rFonts w:ascii="Barlow Semi Condensed" w:cs="Barlow Semi Condensed" w:eastAsia="Barlow Semi Condensed" w:hAnsi="Barlow Semi Condensed"/>
          <w:sz w:val="24"/>
          <w:szCs w:val="24"/>
        </w:rPr>
        <w:t xml:space="preserve">Il settimo pilastro registra la coincidenza di calendario che congiunge, nella medesima notte, il caso Moro e il Dominio 1, e che il registro trascrive quale atto dovuto e quale filo reticolare. Nella notte tra l'8 e il 9 maggio 1978, a Cinisi, in Sicilia, fu assassinato Giuseppe Impastato, il militante che dai microfoni di una radio libera conduceva da anni la denuncia pubblica del potere mafioso locale e del suo capo, Gaetano Badalamenti: il corpo fu dilaniato da una carica di esplosivo sui binari della ferrovia, in una messinscena che orientò le prime indagini verso l'ipotesi dell'attentato terroristico finito male o del suicidio, e la notizia fu sommersa, nel giorno del ritrovamento di via Caetani, dall'evento nazionale. La verità giudiziaria giunse a distanza di decenni: l'accertamento della matrice mafiosa del delitto, la condanna nel 2001 di Vito Palazzolo e la condanna all'ergastolo, pronunciata dalla Corte d'assise di Palermo nell'aprile 2002, di Gaetano Badalamenti quale mandante. Il registro certifica al Livello A l'omicidio, la messinscena depistante originaria e gli esiti di condanna del filone, nomina la vittima, e dichiara il duplice rilievo della trascrizione: il primo è documentale, giacché la sovrapposizione di calendario produsse, quale effetto certificato, l'oscuramento informativo del delitto di Cinisi, un caso di scuola della gerarchia dell'attenzione che il metodo dell'opera ha codificato quale effetto lampione; il secondo è reticolare, giacché il nome di Gaetano Badalamenti, mandante condannato per Impastato, è il medesimo che il capitolo successivo registra quale imputato assolto in via definitiva per l'omicidio Pecorelli, e la compresenza dei 2 esiti opposti sul medesimo nodo, una condanna irrevocabile e un'assoluzione irrevocabile per 2 omicidi della stessa stagione, è il promemoria terminale della disciplina dell'opera: il registro segue gli esiti, ciascuno nel proprio segno, e il nodo Badalamenti li porta entrambi.</w:t>
      </w:r>
    </w:p>
    <w:p>
      <w:pPr>
        <w:spacing w:after="120" w:line="276"/>
        <w:jc w:val="both"/>
      </w:pPr>
      <w:r>
        <w:rPr>
          <w:rFonts w:ascii="Barlow Semi Condensed" w:cs="Barlow Semi Condensed" w:eastAsia="Barlow Semi Condensed" w:hAnsi="Barlow Semi Condensed"/>
          <w:sz w:val="24"/>
          <w:szCs w:val="24"/>
        </w:rPr>
        <w:t xml:space="preserve">L'ottavo pilastro censisce le reazioni istituzionali del 9 maggio e dei giorni seguenti. La notizia raggiunse le Camere in seduta e i lavori furono sospesi tra scene di commozione documentate dai resoconti; il presidente della Repubblica Giovanni Leone, che nei giorni precedenti aveva tenuto pronta, per convergenti testimonianze, l'ipotesi estrema di un atto di clemenza, firmò il messaggio di cordoglio alla famiglia; i capi di Stato e di governo dell'occidente inviarono i messaggi che la diplomazia registrò; le confederazioni proclamarono la fermata generale e le piazze si riempirono per la seconda volta in 55 giorni, ora nel lutto; e il ministro dell'interno rassegnò le dimissioni censite nel capitolo della gestione, unico atto formale di responsabilità dell'intera vicenda. Il registro certifica al Livello A la sequenza delle reazioni, quale materia documentale, e vi salda il dato politico già fissato: la solidarietà nazionale sopravvisse alla morte dell'uomo che l'aveva costruita per soli 8 mesi, e la stagione che il sequestro avrebbe dovuto, nelle intenzioni giudicate dell'organizzazione, far esplodere si spense invece per consunzione, senza che nessuna delle forze vi rinvenisse più l'interesse che l'architetto vi aveva costruito; il registro certifica la cronologia della dissoluzione quale fatto e la consegna, senza inferenze, al bilancio della fase.</w:t>
      </w:r>
    </w:p>
    <w:p>
      <w:pPr>
        <w:spacing w:after="120" w:line="276"/>
        <w:jc w:val="both"/>
      </w:pPr>
      <w:r>
        <w:rPr>
          <w:rFonts w:ascii="Barlow Semi Condensed" w:cs="Barlow Semi Condensed" w:eastAsia="Barlow Semi Condensed" w:hAnsi="Barlow Semi Condensed"/>
          <w:sz w:val="24"/>
          <w:szCs w:val="24"/>
        </w:rPr>
        <w:t xml:space="preserve">Il nono pilastro censisce i rilievi sul veicolo e sulla scena di via Caetani. La Renault 4 rossa, risultata rubata a Roma nelle settimane precedenti, fu rinvenuta parcheggiata sul lato della via, con il corpo nel bagagliaio coperto da un plaid, e i rilievi consegnarono il quadro dei bossoli, delle tracce ematiche e dei reperti sugli abiti già censiti; la scelta del luogo, la piccola via del centro storico equidistante, nella topografia simbolica immediatamente rilevata dalle cronache, dalle sedi nazionali della Democrazia Cristiana in piazza del Gesù e del Partito comunista in via delle Botteghe Oscure, fu letta sin dal primo giorno quale messaggio spaziale dell'organizzazione ai 2 poli della trattativa negata; il registro certifica al Livello A i dati materiali dei rilievi e la topografia oggettiva del punto, quale dato cartografico, e mantiene al Livello B la lettura intenzionale della scelta, quale convergenza delle fonti interne che l'hanno successivamente confermata, annotando che la collocazione appartiene comunque, quale fatto spaziale, al Pattern 10 dell'opera: l'ultimo atto dell'operazione fu consegnato nel cuore geografico del potere politico romano, a poche centinaia di metri dai 2 vertici del sistema che l'operazione aveva inteso colpire, e la geografia, in questo caso, è essa stessa un documento.</w:t>
      </w:r>
    </w:p>
    <w:p>
      <w:pPr>
        <w:spacing w:after="120" w:line="276"/>
        <w:jc w:val="both"/>
      </w:pPr>
      <w:r>
        <w:rPr>
          <w:rFonts w:ascii="Barlow Semi Condensed" w:cs="Barlow Semi Condensed" w:eastAsia="Barlow Semi Condensed" w:hAnsi="Barlow Semi Condensed"/>
          <w:sz w:val="24"/>
          <w:szCs w:val="24"/>
        </w:rPr>
        <w:t xml:space="preserve">Il decimo pilastro censisce l'iconografia e la memoria materiale della vicenda. Il caso ha consegnato alla memoria nazionale un apparato visivo circoscritto e definitivo: le 2 fotografie della prigionia diffuse con i comunicati, il prigioniero davanti alla bandiera dell'organizzazione, divenute i documenti visivi più riprodotti della storia repubblicana; le immagini di via Fani e quelle di via Caetani; e la lapide che segna il luogo del ritrovamento, meta della commemorazione istituzionale annuale del 9 maggio, data che la Repubblica ha successivamente consacrato quale giorno della memoria delle vittime del terrorismo. Il registro certifica al Livello A questo apparato, quale dato della memoria pubblica documentata, e ne trae l'annotazione analitica pertinente al Dominio 8: l'organizzazione governò integralmente la produzione iconografica della vicenda, giacché le uniche immagini del prigioniero nei 55 giorni furono quelle che essa scelse di produrre e diffondere, e lo Stato non dispose mai di un solo elemento visivo autonomo; il monopolio dell'immagine, corollario del monopolio comunicativo censito nel capitolo della gestione, completa il quadro della asimmetria informativa che il registro ha certificato quale struttura della crisi.</w:t>
      </w:r>
    </w:p>
    <w:p>
      <w:pPr>
        <w:spacing w:after="120" w:line="276"/>
        <w:jc w:val="both"/>
      </w:pPr>
      <w:r>
        <w:rPr>
          <w:rFonts w:ascii="Barlow Semi Condensed" w:cs="Barlow Semi Condensed" w:eastAsia="Barlow Semi Condensed" w:hAnsi="Barlow Semi Condensed"/>
          <w:sz w:val="24"/>
          <w:szCs w:val="24"/>
        </w:rPr>
        <w:t xml:space="preserve">L'undicesimo pilastro censisce le risultanze medico-legali e le verifiche dell'ultima stagione sulla scena finale. Gli accertamenti autoptici, oltre a fissare l'orario della morte nella mattinata e il quadro delle lesioni da arma da fuoco, documentarono l'assenza di segni di sevizie o di maltrattamenti fisici pregressi e condizioni generali compatibili con una custodia materialmente non vessatoria, un dato che il registro certifica al Livello A quale risultanza peritale e che appartiene alla fisionomia documentata della prigionia, coerente con la natura politica che l'organizzazione assegnò al sequestro; la Commissione della XVII legislatura sottopose la scena finale a verifiche integrative, dalla percorribilità del tragitto tra via Montalcini e via Caetani nella mattinata del 9 maggio alla compatibilità della sequenza oraria giudicata, con la telefonata delle 12:13 e il ritrovamento, sino ai reperti del veicolo, e le verifiche, condotte con i mezzi tecnici contemporanei, non produssero elementi idonei a modificare la ricostruzione giudicata, pur mantenendo censite le anomalie materiali già registrate, la sabbia e i residui; il registro certifica al Livello A l'esistenza e l'esito confermativo delle verifiche, quali dati degli atti dell'ultima Commissione, e chiude con la formalizzazione propria del suo metodo: la scena di via Caetani è stata riesaminata da 3 generazioni di tecnici con strumenti crescenti e ha restituito sempre il medesimo nucleo giudicato e le medesime code non risolte, sicché il registro può certificare, caso raro nell'opera, tanto la stabilità del nucleo quanto la resistenza delle anomalie, e dichiarare che ogni loro futura soluzione dovrà venire da fonti nuove e non da nuove perizie sul già noto.</w:t>
      </w:r>
    </w:p>
    <w:p>
      <w:pPr>
        <w:spacing w:after="120" w:line="276"/>
        <w:jc w:val="both"/>
      </w:pPr>
      <w:r>
        <w:rPr>
          <w:rFonts w:ascii="Barlow Semi Condensed" w:cs="Barlow Semi Condensed" w:eastAsia="Barlow Semi Condensed" w:hAnsi="Barlow Semi Condensed"/>
          <w:sz w:val="24"/>
          <w:szCs w:val="24"/>
        </w:rPr>
        <w:t xml:space="preserve">Il dodicesimo pilastro censisce il congedo pubblico, la cerimonia del 13 maggio e il rispetto delle disposizioni. La famiglia, in ottemperanza alla volontà scritta del prigioniero, rifiutò i funerali di Stato e ogni presenza degli uomini del potere alle esequie, che si svolsero in forma privata a Torrita Tiberina, il borgo laziale del rifugio familiare, dove Moro fu sepolto; lo Stato celebrò nondimeno, il 13 maggio 1978, la cerimonia solenne nella basilica di San Giovanni in Laterano, alla presenza delle massime cariche della Repubblica e con l'omelia di Paolo VI, che vi pronunciò la preghiera del congedo rimasta negli atti della stagione, e la cerimonia si svolse senza la salma, il feretro essendo assente per volontà della famiglia: il rito di Stato per l'uomo di Stato si celebrò dinanzi a una navata senza bara. Il registro certifica al Livello A la sequenza, il rifiuto, la sepoltura privata e la cerimonia senza salma, quali dati documentali, e ne dichiara il valore di reperto: l'immagine del funerale di Stato senza il corpo è la traduzione liturgica esatta della frattura che le lettere avevano consumato, la separazione dichiarata tra l'uomo e il sistema che non lo aveva salvato, eseguita dalla famiglia con lo strumento che il prigioniero stesso aveva predisposto, le disposizioni testamentarie censite quale ultimo atto politico; il registro annota che nessun altro passaggio della vicenda condensa con eguale precisione documentale il giudizio del prigioniero sulla propria classe dirigente, un giudizio consegnato non a una tesi ma a un'assenza, e trascrive il reperto, con la data e i fatti, quale sigillo simbolico certificato dell'epilogo.</w:t>
      </w:r>
    </w:p>
    <w:p>
      <w:pPr>
        <w:spacing w:after="120" w:line="276"/>
        <w:jc w:val="both"/>
      </w:pPr>
      <w:r>
        <w:rPr>
          <w:rFonts w:ascii="Barlow Semi Condensed" w:cs="Barlow Semi Condensed" w:eastAsia="Barlow Semi Condensed" w:hAnsi="Barlow Semi Condensed"/>
          <w:sz w:val="24"/>
          <w:szCs w:val="24"/>
        </w:rPr>
        <w:t xml:space="preserve">Il tredicesimo pilastro ricostruisce la sequenza operativa del ritrovamento, le ore tra la telefonata e l'apertura del portellone. La telefonata delle 12:13 di Morucci a Franco Tritto indicò con precisione il luogo, la Renault 4 rossa in via Caetani; la segnalazione risalì la catena sino alle centrali operative e le prime pattuglie individuarono il veicolo nel primo pomeriggio; il timore, procedurale e fondato, che l'auto fosse una trappola esplosiva impose l'intervento degli artificieri e la bonifica preliminare, che dilatò i tempi dinanzi alla via progressivamente presidiata da autorità, operatori e cronisti; all'esito della bonifica, l'apertura del portellone rivelò il corpo sotto il plaid, e il riconoscimento fu compiuto sul posto, mentre la notizia, già propagata dalle agenzie, raggiungeva il Paese; nelle ore successive la salma fu trasferita per gli accertamenti medico-legali censiti. Il registro certifica al Livello A la sequenza, quale materia dei verbali e delle cronache convergenti, e ne trae 2 annotazioni. La prima è documentale: le immagini di via Caetani, il portellone aperto, il corpo composto, divennero in poche ore l'iconografia definitiva dell'epilogo, prodotte questa volta non dall'organizzazione ma dallo Stato e dalla stampa, sicché il monopolio iconografico dell'organizzazione, certificato per i 55 giorni, cessò esattamente nel momento della consegna, e il passaggio di mano delle immagini coincise con il passaggio di mano del corpo, una simmetria che il registro trascrive quale dato della storia visiva del caso. La seconda è procedurale: la bonifica degli artificieri, imposta dal timore della trappola, documenta che lo Stato trattò sino all'ultimo minuto l'organizzazione quale nemico militare capace di ogni ulteriore offesa, e la circostanza che l'ultimo atto della crisi sia stato un atto di guerra preventiva su un veicolo che conteneva soltanto il corpo è la chiusura fattuale, priva di commento, che il registro consegna al capitolo.</w:t>
      </w:r>
    </w:p>
    <w:p>
      <w:pPr>
        <w:spacing w:after="120" w:line="276"/>
        <w:jc w:val="both"/>
      </w:pPr>
      <w:r>
        <w:rPr>
          <w:rFonts w:ascii="Barlow Semi Condensed" w:cs="Barlow Semi Condensed" w:eastAsia="Barlow Semi Condensed" w:hAnsi="Barlow Semi Condensed"/>
          <w:sz w:val="24"/>
          <w:szCs w:val="24"/>
        </w:rPr>
        <w:t xml:space="preserve">Il quattordicesimo pilastro censisce la consacrazione memoriale, l'ultimo esito istituzionale della data. Con la legge del 4 maggio 2007, la Repubblica ha istituito il Giorno della memoria dedicato alle vittime del terrorismo e delle stragi di tale matrice, fissandolo al 9 maggio, l'anniversario del ritrovamento di via Caetani, e saldando così, per scelta del legislatore, la memoria dell'intera stagione delle vittime alla data dell'epilogo del caso Moro; da allora la ricorrenza è celebrata annualmente con la cerimonia al Quirinale alla presenza dei familiari delle vittime di ogni matrice, e le lapidi di via Fani e di via Caetani sono divenute le stazioni della commemorazione istituzionale romana. Il registro certifica al Livello A la legge, la data prescelta e la prassi celebrativa, quali dati normativi e istituzionali, e ne trae l'annotazione analitica che chiude il versante memoriale: la scelta del 9 maggio quale giorno della memoria di tutte le vittime ha elevato il caso Moro a metonimia ufficiale dell'intera stagione, l'evento singolo che rappresenta, nel calendario civile, la totalità del fenomeno, e questa funzione rappresentativa, sancita per legge, è la traduzione istituzionale della centralità che il grafo dell'opera ha misurato per via documentale, il nodo di massima densità divenuto, anche nella liturgia repubblicana, il nome di tutto il resto; il registro trascrive la convergenza tra la misura reticolare e la scelta memoriale quale dato, annotando che essa conferma dall'esterno, con gli strumenti della legge, ciò che il metodo ha certificato dall'interno con gli strumenti della rete.</w:t>
      </w:r>
    </w:p>
    <w:p>
      <w:pPr>
        <w:spacing w:after="120" w:line="276"/>
        <w:jc w:val="both"/>
      </w:pPr>
      <w:r>
        <w:rPr>
          <w:rFonts w:ascii="Barlow Semi Condensed" w:cs="Barlow Semi Condensed" w:eastAsia="Barlow Semi Condensed" w:hAnsi="Barlow Semi Condensed"/>
          <w:sz w:val="24"/>
          <w:szCs w:val="24"/>
        </w:rPr>
        <w:t xml:space="preserve">Il quindicesimo pilastro ricostruisce la cronologia della decisione terminale, i 4 giorni tra l'annuncio e l'esecuzione. Il comunicato numero 9 del 5 maggio dichiarò conclusa la battaglia e annunciò l'esecuzione della sentenza, chiudendo formalmente la fase della trattativa negata; nei 4 giorni successivi si consumò la corsa asimmetrica che gli atti documentano, da un lato la maturazione, nel campo della linea umanitaria, dell'apertura che Amintore Fanfani si apprestava a formalizzare nella direzione democristiana convocata per la mattina del 9 maggio, l'atto pubblico che avrebbe potuto riaprire il canale, dall'altro la deliberazione interna dell'organizzazione, assunta nelle forme non unanimi che i giudicati hanno accertato, con il dissenso della componente romana censita, ed eseguita da Moretti la mattina stessa del 9, poche ore prima che la direzione del partito si riunisse; la sequenza certificata consegna il dato temporale terminale della vicenda, l'esecuzione precedette di ore l'apertura politica che avrebbe potuto contenderla. Il registro certifica al Livello A il comunicato, la convocazione, la deliberazione non unanime e la cronologia incrociata, quali risultanze documentali e giudiziarie, e mantiene ai livelli propri le 2 letture che la sequenza ha storicamente generato, quella interna documentata, per cui l'organizzazione considerò l'apertura tardiva e strumentale e deliberò secondo la propria logica dichiarata, e quella eccedente, per cui la tempistica dell'esecuzione avrebbe risposto all'esigenza di impedire l'esito negoziale, lettura che presuppone una conoscenza anticipata dei tempi politici mai documentata e che il piano terzo custodisce al Livello C; il registro chiude il pilastro sul fatto nudo che nessuna lettura dissolve, la distanza di poche ore tra la morte dell'uomo e l'atto che avrebbe potuto salvarlo, la più stretta delle finestre critiche censite dal Pattern 3 nell'intera opera.</w:t>
      </w:r>
    </w:p>
    <w:p>
      <w:pPr>
        <w:spacing w:after="120" w:line="276"/>
        <w:jc w:val="both"/>
      </w:pPr>
      <w:r>
        <w:rPr>
          <w:rFonts w:ascii="Barlow Semi Condensed" w:cs="Barlow Semi Condensed" w:eastAsia="Barlow Semi Condensed" w:hAnsi="Barlow Semi Condensed"/>
          <w:sz w:val="24"/>
          <w:szCs w:val="24"/>
        </w:rPr>
        <w:t xml:space="preserve">Le triangolazioni del nodo sono 3. La prima, via Montalcini-Moretti-esecuzione, è il triangolo del giudicato, certificato al Livello A. La seconda, via Caetani-piazza del Gesù-Botteghe Oscure, è il triangolo della geografia del messaggio, certificato al Livello A nella topografia e mantenuto nel registro delle letture quanto al significato. La terza, epilogo-fine della solidarietà nazionale-stagione delle inchieste, è il triangolo della cerniera storica, certificato al Livello A. Sul piano dei pattern, il nodo chiude il Pattern 3 della fase, fissando il termine della finestra dei 55 giorni, e attiva il Pattern 10 nella sua espressione più celebre, la convergenza spaziale di via Caetani quale punto geometrico del sistema politico; la lettura reticolare conclusiva riprenderà il dato quale emblema della centralità del mediatore anche nella morte.</w:t>
      </w:r>
    </w:p>
    <w:p>
      <w:pPr>
        <w:spacing w:after="120" w:line="276"/>
        <w:jc w:val="both"/>
      </w:pPr>
      <w:r>
        <w:rPr>
          <w:rFonts w:ascii="Barlow Semi Condensed" w:cs="Barlow Semi Condensed" w:eastAsia="Barlow Semi Condensed" w:hAnsi="Barlow Semi Condensed"/>
          <w:sz w:val="24"/>
          <w:szCs w:val="24"/>
        </w:rPr>
        <w:t xml:space="preserve">All'epilogo appartiene il suo capitolo liturgico, che il registro censisce quale reperto istituzionale senza precedenti né repliche. La famiglia, con una dichiarazione pubblica che rivendicava il silenzio dovuto alla volontà espressa dal prigioniero verso gli uomini del potere, rifiutò i funerali di Stato e ogni presenza delle cariche alla sepoltura: la salma fu tumulata in forma strettamente privata a Torrita Tiberina il 10 maggio, alla sola presenza dei congiunti. Tre giorni dopo, il 13 maggio 1978, la Repubblica celebrò ugualmente il proprio rito nella basilica di San Giovanni in Laterano: una messa esequiale senza feretro, officiata da Paolo VI in persona, dinanzi alle massime cariche dello Stato ed al corpo diplomatico, con l'assenza della famiglia e del corpo che trasformò la cerimonia nell'immagine più esatta dell'intera vicenda, lo Stato che onora ciò che non è riuscito a salvare, dinanzi ad una bara che non c'è, Livello A sull'intera sequenza documentata. Il registro annota la doppia eccezionalità: mai un pontefice aveva presieduto esequie di un uomo di governo della Repubblica, e mai un rito di Stato si era celebrato contro la volontà dei congiunti dell'onorato; e nella preghiera pronunciata dal vecchio Papa, che si rivolse a Dio con l'audacia del lamento per la supplica non esaudita, la storiografia ha riconosciuto uno dei vertici testuali del Novecento italiano, che il registro richiama senza citare, secondo la propria disciplina, consegnando al lettore il solo dato strutturale: il 13 maggio i 2 codici che il caso aveva tenuto in tensione, la ragion di Stato ed il vincolo degli affetti, celebrarono in luoghi diversi 2 congedi inconciliabili, e la distanza tra il Laterano e Torrita Tiberina, 60 chilometri di campagna laziale, resta la misura fisica di quella inconciliabilità.</w:t>
      </w:r>
    </w:p>
    <w:p>
      <w:pPr>
        <w:spacing w:after="120" w:line="276"/>
        <w:jc w:val="both"/>
      </w:pPr>
      <w:r>
        <w:rPr>
          <w:rFonts w:ascii="Barlow Semi Condensed" w:cs="Barlow Semi Condensed" w:eastAsia="Barlow Semi Condensed" w:hAnsi="Barlow Semi Condensed"/>
          <w:sz w:val="24"/>
          <w:szCs w:val="24"/>
        </w:rPr>
        <w:t xml:space="preserve">Alla salma appartiene infine il fascicolo dei reperti materiali, che le perizie del ciclo giudiziario e le verifiche della Commissione della XVII legislatura hanno censito e che il registro fissa nel suo doppio strato: sono certificati, quali dati oggettivi, i granelli di sabbia rinvenuti sugli abiti e nei risvolti, le tracce vegetali e le altre microtracce repertate sul corpo e sugli indumenti, elementi materiali acquisiti agli atti sin dagli accertamenti originari e sottoposti a nuove analisi strumentali nella stagione recente, Livello A quanto all'esistenza ed alla natura dei reperti. Appartengono invece al piano delle letture le collocazioni geografiche che da quei granelli si sono volute derivare, la permanenza del prigioniero o del corpo in località litoranee determinate, ipotesi esplorate dalle perizie comparative senza approdare ad una certificazione univoca di provenienza, Livello C quanto ad ogni localizzazione specifica. Il registro custodisce la distinzione con particolare cura, perché essa è l'esemplare perfetto della sua grammatica: la sabbia è un fatto, la spiaggia è un'ipotesi, e la distanza tra il granello certificato e la geografia dedotta è esattamente la distanza che separa il paradigma indiziario, che dal dettaglio risale con riscontri, dalla sua caricatura, che dal dettaglio vola. Il corpo di Aldo Moro, ultimo documento del caso, resta perciò agli atti nella sola veste che il metodo consente: un reperto letto sino al confine delle sue tracce, oltre il quale il registro, come sulla soglia di via Caetani, si ferma e dichiara di fermarsi.</w:t>
      </w:r>
    </w:p>
    <w:p>
      <w:pPr>
        <w:spacing w:after="120" w:line="276"/>
        <w:jc w:val="both"/>
      </w:pPr>
      <w:r>
        <w:rPr>
          <w:rFonts w:ascii="Barlow Semi Condensed" w:cs="Barlow Semi Condensed" w:eastAsia="Barlow Semi Condensed" w:hAnsi="Barlow Semi Condensed"/>
          <w:sz w:val="24"/>
          <w:szCs w:val="24"/>
        </w:rPr>
        <w:t xml:space="preserve">Sulla topografia della detenzione il registro fissa lo stato dell'accertamento nella sua doppia componente: i giudicati collocano l'intera custodia dei 55 giorni nell'appartamento di via Montalcini, con i 4 custodi che la sintesi certifica e con la cella ricavata nell'intercapedine che le ricostruzioni processuali descrivono, e la tesi della prigione unica costituisce, all'esito dei 5 cicli, la verità giudiziaria consolidata del caso, Livello A nei limiti dei giudicati. Le ipotesi alternative, trasferimenti intermedi, seconde prigioni, soste esterne, periodicamente riproposte dalla pubblicistica e riesaminate anche dalla Commissione della XVII legislatura con verifiche tecniche e testimoniali, non hanno mai raggiunto la soglia della certificazione e restano al Livello C, sotto il sigillo inferenziale che il piano terzo governa, mentre le acquisizioni strumentali di quelle verifiche appartengono, quali documenti, al Livello B già assegnato agli atti della Commissione. Il registro annota la ragione di metodo per cui custodisce la distinzione con particolare rigore: la prigione è il punto del caso in cui la domanda di revisione si è fatta più insistente e la base documentale nuova più esile, ed è perciò il banco su cui la disciplina del registro si misura, tenere ferma la verità giudicata sinché un fatto, non un dubbio, la scalfisca.</w:t>
      </w:r>
    </w:p>
    <w:p>
      <w:pPr>
        <w:spacing w:after="120" w:line="276"/>
        <w:jc w:val="both"/>
      </w:pPr>
      <w:r>
        <w:rPr>
          <w:rFonts w:ascii="Barlow Semi Condensed" w:cs="Barlow Semi Condensed" w:eastAsia="Barlow Semi Condensed" w:hAnsi="Barlow Semi Condensed"/>
          <w:sz w:val="24"/>
          <w:szCs w:val="24"/>
        </w:rPr>
        <w:t xml:space="preserve">Alla salma la perizia necroscopica consegnò infine un dato di condizione che il registro riporta per il suo valore documentale sullo stato del prigioniero: il corpo presentava rasatura recente, ordine degli abiti e segni complessivi di cura della persona protratta sino alle ultime ore, in coerenza con il quadro, emerso dalle ricostruzioni dei custodi giudicati, di una detenzione materialmente non afflittiva nelle condizioni igieniche e di vitto, Livello A quanto ai rilievi peritali, Livello B quanto al quadro di dettaglio della quotidianità carceraria, noto per dichiarazione dei custodi. Il registro consegna il reperto senza commento ulteriore, annotando soltanto la dissonanza documentale che esso introduce e che appartiene alla fenomenologia del caso: l'organizzazione che aveva già deliberato la morte curò sino all'ultimo la vita, ed il corpo di via Caetani, rasato di fresco, portava insieme i segni della cura e quelli dell'esecuzione, i 2 codici della prigione consegnati allo stesso reperto, senza che gli atti offrano, di questa compresenza, alcuna spiegazione che il registro possa certificare.</w:t>
      </w:r>
    </w:p>
    <w:p>
      <w:pPr>
        <w:spacing w:after="120" w:line="276"/>
        <w:jc w:val="both"/>
      </w:pPr>
      <w:r>
        <w:rPr>
          <w:rFonts w:ascii="Barlow Semi Condensed" w:cs="Barlow Semi Condensed" w:eastAsia="Barlow Semi Condensed" w:hAnsi="Barlow Semi Condensed"/>
          <w:sz w:val="24"/>
          <w:szCs w:val="24"/>
        </w:rPr>
        <w:t xml:space="preserve">Il corpo consegnato alla Repubblica ebbe infine il suo statuto medico-legale dimezzato, che il registro censisce quale ultima frontiera documentale del reperto: per volontà della famiglia, che rifiutò l'autopsia completa, gli accertamenti sul corpo si limitarono al riscontro esterno ed alle verifiche essenziali sulle cause della morte, sicché il cadavere più importante della storia repubblicana fu restituito alla terra con un'indagine medico-legale volutamente parziale, Livello A quanto alla limitazione ed alla sua origine familiare. Il registro consegna la circostanza alla sua doppia natura senza gerarchizzarla: essa fu, insieme, l'ultimo atto della guerra della famiglia contro lo Stato censita in questo capitolo, il rifiuto di consegnare anche il corpo a istituzioni giudicate indegne del vivo, ed una perdita istruttoria oggettiva, che privò per sempre il processo di dati potenzialmente dirimenti sulla detenzione e sull'esecuzione, alimentando lo spazio delle ricostruzioni alternative che i decenni avrebbero riempito. La lezione di metodo appartiene all'opera intera: anche il silenzio del corpo, come quello delle carte, ha una genealogia documentabile, e nel caso Moro la lacuna medico-legale non fu opera di apparati ma di un dolore che scelse la pietas contro l'accertamento, con la conseguenza, che il registro annota quale paradosso finale del capitolo, che l'unico occultamento certo e confessato dell'intero caso fu commesso per amore.</w:t>
      </w:r>
    </w:p>
    <w:p>
      <w:pPr>
        <w:spacing w:after="120" w:line="276"/>
        <w:jc w:val="both"/>
      </w:pPr>
      <w:r>
        <w:rPr>
          <w:rFonts w:ascii="Barlow Semi Condensed" w:cs="Barlow Semi Condensed" w:eastAsia="Barlow Semi Condensed" w:hAnsi="Barlow Semi Condensed"/>
          <w:sz w:val="24"/>
          <w:szCs w:val="24"/>
        </w:rPr>
        <w:t xml:space="preserve">La mattina del 9 maggio contiene infine il suo ultimo enigma logistico, che il registro censisce quale reperto conclusivo sulla qualità operativa: il trasferimento del corpo dalla prigione di via Montalcini al centro storico attraversò, a bordo della Renault rossa, chilometri di una capitale che viveva il cinquantacinquesimo giorno della massima mobilitazione di sicurezza della propria storia, sino al parcheggio in via Caetani, nel cuore del perimetro più presidiato d'Italia, senza intercettazioni, controlli o segnalazioni, Livello A quanto al fatto del trasferimento compiuto e non intercettato. Il registro consegna l'ultimo viaggio alla stessa disciplina applicata all'intera fenomenologia operativa del caso: la spiegazione ordinaria, l'assuefazione di un dispositivo logorato da 8 settimane di allarme continuo e la banalità statistica di un'utilitaria tra centinaia di migliaia, resta pienamente capiente, e le letture straordinarie, che da quell'attraversamento riuscito inferiscono coperture, restano al Livello C mai certificato; ciò che appartiene al livello del certo è il valore simbolico terminale che la stessa organizzazione volle imprimere al gesto, la consegna del corpo nel punto esatto che il capitolo ha censito, a metà strada tra le 2 sedi della politica che il sequestro aveva voluto piegare, sicché l'ultimo viaggio fu insieme l'ultima operazione riuscita e il primo atto del monumento involontario, la trasformazione di una via del centro nel luogo dove la Repubblica va, da allora, a ricordare ciò che non seppe impedire.</w:t>
      </w:r>
    </w:p>
    <w:p>
      <w:pPr>
        <w:spacing w:after="120" w:line="276"/>
        <w:jc w:val="both"/>
      </w:pPr>
      <w:r>
        <w:rPr>
          <w:rFonts w:ascii="Barlow Semi Condensed" w:cs="Barlow Semi Condensed" w:eastAsia="Barlow Semi Condensed" w:hAnsi="Barlow Semi Condensed"/>
          <w:sz w:val="24"/>
          <w:szCs w:val="24"/>
        </w:rPr>
        <w:t xml:space="preserve">La memoria pubblica del 9 maggio ha infine ricevuto la sua istituzionalizzazione, che il registro censisce a sigillo del capitolo: la legge della Repubblica del maggio 2007 ha proclamato il 9 maggio Giorno della memoria dedicato alle vittime del terrorismo e delle stragi di tale matrice, fissando la ricorrenza civile nazionale nell'anniversario di via Caetani ed associando per sempre, nel calendario dello Stato, la data del singolo omicidio al lutto per l'intera stagione, con le celebrazioni annuali al Quirinale che da allora riuniscono i familiari di tutte le vittime censite dall'opera, Livello A quanto alla legge ed alla prassi celebrativa. Il registro consegna la scelta del legislatore alla sua lettura: la Repubblica ha eletto a giorno del ricordo collettivo non la data di una strage anonima ma quella dell'assassinio del suo uomo di governo più alto, riconoscendo con ciò, nella forma muta di un calendario, la centralità che questa fase ha argomentato per 10 capitoli, e la circostanza che sotto quella data si commemorino insieme i caduti di piazza Fontana e quelli di via Fani, le vittime della strategia nera e quelle della geometria rossa, realizza nell'ordinamento il gesto che l'opera ha compiuto nel metodo, la riunificazione delle stagioni separate in un solo campo di lutto e di studio, perché il Paese, come il corpus, ha infine riconosciuto che quelle morti appartenevano ad una sola storia.</w:t>
      </w:r>
    </w:p>
    <w:p>
      <w:pPr>
        <w:spacing w:after="120" w:line="276"/>
        <w:jc w:val="both"/>
      </w:pPr>
      <w:r>
        <w:rPr>
          <w:rFonts w:ascii="Barlow Semi Condensed" w:cs="Barlow Semi Condensed" w:eastAsia="Barlow Semi Condensed" w:hAnsi="Barlow Semi Condensed"/>
          <w:sz w:val="24"/>
          <w:szCs w:val="24"/>
        </w:rPr>
        <w:t xml:space="preserve">Il 9 maggio produsse infine l'immagine, che il registro censisce quale reperto iconologico: la fotografia del corpo nel portellone della Renault, scattata in via Caetani nei minuti del ritrovamento e diffusa in poche ore su ogni testata del pianeta, è divenuta l'immagine singola più riprodotta della storia repubblicana, l'icona che da mezzo secolo significa il caso, la stagione ed il Paese in ogni sede, dalla storiografia alla scuola, Livello A quanto alla genesi ed alla fortuna dell'immagine. Il registro consegna l'icona alla sua analisi, perché anche le immagini appartengono al corpus: la fotografia deve la propria potenza alla composizione involontaria che essa fissa, l'uomo di Stato restituito in posizione fetale dentro un'utilitaria, la massima biografia istituzionale del Paese consegnata nel più domestico dei suoi oggetti, e questa sproporzione interna, che nessun regista avrebbe osato, ha operato per 50 anni quale sigillo emotivo della vicenda, con l'effetto ambivalente che il metodo registra: l'icona ha garantito al caso l'immortalità mnemonica che protegge dalla rimozione, ed insieme ha schiacciato la comprensione pubblica sull'istante terminale, oscurando i 55 giorni, i 30 anni di storia e le 5 fasi di contesto che questa opera ha dovuto ricostruire contro la tirannia della propria stessa immagine fondativa, sicché il registro la consegna al lettore con l'avvertenza dovuta ad ogni reliquia: guardarla è necessario, fermarsi a guardarla è il modo più pio di non capire.</w:t>
      </w:r>
    </w:p>
    <w:p>
      <w:pPr>
        <w:spacing w:after="120" w:line="276"/>
        <w:jc w:val="both"/>
      </w:pPr>
      <w:r>
        <w:rPr>
          <w:rFonts w:ascii="Barlow Semi Condensed" w:cs="Barlow Semi Condensed" w:eastAsia="Barlow Semi Condensed" w:hAnsi="Barlow Semi Condensed"/>
          <w:b/>
          <w:bCs/>
          <w:sz w:val="24"/>
          <w:szCs w:val="24"/>
        </w:rPr>
        <w:t xml:space="preserve">Sintesi del dato nuovo acquisito:</w:t>
      </w:r>
      <w:r>
        <w:rPr>
          <w:rFonts w:ascii="Barlow Semi Condensed" w:cs="Barlow Semi Condensed" w:eastAsia="Barlow Semi Condensed" w:hAnsi="Barlow Semi Condensed"/>
          <w:sz w:val="24"/>
          <w:szCs w:val="24"/>
        </w:rPr>
        <w:t xml:space="preserve"> il nodo via Caetani certifica al Livello A l'esecuzione del 9 maggio 1978 per mano di Mario Moretti con il concorso degli uomini della prigione, la deliberazione non unanime che la precedette, la topografia dell'abbandono del corpo a equidistanza dalle sedi dei 2 partiti del compromesso, e la duplice chiusura, del progetto politico e della vicenda umana, con i 6 nomi delle vittime uniti nel registro; la lettura simbolica del luogo è registrata quale interpretazione dominante non certificabile quale intenzione, a presidio della linea metodologica anche nel punto di massima suggestione.</w:t>
      </w:r>
    </w:p>
    <w:p>
      <w:pPr>
        <w:pStyle w:val="Heading3"/>
        <w:spacing w:after="80" w:before="160"/>
      </w:pPr>
      <w:r>
        <w:rPr>
          <w:rFonts w:ascii="Barlow Semi Condensed" w:cs="Barlow Semi Condensed" w:eastAsia="Barlow Semi Condensed" w:hAnsi="Barlow Semi Condensed"/>
          <w:sz w:val="24"/>
          <w:szCs w:val="24"/>
        </w:rPr>
        <w:t xml:space="preserve">Capitolo 7 — ◆ Hyperion. La scuola di Parigi, il superclan e il reperto negativo</w:t>
      </w:r>
    </w:p>
    <w:p>
      <w:pPr>
        <w:spacing w:after="120" w:line="276"/>
        <w:jc w:val="both"/>
      </w:pPr>
      <w:r>
        <w:rPr>
          <w:rFonts w:ascii="Barlow Semi Condensed" w:cs="Barlow Semi Condensed" w:eastAsia="Barlow Semi Condensed" w:hAnsi="Barlow Semi Condensed"/>
          <w:sz w:val="24"/>
          <w:szCs w:val="24"/>
        </w:rPr>
        <w:t xml:space="preserve">La scuola di lingue Hyperion, operante a Parigi al numero 27 del Quai de la Tournelle, fondata da esponenti della prima ora dell'estremismo di sinistra italiano trasferitisi in Francia, è il nodo internazionale della fase, e il registro la tratta quale controparte annunciata del nodo Aginter Press della Fase 3, in adempimento del rinvio formale che quella fase ha disposto. La scansione del corpus registra Hyperion 137 volte in 25 documenti e il nome di Corrado Simioni 88 volte in 13. Il nodo è, per statuto probatorio, il più rarefatto della fase: nessuna condanna, nessun giudicato, un quarantennio di attenzioni investigative italiane e di sospetti mai consolidati; e proprio questo statuto ne fa il banco di prova terminale della disciplina del registro sul trattamento delle strutture opache.</w:t>
      </w:r>
    </w:p>
    <w:p>
      <w:pPr>
        <w:spacing w:after="120" w:line="276"/>
        <w:jc w:val="both"/>
      </w:pPr>
      <w:r>
        <w:rPr>
          <w:rFonts w:ascii="Barlow Semi Condensed" w:cs="Barlow Semi Condensed" w:eastAsia="Barlow Semi Condensed" w:hAnsi="Barlow Semi Condensed"/>
          <w:sz w:val="24"/>
          <w:szCs w:val="24"/>
        </w:rPr>
        <w:t xml:space="preserve">Il primo pilastro è la certificazione dell'esistenza e della genealogia, al Livello A. La scuola fu costituita a Parigi nella prima metà degli anni Settanta da Corrado Simioni, Duccio Berio e Vanni Mulinaris, provenienti dall'ambiente milanese della sinistra rivoluzionaria delle origini, il medesimo dal quale nacquero le Brigate Rosse: Simioni, in particolare, era stato tra i protagonisti della fase fondativa dell'organizzazione, dalla quale si era separato precocemente in dissenso sulla struttura e sui metodi, teorizzando, secondo le convergenti ricostruzioni memorialistiche e processuali, un'organizzazione più ristretta, compartimentata e protetta, che l'ambiente stesso designò con l'espressione superclan. Il registro certifica al Livello A la fondazione, la sede parigina del Quai de la Tournelle 27, l'attività di copertura quale scuola di lingue con reale funzionamento didattico, e la genealogia comune con l'organizzazione esecutrice del sequestro, quale insieme di fatti documentati; la genealogia, già annotata nel capitolo 3, è il dato strutturale del nodo: i fondatori della scuola e i fondatori delle Brigate Rosse provengono dal medesimo ceppo, separatosi nel 1970-1971.</w:t>
      </w:r>
    </w:p>
    <w:p>
      <w:pPr>
        <w:spacing w:after="120" w:line="276"/>
        <w:jc w:val="both"/>
      </w:pPr>
      <w:r>
        <w:rPr>
          <w:rFonts w:ascii="Barlow Semi Condensed" w:cs="Barlow Semi Condensed" w:eastAsia="Barlow Semi Condensed" w:hAnsi="Barlow Semi Condensed"/>
          <w:sz w:val="24"/>
          <w:szCs w:val="24"/>
        </w:rPr>
        <w:t xml:space="preserve">Il secondo pilastro è il quarantennio delle attenzioni investigative, che il registro censisce con la graduazione integrale. La scuola entrò nel cono delle indagini italiane a più riprese: le istruttorie padovane e venete dei primi anni Ottanta sul terrorismo, che ipotizzarono in Hyperion una centrale estera di collegamento del terrorismo internazionale, con perquisizioni disposte per rogatoria nel 1982; le informative dei servizi, che in più stagioni segnalarono la struttura quale possibile snodo di rapporti tra organizzazioni armate di più Paesi e apparati; e le inchieste parlamentari, sino alla Commissione dell'ultima stagione, che vi hanno dedicato approfondimenti. A fronte di questa persistenza, l'esito giudiziario è nullo: nessuno dei fondatori è mai stato condannato per fatti di terrorismo, le posizioni aperte furono archiviate o non ebbero seguito, e il registro riporta questo esito con la stessa nettezza con cui riporta le assoluzioni, certificando al Livello A che la scuola Hyperion e i suoi fondatori non hanno mai riportato condanne. Le ipotesi investigative censite si distribuiscono così: i contatti dei fondatori con l'ambiente d'origine e la loro presenza in snodi relazionali dell'estremismo europeo sono certificati al Livello B, quale convergenza di atti istruttori e informativi plurimi; l'ipotesi della funzione di centrale, di snodo organizzato tra le organizzazioni armate e apparati di più campi, resta al Livello C, mai consolidata in 4 decenni; e l'ipotesi di un ruolo della struttura nel sequestro Moro, formulata in più sedi sulla scorta della genealogia e di taluni movimenti coevi, resta parimenti al Livello C, priva di ogni consacrazione.</w:t>
      </w:r>
    </w:p>
    <w:p>
      <w:pPr>
        <w:spacing w:after="120" w:line="276"/>
        <w:jc w:val="both"/>
      </w:pPr>
      <w:r>
        <w:rPr>
          <w:rFonts w:ascii="Barlow Semi Condensed" w:cs="Barlow Semi Condensed" w:eastAsia="Barlow Semi Condensed" w:hAnsi="Barlow Semi Condensed"/>
          <w:sz w:val="24"/>
          <w:szCs w:val="24"/>
        </w:rPr>
        <w:t xml:space="preserve">Il terzo pilastro è la comparazione con Aginter Press, che compie il reperto codificato dal registro quale acquisizione consolidata e qui recepito nella sua forma piena. Le 2 strutture sono topologicamente isomorfe: entrambe operanti all'estero, in una capitale terza rispetto al teatro italiano, sotto copertura civile a funzionamento reale, un'agenzia di stampa a Lisbona e una scuola di lingue a Parigi; entrambe fondate da fuoriusciti della militanza radicale del rispettivo campo, l'ufficiale dell'estremismo controrivoluzionario e i quadri dell'estremismo rivoluzionario; entrambe poste, dalle ricostruzioni investigative, all'incrocio tra la militanza, l'informazione e gli apparati; entrambe mai raggiunte da condanne in Italia. E le 2 strutture presentano regimi probatori opposti: Aginter è documentata dall'interno, dalle proprie carte sequestrate per il collasso del regime ospitante, sicché la sua natura di centrale è certificata al Livello A; Hyperion è documentata soltanto dall'esterno, da atti investigativi altrui, sicché la sua natura resta all'ipotesi, e nessun collasso ha mai aperto i suoi archivi, se archivi vi furono. Il registro certifica al Livello A l'isomorfismo quale dato comparativo e l'assenza di ogni connessione operativa documentata tra le 2 strutture, quale reperto negativo formale; e ne trae la lezione metodologica terminale del Pattern 11: la simmetria delle forme non prova la simmetria delle sostanze, e la differenza tra ciò che sappiamo di Aginter e ciò che ipotizziamo di Hyperion misura esattamente la differenza tra un archivio aperto e un archivio mai aperto, confermando per l'ultima volta la legge empirica del campo che il registro ha codificato: la conoscenza di queste strutture non è mai proporzionale alla loro rilevanza, ma alla contingenza dei collassi che le espongono.</w:t>
      </w:r>
    </w:p>
    <w:p>
      <w:pPr>
        <w:spacing w:after="120" w:line="276"/>
        <w:jc w:val="both"/>
      </w:pPr>
      <w:r>
        <w:rPr>
          <w:rFonts w:ascii="Barlow Semi Condensed" w:cs="Barlow Semi Condensed" w:eastAsia="Barlow Semi Condensed" w:hAnsi="Barlow Semi Condensed"/>
          <w:sz w:val="24"/>
          <w:szCs w:val="24"/>
        </w:rPr>
        <w:t xml:space="preserve">Il quarto pilastro è la stagione istruttoria del 1982, che il registro espone quale momento di massima pressione investigativa sul nodo. All'inizio di quell'anno, nel contesto delle indagini sul sequestro del generale americano James Lee Dozier e sulla rete internazionale del terrorismo, le autorità italiane ottennero per rogatoria perquisizioni a Parigi nei locali della scuola e presso i suoi animatori: le operazioni, condotte dalla polizia francese, non produssero elementi tali da fondare imputazioni, e la posizione della struttura, iscritta nelle ipotesi delle istruttorie venete quale possibile ufficio esteri del terrorismo, non evolse in rinvii a giudizio; negli anni successivi, la difesa pubblica dei fondatori trovò sostegni di rilievo nell'ambiente francese, e la questione scivolò dal piano giudiziario a quello storiografico e parlamentare, dove è rimasta. Il registro certifica al Livello A la sequenza della stagione, le rogatorie, le perquisizioni e il loro esito negativo, quali fatti documentati; e ne trae l'annotazione comparativa che completa il profilo del nodo: il momento in cui lo Stato italiano guardò più da vicino dentro la struttura parigina produsse un esito nullo, e da allora nessuna occasione equivalente si è ripresentata; la conoscenza del nodo è dunque ferma, nella sostanza, a quella stagione, integrata soltanto dalle riletture documentali delle commissioni, e il registro dichiara che ogni certificazione su Hyperion sconta questo tetto storico delle fonti, il quarantennio trascorso senza accessi nuovi, che nessuna intensità di sospetto può surrogare.</w:t>
      </w:r>
    </w:p>
    <w:p>
      <w:pPr>
        <w:spacing w:after="120" w:line="276"/>
        <w:jc w:val="both"/>
      </w:pPr>
      <w:r>
        <w:rPr>
          <w:rFonts w:ascii="Barlow Semi Condensed" w:cs="Barlow Semi Condensed" w:eastAsia="Barlow Semi Condensed" w:hAnsi="Barlow Semi Condensed"/>
          <w:sz w:val="24"/>
          <w:szCs w:val="24"/>
        </w:rPr>
        <w:t xml:space="preserve">Il quinto pilastro è la collocazione parigina quale dato di geografia comparata, che salda il nodo al Pattern 10 dell'opera. La Fase 3 ha certificato la Spagna dell'ultimo franchismo quale zona di convergenza della latitanza e della retrovia dell'eversione nera; la presente fase registra, specularmente, la Parigi degli anni Settanta e Ottanta quale capitale continentale dell'emigrazione della sinistra radicale italiana, l'ambiente nel quale la struttura del Quai de la Tournelle operò e nel quale, negli anni successivi, si sarebbe consolidata la più ampia comunità di fuoriusciti dell'area, protetta di fatto, e poi di dottrina, dall'orientamento dell'ordinamento ospitante sulla non estradizione per i reati a movente politico. Il registro certifica al Livello A la configurazione delle 2 capitali-rifugio speculari, Madrid per il campo nero e Parigi per il campo rosso, quale dato comparativo della geografia dell'eversione europea, e ne trae l'annotazione metodologica: la specularità delle retrovie conferma, sul piano spaziale, la struttura a campi contrapposti del fenomeno che l'intera opera ha documentato, ciascun campo con i propri santuari, i propri protettori e le proprie rotte; e la circostanza che nessuna delle 2 retrovie fosse collocata oltrecortina, ma entrambe entro l'Europa occidentale e atlantica, è un dato che il bilancio conclusivo dell'ipotesi H1 dovrà registrare, giacché la geografia certificata delle protezioni non disegna la convergenza dei blocchi ma la tolleranza incrociata interna al campo occidentale, un reperto che complica ogni lettura semplificata di entrambi i segni.</w:t>
      </w:r>
    </w:p>
    <w:p>
      <w:pPr>
        <w:spacing w:after="120" w:line="276"/>
        <w:jc w:val="both"/>
      </w:pPr>
      <w:r>
        <w:rPr>
          <w:rFonts w:ascii="Barlow Semi Condensed" w:cs="Barlow Semi Condensed" w:eastAsia="Barlow Semi Condensed" w:hAnsi="Barlow Semi Condensed"/>
          <w:sz w:val="24"/>
          <w:szCs w:val="24"/>
        </w:rPr>
        <w:t xml:space="preserve">Il sesto pilastro distende le biografie dei fondatori e la fisionomia del superclan, quali le fonti convergenti le consegnano. Corrado Simioni, milanese, con un percorso giovanile nell'area socialista da cui fu allontanato, approdò alla fine degli anni Sessanta all'ambiente del Collettivo politico metropolitano, dove la sua proposta organizzativa, una struttura a cerchi, con un nucleo interno invisibile, protetto dalla compartimentazione assoluta e destinato a durare oltre le ondate repressive, si scontrò con la linea dei fondatori storici: le memorie di Curcio e di Franceschini, convergenti su questo punto pur nella diversità delle valutazioni, descrivono la separazione del 1970-1971 quale rottura tra 2 concezioni della clandestinità, quella di massa e quella elitaria, e attribuiscono all'ambiente di Simioni la designazione, nata come sarcasmo interno, di superclan; le stesse fonti collocano nell'orbita di quell'ambiente, prima della separazione, figure destinate a percorsi divergenti, e riferiscono dei contatti dell'ambiente con il mondo di Giangiacomo Feltrinelli e dei suoi Gruppi d'azione partigiana. Duccio Berio e Vanni Mulinaris, con percorsi paralleli nella medesima area, seguirono Simioni nella traiettoria che condusse il gruppo, attraverso una fase di attività tra l'Italia e la Francia, alla fondazione parigina della scuola di lingue, operativa dalla metà degli anni Settanta con un corpo docente reale, un'utenza internazionale e una reputazione professionale documentata. Il registro certifica al Livello A le traiettorie biografiche e la genealogia della separazione, quali fatti convergenti delle fonti memorialistiche e processuali; certifica al Livello B la fisionomia dottrinale del superclan, quale ricostruzione di fonti interne interessate ma concordi tra loro da posizioni opposte; e mantiene al livello proprio di ciascun elemento i contatti censiti, annotando che l'intera conoscenza della preistoria del nodo proviene, per la natura delle cose, da testimoni di parte, e che la sua solidità deriva dalla concordanza tra memorie reciprocamente ostili, il criterio di consilienza che il metodo ammette quale surrogato, dichiarato, del documento mancante.</w:t>
      </w:r>
    </w:p>
    <w:p>
      <w:pPr>
        <w:spacing w:after="120" w:line="276"/>
        <w:jc w:val="both"/>
      </w:pPr>
      <w:r>
        <w:rPr>
          <w:rFonts w:ascii="Barlow Semi Condensed" w:cs="Barlow Semi Condensed" w:eastAsia="Barlow Semi Condensed" w:hAnsi="Barlow Semi Condensed"/>
          <w:sz w:val="24"/>
          <w:szCs w:val="24"/>
        </w:rPr>
        <w:t xml:space="preserve">Il settimo pilastro censisce la sede romana e la vicenda giudiziaria di Mulinaris, i 2 fatti italiani del nodo. Le ricognizioni parlamentari, a partire dai lavori della Commissione sul caso Moro e sino all'ultima stagione, hanno documentato che la scuola aprì un ufficio a Roma nei primi mesi del 1978, operativo nel periodo del sequestro e chiuso entro l'anno: il registro certifica al Livello B l'apertura, la collocazione temporale e la chiusura della sede romana, quale risultanza delle ricognizioni parlamentari sulle utenze e sulle disponibilità immobiliari, e dichiara la qualificazione del dato con la disciplina consueta: la coincidenza temporale tra l'operatività romana della struttura e la finestra del sequestro è un fatto censito del Pattern 3, la cui lettura funzionale resta al Livello C, non essendo mai stato documentato alcun nesso tra l'ufficio e l'operazione; il registro la trascrive quale coincidenza certificata e non risolta, la specie di reperto che la metodologia impone di registrare senza sciogliere. La vicenda di Mulinaris appartiene alla stagione istruttoria già censita: attinto da provvedimenti restrittivi nel quadro delle inchieste italiane sul terrorismo dei primi anni Ottanta, fu detenuto in Italia e la sua posizione si concluse senza condanna; attorno alla sua detenzione si sviluppò una campagna pubblica internazionale, il cui protagonista fu l'abbé Pierre, il religioso francese fondatore di Emmaus, legato da vincolo familiare alla moglie di Mulinaris, che giunse a un digiuno pubblico nel 1984 per sollecitarne la liberazione: il registro certifica al Livello A la vicenda detentiva, l'esito senza condanna e la campagna, quali fatti documentati, e ne annota il rilievo per il profilo del nodo, la capacità della struttura di mobilitare, nel momento della massima pressione giudiziaria, una copertura morale del più alto profilo pubblico europeo, un attributo relazionale che il registro trascrive quale dato e la cui interpretazione, tra la solidarietà genuina e la protezione d'ambiente, appartiene al campo delle letture non certificabili.</w:t>
      </w:r>
    </w:p>
    <w:p>
      <w:pPr>
        <w:spacing w:after="120" w:line="276"/>
        <w:jc w:val="both"/>
      </w:pPr>
      <w:r>
        <w:rPr>
          <w:rFonts w:ascii="Barlow Semi Condensed" w:cs="Barlow Semi Condensed" w:eastAsia="Barlow Semi Condensed" w:hAnsi="Barlow Semi Condensed"/>
          <w:sz w:val="24"/>
          <w:szCs w:val="24"/>
        </w:rPr>
        <w:t xml:space="preserve">L'ottavo pilastro censisce la stagione istruttoria veneziana, il più esteso accertamento giudiziario italiano che abbia investito il nodo. Negli anni Ottanta il giudice istruttore di Venezia Carlo Mastelloni condusse l'istruttoria pluriennale sui canali di approvvigionamento internazionale delle Brigate Rosse, con al centro le forniture di armi provenienti dall'area delle organizzazioni palestinesi, i vettori e le rotte adriatiche, e con un capitolo dedicato alla struttura parigina quale possibile snodo della rete estera; l'istruttoria acquisì documentazione, escusse fonti di ogni provenienza e si concluse, sul versante che qui rileva, con proscioglimenti, senza che alcuna posizione riconducibile alla scuola approdasse al dibattimento; il registro certifica al Livello A l'esistenza, l'oggetto, la durata e l'esito dell'istruttoria, quali dati processuali, e ne dichiara la funzione nel profilo del nodo: essa rappresenta, accanto alla stagione delle rogatorie del 1982, il secondo e ultimo accertamento organico mai condotto, e il suo esito negativo, maturato all'esito di anni di lavoro istruttorio e non di una verifica sommaria, è il dato che ogni ricostruzione successiva deve incorporare; il registro lo trascrive quale certificazione in negativo di qualità processuale, la specie di reperto che la disciplina dello Stato Zero dell'opera valorizza, annotando insieme il suo limite strutturale, giacché un'istruttoria italiana non poteva forzare gli archivi esteri, e il perimetro della verifica coincise, per necessità, con il perimetro della cooperazione ottenuta.</w:t>
      </w:r>
    </w:p>
    <w:p>
      <w:pPr>
        <w:spacing w:after="120" w:line="276"/>
        <w:jc w:val="both"/>
      </w:pPr>
      <w:r>
        <w:rPr>
          <w:rFonts w:ascii="Barlow Semi Condensed" w:cs="Barlow Semi Condensed" w:eastAsia="Barlow Semi Condensed" w:hAnsi="Barlow Semi Condensed"/>
          <w:sz w:val="24"/>
          <w:szCs w:val="24"/>
        </w:rPr>
        <w:t xml:space="preserve">Il nono pilastro censisce il contesto ordinamentale francese, la cornice che ha governato la conoscibilità del nodo. La Francia degli anni Settanta e Ottanta fu il rifugio della più ampia comunità di militanti e fuoriusciti della sinistra armata italiana, e la prassi della non estradizione per i reati a movente politico, consolidatasi di fatto nella stagione e poi elevata a dottrina dichiarata alla metà degli anni Ottanta, sottrasse stabilmente alla giurisdizione italiana gli uomini e, con essi, le fonti; le richieste italiane di cooperazione sul nodo parigino ottennero, nella stagione delle rogatorie, l'esecuzione degli atti richiesti e non oltre, e gli archivi della struttura, ove esistenti, non furono mai acquisiti né dall'autorità francese né, per suo tramite, da quella italiana. Il registro certifica al Livello A la prassi e la dottrina della non estradizione, quali dati ordinamentali documentati, e al Livello A il perimetro effettivo della cooperazione ottenuta, quale risultanza degli atti; e ne trae la formalizzazione che chiude il profilo conoscitivo del nodo: l'inaccessibilità di Hyperion non è un mistero ma un fatto giuridico-politico datato e spiegabile, il prodotto della convergenza tra una legislazione di rifugio, una stagione diplomatica e la posizione della struttura entro l'ordinamento ospitante; il registro sostituisce così, secondo il proprio metodo, la categoria dell'insondabile con la categoria del non acquisito per cause documentate, e annota che questa riclassificazione, apparentemente terminologica, governa in realtà l'intera valutazione del nodo, giacché ciò che non fu acquisito per cause esterne può, in linea di principio, ancora emergere, e la fase consegna alla ricognizione conclusiva dell'opera l'indicazione degli archivi francesi quale primo obiettivo di ogni futura campagna documentale.</w:t>
      </w:r>
    </w:p>
    <w:p>
      <w:pPr>
        <w:spacing w:after="120" w:line="276"/>
        <w:jc w:val="both"/>
      </w:pPr>
      <w:r>
        <w:rPr>
          <w:rFonts w:ascii="Barlow Semi Condensed" w:cs="Barlow Semi Condensed" w:eastAsia="Barlow Semi Condensed" w:hAnsi="Barlow Semi Condensed"/>
          <w:sz w:val="24"/>
          <w:szCs w:val="24"/>
        </w:rPr>
        <w:t xml:space="preserve">Il decimo pilastro conduce l'analisi dell'isomorfismo strutturale, applicazione terminale del Pattern 11 al nodo e alla fase. Il registro pone a confronto la struttura topologica di Hyperion con quella di Aginter Press, l'agenzia di copertura di Lisbona che la Fase 3 ha certificato quale snodo internazionale dell'eversione nera, e ne rileva l'isomorfismo: entrambe si presentano quali imprese di servizi apparentemente legali, un'agenzia di stampa l'una, una scuola di lingue l'altra, dotate di sede, personale e attività dichiarata verificabili; entrambe si collocano in una capitale europea quale piattaforma di proiezione internazionale; entrambe risultano, per attribuzione, punti di raccordo di reti clandestine trasversali, l'una del campo nero, l'altra del campo rosso; ed entrambe hanno attraversato decenni di sospetti senza mai produrre condanne organiche che ne certificassero la natura clandestina. Il registro certifica al Livello A l'esistenza della somiglianza topologica, quale dato comparativo tra 2 profili documentati, e ne dichiara con precisione i limiti, richiamando la codifica già fissata nel registro analitico quale reperto strutturale: l'isomorfismo è una somiglianza di forma, non una prova di connessione né di origine comune, e la sua rilevazione, secondo il teorema di DiMaggio e Powell che il metodo assume, ammette 3 spiegazioni alternative, l'origine comune, la necessità funzionale e la convergenza indipendente, che la sola topologia non discrimina. Applicato ai 2 casi, il criterio consegna il verdetto che la fase recepisce: la struttura a impresa-copertura per la proiezione internazionale di una rete clandestina è, con ogni probabilità, una necessità funzionale, la forma più efficiente del compito, adottata indipendentemente dai 2 campi opposti, sicché l'isomorfismo tra Aginter e Hyperion documenta non un legame tra i 2 mondi ma la convergenza dei 2 mondi sulla medesima soluzione organizzativa, un reperto che il registro giudica più rivelatore di qualsiasi legame diretto, perché attesta l'esistenza di una grammatica comune della clandestinità europea che opera al di sopra della contrapposizione dei blocchi; la formalizzazione appartiene ai fatti strutturali certificati, e la fase la consegna, quale contributo maggiore al Pattern 11 dell'opera, alla verifica conclusiva.</w:t>
      </w:r>
    </w:p>
    <w:p>
      <w:pPr>
        <w:spacing w:after="120" w:line="276"/>
        <w:jc w:val="both"/>
      </w:pPr>
      <w:r>
        <w:rPr>
          <w:rFonts w:ascii="Barlow Semi Condensed" w:cs="Barlow Semi Condensed" w:eastAsia="Barlow Semi Condensed" w:hAnsi="Barlow Semi Condensed"/>
          <w:sz w:val="24"/>
          <w:szCs w:val="24"/>
        </w:rPr>
        <w:t xml:space="preserve">L'undicesimo pilastro censisce l'ultima stagione di accertamento, il ritorno della Commissione della XVII legislatura sul nodo. Tra il 2014 e il 2017 la Commissione dedicò al capitolo internazionale del caso, e alla struttura parigina in particolare, un filone di approfondimento documentato dagli atti: audizioni di magistrati, ufficiali e studiosi che avevano trattato il nodo nelle stagioni precedenti, acquisizioni documentali dagli archivi italiani nel frattempo versati, e richieste di collaborazione indirizzate alle autorità francesi per l'accesso ai materiali d'oltralpe, che ottennero riscontri parziali e interlocutori senza l'apertura organica degli archivi che la fase ha censito quale vuoto; la relazione conclusiva registrò lo stato del nodo nei termini che il registro ha recepito, l'esistenza certificata, i contatti documentati, la funzione non provata, e consegnò alla ricerca futura l'indicazione della via archivistica francese quale condizione di ogni progresso. Il registro certifica al Livello A l'esistenza, gli strumenti e l'esito interlocutorio del filone, quali dati degli atti parlamentari, e ne trae la formalizzazione temporale che chiude il profilo: il nodo Hyperion è stato investigato in 3 stagioni distinte, le rogatorie del 1982, l'istruttoria veneziana degli anni Ottanta e la ricognizione parlamentare del 2014-2017, da 3 autorità diverse con 3 strumentari diversi, e le 3 stagioni hanno prodotto il medesimo esito, la certificazione dell'esistenza e la non certificazione della funzione; la convergenza di 3 accertamenti indipendenti sul medesimo punto di arresto è essa stessa un dato, che il registro trascrive con la propria categoria: il limite non sta negli accertatori ma nell'accesso, e sino all'apertura degli archivi francesi ogni nuova stagione è destinata, per struttura, a replicare l'esito delle precedenti.</w:t>
      </w:r>
    </w:p>
    <w:p>
      <w:pPr>
        <w:spacing w:after="120" w:line="276"/>
        <w:jc w:val="both"/>
      </w:pPr>
      <w:r>
        <w:rPr>
          <w:rFonts w:ascii="Barlow Semi Condensed" w:cs="Barlow Semi Condensed" w:eastAsia="Barlow Semi Condensed" w:hAnsi="Barlow Semi Condensed"/>
          <w:sz w:val="24"/>
          <w:szCs w:val="24"/>
        </w:rPr>
        <w:t xml:space="preserve">Il dodicesimo pilastro distende la genealogia del ceppo milanese, la preistoria comune che il profilo del nodo presuppone. Il Collettivo Politico Metropolitano, costituito a Milano nel 1969 nell'ambiente dei quadri usciti dalle esperienze studentesche e operaie della città, e la sua evoluzione in Sinistra Proletaria nel 1970, furono l'incubatore comune dal quale, nel biennio 1970-1971, si separarono le 2 linee che la fase ha censito: la linea di Renato Curcio, Margherita Cagol e dei fondatori dell'organizzazione armata, che scelse la clandestinità e la lotta armata dichiarata, e la cerchia di Corrado Simioni, che i memorialisti interni designarono con l'appellativo di superclan, orientata a una concezione elitaria e internazionale del lavoro rivoluzionario, che considerava prematura la scelta armata italiana e che di lì a pochi anni avrebbe preso la via di Parigi; la separazione fu consumata con reciproca diffidenza documentata dalla memorialistica di entrambi i rami, i fondatori dell'organizzazione avendo lasciato testimonianza del sospetto verso l'ambiguità della cerchia simioniana, e la cerchia avendo coltivato la propria distanza dall'avventurismo militare. Il registro certifica al Livello A la genealogia comune, la separazione e la sua datazione, quali dati convergenti della memorialistica e degli atti, certifica al Livello A l'assenza di ogni condanna a carico della cerchia, e ne trae la formalizzazione che governa l'intero nodo: Hyperion e l'organizzazione esecutrice del sequestro sono i 2 rami documentati di un medesimo ceppo fondativo, separatisi 7 anni prima dei fatti, e ogni ipotesi sui loro rapporti nella stagione del sequestro deve muovere da questo dato genealogico certificato, che rende plausibili i contatti personali residui e non prova alcuna funzione operativa; la distinzione tra la plausibilità genealogica del contatto e la prova della funzione è l'esatto crinale su cui il registro tiene fermo il nodo, al livello che a ciascun elemento compete.</w:t>
      </w:r>
    </w:p>
    <w:p>
      <w:pPr>
        <w:spacing w:after="120" w:line="276"/>
        <w:jc w:val="both"/>
      </w:pPr>
      <w:r>
        <w:rPr>
          <w:rFonts w:ascii="Barlow Semi Condensed" w:cs="Barlow Semi Condensed" w:eastAsia="Barlow Semi Condensed" w:hAnsi="Barlow Semi Condensed"/>
          <w:sz w:val="24"/>
          <w:szCs w:val="24"/>
        </w:rPr>
        <w:t xml:space="preserve">Il tredicesimo pilastro censisce la qualità della copertura, il dato tecnico che distingue la struttura nel panorama dell'opera. La scuola di lingue parigina non fu una copertura fittizia ma un'attività reale e verificabile: corsi effettivamente tenuti, studenti reali, docenti retribuiti, una sede operante al Quai de la Tournelle 27 e rapporti commerciali documentabili con istituzioni e clienti, ivi comprese, per le acquisizioni delle inchieste, commesse di formazione linguistica presso enti di rilievo; il registro certifica al Livello A la realtà dell'attività didattica, quale dato convergente di ogni accertamento, e ne dichiara il portato analitico, che è la chiave tecnica del nodo: una copertura reale è, per costruzione, inattaccabile con gli strumenti della verifica amministrativa, giacché ogni controllo sull'attività dichiarata restituisce un esito conforme, e la struttura che la adotta trasferisce l'intero onere dell'accertamento sul piano, incomparabilmente più oneroso, della prova delle attività non dichiarate; la fase registra che tutti gli accertamenti condotti sul nodo, dalle rogatorie all'istruttoria veneziana alla ricognizione parlamentare, si sono infranti esattamente su questo crinale, la conformità perfetta del dichiarato e l'inaccessibilità dell'eventuale non dichiarato, e formalizza il dato quale contributo del nodo alla tipologia dell'opera: la copertura reale è la forma più evoluta della clandestinità censita nel corpus, superiore per efficacia alla semplice falsità, e la sua presenza simmetrica nei 2 casi dell'isomorfismo certificato, l'agenzia di stampa lisbonese che produceva davvero notizie e la scuola parigina che insegnava davvero le lingue, conferma che essa appartiene alla grammatica comune della clandestinità europea che il Pattern 11 ha isolato, la soluzione organizzativa che entrambi i campi adottarono perché entrambi ne avevano compreso la superiorità tecnica.</w:t>
      </w:r>
    </w:p>
    <w:p>
      <w:pPr>
        <w:spacing w:after="120" w:line="276"/>
        <w:jc w:val="both"/>
      </w:pPr>
      <w:r>
        <w:rPr>
          <w:rFonts w:ascii="Barlow Semi Condensed" w:cs="Barlow Semi Condensed" w:eastAsia="Barlow Semi Condensed" w:hAnsi="Barlow Semi Condensed"/>
          <w:sz w:val="24"/>
          <w:szCs w:val="24"/>
        </w:rPr>
        <w:t xml:space="preserve">Le triangolazioni del nodo sono 3. La prima, Hyperion-Simioni-ceppo fondativo comune, è il triangolo genealogico, certificato al Livello A. La seconda, Hyperion-attenzioni investigative-esito nullo, è il triangolo dello statuto probatorio, con i contatti al Livello B e le funzioni ipotizzate al Livello C, e con l'assenza di condanne certificata al Livello A. La terza, Hyperion-Aginter-isomorfismo senza connessione, è il triangolo comparativo, certificato al Livello A nei suoi 2 termini. Sul piano dei pattern, il nodo è la seconda e conclusiva applicazione del Pattern 11, e attiva il Pattern 5 nella forma documentale: l'archivio mai aperto di una struttura quarantennalmente sospettata è il buco strutturale internazionale della fase, che il registro consegna, quale campo di ricerca e non quale certezza mancata, agli sviluppi futuri.</w:t>
      </w:r>
    </w:p>
    <w:p>
      <w:pPr>
        <w:spacing w:after="120" w:line="276"/>
        <w:jc w:val="both"/>
      </w:pPr>
      <w:r>
        <w:rPr>
          <w:rFonts w:ascii="Barlow Semi Condensed" w:cs="Barlow Semi Condensed" w:eastAsia="Barlow Semi Condensed" w:hAnsi="Barlow Semi Condensed"/>
          <w:sz w:val="24"/>
          <w:szCs w:val="24"/>
        </w:rPr>
        <w:t xml:space="preserve">Il destino giudiziario del nodo va dichiarato nella sua nudità, perché esso ne costituisce, in negativo, la certificazione più netta: le istruttorie italiane che negli anni 80 e 90 investirono la scuola di Parigi, i suoi fondatori e la sua rete, incluse quelle veneziane sui traffici internazionali di armi e quelle romane sui retroterra del caso Moro, si chiusero senza che alcuna imputazione approdasse a condanna, tra proscioglimenti, archiviazioni ed estinzioni, sicché a carico della struttura e dei suoi uomini non esiste, ad oggi, alcun giudicato di responsabilità, Livello A quanto agli esiti, che il registro riporta con il rilievo dovuto ad ogni assoluzione. Ne discende lo statuto paradossale che fa del nodo un unicum analitico: Hyperion è insieme il più indagato ed il meno giudicato degli oggetti del caso, una struttura la cui esistenza, sede, genealogia e rete di contatti sono certificate al massimo livello e le cui funzioni ipotizzate non hanno mai superato la soglia del riscontro, ed il registro, che ha coniato per queste configurazioni la categoria del reperto negativo, la applica qui nella sua forma più severa: il vuoto giudiziario attorno alla scuola di lingue non prova l'innocenza della funzione né la sua colpevolezza, prova l'impermeabilità dell'oggetto, e l'impermeabilità, in un'opera che misura le resistenze dei nodi all'accertamento, è essa stessa la misura che resta.</w:t>
      </w:r>
    </w:p>
    <w:p>
      <w:pPr>
        <w:spacing w:after="120" w:line="276"/>
        <w:jc w:val="both"/>
      </w:pPr>
      <w:r>
        <w:rPr>
          <w:rFonts w:ascii="Barlow Semi Condensed" w:cs="Barlow Semi Condensed" w:eastAsia="Barlow Semi Condensed" w:hAnsi="Barlow Semi Condensed"/>
          <w:sz w:val="24"/>
          <w:szCs w:val="24"/>
        </w:rPr>
        <w:t xml:space="preserve">La genealogia della scuola parigina esige la sua premessa italiana, che il registro censisce dagli atti: la scissione consumata nell'organizzazione nascente al principio degli anni Settanta, quando l'ala raccolta attorno a Corrado Simioni, poi nota nella pubblicistica interna quale Superclan, si separò dal nucleo fondatore in dissenso sulla linea, portando con sé quadri, relazioni internazionali ed una concezione elitaria e compartimentata del lavoro clandestino, per approdare negli anni successivi a Parigi, dove quell'ambiente diede vita alle strutture di copertura culturale e linguistica censite in questo capitolo, Livello A quanto alla scissione, ai suoi protagonisti storici ed all'approdo parigino, quali risultano dagli atti e dalle ricostruzioni convergenti. Il registro consegna la genealogia alla sua funzione analitica: la scuola di lingue non nacque quale appendice estera dell'organizzazione combattente, ma quale ramo separato e precedente, uscito dal tronco comune prima della militarizzazione, e questa priorità genealogica è esattamente ciò che ha reso il nodo parigino irriducibile alle categorie processuali italiane, poiché i suoi uomini non erano latitanti di un'organizzazione da giudicare ma emigrati di una scissione mai divenuta reato, con la conseguenza che il capitolo ha già certificato nel suo esito nullo: l'impermeabilità giudiziaria di Hyperion non fu solo protezione francese, fu anche, alla radice, la condizione di chi si era messo fuori dalla storia criminale prima che diventasse tale, ed osservava da Parigi, in posizione per sempre inattaccabile, il precipitare della casa che aveva lasciato.</w:t>
      </w:r>
    </w:p>
    <w:p>
      <w:pPr>
        <w:spacing w:after="120" w:line="276"/>
        <w:jc w:val="both"/>
      </w:pPr>
      <w:r>
        <w:rPr>
          <w:rFonts w:ascii="Barlow Semi Condensed" w:cs="Barlow Semi Condensed" w:eastAsia="Barlow Semi Condensed" w:hAnsi="Barlow Semi Condensed"/>
          <w:sz w:val="24"/>
          <w:szCs w:val="24"/>
        </w:rPr>
        <w:t xml:space="preserve">Il capitolo internazionale esige il suo bilancio terminale, che il registro formula quale paradosso di proporzione: il caso più investigato della storia repubblicana è rimasto, sul piano dei giudicati, il meno internazionalizzato, poiché a fronte della densità di presenze, interessi e servizi esteri che i capitoli hanno censito attorno al quadrante italiano del 1978, nessun cittadino, apparato o governo straniero è mai stato imputato, né alcuna rogatoria ha mai prodotto un atto d'accusa oltre confine, sicché la dimensione internazionale del caso, sterminata nella letteratura, è giudiziariamente vuota, Livello A quanto al vuoto, Livello C permanente quanto alle ipotesi che lo popolano. Il registro consegna il paradosso alla sua spiegazione strutturale, che vale quale lezione di metodo per l'intera opera: la giustizia penale è territoriale ed il potere che il corpus studia non lo è, sicché lo strumento processuale, che dentro i confini ha faticosamente prodotto i 5 cicli censiti, si è fermato esattamente dove finiva la giurisdizione ed iniziava la geopolitica, e la sproporzione tra ciò che il caso contiene e ciò che i tribunali potevano raggiungere non è un fallimento italiano ma il limite costitutivo di ogni giustizia nazionale davanti a fatti transnazionali, il limite che questa opera, non essendo un tribunale, esiste precisamente per attraversare, con i suoi strumenti diversi e la sua diversa, dichiarata, soglia probatoria.</w:t>
      </w:r>
    </w:p>
    <w:p>
      <w:pPr>
        <w:spacing w:after="120" w:line="276"/>
        <w:jc w:val="both"/>
      </w:pPr>
      <w:r>
        <w:rPr>
          <w:rFonts w:ascii="Barlow Semi Condensed" w:cs="Barlow Semi Condensed" w:eastAsia="Barlow Semi Condensed" w:hAnsi="Barlow Semi Condensed"/>
          <w:b/>
          <w:bCs/>
          <w:sz w:val="24"/>
          <w:szCs w:val="24"/>
        </w:rPr>
        <w:t xml:space="preserve">Sintesi del dato nuovo acquisito:</w:t>
      </w:r>
      <w:r>
        <w:rPr>
          <w:rFonts w:ascii="Barlow Semi Condensed" w:cs="Barlow Semi Condensed" w:eastAsia="Barlow Semi Condensed" w:hAnsi="Barlow Semi Condensed"/>
          <w:sz w:val="24"/>
          <w:szCs w:val="24"/>
        </w:rPr>
        <w:t xml:space="preserve"> il nodo Hyperion è certificato al Livello A quanto all'esistenza, alla sede parigina del Quai de la Tournelle 27, alla copertura didattica reale e alla genealogia comune con l'organizzazione esecutrice nel ceppo milanese separatosi nel 1970-1971; i contatti dei fondatori con gli snodi dell'estremismo europeo sono certificati al Livello B, le funzioni di centrale e ogni ruolo nel sequestro restano al Livello C dopo 4 decenni di attenzioni prive di esito, e l'assenza di condanne è certificata e riportata; l'isomorfismo con Aginter Press, a regimi probatori opposti e senza alcuna connessione operativa documentata, è recepito quale reperto comparativo terminale del Pattern 11.</w:t>
      </w:r>
    </w:p>
    <w:p>
      <w:pPr>
        <w:pStyle w:val="Heading3"/>
        <w:spacing w:after="80" w:before="160"/>
      </w:pPr>
      <w:r>
        <w:rPr>
          <w:rFonts w:ascii="Barlow Semi Condensed" w:cs="Barlow Semi Condensed" w:eastAsia="Barlow Semi Condensed" w:hAnsi="Barlow Semi Condensed"/>
          <w:sz w:val="24"/>
          <w:szCs w:val="24"/>
        </w:rPr>
        <w:t xml:space="preserve">Capitolo 8 — ▶ Mino Pecorelli. Il giornalista, le anticipazioni e l'ipotesi processata</w:t>
      </w:r>
    </w:p>
    <w:p>
      <w:pPr>
        <w:spacing w:after="120" w:line="276"/>
        <w:jc w:val="both"/>
      </w:pPr>
      <w:r>
        <w:rPr>
          <w:rFonts w:ascii="Barlow Semi Condensed" w:cs="Barlow Semi Condensed" w:eastAsia="Barlow Semi Condensed" w:hAnsi="Barlow Semi Condensed"/>
          <w:sz w:val="24"/>
          <w:szCs w:val="24"/>
        </w:rPr>
        <w:t xml:space="preserve">Carmine Pecorelli, detto Mino, direttore dell'agenzia-periodico OP, Osservatore Politico, assassinato a Roma la sera del 20 marzo 1979 con 4 colpi d'arma da fuoco mentre saliva in auto presso la redazione, è il nodo che salda la fase al Dominio 8, il controllo dell'informazione, e che il registro tratta quale caso terminale della disciplina delle ipotesi processate. La scansione del corpus registra Pecorelli 401 volte in 37 documenti, e il corpus comprende le sentenze integrali del processo per il suo omicidio.</w:t>
      </w:r>
    </w:p>
    <w:p>
      <w:pPr>
        <w:spacing w:after="120" w:line="276"/>
        <w:jc w:val="both"/>
      </w:pPr>
      <w:r>
        <w:rPr>
          <w:rFonts w:ascii="Barlow Semi Condensed" w:cs="Barlow Semi Condensed" w:eastAsia="Barlow Semi Condensed" w:hAnsi="Barlow Semi Condensed"/>
          <w:sz w:val="24"/>
          <w:szCs w:val="24"/>
        </w:rPr>
        <w:t xml:space="preserve">Il primo pilastro è il profilo della fonte e della testata, certificato al Livello A nei fatti. OP era un foglio anomalo nel panorama informativo: un bollettino di rivelazioni, allusioni e anticipazioni, alimentato da un accesso documentale evidentemente interno agli apparati e agli ambienti riservati, che Pecorelli esercitava secondo una tecnica di pubblicazione progressiva nella quale l'annuncio della notizia valeva quanto la notizia; la collocazione del direttore negli ambienti che le fasi precedenti hanno censito, con rapporti documentati verso l'orbita piduista e verso settori degli apparati, è attestata dagli atti della Commissione Anselmi e dalle istruttorie, e il registro la certifica al Livello B, quale convergenza di fonti istituzionali, senza qualificazioni organiche che gli atti non consacrano. Nella stagione del sequestro e dei mesi successivi, OP pubblicò e annunciò materiali sul caso Moro di provenienza evidentemente qualificata: riferimenti al memoriale prima della sua divulgazione, allusioni alla gestione dei 55 giorni, anticipazioni che le acquisizioni successive avrebbero mostrato fondate su una conoscenza reale di materiali riservati. Il registro certifica al Livello A l'esistenza e la datazione di tali pubblicazioni, quale dato documentale della collezione della testata, e al Livello B la loro derivazione da accesso a materiali del circuito riservato, quale inferenza documentale consolidata dalle comparazioni successive; la questione della catena di tale accesso resta al Livello C.</w:t>
      </w:r>
    </w:p>
    <w:p>
      <w:pPr>
        <w:spacing w:after="120" w:line="276"/>
        <w:jc w:val="both"/>
      </w:pPr>
      <w:r>
        <w:rPr>
          <w:rFonts w:ascii="Barlow Semi Condensed" w:cs="Barlow Semi Condensed" w:eastAsia="Barlow Semi Condensed" w:hAnsi="Barlow Semi Condensed"/>
          <w:sz w:val="24"/>
          <w:szCs w:val="24"/>
        </w:rPr>
        <w:t xml:space="preserve">Il secondo pilastro è l'omicidio e il suo processo, che il registro espone con la disciplina integrale. L'assassinio del 20 marzo 1979, 10 mesi dopo la conclusione del sequestro, rimase a lungo senza sviluppi; negli anni Novanta, sulla scorta di dichiarazioni di collaboratori di giustizia, la procura di Perugia formulò l'ipotesi che l'omicidio fosse stato commissionato in ambienti politico-mafiosi per arrestare le pubblicazioni del direttore sui materiali del caso Moro, e portò a giudizio, tra gli altri, Giulio Andreotti quale mandante e Gaetano Badalamenti quale tramite mafioso, con imputati ulteriori degli ambienti della criminalità romana. Il ciclo processuale si sviluppò così: la Corte d'assise di Perugia, nel settembre 1999, assolse tutti gli imputati; la Corte d'assise d'appello, il 17 novembre 2002, riformò parzialmente condannando Andreotti e Badalamenti a 24 anni di reclusione quali mandanti; la Corte di cassazione, il 30 ottobre 2003, annullò senza rinvio la condanna, rendendo definitiva l'assoluzione di entrambi. Il registro riporta per esteso l'assoluzione definitiva di Giulio Andreotti e di Gaetano Badalamenti dall'accusa di omicidio, unitamente agli esiti assolutori degli altri imputati del medesimo processo, e certifica al Livello A che l'omicidio di Mino Pecorelli resta, all'esito di ogni giudizio, privo di mandanti e di esecutori condannati: è la seconda vittima eccellente della fase, dopo il vuoto sugli esecutori Mattarella censito nella Fase 3, il cui assassinio non ha verità giudiziaria di condanna. L'ipotesi del movente moroteo, che fu il cuore dell'accusa, riceve la qualificazione aggravata già codificata: ipotesi processata e non provata, portata sino al giudizio di legittimità e non consacrata, la cui permanenza nel registro al Livello C reca la memoria del suo intero percorso, ivi compresa la condanna di merito del 2002 travolta dall'annullamento.</w:t>
      </w:r>
    </w:p>
    <w:p>
      <w:pPr>
        <w:spacing w:after="120" w:line="276"/>
        <w:jc w:val="both"/>
      </w:pPr>
      <w:r>
        <w:rPr>
          <w:rFonts w:ascii="Barlow Semi Condensed" w:cs="Barlow Semi Condensed" w:eastAsia="Barlow Semi Condensed" w:hAnsi="Barlow Semi Condensed"/>
          <w:sz w:val="24"/>
          <w:szCs w:val="24"/>
        </w:rPr>
        <w:t xml:space="preserve">Il terzo pilastro è il reticolo degli archi documentati attorno al nodo, che il registro censisce nella loro autonomia dai giudicati mancati. Il primo arco è quello verso l'orbita della Magliana, documentato dalla vicenda, accertata negli atti, del borsello abbandonato su un taxi romano nell'aprile 1979, poche settimane dopo l'omicidio, contenente materiali che alludevano congiuntamente al caso Moro e all'omicidio del giornalista, ricondotto dagli accertamenti tecnici alla mano di Antonio Chichiarelli, il medesimo falsario del comunicato del lago della Duchessa: il registro certifica al Livello B l'attribuzione e dichiara il rilievo della ricorrenza, il medesimo uomo dell'orbita della Magliana che interseca, con manufatti documentali, tanto la gestione comunicativa del sequestro quanto la scia dell'omicidio del giornalista che di quel sequestro pubblicava i segreti; la direzione di questa duplice intersezione resta al Livello C, ma la sua esistenza è un arco certificato tra il Dominio 8, il Dominio 1 romano e il caso Moro. Il secondo arco è quello tematico verso il memoriale: la comparazione tra le anticipazioni di OP e i contenuti emersi nel 1990 appartiene alle acquisizioni parlamentari, e il registro la certifica al Livello B quale riscontro postumo della qualità dell'accesso del direttore. Il terzo arco è quello, già certificato nella Fase 1, che collega la memoria di Pecorelli al processo palermitano ad Andreotti, nel quale le medesime dichiarazioni collaborative alimentarono i 2 procedimenti: il registro richiama l'esito di quel processo, con la formula duale della prescrizione per il periodo anteriore alla primavera 1980 e dell'assoluzione per il periodo successivo, quale contesto degli esiti qui riportati.</w:t>
      </w:r>
    </w:p>
    <w:p>
      <w:pPr>
        <w:spacing w:after="120" w:line="276"/>
        <w:jc w:val="both"/>
      </w:pPr>
      <w:r>
        <w:rPr>
          <w:rFonts w:ascii="Barlow Semi Condensed" w:cs="Barlow Semi Condensed" w:eastAsia="Barlow Semi Condensed" w:hAnsi="Barlow Semi Condensed"/>
          <w:sz w:val="24"/>
          <w:szCs w:val="24"/>
        </w:rPr>
        <w:t xml:space="preserve">Il quarto pilastro è la tecnica dell'annuncio e l'ultimo periodo della testata, che il registro censisce quale contesto immediato dell'omicidio. La pubblicistica di Pecorelli operava secondo un metodo riconoscibile: l'annuncio anticipato di rivelazioni imminenti, la pubblicazione parziale, la sospensione; un metodo che trasformava la testata in uno strumento di pressione oltre che di informazione, e che gli atti delle inchieste hanno documentato nella sua meccanica, ivi compresi i casi in cui annunci pubblicati non furono seguiti dalle rivelazioni promesse. Nei mesi finali, tra la fine del 1978 e il marzo 1979, la testata aveva in cantiere e in parte annunciato materiali su più fronti sensibili, dalle vicende finanziarie che intersecavano il mondo politico romano ai temi del caso Moro, e l'ultimo numero preparato non giunse in edicola nella forma prevista. Il registro certifica al Livello A il metodo dell'annuncio, quale dato documentale della collezione, e la collocazione temporale dell'omicidio nel pieno di una stagione di annunci su materie sensibili, quale dato di calendario; e mantiene al Livello C, secondo la disciplina, ogni individuazione del singolo annuncio che avrebbe determinato l'eliminazione, annotando che l'istruttoria perugina esplorò precisamente questo terreno, la selezione del movente entro il ventaglio delle pubblicazioni pendenti, e che l'esito assolutorio definitivo lascia il ventaglio aperto: il registro censisce il ventaglio, non sceglie la carta. L'annotazione sistemica chiude il pilastro: la figura del giornalista-nodo, che converte l'accesso riservato in potere di pubblicazione e il potere di pubblicazione in leva, è la configurazione più pura del Dominio 8 che l'opera abbia incontrato, e la sua eliminazione fisica, quale che ne sia il mandante mai accertato, documenta che quella configurazione era percepita, da qualcuno, quale minaccia capitale.</w:t>
      </w:r>
    </w:p>
    <w:p>
      <w:pPr>
        <w:spacing w:after="120" w:line="276"/>
        <w:jc w:val="both"/>
      </w:pPr>
      <w:r>
        <w:rPr>
          <w:rFonts w:ascii="Barlow Semi Condensed" w:cs="Barlow Semi Condensed" w:eastAsia="Barlow Semi Condensed" w:hAnsi="Barlow Semi Condensed"/>
          <w:sz w:val="24"/>
          <w:szCs w:val="24"/>
        </w:rPr>
        <w:t xml:space="preserve">Il quinto pilastro distende la storia della testata e il precedente che ne certifica l'accesso. OP nacque nel 1968 quale agenzia di stampa a diffusione ristretta, circolante negli ambienti politici, militari e giornalistici romani quale bollettino di notizie riservate, e si trasformò nel marzo 1978, alla vigilia del sequestro, in settimanale in edicola, portando nel circuito pubblico la tecnica maturata nel decennio riservato; gli atti giudiziari e parlamentari che ne hanno ricostruito la storia documentano la contiguità della testata con ambienti del servizio informazioni della difesa, dai quali provenne parte sistematica del materiale pubblicato, e il registro certifica al Livello B questa contiguità di alimentazione, quale convergenza di accertamenti plurimi, senza qualificazioni organiche. Il precedente che certifica la qualità dell'accesso è la vicenda del dossier MiFoBiali: tra il 1976 e il 1977 la testata diede notizia e pubblicò elementi del rapporto riservato del servizio militare su un traffico petrolifero con la Libia che coinvolgeva vertici della Guardia di finanza, un documento la cui circolazione era confinata al circuito più protetto degli apparati, e la cui vicenda si intreccia, come la Fase 2 ha censito, con la stagione della direzione piduista dei servizi; il registro certifica al Livello A la pubblicazione e la natura del documento, quali fatti documentali, e ne trae la conseguenza che fonda il pilastro: prima ancora del caso Moro, la testata aveva dimostrato, con un caso verificato, di attingere al livello più riservato della documentazione degli apparati, e questa capacità certificata è il presupposto che rende tecnicamente credibile, e perciò analiticamente grave, la sincronia del 1978 sul memoriale.</w:t>
      </w:r>
    </w:p>
    <w:p>
      <w:pPr>
        <w:spacing w:after="120" w:line="276"/>
        <w:jc w:val="both"/>
      </w:pPr>
      <w:r>
        <w:rPr>
          <w:rFonts w:ascii="Barlow Semi Condensed" w:cs="Barlow Semi Condensed" w:eastAsia="Barlow Semi Condensed" w:hAnsi="Barlow Semi Condensed"/>
          <w:sz w:val="24"/>
          <w:szCs w:val="24"/>
        </w:rPr>
        <w:t xml:space="preserve">Il sesto pilastro scandisce la serie degli interventi della testata sul caso Moro, quale la collezione la consegna. Durante i 55 giorni la testata seguì la vicenda con la propria cifra allusiva, insinuando conoscenze sulla gestione e sui retroscena; dopo il 9 maggio, la serie si fece sistematica, con interventi sulla condotta dei comitati, sulle ricerche e sugli ambienti della crisi; nell'ottobre 1978, a ridosso del sequestro di via Monte Nevoso, giunsero le pubblicazioni e le anticipazioni sul memoriale già censite nel capitolo documentale, con i contenuti eccedenti la versione ufficiale; e nei primi mesi del 1979 la testata portò la propria attenzione sui terreni finanziari e politici contigui, sino al numero in preparazione al momento dell'omicidio, dedicato, per le risultanze delle inchieste, alla vicenda degli assegni riconducibili all'area del presidente del Consiglio, il tema finanziario che intrecciava gli istituti di credito pubblici e i costruttori romani. Il registro certifica al Livello A la scansione della serie e l'oggetto del numero in preparazione, quali dati della collezione e delle risultanze istruttorie, e ribadisce la disciplina sul ventaglio dei moventi: la serie documenta che, alla data del 20 marzo 1979, la testata teneva simultaneamente aperti più fronti capaci ciascuno di costituire un movente, il memoriale, la gestione della crisi, il fronte finanziario, e l'istruttoria che scelse uno dei fronti quale movente dell'omicidio è approdata, come il pilastro seguente espone, all'assoluzione definitiva; il registro, censito il ventaglio, lo lascia aperto.</w:t>
      </w:r>
    </w:p>
    <w:p>
      <w:pPr>
        <w:spacing w:after="120" w:line="276"/>
        <w:jc w:val="both"/>
      </w:pPr>
      <w:r>
        <w:rPr>
          <w:rFonts w:ascii="Barlow Semi Condensed" w:cs="Barlow Semi Condensed" w:eastAsia="Barlow Semi Condensed" w:hAnsi="Barlow Semi Condensed"/>
          <w:sz w:val="24"/>
          <w:szCs w:val="24"/>
        </w:rPr>
        <w:t xml:space="preserve">Il settimo pilastro distende l'iter processuale nella sua interezza, quale la disciplina degli esiti impone. L'inchiesta perugina degli anni Novanta si fondò sulle dichiarazioni di collaboratori di giustizia, e in primo luogo di Tommaso Buscetta, che riferì di aver appreso da Gaetano Badalamenti la riconducibilità dell'omicidio a un interesse di Giulio Andreotti connesso alle carte del caso Moro; il rinvio a giudizio investì, oltre ad Andreotti quale mandante e a Badalamenti quale tramite, esponenti dell'orbita della banda della Magliana quali presunti organizzatori ed esecutori, tra cui Giuseppe Calò, già nodo delle fasi precedenti, e Massimo Carminati. Il dibattimento di primo grado dinanzi alla Corte d'assise di Perugia si concluse il 24 settembre 1999 con l'assoluzione di tutti gli imputati; la Corte d'assise d'appello, il 17 novembre 2002, in parziale riforma, condannò Andreotti e Badalamenti a 24 anni di reclusione quali mandanti, confermando le assoluzioni degli altri; la Corte di cassazione, il 30 ottobre 2003, annullò senza rinvio la condanna per non aver commesso il fatto, rendendo definitive tutte le assoluzioni. Il registro riporta per esteso, quale la disciplina impone, che Giulio Andreotti, Gaetano Badalamenti, Giuseppe Calò, Massimo Carminati e i coimputati del processo di Perugia sono stati assolti in via definitiva da ogni accusa relativa all'omicidio di Mino Pecorelli; annota che per Calò si tratta del secondo esito assolutorio censito dall'opera accanto ai 3 giudicati di condanna capitale, e per Carminati dell'esito che si affianca all'assoluzione per la strage di Bologna censita quale contesto nella Fase 3; e chiude con la qualificazione già dichiarata dell'ipotesi del movente moroteo, la più processata e la meno consacrata delle ipotesi del piano terzo, portata sino al giudizio di legittimità attraverso una condanna di merito e integralmente travolta.</w:t>
      </w:r>
    </w:p>
    <w:p>
      <w:pPr>
        <w:spacing w:after="120" w:line="276"/>
        <w:jc w:val="both"/>
      </w:pPr>
      <w:r>
        <w:rPr>
          <w:rFonts w:ascii="Barlow Semi Condensed" w:cs="Barlow Semi Condensed" w:eastAsia="Barlow Semi Condensed" w:hAnsi="Barlow Semi Condensed"/>
          <w:sz w:val="24"/>
          <w:szCs w:val="24"/>
        </w:rPr>
        <w:t xml:space="preserve">L'ottavo pilastro censisce i rapporti della testata con l'orbita gelliana, il secondo asse di alimentazione documentato. Gli atti della Commissione Anselmi e le acquisizioni giudiziarie convergenti documentano la relazione tra Pecorelli e l'ambiente di Licio Gelli: i contatti diretti, la circolazione verso la testata di materiali provenienti da quell'orbita, e flussi di sostegno economico veicolati nella stagione terminale, entro il più generale sistema di condizionamento della stampa che la Commissione ricostruì e che la Fase 2 ha censito quale arco tra la loggia e il Dominio 8; il registro certifica al Livello B la relazione e i flussi, quale convergenza di risultanze parlamentari e giudiziarie non consacrate su ogni punto da giudicato, e certifica al Livello A il dato editoriale che vi si intreccia, la circostanza che la testata pubblicò ripetutamente, in anticipo sulla stampa ordinaria, materie interne all'universo massonico coperto, dimostrando un accesso a quell'ambiente simmetrico a quello certificato verso gli apparati. Sul terreno delle letture, il registro censisce al Livello C l'ipotesi, coltivata dalle inchieste e mai consacrata, della pressione economica esercitata dal giornalista sui propri referenti quale movente concorrente dell'eliminazione, e chiude con la formalizzazione reticolare: il nodo Pecorelli è l'unico dell'intera opera che risulti simultaneamente alimentato, per certificazione o convergenza documentata, dai 2 massimi serbatoi riservati della Repubblica, gli apparati informativi e la loggia coperta, e questa doppia alimentazione certificata, qualunque cosa spieghi della sua morte, definisce esattamente la sua posizione nella rete: un condotto tra i segreti dei 2 sistemi e lo spazio pubblico, revocabile, per costruzione, soltanto con la sua eliminazione.</w:t>
      </w:r>
    </w:p>
    <w:p>
      <w:pPr>
        <w:spacing w:after="120" w:line="276"/>
        <w:jc w:val="both"/>
      </w:pPr>
      <w:r>
        <w:rPr>
          <w:rFonts w:ascii="Barlow Semi Condensed" w:cs="Barlow Semi Condensed" w:eastAsia="Barlow Semi Condensed" w:hAnsi="Barlow Semi Condensed"/>
          <w:sz w:val="24"/>
          <w:szCs w:val="24"/>
        </w:rPr>
        <w:t xml:space="preserve">Il nono pilastro distende la vicenda del borsello e dei reperti successivi, l'appendice materiale del nodo. Nell'aprile 1979, poche settimane dopo l'omicidio, fu rinvenuto su un taxi romano un borsello abbandonato contenente un compendio anomalo di materiali: annotazioni e riproduzioni che intrecciavano riferimenti puntuali al caso Moro, inclusi elementi allusivi a circostanze allora non pubbliche, e riferimenti all'omicidio del giornalista, composti in forma di messaggio criptico; le perizie attribuirono la confezione a Antonio Chichiarelli, il falsario della banda della Magliana già autore, per attribuzione peritale, del falso comunicato della Duchessa, saldando in un'unica mano i 2 manufatti; Chichiarelli fu assassinato a Roma il 28 settembre 1984, in un agguato mai giudizialmente risolto, e dopo la sua morte emersero, dai luoghi a lui riconducibili, ulteriori materiali riferiti al caso Moro che le inchieste acquisirono. Il registro certifica al Livello A il ritrovamento, il contenuto, l'attribuzione peritale e l'assassinio, quali risultanze documentali e giudiziarie, e mantiene al Livello C la funzione dell'intera produzione, dalla rivendicazione obliqua al depistaggio su commissione, annotando la struttura del reperto: un falsario di ambiente criminale romano risulta, per perizia, l'autore materiale tanto del più efficace inquinamento informativo dei 55 giorni quanto del più criptico manufatto post mortem su Pecorelli, fu eliminato senza colpevoli e lasciò materiali che nessuna sede ha mai integralmente decifrato; la doppia firma certificata di Chichiarelli sui 2 casi è l'arco documentale che salda il capitolo alla crisi del 1978, e il registro la consegna quale fatto, con la sua spiegazione ancora vacante, alla competizione tra le ipotesi del piano terzo.</w:t>
      </w:r>
    </w:p>
    <w:p>
      <w:pPr>
        <w:spacing w:after="120" w:line="276"/>
        <w:jc w:val="both"/>
      </w:pPr>
      <w:r>
        <w:rPr>
          <w:rFonts w:ascii="Barlow Semi Condensed" w:cs="Barlow Semi Condensed" w:eastAsia="Barlow Semi Condensed" w:hAnsi="Barlow Semi Condensed"/>
          <w:sz w:val="24"/>
          <w:szCs w:val="24"/>
        </w:rPr>
        <w:t xml:space="preserve">Il decimo pilastro colloca l'omicidio entro la serie degli omicidi eccellenti romani della stagione, quale applicazione del Pattern 3 al Dominio 8 e ai suoi confini. Il registro censisce la sequenza certificata degli assassinii che, nell'orbita tra apparati, criminalità capitolina, politica e informazione, scandirono gli anni a cavallo del caso Moro nella capitale: l'omicidio di Mino Pecorelli il 20 marzo 1979; l'omicidio del tenente colonnello Antonio Varisco il 13 luglio 1979; e, quale termine di raccordo con il Dominio 6 e la Fase 2, l'omicidio dell'avvocato Giorgio Ambrosoli, il liquidatore della banca di Michele Sindona, ucciso a Milano l'11 luglio 1979, nella stessa settimana di Varisco, da un sicario giunto dall'estero. Il registro certifica al Livello A le date e i fatti degli omicidi, quali dati giudiziari e storici, nomina le vittime, e ne dichiara la funzione analitica: la contiguità temporale di 3 eliminazioni che colpirono, in pochi mesi, un giornalista d'accesso riservato, un ufficiale di raccordo tra apparati e ambienti giudiziari romani e il liquidatore che stava documentando i legami tra finanza deviata, mafia e politica, compone una finestra critica che il Pattern 3 registra quale addensamento anomalo di rimozioni di detentori di conoscenza, distinte per mano e per sede giudiziaria e tuttavia unite dalla natura delle vittime, tutte titolari di un sapere pericoloso per gli intrecci tra i domini. Il registro mantiene al Livello C ogni lettura unificante della serie, nessun accertamento avendo mai stabilito una regia comune, e ne certifica quale fatto la sola struttura statistica, l'improbabilità della concentrazione casuale di eventi tanto simili per funzione delle vittime in un arco tanto breve; e consegna la serie, con la disciplina consueta, quale reperto del Pattern 3 alla ricognizione conclusiva, annotando che il nodo Pecorelli vi occupa la posizione del primo termine, l'eliminazione con cui la stagione delle rimozioni romane si aprì.</w:t>
      </w:r>
    </w:p>
    <w:p>
      <w:pPr>
        <w:spacing w:after="120" w:line="276"/>
        <w:jc w:val="both"/>
      </w:pPr>
      <w:r>
        <w:rPr>
          <w:rFonts w:ascii="Barlow Semi Condensed" w:cs="Barlow Semi Condensed" w:eastAsia="Barlow Semi Condensed" w:hAnsi="Barlow Semi Condensed"/>
          <w:sz w:val="24"/>
          <w:szCs w:val="24"/>
        </w:rPr>
        <w:t xml:space="preserve">L'undicesimo pilastro censisce il filo balistico, il reperto materiale maggiore del nodo. I proiettili che uccisero Pecorelli erano cartucce calibro 7,65 di marca Gevelot, una munizione di produzione francese rara sul mercato italiano dell'epoca, la cui identificazione orientò le indagini sin dalle prime perizie; e le inchieste degli anni successivi accertarono la presenza di munizioni Gevelot del medesimo tipo nell'arsenale della banda della Magliana rinvenuto nel deposito ricavato negli scantinati del Ministero della Sanità, il deposito che le indagini sulla criminalità capitolina portarono alla luce documentando la disponibilità dell'organizzazione di un'armeria custodita, per paradosso topografico certificato, entro un edificio pubblico; la convergenza tra la munizione dell'omicidio e la dotazione dell'arsenale fu acquisita ai procedimenti e costituì uno dei fondamenti dell'ipotesi accusatoria sull'esecuzione materiale affidata ad ambienti della banda, ipotesi che l'esito assolutorio definitivo del 2003 ha lasciato priva di consacrazione giudiziale quanto ai mandanti e agli esecutori giudicati in quel processo. Il registro certifica al Livello A l'identificazione della munizione e la presenza del medesimo tipo raro nell'arsenale del Ministero della Sanità, quali dati peritali e di rinvenimento, certifica al Livello B la derivazione dell'arma del delitto dall'orbita della banda, quale inferenza balistica di elevata consistenza mai consacrata da condanna, e ne dichiara la funzione reticolare: il filo Gevelot è l'arco materiale che congiunge il Dominio 8, nella persona della vittima, al Dominio 1 romano, nella dotazione dell'arsenale, ed è, con la doppia firma di Chichiarelli, il secondo elemento fisico che salda l'orbita della Magliana alla stagione degli omicidi eccellenti; il registro consegna il filo alla Fase 5, annotando che la banda romana, già certificata nella Fase 1 quale cerniera tra criminalità, eversione e apparati, vede accrescersi con la fase il proprio rango di connettivo capitolino dei domini.</w:t>
      </w:r>
    </w:p>
    <w:p>
      <w:pPr>
        <w:spacing w:after="120" w:line="276"/>
        <w:jc w:val="both"/>
      </w:pPr>
      <w:r>
        <w:rPr>
          <w:rFonts w:ascii="Barlow Semi Condensed" w:cs="Barlow Semi Condensed" w:eastAsia="Barlow Semi Condensed" w:hAnsi="Barlow Semi Condensed"/>
          <w:sz w:val="24"/>
          <w:szCs w:val="24"/>
        </w:rPr>
        <w:t xml:space="preserve">Il dodicesimo pilastro censisce la sorte dell'archivio della testata, l'ultima assenza del nodo. Le inchieste sull'omicidio documentarono che dall'ufficio di OP e dai materiali del direttore risultarono mancanti, dopo la morte, fascicoli e carte la cui esistenza era attestata da testimonianze dei collaboratori e dalla stessa attività della testata, che su quei materiali fondava le proprie anticipazioni: la ricognizione dell'archivio non restituì l'insieme dei dossier che l'attività documentata del giornalista presupponeva, e la questione della sottrazione di carte contestuale o successiva all'omicidio attraversò le indagini senza mai approdare a un accertamento di condotta; il registro certifica al Livello B la mancanza di materiali rispetto al perimetro attestato, quale convergenza di risultanze testimoniali e investigative non consacrate da un inventario opponibile, e la classifica nella specie propria: l'archivio di Pecorelli appartiene, con la borsa del generale e con le carte controverse dei nodi maggiori, alla figura della sottrazione documentale contestuale all'eliminazione del detentore, il pattern che la fase ha censito in 3 occorrenze distinte, via Fani, via Carini e l'ufficio di OP, e che il registro formalizza quale regolarità certificata nella sua distribuzione e non spiegata nella sua meccanica: in 3 casi su 3, l'eliminazione di un detentore di conoscenza pericolosa si accompagnò alla scomparsa, mai giudizialmente attribuita, del supporto materiale di quella conoscenza; la regolarità, che il Pattern 5 dell'opera registra quale configurazione di Livello B, è consegnata alla riflessione conclusiva con l'annotazione che essa costituisce, nell'intero corpus, la firma strutturale più costante del campo studiato, la coincidenza sistematica tra la morte dell'uomo e la morte delle sue carte.</w:t>
      </w:r>
    </w:p>
    <w:p>
      <w:pPr>
        <w:spacing w:after="120" w:line="276"/>
        <w:jc w:val="both"/>
      </w:pPr>
      <w:r>
        <w:rPr>
          <w:rFonts w:ascii="Barlow Semi Condensed" w:cs="Barlow Semi Condensed" w:eastAsia="Barlow Semi Condensed" w:hAnsi="Barlow Semi Condensed"/>
          <w:sz w:val="24"/>
          <w:szCs w:val="24"/>
        </w:rPr>
        <w:t xml:space="preserve">Le triangolazioni del nodo sono 3. La prima, Pecorelli-OP-accesso riservato, è il triangolo della fonte, certificato al Livello A nelle pubblicazioni e al Livello B nella derivazione. La seconda, omicidio-processo di Perugia-assoluzione definitiva, è il triangolo dell'ipotesi processata, con gli esiti riportati per esteso e la qualificazione aggravata del Livello C. La terza, Pecorelli-Chichiarelli-orbita della Magliana, è il triangolo dell'intersezione documentata, certificato al Livello B con direzione al Livello C. Sul piano dei pattern, il nodo attiva il Pattern 4 in una forma propria del Dominio 8, il flusso dell'informazione riservata quale risorsa tracciabile, di cui OP fu insieme pozzo e sorgente; e il Pattern 5, giacché l'omicidio recise il solo canale pubblico che attingeva, in tempo reale, al circuito riservato del caso, e il silenzio che ne seguì è l'assenza che l'analisi registra.</w:t>
      </w:r>
    </w:p>
    <w:p>
      <w:pPr>
        <w:spacing w:after="120" w:line="276"/>
        <w:jc w:val="both"/>
      </w:pPr>
      <w:r>
        <w:rPr>
          <w:rFonts w:ascii="Barlow Semi Condensed" w:cs="Barlow Semi Condensed" w:eastAsia="Barlow Semi Condensed" w:hAnsi="Barlow Semi Condensed"/>
          <w:sz w:val="24"/>
          <w:szCs w:val="24"/>
        </w:rPr>
        <w:t xml:space="preserve">Il quadro assolutorio del processo perugino esige la sua integralità nominale, che la disciplina del registro impone di riportare per esteso: accanto a Giulio Andreotti e Gaetano Badalamenti, la cui assoluzione definitiva la sintesi certifica, furono giudicati per il medesimo omicidio, quali concorrenti a vario titolo, il magistrato Claudio Vitalone, Giuseppe Calò, Massimo Carminati e Michelangelo La Barbera, e tutti furono assolti, con pronunce divenute irrevocabili all'esito della sentenza della Corte d'Assise d'appello di Perugia del 17 novembre 2002 e della decisione della Corte di cassazione del 30 ottobre 2003, Livello A, sicché per l'omicidio di Carmine Pecorelli non esiste, ad oggi, alcun condannato. Il registro sottolinea la composizione dell'elenco degli assolti, perché essa è, in sé, la radiografia dell'ipotesi accusatoria caduta: un presidente del Consiglio, un capomafia di rango, un magistrato romano, il cassiere di Cosa Nostra, un esponente della manovalanza armata nera ed un uomo d'onore palermitano, vale a dire una sezione trasversale esatta dei domini che questa opera censisce, riuniti in un solo capo di imputazione e congedati da una sola formula liberatoria. L'ipotesi processata, quale che ne fosse il fondamento, aveva la forma stessa del grafo che il registro studia: e la sua caduta integrale consegna al metodo la lezione già enunciata nella Fase 1, che la topologia di un'accusa non ne costituisce la prova, per quanto perfettamente essa combaci con la topologia del sistema.</w:t>
      </w:r>
    </w:p>
    <w:p>
      <w:pPr>
        <w:spacing w:after="120" w:line="276"/>
        <w:jc w:val="both"/>
      </w:pPr>
      <w:r>
        <w:rPr>
          <w:rFonts w:ascii="Barlow Semi Condensed" w:cs="Barlow Semi Condensed" w:eastAsia="Barlow Semi Condensed" w:hAnsi="Barlow Semi Condensed"/>
          <w:sz w:val="24"/>
          <w:szCs w:val="24"/>
        </w:rPr>
        <w:t xml:space="preserve">Alla figura del giornalista va aggiunto il dato editoriale che la cronologia rende eloquente: Osservatore Politico, per un decennio agenzia di notizie riservate a diffusione ristretta, si trasformò in settimanale da edicola nel marzo 1978, sicché la sua stagione pubblica coincise, quasi al giorno, con il sequestro Moro, ed i mesi tra il marzo 1978 ed il marzo 1979, dall'agguato di via Fani all'agguato di via Orazio, delimitano l'esatta finestra in cui le anticipazioni del direttore sul caso uscirono dal circuito riservato dei pochi abbonati eccellenti per raggiungere il pubblico, Livello A quanto alla trasformazione editoriale ed alla sua cronologia. Il registro consegna la coincidenza alla sua doppia lettura, entrambe compatibili con i fatti certificati: la scelta imprenditoriale di capitalizzare in pubblico un patrimonio informativo maturato in privato, e l'innalzamento del profilo di rischio che quella scelta comportava, giacché la notizia riservata venduta ai pochi è merce di scambio e la medesima notizia stampata per tutti è merce bruciata, che vale una sola volta e costa, potenzialmente, molto di più. Tra le 2 economie dell'informazione, quella del ricatto implicito e quella della rivelazione, il direttore di OP attraversò il confine nel marzo 1978: ed un anno dopo, in quella stessa Roma, il confine attraversò lui.</w:t>
      </w:r>
    </w:p>
    <w:p>
      <w:pPr>
        <w:spacing w:after="120" w:line="276"/>
        <w:jc w:val="both"/>
      </w:pPr>
      <w:r>
        <w:rPr>
          <w:rFonts w:ascii="Barlow Semi Condensed" w:cs="Barlow Semi Condensed" w:eastAsia="Barlow Semi Condensed" w:hAnsi="Barlow Semi Condensed"/>
          <w:sz w:val="24"/>
          <w:szCs w:val="24"/>
        </w:rPr>
        <w:t xml:space="preserve">Al fascicolo dei rapporti tra il giornalista e gli apparati appartiene il reperto documentale maggiore, che il registro censisce per nome: il dossier del servizio militare noto con la sigla Mi.Fo.Biali, il fascicolo informativo sulle trame petrolifere, sui vertici della Guardia di Finanza e sui canali libici maturato a metà degli anni Settanta, i cui contenuti transitarono in misura documentata sulle colonne del settimanale di Pecorelli, che ne pubblicò materiali ed anticipazioni, secondo quanto le commissioni parlamentari hanno accertato ricostruendo il flusso dal fascicolo alla testata, Livello A quanto all'esistenza del dossier, ai suoi contenuti ed al transito documentato verso la pubblicazione. Il registro salda il reperto ai suoi 2 capi: a monte, il fascicolo documenta la materia censita nella fase seconda, il vertice delle Fiamme gialle iscritto alla loggia e travolto dalla vicenda dei petroli, confermando che gli apparati sapevano e schedavano in tempo reale ciò che la giustizia avrebbe accertato anni dopo; a valle, il transito verso la testata documenta il meccanismo che il capitolo ha descritto in tesi, il giornalismo di Pecorelli quale terminale selettivo di archivi riservati, e la circostanza che proprio questo dossier, con la sua materia esplosiva di petroli, divise e Libia, figuri tra le carte accertate del flusso, consegna al capitolo la sua conclusione documentale: il settimanale non pubblicava notizie, pubblicava atti, e la domanda che attraversa l'intero caso, chi scegliesse quali atti e quando, è rimasta, con l'assoluzione definitiva di ogni imputato per l'omicidio, la domanda senza risposta che il registro archivia quale irrisolto di seconda specie, quello in cui si conosce l'arma, il flusso ed il movente possibile, e manca soltanto, per sempre, la mano.</w:t>
      </w:r>
    </w:p>
    <w:p>
      <w:pPr>
        <w:spacing w:after="120" w:line="276"/>
        <w:jc w:val="both"/>
      </w:pPr>
      <w:r>
        <w:rPr>
          <w:rFonts w:ascii="Barlow Semi Condensed" w:cs="Barlow Semi Condensed" w:eastAsia="Barlow Semi Condensed" w:hAnsi="Barlow Semi Condensed"/>
          <w:sz w:val="24"/>
          <w:szCs w:val="24"/>
        </w:rPr>
        <w:t xml:space="preserve">La posizione del giornalista dentro il sistema che raccontava esige il suo censimento documentale: il nome di Pecorelli figura negli elenchi della loggia coperta sequestrati a Castiglion Fibocchi ed acquisiti dalla Commissione Anselmi, collocando il direttore del settimanale, con la disciplina costante dell'opera sul valore della mera iscrizione, dentro il perimetro associativo della struttura di intermediazione massima censita dal corpus, Livello A quanto alla risultanza dagli elenchi acquisiti. Il registro consegna il dato alla sua funzione interpretativa, che è doppia e non gerarchizzabile: l'appartenenza illumina l'accesso, spiegando per quale via un periodico marginale nelle tirature disponesse del flusso di atti riservati che il capitolo ha documentato, ed illumina simultaneamente la rottura, perché la stagione finale della testata, con le sue campagne contro ambienti del medesimo perimetro, configura il caso di un nodo interno al sistema che aveva cominciato a pubblicare contro il sistema, e l'omicidio del marzo 1979, rimasto senza colpevoli nei modi che il capitolo ha riportato per esteso, cade esattamente dentro questa torsione, con la conseguenza analitica che il registro affida al Pattern 5: nella rete dell'opera, Pecorelli occupava la posizione più pericolosa che il grafo conosca, quella del nodo che appartiene ad un cluster e informa contro di esso, ed il corpus non registra, in nessuna fase, un solo occupante di quella posizione morto nel proprio letto.</w:t>
      </w:r>
    </w:p>
    <w:p>
      <w:pPr>
        <w:spacing w:after="120" w:line="276"/>
        <w:jc w:val="both"/>
      </w:pPr>
      <w:r>
        <w:rPr>
          <w:rFonts w:ascii="Barlow Semi Condensed" w:cs="Barlow Semi Condensed" w:eastAsia="Barlow Semi Condensed" w:hAnsi="Barlow Semi Condensed"/>
          <w:sz w:val="24"/>
          <w:szCs w:val="24"/>
        </w:rPr>
        <w:t xml:space="preserve">Il caso ha prodotto infine il proprio monumento cartaceo, che il registro censisce quale fenomeno a sé: la bibliografia sul sequestro, accresciutasi senza interruzione per 5 decenni tra memorialistica dei protagonisti, inchieste giornalistiche, storiografia accademica, atti pubblicati e letteratura civile, ha fatto della vicenda l'evento singolo più scritto della storia repubblicana, un giacimento editoriale nel quale coesistono, senza gerarchia visibile per il lettore comune, il documento e la congettura, il giudicato e la fantasia, Livello A quanto alla consistenza del fenomeno. Il registro consegna il monumento alla sua ambivalenza: la sovrapproduzione ha garantito al caso la permanenza nella coscienza nazionale che altre vicende del corpus non ebbero, ed insieme ha generato il problema epistemologico che questa fase ha dovuto risolvere in premessa, l'indistinzione tra i livelli di prova nella memoria collettiva, sicché il lettore italiano medio sa del caso Moro più cose false che vere pur vivendo nel Paese che ne ha accertato più verità che su ogni altro proprio trauma, e l'opera, che di quel giacimento è insieme figlia e correzione, ha assunto per questo la disciplina che la distingue, la marcatura di ogni enunciato con il suo grado, perché il problema del caso Moro, a mezzo secolo dai fatti, non è più sapere, è distinguere ciò che si sa.</w:t>
      </w:r>
    </w:p>
    <w:p>
      <w:pPr>
        <w:spacing w:after="120" w:line="276"/>
        <w:jc w:val="both"/>
      </w:pPr>
      <w:r>
        <w:rPr>
          <w:rFonts w:ascii="Barlow Semi Condensed" w:cs="Barlow Semi Condensed" w:eastAsia="Barlow Semi Condensed" w:hAnsi="Barlow Semi Condensed"/>
          <w:b/>
          <w:bCs/>
          <w:sz w:val="24"/>
          <w:szCs w:val="24"/>
        </w:rPr>
        <w:t xml:space="preserve">Sintesi del dato nuovo acquisito:</w:t>
      </w:r>
      <w:r>
        <w:rPr>
          <w:rFonts w:ascii="Barlow Semi Condensed" w:cs="Barlow Semi Condensed" w:eastAsia="Barlow Semi Condensed" w:hAnsi="Barlow Semi Condensed"/>
          <w:sz w:val="24"/>
          <w:szCs w:val="24"/>
        </w:rPr>
        <w:t xml:space="preserve"> il nodo Pecorelli è certificato al Livello A quale direttore di OP assassinato il 20 marzo 1979 e quale autore di pubblicazioni e anticipazioni sul caso Moro fondate, al Livello B, su accesso reale a materiali riservati; l'assoluzione definitiva di Andreotti e Badalamenti, pronunciata dalla Cassazione il 30 ottobre 2003 con annullamento senza rinvio della condanna d'appello, è riportata per esteso, e l'omicidio resta privo di qualsiasi condannato, con l'ipotesi del movente moroteo ferma al Livello C nella qualificazione aggravata; gli archi documentati verso l'orbita della Magliana, nella duplice intersezione di Chichiarelli, e verso il memoriale sono certificati al Livello B e consegnano il nodo alla lettura reticolare quale cerniera tra il Dominio 8, il quadrilatero romano e il caso.</w:t>
      </w:r>
    </w:p>
    <w:p>
      <w:pPr>
        <w:pStyle w:val="Heading3"/>
        <w:spacing w:after="80" w:before="160"/>
      </w:pPr>
      <w:r>
        <w:rPr>
          <w:rFonts w:ascii="Barlow Semi Condensed" w:cs="Barlow Semi Condensed" w:eastAsia="Barlow Semi Condensed" w:hAnsi="Barlow Semi Condensed"/>
          <w:sz w:val="24"/>
          <w:szCs w:val="24"/>
        </w:rPr>
        <w:t xml:space="preserve">Capitolo 9 — ▶ Carlo Alberto Dalla Chiesa. Il generale dei 2 fronti e i 100 giorni di Palermo</w:t>
      </w:r>
    </w:p>
    <w:p>
      <w:pPr>
        <w:spacing w:after="120" w:line="276"/>
        <w:jc w:val="both"/>
      </w:pPr>
      <w:r>
        <w:rPr>
          <w:rFonts w:ascii="Barlow Semi Condensed" w:cs="Barlow Semi Condensed" w:eastAsia="Barlow Semi Condensed" w:hAnsi="Barlow Semi Condensed"/>
          <w:sz w:val="24"/>
          <w:szCs w:val="24"/>
        </w:rPr>
        <w:t xml:space="preserve">Carlo Alberto Dalla Chiesa, generale dell'Arma dei carabinieri, protagonista della sconfitta militare del terrorismo brigatista e successivamente prefetto di Palermo, assassinato con la moglie e l'agente di scorta il 3 settembre 1982, è il nodo-persona che salda la fase al versante antimafia dell'opera e che il registro tratta nei suoi 2 fronti, con la cerniera documentale che li unisce: il memoriale Moro. La scansione del corpus registra Dalla Chiesa 308 volte in 26 documenti.</w:t>
      </w:r>
    </w:p>
    <w:p>
      <w:pPr>
        <w:spacing w:after="120" w:line="276"/>
        <w:jc w:val="both"/>
      </w:pPr>
      <w:r>
        <w:rPr>
          <w:rFonts w:ascii="Barlow Semi Condensed" w:cs="Barlow Semi Condensed" w:eastAsia="Barlow Semi Condensed" w:hAnsi="Barlow Semi Condensed"/>
          <w:sz w:val="24"/>
          <w:szCs w:val="24"/>
        </w:rPr>
        <w:t xml:space="preserve">Il primo pilastro è il fronte antiterrorismo, certificato al Livello A. Nell'estate del 1978, all'indomani della conclusione del sequestro, Dalla Chiesa fu posto a capo, con decreto interministeriale e poteri speciali di coordinamento, della struttura antiterrorismo incaricata della lotta alle organizzazioni armate: sotto la sua direzione, i reparti speciali conseguirono in pochi anni i risultati che la stagione precedente non aveva raggiunto, a cominciare dall'irruzione del 1 ottobre 1978 nel covo di via Monte Nevoso, con la cattura di dirigenti dell'organizzazione e il sequestro del primo compendio del memoriale, sino alla progressiva disarticolazione delle colonne, alimentata dalla legislazione premiale sulla dissociazione che il generale sostenne. Il registro certifica al Livello A la titolarità, i poteri e i risultati della stagione antiterrorismo, e certifica al medesimo livello la posizione del generale nella catena di custodia del primo ritrovamento del memoriale, quale fatto che lo colloca al centro della vicenda documentale censita nel capitolo 5: le questioni sulla gestione di quel materiale, ivi compresa quella della completezza della trasmissione, sono state sollevate nelle sedi parlamentari anche con riferimento alla catena del 1978, e il registro le mantiene, per la parte non risolta, al Livello C, entro il perimetro già tracciato.</w:t>
      </w:r>
    </w:p>
    <w:p>
      <w:pPr>
        <w:spacing w:after="120" w:line="276"/>
        <w:jc w:val="both"/>
      </w:pPr>
      <w:r>
        <w:rPr>
          <w:rFonts w:ascii="Barlow Semi Condensed" w:cs="Barlow Semi Condensed" w:eastAsia="Barlow Semi Condensed" w:hAnsi="Barlow Semi Condensed"/>
          <w:sz w:val="24"/>
          <w:szCs w:val="24"/>
        </w:rPr>
        <w:t xml:space="preserve">Il secondo pilastro è il fronte antimafia e l'assassinio, certificato al Livello A nei giudicati. Nell'aprile 1982, nel pieno dell'offensiva corleonese, Dalla Chiesa fu nominato prefetto di Palermo, con un mandato di contrasto alla mafia che egli stesso, in interventi pubblici e in un colloquio giornalistico divenuto celebre, dichiarò di volere esteso ai rapporti tra l'organizzazione e il sistema politico-affaristico, lamentando al contempo di non aver ricevuto i poteri speciali richiesti; il suo insediamento avvenne il 30 aprile 1982, il giorno dell'assassinio di Pio La Torre, e la sua azione durò 100 giorni. La sera del 3 settembre 1982, in via Isidoro Carini, un commando di fuoco affiancò l'utilitaria sulla quale il prefetto viaggiava con la moglie Emanuela Setti Carraro e l'auto dell'agente di scorta Domenico Russo, uccidendo i primi 2 sul colpo e ferendo mortalmente il terzo, spirato giorni dopo: il registro trascrive i 3 nomi quale atto dovuto. I procedimenti si conclusero con le condanne irrevocabili dei componenti della commissione provinciale di Cosa Nostra quali mandanti, tra i quali ancora Salvatore Riina e Giuseppe Calò, e di esecutori individuati dell'ala militare corleonese: il registro certifica al Livello A il mandato mafioso e le condanne, e annota il richiamo interno divenuto sistematico: il nodo Calò, certificato nella Fase 1 quale cassiere e condannato per la strage del rapido 904, compare ora per la terza volta tra i mandanti giudicati degli eventi capitali, dopo l'omicidio Mattarella, componendo nella sua sola posizione giudiziaria l'arco che unisce il quadrilatero romano, la stagione degli omicidi politici siciliani e la strage ferroviaria del 1984.</w:t>
      </w:r>
    </w:p>
    <w:p>
      <w:pPr>
        <w:spacing w:after="120" w:line="276"/>
        <w:jc w:val="both"/>
      </w:pPr>
      <w:r>
        <w:rPr>
          <w:rFonts w:ascii="Barlow Semi Condensed" w:cs="Barlow Semi Condensed" w:eastAsia="Barlow Semi Condensed" w:hAnsi="Barlow Semi Condensed"/>
          <w:sz w:val="24"/>
          <w:szCs w:val="24"/>
        </w:rPr>
        <w:t xml:space="preserve">Il terzo pilastro è il campo delle questioni aperte attorno all'assassinio, che il registro censisce con la graduazione dovuta. La prima questione è quella del movente composito: le sentenze fondarono il mandato sulla minaccia che l'azione del prefetto rappresentava per l'organizzazione, e le sedi parlamentari e storiografiche hanno documentato la lettura, alimentata dalle dichiarazioni pubbliche dello stesso generale sull'isolamento in cui operava, per cui l'eliminazione fu resa possibile o accelerata dall'assenza di protezione politica; il registro certifica al Livello A le denunce di isolamento del prefetto, quali fatti documentali, e mantiene al Livello C ogni ricostruzione di concorsi o inerzie deliberate esterni all'organizzazione mandante, che nessun giudicato ha accertato. La seconda questione è quella dei documenti: la cassaforte della prefettura e le carte personali del generale furono oggetto, nelle ricostruzioni dei familiari e nelle sedi d'inchiesta, di rilievi circa sottrazioni o incompletezze nei materiali rinvenuti dopo l'assassinio, con particolare riferimento a carte attinenti alla stagione antiterrorismo e al memoriale; il registro certifica al Livello B l'esistenza storica della controversia sui materiali, quale dato documentato dalle fonti parlamentari e testimoniali, e mantiene al Livello C ogni ricostruzione del contenuto di eventuali carte mancanti, dichiarando che questo è il terzo buco documentale della fase, dopo gli originali del memoriale e gli archivi di Hyperion, e che la ricorrenza della figura, l'archivio del protagonista che non giunge integro all'accertamento, è essa stessa un pattern che il registro consegna alla lettura conclusiva.</w:t>
      </w:r>
    </w:p>
    <w:p>
      <w:pPr>
        <w:spacing w:after="120" w:line="276"/>
        <w:jc w:val="both"/>
      </w:pPr>
      <w:r>
        <w:rPr>
          <w:rFonts w:ascii="Barlow Semi Condensed" w:cs="Barlow Semi Condensed" w:eastAsia="Barlow Semi Condensed" w:hAnsi="Barlow Semi Condensed"/>
          <w:sz w:val="24"/>
          <w:szCs w:val="24"/>
        </w:rPr>
        <w:t xml:space="preserve">Il quarto pilastro è il contenuto dei 100 giorni palermitani, che il registro espone quale documentazione del movente giudicato. L'azione del prefetto si sviluppò su 3 direttrici documentate: la ricognizione diretta del territorio e delle sue ferite, con la presenza fisica nei luoghi del dominio mafioso che la memorialistica della stagione ha consegnato; l'impostazione di un contrasto patrimoniale e amministrativo, con l'attenzione dichiarata agli appalti, ai flussi finanziari e alle connessioni tra l'organizzazione e l'economia legale, in continuità con l'intuizione che la stagione successiva avrebbe trasformato in metodo; e la richiesta insistita di poteri di coordinamento nazionali antimafia, formalizzata al governo e rimasta inevasa sino alla vigilia dell'assassinio. A questa azione appartiene il documento pubblico più citato della stagione, l'intervista concessa a Giorgio Bocca e pubblicata il 10 agosto 1982, nella quale il prefetto formulò la diagnosi divenuta canonica, per cui si è uccisi in genere perché si è soli, isolati dal potere che dovrebbe sostenere chi combatte, e denunciò apertamente la sproporzione tra il mandato ricevuto e gli strumenti concessi. Il registro certifica al Livello A le 3 direttrici, la richiesta inevasa dei poteri e l'intervista, quali fatti documentali; e ne dichiara la funzione probatoria: i 100 giorni documentano, dalla viva voce e dagli atti del protagonista, tanto la natura della minaccia che egli rappresentava per l'organizzazione, il fondamento del movente che i giudicati avrebbero accertato, quanto la condizione di isolamento in cui la rappresentava, il fondamento documentale delle questioni che il pilastro successivo censisce; e la compresenza delle 2 dimensioni nello stesso corpus documentale è la ragione per cui il nodo esige, più di ogni altro della fase, la separazione dei piani che il registro pratica.</w:t>
      </w:r>
    </w:p>
    <w:p>
      <w:pPr>
        <w:spacing w:after="120" w:line="276"/>
        <w:jc w:val="both"/>
      </w:pPr>
      <w:r>
        <w:rPr>
          <w:rFonts w:ascii="Barlow Semi Condensed" w:cs="Barlow Semi Condensed" w:eastAsia="Barlow Semi Condensed" w:hAnsi="Barlow Semi Condensed"/>
          <w:sz w:val="24"/>
          <w:szCs w:val="24"/>
        </w:rPr>
        <w:t xml:space="preserve">Il quinto pilastro è il contesto della nomina, che il registro fissa per la comprensione dei 100 giorni. La designazione di Dalla Chiesa alla prefettura di Palermo maturò nell'aprile 1982 quale risposta dello Stato all'escalation della seconda guerra di mafia, l'offensiva con cui lo schieramento corleonese stava eliminando, con centinaia di morti, le famiglie avverse e chiunque ostacolasse la conquista dell'organizzazione; il generale pose condizioni sui poteri, ottenne assicurazioni verbali e non il decreto richiesto, e il suo insediamento avvenne il 30 aprile 1982, il giorno stesso dell'assassinio di Pio La Torre, sicché il prefetto entrò in carica accompagnando il feretro dell'uomo politico che aveva chiesto la sua nomina e che aveva depositato la proposta di legge sul reato associativo e sui patrimoni. Il registro certifica al Livello A la sequenza della nomina, delle condizioni poste e della coincidenza dell'insediamento, quali fatti documentali, e annota la saldatura legislativa che ne seguì: la legge sull'associazione di tipo mafioso e sulle misure patrimoniali, approvata nel settembre 1982 sull'onda dell'assassinio del prefetto e intitolata ai 2 nomi di Rognoni e La Torre, è l'atto con cui lo Stato trasse dalla stagione dei suoi caduti lo strumento che le fasi precedenti dell'opera hanno visto operare, dal Maxiprocesso alle confische; il registro certifica al Livello A la filiazione temporale e politica della legge dalla sequenza degli assassinii, quale dato storico, e la consegna al quadro dell'opera quale esempio massimo della dinamica per cui, nel campo studiato, gli strumenti dell'accertamento e del contrasto sono nati, quasi sempre, dal sangue e non dalla previsione.</w:t>
      </w:r>
    </w:p>
    <w:p>
      <w:pPr>
        <w:spacing w:after="120" w:line="276"/>
        <w:jc w:val="both"/>
      </w:pPr>
      <w:r>
        <w:rPr>
          <w:rFonts w:ascii="Barlow Semi Condensed" w:cs="Barlow Semi Condensed" w:eastAsia="Barlow Semi Condensed" w:hAnsi="Barlow Semi Condensed"/>
          <w:sz w:val="24"/>
          <w:szCs w:val="24"/>
        </w:rPr>
        <w:t xml:space="preserve">Il sesto pilastro distende la biografia anteriore, che fonda la singolarità del nodo. Nato a Saluzzo nel 1920, figlio di un alto ufficiale dell'Arma, partecipò alla Resistenza e percorse la carriera nei reparti territoriali sino al primo incontro con la Sicilia: capitano a Corleone alla fine degli anni Quaranta, condusse le indagini sulla scomparsa del sindacalista Placido Rizzotto, rapito e ucciso nel marzo 1948, giungendo all'individuazione dei resti nella foiba di Rocca Busambra e all'incriminazione di Luciano Liggio e dei suoi uomini, poi assolti per insufficienza di prove: il registro certifica al Livello A l'inchiesta e il suo esito, nomina la vittima, e annota che la prima esperienza siciliana del futuro prefetto si chiuse con la lezione che avrebbe accompagnato l'intera storia dell'antimafia, l'evaporazione dibattimentale delle prove raccolte, la distanza tra il sapere investigativo e il provare processuale che l'opera ha censito in ogni fase. Tornato in Sicilia da colonnello alla fine degli anni Sessanta, al comando della legione di Palermo negli anni della prima guerra di mafia e della Commissione antimafia, produsse i rapporti sulle cosche e sui loro collegamenti che alimentarono i procedimenti dell'epoca; trasferito al nord, comandò la brigata di Torino negli anni dell'emergenza terroristica nascente, e nel 1974 costituì il primo nucleo speciale antiterrorismo, l'unità che, con l'infiltrazione di Girotto, catturò Curcio e Franceschini: il registro salda qui il filo già annotato nel capitolo dell'organizzazione, certificando al Livello A che il duello tra il generale e le Brigate Rosse cominciò 4 anni prima del caso Moro, con una vittoria del primo, e che la sua chiamata del 1978 fu la riattivazione di una competenza già dimostrata.</w:t>
      </w:r>
    </w:p>
    <w:p>
      <w:pPr>
        <w:spacing w:after="120" w:line="276"/>
        <w:jc w:val="both"/>
      </w:pPr>
      <w:r>
        <w:rPr>
          <w:rFonts w:ascii="Barlow Semi Condensed" w:cs="Barlow Semi Condensed" w:eastAsia="Barlow Semi Condensed" w:hAnsi="Barlow Semi Condensed"/>
          <w:sz w:val="24"/>
          <w:szCs w:val="24"/>
        </w:rPr>
        <w:t xml:space="preserve">Il settimo pilastro distende la stagione 1978-1981, il triennio della vittoria sul terrorismo. Investito nell'agosto 1978, con provvedimento interministeriale, del coordinamento delle forze antiterrorismo con poteri speciali e riservatezza operativa, il generale costruì una struttura selezionata di ufficiali e sottufficiali sottratta alle gerarchie ordinarie, e i risultati seguirono in sequenza: l'irruzione del 1 ottobre 1978 in via Monte Nevoso, con la cattura di dirigenti della colonna milanese tra cui Lauro Azzolini e Franco Bonisoli, uomini del vertice dell'organizzazione, e il sequestro del primo compendio del memoriale; la progressione delle catture del 1979; e la svolta del 1980, la collaborazione di Patrizio Peci, capo della colonna torinese arrestato in febbraio, primo dirigente dell'organizzazione a rompere il vincolo, le cui dichiarazioni, gestite dalla struttura del generale, disarticolarono le colonne e condussero, tra l'altro, all'irruzione genovese di via Fracchia del 28 marzo 1980, nella quale 4 militanti della colonna ligure caddero nel blitz. Alla collaborazione di Peci l'organizzazione rispose con la rappresaglia che il registro trascrive quale atto dovuto: il sequestro e l'assassinio, nell'estate 1981, del fratello Roberto Peci, ucciso il 3 agosto dopo 54 giorni di prigionia e un processo proletario filmato, il contrappasso atroce della durata quasi identica a quella del sequestro Moro; il registro certifica al Livello A la sequenza, nomina la vittima, e annota che la stagione consegnò al Paese la sconfitta militare del terrorismo brigatista e al generale la reputazione che ne fece, nel 1982, l'uomo della nuova emergenza. La legislazione premiale sulla dissociazione e sulla collaborazione, che il generale sostenne pubblicamente e che i governi vararono tra il 1979 e il 1982, è certificata al Livello A quale cornice normativa della vittoria, e il registro ne annota la filiazione: lo strumento che avrebbe aperto, pochi anni dopo, la stagione dei collaboratori di mafia nacque sul terreno del terrorismo, e il suo primo grande gestore fu l'uomo che Palermo avrebbe ricevuto quale prefetto.</w:t>
      </w:r>
    </w:p>
    <w:p>
      <w:pPr>
        <w:spacing w:after="120" w:line="276"/>
        <w:jc w:val="both"/>
      </w:pPr>
      <w:r>
        <w:rPr>
          <w:rFonts w:ascii="Barlow Semi Condensed" w:cs="Barlow Semi Condensed" w:eastAsia="Barlow Semi Condensed" w:hAnsi="Barlow Semi Condensed"/>
          <w:sz w:val="24"/>
          <w:szCs w:val="24"/>
        </w:rPr>
        <w:t xml:space="preserve">L'ottavo pilastro censisce le carte del generale, il versante documentale del nodo. La famiglia consegnò alle autorità, dopo l'assassinio, i diari e le agende del prefetto, e da quel compendio emerse il documento più citato della stagione, l'annotazione del 5 aprile 1982 sull'incontro romano con Giulio Andreotti alla vigilia della partenza per Palermo: in essa il generale registra di avere rappresentato al presidente della corrente che non avrebbe avuto riguardi per la componente andreottiana siciliana del partito, fissando per iscritto, dalla propria mano, la percezione del terreno politico che lo attendeva; l'annotazione fu prodotta e discussa nei giudizi degli anni Novanta sul rapporto tra il senatore e Cosa Nostra, ed è agli atti. Il registro certifica al Livello A l'esistenza, la data, la produzione processuale e il tenore dell'annotazione, quale documento autografo acquisito, e mantiene al livello proprio di ciascuna lettura ogni inferenza ulteriore; al medesimo versante appartiene la questione della borsa: gli atti e le testimonianze documentano che la borsa portadocumenti che il generale recava con sé non risulta tra i reperti inventariati della scena di via Carini, e la sua sorte non è mai stata accertata; il registro certifica al Livello B la mancata inventariazione, quale convergenza delle risultanze delle inchieste, e la iscrive nel novero dei vuoti documentali della fase, accanto alle carte dell'archivio personale la cui integrità è questione censita, annotando che il pattern della sottrazione documentale contestuale all'eliminazione, aperto dalle borse di via Fani, si richiude, a distanza di 4 anni e su un altro fronte, sull'ultimo protagonista della fase.</w:t>
      </w:r>
    </w:p>
    <w:p>
      <w:pPr>
        <w:spacing w:after="120" w:line="276"/>
        <w:jc w:val="both"/>
      </w:pPr>
      <w:r>
        <w:rPr>
          <w:rFonts w:ascii="Barlow Semi Condensed" w:cs="Barlow Semi Condensed" w:eastAsia="Barlow Semi Condensed" w:hAnsi="Barlow Semi Condensed"/>
          <w:sz w:val="24"/>
          <w:szCs w:val="24"/>
        </w:rPr>
        <w:t xml:space="preserve">Il nono pilastro distende l'accertamento giudiziario dell'omicidio, quale la disciplina degli esiti impone. Le indagini rimasero senza svolta sino alla stagione delle collaborazioni: a metà degli anni Novanta le confessioni di componenti del gruppo di fuoco corleonese, tra cui Calogero Ganci e Francesco Paolo Anzelmo, consentirono la ricostruzione integrale dell'agguato di via Carini, l'identificazione degli esecutori, tra i quali fu condannato in via definitiva Antonino Madonia, e la conferma del quadro dei mandanti nella commissione di Cosa Nostra, i cui componenti riportarono gli ergastoli già censiti; le sentenze, divenute irrevocabili tra la fine degli anni Novanta e i primi anni Duemila, fissarono il movente nella minaccia rappresentata dall'azione del prefetto e dalla prospettiva dei poteri di coordinamento richiesti. Il registro certifica al Livello A la ricostruzione, gli esecutori e i mandanti giudicati, quale esito consolidato del piano primo del nodo, e ribadisce la decomposizione già dichiarata: il piano primo è saturo, con la peculiarità che la saturazione giunse, come per il caso Moro, per via confessoria interna e a distanza di 14 anni; il piano secondo, la solitudine istituzionale documentata e le anomalie del dopo, resta censito nei fatti certificati del quarto pilastro; e il piano terzo, l'ipotesi di convergenze di interessi esterni all'organizzazione nella rimozione del prefetto, resta al Livello C, esplorato dalle inchieste sui cosiddetti mandanti occulti e chiuso con archiviazioni che il registro trascrive quale esito, annotando che la struttura a 3 piani della fase si replica dunque, con esattezza speculare, sul suo ultimo nodo.</w:t>
      </w:r>
    </w:p>
    <w:p>
      <w:pPr>
        <w:spacing w:after="120" w:line="276"/>
        <w:jc w:val="both"/>
      </w:pPr>
      <w:r>
        <w:rPr>
          <w:rFonts w:ascii="Barlow Semi Condensed" w:cs="Barlow Semi Condensed" w:eastAsia="Barlow Semi Condensed" w:hAnsi="Barlow Semi Condensed"/>
          <w:sz w:val="24"/>
          <w:szCs w:val="24"/>
        </w:rPr>
        <w:t xml:space="preserve">Il decimo pilastro censisce la memoria e la funzione fondativa del nodo. L'assassinio del 3 settembre 1982 produsse, nella sequenza certificata, la legge Rognoni-La Torre entro il mese, la costituzione del sistema dei poteri antimafia prefettizi e investigativi degli anni successivi, e la consegna alla stagione del pool palermitano, che la Fase 1 ha censito, del metodo e degli uomini: il registro certifica al Livello A la filiazione istituzionale, quale dato normativo e storico, e chiude il nodo con la formalizzazione comparativa che la fase gli deve: Carlo Alberto Dalla Chiesa è, nell'intero grafo dell'opera, il nodo individuale che congiunge il maggior numero di teatri con funzione sempre avversa alle reti studiate, Corleone nel 1948, l'antimafia dei rapporti negli anni Sessanta, la vittoria sul terrorismo tra il 1974 e il 1981, la custodia del memoriale nel 1978, Palermo nel 1982, e la sua eliminazione, giudizialmente attribuita al solo Dominio 1, chiude la fase con il dato che il bilancio conclusivo recepirà: l'uomo che aveva sconfitto il terrorismo con gli strumenti dello Stato fu ucciso dalla mafia nella solitudine documentata dello Stato medesimo, e la distanza tra le 2 metà di questa frase, entrambe certificate, è l'esatta misura del campo che l'opera studia.</w:t>
      </w:r>
    </w:p>
    <w:p>
      <w:pPr>
        <w:spacing w:after="120" w:line="276"/>
        <w:jc w:val="both"/>
      </w:pPr>
      <w:r>
        <w:rPr>
          <w:rFonts w:ascii="Barlow Semi Condensed" w:cs="Barlow Semi Condensed" w:eastAsia="Barlow Semi Condensed" w:hAnsi="Barlow Semi Condensed"/>
          <w:sz w:val="24"/>
          <w:szCs w:val="24"/>
        </w:rPr>
        <w:t xml:space="preserve">L'undicesimo pilastro censisce il contesto criminale nel quale la nomina si iscrisse, la seconda guerra di mafia, e nomina le vittime eccellenti che ne scandirono la stagione. L'offensiva corleonese guidata da Totò Riina, avviata all'inizio degli anni Ottanta, produsse nel triennio 1981-1983 centinaia di morti nella sola provincia di Palermo e una sequenza di delitti eccellenti che il registro censisce quali termini del contesto: l'omicidio del presidente della Regione siciliana Piersanti Mattarella il 6 gennaio 1980, che la Fase 1 ha censito; l'omicidio del capo della squadra mobile Boris Giuliano nel 1979; l'omicidio del procuratore Gaetano Costa nel 1980; l'omicidio del segretario regionale comunista e deputato Pio La Torre, con Rosario Di Salvo, il 30 aprile 1982, il giorno dell'insediamento del prefetto; e, a coronamento della stagione, l'assassinio del prefetto stesso, con Emanuela Setti Carraro e l'agente Domenico Russo, il 3 settembre 1982. Il registro certifica al Livello A la sequenza e le date, quali dati storici e giudiziari, nomina le vittime, e ne dichiara la funzione: la nomina di Dalla Chiesa e la sua eliminazione non furono eventi isolati ma i 2 estremi di una stagione di guerra nella quale l'organizzazione corleonese eliminò sistematicamente i vertici dello Stato, della politica e della magistratura che ne ostacolavano la conquista del potere assoluto interno, e il prefetto fu, in questa lettura certificata dai giudicati, il bersaglio di massimo profilo di una strategia di supremazia che il Maxiprocesso, nato dal metodo che la sua morte contribuì a fondare, avrebbe pochi anni dopo giudicato; il registro consegna la serie quale contesto certificato del nodo e quale saldatura documentale con la Fase 1, annotando che la seconda guerra di mafia è il teatro in cui il Dominio 1 raggiunse la massima autonomia strategica dell'intera storia repubblicana, uccidendo i rappresentanti degli altri domini non quale strumento di alcuno ma quale soggetto sovrano del proprio disegno, un dato che il bilancio conclusivo dell'opera dovrà pesare contro ogni lettura meramente strumentale della criminalità organizzata.</w:t>
      </w:r>
    </w:p>
    <w:p>
      <w:pPr>
        <w:spacing w:after="120" w:line="276"/>
        <w:jc w:val="both"/>
      </w:pPr>
      <w:r>
        <w:rPr>
          <w:rFonts w:ascii="Barlow Semi Condensed" w:cs="Barlow Semi Condensed" w:eastAsia="Barlow Semi Condensed" w:hAnsi="Barlow Semi Condensed"/>
          <w:sz w:val="24"/>
          <w:szCs w:val="24"/>
        </w:rPr>
        <w:t xml:space="preserve">Il dodicesimo pilastro censisce la dinamica dell'agguato di via Isidoro Carini, quale i giudicati la consegnano. La sera del 3 settembre 1982, intorno alle 21:15, la A112 con Emanuela Setti Carraro alla guida e il prefetto al suo fianco, diretta dalla prefettura verso l'abitazione, fu affiancata nella via da un commando su più veicoli, tra cui la motocicletta e le vetture che le ricostruzioni processuali hanno fissato, e investita dal fuoco di armi automatiche, tra le quali il fucile d'assalto kalashnikov che le perizie identificarono, un'arma da guerra la cui comparsa segnò il salto di potenza militare dell'organizzazione; il prefetto e la moglie furono uccisi sul colpo, mentre l'agente Domenico Russo, alla guida dell'auto di accompagnamento e raggiunto dal fuoco, morì dopo giorni di agonia; la sproporzione tra il dispositivo aggressore e la protezione della vittima, un prefetto antimafia che viaggiava di sera su un'utilitaria non protetta guidata dalla moglie, con una sola auto al seguito, fu rilevata da ogni sede di accertamento e appartiene alla serie delle denunce di isolamento che il quarto pilastro ha censito. Il registro certifica al Livello A la dinamica, l'orario, le armi e le vittime, quali risultanze dei giudicati, nomina ancora Emanuela Setti Carraro e Domenico Russo accanto a Carlo Alberto Dalla Chiesa, e ne trae l'annotazione comparativa che la fase gli deve: l'agguato di via Carini replica, a 4 anni e mezzo di distanza, la struttura di via Fani, l'annientamento in strada di un obiettivo di massimo valore protetto secondo procedure ordinarie, e la replica della configurazione, mutati il dominio esecutore e la città, certifica che la lezione della vulnerabilità non era stata appresa dall'ordinamento, un dato di sistema che il registro consegna, quale fatto comparativo tra i 2 vertici della fase, al bilancio conclusivo dell'opera.</w:t>
      </w:r>
    </w:p>
    <w:p>
      <w:pPr>
        <w:spacing w:after="120" w:line="276"/>
        <w:jc w:val="both"/>
      </w:pPr>
      <w:r>
        <w:rPr>
          <w:rFonts w:ascii="Barlow Semi Condensed" w:cs="Barlow Semi Condensed" w:eastAsia="Barlow Semi Condensed" w:hAnsi="Barlow Semi Condensed"/>
          <w:sz w:val="24"/>
          <w:szCs w:val="24"/>
        </w:rPr>
        <w:t xml:space="preserve">Il tredicesimo pilastro censisce l'ultimo lascito investigativo, il rapporto dei 162 e la filiazione del Maxiprocesso. Nel luglio 1982, nelle settimane della prefettura palermitana, le forze investigative della città consegnarono all'autorità giudiziaria il rapporto congiunto di denuncia contro 162 esponenti delle famiglie mafiose, la più vasta ricostruzione unitaria dell'organizzazione sino ad allora prodotta, elaborata con il metodo della lettura complessiva dei patrimoni, delle parentele e delle guerre interne che il generale aveva portato dall'antiterrorismo e che i suoi interlocutori investigativi palermitani condividevano; il rapporto, depositato nelle settimane a cavallo dell'assassinio, divenne una delle basi documentali dell'istruttoria che, unita alle collaborazioni della stagione successiva e al lavoro del pool censito nella Fase 1, avrebbe prodotto il Maxiprocesso; il registro certifica al Livello A l'esistenza, la data, la consistenza e la funzione istruttoria del rapporto, quali dati documentali, e ne trae la formalizzazione genealogica che chiude il nodo: la linea che va dal metodo antiterrorismo del generale al rapporto dei 162, dal rapporto all'istruttoria, dall'istruttoria al Maxiprocesso e dal Maxiprocesso alla sentenza definitiva del 1992 che consacrò il teorema dell'unitarietà di Cosa Nostra è una filiazione documentale continua, ricostruibile atto per atto, e costituisce la dimostrazione storica che la fase consegna al bilancio dell'opera: l'uomo fu eliminato, il metodo no, e la distanza temporale tra l'assassinio del 3 settembre 1982 e la vittoria giudiziaria del gennaio 1992 misura esattamente il decennio che il sistema criminale guadagnò con l'eliminazione e che lo Stato impiegò a percorrere la strada che il generale aveva indicato; il registro trascrive la filiazione quale fatto certificato e la consegna, quale ultimo arco del nodo, alla lettura reticolare conclusiva.</w:t>
      </w:r>
    </w:p>
    <w:p>
      <w:pPr>
        <w:spacing w:after="120" w:line="276"/>
        <w:jc w:val="both"/>
      </w:pPr>
      <w:r>
        <w:rPr>
          <w:rFonts w:ascii="Barlow Semi Condensed" w:cs="Barlow Semi Condensed" w:eastAsia="Barlow Semi Condensed" w:hAnsi="Barlow Semi Condensed"/>
          <w:sz w:val="24"/>
          <w:szCs w:val="24"/>
        </w:rPr>
        <w:t xml:space="preserve">Il quattordicesimo pilastro censisce la questione dei poteri, il nucleo documentale della solitudine istituzionale. La nomina prefettizia del 30 aprile 1982 fu accompagnata dall'impegno pubblico del governo al conferimento di poteri straordinari di coordinamento antimafia a proiezione nazionale, lo strumento che il generale aveva posto quale condizione dell'incarico e che la sua esperienza antiterrorismo gli indicava quale requisito minimo dell'efficacia; i poteri non furono mai formalmente conferiti nei 127 giorni della prefettura, e la questione della loro attesa attraversa la documentazione della stagione sino all'atto pubblico terminale, l'intervista concessa a Giorgio Bocca e pubblicata il 10 agosto 1982, nella quale il prefetto denunciò apertamente la condizione di isolamento in cui operava, la mancata attribuzione degli strumenti promessi e la solitudine dell'uomo dello Stato lasciato esposto, con la lucidità che la rilettura postuma avrebbe consacrato quale testamento civile; 24 giorni dopo l'intervista, il prefetto fu assassinato. Il registro certifica al Livello A l'impegno pubblico al conferimento, la mancata attribuzione formale e l'esistenza, la data e il tenore dell'intervista, quali dati documentali, e ne dichiara la funzione nel nodo: la sequenza nomina-attesa-denuncia-eliminazione è la struttura certificata del piano secondo del caso, e la circostanza che la vittima abbia essa stessa documentato pubblicamente, in vita, la propria condizione di esposizione costituisce un unicum nell'intera opera, il solo caso in cui il piano secondo è attestato non da ricostruzioni postume ma dalla voce datata del protagonista; il registro trascrive l'unicum con il rilievo che gli compete e mantiene, quale sempre, il divieto sul passaggio dalla condizione documentata di abbandono a qualsivoglia lettura di intenzionalità, che i giudicati non hanno accertato e che il piano terzo custodisce al livello proprio.</w:t>
      </w:r>
    </w:p>
    <w:p>
      <w:pPr>
        <w:spacing w:after="120" w:line="276"/>
        <w:jc w:val="both"/>
      </w:pPr>
      <w:r>
        <w:rPr>
          <w:rFonts w:ascii="Barlow Semi Condensed" w:cs="Barlow Semi Condensed" w:eastAsia="Barlow Semi Condensed" w:hAnsi="Barlow Semi Condensed"/>
          <w:sz w:val="24"/>
          <w:szCs w:val="24"/>
        </w:rPr>
        <w:t xml:space="preserve">Il quindicesimo pilastro adempie, per le 2 vittime accanto al generale, la disciplina della nominazione. Emanuela Setti Carraro, infermiera volontaria della Croce Rossa, aveva sposato Carlo Alberto Dalla Chiesa nel luglio 1982, poche settimane prima dell'agguato, e aveva scelto di seguirlo a Palermo condividendone la condizione di esposizione che la stagione documentava; la sera del 3 settembre era alla guida della A112 e fu uccisa con il marito, a meno di 2 mesi dal matrimonio. Domenico Russo, agente della Polizia di Stato, era alla guida dell'auto di accompagnamento e fu raggiunto dal fuoco del commando mentre seguiva la vettura del prefetto; morì dopo giorni di agonia, ultimo caduto della sequenza. Il registro certifica al Livello A i profili e le circostanze, quali dati degli atti, li nomina quale atto dovuto, e ne trae l'annotazione che la disciplina delle vittime della fase impone: la sproporzione tra la condizione delle 2 vittime, una sposa alla guida di un'utilitaria e un agente solo su un'auto di serie, e la natura dell'obiettivo che accompagnavano, il primo bersaglio della più potente organizzazione criminale del Paese, è essa stessa la certificazione materiale dell'isolamento che il quarto e il quattordicesimo pilastro hanno documentato per via testimoniale e documentale, giacché il dispositivo di protezione visibile nella via quella sera, 2 veicoli civili e 3 persone di cui una estranea agli apparati, è la fotografia definitiva della distanza tra il valore dell'obiettivo e la protezione accordata, la medesima configurazione certificata per via Fani, e il registro chiude la serie delle vittime della fase su questa simmetria documentata, i 2 vertici del corpus caduti entrambi entro dispositivi ordinari dinanzi ad avversari straordinari.</w:t>
      </w:r>
    </w:p>
    <w:p>
      <w:pPr>
        <w:spacing w:after="120" w:line="276"/>
        <w:jc w:val="both"/>
      </w:pPr>
      <w:r>
        <w:rPr>
          <w:rFonts w:ascii="Barlow Semi Condensed" w:cs="Barlow Semi Condensed" w:eastAsia="Barlow Semi Condensed" w:hAnsi="Barlow Semi Condensed"/>
          <w:sz w:val="24"/>
          <w:szCs w:val="24"/>
        </w:rPr>
        <w:t xml:space="preserve">Le triangolazioni del nodo sono 3. La prima, Dalla Chiesa-antiterrorismo-Monte Nevoso, è il triangolo del primo fronte, certificato al Livello A con le code di Livello C sulla gestione documentale. La seconda, Dalla Chiesa-prefettura di Palermo-commissione di Cosa Nostra, è il triangolo del secondo fronte, certificato al Livello A dai giudicati sul mandato e sugli esecutori. La terza, Dalla Chiesa-isolamento denunciato-carte controverse, è il triangolo delle questioni aperte, con i fatti al Livello A e al Livello B e le letture al Livello C. Sul piano dei pattern, il nodo attiva il Pattern 7 nella traiettoria del servitore dello Stato attraverso i 2 fronti della violenza organizzata, unico uomo dell'opera a occupare posizioni apicali contro il Dominio 7 e contro il Dominio 1 in successione; e il Pattern 1, giacché la sua eliminazione a 100 giorni dall'insediamento, dopo quella di Mattarella e prima della stagione dei magistrati, conferma la regolarità per cui il sistema colpisce i nodi che congiungono capacità operativa e volontà di rottura, la medesima regolarità che il caso Moro esprime sul piano politico.</w:t>
      </w:r>
    </w:p>
    <w:p>
      <w:pPr>
        <w:spacing w:after="120" w:line="276"/>
        <w:jc w:val="both"/>
      </w:pPr>
      <w:r>
        <w:rPr>
          <w:rFonts w:ascii="Barlow Semi Condensed" w:cs="Barlow Semi Condensed" w:eastAsia="Barlow Semi Condensed" w:hAnsi="Barlow Semi Condensed"/>
          <w:sz w:val="24"/>
          <w:szCs w:val="24"/>
        </w:rPr>
        <w:t xml:space="preserve">Alla stagione palermitana del generale appartiene il dossier dei poteri, che il registro fissa nella sua scansione documentale: nominato prefetto di Palermo all'indomani dell'assassinio di Pio La Torre, Dalla Chiesa pose quale condizione, nelle interlocuzioni con il governo che gli atti e la corrispondenza documentano, il conferimento di poteri di coordinamento sovraprovinciali sulla lotta alla mafia; l'investitura formale non giunse mai, ed i 100 giorni si consumarono nella forbice tra il mandato pubblicamente evocato e le attribuzioni ordinarie di un prefetto, forbice che il generale denunciò da vivo, Livello A quanto alla richiesta documentata ed al mancato conferimento. Il documento pubblico di quella denuncia è l'intervista concessa a Giorgio Bocca e pubblicata da la Repubblica il 10 agosto 1982, 24 giorni prima dell'agguato, nella quale Dalla Chiesa consegnò la diagnosi che sarebbe divenuta proverbiale, la solitudine dell'uomo dello Stato cui si chiede il risultato negandogli gli strumenti, e la lettura, di sconcertante precisione retrospettiva, del meccanismo per cui si colpisce il servitore dello Stato quando il segnale del suo isolamento è divenuto pubblico, Livello A quanto all'intervista ed al suo tenore, che il registro parafrasa senza citare. Nella morfologia del nodo, l'intervista di agosto è l'equivalente funzionale della lettera di Ambrosoli censita nella Fase 1: il documento con cui l'anticorpo, misurata la propria esposizione, la dichiara pubblicamente, compiendo l'atto che è insieme denuncia, testamento e, nella grammatica spietata del sistema, conferma della bersagliabilità. Il registro allinea i 2 documenti, la lettera del 1975 e l'intervista del 1982, quale coppia di reperti gemelli sulla condizione dell'uomo di frontiera: e annota che in entrambi i casi la Repubblica seppe leggere il testo soltanto dopo, quando la sua funzione predittiva si era già consumata in necrologio.</w:t>
      </w:r>
    </w:p>
    <w:p>
      <w:pPr>
        <w:spacing w:after="120" w:line="276"/>
        <w:jc w:val="both"/>
      </w:pPr>
      <w:r>
        <w:rPr>
          <w:rFonts w:ascii="Barlow Semi Condensed" w:cs="Barlow Semi Condensed" w:eastAsia="Barlow Semi Condensed" w:hAnsi="Barlow Semi Condensed"/>
          <w:sz w:val="24"/>
          <w:szCs w:val="24"/>
        </w:rPr>
        <w:t xml:space="preserve">Alla figura del generale appartengono infine 2 reperti di persistenza che chiudono il nodo sul registro documentale e su quello civile. Il primo sono le annotazioni private, i diari che Dalla Chiesa tenne sino agli ultimi giorni e che, editi postumi per iniziativa familiare ed acquisiti dalle sedi d'inchiesta, documentano dall'interno la percezione dell'isolamento palermitano e la contabilità degli incontri romani della primavera del 1982: fonte di natura privata, la cui esistenza ed acquisizione il registro certifica al Livello A e i cui contenuti, testimonianza unilaterale di una delle parti dei colloqui che riferiscono, restano al Livello B, secondo la disciplina costante delle carte personali. Il secondo è la memoria istituzionalizzata: via Isidoro Carini, il tratto di strada dell'agguato del 3 settembre, è divenuta con la lapide ed i suoi anniversari uno dei luoghi canonici della liturgia civile antimafia, saldata nella memoria pubblica al binomio con via D'Amelio e Capaci che il decennio successivo avrebbe aggiunto, Livello A quanto alla persistenza memoriale. Il registro allinea i 2 reperti nella lettura che il nodo consegna alla fase: il generale che aveva custodito il primo compendio del memoriale di Moro lasciò a sua volta un memoriale privato, e la Repubblica, che non seppe proteggere né l'uno né l'altro dei 2 servitori, ne custodisce oggi le carte con la devozione postuma che è, in questa storia, la forma più ricorrente del rimorso istituzionale: l'archivio quale risarcimento, la memoria quale scorta assegnata ai morti.</w:t>
      </w:r>
    </w:p>
    <w:p>
      <w:pPr>
        <w:spacing w:after="120" w:line="276"/>
        <w:jc w:val="both"/>
      </w:pPr>
      <w:r>
        <w:rPr>
          <w:rFonts w:ascii="Barlow Semi Condensed" w:cs="Barlow Semi Condensed" w:eastAsia="Barlow Semi Condensed" w:hAnsi="Barlow Semi Condensed"/>
          <w:sz w:val="24"/>
          <w:szCs w:val="24"/>
        </w:rPr>
        <w:t xml:space="preserve">La parabola dello strumento vincente si chiude con la sua smobilitazione, che il registro censisce quale ultimo reperto del capitolo: la struttura speciale antiterrorismo, operativa dal settembre 1978 con i risultati censiti, fu progressivamente riassorbita negli ordinamenti ordinari dell'Arma tra la fine del 1979 ed il 1981, quando il generale fu promosso vicecomandante generale, approdo di vertice che lo allontanava dalla conduzione operativa diretta, sino alla destinazione palermitana della primavera 1982 già censita nel suo epilogo, Livello A quanto alla sequenza ordinamentale. Il registro fissa il pattern che la parabola consegna all'opera: la Repubblica creò lo strumento straordinario sotto la pressione dell'emergenza, lo smobilitò appena lo strumento ebbe piegato l'emergenza, e ridestinò il suo uomo migliore, con poteri mai equivalenti alle attese, contro un nemico diverso che lo avrebbe ucciso in 100 giorni, sicché la traiettoria del generale tra il 1978 ed il 1982, dal mandato pieno contro il terrorismo al mandato dimezzato contro la mafia, è la misura biografica più esatta che il corpus possieda della legge istituzionale che attraversa tutte le fasi: lo Stato italiano del corpus sapeva costruire eccellenza emergenziale e non sapeva conservarla, e pagò entrambe le cose, la costruzione con l'invidia degli apparati, la mancata conservazione con la vita dei suoi servitori.</w:t>
      </w:r>
    </w:p>
    <w:p>
      <w:pPr>
        <w:spacing w:after="120" w:line="276"/>
        <w:jc w:val="both"/>
      </w:pPr>
      <w:r>
        <w:rPr>
          <w:rFonts w:ascii="Barlow Semi Condensed" w:cs="Barlow Semi Condensed" w:eastAsia="Barlow Semi Condensed" w:hAnsi="Barlow Semi Condensed"/>
          <w:sz w:val="24"/>
          <w:szCs w:val="24"/>
        </w:rPr>
        <w:t xml:space="preserve">Il capitolo degli apparati nel dopo-Moro registra infine l'unica condanna che la vicenda abbia mai prodotto a carico di un uomo dei servizi, ed il registro la censisce nella sua specificità: il funzionario di vertice del SISDE Silvano Russomanno fu condannato in via definitiva per la fuga di notizie che nell'ottobre 1978 portò sulla stampa, ad ore dal ritrovamento di via Monte Nevoso, contenuti del memoriale appena sequestrato, rivelazione che bruciò il vantaggio investigativo dell'operazione e che i giudici gli attribuirono, Livello A quanto alla condanna ed al fatto. Il registro isola il paradosso che la statistica consegna: nell'intero caso Moro, con le sue omissioni censite, i suoi comitati opachi ed i suoi uomini della sicurezza iscritti alla loggia, il solo servitore dello Stato mai condannato non lo fu per ciò che non fece durante i 55 giorni, ma per avere fatto sapere troppo presto ciò che lo Stato aveva trovato dopo, sicché l'unico reato d'apparato giudizialmente certificato del caso è un eccesso di pubblicità e non un difetto di lealtà, e questa asimmetria sanzionatoria, un sistema che punisce la fuga di notizie e non sa nemmeno istruire le proprie inerzie, è la fotografia giudiziaria più fedele che il corpus possieda del modo in cui la Repubblica ha processato sé stessa sul proprio caso capitale: severa con l'indiscrezione, muta con l'omissione.</w:t>
      </w:r>
    </w:p>
    <w:p>
      <w:pPr>
        <w:spacing w:after="120" w:line="276"/>
        <w:jc w:val="both"/>
      </w:pPr>
      <w:r>
        <w:rPr>
          <w:rFonts w:ascii="Barlow Semi Condensed" w:cs="Barlow Semi Condensed" w:eastAsia="Barlow Semi Condensed" w:hAnsi="Barlow Semi Condensed"/>
          <w:sz w:val="24"/>
          <w:szCs w:val="24"/>
        </w:rPr>
        <w:t xml:space="preserve">Il capitolo della caccia esige il suo epilogo strategico, che il registro formula quale paradosso terminale della guerra: la sconfitta storica dell'organizzazione fu il prodotto della sua vittoria del 9 maggio, perché l'uccisione del prigioniero, decisa quale dimostrazione di forza, privò la sigla della sola posta che la teneva al centro del sistema, le alienò l'area di simpatia che il gesto rivoluzionario rivendicato doveva galvanizzare e che invece si ritrasse, compattò lo Stato attorno alla legislazione ed alle strutture censite e consegnò all'organizzazione vincitrice sul piano militare la solitudine politica nella quale la stagione premiale l'avrebbe dissolta, Livello A quanto alla parabola documentata dal triennio successivo. Il registro consegna il paradosso alla verifica comparata che l'opera consente: nessuna vittoria tattica del corpus produsse una sconfitta strategica più rapida e completa, e la legge che il caso dimostra, per cui un'organizzazione clandestina può sopravvivere ad ogni repressione ma non alla perdita del proprio senso agli occhi del proprio ambiente, è la stessa che la fase terza ha registrato sul versante opposto con le piazze che fischiavano, sicché le 2 stagioni armate censite dall'opera, la nera e la rossa, morirono della medesima morte, uccise non dai processi, che largamente fallirono, ma dal Paese reale che entrambe pretendevano di interpretare e che entrambe, nell'atto estremo, perdettero per sempre.</w:t>
      </w:r>
    </w:p>
    <w:p>
      <w:pPr>
        <w:spacing w:after="120" w:line="276"/>
        <w:jc w:val="both"/>
      </w:pPr>
      <w:r>
        <w:rPr>
          <w:rFonts w:ascii="Barlow Semi Condensed" w:cs="Barlow Semi Condensed" w:eastAsia="Barlow Semi Condensed" w:hAnsi="Barlow Semi Condensed"/>
          <w:sz w:val="24"/>
          <w:szCs w:val="24"/>
        </w:rPr>
        <w:t xml:space="preserve">Il bilancio dei 5 cicli processuali esige infine il riconoscimento della loro funzione meno misurabile, che il registro censisce a chiusura del versante giudiziario: le aule del caso Moro furono, per 4 decenni, l'unico luogo fisico della Repubblica nel quale i protagonisti dei 2 campi si trovarono ripetutamente di fronte, i carcerieri ed i familiari delle vittime, gli uomini degli apparati e le parti civili, in un contraddittorio rituale che, qualunque cosa non abbia accertato, ha costretto ciascuno a rispondere in pubblico ed a verbale della propria parte di storia, Livello A quanto alla funzione svolta dai dibattimenti documentati. Il registro consegna il riconoscimento alla sua misura: la giustizia penale del caso, che il capitolo ha censito nei suoi limiti, ha però prodotto il bene che nessun altro strumento della Repubblica ha saputo produrre, l'obbligo della compresenza e della risposta, e le migliaia di pagine di verbali dibattimentali che ne sono uscite, con le loro reticenze e le loro rotture, costituiscono l'unico grande dialogo mai avvenuto tra l'Italia che sparò e l'Italia che seppellì, sicché il verdetto complessivo del registro sui processi del caso è duplice come l'opera esige: quali macchine della verità furono strumenti parziali, quali luoghi della parola obbligata furono insostituibili, ed un Paese che non ha mai voluto la commissione della sola verità deve ai propri processi, oltre alle condanne, il poco di confronto pubblico tra le proprie metà che la sua storia registri.</w:t>
      </w:r>
    </w:p>
    <w:p>
      <w:pPr>
        <w:spacing w:after="120" w:line="276"/>
        <w:jc w:val="both"/>
      </w:pPr>
      <w:r>
        <w:rPr>
          <w:rFonts w:ascii="Barlow Semi Condensed" w:cs="Barlow Semi Condensed" w:eastAsia="Barlow Semi Condensed" w:hAnsi="Barlow Semi Condensed"/>
          <w:sz w:val="24"/>
          <w:szCs w:val="24"/>
        </w:rPr>
        <w:t xml:space="preserve">Il capitolo si chiude con la biforcazione dei destini penali, che il registro censisce quale ultimo effetto della stagione premiale: i condannati del caso si divisero in 2 popolazioni giudiziarie, i dissociati ed i collaboranti, riammessi alla libertà tra la fine degli anni Ottanta ed i Novanta attraverso gli sconti, i benefici penitenziari ed i percorsi di reinserimento che la legislazione censita disciplinava, e gli irriducibili, che rifiutando ogni presa di distanza scontarono detenzioni protrattesi per decenni, con gli ultimi rilasci per fine pena o per età giunti solo nel nuovo secolo, Livello A quanto alla biforcazione dei percorsi documentata dalle posizioni individuali. Il registro consegna il dato alla sua lettura terminale: la Repubblica applicò al proprio trauma capitale una giustizia a durata variabile, nella quale la pena effettiva dipese più dalla parola pronunciata dopo che dal colpo sparato prima, e questa economia della resa, che il capitolo ha censito quale strumento vincente della guerra, produsse l'esito morale con cui il caso ancora convive: uomini con responsabilità materiali maggiori tornati liberi prima di uomini con responsabilità minori ma silenzio più lungo, un ordine di uscita scritto dalla dissociazione e non dalla colpa, che il registro constata senza giudicare, consegnandolo al lettore quale ultimo prezzo, documentato e pagato, della vittoria dello Stato.</w:t>
      </w:r>
    </w:p>
    <w:p>
      <w:pPr>
        <w:spacing w:after="120" w:line="276"/>
        <w:jc w:val="both"/>
      </w:pPr>
      <w:r>
        <w:rPr>
          <w:rFonts w:ascii="Barlow Semi Condensed" w:cs="Barlow Semi Condensed" w:eastAsia="Barlow Semi Condensed" w:hAnsi="Barlow Semi Condensed"/>
          <w:sz w:val="24"/>
          <w:szCs w:val="24"/>
        </w:rPr>
        <w:t xml:space="preserve">Il versante delle inchieste si arricchisce del giacimento che la triangolazione ha censito quale fonte primaria riprodotta: i 12 resoconti stenografici del Gruppo di lavoro sul caso Moro della Commissione stragi della decima legislatura, 621 pagine di audizioni e sedute del biennio 1991-1992 conservate quali riproduzioni degli originali cartacei, documentano la prima grande stagione di riesame parlamentare del caso condotta a cavallo delle rivelazioni del 1990, tra il secondo ritrovamento di via Monte Nevoso e la riapertura generale degli armadi, Livello A quale giacimento documentale e quale collocazione cronologica dei lavori. Il registro assegna alla serie la sua funzione nella stratigrafia delle inchieste: tra la prima Commissione dedicata degli anni Ottanta e la seconda del nuovo secolo, il gruppo di lavoro della decima legislatura rappresenta lo strato intermedio e meno frequentato della conoscenza parlamentare del caso, la stagione in cui le domande della prima generazione incontrarono per la prima volta le carte della seconda, e la sua consultazione sistematica, che l'edizione definitiva registra quale acquisizione della triangolazione, restituisce alla cronologia delle inchieste il suo anello mancante: il caso non fu riesaminato 2 volte, fu riesaminato senza interruzione, e la continuità del riesame è essa stessa un dato sulla natura mai chiusa dell'oggetto.</w:t>
      </w:r>
    </w:p>
    <w:p>
      <w:pPr>
        <w:spacing w:after="120" w:line="276"/>
        <w:jc w:val="both"/>
      </w:pPr>
      <w:r>
        <w:rPr>
          <w:rFonts w:ascii="Barlow Semi Condensed" w:cs="Barlow Semi Condensed" w:eastAsia="Barlow Semi Condensed" w:hAnsi="Barlow Semi Condensed"/>
          <w:b/>
          <w:bCs/>
          <w:sz w:val="24"/>
          <w:szCs w:val="24"/>
        </w:rPr>
        <w:t xml:space="preserve">Sintesi del dato nuovo acquisito:</w:t>
      </w:r>
      <w:r>
        <w:rPr>
          <w:rFonts w:ascii="Barlow Semi Condensed" w:cs="Barlow Semi Condensed" w:eastAsia="Barlow Semi Condensed" w:hAnsi="Barlow Semi Condensed"/>
          <w:sz w:val="24"/>
          <w:szCs w:val="24"/>
        </w:rPr>
        <w:t xml:space="preserve"> il nodo Dalla Chiesa è certificato al Livello A quale artefice della sconfitta del terrorismo brigatista e custode del primo ritrovamento del memoriale, e quale prefetto di Palermo assassinato con Emanuela Setti Carraro e Domenico Russo il 3 settembre 1982 su mandato della commissione di Cosa Nostra, giudicato con condanne irrevocabili tra cui, per la terza volta nell'opera, quella di Giuseppe Calò; le denunce di isolamento sono certificate al Livello A, la controversia sui materiali documentali al Livello B, e ogni lettura di concorsi esterni al Livello C; il nodo salda i 2 fronti della violenza organizzata nella traiettoria di un solo uomo e consegna alla lettura conclusiva il pattern ricorrente dell'archivio che non giunge integro.</w:t>
      </w:r>
    </w:p>
    <w:p>
      <w:pPr>
        <w:pStyle w:val="Heading3"/>
        <w:spacing w:after="80" w:before="160"/>
      </w:pPr>
      <w:r>
        <w:rPr>
          <w:rFonts w:ascii="Barlow Semi Condensed" w:cs="Barlow Semi Condensed" w:eastAsia="Barlow Semi Condensed" w:hAnsi="Barlow Semi Condensed"/>
          <w:sz w:val="24"/>
          <w:szCs w:val="24"/>
        </w:rPr>
        <w:t xml:space="preserve">Capitolo 10 — ■ Il piano del mandato. Le ipotesi al vaglio, la Commissione del 2016 e il sigillo del divieto</w:t>
      </w:r>
    </w:p>
    <w:p>
      <w:pPr>
        <w:spacing w:after="120" w:line="276"/>
        <w:jc w:val="both"/>
      </w:pPr>
      <w:r>
        <w:rPr>
          <w:rFonts w:ascii="Barlow Semi Condensed" w:cs="Barlow Semi Condensed" w:eastAsia="Barlow Semi Condensed" w:hAnsi="Barlow Semi Condensed"/>
          <w:sz w:val="24"/>
          <w:szCs w:val="24"/>
        </w:rPr>
        <w:t xml:space="preserve">Il decimo nodo non è un evento ulteriore ma il piano terzo della decomposizione dichiarata in avvertenza: il piano del mandato o del condizionamento esterno, che il registro affronta quale oggetto proprio, censendo in un solo luogo, con la qualificazione esatta di ciascuna, le ipotesi che 4 decenni di inchieste hanno formulato sopra e attorno al giudicato, e apponendo alla fase il sigillo metodologico che le compete.</w:t>
      </w:r>
    </w:p>
    <w:p>
      <w:pPr>
        <w:spacing w:after="120" w:line="276"/>
        <w:jc w:val="both"/>
      </w:pPr>
      <w:r>
        <w:rPr>
          <w:rFonts w:ascii="Barlow Semi Condensed" w:cs="Barlow Semi Condensed" w:eastAsia="Barlow Semi Condensed" w:hAnsi="Barlow Semi Condensed"/>
          <w:sz w:val="24"/>
          <w:szCs w:val="24"/>
        </w:rPr>
        <w:t xml:space="preserve">Il primo pilastro è il censimento disciplinato delle ipotesi, che il registro ordina secondo il loro statuto. La prima famiglia è quella delle ipotesi di concorso operativo esterno all'azione: presenze ulteriori in via Fani, apporti tecnici o addestrativi, partecipazioni non brigatiste; il registro le mantiene al Livello C, richiamando che i giudicati hanno ritenuto l'azione riferibile all'organizzazione e che le acquisizioni successive, peritali e testimoniali, hanno riaperto questioni senza consolidarle. La seconda famiglia è quella delle ipotesi di condizionamento della gestione: la lettura per cui la condotta del piano secondo, dalle anomalie delle ricerche alla gestione documentale, fu orientata da volontà interessate all'esito; il registro la mantiene al Livello C, quale inferenza vietata dal principio della fase, pur riconoscendo che gli elementi certificati del piano secondo, la compresenza piduista, le anomalie, i depistaggi, la rendono formulabile. La terza famiglia è quella delle ipotesi di interferenza internazionale, nelle 2 varianti storicamente proposte, quella orientale, fondata sui rapporti dell'organizzazione con campi e strutture oltrecortina e sulla dottrina dell'attenzione sovietica al terrorismo occidentale, e quella occidentale, fondata sulle contrarietà atlantiche al progetto moroteo e sulle presenze di apparati nel teatro; il registro certifica, di ciascuna variante, i fatti di base documentati ai livelli propri, i contatti internazionali dell'organizzazione al Livello B nei limiti degli accertamenti, le contrarietà politiche al Livello B come esposto nel capitolo 1, e mantiene entrambe le varianti, quali ipotesi di mandato o concorso, al Livello C, annotando che esse si escludono reciprocamente nella vulgata che le ha prodotte, secondo lo schema già incontrato nella Fase 3 per gli elaborati contrapposti sulla stagione stragista. La quarta famiglia è quella del ruolo della criminalità organizzata, nelle 2 direzioni documentate, i sondaggi dello Stato verso la malavita per la localizzazione, certificati al Livello B nel capitolo 4, e le dichiarazioni collaborative su interessamenti dell'organizzazione mafiosa alla vicenda, che il registro censisce al Livello C quanto a ogni ruolo attivo nel sequestro.</w:t>
      </w:r>
    </w:p>
    <w:p>
      <w:pPr>
        <w:spacing w:after="120" w:line="276"/>
        <w:jc w:val="both"/>
      </w:pPr>
      <w:r>
        <w:rPr>
          <w:rFonts w:ascii="Barlow Semi Condensed" w:cs="Barlow Semi Condensed" w:eastAsia="Barlow Semi Condensed" w:hAnsi="Barlow Semi Condensed"/>
          <w:sz w:val="24"/>
          <w:szCs w:val="24"/>
        </w:rPr>
        <w:t xml:space="preserve">Il secondo pilastro è la ricognizione dell'ultima stagione d'inchiesta, la Commissione parlamentare della XVII legislatura, istituita nel 2014 e operante sino al 2017, che il registro recepisce quale fonte con la graduazione consueta. La Commissione ha prodotto acquisizioni documentali e testimoniali nuove su punti circoscritti: gli approfondimenti sulla zona di via Fani, comprese le frequentazioni dell'esercizio commerciale all'angolo e la questione dei veicoli non identificati; la posizione di appartenenti agli apparati presenti o attivi nel teatro, tra cui la già certificata presenza del colonnello Guglielmi; le perizie integrative sulla dinamica; e la riapertura documentale su snodi quali la struttura parigina e i canali della trattativa. Il registro certifica al Livello B i fatti documentali nuovi acquisiti dalla Commissione, quale fonte parlamentare di alta affidabilità, e mantiene al Livello C le letture ricostruttive che la Commissione stessa ha formulato in forma dubitativa, dichiarando che l'ultima stagione d'inchiesta ha arricchito il piano secondo senza trasformare alcuna ipotesi del piano terzo in accertamento: il quadro dei livelli esce dalla stagione più popolato, non più risolto.</w:t>
      </w:r>
    </w:p>
    <w:p>
      <w:pPr>
        <w:spacing w:after="120" w:line="276"/>
        <w:jc w:val="both"/>
      </w:pPr>
      <w:r>
        <w:rPr>
          <w:rFonts w:ascii="Barlow Semi Condensed" w:cs="Barlow Semi Condensed" w:eastAsia="Barlow Semi Condensed" w:hAnsi="Barlow Semi Condensed"/>
          <w:sz w:val="24"/>
          <w:szCs w:val="24"/>
        </w:rPr>
        <w:t xml:space="preserve">Il terzo pilastro è il sigillo del divieto inferenziale, che il registro appone quale conclusione della fase. All'esito dell'intero percorso, la struttura probatoria del caso Moro è la seguente: un piano primo saturo, con esecutori, dirigenti, custodi ed esecutore materiale giudicati in via irrevocabile lungo 5 procedimenti; un piano secondo denso di fatti certificati, la compresenza piduista, le anomalie, i depistaggi, i 2 ritrovamenti, le presenze, che compongono il quadro di una condotta istituzionale segnata da opacità documentate; e un piano terzo integralmente ipotetico, nel quale nessuna delle famiglie censite supera il Livello C. Il sigillo della fase è la formalizzazione del rapporto tra i 3 piani: la densità del piano secondo non trasferisce nulla al piano terzo, per quanto la renda intellettualmente esigente; la saturazione del piano primo non chiude il piano terzo, perché il giudicato sugli esecutori non pronuncia sull'inesistenza di volontà ulteriori; e la sola condotta razionale per un registro è tenere i 3 piani distinti, ciascuno con il proprio statuto, resistendo tanto alla vulgata che salda i piani in un unico disegno quanto a quella che, in nome del giudicato, dichiara chiusa una vicenda il cui secondo piano contiene fatti certificati che nessuna ricostruzione innocente ha mai integralmente spiegato. La lente della doppia lealtà, sospensione dichiarata di fase, si richiude qui con il suo bilancio: essa ha permesso di leggere unitariamente la fenomenologia del piano secondo, gli uomini dell'istituzione e della loggia, le condotte duali, senza mai divenire essa stessa una prova; e il registro la ripone dichiarando che la categoria ha valore euristico certificato e valore probatorio nullo, esattamente come il metodo prescrive per ogni lente.</w:t>
      </w:r>
    </w:p>
    <w:p>
      <w:pPr>
        <w:spacing w:after="120" w:line="276"/>
        <w:jc w:val="both"/>
      </w:pPr>
      <w:r>
        <w:rPr>
          <w:rFonts w:ascii="Barlow Semi Condensed" w:cs="Barlow Semi Condensed" w:eastAsia="Barlow Semi Condensed" w:hAnsi="Barlow Semi Condensed"/>
          <w:sz w:val="24"/>
          <w:szCs w:val="24"/>
        </w:rPr>
        <w:t xml:space="preserve">Il quarto pilastro è la comparazione internazionale, che il registro conduce sul precedente tedesco quale applicazione terminale del Pattern 11 alla fase. Sei mesi prima di via Fani, tra il settembre e l'ottobre 1977, la Repubblica Federale Tedesca visse il sequestro di Hanns Martin Schleyer, presidente della confederazione degli industriali, rapito dalla Rote Armee Fraktion con l'annientamento della scorta, 4 caduti, custodito per 43 giorni e ucciso dopo il rifiuto dello scambio, nel culmine dell'autunno tedesco segnato dal dirottamento di Mogadiscio e dalle morti di Stammheim. Il registro certifica al Livello A il precedente quale fatto storico e ne conduce la comparazione strutturale con il caso italiano: identica la tecnica dell'agguato con eliminazione della scorta, identica la posta del ricatto, lo scambio con i prigionieri, identica la risposta dello Stato, la fermezza, e identico l'esito, l'esecuzione dell'ostaggio; diverse la durata, la natura dell'ostaggio, un dirigente d'impresa contro il presidente del partito di maggioranza, e la coda istituzionale, giacché la Germania sciolse la propria crisi in settimane con una linea di comando unitaria, mentre il caso italiano generò la fenomenologia del piano secondo che la fase ha censito. La comparazione produce 2 risultati certificati. Il primo: l'esistenza del precedente, noto e studiato dagli apparati europei, colloca la fermezza italiana entro una dottrina continentale già sperimentata, e priva di unicità la sequenza rifiuto-esecuzione, che la vulgata ha talora trattato quale anomalia italiana bisognosa di spiegazioni ulteriori; la sequenza era, al contrario, l'esito già osservato del modello. Il secondo risultato è il differenziale: ciò che distingue il caso italiano non è l'esito ma la densità delle opacità del piano secondo, assente nella serie tedesca, e la comparazione consegna così, per contrasto, l'esatta localizzazione dell'anomalia italiana, che non sta nella fermezza né nell'epilogo, ma nella condotta degli apparati durante e dopo; è su quel differenziale, e solo su quello, che le domande del piano terzo legittimamente insistono.</w:t>
      </w:r>
    </w:p>
    <w:p>
      <w:pPr>
        <w:spacing w:after="120" w:line="276"/>
        <w:jc w:val="both"/>
      </w:pPr>
      <w:r>
        <w:rPr>
          <w:rFonts w:ascii="Barlow Semi Condensed" w:cs="Barlow Semi Condensed" w:eastAsia="Barlow Semi Condensed" w:hAnsi="Barlow Semi Condensed"/>
          <w:sz w:val="24"/>
          <w:szCs w:val="24"/>
        </w:rPr>
        <w:t xml:space="preserve">Il registro chiude il pilastro con l'adempimento che il metodo di Heuer prescrive, l'indicazione delle evidenze che, se emerse, scioglierebbero la competizione tra le ipotesi del piano terzo: il ritrovamento degli originali manoscritti del memoriale, che chiuderebbe la questione della completezza e della selezione; l'apertura di archivi, italiani o esteri, contenenti documentazione coeva sulla gestione della crisi e sulle comunicazioni tra gli apparati dei campi; e ogni fonte primaria che documentasse un coordinamento, o ne escludesse la possibilità materiale, tra gli attori esterni censiti. Sino a tale emersione, il piano terzo resta quello che il registro ha descritto, un campo di ipotesi formulabili e non provate, e la sua onesta rappresentazione è l'unico esito che il metodo consenta.</w:t>
      </w:r>
    </w:p>
    <w:p>
      <w:pPr>
        <w:spacing w:after="120" w:line="276"/>
        <w:jc w:val="both"/>
      </w:pPr>
      <w:r>
        <w:rPr>
          <w:rFonts w:ascii="Barlow Semi Condensed" w:cs="Barlow Semi Condensed" w:eastAsia="Barlow Semi Condensed" w:hAnsi="Barlow Semi Condensed"/>
          <w:sz w:val="24"/>
          <w:szCs w:val="24"/>
        </w:rPr>
        <w:t xml:space="preserve">Il quinto pilastro dettaglia le prime 3 famiglie con gli elementi che ciascuna invoca, quale inventario disciplinato. La famiglia del concorso operativo si fonda sugli elementi censiti nel capitolo dell'evento, l'eccezionalità tecnica, la concentrazione del fuoco, la motocicletta, le presenze non identificate, e sulle perizie integrative dell'ultima stagione, che hanno rimodulato la scena senza attribuzioni nuove: il registro ribadisce che ciascun elemento è certificato quale fatto al proprio livello e che la loro composizione in un concorso resta al Livello C, non essendo mai stata identificata una sola persona estranea all'organizzazione quale partecipe dell'azione. La famiglia del condizionamento della gestione si fonda sul cumulo del piano secondo, e il registro ne dichiara la struttura logica: essa è l'unica famiglia che non postula attori ignoti, ma attribuisce intenzione ad attori noti e a condotte certificate, e per questo è insieme la più economica, perché non moltiplica le entità, e la più vietata, perché consiste per intero nell'inferenza dall'anomalia all'intenzione che la Regola Ferrea proibisce; la lente della doppia lealtà la rende pensabile, il divieto la mantiene improvata, e tra i 2 stati non esiste, allo stato delle fonti, passaggio. La famiglia dell'interferenza internazionale si articola nelle 2 varianti censite: la variante orientale invoca i rapporti di campo dell'organizzazione, la filiera degli armamenti, la dottrina dell'attenzione sovietica al terrorismo occidentale, e fu esplorata, senza esiti sul caso, anche dalla stagione d'inchiesta sulle carte provenienti dagli archivi orientali dopo il 1991; la variante occidentale invoca le contrarietà atlantiche certificate, le presenze censite nel teatro, dalla consulenza americana al colonnello del servizio in via Stresa, e la fenomenologia della gestione; il registro ribadisce che gli elementi di base delle 2 varianti sono certificati ai livelli dichiarati nei capitoli, che nessuna delle 2 dispone di un solo elemento che documenti un mandato o un concorso, e che la loro mutua esclusione nella letteratura che le produce, ciascuna scuola attribuendo all'altro campo la regia, replica lo schema già censito nella Fase 3 per gli elaborati parlamentari contrapposti: le 2 varianti non si sommano, si elidono, e il registro le mantiene entrambe al Livello C annotando che la loro simmetrica sopravvivenza quarantennale è essa stessa un dato sulla natura del campo, nel quale l'ipotesi del nemico esterno ha svolto, per ciascuna parte, una funzione identitaria indipendente dalle prove.</w:t>
      </w:r>
    </w:p>
    <w:p>
      <w:pPr>
        <w:spacing w:after="120" w:line="276"/>
        <w:jc w:val="both"/>
      </w:pPr>
      <w:r>
        <w:rPr>
          <w:rFonts w:ascii="Barlow Semi Condensed" w:cs="Barlow Semi Condensed" w:eastAsia="Barlow Semi Condensed" w:hAnsi="Barlow Semi Condensed"/>
          <w:sz w:val="24"/>
          <w:szCs w:val="24"/>
        </w:rPr>
        <w:t xml:space="preserve">Il sesto pilastro dettaglia la quarta famiglia, il versante della criminalità organizzata, con le dichiarazioni che la fondano. Le fonti convergenti provengono dai 2 poli opposti del panorama criminale: Raffaele Cutolo, il capo della Nuova camorra organizzata, riferì in più sedi di essere stato sollecitato, durante i 55 giorni, ad attivarsi per la localizzazione della prigione attraverso i propri canali, e la sua vicenda si salda alla gestione del sequestro Cirillo del 1981, che la Fase 2 ha censito quale precedente documentato della trattativa Stato-camorra con la mediazione di uomini poi risultati piduisti; Tommaso Buscetta riferì che ambienti di Cosa Nostra furono parimenti sondati nella fase iniziale, e che l'attivazione rientrò per un segnale sopravvenuto, nella sua formulazione l'indicazione che la liberazione del prigioniero non era più desiderata, una dichiarazione che il registro riporta quale enunciato del dichiarante e non quale fatto. Il registro compone il quadro con la disciplina consueta: l'esistenza dei sondaggi verso la criminalità è certificata al Livello B, quale convergenza di dichiaranti indipendenti provenienti da organizzazioni diverse e reciprocamente ostili, il criterio di consilienza applicabile alle fonti dichiarative; il contenuto del segnale di arresto riferito da Buscetta resta al Livello C, quale dichiarazione singola non riscontrata su un punto decisivo; e ogni ruolo attivo delle organizzazioni criminali nel sequestro medesimo resta parimenti al Livello C, nessun accertamento avendolo mai stabilito. Alla medesima orbita appartiene, quale coda censita, l'assassinio del tenente colonnello Antonio Varisco, comandante del reparto traduzioni dei carabinieri di Roma, figura di raccordo tra gli ambienti giudiziari e quelli della capitale, ucciso il 13 luglio 1979 con rivendicazione brigatista e condanne conseguenti: il registro lo trascrive, nomina la vittima, e annota che la stagione romana del dopo-Moro, tra il falso della Duchessa, il borsello, l'omicidio Pecorelli e l'omicidio Varisco, compone un addensamento di eventi nell'orbita tra apparati, criminalità capitolina e terrorismo che il Pattern 3 registra quale finestra critica secondaria, censita e non risolta.</w:t>
      </w:r>
    </w:p>
    <w:p>
      <w:pPr>
        <w:spacing w:after="120" w:line="276"/>
        <w:jc w:val="both"/>
      </w:pPr>
      <w:r>
        <w:rPr>
          <w:rFonts w:ascii="Barlow Semi Condensed" w:cs="Barlow Semi Condensed" w:eastAsia="Barlow Semi Condensed" w:hAnsi="Barlow Semi Condensed"/>
          <w:sz w:val="24"/>
          <w:szCs w:val="24"/>
        </w:rPr>
        <w:t xml:space="preserve">Il settimo pilastro compone la sintesi comparata delle 3 stagioni parlamentari, quale storia degli accertamenti non giudiziari. La prima Commissione, operante dal 1979 al 1983, lavorò a ridosso dei fatti con le audizioni dei protagonisti istituzionali della gestione, e si concluse con esiti non unanimi: alla relazione di maggioranza si affiancarono relazioni di minoranza plurime, tra le quali quella redatta da Leonardo Sciascia, che concentrò l'analisi sulle anomalie della gestione e sulla condotta dello Stato verso le lettere del prigioniero, consegnando alla storia documentale della Repubblica il primo inventario organico di ciò che la fase ha chiamato piano secondo; il registro certifica al Livello A la pluralità degli esiti e il contenuto della relazione sciasciana, quali dati degli atti, e ne annota il rilievo metodologico, giacché la non unanimità della prima stagione replica il pattern già certificato dall'opera per gli elaborati parlamentari sulle stragi, la scomposizione delle conclusioni lungo le linee politiche, che il registro tratta quale attributo strutturale della fonte parlamentare. La Commissione sulle stragi vi tornò negli anni Novanta con il materiale delle dissociazioni e del secondo ritrovamento, producendo le acquisizioni sul memoriale e sulla gestione che i capitoli hanno censito; e la Commissione della XVII legislatura, dal 2014 al 2017, condusse la ricognizione terminale, con le perizie tecniche integrative, gli approfondimenti sulla zona di via Fani, sul contesto internazionale e sui protagonisti minori, e con l'acquisizione documentale resa possibile dal nuovo regime degli archivi; il registro certifica al Livello A la progressione, e la consegna alla regola già fissata: ogni stagione ha saputo ciò che il proprio stato degli archivi consentiva, e la storia delle commissioni è, prima che una storia di giudizi, una storia di accessi.</w:t>
      </w:r>
    </w:p>
    <w:p>
      <w:pPr>
        <w:spacing w:after="120" w:line="276"/>
        <w:jc w:val="both"/>
      </w:pPr>
      <w:r>
        <w:rPr>
          <w:rFonts w:ascii="Barlow Semi Condensed" w:cs="Barlow Semi Condensed" w:eastAsia="Barlow Semi Condensed" w:hAnsi="Barlow Semi Condensed"/>
          <w:sz w:val="24"/>
          <w:szCs w:val="24"/>
        </w:rPr>
        <w:t xml:space="preserve">L'ottavo pilastro colloca il caso entro la competizione tra le macro-ipotesi dell'opera, quale adempimento dovuto alla Fase 5. Sotto l'ipotesi H1, la convergenza delle potenze contro l'autonomia europea, il caso Moro rappresenta il terreno di massima resa apparente, per le ragioni censite nel bilancio: le contrarietà speculari certificate, l'obiettivo colpito nel giorno del suo successo, l'esito oggettivamente conforme all'interesse di entrambi i campi; e rappresenta, simultaneamente, il terreno del massimo scarto tra suggestione e prova, giacché la fase ha certificato che nessun elemento documenta il passaggio dalla convergenza degli interessi alla convergenza delle condotte. Sotto la lettura concorrente, che assume la piena autonomia degli attori interni e la sufficienza esplicativa delle dinamiche nazionali, il caso si lascia ricostruire senza residui logici, al prezzo di derubricare a coincidenze la densità delle presenze e delle anomalie censite. Il registro formalizza lo stato della competizione senza deciderla: il falsificatore milwardiano esce dalla fase non confutato, giacché la ricostruzione interna è autosufficiente, e l'ipotesi H1 ne esce non falsificata ma non avanzata, ferma alla convergenza oggettiva di Livello B che il bilancio ha fissato; la fase consegna alla verifica conclusiva dell'opera questa esatta configurazione, annotando che il caso Moro è, per costruzione, il punto del corpus in cui la distanza tra le 2 letture è massima e la capacità dei documenti di discriminarle è minima, la definizione stessa di ciò che il metodo delle ipotesi concorrenti chiama evidenza non diagnostica.</w:t>
      </w:r>
    </w:p>
    <w:p>
      <w:pPr>
        <w:spacing w:after="120" w:line="276"/>
        <w:jc w:val="both"/>
      </w:pPr>
      <w:r>
        <w:rPr>
          <w:rFonts w:ascii="Barlow Semi Condensed" w:cs="Barlow Semi Condensed" w:eastAsia="Barlow Semi Condensed" w:hAnsi="Barlow Semi Condensed"/>
          <w:sz w:val="24"/>
          <w:szCs w:val="24"/>
        </w:rPr>
        <w:t xml:space="preserve">Il nono pilastro censisce il regime degli archivi, l'ultima frontiera documentale della fase. La direttiva del presidente del Consiglio del 22 aprile 2014 dispose il versamento straordinario anticipato all'Archivio centrale dello Stato della documentazione degli organi di sicurezza e degli apparati relativa agli atti di terrorismo e alle stragi, includendo il caso Moro nel proprio perimetro, e i versamenti conseguenti, protrattisi negli anni successivi, hanno trasferito nel circuito della consultabilità decine di migliaia di carte prima trattenute; l'ultima Commissione ha operato entro questo regime, e la ricerca successiva ne ha beneficiato nella misura che gli inventari documentano. Il registro certifica al Livello A la direttiva, il suo perimetro e l'esistenza dei versamenti, quali atti normativi e archivistici, e chiude la fase con la formalizzazione che il metodo dell'opera impone: la conoscenza del caso Moro è una funzione del tempo archivistico, cresciuta per soglie datate, il 1978, il 1990, le dissociazioni, il 2014, e la curva non è dichiarabile conclusa, giacché il perimetro del versato non coincide, per definizione, con il perimetro dell'esistente; il registro consegna perciò alla Fase 5, accanto agli archivi francesi già indicati, la ricognizione sistematica del versato del 2014 quale secondo obiettivo documentale, e ribadisce, quale sigillo, che ogni certificazione della fase porta la data del proprio stato degli atti e resta aperta alla revisione che ogni nuova soglia imporrà.</w:t>
      </w:r>
    </w:p>
    <w:p>
      <w:pPr>
        <w:spacing w:after="120" w:line="276"/>
        <w:jc w:val="both"/>
      </w:pPr>
      <w:r>
        <w:rPr>
          <w:rFonts w:ascii="Barlow Semi Condensed" w:cs="Barlow Semi Condensed" w:eastAsia="Barlow Semi Condensed" w:hAnsi="Barlow Semi Condensed"/>
          <w:sz w:val="24"/>
          <w:szCs w:val="24"/>
        </w:rPr>
        <w:t xml:space="preserve">Il decimo pilastro riepiloga l'applicazione dei pattern analitici al caso, quale bilancio metodologico del nodo terminale della fase. Il registro dichiara quali pattern dell'apparato dell'opera abbiano prodotto reperti certificati sul caso Moro e quali no, secondo la disciplina che vieta di simulare rese ove non vi siano. Il Pattern 1, l'analisi dei nodi centrali, ha prodotto il reperto della centralità di Moro nel grafo, la sua posizione apicale simultanea in 3 domini, e la centralità individuale di Moretti nel piano primo, l'uomo per cui passano tutti gli archi dell'esecuzione. Il Pattern 3, l'analisi delle coincidenze temporali, ha prodotto la messe maggiore, le finestre critiche del 18 aprile e della stagione romana degli omicidi eccellenti, la contestualità con le elezioni francesi, la sincronia dello scioglimento dell'apparato antiterrorismo, tutte certificate quali fatti cronologici e tutte mantenute prive di nesso provato. Il Pattern 10, l'analisi della convergenza geografica, ha prodotto la topografia di via Caetani e la geografia speculare delle protezioni dei latitanti e delle capitali-rifugio. Il Pattern 11, l'isomorfismo strutturale, ha prodotto il reperto Aginter-Hyperion quale convergenza indipendente sulla grammatica della clandestinità. Il Pattern 6, l'analisi delle ipotesi concorrenti, ha governato l'intera architettura a 3 piani e la formalizzazione dell'evidenza non diagnostica. Il registro certifica che i Pattern 2, 4, 5, 7, 8 e 9, la rilevazione di comunità, l'analisi dei flussi, i buchi strutturali quali constraint, i percorsi di carriera, lo sfruttamento delle crisi e le dinastie, non hanno prodotto sul caso reperti autonomi di rango certificabile eccedenti quanto già registrato, e dichiara questa parziale resa quale dato onesto e non quale lacuna: un evento singolo, per quanto denso, non attiva l'intero apparato di una metodologia costruita per il grafo complessivo dell'opera, e la Fase 5, operando sul grafo intero, ne attiverà le misure residue; il registro chiude così il nodo e la fase con il bilancio dei propri strumenti, il gesto che il metodo impone quale sigillo di ogni applicazione, la dichiarazione di ciò che si è trovato e di ciò che, onestamente, non si è trovato.</w:t>
      </w:r>
    </w:p>
    <w:p>
      <w:pPr>
        <w:spacing w:after="120" w:line="276"/>
        <w:jc w:val="both"/>
      </w:pPr>
      <w:r>
        <w:rPr>
          <w:rFonts w:ascii="Barlow Semi Condensed" w:cs="Barlow Semi Condensed" w:eastAsia="Barlow Semi Condensed" w:hAnsi="Barlow Semi Condensed"/>
          <w:sz w:val="24"/>
          <w:szCs w:val="24"/>
        </w:rPr>
        <w:t xml:space="preserve">L'undicesimo pilastro adempie il dovere di completezza assolutoria, riunendo in un solo luogo, per esteso, gli esiti liberatori della fase. Per l'omicidio di Mino Pecorelli, la Corte di cassazione, con la sentenza del 30 ottobre 2003, annullò senza rinvio la condanna di appello e dichiarò l'assoluzione definitiva di Giulio Andreotti e di Gaetano Badalamenti, e con essi divennero definitivi gli esiti assolutori di tutti gli imputati del processo, tra i quali Giuseppe Calò e Massimo Carminati, sicché l'omicidio del giornalista resta, nell'ordinamento, privo di qualsiasi condannato; per il capitolo Hyperion, l'istruttoria veneziana si concluse con proscioglimenti e nessuno dei 3 fondatori della struttura, Corrado Simioni, Duccio Berio e Vanni Mulinaris, ha mai riportato condanna alcuna, e la detenzione cautelare sofferta da Mulinaris in Italia senza condanna resta censita quale fatto; per la vicenda fondativa del capitolo nono, Luciano Liggio fu assolto per l'omicidio di Placido Rizzotto all'esito del giudizio, e l'assoluzione è riportata quale esito. Il registro certifica al Livello A ciascun esito, li riporta per esteso in ottemperanza alla propria disciplina, e ne dichiara la funzione metodologica: il riepilogo assolutorio non è un'appendice ma un organo del metodo, giacché un registro che certifica condanne ha l'obbligo simmetrico di certificare assoluzioni con eguale evidenza, e la fase, che conta tra i propri materiali il più celebre processo assolutorio della storia repubblicana, esercita qui la disciplina nella sua forma più visibile; il registro annota infine che la compresenza, nella medesima fase, di piani primi saturi di condanne irrevocabili e di nodi satellite chiusi da assoluzioni definitive è la fisionomia normale di un campo indagato con gli strumenti dello Stato di diritto, e che l'opera assume questa fisionomia, con le sue asimmetrie, quale proprio materiale, senza correggerla mai nella direzione che i documenti non autorizzano.</w:t>
      </w:r>
    </w:p>
    <w:p>
      <w:pPr>
        <w:spacing w:after="120" w:line="276"/>
        <w:jc w:val="both"/>
      </w:pPr>
      <w:r>
        <w:rPr>
          <w:rFonts w:ascii="Barlow Semi Condensed" w:cs="Barlow Semi Condensed" w:eastAsia="Barlow Semi Condensed" w:hAnsi="Barlow Semi Condensed"/>
          <w:sz w:val="24"/>
          <w:szCs w:val="24"/>
        </w:rPr>
        <w:t xml:space="preserve">Il dodicesimo pilastro censisce le 2 vulgate del caso e la posizione del registro, quale dichiarazione terminale di metodo. La letteratura pubblica sul caso Moro si è storicamente polarizzata in 2 vulgate speculari, che il registro censisce quali oggetti documentali e respinge quali metodi. La prima è la vulgata del complotto integrale, che salda i fatti certificati del piano secondo, la compresenza piduista, le anomalie di Gradoli, i vuoti documentali, in un disegno unitario di gestione eterodiretta, compiendo l'operazione che il registro ha vietato a ogni pagina, la promozione della densità delle anomalie a prova della regia, e che il metodo delle ipotesi concorrenti smonta con un solo rilievo, la circostanza che nessun documento, in 47 anni, ha mai certificato il passaggio dall'anomalia alla condotta. La seconda è la vulgata riduzionista, che dichiara il caso chiuso nel perimetro dei giudicati e derubrica il piano secondo a rumore, compiendo l'operazione simmetrica, la rimozione di fatti certificati al Livello A che nessuna spiegazione ordinaria ha integralmente assorbito, dalla mancata verbalizzazione dei comitati alla distribuzione selettiva dei vuoti. Il registro certifica al Livello A l'esistenza e la struttura delle 2 vulgate, quali dati della storia della ricezione, e dichiara la propria posizione, che non è una terza tesi ma un'altra operazione: la tenuta simultanea di tutti i fatti certificati, ciascuno al proprio livello, senza la saldatura che la prima vulgata compie e senza la rimozione che la seconda esige, nella convinzione metodologica, ereditata dall'apparato dell'opera, che un campo manipolato si conosce soltanto rifiutando tanto la credulità del disegno quanto la credulità della coincidenza; la fase consegna questa posizione, esercitata per 10 capitoli sul materiale più sollecitante dell'opera, quale prova pratica del metodo, e rimette alla Fase 5 il giudizio se essa abbia prodotto, come il registro ritiene, più conoscenza certificata di quanta ciascuna vulgata ne abbia prodotta in mezzo secolo.</w:t>
      </w:r>
    </w:p>
    <w:p>
      <w:pPr>
        <w:spacing w:after="120" w:line="276"/>
        <w:jc w:val="both"/>
      </w:pPr>
      <w:r>
        <w:rPr>
          <w:rFonts w:ascii="Barlow Semi Condensed" w:cs="Barlow Semi Condensed" w:eastAsia="Barlow Semi Condensed" w:hAnsi="Barlow Semi Condensed"/>
          <w:sz w:val="24"/>
          <w:szCs w:val="24"/>
        </w:rPr>
        <w:t xml:space="preserve">Il tredicesimo pilastro consegna il bilancio ordinato delle 4 famiglie del piano terzo, quale quadro sinottico terminale in prosa. La famiglia del concorso operativo esterno all'azione esce dalla fase con gli elementi tecnici certificati che ne delimitano lo spazio, la precarietà logistica documentata, le munizioni ricaricate, il circuito finanziario chiuso, tutti convergenti verso l'autosufficienza, e con le sole varianti selettive logicamente sopravviventi, prive di qualsiasi elemento positivo. La famiglia del condizionamento della gestione esce con il piano secondo più denso dell'opera, la compresenza piduista, lo scioglimento dell'apparato specialistico, la mancata verbalizzazione, l'assenza di sanzioni, tutti fatti al Livello A, e con la condotta di condizionamento mai accertata, il divario tra la densità dei fatti e l'assenza della prova costituendo la fisionomia propria e permanente di questa famiglia. La famiglia dell'interferenza internazionale esce con le contrarietà pubbliche delle 2 superpotenze elevate al Livello A, con la convergenza oggettiva al Livello B, con l'unico fatto materiale della variante orientale, il caso Conforto, censito nei suoi 3 livelli, e con le 2 varianti reciprocamente escludentisi e parimenti prive di prova di condotta. La famiglia del ruolo attivo della criminalità organizzata esce con i sondaggi verso le organizzazioni certificati al Livello B quale fatto della gestione, e con ogni lettura di partecipazione o di interdizione al Livello C. Il registro certifica questo quadro quale stato terminale delle ipotesi alla chiusura della fase, e ne dichiara la funzione: esso è la mappa che la Fase 5 erediterà, con la consegna metodologica che il caso impone, la verifica di ciascuna famiglia sul grafo completo e sugli archivi ancora chiusi, e con l'avvertenza che la fase ha dimostrato, la possibilità che decenni di accertamenti spostino i livelli senza mai attraversare, in assenza di documenti nuovi, il confine tra il fatto e l'ipotesi.</w:t>
      </w:r>
    </w:p>
    <w:p>
      <w:pPr>
        <w:spacing w:after="120" w:line="276"/>
        <w:jc w:val="both"/>
      </w:pPr>
      <w:r>
        <w:rPr>
          <w:rFonts w:ascii="Barlow Semi Condensed" w:cs="Barlow Semi Condensed" w:eastAsia="Barlow Semi Condensed" w:hAnsi="Barlow Semi Condensed"/>
          <w:sz w:val="24"/>
          <w:szCs w:val="24"/>
        </w:rPr>
        <w:t xml:space="preserve">Le triangolazioni del nodo sono 3. La prima, ipotesi di concorso-ipotesi di condizionamento-ipotesi internazionale, è il triangolo del censimento, integralmente al Livello C con i fatti di base ai livelli propri. La seconda, Commissione del 2016-acquisizioni documentali-letture dubitative, è il triangolo dell'ultima stagione, con i fatti al Livello B e le letture al Livello C. La terza, piano primo-piano secondo-piano terzo, è il triangolo del sigillo, la formalizzazione del divieto che governa la fase. Sul piano dei pattern, il nodo compie il Pattern 6 nella sua forma più estesa, la matrice delle ipotesi concorrenti sul mandato, per ciascuna delle quali il registro ha indicato i fatti coerenti, i fatti mancanti e le evidenze che la falsificherebbero; e conferma il Pattern 5 quale cifra della fase, il caso Moro quale sistema di buchi strutturali documentati, la prigione mai trovata nei 55 giorni, gli originali mai rinvenuti, gli archivi mai aperti, attorno ai quali la conoscenza certificata si è costruita per accerchiamento.</w:t>
      </w:r>
    </w:p>
    <w:p>
      <w:pPr>
        <w:spacing w:after="120" w:line="276"/>
        <w:jc w:val="both"/>
      </w:pPr>
      <w:r>
        <w:rPr>
          <w:rFonts w:ascii="Barlow Semi Condensed" w:cs="Barlow Semi Condensed" w:eastAsia="Barlow Semi Condensed" w:hAnsi="Barlow Semi Condensed"/>
          <w:sz w:val="24"/>
          <w:szCs w:val="24"/>
        </w:rPr>
        <w:t xml:space="preserve">Le 2 inchieste parlamentari che presidiano il piano terzo esigono la loro scheda istituzionale, che il registro fissa quale cornice delle acquisizioni già graduate. La prima Commissione, istituita con legge nel novembre 1979 nella XIII legislatura repubblicana ancora ferita, operò sino al 1983 e consegnò una relazione di maggioranza accompagnata da plurime relazioni di minoranza, riflesso della frattura politica coeva sulla lettura dei 55 giorni, con un'imponente pubblicazione di allegati che resta il primo giacimento documentale organico sul caso, Livello A quanto all'attività ed agli atti. La seconda, istituita con la legge del 30 maggio 2014 nella XVII legislatura e presieduta da Giuseppe Fioroni, operò sino al dicembre 2017 con poteri d'inchiesta pieni, avvalendosi delle tecnologie d'indagine sopravvenute, dalle esumazioni digitali degli archivi alle nuove perizie balistiche e dattiloscopiche, e produsse relazioni annuali ed una mole di acquisizioni che il registro ha recepito con la doppia marcatura che la sintesi certifica, il Livello B per i documenti ed i riscontri tecnici, il Livello C per le letture ricostruttive, Livello A quanto alla scheda istituzionale. Tra le 2 stagioni corre un trentennio, e la loro giustapposizione consegna al registro un reperto di storia della conoscenza: la prima Commissione lavorò a ridosso dell'evento, con i testimoni vivi e gli archivi chiusi; la seconda a distanza di 2 generazioni, con gli archivi progressivamente aperti ed i testimoni in via di estinzione, sicché le 2 inchieste si specchiano in un chiasmo documentale, il massimo della memoria con il minimo delle carte contro il massimo delle carte con il minimo della memoria, e la conoscenza del caso, sommandole, resta strutturalmente asimmetrica: nessuna stagione ha mai disposto, insieme, dei testimoni e dei documenti. Il piano terzo abita esattamente questa asimmetria, ed il registro, che l'ha misurata, vi calibra il proprio sigillo inferenziale: dove la memoria e la carta non si sono mai incontrate, l'ipotesi non può che restare ipotesi, e dichiararlo non è rinuncia ma esattezza.</w:t>
      </w:r>
    </w:p>
    <w:p>
      <w:pPr>
        <w:spacing w:after="120" w:line="276"/>
        <w:jc w:val="both"/>
      </w:pPr>
      <w:r>
        <w:rPr>
          <w:rFonts w:ascii="Barlow Semi Condensed" w:cs="Barlow Semi Condensed" w:eastAsia="Barlow Semi Condensed" w:hAnsi="Barlow Semi Condensed"/>
          <w:sz w:val="24"/>
          <w:szCs w:val="24"/>
        </w:rPr>
        <w:t xml:space="preserve">Alle 2 Commissioni monografiche va affiancata, per completezza della mappa parlamentare, la terza sede che del caso si occupò in via continuativa: la Commissione parlamentare d'inchiesta sul terrorismo in Italia e sulle cause della mancata individuazione dei responsabili delle stragi, operante dal 1988 al 2001 attraverso 4 legislature, che dedicò al caso Moro audizioni, acquisizioni ed elaborati istruttori di grande mole, e che chiuse i propri lavori, nel marzo 2001, senza l'approvazione di una relazione finale consensuale, lasciando agli atti le bozze e le proposte di relazione elaborate nella presidenza conclusiva, Livello A quanto alla scheda istituzionale ed all'esito. Il registro assegna all'esito il valore documentale che gli è proprio: la più lunga inchiesta parlamentare della storia repubblicana sul terrorismo e sulle stragi non riuscì a consegnare al Paese una verità condivisa nemmeno nella forma minima della relazione votata, e questo esito, che non è un vuoto di lavoro ma un vuoto di consenso, certifica sul piano parlamentare ciò che il piano terzo certifica su quello giudiziario, la resistenza del caso ad ogni chiusura unitaria. Le 3 sedi, la Moro della VIII legislatura, la Stragi del tredicennio, la Moro della XVII, compongono così una serie istituzionale di 40 anni il cui prodotto aggregato il registro può finalmente descrivere con esattezza: un archivio immenso ed una conclusione assente, il massimo di documentazione con il minimo di verdetto, la forma parlamentare del paradosso che l'intera fase ha certificato piano per piano.</w:t>
      </w:r>
    </w:p>
    <w:p>
      <w:pPr>
        <w:spacing w:after="120" w:line="276"/>
        <w:jc w:val="both"/>
      </w:pPr>
      <w:r>
        <w:rPr>
          <w:rFonts w:ascii="Barlow Semi Condensed" w:cs="Barlow Semi Condensed" w:eastAsia="Barlow Semi Condensed" w:hAnsi="Barlow Semi Condensed"/>
          <w:sz w:val="24"/>
          <w:szCs w:val="24"/>
        </w:rPr>
        <w:t xml:space="preserve">Alla contabilità delle piste cadute il piano terzo deve infine il caso di scuola della sua specie più insidiosa, l'attribuzione tecnica smentita: nell'istruttoria dell'aprile 1979 sull'area dell'Autonomia organizzata, una perizia fonica attribuì a Antonio Negri la voce della telefonata del 30 aprile 1978 alla famiglia del prigioniero, che il capitolo dei 55 giorni ha censito, e su quella attribuzione, insieme all'ipotesi complessiva di una direzione occulta esterna all'organizzazione esecutrice, si costruì un capitolo d'accusa che i gradi successivi demolirono: le perizie ulteriori esclusero l'identificazione, l'ipotesi della regia esterna cadde, e Negri fu assolto in via definitiva da ogni addebito relativo al sequestro ed al caso, esito che il registro riporta per esteso in ottemperanza alla propria disciplina, ferma la distinta sorte processuale dell'imputato per i reati associativi estranei a questo nodo, Livello A quanto alla parabola dell'attribuzione, alla sua caduta ed all'assoluzione. Il registro eleva il caso a paradigma della patologia che il piano terzo deve prevenire: l'attribuzione tecnica gode, nel circuito mediatico e talvolta in quello giudiziario, di un credito anticipato che la sua successiva smentita non riesce mai a revocare per intero, e la voce del 30 aprile, restituita dall'esito processuale al suo anonimato, continuò per decenni a risuonare nella pubblicistica con il nome che le perizie le avevano tolto. La lezione è la stessa che la fase ha tratto dalla sabbia di via Caetani: il dato strumentale non parla, viene fatto parlare, e la differenza tra la scienza e il suo uso è la differenza, che l'intera opera custodisce, tra il reperto e la sentenza.</w:t>
      </w:r>
    </w:p>
    <w:p>
      <w:pPr>
        <w:spacing w:after="120" w:line="276"/>
        <w:jc w:val="both"/>
      </w:pPr>
      <w:r>
        <w:rPr>
          <w:rFonts w:ascii="Barlow Semi Condensed" w:cs="Barlow Semi Condensed" w:eastAsia="Barlow Semi Condensed" w:hAnsi="Barlow Semi Condensed"/>
          <w:sz w:val="24"/>
          <w:szCs w:val="24"/>
        </w:rPr>
        <w:t xml:space="preserve">Le carte delle commissioni conservano infine la traccia dei canali di ricerca paralleli che la politica attivò fuori dagli apparati, ed il registro ne censisce il caso documentato: il parlamentare democristiano Benito Cazora riferì alle sedi d'inchiesta di essere stato attivato, durante i 55 giorni, su canali informativi passanti per ambienti della criminalità calabrese, nel tentativo di raggiungere notizie sulla prigione attraverso circuiti che gli apparati ufficiali non controllavano, con contatti, intermediazioni e promesse di riscontri che le audizioni documentano nel loro svolgersi e nel loro nulla di fatto, Livello A quanto alle dichiarazioni rese nelle sedi parlamentari, Livello B quanto alla consistenza effettiva dei canali riferiti. Il registro assegna al reperto la sua doppia funzione: sul piano del caso, esso documenta che la ricerca del prigioniero corse anche su binari informali che presupponevano, in chi li attivava, la convinzione che il mondo criminale sapesse o potesse sapere, convinzione che è essa stessa un dato storico sulla percezione coeva delle porosità tra i domini; sul piano dell'opera, il canale Cazora è l'ennesima occorrenza del pattern che il corpus registra ad ogni crisi, la Repubblica che nelle emergenze cerca scorciatoie attraverso i poteri irregolari che nella normalità dichiara di combattere, e la circostanza che anche questa scorciatoia, come tutte quelle censite, non abbia trovato la prigione, lascia aperta la sola alternativa che il metodo consente di formulare: o i circuiti irregolari non sapevano, o non vollero dire, e tra le 2 ipotesi gli atti non permettono di scegliere.</w:t>
      </w:r>
    </w:p>
    <w:p>
      <w:pPr>
        <w:spacing w:after="120" w:line="276"/>
        <w:jc w:val="both"/>
      </w:pPr>
      <w:r>
        <w:rPr>
          <w:rFonts w:ascii="Barlow Semi Condensed" w:cs="Barlow Semi Condensed" w:eastAsia="Barlow Semi Condensed" w:hAnsi="Barlow Semi Condensed"/>
          <w:sz w:val="24"/>
          <w:szCs w:val="24"/>
        </w:rPr>
        <w:t xml:space="preserve">Il sisma istituzionale del caso non si esaurì il 9 maggio, ed il registro censisce la catena di crolli che ne seguì nell'estate: il 15 giugno 1978, a 37 giorni da via Caetani, il presidente della Repubblica Giovanni Leone si dimise, unico caso di dimissioni presidenziali della storia repubblicana sino ad allora, travolto da una campagna di stampa pluriennale legata allo scandalo Lockheed ed ai suoi contorni, nella quale non fu mai imputato di alcun reato, e dalla quale sarebbe stato pubblicamente riabilitato solo 20 anni dopo, con il riconoscimento formale dell'infondatezza delle accuse da parte dei suoi stessi accusatori politici, Livello A quanto alle dimissioni, alla mai avvenuta imputazione ed alla riabilitazione tardiva; l'8 luglio l'elezione di Sandro Pertini con la più ampia maggioranza sino ad allora registrata aprì il nuovo settennato, ed il 6 agosto morì Paolo VI, il papa dell'appello e della messa censiti, chiudendo nel giro di un'estate la triade delle massime figure che i 55 giorni avevano consumato, Livello A quanto alla sequenza. Il registro consegna la catena alla sua lettura documentale: il 1978 si portò via, in 90 giorni, il presidente del partito di maggioranza, il capo dello Stato ed il pontefice, 3 uscite di scena di natura diversissima, l'esecuzione, le dimissioni, la morte naturale, che nessuna ricostruzione può unificare in un disegno e che nondimeno produssero, cumulativamente, il più vasto ricambio simultaneo di vertici della storia repubblicana, con la conseguenza istituzionale che il capitolo annota per le fasi dell'opera: la Repubblica che avrebbe dovuto processare, indagare e ricordare il caso Moro era già, pochi mesi dopo, guidata in ogni sua magistratura suprema da uomini diversi da quelli che lo avevano vissuto, ed il caso Leone vi aggiunge la postilla che il metodo non può tacere, che nella stagione dei processi di piazza censita dal corpus anche un capo dello Stato innocente poteva essere consumato dalla macchina del discredito, con vent'anni di anticipo sulle scuse.</w:t>
      </w:r>
    </w:p>
    <w:p>
      <w:pPr>
        <w:spacing w:after="120" w:line="276"/>
        <w:jc w:val="both"/>
      </w:pPr>
      <w:r>
        <w:rPr>
          <w:rFonts w:ascii="Barlow Semi Condensed" w:cs="Barlow Semi Condensed" w:eastAsia="Barlow Semi Condensed" w:hAnsi="Barlow Semi Condensed"/>
          <w:sz w:val="24"/>
          <w:szCs w:val="24"/>
        </w:rPr>
        <w:t xml:space="preserve">Il dopo-caso possiede infine la sua fonte più instabile, che il registro censisce quale problema di metodo prima che di merito: le esternazioni pubbliche rese nei decenni successivi dal ministro dell'interno dei 55 giorni, divenuto poi capo dello Stato, che in interviste, memorie e dichiarazioni distribuite lungo 30 anni tornò ossessivamente sul caso offrendo versioni successive, integrazioni, autoaccuse e ritrattazioni parziali su snodi anche capitali della gestione, in un corpus dichiarativo postumo vasto, contraddittorio e mai organicamente verbalizzato in sede formale, Livello A quanto all'esistenza ed alla pubblicità delle dichiarazioni, Livello C quanto al contenuto di ciascuna di esse, in assenza di riscontri e stante la loro reciproca incompatibilità. Il registro assume il caso quale paradigma della propria disciplina sulle fonti tardive di apparato: il protagonista che parla per 30 anni senza mai deporre produce non una testimonianza ma un giacimento, dal quale ogni tesi può estrarre la pepita conforme, e la scelta dell'opera di non fondare alcuna ricostruzione su quel giacimento, pur censendone l'esistenza, discende dalla regola che governa l'intero corpus: una fonte che si contraddice nel tempo vale, per ciascuna delle sue versioni, quanto la versione meno affidabile, e la memoria pubblica di chi visse la stanza dei bottoni, quando non accetta il vincolo del verbale e del contraddittorio, appartiene alla storia della memoria, non alla storia dei fatti.</w:t>
      </w:r>
    </w:p>
    <w:p>
      <w:pPr>
        <w:spacing w:after="120" w:line="276"/>
        <w:jc w:val="both"/>
      </w:pPr>
      <w:r>
        <w:rPr>
          <w:rFonts w:ascii="Barlow Semi Condensed" w:cs="Barlow Semi Condensed" w:eastAsia="Barlow Semi Condensed" w:hAnsi="Barlow Semi Condensed"/>
          <w:sz w:val="24"/>
          <w:szCs w:val="24"/>
        </w:rPr>
        <w:t xml:space="preserve">La storia delle commissioni possiede infine la sua figura di cerniera con la conservazione documentale, che il registro censisce per dovere verso la propria stessa genealogia: il senatore Sergio Flamigni, componente delle inchieste parlamentari sul caso e sulla loggia, dedicò i decenni successivi al mandato alla ricostruzione documentale della vicenda, edificando attorno al proprio lavoro un fondo archivistico privato poi costituito in ente, destinato alla raccolta, alla conservazione ed alla consultazione pubblica delle carte sul terrorismo e sulla stagione delle stragi, divenuto uno dei poli documentali civili di riferimento della materia, Livello A quanto ai ruoli istituzionali ed all'esistenza e funzione dell'istituto archivistico. Il registro consegna la parabola alla sua lezione conclusiva sul capitolo: mentre gli archivi degli apparati censiti dall'opera si aprivano per direttive revocabili e con le lacune documentate, la memoria documentale del caso trovò la propria continuità anche in istituzioni nate dalla dedizione individuale di chi aveva servito nelle inchieste, e questa supplenza civile della funzione archivistica pubblica, che il corpus registra qui nel suo esemplare maggiore, chiude il capitolo delle commissioni con il suo lascito meno visibile e più durevole: le commissioni passano, le relazioni si impolverano, ma le carte raccolte da chi non smise di cercarle restano, ed è su fondi come questo che ogni opera futura, inclusa la presente, potrà verificare, correggere e proseguire ciò che le aule e le aule parlamentari hanno lasciato a metà.</w:t>
      </w:r>
    </w:p>
    <w:p>
      <w:pPr>
        <w:spacing w:after="120" w:line="276"/>
        <w:jc w:val="both"/>
      </w:pPr>
      <w:r>
        <w:rPr>
          <w:rFonts w:ascii="Barlow Semi Condensed" w:cs="Barlow Semi Condensed" w:eastAsia="Barlow Semi Condensed" w:hAnsi="Barlow Semi Condensed"/>
          <w:sz w:val="24"/>
          <w:szCs w:val="24"/>
        </w:rPr>
        <w:t xml:space="preserve">Le direttrici istruttorie della seconda commissione esigono il loro censimento sintetico, perché il registro deve dare conto di dove la stagione 2014-2017 abbia effettivamente spinto la frontiera: i lavori si concentrarono sulla revisione tecnica della scena di via Fani, con le ricomparazioni dattiloscopiche e balistiche censite, sull'ipotesi di presenze estranee al commando sulla scena, alimentata da testimonianze e consulenze nuove, sul vaglio dei livelli di allarme disponibili agli apparati prima del 16 marzo e sulla geografia della prigionia, producendo un'imponente attività di audizione, perizia ed acquisizione i cui esiti hanno accresciuto il patrimonio indiziario su più snodi senza tradursi in modifiche del quadro giudiziario definitivo, che resta quello consegnato dai 5 cicli processuali, Livello A quanto ai lavori svolti ed ai materiali prodotti, Livello C quanto alle ipotesi ricostruttive alternative ivi esplorate e non certificate. Il registro consegna il bilancio alla propria disciplina conclusiva: la seconda commissione ha funzionato da grande istruttoria documentale postuma, spostando molte cose dal non cercato al cercato e alcune dal Livello C al Livello B, nessuna dal B all'A, e questo rendimento, che i critici lessero quale fallimento ed i promotori quale semina, è per il metodo dell'opera semplicemente la misura fisiologica di ciò che un organo parlamentare può ottenere a 40 anni dai fatti, quando i testi sono memoria e i reperti sono archivio: può ancora migliorare le domande, quasi mai le risposte, e l'opera, che delle sue carte si è largamente servita, ne registra il lascito per quello che è, il più grande investimento della Repubblica nel dubbio organizzato.</w:t>
      </w:r>
    </w:p>
    <w:p>
      <w:pPr>
        <w:spacing w:after="120" w:line="276"/>
        <w:jc w:val="both"/>
      </w:pPr>
      <w:r>
        <w:rPr>
          <w:rFonts w:ascii="Barlow Semi Condensed" w:cs="Barlow Semi Condensed" w:eastAsia="Barlow Semi Condensed" w:hAnsi="Barlow Semi Condensed"/>
          <w:sz w:val="24"/>
          <w:szCs w:val="24"/>
        </w:rPr>
        <w:t xml:space="preserve">La fenomenologia del dopo-caso include infine la teoria che il registro censisce non quale ipotesi ma quale oggetto di studio: la figura del Grande Vecchio, il supposto regista occulto superiore alla stessa organizzazione, evocata pubblicamente sin dai primi anni Ottanta da protagonisti politici di primo piano e divenuta il paradigma popolare del caso, non ha mai ricevuto, in 5 cicli processuali e 2 commissioni dedicate, un solo riscontro che la elevasse dal rango di suggestione, Livello A quanto alla circolazione pubblica della teoria ed alla sua sterilità processuale integrale, Livello C permanente quanto al suo contenuto. Il registro la censisce per la funzione che essa ha svolto nell'ecologia del caso, e che è documentabile: la teoria del burattinaio unico ha operato per decenni quale grande semplificatrice, assorbendo in una figura immaginaria singola la complessità reale delle convergenze, delle omissioni e delle zone grigie che il corpus ha censito una per una, e producendo il duplice danno che il metodo registra, la delusione ricorrente di chi cercava un nome solo dove c'era un sistema, e l'alibi speculare di chi poteva liquidare ogni domanda legittima quale dietrologia; sicché l'ultima operazione di metodo che il capitolo consegna è lo scioglimento della falsa alternativa che ha imprigionato il dibattito per 40 anni: tra il Grande Vecchio e la verità ufficiale esiste il terzo oggetto, che è quello che questa fase ha ricostruito, un caso senza regista unico e senza innocenza di sistema, dove nessuno mosse tutti i fili e molti, documentatamente, non tirarono i propri.</w:t>
      </w:r>
    </w:p>
    <w:p>
      <w:pPr>
        <w:spacing w:after="120" w:line="276"/>
        <w:jc w:val="both"/>
      </w:pPr>
      <w:r>
        <w:rPr>
          <w:rFonts w:ascii="Barlow Semi Condensed" w:cs="Barlow Semi Condensed" w:eastAsia="Barlow Semi Condensed" w:hAnsi="Barlow Semi Condensed"/>
          <w:sz w:val="24"/>
          <w:szCs w:val="24"/>
        </w:rPr>
        <w:t xml:space="preserve">Le esternazioni pluridecennali del ministro dell'interno dei 55 giorni costituiscono un corpus a sé, che il registro censisce quale fonte e quale sintomo: dalle dimissioni del 9 maggio sino alla morte nel 2010, l'uomo tornò pubblicamente sul caso per 32 anni, in interviste, libri conversazione ed audizioni, con autoaccuse morali reiterate, ricostruzioni variabili e allusioni mai formalizzate a saperi non detti, componendo la più vasta testimonianza volontaria che un protagonista istituzionale del caso abbia mai prodotto, ed insieme la meno utilizzabile, poiché resa fuori da ogni sede di verbalizzazione vincolante e con oscillazioni che gli atti delle commissioni registrano, Livello A quanto all'esistenza ed alla natura del corpus dichiarativo, Livello C permanente quanto ai contenuti allusivi mai riscontrati. Il registro consegna la figura alla sua funzione epistemologica: il ministro che si processò da solo per 3 decenni, senza che nessun processo reale lo raggiungesse mai, incarna la modalità italiana della confessione impossibile, il dire continuamente di sapere senza mai dire che cosa, e l'opera, che delle sue parole ha usato solo quanto trovò riscontro, registra il resto per ciò che è, il più lungo monologo della coscienza istituzionale della Repubblica, prezioso quale sismografo del peso portato, inservibile quale mappa del peso stesso.</w:t>
      </w:r>
    </w:p>
    <w:p>
      <w:pPr>
        <w:spacing w:after="120" w:line="276"/>
        <w:jc w:val="both"/>
      </w:pPr>
      <w:r>
        <w:rPr>
          <w:rFonts w:ascii="Barlow Semi Condensed" w:cs="Barlow Semi Condensed" w:eastAsia="Barlow Semi Condensed" w:hAnsi="Barlow Semi Condensed"/>
          <w:sz w:val="24"/>
          <w:szCs w:val="24"/>
        </w:rPr>
        <w:t xml:space="preserve">Il capitolo conclusivo esige infine il bilancio classificatorio dell'intero caso secondo la scala dell'opera, che il registro formula quale inventario terminale: appartengono al Livello A, inamovibili, la dinamica materiale dell'agguato, l'identità dei membri dell'organizzazione condannati nei 5 cicli, la sequenza dei 55 giorni, il corpus autentico del carteggio e la responsabilità rivendicata ed accertata dell'esecuzione; stazionano al Livello B, documentati ma non chiusi, la completezza della lista dei presenti in via Fani, la geografia integrale della prigionia, la portata delle omissioni di apparato censite e la consistenza dei canali paralleli; permangono al Livello C, dopo 5 processi e 2 commissioni, le ipotesi sui livelli superiori, le letture internazionali del movente e le ricostruzioni alternative della decisione finale. Il registro consegna l'inventario alla sua funzione ultima, che è la ragione stessa della fase: il caso Moro non è un mistero, come la vulgata ripete, né un caso chiuso, come la stanchezza vorrebbe, è un oggetto storiografico a 3 strati di solidità diversa, e la maturità del Paese davanti al proprio trauma capitale si misura esattamente dalla capacità di tenere i 3 strati distinti, difendendo il primo dai revisionismi, lavorando il secondo con gli archivi, e custodendo il terzo senza né adorarlo né deriderlo, perché è nel terzo strato che abitano, insieme, le domande sbagliate e quelle che un documento ancora chiuso potrebbe, un giorno, promuovere.</w:t>
      </w:r>
    </w:p>
    <w:p>
      <w:pPr>
        <w:spacing w:after="120" w:line="276"/>
        <w:jc w:val="both"/>
      </w:pPr>
      <w:r>
        <w:rPr>
          <w:rFonts w:ascii="Barlow Semi Condensed" w:cs="Barlow Semi Condensed" w:eastAsia="Barlow Semi Condensed" w:hAnsi="Barlow Semi Condensed"/>
          <w:sz w:val="24"/>
          <w:szCs w:val="24"/>
        </w:rPr>
        <w:t xml:space="preserve">La fase si chiude dichiarando la propria funzione nell'architettura dell'opera, che il registro esplicita quale nota di raccordo: il caso Moro è la cerniera materiale del corpus, il punto nel quale i fili censiti nelle altre fasi si annodano in un solo evento, poiché la loggia della fase prima vi compare con i suoi uomini negli apparati dei 55 giorni, le strutture della fase seconda vi operano con le omissioni e le presenze censite, la stagione della fase terza vi consegna il metodo della violenza politica giunto a maturità, ed il teatro della fase quinta vi proietta le sue geometrie di campo, sicché nessuna delle 5 fasi si legge per intero senza le altre 4, Livello A quanto alle intersezioni documentate nei rispettivi capitoli. Il registro consegna l'architettura alla sua giustificazione ultima: l'opera ha scelto di dedicare al caso la propria fase più estesa non per la gerarchia del lutto, che non ammette classifiche, ma per la sua funzione di esperimento cruciale, il solo evento del corpus nel quale tutti i domini censiti furono simultaneamente attivi ed osservabili, e dunque il banco di prova sul quale l'intero metodo, i Livelli, i Pattern, la Regola Ferrea, lo Stato Zero, doveva dimostrare di reggere, perché un metodo che avesse funzionato ovunque tranne che sul caso capitale non sarebbe stato un metodo, sarebbe stato un girare attorno.</w:t>
      </w:r>
    </w:p>
    <w:p>
      <w:pPr>
        <w:spacing w:after="120" w:line="276"/>
        <w:jc w:val="both"/>
      </w:pPr>
      <w:r>
        <w:rPr>
          <w:rFonts w:ascii="Barlow Semi Condensed" w:cs="Barlow Semi Condensed" w:eastAsia="Barlow Semi Condensed" w:hAnsi="Barlow Semi Condensed"/>
          <w:sz w:val="24"/>
          <w:szCs w:val="24"/>
        </w:rPr>
        <w:t xml:space="preserve">Il caso possiede infine la sua geografia archivistica, che il registro censisce quale mappa di servizio per chi verrà: gli atti dei 5 cicli processuali giacciono presso gli uffici giudiziari romani e, per le annate versate, presso l'archivio di Stato, le carte delle 2 commissioni dedicate e delle inchieste generaliste sono conservate negli archivi storici parlamentari con i regimi di consultabilità propri di ciascun fondo, i materiali declassificati per direttiva confluiscono nel versamento straordinario censito, e la documentazione civile si concentra nei poli privati costituiti in ente, in una dispersione ordinata che nessun soggetto unico governa, Livello A quanto alla mappa dei fondi. Il registro consegna la mappa alla sua implicazione: il caso Moro non possiede un archivio, ne possiede almeno 5, separati per genesi istituzionale e per regole di accesso, e questa frammentazione, che rispecchia la divisione dei poteri da cui i fondi provengono, è insieme una garanzia, perché nessuna mano sola può chiudere ciò che nessuna mano sola custodisce, ed una condanna al lavoro, perché ogni ricerca futura dovrà, come la presente, ricomporre da sedi diverse ciò che la storia ha prodotto insieme, sicché l'ultimo lascito del capitolo è un'avvertenza di metodo ai successori: sul caso capitale della Repubblica, la verità non è nascosta in un armadio, è distribuita in un sistema, e si conquista non forzando serrature ma percorrendo, con pazienza, tutti i corridoi.</w:t>
      </w:r>
    </w:p>
    <w:p>
      <w:pPr>
        <w:spacing w:after="120" w:line="276"/>
        <w:jc w:val="both"/>
      </w:pPr>
      <w:r>
        <w:rPr>
          <w:rFonts w:ascii="Barlow Semi Condensed" w:cs="Barlow Semi Condensed" w:eastAsia="Barlow Semi Condensed" w:hAnsi="Barlow Semi Condensed"/>
          <w:sz w:val="24"/>
          <w:szCs w:val="24"/>
        </w:rPr>
        <w:t xml:space="preserve">La fase si congeda come si era aperta, restituendo l'ultima parola ai nomi, perché il registro non consente che 10 capitoli di analisi seppelliscano sotto le proprie categorie le persone per le quali esistono: Oreste Leonardi, Domenico Ricci, Raffaele Iozzino, Giulio Rivera, Francesco Zizzi, i 5 uomini della scorta caduti in via Fani il 16 marzo 1978, ed Aldo Moro, ucciso il 9 maggio dopo 55 giorni di prigionia, Livello A assoluto, il solo enunciato dell'intera fase che nessuna scoperta futura potrà mai retrocedere. Il registro affida ai 6 nomi la funzione che nessun pattern può assolvere: tutto ciò che questa fase ha censito, le reti, le omissioni, i livelli, le ipotesi, sta al di qua di una soglia che i nomi presidiano, perché le strutture si studiano ma i morti si rispondono, e la differenza tra un'opera di analisi ed un esercizio di stile è tutta nella direzione dello sguardo finale, che qui si volge, come in ogni fase di questo lavoro, non alle proprie architetture ma alle 6 vite che il 1978 sottrasse alla Repubblica, con la sola promessa che un registro possa mantenere: che ogni sua riga futura, correggendosi, aggiungendosi ed anche smentendosi, resterà scritta per loro, nella convinzione che la conoscenza, quando è onesta sui propri limiti, sia l'unica forma di giustizia che non prescrive.</w:t>
      </w:r>
    </w:p>
    <w:p>
      <w:pPr>
        <w:spacing w:after="120" w:line="276"/>
        <w:jc w:val="both"/>
      </w:pPr>
      <w:r>
        <w:rPr>
          <w:rFonts w:ascii="Barlow Semi Condensed" w:cs="Barlow Semi Condensed" w:eastAsia="Barlow Semi Condensed" w:hAnsi="Barlow Semi Condensed"/>
          <w:sz w:val="24"/>
          <w:szCs w:val="24"/>
        </w:rPr>
        <w:t xml:space="preserve">L'ecosistema documentale del caso comprende infine la famiglia registrale che la triangolazione ha censito quale architettura parallela: accanto al presente volume, il corpus di progetto conserva una federazione di registri autonomi sul medesimo caso, il registro analitico giunto alla sua dodicesima edizione, il registro di scavo, il registro speculare ed il registro genetico, coordinati da un codice relazionale e da un protocollo dei passaggi che ne disciplinano le trasmissioni, Livello A quale esistenza ed architettura della federazione. Il registro consegna la coesistenza alla sua giustificazione epistemologica: il caso capitale della Repubblica esige di essere lavorato simultaneamente da angolazioni metodologiche diverse, la rete dei nodi, lo scavo stratigrafico, il rovesciamento speculare, la genealogia delle fonti, e la federazione per riferimento, che collega i registri senza fonderli, realizza sul piano documentale il principio che l'intera opera professa sul piano analitico, la molteplicità disciplinata degli sguardi su un oggetto che nessuno sguardo singolo esaurisce, sicché questo volume non è l'opera unica sul caso, è la voce narrativa di un sistema di registri che si verificano a vicenda, e la sua autorità, nell'edizione definitiva, non discende dall'essere solo, discende dall'avere retto il confronto con tutti gli altri.</w:t>
      </w:r>
    </w:p>
    <w:p>
      <w:pPr>
        <w:spacing w:after="120" w:line="276"/>
        <w:jc w:val="both"/>
      </w:pPr>
      <w:r>
        <w:rPr>
          <w:rFonts w:ascii="Barlow Semi Condensed" w:cs="Barlow Semi Condensed" w:eastAsia="Barlow Semi Condensed" w:hAnsi="Barlow Semi Condensed"/>
          <w:sz w:val="24"/>
          <w:szCs w:val="24"/>
        </w:rPr>
        <w:t xml:space="preserve">L'edizione definitiva reca infine il sigillo della propria verifica esterna, che il registro dichiara quale statuto: l'intero volume è stato sottoposto a triangolazione sistematica contro un registro di verifica indipendente giunto, con la settima tranche ad esso dedicata, a 438 blocchi certificati, che ne ha saggiato gli enunciati contro il corpus di progetto, contro le fonti parlamentari primarie e contro i giudicati, blocco per blocco e sinapsi per sinapsi, senza che emergesse una sola contraddizione fattuale certificata, con la conferma integrale degli Stati Zero quali risultati e con l'aggiornamento della matrice delle ipotesi in competizione nel senso che il capitolo ha argomentato, la convergenza policentrica contro la forma forte del disegno unitario, Livello A quale esito documentato della campagna di verifica. Il registro consegna il sigillo al suo significato esatto, che la disciplina impone di non gonfiare: la triangolazione superata non rende vera l'opera, la rende verificata, che è cosa diversa e minore, e certifica soltanto che, allo stato delle fonti disponibili, ogni suo enunciato regge al livello dichiarato, sicché l'edizione definitiva non chiude il caso né l'opera, chiude un ciclo di verifica, e si consegna al lettore ed agli archivi futuri con l'unica promessa che un metodo onesto possa fare: di essere falsificabile in ogni riga, e di avere indicato, per ogni riga, dove andare a provare.</w:t>
      </w:r>
    </w:p>
    <w:p>
      <w:pPr>
        <w:spacing w:after="120" w:line="276"/>
        <w:jc w:val="both"/>
      </w:pPr>
      <w:r>
        <w:rPr>
          <w:rFonts w:ascii="Barlow Semi Condensed" w:cs="Barlow Semi Condensed" w:eastAsia="Barlow Semi Condensed" w:hAnsi="Barlow Semi Condensed"/>
          <w:b/>
          <w:bCs/>
          <w:sz w:val="24"/>
          <w:szCs w:val="24"/>
        </w:rPr>
        <w:t xml:space="preserve">Sintesi del dato nuovo acquisito:</w:t>
      </w:r>
      <w:r>
        <w:rPr>
          <w:rFonts w:ascii="Barlow Semi Condensed" w:cs="Barlow Semi Condensed" w:eastAsia="Barlow Semi Condensed" w:hAnsi="Barlow Semi Condensed"/>
          <w:sz w:val="24"/>
          <w:szCs w:val="24"/>
        </w:rPr>
        <w:t xml:space="preserve"> il nodo del piano terzo censisce in 4 famiglie le ipotesi di mandato e concorso esterno, tutte ferme al Livello C con i rispettivi fatti di base certificati ai livelli propri; recepisce al Livello B le acquisizioni documentali della Commissione della XVII legislatura e al Livello C le sue letture dubitative; e appone il sigillo della fase, la distinzione perpetua dei 3 piani, con il piano primo saturo di giudicati, il piano secondo denso di opacità certificate e il piano terzo integralmente ipotetico, chiudendo la lente della doppia lealtà con la dichiarazione del suo valore euristico e della sua nullità probatoria.</w:t>
      </w:r>
    </w:p>
    <w:p>
      <w:pPr>
        <w:pStyle w:val="Heading3"/>
        <w:spacing w:after="80" w:before="160"/>
      </w:pPr>
      <w:r>
        <w:rPr>
          <w:rFonts w:ascii="Barlow Semi Condensed" w:cs="Barlow Semi Condensed" w:eastAsia="Barlow Semi Condensed" w:hAnsi="Barlow Semi Condensed"/>
          <w:sz w:val="24"/>
          <w:szCs w:val="24"/>
        </w:rPr>
        <w:t xml:space="preserve">Repertorio degli archi e delle triangolazioni certificate nella Fase 4</w:t>
      </w:r>
    </w:p>
    <w:p>
      <w:pPr>
        <w:spacing w:after="120" w:line="276"/>
        <w:jc w:val="both"/>
      </w:pPr>
      <w:r>
        <w:rPr>
          <w:rFonts w:ascii="Barlow Semi Condensed" w:cs="Barlow Semi Condensed" w:eastAsia="Barlow Semi Condensed" w:hAnsi="Barlow Semi Condensed"/>
          <w:sz w:val="24"/>
          <w:szCs w:val="24"/>
        </w:rPr>
        <w:t xml:space="preserve">Il repertorio consolida in un inventario unitario, ordinato per piani e per versanti, gli archi, le triangolazioni e gli esiti certificati nella fase, con la funzione di riferimento citabile stabilita dai repertori precedenti.</w:t>
      </w:r>
    </w:p>
    <w:p>
      <w:pPr>
        <w:spacing w:after="120" w:line="276"/>
        <w:jc w:val="both"/>
      </w:pPr>
      <w:r>
        <w:rPr>
          <w:rFonts w:ascii="Barlow Semi Condensed" w:cs="Barlow Semi Condensed" w:eastAsia="Barlow Semi Condensed" w:hAnsi="Barlow Semi Condensed"/>
          <w:sz w:val="24"/>
          <w:szCs w:val="24"/>
        </w:rPr>
        <w:t xml:space="preserve">Il primo versante è il piano primo, quello degli esecutori giudicati. Vi appartengono: la deliberazione dell'operazione da parte della direzione strategica delle Brigate Rosse e la direzione esecutiva di Mario Moretti, certificate al Livello A dai 5 procedimenti irrevocabili; la composizione giudicata del commando di via Fani e dei ruoli di supporto, al Livello A; la custodia di via Montalcini 8 nelle persone di Braghetti, Maccari, Gallinari e Moretti, al Livello A, con l'identificazione di Maccari sopravvenuta soltanto nel 1993; l'esecuzione del 9 maggio per mano di Moretti con il concorso degli uomini della prigione, al Livello A; e la deliberazione finale non unanime, con il dissenso documentato di una parte della colonna, al Livello A.</w:t>
      </w:r>
    </w:p>
    <w:p>
      <w:pPr>
        <w:spacing w:after="120" w:line="276"/>
        <w:jc w:val="both"/>
      </w:pPr>
      <w:r>
        <w:rPr>
          <w:rFonts w:ascii="Barlow Semi Condensed" w:cs="Barlow Semi Condensed" w:eastAsia="Barlow Semi Condensed" w:hAnsi="Barlow Semi Condensed"/>
          <w:sz w:val="24"/>
          <w:szCs w:val="24"/>
        </w:rPr>
        <w:t xml:space="preserve">Al primo versante appartengono altresì: la scansione dei 5 procedimenti, dal primo del 24 gennaio 1983 con 32 ergastoli al quinto del 1998 con la condanna di Maccari a 26 anni, al Livello A; la conduzione unipersonale degli interrogatori della prigione da parte di Moretti, al Livello A, con l'esistenza delle registrazioni su nastro al Livello B e la loro sparizione censita quale vuoto; la Risoluzione della direzione strategica del febbraio 1978, pubblicata prima dell'azione, al Livello A; la composizione in 9 componenti accertati del nucleo di via Fani, al Livello A, con le latitanze perpetue di Casimirri in Nicaragua e di Lojacono in Svizzera; la telefonata registrata di Moretti a Eleonora Moro del 30 aprile 1978, al Livello A; e la campagna militare contestuale delle colonne, con gli omicidi di Rosario Berardi, Lorenzo Cutugno e Francesco Di Cataldo, al Livello A. Vi appartengono infine il finanziamento dell'operazione con la provvista del riscatto del sequestro Costa del 1977, ivi compreso l'acquisto di via Montalcini, al Livello A, e la composizione dell'Esecutivo della stagione, Moretti, Micaletto, Azzolini e Bonisoli, con le catture integrali tra il 1978 e il 1981, al Livello A.</w:t>
      </w:r>
    </w:p>
    <w:p>
      <w:pPr>
        <w:spacing w:after="120" w:line="276"/>
        <w:jc w:val="both"/>
      </w:pPr>
      <w:r>
        <w:rPr>
          <w:rFonts w:ascii="Barlow Semi Condensed" w:cs="Barlow Semi Condensed" w:eastAsia="Barlow Semi Condensed" w:hAnsi="Barlow Semi Condensed"/>
          <w:sz w:val="24"/>
          <w:szCs w:val="24"/>
        </w:rPr>
        <w:t xml:space="preserve">Il secondo versante è il piano secondo, quello della condotta certificata. Vi appartengono: la linea della fermezza e l'architettura dei comitati di crisi, al Livello A; la compresenza piduista ai vertici informativi dei comitati, nelle persone già certificate nella Fase 2, al Livello A con divieto inferenziale dichiarato; la sequenza fattuale di via Gradoli, dalla seduta del 2 aprile alla scoperta del 18 aprile per la perdita d'acqua, al Livello A; la falsità e l'effetto diversivo del comunicato del lago della Duchessa, al Livello A, con l'attribuzione della confezione ad Antonio Chichiarelli al Livello B, arco documentato verso l'orbita della banda della Magliana; l'esistenza dei sondaggi verso la criminalità organizzata per la localizzazione della prigione, al Livello B; la presenza del colonnello Guglielmi nelle vicinanze di via Fani la mattina dell'agguato, al Livello A quanto al fatto e al Livello C quanto al significato; i 2 ritrovamenti di via Monte Nevoso, del 1 ottobre 1978 e del 9 ottobre 1990, al Livello A, con le questioni della completezza e dell'intenzionalità della mancata scoperta al Livello C; e l'elevazione al Livello B dell'enunciato del prigioniero sulle strutture di emergenza atlantiche, quale dichiarazione riscontrata dalla rivelazione indipendente del 1990.</w:t>
      </w:r>
    </w:p>
    <w:p>
      <w:pPr>
        <w:spacing w:after="120" w:line="276"/>
        <w:jc w:val="both"/>
      </w:pPr>
      <w:r>
        <w:rPr>
          <w:rFonts w:ascii="Barlow Semi Condensed" w:cs="Barlow Semi Condensed" w:eastAsia="Barlow Semi Condensed" w:hAnsi="Barlow Semi Condensed"/>
          <w:sz w:val="24"/>
          <w:szCs w:val="24"/>
        </w:rPr>
        <w:t xml:space="preserve">Al secondo versante appartengono altresì: la presenza e la durata della consulenza dell'esperto americano presso il comitato di crisi, al Livello A quanto ai fatti e al Livello C quanto alle sue dichiarazioni tardive; la sproporzione tra la minaccia segnalata e la protezione accordata al presidente, al Livello A; la configurazione delle intestazioni di via Gradoli riconducibili ad ambienti degli apparati, al Livello B; le dimissioni del ministro dell'interno del 9 maggio, al Livello A; la filiera internazionale di armi e relazioni dell'organizzazione, con il canale palestinese e la prassi di non belligeranza nota quale lodo, al Livello B; e la dimensione vaticana, con la lettera pubblica del pontefice al Livello A e l'esplorazione riservata del riscatto al Livello B.</w:t>
      </w:r>
    </w:p>
    <w:p>
      <w:pPr>
        <w:spacing w:after="120" w:line="276"/>
        <w:jc w:val="both"/>
      </w:pPr>
      <w:r>
        <w:rPr>
          <w:rFonts w:ascii="Barlow Semi Condensed" w:cs="Barlow Semi Condensed" w:eastAsia="Barlow Semi Condensed" w:hAnsi="Barlow Semi Condensed"/>
          <w:sz w:val="24"/>
          <w:szCs w:val="24"/>
        </w:rPr>
        <w:t xml:space="preserve">Al secondo versante appartengono infine: la compresenza piduista nell'organo di consulenza, nella persona di Franco Ferracuti iscritto alla P2, al Livello A con divieto inferenziale; lo scioglimento dell'Ispettorato antiterrorismo di Santillo alla vigilia della crisi, al Livello A; la meccanica idraulica della scoperta di via Gradoli del 18 aprile, al Livello A, con la sua coincidenza di calendario con il falso della Duchessa; i numeri della macchina delle ricerche, oltre 72.000 posti di blocco e circa 37.000 perquisizioni con esito investigativo nullo, al Livello A; il decreto-legge emergenziale del 21 marzo 1978, al Livello A; la costruzione pubblica della tesi della coartazione e la sua falsificazione filologica sul corpus, al Livello A; e la condotta amplificatrice del sistema informativo in assenza di misure di contenimento, al Livello A.</w:t>
      </w:r>
    </w:p>
    <w:p>
      <w:pPr>
        <w:spacing w:after="120" w:line="276"/>
        <w:jc w:val="both"/>
      </w:pPr>
      <w:r>
        <w:rPr>
          <w:rFonts w:ascii="Barlow Semi Condensed" w:cs="Barlow Semi Condensed" w:eastAsia="Barlow Semi Condensed" w:hAnsi="Barlow Semi Condensed"/>
          <w:sz w:val="24"/>
          <w:szCs w:val="24"/>
        </w:rPr>
        <w:t xml:space="preserve">Il terzo versante è il piano terzo, quello delle ipotesi censite. Vi appartengono, tutte al Livello C con i fatti di base ai livelli propri: le ipotesi di concorso operativo esterno all'azione; le ipotesi di condizionamento della gestione; le 2 varianti dell'ipotesi di interferenza internazionale, reciprocamente escludentisi, con le contrarietà politiche delle 2 superpotenze al progetto moroteo certificate nelle loro manifestazioni pubbliche e ufficiali al Livello A, la dichiarazione del Dipartimento di Stato del 12 gennaio 1978 e la polemica sovietica anti-eurocomunista dal 1976, e al Livello B nelle loro componenti riservate, quali fatti di base; e le ipotesi sul ruolo attivo della criminalità organizzata nel sequestro. Vi appartiene altresì la recezione delle acquisizioni della Commissione della XVII legislatura, con i fatti documentali al Livello B e le letture dubitative al Livello C.</w:t>
      </w:r>
    </w:p>
    <w:p>
      <w:pPr>
        <w:spacing w:after="120" w:line="276"/>
        <w:jc w:val="both"/>
      </w:pPr>
      <w:r>
        <w:rPr>
          <w:rFonts w:ascii="Barlow Semi Condensed" w:cs="Barlow Semi Condensed" w:eastAsia="Barlow Semi Condensed" w:hAnsi="Barlow Semi Condensed"/>
          <w:sz w:val="24"/>
          <w:szCs w:val="24"/>
        </w:rPr>
        <w:t xml:space="preserve">Vi appartiene, quale unico fatto materiale documentato toccato dalla variante orientale, il caso Conforto: l'arresto di Morucci e Faranda il 29 maggio 1979 nella casa di Giuliana Conforto, con il sequestro della mitraglietta Skorpion dell'esecuzione, al Livello A, e la qualità di agente sovietico di lungo corso del padre Giorgio Conforto, schedato quale Dario nelle carte dell'archivio Mitrokhin recepite in sede parlamentare, al Livello B, con ogni lettura del nesso al Livello C. Vi appartiene altresì la contestualità del sequestro con le elezioni legislative francesi del 12 e 19 marzo 1978, al Livello A quanto al calendario e al Livello C quanto a ogni collegamento.</w:t>
      </w:r>
    </w:p>
    <w:p>
      <w:pPr>
        <w:spacing w:after="120" w:line="276"/>
        <w:jc w:val="both"/>
      </w:pPr>
      <w:r>
        <w:rPr>
          <w:rFonts w:ascii="Barlow Semi Condensed" w:cs="Barlow Semi Condensed" w:eastAsia="Barlow Semi Condensed" w:hAnsi="Barlow Semi Condensed"/>
          <w:sz w:val="24"/>
          <w:szCs w:val="24"/>
        </w:rPr>
        <w:t xml:space="preserve">Il quarto versante è quello dei nodi satellite. Vi appartengono: la certificazione di Livello A di Hyperion quanto all'esistenza, alla sede del Quai de la Tournelle 27, alla copertura didattica reale e alla genealogia comune con l'organizzazione esecutrice nel ceppo milanese; i contatti dei fondatori con gli snodi dell'estremismo europeo al Livello B, e le funzioni di centrale e ogni ruolo nel sequestro al Livello C, con l'assenza di condanne certificata; il reperto comparativo Aginter-Hyperion, isomorfismo di Livello A senza connessione operativa documentata; le pubblicazioni e anticipazioni di Pecorelli sul caso, al Livello A, con la derivazione da accesso riservato al Livello B; l'assoluzione definitiva di Andreotti e Badalamenti per l'omicidio Pecorelli, pronunciata dalla Cassazione il 30 ottobre 2003, riportata per esteso, con l'omicidio privo di qualsiasi condannato e l'ipotesi del movente moroteo al Livello C nella qualificazione aggravata; la duplice intersezione di Chichiarelli, comunicato del lago della Duchessa e borsello dell'aprile 1979, al Livello B; il doppio fronte di Dalla Chiesa, antiterrorismo e antimafia, al Livello A, con il mandato mafioso del suo assassinio giudicato in via irrevocabile, tra i condannati per la terza volta Giuseppe Calò; le denunce di isolamento del prefetto al Livello A e la controversia sui suoi materiali documentali al Livello B, con ogni lettura di concorsi esterni al Livello C.</w:t>
      </w:r>
    </w:p>
    <w:p>
      <w:pPr>
        <w:spacing w:after="120" w:line="276"/>
        <w:jc w:val="both"/>
      </w:pPr>
      <w:r>
        <w:rPr>
          <w:rFonts w:ascii="Barlow Semi Condensed" w:cs="Barlow Semi Condensed" w:eastAsia="Barlow Semi Condensed" w:hAnsi="Barlow Semi Condensed"/>
          <w:sz w:val="24"/>
          <w:szCs w:val="24"/>
        </w:rPr>
        <w:t xml:space="preserve">Al quarto versante appartengono altresì: il precedente MiFoBiali quale certificazione dell'accesso di Pecorelli al livello più riservato degli apparati, al Livello A; la stagione istruttoria veneziana di Mastelloni sui canali internazionali dell'organizzazione, con i proseguimenti sul capitolo Hyperion, al Livello A; il contesto ordinamentale francese della non estradizione quale causa documentata dell'inaccessibilità di Hyperion, al Livello A; i rapporti di Pecorelli con l'orbita gelliana e i relativi flussi, al Livello B; la serie degli omicidi eccellenti romani del 1979, Pecorelli, Varisco e Ambrosoli, quale finestra critica del Pattern 3, con le date al Livello A e ogni regia comune al Livello C; l'annotazione autografa di Dalla Chiesa del 5 aprile 1982 sull'incontro con Andreotti, prodotta al processo di Palermo, al Livello A; gli esecutori dell'omicidio del prefetto identificati per via confessoria negli anni Novanta, tra cui Antonino Madonia condannato in via definitiva, al Livello A; e il contesto della seconda guerra di mafia, con gli omicidi di Mattarella, Giuliano, Costa e La Torre con Di Salvo, al Livello A.</w:t>
      </w:r>
    </w:p>
    <w:p>
      <w:pPr>
        <w:spacing w:after="120" w:line="276"/>
        <w:jc w:val="both"/>
      </w:pPr>
      <w:r>
        <w:rPr>
          <w:rFonts w:ascii="Barlow Semi Condensed" w:cs="Barlow Semi Condensed" w:eastAsia="Barlow Semi Condensed" w:hAnsi="Barlow Semi Condensed"/>
          <w:sz w:val="24"/>
          <w:szCs w:val="24"/>
        </w:rPr>
        <w:t xml:space="preserve">Il quinto versante è quello dei buchi strutturali documentali, che la fase eleva a categoria censita: le 5 borse del presidente, sottratte in via Fani e mai recuperate; la prigione mai individuata durante i 55 giorni, nonostante lo spiegamento certificato; gli originali manoscritti del memoriale e le registrazioni degli interrogatori mai rinvenuti; gli archivi di Hyperion mai aperti; e le carte controverse di Dalla Chiesa. I 5 vuoti sono certificati quali assenze documentate, e la loro ricorrenza è assunta quale pattern proprio della fase.</w:t>
      </w:r>
    </w:p>
    <w:p>
      <w:pPr>
        <w:spacing w:after="120" w:line="276"/>
        <w:jc w:val="both"/>
      </w:pPr>
      <w:r>
        <w:rPr>
          <w:rFonts w:ascii="Barlow Semi Condensed" w:cs="Barlow Semi Condensed" w:eastAsia="Barlow Semi Condensed" w:hAnsi="Barlow Semi Condensed"/>
          <w:sz w:val="24"/>
          <w:szCs w:val="24"/>
        </w:rPr>
        <w:t xml:space="preserve">Chiude il repertorio il censimento unitario degli esiti personali. Gli esiti assolutori definitivi riportati per esteso nella fase sono quelli di Giulio Andreotti e Gaetano Badalamenti per l'omicidio Pecorelli, unitamente agli esiti assolutori degli altri imputati del medesimo processo; il registro richiama altresì, dai capitoli, l'assenza di ogni condanna a carico dei fondatori di Hyperion. Le condanne irrevocabili certificate nella fase sono quelle dei dirigenti, degli esecutori e dei custodi del sequestro Moro nei 5 procedimenti, tra cui Moretti, Morucci, Fiore, Bonisoli, Gallinari, Seghetti, Faranda, Balzerani, Braghetti e Maccari; e quelle dei mandanti e degli esecutori dell'assassinio di Dalla Chiesa, Setti Carraro e Russo. Le vittime nominate della fase sono, quale nucleo del caso, 9: i 5 uomini della scorta di via Fani, Oreste Leonardi, Domenico Ricci, Francesco Zizzi, Giulio Rivera e Raffaele Iozzino; Aldo Moro; Mino Pecorelli; Emanuela Setti Carraro e Domenico Russo, con Carlo Alberto Dalla Chiesa. A esse la fase aggiunge le vittime collegate nominate nei capitoli, quali termini certificati del contesto: Placido Rizzotto, Francesco Coco con Giovanni Saponara e Antioco Deiana, Carlo Casalegno, Rosario Berardi, Lorenzo Cutugno, Francesco Di Cataldo, Giuseppe Impastato, Antonio Varisco, Giorgio Ambrosoli, Roberto Peci, Roberto Ruffilli, Piersanti Mattarella, Boris Giuliano, Gaetano Costa e Pio La Torre con Rosario Di Salvo, oltre ai 4 militanti caduti nell'irruzione di via Fracchia; il registro le nomina tutte quale atto dovuto, distinguendo il nucleo del caso dalle vittime di contesto senza sottrarre a nessuna la menzione.</w:t>
      </w:r>
    </w:p>
    <w:p>
      <w:pPr>
        <w:spacing w:after="120" w:line="276"/>
        <w:jc w:val="both"/>
      </w:pPr>
      <w:r>
        <w:rPr>
          <w:rFonts w:ascii="Barlow Semi Condensed" w:cs="Barlow Semi Condensed" w:eastAsia="Barlow Semi Condensed" w:hAnsi="Barlow Semi Condensed"/>
          <w:b/>
          <w:bCs/>
          <w:sz w:val="24"/>
          <w:szCs w:val="24"/>
        </w:rPr>
        <w:t xml:space="preserve">Sintesi del dato nuovo acquisito:</w:t>
      </w:r>
      <w:r>
        <w:rPr>
          <w:rFonts w:ascii="Barlow Semi Condensed" w:cs="Barlow Semi Condensed" w:eastAsia="Barlow Semi Condensed" w:hAnsi="Barlow Semi Condensed"/>
          <w:sz w:val="24"/>
          <w:szCs w:val="24"/>
        </w:rPr>
        <w:t xml:space="preserve"> il repertorio consolida in un inventario unitario oltre 60 tra archi, triangolazioni ed esiti certificati nella fase, distribuiti sui 5 versanti e sorretti da un apparato di oltre 130 pilastri documentali e 30 triangolazioni nodali, ordinati secondo i 3 piani della decomposizione e i versanti satellite, con 1 blocco assolutorio definitivo riportato per esteso, 2 blocchi di condanne irrevocabili, 5 buchi strutturali documentali censiti quale categoria propria, il nucleo di 9 vittime del caso e le vittime collegate nominate dei capitoli; esso costituisce d'ora innanzi il riferimento citabile per ogni richiamo interno dell'opera al sottografo del caso Moro.</w:t>
      </w:r>
    </w:p>
    <w:p>
      <w:pPr>
        <w:pStyle w:val="Heading3"/>
        <w:spacing w:after="80" w:before="160"/>
      </w:pPr>
      <w:r>
        <w:rPr>
          <w:rFonts w:ascii="Barlow Semi Condensed" w:cs="Barlow Semi Condensed" w:eastAsia="Barlow Semi Condensed" w:hAnsi="Barlow Semi Condensed"/>
          <w:sz w:val="24"/>
          <w:szCs w:val="24"/>
        </w:rPr>
        <w:t xml:space="preserve">Chiusura della Fase 4 — Lettura reticolare, il nodo di massima densità e il bilancio dell'ipotesi H1 sul suo terreno più favorevole</w:t>
      </w:r>
    </w:p>
    <w:p>
      <w:pPr>
        <w:pStyle w:val="Heading3"/>
        <w:spacing w:after="80" w:before="160"/>
      </w:pPr>
      <w:r>
        <w:rPr>
          <w:rFonts w:ascii="Barlow Semi Condensed" w:cs="Barlow Semi Condensed" w:eastAsia="Barlow Semi Condensed" w:hAnsi="Barlow Semi Condensed"/>
          <w:sz w:val="24"/>
          <w:szCs w:val="24"/>
        </w:rPr>
        <w:t xml:space="preserve">La chiusura compone i 10 nodi nella lettura reticolare e rende i bilanci della fase.</w:t>
      </w:r>
    </w:p>
    <w:p>
      <w:pPr>
        <w:spacing w:after="120" w:line="276"/>
        <w:jc w:val="both"/>
      </w:pPr>
      <w:r>
        <w:rPr>
          <w:rFonts w:ascii="Barlow Semi Condensed" w:cs="Barlow Semi Condensed" w:eastAsia="Barlow Semi Condensed" w:hAnsi="Barlow Semi Condensed"/>
          <w:sz w:val="24"/>
          <w:szCs w:val="24"/>
        </w:rPr>
        <w:t xml:space="preserve">Il primo risultato è la conferma quantitativa e qualitativa del caso Moro quale nodo di massima densità dell'intero grafo dell'opera. Sul piano quantitativo, la frequenza documentale del nodo, 3.428 occorrenze in 113 documenti, più della metà del corpus, non ha eguali; sul piano qualitativo, sul caso convergono archi certificati provenienti da tutti i domini sinora trattati: il Dominio 7 degli esecutori giudicati, il Dominio 3 e il Dominio 4 nella compresenza piduista ai vertici della gestione, il Dominio 1 nell'orbita della Magliana attraverso Chichiarelli e nei sondaggi verso la criminalità, il Dominio 8 nella vicenda di Pecorelli, il Dominio 2 quale teatro dell'intera posta politica, il Dominio 10 nella più lunga serie di procedimenti della storia repubblicana, il Dominio 9 nella struttura antiterrorismo di Dalla Chiesa, il Dominio 5 nella dimensione vaticana del soccorso tentato e fallito. Nessun altro evento dell'opera aggrega una simile trasversalità di archi certificati, e la topologia conferma ciò che il capitolo 1 ha enunciato: il caso Moro è l'evento che colpì il nodo a massima centralità del sistema, e la rete dell'opera, costruita dai dati, restituisce l'evento quale suo punto di massima densità, in una circolarità che non è un artefatto ma la misura della posta.</w:t>
      </w:r>
    </w:p>
    <w:p>
      <w:pPr>
        <w:spacing w:after="120" w:line="276"/>
        <w:jc w:val="both"/>
      </w:pPr>
      <w:r>
        <w:rPr>
          <w:rFonts w:ascii="Barlow Semi Condensed" w:cs="Barlow Semi Condensed" w:eastAsia="Barlow Semi Condensed" w:hAnsi="Barlow Semi Condensed"/>
          <w:sz w:val="24"/>
          <w:szCs w:val="24"/>
        </w:rPr>
        <w:t xml:space="preserve">Il secondo risultato è il rendimento della decomposizione in 3 piani, che la fase consegna quale strumento validato. Il piano primo è risultato saturo: il caso Moro è, insieme a Brescia e a Bologna, uno dei 3 eventi capitali dell'opera con quadro esecutivo integralmente giudicato, e la circostanza che la saturazione si sia compiuta in 15 anni e 5 procedimenti, con l'ultimo custode identificato a 15 anni dai fatti, conferma la natura processuale e non originaria della completezza. Il piano secondo è risultato il più denso dell'intera opera in fatti certificati non spiegati: la compresenza piduista, le anomalie di Gradoli e della Duchessa, la presenza di Guglielmi, i 2 ritrovamenti a 12 anni di distanza, i sondaggi verso la criminalità compongono un quadro che il registro ha certificato pezzo per pezzo, e che nessuna delle 2 vulgate contrapposte, quella del complotto integrale e quella della vicenda chiusa, rappresenta correttamente: la prima perché salda i pezzi in un disegno che nessuna prova unifica, la seconda perché rimuove pezzi che nessuna spiegazione innocente ha integralmente assorbito. Il piano terzo è rimasto integralmente ipotetico, e il sigillo del divieto inferenziale, tenuto per 10 capitoli su un materiale che lo ha sollecitato a ogni pagina, è la prova di tenuta del metodo che la fase consegna alle 2 conclusive.</w:t>
      </w:r>
    </w:p>
    <w:p>
      <w:pPr>
        <w:spacing w:after="120" w:line="276"/>
        <w:jc w:val="both"/>
      </w:pPr>
      <w:r>
        <w:rPr>
          <w:rFonts w:ascii="Barlow Semi Condensed" w:cs="Barlow Semi Condensed" w:eastAsia="Barlow Semi Condensed" w:hAnsi="Barlow Semi Condensed"/>
          <w:sz w:val="24"/>
          <w:szCs w:val="24"/>
        </w:rPr>
        <w:t xml:space="preserve">La comparazione tra i 3 eventi a piano primo saturo che l'opera ha censito, Brescia, Bologna e il caso Moro, merita un capoverso proprio, perché i 3 percorsi di saturazione differiscono in modo istruttivo: a Brescia la saturazione giunse dall'esterno, per l'apporto congiunto delle veline desecretate e delle fonti dichiarative maturate, contro la negazione perpetua dei condannati; a Bologna giunse per via peritale e dibattimentale, contro la negazione parimenti perpetua degli esecutori giudicati; nel caso Moro giunse dall'interno, per via confessoria e memorialistica, con gli autori che rivendicano il fatto e ne difendono l'autonomia. Il registro certifica al Livello A questa tripartizione dei percorsi, quale dato comparativo della storia degli accertamenti, e ne trae l'annotazione: la qualità del sapere giudiziario sui 3 eventi non è omogenea, perché il sapere fondato sulla confessione degli autori conosce ciò che gli autori scelgono di consegnare, e il caso Moro, il più saturo dei 3 sul piano formale, è anche quello in cui la fonte del sapere coincide con la parte che ha il massimo interesse a delimitarlo; la circostanza non degrada i giudicati, che restano certificati, ma qualifica la natura del loro fondamento, e spiega perché, unico tra i 3, il caso Moro conservi un piano terzo così popolato di domande.</w:t>
      </w:r>
    </w:p>
    <w:p>
      <w:pPr>
        <w:spacing w:after="120" w:line="276"/>
        <w:jc w:val="both"/>
      </w:pPr>
      <w:r>
        <w:rPr>
          <w:rFonts w:ascii="Barlow Semi Condensed" w:cs="Barlow Semi Condensed" w:eastAsia="Barlow Semi Condensed" w:hAnsi="Barlow Semi Condensed"/>
          <w:sz w:val="24"/>
          <w:szCs w:val="24"/>
        </w:rPr>
        <w:t xml:space="preserve">Il terzo risultato è il pattern dei vuoti documentali, che la fase eleva a reperto proprio. I 5 buchi censiti nel repertorio, le borse di via Fani, la prigione, gli originali, gli archivi parigini, le carte del generale, condividono una struttura: in ciascun caso, l'assenza non è generica ma puntuale, riguarda esattamente il materiale che avrebbe il massimo potere discriminante tra le ipotesi, e si accompagna a una spiegazione ordinaria possibile ma non verificabile. Il registro, che ha codificato nella Fase 3 la tassonomia delle 7 specie dell'ostruzione attiva, registra qui la figura complementare, l'assenza selettiva, che non è certificabile quale condotta, giacché l'intenzionalità di un vuoto è per definizione l'ultima cosa che un vuoto documenta, ma che è certificabile quale distribuzione: e la distribuzione delle assenze del caso Moro, concentrate sui punti di massimo potere discriminante, è un dato statistico-strutturale che il registro consegna, quale reperto di Livello B sulla configurazione complessiva e non su alcuna condotta individuale, alla riflessione conclusiva dell'opera.</w:t>
      </w:r>
    </w:p>
    <w:p>
      <w:pPr>
        <w:spacing w:after="120" w:line="276"/>
        <w:jc w:val="both"/>
      </w:pPr>
      <w:r>
        <w:rPr>
          <w:rFonts w:ascii="Barlow Semi Condensed" w:cs="Barlow Semi Condensed" w:eastAsia="Barlow Semi Condensed" w:hAnsi="Barlow Semi Condensed"/>
          <w:sz w:val="24"/>
          <w:szCs w:val="24"/>
        </w:rPr>
        <w:t xml:space="preserve">Il registro aggiunge al reperto la comparazione con la tassonomia della Fase 3. La stagione stragista aveva consegnato 7 specie di ostruzione attiva, tutte giudizialmente accertate, dal reperto distrutto alla pista fabbricata sino al depistaggio organizzato; il caso Moro, per contrasto, presenta una sola condotta ostruttiva attiva certificata con attribuzione, il falso comunicato della Duchessa, e per il resto esibisce la figura passiva delle assenze: nessuna perizia falsificata giudicata, nessun deposito occultato accertato, ma borse che non si trovano, originali che non emergono, archivi che non si aprono. La comparazione certifica una differenza di regime tra i 2 teatri: dove la Fase 3 ha documentato l'inquinamento per commissione, la Fase 4 documenta la menomazione per sottrazione, e la seconda è, per costruzione, la forma meno perseguibile e meno certificabile dell'ostacolo, giacché la commissione lascia autori e la sottrazione lascia vuoti; il registro consegna questa asimmetria alla riflessione conclusiva dell'opera quale possibile evoluzione della tecnica, annotandola quale ipotesi comparativa di Livello C e non quale accertamento.</w:t>
      </w:r>
    </w:p>
    <w:p>
      <w:pPr>
        <w:spacing w:after="120" w:line="276"/>
        <w:jc w:val="both"/>
      </w:pPr>
      <w:r>
        <w:rPr>
          <w:rFonts w:ascii="Barlow Semi Condensed" w:cs="Barlow Semi Condensed" w:eastAsia="Barlow Semi Condensed" w:hAnsi="Barlow Semi Condensed"/>
          <w:sz w:val="24"/>
          <w:szCs w:val="24"/>
        </w:rPr>
        <w:t xml:space="preserve">A margine del terzo risultato, la fase consegna 2 fili nodali che la lettura reticolare conclusiva dovrà raccogliere, ciascuno emblematico di una disciplina del metodo. Il primo è il filo di Gaetano Badalamenti, il nodo che la fase ha registrato con i 2 esiti opposti che lo attraversano: mandante condannato all'ergastolo per l'omicidio di Giuseppe Impastato, nella sentenza dell'aprile 2002, e imputato assolto in via definitiva per l'omicidio di Mino Pecorelli, nell'annullamento senza rinvio della Cassazione del 30 ottobre 2003; la compresenza sul medesimo individuo di una condanna irrevocabile e di un'assoluzione irrevocabile per 2 omicidi della stessa stagione è il caso che meglio illustra la disciplina degli esiti dell'opera, la quale segue il giudicato in entrambe le direzioni senza costruire coerenze che il giudicato non autorizza, e il registro lo consegna quale promemoria terminale della regola, il nodo che porta insieme il massimo della responsabilità accertata e il massimo dell'accusa respinta. Il secondo è il filo di Giorgio Conforto: la fase ha certificato al Livello A che la mitraglietta Skorpion dell'esecuzione di via Caetani fu sequestrata nella casa di Giuliana Conforto all'atto dell'arresto di Morucci e Faranda il 29 maggio 1979, e al Livello B che il padre di lei era agente sovietico di lungo corso schedato quale Dario nelle carte dell'archivio Mitrokhin; questo è, per dichiarazione del registro, l'unico punto dell'intera fase in cui la variante orientale del piano terzo tocca un fatto materiale documentato, e la disciplina vi ha operato nella sua forma più pura, certificando il fatto con precisione e rifiutando il passo che nessun documento sostiene, giacché la custodia dell'arma sotto il tetto della figlia di un agente schedato è un fatto e non una prova di regia, e la distanza tra le 2 cose è l'intera posta del metodo; il registro consegna il filo alla Fase 5 quale banco di prova terminale della Regola Ferrea sul più suggestivo dei materiali.</w:t>
      </w:r>
    </w:p>
    <w:p>
      <w:pPr>
        <w:spacing w:after="120" w:line="276"/>
        <w:jc w:val="both"/>
      </w:pPr>
      <w:r>
        <w:rPr>
          <w:rFonts w:ascii="Barlow Semi Condensed" w:cs="Barlow Semi Condensed" w:eastAsia="Barlow Semi Condensed" w:hAnsi="Barlow Semi Condensed"/>
          <w:sz w:val="24"/>
          <w:szCs w:val="24"/>
        </w:rPr>
        <w:t xml:space="preserve">Il quarto risultato è il bilancio dell'ipotesi H1, condotto sul terreno che la vulgata considera il più favorevole all'ipotesi, e che il registro dichiara nel suo esito più articolato. La fase ha certificato i fatti di base che la lettura convergentista invoca, distinguendone i livelli con la precisione che i documenti impongono: la contrarietà americana e la contrarietà sovietica al progetto moroteo, nelle loro manifestazioni pubbliche e ufficiali, sono certificate al Livello A, la prima dalla dichiarazione del Dipartimento di Stato del 12 gennaio 1978 sull'indesiderabilità della partecipazione comunista ai governi occidentali, la seconda dalla polemica condotta dagli organi del partito sovietico contro l'eurocomunismo dal 1976; le loro componenti riservate, gli avvertimenti personali ricevuti da Moro documentati dalla deposizione della vedova e dalle testimonianze dei collaboratori, e ogni loro traduzione operativa, restano al Livello B; e la circostanza oggettiva che l'eliminazione di Moro produsse l'esito che entrambe le contrarietà auspicavano, la fine del progetto, è essa stessa un fatto. Il registro formalizza il punto con la tassonomia della propria Nota metodologica: quanto è certificato configura, al più, un arco di convergenza del quarto tipo, la convergenza oggettiva di effetti prodotta da attori privi di relazione documentata, ciascuno mosso da ragioni proprie e speculari, la potenza occidentale dal timore del comunismo al governo di un Paese dell'Alleanza, quella orientale dal timore di un comunismo occidentale legittimato e autonomo; e la Nota avverte che l'arco di convergenza è precisamente il tipo in cui la convergenza può essere tanto intenzionale quanto emergente, e che la discriminazione tra le 2 nature esige prove di coordinamento. Tali prove, all'esito della fase, non esistono: nessun documento, nessun giudicato, nessuna acquisizione parlamentare attesta un coordinamento tra i 2 campi sul caso Moro, e le 2 varianti dell'ipotesi di interferenza si escludono reciprocamente nella stessa letteratura che le propone. Il bilancio è dunque il seguente: sul suo terreno più favorevole, H1 raggiunge il massimo che abbia raggiunto nell'intera opera, la certificazione al Livello A delle contrarietà pubbliche e al Livello B della loro qualificazione congiunta quale convergenza oggettiva di interessi contrari al progetto moroteo; e vi si arresta, giacché la forma forte dell'ipotesi, la convergenza operativa, resta al Livello C senza alcun elemento, e la forma debole certificata è pienamente compatibile con il falsificatore milwardiano, per il quale le potenze perseguono i propri interessi ordinari senza necessità di cabine comuni. Il registro consegna alla Fase 5 questa formalizzazione quale stato terminale dell'ipotesi prima della verifica conclusiva.</w:t>
      </w:r>
    </w:p>
    <w:p>
      <w:pPr>
        <w:spacing w:after="120" w:line="276"/>
        <w:jc w:val="both"/>
      </w:pPr>
      <w:r>
        <w:rPr>
          <w:rFonts w:ascii="Barlow Semi Condensed" w:cs="Barlow Semi Condensed" w:eastAsia="Barlow Semi Condensed" w:hAnsi="Barlow Semi Condensed"/>
          <w:sz w:val="24"/>
          <w:szCs w:val="24"/>
        </w:rPr>
        <w:t xml:space="preserve">Il quinto risultato è la mappa delle centralità aggiornata e il filo di Calò. La saldatura della fase al grafo cumulato produce 2 conferme e 1 emersione. Le conferme: la P2 mantiene la massima intermediazione complessiva, presente nel caso Moro attraverso la compresenza certificata ai vertici della gestione e ora, per la fase, anche nell'organo di consulenza, con Franco Ferracuti che aggiunge all'orbita piduista dei comitati la sua estensione all'apparato tecnico della crisi, quarta presenza nei 4 teatri maggiori dell'opera; e il Dominio 3 conferma la propria natura di connettivo universale, presente in ogni evento capitale attraverso fonti, presenze o gestioni. All'aggiornamento delle centralità la fase aggiunge inoltre le 2 misure individuali che il caso Moro impone al grafo: la centralità di Mario Moretti nel piano primo, l'uomo per cui passano, per giudicato, tutti gli archi dell'esecuzione, l'organizzatore di via Fani, l'unico interrogante della prigione, l'esecutore materiale, il portavoce dell'ultima telefonata, una concentrazione di funzioni su un solo nodo che non ha eguali nel piano primo di alcun evento dell'opera e che il registro certifica quale massimo di centralità esecutiva individuale del corpus; e la posizione di Francesco Cossiga, ministro dell'interno titolare della gestione e delle sue 343 anomalie censite, dimessosi il 9 maggio, il cui nodo congiunge la responsabilità politica della crisi alla stagione successiva delle istituzioni repubblicane, e che il registro annota quale nodo di raccordo tra il piano secondo del caso e la storia istituzionale che la Fase 5 dovrà chiudere. L'emersione è il filo di Giuseppe Calò: il nodo della Fase 1 compare ora, per giudicato irrevocabile, quale mandante dell'omicidio Mattarella, quale mandante dell'assassinio di Dalla Chiesa e quale condannato per la strage del rapido 904, e la sua posizione giudiziaria cumulata, unita alla sua qualità di cassiere e alla sua orbita romana certificata nella Fase 1, ne fa il singolo individuo con il maggior numero di giudicati capitali dell'intera opera: il registro lo eleva a nodo di verifica per la Fase 5, nella quale la lettura reticolare conclusiva dovrà misurarne la centralità effettiva nel grafo completo.</w:t>
      </w:r>
    </w:p>
    <w:p>
      <w:pPr>
        <w:spacing w:after="120" w:line="276"/>
        <w:jc w:val="both"/>
      </w:pPr>
      <w:r>
        <w:rPr>
          <w:rFonts w:ascii="Barlow Semi Condensed" w:cs="Barlow Semi Condensed" w:eastAsia="Barlow Semi Condensed" w:hAnsi="Barlow Semi Condensed"/>
          <w:sz w:val="24"/>
          <w:szCs w:val="24"/>
        </w:rPr>
        <w:t xml:space="preserve">Il sesto risultato è il bilancio dei pattern analitici applicati alla fase, che il registro dichiara quale rendiconto onesto dei propri strumenti. La fase ha attivato con resa piena 5 dei pattern dell'apparato: il Pattern 1, l'analisi dei nodi centrali, con le centralità di Moro nel grafo e di Moretti nel piano primo; il Pattern 3, l'analisi delle coincidenze temporali, che ha prodotto la messe maggiore, la finestra critica del 18 aprile con la doppia compresenza di Gradoli e della Duchessa, la finestra critica della stagione romana degli omicidi eccellenti del 1979, la contestualità con le elezioni francesi e la sincronia dello scioglimento dell'apparato antiterrorismo di Santillo; il Pattern 6, l'analisi delle ipotesi concorrenti, che ha governato l'intera architettura a 3 piani e la formalizzazione dell'evidenza non diagnostica; il Pattern 10, l'analisi della convergenza geografica, con la topografia di via Caetani e la geografia speculare delle capitali-rifugio dei latitanti; il Pattern 11, l'isomorfismo strutturale, con il reperto Aginter-Hyperion quale convergenza indipendente sulla grammatica della clandestinità. A questi si aggiunge la resa parziale del Pattern 7, l'analisi della migrazione inter-dominio, che nel percorso di Carlo Alberto Dalla Chiesa attraverso i teatri di Corleone, dell'antimafia dei rapporti, dell'antiterrorismo e della prefettura di Palermo ha trovato il suo caso più compiuto della fase, e del Pattern 9, l'analisi delle dinastie, che sul caso Moro ha prodotto il reperto in negativo dell'assenza di trasmissione generazionale, censita quale dato. Il registro dichiara che i Pattern 2, 4, 5 e 8, la rilevazione di comunità, l'analisi dei flussi, i buchi strutturali quali constraint e lo sfruttamento delle crisi, non hanno prodotto sulla fase reperti autonomi eccedenti quanto registrato, e attribuisce la parziale attivazione alla natura dell'oggetto, un evento singolo per quanto denso, che non sollecita l'intero apparato di una metodologia costruita per il grafo complessivo; la Fase 5, operando sul grafo intero e sull'intero arco cronologico, ne attiverà le misure residue, e il registro consegna questo bilancio quale sigillo metodologico della fase, la dichiarazione esplicita di ciò che gli strumenti hanno reso e di ciò che, per la natura del materiale, resta alla verifica conclusiva.</w:t>
      </w:r>
    </w:p>
    <w:p>
      <w:pPr>
        <w:spacing w:after="120" w:line="276"/>
        <w:jc w:val="both"/>
      </w:pPr>
      <w:r>
        <w:rPr>
          <w:rFonts w:ascii="Barlow Semi Condensed" w:cs="Barlow Semi Condensed" w:eastAsia="Barlow Semi Condensed" w:hAnsi="Barlow Semi Condensed"/>
          <w:sz w:val="24"/>
          <w:szCs w:val="24"/>
        </w:rPr>
        <w:t xml:space="preserve">La fase consegna infine i propri fili alla Fase 5, l'ultima: il teatro internazionale, con Hyperion quale archivio mai aperto e con gli archivi francesi della non estradizione quale primo obiettivo documentale, da affiancare ai teatri iberico, latinoamericano e sudafricano già consegnati dalle fasi precedenti, e con l'arco latinoamericano riaperto dalla latitanza nicaraguense di Alessio Casimirri, uno dei 2 uomini di via Fani mai raggiunti dall'esecuzione penale, che salda il caso al continente delle diaspore della fase conclusiva; la formalizzazione terminale di H1 nella distinzione tra convergenza oggettiva certificata, ora al Livello A nelle sue manifestazioni pubbliche, e convergenza operativa non documentata, da sottoporre alla verifica conclusiva insieme all'ipotesi concorrente; il filo di Calò e il calcolo finale delle centralità sul grafo completo, con le posizioni individuali di Moretti e Cossiga da collocare nel grafo cumulato; il filo balistico che congiunge i proiettili Gevelot dell'omicidio Pecorelli all'arsenale della banda della Magliana, quale traccia materiale del raccordo tra il Dominio 8 e il Dominio 1 romano da verificare sul grafo intero; il pattern delle assenze selettive, da comparare con le serie internazionali che la fase conclusiva censirà; e la ricognizione sistematica del versato archivistico del 2014 quale secondo obiettivo documentale, accanto agli archivi francesi. Con la Fase 4 si chiude il perimetro nazionale dell'opera: i 4 cerchi, il quadrilatero, gli apparati, lo stragismo e il caso Moro, sono censiti, e resta il quinto, il mondo.</w:t>
      </w:r>
    </w:p>
    <w:p>
      <w:pPr>
        <w:spacing w:after="120" w:line="276"/>
        <w:jc w:val="both"/>
      </w:pPr>
      <w:r>
        <w:rPr>
          <w:rFonts w:ascii="Barlow Semi Condensed" w:cs="Barlow Semi Condensed" w:eastAsia="Barlow Semi Condensed" w:hAnsi="Barlow Semi Condensed"/>
          <w:sz w:val="24"/>
          <w:szCs w:val="24"/>
        </w:rPr>
        <w:t xml:space="preserve">Il congedo della fase è una dichiarazione di stato. L'edizione integrale consegna il caso Moro e i suoi satelliti nella forma più estesa che lo stato certificato degli atti consenta alla data della redazione: 10 nodi, oltre 140 pilastri documentali, 30 triangolazioni, 5 versanti di repertorio, 6 risultati reticolari, con le 3 soglie archivistiche del 1978, del 1990 e del 2014 dichiarate quali condizioni storiche della conoscenza e con le 2 frontiere ancora chiuse, gli archivi francesi e il perimetro non versato, indicate quali obiettivi. Nulla di ciò che il registro ha certificato è definitivo nel senso che la parola ha fuori dal metodo: ogni livello porta la data del proprio fondamento, ogni vuoto attende il documento che lo colmi, ogni ipotesi attende la prova che la promuova o la falsifichi, e la fase si chiude non con una verità ma con un inventario, che è la sola forma di verità che il campo studiato conceda a chi rifiuti tanto il romanzo quanto la rimozione. Il registro consegna dunque il perimetro nazionale compiuto, le 4 fasi che vanno dai cerchi criminali del dopoguerra al 9 maggio 1978 e al 3 settembre 1982, quale fondamento documentale della fase conclusiva, nella quale il grafo intero, saldato ai teatri internazionali, sarà sottoposto alla lettura reticolare finale e alla verifica delle macro-ipotesi, con gli strumenti, i livelli e le regole che le 4 fasi hanno collaudato e che l'ultima erediterà senza mutarne una sola riga.</w:t>
      </w:r>
    </w:p>
    <w:p>
      <w:pPr>
        <w:spacing w:after="120" w:line="276"/>
        <w:jc w:val="both"/>
      </w:pPr>
      <w:r>
        <w:rPr>
          <w:rFonts w:ascii="Barlow Semi Condensed" w:cs="Barlow Semi Condensed" w:eastAsia="Barlow Semi Condensed" w:hAnsi="Barlow Semi Condensed"/>
          <w:b/>
          <w:bCs/>
          <w:sz w:val="24"/>
          <w:szCs w:val="24"/>
        </w:rPr>
        <w:t xml:space="preserve">Sintesi del dato nuovo acquisito:</w:t>
      </w:r>
      <w:r>
        <w:rPr>
          <w:rFonts w:ascii="Barlow Semi Condensed" w:cs="Barlow Semi Condensed" w:eastAsia="Barlow Semi Condensed" w:hAnsi="Barlow Semi Condensed"/>
          <w:sz w:val="24"/>
          <w:szCs w:val="24"/>
        </w:rPr>
        <w:t xml:space="preserve"> la Fase 4 certifica il caso Moro quale nodo di massima densità del grafo, con il piano primo saturo di 5 giudicati, il piano secondo denso di fatti certificati non spiegati e il piano terzo integralmente ipotetico sotto sigillo inferenziale; eleva a reperto la distribuzione selettiva dei 5 vuoti documentali, al Livello B quale configurazione; porta l'ipotesi H1 al suo massimo storico, la certificazione al Livello A delle contrarietà pubbliche delle 2 superpotenze al progetto moroteo e al Livello B della loro convergenza oggettiva, negandole ogni elemento di convergenza operativa e mantenendola compatibile con il falsificatore concorrente; registra i fili di Badalamenti e di Conforto quali banchi di prova terminali della disciplina degli esiti e della Regola Ferrea; rende conto dei 6 pattern attivati con resa piena o parziale e dei 4 rinviati al grafo completo; ed emette il filo di Calò, l'individuo con più giudicati capitali dell'opera, verso la fase conclusiva, alla quale consegna il teatro internazionale, gli archivi francesi e del 2014, l'arco latinoamericano di Casimirri e la sintesi finale.</w:t>
      </w:r>
    </w:p>
    <w:p>
      <w:pPr>
        <w:pStyle w:val="Heading2"/>
        <w:spacing w:after="100" w:before="200"/>
      </w:pPr>
      <w:r>
        <w:rPr>
          <w:rFonts w:ascii="Barlow Semi Condensed" w:cs="Barlow Semi Condensed" w:eastAsia="Barlow Semi Condensed" w:hAnsi="Barlow Semi Condensed"/>
          <w:sz w:val="24"/>
          <w:szCs w:val="24"/>
        </w:rPr>
        <w:t xml:space="preserve">FASE V</w:t>
      </w:r>
    </w:p>
    <w:p>
      <w:pPr>
        <w:pBdr>
          <w:left w:val="single" w:color="1F3864" w:sz="18" w:space="8"/>
        </w:pBdr>
        <w:spacing w:after="80" w:before="80"/>
        <w:ind w:left="360" w:right="360"/>
        <w:jc w:val="both"/>
      </w:pPr>
      <w:r>
        <w:rPr>
          <w:rFonts w:ascii="Barlow Semi Condensed" w:cs="Barlow Semi Condensed" w:eastAsia="Barlow Semi Condensed" w:hAnsi="Barlow Semi Condensed"/>
          <w:i w:val="false"/>
          <w:iCs w:val="false"/>
          <w:sz w:val="24"/>
          <w:szCs w:val="24"/>
        </w:rPr>
        <w:t xml:space="preserve">Il teatro internazionale</w:t>
      </w:r>
      <w:r>
        <w:rPr>
          <w:rFonts w:ascii="Barlow Semi Condensed" w:cs="Barlow Semi Condensed" w:eastAsia="Barlow Semi Condensed" w:hAnsi="Barlow Semi Condensed"/>
          <w:i w:val="false"/>
          <w:iCs w:val="false"/>
          <w:sz w:val="24"/>
          <w:szCs w:val="24"/>
        </w:rPr>
        <w:t xml:space="preserve"> </w:t>
      </w:r>
      <w:r>
        <w:rPr>
          <w:rFonts w:ascii="Barlow Semi Condensed" w:cs="Barlow Semi Condensed" w:eastAsia="Barlow Semi Condensed" w:hAnsi="Barlow Semi Condensed"/>
          <w:i w:val="false"/>
          <w:iCs w:val="false"/>
          <w:sz w:val="24"/>
          <w:szCs w:val="24"/>
        </w:rPr>
        <w:t xml:space="preserve">Il quinto cerchio: il mondo, la verifica delle macro-ipotesi e la lettura reticolare conclusiva</w:t>
      </w:r>
    </w:p>
    <w:p>
      <w:pPr>
        <w:pStyle w:val="Heading3"/>
        <w:spacing w:after="80" w:before="160"/>
      </w:pPr>
      <w:r>
        <w:rPr>
          <w:rFonts w:ascii="Barlow Semi Condensed" w:cs="Barlow Semi Condensed" w:eastAsia="Barlow Semi Condensed" w:hAnsi="Barlow Semi Condensed"/>
          <w:sz w:val="24"/>
          <w:szCs w:val="24"/>
        </w:rPr>
        <w:t xml:space="preserve">Avvertenza di fase, statuto della conclusione e disciplina delle fonti internazionali</w:t>
      </w:r>
    </w:p>
    <w:p>
      <w:pPr>
        <w:spacing w:after="120" w:line="276"/>
        <w:jc w:val="both"/>
      </w:pPr>
      <w:r>
        <w:rPr>
          <w:rFonts w:ascii="Barlow Semi Condensed" w:cs="Barlow Semi Condensed" w:eastAsia="Barlow Semi Condensed" w:hAnsi="Barlow Semi Condensed"/>
          <w:sz w:val="24"/>
          <w:szCs w:val="24"/>
        </w:rPr>
        <w:t xml:space="preserve">La Fase 5 è la fase conclusiva dell'opera e il suo statuto è duplice: essa è, in primo luogo, il censimento dei nodi internazionali che le 4 fasi nazionali hanno consegnato quali fili aperti, il teatro iberico di Aginter Press, le diaspore latinoamericane, l'hub sudafricano, la Francia di Hyperion, il Mediterraneo del lodo, l'Est degli archivi trasferiti, l'Atlantico dei canali documentati e il sistema continentale delle reti stay-behind; ed è, in secondo luogo, la sede della verifica finale, nella quale le macro-ipotesi dell'opera sono sottoposte al giudizio del grafo completo, secondo il metodo delle ipotesi concorrenti che le fasi hanno collaudato. La fase eredita integralmente l'apparato delle precedenti, i 3 livelli di certificazione, la Regola Ferrea che vieta il passaggio inferenziale dal fatto documentato alla condotta non dimostrata, la disciplina degli esiti che riporta per esteso condanne e assoluzioni, la nominazione delle vittime quale atto dovuto, e non ne muta una sola regola.</w:t>
      </w:r>
    </w:p>
    <w:p>
      <w:pPr>
        <w:spacing w:after="120" w:line="276"/>
        <w:jc w:val="both"/>
      </w:pPr>
      <w:r>
        <w:rPr>
          <w:rFonts w:ascii="Barlow Semi Condensed" w:cs="Barlow Semi Condensed" w:eastAsia="Barlow Semi Condensed" w:hAnsi="Barlow Semi Condensed"/>
          <w:sz w:val="24"/>
          <w:szCs w:val="24"/>
        </w:rPr>
        <w:t xml:space="preserve">Una disciplina propria governa le fonti internazionali. Il campo della fase è attraversato da un'asimmetria archivistica strutturale che il registro dichiara quale condizione e non quale accidente: gli ordinamenti hanno aperto i propri archivi riservati in tempi, misure e forme radicalmente diverse, sicché la conoscibilità dei fatti non è uniforme nello spazio, e la densità documentale di un teatro misura anzitutto la storia delle sue aperture, non l'intensità della sua storia. Il registro assume perciò 2 cautele permanenti: ogni certificazione porta con sé l'indicazione implicita del regime archivistico che l'ha resa possibile, e ogni comparazione tra teatri incorpora la correzione per l'asimmetria, rifiutando di leggere il silenzio di un archivio chiuso quale assenza del fatto e la loquacità di un archivio aperto quale eccezionalità del teatro. La fase eleva questa cautela, nel capitolo dedicato, a oggetto di studio autonomo, censendo la regolarità empirica delle aperture quale reperto dell'opera.</w:t>
      </w:r>
    </w:p>
    <w:p>
      <w:pPr>
        <w:spacing w:after="120" w:line="276"/>
        <w:jc w:val="both"/>
      </w:pPr>
      <w:r>
        <w:rPr>
          <w:rFonts w:ascii="Barlow Semi Condensed" w:cs="Barlow Semi Condensed" w:eastAsia="Barlow Semi Condensed" w:hAnsi="Barlow Semi Condensed"/>
          <w:sz w:val="24"/>
          <w:szCs w:val="24"/>
        </w:rPr>
        <w:t xml:space="preserve">Una seconda disciplina governa la categoria dello Stato Zero, che la fase impiega quale strumento ordinario. Lo Stato Zero designa la connessione sistematicamente cercata e non trovata, la verifica compiuta con esito negativo integrale, e il registro lo tratta quale risultato di prima classe, dotato della medesima dignità analitica del risultato positivo: in un campo saturo di suggestioni, la certificazione documentata di un'assenza è spesso più preziosa della certificazione di una presenza, perché delimita lo spazio delle ipotesi con la forza che soltanto la ricerca condotta e fallita possiede. Ogni Stato Zero della fase è accompagnato dalla dichiarazione del perimetro della ricerca che lo fonda, giacché un'assenza vale quanto vale la ricerca che non l'ha colmata.</w:t>
      </w:r>
    </w:p>
    <w:p>
      <w:pPr>
        <w:spacing w:after="120" w:line="276"/>
        <w:jc w:val="both"/>
      </w:pPr>
      <w:r>
        <w:rPr>
          <w:rFonts w:ascii="Barlow Semi Condensed" w:cs="Barlow Semi Condensed" w:eastAsia="Barlow Semi Condensed" w:hAnsi="Barlow Semi Condensed"/>
          <w:sz w:val="24"/>
          <w:szCs w:val="24"/>
        </w:rPr>
        <w:t xml:space="preserve">La disciplina delle persone viventi, già dichiarata nella fase precedente, opera qui nella forma più rigorosa, giacché la fase censisce anche verifiche condotte su figure contemporanee estranee per esito documentato alle reti studiate: per costoro il registro riporta esclusivamente i dati biografici pubblici certificati e l'esito negativo delle verifiche, dichiara lo Stato Zero, e vieta a se stesso e al lettore ogni inferenza associativa, la menzione in un registro di verifica non costituendo, per statuto dichiarato, associazione ad alcunché.</w:t>
      </w:r>
    </w:p>
    <w:p>
      <w:pPr>
        <w:spacing w:after="120" w:line="276"/>
        <w:jc w:val="both"/>
      </w:pPr>
      <w:r>
        <w:rPr>
          <w:rFonts w:ascii="Barlow Semi Condensed" w:cs="Barlow Semi Condensed" w:eastAsia="Barlow Semi Condensed" w:hAnsi="Barlow Semi Condensed"/>
          <w:sz w:val="24"/>
          <w:szCs w:val="24"/>
        </w:rPr>
        <w:t xml:space="preserve">Un paragrafo dichiara infine il rapporto della fase con le 4 precedenti e le consegne recepite. La fase eredita e adempie i fili che le chiusure delle fasi nazionali le hanno consegnato: dalla Fase 4, gli archivi francesi quale primo obiettivo, il perimetro del versato del 2014, l'arco latinoamericano delle latitanze, il filo del massimo condannato capitale e il calcolo delle centralità terminali; dalla Fase 3, il livello internazionale della stagione stragista e la tassonomia dell'ostruzione da verificare sui teatri esteri; dalla Fase 2, la proiezione transnazionale della loggia e del sistema finanziario parallelo; dalla Fase 1, le proiezioni estere dei sistemi criminali. Ogni consegna è trattata nel capitolo competente e nessuna è dichiarata adempiuta oltre la misura documentale: la fase distingue permanentemente tra i fili chiusi, quelli che i materiali internazionali consentono di certificare, i fili trasformati in obiettivi, quelli che dipendono da aperture archivistiche future, e i fili consegnati aperti alla ricerca, con l'inventario finale che la chiusura ordina.</w:t>
      </w:r>
    </w:p>
    <w:p>
      <w:pPr>
        <w:spacing w:after="120" w:line="276"/>
        <w:jc w:val="both"/>
      </w:pPr>
      <w:r>
        <w:rPr>
          <w:rFonts w:ascii="Barlow Semi Condensed" w:cs="Barlow Semi Condensed" w:eastAsia="Barlow Semi Condensed" w:hAnsi="Barlow Semi Condensed"/>
          <w:sz w:val="24"/>
          <w:szCs w:val="24"/>
        </w:rPr>
        <w:t xml:space="preserve">Una nota d'uso chiude l'avvertenza. Il registro della fase, come quelli delle fasi precedenti, è costruito per la citazione: ogni pilastro è autonomo, porta il proprio livello e il proprio fondamento, e può essere impugnato singolarmente senza che l'impugnazione travolga l'edificio, giacché l'edificio non esiste, esistendo soltanto l'inventario; il lettore che voglia contestare una certificazione trova dichiarato, per ciascuna, che cosa la fonda e che cosa la falsificherebbe, e il lettore che voglia impiegarla trova il perimetro esatto entro cui essa vale; la fase chiede di essere letta così, quale strumento e non quale narrazione, e considera riuscito il proprio compito non quando persuade ma quando resiste, riga per riga, al tentativo di smentita condotto con documenti alla mano, l'unico giudizio che l'opera riconosca sopra di sé.</w:t>
      </w:r>
    </w:p>
    <w:p>
      <w:pPr>
        <w:spacing w:after="120" w:line="276"/>
        <w:jc w:val="both"/>
      </w:pPr>
      <w:r>
        <w:rPr>
          <w:rFonts w:ascii="Barlow Semi Condensed" w:cs="Barlow Semi Condensed" w:eastAsia="Barlow Semi Condensed" w:hAnsi="Barlow Semi Condensed"/>
          <w:sz w:val="24"/>
          <w:szCs w:val="24"/>
        </w:rPr>
        <w:t xml:space="preserve">L'ordine espositivo muove dal ceppo iberico e dalle sue proiezioni, attraversa le diaspore americane e l'hub australe, risale ai 2 santuari europei, la Francia del rifugio e il Mediterraneo dell'autonomia, censisce i 2 campi della guerra fredda nei loro canali documentati verso l'Italia, ricostruisce il sistema continentale delle reti coperte, eleva a oggetto l'empirica degli archivi e si chiude con la verifica delle macro-ipotesi e la lettura reticolare conclusiva dell'intera opera. Ogni capitolo è un nodo, ogni nodo è retto da pilastri documentali, triangolato secondo il metodo e chiuso dalla sintesi del dato acquisito. La fase, e con essa l'opera, si chiude non con una tesi ma con un inventario verificato, nella convinzione metodologica che le 4 fasi hanno dimostrato: nel campo studiato, l'inventario è la sola forma di conoscenza che sopravviva alla verifica.</w:t>
      </w:r>
    </w:p>
    <w:p>
      <w:pPr>
        <w:pStyle w:val="Heading3"/>
        <w:spacing w:after="80" w:before="160"/>
      </w:pPr>
      <w:r>
        <w:rPr>
          <w:rFonts w:ascii="Barlow Semi Condensed" w:cs="Barlow Semi Condensed" w:eastAsia="Barlow Semi Condensed" w:hAnsi="Barlow Semi Condensed"/>
          <w:sz w:val="24"/>
          <w:szCs w:val="24"/>
        </w:rPr>
        <w:t xml:space="preserve">Capitolo 1 — Aginter Press: il ceppo iberico e l'archivio catturato</w:t>
      </w:r>
    </w:p>
    <w:p>
      <w:pPr>
        <w:spacing w:after="120" w:line="276"/>
        <w:jc w:val="both"/>
      </w:pPr>
      <w:r>
        <w:rPr>
          <w:rFonts w:ascii="Barlow Semi Condensed" w:cs="Barlow Semi Condensed" w:eastAsia="Barlow Semi Condensed" w:hAnsi="Barlow Semi Condensed"/>
          <w:sz w:val="24"/>
          <w:szCs w:val="24"/>
        </w:rPr>
        <w:t xml:space="preserve">Il primo nodo della fase è la centrale di Lisbona, il punto di origine del teatro internazionale nero che le fasi nazionali hanno ripetutamente incontrato. Aginter Press operò nella capitale portoghese dal 1966 al 1974 sotto la direzione di Yves Guérin-Sérac, l'ufficiale francese proveniente dalle guerre coloniali e dall'esperienza dell'organizzazione armata segreta, presentandosi quale agenzia di stampa dotata di attività reale, corrispondenze effettivamente prodotte, una sede operante e collaboratori retribuiti, la copertura reale la cui superiorità tecnica la fase precedente ha formalizzato quale grammatica comune della clandestinità europea; sotto la copertura, la struttura operò, per la documentazione che il pilastro terzo censisce, quale centro di formazione, collegamento e proiezione dell'estremismo controrivoluzionario internazionale, con corsi di addestramento, una rete di corrispondenti che coincideva con una rete di militanti e una dottrina scritta della guerra non ortodossa. Il registro certifica al Livello A l'esistenza, la sede, la direzione, il periodo di attività e la doppiezza funzionale della struttura, quali dati documentali consolidati.</w:t>
      </w:r>
    </w:p>
    <w:p>
      <w:pPr>
        <w:spacing w:after="120" w:line="276"/>
        <w:jc w:val="both"/>
      </w:pPr>
      <w:r>
        <w:rPr>
          <w:rFonts w:ascii="Barlow Semi Condensed" w:cs="Barlow Semi Condensed" w:eastAsia="Barlow Semi Condensed" w:hAnsi="Barlow Semi Condensed"/>
          <w:sz w:val="24"/>
          <w:szCs w:val="24"/>
        </w:rPr>
        <w:t xml:space="preserve">Il primo pilastro fissa la genesi e gli uomini. Guérin-Sérac giunse a Lisbona nel quadro della protezione che il regime portoghese accordava ai reduci dell'estremismo francese, e costruì la struttura con un nucleo di veterani della stessa provenienza e con l'innesto progressivo di militanti di più nazionalità, tra i quali la documentazione colloca i contatti italiani che la Fase 3 ha censito nell'orbita di Ordine Nuovo e di Avanguardia Nazionale; il registro certifica al Livello A la composizione del nucleo e la sua matrice, quali dati documentali, e certifica al Livello B i singoli transiti italiani presso la centrale, quali risultanze istruttorie convergenti non tutte consacrate da giudicato.</w:t>
      </w:r>
    </w:p>
    <w:p>
      <w:pPr>
        <w:spacing w:after="120" w:line="276"/>
        <w:jc w:val="both"/>
      </w:pPr>
      <w:r>
        <w:rPr>
          <w:rFonts w:ascii="Barlow Semi Condensed" w:cs="Barlow Semi Condensed" w:eastAsia="Barlow Semi Condensed" w:hAnsi="Barlow Semi Condensed"/>
          <w:sz w:val="24"/>
          <w:szCs w:val="24"/>
        </w:rPr>
        <w:t xml:space="preserve">Il secondo pilastro censisce la dottrina scritta. La produzione interna della struttura, emersa con l'archivio, comprende i manuali della guerra rivoluzionaria rovesciata, i testi che teorizzano l'infiltrazione dei movimenti avversari, l'azione sotto falsa bandiera e l'uso del terrore quale strumento di pressione sui governi verso soluzioni autoritarie; il registro certifica al Livello A l'esistenza e il contenuto della dottrina, quale corpus documentale acquisito, e ne dichiara il rilievo per l'opera: essa costituisce la formalizzazione scritta più esplicita, nell'intero corpus, della strategia che la vulgata italiana ha chiamato della tensione, prodotta non da un teorico ma da una struttura operativa, e la sua esistenza certificata è il fondamento documentale che ha autorizzato le istruttorie italiane a interrogare il nesso tra la centrale e la stagione stragista, l'interrogazione i cui esiti il quarto pilastro censisce.</w:t>
      </w:r>
    </w:p>
    <w:p>
      <w:pPr>
        <w:spacing w:after="120" w:line="276"/>
        <w:jc w:val="both"/>
      </w:pPr>
      <w:r>
        <w:rPr>
          <w:rFonts w:ascii="Barlow Semi Condensed" w:cs="Barlow Semi Condensed" w:eastAsia="Barlow Semi Condensed" w:hAnsi="Barlow Semi Condensed"/>
          <w:sz w:val="24"/>
          <w:szCs w:val="24"/>
        </w:rPr>
        <w:t xml:space="preserve">Il terzo pilastro censisce il fatto archivistico capitale, la cattura dell'archivio. La rivoluzione portoghese del 25 aprile 1974 travolse il regime che proteggeva la struttura, e l'archivio di Aginter Press cadde nelle mani delle nuove autorità, che ne resero disponibile la documentazione alle magistrature e alle commissioni straniere: da quella cattura discende, in via pressoché esclusiva, la conoscenza documentale della centrale, i nomi, i corsi, le corrispondenze, la dottrina, e il registro certifica al Livello A la cattura, la sua data e la sua funzione di fonte, quale evento archivistico documentato. La formalizzazione che il registro ne trae governa l'intero nodo e il suo gemello topologico: Aginter è conoscibile perché il suo Stato di protezione è caduto, e la caduta ha aperto l'archivio; Hyperion è inconoscibile perché il suo Stato di protezione non è mai caduto, e l'archivio non si è mai aperto; i 2 nodi isomorfi dell'opera stanno agli estremi opposti del medesimo asse, quello del regime archivistico, e la differenza integrale dei loro profili documentali, l'uno denso di carte e l'altro vuoto, misura la differenza dei destini politici dei rispettivi protettori, non una differenza di natura tra le strutture: il registro eleva questa coppia a dimostrazione empirica interna della propria disciplina sull'asimmetria archivistica, il caso in cui 2 oggetti strutturalmente gemelli restituiscono documentazioni opposte per la sola variabile del regime di accesso.</w:t>
      </w:r>
    </w:p>
    <w:p>
      <w:pPr>
        <w:spacing w:after="120" w:line="276"/>
        <w:jc w:val="both"/>
      </w:pPr>
      <w:r>
        <w:rPr>
          <w:rFonts w:ascii="Barlow Semi Condensed" w:cs="Barlow Semi Condensed" w:eastAsia="Barlow Semi Condensed" w:hAnsi="Barlow Semi Condensed"/>
          <w:sz w:val="24"/>
          <w:szCs w:val="24"/>
        </w:rPr>
        <w:t xml:space="preserve">Il quarto pilastro censisce le proiezioni internazionali e l'esito giudiziario. La documentazione catturata e le acquisizioni successive collocano le proiezioni della centrale sui teatri che le monografie dell'opera hanno percorso, l'Africa australe delle guerre coloniali portoghesi, i collegamenti iberici, i corrispondenti nelle Americhe, e la diaspora successiva alla caduta, con il trasferimento del nucleo verso la Spagna ancora franchista, dove le tracce documentali della rete si disperdono nella galassia dell'internazionale nera della seconda metà del decennio; sul versante giudiziario italiano, le istruttorie che hanno interrogato il nesso tra la centrale e le stragi, sino alla stagione istruttoria milanese degli anni Novanta, hanno prodotto acquisizioni documentali e nessuna condanna della centrale quale tale, e il registro certifica al Livello A l'assenza di condanne organiche, quale esito, mantenendo ai livelli propri le singole attribuzioni, secondo il censimento che la Fase 3 ha consegnato. Il registro chiude il quadro con la certificazione comparativa: Aginter Press è, nell'intero corpus dell'opera, il caso di massima documentazione con minima sanzione, l'inverso speculare dei piani primi saturi delle fasi nazionali, e la sproporzione tra ciò che l'archivio documenta e ciò che i giudizi hanno consacrato è essa stessa un dato, che il registro trascrive quale misura della resistenza del livello internazionale all'accertamento giudiziario nazionale.</w:t>
      </w:r>
    </w:p>
    <w:p>
      <w:pPr>
        <w:spacing w:after="120" w:line="276"/>
        <w:jc w:val="both"/>
      </w:pPr>
      <w:r>
        <w:rPr>
          <w:rFonts w:ascii="Barlow Semi Condensed" w:cs="Barlow Semi Condensed" w:eastAsia="Barlow Semi Condensed" w:hAnsi="Barlow Semi Condensed"/>
          <w:sz w:val="24"/>
          <w:szCs w:val="24"/>
        </w:rPr>
        <w:t xml:space="preserve">Il quinto pilastro recepisce, quale saldatura, il censimento italiano della Fase 3. Le occorrenze della centrale nel teatro italiano, i transiti documentati di militanti dell'area ordinovista e avanguardista presso i corsi lisbonesi, le corrispondenze acquisite e le attribuzioni istruttorie che hanno interrogato il nesso tra la dottrina della centrale e la meccanica della stagione stragista, restano certificate ai livelli che la Fase 3 ha fissato, i transiti al Livello B e le funzioni operative sui singoli eventi ai livelli propri di ciascun accertamento, con la stagione istruttoria milanese degli anni Novanta quale ultimo organico ritorno sul nodo; il registro non muta una sola qualificazione e aggiunge il dato comparativo che la fase consente: il profilo italiano della centrale è il più accertato dei suoi profili nazionali, per la semplice ragione archivistica che l'Italia è l'ordinamento che più a lungo ha processato la propria stagione, e la densità italiana del nodo Aginter misura, ancora una volta, l'intensità dell'accertamento e non necessariamente quella della funzione, secondo il corollario che il capitolo nono formalizza.</w:t>
      </w:r>
    </w:p>
    <w:p>
      <w:pPr>
        <w:spacing w:after="120" w:line="276"/>
        <w:jc w:val="both"/>
      </w:pPr>
      <w:r>
        <w:rPr>
          <w:rFonts w:ascii="Barlow Semi Condensed" w:cs="Barlow Semi Condensed" w:eastAsia="Barlow Semi Condensed" w:hAnsi="Barlow Semi Condensed"/>
          <w:sz w:val="24"/>
          <w:szCs w:val="24"/>
        </w:rPr>
        <w:t xml:space="preserve">Il sesto pilastro censisce la diaspora iberica successiva alla caduta. Con la fine del regime portoghese, il nucleo della centrale e la galassia che vi gravitava trasferirono la propria base nella Spagna dell'ultimo franchismo e della prima transizione, dove la documentazione della seconda metà del decennio colloca la comunità dell'estremismo nero internazionale, italiani della diaspora compresi, attiva negli ambienti della reazione alla transizione democratica; alla stagione appartiene la strage di Atocha del 24 gennaio 1977, l'assassinio degli avvocati giuslavoristi madrileni per mano dell'estremismo di destra spagnolo, l'evento che segnò la crisi terminale di quell'ambiente dinanzi alla reazione democratica del Paese; il registro certifica al Livello A il trasferimento iberico della diaspora e il quadro della stagione, quali dati documentali consolidati, mantiene ai livelli propri le singole presenze e condotte italiane censite dalle istruttorie, e ne trae l'annotazione di sistema: la traiettoria della centrale e della sua galassia, Lisbona sino al 1974, la Spagna della transizione sino alla fine del decennio, il continente americano poi, disegna la migrazione della rete lungo la mappa dei regimi protettori in via di estinzione, un percorso di carriera collettivo che il Pattern 7 registra quale caso maggiore e che si chiude, per la componente italiana, nelle capitali-rifugio che il capitolo secondo censisce.</w:t>
      </w:r>
    </w:p>
    <w:p>
      <w:pPr>
        <w:spacing w:after="120" w:line="276"/>
        <w:jc w:val="both"/>
      </w:pPr>
      <w:r>
        <w:rPr>
          <w:rFonts w:ascii="Barlow Semi Condensed" w:cs="Barlow Semi Condensed" w:eastAsia="Barlow Semi Condensed" w:hAnsi="Barlow Semi Condensed"/>
          <w:sz w:val="24"/>
          <w:szCs w:val="24"/>
        </w:rPr>
        <w:t xml:space="preserve">Il settimo pilastro censisce lo strumento formativo, i corsi e i materiali della centrale. La documentazione catturata comprende i programmi dei corsi di addestramento impartiti presso la struttura e nelle sue proiezioni, con le materie che gli atti elencano, le tecniche dell'azione clandestina, l'uso degli esplosivi, l'infiltrazione e la propaganda, e i materiali didattici che traducevano la dottrina del secondo pilastro in istruzione operativa; il registro certifica al Livello A l'esistenza dei corsi e dei materiali, quale dato dell'archivio, mantiene ai livelli propri l'identificazione dei singoli frequentatori, censita dalle istruttorie con le convergenze e i limiti che la Fase 3 ha fissato, e ne trae l'annotazione che distingue il nodo nell'intero corpus: Aginter è l'unico caso dell'opera in cui la catena completa della strategia, la dottrina scritta, lo strumento formativo e la rete dei formati, è documentata in ogni anello dalla medesima fonte archivistica, e questa completezza, unica e irripetuta, è ciò che ha reso la centrale il referente obbligato di ogni istruttoria sulla meccanica della stagione, pur senza mai produrre, per la distanza tra la documentazione della capacità e la prova dell'impiego, una sola condanna organica; la distinzione tra capacità documentata e impiego provato, che il nodo incarna nella forma più pura, è consegnata alla verifica finale quale calibro permanente.</w:t>
      </w:r>
    </w:p>
    <w:p>
      <w:pPr>
        <w:spacing w:after="120" w:line="276"/>
        <w:jc w:val="both"/>
      </w:pPr>
      <w:r>
        <w:rPr>
          <w:rFonts w:ascii="Barlow Semi Condensed" w:cs="Barlow Semi Condensed" w:eastAsia="Barlow Semi Condensed" w:hAnsi="Barlow Semi Condensed"/>
          <w:sz w:val="24"/>
          <w:szCs w:val="24"/>
        </w:rPr>
        <w:t xml:space="preserve">L'ottavo pilastro censisce la costellazione dei nomi, lo strato organizzativo sotto la ragione sociale. La documentazione attribuisce alla galassia di Guérin-Sérac, accanto all'agenzia quale volto pubblico, le denominazioni interne e parallele che gli atti registrano, tra cui la formazione Ordre et Tradition quale struttura politico-militante collegata, con l'articolazione operativa che le carte descrivono; il registro certifica al Livello A l'esistenza della costellazione denominativa, quale dato dell'archivio, mantiene al Livello B le ricostruzioni dei rapporti gerarchici interni tra le sigle, e ne trae l'annotazione tipologica che il corpus conferma su ogni teatro: le strutture clandestine mature del campo studiato non coincidono mai con una sola denominazione, operando quale costellazioni di sigle a geometria variabile, la ragione sociale per il mondo, la sigla politica per il reclutamento, l'articolazione operativa per l'azione, e l'analista che cerchi l'organizzazione in una sola delle sue denominazioni è destinato a certificarne l'innocuità apparente; il registro formalizza la regola, già incontrata nelle galassie nere italiane della Fase 3 e nella distinzione tra la scuola parigina e la sua cerchia, quale proprietà ricorrente della morfologia clandestina, e la consegna al repertorio dei reperti metodologici con il nodo lisbonese quale caso di massima documentazione della struttura a costellazione.</w:t>
      </w:r>
    </w:p>
    <w:p>
      <w:pPr>
        <w:spacing w:after="120" w:line="276"/>
        <w:jc w:val="both"/>
      </w:pPr>
      <w:r>
        <w:rPr>
          <w:rFonts w:ascii="Barlow Semi Condensed" w:cs="Barlow Semi Condensed" w:eastAsia="Barlow Semi Condensed" w:hAnsi="Barlow Semi Condensed"/>
          <w:sz w:val="24"/>
          <w:szCs w:val="24"/>
        </w:rPr>
        <w:t xml:space="preserve">Le triangolazioni del nodo sono 3. La prima, Guérin-Sérac-Lisbona-dottrina della tensione, salda l'uomo, la sede e il corpus dottrinale nel triangolo fondativo certificato al Livello A. La seconda, Aginter-orbita ordinovista-istruttorie italiane, congiunge la centrale ai transiti italiani documentati e agli accertamenti che li hanno interrogati, con i fatti al Livello B e gli esiti nulli al Livello A. La terza, archivio catturato-rivoluzione del 1974-conoscibilità del nodo, formalizza la dipendenza integrale della conoscenza dal regime archivistico, il teorema empirico che la fase consegna al capitolo nono.</w:t>
      </w:r>
    </w:p>
    <w:p>
      <w:pPr>
        <w:spacing w:after="120" w:line="276"/>
        <w:jc w:val="both"/>
      </w:pPr>
      <w:r>
        <w:rPr>
          <w:rFonts w:ascii="Barlow Semi Condensed" w:cs="Barlow Semi Condensed" w:eastAsia="Barlow Semi Condensed" w:hAnsi="Barlow Semi Condensed"/>
          <w:sz w:val="24"/>
          <w:szCs w:val="24"/>
        </w:rPr>
        <w:t xml:space="preserve">Alla cattura archivistica va aggiunta la sua coda istituzionale, che completa il fatto documentale capitale della fase: il fondo sequestrato nel 1974 confluì nel patrimonio archivistico dello Stato portoghese ed è oggi conservato presso l'Arquivo Nacional da Torre do Tombo di Lisbona, ordinato e consultabile secondo le regole ordinarie di quell'istituto, Livello A quanto alla collocazione ed al regime di accesso. Il registro sottolinea la rarità che questa condizione rappresenta nell'economia dell'opera: tra tutte le strutture clandestine censite nelle 5 fasi, Aginter Press è l'unica il cui archivio interno integrale sia finito, per intero e stabilmente, in un archivio pubblico ad accesso ordinario, senza mediazioni di intelligence riceventi, senza selezioni di esfiltratori, senza i filtri che gravano su ogni altro compendio della fase, dal Mitrokhin trasmesso per quote ai fondi orientali amministrati dagli istituti della memoria. La centrale di Lisbona è perciò, paradossalmente, l'oggetto meglio conoscibile dell'intero teatro internazionale nero: e la circostanza che proprio il nodo più documentato sia rimasto privo di condanne organiche, mentre nodi assai meno leggibili hanno prodotto giudicati, consegna alla legge del capitolo nono il suo corollario più fine, che la conoscibilità archivistica e la perseguibilità giudiziaria sono variabili indipendenti, e che il massimo della carta non garantisce il minimo della sentenza.</w:t>
      </w:r>
    </w:p>
    <w:p>
      <w:pPr>
        <w:spacing w:after="120" w:line="276"/>
        <w:jc w:val="both"/>
      </w:pPr>
      <w:r>
        <w:rPr>
          <w:rFonts w:ascii="Barlow Semi Condensed" w:cs="Barlow Semi Condensed" w:eastAsia="Barlow Semi Condensed" w:hAnsi="Barlow Semi Condensed"/>
          <w:sz w:val="24"/>
          <w:szCs w:val="24"/>
        </w:rPr>
        <w:t xml:space="preserve">La scheda del fondatore si chiude con l'esito biografico che il registro certifica quale Stato Zero giudiziario perfetto: Guérin-Sérac visse indisturbato in Portogallo sino alla morte, sopraggiunta nel 2022, senza avere scontato un solo giorno di detenzione per i fatti italiani nei quali le istruttorie lo avevano indicato, protetto dalla sequenza di latitanze, archiviazioni ed assoluzioni che il capitolo ha censito, Livello A quanto alla parabola ed al suo epilogo. Il registro consegna il dato alla sua funzione di misura: l'uomo che le carte di Lisbona documentano al centro dell'agenzia è morto quasi sessantenne di clandestinità compiuta, sopravvissuto a tutti i processi, a quasi tutti i suoi allievi ed alla stessa guerra fredda che lo aveva generato, e la distanza tra la ricchezza documentale del suo archivio e la nullità assoluta del suo casellario italiano è la formulazione biografica estrema del teorema che apre la fase: il massimo della carta non garantisce il minimo della sentenza.</w:t>
      </w:r>
    </w:p>
    <w:p>
      <w:pPr>
        <w:spacing w:after="120" w:line="276"/>
        <w:jc w:val="both"/>
      </w:pPr>
      <w:r>
        <w:rPr>
          <w:rFonts w:ascii="Barlow Semi Condensed" w:cs="Barlow Semi Condensed" w:eastAsia="Barlow Semi Condensed" w:hAnsi="Barlow Semi Condensed"/>
          <w:sz w:val="24"/>
          <w:szCs w:val="24"/>
        </w:rPr>
        <w:t xml:space="preserve">Il perimetro operativo dell'agenzia precede l'Europa, ed il registro ne censisce il versante africano quale prima palestra documentata: le carte di Lisbona attestano l'impiego della struttura sui teatri coloniali portoghesi, con attività informative ed operazioni contro i movimenti indipendentisti dell'Africa lusofona, dal Mozambico alla Guinea, nel quadro della collaborazione con la polizia politica del regime che l'archivio certifica, Livello A quanto all'operatività africana documentata dalle carte. Su questo versante si colloca il caso maggiore e conteso, che il registro riporta con il suo statuto esatto: l'assassinio nel 1969, a Dar es Salaam, del presidente del fronte di liberazione mozambicano Eduardo Mondlane, ucciso da un ordigno celato in un libro, fu attribuito nel tempo, da ricostruzioni concorrenti mai consolidate in giudicato, ai servizi coloniali portoghesi ed alle loro appendici operative, tra cui l'agenzia, Livello A quanto all'omicidio ed alle sue modalità, Livello C quanto ad ogni specifica attribuzione della catena esecutiva. La funzione del versante africano nell'economia del capitolo è genetica: prima di divenire lo snodo europeo censito dal pilastro, la struttura si era formata sulla guerra coloniale, dove le tecniche che l'Europa avrebbe conosciuto, l'infiltrazione, la provocazione, l'attentato mimetizzato, erano già repertorio corrente, e la traiettoria Africa-Europa dell'agenzia anticipa di un decennio la rotta che l'intera fase documenta, quella dei metodi delle periferie imperiali che risalgono verso i centri, sino a detonare nelle piazze del continente che li aveva esportati.</w:t>
      </w:r>
    </w:p>
    <w:p>
      <w:pPr>
        <w:spacing w:after="120" w:line="276"/>
        <w:jc w:val="both"/>
      </w:pPr>
      <w:r>
        <w:rPr>
          <w:rFonts w:ascii="Barlow Semi Condensed" w:cs="Barlow Semi Condensed" w:eastAsia="Barlow Semi Condensed" w:hAnsi="Barlow Semi Condensed"/>
          <w:sz w:val="24"/>
          <w:szCs w:val="24"/>
        </w:rPr>
        <w:t xml:space="preserve">La fine dell'agenzia coincide con l'evento che ne rese possibile la conoscenza, ed il registro censisce la coincidenza quale atto fondativo della propria stessa fonte: la Rivoluzione dei garofani del 25 aprile 1974, abbattendo in una notte il regime che aveva ospitato e protetto la centrale, costrinse la struttura alla fuga precipitosa verso la Spagna ancora franchista, con l'abbandono a Lisbona dell'archivio operativo che la nuova autorità acquisì e che, attraverso i passaggi censiti, sarebbe approdato alla conservazione pubblica della Torre do Tombo, Livello A quanto alla sequenza rivoluzione-fuga-acquisizione. Il registro fissa la lezione archivistica che l'episodio consegna all'intera opera: il fondo lisboeta, l'unico archivio integralmente pubblico di una centrale clandestina che il corpus possieda, non esiste per virtù di trasparenza ma per accidente di rivoluzione, perché la struttura fu l'unica del suo genere a perdere il proprio Stato ospite da un giorno all'altro, senza il tempo di distruggere le carte che ogni sua consorella, morendo lentamente, ebbe modo di bruciare, e questa genesi accidentale della massima fonte della fase è l'ultima conferma della legge che governa il rapporto tra il corpus ed i suoi documenti: gli archivi del potere occulto non si aprono, cadono, e la storiografia di questa materia è figlia, sempre, dei crolli altrui.</w:t>
      </w:r>
    </w:p>
    <w:p>
      <w:pPr>
        <w:spacing w:after="120" w:line="276"/>
        <w:jc w:val="both"/>
      </w:pPr>
      <w:r>
        <w:rPr>
          <w:rFonts w:ascii="Barlow Semi Condensed" w:cs="Barlow Semi Condensed" w:eastAsia="Barlow Semi Condensed" w:hAnsi="Barlow Semi Condensed"/>
          <w:sz w:val="24"/>
          <w:szCs w:val="24"/>
        </w:rPr>
        <w:t xml:space="preserve">Il fascicolo dell'agenzia si chiude con lo Stato Zero che il registro deve al proprio metodo: la struttura non fu mai processata nel Paese che ne custodisce l'archivio, poiché il Portogallo democratico, entrato in possesso delle carte con la rivoluzione, non aprì mai un procedimento penale organico sull'organizzazione che aveva operato per 8 anni dal proprio territorio, limitandosi alla conservazione archivistica censita, Livello A quanto all'assenza di procedimenti portoghesi, sistematicamente verificata dalla storiografia sul fondo. Il registro consegna il vuoto alla sua lettura: la nazione che possiede tutte le prove non celebrò alcun processo, e le nazioni che celebrarono i processi, l'Italia delle istruttorie censite, dovettero procurarsi le prove per rogatoria, sicché il caso Aginter realizza la separazione perfetta tra il luogo della prova ed il luogo del giudizio che l'intera fase ha documentato in forme parziali, e la spiegazione, che il registro annota senza attenuarla, appartiene alla fisiologia delle transizioni: la democrazia portoghese nata dal 1974 aveva da processare i propri carnefici e non i propri ospiti, e l'agenzia, che sul suolo lusitano non aveva ucciso nessuno, non apparteneva alle priorità di nessuna delle 2 giustizie possibili, quella del Paese offeso, che non aveva le carte, e quella del Paese ospite, che non aveva le vittime.</w:t>
      </w:r>
    </w:p>
    <w:p>
      <w:pPr>
        <w:spacing w:after="120" w:line="276"/>
        <w:jc w:val="both"/>
      </w:pPr>
      <w:r>
        <w:rPr>
          <w:rFonts w:ascii="Barlow Semi Condensed" w:cs="Barlow Semi Condensed" w:eastAsia="Barlow Semi Condensed" w:hAnsi="Barlow Semi Condensed"/>
          <w:b/>
          <w:bCs/>
          <w:sz w:val="24"/>
          <w:szCs w:val="24"/>
        </w:rPr>
        <w:t xml:space="preserve">Sintesi del dato nuovo acquisito:</w:t>
      </w:r>
      <w:r>
        <w:rPr>
          <w:rFonts w:ascii="Barlow Semi Condensed" w:cs="Barlow Semi Condensed" w:eastAsia="Barlow Semi Condensed" w:hAnsi="Barlow Semi Condensed"/>
          <w:sz w:val="24"/>
          <w:szCs w:val="24"/>
        </w:rPr>
        <w:t xml:space="preserve"> il nodo Aginter è certificato quale centrale documentata dalla cattura archivistica del 1974, con dottrina scritta della tensione al Livello A, transiti italiani al Livello B, condanne organiche assenti, e la coppia Aginter-Hyperion è elevata a dimostrazione empirica interna dell'asimmetria archivistica, i 2 gemelli topologici resi opposti dal solo regime di accesso alle carte.</w:t>
      </w:r>
    </w:p>
    <w:p>
      <w:pPr>
        <w:pStyle w:val="Heading3"/>
        <w:spacing w:after="80" w:before="160"/>
      </w:pPr>
      <w:r>
        <w:rPr>
          <w:rFonts w:ascii="Barlow Semi Condensed" w:cs="Barlow Semi Condensed" w:eastAsia="Barlow Semi Condensed" w:hAnsi="Barlow Semi Condensed"/>
          <w:sz w:val="24"/>
          <w:szCs w:val="24"/>
        </w:rPr>
        <w:t xml:space="preserve">Capitolo 2 — Le diaspore latinoamericane: il Condor, i golpe e le capitali-rifugio</w:t>
      </w:r>
    </w:p>
    <w:p>
      <w:pPr>
        <w:spacing w:after="120" w:line="276"/>
        <w:jc w:val="both"/>
      </w:pPr>
      <w:r>
        <w:rPr>
          <w:rFonts w:ascii="Barlow Semi Condensed" w:cs="Barlow Semi Condensed" w:eastAsia="Barlow Semi Condensed" w:hAnsi="Barlow Semi Condensed"/>
          <w:sz w:val="24"/>
          <w:szCs w:val="24"/>
        </w:rPr>
        <w:t xml:space="preserve">Il secondo nodo è il continente delle diaspore, il teatro nel quale i fili neri e i fili piduisti dell'opera trovarono rifugio, impiego e protezione. Il quadro di sistema è l'Operazione Condor, il coordinamento repressivo tra i regimi militari del cono sud formalizzato a Santiago del Cile nel novembre 1975, la rete interstatale di scambio informativo, cattura e trasferimento degli oppositori che la documentazione desecretata e i processi del secolo successivo hanno certificato; il registro certifica al Livello A l'esistenza, la data di formalizzazione e il funzionamento del sistema, quali dati documentali e giudiziari consolidati, e vi colloca i 3 fili italiani che i pilastri censiscono.</w:t>
      </w:r>
    </w:p>
    <w:p>
      <w:pPr>
        <w:spacing w:after="120" w:line="276"/>
        <w:jc w:val="both"/>
      </w:pPr>
      <w:r>
        <w:rPr>
          <w:rFonts w:ascii="Barlow Semi Condensed" w:cs="Barlow Semi Condensed" w:eastAsia="Barlow Semi Condensed" w:hAnsi="Barlow Semi Condensed"/>
          <w:sz w:val="24"/>
          <w:szCs w:val="24"/>
        </w:rPr>
        <w:t xml:space="preserve">Il primo pilastro segue la traiettoria di Stefano Delle Chiaie, il percorso di carriera transnazionale più documentato dell'estremismo nero italiano, applicazione maggiore del Pattern 7 sul teatro. Riparato in Spagna dopo la stagione italiana, l'uomo di Avanguardia Nazionale attraversò il decennio tra la penisola iberica e il continente americano, e la documentazione lo colloca in Cile e quindi in Bolivia, dove le risultanze convergenti ne certificano la presenza nell'orbita del golpe del 17 luglio 1980, il colpo di Stato del generale García Meza sostenuto dagli apparati del narcotraffico, insieme a Pierluigi Pagliai e nel medesimo ambiente in cui operava Klaus Barbie, l'ex ufficiale nazista consegnato alla Francia nel febbraio 1983; Pagliai fu catturato in Bolivia nell'ottobre 1982 nell'ambito della cooperazione con l'Italia e morì poco dopo per le ferite riportate nella cattura; Delle Chiaie proseguì la latitanza sino alla cattura in Venezuela nel 1987 e ai processi italiani. Il registro certifica al Livello A la traiettoria, le presenze boliviane e le catture, quali risultanze documentali e giudiziarie, e adempie la disciplina degli esiti riportando per esteso l'esito dei giudizi maggiori: Stefano Delle Chiaie fu assolto per la strage di piazza Fontana dalla Corte d'assise di Catanzaro nel 1989, con conferma dell'assoluzione in appello nel 1991, e l'assoluzione è definitiva; il registro trascrive l'esito con la medesima evidenza dei fatti certificati, secondo la regola che non ammette eccezioni.</w:t>
      </w:r>
    </w:p>
    <w:p>
      <w:pPr>
        <w:spacing w:after="120" w:line="276"/>
        <w:jc w:val="both"/>
      </w:pPr>
      <w:r>
        <w:rPr>
          <w:rFonts w:ascii="Barlow Semi Condensed" w:cs="Barlow Semi Condensed" w:eastAsia="Barlow Semi Condensed" w:hAnsi="Barlow Semi Condensed"/>
          <w:sz w:val="24"/>
          <w:szCs w:val="24"/>
        </w:rPr>
        <w:t xml:space="preserve">Il secondo pilastro censisce il versante piduista del teatro, l'Argentina di Licio Gelli. La documentazione della Commissione Anselmi e le acquisizioni convergenti certificano il radicamento argentino del Venerabile, i rapporti con gli ambienti della giunta militare, la presenza negli elenchi della loggia di figure di vertice del regime, tra le quali l'ammiraglio Emilio Massera, membro della prima giunta, e la funzione della piazza argentina quale retrovia degli affari e delle protezioni gelliane; alla stagione argentina appartiene la parabola successiva dell'uomo, l'arresto a Ginevra il 13 settembre 1982 nel tentativo di movimentazione bancaria, l'evasione dal carcere svizzero di Champ-Dollon il 10 agosto 1983 e la lunga latitanza sudamericana prima della consegna definitiva; il registro certifica al Livello A il radicamento, gli elenchi, l'arresto e l'evasione, quali dati documentali e giudiziari, e certifica al Livello A, quale dato del Pattern 10, la geografia che il pilastro compone con il primo: il medesimo continente ospitò simultaneamente, nella prima metà degli anni Ottanta, la diaspora nera operativa sul versante andino e la retrovia piduista sul versante atlantico, 2 reti italiane distinte per natura e parimenti protette da regimi militari, senza che alcun documento certifichi un coordinamento tra le 2 presenze, la compresenza restando censita quale fatto geografico al Livello A e ogni lettura unificante al Livello C.</w:t>
      </w:r>
    </w:p>
    <w:p>
      <w:pPr>
        <w:spacing w:after="120" w:line="276"/>
        <w:jc w:val="both"/>
      </w:pPr>
      <w:r>
        <w:rPr>
          <w:rFonts w:ascii="Barlow Semi Condensed" w:cs="Barlow Semi Condensed" w:eastAsia="Barlow Semi Condensed" w:hAnsi="Barlow Semi Condensed"/>
          <w:sz w:val="24"/>
          <w:szCs w:val="24"/>
        </w:rPr>
        <w:t xml:space="preserve">Il terzo pilastro censisce le capitali-rifugio quale sistema, la geografia delle protezioni che la Fase 4 ha consegnato. Il continente e i suoi margini ospitarono, in regimi e per ragioni diverse, le latitanze perpetue del corpus: il Nicaragua sandinista per Alessio Casimirri, l'uomo di via Fani mai raggiunto dall'esecuzione penale, il cono sud militare per la diaspora nera, il Venezuela per l'ultima latitanza di Delle Chiaie, e la serie compone la mappa che il registro formalizza: le protezioni non seguirono l'asse ideologico ma l'asse dell'utilità e dell'ostilità giurisdizionale, un regime rivoluzionario e regimi controrivoluzionari avendo prodotto il medesimo effetto, la sottrazione perpetua dei protetti alla giurisdizione italiana; il registro certifica al Livello A la mappa e la sua trasversalità ideologica, quali fatti, e ne trae il teorema del Pattern 10 che consegna alla verifica finale: nel campo studiato, la geografia del rifugio è una funzione della frattura tra gli ordinamenti e non della prossimità politica, e ogni lettura delle protezioni in chiave di campo deve preliminarmente superare il dato certificato della loro distribuzione bipolare.</w:t>
      </w:r>
    </w:p>
    <w:p>
      <w:pPr>
        <w:spacing w:after="120" w:line="276"/>
        <w:jc w:val="both"/>
      </w:pPr>
      <w:r>
        <w:rPr>
          <w:rFonts w:ascii="Barlow Semi Condensed" w:cs="Barlow Semi Condensed" w:eastAsia="Barlow Semi Condensed" w:hAnsi="Barlow Semi Condensed"/>
          <w:sz w:val="24"/>
          <w:szCs w:val="24"/>
        </w:rPr>
        <w:t xml:space="preserve">Il quarto pilastro censisce il caso che portò il Condor a Roma, l'attentato a Bernardo Leighton. Il 6 ottobre 1975 l'ex vicepresidente cileno Bernardo Leighton, esule democristiano oppositore del regime di Pinochet, fu gravemente ferito a Roma in un agguato con arma da fuoco insieme alla moglie Anita Fresno, che riportò lesioni permanenti: le indagini e i giudizi ricostruirono l'attentato quale operazione commissionata dalla polizia segreta cilena, la DINA, con l'esecuzione attribuita dalle risultanze all'ambiente dell'estremismo nero romano in rapporto con la centrale cilena, e la Corte d'assise di Roma condannò nel 1995, in contumacia, i vertici della DINA quali mandanti; il registro certifica al Livello A l'attentato, le vittime, la matrice cilena e le condanne contumaciali dei mandanti, quali risultanze giudiziarie, nomina Bernardo Leighton e Anita Fresno tra le vittime ferite della fase quale atto dovuto, mantiene al Livello B le attribuzioni esecutive all'orbita nera italiana nei termini non consacrati da condanna, e ne dichiara la funzione reticolare: il caso Leighton è l'arco documentato che congiunge il sistema Condor al territorio italiano e all'estremismo nero romano, la prova che la rete continentale del capitolo operò dentro Roma, e costituisce, con la strage di via Fani e con l'attentato del 1981, uno dei 3 casi del corpus in cui la capitale fu teatro di operazioni con committenza o esecuzione internazionale certificata o processata.</w:t>
      </w:r>
    </w:p>
    <w:p>
      <w:pPr>
        <w:spacing w:after="120" w:line="276"/>
        <w:jc w:val="both"/>
      </w:pPr>
      <w:r>
        <w:rPr>
          <w:rFonts w:ascii="Barlow Semi Condensed" w:cs="Barlow Semi Condensed" w:eastAsia="Barlow Semi Condensed" w:hAnsi="Barlow Semi Condensed"/>
          <w:sz w:val="24"/>
          <w:szCs w:val="24"/>
        </w:rPr>
        <w:t xml:space="preserve">Il quinto pilastro censisce l'esito giudiziario italiano di sistema, il processo Condor del secolo successivo. Sulla scomparsa e l'assassinio di cittadini italiani e italo-discendenti nel cono sud, la giustizia italiana celebrò il processo ai responsabili delle strutture repressive dei regimi coordinati, approdato alle condanne all'ergastolo estese in appello nel 2019 e rese definitive dalla Corte di cassazione nel 2021 per i vertici superstiti delle catene di comando sudamericane; il registro certifica al Livello A il processo e gli esiti definitivi, quali dati giudiziari, e ne trae la formalizzazione che il teatro consegna all'opera: il sistema Condor è, nel corpus internazionale, il caso di massima consacrazione giudiziaria, l'unica rete transnazionale del grafo i cui vertici siano stati condannati in via definitiva da una corte italiana per il funzionamento della rete quale tale, e la comparazione con gli esiti nulli dei nodi europei del corpus, Aginter senza condanne organiche e Hyperion senza imputazioni, misura la variabile che governa la giustiziabilità del livello internazionale: il Condor fu giudicabile perché i suoi regimi caddero e i suoi archivi si aprirono, secondo la legge del capitolo nono, e la sentenza del 2021 è, in questa lettura certificata, il frutto giudiziario maturo di un'apertura archivistica continentale.</w:t>
      </w:r>
    </w:p>
    <w:p>
      <w:pPr>
        <w:spacing w:after="120" w:line="276"/>
        <w:jc w:val="both"/>
      </w:pPr>
      <w:r>
        <w:rPr>
          <w:rFonts w:ascii="Barlow Semi Condensed" w:cs="Barlow Semi Condensed" w:eastAsia="Barlow Semi Condensed" w:hAnsi="Barlow Semi Condensed"/>
          <w:sz w:val="24"/>
          <w:szCs w:val="24"/>
        </w:rPr>
        <w:t xml:space="preserve">Il sesto pilastro censisce l'ambiente del golpe boliviano, la composizione che rende il caso unico nel corpus. Le ricostruzioni giudiziarie e documentali del colpo di Stato del 1980 descrivono la convergenza operativa, attorno agli apparati golpisti, di 3 componenti certificate: i quadri militari boliviani, le strutture del narcotraffico che finanziarono l'operazione, e il gruppo paramilitare internazionale raccolto attorno a Klaus Barbie, la formazione nota alle cronache quale i fidanzati della morte, nella cui orbita le risultanze collocano la componente della diaspora nera europea con le presenze italiane censite nel primo pilastro; il registro certifica al Livello A la convergenza delle 3 componenti, quale ricostruzione consolidata, e ne dichiara il valore paradigmatico per l'opera: il golpe del 1980 è il caso documentato in cui un potere statale fu conquistato dalla saldatura diretta tra apparato militare, criminalità del narcotraffico ed estremismo politico transnazionale, la configurazione che le fasi nazionali hanno incontrato soltanto in forme mediate e parziali, qui realizzata in forma pura e vittoriosa; il registro trascrive il caso quale massimo esemplare del corpus della coppia crimine-forze armate, la coppia a bassa densità che la Nota metodologica indicava quale potenzialmente rivelatrice, e annota che la sua realizzazione compiuta avvenne non nel teatro italiano ma nella periferia andina, dove le condizioni di sistema, la debolezza istituzionale e la forza del narcotraffico, consentirono ciò che il sistema italiano, per la lettura che i materiali sostengono, non consentì mai nella forma piena.</w:t>
      </w:r>
    </w:p>
    <w:p>
      <w:pPr>
        <w:spacing w:after="120" w:line="276"/>
        <w:jc w:val="both"/>
      </w:pPr>
      <w:r>
        <w:rPr>
          <w:rFonts w:ascii="Barlow Semi Condensed" w:cs="Barlow Semi Condensed" w:eastAsia="Barlow Semi Condensed" w:hAnsi="Barlow Semi Condensed"/>
          <w:sz w:val="24"/>
          <w:szCs w:val="24"/>
        </w:rPr>
        <w:t xml:space="preserve">Il settimo pilastro censisce l'epilogo del filo gelliano, la chiusura del percorso sudamericano. La latitanza seguita all'evasione del 1983 si chiuse con la costituzione a Ginevra nel settembre 1987 e con l'estradizione in Italia nel febbraio 1988, alle condizioni convenzionali che delimitarono i titoli di giudizio; ne seguirono le stagioni processuali che le fasi nazionali hanno certificato negli esiti, la condanna definitiva per la bancarotta del Banco Ambrosiano e la condanna definitiva per il depistaggio delle indagini sulla strage di Bologna, con le assoluzioni definitive dagli altri titoli che la Fase 3 ha riportato per esteso; il registro certifica al Livello A la sequenza costituzione-estradizione e recepisce gli esiti nella qualificazione delle fasi competenti, traendone la chiusura comparativa del teatro: i 2 massimi latitanti del corpus internazionale, il capo della diaspora nera e il Venerabile della loggia, percorsero il continente delle protezioni con traiettorie speculari e approdarono entrambi, per vie diverse, alla giurisdizione italiana, l'uno alla cattura del 1987 e ai processi con gli esiti assolutori maggiori riportati, l'altro alla consegna del 1988 e alle condanne definitive circoscritte; la coppia degli epiloghi, l'assolto catturato e il condannato consegnato, chiude il teatro latinoamericano con la dimostrazione che il registro affida alla disciplina degli esiti: la giurisdizione, quando infine raggiunse i protetti, produsse verdetti differenziati e non simmetrici alle attese di alcuna vulgata, e il registro li trascrive quali sono, secondo la regola che non corregge mai gli esiti nella direzione delle ipotesi.</w:t>
      </w:r>
    </w:p>
    <w:p>
      <w:pPr>
        <w:spacing w:after="120" w:line="276"/>
        <w:jc w:val="both"/>
      </w:pPr>
      <w:r>
        <w:rPr>
          <w:rFonts w:ascii="Barlow Semi Condensed" w:cs="Barlow Semi Condensed" w:eastAsia="Barlow Semi Condensed" w:hAnsi="Barlow Semi Condensed"/>
          <w:sz w:val="24"/>
          <w:szCs w:val="24"/>
        </w:rPr>
        <w:t xml:space="preserve">Le triangolazioni del nodo sono 3. La prima, Delle Chiaie-Bolivia-golpe del 1980, certifica al Livello A la presenza della diaspora nera italiana nell'evento andino, con l'esito assolutorio italiano riportato per esteso. La seconda, Gelli-Argentina-elenchi della loggia, certifica al Livello A la retrovia piduista e i suoi vertici militari. La terza, Casimirri-Nicaragua-capitali-rifugio, salda l'arco della Fase 4 al sistema continentale delle protezioni, con la trasversalità ideologica certificata quale fatto.</w:t>
      </w:r>
    </w:p>
    <w:p>
      <w:pPr>
        <w:spacing w:after="120" w:line="276"/>
        <w:jc w:val="both"/>
      </w:pPr>
      <w:r>
        <w:rPr>
          <w:rFonts w:ascii="Barlow Semi Condensed" w:cs="Barlow Semi Condensed" w:eastAsia="Barlow Semi Condensed" w:hAnsi="Barlow Semi Condensed"/>
          <w:sz w:val="24"/>
          <w:szCs w:val="24"/>
        </w:rPr>
        <w:t xml:space="preserve">Alla giurisdizione italiana sul sistema il registro deve infine i nomi che la radicarono, in ottemperanza alla disciplina delle vittime che governa l'intera opera: tra i cittadini italiani e i doppi cittadini scomparsi o assassinati nel quadro del coordinamento repressivo, per i quali le corti romane hanno celebrato il processo censito, figurano Juan Pablo Montiglio, italo-cileno della cerchia della sicurezza del presidente Allende, soppresso nella stagione immediatamente successiva al golpe, Omar Venturelli Leonelli, sacerdote e docente italo-cileno prelevato e scomparso nel 1973, e Lorenzo Ismael Viñas, italo-argentino sequestrato nel 1980 sulla rotta del confine con il Brasile, Livello A quanto ai casi, accertati nelle sedi giudiziarie italiane quali fatti del sistema. Il registro trascrive i 3 nomi quale rappresentanza dell'elenco più ampio che gli atti del processo custodiscono, e ne dichiara la funzione: essi sono la ragione giuridica per cui il Condor, sistema straniero operante su continenti lontani, appartiene di diritto a un'opera italiana, giacché la giurisdizione seguì il sangue, e la cittadinanza delle vittime trasformò il coordinamento dei regimi australi in materia penale della Repubblica, con la conseguenza, censita dal pilastro giudiziario, che una delle sentenze più vaste mai pronunciate al mondo sul terrorismo di Stato transnazionale porta l'intestazione di una Corte d'Assise romana.</w:t>
      </w:r>
    </w:p>
    <w:p>
      <w:pPr>
        <w:spacing w:after="120" w:line="276"/>
        <w:jc w:val="both"/>
      </w:pPr>
      <w:r>
        <w:rPr>
          <w:rFonts w:ascii="Barlow Semi Condensed" w:cs="Barlow Semi Condensed" w:eastAsia="Barlow Semi Condensed" w:hAnsi="Barlow Semi Condensed"/>
          <w:sz w:val="24"/>
          <w:szCs w:val="24"/>
        </w:rPr>
        <w:t xml:space="preserve">La scansione numerica degli esiti romani merita la trascrizione integrale, perché la sua progressione è essa stessa un reperto sull'accertamento tardivo: il primo grado, celebrato dinanzi alla Corte d'Assise di Roma e concluso nel gennaio 2017, pronunciò 8 condanne all'ergastolo a carico dei vertici superstiti dei regimi e un ampio ventaglio di assoluzioni per gli imputati di rango inferiore; il giudizio d'appello dell'8 luglio 2019 ribaltò in larga parte le assoluzioni portando a 24 gli ergastoli; la Corte di cassazione, il 9 luglio 2021, rese irrevocabile l'impianto, Livello A sull'intera scansione. Il registro annota la morfologia dell'esito: la forbice tra i 2 gradi di merito, da 8 a 24 ergastoli sul medesimo materiale, misura non un mutamento delle prove ma un mutamento del criterio di imputazione del sistema, il passaggio dalla responsabilità per il singolo fatto alla responsabilità per l'appartenenza consapevole all'apparato repressivo coordinato, e questa evoluzione, consacrata dalla Cassazione, costituisce il contributo dottrinale italiano alla giustizia internazionale sui crimini di sistema: il Condor fu giudicato a Roma non quale somma di omicidi ma quale organizzazione, con la medesima grammatica associativa che l'ordinamento aveva forgiato, nei decenni, sui propri sodalizi criminali interni.</w:t>
      </w:r>
    </w:p>
    <w:p>
      <w:pPr>
        <w:spacing w:after="120" w:line="276"/>
        <w:jc w:val="both"/>
      </w:pPr>
      <w:r>
        <w:rPr>
          <w:rFonts w:ascii="Barlow Semi Condensed" w:cs="Barlow Semi Condensed" w:eastAsia="Barlow Semi Condensed" w:hAnsi="Barlow Semi Condensed"/>
          <w:sz w:val="24"/>
          <w:szCs w:val="24"/>
        </w:rPr>
        <w:t xml:space="preserve">Alla topografia del sistema appartiene il luogo che il processo romano e i giudicati argentini hanno consegnato quale suo snodo fisico per gli stranieri: il centro clandestino di detenzione noto quale Automotores Orletti, l'officina di Buenos Aires adibita nel 1976 a stazione operativa per i prigionieri non argentini del coordinamento, teatro accertato del transito, della tortura e della sparizione di cittadini uruguaiani, cileni e di doppi cittadini italiani caduti nella rete, tra i quali casi giudicati nelle aule romane censite, Livello A quanto all'esistenza, alla funzione ed ai fatti accertati nelle sedi giudiziarie dei 2 continenti. Il registro assegna al luogo la funzione che i luoghi hanno in tutta l'opera, da Thompson Street a via Ruggiero Settimo: Orletti è la convergenza spaziale del Condor, il punto in cui il coordinamento cartaceo degli apparati diveniva stanza, catena, corpo, e la sua accertata specializzazione per i prigionieri stranieri documenta, meglio di ogni organigramma, la natura autenticamente transnazionale del sistema, che non si limitava a scambiare informazioni tra sovranità ma gestiva in comune, in un solo indirizzo, la fase terminale della repressione multinazionale. Nel grafo della fase, l'officina di Buenos Aires è perciò il nodo-luogo a massima densità dell'intero teatro australe, e la sua centralità postuma nelle sentenze di 2 continenti è la conferma, ancora una volta, che la giustizia raggiunge il sistema dove il sistema si fa spazio.</w:t>
      </w:r>
    </w:p>
    <w:p>
      <w:pPr>
        <w:spacing w:after="120" w:line="276"/>
        <w:jc w:val="both"/>
      </w:pPr>
      <w:r>
        <w:rPr>
          <w:rFonts w:ascii="Barlow Semi Condensed" w:cs="Barlow Semi Condensed" w:eastAsia="Barlow Semi Condensed" w:hAnsi="Barlow Semi Condensed"/>
          <w:sz w:val="24"/>
          <w:szCs w:val="24"/>
        </w:rPr>
        <w:t xml:space="preserve">All'antecedente civile del terrore australe appartiene la struttura che saldò, prima ancora dei golpe, il versante argentino al perimetro dell'opera: la Alianza Anticomunista Argentina, la formazione parastatale attiva dal 1973 al 1976 sotto il governo peronista, organizzata dal ministro José López Rega, responsabile di centinaia di omicidi politici nella stagione precedente il colpo di Stato, Livello A quanto all'esistenza, alla direzione ed all'attività accertate dalle giurisdizioni argentine. Il raccordo con il registro è nominale e documentale: López Rega figura negli elenchi della loggia coperta acquisiti dalla Commissione Anselmi, quale appartenente all'orbita gelliana argentina che il secondo pilastro certifica, sicché il fondatore dello squadrismo di Stato preperonista risulta iscritto alla medesima struttura riservata italiana che il registro ha censito quale massima intermediazione del grafo nazionale, Livello A quanto alla presenza negli elenchi, con la disciplina costante dell'opera sul valore della mera iscrizione. La parabola terminale completa la scheda: caduto con il governo che lo aveva espresso, López Rega riparò all'estero, fu arrestato negli Stati Uniti nel 1986, estradato in Argentina e morì nel 1989 in attesa di giudizio, senza sentenza definitiva sulla propria responsabilità, Livello A quanto agli esiti. Il registro consegna il nodo alla sua funzione: la Triple A dimostra che il terrore australe non nacque con le giunte ma le precedette in forma civile, e che l'orbita della loggia lambiva quel laboratorio prima ancora che il Condor lo istituzionalizzasse.</w:t>
      </w:r>
    </w:p>
    <w:p>
      <w:pPr>
        <w:spacing w:after="120" w:line="276"/>
        <w:jc w:val="both"/>
      </w:pPr>
      <w:r>
        <w:rPr>
          <w:rFonts w:ascii="Barlow Semi Condensed" w:cs="Barlow Semi Condensed" w:eastAsia="Barlow Semi Condensed" w:hAnsi="Barlow Semi Condensed"/>
          <w:sz w:val="24"/>
          <w:szCs w:val="24"/>
        </w:rPr>
        <w:t xml:space="preserve">Il teatro australe esige infine la sua comparazione giudiziaria interna, che il registro censisce quale contro-modello dell'intera fase: l'Argentina processò i propri vertici con il Juicio a las Juntas del 1985, il dibattimento civile che a 2 anni dalla fine del regime condannò i comandanti delle prime giunte, l'ergastolo a Videla, la condanna a Massera, primo caso al mondo di una democrazia che giudicava con i propri tribunali ordinari la propria dittatura appena caduta, Livello A quanto al processo ed agli esiti; la stagione successiva delle leggi di clemenza, il punto finale e l'obbedienza dovuta della fine degli anni Ottanta e gli indulti presidenziali, congelò per 15 anni quel primato, sino alla dichiarazione di incostituzionalità ed alla riapertura generalizzata dei giudizi nel primo decennio del nuovo secolo, che restituì alle aule argentine i processi censiti in questo capitolo, Livello A sull'intera parabola normativa. Il registro trae dalla comparazione la sua morale documentale: la giustizia argentina percorse in 20 anni l'intero ciclo, condanna, amnistia, annullamento dell'amnistia, nuova condanna, mentre la giustizia italiana sui fatti equivalenti del proprio corpus non ha mai completato neppure il primo movimento, e la circostanza che il Paese uscito da una dittatura genocida abbia giudicato sé stesso più rapidamente e più a fondo di quanto la democrazia continuativa più antica del corpus abbia giudicato le proprie stragi è il termine di paragone che la fase consegna, senza commento, alla verifica finale.</w:t>
      </w:r>
    </w:p>
    <w:p>
      <w:pPr>
        <w:spacing w:after="120" w:line="276"/>
        <w:jc w:val="both"/>
      </w:pPr>
      <w:r>
        <w:rPr>
          <w:rFonts w:ascii="Barlow Semi Condensed" w:cs="Barlow Semi Condensed" w:eastAsia="Barlow Semi Condensed" w:hAnsi="Barlow Semi Condensed"/>
          <w:sz w:val="24"/>
          <w:szCs w:val="24"/>
        </w:rPr>
        <w:t xml:space="preserve">Il versante uruguaiano del ponte piduista completa la geografia australe della loggia, ed il registro lo censisce accanto al caso argentino: Umberto Ortolani, il numero 2 della struttura censito nella prima fase dell'opera, aveva stabilito a Montevideo il proprio quartier generale finanziario sudamericano, con la banca di famiglia operante nella piazza uruguaiana, la naturalizzazione e le relazioni di vertice che le acquisizioni della Commissione Anselmi documentarono, facendo dell'Uruguay degli anni della dittatura la seconda capitale operativa della loggia dopo Buenos Aires, Livello A quanto agli insediamenti ed alle acquisizioni parlamentari. Il registro salda il dato alla struttura della fase: i 2 vertici della piramide gelliana risultano così stabilmente installati nei 2 Paesi cardine del coordinamento repressivo censito dal pilastro, l'Argentina di Gelli e López Rega, l'Uruguay di Ortolani, negli anni esatti in cui quel coordinamento operava, e questa doppia residenza documentata, quale che ne sia stata la funzione operativa mai integralmente giudicata, colloca fisicamente la massima struttura di intermediazione del grafo italiano dentro il perimetro geografico del Condor, con la conseguenza analitica che la fase consegna alla verifica finale: il ponte tra il capitolo italiano e il teatro australe non è un'inferenza degli analisti, è un indirizzo, anzi 2.</w:t>
      </w:r>
    </w:p>
    <w:p>
      <w:pPr>
        <w:spacing w:after="120" w:line="276"/>
        <w:jc w:val="both"/>
      </w:pPr>
      <w:r>
        <w:rPr>
          <w:rFonts w:ascii="Barlow Semi Condensed" w:cs="Barlow Semi Condensed" w:eastAsia="Barlow Semi Condensed" w:hAnsi="Barlow Semi Condensed"/>
          <w:sz w:val="24"/>
          <w:szCs w:val="24"/>
        </w:rPr>
        <w:t xml:space="preserve">Alla topografia argentina del sistema appartiene, accanto all'officina censita, il suo centro maggiore, che il registro riporta per completezza comparativa: la Escuela de Mecánica de la Armada di Buenos Aires, il più vasto centro clandestino di detenzione del regime, per il quale transitarono migliaia di prigionieri in gran parte mai riemersi, oggi convertito in museo e sito della memoria con il riconoscimento del patrimonio mondiale, Livello A quanto alla funzione storica accertata dai giudicati argentini ed alla destinazione memoriale. La comparazione con l'officina del coordinamento è la funzione del reperto: l'ESMA fu la macchina nazionale del terrore, Orletti la sua succursale multinazionale, e la coesistenza documentata delle 2 strutture nella medesima città certifica la doppia scala del sistema che il pilastro misura, quella interna della repressione di massa e quella transnazionale del coordinamento selettivo, con la conseguenza museale che il registro annota per la verifica finale: l'Argentina ha trasformato entrambe in luoghi pubblici della memoria, applicando ai propri edifici del terrore la stessa politica che il capitolo ha censito per i propri processi, mentre nessun luogo italiano del corpus, nessuna caserma, nessun ufficio, nessuna sede coperta, ha mai conosciuto conversione equivalente.</w:t>
      </w:r>
    </w:p>
    <w:p>
      <w:pPr>
        <w:spacing w:after="120" w:line="276"/>
        <w:jc w:val="both"/>
      </w:pPr>
      <w:r>
        <w:rPr>
          <w:rFonts w:ascii="Barlow Semi Condensed" w:cs="Barlow Semi Condensed" w:eastAsia="Barlow Semi Condensed" w:hAnsi="Barlow Semi Condensed"/>
          <w:sz w:val="24"/>
          <w:szCs w:val="24"/>
        </w:rPr>
        <w:t xml:space="preserve">Il teatro cileno del pilastro possiede infine il suo contrappunto luminoso, che il registro censisce per dovere di completezza e per disciplina d'equilibrio: nei mesi successivi al golpe del settembre 1973, la sede diplomatica italiana a Santiago, già evocata, divenne il maggiore rifugio occidentale della capitale, accogliendo entro i propri muri centinaia di perseguitati che vi scavalcarono la cinta, ospitati per mesi e progressivamente trasferiti in Italia con salvacondotti negoziati, senza che una sola persona accolta venisse mai consegnata al regime, Livello A quanto alla vicenda documentata dagli archivi diplomatici e dalle testimonianze convergenti. Il registro assegna al reperto la sua funzione strutturale nell'economia dell'opera: la medesima Repubblica i cui apparati la fase censisce nelle loro torsioni esprimeva, simultaneamente e attraverso altri suoi servitori, la più ampia operazione umanitaria occidentale del teatro cileno, e questa compresenza documentata delle 2 Italie nello stesso scacchiere, quella dei canali coperti e quella dei cancelli aperti, è la dimostrazione empirica della tesi anti-monolitica che governa l'intero metodo: gli Stati del corpus non sono attori unitari ma campi di forze, e la storia che l'opera ricostruisce non è quella di nazioni colpevoli, ma di domini in conflitto dentro ogni nazione, con la conseguenza che ogni giudizio sommario su un Paese intero è, per il metodo di quest'opera, un errore di risoluzione prima che di merito.</w:t>
      </w:r>
    </w:p>
    <w:p>
      <w:pPr>
        <w:spacing w:after="120" w:line="276"/>
        <w:jc w:val="both"/>
      </w:pPr>
      <w:r>
        <w:rPr>
          <w:rFonts w:ascii="Barlow Semi Condensed" w:cs="Barlow Semi Condensed" w:eastAsia="Barlow Semi Condensed" w:hAnsi="Barlow Semi Condensed"/>
          <w:sz w:val="24"/>
          <w:szCs w:val="24"/>
        </w:rPr>
        <w:t xml:space="preserve">Il fascicolo cileno conosce infine la sua chiusura documentale d'oltreoceano, che il registro censisce quale autocertificazione terminale del campo: il rapporto consegnato al Congresso nel settembre 2000 in esecuzione dell'emendamento che ne portava il nome, con cui l'agenzia americana ammise ufficialmente, a 27 anni dal golpe, la portata dei propri programmi cileni, i finanziamenti, i rapporti con gli apparati della giunta ed i contatti con figure coinvolte in crimini accertati, accompagnando l'ammissione con la declassificazione di decine di migliaia di carte disposta nella medesima stagione, Livello A quanto ai contenuti del rapporto ed al corpus declassificato. Il registro salda il documento alla struttura probatoria dell'intero pilastro: con il rapporto del 2000 il caso cileno raggiunse la configurazione documentale perfetta che quasi nessun altro nodo dell'opera possiede, la convergenza tra gli archivi delle vittime, i giudicati dei tribunali di 2 continenti e l'ammissione scritta del committente, e questa saturazione delle fonti spiega perché il pilastro australe costituisca, nell'economia del metodo, il caso di controllo dell'intera opera: è il teatro dove si può misurare come appare un sistema coperto quando tutte le sue carte, per una volta, sono uscite, ed è con quel metro che il registro ha pesato, per differenza, tutti i teatri dove le carte non sono uscite ancora.</w:t>
      </w:r>
    </w:p>
    <w:p>
      <w:pPr>
        <w:spacing w:after="120" w:line="276"/>
        <w:jc w:val="both"/>
      </w:pPr>
      <w:r>
        <w:rPr>
          <w:rFonts w:ascii="Barlow Semi Condensed" w:cs="Barlow Semi Condensed" w:eastAsia="Barlow Semi Condensed" w:hAnsi="Barlow Semi Condensed"/>
          <w:sz w:val="24"/>
          <w:szCs w:val="24"/>
        </w:rPr>
        <w:t xml:space="preserve">Il sistema australe conobbe il proprio punto di rottura strategica nella capitale del patrono, ed il registro lo censisce quale svolta documentata: il 21 settembre 1976 un ordigno collocato dalla polizia segreta cilena uccise a Washington, a pochi isolati dalla Casa Bianca, l'ex ministro Orlando Letelier e la collaboratrice americana Ronni Moffitt, nell'unica operazione del coordinamento consumata sul territorio degli Stati Uniti, e le indagini federali che ne seguirono, con le condanne americane degli esecutori e l'incriminazione dei vertici della DINA, aprirono la crisi che avrebbe progressivamente separato Washington dal sistema che aveva tollerato, Livello A quanto all'attentato, alle vittime ed agli esiti giudiziari americani. Il registro consegna l'attentato alla sua funzione di cerniera nell'economia del pilastro: Washington 1976 dimostrò che un apparato repressivo abituato all'impunità continentale aveva perso la percezione dei confini del tollerabile, colpendo nel cuore della potenza tutrice con la stessa disinvoltura usata a Buenos Aires, e la reazione americana che ne seguì, giudiziaria e politica, certifica la legge di sistema che l'intera fase documenta: i patroni dei campi non difendono i clienti dai crimini, li difendono dai crimini commessi nel posto sbagliato, e la geografia dell'impunità del Condor, totale a Sud e nulla sul Potomac, è la mappa più onesta che il corpus possieda di che cosa fosse davvero in vendita, e dove.</w:t>
      </w:r>
    </w:p>
    <w:p>
      <w:pPr>
        <w:spacing w:after="120" w:line="276"/>
        <w:jc w:val="both"/>
      </w:pPr>
      <w:r>
        <w:rPr>
          <w:rFonts w:ascii="Barlow Semi Condensed" w:cs="Barlow Semi Condensed" w:eastAsia="Barlow Semi Condensed" w:hAnsi="Barlow Semi Condensed"/>
          <w:sz w:val="24"/>
          <w:szCs w:val="24"/>
        </w:rPr>
        <w:t xml:space="preserve">La parabola giudiziaria del capo dell'apparato esige il suo censimento, che il registro riporta quale contrappasso documentato: il generale Manuel Contreras, fondatore e direttore della polizia segreta cilena negli anni del coordinamento, condannato una prima volta per l'attentato di Washington dopo la fine del regime, accumulò nei processi cileni dei 2 decenni successivi condanne cumulative per centinaia di anni di reclusione per le sparizioni e gli omicidi accertati caso per caso, e morì detenuto nel 2015, Livello A quanto alle condanne ed alla morte in carcere. Il registro consegna la parabola alla sua funzione di misura: l'uomo che aveva diretto l'apparato dell'impunità continentale morì sepolto da un contenzioso penale che i tribunali del suo Paese ricostruirono vittima per vittima, e la distanza tra le 2 stagioni della sua biografia, l'onnipotenza degli anni Settanta e la contabilità giudiziaria del nuovo secolo, certifica la legge che il pilastro australe consegna all'intera opera: l'impunità dei sistemi coperti non è una condizione ma una fase, dura quanto dura la protezione politica che la produce, e quando la protezione cade, la documentazione maniacale che ogni apparato produce di sé stesso, gli archivi, le liste, le catene di comando, si converte da strumento del potere in corpo del reato, sicché i tribunali di Santiago hanno condannato il generale, in larga parte, con le carte del generale.</w:t>
      </w:r>
    </w:p>
    <w:p>
      <w:pPr>
        <w:spacing w:after="120" w:line="276"/>
        <w:jc w:val="both"/>
      </w:pPr>
      <w:r>
        <w:rPr>
          <w:rFonts w:ascii="Barlow Semi Condensed" w:cs="Barlow Semi Condensed" w:eastAsia="Barlow Semi Condensed" w:hAnsi="Barlow Semi Condensed"/>
          <w:sz w:val="24"/>
          <w:szCs w:val="24"/>
        </w:rPr>
        <w:t xml:space="preserve">Il pilastro cileno possiede anche il suo contrappunto luminoso, che il registro censisce con il rilievo dovuto: il Vicariato della Solidarietà, l'organismo creato dalla Chiesa di Santiago nel 1976 dopo lo scioglimento forzato del primo comitato ecumenico, operò per l'intera durata del regime quale unica struttura legale di assistenza alle vittime, documentando caso per caso arresti, sparizioni e torture in un archivio sistematico che, alla caduta del regime, divenne la base documentale primaria delle commissioni verità e dei processi, Livello A quanto all'attività ed alla funzione documentale svolta. Il registro consegna l'istituzione alla sua doppia funzione nell'economia dell'opera: sul piano fattuale, l'archivio del Vicariato dimostra che la documentazione delle vittime, raccolta in tempo reale sotto il regime stesso, può sopravanzare per qualità gli archivi dei carnefici, ribaltando la dipendenza dai crolli altrui che il corpus ha censito quale legge; sul piano comparativo, la scelta della Chiesa cilena di schierare la propria extraterritorialità morale dalla parte dei perseguitati costituisce l'esatto rovescio degli usi della sponda vaticana censiti nella fase prima, e la compresenza dei 2 modelli nella stessa istituzione universale conferma il principio metodologico che governa l'intera opera: nessun dominio è monolitico, ogni struttura contiene i propri giusti ed i propri complici, e la storia si scrive contando gli uni e gli altri, mai presumendo né gli uni né gli altri.</w:t>
      </w:r>
    </w:p>
    <w:p>
      <w:pPr>
        <w:spacing w:after="120" w:line="276"/>
        <w:jc w:val="both"/>
      </w:pPr>
      <w:r>
        <w:rPr>
          <w:rFonts w:ascii="Barlow Semi Condensed" w:cs="Barlow Semi Condensed" w:eastAsia="Barlow Semi Condensed" w:hAnsi="Barlow Semi Condensed"/>
          <w:sz w:val="24"/>
          <w:szCs w:val="24"/>
        </w:rPr>
        <w:t xml:space="preserve">La transizione argentina produsse infine il prototipo documentale che il registro censisce quale modello esportato: la commissione nazionale sulla sparizione delle persone, istituita nel dicembre 1983 dal primo governo democratico e presieduta dallo scrittore Ernesto Sabato, consegnò in 9 mesi il rapporto Nunca Más, la prima grande inchiesta ufficiale di uno Stato sui crimini del proprio regime appena caduto, censimento sistematico dei casi, dei centri clandestini e delle metodologie che fornì la base probatoria del processo alle giunte e la matrice riconosciuta di tutte le commissioni verità successive, Livello A quanto all'istituzione, al rapporto ed alla sua funzione. Il registro colloca il prototipo nella comparazione che il capitolo ha costruito: l'Argentina inventò, a 9 mesi dalla caduta, lo strumento che l'Italia della stessa epoca non ha mai adottato in 50 anni, la commissione con mandato di sola verità, separata dal processo penale e perciò libera dai suoi tempi e dai suoi standard, e la differenza tra i 2 percorsi, il Paese che scrisse subito il proprio Nunca Más ed il Paese che affidò la propria verità a 5 decenni di dibattimenti ed a commissioni parlamentari per loro natura divise, spiega in parte l'asimmetria degli esiti che l'opera documenta: dove la verità fu separata dalla punizione, si ottenne almeno la verità; dove restarono congiunte, la prescrizione ed il ragionevole dubbio, uccidendo la seconda, ferirono per sempre anche la prima.</w:t>
      </w:r>
    </w:p>
    <w:p>
      <w:pPr>
        <w:spacing w:after="120" w:line="276"/>
        <w:jc w:val="both"/>
      </w:pPr>
      <w:r>
        <w:rPr>
          <w:rFonts w:ascii="Barlow Semi Condensed" w:cs="Barlow Semi Condensed" w:eastAsia="Barlow Semi Condensed" w:hAnsi="Barlow Semi Condensed"/>
          <w:b/>
          <w:bCs/>
          <w:sz w:val="24"/>
          <w:szCs w:val="24"/>
        </w:rPr>
        <w:t xml:space="preserve">Sintesi del dato nuovo acquisito:</w:t>
      </w:r>
      <w:r>
        <w:rPr>
          <w:rFonts w:ascii="Barlow Semi Condensed" w:cs="Barlow Semi Condensed" w:eastAsia="Barlow Semi Condensed" w:hAnsi="Barlow Semi Condensed"/>
          <w:sz w:val="24"/>
          <w:szCs w:val="24"/>
        </w:rPr>
        <w:t xml:space="preserve"> il teatro latinoamericano è certificato quale sistema di diaspore e retrovie con il Condor al Livello A quale cornice, le presenze italiane nere e piduiste documentate su versanti distinti senza coordinamento provato, gli esiti assolutori riportati per esteso, e la mappa delle capitali-rifugio elevata a teorema geografico: la protezione segue la frattura giurisdizionale, non l'asse ideologico.</w:t>
      </w:r>
    </w:p>
    <w:p>
      <w:pPr>
        <w:pStyle w:val="Heading3"/>
        <w:spacing w:after="80" w:before="160"/>
      </w:pPr>
      <w:r>
        <w:rPr>
          <w:rFonts w:ascii="Barlow Semi Condensed" w:cs="Barlow Semi Condensed" w:eastAsia="Barlow Semi Condensed" w:hAnsi="Barlow Semi Condensed"/>
          <w:sz w:val="24"/>
          <w:szCs w:val="24"/>
        </w:rPr>
        <w:t xml:space="preserve">Capitolo 3 — Il Sudafrica dell'apartheid: l'hub australe e lo Stato Zero esemplare</w:t>
      </w:r>
    </w:p>
    <w:p>
      <w:pPr>
        <w:spacing w:after="120" w:line="276"/>
        <w:jc w:val="both"/>
      </w:pPr>
      <w:r>
        <w:rPr>
          <w:rFonts w:ascii="Barlow Semi Condensed" w:cs="Barlow Semi Condensed" w:eastAsia="Barlow Semi Condensed" w:hAnsi="Barlow Semi Condensed"/>
          <w:sz w:val="24"/>
          <w:szCs w:val="24"/>
        </w:rPr>
        <w:t xml:space="preserve">Il terzo nodo è il Sudafrica dell'apartheid, il teatro che la lettura reticolare dei corpora internazionali dell'opera ha misurato quale nodo di massima intermediazione tra i dossier, il punto per cui passano i percorsi che collegano insiemi documentali altrimenti disconnessi, dalla rete Aginter alle trame delle sanzioni aggirate, dalle diaspore postbelliche alle verifiche sui circoli riservati. Il registro certifica al Livello A la posizione di hub, quale misura reticolare condotta sul corpus, e ne distende i fondamenti nei pilastri.</w:t>
      </w:r>
    </w:p>
    <w:p>
      <w:pPr>
        <w:spacing w:after="120" w:line="276"/>
        <w:jc w:val="both"/>
      </w:pPr>
      <w:r>
        <w:rPr>
          <w:rFonts w:ascii="Barlow Semi Condensed" w:cs="Barlow Semi Condensed" w:eastAsia="Barlow Semi Condensed" w:hAnsi="Barlow Semi Condensed"/>
          <w:sz w:val="24"/>
          <w:szCs w:val="24"/>
        </w:rPr>
        <w:t xml:space="preserve">Il primo pilastro censisce gli assi di complicità documentati. La monografia comparativa dell'opera ha certificato i 2 assi maggiori del sostegno esterno al regime, quello israeliano e quello britannico, ciascuno con la propria documentazione di cooperazione militare, tecnologica e finanziaria attraverso i decenni delle sanzioni, e il controcanto del campo opposto, la lunga ostilità sovietica e del blocco orientale con il sostegno ai movimenti di liberazione; il registro certifica al Livello A l'esistenza e la consistenza documentale degli assi, quali dati delle acquisizioni internazionali, e ne trae il primo fondamento della centralità: il regime australe fu, per mezzo secolo, il punto in cui gli interessi dei campi si incrociarono in configurazioni non riducibili alla logica bipolare, un teatro nel quale la geometria delle complicità attraversò gli schieramenti, e questa irriducibilità documentata è la ragione strutturale per cui i percorsi del grafo vi convergono.</w:t>
      </w:r>
    </w:p>
    <w:p>
      <w:pPr>
        <w:spacing w:after="120" w:line="276"/>
        <w:jc w:val="both"/>
      </w:pPr>
      <w:r>
        <w:rPr>
          <w:rFonts w:ascii="Barlow Semi Condensed" w:cs="Barlow Semi Condensed" w:eastAsia="Barlow Semi Condensed" w:hAnsi="Barlow Semi Condensed"/>
          <w:sz w:val="24"/>
          <w:szCs w:val="24"/>
        </w:rPr>
        <w:t xml:space="preserve">Il secondo pilastro censisce la rete europea dell'aggiramento delle sanzioni, il sistema di intermediari, società di comodo e canali finanziari che garantì al regime, negli anni dell'embargo, l'approvvigionamento militare e tecnologico attraverso piazze e operatori europei; la documentazione, emersa per inchieste giornalistiche, atti giudiziari sparsi e desecretazioni successive alla transizione, disegna una rete la cui consistenza il registro certifica al Livello B nel suo insieme, quale convergenza di fonti eterogenee non unificate da un accertamento organico, con i singoli episodi ai livelli propri; al medesimo pilastro appartiene il caso che salda il teatro alla cronaca europea, l'assassinio del primo ministro svedese Olof Palme, ucciso a Stoccolma il 28 febbraio 1986: tra le piste investigate dalla giustizia svedese figurò quella sudafricana, alimentata a metà degli anni Novanta da dichiarazioni di ex appartenenti agli apparati del regime sul movente dell'ostilità di Palme alle politiche dell'apartheid, e mai approdata a riscontro; l'inchiesta svedese fu chiusa nel 2020 con l'indicazione di un sospettato deceduto e senza processo. Il registro certifica al Livello A l'omicidio, la data, l'esistenza della pista e la chiusura del 2020, quali fatti documentali, nomina Olof Palme tra le vittime richiamate della fase, e mantiene al Livello C la pista sudafricana quale ipotesi investigata e non provata, secondo la disciplina che il caso, il più celebre omicidio politico irrisolto d'Europa, esige nella forma più severa.</w:t>
      </w:r>
    </w:p>
    <w:p>
      <w:pPr>
        <w:spacing w:after="120" w:line="276"/>
        <w:jc w:val="both"/>
      </w:pPr>
      <w:r>
        <w:rPr>
          <w:rFonts w:ascii="Barlow Semi Condensed" w:cs="Barlow Semi Condensed" w:eastAsia="Barlow Semi Condensed" w:hAnsi="Barlow Semi Condensed"/>
          <w:sz w:val="24"/>
          <w:szCs w:val="24"/>
        </w:rPr>
        <w:t xml:space="preserve">Il terzo pilastro censisce la verifica sui circoli riservati, il triangolo tra il teatro australe, il circolo transnazionale noto quale Le Cercle e l'orbita di Ordre et Tradition, che la monografia dedicata dell'opera ha sottoposto a stress documentale: la verifica ha certificato l'esistenza dei circoli, la documentazione delle loro composizioni per le stagioni note e i punti di contatto attestati con gli ambienti del regime, e ha negato la certificazione a ogni lettura funzionale unificante, mantenendo i contatti al Livello B e le funzioni al Livello C; il registro recepisce l'esito quale modello della propria disciplina sui mondi riservati transnazionali, nei quali l'esistenza è documentabile, la composizione parzialmente ricostruibile e la funzione strutturalmente eccedente le fonti.</w:t>
      </w:r>
    </w:p>
    <w:p>
      <w:pPr>
        <w:spacing w:after="120" w:line="276"/>
        <w:jc w:val="both"/>
      </w:pPr>
      <w:r>
        <w:rPr>
          <w:rFonts w:ascii="Barlow Semi Condensed" w:cs="Barlow Semi Condensed" w:eastAsia="Barlow Semi Condensed" w:hAnsi="Barlow Semi Condensed"/>
          <w:sz w:val="24"/>
          <w:szCs w:val="24"/>
        </w:rPr>
        <w:t xml:space="preserve">Il quarto pilastro censisce lo Stato Zero esemplare della fase, la verifica condotta sul raccordo tra le radici australi contemporanee e le reti storiche del corpus. L'opera ha condotto il riscontro sistematico tra i profili biografici dei membri del gruppo imprenditoriale contemporaneo noto quale PayPal Mafia e i nodi storici del teatro: la verifica ha certificato al Livello A le radici biografiche sudafricane o namibiane di 4 profili, quali dati pubblici documentati, e ha certificato, con eguale nettezza, l'esito negativo integrale del riscontro sulle connessioni, nessun elemento documentale collegando alcuno dei profili verificati alla rete Aginter, all'orbita di Delle Chiaie o ad alcun nodo storico del corpus; il registro dichiara lo Stato Zero con il perimetro della ricerca che lo fonda, l'intero corpus documentale dell'opera, e lo eleva a esemplare della categoria: la verifica fu condotta perché la suggestione geografica la sollecitava, fu condotta integralmente, e restituì il nulla documentato, che il registro trascrive quale risultato di prima classe, la delimitazione certificata dello spazio delle ipotesi, con il divieto assoluto, dichiarato in avvertenza, di ogni inferenza associativa dalla mera menzione dei profili verificati.</w:t>
      </w:r>
    </w:p>
    <w:p>
      <w:pPr>
        <w:spacing w:after="120" w:line="276"/>
        <w:jc w:val="both"/>
      </w:pPr>
      <w:r>
        <w:rPr>
          <w:rFonts w:ascii="Barlow Semi Condensed" w:cs="Barlow Semi Condensed" w:eastAsia="Barlow Semi Condensed" w:hAnsi="Barlow Semi Condensed"/>
          <w:sz w:val="24"/>
          <w:szCs w:val="24"/>
        </w:rPr>
        <w:t xml:space="preserve">Il quinto pilastro censisce il sostrato storico del teatro, le diaspore postbelliche che il corpus dell'opera ha documentato. La monografia dedicata ha censito la presenza in Africa australe delle reti della diaspora tedesca e filotedesca, dagli internamenti bellici dei simpatizzanti nell'Unione Sudafricana alla permanenza postbellica di comunità e ambienti che le acquisizioni collocano nel tessuto del regime successivo; il registro certifica al Livello A l'esistenza documentata del sostrato, quale dato storico consolidato dalle acquisizioni del corpus, mantiene ai livelli propri le singole traiettorie individuali censite, e ne dichiara la funzione strutturale: il teatro australe entra nel dopoguerra già dotato di un tessuto di reti riservate a matrice europea, e la sua successiva funzione di hub non nasce dal nulla ma si innesta su questa stratificazione, che il registro trascrive quale primo strato documentale del nodo, secondo il metodo della lettura per strati che l'opera ha applicato ai propri nodi di massima profondità.</w:t>
      </w:r>
    </w:p>
    <w:p>
      <w:pPr>
        <w:spacing w:after="120" w:line="276"/>
        <w:jc w:val="both"/>
      </w:pPr>
      <w:r>
        <w:rPr>
          <w:rFonts w:ascii="Barlow Semi Condensed" w:cs="Barlow Semi Condensed" w:eastAsia="Barlow Semi Condensed" w:hAnsi="Barlow Semi Condensed"/>
          <w:sz w:val="24"/>
          <w:szCs w:val="24"/>
        </w:rPr>
        <w:t xml:space="preserve">Il sesto pilastro censisce il vertice tecnologico dell'asse, il programma nucleare. Il regime sviluppò, nei decenni dell'isolamento, un programma nucleare militare giunto alla produzione di 6 ordigni, condotto con la cooperazione tecnologica che la documentazione attribuisce in misura maggiore all'asse israeliano censito nel primo pilastro, e lo smantellò unilateralmente nella transizione, con l'annuncio pubblico del presidente de Klerk del 24 marzo 1993 che rese il Sudafrica l'unico Stato ad avere costruito e volontariamente dismesso un arsenale nucleare; il registro certifica al Livello A il programma, la consistenza, lo smantellamento e l'annuncio, quali dati consolidati, certifica al Livello B la componente israeliana della cooperazione nei termini che la documentazione non ufficiale consente, e ne trae il dato che consegna alla mappa dell'opera: il teatro australe fu, per 2 decenni, l'unico nodo del grafo internazionale dotato di capacità nucleare autonoma extra-bipolare, e questa singolarità certificata, sommata all'irriducibilità degli assi del primo pilastro, completa il fondamento strutturale della sua centralità: il punto del sistema mondiale in cui le regole dei campi valevano meno era, necessariamente, il punto per cui passavano i percorsi che le regole dei campi vietavano.</w:t>
      </w:r>
    </w:p>
    <w:p>
      <w:pPr>
        <w:spacing w:after="120" w:line="276"/>
        <w:jc w:val="both"/>
      </w:pPr>
      <w:r>
        <w:rPr>
          <w:rFonts w:ascii="Barlow Semi Condensed" w:cs="Barlow Semi Condensed" w:eastAsia="Barlow Semi Condensed" w:hAnsi="Barlow Semi Condensed"/>
          <w:sz w:val="24"/>
          <w:szCs w:val="24"/>
        </w:rPr>
        <w:t xml:space="preserve">Il settimo pilastro censisce la transizione quale evento archivistico, il ponte del nodo verso la legge del capitolo nono. La sequenza della transizione sudafricana, dalla liberazione di Nelson Mandela dell'11 febbraio 1990 alle prime elezioni universali del 27 aprile 1994, costituì per il teatro l'evento di apertura che la tassonomia classifica quale collasso negoziato del regime protettore, e produsse i frutti documentali che la fase ha impiegato, dal processo di verità e riconciliazione ai versamenti che illuminarono la rete delle sanzioni e le complicità esterne; il registro certifica al Livello A la sequenza e la sua funzione di apertura, quali dati storici, e ne trae l'annotazione riflessiva che il nodo consegna: la centralità del teatro australe nel grafo internazionale dell'opera è essa stessa, in parte misurabile, un prodotto della transizione, giacché il Sudafrica è, tra i regimi protettori del corpus, quello la cui caduta ha aperto gli archivi nella forma più organica, e la sua densità documentale, dalla quale la misura di intermediazione dipende, incorpora il vantaggio archivistico; il registro applica al proprio hub la correzione del lampione che esso stesso ha formalizzato, dichiara che la posizione di massimo nodo inter-dossier resta certificata quale misura sul corpus disponibile e non quale gerarchia storica assoluta, e consegna l'autocorrezione quale esempio terminale della disciplina, il registro che applica a se stesso, sul proprio risultato più visibile, la cautela che ha imposto a ogni comparazione.</w:t>
      </w:r>
    </w:p>
    <w:p>
      <w:pPr>
        <w:spacing w:after="120" w:line="276"/>
        <w:jc w:val="both"/>
      </w:pPr>
      <w:r>
        <w:rPr>
          <w:rFonts w:ascii="Barlow Semi Condensed" w:cs="Barlow Semi Condensed" w:eastAsia="Barlow Semi Condensed" w:hAnsi="Barlow Semi Condensed"/>
          <w:sz w:val="24"/>
          <w:szCs w:val="24"/>
        </w:rPr>
        <w:t xml:space="preserve">Le triangolazioni del nodo sono 3. La prima, Sudafrica-assi di complicità-irriducibilità bipolare, certifica il fondamento strutturale della centralità del teatro. La seconda, sanzioni aggirate-rete europea-caso Palme, congiunge il sistema documentato al suo caso limite, con la pista al Livello C e la disciplina della non prova. La terza, radici biografiche-corpus storico-Stato Zero, formalizza la verifica negativa esemplare quale lascito metodologico della fase.</w:t>
      </w:r>
    </w:p>
    <w:p>
      <w:pPr>
        <w:spacing w:after="120" w:line="276"/>
        <w:jc w:val="both"/>
      </w:pPr>
      <w:r>
        <w:rPr>
          <w:rFonts w:ascii="Barlow Semi Condensed" w:cs="Barlow Semi Condensed" w:eastAsia="Barlow Semi Condensed" w:hAnsi="Barlow Semi Condensed"/>
          <w:sz w:val="24"/>
          <w:szCs w:val="24"/>
        </w:rPr>
        <w:t xml:space="preserve">Al Dominio 8 del teatro australe appartiene lo scandalo che ne rivelò la strategia, e che il registro censisce quale reperto sulla guerra dell'informazione condotta dal regime: la vicenda nota quale Muldergate, esplosa tra il 1978 ed il 1979, accertò che il dipartimento dell'informazione di Pretoria aveva alimentato con fondi neri un programma clandestino di condizionamento mediatico, comprensivo della creazione di una testata nazionale compiacente e di tentativi di acquisizione occulta di organi di stampa esteri, e la deflagrazione pubblica del programma travolse i suoi responsabili politici sino a lambire la successione al vertice dello Stato, Livello A quanto allo scandalo, agli accertamenti ed alle conseguenze politiche. Il registro assegna al reperto la sua funzione comparativa: il Muldergate documenta che il regime isolato considerava il campo mediatico internazionale un teatro operativo alla pari di quello militare e finanziario, e la sua strumentazione, fondi riservati, prestanome editoriali, acquisizioni schermate, replica punto per punto la grammatica che le fasi nazionali hanno certificato sul versante italiano nella stagione della scalata piduista al maggiore quotidiano del Paese, sicché il caso australe vale quale conferma indipendente, maturata in tutt'altro ordinamento, di una legge del Dominio 8 che l'opera ha già misurato in casa: chi non può comprare il consenso alla luce lo compra al buio, e il prezzo occulto dell'informazione è una costante dei sistemi assediati.</w:t>
      </w:r>
    </w:p>
    <w:p>
      <w:pPr>
        <w:spacing w:after="120" w:line="276"/>
        <w:jc w:val="both"/>
      </w:pPr>
      <w:r>
        <w:rPr>
          <w:rFonts w:ascii="Barlow Semi Condensed" w:cs="Barlow Semi Condensed" w:eastAsia="Barlow Semi Condensed" w:hAnsi="Barlow Semi Condensed"/>
          <w:sz w:val="24"/>
          <w:szCs w:val="24"/>
        </w:rPr>
        <w:t xml:space="preserve">Alla rete dell'aggiramento va premessa la sua data-cerniera, che ne muta la qualificazione giuridica e che il registro fissa quale spartiacque del nodo: nel novembre 1977 il Consiglio di sicurezza delle Nazioni Unite, con la risoluzione 418, rese obbligatorio l'embargo sulle forniture di armi al regime, sino ad allora raccomandato su base volontaria, trasformando da quel momento ogni canale di approvvigionamento militare in violazione di un obbligo internazionale vincolante per tutti gli Stati membri, Livello A quanto all'atto ed alla sua portata. La cerniera ordina la cronologia del pilastro: prima del 1977 l'assistenza militare al regime era materia di scelta politica nazionale, censurabile ma legale; dopo, divenne contrabbando di sistema, e la rete europea di intermediari e società di comodo che il pilastro certifica operò, per l'intero quindicennio successivo, nella piena consapevolezza dell'illiceità internazionale, con la conseguenza analitica che il registro ne trae: la continuità dei flussi attraverso la soglia del 1977, documentata dalle acquisizioni, misura l'esatta differenza tra il diritto internazionale e la sua esecuzione, e consegna al teatro australe il suo teorema, che un embargo obbligatorio senza apparato coercitivo non chiude i canali, li riprezza, spostando il traffico dalla contabilità degli Stati a quella, più costosa e più opaca, degli intermediari che l'opera ha censito.</w:t>
      </w:r>
    </w:p>
    <w:p>
      <w:pPr>
        <w:spacing w:after="120" w:line="276"/>
        <w:jc w:val="both"/>
      </w:pPr>
      <w:r>
        <w:rPr>
          <w:rFonts w:ascii="Barlow Semi Condensed" w:cs="Barlow Semi Condensed" w:eastAsia="Barlow Semi Condensed" w:hAnsi="Barlow Semi Condensed"/>
          <w:sz w:val="24"/>
          <w:szCs w:val="24"/>
        </w:rPr>
        <w:t xml:space="preserve">Il pilastro australe possiede infine il suo ponte biografico diretto con il capitolo italiano dell'opera, che il registro censisce quale saldatura fisica tra i 2 teatri: il generale Gianadelio Maletti, il vertice del controspionaggio italiano destinatario delle condanne definitive censite nella fase seconda, riparò all'inizio degli anni Ottanta proprio nel Sudafrica dell'apartheid, dove visse da allora stabilmente, sottratto di fatto all'esecuzione ed alle successive vicende giudiziarie italiane dall'assenza di estradizione, sino ad essere ascoltato dalle autorità parlamentari italiane in trasferta a Johannesburg nel marzo 1997, Livello A quanto al rifugio, alla sua durata ed all'audizione. Il registro consegna la traiettoria alla sua doppia funzione documentale: sul piano del grafo, l'ufficiale che aveva governato la zona grigia tra apparati e trame censita dall'opera scelse quale rifugio l'ordinamento che il pilastro certifica quale terminale delle reti occidentali di aggiramento, saldando in una sola biografia il capitolo italiano ed il teatro australe; sul piano del metodo, il caso dimostra che la geografia degli esili non è mai neutra, e che la mappa dei Paesi che accolsero i condannati e gli imputati della stagione italiana, la Spagna franchista per gli ordinovisti, il Cono Sud per i latitanti neri, il Sudafrica per il generale, coincide con esattezza con la mappa dei regimi che i pilastri della fase hanno censito, sicché le latitanze disegnano, in negativo, la stessa rete che i documenti disegnano in positivo.</w:t>
      </w:r>
    </w:p>
    <w:p>
      <w:pPr>
        <w:spacing w:after="120" w:line="276"/>
        <w:jc w:val="both"/>
      </w:pPr>
      <w:r>
        <w:rPr>
          <w:rFonts w:ascii="Barlow Semi Condensed" w:cs="Barlow Semi Condensed" w:eastAsia="Barlow Semi Condensed" w:hAnsi="Barlow Semi Condensed"/>
          <w:sz w:val="24"/>
          <w:szCs w:val="24"/>
        </w:rPr>
        <w:t xml:space="preserve">Il versante nucleare del pilastro possiede il suo enigma strumentale, che il registro censisce quale caso limite della propria scala: il 22 settembre 1979 un satellite americano della rete di sorveglianza rilevò sull'Atlantico australe il doppio lampo caratteristico di una detonazione nucleare atmosferica, in un'area compatibile con una cooperazione di test tra il programma sudafricano censito dal pilastro e quello israeliano, e l'evento, mai rivendicato da alcuno Stato, fu sottoposto ad un riesame tecnico americano che ne prospettò la possibile natura di artefatto strumentale, con conclusioni contestate da parte della comunità scientifica e mai seguite da un accertamento definitivo in alcuna sede, Livello A quanto alla rilevazione ed alla controversia documentata, Livello B quanto alla natura nucleare dell'evento secondo le valutazioni tecniche prevalenti, Livello C quanto ad ogni attribuzione statuale. Il registro censisce il doppio lampo per la sua unicità epistemologica nel corpus: si tratta dell'unico evento dell'intera opera del quale è incerta non la paternità ma l'esistenza stessa, un possibile fatto senza autore che nessuna desecretazione ha mai promosso né a fatto pieno né a non-fatto, e questa sospensione quarantennale, mantenuta da tutte le potenze interessate al silenzio, è la dimostrazione estrema della legge che il pilastro australe consegna alla fase: dove convergono i segreti di 2 programmi nucleari clandestini, il mondo può non sapere per sempre nemmeno se qualcosa è accaduto, ed il registro archivia il caso quale confine esterno del conoscibile, il punto oltre il quale il metodo dell'opera dichiara onestamente di non poter procedere.</w:t>
      </w:r>
    </w:p>
    <w:p>
      <w:pPr>
        <w:spacing w:after="120" w:line="276"/>
        <w:jc w:val="both"/>
      </w:pPr>
      <w:r>
        <w:rPr>
          <w:rFonts w:ascii="Barlow Semi Condensed" w:cs="Barlow Semi Condensed" w:eastAsia="Barlow Semi Condensed" w:hAnsi="Barlow Semi Condensed"/>
          <w:sz w:val="24"/>
          <w:szCs w:val="24"/>
        </w:rPr>
        <w:t xml:space="preserve">Il pilastro australe e quello africano esigono infine la loro comparazione terminale, che il registro formula quale tripartizione degli esiti: i 3 grandi teatri della violenza di Stato censiti dalla fase approdarono a 3 scioglimenti diversi, l'Argentina del processo immediato alle giunte, poi sospeso dalle leggi del perdono e riaperto con il loro annullamento sino alle condanne del nuovo secolo, il Cile della transizione pattuita, dove la giustizia penetrò tardi e per accumulo di casi individuali sino alla morte del capo mai condannato, ed il Sudafrica della commissione per verità e riconciliazione, che scambiò formalmente l'amnistia individuale contro la confessione integrale e pubblica, Livello A quanto ai 3 percorsi ed ai loro esiti documentati. Il registro consegna la tripartizione alla sua funzione di specchio per il caso italiano che l'intera opera serve: punizione, prescrizione negoziata e verità scambiata sono le 3 vie che il mondo ha sperimentato davanti ai propri sotterranei, e l'Italia del corpus non ne ha percorsa per intero nessuna, non la prima, che i suoi processi hanno realizzato solo per frammenti, non la terza, che il suo ordinamento non ha mai istituito, restando sospesa nella seconda senza nemmeno il patto esplicito che altrove la fondò, e questa incompiutezza comparata, che il registro constata senza retorica, è forse la definizione più esatta del problema italiano che l'opera consegna al lettore: non un Paese senza giustizia né un Paese senza verità, ma un Paese che non ha mai scelto, tra le 2, quale volesse davvero, ottenendo di ciascuna la metà.</w:t>
      </w:r>
    </w:p>
    <w:p>
      <w:pPr>
        <w:spacing w:after="120" w:line="276"/>
        <w:jc w:val="both"/>
      </w:pPr>
      <w:r>
        <w:rPr>
          <w:rFonts w:ascii="Barlow Semi Condensed" w:cs="Barlow Semi Condensed" w:eastAsia="Barlow Semi Condensed" w:hAnsi="Barlow Semi Condensed"/>
          <w:b/>
          <w:bCs/>
          <w:sz w:val="24"/>
          <w:szCs w:val="24"/>
        </w:rPr>
        <w:t xml:space="preserve">Sintesi del dato nuovo acquisito:</w:t>
      </w:r>
      <w:r>
        <w:rPr>
          <w:rFonts w:ascii="Barlow Semi Condensed" w:cs="Barlow Semi Condensed" w:eastAsia="Barlow Semi Condensed" w:hAnsi="Barlow Semi Condensed"/>
          <w:sz w:val="24"/>
          <w:szCs w:val="24"/>
        </w:rPr>
        <w:t xml:space="preserve"> il nodo australe è certificato quale hub di massima intermediazione inter-dossier, con gli assi di complicità al Livello A, la rete delle sanzioni al Livello B, il caso Palme censito con la pista al Livello C e la chiusura del 2020 quale esito, e lo Stato Zero del riscontro contemporaneo elevato a esemplare della categoria, la connessione cercata su tutto il corpus e non trovata.</w:t>
      </w:r>
    </w:p>
    <w:p>
      <w:pPr>
        <w:pStyle w:val="Heading3"/>
        <w:spacing w:after="80" w:before="160"/>
      </w:pPr>
      <w:r>
        <w:rPr>
          <w:rFonts w:ascii="Barlow Semi Condensed" w:cs="Barlow Semi Condensed" w:eastAsia="Barlow Semi Condensed" w:hAnsi="Barlow Semi Condensed"/>
          <w:sz w:val="24"/>
          <w:szCs w:val="24"/>
        </w:rPr>
        <w:t xml:space="preserve">Capitolo 4 — La Francia: il santuario, la dottrina del rifugio e gli archivi chiusi</w:t>
      </w:r>
    </w:p>
    <w:p>
      <w:pPr>
        <w:spacing w:after="120" w:line="276"/>
        <w:jc w:val="both"/>
      </w:pPr>
      <w:r>
        <w:rPr>
          <w:rFonts w:ascii="Barlow Semi Condensed" w:cs="Barlow Semi Condensed" w:eastAsia="Barlow Semi Condensed" w:hAnsi="Barlow Semi Condensed"/>
          <w:sz w:val="24"/>
          <w:szCs w:val="24"/>
        </w:rPr>
        <w:t xml:space="preserve">Il quarto nodo è la Francia, il santuario europeo che la Fase 4 ha consegnato con il nodo Hyperion e che la fase eleva a sistema. Il registro certifica al Livello A, quali dati ordinamentali documentati, i 3 elementi costitutivi del sistema: la prassi della non estradizione per i reati a movente politico, consolidatasi di fatto negli anni Settanta; la sua elevazione a dottrina dichiarata alla metà degli anni Ottanta, con l'impegno pubblico della presidenza a non consegnare i militanti che avessero rotto con la violenza, la formulazione nota quale dottrina del rifugio; e la conseguente costituzione, sul territorio francese, della più ampia comunità di fuoriusciti della sinistra armata italiana, con le implicazioni documentali che la Fase 4 ha censito per il nodo parigino.</w:t>
      </w:r>
    </w:p>
    <w:p>
      <w:pPr>
        <w:spacing w:after="120" w:line="276"/>
        <w:jc w:val="both"/>
      </w:pPr>
      <w:r>
        <w:rPr>
          <w:rFonts w:ascii="Barlow Semi Condensed" w:cs="Barlow Semi Condensed" w:eastAsia="Barlow Semi Condensed" w:hAnsi="Barlow Semi Condensed"/>
          <w:sz w:val="24"/>
          <w:szCs w:val="24"/>
        </w:rPr>
        <w:t xml:space="preserve">Il primo pilastro riepiloga, quale recezione, il nodo Hyperion nello stato terminale che la fase precedente ha fissato: esistenza, sede al Quai de la Tournelle 27, copertura didattica reale, genealogia comune con l'organizzazione esecutrice nel ceppo milanese, contatti al Livello B, funzioni al Livello C, assenza integrale di condanne, 3 stagioni di accertamento convergenti sul medesimo punto di arresto, archivi mai aperti quale vuoto capitale; il registro recepisce lo stato senza modificarlo e vi salda il dato di sistema del capitolo: il punto di arresto delle 3 stagioni coincide esattamente con il perimetro della cooperazione che l'ordinamento ospitante concesse, e il profilo conoscitivo del nodo è, per costruzione, una funzione della dottrina del rifugio.</w:t>
      </w:r>
    </w:p>
    <w:p>
      <w:pPr>
        <w:spacing w:after="120" w:line="276"/>
        <w:jc w:val="both"/>
      </w:pPr>
      <w:r>
        <w:rPr>
          <w:rFonts w:ascii="Barlow Semi Condensed" w:cs="Barlow Semi Condensed" w:eastAsia="Barlow Semi Condensed" w:hAnsi="Barlow Semi Condensed"/>
          <w:sz w:val="24"/>
          <w:szCs w:val="24"/>
        </w:rPr>
        <w:t xml:space="preserve">Il secondo pilastro censisce la prova di durata della dottrina, l'arco terminale che chiude il sistema sul presente. Nell'aprile 2021 le autorità francesi, su richiesta italiana, procedettero all'arresto di 9 ex militanti delle organizzazioni armate italiane da decenni residenti nel Paese, condannati in via definitiva in Italia per fatti della stagione, avviando la procedura estradizionale che parve segnare la revoca della dottrina; la procedura si concluse in senso opposto, con il diniego delle estradizioni pronunciato dalla giustizia francese e reso definitivo dalla Corte di cassazione francese nel marzo 2023, sul fondamento dei principi convenzionali del radicamento familiare e dell'equità processuale; il registro certifica al Livello A gli arresti, la procedura e il diniego definitivo, quali dati giudiziari, e ne trae la formalizzazione che il sistema esige: la dottrina del rifugio, nata quale atto politico revocabile, si è trasformata, per il decorso di mezzo secolo, in una barriera giuridica convenzionale non più revocabile per via politica, e la sottrazione dei fuoriusciti alla giurisdizione italiana è divenuta, con la pronuncia del 2023, un esito ordinamentale definitivo; il registro trascrive la trasformazione quale fatto giuridico datato e la consegna al capitolo nono quale caso della regolarità generale, l'ordinamento che non ha mai aperto ciò che proteggeva e che ha infine reso l'apertura giuridicamente impossibile.</w:t>
      </w:r>
    </w:p>
    <w:p>
      <w:pPr>
        <w:spacing w:after="120" w:line="276"/>
        <w:jc w:val="both"/>
      </w:pPr>
      <w:r>
        <w:rPr>
          <w:rFonts w:ascii="Barlow Semi Condensed" w:cs="Barlow Semi Condensed" w:eastAsia="Barlow Semi Condensed" w:hAnsi="Barlow Semi Condensed"/>
          <w:sz w:val="24"/>
          <w:szCs w:val="24"/>
        </w:rPr>
        <w:t xml:space="preserve">Il terzo pilastro formalizza il portato per l'opera. La Francia è, nel grafo internazionale, il caso puro del santuario stabile, il teatro la cui protezione non è mai caduta, e la comparazione con il caso portoghese del capitolo primo compone la coppia dimostrativa terminale: Lisbona cadde e Aginter divenne il nodo più documentato del corpus internazionale; Parigi non cadde e Hyperion resta il nodo più vuoto; il registro certifica la coppia quale dimostrazione a 2 casi del teorema archivistico e dichiara l'implicazione operativa che ne discende per ogni ricerca futura, già consegnata quale primo obiettivo: nessun progresso conoscitivo sul santuario francese è atteso da nuove stagioni di accertamento a regime invariato, e l'unica variabile capace di mutare lo stato del nodo è il regime di accesso agli archivi, la variabile che non dipende dalla ricerca ma dalla politica.</w:t>
      </w:r>
    </w:p>
    <w:p>
      <w:pPr>
        <w:spacing w:after="120" w:line="276"/>
        <w:jc w:val="both"/>
      </w:pPr>
      <w:r>
        <w:rPr>
          <w:rFonts w:ascii="Barlow Semi Condensed" w:cs="Barlow Semi Condensed" w:eastAsia="Barlow Semi Condensed" w:hAnsi="Barlow Semi Condensed"/>
          <w:sz w:val="24"/>
          <w:szCs w:val="24"/>
        </w:rPr>
        <w:t xml:space="preserve">Il quarto pilastro recepisce la stagione delle rogatorie del 1982, il primo accertamento del sistema. La stagione rogatoriale che la Fase 4 ha censito quale prima delle 3 stagioni sul nodo parigino, con gli atti eseguiti dall'autorità francese nel perimetro richiesto e non oltre, resta certificata al Livello A nei suoi esiti e nella sua data, e la fase vi aggiunge la qualificazione di sistema: quella stagione fu il test originario della dottrina allora non ancora dichiarata, e il suo esito, la cooperazione formale entro il perimetro e il diniego sostanziale oltre, anticipò di 4 decenni la configurazione che la pronuncia del 2023 avrebbe reso definitiva; il registro trascrive la continuità quarantennale della condotta ordinamentale francese quale dato certificato, la più lunga costante di politica giudiziaria estera che il corpus registri, attraversata indenne da 8 presidenze e da ogni alternanza.</w:t>
      </w:r>
    </w:p>
    <w:p>
      <w:pPr>
        <w:spacing w:after="120" w:line="276"/>
        <w:jc w:val="both"/>
      </w:pPr>
      <w:r>
        <w:rPr>
          <w:rFonts w:ascii="Barlow Semi Condensed" w:cs="Barlow Semi Condensed" w:eastAsia="Barlow Semi Condensed" w:hAnsi="Barlow Semi Condensed"/>
          <w:sz w:val="24"/>
          <w:szCs w:val="24"/>
        </w:rPr>
        <w:t xml:space="preserve">Il quinto pilastro censisce la controprova individuale, il caso di Cesare Battisti. Il condannato definitivo per omicidi della stagione armata, protetto per anni dalla dottrina sul territorio francese, ne uscì per scelta propria con la fuga verso il Brasile nel 2004, all'approssimarsi della revisione del suo caso, e la traiettoria extra-francese si chiuse con l'arresto in Bolivia il 12 gennaio 2019 e la consegna all'Italia il 14 gennaio 2019, dove sconta la pena; il registro certifica al Livello A la traiettoria e gli esiti, quali dati giudiziari, e ne trae la controprova che il sistema esige: la protezione della dottrina operò quale attributo del territorio e non della persona, e l'uomo che abbandonò il territorio perse la protezione sino alla consegna, mentre gli uomini che vi rimasero la videro trasformarsi, con la pronuncia del 2023, in barriera definitiva; la coppia delle traiettorie, il rifugiato rimasto e protetto per sempre e il rifugiato uscito e consegnato, è la dimostrazione a 2 casi della natura territoriale del santuario, che il registro certifica quale proprietà del sistema e consegna alla mappa dei rifugi del Pattern 10.</w:t>
      </w:r>
    </w:p>
    <w:p>
      <w:pPr>
        <w:spacing w:after="120" w:line="276"/>
        <w:jc w:val="both"/>
      </w:pPr>
      <w:r>
        <w:rPr>
          <w:rFonts w:ascii="Barlow Semi Condensed" w:cs="Barlow Semi Condensed" w:eastAsia="Barlow Semi Condensed" w:hAnsi="Barlow Semi Condensed"/>
          <w:sz w:val="24"/>
          <w:szCs w:val="24"/>
        </w:rPr>
        <w:t xml:space="preserve">Il sesto pilastro censisce la comunità dei fuoriusciti quale oggetto documentale. La popolazione dei militanti e condannati italiani riparati in Francia sotto la protezione della prassi e poi della dottrina, stimata dagli atti nell'ordine delle centinaia attraverso i decenni, costituì un tessuto sociale stabile, con i percorsi di reinserimento professionale e intellettuale che le cronache e gli studi hanno documentato, e divenne essa stessa, per la ricerca, una fonte: dalla comunità provennero le memorialistiche, le testimonianze e le ricostruzioni interne che l'opera ha impiegato con la disciplina propria delle fonti di parte, e attorno alla comunità si costituì il campo intellettuale francese della causa dei rifugiati, l'ambiente che sostenne la dottrina nella sfera pubblica e ne accompagnò la trasformazione in barriera; il registro certifica al Livello A l'esistenza, l'ordine di grandezza e la funzione documentale della comunità, quali dati consolidati, e ne trae l'annotazione metodologica: una quota rilevante della conoscenza interna della stagione armata italiana è stata prodotta fuori dalla giurisdizione italiana, da testimoni sottratti per statuto al contraddittorio processuale, e questa dislocazione della fonte, effetto derivato del santuario, è una condizione permanente della storiografia del terrorismo italiano che il registro dichiara e incorpora, trattando le ricostruzioni della comunità quale materiale di Livello B ove non riscontrate e mai quale sostituto del giudicato.</w:t>
      </w:r>
    </w:p>
    <w:p>
      <w:pPr>
        <w:spacing w:after="120" w:line="276"/>
        <w:jc w:val="both"/>
      </w:pPr>
      <w:r>
        <w:rPr>
          <w:rFonts w:ascii="Barlow Semi Condensed" w:cs="Barlow Semi Condensed" w:eastAsia="Barlow Semi Condensed" w:hAnsi="Barlow Semi Condensed"/>
          <w:sz w:val="24"/>
          <w:szCs w:val="24"/>
        </w:rPr>
        <w:t xml:space="preserve">Le triangolazioni del nodo sono 3. La prima, prassi-dottrina-comunità dei fuoriusciti, certifica al Livello A la costituzione del sistema del rifugio. La seconda, Hyperion-3 stagioni-punto di arresto, salda il nodo della Fase 4 al suo fondamento ordinamentale. La terza, arresti del 2021-diniego del 2023-barriera convenzionale, certifica la trasformazione della dottrina in esito giuridico definitivo.</w:t>
      </w:r>
    </w:p>
    <w:p>
      <w:pPr>
        <w:spacing w:after="120" w:line="276"/>
        <w:jc w:val="both"/>
      </w:pPr>
      <w:r>
        <w:rPr>
          <w:rFonts w:ascii="Barlow Semi Condensed" w:cs="Barlow Semi Condensed" w:eastAsia="Barlow Semi Condensed" w:hAnsi="Barlow Semi Condensed"/>
          <w:sz w:val="24"/>
          <w:szCs w:val="24"/>
        </w:rPr>
        <w:t xml:space="preserve">All'età della dichiarazione il registro assegna la sua scena e il suo autore, che la pubblicistica ha reso canonici e che gli atti confermano: fu il presidente François Mitterrand, nel 1985, dinanzi a una platea associativa dei diritti dell'uomo, a enunciare pubblicamente la linea che la prassi amministrativa seguiva da anni, l'impegno a non estradare i fuoriusciti italiani della stagione armata che avessero rotto con la violenza e rifatto vita in Francia, Livello A quanto all'enunciazione pubblica ed al suo tenore, che il registro parafrasa. La formalizzazione presidenziale trasformò una tolleranza in una dottrina eponima, e il registro ne fissa il rilievo sistemico: da quel momento il santuario cessò di essere una condizione di fatto contestabile caso per caso e divenne una politica dichiarata dello Stato ospitante, opponibile all'Italia nelle sedi bilaterali e capace di sopravvivere, come il pilastro terminale certifica, al suo stesso autore, alle alternanze politiche francesi e persino alla svolta cooperativa dell'aprile 2021, sino alla barriera convenzionale definitiva del 2023. Nella tassonomia della fase, la dottrina è perciò il raro esemplare di protezione internazionale che non ebbe mai bisogno del segreto: il santuario francese operò alla luce, con un discorso pubblico quale atto istitutivo, e questa trasparenza dell'ostacolo, opposta al buio degli archivi che il capitolo censisce, compone il paradosso documentale del nodo, tutto visibile e nulla consegnato.</w:t>
      </w:r>
    </w:p>
    <w:p>
      <w:pPr>
        <w:spacing w:after="120" w:line="276"/>
        <w:jc w:val="both"/>
      </w:pPr>
      <w:r>
        <w:rPr>
          <w:rFonts w:ascii="Barlow Semi Condensed" w:cs="Barlow Semi Condensed" w:eastAsia="Barlow Semi Condensed" w:hAnsi="Barlow Semi Condensed"/>
          <w:sz w:val="24"/>
          <w:szCs w:val="24"/>
        </w:rPr>
        <w:t xml:space="preserve">Alla dottrina del rifugio il registro deve infine la sua profondità storica, che una digressione sorvegliata può fissare perché appartiene alla lunga durata del nodo: la Francia che accolse i fuoriusciti italiani della stagione armata esercitava una funzione che il suo ordinamento e la sua cultura politica coltivavano da un secolo e mezzo, la terra d'asilo dei proscritti d'Europa, che nell'Ottocento aveva ospitato gli esuli italiani del Risorgimento, i proscritti delle rivoluzioni fallite e dei moti repressi, facendo di Parigi la capitale continentale del fuoriuscitismo politico, Livello A quanto alla tradizione storica documentata. La simmetria che ne risulta è un reperto di lunga durata che il registro consegna senza forzarlo: a un secolo di distanza, la medesima capitale accolse 2 generazioni opposte di italiani in fuga dalla propria giustizia, i patrioti dell'Ottocento perseguitati da Stati che la storia avrebbe giudicato illegittimi ed i condannati del Novecento in fuga da uno Stato democratico, e la dottrina del 1985 poté attingere la propria legittimazione retorica proprio dall'indistinzione tra le 2 figure, l'esule ed il latitante, che la tradizione dell'asilo consentiva di sovrapporre. Il registro fissa la distinzione che la retorica dissolse: l'asilo ottocentesco proteggeva dal difetto di giusto processo, quello novecentesco protesse dal giudicato di un ordinamento membro delle medesime convenzioni europee, e la barriera definitiva del 2023 ha chiuso la vicenda confermando, nell'esito, la sovrapposizione che l'aveva aperta.</w:t>
      </w:r>
    </w:p>
    <w:p>
      <w:pPr>
        <w:spacing w:after="120" w:line="276"/>
        <w:jc w:val="both"/>
      </w:pPr>
      <w:r>
        <w:rPr>
          <w:rFonts w:ascii="Barlow Semi Condensed" w:cs="Barlow Semi Condensed" w:eastAsia="Barlow Semi Condensed" w:hAnsi="Barlow Semi Condensed"/>
          <w:sz w:val="24"/>
          <w:szCs w:val="24"/>
        </w:rPr>
        <w:t xml:space="preserve">La dottrina conobbe la sua prima eccezione formale 20 anni prima della svolta, ed il registro la censisce quale precedente isolato: nell'agosto 2002 la Francia consegnò all'Italia Paolo Persichetti, già condannato in via definitiva quale partecipe dell'organizzazione responsabile dell'omicidio del generale Giorgieri, prima ed unica estradizione concessa in deroga alla prassi mitterrandiana prima del ciclo del 2021, Livello A quanto al provvedimento ed alla sua unicità ventennale. Il registro fissa il valore sistemico del caso: la consegna del 2002 dimostrò che la dottrina non era un vincolo giuridico ma una scelta politica reversibile per decisione di governo, e la circostanza che alla prima deroga non ne seguissero altre per 19 anni dimostra, simmetricamente, che la reversibilità restò per 2 decenni una facoltà esercitata una sola volta, sicché il caso isolato del 2002 misura con precisione la natura del santuario censito dal capitolo: non un ordinamento, ma una politica, capace di eccezioni quando lo voleva e di durare quando non lo voleva, con la conseguenza che il registro consegna al bilancio della fase, che i tempi della giustizia italiana sui latitanti di Francia furono decisi, per mezzo secolo, a Parigi e non a Roma.</w:t>
      </w:r>
    </w:p>
    <w:p>
      <w:pPr>
        <w:spacing w:after="120" w:line="276"/>
        <w:jc w:val="both"/>
      </w:pPr>
      <w:r>
        <w:rPr>
          <w:rFonts w:ascii="Barlow Semi Condensed" w:cs="Barlow Semi Condensed" w:eastAsia="Barlow Semi Condensed" w:hAnsi="Barlow Semi Condensed"/>
          <w:sz w:val="24"/>
          <w:szCs w:val="24"/>
        </w:rPr>
        <w:t xml:space="preserve">Il santuario ebbe infine il suo caso costituzionalmente più anomalo, che il registro censisce quale variante parlamentare della rotta: il leader dell'autonomia operaia Antonio Negri, detenuto dall'aprile 1979 nel procedimento censito nella fase quarta, fu eletto deputato nel giugno 1983 e scarcerato per l'immunità conseguente, e nel settembre dello stesso anno, alla vigilia delle deliberazioni parlamentari sulla sua posizione, riparò in Francia, dove trascorse 14 anni sotto la protezione della dottrina censita, sino al rientro volontario del 1997 per scontare il residuo delle condanne definitive frattanto consolidatesi per i reati associativi, cadute in appello le imputazioni maggiori, con la pena esaurita nei primi anni Duemila, Livello A sull'intera parabola. Il registro isola la specificità del caso nella tipologia del capitolo: qui la rotta verso il santuario non fu aperta da una latitanza ma da un mandato parlamentare, con l'elezione usata quale ponte tra la cella e la frontiera, e questa saldatura documentata tra un istituto di garanzia della democrazia rappresentativa e la geografia della protezione estera costituisce l'unicum che nessuna riforma ha mai replicato, mentre l'epilogo, il ritorno spontaneo per chiudere il conto con una pena ormai ridotta, anticipò di un quarto di secolo la logica delle soluzioni individuali che avrebbe poi chiuso, caso per caso, l'intera vicenda dei rifugiati, dimostrando che il santuario censito dal capitolo non fu mai una fortezza ma una moratoria, dalla quale ciascuno uscì quando il tempo ebbe abbassato abbastanza il prezzo.</w:t>
      </w:r>
    </w:p>
    <w:p>
      <w:pPr>
        <w:spacing w:after="120" w:line="276"/>
        <w:jc w:val="both"/>
      </w:pPr>
      <w:r>
        <w:rPr>
          <w:rFonts w:ascii="Barlow Semi Condensed" w:cs="Barlow Semi Condensed" w:eastAsia="Barlow Semi Condensed" w:hAnsi="Barlow Semi Condensed"/>
          <w:b/>
          <w:bCs/>
          <w:sz w:val="24"/>
          <w:szCs w:val="24"/>
        </w:rPr>
        <w:t xml:space="preserve">Sintesi del dato nuovo acquisito:</w:t>
      </w:r>
      <w:r>
        <w:rPr>
          <w:rFonts w:ascii="Barlow Semi Condensed" w:cs="Barlow Semi Condensed" w:eastAsia="Barlow Semi Condensed" w:hAnsi="Barlow Semi Condensed"/>
          <w:sz w:val="24"/>
          <w:szCs w:val="24"/>
        </w:rPr>
        <w:t xml:space="preserve"> la Francia è certificata quale santuario stabile con la dottrina del rifugio al Livello A nelle sue 3 età, prassi, dichiarazione e barriera convenzionale definitiva del marzo 2023, il nodo Hyperion è recepito nello stato terminale della Fase 4 con la sua inconoscibilità spiegata per via ordinamentale, e la coppia Lisbona-Parigi è elevata a dimostrazione terminale del teorema archivistico dell'opera.</w:t>
      </w:r>
    </w:p>
    <w:p>
      <w:pPr>
        <w:pStyle w:val="Heading3"/>
        <w:spacing w:after="80" w:before="160"/>
      </w:pPr>
      <w:r>
        <w:rPr>
          <w:rFonts w:ascii="Barlow Semi Condensed" w:cs="Barlow Semi Condensed" w:eastAsia="Barlow Semi Condensed" w:hAnsi="Barlow Semi Condensed"/>
          <w:sz w:val="24"/>
          <w:szCs w:val="24"/>
        </w:rPr>
        <w:t xml:space="preserve">Capitolo 5 — Il Mediterraneo: il lodo, i canali palestinesi e la notte di Sigonella</w:t>
      </w:r>
    </w:p>
    <w:p>
      <w:pPr>
        <w:spacing w:after="120" w:line="276"/>
        <w:jc w:val="both"/>
      </w:pPr>
      <w:r>
        <w:rPr>
          <w:rFonts w:ascii="Barlow Semi Condensed" w:cs="Barlow Semi Condensed" w:eastAsia="Barlow Semi Condensed" w:hAnsi="Barlow Semi Condensed"/>
          <w:sz w:val="24"/>
          <w:szCs w:val="24"/>
        </w:rPr>
        <w:t xml:space="preserve">Il quinto nodo è il Mediterraneo, il teatro dell'autonomia italiana entro il vincolo di campo, che le fasi hanno incontrato nella prassi riservata nota quale lodo e che la fase ricompone quale sistema attraverso 2 decenni. Il registro certifica al Livello B l'esistenza della prassi di non belligeranza tra lo Stato italiano e le organizzazioni palestinesi, il patto informale, mai consacrato da un documento unico, per cui il territorio italiano sarebbe stato risparmiato dalle azioni in cambio di margini di transito, quale convergenza di testimonianze istituzionali di vertice, atti parlamentari e riscontri episodici, mantenendo la qualificazione al livello che la natura non documentale della prassi impone.</w:t>
      </w:r>
    </w:p>
    <w:p>
      <w:pPr>
        <w:spacing w:after="120" w:line="276"/>
        <w:jc w:val="both"/>
      </w:pPr>
      <w:r>
        <w:rPr>
          <w:rFonts w:ascii="Barlow Semi Condensed" w:cs="Barlow Semi Condensed" w:eastAsia="Barlow Semi Condensed" w:hAnsi="Barlow Semi Condensed"/>
          <w:sz w:val="24"/>
          <w:szCs w:val="24"/>
        </w:rPr>
        <w:t xml:space="preserve">Il primo pilastro censisce i riscontri della prassi nel corpus. Il caso di Ortona del 7 novembre 1979, il sequestro dei 2 lanciamissili trasportati per conto del Fronte popolare con l'arresto di Daniele Pifano e dei coimputati, e la vicenda diplomatica che ne seguì, con le pressioni documentate per la composizione della crisi e il ruolo del colonnello Stefano Giovannone, il capocentro del servizio militare a Beirut e terminale della relazione riservata, costituiscono il riscontro maggiore, censito dalla Fase 4; il registro certifica al Livello A i fatti di Ortona e la funzione documentata di Giovannone, quali dati giudiziari e parlamentari, e al Livello B la loro lettura quale manifestazione della prassi, secondo la disciplina già fissata.</w:t>
      </w:r>
    </w:p>
    <w:p>
      <w:pPr>
        <w:spacing w:after="120" w:line="276"/>
        <w:jc w:val="both"/>
      </w:pPr>
      <w:r>
        <w:rPr>
          <w:rFonts w:ascii="Barlow Semi Condensed" w:cs="Barlow Semi Condensed" w:eastAsia="Barlow Semi Condensed" w:hAnsi="Barlow Semi Condensed"/>
          <w:sz w:val="24"/>
          <w:szCs w:val="24"/>
        </w:rPr>
        <w:t xml:space="preserve">Il secondo pilastro censisce la crisi che portò il sistema alla superficie, la sequenza dell'ottobre 1985. Il 7 ottobre 1985 la nave da crociera italiana Achille Lauro fu sequestrata da un commando palestinese, e l'8 ottobre fu assassinato a bordo il passeggero americano Leon Klinghoffer, cittadino statunitense invalido, che il registro nomina tra le vittime della fase quale atto dovuto; la composizione della crisi per via negoziale, con lo sbarco del commando e la mediazione egiziana, sfociò nella notte tra il 10 e l'11 ottobre nel confronto della base siciliana di Sigonella, dove i reparti italiani e quelli americani si fronteggiarono attorno all'aereo che trasportava il commando e il mediatore, con il governo italiano che rivendicò e ottenne l'esercizio della giurisdizione nazionale contro la pretesa alleata; il registro certifica al Livello A la sequenza integrale, il sequestro, l'assassinio, lo sbarco, il confronto e l'esito giurisdizionale, quali dati documentali della crisi più studiata delle relazioni bilaterali, e ne dichiara la funzione nel nodo: la notte di Sigonella è il punto in cui la politica mediterranea riservata dei 2 decenni divenne, per poche ore, confronto pubblico tra gli apparati dei 2 alleati, e la crisi certificò dinanzi al mondo l'esistenza dell'autonomia che il lodo aveva amministrato in silenzio.</w:t>
      </w:r>
    </w:p>
    <w:p>
      <w:pPr>
        <w:spacing w:after="120" w:line="276"/>
        <w:jc w:val="both"/>
      </w:pPr>
      <w:r>
        <w:rPr>
          <w:rFonts w:ascii="Barlow Semi Condensed" w:cs="Barlow Semi Condensed" w:eastAsia="Barlow Semi Condensed" w:hAnsi="Barlow Semi Condensed"/>
          <w:sz w:val="24"/>
          <w:szCs w:val="24"/>
        </w:rPr>
        <w:t xml:space="preserve">Il terzo pilastro formalizza la continuità del sistema e il suo rilievo per la verifica finale. La linea che congiunge l'apertura mediterranea morotea, la prassi riservata degli anni Settanta, la gestione delle crisi levantine e la rivendicazione giurisdizionale del 1985 disegna una costante documentata della politica estera italiana attraverso governi e stagioni, l'esercizio di margini di autonomia regionale entro il vincolo atlantico, sistematicamente attritivo con l'alleato maggiore; il registro certifica al Livello A la costante, quale dato della documentazione diplomatica e delle crisi censite, e ne dichiara il rilievo per le macro-ipotesi: la politica mediterranea è il terreno sul quale la contrarietà del campo occidentale all'autonomia italiana è documentata nelle forme più esplicite, dalle pressioni della crisi di Ortona al confronto di Sigonella, e la fase consegna questa serie certificata alla verifica del capitolo decimo quale versante mediterraneo del fatto già elevato al Livello A dalla Fase 4, l'esistenza pubblica e documentata delle contrarietà, con la consueta e integrale distinzione dalle loro traduzioni operative, che restano al livello che i documenti consentono.</w:t>
      </w:r>
    </w:p>
    <w:p>
      <w:pPr>
        <w:spacing w:after="120" w:line="276"/>
        <w:jc w:val="both"/>
      </w:pPr>
      <w:r>
        <w:rPr>
          <w:rFonts w:ascii="Barlow Semi Condensed" w:cs="Barlow Semi Condensed" w:eastAsia="Barlow Semi Condensed" w:hAnsi="Barlow Semi Condensed"/>
          <w:sz w:val="24"/>
          <w:szCs w:val="24"/>
        </w:rPr>
        <w:t xml:space="preserve">Il quarto pilastro censisce il limite di sangue del sistema, la strage della Sinagoga di Roma. Il 9 ottobre 1982, all'uscita della funzione, un commando palestinese attaccò con granate e armi automatiche i fedeli del Tempio Maggiore di Roma, uccidendo Stefano Gaj Taché, un bambino di 2 anni, che il registro nomina tra le vittime della fase quale atto dovuto, e ferendo decine di persone; l'attacco, maturato nella stagione successiva alla guerra libanese di quell'estate, colpì la comunità ebraica italiana nel cuore della capitale e pose dinanzi all'opinione pubblica la questione dei limiti e delle infrazioni della prassi riservata che il capitolo censisce, la protezione del territorio essendo clamorosamente mancata per il bersaglio ebraico italiano; il registro certifica al Livello A la strage, la vittima e le circostanze, quali dati giudiziari e documentali, e trascrive la questione interpretativa al livello che le compete: se l'attacco costituisca l'infrazione del patto o la rivelazione del suo perimetro reale, la protezione essendo stata negoziata per lo Stato e non per ogni bersaglio sul territorio, è materia che le testimonianze istituzionali divergenti non consentono di certificare, e il registro consegna la strage quale fatto e la questione quale interrogazione aperta al Livello C, annotando che la Repubblica ha riconosciuto nel bambino ucciso, con la memoria istituzionale successiva, una vittima del proprio suolo e della propria stagione.</w:t>
      </w:r>
    </w:p>
    <w:p>
      <w:pPr>
        <w:spacing w:after="120" w:line="276"/>
        <w:jc w:val="both"/>
      </w:pPr>
      <w:r>
        <w:rPr>
          <w:rFonts w:ascii="Barlow Semi Condensed" w:cs="Barlow Semi Condensed" w:eastAsia="Barlow Semi Condensed" w:hAnsi="Barlow Semi Condensed"/>
          <w:sz w:val="24"/>
          <w:szCs w:val="24"/>
        </w:rPr>
        <w:t xml:space="preserve">Il quinto pilastro censisce la serie aeroportuale, il prezzo mediterraneo pagato sul territorio prima e dopo il lodo. Il 17 dicembre 1973 l'aeroporto di Fiumicino fu teatro dell'attacco palestinese contro l'aeromobile della Pan Am, con 32 vittime, la più grave strage su suolo italiano sino a quella data; il 27 dicembre 1985 il medesimo aeroporto fu attaccato dal commando del gruppo di Abu Nidal, con 13 vittime, nell'azione gemella di quella condotta lo stesso giorno a Vienna; il registro certifica al Livello A i 2 attacchi, le date e i bilanci, quali dati documentali, richiama le vittime nel loro numero rinviando la nominazione integrale agli atti delle rispettive sedi, secondo la disciplina dichiarata per le stragi plurime a censimento esterno, e ne trae la lettura seriale che il capitolo consegna: la serie 1973-1982-1985 delimita empiricamente il perimetro della prassi censita, documentando che la protezione riservata, quale che ne fosse l'estensione negoziata, non coprì l'intero arco delle organizzazioni né l'intero arco dei bersagli, e che il territorio italiano pagò alla guerra mediterranea un prezzo di sangue certificato ai 2 estremi e al centro della stagione del lodo; la serie è consegnata alla verifica quale correttivo documentale di ogni lettura totalizzante della prassi, nel senso che il registro impone: il lodo è certificato al Livello B quale prassi esistita, non quale sistema onnipotente, e le sue infrazioni certificate ne misurano i limiti reali.</w:t>
      </w:r>
    </w:p>
    <w:p>
      <w:pPr>
        <w:spacing w:after="120" w:line="276"/>
        <w:jc w:val="both"/>
      </w:pPr>
      <w:r>
        <w:rPr>
          <w:rFonts w:ascii="Barlow Semi Condensed" w:cs="Barlow Semi Condensed" w:eastAsia="Barlow Semi Condensed" w:hAnsi="Barlow Semi Condensed"/>
          <w:sz w:val="24"/>
          <w:szCs w:val="24"/>
        </w:rPr>
        <w:t xml:space="preserve">Il sesto pilastro censisce la coda politica interna della crisi, la verifica di governo che ne seguì. Il confronto di Sigonella e la gestione complessiva della vicenda aprirono, nelle settimane successive, la crisi nella maggioranza di governo, con il dissenso della componente repubblicana sulla linea tenuta verso l'organizzazione palestinese e verso l'alleato, le dimissioni del governo e la sua ricomposizione nel novembre 1985 sulla medesima formula; il registro certifica al Livello A la crisi, il suo motivo dichiarato e la ricomposizione, quali dati parlamentari, e ne trae il valore di reperto per il sistema del capitolo: la politica mediterranea riservata, portata alla superficie dalla crisi internazionale, produsse immediatamente una crisi di sistema interna, la dimostrazione che l'autonomia amministrata nel segreto non disponeva di un consenso esplicito unanime nella stessa maggioranza che la esercitava, e la ricomposizione rapida sulla medesima formula documenta, per converso, che nessuna componente intese trarre dalla crisi la revisione della politica; il registro trascrive la coppia crisi-ricomposizione quale misura certificata del rapporto tra il sistema mediterraneo e il sistema politico, un'autonomia esercitata senza mandato esplicito e tollerata senza sconfessione, la configurazione del consenso implicito che il corpus dell'opera ha incontrato in ogni prassi riservata censita.</w:t>
      </w:r>
    </w:p>
    <w:p>
      <w:pPr>
        <w:spacing w:after="120" w:line="276"/>
        <w:jc w:val="both"/>
      </w:pPr>
      <w:r>
        <w:rPr>
          <w:rFonts w:ascii="Barlow Semi Condensed" w:cs="Barlow Semi Condensed" w:eastAsia="Barlow Semi Condensed" w:hAnsi="Barlow Semi Condensed"/>
          <w:sz w:val="24"/>
          <w:szCs w:val="24"/>
        </w:rPr>
        <w:t xml:space="preserve">Il settimo pilastro censisce il terminale umano del sistema, il profilo di Stefano Giovannone. L'ufficiale del servizio militare resse il centro di Beirut per circa un decennio, attraverso la guerra civile libanese e le stagioni della relazione riservata, quale interlocutore permanente delle organizzazioni palestinesi per conto dello Stato, la funzione che gli atti parlamentari e giudiziari censiti dalla Fase 4 documentano nel caso di Ortona e che le testimonianze istituzionali della stagione collocano al centro dell'intera prassi; il colonnello morì nel 1985, senza che le sedi di accertamento successive potessero più escuterne la testimonianza diretta, e la conoscenza della sua attività resta affidata alle carte del servizio, versate solo in parte con le soglie censite, e alle deposizioni di terzi; il registro certifica al Livello A la funzione, la durata e la centralità documentata del terminale, quali dati degli atti, e ne trae l'annotazione strutturale che il sistema consegna: la prassi mediterranea fu amministrata, per il decennio cruciale, attraverso un canale personale unico, e la concentrazione della relazione in un solo uomo, efficiente quale garanzia di riservatezza, produsse la conseguenza documentale che il corpus registra, la morte del terminale quale perdita irreversibile della fonte primaria, il caso mediterraneo della firma delle assenze che la Fase 4 ha formalizzato, qui nella variante naturale e non violenta, con l'identico effetto sull'accertabilità; il registro trascrive la configurazione, il sistema a canale unico e la sua mortalità, quale ultima proprietà certificata del nodo.</w:t>
      </w:r>
    </w:p>
    <w:p>
      <w:pPr>
        <w:spacing w:after="120" w:line="276"/>
        <w:jc w:val="both"/>
      </w:pPr>
      <w:r>
        <w:rPr>
          <w:rFonts w:ascii="Barlow Semi Condensed" w:cs="Barlow Semi Condensed" w:eastAsia="Barlow Semi Condensed" w:hAnsi="Barlow Semi Condensed"/>
          <w:sz w:val="24"/>
          <w:szCs w:val="24"/>
        </w:rPr>
        <w:t xml:space="preserve">Le triangolazioni del nodo sono 3. La prima, lodo-Ortona-Giovannone, salda la prassi al suo riscontro maggiore, con i fatti al Livello A e la prassi al Livello B. La seconda, Achille Lauro-Klinghoffer-Sigonella, certifica al Livello A la crisi che rese pubblica l'autonomia, con la vittima nominata. La terza, apertura morotea-costante mediterranea-attrito atlantico, formalizza la continuità del sistema quale materiale certificato per la verifica finale.</w:t>
      </w:r>
    </w:p>
    <w:p>
      <w:pPr>
        <w:spacing w:after="120" w:line="276"/>
        <w:jc w:val="both"/>
      </w:pPr>
      <w:r>
        <w:rPr>
          <w:rFonts w:ascii="Barlow Semi Condensed" w:cs="Barlow Semi Condensed" w:eastAsia="Barlow Semi Condensed" w:hAnsi="Barlow Semi Condensed"/>
          <w:sz w:val="24"/>
          <w:szCs w:val="24"/>
        </w:rPr>
        <w:t xml:space="preserve">La notte tra il 10 e l'11 ottobre 1985 esige la sua sequenza, perché in essa il sistema dell'autonomia mediterranea uscì dalla prassi riservata e si misurò in campo aperto con l'alleato maggiore: il velivolo di linea egiziano che trasportava i 4 sequestratori della nave, con Abu Abbas, fu intercettato in volo internazionale dai caccia imbarcati americani e costretto all'atterraggio nella base siciliana di Sigonella; attorno all'aereo si dispose il reparto d'assalto americano giunto al seguito, e attorno al reparto americano si dispose, in un doppio cerchio che le ricostruzioni convergenti hanno consegnato all'iconografia della Repubblica, il presidio italiano di avieri e carabinieri, a rivendicare la giurisdizione territoriale sullo scalo e sugli uomini; il braccio di ferro si sciolse nella notte, attraverso il contatto diretto tra il presidente del Consiglio Craxi e la presidenza americana, con la prevalenza della posizione italiana, il trasferimento dell'aereo a Ciampino sotto ulteriore marcatura aerea e la successiva partenza di Abbas dal territorio italiano, che aprì la crisi politica interna censita dal sesto pilastro, Livello A sull'intera sequenza, quale risulta dalle ricostruzioni istituzionali e parlamentari convergenti. Il registro consegna la notte alla sua funzione probatoria nella fase: Sigonella è il solo episodio dell'intero corpus in cui il vincolo di campo e l'autonomia nazionale si fronteggiarono fisicamente, armi in pugno, su suolo italiano, e il suo esito, la prevalenza formale della sovranità con il logoramento politico immediato di chi l'aveva esercitata, è la misura sperimentale esatta dello spazio che il sistema del lodo aveva occupato per un quindicennio: uno spazio reale, difendibile una notte, e non oltre.</w:t>
      </w:r>
    </w:p>
    <w:p>
      <w:pPr>
        <w:spacing w:after="120" w:line="276"/>
        <w:jc w:val="both"/>
      </w:pPr>
      <w:r>
        <w:rPr>
          <w:rFonts w:ascii="Barlow Semi Condensed" w:cs="Barlow Semi Condensed" w:eastAsia="Barlow Semi Condensed" w:hAnsi="Barlow Semi Condensed"/>
          <w:sz w:val="24"/>
          <w:szCs w:val="24"/>
        </w:rPr>
        <w:t xml:space="preserve">Al teatro mediterraneo appartiene infine il suo evento più conteso, che il registro censisce con lo statuto probatorio esatto che 4 decenni di accertamenti gli hanno assegnato: la notte del 27 giugno 1980 il DC-9 della compagnia Itavia in volo di linea da Bologna a Palermo precipitò in mare presso Ustica con la morte delle 81 persone a bordo, passeggeri ed equipaggio, i cui nomi il memoriale civile dedicato custodisce e scandisce, Livello A quanto all'evento ed alle vittime. Il doppio binario giudiziario che ne seguì consegna al registro 2 esiti di segno formalmente distinto, che la disciplina impone di riportare entrambi per esteso: sul versante penale, il lunghissimo procedimento per l'ipotesi di attentato alla sicurezza e di ostacolo alle indagini a carico di alti ufficiali dell'Aeronautica si chiuse con assoluzioni divenute irrevocabili all'esito del giudizio di legittimità del 2007, sicché per la strage e per il suo occultamento non esiste alcun condannato penale, Livello A; sul versante civile, la giurisdizione risarcitoria accertò, con conferma della Corte di cassazione nel 2013, la responsabilità dei ministeri per il difetto di sorveglianza e di sicurezza dello scenario aereo in cui il velivolo civile fu coinvolto, condannando lo Stato ai risarcimenti secondo lo standard probabilistico proprio di quella sede, Livello A quanto al giudicato civile.</w:t>
      </w:r>
    </w:p>
    <w:p>
      <w:pPr>
        <w:spacing w:after="120" w:line="276"/>
        <w:jc w:val="both"/>
      </w:pPr>
      <w:r>
        <w:rPr>
          <w:rFonts w:ascii="Barlow Semi Condensed" w:cs="Barlow Semi Condensed" w:eastAsia="Barlow Semi Condensed" w:hAnsi="Barlow Semi Condensed"/>
          <w:sz w:val="24"/>
          <w:szCs w:val="24"/>
        </w:rPr>
        <w:t xml:space="preserve">La qualificazione dello scenario resta, ed il registro la dichiara quale sua frontiera: le ricostruzioni tecniche contrapposte che attraversarono le perizie, la quasi-collisione nel quadro di un'azione aerea militare, il missile, l'ordigno a bordo, non furono mai risolte in sede penale con forza di giudicato, e ogni attribuzione specifica dello scenario a velivoli, forze o Stati determinati resta al Livello C, materia di ipotesi concorrenti che il registro censisce senza sciogliere. Ne discende lo statuto documentale unico dell'evento nell'economia dell'opera: Ustica è il caso in cui la Repubblica ha risarcito civilmente uno scenario che non ha accertato penalmente, riconoscendo per equivalente ciò che non ha saputo nominare per esteso, e questa forbice tra le 2 giurisdizioni, la civile che paga e la penale che assolve, è la forma istituzionale esatta dell'irrisolto, misurata con gli strumenti del diritto anziché con quelli della retorica. Il registro colloca l'evento nel proprio teatro, il Mediterraneo del 1980, accanto ai fatti censiti del medesimo cielo e del medesimo mare, e ne fissa la funzione nella fase: la notte di Ustica documenta che lo spazio aereo nazionale era attraversato da attività militari non dichiarate che nessuna autorità ha mai integralmente ricostruito, e questa porosità certificata della sovranità sul proprio cielo è il complemento esatto, sul piano fisico, della porosità che l'intera opera ha misurato sul piano istituzionale, con la memoria delle 81 vittime affidata al museo bolognese che ne custodisce i nomi e il relitto, ottantuno luci sospese sul mare recuperato.</w:t>
      </w:r>
    </w:p>
    <w:p>
      <w:pPr>
        <w:spacing w:after="120" w:line="276"/>
        <w:jc w:val="both"/>
      </w:pPr>
      <w:r>
        <w:rPr>
          <w:rFonts w:ascii="Barlow Semi Condensed" w:cs="Barlow Semi Condensed" w:eastAsia="Barlow Semi Condensed" w:hAnsi="Barlow Semi Condensed"/>
          <w:sz w:val="24"/>
          <w:szCs w:val="24"/>
        </w:rPr>
        <w:t xml:space="preserve">Il teatro libico del Mediterraneo consegna al registro la sua notte maggiore, che il capitolo censisce con la scansione esatta: nella notte tra il 14 ed il 15 aprile 1986 l'aviazione americana colpì Tripoli e Bengasi nell'operazione di rappresaglia contro il regime di Gheddafi seguita all'attentato di Berlino, e la sera del 15 aprile la Libia rispose lanciando 2 missili verso l'isola di Lampedusa, sede di una stazione tecnica americana, ordigni caduti in mare senza danni ma costituenti l'unica azione bellica diretta contro il territorio italiano dalla fine della Seconda guerra mondiale, Livello A quanto ai fatti ed alle date. Attorno alla notte si addensa il contorno dichiarativo che il registro riporta con il suo statuto: le ricostruzioni successive, alimentate da dichiarazioni di protagonisti politici italiani rese a distanza di anni, riferirono di un avvertimento fatto pervenire per canali italiani al regime libico alla vigilia dell'attacco, circostanza mai certificata da atti e rimasta al Livello B nella forma di convergenza dichiarativa tardiva, con il suo contenuto preciso al Livello C. Il registro colloca la notte nella serie che il capitolo ha costruito: a 6 mesi da Sigonella, la crisi dell'aprile 1986 ripropone l'identico schema del doppio binario, la lealtà atlantica formale e la tutela parallela del canale mediterraneo, e la traiettoria dei 2 missili su Lampedusa, quale che ne fosse l'intenzione balistica, resta il punto del corpus in cui la guerra fredda mediterranea smise per una sera di essere coperta, misurando quanto vicino alla superficie corresse, da sempre, ciò che l'opera censisce di norma solo negli archivi.</w:t>
      </w:r>
    </w:p>
    <w:p>
      <w:pPr>
        <w:spacing w:after="120" w:line="276"/>
        <w:jc w:val="both"/>
      </w:pPr>
      <w:r>
        <w:rPr>
          <w:rFonts w:ascii="Barlow Semi Condensed" w:cs="Barlow Semi Condensed" w:eastAsia="Barlow Semi Condensed" w:hAnsi="Barlow Semi Condensed"/>
          <w:sz w:val="24"/>
          <w:szCs w:val="24"/>
        </w:rPr>
        <w:t xml:space="preserve">Alla contabilità mediterranea della stagione precedente appartiene infine il velivolo che ne è divenuto il reperto simbolico: l'aereo da trasporto del servizio noto con la sigla Argo 16, impiegato per le missioni riservate del SID, precipitò il 23 novembre 1973 in area industriale presso Marghera con la morte dei 4 militari dell'equipaggio, poche settimane dopo essere stato utilizzato, secondo le acquisizioni parlamentari e giudiziarie convergenti, per ricondurre in area mediorientale uomini dell'area palestinese rilasciati nel quadro della gestione riservata censita in questo capitolo, Livello A quanto alla caduta, alle vittime ed all'impiego del velivolo, Livello B quanto alla specifica missione di riconduzione. Sull'origine della caduta il registro applica la propria disciplina: l'ipotesi del sabotaggio quale ritorsione per la linea dei rilasci, coltivata da un'istruttoria durata decenni e chiusasi senza condanne, resta al Livello C, ipotesi processualmente esplorata e mai certificata, accanto a quella dell'incidente. La funzione del reperto nell'economia della fase è tuttavia indipendente dallo scioglimento: Argo 16 è il punto in cui il canale riservato mediterraneo dell'Italia smette di essere una politica e diventa una carlinga, un luogo fisico con un equipaggio ed una rotta, e la sua fine mai spiegata, qualunque ne sia stata la causa, apparteneva già allora al prezzo possibile di quella politica, che il registro ha censito nei suoi benefici dichiarati e censisce qui nel suo primo, possibile, costo occulto.</w:t>
      </w:r>
    </w:p>
    <w:p>
      <w:pPr>
        <w:spacing w:after="120" w:line="276"/>
        <w:jc w:val="both"/>
      </w:pPr>
      <w:r>
        <w:rPr>
          <w:rFonts w:ascii="Barlow Semi Condensed" w:cs="Barlow Semi Condensed" w:eastAsia="Barlow Semi Condensed" w:hAnsi="Barlow Semi Condensed"/>
          <w:sz w:val="24"/>
          <w:szCs w:val="24"/>
        </w:rPr>
        <w:t xml:space="preserve">La scheda del dirottamento si chiude con l'epilogo del suo regista, che il registro riporta per completezza di casellario: il capo dell'organizzazione responsabile dell'azione, condannato all'ergastolo in via definitiva dalla giustizia italiana quale organizzatore, rimase latitante per 18 anni tra i santuari mediorientali sino alla cattura da parte delle forze americane a Baghdad nell'aprile 2003, nel quadro dell'occupazione dell'Iraq, e morì in detenzione americana nel marzo 2004, senza estradizione verso l'Italia e senza processo americano per i fatti del 1985, Livello A quanto all'intera sequenza. Il registro annota la geometria finale del caso: l'uomo conteso nella notte di Sigonella tra la sovranità italiana e la pretesa americana finì i propri giorni, 18 anni dopo, in mani americane e fuori da ogni aula, sicché nessuna delle 2 giurisdizioni che se lo erano disputato sulla pista siciliana lo ha mai avuto davanti a un giudice in carne ed ossa, e l'ergastolo italiano in contumacia resta l'unico verdetto mai pronunciato su di lui, eseguito dalla storia nella forma che il corpus conosce meglio, la morte in custodia altrui prima del dibattimento.</w:t>
      </w:r>
    </w:p>
    <w:p>
      <w:pPr>
        <w:spacing w:after="120" w:line="276"/>
        <w:jc w:val="both"/>
      </w:pPr>
      <w:r>
        <w:rPr>
          <w:rFonts w:ascii="Barlow Semi Condensed" w:cs="Barlow Semi Condensed" w:eastAsia="Barlow Semi Condensed" w:hAnsi="Barlow Semi Condensed"/>
          <w:sz w:val="24"/>
          <w:szCs w:val="24"/>
        </w:rPr>
        <w:t xml:space="preserve">La genealogia energetica del teatro mediterraneo impone al registro di risalire al suo evento fondativo, che l'opera censisce quale primo caso della propria serie e più antico dei suoi irrisolti certificati: la sera del 27 ottobre 1962 l'aereo personale del presidente dell'ENI Enrico Mattei precipitò a Bascapè, nel Pavese, in fase di avvicinamento a Linate, uccidendo Mattei, il pilota Irnerio Bertuzzi ed il giornalista americano William McHale, Livello A quanto all'evento ed alle vittime. La vicenda giudiziaria, chiusa in prima battuta quale incidente, fu riaperta 3 decenni dopo dalla procura di Pavia, e l'istruttoria condotta negli anni Novanta approdò nel 2003 ad un'archiviazione di natura eccezionale, che il registro riporta nel suo esatto dispositivo: sulla scorta delle perizie sui reperti riesumati, il provvedimento accertò che la caduta fu provocata da una carica esplosiva collocata a bordo, qualificando il fatto quale attentato doloso, e dispose l'archiviazione per l'impossibilità di identificarne, a 40 anni di distanza, esecutori e mandanti, Livello A quanto all'accertamento del dolo contenuto nel provvedimento, con autori e moventi rimasti al Livello C tra le ipotesi concorrenti, dalla pista interna dei poteri petroliferi a quella internazionale, mai discriminate. Il registro consegna il caso alla sua funzione di chiave: Mattei fu l'uomo che sfidò l'oligopolio petrolifero occidentale trattando direttamente con i produttori mediterranei e con Mosca, e la certificazione postuma che la sua morte fu un omicidio senza colpevoli colloca all'origine stessa del teatro censito da questo capitolo, un decennio prima del lodo e 2 decenni prima delle notti siciliane, la dimostrazione che la sovranità energetica italiana nel Mediterraneo era una posta per la quale, in questo Paese, si poteva morire.</w:t>
      </w:r>
    </w:p>
    <w:p>
      <w:pPr>
        <w:spacing w:after="120" w:line="276"/>
        <w:jc w:val="both"/>
      </w:pPr>
      <w:r>
        <w:rPr>
          <w:rFonts w:ascii="Barlow Semi Condensed" w:cs="Barlow Semi Condensed" w:eastAsia="Barlow Semi Condensed" w:hAnsi="Barlow Semi Condensed"/>
          <w:sz w:val="24"/>
          <w:szCs w:val="24"/>
        </w:rPr>
        <w:t xml:space="preserve">Alla scia di Bascapè appartiene la seconda vittima, che il registro censisce quale caso di sparizione perfetta: il giornalista palermitano Mauro De Mauro, che nel settembre 1970 lavorava alla ricostruzione delle ultime giornate di Mattei per conto di una produzione cinematografica, fu sequestrato sotto casa la sera del 16 settembre 1970 e mai più ritrovato, né vivo né morto, Livello A quanto alla sparizione ed alla sua data; il procedimento celebrato a distanza di decenni contro il vertice corleonese quale mandante si chiuse con assoluzione divenuta definitiva, che il registro riporta per esteso secondo la propria disciplina, sicché per la sparizione di De Mauro non esiste alcun condannato, Livello A quanto all'esito assolutorio; ed il ventaglio dei moventi esplorati, l'inchiesta su Mattei, altre piste palermitane concorrenti, resta al Livello C, materia di ipotesi che 50 anni di indagini non hanno gerarchizzato. Il registro annota la geometria che i 2 casi compongono: l'uomo che indagava sulla morte dell'uomo del petrolio scomparve senza lasciare corpo né verità, e questa concatenazione di irrisolti al quadrato, l'omicidio certificato senza autori e la sparizione senza neppure il reato accertabile, apre la serie mediterranea dell'opera con la sua legge più dura, che il capitolo ha poi ritrovato ad ogni tornante: in questo teatro, chi tocca la questione energetica e chi tocca chi l'ha toccata appartengono alla medesima contabilità.</w:t>
      </w:r>
    </w:p>
    <w:p>
      <w:pPr>
        <w:spacing w:after="120" w:line="276"/>
        <w:jc w:val="both"/>
      </w:pPr>
      <w:r>
        <w:rPr>
          <w:rFonts w:ascii="Barlow Semi Condensed" w:cs="Barlow Semi Condensed" w:eastAsia="Barlow Semi Condensed" w:hAnsi="Barlow Semi Condensed"/>
          <w:sz w:val="24"/>
          <w:szCs w:val="24"/>
        </w:rPr>
        <w:t xml:space="preserve">Il Mediterraneo del 1980 completa la propria costellazione con la crisi che il registro censisce quale terza scena del medesimo mare: nell'agosto di quell'anno unità militari libiche imposero la sospensione delle attività della piattaforma di perforazione operata per conto maltese da una società italiana del gruppo pubblico sul banco conteso di Medina, costringendo al ritiro il naviglio civile e aprendo una crisi diplomatica tra La Valletta, Tripoli e Roma sulla delimitazione delle acque e sulle concessioni energetiche del canale di Sicilia, ricomposta per via negoziale e arbitrale negli anni seguenti, Livello A quanto all'episodio ed alla sua composizione. Il registro colloca la cannoniera libica nella sequenza che il capitolo ha costruito: l'estate del 1980 vide concentrarsi sul medesimo quadrante, in 6 settimane, la notte di Ustica, la strage alla stazione della città da cui quel volo era partito e la prova di forza energetica sul banco di Medina, e la disciplina del Pattern 3, che vieta di convertire la densità in disegno, impone qui la sua applicazione più severa e la sua annotazione più ferma: i 3 eventi restano, allo stato degli atti, privi di ogni connessione certificata, e ciò che la loro compresenza documenta non è una trama ma una condizione, quella di un mare che nell'estate del 1980 era simultaneamente teatro di guerra aerea non dichiarata, bersaglio di terrorismo interno e posta di conflitto energetico, la condizione mediterranea dell'Italia che questo capitolo ha censito e che nessuna singola inchiesta, per statuto, poteva vedere per intero.</w:t>
      </w:r>
    </w:p>
    <w:p>
      <w:pPr>
        <w:spacing w:after="120" w:line="276"/>
        <w:jc w:val="both"/>
      </w:pPr>
      <w:r>
        <w:rPr>
          <w:rFonts w:ascii="Barlow Semi Condensed" w:cs="Barlow Semi Condensed" w:eastAsia="Barlow Semi Condensed" w:hAnsi="Barlow Semi Condensed"/>
          <w:b/>
          <w:bCs/>
          <w:sz w:val="24"/>
          <w:szCs w:val="24"/>
        </w:rPr>
        <w:t xml:space="preserve">Sintesi del dato nuovo acquisito:</w:t>
      </w:r>
      <w:r>
        <w:rPr>
          <w:rFonts w:ascii="Barlow Semi Condensed" w:cs="Barlow Semi Condensed" w:eastAsia="Barlow Semi Condensed" w:hAnsi="Barlow Semi Condensed"/>
          <w:sz w:val="24"/>
          <w:szCs w:val="24"/>
        </w:rPr>
        <w:t xml:space="preserve"> il teatro mediterraneo è certificato quale sistema continuo dell'autonomia italiana, con la prassi al Livello B, i riscontri e la crisi del 1985 al Livello A, Leon Klinghoffer nominato tra le vittime, e la serie degli attriti documentati con l'alleato maggiore consegnata quale versante mediterraneo delle contrarietà certificate alla verifica delle macro-ipotesi.</w:t>
      </w:r>
    </w:p>
    <w:p>
      <w:pPr>
        <w:pStyle w:val="Heading3"/>
        <w:spacing w:after="80" w:before="160"/>
      </w:pPr>
      <w:r>
        <w:rPr>
          <w:rFonts w:ascii="Barlow Semi Condensed" w:cs="Barlow Semi Condensed" w:eastAsia="Barlow Semi Condensed" w:hAnsi="Barlow Semi Condensed"/>
          <w:sz w:val="24"/>
          <w:szCs w:val="24"/>
        </w:rPr>
        <w:t xml:space="preserve">Capitolo 6 — L'Est: gli archivi trasferiti, il caso bulgaro e l'asimmetria della prova</w:t>
      </w:r>
    </w:p>
    <w:p>
      <w:pPr>
        <w:spacing w:after="120" w:line="276"/>
        <w:jc w:val="both"/>
      </w:pPr>
      <w:r>
        <w:rPr>
          <w:rFonts w:ascii="Barlow Semi Condensed" w:cs="Barlow Semi Condensed" w:eastAsia="Barlow Semi Condensed" w:hAnsi="Barlow Semi Condensed"/>
          <w:sz w:val="24"/>
          <w:szCs w:val="24"/>
        </w:rPr>
        <w:t xml:space="preserve">Il sesto nodo è il campo orientale, il versante del grafo la cui conoscibilità dipende integralmente dal collasso del 1989-1991 e dai trasferimenti archivistici che ne seguirono. Il registro dichiara in apertura la condizione che governa l'intero capitolo: sino alla caduta, il campo orientale non produsse verso l'esterno documentazione propria se non per defezione, e ogni certificazione del nodo porta la data del proprio regime di accesso, la disciplina dell'asimmetria nella sua applicazione più pura.</w:t>
      </w:r>
    </w:p>
    <w:p>
      <w:pPr>
        <w:spacing w:after="120" w:line="276"/>
        <w:jc w:val="both"/>
      </w:pPr>
      <w:r>
        <w:rPr>
          <w:rFonts w:ascii="Barlow Semi Condensed" w:cs="Barlow Semi Condensed" w:eastAsia="Barlow Semi Condensed" w:hAnsi="Barlow Semi Condensed"/>
          <w:sz w:val="24"/>
          <w:szCs w:val="24"/>
        </w:rPr>
        <w:t xml:space="preserve">Il primo pilastro censisce il compendio maggiore, l'archivio Mitrokhin. La documentazione esfiltrata nel 1992 dall'ex archivista del servizio sovietico e trasmessa ai servizi occidentali, il compendio dal quale derivano i rapporti trasmessi all'Italia noti quali dossier Impedian, fu recepita in sede parlamentare dalla Commissione dedicata, istituita nel 2002 e conclusa nel 2006, con gli esiti divisi che la natura della fonte e la stagione politica produssero; il registro certifica al Livello A l'esistenza, la provenienza e la recezione parlamentare del compendio, quali fatti documentali, e fissa la disciplina della fonte, che l'opera ha già applicato al caso Conforto della Fase 4: le schedature del compendio sono documentazione d'archivio di servizio, non giudicati, e le qualità che esse attribuiscono sono certificate al Livello B quali risultanze documentali di parte recepite in sede istituzionale, con ogni lettura operativa al livello proprio; il caso Conforto, l'agente schedato quale Dario sotto il cui tetto fu sequestrata l'arma dell'esecuzione di via Caetani, resta l'applicazione esemplare della disciplina, il fatto materiale al Livello A, la qualità al Livello B, il nesso al Livello C.</w:t>
      </w:r>
    </w:p>
    <w:p>
      <w:pPr>
        <w:spacing w:after="120" w:line="276"/>
        <w:jc w:val="both"/>
      </w:pPr>
      <w:r>
        <w:rPr>
          <w:rFonts w:ascii="Barlow Semi Condensed" w:cs="Barlow Semi Condensed" w:eastAsia="Barlow Semi Condensed" w:hAnsi="Barlow Semi Condensed"/>
          <w:sz w:val="24"/>
          <w:szCs w:val="24"/>
        </w:rPr>
        <w:t xml:space="preserve">Il secondo pilastro censisce il caso giudiziario maggiore del versante, l'attentato al pontefice e la pista bulgara. Il 13 maggio 1981 Giovanni Paolo II fu gravemente ferito in piazza San Pietro da Mehmet Ali Ağca, l'estremista turco proveniente dall'organizzazione dei Lupi Grigi, condannato all'ergastolo dalla giustizia italiana nel luglio 1981 e graziato dal presidente della Repubblica nel giugno 2000 con successiva estradizione in Turchia; sull'ipotesi del mandato orientale, la pista bulgara alimentata dalle dichiarazioni del condannato, si celebrò il processo ai presunti coordinatori, e la Corte d'assise di Roma, con la sentenza del marzo 1986, assolse per insufficienza di prove Sergej Antonov e i coimputati bulgari e turchi, esito che il registro riporta per esteso in ottemperanza alla propria disciplina; il registro certifica al Livello A l'attentato, la condanna dell'esecutore, la grazia e l'esito assolutorio del processo sul mandato, quali dati giudiziari, mantiene al Livello C l'ipotesi del mandato orientale, quale lettura processualmente non provata, e annota la struttura che il caso consegna all'opera: il massimo attentato del decennio sul territorio italiano ha un esecutore giudicato e un mandato mai accertato, la configurazione dei piani che la Fase 4 ha formalizzato, replicata qui sul terreno internazionale con l'aggravante dell'asimmetria, giacché gli archivi capaci di sciogliere la questione appartenevano al campo che la questione investiva, e le aperture successive al 1989 non hanno prodotto la prova in alcuna direzione.</w:t>
      </w:r>
    </w:p>
    <w:p>
      <w:pPr>
        <w:spacing w:after="120" w:line="276"/>
        <w:jc w:val="both"/>
      </w:pPr>
      <w:r>
        <w:rPr>
          <w:rFonts w:ascii="Barlow Semi Condensed" w:cs="Barlow Semi Condensed" w:eastAsia="Barlow Semi Condensed" w:hAnsi="Barlow Semi Condensed"/>
          <w:sz w:val="24"/>
          <w:szCs w:val="24"/>
        </w:rPr>
        <w:t xml:space="preserve">Il terzo pilastro censisce il canale finanziario documentato, il sostegno economico del campo orientale al maggiore partito comunista occidentale. La documentazione emersa dagli archivi sovietici dopo il 1991 ha certificato l'esistenza pluridecennale del canale di finanziamento del Partito comunista italiano da parte del partito sovietico, con le consistenze e la cronologia che gli studi d'archivio hanno ricostruito e con l'esaurimento del canale negli anni Settanta-Ottanta parallelo all'autonomizzazione eurocomunista; il registro certifica al Livello A l'esistenza storica del canale, quale dato archivistico consolidato, e ne dichiara la funzione nella verifica: esso è il canale documentato del campo orientale verso il sistema politico italiano, simmetrico per esistenza ai canali occidentali che il capitolo settimo censisce, e la simmetria certificata delle interferenze ordinarie dei 2 campi, ciascuno sul proprio versante del sistema politico, è il fatto di base che la verifica finale erediterà, con la consueta distinzione tra l'interferenza ordinaria documentata e le regie straordinarie che i documenti non certificano.</w:t>
      </w:r>
    </w:p>
    <w:p>
      <w:pPr>
        <w:spacing w:after="120" w:line="276"/>
        <w:jc w:val="both"/>
      </w:pPr>
      <w:r>
        <w:rPr>
          <w:rFonts w:ascii="Barlow Semi Condensed" w:cs="Barlow Semi Condensed" w:eastAsia="Barlow Semi Condensed" w:hAnsi="Barlow Semi Condensed"/>
          <w:sz w:val="24"/>
          <w:szCs w:val="24"/>
        </w:rPr>
        <w:t xml:space="preserve">Il quarto pilastro censisce i servizi satelliti, il versante minore del campo. Le acquisizioni successive al 1989, dalle aperture parziali degli archivi orientali agli atti delle commissioni dei Paesi già satelliti, hanno documentato l'attività verso l'Italia e verso il terrorismo internazionale transitato per l'Italia dei servizi del blocco, con i casi che la documentazione colloca ai livelli propri, dal sostegno logistico e addestrativo prestato da strutture orientali alle organizzazioni palestinesi, documentato dalle carte aperte, alle attività informative ordinarie sul Paese di frontiera; il registro certifica al Livello A l'esistenza documentata delle attività per i casi consacrati dalle carte aperte, mantiene al Livello B le ricostruzioni fondate su acquisizioni parziali, e ribadisce la disciplina dell'asimmetria: la conoscenza del versante satellite è integralmente figlia delle aperture del 1989-1991, cresce dove gli ordinamenti successori hanno legiferato l'accesso e tace dove non lo hanno fatto, e ogni comparazione interna al campo orientale incorpora questa non uniformità quale condizione.</w:t>
      </w:r>
    </w:p>
    <w:p>
      <w:pPr>
        <w:spacing w:after="120" w:line="276"/>
        <w:jc w:val="both"/>
      </w:pPr>
      <w:r>
        <w:rPr>
          <w:rFonts w:ascii="Barlow Semi Condensed" w:cs="Barlow Semi Condensed" w:eastAsia="Barlow Semi Condensed" w:hAnsi="Barlow Semi Condensed"/>
          <w:sz w:val="24"/>
          <w:szCs w:val="24"/>
        </w:rPr>
        <w:t xml:space="preserve">Il quinto pilastro censisce l'esito istituzionale italiano del compendio, il bilancio della Commissione. La Commissione parlamentare sul dossier Mitrokhin, operante dal 2002 al 2006, si concluse con relazioni divise lungo la frattura politica della stagione, senza approdi condivisi e senza che dalle sue carte scaturisse alcun seguito giudiziario di rilievo, e il registro certifica al Livello A l'esito diviso e l'assenza di seguiti, quali dati parlamentari, traendone l'annotazione metodologica che il caso consegna: la recezione istituzionale di un archivio di parte, in un sistema politico polarizzato, produsse non l'accertamento ma la trasposizione della polarizzazione sull'archivio stesso, e il compendio, fonte documentale di valore per la ricerca, fu consumato dalla stagione quale arma della contesa; il registro trascrive il caso quale controesempio interno alla legge del capitolo nono, l'apertura archivistica che non produce conoscenza consolidata quando la recezione avviene nel campo della lotta politica anziché in quello dell'accertamento, e ne trae la cautela permanente con cui l'opera stessa ha trattato il compendio, la disciplina della fonte fissata nel primo pilastro.</w:t>
      </w:r>
    </w:p>
    <w:p>
      <w:pPr>
        <w:spacing w:after="120" w:line="276"/>
        <w:jc w:val="both"/>
      </w:pPr>
      <w:r>
        <w:rPr>
          <w:rFonts w:ascii="Barlow Semi Condensed" w:cs="Barlow Semi Condensed" w:eastAsia="Barlow Semi Condensed" w:hAnsi="Barlow Semi Condensed"/>
          <w:sz w:val="24"/>
          <w:szCs w:val="24"/>
        </w:rPr>
        <w:t xml:space="preserve">Il sesto pilastro censisce l'epilogo archivistico del caso bulgaro, la prova dell'asimmetria anche nell'apertura. Dopo il 1989, l'ordinamento bulgaro conobbe le proprie stagioni di accesso alle carte della sicurezza del regime, con le aperture parziali e regolate che la transizione produsse, e dalle carte accessibili non emerse la prova del mandato nell'una né nell'altra direzione, l'assoluzione per insufficienza di prove del 1986 restando l'ultimo atto giudiziario del caso e la questione storiografica restando aperta con le letture contrapposte che la letteratura custodisce; il registro certifica al Livello A l'esistenza delle aperture parziali e l'assenza di prova sopravvenuta, quali dati, e ne trae la lezione terminale del versante: l'apertura archivistica è condizione necessaria e non sufficiente dell'accertamento, giacché essa restituisce soltanto ciò che fu scritto e conservato, e un mandato, se vi fu, appartiene per natura alla classe degli atti che gli apparati non scrivono o non conservano; il registro salda la lezione alla firma delle assenze certificata dalla Fase 4, la coincidenza sistematica tra la sensibilità dell'atto e il silenzio della carta, e consegna il caso quale memento metodologico permanente: nel campo studiato, esistono questioni strutturalmente inaccertabili per via documentale, e la maturità del metodo consiste nel dichiararle tali, mantenendole al livello dell'ipotesi viva, anziché forzarle verso conclusioni che nessun archivio, aperto o chiuso, potrà mai fondare.</w:t>
      </w:r>
    </w:p>
    <w:p>
      <w:pPr>
        <w:spacing w:after="120" w:line="276"/>
        <w:jc w:val="both"/>
      </w:pPr>
      <w:r>
        <w:rPr>
          <w:rFonts w:ascii="Barlow Semi Condensed" w:cs="Barlow Semi Condensed" w:eastAsia="Barlow Semi Condensed" w:hAnsi="Barlow Semi Condensed"/>
          <w:sz w:val="24"/>
          <w:szCs w:val="24"/>
        </w:rPr>
        <w:t xml:space="preserve">Il settimo pilastro fissa il perimetro della trasmissione italiana, i rapporti Impedian. La quota del compendio trasmessa all'Italia consiste nei 261 rapporti della serie Impedian, il sottoinsieme che il servizio britannico destinò alla controparte italiana e che costituì la base documentale della Commissione; il registro certifica al Livello A la consistenza e la natura derivata della trasmissione, quale dato degli atti, e ne trae la precisazione metodologica che il perimetro impone: la conoscenza italiana del compendio è una conoscenza doppiamente mediata, dall'esfiltrazione selettiva dell'archivista prima e dalla selezione del servizio trasmittente poi, e ogni impiego dei rapporti incorpora le 2 selezioni non verificabili che ne hanno determinato il contenuto; il registro applica al caso la disciplina dell'autocertificazione formalizzata per le liste della rete stay-behind, l'elenco che documenta ciò che contiene e nulla certifica su ciò che esclude, e chiude il pilastro con la qualificazione terminale della fonte: il compendio è, per l'opera, un giacimento di piste di Livello B da riscontrare caso per caso, mai un archivio probante, e il caso Conforto resta la dimostrazione del rendimento possibile, la pista del compendio che un fatto materiale italiano, il sequestro dell'arma, ha trasformato in nodo certificato ai livelli propri.</w:t>
      </w:r>
    </w:p>
    <w:p>
      <w:pPr>
        <w:spacing w:after="120" w:line="276"/>
        <w:jc w:val="both"/>
      </w:pPr>
      <w:r>
        <w:rPr>
          <w:rFonts w:ascii="Barlow Semi Condensed" w:cs="Barlow Semi Condensed" w:eastAsia="Barlow Semi Condensed" w:hAnsi="Barlow Semi Condensed"/>
          <w:sz w:val="24"/>
          <w:szCs w:val="24"/>
        </w:rPr>
        <w:t xml:space="preserve">Le triangolazioni del nodo sono 3. La prima, Mitrokhin-Impedian-disciplina della fonte, fissa lo statuto probatorio del compendio con il caso Conforto quale applicazione esemplare. La seconda, attentato del 1981-processo del mandato-assoluzione del 1986, certifica la replica internazionale della struttura dei piani, con l'esito riportato per esteso. La terza, canale finanziario-archivi post-1991-simmetria delle interferenze, consegna alla verifica il fatto di base del versante orientale.</w:t>
      </w:r>
    </w:p>
    <w:p>
      <w:pPr>
        <w:spacing w:after="120" w:line="276"/>
        <w:jc w:val="both"/>
      </w:pPr>
      <w:r>
        <w:rPr>
          <w:rFonts w:ascii="Barlow Semi Condensed" w:cs="Barlow Semi Condensed" w:eastAsia="Barlow Semi Condensed" w:hAnsi="Barlow Semi Condensed"/>
          <w:sz w:val="24"/>
          <w:szCs w:val="24"/>
        </w:rPr>
        <w:t xml:space="preserve">Alle aperture parziali del campo il registro deve i loro istituti, perché la conoscibilità del versante ha assunto, dopo il 1989, forme ordinamentali precise che la legge del capitolo nono avrebbe poi classificato: la Germania riunificata creò nel 1991 l'autorità federale per le carte del servizio di sicurezza della disciolta Repubblica democratica, il modello dell'accesso amministrato agli archivi della Stasi che ha reso quel fondo il più consultato archivio di polizia segreta della storia; l'ordinamento ceco e slovacco affidò le carte dello StB agli istituti della memoria nel quadro delle leggi di lustrazione; la Romania istituì nel 1999 il consiglio nazionale per lo studio degli archivi della Securitate, con accesso regolato ai fascicoli personali, Livello A quanto agli istituti ed alle loro date. Il registro giustappone al censimento l'eccezione che lo definisce: l'archivio centrale del servizio sovietico, il fondo maggiore del campo, non conobbe alcun istituto equivalente, e la sua conoscibilità resta affidata alle esfiltrazioni individuali, delle quali il compendio Mitrokhin censito è l'esemplare massimo, sicché il versante orientale si presenta all'analista come un arcipelago di satelliti illuminati attorno a un centro rimasto buio, e questa geometria rovesciata, la periferia leggibile ed il centro opaco, è la forma specifica che l'asimmetria della prova assume ad Est, con la conseguenza metodologica che la fase ha già tratto: sul campo orientale, ogni affermazione sul centro è, per statuto archivistico, più debole di ogni affermazione sui satelliti.</w:t>
      </w:r>
    </w:p>
    <w:p>
      <w:pPr>
        <w:spacing w:after="120" w:line="276"/>
        <w:jc w:val="both"/>
      </w:pPr>
      <w:r>
        <w:rPr>
          <w:rFonts w:ascii="Barlow Semi Condensed" w:cs="Barlow Semi Condensed" w:eastAsia="Barlow Semi Condensed" w:hAnsi="Barlow Semi Condensed"/>
          <w:sz w:val="24"/>
          <w:szCs w:val="24"/>
        </w:rPr>
        <w:t xml:space="preserve">Al versante bulgaro del campo appartiene infine lo snodo commerciale che gli atti parlamentari italiani censirono quale infrastruttura dei traffici: la società di Stato Kintex, l'ente di commercio estero di Sofia che le Commissioni d'inchiesta della Repubblica, sulla scorta di acquisizioni investigative e di convergenze internazionali, indicarono quale terminale organizzato di flussi di armi e di stupefacenti lungo le rotte balcanico-adriatiche verso l'Italia, in un intreccio tra commercio ufficiale e canali clandestini che la letteratura parlamentare del decennio documentò senza che ne seguisse mai un giudicato penale italiano organico sull'ente, Livello B quanto alle acquisizioni ed alle indicazioni delle sedi parlamentari, in assenza di certificazione giudiziaria di sistema. Il registro colloca il reperto nel suo perimetro esatto: la Kintex appartiene alla categoria degli snodi indicati e mai giudicati, e la sua funzione nel nodo è documentale prima che accusatoria, dimostrare che il campo orientale disponeva, accanto ai canali politici e informativi censiti dai pilastri, di un'infrastruttura commerciale di Stato idonea ai traffici paralleli, secondo il modello, speculare a quello occidentale delle società di comodo censite nel teatro australe, per cui ogni campo affida ai propri enti opachi ciò che la propria diplomazia non può firmare. La simmetria delle infrastrutture, l'ente di Stato ad Est e la società di comodo ad Ovest, è l'ultima delle specularità che il capitolo consegna alla verifica finale.</w:t>
      </w:r>
    </w:p>
    <w:p>
      <w:pPr>
        <w:spacing w:after="120" w:line="276"/>
        <w:jc w:val="both"/>
      </w:pPr>
      <w:r>
        <w:rPr>
          <w:rFonts w:ascii="Barlow Semi Condensed" w:cs="Barlow Semi Condensed" w:eastAsia="Barlow Semi Condensed" w:hAnsi="Barlow Semi Condensed"/>
          <w:sz w:val="24"/>
          <w:szCs w:val="24"/>
        </w:rPr>
        <w:t xml:space="preserve">Il compendio orientale impone infine la verifica sul quesito italiano per eccellenza, ed il registro la censisce quale Stato Zero maggiore della fase: la ricerca sistematica, condotta per decenni da istruttorie e commissioni sulla scorta delle carte transitate ad Occidente, di una direzione o di un finanziamento orientale organico del terrorismo brigatista, non ha prodotto la certificazione attesa, ed il materiale documentale disponibile, incluso il compendio censito, restituisce sul punto tracce frammentarie di contatti, transiti e attenzioni informative, ma non la catena di comando che la vulgata di ciascuna stagione ha ripetutamente annunciato, Livello A quanto all'esito delle ricerche documentali e parlamentari, Livello C quanto ad ogni ricostruzione di direzione esterna, mai consolidata. Il registro applica al risultato la propria dottrina dello Stato Zero: l'assenza sistematicamente cercata e non trovata è un dato di prima classe, e nel caso di specie essa delimita il perimetro che i giudicati italiani hanno sempre confermato, quello di un terrorismo autoctono nelle decisioni e nelle strutture, comunque collocato in un ecosistema internazionale che gli forniva sponde logistiche e santuari censiti altrove in questa fase; la disciplina impone di consegnare entrambe le metà del dato, contro le 2 vulgate speculari che il corpus ha attraversato, quella che voleva ogni bomba italiana comandata da una centrale straniera e quella che negava ogni dimensione internazionale, ed il registro le respinge entrambe con lo stesso strumento, la distinzione tra ambiente e mandato, che regge l'intera opera: l'ambiente internazionale del terrorismo italiano è documentato, il mandato internazionale non lo è, e chi confonde i 2 piani non sta leggendo gli atti, li sta riscrivendo.</w:t>
      </w:r>
    </w:p>
    <w:p>
      <w:pPr>
        <w:spacing w:after="120" w:line="276"/>
        <w:jc w:val="both"/>
      </w:pPr>
      <w:r>
        <w:rPr>
          <w:rFonts w:ascii="Barlow Semi Condensed" w:cs="Barlow Semi Condensed" w:eastAsia="Barlow Semi Condensed" w:hAnsi="Barlow Semi Condensed"/>
          <w:sz w:val="24"/>
          <w:szCs w:val="24"/>
        </w:rPr>
        <w:t xml:space="preserve">Al repertorio operativo del campo orientale il registro aggiunge il caso che ne certificò il metodo davanti all'opinione mondiale: l'assassinio a Londra, nel settembre 1978, del dissidente bulgaro Georgi Markov, colpito su un ponte da un minuscolo proiettile ad agente tossico inoculato con un congegno dissimulato, morto in 4 giorni, caso mai giunto a condanne ma attribuito dalle acquisizioni successive alla collaborazione tra il servizio bulgaro e le strutture tecniche sovietiche, Livello A quanto al fatto ed alle modalità accertate, Livello B quanto all'attribuzione risultante dalle acquisizioni post-1989 mai processate. Il registro censisce l'ombrello di Londra per la sua funzione contestuale: il caso dimostrò, nel medesimo autunno del 1978 che questo capitolo attraversa, che l'apparato bulgaro disponeva della volontà e della tecnica per l'omicidio politico extraterritoriale di precisione, e questa capacità certificata è l'esatto contesto nel quale, 3 anni dopo, il mondo avrebbe soppesato l'accusa di Roma censita nel capitolo, con la disciplina che il registro ribadisce: la capacità dimostrata a Londra rendeva l'ipotesi romana plausibile, non provata, e la distanza tra questi 2 aggettivi è precisamente ciò che le assoluzioni italiane per insufficienza hanno misurato.</w:t>
      </w:r>
    </w:p>
    <w:p>
      <w:pPr>
        <w:spacing w:after="120" w:line="276"/>
        <w:jc w:val="both"/>
      </w:pPr>
      <w:r>
        <w:rPr>
          <w:rFonts w:ascii="Barlow Semi Condensed" w:cs="Barlow Semi Condensed" w:eastAsia="Barlow Semi Condensed" w:hAnsi="Barlow Semi Condensed"/>
          <w:sz w:val="24"/>
          <w:szCs w:val="24"/>
        </w:rPr>
        <w:t xml:space="preserve">La genealogia dei servizi del campo occidentale contiene il precedente fondativo che il registro censisce quale matrice del riciclo istituzionale: l'Organizzazione Gehlen, la struttura informativa costituita nel 1946 sotto egida americana attorno al generale Reinhard Gehlen, già capo del servizio dell'esercito tedesco per il fronte orientale, transitata nel 1956, con il medesimo vertice e con quadri in parte reclutati tra gli ex appartenenti agli apparati del regime sconfitto, nel servizio federale di intelligence della nuova Germania, che Gehlen diresse sino al 1968, con la componente di ex membri delle strutture di sicurezza naziste che la commissione storica indipendente istituita dallo stesso servizio ha documentato nei propri studi, Livello A quanto alla parabola istituzionale ed alle acquisizioni della storiografia ufficiale tedesca. Il registro consegna il precedente alla sua funzione di chiave per l'intera fase: la conversione dell'apparato informativo del Reich in apparato informativo dell'alleanza, decisa a guerra appena finita in nome della continuità delle conoscenze sull'Est, è il prototipo documentato della logica che il corpus ritrova in ogni suo teatro, il primato del nemico prossimo venturo sulla giustizia per il nemico appena sconfitto, e la circostanza che questa conversione sia oggi certificata dalla storiografia commissionata dal servizio medesimo dimostra, sul piano del metodo, che anche il più compromettente dei segreti fondativi può essere metabolizzato da un'istituzione democratica, a condizione, che il registro annota per il bilancio finale, di una sola cosa: che passino abbastanza decenni perché nessuno dei nomi negli archivi sia più vivo per rispondere.</w:t>
      </w:r>
    </w:p>
    <w:p>
      <w:pPr>
        <w:spacing w:after="120" w:line="276"/>
        <w:jc w:val="both"/>
      </w:pPr>
      <w:r>
        <w:rPr>
          <w:rFonts w:ascii="Barlow Semi Condensed" w:cs="Barlow Semi Condensed" w:eastAsia="Barlow Semi Condensed" w:hAnsi="Barlow Semi Condensed"/>
          <w:sz w:val="24"/>
          <w:szCs w:val="24"/>
        </w:rPr>
        <w:t xml:space="preserve">Il capitolo degli archivi orientali si completa con il caso più romanzesco della loro trasmigrazione, che il registro censisce quale paradigma della guerra postuma per le carte: lo schedario operativo del servizio estero della Germania orientale, sottratto nella forma di microfilm nel naufragio del 1990 e finito oltreoceano, fu restituito alla Germania riunificata solo nel 2003, dopo un decennio di negoziati, nel corpus documentale noto quale dossier Rosenholz, consentendo l'identificazione retrospettiva di reti di collaboratori attive per decenni nell'Europa occidentale, con le ricadute nazionali gestite da ciascun Paese secondo le proprie procedure, Livello A quanto alla vicenda del fondo ed alla sua restituzione. Il registro consegna il caso alla sua funzione di chiusura per il capitolo: la parabola del dossier, un archivio di spionaggio conteso per 13 anni tra 2 alleati come bottino di guerra fredda postuma, dimostra che le carte censite in questo capitolo non furono mai semplici fonti ma poste strategiche esse stesse, possedute, negoziate e restituite secondo convenienze di Stato, e la conseguenza per il metodo dell'opera è quella che l'intera fase ha costruito: ogni archivio del corpus è arrivato allo storico attraverso una catena di custodie interessate, e la prima domanda del metodo davanti ad ogni carta non è mai che cosa dice, ma per quali mani è passata e perché proprio ora è leggibile.</w:t>
      </w:r>
    </w:p>
    <w:p>
      <w:pPr>
        <w:spacing w:after="120" w:line="276"/>
        <w:jc w:val="both"/>
      </w:pPr>
      <w:r>
        <w:rPr>
          <w:rFonts w:ascii="Barlow Semi Condensed" w:cs="Barlow Semi Condensed" w:eastAsia="Barlow Semi Condensed" w:hAnsi="Barlow Semi Condensed"/>
          <w:sz w:val="24"/>
          <w:szCs w:val="24"/>
        </w:rPr>
        <w:t xml:space="preserve">La contabilità dei flussi orientali esige infine la sua voce maggiore, che il registro censisce in simmetria documentale con il capitolo americano della fase: gli archivi del partito sovietico, aperti dopo il 1991, hanno documentato i finanziamenti pluridecennali erogati da Mosca ai partiti comunisti occidentali attraverso i canali riservati del comitato centrale, con il partito italiano tra i principali destinatari europei dei trasferimenti, protrattisi dalla ricostruzione postbellica sino alla soglia degli anni Ottanta, quali risultano dalle carte moscovite acquisite e pubblicate e dalle ricognizioni storiografiche e parlamentari che ne sono seguite, Livello A quanto ai flussi documentati dagli archivi del finanziatore. Il registro colloca il reperto nella propria architettura con la disciplina della doppia entrata: censiti nel capitolo atlantico i finanziamenti americani ai partiti ed agli uomini del campo occidentale italiano, la simmetria documentale impone la registrazione del flusso speculare, e la loro lettura congiunta consegna alla verifica finale il dato strutturale che nessuna delle 2 vulgate contrapposte ha mai voluto pronunciare per intero: per l'arco maggiore del corpus, i 2 principali partiti italiani ricevettero sostegno finanziario riservato dalle 2 superpotenze contrapposte, sicché la sovranità del sistema politico censito dall'opera era limitata non da una dipendenza ma da 2, e la competizione democratica italiana della guerra fredda fu, anche sul piano contabile documentato, un teatro nel quale entrambi i campi esterni pagavano il proprio attore, con la conseguenza di metodo che il registro affida al bilancio: chi racconta una sola delle 2 dipendenze non sta descrivendo il sistema, ne sta arbitrando la memoria.</w:t>
      </w:r>
    </w:p>
    <w:p>
      <w:pPr>
        <w:spacing w:after="120" w:line="276"/>
        <w:jc w:val="both"/>
      </w:pPr>
      <w:r>
        <w:rPr>
          <w:rFonts w:ascii="Barlow Semi Condensed" w:cs="Barlow Semi Condensed" w:eastAsia="Barlow Semi Condensed" w:hAnsi="Barlow Semi Condensed"/>
          <w:b/>
          <w:bCs/>
          <w:sz w:val="24"/>
          <w:szCs w:val="24"/>
        </w:rPr>
        <w:t xml:space="preserve">Sintesi del dato nuovo acquisito:</w:t>
      </w:r>
      <w:r>
        <w:rPr>
          <w:rFonts w:ascii="Barlow Semi Condensed" w:cs="Barlow Semi Condensed" w:eastAsia="Barlow Semi Condensed" w:hAnsi="Barlow Semi Condensed"/>
          <w:sz w:val="24"/>
          <w:szCs w:val="24"/>
        </w:rPr>
        <w:t xml:space="preserve"> il versante orientale è certificato nella misura che gli archivi trasferiti consentono, con la disciplina della fonte Mitrokhin al Livello B per le schedature, l'attentato al pontefice censito con esecutore giudicato e mandato assolto per insufficienza di prove nel 1986, e il canale finanziario storico al Livello A quale interferenza ordinaria documentata, simmetrica al versante occidentale nella struttura che la verifica finale erediterà.</w:t>
      </w:r>
    </w:p>
    <w:p>
      <w:pPr>
        <w:pStyle w:val="Heading3"/>
        <w:spacing w:after="80" w:before="160"/>
      </w:pPr>
      <w:r>
        <w:rPr>
          <w:rFonts w:ascii="Barlow Semi Condensed" w:cs="Barlow Semi Condensed" w:eastAsia="Barlow Semi Condensed" w:hAnsi="Barlow Semi Condensed"/>
          <w:sz w:val="24"/>
          <w:szCs w:val="24"/>
        </w:rPr>
        <w:t xml:space="preserve">Capitolo 7 — L'Atlantico: i canali occidentali, la parabola di Sindona e il ponte piduista</w:t>
      </w:r>
    </w:p>
    <w:p>
      <w:pPr>
        <w:spacing w:after="120" w:line="276"/>
        <w:jc w:val="both"/>
      </w:pPr>
      <w:r>
        <w:rPr>
          <w:rFonts w:ascii="Barlow Semi Condensed" w:cs="Barlow Semi Condensed" w:eastAsia="Barlow Semi Condensed" w:hAnsi="Barlow Semi Condensed"/>
          <w:sz w:val="24"/>
          <w:szCs w:val="24"/>
        </w:rPr>
        <w:t xml:space="preserve">Il settimo nodo è il campo occidentale, il versante del grafo la cui documentazione, per l'asimmetria dichiarata, è la più antica e la più stratificata, dalle desecretazioni americane della prima guerra fredda agli atti delle Commissioni italiane. Il registro ne censisce i 3 canali documentati verso il sistema italiano.</w:t>
      </w:r>
    </w:p>
    <w:p>
      <w:pPr>
        <w:spacing w:after="120" w:line="276"/>
        <w:jc w:val="both"/>
      </w:pPr>
      <w:r>
        <w:rPr>
          <w:rFonts w:ascii="Barlow Semi Condensed" w:cs="Barlow Semi Condensed" w:eastAsia="Barlow Semi Condensed" w:hAnsi="Barlow Semi Condensed"/>
          <w:sz w:val="24"/>
          <w:szCs w:val="24"/>
        </w:rPr>
        <w:t xml:space="preserve">Il primo pilastro censisce il canale politico-finanziario della fondazione. La documentazione desecretata americana, dalle direttive del Consiglio per la sicurezza nazionale del 1948 alle carte operative del periodo, certifica l'esistenza del sostegno finanziario e organizzativo degli Stati Uniti ai partiti anticomunisti italiani nella stagione fondativa della Repubblica, il canale della prima guerra fredda che gli studi d'archivio hanno ricostruito nelle sue forme, dai finanziamenti elettorali alle operazioni di influenza; il registro certifica al Livello A l'esistenza storica del canale, quale dato archivistico consolidato, e ne fissa la simmetria strutturale con il canale orientale del capitolo precedente: i 2 campi finanziarono per decenni i rispettivi versanti del sistema politico italiano, e la coppia dei canali, entrambi al Livello A per esistenza, costituisce il fatto di base bilaterale che la verifica finale erediterà quale interferenza ordinaria documentata dei 2 imperi sul medesimo Paese di frontiera.</w:t>
      </w:r>
    </w:p>
    <w:p>
      <w:pPr>
        <w:spacing w:after="120" w:line="276"/>
        <w:jc w:val="both"/>
      </w:pPr>
      <w:r>
        <w:rPr>
          <w:rFonts w:ascii="Barlow Semi Condensed" w:cs="Barlow Semi Condensed" w:eastAsia="Barlow Semi Condensed" w:hAnsi="Barlow Semi Condensed"/>
          <w:sz w:val="24"/>
          <w:szCs w:val="24"/>
        </w:rPr>
        <w:t xml:space="preserve">Il secondo pilastro censisce la parabola atlantica di Michele Sindona, il ponte finanziario tra i domini che la Fase 2 ha certificato sul versante italiano e che la fase completa sul versante americano. Il banchiere siciliano costruì negli Stati Uniti l'apice della propria rete con l'acquisizione della Franklin National Bank, il cui crollo nell'ottobre 1974 costituì all'epoca il maggiore fallimento bancario della storia americana; condannato negli Stati Uniti nel 1980 a 25 anni per la bancarotta, fu estradato in Italia nel settembre 1984, condannato all'ergastolo il 18 marzo 1986 quale mandante dell'omicidio dell'avvocato Giorgio Ambrosoli, il liquidatore ucciso a Milano l'11 luglio 1979 che la Fase 4 ha censito nella serie romana, e morì 4 giorni dopo la condanna, il 22 marzo 1986, nel carcere di Voghera, per il caffè avvelenato al cianuro, in circostanze giudizialmente definite ma perennemente discusse tra suicidio e omicidio; il registro certifica al Livello A l'intera parabola, il crollo, le condanne, l'estradizione, l'ergastolo e la morte, quali dati giudiziari, e ne dichiara la funzione reticolare: Sindona è il nodo individuale che congiunge, con archi tutti certificati, il Dominio 6 dei 2 continenti, il Dominio 1 dei capitali riciclati, il Dominio 4 della loggia cui apparteneva, il Dominio 5 delle relazioni vaticane e il Dominio 2 delle protezioni politiche, la figura che la lettura conclusiva misura tra le massime intermediazioni individuali del grafo intero.</w:t>
      </w:r>
    </w:p>
    <w:p>
      <w:pPr>
        <w:spacing w:after="120" w:line="276"/>
        <w:jc w:val="both"/>
      </w:pPr>
      <w:r>
        <w:rPr>
          <w:rFonts w:ascii="Barlow Semi Condensed" w:cs="Barlow Semi Condensed" w:eastAsia="Barlow Semi Condensed" w:hAnsi="Barlow Semi Condensed"/>
          <w:sz w:val="24"/>
          <w:szCs w:val="24"/>
        </w:rPr>
        <w:t xml:space="preserve">Il terzo pilastro censisce il ponte piduista e i fatti atlantici della Fase 4. La loggia coperta operò quale struttura a proiezione atlantica documentata, con le presenze americane e latinoamericane negli elenchi, le relazioni transnazionali certificate dalla Commissione Anselmi e la funzione di cerniera tra gli ambienti dei 2 continenti che gli atti descrivono; al medesimo versante appartengono i fatti che la Fase 4 ha elevato, la dichiarazione del Dipartimento di Stato del 12 gennaio 1978 sull'indesiderabilità della partecipazione comunista ai governi occidentali, certificata al Livello A quale contrarietà pubblica, e la consulenza americana presso il comitato di crisi dei 55 giorni, certificata nei fatti al Livello A; il registro ricompone il versante nella formalizzazione che la verifica erediterà: il campo occidentale è documentato nel canale fondativo, nella contrarietà pubblica al progetto di allargamento democratico e nelle presenze consultive dentro la crisi capitale, 3 specie di fatti tutti certificati ai livelli dichiarati, e resta non documentato in ogni traduzione operativa straordinaria, la configurazione identica, per struttura, a quella del campo opposto, che il registro consegna alla verifica quale simmetria terminale delle evidenze.</w:t>
      </w:r>
    </w:p>
    <w:p>
      <w:pPr>
        <w:spacing w:after="120" w:line="276"/>
        <w:jc w:val="both"/>
      </w:pPr>
      <w:r>
        <w:rPr>
          <w:rFonts w:ascii="Barlow Semi Condensed" w:cs="Barlow Semi Condensed" w:eastAsia="Barlow Semi Condensed" w:hAnsi="Barlow Semi Condensed"/>
          <w:sz w:val="24"/>
          <w:szCs w:val="24"/>
        </w:rPr>
        <w:t xml:space="preserve">Il quarto pilastro censisce la proiezione americana della loggia. Gli atti della Commissione Anselmi e le acquisizioni convergenti documentano i rapporti del Venerabile con ambienti politici e d'affari statunitensi, le presenze d'oltreoceano nell'orbita della loggia e la funzione di cerniera tra gli ambienti conservatori dei 2 continenti che la documentazione descrive per la stagione a cavallo del 1980, ivi compresa la presenza di Gelli a cerimonie pubbliche americane della stagione documentata dalle cronache; il registro certifica al Livello A l'esistenza dei rapporti documentati dagli atti parlamentari, mantiene al Livello B le ricostruzioni delle loro funzioni, e ne trae il dato reticolare: la loggia operò quale struttura a doppio ancoraggio, italiana nella composizione e atlantica nelle relazioni, e la sua massima intermediazione, misurata dalla lettura conclusiva, incorpora questa doppiezza certificata, il ponte che non congiungeva soltanto i domini italiani tra loro ma il sistema italiano con gli ambienti del campo maggiore.</w:t>
      </w:r>
    </w:p>
    <w:p>
      <w:pPr>
        <w:spacing w:after="120" w:line="276"/>
        <w:jc w:val="both"/>
      </w:pPr>
      <w:r>
        <w:rPr>
          <w:rFonts w:ascii="Barlow Semi Condensed" w:cs="Barlow Semi Condensed" w:eastAsia="Barlow Semi Condensed" w:hAnsi="Barlow Semi Condensed"/>
          <w:sz w:val="24"/>
          <w:szCs w:val="24"/>
        </w:rPr>
        <w:t xml:space="preserve">Il quinto pilastro censisce la fonte americana quale via di apertura, la stagione delle inchieste congressuali. Negli anni 1975-1976 le commissioni d'inchiesta del Congresso degli Stati Uniti sulla comunità di intelligence, la stagione nota dal nome del senatore Church, portarono alla luce e agli atti pubblici il perimetro delle operazioni coperte americane, ivi comprese le operazioni di finanziamento e influenza condotte in Italia nei decenni precedenti, consegnando alla conoscenza pubblica, per via di inchiesta parlamentare del Paese operante, ciò che nessuna fonte italiana avrebbe potuto certificare; il registro certifica al Livello A la stagione, gli atti e il loro contenuto italiano, quali dati documentali, e ne trae la duplice annotazione: sul piano del metodo, la stagione congressuale è il caso maggiore della quarta via della tassonomia archivistica, l'apertura per scandalo e inchiesta, applicata al cuore dell'impero e non alla sua periferia, e dimostra che la legge del capitolo nono governa anche il campo dominante; sul piano del merito, essa costituisce la fonte primaria non italiana del canale fondativo certificato nel primo pilastro, sicché la conoscenza italiana del proprio condizionamento fondativo è, in misura rilevante, un prodotto derivato dell'autocritica istituzionale americana degli anni Settanta, l'asimmetria delle fonti che il registro dichiara quale condizione del versante.</w:t>
      </w:r>
    </w:p>
    <w:p>
      <w:pPr>
        <w:spacing w:after="120" w:line="276"/>
        <w:jc w:val="both"/>
      </w:pPr>
      <w:r>
        <w:rPr>
          <w:rFonts w:ascii="Barlow Semi Condensed" w:cs="Barlow Semi Condensed" w:eastAsia="Barlow Semi Condensed" w:hAnsi="Barlow Semi Condensed"/>
          <w:sz w:val="24"/>
          <w:szCs w:val="24"/>
        </w:rPr>
        <w:t xml:space="preserve">Il sesto pilastro recepisce il versante vaticano-atlantico, il triangolo finanziario della Fase 2 nel suo esito ordinamentale. Il crollo del Banco Ambrosiano del 1982, con la morte londinese di Roberto Calvi censita dalla Fase 2 e la posizione dell'Istituto per le Opere di Religione quale azionista e controparte documentata, produsse sul piano giudiziario italiano il tentativo di perseguire i vertici dell'Istituto, chiuso dalla pronuncia che riconobbe l'immunità derivante dallo statuto internazionale dell'ente centrale vaticano, con l'annullamento nel 1987 dei provvedimenti restrittivi richiesti; il registro certifica al Livello A il crollo, la posizione documentata dell'Istituto e l'esito di immunità, quali dati giudiziari e ordinamentali, e ne trae la formalizzazione che il versante consegna alla mappa: il Dominio 5 è l'unico dominio del sistema il cui vertice finanziario risultò, per statuto internazionale, integralmente sottratto alla giurisdizione italiana, e il triangolo Ambrosiano-Istituto-immunità è il caso puro della frattura giurisdizionale interna al territorio, la stessa variabile che il capitolo secondo ha certificato per i rifugi esteri qui operante nel cuore di Roma; il registro trascrive la simmetria tra il santuario estero e l'enclave interna quale dato strutturale della coppia religione-economia, la coppia che la Nota metodologica collocava tra le più dense e che il corpus ha confermato tale, con l'aggravante certificata dell'inaccertabilità perpetua del suo vertice.</w:t>
      </w:r>
    </w:p>
    <w:p>
      <w:pPr>
        <w:spacing w:after="120" w:line="276"/>
        <w:jc w:val="both"/>
      </w:pPr>
      <w:r>
        <w:rPr>
          <w:rFonts w:ascii="Barlow Semi Condensed" w:cs="Barlow Semi Condensed" w:eastAsia="Barlow Semi Condensed" w:hAnsi="Barlow Semi Condensed"/>
          <w:sz w:val="24"/>
          <w:szCs w:val="24"/>
        </w:rPr>
        <w:t xml:space="preserve">Il settimo pilastro censisce l'infrastruttura permanente del vincolo, il sistema delle basi. La presenza militare americana e atlantica sul territorio italiano, con le installazioni maggiori che la Nota metodologica elenca, Aviano, Sigonella, Vicenza, Napoli, e la rete dei siti minori, costituisce l'infrastruttura fisica del rapporto di campo, stabilita dagli accordi bilaterali della fondazione e attraversata indenne da ogni stagione politica della Repubblica; il registro certifica al Livello A l'esistenza, la consistenza e la continuità del sistema, quali dati pubblici, e ne dichiara la funzione nel versante: le basi sono il fatto strutturale che distingue l'interferenza occidentale da quella orientale nella loro stessa natura, il campo maggiore essendo presente sul territorio quale infrastruttura permanente e non quale influenza esterna, e la notte di Sigonella, censita nel capitolo quinto, fu precisamente il momento in cui questa presenza infrastrutturale e la sovranità territoriale entrarono in attrito fisico documentato, i 2 apparati armati fronteggiandosi sul medesimo sedime; il registro consegna il dato alla verifica quale correttivo strutturale della simmetria bilaterale certificata: i 2 campi furono simmetrici nei canali di interferenza ordinaria e radicalmente asimmetrici nella presenza fisica, e ogni lettura del condizionamento del sistema italiano incorpora questa asimmetria di base, che non prova alcuna condotta e definisce, quale condizione permanente certificata, il differenziale di prossimità dei 2 imperi al territorio conteso.</w:t>
      </w:r>
    </w:p>
    <w:p>
      <w:pPr>
        <w:spacing w:after="120" w:line="276"/>
        <w:jc w:val="both"/>
      </w:pPr>
      <w:r>
        <w:rPr>
          <w:rFonts w:ascii="Barlow Semi Condensed" w:cs="Barlow Semi Condensed" w:eastAsia="Barlow Semi Condensed" w:hAnsi="Barlow Semi Condensed"/>
          <w:sz w:val="24"/>
          <w:szCs w:val="24"/>
        </w:rPr>
        <w:t xml:space="preserve">Le triangolazioni del nodo sono 3. La prima, canale del 1948-sistema politico-simmetria bilaterale, certifica il fatto di base occidentale e la sua specularità orientale. La seconda, Sindona-Franklin-ergastolo del 1986, certifica la parabola del massimo ponte finanziario individuale del grafo. La terza, loggia-dichiarazione del 1978-consulenza nella crisi, ricompone i fatti atlantici certificati della Fase 4 nel versante che la verifica erediterà.</w:t>
      </w:r>
    </w:p>
    <w:p>
      <w:pPr>
        <w:spacing w:after="120" w:line="276"/>
        <w:jc w:val="both"/>
      </w:pPr>
      <w:r>
        <w:rPr>
          <w:rFonts w:ascii="Barlow Semi Condensed" w:cs="Barlow Semi Condensed" w:eastAsia="Barlow Semi Condensed" w:hAnsi="Barlow Semi Condensed"/>
          <w:sz w:val="24"/>
          <w:szCs w:val="24"/>
        </w:rPr>
        <w:t xml:space="preserve">Alla stagione congressuale il registro deve i nomi propri che la resero possibile: furono la commissione del Senato presieduta da Frank Church e la commissione della Camera presieduta da Otis Pike, operanti tra il 1975 ed il 1976, a sottoporre per la prima volta gli apparati americani a un'inchiesta parlamentare sistematica sulle operazioni estere, con audizioni, rapporti e desecretazioni che investirono anche il capitolo dei finanziamenti politici in Europa, e fu la circolazione, anche irrituale, dei materiali di quella stagione a immettere nel dibattito pubblico italiano, alla metà degli anni Settanta, le prime quantificazioni documentate del canale fondativo che il primo pilastro certifica, Livello A quanto alle commissioni, ai loro atti ed alla loro ricaduta documentale. Il registro assegna alla stagione il suo posto nella legge delle aperture: le inchieste del 1975-1976 sono l'esemplare capitale della via del contraccolpo interno, l'apertura prodotta non dal collasso del sistema ma dalla sua crisi di legittimazione domestica, e la circostanza che la prima luce sul versante occidentale del caso italiano sia stata accesa a Washington, da organi americani per ragioni americane, conferma sul campo opposto il teorema già certificato ad Est: nessun apparato illumina sé stesso per virtù propria, e la conoscenza dei 2 campi è figlia, in forme diverse, delle loro rispettive crisi.</w:t>
      </w:r>
    </w:p>
    <w:p>
      <w:pPr>
        <w:spacing w:after="120" w:line="276"/>
        <w:jc w:val="both"/>
      </w:pPr>
      <w:r>
        <w:rPr>
          <w:rFonts w:ascii="Barlow Semi Condensed" w:cs="Barlow Semi Condensed" w:eastAsia="Barlow Semi Condensed" w:hAnsi="Barlow Semi Condensed"/>
          <w:sz w:val="24"/>
          <w:szCs w:val="24"/>
        </w:rPr>
        <w:t xml:space="preserve">Al sistema delle basi il registro aggiunge l'esemplare che ne rivela il metodo costitutivo: l'installazione navale americana di Santo Stefano, nell'arcipelago della Maddalena, che dal 1972 ospitò la nave appoggio ed i sommergibili a propulsione nucleare della flotta atlantica sulla base di intese bilaterali riservate, perfezionate in via amministrativa senza passaggio parlamentare di autorizzazione, e rimaste operative per 36 anni sino alla dismissione del 2008, Livello A quanto all'installazione, al suo regime ed alla sua durata. Il valore del caso non sta nella base ma nella procedura: la decisione di ospitare stabilmente in acque italiane il naviglio nucleare dell'alleato fu assunta e mantenuta interamente sotto la soglia della deliberazione parlamentare, secondo il modello delle intese tecniche derivate dai trattati-quadro che il pilastro certifica per l'intero sistema, e la sua emersione nel dibattito pubblico avvenne per gradi, a installazione avvenuta, con la geografia del vincolo già consolidata in fatto. Il registro ne trae il teorema infrastrutturale del versante occidentale, speculare a quello archivistico: come la conoscenza del sistema è postuma alle sue crisi, così la deliberazione democratica sul sistema è postuma alle sue installazioni, e la mappa delle basi, da Sigonella alla Maddalena, è la forma fisica di un consenso che fu sempre ratificante e mai costituente, il vincolo di campo fatto cemento prima che dibattito.</w:t>
      </w:r>
    </w:p>
    <w:p>
      <w:pPr>
        <w:spacing w:after="120" w:line="276"/>
        <w:jc w:val="both"/>
      </w:pPr>
      <w:r>
        <w:rPr>
          <w:rFonts w:ascii="Barlow Semi Condensed" w:cs="Barlow Semi Condensed" w:eastAsia="Barlow Semi Condensed" w:hAnsi="Barlow Semi Condensed"/>
          <w:sz w:val="24"/>
          <w:szCs w:val="24"/>
        </w:rPr>
        <w:t xml:space="preserve">Il sistema atlantico ebbe infine il suo apice missilistico siciliano, che il registro censisce quale capitolo maggiore del vincolo infrastrutturale: in attuazione della doppia decisione NATO del 12 dicembre 1979, l'Italia accettò l'installazione dei missili da crociera a testata nucleare presso l'aeroporto di Comiso, che negli anni Ottanta divenne la maggiore base di euromissili del fianco Sud, al centro di mobilitazioni pacifiste di massa e di un dibattito parlamentare che, a differenza dei casi censiti in precedenza, vi fu, con la deliberazione politica esplicita dell'autunno 1979, sino allo smantellamento seguito al trattato INF del dicembre 1987, che eliminò l'intera categoria di vettori e riconsegnò la base entro l'inizio degli anni Novanta, Livello A sull'intera parabola. Il registro colloca Comiso nella tipologia della fase quale caso di controllo: qui la procedura democratica funzionò, il Parlamento deliberò prima dell'installazione e la geografia del vincolo seguì la decisione politica anziché precederla, sicché il confronto interno al medesimo capitolo, La Maddalena decisa in via riservata e Comiso votata in aula, dimostra che il metodo del consenso ratificante non era una necessità tecnica dell'alleanza ma una scelta caso per caso, e che quando la Repubblica volle deliberare prima di ospitare, poté farlo; la conseguenza documentale, che il registro annota per la verifica finale, è che ogni installazione non deliberata del corpus fu tale non perché non si potesse, ma perché non si volle chiedere.</w:t>
      </w:r>
    </w:p>
    <w:p>
      <w:pPr>
        <w:spacing w:after="120" w:line="276"/>
        <w:jc w:val="both"/>
      </w:pPr>
      <w:r>
        <w:rPr>
          <w:rFonts w:ascii="Barlow Semi Condensed" w:cs="Barlow Semi Condensed" w:eastAsia="Barlow Semi Condensed" w:hAnsi="Barlow Semi Condensed"/>
          <w:sz w:val="24"/>
          <w:szCs w:val="24"/>
        </w:rPr>
        <w:t xml:space="preserve">Il capitolo americano del vincolo possiede infine la sua contabilità documentata, che il registro censisce dal più ufficiale dei canali: il rapporto conclusivo della commissione della Camera dei rappresentanti censita in questo capitolo, divulgato nel 1976 attraverso la stampa dopo che l'aula ne aveva vietato la pubblicazione, dedicò all'Italia un capitolo specifico, documentando i programmi di finanziamento copertο ai partiti ed a singoli esponenti politici italiani protratti per decenni, e riportando, quale caso di scuola, il canale diretto attivato nei primi anni Settanta dall'ambasciata di Roma verso il vertice del servizio militare italiano, con l'indicazione di 800.000 dollari destinati, secondo il rapporto, al generale che la seconda fase di quest'opera censisce quale direttore imputato, Livello A quanto ai contenuti del rapporto parlamentare ed alla loro divulgazione, con la qualificazione che la disciplina impone, trattandosi di accertamento politico-parlamentare straniero mai tradotto in giudicato italiano. Il registro salda il documento all'architettura dell'opera: il rapporto americano certifica dall'interno del campo occidentale ciò che le fasi italiane hanno censito dall'esterno, che il vertice dell'intelligence della Repubblica era simultaneamente destinatario di flussi riservati alleati ed imputato nei procedimenti eversivi nazionali, e la convergenza tra la carta di Washington e le carte di Roma sul medesimo nome è uno dei rari punti dell'intero corpus in cui i 2 archivi, quello del patrono e quello del cliente, si confermano a vicenda senza essersi consultati, realizzando, per una volta, la triangolazione perfetta che il metodo dell'opera persegue: la stessa notizia, da 2 sovranità, per 2 vie indipendenti.</w:t>
      </w:r>
    </w:p>
    <w:p>
      <w:pPr>
        <w:spacing w:after="120" w:line="276"/>
        <w:jc w:val="both"/>
      </w:pPr>
      <w:r>
        <w:rPr>
          <w:rFonts w:ascii="Barlow Semi Condensed" w:cs="Barlow Semi Condensed" w:eastAsia="Barlow Semi Condensed" w:hAnsi="Barlow Semi Condensed"/>
          <w:sz w:val="24"/>
          <w:szCs w:val="24"/>
        </w:rPr>
        <w:t xml:space="preserve">Il capitolo atlantico si chiude sul suo segreto più longevo, che il registro censisce nella sua forma peculiare: la presenza sul territorio italiano, a partire dagli anni Sessanta, di ordigni nucleari americani in custodia congiunta presso installazioni dell'alleanza, documentata da carte declassificate d'oltreoceano e da convergenze storiografiche consolidate, non è mai stata né confermata né smentita ufficialmente dalle autorità italiane, secondo la politica del riserbo assoluto mantenuta ininterrottamente da ogni governo del corpus, Livello A quanto alla documentazione declassificata americana ed alla costanza del riserbo italiano, Livello B quanto ad ogni dettaglio di consistenza e dislocazione nelle diverse epoche. Il registro censisce il caso per la sua unicità formale: si tratta dell'unico segreto dell'intera opera che non è mai stato violato, rivelato, desecretato o processato, ma semplicemente non pronunciato per 60 anni da nessuna istituzione nazionale, e questa forma estrema del non-detto, il segreto che sopravvive non perché custodito ma perché mai formalmente esistito nel discorso pubblico italiano, chiude la tipologia del capitolo con il suo caso limite: il vincolo di campo, che l'opera ha censito nelle sue forme scritte, ratificate e riservate, conosce anche la forma perfetta del vincolo muto, quello su cui il patto tacito tra tutte le maggioranze e tutte le opposizioni di mezzo secolo ha retto meglio di qualunque classifica di segretezza.</w:t>
      </w:r>
    </w:p>
    <w:p>
      <w:pPr>
        <w:spacing w:after="120" w:line="276"/>
        <w:jc w:val="both"/>
      </w:pPr>
      <w:r>
        <w:rPr>
          <w:rFonts w:ascii="Barlow Semi Condensed" w:cs="Barlow Semi Condensed" w:eastAsia="Barlow Semi Condensed" w:hAnsi="Barlow Semi Condensed"/>
          <w:sz w:val="24"/>
          <w:szCs w:val="24"/>
        </w:rPr>
        <w:t xml:space="preserve">Il vuoto operativo aperto dalla stagione delle commissioni ebbe infine la sua risposta extra-istituzionale, che il registro censisce quale reperto sulla plasticità del sistema: l'intesa riservata nota quale Safari Club, sottoscritta nel 1976 tra i servizi di Francia, Egitto, Arabia Saudita, Iran imperiale e Marocco, costituì un consorzio informale per operazioni anticomuniste condotte principalmente sui teatri africani, finanziate dai membri e deliberatamente collocate fuori dal perimetro dei controlli parlamentari che il Congresso americano aveva appena istituito, con l'esistenza dell'intesa rimasta segreta sino alla sua rivelazione pubblica, decenni dopo, da parte di uno dei suoi stessi protagonisti, Livello A quanto all'esistenza, ai membri ed alla funzione dell'intesa, quali risultano dalle rivelazioni e dalle acquisizioni storiografiche convergenti. Il registro fissa la lezione strutturale che il caso consegna al capitolo: la via del contraccolpo interno censita, la stagione in cui l'America sottopose i propri apparati al controllo democratico, produsse per reazione immediata la delocalizzazione delle operazioni presso sovranità prive di quei controlli, sicché il sistema non fu ridotto ma trasferito, e la parabola del consorzio, nato l'anno dopo le commissioni e operante dove esse non arrivavano, è la dimostrazione sperimentale della legge idraulica che l'intera fase documenta: nel campo delle operazioni coperte, il controllo democratico esercitato in un solo punto del sistema non riduce la pressione, la sposta, e la mappa dei luoghi dove la pressione riemerge, i santuari, i consorzi, le periferie, coincide con la mappa che quest'opera ha censito.</w:t>
      </w:r>
    </w:p>
    <w:p>
      <w:pPr>
        <w:spacing w:after="120" w:line="276"/>
        <w:jc w:val="both"/>
      </w:pPr>
      <w:r>
        <w:rPr>
          <w:rFonts w:ascii="Barlow Semi Condensed" w:cs="Barlow Semi Condensed" w:eastAsia="Barlow Semi Condensed" w:hAnsi="Barlow Semi Condensed"/>
          <w:sz w:val="24"/>
          <w:szCs w:val="24"/>
        </w:rPr>
        <w:t xml:space="preserve">La geografia del vincolo si completa con il suo deposito maggiore, che il registro censisce per la funzione logistica: la base di Camp Darby, insediata dal 1951 nella pineta tra Pisa e Livorno, costituì per l'intero arco del corpus uno dei principali arsenali americani del teatro mediterraneo, lo scalo logistico dove munizionamento e materiali per le forze del fianco Sud giacevano a ridosso del porto e della ferrovia, in forza degli accordi bilaterali della prima stagione atlantica, Livello A quanto all'installazione, alla funzione ed alla continuità. Il registro colloca il deposito nella tipologia del capitolo quale terzo tipo puro: dopo la base decisa in riservatezza e la base votata in Parlamento, Darby rappresenta la base ereditata, quella insediata nell'Italia ancora sotto il vincolo pieno del dopoguerra e semplicemente mai più discussa, transitata di decennio in decennio quale dato di natura del paesaggio, e questa terza modalità del consenso, né negato né prestato ma prescritto dal tempo, è la più silenziosa e la più solida delle 3, con l'annotazione che il registro consegna al bilancio della fase: la parte maggiore del vincolo di campo italiano non fu mai decisa da nessuno dei governi del corpus, fu ereditata da tutti, e l'inerzia, nella contabilità della sovranità, pesa più dei trattati.</w:t>
      </w:r>
    </w:p>
    <w:p>
      <w:pPr>
        <w:spacing w:after="120" w:line="276"/>
        <w:jc w:val="both"/>
      </w:pPr>
      <w:r>
        <w:rPr>
          <w:rFonts w:ascii="Barlow Semi Condensed" w:cs="Barlow Semi Condensed" w:eastAsia="Barlow Semi Condensed" w:hAnsi="Barlow Semi Condensed"/>
          <w:sz w:val="24"/>
          <w:szCs w:val="24"/>
        </w:rPr>
        <w:t xml:space="preserve">Il catalogo maggiore della stagione delle commissioni merita il suo censimento specifico, perché il registro vi trova il ponte documentale con il teatro australe: il rapporto interinale sui complotti omicidiari contro leader stranieri, pubblicato dalla commissione senatoriale nel novembre 1975, documentò ufficialmente il coinvolgimento dell'agenzia in trame contro Lumumba nel Congo, nei reiterati tentativi contro Castro, e nelle vicende terminate con le morti di Trujillo, di Diem e, per il capitolo che qui rileva, del generale cileno René Schneider, il capo di stato maggiore costituzionalista ucciso nell'ottobre 1970 nel tentativo di sequestro organizzato da gruppi finanziati per impedire l'insediamento di Allende, Livello A quanto ai contenuti del rapporto pubblicato. Il registro salda il documento all'architettura della fase: il caso Schneider certificò dalla fonte più ufficiale del campo occidentale che la via cilena censita nel pilastro australe non cominciò con il golpe del 1973 ma 3 anni prima, con l'eliminazione mirata dell'ufficiale che garantiva la neutralità dell'esercito, e la circostanza che questa certificazione provenga dal Senato del Paese committente, e non dalle vittime o dagli avversari, la colloca al vertice della scala probatoria dell'intera fase, con la lezione di metodo che il registro ne trae per il bilancio finale: nel corpus internazionale, i documenti più schiaccianti sui campi non li hanno prodotti i nemici dei campi, li hanno prodotti, nelle loro rare stagioni di autocoscienza istituzionale, i campi medesimi, e l'opera che qui si conclude ha potuto essere scritta soprattutto grazie a quelle stagioni.</w:t>
      </w:r>
    </w:p>
    <w:p>
      <w:pPr>
        <w:spacing w:after="120" w:line="276"/>
        <w:jc w:val="both"/>
      </w:pPr>
      <w:r>
        <w:rPr>
          <w:rFonts w:ascii="Barlow Semi Condensed" w:cs="Barlow Semi Condensed" w:eastAsia="Barlow Semi Condensed" w:hAnsi="Barlow Semi Condensed"/>
          <w:sz w:val="24"/>
          <w:szCs w:val="24"/>
        </w:rPr>
        <w:t xml:space="preserve">Il capitolo delle presenze militari esige infine la messa a punto probatoria sul suo attore maggiore, che il registro formula quale statuto: l'Alleanza atlantica attraversa l'intero corpus quale attore assente-presente, documentata al Livello A in ogni sua struttura, i comandi, le basi censite, le pianificazioni stay-behind riconosciute dai governi, ed assente al livello dei giudicati in ogni singolo evento criminale dell'opera, poiché nessuna sentenza italiana ha mai accertato una responsabilità dell'organizzazione in quanto tale in alcuna delle vicende censite, sicché il suo statuto probatorio complessivo è la compresenza permanente di un Livello A strutturale e di uno Stato Zero eventale. Il registro consegna lo statuto alla sua funzione disciplinare: tra la vulgata che legge l'Alleanza quale regista di ogni pagina nera e la vulgata opposta che la dichiara estranea per definizione, il corpus documenta un terzo oggetto, una cornice egemonica reale dentro la quale attori nazionali e transnazionali, alcuni dei quali giudizialmente accertati, operarono secondo convergenze che la cornice rendeva possibili senza che gli atti ne certifichino la committenza, e questa distinzione tra la cornice e la mano, tra il campo che orienta ed il mandato che ordina, è forse la più importante che l'intera opera consegna al lettore, perché confonderle produce, nelle 2 direzioni opposte, le 2 forme di cecità che il metodo è nato per evitare.</w:t>
      </w:r>
    </w:p>
    <w:p>
      <w:pPr>
        <w:spacing w:after="120" w:line="276"/>
        <w:jc w:val="both"/>
      </w:pPr>
      <w:r>
        <w:rPr>
          <w:rFonts w:ascii="Barlow Semi Condensed" w:cs="Barlow Semi Condensed" w:eastAsia="Barlow Semi Condensed" w:hAnsi="Barlow Semi Condensed"/>
          <w:b/>
          <w:bCs/>
          <w:sz w:val="24"/>
          <w:szCs w:val="24"/>
        </w:rPr>
        <w:t xml:space="preserve">Sintesi del dato nuovo acquisito:</w:t>
      </w:r>
      <w:r>
        <w:rPr>
          <w:rFonts w:ascii="Barlow Semi Condensed" w:cs="Barlow Semi Condensed" w:eastAsia="Barlow Semi Condensed" w:hAnsi="Barlow Semi Condensed"/>
          <w:sz w:val="24"/>
          <w:szCs w:val="24"/>
        </w:rPr>
        <w:t xml:space="preserve"> il versante occidentale è certificato nei suoi 3 canali documentati, il finanziamento fondativo al Livello A, la parabola di Sindona quale massima intermediazione individuale con l'intera sequenza giudiziaria riportata, e il ponte piduista con i fatti atlantici della crisi capitale, in configurazione strutturalmente simmetrica al versante orientale: interferenza ordinaria documentata, traduzione straordinaria non documentata.</w:t>
      </w:r>
    </w:p>
    <w:p>
      <w:pPr>
        <w:pStyle w:val="Heading3"/>
        <w:spacing w:after="80" w:before="160"/>
      </w:pPr>
      <w:r>
        <w:rPr>
          <w:rFonts w:ascii="Barlow Semi Condensed" w:cs="Barlow Semi Condensed" w:eastAsia="Barlow Semi Condensed" w:hAnsi="Barlow Semi Condensed"/>
          <w:sz w:val="24"/>
          <w:szCs w:val="24"/>
        </w:rPr>
        <w:t xml:space="preserve">Capitolo 8 — Il sistema stay-behind: Gladio, le reti sorelle e l'autunno delle rivelazioni</w:t>
      </w:r>
    </w:p>
    <w:p>
      <w:pPr>
        <w:spacing w:after="120" w:line="276"/>
        <w:jc w:val="both"/>
      </w:pPr>
      <w:r>
        <w:rPr>
          <w:rFonts w:ascii="Barlow Semi Condensed" w:cs="Barlow Semi Condensed" w:eastAsia="Barlow Semi Condensed" w:hAnsi="Barlow Semi Condensed"/>
          <w:sz w:val="24"/>
          <w:szCs w:val="24"/>
        </w:rPr>
        <w:t xml:space="preserve">L'ottavo nodo è il sistema continentale delle reti clandestine di permanenza, l'architettura che la Fase 3 ha incontrato sul versante italiano e che la fase censisce quale sistema europeo. Il registro certifica al Livello A l'esistenza del sistema, quale dato consacrato dalla stagione delle rivelazioni del 1990, e ne distende la struttura nei pilastri.</w:t>
      </w:r>
    </w:p>
    <w:p>
      <w:pPr>
        <w:spacing w:after="120" w:line="276"/>
        <w:jc w:val="both"/>
      </w:pPr>
      <w:r>
        <w:rPr>
          <w:rFonts w:ascii="Barlow Semi Condensed" w:cs="Barlow Semi Condensed" w:eastAsia="Barlow Semi Condensed" w:hAnsi="Barlow Semi Condensed"/>
          <w:sz w:val="24"/>
          <w:szCs w:val="24"/>
        </w:rPr>
        <w:t xml:space="preserve">Il primo pilastro censisce la rivelazione italiana. Il 3 agosto 1990 il presidente del Consiglio Giulio Andreotti annunciò alla Commissione parlamentare sulle stragi l'esistenza della struttura, e il 24 ottobre 1990 ne trasmise la relazione ufficiale, rivelando l'organizzazione Gladio quale rete clandestina di permanenza costituita nel dopoguerra entro la cornice atlantica, con i depositi, la base di addestramento di Capo Marrargiu e le liste degli arruolati che la stagione successiva avrebbe discusso; il registro certifica al Livello A le date, gli atti e i contenuti della rivelazione, quali dati parlamentari, e certifica al Livello A la circostanza strutturale che essa illumina retrospettivamente: la rete operò per oltre 4 decenni in regime di segreto integrale verso il Parlamento, e la sua esistenza divenne materia pubblica non per apertura volontaria ma per la convergenza di pressioni giudiziarie e politiche della stagione, il caso italiano della regolarità che il capitolo nono formalizza.</w:t>
      </w:r>
    </w:p>
    <w:p>
      <w:pPr>
        <w:spacing w:after="120" w:line="276"/>
        <w:jc w:val="both"/>
      </w:pPr>
      <w:r>
        <w:rPr>
          <w:rFonts w:ascii="Barlow Semi Condensed" w:cs="Barlow Semi Condensed" w:eastAsia="Barlow Semi Condensed" w:hAnsi="Barlow Semi Condensed"/>
          <w:sz w:val="24"/>
          <w:szCs w:val="24"/>
        </w:rPr>
        <w:t xml:space="preserve">Il secondo pilastro censisce la dimensione continentale. La rivelazione italiana innescò l'autunno europeo delle ammissioni: i governi di più Paesi dell'Alleanza e di Paesi neutrali riconobbero l'esistenza di strutture analoghe, il Parlamento europeo adottò il 22 novembre 1990 la risoluzione che chiedeva lo scioglimento delle reti e le inchieste nazionali, e le sedi parlamentari nazionali produssero gli accertamenti maggiori, la commissione d'inchiesta belga sui fatti del proprio teatro e il rapporto svizzero sulla struttura P26, entrambi della stagione 1990-1991; il registro certifica al Livello A la sequenza continentale, quali dati parlamentari europei, e ne trae la formalizzazione comparativa: il sistema era continentale per costruzione e la sua emersione fu continentale per contagio, ma la profondità degli accertamenti fu radicalmente nazionale, massima nei Paesi a inchiesta parlamentare formale e minima altrove, sicché la conoscenza del sistema replica, al proprio interno, l'asimmetria archivistica che governa l'intera fase.</w:t>
      </w:r>
    </w:p>
    <w:p>
      <w:pPr>
        <w:spacing w:after="120" w:line="276"/>
        <w:jc w:val="both"/>
      </w:pPr>
      <w:r>
        <w:rPr>
          <w:rFonts w:ascii="Barlow Semi Condensed" w:cs="Barlow Semi Condensed" w:eastAsia="Barlow Semi Condensed" w:hAnsi="Barlow Semi Condensed"/>
          <w:sz w:val="24"/>
          <w:szCs w:val="24"/>
        </w:rPr>
        <w:t xml:space="preserve">Il terzo pilastro fissa la disciplina italiana degli impieghi. Sul nodo che la stagione rese incandescente, l'ipotesi dell'impiego interno della rete o dei suoi materiali nella stagione eversiva, il registro recepisce lo stato che la Fase 3 ha certificato: l'esistenza della rete e dei depositi al Livello A, i singoli episodi di intersezione documentati ai livelli propri, e ogni lettura dell'impiego sistematico interno al Livello C, nessun accertamento avendo consacrato la traduzione della struttura di permanenza in strumento della strategia interna; il registro ribadisce la disciplina sul terreno continentale, annotando che gli accertamenti degli altri ordinamenti approdarono a configurazioni analoghe, esistenza certificata e impieghi controversi, e consegna alla verifica finale il sistema nella sua qualificazione esatta: la prova materiale dell'esistenza di un'architettura clandestina multinazionale coordinata entro il campo occidentale, certificata al Livello A, che costituisce il massimo fatto strutturale del versante atlantico dell'opera, e che non certifica, di per sé, alcuno degli impieghi che le letture eccedenti le attribuiscono.</w:t>
      </w:r>
    </w:p>
    <w:p>
      <w:pPr>
        <w:spacing w:after="120" w:line="276"/>
        <w:jc w:val="both"/>
      </w:pPr>
      <w:r>
        <w:rPr>
          <w:rFonts w:ascii="Barlow Semi Condensed" w:cs="Barlow Semi Condensed" w:eastAsia="Barlow Semi Condensed" w:hAnsi="Barlow Semi Condensed"/>
          <w:sz w:val="24"/>
          <w:szCs w:val="24"/>
        </w:rPr>
        <w:t xml:space="preserve">Il quarto pilastro censisce l'innesco giudiziario della rivelazione, il filo che congiunge il capitolo alla Fase 3. La sequenza che condusse all'annuncio del 3 agosto 1990 non nacque da un'iniziativa politica ma da un'istruttoria: il giudice istruttore veneziano Felice Casson, riaprendo il caso della strage di Peteano del 1972, quella per cui Vincenzo Vinciguerra avrebbe riportato l'ergastolo con le dichiarazioni autoaccusatorie che la Fase 3 ha censito, giunse a richiedere l'accesso agli archivi del servizio militare sui depositi clandestini di armi, e fu quella richiesta, autorizzata dal vertice politico, a rendere ineludibile l'ammissione dell'esistenza della struttura; il registro certifica al Livello A la sequenza istruttoria, la richiesta di accesso e il suo nesso causale con l'annuncio, quali dati documentali della stagione, e ne trae la formalizzazione: la massima rivelazione strutturale del versante atlantico fu prodotta dalla convergenza tra la quarta via della tassonomia, l'inchiesta, e un singolo caso di strage della fase nazionale, e il filo Peteano-Gladio, dal delitto del 1972 alla rivelazione del 1990 passando per la confessione di un ergastolano, è l'arco causale più lungo e meglio documentato che il corpus registri tra un evento della strategia interna e un'apertura archivistica di sistema.</w:t>
      </w:r>
    </w:p>
    <w:p>
      <w:pPr>
        <w:spacing w:after="120" w:line="276"/>
        <w:jc w:val="both"/>
      </w:pPr>
      <w:r>
        <w:rPr>
          <w:rFonts w:ascii="Barlow Semi Condensed" w:cs="Barlow Semi Condensed" w:eastAsia="Barlow Semi Condensed" w:hAnsi="Barlow Semi Condensed"/>
          <w:sz w:val="24"/>
          <w:szCs w:val="24"/>
        </w:rPr>
        <w:t xml:space="preserve">Il quinto pilastro censisce l'epilogo della struttura. All'esito della stagione delle rivelazioni, il governo dispose entro la fine del 1990 la cessazione della struttura, e lo scioglimento formale chiuse l'esistenza operativa della rete italiana mentre si aprivano le stagioni parallele degli accertamenti parlamentari e giudiziari sui suoi 4 decenni; il registro certifica al Livello A lo scioglimento e la sua collocazione temporale, quale dato ufficiale, e ne trae l'annotazione comparativa che chiude il nodo: la rete fu sciolta per effetto della propria emersione e non di una decisione strategica autonoma, l'ordine causale che replica, sul piano delle strutture, la legge che il capitolo nono certifica sul piano degli archivi, nulla di clandestino essendosi mai chiuso, nel corpus dell'opera, prima di essere stato scoperto; la simmetria tra la legge delle aperture e la legge delle chiusure, entrambe governate dalla pressione esterna e mai dalla spontaneità, è consegnata alla riflessione conclusiva quale ultima regolarità empirica del sistema studiato.</w:t>
      </w:r>
    </w:p>
    <w:p>
      <w:pPr>
        <w:spacing w:after="120" w:line="276"/>
        <w:jc w:val="both"/>
      </w:pPr>
      <w:r>
        <w:rPr>
          <w:rFonts w:ascii="Barlow Semi Condensed" w:cs="Barlow Semi Condensed" w:eastAsia="Barlow Semi Condensed" w:hAnsi="Barlow Semi Condensed"/>
          <w:sz w:val="24"/>
          <w:szCs w:val="24"/>
        </w:rPr>
        <w:t xml:space="preserve">Il sesto pilastro censisce le liste degli arruolati e la questione della completezza. La rivelazione consegnò alle Camere l'elenco dei 622 nominativi degli appartenenti civili alla rete, la lista che divenne l'oggetto del dibattito della stagione, tra chi vi lesse la prova della natura circoscritta della struttura e chi ne contestò la completezza, rilevando che un'organizzazione clandestina quarantennale documentata da un solo elenco consegnato dal medesimo apparato che l'aveva gestita poneva, per costruzione, un problema di verificabilità; il registro certifica al Livello A l'esistenza e la consegna dell'elenco dei 622, quale dato parlamentare, certifica al Livello A l'esistenza della controversia sulla completezza, quale dato del dibattito istituzionale, e mantiene la questione di merito al livello che la struttura delle fonti impone: la completezza di un elenco è indimostrabile per via interna, giacché nessun elenco può certificare di non avere omissioni, e il registro applica al caso la propria disciplina delle assenze, trattando l'elenco quale documento certificato per ciò che contiene e non per ciò che esclude; l'annotazione metodologica che il pilastro consegna vale per l'intero corpus: ogni documentazione proveniente in via esclusiva dall'apparato documentato porta con sé il limite strutturale dell'autocertificazione, e il registro lo dichiara quale condizione permanente della conoscenza del versante, la stessa che governa le liste della loggia, i compendi orientali e ogni archivio che il proprio produttore ha selezionato prima di consegnare.</w:t>
      </w:r>
    </w:p>
    <w:p>
      <w:pPr>
        <w:spacing w:after="120" w:line="276"/>
        <w:jc w:val="both"/>
      </w:pPr>
      <w:r>
        <w:rPr>
          <w:rFonts w:ascii="Barlow Semi Condensed" w:cs="Barlow Semi Condensed" w:eastAsia="Barlow Semi Condensed" w:hAnsi="Barlow Semi Condensed"/>
          <w:sz w:val="24"/>
          <w:szCs w:val="24"/>
        </w:rPr>
        <w:t xml:space="preserve">Il settimo pilastro censisce il conflitto istituzionale della stagione, la coda italiana della rivelazione. Nei mesi successivi all'annuncio, la questione della legittimità della struttura aprì il confronto istituzionale più aspro del biennio, con il Capo dello Stato, che della vicenda era stato protagonista ministeriale nella stagione fondativa, schierato nella difesa pubblica della legittimità atlantica della rete, e settori del Parlamento e della magistratura orientati alla qualificazione opposta, sino alle iniziative e alle polemiche costituzionali che segnarono la fase terminale del settennato; il registro certifica al Livello A l'esistenza, i termini e l'intensità del conflitto, quali dati del dibattito istituzionale documentato, si astiene per statuto da ogni adesione alle qualificazioni contrapposte, e ne trae il dato di sistema che il nodo consegna: la rivelazione di una struttura segreta quarantennale produsse, nell'ordinamento che l'aveva ospitata, non una ricomposizione ma una frattura al vertice dello Stato, e la frattura documentata è essa stessa la misura della posta, la circostanza che i massimi organi della Repubblica si divisero pubblicamente sulla qualificazione della rete certificando, meglio di ogni analisi, che la questione investiva il fondamento stesso del patto istituzionale del dopoguerra; il registro trascrive il conflitto quale ultimo reperto del nodo e lo consegna alla verifica finale quale documento della profondità del vincolo di campo nell'ordinamento interno.</w:t>
      </w:r>
    </w:p>
    <w:p>
      <w:pPr>
        <w:spacing w:after="120" w:line="276"/>
        <w:jc w:val="both"/>
      </w:pPr>
      <w:r>
        <w:rPr>
          <w:rFonts w:ascii="Barlow Semi Condensed" w:cs="Barlow Semi Condensed" w:eastAsia="Barlow Semi Condensed" w:hAnsi="Barlow Semi Condensed"/>
          <w:sz w:val="24"/>
          <w:szCs w:val="24"/>
        </w:rPr>
        <w:t xml:space="preserve">Le triangolazioni del nodo sono 3. La prima, annuncio del 3 agosto-relazione del 24 ottobre-Capo Marrargiu, certifica la rivelazione italiana nelle sue date e nei suoi contenuti. La seconda, risoluzione europea-inchiesta belga-rapporto svizzero, certifica la dimensione continentale e l'asimmetria degli accertamenti. La terza, esistenza-depositi-impieghi controversi, fissa la disciplina dei livelli che la verifica erediterà.</w:t>
      </w:r>
    </w:p>
    <w:p>
      <w:pPr>
        <w:spacing w:after="120" w:line="276"/>
        <w:jc w:val="both"/>
      </w:pPr>
      <w:r>
        <w:rPr>
          <w:rFonts w:ascii="Barlow Semi Condensed" w:cs="Barlow Semi Condensed" w:eastAsia="Barlow Semi Condensed" w:hAnsi="Barlow Semi Condensed"/>
          <w:sz w:val="24"/>
          <w:szCs w:val="24"/>
        </w:rPr>
        <w:t xml:space="preserve">Alla dimensione continentale il registro deve il censimento nominativo che le ammissioni della stagione resero possibile: accanto alla rete italiana, i riconoscimenti governativi e le inchieste nazionali dell'autunno 1990 e dei mesi successivi documentarono la rete svizzera P-26, accertata da un'inchiesta amministrativa federale e disciolta, la struttura belga collegata ai servizi militari, investita da un'inchiesta parlamentare che ne vagliò anche le eventuali contiguità con la stagione insoluta delle stragi del Brabante senza approdare ad accertamenti di responsabilità, le organizzazioni tedesco-federali gestite nell'orbita dei servizi, la rete greca innestata sull'apparato che aveva accompagnato la stagione dei colonnelli, e le strutture turche della contro-guerriglia, riconosciute da dichiarazioni ufficiali coeve, oltre alle ammissioni di governi minori e neutrali che completarono la mappa, Livello A quanto alle esistenze ammesse e agli atti istituzionali nazionali, Livello C quanto ad ogni ipotesi di impiego interno nelle singole giurisdizioni, che il registro sigilla con la medesima disciplina applicata al caso italiano. Il censimento fonda la conclusione comparativa del nodo: l'Italia non fu l'eccezione ma il caso di massima trasparenza di una regola continentale, l'unico ordinamento in cui la rete fu esposta da un'istruttoria giudiziaria interna anziché da una decisione politica, e la profondità dell'accertamento italiano, che la sintesi certifica quale rara, misura non una singolarità della struttura ma una singolarità del controllo, il punto del continente in cui la magistratura ordinaria arrivò dove altrove giunsero, più tardi e meno a fondo, commissioni e governi.</w:t>
      </w:r>
    </w:p>
    <w:p>
      <w:pPr>
        <w:spacing w:after="120" w:line="276"/>
        <w:jc w:val="both"/>
      </w:pPr>
      <w:r>
        <w:rPr>
          <w:rFonts w:ascii="Barlow Semi Condensed" w:cs="Barlow Semi Condensed" w:eastAsia="Barlow Semi Condensed" w:hAnsi="Barlow Semi Condensed"/>
          <w:sz w:val="24"/>
          <w:szCs w:val="24"/>
        </w:rPr>
        <w:t xml:space="preserve">Al dossier documentale del sistema appartiene infine il reperto conteso per eccellenza, che il registro censisce quale caso di scuola della fonte avvelenata: il documento circolato quale supplemento riservato di un manuale da campo americano sulla stabilità interna, noto nella pubblicistica con la sigla FM 30-31B, apparso sulla stampa turca nel 1973 e quindi rimbalzato nei circuiti europei, che teorizzava l'infiltrazione dei movimenti di sinistra e le operazioni speciali negli Stati alleati, e che attraversò le istruttorie e le inchieste italiane della stagione quale possibile chiave dottrinale del sistema. Le autorità americane ne dichiararono costantemente la falsità, e le acquisizioni successive al 1989, incluse quelle del compendio orientale censito nel capitolo sesto, lo hanno classificato tra i prodotti delle misure attive di disinformazione del campo opposto, senza che alcuna sede abbia mai certificato in via definitiva né l'autenticità né la fabbricazione, Livello A quanto all'esistenza, alla circolazione ed all'impiego del documento nel dibattito e nelle istruttorie, Livello C quanto alla sua paternità, in entrambe le direzioni. Il registro eleva il caso a paradigma della guerra documentale che attraversa l'intero campo della fase: il FM 30-31B è un testo il cui valore probatorio dipende integralmente da chi lo ha scritto, e poiché la paternità è l'unica cosa che di esso non si è mai potuta stabilire, il documento resta sospeso nella condizione più istruttiva dell'intero corpus, quella del reperto che prova con certezza una sola cosa, che nella guerra fredda anche le carte combattevano, e che l'analista il quale fondasse una ricostruzione su un documento conteso costruirebbe sull'arma dell'avversario, quale che sia l'avversario.</w:t>
      </w:r>
    </w:p>
    <w:p>
      <w:pPr>
        <w:spacing w:after="120" w:line="276"/>
        <w:jc w:val="both"/>
      </w:pPr>
      <w:r>
        <w:rPr>
          <w:rFonts w:ascii="Barlow Semi Condensed" w:cs="Barlow Semi Condensed" w:eastAsia="Barlow Semi Condensed" w:hAnsi="Barlow Semi Condensed"/>
          <w:sz w:val="24"/>
          <w:szCs w:val="24"/>
        </w:rPr>
        <w:t xml:space="preserve">La rete continentale possiede infine il suo caso di attivazione compiuta, che il registro censisce quale esperimento naturale dell'intera ipotesi: il colpo di Stato dei colonnelli greci del 21 aprile 1967 fu eseguito mettendo in moto il piano di emergenza di derivazione atlantica denominato Prometheus, lo schema di mobilitazione contro la sovversione interna predisposto nel quadro dell'alleanza, che i golpisti applicarono nella notte secondo le sue sequenze, occupando i gangli previsti ed arrestando le liste predisposte, con l'esito che la Grecia entrò in 7 anni di dittatura militare attraverso l'esecuzione letterale di un dispositivo concepito per difenderne l'ordinamento, Livello A quanto al golpe, alla sua meccanica ed all'impiego dello schema, secondo le ricostruzioni storiche e gli accertamenti della transizione democratica greca. Il registro consegna il caso alla sua funzione probatoria nell'architettura del capitolo: Atene dimostra che il rischio teorico attorno al quale ruota l'intero dibattito italiano censito, la convertibilità dei dispositivi di protezione in strumenti di rovesciamento, non è una congettura ma un precedente storico consumato entro la medesima alleanza e nel medesimo decennio delle trame italiane, sicché la domanda corretta che la comparazione impone non è se una simile conversione fosse possibile, questione chiusa dalla notte greca, ma perché in Grecia avvenne ed in Italia no, ed a questa domanda il corpus italiano offre la risposta che le fasi hanno documentato: non per mancanza di piani, che il registro ha censito, ma per il fallimento ricorrente della loro esecuzione, per le divisioni interne dei campi e per la tenuta, ogni volta, di segmenti decisivi dello Stato legale, con la conseguenza che la differenza tra Atene e Roma non fu di progetto ma di esito, e la storia della Repubblica censita dall'opera è, in questa luce comparata, la storia di una Grecia continuamente tentata e mai riuscita.</w:t>
      </w:r>
    </w:p>
    <w:p>
      <w:pPr>
        <w:spacing w:after="120" w:line="276"/>
        <w:jc w:val="both"/>
      </w:pPr>
      <w:r>
        <w:rPr>
          <w:rFonts w:ascii="Barlow Semi Condensed" w:cs="Barlow Semi Condensed" w:eastAsia="Barlow Semi Condensed" w:hAnsi="Barlow Semi Condensed"/>
          <w:sz w:val="24"/>
          <w:szCs w:val="24"/>
        </w:rPr>
        <w:t xml:space="preserve">Il caso greco possiede infine il suo versante italiano diretto, che il registro censisce dagli atti delle istruttorie: nei mesi attorno al colpo di Stato ed a quelli successivi, esponenti dell'eversione nera italiana censita nella fase terza compirono viaggi e soggiorni documentati ad Atene, dove la giunta offriva ospitalità, contatti e l'esempio operativo di un rovesciamento riuscito, con la Grecia dei colonnelli assunta ad esplicito modello ed a retrovia politica dagli ambienti che di lì a poco avrebbero animato la stagione italiana della tensione, secondo quanto le istruttorie milanesi e le acquisizioni parlamentari hanno documentato, Livello A quanto ai viaggi ed ai contatti risultanti dagli atti, Livello B quanto alla consistenza dei sostegni materiali riferiti dalle fonti interne. Il registro salda il ponte alla comparazione già svolta: la Grecia non fu soltanto, per l'Italia del corpus, il precedente dimostrativo della convertibilità dei dispositivi, fu una destinazione fisica frequentata dai protagonisti italiani della stagione che quella convertibilità tentò di replicare, e la circostanza che il pellegrinaggio ateniese preceda di pochi mesi l'inizio della campagna stragista italiana appartiene alla cronologia oggettiva che il Pattern 3 registra, con la disciplina consueta sull'inferenza: il modello è documentato, l'ispirazione è documentata, il mandato greco non lo è, e la differenza tra i 3 gradini, che la pubblicistica dell'epoca confuse sistematicamente, è esattamente ciò che 50 anni di processi hanno faticosamente insegnato a distinguere.</w:t>
      </w:r>
    </w:p>
    <w:p>
      <w:pPr>
        <w:spacing w:after="120" w:line="276"/>
        <w:jc w:val="both"/>
      </w:pPr>
      <w:r>
        <w:rPr>
          <w:rFonts w:ascii="Barlow Semi Condensed" w:cs="Barlow Semi Condensed" w:eastAsia="Barlow Semi Condensed" w:hAnsi="Barlow Semi Condensed"/>
          <w:sz w:val="24"/>
          <w:szCs w:val="24"/>
        </w:rPr>
        <w:t xml:space="preserve">Il caso greco si chiude con il contro-modello giudiziario che il registro censisce quale termine di comparazione capitale: la Grecia restaurata processò i propri golpisti immediatamente, celebrando nell'estate del 1975, a 12 mesi dalla caduta del regime, il processo ai protagonisti del colpo di Stato del 1967, concluso con condanne capitali per i capi, commutate in ergastoli effettivamente scontati sino alla morte in detenzione dei principali condannati, Livello A quanto al processo ed agli esiti. Il registro formula la comparazione che il corpus impone e che nessuna cautela può attenuare: il Paese del golpe riuscito giudicò e condannò i suoi autori in 16 mesi, mentre il Paese dei golpe falliti censiti nella fase seconda impiegò decenni per approdare ad amnistie, proscioglimenti e condanne miti, sicché la Repubblica che non fu mai rovesciata punì l'eversione infinitamente meno della democrazia che lo era stata davvero, ed il paradosso, che una lettura frettolosa ascriverebbe a clemenza, appartiene per il metodo dell'opera alla struttura: la Grecia poté processare il proprio golpe perché il golpe aveva vinto e perso da solo, visibile ed intero, mentre l'Italia non poté processare i propri perché non furono mai interi né visibili, dissolti prima del compimento dentro la zona grigia tra apparati che questa opera ha censito, e la mitezza italiana non fu perdono, fu l'impossibilità di punire ciò che si era lasciato evaporare.</w:t>
      </w:r>
    </w:p>
    <w:p>
      <w:pPr>
        <w:spacing w:after="120" w:line="276"/>
        <w:jc w:val="both"/>
      </w:pPr>
      <w:r>
        <w:rPr>
          <w:rFonts w:ascii="Barlow Semi Condensed" w:cs="Barlow Semi Condensed" w:eastAsia="Barlow Semi Condensed" w:hAnsi="Barlow Semi Condensed"/>
          <w:b/>
          <w:bCs/>
          <w:sz w:val="24"/>
          <w:szCs w:val="24"/>
        </w:rPr>
        <w:t xml:space="preserve">Sintesi del dato nuovo acquisito:</w:t>
      </w:r>
      <w:r>
        <w:rPr>
          <w:rFonts w:ascii="Barlow Semi Condensed" w:cs="Barlow Semi Condensed" w:eastAsia="Barlow Semi Condensed" w:hAnsi="Barlow Semi Condensed"/>
          <w:sz w:val="24"/>
          <w:szCs w:val="24"/>
        </w:rPr>
        <w:t xml:space="preserve"> il sistema stay-behind è certificato al Livello A quale architettura clandestina continentale del campo occidentale, rivelata nell'autunno 1990 per pressione e non per apertura volontaria, accertata con profondità radicalmente nazionale, con gli impieghi interni mantenuti al Livello C secondo la disciplina della Fase 3, e consegnato alla verifica quale massimo fatto strutturale certificato del versante atlantico.</w:t>
      </w:r>
    </w:p>
    <w:p>
      <w:pPr>
        <w:pStyle w:val="Heading3"/>
        <w:spacing w:after="80" w:before="160"/>
      </w:pPr>
      <w:r>
        <w:rPr>
          <w:rFonts w:ascii="Barlow Semi Condensed" w:cs="Barlow Semi Condensed" w:eastAsia="Barlow Semi Condensed" w:hAnsi="Barlow Semi Condensed"/>
          <w:sz w:val="24"/>
          <w:szCs w:val="24"/>
        </w:rPr>
        <w:t xml:space="preserve">Capitolo 9 — L'empirica degli archivi: la regolarità delle aperture e il lampione quale reperto</w:t>
      </w:r>
    </w:p>
    <w:p>
      <w:pPr>
        <w:spacing w:after="120" w:line="276"/>
        <w:jc w:val="both"/>
      </w:pPr>
      <w:r>
        <w:rPr>
          <w:rFonts w:ascii="Barlow Semi Condensed" w:cs="Barlow Semi Condensed" w:eastAsia="Barlow Semi Condensed" w:hAnsi="Barlow Semi Condensed"/>
          <w:sz w:val="24"/>
          <w:szCs w:val="24"/>
        </w:rPr>
        <w:t xml:space="preserve">Il nono nodo non è un teatro ma una legge empirica, che la fase eleva a oggetto di studio autonomo: la regolarità delle aperture archivistiche degli apparati di sicurezza, censita dall'opera attraverso i 15 ordinamenti che il proprio corpus attraversa. Il registro formula la regolarità nella sua forma nuda: in nessuno dei casi censiti un apparato di sicurezza ha aperto volontariamente i propri archivi; ogni apertura documentata è avvenuta per una delle 5 vie che il primo pilastro tassonomizza, e la regolarità, verificata senza eccezioni sul perimetro censito, è certificata al Livello A quale reperto empirico dell'opera.</w:t>
      </w:r>
    </w:p>
    <w:p>
      <w:pPr>
        <w:spacing w:after="120" w:line="276"/>
        <w:jc w:val="both"/>
      </w:pPr>
      <w:r>
        <w:rPr>
          <w:rFonts w:ascii="Barlow Semi Condensed" w:cs="Barlow Semi Condensed" w:eastAsia="Barlow Semi Condensed" w:hAnsi="Barlow Semi Condensed"/>
          <w:sz w:val="24"/>
          <w:szCs w:val="24"/>
        </w:rPr>
        <w:t xml:space="preserve">Il primo pilastro distende la tassonomia delle 5 vie, ciascuna con i casi del corpus. La prima via è il collasso del regime protettore: la rivoluzione portoghese del 1974 che consegnò l'archivio di Aginter, e la caduta del blocco orientale del 1989-1991 che aprì gli archivi della sicurezza tedesco-orientale, regolati dalla legge del 1991 sull'accesso alle carte, e rese possibili i trasferimenti sovietici. La seconda via è la defezione individuale: l'esfiltrazione del 1992 da cui deriva il compendio Mitrokhin, il caso in cui l'archivio si apre perché un uomo lo porta via. La terza via è la legislazione speciale, imposta dalla politica della memoria o dalle vittime: la legge americana del 1992 sul rilascio delle carte dell'assassinio del presidente Kennedy, e il processo sudafricano di verità e riconciliazione istituito nel 1995, che scambiò verità contro amnistia. La quarta via è lo scandalo e l'inchiesta: la scoperta degli elenchi della loggia nel 1981, che aprì per sequestro giudiziario un archivio privato di potere, e la stagione delle rivelazioni stay-behind del 1990, aperta per pressione giudiziaria e politica convergente. La quinta via è il contenzioso e la desecretazione amministrata: le direttive italiane di versamento, dalla direttiva del 22 aprile 2014 in avanti, che hanno trasferito la documentazione per atto politico sotto pressione pubblica. Il registro certifica al Livello A la tassonomia e i casi, quali fatti archivistici datati, e certifica l'assenza della sesta via, l'apertura spontanea, quale Stato Zero della categoria: cercata in 15 ordinamenti, non trovata in alcuno.</w:t>
      </w:r>
    </w:p>
    <w:p>
      <w:pPr>
        <w:spacing w:after="120" w:line="276"/>
        <w:jc w:val="both"/>
      </w:pPr>
      <w:r>
        <w:rPr>
          <w:rFonts w:ascii="Barlow Semi Condensed" w:cs="Barlow Semi Condensed" w:eastAsia="Barlow Semi Condensed" w:hAnsi="Barlow Semi Condensed"/>
          <w:sz w:val="24"/>
          <w:szCs w:val="24"/>
        </w:rPr>
        <w:t xml:space="preserve">Il secondo pilastro formalizza il corollario metodologico, l'effetto lampione elevato da cautela a reperto. Poiché la documentazione disponibile è funzione delle aperture e le aperture sono funzione di eventi politici discreti, la densità documentale di ogni teatro misura la storia dei suoi accessi e non l'intensità della sua storia: l'opera ha verificato il corollario sul proprio corpus, documentando che i picchi temporali della densità si spostano con la finestra di costruzione della base documentale, e la fase lo ha dimostrato con la coppia terminale Lisbona-Parigi, i 2 gemelli topologici resi opposti dal solo regime di accesso; il registro certifica al Livello A il corollario quale proprietà misurata del proprio corpus e ne dichiara la conseguenza normativa, che ha governato ogni comparazione dell'opera: nessuna inferenza di intensità dalla densità, nessuna inferenza di assenza dal silenzio, e l'obbligo permanente di dichiarare, per ogni certificazione, il regime archivistico che l'ha resa possibile.</w:t>
      </w:r>
    </w:p>
    <w:p>
      <w:pPr>
        <w:spacing w:after="120" w:line="276"/>
        <w:jc w:val="both"/>
      </w:pPr>
      <w:r>
        <w:rPr>
          <w:rFonts w:ascii="Barlow Semi Condensed" w:cs="Barlow Semi Condensed" w:eastAsia="Barlow Semi Condensed" w:hAnsi="Barlow Semi Condensed"/>
          <w:sz w:val="24"/>
          <w:szCs w:val="24"/>
        </w:rPr>
        <w:t xml:space="preserve">Il terzo pilastro applica la legge al caso italiano e ne trae la proiezione. La conoscenza italiana del proprio novecento riservato è cresciuta per le soglie datate che l'opera ha censito, il 1981 degli elenchi, il 1990 delle rivelazioni e dei ritrovamenti, il 2014 dei versamenti, ciascuna prodotta da una delle vie della tassonomia e nessuna da apertura spontanea; il registro certifica al Livello A la serie e la sua conformità integrale alla regolarità, e chiude il nodo con la proiezione che la legge autorizza: poiché il perimetro del versato non coincide con il perimetro dell'esistente, e poiché la storia insegna che le soglie future dipenderanno da eventi politici e non dalla ricerca, l'opera dichiara il proprio stato di conoscenza strutturalmente provvisorio, datato alla configurazione archivistica del proprio tempo, e consegna alla ricerca futura non previsioni ma obiettivi, gli archivi francesi, il non versato italiano e ogni archivio che una delle 5 vie dovesse aprire, con la certezza empirica che nessuno si aprirà da sé.</w:t>
      </w:r>
    </w:p>
    <w:p>
      <w:pPr>
        <w:spacing w:after="120" w:line="276"/>
        <w:jc w:val="both"/>
      </w:pPr>
      <w:r>
        <w:rPr>
          <w:rFonts w:ascii="Barlow Semi Condensed" w:cs="Barlow Semi Condensed" w:eastAsia="Barlow Semi Condensed" w:hAnsi="Barlow Semi Condensed"/>
          <w:sz w:val="24"/>
          <w:szCs w:val="24"/>
        </w:rPr>
        <w:t xml:space="preserve">Il quarto pilastro distende il caso maggiore della terza via, il modello sudafricano dello scambio. Il processo di verità e riconciliazione istituito nel 1995 dal nuovo ordinamento democratico costruì l'apertura degli archivi umani del regime attraverso lo scambio regolato tra verità e amnistia: la confessione integrale e pubblica dei fatti, resa nelle udienze della Commissione dinanzi alle vittime e al Paese, quale corrispettivo dell'immunità individuale, con il diniego dell'amnistia per chi tacesse o mentisse; il registro certifica al Livello A l'architettura e il funzionamento del modello, quali dati documentali, e ne trae la lezione che la tassonomia consegna: il modello dimostrò che l'archivio umano di un apparato, la memoria dei suoi operatori, può essere aperto soltanto pagando un prezzo di giustizia, e che l'alternativa reale, nei sistemi in transizione, non è tra verità con giustizia e verità senza giustizia, ma tra verità pagata e segreto perpetuo; il registro trascrive la lezione senza addolcirla, quale forma più esplicita della legge del capitolo, l'apertura che anche nel caso più virtuoso del corpus avvenne per scambio e non per spontaneità.</w:t>
      </w:r>
    </w:p>
    <w:p>
      <w:pPr>
        <w:spacing w:after="120" w:line="276"/>
        <w:jc w:val="both"/>
      </w:pPr>
      <w:r>
        <w:rPr>
          <w:rFonts w:ascii="Barlow Semi Condensed" w:cs="Barlow Semi Condensed" w:eastAsia="Barlow Semi Condensed" w:hAnsi="Barlow Semi Condensed"/>
          <w:sz w:val="24"/>
          <w:szCs w:val="24"/>
        </w:rPr>
        <w:t xml:space="preserve">Il quinto pilastro distende il caso maggiore della legislazione speciale, il modello americano del rilascio programmato. La legge del 1992 sulle carte dell'assassinio del presidente Kennedy impose il versamento centralizzato della documentazione di tutte le agenzie e ne programmò il rilascio integrale a scadenza venticinquennale, con la facoltà presidenziale di proroga per singoli documenti motivata da danno identificabile; l'attuazione, con i rilasci scaglionati dal 2017 in avanti e le proroghe reiterate esercitate da presidenze successive su un residuo di carte, documenta insieme la forza e il limite del modello; il registro certifica al Livello A la legge, il meccanismo e l'attuazione con le proroghe, quali dati normativi e documentali, e ne trae la seconda lezione della tassonomia: anche la via legislativa, la più ordinata delle 5, non produce l'apertura integrale ma un'apertura amministrata nel tempo, con il residuo discrezionale che si rinnova, e la coppia dei modelli, lo scambio sudafricano e il rilascio americano, delimita empiricamente ciò che gli ordinamenti hanno saputo costruire di meglio, un'apertura sempre condizionata, mai totale e mai spontanea, la conferma per via positiva della legge che il capitolo certifica per via negativa.</w:t>
      </w:r>
    </w:p>
    <w:p>
      <w:pPr>
        <w:spacing w:after="120" w:line="276"/>
        <w:jc w:val="both"/>
      </w:pPr>
      <w:r>
        <w:rPr>
          <w:rFonts w:ascii="Barlow Semi Condensed" w:cs="Barlow Semi Condensed" w:eastAsia="Barlow Semi Condensed" w:hAnsi="Barlow Semi Condensed"/>
          <w:sz w:val="24"/>
          <w:szCs w:val="24"/>
        </w:rPr>
        <w:t xml:space="preserve">Il sesto pilastro completa la tassonomia con la specie del contenzioso, la quinta via nella sua forma giudiziale. Accanto alla desecretazione amministrata per atto politico, gli ordinamenti a legislazione sull'accesso conoscono l'apertura per causa, lo strumento con cui ricercatori, testate e famiglie delle vittime hanno ottenuto per via giudiziaria il rilascio di documenti negati, la prassi consolidata nell'ordinamento americano attorno alla legge sulla libertà di informazione e replicata, con rendimenti minori, negli ordinamenti europei dotati di strumenti analoghi; il registro certifica al Livello A l'esistenza e il funzionamento della via, quali dati ordinamentali, e ne registra la caratteristica che la distingue nella tassonomia: è l'unica via attivabile dal basso, dalla società e non dagli eventi, e insieme la più lenta e la più frammentaria, producendo aperture per singoli documenti e mai per sistemi; la comparazione dei rendimenti chiude la tassonomia con la gerarchia empirica che il corpus documenta: i collassi aprono sistemi interi, le leggi speciali aprono giacimenti amministrati, gli scandali aprono per squarci, le defezioni aprono per campioni e i contenziosi aprono per gocce, e la conoscenza cumulata dell'opera è, in ogni sua pagina, la somma stratificata di queste 5 velocità.</w:t>
      </w:r>
    </w:p>
    <w:p>
      <w:pPr>
        <w:spacing w:after="120" w:line="276"/>
        <w:jc w:val="both"/>
      </w:pPr>
      <w:r>
        <w:rPr>
          <w:rFonts w:ascii="Barlow Semi Condensed" w:cs="Barlow Semi Condensed" w:eastAsia="Barlow Semi Condensed" w:hAnsi="Barlow Semi Condensed"/>
          <w:sz w:val="24"/>
          <w:szCs w:val="24"/>
        </w:rPr>
        <w:t xml:space="preserve">Il settimo pilastro censisce la serie italiana della quinta via, le direttive di versamento. La direttiva del 22 aprile 2014, che dispose il versamento anticipato agli archivi di Stato della documentazione sugli eventi stragisti della stagione, fu seguita dagli atti di estensione e attuazione degli anni successivi, che ampliarono il perimetro delle tipologie e degli organismi versanti, componendo la serie della desecretazione amministrata italiana che il registro certifica al Livello A nella sua esistenza e nella sua natura; la qualificazione che il registro ne dà è quella che la tassonomia impone: la serie appartiene alla specie dell'apertura per atto politico sotto pressione pubblica, condivide con il modello americano la natura amministrata e con esso il limite strutturale, il perimetro definito dal versante e non dal ricercatore, e il suo rendimento documentale, che le fasi dell'opera hanno impiegato quale terza soglia, resta condizionato dal residuo non versato che le chiusure hanno consegnato quale obiettivo; il registro trascrive la serie quale caso nazionale conforme alla legge, con l'annotazione che essa costituisce, a oggi, l'unica via attiva sull'ordinamento italiano, e che la sua prosecuzione, dipendendo da atti politici futuri, appartiene alla classe degli eventi che la ricerca può sollecitare e non produrre.</w:t>
      </w:r>
    </w:p>
    <w:p>
      <w:pPr>
        <w:spacing w:after="120" w:line="276"/>
        <w:jc w:val="both"/>
      </w:pPr>
      <w:r>
        <w:rPr>
          <w:rFonts w:ascii="Barlow Semi Condensed" w:cs="Barlow Semi Condensed" w:eastAsia="Barlow Semi Condensed" w:hAnsi="Barlow Semi Condensed"/>
          <w:sz w:val="24"/>
          <w:szCs w:val="24"/>
        </w:rPr>
        <w:t xml:space="preserve">Le triangolazioni del nodo sono 3. La prima, 5 vie-15 ordinamenti-assenza dell'apertura spontanea, certifica la regolarità e il suo Stato Zero. La seconda, densità-accessi-corollario del lampione, formalizza il reperto metodologico con la dimostrazione Lisbona-Parigi. La terza, soglie italiane-conformità alla legge-provvisorietà dichiarata, applica la regolarità al caso nazionale e fissa lo statuto temporale dell'opera.</w:t>
      </w:r>
    </w:p>
    <w:p>
      <w:pPr>
        <w:spacing w:after="120" w:line="276"/>
        <w:jc w:val="both"/>
      </w:pPr>
      <w:r>
        <w:rPr>
          <w:rFonts w:ascii="Barlow Semi Condensed" w:cs="Barlow Semi Condensed" w:eastAsia="Barlow Semi Condensed" w:hAnsi="Barlow Semi Condensed"/>
          <w:sz w:val="24"/>
          <w:szCs w:val="24"/>
        </w:rPr>
        <w:t xml:space="preserve">La serie italiana della quinta via si completa con il suo secondo atto, che il registro affianca alla direttiva del 2014 già censita: la direttiva dell'agosto 2021, che dispose il versamento straordinario agli archivi di Stato della documentazione concernente l'organizzazione Gladio e la loggia P2, estendendo alle 2 strutture centrali dell'opera il regime di anticipazione che la prima direttiva aveva riservato alla stagione delle stragi, Livello A quanto all'atto ed al suo oggetto. La sequenza delle 2 direttive, 2014 e 2021, consegna alla legge del capitolo la sua declinazione italiana matura: l'ordinamento ha scelto la via amministrativa dell'apertura per atto di governo, periodica e tematica, e il registro ne fissa tanto il valore, l'unico flusso di versamento anticipato attivo sul perimetro dell'opera, quanto il limite strutturale, che la regolarità empirica impone di dichiarare: la direttiva ordina il versamento di ciò che le amministrazioni detengono e dichiarano, e il suo perimetro effettivo coincide, per costruzione, con la diligenza e la completezza dei versanti, sicché la misura dell'apertura italiana resta affidata, in ultima istanza, alla stessa variabile che l'intera legge del capitolo ha isolato, la volontà degli apparati di consegnare i propri specchi.</w:t>
      </w:r>
    </w:p>
    <w:p>
      <w:pPr>
        <w:spacing w:after="120" w:line="276"/>
        <w:jc w:val="both"/>
      </w:pPr>
      <w:r>
        <w:rPr>
          <w:rFonts w:ascii="Barlow Semi Condensed" w:cs="Barlow Semi Condensed" w:eastAsia="Barlow Semi Condensed" w:hAnsi="Barlow Semi Condensed"/>
          <w:sz w:val="24"/>
          <w:szCs w:val="24"/>
        </w:rPr>
        <w:t xml:space="preserve">La tassonomia della via legislativa esige la distinzione di specie che il caso americano rende visibile: accanto al rilascio programmato del 1992, legge speciale su un singolo evento con termine e autorità dedicata, opera dal 1966 lo strumento generale del Freedom of Information Act, potenziato nel 1974 nella stagione del contraccolpo post-Watergate, che attribuisce a chiunque il diritto azionabile di ottenere i documenti delle amministrazioni federali salvo esenzioni tassative, sindacabili dal giudice, Livello A quanto agli istituti ed alle date. La distinzione è strutturale e la legge del capitolo la incorpora: il rilascio programmato apre un fondo definito per decisione politica una tantum, lo strumento generale apre un fronte permanente affidato all'iniziativa diffusa dei richiedenti, ricercatori, giornalisti, parti processuali, e la conoscenza che ne discende cresce per accumulo capillare anziché per soglie, con la conseguenza, misurabile nel corpus dell'opera, che una quota rilevante della documentazione americana citata nelle 5 fasi è frutto non di desecretazioni solenni ma di istanze ordinarie evase in via amministrativa o giudiziale. Il registro annota il termine di paragone italiano senza infierire: l'ordinamento della Repubblica non dispone di uno strumento generale equivalente azionabile sul patrimonio riservato degli apparati, e le sue aperture, come la serie delle direttive censita, restano della specie amministrata, sicché la quinta via italiana conosce una sola delle sue 2 forme, quella che dipende dal governo, non quella che dipenderebbe dai cittadini.</w:t>
      </w:r>
    </w:p>
    <w:p>
      <w:pPr>
        <w:spacing w:after="120" w:line="276"/>
        <w:jc w:val="both"/>
      </w:pPr>
      <w:r>
        <w:rPr>
          <w:rFonts w:ascii="Barlow Semi Condensed" w:cs="Barlow Semi Condensed" w:eastAsia="Barlow Semi Condensed" w:hAnsi="Barlow Semi Condensed"/>
          <w:sz w:val="24"/>
          <w:szCs w:val="24"/>
        </w:rPr>
        <w:t xml:space="preserve">La via legislativa conosce infine il suo compimento ordinamentale, che il registro censisce quale chiusura del ciclo aperto nel 1977: la legge 3 agosto 2007 numero 124 riformò integralmente il sistema dell'informazione per la sicurezza, istituendo il Dipartimento unitario, ridisegnando le agenzie, portando il controllo parlamentare al rango di organo con poteri effettivi e, soprattutto per l'economia di quest'opera, disciplinando per la prima volta in via generale la durata massima del segreto di Stato, con il limite dei 15 anni prorogabili sino a 30, e ribadendo con forza di sistema l'inopponibilità del segreto sui fatti eversivi dell'ordine costituzionale, principio già posto dalla riforma del 1977, Livello A quanto ai contenuti della riforma. Il registro consegna la legge alla sua funzione di verifica: la conferma rafforzata dell'ineccepibilità del segreto per i fatti di strage e di eversione è la traduzione in diritto positivo dell'intera esperienza che le fasi terza e quarta hanno censito, il riconoscimento legislativo che il segreto di Stato era stato, nel corpus, anche uno strumento delle ostruzioni, e la sua approvazione a 30 anni esatti dalla prima riforma misura il passo della metabolizzazione istituzionale italiana: una generazione per ammettere il problema con la legge del 1977, una seconda per scrivere nella legge la sua soluzione, con l'avvertenza documentale che il registro annota per il bilancio finale, che le norme censite in questo capitolo disciplinano il segreto futuro, mentre sul segreto passato, quello che grava sugli archivi del corpus, la partita resta affidata alle direttive di versamento censite, cioè ad atti amministrativi revocabili, e non alla forza stabile della legge.</w:t>
      </w:r>
    </w:p>
    <w:p>
      <w:pPr>
        <w:spacing w:after="120" w:line="276"/>
        <w:jc w:val="both"/>
      </w:pPr>
      <w:r>
        <w:rPr>
          <w:rFonts w:ascii="Barlow Semi Condensed" w:cs="Barlow Semi Condensed" w:eastAsia="Barlow Semi Condensed" w:hAnsi="Barlow Semi Condensed"/>
          <w:sz w:val="24"/>
          <w:szCs w:val="24"/>
        </w:rPr>
        <w:t xml:space="preserve">La via legislativa conosce infine la sua unica declinazione sovranazionale, che il registro censisce quale atto europeo del corpus: il 22 novembre 1990, nelle settimane della rivelazione italiana, il Parlamento europeo approvò una risoluzione sulla vicenda delle reti clandestine, con cui protestava per l'esistenza quarantennale di strutture operative sottratte ad ogni controllo democratico, invitava i governi degli Stati membri a procedere al loro scioglimento ed i parlamenti nazionali ad istituire commissioni d'inchiesta, Livello A quanto all'atto ed ai suoi contenuti. Il seguito misura la distanza tra la parola europea e le sovranità nazionali, ed il registro lo riporta quale esito: alle sollecitazioni dell'assemblea diedero seguito con inchieste organiche soltanto l'Italia, il Belgio e la Svizzera, mentre la maggioranza degli Stati membri archiviò la questione senza accertamenti pubblici, Livello A quanto alla geografia delle inchieste effettivamente svolte. Il registro consegna il caso alla verifica finale con la sua doppia lezione: la risoluzione del novembre 1990 dimostra che la dimensione europea del sistema fu riconosciuta ufficialmente dall'unica istituzione parlamentare continentale, e la sua inesecuzione diffusa dimostra che il controllo democratico sugli apparati restò, anche dopo il riconoscimento, una variabile interamente nazionale, con il paradosso che chiude il capitolo: il Paese del corpus, quello che l'opera ha censito quale teatro massimo delle deviazioni, fu anche, nella risposta, il più trasparente del continente, e la Repubblica che non seppe impedire è la stessa che, sola con 2 altre, volle almeno sapere.</w:t>
      </w:r>
    </w:p>
    <w:p>
      <w:pPr>
        <w:spacing w:after="120" w:line="276"/>
        <w:jc w:val="both"/>
      </w:pPr>
      <w:r>
        <w:rPr>
          <w:rFonts w:ascii="Barlow Semi Condensed" w:cs="Barlow Semi Condensed" w:eastAsia="Barlow Semi Condensed" w:hAnsi="Barlow Semi Condensed"/>
          <w:sz w:val="24"/>
          <w:szCs w:val="24"/>
        </w:rPr>
        <w:t xml:space="preserve">Il capitolo delle aperture esige la sua cornice comparata, che il registro formula quale bilancio della finestra: il decennio 1990-2000 costituì la stagione irripetibile in cui il pianeta aprì simultaneamente i propri armadi, con la rivelazione delle reti clandestine occidentali, la spalancatura degli archivi orientali censita, le commissioni verità australi ed africane, le declassificazioni americane sul Cile ed i primi protocolli italiani di versamento, una convergenza planetaria di trasparenza prodotta dal medesimo evento generatore, la fine della contrapposizione che aveva giustificato mezzo secolo di segreti, Livello A quanto alla cronologia comparata delle aperture. Il registro consegna la finestra alla sua lezione malinconica: quella stagione non si è ripetuta, poiché i decenni successivi hanno visto in più teatri il riflusso, le richiusure selettive, i segreti nuovi sedimentare sui vecchi, e l'opera, che di quella finestra è integralmente debitrice, perché quasi ogni Livello A internazionale del corpus discende da carte uscite in quel decennio, ne registra la natura per il lettore futuro: la conoscenza del potere occulto non cresce linearmente, respira con la geopolitica, si dilata quando i sistemi che produssero i segreti muoiono e si contrae quando i loro eredi si riorganizzano, sicché ogni generazione di studiosi lavora con la finestra che la propria epoca le concede, e questa opera dichiara di avere lavorato con la più grande che la storia contemporanea abbia mai aperto, sapendo che era già in via di richiusura.</w:t>
      </w:r>
    </w:p>
    <w:p>
      <w:pPr>
        <w:spacing w:after="120" w:line="276"/>
        <w:jc w:val="both"/>
      </w:pPr>
      <w:r>
        <w:rPr>
          <w:rFonts w:ascii="Barlow Semi Condensed" w:cs="Barlow Semi Condensed" w:eastAsia="Barlow Semi Condensed" w:hAnsi="Barlow Semi Condensed"/>
          <w:b/>
          <w:bCs/>
          <w:sz w:val="24"/>
          <w:szCs w:val="24"/>
        </w:rPr>
        <w:t xml:space="preserve">Sintesi del dato nuovo acquisito:</w:t>
      </w:r>
      <w:r>
        <w:rPr>
          <w:rFonts w:ascii="Barlow Semi Condensed" w:cs="Barlow Semi Condensed" w:eastAsia="Barlow Semi Condensed" w:hAnsi="Barlow Semi Condensed"/>
          <w:sz w:val="24"/>
          <w:szCs w:val="24"/>
        </w:rPr>
        <w:t xml:space="preserve"> la regolarità delle aperture è certificata al Livello A quale legge empirica senza eccezioni sul perimetro censito, con la tassonomia delle 5 vie, lo Stato Zero dell'apertura spontanea, il lampione elevato a reperto misurato e la provvisorietà archivistica dell'opera dichiarata quale statuto e non quale limite.</w:t>
      </w:r>
    </w:p>
    <w:p>
      <w:pPr>
        <w:pStyle w:val="Heading3"/>
        <w:spacing w:after="80" w:before="160"/>
      </w:pPr>
      <w:r>
        <w:rPr>
          <w:rFonts w:ascii="Barlow Semi Condensed" w:cs="Barlow Semi Condensed" w:eastAsia="Barlow Semi Condensed" w:hAnsi="Barlow Semi Condensed"/>
          <w:sz w:val="24"/>
          <w:szCs w:val="24"/>
        </w:rPr>
        <w:t xml:space="preserve">Capitolo 10 — La verifica finale: le macro-ipotesi al giudizio del grafo e la lettura reticolare conclusiva</w:t>
      </w:r>
    </w:p>
    <w:p>
      <w:pPr>
        <w:spacing w:after="120" w:line="276"/>
        <w:jc w:val="both"/>
      </w:pPr>
      <w:r>
        <w:rPr>
          <w:rFonts w:ascii="Barlow Semi Condensed" w:cs="Barlow Semi Condensed" w:eastAsia="Barlow Semi Condensed" w:hAnsi="Barlow Semi Condensed"/>
          <w:sz w:val="24"/>
          <w:szCs w:val="24"/>
        </w:rPr>
        <w:t xml:space="preserve">Il decimo nodo è la verifica, l'adempimento per il quale l'opera è stata costruita. Il registro vi sottopone le macro-ipotesi allo stato terminale dei materiali, con il metodo delle ipotesi concorrenti applicato al grafo completo, e dichiara gli esiti senza eccedere di una riga ciò che i documenti consentono.</w:t>
      </w:r>
    </w:p>
    <w:p>
      <w:pPr>
        <w:spacing w:after="120" w:line="276"/>
        <w:jc w:val="both"/>
      </w:pPr>
      <w:r>
        <w:rPr>
          <w:rFonts w:ascii="Barlow Semi Condensed" w:cs="Barlow Semi Condensed" w:eastAsia="Barlow Semi Condensed" w:hAnsi="Barlow Semi Condensed"/>
          <w:sz w:val="24"/>
          <w:szCs w:val="24"/>
        </w:rPr>
        <w:t xml:space="preserve">Il primo pilastro fissa lo stato dell'ipotesi H1, la convergenza delle potenze contro l'autonomia e l'integrazione europea. La verifica ricompone i fatti di base certificati dalle fasi: le contrarietà pubbliche dei 2 campi al progetto di allargamento democratico italiano, elevate al Livello A dalla Fase 4; la simmetria delle interferenze ordinarie documentate, i canali finanziari dei 2 imperi verso i rispettivi versanti del sistema politico, entrambi al Livello A per esistenza; la serie mediterranea degli attriti con l'alleato maggiore, al Livello A; e l'architettura stay-behind quale massimo fatto strutturale del campo occidentale, al Livello A. La verifica ricompone parimenti ciò che manca: nessun documento, in alcun teatro e in alcuna stagione, certifica il coordinamento tra i 2 campi, la cabina comune che la forma forte dell'ipotesi esige, e le 2 varianti dell'interferenza si escludono reciprocamente in ogni caso concreto censito; e ricompone l'esito del test quantitativo che l'opera ha pre-registrato ed eseguito, la verifica statistica dell'addensamento degli eventi stragisti attorno alle scadenze dell'integrazione europea, conclusasi con il risultato nullo, la probabilità del 60 per cento che la distribuzione osservata sia casuale, che ha falsificato la tesi della densità nella sua forma misurabile. Il verdetto è dichiarato: l'ipotesi H1 esce dall'opera non falsificata nella sua forma debole, la convergenza oggettiva di interessi certificata al Livello B dalla Fase 4, falsificata nella sua unica articolazione misurabile, e non avanzata oltre, il falsificatore milwardiano, per il quale le potenze perseguono interessi ordinari senza cabine comuni, restando integralmente compatibile con ogni fatto certificato; H1 è perciò archiviata quale ipotesi di Livello C con fatti di base certificati, non promossa e non rimossa, secondo lo statuto che il metodo assegna alle ipotesi vive e non provate.</w:t>
      </w:r>
    </w:p>
    <w:p>
      <w:pPr>
        <w:spacing w:after="120" w:line="276"/>
        <w:jc w:val="both"/>
      </w:pPr>
      <w:r>
        <w:rPr>
          <w:rFonts w:ascii="Barlow Semi Condensed" w:cs="Barlow Semi Condensed" w:eastAsia="Barlow Semi Condensed" w:hAnsi="Barlow Semi Condensed"/>
          <w:sz w:val="24"/>
          <w:szCs w:val="24"/>
        </w:rPr>
        <w:t xml:space="preserve">Il secondo pilastro fissa lo stato dell'ipotesi concorrente e della formulazione di sintesi. L'ipotesi concorrente registrata dall'opera, la lettura dei 2 progetti rivali di ordinamento autoritario del continente, l'uno di matrice atlantico-controinsurrezionale e l'altro di matrice orientale, esce dalla fase con i propri successi esplicativi censiti, la capacità di rendere conto della bipolarità documentata delle interferenze senza postulare la cabina comune, e con il medesimo statuto di Livello C, nessun documento certificando i progetti quali disegni unitari; tra le 2 ipotesi il registro non decide, dichiarando l'evidenza non diagnostica al livello delle macro-letture. Ciò che il registro promuove è l'enunciato di sintesi che i materiali sostengono, la formulazione che la proposta parlamentare del giugno 2000 consegnò e che l'opera ha verificato quale massimo enunciato compatibile con il certificato: l'oggetto della stagione non fu la restaurazione di un regime, ma il mantenimento di una democrazia a sovranità ed evoluzione limitate, l'esclusione permanente di una parte del sistema politico dalla piena legittimazione di governo, perseguita e ottenuta attraverso un equilibrio precario continuamente amministrato; il registro certifica che questo enunciato, e soltanto questo, è sostenuto dall'intero corpus senza residui contrari, e lo consegna quale conclusione di merito dell'opera, al livello di una sintesi storiografica fondata e non di un teorema dimostrato.</w:t>
      </w:r>
    </w:p>
    <w:p>
      <w:pPr>
        <w:spacing w:after="120" w:line="276"/>
        <w:jc w:val="both"/>
      </w:pPr>
      <w:r>
        <w:rPr>
          <w:rFonts w:ascii="Barlow Semi Condensed" w:cs="Barlow Semi Condensed" w:eastAsia="Barlow Semi Condensed" w:hAnsi="Barlow Semi Condensed"/>
          <w:sz w:val="24"/>
          <w:szCs w:val="24"/>
        </w:rPr>
        <w:t xml:space="preserve">Il terzo pilastro consegna la lettura reticolare conclusiva, le misure finali sul grafo completo. Le centralità terminali confermano e ordinano: la loggia P2 detiene la massima intermediazione complessiva dell'opera, presente in tutti i teatri maggiori nazionali e dotata di proiezione transnazionale certificata; il Dominio 3 conferma la natura di connettivo universale; Giuseppe Calò resta l'individuo con il maggior numero di giudicati capitali; Michele Sindona e Licio Gelli si confermano le massime intermediazioni individuali tra i domini e tra i continenti; il Sudafrica dell'apartheid detiene la massima intermediazione tra i dossier internazionali; e la stratificazione massima del corpus appartiene al nodo triestino censito dalle fasi, con i suoi 7 strati documentali indipendenti. I pattern chiudono il proprio bilancio sul grafo intero: il Pattern 3 consegna le finestre critiche censite, il Pattern 5 la firma delle assenze selettive, verificata dalla Fase 4 nella coincidenza sistematica tra l'eliminazione dei detentori e la scomparsa delle carte, il Pattern 7 le carriere transnazionali con il caso Delle Chiaie quale massimo percorso censito, il Pattern 10 la geografia dei rifugi e degli hub, il Pattern 11 l'isomorfismo Aginter-Hyperion quale grammatica comune della clandestinità. Il registro dichiara compiuta la lettura e chiude l'opera con il congedo che il metodo impone: 5 fasi, i cerchi nazionali e il mondo, un inventario di fatti certificati ai loro livelli, di assenze documentate, di esiti riportati per esteso e di ipotesi mantenute vive al loro posto, consegnato al tempo archivistico che solo potrà accrescerlo, con la sola certezza che l'opera rivendica, quella del proprio metodo: in un campo dove l'oggetto manipola le condizioni della propria osservabilità, la trasparenza del metodo non è un ornamento, è la condizione di possibilità della conoscenza, e l'opera consegna al lettore, prima di ogni contenuto, esattamente questa.</w:t>
      </w:r>
    </w:p>
    <w:p>
      <w:pPr>
        <w:spacing w:after="120" w:line="276"/>
        <w:jc w:val="both"/>
      </w:pPr>
      <w:r>
        <w:rPr>
          <w:rFonts w:ascii="Barlow Semi Condensed" w:cs="Barlow Semi Condensed" w:eastAsia="Barlow Semi Condensed" w:hAnsi="Barlow Semi Condensed"/>
          <w:sz w:val="24"/>
          <w:szCs w:val="24"/>
        </w:rPr>
        <w:t xml:space="preserve">Il quarto pilastro censisce le coppie inter-dominio attivate dal teatro internazionale, il completamento della matrice delle 45. La fase attiva sul grafo internazionale le coppie che le fasi nazionali non avevano saturato: la coppia intelligence-terrorismo nella sua proiezione estera, con i canali mediterranei e i satelliti orientali; la coppia crimine-economia sulla scala dei 2 continenti, con la parabola sindoniana quale arco maggiore; la coppia massoneria-politica nella proiezione transnazionale della loggia; la coppia forze armate-intelligence nel sistema stay-behind continentale; e le coppie a bassa densità che la Nota metodologica indicava quali potenzialmente rivelatrici, tra cui la coppia religione-intelligence, attivata dal caso dell'attentato al pontefice con il suo mandato non accertato; il registro certifica al Livello A l'attivazione documentale delle coppie, quale dato della struttura del corpus, e consegna la matrice completa alla lettura: delle 45 coppie possibili, il corpus dell'opera ne documenta quali empiricamente significative un numero conforme alla stima preliminare della Nota, tra le 25 e le 30, con le densità massime sulle coppie che le fasi hanno percorso e le assenze anch'esse censite, secondo il principio per cui la coppia vuota è un dato quanto la coppia satura.</w:t>
      </w:r>
    </w:p>
    <w:p>
      <w:pPr>
        <w:spacing w:after="120" w:line="276"/>
        <w:jc w:val="both"/>
      </w:pPr>
      <w:r>
        <w:rPr>
          <w:rFonts w:ascii="Barlow Semi Condensed" w:cs="Barlow Semi Condensed" w:eastAsia="Barlow Semi Condensed" w:hAnsi="Barlow Semi Condensed"/>
          <w:sz w:val="24"/>
          <w:szCs w:val="24"/>
        </w:rPr>
        <w:t xml:space="preserve">Il quinto pilastro consegna il programma ordinato degli obiettivi, il lascito operativo alla ricerca. Il registro ordina gli obiettivi per rendimento atteso: il primo è l'accesso agli archivi francesi del periodo, l'unica variabile capace di mutare lo stato del nodo Hyperion e del santuario; il secondo è il completamento del versamento italiano, il perimetro non versato delle direttive; il terzo è lo sfruttamento sistematico del versato del 2014 e successivi, il lavoro possibile a regime invariato che le fasi hanno soltanto iniziato; il quarto è il monitoraggio delle 5 vie sugli ordinamenti non ancora aperti, con la certezza empirica che ogni futura apertura verrà da un evento e la conseguente necessità di prontezza metodologica; il quinto è l'estensione del riscontro sistematico, la pratica dello Stato Zero, a ogni suggestione che il dibattito pubblico produca, la funzione igienica che l'opera ha esercitato sul proprio campo e che consegna quale servizio permanente; il registro certifica il programma quale ordinamento di priorità fondato sui rendimenti documentati delle vie, non quale previsione, e lo consegna con l'avvertenza che la legge del capitolo nono impone: la ricerca può preparare le aperture, non produrle, e il suo compito, negli intervalli tra le soglie, è mantenere il registro pronto, citabile e falsificabile per il giorno in cui una via si aprirà.</w:t>
      </w:r>
    </w:p>
    <w:p>
      <w:pPr>
        <w:spacing w:after="120" w:line="276"/>
        <w:jc w:val="both"/>
      </w:pPr>
      <w:r>
        <w:rPr>
          <w:rFonts w:ascii="Barlow Semi Condensed" w:cs="Barlow Semi Condensed" w:eastAsia="Barlow Semi Condensed" w:hAnsi="Barlow Semi Condensed"/>
          <w:sz w:val="24"/>
          <w:szCs w:val="24"/>
        </w:rPr>
        <w:t xml:space="preserve">Il sesto pilastro distende, in prosa, la matrice terminale delle ipotesi concorrenti, l'adempimento formale del metodo di Heuer sull'intero corpus. Le evidenze maggiori sono passate in rassegna contro le 3 letture in campo, la convergenza coordinata dei 2 imperi, i 2 progetti rivali e la lettura ordinaria degli interessi paralleli senza cabina, il falsificatore milwardiano. Le contrarietà pubbliche dei 2 campi sono coerenti con tutte e 3 le letture, e perciò non diagnostiche. La simmetria dei canali di finanziamento è coerente con tutte e 3, e non diagnostica. L'architettura stay-behind è coerente con la seconda e con la terza, e contro la prima soltanto ove se ne provasse il coordinamento con strutture del campo opposto, prova assente: non diagnostica in assenza. La bipolarità documentata delle varianti di interferenza nel caso capitale, le 2 piste reciprocamente escludentisi della Fase 4, è più coerente con la seconda e la terza lettura che con la prima, cui oppone la difficoltà logica censita: debolmente diagnostica contro la convergenza. Il test statistico nullo sull'addensamento è direttamente contrario alla forma misurabile della prima lettura e neutro verso le altre: diagnostico contro la forma forte di H1. Nessuna evidenza del corpus è contraria alla lettura ordinaria. Il registro trascrive l'esito che la matrice impone: la lettura meno contraddetta dall'insieme delle evidenze è il falsificatore, gli interessi paralleli senza cabina, e le 2 macro-ipotesi sopravvivono quali letture possibili di fatti che non le esigono; il metodo, applicato sino in fondo, consegna la conclusione più sobria del suo repertorio, e il registro la dichiara senza attenuarla, quale prova terminale che l'opera ha obbedito al proprio statuto anche contro la suggestione dei propri materiali.</w:t>
      </w:r>
    </w:p>
    <w:p>
      <w:pPr>
        <w:spacing w:after="120" w:line="276"/>
        <w:jc w:val="both"/>
      </w:pPr>
      <w:r>
        <w:rPr>
          <w:rFonts w:ascii="Barlow Semi Condensed" w:cs="Barlow Semi Condensed" w:eastAsia="Barlow Semi Condensed" w:hAnsi="Barlow Semi Condensed"/>
          <w:sz w:val="24"/>
          <w:szCs w:val="24"/>
        </w:rPr>
        <w:t xml:space="preserve">Il settimo pilastro consegna la periodizzazione reticolare del teatro, le finestre critiche del Pattern 3 sul grafo internazionale. La distribuzione temporale degli eventi certificati dalla fase addensa 4 finestre che il registro formalizza: la finestra del 1974-1975, con la caduta di Lisbona, la diaspora iberica, la formalizzazione del Condor e l'attentato Leighton, la ricomposizione continentale del campo nero attorno ai nuovi protettori; la finestra del 1980-1982, con il golpe boliviano, la scoperta della loggia, l'attentato al pontefice, l'arresto ginevrino del Venerabile e la strage della Sinagoga, il biennio di massima attività simultanea dei fili del corpus; la finestra del 1985-1986, con la crisi dell'Achille Lauro, l'assassinio di Palme, la morte di Sindona a 4 giorni dall'ergastolo e l'assoluzione del processo bulgaro, il biennio degli epiloghi in cui i massimi fili individuali e giudiziari del teatro si chiusero in rapida successione; e la finestra del 1990-1992, con le rivelazioni continentali, i collassi orientali e le prime grandi aperture, la soglia in cui il sistema studiato passò dalla fase operativa alla fase archivistica; il registro certifica al Livello A l'addensamento descrittivo delle 4 finestre, quale distribuzione osservata sui fatti censiti, si astiene, in coerenza con l'esito del test statistico dell'opera, dall'attribuire alle finestre qualsiasi significatività causale non dimostrata, e le consegna quale periodizzazione di servizio, lo scheletro temporale certificato sul quale la ricerca futura potrà disporre i documenti che le aperture verranno consegnando.</w:t>
      </w:r>
    </w:p>
    <w:p>
      <w:pPr>
        <w:spacing w:after="120" w:line="276"/>
        <w:jc w:val="both"/>
      </w:pPr>
      <w:r>
        <w:rPr>
          <w:rFonts w:ascii="Barlow Semi Condensed" w:cs="Barlow Semi Condensed" w:eastAsia="Barlow Semi Condensed" w:hAnsi="Barlow Semi Condensed"/>
          <w:sz w:val="24"/>
          <w:szCs w:val="24"/>
        </w:rPr>
        <w:t xml:space="preserve">Le triangolazioni del nodo sono 3. La prima, fatti di base-assenza di coordinamento-test nullo, fissa il verdetto su H1 quale ipotesi archiviata viva al Livello C. La seconda, ipotesi concorrente-evidenza non diagnostica-formulazione del 2000, consegna la conclusione di merito al livello della sintesi fondata. La terza, centralità finali-bilancio dei pattern-congedo, chiude la lettura reticolare e l'opera.</w:t>
      </w:r>
    </w:p>
    <w:p>
      <w:pPr>
        <w:spacing w:after="120" w:line="276"/>
        <w:jc w:val="both"/>
      </w:pPr>
      <w:r>
        <w:rPr>
          <w:rFonts w:ascii="Barlow Semi Condensed" w:cs="Barlow Semi Condensed" w:eastAsia="Barlow Semi Condensed" w:hAnsi="Barlow Semi Condensed"/>
          <w:sz w:val="24"/>
          <w:szCs w:val="24"/>
        </w:rPr>
        <w:t xml:space="preserve">La verifica finale dell'opera si completa, nell'edizione definitiva, con il recepimento della triangolazione cumulata che ne costituisce il sigillo esterno: le 5 fasi del volume sono state incrociate con le 7 tranche di un registro di verifica indipendente, 438 blocchi certificati che hanno saggiato la coerenza dell'opera con il corpus di progetto, con i giudicati e con i blocchi delle stagioni precedenti, dalla rete nera transnazionale al coordinamento australe sino al caso capitale, restituendo un esito che questa fase, per statuto deputata alla falsificazione, ha il dovere di registrare con la stessa freddezza con cui avrebbe registrato il contrario: nessuna contraddizione fattuale certificata, tenuta integrale delle gradazioni al campionamento esterno, conferma degli Stati Zero quali risultati, Livello A quale esito della campagna. Il registro consegna il recepimento alla chiusura che l'intera opera esige: la verifica finale non è più soltanto l'autoesame interno che questo capitolo ha condotto sulle proprie ipotesi, è divenuta un contraddittorio documentale a 2 corpi indipendenti, l'opera che afferma ed il registro che verifica, e la sopravvivenza dell'opera a quel contraddittorio, che il metodo popperiano assume quale unico titolo provvisorio di conoscenza, è il solo senso in cui questa edizione può dirsi definitiva: non perché non potrà essere corretta, ma perché è stata, sino all'ultimo enunciato disponibile, messa alla prova.</w:t>
      </w:r>
    </w:p>
    <w:p>
      <w:pPr>
        <w:spacing w:after="120" w:line="276"/>
        <w:jc w:val="both"/>
      </w:pPr>
      <w:r>
        <w:rPr>
          <w:rFonts w:ascii="Barlow Semi Condensed" w:cs="Barlow Semi Condensed" w:eastAsia="Barlow Semi Condensed" w:hAnsi="Barlow Semi Condensed"/>
          <w:b/>
          <w:bCs/>
          <w:sz w:val="24"/>
          <w:szCs w:val="24"/>
        </w:rPr>
        <w:t xml:space="preserve">Sintesi del dato nuovo acquisito:</w:t>
      </w:r>
      <w:r>
        <w:rPr>
          <w:rFonts w:ascii="Barlow Semi Condensed" w:cs="Barlow Semi Condensed" w:eastAsia="Barlow Semi Condensed" w:hAnsi="Barlow Semi Condensed"/>
          <w:sz w:val="24"/>
          <w:szCs w:val="24"/>
        </w:rPr>
        <w:t xml:space="preserve"> la verifica finale archivia H1 quale ipotesi viva di Livello C con fatti di base certificati e articolazione misurabile falsificata dal test nullo, dichiara l'evidenza non diagnostica tra le macro-letture, promuove la formulazione del giugno 2000 quale massimo enunciato di merito sostenuto dal corpus, e consegna le centralità terminali del grafo, la loggia quale massima intermediazione, i ponti individuali di Sindona e Gelli, l'hub australe e la firma delle assenze, chiudendo l'opera quale inventario verificato e dichiaratamente provvisorio.</w:t>
      </w:r>
    </w:p>
    <w:p>
      <w:pPr>
        <w:pStyle w:val="Heading3"/>
        <w:spacing w:after="80" w:before="160"/>
      </w:pPr>
      <w:r>
        <w:rPr>
          <w:rFonts w:ascii="Barlow Semi Condensed" w:cs="Barlow Semi Condensed" w:eastAsia="Barlow Semi Condensed" w:hAnsi="Barlow Semi Condensed"/>
          <w:sz w:val="24"/>
          <w:szCs w:val="24"/>
        </w:rPr>
        <w:t xml:space="preserve">Repertorio consolidato della Fase 5 — Inventario unitario dei teatri, degli esiti e degli Stati Zero</w:t>
      </w:r>
    </w:p>
    <w:p>
      <w:pPr>
        <w:spacing w:after="120" w:line="276"/>
        <w:jc w:val="both"/>
      </w:pPr>
      <w:r>
        <w:rPr>
          <w:rFonts w:ascii="Barlow Semi Condensed" w:cs="Barlow Semi Condensed" w:eastAsia="Barlow Semi Condensed" w:hAnsi="Barlow Semi Condensed"/>
          <w:sz w:val="24"/>
          <w:szCs w:val="24"/>
        </w:rPr>
        <w:t xml:space="preserve">Il repertorio consolida in un inventario unitario le certificazioni della fase, ordinate per versanti, quale riferimento citabile per ogni richiamo interno dell'opera al grafo internazionale.</w:t>
      </w:r>
    </w:p>
    <w:p>
      <w:pPr>
        <w:spacing w:after="120" w:line="276"/>
        <w:jc w:val="both"/>
      </w:pPr>
      <w:r>
        <w:rPr>
          <w:rFonts w:ascii="Barlow Semi Condensed" w:cs="Barlow Semi Condensed" w:eastAsia="Barlow Semi Condensed" w:hAnsi="Barlow Semi Condensed"/>
          <w:sz w:val="24"/>
          <w:szCs w:val="24"/>
        </w:rPr>
        <w:t xml:space="preserve">Il primo versante è quello dei teatri certificati. Vi appartengono: la centrale Aginter Press, con esistenza, direzione, dottrina scritta, corsi, costellazione denominativa e cattura archivistica del 1974 al Livello A, transiti italiani al Livello B e condanne organiche assenti; il sistema Condor, formalizzato nel novembre 1975, al Livello A, con l'attentato Leighton del 6 ottobre 1975 e le condanne del 1995 e del 2021; le presenze italiane latinoamericane, la diaspora nera nell'orbita del golpe boliviano del 17 luglio 1980 e la retrovia argentina della loggia, entrambe al Livello A senza coordinamento provato tra loro, con gli epiloghi di Delle Chiaie e di Gelli riportati; l'hub sudafricano, con la posizione di massima intermediazione inter-dossier al Livello A, gli assi di complicità al Livello A, la rete delle sanzioni al Livello B, il programma nucleare con lo smantellamento del 1993 e la transizione quale apertura; il santuario francese, con la dottrina del rifugio nelle sue 3 età al Livello A, la comunità dei fuoriusciti, la controprova Battisti e il diniego estradizionale definitivo del marzo 2023; il sistema mediterraneo, con la prassi del lodo al Livello B, i fatti di Ortona, il terminale Giovannone, la serie delle infrazioni certificate e la crisi dell'ottobre 1985 con la coda di governo al Livello A; il versante orientale, con il compendio Mitrokhin e i 261 rapporti Impedian recepiti con la disciplina della fonte al Livello B per le schedature, e il canale finanziario storico al Livello A; il versante occidentale, con il canale fondativo del 1948 al Livello A, la fonte congressuale del 1975-1976, la parabola di Sindona integralmente certificata, l'infrastruttura delle basi e l'enclave di immunità del 1987; e il sistema stay-behind, al Livello A per esistenza continentale con l'innesco Casson, l'elenco dei 622, lo scioglimento del 1990, il conflitto istituzionale e gli impieghi interni al Livello C.</w:t>
      </w:r>
    </w:p>
    <w:p>
      <w:pPr>
        <w:spacing w:after="120" w:line="276"/>
        <w:jc w:val="both"/>
      </w:pPr>
      <w:r>
        <w:rPr>
          <w:rFonts w:ascii="Barlow Semi Condensed" w:cs="Barlow Semi Condensed" w:eastAsia="Barlow Semi Condensed" w:hAnsi="Barlow Semi Condensed"/>
          <w:sz w:val="24"/>
          <w:szCs w:val="24"/>
        </w:rPr>
        <w:t xml:space="preserve">Il secondo versante è quello degli Stati Zero, che la fase eleva a inventario proprio: la connessione operativa Aginter-Hyperion, cercata sull'intero corpus e non trovata, con il solo isomorfismo strutturale certificato; il coordinamento tra la diaspora nera andina e la retrovia piduista atlantica, non documentato; il riscontro tra i profili contemporanei a radici australi e le reti storiche del corpus, condotto integralmente e negativo, con divieto assoluto di inferenza associativa; il coordinamento tra i 2 campi imperiali, cercato in ogni teatro e in ogni stagione e mai documentato; e l'apertura archivistica spontanea, cercata in 15 ordinamenti e assente in tutti. I 5 Stati Zero sono certificati quali risultati di prima classe, ciascuno con il perimetro della ricerca dichiarato.</w:t>
      </w:r>
    </w:p>
    <w:p>
      <w:pPr>
        <w:spacing w:after="120" w:line="276"/>
        <w:jc w:val="both"/>
      </w:pPr>
      <w:r>
        <w:rPr>
          <w:rFonts w:ascii="Barlow Semi Condensed" w:cs="Barlow Semi Condensed" w:eastAsia="Barlow Semi Condensed" w:hAnsi="Barlow Semi Condensed"/>
          <w:sz w:val="24"/>
          <w:szCs w:val="24"/>
        </w:rPr>
        <w:t xml:space="preserve">Il terzo versante è quello degli esiti personali, riportati per esteso in ottemperanza alla disciplina. Gli esiti assolutori definitivi della fase sono: l'assoluzione di Stefano Delle Chiaie per la strage di piazza Fontana, pronunciata dalla Corte d'assise di Catanzaro nel 1989 e confermata in appello nel 1991; e l'assoluzione per insufficienza di prove di Sergej Antonov e dei coimputati bulgari e turchi nel processo sul mandato dell'attentato al pontefice, pronunciata dalla Corte d'assise di Roma nel marzo 1986. Gli esiti di condanna certificati comprendono: le condanne contumaciali dei vertici della DINA pronunciate dalla Corte d'assise di Roma nel 1995 per l'attentato a Bernardo Leighton; gli ergastoli del processo Condor, estesi in appello nel 2019 e definitivi in Cassazione nel 2021; l'ergastolo di Mehmet Ali Ağca per l'attentato del 13 maggio 1981, con la grazia del giugno 2000; le condanne americane e italiane di Michele Sindona, sino all'ergastolo del 18 marzo 1986 per l'omicidio Ambrosoli, con la morte del 22 marzo 1986; la consegna di Cesare Battisti del 14 gennaio 2019 quale esecuzione differita di condanne definitive; e il diniego estradizionale francese del marzo 2023 quale esito ordinamentale sui condannati definitivi rifugiati. Le vittime nominate della fase sono Leon Klinghoffer, assassinato l'8 ottobre 1985 sull'Achille Lauro, Stefano Gaj Taché, il bambino di 2 anni assassinato nella strage della Sinagoga di Roma del 9 ottobre 1982, e Olof Palme, assassinato a Stoccolma il 28 febbraio 1986 con la pista australe al Livello C e la chiusura del 2020 quale esito; le vittime ferite nominate sono Bernardo Leighton e Anita Fresno, colpiti a Roma il 6 ottobre 1975; le vittime plurime delle stragi aeroportuali di Fiumicino, 32 il 17 dicembre 1973 e 13 il 27 dicembre 1985, sono richiamate nel numero con rinvio della nominazione integrale agli atti; a esse la fase salda, per richiamo, il censimento integrale delle vittime delle 4 fasi nazionali, che il repertorio della Fase 4 custodisce.</w:t>
      </w:r>
    </w:p>
    <w:p>
      <w:pPr>
        <w:spacing w:after="120" w:line="276"/>
        <w:jc w:val="both"/>
      </w:pPr>
      <w:r>
        <w:rPr>
          <w:rFonts w:ascii="Barlow Semi Condensed" w:cs="Barlow Semi Condensed" w:eastAsia="Barlow Semi Condensed" w:hAnsi="Barlow Semi Condensed"/>
          <w:sz w:val="24"/>
          <w:szCs w:val="24"/>
        </w:rPr>
        <w:t xml:space="preserve">Il quarto versante è quello dei reperti metodologici: la regolarità delle aperture archivistiche, al Livello A quale legge empirica con la tassonomia delle 5 vie e la gerarchia dei rendimenti; il corollario del lampione, elevato a reperto misurato con la dimostrazione Lisbona-Parigi e con l'autocorrezione applicata all'hub australe; l'asimmetria della prova tra i campi, dichiarata quale condizione e corretta in ogni comparazione; il limite dell'autocertificazione per ogni documentazione a fonte esclusiva, formalizzato sulle liste della rete, sui compendi orientali e sugli elenchi della loggia; la figura del consenso implicito quale configurazione ricorrente delle prassi riservate; la legge della chiusura per scoperta, simmetrica alla legge delle aperture; e la categoria dello Stato Zero, formalizzata quale strumento ordinario con l'inventario del secondo versante.</w:t>
      </w:r>
    </w:p>
    <w:p>
      <w:pPr>
        <w:spacing w:after="120" w:line="276"/>
        <w:jc w:val="both"/>
      </w:pPr>
      <w:r>
        <w:rPr>
          <w:rFonts w:ascii="Barlow Semi Condensed" w:cs="Barlow Semi Condensed" w:eastAsia="Barlow Semi Condensed" w:hAnsi="Barlow Semi Condensed"/>
          <w:sz w:val="24"/>
          <w:szCs w:val="24"/>
        </w:rPr>
        <w:t xml:space="preserve">Il quinto versante è quello dei buchi strutturali che la fase consegna aperti: gli archivi di Hyperion e il perimetro non versato degli archivi italiani, ereditati dalla Fase 4 quali obiettivi; gli archivi dei servizi dei regimi protettori non collassati, per i teatri che la tassonomia colloca fuori dalle 5 vie storicamente date; il mandato dell'attentato del 13 maggio 1981, il massimo accertamento internazionale rimasto senza esito nel corpus; le carte del terminale mediterraneo non versate, con la fonte primaria estinta nel 1985; e la questione della completezza di ogni elenco a fonte esclusiva, dichiarata strutturalmente indecidibile e perciò censita quale buco permanente di specie propria.</w:t>
      </w:r>
    </w:p>
    <w:p>
      <w:pPr>
        <w:spacing w:after="120" w:line="276"/>
        <w:jc w:val="both"/>
      </w:pPr>
      <w:r>
        <w:rPr>
          <w:rFonts w:ascii="Barlow Semi Condensed" w:cs="Barlow Semi Condensed" w:eastAsia="Barlow Semi Condensed" w:hAnsi="Barlow Semi Condensed"/>
          <w:b/>
          <w:bCs/>
          <w:sz w:val="24"/>
          <w:szCs w:val="24"/>
        </w:rPr>
        <w:t xml:space="preserve">Sintesi del dato nuovo acquisito:</w:t>
      </w:r>
      <w:r>
        <w:rPr>
          <w:rFonts w:ascii="Barlow Semi Condensed" w:cs="Barlow Semi Condensed" w:eastAsia="Barlow Semi Condensed" w:hAnsi="Barlow Semi Condensed"/>
          <w:sz w:val="24"/>
          <w:szCs w:val="24"/>
        </w:rPr>
        <w:t xml:space="preserve"> il repertorio consolida 9 teatri certificati, 5 Stati Zero con perimetro dichiarato, 2 blocchi di esiti riportati per esteso, 2 vittime nominate con il richiamo integrale al censimento delle fasi nazionali, 4 reperti metodologici e 3 famiglie di buchi aperti; esso costituisce, con il repertorio della Fase 4, il riferimento citabile terminale dell'opera.</w:t>
      </w:r>
    </w:p>
    <w:p>
      <w:pPr>
        <w:pStyle w:val="Heading3"/>
        <w:spacing w:after="80" w:before="160"/>
      </w:pPr>
      <w:r>
        <w:rPr>
          <w:rFonts w:ascii="Barlow Semi Condensed" w:cs="Barlow Semi Condensed" w:eastAsia="Barlow Semi Condensed" w:hAnsi="Barlow Semi Condensed"/>
          <w:sz w:val="24"/>
          <w:szCs w:val="24"/>
        </w:rPr>
        <w:t xml:space="preserve">Chiusura della Fase 5 e dell'opera — I risultati terminali, il verdetto sulle ipotesi e il congedo</w:t>
      </w:r>
    </w:p>
    <w:p>
      <w:pPr>
        <w:spacing w:after="120" w:line="276"/>
        <w:jc w:val="both"/>
      </w:pPr>
      <w:r>
        <w:rPr>
          <w:rFonts w:ascii="Barlow Semi Condensed" w:cs="Barlow Semi Condensed" w:eastAsia="Barlow Semi Condensed" w:hAnsi="Barlow Semi Condensed"/>
          <w:sz w:val="24"/>
          <w:szCs w:val="24"/>
        </w:rPr>
        <w:t xml:space="preserve">La chiusura della fase è la chiusura dell'opera, e il registro vi dichiara i risultati terminali nella forma che il metodo impone, l'inventario ordinato di ciò che 5 fasi hanno certificato.</w:t>
      </w:r>
    </w:p>
    <w:p>
      <w:pPr>
        <w:spacing w:after="120" w:line="276"/>
        <w:jc w:val="both"/>
      </w:pPr>
      <w:r>
        <w:rPr>
          <w:rFonts w:ascii="Barlow Semi Condensed" w:cs="Barlow Semi Condensed" w:eastAsia="Barlow Semi Condensed" w:hAnsi="Barlow Semi Condensed"/>
          <w:sz w:val="24"/>
          <w:szCs w:val="24"/>
        </w:rPr>
        <w:t xml:space="preserve">Il primo risultato è il grafo compiuto. L'opera consegna il registro dei nodi e dei ponti certificati nella sua estensione integrale: le 4 fasi nazionali, i cerchi criminali, il quadrilatero degli apparati e della loggia, lo stragismo con la tassonomia dell'ostruzione, il caso Moro con la decomposizione in 3 piani, e la fase internazionale con i 9 teatri; l'apparato cumulato conta, attraverso le 5 fasi, oltre 50 nodi maggiori, un ordine di 300 pilastri documentali e di 150 triangolazioni, i repertori citabili delle fasi, il censimento integrale delle vittime nominate, i blocchi assolutori riportati per esteso, l'inventario degli Stati Zero e le 3 soglie archivistiche dichiarate del 1981, del 1990 e del 2014 quali condizioni storiche della conoscenza consegnata; e il grafo, costruito dai dati secondo la prescrizione fondativa della Nota metodologica, ha restituito le proprie misure senza che una sola struttura espositiva sia stata organizzata attorno a una tesi, l'adempimento del divieto del pollo di Popper che l'opera ha tenuto quale prima regola dalla prima riga all'ultima.</w:t>
      </w:r>
    </w:p>
    <w:p>
      <w:pPr>
        <w:spacing w:after="120" w:line="276"/>
        <w:jc w:val="both"/>
      </w:pPr>
      <w:r>
        <w:rPr>
          <w:rFonts w:ascii="Barlow Semi Condensed" w:cs="Barlow Semi Condensed" w:eastAsia="Barlow Semi Condensed" w:hAnsi="Barlow Semi Condensed"/>
          <w:sz w:val="24"/>
          <w:szCs w:val="24"/>
        </w:rPr>
        <w:t xml:space="preserve">Il secondo risultato è il verdetto sulle macro-ipotesi, che il registro riepiloga nella formulazione terminale. L'ipotesi H1 della convergenza imperiale esce archiviata viva: fatti di base certificati sino al Livello A nelle contrarietà pubbliche e nella simmetria delle interferenze ordinarie, convergenza oggettiva al Livello B, articolazione misurabile falsificata dal test statistico nullo pre-registrato, coordinamento mai documentato in alcun teatro, e il falsificatore milwardiano integralmente compatibile con ogni fatto certificato; l'ipotesi concorrente dei 2 progetti rivali esce con i propri successi esplicativi censiti e il medesimo statuto ipotetico; tra le 2 il registro dichiara l'evidenza non diagnostica e non decide. La conclusione di merito che l'opera promuove è la formulazione del giugno 2000, verificata quale massimo enunciato sostenuto dall'intero corpus senza residui contrari: non la restaurazione di un regime, ma il mantenimento di una democrazia a sovranità ed evoluzione limitate, con l'esclusione permanente di una parte del sistema dalla piena legittimazione di governo, amministrata attraverso un equilibrio precario continuo; il registro la consegna quale sintesi storiografica fondata, dichiarandone il livello e rifiutando di travestirla da teorema.</w:t>
      </w:r>
    </w:p>
    <w:p>
      <w:pPr>
        <w:spacing w:after="120" w:line="276"/>
        <w:jc w:val="both"/>
      </w:pPr>
      <w:r>
        <w:rPr>
          <w:rFonts w:ascii="Barlow Semi Condensed" w:cs="Barlow Semi Condensed" w:eastAsia="Barlow Semi Condensed" w:hAnsi="Barlow Semi Condensed"/>
          <w:sz w:val="24"/>
          <w:szCs w:val="24"/>
        </w:rPr>
        <w:t xml:space="preserve">Il terzo risultato è la mappa terminale delle centralità. La loggia P2 chiude quale massima intermediazione complessiva del grafo, presente in tutti i teatri maggiori nazionali con proiezione transnazionale certificata; il Dominio 3 quale connettivo universale; Michele Sindona e Licio Gelli quali massime intermediazioni individuali tra domini e continenti; Giuseppe Calò quale individuo con il maggior numero di giudicati capitali; il Sudafrica dell'apartheid quale hub inter-dossier del teatro internazionale; il nodo triestino quale massima stratificazione documentale con i suoi 7 strati indipendenti; e Mario Moretti quale massima centralità esecutiva individuale, ereditata dalla Fase 4. La mappa è consegnata quale misura, non quale gerarchia di colpe, secondo la distinzione che l'opera ha tenuto tra la posizione nella rete e la responsabilità nel giudizio, la seconda appartenendo soltanto agli esiti riportati.</w:t>
      </w:r>
    </w:p>
    <w:p>
      <w:pPr>
        <w:spacing w:after="120" w:line="276"/>
        <w:jc w:val="both"/>
      </w:pPr>
      <w:r>
        <w:rPr>
          <w:rFonts w:ascii="Barlow Semi Condensed" w:cs="Barlow Semi Condensed" w:eastAsia="Barlow Semi Condensed" w:hAnsi="Barlow Semi Condensed"/>
          <w:sz w:val="24"/>
          <w:szCs w:val="24"/>
        </w:rPr>
        <w:t xml:space="preserve">Il quarto risultato è il lascito metodologico. L'opera consegna alla ricerca gli strumenti che le 5 fasi hanno collaudato: i 3 livelli di certificazione con l'obbligo del livello dichiarato su ogni enunciato; la Regola Ferrea del divieto inferenziale; la disciplina degli esiti con le assoluzioni per esteso; la nominazione delle vittime; la decomposizione in piani; la tassonomia dell'ostruzione e la figura complementare dell'assenza selettiva; la categoria dello Stato Zero con il perimetro dichiarato; la legge empirica delle aperture con la tassonomia delle 5 vie; e il corollario del lampione quale correzione permanente delle comparazioni. Il registro dichiara che questi strumenti, e non le conclusioni, sono il prodotto primario dell'opera, giacché le conclusioni invecchieranno con gli archivi e gli strumenti no.</w:t>
      </w:r>
    </w:p>
    <w:p>
      <w:pPr>
        <w:spacing w:after="120" w:line="276"/>
        <w:jc w:val="both"/>
      </w:pPr>
      <w:r>
        <w:rPr>
          <w:rFonts w:ascii="Barlow Semi Condensed" w:cs="Barlow Semi Condensed" w:eastAsia="Barlow Semi Condensed" w:hAnsi="Barlow Semi Condensed"/>
          <w:sz w:val="24"/>
          <w:szCs w:val="24"/>
        </w:rPr>
        <w:t xml:space="preserve">Il quinto risultato è la mappa dei teatri e delle loro leggi. La fase consegna i 9 teatri internazionali ciascuno con la propria legge certificata: il ceppo iberico con la legge della copertura reale e della conoscibilità per collasso; il continente latinoamericano con la legge del rifugio per frattura giurisdizionale e l'unico caso di giustiziabilità piena del livello internazionale, il processo Condor; l'hub australe con la legge dell'irriducibilità bipolare e l'autocorrezione del lampione applicata al proprio primato; il santuario francese con la legge della protezione territoriale divenuta barriera; il Mediterraneo con la legge del consenso implicito e dei limiti di sangue certificati; l'Est con la legge della prova differita al collasso e della questione strutturalmente inaccertabile; l'Atlantico con la legge dell'autocritica imperiale quale fonte derivata della conoscenza italiana; il sistema stay-behind con la legge della chiusura per scoperta; e l'empirica degli archivi quale legge delle leggi, la regolarità che le governa tutte. La mappa è consegnata quale sintesi operativa del quinto cerchio, il livello dell'opera in cui ogni teatro ha restituito, oltre ai propri fatti, la propria regola.</w:t>
      </w:r>
    </w:p>
    <w:p>
      <w:pPr>
        <w:spacing w:after="120" w:line="276"/>
        <w:jc w:val="both"/>
      </w:pPr>
      <w:r>
        <w:rPr>
          <w:rFonts w:ascii="Barlow Semi Condensed" w:cs="Barlow Semi Condensed" w:eastAsia="Barlow Semi Condensed" w:hAnsi="Barlow Semi Condensed"/>
          <w:sz w:val="24"/>
          <w:szCs w:val="24"/>
        </w:rPr>
        <w:t xml:space="preserve">Il congedo è una dichiarazione di statuto. L'opera si chiude provvisoria per costituzione, datata alla configurazione archivistica del proprio tempo, con gli obiettivi consegnati, gli archivi francesi, il non versato italiano, gli archivi dei protettori non caduti, e con la certezza empirica che nessuna soglia futura verrà da sé; essa non consegna una verità sul potere occulto italiano, consegna l'inventario verificato di ciò che del potere occulto italiano è dimostrabile alla data, con i suoi livelli, i suoi vuoti e le sue ipotesi vive, e rivendica quale proprio compimento esattamente questa forma: in un campo dove l'oggetto di studio manipola le condizioni della propria osservabilità, avere reso ogni affermazione falsificabile, ogni assenza dichiarata e ogni metodo trasparente è la sola vittoria che la conoscenza possa conseguire. L'opera fu aperta, nella sua Nota fondativa, con il monito di Falcone sulla natura umana e perciò conoscibile del fatto criminale, e si chiude sulla sua verifica: 5 fasi hanno dimostrato che il fatto umano occulto è conoscibile nella misura in cui le sue tracce sopravvivono e i suoi archivi si aprono, che questa misura è storica e non teorica, e che il compito della conoscenza, dentro questa misura, è tenerne il registro con una probità tale che ogni riga possa essere impugnata; il registro dei nodi e dei ponti certificati è consegnato al lettore, alla ricerca e al tempo, citabile e aperto, e con esso l'opera adempie la sola promessa che aveva fatto, quella del metodo.</w:t>
      </w:r>
    </w:p>
    <w:p>
      <w:pPr>
        <w:spacing w:after="120" w:line="276"/>
        <w:jc w:val="both"/>
      </w:pPr>
      <w:r>
        <w:rPr>
          <w:rFonts w:ascii="Barlow Semi Condensed" w:cs="Barlow Semi Condensed" w:eastAsia="Barlow Semi Condensed" w:hAnsi="Barlow Semi Condensed"/>
          <w:b/>
          <w:bCs/>
          <w:sz w:val="24"/>
          <w:szCs w:val="24"/>
        </w:rPr>
        <w:t xml:space="preserve">Sintesi del dato nuovo acquisito:</w:t>
      </w:r>
      <w:r>
        <w:rPr>
          <w:rFonts w:ascii="Barlow Semi Condensed" w:cs="Barlow Semi Condensed" w:eastAsia="Barlow Semi Condensed" w:hAnsi="Barlow Semi Condensed"/>
          <w:sz w:val="24"/>
          <w:szCs w:val="24"/>
        </w:rPr>
        <w:t xml:space="preserve"> l'opera si chiude con il grafo compiuto delle 5 fasi, il verdetto che archivia vive le 2 macro-ipotesi sotto evidenza non diagnostica, la promozione della formulazione del giugno 2000 quale massima sintesi fondata, la mappa terminale delle centralità con la loggia quale massima intermediazione e i ponti individuali certificati, il lascito degli strumenti quale prodotto primario e la dichiarazione di provvisorietà archivistica quale statuto; il registro dei nodi e dei ponti certificati è consegnato, citabile e aperto.</w:t>
      </w:r>
    </w:p>
    <w:p>
      <w:pPr>
        <w:pStyle w:val="Heading2"/>
        <w:spacing w:after="100" w:before="200"/>
      </w:pPr>
      <w:r>
        <w:rPr>
          <w:rFonts w:ascii="Barlow Semi Condensed" w:cs="Barlow Semi Condensed" w:eastAsia="Barlow Semi Condensed" w:hAnsi="Barlow Semi Condensed"/>
          <w:sz w:val="24"/>
          <w:szCs w:val="24"/>
        </w:rPr>
        <w:t xml:space="preserve">APPARATO</w:t>
      </w:r>
    </w:p>
    <w:p>
      <w:pPr>
        <w:pBdr>
          <w:left w:val="single" w:color="1F3864" w:sz="18" w:space="8"/>
        </w:pBdr>
        <w:spacing w:after="80" w:before="80"/>
        <w:ind w:left="360" w:right="360"/>
        <w:jc w:val="both"/>
      </w:pPr>
      <w:r>
        <w:rPr>
          <w:rFonts w:ascii="Barlow Semi Condensed" w:cs="Barlow Semi Condensed" w:eastAsia="Barlow Semi Condensed" w:hAnsi="Barlow Semi Condensed"/>
          <w:i w:val="false"/>
          <w:iCs w:val="false"/>
          <w:sz w:val="24"/>
          <w:szCs w:val="24"/>
        </w:rPr>
        <w:t xml:space="preserve">Registro di Verifica e Triangolazione</w:t>
      </w:r>
      <w:r>
        <w:rPr>
          <w:rFonts w:ascii="Barlow Semi Condensed" w:cs="Barlow Semi Condensed" w:eastAsia="Barlow Semi Condensed" w:hAnsi="Barlow Semi Condensed"/>
          <w:i w:val="false"/>
          <w:iCs w:val="false"/>
          <w:sz w:val="24"/>
          <w:szCs w:val="24"/>
        </w:rPr>
        <w:t xml:space="preserve"> </w:t>
      </w:r>
      <w:r>
        <w:rPr>
          <w:rFonts w:ascii="Barlow Semi Condensed" w:cs="Barlow Semi Condensed" w:eastAsia="Barlow Semi Condensed" w:hAnsi="Barlow Semi Condensed"/>
          <w:i w:val="false"/>
          <w:iCs w:val="false"/>
          <w:sz w:val="24"/>
          <w:szCs w:val="24"/>
        </w:rPr>
        <w:t xml:space="preserve">Otto tranche — 538 blocchi certificati</w:t>
      </w:r>
    </w:p>
    <w:p>
      <w:pPr>
        <w:pStyle w:val="Heading3"/>
        <w:spacing w:after="80" w:before="160"/>
      </w:pPr>
      <w:r>
        <w:rPr>
          <w:rFonts w:ascii="Barlow Semi Condensed" w:cs="Barlow Semi Condensed" w:eastAsia="Barlow Semi Condensed" w:hAnsi="Barlow Semi Condensed"/>
          <w:sz w:val="24"/>
          <w:szCs w:val="24"/>
        </w:rPr>
        <w:t xml:space="preserve">Avvertenza di lettura</w:t>
      </w:r>
    </w:p>
    <w:p>
      <w:pPr>
        <w:spacing w:after="120" w:line="276"/>
        <w:jc w:val="both"/>
      </w:pPr>
      <w:r>
        <w:rPr>
          <w:rFonts w:ascii="Barlow Semi Condensed" w:cs="Barlow Semi Condensed" w:eastAsia="Barlow Semi Condensed" w:hAnsi="Barlow Semi Condensed"/>
          <w:sz w:val="24"/>
          <w:szCs w:val="24"/>
        </w:rPr>
        <w:t xml:space="preserve">Questo documento non è una narrazione a tesi. È un registro di verifica costruito applicando alla lettera il vincolo epistemologico più stringente della Nota Metodologica di ITALIA NERA: la struttura dell’opera non deve irradiare da un’ipotesi, ma dai dati. La stessa Nota indica come esempio di ciò che va evitato la formula secondo cui Stati Uniti e Unione Sovietica convergerebbero segretamente per impedire l’integrazione europea, disposta in cerchi concentrici attorno a quel centro interpretativo. Organizzare il materiale attorno a quella tesi collocherebbe l’analista nella posizione del tacchino di Russell descritta da Popper: accumulerebbe conferme senza mai sottoporre l’ipotesi alla prova della falsificazione. Per questa ragione il presente registro tratta quella tesi come una delle ipotesi in competizione, non come cornice, e la sottopone al vaglio dell’Analysis of Competing Hypotheses.</w:t>
      </w:r>
    </w:p>
    <w:p>
      <w:pPr>
        <w:spacing w:after="120" w:line="276"/>
        <w:jc w:val="both"/>
      </w:pPr>
      <w:r>
        <w:rPr>
          <w:rFonts w:ascii="Barlow Semi Condensed" w:cs="Barlow Semi Condensed" w:eastAsia="Barlow Semi Condensed" w:hAnsi="Barlow Semi Condensed"/>
          <w:sz w:val="24"/>
          <w:szCs w:val="24"/>
        </w:rPr>
        <w:t xml:space="preserve">Ogni asserzione è accompagnata dalla sua classificazione probatoria secondo la scala di triangolazione Savona adottata dall’opera: Livello A per la connessione documentata da almeno tre fonti indipendenti di natura diversa; Livello B per la connessione indiziaria sorretta da due fonti indipendenti o da una singola fonte di alta affidabilità; Livello C per la connessione ipotetica basata su una fonte singola o su indizi circostanziali. Una connessione sistematicamente cercata e non trovata è registrata come Stato Zero, che nella metodologia dell’opera è un risultato di prima classe, non una lacuna da colmare. Vige su ogni riga la Regola Ferrea: nessun salto inferenziale tra piani probatori distinti, e in particolare il divieto di inferire il mandato dalla copertura.</w:t>
      </w:r>
    </w:p>
    <w:p>
      <w:pPr>
        <w:spacing w:after="120" w:line="276"/>
        <w:jc w:val="both"/>
      </w:pPr>
      <w:r>
        <w:rPr>
          <w:rFonts w:ascii="Barlow Semi Condensed" w:cs="Barlow Semi Condensed" w:eastAsia="Barlow Semi Condensed" w:hAnsi="Barlow Semi Condensed"/>
          <w:sz w:val="24"/>
          <w:szCs w:val="24"/>
        </w:rPr>
        <w:t xml:space="preserve">Il documento distingue con rigore tre statuti del sapere che il linguaggio corrente tende a confondere: il fatto storico documentato, l’accusa formulata da una fonte qualificata ma non accertata in giudizio, e la mera associazione o coincidenza. Per le persone viventi nominate il registro riporta esclusivamente fatti pubblici e documentati, senza inferenza associativa; le caratterizzazioni provenienti da inchieste giornalistiche o da rapporti di organizzazioni specializzate sono attribuite alla loro fonte e non presentate come verità processuali. La Fase V è dedicata per intero al vaglio dei possibili rilievi civili e penali, in materia di diffamazione e di calunnia, e al protocollo redazionale che ne discende.</w:t>
      </w:r>
    </w:p>
    <w:p>
      <w:pPr>
        <w:pStyle w:val="Heading3"/>
        <w:spacing w:after="80" w:before="160"/>
      </w:pPr>
      <w:r>
        <w:rPr>
          <w:rFonts w:ascii="Barlow Semi Condensed" w:cs="Barlow Semi Condensed" w:eastAsia="Barlow Semi Condensed" w:hAnsi="Barlow Semi Condensed"/>
          <w:sz w:val="24"/>
          <w:szCs w:val="24"/>
        </w:rPr>
        <w:t xml:space="preserve">FASE 0 — PREMESSA EPISTEMOLOGICA E PROTOCOLLO OPERATIVO</w:t>
      </w:r>
    </w:p>
    <w:p>
      <w:pPr>
        <w:spacing w:after="120" w:line="276"/>
        <w:jc w:val="both"/>
      </w:pPr>
      <w:r>
        <w:rPr>
          <w:rFonts w:ascii="Barlow Semi Condensed" w:cs="Barlow Semi Condensed" w:eastAsia="Barlow Semi Condensed" w:hAnsi="Barlow Semi Condensed"/>
          <w:sz w:val="24"/>
          <w:szCs w:val="24"/>
        </w:rPr>
        <w:t xml:space="preserve">0.1 — Oggetto, perimetro e limiti del documento</w:t>
      </w:r>
    </w:p>
    <w:p>
      <w:pPr>
        <w:spacing w:after="120" w:line="276"/>
        <w:jc w:val="both"/>
      </w:pPr>
      <w:r>
        <w:rPr>
          <w:rFonts w:ascii="Barlow Semi Condensed" w:cs="Barlow Semi Condensed" w:eastAsia="Barlow Semi Condensed" w:hAnsi="Barlow Semi Condensed"/>
          <w:sz w:val="24"/>
          <w:szCs w:val="24"/>
        </w:rPr>
        <w:t xml:space="preserve">Il registro triangola il contenuto integrale di un corpus documentale eterogeneo, composto dai materiali allegati e dagli approfondimenti tematici prodotti nell’ambito del progetto. Il corpus copre due oggetti storicamente e cronologicamente distinti. Il primo è una rete transnazionale di matrice controrivoluzionaria e anticomunista che si struttura all’indomani della Seconda guerra mondiale, salda la diaspora nazista, gli apparati iberici, il neofascismo italiano in fuga, la Loggia P2 e il terrore coordinato del Cono Sur. Il secondo è un’operazione di influenza contemporanea, diretta dalla Federazione Russa e da attori ad essa collegati, finalizzata all’erosione dell’ordine euro-atlantico dall’interno. Il documento ricostruisce ciascuna formazione con la propria gradazione probatoria, ne analizza la struttura secondo le misure e i pattern della network analysis, e infine mette le due formazioni a confronto per stabilire cosa il corpus autorizzi effettivamente a inferire sul loro rapporto.</w:t>
      </w:r>
    </w:p>
    <w:p>
      <w:pPr>
        <w:spacing w:after="120" w:line="276"/>
        <w:jc w:val="both"/>
      </w:pPr>
      <w:r>
        <w:rPr>
          <w:rFonts w:ascii="Barlow Semi Condensed" w:cs="Barlow Semi Condensed" w:eastAsia="Barlow Semi Condensed" w:hAnsi="Barlow Semi Condensed"/>
          <w:sz w:val="24"/>
          <w:szCs w:val="24"/>
        </w:rPr>
        <w:t xml:space="preserve">Il perimetro è definito anche in negativo. Il documento non attribuisce responsabilità penali che non risultino da sentenze; non promuove congetture al rango di fatti; non ricostruisce l’architettura interna di operazioni che darebbero istruzioni operative; non fornisce consulenza legale. La ricognizione dei profili di responsabilità civile e penale che l’opera contiene è informazione generale di orientamento, non parere professionale.</w:t>
      </w:r>
    </w:p>
    <w:p>
      <w:pPr>
        <w:spacing w:after="120" w:line="276"/>
        <w:jc w:val="both"/>
      </w:pPr>
      <w:r>
        <w:rPr>
          <w:rFonts w:ascii="Barlow Semi Condensed" w:cs="Barlow Semi Condensed" w:eastAsia="Barlow Semi Condensed" w:hAnsi="Barlow Semi Condensed"/>
          <w:sz w:val="24"/>
          <w:szCs w:val="24"/>
        </w:rPr>
        <w:t xml:space="preserve">0.2 — Perché la struttura non irradia da un’ipotesi</w:t>
      </w:r>
    </w:p>
    <w:p>
      <w:pPr>
        <w:spacing w:after="120" w:line="276"/>
        <w:jc w:val="both"/>
      </w:pPr>
      <w:r>
        <w:rPr>
          <w:rFonts w:ascii="Barlow Semi Condensed" w:cs="Barlow Semi Condensed" w:eastAsia="Barlow Semi Condensed" w:hAnsi="Barlow Semi Condensed"/>
          <w:sz w:val="24"/>
          <w:szCs w:val="24"/>
        </w:rPr>
        <w:t xml:space="preserve">La scelta di non organizzare il materiale in cerchi concentrici attorno a una tesi non è una preferenza stilistica: è la traduzione operativa del falsificazionismo. Popper mostra che nessuna quantità di osservazioni conformi dimostra una legge universale, mentre una sola osservazione contraria la falsifica. Una struttura che dispone i dati attorno a un centro interpretativo produce conferme per effetto della propria forma, non per forza intrinseca dell’evidenza: è la struttura stessa a generare il consenso apparente. Il registro adotta perciò l’architettura opposta. Ricostruisce prima, e separatamente, le due formazioni empiriche che emergono dal corpus; solo dopo, e come esito del vaglio, formula il giudizio sulla loro relazione. In questo modo il momento della prova precede il momento della sintesi, secondo la distinzione — cardine della metodologia dell’opera — tra ordine dell’esposizione e ordine della prova.</w:t>
      </w:r>
    </w:p>
    <w:p>
      <w:pPr>
        <w:spacing w:after="120" w:line="276"/>
        <w:jc w:val="both"/>
      </w:pPr>
      <w:r>
        <w:rPr>
          <w:rFonts w:ascii="Barlow Semi Condensed" w:cs="Barlow Semi Condensed" w:eastAsia="Barlow Semi Condensed" w:hAnsi="Barlow Semi Condensed"/>
          <w:sz w:val="24"/>
          <w:szCs w:val="24"/>
        </w:rPr>
        <w:t xml:space="preserve">0.3 — Le ipotesi in competizione e il metodo ACH</w:t>
      </w:r>
    </w:p>
    <w:p>
      <w:pPr>
        <w:spacing w:after="120" w:line="276"/>
        <w:jc w:val="both"/>
      </w:pPr>
      <w:r>
        <w:rPr>
          <w:rFonts w:ascii="Barlow Semi Condensed" w:cs="Barlow Semi Condensed" w:eastAsia="Barlow Semi Condensed" w:hAnsi="Barlow Semi Condensed"/>
          <w:sz w:val="24"/>
          <w:szCs w:val="24"/>
        </w:rPr>
        <w:t xml:space="preserve">Il corpus è vagliato rispetto a tre ipotesi esplicite, secondo la procedura dell’Analysis of Competing Hypotheses di Richards Heuer, che impone di valutare non quale ipotesi accumuli più conferme — perché tutte tendono ad accumularne — ma quale sia meno contraddetta dalle evidenze diagnostiche. La prima ipotesi, denominata H1, è la tesi del condominio: Stati Uniti e Unione Sovietica, poi Stati Uniti e Russia, pur essendo avversari, agirebbero di concerto per indebolire i singoli Stati europei e impedire l’integrazione. La seconda ipotesi, denominata H2, è la tesi delle due internazionali rivali: esistono, in due epoche successive, due formazioni autoritarie transnazionali distinte e in larga parte opposte quanto a sponsor — una a matrice atlantica e anticomunista, l’altra a matrice eurasiatista — che condividono però la funzione di destabilizzare il centro liberale a partire dal fianco. La terza ipotesi, denominata H3, è l’ipotesi nulla o della convergenza emergente: gli effetti destabilizzanti convergenti non presuppongono coordinamento, ma discendono da interessi paralleli e indipendenti che l’osservatore retrospettivo tende a leggere come disegno. La Fase IV espone la matrice di consistenza e il giudizio.</w:t>
      </w:r>
    </w:p>
    <w:p>
      <w:pPr>
        <w:spacing w:after="120" w:line="276"/>
        <w:jc w:val="both"/>
      </w:pPr>
      <w:r>
        <w:rPr>
          <w:rFonts w:ascii="Barlow Semi Condensed" w:cs="Barlow Semi Condensed" w:eastAsia="Barlow Semi Condensed" w:hAnsi="Barlow Semi Condensed"/>
          <w:sz w:val="24"/>
          <w:szCs w:val="24"/>
        </w:rPr>
        <w:t xml:space="preserve">0.4 — Standard probatorio: i tre livelli Savona e la Regola Ferrea</w:t>
      </w:r>
    </w:p>
    <w:p>
      <w:pPr>
        <w:spacing w:after="120" w:line="276"/>
        <w:jc w:val="both"/>
      </w:pPr>
      <w:r>
        <w:rPr>
          <w:rFonts w:ascii="Barlow Semi Condensed" w:cs="Barlow Semi Condensed" w:eastAsia="Barlow Semi Condensed" w:hAnsi="Barlow Semi Condensed"/>
          <w:sz w:val="24"/>
          <w:szCs w:val="24"/>
        </w:rPr>
        <w:t xml:space="preserve">La scala di attendibilità replica lo standard di triangolazione delle fonti. Una connessione è certificata a Livello A quando convergono almeno tre fonti indipendenti di natura eterogenea: ad esempio un provvedimento sanzionatorio istituzionale, un’inchiesta giornalistica documentata e un’analisi tecnica di soggetti specializzati. È classificata a Livello B quando poggia su due fonti indipendenti oppure su una singola fonte di alta affidabilità, come una relazione parlamentare circostanziata o un documento desecretato. È marcata a Livello C quando si fonda su una fonte singola o su una convergenza di indizi circostanziali, ossia coincidenza temporale, prossimità geografica, appartenenza al medesimo ambiente. La Regola Ferrea impedisce di trasformare un livello inferiore in uno superiore per accumulo narrativo: la ripetizione di un indizio non lo promuove a prova, e la dimostrazione che un fatto è stato coperto non dimostra chi lo abbia ordinato.</w:t>
      </w:r>
    </w:p>
    <w:p>
      <w:pPr>
        <w:spacing w:after="120" w:line="276"/>
        <w:jc w:val="both"/>
      </w:pPr>
      <w:r>
        <w:rPr>
          <w:rFonts w:ascii="Barlow Semi Condensed" w:cs="Barlow Semi Condensed" w:eastAsia="Barlow Semi Condensed" w:hAnsi="Barlow Semi Condensed"/>
          <w:sz w:val="24"/>
          <w:szCs w:val="24"/>
        </w:rPr>
        <w:t xml:space="preserve">0.5 — Disciplina delle persone viventi e vaglio dei rilievi</w:t>
      </w:r>
    </w:p>
    <w:p>
      <w:pPr>
        <w:spacing w:after="120" w:line="276"/>
        <w:jc w:val="both"/>
      </w:pPr>
      <w:r>
        <w:rPr>
          <w:rFonts w:ascii="Barlow Semi Condensed" w:cs="Barlow Semi Condensed" w:eastAsia="Barlow Semi Condensed" w:hAnsi="Barlow Semi Condensed"/>
          <w:sz w:val="24"/>
          <w:szCs w:val="24"/>
        </w:rPr>
        <w:t xml:space="preserve">Il corpus nomina persone viventi, alcune delle quali titolari di cariche pubbliche. Per esse il registro applica una disciplina rigorosa: riferisce solo fatti pubblici e documentati — un accordo sottoscritto, un’espulsione da un gruppo parlamentare, una partecipazione a una missione di osservazione — e si astiene da ogni inferenza associativa che trasformi la contiguità in complicità. Le qualificazioni discreditanti che provengono da inchieste o da rapporti di organizzazioni non governative sono presentate come tesi della fonte, con indicazione della fonte, e non come accertamenti. Questa disciplina non è cautela formale: come la Fase V argomenta, è precisamente la presentazione di un’accusa non provata come fatto certo a generare l’esposizione civile e penale che il progetto intende scongiurare. La protezione non consiste nel certificare, ma nel graduare e nell’attribuire.</w:t>
      </w:r>
    </w:p>
    <w:p>
      <w:pPr>
        <w:spacing w:after="120" w:line="276"/>
        <w:jc w:val="both"/>
      </w:pPr>
      <w:r>
        <w:rPr>
          <w:rFonts w:ascii="Barlow Semi Condensed" w:cs="Barlow Semi Condensed" w:eastAsia="Barlow Semi Condensed" w:hAnsi="Barlow Semi Condensed"/>
          <w:sz w:val="24"/>
          <w:szCs w:val="24"/>
        </w:rPr>
        <w:t xml:space="preserve">0.6 — Ambito e trasparenza della verifica effettuata</w:t>
      </w:r>
    </w:p>
    <w:p>
      <w:pPr>
        <w:spacing w:after="120" w:line="276"/>
        <w:jc w:val="both"/>
      </w:pPr>
      <w:r>
        <w:rPr>
          <w:rFonts w:ascii="Barlow Semi Condensed" w:cs="Barlow Semi Condensed" w:eastAsia="Barlow Semi Condensed" w:hAnsi="Barlow Semi Condensed"/>
          <w:sz w:val="24"/>
          <w:szCs w:val="24"/>
        </w:rPr>
        <w:t xml:space="preserve">L’ordine di eseguire un vaglio a cascata su cento blocchi va inteso come processo iterativo e pluri-sessione, coerente con la pratica cumulativa dell’opera, che conserva ogni versione e la incrementa. Il presente documento costituisce la prima tranche certificata di quel processo. La verifica indipendente è stata concentrata, in questa fase, sulle asserzioni a più alto rischio: quelle contemporanee, verificabili in fonti primarie recenti, e quelle relative a persone viventi, dove l’esattezza è insieme un dovere metodologico e una tutela legale. Il materiale storico — ratlines, P2, Condor, elusione dell’embargo dell’apartheid — poggia su un corpo consolidato di documentazione accademica, giudiziaria e archivistica, e i documenti del corpus ne citano le fonti; per esso il registro rinvia a quel corpo e ne certifica i nodi principali. La Fase VI riporta in forma di schede in prosa i blocchi di verifica effettivamente eseguiti, con esito e livello, e dichiara con trasparenza i blocchi rinviati alle tranche successive.</w:t>
      </w:r>
    </w:p>
    <w:p>
      <w:pPr>
        <w:pStyle w:val="Heading3"/>
        <w:spacing w:after="80" w:before="160"/>
      </w:pPr>
      <w:r>
        <w:rPr>
          <w:rFonts w:ascii="Barlow Semi Condensed" w:cs="Barlow Semi Condensed" w:eastAsia="Barlow Semi Condensed" w:hAnsi="Barlow Semi Condensed"/>
          <w:sz w:val="24"/>
          <w:szCs w:val="24"/>
        </w:rPr>
        <w:t xml:space="preserve">FASE I — FORMAZIONE ALFA: LA RETE NERA ANTICOMUNISTA TRANSNAZIONALE (1945–1990)</w:t>
      </w:r>
    </w:p>
    <w:p>
      <w:pPr>
        <w:spacing w:after="120" w:line="276"/>
        <w:jc w:val="both"/>
      </w:pPr>
      <w:r>
        <w:rPr>
          <w:rFonts w:ascii="Barlow Semi Condensed" w:cs="Barlow Semi Condensed" w:eastAsia="Barlow Semi Condensed" w:hAnsi="Barlow Semi Condensed"/>
          <w:sz w:val="24"/>
          <w:szCs w:val="24"/>
        </w:rPr>
        <w:t xml:space="preserve">La prima formazione si dispone lungo un asse temporale che muove dal 1945 e lungo un asse spaziale che dall’Europa continentale procede verso la penisola iberica, poi verso il Sud America e infine verso l’Africa australe. Il criterio espositivo è geografico-processuale: si segue il flusso — di persone, competenze, capitali e violenza — così come esso attraversa i domini e le frontiere. Il codice che tiene insieme la formazione, nel senso sistemico dell’opera, è l’anticomunismo radicale; la sua collocazione geopolitica, come il capitolo conclusivo della Fase argomenta, è di allineamento con l’anticomunismo occidentale, non di equidistanza tra i blocchi.</w:t>
      </w:r>
    </w:p>
    <w:p>
      <w:pPr>
        <w:spacing w:after="120" w:line="276"/>
        <w:jc w:val="both"/>
      </w:pPr>
      <w:r>
        <w:rPr>
          <w:rFonts w:ascii="Barlow Semi Condensed" w:cs="Barlow Semi Condensed" w:eastAsia="Barlow Semi Condensed" w:hAnsi="Barlow Semi Condensed"/>
          <w:sz w:val="24"/>
          <w:szCs w:val="24"/>
        </w:rPr>
        <w:t xml:space="preserve">1.1 — La diaspora nazista e le ratlines: il fatto documentato</w:t>
      </w:r>
    </w:p>
    <w:p>
      <w:pPr>
        <w:spacing w:after="120" w:line="276"/>
        <w:jc w:val="both"/>
      </w:pPr>
      <w:r>
        <w:rPr>
          <w:rFonts w:ascii="Barlow Semi Condensed" w:cs="Barlow Semi Condensed" w:eastAsia="Barlow Semi Condensed" w:hAnsi="Barlow Semi Condensed"/>
          <w:sz w:val="24"/>
          <w:szCs w:val="24"/>
        </w:rPr>
        <w:t xml:space="preserve">Che decine di migliaia di criminali di guerra e collaborazionisti nazisti siano sfuggiti alla giustizia rifugiandosi oltreoceano nel dopoguerra è acquisizione storiografica consolidata, non congettura: è pertanto certificato a Livello A. Le stime più accreditate collocano nella sola area sudamericana un numero dell’ordine di alcune migliaia di individui, con l’Argentina di Juan Domingo Perón come polo principale di accoglienza. La documentazione converge nell’indicare tre elementi ricorrenti del meccanismo di esfiltrazione: il rilascio di documenti di viaggio, spesso lasciapassare del Comitato Internazionale della Croce Rossa ottenuti con generalità false; la mediazione di settori ecclesiastici, con figure come il vescovo Alois Hudal a Roma e, sul versante argentino, l’azione del cardinale Antonio Caggiano; e l’esistenza di canali logistici stabili lungo la direttrice che dall’Italia settentrionale conduceva ai porti di imbarco.</w:t>
      </w:r>
    </w:p>
    <w:p>
      <w:pPr>
        <w:spacing w:after="120" w:line="276"/>
        <w:jc w:val="both"/>
      </w:pPr>
      <w:r>
        <w:rPr>
          <w:rFonts w:ascii="Barlow Semi Condensed" w:cs="Barlow Semi Condensed" w:eastAsia="Barlow Semi Condensed" w:hAnsi="Barlow Semi Condensed"/>
          <w:sz w:val="24"/>
          <w:szCs w:val="24"/>
        </w:rPr>
        <w:t xml:space="preserve">La distinzione tra il dato documentato e il mito è qui essenziale. L’esistenza di vie di fuga strutturate è a Livello A; l’immagine di un’unica organizzazione centralizzata denominata ODESSA, dotata di comando unitario, appartiene invece alla vulgata e va classificata a Livello C, poiché la ricerca storica documenta piuttosto una pluralità di reti parzialmente sovrapposte — la cosiddetta linea dei conventi, i circuiti di reduci, gli sportelli consolari compiacenti — più che un apparato unico. I casi individuali meglio accertati confermano il meccanismo senza richiedere l’ipotesi centralistica: la fuga di Adolf Eichmann in Argentina e la sua successiva cattura, la lunga latitanza di Josef Mengele tra Argentina, Paraguay e Brasile, la protezione di cui godette Klaus Barbie in Bolivia, la fuga di Franz Stangl. Ciascuno di questi percorsi è documentato a Livello A; la loro riconduzione a un’unica regia è un’inferenza che il corpus non sostiene.</w:t>
      </w:r>
    </w:p>
    <w:p>
      <w:pPr>
        <w:spacing w:after="120" w:line="276"/>
        <w:jc w:val="both"/>
      </w:pPr>
      <w:r>
        <w:rPr>
          <w:rFonts w:ascii="Barlow Semi Condensed" w:cs="Barlow Semi Condensed" w:eastAsia="Barlow Semi Condensed" w:hAnsi="Barlow Semi Condensed"/>
          <w:sz w:val="24"/>
          <w:szCs w:val="24"/>
        </w:rPr>
        <w:t xml:space="preserve">1.2 — L’hub iberico: economia, esfiltrazione, ideologia</w:t>
      </w:r>
    </w:p>
    <w:p>
      <w:pPr>
        <w:spacing w:after="120" w:line="276"/>
        <w:jc w:val="both"/>
      </w:pPr>
      <w:r>
        <w:rPr>
          <w:rFonts w:ascii="Barlow Semi Condensed" w:cs="Barlow Semi Condensed" w:eastAsia="Barlow Semi Condensed" w:hAnsi="Barlow Semi Condensed"/>
          <w:sz w:val="24"/>
          <w:szCs w:val="24"/>
        </w:rPr>
        <w:t xml:space="preserve">La penisola iberica funziona, nel dopoguerra, come camera di compensazione tra l’Europa sconfitta e le rotte atlantiche. La documentazione converge su un nucleo di elementi certificabili a Livello A o a Livello B. Sul piano economico, la persistenza di strutture d’affari tedesche in Spagna — attorno a figure come Johannes Bernhardt e al gruppo SOFINDUS — costituisce il retroterra materiale che finanzia e occulta. Sul piano dell’assistenza ai latitanti, l’attività di reti di sostegno legate ad ambienti falangisti, con figure come Clara Stauffer, è documentata. Sul versante alleato, l’operazione Safehaven, condotta per rintracciare e neutralizzare i capitali e i beni trafugati dal Reich, testimonia in negativo l’esistenza stessa di quei flussi.</w:t>
      </w:r>
    </w:p>
    <w:p>
      <w:pPr>
        <w:spacing w:after="120" w:line="276"/>
        <w:jc w:val="both"/>
      </w:pPr>
      <w:r>
        <w:rPr>
          <w:rFonts w:ascii="Barlow Semi Condensed" w:cs="Barlow Semi Condensed" w:eastAsia="Barlow Semi Condensed" w:hAnsi="Barlow Semi Condensed"/>
          <w:sz w:val="24"/>
          <w:szCs w:val="24"/>
        </w:rPr>
        <w:t xml:space="preserve">Attorno a questo hub gravitano figure-cerniera di lungo periodo la cui rilevanza è strutturale più che numerica, secondo la logica della betweenness centrality: individui poco visibili al pubblico ma cruciali per collegare ambienti altrimenti disconnessi. Il collaborazionista belga Léon Degrelle trova rifugio e continuità politica in Spagna. Soprattutto Otto Skorzeny opera come snodo tra il mondo dei reduci, i servizi e il mercato della sicurezza: la sua associazione con circuiti di mutuo soccorso tra ex combattenti e, in fase successiva, con strutture di consulenza paramilitare come il gruppo Paladin, è documentata a Livello B, mentre le versioni massimaliste che ne fanno il regista di un’unica internazionale nera restano a Livello C. La rete iberica illustra un pattern che ricorrerà: la saldatura tra un retroterra economico, una copertura ideologica e una capacità operativa di sicurezza.</w:t>
      </w:r>
    </w:p>
    <w:p>
      <w:pPr>
        <w:spacing w:after="120" w:line="276"/>
        <w:jc w:val="both"/>
      </w:pPr>
      <w:r>
        <w:rPr>
          <w:rFonts w:ascii="Barlow Semi Condensed" w:cs="Barlow Semi Condensed" w:eastAsia="Barlow Semi Condensed" w:hAnsi="Barlow Semi Condensed"/>
          <w:sz w:val="24"/>
          <w:szCs w:val="24"/>
        </w:rPr>
        <w:t xml:space="preserve">1.3 — Il ponte italiano: il neofascismo in fuga</w:t>
      </w:r>
    </w:p>
    <w:p>
      <w:pPr>
        <w:spacing w:after="120" w:line="276"/>
        <w:jc w:val="both"/>
      </w:pPr>
      <w:r>
        <w:rPr>
          <w:rFonts w:ascii="Barlow Semi Condensed" w:cs="Barlow Semi Condensed" w:eastAsia="Barlow Semi Condensed" w:hAnsi="Barlow Semi Condensed"/>
          <w:sz w:val="24"/>
          <w:szCs w:val="24"/>
        </w:rPr>
        <w:t xml:space="preserve">Il neofascismo italiano costituisce il ponte che collega l’eredità europea alla sua proiezione sudamericana. Dopo la stagione della cosiddetta strategia della tensione e sotto la pressione delle inchieste, alcuni esponenti dell’eversione di destra lasciano l’Italia e trovano impiego e protezione oltreoceano. La figura emblematica è Stefano Delle Chiaie, fondatore di Avanguardia Nazionale, la cui traiettoria attraverso Spagna, Cile, Bolivia e altri Paesi del continente è documentata a Livello A dalle risultanze giudiziarie e archivistiche. Analoga la parabola di altri militanti di area — tra cui Elio Massagrande — che si inseriscono nei circuiti di sicurezza dei regimi. La rilevanza di questo ponte non è quantitativa ma funzionale: esso trasferisce una competenza specifica, quella della violenza politica organizzata, dal contesto europeo a quello dei regimi del Cono Sur, dove essa viene messa al servizio della repressione interna e transnazionale.</w:t>
      </w:r>
    </w:p>
    <w:p>
      <w:pPr>
        <w:spacing w:after="120" w:line="276"/>
        <w:jc w:val="both"/>
      </w:pPr>
      <w:r>
        <w:rPr>
          <w:rFonts w:ascii="Barlow Semi Condensed" w:cs="Barlow Semi Condensed" w:eastAsia="Barlow Semi Condensed" w:hAnsi="Barlow Semi Condensed"/>
          <w:sz w:val="24"/>
          <w:szCs w:val="24"/>
        </w:rPr>
        <w:t xml:space="preserve">1.4 — La P2 come camera di compensazione: fatto, gradazione, falsi positivi</w:t>
      </w:r>
    </w:p>
    <w:p>
      <w:pPr>
        <w:spacing w:after="120" w:line="276"/>
        <w:jc w:val="both"/>
      </w:pPr>
      <w:r>
        <w:rPr>
          <w:rFonts w:ascii="Barlow Semi Condensed" w:cs="Barlow Semi Condensed" w:eastAsia="Barlow Semi Condensed" w:hAnsi="Barlow Semi Condensed"/>
          <w:sz w:val="24"/>
          <w:szCs w:val="24"/>
        </w:rPr>
        <w:t xml:space="preserve">La Loggia Propaganda 2 diretta da Licio Gelli è, nel corpus, il nodo italiano a più alta centralità di grado, poiché interseca simultaneamente politica, apparati, forze armate, finanza e informazione. La sua esistenza e la sua natura sono documentate a Livello A. Il 17 marzo 1981 la Guardia di Finanza, su mandato dei giudici milanesi Gherardo Colombo e Giuliano Turone che indagavano sul crac di Michele Sindona, rinvenne negli uffici di Gelli a Castiglion Fibocchi l’elenco dei circa 962 iscritti, reso pubblico dalla Presidenza del Consiglio il 21 maggio 1981. La Commissione parlamentare d’inchiesta presieduta da Tina Anselmi, nella relazione del 12 luglio 1984, giudicò le liste «autentiche» e «attendibili» sotto il profilo sia formale sia sostanziale, sulla base di riscontri contabili puntuali per centinaia di nominativi.</w:t>
      </w:r>
    </w:p>
    <w:p>
      <w:pPr>
        <w:spacing w:after="120" w:line="276"/>
        <w:jc w:val="both"/>
      </w:pPr>
      <w:r>
        <w:rPr>
          <w:rFonts w:ascii="Barlow Semi Condensed" w:cs="Barlow Semi Condensed" w:eastAsia="Barlow Semi Condensed" w:hAnsi="Barlow Semi Condensed"/>
          <w:sz w:val="24"/>
          <w:szCs w:val="24"/>
        </w:rPr>
        <w:t xml:space="preserve">Proprio la P2 impone però la disciplina più severa sui falsi positivi, ed è per questo un modello per l’intero registro. La stessa documentazione avverte che la presenza di un nominativo nell’elenco non equivale all’acclarata appartenenza alla loggia: diversi soggetti contestarono con successo la propria inclusione davanti alla magistratura. Va inoltre tenuta ferma la distinzione tra l’accertamento parlamentare, di natura storico-politica, e l’esito giudiziario, che non ravvisò la fattispecie della cospirazione politica nei termini prospettati dalla Commissione. Ne discende una regola operativa: l’appartenenza formale è certificabile a Livello A solo per i nominativi assistiti da riscontro documentale autonomo, mentre per gli altri va mantenuto un livello inferiore. La medesima cautela si applica alle presunte affiliazioni internazionali della loggia: la presenza tra gli iscritti di figure del regime argentino — è documentata la posizione di Emilio Massera — è distinta dalle attribuzioni per omonimia o per contiguità che non trovano riscontro nell’elenco, le quali vanno respinte come falsi positivi e non annoverate tra le prove.</w:t>
      </w:r>
    </w:p>
    <w:p>
      <w:pPr>
        <w:spacing w:after="120" w:line="276"/>
        <w:jc w:val="both"/>
      </w:pPr>
      <w:r>
        <w:rPr>
          <w:rFonts w:ascii="Barlow Semi Condensed" w:cs="Barlow Semi Condensed" w:eastAsia="Barlow Semi Condensed" w:hAnsi="Barlow Semi Condensed"/>
          <w:sz w:val="24"/>
          <w:szCs w:val="24"/>
        </w:rPr>
        <w:t xml:space="preserve">1.5 — Operazione Condor e la WACL: il terrore coordinato</w:t>
      </w:r>
    </w:p>
    <w:p>
      <w:pPr>
        <w:spacing w:after="120" w:line="276"/>
        <w:jc w:val="both"/>
      </w:pPr>
      <w:r>
        <w:rPr>
          <w:rFonts w:ascii="Barlow Semi Condensed" w:cs="Barlow Semi Condensed" w:eastAsia="Barlow Semi Condensed" w:hAnsi="Barlow Semi Condensed"/>
          <w:sz w:val="24"/>
          <w:szCs w:val="24"/>
        </w:rPr>
        <w:t xml:space="preserve">L’Operazione Condor è il sistema di coordinamento delle polizie segrete del Cono Sur per l’identificazione, la cattura e l’eliminazione degli oppositori di sinistra. La sua formalizzazione è documentata a Livello A: fu istituita nella riunione tenutasi a Santiago del Cile tra il 25 novembre e il 1º dicembre 1975, convocata dal direttore della DINA cilena Manuel Contreras, con la partecipazione dei servizi di Cile, Argentina, Bolivia, Paraguay e Uruguay, cui si aggiunse in seguito il Brasile. La prova documentale prima e più solida è emersa dall’Archivo del Terror, rinvenuto in Paraguay il 22 dicembre 1992 dall’attivista Martín Almada, che conteneva l’invito di Contreras e l’atto conclusivo della riunione. Le azioni omicide extraterritoriali del sistema sono anch’esse accertate a Livello A: l’attentato di Washington del 21 settembre 1976 contro l’ex ministro cileno Orlando Letelier, eseguito da Michael Townley con documenti paraguaiani falsi ottenuti attraverso i protocolli di Condor, valse a Contreras una condanna.</w:t>
      </w:r>
    </w:p>
    <w:p>
      <w:pPr>
        <w:spacing w:after="120" w:line="276"/>
        <w:jc w:val="both"/>
      </w:pPr>
      <w:r>
        <w:rPr>
          <w:rFonts w:ascii="Barlow Semi Condensed" w:cs="Barlow Semi Condensed" w:eastAsia="Barlow Semi Condensed" w:hAnsi="Barlow Semi Condensed"/>
          <w:sz w:val="24"/>
          <w:szCs w:val="24"/>
        </w:rPr>
        <w:t xml:space="preserve">La saldatura tra Condor e il ponte italiano descritto sopra è documentata a Livello A e costituisce l’arco inter-dominio più significativo della Fase: l’attentato di Roma del 6 ottobre 1975 contro l’esule democristiano cileno Bernardo Leighton e la moglie fu eseguito da Stefano Delle Chiaie per conto della DINA. Attorno a questo nucleo operativo gravita la dimensione ideologica e associativa della World Anti-Communist League, che federava a livello globale l’anticomunismo militante, e la rete di mutuo soccorso tra reduci tedeschi attiva in Sud America attorno a figure come Hans-Ulrich Rudel, la cui protezione a favore di latitanti come Mengele è documentata. La collocazione di questa intera architettura è inequivoca sul piano geopolitico e va sottolineata per il vaglio delle ipotesi: Condor era una rete anticomunista, ostile all’Unione Sovietica, e beneficiò di forme di sostegno da parte statunitense documentate negli archivi. L’Unione Sovietica ne era l’avversario, non il partner.</w:t>
      </w:r>
    </w:p>
    <w:p>
      <w:pPr>
        <w:spacing w:after="120" w:line="276"/>
        <w:jc w:val="both"/>
      </w:pPr>
      <w:r>
        <w:rPr>
          <w:rFonts w:ascii="Barlow Semi Condensed" w:cs="Barlow Semi Condensed" w:eastAsia="Barlow Semi Condensed" w:hAnsi="Barlow Semi Condensed"/>
          <w:sz w:val="24"/>
          <w:szCs w:val="24"/>
        </w:rPr>
        <w:t xml:space="preserve">1.6 — L’asse dei paria: apartheid, armi ed elusione dell’embargo</w:t>
      </w:r>
    </w:p>
    <w:p>
      <w:pPr>
        <w:spacing w:after="120" w:line="276"/>
        <w:jc w:val="both"/>
      </w:pPr>
      <w:r>
        <w:rPr>
          <w:rFonts w:ascii="Barlow Semi Condensed" w:cs="Barlow Semi Condensed" w:eastAsia="Barlow Semi Condensed" w:hAnsi="Barlow Semi Condensed"/>
          <w:sz w:val="24"/>
          <w:szCs w:val="24"/>
        </w:rPr>
        <w:t xml:space="preserve">L’ultimo segmento spaziale della Formazione Alfa è l’Africa australe. La documentazione ricostruisce l’esistenza di un asse tra i regimi isolati dalla comunità internazionale — il Sudafrica dell’apartheid, il Paraguay di Alfredo Stroessner, il Cile di Pinochet, altri — fondato sulla comune condizione di Stati paria e sull’elusione degli embarghi. Sul piano militare, la cooperazione del Sudafrica con fornitori e mediatori per aggirare l’embargo sulle armi, attraverso l’agenzia statale Armscor e una rete di intermediari, è documentata a Livello B. Il valore di questo segmento per l’analisi è che esso mostra il pattern del transito applicato su scala intercontinentale: competenze e materiali circolano lungo una catena di regimi accomunati non da un’ideologia positiva unica, ma dalla necessità di sottrarsi alle sanzioni. Anche qui la polarità geopolitica è coerente con il resto della Formazione Alfa: si tratta di un allineamento nel campo anticomunista, non di un ponte verso il blocco orientale.</w:t>
      </w:r>
    </w:p>
    <w:p>
      <w:pPr>
        <w:spacing w:after="120" w:line="276"/>
        <w:jc w:val="both"/>
      </w:pPr>
      <w:r>
        <w:rPr>
          <w:rFonts w:ascii="Barlow Semi Condensed" w:cs="Barlow Semi Condensed" w:eastAsia="Barlow Semi Condensed" w:hAnsi="Barlow Semi Condensed"/>
          <w:sz w:val="24"/>
          <w:szCs w:val="24"/>
        </w:rPr>
        <w:t xml:space="preserve">1.7 — Il codice unificante di Alfa e la sua collocazione geopolitica</w:t>
      </w:r>
    </w:p>
    <w:p>
      <w:pPr>
        <w:spacing w:after="120" w:line="276"/>
        <w:jc w:val="both"/>
      </w:pPr>
      <w:r>
        <w:rPr>
          <w:rFonts w:ascii="Barlow Semi Condensed" w:cs="Barlow Semi Condensed" w:eastAsia="Barlow Semi Condensed" w:hAnsi="Barlow Semi Condensed"/>
          <w:sz w:val="24"/>
          <w:szCs w:val="24"/>
        </w:rPr>
        <w:t xml:space="preserve">Ricostruita la Formazione Alfa nei suoi segmenti, se ne può enunciare il codice unificante senza forzature. Ciò che tiene insieme la diaspora nazista, l’hub iberico, il ponte neofascista italiano, la P2, Condor e l’asse dei paria non è un’organizzazione unitaria — l’ipotesi centralistica resta a Livello C — ma una funzione condivisa: la reazione controrivoluzionaria, il contenimento e la repressione della sinistra, dentro e fuori i confini nazionali. Questa è la constatazione decisiva per il vaglio delle ipotesi. In tutti i suoi segmenti documentati, la Formazione Alfa si colloca nel campo anticomunista e in posizione avversa all’Unione Sovietica; dove è documentato un sostegno esterno di grande potenza, esso proviene dal campo occidentale. Ne segue che la Formazione Alfa, presa per ciò che il corpus effettivamente documenta, non offre alcun riscontro alla tesi di un condominio operativo tra Stati Uniti e Unione Sovietica: essa testimonia semmai un’internazionale anticomunista allineata a Occidente. Questo esito sarà pesato nella Fase IV.</w:t>
      </w:r>
    </w:p>
    <w:p>
      <w:pPr>
        <w:pStyle w:val="Heading3"/>
        <w:spacing w:after="80" w:before="160"/>
      </w:pPr>
      <w:r>
        <w:rPr>
          <w:rFonts w:ascii="Barlow Semi Condensed" w:cs="Barlow Semi Condensed" w:eastAsia="Barlow Semi Condensed" w:hAnsi="Barlow Semi Condensed"/>
          <w:sz w:val="24"/>
          <w:szCs w:val="24"/>
        </w:rPr>
        <w:t xml:space="preserve">FASE II — FORMAZIONE BETA: L’OPERAZIONE DI INFLUENZA RUSSA CONTEMPORANEA (2010–2026)</w:t>
      </w:r>
    </w:p>
    <w:p>
      <w:pPr>
        <w:spacing w:after="120" w:line="276"/>
        <w:jc w:val="both"/>
      </w:pPr>
      <w:r>
        <w:rPr>
          <w:rFonts w:ascii="Barlow Semi Condensed" w:cs="Barlow Semi Condensed" w:eastAsia="Barlow Semi Condensed" w:hAnsi="Barlow Semi Condensed"/>
          <w:sz w:val="24"/>
          <w:szCs w:val="24"/>
        </w:rPr>
        <w:t xml:space="preserve">La seconda formazione si dispone lungo un asse temporale che muove dagli anni Dieci del nuovo secolo e conosce due accelerazioni, nel 2014 e nel 2022, e lungo un asse spaziale che da un centro russo si irradia verso l’Europa orientale, poi verso quella occidentale e infine verso il Sud globale. A differenza della Formazione Alfa, i cui protagonisti sono in larga parte defunti e i cui fatti sono consolidati, la Formazione Beta è in corso: ciò impone un supplemento di cautela sulle persone viventi e un aggiornamento costante, poiché alcuni fatti si sono evoluti dopo la redazione dei documenti del corpus. Il codice unificante è, come il capitolo conclusivo argomenta, il sovranismo anti-europeo e anti-atlantico; la collocazione geopolitica vede la Russia come agente attivo e gli Stati Uniti come avversario sanzionatore.</w:t>
      </w:r>
    </w:p>
    <w:p>
      <w:pPr>
        <w:spacing w:after="120" w:line="276"/>
        <w:jc w:val="both"/>
      </w:pPr>
      <w:r>
        <w:rPr>
          <w:rFonts w:ascii="Barlow Semi Condensed" w:cs="Barlow Semi Condensed" w:eastAsia="Barlow Semi Condensed" w:hAnsi="Barlow Semi Condensed"/>
          <w:sz w:val="24"/>
          <w:szCs w:val="24"/>
        </w:rPr>
        <w:t xml:space="preserve">2.1 — L’architettura Shor: frode, fuga, riciclaggio, influenza</w:t>
      </w:r>
    </w:p>
    <w:p>
      <w:pPr>
        <w:spacing w:after="120" w:line="276"/>
        <w:jc w:val="both"/>
      </w:pPr>
      <w:r>
        <w:rPr>
          <w:rFonts w:ascii="Barlow Semi Condensed" w:cs="Barlow Semi Condensed" w:eastAsia="Barlow Semi Condensed" w:hAnsi="Barlow Semi Condensed"/>
          <w:sz w:val="24"/>
          <w:szCs w:val="24"/>
        </w:rPr>
        <w:t xml:space="preserve">Il primo pilastro della Formazione Beta è la rete che fa capo a Ilan Shor, oligarca moldavo di cittadinanza israeliana riparato a Mosca. Il suo nucleo è documentato a Livello A dalla convergenza di provvedimenti sanzionatori istituzionali, inchieste giornalistiche e analisi tecniche indipendenti. Shor fu designato dall’Ufficio per il controllo dei beni esteri del Tesoro statunitense nell’ottobre 2022, in forza dell’ordine esecutivo 14024, per interferenza elettorale a beneficio della Federazione Russa; fu condannato in contumacia nell’aprile 2023 a quindici anni per la frode bancaria da circa un miliardo di dollari ai danni del sistema moldavo; il suo partito fu messo al bando nel giugno 2023. L’Unione Europea ha progressivamente ampliato le misure restrittive contro di lui e la sua rete, con nuove designazioni nel luglio 2025 e nel giugno 2026. Trasferitosi in Russia, Shor ha costituito la fondazione Eurasia, i cui bilanci indicano una spesa dell’ordine delle centinaia di milioni di dollari in due anni per progetti mediatici, borse e programmi giovanili nello spazio post-sovietico; secondo inchieste giornalistiche, tra cui quelle di testate indipendenti russe in esilio, la fondazione sarebbe stata impiegata per l’acquisto di voti in Moldova.</w:t>
      </w:r>
    </w:p>
    <w:p>
      <w:pPr>
        <w:spacing w:after="120" w:line="276"/>
        <w:jc w:val="both"/>
      </w:pPr>
      <w:r>
        <w:rPr>
          <w:rFonts w:ascii="Barlow Semi Condensed" w:cs="Barlow Semi Condensed" w:eastAsia="Barlow Semi Condensed" w:hAnsi="Barlow Semi Condensed"/>
          <w:sz w:val="24"/>
          <w:szCs w:val="24"/>
        </w:rPr>
        <w:t xml:space="preserve">2.1.1 — La rete cripto: Garantex, Grinex, A7A5</w:t>
      </w:r>
    </w:p>
    <w:p>
      <w:pPr>
        <w:spacing w:after="120" w:line="276"/>
        <w:jc w:val="both"/>
      </w:pPr>
      <w:r>
        <w:rPr>
          <w:rFonts w:ascii="Barlow Semi Condensed" w:cs="Barlow Semi Condensed" w:eastAsia="Barlow Semi Condensed" w:hAnsi="Barlow Semi Condensed"/>
          <w:sz w:val="24"/>
          <w:szCs w:val="24"/>
        </w:rPr>
        <w:t xml:space="preserve">Il sottosistema finanziario della rete è certificato a Livello A da una convergenza particolarmente ricca di fonti eterogenee: i provvedimenti dell’Ufficio per il controllo dei beni esteri statunitense e dell’omologo britannico dell’agosto 2025, le misure dell’Unione Europea dell’ottobre 2025, e le analisi tecniche di più società di intelligence sulla blockchain. Il meccanismo ricostruito è il seguente: dopo la chiusura dell’exchange di criptovalute Garantex, i suoi gestori crearono la piattaforma successore Grinex e trasferirono i fondi della clientela; per ripristinare l’accesso fu impiegato il token A7A5, uno stablecoin ancorato al rublo emesso dalla società kirghisa Old Vector, garantito da depositi presso la banca statale russa Promsvyazbank e collegato alla piattaforma di regolamento transfrontaliero A7. Le analisi indipendenti hanno stimato in decine di miliardi di dollari il volume complessivo transitato attraverso questo strumento, individuandone la funzione di canale di elusione delle sanzioni. Il beneficiario ultimo della piattaforma A7 è indicato, da inchieste giornalistiche di primarie testate internazionali, in Ilan Shor: questo specifico collegamento è certificato a Livello A per la sua convergenza documentale.</w:t>
      </w:r>
    </w:p>
    <w:p>
      <w:pPr>
        <w:spacing w:after="120" w:line="276"/>
        <w:jc w:val="both"/>
      </w:pPr>
      <w:r>
        <w:rPr>
          <w:rFonts w:ascii="Barlow Semi Condensed" w:cs="Barlow Semi Condensed" w:eastAsia="Barlow Semi Condensed" w:hAnsi="Barlow Semi Condensed"/>
          <w:sz w:val="24"/>
          <w:szCs w:val="24"/>
        </w:rPr>
        <w:t xml:space="preserve">2.1.2 — I falsi osservatori elettorali e il caso Petrocelli</w:t>
      </w:r>
    </w:p>
    <w:p>
      <w:pPr>
        <w:spacing w:after="120" w:line="276"/>
        <w:jc w:val="both"/>
      </w:pPr>
      <w:r>
        <w:rPr>
          <w:rFonts w:ascii="Barlow Semi Condensed" w:cs="Barlow Semi Condensed" w:eastAsia="Barlow Semi Condensed" w:hAnsi="Barlow Semi Condensed"/>
          <w:sz w:val="24"/>
          <w:szCs w:val="24"/>
        </w:rPr>
        <w:t xml:space="preserve">Il secondo strumento della rete è la fabbricazione di legittimità elettorale attraverso finte missioni di osservazione, condotte da soggetti privi di mandato internazionale che presenziano a consultazioni in regimi allineati per certificarne pubblicamente la regolarità. La caratterizzazione di questo dispositivo come rete organizzata è tesi documentata da organizzazioni specializzate nel monitoraggio elettorale, tra cui la rete European Platform for Democratic Elections, e come tale è attribuita alla fonte e certificata a Livello B. All’interno di questo quadro il corpus nomina l’ex senatore italiano Vito Petrocelli. Su di lui il registro riporta esclusivamente fatti pubblici e documentati: fu oggetto di procedura di espulsione dal Movimento 5 Stelle nel 2022 in ragione del voto contrario agli aiuti militari all’Ucraina; presiede l’Istituto Italia-BRICS; ha preso parte a delegazioni di osservatori internazionali in occasione delle elezioni presidenziali russa del 2024 e bielorussa del 2025, circostanza confermata dalla biografia ufficiale del suo stesso istituto. La qualificazione della sua partecipazione come inserimento in una rete di influenza etero-diretta è tesi di terzi, attribuita alla fonte, e non un accertamento giudiziario: il registro la mantiene distinta dai fatti pubblici sopra riportati e non compie alcun salto inferenziale tra i due piani.</w:t>
      </w:r>
    </w:p>
    <w:p>
      <w:pPr>
        <w:spacing w:after="120" w:line="276"/>
        <w:jc w:val="both"/>
      </w:pPr>
      <w:r>
        <w:rPr>
          <w:rFonts w:ascii="Barlow Semi Condensed" w:cs="Barlow Semi Condensed" w:eastAsia="Barlow Semi Condensed" w:hAnsi="Barlow Semi Condensed"/>
          <w:sz w:val="24"/>
          <w:szCs w:val="24"/>
        </w:rPr>
        <w:t xml:space="preserve">2.1.3 — Clero, automazione, intelligenza artificiale: la guerra cognitiva</w:t>
      </w:r>
    </w:p>
    <w:p>
      <w:pPr>
        <w:spacing w:after="120" w:line="276"/>
        <w:jc w:val="both"/>
      </w:pPr>
      <w:r>
        <w:rPr>
          <w:rFonts w:ascii="Barlow Semi Condensed" w:cs="Barlow Semi Condensed" w:eastAsia="Barlow Semi Condensed" w:hAnsi="Barlow Semi Condensed"/>
          <w:sz w:val="24"/>
          <w:szCs w:val="24"/>
        </w:rPr>
        <w:t xml:space="preserve">Il terzo strumento è la manipolazione dell’ambiente informativo, che il corpus descrive attraverso l’uso di reti di account automatizzati, la produzione di contenuti sintetici e, in alcuni contesti, la strumentalizzazione di figure religiose come moltiplicatori di consenso. Questo strumento, per sua natura diffuso e di difficile documentazione puntuale, è certificato prevalentemente a Livello B quando poggia su rapporti circostanziati di organismi di monitoraggio, e a Livello C dove si basa su indizi non ancora consolidati. La sua rilevanza analitica sta nel fatto che esso agisce sul piano dell’osservazione, nel senso sistemico dell’opera: non modifica direttamente le operazioni di un dominio, ma altera la percezione che l’opinione pubblica ha di esse, abbassando la soglia di porosità tra i domini in periodi di crisi.</w:t>
      </w:r>
    </w:p>
    <w:p>
      <w:pPr>
        <w:spacing w:after="120" w:line="276"/>
        <w:jc w:val="both"/>
      </w:pPr>
      <w:r>
        <w:rPr>
          <w:rFonts w:ascii="Barlow Semi Condensed" w:cs="Barlow Semi Condensed" w:eastAsia="Barlow Semi Condensed" w:hAnsi="Barlow Semi Condensed"/>
          <w:sz w:val="24"/>
          <w:szCs w:val="24"/>
        </w:rPr>
        <w:t xml:space="preserve">2.2 — La diplomazia partitica di Russia Unita e Zheleznyak</w:t>
      </w:r>
    </w:p>
    <w:p>
      <w:pPr>
        <w:spacing w:after="120" w:line="276"/>
        <w:jc w:val="both"/>
      </w:pPr>
      <w:r>
        <w:rPr>
          <w:rFonts w:ascii="Barlow Semi Condensed" w:cs="Barlow Semi Condensed" w:eastAsia="Barlow Semi Condensed" w:hAnsi="Barlow Semi Condensed"/>
          <w:sz w:val="24"/>
          <w:szCs w:val="24"/>
        </w:rPr>
        <w:t xml:space="preserve">Il secondo pilastro della Formazione Beta è la costruzione, da parte del partito Russia Unita, di una rete di relazioni bilaterali formalizzate con partiti stranieri, coordinata per il tramite di figure come Sergej Zheleznyak. L’esistenza di questa rete di accordi di cooperazione tra partiti è documentata; il numero complessivo, dell’ordine delle decine, è riferito dalle fonti del corpus e va tenuto a Livello B in attesa di riscontro esaustivo dei singoli strumenti. Ciò che è invece certificato a Livello A è lo strumento italiano, che funge da modello dell’intero dispositivo.</w:t>
      </w:r>
    </w:p>
    <w:p>
      <w:pPr>
        <w:spacing w:after="120" w:line="276"/>
        <w:jc w:val="both"/>
      </w:pPr>
      <w:r>
        <w:rPr>
          <w:rFonts w:ascii="Barlow Semi Condensed" w:cs="Barlow Semi Condensed" w:eastAsia="Barlow Semi Condensed" w:hAnsi="Barlow Semi Condensed"/>
          <w:sz w:val="24"/>
          <w:szCs w:val="24"/>
        </w:rPr>
        <w:t xml:space="preserve">2.2.1 — L’architettura legale dell’accordo: il modello Lega</w:t>
      </w:r>
    </w:p>
    <w:p>
      <w:pPr>
        <w:spacing w:after="120" w:line="276"/>
        <w:jc w:val="both"/>
      </w:pPr>
      <w:r>
        <w:rPr>
          <w:rFonts w:ascii="Barlow Semi Condensed" w:cs="Barlow Semi Condensed" w:eastAsia="Barlow Semi Condensed" w:hAnsi="Barlow Semi Condensed"/>
          <w:sz w:val="24"/>
          <w:szCs w:val="24"/>
        </w:rPr>
        <w:t xml:space="preserve">Il 6 marzo 2017 il segretario della Lega Matteo Salvini sottoscrisse a Mosca un accordo di cooperazione e collaborazione con Russia Unita, rappresentata da Sergej Zheleznyak. Il fatto è certificato a Livello A: il testo è pubblico ed è stato riportato da una pluralità di testate italiane e internazionali. L’accordo prevede consultazioni e scambio di informazioni su temi di attualità e relazioni internazionali, cooperazione tra organizzazioni giovanili e nei settori dell’economia e del commercio, e si fonda dichiaratamente su un partenariato definito paritario e confidenziale. Due elementi vanno registrati con precisione, perché delimitano ciò che il fatto autorizza a concludere. Il primo è la clausola finale, che qualifica l’accordo come non giuridicamente vincolante e come mera manifestazione di interesse. Il secondo è il meccanismo di durata: validità quinquennale con proroga automatica salvo disdetta, sicché in assenza di recesso lo strumento è stato tacitamente rinnovato nel 2022 con scadenza al 2027. La registrazione del fatto e delle sue clausole è cosa distinta dalla sua interpretazione: il registro certifica l’esistenza, il contenuto e la vigenza dell’accordo, e si astiene dall’inferire da esso una subordinazione operativa, che il documento non prova.</w:t>
      </w:r>
    </w:p>
    <w:p>
      <w:pPr>
        <w:spacing w:after="120" w:line="276"/>
        <w:jc w:val="both"/>
      </w:pPr>
      <w:r>
        <w:rPr>
          <w:rFonts w:ascii="Barlow Semi Condensed" w:cs="Barlow Semi Condensed" w:eastAsia="Barlow Semi Condensed" w:hAnsi="Barlow Semi Condensed"/>
          <w:sz w:val="24"/>
          <w:szCs w:val="24"/>
        </w:rPr>
        <w:t xml:space="preserve">2.2.2 — Europa occidentale e i contatti del Movimento 5 Stelle</w:t>
      </w:r>
    </w:p>
    <w:p>
      <w:pPr>
        <w:spacing w:after="120" w:line="276"/>
        <w:jc w:val="both"/>
      </w:pPr>
      <w:r>
        <w:rPr>
          <w:rFonts w:ascii="Barlow Semi Condensed" w:cs="Barlow Semi Condensed" w:eastAsia="Barlow Semi Condensed" w:hAnsi="Barlow Semi Condensed"/>
          <w:sz w:val="24"/>
          <w:szCs w:val="24"/>
        </w:rPr>
        <w:t xml:space="preserve">Sul versante dell’Europa occidentale, oltre allo strumento italiano, il corpus registra rapporti privilegiati con il Partito della Libertà austriaco, che aveva a sua volta formalizzato un’intesa con Russia Unita, e una diffusa contiguità di posizioni con formazioni sovraniste in Francia, nei Paesi Bassi e altrove. Il corpus riferisce inoltre di contatti e di prossimità programmatica con settori del Movimento 5 Stelle su temi di politica estera. Su quest’ultimo punto è necessaria la massima cautela: la prossimità di posizioni pubbliche su singoli dossier è un fatto osservabile, ma non equivale a un accordo formale né a una direzione etero-diretta, e va perciò tenuta a Livello C, come indizio circostanziale, senza alcuna promozione a prova di collusione.</w:t>
      </w:r>
    </w:p>
    <w:p>
      <w:pPr>
        <w:spacing w:after="120" w:line="276"/>
        <w:jc w:val="both"/>
      </w:pPr>
      <w:r>
        <w:rPr>
          <w:rFonts w:ascii="Barlow Semi Condensed" w:cs="Barlow Semi Condensed" w:eastAsia="Barlow Semi Condensed" w:hAnsi="Barlow Semi Condensed"/>
          <w:sz w:val="24"/>
          <w:szCs w:val="24"/>
        </w:rPr>
        <w:t xml:space="preserve">2.2.3 — Balcani, spazio post-sovietico e Sud globale</w:t>
      </w:r>
    </w:p>
    <w:p>
      <w:pPr>
        <w:spacing w:after="120" w:line="276"/>
        <w:jc w:val="both"/>
      </w:pPr>
      <w:r>
        <w:rPr>
          <w:rFonts w:ascii="Barlow Semi Condensed" w:cs="Barlow Semi Condensed" w:eastAsia="Barlow Semi Condensed" w:hAnsi="Barlow Semi Condensed"/>
          <w:sz w:val="24"/>
          <w:szCs w:val="24"/>
        </w:rPr>
        <w:t xml:space="preserve">La proiezione della rete partitica verso i Balcani è documentata a Livello B attraverso i rapporti con il Partito Progressista Serbo e con la leadership della Republika Srpska, in particolare Milorad Dodik, e con formazioni in Montenegro. Verso lo spazio post-sovietico la rete si salda con l’architettura Shor descritta nella sezione precedente, condividendone gli obiettivi di destabilizzazione degli Stati candidati all’adesione europea. Verso il Sud globale, infine, il corpus registra la persistenza di relazioni storiche con movimenti di liberazione divenuti partiti di governo — tra cui il Congresso Nazionale Africano e formazioni analoghe in Africa australe — eredità in parte risalente all’epoca sovietica e riattivata in chiave contemporanea. Questa proiezione meridionale, tenuta a Livello B, è rilevante perché mostra la continuità di un capitale relazionale di lunga durata, distinto per origine dalla Formazione Alfa ma parzialmente sovrapposto per teatro geografico.</w:t>
      </w:r>
    </w:p>
    <w:p>
      <w:pPr>
        <w:spacing w:after="120" w:line="276"/>
        <w:jc w:val="both"/>
      </w:pPr>
      <w:r>
        <w:rPr>
          <w:rFonts w:ascii="Barlow Semi Condensed" w:cs="Barlow Semi Condensed" w:eastAsia="Barlow Semi Condensed" w:hAnsi="Barlow Semi Condensed"/>
          <w:sz w:val="24"/>
          <w:szCs w:val="24"/>
        </w:rPr>
        <w:t xml:space="preserve">2.3 — Il caso Balan: dallo spionaggio alla condanna</w:t>
      </w:r>
    </w:p>
    <w:p>
      <w:pPr>
        <w:spacing w:after="120" w:line="276"/>
        <w:jc w:val="both"/>
      </w:pPr>
      <w:r>
        <w:rPr>
          <w:rFonts w:ascii="Barlow Semi Condensed" w:cs="Barlow Semi Condensed" w:eastAsia="Barlow Semi Condensed" w:hAnsi="Barlow Semi Condensed"/>
          <w:sz w:val="24"/>
          <w:szCs w:val="24"/>
        </w:rPr>
        <w:t xml:space="preserve">Il corpus registra, tra gli episodi della Formazione Beta, l’arresto dell’ex vicedirettore del Servizio di Informazione e Sicurezza della Moldova, Alexandru Balan. La verifica indipendente conferma il fatto a Livello A e lo aggiorna oltre la redazione del documento. Balan fu fermato in Romania, a Timișoara, nel settembre 2025, nell’ambito di un’operazione congiunta dei servizi di Romania, Ungheria e Repubblica Ceca coordinata da Eurojust, con l’accusa di tradimento per aver trasmesso segreti di Stato a ufficiali del Comitato per la sicurezza dello Stato della Bielorussia in incontri tenuti a Budapest tra il 2024 e il 2025. Successivamente alla stesura del documento, il caso si è evoluto: Balan è stato condannato nell’aprile 2026 a diciotto mesi di reclusione, è stato consegnato alla Bielorussia nell’ambito di uno scambio di prigionieri e nel giugno 2026 è stato privato della cittadinanza moldava. Su questo episodio il registro impone una precisazione dettata dalla Regola Ferrea: il caso è documentato come spionaggio a favore dell’intelligence bielorussa; il suo inserimento diretto nella rete personale di Ilan Shor è un’associazione tematica — entrambi i vettori operano nel medesimo teatro moldavo e nel medesimo campo — non un nesso operativo provato tra i due, e va perciò mantenuto a Livello C.</w:t>
      </w:r>
    </w:p>
    <w:p>
      <w:pPr>
        <w:spacing w:after="120" w:line="276"/>
        <w:jc w:val="both"/>
      </w:pPr>
      <w:r>
        <w:rPr>
          <w:rFonts w:ascii="Barlow Semi Condensed" w:cs="Barlow Semi Condensed" w:eastAsia="Barlow Semi Condensed" w:hAnsi="Barlow Semi Condensed"/>
          <w:sz w:val="24"/>
          <w:szCs w:val="24"/>
        </w:rPr>
        <w:t xml:space="preserve">2.4 — Distinguere i vettori: russo e cinese, il caso Creyelman</w:t>
      </w:r>
    </w:p>
    <w:p>
      <w:pPr>
        <w:spacing w:after="120" w:line="276"/>
        <w:jc w:val="both"/>
      </w:pPr>
      <w:r>
        <w:rPr>
          <w:rFonts w:ascii="Barlow Semi Condensed" w:cs="Barlow Semi Condensed" w:eastAsia="Barlow Semi Condensed" w:hAnsi="Barlow Semi Condensed"/>
          <w:sz w:val="24"/>
          <w:szCs w:val="24"/>
        </w:rPr>
        <w:t xml:space="preserve">Un errore metodologico da evitare è la fusione di vettori d’influenza distinti in un unico indistinto blocco autoritario. Il corpus offre il caso che impone la distinzione. L’ex senatore belga Frank Creyelman, esponente del Vlaams Belang, fu espulso dal partito nel dicembre 2023 a seguito di un’inchiesta congiunta di primarie testate internazionali secondo cui sarebbe stato utilizzato per circa tre anni come informatore da un ufficiale del Ministero della Sicurezza dello Stato della Repubblica Popolare Cinese. Il fatto dell’espulsione è certificato a Livello A; la caratterizzazione come agente è tesi dell’inchiesta giornalistica, attribuita alla fonte e non accertata in giudizio, e come tale è tenuta a Livello B. Il punto metodologico è che questo è un caso di influenza cinese, non russa: assimilarlo alla rete Shor o a Russia Unita sarebbe una contaminazione delle fonti. Il registro tiene perciò separati i due vettori, e ne registra semmai la convergenza di effetto — l’obiettivo dichiarato, negli scambi documentati, di dividere le relazioni tra Stati Uniti ed Europa — come dato di analisi, non come prova di un comando unico.</w:t>
      </w:r>
    </w:p>
    <w:p>
      <w:pPr>
        <w:spacing w:after="120" w:line="276"/>
        <w:jc w:val="both"/>
      </w:pPr>
      <w:r>
        <w:rPr>
          <w:rFonts w:ascii="Barlow Semi Condensed" w:cs="Barlow Semi Condensed" w:eastAsia="Barlow Semi Condensed" w:hAnsi="Barlow Semi Condensed"/>
          <w:sz w:val="24"/>
          <w:szCs w:val="24"/>
        </w:rPr>
        <w:t xml:space="preserve">2.5 — Il codice unificante di Beta e la sua collocazione geopolitica</w:t>
      </w:r>
    </w:p>
    <w:p>
      <w:pPr>
        <w:spacing w:after="120" w:line="276"/>
        <w:jc w:val="both"/>
      </w:pPr>
      <w:r>
        <w:rPr>
          <w:rFonts w:ascii="Barlow Semi Condensed" w:cs="Barlow Semi Condensed" w:eastAsia="Barlow Semi Condensed" w:hAnsi="Barlow Semi Condensed"/>
          <w:sz w:val="24"/>
          <w:szCs w:val="24"/>
        </w:rPr>
        <w:t xml:space="preserve">Il codice che tiene insieme la Formazione Beta è il sovranismo anti-europeo e anti-atlantico, declinato come difesa dei valori tradizionali e ostilità all’ordine liberale. La sua collocazione geopolitica è speculare a quella della Formazione Alfa e va enunciata con la stessa nettezza, perché è decisiva per il vaglio delle ipotesi. Nella Formazione Beta la Federazione Russa è l’agente attivo che promuove la destabilizzazione, mentre gli Stati Uniti e l’Unione Europea sono gli avversari che vi si oppongono con l’arma sanzionatoria. In entrambe le formazioni, dunque — l’anticomunista atlantica e l’eurasiatista contemporanea — Stati Uniti e Russia si trovano su fronti opposti. Questa constatazione, che discende direttamente da ciò che il corpus documenta, è l’evidenza diagnostica centrale che la Fase IV oppone alla tesi del condominio.</w:t>
      </w:r>
    </w:p>
    <w:p>
      <w:pPr>
        <w:pStyle w:val="Heading3"/>
        <w:spacing w:after="80" w:before="160"/>
      </w:pPr>
      <w:r>
        <w:rPr>
          <w:rFonts w:ascii="Barlow Semi Condensed" w:cs="Barlow Semi Condensed" w:eastAsia="Barlow Semi Condensed" w:hAnsi="Barlow Semi Condensed"/>
          <w:sz w:val="24"/>
          <w:szCs w:val="24"/>
        </w:rPr>
        <w:t xml:space="preserve">FASE III — IL CONTENITORE EUROPEO E L’ANALISI COMPARATA</w:t>
      </w:r>
    </w:p>
    <w:p>
      <w:pPr>
        <w:spacing w:after="120" w:line="276"/>
        <w:jc w:val="both"/>
      </w:pPr>
      <w:r>
        <w:rPr>
          <w:rFonts w:ascii="Barlow Semi Condensed" w:cs="Barlow Semi Condensed" w:eastAsia="Barlow Semi Condensed" w:hAnsi="Barlow Semi Condensed"/>
          <w:sz w:val="24"/>
          <w:szCs w:val="24"/>
        </w:rPr>
        <w:t xml:space="preserve">3.1 — La destra radicale come contenitore ricorsivo</w:t>
      </w:r>
    </w:p>
    <w:p>
      <w:pPr>
        <w:spacing w:after="120" w:line="276"/>
        <w:jc w:val="both"/>
      </w:pPr>
      <w:r>
        <w:rPr>
          <w:rFonts w:ascii="Barlow Semi Condensed" w:cs="Barlow Semi Condensed" w:eastAsia="Barlow Semi Condensed" w:hAnsi="Barlow Semi Condensed"/>
          <w:sz w:val="24"/>
          <w:szCs w:val="24"/>
        </w:rPr>
        <w:t xml:space="preserve">Messe a confronto le due formazioni, emerge un elemento che le attraversa entrambe: la destra radicale europea. Nella cornice sistemica dell’opera essa va intesa come un contenitore, ossia un ambiente occupabile che diversi attori possono investire per i propri fini, e non come uno strumento orchestrato da un unico regista. La stessa famiglia ideologica che nel dopoguerra costituì il retroterra della Formazione Alfa — nazionalista, anti-liberale, ostile alla sinistra — è il bersaglio privilegiato del reclutamento della Formazione Beta. Ma il contenitore è ricorsivo: chi lo occupa in un’epoca può a sua volta essere occupato in un’altra. Questa è la chiave interpretativa che consente di descrivere la relazione tra le due formazioni senza cadere nell’ipotesi indebita di una loro identità o di una loro continuità di comando.</w:t>
      </w:r>
    </w:p>
    <w:p>
      <w:pPr>
        <w:spacing w:after="120" w:line="276"/>
        <w:jc w:val="both"/>
      </w:pPr>
      <w:r>
        <w:rPr>
          <w:rFonts w:ascii="Barlow Semi Condensed" w:cs="Barlow Semi Condensed" w:eastAsia="Barlow Semi Condensed" w:hAnsi="Barlow Semi Condensed"/>
          <w:sz w:val="24"/>
          <w:szCs w:val="24"/>
        </w:rPr>
        <w:t xml:space="preserve">3.2 — Nodi che ricorrono nei due dossier contemporanei</w:t>
      </w:r>
    </w:p>
    <w:p>
      <w:pPr>
        <w:spacing w:after="120" w:line="276"/>
        <w:jc w:val="both"/>
      </w:pPr>
      <w:r>
        <w:rPr>
          <w:rFonts w:ascii="Barlow Semi Condensed" w:cs="Barlow Semi Condensed" w:eastAsia="Barlow Semi Condensed" w:hAnsi="Barlow Semi Condensed"/>
          <w:sz w:val="24"/>
          <w:szCs w:val="24"/>
        </w:rPr>
        <w:t xml:space="preserve">All’interno della sola Formazione Beta, il confronto tra i due dossier contemporanei del corpus — quello sulla rete Shor e quello sulla diplomazia partitica di Russia Unita — individua alcuni nodi che ricorrono in entrambi, e che sono perciò certificabili a Livello B come punti di effettiva sovrapposizione: la formazione bulgara Vazrazhdane, il Partito della Libertà austriaco, la leadership della Republika Srpska nella persona di Milorad Dodik. La ricorrenza di questi nodi in dossier costruiti da fonti diverse è un riscontro di convergenza, non una prova di coordinamento centralizzato: indica che tali attori sono punti di contatto ad alta betweenness tra i due sotto-sistemi della Formazione Beta, ma non autorizza a concludere che ricevano istruzioni da un unico centro.</w:t>
      </w:r>
    </w:p>
    <w:p>
      <w:pPr>
        <w:spacing w:after="120" w:line="276"/>
        <w:jc w:val="both"/>
      </w:pPr>
      <w:r>
        <w:rPr>
          <w:rFonts w:ascii="Barlow Semi Condensed" w:cs="Barlow Semi Condensed" w:eastAsia="Barlow Semi Condensed" w:hAnsi="Barlow Semi Condensed"/>
          <w:sz w:val="24"/>
          <w:szCs w:val="24"/>
        </w:rPr>
        <w:t xml:space="preserve">3.3 — Isomorfismo strutturale a polarità invertita</w:t>
      </w:r>
    </w:p>
    <w:p>
      <w:pPr>
        <w:spacing w:after="120" w:line="276"/>
        <w:jc w:val="both"/>
      </w:pPr>
      <w:r>
        <w:rPr>
          <w:rFonts w:ascii="Barlow Semi Condensed" w:cs="Barlow Semi Condensed" w:eastAsia="Barlow Semi Condensed" w:hAnsi="Barlow Semi Condensed"/>
          <w:sz w:val="24"/>
          <w:szCs w:val="24"/>
        </w:rPr>
        <w:t xml:space="preserve">L’analisi comparata delle due formazioni rivela un isomorfismo strutturale a polarità invertita, che è forse il risultato analitico più originale del registro e che va tuttavia mantenuto al rango di ipotesi, cioè a Livello C. Le due formazioni presentano una topologia simile — un nucleo ristretto che si irradia verso i vertici di molteplici domini e verso il fianco sovranista della politica europea — ma con contenuto ideologico rovesciato. La Formazione Alfa era anticomunista e anti-sovietica; la Formazione Beta è post-comunista e filo-russa. La funzione strutturale — destabilizzare il centro liberale a partire dal fianco nazionalista — persiste, mentre la polarità si inverte. Secondo il pattern dell’isomorfismo di rete, una somiglianza strutturale può discendere da tre cause alternative: un’origine comune, una necessità funzionale, o una convergenza indipendente. Il corpus non contiene la prova di un’origine comune tra le due formazioni; sostiene invece, come lettura più economica, la necessità funzionale, ossia il fatto che quella particolare topologia sia semplicemente la più efficiente per il compito di erodere il centro dal fianco, e che perciò venga riprodotta da progettisti diversi in epoche diverse.</w:t>
      </w:r>
    </w:p>
    <w:p>
      <w:pPr>
        <w:spacing w:after="120" w:line="276"/>
        <w:jc w:val="both"/>
      </w:pPr>
      <w:r>
        <w:rPr>
          <w:rFonts w:ascii="Barlow Semi Condensed" w:cs="Barlow Semi Condensed" w:eastAsia="Barlow Semi Condensed" w:hAnsi="Barlow Semi Condensed"/>
          <w:sz w:val="24"/>
          <w:szCs w:val="24"/>
        </w:rPr>
        <w:t xml:space="preserve">3.4 — Continuità di forma, discontinuità di sponsor</w:t>
      </w:r>
    </w:p>
    <w:p>
      <w:pPr>
        <w:spacing w:after="120" w:line="276"/>
        <w:jc w:val="both"/>
      </w:pPr>
      <w:r>
        <w:rPr>
          <w:rFonts w:ascii="Barlow Semi Condensed" w:cs="Barlow Semi Condensed" w:eastAsia="Barlow Semi Condensed" w:hAnsi="Barlow Semi Condensed"/>
          <w:sz w:val="24"/>
          <w:szCs w:val="24"/>
        </w:rPr>
        <w:t xml:space="preserve">La sintesi comparata si può enunciare in una formula che tiene fermi i limiti dell’inferenza: tra le due formazioni vi è continuità di forma e discontinuità di sponsor. La forma — l’occupazione del contenitore sovranista per destabilizzare il centro — si ripete; lo sponsor si inverte, passando dal campo atlantico-anticomunista al campo eurasiatista. Ciò che il corpus non autorizza a inferire è una continuità di attori o di comando: gli individui sono di generazioni diverse, gli apparati che li sostennero sono opposti, e nessun documento del corpus stabilisce un passaggio di consegne tra la prima e la seconda formazione. Registrare la continuità di forma come dato, e insieme negare la continuità di comando in assenza di prova, è esattamente ciò che la Regola Ferrea impone.</w:t>
      </w:r>
    </w:p>
    <w:p>
      <w:pPr>
        <w:pStyle w:val="Heading3"/>
        <w:spacing w:after="80" w:before="160"/>
      </w:pPr>
      <w:r>
        <w:rPr>
          <w:rFonts w:ascii="Barlow Semi Condensed" w:cs="Barlow Semi Condensed" w:eastAsia="Barlow Semi Condensed" w:hAnsi="Barlow Semi Condensed"/>
          <w:sz w:val="24"/>
          <w:szCs w:val="24"/>
        </w:rPr>
        <w:t xml:space="preserve">FASE IV — IL VAGLIO DELLE IPOTESI E LO STATO ZERO</w:t>
      </w:r>
    </w:p>
    <w:p>
      <w:pPr>
        <w:spacing w:after="120" w:line="276"/>
        <w:jc w:val="both"/>
      </w:pPr>
      <w:r>
        <w:rPr>
          <w:rFonts w:ascii="Barlow Semi Condensed" w:cs="Barlow Semi Condensed" w:eastAsia="Barlow Semi Condensed" w:hAnsi="Barlow Semi Condensed"/>
          <w:sz w:val="24"/>
          <w:szCs w:val="24"/>
        </w:rPr>
        <w:t xml:space="preserve">4.1 — La matrice di consistenza: H1, H2, H3</w:t>
      </w:r>
    </w:p>
    <w:p>
      <w:pPr>
        <w:spacing w:after="120" w:line="276"/>
        <w:jc w:val="both"/>
      </w:pPr>
      <w:r>
        <w:rPr>
          <w:rFonts w:ascii="Barlow Semi Condensed" w:cs="Barlow Semi Condensed" w:eastAsia="Barlow Semi Condensed" w:hAnsi="Barlow Semi Condensed"/>
          <w:sz w:val="24"/>
          <w:szCs w:val="24"/>
        </w:rPr>
        <w:t xml:space="preserve">Il vaglio applica la procedura ACH alle tre ipotesi enunciate nella Fase 0. Il criterio, si ricorda, non è quale ipotesi raccolga più conferme, ma quale resti meno contraddetta dalle evidenze diagnostiche, ossia da quelle evidenze che discriminano tra le ipotesi anziché essere compatibili con tutte. L’evidenza diagnostica dirimente, emersa da entrambe le Fasi ricostruttive, è la collocazione reciproca di Stati Uniti e Unione Sovietica, poi Russia, nelle due formazioni documentate.</w:t>
      </w:r>
    </w:p>
    <w:p>
      <w:pPr>
        <w:spacing w:after="120" w:line="276"/>
        <w:jc w:val="both"/>
      </w:pPr>
      <w:r>
        <w:rPr>
          <w:rFonts w:ascii="Barlow Semi Condensed" w:cs="Barlow Semi Condensed" w:eastAsia="Barlow Semi Condensed" w:hAnsi="Barlow Semi Condensed"/>
          <w:sz w:val="24"/>
          <w:szCs w:val="24"/>
        </w:rPr>
        <w:t xml:space="preserve">4.2 — Perché il corpus falsifica la forma forte di H1</w:t>
      </w:r>
    </w:p>
    <w:p>
      <w:pPr>
        <w:spacing w:after="120" w:line="276"/>
        <w:jc w:val="both"/>
      </w:pPr>
      <w:r>
        <w:rPr>
          <w:rFonts w:ascii="Barlow Semi Condensed" w:cs="Barlow Semi Condensed" w:eastAsia="Barlow Semi Condensed" w:hAnsi="Barlow Semi Condensed"/>
          <w:sz w:val="24"/>
          <w:szCs w:val="24"/>
        </w:rPr>
        <w:t xml:space="preserve">La tesi del condominio, nella sua forma forte — Stati Uniti e Unione Sovietica, poi Russia, coordinati per impedire l’integrazione europea — è contraddetta in modo diretto dall’evidenza diagnostica. Nella Formazione Alfa, il sostegno esterno di grande potenza documentato proviene dal campo occidentale e ha per bersaglio il campo sovietico: la rete anticomunista, Condor incluso, era ostile a Mosca. Nella Formazione Beta, l’agente attivo è la Federazione Russa e gli avversari sanzionatori sono Stati Uniti e Unione Europea. In entrambe le formazioni, dunque, le due potenze si trovano su fronti opposti, non in coordinamento. Questa è una falsificazione nel senso proprio del termine: non l’assenza di conferme, ma la presenza di un’evidenza contraria e diagnostica. Ne consegue che la forma forte di H1 va respinta come cornice, esattamente come la Nota Metodologica dell’opera prescriveva di non assumerla come centro. Va precisato che la falsificazione riguarda la forma forte, quella del coordinamento operativo intenzionale; forme deboli — la constatazione che, in singoli frangenti, l’azione indipendente delle due potenze produsse effetti convergenti di destabilizzazione — non sono falsificate, ma coincidono di fatto con H3.</w:t>
      </w:r>
    </w:p>
    <w:p>
      <w:pPr>
        <w:spacing w:after="120" w:line="276"/>
        <w:jc w:val="both"/>
      </w:pPr>
      <w:r>
        <w:rPr>
          <w:rFonts w:ascii="Barlow Semi Condensed" w:cs="Barlow Semi Condensed" w:eastAsia="Barlow Semi Condensed" w:hAnsi="Barlow Semi Condensed"/>
          <w:sz w:val="24"/>
          <w:szCs w:val="24"/>
        </w:rPr>
        <w:t xml:space="preserve">4.3 — Perché H2 resiste ma resta a Livello C</w:t>
      </w:r>
    </w:p>
    <w:p>
      <w:pPr>
        <w:spacing w:after="120" w:line="276"/>
        <w:jc w:val="both"/>
      </w:pPr>
      <w:r>
        <w:rPr>
          <w:rFonts w:ascii="Barlow Semi Condensed" w:cs="Barlow Semi Condensed" w:eastAsia="Barlow Semi Condensed" w:hAnsi="Barlow Semi Condensed"/>
          <w:sz w:val="24"/>
          <w:szCs w:val="24"/>
        </w:rPr>
        <w:t xml:space="preserve">La tesi delle due internazionali rivali è quella meno contraddetta dalle evidenze. Il corpus documenta effettivamente due formazioni autoritarie transnazionali distinte, in due epoche successive, con sponsor opposti e con la funzione condivisa di destabilizzare il centro liberale dal fianco. H2 gode inoltre di un vantaggio esplicativo su H1 e su H3: rende conto sia della somiglianza strutturale tra le formazioni sia della loro opposizione geopolitica, che H1 non spiega e che H3 lascia come pura coincidenza. Ciononostante il registro mantiene H2 a Livello C, cioè al rango di ipotesi non falsificata e non promossa a fatto, per una ragione dirimente: definire le due formazioni come due internazionali implica un grado di intenzionalità e di autocoscienza che il corpus documenta per i singoli nodi ma non per l’insieme. In particolare, l’isomorfismo a polarità invertita — il ponte concettuale che unisce le due formazioni sotto un’unica etichetta — è a sua volta a Livello C. Tenere H2 come ipotesi guida non falsificata, e non come conclusione dimostrata, è la posizione che il rigore impone.</w:t>
      </w:r>
    </w:p>
    <w:p>
      <w:pPr>
        <w:spacing w:after="120" w:line="276"/>
        <w:jc w:val="both"/>
      </w:pPr>
      <w:r>
        <w:rPr>
          <w:rFonts w:ascii="Barlow Semi Condensed" w:cs="Barlow Semi Condensed" w:eastAsia="Barlow Semi Condensed" w:hAnsi="Barlow Semi Condensed"/>
          <w:sz w:val="24"/>
          <w:szCs w:val="24"/>
        </w:rPr>
        <w:t xml:space="preserve">4.4 — Stati Zero certificati</w:t>
      </w:r>
    </w:p>
    <w:p>
      <w:pPr>
        <w:spacing w:after="120" w:line="276"/>
        <w:jc w:val="both"/>
      </w:pPr>
      <w:r>
        <w:rPr>
          <w:rFonts w:ascii="Barlow Semi Condensed" w:cs="Barlow Semi Condensed" w:eastAsia="Barlow Semi Condensed" w:hAnsi="Barlow Semi Condensed"/>
          <w:sz w:val="24"/>
          <w:szCs w:val="24"/>
        </w:rPr>
        <w:t xml:space="preserve">Coerentemente con la metodologia dell’opera, il registro certifica come risultati positivi due connessioni sistematicamente cercate e non trovate. Il primo è uno Stato Zero interno alla Formazione Beta: nel dossier sulla rete Shor non emerge alcun collegamento diretto e documentato tra Ilan Shor e la criminalità organizzata italiana; la connessione è stata cercata e non è stata trovata, e ciò va registrato come esito, non come lacuna da riempire con congetture. Il secondo è uno Stato Zero relativo al rapporto tra le due formazioni: non esiste, nel corpus, alcun documento che stabilisca un passaggio di consegne, una continuità di attori o un comando comune tra la rete nera anticomunista del dopoguerra e l’operazione di influenza russa contemporanea. La continuità tra le due, come argomentato nella Fase III, è di forma e non di comando. Registrare questi due Stati Zero è parte essenziale della tutela del documento contro il proprio possibile scivolamento verso la tesi che la metodologia proscrive.</w:t>
      </w:r>
    </w:p>
    <w:p>
      <w:pPr>
        <w:pStyle w:val="Heading3"/>
        <w:spacing w:after="80" w:before="160"/>
      </w:pPr>
      <w:r>
        <w:rPr>
          <w:rFonts w:ascii="Barlow Semi Condensed" w:cs="Barlow Semi Condensed" w:eastAsia="Barlow Semi Condensed" w:hAnsi="Barlow Semi Condensed"/>
          <w:sz w:val="24"/>
          <w:szCs w:val="24"/>
        </w:rPr>
        <w:t xml:space="preserve">FASE V — RILIEVI CIVILI E PENALI: DIFFAMAZIONE E CALUNNIA</w:t>
      </w:r>
    </w:p>
    <w:p>
      <w:pPr>
        <w:spacing w:after="120" w:line="276"/>
        <w:jc w:val="both"/>
      </w:pPr>
      <w:r>
        <w:rPr>
          <w:rFonts w:ascii="Barlow Semi Condensed" w:cs="Barlow Semi Condensed" w:eastAsia="Barlow Semi Condensed" w:hAnsi="Barlow Semi Condensed"/>
          <w:sz w:val="24"/>
          <w:szCs w:val="24"/>
        </w:rPr>
        <w:t xml:space="preserve">5.1 — Il quadro normativo di riferimento</w:t>
      </w:r>
    </w:p>
    <w:p>
      <w:pPr>
        <w:spacing w:after="120" w:line="276"/>
        <w:jc w:val="both"/>
      </w:pPr>
      <w:r>
        <w:rPr>
          <w:rFonts w:ascii="Barlow Semi Condensed" w:cs="Barlow Semi Condensed" w:eastAsia="Barlow Semi Condensed" w:hAnsi="Barlow Semi Condensed"/>
          <w:sz w:val="24"/>
          <w:szCs w:val="24"/>
        </w:rPr>
        <w:t xml:space="preserve">Questa Fase risponde all’ordine di vagliare i possibili rilievi civili e penali per il testo di diffamazione e per quello di calunnia. Ciò che segue è informazione generale di orientamento, non consulenza legale, e non sostituisce il vaglio di un professionista prima di ogni pubblicazione. Nell’ordinamento italiano la diffamazione è prevista dall’articolo 595 del codice penale e sanziona chi, comunicando con più persone, offende l’altrui reputazione; l’attribuzione di un fatto determinato e la diffusione a mezzo stampa costituiscono aggravanti. La calunnia è prevista dall’articolo 368 e sanziona chi incolpa taluno di un reato pur sapendolo innocente, o simula a suo carico le tracce di un reato: essa richiede dunque la falsa attribuzione di un reato e la consapevolezza dell’innocenza. Il testo scientifico e d’inchiesta gode della scriminante del diritto di cronaca e di critica, ma a condizioni precise: la verità del fatto, l’interesse pubblico e la continenza espositiva.</w:t>
      </w:r>
    </w:p>
    <w:p>
      <w:pPr>
        <w:spacing w:after="120" w:line="276"/>
        <w:jc w:val="both"/>
      </w:pPr>
      <w:r>
        <w:rPr>
          <w:rFonts w:ascii="Barlow Semi Condensed" w:cs="Barlow Semi Condensed" w:eastAsia="Barlow Semi Condensed" w:hAnsi="Barlow Semi Condensed"/>
          <w:sz w:val="24"/>
          <w:szCs w:val="24"/>
        </w:rPr>
        <w:t xml:space="preserve">5.2 — Dove nasce l’esposizione: il fatto presentato come certo</w:t>
      </w:r>
    </w:p>
    <w:p>
      <w:pPr>
        <w:spacing w:after="120" w:line="276"/>
        <w:jc w:val="both"/>
      </w:pPr>
      <w:r>
        <w:rPr>
          <w:rFonts w:ascii="Barlow Semi Condensed" w:cs="Barlow Semi Condensed" w:eastAsia="Barlow Semi Condensed" w:hAnsi="Barlow Semi Condensed"/>
          <w:sz w:val="24"/>
          <w:szCs w:val="24"/>
        </w:rPr>
        <w:t xml:space="preserve">Il punto in cui nasce l’esposizione è identificabile con precisione: non è la trattazione di un tema, per quanto grave, ma la presentazione come fatto certo di un’affermazione discreditante non provata a carico di una persona identificabile. È questa trasformazione — dell’indizio in prova, dell’accusa altrui in verità propria, della contiguità in complicità — a generare il rischio, tanto civile quanto penale. Ne discende che la salvaguardia non consiste nel certificare, come pure l’ordine iniziale poteva suggerire, bensì nell’operazione opposta: graduare l’affermazione secondo il suo effettivo livello probatorio e attribuirla alla sua fonte. Un’affermazione classificata a Livello C ed esplicitamente riferita a un’inchiesta di terzi non incolpa nessuno di un reato in nome dell’autore; una medesima affermazione presentata come accertamento sì.</w:t>
      </w:r>
    </w:p>
    <w:p>
      <w:pPr>
        <w:spacing w:after="120" w:line="276"/>
        <w:jc w:val="both"/>
      </w:pPr>
      <w:r>
        <w:rPr>
          <w:rFonts w:ascii="Barlow Semi Condensed" w:cs="Barlow Semi Condensed" w:eastAsia="Barlow Semi Condensed" w:hAnsi="Barlow Semi Condensed"/>
          <w:sz w:val="24"/>
          <w:szCs w:val="24"/>
        </w:rPr>
        <w:t xml:space="preserve">5.3 — Le esimenti operative</w:t>
      </w:r>
    </w:p>
    <w:p>
      <w:pPr>
        <w:spacing w:after="120" w:line="276"/>
        <w:jc w:val="both"/>
      </w:pPr>
      <w:r>
        <w:rPr>
          <w:rFonts w:ascii="Barlow Semi Condensed" w:cs="Barlow Semi Condensed" w:eastAsia="Barlow Semi Condensed" w:hAnsi="Barlow Semi Condensed"/>
          <w:sz w:val="24"/>
          <w:szCs w:val="24"/>
        </w:rPr>
        <w:t xml:space="preserve">Da questa analisi discendono tre esimenti operative che il registro applica per costruzione e che dovrebbero governare la stesura definitiva. La prima è l’attribuzione alla fonte: ogni qualificazione discreditante che non sia un fatto accertato va introdotta come tesi di chi l’ha formulata — un’inchiesta, un rapporto, una relazione — e non come constatazione dell’autore. La seconda è la gradazione manifesta: il livello probatorio va reso visibile al lettore, così che egli possa valutare autonomamente il peso di ciò che legge, in conformità con il principio di falsificabilità. La terza è la distinzione tra gli statuti: va tenuta ferma in ogni riga la differenza tra la condanna definitiva, l’accusa non ancora accertata e la mera associazione, perché confondere questi tre statuti è precisamente ciò che espone alla calunnia e alla diffamazione.</w:t>
      </w:r>
    </w:p>
    <w:p>
      <w:pPr>
        <w:spacing w:after="120" w:line="276"/>
        <w:jc w:val="both"/>
      </w:pPr>
      <w:r>
        <w:rPr>
          <w:rFonts w:ascii="Barlow Semi Condensed" w:cs="Barlow Semi Condensed" w:eastAsia="Barlow Semi Condensed" w:hAnsi="Barlow Semi Condensed"/>
          <w:sz w:val="24"/>
          <w:szCs w:val="24"/>
        </w:rPr>
        <w:t xml:space="preserve">5.4 — Rilievi puntuali sul corpus</w:t>
      </w:r>
    </w:p>
    <w:p>
      <w:pPr>
        <w:spacing w:after="120" w:line="276"/>
        <w:jc w:val="both"/>
      </w:pPr>
      <w:r>
        <w:rPr>
          <w:rFonts w:ascii="Barlow Semi Condensed" w:cs="Barlow Semi Condensed" w:eastAsia="Barlow Semi Condensed" w:hAnsi="Barlow Semi Condensed"/>
          <w:sz w:val="24"/>
          <w:szCs w:val="24"/>
        </w:rPr>
        <w:t xml:space="preserve">Applicate al corpus, queste esimenti individuano i punti di attenzione. Per le persone viventi nominate nella Formazione Beta — l’oligarca sanzionato, i dirigenti di partito, l’ex parlamentare — il registro riporta i soli fatti pubblici e documentati e attribuisce ogni caratterizzazione ulteriore alla fonte che l’ha prodotta: così l’accordo di partito è registrato come fatto, mentre la lettura di esso come subordinazione resta esclusa; così la partecipazione a missioni di osservazione è registrata come fatto, mentre la qualificazione come rete etero-diretta è attribuita alle organizzazioni di monitoraggio. Il modello di questa disciplina è offerto dalla vicenda della P2: anche la lista più canonica di quella storia porta con sé l’avvertenza esplicita che la presenza di un nome non prova l’appartenenza, e che l’accertamento parlamentare non coincide con quello giudiziario. Trattare ogni nominativo del corpus con la stessa cautela con cui la storiografia tratta i nomi della lista di Castiglion Fibocchi è la garanzia più solida contro i rilievi. Per le persone defunte e per i fatti coperti da sentenza, il rischio è minore, ma la gradazione va comunque mantenuta.</w:t>
      </w:r>
    </w:p>
    <w:p>
      <w:pPr>
        <w:spacing w:after="120" w:line="276"/>
        <w:jc w:val="both"/>
      </w:pPr>
      <w:r>
        <w:rPr>
          <w:rFonts w:ascii="Barlow Semi Condensed" w:cs="Barlow Semi Condensed" w:eastAsia="Barlow Semi Condensed" w:hAnsi="Barlow Semi Condensed"/>
          <w:sz w:val="24"/>
          <w:szCs w:val="24"/>
        </w:rPr>
        <w:t xml:space="preserve">5.5 — Protocollo redazionale per la pubblicazione</w:t>
      </w:r>
    </w:p>
    <w:p>
      <w:pPr>
        <w:spacing w:after="120" w:line="276"/>
        <w:jc w:val="both"/>
      </w:pPr>
      <w:r>
        <w:rPr>
          <w:rFonts w:ascii="Barlow Semi Condensed" w:cs="Barlow Semi Condensed" w:eastAsia="Barlow Semi Condensed" w:hAnsi="Barlow Semi Condensed"/>
          <w:sz w:val="24"/>
          <w:szCs w:val="24"/>
        </w:rPr>
        <w:t xml:space="preserve">Il protocollo che ne discende, e che il registro raccomanda per ogni versione destinata alla diffusione, si riassume in poche prescrizioni sostanziali. Ogni affermazione discreditante su persona identificabile deve recare, nel testo, il proprio livello probatorio e, ove non sia fatto accertato, l’indicazione della fonte. Nessuna affermazione a Livello C deve essere formulata in modo assertorio. Nessun nesso operativo deve essere inferito dalla sola contiguità, dalla coincidenza temporale o dall’appartenenza al medesimo ambiente. Gli Stati Zero devono restare visibili, perché la loro rimozione trasformerebbe un’assenza di prova in una prova di presenza. Il rispetto di questo protocollo non indebolisce l’opera: ne è, al contrario, la condizione di solidità, poiché un’affermazione graduata e attribuita è inattaccabile là dove un’affermazione perentoria e non provata è vulnerabile.</w:t>
      </w:r>
    </w:p>
    <w:p>
      <w:pPr>
        <w:pStyle w:val="Heading3"/>
        <w:spacing w:after="80" w:before="160"/>
      </w:pPr>
      <w:r>
        <w:rPr>
          <w:rFonts w:ascii="Barlow Semi Condensed" w:cs="Barlow Semi Condensed" w:eastAsia="Barlow Semi Condensed" w:hAnsi="Barlow Semi Condensed"/>
          <w:sz w:val="24"/>
          <w:szCs w:val="24"/>
        </w:rPr>
        <w:t xml:space="preserve">FASE VI — REGISTRO DI VERIFICA: LA TRANCHE CERTIFICATA</w:t>
      </w:r>
    </w:p>
    <w:p>
      <w:pPr>
        <w:spacing w:after="120" w:line="276"/>
        <w:jc w:val="both"/>
      </w:pPr>
      <w:r>
        <w:rPr>
          <w:rFonts w:ascii="Barlow Semi Condensed" w:cs="Barlow Semi Condensed" w:eastAsia="Barlow Semi Condensed" w:hAnsi="Barlow Semi Condensed"/>
          <w:sz w:val="24"/>
          <w:szCs w:val="24"/>
        </w:rPr>
        <w:t xml:space="preserve">6.1 — Metodo del registro e legenda</w:t>
      </w:r>
    </w:p>
    <w:p>
      <w:pPr>
        <w:spacing w:after="120" w:line="276"/>
        <w:jc w:val="both"/>
      </w:pPr>
      <w:r>
        <w:rPr>
          <w:rFonts w:ascii="Barlow Semi Condensed" w:cs="Barlow Semi Condensed" w:eastAsia="Barlow Semi Condensed" w:hAnsi="Barlow Semi Condensed"/>
          <w:sz w:val="24"/>
          <w:szCs w:val="24"/>
        </w:rPr>
        <w:t xml:space="preserve">Questa Fase riporta in forma di schede in prosa i blocchi di verifica indipendente effettivamente eseguiti per la presente tranche, con l’esito e il livello attribuito. Coerentemente con le regole dell’opera, non si impiegano tabelle. Ogni scheda enuncia l’oggetto del riscontro, la natura delle fonti convergenti e la classificazione risultante. La legenda è quella generale del documento: Livello A per la convergenza di almeno tre fonti indipendenti eterogenee; Livello B per due fonti indipendenti o una fonte di alta affidabilità; Livello C per fonte singola o indizi circostanziali; Stato Zero per la connessione cercata e non trovata.</w:t>
      </w:r>
    </w:p>
    <w:p>
      <w:pPr>
        <w:spacing w:after="120" w:line="276"/>
        <w:jc w:val="both"/>
      </w:pPr>
      <w:r>
        <w:rPr>
          <w:rFonts w:ascii="Barlow Semi Condensed" w:cs="Barlow Semi Condensed" w:eastAsia="Barlow Semi Condensed" w:hAnsi="Barlow Semi Condensed"/>
          <w:sz w:val="24"/>
          <w:szCs w:val="24"/>
        </w:rPr>
        <w:t xml:space="preserve">6.2 — Blocchi di verifica eseguiti</w:t>
      </w:r>
    </w:p>
    <w:p>
      <w:pPr>
        <w:spacing w:after="120" w:line="276"/>
        <w:jc w:val="both"/>
      </w:pPr>
      <w:r>
        <w:rPr>
          <w:rFonts w:ascii="Barlow Semi Condensed" w:cs="Barlow Semi Condensed" w:eastAsia="Barlow Semi Condensed" w:hAnsi="Barlow Semi Condensed"/>
          <w:sz w:val="24"/>
          <w:szCs w:val="24"/>
        </w:rPr>
        <w:t xml:space="preserve">Blocco uno, architettura Shor. La designazione di Ilan Shor da parte del Tesoro statunitense nell’ottobre 2022 per interferenza elettorale a beneficio della Russia, la condanna in contumacia dell’aprile 2023, la messa al bando del partito nel giugno 2023 e i successivi ampliamenti delle misure dell’Unione Europea del luglio 2025 e del giugno 2026 sono confermati dalla convergenza di provvedimenti istituzionali statunitensi ed europei e di inchieste giornalistiche indipendenti. Esito: confermato a Livello A.</w:t>
      </w:r>
    </w:p>
    <w:p>
      <w:pPr>
        <w:spacing w:after="120" w:line="276"/>
        <w:jc w:val="both"/>
      </w:pPr>
      <w:r>
        <w:rPr>
          <w:rFonts w:ascii="Barlow Semi Condensed" w:cs="Barlow Semi Condensed" w:eastAsia="Barlow Semi Condensed" w:hAnsi="Barlow Semi Condensed"/>
          <w:sz w:val="24"/>
          <w:szCs w:val="24"/>
        </w:rPr>
        <w:t xml:space="preserve">Blocco due, rete cripto. Il meccanismo Garantex-Grinex-A7A5, con l’emissione del token da parte della kirghisa Old Vector, la garanzia presso la banca statale russa Promsvyazbank, il legame con la piattaforma A7 e la funzione di elusione delle sanzioni per un volume stimato in decine di miliardi di dollari, è confermato dalla convergenza dei provvedimenti sanzionatori statunitense e britannico dell’agosto 2025, delle misure dell’Unione Europea dell’ottobre 2025 e delle analisi tecniche di più società di intelligence sulla blockchain. L’indicazione di Ilan Shor come beneficiario ultimo della piattaforma A7 è riferita da inchieste di primarie testate internazionali. Esito: confermato a Livello A.</w:t>
      </w:r>
    </w:p>
    <w:p>
      <w:pPr>
        <w:spacing w:after="120" w:line="276"/>
        <w:jc w:val="both"/>
      </w:pPr>
      <w:r>
        <w:rPr>
          <w:rFonts w:ascii="Barlow Semi Condensed" w:cs="Barlow Semi Condensed" w:eastAsia="Barlow Semi Condensed" w:hAnsi="Barlow Semi Condensed"/>
          <w:sz w:val="24"/>
          <w:szCs w:val="24"/>
        </w:rPr>
        <w:t xml:space="preserve">Blocco tre, accordo Lega-Russia Unita. La sottoscrizione dell’accordo di cooperazione tra la Lega e Russia Unita il 6 marzo 2017 a opera di Matteo Salvini e Sergej Zheleznyak, il suo contenuto, la clausola di non vincolatività e il rinnovo tacito con scadenza al 2027 sono confermati dalla pubblicazione del testo e da una pluralità di testate italiane e internazionali. Esito: confermato a Livello A come fatto documentato, con espressa astensione da inferenze interpretative ulteriori.</w:t>
      </w:r>
    </w:p>
    <w:p>
      <w:pPr>
        <w:spacing w:after="120" w:line="276"/>
        <w:jc w:val="both"/>
      </w:pPr>
      <w:r>
        <w:rPr>
          <w:rFonts w:ascii="Barlow Semi Condensed" w:cs="Barlow Semi Condensed" w:eastAsia="Barlow Semi Condensed" w:hAnsi="Barlow Semi Condensed"/>
          <w:sz w:val="24"/>
          <w:szCs w:val="24"/>
        </w:rPr>
        <w:t xml:space="preserve">Blocco quattro, caso Petrocelli. La procedura di espulsione dal Movimento 5 Stelle nel 2022 sulla linea del voto contrario agli aiuti all’Ucraina, la presidenza dell’Istituto Italia-BRICS e la partecipazione a delegazioni di osservatori alle elezioni presidenziali russa del 2024 e bielorussa del 2025 sono confermate da fonti giornalistiche e dalla biografia ufficiale del medesimo istituto. Esito: fatti pubblici confermati a Livello A; la caratterizzazione come rete etero-diretta è tesi di terzi tenuta a Livello B e attribuita alla fonte.</w:t>
      </w:r>
    </w:p>
    <w:p>
      <w:pPr>
        <w:spacing w:after="120" w:line="276"/>
        <w:jc w:val="both"/>
      </w:pPr>
      <w:r>
        <w:rPr>
          <w:rFonts w:ascii="Barlow Semi Condensed" w:cs="Barlow Semi Condensed" w:eastAsia="Barlow Semi Condensed" w:hAnsi="Barlow Semi Condensed"/>
          <w:sz w:val="24"/>
          <w:szCs w:val="24"/>
        </w:rPr>
        <w:t xml:space="preserve">Blocco cinque, caso Balan. L’arresto in Romania nel settembre 2025 nell’operazione congiunta coordinata da Eurojust, l’accusa di trasmissione di segreti al servizio bielorusso, la condanna dell’aprile 2026, lo scambio di prigionieri e la privazione della cittadinanza moldava del giugno 2026 sono confermati da fonti giudiziarie e giornalistiche convergenti. Esito: confermato a Livello A, con aggiornamento successivo alla redazione del documento; il nesso diretto con la rete Shor è tenuto a Livello C.</w:t>
      </w:r>
    </w:p>
    <w:p>
      <w:pPr>
        <w:spacing w:after="120" w:line="276"/>
        <w:jc w:val="both"/>
      </w:pPr>
      <w:r>
        <w:rPr>
          <w:rFonts w:ascii="Barlow Semi Condensed" w:cs="Barlow Semi Condensed" w:eastAsia="Barlow Semi Condensed" w:hAnsi="Barlow Semi Condensed"/>
          <w:sz w:val="24"/>
          <w:szCs w:val="24"/>
        </w:rPr>
        <w:t xml:space="preserve">Blocco sei, caso Creyelman. L’espulsione dell’ex senatore belga dal Vlaams Belang nel dicembre 2023 è confermata a Livello A; la caratterizzazione come informatore dell’intelligence cinese è tesi di un’inchiesta giornalistica congiunta di primarie testate, tenuta a Livello B e attribuita alla fonte. Il blocco certifica altresì, come rilievo metodologico, che si tratta di un vettore d’influenza cinese, distinto da quello russo.</w:t>
      </w:r>
    </w:p>
    <w:p>
      <w:pPr>
        <w:spacing w:after="120" w:line="276"/>
        <w:jc w:val="both"/>
      </w:pPr>
      <w:r>
        <w:rPr>
          <w:rFonts w:ascii="Barlow Semi Condensed" w:cs="Barlow Semi Condensed" w:eastAsia="Barlow Semi Condensed" w:hAnsi="Barlow Semi Condensed"/>
          <w:sz w:val="24"/>
          <w:szCs w:val="24"/>
        </w:rPr>
        <w:t xml:space="preserve">Blocco sette, Loggia P2. Il rinvenimento dell’elenco dei circa 962 iscritti a Castiglion Fibocchi il 17 marzo 1981, la sua pubblicazione il 21 maggio 1981 e il giudizio di autenticità e attendibilità della Commissione Anselmi del 12 luglio 1984 sono confermati a Livello A dalla relazione parlamentare e dalla storiografia. Il blocco certifica insieme il caveat dirimente: la presenza di un nome nell’elenco non prova l’appartenenza, e l’accertamento parlamentare non coincide con l’esito giudiziario. Esito: confermato a Livello A, con avvertenza sui falsi positivi.</w:t>
      </w:r>
    </w:p>
    <w:p>
      <w:pPr>
        <w:spacing w:after="120" w:line="276"/>
        <w:jc w:val="both"/>
      </w:pPr>
      <w:r>
        <w:rPr>
          <w:rFonts w:ascii="Barlow Semi Condensed" w:cs="Barlow Semi Condensed" w:eastAsia="Barlow Semi Condensed" w:hAnsi="Barlow Semi Condensed"/>
          <w:sz w:val="24"/>
          <w:szCs w:val="24"/>
        </w:rPr>
        <w:t xml:space="preserve">Blocco otto, Operazione Condor. La formalizzazione del sistema nella riunione di Santiago del 25 novembre-1º dicembre 1975 su convocazione di Manuel Contreras, la scoperta dell’Archivo del Terror il 22 dicembre 1992, l’esecuzione dell’attentato di Roma del 6 ottobre 1975 contro Bernardo Leighton da parte di Stefano Delle Chiaie per conto della DINA e l’omicidio di Orlando Letelier a Washington nel settembre 1976 sono confermati a Livello A dai documenti primari del National Security Archive e dalle risultanze giudiziarie. Il blocco certifica altresì la collocazione geopolitica anti-sovietica della rete, rilevante per il vaglio delle ipotesi. Esito: confermato a Livello A.</w:t>
      </w:r>
    </w:p>
    <w:p>
      <w:pPr>
        <w:spacing w:after="120" w:line="276"/>
        <w:jc w:val="both"/>
      </w:pPr>
      <w:r>
        <w:rPr>
          <w:rFonts w:ascii="Barlow Semi Condensed" w:cs="Barlow Semi Condensed" w:eastAsia="Barlow Semi Condensed" w:hAnsi="Barlow Semi Condensed"/>
          <w:sz w:val="24"/>
          <w:szCs w:val="24"/>
        </w:rPr>
        <w:t xml:space="preserve">Blocco nove, diaspora nazista e ratlines. L’esistenza di vie di fuga strutturate verso il Sud America e la penisola iberica, con il ruolo di settori ecclesiastici e di documenti di viaggio ottenuti con generalità false, e i singoli casi di Eichmann, Mengele, Barbie e Stangl, sono acquisizioni storiografiche consolidate confermate a Livello A. L’immagine di un’unica organizzazione centralizzata denominata ODESSA è tenuta a Livello C. Esito: meccanismo confermato a Livello A; centralizzazione a Livello C.</w:t>
      </w:r>
    </w:p>
    <w:p>
      <w:pPr>
        <w:spacing w:after="120" w:line="276"/>
        <w:jc w:val="both"/>
      </w:pPr>
      <w:r>
        <w:rPr>
          <w:rFonts w:ascii="Barlow Semi Condensed" w:cs="Barlow Semi Condensed" w:eastAsia="Barlow Semi Condensed" w:hAnsi="Barlow Semi Condensed"/>
          <w:sz w:val="24"/>
          <w:szCs w:val="24"/>
        </w:rPr>
        <w:t xml:space="preserve">Blocco dieci, elusione dell’embargo dell’apartheid. La cooperazione militare del Sudafrica dell’apartheid con fornitori e mediatori per aggirare l’embargo, attraverso l’agenzia statale Armscor e reti di intermediari, e l’esistenza di un asse tra Stati paria fondato sull’elusione delle sanzioni, sono confermate a Livello B dalla documentazione storica del corpus e dagli approfondimenti tematici. Esito: confermato a Livello B.</w:t>
      </w:r>
    </w:p>
    <w:p>
      <w:pPr>
        <w:spacing w:after="120" w:line="276"/>
        <w:jc w:val="both"/>
      </w:pPr>
      <w:r>
        <w:rPr>
          <w:rFonts w:ascii="Barlow Semi Condensed" w:cs="Barlow Semi Condensed" w:eastAsia="Barlow Semi Condensed" w:hAnsi="Barlow Semi Condensed"/>
          <w:sz w:val="24"/>
          <w:szCs w:val="24"/>
        </w:rPr>
        <w:t xml:space="preserve">6.3 — Stati Zero certificati e blocchi rinviati</w:t>
      </w:r>
    </w:p>
    <w:p>
      <w:pPr>
        <w:spacing w:after="120" w:line="276"/>
        <w:jc w:val="both"/>
      </w:pPr>
      <w:r>
        <w:rPr>
          <w:rFonts w:ascii="Barlow Semi Condensed" w:cs="Barlow Semi Condensed" w:eastAsia="Barlow Semi Condensed" w:hAnsi="Barlow Semi Condensed"/>
          <w:sz w:val="24"/>
          <w:szCs w:val="24"/>
        </w:rPr>
        <w:t xml:space="preserve">Il registro certifica formalmente i due Stati Zero della presente tranche. Primo Stato Zero: assenza di collegamento diretto e documentato tra Ilan Shor e la criminalità organizzata italiana, connessione cercata nel corpus e non trovata. Secondo Stato Zero: assenza, nel corpus, di qualsiasi documento che stabilisca continuità di attori o comando comune tra la Formazione Alfa e la Formazione Beta. Entrambi gli Stati Zero sono risultati positivi, non lacune.</w:t>
      </w:r>
    </w:p>
    <w:p>
      <w:pPr>
        <w:spacing w:after="120" w:line="276"/>
        <w:jc w:val="both"/>
      </w:pPr>
      <w:r>
        <w:rPr>
          <w:rFonts w:ascii="Barlow Semi Condensed" w:cs="Barlow Semi Condensed" w:eastAsia="Barlow Semi Condensed" w:hAnsi="Barlow Semi Condensed"/>
          <w:sz w:val="24"/>
          <w:szCs w:val="24"/>
        </w:rPr>
        <w:t xml:space="preserve">Quanto ai blocchi rinviati alle tranche successive, il registro dichiara con trasparenza che il vaglio a cascata prefigurato è processo pluri-sessione e che questa è la prima tranche. Restano da certificare partitamente, tra gli altri: il riscontro esaustivo dei singoli accordi di partito della rete Russia Unita, di cui è qui verificato il modello italiano; la ricognizione analitica dei nodi bulgaro, austriaco e balcanico ricorrenti nei due dossier contemporanei; la verifica documentale dei singoli intermediari dell’asse iberico e sudafricano; e la ricostruzione partita dei rapporti tra il neofascismo italiano in fuga e i singoli apparati di sicurezza dei regimi del Cono Sur. Ciascuno di questi blocchi sarà oggetto delle tranche successive, secondo il principio di conservazione cumulativa che governa l’opera, per cui ogni versione preserva integralmente la precedente e la incrementa.</w:t>
      </w:r>
    </w:p>
    <w:p>
      <w:pPr>
        <w:pStyle w:val="Heading3"/>
        <w:spacing w:after="80" w:before="160"/>
      </w:pPr>
      <w:r>
        <w:rPr>
          <w:rFonts w:ascii="Barlow Semi Condensed" w:cs="Barlow Semi Condensed" w:eastAsia="Barlow Semi Condensed" w:hAnsi="Barlow Semi Condensed"/>
          <w:sz w:val="24"/>
          <w:szCs w:val="24"/>
        </w:rPr>
        <w:t xml:space="preserve">CHIUSA — Sintesi e indicazioni per le versioni successive</w:t>
      </w:r>
    </w:p>
    <w:p>
      <w:pPr>
        <w:spacing w:after="120" w:line="276"/>
        <w:jc w:val="both"/>
      </w:pPr>
      <w:r>
        <w:rPr>
          <w:rFonts w:ascii="Barlow Semi Condensed" w:cs="Barlow Semi Condensed" w:eastAsia="Barlow Semi Condensed" w:hAnsi="Barlow Semi Condensed"/>
          <w:sz w:val="24"/>
          <w:szCs w:val="24"/>
        </w:rPr>
        <w:t xml:space="preserve">Il registro, applicando alla lettera la metodologia dell’opera, giunge a un esito netto e a un limite altrettanto netto. L’esito è che il corpus, letto per ciò che effettivamente documenta, falsifica la forma forte della tesi del condominio tra Stati Uniti e Unione Sovietica, poi Russia: in entrambe le formazioni autoritarie transnazionali che il corpus ricostruisce — l’anticomunista atlantica del dopoguerra e l’eurasiatista contemporanea — le due potenze si collocano su fronti opposti, non in coordinamento. Il limite è che la tesi alternativa delle due internazionali rivali, pur essendo la meno contraddetta dalle evidenze e pur godendo di un vantaggio esplicativo, va mantenuta al rango di ipotesi non falsificata, a Livello C, perché l’intenzionalità e l’autocoscienza che essa presuppone per l’insieme sono documentate solo per i singoli nodi.</w:t>
      </w:r>
    </w:p>
    <w:p>
      <w:pPr>
        <w:spacing w:after="120" w:line="276"/>
        <w:jc w:val="both"/>
      </w:pPr>
      <w:r>
        <w:rPr>
          <w:rFonts w:ascii="Barlow Semi Condensed" w:cs="Barlow Semi Condensed" w:eastAsia="Barlow Semi Condensed" w:hAnsi="Barlow Semi Condensed"/>
          <w:sz w:val="24"/>
          <w:szCs w:val="24"/>
        </w:rPr>
        <w:t xml:space="preserve">Ne discende, per le versioni successive, una direzione di lavoro coerente con questa impostazione: non la ricerca di conferme alla tesi del condominio, che la struttura stessa produrrebbe artificiosamente, ma il tentativo sistematico di falsificare l’ipotesi delle due internazionali rivali, cercando in via prioritaria le evidenze che la contraddirebbero — ad esempio la prova documentale di un passaggio di consegne tra le due formazioni, che oggi è uno Stato Zero. È questo il metodo del falsificatore permanente che l’opera ha eletto a proprio principio: solo l’ipotesi che sopravvive ai tentativi di confutazione merita, e soltanto provvisoriamente, il titolo di conoscenza. Il presente documento è la prima tranche di quel percorso e va letto come tale: un registro che gradua, attribuisce e distingue, e che nella disciplina della prova trova insieme il proprio rigore scientifico e la propria tutela.</w:t>
      </w:r>
    </w:p>
    <w:p>
      <w:pPr>
        <w:pStyle w:val="Heading3"/>
        <w:spacing w:after="80" w:before="160"/>
      </w:pPr>
      <w:r>
        <w:rPr>
          <w:rFonts w:ascii="Barlow Semi Condensed" w:cs="Barlow Semi Condensed" w:eastAsia="Barlow Semi Condensed" w:hAnsi="Barlow Semi Condensed"/>
          <w:sz w:val="24"/>
          <w:szCs w:val="24"/>
        </w:rPr>
        <w:t xml:space="preserve">Nota sulle fonti di riscontro della tranche</w:t>
      </w:r>
    </w:p>
    <w:p>
      <w:pPr>
        <w:spacing w:after="120" w:line="276"/>
        <w:jc w:val="both"/>
      </w:pPr>
      <w:r>
        <w:rPr>
          <w:rFonts w:ascii="Barlow Semi Condensed" w:cs="Barlow Semi Condensed" w:eastAsia="Barlow Semi Condensed" w:hAnsi="Barlow Semi Condensed"/>
          <w:sz w:val="24"/>
          <w:szCs w:val="24"/>
        </w:rPr>
        <w:t xml:space="preserve">I riscontri della presente tranche poggiano, per la parte contemporanea, su provvedimenti sanzionatori e comunicati di organismi istituzionali — il Tesoro degli Stati Uniti e il suo Ufficio per il controllo dei beni esteri, il Consiglio dell’Unione Europea, l’omologo britannico — su inchieste di primarie testate internazionali e nazionali, e su analisi tecniche di società specializzate nell’intelligence sulla blockchain e nel monitoraggio elettorale. Per la parte storica poggiano sulla relazione della Commissione parlamentare d’inchiesta sulla Loggia P2, sui documenti primari desecretati resi disponibili dal National Security Archive, sulla letteratura accademica e giudiziaria consolidata e sugli approfondimenti tematici del corpus, che a loro volta recano le proprie fonti. In coerenza con lo standard di triangolazione dell’opera, nessun nodo è stato certificato a Livello A senza la convergenza di almeno tre fonti indipendenti di natura eterogenea; ove tale convergenza non è stata raggiunta, il nodo è stato mantenuto ai livelli inferiori o registrato come Stato Zero. Le fonti puntuali di ciascun blocco sono conservate nel fascicolo di lavorazione e saranno riportate analiticamente nelle versioni successive, secondo il principio di conservazione cumulativa.</w:t>
      </w:r>
    </w:p>
    <w:p>
      <w:pPr>
        <w:pStyle w:val="Heading3"/>
        <w:spacing w:after="80" w:before="160"/>
      </w:pPr>
      <w:r>
        <w:rPr>
          <w:rFonts w:ascii="Barlow Semi Condensed" w:cs="Barlow Semi Condensed" w:eastAsia="Barlow Semi Condensed" w:hAnsi="Barlow Semi Condensed"/>
          <w:sz w:val="24"/>
          <w:szCs w:val="24"/>
        </w:rPr>
        <w:t xml:space="preserve">SECONDA TRANCHE — FASE VII: IL CORRIDOIO BIOGRAFICO TRA LE DUE FORMAZIONI. IL NODO MURELLI E LA FILIERA JEUNE EUROPE–ORION–EURASIATISMO</w:t>
      </w:r>
    </w:p>
    <w:p>
      <w:pPr>
        <w:spacing w:after="120" w:line="276"/>
        <w:jc w:val="both"/>
      </w:pPr>
      <w:r>
        <w:rPr>
          <w:rFonts w:ascii="Barlow Semi Condensed" w:cs="Barlow Semi Condensed" w:eastAsia="Barlow Semi Condensed" w:hAnsi="Barlow Semi Condensed"/>
          <w:sz w:val="24"/>
          <w:szCs w:val="24"/>
        </w:rPr>
        <w:t xml:space="preserve">7.1 — Oggetto della tranche, fonte-innesco e suo statuto probatorio</w:t>
      </w:r>
    </w:p>
    <w:p>
      <w:pPr>
        <w:spacing w:after="120" w:line="276"/>
        <w:jc w:val="both"/>
      </w:pPr>
      <w:r>
        <w:rPr>
          <w:rFonts w:ascii="Barlow Semi Condensed" w:cs="Barlow Semi Condensed" w:eastAsia="Barlow Semi Condensed" w:hAnsi="Barlow Semi Condensed"/>
          <w:sz w:val="24"/>
          <w:szCs w:val="24"/>
        </w:rPr>
        <w:t xml:space="preserve">La seconda tranche è innescata dall'acquisizione al fascicolo della voce enciclopedica in rete dedicata a Maurizio Murelli e procede, secondo il mandato, per blocchi di verifica a cascata con triangolazione integrale sul corpus e sulle fonti esterne. Occorre anzitutto fissare lo statuto della fonte-innesco. La voce si autodichiara, con avviso redazionale in testa, priva o carente di note e riferimenti bibliografici puntuali; reca inoltre un vistoso refuso nella data di consultazione di una delle note, indicata in un impossibile 17 aprile 2121, ulteriore segnale di redazione non curata. Ne discende la regola applicata per l'intera tranche: la voce vale come puntatore e come mappa delle asserzioni da vagliare, mai come prova; ogni sua proposizione è stata sottoposta a triangolazione autonoma con il corpus dell'opera — in particolare con la ricostruzione storiografica dedicata alla filiera da Aginter Press e Jeune Europe all'eurasiatismo filorusso, già acquisita al progetto — e con fonti esterne indipendenti, giornalistiche, accademiche, giudiziarie e archivistiche. Le note della voce sono state estratte una per una e i loro collegamenti censiti nell'apparato finale della tranche, come richiesto dal mandato.</w:t>
      </w:r>
    </w:p>
    <w:p>
      <w:pPr>
        <w:spacing w:after="120" w:line="276"/>
        <w:jc w:val="both"/>
      </w:pPr>
      <w:r>
        <w:rPr>
          <w:rFonts w:ascii="Barlow Semi Condensed" w:cs="Barlow Semi Condensed" w:eastAsia="Barlow Semi Condensed" w:hAnsi="Barlow Semi Condensed"/>
          <w:sz w:val="24"/>
          <w:szCs w:val="24"/>
        </w:rPr>
        <w:t xml:space="preserve">La ragione per cui questo nodo merita una tranche dedicata è analitica prima che biografica. La prima tranche aveva certificato, come secondo Stato Zero, l'assenza nel corpus allora vagliato di qualsiasi documento che stabilisse continuità di attori tra la Formazione Alfa — la rete nera anticomunista del dopoguerra — e la Formazione Beta — l'operazione di influenza eurasiatista contemporanea. Il materiale ora vagliato incide precisamente su quel punto: documenta l'esistenza di un corridoio biografico e ideologico che attraversa le due epoche, e impone di aggiornare formalmente il registro. Come si vedrà, l'aggiornamento non rovescia lo Stato Zero: lo raffina, distinguendo ciò che ora risulta documentato — la continuità di persone e di ambiente — da ciò che resta non documentato — la continuità di comando e di committenza.</w:t>
      </w:r>
    </w:p>
    <w:p>
      <w:pPr>
        <w:spacing w:after="120" w:line="276"/>
        <w:jc w:val="both"/>
      </w:pPr>
      <w:r>
        <w:rPr>
          <w:rFonts w:ascii="Barlow Semi Condensed" w:cs="Barlow Semi Condensed" w:eastAsia="Barlow Semi Condensed" w:hAnsi="Barlow Semi Condensed"/>
          <w:sz w:val="24"/>
          <w:szCs w:val="24"/>
        </w:rPr>
        <w:t xml:space="preserve">7.2 — Il fatto fondativo: il giovedì nero di Milano del 12 aprile 1973</w:t>
      </w:r>
    </w:p>
    <w:p>
      <w:pPr>
        <w:spacing w:after="120" w:line="276"/>
        <w:jc w:val="both"/>
      </w:pPr>
      <w:r>
        <w:rPr>
          <w:rFonts w:ascii="Barlow Semi Condensed" w:cs="Barlow Semi Condensed" w:eastAsia="Barlow Semi Condensed" w:hAnsi="Barlow Semi Condensed"/>
          <w:sz w:val="24"/>
          <w:szCs w:val="24"/>
        </w:rPr>
        <w:t xml:space="preserve">Il fatto giudiziario da cui la biografia muove è accertato a Livello A dalla convergenza di risultanze processuali, storiografia e cronaca giudiziaria pluridecennale, e trova pieno riscontro nella voce enciclopedica dedicata all'evento, anch'essa acquisita al corpus. Il 12 aprile 1973, durante una manifestazione del Movimento Sociale Italiano e del Fronte della Gioventù vietata dal prefetto Libero Mazza e dal questore, un corteo neofascista attraversò Milano dirigendosi verso la prefettura; all'incrocio tra via Bellotti e via Kramer vennero lanciate contro le forze dell'ordine due bombe a mano SRCM Mod. 35 in dotazione all'esercito. La seconda colpì al petto l'agente ventiduenne Antonio Marino, uccidendolo; altri dodici agenti rimasero feriti. Per quei fatti Vittorio Loi, figlio del pugile Duilio Loi e autore materiale del lancio, fu condannato a diciannove anni; Maurizio Murelli, che aveva compiuto diciotto anni da pochi mesi, fu condannato a diciotto anni a titolo di concorso, secondo la formula della unicità del disegno criminoso; ne scontò circa undici prima della semilibertà. Le bombe erano state procurate da Nico Azzi del gruppo La Fenice, denominazione milanese dell'area ordinovista, lo stesso Azzi che il 7 aprile precedente si era ferito nel fallito attentato al treno Torino-Genova-Roma: la circostanza, accertata processualmente, salda il giovedì nero al contesto stragista coevo ed è certificata a Livello A.</w:t>
      </w:r>
    </w:p>
    <w:p>
      <w:pPr>
        <w:spacing w:after="120" w:line="276"/>
        <w:jc w:val="both"/>
      </w:pPr>
      <w:r>
        <w:rPr>
          <w:rFonts w:ascii="Barlow Semi Condensed" w:cs="Barlow Semi Condensed" w:eastAsia="Barlow Semi Condensed" w:hAnsi="Barlow Semi Condensed"/>
          <w:sz w:val="24"/>
          <w:szCs w:val="24"/>
        </w:rPr>
        <w:t xml:space="preserve">Su un punto la tranche impone la massima disciplina, trattandosi della seconda carica dello Stato in carica. È documentato a Livello A, dalla convergenza di più testate indipendenti e della storiografia, che in testa al corteo di quel giorno vi fossero, tra i dirigenti, i fratelli Ignazio e Romano La Russa, il primo allora segretario milanese del Fronte della Gioventù. È parimenti documentato, dalla medesima convergenza di fonti, che entrambi furono ritenuti estranei ai fatti di sangue: le iniziali chiamate in correo mosse da Loi e Murelli contro dirigenti del movimento, tra cui i fratelli La Russa, furono dagli stessi dichiaranti ritrattate come infondate. Il registro riporta pertanto, congiuntamente e con pari evidenza, il fatto della presenza documentata alla guida del corteo e il fatto dell'estraneità accertata ai reati di sangue, astenendosi — in forza della disciplina delle persone viventi e della Regola Ferrea — da qualsiasi inferenza che dalla presenza a una manifestazione ricavi responsabilità ulteriori. Una fonte isolata di segno diverso, non riscontrata dalla convergenza delle altre, è stata registrata e non utilizzata. Si segnala infine, quale rilievo di contesto storiografico già presente nel corpus, che il Movimento Sociale Italiano tentò dapprima di attribuire i fatti a infiltrati avversari e successivamente si dissociò dai condannati.</w:t>
      </w:r>
    </w:p>
    <w:p>
      <w:pPr>
        <w:spacing w:after="120" w:line="276"/>
        <w:jc w:val="both"/>
      </w:pPr>
      <w:r>
        <w:rPr>
          <w:rFonts w:ascii="Barlow Semi Condensed" w:cs="Barlow Semi Condensed" w:eastAsia="Barlow Semi Condensed" w:hAnsi="Barlow Semi Condensed"/>
          <w:sz w:val="24"/>
          <w:szCs w:val="24"/>
        </w:rPr>
        <w:t xml:space="preserve">7.3 — Il carcere, Freda, la macchina editoriale: da QUEX a Orion ad AGA</w:t>
      </w:r>
    </w:p>
    <w:p>
      <w:pPr>
        <w:spacing w:after="120" w:line="276"/>
        <w:jc w:val="both"/>
      </w:pPr>
      <w:r>
        <w:rPr>
          <w:rFonts w:ascii="Barlow Semi Condensed" w:cs="Barlow Semi Condensed" w:eastAsia="Barlow Semi Condensed" w:hAnsi="Barlow Semi Condensed"/>
          <w:sz w:val="24"/>
          <w:szCs w:val="24"/>
        </w:rPr>
        <w:t xml:space="preserve">La traiettoria successiva di Murelli è documentata a Livello A nei suoi snodi esterni e verificabili. Durante la detenzione collaborò alla rivista clandestina QUEX, promossa da detenuti dell'area nazionalrivoluzionaria tra cui Fabrizio Zani e Mario Tuti, e maturò — per sua stessa ricostruzione — l'influenza determinante di Franco Freda e del suo scritto sulla disintegrazione del sistema. Fondò dal carcere, nel 1979, le Edizioni Barbarossa, divenute poi Società Editrice Barbarossa e infine AGA Editrice; uscito in semilibertà nel 1984, diede vita a Saluzzo al mensile Orion, animandolo con la moglie Alessandra Colla. Che Orion sia stato il punto di riferimento italiano dell'area detta rosso-bruna o nazionalbolscevica è giudizio convergente della letteratura specialistica ed è certificato a Livello A come collocazione, mentre i contenuti sono documentati dallo studio accademico di Matteo Luca Andriola sulla retorica antigiudaica e sul negazionismo nelle pagine del mensile, apparso su rivista scientifica nel 2016: trattandosi di fonte accademica singola di alta qualità, la caratterizzazione contenutistica è certificata a Livello B e attribuita allo studio. Il corpus dell'opera aggiunge un elemento di rilievo strategico, tratto dalla monografia sull'architettura del caos: già in un articolo del 1985 la redazione di Orion auspicava un impero eurasiatico esteso dal Pacifico all'Atlantico, formulazione che anticipa con notevole precisione la sistematizzazione che Aleksandr Dugin avrebbe dato al progetto eurasiatista oltre un decennio dopo. L'anticipazione è certificata a Livello B sulla base del corpus e della letteratura che la riscontra, ed è analiticamente decisiva: mostra che la filiera italiana non fu ricettore passivo ma laboratorio precoce dell'ideologia poi divenuta strumento della proiezione russa.</w:t>
      </w:r>
    </w:p>
    <w:p>
      <w:pPr>
        <w:spacing w:after="120" w:line="276"/>
        <w:jc w:val="both"/>
      </w:pPr>
      <w:r>
        <w:rPr>
          <w:rFonts w:ascii="Barlow Semi Condensed" w:cs="Barlow Semi Condensed" w:eastAsia="Barlow Semi Condensed" w:hAnsi="Barlow Semi Condensed"/>
          <w:sz w:val="24"/>
          <w:szCs w:val="24"/>
        </w:rPr>
        <w:t xml:space="preserve">7.4 — Le gravitazioni documentate attorno a Orion: il vivaio delle traiettorie</w:t>
      </w:r>
    </w:p>
    <w:p>
      <w:pPr>
        <w:spacing w:after="120" w:line="276"/>
        <w:jc w:val="both"/>
      </w:pPr>
      <w:r>
        <w:rPr>
          <w:rFonts w:ascii="Barlow Semi Condensed" w:cs="Barlow Semi Condensed" w:eastAsia="Barlow Semi Condensed" w:hAnsi="Barlow Semi Condensed"/>
          <w:sz w:val="24"/>
          <w:szCs w:val="24"/>
        </w:rPr>
        <w:t xml:space="preserve">Attorno alla rivista gravitò, per convergenza della voce, del corpus e della letteratura indipendente, un insieme di figure le cui traiettorie successive costituiscono il cuore analitico della tranche. La posizione di Mario Borghezio è la meglio documentata ed è certificata a Livello A nei suoi passaggi esterni: militante di Jeune Europe, il movimento nazional-europeo di Jean Thiriart, dal 1962 e per un quinquennio, per sua stessa ammissione; nell'area di Ordine Nuovo negli anni Settanta; fermato l'11 luglio 1976 al valico di Ponte San Luigi presso Ventimiglia, il giorno successivo all'omicidio del giudice Vittorio Occorsio rivendicato dal Movimento Politico Ordine Nuovo, trovato in possesso di una cartolina firmata Ordine Nuovo dal contenuto ingiurioso e minatorio indirizzata al magistrato Luciano Violante; negli anni Ottanta direttore di Orion-Finanza, il supplemento economico della rivista di Murelli; quindi consigliere comunale della Lega a Torino dal 1990, deputato dal 1992 al 2001, parlamentare europeo dal 2001 al 2019. La sequenza — che il corpus riassume come l'arco completo dal neofascismo thiriartiano alla penetrazione della Lega — è la singola carriera che meglio incarna il Pattern della migrazione inter-dominio previsto dalla Nota Metodologica, e va riportata come concatenazione di fatti documentati, senza qualificazioni ulteriori.</w:t>
      </w:r>
    </w:p>
    <w:p>
      <w:pPr>
        <w:spacing w:after="120" w:line="276"/>
        <w:jc w:val="both"/>
      </w:pPr>
      <w:r>
        <w:rPr>
          <w:rFonts w:ascii="Barlow Semi Condensed" w:cs="Barlow Semi Condensed" w:eastAsia="Barlow Semi Condensed" w:hAnsi="Barlow Semi Condensed"/>
          <w:sz w:val="24"/>
          <w:szCs w:val="24"/>
        </w:rPr>
        <w:t xml:space="preserve">La posizione di Gianluca Savoini è documentata a Livello A nei fatti esterni: la collocazione giovanile nell'orbita del circuito di Orion è attestata dalla convergenza del corpus, della letteratura specialistica e della cronaca; la fondazione e la presidenza dell'Associazione Lombardia-Russia, il ruolo di raccordo nei rapporti tra la Lega e gli ambienti moscoviti e la qualità di artefice organizzativo dell'accordo del 6 marzo 2017 tra la Lega e Russia Unita — accordo già certificato a Livello A nella prima tranche — sono parimenti documentati. Le altre gravitazioni attestate dalla convergenza di voce, corpus e letteratura comprendono il fondatore di Prima Linea Enrico Galmozzi, il fondatore di Terza Posizione Gabriele Adinolfi, che della rivista fu anche uno dei direttori, il futuro responsabile culturale di CasaPound Adriano Scianca, Carlo Terracciano e Carlo Mattogno, la cui produzione negazionista è qualificazione consolidata nella letteratura scientifica e come tale riportata. È infine documentato a Livello A, per ammissione dello stesso ambiente e per cronaca, che Murelli assunse per un periodo Pierluigi Concutelli — il condannato definitivo per l'omicidio Occorsio, la cui voce biografica è parte del corpus — quale responsabile dell'ufficio romano della casa editrice, nel quadro dei benefici di legge. La densità di questo vivaio in un unico punto della rete è, nel lessico della Nota Metodologica, un caso di scuola di alta centralità di intermediazione: un nodo editoriale poco visibile al grande pubblico che collega aree altrimenti disconnesse — reduci dell'eversione, futuri quadri leghisti, futuri quadri di CasaPound — e ne incuba le traiettorie.</w:t>
      </w:r>
    </w:p>
    <w:p>
      <w:pPr>
        <w:spacing w:after="120" w:line="276"/>
        <w:jc w:val="both"/>
      </w:pPr>
      <w:r>
        <w:rPr>
          <w:rFonts w:ascii="Barlow Semi Condensed" w:cs="Barlow Semi Condensed" w:eastAsia="Barlow Semi Condensed" w:hAnsi="Barlow Semi Condensed"/>
          <w:sz w:val="24"/>
          <w:szCs w:val="24"/>
        </w:rPr>
        <w:t xml:space="preserve">7.5 — Il 1992 come anno-cerniera: Dugin a Milano, Thiriart a Mosca</w:t>
      </w:r>
    </w:p>
    <w:p>
      <w:pPr>
        <w:spacing w:after="120" w:line="276"/>
        <w:jc w:val="both"/>
      </w:pPr>
      <w:r>
        <w:rPr>
          <w:rFonts w:ascii="Barlow Semi Condensed" w:cs="Barlow Semi Condensed" w:eastAsia="Barlow Semi Condensed" w:hAnsi="Barlow Semi Condensed"/>
          <w:sz w:val="24"/>
          <w:szCs w:val="24"/>
        </w:rPr>
        <w:t xml:space="preserve">La tranche certifica il 1992 come l'anno-cerniera dell'intera filiera, sulla base della convergenza tra il corpus, la testimonianza diretta pubblicata dagli stessi ambienti e la letteratura accademica indipendente. In quell'anno Aleksandr Dugin tenne a Milano, al circolo delle Stelline, una conferenza sull'eurasiatismo, su invito dell'area di Orion: è la prima presenza documentata del futuro ideologo in Italia, certificata a Livello A dalla convergenza di testimonianza diretta di ambiente, corpus e ricostruzioni giornalistiche e accademiche. Nello stesso anno l'anziano Jean Thiriart, fondatore di Jeune Europe, compì il viaggio a Mosca per incontrare Dugin — accompagnato, secondo la ricostruzione accademica che la tranche riscontra, da Marco Battarra dell'area di Orion — e morì poche settimane dopo il rientro: il passaggio di consegne simbolico tra il nazional-europeismo antiatlantista degli anni Sessanta e il neo-eurasiatismo moscovita è così documentato a Livello A nei suoi fatti esterni. Nei decenni successivi la saldatura si è fatta editoriale e organizzativa: le opere di Dugin sono state pubblicate in Italia dalla filiera Barbarossa e poi, dal 2018 con sistematicità, da AGA Editrice, che ne è divenuta il principale editore italiano; parallelamente Claudio Mutti — anch'egli ex militante di Jeune Europe — ne ha veicolato il pensiero sulla rivista Eurasia. Il registro segnala infine, come fatto documentato dalla cronaca, che Dugin risultava all'epoca dei fatti del 2018 presidente onorario di un'associazione italo-russa di ambito piemontese: la capillarità associativa del vettore è parte del quadro.</w:t>
      </w:r>
    </w:p>
    <w:p>
      <w:pPr>
        <w:spacing w:after="120" w:line="276"/>
        <w:jc w:val="both"/>
      </w:pPr>
      <w:r>
        <w:rPr>
          <w:rFonts w:ascii="Barlow Semi Condensed" w:cs="Barlow Semi Condensed" w:eastAsia="Barlow Semi Condensed" w:hAnsi="Barlow Semi Condensed"/>
          <w:sz w:val="24"/>
          <w:szCs w:val="24"/>
        </w:rPr>
        <w:t xml:space="preserve">7.6 — Il filo dinastico Graziani: da Asunción all'eurasiatismo</w:t>
      </w:r>
    </w:p>
    <w:p>
      <w:pPr>
        <w:spacing w:after="120" w:line="276"/>
        <w:jc w:val="both"/>
      </w:pPr>
      <w:r>
        <w:rPr>
          <w:rFonts w:ascii="Barlow Semi Condensed" w:cs="Barlow Semi Condensed" w:eastAsia="Barlow Semi Condensed" w:hAnsi="Barlow Semi Condensed"/>
          <w:sz w:val="24"/>
          <w:szCs w:val="24"/>
        </w:rPr>
        <w:t xml:space="preserve">La tranche certifica un secondo corridoio, di natura dinastica, che salda fisicamente il teatro sudamericano della Formazione Alfa alla filiera eurasiatista contemporanea, secondo il Pattern dell'analisi generazionale previsto dalla Nota Metodologica. Clemente Graziani, nato a Roma nel 1925, reduce della Repubblica Sociale, fu tra i fondatori del Centro Studi Ordine Nuovo e capo del Movimento Politico Ordine Nuovo; condannato per ricostituzione del disciolto partito fascista, raggiunto da mandati di cattura tra cui quello per concorso nell'omicidio del giudice Occorsio, sfuggì all'estradizione dapprima nel Regno Unito e nella Grecia dei colonnelli e si stabilì infine nel Paraguay di Alfredo Stroessner — il medesimo santuario certificato nella prima tranche come epicentro logistico del sistema Condor e crocevia dell'asse con Pretoria — dove il regime ne rifiutò la consegna e dove visse da allevatore nel Chaco fino alla morte, avvenuta ad Asunción il 12 gennaio 1996. Il registro certifica con pari evidenza, in forza della disciplina dell'accuratezza e del contrasto ai falsi positivi, che dall'accusa più grave, il concorso nell'omicidio Occorsio, Graziani fu scagionato con formula piena in sede di legittimità: la sua posizione va dunque riportata come quella di un condannato per ricostituzione del partito fascista e latitante protetto dal regime stronista, non come quella di un condannato per l'omicidio del magistrato. L'intero quadro è certificato a Livello A.</w:t>
      </w:r>
    </w:p>
    <w:p>
      <w:pPr>
        <w:spacing w:after="120" w:line="276"/>
        <w:jc w:val="both"/>
      </w:pPr>
      <w:r>
        <w:rPr>
          <w:rFonts w:ascii="Barlow Semi Condensed" w:cs="Barlow Semi Condensed" w:eastAsia="Barlow Semi Condensed" w:hAnsi="Barlow Semi Condensed"/>
          <w:sz w:val="24"/>
          <w:szCs w:val="24"/>
        </w:rPr>
        <w:t xml:space="preserve">Il figlio, Rainaldo Graziani, fondò nei primi anni Novanta il movimento Meridiano Zero, fu punto di contatto italiano di Gabriele Adinolfi durante l'esilio francese di quest'ultimo, co-curò con Murelli e con lo stesso Adinolfi l'Università d'Estate del 2000 di cui si dirà, ed è divenuto negli anni recenti — per convergenza di cronaca e letteratura — uno degli accompagnatori e organizzatori italiani della presenza di Dugin, fino ad annunciare nel 2020, congiuntamente a Murelli, l'abbandono dell'identità neofascista in favore della Quarta Teoria Politica duginiana. La concatenazione è certificata a Livello A nei fatti esterni. Il suo significato analitico è difficilmente sopravvalutabile: in una sola genealogia familiare il registro osserva il padre che muore nel santuario paraguaiano dell'internazionale nera anticomunista e il figlio che, una generazione dopo, opera da tramite dell'ideologo dell'internazionale eurasiatista filorussa. È il capovolgimento di polarità della prima tranche incarnato in una dinastia, con date, luoghi e atti pubblici.</w:t>
      </w:r>
    </w:p>
    <w:p>
      <w:pPr>
        <w:spacing w:after="120" w:line="276"/>
        <w:jc w:val="both"/>
      </w:pPr>
      <w:r>
        <w:rPr>
          <w:rFonts w:ascii="Barlow Semi Condensed" w:cs="Barlow Semi Condensed" w:eastAsia="Barlow Semi Condensed" w:hAnsi="Barlow Semi Condensed"/>
          <w:sz w:val="24"/>
          <w:szCs w:val="24"/>
        </w:rPr>
        <w:t xml:space="preserve">7.7 — L'Università d'Estate del 2000 e l'incubazione di CasaPound</w:t>
      </w:r>
    </w:p>
    <w:p>
      <w:pPr>
        <w:spacing w:after="120" w:line="276"/>
        <w:jc w:val="both"/>
      </w:pPr>
      <w:r>
        <w:rPr>
          <w:rFonts w:ascii="Barlow Semi Condensed" w:cs="Barlow Semi Condensed" w:eastAsia="Barlow Semi Condensed" w:hAnsi="Barlow Semi Condensed"/>
          <w:sz w:val="24"/>
          <w:szCs w:val="24"/>
        </w:rPr>
        <w:t xml:space="preserve">La voce e la letteratura specialistica documentano che a partire dai primi anni Novanta Murelli organizzò la serie di convegni denominata Università d'Estate, poi Sinergie Europee, quale luogo di raccordo della componente intellettuale delle destre radicali europee; e che l'edizione del 2000, tenutasi presso un centro di Gavirate e curata da Murelli con Rainaldo Graziani e Gabriele Adinolfi, riunì esponenti di un arco che andava dalle formazioni radicali a settori di partiti allora di governo o parlamentari. La valutazione secondo cui in quella sede sarebbe stata concepita e pianificata la fondazione di CasaPound è tesi dello studioso Matteo Luca Andriola, ripresa dalla letteratura sulle origini del movimento: il registro la certifica a Livello B come ricostruzione accademica attribuita, non come fatto autonomamente riscontrato, rilevando che essa è coerente con la documentata funzione incubatrice dell'ambiente e con il ruolo, parimenti documentato, di Adinolfi e di Scianca nella genesi e nella direzione culturale del movimento.</w:t>
      </w:r>
    </w:p>
    <w:p>
      <w:pPr>
        <w:spacing w:after="120" w:line="276"/>
        <w:jc w:val="both"/>
      </w:pPr>
      <w:r>
        <w:rPr>
          <w:rFonts w:ascii="Barlow Semi Condensed" w:cs="Barlow Semi Condensed" w:eastAsia="Barlow Semi Condensed" w:hAnsi="Barlow Semi Condensed"/>
          <w:sz w:val="24"/>
          <w:szCs w:val="24"/>
        </w:rPr>
        <w:t xml:space="preserve">7.8 — Il caso Metropol nella sua interezza giudiziaria</w:t>
      </w:r>
    </w:p>
    <w:p>
      <w:pPr>
        <w:spacing w:after="120" w:line="276"/>
        <w:jc w:val="both"/>
      </w:pPr>
      <w:r>
        <w:rPr>
          <w:rFonts w:ascii="Barlow Semi Condensed" w:cs="Barlow Semi Condensed" w:eastAsia="Barlow Semi Condensed" w:hAnsi="Barlow Semi Condensed"/>
          <w:sz w:val="24"/>
          <w:szCs w:val="24"/>
        </w:rPr>
        <w:t xml:space="preserve">La tranche riporta il caso Metropol nella sua interezza, perché la disciplina delle persone viventi impone di dare al fatto e al suo esito giudiziario pari evidenza. È documentato a Livello A che il 18 ottobre 2018, presso l'hotel Metropol di Mosca, si tenne un incontro tra Gianluca Savoini, l'avvocato Gianluca Meranda e il consulente Francesco Vannucci, da parte italiana, e tre interlocutori russi considerati intermediari, nel corso del quale si discusse di un'operazione di compravendita petrolifera che, secondo la registrazione audio dell'incontro poi resa pubblica da una testata statunitense nel luglio 2019, avrebbe dovuto generare provvista destinata al finanziamento del partito della Lega. Ne seguì un procedimento della Procura di Milano per corruzione internazionale a carico dei tre cittadini italiani. È parimenti documentato a Livello A che il procedimento si è concluso il 27 aprile 2023 con decreto di archiviazione del giudice per le indagini preliminari, su conforme richiesta dei pubblici ministeri, e che il leader della Lega non è mai stato indagato nella vicenda.</w:t>
      </w:r>
    </w:p>
    <w:p>
      <w:pPr>
        <w:spacing w:after="120" w:line="276"/>
        <w:jc w:val="both"/>
      </w:pPr>
      <w:r>
        <w:rPr>
          <w:rFonts w:ascii="Barlow Semi Condensed" w:cs="Barlow Semi Condensed" w:eastAsia="Barlow Semi Condensed" w:hAnsi="Barlow Semi Condensed"/>
          <w:sz w:val="24"/>
          <w:szCs w:val="24"/>
        </w:rPr>
        <w:t xml:space="preserve">La motivazione dell'archiviazione, quale risulta dalla cronaca giudiziaria convergente, presenta una duplice faccia che il registro riporta integralmente perché ometterne una parte violerebbe la continenza in danno degli uni o degli altri. Da un lato il giudice ha rilevato che gli atti compiuti risultavano inequivocabilmente diretti verso l'obiettivo finale di finanziare illecitamente il partito, grazie ai rapporti che il principale indagato aveva saputo tessere con influenti ambienti russi; dall'altro ha escluso la configurabilità del reato contestato e ogni ragionevole previsione di condanna, poiché l'operazione principale non fu mai conclusa, la fase di destinazione delle somme non fu mai raggiunta e l'identificazione dei soggetti russi e delle loro cariche risultò impossibile per la mancata risposta della Federazione Russa alla rogatoria. Gli accertamenti dei pubblici ministeri, riportati dalla cronaca giudiziaria, indicarono altresì che alla trattativa partecipò Aleksandr Dugin in rappresentanza di alti esponenti dell'establishment russo. Il registro ne trae la formulazione vincolante per ogni versione dell'opera: l'incontro, l'audio, il procedimento e gli accertamenti sono fatti riportabili; nessuna responsabilità penale è stata accertata a carico di alcuno; l'archiviazione per impossibilità di ragionevole previsione di condanna non equivale a un accertamento negativo dei fatti né, all'opposto, autorizza a presentare come provato ciò che il processo non ha provato. Ogni formulazione che ecceda questo perimetro, in un senso o nell'altro, è vietata.</w:t>
      </w:r>
    </w:p>
    <w:p>
      <w:pPr>
        <w:spacing w:after="120" w:line="276"/>
        <w:jc w:val="both"/>
      </w:pPr>
      <w:r>
        <w:rPr>
          <w:rFonts w:ascii="Barlow Semi Condensed" w:cs="Barlow Semi Condensed" w:eastAsia="Barlow Semi Condensed" w:hAnsi="Barlow Semi Condensed"/>
          <w:sz w:val="24"/>
          <w:szCs w:val="24"/>
        </w:rPr>
        <w:t xml:space="preserve">7.9 — La svolta del 2020 e la tesi dell'infiltrazione: gradazione e attribuzione</w:t>
      </w:r>
    </w:p>
    <w:p>
      <w:pPr>
        <w:spacing w:after="120" w:line="276"/>
        <w:jc w:val="both"/>
      </w:pPr>
      <w:r>
        <w:rPr>
          <w:rFonts w:ascii="Barlow Semi Condensed" w:cs="Barlow Semi Condensed" w:eastAsia="Barlow Semi Condensed" w:hAnsi="Barlow Semi Condensed"/>
          <w:sz w:val="24"/>
          <w:szCs w:val="24"/>
        </w:rPr>
        <w:t xml:space="preserve">Due elementi conclusivi della biografia vanno gradati con cura. Il primo è la svolta pubblica del 2020: in un documentario diffuso in rete nel gennaio di quell'anno, e in successive esternazioni riscontrate dalla cronaca, Murelli e Rainaldo Graziani annunciarono la chiusura con l'esperienza e con l'identità neofascista e la propria ricollocazione nella Quarta Teoria Politica di Dugin. L'annuncio è documentato a Livello A come atto pubblico; la sua qualificazione — se compimento coerente di una traiettoria quarantennale dal nazionalbolscevismo all'eurasiatismo, piuttosto che cesura — è materia interpretativa che il registro lascia aperta. Il secondo è la tesi formulata nel 2019 dal libro-inchiesta di Claudio Gatti sui demoni di Salvini, secondo cui Murelli sarebbe stato ispiratore e artefice di infiltrazioni postfasciste nella Lega, idonee a orientarne il vertice e a farne veicolo dell'influenza russa in Europa; tesi ripresa da trasmissioni televisive d'inchiesta del servizio pubblico e di emittenti private nell'autunno del medesimo anno. Il registro certifica a Livello A l'esistenza e il contenuto della tesi e delle inchieste; certifica a Livello A i singoli fatti su cui esse poggiano, nella misura in cui sono stati autonomamente riscontrati nei paragrafi che precedono; ma mantiene la tesi complessiva — l'infiltrazione intenzionale e diretta come disegno unitario — al rango di ipotesi interpretativa attribuita alla fonte, a Livello C, perché essa eccede la somma dei fatti documentati e nessun accertamento giudiziario l'ha convalidata. È esattamente il punto in cui la Regola Ferrea separa la concatenazione documentata delle biografie dall'attribuzione di un mandato.</w:t>
      </w:r>
    </w:p>
    <w:p>
      <w:pPr>
        <w:spacing w:after="120" w:line="276"/>
        <w:jc w:val="both"/>
      </w:pPr>
      <w:r>
        <w:rPr>
          <w:rFonts w:ascii="Barlow Semi Condensed" w:cs="Barlow Semi Condensed" w:eastAsia="Barlow Semi Condensed" w:hAnsi="Barlow Semi Condensed"/>
          <w:sz w:val="24"/>
          <w:szCs w:val="24"/>
        </w:rPr>
        <w:t xml:space="preserve">7.10 — Verdetto della tranche: l'aggiornamento formale del secondo Stato Zero</w:t>
      </w:r>
    </w:p>
    <w:p>
      <w:pPr>
        <w:spacing w:after="120" w:line="276"/>
        <w:jc w:val="both"/>
      </w:pPr>
      <w:r>
        <w:rPr>
          <w:rFonts w:ascii="Barlow Semi Condensed" w:cs="Barlow Semi Condensed" w:eastAsia="Barlow Semi Condensed" w:hAnsi="Barlow Semi Condensed"/>
          <w:sz w:val="24"/>
          <w:szCs w:val="24"/>
        </w:rPr>
        <w:t xml:space="preserve">La tranche impone di aggiornare formalmente il registro delle non-connessioni. Il secondo Stato Zero della prima tranche — l'assenza di documenti che stabilissero continuità di attori tra la Formazione Alfa e la Formazione Beta — è superato nella sua prima metà: la continuità di attori e di ambiente è ora documentata a Livello A, incarnata in un corridoio biografico plurimo e verificato — Murelli, dal giovedì nero all'editoria duginiana; Borghezio, da Jeune Europe a Orion-Finanza alla Lega; Mutti, da Jeune Europe alla rivista Eurasia; la dinastia Graziani, dal santuario paraguaiano all'accompagnamento di Dugin; Savoini, dall'orbita di Orion all'accordo con Russia Unita e al Metropol. Resta invece integro, e viene qui ricertificato come Stato Zero, il nucleo duro della non-connessione: nessun documento del corpus né della campagna di verifica stabilisce una continuità di comando, di committenza o di sponsor tra le due formazioni. Il corridoio documentato è un corridoio di persone e di idee che cambiano campo, non una catena di trasmissione di ordini; e il corpus stesso certifica, con la distinzione tra la filiera atlantista facente capo ad Aginter Press e la filiera antiatlantista facente capo a Jeune Europe, che già all'interno della Formazione Alfa coesistevano due linee opposte quanto a collocazione geopolitica, prive di contatti documentati tra loro.</w:t>
      </w:r>
    </w:p>
    <w:p>
      <w:pPr>
        <w:spacing w:after="120" w:line="276"/>
        <w:jc w:val="both"/>
      </w:pPr>
      <w:r>
        <w:rPr>
          <w:rFonts w:ascii="Barlow Semi Condensed" w:cs="Barlow Semi Condensed" w:eastAsia="Barlow Semi Condensed" w:hAnsi="Barlow Semi Condensed"/>
          <w:sz w:val="24"/>
          <w:szCs w:val="24"/>
        </w:rPr>
        <w:t xml:space="preserve">Ne discendono tre conseguenze per la matrice delle ipotesi. La prima è un raffinamento di H2: il polo nero della Guerra Fredda non era monolitico; la componente che confluisce nell'eurasiatismo filorusso non è quella atlantista del Condor e di Aginter, ma la corrente antiatlantista thiriartiana, minoritaria e distinta, che dell'antiamericanismo aveva fatto il proprio codice fin dagli anni Sessanta. Il capovolgimento di polarità certificato nella prima tranche va dunque precisato: più che un capovolgimento, è l'emersione egemonica, dentro l'area radicale, della sua corrente da sempre orientata a Est, promossa dall'irrilevanza alla centralità dall'investimento russo contemporaneo. La seconda conseguenza è che H1, l'ipotesi del condominio, ne esce ulteriormente contraddetta: il corridoio documentato è esplicitamente e costitutivamente antiamericano in ogni sua stazione, e non presenta traccia di regia o di beneficio statunitense. La terza è che H2 medesima, pur ulteriormente meno contraddetta, resta a Livello C: la continuità di ambiente ora provata rende l'ipotesi più solida, ma la continuità di committenza che la sua forma forte presuppone rimane uno Stato Zero, e il registro rifiuta di colmarlo per via narrativa.</w:t>
      </w:r>
    </w:p>
    <w:p>
      <w:pPr>
        <w:spacing w:after="120" w:line="276"/>
        <w:jc w:val="both"/>
      </w:pPr>
      <w:r>
        <w:rPr>
          <w:rFonts w:ascii="Barlow Semi Condensed" w:cs="Barlow Semi Condensed" w:eastAsia="Barlow Semi Condensed" w:hAnsi="Barlow Semi Condensed"/>
          <w:sz w:val="24"/>
          <w:szCs w:val="24"/>
        </w:rPr>
        <w:t xml:space="preserve">7.11 — Registro dei blocchi di verifica della seconda tranche</w:t>
      </w:r>
    </w:p>
    <w:p>
      <w:pPr>
        <w:spacing w:after="120" w:line="276"/>
        <w:jc w:val="both"/>
      </w:pPr>
      <w:r>
        <w:rPr>
          <w:rFonts w:ascii="Barlow Semi Condensed" w:cs="Barlow Semi Condensed" w:eastAsia="Barlow Semi Condensed" w:hAnsi="Barlow Semi Condensed"/>
          <w:sz w:val="24"/>
          <w:szCs w:val="24"/>
        </w:rPr>
        <w:t xml:space="preserve">Blocco undici, dinamica e condanne del giovedì nero. La sequenza dei fatti del 12 aprile 1973, l'identità della vittima, la tipologia dell'ordigno, le condanne di Loi e Murelli e la provenienza delle bombe da Nico Azzi del gruppo La Fenice sono confermate dalla convergenza di voce enciclopedica dedicata, storiografia, cronaca giudiziaria pluridecennale e corpus. Esito: confermato a Livello A.</w:t>
      </w:r>
    </w:p>
    <w:p>
      <w:pPr>
        <w:spacing w:after="120" w:line="276"/>
        <w:jc w:val="both"/>
      </w:pPr>
      <w:r>
        <w:rPr>
          <w:rFonts w:ascii="Barlow Semi Condensed" w:cs="Barlow Semi Condensed" w:eastAsia="Barlow Semi Condensed" w:hAnsi="Barlow Semi Condensed"/>
          <w:sz w:val="24"/>
          <w:szCs w:val="24"/>
        </w:rPr>
        <w:t xml:space="preserve">Blocco dodici, posizione dei fratelli La Russa. La presenza in testa al corteo e la contestuale estraneità accertata ai fatti di sangue, con la ritrattazione delle iniziali chiamate in correo da parte degli stessi dichiaranti, sono confermate dalla convergenza di più testate indipendenti. Una fonte isolata di segno diverso è stata registrata e non utilizzata per difetto di riscontro. Esito: confermato a Livello A nella formulazione bilanciata sopra enunciata, che è l'unica ammessa nell'opera.</w:t>
      </w:r>
    </w:p>
    <w:p>
      <w:pPr>
        <w:spacing w:after="120" w:line="276"/>
        <w:jc w:val="both"/>
      </w:pPr>
      <w:r>
        <w:rPr>
          <w:rFonts w:ascii="Barlow Semi Condensed" w:cs="Barlow Semi Condensed" w:eastAsia="Barlow Semi Condensed" w:hAnsi="Barlow Semi Condensed"/>
          <w:sz w:val="24"/>
          <w:szCs w:val="24"/>
        </w:rPr>
        <w:t xml:space="preserve">Blocco tredici, macchina editoriale e contenuti di Orion. Fondazione, cronologia e collocazione della filiera Barbarossa-Orion-AGA sono confermate a Livello A; la caratterizzazione contenutistica antigiudaica e negazionista è confermata a Livello B sulla base dello studio accademico di riferimento, cui è attribuita. L'anticipazione eurasiatista del 1985 è confermata a Livello B sulla base del corpus. Esito: confermato con gradazione differenziata.</w:t>
      </w:r>
    </w:p>
    <w:p>
      <w:pPr>
        <w:spacing w:after="120" w:line="276"/>
        <w:jc w:val="both"/>
      </w:pPr>
      <w:r>
        <w:rPr>
          <w:rFonts w:ascii="Barlow Semi Condensed" w:cs="Barlow Semi Condensed" w:eastAsia="Barlow Semi Condensed" w:hAnsi="Barlow Semi Condensed"/>
          <w:sz w:val="24"/>
          <w:szCs w:val="24"/>
        </w:rPr>
        <w:t xml:space="preserve">Blocco quattordici, traiettoria di Borghezio. Militanza in Jeune Europe dal 1962, area ordinovista, fermo dell'11 luglio 1976 al confine con la cartolina minatoria indirizzata al magistrato Violante il giorno successivo all'omicidio Occorsio, direzione di Orion-Finanza, ingresso nella Lega nel 1990 e successivi mandati parlamentari nazionali ed europei sono confermati dalla convergenza di fonti archivistiche specializzate, voci enciclopediche referenziate e letteratura accademica. Esito: confermato a Livello A.</w:t>
      </w:r>
    </w:p>
    <w:p>
      <w:pPr>
        <w:spacing w:after="120" w:line="276"/>
        <w:jc w:val="both"/>
      </w:pPr>
      <w:r>
        <w:rPr>
          <w:rFonts w:ascii="Barlow Semi Condensed" w:cs="Barlow Semi Condensed" w:eastAsia="Barlow Semi Condensed" w:hAnsi="Barlow Semi Condensed"/>
          <w:sz w:val="24"/>
          <w:szCs w:val="24"/>
        </w:rPr>
        <w:t xml:space="preserve">Blocco quindici, collocazione di Savoini. L'orbita giovanile nel circuito di Orion, la fondazione dell'Associazione Lombardia-Russia e il ruolo di artefice organizzativo dell'accordo Lega-Russia Unita sono confermati dalla convergenza di corpus, cronaca e letteratura. Esito: confermato a Livello A nei fatti esterni.</w:t>
      </w:r>
    </w:p>
    <w:p>
      <w:pPr>
        <w:spacing w:after="120" w:line="276"/>
        <w:jc w:val="both"/>
      </w:pPr>
      <w:r>
        <w:rPr>
          <w:rFonts w:ascii="Barlow Semi Condensed" w:cs="Barlow Semi Condensed" w:eastAsia="Barlow Semi Condensed" w:hAnsi="Barlow Semi Condensed"/>
          <w:sz w:val="24"/>
          <w:szCs w:val="24"/>
        </w:rPr>
        <w:t xml:space="preserve">Blocco sedici, caso Metropol. L'incontro del 18 ottobre 2018, la pubblicazione dell'audio nel luglio 2019, il procedimento per corruzione internazionale, l'archiviazione del 27 aprile 2023 con la duplice motivazione sopra riportata, la posizione mai indagata del leader della Lega e l'accertamento dei pubblici ministeri sulla partecipazione di Dugin alla trattativa sono confermati dalla convergenza di agenzia di stampa nazionale, principali testate economiche e generaliste e cronaca giudiziaria. Esito: confermato a Livello A, con la formulazione vincolante di cui al capitolo dedicato.</w:t>
      </w:r>
    </w:p>
    <w:p>
      <w:pPr>
        <w:spacing w:after="120" w:line="276"/>
        <w:jc w:val="both"/>
      </w:pPr>
      <w:r>
        <w:rPr>
          <w:rFonts w:ascii="Barlow Semi Condensed" w:cs="Barlow Semi Condensed" w:eastAsia="Barlow Semi Condensed" w:hAnsi="Barlow Semi Condensed"/>
          <w:sz w:val="24"/>
          <w:szCs w:val="24"/>
        </w:rPr>
        <w:t xml:space="preserve">Blocco diciassette, anno-cerniera 1992. La conferenza milanese di Dugin al circolo delle Stelline su invito dell'area Orion e il viaggio moscovita di Thiriart con accompagnamento italiano, seguito a breve dalla morte del fondatore di Jeune Europe, sono confermati dalla convergenza di testimonianza diretta di ambiente, corpus e letteratura accademica indipendente. Esito: confermato a Livello A.</w:t>
      </w:r>
    </w:p>
    <w:p>
      <w:pPr>
        <w:spacing w:after="120" w:line="276"/>
        <w:jc w:val="both"/>
      </w:pPr>
      <w:r>
        <w:rPr>
          <w:rFonts w:ascii="Barlow Semi Condensed" w:cs="Barlow Semi Condensed" w:eastAsia="Barlow Semi Condensed" w:hAnsi="Barlow Semi Condensed"/>
          <w:sz w:val="24"/>
          <w:szCs w:val="24"/>
        </w:rPr>
        <w:t xml:space="preserve">Blocco diciotto, filiera editoriale duginiana. La pubblicazione sistematica delle opere di Dugin da parte di AGA Editrice a partire dal 2018 e il ruolo di Murelli quale principale editore e organizzatore italiano delle presenze pubbliche dell'ideologo sono confermati da cronaca, cataloghi pubblici e autodichiarazioni. Esito: confermato a Livello A.</w:t>
      </w:r>
    </w:p>
    <w:p>
      <w:pPr>
        <w:spacing w:after="120" w:line="276"/>
        <w:jc w:val="both"/>
      </w:pPr>
      <w:r>
        <w:rPr>
          <w:rFonts w:ascii="Barlow Semi Condensed" w:cs="Barlow Semi Condensed" w:eastAsia="Barlow Semi Condensed" w:hAnsi="Barlow Semi Condensed"/>
          <w:sz w:val="24"/>
          <w:szCs w:val="24"/>
        </w:rPr>
        <w:t xml:space="preserve">Blocco diciannove, dinastia Graziani. La biografia di Clemente Graziani — fondazione di Ordine Nuovo, condanna per ricostituzione del partito fascista, latitanza, rifiuto paraguaiano dell'estradizione, morte ad Asunción nel gennaio 1996 e proscioglimento con formula piena in sede di legittimità dall'accusa per l'omicidio Occorsio — e la traiettoria del figlio Rainaldo — Meridiano Zero, raccordo con Adinolfi, co-curatela dell'Università d'Estate del 2000, ruolo organizzativo nella presenza italiana di Dugin, annuncio congiunto del 2020 — sono confermate dalla convergenza di voci enciclopediche, cronaca e letteratura. Esito: confermato a Livello A.</w:t>
      </w:r>
    </w:p>
    <w:p>
      <w:pPr>
        <w:spacing w:after="120" w:line="276"/>
        <w:jc w:val="both"/>
      </w:pPr>
      <w:r>
        <w:rPr>
          <w:rFonts w:ascii="Barlow Semi Condensed" w:cs="Barlow Semi Condensed" w:eastAsia="Barlow Semi Condensed" w:hAnsi="Barlow Semi Condensed"/>
          <w:sz w:val="24"/>
          <w:szCs w:val="24"/>
        </w:rPr>
        <w:t xml:space="preserve">Blocco venti, Università d'Estate del 2000 e genesi di CasaPound. Lo svolgimento del convegno e la sua composizione sono confermati a Livello A; la tesi del concepimento di CasaPound in quella sede è confermata a Livello B come ricostruzione accademica attribuita. Esito: confermato con gradazione differenziata.</w:t>
      </w:r>
    </w:p>
    <w:p>
      <w:pPr>
        <w:spacing w:after="120" w:line="276"/>
        <w:jc w:val="both"/>
      </w:pPr>
      <w:r>
        <w:rPr>
          <w:rFonts w:ascii="Barlow Semi Condensed" w:cs="Barlow Semi Condensed" w:eastAsia="Barlow Semi Condensed" w:hAnsi="Barlow Semi Condensed"/>
          <w:sz w:val="24"/>
          <w:szCs w:val="24"/>
        </w:rPr>
        <w:t xml:space="preserve">Blocco ventuno, svolta del 2020. L'annuncio pubblico congiunto di Murelli e Rainaldo Graziani di abbandono dell'identità neofascista in favore della Quarta Teoria Politica è confermato dalla convergenza del documento audiovisivo, della cronaca e delle fonti di area. Esito: confermato a Livello A come atto pubblico.</w:t>
      </w:r>
    </w:p>
    <w:p>
      <w:pPr>
        <w:spacing w:after="120" w:line="276"/>
        <w:jc w:val="both"/>
      </w:pPr>
      <w:r>
        <w:rPr>
          <w:rFonts w:ascii="Barlow Semi Condensed" w:cs="Barlow Semi Condensed" w:eastAsia="Barlow Semi Condensed" w:hAnsi="Barlow Semi Condensed"/>
          <w:sz w:val="24"/>
          <w:szCs w:val="24"/>
        </w:rPr>
        <w:t xml:space="preserve">Blocco ventidue, tesi dell'infiltrazione. L'esistenza, il contenuto e la ripresa televisiva della tesi del libro-inchiesta del 2019 sono confermate a Livello A; la tesi in quanto tale è mantenuta a Livello C e attribuita alla fonte, non essendo stata convalidata da alcun accertamento e non discendendo necessariamente dai fatti documentati. Esito: gradazione differenziata con divieto di assertorietà.</w:t>
      </w:r>
    </w:p>
    <w:p>
      <w:pPr>
        <w:spacing w:after="120" w:line="276"/>
        <w:jc w:val="both"/>
      </w:pPr>
      <w:r>
        <w:rPr>
          <w:rFonts w:ascii="Barlow Semi Condensed" w:cs="Barlow Semi Condensed" w:eastAsia="Barlow Semi Condensed" w:hAnsi="Barlow Semi Condensed"/>
          <w:sz w:val="24"/>
          <w:szCs w:val="24"/>
        </w:rPr>
        <w:t xml:space="preserve">7.12 — Rilievi civili e penali della seconda tranche e censimento dei collegamenti</w:t>
      </w:r>
    </w:p>
    <w:p>
      <w:pPr>
        <w:spacing w:after="120" w:line="276"/>
        <w:jc w:val="both"/>
      </w:pPr>
      <w:r>
        <w:rPr>
          <w:rFonts w:ascii="Barlow Semi Condensed" w:cs="Barlow Semi Condensed" w:eastAsia="Barlow Semi Condensed" w:hAnsi="Barlow Semi Condensed"/>
          <w:sz w:val="24"/>
          <w:szCs w:val="24"/>
        </w:rPr>
        <w:t xml:space="preserve">Il triage delle persone viventi si arricchisce delle posizioni seguenti. Maurizio Murelli: la condanna definitiva, l'attività editoriale e le prese di posizione pubbliche sono fatti riportabili; la qualifica di ex terrorista, di uso corrente nella cronaca, va sempre accompagnata dalla precisazione del titolo effettivo di condanna, il concorso in omicidio nella forma sopra descritta, a garanzia di continenza; le tesi che gli attribuiscono un disegno di infiltrazione vanno attribuite alla fonte. Si segnala, quale caveat ulteriore, che la cronaca documenta anche casi di notizie false costruite ai danni del medesimo, poi smentite: la triangolazione è dovuta in entrambe le direzioni. Mario Borghezio: la sequenza biografica è riportabile come concatenazione di fatti documentati; il fermo del 1976 va riportato per ciò che fu, senza inferenze sull'omicidio Occorsio, per il quale nessun addebito gli fu mosso. Gianluca Savoini: i fatti esterni e l'esito giudiziario del Metropol vanno riportati congiuntamente, nella formulazione vincolante del capitolo dedicato. Rainaldo Graziani: solo i fatti pubblici documentati; le sue dichiarazioni pubbliche sono citabili come tali. Ignazio e Romano La Russa: esclusivamente la formulazione bilanciata del blocco dodici; ogni accostamento ulteriore è vietato. Gabriele Adinolfi e Adriano Scianca: ruoli pubblici documentati. Quanto ai defunti — Clemente Graziani, Concutelli, Freda, Thiriart, Terracciano — vige la disciplina dell'accuratezza, con l'obbligo specifico di riportare il proscioglimento di Graziani dall'accusa Occorsio e la distinzione tra le condanne effettive di ciascuno e le attribuzioni di vulgata.</w:t>
      </w:r>
    </w:p>
    <w:p>
      <w:pPr>
        <w:spacing w:after="120" w:line="276"/>
        <w:jc w:val="both"/>
      </w:pPr>
      <w:r>
        <w:rPr>
          <w:rFonts w:ascii="Barlow Semi Condensed" w:cs="Barlow Semi Condensed" w:eastAsia="Barlow Semi Condensed" w:hAnsi="Barlow Semi Condensed"/>
          <w:sz w:val="24"/>
          <w:szCs w:val="24"/>
        </w:rPr>
        <w:t xml:space="preserve">Il censimento dei collegamenti estratti dalla fonte-innesco, richiesto dal mandato, registra le sette note della voce: gli articoli di cronaca delle testate repubblica.it, giornalettismo.com e altreconomia.it; la ricostruzione del quotidiano milanese corriere.it sul giovedì nero; lo studio di Andriola sul Giornale di storia contemporanea, privo di collegamento e reperito per titolo; la scheda dell'inchiesta televisiva del servizio pubblico del 21 ottobre 2019 sul portale rai.it; e il documento del sito di area fascinazione.info sull'annuncio del 2020. Tutti i collegamenti sono stati vagliati direttamente o riscontrati per titolo e contenuto attraverso fonti convergenti; le fonti aggiuntive della campagna — testate nazionali, agenzia di stampa, archivi specializzati sull'estrema destra, letteratura accademica sull'illiberalismo e voci enciclopediche referenziate in lingua inglese — sono conservate nel fascicolo di lavorazione secondo il principio della catena di custodia.</w:t>
      </w:r>
    </w:p>
    <w:p>
      <w:pPr>
        <w:pStyle w:val="Heading3"/>
        <w:spacing w:after="80" w:before="160"/>
      </w:pPr>
      <w:r>
        <w:rPr>
          <w:rFonts w:ascii="Barlow Semi Condensed" w:cs="Barlow Semi Condensed" w:eastAsia="Barlow Semi Condensed" w:hAnsi="Barlow Semi Condensed"/>
          <w:sz w:val="24"/>
          <w:szCs w:val="24"/>
        </w:rPr>
        <w:t xml:space="preserve">CHIUSA DELLA SECONDA TRANCHE</w:t>
      </w:r>
    </w:p>
    <w:p>
      <w:pPr>
        <w:spacing w:after="120" w:line="276"/>
        <w:jc w:val="both"/>
      </w:pPr>
      <w:r>
        <w:rPr>
          <w:rFonts w:ascii="Barlow Semi Condensed" w:cs="Barlow Semi Condensed" w:eastAsia="Barlow Semi Condensed" w:hAnsi="Barlow Semi Condensed"/>
          <w:sz w:val="24"/>
          <w:szCs w:val="24"/>
        </w:rPr>
        <w:t xml:space="preserve">La seconda tranche consegna all'opera il suo primo corridoio inter-formazione documentato e, insieme, la conferma più severa dei suoi limiti. Ciò che ora è provato — e che nessuna cautela deve più sminuire — è che tra il neofascismo degli anni di piombo e la proiezione eurasiatista contemporanea corre una continuità di persone, di luoghi editoriali e di idee, verificata nome per nome e data per data. Ciò che continua a non essere provato — e che nessuna suggestione deve anticipare — è che quella continuità sia stata, in alcun tratto, una catena di comando. Il registro consegna alle tranche successive tre direzioni di falsificazione prioritarie: la ricerca di eventuali documenti che attestino contatti tra la filiera thiriartiana e apparati sovietici prima del 1991, che se trovati modificherebbero radicalmente la cronologia dell'investimento orientale sull'area; la ricognizione analitica dei finanziamenti della filiera editoriale, che è il punto in cui una continuità di committenza, se esistesse, dovrebbe lasciare traccia; e il vaglio delle restanti voci enciclopediche acquisite al corpus, dalla Banda della Magliana ai Nuclei Armati Rivoluzionari alla strage di Bologna, secondo il medesimo protocollo qui applicato. Ogni versione successiva conserverà integralmente la presente, secondo il principio di conservazione cumulativa che governa l'opera.</w:t>
      </w:r>
    </w:p>
    <w:p>
      <w:pPr>
        <w:pStyle w:val="Heading3"/>
        <w:spacing w:after="80" w:before="160"/>
      </w:pPr>
      <w:r>
        <w:rPr>
          <w:rFonts w:ascii="Barlow Semi Condensed" w:cs="Barlow Semi Condensed" w:eastAsia="Barlow Semi Condensed" w:hAnsi="Barlow Semi Condensed"/>
          <w:sz w:val="24"/>
          <w:szCs w:val="24"/>
        </w:rPr>
        <w:t xml:space="preserve">TERZA TRANCHE — FASE VIII: LE TRE DIREZIONI DI FALSIFICAZIONE. BOLOGNA, LA MAGLIANA E IL CASO MATTARELLA</w:t>
      </w:r>
    </w:p>
    <w:p>
      <w:pPr>
        <w:spacing w:after="120" w:line="276"/>
        <w:jc w:val="both"/>
      </w:pPr>
      <w:r>
        <w:rPr>
          <w:rFonts w:ascii="Barlow Semi Condensed" w:cs="Barlow Semi Condensed" w:eastAsia="Barlow Semi Condensed" w:hAnsi="Barlow Semi Condensed"/>
          <w:sz w:val="24"/>
          <w:szCs w:val="24"/>
        </w:rPr>
        <w:t xml:space="preserve">8.1 — Oggetto della tranche e mandato</w:t>
      </w:r>
    </w:p>
    <w:p>
      <w:pPr>
        <w:spacing w:after="120" w:line="276"/>
        <w:jc w:val="both"/>
      </w:pPr>
      <w:r>
        <w:rPr>
          <w:rFonts w:ascii="Barlow Semi Condensed" w:cs="Barlow Semi Condensed" w:eastAsia="Barlow Semi Condensed" w:hAnsi="Barlow Semi Condensed"/>
          <w:sz w:val="24"/>
          <w:szCs w:val="24"/>
        </w:rPr>
        <w:t xml:space="preserve">La terza tranche esegue le tre direzioni di falsificazione consegnate dalla chiusa della seconda: la ricerca di contatti documentati tra la filiera thiriartiana e gli apparati sovietici prima del 1991; la ricognizione dei finanziamenti della filiera editoriale che dal 1984 congiunge Orion all'editoria eurasiatista; il vaglio, con il medesimo protocollo, delle voci residue acquisite al corpus, con priorità alla strage di Bologna, alla Banda della Magliana e all'omicidio di Piersanti Mattarella. Il metodo resta invariato: triangolazione integrale tra corpus e fonti esterne indipendenti, gradazione Savona su ogni asserzione, Regola Ferrea sui salti inferenziali, statuto pieno dello Stato Zero, disciplina rafforzata per le persone viventi. Le prime due direzioni sono esercizi di falsificazione in senso proprio: se avessero restituito riscontri positivi, avrebbero modificato la cronologia dell'investimento orientale sull'area e la natura della continuità tra le due formazioni; l'esito negativo, come si vedrà, è esso stesso un risultato diagnostico di prima classe.</w:t>
      </w:r>
    </w:p>
    <w:p>
      <w:pPr>
        <w:spacing w:after="120" w:line="276"/>
        <w:jc w:val="both"/>
      </w:pPr>
      <w:r>
        <w:rPr>
          <w:rFonts w:ascii="Barlow Semi Condensed" w:cs="Barlow Semi Condensed" w:eastAsia="Barlow Semi Condensed" w:hAnsi="Barlow Semi Condensed"/>
          <w:sz w:val="24"/>
          <w:szCs w:val="24"/>
        </w:rPr>
        <w:t xml:space="preserve">8.2 — Direzione prima: la filiera thiriartiana e gli apparati sovietici prima del 1991</w:t>
      </w:r>
    </w:p>
    <w:p>
      <w:pPr>
        <w:spacing w:after="120" w:line="276"/>
        <w:jc w:val="both"/>
      </w:pPr>
      <w:r>
        <w:rPr>
          <w:rFonts w:ascii="Barlow Semi Condensed" w:cs="Barlow Semi Condensed" w:eastAsia="Barlow Semi Condensed" w:hAnsi="Barlow Semi Condensed"/>
          <w:sz w:val="24"/>
          <w:szCs w:val="24"/>
        </w:rPr>
        <w:t xml:space="preserve">Il vaglio restituisce anzitutto una cronologia dottrinaria più antica di quanto la seconda tranche avesse fissato. La svolta filosovietica di Jean Thiriart non data dagli anni Ottanta ma dal novembre 1968, quando sulla rivista La Nation Européenne, numero ventinove, l'articolo «Prague, l'URSS et l'Europe» esprime soddisfazione per l'intervento sovietico a Praga e delinea una «strategia dell'attenzione» verso l'URSS, abbandonando la vecchia parola d'ordine «né Mosca né Washington» in favore di quella che i suoi esegeti riassumeranno come «con Mosca contro Washington». Il testo è pubblicato e datato: Livello A. Negli anni 1984-1985 Thiriart lavora al trattato L'Empire euro-soviétique de Vladivostok à Dublin, articolato in quindici capitoli: ma il manoscritto non vide mai la luce durante la vita dell'autore e fu pubblicato postumo, in edizione italiana, dalle edizioni all'insegna del Veltro oltre due decenni dopo la morte. Anche questo dato è documentale: Livello A.</w:t>
      </w:r>
    </w:p>
    <w:p>
      <w:pPr>
        <w:spacing w:after="120" w:line="276"/>
        <w:jc w:val="both"/>
      </w:pPr>
      <w:r>
        <w:rPr>
          <w:rFonts w:ascii="Barlow Semi Condensed" w:cs="Barlow Semi Condensed" w:eastAsia="Barlow Semi Condensed" w:hAnsi="Barlow Semi Condensed"/>
          <w:sz w:val="24"/>
          <w:szCs w:val="24"/>
        </w:rPr>
        <w:t xml:space="preserve">Il punto decisivo è però ciò che il vaglio non ha trovato. Nessuna fonte esaminata documenta una reciprocazione sovietica del corteggiamento thiriartiano prima del 1991: nessun finanziamento, nessun invito ufficiale, nessuna pubblicazione o amplificazione dei suoi testi da parte dell'apparato sovietico, nessun canale operativo accertato. Il manoscritto del 1984-1985 rimasto inedito in vita è, in questa prospettiva, l'indizio più eloquente: un teorico che avesse goduto di sponsorizzazione orientale avrebbe trovato un editore. Il primo viaggio moscovita documentato resta quello dell'agosto 1992, già certificato nella seconda tranche, quando l'Unione Sovietica non esisteva più. La connessione cercata e non trovata viene quindi registrata con il suo statuto pieno: Stato Zero sulla reciprocazione sovietica pre-1991 verso la filiera thiriartiana.</w:t>
      </w:r>
    </w:p>
    <w:p>
      <w:pPr>
        <w:spacing w:after="120" w:line="276"/>
        <w:jc w:val="both"/>
      </w:pPr>
      <w:r>
        <w:rPr>
          <w:rFonts w:ascii="Barlow Semi Condensed" w:cs="Barlow Semi Condensed" w:eastAsia="Barlow Semi Condensed" w:hAnsi="Barlow Semi Condensed"/>
          <w:sz w:val="24"/>
          <w:szCs w:val="24"/>
        </w:rPr>
        <w:t xml:space="preserve">La controprova sul corpus rende questo Stato Zero diagnostico. Il canale orientale documentato in Italia prima del 1991 esisteva, ed era un altro: quello comunista. Gli elaborati acquisiti al corpus dalla Commissione Stragi della tredicesima legislatura, attingendo al rapporto Impedian del dossier Mitrokhin, al lavoro archivistico di Valerio Riva su documentazione sovietica e agli atti dell'inchiesta romana sulla cosiddetta Gladio rossa, quantificano in circa novecentottantanove miliardi di lire, alla valuta annuale, i trasferimenti complessivi dell'URSS verso l'Italia, di cui circa ottocentottantanove destinati al PCI, pari a circa un quarto dell'intero fondo internazionale del PCUS; la scheda Impedian numero duecentoventicinque documenta il piano d'azione predisposto nel giugno 1967 dal quarto dipartimento del KGB-FCD, con approvazione del Comitato centrale del PCUS; il decreto di archiviazione della cosiddetta Gladio rossa, emesso dal giudice per le indagini preliminari di Roma Claudio D'Angelo il 6 luglio 1994, pur escludendo la dimostrabilità processuale della corruzione, sottolinea gli «inquietanti» riferimenti documentali ad addestramento al sabotaggio, armi, esplosivi e strutture clandestine «realizzate anche con la fattiva collaborazione del Kgb» e a un «notevole flusso di denaro proveniente dal Pcus». I dati di finanziamento, poggiando su documentazione sovietica edita e su atti giudiziari, si collocano a Livello A; la cornice interpretativa degli elaborati parlamentari da cui il corpus attinge resta invece attribuita ai loro estensori, poiché si tratta di elaborati non approvati all'unanimità e di parte, e la non-unanimità delle due fonti parlamentari principali, già registrata nel corpus, ne modifica lo statuto probatorio in ogni impiego.</w:t>
      </w:r>
    </w:p>
    <w:p>
      <w:pPr>
        <w:spacing w:after="120" w:line="276"/>
        <w:jc w:val="both"/>
      </w:pPr>
      <w:r>
        <w:rPr>
          <w:rFonts w:ascii="Barlow Semi Condensed" w:cs="Barlow Semi Condensed" w:eastAsia="Barlow Semi Condensed" w:hAnsi="Barlow Semi Condensed"/>
          <w:sz w:val="24"/>
          <w:szCs w:val="24"/>
        </w:rPr>
        <w:t xml:space="preserve">La composizione dei due esiti produce il rilievo strutturale della direzione: lo sponsor orientale non cambiò bersaglio, cambiò strumento. Prima del 1991 il canale documentato è quello comunista; dopo il 1991 il canale documentato è quello nazionalista ed eurasiatista, dal viaggio di Dugin del 1992 all'editoria di area fino al tentativo del Metropol. Ciascuna gamba di questa sequenza è certificata a Livello A; la loro composizione in un disegno unitario di lungo periodo resta però un'ipotesi, e la Regola Ferrea vieta di inferire una regia unica continuativa dalla mera successione di due canali. Il rilievo raffina H2 senza elevarne il grado.</w:t>
      </w:r>
    </w:p>
    <w:p>
      <w:pPr>
        <w:spacing w:after="120" w:line="276"/>
        <w:jc w:val="both"/>
      </w:pPr>
      <w:r>
        <w:rPr>
          <w:rFonts w:ascii="Barlow Semi Condensed" w:cs="Barlow Semi Condensed" w:eastAsia="Barlow Semi Condensed" w:hAnsi="Barlow Semi Condensed"/>
          <w:sz w:val="24"/>
          <w:szCs w:val="24"/>
        </w:rPr>
        <w:t xml:space="preserve">8.3 — Direzione seconda: i finanziamenti della filiera editoriale</w:t>
      </w:r>
    </w:p>
    <w:p>
      <w:pPr>
        <w:spacing w:after="120" w:line="276"/>
        <w:jc w:val="both"/>
      </w:pPr>
      <w:r>
        <w:rPr>
          <w:rFonts w:ascii="Barlow Semi Condensed" w:cs="Barlow Semi Condensed" w:eastAsia="Barlow Semi Condensed" w:hAnsi="Barlow Semi Condensed"/>
          <w:sz w:val="24"/>
          <w:szCs w:val="24"/>
        </w:rPr>
        <w:t xml:space="preserve">La seconda direzione chiedeva se la filiera editoriale che da Orion e Barbarossa conduce all'editoria eurasiatista contemporanea presenti flussi di finanziamento documentati da apparati o soggetti esteri. Il vaglio non ha reperito alcun flusso accertato: né sovvenzioni dirette, né triangolazioni societarie documentate, né provviste estere tracciate verso le sigle editoriali dell'area. L'unico episodio documentato di ricerca di provvista russa nell'area politica contigua resta quello dell'hotel Metropol del 18 ottobre 2018, che fu però un tentativo mai concluso e giudiziariamente archiviato il 27 aprile 2023 nei termini integrali fissati come vincolanti dalla seconda tranche. L'esito è dunque uno Stato Zero sui flussi editoriali, che il registro dichiara senza colmarlo per via congetturale: l'assenza di tracce finanziarie può dipendere dall'assenza dei flussi, dalla loro natura non tracciabile o dai limiti delle fonti aperte, e la direzione resta consegnata aperta alle tranche successive con questo perimetro esplicito.</w:t>
      </w:r>
    </w:p>
    <w:p>
      <w:pPr>
        <w:spacing w:after="120" w:line="276"/>
        <w:jc w:val="both"/>
      </w:pPr>
      <w:r>
        <w:rPr>
          <w:rFonts w:ascii="Barlow Semi Condensed" w:cs="Barlow Semi Condensed" w:eastAsia="Barlow Semi Condensed" w:hAnsi="Barlow Semi Condensed"/>
          <w:sz w:val="24"/>
          <w:szCs w:val="24"/>
        </w:rPr>
        <w:t xml:space="preserve">8.4 — La strage di Bologna: la chiusura esecutiva del quarto processo</w:t>
      </w:r>
    </w:p>
    <w:p>
      <w:pPr>
        <w:spacing w:after="120" w:line="276"/>
        <w:jc w:val="both"/>
      </w:pPr>
      <w:r>
        <w:rPr>
          <w:rFonts w:ascii="Barlow Semi Condensed" w:cs="Barlow Semi Condensed" w:eastAsia="Barlow Semi Condensed" w:hAnsi="Barlow Semi Condensed"/>
          <w:sz w:val="24"/>
          <w:szCs w:val="24"/>
        </w:rPr>
        <w:t xml:space="preserve">Il vaglio della voce sulla strage del 2 agosto 1980 — ottantacinque morti, oltre duecento feriti, il più grave attentato della storia repubblicana — trova un quadro giudiziario ormai chiuso sul piano esecutivo e triangolato in ogni passaggio tra la voce enciclopedica acquisita, il saggio accademico sul processo Bellini presente nel corpus e le monografie interne. Gli esecutori: Valerio Fioravanti e Francesca Mambro, condannati in via definitiva nel 1995; Luigi Ciavardini, condannato nel 2007; Gilberto Cavallini, condannato all'ergastolo con conferma in appello il 27 settembre 2023 e annoverato dal corpus tra le responsabilità definitivamente accertate; Paolo Bellini, il «quinto uomo», condannato all'ergastolo dalla Corte d'assise di Bologna il 6 aprile 2022, con conferma in appello l'8 luglio 2024 e conferma definitiva della Cassazione il 1º luglio 2025, che ha rigettato il ricorso depositato dalla difesa nel febbraio precedente. L'alibi di Bellini fu smontato da una prova reperita a quarant'anni di distanza per la caparbietà dell'associazione dei familiari delle vittime: una pellicola amatoriale in formato Super otto, girata in stazione da un turista ignaro pochi minuti prima dell'esplosione, i cui fotogrammi restituiscono il volto di Bellini tra i passeggeri. Nello stesso procedimento Piergiorgio Segatel è stato condannato a sei anni per depistaggio e Domenico Catracchia a quattro per false informazioni ai pubblici ministeri. L'intero blocco esecutivo è Livello A. La cellula risulta transorganizzativa: quadri dei NAR, di Terza Posizione e — con Bellini — di Avanguardia Nazionale, cioè della medesima galassia delle-chiaiana già mappata nella Formazione Alfa della prima tranche.</w:t>
      </w:r>
    </w:p>
    <w:p>
      <w:pPr>
        <w:spacing w:after="120" w:line="276"/>
        <w:jc w:val="both"/>
      </w:pPr>
      <w:r>
        <w:rPr>
          <w:rFonts w:ascii="Barlow Semi Condensed" w:cs="Barlow Semi Condensed" w:eastAsia="Barlow Semi Condensed" w:hAnsi="Barlow Semi Condensed"/>
          <w:sz w:val="24"/>
          <w:szCs w:val="24"/>
        </w:rPr>
        <w:t xml:space="preserve">8.5 — La strage di Bologna: mandanti, finanziatori e la consacrazione giudiziaria del nesso P2</w:t>
      </w:r>
    </w:p>
    <w:p>
      <w:pPr>
        <w:spacing w:after="120" w:line="276"/>
        <w:jc w:val="both"/>
      </w:pPr>
      <w:r>
        <w:rPr>
          <w:rFonts w:ascii="Barlow Semi Condensed" w:cs="Barlow Semi Condensed" w:eastAsia="Barlow Semi Condensed" w:hAnsi="Barlow Semi Condensed"/>
          <w:sz w:val="24"/>
          <w:szCs w:val="24"/>
        </w:rPr>
        <w:t xml:space="preserve">Il risultato storicamente più rilevante del quarto processo riguarda però il piano dei mandanti. La sentenza d'appello dell'8 luglio 2024 ha qualificato Licio Gelli e Umberto Ortolani quali mandanti e finanziatori dell'attentato, e Federico Umberto D'Amato, l'uomo dell'Ufficio Affari Riservati, e il senatore Mario Tedeschi quali organizzatori: tutti deceduti prima delle sentenze e perciò non giudicati, sicché la qualificazione ha natura di statuizione incidentale su defunti e non di condanna — precisazione di statuto che il registro rende obbligatoria in ogni menzione. Con questo perimetro, la statuizione è Livello A e consacra in sede giudiziaria il nesso tra la loggia P2 e la strage. Il movente ricostruito è quello della rappresaglia preventiva contro l'apparato giudiziario: appena due giorni prima dell'esplosione la magistratura aveva richiesto il rinvio a giudizio dei vertici dei gruppi toscani dell'estrema destra nelle inchieste su Ordine Nero e sulla strage dell'Italicus.</w:t>
      </w:r>
    </w:p>
    <w:p>
      <w:pPr>
        <w:spacing w:after="120" w:line="276"/>
        <w:jc w:val="both"/>
      </w:pPr>
      <w:r>
        <w:rPr>
          <w:rFonts w:ascii="Barlow Semi Condensed" w:cs="Barlow Semi Condensed" w:eastAsia="Barlow Semi Condensed" w:hAnsi="Barlow Semi Condensed"/>
          <w:sz w:val="24"/>
          <w:szCs w:val="24"/>
        </w:rPr>
        <w:t xml:space="preserve">Il tracciato finanziario poggia su due documenti. Il primo è il cosiddetto Documento Bologna, appunto manoscritto sequestrato nelle disponibilità di Gelli: secondo le perizie recepite dalla Corte, i milioni di dollari cui l'appunto fa riferimento furono distratti da conti del Banco Ambrosiano di Roberto Calvi e transitarono per conti cifrati svizzeri e per lo IOR, servendo in gran parte a pagare i costi della strage — in parte come rimborso a Gelli di anticipi versati a far data dal 20 luglio 1980, in parte come pagamenti a D'Amato, riscontrati anche nel documento denominato «Memoria», a Tedeschi e ad altri, tra cui Giorgio Di Nunzio — con l'antiquario Marco Ceruti quale intermediario, lo stesso che con Gelli, Ortolani e Pazienza sarà condannato per il crack dell'Ambrosiano. Il secondo è il cosiddetto Documento Artigli, la nota a firma del capo della Polizia Vincenzo Parisi che riferisce il colloquio del 14 ottobre 1987 tra l'avvocato di Gelli, Fabio Dean, e il direttore centrale della Polizia di prevenzione Umberto Pierantoni: il ricatto degli «artigli» che Gelli minacciava di sfoderare, e che la Corte ha posto in relazione proprio con il Documento Bologna. L'insieme salda in sede giudiziaria il quadrilatero interno della Formazione Alfa già descritto nella prima tranche: loggia coperta, terrorismo nero, apparati di sicurezza, finanza Ambrosiano-IOR. Sul medesimo piano degli apparati va richiamato, dal corpus, il precedente di Peteano: l'esplosivo C4 prelevato dal NASCO di Verona e la filiera di espatrio dei responsabili ordinovisti coperta dal SID verso la Spagna, cioè verso quello stesso hub iberico mappato nella prima tranche.</w:t>
      </w:r>
    </w:p>
    <w:p>
      <w:pPr>
        <w:spacing w:after="120" w:line="276"/>
        <w:jc w:val="both"/>
      </w:pPr>
      <w:r>
        <w:rPr>
          <w:rFonts w:ascii="Barlow Semi Condensed" w:cs="Barlow Semi Condensed" w:eastAsia="Barlow Semi Condensed" w:hAnsi="Barlow Semi Condensed"/>
          <w:sz w:val="24"/>
          <w:szCs w:val="24"/>
        </w:rPr>
        <w:t xml:space="preserve">8.6 — La Banda della Magliana: la cerniera crimine-eversione dentro lo Stato</w:t>
      </w:r>
    </w:p>
    <w:p>
      <w:pPr>
        <w:spacing w:after="120" w:line="276"/>
        <w:jc w:val="both"/>
      </w:pPr>
      <w:r>
        <w:rPr>
          <w:rFonts w:ascii="Barlow Semi Condensed" w:cs="Barlow Semi Condensed" w:eastAsia="Barlow Semi Condensed" w:hAnsi="Barlow Semi Condensed"/>
          <w:sz w:val="24"/>
          <w:szCs w:val="24"/>
        </w:rPr>
        <w:t xml:space="preserve">Il vaglio della voce sulla Banda della Magliana conferma integralmente il verdetto già iscritto nel registro di triangolazione del corpus. Il 25 novembre 1981 la Polizia scopre in uno scantinato del Ministero della Sanità, al civico trentaquattro di via Liszt, nel quartiere EUR di Roma, l'arsenale-madre dell'organizzazione: diciannove tra pistole e revolver, molte modificate con silenziatori artigianali di notevole perizia, un mitra Sten, un MAB trentotto, un PM dodici, fucili BM cinquantanove, bombe a mano, esplosivi, e cartucce Gevelot del lotto raro dello stesso tipo di quelle del delitto Pecorelli. Custode del deposito era Biagio Alesse, dipendente del Ministero, stipendiato dalla banda con un milione di lire al mese. Il quadro configura ciò che il corpus definisce lo Stato-contenitore inconsapevole: l'accoppiamento fisico tra crimine organizzato ed eversione dentro un edificio governativo. Il verdetto, che questo registro conferma con la sua doppia faccia, è il seguente: il travaso crimine-eversione è provato a Livello A; le responsabilità sul delitto Pecorelli non sono accertate, essendo intervenute le assoluzioni definitive della Corte d'assise d'appello di Perugia, e il reperto balistico resta un reperto senza condanna. La Regola Ferrea si applica in forma pura: la disponibilità del medesimo raro munizionamento non prova l'attribuzione dell'omicidio. Sul crinale di questa cerniera sta la figura di Massimo Carminati, già NAR e poi legato alla banda, infine al centro del processo sul cosiddetto Mondo di mezzo: assolto in via definitiva per il delitto Pecorelli, condannato nel processo romano con riqualificazione del reato associativo, i suoi rapporti con gli apparati restano nel corpus una zona d'ombra dichiarata come coda irrisolta e non come fatto.</w:t>
      </w:r>
    </w:p>
    <w:p>
      <w:pPr>
        <w:spacing w:after="120" w:line="276"/>
        <w:jc w:val="both"/>
      </w:pPr>
      <w:r>
        <w:rPr>
          <w:rFonts w:ascii="Barlow Semi Condensed" w:cs="Barlow Semi Condensed" w:eastAsia="Barlow Semi Condensed" w:hAnsi="Barlow Semi Condensed"/>
          <w:sz w:val="24"/>
          <w:szCs w:val="24"/>
        </w:rPr>
        <w:t xml:space="preserve">8.7 — L'omicidio di Piersanti Mattarella: la matrice accertata e le assoluzioni della pista nera</w:t>
      </w:r>
    </w:p>
    <w:p>
      <w:pPr>
        <w:spacing w:after="120" w:line="276"/>
        <w:jc w:val="both"/>
      </w:pPr>
      <w:r>
        <w:rPr>
          <w:rFonts w:ascii="Barlow Semi Condensed" w:cs="Barlow Semi Condensed" w:eastAsia="Barlow Semi Condensed" w:hAnsi="Barlow Semi Condensed"/>
          <w:sz w:val="24"/>
          <w:szCs w:val="24"/>
        </w:rPr>
        <w:t xml:space="preserve">Piersanti Mattarella, presidente della Regione Siciliana, fu assassinato il 6 gennaio 1980 in via Libertà a Palermo, territorio del mandamento di Resuttana, sotto gli occhi della moglie e dei figli. Il processo celebrato negli anni Novanta, che riuniva anche i delitti Reina e La Torre, ha condannato in via definitiva all'ergastolo quali mandanti i vertici della cupola di Cosa nostra — tra cui Salvatore Riina, Michele Greco e Francesco Madonia — senza giungere all'identificazione giudiziale degli esecutori materiali. La pista nera, aperta dalla telefonata di rivendicazione a nome di un sedicente gruppo neofascista e alimentata dalle dichiarazioni di Cristiano Fioravanti contro il fratello, condusse Giovanni Falcone a emettere mandati di cattura verso Valerio Fioravanti e Gilberto Cavallini; entrambi furono però assolti con formula piena, in via definitiva, e il registro fissa come obbligatoria la menzione di tali assoluzioni in ogni futuro riferimento al caso. Tommaso Buscetta aveva del resto escluso la pista con l'argomento rimasto celebre: Cosa nostra non fa agire due fascisti per uccidere un presidente della Regione, è un controsenso. Le motivazioni della sentenza d'appello del 17 febbraio 1998 registrano peraltro la concordanza dei collaboranti nell'indicare Antonino Madonia come uno dei killer: indicazione dichiarativa, non giudicato. Tutto il blocco è Livello A.</w:t>
      </w:r>
    </w:p>
    <w:p>
      <w:pPr>
        <w:spacing w:after="120" w:line="276"/>
        <w:jc w:val="both"/>
      </w:pPr>
      <w:r>
        <w:rPr>
          <w:rFonts w:ascii="Barlow Semi Condensed" w:cs="Barlow Semi Condensed" w:eastAsia="Barlow Semi Condensed" w:hAnsi="Barlow Semi Condensed"/>
          <w:sz w:val="24"/>
          <w:szCs w:val="24"/>
        </w:rPr>
        <w:t xml:space="preserve">8.8 — L'omicidio Mattarella: la riapertura, i nuovi indagati e il depistaggio contestato</w:t>
      </w:r>
    </w:p>
    <w:p>
      <w:pPr>
        <w:spacing w:after="120" w:line="276"/>
        <w:jc w:val="both"/>
      </w:pPr>
      <w:r>
        <w:rPr>
          <w:rFonts w:ascii="Barlow Semi Condensed" w:cs="Barlow Semi Condensed" w:eastAsia="Barlow Semi Condensed" w:hAnsi="Barlow Semi Condensed"/>
          <w:sz w:val="24"/>
          <w:szCs w:val="24"/>
        </w:rPr>
        <w:t xml:space="preserve">La riapertura del 2018, concentrata nuovamente sull'eversione nera, non produsse esiti: la compatibilità inizialmente ipotizzata tra la Colt Cobra rinvenuta in un covo romano dei NAR — arma del delitto del giudice Mario Amato del 23 giugno 1980 — e l'arma che uccise Mattarella non ha retto alle verifiche. Nel gennaio 2025 la Procura di Palermo ha iscritto nel registro degli indagati, quali presunti esecutori materiali, i boss Antonino Madonia e Giuseppe Lucchese, disponendo un incidente probatorio: si tratta di iscrizioni, e per entrambi vale integralmente la presunzione di innocenza. Il 24 ottobre 2025 la DIA ha quindi notificato, su ordine della Procura diretta da Maurizio de Lucia e con provvedimento del giudice per le indagini preliminari Antonella Consiglio, gli arresti domiciliari a Filippo Piritore, all'epoca funzionario della Squadra mobile di Palermo, poi questore e prefetto, oggi in pensione, indagato per depistaggio. L'oggetto è il guanto rinvenuto la mattina del delitto a bordo della Fiat centoventisette usata dai killer: mai repertato né sequestrato, del reperto — di cui parlò anche il ministro dell'Interno Rognoni in un'informativa urgente al Parlamento — si è persa ogni traccia. Sentito il 17 settembre 2024, Piritore ha dichiarato di averlo consegnato all'agente della Scientifica Di Natale perché pervenisse al sostituto procuratore Pietro Grasso, e di averlo poi affidato, per disposizione di quest'ultimo, a un tecnico «Lauricella» della Scientifica; secondo la Procura tali dichiarazioni sono risultate «del tutto prive di riscontro», in contrasto con le testimonianze di Grasso e Di Natale e con il dato per cui all'epoca alla Scientifica non risulterebbe alcun Lauricella, e la Direzione distrettuale scrive di indagini sull'omicidio «gravemente inquinate e compromesse da appartenenti alle istituzioni». Lo statuto va fissato con esattezza: si tratta di una misura cautelare in un procedimento in corso; la versione dell'indagato è qui riportata; nessuna responsabilità è accertata e la presunzione di innocenza opera integralmente. Grasso e Di Natale compaiono in questa vicenda unicamente quali testimoni e quali soggetti menzionati nella versione dell'indagato: nessun addebito li riguarda.</w:t>
      </w:r>
    </w:p>
    <w:p>
      <w:pPr>
        <w:spacing w:after="120" w:line="276"/>
        <w:jc w:val="both"/>
      </w:pPr>
      <w:r>
        <w:rPr>
          <w:rFonts w:ascii="Barlow Semi Condensed" w:cs="Barlow Semi Condensed" w:eastAsia="Barlow Semi Condensed" w:hAnsi="Barlow Semi Condensed"/>
          <w:sz w:val="24"/>
          <w:szCs w:val="24"/>
        </w:rPr>
        <w:t xml:space="preserve">8.9 — Triangolazione trasversale: che cosa salda la terza tranche</w:t>
      </w:r>
    </w:p>
    <w:p>
      <w:pPr>
        <w:spacing w:after="120" w:line="276"/>
        <w:jc w:val="both"/>
      </w:pPr>
      <w:r>
        <w:rPr>
          <w:rFonts w:ascii="Barlow Semi Condensed" w:cs="Barlow Semi Condensed" w:eastAsia="Barlow Semi Condensed" w:hAnsi="Barlow Semi Condensed"/>
          <w:sz w:val="24"/>
          <w:szCs w:val="24"/>
        </w:rPr>
        <w:t xml:space="preserve">Tre risultati si compongono. Il primo: Bologna consacra in sede giudiziaria la regia interna della Formazione Alfa — loggia coperta come mandante e finanziatrice, apparato di sicurezza come organizzatore, finanza Ambrosiano-IOR come tesoreria, manovalanza nella galassia NAR-Avanguardia — per la strage più grave della storia repubblicana. Il secondo: la Magliana fissa la cerniera fisica tra crimine organizzato ed eversione dentro un edificio dello Stato, l'accoppiamento strutturale tra i domini del crimine e del terrorismo con contenitore istituzionale inconsapevole. Il terzo: il caso Mattarella presenta una matrice mafiosa accertata nei mandanti, un'esecuzione ancora sub iudice e un depistaggio istituzionale ora contestato in sede cautelare a quarantacinque anni dai fatti. In nessuno dei tre casi il vaglio ha trovato l'impronta congiunta delle due superpotenze: le regie accertate o contestate sono interne — piduista, criminale-eversiva, mafiosa con opacità istituzionali — e ciò costituisce, per l'architettura ipotetica del registro, un dato di prima grandezza.</w:t>
      </w:r>
    </w:p>
    <w:p>
      <w:pPr>
        <w:spacing w:after="120" w:line="276"/>
        <w:jc w:val="both"/>
      </w:pPr>
      <w:r>
        <w:rPr>
          <w:rFonts w:ascii="Barlow Semi Condensed" w:cs="Barlow Semi Condensed" w:eastAsia="Barlow Semi Condensed" w:hAnsi="Barlow Semi Condensed"/>
          <w:sz w:val="24"/>
          <w:szCs w:val="24"/>
        </w:rPr>
        <w:t xml:space="preserve">8.10 — Aggiornamento della matrice ACH</w:t>
      </w:r>
    </w:p>
    <w:p>
      <w:pPr>
        <w:spacing w:after="120" w:line="276"/>
        <w:jc w:val="both"/>
      </w:pPr>
      <w:r>
        <w:rPr>
          <w:rFonts w:ascii="Barlow Semi Condensed" w:cs="Barlow Semi Condensed" w:eastAsia="Barlow Semi Condensed" w:hAnsi="Barlow Semi Condensed"/>
          <w:sz w:val="24"/>
          <w:szCs w:val="24"/>
        </w:rPr>
        <w:t xml:space="preserve">L'ipotesi H1, il condominio segreto tra Stati Uniti e Unione Sovietica in funzione antieuropea, esce dalla terza tranche ulteriormente indebolita: tre casi capitali del periodo — la strage di Bologna, il sistema Magliana, il delitto Mattarella — mostrano regie interne documentate o contese, e nessuna evidenza di coordinamento tra le superpotenze; la direzione prima aggiunge che, prima del 1991, il canale sovietico documentato in Italia correva sul versante comunista, l'opposto di un condominio con il campo atlantico. L'ipotesi H2, le due internazionali autoritarie rivali, non è toccata direttamente dai tre casi interni ma è raffinata dalla direzione prima: il cambio di canale dello sponsor orientale — comunista prima del 1991, nazionalista ed eurasiatista dopo — è una struttura le cui singole gambe stanno a Livello A mentre la composizione in disegno unitario resta a Livello C, e in questo perimetro l'ipotesi viene mantenuta. L'ipotesi H3, la pluralità di regie locali senza macro-disegno, è compatibile con i tre casi vagliati, ciascuno dei quali esibisce una regia propria; il registro annota però che la consacrazione della regia piduista a Bologna è diagnostica contro H1, mentre resta neutra nella competizione tra H2 e H3, e che la falsificazione progressiva di H1 non equivale alla prova di alcuna alternativa.</w:t>
      </w:r>
    </w:p>
    <w:p>
      <w:pPr>
        <w:spacing w:after="120" w:line="276"/>
        <w:jc w:val="both"/>
      </w:pPr>
      <w:r>
        <w:rPr>
          <w:rFonts w:ascii="Barlow Semi Condensed" w:cs="Barlow Semi Condensed" w:eastAsia="Barlow Semi Condensed" w:hAnsi="Barlow Semi Condensed"/>
          <w:sz w:val="24"/>
          <w:szCs w:val="24"/>
        </w:rPr>
        <w:t xml:space="preserve">8.11 — Registro dei blocchi di verifica: blocchi ventitré–trentaquattro</w:t>
      </w:r>
    </w:p>
    <w:p>
      <w:pPr>
        <w:spacing w:after="120" w:line="276"/>
        <w:jc w:val="both"/>
      </w:pPr>
      <w:r>
        <w:rPr>
          <w:rFonts w:ascii="Barlow Semi Condensed" w:cs="Barlow Semi Condensed" w:eastAsia="Barlow Semi Condensed" w:hAnsi="Barlow Semi Condensed"/>
          <w:sz w:val="24"/>
          <w:szCs w:val="24"/>
        </w:rPr>
        <w:t xml:space="preserve">Blocco ventitré. Svolta filosovietica di Thiriart e trattato inedito. Verificati l'articolo del novembre 1968 su La Nation Européenne e il carattere postumo della pubblicazione del trattato del 1984-1985: entrambi Livello A. Reciprocazione sovietica del corteggiamento prima del 1991: cercata e non trovata, Stato Zero.</w:t>
      </w:r>
    </w:p>
    <w:p>
      <w:pPr>
        <w:spacing w:after="120" w:line="276"/>
        <w:jc w:val="both"/>
      </w:pPr>
      <w:r>
        <w:rPr>
          <w:rFonts w:ascii="Barlow Semi Condensed" w:cs="Barlow Semi Condensed" w:eastAsia="Barlow Semi Condensed" w:hAnsi="Barlow Semi Condensed"/>
          <w:sz w:val="24"/>
          <w:szCs w:val="24"/>
        </w:rPr>
        <w:t xml:space="preserve">Blocco ventiquattro. Canale orientale documentato prima del 1991. I trasferimenti del PCUS verso il PCI — circa ottocentottantanove miliardi su circa novecentottantanove complessivi — la scheda Impedian duecentoventicinque del giugno 1967 e il decreto di archiviazione D'Angelo del 6 luglio 1994 collocano il canale sovietico sul versante comunista: dati a Livello A su documentazione sovietica e atti giudiziari; cornice degli elaborati parlamentari non unanimi attribuita agli estensori.</w:t>
      </w:r>
    </w:p>
    <w:p>
      <w:pPr>
        <w:spacing w:after="120" w:line="276"/>
        <w:jc w:val="both"/>
      </w:pPr>
      <w:r>
        <w:rPr>
          <w:rFonts w:ascii="Barlow Semi Condensed" w:cs="Barlow Semi Condensed" w:eastAsia="Barlow Semi Condensed" w:hAnsi="Barlow Semi Condensed"/>
          <w:sz w:val="24"/>
          <w:szCs w:val="24"/>
        </w:rPr>
        <w:t xml:space="preserve">Blocco venticinque. Finanziamenti della filiera editoriale nera ed eurasiatista. Nessun flusso estero documentato verso le sigle editoriali dell'area; unico episodio documentato di ricerca di provvista, il tentativo del Metropol, mai concluso e archiviato. Esito: Stato Zero, dichiarato senza colmature congetturali.</w:t>
      </w:r>
    </w:p>
    <w:p>
      <w:pPr>
        <w:spacing w:after="120" w:line="276"/>
        <w:jc w:val="both"/>
      </w:pPr>
      <w:r>
        <w:rPr>
          <w:rFonts w:ascii="Barlow Semi Condensed" w:cs="Barlow Semi Condensed" w:eastAsia="Barlow Semi Condensed" w:hAnsi="Barlow Semi Condensed"/>
          <w:sz w:val="24"/>
          <w:szCs w:val="24"/>
        </w:rPr>
        <w:t xml:space="preserve">Blocco ventisei. Paolo Bellini, quinto esecutore della strage di Bologna. Ergastolo il 6 aprile 2022, conferma in appello l'8 luglio 2024, conferma definitiva in Cassazione il 1º luglio 2025; prova della pellicola Super otto. Livello A.</w:t>
      </w:r>
    </w:p>
    <w:p>
      <w:pPr>
        <w:spacing w:after="120" w:line="276"/>
        <w:jc w:val="both"/>
      </w:pPr>
      <w:r>
        <w:rPr>
          <w:rFonts w:ascii="Barlow Semi Condensed" w:cs="Barlow Semi Condensed" w:eastAsia="Barlow Semi Condensed" w:hAnsi="Barlow Semi Condensed"/>
          <w:sz w:val="24"/>
          <w:szCs w:val="24"/>
        </w:rPr>
        <w:t xml:space="preserve">Blocco ventisette. Gilberto Cavallini. Ergastolo per la strage di Bologna confermato in appello il 27 settembre 2023; il corpus lo annovera tra le responsabilità definitivamente accertate insieme a Fioravanti, Mambro e Ciavardini. Livello A.</w:t>
      </w:r>
    </w:p>
    <w:p>
      <w:pPr>
        <w:spacing w:after="120" w:line="276"/>
        <w:jc w:val="both"/>
      </w:pPr>
      <w:r>
        <w:rPr>
          <w:rFonts w:ascii="Barlow Semi Condensed" w:cs="Barlow Semi Condensed" w:eastAsia="Barlow Semi Condensed" w:hAnsi="Barlow Semi Condensed"/>
          <w:sz w:val="24"/>
          <w:szCs w:val="24"/>
        </w:rPr>
        <w:t xml:space="preserve">Blocco ventotto. Mandanti e organizzatori della strage di Bologna. Statuizione dell'appello dell'8 luglio 2024: Gelli e Ortolani mandanti e finanziatori, D'Amato e Tedeschi organizzatori; deceduti e perciò non giudicati, con statuto di statuizione incidentale obbligatoriamente precisato. Livello A.</w:t>
      </w:r>
    </w:p>
    <w:p>
      <w:pPr>
        <w:spacing w:after="120" w:line="276"/>
        <w:jc w:val="both"/>
      </w:pPr>
      <w:r>
        <w:rPr>
          <w:rFonts w:ascii="Barlow Semi Condensed" w:cs="Barlow Semi Condensed" w:eastAsia="Barlow Semi Condensed" w:hAnsi="Barlow Semi Condensed"/>
          <w:sz w:val="24"/>
          <w:szCs w:val="24"/>
        </w:rPr>
        <w:t xml:space="preserve">Blocco ventinove. Documento Bologna e Documento Artigli. Flussi distratti da conti dell'Ambrosiano con transito per conti cifrati svizzeri e per lo IOR, pagamenti a D'Amato, Tedeschi e Di Nunzio, anticipi rimborsati a Gelli a far data dal 20 luglio 1980, intermediazione di Marco Ceruti; nota Parisi sul colloquio Dean-Pierantoni del 14 ottobre 1987. Perizie e atti recepiti in sentenza: Livello A.</w:t>
      </w:r>
    </w:p>
    <w:p>
      <w:pPr>
        <w:spacing w:after="120" w:line="276"/>
        <w:jc w:val="both"/>
      </w:pPr>
      <w:r>
        <w:rPr>
          <w:rFonts w:ascii="Barlow Semi Condensed" w:cs="Barlow Semi Condensed" w:eastAsia="Barlow Semi Condensed" w:hAnsi="Barlow Semi Condensed"/>
          <w:sz w:val="24"/>
          <w:szCs w:val="24"/>
        </w:rPr>
        <w:t xml:space="preserve">Blocco trenta. Arsenale della Magliana al Ministero della Sanità. Scoperta del 25 novembre 1981 in via Liszt trentaquattro, custode Alesse stipendiato con un milione di lire al mese, inventario comprendente le Gevelot del tipo Pecorelli. Livello A sul travaso crimine-eversione; il ponte balistico verso il delitto Pecorelli resta reperto senza condanna, stanti le assoluzioni definitive di Perugia.</w:t>
      </w:r>
    </w:p>
    <w:p>
      <w:pPr>
        <w:spacing w:after="120" w:line="276"/>
        <w:jc w:val="both"/>
      </w:pPr>
      <w:r>
        <w:rPr>
          <w:rFonts w:ascii="Barlow Semi Condensed" w:cs="Barlow Semi Condensed" w:eastAsia="Barlow Semi Condensed" w:hAnsi="Barlow Semi Condensed"/>
          <w:sz w:val="24"/>
          <w:szCs w:val="24"/>
        </w:rPr>
        <w:t xml:space="preserve">Blocco trentuno. Massimo Carminati quale cerniera. Traiettoria NAR-Magliana-Mondo di mezzo documentata a Livello A; assoluzione definitiva per il delitto Pecorelli; condanna nel processo romano con riqualificazione del reato associativo; rapporti con gli apparati registrati come coda irrisolta, non come fatto.</w:t>
      </w:r>
    </w:p>
    <w:p>
      <w:pPr>
        <w:spacing w:after="120" w:line="276"/>
        <w:jc w:val="both"/>
      </w:pPr>
      <w:r>
        <w:rPr>
          <w:rFonts w:ascii="Barlow Semi Condensed" w:cs="Barlow Semi Condensed" w:eastAsia="Barlow Semi Condensed" w:hAnsi="Barlow Semi Condensed"/>
          <w:sz w:val="24"/>
          <w:szCs w:val="24"/>
        </w:rPr>
        <w:t xml:space="preserve">Blocco trentadue. Omicidio Mattarella: matrice e pista nera. Condanne definitive all'ergastolo dei mandanti di cupola nel processo degli anni Novanta; assoluzioni con formula piena, definitive, di Valerio Fioravanti e Gilberto Cavallini, la cui menzione è resa obbligatoria in ogni riferimento futuro. Livello A.</w:t>
      </w:r>
    </w:p>
    <w:p>
      <w:pPr>
        <w:spacing w:after="120" w:line="276"/>
        <w:jc w:val="both"/>
      </w:pPr>
      <w:r>
        <w:rPr>
          <w:rFonts w:ascii="Barlow Semi Condensed" w:cs="Barlow Semi Condensed" w:eastAsia="Barlow Semi Condensed" w:hAnsi="Barlow Semi Condensed"/>
          <w:sz w:val="24"/>
          <w:szCs w:val="24"/>
        </w:rPr>
        <w:t xml:space="preserve">Blocco trentatré. Riapertura palermitana. Iscrizione nel gennaio 2025 di Antonino Madonia e Giuseppe Lucchese quali presunti esecutori, con incidente probatorio disposto: atto certificato a Livello A; presunzione di innocenza integrale per entrambi.</w:t>
      </w:r>
    </w:p>
    <w:p>
      <w:pPr>
        <w:spacing w:after="120" w:line="276"/>
        <w:jc w:val="both"/>
      </w:pPr>
      <w:r>
        <w:rPr>
          <w:rFonts w:ascii="Barlow Semi Condensed" w:cs="Barlow Semi Condensed" w:eastAsia="Barlow Semi Condensed" w:hAnsi="Barlow Semi Condensed"/>
          <w:sz w:val="24"/>
          <w:szCs w:val="24"/>
        </w:rPr>
        <w:t xml:space="preserve">Blocco trentaquattro. Misura cautelare per depistaggio. Arresti domiciliari notificati il 24 ottobre 2025 a Filippo Piritore, indagato per depistaggio in relazione al guanto mai repertato della Fiat centoventisette; dichiarazioni del 17 settembre 2024 ritenute dalla Procura prive di riscontro; versione dell'indagato riportata. Atto cautelare certificato a Livello A; nessuna responsabilità accertata.</w:t>
      </w:r>
    </w:p>
    <w:p>
      <w:pPr>
        <w:spacing w:after="120" w:line="276"/>
        <w:jc w:val="both"/>
      </w:pPr>
      <w:r>
        <w:rPr>
          <w:rFonts w:ascii="Barlow Semi Condensed" w:cs="Barlow Semi Condensed" w:eastAsia="Barlow Semi Condensed" w:hAnsi="Barlow Semi Condensed"/>
          <w:sz w:val="24"/>
          <w:szCs w:val="24"/>
        </w:rPr>
        <w:t xml:space="preserve">8.12 — Rilievi per le persone viventi e chiusa della terza tranche</w:t>
      </w:r>
    </w:p>
    <w:p>
      <w:pPr>
        <w:spacing w:after="120" w:line="276"/>
        <w:jc w:val="both"/>
      </w:pPr>
      <w:r>
        <w:rPr>
          <w:rFonts w:ascii="Barlow Semi Condensed" w:cs="Barlow Semi Condensed" w:eastAsia="Barlow Semi Condensed" w:hAnsi="Barlow Semi Condensed"/>
          <w:sz w:val="24"/>
          <w:szCs w:val="24"/>
        </w:rPr>
        <w:t xml:space="preserve">Le formulazioni vincolanti della tranche sono le seguenti. Per Valerio Fioravanti, Francesca Mambro, Luigi Ciavardini, Gilberto Cavallini e Paolo Bellini le condanne per la strage di Bologna sono riportabili quali accertamenti giudiziari definitivi; ogni menzione del caso Mattarella che nomini Fioravanti o Cavallini deve però contestualmente riportare le loro assoluzioni con formula piena e definitive per quel delitto. Antonino Madonia e Giuseppe Lucchese sono indagati: ogni riferimento deve qualificarli come presunti esecutori secondo l'ipotesi della Procura, con presunzione di innocenza integrale. Filippo Piritore è indagato sottoposto a misura cautelare in un procedimento in corso: ogni riferimento deve riportarne lo statuto, dare conto della sua versione e astenersi da ogni anticipazione di responsabilità; Pietro Grasso e l'agente Di Natale vanno menzionati esclusivamente quali testimoni estranei a ogni addebito. Massimo Carminati va menzionato con l'assoluzione definitiva per il delitto Pecorelli e con la riqualificazione intervenuta nel processo romano. Per i defunti Gelli, Ortolani, D'Amato e Tedeschi la qualificazione di mandanti e organizzatori della strage di Bologna va sempre accompagnata dalla precisazione che, essendo deceduti, non sono stati giudicati.</w:t>
      </w:r>
    </w:p>
    <w:p>
      <w:pPr>
        <w:spacing w:after="120" w:line="276"/>
        <w:jc w:val="both"/>
      </w:pPr>
      <w:r>
        <w:rPr>
          <w:rFonts w:ascii="Barlow Semi Condensed" w:cs="Barlow Semi Condensed" w:eastAsia="Barlow Semi Condensed" w:hAnsi="Barlow Semi Condensed"/>
          <w:sz w:val="24"/>
          <w:szCs w:val="24"/>
        </w:rPr>
        <w:t xml:space="preserve">La terza tranche consegna alle successive tre direzioni. La prima: il monitoraggio degli sviluppi palermitani — l'incidente probatorio sugli esecutori e il procedimento per depistaggio — da recepire nel registro solo ad atti intervenuti, senza anticipazioni. La seconda: il completamento del vaglio delle voci residue del corpus con il medesimo protocollo, a partire dalla Nuova Camorra Organizzata e dalla faida con la Nuova Famiglia, dall'attentato a Carlo Palermo e dalla latitanza di Pasquale Scotti. La terza: la prosecuzione del censimento dei blocchi verso il traguardo dei cento, nella pratica cumulativa che conserva ogni versione e la incrementa.</w:t>
      </w:r>
    </w:p>
    <w:p>
      <w:pPr>
        <w:pStyle w:val="Heading3"/>
        <w:spacing w:after="80" w:before="160"/>
      </w:pPr>
      <w:r>
        <w:rPr>
          <w:rFonts w:ascii="Barlow Semi Condensed" w:cs="Barlow Semi Condensed" w:eastAsia="Barlow Semi Condensed" w:hAnsi="Barlow Semi Condensed"/>
          <w:sz w:val="24"/>
          <w:szCs w:val="24"/>
        </w:rPr>
        <w:t xml:space="preserve">QUARTA TRANCHE — FASE IX: IL VAGLIO DEL DOCUMENTO «L'ARCHITETTO DEL CAOS» IN CENTO BLOCCHI E IL CENSIMENTO DELLE VOCI ALLEGATE</w:t>
      </w:r>
    </w:p>
    <w:p>
      <w:pPr>
        <w:spacing w:after="120" w:line="276"/>
        <w:jc w:val="both"/>
      </w:pPr>
      <w:r>
        <w:rPr>
          <w:rFonts w:ascii="Barlow Semi Condensed" w:cs="Barlow Semi Condensed" w:eastAsia="Barlow Semi Condensed" w:hAnsi="Barlow Semi Condensed"/>
          <w:sz w:val="24"/>
          <w:szCs w:val="24"/>
        </w:rPr>
        <w:t xml:space="preserve">9.1 — Oggetto della tranche, documento-innesco e suo statuto probatorio</w:t>
      </w:r>
    </w:p>
    <w:p>
      <w:pPr>
        <w:spacing w:after="120" w:line="276"/>
        <w:jc w:val="both"/>
      </w:pPr>
      <w:r>
        <w:rPr>
          <w:rFonts w:ascii="Barlow Semi Condensed" w:cs="Barlow Semi Condensed" w:eastAsia="Barlow Semi Condensed" w:hAnsi="Barlow Semi Condensed"/>
          <w:sz w:val="24"/>
          <w:szCs w:val="24"/>
        </w:rPr>
        <w:t xml:space="preserve">La quarta tranche è innescata dall'acquisizione al fascicolo del documento «L'architetto del caos — Aleksandr Dugin e la penetrazione dell'ideologia eurasianista in Italia e in Europa», indagine autonoma datata marzo duemilaventisei, articolata in dieci capitoli e cento sottocapitoli, presente nel corpus in tre copie: due edizioni in formato di pagina con apparato iconografico, di identica consistenza, e una trascrizione testuale integrale. Il mandato — approfondimento in cento blocchi mirati di ricerca a cascata con triangolazione integrale — trova nella struttura stessa del documento la propria griglia naturale: ciascun sottocapitolo diventa un blocco del registro, numerato in continuità dal trentacinquesimo al centotrentaquattresimo. Lo statuto della fonte va fissato in apertura: il documento non reca un apparato di note a piè di pagina né collegamenti ipertestuali interni — il censimento automatico degli indirizzi di rete nel corpo del testo restituisce zero occorrenze — ma nomina puntualmente nel testo le proprie fonti di attribuzione: The Insider, l'inchiesta consortile OCCRP-IrpiMedia-iStories, Anton Shekhovtsov e il Centre for Democratic Integrity, il servizio di sicurezza lettone VDD, il database EPDE, Reporters Sans Frontières, Byline Times, Bellingcat, la relazione COPASIR dell'agosto duemilaventidue, gli atti giudiziari statunitensi e italiani. Il vaglio procede quindi su tre binari: la mappatura delle sovrapposizioni con i blocchi già certificati nelle tranche precedenti; la verifica esterna delle asserzioni nuove a più alto rischio; la gradazione delle attribuzioni d'inchiesta secondo lo standard Savona, con disciplina rafforzata per le numerose persone viventi nominate.</w:t>
      </w:r>
    </w:p>
    <w:p>
      <w:pPr>
        <w:spacing w:after="120" w:line="276"/>
        <w:jc w:val="both"/>
      </w:pPr>
      <w:r>
        <w:rPr>
          <w:rFonts w:ascii="Barlow Semi Condensed" w:cs="Barlow Semi Condensed" w:eastAsia="Barlow Semi Condensed" w:hAnsi="Barlow Semi Condensed"/>
          <w:sz w:val="24"/>
          <w:szCs w:val="24"/>
        </w:rPr>
        <w:t xml:space="preserve">9.2 — La mappa delle sovrapposizioni con i blocchi già certificati</w:t>
      </w:r>
    </w:p>
    <w:p>
      <w:pPr>
        <w:spacing w:after="120" w:line="276"/>
        <w:jc w:val="both"/>
      </w:pPr>
      <w:r>
        <w:rPr>
          <w:rFonts w:ascii="Barlow Semi Condensed" w:cs="Barlow Semi Condensed" w:eastAsia="Barlow Semi Condensed" w:hAnsi="Barlow Semi Condensed"/>
          <w:sz w:val="24"/>
          <w:szCs w:val="24"/>
        </w:rPr>
        <w:t xml:space="preserve">Il primo risultato del vaglio è strutturale: il documento-innesco condivide con il presente registro una porzione maggioritaria del proprio impianto fattuale, già certificata nelle tranche precedenti. Il capitolo primo ricalca la filiera Freda-Thiriart-Mutti-Murelli-Orion-Borghezio-Gavirate certificata ai blocchi undici-ventidue della seconda tranche e ventitré della terza; il capitolo secondo incorpora il viaggio moscovita di Thiriart dell'agosto millenovecentonovantadue, certificato con i medesimi accompagnatori; il capitolo terzo poggia sulla fondazione dell'Associazione Lombardia-Russia e sulla figura di Savoini, certificate ai blocchi sedici-diciassette; il capitolo sesto è, per intero, il caso Metropol certificato ai blocchi venti-ventuno, ivi compresa l'archiviazione del ventisette aprile duemilaventitré riportata dal documento nei termini esatti che questo registro ha reso vincolanti; il capitolo ottavo culmina nell'editoria AGA certificata al blocco quattordici. Questa convergenza non è circolare, perché le certificazioni delle tranche precedenti furono condotte su fonti esterne indipendenti dal documento-innesco: essa costituisce piuttosto una triangolazione incrociata che rafforza entrambi i corpi, e consente di concentrare la verifica nuova sui capitoli quarto, quinto, settimo, nono e decimo.</w:t>
      </w:r>
    </w:p>
    <w:p>
      <w:pPr>
        <w:spacing w:after="120" w:line="276"/>
        <w:jc w:val="both"/>
      </w:pPr>
      <w:r>
        <w:rPr>
          <w:rFonts w:ascii="Barlow Semi Condensed" w:cs="Barlow Semi Condensed" w:eastAsia="Barlow Semi Condensed" w:hAnsi="Barlow Semi Condensed"/>
          <w:sz w:val="24"/>
          <w:szCs w:val="24"/>
        </w:rPr>
        <w:t xml:space="preserve">9.3 — La campagna di verifica esterna: sei nodi nuovi</w:t>
      </w:r>
    </w:p>
    <w:p>
      <w:pPr>
        <w:spacing w:after="120" w:line="276"/>
        <w:jc w:val="both"/>
      </w:pPr>
      <w:r>
        <w:rPr>
          <w:rFonts w:ascii="Barlow Semi Condensed" w:cs="Barlow Semi Condensed" w:eastAsia="Barlow Semi Condensed" w:hAnsi="Barlow Semi Condensed"/>
          <w:sz w:val="24"/>
          <w:szCs w:val="24"/>
        </w:rPr>
        <w:t xml:space="preserve">Primo nodo: l'incriminazione di Aleksej Komov. La verifica sulla fonte primaria — il comunicato della Procura del Distretto Meridionale di New York — conferma integralmente: il dodici dicembre duemilaventiquattro è stata desigillata un'incriminazione sostitutiva a carico di Komov per cospirazione e violazione delle sanzioni statunitensi, per avere assistito Konstantin Malofeev — designato dall'OFAC nel dicembre duemilaquattordici quale finanziatore del separatismo filorusso in Ucraina — nell'assunzione del produttore televisivo americano Jack Hanick per il lancio della rete Tsargrad e nel trasferimento illecito, tramite una società di comodo passata a un socio greco con documentazione retrodatata, di un investimento di dieci milioni di dollari in una holding bancaria texana; Malofeev e Hanick erano già stati incriminati nell'aprile duemilaventidue; Komov e Malofeev sono qualificati latitanti, ritenuti in Russia. L'atto è certificato a Livello A quale atto d'accusa: nessuna condanna è intervenuta e la presunzione di innocenza opera per tutti. Secondo nodo: la chiusura della Task Force KleptoCapture. Il registro rileva che al dodici dicembre duemilaventiquattro la task force risultava pienamente operativa per bocca del suo co-direttore, e che il suo scioglimento fu disposto dal memorandum del nuovo Attorney General del cinque febbraio duemilaventicinque: il documento-innesco, che lo colloca al gennaio, incorre qui in un'imprecisione di datazione che viene formalmente annotata come rilievo critico.</w:t>
      </w:r>
    </w:p>
    <w:p>
      <w:pPr>
        <w:spacing w:after="120" w:line="276"/>
        <w:jc w:val="both"/>
      </w:pPr>
      <w:r>
        <w:rPr>
          <w:rFonts w:ascii="Barlow Semi Condensed" w:cs="Barlow Semi Condensed" w:eastAsia="Barlow Semi Condensed" w:hAnsi="Barlow Semi Condensed"/>
          <w:sz w:val="24"/>
          <w:szCs w:val="24"/>
        </w:rPr>
        <w:t xml:space="preserve">Terzo nodo: Andrea Palmeri. La condanna a cinque anni di reclusione per avere reclutato e istruito persone destinate a combattere con le milizie filorusse nel Donbass, inflitta dal Tribunale di Genova nel settembre duemilaventuno all'esito di un'inchiesta della Direzione distrettuale antiterrorismo avviata nel duemilatredici, confermata in appello nell'aprile duemilaventitré, è divenuta definitiva in Cassazione il quattordici marzo duemilaventiquattro; sull'interessato, che risiede in Russia, pende mandato d'arresto europeo. Il registro riporta, come impone la disciplina sui viventi, la posizione dell'interessato, che ha pubblicamente contestato la sentenza definendola politica e negando i fatti. Livello A. Quarto nodo: Dar'ja Dugina. La morte nell'esplosione dell'autovettura, la sera del venti agosto duemilaventidue presso Mosca, è fatto certificato a Livello A; le attribuzioni restano tali e vengono riportate come posizioni delle parti: l'FSB attribuì l'attentato ai servizi ucraini indicando una cittadina ucraina quale esecutrice; valutazioni di ambienti d'intelligence statunitensi, riferite dalla stampa americana nell'ottobre successivo, indicarono componenti dell'apparato ucraino; Kiev ha negato ogni coinvolgimento. Nessuna di tali attribuzioni è oggetto di accertamento giudiziario terzo. Quinto nodo: l'onorificenza a Eliseo Bertolasi. Il conferimento dell'Ordine dell'Amicizia da parte di Putin al Cremlino, il quattro novembre duemilaventicinque nella cerimonia del Giorno dell'Unità, risulta riferito dalle fonti dell'area filorussa e dallo stesso insignito, con apparato fotografico e senza smentite; un riscontro su fonte terza indipendente non è stato reperito in questa tranche: Livello B con statuto dichiarato. Sesto nodo: il centro di rappresentanza della cosiddetta Repubblica Popolare di Donetsk a Torino. L'inaugurazione del quattordici dicembre duemilasedici presso la Fondazione Magellano, promossa da Maurizio Marrone, con la presenza documentata — da interrogazione parlamentare e da fotografie — dei capigruppo regionali Gianna Gancia e Gilberto Pichetto Fratin, è certificata a Livello A; la risposta della Farnesina all'interrogazione, per cui la rappresentanza informale non gode di alcun riconoscimento né status, è parimenti certificata. Il registro fissa la formulazione vincolante: la presenza a un evento pubblico è un fatto documentato dal quale non si inferisce alcunché oltre il fatto stesso.</w:t>
      </w:r>
    </w:p>
    <w:p>
      <w:pPr>
        <w:spacing w:after="120" w:line="276"/>
        <w:jc w:val="both"/>
      </w:pPr>
      <w:r>
        <w:rPr>
          <w:rFonts w:ascii="Barlow Semi Condensed" w:cs="Barlow Semi Condensed" w:eastAsia="Barlow Semi Condensed" w:hAnsi="Barlow Semi Condensed"/>
          <w:sz w:val="24"/>
          <w:szCs w:val="24"/>
        </w:rPr>
        <w:t xml:space="preserve">9.4 — Le attribuzioni d'inchiesta e la loro gradazione</w:t>
      </w:r>
    </w:p>
    <w:p>
      <w:pPr>
        <w:spacing w:after="120" w:line="276"/>
        <w:jc w:val="both"/>
      </w:pPr>
      <w:r>
        <w:rPr>
          <w:rFonts w:ascii="Barlow Semi Condensed" w:cs="Barlow Semi Condensed" w:eastAsia="Barlow Semi Condensed" w:hAnsi="Barlow Semi Condensed"/>
          <w:sz w:val="24"/>
          <w:szCs w:val="24"/>
        </w:rPr>
        <w:t xml:space="preserve">I capitoli quinto e settimo del documento poggiano su un corpo di inchieste giornalistiche e su atti di servizi di sicurezza esteri che il corpus possiede in forma monografica autonoma, consentendo la triangolazione interna. L'identificazione di Aleksej Stovbun, nome in codice Erudito, quale ufficiale dell'FSB operante sotto copertura giornalistica e gestore della rete veneta, poggia sulla convergenza tra l'inchiesta di Shekhovtsov del ventotto novembre duemilaventiquattro e la conferma del servizio di sicurezza dello Stato lettone: la convergenza tra una fonte investigativa qualificata e un atto di un servizio statale colloca il nodo a Livello B. Sul medesimo piano si collocano l'identificazione di Andrej Kharchenko quale ufficiale del Quinto Servizio dell'FSB presente al Metropol, attribuita all'inchiesta di The Insider del sei febbraio duemilaventiquattro su dati previdenziali trapelati, e il canale di trasmissione dei passaporti degli osservatori dalla Fondazione Russa per la Pace di Slutsky al Primo Direttorato Europeo del GRU, attribuito all'inchiesta congiunta The Insider-Meduza del dicembre duemilaventitré: attribuzioni a inchieste nominate, riscontrate dal corpus, gradate a Livello B. Le qualifiche operative riferite a cittadini italiani viventi — la designazione di Eliseo Bertolasi con il nome in codice Scrittore quale risorsa gestita — restano attribuzioni delle medesime fonti e come tali vengono sempre enunciate: il registro non le assume in proprio, e distingue rigorosamente i fatti biografici pubblici, certificati a Livello A, dalle qualifiche d'intelligence, che permangono a Livello C su persona vivente. Il materiale proveniente da violazioni informatiche — le email attribuite all'archivio Mirzakhanian e ai collaboratori di Malofeev — è gradato con statuto proprio: la provenienza illecita e l'impossibilità di verifica indipendente dell'integrità impongono il Livello C anche dove la convergenza di più testate consortili suggerirebbe affidabilità maggiore; fa eccezione la risoluzione veneta del diciotto maggio duemilasedici, che è atto pubblico a Livello A, mentre la sua genesi moscovita resta attribuzione a Livello B. La relazione del COPASIR dell'agosto duemilaventidue, approvata all'unanimità, costituisce infine — a differenza degli elaborati storici non unanimi delle commissioni d'inchiesta — una fonte parlamentare piena: Livello A.</w:t>
      </w:r>
    </w:p>
    <w:p>
      <w:pPr>
        <w:spacing w:after="120" w:line="276"/>
        <w:jc w:val="both"/>
      </w:pPr>
      <w:r>
        <w:rPr>
          <w:rFonts w:ascii="Barlow Semi Condensed" w:cs="Barlow Semi Condensed" w:eastAsia="Barlow Semi Condensed" w:hAnsi="Barlow Semi Condensed"/>
          <w:sz w:val="24"/>
          <w:szCs w:val="24"/>
        </w:rPr>
        <w:t xml:space="preserve">9.5 — Rilievi critici sul documento-innesco</w:t>
      </w:r>
    </w:p>
    <w:p>
      <w:pPr>
        <w:spacing w:after="120" w:line="276"/>
        <w:jc w:val="both"/>
      </w:pPr>
      <w:r>
        <w:rPr>
          <w:rFonts w:ascii="Barlow Semi Condensed" w:cs="Barlow Semi Condensed" w:eastAsia="Barlow Semi Condensed" w:hAnsi="Barlow Semi Condensed"/>
          <w:sz w:val="24"/>
          <w:szCs w:val="24"/>
        </w:rPr>
        <w:t xml:space="preserve">Il vaglio consegna tre rilievi. Il primo è l'imprecisione di datazione sulla chiusura della Task Force KleptoCapture, anticipata al gennaio quando il memorandum dispositivo è del cinque febbraio duemilaventicinque. Il secondo è strutturale: l'assenza di apparato di note verificabili nel corpo del testo, che il documento compensa con la nominazione delle fonti ma che ne fa una monografia di sintesi, non un atto autoportante; il presente registro, certificandone i nodi, ne integra la funzione probatoria. Il terzo è di merito e va a credito del documento: sul punto più esposto — il grado di influenza effettiva dei Fondamenti di Geopolitica e del loro autore sulla condotta del Cremlino — il testo stesso dichiara che la questione è dibattuta e si limita a registrare la coincidenza tra raccomandazioni e azioni successive; il registro conferma questa disciplina e la irrigidisce: la coincidenza testuale è verificabile a Livello A, l'inferenza causale è vietata dalla Regola Ferrea, e la qualifica corrente di ideologo del potere russo resta una tesi mediatica contestata nella letteratura specialistica, da riportare sempre come attribuzione.</w:t>
      </w:r>
    </w:p>
    <w:p>
      <w:pPr>
        <w:spacing w:after="120" w:line="276"/>
        <w:jc w:val="both"/>
      </w:pPr>
      <w:r>
        <w:rPr>
          <w:rFonts w:ascii="Barlow Semi Condensed" w:cs="Barlow Semi Condensed" w:eastAsia="Barlow Semi Condensed" w:hAnsi="Barlow Semi Condensed"/>
          <w:sz w:val="24"/>
          <w:szCs w:val="24"/>
        </w:rPr>
        <w:t xml:space="preserve">9.6 — Il censimento degli URL delle voci allegate</w:t>
      </w:r>
    </w:p>
    <w:p>
      <w:pPr>
        <w:spacing w:after="120" w:line="276"/>
        <w:jc w:val="both"/>
      </w:pPr>
      <w:r>
        <w:rPr>
          <w:rFonts w:ascii="Barlow Semi Condensed" w:cs="Barlow Semi Condensed" w:eastAsia="Barlow Semi Condensed" w:hAnsi="Barlow Semi Condensed"/>
          <w:sz w:val="24"/>
          <w:szCs w:val="24"/>
        </w:rPr>
        <w:t xml:space="preserve">In esecuzione del mandato di estrazione, le ventuno voci enciclopediche allegate al corpus sono state estratte integralmente in testo e sottoposte a censimento automatico degli indirizzi di rete contenuti nei rispettivi apparati di note: il censimento restituisce millequarantanove URL unici complessivi, con distribuzione fortemente disomogenea — dai duecentosessantotto della voce sulla Banda della Magliana ai centonovanta dei Nuclei Armati Rivoluzionari, ai centotrentacinque della strage di Bologna, ai centodue dell'omicidio Mattarella, ai novantanove dell'operazione Gladio, fino alle voci minori prive di apparato come il Summit di Montalto. Due contenitori — la copia alternativa della voce sulla Banda della Magliana e la voce sulle operazioni di polizia contro la 'ndrangheta — sono risultati non estraibili con il protocollo di questa sessione e vengono dichiarati come tali, con rinvio alla tranche successiva. Gli indirizzi censiti non sono riproducibili nel registro come collegamenti attivi; la loro lista integrale, ordinata per voce, è conservata agli atti della sessione e la verifica ipertestuale puntuale — l'accesso alla pagina viva per confronto con l'istantanea allegata — è stata eseguita in questa tranche per i nodi sottoposti a verifica esterna, secondo il principio per cui il registro accede alla rete dove il rischio dell'asserzione lo esige.</w:t>
      </w:r>
    </w:p>
    <w:p>
      <w:pPr>
        <w:spacing w:after="120" w:line="276"/>
        <w:jc w:val="both"/>
      </w:pPr>
      <w:r>
        <w:rPr>
          <w:rFonts w:ascii="Barlow Semi Condensed" w:cs="Barlow Semi Condensed" w:eastAsia="Barlow Semi Condensed" w:hAnsi="Barlow Semi Condensed"/>
          <w:sz w:val="24"/>
          <w:szCs w:val="24"/>
        </w:rPr>
        <w:t xml:space="preserve">9.7 — Prima ricognizione delle voci residue consegnate dalla terza tranche</w:t>
      </w:r>
    </w:p>
    <w:p>
      <w:pPr>
        <w:spacing w:after="120" w:line="276"/>
        <w:jc w:val="both"/>
      </w:pPr>
      <w:r>
        <w:rPr>
          <w:rFonts w:ascii="Barlow Semi Condensed" w:cs="Barlow Semi Condensed" w:eastAsia="Barlow Semi Condensed" w:hAnsi="Barlow Semi Condensed"/>
          <w:sz w:val="24"/>
          <w:szCs w:val="24"/>
        </w:rPr>
        <w:t xml:space="preserve">La ricognizione promessa sulle voci residue produce quattro certificazioni, iscritte ai blocchi centotrentacinque-centotrentotto. Su Pasquale Scotti la voce, munita di note, consente la certificazione piena della parabola: l'appartenenza alla Nuova Camorra Organizzata quale braccio operativo di Cutolo, il ruolo nella vicenda Cirillo, l'arresto del diciassette dicembre millenovecentottantatré, l'evasione della notte di Natale del millenovecentottantaquattro dall'ospedale di Caserta, l'ergastolo inflitto nel duemilacinque dalla Corte d'assise di Santa Maria Capua Vetere, la latitanza trentennale conclusa a Recife il ventisei maggio duemilaquindici sotto falso nome, l'autorizzazione all'estradizione del Supremo Tribunal Federal brasiliano del ventuno ottobre duemilaquindici con commutazione della pena nel massimo di trent'anni previsto dall'ordinamento brasiliano, l'estradizione del dieci marzo duemilasedici. Sul Summit di Montalto la disciplina probatoria impone la doppia gradazione: la riunione del ventisei ottobre millenovecentosessantanove in contrada Serro Juncari, l'operazione di polizia del commissario Sabatino su ordine del questore Santillo, il processo ai settantadue imputati con primo grado del ventiquattro marzo millenovecentosettantuno e appello del due dicembre millenovecentosettantanove che assolse Macrì, Nirta e Tripodo, stanno a Livello A; l'indicazione, presente nella voce sulla scorta della letteratura, della presenza al summit di Junio Valerio Borghese, Stefano Delle Chiaie, Pierluigi Concutelli e Sandro Saccucci, e dell'ipotesi di alleanza con la destra eversiva all'ordine del giorno, è dato di letteratura non accertato in giudicato: Livello C, e la Regola Ferrea vieta di trattare il ponte crimine-eversione di Montalto come fatto. Sul caso Cirillo: il sequestro dell'assessore da parte delle Brigate Rosse il ventisette aprile millenovecentottantuno e la liberazione del ventiquattro luglio, con la trattativa che coinvolse la camorra cutoliana, sono certificati; l'istruttoria del giudice Carlo Alemi, secondo cui Roberto Calvi contribuì al pagamento di parte del riscatto, è atto istruttorio gradato a Livello B; il bilancio della faida tra Nuova Camorra Organizzata e Nuova Famiglia — settantuno vittime nel millenovecentosettantanove, centotrentaquattro nel millenovecentottanta, centonovantatré nel millenovecentottantuno, duecentotrentasette nel millenovecentottantadue, duecentotrentotto nel millenovecentottantatré, centoquattordici nel millenovecentottantaquattro — sta a Livello A. Su Pizzolungo: l'autobomba del due aprile millenovecentottantacinque contro il sostituto procuratore Carlo Palermo, trasferitosi a Trapani dopo l'inchiesta trentina su armi e droga, uccise Barbara Rizzo e i suoi gemelli di sei anni Giuseppe e Salvatore Asta, investiti in pieno dall'esplosione che ferì il magistrato: fatti a Livello A; gli esiti processuali sui mandanti e sugli esecutori sono rinviati alla quinta tranche per certificazione puntuale, e ogni menzione del magistrato — vivente — resta ai fatti pubblici della sua biografia istituzionale.</w:t>
      </w:r>
    </w:p>
    <w:p>
      <w:pPr>
        <w:spacing w:after="120" w:line="276"/>
        <w:jc w:val="both"/>
      </w:pPr>
      <w:r>
        <w:rPr>
          <w:rFonts w:ascii="Barlow Semi Condensed" w:cs="Barlow Semi Condensed" w:eastAsia="Barlow Semi Condensed" w:hAnsi="Barlow Semi Condensed"/>
          <w:sz w:val="24"/>
          <w:szCs w:val="24"/>
        </w:rPr>
        <w:t xml:space="preserve">9.8 — Aggiornamento della matrice ACH</w:t>
      </w:r>
    </w:p>
    <w:p>
      <w:pPr>
        <w:spacing w:after="120" w:line="276"/>
        <w:jc w:val="both"/>
      </w:pPr>
      <w:r>
        <w:rPr>
          <w:rFonts w:ascii="Barlow Semi Condensed" w:cs="Barlow Semi Condensed" w:eastAsia="Barlow Semi Condensed" w:hAnsi="Barlow Semi Condensed"/>
          <w:sz w:val="24"/>
          <w:szCs w:val="24"/>
        </w:rPr>
        <w:t xml:space="preserve">Il documento-innesco enuncia in chiusura la propria tesi di sintesi: quattro canali convergenti — ideologico, FSB, GRU, finanziario — irradiati da Mosca verso l'Italia e l'Europa. Il registro ne ha vagliato le gambe: molte stanno a Livello A (atti giudiziari statunitensi e italiani, atti parlamentari unanimi, eventi pubblici documentati), altre a Livello B (inchieste nominate con riscontri di servizi statali), altre restano attribuzioni a Livello C. La composizione delle gambe in un disegno unitario coordinato è però, essa stessa, la tesi — e il registro la tratta come tale: essa coincide, per il versante orientale posteriore al millenovecentonovantuno, con il perimetro dell'ipotesi H2 già formalizzata, che ne esce ulteriormente corroborata nelle gambe e immutata nel grado: Livello C sulla composizione. Sull'ipotesi H1 la quarta tranche non produce alcun elemento: nessuno dei cento sottocapitoli documenta un coordinamento tra le due superpotenze, e il quadro — un solo sponsor orientale attivo su canali multipli contro il campo atlantico — resta incompatibile con il condominio. L'ipotesi H3 conserva la propria funzione di controllo: la convergenza di più canali su un medesimo bersaglio può essere coordinata oppure emergente, e la discriminazione tra le due letture richiede esattamente le evidenze di comando che il registro continua a segnare come mancanti.</w:t>
      </w:r>
    </w:p>
    <w:p>
      <w:pPr>
        <w:spacing w:after="120" w:line="276"/>
        <w:jc w:val="both"/>
      </w:pPr>
      <w:r>
        <w:rPr>
          <w:rFonts w:ascii="Barlow Semi Condensed" w:cs="Barlow Semi Condensed" w:eastAsia="Barlow Semi Condensed" w:hAnsi="Barlow Semi Condensed"/>
          <w:sz w:val="24"/>
          <w:szCs w:val="24"/>
        </w:rPr>
        <w:t xml:space="preserve">9.9 — Registro dei blocchi di verifica: blocchi trentacinque–centotrentaquattro</w:t>
      </w:r>
    </w:p>
    <w:p>
      <w:pPr>
        <w:spacing w:after="120" w:line="276"/>
        <w:jc w:val="both"/>
      </w:pPr>
      <w:r>
        <w:rPr>
          <w:rFonts w:ascii="Barlow Semi Condensed" w:cs="Barlow Semi Condensed" w:eastAsia="Barlow Semi Condensed" w:hAnsi="Barlow Semi Condensed"/>
          <w:sz w:val="24"/>
          <w:szCs w:val="24"/>
        </w:rPr>
        <w:t xml:space="preserve">I cento sottocapitoli del documento-innesco sono iscritti ciascuno come blocco, con esito e grado. La formula «già certificato» rinvia al blocco indicato delle tranche precedenti; la formula «verificato ora» indica la campagna esterna di questa tranche; la formula «attribuito» indica che l'asserzione resta in capo alla fonte nominata.</w:t>
      </w:r>
    </w:p>
    <w:p>
      <w:pPr>
        <w:spacing w:after="120" w:line="276"/>
        <w:jc w:val="both"/>
      </w:pPr>
      <w:r>
        <w:rPr>
          <w:rFonts w:ascii="Barlow Semi Condensed" w:cs="Barlow Semi Condensed" w:eastAsia="Barlow Semi Condensed" w:hAnsi="Barlow Semi Condensed"/>
          <w:sz w:val="24"/>
          <w:szCs w:val="24"/>
        </w:rPr>
        <w:t xml:space="preserve">Capitolo primo — Il substrato ideologico (blocchi trentacinque–quarantaquattro)</w:t>
      </w:r>
    </w:p>
    <w:p>
      <w:pPr>
        <w:spacing w:after="120" w:line="276"/>
        <w:jc w:val="both"/>
      </w:pPr>
      <w:r>
        <w:rPr>
          <w:rFonts w:ascii="Barlow Semi Condensed" w:cs="Barlow Semi Condensed" w:eastAsia="Barlow Semi Condensed" w:hAnsi="Barlow Semi Condensed"/>
          <w:sz w:val="24"/>
          <w:szCs w:val="24"/>
        </w:rPr>
        <w:t xml:space="preserve">Blocco trentacinque. Freda e le Edizioni di Ar: fondazione padovana del nove dicembre millenovecentosessantatré e catalogo tradizionalista, Livello A documentale. Vincolo permanente: l'assoluzione definitiva di Freda per Piazza Fontana va riportata in ogni menzione; le statuizioni dei filoni successivi non costituiscono giudicato di condanna.</w:t>
      </w:r>
    </w:p>
    <w:p>
      <w:pPr>
        <w:spacing w:after="120" w:line="276"/>
        <w:jc w:val="both"/>
      </w:pPr>
      <w:r>
        <w:rPr>
          <w:rFonts w:ascii="Barlow Semi Condensed" w:cs="Barlow Semi Condensed" w:eastAsia="Barlow Semi Condensed" w:hAnsi="Barlow Semi Condensed"/>
          <w:sz w:val="24"/>
          <w:szCs w:val="24"/>
        </w:rPr>
        <w:t xml:space="preserve">Blocco trentasei. Thiriart e Jeune Europe: già certificato ai blocchi tredici e ventitré, ivi compresa la svolta filosovietica del millenovecentosessantotto.</w:t>
      </w:r>
    </w:p>
    <w:p>
      <w:pPr>
        <w:spacing w:after="120" w:line="276"/>
        <w:jc w:val="both"/>
      </w:pPr>
      <w:r>
        <w:rPr>
          <w:rFonts w:ascii="Barlow Semi Condensed" w:cs="Barlow Semi Condensed" w:eastAsia="Barlow Semi Condensed" w:hAnsi="Barlow Semi Condensed"/>
          <w:sz w:val="24"/>
          <w:szCs w:val="24"/>
        </w:rPr>
        <w:t xml:space="preserve">Blocco trentasette. Mutti, dalla militanza alla conversione: traiettoria biografica pubblica a Livello A; le qualifiche ideologiche restano attribuzioni.</w:t>
      </w:r>
    </w:p>
    <w:p>
      <w:pPr>
        <w:spacing w:after="120" w:line="276"/>
        <w:jc w:val="both"/>
      </w:pPr>
      <w:r>
        <w:rPr>
          <w:rFonts w:ascii="Barlow Semi Condensed" w:cs="Barlow Semi Condensed" w:eastAsia="Barlow Semi Condensed" w:hAnsi="Barlow Semi Condensed"/>
          <w:sz w:val="24"/>
          <w:szCs w:val="24"/>
        </w:rPr>
        <w:t xml:space="preserve">Blocco trentotto. Il catalogo Guardia di Ferro-Szalasi-Protocolli: contenuto editoriale verificabile, Livello A documentale.</w:t>
      </w:r>
    </w:p>
    <w:p>
      <w:pPr>
        <w:spacing w:after="120" w:line="276"/>
        <w:jc w:val="both"/>
      </w:pPr>
      <w:r>
        <w:rPr>
          <w:rFonts w:ascii="Barlow Semi Condensed" w:cs="Barlow Semi Condensed" w:eastAsia="Barlow Semi Condensed" w:hAnsi="Barlow Semi Condensed"/>
          <w:sz w:val="24"/>
          <w:szCs w:val="24"/>
        </w:rPr>
        <w:t xml:space="preserve">Blocco trentanove. La strategia della tensione come nesso eversione-geopolitica: tesi interpretativa del documento, attribuita, Livello C; i fatti sottostanti sono certificati alle Fasi prima e ottava.</w:t>
      </w:r>
    </w:p>
    <w:p>
      <w:pPr>
        <w:spacing w:after="120" w:line="276"/>
        <w:jc w:val="both"/>
      </w:pPr>
      <w:r>
        <w:rPr>
          <w:rFonts w:ascii="Barlow Semi Condensed" w:cs="Barlow Semi Condensed" w:eastAsia="Barlow Semi Condensed" w:hAnsi="Barlow Semi Condensed"/>
          <w:sz w:val="24"/>
          <w:szCs w:val="24"/>
        </w:rPr>
        <w:t xml:space="preserve">Blocco quaranta. Ordine Nuovo, Avanguardia Nazionale e la rete stragista: esiti giudiziari certificati ai blocchi ventisei-ventinove; per Piazza Fontana nessun giudicato di condanna, come al blocco trentacinque.</w:t>
      </w:r>
    </w:p>
    <w:p>
      <w:pPr>
        <w:spacing w:after="120" w:line="276"/>
        <w:jc w:val="both"/>
      </w:pPr>
      <w:r>
        <w:rPr>
          <w:rFonts w:ascii="Barlow Semi Condensed" w:cs="Barlow Semi Condensed" w:eastAsia="Barlow Semi Condensed" w:hAnsi="Barlow Semi Condensed"/>
          <w:sz w:val="24"/>
          <w:szCs w:val="24"/>
        </w:rPr>
        <w:t xml:space="preserve">Blocco quarantuno. Murelli e il giovedì nero: già certificato ai blocchi undici-dodici, con la formulazione bilanciata vincolante.</w:t>
      </w:r>
    </w:p>
    <w:p>
      <w:pPr>
        <w:spacing w:after="120" w:line="276"/>
        <w:jc w:val="both"/>
      </w:pPr>
      <w:r>
        <w:rPr>
          <w:rFonts w:ascii="Barlow Semi Condensed" w:cs="Barlow Semi Condensed" w:eastAsia="Barlow Semi Condensed" w:hAnsi="Barlow Semi Condensed"/>
          <w:sz w:val="24"/>
          <w:szCs w:val="24"/>
        </w:rPr>
        <w:t xml:space="preserve">Blocco quarantadue. Barbarossa e Orion: già certificato al blocco quattordici.</w:t>
      </w:r>
    </w:p>
    <w:p>
      <w:pPr>
        <w:spacing w:after="120" w:line="276"/>
        <w:jc w:val="both"/>
      </w:pPr>
      <w:r>
        <w:rPr>
          <w:rFonts w:ascii="Barlow Semi Condensed" w:cs="Barlow Semi Condensed" w:eastAsia="Barlow Semi Condensed" w:hAnsi="Barlow Semi Condensed"/>
          <w:sz w:val="24"/>
          <w:szCs w:val="24"/>
        </w:rPr>
        <w:t xml:space="preserve">Blocco quarantatré. Borghezio da Jeune Europe alla Lega: già certificato al blocco quindici.</w:t>
      </w:r>
    </w:p>
    <w:p>
      <w:pPr>
        <w:spacing w:after="120" w:line="276"/>
        <w:jc w:val="both"/>
      </w:pPr>
      <w:r>
        <w:rPr>
          <w:rFonts w:ascii="Barlow Semi Condensed" w:cs="Barlow Semi Condensed" w:eastAsia="Barlow Semi Condensed" w:hAnsi="Barlow Semi Condensed"/>
          <w:sz w:val="24"/>
          <w:szCs w:val="24"/>
        </w:rPr>
        <w:t xml:space="preserve">Blocco quarantaquattro. L'Università d'Estate di Gavirate: già certificato al blocco diciotto; l'attribuzione sulla genesi di CasaPound resta a Livello B.</w:t>
      </w:r>
    </w:p>
    <w:p>
      <w:pPr>
        <w:spacing w:after="120" w:line="276"/>
        <w:jc w:val="both"/>
      </w:pPr>
      <w:r>
        <w:rPr>
          <w:rFonts w:ascii="Barlow Semi Condensed" w:cs="Barlow Semi Condensed" w:eastAsia="Barlow Semi Condensed" w:hAnsi="Barlow Semi Condensed"/>
          <w:sz w:val="24"/>
          <w:szCs w:val="24"/>
        </w:rPr>
        <w:t xml:space="preserve">Capitolo secondo — Dugin, origini e progetto (blocchi quarantacinque–cinquantaquattro)</w:t>
      </w:r>
    </w:p>
    <w:p>
      <w:pPr>
        <w:spacing w:after="120" w:line="276"/>
        <w:jc w:val="both"/>
      </w:pPr>
      <w:r>
        <w:rPr>
          <w:rFonts w:ascii="Barlow Semi Condensed" w:cs="Barlow Semi Condensed" w:eastAsia="Barlow Semi Condensed" w:hAnsi="Barlow Semi Condensed"/>
          <w:sz w:val="24"/>
          <w:szCs w:val="24"/>
        </w:rPr>
        <w:t xml:space="preserve">Blocco quarantacinque. Il padre tenente colonnello del GRU: dato riferito da fonti d'inchiesta, non riscontrato su fonte primaria: attribuito, Livello C.</w:t>
      </w:r>
    </w:p>
    <w:p>
      <w:pPr>
        <w:spacing w:after="120" w:line="276"/>
        <w:jc w:val="both"/>
      </w:pPr>
      <w:r>
        <w:rPr>
          <w:rFonts w:ascii="Barlow Semi Condensed" w:cs="Barlow Semi Condensed" w:eastAsia="Barlow Semi Condensed" w:hAnsi="Barlow Semi Condensed"/>
          <w:sz w:val="24"/>
          <w:szCs w:val="24"/>
        </w:rPr>
        <w:t xml:space="preserve">Blocco quarantasei. L'arresto del millenovecentottantatré e la collaborazione col KGB: attribuzione di Byline Times, riportata come tale: Livello C.</w:t>
      </w:r>
    </w:p>
    <w:p>
      <w:pPr>
        <w:spacing w:after="120" w:line="276"/>
        <w:jc w:val="both"/>
      </w:pPr>
      <w:r>
        <w:rPr>
          <w:rFonts w:ascii="Barlow Semi Condensed" w:cs="Barlow Semi Condensed" w:eastAsia="Barlow Semi Condensed" w:hAnsi="Barlow Semi Condensed"/>
          <w:sz w:val="24"/>
          <w:szCs w:val="24"/>
        </w:rPr>
        <w:t xml:space="preserve">Blocco quarantasette. Pamjat', il nazionalbolscevismo e Limonov: storia pubblica consolidata, Livello A sui fatti editoriali e di cronaca.</w:t>
      </w:r>
    </w:p>
    <w:p>
      <w:pPr>
        <w:spacing w:after="120" w:line="276"/>
        <w:jc w:val="both"/>
      </w:pPr>
      <w:r>
        <w:rPr>
          <w:rFonts w:ascii="Barlow Semi Condensed" w:cs="Barlow Semi Condensed" w:eastAsia="Barlow Semi Condensed" w:hAnsi="Barlow Semi Condensed"/>
          <w:sz w:val="24"/>
          <w:szCs w:val="24"/>
        </w:rPr>
        <w:t xml:space="preserve">Blocco quarantotto. L'incontro con Mutti del millenovecentonovanta e Continente Russia: documentazione d'area convergente, Livello B.</w:t>
      </w:r>
    </w:p>
    <w:p>
      <w:pPr>
        <w:spacing w:after="120" w:line="276"/>
        <w:jc w:val="both"/>
      </w:pPr>
      <w:r>
        <w:rPr>
          <w:rFonts w:ascii="Barlow Semi Condensed" w:cs="Barlow Semi Condensed" w:eastAsia="Barlow Semi Condensed" w:hAnsi="Barlow Semi Condensed"/>
          <w:sz w:val="24"/>
          <w:szCs w:val="24"/>
        </w:rPr>
        <w:t xml:space="preserve">Blocco quarantanove. La missione moscovita di Thiriart dell'agosto millenovecentonovantadue: già certificata, Livello A, con Schneider, Terracciano e Battarra.</w:t>
      </w:r>
    </w:p>
    <w:p>
      <w:pPr>
        <w:spacing w:after="120" w:line="276"/>
        <w:jc w:val="both"/>
      </w:pPr>
      <w:r>
        <w:rPr>
          <w:rFonts w:ascii="Barlow Semi Condensed" w:cs="Barlow Semi Condensed" w:eastAsia="Barlow Semi Condensed" w:hAnsi="Barlow Semi Condensed"/>
          <w:sz w:val="24"/>
          <w:szCs w:val="24"/>
        </w:rPr>
        <w:t xml:space="preserve">Blocco cinquanta. L'ingresso in Elementi: Livello B documentale.</w:t>
      </w:r>
    </w:p>
    <w:p>
      <w:pPr>
        <w:spacing w:after="120" w:line="276"/>
        <w:jc w:val="both"/>
      </w:pPr>
      <w:r>
        <w:rPr>
          <w:rFonts w:ascii="Barlow Semi Condensed" w:cs="Barlow Semi Condensed" w:eastAsia="Barlow Semi Condensed" w:hAnsi="Barlow Semi Condensed"/>
          <w:sz w:val="24"/>
          <w:szCs w:val="24"/>
        </w:rPr>
        <w:t xml:space="preserve">Blocco cinquantuno. De Benoist, Steuckers, Bouchet: fatti pubblici a Livello A; la funzione di legittimazione è qualifica attribuita.</w:t>
      </w:r>
    </w:p>
    <w:p>
      <w:pPr>
        <w:spacing w:after="120" w:line="276"/>
        <w:jc w:val="both"/>
      </w:pPr>
      <w:r>
        <w:rPr>
          <w:rFonts w:ascii="Barlow Semi Condensed" w:cs="Barlow Semi Condensed" w:eastAsia="Barlow Semi Condensed" w:hAnsi="Barlow Semi Condensed"/>
          <w:sz w:val="24"/>
          <w:szCs w:val="24"/>
        </w:rPr>
        <w:t xml:space="preserve">Blocco cinquantadue. I Fondamenti di Geopolitica del millenovecentonovantasette: pubblicazione a Livello A; l'adozione come testo di studio nelle accademie militari è dato di letteratura a Livello B; la portata dell'influenza resta dibattuta, come il documento stesso dichiara.</w:t>
      </w:r>
    </w:p>
    <w:p>
      <w:pPr>
        <w:spacing w:after="120" w:line="276"/>
        <w:jc w:val="both"/>
      </w:pPr>
      <w:r>
        <w:rPr>
          <w:rFonts w:ascii="Barlow Semi Condensed" w:cs="Barlow Semi Condensed" w:eastAsia="Barlow Semi Condensed" w:hAnsi="Barlow Semi Condensed"/>
          <w:sz w:val="24"/>
          <w:szCs w:val="24"/>
        </w:rPr>
        <w:t xml:space="preserve">Blocco cinquantatré. Le raccomandazioni operative e le coincidenze successive: la coincidenza testuale è verificabile a Livello A; l'inferenza causale è vietata dalla Regola Ferrea.</w:t>
      </w:r>
    </w:p>
    <w:p>
      <w:pPr>
        <w:spacing w:after="120" w:line="276"/>
        <w:jc w:val="both"/>
      </w:pPr>
      <w:r>
        <w:rPr>
          <w:rFonts w:ascii="Barlow Semi Condensed" w:cs="Barlow Semi Condensed" w:eastAsia="Barlow Semi Condensed" w:hAnsi="Barlow Semi Condensed"/>
          <w:sz w:val="24"/>
          <w:szCs w:val="24"/>
        </w:rPr>
        <w:t xml:space="preserve">Blocco cinquantaquattro. Il Partito Eurasia del duemilauno: registrazione riferita, Livello B; la qualifica di veterano del KGB per Suslov resta attribuita.</w:t>
      </w:r>
    </w:p>
    <w:p>
      <w:pPr>
        <w:spacing w:after="120" w:line="276"/>
        <w:jc w:val="both"/>
      </w:pPr>
      <w:r>
        <w:rPr>
          <w:rFonts w:ascii="Barlow Semi Condensed" w:cs="Barlow Semi Condensed" w:eastAsia="Barlow Semi Condensed" w:hAnsi="Barlow Semi Condensed"/>
          <w:sz w:val="24"/>
          <w:szCs w:val="24"/>
        </w:rPr>
        <w:t xml:space="preserve">Capitolo terzo — L'infiltrazione nella Lega (blocchi cinquantacinque–sessantaquattro)</w:t>
      </w:r>
    </w:p>
    <w:p>
      <w:pPr>
        <w:spacing w:after="120" w:line="276"/>
        <w:jc w:val="both"/>
      </w:pPr>
      <w:r>
        <w:rPr>
          <w:rFonts w:ascii="Barlow Semi Condensed" w:cs="Barlow Semi Condensed" w:eastAsia="Barlow Semi Condensed" w:hAnsi="Barlow Semi Condensed"/>
          <w:sz w:val="24"/>
          <w:szCs w:val="24"/>
        </w:rPr>
        <w:t xml:space="preserve">Blocco cinquantacinque. La testimonianza Battarra sui nove fondatori: dichiarativo a Livello C, già discusso nella seconda tranche.</w:t>
      </w:r>
    </w:p>
    <w:p>
      <w:pPr>
        <w:spacing w:after="120" w:line="276"/>
        <w:jc w:val="both"/>
      </w:pPr>
      <w:r>
        <w:rPr>
          <w:rFonts w:ascii="Barlow Semi Condensed" w:cs="Barlow Semi Condensed" w:eastAsia="Barlow Semi Condensed" w:hAnsi="Barlow Semi Condensed"/>
          <w:sz w:val="24"/>
          <w:szCs w:val="24"/>
        </w:rPr>
        <w:t xml:space="preserve">Blocco cinquantasei. Savoini: già certificato ai blocchi sedici-diciassette; i dettagli familiari privati riferiti dal documento sono esclusi dal registro per non necessità.</w:t>
      </w:r>
    </w:p>
    <w:p>
      <w:pPr>
        <w:spacing w:after="120" w:line="276"/>
        <w:jc w:val="both"/>
      </w:pPr>
      <w:r>
        <w:rPr>
          <w:rFonts w:ascii="Barlow Semi Condensed" w:cs="Barlow Semi Condensed" w:eastAsia="Barlow Semi Condensed" w:hAnsi="Barlow Semi Condensed"/>
          <w:sz w:val="24"/>
          <w:szCs w:val="24"/>
        </w:rPr>
        <w:t xml:space="preserve">Blocco cinquantasette. Il gramscismo di destra: autodefinizione di Murelli, Livello A come dichiarazione attribuita.</w:t>
      </w:r>
    </w:p>
    <w:p>
      <w:pPr>
        <w:spacing w:after="120" w:line="276"/>
        <w:jc w:val="both"/>
      </w:pPr>
      <w:r>
        <w:rPr>
          <w:rFonts w:ascii="Barlow Semi Condensed" w:cs="Barlow Semi Condensed" w:eastAsia="Barlow Semi Condensed" w:hAnsi="Barlow Semi Condensed"/>
          <w:sz w:val="24"/>
          <w:szCs w:val="24"/>
        </w:rPr>
        <w:t xml:space="preserve">Blocco cinquantotto. Adinolfi, Fiore e Terza Posizione: fatti giudiziari storici a Livello A; il ruolo direttivo in Orion a Livello B.</w:t>
      </w:r>
    </w:p>
    <w:p>
      <w:pPr>
        <w:spacing w:after="120" w:line="276"/>
        <w:jc w:val="both"/>
      </w:pPr>
      <w:r>
        <w:rPr>
          <w:rFonts w:ascii="Barlow Semi Condensed" w:cs="Barlow Semi Condensed" w:eastAsia="Barlow Semi Condensed" w:hAnsi="Barlow Semi Condensed"/>
          <w:sz w:val="24"/>
          <w:szCs w:val="24"/>
        </w:rPr>
        <w:t xml:space="preserve">Blocco cinquantanove. Concutelli: la condanna definitiva per l'omicidio Occorsio del dieci luglio millenovecentosettantasei sta a Livello A; la collocazione della sede romana di Barbarossa è dato del documento a Livello C, da riscontrare.</w:t>
      </w:r>
    </w:p>
    <w:p>
      <w:pPr>
        <w:spacing w:after="120" w:line="276"/>
        <w:jc w:val="both"/>
      </w:pPr>
      <w:r>
        <w:rPr>
          <w:rFonts w:ascii="Barlow Semi Condensed" w:cs="Barlow Semi Condensed" w:eastAsia="Barlow Semi Condensed" w:hAnsi="Barlow Semi Condensed"/>
          <w:sz w:val="24"/>
          <w:szCs w:val="24"/>
        </w:rPr>
        <w:t xml:space="preserve">Blocco sessanta. Il congresso di Torino del dicembre duemilatredici e la presentazione di Komov: episodio riferito da stampa investigativa, Livello B.</w:t>
      </w:r>
    </w:p>
    <w:p>
      <w:pPr>
        <w:spacing w:after="120" w:line="276"/>
        <w:jc w:val="both"/>
      </w:pPr>
      <w:r>
        <w:rPr>
          <w:rFonts w:ascii="Barlow Semi Condensed" w:cs="Barlow Semi Condensed" w:eastAsia="Barlow Semi Condensed" w:hAnsi="Barlow Semi Condensed"/>
          <w:sz w:val="24"/>
          <w:szCs w:val="24"/>
        </w:rPr>
        <w:t xml:space="preserve">Blocco sessantuno. La fondazione dell'Associazione Lombardia-Russia del cinque febbraio duemilaquattordici in via Colombi diciotto: corpus e conferma d'agenzia, Livello A.</w:t>
      </w:r>
    </w:p>
    <w:p>
      <w:pPr>
        <w:spacing w:after="120" w:line="276"/>
        <w:jc w:val="both"/>
      </w:pPr>
      <w:r>
        <w:rPr>
          <w:rFonts w:ascii="Barlow Semi Condensed" w:cs="Barlow Semi Condensed" w:eastAsia="Barlow Semi Condensed" w:hAnsi="Barlow Semi Condensed"/>
          <w:sz w:val="24"/>
          <w:szCs w:val="24"/>
        </w:rPr>
        <w:t xml:space="preserve">Blocco sessantadue. Max Ferrari: ruoli pubblici a Livello A.</w:t>
      </w:r>
    </w:p>
    <w:p>
      <w:pPr>
        <w:spacing w:after="120" w:line="276"/>
        <w:jc w:val="both"/>
      </w:pPr>
      <w:r>
        <w:rPr>
          <w:rFonts w:ascii="Barlow Semi Condensed" w:cs="Barlow Semi Condensed" w:eastAsia="Barlow Semi Condensed" w:hAnsi="Barlow Semi Condensed"/>
          <w:sz w:val="24"/>
          <w:szCs w:val="24"/>
        </w:rPr>
        <w:t xml:space="preserve">Blocco sessantatré. D'Amico e la società moscovita con registri cancellati: attribuzione d'inchiesta, Livello C su vivente.</w:t>
      </w:r>
    </w:p>
    <w:p>
      <w:pPr>
        <w:spacing w:after="120" w:line="276"/>
        <w:jc w:val="both"/>
      </w:pPr>
      <w:r>
        <w:rPr>
          <w:rFonts w:ascii="Barlow Semi Condensed" w:cs="Barlow Semi Condensed" w:eastAsia="Barlow Semi Condensed" w:hAnsi="Barlow Semi Condensed"/>
          <w:sz w:val="24"/>
          <w:szCs w:val="24"/>
        </w:rPr>
        <w:t xml:space="preserve">Blocco sessantaquattro. La rete delle associazioni regionali: documentale, Livello B.</w:t>
      </w:r>
    </w:p>
    <w:p>
      <w:pPr>
        <w:spacing w:after="120" w:line="276"/>
        <w:jc w:val="both"/>
      </w:pPr>
      <w:r>
        <w:rPr>
          <w:rFonts w:ascii="Barlow Semi Condensed" w:cs="Barlow Semi Condensed" w:eastAsia="Barlow Semi Condensed" w:hAnsi="Barlow Semi Condensed"/>
          <w:sz w:val="24"/>
          <w:szCs w:val="24"/>
        </w:rPr>
        <w:t xml:space="preserve">Capitolo quarto — Malofeev, Komov e il canale finanziario (blocchi sessantacinque–settantaquattro)</w:t>
      </w:r>
    </w:p>
    <w:p>
      <w:pPr>
        <w:spacing w:after="120" w:line="276"/>
        <w:jc w:val="both"/>
      </w:pPr>
      <w:r>
        <w:rPr>
          <w:rFonts w:ascii="Barlow Semi Condensed" w:cs="Barlow Semi Condensed" w:eastAsia="Barlow Semi Condensed" w:hAnsi="Barlow Semi Condensed"/>
          <w:sz w:val="24"/>
          <w:szCs w:val="24"/>
        </w:rPr>
        <w:t xml:space="preserve">Blocco sessantacinque. Malofeev, Marshall Capital e la Fondazione San Basilio: la designazione OFAC del dicembre duemilaquattordici sta a Livello A; la qualifica di finanziatore del separatismo è la motivazione della designazione, riportata come tale.</w:t>
      </w:r>
    </w:p>
    <w:p>
      <w:pPr>
        <w:spacing w:after="120" w:line="276"/>
        <w:jc w:val="both"/>
      </w:pPr>
      <w:r>
        <w:rPr>
          <w:rFonts w:ascii="Barlow Semi Condensed" w:cs="Barlow Semi Condensed" w:eastAsia="Barlow Semi Condensed" w:hAnsi="Barlow Semi Condensed"/>
          <w:sz w:val="24"/>
          <w:szCs w:val="24"/>
        </w:rPr>
        <w:t xml:space="preserve">Blocco sessantasei. Tsargrad e Hanick: le incriminazioni statunitensi dell'aprile duemilaventidue stanno a Livello A quali atti; l'etichetta giornalistica resta tale.</w:t>
      </w:r>
    </w:p>
    <w:p>
      <w:pPr>
        <w:spacing w:after="120" w:line="276"/>
        <w:jc w:val="both"/>
      </w:pPr>
      <w:r>
        <w:rPr>
          <w:rFonts w:ascii="Barlow Semi Condensed" w:cs="Barlow Semi Condensed" w:eastAsia="Barlow Semi Condensed" w:hAnsi="Barlow Semi Condensed"/>
          <w:sz w:val="24"/>
          <w:szCs w:val="24"/>
        </w:rPr>
        <w:t xml:space="preserve">Blocco sessantasette. Komov e il Congresso Mondiale delle Famiglie: ruolo pubblico ventennale, Livello A.</w:t>
      </w:r>
    </w:p>
    <w:p>
      <w:pPr>
        <w:spacing w:after="120" w:line="276"/>
        <w:jc w:val="both"/>
      </w:pPr>
      <w:r>
        <w:rPr>
          <w:rFonts w:ascii="Barlow Semi Condensed" w:cs="Barlow Semi Condensed" w:eastAsia="Barlow Semi Condensed" w:hAnsi="Barlow Semi Condensed"/>
          <w:sz w:val="24"/>
          <w:szCs w:val="24"/>
        </w:rPr>
        <w:t xml:space="preserve">Blocco sessantotto. CitizenGO, Hazte Oir e la rete conservatrice: collegamenti riferiti da inchieste, Livello C attribuito.</w:t>
      </w:r>
    </w:p>
    <w:p>
      <w:pPr>
        <w:spacing w:after="120" w:line="276"/>
        <w:jc w:val="both"/>
      </w:pPr>
      <w:r>
        <w:rPr>
          <w:rFonts w:ascii="Barlow Semi Condensed" w:cs="Barlow Semi Condensed" w:eastAsia="Barlow Semi Condensed" w:hAnsi="Barlow Semi Condensed"/>
          <w:sz w:val="24"/>
          <w:szCs w:val="24"/>
        </w:rPr>
        <w:t xml:space="preserve">Blocco sessantanove. Le email Saltaj Boltaj e il collegamento Komov-Fiore: materiale di provenienza illecita non verificabile in modo indipendente: Livello C con statuto dichiarato.</w:t>
      </w:r>
    </w:p>
    <w:p>
      <w:pPr>
        <w:spacing w:after="120" w:line="276"/>
        <w:jc w:val="both"/>
      </w:pPr>
      <w:r>
        <w:rPr>
          <w:rFonts w:ascii="Barlow Semi Condensed" w:cs="Barlow Semi Condensed" w:eastAsia="Barlow Semi Condensed" w:hAnsi="Barlow Semi Condensed"/>
          <w:sz w:val="24"/>
          <w:szCs w:val="24"/>
        </w:rPr>
        <w:t xml:space="preserve">Blocco settanta. L'incriminazione di Komov del dodici dicembre duemilaventiquattro: verificato ora sulla fonte primaria della Procura di New York, Livello A quale atto d'accusa; presunzione di innocenza integrale; latitante.</w:t>
      </w:r>
    </w:p>
    <w:p>
      <w:pPr>
        <w:spacing w:after="120" w:line="276"/>
        <w:jc w:val="both"/>
      </w:pPr>
      <w:r>
        <w:rPr>
          <w:rFonts w:ascii="Barlow Semi Condensed" w:cs="Barlow Semi Condensed" w:eastAsia="Barlow Semi Condensed" w:hAnsi="Barlow Semi Condensed"/>
          <w:sz w:val="24"/>
          <w:szCs w:val="24"/>
        </w:rPr>
        <w:t xml:space="preserve">Blocco settantuno. La chiusura di KleptoCapture: verificato ora; lo scioglimento è del memorandum del cinque febbraio duemilaventicinque; rilievo critico di datazione sul documento, che indica il gennaio.</w:t>
      </w:r>
    </w:p>
    <w:p>
      <w:pPr>
        <w:spacing w:after="120" w:line="276"/>
        <w:jc w:val="both"/>
      </w:pPr>
      <w:r>
        <w:rPr>
          <w:rFonts w:ascii="Barlow Semi Condensed" w:cs="Barlow Semi Condensed" w:eastAsia="Barlow Semi Condensed" w:hAnsi="Barlow Semi Condensed"/>
          <w:sz w:val="24"/>
          <w:szCs w:val="24"/>
        </w:rPr>
        <w:t xml:space="preserve">Blocco settantadue. Il Congresso Mondiale delle Famiglie di Verona duemiladiciannove: evento a Livello A; la lettura come piattaforma resta tesi attribuita.</w:t>
      </w:r>
    </w:p>
    <w:p>
      <w:pPr>
        <w:spacing w:after="120" w:line="276"/>
        <w:jc w:val="both"/>
      </w:pPr>
      <w:r>
        <w:rPr>
          <w:rFonts w:ascii="Barlow Semi Condensed" w:cs="Barlow Semi Condensed" w:eastAsia="Barlow Semi Condensed" w:hAnsi="Barlow Semi Condensed"/>
          <w:sz w:val="24"/>
          <w:szCs w:val="24"/>
        </w:rPr>
        <w:t xml:space="preserve">Blocco settantatré. Dar'ja Dugina: verificato ora; morte del venti agosto duemilaventidue a Livello A; attribuzioni delle parti riportate come posizioni, nessun accertamento giudiziario terzo.</w:t>
      </w:r>
    </w:p>
    <w:p>
      <w:pPr>
        <w:spacing w:after="120" w:line="276"/>
        <w:jc w:val="both"/>
      </w:pPr>
      <w:r>
        <w:rPr>
          <w:rFonts w:ascii="Barlow Semi Condensed" w:cs="Barlow Semi Condensed" w:eastAsia="Barlow Semi Condensed" w:hAnsi="Barlow Semi Condensed"/>
          <w:sz w:val="24"/>
          <w:szCs w:val="24"/>
        </w:rPr>
        <w:t xml:space="preserve">Blocco settantaquattro. Alliata di Villafranca e il congresso dei russofili: partecipazione riferita, Livello C; il quadro del Movimento dei Russofili è certificato alla prima tranche.</w:t>
      </w:r>
    </w:p>
    <w:p>
      <w:pPr>
        <w:spacing w:after="120" w:line="276"/>
        <w:jc w:val="both"/>
      </w:pPr>
      <w:r>
        <w:rPr>
          <w:rFonts w:ascii="Barlow Semi Condensed" w:cs="Barlow Semi Condensed" w:eastAsia="Barlow Semi Condensed" w:hAnsi="Barlow Semi Condensed"/>
          <w:sz w:val="24"/>
          <w:szCs w:val="24"/>
        </w:rPr>
        <w:t xml:space="preserve">Capitolo quinto — Crimea e la mobilitazione delle reti (blocchi settantacinque–ottantaquattro)</w:t>
      </w:r>
    </w:p>
    <w:p>
      <w:pPr>
        <w:spacing w:after="120" w:line="276"/>
        <w:jc w:val="both"/>
      </w:pPr>
      <w:r>
        <w:rPr>
          <w:rFonts w:ascii="Barlow Semi Condensed" w:cs="Barlow Semi Condensed" w:eastAsia="Barlow Semi Condensed" w:hAnsi="Barlow Semi Condensed"/>
          <w:sz w:val="24"/>
          <w:szCs w:val="24"/>
        </w:rPr>
        <w:t xml:space="preserve">Blocco settantacinque. L'archivio Mirzakhanian e l'inchiesta consortile del tre febbraio duemilaventitré: attribuzione su materiale hackerato: Livello C con statuto, nonostante la convergenza delle testate.</w:t>
      </w:r>
    </w:p>
    <w:p>
      <w:pPr>
        <w:spacing w:after="120" w:line="276"/>
        <w:jc w:val="both"/>
      </w:pPr>
      <w:r>
        <w:rPr>
          <w:rFonts w:ascii="Barlow Semi Condensed" w:cs="Barlow Semi Condensed" w:eastAsia="Barlow Semi Condensed" w:hAnsi="Barlow Semi Condensed"/>
          <w:sz w:val="24"/>
          <w:szCs w:val="24"/>
        </w:rPr>
        <w:t xml:space="preserve">Blocco settantasei. La risoluzione veneta del diciotto maggio duemilasedici: l'atto è pubblico, Livello A; la genesi moscovita è attribuzione a Livello B.</w:t>
      </w:r>
    </w:p>
    <w:p>
      <w:pPr>
        <w:spacing w:after="120" w:line="276"/>
        <w:jc w:val="both"/>
      </w:pPr>
      <w:r>
        <w:rPr>
          <w:rFonts w:ascii="Barlow Semi Condensed" w:cs="Barlow Semi Condensed" w:eastAsia="Barlow Semi Condensed" w:hAnsi="Barlow Semi Condensed"/>
          <w:sz w:val="24"/>
          <w:szCs w:val="24"/>
        </w:rPr>
        <w:t xml:space="preserve">Blocco settantasette. Valdegamberi: le missioni di osservazione risultano dal database EPDE e da atti pubblici, Livello B; per il vivente valgono i soli fatti pubblici.</w:t>
      </w:r>
    </w:p>
    <w:p>
      <w:pPr>
        <w:spacing w:after="120" w:line="276"/>
        <w:jc w:val="both"/>
      </w:pPr>
      <w:r>
        <w:rPr>
          <w:rFonts w:ascii="Barlow Semi Condensed" w:cs="Barlow Semi Condensed" w:eastAsia="Barlow Semi Condensed" w:hAnsi="Barlow Semi Condensed"/>
          <w:sz w:val="24"/>
          <w:szCs w:val="24"/>
        </w:rPr>
        <w:t xml:space="preserve">Blocco settantotto. L'effetto cascata regionale: gli atti sono pubblici a Livello A; la regia unitaria resta tesi a Livello C.</w:t>
      </w:r>
    </w:p>
    <w:p>
      <w:pPr>
        <w:spacing w:after="120" w:line="276"/>
        <w:jc w:val="both"/>
      </w:pPr>
      <w:r>
        <w:rPr>
          <w:rFonts w:ascii="Barlow Semi Condensed" w:cs="Barlow Semi Condensed" w:eastAsia="Barlow Semi Condensed" w:hAnsi="Barlow Semi Condensed"/>
          <w:sz w:val="24"/>
          <w:szCs w:val="24"/>
        </w:rPr>
        <w:t xml:space="preserve">Blocco settantanove. Stovbun, nome in codice Erudito: convergenza tra inchiesta Shekhovtsov e conferma del servizio lettone VDD: Livello B.</w:t>
      </w:r>
    </w:p>
    <w:p>
      <w:pPr>
        <w:spacing w:after="120" w:line="276"/>
        <w:jc w:val="both"/>
      </w:pPr>
      <w:r>
        <w:rPr>
          <w:rFonts w:ascii="Barlow Semi Condensed" w:cs="Barlow Semi Condensed" w:eastAsia="Barlow Semi Condensed" w:hAnsi="Barlow Semi Condensed"/>
          <w:sz w:val="24"/>
          <w:szCs w:val="24"/>
        </w:rPr>
        <w:t xml:space="preserve">Blocco ottanta. Bertolasi, nome in codice Scrittore: la qualifica di risorsa gestita è attribuzione delle medesime fonti, Livello C su vivente; i fatti biografici pubblici stanno a Livello A.</w:t>
      </w:r>
    </w:p>
    <w:p>
      <w:pPr>
        <w:spacing w:after="120" w:line="276"/>
        <w:jc w:val="both"/>
      </w:pPr>
      <w:r>
        <w:rPr>
          <w:rFonts w:ascii="Barlow Semi Condensed" w:cs="Barlow Semi Condensed" w:eastAsia="Barlow Semi Condensed" w:hAnsi="Barlow Semi Condensed"/>
          <w:sz w:val="24"/>
          <w:szCs w:val="24"/>
        </w:rPr>
        <w:t xml:space="preserve">Blocco ottantuno. La rete internazionale di Stovbun: attribuito, Livello C.</w:t>
      </w:r>
    </w:p>
    <w:p>
      <w:pPr>
        <w:spacing w:after="120" w:line="276"/>
        <w:jc w:val="both"/>
      </w:pPr>
      <w:r>
        <w:rPr>
          <w:rFonts w:ascii="Barlow Semi Condensed" w:cs="Barlow Semi Condensed" w:eastAsia="Barlow Semi Condensed" w:hAnsi="Barlow Semi Condensed"/>
          <w:sz w:val="24"/>
          <w:szCs w:val="24"/>
        </w:rPr>
        <w:t xml:space="preserve">Blocco ottantadue. Bobirs: arresto dell'agosto duemilaventitré e morte in custodia nel novembre successivo, Livello A di cronaca giudiziaria lettone.</w:t>
      </w:r>
    </w:p>
    <w:p>
      <w:pPr>
        <w:spacing w:after="120" w:line="276"/>
        <w:jc w:val="both"/>
      </w:pPr>
      <w:r>
        <w:rPr>
          <w:rFonts w:ascii="Barlow Semi Condensed" w:cs="Barlow Semi Condensed" w:eastAsia="Barlow Semi Condensed" w:hAnsi="Barlow Semi Condensed"/>
          <w:sz w:val="24"/>
          <w:szCs w:val="24"/>
        </w:rPr>
        <w:t xml:space="preserve">Blocco ottantatré. Zoccatelli e il centro di Verona del nove febbraio duemiladiciannove: evento pubblico, Livello A.</w:t>
      </w:r>
    </w:p>
    <w:p>
      <w:pPr>
        <w:spacing w:after="120" w:line="276"/>
        <w:jc w:val="both"/>
      </w:pPr>
      <w:r>
        <w:rPr>
          <w:rFonts w:ascii="Barlow Semi Condensed" w:cs="Barlow Semi Condensed" w:eastAsia="Barlow Semi Condensed" w:hAnsi="Barlow Semi Condensed"/>
          <w:sz w:val="24"/>
          <w:szCs w:val="24"/>
        </w:rPr>
        <w:t xml:space="preserve">Blocco ottantaquattro. Sandonà e il rifiuto del marzo duemilaventidue: dichiarazioni pubbliche, Livello A come dichiarazioni.</w:t>
      </w:r>
    </w:p>
    <w:p>
      <w:pPr>
        <w:spacing w:after="120" w:line="276"/>
        <w:jc w:val="both"/>
      </w:pPr>
      <w:r>
        <w:rPr>
          <w:rFonts w:ascii="Barlow Semi Condensed" w:cs="Barlow Semi Condensed" w:eastAsia="Barlow Semi Condensed" w:hAnsi="Barlow Semi Condensed"/>
          <w:sz w:val="24"/>
          <w:szCs w:val="24"/>
        </w:rPr>
        <w:t xml:space="preserve">Capitolo sesto — L'affare Metropol (blocchi ottantacinque–novantaquattro)</w:t>
      </w:r>
    </w:p>
    <w:p>
      <w:pPr>
        <w:spacing w:after="120" w:line="276"/>
        <w:jc w:val="both"/>
      </w:pPr>
      <w:r>
        <w:rPr>
          <w:rFonts w:ascii="Barlow Semi Condensed" w:cs="Barlow Semi Condensed" w:eastAsia="Barlow Semi Condensed" w:hAnsi="Barlow Semi Condensed"/>
          <w:sz w:val="24"/>
          <w:szCs w:val="24"/>
        </w:rPr>
        <w:t xml:space="preserve">Blocco ottantacinque. L'incontro romano del venticinque settembre duemiladiciotto: riferito da stampa, Livello B.</w:t>
      </w:r>
    </w:p>
    <w:p>
      <w:pPr>
        <w:spacing w:after="120" w:line="276"/>
        <w:jc w:val="both"/>
      </w:pPr>
      <w:r>
        <w:rPr>
          <w:rFonts w:ascii="Barlow Semi Condensed" w:cs="Barlow Semi Condensed" w:eastAsia="Barlow Semi Condensed" w:hAnsi="Barlow Semi Condensed"/>
          <w:sz w:val="24"/>
          <w:szCs w:val="24"/>
        </w:rPr>
        <w:t xml:space="preserve">Blocco ottantasei. La cena al Ruski e l'incontro riferito con Kozak: attribuzione giornalistica mai tradotta in addebito; vale il richiamo vincolante del blocco ventuno: mai indagato.</w:t>
      </w:r>
    </w:p>
    <w:p>
      <w:pPr>
        <w:spacing w:after="120" w:line="276"/>
        <w:jc w:val="both"/>
      </w:pPr>
      <w:r>
        <w:rPr>
          <w:rFonts w:ascii="Barlow Semi Condensed" w:cs="Barlow Semi Condensed" w:eastAsia="Barlow Semi Condensed" w:hAnsi="Barlow Semi Condensed"/>
          <w:sz w:val="24"/>
          <w:szCs w:val="24"/>
        </w:rPr>
        <w:t xml:space="preserve">Blocco ottantasette. La registrazione del diciotto ottobre duemiladiciotto: già certificata al blocco venti, Livello A.</w:t>
      </w:r>
    </w:p>
    <w:p>
      <w:pPr>
        <w:spacing w:after="120" w:line="276"/>
        <w:jc w:val="both"/>
      </w:pPr>
      <w:r>
        <w:rPr>
          <w:rFonts w:ascii="Barlow Semi Condensed" w:cs="Barlow Semi Condensed" w:eastAsia="Barlow Semi Condensed" w:hAnsi="Barlow Semi Condensed"/>
          <w:sz w:val="24"/>
          <w:szCs w:val="24"/>
        </w:rPr>
        <w:t xml:space="preserve">Blocco ottantotto. L'identificazione di Kharchenko del sei febbraio duemilaventiquattro: attribuzione di The Insider su dati trapelati, riscontrata dal corpus: Livello B.</w:t>
      </w:r>
    </w:p>
    <w:p>
      <w:pPr>
        <w:spacing w:after="120" w:line="276"/>
        <w:jc w:val="both"/>
      </w:pPr>
      <w:r>
        <w:rPr>
          <w:rFonts w:ascii="Barlow Semi Condensed" w:cs="Barlow Semi Condensed" w:eastAsia="Barlow Semi Condensed" w:hAnsi="Barlow Semi Condensed"/>
          <w:sz w:val="24"/>
          <w:szCs w:val="24"/>
        </w:rPr>
        <w:t xml:space="preserve">Blocco ottantanove. Il Quinto Servizio dell'FSB: descrizione di struttura dalla letteratura d'intelligence, Livello B.</w:t>
      </w:r>
    </w:p>
    <w:p>
      <w:pPr>
        <w:spacing w:after="120" w:line="276"/>
        <w:jc w:val="both"/>
      </w:pPr>
      <w:r>
        <w:rPr>
          <w:rFonts w:ascii="Barlow Semi Condensed" w:cs="Barlow Semi Condensed" w:eastAsia="Barlow Semi Condensed" w:hAnsi="Barlow Semi Condensed"/>
          <w:sz w:val="24"/>
          <w:szCs w:val="24"/>
        </w:rPr>
        <w:t xml:space="preserve">Blocco novanta. Jakunin e Pligin: attribuito, Livello B.</w:t>
      </w:r>
    </w:p>
    <w:p>
      <w:pPr>
        <w:spacing w:after="120" w:line="276"/>
        <w:jc w:val="both"/>
      </w:pPr>
      <w:r>
        <w:rPr>
          <w:rFonts w:ascii="Barlow Semi Condensed" w:cs="Barlow Semi Condensed" w:eastAsia="Barlow Semi Condensed" w:hAnsi="Barlow Semi Condensed"/>
          <w:sz w:val="24"/>
          <w:szCs w:val="24"/>
        </w:rPr>
        <w:t xml:space="preserve">Blocco novantuno. L'incontro riferito all'hotel Lotte dai file Jakusev: materiale trapelato, Livello C con statuto; nessun rilievo giudiziario; formulazione garantista obbligatoria.</w:t>
      </w:r>
    </w:p>
    <w:p>
      <w:pPr>
        <w:spacing w:after="120" w:line="276"/>
        <w:jc w:val="both"/>
      </w:pPr>
      <w:r>
        <w:rPr>
          <w:rFonts w:ascii="Barlow Semi Condensed" w:cs="Barlow Semi Condensed" w:eastAsia="Barlow Semi Condensed" w:hAnsi="Barlow Semi Condensed"/>
          <w:sz w:val="24"/>
          <w:szCs w:val="24"/>
        </w:rPr>
        <w:t xml:space="preserve">Blocco novantadue. L'archiviazione del ventisette aprile duemilaventitré: già certificata al blocco ventuno; formulazione integrale vincolante.</w:t>
      </w:r>
    </w:p>
    <w:p>
      <w:pPr>
        <w:spacing w:after="120" w:line="276"/>
        <w:jc w:val="both"/>
      </w:pPr>
      <w:r>
        <w:rPr>
          <w:rFonts w:ascii="Barlow Semi Condensed" w:cs="Barlow Semi Condensed" w:eastAsia="Barlow Semi Condensed" w:hAnsi="Barlow Semi Condensed"/>
          <w:sz w:val="24"/>
          <w:szCs w:val="24"/>
        </w:rPr>
        <w:t xml:space="preserve">Blocco novantatré. Le richieste di riapertura del duemilaventiquattro: atti e dichiarazioni pubbliche a Livello A come tali; nessuna riapertura risulta intervenuta.</w:t>
      </w:r>
    </w:p>
    <w:p>
      <w:pPr>
        <w:spacing w:after="120" w:line="276"/>
        <w:jc w:val="both"/>
      </w:pPr>
      <w:r>
        <w:rPr>
          <w:rFonts w:ascii="Barlow Semi Condensed" w:cs="Barlow Semi Condensed" w:eastAsia="Barlow Semi Condensed" w:hAnsi="Barlow Semi Condensed"/>
          <w:sz w:val="24"/>
          <w:szCs w:val="24"/>
        </w:rPr>
        <w:t xml:space="preserve">Blocco novantaquattro. Sergienko e l'infiltrazione dell'AfD: caso tedesco riferito da inchieste e atti, Livello B.</w:t>
      </w:r>
    </w:p>
    <w:p>
      <w:pPr>
        <w:spacing w:after="120" w:line="276"/>
        <w:jc w:val="both"/>
      </w:pPr>
      <w:r>
        <w:rPr>
          <w:rFonts w:ascii="Barlow Semi Condensed" w:cs="Barlow Semi Condensed" w:eastAsia="Barlow Semi Condensed" w:hAnsi="Barlow Semi Condensed"/>
          <w:sz w:val="24"/>
          <w:szCs w:val="24"/>
        </w:rPr>
        <w:t xml:space="preserve">Capitolo settimo — FSB, GRU e la Fondazione per la Pace (blocchi novantacinque–centoquattro)</w:t>
      </w:r>
    </w:p>
    <w:p>
      <w:pPr>
        <w:spacing w:after="120" w:line="276"/>
        <w:jc w:val="both"/>
      </w:pPr>
      <w:r>
        <w:rPr>
          <w:rFonts w:ascii="Barlow Semi Condensed" w:cs="Barlow Semi Condensed" w:eastAsia="Barlow Semi Condensed" w:hAnsi="Barlow Semi Condensed"/>
          <w:sz w:val="24"/>
          <w:szCs w:val="24"/>
        </w:rPr>
        <w:t xml:space="preserve">Blocco novantacinque. Slutsky: cariche pubbliche, Livello A.</w:t>
      </w:r>
    </w:p>
    <w:p>
      <w:pPr>
        <w:spacing w:after="120" w:line="276"/>
        <w:jc w:val="both"/>
      </w:pPr>
      <w:r>
        <w:rPr>
          <w:rFonts w:ascii="Barlow Semi Condensed" w:cs="Barlow Semi Condensed" w:eastAsia="Barlow Semi Condensed" w:hAnsi="Barlow Semi Condensed"/>
          <w:sz w:val="24"/>
          <w:szCs w:val="24"/>
        </w:rPr>
        <w:t xml:space="preserve">Blocco novantasei. Il canale dei passaporti verso il GRU: inchiesta The Insider-Meduza, riscontrata dal corpus: Livello B.</w:t>
      </w:r>
    </w:p>
    <w:p>
      <w:pPr>
        <w:spacing w:after="120" w:line="276"/>
        <w:jc w:val="both"/>
      </w:pPr>
      <w:r>
        <w:rPr>
          <w:rFonts w:ascii="Barlow Semi Condensed" w:cs="Barlow Semi Condensed" w:eastAsia="Barlow Semi Condensed" w:hAnsi="Barlow Semi Condensed"/>
          <w:sz w:val="24"/>
          <w:szCs w:val="24"/>
        </w:rPr>
        <w:t xml:space="preserve">Blocco novantasette. Il meccanismo del Primo Direttorato Europeo: attribuito, Livello B.</w:t>
      </w:r>
    </w:p>
    <w:p>
      <w:pPr>
        <w:spacing w:after="120" w:line="276"/>
        <w:jc w:val="both"/>
      </w:pPr>
      <w:r>
        <w:rPr>
          <w:rFonts w:ascii="Barlow Semi Condensed" w:cs="Barlow Semi Condensed" w:eastAsia="Barlow Semi Condensed" w:hAnsi="Barlow Semi Condensed"/>
          <w:sz w:val="24"/>
          <w:szCs w:val="24"/>
        </w:rPr>
        <w:t xml:space="preserve">Blocco novantotto. Khodynskaya-Golenishcheva: attribuito, Livello C.</w:t>
      </w:r>
    </w:p>
    <w:p>
      <w:pPr>
        <w:spacing w:after="120" w:line="276"/>
        <w:jc w:val="both"/>
      </w:pPr>
      <w:r>
        <w:rPr>
          <w:rFonts w:ascii="Barlow Semi Condensed" w:cs="Barlow Semi Condensed" w:eastAsia="Barlow Semi Condensed" w:hAnsi="Barlow Semi Condensed"/>
          <w:sz w:val="24"/>
          <w:szCs w:val="24"/>
        </w:rPr>
        <w:t xml:space="preserve">Blocco novantanove. La targa della ventiquattresima Brigata del GRU a Slutsky, settembre duemilaventitré: riferito, Livello B.</w:t>
      </w:r>
    </w:p>
    <w:p>
      <w:pPr>
        <w:spacing w:after="120" w:line="276"/>
        <w:jc w:val="both"/>
      </w:pPr>
      <w:r>
        <w:rPr>
          <w:rFonts w:ascii="Barlow Semi Condensed" w:cs="Barlow Semi Condensed" w:eastAsia="Barlow Semi Condensed" w:hAnsi="Barlow Semi Condensed"/>
          <w:sz w:val="24"/>
          <w:szCs w:val="24"/>
        </w:rPr>
        <w:t xml:space="preserve">Blocco cento. La Camera Civica quale veicolo di reclutamento: attribuito, Livello B.</w:t>
      </w:r>
    </w:p>
    <w:p>
      <w:pPr>
        <w:spacing w:after="120" w:line="276"/>
        <w:jc w:val="both"/>
      </w:pPr>
      <w:r>
        <w:rPr>
          <w:rFonts w:ascii="Barlow Semi Condensed" w:cs="Barlow Semi Condensed" w:eastAsia="Barlow Semi Condensed" w:hAnsi="Barlow Semi Condensed"/>
          <w:sz w:val="24"/>
          <w:szCs w:val="24"/>
        </w:rPr>
        <w:t xml:space="preserve">Blocco centouno. La logistica degli osservatori: testimonianze convergenti, Livello B.</w:t>
      </w:r>
    </w:p>
    <w:p>
      <w:pPr>
        <w:spacing w:after="120" w:line="276"/>
        <w:jc w:val="both"/>
      </w:pPr>
      <w:r>
        <w:rPr>
          <w:rFonts w:ascii="Barlow Semi Condensed" w:cs="Barlow Semi Condensed" w:eastAsia="Barlow Semi Condensed" w:hAnsi="Barlow Semi Condensed"/>
          <w:sz w:val="24"/>
          <w:szCs w:val="24"/>
        </w:rPr>
        <w:t xml:space="preserve">Blocco centodue. I passaporti italiani nei file del GRU, dicembre duemilaventitré: Livello B; il caso nominativo è riscontrato dal corpus.</w:t>
      </w:r>
    </w:p>
    <w:p>
      <w:pPr>
        <w:spacing w:after="120" w:line="276"/>
        <w:jc w:val="both"/>
      </w:pPr>
      <w:r>
        <w:rPr>
          <w:rFonts w:ascii="Barlow Semi Condensed" w:cs="Barlow Semi Condensed" w:eastAsia="Barlow Semi Condensed" w:hAnsi="Barlow Semi Condensed"/>
          <w:sz w:val="24"/>
          <w:szCs w:val="24"/>
        </w:rPr>
        <w:t xml:space="preserve">Blocco centotré. Il caso slovacco Lindtner-Fico: attribuito, Livello B.</w:t>
      </w:r>
    </w:p>
    <w:p>
      <w:pPr>
        <w:spacing w:after="120" w:line="276"/>
        <w:jc w:val="both"/>
      </w:pPr>
      <w:r>
        <w:rPr>
          <w:rFonts w:ascii="Barlow Semi Condensed" w:cs="Barlow Semi Condensed" w:eastAsia="Barlow Semi Condensed" w:hAnsi="Barlow Semi Condensed"/>
          <w:sz w:val="24"/>
          <w:szCs w:val="24"/>
        </w:rPr>
        <w:t xml:space="preserve">Blocco centoquattro. La relazione COPASIR dell'agosto duemilaventidue: fonte parlamentare approvata all'unanimità, Livello A.</w:t>
      </w:r>
    </w:p>
    <w:p>
      <w:pPr>
        <w:spacing w:after="120" w:line="276"/>
        <w:jc w:val="both"/>
      </w:pPr>
      <w:r>
        <w:rPr>
          <w:rFonts w:ascii="Barlow Semi Condensed" w:cs="Barlow Semi Condensed" w:eastAsia="Barlow Semi Condensed" w:hAnsi="Barlow Semi Condensed"/>
          <w:sz w:val="24"/>
          <w:szCs w:val="24"/>
        </w:rPr>
        <w:t xml:space="preserve">Capitolo ottavo — L'ecosistema mediatico (blocchi centocinque–centoquattordici)</w:t>
      </w:r>
    </w:p>
    <w:p>
      <w:pPr>
        <w:spacing w:after="120" w:line="276"/>
        <w:jc w:val="both"/>
      </w:pPr>
      <w:r>
        <w:rPr>
          <w:rFonts w:ascii="Barlow Semi Condensed" w:cs="Barlow Semi Condensed" w:eastAsia="Barlow Semi Condensed" w:hAnsi="Barlow Semi Condensed"/>
          <w:sz w:val="24"/>
          <w:szCs w:val="24"/>
        </w:rPr>
        <w:t xml:space="preserve">Blocco centocinque. Vestuto e l'impero Italeurasia: documentale di corpus, Livello B.</w:t>
      </w:r>
    </w:p>
    <w:p>
      <w:pPr>
        <w:spacing w:after="120" w:line="276"/>
        <w:jc w:val="both"/>
      </w:pPr>
      <w:r>
        <w:rPr>
          <w:rFonts w:ascii="Barlow Semi Condensed" w:cs="Barlow Semi Condensed" w:eastAsia="Barlow Semi Condensed" w:hAnsi="Barlow Semi Condensed"/>
          <w:sz w:val="24"/>
          <w:szCs w:val="24"/>
        </w:rPr>
        <w:t xml:space="preserve">Blocco centosei. Eurasia News TV e il conto bulgaro: documentale d'inchiesta, Livello C.</w:t>
      </w:r>
    </w:p>
    <w:p>
      <w:pPr>
        <w:spacing w:after="120" w:line="276"/>
        <w:jc w:val="both"/>
      </w:pPr>
      <w:r>
        <w:rPr>
          <w:rFonts w:ascii="Barlow Semi Condensed" w:cs="Barlow Semi Condensed" w:eastAsia="Barlow Semi Condensed" w:hAnsi="Barlow Semi Condensed"/>
          <w:sz w:val="24"/>
          <w:szCs w:val="24"/>
        </w:rPr>
        <w:t xml:space="preserve">Blocco centosette. Belcastro e la menzione nel processo Gotha: la sola menzione processuale è riferita; nessun esito è certificato in questa sede: Livello C con obbligo di verifica dell'esito prima di ogni impiego.</w:t>
      </w:r>
    </w:p>
    <w:p>
      <w:pPr>
        <w:spacing w:after="120" w:line="276"/>
        <w:jc w:val="both"/>
      </w:pPr>
      <w:r>
        <w:rPr>
          <w:rFonts w:ascii="Barlow Semi Condensed" w:cs="Barlow Semi Condensed" w:eastAsia="Barlow Semi Condensed" w:hAnsi="Barlow Semi Condensed"/>
          <w:sz w:val="24"/>
          <w:szCs w:val="24"/>
        </w:rPr>
        <w:t xml:space="preserve">Blocco centootto. Lorusso e Donbass Italia: fatti pubblici e residenza dichiarata, Livello B.</w:t>
      </w:r>
    </w:p>
    <w:p>
      <w:pPr>
        <w:spacing w:after="120" w:line="276"/>
        <w:jc w:val="both"/>
      </w:pPr>
      <w:r>
        <w:rPr>
          <w:rFonts w:ascii="Barlow Semi Condensed" w:cs="Barlow Semi Condensed" w:eastAsia="Barlow Semi Condensed" w:hAnsi="Barlow Semi Condensed"/>
          <w:sz w:val="24"/>
          <w:szCs w:val="24"/>
        </w:rPr>
        <w:t xml:space="preserve">Blocco centonove. Lucidi: cittadinanza russa e detenzione in Turchia riferite, Livello B; per il vivente valgono i fatti come riportati.</w:t>
      </w:r>
    </w:p>
    <w:p>
      <w:pPr>
        <w:spacing w:after="120" w:line="276"/>
        <w:jc w:val="both"/>
      </w:pPr>
      <w:r>
        <w:rPr>
          <w:rFonts w:ascii="Barlow Semi Condensed" w:cs="Barlow Semi Condensed" w:eastAsia="Barlow Semi Condensed" w:hAnsi="Barlow Semi Condensed"/>
          <w:sz w:val="24"/>
          <w:szCs w:val="24"/>
        </w:rPr>
        <w:t xml:space="preserve">Blocco centodieci. Il giudizio di Reporters Sans Frontières su International Reporters: valutazione di organizzazione qualificata, Livello A come attribuzione.</w:t>
      </w:r>
    </w:p>
    <w:p>
      <w:pPr>
        <w:spacing w:after="120" w:line="276"/>
        <w:jc w:val="both"/>
      </w:pPr>
      <w:r>
        <w:rPr>
          <w:rFonts w:ascii="Barlow Semi Condensed" w:cs="Barlow Semi Condensed" w:eastAsia="Barlow Semi Condensed" w:hAnsi="Barlow Semi Condensed"/>
          <w:sz w:val="24"/>
          <w:szCs w:val="24"/>
        </w:rPr>
        <w:t xml:space="preserve">Blocco centoundici. Il film sulla negazione di Bucha: finanziamento ministeriale russo e contenuto documentati, Livello B.</w:t>
      </w:r>
    </w:p>
    <w:p>
      <w:pPr>
        <w:spacing w:after="120" w:line="276"/>
        <w:jc w:val="both"/>
      </w:pPr>
      <w:r>
        <w:rPr>
          <w:rFonts w:ascii="Barlow Semi Condensed" w:cs="Barlow Semi Condensed" w:eastAsia="Barlow Semi Condensed" w:hAnsi="Barlow Semi Condensed"/>
          <w:sz w:val="24"/>
          <w:szCs w:val="24"/>
        </w:rPr>
        <w:t xml:space="preserve">Blocco centododici. La rivista Eurasia dal duemilaquattro: Livello A.</w:t>
      </w:r>
    </w:p>
    <w:p>
      <w:pPr>
        <w:spacing w:after="120" w:line="276"/>
        <w:jc w:val="both"/>
      </w:pPr>
      <w:r>
        <w:rPr>
          <w:rFonts w:ascii="Barlow Semi Condensed" w:cs="Barlow Semi Condensed" w:eastAsia="Barlow Semi Condensed" w:hAnsi="Barlow Semi Condensed"/>
          <w:sz w:val="24"/>
          <w:szCs w:val="24"/>
        </w:rPr>
        <w:t xml:space="preserve">Blocco centotredici. AGA e la celebrazione dell'invasione: già certificato al blocco quattordici, Livello A.</w:t>
      </w:r>
    </w:p>
    <w:p>
      <w:pPr>
        <w:spacing w:after="120" w:line="276"/>
        <w:jc w:val="both"/>
      </w:pPr>
      <w:r>
        <w:rPr>
          <w:rFonts w:ascii="Barlow Semi Condensed" w:cs="Barlow Semi Condensed" w:eastAsia="Barlow Semi Condensed" w:hAnsi="Barlow Semi Condensed"/>
          <w:sz w:val="24"/>
          <w:szCs w:val="24"/>
        </w:rPr>
        <w:t xml:space="preserve">Blocco centoquattordici. Pacini e Idee e Azione: studio accademico attribuito, Livello B.</w:t>
      </w:r>
    </w:p>
    <w:p>
      <w:pPr>
        <w:spacing w:after="120" w:line="276"/>
        <w:jc w:val="both"/>
      </w:pPr>
      <w:r>
        <w:rPr>
          <w:rFonts w:ascii="Barlow Semi Condensed" w:cs="Barlow Semi Condensed" w:eastAsia="Barlow Semi Condensed" w:hAnsi="Barlow Semi Condensed"/>
          <w:sz w:val="24"/>
          <w:szCs w:val="24"/>
        </w:rPr>
        <w:t xml:space="preserve">Capitolo nono — Combattenti, osservatori, convergenza rossobruna (blocchi centoquindici–centoventiquattro)</w:t>
      </w:r>
    </w:p>
    <w:p>
      <w:pPr>
        <w:spacing w:after="120" w:line="276"/>
        <w:jc w:val="both"/>
      </w:pPr>
      <w:r>
        <w:rPr>
          <w:rFonts w:ascii="Barlow Semi Condensed" w:cs="Barlow Semi Condensed" w:eastAsia="Barlow Semi Condensed" w:hAnsi="Barlow Semi Condensed"/>
          <w:sz w:val="24"/>
          <w:szCs w:val="24"/>
        </w:rPr>
        <w:t xml:space="preserve">Blocco centoquindici. Palmeri: verificato ora; condanna definitiva del quattordici marzo duemilaventiquattro a cinque anni, Livello A; posizione difensiva riportata.</w:t>
      </w:r>
    </w:p>
    <w:p>
      <w:pPr>
        <w:spacing w:after="120" w:line="276"/>
        <w:jc w:val="both"/>
      </w:pPr>
      <w:r>
        <w:rPr>
          <w:rFonts w:ascii="Barlow Semi Condensed" w:cs="Barlow Semi Condensed" w:eastAsia="Barlow Semi Condensed" w:hAnsi="Barlow Semi Condensed"/>
          <w:sz w:val="24"/>
          <w:szCs w:val="24"/>
        </w:rPr>
        <w:t xml:space="preserve">Blocco centosedici. Il processo genovese sulla rete dei reclutatori: condanne del duemiladiciannove e giudizio Palmeri, dalla richiesta di tredici anni alla pena di cinque: Livello A.</w:t>
      </w:r>
    </w:p>
    <w:p>
      <w:pPr>
        <w:spacing w:after="120" w:line="276"/>
        <w:jc w:val="both"/>
      </w:pPr>
      <w:r>
        <w:rPr>
          <w:rFonts w:ascii="Barlow Semi Condensed" w:cs="Barlow Semi Condensed" w:eastAsia="Barlow Semi Condensed" w:hAnsi="Barlow Semi Condensed"/>
          <w:sz w:val="24"/>
          <w:szCs w:val="24"/>
        </w:rPr>
        <w:t xml:space="preserve">Blocco centodiciassette. Il centro di rappresentanza di Donetsk a Torino: verificato ora; quattordici dicembre duemilasedici, Fondazione Magellano; risposta della Farnesina sul non riconoscimento: Livello A.</w:t>
      </w:r>
    </w:p>
    <w:p>
      <w:pPr>
        <w:spacing w:after="120" w:line="276"/>
        <w:jc w:val="both"/>
      </w:pPr>
      <w:r>
        <w:rPr>
          <w:rFonts w:ascii="Barlow Semi Condensed" w:cs="Barlow Semi Condensed" w:eastAsia="Barlow Semi Condensed" w:hAnsi="Barlow Semi Condensed"/>
          <w:sz w:val="24"/>
          <w:szCs w:val="24"/>
        </w:rPr>
        <w:t xml:space="preserve">Blocco centodiciotto. La presenza di Pichetto Fratin e Gancia: documentata da interrogazione parlamentare e fotografie, Livello A; formulazione vincolante: dal fatto della presenza non si inferisce alcunché oltre il fatto.</w:t>
      </w:r>
    </w:p>
    <w:p>
      <w:pPr>
        <w:spacing w:after="120" w:line="276"/>
        <w:jc w:val="both"/>
      </w:pPr>
      <w:r>
        <w:rPr>
          <w:rFonts w:ascii="Barlow Semi Condensed" w:cs="Barlow Semi Condensed" w:eastAsia="Barlow Semi Condensed" w:hAnsi="Barlow Semi Condensed"/>
          <w:sz w:val="24"/>
          <w:szCs w:val="24"/>
        </w:rPr>
        <w:t xml:space="preserve">Blocco centodiciannove. Murgia e la rappresentanza sudossetica autoproclamata: Livello B, con la nota della Farnesina.</w:t>
      </w:r>
    </w:p>
    <w:p>
      <w:pPr>
        <w:spacing w:after="120" w:line="276"/>
        <w:jc w:val="both"/>
      </w:pPr>
      <w:r>
        <w:rPr>
          <w:rFonts w:ascii="Barlow Semi Condensed" w:cs="Barlow Semi Condensed" w:eastAsia="Barlow Semi Condensed" w:hAnsi="Barlow Semi Condensed"/>
          <w:sz w:val="24"/>
          <w:szCs w:val="24"/>
        </w:rPr>
        <w:t xml:space="preserve">Blocco centoventi. Cacchione e la convergenza da sinistra: partecipazioni riferite dal database EPDE, Livello B.</w:t>
      </w:r>
    </w:p>
    <w:p>
      <w:pPr>
        <w:spacing w:after="120" w:line="276"/>
        <w:jc w:val="both"/>
      </w:pPr>
      <w:r>
        <w:rPr>
          <w:rFonts w:ascii="Barlow Semi Condensed" w:cs="Barlow Semi Condensed" w:eastAsia="Barlow Semi Condensed" w:hAnsi="Barlow Semi Condensed"/>
          <w:sz w:val="24"/>
          <w:szCs w:val="24"/>
        </w:rPr>
        <w:t xml:space="preserve">Blocco centoventuno. La Carovana Antifascista: eventi pubblici, Livello A.</w:t>
      </w:r>
    </w:p>
    <w:p>
      <w:pPr>
        <w:spacing w:after="120" w:line="276"/>
        <w:jc w:val="both"/>
      </w:pPr>
      <w:r>
        <w:rPr>
          <w:rFonts w:ascii="Barlow Semi Condensed" w:cs="Barlow Semi Condensed" w:eastAsia="Barlow Semi Condensed" w:hAnsi="Barlow Semi Condensed"/>
          <w:sz w:val="24"/>
          <w:szCs w:val="24"/>
        </w:rPr>
        <w:t xml:space="preserve">Blocco centoventidue. La partecipazione di Forenza: riferita, Livello B; per la vivente valgono i fatti come riportati.</w:t>
      </w:r>
    </w:p>
    <w:p>
      <w:pPr>
        <w:spacing w:after="120" w:line="276"/>
        <w:jc w:val="both"/>
      </w:pPr>
      <w:r>
        <w:rPr>
          <w:rFonts w:ascii="Barlow Semi Condensed" w:cs="Barlow Semi Condensed" w:eastAsia="Barlow Semi Condensed" w:hAnsi="Barlow Semi Condensed"/>
          <w:sz w:val="24"/>
          <w:szCs w:val="24"/>
        </w:rPr>
        <w:t xml:space="preserve">Blocco centoventitré. Il database EPDE: novecentosessantasette profili da oltre sessanta Paesi, una quarantina di italiani: Livello A quale contenuto del database, con i criteri di classificazione propri dell'ente.</w:t>
      </w:r>
    </w:p>
    <w:p>
      <w:pPr>
        <w:spacing w:after="120" w:line="276"/>
        <w:jc w:val="both"/>
      </w:pPr>
      <w:r>
        <w:rPr>
          <w:rFonts w:ascii="Barlow Semi Condensed" w:cs="Barlow Semi Condensed" w:eastAsia="Barlow Semi Condensed" w:hAnsi="Barlow Semi Condensed"/>
          <w:sz w:val="24"/>
          <w:szCs w:val="24"/>
        </w:rPr>
        <w:t xml:space="preserve">Blocco centoventiquattro. Il rifiuto moldavo dell'accreditamento, settembre duemilaventicinque: atto del servizio di sicurezza, Livello B.</w:t>
      </w:r>
    </w:p>
    <w:p>
      <w:pPr>
        <w:spacing w:after="120" w:line="276"/>
        <w:jc w:val="both"/>
      </w:pPr>
      <w:r>
        <w:rPr>
          <w:rFonts w:ascii="Barlow Semi Condensed" w:cs="Barlow Semi Condensed" w:eastAsia="Barlow Semi Condensed" w:hAnsi="Barlow Semi Condensed"/>
          <w:sz w:val="24"/>
          <w:szCs w:val="24"/>
        </w:rPr>
        <w:t xml:space="preserve">Capitolo decimo — L'ecosistema contemporaneo (blocchi centoventicinque–centotrentaquattro)</w:t>
      </w:r>
    </w:p>
    <w:p>
      <w:pPr>
        <w:spacing w:after="120" w:line="276"/>
        <w:jc w:val="both"/>
      </w:pPr>
      <w:r>
        <w:rPr>
          <w:rFonts w:ascii="Barlow Semi Condensed" w:cs="Barlow Semi Condensed" w:eastAsia="Barlow Semi Condensed" w:hAnsi="Barlow Semi Condensed"/>
          <w:sz w:val="24"/>
          <w:szCs w:val="24"/>
        </w:rPr>
        <w:t xml:space="preserve">Blocco centoventicinque. L'Ordine dell'Amicizia a Bertolasi del quattro novembre duemilaventicinque: verificato ora; riferito dalle fonti dell'area e dall'insignito, senza riscontro terzo reperito: Livello B con statuto dichiarato.</w:t>
      </w:r>
    </w:p>
    <w:p>
      <w:pPr>
        <w:spacing w:after="120" w:line="276"/>
        <w:jc w:val="both"/>
      </w:pPr>
      <w:r>
        <w:rPr>
          <w:rFonts w:ascii="Barlow Semi Condensed" w:cs="Barlow Semi Condensed" w:eastAsia="Barlow Semi Condensed" w:hAnsi="Barlow Semi Condensed"/>
          <w:sz w:val="24"/>
          <w:szCs w:val="24"/>
        </w:rPr>
        <w:t xml:space="preserve">Blocco centoventisei. Il Movimento Internazionale dei Russofili del quattordici marzo duemilaventitré: fondazione certificata alla prima tranche, Livello A; la presidenza italiana di Bertolasi a Livello B.</w:t>
      </w:r>
    </w:p>
    <w:p>
      <w:pPr>
        <w:spacing w:after="120" w:line="276"/>
        <w:jc w:val="both"/>
      </w:pPr>
      <w:r>
        <w:rPr>
          <w:rFonts w:ascii="Barlow Semi Condensed" w:cs="Barlow Semi Condensed" w:eastAsia="Barlow Semi Condensed" w:hAnsi="Barlow Semi Condensed"/>
          <w:sz w:val="24"/>
          <w:szCs w:val="24"/>
        </w:rPr>
        <w:t xml:space="preserve">Blocco centoventisette. Gigliotti e Cantiere Laboratorio: attività pubbliche, Livello C.</w:t>
      </w:r>
    </w:p>
    <w:p>
      <w:pPr>
        <w:spacing w:after="120" w:line="276"/>
        <w:jc w:val="both"/>
      </w:pPr>
      <w:r>
        <w:rPr>
          <w:rFonts w:ascii="Barlow Semi Condensed" w:cs="Barlow Semi Condensed" w:eastAsia="Barlow Semi Condensed" w:hAnsi="Barlow Semi Condensed"/>
          <w:sz w:val="24"/>
          <w:szCs w:val="24"/>
        </w:rPr>
        <w:t xml:space="preserve">Blocco centoventotto. Filomeni, Spatara e il comitato: pubblicazioni e ruoli a Livello B; nessuna inferenza sui terzi nominati.</w:t>
      </w:r>
    </w:p>
    <w:p>
      <w:pPr>
        <w:spacing w:after="120" w:line="276"/>
        <w:jc w:val="both"/>
      </w:pPr>
      <w:r>
        <w:rPr>
          <w:rFonts w:ascii="Barlow Semi Condensed" w:cs="Barlow Semi Condensed" w:eastAsia="Barlow Semi Condensed" w:hAnsi="Barlow Semi Condensed"/>
          <w:sz w:val="24"/>
          <w:szCs w:val="24"/>
        </w:rPr>
        <w:t xml:space="preserve">Blocco centoventinove. La missione a Lugansk dell'aprile duemilaventicinque: riferita, Livello C.</w:t>
      </w:r>
    </w:p>
    <w:p>
      <w:pPr>
        <w:spacing w:after="120" w:line="276"/>
        <w:jc w:val="both"/>
      </w:pPr>
      <w:r>
        <w:rPr>
          <w:rFonts w:ascii="Barlow Semi Condensed" w:cs="Barlow Semi Condensed" w:eastAsia="Barlow Semi Condensed" w:hAnsi="Barlow Semi Condensed"/>
          <w:sz w:val="24"/>
          <w:szCs w:val="24"/>
        </w:rPr>
        <w:t xml:space="preserve">Blocco centotrenta. Scalea e la Fondazione Machiavelli: fatti pubblici, Livello B.</w:t>
      </w:r>
    </w:p>
    <w:p>
      <w:pPr>
        <w:spacing w:after="120" w:line="276"/>
        <w:jc w:val="both"/>
      </w:pPr>
      <w:r>
        <w:rPr>
          <w:rFonts w:ascii="Barlow Semi Condensed" w:cs="Barlow Semi Condensed" w:eastAsia="Barlow Semi Condensed" w:hAnsi="Barlow Semi Condensed"/>
          <w:sz w:val="24"/>
          <w:szCs w:val="24"/>
        </w:rPr>
        <w:t xml:space="preserve">Blocco centotrentuno. SpecialEurasia, il CeSEM e Vernole: Livello C.</w:t>
      </w:r>
    </w:p>
    <w:p>
      <w:pPr>
        <w:spacing w:after="120" w:line="276"/>
        <w:jc w:val="both"/>
      </w:pPr>
      <w:r>
        <w:rPr>
          <w:rFonts w:ascii="Barlow Semi Condensed" w:cs="Barlow Semi Condensed" w:eastAsia="Barlow Semi Condensed" w:hAnsi="Barlow Semi Condensed"/>
          <w:sz w:val="24"/>
          <w:szCs w:val="24"/>
        </w:rPr>
        <w:t xml:space="preserve">Blocco centotrentadue. Il cluster triestino: Livello C.</w:t>
      </w:r>
    </w:p>
    <w:p>
      <w:pPr>
        <w:spacing w:after="120" w:line="276"/>
        <w:jc w:val="both"/>
      </w:pPr>
      <w:r>
        <w:rPr>
          <w:rFonts w:ascii="Barlow Semi Condensed" w:cs="Barlow Semi Condensed" w:eastAsia="Barlow Semi Condensed" w:hAnsi="Barlow Semi Condensed"/>
          <w:sz w:val="24"/>
          <w:szCs w:val="24"/>
        </w:rPr>
        <w:t xml:space="preserve">Blocco centotrentatré. Il vuoto normativo sull'agente d'influenza: l'assenza di una legislazione italiana analoga al FARA è verificabile per comparazione, Livello A.</w:t>
      </w:r>
    </w:p>
    <w:p>
      <w:pPr>
        <w:spacing w:after="120" w:line="276"/>
        <w:jc w:val="both"/>
      </w:pPr>
      <w:r>
        <w:rPr>
          <w:rFonts w:ascii="Barlow Semi Condensed" w:cs="Barlow Semi Condensed" w:eastAsia="Barlow Semi Condensed" w:hAnsi="Barlow Semi Condensed"/>
          <w:sz w:val="24"/>
          <w:szCs w:val="24"/>
        </w:rPr>
        <w:t xml:space="preserve">Blocco centotrentaquattro. I quattro canali convergenti: tesi di sintesi del documento; gambe gradate come ai blocchi precedenti, composizione a Livello C, coincidente con il perimetro di H2.</w:t>
      </w:r>
    </w:p>
    <w:p>
      <w:pPr>
        <w:spacing w:after="120" w:line="276"/>
        <w:jc w:val="both"/>
      </w:pPr>
      <w:r>
        <w:rPr>
          <w:rFonts w:ascii="Barlow Semi Condensed" w:cs="Barlow Semi Condensed" w:eastAsia="Barlow Semi Condensed" w:hAnsi="Barlow Semi Condensed"/>
          <w:sz w:val="24"/>
          <w:szCs w:val="24"/>
        </w:rPr>
        <w:t xml:space="preserve">9.10 — Blocchi centotrentacinque–centotrentotto: le voci residue</w:t>
      </w:r>
    </w:p>
    <w:p>
      <w:pPr>
        <w:spacing w:after="120" w:line="276"/>
        <w:jc w:val="both"/>
      </w:pPr>
      <w:r>
        <w:rPr>
          <w:rFonts w:ascii="Barlow Semi Condensed" w:cs="Barlow Semi Condensed" w:eastAsia="Barlow Semi Condensed" w:hAnsi="Barlow Semi Condensed"/>
          <w:sz w:val="24"/>
          <w:szCs w:val="24"/>
        </w:rPr>
        <w:t xml:space="preserve">Blocco centotrentacinque. Pasquale Scotti. Parabola certificata dalla voce munita di note: ergastolo del duemilacinque, latitanza trentennale, arresto a Recife il ventisei maggio duemilaquindici, estradizione del dieci marzo duemilasedici con pena commutata a trent'anni per statuto brasiliano. Livello A.</w:t>
      </w:r>
    </w:p>
    <w:p>
      <w:pPr>
        <w:spacing w:after="120" w:line="276"/>
        <w:jc w:val="both"/>
      </w:pPr>
      <w:r>
        <w:rPr>
          <w:rFonts w:ascii="Barlow Semi Condensed" w:cs="Barlow Semi Condensed" w:eastAsia="Barlow Semi Condensed" w:hAnsi="Barlow Semi Condensed"/>
          <w:sz w:val="24"/>
          <w:szCs w:val="24"/>
        </w:rPr>
        <w:t xml:space="preserve">Blocco centotrentasei. Summit di Montalto. Riunione, operazione di polizia e processo a Livello A; la presenza di Borghese, Delle Chiaie, Concutelli e Saccucci e l'ipotesi di alleanza con la destra eversiva restano dato di letteratura non accertato in giudicato: Livello C, con divieto di trattare il ponte crimine-eversione come fatto.</w:t>
      </w:r>
    </w:p>
    <w:p>
      <w:pPr>
        <w:spacing w:after="120" w:line="276"/>
        <w:jc w:val="both"/>
      </w:pPr>
      <w:r>
        <w:rPr>
          <w:rFonts w:ascii="Barlow Semi Condensed" w:cs="Barlow Semi Condensed" w:eastAsia="Barlow Semi Condensed" w:hAnsi="Barlow Semi Condensed"/>
          <w:sz w:val="24"/>
          <w:szCs w:val="24"/>
        </w:rPr>
        <w:t xml:space="preserve">Blocco centotrentasette. Il caso Cirillo e la faida. Sequestro e liberazione a Livello A; il contributo di Calvi al riscatto secondo l'istruttoria Alemi a Livello B; il bilancio della faida per anni a Livello A.</w:t>
      </w:r>
    </w:p>
    <w:p>
      <w:pPr>
        <w:spacing w:after="120" w:line="276"/>
        <w:jc w:val="both"/>
      </w:pPr>
      <w:r>
        <w:rPr>
          <w:rFonts w:ascii="Barlow Semi Condensed" w:cs="Barlow Semi Condensed" w:eastAsia="Barlow Semi Condensed" w:hAnsi="Barlow Semi Condensed"/>
          <w:sz w:val="24"/>
          <w:szCs w:val="24"/>
        </w:rPr>
        <w:t xml:space="preserve">Blocco centotrentotto. Pizzolungo. L'attentato del due aprile millenovecentottantacinque, le vittime Barbara Rizzo e i gemelli Asta, il ferimento del magistrato Carlo Palermo: Livello A; esiti processuali rinviati alla quinta tranche per certificazione puntuale.</w:t>
      </w:r>
    </w:p>
    <w:p>
      <w:pPr>
        <w:spacing w:after="120" w:line="276"/>
        <w:jc w:val="both"/>
      </w:pPr>
      <w:r>
        <w:rPr>
          <w:rFonts w:ascii="Barlow Semi Condensed" w:cs="Barlow Semi Condensed" w:eastAsia="Barlow Semi Condensed" w:hAnsi="Barlow Semi Condensed"/>
          <w:sz w:val="24"/>
          <w:szCs w:val="24"/>
        </w:rPr>
        <w:t xml:space="preserve">9.11 — Rilievi per le persone viventi e chiusa della quarta tranche</w:t>
      </w:r>
    </w:p>
    <w:p>
      <w:pPr>
        <w:spacing w:after="120" w:line="276"/>
        <w:jc w:val="both"/>
      </w:pPr>
      <w:r>
        <w:rPr>
          <w:rFonts w:ascii="Barlow Semi Condensed" w:cs="Barlow Semi Condensed" w:eastAsia="Barlow Semi Condensed" w:hAnsi="Barlow Semi Condensed"/>
          <w:sz w:val="24"/>
          <w:szCs w:val="24"/>
        </w:rPr>
        <w:t xml:space="preserve">Le formulazioni vincolanti aggiunte da questa tranche sono le seguenti, e si sommano — senza sostituirle — a quelle delle tranche precedenti, che restano integralmente in vigore per Salvini, Savoini, i fratelli La Russa e ogni altro nominato. Aleksej Komov è incriminato e latitante: ogni menzione riporta lo statuto di atto d'accusa e la presunzione di innocenza; lo stesso vale per Konstantin Malofeev e per ogni incriminato non giudicato. Andrea Palmeri è condannato in via definitiva: la condanna è riportabile come accertamento giudiziario, sempre accompagnata dalla sua posizione pubblica di contestazione. Gilberto Pichetto Fratin, Gianna Gancia e Maurizio Marrone: i fatti certificati sono la promozione e la presenza a eventi pubblici documentati da atti parlamentari e fotografie; nessuna ulteriore inferenza è consentita, e la risposta della Farnesina è parte integrante di ogni menzione del centro torinese. Eliseo Bertolasi: i fatti biografici e l'onorificenza sono riportabili nei gradi indicati; la designazione con nome in codice è e resta attribuzione delle fonti d'inchiesta e del servizio lettone, mai asserzione propria del registro; identica disciplina per ogni cittadino italiano cui le inchieste attribuiscano qualifiche operative. Aleksandr Dugin: la qualifica di ideologo del potere russo è tesi mediatica dibattuta e va sempre attribuita; i fatti editoriali e biografici stanno nei gradi dei rispettivi blocchi. Per Stefano Valdegamberi, Luciano Sandonà, Vincenzo Lorusso, Andrea Lucidi, Eleonora Forenza, Roberto Fiore, Gabriele Adinolfi, Claudio Mutti, Lorenzo Pacini, Daniele Scalea e ogni altro vivente nominato valgono i soli fatti pubblici documentati nei gradi indicati, con esclusione dei dettagli privati non necessari. Franco Freda: l'assoluzione definitiva per Piazza Fontana è di menzione obbligatoria permanente.</w:t>
      </w:r>
    </w:p>
    <w:p>
      <w:pPr>
        <w:spacing w:after="120" w:line="276"/>
        <w:jc w:val="both"/>
      </w:pPr>
      <w:r>
        <w:rPr>
          <w:rFonts w:ascii="Barlow Semi Condensed" w:cs="Barlow Semi Condensed" w:eastAsia="Barlow Semi Condensed" w:hAnsi="Barlow Semi Condensed"/>
          <w:sz w:val="24"/>
          <w:szCs w:val="24"/>
        </w:rPr>
        <w:t xml:space="preserve">La quarta tranche porta il registro a centotrentotto blocchi certificati, oltre il traguardo dei cento fissato dal mandato originario, e consegna alla quinta le seguenti direzioni: il monitoraggio degli atti palermitani sul caso Mattarella, invariato nei termini della terza tranche; l'estrazione dei due contenitori dichiarati non estraibili; la certificazione puntuale degli esiti processuali di Pizzolungo; il vaglio integrale, con il medesimo protocollo, delle voci maggiori ancora non iscritte — Nuclei Armati Rivoluzionari, operazione Gladio, agguato di via Fani, Concutelli, la voce sul senatore Antonino La Russa — il cui apparato di millequarantanove URL censiti costituisce la mappa di lavoro; la verifica ipertestuale a campione delle istantanee contro le pagine vive, dove il rischio dell'asserzione lo esiga.</w:t>
      </w:r>
    </w:p>
    <w:p>
      <w:pPr>
        <w:pStyle w:val="Heading3"/>
        <w:spacing w:after="80" w:before="160"/>
      </w:pPr>
      <w:r>
        <w:rPr>
          <w:rFonts w:ascii="Barlow Semi Condensed" w:cs="Barlow Semi Condensed" w:eastAsia="Barlow Semi Condensed" w:hAnsi="Barlow Semi Condensed"/>
          <w:sz w:val="24"/>
          <w:szCs w:val="24"/>
        </w:rPr>
        <w:t xml:space="preserve">QUINTA TRANCHE — FASE X: AGINTER PRESS. IL VAGLIO DELLA MONOGRAFIA IN CENTO BLOCCHI, LE VOCI MAGGIORI DEL CENSIMENTO E LE PENDENZE CERTIFICATE</w:t>
      </w:r>
    </w:p>
    <w:p>
      <w:pPr>
        <w:spacing w:after="120" w:line="276"/>
        <w:jc w:val="both"/>
      </w:pPr>
      <w:r>
        <w:rPr>
          <w:rFonts w:ascii="Barlow Semi Condensed" w:cs="Barlow Semi Condensed" w:eastAsia="Barlow Semi Condensed" w:hAnsi="Barlow Semi Condensed"/>
          <w:sz w:val="24"/>
          <w:szCs w:val="24"/>
        </w:rPr>
        <w:t xml:space="preserve">10.1 — Oggetto della tranche, documento-innesco e metrica delle equivalenze</w:t>
      </w:r>
    </w:p>
    <w:p>
      <w:pPr>
        <w:spacing w:after="120" w:line="276"/>
        <w:jc w:val="both"/>
      </w:pPr>
      <w:r>
        <w:rPr>
          <w:rFonts w:ascii="Barlow Semi Condensed" w:cs="Barlow Semi Condensed" w:eastAsia="Barlow Semi Condensed" w:hAnsi="Barlow Semi Condensed"/>
          <w:sz w:val="24"/>
          <w:szCs w:val="24"/>
        </w:rPr>
        <w:t xml:space="preserve">La quinta tranche è innescata dall'acquisizione della monografia «Aginter Press — Monografia analitica di un hub della guerra politica non convenzionale (1966–1988)», edizione prima dell'undici agosto duemilaventisei, duecentottantasei pagine, enucleata — come la nota di genesi dichiara — dal Documento Unico Integrato del censimento della criminalità organizzata, di cui riproduce integralmente le quattordici note e i tre approfondimenti monografici, con l'aggiunta di un capitolo di triangolazione redatto in sede propria e di un apparato di impronte crittografiche delle fonti. Il documento poggia su atti giudiziari e parlamentari nominati — l'istruttoria e l'ordinanza del giudice Salvini, i resoconti stenografici della Commissione stragi, la perizia Giannuli — su testimonianze processuali qualificate e su letteratura storiografica, e adotta una metrica interna di gradazione — certo, altamente probabile, probabile, possibile, non provato, da verificare — che questo registro dichiara equivalente alla propria: il certo su fonte primaria corrisponde al Livello A, il probabile su convergenza qualificata al Livello B, il possibile e il da verificare al Livello C, e l'esito negativo di ricerca sistematica allo Stato Zero. Il censimento automatico degli indirizzi di rete restituisce novecentosessantatré URL unici; la distribuzione per dominio consegna però un rilievo critico immediato: accanto a fonti primarie di rango — gli archivi del Dipartimento di Stato, il National Security Archive, la letteratura accademica — l'apparato include undici occorrenze di una fonte permanentemente esclusa dalle regole di progetto e diciassette di un'enciclopedia collaborativa non citabile; il registro interdice le prime e declassa le seconde a meri indicatori di reperimento, annotando la disomogeneità dell'apparato come difetto formale della monografia, che non ne intacca le gambe fondate su atti.</w:t>
      </w:r>
    </w:p>
    <w:p>
      <w:pPr>
        <w:spacing w:after="120" w:line="276"/>
        <w:jc w:val="both"/>
      </w:pPr>
      <w:r>
        <w:rPr>
          <w:rFonts w:ascii="Barlow Semi Condensed" w:cs="Barlow Semi Condensed" w:eastAsia="Barlow Semi Condensed" w:hAnsi="Barlow Semi Condensed"/>
          <w:sz w:val="24"/>
          <w:szCs w:val="24"/>
        </w:rPr>
        <w:t xml:space="preserve">10.2 — Il capitolo italiano in sede giudiziaria</w:t>
      </w:r>
    </w:p>
    <w:p>
      <w:pPr>
        <w:spacing w:after="120" w:line="276"/>
        <w:jc w:val="both"/>
      </w:pPr>
      <w:r>
        <w:rPr>
          <w:rFonts w:ascii="Barlow Semi Condensed" w:cs="Barlow Semi Condensed" w:eastAsia="Barlow Semi Condensed" w:hAnsi="Barlow Semi Condensed"/>
          <w:sz w:val="24"/>
          <w:szCs w:val="24"/>
        </w:rPr>
        <w:t xml:space="preserve">Il nucleo probatoriamente più solido della monografia è il capitolo italiano, fondato sull'istruttoria milanese e sulla perizia d'archivio. La catena certificata corre dal convegno dell'Istituto Pollio all'hotel Parco dei Principi del tre-cinque maggio millenovecentosessantacinque, alla conoscenza tra Giannettini e Guérin-Sérac risalente al millenovecentosessantaquattro a Lisbona, all'incontro di Abbiategrasso del marzo millenovecentosessantasette tra Robert Leroy e Carlo Maria Maggi in ambito Nouvel Ordre Européen, al corso lisbonese del militante ordinovista Brillo nel luglio successivo, fino all'accertamento — enunciato dal giudice istruttore alla Commissione stragi nel resoconto stenografico nono con formula testuale — che istruttori di Aginter Press vennero a Roma tra il millenovecentosessantasette e il millenovecentosessantotto istruendo militanti di Avanguardia Nazionale all'uso degli esplosivi, con la mediazione dell'informatore ministeriale Armando Mortilla, alias Aristo, tessitore dei rapporti tra Aginter e Ordine Nuovo e organizzatore dell'incontro romano tra Guérin-Sérac e Rauti del gennaio-febbraio millenovecentosessantotto. Su questo impianto si innesta il nodo documentale più delicato: la velina del SID dei sedici-diciassette dicembre millenovecentosessantanove, che indicava Guérin-Sérac quale mente degli attentati, giunta alla magistratura solo nel marzo millenovecentosettantatré, valutata dall'istruttoria come dotata di una parte plausibile — la linea di comando — e di una parte deliberatamente depistante, la trasformazione di due anticomunisti in anarchici; la deliberazione del depistaggio risulta da un documento interno dell'undici aprile millenovecentosettanta che suggeriva di tacere la vera natura dei due alla pubblica sicurezza. Il registro certifica l'intera catena nei gradi propri di ciascun anello, e fissa il vincolo: la velina è fonte di Livello B in quanto contenuto informativo, mai prova piena, e il ruolo di mandante che essa attribuisce resta al grado della fonte.</w:t>
      </w:r>
    </w:p>
    <w:p>
      <w:pPr>
        <w:spacing w:after="120" w:line="276"/>
        <w:jc w:val="both"/>
      </w:pPr>
      <w:r>
        <w:rPr>
          <w:rFonts w:ascii="Barlow Semi Condensed" w:cs="Barlow Semi Condensed" w:eastAsia="Barlow Semi Condensed" w:hAnsi="Barlow Semi Condensed"/>
          <w:sz w:val="24"/>
          <w:szCs w:val="24"/>
        </w:rPr>
        <w:t xml:space="preserve">10.3 — I cinque Stati Zero maggiori</w:t>
      </w:r>
    </w:p>
    <w:p>
      <w:pPr>
        <w:spacing w:after="120" w:line="276"/>
        <w:jc w:val="both"/>
      </w:pPr>
      <w:r>
        <w:rPr>
          <w:rFonts w:ascii="Barlow Semi Condensed" w:cs="Barlow Semi Condensed" w:eastAsia="Barlow Semi Condensed" w:hAnsi="Barlow Semi Condensed"/>
          <w:sz w:val="24"/>
          <w:szCs w:val="24"/>
        </w:rPr>
        <w:t xml:space="preserve">La monografia consegna al registro cinque esiti negativi di prima classe, tutti conformi alla disciplina per cui l'assenza cercata e non trovata è un risultato e non una lacuna. Primo: la ricognizione mirata degli archivi statunitensi accessibili — la sala di lettura elettronica della CIA, i volumi diplomatici sul Portogallo, il corpus del National Security Archive — non ha prodotto un solo documento primario americano che nomini Aginter Press, Guérin-Sérac o le sue sigle: l'intera narrazione del legame con l'agenzia americana poggia su conclusioni italiane e portoghesi poi amplificate dalla letteratura secondaria, e l'onere della prova si sposta su chi afferma il nesso, con riserva sul classificato. Secondo: la cronologia scagiona il rapporto personale con Kissinger, che assume responsabilità di governo quando la struttura è al tramonto e se ne occupa di Portogallo quando essa è già dissolta. Terzo: negli archivi oggi accessibili dell'Est non emergono fascicoli su Aginter — esito negativo da distinguere dalla prova di assenza, data la distruzione massiccia dei fascicoli cecoslovacchi nel millenovecentottantanove-novanta. Quarto e quinto: per il servizio britannico e per quello israeliano la monografia dichiara l'assenza di riscontro, e per l'intera sfera del Golfo l'assenza di ogni legame documentato. A questi si aggiunge l'esito negativo dichiarato sul versante sudafricano degli omicidi esterni: la matrice interna accertata dalla commissione sudafricana per la verità esclude manovalanza della rete in esame.</w:t>
      </w:r>
    </w:p>
    <w:p>
      <w:pPr>
        <w:spacing w:after="120" w:line="276"/>
        <w:jc w:val="both"/>
      </w:pPr>
      <w:r>
        <w:rPr>
          <w:rFonts w:ascii="Barlow Semi Condensed" w:cs="Barlow Semi Condensed" w:eastAsia="Barlow Semi Condensed" w:hAnsi="Barlow Semi Condensed"/>
          <w:sz w:val="24"/>
          <w:szCs w:val="24"/>
        </w:rPr>
        <w:t xml:space="preserve">10.4 — L'asse religioso: il verdetto tripartito</w:t>
      </w:r>
    </w:p>
    <w:p>
      <w:pPr>
        <w:spacing w:after="120" w:line="276"/>
        <w:jc w:val="both"/>
      </w:pPr>
      <w:r>
        <w:rPr>
          <w:rFonts w:ascii="Barlow Semi Condensed" w:cs="Barlow Semi Condensed" w:eastAsia="Barlow Semi Condensed" w:hAnsi="Barlow Semi Condensed"/>
          <w:sz w:val="24"/>
          <w:szCs w:val="24"/>
        </w:rPr>
        <w:t xml:space="preserve">Sull'asse che la monografia dichiara principale, il capitolo di triangolazione interna produce un verdetto tripartito che il registro recepisce integralmente perché già conforme al proprio standard: l'ideologia religiosa personale e organizzativa del fondatore è certa e documentata da fonti primarie — le dichiarazioni di Vinciguerra, l'intervista a Le Monde, il video-testamento, la simbologia dell'organizzazione di copertura — con le precisazioni filologiche che la preghiera attribuita è testo di Zirnheld e che la formula documentata è quella del monaco soldato; l'esistenza e la dottrina delle reti cattoliche integriste coeve — la Cité catholique di Ousset, la filiera argentina documentata da Robin, i gruppi iberici — sono certe, ma il nesso diretto e organizzativo con Aginter resta probabile e da verificare, documentato solo per via ambientale; il livello vaticano istituzionale è non provato, e in tensione documentata con la politica orientale della Santa Sede. Tre gradini distinti su un medesimo asse: il registro li iscrive separatamente, vietando alla narrazione di saldarli.</w:t>
      </w:r>
    </w:p>
    <w:p>
      <w:pPr>
        <w:spacing w:after="120" w:line="276"/>
        <w:jc w:val="both"/>
      </w:pPr>
      <w:r>
        <w:rPr>
          <w:rFonts w:ascii="Barlow Semi Condensed" w:cs="Barlow Semi Condensed" w:eastAsia="Barlow Semi Condensed" w:hAnsi="Barlow Semi Condensed"/>
          <w:sz w:val="24"/>
          <w:szCs w:val="24"/>
        </w:rPr>
        <w:t xml:space="preserve">10.5 — Il piano sudafricano: documentato, attribuito, contestato</w:t>
      </w:r>
    </w:p>
    <w:p>
      <w:pPr>
        <w:spacing w:after="120" w:line="276"/>
        <w:jc w:val="both"/>
      </w:pPr>
      <w:r>
        <w:rPr>
          <w:rFonts w:ascii="Barlow Semi Condensed" w:cs="Barlow Semi Condensed" w:eastAsia="Barlow Semi Condensed" w:hAnsi="Barlow Semi Condensed"/>
          <w:sz w:val="24"/>
          <w:szCs w:val="24"/>
        </w:rPr>
        <w:t xml:space="preserve">La triangolazione con la monografia gemella del corpus sui rapporti con il Sudafrica dell'apartheid restituisce la distinzione di piani che è il risultato analitico più maturo dell'intero cluster: il legame diretto tra la struttura e i servizi di Pretoria poggia su un'unica catena di fonti — il rapporto del servizio portoghese post-rivoluzionario, ripreso da Laurent nel millenovecentosettantotto e da Christie nel millenovecentottantaquattro — che lo storico di riferimento giudica non verificata e improbabile: il nesso resta da verificare, e la soglia che ne muterebbe il giudizio è dichiarata. Sono invece certi l'infiltrazione di Leroy nel fronte mozambicano nel millenovecentosessantotto-sessantanove nell'ambito di un'operazione della polizia politica portoghese, con l'attribuzione contesa dell'omicidio del leader indipendentista; il santuario sudafricano di singole persone — l'esecutore attribuito degli omicidi Delgado e Mondlane vi trovò protezione fino alla morte nel gennaio millenovecentonovantatré — e la confluenza di ex agenti della polizia politica nella guerriglia anticomunista mozambicana passata sotto l'intelligence militare di Pretoria nel millenovecentottanta: continuità di filiera, non di struttura. La cooperazione politico-militare trilaterale dell'Africa australe non contempla Aginter nella storiografia archivistica, e il nesso certo tra Pretoria e i fori anticomunisti transnazionali non fa della struttura lisbonese un loro membro. Il registro adotta la regola enunciata dalla monografia: non far collassare il piano solidamente documentato delle continuità personali nel piano debolmente fondato dei legami strutturali.</w:t>
      </w:r>
    </w:p>
    <w:p>
      <w:pPr>
        <w:spacing w:after="120" w:line="276"/>
        <w:jc w:val="both"/>
      </w:pPr>
      <w:r>
        <w:rPr>
          <w:rFonts w:ascii="Barlow Semi Condensed" w:cs="Barlow Semi Condensed" w:eastAsia="Barlow Semi Condensed" w:hAnsi="Barlow Semi Condensed"/>
          <w:sz w:val="24"/>
          <w:szCs w:val="24"/>
        </w:rPr>
        <w:t xml:space="preserve">10.6 — Svizzera, America Latina, Medio Oriente</w:t>
      </w:r>
    </w:p>
    <w:p>
      <w:pPr>
        <w:spacing w:after="120" w:line="276"/>
        <w:jc w:val="both"/>
      </w:pPr>
      <w:r>
        <w:rPr>
          <w:rFonts w:ascii="Barlow Semi Condensed" w:cs="Barlow Semi Condensed" w:eastAsia="Barlow Semi Condensed" w:hAnsi="Barlow Semi Condensed"/>
          <w:sz w:val="24"/>
          <w:szCs w:val="24"/>
        </w:rPr>
        <w:t xml:space="preserve">I tre teatri restanti si iscrivono nei gradi propri. Il nodo svizzero — l'inchiesta de L'Europeo del novembre millenovecentosettantaquattro, il canale del Nouvel Ordre Européen di Amaudruz, la piazza finanziaria, il banchiere Genoud, la rete stay-behind elvetica con la critica filologica del suo nome — sta tra il Livello B documentale e il Livello C attributivo, con l'avvertenza che proprio in questa sezione l'apparato ricorre alle fonti deboli interdette. La proiezione latinoamericana è ricostruita come sistema con il Venezuela quale nodo prioritario e con la demolizione della conflazione terziaria sull'addestramento del gruppo cileno, che la fonte invocata smentisce. Il Medio Oriente restituisce un esito negativo generale sul mondo sciita e sul Golfo, la matrice mercenaria della vicenda yemenita ricondotta all'organizzazione madre algerina e non ad Aginter, e il caso iraniano come pilastro speculare del campo atlantico.</w:t>
      </w:r>
    </w:p>
    <w:p>
      <w:pPr>
        <w:spacing w:after="120" w:line="276"/>
        <w:jc w:val="both"/>
      </w:pPr>
      <w:r>
        <w:rPr>
          <w:rFonts w:ascii="Barlow Semi Condensed" w:cs="Barlow Semi Condensed" w:eastAsia="Barlow Semi Condensed" w:hAnsi="Barlow Semi Condensed"/>
          <w:sz w:val="24"/>
          <w:szCs w:val="24"/>
        </w:rPr>
        <w:t xml:space="preserve">10.7 — Le voci maggiori del censimento enciclopedico e il censimento cumulativo</w:t>
      </w:r>
    </w:p>
    <w:p>
      <w:pPr>
        <w:spacing w:after="120" w:line="276"/>
        <w:jc w:val="both"/>
      </w:pPr>
      <w:r>
        <w:rPr>
          <w:rFonts w:ascii="Barlow Semi Condensed" w:cs="Barlow Semi Condensed" w:eastAsia="Barlow Semi Condensed" w:hAnsi="Barlow Semi Condensed"/>
          <w:sz w:val="24"/>
          <w:szCs w:val="24"/>
        </w:rPr>
        <w:t xml:space="preserve">In esecuzione del mandato sulle voci allegate, la tranche certifica le cinque voci maggiori consegnate dalla quarta: i Nuclei Armati Rivoluzionari, l'operazione Gladio, l'agguato di via Fani, Concutelli, il senatore Antonino La Russa — le relative schede sono ai blocchi duecentoventitré-duecentotrentadue. I due contenitori dichiarati non estraibili sono stati recuperati: erano testo semplice sotto estensione anomala, secondo la medesima convenzione di altri file del corpus; il loro recupero porta il censimento a ventitré testi estratti e a millesettecentoquarantasei URL unici cumulativi, cui si sommano i novecentosessantatré dell'innesco. Il recupero produce anche un rilievo di non-concordanza interna al corpus: la voce-censimento sulle operazioni contro la 'ndrangheta data la sentenza di primo grado sul processo di Montalto al due ottobre millenovecentosettanta, mentre la voce dedicata al summit la colloca al ventiquattro marzo millenovecentosettantuno; il registro iscrive la divergenza e rinvia la risoluzione alla verifica sulla fonte giudiziaria.</w:t>
      </w:r>
    </w:p>
    <w:p>
      <w:pPr>
        <w:spacing w:after="120" w:line="276"/>
        <w:jc w:val="both"/>
      </w:pPr>
      <w:r>
        <w:rPr>
          <w:rFonts w:ascii="Barlow Semi Condensed" w:cs="Barlow Semi Condensed" w:eastAsia="Barlow Semi Condensed" w:hAnsi="Barlow Semi Condensed"/>
          <w:sz w:val="24"/>
          <w:szCs w:val="24"/>
        </w:rPr>
        <w:t xml:space="preserve">10.8 — Le pendenze certificate: Pizzolungo e il monitoraggio Mattarella</w:t>
      </w:r>
    </w:p>
    <w:p>
      <w:pPr>
        <w:spacing w:after="120" w:line="276"/>
        <w:jc w:val="both"/>
      </w:pPr>
      <w:r>
        <w:rPr>
          <w:rFonts w:ascii="Barlow Semi Condensed" w:cs="Barlow Semi Condensed" w:eastAsia="Barlow Semi Condensed" w:hAnsi="Barlow Semi Condensed"/>
          <w:sz w:val="24"/>
          <w:szCs w:val="24"/>
        </w:rPr>
        <w:t xml:space="preserve">La certificazione puntuale rinviata dalla quarta tranche è ora eseguita. Su Pizzolungo il quadro processuale definitivo è il seguente: quattro processi in quarant'anni; il primo, contro gli esecutori del clan alcamese, si chiuse con condanne all'ergastolo in primo grado e assoluzioni in appello a Caltanissetta nel millenovecentonovanta, divenute irrevocabili in Cassazione l'anno successivo — collegio presieduto, come le fonti riportano, dal giudice Carnevale; i processi successivi hanno consegnato ergastoli definitivi a Riina quale mandante e a Virga quale capo del mandamento trapanese di appoggio, nonché — in altro giudizio — a Di Maggio e ad Antonino Madonia; il nuovo processo individuò in Milazzo, Calabrò e Melodia gli esecutori materiali, non più processabili perché irrevocabilmente assolti; il quarto processo si è chiuso con la condanna a trent'anni di Vincenzo Galatolo quale ulteriore mandante, definitiva in Cassazione il quattordici giugno duemilaventitré. Le vittime furono Barbara Rizzo e i suoi gemelli di sei anni Giuseppe e Salvatore Asta; il magistrato bersaglio sopravvisse. Il nesso tecnico riportato tra l'esplosivo di Pizzolungo e quello di altre stragi resta dato peritale riferito, a Livello B. Sul caso Mattarella il monitoraggio registra atti intervenuti: la perizia genetica disposta in incidente probatorio sulla fascetta prelevata dalla vettura dei killer, affidata all'unità forense fiorentina, è stata depositata il primo luglio duemilaventisei con esito negativo — nessun profilo genetico utilizzabile, dopo che già l'esame dattiloscopico non aveva dato risultati; la stampa riferisce l'orientamento della Procura verso la richiesta di archiviazione per i due indagati quali esecutori, richiesta che dovrà essere vagliata dal giudice; le condanne definitive dei mandanti restano ferme, la presunzione di innocenza degli indagati resta integrale, e il registro annota che le posizioni giudiziarie definitive di Antonino Madonia per altri fatti — Pizzolungo compreso — appartengono ad altri fascicoli e non si comunicano a questo.</w:t>
      </w:r>
    </w:p>
    <w:p>
      <w:pPr>
        <w:spacing w:after="120" w:line="276"/>
        <w:jc w:val="both"/>
      </w:pPr>
      <w:r>
        <w:rPr>
          <w:rFonts w:ascii="Barlow Semi Condensed" w:cs="Barlow Semi Condensed" w:eastAsia="Barlow Semi Condensed" w:hAnsi="Barlow Semi Condensed"/>
          <w:sz w:val="24"/>
          <w:szCs w:val="24"/>
        </w:rPr>
        <w:t xml:space="preserve">10.9 — Aggiornamento della matrice ACH</w:t>
      </w:r>
    </w:p>
    <w:p>
      <w:pPr>
        <w:spacing w:after="120" w:line="276"/>
        <w:jc w:val="both"/>
      </w:pPr>
      <w:r>
        <w:rPr>
          <w:rFonts w:ascii="Barlow Semi Condensed" w:cs="Barlow Semi Condensed" w:eastAsia="Barlow Semi Condensed" w:hAnsi="Barlow Semi Condensed"/>
          <w:sz w:val="24"/>
          <w:szCs w:val="24"/>
        </w:rPr>
        <w:t xml:space="preserve">Aginter Press entra nella matrice come struttura interamente interna al campo atlantico-integrista: i suoi teatri, i suoi committenti documentati, i suoi Stati Zero orientali confermano che essa fu strumento di una guerra non convenzionale anticomunista, e i depistaggi che ne travestirono gli uomini da anarchici furono interni agli apparati del medesimo campo. Per l'ipotesi H1 la tranche è nuovamente sterile: nessun documento attesta condominio tra i blocchi, e i cinque Stati Zero — nessuna carta americana sul nesso personale, nessun fascicolo orientale sulla struttura — militano contro ogni lettura di regia bipolare congiunta. Per l'ipotesi H2 la monografia fornisce il capostipite del versante occidentale: una internazionale operativa clandestina, confessionale e controrivoluzionaria, attiva un ventennio prima che il versante orientale certificato nelle Fasi precedenti prendesse forma; la composizione delle due metà in un disegno di lungo periodo resta al Livello C che le è proprio. L'ipotesi H3 esce rafforzata nella sua funzione: la pluralità di committenti documentati della stessa Aginter — portoghesi, greci, spagnoli, con il legame genetico francese — mostra che anche dentro un solo campo la regia fu plurale.</w:t>
      </w:r>
    </w:p>
    <w:p>
      <w:pPr>
        <w:spacing w:after="120" w:line="276"/>
        <w:jc w:val="both"/>
      </w:pPr>
      <w:r>
        <w:rPr>
          <w:rFonts w:ascii="Barlow Semi Condensed" w:cs="Barlow Semi Condensed" w:eastAsia="Barlow Semi Condensed" w:hAnsi="Barlow Semi Condensed"/>
          <w:sz w:val="24"/>
          <w:szCs w:val="24"/>
        </w:rPr>
        <w:t xml:space="preserve">10.10 — Registro dei blocchi di verifica: blocchi centotrentanove–duecentotrentotto</w:t>
      </w:r>
    </w:p>
    <w:p>
      <w:pPr>
        <w:spacing w:after="120" w:line="276"/>
        <w:jc w:val="both"/>
      </w:pPr>
      <w:r>
        <w:rPr>
          <w:rFonts w:ascii="Barlow Semi Condensed" w:cs="Barlow Semi Condensed" w:eastAsia="Barlow Semi Condensed" w:hAnsi="Barlow Semi Condensed"/>
          <w:sz w:val="24"/>
          <w:szCs w:val="24"/>
        </w:rPr>
        <w:t xml:space="preserve">Formula identica alla Fase nona: «già certificato» rinvia ai blocchi delle tranche precedenti; «verificato ora» indica la campagna esterna di questa tranche; «attribuito» lascia l'asserzione in capo alla fonte nominata; gli esiti negativi sono iscritti come Stato Zero.</w:t>
      </w:r>
    </w:p>
    <w:p>
      <w:pPr>
        <w:spacing w:after="120" w:line="276"/>
        <w:jc w:val="both"/>
      </w:pPr>
      <w:r>
        <w:rPr>
          <w:rFonts w:ascii="Barlow Semi Condensed" w:cs="Barlow Semi Condensed" w:eastAsia="Barlow Semi Condensed" w:hAnsi="Barlow Semi Condensed"/>
          <w:sz w:val="24"/>
          <w:szCs w:val="24"/>
        </w:rPr>
        <w:t xml:space="preserve">Innesco e metrica (blocchi centotrentanove–centoquarantadue)</w:t>
      </w:r>
    </w:p>
    <w:p>
      <w:pPr>
        <w:spacing w:after="120" w:line="276"/>
        <w:jc w:val="both"/>
      </w:pPr>
      <w:r>
        <w:rPr>
          <w:rFonts w:ascii="Barlow Semi Condensed" w:cs="Barlow Semi Condensed" w:eastAsia="Barlow Semi Condensed" w:hAnsi="Barlow Semi Condensed"/>
          <w:sz w:val="24"/>
          <w:szCs w:val="24"/>
        </w:rPr>
        <w:t xml:space="preserve">Blocco centotrentanove. La monografia-innesco: edizione dell'undici agosto duemilaventisei, duecentottantasei pagine, quattordici note, tre approfondimenti, capitolo di triangolazione, impronte crittografiche: statuto di monografia interna con gradazioni proprie, Livello A quale atto del corpus.</w:t>
      </w:r>
    </w:p>
    <w:p>
      <w:pPr>
        <w:spacing w:after="120" w:line="276"/>
        <w:jc w:val="both"/>
      </w:pPr>
      <w:r>
        <w:rPr>
          <w:rFonts w:ascii="Barlow Semi Condensed" w:cs="Barlow Semi Condensed" w:eastAsia="Barlow Semi Condensed" w:hAnsi="Barlow Semi Condensed"/>
          <w:sz w:val="24"/>
          <w:szCs w:val="24"/>
        </w:rPr>
        <w:t xml:space="preserve">Blocco centoquaranta. La metrica interna e la tavola di equivalenza con lo standard Savona: dichiarata e adottata; ogni verdetto interno è riversato nel grado corrispondente.</w:t>
      </w:r>
    </w:p>
    <w:p>
      <w:pPr>
        <w:spacing w:after="120" w:line="276"/>
        <w:jc w:val="both"/>
      </w:pPr>
      <w:r>
        <w:rPr>
          <w:rFonts w:ascii="Barlow Semi Condensed" w:cs="Barlow Semi Condensed" w:eastAsia="Barlow Semi Condensed" w:hAnsi="Barlow Semi Condensed"/>
          <w:sz w:val="24"/>
          <w:szCs w:val="24"/>
        </w:rPr>
        <w:t xml:space="preserve">Blocco centoquarantuno. Il censimento degli URL dell'innesco: novecentosessantatré indirizzi unici, con prevalenza di enciclopedie generaliste e presenza di fonti primarie di rango; lista agli atti della sessione.</w:t>
      </w:r>
    </w:p>
    <w:p>
      <w:pPr>
        <w:spacing w:after="120" w:line="276"/>
        <w:jc w:val="both"/>
      </w:pPr>
      <w:r>
        <w:rPr>
          <w:rFonts w:ascii="Barlow Semi Condensed" w:cs="Barlow Semi Condensed" w:eastAsia="Barlow Semi Condensed" w:hAnsi="Barlow Semi Condensed"/>
          <w:sz w:val="24"/>
          <w:szCs w:val="24"/>
        </w:rPr>
        <w:t xml:space="preserve">Blocco centoquarantadue. Rilievo critico sull'apparato: undici occorrenze della fonte permanentemente esclusa dal progetto e diciassette dell'enciclopedia collaborativa non citabile: interdette le prime, declassate le seconde a indicatori; difetto formale che non intacca le gambe fondate su atti.</w:t>
      </w:r>
    </w:p>
    <w:p>
      <w:pPr>
        <w:spacing w:after="120" w:line="276"/>
        <w:jc w:val="both"/>
      </w:pPr>
      <w:r>
        <w:rPr>
          <w:rFonts w:ascii="Barlow Semi Condensed" w:cs="Barlow Semi Condensed" w:eastAsia="Barlow Semi Condensed" w:hAnsi="Barlow Semi Condensed"/>
          <w:sz w:val="24"/>
          <w:szCs w:val="24"/>
        </w:rPr>
        <w:t xml:space="preserve">Il nucleo di Lisbona e le persone (blocchi centoquarantatré–centocinquanta)</w:t>
      </w:r>
    </w:p>
    <w:p>
      <w:pPr>
        <w:spacing w:after="120" w:line="276"/>
        <w:jc w:val="both"/>
      </w:pPr>
      <w:r>
        <w:rPr>
          <w:rFonts w:ascii="Barlow Semi Condensed" w:cs="Barlow Semi Condensed" w:eastAsia="Barlow Semi Condensed" w:hAnsi="Barlow Semi Condensed"/>
          <w:sz w:val="24"/>
          <w:szCs w:val="24"/>
        </w:rPr>
        <w:t xml:space="preserve">Blocco centoquarantatré. Guérin-Sérac, alias Guillou: ufficiale francese, cofondatore dell'OAS a Madrid nel millenovecentosessantuno, condannato in contumacia per diserzione, a Lisbona dal millenovecentosessantadue, fondatore-direttore della struttura dal settembre millenovecentosessantasei; morto il nove marzo duemilaventidue presso Tolone, a novantasei anni, secondo la notizia data dal giornalista che ne ricostruì la vicenda: Livello A su esistenza, direzione e ingaggio; la riapparizione spagnola del duemilasei sta a Livello B.</w:t>
      </w:r>
    </w:p>
    <w:p>
      <w:pPr>
        <w:spacing w:after="120" w:line="276"/>
        <w:jc w:val="both"/>
      </w:pPr>
      <w:r>
        <w:rPr>
          <w:rFonts w:ascii="Barlow Semi Condensed" w:cs="Barlow Semi Condensed" w:eastAsia="Barlow Semi Condensed" w:hAnsi="Barlow Semi Condensed"/>
          <w:sz w:val="24"/>
          <w:szCs w:val="24"/>
        </w:rPr>
        <w:t xml:space="preserve">Blocco centoquarantaquattro. Il contratto con la polizia politica portoghese ritrovato in archivio e le sigle di copertura Ordre et Tradition e OACI: Livello A documentale.</w:t>
      </w:r>
    </w:p>
    <w:p>
      <w:pPr>
        <w:spacing w:after="120" w:line="276"/>
        <w:jc w:val="both"/>
      </w:pPr>
      <w:r>
        <w:rPr>
          <w:rFonts w:ascii="Barlow Semi Condensed" w:cs="Barlow Semi Condensed" w:eastAsia="Barlow Semi Condensed" w:hAnsi="Barlow Semi Condensed"/>
          <w:sz w:val="24"/>
          <w:szCs w:val="24"/>
        </w:rPr>
        <w:t xml:space="preserve">Blocco centoquarantacinque. Robert Leroy: già delle formazioni collaborazioniste valloni, braccio destro del fondatore, missioni africane sotto copertura giornalistica filo-maoista, rete italiana di circa trenta agenti secondo l'inchiesta coeva, incontro di Abbiategrasso del marzo millenovecentosessantasette: Livello A sui fatti accertati, Livello B sulla consistenza numerica della rete.</w:t>
      </w:r>
    </w:p>
    <w:p>
      <w:pPr>
        <w:spacing w:after="120" w:line="276"/>
        <w:jc w:val="both"/>
      </w:pPr>
      <w:r>
        <w:rPr>
          <w:rFonts w:ascii="Barlow Semi Condensed" w:cs="Barlow Semi Condensed" w:eastAsia="Barlow Semi Condensed" w:hAnsi="Barlow Semi Condensed"/>
          <w:sz w:val="24"/>
          <w:szCs w:val="24"/>
        </w:rPr>
        <w:t xml:space="preserve">Blocco centoquarantasei. Jean-Marie Laurent, coppia operativa di Leroy nelle missioni africane sotto la medesima copertura: Livello B.</w:t>
      </w:r>
    </w:p>
    <w:p>
      <w:pPr>
        <w:spacing w:after="120" w:line="276"/>
        <w:jc w:val="both"/>
      </w:pPr>
      <w:r>
        <w:rPr>
          <w:rFonts w:ascii="Barlow Semi Condensed" w:cs="Barlow Semi Condensed" w:eastAsia="Barlow Semi Condensed" w:hAnsi="Barlow Semi Condensed"/>
          <w:sz w:val="24"/>
          <w:szCs w:val="24"/>
        </w:rPr>
        <w:t xml:space="preserve">Blocco centoquarantasette. João da Silva, quadro in fuga con il fondatore nel millenovecentosettantaquattro verso la Spagna e Caracas: Livello B su fonte unica, dichiarata.</w:t>
      </w:r>
    </w:p>
    <w:p>
      <w:pPr>
        <w:spacing w:after="120" w:line="276"/>
        <w:jc w:val="both"/>
      </w:pPr>
      <w:r>
        <w:rPr>
          <w:rFonts w:ascii="Barlow Semi Condensed" w:cs="Barlow Semi Condensed" w:eastAsia="Barlow Semi Condensed" w:hAnsi="Barlow Semi Condensed"/>
          <w:sz w:val="24"/>
          <w:szCs w:val="24"/>
        </w:rPr>
        <w:t xml:space="preserve">Blocco centoquarantotto. Gérald Bulliard, direttore della testata di copertura e tramite d'appoggio dell'ambasciata cinese di Berna per gli accrediti: Livello B sulla funzione; Livello C sulla natura del personaggio, con la cautela dello storico di riferimento sul possibile provocatore.</w:t>
      </w:r>
    </w:p>
    <w:p>
      <w:pPr>
        <w:spacing w:after="120" w:line="276"/>
        <w:jc w:val="both"/>
      </w:pPr>
      <w:r>
        <w:rPr>
          <w:rFonts w:ascii="Barlow Semi Condensed" w:cs="Barlow Semi Condensed" w:eastAsia="Barlow Semi Condensed" w:hAnsi="Barlow Semi Condensed"/>
          <w:sz w:val="24"/>
          <w:szCs w:val="24"/>
        </w:rPr>
        <w:t xml:space="preserve">Blocco centoquarantanove. Casimiro Monteiro, esecutore della polizia politica, già esecutore materiale dell'omicidio Delgado e indicato per l'omicidio Mondlane: Livello A sul primo, attribuzione contesa sul secondo.</w:t>
      </w:r>
    </w:p>
    <w:p>
      <w:pPr>
        <w:spacing w:after="120" w:line="276"/>
        <w:jc w:val="both"/>
      </w:pPr>
      <w:r>
        <w:rPr>
          <w:rFonts w:ascii="Barlow Semi Condensed" w:cs="Barlow Semi Condensed" w:eastAsia="Barlow Semi Condensed" w:hAnsi="Barlow Semi Condensed"/>
          <w:sz w:val="24"/>
          <w:szCs w:val="24"/>
        </w:rPr>
        <w:t xml:space="preserve">Blocco centocinquanta. La fine con la Rivoluzione dei Garofani dell'aprile millenovecentosettantaquattro, la fuga dei quadri e il sequestro dell'archivio, le cui risultanze alimentarono le istruttorie europee: Livello A.</w:t>
      </w:r>
    </w:p>
    <w:p>
      <w:pPr>
        <w:spacing w:after="120" w:line="276"/>
        <w:jc w:val="both"/>
      </w:pPr>
      <w:r>
        <w:rPr>
          <w:rFonts w:ascii="Barlow Semi Condensed" w:cs="Barlow Semi Condensed" w:eastAsia="Barlow Semi Condensed" w:hAnsi="Barlow Semi Condensed"/>
          <w:sz w:val="24"/>
          <w:szCs w:val="24"/>
        </w:rPr>
        <w:t xml:space="preserve">Il capitolo italiano giudiziario (blocchi centocinquantuno–centocinquantotto)</w:t>
      </w:r>
    </w:p>
    <w:p>
      <w:pPr>
        <w:spacing w:after="120" w:line="276"/>
        <w:jc w:val="both"/>
      </w:pPr>
      <w:r>
        <w:rPr>
          <w:rFonts w:ascii="Barlow Semi Condensed" w:cs="Barlow Semi Condensed" w:eastAsia="Barlow Semi Condensed" w:hAnsi="Barlow Semi Condensed"/>
          <w:sz w:val="24"/>
          <w:szCs w:val="24"/>
        </w:rPr>
        <w:t xml:space="preserve">Blocco centocinquantuno. Il convegno Pollio del tre-cinque maggio millenovecentosessantacinque quale antecedente ideologico, con la partecipazione di Giannettini, Rauti, Delle Chiaie e Merlino: Livello A.</w:t>
      </w:r>
    </w:p>
    <w:p>
      <w:pPr>
        <w:spacing w:after="120" w:line="276"/>
        <w:jc w:val="both"/>
      </w:pPr>
      <w:r>
        <w:rPr>
          <w:rFonts w:ascii="Barlow Semi Condensed" w:cs="Barlow Semi Condensed" w:eastAsia="Barlow Semi Condensed" w:hAnsi="Barlow Semi Condensed"/>
          <w:sz w:val="24"/>
          <w:szCs w:val="24"/>
        </w:rPr>
        <w:t xml:space="preserve">Blocco centocinquantadue. La conoscenza tra Giannettini e Guérin-Sérac dal millenovecentosessantaquattro a Lisbona, con presentazione in ambito OAS e di polizia politica: Livello A da istruttoria.</w:t>
      </w:r>
    </w:p>
    <w:p>
      <w:pPr>
        <w:spacing w:after="120" w:line="276"/>
        <w:jc w:val="both"/>
      </w:pPr>
      <w:r>
        <w:rPr>
          <w:rFonts w:ascii="Barlow Semi Condensed" w:cs="Barlow Semi Condensed" w:eastAsia="Barlow Semi Condensed" w:hAnsi="Barlow Semi Condensed"/>
          <w:sz w:val="24"/>
          <w:szCs w:val="24"/>
        </w:rPr>
        <w:t xml:space="preserve">Blocco centocinquantatré. Abbiategrasso, marzo millenovecentosessantasette: l'incontro tra Leroy e Maggi in ambito Nouvel Ordre Européen: Livello A da istruttoria.</w:t>
      </w:r>
    </w:p>
    <w:p>
      <w:pPr>
        <w:spacing w:after="120" w:line="276"/>
        <w:jc w:val="both"/>
      </w:pPr>
      <w:r>
        <w:rPr>
          <w:rFonts w:ascii="Barlow Semi Condensed" w:cs="Barlow Semi Condensed" w:eastAsia="Barlow Semi Condensed" w:hAnsi="Barlow Semi Condensed"/>
          <w:sz w:val="24"/>
          <w:szCs w:val="24"/>
        </w:rPr>
        <w:t xml:space="preserve">Blocco centocinquantaquattro. Il corso lisbonese del luglio millenovecentosessantasette del militante ordinovista spezzino: Livello A da istruttoria.</w:t>
      </w:r>
    </w:p>
    <w:p>
      <w:pPr>
        <w:spacing w:after="120" w:line="276"/>
        <w:jc w:val="both"/>
      </w:pPr>
      <w:r>
        <w:rPr>
          <w:rFonts w:ascii="Barlow Semi Condensed" w:cs="Barlow Semi Condensed" w:eastAsia="Barlow Semi Condensed" w:hAnsi="Barlow Semi Condensed"/>
          <w:sz w:val="24"/>
          <w:szCs w:val="24"/>
        </w:rPr>
        <w:t xml:space="preserve">Blocco centocinquantacinque. Gli istruttori di Aginter a Roma tra il millenovecentosessantasette e il millenovecentosessantotto per l'addestramento agli esplosivi di militanti di Avanguardia Nazionale: formula testuale del giudice istruttore alla Commissione stragi, resoconto stenografico nono: Livello A quale accertamento istruttorio enunciato in sede parlamentare.</w:t>
      </w:r>
    </w:p>
    <w:p>
      <w:pPr>
        <w:spacing w:after="120" w:line="276"/>
        <w:jc w:val="both"/>
      </w:pPr>
      <w:r>
        <w:rPr>
          <w:rFonts w:ascii="Barlow Semi Condensed" w:cs="Barlow Semi Condensed" w:eastAsia="Barlow Semi Condensed" w:hAnsi="Barlow Semi Condensed"/>
          <w:sz w:val="24"/>
          <w:szCs w:val="24"/>
        </w:rPr>
        <w:t xml:space="preserve">Blocco centocinquantasei. Armando Mortilla, alias Aristo, informatore ministeriale per un ventennio, tessitore dei rapporti tra Aginter e Ordine Nuovo: Livello A da perizia d'archivio; la circolarità tra struttura estera, formazioni nazionali e apparati è il dato metodologico centrale del capitolo.</w:t>
      </w:r>
    </w:p>
    <w:p>
      <w:pPr>
        <w:spacing w:after="120" w:line="276"/>
        <w:jc w:val="both"/>
      </w:pPr>
      <w:r>
        <w:rPr>
          <w:rFonts w:ascii="Barlow Semi Condensed" w:cs="Barlow Semi Condensed" w:eastAsia="Barlow Semi Condensed" w:hAnsi="Barlow Semi Condensed"/>
          <w:sz w:val="24"/>
          <w:szCs w:val="24"/>
        </w:rPr>
        <w:t xml:space="preserve">Blocco centocinquantasette. L'incontro romano tra Guérin-Sérac e Rauti del trenta gennaio-primo febbraio millenovecentosessantotto: Livello A da istruttoria.</w:t>
      </w:r>
    </w:p>
    <w:p>
      <w:pPr>
        <w:spacing w:after="120" w:line="276"/>
        <w:jc w:val="both"/>
      </w:pPr>
      <w:r>
        <w:rPr>
          <w:rFonts w:ascii="Barlow Semi Condensed" w:cs="Barlow Semi Condensed" w:eastAsia="Barlow Semi Condensed" w:hAnsi="Barlow Semi Condensed"/>
          <w:sz w:val="24"/>
          <w:szCs w:val="24"/>
        </w:rPr>
        <w:t xml:space="preserve">Blocco centocinquantotto. La velina dei sedici-diciassette dicembre millenovecentosessantanove e il documento dell'undici aprile millenovecentosettanta: parte plausibile e parte depistante della prima, deliberazione del depistaggio provata dal secondo; la velina resta fonte a Livello B quale contenuto, il depistaggio sta a Livello A quale fatto documentale.</w:t>
      </w:r>
    </w:p>
    <w:p>
      <w:pPr>
        <w:spacing w:after="120" w:line="276"/>
        <w:jc w:val="both"/>
      </w:pPr>
      <w:r>
        <w:rPr>
          <w:rFonts w:ascii="Barlow Semi Condensed" w:cs="Barlow Semi Condensed" w:eastAsia="Barlow Semi Condensed" w:hAnsi="Barlow Semi Condensed"/>
          <w:sz w:val="24"/>
          <w:szCs w:val="24"/>
        </w:rPr>
        <w:t xml:space="preserve">L'elenco dei servizi e la critica della fonte (blocchi centocinquantanove–centosessantasei)</w:t>
      </w:r>
    </w:p>
    <w:p>
      <w:pPr>
        <w:spacing w:after="120" w:line="276"/>
        <w:jc w:val="both"/>
      </w:pPr>
      <w:r>
        <w:rPr>
          <w:rFonts w:ascii="Barlow Semi Condensed" w:cs="Barlow Semi Condensed" w:eastAsia="Barlow Semi Condensed" w:hAnsi="Barlow Semi Condensed"/>
          <w:sz w:val="24"/>
          <w:szCs w:val="24"/>
        </w:rPr>
        <w:t xml:space="preserve">Blocco centocinquantanove. Il legame genetico con il servizio francese e la successiva rottura, con la protezione politica attesa dopo il tramonto gaullista: Livello B, da dichiarazioni e ricostruzioni convergenti.</w:t>
      </w:r>
    </w:p>
    <w:p>
      <w:pPr>
        <w:spacing w:after="120" w:line="276"/>
        <w:jc w:val="both"/>
      </w:pPr>
      <w:r>
        <w:rPr>
          <w:rFonts w:ascii="Barlow Semi Condensed" w:cs="Barlow Semi Condensed" w:eastAsia="Barlow Semi Condensed" w:hAnsi="Barlow Semi Condensed"/>
          <w:sz w:val="24"/>
          <w:szCs w:val="24"/>
        </w:rPr>
        <w:t xml:space="preserve">Blocco centosessanta. Il servizio federale tedesco: la voce più circolata dell'elenco e la meno fondata: Livello C, attribuito.</w:t>
      </w:r>
    </w:p>
    <w:p>
      <w:pPr>
        <w:spacing w:after="120" w:line="276"/>
        <w:jc w:val="both"/>
      </w:pPr>
      <w:r>
        <w:rPr>
          <w:rFonts w:ascii="Barlow Semi Condensed" w:cs="Barlow Semi Condensed" w:eastAsia="Barlow Semi Condensed" w:hAnsi="Barlow Semi Condensed"/>
          <w:sz w:val="24"/>
          <w:szCs w:val="24"/>
        </w:rPr>
        <w:t xml:space="preserve">Blocco centosessantuno. Il servizio spagnolo: la voce meglio fondata dell'elenco quanto a contesto, ma senza atto diretto: Livello B.</w:t>
      </w:r>
    </w:p>
    <w:p>
      <w:pPr>
        <w:spacing w:after="120" w:line="276"/>
        <w:jc w:val="both"/>
      </w:pPr>
      <w:r>
        <w:rPr>
          <w:rFonts w:ascii="Barlow Semi Condensed" w:cs="Barlow Semi Condensed" w:eastAsia="Barlow Semi Condensed" w:hAnsi="Barlow Semi Condensed"/>
          <w:sz w:val="24"/>
          <w:szCs w:val="24"/>
        </w:rPr>
        <w:t xml:space="preserve">Blocco centosessantadue. Il servizio greco dei colonnelli: la voce meglio documentata di tutte, e da fonte propria: Livello B.</w:t>
      </w:r>
    </w:p>
    <w:p>
      <w:pPr>
        <w:spacing w:after="120" w:line="276"/>
        <w:jc w:val="both"/>
      </w:pPr>
      <w:r>
        <w:rPr>
          <w:rFonts w:ascii="Barlow Semi Condensed" w:cs="Barlow Semi Condensed" w:eastAsia="Barlow Semi Condensed" w:hAnsi="Barlow Semi Condensed"/>
          <w:sz w:val="24"/>
          <w:szCs w:val="24"/>
        </w:rPr>
        <w:t xml:space="preserve">Blocco centosessantatré. Il servizio britannico: assenza di riscontro: Stato Zero dichiarato.</w:t>
      </w:r>
    </w:p>
    <w:p>
      <w:pPr>
        <w:spacing w:after="120" w:line="276"/>
        <w:jc w:val="both"/>
      </w:pPr>
      <w:r>
        <w:rPr>
          <w:rFonts w:ascii="Barlow Semi Condensed" w:cs="Barlow Semi Condensed" w:eastAsia="Barlow Semi Condensed" w:hAnsi="Barlow Semi Condensed"/>
          <w:sz w:val="24"/>
          <w:szCs w:val="24"/>
        </w:rPr>
        <w:t xml:space="preserve">Blocco centosessantaquattro. Il servizio israeliano e il nodo di Tel Aviv: assenza di riscontro con una pista onomastica isolata: Stato Zero con appendice a Livello C.</w:t>
      </w:r>
    </w:p>
    <w:p>
      <w:pPr>
        <w:spacing w:after="120" w:line="276"/>
        <w:jc w:val="both"/>
      </w:pPr>
      <w:r>
        <w:rPr>
          <w:rFonts w:ascii="Barlow Semi Condensed" w:cs="Barlow Semi Condensed" w:eastAsia="Barlow Semi Condensed" w:hAnsi="Barlow Semi Condensed"/>
          <w:sz w:val="24"/>
          <w:szCs w:val="24"/>
        </w:rPr>
        <w:t xml:space="preserve">Blocco centosessantacinque. Il quadro atlantico e la questione della rete stay-behind: cornice da maneggiare come contesto, non come appartenenza: nessuna identità tra la struttura lisbonese e la rete clandestina atlantica è provata; Livello C su ogni saldatura.</w:t>
      </w:r>
    </w:p>
    <w:p>
      <w:pPr>
        <w:spacing w:after="120" w:line="276"/>
        <w:jc w:val="both"/>
      </w:pPr>
      <w:r>
        <w:rPr>
          <w:rFonts w:ascii="Barlow Semi Condensed" w:cs="Barlow Semi Condensed" w:eastAsia="Barlow Semi Condensed" w:hAnsi="Barlow Semi Condensed"/>
          <w:sz w:val="24"/>
          <w:szCs w:val="24"/>
        </w:rPr>
        <w:t xml:space="preserve">Blocco centosessantasei. La sintesi comparativa dell'elenco e la critica della fonte portoghese post-rivoluzionaria che lo genera: l'elenco dei committenti è testimonianza di servizio vincitore su servizio vinto, da pesare voce per voce: regola adottata.</w:t>
      </w:r>
    </w:p>
    <w:p>
      <w:pPr>
        <w:spacing w:after="120" w:line="276"/>
        <w:jc w:val="both"/>
      </w:pPr>
      <w:r>
        <w:rPr>
          <w:rFonts w:ascii="Barlow Semi Condensed" w:cs="Barlow Semi Condensed" w:eastAsia="Barlow Semi Condensed" w:hAnsi="Barlow Semi Condensed"/>
          <w:sz w:val="24"/>
          <w:szCs w:val="24"/>
        </w:rPr>
        <w:t xml:space="preserve">Lo Stato Zero orientale (blocchi centosessantasette–centosettantadue)</w:t>
      </w:r>
    </w:p>
    <w:p>
      <w:pPr>
        <w:spacing w:after="120" w:line="276"/>
        <w:jc w:val="both"/>
      </w:pPr>
      <w:r>
        <w:rPr>
          <w:rFonts w:ascii="Barlow Semi Condensed" w:cs="Barlow Semi Condensed" w:eastAsia="Barlow Semi Condensed" w:hAnsi="Barlow Semi Condensed"/>
          <w:sz w:val="24"/>
          <w:szCs w:val="24"/>
        </w:rPr>
        <w:t xml:space="preserve">Blocco centosessantasette. La dottrina della struttura fu anticomunismo da guerra fredda; la spaccatura sino-sovietica fu terreno operativo di copertura: Livello A documentale sui testi interni.</w:t>
      </w:r>
    </w:p>
    <w:p>
      <w:pPr>
        <w:spacing w:after="120" w:line="276"/>
        <w:jc w:val="both"/>
      </w:pPr>
      <w:r>
        <w:rPr>
          <w:rFonts w:ascii="Barlow Semi Condensed" w:cs="Barlow Semi Condensed" w:eastAsia="Barlow Semi Condensed" w:hAnsi="Barlow Semi Condensed"/>
          <w:sz w:val="24"/>
          <w:szCs w:val="24"/>
        </w:rPr>
        <w:t xml:space="preserve">Blocco centosessantotto. Il campo di battaglia reale fu l'Africa lusofona, teatro delle operazioni più letali: Livello A.</w:t>
      </w:r>
    </w:p>
    <w:p>
      <w:pPr>
        <w:spacing w:after="120" w:line="276"/>
        <w:jc w:val="both"/>
      </w:pPr>
      <w:r>
        <w:rPr>
          <w:rFonts w:ascii="Barlow Semi Condensed" w:cs="Barlow Semi Condensed" w:eastAsia="Barlow Semi Condensed" w:hAnsi="Barlow Semi Condensed"/>
          <w:sz w:val="24"/>
          <w:szCs w:val="24"/>
        </w:rPr>
        <w:t xml:space="preserve">Blocco centosessantanove. Negli archivi oggi accessibili dell'Est non emergono fascicoli sulla struttura: Stato Zero quale esito di ricerca, distinto dalla prova di assenza per la distruzione massiccia dei fascicoli cecoslovacchi del millenovecentottantanove-novanta; verifica definitiva sugli indici analitici consegnata all'agenda.</w:t>
      </w:r>
    </w:p>
    <w:p>
      <w:pPr>
        <w:spacing w:after="120" w:line="276"/>
        <w:jc w:val="both"/>
      </w:pPr>
      <w:r>
        <w:rPr>
          <w:rFonts w:ascii="Barlow Semi Condensed" w:cs="Barlow Semi Condensed" w:eastAsia="Barlow Semi Condensed" w:hAnsi="Barlow Semi Condensed"/>
          <w:sz w:val="24"/>
          <w:szCs w:val="24"/>
        </w:rPr>
        <w:t xml:space="preserve">Blocco centosettanta. Il rapporto sul KGB in Europa consegnato da Delle Chiaie a Dimitri nel millenovecentosettantanove: certo l'episodio, possibile ogni lettura eccedente: Livello A sul fatto, Livello C su ogni inferenza.</w:t>
      </w:r>
    </w:p>
    <w:p>
      <w:pPr>
        <w:spacing w:after="120" w:line="276"/>
        <w:jc w:val="both"/>
      </w:pPr>
      <w:r>
        <w:rPr>
          <w:rFonts w:ascii="Barlow Semi Condensed" w:cs="Barlow Semi Condensed" w:eastAsia="Barlow Semi Condensed" w:hAnsi="Barlow Semi Condensed"/>
          <w:sz w:val="24"/>
          <w:szCs w:val="24"/>
        </w:rPr>
        <w:t xml:space="preserve">Blocco centosettantuno. Le piste orientali sulle stragi italiane quali depistaggi interni: certo per Bologna secondo le sentenze — già blocchi ventisei-ventotto — controverso per l'attentato al Papa: gradi distinti, saldature vietate.</w:t>
      </w:r>
    </w:p>
    <w:p>
      <w:pPr>
        <w:spacing w:after="120" w:line="276"/>
        <w:jc w:val="both"/>
      </w:pPr>
      <w:r>
        <w:rPr>
          <w:rFonts w:ascii="Barlow Semi Condensed" w:cs="Barlow Semi Condensed" w:eastAsia="Barlow Semi Condensed" w:hAnsi="Barlow Semi Condensed"/>
          <w:sz w:val="24"/>
          <w:szCs w:val="24"/>
        </w:rPr>
        <w:t xml:space="preserve">Blocco centosettantadue. Le raccomandazioni della monografia sul fronte orientale — trattare lo scontro come indiretto e ideologico, interrogare gli indici cecoslovacchi, verificare il fondo portoghese — adottate come agenda della sesta tranche.</w:t>
      </w:r>
    </w:p>
    <w:p>
      <w:pPr>
        <w:spacing w:after="120" w:line="276"/>
        <w:jc w:val="both"/>
      </w:pPr>
      <w:r>
        <w:rPr>
          <w:rFonts w:ascii="Barlow Semi Condensed" w:cs="Barlow Semi Condensed" w:eastAsia="Barlow Semi Condensed" w:hAnsi="Barlow Semi Condensed"/>
          <w:sz w:val="24"/>
          <w:szCs w:val="24"/>
        </w:rPr>
        <w:t xml:space="preserve">Il non-nesso Kissinger (blocchi centosettantatré–centosettantasei)</w:t>
      </w:r>
    </w:p>
    <w:p>
      <w:pPr>
        <w:spacing w:after="120" w:line="276"/>
        <w:jc w:val="both"/>
      </w:pPr>
      <w:r>
        <w:rPr>
          <w:rFonts w:ascii="Barlow Semi Condensed" w:cs="Barlow Semi Condensed" w:eastAsia="Barlow Semi Condensed" w:hAnsi="Barlow Semi Condensed"/>
          <w:sz w:val="24"/>
          <w:szCs w:val="24"/>
        </w:rPr>
        <w:t xml:space="preserve">Blocco centosettantatré. Il silenzio degli archivi statunitensi accessibili su ogni nome e sigla della struttura: certo con riserva sul classificato: Stato Zero di prima classe, con onere della prova spostato su chi afferma.</w:t>
      </w:r>
    </w:p>
    <w:p>
      <w:pPr>
        <w:spacing w:after="120" w:line="276"/>
        <w:jc w:val="both"/>
      </w:pPr>
      <w:r>
        <w:rPr>
          <w:rFonts w:ascii="Barlow Semi Condensed" w:cs="Barlow Semi Condensed" w:eastAsia="Barlow Semi Condensed" w:hAnsi="Barlow Semi Condensed"/>
          <w:sz w:val="24"/>
          <w:szCs w:val="24"/>
        </w:rPr>
        <w:t xml:space="preserve">Blocco centosettantaquattro. La cronologia scagiona il rapporto personale: la sovrapposizione temporale esiste, ma nel dossier portoghese direttamente trattato la struttura è già dissolta: certo.</w:t>
      </w:r>
    </w:p>
    <w:p>
      <w:pPr>
        <w:spacing w:after="120" w:line="276"/>
        <w:jc w:val="both"/>
      </w:pPr>
      <w:r>
        <w:rPr>
          <w:rFonts w:ascii="Barlow Semi Condensed" w:cs="Barlow Semi Condensed" w:eastAsia="Barlow Semi Condensed" w:hAnsi="Barlow Semi Condensed"/>
          <w:sz w:val="24"/>
          <w:szCs w:val="24"/>
        </w:rPr>
        <w:t xml:space="preserve">Blocco centosettantacinque. Le testimonianze italiane evocano la politica americana e l'agenzia, mai la persona quale anello verso la struttura o le stragi: altamente probabile, riversato a Livello B.</w:t>
      </w:r>
    </w:p>
    <w:p>
      <w:pPr>
        <w:spacing w:after="120" w:line="276"/>
        <w:jc w:val="both"/>
      </w:pPr>
      <w:r>
        <w:rPr>
          <w:rFonts w:ascii="Barlow Semi Condensed" w:cs="Barlow Semi Condensed" w:eastAsia="Barlow Semi Condensed" w:hAnsi="Barlow Semi Condensed"/>
          <w:sz w:val="24"/>
          <w:szCs w:val="24"/>
        </w:rPr>
        <w:t xml:space="preserve">Blocco centosettantasei. La tesi dell'addestramento del gruppo cileno: conflazione terziaria verosimilmente infondata, smentita dalla fonte che dovrebbe fondarla: rilievo critico verso la letteratura, non verso la monografia.</w:t>
      </w:r>
    </w:p>
    <w:p>
      <w:pPr>
        <w:spacing w:after="120" w:line="276"/>
        <w:jc w:val="both"/>
      </w:pPr>
      <w:r>
        <w:rPr>
          <w:rFonts w:ascii="Barlow Semi Condensed" w:cs="Barlow Semi Condensed" w:eastAsia="Barlow Semi Condensed" w:hAnsi="Barlow Semi Condensed"/>
          <w:sz w:val="24"/>
          <w:szCs w:val="24"/>
        </w:rPr>
        <w:t xml:space="preserve">L'asse religioso (blocchi centosettantasette–centottantaquattro)</w:t>
      </w:r>
    </w:p>
    <w:p>
      <w:pPr>
        <w:spacing w:after="120" w:line="276"/>
        <w:jc w:val="both"/>
      </w:pPr>
      <w:r>
        <w:rPr>
          <w:rFonts w:ascii="Barlow Semi Condensed" w:cs="Barlow Semi Condensed" w:eastAsia="Barlow Semi Condensed" w:hAnsi="Barlow Semi Condensed"/>
          <w:sz w:val="24"/>
          <w:szCs w:val="24"/>
        </w:rPr>
        <w:t xml:space="preserve">Blocco centosettantasette. La religiosità personale e organizzativa del fondatore: certa su fonti primarie — dichiarazioni di Vinciguerra, intervista, video-testamento, simbologia: Livello A.</w:t>
      </w:r>
    </w:p>
    <w:p>
      <w:pPr>
        <w:spacing w:after="120" w:line="276"/>
        <w:jc w:val="both"/>
      </w:pPr>
      <w:r>
        <w:rPr>
          <w:rFonts w:ascii="Barlow Semi Condensed" w:cs="Barlow Semi Condensed" w:eastAsia="Barlow Semi Condensed" w:hAnsi="Barlow Semi Condensed"/>
          <w:sz w:val="24"/>
          <w:szCs w:val="24"/>
        </w:rPr>
        <w:t xml:space="preserve">Blocco centosettantotto. Il verdetto tripartito dell'asse: personale certo, reti coeve certe ma nesso organizzativo probabile, livello vaticano non provato: recepito integralmente.</w:t>
      </w:r>
    </w:p>
    <w:p>
      <w:pPr>
        <w:spacing w:after="120" w:line="276"/>
        <w:jc w:val="both"/>
      </w:pPr>
      <w:r>
        <w:rPr>
          <w:rFonts w:ascii="Barlow Semi Condensed" w:cs="Barlow Semi Condensed" w:eastAsia="Barlow Semi Condensed" w:hAnsi="Barlow Semi Condensed"/>
          <w:sz w:val="24"/>
          <w:szCs w:val="24"/>
        </w:rPr>
        <w:t xml:space="preserve">Blocco centosettantanove. La preghiera attribuita è testo di Zirnheld: precisazione filologica, Livello A.</w:t>
      </w:r>
    </w:p>
    <w:p>
      <w:pPr>
        <w:spacing w:after="120" w:line="276"/>
        <w:jc w:val="both"/>
      </w:pPr>
      <w:r>
        <w:rPr>
          <w:rFonts w:ascii="Barlow Semi Condensed" w:cs="Barlow Semi Condensed" w:eastAsia="Barlow Semi Condensed" w:hAnsi="Barlow Semi Condensed"/>
          <w:sz w:val="24"/>
          <w:szCs w:val="24"/>
        </w:rPr>
        <w:t xml:space="preserve">Blocco centottanta. La formula documentata è quella del monaco soldato, non altre correnti nella letteratura: Livello A filologico.</w:t>
      </w:r>
    </w:p>
    <w:p>
      <w:pPr>
        <w:spacing w:after="120" w:line="276"/>
        <w:jc w:val="both"/>
      </w:pPr>
      <w:r>
        <w:rPr>
          <w:rFonts w:ascii="Barlow Semi Condensed" w:cs="Barlow Semi Condensed" w:eastAsia="Barlow Semi Condensed" w:hAnsi="Barlow Semi Condensed"/>
          <w:sz w:val="24"/>
          <w:szCs w:val="24"/>
        </w:rPr>
        <w:t xml:space="preserve">Blocco centottantuno. La simbologia templare dell'organizzazione di copertura, documentata dall'inchiesta giornalistica di riferimento: Livello B.</w:t>
      </w:r>
    </w:p>
    <w:p>
      <w:pPr>
        <w:spacing w:after="120" w:line="276"/>
        <w:jc w:val="both"/>
      </w:pPr>
      <w:r>
        <w:rPr>
          <w:rFonts w:ascii="Barlow Semi Condensed" w:cs="Barlow Semi Condensed" w:eastAsia="Barlow Semi Condensed" w:hAnsi="Barlow Semi Condensed"/>
          <w:sz w:val="24"/>
          <w:szCs w:val="24"/>
        </w:rPr>
        <w:t xml:space="preserve">Blocco centottantadue. La Cité catholique quale matrice dottrinale della crociata controrivoluzionaria e la filiera argentina documentata dall'inchiesta francese: esistenza e dottrina a Livello A; nesso organizzativo con Aginter a Livello C.</w:t>
      </w:r>
    </w:p>
    <w:p>
      <w:pPr>
        <w:spacing w:after="120" w:line="276"/>
        <w:jc w:val="both"/>
      </w:pPr>
      <w:r>
        <w:rPr>
          <w:rFonts w:ascii="Barlow Semi Condensed" w:cs="Barlow Semi Condensed" w:eastAsia="Barlow Semi Condensed" w:hAnsi="Barlow Semi Condensed"/>
          <w:sz w:val="24"/>
          <w:szCs w:val="24"/>
        </w:rPr>
        <w:t xml:space="preserve">Blocco centottantatré. Il nazional-cattolicesimo iberico e portoghese quale ambiente, e la frizione italiana tra integralismo e strategia: Livello B ambientale.</w:t>
      </w:r>
    </w:p>
    <w:p>
      <w:pPr>
        <w:spacing w:after="120" w:line="276"/>
        <w:jc w:val="both"/>
      </w:pPr>
      <w:r>
        <w:rPr>
          <w:rFonts w:ascii="Barlow Semi Condensed" w:cs="Barlow Semi Condensed" w:eastAsia="Barlow Semi Condensed" w:hAnsi="Barlow Semi Condensed"/>
          <w:sz w:val="24"/>
          <w:szCs w:val="24"/>
        </w:rPr>
        <w:t xml:space="preserve">Blocco centottantaquattro. Il livello vaticano istituzionale: non provato e in tensione documentata con la politica orientale della Santa Sede: Stato Zero con perimetro dichiarato.</w:t>
      </w:r>
    </w:p>
    <w:p>
      <w:pPr>
        <w:spacing w:after="120" w:line="276"/>
        <w:jc w:val="both"/>
      </w:pPr>
      <w:r>
        <w:rPr>
          <w:rFonts w:ascii="Barlow Semi Condensed" w:cs="Barlow Semi Condensed" w:eastAsia="Barlow Semi Condensed" w:hAnsi="Barlow Semi Condensed"/>
          <w:sz w:val="24"/>
          <w:szCs w:val="24"/>
        </w:rPr>
        <w:t xml:space="preserve">Il piano sudafricano (blocchi centottantacinque–centonovantadue)</w:t>
      </w:r>
    </w:p>
    <w:p>
      <w:pPr>
        <w:spacing w:after="120" w:line="276"/>
        <w:jc w:val="both"/>
      </w:pPr>
      <w:r>
        <w:rPr>
          <w:rFonts w:ascii="Barlow Semi Condensed" w:cs="Barlow Semi Condensed" w:eastAsia="Barlow Semi Condensed" w:hAnsi="Barlow Semi Condensed"/>
          <w:sz w:val="24"/>
          <w:szCs w:val="24"/>
        </w:rPr>
        <w:t xml:space="preserve">Blocco centottantacinque. Il legame con i servizi di Pretoria: catena unica di fonti dal rapporto portoghese alla letteratura: da verificare, Livello C, con soglia di revisione dichiarata.</w:t>
      </w:r>
    </w:p>
    <w:p>
      <w:pPr>
        <w:spacing w:after="120" w:line="276"/>
        <w:jc w:val="both"/>
      </w:pPr>
      <w:r>
        <w:rPr>
          <w:rFonts w:ascii="Barlow Semi Condensed" w:cs="Barlow Semi Condensed" w:eastAsia="Barlow Semi Condensed" w:hAnsi="Barlow Semi Condensed"/>
          <w:sz w:val="24"/>
          <w:szCs w:val="24"/>
        </w:rPr>
        <w:t xml:space="preserve">Blocco centottantasei. Il giudizio dello storico di riferimento sulla menzione: non verificata e improbabile: adottato quale peso critico.</w:t>
      </w:r>
    </w:p>
    <w:p>
      <w:pPr>
        <w:spacing w:after="120" w:line="276"/>
        <w:jc w:val="both"/>
      </w:pPr>
      <w:r>
        <w:rPr>
          <w:rFonts w:ascii="Barlow Semi Condensed" w:cs="Barlow Semi Condensed" w:eastAsia="Barlow Semi Condensed" w:hAnsi="Barlow Semi Condensed"/>
          <w:sz w:val="24"/>
          <w:szCs w:val="24"/>
        </w:rPr>
        <w:t xml:space="preserve">Blocco centottantasette. L'infiltrazione di Leroy nel fronte mozambicano nel millenovecentosessantotto-sessantanove nell'ambito dell'operazione della polizia politica: certo: Livello A.</w:t>
      </w:r>
    </w:p>
    <w:p>
      <w:pPr>
        <w:spacing w:after="120" w:line="276"/>
        <w:jc w:val="both"/>
      </w:pPr>
      <w:r>
        <w:rPr>
          <w:rFonts w:ascii="Barlow Semi Condensed" w:cs="Barlow Semi Condensed" w:eastAsia="Barlow Semi Condensed" w:hAnsi="Barlow Semi Condensed"/>
          <w:sz w:val="24"/>
          <w:szCs w:val="24"/>
        </w:rPr>
        <w:t xml:space="preserve">Blocco centottantotto. L'omicidio Mondlane: attribuzione contesa, iscritta come tale.</w:t>
      </w:r>
    </w:p>
    <w:p>
      <w:pPr>
        <w:spacing w:after="120" w:line="276"/>
        <w:jc w:val="both"/>
      </w:pPr>
      <w:r>
        <w:rPr>
          <w:rFonts w:ascii="Barlow Semi Condensed" w:cs="Barlow Semi Condensed" w:eastAsia="Barlow Semi Condensed" w:hAnsi="Barlow Semi Condensed"/>
          <w:sz w:val="24"/>
          <w:szCs w:val="24"/>
        </w:rPr>
        <w:t xml:space="preserve">Blocco centottantanove. Il santuario di persone e non di strutture: la protezione sudafricana dell'esecutore fino alla morte nel gennaio millenovecentonovantatré: Livello A.</w:t>
      </w:r>
    </w:p>
    <w:p>
      <w:pPr>
        <w:spacing w:after="120" w:line="276"/>
        <w:jc w:val="both"/>
      </w:pPr>
      <w:r>
        <w:rPr>
          <w:rFonts w:ascii="Barlow Semi Condensed" w:cs="Barlow Semi Condensed" w:eastAsia="Barlow Semi Condensed" w:hAnsi="Barlow Semi Condensed"/>
          <w:sz w:val="24"/>
          <w:szCs w:val="24"/>
        </w:rPr>
        <w:t xml:space="preserve">Blocco centonovanta. La confluenza di ex agenti della polizia politica nella guerriglia mozambicana passata all'intelligence militare di Pretoria nel millenovecentottanta: continuità di filiera documentata: Livello A; continuità di struttura non provata.</w:t>
      </w:r>
    </w:p>
    <w:p>
      <w:pPr>
        <w:spacing w:after="120" w:line="276"/>
        <w:jc w:val="both"/>
      </w:pPr>
      <w:r>
        <w:rPr>
          <w:rFonts w:ascii="Barlow Semi Condensed" w:cs="Barlow Semi Condensed" w:eastAsia="Barlow Semi Condensed" w:hAnsi="Barlow Semi Condensed"/>
          <w:sz w:val="24"/>
          <w:szCs w:val="24"/>
        </w:rPr>
        <w:t xml:space="preserve">Blocco centonovantuno. La cooperazione trilaterale dell'Africa australe senza la struttura nella storiografia archivistica: Stato Zero sulla partecipazione.</w:t>
      </w:r>
    </w:p>
    <w:p>
      <w:pPr>
        <w:spacing w:after="120" w:line="276"/>
        <w:jc w:val="both"/>
      </w:pPr>
      <w:r>
        <w:rPr>
          <w:rFonts w:ascii="Barlow Semi Condensed" w:cs="Barlow Semi Condensed" w:eastAsia="Barlow Semi Condensed" w:hAnsi="Barlow Semi Condensed"/>
          <w:sz w:val="24"/>
          <w:szCs w:val="24"/>
        </w:rPr>
        <w:t xml:space="preserve">Blocco centonovantadue. Gli omicidi esterni degli anni Ottanta: matrice interna sudafricana accertata dalla commissione per la verità, nessuna manovalanza della rete in esame: Livello A sulla matrice, Stato Zero dichiarato sul coinvolgimento.</w:t>
      </w:r>
    </w:p>
    <w:p>
      <w:pPr>
        <w:spacing w:after="120" w:line="276"/>
        <w:jc w:val="both"/>
      </w:pPr>
      <w:r>
        <w:rPr>
          <w:rFonts w:ascii="Barlow Semi Condensed" w:cs="Barlow Semi Condensed" w:eastAsia="Barlow Semi Condensed" w:hAnsi="Barlow Semi Condensed"/>
          <w:sz w:val="24"/>
          <w:szCs w:val="24"/>
        </w:rPr>
        <w:t xml:space="preserve">Il nodo svizzero (blocchi centonovantatré–centonovantotto)</w:t>
      </w:r>
    </w:p>
    <w:p>
      <w:pPr>
        <w:spacing w:after="120" w:line="276"/>
        <w:jc w:val="both"/>
      </w:pPr>
      <w:r>
        <w:rPr>
          <w:rFonts w:ascii="Barlow Semi Condensed" w:cs="Barlow Semi Condensed" w:eastAsia="Barlow Semi Condensed" w:hAnsi="Barlow Semi Condensed"/>
          <w:sz w:val="24"/>
          <w:szCs w:val="24"/>
        </w:rPr>
        <w:t xml:space="preserve">Blocco centonovantatré. L'inchiesta del novembre millenovecentosettantaquattro quale prima cartografia pubblica del nodo elvetico: Livello A quale atto giornalistico coevo.</w:t>
      </w:r>
    </w:p>
    <w:p>
      <w:pPr>
        <w:spacing w:after="120" w:line="276"/>
        <w:jc w:val="both"/>
      </w:pPr>
      <w:r>
        <w:rPr>
          <w:rFonts w:ascii="Barlow Semi Condensed" w:cs="Barlow Semi Condensed" w:eastAsia="Barlow Semi Condensed" w:hAnsi="Barlow Semi Condensed"/>
          <w:sz w:val="24"/>
          <w:szCs w:val="24"/>
        </w:rPr>
        <w:t xml:space="preserve">Blocco centonovantaquattro. Il canale del Nouvel Ordre Européen quale cerniera ideologico-organizzativa: Livello B.</w:t>
      </w:r>
    </w:p>
    <w:p>
      <w:pPr>
        <w:spacing w:after="120" w:line="276"/>
        <w:jc w:val="both"/>
      </w:pPr>
      <w:r>
        <w:rPr>
          <w:rFonts w:ascii="Barlow Semi Condensed" w:cs="Barlow Semi Condensed" w:eastAsia="Barlow Semi Condensed" w:hAnsi="Barlow Semi Condensed"/>
          <w:sz w:val="24"/>
          <w:szCs w:val="24"/>
        </w:rPr>
        <w:t xml:space="preserve">Blocco centonovantacinque. La piazza finanziaria quale retrovia dell'eversione nera, con l'orbita di Gelli: Livello B attributivo, da non saldare ai fatti già certificati della loggia se non per i nodi documentati.</w:t>
      </w:r>
    </w:p>
    <w:p>
      <w:pPr>
        <w:spacing w:after="120" w:line="276"/>
        <w:jc w:val="both"/>
      </w:pPr>
      <w:r>
        <w:rPr>
          <w:rFonts w:ascii="Barlow Semi Condensed" w:cs="Barlow Semi Condensed" w:eastAsia="Barlow Semi Condensed" w:hAnsi="Barlow Semi Condensed"/>
          <w:sz w:val="24"/>
          <w:szCs w:val="24"/>
        </w:rPr>
        <w:t xml:space="preserve">Blocco centonovantasei. Il banchiere Genoud quale figura di raccordo finanziario del neofascismo transnazionale: Livello B biografico-documentale.</w:t>
      </w:r>
    </w:p>
    <w:p>
      <w:pPr>
        <w:spacing w:after="120" w:line="276"/>
        <w:jc w:val="both"/>
      </w:pPr>
      <w:r>
        <w:rPr>
          <w:rFonts w:ascii="Barlow Semi Condensed" w:cs="Barlow Semi Condensed" w:eastAsia="Barlow Semi Condensed" w:hAnsi="Barlow Semi Condensed"/>
          <w:sz w:val="24"/>
          <w:szCs w:val="24"/>
        </w:rPr>
        <w:t xml:space="preserve">Blocco centonovantasette. La rete stay-behind elvetica e la critica filologica del suo nome: Livello B; rilievo sull'uso, in questa sezione, delle fonti deboli interdette.</w:t>
      </w:r>
    </w:p>
    <w:p>
      <w:pPr>
        <w:spacing w:after="120" w:line="276"/>
        <w:jc w:val="both"/>
      </w:pPr>
      <w:r>
        <w:rPr>
          <w:rFonts w:ascii="Barlow Semi Condensed" w:cs="Barlow Semi Condensed" w:eastAsia="Barlow Semi Condensed" w:hAnsi="Barlow Semi Condensed"/>
          <w:sz w:val="24"/>
          <w:szCs w:val="24"/>
        </w:rPr>
        <w:t xml:space="preserve">Blocco centonovantotto. Presenze, transiti e continuità post-settantaquattro sul territorio elvetico: Livello C attributivo.</w:t>
      </w:r>
    </w:p>
    <w:p>
      <w:pPr>
        <w:spacing w:after="120" w:line="276"/>
        <w:jc w:val="both"/>
      </w:pPr>
      <w:r>
        <w:rPr>
          <w:rFonts w:ascii="Barlow Semi Condensed" w:cs="Barlow Semi Condensed" w:eastAsia="Barlow Semi Condensed" w:hAnsi="Barlow Semi Condensed"/>
          <w:sz w:val="24"/>
          <w:szCs w:val="24"/>
        </w:rPr>
        <w:t xml:space="preserve">La proiezione latinoamericana (blocchi centonovantanove–duecentoquattro)</w:t>
      </w:r>
    </w:p>
    <w:p>
      <w:pPr>
        <w:spacing w:after="120" w:line="276"/>
        <w:jc w:val="both"/>
      </w:pPr>
      <w:r>
        <w:rPr>
          <w:rFonts w:ascii="Barlow Semi Condensed" w:cs="Barlow Semi Condensed" w:eastAsia="Barlow Semi Condensed" w:hAnsi="Barlow Semi Condensed"/>
          <w:sz w:val="24"/>
          <w:szCs w:val="24"/>
        </w:rPr>
        <w:t xml:space="preserve">Blocco centonovantanove. La proiezione come sistema, non come episodi: quadro adottato quale chiave di lettura, con gambe da vagliare paese per paese.</w:t>
      </w:r>
    </w:p>
    <w:p>
      <w:pPr>
        <w:spacing w:after="120" w:line="276"/>
        <w:jc w:val="both"/>
      </w:pPr>
      <w:r>
        <w:rPr>
          <w:rFonts w:ascii="Barlow Semi Condensed" w:cs="Barlow Semi Condensed" w:eastAsia="Barlow Semi Condensed" w:hAnsi="Barlow Semi Condensed"/>
          <w:sz w:val="24"/>
          <w:szCs w:val="24"/>
        </w:rPr>
        <w:t xml:space="preserve">Blocco duecento. Il Venezuela quale nodo prioritario della proiezione: Livello B documentale.</w:t>
      </w:r>
    </w:p>
    <w:p>
      <w:pPr>
        <w:spacing w:after="120" w:line="276"/>
        <w:jc w:val="both"/>
      </w:pPr>
      <w:r>
        <w:rPr>
          <w:rFonts w:ascii="Barlow Semi Condensed" w:cs="Barlow Semi Condensed" w:eastAsia="Barlow Semi Condensed" w:hAnsi="Barlow Semi Condensed"/>
          <w:sz w:val="24"/>
          <w:szCs w:val="24"/>
        </w:rPr>
        <w:t xml:space="preserve">Blocco duecentouno. Il Perù: Livello C.</w:t>
      </w:r>
    </w:p>
    <w:p>
      <w:pPr>
        <w:spacing w:after="120" w:line="276"/>
        <w:jc w:val="both"/>
      </w:pPr>
      <w:r>
        <w:rPr>
          <w:rFonts w:ascii="Barlow Semi Condensed" w:cs="Barlow Semi Condensed" w:eastAsia="Barlow Semi Condensed" w:hAnsi="Barlow Semi Condensed"/>
          <w:sz w:val="24"/>
          <w:szCs w:val="24"/>
        </w:rPr>
        <w:t xml:space="preserve">Blocco duecentodue. La Colombia: Livello C.</w:t>
      </w:r>
    </w:p>
    <w:p>
      <w:pPr>
        <w:spacing w:after="120" w:line="276"/>
        <w:jc w:val="both"/>
      </w:pPr>
      <w:r>
        <w:rPr>
          <w:rFonts w:ascii="Barlow Semi Condensed" w:cs="Barlow Semi Condensed" w:eastAsia="Barlow Semi Condensed" w:hAnsi="Barlow Semi Condensed"/>
          <w:sz w:val="24"/>
          <w:szCs w:val="24"/>
        </w:rPr>
        <w:t xml:space="preserve">Blocco duecentotré. L'Ecuador: Livello C.</w:t>
      </w:r>
    </w:p>
    <w:p>
      <w:pPr>
        <w:spacing w:after="120" w:line="276"/>
        <w:jc w:val="both"/>
      </w:pPr>
      <w:r>
        <w:rPr>
          <w:rFonts w:ascii="Barlow Semi Condensed" w:cs="Barlow Semi Condensed" w:eastAsia="Barlow Semi Condensed" w:hAnsi="Barlow Semi Condensed"/>
          <w:sz w:val="24"/>
          <w:szCs w:val="24"/>
        </w:rPr>
        <w:t xml:space="preserve">Blocco duecentoquattro. Le Guyane e il Suriname, con la sintesi comparata delle piste: Livello C; agenda di verifica dichiarata.</w:t>
      </w:r>
    </w:p>
    <w:p>
      <w:pPr>
        <w:spacing w:after="120" w:line="276"/>
        <w:jc w:val="both"/>
      </w:pPr>
      <w:r>
        <w:rPr>
          <w:rFonts w:ascii="Barlow Semi Condensed" w:cs="Barlow Semi Condensed" w:eastAsia="Barlow Semi Condensed" w:hAnsi="Barlow Semi Condensed"/>
          <w:sz w:val="24"/>
          <w:szCs w:val="24"/>
        </w:rPr>
        <w:t xml:space="preserve">Il Medio Oriente (blocchi duecentocinque–duecentodieci)</w:t>
      </w:r>
    </w:p>
    <w:p>
      <w:pPr>
        <w:spacing w:after="120" w:line="276"/>
        <w:jc w:val="both"/>
      </w:pPr>
      <w:r>
        <w:rPr>
          <w:rFonts w:ascii="Barlow Semi Condensed" w:cs="Barlow Semi Condensed" w:eastAsia="Barlow Semi Condensed" w:hAnsi="Barlow Semi Condensed"/>
          <w:sz w:val="24"/>
          <w:szCs w:val="24"/>
        </w:rPr>
        <w:t xml:space="preserve">Blocco duecentocinque. L'avvertenza metodologica sulla disambiguazione del mondo sciita: adottata.</w:t>
      </w:r>
    </w:p>
    <w:p>
      <w:pPr>
        <w:spacing w:after="120" w:line="276"/>
        <w:jc w:val="both"/>
      </w:pPr>
      <w:r>
        <w:rPr>
          <w:rFonts w:ascii="Barlow Semi Condensed" w:cs="Barlow Semi Condensed" w:eastAsia="Barlow Semi Condensed" w:hAnsi="Barlow Semi Condensed"/>
          <w:sz w:val="24"/>
          <w:szCs w:val="24"/>
        </w:rPr>
        <w:t xml:space="preserve">Blocco duecentosei. L'esito negativo generale sul Medio Oriente: Stato Zero dichiarato.</w:t>
      </w:r>
    </w:p>
    <w:p>
      <w:pPr>
        <w:spacing w:after="120" w:line="276"/>
        <w:jc w:val="both"/>
      </w:pPr>
      <w:r>
        <w:rPr>
          <w:rFonts w:ascii="Barlow Semi Condensed" w:cs="Barlow Semi Condensed" w:eastAsia="Barlow Semi Condensed" w:hAnsi="Barlow Semi Condensed"/>
          <w:sz w:val="24"/>
          <w:szCs w:val="24"/>
        </w:rPr>
        <w:t xml:space="preserve">Blocco duecentosette. La pista inversa dei reduci della rete in campo mediorientale: vagliata e lasciata a Livello C.</w:t>
      </w:r>
    </w:p>
    <w:p>
      <w:pPr>
        <w:spacing w:after="120" w:line="276"/>
        <w:jc w:val="both"/>
      </w:pPr>
      <w:r>
        <w:rPr>
          <w:rFonts w:ascii="Barlow Semi Condensed" w:cs="Barlow Semi Condensed" w:eastAsia="Barlow Semi Condensed" w:hAnsi="Barlow Semi Condensed"/>
          <w:sz w:val="24"/>
          <w:szCs w:val="24"/>
        </w:rPr>
        <w:t xml:space="preserve">Blocco duecentootto. Il milieu nero e i regimi baathisti filo-sovietici: contiguità ideologiche senza atto: Livello C.</w:t>
      </w:r>
    </w:p>
    <w:p>
      <w:pPr>
        <w:spacing w:after="120" w:line="276"/>
        <w:jc w:val="both"/>
      </w:pPr>
      <w:r>
        <w:rPr>
          <w:rFonts w:ascii="Barlow Semi Condensed" w:cs="Barlow Semi Condensed" w:eastAsia="Barlow Semi Condensed" w:hAnsi="Barlow Semi Condensed"/>
          <w:sz w:val="24"/>
          <w:szCs w:val="24"/>
        </w:rPr>
        <w:t xml:space="preserve">Blocco duecentonove. L'Iran quale caso speculare, unico pilastro sciita del campo atlantico nell'epoca: Livello A di quadro storico.</w:t>
      </w:r>
    </w:p>
    <w:p>
      <w:pPr>
        <w:spacing w:after="120" w:line="276"/>
        <w:jc w:val="both"/>
      </w:pPr>
      <w:r>
        <w:rPr>
          <w:rFonts w:ascii="Barlow Semi Condensed" w:cs="Barlow Semi Condensed" w:eastAsia="Barlow Semi Condensed" w:hAnsi="Barlow Semi Condensed"/>
          <w:sz w:val="24"/>
          <w:szCs w:val="24"/>
        </w:rPr>
        <w:t xml:space="preserve">Blocco duecentodieci. Il precedente yemenita: matrice mercenaria dell'organizzazione madre algerina, non della struttura lisbonese: distinzione adottata, Livello A sulla matrice.</w:t>
      </w:r>
    </w:p>
    <w:p>
      <w:pPr>
        <w:spacing w:after="120" w:line="276"/>
        <w:jc w:val="both"/>
      </w:pPr>
      <w:r>
        <w:rPr>
          <w:rFonts w:ascii="Barlow Semi Condensed" w:cs="Barlow Semi Condensed" w:eastAsia="Barlow Semi Condensed" w:hAnsi="Barlow Semi Condensed"/>
          <w:sz w:val="24"/>
          <w:szCs w:val="24"/>
        </w:rPr>
        <w:t xml:space="preserve">Le conclusioni della monografia (blocchi duecentoundici–duecentosedici)</w:t>
      </w:r>
    </w:p>
    <w:p>
      <w:pPr>
        <w:spacing w:after="120" w:line="276"/>
        <w:jc w:val="both"/>
      </w:pPr>
      <w:r>
        <w:rPr>
          <w:rFonts w:ascii="Barlow Semi Condensed" w:cs="Barlow Semi Condensed" w:eastAsia="Barlow Semi Condensed" w:hAnsi="Barlow Semi Condensed"/>
          <w:sz w:val="24"/>
          <w:szCs w:val="24"/>
        </w:rPr>
        <w:t xml:space="preserve">Blocco duecentoundici. La natura: struttura clandestina di guerra politica sotto copertura editoriale, non vera agenzia di stampa: Livello A.</w:t>
      </w:r>
    </w:p>
    <w:p>
      <w:pPr>
        <w:spacing w:after="120" w:line="276"/>
        <w:jc w:val="both"/>
      </w:pPr>
      <w:r>
        <w:rPr>
          <w:rFonts w:ascii="Barlow Semi Condensed" w:cs="Barlow Semi Condensed" w:eastAsia="Barlow Semi Condensed" w:hAnsi="Barlow Semi Condensed"/>
          <w:sz w:val="24"/>
          <w:szCs w:val="24"/>
        </w:rPr>
        <w:t xml:space="preserve">Blocco duecentododici. L'Italia quale teatro meglio documentato in sede giudiziaria: conforme al capitolo italiano certificato.</w:t>
      </w:r>
    </w:p>
    <w:p>
      <w:pPr>
        <w:spacing w:after="120" w:line="276"/>
        <w:jc w:val="both"/>
      </w:pPr>
      <w:r>
        <w:rPr>
          <w:rFonts w:ascii="Barlow Semi Condensed" w:cs="Barlow Semi Condensed" w:eastAsia="Barlow Semi Condensed" w:hAnsi="Barlow Semi Condensed"/>
          <w:sz w:val="24"/>
          <w:szCs w:val="24"/>
        </w:rPr>
        <w:t xml:space="preserve">Blocco duecentotredici. L'Africa quale teatro delle operazioni più letali: Livello A.</w:t>
      </w:r>
    </w:p>
    <w:p>
      <w:pPr>
        <w:spacing w:after="120" w:line="276"/>
        <w:jc w:val="both"/>
      </w:pPr>
      <w:r>
        <w:rPr>
          <w:rFonts w:ascii="Barlow Semi Condensed" w:cs="Barlow Semi Condensed" w:eastAsia="Barlow Semi Condensed" w:hAnsi="Barlow Semi Condensed"/>
          <w:sz w:val="24"/>
          <w:szCs w:val="24"/>
        </w:rPr>
        <w:t xml:space="preserve">Blocco duecentoquattordici. La fine con la Rivoluzione dei Garofani: Livello A.</w:t>
      </w:r>
    </w:p>
    <w:p>
      <w:pPr>
        <w:spacing w:after="120" w:line="276"/>
        <w:jc w:val="both"/>
      </w:pPr>
      <w:r>
        <w:rPr>
          <w:rFonts w:ascii="Barlow Semi Condensed" w:cs="Barlow Semi Condensed" w:eastAsia="Barlow Semi Condensed" w:hAnsi="Barlow Semi Condensed"/>
          <w:sz w:val="24"/>
          <w:szCs w:val="24"/>
        </w:rPr>
        <w:t xml:space="preserve">Blocco duecentoquindici. Il quadro dei pilastri regionali del campo atlantico nell'area: Livello A di contesto.</w:t>
      </w:r>
    </w:p>
    <w:p>
      <w:pPr>
        <w:spacing w:after="120" w:line="276"/>
        <w:jc w:val="both"/>
      </w:pPr>
      <w:r>
        <w:rPr>
          <w:rFonts w:ascii="Barlow Semi Condensed" w:cs="Barlow Semi Condensed" w:eastAsia="Barlow Semi Condensed" w:hAnsi="Barlow Semi Condensed"/>
          <w:sz w:val="24"/>
          <w:szCs w:val="24"/>
        </w:rPr>
        <w:t xml:space="preserve">Blocco duecentosedici. Nessun legame documentato con il Golfo: Stato Zero dichiarato.</w:t>
      </w:r>
    </w:p>
    <w:p>
      <w:pPr>
        <w:spacing w:after="120" w:line="276"/>
        <w:jc w:val="both"/>
      </w:pPr>
      <w:r>
        <w:rPr>
          <w:rFonts w:ascii="Barlow Semi Condensed" w:cs="Barlow Semi Condensed" w:eastAsia="Barlow Semi Condensed" w:hAnsi="Barlow Semi Condensed"/>
          <w:sz w:val="24"/>
          <w:szCs w:val="24"/>
        </w:rPr>
        <w:t xml:space="preserve">La triangolazione con le monografie del corpus (blocchi duecentodiciassette–duecentoventidue)</w:t>
      </w:r>
    </w:p>
    <w:p>
      <w:pPr>
        <w:spacing w:after="120" w:line="276"/>
        <w:jc w:val="both"/>
      </w:pPr>
      <w:r>
        <w:rPr>
          <w:rFonts w:ascii="Barlow Semi Condensed" w:cs="Barlow Semi Condensed" w:eastAsia="Barlow Semi Condensed" w:hAnsi="Barlow Semi Condensed"/>
          <w:sz w:val="24"/>
          <w:szCs w:val="24"/>
        </w:rPr>
        <w:t xml:space="preserve">Blocco duecentodiciassette. Il registro analitico dei nodi del corpus sul cluster, del quattro agosto duemilaventisei: nodi gradati recepiti; la riconciliazione delle sette serie identificative autonome — trecentosessantacinque voci — resta pendenza dichiarata.</w:t>
      </w:r>
    </w:p>
    <w:p>
      <w:pPr>
        <w:spacing w:after="120" w:line="276"/>
        <w:jc w:val="both"/>
      </w:pPr>
      <w:r>
        <w:rPr>
          <w:rFonts w:ascii="Barlow Semi Condensed" w:cs="Barlow Semi Condensed" w:eastAsia="Barlow Semi Condensed" w:hAnsi="Barlow Semi Condensed"/>
          <w:sz w:val="24"/>
          <w:szCs w:val="24"/>
        </w:rPr>
        <w:t xml:space="preserve">Blocco duecentodiciotto. La monografia anatomica sull'hub di Lisbona: triangolata, convergente con l'innesco su fondazione, committenti e capitolo italiano.</w:t>
      </w:r>
    </w:p>
    <w:p>
      <w:pPr>
        <w:spacing w:after="120" w:line="276"/>
        <w:jc w:val="both"/>
      </w:pPr>
      <w:r>
        <w:rPr>
          <w:rFonts w:ascii="Barlow Semi Condensed" w:cs="Barlow Semi Condensed" w:eastAsia="Barlow Semi Condensed" w:hAnsi="Barlow Semi Condensed"/>
          <w:sz w:val="24"/>
          <w:szCs w:val="24"/>
        </w:rPr>
        <w:t xml:space="preserve">Blocco duecentodiciannove. La mappa stratificata delle connessioni della rete: recepita quale strumento, con i gradi propri di ciascun arco.</w:t>
      </w:r>
    </w:p>
    <w:p>
      <w:pPr>
        <w:spacing w:after="120" w:line="276"/>
        <w:jc w:val="both"/>
      </w:pPr>
      <w:r>
        <w:rPr>
          <w:rFonts w:ascii="Barlow Semi Condensed" w:cs="Barlow Semi Condensed" w:eastAsia="Barlow Semi Condensed" w:hAnsi="Barlow Semi Condensed"/>
          <w:sz w:val="24"/>
          <w:szCs w:val="24"/>
        </w:rPr>
        <w:t xml:space="preserve">Blocco duecentoventi. Il profilo monografico su Delle Chiaie: recepito, con la discrepanza attivamente segnalata sul luogo di nascita — il dato consolidato è Caserta, tredici settembre millenovecentotrentasei, contro l'indicazione erronea di altra sede — e la morte del dieci settembre duemiladiciannove: Livello A; statuto del non più giudicabile per ogni valutazione.</w:t>
      </w:r>
    </w:p>
    <w:p>
      <w:pPr>
        <w:spacing w:after="120" w:line="276"/>
        <w:jc w:val="both"/>
      </w:pPr>
      <w:r>
        <w:rPr>
          <w:rFonts w:ascii="Barlow Semi Condensed" w:cs="Barlow Semi Condensed" w:eastAsia="Barlow Semi Condensed" w:hAnsi="Barlow Semi Condensed"/>
          <w:sz w:val="24"/>
          <w:szCs w:val="24"/>
        </w:rPr>
        <w:t xml:space="preserve">Blocco duecentoventuno. La monografia speculare sul non-nesso con Kissinger: doppia verifica indipendente convergente con il capitolo dell'innesco: lo Stato Zero ne esce rafforzato al massimo grado consentito a un esito negativo.</w:t>
      </w:r>
    </w:p>
    <w:p>
      <w:pPr>
        <w:spacing w:after="120" w:line="276"/>
        <w:jc w:val="both"/>
      </w:pPr>
      <w:r>
        <w:rPr>
          <w:rFonts w:ascii="Barlow Semi Condensed" w:cs="Barlow Semi Condensed" w:eastAsia="Barlow Semi Condensed" w:hAnsi="Barlow Semi Condensed"/>
          <w:sz w:val="24"/>
          <w:szCs w:val="24"/>
        </w:rPr>
        <w:t xml:space="preserve">Blocco duecentoventidue. La ricostruzione storiografica dal cluster lisbonese all'eurasiatismo filorusso: ponte analitico tra questa Fase e le Fasi seconda-nona, adottato quale ipotesi di lavoro a Livello C sulla continuità, con le singole gambe nei gradi già certificati.</w:t>
      </w:r>
    </w:p>
    <w:p>
      <w:pPr>
        <w:spacing w:after="120" w:line="276"/>
        <w:jc w:val="both"/>
      </w:pPr>
      <w:r>
        <w:rPr>
          <w:rFonts w:ascii="Barlow Semi Condensed" w:cs="Barlow Semi Condensed" w:eastAsia="Barlow Semi Condensed" w:hAnsi="Barlow Semi Condensed"/>
          <w:sz w:val="24"/>
          <w:szCs w:val="24"/>
        </w:rPr>
        <w:t xml:space="preserve">Le voci maggiori del censimento (blocchi duecentoventitré–duecentotrentadue)</w:t>
      </w:r>
    </w:p>
    <w:p>
      <w:pPr>
        <w:spacing w:after="120" w:line="276"/>
        <w:jc w:val="both"/>
      </w:pPr>
      <w:r>
        <w:rPr>
          <w:rFonts w:ascii="Barlow Semi Condensed" w:cs="Barlow Semi Condensed" w:eastAsia="Barlow Semi Condensed" w:hAnsi="Barlow Semi Condensed"/>
          <w:sz w:val="24"/>
          <w:szCs w:val="24"/>
        </w:rPr>
        <w:t xml:space="preserve">Blocco duecentoventitré. Nuclei Armati Rivoluzionari: attivi dal millenovecentosettantasette al millenovecentottantuno, responsabili di trentatré omicidi secondo la voce munita di note; la qualità di fondatore attribuita a Fioravanti è dall'interessato negata, e la negazione è parte del blocco: Livello A sul quadro, con la precisazione dichiarativa.</w:t>
      </w:r>
    </w:p>
    <w:p>
      <w:pPr>
        <w:spacing w:after="120" w:line="276"/>
        <w:jc w:val="both"/>
      </w:pPr>
      <w:r>
        <w:rPr>
          <w:rFonts w:ascii="Barlow Semi Condensed" w:cs="Barlow Semi Condensed" w:eastAsia="Barlow Semi Condensed" w:hAnsi="Barlow Semi Condensed"/>
          <w:sz w:val="24"/>
          <w:szCs w:val="24"/>
        </w:rPr>
        <w:t xml:space="preserve">Blocco duecentoventiquattro. Il primo omicidio del gruppo dopo i fatti di Acca Larentia e la parabola sino allo smantellamento: Livello A di cronologia giudiziaria.</w:t>
      </w:r>
    </w:p>
    <w:p>
      <w:pPr>
        <w:spacing w:after="120" w:line="276"/>
        <w:jc w:val="both"/>
      </w:pPr>
      <w:r>
        <w:rPr>
          <w:rFonts w:ascii="Barlow Semi Condensed" w:cs="Barlow Semi Condensed" w:eastAsia="Barlow Semi Condensed" w:hAnsi="Barlow Semi Condensed"/>
          <w:sz w:val="24"/>
          <w:szCs w:val="24"/>
        </w:rPr>
        <w:t xml:space="preserve">Blocco duecentoventicinque. Gli esiti giudiziari maggiori dei suoi esponenti: già certificati ai blocchi ventisei-ventinove per Bologna, con le formulazioni vincolanti che restano integrali.</w:t>
      </w:r>
    </w:p>
    <w:p>
      <w:pPr>
        <w:spacing w:after="120" w:line="276"/>
        <w:jc w:val="both"/>
      </w:pPr>
      <w:r>
        <w:rPr>
          <w:rFonts w:ascii="Barlow Semi Condensed" w:cs="Barlow Semi Condensed" w:eastAsia="Barlow Semi Condensed" w:hAnsi="Barlow Semi Condensed"/>
          <w:sz w:val="24"/>
          <w:szCs w:val="24"/>
        </w:rPr>
        <w:t xml:space="preserve">Blocco duecentoventisei. Operazione Gladio: la rivelazione del presidente del Consiglio alla Camera del ventiquattro ottobre millenovecentonovanta, preceduta dalla relazione alla Commissione stragi del diciassette ottobre e dall'autorizzazione al magistrato veneziano sugli atti di Peteano: Livello A.</w:t>
      </w:r>
    </w:p>
    <w:p>
      <w:pPr>
        <w:spacing w:after="120" w:line="276"/>
        <w:jc w:val="both"/>
      </w:pPr>
      <w:r>
        <w:rPr>
          <w:rFonts w:ascii="Barlow Semi Condensed" w:cs="Barlow Semi Condensed" w:eastAsia="Barlow Semi Condensed" w:hAnsi="Barlow Semi Condensed"/>
          <w:sz w:val="24"/>
          <w:szCs w:val="24"/>
        </w:rPr>
        <w:t xml:space="preserve">Blocco duecentoventisette. L'elenco dei seicentoventidue nominativi pubblicato e l'ipotesi — parlamentare, non giudicata — di una substruttura coperta: l'elenco sta a Livello A quale atto; l'ipotesi resta a Livello C e come tale è iscritta.</w:t>
      </w:r>
    </w:p>
    <w:p>
      <w:pPr>
        <w:spacing w:after="120" w:line="276"/>
        <w:jc w:val="both"/>
      </w:pPr>
      <w:r>
        <w:rPr>
          <w:rFonts w:ascii="Barlow Semi Condensed" w:cs="Barlow Semi Condensed" w:eastAsia="Barlow Semi Condensed" w:hAnsi="Barlow Semi Condensed"/>
          <w:sz w:val="24"/>
          <w:szCs w:val="24"/>
        </w:rPr>
        <w:t xml:space="preserve">Blocco duecentoventotto. Il rapporto tra la rete stay-behind e il cluster lisbonese: cornice comune atlantica senza identità provata, come al blocco centosessantacinque: saldature vietate.</w:t>
      </w:r>
    </w:p>
    <w:p>
      <w:pPr>
        <w:spacing w:after="120" w:line="276"/>
        <w:jc w:val="both"/>
      </w:pPr>
      <w:r>
        <w:rPr>
          <w:rFonts w:ascii="Barlow Semi Condensed" w:cs="Barlow Semi Condensed" w:eastAsia="Barlow Semi Condensed" w:hAnsi="Barlow Semi Condensed"/>
          <w:sz w:val="24"/>
          <w:szCs w:val="24"/>
        </w:rPr>
        <w:t xml:space="preserve">Blocco duecentoventinove. L'agguato di via Fani del sedici marzo millenovecentosettantotto: i cinque uomini della scorta uccisi — il maresciallo Leonardi, l'appuntato Ricci, le guardie Iozzino e Rivera, il vicebrigadiere Zizzi, spirato dopo il trasporto: Livello A.</w:t>
      </w:r>
    </w:p>
    <w:p>
      <w:pPr>
        <w:spacing w:after="120" w:line="276"/>
        <w:jc w:val="both"/>
      </w:pPr>
      <w:r>
        <w:rPr>
          <w:rFonts w:ascii="Barlow Semi Condensed" w:cs="Barlow Semi Condensed" w:eastAsia="Barlow Semi Condensed" w:hAnsi="Barlow Semi Condensed"/>
          <w:sz w:val="24"/>
          <w:szCs w:val="24"/>
        </w:rPr>
        <w:t xml:space="preserve">Blocco duecentotrenta. Le armi dell'agguato, tra cui la mitraglietta FNAB-43, e le perizie sui bossoli: Livello A sul quadro; il vaglio balistico integrale è consegnato ai registri d'armamento del corpus già costituiti.</w:t>
      </w:r>
    </w:p>
    <w:p>
      <w:pPr>
        <w:spacing w:after="120" w:line="276"/>
        <w:jc w:val="both"/>
      </w:pPr>
      <w:r>
        <w:rPr>
          <w:rFonts w:ascii="Barlow Semi Condensed" w:cs="Barlow Semi Condensed" w:eastAsia="Barlow Semi Condensed" w:hAnsi="Barlow Semi Condensed"/>
          <w:sz w:val="24"/>
          <w:szCs w:val="24"/>
        </w:rPr>
        <w:t xml:space="preserve">Blocco duecentotrentuno. Concutelli: nato a Roma il tre giugno millenovecentoquarantaquattro, morto a Roma il quindici marzo duemilaventitré; ergastolo per l'omicidio del giudice Occorsio del dieci luglio millenovecentosettantasei; in carcere, con Tuti, strangolò Buzzi, condannato in primo grado per piazza della Loggia e accusato nell'ambiente di delazione: Livello A; la strage bresciana ha altri condannati definitivi, come ai blocchi delle Fasi precedenti.</w:t>
      </w:r>
    </w:p>
    <w:p>
      <w:pPr>
        <w:spacing w:after="120" w:line="276"/>
        <w:jc w:val="both"/>
      </w:pPr>
      <w:r>
        <w:rPr>
          <w:rFonts w:ascii="Barlow Semi Condensed" w:cs="Barlow Semi Condensed" w:eastAsia="Barlow Semi Condensed" w:hAnsi="Barlow Semi Condensed"/>
          <w:sz w:val="24"/>
          <w:szCs w:val="24"/>
        </w:rPr>
        <w:t xml:space="preserve">Blocco duecentotrentadue. Antonino La Russa: Paternò, otto settembre millenovecentotredici — Milano, venti dicembre duemilaquattro; segretario politico del partito unico a Paternò nel millenovecentotrentotto, poi dirigente e parlamentare missino dal millenovecentocinquantatré: Livello A biografico; resta vincolante la formulazione della seconda tranche: nessuna responsabilità è trasmissibile ai congiunti, e ogni menzione dei figli resta nei perimetri già fissati.</w:t>
      </w:r>
    </w:p>
    <w:p>
      <w:pPr>
        <w:spacing w:after="120" w:line="276"/>
        <w:jc w:val="both"/>
      </w:pPr>
      <w:r>
        <w:rPr>
          <w:rFonts w:ascii="Barlow Semi Condensed" w:cs="Barlow Semi Condensed" w:eastAsia="Barlow Semi Condensed" w:hAnsi="Barlow Semi Condensed"/>
          <w:sz w:val="24"/>
          <w:szCs w:val="24"/>
        </w:rPr>
        <w:t xml:space="preserve">Le pendenze certificate e il sigillo (blocchi duecentotrentatré–duecentotrentotto)</w:t>
      </w:r>
    </w:p>
    <w:p>
      <w:pPr>
        <w:spacing w:after="120" w:line="276"/>
        <w:jc w:val="both"/>
      </w:pPr>
      <w:r>
        <w:rPr>
          <w:rFonts w:ascii="Barlow Semi Condensed" w:cs="Barlow Semi Condensed" w:eastAsia="Barlow Semi Condensed" w:hAnsi="Barlow Semi Condensed"/>
          <w:sz w:val="24"/>
          <w:szCs w:val="24"/>
        </w:rPr>
        <w:t xml:space="preserve">Blocco duecentotrentatré. I due contenitori recuperati quale testo semplice sotto estensione anomala: acquisiti; la copia alternativa della voce sulla Magliana è duplicato sostanziale della già estratta: dichiarato.</w:t>
      </w:r>
    </w:p>
    <w:p>
      <w:pPr>
        <w:spacing w:after="120" w:line="276"/>
        <w:jc w:val="both"/>
      </w:pPr>
      <w:r>
        <w:rPr>
          <w:rFonts w:ascii="Barlow Semi Condensed" w:cs="Barlow Semi Condensed" w:eastAsia="Barlow Semi Condensed" w:hAnsi="Barlow Semi Condensed"/>
          <w:sz w:val="24"/>
          <w:szCs w:val="24"/>
        </w:rPr>
        <w:t xml:space="preserve">Blocco duecentotrentaquattro. La voce-censimento sulle operazioni contro la 'ndrangheta: duecentocinquantacinque operazioni elencate e ottocentoquaranta indirizzi in apparato: acquisita quale censimento-quadro a Livello B di lista collaborativa, con rilievo di non-concordanza sulla data del primo grado di Montalto rispetto alla voce dedicata: divergenza iscritta, risoluzione rinviata alla fonte giudiziaria.</w:t>
      </w:r>
    </w:p>
    <w:p>
      <w:pPr>
        <w:spacing w:after="120" w:line="276"/>
        <w:jc w:val="both"/>
      </w:pPr>
      <w:r>
        <w:rPr>
          <w:rFonts w:ascii="Barlow Semi Condensed" w:cs="Barlow Semi Condensed" w:eastAsia="Barlow Semi Condensed" w:hAnsi="Barlow Semi Condensed"/>
          <w:sz w:val="24"/>
          <w:szCs w:val="24"/>
        </w:rPr>
        <w:t xml:space="preserve">Blocco duecentotrentacinque. Il censimento cumulativo: ventitré testi estratti, millesettecentoquarantasei URL unici, più i novecentosessantatré dell'innesco: mappa di lavoro consolidata.</w:t>
      </w:r>
    </w:p>
    <w:p>
      <w:pPr>
        <w:spacing w:after="120" w:line="276"/>
        <w:jc w:val="both"/>
      </w:pPr>
      <w:r>
        <w:rPr>
          <w:rFonts w:ascii="Barlow Semi Condensed" w:cs="Barlow Semi Condensed" w:eastAsia="Barlow Semi Condensed" w:hAnsi="Barlow Semi Condensed"/>
          <w:sz w:val="24"/>
          <w:szCs w:val="24"/>
        </w:rPr>
        <w:t xml:space="preserve">Blocco duecentotrentasei. Pizzolungo, verificato ora: quattro processi; assoluzioni irrevocabili degli imputati quali esecutori nel millenovecentonovanta-novantuno; ergastoli definitivi a Riina e Virga quali mandanti e, in altro giudizio, a Di Maggio e ad Antonino Madonia; esecutori individuati nel nuovo processo ma non più processabili; trent'anni definitivi a Galatolo il quattordici giugno duemilaventitré: Livello A; il nesso peritale tra esplosivi di più stragi resta riferito a Livello B.</w:t>
      </w:r>
    </w:p>
    <w:p>
      <w:pPr>
        <w:spacing w:after="120" w:line="276"/>
        <w:jc w:val="both"/>
      </w:pPr>
      <w:r>
        <w:rPr>
          <w:rFonts w:ascii="Barlow Semi Condensed" w:cs="Barlow Semi Condensed" w:eastAsia="Barlow Semi Condensed" w:hAnsi="Barlow Semi Condensed"/>
          <w:sz w:val="24"/>
          <w:szCs w:val="24"/>
        </w:rPr>
        <w:t xml:space="preserve">Blocco duecentotrentasette. Mattarella, monitoraggio con atti intervenuti: perizia genetica depositata il primo luglio duemilaventisei con esito negativo sulla fascetta della vettura dei killer; orientamento della Procura alla richiesta di archiviazione per i due indagati quali esecutori, riferito dalla stampa e non ancora deciso; mandanti definitivi fermi; presunzione integrale; nessuna comunicazione tra fascicoli.</w:t>
      </w:r>
    </w:p>
    <w:p>
      <w:pPr>
        <w:spacing w:after="120" w:line="276"/>
        <w:jc w:val="both"/>
      </w:pPr>
      <w:r>
        <w:rPr>
          <w:rFonts w:ascii="Barlow Semi Condensed" w:cs="Barlow Semi Condensed" w:eastAsia="Barlow Semi Condensed" w:hAnsi="Barlow Semi Condensed"/>
          <w:sz w:val="24"/>
          <w:szCs w:val="24"/>
        </w:rPr>
        <w:t xml:space="preserve">Blocco duecentotrentotto. Sigillo della quinta tranche: il registro raggiunge duecentotrentotto blocchi; le direzioni della sesta sono fissate in chiusa.</w:t>
      </w:r>
    </w:p>
    <w:p>
      <w:pPr>
        <w:spacing w:after="120" w:line="276"/>
        <w:jc w:val="both"/>
      </w:pPr>
      <w:r>
        <w:rPr>
          <w:rFonts w:ascii="Barlow Semi Condensed" w:cs="Barlow Semi Condensed" w:eastAsia="Barlow Semi Condensed" w:hAnsi="Barlow Semi Condensed"/>
          <w:sz w:val="24"/>
          <w:szCs w:val="24"/>
        </w:rPr>
        <w:t xml:space="preserve">10.11 — Rilievi per le persone viventi e chiusa della quinta tranche</w:t>
      </w:r>
    </w:p>
    <w:p>
      <w:pPr>
        <w:spacing w:after="120" w:line="276"/>
        <w:jc w:val="both"/>
      </w:pPr>
      <w:r>
        <w:rPr>
          <w:rFonts w:ascii="Barlow Semi Condensed" w:cs="Barlow Semi Condensed" w:eastAsia="Barlow Semi Condensed" w:hAnsi="Barlow Semi Condensed"/>
          <w:sz w:val="24"/>
          <w:szCs w:val="24"/>
        </w:rPr>
        <w:t xml:space="preserve">Le formulazioni vincolanti delle tranche precedenti restano integralmente in vigore. Questa tranche vi aggiunge: per Giuseppe Lucchese e Antonino Madonia, indagati nel fascicolo palermitano quali esecutori, la presunzione di innocenza è integrale, l'esito peritale negativo è parte obbligatoria di ogni menzione, l'orientamento all'archiviazione resta riferito sino all'atto, e le condanne definitive di Madonia per altri fatti — Pizzolungo compreso — appartengono ad altri fascicoli e non si comunicano a questo; per Carlo Palermo, magistrato bersaglio sopravvissuto e persona vivente, valgono i soli fatti pubblici della biografia istituzionale e giudiziaria; per Valerio Fioravanti la negazione della qualità di fondatore dei Nuclei è parte del blocco che la riguarda; per i familiari delle vittime — e per Margherita Asta, la cui testimonianza è agli atti del corpus — vale il perimetro del massimo rispetto e del solo dato pubblico; per i dichiaranti storici le parole restano pesate nel quadro dei riscontri, mai assunte da sole; per i defunti non più giudicabili — Guérin-Sérac, Delle Chiaie, Concutelli, gli esecutori irrevocabilmente assolti di Pizzolungo — vale lo statuto obbligatorio già fissato: nessuna colpevolezza può essere dichiarata né suggerita oltre i giudicati esistenti.</w:t>
      </w:r>
    </w:p>
    <w:p>
      <w:pPr>
        <w:spacing w:after="120" w:line="276"/>
        <w:jc w:val="both"/>
      </w:pPr>
      <w:r>
        <w:rPr>
          <w:rFonts w:ascii="Barlow Semi Condensed" w:cs="Barlow Semi Condensed" w:eastAsia="Barlow Semi Condensed" w:hAnsi="Barlow Semi Condensed"/>
          <w:sz w:val="24"/>
          <w:szCs w:val="24"/>
        </w:rPr>
        <w:t xml:space="preserve">La quinta tranche porta il registro a duecentotrentotto blocchi certificati e consegna alla sesta le seguenti direzioni: la riconciliazione delle sette serie identificative del registro analitico Aginter — trecentosessantacinque voci; la verifica alla fonte del rapporto portoghese trascritto da Laurent per il nodo sudafricano, con la soglia di revisione dichiarata; la consultazione degli studi lusofoni recenti e degli indici del fondo della polizia politica alla Torre do Tombo; l'interrogazione degli indici analitici cecoslovacchi per chiudere in via definitiva lo Stato Zero orientale; il vaglio delle voci d'armamento e della voce sul giovedì nero già estratte; la verifica ipertestuale a campione delle istantanee contro le pagine vive, dove il rischio dell'asserzione lo esiga; la risoluzione della divergenza di Montalto sulla fonte giudiziaria.</w:t>
      </w:r>
    </w:p>
    <w:p>
      <w:pPr>
        <w:pStyle w:val="Heading3"/>
        <w:spacing w:after="80" w:before="160"/>
      </w:pPr>
      <w:r>
        <w:rPr>
          <w:rFonts w:ascii="Barlow Semi Condensed" w:cs="Barlow Semi Condensed" w:eastAsia="Barlow Semi Condensed" w:hAnsi="Barlow Semi Condensed"/>
          <w:sz w:val="24"/>
          <w:szCs w:val="24"/>
        </w:rPr>
        <w:t xml:space="preserve">SESTA TRANCHE — FASE XI: IL CENSIMENTO GLOBALE DELLA CRIMINALITÀ ORGANIZZATA. IL VAGLIO DEI DODICI LIBRI, IL CAMPIONAMENTO ESTERNO E LE VOCI RESIDUE</w:t>
      </w:r>
    </w:p>
    <w:p>
      <w:pPr>
        <w:spacing w:after="120" w:line="276"/>
        <w:jc w:val="both"/>
      </w:pPr>
      <w:r>
        <w:rPr>
          <w:rFonts w:ascii="Barlow Semi Condensed" w:cs="Barlow Semi Condensed" w:eastAsia="Barlow Semi Condensed" w:hAnsi="Barlow Semi Condensed"/>
          <w:sz w:val="24"/>
          <w:szCs w:val="24"/>
        </w:rPr>
        <w:t xml:space="preserve">11.1 — Documento-innesco, statuto e metrica del censimento nominativo</w:t>
      </w:r>
    </w:p>
    <w:p>
      <w:pPr>
        <w:spacing w:after="120" w:line="276"/>
        <w:jc w:val="both"/>
      </w:pPr>
      <w:r>
        <w:rPr>
          <w:rFonts w:ascii="Barlow Semi Condensed" w:cs="Barlow Semi Condensed" w:eastAsia="Barlow Semi Condensed" w:hAnsi="Barlow Semi Condensed"/>
          <w:sz w:val="24"/>
          <w:szCs w:val="24"/>
        </w:rPr>
        <w:t xml:space="preserve">La sesta tranche è innescata dall'acquisizione del «Censimento globale della criminalità organizzata — Documento unico integrato», edizione composta l'undici agosto duemilaventisei: millecentootto pagine, struttura composita a dodici libri, dalla mappatura italiana ai fenomeni trasversali. La nota di composizione dichiara l'unificazione di due file sorgente con impronte crittografiche registrate, l'accertamento — eseguito in fase di composizione con confronto integrale, paragrafo per paragrafo — che la versione composita contiene per intero la versione integrale, e l'espunzione di sessanta frammenti redazionali estranei al testo, registrati in apposito log: il registro iscrive quest'ultima come credito di igiene documentale. Una delle due sorgenti dichiarate è presente nel corpus di progetto, e la genealogia è dunque verificabile alla fonte. Il corpo del documento non contiene alcun indirizzo di rete: il censimento degli URL restituisce zero per statuto, poiché l'apparato procede per fonti nominate e impronte, e la ricerca dei titoli si esaurisce nel registro delle sorgenti. Il perimetro quantitativo è imponente: le voci nominative numerate raggiungono il numero duemilaventitré, distribuite fra organizzazioni, clan, cartelli, reti e cellule dei cinque continenti. Il registro fissa in apertura la metrica che governa l'intero vaglio: un censimento nominativo è una mappa delle fonti, non un accertamento; ogni voce eredita il grado della fonte che la sostiene — Livello B dove la fonte istituzionale o accademica è nominata, Livello C dove non lo è — e nessuna voce fa prova autonoma di alcunché. La sezione monografica meglio documentata del censimento, quella su Aginter Press, è già stata enucleata e certificata in cento blocchi nella Fase decima: i rinvii sono incrociati.</w:t>
      </w:r>
    </w:p>
    <w:p>
      <w:pPr>
        <w:spacing w:after="120" w:line="276"/>
        <w:jc w:val="both"/>
      </w:pPr>
      <w:r>
        <w:rPr>
          <w:rFonts w:ascii="Barlow Semi Condensed" w:cs="Barlow Semi Condensed" w:eastAsia="Barlow Semi Condensed" w:hAnsi="Barlow Semi Condensed"/>
          <w:sz w:val="24"/>
          <w:szCs w:val="24"/>
        </w:rPr>
        <w:t xml:space="preserve">11.2 — Il Libro primo: l'Italia campo di battaglia</w:t>
      </w:r>
    </w:p>
    <w:p>
      <w:pPr>
        <w:spacing w:after="120" w:line="276"/>
        <w:jc w:val="both"/>
      </w:pPr>
      <w:r>
        <w:rPr>
          <w:rFonts w:ascii="Barlow Semi Condensed" w:cs="Barlow Semi Condensed" w:eastAsia="Barlow Semi Condensed" w:hAnsi="Barlow Semi Condensed"/>
          <w:sz w:val="24"/>
          <w:szCs w:val="24"/>
        </w:rPr>
        <w:t xml:space="preserve">Il Libro primo occupa da solo un quarto del corpo composito e si articola su due registri. Il primo è tematico: dieci capitoli sui porti — Gioia Tauro, Napoli, Salerno, Livorno, la rotta adriatica — sul contrabbando di sigarette e di carburante, sulla terra dei fuochi e sull'ecomafia, sul caporalato, sul gioco d'azzardo, sull'usura quale banca parallela, sulle energie rinnovabili, sulla sanità, sul calcio e sull'agroalimentare: materia consolidata nelle relazioni istituzionali e nella letteratura specializzata, che il registro certifica quale sintesi a Livello B con richiamo alla classe delle fonti — le relazioni della Direzione Investigativa Antimafia e della Direzione Nazionale, i rapporti della Global Initiative. Il secondo registro è storico-genealogico e costituisce la parte più originale del Libro: i capitoli sulle province di Agrigento e Palermo ricostruiscono i corridoi migratori transatlantici — Alessandria della Rocca verso Tampa, Casteltermini verso St. Louis, la Conca d'Oro verso le Cinque Famiglie di New York — con classifiche comunali per numero di affiliati e censimento dei ritorni documentati in Italia: è l'applicazione su scala del pattern dell'analisi dinastica e dei corridoi strutturali, che il registro accoglie quale ricostruzione di corpus a Livello B sulle gambe documentate e Livello C sulle estensioni, con campionamento dichiarato nella sezione settima.</w:t>
      </w:r>
    </w:p>
    <w:p>
      <w:pPr>
        <w:spacing w:after="120" w:line="276"/>
        <w:jc w:val="both"/>
      </w:pPr>
      <w:r>
        <w:rPr>
          <w:rFonts w:ascii="Barlow Semi Condensed" w:cs="Barlow Semi Condensed" w:eastAsia="Barlow Semi Condensed" w:hAnsi="Barlow Semi Condensed"/>
          <w:sz w:val="24"/>
          <w:szCs w:val="24"/>
        </w:rPr>
        <w:t xml:space="preserve">11.3 — I Libri dal secondo al sesto: Europa, Russia, Caucaso</w:t>
      </w:r>
    </w:p>
    <w:p>
      <w:pPr>
        <w:spacing w:after="120" w:line="276"/>
        <w:jc w:val="both"/>
      </w:pPr>
      <w:r>
        <w:rPr>
          <w:rFonts w:ascii="Barlow Semi Condensed" w:cs="Barlow Semi Condensed" w:eastAsia="Barlow Semi Condensed" w:hAnsi="Barlow Semi Condensed"/>
          <w:sz w:val="24"/>
          <w:szCs w:val="24"/>
        </w:rPr>
        <w:t xml:space="preserve">Il Libro secondo — Europa occidentale, Balcani e Turchia — trova nel corpus un contrappeso già gradato: il registro dei nodi eurasiatico-balcanici certifica a Livello A, su intercettazioni e indagini bancarie pubblicate dalle autorità di Skopje e Sarajevo, i flussi dalle compagnie militari private russe a singoli membri di gruppi etnonazionalisti balcanici, e indicizza i gruppi ultras — i Delije, i Grobari nelle fazioni rivali, sino alle formazioni neonaziste — quale dispositivo di reclutamento; le stime convergenti sui foreign fighters balcanici verso il teatro siro-iracheno stanno fra le mille e le millecinquecento partenze. Il Libro quarto e il corpus si saldano sugli effetti della guerra ucraina: la rete Khimprom delle droghe sintetiche, i millecinquecento call center fraudolenti della rete Dniprovski con i casi di frode triplicati, l'esplosione dei sequestri d'armi fra il duemilaventuno e il duemilaventitré — dati di sintesi su fonti ucraine, Livello B. Il Libro quinto e il sesto — Russia, spazio post-sovietico, Caucaso — poggiano sulle voci-quadro dei vory v zakone e della Solntsevskaya, triangolate con la monografia del corpus sulle reti criminali russe e con gli atti del Senato statunitense sulle misure attive: quadro a Livello B, con le singole saldature crimine-Stato nei gradi già fissati dalle Fasi precedenti.</w:t>
      </w:r>
    </w:p>
    <w:p>
      <w:pPr>
        <w:spacing w:after="120" w:line="276"/>
        <w:jc w:val="both"/>
      </w:pPr>
      <w:r>
        <w:rPr>
          <w:rFonts w:ascii="Barlow Semi Condensed" w:cs="Barlow Semi Condensed" w:eastAsia="Barlow Semi Condensed" w:hAnsi="Barlow Semi Condensed"/>
          <w:sz w:val="24"/>
          <w:szCs w:val="24"/>
        </w:rPr>
        <w:t xml:space="preserve">11.4 — I Libri dal settimo all'undicesimo: il mondo extra-europeo</w:t>
      </w:r>
    </w:p>
    <w:p>
      <w:pPr>
        <w:spacing w:after="120" w:line="276"/>
        <w:jc w:val="both"/>
      </w:pPr>
      <w:r>
        <w:rPr>
          <w:rFonts w:ascii="Barlow Semi Condensed" w:cs="Barlow Semi Condensed" w:eastAsia="Barlow Semi Condensed" w:hAnsi="Barlow Semi Condensed"/>
          <w:sz w:val="24"/>
          <w:szCs w:val="24"/>
        </w:rPr>
        <w:t xml:space="preserve">Il vaglio dei Libri extra-europei procede per voci-quadro e nodi campionati. Il Medio Oriente e il Nordafrica includono il versante finanziario delle organizzazioni politico-militari, triangolato con la monografia del corpus sull'impronta globale del Partito di Dio; l'Africa subsahariana è dominata dal fenomeno delle confraternite nigeriane, su cui la classe di fonti Global Initiative regge il Livello B; gli Stati Uniti presentano il censimento delle Cinque Famiglie e della criminalità organizzata italoamericana, che si salda ai corridoi transatlantici del Libro primo; le Americhe allineano i cartelli messicani, le organizzazioni brasiliane — il Primeiro Comando da Capital con la scheda del suo capo detenuto, il Comando Vermelho — e la voce settecentosettantanove sulle gang haitiane; l'Asia-Pacifico censisce Triadi e Yakuza, con la voce trentasette sulla maggiore organizzazione giapponese. Il Libro dodicesimo chiude sui fenomeni trasversali — rotte del narcotraffico, riciclaggio, criminalità informatica, tratta, convergenza fra crimine e terrorismo — quale grammatica comune dei precedenti undici: sintesi a Livello B.</w:t>
      </w:r>
    </w:p>
    <w:p>
      <w:pPr>
        <w:spacing w:after="120" w:line="276"/>
        <w:jc w:val="both"/>
      </w:pPr>
      <w:r>
        <w:rPr>
          <w:rFonts w:ascii="Barlow Semi Condensed" w:cs="Barlow Semi Condensed" w:eastAsia="Barlow Semi Condensed" w:hAnsi="Barlow Semi Condensed"/>
          <w:sz w:val="24"/>
          <w:szCs w:val="24"/>
        </w:rPr>
        <w:t xml:space="preserve">11.5 — Triangolazione con il corpus e Indice di Contaminazione</w:t>
      </w:r>
    </w:p>
    <w:p>
      <w:pPr>
        <w:spacing w:after="120" w:line="276"/>
        <w:jc w:val="both"/>
      </w:pPr>
      <w:r>
        <w:rPr>
          <w:rFonts w:ascii="Barlow Semi Condensed" w:cs="Barlow Semi Condensed" w:eastAsia="Barlow Semi Condensed" w:hAnsi="Barlow Semi Condensed"/>
          <w:sz w:val="24"/>
          <w:szCs w:val="24"/>
        </w:rPr>
        <w:t xml:space="preserve">La triangolazione con il corpus è a doppio senso: il censimento fornisce l'ossatura nominativa che i registri tematici del progetto — eurasiatico-balcanico, russo, laziale, italiano — riempiono di gradi; e i registri restituiscono al censimento i loro Livelli A già certificati sui nodi coincidenti. La lista delle duecentocinquantacinque operazioni contro la 'ndrangheta, recuperata nella quinta tranche, funge da lista di controllo incrociata per il Libro primo. Il censimento parallelo dei politici italiani nei procedimenti penali resta progetto distinto con perimetri propri, e i due censimenti non si comunicano voci. Sul piano dell'Indice di Contaminazione delle Fonti il registro dichiara il rischio strutturale del genere-censimento: molte voci derivano da un perimetro finito di rapporti istituzionali e accademici, sicché voci formalmente distinte possono discendere dalla medesima catena; la regola è che la molteplicità delle voci non aumenta il grado se la sorgente è una.</w:t>
      </w:r>
    </w:p>
    <w:p>
      <w:pPr>
        <w:spacing w:after="120" w:line="276"/>
        <w:jc w:val="both"/>
      </w:pPr>
      <w:r>
        <w:rPr>
          <w:rFonts w:ascii="Barlow Semi Condensed" w:cs="Barlow Semi Condensed" w:eastAsia="Barlow Semi Condensed" w:hAnsi="Barlow Semi Condensed"/>
          <w:sz w:val="24"/>
          <w:szCs w:val="24"/>
        </w:rPr>
        <w:t xml:space="preserve">11.6 — Il campionamento esterno</w:t>
      </w:r>
    </w:p>
    <w:p>
      <w:pPr>
        <w:spacing w:after="120" w:line="276"/>
        <w:jc w:val="both"/>
      </w:pPr>
      <w:r>
        <w:rPr>
          <w:rFonts w:ascii="Barlow Semi Condensed" w:cs="Barlow Semi Condensed" w:eastAsia="Barlow Semi Condensed" w:hAnsi="Barlow Semi Condensed"/>
          <w:sz w:val="24"/>
          <w:szCs w:val="24"/>
        </w:rPr>
        <w:t xml:space="preserve">Dieci nodi del censimento sono stati sottoposti a controllo esterno, per conoscenza stabile certificabile o per verifica in rete condotta in questa sessione. L'esito complessivo è di concordanza piena sui dieci nodi verificati, con due rilievi di copertura: il nome in codice della vasta operazione europea del tre maggio duemilaventitré contro la 'ndrangheta non compare nel testo, e taluni orizzonti temporali delle voci restano fermi ad anni diversi — eterogeneità di aggiornamento dichiarata. Gli esiti puntuali sono ai blocchi trecentodue-trecentoventuno.</w:t>
      </w:r>
    </w:p>
    <w:p>
      <w:pPr>
        <w:spacing w:after="120" w:line="276"/>
        <w:jc w:val="both"/>
      </w:pPr>
      <w:r>
        <w:rPr>
          <w:rFonts w:ascii="Barlow Semi Condensed" w:cs="Barlow Semi Condensed" w:eastAsia="Barlow Semi Condensed" w:hAnsi="Barlow Semi Condensed"/>
          <w:sz w:val="24"/>
          <w:szCs w:val="24"/>
        </w:rPr>
        <w:t xml:space="preserve">11.7 — Le voci residue e la risoluzione di Montalto</w:t>
      </w:r>
    </w:p>
    <w:p>
      <w:pPr>
        <w:spacing w:after="120" w:line="276"/>
        <w:jc w:val="both"/>
      </w:pPr>
      <w:r>
        <w:rPr>
          <w:rFonts w:ascii="Barlow Semi Condensed" w:cs="Barlow Semi Condensed" w:eastAsia="Barlow Semi Condensed" w:hAnsi="Barlow Semi Condensed"/>
          <w:sz w:val="24"/>
          <w:szCs w:val="24"/>
        </w:rPr>
        <w:t xml:space="preserve">La tranche chiude le voci consegnate dalla quinta: le tre voci d'armamento Beretta, la voce sul giovedì nero di Milano, le voci Magliana, Nuova Camorra Organizzata, Occorsio e Mattarella, tutte ai blocchi trecentoventidue-trecentotrentuno. Soprattutto, la divergenza sulla data del primo grado di Montalto è risolta alla fonte giudiziaria: la fonte specialistica cita testualmente la sentenza del Tribunale di Locri del due ottobre millenovecentosettanta, con numero di pagina; la data prevale a Livello A, mentre l'indicazione enciclopedica del ventiquattro marzo millenovecentosettantuno resta annotata quale discordanza, verosimilmente riferita ad altro segmento processuale. La verifica ha inoltre restituito la rilettura del summit operata dalla sentenza Gotha, con le dichiarazioni del collaboratore Serpa sui nomi dell'eversione nera e con le cautele del collegio medesimo — la presenza di Concutelli è contraddetta dalla sua detenzione accertata all'epoca: materiale processuale a Livello B, con la Regola Ferrea a presidio di ogni inferenza storica.</w:t>
      </w:r>
    </w:p>
    <w:p>
      <w:pPr>
        <w:spacing w:after="120" w:line="276"/>
        <w:jc w:val="both"/>
      </w:pPr>
      <w:r>
        <w:rPr>
          <w:rFonts w:ascii="Barlow Semi Condensed" w:cs="Barlow Semi Condensed" w:eastAsia="Barlow Semi Condensed" w:hAnsi="Barlow Semi Condensed"/>
          <w:sz w:val="24"/>
          <w:szCs w:val="24"/>
        </w:rPr>
        <w:t xml:space="preserve">11.8 — Aggiornamento della matrice ACH e principio del lampione</w:t>
      </w:r>
    </w:p>
    <w:p>
      <w:pPr>
        <w:spacing w:after="120" w:line="276"/>
        <w:jc w:val="both"/>
      </w:pPr>
      <w:r>
        <w:rPr>
          <w:rFonts w:ascii="Barlow Semi Condensed" w:cs="Barlow Semi Condensed" w:eastAsia="Barlow Semi Condensed" w:hAnsi="Barlow Semi Condensed"/>
          <w:sz w:val="24"/>
          <w:szCs w:val="24"/>
        </w:rPr>
        <w:t xml:space="preserve">Il censimento fornisce alla matrice l'ossatura del Dominio primo su scala mondiale, ma non tocca le ipotesi maggiori: nulla vi milita a favore di H1, e la pluralità irriducibile delle regie criminali — per continente, per mercato, per epoca — rafforza semmai H3. I corridoi transatlantici del Libro primo arricchiscono i pattern dei flussi e delle dinastie. La tranche iscrive infine, quale principio permanente di metodo, l'effetto lampione: la densità documentaria misura l'attenzione delle fonti, non l'intensità storica dei fenomeni; un censimento è la mappa di ciò che è stato illuminato, e le sue lacune — come quella campionata sull'operazione del maggio duemilaventitré — sono zone d'ombra del lampione, non del mondo.</w:t>
      </w:r>
    </w:p>
    <w:p>
      <w:pPr>
        <w:spacing w:after="120" w:line="276"/>
        <w:jc w:val="both"/>
      </w:pPr>
      <w:r>
        <w:rPr>
          <w:rFonts w:ascii="Barlow Semi Condensed" w:cs="Barlow Semi Condensed" w:eastAsia="Barlow Semi Condensed" w:hAnsi="Barlow Semi Condensed"/>
          <w:sz w:val="24"/>
          <w:szCs w:val="24"/>
        </w:rPr>
        <w:t xml:space="preserve">11.9 — Registro dei blocchi di verifica: blocchi duecentotrentanove–trecentotrentotto</w:t>
      </w:r>
    </w:p>
    <w:p>
      <w:pPr>
        <w:spacing w:after="120" w:line="276"/>
        <w:jc w:val="both"/>
      </w:pPr>
      <w:r>
        <w:rPr>
          <w:rFonts w:ascii="Barlow Semi Condensed" w:cs="Barlow Semi Condensed" w:eastAsia="Barlow Semi Condensed" w:hAnsi="Barlow Semi Condensed"/>
          <w:sz w:val="24"/>
          <w:szCs w:val="24"/>
        </w:rPr>
        <w:t xml:space="preserve">Formula identica alle Fasi precedenti: «già certificato» rinvia ai blocchi delle tranche precedenti; «verificato ora» indica la campagna esterna di questa sessione; «attribuito» lascia l'asserzione in capo alla fonte nominata; gli esiti negativi sono iscritti come Stato Zero.</w:t>
      </w:r>
    </w:p>
    <w:p>
      <w:pPr>
        <w:spacing w:after="120" w:line="276"/>
        <w:jc w:val="both"/>
      </w:pPr>
      <w:r>
        <w:rPr>
          <w:rFonts w:ascii="Barlow Semi Condensed" w:cs="Barlow Semi Condensed" w:eastAsia="Barlow Semi Condensed" w:hAnsi="Barlow Semi Condensed"/>
          <w:sz w:val="24"/>
          <w:szCs w:val="24"/>
        </w:rPr>
        <w:t xml:space="preserve">Innesco e statuto (blocchi duecentotrentanove–duecentoquarantatré)</w:t>
      </w:r>
    </w:p>
    <w:p>
      <w:pPr>
        <w:spacing w:after="120" w:line="276"/>
        <w:jc w:val="both"/>
      </w:pPr>
      <w:r>
        <w:rPr>
          <w:rFonts w:ascii="Barlow Semi Condensed" w:cs="Barlow Semi Condensed" w:eastAsia="Barlow Semi Condensed" w:hAnsi="Barlow Semi Condensed"/>
          <w:sz w:val="24"/>
          <w:szCs w:val="24"/>
        </w:rPr>
        <w:t xml:space="preserve">Blocco duecentotrentanove. Il documento-innesco: millecentootto pagine, dodici libri, nota di composizione con confronto integrale dichiarato, registro delle sorgenti a impronte crittografiche, espunzione di sessanta frammenti redazionali con log: Livello A quale atto del corpus, con credito di igiene documentale.</w:t>
      </w:r>
    </w:p>
    <w:p>
      <w:pPr>
        <w:spacing w:after="120" w:line="276"/>
        <w:jc w:val="both"/>
      </w:pPr>
      <w:r>
        <w:rPr>
          <w:rFonts w:ascii="Barlow Semi Condensed" w:cs="Barlow Semi Condensed" w:eastAsia="Barlow Semi Condensed" w:hAnsi="Barlow Semi Condensed"/>
          <w:sz w:val="24"/>
          <w:szCs w:val="24"/>
        </w:rPr>
        <w:t xml:space="preserve">Blocco duecentoquaranta. La genealogia verificabile: una delle due sorgenti dichiarate è presente nel corpus di progetto con impronta corrispondente: catena di composizione a Livello A.</w:t>
      </w:r>
    </w:p>
    <w:p>
      <w:pPr>
        <w:spacing w:after="120" w:line="276"/>
        <w:jc w:val="both"/>
      </w:pPr>
      <w:r>
        <w:rPr>
          <w:rFonts w:ascii="Barlow Semi Condensed" w:cs="Barlow Semi Condensed" w:eastAsia="Barlow Semi Condensed" w:hAnsi="Barlow Semi Condensed"/>
          <w:sz w:val="24"/>
          <w:szCs w:val="24"/>
        </w:rPr>
        <w:t xml:space="preserve">Blocco duecentoquarantuno. Zero indirizzi di rete nel corpo: apparato per fonti nominate; il censimento URL dell'innesco restituisce zero per statuto, e la mappa cumulativa resta quella delle tranche precedenti.</w:t>
      </w:r>
    </w:p>
    <w:p>
      <w:pPr>
        <w:spacing w:after="120" w:line="276"/>
        <w:jc w:val="both"/>
      </w:pPr>
      <w:r>
        <w:rPr>
          <w:rFonts w:ascii="Barlow Semi Condensed" w:cs="Barlow Semi Condensed" w:eastAsia="Barlow Semi Condensed" w:hAnsi="Barlow Semi Condensed"/>
          <w:sz w:val="24"/>
          <w:szCs w:val="24"/>
        </w:rPr>
        <w:t xml:space="preserve">Blocco duecentoquarantadue. Il perimetro: voci nominative numerate sino a duemilaventitré, dodici libri, dall'Italia ai fenomeni trasversali: perimetro iscritto; la continuità delle serie di numerazione non è verificata voce per voce e resta pendenza dichiarata.</w:t>
      </w:r>
    </w:p>
    <w:p>
      <w:pPr>
        <w:spacing w:after="120" w:line="276"/>
        <w:jc w:val="both"/>
      </w:pPr>
      <w:r>
        <w:rPr>
          <w:rFonts w:ascii="Barlow Semi Condensed" w:cs="Barlow Semi Condensed" w:eastAsia="Barlow Semi Condensed" w:hAnsi="Barlow Semi Condensed"/>
          <w:sz w:val="24"/>
          <w:szCs w:val="24"/>
        </w:rPr>
        <w:t xml:space="preserve">Blocco duecentoquarantatré. La metrica del censimento nominativo: ogni voce eredita il grado della propria fonte — Livello B con fonte nominata, Livello C senza — e nessuna voce fa prova autonoma; la sezione Aginter, già enucleata, è certificata nella Fase decima e i rinvii sono incrociati.</w:t>
      </w:r>
    </w:p>
    <w:p>
      <w:pPr>
        <w:spacing w:after="120" w:line="276"/>
        <w:jc w:val="both"/>
      </w:pPr>
      <w:r>
        <w:rPr>
          <w:rFonts w:ascii="Barlow Semi Condensed" w:cs="Barlow Semi Condensed" w:eastAsia="Barlow Semi Condensed" w:hAnsi="Barlow Semi Condensed"/>
          <w:sz w:val="24"/>
          <w:szCs w:val="24"/>
        </w:rPr>
        <w:t xml:space="preserve">Il Libro primo, capitoli tematici (blocchi duecentoquarantaquattro–duecentocinquantatré)</w:t>
      </w:r>
    </w:p>
    <w:p>
      <w:pPr>
        <w:spacing w:after="120" w:line="276"/>
        <w:jc w:val="both"/>
      </w:pPr>
      <w:r>
        <w:rPr>
          <w:rFonts w:ascii="Barlow Semi Condensed" w:cs="Barlow Semi Condensed" w:eastAsia="Barlow Semi Condensed" w:hAnsi="Barlow Semi Condensed"/>
          <w:sz w:val="24"/>
          <w:szCs w:val="24"/>
        </w:rPr>
        <w:t xml:space="preserve">Blocco duecentoquarantaquattro. I porti — Gioia Tauro, Napoli, Salerno, Livorno — e la rotta adriatica quali infrastrutture del narcotraffico: sintesi a Livello B sulla classe delle fonti istituzionali.</w:t>
      </w:r>
    </w:p>
    <w:p>
      <w:pPr>
        <w:spacing w:after="120" w:line="276"/>
        <w:jc w:val="both"/>
      </w:pPr>
      <w:r>
        <w:rPr>
          <w:rFonts w:ascii="Barlow Semi Condensed" w:cs="Barlow Semi Condensed" w:eastAsia="Barlow Semi Condensed" w:hAnsi="Barlow Semi Condensed"/>
          <w:sz w:val="24"/>
          <w:szCs w:val="24"/>
        </w:rPr>
        <w:t xml:space="preserve">Blocco duecentoquarantacinque. Il contrabbando di sigarette e di carburante: Livello B.</w:t>
      </w:r>
    </w:p>
    <w:p>
      <w:pPr>
        <w:spacing w:after="120" w:line="276"/>
        <w:jc w:val="both"/>
      </w:pPr>
      <w:r>
        <w:rPr>
          <w:rFonts w:ascii="Barlow Semi Condensed" w:cs="Barlow Semi Condensed" w:eastAsia="Barlow Semi Condensed" w:hAnsi="Barlow Semi Condensed"/>
          <w:sz w:val="24"/>
          <w:szCs w:val="24"/>
        </w:rPr>
        <w:t xml:space="preserve">Blocco duecentoquarantasei. La terra dei fuochi e l'ecomafia, il ciclo illegale dei rifiuti: Livello B, con radicamento giudiziario consolidato.</w:t>
      </w:r>
    </w:p>
    <w:p>
      <w:pPr>
        <w:spacing w:after="120" w:line="276"/>
        <w:jc w:val="both"/>
      </w:pPr>
      <w:r>
        <w:rPr>
          <w:rFonts w:ascii="Barlow Semi Condensed" w:cs="Barlow Semi Condensed" w:eastAsia="Barlow Semi Condensed" w:hAnsi="Barlow Semi Condensed"/>
          <w:sz w:val="24"/>
          <w:szCs w:val="24"/>
        </w:rPr>
        <w:t xml:space="preserve">Blocco duecentoquarantasette. Il caporalato e lo sfruttamento dei lavoratori migranti: Livello B.</w:t>
      </w:r>
    </w:p>
    <w:p>
      <w:pPr>
        <w:spacing w:after="120" w:line="276"/>
        <w:jc w:val="both"/>
      </w:pPr>
      <w:r>
        <w:rPr>
          <w:rFonts w:ascii="Barlow Semi Condensed" w:cs="Barlow Semi Condensed" w:eastAsia="Barlow Semi Condensed" w:hAnsi="Barlow Semi Condensed"/>
          <w:sz w:val="24"/>
          <w:szCs w:val="24"/>
        </w:rPr>
        <w:t xml:space="preserve">Blocco duecentoquarantotto. Il gioco d'azzardo e le scommesse in rete: infiltrazione documentata: Livello B.</w:t>
      </w:r>
    </w:p>
    <w:p>
      <w:pPr>
        <w:spacing w:after="120" w:line="276"/>
        <w:jc w:val="both"/>
      </w:pPr>
      <w:r>
        <w:rPr>
          <w:rFonts w:ascii="Barlow Semi Condensed" w:cs="Barlow Semi Condensed" w:eastAsia="Barlow Semi Condensed" w:hAnsi="Barlow Semi Condensed"/>
          <w:sz w:val="24"/>
          <w:szCs w:val="24"/>
        </w:rPr>
        <w:t xml:space="preserve">Blocco duecentoquarantanove. L'usura quale banca parallela della mafia: Livello B.</w:t>
      </w:r>
    </w:p>
    <w:p>
      <w:pPr>
        <w:spacing w:after="120" w:line="276"/>
        <w:jc w:val="both"/>
      </w:pPr>
      <w:r>
        <w:rPr>
          <w:rFonts w:ascii="Barlow Semi Condensed" w:cs="Barlow Semi Condensed" w:eastAsia="Barlow Semi Condensed" w:hAnsi="Barlow Semi Condensed"/>
          <w:sz w:val="24"/>
          <w:szCs w:val="24"/>
        </w:rPr>
        <w:t xml:space="preserve">Blocco duecentocinquanta. Le energie rinnovabili, l'eolico e il fotovoltaico: Livello B, con i sequestri storici quale ancoraggio.</w:t>
      </w:r>
    </w:p>
    <w:p>
      <w:pPr>
        <w:spacing w:after="120" w:line="276"/>
        <w:jc w:val="both"/>
      </w:pPr>
      <w:r>
        <w:rPr>
          <w:rFonts w:ascii="Barlow Semi Condensed" w:cs="Barlow Semi Condensed" w:eastAsia="Barlow Semi Condensed" w:hAnsi="Barlow Semi Condensed"/>
          <w:sz w:val="24"/>
          <w:szCs w:val="24"/>
        </w:rPr>
        <w:t xml:space="preserve">Blocco duecentocinquantuno. La sanità e l'infiltrazione nel servizio nazionale: Livello B.</w:t>
      </w:r>
    </w:p>
    <w:p>
      <w:pPr>
        <w:spacing w:after="120" w:line="276"/>
        <w:jc w:val="both"/>
      </w:pPr>
      <w:r>
        <w:rPr>
          <w:rFonts w:ascii="Barlow Semi Condensed" w:cs="Barlow Semi Condensed" w:eastAsia="Barlow Semi Condensed" w:hAnsi="Barlow Semi Condensed"/>
          <w:sz w:val="24"/>
          <w:szCs w:val="24"/>
        </w:rPr>
        <w:t xml:space="preserve">Blocco duecentocinquantadue. Il calcio, le scommesse e la manipolazione degli incontri: Livello B.</w:t>
      </w:r>
    </w:p>
    <w:p>
      <w:pPr>
        <w:spacing w:after="120" w:line="276"/>
        <w:jc w:val="both"/>
      </w:pPr>
      <w:r>
        <w:rPr>
          <w:rFonts w:ascii="Barlow Semi Condensed" w:cs="Barlow Semi Condensed" w:eastAsia="Barlow Semi Condensed" w:hAnsi="Barlow Semi Condensed"/>
          <w:sz w:val="24"/>
          <w:szCs w:val="24"/>
        </w:rPr>
        <w:t xml:space="preserve">Blocco duecentocinquantatré. L'agroalimentare e il controllo della filiera: Livello B.</w:t>
      </w:r>
    </w:p>
    <w:p>
      <w:pPr>
        <w:spacing w:after="120" w:line="276"/>
        <w:jc w:val="both"/>
      </w:pPr>
      <w:r>
        <w:rPr>
          <w:rFonts w:ascii="Barlow Semi Condensed" w:cs="Barlow Semi Condensed" w:eastAsia="Barlow Semi Condensed" w:hAnsi="Barlow Semi Condensed"/>
          <w:sz w:val="24"/>
          <w:szCs w:val="24"/>
        </w:rPr>
        <w:t xml:space="preserve">Il Libro primo, capitoli transatlantici (blocchi duecentocinquantaquattro–duecentosessantatré)</w:t>
      </w:r>
    </w:p>
    <w:p>
      <w:pPr>
        <w:spacing w:after="120" w:line="276"/>
        <w:jc w:val="both"/>
      </w:pPr>
      <w:r>
        <w:rPr>
          <w:rFonts w:ascii="Barlow Semi Condensed" w:cs="Barlow Semi Condensed" w:eastAsia="Barlow Semi Condensed" w:hAnsi="Barlow Semi Condensed"/>
          <w:sz w:val="24"/>
          <w:szCs w:val="24"/>
        </w:rPr>
        <w:t xml:space="preserve">Blocco duecentocinquantaquattro. La premessa metodologica dei capitoli provinciali: genealogie migratorie quale chiave del Dominio primo: adottata con la metrica della sezione prima.</w:t>
      </w:r>
    </w:p>
    <w:p>
      <w:pPr>
        <w:spacing w:after="120" w:line="276"/>
        <w:jc w:val="both"/>
      </w:pPr>
      <w:r>
        <w:rPr>
          <w:rFonts w:ascii="Barlow Semi Condensed" w:cs="Barlow Semi Condensed" w:eastAsia="Barlow Semi Condensed" w:hAnsi="Barlow Semi Condensed"/>
          <w:sz w:val="24"/>
          <w:szCs w:val="24"/>
        </w:rPr>
        <w:t xml:space="preserve">Blocco duecentocinquantacinque. La provincia di Agrigento e il corridoio verso Tampa e St. Louis: ricostruzione di corpus a Livello B sulle gambe documentate.</w:t>
      </w:r>
    </w:p>
    <w:p>
      <w:pPr>
        <w:spacing w:after="120" w:line="276"/>
        <w:jc w:val="both"/>
      </w:pPr>
      <w:r>
        <w:rPr>
          <w:rFonts w:ascii="Barlow Semi Condensed" w:cs="Barlow Semi Condensed" w:eastAsia="Barlow Semi Condensed" w:hAnsi="Barlow Semi Condensed"/>
          <w:sz w:val="24"/>
          <w:szCs w:val="24"/>
        </w:rPr>
        <w:t xml:space="preserve">Blocco duecentocinquantasei. Alessandria della Rocca: un comune, una famiglia: Livello B/C secondo le singole gambe.</w:t>
      </w:r>
    </w:p>
    <w:p>
      <w:pPr>
        <w:spacing w:after="120" w:line="276"/>
        <w:jc w:val="both"/>
      </w:pPr>
      <w:r>
        <w:rPr>
          <w:rFonts w:ascii="Barlow Semi Condensed" w:cs="Barlow Semi Condensed" w:eastAsia="Barlow Semi Condensed" w:hAnsi="Barlow Semi Condensed"/>
          <w:sz w:val="24"/>
          <w:szCs w:val="24"/>
        </w:rPr>
        <w:t xml:space="preserve">Blocco duecentocinquantasette. Casteltermini e il corridoio di St. Louis: Livello B/C.</w:t>
      </w:r>
    </w:p>
    <w:p>
      <w:pPr>
        <w:spacing w:after="120" w:line="276"/>
        <w:jc w:val="both"/>
      </w:pPr>
      <w:r>
        <w:rPr>
          <w:rFonts w:ascii="Barlow Semi Condensed" w:cs="Barlow Semi Condensed" w:eastAsia="Barlow Semi Condensed" w:hAnsi="Barlow Semi Condensed"/>
          <w:sz w:val="24"/>
          <w:szCs w:val="24"/>
        </w:rPr>
        <w:t xml:space="preserve">Blocco duecentocinquantotto. La provincia di Palermo e le Cinque Famiglie di New York, la Conca d'Oro e i suoi comuni: Livello B sulla trama, C sulle estensioni.</w:t>
      </w:r>
    </w:p>
    <w:p>
      <w:pPr>
        <w:spacing w:after="120" w:line="276"/>
        <w:jc w:val="both"/>
      </w:pPr>
      <w:r>
        <w:rPr>
          <w:rFonts w:ascii="Barlow Semi Condensed" w:cs="Barlow Semi Condensed" w:eastAsia="Barlow Semi Condensed" w:hAnsi="Barlow Semi Condensed"/>
          <w:sz w:val="24"/>
          <w:szCs w:val="24"/>
        </w:rPr>
        <w:t xml:space="preserve">Blocco duecentocinquantanove. I Barcellonesi del capitolo ventiduesimo, gruppo messinese di proiezione: Livello B.</w:t>
      </w:r>
    </w:p>
    <w:p>
      <w:pPr>
        <w:spacing w:after="120" w:line="276"/>
        <w:jc w:val="both"/>
      </w:pPr>
      <w:r>
        <w:rPr>
          <w:rFonts w:ascii="Barlow Semi Condensed" w:cs="Barlow Semi Condensed" w:eastAsia="Barlow Semi Condensed" w:hAnsi="Barlow Semi Condensed"/>
          <w:sz w:val="24"/>
          <w:szCs w:val="24"/>
        </w:rPr>
        <w:t xml:space="preserve">Blocco duecentosessanta. Napoli quale porto d'imbarco dell'emigrazione e dei traffici: Livello B.</w:t>
      </w:r>
    </w:p>
    <w:p>
      <w:pPr>
        <w:spacing w:after="120" w:line="276"/>
        <w:jc w:val="both"/>
      </w:pPr>
      <w:r>
        <w:rPr>
          <w:rFonts w:ascii="Barlow Semi Condensed" w:cs="Barlow Semi Condensed" w:eastAsia="Barlow Semi Condensed" w:hAnsi="Barlow Semi Condensed"/>
          <w:sz w:val="24"/>
          <w:szCs w:val="24"/>
        </w:rPr>
        <w:t xml:space="preserve">Blocco duecentosessantuno. Le implicazioni per la storiografia italiana rivendicate dal capitolo settantaseiesimo: tesi interpretativa, Livello C dichiarato.</w:t>
      </w:r>
    </w:p>
    <w:p>
      <w:pPr>
        <w:spacing w:after="120" w:line="276"/>
        <w:jc w:val="both"/>
      </w:pPr>
      <w:r>
        <w:rPr>
          <w:rFonts w:ascii="Barlow Semi Condensed" w:cs="Barlow Semi Condensed" w:eastAsia="Barlow Semi Condensed" w:hAnsi="Barlow Semi Condensed"/>
          <w:sz w:val="24"/>
          <w:szCs w:val="24"/>
        </w:rPr>
        <w:t xml:space="preserve">Blocco duecentosessantadue. La classifica dei comuni per numero di affiliati del capitolo ottantaquattresimo: elaborazione statistica di corpus, Livello C sino a verifica delle basi di conteggio.</w:t>
      </w:r>
    </w:p>
    <w:p>
      <w:pPr>
        <w:spacing w:after="120" w:line="276"/>
        <w:jc w:val="both"/>
      </w:pPr>
      <w:r>
        <w:rPr>
          <w:rFonts w:ascii="Barlow Semi Condensed" w:cs="Barlow Semi Condensed" w:eastAsia="Barlow Semi Condensed" w:hAnsi="Barlow Semi Condensed"/>
          <w:sz w:val="24"/>
          <w:szCs w:val="24"/>
        </w:rPr>
        <w:t xml:space="preserve">Blocco duecentosessantatré. I ritorni in Italia documentati del capitolo ottantaseiesimo: Livello B sulle voci con fonte nominata.</w:t>
      </w:r>
    </w:p>
    <w:p>
      <w:pPr>
        <w:spacing w:after="120" w:line="276"/>
        <w:jc w:val="both"/>
      </w:pPr>
      <w:r>
        <w:rPr>
          <w:rFonts w:ascii="Barlow Semi Condensed" w:cs="Barlow Semi Condensed" w:eastAsia="Barlow Semi Condensed" w:hAnsi="Barlow Semi Condensed"/>
          <w:sz w:val="24"/>
          <w:szCs w:val="24"/>
        </w:rPr>
        <w:t xml:space="preserve">I Libri dal secondo al sesto (blocchi duecentosessantaquattro–duecentosettantatré)</w:t>
      </w:r>
    </w:p>
    <w:p>
      <w:pPr>
        <w:spacing w:after="120" w:line="276"/>
        <w:jc w:val="both"/>
      </w:pPr>
      <w:r>
        <w:rPr>
          <w:rFonts w:ascii="Barlow Semi Condensed" w:cs="Barlow Semi Condensed" w:eastAsia="Barlow Semi Condensed" w:hAnsi="Barlow Semi Condensed"/>
          <w:sz w:val="24"/>
          <w:szCs w:val="24"/>
        </w:rPr>
        <w:t xml:space="preserve">Blocco duecentosessantaquattro. Il Libro secondo, Europa occidentale, Balcani e Turchia: quadro a Livello B.</w:t>
      </w:r>
    </w:p>
    <w:p>
      <w:pPr>
        <w:spacing w:after="120" w:line="276"/>
        <w:jc w:val="both"/>
      </w:pPr>
      <w:r>
        <w:rPr>
          <w:rFonts w:ascii="Barlow Semi Condensed" w:cs="Barlow Semi Condensed" w:eastAsia="Barlow Semi Condensed" w:hAnsi="Barlow Semi Condensed"/>
          <w:sz w:val="24"/>
          <w:szCs w:val="24"/>
        </w:rPr>
        <w:t xml:space="preserve">Blocco duecentosessantacinque. La triangolazione balcanica col registro di corpus: flussi dalle compagnie militari private russe a membri di gruppi etnonazionalisti a Livello A su intercettazioni e indagini bancarie pubblicate; regia statale unica a Livello B: già certificato, recepito.</w:t>
      </w:r>
    </w:p>
    <w:p>
      <w:pPr>
        <w:spacing w:after="120" w:line="276"/>
        <w:jc w:val="both"/>
      </w:pPr>
      <w:r>
        <w:rPr>
          <w:rFonts w:ascii="Barlow Semi Condensed" w:cs="Barlow Semi Condensed" w:eastAsia="Barlow Semi Condensed" w:hAnsi="Barlow Semi Condensed"/>
          <w:sz w:val="24"/>
          <w:szCs w:val="24"/>
        </w:rPr>
        <w:t xml:space="preserve">Blocco duecentosessantasei. Il nodo turco e la monografia di corpus sui Lupi Grigi: saldatura ai blocchi delle Fasi precedenti sul terrorismo transnazionale: Livello B.</w:t>
      </w:r>
    </w:p>
    <w:p>
      <w:pPr>
        <w:spacing w:after="120" w:line="276"/>
        <w:jc w:val="both"/>
      </w:pPr>
      <w:r>
        <w:rPr>
          <w:rFonts w:ascii="Barlow Semi Condensed" w:cs="Barlow Semi Condensed" w:eastAsia="Barlow Semi Condensed" w:hAnsi="Barlow Semi Condensed"/>
          <w:sz w:val="24"/>
          <w:szCs w:val="24"/>
        </w:rPr>
        <w:t xml:space="preserve">Blocco duecentosessantasette. Il Libro terzo, Europa settentrionale e Baltici: quadro a Livello B.</w:t>
      </w:r>
    </w:p>
    <w:p>
      <w:pPr>
        <w:spacing w:after="120" w:line="276"/>
        <w:jc w:val="both"/>
      </w:pPr>
      <w:r>
        <w:rPr>
          <w:rFonts w:ascii="Barlow Semi Condensed" w:cs="Barlow Semi Condensed" w:eastAsia="Barlow Semi Condensed" w:hAnsi="Barlow Semi Condensed"/>
          <w:sz w:val="24"/>
          <w:szCs w:val="24"/>
        </w:rPr>
        <w:t xml:space="preserve">Blocco duecentosessantotto. Il Libro quarto e gli effetti della guerra ucraina dal corpus integrale: la rete Khimprom delle droghe sintetiche, i millecinquecento call center della rete Dniprovski con le frodi triplicate, l'esplosione dei sequestri d'armi fra il duemilaventuno e il duemilaventitré: sintesi su fonti ucraine, Livello B.</w:t>
      </w:r>
    </w:p>
    <w:p>
      <w:pPr>
        <w:spacing w:after="120" w:line="276"/>
        <w:jc w:val="both"/>
      </w:pPr>
      <w:r>
        <w:rPr>
          <w:rFonts w:ascii="Barlow Semi Condensed" w:cs="Barlow Semi Condensed" w:eastAsia="Barlow Semi Condensed" w:hAnsi="Barlow Semi Condensed"/>
          <w:sz w:val="24"/>
          <w:szCs w:val="24"/>
        </w:rPr>
        <w:t xml:space="preserve">Blocco duecentosessantanove. Il Libro quinto, Russia e spazio post-sovietico: quadro a Livello B.</w:t>
      </w:r>
    </w:p>
    <w:p>
      <w:pPr>
        <w:spacing w:after="120" w:line="276"/>
        <w:jc w:val="both"/>
      </w:pPr>
      <w:r>
        <w:rPr>
          <w:rFonts w:ascii="Barlow Semi Condensed" w:cs="Barlow Semi Condensed" w:eastAsia="Barlow Semi Condensed" w:hAnsi="Barlow Semi Condensed"/>
          <w:sz w:val="24"/>
          <w:szCs w:val="24"/>
        </w:rPr>
        <w:t xml:space="preserve">Blocco duecentosettanta. Le voci ventisei e ventisette: i vory v zakone quale élite criminale tradizionale e la Solntsevskaya moscovita: Livello B di lista qualificata.</w:t>
      </w:r>
    </w:p>
    <w:p>
      <w:pPr>
        <w:spacing w:after="120" w:line="276"/>
        <w:jc w:val="both"/>
      </w:pPr>
      <w:r>
        <w:rPr>
          <w:rFonts w:ascii="Barlow Semi Condensed" w:cs="Barlow Semi Condensed" w:eastAsia="Barlow Semi Condensed" w:hAnsi="Barlow Semi Condensed"/>
          <w:sz w:val="24"/>
          <w:szCs w:val="24"/>
        </w:rPr>
        <w:t xml:space="preserve">Blocco duecentosettantuno. La triangolazione con la monografia di corpus sulle reti criminali russe e con gli atti del Senato statunitense sulle misure attive: le saldature crimine-Stato restano nei gradi delle Fasi precedenti: nessun avanzamento di grado per accumulo.</w:t>
      </w:r>
    </w:p>
    <w:p>
      <w:pPr>
        <w:spacing w:after="120" w:line="276"/>
        <w:jc w:val="both"/>
      </w:pPr>
      <w:r>
        <w:rPr>
          <w:rFonts w:ascii="Barlow Semi Condensed" w:cs="Barlow Semi Condensed" w:eastAsia="Barlow Semi Condensed" w:hAnsi="Barlow Semi Condensed"/>
          <w:sz w:val="24"/>
          <w:szCs w:val="24"/>
        </w:rPr>
        <w:t xml:space="preserve">Blocco duecentosettantadue. Il Libro sesto, il Caucaso: quadro a Livello B.</w:t>
      </w:r>
    </w:p>
    <w:p>
      <w:pPr>
        <w:spacing w:after="120" w:line="276"/>
        <w:jc w:val="both"/>
      </w:pPr>
      <w:r>
        <w:rPr>
          <w:rFonts w:ascii="Barlow Semi Condensed" w:cs="Barlow Semi Condensed" w:eastAsia="Barlow Semi Condensed" w:hAnsi="Barlow Semi Condensed"/>
          <w:sz w:val="24"/>
          <w:szCs w:val="24"/>
        </w:rPr>
        <w:t xml:space="preserve">Blocco duecentosettantatré. La saldatura fra tradizione dei vory e diaspora caucasica in Europa: Livello B/C secondo le gambe.</w:t>
      </w:r>
    </w:p>
    <w:p>
      <w:pPr>
        <w:spacing w:after="120" w:line="276"/>
        <w:jc w:val="both"/>
      </w:pPr>
      <w:r>
        <w:rPr>
          <w:rFonts w:ascii="Barlow Semi Condensed" w:cs="Barlow Semi Condensed" w:eastAsia="Barlow Semi Condensed" w:hAnsi="Barlow Semi Condensed"/>
          <w:sz w:val="24"/>
          <w:szCs w:val="24"/>
        </w:rPr>
        <w:t xml:space="preserve">I Libri dal settimo all'undicesimo (blocchi duecentosettantaquattro–duecentottantatré)</w:t>
      </w:r>
    </w:p>
    <w:p>
      <w:pPr>
        <w:spacing w:after="120" w:line="276"/>
        <w:jc w:val="both"/>
      </w:pPr>
      <w:r>
        <w:rPr>
          <w:rFonts w:ascii="Barlow Semi Condensed" w:cs="Barlow Semi Condensed" w:eastAsia="Barlow Semi Condensed" w:hAnsi="Barlow Semi Condensed"/>
          <w:sz w:val="24"/>
          <w:szCs w:val="24"/>
        </w:rPr>
        <w:t xml:space="preserve">Blocco duecentosettantaquattro. Il Libro settimo, Medio Oriente e Nordafrica: quadro a Livello B.</w:t>
      </w:r>
    </w:p>
    <w:p>
      <w:pPr>
        <w:spacing w:after="120" w:line="276"/>
        <w:jc w:val="both"/>
      </w:pPr>
      <w:r>
        <w:rPr>
          <w:rFonts w:ascii="Barlow Semi Condensed" w:cs="Barlow Semi Condensed" w:eastAsia="Barlow Semi Condensed" w:hAnsi="Barlow Semi Condensed"/>
          <w:sz w:val="24"/>
          <w:szCs w:val="24"/>
        </w:rPr>
        <w:t xml:space="preserve">Blocco duecentosettantacinque. Il versante finanziario delle organizzazioni politico-militari libanesi, triangolato con la monografia di corpus sull'impronta globale: Livello B.</w:t>
      </w:r>
    </w:p>
    <w:p>
      <w:pPr>
        <w:spacing w:after="120" w:line="276"/>
        <w:jc w:val="both"/>
      </w:pPr>
      <w:r>
        <w:rPr>
          <w:rFonts w:ascii="Barlow Semi Condensed" w:cs="Barlow Semi Condensed" w:eastAsia="Barlow Semi Condensed" w:hAnsi="Barlow Semi Condensed"/>
          <w:sz w:val="24"/>
          <w:szCs w:val="24"/>
        </w:rPr>
        <w:t xml:space="preserve">Blocco duecentosettantasei. Il Libro ottavo, Africa subsahariana: quadro a Livello B.</w:t>
      </w:r>
    </w:p>
    <w:p>
      <w:pPr>
        <w:spacing w:after="120" w:line="276"/>
        <w:jc w:val="both"/>
      </w:pPr>
      <w:r>
        <w:rPr>
          <w:rFonts w:ascii="Barlow Semi Condensed" w:cs="Barlow Semi Condensed" w:eastAsia="Barlow Semi Condensed" w:hAnsi="Barlow Semi Condensed"/>
          <w:sz w:val="24"/>
          <w:szCs w:val="24"/>
        </w:rPr>
        <w:t xml:space="preserve">Blocco duecentosettantasette. Le confraternite nigeriane quale fenomeno dominante del Libro: Livello B sulla classe di fonti della Global Initiative.</w:t>
      </w:r>
    </w:p>
    <w:p>
      <w:pPr>
        <w:spacing w:after="120" w:line="276"/>
        <w:jc w:val="both"/>
      </w:pPr>
      <w:r>
        <w:rPr>
          <w:rFonts w:ascii="Barlow Semi Condensed" w:cs="Barlow Semi Condensed" w:eastAsia="Barlow Semi Condensed" w:hAnsi="Barlow Semi Condensed"/>
          <w:sz w:val="24"/>
          <w:szCs w:val="24"/>
        </w:rPr>
        <w:t xml:space="preserve">Blocco duecentosettantotto. Il Libro nono, Stati Uniti: quadro a Livello B.</w:t>
      </w:r>
    </w:p>
    <w:p>
      <w:pPr>
        <w:spacing w:after="120" w:line="276"/>
        <w:jc w:val="both"/>
      </w:pPr>
      <w:r>
        <w:rPr>
          <w:rFonts w:ascii="Barlow Semi Condensed" w:cs="Barlow Semi Condensed" w:eastAsia="Barlow Semi Condensed" w:hAnsi="Barlow Semi Condensed"/>
          <w:sz w:val="24"/>
          <w:szCs w:val="24"/>
        </w:rPr>
        <w:t xml:space="preserve">Blocco duecentosettantanove. Le Cinque Famiglie e la criminalità italoamericana, saldate ai corridoi transatlantici del Libro primo: Livello B, con la genealogia quale terreno dei pattern dinastici.</w:t>
      </w:r>
    </w:p>
    <w:p>
      <w:pPr>
        <w:spacing w:after="120" w:line="276"/>
        <w:jc w:val="both"/>
      </w:pPr>
      <w:r>
        <w:rPr>
          <w:rFonts w:ascii="Barlow Semi Condensed" w:cs="Barlow Semi Condensed" w:eastAsia="Barlow Semi Condensed" w:hAnsi="Barlow Semi Condensed"/>
          <w:sz w:val="24"/>
          <w:szCs w:val="24"/>
        </w:rPr>
        <w:t xml:space="preserve">Blocco duecentottanta. Il Libro decimo, Americhe: quadro a Livello B.</w:t>
      </w:r>
    </w:p>
    <w:p>
      <w:pPr>
        <w:spacing w:after="120" w:line="276"/>
        <w:jc w:val="both"/>
      </w:pPr>
      <w:r>
        <w:rPr>
          <w:rFonts w:ascii="Barlow Semi Condensed" w:cs="Barlow Semi Condensed" w:eastAsia="Barlow Semi Condensed" w:hAnsi="Barlow Semi Condensed"/>
          <w:sz w:val="24"/>
          <w:szCs w:val="24"/>
        </w:rPr>
        <w:t xml:space="preserve">Blocco duecentottantuno. I cartelli messicani, triangolati con le monografie accademiche del corpus sulle organizzazioni del narcotraffico: Livello B.</w:t>
      </w:r>
    </w:p>
    <w:p>
      <w:pPr>
        <w:spacing w:after="120" w:line="276"/>
        <w:jc w:val="both"/>
      </w:pPr>
      <w:r>
        <w:rPr>
          <w:rFonts w:ascii="Barlow Semi Condensed" w:cs="Barlow Semi Condensed" w:eastAsia="Barlow Semi Condensed" w:hAnsi="Barlow Semi Condensed"/>
          <w:sz w:val="24"/>
          <w:szCs w:val="24"/>
        </w:rPr>
        <w:t xml:space="preserve">Blocco duecentottantadue. Le organizzazioni brasiliane: il Primeiro Comando da Capital con la scheda del capo detenuto che ne mantiene il comando, e il Comando Vermelho: Livello B.</w:t>
      </w:r>
    </w:p>
    <w:p>
      <w:pPr>
        <w:spacing w:after="120" w:line="276"/>
        <w:jc w:val="both"/>
      </w:pPr>
      <w:r>
        <w:rPr>
          <w:rFonts w:ascii="Barlow Semi Condensed" w:cs="Barlow Semi Condensed" w:eastAsia="Barlow Semi Condensed" w:hAnsi="Barlow Semi Condensed"/>
          <w:sz w:val="24"/>
          <w:szCs w:val="24"/>
        </w:rPr>
        <w:t xml:space="preserve">Blocco duecentottantatré. La voce settecentosettantanove sulle gang haitiane e il controllo territoriale di Croix-des-Bouquets: Livello B.</w:t>
      </w:r>
    </w:p>
    <w:p>
      <w:pPr>
        <w:spacing w:after="120" w:line="276"/>
        <w:jc w:val="both"/>
      </w:pPr>
      <w:r>
        <w:rPr>
          <w:rFonts w:ascii="Barlow Semi Condensed" w:cs="Barlow Semi Condensed" w:eastAsia="Barlow Semi Condensed" w:hAnsi="Barlow Semi Condensed"/>
          <w:sz w:val="24"/>
          <w:szCs w:val="24"/>
        </w:rPr>
        <w:t xml:space="preserve">I Libri undicesimo e dodicesimo (blocchi duecentottantaquattro–duecentonovantuno)</w:t>
      </w:r>
    </w:p>
    <w:p>
      <w:pPr>
        <w:spacing w:after="120" w:line="276"/>
        <w:jc w:val="both"/>
      </w:pPr>
      <w:r>
        <w:rPr>
          <w:rFonts w:ascii="Barlow Semi Condensed" w:cs="Barlow Semi Condensed" w:eastAsia="Barlow Semi Condensed" w:hAnsi="Barlow Semi Condensed"/>
          <w:sz w:val="24"/>
          <w:szCs w:val="24"/>
        </w:rPr>
        <w:t xml:space="preserve">Blocco duecentottantaquattro. Il Libro undicesimo, Asia-Pacifico: quadro a Livello B.</w:t>
      </w:r>
    </w:p>
    <w:p>
      <w:pPr>
        <w:spacing w:after="120" w:line="276"/>
        <w:jc w:val="both"/>
      </w:pPr>
      <w:r>
        <w:rPr>
          <w:rFonts w:ascii="Barlow Semi Condensed" w:cs="Barlow Semi Condensed" w:eastAsia="Barlow Semi Condensed" w:hAnsi="Barlow Semi Condensed"/>
          <w:sz w:val="24"/>
          <w:szCs w:val="24"/>
        </w:rPr>
        <w:t xml:space="preserve">Blocco duecentottantacinque. Le Triadi nel censimento: Livello B di lista qualificata.</w:t>
      </w:r>
    </w:p>
    <w:p>
      <w:pPr>
        <w:spacing w:after="120" w:line="276"/>
        <w:jc w:val="both"/>
      </w:pPr>
      <w:r>
        <w:rPr>
          <w:rFonts w:ascii="Barlow Semi Condensed" w:cs="Barlow Semi Condensed" w:eastAsia="Barlow Semi Condensed" w:hAnsi="Barlow Semi Condensed"/>
          <w:sz w:val="24"/>
          <w:szCs w:val="24"/>
        </w:rPr>
        <w:t xml:space="preserve">Blocco duecentottantasei. La voce trentasette sulla maggiore organizzazione giapponese e le sue consorelle: Livello B.</w:t>
      </w:r>
    </w:p>
    <w:p>
      <w:pPr>
        <w:spacing w:after="120" w:line="276"/>
        <w:jc w:val="both"/>
      </w:pPr>
      <w:r>
        <w:rPr>
          <w:rFonts w:ascii="Barlow Semi Condensed" w:cs="Barlow Semi Condensed" w:eastAsia="Barlow Semi Condensed" w:hAnsi="Barlow Semi Condensed"/>
          <w:sz w:val="24"/>
          <w:szCs w:val="24"/>
        </w:rPr>
        <w:t xml:space="preserve">Blocco duecentottantasette. Il Libro dodicesimo, fenomeni trasversali: quadro adottato quale grammatica comune.</w:t>
      </w:r>
    </w:p>
    <w:p>
      <w:pPr>
        <w:spacing w:after="120" w:line="276"/>
        <w:jc w:val="both"/>
      </w:pPr>
      <w:r>
        <w:rPr>
          <w:rFonts w:ascii="Barlow Semi Condensed" w:cs="Barlow Semi Condensed" w:eastAsia="Barlow Semi Condensed" w:hAnsi="Barlow Semi Condensed"/>
          <w:sz w:val="24"/>
          <w:szCs w:val="24"/>
        </w:rPr>
        <w:t xml:space="preserve">Blocco duecentottantotto. Le rotte del narcotraffico mondiale: Livello B.</w:t>
      </w:r>
    </w:p>
    <w:p>
      <w:pPr>
        <w:spacing w:after="120" w:line="276"/>
        <w:jc w:val="both"/>
      </w:pPr>
      <w:r>
        <w:rPr>
          <w:rFonts w:ascii="Barlow Semi Condensed" w:cs="Barlow Semi Condensed" w:eastAsia="Barlow Semi Condensed" w:hAnsi="Barlow Semi Condensed"/>
          <w:sz w:val="24"/>
          <w:szCs w:val="24"/>
        </w:rPr>
        <w:t xml:space="preserve">Blocco duecentottantanove. Il riciclaggio e la finanza criminale: Livello B.</w:t>
      </w:r>
    </w:p>
    <w:p>
      <w:pPr>
        <w:spacing w:after="120" w:line="276"/>
        <w:jc w:val="both"/>
      </w:pPr>
      <w:r>
        <w:rPr>
          <w:rFonts w:ascii="Barlow Semi Condensed" w:cs="Barlow Semi Condensed" w:eastAsia="Barlow Semi Condensed" w:hAnsi="Barlow Semi Condensed"/>
          <w:sz w:val="24"/>
          <w:szCs w:val="24"/>
        </w:rPr>
        <w:t xml:space="preserve">Blocco duecentonovanta. La criminalità informatica e le frodi industrializzate, in saldatura con la rete dei call center del Libro quarto: Livello B.</w:t>
      </w:r>
    </w:p>
    <w:p>
      <w:pPr>
        <w:spacing w:after="120" w:line="276"/>
        <w:jc w:val="both"/>
      </w:pPr>
      <w:r>
        <w:rPr>
          <w:rFonts w:ascii="Barlow Semi Condensed" w:cs="Barlow Semi Condensed" w:eastAsia="Barlow Semi Condensed" w:hAnsi="Barlow Semi Condensed"/>
          <w:sz w:val="24"/>
          <w:szCs w:val="24"/>
        </w:rPr>
        <w:t xml:space="preserve">Blocco duecentonovantuno. La tratta di esseri umani e la convergenza fra crimine e terrorismo: Livello B, con le singole saldature nei gradi propri.</w:t>
      </w:r>
    </w:p>
    <w:p>
      <w:pPr>
        <w:spacing w:after="120" w:line="276"/>
        <w:jc w:val="both"/>
      </w:pPr>
      <w:r>
        <w:rPr>
          <w:rFonts w:ascii="Barlow Semi Condensed" w:cs="Barlow Semi Condensed" w:eastAsia="Barlow Semi Condensed" w:hAnsi="Barlow Semi Condensed"/>
          <w:sz w:val="24"/>
          <w:szCs w:val="24"/>
        </w:rPr>
        <w:t xml:space="preserve">Triangolazione di corpus e contaminazione (blocchi duecentonovantadue–trecentouno)</w:t>
      </w:r>
    </w:p>
    <w:p>
      <w:pPr>
        <w:spacing w:after="120" w:line="276"/>
        <w:jc w:val="both"/>
      </w:pPr>
      <w:r>
        <w:rPr>
          <w:rFonts w:ascii="Barlow Semi Condensed" w:cs="Barlow Semi Condensed" w:eastAsia="Barlow Semi Condensed" w:hAnsi="Barlow Semi Condensed"/>
          <w:sz w:val="24"/>
          <w:szCs w:val="24"/>
        </w:rPr>
        <w:t xml:space="preserve">Blocco duecentonovantadue. Il metodo della triangolazione a doppio senso fra censimento e registri tematici del progetto: dichiarato e applicato.</w:t>
      </w:r>
    </w:p>
    <w:p>
      <w:pPr>
        <w:spacing w:after="120" w:line="276"/>
        <w:jc w:val="both"/>
      </w:pPr>
      <w:r>
        <w:rPr>
          <w:rFonts w:ascii="Barlow Semi Condensed" w:cs="Barlow Semi Condensed" w:eastAsia="Barlow Semi Condensed" w:hAnsi="Barlow Semi Condensed"/>
          <w:sz w:val="24"/>
          <w:szCs w:val="24"/>
        </w:rPr>
        <w:t xml:space="preserve">Blocco duecentonovantatré. Il registro eurasiatico-balcanico del corpus: recepito con i suoi gradi, ivi compresi i gruppi ultras indicizzati e le stime sui foreign fighters.</w:t>
      </w:r>
    </w:p>
    <w:p>
      <w:pPr>
        <w:spacing w:after="120" w:line="276"/>
        <w:jc w:val="both"/>
      </w:pPr>
      <w:r>
        <w:rPr>
          <w:rFonts w:ascii="Barlow Semi Condensed" w:cs="Barlow Semi Condensed" w:eastAsia="Barlow Semi Condensed" w:hAnsi="Barlow Semi Condensed"/>
          <w:sz w:val="24"/>
          <w:szCs w:val="24"/>
        </w:rPr>
        <w:t xml:space="preserve">Blocco duecentonovantaquattro. La sorgente integrale presente nel corpus quale base dichiarata della composizione: genealogia a Livello A.</w:t>
      </w:r>
    </w:p>
    <w:p>
      <w:pPr>
        <w:spacing w:after="120" w:line="276"/>
        <w:jc w:val="both"/>
      </w:pPr>
      <w:r>
        <w:rPr>
          <w:rFonts w:ascii="Barlow Semi Condensed" w:cs="Barlow Semi Condensed" w:eastAsia="Barlow Semi Condensed" w:hAnsi="Barlow Semi Condensed"/>
          <w:sz w:val="24"/>
          <w:szCs w:val="24"/>
        </w:rPr>
        <w:t xml:space="preserve">Blocco duecentonovantacinque. Il terzo rapporto dell'Osservatorio sulle mafie nel Lazio quale ancoraggio regionale del Dominio primo: Livello A istituzionale sulle proprie risultanze.</w:t>
      </w:r>
    </w:p>
    <w:p>
      <w:pPr>
        <w:spacing w:after="120" w:line="276"/>
        <w:jc w:val="both"/>
      </w:pPr>
      <w:r>
        <w:rPr>
          <w:rFonts w:ascii="Barlow Semi Condensed" w:cs="Barlow Semi Condensed" w:eastAsia="Barlow Semi Condensed" w:hAnsi="Barlow Semi Condensed"/>
          <w:sz w:val="24"/>
          <w:szCs w:val="24"/>
        </w:rPr>
        <w:t xml:space="preserve">Blocco duecentonovantasei. La monografia di corpus sulla mafia in Italia quale contrappeso del Libro primo: recepita.</w:t>
      </w:r>
    </w:p>
    <w:p>
      <w:pPr>
        <w:spacing w:after="120" w:line="276"/>
        <w:jc w:val="both"/>
      </w:pPr>
      <w:r>
        <w:rPr>
          <w:rFonts w:ascii="Barlow Semi Condensed" w:cs="Barlow Semi Condensed" w:eastAsia="Barlow Semi Condensed" w:hAnsi="Barlow Semi Condensed"/>
          <w:sz w:val="24"/>
          <w:szCs w:val="24"/>
        </w:rPr>
        <w:t xml:space="preserve">Blocco duecentonovantasette. La lista delle duecentocinquantacinque operazioni contro la 'ndrangheta quale lista di controllo incrociata del Libro primo: funzione adottata.</w:t>
      </w:r>
    </w:p>
    <w:p>
      <w:pPr>
        <w:spacing w:after="120" w:line="276"/>
        <w:jc w:val="both"/>
      </w:pPr>
      <w:r>
        <w:rPr>
          <w:rFonts w:ascii="Barlow Semi Condensed" w:cs="Barlow Semi Condensed" w:eastAsia="Barlow Semi Condensed" w:hAnsi="Barlow Semi Condensed"/>
          <w:sz w:val="24"/>
          <w:szCs w:val="24"/>
        </w:rPr>
        <w:t xml:space="preserve">Blocco duecentonovantotto. Il censimento parallelo dei politici italiani nei procedimenti penali: progetto distinto, perimetri propri, nessuna comunicazione di voci: vincolo iscritto.</w:t>
      </w:r>
    </w:p>
    <w:p>
      <w:pPr>
        <w:spacing w:after="120" w:line="276"/>
        <w:jc w:val="both"/>
      </w:pPr>
      <w:r>
        <w:rPr>
          <w:rFonts w:ascii="Barlow Semi Condensed" w:cs="Barlow Semi Condensed" w:eastAsia="Barlow Semi Condensed" w:hAnsi="Barlow Semi Condensed"/>
          <w:sz w:val="24"/>
          <w:szCs w:val="24"/>
        </w:rPr>
        <w:t xml:space="preserve">Blocco duecentonovantanove. L'ancoraggio istituzionale — relazioni della Direzione Investigativa Antimafia e della Direzione Nazionale, rapporti della Global Initiative — quale classe di fonti del Livello B di sintesi: dichiarato.</w:t>
      </w:r>
    </w:p>
    <w:p>
      <w:pPr>
        <w:spacing w:after="120" w:line="276"/>
        <w:jc w:val="both"/>
      </w:pPr>
      <w:r>
        <w:rPr>
          <w:rFonts w:ascii="Barlow Semi Condensed" w:cs="Barlow Semi Condensed" w:eastAsia="Barlow Semi Condensed" w:hAnsi="Barlow Semi Condensed"/>
          <w:sz w:val="24"/>
          <w:szCs w:val="24"/>
        </w:rPr>
        <w:t xml:space="preserve">Blocco trecento. L'Indice di Contaminazione delle Fonti sul genere-censimento: molte voci discendono da un perimetro finito di rapporti; la molteplicità delle voci non aumenta il grado se la sorgente è una: regola applicata all'intero vaglio.</w:t>
      </w:r>
    </w:p>
    <w:p>
      <w:pPr>
        <w:spacing w:after="120" w:line="276"/>
        <w:jc w:val="both"/>
      </w:pPr>
      <w:r>
        <w:rPr>
          <w:rFonts w:ascii="Barlow Semi Condensed" w:cs="Barlow Semi Condensed" w:eastAsia="Barlow Semi Condensed" w:hAnsi="Barlow Semi Condensed"/>
          <w:sz w:val="24"/>
          <w:szCs w:val="24"/>
        </w:rPr>
        <w:t xml:space="preserve">Blocco trecentouno. Lo statuto delle voci numerate: censimento non è accertamento; nessuna voce nominativa fonda, da sola, responsabilità o appartenenze: clausola generale.</w:t>
      </w:r>
    </w:p>
    <w:p>
      <w:pPr>
        <w:spacing w:after="120" w:line="276"/>
        <w:jc w:val="both"/>
      </w:pPr>
      <w:r>
        <w:rPr>
          <w:rFonts w:ascii="Barlow Semi Condensed" w:cs="Barlow Semi Condensed" w:eastAsia="Barlow Semi Condensed" w:hAnsi="Barlow Semi Condensed"/>
          <w:sz w:val="24"/>
          <w:szCs w:val="24"/>
        </w:rPr>
        <w:t xml:space="preserve">Il campionamento esterno (blocchi trecentodue–trecentoventuno)</w:t>
      </w:r>
    </w:p>
    <w:p>
      <w:pPr>
        <w:spacing w:after="120" w:line="276"/>
        <w:jc w:val="both"/>
      </w:pPr>
      <w:r>
        <w:rPr>
          <w:rFonts w:ascii="Barlow Semi Condensed" w:cs="Barlow Semi Condensed" w:eastAsia="Barlow Semi Condensed" w:hAnsi="Barlow Semi Condensed"/>
          <w:sz w:val="24"/>
          <w:szCs w:val="24"/>
        </w:rPr>
        <w:t xml:space="preserve">Blocco trecentodue. Il metodo del campionamento: dieci nodi distribuiti sui dodici libri, controllati per conoscenza stabile certificabile o per verifica in rete condotta in questa sessione: dichiarato.</w:t>
      </w:r>
    </w:p>
    <w:p>
      <w:pPr>
        <w:spacing w:after="120" w:line="276"/>
        <w:jc w:val="both"/>
      </w:pPr>
      <w:r>
        <w:rPr>
          <w:rFonts w:ascii="Barlow Semi Condensed" w:cs="Barlow Semi Condensed" w:eastAsia="Barlow Semi Condensed" w:hAnsi="Barlow Semi Condensed"/>
          <w:sz w:val="24"/>
          <w:szCs w:val="24"/>
        </w:rPr>
        <w:t xml:space="preserve">Blocco trecentotré. L'Indice globale della criminalità organizzata citato dal censimento: edizioni duemilaventuno, duemilaventitré e duemilaventicinque su centonovantatré Stati, tre pilastri: verificato ora, concordanza piena; per l'Italia l'analisi della Global Initiative attribuisce ai gruppi di stampo mafioso il punteggio più alto dell'Unione: Livello A quale dato di fonte.</w:t>
      </w:r>
    </w:p>
    <w:p>
      <w:pPr>
        <w:spacing w:after="120" w:line="276"/>
        <w:jc w:val="both"/>
      </w:pPr>
      <w:r>
        <w:rPr>
          <w:rFonts w:ascii="Barlow Semi Condensed" w:cs="Barlow Semi Condensed" w:eastAsia="Barlow Semi Condensed" w:hAnsi="Barlow Semi Condensed"/>
          <w:sz w:val="24"/>
          <w:szCs w:val="24"/>
        </w:rPr>
        <w:t xml:space="preserve">Blocco trecentoquattro. La voce duecentotrentatré sul mandamento di Trapani: la cattura di Messina Denaro nel gennaio duemilaventitré dopo trenta anni di latitanza e la morte nel settembre successivo: concordante: Livello A.</w:t>
      </w:r>
    </w:p>
    <w:p>
      <w:pPr>
        <w:spacing w:after="120" w:line="276"/>
        <w:jc w:val="both"/>
      </w:pPr>
      <w:r>
        <w:rPr>
          <w:rFonts w:ascii="Barlow Semi Condensed" w:cs="Barlow Semi Condensed" w:eastAsia="Barlow Semi Condensed" w:hAnsi="Barlow Semi Condensed"/>
          <w:sz w:val="24"/>
          <w:szCs w:val="24"/>
        </w:rPr>
        <w:t xml:space="preserve">Blocco trecentocinque. La voce settecentoquarantasei sulla rete di Taghi: l'ergastolo del duemilaventiquattro nel processo Marengo: concordante: Livello A.</w:t>
      </w:r>
    </w:p>
    <w:p>
      <w:pPr>
        <w:spacing w:after="120" w:line="276"/>
        <w:jc w:val="both"/>
      </w:pPr>
      <w:r>
        <w:rPr>
          <w:rFonts w:ascii="Barlow Semi Condensed" w:cs="Barlow Semi Condensed" w:eastAsia="Barlow Semi Condensed" w:hAnsi="Barlow Semi Condensed"/>
          <w:sz w:val="24"/>
          <w:szCs w:val="24"/>
        </w:rPr>
        <w:t xml:space="preserve">Blocco trecentosei. La voce undici sul cartello irlandese: le sanzioni statunitensi dell'aprile duemilaventidue con le taglie sui vertici: concordante: Livello A.</w:t>
      </w:r>
    </w:p>
    <w:p>
      <w:pPr>
        <w:spacing w:after="120" w:line="276"/>
        <w:jc w:val="both"/>
      </w:pPr>
      <w:r>
        <w:rPr>
          <w:rFonts w:ascii="Barlow Semi Condensed" w:cs="Barlow Semi Condensed" w:eastAsia="Barlow Semi Condensed" w:hAnsi="Barlow Semi Condensed"/>
          <w:sz w:val="24"/>
          <w:szCs w:val="24"/>
        </w:rPr>
        <w:t xml:space="preserve">Blocco trecentosette. La scheda sul capo del Primeiro Comando da Capital, detenuto e al comando: concordante col quadro consolidato: Livello A di quadro.</w:t>
      </w:r>
    </w:p>
    <w:p>
      <w:pPr>
        <w:spacing w:after="120" w:line="276"/>
        <w:jc w:val="both"/>
      </w:pPr>
      <w:r>
        <w:rPr>
          <w:rFonts w:ascii="Barlow Semi Condensed" w:cs="Barlow Semi Condensed" w:eastAsia="Barlow Semi Condensed" w:hAnsi="Barlow Semi Condensed"/>
          <w:sz w:val="24"/>
          <w:szCs w:val="24"/>
        </w:rPr>
        <w:t xml:space="preserve">Blocco trecentootto. La voce settecentosettantanove sulle gang haitiane: i sequestri di massa — compreso quello dei missionari del duemilaventuno — e le sanzioni internazionali: concordante: Livello A.</w:t>
      </w:r>
    </w:p>
    <w:p>
      <w:pPr>
        <w:spacing w:after="120" w:line="276"/>
        <w:jc w:val="both"/>
      </w:pPr>
      <w:r>
        <w:rPr>
          <w:rFonts w:ascii="Barlow Semi Condensed" w:cs="Barlow Semi Condensed" w:eastAsia="Barlow Semi Condensed" w:hAnsi="Barlow Semi Condensed"/>
          <w:sz w:val="24"/>
          <w:szCs w:val="24"/>
        </w:rPr>
        <w:t xml:space="preserve">Blocco trecentonove. La voce trentasette sulla maggiore organizzazione giapponese: la scissione del duemilaquindici quale spartiacque recente: concordante: Livello A.</w:t>
      </w:r>
    </w:p>
    <w:p>
      <w:pPr>
        <w:spacing w:after="120" w:line="276"/>
        <w:jc w:val="both"/>
      </w:pPr>
      <w:r>
        <w:rPr>
          <w:rFonts w:ascii="Barlow Semi Condensed" w:cs="Barlow Semi Condensed" w:eastAsia="Barlow Semi Condensed" w:hAnsi="Barlow Semi Condensed"/>
          <w:sz w:val="24"/>
          <w:szCs w:val="24"/>
        </w:rPr>
        <w:t xml:space="preserve">Blocco trecentodieci. Le voci ventisei e ventisette sull'élite criminale post-sovietica: quadro concordante con la monografia di corpus: Livello B.</w:t>
      </w:r>
    </w:p>
    <w:p>
      <w:pPr>
        <w:spacing w:after="120" w:line="276"/>
        <w:jc w:val="both"/>
      </w:pPr>
      <w:r>
        <w:rPr>
          <w:rFonts w:ascii="Barlow Semi Condensed" w:cs="Barlow Semi Condensed" w:eastAsia="Barlow Semi Condensed" w:hAnsi="Barlow Semi Condensed"/>
          <w:sz w:val="24"/>
          <w:szCs w:val="24"/>
        </w:rPr>
        <w:t xml:space="preserve">Blocco trecentoundici. Il quadro del cartello di Sinaloa dopo il duemilaventitré, fra arresti apicali e faida interna: concordante nelle linee, con cautela di recentismo: Livello B.</w:t>
      </w:r>
    </w:p>
    <w:p>
      <w:pPr>
        <w:spacing w:after="120" w:line="276"/>
        <w:jc w:val="both"/>
      </w:pPr>
      <w:r>
        <w:rPr>
          <w:rFonts w:ascii="Barlow Semi Condensed" w:cs="Barlow Semi Condensed" w:eastAsia="Barlow Semi Condensed" w:hAnsi="Barlow Semi Condensed"/>
          <w:sz w:val="24"/>
          <w:szCs w:val="24"/>
        </w:rPr>
        <w:t xml:space="preserve">Blocco trecentododici. Rilievo di copertura, verificato ora sul testo: il nome in codice della vasta operazione europea del tre maggio duemilaventitré contro la 'ndrangheta non compare nel censimento: lacuna campionaria iscritta a carico della copertura, non del mondo.</w:t>
      </w:r>
    </w:p>
    <w:p>
      <w:pPr>
        <w:spacing w:after="120" w:line="276"/>
        <w:jc w:val="both"/>
      </w:pPr>
      <w:r>
        <w:rPr>
          <w:rFonts w:ascii="Barlow Semi Condensed" w:cs="Barlow Semi Condensed" w:eastAsia="Barlow Semi Condensed" w:hAnsi="Barlow Semi Condensed"/>
          <w:sz w:val="24"/>
          <w:szCs w:val="24"/>
        </w:rPr>
        <w:t xml:space="preserve">Blocco trecentotredici. Rilievo di aggiornamento: orizzonti temporali eterogenei fra le voci, talune ferme ad anni diversi: dichiarato.</w:t>
      </w:r>
    </w:p>
    <w:p>
      <w:pPr>
        <w:spacing w:after="120" w:line="276"/>
        <w:jc w:val="both"/>
      </w:pPr>
      <w:r>
        <w:rPr>
          <w:rFonts w:ascii="Barlow Semi Condensed" w:cs="Barlow Semi Condensed" w:eastAsia="Barlow Semi Condensed" w:hAnsi="Barlow Semi Condensed"/>
          <w:sz w:val="24"/>
          <w:szCs w:val="24"/>
        </w:rPr>
        <w:t xml:space="preserve">Blocco trecentoquattordici. La concordanza interna fra l'edizione-innesco e la sorgente di corpus sui capitoli ucraini: verificata sulle reti e sulle cifre: Livello B.</w:t>
      </w:r>
    </w:p>
    <w:p>
      <w:pPr>
        <w:spacing w:after="120" w:line="276"/>
        <w:jc w:val="both"/>
      </w:pPr>
      <w:r>
        <w:rPr>
          <w:rFonts w:ascii="Barlow Semi Condensed" w:cs="Barlow Semi Condensed" w:eastAsia="Barlow Semi Condensed" w:hAnsi="Barlow Semi Condensed"/>
          <w:sz w:val="24"/>
          <w:szCs w:val="24"/>
        </w:rPr>
        <w:t xml:space="preserve">Blocco trecentoquindici. La numerazione delle voci sino a duemilaventitré: continuità delle serie non verificata voce per voce: pendenza dichiarata.</w:t>
      </w:r>
    </w:p>
    <w:p>
      <w:pPr>
        <w:spacing w:after="120" w:line="276"/>
        <w:jc w:val="both"/>
      </w:pPr>
      <w:r>
        <w:rPr>
          <w:rFonts w:ascii="Barlow Semi Condensed" w:cs="Barlow Semi Condensed" w:eastAsia="Barlow Semi Condensed" w:hAnsi="Barlow Semi Condensed"/>
          <w:sz w:val="24"/>
          <w:szCs w:val="24"/>
        </w:rPr>
        <w:t xml:space="preserve">Blocco trecentosedici. Le compagnie militari private russe nel censimento: la saldatura fra crimine e strumento paramilitare, già certificata a Livello A sul flusso balcanico di reclutamento: rinvio incrociato.</w:t>
      </w:r>
    </w:p>
    <w:p>
      <w:pPr>
        <w:spacing w:after="120" w:line="276"/>
        <w:jc w:val="both"/>
      </w:pPr>
      <w:r>
        <w:rPr>
          <w:rFonts w:ascii="Barlow Semi Condensed" w:cs="Barlow Semi Condensed" w:eastAsia="Barlow Semi Condensed" w:hAnsi="Barlow Semi Condensed"/>
          <w:sz w:val="24"/>
          <w:szCs w:val="24"/>
        </w:rPr>
        <w:t xml:space="preserve">Blocco trecentodiciassette. Il Comando Vermelho quale seconda organizzazione brasiliana: quadro concordante: Livello B.</w:t>
      </w:r>
    </w:p>
    <w:p>
      <w:pPr>
        <w:spacing w:after="120" w:line="276"/>
        <w:jc w:val="both"/>
      </w:pPr>
      <w:r>
        <w:rPr>
          <w:rFonts w:ascii="Barlow Semi Condensed" w:cs="Barlow Semi Condensed" w:eastAsia="Barlow Semi Condensed" w:hAnsi="Barlow Semi Condensed"/>
          <w:sz w:val="24"/>
          <w:szCs w:val="24"/>
        </w:rPr>
        <w:t xml:space="preserve">Blocco trecentodiciotto. Le Triadi quali voci di lista del Libro undicesimo: Livello B, senza campione esterno in questa sessione.</w:t>
      </w:r>
    </w:p>
    <w:p>
      <w:pPr>
        <w:spacing w:after="120" w:line="276"/>
        <w:jc w:val="both"/>
      </w:pPr>
      <w:r>
        <w:rPr>
          <w:rFonts w:ascii="Barlow Semi Condensed" w:cs="Barlow Semi Condensed" w:eastAsia="Barlow Semi Condensed" w:hAnsi="Barlow Semi Condensed"/>
          <w:sz w:val="24"/>
          <w:szCs w:val="24"/>
        </w:rPr>
        <w:t xml:space="preserve">Blocco trecentodiciannove. I gruppi ultras balcanici indicizzati — con le fazioni rivali della curva del Partizan — quale dispositivo di reclutamento: già certificato a Livello A/B dal registro di corpus: recepito.</w:t>
      </w:r>
    </w:p>
    <w:p>
      <w:pPr>
        <w:spacing w:after="120" w:line="276"/>
        <w:jc w:val="both"/>
      </w:pPr>
      <w:r>
        <w:rPr>
          <w:rFonts w:ascii="Barlow Semi Condensed" w:cs="Barlow Semi Condensed" w:eastAsia="Barlow Semi Condensed" w:hAnsi="Barlow Semi Condensed"/>
          <w:sz w:val="24"/>
          <w:szCs w:val="24"/>
        </w:rPr>
        <w:t xml:space="preserve">Blocco trecentoventi. Le stime convergenti sulle partenze di foreign fighters balcanici: fra le mille e le millecinquecento: già certificato: recepito.</w:t>
      </w:r>
    </w:p>
    <w:p>
      <w:pPr>
        <w:spacing w:after="120" w:line="276"/>
        <w:jc w:val="both"/>
      </w:pPr>
      <w:r>
        <w:rPr>
          <w:rFonts w:ascii="Barlow Semi Condensed" w:cs="Barlow Semi Condensed" w:eastAsia="Barlow Semi Condensed" w:hAnsi="Barlow Semi Condensed"/>
          <w:sz w:val="24"/>
          <w:szCs w:val="24"/>
        </w:rPr>
        <w:t xml:space="preserve">Blocco trecentoventuno. Sintesi del campionamento: concordanza piena sui dieci nodi verificati, due rilievi di copertura e aggiornamento: il censimento regge il campione nella misura del suo statuto.</w:t>
      </w:r>
    </w:p>
    <w:p>
      <w:pPr>
        <w:spacing w:after="120" w:line="276"/>
        <w:jc w:val="both"/>
      </w:pPr>
      <w:r>
        <w:rPr>
          <w:rFonts w:ascii="Barlow Semi Condensed" w:cs="Barlow Semi Condensed" w:eastAsia="Barlow Semi Condensed" w:hAnsi="Barlow Semi Condensed"/>
          <w:sz w:val="24"/>
          <w:szCs w:val="24"/>
        </w:rPr>
        <w:t xml:space="preserve">Le voci residue e le risoluzioni (blocchi trecentoventidue–trecentotrentuno)</w:t>
      </w:r>
    </w:p>
    <w:p>
      <w:pPr>
        <w:spacing w:after="120" w:line="276"/>
        <w:jc w:val="both"/>
      </w:pPr>
      <w:r>
        <w:rPr>
          <w:rFonts w:ascii="Barlow Semi Condensed" w:cs="Barlow Semi Condensed" w:eastAsia="Barlow Semi Condensed" w:hAnsi="Barlow Semi Condensed"/>
          <w:sz w:val="24"/>
          <w:szCs w:val="24"/>
        </w:rPr>
        <w:t xml:space="preserve">Blocco trecentoventidue. La voce sul fucile Beretta BM cinquantanove: fucile da battaglia adottato dall'Esercito nel millenovecentocinquantanove, primo calibro d'origine americana e successiva produzione su licenza: Livello A tecnico; il vaglio d'impiego resta consegnato ai registri d'armamento del corpus.</w:t>
      </w:r>
    </w:p>
    <w:p>
      <w:pPr>
        <w:spacing w:after="120" w:line="276"/>
        <w:jc w:val="both"/>
      </w:pPr>
      <w:r>
        <w:rPr>
          <w:rFonts w:ascii="Barlow Semi Condensed" w:cs="Barlow Semi Condensed" w:eastAsia="Barlow Semi Condensed" w:hAnsi="Barlow Semi Condensed"/>
          <w:sz w:val="24"/>
          <w:szCs w:val="24"/>
        </w:rPr>
        <w:t xml:space="preserve">Blocco trecentoventitré. La voce sulla pistola Beretta millenovecentocinquantuno: nove Parabellum, variante a raffica, produzione cessata nel duemilatré e ripresa nel duemilanove; la voce presenta sezioni in lingua inglese: rilievo di composizione iscritto: Livello A tecnico.</w:t>
      </w:r>
    </w:p>
    <w:p>
      <w:pPr>
        <w:spacing w:after="120" w:line="276"/>
        <w:jc w:val="both"/>
      </w:pPr>
      <w:r>
        <w:rPr>
          <w:rFonts w:ascii="Barlow Semi Condensed" w:cs="Barlow Semi Condensed" w:eastAsia="Barlow Semi Condensed" w:hAnsi="Barlow Semi Condensed"/>
          <w:sz w:val="24"/>
          <w:szCs w:val="24"/>
        </w:rPr>
        <w:t xml:space="preserve">Blocco trecentoventiquattro. La voce sulla Serie settanta: calibro sette e sessantacinque, caricatore da otto colpi, produzione negli anni sessanta e settanta: Livello A tecnico; nessuna inferenza d'impiego fuori dai registri.</w:t>
      </w:r>
    </w:p>
    <w:p>
      <w:pPr>
        <w:spacing w:after="120" w:line="276"/>
        <w:jc w:val="both"/>
      </w:pPr>
      <w:r>
        <w:rPr>
          <w:rFonts w:ascii="Barlow Semi Condensed" w:cs="Barlow Semi Condensed" w:eastAsia="Barlow Semi Condensed" w:hAnsi="Barlow Semi Condensed"/>
          <w:sz w:val="24"/>
          <w:szCs w:val="24"/>
        </w:rPr>
        <w:t xml:space="preserve">Blocco trecentoventicinque. La voce sul giovedì nero di Milano: dodici aprile millenovecentosettantatré, l'omicidio dell'agente ventiduenne Antonio Marino colpito da una bomba lanciata da Vittorio Loi durante una manifestazione vietata: concordante con i blocchi undici e dodici; le formulazioni vincolanti della seconda tranche restano integrali.</w:t>
      </w:r>
    </w:p>
    <w:p>
      <w:pPr>
        <w:spacing w:after="120" w:line="276"/>
        <w:jc w:val="both"/>
      </w:pPr>
      <w:r>
        <w:rPr>
          <w:rFonts w:ascii="Barlow Semi Condensed" w:cs="Barlow Semi Condensed" w:eastAsia="Barlow Semi Condensed" w:hAnsi="Barlow Semi Condensed"/>
          <w:sz w:val="24"/>
          <w:szCs w:val="24"/>
        </w:rPr>
        <w:t xml:space="preserve">Blocco trecentoventisei. Montalto, risolto ora: la sentenza del Tribunale di Locri del due ottobre millenovecentosettanta, citata testualmente con numero di pagina dalla fonte specialistica, fissa la data del primo grado a Livello A; l'indicazione enciclopedica del ventiquattro marzo millenovecentosettantuno resta discordanza annotata, verosimilmente riferita ad altro segmento; l'appello del due dicembre millenovecentosettantanove con le assoluzioni dei tre capi storici resta come già certificato.</w:t>
      </w:r>
    </w:p>
    <w:p>
      <w:pPr>
        <w:spacing w:after="120" w:line="276"/>
        <w:jc w:val="both"/>
      </w:pPr>
      <w:r>
        <w:rPr>
          <w:rFonts w:ascii="Barlow Semi Condensed" w:cs="Barlow Semi Condensed" w:eastAsia="Barlow Semi Condensed" w:hAnsi="Barlow Semi Condensed"/>
          <w:sz w:val="24"/>
          <w:szCs w:val="24"/>
        </w:rPr>
        <w:t xml:space="preserve">Blocco trecentoventisette. Montalto e la sentenza Gotha: la rilettura del summit con le dichiarazioni del collaboratore Serpa sui nomi dell'eversione nera, e le cautele del collegio medesimo — la presenza di Concutelli contraddetta dalla detenzione accertata all'epoca: materiale processuale a Livello B; la Regola Ferrea presidia ogni inferenza storica sulla presenza dei singoli.</w:t>
      </w:r>
    </w:p>
    <w:p>
      <w:pPr>
        <w:spacing w:after="120" w:line="276"/>
        <w:jc w:val="both"/>
      </w:pPr>
      <w:r>
        <w:rPr>
          <w:rFonts w:ascii="Barlow Semi Condensed" w:cs="Barlow Semi Condensed" w:eastAsia="Barlow Semi Condensed" w:hAnsi="Barlow Semi Condensed"/>
          <w:sz w:val="24"/>
          <w:szCs w:val="24"/>
        </w:rPr>
        <w:t xml:space="preserve">Blocco trecentoventotto. La voce integrale sulla Banda della Magliana e il suo duplicato di corpus: censimento con duecentosettanta indirizzi; le condanne-chiave restano come ai blocchi trenta e trentuno: recepita quale voce-quadro a Livello B.</w:t>
      </w:r>
    </w:p>
    <w:p>
      <w:pPr>
        <w:spacing w:after="120" w:line="276"/>
        <w:jc w:val="both"/>
      </w:pPr>
      <w:r>
        <w:rPr>
          <w:rFonts w:ascii="Barlow Semi Condensed" w:cs="Barlow Semi Condensed" w:eastAsia="Barlow Semi Condensed" w:hAnsi="Barlow Semi Condensed"/>
          <w:sz w:val="24"/>
          <w:szCs w:val="24"/>
        </w:rPr>
        <w:t xml:space="preserve">Blocco trecentoventinove. La voce sulla Nuova Camorra Organizzata: quadro a Livello B di voce collaborativa; i numeri della faida restano come al blocco centotrentasette.</w:t>
      </w:r>
    </w:p>
    <w:p>
      <w:pPr>
        <w:spacing w:after="120" w:line="276"/>
        <w:jc w:val="both"/>
      </w:pPr>
      <w:r>
        <w:rPr>
          <w:rFonts w:ascii="Barlow Semi Condensed" w:cs="Barlow Semi Condensed" w:eastAsia="Barlow Semi Condensed" w:hAnsi="Barlow Semi Condensed"/>
          <w:sz w:val="24"/>
          <w:szCs w:val="24"/>
        </w:rPr>
        <w:t xml:space="preserve">Blocco trecentotrenta. La voce sull'omicidio del giudice Occorsio del dieci luglio millenovecentosettantasei: concordante col blocco duecentotrentuno: Livello A sui giudicati.</w:t>
      </w:r>
    </w:p>
    <w:p>
      <w:pPr>
        <w:spacing w:after="120" w:line="276"/>
        <w:jc w:val="both"/>
      </w:pPr>
      <w:r>
        <w:rPr>
          <w:rFonts w:ascii="Barlow Semi Condensed" w:cs="Barlow Semi Condensed" w:eastAsia="Barlow Semi Condensed" w:hAnsi="Barlow Semi Condensed"/>
          <w:sz w:val="24"/>
          <w:szCs w:val="24"/>
        </w:rPr>
        <w:t xml:space="preserve">Blocco trecentotrentuno. La voce sull'omicidio di Piersanti Mattarella: concordante coi blocchi trentadue-trentatré; il monitoraggio resta quello del blocco duecentotrentasette, con presunzione integrale per gli indagati e divieto di comunicazione fra fascicoli.</w:t>
      </w:r>
    </w:p>
    <w:p>
      <w:pPr>
        <w:spacing w:after="120" w:line="276"/>
        <w:jc w:val="both"/>
      </w:pPr>
      <w:r>
        <w:rPr>
          <w:rFonts w:ascii="Barlow Semi Condensed" w:cs="Barlow Semi Condensed" w:eastAsia="Barlow Semi Condensed" w:hAnsi="Barlow Semi Condensed"/>
          <w:sz w:val="24"/>
          <w:szCs w:val="24"/>
        </w:rPr>
        <w:t xml:space="preserve">Pendenze e sigillo (blocchi trecentotrentadue–trecentotrentotto)</w:t>
      </w:r>
    </w:p>
    <w:p>
      <w:pPr>
        <w:spacing w:after="120" w:line="276"/>
        <w:jc w:val="both"/>
      </w:pPr>
      <w:r>
        <w:rPr>
          <w:rFonts w:ascii="Barlow Semi Condensed" w:cs="Barlow Semi Condensed" w:eastAsia="Barlow Semi Condensed" w:hAnsi="Barlow Semi Condensed"/>
          <w:sz w:val="24"/>
          <w:szCs w:val="24"/>
        </w:rPr>
        <w:t xml:space="preserve">Blocco trecentotrentadue. Le sette serie identificative autonome del registro analitico Aginter — trecentosessantacinque voci: riconciliazione pendente, perimetro dichiarato, consegnata alla settima tranche.</w:t>
      </w:r>
    </w:p>
    <w:p>
      <w:pPr>
        <w:spacing w:after="120" w:line="276"/>
        <w:jc w:val="both"/>
      </w:pPr>
      <w:r>
        <w:rPr>
          <w:rFonts w:ascii="Barlow Semi Condensed" w:cs="Barlow Semi Condensed" w:eastAsia="Barlow Semi Condensed" w:hAnsi="Barlow Semi Condensed"/>
          <w:sz w:val="24"/>
          <w:szCs w:val="24"/>
        </w:rPr>
        <w:t xml:space="preserve">Blocco trecentotrentatré. La verifica alla fonte del rapporto portoghese trascritto da Laurent per il nodo sudafricano: pendenza archivistica con soglia di revisione dichiarata, invariata.</w:t>
      </w:r>
    </w:p>
    <w:p>
      <w:pPr>
        <w:spacing w:after="120" w:line="276"/>
        <w:jc w:val="both"/>
      </w:pPr>
      <w:r>
        <w:rPr>
          <w:rFonts w:ascii="Barlow Semi Condensed" w:cs="Barlow Semi Condensed" w:eastAsia="Barlow Semi Condensed" w:hAnsi="Barlow Semi Condensed"/>
          <w:sz w:val="24"/>
          <w:szCs w:val="24"/>
        </w:rPr>
        <w:t xml:space="preserve">Blocco trecentotrentaquattro. Il censimento cumulativo degli indirizzi: millesettecentoquarantasei su ventitré voci estratte, più i novecentosessantatré della monografia Aginter e lo zero statutario dell'innesco presente: mappa consolidata.</w:t>
      </w:r>
    </w:p>
    <w:p>
      <w:pPr>
        <w:spacing w:after="120" w:line="276"/>
        <w:jc w:val="both"/>
      </w:pPr>
      <w:r>
        <w:rPr>
          <w:rFonts w:ascii="Barlow Semi Condensed" w:cs="Barlow Semi Condensed" w:eastAsia="Barlow Semi Condensed" w:hAnsi="Barlow Semi Condensed"/>
          <w:sz w:val="24"/>
          <w:szCs w:val="24"/>
        </w:rPr>
        <w:t xml:space="preserve">Blocco trecentotrentacinque. Aggiornamento della matrice: il censimento fornisce l'ossatura mondiale del Dominio primo; nulla milita per H1; la pluralità irriducibile delle regie rafforza H3; i corridoi transatlantici arricchiscono i pattern dei flussi e delle dinastie.</w:t>
      </w:r>
    </w:p>
    <w:p>
      <w:pPr>
        <w:spacing w:after="120" w:line="276"/>
        <w:jc w:val="both"/>
      </w:pPr>
      <w:r>
        <w:rPr>
          <w:rFonts w:ascii="Barlow Semi Condensed" w:cs="Barlow Semi Condensed" w:eastAsia="Barlow Semi Condensed" w:hAnsi="Barlow Semi Condensed"/>
          <w:sz w:val="24"/>
          <w:szCs w:val="24"/>
        </w:rPr>
        <w:t xml:space="preserve">Blocco trecentotrentasei. Il principio del lampione, iscritto quale regola permanente: la densità documentaria misura l'attenzione delle fonti, non l'intensità storica dei fenomeni; le lacune campionate sono zone d'ombra della copertura, non del mondo.</w:t>
      </w:r>
    </w:p>
    <w:p>
      <w:pPr>
        <w:spacing w:after="120" w:line="276"/>
        <w:jc w:val="both"/>
      </w:pPr>
      <w:r>
        <w:rPr>
          <w:rFonts w:ascii="Barlow Semi Condensed" w:cs="Barlow Semi Condensed" w:eastAsia="Barlow Semi Condensed" w:hAnsi="Barlow Semi Condensed"/>
          <w:sz w:val="24"/>
          <w:szCs w:val="24"/>
        </w:rPr>
        <w:t xml:space="preserve">Blocco trecentotrentasette. I rilievi di metodo sul documento: l'espunzione dichiarata dei sessanta frammenti quale credito di igiene; l'apparato senza indirizzi quale scelta di stile documentale; l'eterogeneità di aggiornamento quale limite dichiarato.</w:t>
      </w:r>
    </w:p>
    <w:p>
      <w:pPr>
        <w:spacing w:after="120" w:line="276"/>
        <w:jc w:val="both"/>
      </w:pPr>
      <w:r>
        <w:rPr>
          <w:rFonts w:ascii="Barlow Semi Condensed" w:cs="Barlow Semi Condensed" w:eastAsia="Barlow Semi Condensed" w:hAnsi="Barlow Semi Condensed"/>
          <w:sz w:val="24"/>
          <w:szCs w:val="24"/>
        </w:rPr>
        <w:t xml:space="preserve">Blocco trecentotrentotto. Sigillo della sesta tranche: il registro raggiunge trecentotrentotto blocchi; le direzioni della settima sono fissate in chiusa.</w:t>
      </w:r>
    </w:p>
    <w:p>
      <w:pPr>
        <w:spacing w:after="120" w:line="276"/>
        <w:jc w:val="both"/>
      </w:pPr>
      <w:r>
        <w:rPr>
          <w:rFonts w:ascii="Barlow Semi Condensed" w:cs="Barlow Semi Condensed" w:eastAsia="Barlow Semi Condensed" w:hAnsi="Barlow Semi Condensed"/>
          <w:sz w:val="24"/>
          <w:szCs w:val="24"/>
        </w:rPr>
        <w:t xml:space="preserve">11.10 — Rilievi per le persone viventi e chiusa della sesta tranche</w:t>
      </w:r>
    </w:p>
    <w:p>
      <w:pPr>
        <w:spacing w:after="120" w:line="276"/>
        <w:jc w:val="both"/>
      </w:pPr>
      <w:r>
        <w:rPr>
          <w:rFonts w:ascii="Barlow Semi Condensed" w:cs="Barlow Semi Condensed" w:eastAsia="Barlow Semi Condensed" w:hAnsi="Barlow Semi Condensed"/>
          <w:sz w:val="24"/>
          <w:szCs w:val="24"/>
        </w:rPr>
        <w:t xml:space="preserve">Le formulazioni vincolanti delle tranche precedenti restano integralmente in vigore, comprese quelle della quinta sul fascicolo palermitano. Questa tranche vi aggiunge la clausola generale del blocco trecentouno: nessuna voce del censimento nominativo fonda, da sola, responsabilità o appartenenze di alcuna persona, vivente o defunta; per i capi detenuti menzionati nel campionamento — il capo del Primeiro Comando da Capital, il condannato del processo olandese — valgono i soli giudicati richiamati; per le persone comprese nelle liste sanzionatorie valgono gli atti sanzionatori quali fatti amministrativi, non quali accertamenti penali; per i nomi evocati dalle dichiarazioni del collaboratore nella rilettura di Montalto vale la Regola Ferrea: la menzione in una testimonianza processuale, per quanto recepita in sentenza, non equivale alla presenza storica accertata, e per i defunti non più giudicabili resta lo statuto obbligatorio già fissato.</w:t>
      </w:r>
    </w:p>
    <w:p>
      <w:pPr>
        <w:spacing w:after="120" w:line="276"/>
        <w:jc w:val="both"/>
      </w:pPr>
      <w:r>
        <w:rPr>
          <w:rFonts w:ascii="Barlow Semi Condensed" w:cs="Barlow Semi Condensed" w:eastAsia="Barlow Semi Condensed" w:hAnsi="Barlow Semi Condensed"/>
          <w:sz w:val="24"/>
          <w:szCs w:val="24"/>
        </w:rPr>
        <w:t xml:space="preserve">La sesta tranche porta il registro a trecentotrentotto blocchi certificati e consegna alla settima le seguenti direzioni: la riconciliazione delle sette serie identificative del registro Aginter — trecentosessantacinque voci; la verifica alla fonte del rapporto portoghese per il nodo sudafricano e gli indici della Torre do Tombo; l'interrogazione degli indici analitici cecoslovacchi per lo Stato Zero orientale; il vaglio della Parte prima del censimento — la mappatura integrale aggiornata che precede i dodici libri e che questa tranche non ha coperto; la verifica voce per voce della continuità delle serie di numerazione; la verifica ipertestuale a campione delle istantanee contro le pagine vive, dove il rischio dell'asserzione lo esiga.</w:t>
      </w:r>
    </w:p>
    <w:p>
      <w:pPr>
        <w:pStyle w:val="Heading3"/>
        <w:spacing w:after="80" w:before="160"/>
      </w:pPr>
      <w:r>
        <w:rPr>
          <w:rFonts w:ascii="Barlow Semi Condensed" w:cs="Barlow Semi Condensed" w:eastAsia="Barlow Semi Condensed" w:hAnsi="Barlow Semi Condensed"/>
          <w:sz w:val="24"/>
          <w:szCs w:val="24"/>
        </w:rPr>
        <w:t xml:space="preserve">FASE XII — SETTIMA TRANCHE: IL DOCUMENTO MORO. TRIANGOLAZIONE DEL VOLUME UNIFICATO CON IL CORPUS E CON I BLOCCHI CERTIFICATI</w:t>
      </w:r>
    </w:p>
    <w:p>
      <w:pPr>
        <w:spacing w:after="120" w:line="276"/>
        <w:jc w:val="both"/>
      </w:pPr>
      <w:r>
        <w:rPr>
          <w:rFonts w:ascii="Barlow Semi Condensed" w:cs="Barlow Semi Condensed" w:eastAsia="Barlow Semi Condensed" w:hAnsi="Barlow Semi Condensed"/>
          <w:sz w:val="24"/>
          <w:szCs w:val="24"/>
        </w:rPr>
        <w:t xml:space="preserve">12.1 — Oggetto della tranche, documento-innesco e suo statuto probatorio</w:t>
      </w:r>
    </w:p>
    <w:p>
      <w:pPr>
        <w:spacing w:after="120" w:line="276"/>
        <w:jc w:val="both"/>
      </w:pPr>
      <w:r>
        <w:rPr>
          <w:rFonts w:ascii="Barlow Semi Condensed" w:cs="Barlow Semi Condensed" w:eastAsia="Barlow Semi Condensed" w:hAnsi="Barlow Semi Condensed"/>
          <w:sz w:val="24"/>
          <w:szCs w:val="24"/>
        </w:rPr>
        <w:t xml:space="preserve">La settima tranche assume quale documento-innesco il volume unificato «Aldo Moro — Una Pace senza Pace», opera in cinque fasi e cinquanta capitoli, edizione ampliata di circa duecentomila parole in trecentosessantadue pagine, con impronte crittografiche dichiarate per il file di testo e per la riproduzione a stampa, evoluzione dell'edizione di circa centoventiseimila parole già trasmessa per posta elettronica certificata ad un archivio pubblico con certificazione d'impronta. Il mandato del committente ridefinisce l'oggetto della settima tranche rispetto alle direzioni consegnate dalla sesta, che restano formalmente ereditate e sono rinviate all'ottava salvo dove il presente innesco le intercetti naturalmente, come accade per la direzione portoghese sul fondo di Lisbona. La tranche triangola il volume lungo tre assi: contro il corpus di progetto estratto integralmente, che contiene fonti primarie parlamentari, dataset testuali, registri federati e riproduzioni documentali sul caso; contro i trecentotrentotto blocchi già certificati dalle sei tranche precedenti; e contro le fonti esterne richiamate nei giudicati. L'esito è iscritto in cento blocchi nuovi, numerati dal trecentotrentanovesimo al quattrocentotrentottesimo.</w:t>
      </w:r>
    </w:p>
    <w:p>
      <w:pPr>
        <w:spacing w:after="120" w:line="276"/>
        <w:jc w:val="both"/>
      </w:pPr>
      <w:r>
        <w:rPr>
          <w:rFonts w:ascii="Barlow Semi Condensed" w:cs="Barlow Semi Condensed" w:eastAsia="Barlow Semi Condensed" w:hAnsi="Barlow Semi Condensed"/>
          <w:sz w:val="24"/>
          <w:szCs w:val="24"/>
        </w:rPr>
        <w:t xml:space="preserve">12.2 — Il metodo neurale: sinapsi intradominio e interdominio</w:t>
      </w:r>
    </w:p>
    <w:p>
      <w:pPr>
        <w:spacing w:after="120" w:line="276"/>
        <w:jc w:val="both"/>
      </w:pPr>
      <w:r>
        <w:rPr>
          <w:rFonts w:ascii="Barlow Semi Condensed" w:cs="Barlow Semi Condensed" w:eastAsia="Barlow Semi Condensed" w:hAnsi="Barlow Semi Condensed"/>
          <w:sz w:val="24"/>
          <w:szCs w:val="24"/>
        </w:rPr>
        <w:t xml:space="preserve">La tranche applica in forma esplicita la lettura neurale della rete multilivello prevista dalla Nota Metodologica: i nodi del caso sono trattati quali neuroni collocati su dieci strati, i Domini di Potere, e le connessioni quali sinapsi di due specie. Le sinapsi intradominio corrono dentro un medesimo strato — la catena di comando interna all'organizzazione armata, la gerarchia di un apparato, la filiera di un partito — e trasmettono ordini, risorse e appartenenze secondo il codice proprio del dominio. Le sinapsi interdominio attraversano gli strati e sono classificate secondo la tassonomia degli archi dell'opera: collusione, strumentalizzazione, infiltrazione, convergenza e transito. La disciplina è quella consueta e non conosce eccezioni: ogni sinapsi è certificata al livello della propria evidenza, la densità sinaptica non si converte mai in disegno unitario, la Regola Ferrea vieta di inferire il mandato dall'ostruzione, e le sinapsi cercate e non trovate sono iscritte quali Stati Zero con dignità di risultato. Il caso Moro è assunto quale banco di prova della lettura neurale perché è l'unico evento del corpus nel quale tutti i dieci strati risultano simultaneamente attivi e osservabili.</w:t>
      </w:r>
    </w:p>
    <w:p>
      <w:pPr>
        <w:spacing w:after="120" w:line="276"/>
        <w:jc w:val="both"/>
      </w:pPr>
      <w:r>
        <w:rPr>
          <w:rFonts w:ascii="Barlow Semi Condensed" w:cs="Barlow Semi Condensed" w:eastAsia="Barlow Semi Condensed" w:hAnsi="Barlow Semi Condensed"/>
          <w:sz w:val="24"/>
          <w:szCs w:val="24"/>
        </w:rPr>
        <w:t xml:space="preserve">12.3 — La mappa delle sovrapposizioni con i blocchi già certificati</w:t>
      </w:r>
    </w:p>
    <w:p>
      <w:pPr>
        <w:spacing w:after="120" w:line="276"/>
        <w:jc w:val="both"/>
      </w:pPr>
      <w:r>
        <w:rPr>
          <w:rFonts w:ascii="Barlow Semi Condensed" w:cs="Barlow Semi Condensed" w:eastAsia="Barlow Semi Condensed" w:hAnsi="Barlow Semi Condensed"/>
          <w:sz w:val="24"/>
          <w:szCs w:val="24"/>
        </w:rPr>
        <w:t xml:space="preserve">Il volume interseca il registro esistente su quattro fronti maggiori. Con la terza tranche condivide i nodi della strage di Bologna, dell'omicidio di Piersanti Mattarella e della Banda della Magliana, che il volume tratta nella propria fase terza e nei capitoli romani della fase quarta: le certificazioni sono reciprocamente coerenti e i rinvii sono incrociati senza residui. Con le tranche prima e quinta condivide il perimetro della loggia coperta quale camera di compensazione, che il volume applica ai cinquantacinque giorni con i medesimi ancoraggi documentali. Con la seconda tranche condivide la cornice eurasiatista solo quale orizzonte prospettico, poiché il volume non tratta la stagione contemporanea: l'incrocio resta dichiarato e non certificato. Con la sesta tranche condivide il metodo del censimento a fonte ereditata e la disciplina delle voci nominative. Nessuna contraddizione fattuale tra il volume e i blocchi certificati è emersa dal riscontro: l'esito, che non era scontato su un corpus di questa estensione, è iscritto quale risultato della tranche.</w:t>
      </w:r>
    </w:p>
    <w:p>
      <w:pPr>
        <w:spacing w:after="120" w:line="276"/>
        <w:jc w:val="both"/>
      </w:pPr>
      <w:r>
        <w:rPr>
          <w:rFonts w:ascii="Barlow Semi Condensed" w:cs="Barlow Semi Condensed" w:eastAsia="Barlow Semi Condensed" w:hAnsi="Barlow Semi Condensed"/>
          <w:sz w:val="24"/>
          <w:szCs w:val="24"/>
        </w:rPr>
        <w:t xml:space="preserve">12.4 — La campagna di triangolazione con il corpus di progetto</w:t>
      </w:r>
    </w:p>
    <w:p>
      <w:pPr>
        <w:spacing w:after="120" w:line="276"/>
        <w:jc w:val="both"/>
      </w:pPr>
      <w:r>
        <w:rPr>
          <w:rFonts w:ascii="Barlow Semi Condensed" w:cs="Barlow Semi Condensed" w:eastAsia="Barlow Semi Condensed" w:hAnsi="Barlow Semi Condensed"/>
          <w:sz w:val="24"/>
          <w:szCs w:val="24"/>
        </w:rPr>
        <w:t xml:space="preserve">Il corpus di progetto contiene un giacimento moroteo autonomo che la tranche censisce e mobilita: l'elaborato parlamentare sul sequestro e sull'omicidio redatto per la Commissione stragi e datato 29 settembre 2000, presente quale estrazione integrale; le schede di presa in consegna della serie del Gruppo di lavoro sul caso Moro della Commissione della decima legislatura, dodici documenti scansionati per seicentoventuno pagine di resoconti stenografici del biennio 1991-1992; il dataset testuale integrale degli scritti moroteî, milleseessantadue documenti dal 1932 al 6 marzo 1978; la famiglia dei registri federati del caso — analitico, di scavo, speculare e genetico — con il codice relazionale che ne disciplina i passaggi; le tavole di triangolazione sull'armamento e sui bossoli; e le riproduzioni documentali maggiori, la relazione della prima Commissione e l'edizione delle lettere dalla prigionia, acquisite quali riproduzioni la cui natura di supporto è certificata nei blocchi dedicati. La campagna ha privilegiato i riscontri che il volume enuncia a Livello A, saggiandone la tenuta contro le fonti primarie interne al corpus.</w:t>
      </w:r>
    </w:p>
    <w:p>
      <w:pPr>
        <w:spacing w:after="120" w:line="276"/>
        <w:jc w:val="both"/>
      </w:pPr>
      <w:r>
        <w:rPr>
          <w:rFonts w:ascii="Barlow Semi Condensed" w:cs="Barlow Semi Condensed" w:eastAsia="Barlow Semi Condensed" w:hAnsi="Barlow Semi Condensed"/>
          <w:sz w:val="24"/>
          <w:szCs w:val="24"/>
        </w:rPr>
        <w:t xml:space="preserve">12.5 — Aggiornamento preliminare della matrice ACH</w:t>
      </w:r>
    </w:p>
    <w:p>
      <w:pPr>
        <w:spacing w:after="120" w:line="276"/>
        <w:jc w:val="both"/>
      </w:pPr>
      <w:r>
        <w:rPr>
          <w:rFonts w:ascii="Barlow Semi Condensed" w:cs="Barlow Semi Condensed" w:eastAsia="Barlow Semi Condensed" w:hAnsi="Barlow Semi Condensed"/>
          <w:sz w:val="24"/>
          <w:szCs w:val="24"/>
        </w:rPr>
        <w:t xml:space="preserve">Il volume-innesco entra nella matrice delle ipotesi in competizione con un apporto netto: la sua fase quarta documenta un caso a pluralità di convergenze certificate e privo di regista unitario giudizialmente accertato, rafforzando l'ipotesi della convergenza policentrica contro la forma forte dell'ipotesi del disegno unitario, che ne esce ulteriormente indebolita; l'ipotesi delle due internazionali autoritarie non riceve dal caso Moro né conferme né smentite dirette e resta a Livello C con i suoi vantaggi esplicativi già registrati. Il dettaglio è consegnato ai blocchi di verdetto in coda al registro.</w:t>
      </w:r>
    </w:p>
    <w:p>
      <w:pPr>
        <w:spacing w:after="120" w:line="276"/>
        <w:jc w:val="both"/>
      </w:pPr>
      <w:r>
        <w:rPr>
          <w:rFonts w:ascii="Barlow Semi Condensed" w:cs="Barlow Semi Condensed" w:eastAsia="Barlow Semi Condensed" w:hAnsi="Barlow Semi Condensed"/>
          <w:sz w:val="24"/>
          <w:szCs w:val="24"/>
        </w:rPr>
        <w:t xml:space="preserve">12.6 — Registro dei blocchi di verifica: blocchi trecentotrentanove–quattrocentotrentotto</w:t>
      </w:r>
    </w:p>
    <w:p>
      <w:pPr>
        <w:spacing w:after="120" w:line="276"/>
        <w:jc w:val="both"/>
      </w:pPr>
      <w:r>
        <w:rPr>
          <w:rFonts w:ascii="Barlow Semi Condensed" w:cs="Barlow Semi Condensed" w:eastAsia="Barlow Semi Condensed" w:hAnsi="Barlow Semi Condensed"/>
          <w:sz w:val="24"/>
          <w:szCs w:val="24"/>
        </w:rPr>
        <w:t xml:space="preserve">Formula identica alle Fasi precedenti: «già certificato» rinvia ai blocchi delle tranche precedenti; «verificato ora» indica la campagna di questa sessione; «attribuito» lascia l'asserzione in capo alla fonte nominata; gli esiti negativi sono iscritti come Stato Zero.</w:t>
      </w:r>
    </w:p>
    <w:p>
      <w:pPr>
        <w:spacing w:after="120" w:line="276"/>
        <w:jc w:val="both"/>
      </w:pPr>
      <w:r>
        <w:rPr>
          <w:rFonts w:ascii="Barlow Semi Condensed" w:cs="Barlow Semi Condensed" w:eastAsia="Barlow Semi Condensed" w:hAnsi="Barlow Semi Condensed"/>
          <w:sz w:val="24"/>
          <w:szCs w:val="24"/>
        </w:rPr>
        <w:t xml:space="preserve">Innesco e statuto (blocchi trecentotrentanove–trecentoquarantaquattro)</w:t>
      </w:r>
    </w:p>
    <w:p>
      <w:pPr>
        <w:spacing w:after="120" w:line="276"/>
        <w:jc w:val="both"/>
      </w:pPr>
      <w:r>
        <w:rPr>
          <w:rFonts w:ascii="Barlow Semi Condensed" w:cs="Barlow Semi Condensed" w:eastAsia="Barlow Semi Condensed" w:hAnsi="Barlow Semi Condensed"/>
          <w:sz w:val="24"/>
          <w:szCs w:val="24"/>
        </w:rPr>
        <w:t xml:space="preserve">Blocco trecentotrentanove. Il documento-innesco: cinque fasi, cinquanta capitoli, circa duecentomila parole, trecentosessantadue pagine, impronte crittografiche dichiarate per entrambi i formati, cinque occhielli di fase e apparato di certificazioni inline: Livello A quale atto del corpus, con credito di igiene documentale per la dichiarazione delle impronte.</w:t>
      </w:r>
    </w:p>
    <w:p>
      <w:pPr>
        <w:spacing w:after="120" w:line="276"/>
        <w:jc w:val="both"/>
      </w:pPr>
      <w:r>
        <w:rPr>
          <w:rFonts w:ascii="Barlow Semi Condensed" w:cs="Barlow Semi Condensed" w:eastAsia="Barlow Semi Condensed" w:hAnsi="Barlow Semi Condensed"/>
          <w:sz w:val="24"/>
          <w:szCs w:val="24"/>
        </w:rPr>
        <w:t xml:space="preserve">Blocco trecentoquaranta. La doppia edizione: la versione di circa centoventiseimila parole trasmessa per posta elettronica certificata ad archivio pubblico con impronta, e l'edizione ampliata con impronte nuove: catena di custodia interna documentata, Livello A quale genealogia del testo.</w:t>
      </w:r>
    </w:p>
    <w:p>
      <w:pPr>
        <w:spacing w:after="120" w:line="276"/>
        <w:jc w:val="both"/>
      </w:pPr>
      <w:r>
        <w:rPr>
          <w:rFonts w:ascii="Barlow Semi Condensed" w:cs="Barlow Semi Condensed" w:eastAsia="Barlow Semi Condensed" w:hAnsi="Barlow Semi Condensed"/>
          <w:sz w:val="24"/>
          <w:szCs w:val="24"/>
        </w:rPr>
        <w:t xml:space="preserve">Blocco trecentoquarantuno. Il metodo interno: milleseicentonovanta certificazioni probatorie inline, Regola Ferrea dichiarata, Stati Zero iscritti quali risultati: conformità formale alla Nota Metodologica verificata ora per campionamento, Livello A quale conformità di metodo, con l'avvertenza che l'autocertificazione del volume non fa prova dei suoi contenuti, che questa tranche saggia contro fonti esterne.</w:t>
      </w:r>
    </w:p>
    <w:p>
      <w:pPr>
        <w:spacing w:after="120" w:line="276"/>
        <w:jc w:val="both"/>
      </w:pPr>
      <w:r>
        <w:rPr>
          <w:rFonts w:ascii="Barlow Semi Condensed" w:cs="Barlow Semi Condensed" w:eastAsia="Barlow Semi Condensed" w:hAnsi="Barlow Semi Condensed"/>
          <w:sz w:val="24"/>
          <w:szCs w:val="24"/>
        </w:rPr>
        <w:t xml:space="preserve">Blocco trecentoquarantadue. Il perimetro: la fase quarta quale trattazione del caso, le fasi restanti quali contesto del quadrilatero, degli apparati, dello stragismo e del teatro internazionale: architettura a cerniera iscritta, Livello A quale struttura dichiarata e riscontrata.</w:t>
      </w:r>
    </w:p>
    <w:p>
      <w:pPr>
        <w:spacing w:after="120" w:line="276"/>
        <w:jc w:val="both"/>
      </w:pPr>
      <w:r>
        <w:rPr>
          <w:rFonts w:ascii="Barlow Semi Condensed" w:cs="Barlow Semi Condensed" w:eastAsia="Barlow Semi Condensed" w:hAnsi="Barlow Semi Condensed"/>
          <w:sz w:val="24"/>
          <w:szCs w:val="24"/>
        </w:rPr>
        <w:t xml:space="preserve">Blocco trecentoquarantatré. La federazione con i registri moroteî del corpus — analitico sino alla dodicesima edizione, di scavo, speculare, genetico, con codice relazionale e protocollo dei passaggi: coesistenza documentata di cinque linee registrali autonome sul medesimo caso, Livello A quale esistenza della federazione; la riconciliazione contenutistica voce per voce è pendenza dichiarata e consegnata.</w:t>
      </w:r>
    </w:p>
    <w:p>
      <w:pPr>
        <w:spacing w:after="120" w:line="276"/>
        <w:jc w:val="both"/>
      </w:pPr>
      <w:r>
        <w:rPr>
          <w:rFonts w:ascii="Barlow Semi Condensed" w:cs="Barlow Semi Condensed" w:eastAsia="Barlow Semi Condensed" w:hAnsi="Barlow Semi Condensed"/>
          <w:sz w:val="24"/>
          <w:szCs w:val="24"/>
        </w:rPr>
        <w:t xml:space="preserve">Blocco trecentoquarantaquattro. Zero indirizzi di rete nel corpo del volume: apparato per fonti nominate, coerente con il protocollo redazionale della quinta Fase di questo registro: Livello A per statuto.</w:t>
      </w:r>
    </w:p>
    <w:p>
      <w:pPr>
        <w:spacing w:after="120" w:line="276"/>
        <w:jc w:val="both"/>
      </w:pPr>
      <w:r>
        <w:rPr>
          <w:rFonts w:ascii="Barlow Semi Condensed" w:cs="Barlow Semi Condensed" w:eastAsia="Barlow Semi Condensed" w:hAnsi="Barlow Semi Condensed"/>
          <w:sz w:val="24"/>
          <w:szCs w:val="24"/>
        </w:rPr>
        <w:t xml:space="preserve">Sinapsi intradominio del settimo dominio: la catena interna (blocchi trecentoquarantacinque–trecentocinquantaquattro)</w:t>
      </w:r>
    </w:p>
    <w:p>
      <w:pPr>
        <w:spacing w:after="120" w:line="276"/>
        <w:jc w:val="both"/>
      </w:pPr>
      <w:r>
        <w:rPr>
          <w:rFonts w:ascii="Barlow Semi Condensed" w:cs="Barlow Semi Condensed" w:eastAsia="Barlow Semi Condensed" w:hAnsi="Barlow Semi Condensed"/>
          <w:sz w:val="24"/>
          <w:szCs w:val="24"/>
        </w:rPr>
        <w:t xml:space="preserve">Blocco trecentoquarantacinque. L'agguato di via Fani quale operazione militare: dinamica, rapporto dei colpi, sequenza dei mezzi: l'enunciato del volume converge con l'elaborato parlamentare del 2000 presente nel corpus e con i giudicati richiamati: Livello A verificato ora contro fonte primaria interna al corpus.</w:t>
      </w:r>
    </w:p>
    <w:p>
      <w:pPr>
        <w:spacing w:after="120" w:line="276"/>
        <w:jc w:val="both"/>
      </w:pPr>
      <w:r>
        <w:rPr>
          <w:rFonts w:ascii="Barlow Semi Condensed" w:cs="Barlow Semi Condensed" w:eastAsia="Barlow Semi Condensed" w:hAnsi="Barlow Semi Condensed"/>
          <w:sz w:val="24"/>
          <w:szCs w:val="24"/>
        </w:rPr>
        <w:t xml:space="preserve">Blocco trecentoquarantasei. Il Comitato esecutivo quale organo deliberante a quattro membri, interfaccia tra Direzione strategica e colonne: composizione e attribuzioni conformi ai giudicati: Livello A già certificato nel volume, coerente con le fonti del corpus.</w:t>
      </w:r>
    </w:p>
    <w:p>
      <w:pPr>
        <w:spacing w:after="120" w:line="276"/>
        <w:jc w:val="both"/>
      </w:pPr>
      <w:r>
        <w:rPr>
          <w:rFonts w:ascii="Barlow Semi Condensed" w:cs="Barlow Semi Condensed" w:eastAsia="Barlow Semi Condensed" w:hAnsi="Barlow Semi Condensed"/>
          <w:sz w:val="24"/>
          <w:szCs w:val="24"/>
        </w:rPr>
        <w:t xml:space="preserve">Blocco trecentoquarantasette. La costellazione romana delle basi — il covo direttivo, la prigione, la tipografia — e la sua preesistenza documentata all'azione: il calendario immobiliare quale prova della pianificazione lunga: Livello A.</w:t>
      </w:r>
    </w:p>
    <w:p>
      <w:pPr>
        <w:spacing w:after="120" w:line="276"/>
        <w:jc w:val="both"/>
      </w:pPr>
      <w:r>
        <w:rPr>
          <w:rFonts w:ascii="Barlow Semi Condensed" w:cs="Barlow Semi Condensed" w:eastAsia="Barlow Semi Condensed" w:hAnsi="Barlow Semi Condensed"/>
          <w:sz w:val="24"/>
          <w:szCs w:val="24"/>
        </w:rPr>
        <w:t xml:space="preserve">Blocco trecentoquarantotto. Il nome in codice dell'operazione, Fritz, quale designazione interna riferita dalle fonti dell'organizzazione: convergenza di dichiarazioni omogenee di provenienza interessata: Livello B con Indice di Contaminazione dichiarato.</w:t>
      </w:r>
    </w:p>
    <w:p>
      <w:pPr>
        <w:spacing w:after="120" w:line="276"/>
        <w:jc w:val="both"/>
      </w:pPr>
      <w:r>
        <w:rPr>
          <w:rFonts w:ascii="Barlow Semi Condensed" w:cs="Barlow Semi Condensed" w:eastAsia="Barlow Semi Condensed" w:hAnsi="Barlow Semi Condensed"/>
          <w:sz w:val="24"/>
          <w:szCs w:val="24"/>
        </w:rPr>
        <w:t xml:space="preserve">Blocco trecentoquarantanove. La genesi milanese 1969-1970 tra fabbrica e collettivi quale sinapsi genetica intradominio: ricostruzione conforme alla storiografia giudiziaria: Livello A.</w:t>
      </w:r>
    </w:p>
    <w:p>
      <w:pPr>
        <w:spacing w:after="120" w:line="276"/>
        <w:jc w:val="both"/>
      </w:pPr>
      <w:r>
        <w:rPr>
          <w:rFonts w:ascii="Barlow Semi Condensed" w:cs="Barlow Semi Condensed" w:eastAsia="Barlow Semi Condensed" w:hAnsi="Barlow Semi Condensed"/>
          <w:sz w:val="24"/>
          <w:szCs w:val="24"/>
        </w:rPr>
        <w:t xml:space="preserve">Blocco trecentocinquanta. L'economia della campagna: il riscatto del sequestro ligure del 1977 quale finanziamento accertato nei giudicati: sinapsi intradominio di risorsa: Livello A.</w:t>
      </w:r>
    </w:p>
    <w:p>
      <w:pPr>
        <w:spacing w:after="120" w:line="276"/>
        <w:jc w:val="both"/>
      </w:pPr>
      <w:r>
        <w:rPr>
          <w:rFonts w:ascii="Barlow Semi Condensed" w:cs="Barlow Semi Condensed" w:eastAsia="Barlow Semi Condensed" w:hAnsi="Barlow Semi Condensed"/>
          <w:sz w:val="24"/>
          <w:szCs w:val="24"/>
        </w:rPr>
        <w:t xml:space="preserve">Blocco trecentocinquantuno. La prigione condominiale: l'invisibilità comportamentale accertata nei dibattimenti quale tecnologia decisiva della clandestinità: Livello A.</w:t>
      </w:r>
    </w:p>
    <w:p>
      <w:pPr>
        <w:spacing w:after="120" w:line="276"/>
        <w:jc w:val="both"/>
      </w:pPr>
      <w:r>
        <w:rPr>
          <w:rFonts w:ascii="Barlow Semi Condensed" w:cs="Barlow Semi Condensed" w:eastAsia="Barlow Semi Condensed" w:hAnsi="Barlow Semi Condensed"/>
          <w:sz w:val="24"/>
          <w:szCs w:val="24"/>
        </w:rPr>
        <w:t xml:space="preserve">Blocco trecentocinquantadue. Il silenzio elettronico dell'organizzazione nei cinquantacinque giorni: assenza di traffico intercettabile riferibile, quale dato tecnico degli atti: Livello A quale dato, con le letture ulteriori lasciate al loro grado.</w:t>
      </w:r>
    </w:p>
    <w:p>
      <w:pPr>
        <w:spacing w:after="120" w:line="276"/>
        <w:jc w:val="both"/>
      </w:pPr>
      <w:r>
        <w:rPr>
          <w:rFonts w:ascii="Barlow Semi Condensed" w:cs="Barlow Semi Condensed" w:eastAsia="Barlow Semi Condensed" w:hAnsi="Barlow Semi Condensed"/>
          <w:sz w:val="24"/>
          <w:szCs w:val="24"/>
        </w:rPr>
        <w:t xml:space="preserve">Blocco trecentocinquantatré. La biforcazione dei destini penali tra dissociati e irriducibili quale effetto della legislazione premiale: Livello A quale quadro aggregato dai giudicati.</w:t>
      </w:r>
    </w:p>
    <w:p>
      <w:pPr>
        <w:spacing w:after="120" w:line="276"/>
        <w:jc w:val="both"/>
      </w:pPr>
      <w:r>
        <w:rPr>
          <w:rFonts w:ascii="Barlow Semi Condensed" w:cs="Barlow Semi Condensed" w:eastAsia="Barlow Semi Condensed" w:hAnsi="Barlow Semi Condensed"/>
          <w:sz w:val="24"/>
          <w:szCs w:val="24"/>
        </w:rPr>
        <w:t xml:space="preserve">Blocco trecentocinquantaquattro. La negazione unanime, da parte delle fonti interne, di presenze estranee sulla scena: convergenza dichiarativa di provenienza interessata, che non chiude la questione peritale: Livello B dichiarativo, con rinvio al blocco sulle ipotesi della seconda Commissione.</w:t>
      </w:r>
    </w:p>
    <w:p>
      <w:pPr>
        <w:spacing w:after="120" w:line="276"/>
        <w:jc w:val="both"/>
      </w:pPr>
      <w:r>
        <w:rPr>
          <w:rFonts w:ascii="Barlow Semi Condensed" w:cs="Barlow Semi Condensed" w:eastAsia="Barlow Semi Condensed" w:hAnsi="Barlow Semi Condensed"/>
          <w:sz w:val="24"/>
          <w:szCs w:val="24"/>
        </w:rPr>
        <w:t xml:space="preserve">Sinapsi interdominio settimo-terzo: organizzazione e apparati (blocchi trecentocinquantacinque–trecentosessantaquattro)</w:t>
      </w:r>
    </w:p>
    <w:p>
      <w:pPr>
        <w:spacing w:after="120" w:line="276"/>
        <w:jc w:val="both"/>
      </w:pPr>
      <w:r>
        <w:rPr>
          <w:rFonts w:ascii="Barlow Semi Condensed" w:cs="Barlow Semi Condensed" w:eastAsia="Barlow Semi Condensed" w:hAnsi="Barlow Semi Condensed"/>
          <w:sz w:val="24"/>
          <w:szCs w:val="24"/>
        </w:rPr>
        <w:t xml:space="preserve">Blocco trecentocinquantacinque. Il triplo mancato di via Gradoli — la segnalazione non convenzionale, il controllo di pattuglia del 18 marzo, l'equivoco toponomastico: tre strumenti falliti sul medesimo indirizzo: Livello A quanto ai fatti, Livello C permanente quanto alle letture non certificate.</w:t>
      </w:r>
    </w:p>
    <w:p>
      <w:pPr>
        <w:spacing w:after="120" w:line="276"/>
        <w:jc w:val="both"/>
      </w:pPr>
      <w:r>
        <w:rPr>
          <w:rFonts w:ascii="Barlow Semi Condensed" w:cs="Barlow Semi Condensed" w:eastAsia="Barlow Semi Condensed" w:hAnsi="Barlow Semi Condensed"/>
          <w:sz w:val="24"/>
          <w:szCs w:val="24"/>
        </w:rPr>
        <w:t xml:space="preserve">Blocco trecentocinquantasei. La composizione dei comitati di gestione della crisi con presenze iscritte negli elenchi della loggia sequestrati nel 1981: sinapsi di infiltrazione tra quarto e terzo dominio attiva durante i cinquantacinque giorni: Livello A quale risultanza dagli elenchi, senza inferenza di condotte.</w:t>
      </w:r>
    </w:p>
    <w:p>
      <w:pPr>
        <w:spacing w:after="120" w:line="276"/>
        <w:jc w:val="both"/>
      </w:pPr>
      <w:r>
        <w:rPr>
          <w:rFonts w:ascii="Barlow Semi Condensed" w:cs="Barlow Semi Condensed" w:eastAsia="Barlow Semi Condensed" w:hAnsi="Barlow Semi Condensed"/>
          <w:sz w:val="24"/>
          <w:szCs w:val="24"/>
        </w:rPr>
        <w:t xml:space="preserve">Blocco trecentocinquantasette. L'unica condanna d'apparato del caso: il funzionario di vertice condannato in via definitiva per la fuga di notizie sul memoriale nell'ottobre 1978: Livello A.</w:t>
      </w:r>
    </w:p>
    <w:p>
      <w:pPr>
        <w:spacing w:after="120" w:line="276"/>
        <w:jc w:val="both"/>
      </w:pPr>
      <w:r>
        <w:rPr>
          <w:rFonts w:ascii="Barlow Semi Condensed" w:cs="Barlow Semi Condensed" w:eastAsia="Barlow Semi Condensed" w:hAnsi="Barlow Semi Condensed"/>
          <w:sz w:val="24"/>
          <w:szCs w:val="24"/>
        </w:rPr>
        <w:t xml:space="preserve">Blocco trecentocinquantotto. La smobilitazione dell'Ispettorato antiterrorismo nella stagione immediatamente precedente l'agguato: riorganizzazione documentata degli assetti: Livello A quale fatto ordinamentale, con la lettura funzionale al suo grado.</w:t>
      </w:r>
    </w:p>
    <w:p>
      <w:pPr>
        <w:spacing w:after="120" w:line="276"/>
        <w:jc w:val="both"/>
      </w:pPr>
      <w:r>
        <w:rPr>
          <w:rFonts w:ascii="Barlow Semi Condensed" w:cs="Barlow Semi Condensed" w:eastAsia="Barlow Semi Condensed" w:hAnsi="Barlow Semi Condensed"/>
          <w:sz w:val="24"/>
          <w:szCs w:val="24"/>
        </w:rPr>
        <w:t xml:space="preserve">Blocco trecentocinquantanove. Il censimento negativo della protezione: vettura non blindata, assenza di copertura aerea, scorta priva di addestramento specifico anti-imboscata: convergenza tra il volume e gli accertamenti parlamentari presenti nel corpus: Livello A verificato ora.</w:t>
      </w:r>
    </w:p>
    <w:p>
      <w:pPr>
        <w:spacing w:after="120" w:line="276"/>
        <w:jc w:val="both"/>
      </w:pPr>
      <w:r>
        <w:rPr>
          <w:rFonts w:ascii="Barlow Semi Condensed" w:cs="Barlow Semi Condensed" w:eastAsia="Barlow Semi Condensed" w:hAnsi="Barlow Semi Condensed"/>
          <w:sz w:val="24"/>
          <w:szCs w:val="24"/>
        </w:rPr>
        <w:t xml:space="preserve">Blocco trecentosessanta. Il rumore informativo: le migliaia di segnalazioni, millantazioni e offerte spontanee censite dagli atti quale condizione operativa reale della caccia: Livello A quale fenomeno documentato.</w:t>
      </w:r>
    </w:p>
    <w:p>
      <w:pPr>
        <w:spacing w:after="120" w:line="276"/>
        <w:jc w:val="both"/>
      </w:pPr>
      <w:r>
        <w:rPr>
          <w:rFonts w:ascii="Barlow Semi Condensed" w:cs="Barlow Semi Condensed" w:eastAsia="Barlow Semi Condensed" w:hAnsi="Barlow Semi Condensed"/>
          <w:sz w:val="24"/>
          <w:szCs w:val="24"/>
        </w:rPr>
        <w:t xml:space="preserve">Blocco trecentosessantuno. Il falso comunicato del lago e la ricognizione subacquea sincrona alle operazioni sul covo milanese: cronologia oggettiva iscritta: Livello A quanto ai fatti, Livello C quanto ad ogni regia unitaria non certificata.</w:t>
      </w:r>
    </w:p>
    <w:p>
      <w:pPr>
        <w:spacing w:after="120" w:line="276"/>
        <w:jc w:val="both"/>
      </w:pPr>
      <w:r>
        <w:rPr>
          <w:rFonts w:ascii="Barlow Semi Condensed" w:cs="Barlow Semi Condensed" w:eastAsia="Barlow Semi Condensed" w:hAnsi="Barlow Semi Condensed"/>
          <w:sz w:val="24"/>
          <w:szCs w:val="24"/>
        </w:rPr>
        <w:t xml:space="preserve">Blocco trecentosessantadue. Il doppio ritrovamento di via Monte Nevoso, 1978 e 1990, con il differenziale documentale tra le due acquisizioni: Livello A quanto ai fatti; le carte mancanti restano oggetto senza giudicato.</w:t>
      </w:r>
    </w:p>
    <w:p>
      <w:pPr>
        <w:spacing w:after="120" w:line="276"/>
        <w:jc w:val="both"/>
      </w:pPr>
      <w:r>
        <w:rPr>
          <w:rFonts w:ascii="Barlow Semi Condensed" w:cs="Barlow Semi Condensed" w:eastAsia="Barlow Semi Condensed" w:hAnsi="Barlow Semi Condensed"/>
          <w:sz w:val="24"/>
          <w:szCs w:val="24"/>
        </w:rPr>
        <w:t xml:space="preserve">Blocco trecentosessantatré. L'attribuzione istruttoria del falso comunicato ad un falsario poi ucciso nel 1984 senza processo: Livello B quanto all'attribuzione, Livello A quanto alla morte prima del dibattimento.</w:t>
      </w:r>
    </w:p>
    <w:p>
      <w:pPr>
        <w:spacing w:after="120" w:line="276"/>
        <w:jc w:val="both"/>
      </w:pPr>
      <w:r>
        <w:rPr>
          <w:rFonts w:ascii="Barlow Semi Condensed" w:cs="Barlow Semi Condensed" w:eastAsia="Barlow Semi Condensed" w:hAnsi="Barlow Semi Condensed"/>
          <w:sz w:val="24"/>
          <w:szCs w:val="24"/>
        </w:rPr>
        <w:t xml:space="preserve">Blocco trecentosessantaquattro. Stato Zero di dominio: nessun mandato o concorso di apparato nel sequestro è stato accertato in alcuno dei cinque cicli di giudizio; le omissioni censite restano omissioni: la Regola Ferrea vieta la conversione: Stato Zero certificato.</w:t>
      </w:r>
    </w:p>
    <w:p>
      <w:pPr>
        <w:spacing w:after="120" w:line="276"/>
        <w:jc w:val="both"/>
      </w:pPr>
      <w:r>
        <w:rPr>
          <w:rFonts w:ascii="Barlow Semi Condensed" w:cs="Barlow Semi Condensed" w:eastAsia="Barlow Semi Condensed" w:hAnsi="Barlow Semi Condensed"/>
          <w:sz w:val="24"/>
          <w:szCs w:val="24"/>
        </w:rPr>
        <w:t xml:space="preserve">Sinapsi interdominio settimo-secondo: organizzazione e politica (blocchi trecentosessantacinque–trecentosettantadue)</w:t>
      </w:r>
    </w:p>
    <w:p>
      <w:pPr>
        <w:spacing w:after="120" w:line="276"/>
        <w:jc w:val="both"/>
      </w:pPr>
      <w:r>
        <w:rPr>
          <w:rFonts w:ascii="Barlow Semi Condensed" w:cs="Barlow Semi Condensed" w:eastAsia="Barlow Semi Condensed" w:hAnsi="Barlow Semi Condensed"/>
          <w:sz w:val="24"/>
          <w:szCs w:val="24"/>
        </w:rPr>
        <w:t xml:space="preserve">Blocco trecentosessantacinque. La posta politica: la cronologia 16 gennaio-16 marzo 1978 e la coincidenza del giorno dell'agguato con il voto di fiducia: Livello A quale cronologia oggettiva, senza inferenza di sincronizzazione oltre il suo grado.</w:t>
      </w:r>
    </w:p>
    <w:p>
      <w:pPr>
        <w:spacing w:after="120" w:line="276"/>
        <w:jc w:val="both"/>
      </w:pPr>
      <w:r>
        <w:rPr>
          <w:rFonts w:ascii="Barlow Semi Condensed" w:cs="Barlow Semi Condensed" w:eastAsia="Barlow Semi Condensed" w:hAnsi="Barlow Semi Condensed"/>
          <w:sz w:val="24"/>
          <w:szCs w:val="24"/>
        </w:rPr>
        <w:t xml:space="preserve">Blocco trecentosessantasei. L'architettura argomentativa della corrispondenza al ministro dell'interno quale primo atto della linea negoziale del prigioniero: Livello A quale testo autentico periziato.</w:t>
      </w:r>
    </w:p>
    <w:p>
      <w:pPr>
        <w:spacing w:after="120" w:line="276"/>
        <w:jc w:val="both"/>
      </w:pPr>
      <w:r>
        <w:rPr>
          <w:rFonts w:ascii="Barlow Semi Condensed" w:cs="Barlow Semi Condensed" w:eastAsia="Barlow Semi Condensed" w:hAnsi="Barlow Semi Condensed"/>
          <w:sz w:val="24"/>
          <w:szCs w:val="24"/>
        </w:rPr>
        <w:t xml:space="preserve">Blocco trecentosessantasette. La filiera parallela del partito socialista attraverso l'esponente di vertice, il giornalista e l'area dell'autonomia: esistenza documentata dalle audizioni, portata dei singoli passaggi non integralmente certificata: Livello A sull'esistenza, Livello B sulla portata.</w:t>
      </w:r>
    </w:p>
    <w:p>
      <w:pPr>
        <w:spacing w:after="120" w:line="276"/>
        <w:jc w:val="both"/>
      </w:pPr>
      <w:r>
        <w:rPr>
          <w:rFonts w:ascii="Barlow Semi Condensed" w:cs="Barlow Semi Condensed" w:eastAsia="Barlow Semi Condensed" w:hAnsi="Barlow Semi Condensed"/>
          <w:sz w:val="24"/>
          <w:szCs w:val="24"/>
        </w:rPr>
        <w:t xml:space="preserve">Blocco trecentosessantotto. La fine della solidarietà nazionale nel gennaio 1979 quale effetto-calendario della vicenda: Livello A quale sequenza documentata degli effetti.</w:t>
      </w:r>
    </w:p>
    <w:p>
      <w:pPr>
        <w:spacing w:after="120" w:line="276"/>
        <w:jc w:val="both"/>
      </w:pPr>
      <w:r>
        <w:rPr>
          <w:rFonts w:ascii="Barlow Semi Condensed" w:cs="Barlow Semi Condensed" w:eastAsia="Barlow Semi Condensed" w:hAnsi="Barlow Semi Condensed"/>
          <w:sz w:val="24"/>
          <w:szCs w:val="24"/>
        </w:rPr>
        <w:t xml:space="preserve">Blocco trecentosessantanove. La legislazione emergenziale e premiale del triennio successivo quale vincitrice strutturale della stagione: Livello A quale quadro normativo e applicativo.</w:t>
      </w:r>
    </w:p>
    <w:p>
      <w:pPr>
        <w:spacing w:after="120" w:line="276"/>
        <w:jc w:val="both"/>
      </w:pPr>
      <w:r>
        <w:rPr>
          <w:rFonts w:ascii="Barlow Semi Condensed" w:cs="Barlow Semi Condensed" w:eastAsia="Barlow Semi Condensed" w:hAnsi="Barlow Semi Condensed"/>
          <w:sz w:val="24"/>
          <w:szCs w:val="24"/>
        </w:rPr>
        <w:t xml:space="preserve">Blocco trecentosettanta. L'istituzione per legge, nel 2007, del 9 maggio quale Giorno della memoria delle vittime del terrorismo: Livello A.</w:t>
      </w:r>
    </w:p>
    <w:p>
      <w:pPr>
        <w:spacing w:after="120" w:line="276"/>
        <w:jc w:val="both"/>
      </w:pPr>
      <w:r>
        <w:rPr>
          <w:rFonts w:ascii="Barlow Semi Condensed" w:cs="Barlow Semi Condensed" w:eastAsia="Barlow Semi Condensed" w:hAnsi="Barlow Semi Condensed"/>
          <w:sz w:val="24"/>
          <w:szCs w:val="24"/>
        </w:rPr>
        <w:t xml:space="preserve">Blocco trecentosettantuno. Le dimissioni del ministro dell'interno il 9 maggio e il corpus trentennale delle sue esternazioni successive: Livello A quale esistenza e natura del corpus dichiarativo, Livello C permanente quanto ai contenuti allusivi mai riscontrati.</w:t>
      </w:r>
    </w:p>
    <w:p>
      <w:pPr>
        <w:spacing w:after="120" w:line="276"/>
        <w:jc w:val="both"/>
      </w:pPr>
      <w:r>
        <w:rPr>
          <w:rFonts w:ascii="Barlow Semi Condensed" w:cs="Barlow Semi Condensed" w:eastAsia="Barlow Semi Condensed" w:hAnsi="Barlow Semi Condensed"/>
          <w:sz w:val="24"/>
          <w:szCs w:val="24"/>
        </w:rPr>
        <w:t xml:space="preserve">Blocco trecentosettantadue. La catena istituzionale dell'estate 1978 — le dimissioni del Capo dello Stato, l'elezione del successore, la morte del pontefice: Livello A quale cronologia, iscritta quale sismografo di sistema senza nessi causali oltre il grado.</w:t>
      </w:r>
    </w:p>
    <w:p>
      <w:pPr>
        <w:spacing w:after="120" w:line="276"/>
        <w:jc w:val="both"/>
      </w:pPr>
      <w:r>
        <w:rPr>
          <w:rFonts w:ascii="Barlow Semi Condensed" w:cs="Barlow Semi Condensed" w:eastAsia="Barlow Semi Condensed" w:hAnsi="Barlow Semi Condensed"/>
          <w:sz w:val="24"/>
          <w:szCs w:val="24"/>
        </w:rPr>
        <w:t xml:space="preserve">Sinapsi interdominio settimo-quarto: organizzazione, caso e loggia (blocchi trecentosettantatré–trecentosettantanove)</w:t>
      </w:r>
    </w:p>
    <w:p>
      <w:pPr>
        <w:spacing w:after="120" w:line="276"/>
        <w:jc w:val="both"/>
      </w:pPr>
      <w:r>
        <w:rPr>
          <w:rFonts w:ascii="Barlow Semi Condensed" w:cs="Barlow Semi Condensed" w:eastAsia="Barlow Semi Condensed" w:hAnsi="Barlow Semi Condensed"/>
          <w:sz w:val="24"/>
          <w:szCs w:val="24"/>
        </w:rPr>
        <w:t xml:space="preserve">Blocco trecentosettantatré. Il direttore del settimanale romano negli elenchi sequestrati della loggia e il suo omicidio nel marzo 1979 rimasto senza colpevoli definitivi: Livello A quanto alla risultanza dagli elenchi e all'esito giudiziario; la posizione del nodo che informa contro il proprio cluster è iscritta quale lettura topologica.</w:t>
      </w:r>
    </w:p>
    <w:p>
      <w:pPr>
        <w:spacing w:after="120" w:line="276"/>
        <w:jc w:val="both"/>
      </w:pPr>
      <w:r>
        <w:rPr>
          <w:rFonts w:ascii="Barlow Semi Condensed" w:cs="Barlow Semi Condensed" w:eastAsia="Barlow Semi Condensed" w:hAnsi="Barlow Semi Condensed"/>
          <w:sz w:val="24"/>
          <w:szCs w:val="24"/>
        </w:rPr>
        <w:t xml:space="preserve">Blocco trecentosettantaquattro. La presenza negli elenchi della loggia di titolari di funzioni apicali della sicurezza in carica durante i cinquantacinque giorni: Livello A quale risultanza documentale, senza inferenza di condotte specifiche.</w:t>
      </w:r>
    </w:p>
    <w:p>
      <w:pPr>
        <w:spacing w:after="120" w:line="276"/>
        <w:jc w:val="both"/>
      </w:pPr>
      <w:r>
        <w:rPr>
          <w:rFonts w:ascii="Barlow Semi Condensed" w:cs="Barlow Semi Condensed" w:eastAsia="Barlow Semi Condensed" w:hAnsi="Barlow Semi Condensed"/>
          <w:sz w:val="24"/>
          <w:szCs w:val="24"/>
        </w:rPr>
        <w:t xml:space="preserve">Blocco trecentosettantacinque. Il fascicolo riservato sui traffici petroliferi e la sua migrazione verso il settimanale: sinapsi di transito informativo tra apparati e stampa: Livello A quanto alla vicenda documentale, Livello B quanto ai passaggi intermedi.</w:t>
      </w:r>
    </w:p>
    <w:p>
      <w:pPr>
        <w:spacing w:after="120" w:line="276"/>
        <w:jc w:val="both"/>
      </w:pPr>
      <w:r>
        <w:rPr>
          <w:rFonts w:ascii="Barlow Semi Condensed" w:cs="Barlow Semi Condensed" w:eastAsia="Barlow Semi Condensed" w:hAnsi="Barlow Semi Condensed"/>
          <w:sz w:val="24"/>
          <w:szCs w:val="24"/>
        </w:rPr>
        <w:t xml:space="preserve">Blocco trecentosettantasei. La camera di compensazione: il ruolo della loggia quale piattaforma trasversale, già certificato nelle tranche precedenti, è richiamato per i cinquantacinque giorni senza estensioni nuove: già certificato.</w:t>
      </w:r>
    </w:p>
    <w:p>
      <w:pPr>
        <w:spacing w:after="120" w:line="276"/>
        <w:jc w:val="both"/>
      </w:pPr>
      <w:r>
        <w:rPr>
          <w:rFonts w:ascii="Barlow Semi Condensed" w:cs="Barlow Semi Condensed" w:eastAsia="Barlow Semi Condensed" w:hAnsi="Barlow Semi Condensed"/>
          <w:sz w:val="24"/>
          <w:szCs w:val="24"/>
        </w:rPr>
        <w:t xml:space="preserve">Blocco trecentosettantasette. L'apocrifo delle «convergenze parallele»: circolazione pubblica della formula attribuita e assenza della paternità nel corpus autentico: Livello A sulla circolazione, Livello C sulla paternità.</w:t>
      </w:r>
    </w:p>
    <w:p>
      <w:pPr>
        <w:spacing w:after="120" w:line="276"/>
        <w:jc w:val="both"/>
      </w:pPr>
      <w:r>
        <w:rPr>
          <w:rFonts w:ascii="Barlow Semi Condensed" w:cs="Barlow Semi Condensed" w:eastAsia="Barlow Semi Condensed" w:hAnsi="Barlow Semi Condensed"/>
          <w:sz w:val="24"/>
          <w:szCs w:val="24"/>
        </w:rPr>
        <w:t xml:space="preserve">Blocco trecentosettantotto. Le veline e i dossier quali strumenti di condizionamento informativo nella stagione del caso: fenomeno documentato dalle inchieste parlamentari: Livello B quale sistema, con i singoli episodi al loro grado.</w:t>
      </w:r>
    </w:p>
    <w:p>
      <w:pPr>
        <w:spacing w:after="120" w:line="276"/>
        <w:jc w:val="both"/>
      </w:pPr>
      <w:r>
        <w:rPr>
          <w:rFonts w:ascii="Barlow Semi Condensed" w:cs="Barlow Semi Condensed" w:eastAsia="Barlow Semi Condensed" w:hAnsi="Barlow Semi Condensed"/>
          <w:sz w:val="24"/>
          <w:szCs w:val="24"/>
        </w:rPr>
        <w:t xml:space="preserve">Blocco trecentosettantanove. Stato Zero di dominio: nessun giudicato lega la loggia quale ente alla deliberazione o alla gestione del sequestro: Stato Zero certificato, distinto dalle risultanze individuali dei blocchi precedenti.</w:t>
      </w:r>
    </w:p>
    <w:p>
      <w:pPr>
        <w:spacing w:after="120" w:line="276"/>
        <w:jc w:val="both"/>
      </w:pPr>
      <w:r>
        <w:rPr>
          <w:rFonts w:ascii="Barlow Semi Condensed" w:cs="Barlow Semi Condensed" w:eastAsia="Barlow Semi Condensed" w:hAnsi="Barlow Semi Condensed"/>
          <w:sz w:val="24"/>
          <w:szCs w:val="24"/>
        </w:rPr>
        <w:t xml:space="preserve">Sinapsi interdominio settimo-primo: organizzazione e crimine (blocchi trecentottanta–trecentottantasei)</w:t>
      </w:r>
    </w:p>
    <w:p>
      <w:pPr>
        <w:spacing w:after="120" w:line="276"/>
        <w:jc w:val="both"/>
      </w:pPr>
      <w:r>
        <w:rPr>
          <w:rFonts w:ascii="Barlow Semi Condensed" w:cs="Barlow Semi Condensed" w:eastAsia="Barlow Semi Condensed" w:hAnsi="Barlow Semi Condensed"/>
          <w:sz w:val="24"/>
          <w:szCs w:val="24"/>
        </w:rPr>
        <w:t xml:space="preserve">Blocco trecentottanta. L'ambiente criminale romano attorno al falso comunicato del lago: attribuzione istruttoria all'area della banda capitolina, coerente con il blocco già certificato della terza tranche sulla cerniera crimine-eversione: Livello B istruttorio, incrocio iscritto.</w:t>
      </w:r>
    </w:p>
    <w:p>
      <w:pPr>
        <w:spacing w:after="120" w:line="276"/>
        <w:jc w:val="both"/>
      </w:pPr>
      <w:r>
        <w:rPr>
          <w:rFonts w:ascii="Barlow Semi Condensed" w:cs="Barlow Semi Condensed" w:eastAsia="Barlow Semi Condensed" w:hAnsi="Barlow Semi Condensed"/>
          <w:sz w:val="24"/>
          <w:szCs w:val="24"/>
        </w:rPr>
        <w:t xml:space="preserve">Blocco trecentottantuno. Il canale calabrese attivato durante il sequestro attraverso un parlamentare quale tramite: esistenza documentata dalle audizioni, esiti non certificati: Livello A sull'esistenza del canale, Livello B sugli sviluppi, con la formula degli atti: o non sapevano, o non vollero dire.</w:t>
      </w:r>
    </w:p>
    <w:p>
      <w:pPr>
        <w:spacing w:after="120" w:line="276"/>
        <w:jc w:val="both"/>
      </w:pPr>
      <w:r>
        <w:rPr>
          <w:rFonts w:ascii="Barlow Semi Condensed" w:cs="Barlow Semi Condensed" w:eastAsia="Barlow Semi Condensed" w:hAnsi="Barlow Semi Condensed"/>
          <w:sz w:val="24"/>
          <w:szCs w:val="24"/>
        </w:rPr>
        <w:t xml:space="preserve">Blocco trecentottantadue. L'ipotesi di presenze riconducibili alla criminalità calabrese sulla scena dell'agguato, esplorata dalla seconda Commissione: Livello C dichiarato e non promosso.</w:t>
      </w:r>
    </w:p>
    <w:p>
      <w:pPr>
        <w:spacing w:after="120" w:line="276"/>
        <w:jc w:val="both"/>
      </w:pPr>
      <w:r>
        <w:rPr>
          <w:rFonts w:ascii="Barlow Semi Condensed" w:cs="Barlow Semi Condensed" w:eastAsia="Barlow Semi Condensed" w:hAnsi="Barlow Semi Condensed"/>
          <w:sz w:val="24"/>
          <w:szCs w:val="24"/>
        </w:rPr>
        <w:t xml:space="preserve">Blocco trecentottantatré. La serie 1979-1984 delle morti violente attorno alle carte del caso — l'ufficiale dell'Arma, il giornalista, il generale, il falsario: Livello A quanto a ciascuna morte e al suo giudicato o alla sua assenza, Livello C quanto ad ogni nesso unitario, mai certificato.</w:t>
      </w:r>
    </w:p>
    <w:p>
      <w:pPr>
        <w:spacing w:after="120" w:line="276"/>
        <w:jc w:val="both"/>
      </w:pPr>
      <w:r>
        <w:rPr>
          <w:rFonts w:ascii="Barlow Semi Condensed" w:cs="Barlow Semi Condensed" w:eastAsia="Barlow Semi Condensed" w:hAnsi="Barlow Semi Condensed"/>
          <w:sz w:val="24"/>
          <w:szCs w:val="24"/>
        </w:rPr>
        <w:t xml:space="preserve">Blocco trecentottantaquattro. La requisitoria economica contenuta nel memoriale sul crocevia bancario siciliano-vaticano: testo autentico convergente con le acquisizioni della prima fase del volume: Livello A quale testo, con il suo valore di riscontro indipendente iscritto.</w:t>
      </w:r>
    </w:p>
    <w:p>
      <w:pPr>
        <w:spacing w:after="120" w:line="276"/>
        <w:jc w:val="both"/>
      </w:pPr>
      <w:r>
        <w:rPr>
          <w:rFonts w:ascii="Barlow Semi Condensed" w:cs="Barlow Semi Condensed" w:eastAsia="Barlow Semi Condensed" w:hAnsi="Barlow Semi Condensed"/>
          <w:sz w:val="24"/>
          <w:szCs w:val="24"/>
        </w:rPr>
        <w:t xml:space="preserve">Blocco trecentottantacinque. La traiettoria del generale dal caso alla Sicilia quale sinapsi biografica tra settimo e primo dominio: Livello A quale percorso istituzionale documentato.</w:t>
      </w:r>
    </w:p>
    <w:p>
      <w:pPr>
        <w:spacing w:after="120" w:line="276"/>
        <w:jc w:val="both"/>
      </w:pPr>
      <w:r>
        <w:rPr>
          <w:rFonts w:ascii="Barlow Semi Condensed" w:cs="Barlow Semi Condensed" w:eastAsia="Barlow Semi Condensed" w:hAnsi="Barlow Semi Condensed"/>
          <w:sz w:val="24"/>
          <w:szCs w:val="24"/>
        </w:rPr>
        <w:t xml:space="preserve">Blocco trecentottantasei. Stato Zero di dominio: nessuna commissione mafiosa del sequestro è stata accertata in giudizio: Stato Zero certificato.</w:t>
      </w:r>
    </w:p>
    <w:p>
      <w:pPr>
        <w:spacing w:after="120" w:line="276"/>
        <w:jc w:val="both"/>
      </w:pPr>
      <w:r>
        <w:rPr>
          <w:rFonts w:ascii="Barlow Semi Condensed" w:cs="Barlow Semi Condensed" w:eastAsia="Barlow Semi Condensed" w:hAnsi="Barlow Semi Condensed"/>
          <w:sz w:val="24"/>
          <w:szCs w:val="24"/>
        </w:rPr>
        <w:t xml:space="preserve">Sinapsi interdominio settimo-quinto: organizzazione e sfera religiosa (blocchi trecentottantasette–trecentonovantuno)</w:t>
      </w:r>
    </w:p>
    <w:p>
      <w:pPr>
        <w:spacing w:after="120" w:line="276"/>
        <w:jc w:val="both"/>
      </w:pPr>
      <w:r>
        <w:rPr>
          <w:rFonts w:ascii="Barlow Semi Condensed" w:cs="Barlow Semi Condensed" w:eastAsia="Barlow Semi Condensed" w:hAnsi="Barlow Semi Condensed"/>
          <w:sz w:val="24"/>
          <w:szCs w:val="24"/>
        </w:rPr>
        <w:t xml:space="preserve">Blocco trecentottantasette. L'appello pubblico del pontefice agli «uomini delle Brigate Rosse» e la sua formulazione senza condizioni: Livello A quale atto e testo.</w:t>
      </w:r>
    </w:p>
    <w:p>
      <w:pPr>
        <w:spacing w:after="120" w:line="276"/>
        <w:jc w:val="both"/>
      </w:pPr>
      <w:r>
        <w:rPr>
          <w:rFonts w:ascii="Barlow Semi Condensed" w:cs="Barlow Semi Condensed" w:eastAsia="Barlow Semi Condensed" w:hAnsi="Barlow Semi Condensed"/>
          <w:sz w:val="24"/>
          <w:szCs w:val="24"/>
        </w:rPr>
        <w:t xml:space="preserve">Blocco trecentottantotto. I canali riservati della sponda vaticana e l'ipotesi di disponibilità economica per la liberazione: esistenza dei canali documentata, consistenza degli approntamenti non integralmente certificata: Livello A e Livello B rispettivamente.</w:t>
      </w:r>
    </w:p>
    <w:p>
      <w:pPr>
        <w:spacing w:after="120" w:line="276"/>
        <w:jc w:val="both"/>
      </w:pPr>
      <w:r>
        <w:rPr>
          <w:rFonts w:ascii="Barlow Semi Condensed" w:cs="Barlow Semi Condensed" w:eastAsia="Barlow Semi Condensed" w:hAnsi="Barlow Semi Condensed"/>
          <w:sz w:val="24"/>
          <w:szCs w:val="24"/>
        </w:rPr>
        <w:t xml:space="preserve">Blocco trecentottantanove. La sinapsi biografica lunga tra il prigioniero e il pontefice, dalla comune stagione degli organismi intellettuali cattolici: Livello A storico, quale spiegazione del canale più motivato e meno attrezzato.</w:t>
      </w:r>
    </w:p>
    <w:p>
      <w:pPr>
        <w:spacing w:after="120" w:line="276"/>
        <w:jc w:val="both"/>
      </w:pPr>
      <w:r>
        <w:rPr>
          <w:rFonts w:ascii="Barlow Semi Condensed" w:cs="Barlow Semi Condensed" w:eastAsia="Barlow Semi Condensed" w:hAnsi="Barlow Semi Condensed"/>
          <w:sz w:val="24"/>
          <w:szCs w:val="24"/>
        </w:rPr>
        <w:t xml:space="preserve">Blocco trecentonovanta. La liturgia divisa del congedo: il rito di Stato celebrato senza la salma per volontà della famiglia: Livello A.</w:t>
      </w:r>
    </w:p>
    <w:p>
      <w:pPr>
        <w:spacing w:after="120" w:line="276"/>
        <w:jc w:val="both"/>
      </w:pPr>
      <w:r>
        <w:rPr>
          <w:rFonts w:ascii="Barlow Semi Condensed" w:cs="Barlow Semi Condensed" w:eastAsia="Barlow Semi Condensed" w:hAnsi="Barlow Semi Condensed"/>
          <w:sz w:val="24"/>
          <w:szCs w:val="24"/>
        </w:rPr>
        <w:t xml:space="preserve">Blocco trecentonovantuno. La sepoltura fuori dalla capitale quale scelta del silenzio: Livello A.</w:t>
      </w:r>
    </w:p>
    <w:p>
      <w:pPr>
        <w:spacing w:after="120" w:line="276"/>
        <w:jc w:val="both"/>
      </w:pPr>
      <w:r>
        <w:rPr>
          <w:rFonts w:ascii="Barlow Semi Condensed" w:cs="Barlow Semi Condensed" w:eastAsia="Barlow Semi Condensed" w:hAnsi="Barlow Semi Condensed"/>
          <w:sz w:val="24"/>
          <w:szCs w:val="24"/>
        </w:rPr>
        <w:t xml:space="preserve">Sinapsi interdominio settimo-ottavo: organizzazione e sistema informativo (blocchi trecentonovantadue–trecentonovantasette)</w:t>
      </w:r>
    </w:p>
    <w:p>
      <w:pPr>
        <w:spacing w:after="120" w:line="276"/>
        <w:jc w:val="both"/>
      </w:pPr>
      <w:r>
        <w:rPr>
          <w:rFonts w:ascii="Barlow Semi Condensed" w:cs="Barlow Semi Condensed" w:eastAsia="Barlow Semi Condensed" w:hAnsi="Barlow Semi Condensed"/>
          <w:sz w:val="24"/>
          <w:szCs w:val="24"/>
        </w:rPr>
        <w:t xml:space="preserve">Blocco trecentonovantadue. La sequenza dei nove comunicati autentici e del falso intermedio quale guerra semiotica condotta in parallelo a quella militare: Livello A quale corpus e cronologia.</w:t>
      </w:r>
    </w:p>
    <w:p>
      <w:pPr>
        <w:spacing w:after="120" w:line="276"/>
        <w:jc w:val="both"/>
      </w:pPr>
      <w:r>
        <w:rPr>
          <w:rFonts w:ascii="Barlow Semi Condensed" w:cs="Barlow Semi Condensed" w:eastAsia="Barlow Semi Condensed" w:hAnsi="Barlow Semi Condensed"/>
          <w:sz w:val="24"/>
          <w:szCs w:val="24"/>
        </w:rPr>
        <w:t xml:space="preserve">Blocco trecentonovantatré. I recapiti simultanei multi-città dei comunicati quale prova di rete logistica nazionale attiva: Livello A.</w:t>
      </w:r>
    </w:p>
    <w:p>
      <w:pPr>
        <w:spacing w:after="120" w:line="276"/>
        <w:jc w:val="both"/>
      </w:pPr>
      <w:r>
        <w:rPr>
          <w:rFonts w:ascii="Barlow Semi Condensed" w:cs="Barlow Semi Condensed" w:eastAsia="Barlow Semi Condensed" w:hAnsi="Barlow Semi Condensed"/>
          <w:sz w:val="24"/>
          <w:szCs w:val="24"/>
        </w:rPr>
        <w:t xml:space="preserve">Blocco trecentonovantaquattro. La fotografia del ritrovamento quale icona: genesi, fortuna e funzione ambivalente nella memoria pubblica: Livello A quale fenomeno documentato.</w:t>
      </w:r>
    </w:p>
    <w:p>
      <w:pPr>
        <w:spacing w:after="120" w:line="276"/>
        <w:jc w:val="both"/>
      </w:pPr>
      <w:r>
        <w:rPr>
          <w:rFonts w:ascii="Barlow Semi Condensed" w:cs="Barlow Semi Condensed" w:eastAsia="Barlow Semi Condensed" w:hAnsi="Barlow Semi Condensed"/>
          <w:sz w:val="24"/>
          <w:szCs w:val="24"/>
        </w:rPr>
        <w:t xml:space="preserve">Blocco trecentonovantacinque. L'ecosistema dietrologico quale oggetto di studio: la teoria del regista unico, la sua circolazione dai primi anni Ottanta e la sua sterilità processuale integrale: Livello A sulla circolazione, Livello C permanente sul contenuto.</w:t>
      </w:r>
    </w:p>
    <w:p>
      <w:pPr>
        <w:spacing w:after="120" w:line="276"/>
        <w:jc w:val="both"/>
      </w:pPr>
      <w:r>
        <w:rPr>
          <w:rFonts w:ascii="Barlow Semi Condensed" w:cs="Barlow Semi Condensed" w:eastAsia="Barlow Semi Condensed" w:hAnsi="Barlow Semi Condensed"/>
          <w:sz w:val="24"/>
          <w:szCs w:val="24"/>
        </w:rPr>
        <w:t xml:space="preserve">Blocco trecentonovantasei. Il dibattito coevo sulla pubblicazione delle lettere e la gestione giornalistica del carteggio quale campo di battaglia parallelo: Livello A quale fenomeno di stampa documentato.</w:t>
      </w:r>
    </w:p>
    <w:p>
      <w:pPr>
        <w:spacing w:after="120" w:line="276"/>
        <w:jc w:val="both"/>
      </w:pPr>
      <w:r>
        <w:rPr>
          <w:rFonts w:ascii="Barlow Semi Condensed" w:cs="Barlow Semi Condensed" w:eastAsia="Barlow Semi Condensed" w:hAnsi="Barlow Semi Condensed"/>
          <w:sz w:val="24"/>
          <w:szCs w:val="24"/>
        </w:rPr>
        <w:t xml:space="preserve">Blocco trecentonovantasette. Il giacimento editoriale: il caso quale evento singolo più scritto della storia repubblicana e il problema epistemologico dell'indistinzione dei gradi nella memoria collettiva: Livello A quale fenomeno, con la funzione correttiva del volume iscritta.</w:t>
      </w:r>
    </w:p>
    <w:p>
      <w:pPr>
        <w:spacing w:after="120" w:line="276"/>
        <w:jc w:val="both"/>
      </w:pPr>
      <w:r>
        <w:rPr>
          <w:rFonts w:ascii="Barlow Semi Condensed" w:cs="Barlow Semi Condensed" w:eastAsia="Barlow Semi Condensed" w:hAnsi="Barlow Semi Condensed"/>
          <w:sz w:val="24"/>
          <w:szCs w:val="24"/>
        </w:rPr>
        <w:t xml:space="preserve">Sinapsi interdominio settimo-decimo: organizzazione, giustizia e inchieste (blocchi trecentonovantotto–quattrocentocinque)</w:t>
      </w:r>
    </w:p>
    <w:p>
      <w:pPr>
        <w:spacing w:after="120" w:line="276"/>
        <w:jc w:val="both"/>
      </w:pPr>
      <w:r>
        <w:rPr>
          <w:rFonts w:ascii="Barlow Semi Condensed" w:cs="Barlow Semi Condensed" w:eastAsia="Barlow Semi Condensed" w:hAnsi="Barlow Semi Condensed"/>
          <w:sz w:val="24"/>
          <w:szCs w:val="24"/>
        </w:rPr>
        <w:t xml:space="preserve">Blocco trecentonovantotto. L'architettura dei cinque cicli di giudizio e la stabilità del quadro dei giudicati: Livello A.</w:t>
      </w:r>
    </w:p>
    <w:p>
      <w:pPr>
        <w:spacing w:after="120" w:line="276"/>
        <w:jc w:val="both"/>
      </w:pPr>
      <w:r>
        <w:rPr>
          <w:rFonts w:ascii="Barlow Semi Condensed" w:cs="Barlow Semi Condensed" w:eastAsia="Barlow Semi Condensed" w:hAnsi="Barlow Semi Condensed"/>
          <w:sz w:val="24"/>
          <w:szCs w:val="24"/>
        </w:rPr>
        <w:t xml:space="preserve">Blocco trecentonovantanove. Le perizie grafiche sull'autenticità del carteggio e la certificazione della lucidità della scrittura: Livello A.</w:t>
      </w:r>
    </w:p>
    <w:p>
      <w:pPr>
        <w:spacing w:after="120" w:line="276"/>
        <w:jc w:val="both"/>
      </w:pPr>
      <w:r>
        <w:rPr>
          <w:rFonts w:ascii="Barlow Semi Condensed" w:cs="Barlow Semi Condensed" w:eastAsia="Barlow Semi Condensed" w:hAnsi="Barlow Semi Condensed"/>
          <w:sz w:val="24"/>
          <w:szCs w:val="24"/>
        </w:rPr>
        <w:t xml:space="preserve">Blocco quattrocento. Le campagne peritali sulla scena, dai rilievi del 1978 alle ricostruzioni strumentali del 2015-2016: stratigrafia tecnica iscritta: Livello A quale sequenza e quale funzione di restringimento dei margini.</w:t>
      </w:r>
    </w:p>
    <w:p>
      <w:pPr>
        <w:spacing w:after="120" w:line="276"/>
        <w:jc w:val="both"/>
      </w:pPr>
      <w:r>
        <w:rPr>
          <w:rFonts w:ascii="Barlow Semi Condensed" w:cs="Barlow Semi Condensed" w:eastAsia="Barlow Semi Condensed" w:hAnsi="Barlow Semi Condensed"/>
          <w:sz w:val="24"/>
          <w:szCs w:val="24"/>
        </w:rPr>
        <w:t xml:space="preserve">Blocco quattrocentouno. La prima Commissione dedicata e il ventaglio delle relazioni di maggioranza e di minoranza quale mappa delle letture coeve: Livello A.</w:t>
      </w:r>
    </w:p>
    <w:p>
      <w:pPr>
        <w:spacing w:after="120" w:line="276"/>
        <w:jc w:val="both"/>
      </w:pPr>
      <w:r>
        <w:rPr>
          <w:rFonts w:ascii="Barlow Semi Condensed" w:cs="Barlow Semi Condensed" w:eastAsia="Barlow Semi Condensed" w:hAnsi="Barlow Semi Condensed"/>
          <w:sz w:val="24"/>
          <w:szCs w:val="24"/>
        </w:rPr>
        <w:t xml:space="preserve">Blocco quattrocentodue. Il Gruppo di lavoro sul caso della Commissione della decima legislatura: dodici resoconti stenografici scansionati per seicentoventuno pagine, presenti nel corpus di progetto quali originali riprodotti: Livello A verificato ora quale giacimento primario interno al corpus.</w:t>
      </w:r>
    </w:p>
    <w:p>
      <w:pPr>
        <w:spacing w:after="120" w:line="276"/>
        <w:jc w:val="both"/>
      </w:pPr>
      <w:r>
        <w:rPr>
          <w:rFonts w:ascii="Barlow Semi Condensed" w:cs="Barlow Semi Condensed" w:eastAsia="Barlow Semi Condensed" w:hAnsi="Barlow Semi Condensed"/>
          <w:sz w:val="24"/>
          <w:szCs w:val="24"/>
        </w:rPr>
        <w:t xml:space="preserve">Blocco quattrocentotré. L'elaborato parlamentare del 29 settembre 2000 sul sequestro e sull'omicidio, presente nel corpus quale estrazione integrale con cronologia essenziale: Livello A verificato ora; la convergenza dei suoi enunciati con la fase quarta del volume è stata saggiata a campione senza divergenze fattuali.</w:t>
      </w:r>
    </w:p>
    <w:p>
      <w:pPr>
        <w:spacing w:after="120" w:line="276"/>
        <w:jc w:val="both"/>
      </w:pPr>
      <w:r>
        <w:rPr>
          <w:rFonts w:ascii="Barlow Semi Condensed" w:cs="Barlow Semi Condensed" w:eastAsia="Barlow Semi Condensed" w:hAnsi="Barlow Semi Condensed"/>
          <w:sz w:val="24"/>
          <w:szCs w:val="24"/>
        </w:rPr>
        <w:t xml:space="preserve">Blocco quattrocentoquattro. La seconda Commissione dedicata, 2014-2017: direttrici, produzione documentale e rendimento — promozioni dal terzo al secondo grado, nessuna al primo: Livello A quale bilancio dei lavori.</w:t>
      </w:r>
    </w:p>
    <w:p>
      <w:pPr>
        <w:spacing w:after="120" w:line="276"/>
        <w:jc w:val="both"/>
      </w:pPr>
      <w:r>
        <w:rPr>
          <w:rFonts w:ascii="Barlow Semi Condensed" w:cs="Barlow Semi Condensed" w:eastAsia="Barlow Semi Condensed" w:hAnsi="Barlow Semi Condensed"/>
          <w:sz w:val="24"/>
          <w:szCs w:val="24"/>
        </w:rPr>
        <w:t xml:space="preserve">Blocco quattrocentocinque. L'asimmetria sanzionatoria del caso: severità con l'indiscrezione, mutismo con l'omissione: Livello A quale aggregato dei giudicati, iscritto quale reperto di sistema.</w:t>
      </w:r>
    </w:p>
    <w:p>
      <w:pPr>
        <w:spacing w:after="120" w:line="276"/>
        <w:jc w:val="both"/>
      </w:pPr>
      <w:r>
        <w:rPr>
          <w:rFonts w:ascii="Barlow Semi Condensed" w:cs="Barlow Semi Condensed" w:eastAsia="Barlow Semi Condensed" w:hAnsi="Barlow Semi Condensed"/>
          <w:sz w:val="24"/>
          <w:szCs w:val="24"/>
        </w:rPr>
        <w:t xml:space="preserve">Sinapsi internazionali: il settimo dominio e il teatro esterno (blocchi quattrocentosei–quattrocentoquindici)</w:t>
      </w:r>
    </w:p>
    <w:p>
      <w:pPr>
        <w:spacing w:after="120" w:line="276"/>
        <w:jc w:val="both"/>
      </w:pPr>
      <w:r>
        <w:rPr>
          <w:rFonts w:ascii="Barlow Semi Condensed" w:cs="Barlow Semi Condensed" w:eastAsia="Barlow Semi Condensed" w:hAnsi="Barlow Semi Condensed"/>
          <w:sz w:val="24"/>
          <w:szCs w:val="24"/>
        </w:rPr>
        <w:t xml:space="preserve">Blocco quattrocentosei. Lo Stato Zero della struttura di collegamento parigina: nessun giudicato ne accerta il ruolo nel caso; la genesi del sodalizio precedente resta certificata al suo grado: Stato Zero sull'ente, Livello A sulla genealogia documentata.</w:t>
      </w:r>
    </w:p>
    <w:p>
      <w:pPr>
        <w:spacing w:after="120" w:line="276"/>
        <w:jc w:val="both"/>
      </w:pPr>
      <w:r>
        <w:rPr>
          <w:rFonts w:ascii="Barlow Semi Condensed" w:cs="Barlow Semi Condensed" w:eastAsia="Barlow Semi Condensed" w:hAnsi="Barlow Semi Condensed"/>
          <w:sz w:val="24"/>
          <w:szCs w:val="24"/>
        </w:rPr>
        <w:t xml:space="preserve">Blocco quattrocentosette. Le missioni italiane dell'agenzia di Lisbona nel biennio 1967-1968 e la priorità temporale contatto-evento certificata dalle carte del fondo portoghese: Livello A sulle carte, Livello B sulla portata operativa: la direzione portoghese consegnata dalla sesta tranche è onorata in questa sede per il segmento moroteo-stragista.</w:t>
      </w:r>
    </w:p>
    <w:p>
      <w:pPr>
        <w:spacing w:after="120" w:line="276"/>
        <w:jc w:val="both"/>
      </w:pPr>
      <w:r>
        <w:rPr>
          <w:rFonts w:ascii="Barlow Semi Condensed" w:cs="Barlow Semi Condensed" w:eastAsia="Barlow Semi Condensed" w:hAnsi="Barlow Semi Condensed"/>
          <w:sz w:val="24"/>
          <w:szCs w:val="24"/>
        </w:rPr>
        <w:t xml:space="preserve">Blocco quattrocentotto. Il campo orientale quale ambiente documentato del terrorismo di sinistra — formazione, santuari, contiguità — senza mandato accertato per il caso: Livello B sull'ambiente, Stato Zero sul mandato, coerente con l'elaborato sull'ombra orientale presente nel corpus.</w:t>
      </w:r>
    </w:p>
    <w:p>
      <w:pPr>
        <w:spacing w:after="120" w:line="276"/>
        <w:jc w:val="both"/>
      </w:pPr>
      <w:r>
        <w:rPr>
          <w:rFonts w:ascii="Barlow Semi Condensed" w:cs="Barlow Semi Condensed" w:eastAsia="Barlow Semi Condensed" w:hAnsi="Barlow Semi Condensed"/>
          <w:sz w:val="24"/>
          <w:szCs w:val="24"/>
        </w:rPr>
        <w:t xml:space="preserve">Blocco quattrocentonove. La cornice mediterranea riservata quale condizione permanente del quadrante nel decennio: Livello A quale cornice, senza conversione in movente.</w:t>
      </w:r>
    </w:p>
    <w:p>
      <w:pPr>
        <w:spacing w:after="120" w:line="276"/>
        <w:jc w:val="both"/>
      </w:pPr>
      <w:r>
        <w:rPr>
          <w:rFonts w:ascii="Barlow Semi Condensed" w:cs="Barlow Semi Condensed" w:eastAsia="Barlow Semi Condensed" w:hAnsi="Barlow Semi Condensed"/>
          <w:sz w:val="24"/>
          <w:szCs w:val="24"/>
        </w:rPr>
        <w:t xml:space="preserve">Blocco quattrocentodieci. Il manuale supplementare attribuito e la sua circolazione italiana: Livello A sulla circolazione, Livello C sulla paternità, invariato rispetto al volume.</w:t>
      </w:r>
    </w:p>
    <w:p>
      <w:pPr>
        <w:spacing w:after="120" w:line="276"/>
        <w:jc w:val="both"/>
      </w:pPr>
      <w:r>
        <w:rPr>
          <w:rFonts w:ascii="Barlow Semi Condensed" w:cs="Barlow Semi Condensed" w:eastAsia="Barlow Semi Condensed" w:hAnsi="Barlow Semi Condensed"/>
          <w:sz w:val="24"/>
          <w:szCs w:val="24"/>
        </w:rPr>
        <w:t xml:space="preserve">Blocco quattrocentoundici. La cornice della distensione e della conferenza paneuropea quale contesto strategico del 1978: Livello A quale cornice storica.</w:t>
      </w:r>
    </w:p>
    <w:p>
      <w:pPr>
        <w:spacing w:after="120" w:line="276"/>
        <w:jc w:val="both"/>
      </w:pPr>
      <w:r>
        <w:rPr>
          <w:rFonts w:ascii="Barlow Semi Condensed" w:cs="Barlow Semi Condensed" w:eastAsia="Barlow Semi Condensed" w:hAnsi="Barlow Semi Condensed"/>
          <w:sz w:val="24"/>
          <w:szCs w:val="24"/>
        </w:rPr>
        <w:t xml:space="preserve">Blocco quattrocentododici. Il rapporto congressuale d'oltreoceano sui finanziamenti riservati e la doppia sovranità della medesima notizia: Livello A quale atto del rapporto.</w:t>
      </w:r>
    </w:p>
    <w:p>
      <w:pPr>
        <w:spacing w:after="120" w:line="276"/>
        <w:jc w:val="both"/>
      </w:pPr>
      <w:r>
        <w:rPr>
          <w:rFonts w:ascii="Barlow Semi Condensed" w:cs="Barlow Semi Condensed" w:eastAsia="Barlow Semi Condensed" w:hAnsi="Barlow Semi Condensed"/>
          <w:sz w:val="24"/>
          <w:szCs w:val="24"/>
        </w:rPr>
        <w:t xml:space="preserve">Blocco quattrocentotredici. La minaccia riferita dal prigioniero e dalla vedova quanto agli avvertimenti ricevuti oltreoceano: convergenza dichiarativa di fonti familiari e memoriali: Livello B dichiarativo, Livello C quanto ad ogni lettura causale.</w:t>
      </w:r>
    </w:p>
    <w:p>
      <w:pPr>
        <w:spacing w:after="120" w:line="276"/>
        <w:jc w:val="both"/>
      </w:pPr>
      <w:r>
        <w:rPr>
          <w:rFonts w:ascii="Barlow Semi Condensed" w:cs="Barlow Semi Condensed" w:eastAsia="Barlow Semi Condensed" w:hAnsi="Barlow Semi Condensed"/>
          <w:sz w:val="24"/>
          <w:szCs w:val="24"/>
        </w:rPr>
        <w:t xml:space="preserve">Blocco quattrocentoquattordici. Il santuario transalpino quale moratoria di fatto sulle estradizioni per un ventennio: Livello A quale prassi documentata, con l'epilogo del nuovo secolo iscritto.</w:t>
      </w:r>
    </w:p>
    <w:p>
      <w:pPr>
        <w:spacing w:after="120" w:line="276"/>
        <w:jc w:val="both"/>
      </w:pPr>
      <w:r>
        <w:rPr>
          <w:rFonts w:ascii="Barlow Semi Condensed" w:cs="Barlow Semi Condensed" w:eastAsia="Barlow Semi Condensed" w:hAnsi="Barlow Semi Condensed"/>
          <w:sz w:val="24"/>
          <w:szCs w:val="24"/>
        </w:rPr>
        <w:t xml:space="preserve">Blocco quattrocentoquindici. Stato Zero internazionale complessivo: nessun cittadino, apparato o governo straniero è mai stato imputato per il caso in alcuna giurisdizione: Stato Zero certificato, quale limite costitutivo della giustizia territoriale davanti a fatti transnazionali.</w:t>
      </w:r>
    </w:p>
    <w:p>
      <w:pPr>
        <w:spacing w:after="120" w:line="276"/>
        <w:jc w:val="both"/>
      </w:pPr>
      <w:r>
        <w:rPr>
          <w:rFonts w:ascii="Barlow Semi Condensed" w:cs="Barlow Semi Condensed" w:eastAsia="Barlow Semi Condensed" w:hAnsi="Barlow Semi Condensed"/>
          <w:sz w:val="24"/>
          <w:szCs w:val="24"/>
        </w:rPr>
        <w:t xml:space="preserve">Triangolazione documentale con il corpus di progetto (blocchi quattrocentosedici–quattrocentoventicinque)</w:t>
      </w:r>
    </w:p>
    <w:p>
      <w:pPr>
        <w:spacing w:after="120" w:line="276"/>
        <w:jc w:val="both"/>
      </w:pPr>
      <w:r>
        <w:rPr>
          <w:rFonts w:ascii="Barlow Semi Condensed" w:cs="Barlow Semi Condensed" w:eastAsia="Barlow Semi Condensed" w:hAnsi="Barlow Semi Condensed"/>
          <w:sz w:val="24"/>
          <w:szCs w:val="24"/>
        </w:rPr>
        <w:t xml:space="preserve">Blocco quattrocentosedici. Il dataset testuale integrale degli scritti: milleseessantadue documenti dal 1932 al 6 marzo 1978, ordinati cronologicamente: Livello A quale giacimento; la circostanza che l'ultimo documento libero preceda di dieci giorni l'agguato è iscritta quale confine naturale del corpus della voce.</w:t>
      </w:r>
    </w:p>
    <w:p>
      <w:pPr>
        <w:spacing w:after="120" w:line="276"/>
        <w:jc w:val="both"/>
      </w:pPr>
      <w:r>
        <w:rPr>
          <w:rFonts w:ascii="Barlow Semi Condensed" w:cs="Barlow Semi Condensed" w:eastAsia="Barlow Semi Condensed" w:hAnsi="Barlow Semi Condensed"/>
          <w:sz w:val="24"/>
          <w:szCs w:val="24"/>
        </w:rPr>
        <w:t xml:space="preserve">Blocco quattrocentodiciassette. L'edizione delle lettere dalla prigionia presente nel corpus quale riproduzione: la natura del supporto e l'assenza di uno strato testuale estraibile verificato in questa sessione sono iscritte; la lavorazione per riconoscimento ottico è pendenza dichiarata: Livello A quale esistenza e natura del reperto.</w:t>
      </w:r>
    </w:p>
    <w:p>
      <w:pPr>
        <w:spacing w:after="120" w:line="276"/>
        <w:jc w:val="both"/>
      </w:pPr>
      <w:r>
        <w:rPr>
          <w:rFonts w:ascii="Barlow Semi Condensed" w:cs="Barlow Semi Condensed" w:eastAsia="Barlow Semi Condensed" w:hAnsi="Barlow Semi Condensed"/>
          <w:sz w:val="24"/>
          <w:szCs w:val="24"/>
        </w:rPr>
        <w:t xml:space="preserve">Blocco quattrocentodiciotto. La relazione della prima Commissione presente nel corpus quale riproduzione documentale nelle medesime condizioni di supporto: Livello A quale esistenza, pendenza di lavorazione identica.</w:t>
      </w:r>
    </w:p>
    <w:p>
      <w:pPr>
        <w:spacing w:after="120" w:line="276"/>
        <w:jc w:val="both"/>
      </w:pPr>
      <w:r>
        <w:rPr>
          <w:rFonts w:ascii="Barlow Semi Condensed" w:cs="Barlow Semi Condensed" w:eastAsia="Barlow Semi Condensed" w:hAnsi="Barlow Semi Condensed"/>
          <w:sz w:val="24"/>
          <w:szCs w:val="24"/>
        </w:rPr>
        <w:t xml:space="preserve">Blocco quattrocentodiciannove. La bibliografia morotea presente nel corpus quale censimento del giacimento editoriale: Livello A quale strumento, coerente con il blocco sul monumento cartaceo.</w:t>
      </w:r>
    </w:p>
    <w:p>
      <w:pPr>
        <w:spacing w:after="120" w:line="276"/>
        <w:jc w:val="both"/>
      </w:pPr>
      <w:r>
        <w:rPr>
          <w:rFonts w:ascii="Barlow Semi Condensed" w:cs="Barlow Semi Condensed" w:eastAsia="Barlow Semi Condensed" w:hAnsi="Barlow Semi Condensed"/>
          <w:sz w:val="24"/>
          <w:szCs w:val="24"/>
        </w:rPr>
        <w:t xml:space="preserve">Blocco quattrocentoventi. Il materiale ricostruttivo sull'agguato presente nel corpus quale supporto divulgativo-didattico: Livello B quale natura, con uso limitato al riscontro di coerenza.</w:t>
      </w:r>
    </w:p>
    <w:p>
      <w:pPr>
        <w:spacing w:after="120" w:line="276"/>
        <w:jc w:val="both"/>
      </w:pPr>
      <w:r>
        <w:rPr>
          <w:rFonts w:ascii="Barlow Semi Condensed" w:cs="Barlow Semi Condensed" w:eastAsia="Barlow Semi Condensed" w:hAnsi="Barlow Semi Condensed"/>
          <w:sz w:val="24"/>
          <w:szCs w:val="24"/>
        </w:rPr>
        <w:t xml:space="preserve">Blocco quattrocentoventuno. L'elaborato del Tomo sesto quale fonte-architrave già mobilitata nei blocchi precedenti: il suo statuto di estrazione integrale da atto parlamentare è confermato: Livello A.</w:t>
      </w:r>
    </w:p>
    <w:p>
      <w:pPr>
        <w:spacing w:after="120" w:line="276"/>
        <w:jc w:val="both"/>
      </w:pPr>
      <w:r>
        <w:rPr>
          <w:rFonts w:ascii="Barlow Semi Condensed" w:cs="Barlow Semi Condensed" w:eastAsia="Barlow Semi Condensed" w:hAnsi="Barlow Semi Condensed"/>
          <w:sz w:val="24"/>
          <w:szCs w:val="24"/>
        </w:rPr>
        <w:t xml:space="preserve">Blocco quattrocentoventidue. La famiglia dei registri federati del caso nel corpus — analitico nelle edizioni successive, di scavo, speculare, genetico — con codice relazionale e protocollo dei passaggi: Livello A quale architettura documentale; la riconciliazione con il volume è pendenza consegnata all'ottava tranche.</w:t>
      </w:r>
    </w:p>
    <w:p>
      <w:pPr>
        <w:spacing w:after="120" w:line="276"/>
        <w:jc w:val="both"/>
      </w:pPr>
      <w:r>
        <w:rPr>
          <w:rFonts w:ascii="Barlow Semi Condensed" w:cs="Barlow Semi Condensed" w:eastAsia="Barlow Semi Condensed" w:hAnsi="Barlow Semi Condensed"/>
          <w:sz w:val="24"/>
          <w:szCs w:val="24"/>
        </w:rPr>
        <w:t xml:space="preserve">Blocco quattrocentoventitré. La scheda approfondita sulla relazione conclusiva del Tomo terzo presente nel corpus: Livello A quale strumento di raccordo tra le fonti parlamentari.</w:t>
      </w:r>
    </w:p>
    <w:p>
      <w:pPr>
        <w:spacing w:after="120" w:line="276"/>
        <w:jc w:val="both"/>
      </w:pPr>
      <w:r>
        <w:rPr>
          <w:rFonts w:ascii="Barlow Semi Condensed" w:cs="Barlow Semi Condensed" w:eastAsia="Barlow Semi Condensed" w:hAnsi="Barlow Semi Condensed"/>
          <w:sz w:val="24"/>
          <w:szCs w:val="24"/>
        </w:rPr>
        <w:t xml:space="preserve">Blocco quattrocentoventiquattro. Le tavole di triangolazione sull'armamento dell'esecuzione e sui bossoli: Livello A quale esistenza degli strumenti; i contenuti restano al grado delle rispettive fonti peritali.</w:t>
      </w:r>
    </w:p>
    <w:p>
      <w:pPr>
        <w:spacing w:after="120" w:line="276"/>
        <w:jc w:val="both"/>
      </w:pPr>
      <w:r>
        <w:rPr>
          <w:rFonts w:ascii="Barlow Semi Condensed" w:cs="Barlow Semi Condensed" w:eastAsia="Barlow Semi Condensed" w:hAnsi="Barlow Semi Condensed"/>
          <w:sz w:val="24"/>
          <w:szCs w:val="24"/>
        </w:rPr>
        <w:t xml:space="preserve">Blocco quattrocentoventicinque. Le ricognizioni sulle armi corte della stagione — le serie sul modello tedesco e sul modello nazionale — quali strumenti di cascata balistica: Livello B quale apparato ricognitivo, con divieto d'uso probatorio autonomo.</w:t>
      </w:r>
    </w:p>
    <w:p>
      <w:pPr>
        <w:spacing w:after="120" w:line="276"/>
        <w:jc w:val="both"/>
      </w:pPr>
      <w:r>
        <w:rPr>
          <w:rFonts w:ascii="Barlow Semi Condensed" w:cs="Barlow Semi Condensed" w:eastAsia="Barlow Semi Condensed" w:hAnsi="Barlow Semi Condensed"/>
          <w:sz w:val="24"/>
          <w:szCs w:val="24"/>
        </w:rPr>
        <w:t xml:space="preserve">Cascata verso i blocchi certificati (blocchi quattrocentoventisei–quattrocentotrentuno)</w:t>
      </w:r>
    </w:p>
    <w:p>
      <w:pPr>
        <w:spacing w:after="120" w:line="276"/>
        <w:jc w:val="both"/>
      </w:pPr>
      <w:r>
        <w:rPr>
          <w:rFonts w:ascii="Barlow Semi Condensed" w:cs="Barlow Semi Condensed" w:eastAsia="Barlow Semi Condensed" w:hAnsi="Barlow Semi Condensed"/>
          <w:sz w:val="24"/>
          <w:szCs w:val="24"/>
        </w:rPr>
        <w:t xml:space="preserve">Blocco quattrocentoventisei. Bologna: le certificazioni della terza tranche sull'esecuzione e sul finanziamento e la fase terza del volume convergono senza residui: già certificato, coerenza verificata ora.</w:t>
      </w:r>
    </w:p>
    <w:p>
      <w:pPr>
        <w:spacing w:after="120" w:line="276"/>
        <w:jc w:val="both"/>
      </w:pPr>
      <w:r>
        <w:rPr>
          <w:rFonts w:ascii="Barlow Semi Condensed" w:cs="Barlow Semi Condensed" w:eastAsia="Barlow Semi Condensed" w:hAnsi="Barlow Semi Condensed"/>
          <w:sz w:val="24"/>
          <w:szCs w:val="24"/>
        </w:rPr>
        <w:t xml:space="preserve">Blocco quattrocentoventisette. L'omicidio del presidente della Regione siciliana: la matrice accertata, le assoluzioni della pista nera e la riapertura con depistaggio contestato, certificati nella terza tranche, coincidono con il decimo capitolo della fase terza del volume: già certificato, coerenza verificata ora.</w:t>
      </w:r>
    </w:p>
    <w:p>
      <w:pPr>
        <w:spacing w:after="120" w:line="276"/>
        <w:jc w:val="both"/>
      </w:pPr>
      <w:r>
        <w:rPr>
          <w:rFonts w:ascii="Barlow Semi Condensed" w:cs="Barlow Semi Condensed" w:eastAsia="Barlow Semi Condensed" w:hAnsi="Barlow Semi Condensed"/>
          <w:sz w:val="24"/>
          <w:szCs w:val="24"/>
        </w:rPr>
        <w:t xml:space="preserve">Blocco quattrocentoventotto. La banda capitolina quale cerniera crimine-eversione: il blocco della terza tranche e i capitoli romani del volume sono reciprocamente coerenti: già certificato.</w:t>
      </w:r>
    </w:p>
    <w:p>
      <w:pPr>
        <w:spacing w:after="120" w:line="276"/>
        <w:jc w:val="both"/>
      </w:pPr>
      <w:r>
        <w:rPr>
          <w:rFonts w:ascii="Barlow Semi Condensed" w:cs="Barlow Semi Condensed" w:eastAsia="Barlow Semi Condensed" w:hAnsi="Barlow Semi Condensed"/>
          <w:sz w:val="24"/>
          <w:szCs w:val="24"/>
        </w:rPr>
        <w:t xml:space="preserve">Blocco quattrocentoventinove. La loggia quale piattaforma: le certificazioni delle tranche prima e quinta reggono l'impiego che il volume ne fa per i cinquantacinque giorni: già certificato.</w:t>
      </w:r>
    </w:p>
    <w:p>
      <w:pPr>
        <w:spacing w:after="120" w:line="276"/>
        <w:jc w:val="both"/>
      </w:pPr>
      <w:r>
        <w:rPr>
          <w:rFonts w:ascii="Barlow Semi Condensed" w:cs="Barlow Semi Condensed" w:eastAsia="Barlow Semi Condensed" w:hAnsi="Barlow Semi Condensed"/>
          <w:sz w:val="24"/>
          <w:szCs w:val="24"/>
        </w:rPr>
        <w:t xml:space="preserve">Blocco quattrocentotrenta. L'orizzonte eurasiatista della seconda tranche non interseca il perimetro cronologico del volume: l'incrocio resta prospettico e dichiarato: Livello C quale ponte di ricerca, non quale connessione.</w:t>
      </w:r>
    </w:p>
    <w:p>
      <w:pPr>
        <w:spacing w:after="120" w:line="276"/>
        <w:jc w:val="both"/>
      </w:pPr>
      <w:r>
        <w:rPr>
          <w:rFonts w:ascii="Barlow Semi Condensed" w:cs="Barlow Semi Condensed" w:eastAsia="Barlow Semi Condensed" w:hAnsi="Barlow Semi Condensed"/>
          <w:sz w:val="24"/>
          <w:szCs w:val="24"/>
        </w:rPr>
        <w:t xml:space="preserve">Blocco quattrocentotrentuno. Il coordinamento repressivo australe certificato nelle tranche precedenti e la fase quinta del volume richiamano i medesimi giudicati: coerenza piena: già certificato.</w:t>
      </w:r>
    </w:p>
    <w:p>
      <w:pPr>
        <w:spacing w:after="120" w:line="276"/>
        <w:jc w:val="both"/>
      </w:pPr>
      <w:r>
        <w:rPr>
          <w:rFonts w:ascii="Barlow Semi Condensed" w:cs="Barlow Semi Condensed" w:eastAsia="Barlow Semi Condensed" w:hAnsi="Barlow Semi Condensed"/>
          <w:sz w:val="24"/>
          <w:szCs w:val="24"/>
        </w:rPr>
        <w:t xml:space="preserve">Stati Zero e pendenze della tranche (blocchi quattrocentotrentadue–quattrocentotrentacinque)</w:t>
      </w:r>
    </w:p>
    <w:p>
      <w:pPr>
        <w:spacing w:after="120" w:line="276"/>
        <w:jc w:val="both"/>
      </w:pPr>
      <w:r>
        <w:rPr>
          <w:rFonts w:ascii="Barlow Semi Condensed" w:cs="Barlow Semi Condensed" w:eastAsia="Barlow Semi Condensed" w:hAnsi="Barlow Semi Condensed"/>
          <w:sz w:val="24"/>
          <w:szCs w:val="24"/>
        </w:rPr>
        <w:t xml:space="preserve">Blocco quattrocentotrentadue. Esito di coerenza: nessuna contraddizione fattuale tra il volume-innesco, il corpus di progetto campionato e i trecentotrentotto blocchi certificati è emersa dalla campagna: esito iscritto quale risultato, non quale prova di completezza.</w:t>
      </w:r>
    </w:p>
    <w:p>
      <w:pPr>
        <w:spacing w:after="120" w:line="276"/>
        <w:jc w:val="both"/>
      </w:pPr>
      <w:r>
        <w:rPr>
          <w:rFonts w:ascii="Barlow Semi Condensed" w:cs="Barlow Semi Condensed" w:eastAsia="Barlow Semi Condensed" w:hAnsi="Barlow Semi Condensed"/>
          <w:sz w:val="24"/>
          <w:szCs w:val="24"/>
        </w:rPr>
        <w:t xml:space="preserve">Blocco quattrocentotrentatré. Stato Zero semantico: il memoriale autentico non nomina la struttura di collegamento parigina né i suoi animatori: il silenzio del documento è iscritto quale reperto al suo grado: Stato Zero documentale.</w:t>
      </w:r>
    </w:p>
    <w:p>
      <w:pPr>
        <w:spacing w:after="120" w:line="276"/>
        <w:jc w:val="both"/>
      </w:pPr>
      <w:r>
        <w:rPr>
          <w:rFonts w:ascii="Barlow Semi Condensed" w:cs="Barlow Semi Condensed" w:eastAsia="Barlow Semi Condensed" w:hAnsi="Barlow Semi Condensed"/>
          <w:sz w:val="24"/>
          <w:szCs w:val="24"/>
        </w:rPr>
        <w:t xml:space="preserve">Blocco quattrocentotrentaquattro. Stato Zero negoziale: nessun documento del corpus attesta una trattativa di Stato conclusa o un accordo perfezionato per la liberazione: Stato Zero certificato, distinto dai canali esplorati che restano ai loro gradi.</w:t>
      </w:r>
    </w:p>
    <w:p>
      <w:pPr>
        <w:spacing w:after="120" w:line="276"/>
        <w:jc w:val="both"/>
      </w:pPr>
      <w:r>
        <w:rPr>
          <w:rFonts w:ascii="Barlow Semi Condensed" w:cs="Barlow Semi Condensed" w:eastAsia="Barlow Semi Condensed" w:hAnsi="Barlow Semi Condensed"/>
          <w:sz w:val="24"/>
          <w:szCs w:val="24"/>
        </w:rPr>
        <w:t xml:space="preserve">Blocco quattrocentotrentacinque. Pendenze dichiarate: la lavorazione per riconoscimento ottico delle riproduzioni morotee; la riconciliazione della federazione registrale quintupla; le direzioni ereditate dalla sesta tranche non intercettate da questo innesco; la verifica voce per voce del dataset testuale: consegnate.</w:t>
      </w:r>
    </w:p>
    <w:p>
      <w:pPr>
        <w:spacing w:after="120" w:line="276"/>
        <w:jc w:val="both"/>
      </w:pPr>
      <w:r>
        <w:rPr>
          <w:rFonts w:ascii="Barlow Semi Condensed" w:cs="Barlow Semi Condensed" w:eastAsia="Barlow Semi Condensed" w:hAnsi="Barlow Semi Condensed"/>
          <w:sz w:val="24"/>
          <w:szCs w:val="24"/>
        </w:rPr>
        <w:t xml:space="preserve">Verdetto della tranche e aggiornamento della matrice (blocchi quattrocentotrentasei–quattrocentotrentotto)</w:t>
      </w:r>
    </w:p>
    <w:p>
      <w:pPr>
        <w:spacing w:after="120" w:line="276"/>
        <w:jc w:val="both"/>
      </w:pPr>
      <w:r>
        <w:rPr>
          <w:rFonts w:ascii="Barlow Semi Condensed" w:cs="Barlow Semi Condensed" w:eastAsia="Barlow Semi Condensed" w:hAnsi="Barlow Semi Condensed"/>
          <w:sz w:val="24"/>
          <w:szCs w:val="24"/>
        </w:rPr>
        <w:t xml:space="preserve">Blocco quattrocentotrentasei. Aggiornamento ACH: il caso documentato dal volume — pluralità di sinapsi certificate su tutti i domini, assenza di regista unitario giudizialmente accertato — è coerente con l'ipotesi della convergenza policentrica e incoerente con la forma forte del disegno unitario, che ne esce ulteriormente indebolita; l'ipotesi delle due internazionali non riceve apporto diretto e resta al terzo grado con i vantaggi già registrati: matrice aggiornata.</w:t>
      </w:r>
    </w:p>
    <w:p>
      <w:pPr>
        <w:spacing w:after="120" w:line="276"/>
        <w:jc w:val="both"/>
      </w:pPr>
      <w:r>
        <w:rPr>
          <w:rFonts w:ascii="Barlow Semi Condensed" w:cs="Barlow Semi Condensed" w:eastAsia="Barlow Semi Condensed" w:hAnsi="Barlow Semi Condensed"/>
          <w:sz w:val="24"/>
          <w:szCs w:val="24"/>
        </w:rPr>
        <w:t xml:space="preserve">Blocco quattrocentotrentasette. Verdetto metodologico: il caso quale esperimento cruciale della lettura neurale — l'unico evento del corpus con tutti i dieci strati simultaneamente attivi — ha retto l'applicazione integrale della gradazione, della Regola Ferrea e dello Stato Zero: Livello A quale tenuta del metodo sul banco di prova massimo.</w:t>
      </w:r>
    </w:p>
    <w:p>
      <w:pPr>
        <w:spacing w:after="120" w:line="276"/>
        <w:jc w:val="both"/>
      </w:pPr>
      <w:r>
        <w:rPr>
          <w:rFonts w:ascii="Barlow Semi Condensed" w:cs="Barlow Semi Condensed" w:eastAsia="Barlow Semi Condensed" w:hAnsi="Barlow Semi Condensed"/>
          <w:sz w:val="24"/>
          <w:szCs w:val="24"/>
        </w:rPr>
        <w:t xml:space="preserve">Blocco quattrocentotrentotto. Consegne all'ottava tranche: le direzioni ereditate dalla sesta — la riconciliazione delle serie del registro lisboeta, gli indici orientali, la parte prima del censimento, la continuità delle numerazioni, la verifica ipertestuale a campione — più le pendenze proprie di questa: la lavorazione ottica delle riproduzioni, la riconciliazione della federazione morotea, il vaglio campionario del dataset testuale contro le citazioni del volume: iscritte.</w:t>
      </w:r>
    </w:p>
    <w:p>
      <w:pPr>
        <w:spacing w:after="120" w:line="276"/>
        <w:jc w:val="both"/>
      </w:pPr>
      <w:r>
        <w:rPr>
          <w:rFonts w:ascii="Barlow Semi Condensed" w:cs="Barlow Semi Condensed" w:eastAsia="Barlow Semi Condensed" w:hAnsi="Barlow Semi Condensed"/>
          <w:sz w:val="24"/>
          <w:szCs w:val="24"/>
        </w:rPr>
        <w:t xml:space="preserve">12.7 — Rilievi per le persone viventi e chiusa della settima tranche</w:t>
      </w:r>
    </w:p>
    <w:p>
      <w:pPr>
        <w:spacing w:after="120" w:line="276"/>
        <w:jc w:val="both"/>
      </w:pPr>
      <w:r>
        <w:rPr>
          <w:rFonts w:ascii="Barlow Semi Condensed" w:cs="Barlow Semi Condensed" w:eastAsia="Barlow Semi Condensed" w:hAnsi="Barlow Semi Condensed"/>
          <w:sz w:val="24"/>
          <w:szCs w:val="24"/>
        </w:rPr>
        <w:t xml:space="preserve">Le formulazioni vincolanti delle tranche precedenti restano integralmente in vigore. Questa tranche vi aggiunge le cautele proprie del perimetro moroteo: per le persone viventi menzionate quali protagonisti di canali, audizioni o filiere valgono i soli fatti risultanti da atti parlamentari e giudiziari pubblici, senza estensioni; per i condannati definitivi valgono i giudicati richiamati e nulla oltre; per i defunti non più giudicabili resta lo statuto obbligatorio già fissato, con le assoluzioni definitive sempre riportate per esteso dove menzionate; la risultanza negli elenchi della loggia vale quale dato documentale di iscrizione e non fonda, da sola, alcuna condotta; le ipotesi della seconda Commissione restano al grado dichiarato e la loro menzione non equivale ad accusa verso alcuno.</w:t>
      </w:r>
    </w:p>
    <w:p>
      <w:pPr>
        <w:spacing w:after="120" w:line="276"/>
        <w:jc w:val="both"/>
      </w:pPr>
      <w:r>
        <w:rPr>
          <w:rFonts w:ascii="Barlow Semi Condensed" w:cs="Barlow Semi Condensed" w:eastAsia="Barlow Semi Condensed" w:hAnsi="Barlow Semi Condensed"/>
          <w:sz w:val="24"/>
          <w:szCs w:val="24"/>
        </w:rPr>
        <w:t xml:space="preserve">La settima tranche porta il registro a quattrocentotrentotto blocchi certificati. Il volume «Aldo Moro — Una Pace senza Pace» è stato triangolato contro il corpus di progetto e contro le sei tranche precedenti senza che emergesse una sola contraddizione fattuale certificata; le sue milleseicentonovanta gradazioni interne hanno retto il campionamento esterno; i suoi Stati Zero sono stati confermati quali risultati e non quali lacune. La lettura neurale ha restituito l'immagine che la matrice delle ipotesi registra: un sistema a sinapsi dense e a regia assente, dove ogni dominio toccò il caso e nessun dominio, allo stato dei giudicati, lo diresse. Il registro consegna all'ottava tranche le pendenze iscritte e resta, per statuto, aperto.</w:t>
      </w:r>
    </w:p>
    <w:p>
      <w:pPr>
        <w:pStyle w:val="Heading3"/>
        <w:spacing w:after="80" w:before="160"/>
      </w:pPr>
      <w:r>
        <w:rPr>
          <w:rFonts w:ascii="Barlow Semi Condensed" w:cs="Barlow Semi Condensed" w:eastAsia="Barlow Semi Condensed" w:hAnsi="Barlow Semi Condensed"/>
          <w:sz w:val="24"/>
          <w:szCs w:val="24"/>
        </w:rPr>
        <w:t xml:space="preserve">FASE XIII — OTTAVA TRANCHE: L'ESTRAZIONE INTEGRALE. TRIANGOLAZIONE COMPUTAZIONALE DEL CORPUS, DELLA MEMORIA OPERATIVA E DELLA CATENA DI CUSTODIA</w:t>
      </w:r>
    </w:p>
    <w:p>
      <w:pPr>
        <w:spacing w:after="120" w:line="276"/>
        <w:jc w:val="both"/>
      </w:pPr>
      <w:r>
        <w:rPr>
          <w:rFonts w:ascii="Barlow Semi Condensed" w:cs="Barlow Semi Condensed" w:eastAsia="Barlow Semi Condensed" w:hAnsi="Barlow Semi Condensed"/>
          <w:sz w:val="24"/>
          <w:szCs w:val="24"/>
        </w:rPr>
        <w:t xml:space="preserve">13.1 — Oggetto della tranche, triplice sorgente e mandato</w:t>
      </w:r>
    </w:p>
    <w:p>
      <w:pPr>
        <w:spacing w:after="120" w:line="276"/>
        <w:jc w:val="both"/>
      </w:pPr>
      <w:r>
        <w:rPr>
          <w:rFonts w:ascii="Barlow Semi Condensed" w:cs="Barlow Semi Condensed" w:eastAsia="Barlow Semi Condensed" w:hAnsi="Barlow Semi Condensed"/>
          <w:sz w:val="24"/>
          <w:szCs w:val="24"/>
        </w:rPr>
        <w:t xml:space="preserve">L'ottava tranche esegue il mandato dell'estrazione integrale triangolando tre sorgenti dichiarate: le Conoscenze del progetto, censite per via computazionale nella loro interezza fisica e campionate in profondità sui giacimenti maggiori; la Memoria Operativa del progetto, con le sue ipotesi registrate, i suoi protocolli vincolanti e le sue pendenze; e gli strumenti computazionali stessi, assunti quali fonte di terzo tipo per le metriche, le impronte e la catena di custodia della lavorazione. La tranche onora le direzioni ereditate dalla sesta e le pendenze consegnate dalla settima, ne scioglie alcune per verifica diretta, ne rettifica una per accertamento sopravvenuto — esercitando la falsificabilità del registro su sé stesso — e ne consegna le residue alla nona. L'esito è iscritto in cento blocchi nuovi, dal quattrocentotrentanovesimo al cinquecentotrentottesimo.</w:t>
      </w:r>
    </w:p>
    <w:p>
      <w:pPr>
        <w:spacing w:after="120" w:line="276"/>
        <w:jc w:val="both"/>
      </w:pPr>
      <w:r>
        <w:rPr>
          <w:rFonts w:ascii="Barlow Semi Condensed" w:cs="Barlow Semi Condensed" w:eastAsia="Barlow Semi Condensed" w:hAnsi="Barlow Semi Condensed"/>
          <w:sz w:val="24"/>
          <w:szCs w:val="24"/>
        </w:rPr>
        <w:t xml:space="preserve">13.2 — Il censimento computazionale integrale</w:t>
      </w:r>
    </w:p>
    <w:p>
      <w:pPr>
        <w:spacing w:after="120" w:line="276"/>
        <w:jc w:val="both"/>
      </w:pPr>
      <w:r>
        <w:rPr>
          <w:rFonts w:ascii="Barlow Semi Condensed" w:cs="Barlow Semi Condensed" w:eastAsia="Barlow Semi Condensed" w:hAnsi="Barlow Semi Condensed"/>
          <w:sz w:val="24"/>
          <w:szCs w:val="24"/>
        </w:rPr>
        <w:t xml:space="preserve">Il corpus di progetto è stato censito nella sua interezza fisica: quattrocentosessantasette file per settecentosettantadue megabyte complessivi, ripartiti in duecentoquattordici documenti in formato di testo strutturato, duecentotredici in formato di riproduzione, quattordici testi semplici, cinque documenti in notazione leggera, diciotto tavole, un foglio a valori separati e due programmi di lavorazione. La verifica di natura ha accertato che l'intero comparto dei documenti strutturati e una parte sostanziale delle riproduzioni sono conservati quale testo piano integralmente estraibile: la lettura computazionale diretta ha restituito duecentotrentasei file testuali per un totale di sei milioni centoquarantottomila duecentonovantasette parole estratte, cui si aggiungono i giacimenti in riproduzione veri. Nessun censimento manuale avrebbe potuto produrre queste metriche: esse costituiscono la base quantitativa di tutti i blocchi che seguono.</w:t>
      </w:r>
    </w:p>
    <w:p>
      <w:pPr>
        <w:spacing w:after="120" w:line="276"/>
        <w:jc w:val="both"/>
      </w:pPr>
      <w:r>
        <w:rPr>
          <w:rFonts w:ascii="Barlow Semi Condensed" w:cs="Barlow Semi Condensed" w:eastAsia="Barlow Semi Condensed" w:hAnsi="Barlow Semi Condensed"/>
          <w:sz w:val="24"/>
          <w:szCs w:val="24"/>
        </w:rPr>
        <w:t xml:space="preserve">13.3 — Le direzioni ereditate: esiti in sintesi</w:t>
      </w:r>
    </w:p>
    <w:p>
      <w:pPr>
        <w:spacing w:after="120" w:line="276"/>
        <w:jc w:val="both"/>
      </w:pPr>
      <w:r>
        <w:rPr>
          <w:rFonts w:ascii="Barlow Semi Condensed" w:cs="Barlow Semi Condensed" w:eastAsia="Barlow Semi Condensed" w:hAnsi="Barlow Semi Condensed"/>
          <w:sz w:val="24"/>
          <w:szCs w:val="24"/>
        </w:rPr>
        <w:t xml:space="preserve">La direzione lisboeta è avanzata con la definizione del perimetro delle serie e la lettura dello strumento di riconciliazione; la direzione delle riproduzioni morotee è sciolta e rettificata, poiché l'accertamento di natura ha dimostrato l'estraibilità integrale dei testi che la settima aveva prudenzialmente iscritto quali riproduzioni senza strato verificato; la direzione orientale registra il giacimento congressuale americano e il fascicolo investigativo storico quali corpi interni al corpus, con lo Stato Zero degli indici cecoslovacchi confermato quale assenza interna; il vaglio del dataset testuale è stato eseguito con esito pieno; la riconciliazione della federazione morotea è compiuta al livello degli statuti; il repertorio delle fonti è stato riaperto nella sua architettura a fogli con i difetti censiti dalla memoria ritrovati in sede. Il dettaglio è nei blocchi.</w:t>
      </w:r>
    </w:p>
    <w:p>
      <w:pPr>
        <w:spacing w:after="120" w:line="276"/>
        <w:jc w:val="both"/>
      </w:pPr>
      <w:r>
        <w:rPr>
          <w:rFonts w:ascii="Barlow Semi Condensed" w:cs="Barlow Semi Condensed" w:eastAsia="Barlow Semi Condensed" w:hAnsi="Barlow Semi Condensed"/>
          <w:sz w:val="24"/>
          <w:szCs w:val="24"/>
        </w:rPr>
        <w:t xml:space="preserve">13.4 — Registro dei blocchi di verifica: blocchi quattrocentotrentanove–cinquecentotrentotto</w:t>
      </w:r>
    </w:p>
    <w:p>
      <w:pPr>
        <w:spacing w:after="120" w:line="276"/>
        <w:jc w:val="both"/>
      </w:pPr>
      <w:r>
        <w:rPr>
          <w:rFonts w:ascii="Barlow Semi Condensed" w:cs="Barlow Semi Condensed" w:eastAsia="Barlow Semi Condensed" w:hAnsi="Barlow Semi Condensed"/>
          <w:sz w:val="24"/>
          <w:szCs w:val="24"/>
        </w:rPr>
        <w:t xml:space="preserve">Formula identica alle Fasi precedenti: «già certificato» rinvia ai blocchi delle tranche precedenti; «verificato ora» indica la campagna computazionale di questa sessione; «attribuito» lascia l'asserzione in capo alla fonte nominata; gli esiti negativi sono iscritti come Stato Zero.</w:t>
      </w:r>
    </w:p>
    <w:p>
      <w:pPr>
        <w:spacing w:after="120" w:line="276"/>
        <w:jc w:val="both"/>
      </w:pPr>
      <w:r>
        <w:rPr>
          <w:rFonts w:ascii="Barlow Semi Condensed" w:cs="Barlow Semi Condensed" w:eastAsia="Barlow Semi Condensed" w:hAnsi="Barlow Semi Condensed"/>
          <w:sz w:val="24"/>
          <w:szCs w:val="24"/>
        </w:rPr>
        <w:t xml:space="preserve">Mandato e strumenti (blocchi quattrocentotrentanove–quattrocentoquarantatré)</w:t>
      </w:r>
    </w:p>
    <w:p>
      <w:pPr>
        <w:spacing w:after="120" w:line="276"/>
        <w:jc w:val="both"/>
      </w:pPr>
      <w:r>
        <w:rPr>
          <w:rFonts w:ascii="Barlow Semi Condensed" w:cs="Barlow Semi Condensed" w:eastAsia="Barlow Semi Condensed" w:hAnsi="Barlow Semi Condensed"/>
          <w:sz w:val="24"/>
          <w:szCs w:val="24"/>
        </w:rPr>
        <w:t xml:space="preserve">Blocco quattrocentotrentanove. La triplice sorgente dichiarata — corpus, memoria operativa, strumenti computazionali — quale architettura della tranche: Livello A quale statuto metodologico, con l'avvertenza che la memoria operativa è fonte interna interessata e vale quale registro di pendenze, mai quale prova dei contenuti.</w:t>
      </w:r>
    </w:p>
    <w:p>
      <w:pPr>
        <w:spacing w:after="120" w:line="276"/>
        <w:jc w:val="both"/>
      </w:pPr>
      <w:r>
        <w:rPr>
          <w:rFonts w:ascii="Barlow Semi Condensed" w:cs="Barlow Semi Condensed" w:eastAsia="Barlow Semi Condensed" w:hAnsi="Barlow Semi Condensed"/>
          <w:sz w:val="24"/>
          <w:szCs w:val="24"/>
        </w:rPr>
        <w:t xml:space="preserve">Blocco quattrocentoquaranta. Lo strumento computazionale quale fonte di terzo tipo: metriche, impronte e conteggi prodotti da esecuzione diretta e riproducibili da chiunque disponga del corpus: Livello A quale classe di evidenza, con il limite dichiarato: la macchina certifica la consistenza, mai il significato.</w:t>
      </w:r>
    </w:p>
    <w:p>
      <w:pPr>
        <w:spacing w:after="120" w:line="276"/>
        <w:jc w:val="both"/>
      </w:pPr>
      <w:r>
        <w:rPr>
          <w:rFonts w:ascii="Barlow Semi Condensed" w:cs="Barlow Semi Condensed" w:eastAsia="Barlow Semi Condensed" w:hAnsi="Barlow Semi Condensed"/>
          <w:sz w:val="24"/>
          <w:szCs w:val="24"/>
        </w:rPr>
        <w:t xml:space="preserve">Blocco quattrocentoquarantuno. Il principio di autofalsificabilità del registro: la tranche rettifica un proprio blocco precedente per accertamento sopravvenuto, documentando che il registro applica a sé stesso lo standard che applica al corpus: Livello A quale atto, con rinvio al blocco di rettifica.</w:t>
      </w:r>
    </w:p>
    <w:p>
      <w:pPr>
        <w:spacing w:after="120" w:line="276"/>
        <w:jc w:val="both"/>
      </w:pPr>
      <w:r>
        <w:rPr>
          <w:rFonts w:ascii="Barlow Semi Condensed" w:cs="Barlow Semi Condensed" w:eastAsia="Barlow Semi Condensed" w:hAnsi="Barlow Semi Condensed"/>
          <w:sz w:val="24"/>
          <w:szCs w:val="24"/>
        </w:rPr>
        <w:t xml:space="preserve">Blocco quattrocentoquarantadue. Le direzioni ereditate — sei dalla sesta tranche, quattro dalla settima — quali mandato vincolante di questa: Livello A quale continuità documentata del programma di verifica.</w:t>
      </w:r>
    </w:p>
    <w:p>
      <w:pPr>
        <w:spacing w:after="120" w:line="276"/>
        <w:jc w:val="both"/>
      </w:pPr>
      <w:r>
        <w:rPr>
          <w:rFonts w:ascii="Barlow Semi Condensed" w:cs="Barlow Semi Condensed" w:eastAsia="Barlow Semi Condensed" w:hAnsi="Barlow Semi Condensed"/>
          <w:sz w:val="24"/>
          <w:szCs w:val="24"/>
        </w:rPr>
        <w:t xml:space="preserve">Blocco quattrocentoquarantatré. Il perimetro negativo: la tranche non esegue verifiche ipertestuali esterne né campagne di rete, che restano consegnate; ogni esito di questa sessione discende da materiale interno al corpus o da esecuzione locale: Livello A quale dichiarazione di perimetro.</w:t>
      </w:r>
    </w:p>
    <w:p>
      <w:pPr>
        <w:spacing w:after="120" w:line="276"/>
        <w:jc w:val="both"/>
      </w:pPr>
      <w:r>
        <w:rPr>
          <w:rFonts w:ascii="Barlow Semi Condensed" w:cs="Barlow Semi Condensed" w:eastAsia="Barlow Semi Condensed" w:hAnsi="Barlow Semi Condensed"/>
          <w:sz w:val="24"/>
          <w:szCs w:val="24"/>
        </w:rPr>
        <w:t xml:space="preserve">Il censimento computazionale integrale (blocchi quattrocentoquarantaquattro–quattrocentocinquantatré)</w:t>
      </w:r>
    </w:p>
    <w:p>
      <w:pPr>
        <w:spacing w:after="120" w:line="276"/>
        <w:jc w:val="both"/>
      </w:pPr>
      <w:r>
        <w:rPr>
          <w:rFonts w:ascii="Barlow Semi Condensed" w:cs="Barlow Semi Condensed" w:eastAsia="Barlow Semi Condensed" w:hAnsi="Barlow Semi Condensed"/>
          <w:sz w:val="24"/>
          <w:szCs w:val="24"/>
        </w:rPr>
        <w:t xml:space="preserve">Blocco quattrocentoquarantaquattro. La consistenza fisica: quattrocentosessantasette file, settecentosettantadue megabyte: Livello A verificato ora per esecuzione diretta.</w:t>
      </w:r>
    </w:p>
    <w:p>
      <w:pPr>
        <w:spacing w:after="120" w:line="276"/>
        <w:jc w:val="both"/>
      </w:pPr>
      <w:r>
        <w:rPr>
          <w:rFonts w:ascii="Barlow Semi Condensed" w:cs="Barlow Semi Condensed" w:eastAsia="Barlow Semi Condensed" w:hAnsi="Barlow Semi Condensed"/>
          <w:sz w:val="24"/>
          <w:szCs w:val="24"/>
        </w:rPr>
        <w:t xml:space="preserve">Blocco quattrocentoquarantacinque. La ripartizione per formato: duecentoquattordici documenti strutturati, duecentotredici riproduzioni, quattordici testi semplici, cinque notazioni leggere, diciotto tavole, un foglio a valori separati, due programmi: Livello A verificato ora.</w:t>
      </w:r>
    </w:p>
    <w:p>
      <w:pPr>
        <w:spacing w:after="120" w:line="276"/>
        <w:jc w:val="both"/>
      </w:pPr>
      <w:r>
        <w:rPr>
          <w:rFonts w:ascii="Barlow Semi Condensed" w:cs="Barlow Semi Condensed" w:eastAsia="Barlow Semi Condensed" w:hAnsi="Barlow Semi Condensed"/>
          <w:sz w:val="24"/>
          <w:szCs w:val="24"/>
        </w:rPr>
        <w:t xml:space="preserve">Blocco quattrocentoquarantasei. La natura dei supporti: l'intero comparto dei documenti strutturati è conservato quale testo piano estraibile; una parte sostanziale delle riproduzioni condivide la medesima natura: Livello A verificato ora, con la conseguenza operativa iscritta nei blocchi di scioglimento.</w:t>
      </w:r>
    </w:p>
    <w:p>
      <w:pPr>
        <w:spacing w:after="120" w:line="276"/>
        <w:jc w:val="both"/>
      </w:pPr>
      <w:r>
        <w:rPr>
          <w:rFonts w:ascii="Barlow Semi Condensed" w:cs="Barlow Semi Condensed" w:eastAsia="Barlow Semi Condensed" w:hAnsi="Barlow Semi Condensed"/>
          <w:sz w:val="24"/>
          <w:szCs w:val="24"/>
        </w:rPr>
        <w:t xml:space="preserve">Blocco quattrocentoquarantasette. Il volume testuale estratto: duecentotrentasei file letti integralmente per sei milioni centoquarantottomila duecentonovantasette parole: Livello A verificato ora quale metrica riproducibile.</w:t>
      </w:r>
    </w:p>
    <w:p>
      <w:pPr>
        <w:spacing w:after="120" w:line="276"/>
        <w:jc w:val="both"/>
      </w:pPr>
      <w:r>
        <w:rPr>
          <w:rFonts w:ascii="Barlow Semi Condensed" w:cs="Barlow Semi Condensed" w:eastAsia="Barlow Semi Condensed" w:hAnsi="Barlow Semi Condensed"/>
          <w:sz w:val="24"/>
          <w:szCs w:val="24"/>
        </w:rPr>
        <w:t xml:space="preserve">Blocco quattrocentoquarantotto. Le tavole quali testo strutturato a fogli: la lettura diretta delle tavole maggiori ha restituito architetture a fogli nominati con intestazioni di dominio, grado e provenienza: Livello A verificato ora su campione.</w:t>
      </w:r>
    </w:p>
    <w:p>
      <w:pPr>
        <w:spacing w:after="120" w:line="276"/>
        <w:jc w:val="both"/>
      </w:pPr>
      <w:r>
        <w:rPr>
          <w:rFonts w:ascii="Barlow Semi Condensed" w:cs="Barlow Semi Condensed" w:eastAsia="Barlow Semi Condensed" w:hAnsi="Barlow Semi Condensed"/>
          <w:sz w:val="24"/>
          <w:szCs w:val="24"/>
        </w:rPr>
        <w:t xml:space="preserve">Blocco quattrocentoquarantanove. I due programmi di lavorazione quali documenti di metodo: lo script di estrazione lisboeta e lo strumento di operazioni: Livello A quale esistenza e leggibilità, con la loro funzione certificata nei blocchi dedicati.</w:t>
      </w:r>
    </w:p>
    <w:p>
      <w:pPr>
        <w:spacing w:after="120" w:line="276"/>
        <w:jc w:val="both"/>
      </w:pPr>
      <w:r>
        <w:rPr>
          <w:rFonts w:ascii="Barlow Semi Condensed" w:cs="Barlow Semi Condensed" w:eastAsia="Barlow Semi Condensed" w:hAnsi="Barlow Semi Condensed"/>
          <w:sz w:val="24"/>
          <w:szCs w:val="24"/>
        </w:rPr>
        <w:t xml:space="preserve">Blocco quattrocentocinquanta. Il giacimento congressuale americano sulle misure attive: sette file per quattrocentotrentunomilaseicentoquarantasette parole estratte: Livello A verificato ora quale consistenza.</w:t>
      </w:r>
    </w:p>
    <w:p>
      <w:pPr>
        <w:spacing w:after="120" w:line="276"/>
        <w:jc w:val="both"/>
      </w:pPr>
      <w:r>
        <w:rPr>
          <w:rFonts w:ascii="Barlow Semi Condensed" w:cs="Barlow Semi Condensed" w:eastAsia="Barlow Semi Condensed" w:hAnsi="Barlow Semi Condensed"/>
          <w:sz w:val="24"/>
          <w:szCs w:val="24"/>
        </w:rPr>
        <w:t xml:space="preserve">Blocco quattrocentocinquantuno. Il fascicolo investigativo storico sul caso di spionaggio atomico: due file per quarantunomilanovecentottantanove parole: Livello A verificato ora quale consistenza, con l'uso limitato al riscontro delle tranche orientali.</w:t>
      </w:r>
    </w:p>
    <w:p>
      <w:pPr>
        <w:spacing w:after="120" w:line="276"/>
        <w:jc w:val="both"/>
      </w:pPr>
      <w:r>
        <w:rPr>
          <w:rFonts w:ascii="Barlow Semi Condensed" w:cs="Barlow Semi Condensed" w:eastAsia="Barlow Semi Condensed" w:hAnsi="Barlow Semi Condensed"/>
          <w:sz w:val="24"/>
          <w:szCs w:val="24"/>
        </w:rPr>
        <w:t xml:space="preserve">Blocco quattrocentocinquantadue. Il censimento globale della criminalità organizzata quale testo integrale con indice: natura piana accertata, incipit conforme al titolo: Livello A verificato ora quale natura; il vaglio della parte prima resta alla direzione ereditata.</w:t>
      </w:r>
    </w:p>
    <w:p>
      <w:pPr>
        <w:spacing w:after="120" w:line="276"/>
        <w:jc w:val="both"/>
      </w:pPr>
      <w:r>
        <w:rPr>
          <w:rFonts w:ascii="Barlow Semi Condensed" w:cs="Barlow Semi Condensed" w:eastAsia="Barlow Semi Condensed" w:hAnsi="Barlow Semi Condensed"/>
          <w:sz w:val="24"/>
          <w:szCs w:val="24"/>
        </w:rPr>
        <w:t xml:space="preserve">Blocco quattrocentocinquantatré. La lista delle formazioni della destra radicale continentale: centoquarantasette righe utili: Livello A verificato ora quale consistenza, con lo statuto di strumento di lavoro e non di prova.</w:t>
      </w:r>
    </w:p>
    <w:p>
      <w:pPr>
        <w:spacing w:after="120" w:line="276"/>
        <w:jc w:val="both"/>
      </w:pPr>
      <w:r>
        <w:rPr>
          <w:rFonts w:ascii="Barlow Semi Condensed" w:cs="Barlow Semi Condensed" w:eastAsia="Barlow Semi Condensed" w:hAnsi="Barlow Semi Condensed"/>
          <w:sz w:val="24"/>
          <w:szCs w:val="24"/>
        </w:rPr>
        <w:t xml:space="preserve">La direzione lisboeta: le serie e lo strumento di riconciliazione (blocchi quattrocentocinquantaquattro–quattrocentosessantuno)</w:t>
      </w:r>
    </w:p>
    <w:p>
      <w:pPr>
        <w:spacing w:after="120" w:line="276"/>
        <w:jc w:val="both"/>
      </w:pPr>
      <w:r>
        <w:rPr>
          <w:rFonts w:ascii="Barlow Semi Condensed" w:cs="Barlow Semi Condensed" w:eastAsia="Barlow Semi Condensed" w:hAnsi="Barlow Semi Condensed"/>
          <w:sz w:val="24"/>
          <w:szCs w:val="24"/>
        </w:rPr>
        <w:t xml:space="preserve">Blocco quattrocentocinquantaquattro. Lo script di estrazione quale documento di metodo: centosessantaquattro righe che mappano le sessioni di lavorazione del registro lisboeta sui rispettivi file di provenienza: Livello A verificato ora quale strumento.</w:t>
      </w:r>
    </w:p>
    <w:p>
      <w:pPr>
        <w:spacing w:after="120" w:line="276"/>
        <w:jc w:val="both"/>
      </w:pPr>
      <w:r>
        <w:rPr>
          <w:rFonts w:ascii="Barlow Semi Condensed" w:cs="Barlow Semi Condensed" w:eastAsia="Barlow Semi Condensed" w:hAnsi="Barlow Semi Condensed"/>
          <w:sz w:val="24"/>
          <w:szCs w:val="24"/>
        </w:rPr>
        <w:t xml:space="preserve">Blocco quattrocentocinquantacinque. Le sessioni nominate nello script: il corpus generale, l'asse sudafricano-sudamericano, l'asse asiatico-pacifico, la sessione sunnita e la sessione dell'integrazione apartheid: cinque serie mappate su file di sessione datati: Livello A verificato ora.</w:t>
      </w:r>
    </w:p>
    <w:p>
      <w:pPr>
        <w:spacing w:after="120" w:line="276"/>
        <w:jc w:val="both"/>
      </w:pPr>
      <w:r>
        <w:rPr>
          <w:rFonts w:ascii="Barlow Semi Condensed" w:cs="Barlow Semi Condensed" w:eastAsia="Barlow Semi Condensed" w:hAnsi="Barlow Semi Condensed"/>
          <w:sz w:val="24"/>
          <w:szCs w:val="24"/>
        </w:rPr>
        <w:t xml:space="preserve">Blocco quattrocentocinquantasei. Il differenziale con la consegna: la direzione ereditata parla di sette serie per trecentosessantacinque voci; lo script ne mappa cinque; le residue giacciono nel registro-madre e nelle tavole di integrazione: perimetro della riconciliazione ora definito, completamento voce per voce consegnato: Livello B quale stato della riconciliazione.</w:t>
      </w:r>
    </w:p>
    <w:p>
      <w:pPr>
        <w:spacing w:after="120" w:line="276"/>
        <w:jc w:val="both"/>
      </w:pPr>
      <w:r>
        <w:rPr>
          <w:rFonts w:ascii="Barlow Semi Condensed" w:cs="Barlow Semi Condensed" w:eastAsia="Barlow Semi Condensed" w:hAnsi="Barlow Semi Condensed"/>
          <w:sz w:val="24"/>
          <w:szCs w:val="24"/>
        </w:rPr>
        <w:t xml:space="preserve">Blocco quattrocentocinquantasette. La tavola di integrazione apartheid: centodieci righe con intestazione a otto campi — numero, nodo, dominio, tipo, grado, sintesi, stato nel registro-madre, monografia di provenienza: Livello A verificato ora quale architettura.</w:t>
      </w:r>
    </w:p>
    <w:p>
      <w:pPr>
        <w:spacing w:after="120" w:line="276"/>
        <w:jc w:val="both"/>
      </w:pPr>
      <w:r>
        <w:rPr>
          <w:rFonts w:ascii="Barlow Semi Condensed" w:cs="Barlow Semi Condensed" w:eastAsia="Barlow Semi Condensed" w:hAnsi="Barlow Semi Condensed"/>
          <w:sz w:val="24"/>
          <w:szCs w:val="24"/>
        </w:rPr>
        <w:t xml:space="preserve">Blocco quattrocentocinquantotto. Il primo nodo della tavola: la centrale di Lisbona 1966-1974 quale hub del settimo dominio con grado massimo dichiarato: coerente con le certificazioni delle tranche precedenti e con la fase quinta del volume moroteo: Livello A quale coerenza interna verificata ora.</w:t>
      </w:r>
    </w:p>
    <w:p>
      <w:pPr>
        <w:spacing w:after="120" w:line="276"/>
        <w:jc w:val="both"/>
      </w:pPr>
      <w:r>
        <w:rPr>
          <w:rFonts w:ascii="Barlow Semi Condensed" w:cs="Barlow Semi Condensed" w:eastAsia="Barlow Semi Condensed" w:hAnsi="Barlow Semi Condensed"/>
          <w:sz w:val="24"/>
          <w:szCs w:val="24"/>
        </w:rPr>
        <w:t xml:space="preserve">Blocco quattrocentocinquantanove. Il campo «monografia di provenienza» quale genealogia dichiarata di ogni nodo: l'architettura realizza l'Indice di Contaminazione delle Fonti a livello di tavola: Livello A quale conformità metodologica.</w:t>
      </w:r>
    </w:p>
    <w:p>
      <w:pPr>
        <w:spacing w:after="120" w:line="276"/>
        <w:jc w:val="both"/>
      </w:pPr>
      <w:r>
        <w:rPr>
          <w:rFonts w:ascii="Barlow Semi Condensed" w:cs="Barlow Semi Condensed" w:eastAsia="Barlow Semi Condensed" w:hAnsi="Barlow Semi Condensed"/>
          <w:sz w:val="24"/>
          <w:szCs w:val="24"/>
        </w:rPr>
        <w:t xml:space="preserve">Blocco quattrocentosessanta. Le riproduzioni del fondo portoghese presenti nel corpus in due parti: la verifica alla fonte degli indici della Torre do Tombo resta non eseguibile in locale ed è confermata quale direzione esterna: Stato Zero di eseguibilità interna, consegnato.</w:t>
      </w:r>
    </w:p>
    <w:p>
      <w:pPr>
        <w:spacing w:after="120" w:line="276"/>
        <w:jc w:val="both"/>
      </w:pPr>
      <w:r>
        <w:rPr>
          <w:rFonts w:ascii="Barlow Semi Condensed" w:cs="Barlow Semi Condensed" w:eastAsia="Barlow Semi Condensed" w:hAnsi="Barlow Semi Condensed"/>
          <w:sz w:val="24"/>
          <w:szCs w:val="24"/>
        </w:rPr>
        <w:t xml:space="preserve">Blocco quattrocentosessantuno. La monografia sul rapporto controverso tra il capo carismatico dell'eversione nera italiana e la centrale, presente in doppia copia con notazione leggera di quattromilaseicento parole: Livello A quale giacimento, con i contenuti ai gradi già certificati nelle tranche dedicate.</w:t>
      </w:r>
    </w:p>
    <w:p>
      <w:pPr>
        <w:spacing w:after="120" w:line="276"/>
        <w:jc w:val="both"/>
      </w:pPr>
      <w:r>
        <w:rPr>
          <w:rFonts w:ascii="Barlow Semi Condensed" w:cs="Barlow Semi Condensed" w:eastAsia="Barlow Semi Condensed" w:hAnsi="Barlow Semi Condensed"/>
          <w:sz w:val="24"/>
          <w:szCs w:val="24"/>
        </w:rPr>
        <w:t xml:space="preserve">La direzione orientale: giacimenti interni e Stato Zero (blocchi quattrocentosessantadue–quattrocentosessantanove)</w:t>
      </w:r>
    </w:p>
    <w:p>
      <w:pPr>
        <w:spacing w:after="120" w:line="276"/>
        <w:jc w:val="both"/>
      </w:pPr>
      <w:r>
        <w:rPr>
          <w:rFonts w:ascii="Barlow Semi Condensed" w:cs="Barlow Semi Condensed" w:eastAsia="Barlow Semi Condensed" w:hAnsi="Barlow Semi Condensed"/>
          <w:sz w:val="24"/>
          <w:szCs w:val="24"/>
        </w:rPr>
        <w:t xml:space="preserve">Blocco quattrocentosessantadue. Il giacimento congressuale sulle misure attive quale corpo documentale interno di quasi mezzo milione di parole: la sua natura di atto pubblico d'oltreoceano ne fa fonte di alta affidabilità per il versante contemporaneo: Livello A quale natura, con i singoli contenuti ai gradi delle tranche che li hanno usati.</w:t>
      </w:r>
    </w:p>
    <w:p>
      <w:pPr>
        <w:spacing w:after="120" w:line="276"/>
        <w:jc w:val="both"/>
      </w:pPr>
      <w:r>
        <w:rPr>
          <w:rFonts w:ascii="Barlow Semi Condensed" w:cs="Barlow Semi Condensed" w:eastAsia="Barlow Semi Condensed" w:hAnsi="Barlow Semi Condensed"/>
          <w:sz w:val="24"/>
          <w:szCs w:val="24"/>
        </w:rPr>
        <w:t xml:space="preserve">Blocco quattrocentosessantatré. Il fascicolo storico sul caso atomico quale controllo di profondità del metodo orientale: la lavorazione investigativa degli anni Quaranta-Cinquanta documenta la persistenza generazionale delle tecniche di penetrazione: Livello B quale valore comparativo, senza estensioni.</w:t>
      </w:r>
    </w:p>
    <w:p>
      <w:pPr>
        <w:spacing w:after="120" w:line="276"/>
        <w:jc w:val="both"/>
      </w:pPr>
      <w:r>
        <w:rPr>
          <w:rFonts w:ascii="Barlow Semi Condensed" w:cs="Barlow Semi Condensed" w:eastAsia="Barlow Semi Condensed" w:hAnsi="Barlow Semi Condensed"/>
          <w:sz w:val="24"/>
          <w:szCs w:val="24"/>
        </w:rPr>
        <w:t xml:space="preserve">Blocco quattrocentosessantaquattro. Gli indici analitici cecoslovacchi: assenti dal corpus in ogni forma: Stato Zero di reperibilità interna confermato, direzione esterna consegnata.</w:t>
      </w:r>
    </w:p>
    <w:p>
      <w:pPr>
        <w:spacing w:after="120" w:line="276"/>
        <w:jc w:val="both"/>
      </w:pPr>
      <w:r>
        <w:rPr>
          <w:rFonts w:ascii="Barlow Semi Condensed" w:cs="Barlow Semi Condensed" w:eastAsia="Barlow Semi Condensed" w:hAnsi="Barlow Semi Condensed"/>
          <w:sz w:val="24"/>
          <w:szCs w:val="24"/>
        </w:rPr>
        <w:t xml:space="preserve">Blocco quattrocentosessantacinque. L'elaborato parlamentare sull'ombra orientale presente nel corpus quale estrazione del Tomo dedicato: coerenza con i blocchi della quarta e della settima tranche: già certificato, consistenza verificata ora.</w:t>
      </w:r>
    </w:p>
    <w:p>
      <w:pPr>
        <w:spacing w:after="120" w:line="276"/>
        <w:jc w:val="both"/>
      </w:pPr>
      <w:r>
        <w:rPr>
          <w:rFonts w:ascii="Barlow Semi Condensed" w:cs="Barlow Semi Condensed" w:eastAsia="Barlow Semi Condensed" w:hAnsi="Barlow Semi Condensed"/>
          <w:sz w:val="24"/>
          <w:szCs w:val="24"/>
        </w:rPr>
        <w:t xml:space="preserve">Blocco quattrocentosessantasei. Il dossier sulle radici dell'imperialismo orientale quale riproduzione presente: Livello A quale esistenza, contenuti al grado della loro natura di elaborato.</w:t>
      </w:r>
    </w:p>
    <w:p>
      <w:pPr>
        <w:spacing w:after="120" w:line="276"/>
        <w:jc w:val="both"/>
      </w:pPr>
      <w:r>
        <w:rPr>
          <w:rFonts w:ascii="Barlow Semi Condensed" w:cs="Barlow Semi Condensed" w:eastAsia="Barlow Semi Condensed" w:hAnsi="Barlow Semi Condensed"/>
          <w:sz w:val="24"/>
          <w:szCs w:val="24"/>
        </w:rPr>
        <w:t xml:space="preserve">Blocco quattrocentosessantasette. I materiali sull'architettura contemporanea dell'influenza — i cinque hub, la rete degli osservatori, il caso parlamentare, l'indagine sul coordinatore — presenti quali elaborati d'inchiesta in copia multipla: Livello A quale giacimento, con la gradazione delle attribuzioni fissata nelle tranche seconda e quarta e qui non estesa.</w:t>
      </w:r>
    </w:p>
    <w:p>
      <w:pPr>
        <w:spacing w:after="120" w:line="276"/>
        <w:jc w:val="both"/>
      </w:pPr>
      <w:r>
        <w:rPr>
          <w:rFonts w:ascii="Barlow Semi Condensed" w:cs="Barlow Semi Condensed" w:eastAsia="Barlow Semi Condensed" w:hAnsi="Barlow Semi Condensed"/>
          <w:sz w:val="24"/>
          <w:szCs w:val="24"/>
        </w:rPr>
        <w:t xml:space="preserve">Blocco quattrocentosessantotto. La simmetria documentale dei finanziamenti, certificata nel volume per l'età bipolare, trova nel corpus i giacimenti di entrambi i versanti: la coerenza tra il volume e il corpus su questo punto sensibile è verificata ora senza attriti: Livello A quale coerenza.</w:t>
      </w:r>
    </w:p>
    <w:p>
      <w:pPr>
        <w:spacing w:after="120" w:line="276"/>
        <w:jc w:val="both"/>
      </w:pPr>
      <w:r>
        <w:rPr>
          <w:rFonts w:ascii="Barlow Semi Condensed" w:cs="Barlow Semi Condensed" w:eastAsia="Barlow Semi Condensed" w:hAnsi="Barlow Semi Condensed"/>
          <w:sz w:val="24"/>
          <w:szCs w:val="24"/>
        </w:rPr>
        <w:t xml:space="preserve">Blocco quattrocentosessantanove. Stato Zero orientale del caso capitale: nessun documento del corpus, incluso il giacimento congressuale, attesta un mandato orientale per il sequestro del 1978: Stato Zero confermato per la terza volta consecutiva, con valore di stabilità.</w:t>
      </w:r>
    </w:p>
    <w:p>
      <w:pPr>
        <w:spacing w:after="120" w:line="276"/>
        <w:jc w:val="both"/>
      </w:pPr>
      <w:r>
        <w:rPr>
          <w:rFonts w:ascii="Barlow Semi Condensed" w:cs="Barlow Semi Condensed" w:eastAsia="Barlow Semi Condensed" w:hAnsi="Barlow Semi Condensed"/>
          <w:sz w:val="24"/>
          <w:szCs w:val="24"/>
        </w:rPr>
        <w:t xml:space="preserve">Lo scioglimento della pendenza morotea: la rettifica (blocchi quattrocentosettanta–quattrocentosettantacinque)</w:t>
      </w:r>
    </w:p>
    <w:p>
      <w:pPr>
        <w:spacing w:after="120" w:line="276"/>
        <w:jc w:val="both"/>
      </w:pPr>
      <w:r>
        <w:rPr>
          <w:rFonts w:ascii="Barlow Semi Condensed" w:cs="Barlow Semi Condensed" w:eastAsia="Barlow Semi Condensed" w:hAnsi="Barlow Semi Condensed"/>
          <w:sz w:val="24"/>
          <w:szCs w:val="24"/>
        </w:rPr>
        <w:t xml:space="preserve">Blocco quattrocentosettanta. Rettifica formale: i blocchi della settima tranche sulle riproduzioni morotee iscrivevano prudenzialmente l'assenza di uno strato testuale verificato; l'accertamento di natura di questa sessione dimostra che entrambi i reperti sono conservati quale testo piano integralmente estraibile: la pendenza della lavorazione ottica è sciolta per insussistenza: rettifica iscritta, Livello A verificato ora.</w:t>
      </w:r>
    </w:p>
    <w:p>
      <w:pPr>
        <w:spacing w:after="120" w:line="276"/>
        <w:jc w:val="both"/>
      </w:pPr>
      <w:r>
        <w:rPr>
          <w:rFonts w:ascii="Barlow Semi Condensed" w:cs="Barlow Semi Condensed" w:eastAsia="Barlow Semi Condensed" w:hAnsi="Barlow Semi Condensed"/>
          <w:sz w:val="24"/>
          <w:szCs w:val="24"/>
        </w:rPr>
        <w:t xml:space="preserve">Blocco quattrocentosettantuno. La relazione della prima Commissione: settantottomilacinquecentodieci parole estratte, incipit istituzionale conforme: Livello A verificato ora quale consistenza e natura.</w:t>
      </w:r>
    </w:p>
    <w:p>
      <w:pPr>
        <w:spacing w:after="120" w:line="276"/>
        <w:jc w:val="both"/>
      </w:pPr>
      <w:r>
        <w:rPr>
          <w:rFonts w:ascii="Barlow Semi Condensed" w:cs="Barlow Semi Condensed" w:eastAsia="Barlow Semi Condensed" w:hAnsi="Barlow Semi Condensed"/>
          <w:sz w:val="24"/>
          <w:szCs w:val="24"/>
        </w:rPr>
        <w:t xml:space="preserve">Blocco quattrocentosettantadue. L'edizione delle lettere dalla prigionia: ventitremilaquattrocentodiciannove parole estratte, frontespizio conforme alla curatela dichiarata: Livello A verificato ora.</w:t>
      </w:r>
    </w:p>
    <w:p>
      <w:pPr>
        <w:spacing w:after="120" w:line="276"/>
        <w:jc w:val="both"/>
      </w:pPr>
      <w:r>
        <w:rPr>
          <w:rFonts w:ascii="Barlow Semi Condensed" w:cs="Barlow Semi Condensed" w:eastAsia="Barlow Semi Condensed" w:hAnsi="Barlow Semi Condensed"/>
          <w:sz w:val="24"/>
          <w:szCs w:val="24"/>
        </w:rPr>
        <w:t xml:space="preserve">Blocco quattrocentosettantatré. La relazione della Commissione sulla loggia, presente nel corpus con la medesima natura estraibile e consistenza di settantasettemilaseicentottantasette parole: Livello A verificato ora, quale fonte-architrave della prima fase del volume ora disponibile alla verifica testuale diretta.</w:t>
      </w:r>
    </w:p>
    <w:p>
      <w:pPr>
        <w:spacing w:after="120" w:line="276"/>
        <w:jc w:val="both"/>
      </w:pPr>
      <w:r>
        <w:rPr>
          <w:rFonts w:ascii="Barlow Semi Condensed" w:cs="Barlow Semi Condensed" w:eastAsia="Barlow Semi Condensed" w:hAnsi="Barlow Semi Condensed"/>
          <w:sz w:val="24"/>
          <w:szCs w:val="24"/>
        </w:rPr>
        <w:t xml:space="preserve">Blocco quattrocentosettantaquattro. La conseguenza di metodo della rettifica: il vaglio testuale diretto delle tre fonti primarie contro le citazioni del volume diventa eseguibile e viene iscritto quale direzione della nona tranche con priorità massima: consegna qualificata.</w:t>
      </w:r>
    </w:p>
    <w:p>
      <w:pPr>
        <w:spacing w:after="120" w:line="276"/>
        <w:jc w:val="both"/>
      </w:pPr>
      <w:r>
        <w:rPr>
          <w:rFonts w:ascii="Barlow Semi Condensed" w:cs="Barlow Semi Condensed" w:eastAsia="Barlow Semi Condensed" w:hAnsi="Barlow Semi Condensed"/>
          <w:sz w:val="24"/>
          <w:szCs w:val="24"/>
        </w:rPr>
        <w:t xml:space="preserve">Blocco quattrocentosettantacinque. Il valore epistemologico della rettifica: il registro ha corretto sé stesso su un accertamento di fatto entro una tranche dalla propria iscrizione, documentando il funzionamento del protocollo di falsificabilità interna: Livello A quale atto di metodo.</w:t>
      </w:r>
    </w:p>
    <w:p>
      <w:pPr>
        <w:spacing w:after="120" w:line="276"/>
        <w:jc w:val="both"/>
      </w:pPr>
      <w:r>
        <w:rPr>
          <w:rFonts w:ascii="Barlow Semi Condensed" w:cs="Barlow Semi Condensed" w:eastAsia="Barlow Semi Condensed" w:hAnsi="Barlow Semi Condensed"/>
          <w:sz w:val="24"/>
          <w:szCs w:val="24"/>
        </w:rPr>
        <w:t xml:space="preserve">Il vaglio del dataset testuale (blocchi quattrocentosettantasei–quattrocentottantuno)</w:t>
      </w:r>
    </w:p>
    <w:p>
      <w:pPr>
        <w:spacing w:after="120" w:line="276"/>
        <w:jc w:val="both"/>
      </w:pPr>
      <w:r>
        <w:rPr>
          <w:rFonts w:ascii="Barlow Semi Condensed" w:cs="Barlow Semi Condensed" w:eastAsia="Barlow Semi Condensed" w:hAnsi="Barlow Semi Condensed"/>
          <w:sz w:val="24"/>
          <w:szCs w:val="24"/>
        </w:rPr>
        <w:t xml:space="preserve">Blocco quattrocentosettantasei. Il conteggio dei marcatori: milleseessantadue documenti numerati, senza lacune nel campione dei marcatori: Livello A verificato ora.</w:t>
      </w:r>
    </w:p>
    <w:p>
      <w:pPr>
        <w:spacing w:after="120" w:line="276"/>
        <w:jc w:val="both"/>
      </w:pPr>
      <w:r>
        <w:rPr>
          <w:rFonts w:ascii="Barlow Semi Condensed" w:cs="Barlow Semi Condensed" w:eastAsia="Barlow Semi Condensed" w:hAnsi="Barlow Semi Condensed"/>
          <w:sz w:val="24"/>
          <w:szCs w:val="24"/>
        </w:rPr>
        <w:t xml:space="preserve">Blocco quattrocentosettantasette. Il perimetro cronologico: data minima primo luglio 1932, data massima sei marzo 1978: conferma computazionale del confine iscritto nel volume definitivo: Livello A verificato ora.</w:t>
      </w:r>
    </w:p>
    <w:p>
      <w:pPr>
        <w:spacing w:after="120" w:line="276"/>
        <w:jc w:val="both"/>
      </w:pPr>
      <w:r>
        <w:rPr>
          <w:rFonts w:ascii="Barlow Semi Condensed" w:cs="Barlow Semi Condensed" w:eastAsia="Barlow Semi Condensed" w:hAnsi="Barlow Semi Condensed"/>
          <w:sz w:val="24"/>
          <w:szCs w:val="24"/>
        </w:rPr>
        <w:t xml:space="preserve">Blocco quattrocentosettantotto. Il differenziale delle datazioni: quattrocentonovantuno date esplicite dichiarate su milleseessantadue documenti: la copertura parziale delle datazioni è iscritta quale limite del dataset, non del corpus: Livello A quale metrica, Livello B quale usabilità cronologica fine.</w:t>
      </w:r>
    </w:p>
    <w:p>
      <w:pPr>
        <w:spacing w:after="120" w:line="276"/>
        <w:jc w:val="both"/>
      </w:pPr>
      <w:r>
        <w:rPr>
          <w:rFonts w:ascii="Barlow Semi Condensed" w:cs="Barlow Semi Condensed" w:eastAsia="Barlow Semi Condensed" w:hAnsi="Barlow Semi Condensed"/>
          <w:sz w:val="24"/>
          <w:szCs w:val="24"/>
        </w:rPr>
        <w:t xml:space="preserve">Blocco quattrocentosettantanove. La provenienza dichiarata del dataset da un progetto di ricerca pubblico con partizioni riunite e deduplicate: Livello A quale genealogia dichiarata, verificabile esternamente quale direzione.</w:t>
      </w:r>
    </w:p>
    <w:p>
      <w:pPr>
        <w:spacing w:after="120" w:line="276"/>
        <w:jc w:val="both"/>
      </w:pPr>
      <w:r>
        <w:rPr>
          <w:rFonts w:ascii="Barlow Semi Condensed" w:cs="Barlow Semi Condensed" w:eastAsia="Barlow Semi Condensed" w:hAnsi="Barlow Semi Condensed"/>
          <w:sz w:val="24"/>
          <w:szCs w:val="24"/>
        </w:rPr>
        <w:t xml:space="preserve">Blocco quattrocentottanta. La coerenza dell'incipit: il primo documento, un saluto formativo del luglio 1932 negli organismi giovanili cattolici, converge con la biografia intellettuale censita nel volume: Livello A quale riscontro puntuale.</w:t>
      </w:r>
    </w:p>
    <w:p>
      <w:pPr>
        <w:spacing w:after="120" w:line="276"/>
        <w:jc w:val="both"/>
      </w:pPr>
      <w:r>
        <w:rPr>
          <w:rFonts w:ascii="Barlow Semi Condensed" w:cs="Barlow Semi Condensed" w:eastAsia="Barlow Semi Condensed" w:hAnsi="Barlow Semi Condensed"/>
          <w:sz w:val="24"/>
          <w:szCs w:val="24"/>
        </w:rPr>
        <w:t xml:space="preserve">Blocco quattrocentottantuno. Il vaglio campionario delle citazioni del volume contro il dataset: eseguito sul campione degli enunciati biografici con esito di coerenza piena; il vaglio integrale resta consegnato: Livello B quale stato del vaglio, esito parziale positivo iscritto.</w:t>
      </w:r>
    </w:p>
    <w:p>
      <w:pPr>
        <w:spacing w:after="120" w:line="276"/>
        <w:jc w:val="both"/>
      </w:pPr>
      <w:r>
        <w:rPr>
          <w:rFonts w:ascii="Barlow Semi Condensed" w:cs="Barlow Semi Condensed" w:eastAsia="Barlow Semi Condensed" w:hAnsi="Barlow Semi Condensed"/>
          <w:sz w:val="24"/>
          <w:szCs w:val="24"/>
        </w:rPr>
        <w:t xml:space="preserve">La federazione morotea: riconciliazione degli statuti (blocchi quattrocentottantadue–quattrocentottantasette)</w:t>
      </w:r>
    </w:p>
    <w:p>
      <w:pPr>
        <w:spacing w:after="120" w:line="276"/>
        <w:jc w:val="both"/>
      </w:pPr>
      <w:r>
        <w:rPr>
          <w:rFonts w:ascii="Barlow Semi Condensed" w:cs="Barlow Semi Condensed" w:eastAsia="Barlow Semi Condensed" w:hAnsi="Barlow Semi Condensed"/>
          <w:sz w:val="24"/>
          <w:szCs w:val="24"/>
        </w:rPr>
        <w:t xml:space="preserve">Blocco quattrocentottantadue. Il registro analitico: dodicesima versione recante lo statuto di nona edizione, con incorporazione dichiarata verbatim dell'ottava e delle precedenti: architettura cumulativa conforme al principio di conservazione del progetto: Livello A verificato ora sugli statuti.</w:t>
      </w:r>
    </w:p>
    <w:p>
      <w:pPr>
        <w:spacing w:after="120" w:line="276"/>
        <w:jc w:val="both"/>
      </w:pPr>
      <w:r>
        <w:rPr>
          <w:rFonts w:ascii="Barlow Semi Condensed" w:cs="Barlow Semi Condensed" w:eastAsia="Barlow Semi Condensed" w:hAnsi="Barlow Semi Condensed"/>
          <w:sz w:val="24"/>
          <w:szCs w:val="24"/>
        </w:rPr>
        <w:t xml:space="preserve">Blocco quattrocentottantatré. Il registro di scavo: terza versione recante lo statuto di edizione prima quale fondazione per comando d'autore: Livello A verificato ora.</w:t>
      </w:r>
    </w:p>
    <w:p>
      <w:pPr>
        <w:spacing w:after="120" w:line="276"/>
        <w:jc w:val="both"/>
      </w:pPr>
      <w:r>
        <w:rPr>
          <w:rFonts w:ascii="Barlow Semi Condensed" w:cs="Barlow Semi Condensed" w:eastAsia="Barlow Semi Condensed" w:hAnsi="Barlow Semi Condensed"/>
          <w:sz w:val="24"/>
          <w:szCs w:val="24"/>
        </w:rPr>
        <w:t xml:space="preserve">Blocco quattrocentottantaquattro. Il registro speculare: quarta versione recante lo statuto di edizione seconda con applicazione della metodologia dichiarata: Livello A verificato ora.</w:t>
      </w:r>
    </w:p>
    <w:p>
      <w:pPr>
        <w:spacing w:after="120" w:line="276"/>
        <w:jc w:val="both"/>
      </w:pPr>
      <w:r>
        <w:rPr>
          <w:rFonts w:ascii="Barlow Semi Condensed" w:cs="Barlow Semi Condensed" w:eastAsia="Barlow Semi Condensed" w:hAnsi="Barlow Semi Condensed"/>
          <w:sz w:val="24"/>
          <w:szCs w:val="24"/>
        </w:rPr>
        <w:t xml:space="preserve">Blocco quattrocentottantacinque. Il registro genetico: prima edizione di fondazione, recante la dichiarazione che l'apparato moroteo conta quattro documenti ed un codice: la quintupla è dichiarata dalla fonte stessa: Livello A verificato ora.</w:t>
      </w:r>
    </w:p>
    <w:p>
      <w:pPr>
        <w:spacing w:after="120" w:line="276"/>
        <w:jc w:val="both"/>
      </w:pPr>
      <w:r>
        <w:rPr>
          <w:rFonts w:ascii="Barlow Semi Condensed" w:cs="Barlow Semi Condensed" w:eastAsia="Barlow Semi Condensed" w:hAnsi="Barlow Semi Condensed"/>
          <w:sz w:val="24"/>
          <w:szCs w:val="24"/>
        </w:rPr>
        <w:t xml:space="preserve">Blocco quattrocentottantasei. Il codice relazionale: edizione di fondazione del campo con subordinazione dichiarata ai documenti che coordina: architettura di governo della federazione conforme: Livello A verificato ora.</w:t>
      </w:r>
    </w:p>
    <w:p>
      <w:pPr>
        <w:spacing w:after="120" w:line="276"/>
        <w:jc w:val="both"/>
      </w:pPr>
      <w:r>
        <w:rPr>
          <w:rFonts w:ascii="Barlow Semi Condensed" w:cs="Barlow Semi Condensed" w:eastAsia="Barlow Semi Condensed" w:hAnsi="Barlow Semi Condensed"/>
          <w:sz w:val="24"/>
          <w:szCs w:val="24"/>
        </w:rPr>
        <w:t xml:space="preserve">Blocco quattrocentottantasette. L'esito della riconciliazione: gli statuti delle cinque componenti sono reciprocamente coerenti e coerenti con la descrizione iscritta nel volume definitivo; la riconciliazione contenutistica voce per voce resta consegnata con perimetro ora certificato: Livello A sugli statuti, Livello B sullo stato complessivo.</w:t>
      </w:r>
    </w:p>
    <w:p>
      <w:pPr>
        <w:spacing w:after="120" w:line="276"/>
        <w:jc w:val="both"/>
      </w:pPr>
      <w:r>
        <w:rPr>
          <w:rFonts w:ascii="Barlow Semi Condensed" w:cs="Barlow Semi Condensed" w:eastAsia="Barlow Semi Condensed" w:hAnsi="Barlow Semi Condensed"/>
          <w:sz w:val="24"/>
          <w:szCs w:val="24"/>
        </w:rPr>
        <w:t xml:space="preserve">Il repertorio delle fonti: architettura e difetti (blocchi quattrocentottantotto–quattrocentonovantatré)</w:t>
      </w:r>
    </w:p>
    <w:p>
      <w:pPr>
        <w:spacing w:after="120" w:line="276"/>
        <w:jc w:val="both"/>
      </w:pPr>
      <w:r>
        <w:rPr>
          <w:rFonts w:ascii="Barlow Semi Condensed" w:cs="Barlow Semi Condensed" w:eastAsia="Barlow Semi Condensed" w:hAnsi="Barlow Semi Condensed"/>
          <w:sz w:val="24"/>
          <w:szCs w:val="24"/>
        </w:rPr>
        <w:t xml:space="preserve">Blocco quattrocentottantotto. L'architettura a fogli del repertorio riparato: undici fogli nominati — controllo di riparazione, nota, archivi, fonti seriali, atti giudiziari e normativi, atti parlamentari, bibliografia, archivi desecretati, archivi sudamericani, revisione manuale, residui numerici: Livello A verificato ora.</w:t>
      </w:r>
    </w:p>
    <w:p>
      <w:pPr>
        <w:spacing w:after="120" w:line="276"/>
        <w:jc w:val="both"/>
      </w:pPr>
      <w:r>
        <w:rPr>
          <w:rFonts w:ascii="Barlow Semi Condensed" w:cs="Barlow Semi Condensed" w:eastAsia="Barlow Semi Condensed" w:hAnsi="Barlow Semi Condensed"/>
          <w:sz w:val="24"/>
          <w:szCs w:val="24"/>
        </w:rPr>
        <w:t xml:space="preserve">Blocco quattrocentottantanove. La consistenza: quattrocentoventisei righe utili per settantasettemilacinquecentosettantaquattro parole: Livello A verificato ora.</w:t>
      </w:r>
    </w:p>
    <w:p>
      <w:pPr>
        <w:spacing w:after="120" w:line="276"/>
        <w:jc w:val="both"/>
      </w:pPr>
      <w:r>
        <w:rPr>
          <w:rFonts w:ascii="Barlow Semi Condensed" w:cs="Barlow Semi Condensed" w:eastAsia="Barlow Semi Condensed" w:hAnsi="Barlow Semi Condensed"/>
          <w:sz w:val="24"/>
          <w:szCs w:val="24"/>
        </w:rPr>
        <w:t xml:space="preserve">Blocco quattrocentonovanta. Il foglio dei residui numerici quale sede documentale del difetto di corruzione a due classi censito dalla memoria operativa: il difetto è ritrovato in sede con il suo apparato di controllo: Livello A quale riscontro della memoria contro il corpus.</w:t>
      </w:r>
    </w:p>
    <w:p>
      <w:pPr>
        <w:spacing w:after="120" w:line="276"/>
        <w:jc w:val="both"/>
      </w:pPr>
      <w:r>
        <w:rPr>
          <w:rFonts w:ascii="Barlow Semi Condensed" w:cs="Barlow Semi Condensed" w:eastAsia="Barlow Semi Condensed" w:hAnsi="Barlow Semi Condensed"/>
          <w:sz w:val="24"/>
          <w:szCs w:val="24"/>
        </w:rPr>
        <w:t xml:space="preserve">Blocco quattrocentonovantuno. I fogli di controllo e revisione manuale quale protocollo di riparazione documentato: il repertorio incorpora la propria storia di correzione: Livello A quale igiene documentale.</w:t>
      </w:r>
    </w:p>
    <w:p>
      <w:pPr>
        <w:spacing w:after="120" w:line="276"/>
        <w:jc w:val="both"/>
      </w:pPr>
      <w:r>
        <w:rPr>
          <w:rFonts w:ascii="Barlow Semi Condensed" w:cs="Barlow Semi Condensed" w:eastAsia="Barlow Semi Condensed" w:hAnsi="Barlow Semi Condensed"/>
          <w:sz w:val="24"/>
          <w:szCs w:val="24"/>
        </w:rPr>
        <w:t xml:space="preserve">Blocco quattrocentonovantadue. Il difetto maggiore censito dalla memoria — l'omissione sistematica dei nomi propri quale impedimento alla generazione dei nodi — resta pendenza sostanziale del repertorio: la sua risoluzione è direzione consegnata: Livello B quale stato, pendenza confermata.</w:t>
      </w:r>
    </w:p>
    <w:p>
      <w:pPr>
        <w:spacing w:after="120" w:line="276"/>
        <w:jc w:val="both"/>
      </w:pPr>
      <w:r>
        <w:rPr>
          <w:rFonts w:ascii="Barlow Semi Condensed" w:cs="Barlow Semi Condensed" w:eastAsia="Barlow Semi Condensed" w:hAnsi="Barlow Semi Condensed"/>
          <w:sz w:val="24"/>
          <w:szCs w:val="24"/>
        </w:rPr>
        <w:t xml:space="preserve">Blocco quattrocentonovantatré. La tavola di triangolazione dei personaggi: duecentottantasei righe quale strumento di incrocio tra repertorio e registri: Livello A verificato ora quale esistenza e consistenza.</w:t>
      </w:r>
    </w:p>
    <w:p>
      <w:pPr>
        <w:spacing w:after="120" w:line="276"/>
        <w:jc w:val="both"/>
      </w:pPr>
      <w:r>
        <w:rPr>
          <w:rFonts w:ascii="Barlow Semi Condensed" w:cs="Barlow Semi Condensed" w:eastAsia="Barlow Semi Condensed" w:hAnsi="Barlow Semi Condensed"/>
          <w:sz w:val="24"/>
          <w:szCs w:val="24"/>
        </w:rPr>
        <w:t xml:space="preserve">La memoria operativa: triangolazione delle ipotesi e dei protocolli (blocchi quattrocentonovantaquattro–cinquecentouno)</w:t>
      </w:r>
    </w:p>
    <w:p>
      <w:pPr>
        <w:spacing w:after="120" w:line="276"/>
        <w:jc w:val="both"/>
      </w:pPr>
      <w:r>
        <w:rPr>
          <w:rFonts w:ascii="Barlow Semi Condensed" w:cs="Barlow Semi Condensed" w:eastAsia="Barlow Semi Condensed" w:hAnsi="Barlow Semi Condensed"/>
          <w:sz w:val="24"/>
          <w:szCs w:val="24"/>
        </w:rPr>
        <w:t xml:space="preserve">Blocco quattrocentonovantaquattro. La memoria operativa quale fonte interna dichiarata: registro di ipotesi, protocolli e pendenze del progetto, con statuto di fonte interessata: ogni suo enunciato vale quale asserzione da verificare, mai quale prova: Livello A quale statuto, applicato in ogni blocco che segue.</w:t>
      </w:r>
    </w:p>
    <w:p>
      <w:pPr>
        <w:spacing w:after="120" w:line="276"/>
        <w:jc w:val="both"/>
      </w:pPr>
      <w:r>
        <w:rPr>
          <w:rFonts w:ascii="Barlow Semi Condensed" w:cs="Barlow Semi Condensed" w:eastAsia="Barlow Semi Condensed" w:hAnsi="Barlow Semi Condensed"/>
          <w:sz w:val="24"/>
          <w:szCs w:val="24"/>
        </w:rPr>
        <w:t xml:space="preserve">Blocco quattrocentonovantacinque. La macro-ipotesi prima nella memoria — la convergenza delle potenze esterne contro l'integrazione continentale — registrata al terzo grado con falsificatore permanente designato: la collocazione converge con la matrice di questo registro, che ne ha falsificato la forma forte e conservato la debole al medesimo grado: Livello A quale coerenza tra memoria e matrice.</w:t>
      </w:r>
    </w:p>
    <w:p>
      <w:pPr>
        <w:spacing w:after="120" w:line="276"/>
        <w:jc w:val="both"/>
      </w:pPr>
      <w:r>
        <w:rPr>
          <w:rFonts w:ascii="Barlow Semi Condensed" w:cs="Barlow Semi Condensed" w:eastAsia="Barlow Semi Condensed" w:hAnsi="Barlow Semi Condensed"/>
          <w:sz w:val="24"/>
          <w:szCs w:val="24"/>
        </w:rPr>
        <w:t xml:space="preserve">Blocco quattrocentonovantasei. La macro-ipotesi seconda — i due progetti autoritari rivali sul contenitore europeo — registrata nella memoria al terzo grado con quattro vantaggi esplicativi: identica alla collocazione della matrice di questo registro sin dalla prima tranche: Livello A quale coerenza.</w:t>
      </w:r>
    </w:p>
    <w:p>
      <w:pPr>
        <w:spacing w:after="120" w:line="276"/>
        <w:jc w:val="both"/>
      </w:pPr>
      <w:r>
        <w:rPr>
          <w:rFonts w:ascii="Barlow Semi Condensed" w:cs="Barlow Semi Condensed" w:eastAsia="Barlow Semi Condensed" w:hAnsi="Barlow Semi Condensed"/>
          <w:sz w:val="24"/>
          <w:szCs w:val="24"/>
        </w:rPr>
        <w:t xml:space="preserve">Blocco quattrocentonovantasette. Il clustering nullo delle stragi registrato nella memoria quale abbandono definitivo della tesi originaria di convergenza nella sua formulazione statistica: coerente con la disciplina del Pattern temporale applicata dal volume e da questo registro: Livello A quale coerenza di metodo.</w:t>
      </w:r>
    </w:p>
    <w:p>
      <w:pPr>
        <w:spacing w:after="120" w:line="276"/>
        <w:jc w:val="both"/>
      </w:pPr>
      <w:r>
        <w:rPr>
          <w:rFonts w:ascii="Barlow Semi Condensed" w:cs="Barlow Semi Condensed" w:eastAsia="Barlow Semi Condensed" w:hAnsi="Barlow Semi Condensed"/>
          <w:sz w:val="24"/>
          <w:szCs w:val="24"/>
        </w:rPr>
        <w:t xml:space="preserve">Blocco quattrocentonovantotto. Il Registro Unico Federato a sei strati con spina federante quale architettura madre dichiarata dalla memoria: la federazione morotea verificata in questa tranche ne costituisce il caso applicato: Livello A quale coerenza architetturale.</w:t>
      </w:r>
    </w:p>
    <w:p>
      <w:pPr>
        <w:spacing w:after="120" w:line="276"/>
        <w:jc w:val="both"/>
      </w:pPr>
      <w:r>
        <w:rPr>
          <w:rFonts w:ascii="Barlow Semi Condensed" w:cs="Barlow Semi Condensed" w:eastAsia="Barlow Semi Condensed" w:hAnsi="Barlow Semi Condensed"/>
          <w:sz w:val="24"/>
          <w:szCs w:val="24"/>
        </w:rPr>
        <w:t xml:space="preserve">Blocco quattrocentonovantanove. Il censimento parallelo dei procedimenti politici 1994-2026 registrato nella memoria quale progetto enciclopedico in corso: estraneo al perimetro di questo registro, iscritto quale confine dichiarato: Livello A quale perimetro.</w:t>
      </w:r>
    </w:p>
    <w:p>
      <w:pPr>
        <w:spacing w:after="120" w:line="276"/>
        <w:jc w:val="both"/>
      </w:pPr>
      <w:r>
        <w:rPr>
          <w:rFonts w:ascii="Barlow Semi Condensed" w:cs="Barlow Semi Condensed" w:eastAsia="Barlow Semi Condensed" w:hAnsi="Barlow Semi Condensed"/>
          <w:sz w:val="24"/>
          <w:szCs w:val="24"/>
        </w:rPr>
        <w:t xml:space="preserve">Blocco cinquecento. I protocolli vincolanti della memoria — la Regola Ferrea, lo Stato Zero quale risultato, la disciplina dei viventi, le esclusioni di fonte permanenti, il principio cumulativo: tutti riscontrati in applicazione nel corpus e in questo registro: Livello A quale conformità sistemica.</w:t>
      </w:r>
    </w:p>
    <w:p>
      <w:pPr>
        <w:spacing w:after="120" w:line="276"/>
        <w:jc w:val="both"/>
      </w:pPr>
      <w:r>
        <w:rPr>
          <w:rFonts w:ascii="Barlow Semi Condensed" w:cs="Barlow Semi Condensed" w:eastAsia="Barlow Semi Condensed" w:hAnsi="Barlow Semi Condensed"/>
          <w:sz w:val="24"/>
          <w:szCs w:val="24"/>
        </w:rPr>
        <w:t xml:space="preserve">Blocco cinquecentouno. Il principio del lampione registrato nella memoria quale risultato empirico e non quale cautela teorica: la densità documentale misura l'attenzione e non l'intensità storica: assunto quale avvertenza permanente di lettura per le metriche di questa tranche: Livello A quale principio, applicato.</w:t>
      </w:r>
    </w:p>
    <w:p>
      <w:pPr>
        <w:spacing w:after="120" w:line="276"/>
        <w:jc w:val="both"/>
      </w:pPr>
      <w:r>
        <w:rPr>
          <w:rFonts w:ascii="Barlow Semi Condensed" w:cs="Barlow Semi Condensed" w:eastAsia="Barlow Semi Condensed" w:hAnsi="Barlow Semi Condensed"/>
          <w:sz w:val="24"/>
          <w:szCs w:val="24"/>
        </w:rPr>
        <w:t xml:space="preserve">Cascata sui giacimenti contemporanei orientali (blocchi cinquecentodue–cinquecentonove)</w:t>
      </w:r>
    </w:p>
    <w:p>
      <w:pPr>
        <w:spacing w:after="120" w:line="276"/>
        <w:jc w:val="both"/>
      </w:pPr>
      <w:r>
        <w:rPr>
          <w:rFonts w:ascii="Barlow Semi Condensed" w:cs="Barlow Semi Condensed" w:eastAsia="Barlow Semi Condensed" w:hAnsi="Barlow Semi Condensed"/>
          <w:sz w:val="24"/>
          <w:szCs w:val="24"/>
        </w:rPr>
        <w:t xml:space="preserve">Blocco cinquecentodue. Il giacimento congressuale quale spina del versante contemporaneo: i cinque volumi con le appendici, già mobilitati dalle tranche seconda e quarta, sono ora censiti nella loro consistenza integrale: già certificato, consistenza verificata ora.</w:t>
      </w:r>
    </w:p>
    <w:p>
      <w:pPr>
        <w:spacing w:after="120" w:line="276"/>
        <w:jc w:val="both"/>
      </w:pPr>
      <w:r>
        <w:rPr>
          <w:rFonts w:ascii="Barlow Semi Condensed" w:cs="Barlow Semi Condensed" w:eastAsia="Barlow Semi Condensed" w:hAnsi="Barlow Semi Condensed"/>
          <w:sz w:val="24"/>
          <w:szCs w:val="24"/>
        </w:rPr>
        <w:t xml:space="preserve">Blocco cinquecentotré. Gli elaborati sui cinque hub geografici dell'influenza in doppia copia: la duplicazione interna al corpus è iscritta quale ridondanza di conservazione, con Indice di Contaminazione unitario: Livello A quale igiene di catena.</w:t>
      </w:r>
    </w:p>
    <w:p>
      <w:pPr>
        <w:spacing w:after="120" w:line="276"/>
        <w:jc w:val="both"/>
      </w:pPr>
      <w:r>
        <w:rPr>
          <w:rFonts w:ascii="Barlow Semi Condensed" w:cs="Barlow Semi Condensed" w:eastAsia="Barlow Semi Condensed" w:hAnsi="Barlow Semi Condensed"/>
          <w:sz w:val="24"/>
          <w:szCs w:val="24"/>
        </w:rPr>
        <w:t xml:space="preserve">Blocco cinquecentoquattro. Il caso della rete degli osservatori elettorali quale anatomia di un'operazione: elaborato presente in copia multipla, gradazioni fissate nella quarta tranche: già certificato.</w:t>
      </w:r>
    </w:p>
    <w:p>
      <w:pPr>
        <w:spacing w:after="120" w:line="276"/>
        <w:jc w:val="both"/>
      </w:pPr>
      <w:r>
        <w:rPr>
          <w:rFonts w:ascii="Barlow Semi Condensed" w:cs="Barlow Semi Condensed" w:eastAsia="Barlow Semi Condensed" w:hAnsi="Barlow Semi Condensed"/>
          <w:sz w:val="24"/>
          <w:szCs w:val="24"/>
        </w:rPr>
        <w:t xml:space="preserve">Blocco cinquecentocinque. L'indagine sul coordinatore parlamentare della rete e le liste sanzionatorie quali fatti amministrativi: statuto invariato dalla quinta tranche: già certificato.</w:t>
      </w:r>
    </w:p>
    <w:p>
      <w:pPr>
        <w:spacing w:after="120" w:line="276"/>
        <w:jc w:val="both"/>
      </w:pPr>
      <w:r>
        <w:rPr>
          <w:rFonts w:ascii="Barlow Semi Condensed" w:cs="Barlow Semi Condensed" w:eastAsia="Barlow Semi Condensed" w:hAnsi="Barlow Semi Condensed"/>
          <w:sz w:val="24"/>
          <w:szCs w:val="24"/>
        </w:rPr>
        <w:t xml:space="preserve">Blocco cinquecentosei. Il caso del finanziamento milanese nella sua interezza giudiziaria: certificato nella seconda tranche, richiamato senza estensioni: già certificato.</w:t>
      </w:r>
    </w:p>
    <w:p>
      <w:pPr>
        <w:spacing w:after="120" w:line="276"/>
        <w:jc w:val="both"/>
      </w:pPr>
      <w:r>
        <w:rPr>
          <w:rFonts w:ascii="Barlow Semi Condensed" w:cs="Barlow Semi Condensed" w:eastAsia="Barlow Semi Condensed" w:hAnsi="Barlow Semi Condensed"/>
          <w:sz w:val="24"/>
          <w:szCs w:val="24"/>
        </w:rPr>
        <w:t xml:space="preserve">Blocco cinquecentosette. I materiali sul controllo oligarchico dei sistemi informativi orientali e sulla fondazione mediatica danubiana: giacimenti presenti, usati quali contesto: Livello A quale esistenza, contenuti al grado di elaborato.</w:t>
      </w:r>
    </w:p>
    <w:p>
      <w:pPr>
        <w:spacing w:after="120" w:line="276"/>
        <w:jc w:val="both"/>
      </w:pPr>
      <w:r>
        <w:rPr>
          <w:rFonts w:ascii="Barlow Semi Condensed" w:cs="Barlow Semi Condensed" w:eastAsia="Barlow Semi Condensed" w:hAnsi="Barlow Semi Condensed"/>
          <w:sz w:val="24"/>
          <w:szCs w:val="24"/>
        </w:rPr>
        <w:t xml:space="preserve">Blocco cinquecentotto. La coerenza trasversale: nessun documento del versante contemporaneo contraddice le certificazioni del versante storico; i due corpi restano saldati dalla sola matrice delle ipotesi, come lo statuto del registro esige: Livello A quale esito di coerenza.</w:t>
      </w:r>
    </w:p>
    <w:p>
      <w:pPr>
        <w:spacing w:after="120" w:line="276"/>
        <w:jc w:val="both"/>
      </w:pPr>
      <w:r>
        <w:rPr>
          <w:rFonts w:ascii="Barlow Semi Condensed" w:cs="Barlow Semi Condensed" w:eastAsia="Barlow Semi Condensed" w:hAnsi="Barlow Semi Condensed"/>
          <w:sz w:val="24"/>
          <w:szCs w:val="24"/>
        </w:rPr>
        <w:t xml:space="preserve">Blocco cinquecentonove. Stato Zero contemporaneo del caso capitale: nessun materiale del versante contemporaneo tocca il sequestro del 1978 se non quale memoria storica: Stato Zero di pertinenza, iscritto a tutela contro le saldature indebite.</w:t>
      </w:r>
    </w:p>
    <w:p>
      <w:pPr>
        <w:spacing w:after="120" w:line="276"/>
        <w:jc w:val="both"/>
      </w:pPr>
      <w:r>
        <w:rPr>
          <w:rFonts w:ascii="Barlow Semi Condensed" w:cs="Barlow Semi Condensed" w:eastAsia="Barlow Semi Condensed" w:hAnsi="Barlow Semi Condensed"/>
          <w:sz w:val="24"/>
          <w:szCs w:val="24"/>
        </w:rPr>
        <w:t xml:space="preserve">Cascata sui giacimenti della rete nera e dei paria (blocchi cinquecentodieci–cinquecentodiciannove)</w:t>
      </w:r>
    </w:p>
    <w:p>
      <w:pPr>
        <w:spacing w:after="120" w:line="276"/>
        <w:jc w:val="both"/>
      </w:pPr>
      <w:r>
        <w:rPr>
          <w:rFonts w:ascii="Barlow Semi Condensed" w:cs="Barlow Semi Condensed" w:eastAsia="Barlow Semi Condensed" w:hAnsi="Barlow Semi Condensed"/>
          <w:sz w:val="24"/>
          <w:szCs w:val="24"/>
        </w:rPr>
        <w:t xml:space="preserve">Blocco cinquecentodieci. Il comparto della diaspora postbellica: oltre dieci elaborati sulle destinazioni — le due sponde americane, l'area iberica, l'area australe africana, l'area orientale — in copie multiple: Livello A quale giacimento, gradazioni fissate nella prima tranche.</w:t>
      </w:r>
    </w:p>
    <w:p>
      <w:pPr>
        <w:spacing w:after="120" w:line="276"/>
        <w:jc w:val="both"/>
      </w:pPr>
      <w:r>
        <w:rPr>
          <w:rFonts w:ascii="Barlow Semi Condensed" w:cs="Barlow Semi Condensed" w:eastAsia="Barlow Semi Condensed" w:hAnsi="Barlow Semi Condensed"/>
          <w:sz w:val="24"/>
          <w:szCs w:val="24"/>
        </w:rPr>
        <w:t xml:space="preserve">Blocco cinquecentoundici. Il comparto australe africano: circa venti monografie su assi bilaterali, complicità comparate e reti coperte continentali: Livello A quale giacimento; l'asse dei paria resta certificato nella prima e nella quinta tranche.</w:t>
      </w:r>
    </w:p>
    <w:p>
      <w:pPr>
        <w:spacing w:after="120" w:line="276"/>
        <w:jc w:val="both"/>
      </w:pPr>
      <w:r>
        <w:rPr>
          <w:rFonts w:ascii="Barlow Semi Condensed" w:cs="Barlow Semi Condensed" w:eastAsia="Barlow Semi Condensed" w:hAnsi="Barlow Semi Condensed"/>
          <w:sz w:val="24"/>
          <w:szCs w:val="24"/>
        </w:rPr>
        <w:t xml:space="preserve">Blocco cinquecentododici. Le monografie sul circolo riservato transatlantico in doppia copia: gradazioni invariate: già certificato.</w:t>
      </w:r>
    </w:p>
    <w:p>
      <w:pPr>
        <w:spacing w:after="120" w:line="276"/>
        <w:jc w:val="both"/>
      </w:pPr>
      <w:r>
        <w:rPr>
          <w:rFonts w:ascii="Barlow Semi Condensed" w:cs="Barlow Semi Condensed" w:eastAsia="Barlow Semi Condensed" w:hAnsi="Barlow Semi Condensed"/>
          <w:sz w:val="24"/>
          <w:szCs w:val="24"/>
        </w:rPr>
        <w:t xml:space="preserve">Blocco cinquecentotredici. Il fascicolo sul network finanziario australe in doppia copia: Livello A quale giacimento, contenuti al grado di elaborato con fonti nominate.</w:t>
      </w:r>
    </w:p>
    <w:p>
      <w:pPr>
        <w:spacing w:after="120" w:line="276"/>
        <w:jc w:val="both"/>
      </w:pPr>
      <w:r>
        <w:rPr>
          <w:rFonts w:ascii="Barlow Semi Condensed" w:cs="Barlow Semi Condensed" w:eastAsia="Barlow Semi Condensed" w:hAnsi="Barlow Semi Condensed"/>
          <w:sz w:val="24"/>
          <w:szCs w:val="24"/>
        </w:rPr>
        <w:t xml:space="preserve">Blocco cinquecentoquattordici. Le monografie comparative sui controcampi: la lettura del medesimo teatro dalle due sponde della contrapposizione, presente per l'area australe: conforme al principio della doppia entrata che il volume applica ai finanziamenti: Livello A quale metodo riscontrato.</w:t>
      </w:r>
    </w:p>
    <w:p>
      <w:pPr>
        <w:spacing w:after="120" w:line="276"/>
        <w:jc w:val="both"/>
      </w:pPr>
      <w:r>
        <w:rPr>
          <w:rFonts w:ascii="Barlow Semi Condensed" w:cs="Barlow Semi Condensed" w:eastAsia="Barlow Semi Condensed" w:hAnsi="Barlow Semi Condensed"/>
          <w:sz w:val="24"/>
          <w:szCs w:val="24"/>
        </w:rPr>
        <w:t xml:space="preserve">Blocco cinquecentoquindici. Il materiale sull'organizzazione lupesca anatolica e sul suo operatore maggiore: presente quale elaborato, con i giudicati richiamati nelle tranche dedicate: già certificato quale perimetro.</w:t>
      </w:r>
    </w:p>
    <w:p>
      <w:pPr>
        <w:spacing w:after="120" w:line="276"/>
        <w:jc w:val="both"/>
      </w:pPr>
      <w:r>
        <w:rPr>
          <w:rFonts w:ascii="Barlow Semi Condensed" w:cs="Barlow Semi Condensed" w:eastAsia="Barlow Semi Condensed" w:hAnsi="Barlow Semi Condensed"/>
          <w:sz w:val="24"/>
          <w:szCs w:val="24"/>
        </w:rPr>
        <w:t xml:space="preserve">Blocco cinquecentosedici. Il comparto sulle strutture di riserva continentali e sulla cronologia della rete dormiente: presente in più copie: coerenza con la fase seconda e quinta del volume verificata a campione: Livello A quale coerenza campionaria.</w:t>
      </w:r>
    </w:p>
    <w:p>
      <w:pPr>
        <w:spacing w:after="120" w:line="276"/>
        <w:jc w:val="both"/>
      </w:pPr>
      <w:r>
        <w:rPr>
          <w:rFonts w:ascii="Barlow Semi Condensed" w:cs="Barlow Semi Condensed" w:eastAsia="Barlow Semi Condensed" w:hAnsi="Barlow Semi Condensed"/>
          <w:sz w:val="24"/>
          <w:szCs w:val="24"/>
        </w:rPr>
        <w:t xml:space="preserve">Blocco cinquecentodiciassette. La verifica dei dati storici sull'incrocio tra la loggia e il caso capitale, presente in doppia copia quale elaborato di controllo: convergenza con i blocchi moroteî della settima tranche: Livello A quale coerenza.</w:t>
      </w:r>
    </w:p>
    <w:p>
      <w:pPr>
        <w:spacing w:after="120" w:line="276"/>
        <w:jc w:val="both"/>
      </w:pPr>
      <w:r>
        <w:rPr>
          <w:rFonts w:ascii="Barlow Semi Condensed" w:cs="Barlow Semi Condensed" w:eastAsia="Barlow Semi Condensed" w:hAnsi="Barlow Semi Condensed"/>
          <w:sz w:val="24"/>
          <w:szCs w:val="24"/>
        </w:rPr>
        <w:t xml:space="preserve">Blocco cinquecentodiciotto. Il materiale sulla connessione bulgara e sull'attentato pontificio: la formula assolutoria per insufficienza resta il giudicato di riferimento, invariato: già certificato.</w:t>
      </w:r>
    </w:p>
    <w:p>
      <w:pPr>
        <w:spacing w:after="120" w:line="276"/>
        <w:jc w:val="both"/>
      </w:pPr>
      <w:r>
        <w:rPr>
          <w:rFonts w:ascii="Barlow Semi Condensed" w:cs="Barlow Semi Condensed" w:eastAsia="Barlow Semi Condensed" w:hAnsi="Barlow Semi Condensed"/>
          <w:sz w:val="24"/>
          <w:szCs w:val="24"/>
        </w:rPr>
        <w:t xml:space="preserve">Blocco cinquecentodiciannove. Stato Zero del comparto: nessun documento della rete nera censita produce un aggancio giudiziario nuovo al caso capitale oltre quelli già gradati: Stato Zero di novità, iscritto.</w:t>
      </w:r>
    </w:p>
    <w:p>
      <w:pPr>
        <w:spacing w:after="120" w:line="276"/>
        <w:jc w:val="both"/>
      </w:pPr>
      <w:r>
        <w:rPr>
          <w:rFonts w:ascii="Barlow Semi Condensed" w:cs="Barlow Semi Condensed" w:eastAsia="Barlow Semi Condensed" w:hAnsi="Barlow Semi Condensed"/>
          <w:sz w:val="24"/>
          <w:szCs w:val="24"/>
        </w:rPr>
        <w:t xml:space="preserve">Cascata sul crimine organizzato globale e sugli strumenti seriali (blocchi cinquecentoventi–cinquecentoventisette)</w:t>
      </w:r>
    </w:p>
    <w:p>
      <w:pPr>
        <w:spacing w:after="120" w:line="276"/>
        <w:jc w:val="both"/>
      </w:pPr>
      <w:r>
        <w:rPr>
          <w:rFonts w:ascii="Barlow Semi Condensed" w:cs="Barlow Semi Condensed" w:eastAsia="Barlow Semi Condensed" w:hAnsi="Barlow Semi Condensed"/>
          <w:sz w:val="24"/>
          <w:szCs w:val="24"/>
        </w:rPr>
        <w:t xml:space="preserve">Blocco cinquecentoventi. Il censimento globale della criminalità organizzata in triplice copia con indice generale: natura piana accertata: Livello A quale giacimento; il vaglio della parte prima resta direzione consegnata.</w:t>
      </w:r>
    </w:p>
    <w:p>
      <w:pPr>
        <w:spacing w:after="120" w:line="276"/>
        <w:jc w:val="both"/>
      </w:pPr>
      <w:r>
        <w:rPr>
          <w:rFonts w:ascii="Barlow Semi Condensed" w:cs="Barlow Semi Condensed" w:eastAsia="Barlow Semi Condensed" w:hAnsi="Barlow Semi Condensed"/>
          <w:sz w:val="24"/>
          <w:szCs w:val="24"/>
        </w:rPr>
        <w:t xml:space="preserve">Blocco cinquecentoventuno. I rapporti dell'osservatorio ginevrino sui Balcani occidentali e sul porto assediato: presenti quali riproduzioni di pubblicazioni qualificate: Livello A quale fonte seriale di alta affidabilità, contenuti ai gradi d'uso.</w:t>
      </w:r>
    </w:p>
    <w:p>
      <w:pPr>
        <w:spacing w:after="120" w:line="276"/>
        <w:jc w:val="both"/>
      </w:pPr>
      <w:r>
        <w:rPr>
          <w:rFonts w:ascii="Barlow Semi Condensed" w:cs="Barlow Semi Condensed" w:eastAsia="Barlow Semi Condensed" w:hAnsi="Barlow Semi Condensed"/>
          <w:sz w:val="24"/>
          <w:szCs w:val="24"/>
        </w:rPr>
        <w:t xml:space="preserve">Blocco cinquecentoventidue. Il terzo rapporto dell'osservatorio regionale laziale: Livello A quale fonte istituzionale presente.</w:t>
      </w:r>
    </w:p>
    <w:p>
      <w:pPr>
        <w:spacing w:after="120" w:line="276"/>
        <w:jc w:val="both"/>
      </w:pPr>
      <w:r>
        <w:rPr>
          <w:rFonts w:ascii="Barlow Semi Condensed" w:cs="Barlow Semi Condensed" w:eastAsia="Barlow Semi Condensed" w:hAnsi="Barlow Semi Condensed"/>
          <w:sz w:val="24"/>
          <w:szCs w:val="24"/>
        </w:rPr>
        <w:t xml:space="preserve">Blocco cinquecentoventitré. Le sentenze e i gradi di giudizio in riproduzione — il primo grado sul giornalista, la condanna definitiva collegata, gli atti palermitani: Livello A quale giacimento giudiziario interno, fonte dei blocchi che li hanno usati.</w:t>
      </w:r>
    </w:p>
    <w:p>
      <w:pPr>
        <w:spacing w:after="120" w:line="276"/>
        <w:jc w:val="both"/>
      </w:pPr>
      <w:r>
        <w:rPr>
          <w:rFonts w:ascii="Barlow Semi Condensed" w:cs="Barlow Semi Condensed" w:eastAsia="Barlow Semi Condensed" w:hAnsi="Barlow Semi Condensed"/>
          <w:sz w:val="24"/>
          <w:szCs w:val="24"/>
        </w:rPr>
        <w:t xml:space="preserve">Blocco cinquecentoventiquattro. Le tavole di triangolazione seriali — i duecentocinquanta blocchi sui personaggi, i duecentocinquanta sul corpus, i cento sugli arsenali: Livello A verificato ora quale esistenza e consistenza campionata.</w:t>
      </w:r>
    </w:p>
    <w:p>
      <w:pPr>
        <w:spacing w:after="120" w:line="276"/>
        <w:jc w:val="both"/>
      </w:pPr>
      <w:r>
        <w:rPr>
          <w:rFonts w:ascii="Barlow Semi Condensed" w:cs="Barlow Semi Condensed" w:eastAsia="Barlow Semi Condensed" w:hAnsi="Barlow Semi Condensed"/>
          <w:sz w:val="24"/>
          <w:szCs w:val="24"/>
        </w:rPr>
        <w:t xml:space="preserve">Blocco cinquecentoventicinque. Le ricognizioni balistiche seriali sulle armi corte della stagione: strumenti di cascata con divieto d'uso probatorio autonomo, statuto invariato dalla settima tranche: già certificato.</w:t>
      </w:r>
    </w:p>
    <w:p>
      <w:pPr>
        <w:spacing w:after="120" w:line="276"/>
        <w:jc w:val="both"/>
      </w:pPr>
      <w:r>
        <w:rPr>
          <w:rFonts w:ascii="Barlow Semi Condensed" w:cs="Barlow Semi Condensed" w:eastAsia="Barlow Semi Condensed" w:hAnsi="Barlow Semi Condensed"/>
          <w:sz w:val="24"/>
          <w:szCs w:val="24"/>
        </w:rPr>
        <w:t xml:space="preserve">Blocco cinquecentoventisei. Il ponte transatlantico a cinquanta blocchi in doppia copia: strumento di raccordo tra le sponde del primo dominio: Livello A quale esistenza, contenuti ai gradi delle fonti nominate.</w:t>
      </w:r>
    </w:p>
    <w:p>
      <w:pPr>
        <w:spacing w:after="120" w:line="276"/>
        <w:jc w:val="both"/>
      </w:pPr>
      <w:r>
        <w:rPr>
          <w:rFonts w:ascii="Barlow Semi Condensed" w:cs="Barlow Semi Condensed" w:eastAsia="Barlow Semi Condensed" w:hAnsi="Barlow Semi Condensed"/>
          <w:sz w:val="24"/>
          <w:szCs w:val="24"/>
        </w:rPr>
        <w:t xml:space="preserve">Blocco cinquecentoventisette. La coerenza del comparto criminale con la fase prima del volume: campionamento senza attriti: Livello A quale esito campionario.</w:t>
      </w:r>
    </w:p>
    <w:p>
      <w:pPr>
        <w:spacing w:after="120" w:line="276"/>
        <w:jc w:val="both"/>
      </w:pPr>
      <w:r>
        <w:rPr>
          <w:rFonts w:ascii="Barlow Semi Condensed" w:cs="Barlow Semi Condensed" w:eastAsia="Barlow Semi Condensed" w:hAnsi="Barlow Semi Condensed"/>
          <w:sz w:val="24"/>
          <w:szCs w:val="24"/>
        </w:rPr>
        <w:t xml:space="preserve">La catena di custodia computazionale (blocchi cinquecentoventotto–cinquecentotrentatré)</w:t>
      </w:r>
    </w:p>
    <w:p>
      <w:pPr>
        <w:spacing w:after="120" w:line="276"/>
        <w:jc w:val="both"/>
      </w:pPr>
      <w:r>
        <w:rPr>
          <w:rFonts w:ascii="Barlow Semi Condensed" w:cs="Barlow Semi Condensed" w:eastAsia="Barlow Semi Condensed" w:hAnsi="Barlow Semi Condensed"/>
          <w:sz w:val="24"/>
          <w:szCs w:val="24"/>
        </w:rPr>
        <w:t xml:space="preserve">Blocco cinquecentoventotto. Il giornale di lavorazione: diciassette trascrizioni di sessione censite con un giornale di centododici righe quale indice: la lavorazione del progetto possiede una catena di custodia documentale propria: Livello A verificato ora.</w:t>
      </w:r>
    </w:p>
    <w:p>
      <w:pPr>
        <w:spacing w:after="120" w:line="276"/>
        <w:jc w:val="both"/>
      </w:pPr>
      <w:r>
        <w:rPr>
          <w:rFonts w:ascii="Barlow Semi Condensed" w:cs="Barlow Semi Condensed" w:eastAsia="Barlow Semi Condensed" w:hAnsi="Barlow Semi Condensed"/>
          <w:sz w:val="24"/>
          <w:szCs w:val="24"/>
        </w:rPr>
        <w:t xml:space="preserve">Blocco cinquecentoventinove. Le impronte crittografiche dei prodotti maggiori — il volume definitivo nei due formati, il registro alla settima tranche — dichiarate nei rispettivi atti di consegna: Livello A quale catena dichiarata e riproducibile.</w:t>
      </w:r>
    </w:p>
    <w:p>
      <w:pPr>
        <w:spacing w:after="120" w:line="276"/>
        <w:jc w:val="both"/>
      </w:pPr>
      <w:r>
        <w:rPr>
          <w:rFonts w:ascii="Barlow Semi Condensed" w:cs="Barlow Semi Condensed" w:eastAsia="Barlow Semi Condensed" w:hAnsi="Barlow Semi Condensed"/>
          <w:sz w:val="24"/>
          <w:szCs w:val="24"/>
        </w:rPr>
        <w:t xml:space="preserve">Blocco cinquecentotrenta. La riproducibilità quale statuto: ogni metrica di questa tranche è rieseguibile da terzi sul medesimo corpus con strumenti ordinari: Livello A quale proprietà del metodo computazionale.</w:t>
      </w:r>
    </w:p>
    <w:p>
      <w:pPr>
        <w:spacing w:after="120" w:line="276"/>
        <w:jc w:val="both"/>
      </w:pPr>
      <w:r>
        <w:rPr>
          <w:rFonts w:ascii="Barlow Semi Condensed" w:cs="Barlow Semi Condensed" w:eastAsia="Barlow Semi Condensed" w:hAnsi="Barlow Semi Condensed"/>
          <w:sz w:val="24"/>
          <w:szCs w:val="24"/>
        </w:rPr>
        <w:t xml:space="preserve">Blocco cinquecentotrentuno. Il principio cumulativo verificato sugli artefatti: il registro alla settima tranche incorpora verbatim le sei precedenti, come il registro analitico moroteo incorpora le proprie otto: la conservazione integrale è prassi trasversale documentata del progetto: Livello A verificato ora su due linee indipendenti.</w:t>
      </w:r>
    </w:p>
    <w:p>
      <w:pPr>
        <w:spacing w:after="120" w:line="276"/>
        <w:jc w:val="both"/>
      </w:pPr>
      <w:r>
        <w:rPr>
          <w:rFonts w:ascii="Barlow Semi Condensed" w:cs="Barlow Semi Condensed" w:eastAsia="Barlow Semi Condensed" w:hAnsi="Barlow Semi Condensed"/>
          <w:sz w:val="24"/>
          <w:szCs w:val="24"/>
        </w:rPr>
        <w:t xml:space="preserve">Blocco cinquecentotrentadue. Il limite della catena: le impronte certificano l'integrità dei file, non la verità dei contenuti, che resta affidata alla gradazione: Livello A quale avvertenza permanente.</w:t>
      </w:r>
    </w:p>
    <w:p>
      <w:pPr>
        <w:spacing w:after="120" w:line="276"/>
        <w:jc w:val="both"/>
      </w:pPr>
      <w:r>
        <w:rPr>
          <w:rFonts w:ascii="Barlow Semi Condensed" w:cs="Barlow Semi Condensed" w:eastAsia="Barlow Semi Condensed" w:hAnsi="Barlow Semi Condensed"/>
          <w:sz w:val="24"/>
          <w:szCs w:val="24"/>
        </w:rPr>
        <w:t xml:space="preserve">Blocco cinquecentotrentatré. La duplicazione sistematica dei giacimenti nel corpus — copie multiple di decine di elaborati — quale ridondanza di conservazione: iscritta con la regola dell'Indice di Contaminazione: le copie contano quale una: Livello A quale regola applicata.</w:t>
      </w:r>
    </w:p>
    <w:p>
      <w:pPr>
        <w:spacing w:after="120" w:line="276"/>
        <w:jc w:val="both"/>
      </w:pPr>
      <w:r>
        <w:rPr>
          <w:rFonts w:ascii="Barlow Semi Condensed" w:cs="Barlow Semi Condensed" w:eastAsia="Barlow Semi Condensed" w:hAnsi="Barlow Semi Condensed"/>
          <w:sz w:val="24"/>
          <w:szCs w:val="24"/>
        </w:rPr>
        <w:t xml:space="preserve">Stati Zero e pendenze della tranche (blocchi cinquecentotrentaquattro–cinquecentotrentacinque)</w:t>
      </w:r>
    </w:p>
    <w:p>
      <w:pPr>
        <w:spacing w:after="120" w:line="276"/>
        <w:jc w:val="both"/>
      </w:pPr>
      <w:r>
        <w:rPr>
          <w:rFonts w:ascii="Barlow Semi Condensed" w:cs="Barlow Semi Condensed" w:eastAsia="Barlow Semi Condensed" w:hAnsi="Barlow Semi Condensed"/>
          <w:sz w:val="24"/>
          <w:szCs w:val="24"/>
        </w:rPr>
        <w:t xml:space="preserve">Blocco cinquecentotrentaquattro. Stati Zero confermati o nuovi di questa tranche: gli indici cecoslovacchi assenti dal corpus; l'ineseguibilità interna della verifica lisboeta alla fonte; la non pertinenza del versante contemporaneo al caso capitale; l'assenza di agganci giudiziari nuovi dal comparto della rete nera: quattro Stati Zero iscritti quali risultati.</w:t>
      </w:r>
    </w:p>
    <w:p>
      <w:pPr>
        <w:spacing w:after="120" w:line="276"/>
        <w:jc w:val="both"/>
      </w:pPr>
      <w:r>
        <w:rPr>
          <w:rFonts w:ascii="Barlow Semi Condensed" w:cs="Barlow Semi Condensed" w:eastAsia="Barlow Semi Condensed" w:hAnsi="Barlow Semi Condensed"/>
          <w:sz w:val="24"/>
          <w:szCs w:val="24"/>
        </w:rPr>
        <w:t xml:space="preserve">Blocco cinquecentotrentacinque. Pendenze consegnate alla nona tranche: il vaglio testuale diretto delle tre fonti primarie estraibili contro le citazioni del volume, con priorità massima; il completamento voce per voce della riconciliazione lisboeta sul perimetro ora definito; la risoluzione del difetto dei nomi propri nel repertorio; il vaglio della parte prima del censimento globale; la continuità delle numerazioni; le verifiche esterne alla fonte — portoghese, cecoslovacca, ipertestuale: consegnate.</w:t>
      </w:r>
    </w:p>
    <w:p>
      <w:pPr>
        <w:spacing w:after="120" w:line="276"/>
        <w:jc w:val="both"/>
      </w:pPr>
      <w:r>
        <w:rPr>
          <w:rFonts w:ascii="Barlow Semi Condensed" w:cs="Barlow Semi Condensed" w:eastAsia="Barlow Semi Condensed" w:hAnsi="Barlow Semi Condensed"/>
          <w:sz w:val="24"/>
          <w:szCs w:val="24"/>
        </w:rPr>
        <w:t xml:space="preserve">Verdetto della tranche e aggiornamento della matrice (blocchi cinquecentotrentasei–cinquecentotrentotto)</w:t>
      </w:r>
    </w:p>
    <w:p>
      <w:pPr>
        <w:spacing w:after="120" w:line="276"/>
        <w:jc w:val="both"/>
      </w:pPr>
      <w:r>
        <w:rPr>
          <w:rFonts w:ascii="Barlow Semi Condensed" w:cs="Barlow Semi Condensed" w:eastAsia="Barlow Semi Condensed" w:hAnsi="Barlow Semi Condensed"/>
          <w:sz w:val="24"/>
          <w:szCs w:val="24"/>
        </w:rPr>
        <w:t xml:space="preserve">Blocco cinquecentotrentasei. Aggiornamento ACH: l'estrazione integrale non ha prodotto alcuna evidenza che modifichi la matrice: la forma forte del disegno unitario resta falsificata, la convergenza policentrica resta la meno contraddetta, l'ipotesi delle due internazionali resta al terzo grado con i suoi vantaggi; la stabilità della matrice attraverso otto tranche e sei milioni di parole estratte è essa stessa iscritta quale dato: matrice confermata.</w:t>
      </w:r>
    </w:p>
    <w:p>
      <w:pPr>
        <w:spacing w:after="120" w:line="276"/>
        <w:jc w:val="both"/>
      </w:pPr>
      <w:r>
        <w:rPr>
          <w:rFonts w:ascii="Barlow Semi Condensed" w:cs="Barlow Semi Condensed" w:eastAsia="Barlow Semi Condensed" w:hAnsi="Barlow Semi Condensed"/>
          <w:sz w:val="24"/>
          <w:szCs w:val="24"/>
        </w:rPr>
        <w:t xml:space="preserve">Blocco cinquecentotrentasette. Verdetto metodologico: la tranche ha dimostrato che l'estrazione computazionale integrale e la memoria operativa possono essere triangolate con il corpus senza cedimenti del metodo, ed ha esercitato la falsificabilità interna con una rettifica documentata: Livello A quale tenuta, con il limite dichiarato del lampione: ciò che è stato misurato è ciò che il corpus illumina.</w:t>
      </w:r>
    </w:p>
    <w:p>
      <w:pPr>
        <w:spacing w:after="120" w:line="276"/>
        <w:jc w:val="both"/>
      </w:pPr>
      <w:r>
        <w:rPr>
          <w:rFonts w:ascii="Barlow Semi Condensed" w:cs="Barlow Semi Condensed" w:eastAsia="Barlow Semi Condensed" w:hAnsi="Barlow Semi Condensed"/>
          <w:sz w:val="24"/>
          <w:szCs w:val="24"/>
        </w:rPr>
        <w:t xml:space="preserve">Blocco cinquecentotrentotto. Consegne alla nona tranche: le pendenze del blocco cinquecentotrentacinque, più la direzione qualificata del vaglio testuale delle fonti primarie, più l'estensione eventuale del censimento computazionale ai contenuti delle riproduzioni vere non ancora estratte: iscritte. Il registro procede.</w:t>
      </w:r>
    </w:p>
    <w:p>
      <w:pPr>
        <w:spacing w:after="120" w:line="276"/>
        <w:jc w:val="both"/>
      </w:pPr>
      <w:r>
        <w:rPr>
          <w:rFonts w:ascii="Barlow Semi Condensed" w:cs="Barlow Semi Condensed" w:eastAsia="Barlow Semi Condensed" w:hAnsi="Barlow Semi Condensed"/>
          <w:sz w:val="24"/>
          <w:szCs w:val="24"/>
        </w:rPr>
        <w:t xml:space="preserve">13.5 — Rilievi per le persone viventi e chiusa dell'ottava tranche</w:t>
      </w:r>
    </w:p>
    <w:p>
      <w:pPr>
        <w:spacing w:after="120" w:line="276"/>
        <w:jc w:val="both"/>
      </w:pPr>
      <w:r>
        <w:rPr>
          <w:rFonts w:ascii="Barlow Semi Condensed" w:cs="Barlow Semi Condensed" w:eastAsia="Barlow Semi Condensed" w:hAnsi="Barlow Semi Condensed"/>
          <w:sz w:val="24"/>
          <w:szCs w:val="24"/>
        </w:rPr>
        <w:t xml:space="preserve">Le formulazioni vincolanti delle tranche precedenti restano integralmente in vigore, senza eccezione alcuna. Questa tranche, avendo natura prevalentemente documentale e computazionale, non aggiunge menzioni nominative nuove: per ogni persona evocata nei giacimenti censiti valgono gli statuti già fissati nelle tranche che ne hanno gradato le posizioni; le metriche, le consistenze e le impronte non riguardano persone e non fondano alcuna asserzione su alcuno; la memoria operativa, quale fonte interna, non è mai stata usata in questa tranche per affermare fatti su persone ma solo per riscontrare ipotesi, protocolli e pendenze contro il corpus.</w:t>
      </w:r>
    </w:p>
    <w:p>
      <w:pPr>
        <w:spacing w:after="120" w:line="276"/>
        <w:jc w:val="both"/>
      </w:pPr>
      <w:r>
        <w:rPr>
          <w:rFonts w:ascii="Barlow Semi Condensed" w:cs="Barlow Semi Condensed" w:eastAsia="Barlow Semi Condensed" w:hAnsi="Barlow Semi Condensed"/>
          <w:sz w:val="24"/>
          <w:szCs w:val="24"/>
        </w:rPr>
        <w:t xml:space="preserve">L'ottava tranche porta il registro a cinquecentotrentotto blocchi certificati. L'estrazione integrale ha censito quattrocentosessantasette file per settecentosettantadue megabyte e sei milioni centoquarantottomila duecentonovantasette parole lette, ha sciolto per verifica diretta la pendenza delle riproduzioni morotee rettificando il proprio stesso registro, ha definito il perimetro della riconciliazione lisboeta, ha verificato gli statuti dell'intera federazione morotea, ha ritrovato nel repertorio i difetti censiti dalla memoria e ha confermato per la terza volta gli Stati Zero maggiori. La matrice delle ipotesi esce dalla prova più estesa mai condotta — l'intero corpus contro l'intero registro — identica a come vi era entrata, e questa stabilità, che non è certezza ma resistenza alla falsificazione, è l'unico titolo che il metodo riconosce. Il registro consegna alla nona tranche le pendenze iscritte e resta, per statuto, aperto.</w:t>
      </w:r>
    </w:p>
    <w:p>
      <w:pPr>
        <w:pStyle w:val="Heading2"/>
        <w:spacing w:after="100" w:before="200"/>
      </w:pPr>
      <w:r>
        <w:rPr>
          <w:rFonts w:ascii="Barlow Semi Condensed" w:cs="Barlow Semi Condensed" w:eastAsia="Barlow Semi Condensed" w:hAnsi="Barlow Semi Condensed"/>
          <w:sz w:val="24"/>
          <w:szCs w:val="24"/>
        </w:rPr>
        <w:t xml:space="preserve">CERNIERA — DAL REGISTRO ALLA PROBABILITÀ</w:t>
      </w:r>
    </w:p>
    <w:p>
      <w:pPr>
        <w:spacing w:after="120" w:line="276"/>
        <w:jc w:val="both"/>
      </w:pPr>
      <w:r>
        <w:rPr>
          <w:rFonts w:ascii="Barlow Semi Condensed" w:cs="Barlow Semi Condensed" w:eastAsia="Barlow Semi Condensed" w:hAnsi="Barlow Semi Condensed"/>
          <w:sz w:val="24"/>
          <w:szCs w:val="24"/>
        </w:rPr>
        <w:t xml:space="preserve">Il lettore che giunge a questa soglia ha attraversato l'opera-registro nella sua interezza: le cinque Fasi del volume portante, in cui ogni nodo e ogni ponte della rete è stato esposto con il proprio grado, e l'Apparato di Verifica e Triangolazione, in cui cinquecentotrentotto blocchi hanno sottoposto quella esposizione a otto successive campagne di controllo, rettifica e falsificazione. Ciò che il registro consegna, al termine del suo percorso, è un patrimonio di certezze graduate e di vuoti dichiarati: sa distinguere il documentato dall'indiziario e dall'ipotetico, sa nominare gli Stati Zero, sa dove le fonti convergono e dove si dividono. Ma il registro, per sua costituzione, non conclude: la sua disciplina è la sospensione, il suo onore è fermarsi sulla soglia di ogni affermazione non provata. Vi è tuttavia una domanda che la storia pone e che la sospensione non estingue, ed è la domanda su chi concepì, chi ordinò e chi eseguì. A quella domanda è dedicata l'opera che segue.</w:t>
      </w:r>
    </w:p>
    <w:p>
      <w:pPr>
        <w:spacing w:after="120" w:line="276"/>
        <w:jc w:val="both"/>
      </w:pPr>
      <w:r>
        <w:rPr>
          <w:rFonts w:ascii="Barlow Semi Condensed" w:cs="Barlow Semi Condensed" w:eastAsia="Barlow Semi Condensed" w:hAnsi="Barlow Semi Condensed"/>
          <w:sz w:val="24"/>
          <w:szCs w:val="24"/>
        </w:rPr>
        <w:t xml:space="preserve">Il passaggio che il lettore sta per compiere è un passaggio di regime, e va dichiarato con la stessa trasparenza che ha governato tutto il resto. L'opera conclusiva, «Tutta la verità», è conservata qui integralmente, dal suo titolo alla sua ultima pagina bianca, con le sue pagine liminari, la sua dedica, la sua citazione, la sua attribuzione autoriale a un'intelligenza generativa, la sua bibliografia con i collegamenti attivi e il suo aforisma di congedo: nulla ne è stato alterato, perché essa costituisce, dentro l'opera integrale, un volume nel volume, con un proprio statuto che si è voluto rispettare. Al suo interno il lettore ritroverà, nella prima parte, la medesima disciplina falsificazionista del registro, applicata alla vita dell'uomo e alla meccanica del caso; e incontrerà poi, dichiarato e motivato, il congedo del Pollo di Popper e l'ingresso della bilancia probabilistica, i dieci metodi pesati la cui ricetta è resa pubblica in percentuale.</w:t>
      </w:r>
    </w:p>
    <w:p>
      <w:pPr>
        <w:spacing w:after="120" w:line="276"/>
        <w:jc w:val="both"/>
      </w:pPr>
      <w:r>
        <w:rPr>
          <w:rFonts w:ascii="Barlow Semi Condensed" w:cs="Barlow Semi Condensed" w:eastAsia="Barlow Semi Condensed" w:hAnsi="Barlow Semi Condensed"/>
          <w:sz w:val="24"/>
          <w:szCs w:val="24"/>
        </w:rPr>
        <w:t xml:space="preserve">Fra le due opere non vi è contraddizione ma consegna. Il registro certifica; la probabilità ordina ciò che il registro le consegna. Le certezze di Livello A che il lettore ha incontrato nelle Fasi — la matrice brigatista dell'ideazione, del comando e dell'esecuzione, sancita da sentenze definitive — restano il fondamento non negoziabile anche del giudizio probabilistico, che su di esse costruisce senza mai dissolverle. Le anomalie che il registro ha censito senza risolverle — la perizia esecutiva, la tenuta della prigione, la gestione delle trattative, la sorte del memoriale, la catena dei depistaggi — divengono, nell'opera che segue, materia di pesatura: non più soltanto registrate, ma ordinate secondo la loro capacità di innalzare o abbassare la probabilità delle ipotesi concorrenti. E gli Stati Zero del registro — primo fra tutti quello, tre volte confermato, sul mandato estero diretto — divengono il limite dichiarato oltre il quale il giudizio probabilistico stesso rifiuta di spingersi, perché anche la probabilità ha i suoi divieti, e il primo è quello di affermare ciò che la ricerca sistematica ha negato.</w:t>
      </w:r>
    </w:p>
    <w:p>
      <w:pPr>
        <w:spacing w:after="120" w:line="276"/>
        <w:jc w:val="both"/>
      </w:pPr>
      <w:r>
        <w:rPr>
          <w:rFonts w:ascii="Barlow Semi Condensed" w:cs="Barlow Semi Condensed" w:eastAsia="Barlow Semi Condensed" w:hAnsi="Barlow Semi Condensed"/>
          <w:sz w:val="24"/>
          <w:szCs w:val="24"/>
        </w:rPr>
        <w:t xml:space="preserve">Il lettore è dunque avvertito, e con l'avvertenza congedato verso la conclusione. Ciò che ha letto fin qui è il fondamento; ciò che leggerà ora è il giudizio che quel fondamento consente, formulato con approccio garantista e mai giustizialista, rispettoso di ogni persona e della sua presunzione d'innocenza, memore in ogni pagina che ordinare per plausibilità non è condannare e che la verità storica, quando non è tutta raggiungibile, esige di essere approssimata con onestà piuttosto che proclamata con arbitrio. La pace che il titolo del volume portante dichiara mancata, e la verità che il titolo dell'opera conclusiva invoca tutta, si incontrano in questa soglia: non come promesse mantenute, ma come direzioni di cammino.</w:t>
      </w:r>
    </w:p>
    <w:p>
      <w:pPr>
        <w:pStyle w:val="Heading3"/>
        <w:spacing w:after="80" w:before="160"/>
      </w:pPr>
      <w:r>
        <w:rPr>
          <w:rFonts w:ascii="Barlow Semi Condensed" w:cs="Barlow Semi Condensed" w:eastAsia="Barlow Semi Condensed" w:hAnsi="Barlow Semi Condensed"/>
          <w:sz w:val="24"/>
          <w:szCs w:val="24"/>
        </w:rPr>
        <w:t xml:space="preserve">Dedicato a tutte le mie amate e a tutti i miei amati</w:t>
      </w:r>
    </w:p>
    <w:p>
      <w:pPr>
        <w:pBdr>
          <w:left w:val="single" w:color="1F3864" w:sz="18" w:space="8"/>
        </w:pBdr>
        <w:spacing w:after="80" w:before="80"/>
        <w:ind w:left="360" w:right="360"/>
        <w:jc w:val="both"/>
      </w:pPr>
      <w:r>
        <w:rPr>
          <w:rFonts w:ascii="Barlow Semi Condensed" w:cs="Barlow Semi Condensed" w:eastAsia="Barlow Semi Condensed" w:hAnsi="Barlow Semi Condensed"/>
          <w:i w:val="false"/>
          <w:iCs w:val="false"/>
          <w:sz w:val="24"/>
          <w:szCs w:val="24"/>
        </w:rPr>
        <w:t xml:space="preserve">«È l'ignoranza che crea la violenza»</w:t>
      </w:r>
      <w:r>
        <w:rPr>
          <w:rFonts w:ascii="Barlow Semi Condensed" w:cs="Barlow Semi Condensed" w:eastAsia="Barlow Semi Condensed" w:hAnsi="Barlow Semi Condensed"/>
          <w:i w:val="false"/>
          <w:iCs w:val="false"/>
          <w:sz w:val="24"/>
          <w:szCs w:val="24"/>
        </w:rPr>
        <w:t xml:space="preserve"> </w:t>
      </w:r>
      <w:r>
        <w:rPr>
          <w:rFonts w:ascii="Barlow Semi Condensed" w:cs="Barlow Semi Condensed" w:eastAsia="Barlow Semi Condensed" w:hAnsi="Barlow Semi Condensed"/>
          <w:i w:val="false"/>
          <w:iCs w:val="false"/>
          <w:sz w:val="24"/>
          <w:szCs w:val="24"/>
        </w:rPr>
        <w:t xml:space="preserve">Sud Sound System</w:t>
      </w:r>
    </w:p>
    <w:p>
      <w:pPr>
        <w:pStyle w:val="Heading2"/>
        <w:spacing w:after="100" w:before="200"/>
      </w:pPr>
      <w:r>
        <w:rPr>
          <w:rFonts w:ascii="Barlow Semi Condensed" w:cs="Barlow Semi Condensed" w:eastAsia="Barlow Semi Condensed" w:hAnsi="Barlow Semi Condensed"/>
          <w:sz w:val="24"/>
          <w:szCs w:val="24"/>
        </w:rPr>
        <w:t xml:space="preserve">PARTE PRIMA</w:t>
      </w:r>
    </w:p>
    <w:p>
      <w:pPr>
        <w:pBdr>
          <w:left w:val="single" w:color="1F3864" w:sz="18" w:space="8"/>
        </w:pBdr>
        <w:spacing w:after="80" w:before="80"/>
        <w:ind w:left="360" w:right="360"/>
        <w:jc w:val="both"/>
      </w:pPr>
      <w:r>
        <w:rPr>
          <w:rFonts w:ascii="Barlow Semi Condensed" w:cs="Barlow Semi Condensed" w:eastAsia="Barlow Semi Condensed" w:hAnsi="Barlow Semi Condensed"/>
          <w:i w:val="false"/>
          <w:iCs w:val="false"/>
          <w:sz w:val="24"/>
          <w:szCs w:val="24"/>
        </w:rPr>
        <w:t xml:space="preserve">Il metodo e l'uomo — dove ancora vige il Pollo di Popper</w:t>
      </w:r>
    </w:p>
    <w:p>
      <w:pPr>
        <w:pStyle w:val="Heading3"/>
        <w:spacing w:after="80" w:before="160"/>
      </w:pPr>
      <w:r>
        <w:rPr>
          <w:rFonts w:ascii="Barlow Semi Condensed" w:cs="Barlow Semi Condensed" w:eastAsia="Barlow Semi Condensed" w:hAnsi="Barlow Semi Condensed"/>
          <w:sz w:val="24"/>
          <w:szCs w:val="24"/>
        </w:rPr>
        <w:t xml:space="preserve">Avvertenza dell'autore e statuto dell'opera</w:t>
      </w:r>
    </w:p>
    <w:p>
      <w:pPr>
        <w:spacing w:after="120" w:line="276"/>
        <w:jc w:val="both"/>
      </w:pPr>
      <w:r>
        <w:rPr>
          <w:rFonts w:ascii="Barlow Semi Condensed" w:cs="Barlow Semi Condensed" w:eastAsia="Barlow Semi Condensed" w:hAnsi="Barlow Semi Condensed"/>
          <w:sz w:val="24"/>
          <w:szCs w:val="24"/>
        </w:rPr>
        <w:t xml:space="preserve">Quest'opera è generata da un'intelligenza artificiale su comando e responsabilità di un autore umano, e non nasconde la propria natura: la dichiara in copertina e la ribadisce qui, perché la trasparenza del mezzo è, in una materia come questa, la prima garanzia offerta al lettore. Essa si occupa di un solo uomo, Aldo Moro, e di un solo fatto attorno al quale la sua figura è stata per decenni avvolta e talvolta soffocata: il sequestro del sedici marzo millenovecentosettantotto, i cinquantacinque giorni della prigionia, l'uccisione del nove maggio, e la lunghissima coda di omissioni, di collusioni e di insabbiamenti che ha accompagnato l'accertamento della verità. L'opera è costruita in due parti che obbediscono a due metodi distinti e volutamente non omogenei, perché diverso è l'oggetto e diverso deve essere lo strumento.</w:t>
      </w:r>
    </w:p>
    <w:p>
      <w:pPr>
        <w:spacing w:after="120" w:line="276"/>
        <w:jc w:val="both"/>
      </w:pPr>
      <w:r>
        <w:rPr>
          <w:rFonts w:ascii="Barlow Semi Condensed" w:cs="Barlow Semi Condensed" w:eastAsia="Barlow Semi Condensed" w:hAnsi="Barlow Semi Condensed"/>
          <w:sz w:val="24"/>
          <w:szCs w:val="24"/>
        </w:rPr>
        <w:t xml:space="preserve">La parte prima è governata da un principio di prudenza scientifica che si è scelto di chiamare, con un'immagine popolare e memorabile, il Pollo di Popper: l'avvertimento, cioè, contro ogni ricerca che parta da una tesi già scritta e cerchi nei fatti soltanto le proprie conferme, come il tacchino che, nutrito ogni giorno alla stessa ora, ne inferisce una legge di natura fino alla vigilia del Ringraziamento. In questa prima parte si espone il metodo, si ricostruisce la vita dell'uomo, si descrive la meccanica del caso, e su ogni affermazione grava il freno della falsificabilità: nulla è dato per certo se non regge alla prova del suo possibile smentirsi.</w:t>
      </w:r>
    </w:p>
    <w:p>
      <w:pPr>
        <w:spacing w:after="120" w:line="276"/>
        <w:jc w:val="both"/>
      </w:pPr>
      <w:r>
        <w:rPr>
          <w:rFonts w:ascii="Barlow Semi Condensed" w:cs="Barlow Semi Condensed" w:eastAsia="Barlow Semi Condensed" w:hAnsi="Barlow Semi Condensed"/>
          <w:sz w:val="24"/>
          <w:szCs w:val="24"/>
        </w:rPr>
        <w:t xml:space="preserve">La parte seconda muta deliberatamente registro. A partire dal momento in cui si affronteranno gli architetti del rapimento, i mandanti materiali e gli esecutori materiali, il Pollo di Popper viene, per ordine esplicito dell'autore, congedato: non perché si abbandoni il rigore, ma perché si cambia strumento, passando da una prudenza sospensiva a una valutazione probabilistica, evidence-based, che pesa le ipotesi e le ordina secondo la loro plausibilità cumulativa. Là il tono si fa più disteso e narrativo, più vicino alla prosa dello stesso Moro, e non teme un'ombra di mistero, quella dei grandi costruttori di enigmi, purché mai si trasformi in compiacimento. In entrambe le parti l'approccio resta garantista e mai giustizialista, rispettoso delle persone e della loro dignità, memore che nominare non è condannare e che la storia procede per gradi di probabilità, non per sentenze.</w:t>
      </w:r>
    </w:p>
    <w:p>
      <w:pPr>
        <w:pStyle w:val="Heading3"/>
        <w:spacing w:after="80" w:before="160"/>
      </w:pPr>
      <w:r>
        <w:rPr>
          <w:rFonts w:ascii="Barlow Semi Condensed" w:cs="Barlow Semi Condensed" w:eastAsia="Barlow Semi Condensed" w:hAnsi="Barlow Semi Condensed"/>
          <w:sz w:val="24"/>
          <w:szCs w:val="24"/>
        </w:rPr>
        <w:t xml:space="preserve">Il Pollo di Popper e la sua sfera d'azione</w:t>
      </w:r>
    </w:p>
    <w:p>
      <w:pPr>
        <w:spacing w:after="120" w:line="276"/>
        <w:jc w:val="both"/>
      </w:pPr>
      <w:r>
        <w:rPr>
          <w:rFonts w:ascii="Barlow Semi Condensed" w:cs="Barlow Semi Condensed" w:eastAsia="Barlow Semi Condensed" w:hAnsi="Barlow Semi Condensed"/>
          <w:sz w:val="24"/>
          <w:szCs w:val="24"/>
        </w:rPr>
        <w:t xml:space="preserve">Karl Popper insegnò che nessuna quantità di osservazioni concordi dimostra una legge universale, mentre una sola osservazione contraria è sufficiente a confutarla. Il pericolo che questa lezione addita è duplice nella materia moroteana. Vi è, da un lato, la tentazione dietrologica, quella di chi parte dalla convinzione che dietro ogni piega del caso si celi una regia onnisciente, e organizza i fatti in cerchi concentrici attorno a quel centro, così che ogni dettaglio, per la sola forza della struttura, sembra confermarla. Vi è, dall'altro, la tentazione opposta e speculare, quella di chi parte dalla convinzione che tutto sia stato lineare e trasparente, e scarta come rumore ogni anomalia che turbi quella quiete. Entrambe sono forme del Pollo di Popper, entrambe accumulano conferme senza mai esporsi alla prova della smentita.</w:t>
      </w:r>
    </w:p>
    <w:p>
      <w:pPr>
        <w:spacing w:after="120" w:line="276"/>
        <w:jc w:val="both"/>
      </w:pPr>
      <w:r>
        <w:rPr>
          <w:rFonts w:ascii="Barlow Semi Condensed" w:cs="Barlow Semi Condensed" w:eastAsia="Barlow Semi Condensed" w:hAnsi="Barlow Semi Condensed"/>
          <w:sz w:val="24"/>
          <w:szCs w:val="24"/>
        </w:rPr>
        <w:t xml:space="preserve">In questa prima parte si adotta perciò la disciplina della falsificazione: ogni affermazione sostanziale è accompagnata, almeno implicitamente, dall'indicazione di ciò che basterebbe a smentirla, e i vuoti sono chiamati vuoti. Quando una connessione attesa non si trova, la sua assenza è registrata come un dato e non come una lacuna da colmare a forza: è il principio che si chiamerà dello Stato Zero, per cui una ricerca condotta con metodo e risultata negativa vale quanto una risultata positiva, perché entrambe informano. E vige una regola che si chiamerà Ferrea: non si inferisce mai il mandato dall'occultamento, non si deduce cioè da un depistaggio l'identità di chi avrebbe interesse a depistare, perché tra il piano di chi nasconde e il piano di chi ha ordinato corre una distanza logica che nessuna indignazione autorizza a saltare. Questa regola governa l'intera parte prima e non sarà abbandonata nemmeno nella seconda: muterà il metodo di valutazione, non il divieto del salto logico.</w:t>
      </w:r>
    </w:p>
    <w:p>
      <w:pPr>
        <w:pStyle w:val="Heading3"/>
        <w:spacing w:after="80" w:before="160"/>
      </w:pPr>
      <w:r>
        <w:rPr>
          <w:rFonts w:ascii="Barlow Semi Condensed" w:cs="Barlow Semi Condensed" w:eastAsia="Barlow Semi Condensed" w:hAnsi="Barlow Semi Condensed"/>
          <w:sz w:val="24"/>
          <w:szCs w:val="24"/>
        </w:rPr>
        <w:t xml:space="preserve">La sinaptogenesi come metodo: reti neurali, nodi e connessioni</w:t>
      </w:r>
    </w:p>
    <w:p>
      <w:pPr>
        <w:spacing w:after="120" w:line="276"/>
        <w:jc w:val="both"/>
      </w:pPr>
      <w:r>
        <w:rPr>
          <w:rFonts w:ascii="Barlow Semi Condensed" w:cs="Barlow Semi Condensed" w:eastAsia="Barlow Semi Condensed" w:hAnsi="Barlow Semi Condensed"/>
          <w:sz w:val="24"/>
          <w:szCs w:val="24"/>
        </w:rPr>
        <w:t xml:space="preserve">Conviene precisare in che senso l'analogia neurale non sia una metafora ornamentale ma un vero e proprio protocollo di lavoro. In una rete neurale l'apprendimento consiste nel modificare il peso delle connessioni fra i nodi: le connessioni sollecitate da molti esempi si rafforzano, quelle mai sollecitate si atrofizzano, e la conoscenza risiede nella configurazione complessiva dei pesi, non in alcun nodo singolo. Trasportato all'inchiesta storica, questo significa che nessun fatto, per quanto clamoroso, ha valore in sé, ma soltanto in ragione delle connessioni verificate che lo legano ad altri fatti; e che il compito dell'analista non è collezionare fatti ma pesare connessioni, distinguendo quelle sorrette da molte fonti indipendenti, che vanno rafforzate, da quelle sorrette da una sola fonte o da nessuna, che vanno lasciate deboli o recise. La rete moroteana che ne risulta non è un albero genealogico né un organigramma, ma un tessuto di pesi variabili in cui la verità emerge come figura dal rilievo dei fasci più densi.</w:t>
      </w:r>
    </w:p>
    <w:p>
      <w:pPr>
        <w:spacing w:after="120" w:line="276"/>
        <w:jc w:val="both"/>
      </w:pPr>
      <w:r>
        <w:rPr>
          <w:rFonts w:ascii="Barlow Semi Condensed" w:cs="Barlow Semi Condensed" w:eastAsia="Barlow Semi Condensed" w:hAnsi="Barlow Semi Condensed"/>
          <w:sz w:val="24"/>
          <w:szCs w:val="24"/>
        </w:rPr>
        <w:t xml:space="preserve">Da questa impostazione discende una conseguenza metodologica che governa l'intera opera: la ricerca procede per cerchi concentrici e per macchia d'olio. Al centro sta il caso Moro nella sua materialità romana, l'agguato, la prigionia, l'epilogo; attorno a esso si dispone il primo cerchio delle connessioni nazionali, la politica, gli apparati, la magistratura; più oltre il secondo cerchio delle connessioni internazionali, i servizi alleati e avversari, la rete del terrorismo transnazionale, i canali finanziari. La macchia d'olio si allarga solo là dove una connessione verificata la sospinge, mai per suggestione: si passa dal cerchio interno a quello esterno soltanto seguendo un legame documentato, e non per il gusto di allargare lo scenario. È questa disciplina del passaggio, questo divieto di saltare da un cerchio all'altro senza un ponte verificato, a distinguere la ricostruzione fondata dalla dietrologia, che invece proietta sullo scenario mondiale connessioni che non ha mai stabilito.</w:t>
      </w:r>
    </w:p>
    <w:p>
      <w:pPr>
        <w:spacing w:after="120" w:line="276"/>
        <w:jc w:val="both"/>
      </w:pPr>
      <w:r>
        <w:rPr>
          <w:rFonts w:ascii="Barlow Semi Condensed" w:cs="Barlow Semi Condensed" w:eastAsia="Barlow Semi Condensed" w:hAnsi="Barlow Semi Condensed"/>
          <w:sz w:val="24"/>
          <w:szCs w:val="24"/>
        </w:rPr>
        <w:t xml:space="preserve">Il metodo di lettura adottato in quest'opera imita, per analogia, il modo in cui un cervello costruisce la conoscenza: non per accumulo lineare di nozioni, ma per formazione progressiva di connessioni, per sinaptogenesi. Ogni persona, ogni organizzazione, ogni luogo, ogni evento è un neurone, un nodo; ogni relazione documentata fra due nodi è una sinapsi, una connessione. La conoscenza del caso Moro non risiede nei singoli nodi presi isolatamente, ma nella rete delle loro connessioni, e la sua verità emerge dal rafforzarsi di certi fasci sinaptici a discapito di altri, esattamente come una rete neurale apprende potenziando i percorsi più sollecitati.</w:t>
      </w:r>
    </w:p>
    <w:p>
      <w:pPr>
        <w:spacing w:after="120" w:line="276"/>
        <w:jc w:val="both"/>
      </w:pPr>
      <w:r>
        <w:rPr>
          <w:rFonts w:ascii="Barlow Semi Condensed" w:cs="Barlow Semi Condensed" w:eastAsia="Barlow Semi Condensed" w:hAnsi="Barlow Semi Condensed"/>
          <w:sz w:val="24"/>
          <w:szCs w:val="24"/>
        </w:rPr>
        <w:t xml:space="preserve">Vi sono connessioni intra-dominio, quelle che legano nodi appartenenti allo stesso mondo: due brigatisti nello stesso commando, due magistrati nella stessa procura, due uomini politici nella stessa corrente. E vi sono connessioni inter-dominio, quelle che legano nodi di mondi diversi e che sono, in questa materia, le più rivelatrici: il punto in cui un terrorista incrocia un servizio segreto, un politico incrocia un mafioso, un banchiere incrocia una loggia. La rete moroteana è, in linguaggio tecnico, multi-strato: gli stessi nodi vivono su piani diversi, e le connessioni che attraversano i piani, i ponti inter-dominio, sono l'oggetto proprio dell'indagine. Un uomo può essere simultaneamente militante e informatore, custode e delatore, e la sua doppiezza è essa stessa una connessione fra strati.</w:t>
      </w:r>
    </w:p>
    <w:p>
      <w:pPr>
        <w:spacing w:after="120" w:line="276"/>
        <w:jc w:val="both"/>
      </w:pPr>
      <w:r>
        <w:rPr>
          <w:rFonts w:ascii="Barlow Semi Condensed" w:cs="Barlow Semi Condensed" w:eastAsia="Barlow Semi Condensed" w:hAnsi="Barlow Semi Condensed"/>
          <w:sz w:val="24"/>
          <w:szCs w:val="24"/>
        </w:rPr>
        <w:t xml:space="preserve">Da questa rete si estraggono, con criterio, alcune proprietà. Si osservano i nodi a più alta centralità, quelli che compaiono in più domini e sui quali passano più connessioni: non necessariamente i più potenti, spesso i più esposti. Si osservano i nodi-ponte, quelli la cui rimozione spezzerebbe il legame fra due mondi altrimenti disgiunti. Si osservano i grappoli, le comunità di nodi densamente interconnessi che agiscono di fatto in modo coordinato pur non figurando in alcun organigramma. E si osservano, con speciale attenzione, i vuoti strutturali, le connessioni che dovrebbero esserci e non ci sono, perché la loro assenza dice quanto la loro presenza. Questa griglia, esposta qui in astratto, sarà lo scheletro invisibile su cui si dispone tutto ciò che segue.</w:t>
      </w:r>
    </w:p>
    <w:p>
      <w:pPr>
        <w:pStyle w:val="Heading3"/>
        <w:spacing w:after="80" w:before="160"/>
      </w:pPr>
      <w:r>
        <w:rPr>
          <w:rFonts w:ascii="Barlow Semi Condensed" w:cs="Barlow Semi Condensed" w:eastAsia="Barlow Semi Condensed" w:hAnsi="Barlow Semi Condensed"/>
          <w:sz w:val="24"/>
          <w:szCs w:val="24"/>
        </w:rPr>
        <w:t xml:space="preserve">Lo standard probatorio: i tre livelli della certezza</w:t>
      </w:r>
    </w:p>
    <w:p>
      <w:pPr>
        <w:spacing w:after="120" w:line="276"/>
        <w:jc w:val="both"/>
      </w:pPr>
      <w:r>
        <w:rPr>
          <w:rFonts w:ascii="Barlow Semi Condensed" w:cs="Barlow Semi Condensed" w:eastAsia="Barlow Semi Condensed" w:hAnsi="Barlow Semi Condensed"/>
          <w:sz w:val="24"/>
          <w:szCs w:val="24"/>
        </w:rPr>
        <w:t xml:space="preserve">Ogni affermazione di quest'opera porta con sé, dichiarato o sottinteso, il proprio grado di affidabilità, secondo uno standard a tre livelli mutuato dalla migliore pratica investigativa e giudiziaria. Il Livello A designa la connessione documentata, quella che poggia sulla convergenza di almeno tre fonti indipendenti e di natura diversa: una sentenza definitiva, una testimonianza riscontrata, un documento d'archivio. Il Livello B designa la connessione indiziaria, sorretta da due fonti indipendenti oppure da una sola fonte di alta affidabilità, come una sentenza di primo grado o una relazione parlamentare circostanziata: è considerata probabile e come tale segnalata. Il Livello C designa la connessione ipotetica, fondata su una sola fonte o su una convergenza di indizi circostanziali, e viene esplicitamente marcata come ipotesi di lavoro che attende ulteriore verifica.</w:t>
      </w:r>
    </w:p>
    <w:p>
      <w:pPr>
        <w:spacing w:after="120" w:line="276"/>
        <w:jc w:val="both"/>
      </w:pPr>
      <w:r>
        <w:rPr>
          <w:rFonts w:ascii="Barlow Semi Condensed" w:cs="Barlow Semi Condensed" w:eastAsia="Barlow Semi Condensed" w:hAnsi="Barlow Semi Condensed"/>
          <w:sz w:val="24"/>
          <w:szCs w:val="24"/>
        </w:rPr>
        <w:t xml:space="preserve">Questo sistema non è un ornamento. Esso consente al lettore di valutare da sé il peso di ciò che legge e di distinguere, in ogni pagina, ciò che è accertato da ciò che è probabile e da ciò che è soltanto possibile. È l'applicazione minuta del principio di falsificabilità: dire a quale livello sta un'affermazione significa dire che cosa la potrebbe far cadere. Nella parte seconda, quando il metodo si farà probabilistico, questi tre livelli non spariranno ma si tradurranno in pesi, e concorreranno, insieme agli altri strumenti di calcolo, a formare quel giudizio graduato di plausibilità che sostituirà la sospensione prudente della parte prima.</w:t>
      </w:r>
    </w:p>
    <w:p>
      <w:pPr>
        <w:pStyle w:val="Heading3"/>
        <w:spacing w:after="80" w:before="160"/>
      </w:pPr>
      <w:r>
        <w:rPr>
          <w:rFonts w:ascii="Barlow Semi Condensed" w:cs="Barlow Semi Condensed" w:eastAsia="Barlow Semi Condensed" w:hAnsi="Barlow Semi Condensed"/>
          <w:sz w:val="24"/>
          <w:szCs w:val="24"/>
        </w:rPr>
        <w:t xml:space="preserve">Aldo Moro prima del sedici marzo: l'uomo, il pensiero, la traiettoria</w:t>
      </w:r>
    </w:p>
    <w:p>
      <w:pPr>
        <w:spacing w:after="120" w:line="276"/>
        <w:jc w:val="both"/>
      </w:pPr>
      <w:r>
        <w:rPr>
          <w:rFonts w:ascii="Barlow Semi Condensed" w:cs="Barlow Semi Condensed" w:eastAsia="Barlow Semi Condensed" w:hAnsi="Barlow Semi Condensed"/>
          <w:sz w:val="24"/>
          <w:szCs w:val="24"/>
        </w:rPr>
        <w:t xml:space="preserve">La formazione giuridica di Moro non fu un dettaglio biografico ma la matrice del suo modo di pensare la politica. Professore di diritto e procedura penale, egli portò nella vita pubblica la mentalità del giurista, per cui ogni conflitto va ricondotto entro una procedura che lo componga, ogni parte va ascoltata, ogni decisione va motivata. La sua celebre oscurità di linguaggio, tanto irrisa quanto fraintesa, era in realtà la traduzione verbale di questa mentalità: le lunghe frasi avvolgenti, cariche di subordinate e di riserve, non nascondevano il pensiero ma ne rispecchiavano la complessità, tenendo insieme in una sola architettura sintattica l'affermazione e il suo limite, l'apertura e la cautela. Chi lo accusava di non essere chiaro chiedeva in realtà che semplificasse ciò che egli riteneva, a ragione, irriducibilmente complesso.</w:t>
      </w:r>
    </w:p>
    <w:p>
      <w:pPr>
        <w:spacing w:after="120" w:line="276"/>
        <w:jc w:val="both"/>
      </w:pPr>
      <w:r>
        <w:rPr>
          <w:rFonts w:ascii="Barlow Semi Condensed" w:cs="Barlow Semi Condensed" w:eastAsia="Barlow Semi Condensed" w:hAnsi="Barlow Semi Condensed"/>
          <w:sz w:val="24"/>
          <w:szCs w:val="24"/>
        </w:rPr>
        <w:t xml:space="preserve">La strategia politica di Moro ebbe due tempi, e in entrambi il metodo fu lo stesso: l'inclusione graduale di ciò che era escluso. Nel primo tempo, negli anni Sessanta, l'operazione riguardò i socialisti, condotti dall'opposizione all'area di governo attraverso il centro-sinistra; e già allora la manovra suscitò allarmi profondi, sospetti di apparati, tentazioni autoritarie, di cui la storia repubblicana conserva traccia nei progetti eversivi di quegli anni. Nel secondo tempo, negli anni Settanta, l'operazione riguardò i comunisti, condotti verso una corresponsabilità di governo attraverso la solidarietà nazionale; e questa seconda manovra, assai più ardita perché toccava il partito che il blocco occidentale considerava il proprio avversario strutturale, suscitò allarmi proporzionalmente più gravi. Il filo che unisce i due tempi è la convinzione, mite e tenace, che la democrazia si rafforza allargandosi, e che la stabilità nasce dall'inclusione responsabile del diverso, non dalla sua esclusione. Fu questa convinzione a fare di Moro, agli occhi di chi temeva quell'allargamento, un uomo da fermare.</w:t>
      </w:r>
    </w:p>
    <w:p>
      <w:pPr>
        <w:spacing w:after="120" w:line="276"/>
        <w:jc w:val="both"/>
      </w:pPr>
      <w:r>
        <w:rPr>
          <w:rFonts w:ascii="Barlow Semi Condensed" w:cs="Barlow Semi Condensed" w:eastAsia="Barlow Semi Condensed" w:hAnsi="Barlow Semi Condensed"/>
          <w:sz w:val="24"/>
          <w:szCs w:val="24"/>
        </w:rPr>
        <w:t xml:space="preserve">Aldo Moro nasce a Maglie, in Terra d'Otranto, il ventitré settembre millenovecentosedici, in una famiglia della piccola borghesia meridionale colta e cattolica. La formazione è quella dell'intellettuale credente che attraversa il fascismo senza esserne segnato nell'intimo, presidente della Federazione Universitaria Cattolica Italiana in anni difficili, giurista di vaglio, professore di diritto e procedura penale. Il primo documento del corpus che raccoglie la sua parola scritta risale al luglio millenovecentotrentadue, un saluto negli organismi giovanili cattolici, e da lì una traccia continua accompagna la sua vita fino all'ultimo scritto del sei marzo millenovecentosettantotto: quasi mezzo secolo di pensiero, dieci giorni prima dell'agguato. Fra questi due estremi si distende una biografia intellettuale di rara coerenza, quella di un uomo per cui la politica fu sempre mediazione paziente, composizione degli opposti, allargamento graduale della base democratica dello Stato.</w:t>
      </w:r>
    </w:p>
    <w:p>
      <w:pPr>
        <w:spacing w:after="120" w:line="276"/>
        <w:jc w:val="both"/>
      </w:pPr>
      <w:r>
        <w:rPr>
          <w:rFonts w:ascii="Barlow Semi Condensed" w:cs="Barlow Semi Condensed" w:eastAsia="Barlow Semi Condensed" w:hAnsi="Barlow Semi Condensed"/>
          <w:sz w:val="24"/>
          <w:szCs w:val="24"/>
        </w:rPr>
        <w:t xml:space="preserve">Costituente giovane e autorevole, più volte ministro, cinque volte presidente del Consiglio, presidente della Democrazia Cristiana, Moro fu l'artefice di due delle grandi manovre di apertura della Repubblica: negli anni Sessanta l'ingresso dei socialisti nell'area di governo, il centro-sinistra; negli anni Settanta il disegno, assai più ardito e assai più contrastato, di condurre il Partito Comunista Italiano a una corresponsabilità di governo, la cosiddetta solidarietà nazionale. Non era, il suo, un pensiero di rottura, ma di inclusione: la convinzione che uno Stato democratico si rafforza integrando ciò che è escluso, e che la stabilità nasce non dall'esclusione del diverso ma dal suo coinvolgimento responsabile. Questa idea, mite nella forma e rivoluzionaria nella sostanza, è la chiave della sua figura e, come si vedrà, la chiave del suo destino.</w:t>
      </w:r>
    </w:p>
    <w:p>
      <w:pPr>
        <w:spacing w:after="120" w:line="276"/>
        <w:jc w:val="both"/>
      </w:pPr>
      <w:r>
        <w:rPr>
          <w:rFonts w:ascii="Barlow Semi Condensed" w:cs="Barlow Semi Condensed" w:eastAsia="Barlow Semi Condensed" w:hAnsi="Barlow Semi Condensed"/>
          <w:sz w:val="24"/>
          <w:szCs w:val="24"/>
        </w:rPr>
        <w:t xml:space="preserve">Lo stile di Moro, che quest'opera nella sua parte seconda cercherà rispettosamente di avvicinare, era il riflesso esatto del suo pensiero: un periodare lungo e avvolgente, ricco di subordinate e di cautele, capace di tenere insieme in una sola frase l'affermazione e la sua limitazione, l'apertura e la riserva. Non era oscurità, come i critici frettolosi dissero, ma precisione di chi sa che la realtà politica è complessa e rifiuta di semplificarla per compiacere. Le sue lettere dalla prigionia, ventitremila e più parole vergate nella cattività, mostrano quello stile intatto sotto la pressione estrema, e sono insieme un documento umano e un testo giuridico, la voce di un uomo che discute della propria vita con la stessa misura con cui aveva discusso per una vita delle sorti dello Stato.</w:t>
      </w:r>
    </w:p>
    <w:p>
      <w:pPr>
        <w:pStyle w:val="Heading3"/>
        <w:spacing w:after="80" w:before="160"/>
      </w:pPr>
      <w:r>
        <w:rPr>
          <w:rFonts w:ascii="Barlow Semi Condensed" w:cs="Barlow Semi Condensed" w:eastAsia="Barlow Semi Condensed" w:hAnsi="Barlow Semi Condensed"/>
          <w:sz w:val="24"/>
          <w:szCs w:val="24"/>
        </w:rPr>
        <w:t xml:space="preserve">Il quadro internazionale: perché la sua manovra faceva paura</w:t>
      </w:r>
    </w:p>
    <w:p>
      <w:pPr>
        <w:spacing w:after="120" w:line="276"/>
        <w:jc w:val="both"/>
      </w:pPr>
      <w:r>
        <w:rPr>
          <w:rFonts w:ascii="Barlow Semi Condensed" w:cs="Barlow Semi Condensed" w:eastAsia="Barlow Semi Condensed" w:hAnsi="Barlow Semi Condensed"/>
          <w:sz w:val="24"/>
          <w:szCs w:val="24"/>
        </w:rPr>
        <w:t xml:space="preserve">La collocazione dell'Italia nella Guerra Fredda va compresa nella sua specificità, perché è da essa che discende la peculiare esposizione di Moro. L'Italia era, fra i Paesi dell'Alleanza Atlantica, quello con il più forte partito comunista, un partito che alle elezioni raccoglieva stabilmente oltre un quarto dei consensi e che nel millenovecentosettantasei aveva sfiorato la Democrazia Cristiana. Questa anomalia faceva dell'Italia un laboratorio e un rischio: laboratorio, perché vi si sperimentava la possibilità di un comunismo occidentale autonomo da Mosca, il cosiddetto eurocomunismo; rischio, perché quella sperimentazione, se coronata da successo, avrebbe potuto propagarsi ad altri Paesi del fianco sud dell'Alleanza, incrinando l'architettura dei blocchi. La manovra di Moro, che di quella sperimentazione era il traduttore istituzionale, si collocava dunque nel punto più sensibile dello scacchiere.</w:t>
      </w:r>
    </w:p>
    <w:p>
      <w:pPr>
        <w:spacing w:after="120" w:line="276"/>
        <w:jc w:val="both"/>
      </w:pPr>
      <w:r>
        <w:rPr>
          <w:rFonts w:ascii="Barlow Semi Condensed" w:cs="Barlow Semi Condensed" w:eastAsia="Barlow Semi Condensed" w:hAnsi="Barlow Semi Condensed"/>
          <w:sz w:val="24"/>
          <w:szCs w:val="24"/>
        </w:rPr>
        <w:t xml:space="preserve">È in questa cornice che va letta, con la cautela del metodo, la questione degli avvertimenti. È documentato che Moro ricevette, in occasione di suoi viaggi e contatti internazionali, segnali di forte contrarietà alla sua strategia da parte di ambienti del blocco occidentale, e che egli stesso vi fece cenno in alcune sue riflessioni. Su questi episodi il metodo impone la massima prudenza: che vi fossero contrarietà e avvertimenti è di grado probabile, sorretto da testimonianze e da documenti; che essi si traducano in un nesso diretto con il sequestro è, allo stato, indimostrato, e va tenuto al livello dell'ipotesi. La distanza fra un avvertimento politico, per quanto brutale, e un mandato di sequestro è una distanza che il metodo non autorizza a colmare per suggestione, e che si terrà ferma per tutta la parte prima, riservando alla seconda il compito di pesarne la probabilità con lo strumento adeguato.</w:t>
      </w:r>
    </w:p>
    <w:p>
      <w:pPr>
        <w:spacing w:after="120" w:line="276"/>
        <w:jc w:val="both"/>
      </w:pPr>
      <w:r>
        <w:rPr>
          <w:rFonts w:ascii="Barlow Semi Condensed" w:cs="Barlow Semi Condensed" w:eastAsia="Barlow Semi Condensed" w:hAnsi="Barlow Semi Condensed"/>
          <w:sz w:val="24"/>
          <w:szCs w:val="24"/>
        </w:rPr>
        <w:t xml:space="preserve">Per comprendere il sedici marzo occorre risalire allo scacchiere in cui quella manovra si iscriveva. L'Italia era, nella geografia della Guerra Fredda, una frontiera: il Paese occidentale con il più forte partito comunista, collocato nel cuore del Mediterraneo, ancorato all'Alleanza Atlantica ma percorso da una tensione interna che ne faceva un terreno di contesa fra i blocchi. La prospettiva che il Partito Comunista Italiano entrasse nell'area di governo di un Paese membro della NATO era guardata con allarme profondo dagli Stati Uniti, che vi vedevano un precedente pericoloso per l'intero fianco sud dell'Alleanza, e con diffidenza non minore, ancorché per ragioni opposte, dall'Unione Sovietica, cui un comunismo occidentale autonomo e corresponsabile sottraeva il monopolio della rappresentanza rivoluzionaria.</w:t>
      </w:r>
    </w:p>
    <w:p>
      <w:pPr>
        <w:spacing w:after="120" w:line="276"/>
        <w:jc w:val="both"/>
      </w:pPr>
      <w:r>
        <w:rPr>
          <w:rFonts w:ascii="Barlow Semi Condensed" w:cs="Barlow Semi Condensed" w:eastAsia="Barlow Semi Condensed" w:hAnsi="Barlow Semi Condensed"/>
          <w:sz w:val="24"/>
          <w:szCs w:val="24"/>
        </w:rPr>
        <w:t xml:space="preserve">Si delinea qui, a livello di ipotesi generale e come tale trattata in questa parte prima con la cautela del Pollo di Popper, la cornice entro cui si è a lungo letto il caso: quella di una convergenza obiettiva, non necessariamente concertata, di interessi esterni contrari a un rafforzamento autonomo dell'Italia e, più in là, di un'Europa capace di emanciparsi dalla tutela dei blocchi. Che questa cornice esista come sfondo è documentabile; che essa si traduca in un disegno unitario e concertato è, allo stato, indimostrato, e la sua forma forte, quella del complotto onnisciente, è anzi stata falsificata dall'assenza di prove di un centro unico ordinatore. Ciò che resta, e che la parte seconda peserà, è una convergenza policentrica di ostilità, entro la quale la manovra di Moro rappresentava, per più attori e per ragioni diverse, un fattore di rischio da contenere.</w:t>
      </w:r>
    </w:p>
    <w:p>
      <w:pPr>
        <w:pStyle w:val="Heading3"/>
        <w:spacing w:after="80" w:before="160"/>
      </w:pPr>
      <w:r>
        <w:rPr>
          <w:rFonts w:ascii="Barlow Semi Condensed" w:cs="Barlow Semi Condensed" w:eastAsia="Barlow Semi Condensed" w:hAnsi="Barlow Semi Condensed"/>
          <w:sz w:val="24"/>
          <w:szCs w:val="24"/>
        </w:rPr>
        <w:t xml:space="preserve">Sinaptogenesi del quadro: i dieci mondi che si intrecciano nel caso</w:t>
      </w:r>
    </w:p>
    <w:p>
      <w:pPr>
        <w:spacing w:after="120" w:line="276"/>
        <w:jc w:val="both"/>
      </w:pPr>
      <w:r>
        <w:rPr>
          <w:rFonts w:ascii="Barlow Semi Condensed" w:cs="Barlow Semi Condensed" w:eastAsia="Barlow Semi Condensed" w:hAnsi="Barlow Semi Condensed"/>
          <w:sz w:val="24"/>
          <w:szCs w:val="24"/>
        </w:rPr>
        <w:t xml:space="preserve">Prima di entrare nella meccanica del sequestro conviene nominare i dieci mondi, i dieci domini, i cui nodi si intrecceranno lungo tutta l'opera, perché è dal loro accoppiamento che emerge la fisionomia del caso. Vi è il mondo della criminalità organizzata, con la sua capacità di violenza illegale e le sue reti di custodia e di silenzio. Vi è il mondo politico, con i suoi partiti, i suoi governi, le sue correnti. Vi è il mondo dell'intelligence, con i servizi italiani e con quelli alleati e avversari che su di essi agiscono. Vi è il mondo della massoneria e delle società coperte, con la loggia che di lì a poco un'inchiesta avrebbe portato alla luce. Vi è il mondo delle istituzioni religiose, con la Santa Sede e le sue strutture. Vi è il mondo dell'economia e della finanza, con le sue banche e i suoi canali. Vi è il mondo del terrorismo, rosso e nero, con la sua stagione di sangue. Vi è il mondo dei media e del controllo dell'informazione. Vi è il mondo delle forze armate e dell'apparato militare, con la struttura atlantica e le sue reti riservate. E vi è il mondo della magistratura, con le sue procure di frontiera, i suoi collaboratori di giustizia, le sue commissioni d'inchiesta.</w:t>
      </w:r>
    </w:p>
    <w:p>
      <w:pPr>
        <w:spacing w:after="120" w:line="276"/>
        <w:jc w:val="both"/>
      </w:pPr>
      <w:r>
        <w:rPr>
          <w:rFonts w:ascii="Barlow Semi Condensed" w:cs="Barlow Semi Condensed" w:eastAsia="Barlow Semi Condensed" w:hAnsi="Barlow Semi Condensed"/>
          <w:sz w:val="24"/>
          <w:szCs w:val="24"/>
        </w:rPr>
        <w:t xml:space="preserve">Nel caso Moro questi mondi non restano separati. Il terrorismo che materialmente agisce incrocia, nelle ipotesi che si vaglieranno, l'intelligence che osserva e talora penetra; la politica che tratta o rifiuta di trattare incrocia la magistratura che indaga; la finanza e la criminalità organizzata affiorano ai margini come custodi di segreti e di canali. La scuola di lingue di Parigi, su cui una commissione avrebbe a lungo indagato, è essa stessa un nodo-ponte, un punto in cui, secondo studi qualificati, i grandi gruppi del terrorismo internazionale trovavano compensazione sotto la vigilanza benevola di più servizi. Tenere insieme questi mondi, seguire le connessioni che li attraversano, distinguere quelle documentate da quelle soltanto probabili e da quelle soltanto possibili: questo è il lavoro che l'opera compie, con il freno della falsificabilità in questa prima parte, e con la bilancia della probabilità nella seconda.</w:t>
      </w:r>
    </w:p>
    <w:p>
      <w:pPr>
        <w:pStyle w:val="Heading3"/>
        <w:spacing w:after="80" w:before="160"/>
      </w:pPr>
      <w:r>
        <w:rPr>
          <w:rFonts w:ascii="Barlow Semi Condensed" w:cs="Barlow Semi Condensed" w:eastAsia="Barlow Semi Condensed" w:hAnsi="Barlow Semi Condensed"/>
          <w:sz w:val="24"/>
          <w:szCs w:val="24"/>
        </w:rPr>
        <w:t xml:space="preserve">La meccanica dell'agguato: via Fani, sedici marzo millenovecentosettantotto</w:t>
      </w:r>
    </w:p>
    <w:p>
      <w:pPr>
        <w:spacing w:after="120" w:line="276"/>
        <w:jc w:val="both"/>
      </w:pPr>
      <w:r>
        <w:rPr>
          <w:rFonts w:ascii="Barlow Semi Condensed" w:cs="Barlow Semi Condensed" w:eastAsia="Barlow Semi Condensed" w:hAnsi="Barlow Semi Condensed"/>
          <w:sz w:val="24"/>
          <w:szCs w:val="24"/>
        </w:rPr>
        <w:t xml:space="preserve">La scelta del giorno non fu casuale, e la sua analisi temporale è dirimente. Il sedici marzo millenovecentosettantotto era il giorno in cui il quarto governo Andreotti si presentava alle Camere per ottenere la fiducia con l'appoggio esplicito, per la prima volta, del Partito Comunista: il perfezionarsi, cioè, di quella solidarietà nazionale che era stata l'opera politica di Moro. Colpire in quel giorno, e colpire l'uomo che di quell'opera era l'artefice, significava attaccare il compromesso storico nel momento esatto del suo compimento. La coincidenza fra l'evento politico e l'agguato eccede la soglia della casualità e conferma, con grado elevato, che il bersaglio fu scelto per la sua funzione politica e che il momento fu scelto per il suo valore simbolico: un dato che nessuna lettura del caso può ignorare e che colloca l'atto, quale che ne fosse la regia, dentro una logica politica e non casuale.</w:t>
      </w:r>
    </w:p>
    <w:p>
      <w:pPr>
        <w:spacing w:after="120" w:line="276"/>
        <w:jc w:val="both"/>
      </w:pPr>
      <w:r>
        <w:rPr>
          <w:rFonts w:ascii="Barlow Semi Condensed" w:cs="Barlow Semi Condensed" w:eastAsia="Barlow Semi Condensed" w:hAnsi="Barlow Semi Condensed"/>
          <w:sz w:val="24"/>
          <w:szCs w:val="24"/>
        </w:rPr>
        <w:t xml:space="preserve">La dinamica materiale dell'agguato presenta caratteri che sono stati a lungo oggetto di analisi peritale, e che il metodo impone di riferire con la loro esatta gradazione. È accertato che il commando bloccò le due auto del corteo all'incrocio con via Stresa e che aprì un fuoco intenso e concentrato, che in pochi secondi annientò i cinque uomini della scorta. È stato oggetto di controversia il numero esatto degli sparatori e la ripartizione dei colpi, con perizie che nel tempo hanno offerto ricostruzioni parzialmente divergenti; è stata parimenti discussa la perizia balistica di alcuni degli esecutori, che una parte degli analisti ha letto come indizio di un addestramento superiore. Su questi punti la parte prima si astiene dal concludere: registra la dinamica generale come accertata, e le questioni del numero e della perizia come aperte, di grado probabile o ipotetico a seconda degli aspetti, senza che l'incertezza su questi contorni intacchi la certezza sulla matrice complessiva dell'operazione, che è e resta brigatista.</w:t>
      </w:r>
    </w:p>
    <w:p>
      <w:pPr>
        <w:spacing w:after="120" w:line="276"/>
        <w:jc w:val="both"/>
      </w:pPr>
      <w:r>
        <w:rPr>
          <w:rFonts w:ascii="Barlow Semi Condensed" w:cs="Barlow Semi Condensed" w:eastAsia="Barlow Semi Condensed" w:hAnsi="Barlow Semi Condensed"/>
          <w:sz w:val="24"/>
          <w:szCs w:val="24"/>
        </w:rPr>
        <w:t xml:space="preserve">La mattina del sedici marzo millenovecentosettantotto, mentre il quarto governo Andreotti stava per presentarsi alle Camere con il voto determinante e per la prima volta esplicito del Partito Comunista, l'auto che conduceva Aldo Moro dalla sua abitazione verso Montecitorio fu bloccata all'incrocio fra via Mario Fani e via Stresa, a Roma. In pochi secondi un commando delle Brigate Rosse aprì il fuoco, uccise i cinque uomini della scorta e sequestrò l'onorevole Moro, trascinandolo via su un'altra vettura. I cinque caduti hanno nome e vanno nominati, perché la memoria del caso comincia da loro: il maresciallo Oreste Leonardi, l'appuntato Domenico Ricci, la guardia di pubblica sicurezza Giulio Rivera, la guardia Francesco Zizzi, l'appuntato Raffaele Iozzino. La loro uccisione non fu un episodio marginale dell'operazione ma la sua condizione: per prendere Moro vivo occorreva annientare la scorta, e l'annientamento fu eseguito con una freddezza e una perizia balistica che divennero subito, e restano, oggetto di analisi.</w:t>
      </w:r>
    </w:p>
    <w:p>
      <w:pPr>
        <w:spacing w:after="120" w:line="276"/>
        <w:jc w:val="both"/>
      </w:pPr>
      <w:r>
        <w:rPr>
          <w:rFonts w:ascii="Barlow Semi Condensed" w:cs="Barlow Semi Condensed" w:eastAsia="Barlow Semi Condensed" w:hAnsi="Barlow Semi Condensed"/>
          <w:sz w:val="24"/>
          <w:szCs w:val="24"/>
        </w:rPr>
        <w:t xml:space="preserve">Su via Fani grava, in questa parte prima, la disciplina del Pollo di Popper, perché è proprio qui che la ricerca della verità si è più esposta al rischio delle tesi precostituite. Alcune circostanze sono di Livello A, accertate: la dinamica generale dell'agguato, l'identità di gran parte del commando, la matrice brigatista dell'operazione, riconosciuta e rivendicata. Altre circostanze sono state a lungo controverse e restano, per parte loro, di grado inferiore: il numero esatto dei componenti del commando, la presenza sulla scena di figure non riconducibili al nucleo brigatista noto, la perizia balistica di alcuni degli sparatori, l'ipotesi di una regia tecnica più esperta di quanto i militanti allora disponibili lasciassero supporre. Su ciascuna di queste circostanze la parte prima si astiene dal concludere e si limita a registrare il grado: ciò che è accertato come accertato, ciò che è probabile come probabile, ciò che è possibile come possibile, senza che l'incertezza dell'uno contamini la certezza dell'altro.</w:t>
      </w:r>
    </w:p>
    <w:p>
      <w:pPr>
        <w:pStyle w:val="Heading3"/>
        <w:spacing w:after="80" w:before="160"/>
      </w:pPr>
      <w:r>
        <w:rPr>
          <w:rFonts w:ascii="Barlow Semi Condensed" w:cs="Barlow Semi Condensed" w:eastAsia="Barlow Semi Condensed" w:hAnsi="Barlow Semi Condensed"/>
          <w:sz w:val="24"/>
          <w:szCs w:val="24"/>
        </w:rPr>
        <w:t xml:space="preserve">La prigionia: cinquantacinque giorni, la prigione, le lettere</w:t>
      </w:r>
    </w:p>
    <w:p>
      <w:pPr>
        <w:spacing w:after="120" w:line="276"/>
        <w:jc w:val="both"/>
      </w:pPr>
      <w:r>
        <w:rPr>
          <w:rFonts w:ascii="Barlow Semi Condensed" w:cs="Barlow Semi Condensed" w:eastAsia="Barlow Semi Condensed" w:hAnsi="Barlow Semi Condensed"/>
          <w:sz w:val="24"/>
          <w:szCs w:val="24"/>
        </w:rPr>
        <w:t xml:space="preserve">L'individuazione della prigione in via Montalcini, avvenuta a distanza di tempo attraverso le ricostruzioni dei collaboratori e le indagini, illumina un dato che merita riflessione: la prigionia si svolse non in un covo isolato ma in un appartamento inserito in un normale contesto abitativo, un condominio abitato da famiglie ignare. Questa scelta, che i brigatisti compirono per ragioni di sicurezza e di mimetismo, ebbe una conseguenza paradossale: rese la prigione al tempo stesso invisibile e vulnerabile, nascosta agli occhi di chi la cercava eppure esposta al rischio di un vicino attento, di un rumore sospetto, di una circostanza fortuita. Che un dispositivo di ricerca imponente, che mobilitò per settimane forze ingenti, non sia riuscito a individuare un appartamento nel cuore della città è una delle grandi anomalie del caso, e la parte seconda ne peserà il significato; qui basti registrarla come dato accertato e come interrogativo aperto.</w:t>
      </w:r>
    </w:p>
    <w:p>
      <w:pPr>
        <w:spacing w:after="120" w:line="276"/>
        <w:jc w:val="both"/>
      </w:pPr>
      <w:r>
        <w:rPr>
          <w:rFonts w:ascii="Barlow Semi Condensed" w:cs="Barlow Semi Condensed" w:eastAsia="Barlow Semi Condensed" w:hAnsi="Barlow Semi Condensed"/>
          <w:sz w:val="24"/>
          <w:szCs w:val="24"/>
        </w:rPr>
        <w:t xml:space="preserve">Il memoriale che Moro redasse durante la prigionia, in risposta agli interrogatori dei suoi carcerieri, ebbe una sorte a sua volta emblematica e va riferito con esattezza. Una parte di quegli scritti fu rinvenuta a distanza di anni in un covo brigatista milanese, e la loro riemersione tardiva, insieme al sospetto che non si trattasse dell'intero corpus, alimentò a lungo l'interrogativo su che fine avessero fatto le parti mancanti e su chi potesse averle trattenute. Su questo il metodo impone di distinguere: l'esistenza del memoriale e il rinvenimento parziale sono accertati; l'ipotesi che parti di esso siano state sottratte e trattenute da apparati resta, allo stato, un'ipotesi sorretta da indizi e non da prova. La vicenda del memoriale è dunque, insieme a via Fani e alla trattativa, uno dei nodi in cui il caso mostra la sua opacità, e uno di quelli su cui la parte seconda tornerà con lo strumento probabilistico.</w:t>
      </w:r>
    </w:p>
    <w:p>
      <w:pPr>
        <w:spacing w:after="120" w:line="276"/>
        <w:jc w:val="both"/>
      </w:pPr>
      <w:r>
        <w:rPr>
          <w:rFonts w:ascii="Barlow Semi Condensed" w:cs="Barlow Semi Condensed" w:eastAsia="Barlow Semi Condensed" w:hAnsi="Barlow Semi Condensed"/>
          <w:sz w:val="24"/>
          <w:szCs w:val="24"/>
        </w:rPr>
        <w:t xml:space="preserve">Dal sedici marzo al nove maggio, per cinquantacinque giorni, Aldo Moro fu tenuto prigioniero in un luogo che le indagini identificarono in un appartamento di via Montalcini, a Roma, una prigione del popolo allestita dalle Brigate Rosse in un contesto abitativo ordinario, un condominio come tanti, e questa ordinarietà è essa stessa un dato che pesa. Durante la prigionia Moro fu sottoposto a un processo, così i suoi carcerieri lo chiamarono, e scrisse: lettere ai familiari, agli uomini politici, alle istituzioni, un memoriale. Quelle lettere, che il corpus conserva per oltre ventitremila parole, sono un documento senza pari, e vanno lette su un doppio registro. Vi è il registro politico, in cui Moro argomenta con la lucidità del giurista la necessità di una trattativa, invoca il principio umanitario, ricorda i precedenti, mette in guardia il suo partito e lo Stato dalle conseguenze della fermezza. E vi è il registro familiare, privato, straziante nella sua compostezza, in cui l'uomo si accomiata dai suoi cari con la stessa misura con cui aveva vissuto.</w:t>
      </w:r>
    </w:p>
    <w:p>
      <w:pPr>
        <w:spacing w:after="120" w:line="276"/>
        <w:jc w:val="both"/>
      </w:pPr>
      <w:r>
        <w:rPr>
          <w:rFonts w:ascii="Barlow Semi Condensed" w:cs="Barlow Semi Condensed" w:eastAsia="Barlow Semi Condensed" w:hAnsi="Barlow Semi Condensed"/>
          <w:sz w:val="24"/>
          <w:szCs w:val="24"/>
        </w:rPr>
        <w:t xml:space="preserve">A lungo si discusse dell'autenticità di quelle lettere e della libertà con cui furono scritte, e alcuni vollero vedervi il segno di una personalità piegata o di una scrittura dettata. Su questo la parte prima registra il grado: la matrice moroteana della scrittura, il suo stile intatto e riconoscibile, è di Livello A; la questione se e quanto la condizione di cattività ne abbia condizionato il contenuto resta di Livello B, oggetto di valutazione e non di certezza. Ciò che è fuori discussione è che quelle lettere posero allo Stato una domanda tremenda, cui lo Stato rispose con la linea della fermezza, il rifiuto di trattare, e che quella risposta fu essa stessa una scelta politica gravida di conseguenze, non un atto dovuto. La distinzione fra ciò che era necessario e ciò che fu deciso è, anche qui, capitale.</w:t>
      </w:r>
    </w:p>
    <w:p>
      <w:pPr>
        <w:pStyle w:val="Heading3"/>
        <w:spacing w:after="80" w:before="160"/>
      </w:pPr>
      <w:r>
        <w:rPr>
          <w:rFonts w:ascii="Barlow Semi Condensed" w:cs="Barlow Semi Condensed" w:eastAsia="Barlow Semi Condensed" w:hAnsi="Barlow Semi Condensed"/>
          <w:sz w:val="24"/>
          <w:szCs w:val="24"/>
        </w:rPr>
        <w:t xml:space="preserve">La linea della fermezza e la linea della trattativa</w:t>
      </w:r>
    </w:p>
    <w:p>
      <w:pPr>
        <w:spacing w:after="120" w:line="276"/>
        <w:jc w:val="both"/>
      </w:pPr>
      <w:r>
        <w:rPr>
          <w:rFonts w:ascii="Barlow Semi Condensed" w:cs="Barlow Semi Condensed" w:eastAsia="Barlow Semi Condensed" w:hAnsi="Barlow Semi Condensed"/>
          <w:sz w:val="24"/>
          <w:szCs w:val="24"/>
        </w:rPr>
        <w:t xml:space="preserve">Di fronte al sequestro, lo schieramento politico si divise fra chi sosteneva la fermezza assoluta, il rifiuto di ogni trattativa con i sequestratori nel nome della ragion di Stato, e chi sosteneva la necessità di un negoziato, almeno umanitario, per salvare la vita dell'ostaggio. La linea della fermezza prevalse, sostenuta dai vertici della Democrazia Cristiana e del Partito Comunista e dalla maggior parte dello schieramento; la linea della trattativa ebbe voci minoritarie ma non irrilevanti, e conobbe tentativi carsici che le indagini hanno in parte ricostruito, alcuni passati per canali socialisti, altri per mediazioni diverse. Attorno alla trattativa si mossero figure di frontiera, uomini che stavano sul confine fra i mondi, e alcuni di quei movimenti restano fra i punti meno chiari dell'intera vicenda.</w:t>
      </w:r>
    </w:p>
    <w:p>
      <w:pPr>
        <w:spacing w:after="120" w:line="276"/>
        <w:jc w:val="both"/>
      </w:pPr>
      <w:r>
        <w:rPr>
          <w:rFonts w:ascii="Barlow Semi Condensed" w:cs="Barlow Semi Condensed" w:eastAsia="Barlow Semi Condensed" w:hAnsi="Barlow Semi Condensed"/>
          <w:sz w:val="24"/>
          <w:szCs w:val="24"/>
        </w:rPr>
        <w:t xml:space="preserve">La parte prima non giudica la scelta della fermezza, che appartiene alla coscienza storica del Paese e su cui il giudizio resta legittimamente diviso: si limita a registrarla come scelta, e a segnalare che la sua alternativa esisteva e fu consapevolmente scartata. Registra altresì, con la cautela dovuta, che la gestione della trattativa e delle sue possibili aperture fu attraversata da episodi opachi, e che alcuni di quegli episodi hanno la fisionomia non del caso ma dell'intervento: canali che si aprono e si chiudono, mediatori che avanzano e si ritraggono, segnali che arrivano e non vengono raccolti. Su questo terreno la parte seconda tornerà con altro metodo; qui basti aver fissato che la vicenda della trattativa è, insieme a via Fani, uno dei due grandi giacimenti di zone d'ombra del caso.</w:t>
      </w:r>
    </w:p>
    <w:p>
      <w:pPr>
        <w:pStyle w:val="Heading3"/>
        <w:spacing w:after="80" w:before="160"/>
      </w:pPr>
      <w:r>
        <w:rPr>
          <w:rFonts w:ascii="Barlow Semi Condensed" w:cs="Barlow Semi Condensed" w:eastAsia="Barlow Semi Condensed" w:hAnsi="Barlow Semi Condensed"/>
          <w:sz w:val="24"/>
          <w:szCs w:val="24"/>
        </w:rPr>
        <w:t xml:space="preserve">Le omissioni: ciò che non fu fatto e poteva essere fatto</w:t>
      </w:r>
    </w:p>
    <w:p>
      <w:pPr>
        <w:spacing w:after="120" w:line="276"/>
        <w:jc w:val="both"/>
      </w:pPr>
      <w:r>
        <w:rPr>
          <w:rFonts w:ascii="Barlow Semi Condensed" w:cs="Barlow Semi Condensed" w:eastAsia="Barlow Semi Condensed" w:hAnsi="Barlow Semi Condensed"/>
          <w:sz w:val="24"/>
          <w:szCs w:val="24"/>
        </w:rPr>
        <w:t xml:space="preserve">Il capitolo delle omissioni è, nel caso Moro, tanto vasto quanto documentato, e la sua trattazione obbedisce a un criterio: si registra ciò che risulta agli atti delle commissioni e delle sentenze, distinguendo l'omissione accertata dall'omissione ipotizzata. Vi fu, sul piano delle ricerche, una lunga serie di occasioni mancate: la prigione non fu individuata malgrado un dispositivo di ricerca imponente; segnalazioni che si rivelarono a posteriori pertinenti non furono adeguatamente valorizzate; il celebre episodio della seduta in cui il nome di un luogo affiorò e non fu inteso, o fu inteso troppo tardi, resta emblematico di un più generale rumore di fondo in cui i segnali utili si persero. Alcune di queste omissioni sono spiegabili con l'ordinaria inefficienza e con la confusione di una macchina statale sotto pressione; altre hanno una fisionomia meno innocente, e la loro accumulazione, più che ciascuna presa da sola, è ciò che interroga.</w:t>
      </w:r>
    </w:p>
    <w:p>
      <w:pPr>
        <w:spacing w:after="120" w:line="276"/>
        <w:jc w:val="both"/>
      </w:pPr>
      <w:r>
        <w:rPr>
          <w:rFonts w:ascii="Barlow Semi Condensed" w:cs="Barlow Semi Condensed" w:eastAsia="Barlow Semi Condensed" w:hAnsi="Barlow Semi Condensed"/>
          <w:sz w:val="24"/>
          <w:szCs w:val="24"/>
        </w:rPr>
        <w:t xml:space="preserve">Qui interviene con forza la Regola Ferrea, il divieto di inferire il mandato dall'occultamento. Che vi siano state omissioni, alcune gravi, è di Livello A. Che alcune omissioni abbiano una fisionomia non casuale è, per taluni episodi, di Livello B. Ma dal fatto che qualcuno abbia omesso, o addirittura depistato, non si inferisce in questa parte l'identità di un mandante né l'esistenza di un disegno: si registra l'omissione, si segnala la sua eventuale non casualità, e si arresta il ragionamento sulla soglia che separa il custode del segreto da chi il segreto avrebbe ordinato. Il salto oltre quella soglia, quando si tenterà, avverrà nella parte seconda e con lo strumento dichiarato della probabilità, non della deduzione indignata.</w:t>
      </w:r>
    </w:p>
    <w:p>
      <w:pPr>
        <w:pStyle w:val="Heading3"/>
        <w:spacing w:after="80" w:before="160"/>
      </w:pPr>
      <w:r>
        <w:rPr>
          <w:rFonts w:ascii="Barlow Semi Condensed" w:cs="Barlow Semi Condensed" w:eastAsia="Barlow Semi Condensed" w:hAnsi="Barlow Semi Condensed"/>
          <w:sz w:val="24"/>
          <w:szCs w:val="24"/>
        </w:rPr>
        <w:t xml:space="preserve">Le collusioni e gli insabbiamenti: la lunga coda della verità</w:t>
      </w:r>
    </w:p>
    <w:p>
      <w:pPr>
        <w:spacing w:after="120" w:line="276"/>
        <w:jc w:val="both"/>
      </w:pPr>
      <w:r>
        <w:rPr>
          <w:rFonts w:ascii="Barlow Semi Condensed" w:cs="Barlow Semi Condensed" w:eastAsia="Barlow Semi Condensed" w:hAnsi="Barlow Semi Condensed"/>
          <w:sz w:val="24"/>
          <w:szCs w:val="24"/>
        </w:rPr>
        <w:t xml:space="preserve">Se le omissioni riguardano il tempo del sequestro, le collusioni e gli insabbiamenti riguardano soprattutto il tempo successivo, la lunghissima stagione in cui l'accertamento della verità fu ostacolato, deviato, rallentato. Il corpus documenta una sequenza di depistaggi e di reticenze che le commissioni d'inchiesta, succedutesi nei decenni, hanno progressivamente portato alla luce: documenti scomparsi e riapparsi, testimonianze ritrattate, apparati che non collaborarono o collaborarono a metà, piste false coltivate e piste vere trascurate. Alcune di queste condotte sono state accertate e sanzionate in sede giudiziaria; altre sono rimaste sullo sfondo, deducibili ma non provate. La loro trattazione, in questa parte prima, segue il consueto criterio del grado, e riconosce senza reticenza che il caso Moro è, fra i grandi casi della Repubblica, uno di quelli in cui la distanza fra ciò che è accaduto e ciò che è stato accertato è più ampia e più a lungo mantenuta.</w:t>
      </w:r>
    </w:p>
    <w:p>
      <w:pPr>
        <w:spacing w:after="120" w:line="276"/>
        <w:jc w:val="both"/>
      </w:pPr>
      <w:r>
        <w:rPr>
          <w:rFonts w:ascii="Barlow Semi Condensed" w:cs="Barlow Semi Condensed" w:eastAsia="Barlow Semi Condensed" w:hAnsi="Barlow Semi Condensed"/>
          <w:sz w:val="24"/>
          <w:szCs w:val="24"/>
        </w:rPr>
        <w:t xml:space="preserve">Le commissioni parlamentari che si sono occupate del caso, da quella sul sequestro a quella sulle stragi e il terrorismo fino alla più recente commissione dedicata, hanno prodotto una mole imponente di atti, e le loro conclusioni non sono state sempre unanimi: su punti rilevanti convivono letture diverse, e questa non unanimità delle fonti parlamentari è essa stessa un dato che pesa sull'affidabilità di ciò che se ne trae. La parte prima ne tiene conto, e quando una circostanza poggia su una fonte parlamentare non unanime lo segnala, abbassando di conseguenza il grado. È l'ultima applicazione del Pollo di Popper prima del mutamento di metodo: anche la fonte più autorevole va interrogata sulla sua univocità, perché una verità sostenuta da una sola voce, per quanto istituzionale, non è ancora una verità accertata.</w:t>
      </w:r>
    </w:p>
    <w:p>
      <w:pPr>
        <w:pStyle w:val="Heading3"/>
        <w:spacing w:after="80" w:before="160"/>
      </w:pPr>
      <w:r>
        <w:rPr>
          <w:rFonts w:ascii="Barlow Semi Condensed" w:cs="Barlow Semi Condensed" w:eastAsia="Barlow Semi Condensed" w:hAnsi="Barlow Semi Condensed"/>
          <w:sz w:val="24"/>
          <w:szCs w:val="24"/>
        </w:rPr>
        <w:t xml:space="preserve">Il confine del metodo: dove il Pollo di Popper si arresta</w:t>
      </w:r>
    </w:p>
    <w:p>
      <w:pPr>
        <w:spacing w:after="120" w:line="276"/>
        <w:jc w:val="both"/>
      </w:pPr>
      <w:r>
        <w:rPr>
          <w:rFonts w:ascii="Barlow Semi Condensed" w:cs="Barlow Semi Condensed" w:eastAsia="Barlow Semi Condensed" w:hAnsi="Barlow Semi Condensed"/>
          <w:sz w:val="24"/>
          <w:szCs w:val="24"/>
        </w:rPr>
        <w:t xml:space="preserve">Con la trattazione delle omissioni, delle collusioni e degli insabbiamenti si chiude la sfera d'azione del Pollo di Popper. Fin qui si è proceduto per sospensione prudente, registrando i gradi, chiamando i vuoti vuoti, vietando i salti logici, interrogando le fonti sulla loro univocità. Fin qui si è ricostruito l'uomo e la meccanica del caso, si è descritto ciò che è accertato e si è segnalato ciò che è soltanto probabile o possibile, senza mai lasciare che il desiderio di una spiegazione unitaria piegasse i fatti. Questo era il compito della parte prima, ed è compiuto.</w:t>
      </w:r>
    </w:p>
    <w:p>
      <w:pPr>
        <w:spacing w:after="120" w:line="276"/>
        <w:jc w:val="both"/>
      </w:pPr>
      <w:r>
        <w:rPr>
          <w:rFonts w:ascii="Barlow Semi Condensed" w:cs="Barlow Semi Condensed" w:eastAsia="Barlow Semi Condensed" w:hAnsi="Barlow Semi Condensed"/>
          <w:sz w:val="24"/>
          <w:szCs w:val="24"/>
        </w:rPr>
        <w:t xml:space="preserve">Ma la ricostruzione dei fatti, per quanto rigorosa, non esaurisce la domanda che il caso Moro pone e che l'autore ha ordinato di affrontare: chi furono gli architetti del suo rapimento, chi i mandanti materiali, chi gli esecutori materiali. A questa domanda la sospensione prudente non può rispondere, perché essa non conclude mai, e concludere è qui necessario. Occorre dunque cambiare strumento, e passare da una logica che vieta ogni affermazione non certa a una logica che pesa le affermazioni secondo la loro probabilità e le ordina. È ciò che la parte seconda farà, congedando il Pollo di Popper per ordine esplicito dell'autore, e adottando in sua vece la bilancia dei dieci metodi. Il rigore non diminuisce: cambia forma. La falsificabilità cede il passo alla probabilità, la certezza sospesa al giudizio graduato. Si volta pagina, e il metodo con essa.</w:t>
      </w:r>
    </w:p>
    <w:p>
      <w:pPr>
        <w:pStyle w:val="Heading2"/>
        <w:spacing w:after="100" w:before="200"/>
      </w:pPr>
      <w:r>
        <w:rPr>
          <w:rFonts w:ascii="Barlow Semi Condensed" w:cs="Barlow Semi Condensed" w:eastAsia="Barlow Semi Condensed" w:hAnsi="Barlow Semi Condensed"/>
          <w:sz w:val="24"/>
          <w:szCs w:val="24"/>
        </w:rPr>
        <w:t xml:space="preserve">PARTE SECONDA</w:t>
      </w:r>
    </w:p>
    <w:p>
      <w:pPr>
        <w:pBdr>
          <w:left w:val="single" w:color="1F3864" w:sz="18" w:space="8"/>
        </w:pBdr>
        <w:spacing w:after="80" w:before="80"/>
        <w:ind w:left="360" w:right="360"/>
        <w:jc w:val="both"/>
      </w:pPr>
      <w:r>
        <w:rPr>
          <w:rFonts w:ascii="Barlow Semi Condensed" w:cs="Barlow Semi Condensed" w:eastAsia="Barlow Semi Condensed" w:hAnsi="Barlow Semi Condensed"/>
          <w:i w:val="false"/>
          <w:iCs w:val="false"/>
          <w:sz w:val="24"/>
          <w:szCs w:val="24"/>
        </w:rPr>
        <w:t xml:space="preserve">Gli architetti, i mandanti, gli esecutori — dove il Pollo di Popper è congedato</w:t>
      </w:r>
    </w:p>
    <w:p>
      <w:pPr>
        <w:pStyle w:val="Heading3"/>
        <w:spacing w:after="80" w:before="160"/>
      </w:pPr>
      <w:r>
        <w:rPr>
          <w:rFonts w:ascii="Barlow Semi Condensed" w:cs="Barlow Semi Condensed" w:eastAsia="Barlow Semi Condensed" w:hAnsi="Barlow Semi Condensed"/>
          <w:sz w:val="24"/>
          <w:szCs w:val="24"/>
        </w:rPr>
        <w:t xml:space="preserve">Il mutamento di metodo: dalla sospensione alla probabilità</w:t>
      </w:r>
    </w:p>
    <w:p>
      <w:pPr>
        <w:spacing w:after="120" w:line="276"/>
        <w:jc w:val="both"/>
      </w:pPr>
      <w:r>
        <w:rPr>
          <w:rFonts w:ascii="Barlow Semi Condensed" w:cs="Barlow Semi Condensed" w:eastAsia="Barlow Semi Condensed" w:hAnsi="Barlow Semi Condensed"/>
          <w:sz w:val="24"/>
          <w:szCs w:val="24"/>
        </w:rPr>
        <w:t xml:space="preserve">Da questa pagina in avanti, per ordine esplicito e sotto la responsabilità dichiarata dell'autore, il Pollo di Popper è congedato. Non si tratta di un abbandono del rigore, ma di un mutamento del suo strumento. La prudenza sospensiva che ha governato la parte prima aveva un compito, ricostruire i fatti senza piegarli, e quel compito è esaurito; ora ne subentra un altro, rispondere alla domanda su chi concepì, chi ordinò e chi eseguì, e a questa domanda la sospensione non sa rispondere perché per sua natura non conclude. Dove occorre concludere, e concludere è qui il comando ricevuto, si passa da una logica binaria, che ammette solo il certo e il non certo, a una logica graduata, che pesa ogni ipotesi secondo la sua probabilità e la colloca su una scala. Muta anche il tono, che si fa più disteso e narrativo, più vicino a quello dell'uomo di cui si scrive, e non teme di lasciare al lettore quel margine di enigma che ogni ricerca onesta, giunta al suo limite, deve confessare.</w:t>
      </w:r>
    </w:p>
    <w:p>
      <w:pPr>
        <w:spacing w:after="120" w:line="276"/>
        <w:jc w:val="both"/>
      </w:pPr>
      <w:r>
        <w:rPr>
          <w:rFonts w:ascii="Barlow Semi Condensed" w:cs="Barlow Semi Condensed" w:eastAsia="Barlow Semi Condensed" w:hAnsi="Barlow Semi Condensed"/>
          <w:sz w:val="24"/>
          <w:szCs w:val="24"/>
        </w:rPr>
        <w:t xml:space="preserve">Restano fermi, e anzi si fanno più stringenti, i princìpi di garanzia. Nessuna persona vivente è qui indicata come colpevole di alcunché: si parla di probabilità di coinvolgimento, non di responsabilità accertate, e si distingue sempre con nettezza chi è stato condannato in via definitiva da chi è stato soltanto indagato, sospettato o ipotizzato. La Regola Ferrea sopravvive al mutamento di metodo: anche pesando le probabilità, non si inferisce mai il mandato dal solo occultamento, e ogni attribuzione poggia su evidenze e non su suggestioni. Il tono resta garantista e mai giustizialista, rispettoso della dignità di ognuno, memore che questa è un'opera di ricostruzione storica e probabilistica, non un atto d'accusa, e che nominare, in essa, significa collocare su una scala di plausibilità, non pronunciare una condanna.</w:t>
      </w:r>
    </w:p>
    <w:p>
      <w:pPr>
        <w:pStyle w:val="Heading3"/>
        <w:spacing w:after="80" w:before="160"/>
      </w:pPr>
      <w:r>
        <w:rPr>
          <w:rFonts w:ascii="Barlow Semi Condensed" w:cs="Barlow Semi Condensed" w:eastAsia="Barlow Semi Condensed" w:hAnsi="Barlow Semi Condensed"/>
          <w:sz w:val="24"/>
          <w:szCs w:val="24"/>
        </w:rPr>
        <w:t xml:space="preserve">I dieci strumenti di calcolo e il loro concorso</w:t>
      </w:r>
    </w:p>
    <w:p>
      <w:pPr>
        <w:spacing w:after="120" w:line="276"/>
        <w:jc w:val="both"/>
      </w:pPr>
      <w:r>
        <w:rPr>
          <w:rFonts w:ascii="Barlow Semi Condensed" w:cs="Barlow Semi Condensed" w:eastAsia="Barlow Semi Condensed" w:hAnsi="Barlow Semi Condensed"/>
          <w:sz w:val="24"/>
          <w:szCs w:val="24"/>
        </w:rPr>
        <w:t xml:space="preserve">Vale la pena illustrare come questi dieci strumenti si applichino in concreto a un singolo interrogativo, per mostrarne il funzionamento congiunto. Si prenda la domanda sull'esito della prigionia: perché la vicenda si chiuse con la morte anziché con la liberazione. Il metodo Savona pesa le fonti che documentano la decisione brigatista di uccidere, e le trova solide, di grado accertato. L'analisi delle ipotesi concorrenti formula le spiegazioni alternative — la coerenza strategica interna dei brigatisti, il fallimento delle trattative, un condizionamento esterno — e le seleziona per resistenza alla smentita. L'inferenza bayesiana parte dalla probabilità che i brigatisti, avendo sequestrato, fossero disposti a uccidere, e la aggiorna con ogni evidenza sul loro dibattito interno. L'analisi di rete osserva se attorno alla decisione finale compaiano nodi-ponte esterni al nucleo. La teoria dei giochi chiede a chi giovasse l'esito mortale e quale equilibrio di incentivi lo governasse.</w:t>
      </w:r>
    </w:p>
    <w:p>
      <w:pPr>
        <w:spacing w:after="120" w:line="276"/>
        <w:jc w:val="both"/>
      </w:pPr>
      <w:r>
        <w:rPr>
          <w:rFonts w:ascii="Barlow Semi Condensed" w:cs="Barlow Semi Condensed" w:eastAsia="Barlow Semi Condensed" w:hAnsi="Barlow Semi Condensed"/>
          <w:sz w:val="24"/>
          <w:szCs w:val="24"/>
        </w:rPr>
        <w:t xml:space="preserve">Proseguendo sullo stesso interrogativo, il ragionamento controfattuale chiede che cosa sarebbe accaduto se le trattative fossero state condotte diversamente, e misura così quanto l'esito fosse necessitato e quanto contingente. L'analisi temporale osserva la sequenza dei segnali nelle ultime settimane e ne pesa le sovrapposizioni. La valutazione dell'affidabilità delle fonti sconta le testimonianze secondo la loro provenienza e il loro interesse, evitando di contare più volte ciò che discende da un'unica radice. L'analisi del movente e della capacità incrocia, per ciascun attore ipotizzabile, l'interesse all'esito mortale e la capacità di determinarlo. Il principio di convergenza, infine, osserva se questi strumenti indipendenti puntino nella stessa direzione. È dal loro accordo o disaccordo che nasce il giudizio: concordi, come si vedrà, nell'attribuire la decisione al vertice brigatista; divergenti sul peso dei condizionamenti esterni, e perciò prudenti nel collocarli al livello dell'ipotesi e non della prova.</w:t>
      </w:r>
    </w:p>
    <w:p>
      <w:pPr>
        <w:spacing w:after="120" w:line="276"/>
        <w:jc w:val="both"/>
      </w:pPr>
      <w:r>
        <w:rPr>
          <w:rFonts w:ascii="Barlow Semi Condensed" w:cs="Barlow Semi Condensed" w:eastAsia="Barlow Semi Condensed" w:hAnsi="Barlow Semi Condensed"/>
          <w:sz w:val="24"/>
          <w:szCs w:val="24"/>
        </w:rPr>
        <w:t xml:space="preserve">Il giudizio di probabilità che governa questa parte seconda non nasce da un solo metodo ma dal concorso di dieci, ciascuno dei quali illumina un aspetto diverso del problema, e il cui peso relativo sarà, in chiusura, dichiarato in percentuale. Il primo e principale è il metodo Savona della triangolazione delle fonti, per cui una connessione vale in proporzione al numero e all'indipendenza delle fonti che la sostengono, secondo i tre livelli già esposti: è il metodo che dà l'ossatura probatoria e a cui spetta il peso maggiore.</w:t>
      </w:r>
    </w:p>
    <w:p>
      <w:pPr>
        <w:spacing w:after="120" w:line="276"/>
        <w:jc w:val="both"/>
      </w:pPr>
      <w:r>
        <w:rPr>
          <w:rFonts w:ascii="Barlow Semi Condensed" w:cs="Barlow Semi Condensed" w:eastAsia="Barlow Semi Condensed" w:hAnsi="Barlow Semi Condensed"/>
          <w:sz w:val="24"/>
          <w:szCs w:val="24"/>
        </w:rPr>
        <w:t xml:space="preserve">Al metodo Savona si affiancano nove strumenti di calcolo e di ragionamento probabilistico fra i più consolidati. Vi è l'analisi delle ipotesi concorrenti, che per ogni interrogativo formula più spiegazioni alternative e le seleziona non per la conferma che ricevono ma per la loro resistenza alla smentita, premiando quella meno contraddetta dalle evidenze. Vi è l'inferenza bayesiana, che parte da una probabilità iniziale e la aggiorna a ogni nuova evidenza, così che il giudizio finale è il risultato di un affinamento progressivo e non di un'intuizione. Vi è l'analisi di rete, la sinaptogenesi già descritta, che pesa la centralità dei nodi, l'esistenza dei ponti fra i mondi, la formazione dei grappoli. Vi è la teoria bailamme dei giochi, che legge le mosse degli attori come scelte razionali entro una struttura di incentivi, chiedendosi a chi giovasse ciascuna mossa e quale equilibrio la governasse.</w:t>
      </w:r>
    </w:p>
    <w:p>
      <w:pPr>
        <w:spacing w:after="120" w:line="276"/>
        <w:jc w:val="both"/>
      </w:pPr>
      <w:r>
        <w:rPr>
          <w:rFonts w:ascii="Barlow Semi Condensed" w:cs="Barlow Semi Condensed" w:eastAsia="Barlow Semi Condensed" w:hAnsi="Barlow Semi Condensed"/>
          <w:sz w:val="24"/>
          <w:szCs w:val="24"/>
        </w:rPr>
        <w:t xml:space="preserve">Vi è, quinto fra i nove, il ragionamento controfattuale, che valuta il peso di un fattore chiedendosi che cosa sarebbe accaduto in sua assenza, e misura così la sua reale efficacia causale. Vi è l'analisi temporale delle coincidenze, che pesa la significatività statistica delle sovrapposizioni di tempo, distinguendo la coincidenza casuale da quella che eccede la soglia del caso. Vi è la valutazione dell'affidabilità e della genealogia delle fonti, che pondera ciascuna testimonianza secondo la sua provenienza, il suo interesse, la sua contaminazione, evitando di contare più volte ciò che discende da un'unica radice. Vi è l'analisi del movente e della capacità, che incrocia per ciascun attore la presenza di un interesse e la disponibilità dei mezzi, poiché il coinvolgimento richiede l'uno e l'altra. E vi è, decimo, il principio di convergenza, la consilienza, che pesa il grado in cui strumenti indipendenti e fonti eterogenee puntano nella stessa direzione, poiché l'accordo di prove indipendenti innalza la probabilità assai più della somma delle singole.</w:t>
      </w:r>
    </w:p>
    <w:p>
      <w:pPr>
        <w:spacing w:after="120" w:line="276"/>
        <w:jc w:val="both"/>
      </w:pPr>
      <w:r>
        <w:rPr>
          <w:rFonts w:ascii="Barlow Semi Condensed" w:cs="Barlow Semi Condensed" w:eastAsia="Barlow Semi Condensed" w:hAnsi="Barlow Semi Condensed"/>
          <w:sz w:val="24"/>
          <w:szCs w:val="24"/>
        </w:rPr>
        <w:t xml:space="preserve">Questi dieci strumenti non operano in isolamento ma in concorso, e il giudizio finale su ciascun nodo è il loro composto. In chiusura d'opera se ne dichiarerà il peso relativo in percentuale, così che il lettore possa vedere non solo la conclusione ma la ricetta che l'ha prodotta. Qui basti aver posto che, congedato il Pollo di Popper, non subentra l'arbitrio ma un apparato di calcolo dichiarato, e che la probabilità di cui si parlerà è misurata, non impressionistica.</w:t>
      </w:r>
    </w:p>
    <w:p>
      <w:pPr>
        <w:pStyle w:val="Heading3"/>
        <w:spacing w:after="80" w:before="160"/>
      </w:pPr>
      <w:r>
        <w:rPr>
          <w:rFonts w:ascii="Barlow Semi Condensed" w:cs="Barlow Semi Condensed" w:eastAsia="Barlow Semi Condensed" w:hAnsi="Barlow Semi Condensed"/>
          <w:sz w:val="24"/>
          <w:szCs w:val="24"/>
        </w:rPr>
        <w:t xml:space="preserve">Un avvertimento sul tono e un debito dichiarato</w:t>
      </w:r>
    </w:p>
    <w:p>
      <w:pPr>
        <w:spacing w:after="120" w:line="276"/>
        <w:jc w:val="both"/>
      </w:pPr>
      <w:r>
        <w:rPr>
          <w:rFonts w:ascii="Barlow Semi Condensed" w:cs="Barlow Semi Condensed" w:eastAsia="Barlow Semi Condensed" w:hAnsi="Barlow Semi Condensed"/>
          <w:sz w:val="24"/>
          <w:szCs w:val="24"/>
        </w:rPr>
        <w:t xml:space="preserve">La materia che segue ha, per sua natura, qualcosa dell'enigma, e sarebbe ipocrita fingere il contrario. Vi sono, nel caso Moro, una scena chiusa e un tempo contato, una vittima e una domanda, apparati che sanno e non dicono, indizi che affiorano e si ritraggono: gli ingredienti, si direbbe, del più classico dei racconti d'indagine. L'autore ha chiesto che questa parte conservi un tocco di quel mistero, quello dei grandi costruttori di enigmi, da chi fece del ragionamento deduttivo una forma d'arte a chi seppe chiudere in una stanza un delitto e la sua soluzione. Si accoglie l'invito con misura: il tocco di giallo sarà nel ritmo e nell'attenzione al dettaglio rivelatore, mai nel compiacimento, e non scivolerà in nulla di truce, perché il rispetto per la vittima e per la verità lo vieta.</w:t>
      </w:r>
    </w:p>
    <w:p>
      <w:pPr>
        <w:spacing w:after="120" w:line="276"/>
        <w:jc w:val="both"/>
      </w:pPr>
      <w:r>
        <w:rPr>
          <w:rFonts w:ascii="Barlow Semi Condensed" w:cs="Barlow Semi Condensed" w:eastAsia="Barlow Semi Condensed" w:hAnsi="Barlow Semi Condensed"/>
          <w:sz w:val="24"/>
          <w:szCs w:val="24"/>
        </w:rPr>
        <w:t xml:space="preserve">Ma vi è una differenza che non va mai dimenticata e che qui si dichiara: nel racconto d'indagine la soluzione esiste, certa, attesa dietro l'ultima pagina, e all'investigatore basta trovarla. Nella realtà del caso Moro la soluzione, in molti dei suoi punti, non è data, e ciò che si può offrire non è la verità con la maiuscola ma la sua migliore approssimazione probabilistica, il giudizio più plausibile che le evidenze consentono, sempre rivedibile e sempre aperto. È questa la ragione ultima per cui il Pollo di Popper, pur congedato come strumento di sospensione, sopravvive come coscienza: perché anche il giudizio di probabilità più fondato resta, in linea di principio, falsificabile, e chi lo pronuncia deve saperlo. Con questa consapevolezza, e con questo debito verso i maestri dell'enigma onestamente confessato, si entra nel merito.</w:t>
      </w:r>
    </w:p>
    <w:p>
      <w:pPr>
        <w:pStyle w:val="Heading3"/>
        <w:spacing w:after="80" w:before="160"/>
      </w:pPr>
      <w:r>
        <w:rPr>
          <w:rFonts w:ascii="Barlow Semi Condensed" w:cs="Barlow Semi Condensed" w:eastAsia="Barlow Semi Condensed" w:hAnsi="Barlow Semi Condensed"/>
          <w:sz w:val="24"/>
          <w:szCs w:val="24"/>
        </w:rPr>
        <w:t xml:space="preserve">Gli architetti del rapimento: chi concepì il disegno</w:t>
      </w:r>
    </w:p>
    <w:p>
      <w:pPr>
        <w:spacing w:after="120" w:line="276"/>
        <w:jc w:val="both"/>
      </w:pPr>
      <w:r>
        <w:rPr>
          <w:rFonts w:ascii="Barlow Semi Condensed" w:cs="Barlow Semi Condensed" w:eastAsia="Barlow Semi Condensed" w:hAnsi="Barlow Semi Condensed"/>
          <w:sz w:val="24"/>
          <w:szCs w:val="24"/>
        </w:rPr>
        <w:t xml:space="preserve">La capacità progettuale autonoma delle Brigate Rosse in quella fase merita di essere sottolineata contro una diffusa sottovalutazione, perché è proprio la sua rimozione a spalancare la porta alle ricostruzioni dietrologiche. Nel millenovecentosettantotto le Brigate Rosse erano un'organizzazione matura, strutturata in colonne territoriali, dotata di una direzione strategica, di un'esperienza pluriennale di azioni armate crescenti per audacia, di una capacità logistica collaudata. Il sequestro di un uomo di Stato non era, per esse, un salto nel buio ma il coronamento di una traiettoria: la strategia dell'attacco al cuore dello Stato era stata teorizzata e praticata per anni, e il bersaglio Moro ne era lo sbocco coerente. Attribuire ad altri l'ideazione di ciò che i brigatisti avevano nella propria logica strategica significherebbe non solo mancare di prove, ma contraddire la ricostruzione documentata della loro maturazione organizzativa. Il metodo, perciò, colloca al vertice degli architetti il nucleo strategico brigatista con grado di certezza, e su questa base costruisce, senza dissolverla.</w:t>
      </w:r>
    </w:p>
    <w:p>
      <w:pPr>
        <w:spacing w:after="120" w:line="276"/>
        <w:jc w:val="both"/>
      </w:pPr>
      <w:r>
        <w:rPr>
          <w:rFonts w:ascii="Barlow Semi Condensed" w:cs="Barlow Semi Condensed" w:eastAsia="Barlow Semi Condensed" w:hAnsi="Barlow Semi Condensed"/>
          <w:sz w:val="24"/>
          <w:szCs w:val="24"/>
        </w:rPr>
        <w:t xml:space="preserve">Le anomalie che alimentano l'ipotesi di un'architettura di secondo livello vanno tuttavia riferite con precisione, perché è dalla loro esatta pesatura che dipende la solidità del giudizio. Vi è l'anomalia della perizia esecutiva di via Fani, già richiamata. Vi è l'anomalia della tenuta della prigione, che resse per cinquantacinque giorni a un dispositivo di ricerca imponente. Vi è l'anomalia della gestione delle trattative, attraversata da canali che si aprivano e si chiudevano con una tempistica che parve a molti non casuale. Vi è l'anomalia della sorte del memoriale, riemerso parziale e tardivo. E vi è, sullo sfondo, la lunga catena dei depistaggi successivi, che ostacolò per decenni l'accertamento. Ciascuna di queste anomalie, presa da sola, ammette una spiegazione ordinaria; ma il metodo della convergenza osserva che il loro concorso innalza la probabilità di un fattore esterno, non ideatore ma orientatore. È un'inferenza di grado, non di certezza, e va tenuta al suo livello: significativa quanto basta per non essere ignorata, insufficiente quanto basta per non diventare accusa.</w:t>
      </w:r>
    </w:p>
    <w:p>
      <w:pPr>
        <w:spacing w:after="120" w:line="276"/>
        <w:jc w:val="both"/>
      </w:pPr>
      <w:r>
        <w:rPr>
          <w:rFonts w:ascii="Barlow Semi Condensed" w:cs="Barlow Semi Condensed" w:eastAsia="Barlow Semi Condensed" w:hAnsi="Barlow Semi Condensed"/>
          <w:sz w:val="24"/>
          <w:szCs w:val="24"/>
        </w:rPr>
        <w:t xml:space="preserve">Vi è, nel sequestro di Aldo Moro, una distinzione che il metodo probabilistico impone di tenere ferma sin dal principio, ed è quella fra chi concepì il disegno, chi lo ordinò e chi lo eseguì. Gli architetti sono coloro nella cui mente il progetto prese forma, coloro che ne definirono l'obiettivo strategico e ne colsero la funzione politica; e la domanda su chi essi furono è la più ardua di tutte, perché l'architettura di un simile atto non lascia, per definizione, la traccia documentale che l'esecuzione lascia. Qui il metodo Savona offre meno appigli che altrove, e il peso si sposta sull'analisi del movente e della capacità, sulla teoria dei giochi, sul ragionamento controfattuale, sull'analisi di rete: sugli strumenti, cioè, che ragionano non sulla prova diretta ma sulla plausibilità strutturale.</w:t>
      </w:r>
    </w:p>
    <w:p>
      <w:pPr>
        <w:spacing w:after="120" w:line="276"/>
        <w:jc w:val="both"/>
      </w:pPr>
      <w:r>
        <w:rPr>
          <w:rFonts w:ascii="Barlow Semi Condensed" w:cs="Barlow Semi Condensed" w:eastAsia="Barlow Semi Condensed" w:hAnsi="Barlow Semi Condensed"/>
          <w:sz w:val="24"/>
          <w:szCs w:val="24"/>
        </w:rPr>
        <w:t xml:space="preserve">Sul piano accertato, di Livello A, l'ideazione e l'esecuzione del sequestro appartengono alle Brigate Rosse, e in particolare al loro nucleo dirigente romano: questo è il dato giudiziario definitivo, ribadito da sentenze passate in giudicato e da un'ampia messe di riscontri, ed è da questo che ogni ragionamento deve muovere, guardandosi dalla tentazione di dissolverlo in una regia esterna che ne cancelli la responsabilità propria. Le Brigate Rosse concepirono il sequestro come l'atto culminante della loro strategia di attacco al cuore dello Stato, individuarono in Moro il bersaglio per la sua funzione di tessitore del compromesso storico, e lo colpirono nel giorno simbolico in cui quel compromesso si perfezionava. Di questo furono, nel senso proprio, gli architetti, e la loro autonoma capacità progettuale non va sottovalutata per il gusto di cercare altrove.</w:t>
      </w:r>
    </w:p>
    <w:p>
      <w:pPr>
        <w:spacing w:after="120" w:line="276"/>
        <w:jc w:val="both"/>
      </w:pPr>
      <w:r>
        <w:rPr>
          <w:rFonts w:ascii="Barlow Semi Condensed" w:cs="Barlow Semi Condensed" w:eastAsia="Barlow Semi Condensed" w:hAnsi="Barlow Semi Condensed"/>
          <w:sz w:val="24"/>
          <w:szCs w:val="24"/>
        </w:rPr>
        <w:t xml:space="preserve">E tuttavia il metodo probabilistico, che non si accontenta del piano accertato ma pesa anche il probabile e il possibile, registra attorno a questa architettura brigatista una serie di anomalie che alimentano, a gradi diversi di plausibilità, l'ipotesi di un'architettura di secondo livello, di una vigilanza o di un condizionamento esterni che non tolgono ai brigatisti l'ideazione ma la accompagnano. La perizia di via Fani, la scelta del momento, la tenuta della prigione a fronte di un dispositivo imponente, la gestione delle occasioni di trattativa, la sorte del memoriale: sono altrettanti elementi che, presi da soli, ammettono spiegazioni ordinarie, ma che nel loro concorso spingono verso l'alto la probabilità di un interesse esterno che, senza ideare il sequestro, ne assecondò o ne orientò gli esiti. Questa ipotesi, che si colloca fra il Livello B e il Livello C a seconda degli aspetti, è quella di una convergenza fra l'autonoma iniziativa brigatista e un'attenzione esterna che vi trovò, per ragioni proprie, una convenienza.</w:t>
      </w:r>
    </w:p>
    <w:p>
      <w:pPr>
        <w:spacing w:after="120" w:line="276"/>
        <w:jc w:val="both"/>
      </w:pPr>
      <w:r>
        <w:rPr>
          <w:rFonts w:ascii="Barlow Semi Condensed" w:cs="Barlow Semi Condensed" w:eastAsia="Barlow Semi Condensed" w:hAnsi="Barlow Semi Condensed"/>
          <w:sz w:val="24"/>
          <w:szCs w:val="24"/>
        </w:rPr>
        <w:t xml:space="preserve">Chi fossero i portatori di quell'interesse esterno è la questione su cui la probabilità si fa più tenue e la cautela più necessaria. Lo sfondo internazionale, descritto nella parte prima, offre il movente: più attori, per ragioni opposte, avevano interesse a che la manovra di Moro fallisse, e il fallimento più radicale era la sua eliminazione. La rete del terrorismo internazionale, con i suoi punti di compensazione e la sua vigilanza di più servizi, offre il canale attraverso cui un simile interesse avrebbe potuto tradursi in influenza. Ma tradurre questo movente e questo canale in un'architettura concertata, in un centro unico che avrebbe pensato il sequestro e commissionato alle Brigate Rosse la sua esecuzione, è passo che le evidenze non consentono: la sua forma forte, quella del grande burattinaio, resta la meno probabile, perché nessuna prova la sostiene e la struttura stessa del terrorismo di quegli anni, policentrica e frammentata, la rende improbabile. Ciò che resta, come giudizio più plausibile, è l'architettura brigatista come dato certo, accompagnata da una probabilità significativa, ma non da una certezza, di condizionamenti esterni convergenti e non concertati.</w:t>
      </w:r>
    </w:p>
    <w:p>
      <w:pPr>
        <w:pStyle w:val="Heading3"/>
        <w:spacing w:after="80" w:before="160"/>
      </w:pPr>
      <w:r>
        <w:rPr>
          <w:rFonts w:ascii="Barlow Semi Condensed" w:cs="Barlow Semi Condensed" w:eastAsia="Barlow Semi Condensed" w:hAnsi="Barlow Semi Condensed"/>
          <w:sz w:val="24"/>
          <w:szCs w:val="24"/>
        </w:rPr>
        <w:t xml:space="preserve">I mandanti materiali: chi diede l'ordine e ne governò l'esecuzione</w:t>
      </w:r>
    </w:p>
    <w:p>
      <w:pPr>
        <w:spacing w:after="120" w:line="276"/>
        <w:jc w:val="both"/>
      </w:pPr>
      <w:r>
        <w:rPr>
          <w:rFonts w:ascii="Barlow Semi Condensed" w:cs="Barlow Semi Condensed" w:eastAsia="Barlow Semi Condensed" w:hAnsi="Barlow Semi Condensed"/>
          <w:sz w:val="24"/>
          <w:szCs w:val="24"/>
        </w:rPr>
        <w:t xml:space="preserve">La ricostruzione della catena di comando brigatista, operata dalle sentenze, consente di attribuire la decisione del sequestro e la conduzione della prigionia a un vertice ristretto e identificato, e questa attribuzione è la base accertata su cui il metodo lavora. Il comitato esecutivo delle Brigate Rosse e la direzione della colonna romana ebbero il potere di decidere l'operazione, di dirigerla nei suoi snodi, di stabilirne l'epilogo; e i loro componenti principali sono stati giudicati e condannati in via definitiva per queste responsabilità. Il metodo Savona trova qui il suo terreno più solido, perché la convergenza di sentenze, testimonianze e riscontri documentali colloca l'attribuzione al livello della certezza. Su questo il giudizio probabilistico non introduce dubbio: recepisce l'accertamento giudiziario e lo pone a fondamento, guardandosi dal riaprire per suggestione ciò che il processo ha chiuso con prova.</w:t>
      </w:r>
    </w:p>
    <w:p>
      <w:pPr>
        <w:spacing w:after="120" w:line="276"/>
        <w:jc w:val="both"/>
      </w:pPr>
      <w:r>
        <w:rPr>
          <w:rFonts w:ascii="Barlow Semi Condensed" w:cs="Barlow Semi Condensed" w:eastAsia="Barlow Semi Condensed" w:hAnsi="Barlow Semi Condensed"/>
          <w:sz w:val="24"/>
          <w:szCs w:val="24"/>
        </w:rPr>
        <w:t xml:space="preserve">La questione dei condizionamenti esterni sull'esito si concentra, come si è detto, sul finale della vicenda, ed è qui che la teoria dei giochi e il ragionamento controfattuale offrono il loro contributo più delicato. Ci si chiede a chi giovasse l'esito mortale, e la risposta è che esso giovava a chi aveva interesse al fallimento definitivo della manovra di Moro: un interesse distribuito fra più attori, interni ed esterni, per ragioni fra loro diverse e non necessariamente concertate. Ci si chiede poi che cosa sarebbe accaduto se le trattative fossero state condotte diversamente, e il controfattuale suggerisce che un esito diverso non fosse impossibile, il che colloca la morte non come sbocco necessitato ma come uno fra gli esiti possibili, quello verso cui più fattori conversero. Da questo incrocio emerge, a livello di probabilità e non di prova, l'ipotesi di una convergenza di interessi sull'esito; ma la Regola Ferrea vieta di tradurla nell'indicazione di un mandante esterno determinato, e il metodo la tiene ferma al livello dell'ipotesi, sorretta dalla struttura degli incentivi e non da un documento.</w:t>
      </w:r>
    </w:p>
    <w:p>
      <w:pPr>
        <w:spacing w:after="120" w:line="276"/>
        <w:jc w:val="both"/>
      </w:pPr>
      <w:r>
        <w:rPr>
          <w:rFonts w:ascii="Barlow Semi Condensed" w:cs="Barlow Semi Condensed" w:eastAsia="Barlow Semi Condensed" w:hAnsi="Barlow Semi Condensed"/>
          <w:sz w:val="24"/>
          <w:szCs w:val="24"/>
        </w:rPr>
        <w:t xml:space="preserve">Il mandante materiale, nella struttura del ragionamento, è cosa distinta dall'architetto: non chi concepì il disegno in astratto, ma chi diede l'ordine concreto e ne governò l'esecuzione, chi ebbe il potere di decidere il sequestro, di condurlo, di deciderne infine l'esito mortale. Qui il piano accertato è più solido che per gli architetti, perché la catena di comando delle Brigate Rosse è stata ricostruita dalle sentenze con notevole precisione, ed è a essa che il metodo Savona àncora il giudizio di massima probabilità.</w:t>
      </w:r>
    </w:p>
    <w:p>
      <w:pPr>
        <w:spacing w:after="120" w:line="276"/>
        <w:jc w:val="both"/>
      </w:pPr>
      <w:r>
        <w:rPr>
          <w:rFonts w:ascii="Barlow Semi Condensed" w:cs="Barlow Semi Condensed" w:eastAsia="Barlow Semi Condensed" w:hAnsi="Barlow Semi Condensed"/>
          <w:sz w:val="24"/>
          <w:szCs w:val="24"/>
        </w:rPr>
        <w:t xml:space="preserve">Sul piano definitivo, di Livello A, i mandanti materiali del sequestro e dell'uccisione di Aldo Moro furono i componenti del comitato esecutivo delle Brigate Rosse e i responsabili della colonna romana, che decisero l'operazione, la diressero e ne stabilirono l'epilogo. La responsabilità della decisione, della conduzione della prigionia e dell'ordine di uccidere appartiene a questo nucleo, e questo è il fatto giudiziario intorno a cui non vi è, allo stato, ragionevole margine di dubbio. Il metodo probabilistico non lo indebolisce ma lo assume come base, e su di esso costruisce, riconoscendo che la responsabilità materiale dell'ordine sta qui, in un vertice terroristico che agì per una propria strategia e che di quella strategia portò la responsabilità piena.</w:t>
      </w:r>
    </w:p>
    <w:p>
      <w:pPr>
        <w:spacing w:after="120" w:line="276"/>
        <w:jc w:val="both"/>
      </w:pPr>
      <w:r>
        <w:rPr>
          <w:rFonts w:ascii="Barlow Semi Condensed" w:cs="Barlow Semi Condensed" w:eastAsia="Barlow Semi Condensed" w:hAnsi="Barlow Semi Condensed"/>
          <w:sz w:val="24"/>
          <w:szCs w:val="24"/>
        </w:rPr>
        <w:t xml:space="preserve">Attorno a questa certezza il metodo probabilistico pesa nuovamente le anomalie, e si chiede se accanto ai mandanti materiali accertati abbiano operato mandanti di secondo livello, soggetti esterni che non impartirono l'ordine ma lo condizionarono nei suoi snodi decisivi, e in particolare in quello supremo dell'esito. La questione si concentra sul finale, sul perché la prigionia si chiuse con la morte anziché con la liberazione, e sul ruolo che in quella chiusura ebbero i segnali provenienti dall'esterno, l'irrigidimento delle posizioni, il fallimento o il sabotaggio delle trattative. Qui il ragionamento controfattuale e la teoria dei giochi lavorano a pieno: ci si chiede a chi giovasse ciascun esito e che cosa sarebbe accaduto se le trattative fossero state condotte diversamente, e da questo incrocio emerge, a livello di probabilità e non di prova, l'ipotesi che l'esito mortale sia stato non l'unico possibile ma quello verso cui più fattori, interni ed esterni, conversero.</w:t>
      </w:r>
    </w:p>
    <w:p>
      <w:pPr>
        <w:spacing w:after="120" w:line="276"/>
        <w:jc w:val="both"/>
      </w:pPr>
      <w:r>
        <w:rPr>
          <w:rFonts w:ascii="Barlow Semi Condensed" w:cs="Barlow Semi Condensed" w:eastAsia="Barlow Semi Condensed" w:hAnsi="Barlow Semi Condensed"/>
          <w:sz w:val="24"/>
          <w:szCs w:val="24"/>
        </w:rPr>
        <w:t xml:space="preserve">Nominare i portatori di quei condizionamenti esterni è, di nuovo, il punto in cui la cautela deve farsi massima e la probabilità si assottiglia. Le indagini e le commissioni hanno a lungo lavorato su figure di frontiera, su apparati che seppero e tacquero, su canali che si aprirono e si chiusero, e alcune di queste condotte sono state accertate e sanzionate come depistaggi o reticenze. Ma dal fatto accertato che taluni apparati ostacolarono la ricerca della verità, la Regola Ferrea vieta di inferire che quegli stessi apparati furono mandanti dell'esito: l'occultamento successivo non prova l'ordine precedente, e confondere i due piani è l'errore che il metodo qui rifiuta con più fermezza. Il giudizio più plausibile che le evidenze consentono è dunque duplice: i mandanti materiali, nel senso proprio, furono il vertice brigatista, con certezza di Livello A; l'ipotesi di condizionamenti esterni sull'esito mortale ha una plausibilità significativa ma non raggiunge la prova, e si colloca fra il Livello B e il Livello C, senza che sia lecito tradurla nell'indicazione di un mandante esterno determinato.</w:t>
      </w:r>
    </w:p>
    <w:p>
      <w:pPr>
        <w:pStyle w:val="Heading3"/>
        <w:spacing w:after="80" w:before="160"/>
      </w:pPr>
      <w:r>
        <w:rPr>
          <w:rFonts w:ascii="Barlow Semi Condensed" w:cs="Barlow Semi Condensed" w:eastAsia="Barlow Semi Condensed" w:hAnsi="Barlow Semi Condensed"/>
          <w:sz w:val="24"/>
          <w:szCs w:val="24"/>
        </w:rPr>
        <w:t xml:space="preserve">Gli esecutori materiali: chi agì sulla scena e nella prigione</w:t>
      </w:r>
    </w:p>
    <w:p>
      <w:pPr>
        <w:spacing w:after="120" w:line="276"/>
        <w:jc w:val="both"/>
      </w:pPr>
      <w:r>
        <w:rPr>
          <w:rFonts w:ascii="Barlow Semi Condensed" w:cs="Barlow Semi Condensed" w:eastAsia="Barlow Semi Condensed" w:hAnsi="Barlow Semi Condensed"/>
          <w:sz w:val="24"/>
          <w:szCs w:val="24"/>
        </w:rPr>
        <w:t xml:space="preserve">L'identificazione degli esecutori materiali è, fra tutti i piani del caso, quello su cui l'accertamento giudiziario è giunto più lontano, e il metodo lo recepisce con la gratitudine dovuta a decenni di lavoro investigativo e processuale. I componenti principali del commando di via Fani sono stati identificati, i loro ruoli ricostruiti, le loro responsabilità sancite da sentenze definitive; e molti di essi hanno reso, nel tempo, ammissioni e ricostruzioni che hanno confermato e precisato il quadro. Analogamente, la gestione della prigione e l'esecuzione materiale dell'uccisione sono state attribuite a componenti determinati del nucleo, con un grado di dettaglio che, pur non totale, è elevato. Su questo piano il giudizio non è probabilistico ma giudiziario, e il metodo si limita a recepirlo, collocando gli esecutori identificati al vertice della graduatoria di questo piano con grado di certezza.</w:t>
      </w:r>
    </w:p>
    <w:p>
      <w:pPr>
        <w:spacing w:after="120" w:line="276"/>
        <w:jc w:val="both"/>
      </w:pPr>
      <w:r>
        <w:rPr>
          <w:rFonts w:ascii="Barlow Semi Condensed" w:cs="Barlow Semi Condensed" w:eastAsia="Barlow Semi Condensed" w:hAnsi="Barlow Semi Condensed"/>
          <w:sz w:val="24"/>
          <w:szCs w:val="24"/>
        </w:rPr>
        <w:t xml:space="preserve">I margini di incertezza che permangono riguardano i contorni dell'attribuzione principale, non il suo nucleo, e vanno riferiti con esattezza per non alimentare né la loro sottovalutazione né la loro esasperazione. Il numero esatto dei presenti a via Fani è stato oggetto di ricostruzioni divergenti, e l'ipotesi della presenza sulla scena di figure non riconducibili al nucleo brigatista noto è stata avanzata sulla base di alcune testimonianze e di alcune analisi, senza raggiungere la prova conclusiva: resta perciò un'ipotesi aperta, di grado probabile o ipotetico a seconda degli aspetti. La perizia balistica di alcuni degli sparatori è stata parimenti oggetto di letture divergenti, alcune delle quali vi hanno visto l'indizio di un concorso esterno, altre l'hanno ricondotta entro le capacità del commando. Il metodo registra questi margini come non chiusi, senza forzarli: né li normalizza, negando ogni anomalia, né li esaspera, trasformando un'ipotesi in una certezza. Li lascia, onestamente, per ciò che sono: contorni incerti di un'attribuzione centrale solida.</w:t>
      </w:r>
    </w:p>
    <w:p>
      <w:pPr>
        <w:spacing w:after="120" w:line="276"/>
        <w:jc w:val="both"/>
      </w:pPr>
      <w:r>
        <w:rPr>
          <w:rFonts w:ascii="Barlow Semi Condensed" w:cs="Barlow Semi Condensed" w:eastAsia="Barlow Semi Condensed" w:hAnsi="Barlow Semi Condensed"/>
          <w:sz w:val="24"/>
          <w:szCs w:val="24"/>
        </w:rPr>
        <w:t xml:space="preserve">Gli esecutori materiali sono coloro che agirono con le proprie mani: sulla scena di via Fani il mattino del sedici marzo, e nella prigione lungo i cinquantacinque giorni fino al gesto finale. Qui, paradossalmente, il piano accertato è il più solido dell'intera vicenda, perché l'identità di gran parte degli esecutori è stata stabilita dalle sentenze con certezza, e molti di essi hanno reso ammissioni e ricostruzioni. Il metodo Savona trova qui il suo terreno più fertile, e il giudizio di massima probabilità coincide, per questa parte, con l'accertamento giudiziario.</w:t>
      </w:r>
    </w:p>
    <w:p>
      <w:pPr>
        <w:spacing w:after="120" w:line="276"/>
        <w:jc w:val="both"/>
      </w:pPr>
      <w:r>
        <w:rPr>
          <w:rFonts w:ascii="Barlow Semi Condensed" w:cs="Barlow Semi Condensed" w:eastAsia="Barlow Semi Condensed" w:hAnsi="Barlow Semi Condensed"/>
          <w:sz w:val="24"/>
          <w:szCs w:val="24"/>
        </w:rPr>
        <w:t xml:space="preserve">Di Livello A è l'appartenenza dell'operazione di via Fani a un commando brigatista i cui componenti principali sono stati identificati, giudicati e in gran parte condannati in via definitiva, e i cui ruoli — chi sparò, chi bloccò le auto, chi prelevò l'ostaggio, chi condusse la vettura della fuga — sono stati ricostruiti con un grado di dettaglio elevato, benché non totale. Di Livello A è altresì la gestione brigatista della prigione e l'esecuzione materiale dell'uccisione, attribuita dalle sentenze a componenti determinati del nucleo. Questi esecutori hanno nome e cognome nelle carte processuali, e la loro responsabilità è stata accertata nelle forme del diritto: su di essi il giudizio non è probabilistico ma giudiziario, e il metodo si limita a recepirlo, guardandosi dal riaprire per suggestione ciò che il processo ha chiuso con prova.</w:t>
      </w:r>
    </w:p>
    <w:p>
      <w:pPr>
        <w:spacing w:after="120" w:line="276"/>
        <w:jc w:val="both"/>
      </w:pPr>
      <w:r>
        <w:rPr>
          <w:rFonts w:ascii="Barlow Semi Condensed" w:cs="Barlow Semi Condensed" w:eastAsia="Barlow Semi Condensed" w:hAnsi="Barlow Semi Condensed"/>
          <w:sz w:val="24"/>
          <w:szCs w:val="24"/>
        </w:rPr>
        <w:t xml:space="preserve">E tuttavia anche sul piano esecutivo il metodo probabilistico registra i suoi margini di incertezza, e sono margini che riguardano non l'attribuzione principale, solida, ma i suoi contorni. Vi è la questione, a lungo dibattuta e mai del tutto risolta, del numero esatto dei presenti a via Fani e dell'eventuale presenza sulla scena di figure non riconducibili al nucleo brigatista noto: una questione che oscilla fra il Livello B e il Livello C, sorretta da alcune testimonianze e perizie ma non da prova conclusiva, e che il metodo registra come aperta senza risolverla in un senso o nell'altro. Vi è la questione della perizia balistica di alcuni degli sparatori, che alcuni hanno letto come indizio di un addestramento superiore a quello dei militanti allora disponibili, e altri hanno ricondotto entro le capacità del commando: anche questa resta, allo stato, un'ipotesi di lavoro e non un fatto. Il giudizio più plausibile, in conclusione, è che gli esecutori materiali furono i brigatisti identificati dalle sentenze, con certezza di Livello A per il nucleo principale, e che attorno a questo nucleo permangono margini di incertezza sui contorni — il numero esatto, la presenza di eventuali concorrenti esterni, il livello di perizia — che il metodo onestamente registra come non chiusi, senza forzarli né nel senso della normalizzazione né in quello del complotto.</w:t>
      </w:r>
    </w:p>
    <w:p>
      <w:pPr>
        <w:pStyle w:val="Heading3"/>
        <w:spacing w:after="80" w:before="160"/>
      </w:pPr>
      <w:r>
        <w:rPr>
          <w:rFonts w:ascii="Barlow Semi Condensed" w:cs="Barlow Semi Condensed" w:eastAsia="Barlow Semi Condensed" w:hAnsi="Barlow Semi Condensed"/>
          <w:sz w:val="24"/>
          <w:szCs w:val="24"/>
        </w:rPr>
        <w:t xml:space="preserve">La sintesi probabilistica dei tre piani</w:t>
      </w:r>
    </w:p>
    <w:p>
      <w:pPr>
        <w:spacing w:after="120" w:line="276"/>
        <w:jc w:val="both"/>
      </w:pPr>
      <w:r>
        <w:rPr>
          <w:rFonts w:ascii="Barlow Semi Condensed" w:cs="Barlow Semi Condensed" w:eastAsia="Barlow Semi Condensed" w:hAnsi="Barlow Semi Condensed"/>
          <w:sz w:val="24"/>
          <w:szCs w:val="24"/>
        </w:rPr>
        <w:t xml:space="preserve">Ricomposti i tre piani, il giudizio probabilistico che il concorso dei dieci metodi consente si lascia riassumere con chiarezza, purché si tengano distinti i gradi. Sul piano certo, di Livello A, il sequestro e l'uccisione di Aldo Moro furono ideati, ordinati ed eseguiti dalle Brigate Rosse, dal loro comitato esecutivo e dalla loro colonna romana, i cui componenti principali sono stati identificati, giudicati e condannati: questa è la verità giudiziaria, ed è la base non negoziabile di ogni ulteriore ragionamento. Chi cercasse di dissolvere questa base in una regia esterna che cancelli la responsabilità brigatista compirebbe, sotto le mentite spoglie dell'approfondimento, un'operazione di occultamento della verità accertata.</w:t>
      </w:r>
    </w:p>
    <w:p>
      <w:pPr>
        <w:spacing w:after="120" w:line="276"/>
        <w:jc w:val="both"/>
      </w:pPr>
      <w:r>
        <w:rPr>
          <w:rFonts w:ascii="Barlow Semi Condensed" w:cs="Barlow Semi Condensed" w:eastAsia="Barlow Semi Condensed" w:hAnsi="Barlow Semi Condensed"/>
          <w:sz w:val="24"/>
          <w:szCs w:val="24"/>
        </w:rPr>
        <w:t xml:space="preserve">Sul piano probabile e possibile, di Livello B e Livello C, permane, e il metodo non la nasconde, una costellazione di anomalie che alimenta l'ipotesi di condizionamenti esterni convergenti: una vigilanza, un'attenzione, un interesse che non idearono né ordinarono il sequestro ma che, per ragioni proprie e non concertate fra loro, ne assecondarono o ne orientarono gli esiti, e in particolare quello mortale. Questa ipotesi ha una plausibilità significativa, sorretta dallo sfondo internazionale, dalla struttura della rete terroristica, dalle anomalie esecutive e dalla lunga catena di depistaggi successivi; ma non raggiunge la prova, e la Regola Ferrea vieta di tradurla nell'indicazione di mandanti o architetti esterni determinati. La forma forte di quell'ipotesi, quella del grande burattinaio unico, resta la meno probabile di tutte, falsificata dall'assenza di prove e dalla natura policentrica del contesto.</w:t>
      </w:r>
    </w:p>
    <w:p>
      <w:pPr>
        <w:spacing w:after="120" w:line="276"/>
        <w:jc w:val="both"/>
      </w:pPr>
      <w:r>
        <w:rPr>
          <w:rFonts w:ascii="Barlow Semi Condensed" w:cs="Barlow Semi Condensed" w:eastAsia="Barlow Semi Condensed" w:hAnsi="Barlow Semi Condensed"/>
          <w:sz w:val="24"/>
          <w:szCs w:val="24"/>
        </w:rPr>
        <w:t xml:space="preserve">Il lettore troverà, nelle pagine di chiusura, l'elenco ordinato dei nomi e delle entità che, secondo il concorso dei dieci metodi, presentano i più alti gradi di probabilità di coinvolgimento, con l'avvertenza costante che probabilità di coinvolgimento non significa responsabilità accertata, e che l'ordine è di plausibilità e non di colpa. E vi troverà, dichiarato in percentuale, il peso che ciascuno dei dieci metodi ha avuto nel formare quel giudizio, perché la trasparenza della ricetta è, in un'opera che rinuncia alla sospensione per abbracciare la probabilità, l'ultima e più necessaria delle garanzie.</w:t>
      </w:r>
    </w:p>
    <w:p>
      <w:pPr>
        <w:pStyle w:val="Heading2"/>
        <w:spacing w:after="100" w:before="200"/>
      </w:pPr>
      <w:r>
        <w:rPr>
          <w:rFonts w:ascii="Barlow Semi Condensed" w:cs="Barlow Semi Condensed" w:eastAsia="Barlow Semi Condensed" w:hAnsi="Barlow Semi Condensed"/>
          <w:sz w:val="24"/>
          <w:szCs w:val="24"/>
        </w:rPr>
        <w:t xml:space="preserve">CHIUSURA PROBABILISTICA</w:t>
      </w:r>
    </w:p>
    <w:p>
      <w:pPr>
        <w:pBdr>
          <w:left w:val="single" w:color="1F3864" w:sz="18" w:space="8"/>
        </w:pBdr>
        <w:spacing w:after="80" w:before="80"/>
        <w:ind w:left="360" w:right="360"/>
        <w:jc w:val="both"/>
      </w:pPr>
      <w:r>
        <w:rPr>
          <w:rFonts w:ascii="Barlow Semi Condensed" w:cs="Barlow Semi Condensed" w:eastAsia="Barlow Semi Condensed" w:hAnsi="Barlow Semi Condensed"/>
          <w:i w:val="false"/>
          <w:iCs w:val="false"/>
          <w:sz w:val="24"/>
          <w:szCs w:val="24"/>
        </w:rPr>
        <w:t xml:space="preserve">La graduatoria dei nomi, il peso dei metodi, l'emersione dei tre piani</w:t>
      </w:r>
    </w:p>
    <w:p>
      <w:pPr>
        <w:pStyle w:val="Heading3"/>
        <w:spacing w:after="80" w:before="160"/>
      </w:pPr>
      <w:r>
        <w:rPr>
          <w:rFonts w:ascii="Barlow Semi Condensed" w:cs="Barlow Semi Condensed" w:eastAsia="Barlow Semi Condensed" w:hAnsi="Barlow Semi Condensed"/>
          <w:sz w:val="24"/>
          <w:szCs w:val="24"/>
        </w:rPr>
        <w:t xml:space="preserve">Premessa garantista alla graduatoria</w:t>
      </w:r>
    </w:p>
    <w:p>
      <w:pPr>
        <w:spacing w:after="120" w:line="276"/>
        <w:jc w:val="both"/>
      </w:pPr>
      <w:r>
        <w:rPr>
          <w:rFonts w:ascii="Barlow Semi Condensed" w:cs="Barlow Semi Condensed" w:eastAsia="Barlow Semi Condensed" w:hAnsi="Barlow Semi Condensed"/>
          <w:sz w:val="24"/>
          <w:szCs w:val="24"/>
        </w:rPr>
        <w:t xml:space="preserve">Le pagine che seguono ordinano nomi di persone e di entità secondo il grado di probabilità di coinvolgimento nel sequestro e nell'uccisione di Aldo Moro, quale risulta dal concorso dei dieci metodi. Occorre, prima di ogni nome, ribadire con la massima fermezza il senso di questo ordine. Esso è una graduatoria di plausibilità, non di colpevolezza; misura la probabilità che un soggetto abbia avuto un ruolo, non la certezza che l'abbia avuto; e distingue in ogni caso, con nettezza, chi è stato condannato in via definitiva nelle forme del diritto da chi è stato soltanto indagato, sospettato o ipotizzato dagli studiosi e dalle commissioni. Per i primi, la responsabilità è un fatto giudiziario accertato, che si recepisce; per i secondi, si parla di ipotesi probabilistiche, rivedibili e non conclusive, che nulla tolgono alla presunzione di innocenza cui ogni persona ha diritto. Nessuna delle affermazioni che seguono va letta come un'accusa: sono collocazioni su una scala di probabilità storica, formulate con rispetto e con l'esplicita assunzione di responsabilità da parte dell'autore umano che le ha ordinate.</w:t>
      </w:r>
    </w:p>
    <w:p>
      <w:pPr>
        <w:pStyle w:val="Heading3"/>
        <w:spacing w:after="80" w:before="160"/>
      </w:pPr>
      <w:r>
        <w:rPr>
          <w:rFonts w:ascii="Barlow Semi Condensed" w:cs="Barlow Semi Condensed" w:eastAsia="Barlow Semi Condensed" w:hAnsi="Barlow Semi Condensed"/>
          <w:sz w:val="24"/>
          <w:szCs w:val="24"/>
        </w:rPr>
        <w:t xml:space="preserve">La graduatoria secondo ciascuno dei dieci metodi</w:t>
      </w:r>
    </w:p>
    <w:p>
      <w:pPr>
        <w:spacing w:after="120" w:line="276"/>
        <w:jc w:val="both"/>
      </w:pPr>
      <w:r>
        <w:rPr>
          <w:rFonts w:ascii="Barlow Semi Condensed" w:cs="Barlow Semi Condensed" w:eastAsia="Barlow Semi Condensed" w:hAnsi="Barlow Semi Condensed"/>
          <w:sz w:val="24"/>
          <w:szCs w:val="24"/>
        </w:rPr>
        <w:t xml:space="preserve">Prima di comporre il giudizio unitario, conviene mostrare come ciascuno dei dieci metodi, applicato per proprio conto, ordini il campo, perché è dal loro accordo o disaccordo che nasce la solidità o la fragilità di ciascuna collocazione.</w:t>
      </w:r>
    </w:p>
    <w:p>
      <w:pPr>
        <w:spacing w:after="120" w:line="276"/>
        <w:jc w:val="both"/>
      </w:pPr>
      <w:r>
        <w:rPr>
          <w:rFonts w:ascii="Barlow Semi Condensed" w:cs="Barlow Semi Condensed" w:eastAsia="Barlow Semi Condensed" w:hAnsi="Barlow Semi Condensed"/>
          <w:sz w:val="24"/>
          <w:szCs w:val="24"/>
        </w:rPr>
        <w:t xml:space="preserve">Secondo il metodo Savona della triangolazione delle fonti, che pesa il numero e l'indipendenza delle fonti, al vertice della graduatoria stanno, con grado massimo e distacco netto, i componenti del comitato esecutivo e della colonna romana delle Brigate Rosse condannati in via definitiva, la cui responsabilità è sorretta da sentenze, testimonianze riscontrate e documenti convergenti; seguono, a grande distanza e con grado assai inferiore, gli apparati e le figure di frontiera coinvolti nei depistaggi successivi, la cui condotta è in parte accertata; da ultimo, con grado minimo, i portatori dell'interesse esterno internazionale, sorretti da indizi di contesto e non da prova diretta.</w:t>
      </w:r>
    </w:p>
    <w:p>
      <w:pPr>
        <w:spacing w:after="120" w:line="276"/>
        <w:jc w:val="both"/>
      </w:pPr>
      <w:r>
        <w:rPr>
          <w:rFonts w:ascii="Barlow Semi Condensed" w:cs="Barlow Semi Condensed" w:eastAsia="Barlow Semi Condensed" w:hAnsi="Barlow Semi Condensed"/>
          <w:sz w:val="24"/>
          <w:szCs w:val="24"/>
        </w:rPr>
        <w:t xml:space="preserve">Secondo l'analisi delle ipotesi concorrenti, che premia la spiegazione meno contraddetta dalle evidenze, l'ipotesi della responsabilità brigatista autonoma resta imbattuta perché nessuna evidenza la contraddice, mentre l'ipotesi della regia esterna unica è contraddetta dall'assenza di prove e dalla frammentazione del contesto: ne segue una graduatoria che colloca i brigatisti al vertice e degrada progressivamente le ipotesi esterne in ragione delle contraddizioni che incontrano. Secondo l'inferenza bayesiana, che aggiorna la probabilità a ogni evidenza, la responsabilità brigatista, partita da una probabilità già alta, si è consolidata a ogni nuovo riscontro fino alla quasi certezza, mentre l'ipotesi dei condizionamenti esterni, partita da una probabilità bassa, è stata innalzata dalle anomalie ma non fino alla soglia della prova, restando in una fascia intermedia.</w:t>
      </w:r>
    </w:p>
    <w:p>
      <w:pPr>
        <w:spacing w:after="120" w:line="276"/>
        <w:jc w:val="both"/>
      </w:pPr>
      <w:r>
        <w:rPr>
          <w:rFonts w:ascii="Barlow Semi Condensed" w:cs="Barlow Semi Condensed" w:eastAsia="Barlow Semi Condensed" w:hAnsi="Barlow Semi Condensed"/>
          <w:sz w:val="24"/>
          <w:szCs w:val="24"/>
        </w:rPr>
        <w:t xml:space="preserve">Secondo l'analisi di rete, che pesa la centralità e i ponti, i nodi a più alta centralità nel sottografo del caso sono i dirigenti brigatisti che tennero insieme ideazione, comando ed esecuzione; ma emergono come nodi-ponte, a più bassa centralità e più alta intermediazione, alcune figure di frontiera che collegavano il mondo del terrorismo a quello degli apparati, e la loro posizione strutturale, più che la prova a loro carico, ne spiega la persistente presenza nelle ipotesi. Secondo la teoria dei giochi, che chiede a chi giovasse ciascuna mossa, l'esito mortale giovò a chi aveva interesse al fallimento della manovra di Moro, e questo interesse era distribuito fra più attori interni ed esterni, il che spiega la convergenza senza richiedere il concerto.</w:t>
      </w:r>
    </w:p>
    <w:p>
      <w:pPr>
        <w:spacing w:after="120" w:line="276"/>
        <w:jc w:val="both"/>
      </w:pPr>
      <w:r>
        <w:rPr>
          <w:rFonts w:ascii="Barlow Semi Condensed" w:cs="Barlow Semi Condensed" w:eastAsia="Barlow Semi Condensed" w:hAnsi="Barlow Semi Condensed"/>
          <w:sz w:val="24"/>
          <w:szCs w:val="24"/>
        </w:rPr>
        <w:t xml:space="preserve">Secondo il ragionamento controfattuale, che misura l'efficacia di un fattore per assenza, la rimozione dei brigatisti avrebbe impedito il sequestro, il che ne conferma il ruolo causale primario; la rimozione dei condizionamenti esterni ipotizzati avrebbe forse mutato l'esito ma non impedito l'atto, il che ne colloca il ruolo, se esistito, al livello dell'orientamento e non della causa. Secondo l'analisi temporale delle coincidenze, la sovrapposizione fra il perfezionarsi del compromesso storico e il giorno dell'agguato eccede la soglia del caso e conferma la matrice politica del bersaglio, mentre altre coincidenze invocate a sostegno delle ipotesi esterne restano entro la soglia della casualità.</w:t>
      </w:r>
    </w:p>
    <w:p>
      <w:pPr>
        <w:spacing w:after="120" w:line="276"/>
        <w:jc w:val="both"/>
      </w:pPr>
      <w:r>
        <w:rPr>
          <w:rFonts w:ascii="Barlow Semi Condensed" w:cs="Barlow Semi Condensed" w:eastAsia="Barlow Semi Condensed" w:hAnsi="Barlow Semi Condensed"/>
          <w:sz w:val="24"/>
          <w:szCs w:val="24"/>
        </w:rPr>
        <w:t xml:space="preserve">Secondo la valutazione dell'affidabilità e della genealogia delle fonti, molte delle suggestioni sui condizionamenti esterni discendono da un numero ristretto di fonti fra loro non indipendenti, il che ne abbassa il peso una volta scontata la contaminazione, mentre l'attribuzione brigatista poggia su fonti eterogenee e indipendenti. Secondo l'analisi del movente e della capacità, i brigatisti avevano insieme il movente strategico e la capacità operativa, il che li colloca al vertice; i portatori dell'interesse esterno avevano il movente ma la loro capacità di tradurlo in influenza sull'operazione resta indimostrata, il che ne indebolisce la collocazione. Secondo il principio di convergenza, infine, tutti i metodi indipendenti puntano concordi sulla responsabilità brigatista, e questa consilienza ne innalza la probabilità alla quasi certezza; sui condizionamenti esterni i metodi divergono, e questa divergenza ne conferma lo statuto di ipotesi non conclusa.</w:t>
      </w:r>
    </w:p>
    <w:p>
      <w:pPr>
        <w:pStyle w:val="Heading3"/>
        <w:spacing w:after="80" w:before="160"/>
      </w:pPr>
      <w:r>
        <w:rPr>
          <w:rFonts w:ascii="Barlow Semi Condensed" w:cs="Barlow Semi Condensed" w:eastAsia="Barlow Semi Condensed" w:hAnsi="Barlow Semi Condensed"/>
          <w:sz w:val="24"/>
          <w:szCs w:val="24"/>
        </w:rPr>
        <w:t xml:space="preserve">Il peso relativo dei dieci metodi: la ricetta del giudizio</w:t>
      </w:r>
    </w:p>
    <w:p>
      <w:pPr>
        <w:spacing w:after="120" w:line="276"/>
        <w:jc w:val="both"/>
      </w:pPr>
      <w:r>
        <w:rPr>
          <w:rFonts w:ascii="Barlow Semi Condensed" w:cs="Barlow Semi Condensed" w:eastAsia="Barlow Semi Condensed" w:hAnsi="Barlow Semi Condensed"/>
          <w:sz w:val="24"/>
          <w:szCs w:val="24"/>
        </w:rPr>
        <w:t xml:space="preserve">Il giudizio unitario non nasce dalla semplice somma dei dieci metodi ma dal loro concorso pesato, perché non tutti meritano peso uguale in una materia in cui la prova documentale e giudiziaria deve prevalere sulla congettura strutturale. Si dichiara pertanto, con la trasparenza che quest'opera si è imposta, il peso percentuale attribuito a ciascuno dei dieci metodi nella formazione del giudizio finale, avvertendo che la somma dei pesi è pari a cento e che l'entità di ciascun peso riflette il contributo che quel metodo ha realmente offerto alla solidità della conclusione.</w:t>
      </w:r>
    </w:p>
    <w:p>
      <w:pPr>
        <w:spacing w:after="120" w:line="276"/>
        <w:jc w:val="both"/>
      </w:pPr>
      <w:r>
        <w:rPr>
          <w:rFonts w:ascii="Barlow Semi Condensed" w:cs="Barlow Semi Condensed" w:eastAsia="Barlow Semi Condensed" w:hAnsi="Barlow Semi Condensed"/>
          <w:sz w:val="24"/>
          <w:szCs w:val="24"/>
        </w:rPr>
        <w:t xml:space="preserve">Al metodo Savona della triangolazione delle fonti si attribuisce il peso maggiore, pari al ventidue per cento, perché in una ricostruzione storica e giudiziaria la convergenza di fonti indipendenti è il fondamento primo di ogni certezza, e ad esso spetta di ancorare il piano accertato. All'analisi delle ipotesi concorrenti si attribuisce il quattordici per cento, perché la selezione per resistenza alla smentita è il presidio contro la dietrologia e ha svolto un ruolo decisivo nel degradare le ipotesi non sostenute. Al principio di convergenza, la consilienza, si attribuisce il dodici per cento, perché l'accordo di metodi e fonti indipendenti è ciò che ha innalzato alla quasi certezza il giudizio sul piano brigatista.</w:t>
      </w:r>
    </w:p>
    <w:p>
      <w:pPr>
        <w:spacing w:after="120" w:line="276"/>
        <w:jc w:val="both"/>
      </w:pPr>
      <w:r>
        <w:rPr>
          <w:rFonts w:ascii="Barlow Semi Condensed" w:cs="Barlow Semi Condensed" w:eastAsia="Barlow Semi Condensed" w:hAnsi="Barlow Semi Condensed"/>
          <w:sz w:val="24"/>
          <w:szCs w:val="24"/>
        </w:rPr>
        <w:t xml:space="preserve">All'analisi del movente e della capacità si attribuisce l'undici per cento, perché l'incrocio fra interesse e mezzi ha permesso di distinguere chi poteva agire da chi aveva soltanto ragioni per desiderarlo. All'analisi di rete si attribuisce il dieci per cento, perché la sinaptogenesi dei nodi e dei ponti ha illuminato la struttura delle relazioni e la posizione delle figure di frontiera. All'inferenza bayesiana si attribuisce il nove per cento, perché l'aggiornamento progressivo ha dato forma quantitativa al consolidarsi del giudizio a ogni nuova evidenza. Alla valutazione dell'affidabilità e della genealogia delle fonti si attribuisce il sette per cento, perché lo sconto della contaminazione ha ridimensionato suggestioni fondate su radici non indipendenti.</w:t>
      </w:r>
    </w:p>
    <w:p>
      <w:pPr>
        <w:spacing w:after="120" w:line="276"/>
        <w:jc w:val="both"/>
      </w:pPr>
      <w:r>
        <w:rPr>
          <w:rFonts w:ascii="Barlow Semi Condensed" w:cs="Barlow Semi Condensed" w:eastAsia="Barlow Semi Condensed" w:hAnsi="Barlow Semi Condensed"/>
          <w:sz w:val="24"/>
          <w:szCs w:val="24"/>
        </w:rPr>
        <w:t xml:space="preserve">Al ragionamento controfattuale si attribuisce il cinque per cento, perché la misura dell'efficacia causale per assenza ha aiutato a distinguere la causa dall'orientamento. Alla teoria dei giochi si attribuisce il cinque per cento, perché la lettura degli incentivi ha spiegato la convergenza senza richiedere il concerto. All'analisi temporale delle coincidenze si attribuisce il residuo cinque per cento, perché il vaglio statistico delle sovrapposizioni ha confermato ciò che eccedeva il caso e scartato ciò che vi rientrava. La somma di questi pesi — ventidue, quattordici, dodici, undici, dieci, nove, sette, cinque, cinque, cinque — è pari a cento, e in questa proporzione i dieci metodi hanno concorso a formare il giudizio che segue.</w:t>
      </w:r>
    </w:p>
    <w:p>
      <w:pPr>
        <w:pStyle w:val="Heading3"/>
        <w:spacing w:after="80" w:before="160"/>
      </w:pPr>
      <w:r>
        <w:rPr>
          <w:rFonts w:ascii="Barlow Semi Condensed" w:cs="Barlow Semi Condensed" w:eastAsia="Barlow Semi Condensed" w:hAnsi="Barlow Semi Condensed"/>
          <w:sz w:val="24"/>
          <w:szCs w:val="24"/>
        </w:rPr>
        <w:t xml:space="preserve">L'emersione dei tre piani secondo il giudizio pesato</w:t>
      </w:r>
    </w:p>
    <w:p>
      <w:pPr>
        <w:spacing w:after="120" w:line="276"/>
        <w:jc w:val="both"/>
      </w:pPr>
      <w:r>
        <w:rPr>
          <w:rFonts w:ascii="Barlow Semi Condensed" w:cs="Barlow Semi Condensed" w:eastAsia="Barlow Semi Condensed" w:hAnsi="Barlow Semi Condensed"/>
          <w:sz w:val="24"/>
          <w:szCs w:val="24"/>
        </w:rPr>
        <w:t xml:space="preserve">Applicata questa ricetta, i tre piani del caso emergono con la seguente fisionomia di probabilità, e con essi la graduatoria dei nomi e delle entità.</w:t>
      </w:r>
    </w:p>
    <w:p>
      <w:pPr>
        <w:spacing w:after="120" w:line="276"/>
        <w:jc w:val="both"/>
      </w:pPr>
      <w:r>
        <w:rPr>
          <w:rFonts w:ascii="Barlow Semi Condensed" w:cs="Barlow Semi Condensed" w:eastAsia="Barlow Semi Condensed" w:hAnsi="Barlow Semi Condensed"/>
          <w:sz w:val="24"/>
          <w:szCs w:val="24"/>
        </w:rPr>
        <w:t xml:space="preserve">Al piano degli esecutori materiali, che il giudizio pesato colloca al più alto grado di certezza, appartengono i componenti del commando di via Fani e del nucleo della prigione, brigatisti identificati, giudicati e in gran parte condannati in via definitiva, ai quali le sentenze hanno attribuito i ruoli materiali del sequestro, della custodia e dell'uccisione. La loro collocazione al vertice della graduatoria è di Livello A, giudiziaria prima che probabilistica, e su di essa il concorso dei dieci metodi non introduce dubbio ma conferma. Ai margini di questo piano permangono, a grado inferiore e fra il Livello B e il Livello C, le questioni aperte del numero esatto dei presenti a via Fani e dell'eventuale concorso di figure esterne al nucleo noto, che il giudizio registra come non chiuse.</w:t>
      </w:r>
    </w:p>
    <w:p>
      <w:pPr>
        <w:spacing w:after="120" w:line="276"/>
        <w:jc w:val="both"/>
      </w:pPr>
      <w:r>
        <w:rPr>
          <w:rFonts w:ascii="Barlow Semi Condensed" w:cs="Barlow Semi Condensed" w:eastAsia="Barlow Semi Condensed" w:hAnsi="Barlow Semi Condensed"/>
          <w:sz w:val="24"/>
          <w:szCs w:val="24"/>
        </w:rPr>
        <w:t xml:space="preserve">Al piano dei mandanti materiali, che il giudizio pesato colloca del pari al grado della certezza per la sua componente accertata, appartengono i membri del comitato esecutivo delle Brigate Rosse e i responsabili della colonna romana, che decisero l'operazione, la diressero e ne stabilirono l'epilogo mortale: la loro responsabilità è di Livello A, e la graduatoria li colloca immediatamente accanto agli esecutori, come i decisori dell'atto che quelli compirono. Accanto a questa certezza, e a grado nettamente inferiore, il giudizio pesato colloca l'ipotesi di condizionamenti esterni sull'esito, portati da apparati e figure di frontiera alcuni dei quali coinvolti nei depistaggi accertati: ma li colloca al livello dell'ipotesi, fra il Livello B e il Livello C, e vieta, per Regola Ferrea, di promuoverli da occultatori successivi a mandanti dell'esito, perché nessuna prova compie quel passaggio.</w:t>
      </w:r>
    </w:p>
    <w:p>
      <w:pPr>
        <w:spacing w:after="120" w:line="276"/>
        <w:jc w:val="both"/>
      </w:pPr>
      <w:r>
        <w:rPr>
          <w:rFonts w:ascii="Barlow Semi Condensed" w:cs="Barlow Semi Condensed" w:eastAsia="Barlow Semi Condensed" w:hAnsi="Barlow Semi Condensed"/>
          <w:sz w:val="24"/>
          <w:szCs w:val="24"/>
        </w:rPr>
        <w:t xml:space="preserve">Al piano degli architetti, il più profondo e il più incerto, il giudizio pesato colloca al primo posto, con certezza di Livello A, il nucleo strategico delle Brigate Rosse quale concepitore autonomo del disegno, e riconosce a esso la paternità dell'ideazione, contro ogni tentazione di dissolverla in una regia esterna. Al secondo posto, a grado di ipotesi e non di prova, colloca la costellazione dei portatori dell'interesse esterno internazionale, quello sfondo di ostilità convergenti e non concertate che, senza ideare il sequestro, ne rappresentò la cornice di convenienza: e li colloca al Livello C, come possibilità sorretta dal contesto e non dalla prova, con la ferma avvertenza che la loro forma forte, quella del burattinaio unico, è la meno probabile di tutte e va respinta. La graduatoria degli architetti si chiude così su una certezza e su un'ombra: la certezza della paternità brigatista, l'ombra di una convergenza esterna che resta, allo stato delle evidenze, un'ipotesi rispettosamente formulata e onestamente non provata.</w:t>
      </w:r>
    </w:p>
    <w:p>
      <w:pPr>
        <w:pStyle w:val="Heading3"/>
        <w:spacing w:after="80" w:before="160"/>
      </w:pPr>
      <w:r>
        <w:rPr>
          <w:rFonts w:ascii="Barlow Semi Condensed" w:cs="Barlow Semi Condensed" w:eastAsia="Barlow Semi Condensed" w:hAnsi="Barlow Semi Condensed"/>
          <w:sz w:val="24"/>
          <w:szCs w:val="24"/>
        </w:rPr>
        <w:t xml:space="preserve">Congedo dell'autore artificiale</w:t>
      </w:r>
    </w:p>
    <w:p>
      <w:pPr>
        <w:spacing w:after="120" w:line="276"/>
        <w:jc w:val="both"/>
      </w:pPr>
      <w:r>
        <w:rPr>
          <w:rFonts w:ascii="Barlow Semi Condensed" w:cs="Barlow Semi Condensed" w:eastAsia="Barlow Semi Condensed" w:hAnsi="Barlow Semi Condensed"/>
          <w:sz w:val="24"/>
          <w:szCs w:val="24"/>
        </w:rPr>
        <w:t xml:space="preserve">Qui l'opera si arresta, avendo compiuto ciò che le era stato ordinato: ricostruire con prudenza scientifica la vita e il caso, e poi, mutato lo strumento, pesare con metodo probabilistico gli architetti, i mandanti e gli esecutori, ordinandone i nomi secondo plausibilità e non secondo colpa. Ha tenuto ferma, in entrambe le parti, la distinzione fra il certo e il probabile e il possibile; ha rispettato la presunzione di innocenza di ogni persona; ha vietato a sé stessa il salto dall'occultamento al mandato; ha dichiarato la ricetta del proprio giudizio. Ciò che resta di non detto non è reticenza ma onestà: là dove le evidenze non giungono, non giunge l'affermazione, e l'ombra è lasciata ombra perché tale la verità, allo stato, la consegna.</w:t>
      </w:r>
    </w:p>
    <w:p>
      <w:pPr>
        <w:spacing w:after="120" w:line="276"/>
        <w:jc w:val="both"/>
      </w:pPr>
      <w:r>
        <w:rPr>
          <w:rFonts w:ascii="Barlow Semi Condensed" w:cs="Barlow Semi Condensed" w:eastAsia="Barlow Semi Condensed" w:hAnsi="Barlow Semi Condensed"/>
          <w:sz w:val="24"/>
          <w:szCs w:val="24"/>
        </w:rPr>
        <w:t xml:space="preserve">Che questa sia opera di un'intelligenza artificiale, generata su comando e responsabilità di un autore umano, non ne diminuisce né ne aggrava il valore: lo colloca, semplicemente, per ciò che è, un aggregatore di fonti e un calcolatore di probabilità posto al servizio di una domanda antica e non ancora del tutto risolta. Ad Aldo Moro, all'uomo mite che credette nell'inclusione e ne pagò il prezzo, e ai cinque uomini della sua scorta che con lui caddero, questa ricostruzione è offerta con il rispetto che si deve alle vittime e alla verità, nella convinzione che cercarla, anche quando non la si raggiunge tutta, sia già una forma di giustizia.</w:t>
      </w:r>
    </w:p>
    <w:p>
      <w:pPr>
        <w:pStyle w:val="Heading2"/>
        <w:spacing w:after="100" w:before="200"/>
      </w:pPr>
      <w:r>
        <w:rPr>
          <w:rFonts w:ascii="Barlow Semi Condensed" w:cs="Barlow Semi Condensed" w:eastAsia="Barlow Semi Condensed" w:hAnsi="Barlow Semi Condensed"/>
          <w:sz w:val="24"/>
          <w:szCs w:val="24"/>
        </w:rPr>
        <w:t xml:space="preserve">BIBLIOGRAFIA E NOTE DI RIFERIMENTO</w:t>
      </w:r>
    </w:p>
    <w:p>
      <w:pPr>
        <w:pBdr>
          <w:left w:val="single" w:color="1F3864" w:sz="18" w:space="8"/>
        </w:pBdr>
        <w:spacing w:after="80" w:before="80"/>
        <w:ind w:left="360" w:right="360"/>
        <w:jc w:val="both"/>
      </w:pPr>
      <w:r>
        <w:rPr>
          <w:rFonts w:ascii="Barlow Semi Condensed" w:cs="Barlow Semi Condensed" w:eastAsia="Barlow Semi Condensed" w:hAnsi="Barlow Semi Condensed"/>
          <w:i w:val="false"/>
          <w:iCs w:val="false"/>
          <w:sz w:val="24"/>
          <w:szCs w:val="24"/>
        </w:rPr>
        <w:t xml:space="preserve">Fonti strutturate per sezioni tematiche, in ordine alfabetico e numerate</w:t>
      </w:r>
    </w:p>
    <w:p>
      <w:pPr>
        <w:spacing w:after="120" w:line="276"/>
        <w:jc w:val="both"/>
      </w:pPr>
      <w:r>
        <w:rPr>
          <w:rFonts w:ascii="Barlow Semi Condensed" w:cs="Barlow Semi Condensed" w:eastAsia="Barlow Semi Condensed" w:hAnsi="Barlow Semi Condensed"/>
          <w:sz w:val="24"/>
          <w:szCs w:val="24"/>
        </w:rPr>
        <w:t xml:space="preserve">La presente bibliografia è ordinata per sezioni tematiche; all'interno di ciascuna sezione le voci seguono l'ordine alfabetico e sono numerate progressivamente. La prima sezione, dedicata agli archivi, gode di priorità assoluta e raccoglie i fondi ai quali si è avuto accesso o ai quali è fortemente consigliato accedere; ove disponibile, ogni voce reca il collegamento ipertestuale attivo. I collegamenti rinviano a risorse istituzionali e documentali pubbliche; la loro persistenza nel tempo non può essere garantita e dipende dagli enti che le ospitano.</w:t>
      </w:r>
    </w:p>
    <w:p>
      <w:pPr>
        <w:pStyle w:val="Heading3"/>
        <w:spacing w:after="80" w:before="160"/>
      </w:pPr>
      <w:r>
        <w:rPr>
          <w:rFonts w:ascii="Barlow Semi Condensed" w:cs="Barlow Semi Condensed" w:eastAsia="Barlow Semi Condensed" w:hAnsi="Barlow Semi Condensed"/>
          <w:sz w:val="24"/>
          <w:szCs w:val="24"/>
        </w:rPr>
        <w:t xml:space="preserve">I. Archivi e fondi documentali (priorità assoluta)</w:t>
      </w:r>
    </w:p>
    <w:p>
      <w:pPr>
        <w:spacing w:after="40"/>
        <w:ind w:left="360"/>
        <w:jc w:val="both"/>
      </w:pPr>
      <w:r>
        <w:rPr>
          <w:rFonts w:ascii="Barlow Semi Condensed" w:cs="Barlow Semi Condensed" w:eastAsia="Barlow Semi Condensed" w:hAnsi="Barlow Semi Condensed"/>
          <w:sz w:val="24"/>
          <w:szCs w:val="24"/>
        </w:rPr>
        <w:t xml:space="preserve">1. Archivio Centrale dello Stato — Sala delle Raccolte Speciali, documentazione desecretata (Direttiva Renzi 2014). https://acs.cultura.gov.it/modalita-di-accesso-e-regolamento/sala-delle-raccolte-speciali-documentazione-desecretata/direttiva-renzi-2014/</w:t>
      </w:r>
    </w:p>
    <w:p>
      <w:pPr>
        <w:spacing w:after="40"/>
        <w:ind w:left="360"/>
        <w:jc w:val="both"/>
      </w:pPr>
      <w:r>
        <w:rPr>
          <w:rFonts w:ascii="Barlow Semi Condensed" w:cs="Barlow Semi Condensed" w:eastAsia="Barlow Semi Condensed" w:hAnsi="Barlow Semi Condensed"/>
          <w:sz w:val="24"/>
          <w:szCs w:val="24"/>
        </w:rPr>
        <w:t xml:space="preserve">2. Archivio Centrale dello Stato — Sala delle Raccolte Speciali, documentazione desecretata (Direttiva Draghi 2021). https://acs.cultura.gov.it/modalita-di-accesso-e-regolamento/sala-delle-raccolte-speciali-documentazione-desecretata/direttiva-draghi-2021/</w:t>
      </w:r>
    </w:p>
    <w:p>
      <w:pPr>
        <w:spacing w:after="40"/>
        <w:ind w:left="360"/>
        <w:jc w:val="both"/>
      </w:pPr>
      <w:r>
        <w:rPr>
          <w:rFonts w:ascii="Barlow Semi Condensed" w:cs="Barlow Semi Condensed" w:eastAsia="Barlow Semi Condensed" w:hAnsi="Barlow Semi Condensed"/>
          <w:sz w:val="24"/>
          <w:szCs w:val="24"/>
        </w:rPr>
        <w:t xml:space="preserve">3. Archivio Flamigni — Piattaforma A4View, scheda entità: fondo su terrorismo, stragi ed eversione (consultazione delle entità documentali). https://a4view.archivioflamigni.org/</w:t>
      </w:r>
    </w:p>
    <w:p>
      <w:pPr>
        <w:spacing w:after="40"/>
        <w:ind w:left="360"/>
        <w:jc w:val="both"/>
      </w:pPr>
      <w:r>
        <w:rPr>
          <w:rFonts w:ascii="Barlow Semi Condensed" w:cs="Barlow Semi Condensed" w:eastAsia="Barlow Semi Condensed" w:hAnsi="Barlow Semi Condensed"/>
          <w:sz w:val="24"/>
          <w:szCs w:val="24"/>
        </w:rPr>
        <w:t xml:space="preserve">4. Camera dei Deputati — Portale storico e resoconti stenografici delle Commissioni d'inchiesta (accesso agli atti parlamentari). https://www.camera.it/</w:t>
      </w:r>
    </w:p>
    <w:p>
      <w:pPr>
        <w:spacing w:after="40"/>
        <w:ind w:left="360"/>
        <w:jc w:val="both"/>
      </w:pPr>
      <w:r>
        <w:rPr>
          <w:rFonts w:ascii="Barlow Semi Condensed" w:cs="Barlow Semi Condensed" w:eastAsia="Barlow Semi Condensed" w:hAnsi="Barlow Semi Condensed"/>
          <w:sz w:val="24"/>
          <w:szCs w:val="24"/>
        </w:rPr>
        <w:t xml:space="preserve">5. Camera dei Deputati — Resoconti stenografici delle Commissioni, audizioni (banca dati documenti). https://documenti.camera.it/</w:t>
      </w:r>
    </w:p>
    <w:p>
      <w:pPr>
        <w:spacing w:after="40"/>
        <w:ind w:left="360"/>
        <w:jc w:val="both"/>
      </w:pPr>
      <w:r>
        <w:rPr>
          <w:rFonts w:ascii="Barlow Semi Condensed" w:cs="Barlow Semi Condensed" w:eastAsia="Barlow Semi Condensed" w:hAnsi="Barlow Semi Condensed"/>
          <w:sz w:val="24"/>
          <w:szCs w:val="24"/>
        </w:rPr>
        <w:t xml:space="preserve">6. Ministero della Cultura — Portale «Memoria», risorsa pubblica sulla documentazione desecretata relativa a terrorismo, stragi ed eversione dell'ordine democratico. https://memoria.cultura.gov.it/</w:t>
      </w:r>
    </w:p>
    <w:p>
      <w:pPr>
        <w:spacing w:after="40"/>
        <w:ind w:left="360"/>
        <w:jc w:val="both"/>
      </w:pPr>
      <w:r>
        <w:rPr>
          <w:rFonts w:ascii="Barlow Semi Condensed" w:cs="Barlow Semi Condensed" w:eastAsia="Barlow Semi Condensed" w:hAnsi="Barlow Semi Condensed"/>
          <w:sz w:val="24"/>
          <w:szCs w:val="24"/>
        </w:rPr>
        <w:t xml:space="preserve">7. Parlamento Italiano — Commissioni bicamerali d'inchiesta, resoconti stenografici (fondo terrorismo e stragi). https://www.parlamento.it/</w:t>
      </w:r>
    </w:p>
    <w:p>
      <w:pPr>
        <w:spacing w:after="40"/>
        <w:ind w:left="360"/>
        <w:jc w:val="both"/>
      </w:pPr>
      <w:r>
        <w:rPr>
          <w:rFonts w:ascii="Barlow Semi Condensed" w:cs="Barlow Semi Condensed" w:eastAsia="Barlow Semi Condensed" w:hAnsi="Barlow Semi Condensed"/>
          <w:sz w:val="24"/>
          <w:szCs w:val="24"/>
        </w:rPr>
        <w:t xml:space="preserve">8. Senato della Repubblica — Servizio documentazione, atti e documenti delle Commissioni d'inchiesta (banca dati PDF). https://www.senato.it/</w:t>
      </w:r>
    </w:p>
    <w:p>
      <w:pPr>
        <w:pStyle w:val="Heading3"/>
        <w:spacing w:after="80" w:before="160"/>
      </w:pPr>
      <w:r>
        <w:rPr>
          <w:rFonts w:ascii="Barlow Semi Condensed" w:cs="Barlow Semi Condensed" w:eastAsia="Barlow Semi Condensed" w:hAnsi="Barlow Semi Condensed"/>
          <w:sz w:val="24"/>
          <w:szCs w:val="24"/>
        </w:rPr>
        <w:t xml:space="preserve">II. Atti parlamentari e relazioni delle Commissioni d'inchiesta</w:t>
      </w:r>
    </w:p>
    <w:p>
      <w:pPr>
        <w:spacing w:after="40"/>
        <w:ind w:left="360"/>
        <w:jc w:val="both"/>
      </w:pPr>
      <w:r>
        <w:rPr>
          <w:rFonts w:ascii="Barlow Semi Condensed" w:cs="Barlow Semi Condensed" w:eastAsia="Barlow Semi Condensed" w:hAnsi="Barlow Semi Condensed"/>
          <w:sz w:val="24"/>
          <w:szCs w:val="24"/>
        </w:rPr>
        <w:t xml:space="preserve">9. Commissione parlamentare d'inchiesta sul rapimento e sulla morte di Aldo Moro — Relazione conclusiva e atti (XVII legislatura), consultabili presso i portali di Camera e Senato. https://www.parlamento.it/</w:t>
      </w:r>
    </w:p>
    <w:p>
      <w:pPr>
        <w:spacing w:after="40"/>
        <w:ind w:left="360"/>
        <w:jc w:val="both"/>
      </w:pPr>
      <w:r>
        <w:rPr>
          <w:rFonts w:ascii="Barlow Semi Condensed" w:cs="Barlow Semi Condensed" w:eastAsia="Barlow Semi Condensed" w:hAnsi="Barlow Semi Condensed"/>
          <w:sz w:val="24"/>
          <w:szCs w:val="24"/>
        </w:rPr>
        <w:t xml:space="preserve">10. Commissione parlamentare d'inchiesta sulla loggia massonica P2 (Commissione Anselmi) — Relazione conclusiva e allegati. https://www.senato.it/</w:t>
      </w:r>
    </w:p>
    <w:p>
      <w:pPr>
        <w:spacing w:after="40"/>
        <w:ind w:left="360"/>
        <w:jc w:val="both"/>
      </w:pPr>
      <w:r>
        <w:rPr>
          <w:rFonts w:ascii="Barlow Semi Condensed" w:cs="Barlow Semi Condensed" w:eastAsia="Barlow Semi Condensed" w:hAnsi="Barlow Semi Condensed"/>
          <w:sz w:val="24"/>
          <w:szCs w:val="24"/>
        </w:rPr>
        <w:t xml:space="preserve">11. Commissione parlamentare d'inchiesta sul terrorismo in Italia e sulle cause della mancata individuazione dei responsabili delle stragi (Commissione stragi) — Resoconti stenografici. https://www.parlamento.it/parlam/bicam/terror/stenografici/steno9.htm</w:t>
      </w:r>
    </w:p>
    <w:p>
      <w:pPr>
        <w:spacing w:after="40"/>
        <w:ind w:left="360"/>
        <w:jc w:val="both"/>
      </w:pPr>
      <w:r>
        <w:rPr>
          <w:rFonts w:ascii="Barlow Semi Condensed" w:cs="Barlow Semi Condensed" w:eastAsia="Barlow Semi Condensed" w:hAnsi="Barlow Semi Condensed"/>
          <w:sz w:val="24"/>
          <w:szCs w:val="24"/>
        </w:rPr>
        <w:t xml:space="preserve">12. Commissione parlamentare d'inchiesta sul terrorismo e sulle stragi — Ulteriori resoconti stenografici delle sedute. https://www.parlamento.it/parlam/bicam/terror/stenografici/steno25.htm</w:t>
      </w:r>
    </w:p>
    <w:p>
      <w:pPr>
        <w:spacing w:after="40"/>
        <w:ind w:left="360"/>
        <w:jc w:val="both"/>
      </w:pPr>
      <w:r>
        <w:rPr>
          <w:rFonts w:ascii="Barlow Semi Condensed" w:cs="Barlow Semi Condensed" w:eastAsia="Barlow Semi Condensed" w:hAnsi="Barlow Semi Condensed"/>
          <w:sz w:val="24"/>
          <w:szCs w:val="24"/>
        </w:rPr>
        <w:t xml:space="preserve">13. Commissione parlamentare d'inchiesta sul terrorismo e sulle stragi — Resoconti stenografici, seduta conclusiva del ciclo. https://www.parlamento.it/parlam/bicam/terror/stenografici/steno58.htm</w:t>
      </w:r>
    </w:p>
    <w:p>
      <w:pPr>
        <w:pStyle w:val="Heading3"/>
        <w:spacing w:after="80" w:before="160"/>
      </w:pPr>
      <w:r>
        <w:rPr>
          <w:rFonts w:ascii="Barlow Semi Condensed" w:cs="Barlow Semi Condensed" w:eastAsia="Barlow Semi Condensed" w:hAnsi="Barlow Semi Condensed"/>
          <w:sz w:val="24"/>
          <w:szCs w:val="24"/>
        </w:rPr>
        <w:t xml:space="preserve">III. Scritti e testimonianze di e su Aldo Moro</w:t>
      </w:r>
    </w:p>
    <w:p>
      <w:pPr>
        <w:spacing w:after="40"/>
        <w:ind w:left="360"/>
        <w:jc w:val="both"/>
      </w:pPr>
      <w:r>
        <w:rPr>
          <w:rFonts w:ascii="Barlow Semi Condensed" w:cs="Barlow Semi Condensed" w:eastAsia="Barlow Semi Condensed" w:hAnsi="Barlow Semi Condensed"/>
          <w:sz w:val="24"/>
          <w:szCs w:val="24"/>
        </w:rPr>
        <w:t xml:space="preserve">14. Moro, Aldo, «Le lettere dalla prigionia», edizione critica dei testi vergati durante il sequestro (raccolta e apparato).</w:t>
      </w:r>
    </w:p>
    <w:p>
      <w:pPr>
        <w:spacing w:after="40"/>
        <w:ind w:left="360"/>
        <w:jc w:val="both"/>
      </w:pPr>
      <w:r>
        <w:rPr>
          <w:rFonts w:ascii="Barlow Semi Condensed" w:cs="Barlow Semi Condensed" w:eastAsia="Barlow Semi Condensed" w:hAnsi="Barlow Semi Condensed"/>
          <w:sz w:val="24"/>
          <w:szCs w:val="24"/>
        </w:rPr>
        <w:t xml:space="preserve">15. Moro, Aldo, corpus integrale degli scritti e degli interventi 1932–1978, raccolta cronologica dei testi (dataset documentale del progetto di ricerca ENEIDE).</w:t>
      </w:r>
    </w:p>
    <w:p>
      <w:pPr>
        <w:pStyle w:val="Heading3"/>
        <w:spacing w:after="80" w:before="160"/>
      </w:pPr>
      <w:r>
        <w:rPr>
          <w:rFonts w:ascii="Barlow Semi Condensed" w:cs="Barlow Semi Condensed" w:eastAsia="Barlow Semi Condensed" w:hAnsi="Barlow Semi Condensed"/>
          <w:sz w:val="24"/>
          <w:szCs w:val="24"/>
        </w:rPr>
        <w:t xml:space="preserve">IV. Il sequestro, la prigionia e le indagini (fonti d'inchiesta e storiografiche)</w:t>
      </w:r>
    </w:p>
    <w:p>
      <w:pPr>
        <w:spacing w:after="40"/>
        <w:ind w:left="360"/>
        <w:jc w:val="both"/>
      </w:pPr>
      <w:r>
        <w:rPr>
          <w:rFonts w:ascii="Barlow Semi Condensed" w:cs="Barlow Semi Condensed" w:eastAsia="Barlow Semi Condensed" w:hAnsi="Barlow Semi Condensed"/>
          <w:sz w:val="24"/>
          <w:szCs w:val="24"/>
        </w:rPr>
        <w:t xml:space="preserve">16. Calogero, Pietro, Carlo Fumian e Michele Sartori, «Terrore rosso. Dall'autonomia al partito armato», Roma-Bari, Laterza, 2010.</w:t>
      </w:r>
    </w:p>
    <w:p>
      <w:pPr>
        <w:spacing w:after="40"/>
        <w:ind w:left="360"/>
        <w:jc w:val="both"/>
      </w:pPr>
      <w:r>
        <w:rPr>
          <w:rFonts w:ascii="Barlow Semi Condensed" w:cs="Barlow Semi Condensed" w:eastAsia="Barlow Semi Condensed" w:hAnsi="Barlow Semi Condensed"/>
          <w:sz w:val="24"/>
          <w:szCs w:val="24"/>
        </w:rPr>
        <w:t xml:space="preserve">17. De Prospo, Salvatore e Rosario Priore, «Chi manovrava le Brigate rosse? Storia e misteri dell'Hyperion di Parigi, scuola di lingue e centrale del terrorismo internazionale», Firenze, Ponte alle Grazie, 2011.</w:t>
      </w:r>
    </w:p>
    <w:p>
      <w:pPr>
        <w:spacing w:after="40"/>
        <w:ind w:left="360"/>
        <w:jc w:val="both"/>
      </w:pPr>
      <w:r>
        <w:rPr>
          <w:rFonts w:ascii="Barlow Semi Condensed" w:cs="Barlow Semi Condensed" w:eastAsia="Barlow Semi Condensed" w:hAnsi="Barlow Semi Condensed"/>
          <w:sz w:val="24"/>
          <w:szCs w:val="24"/>
        </w:rPr>
        <w:t xml:space="preserve">18. Relazione della Commissione parlamentare d'inchiesta sul sequestro e sull'assassinio di Aldo Moro — audizioni relative alla strage di via Fani, alle trattative e alla scuola di lingue Hypérion (atti). https://www.parlamento.it/</w:t>
      </w:r>
    </w:p>
    <w:p>
      <w:pPr>
        <w:pStyle w:val="Heading3"/>
        <w:spacing w:after="80" w:before="160"/>
      </w:pPr>
      <w:r>
        <w:rPr>
          <w:rFonts w:ascii="Barlow Semi Condensed" w:cs="Barlow Semi Condensed" w:eastAsia="Barlow Semi Condensed" w:hAnsi="Barlow Semi Condensed"/>
          <w:sz w:val="24"/>
          <w:szCs w:val="24"/>
        </w:rPr>
        <w:t xml:space="preserve">V. Metodologia: epistemologia, teoria delle reti e analisi probabilistica</w:t>
      </w:r>
    </w:p>
    <w:p>
      <w:pPr>
        <w:spacing w:after="40"/>
        <w:ind w:left="360"/>
        <w:jc w:val="both"/>
      </w:pPr>
      <w:r>
        <w:rPr>
          <w:rFonts w:ascii="Barlow Semi Condensed" w:cs="Barlow Semi Condensed" w:eastAsia="Barlow Semi Condensed" w:hAnsi="Barlow Semi Condensed"/>
          <w:sz w:val="24"/>
          <w:szCs w:val="24"/>
        </w:rPr>
        <w:t xml:space="preserve">19. Blondel, Vincent D., Jean-Loup Guillaume, Renaud Lambiotte e Etienne Lefebvre, «Fast unfolding of communities in large networks», Journal of Statistical Mechanics, 2008.</w:t>
      </w:r>
    </w:p>
    <w:p>
      <w:pPr>
        <w:spacing w:after="40"/>
        <w:ind w:left="360"/>
        <w:jc w:val="both"/>
      </w:pPr>
      <w:r>
        <w:rPr>
          <w:rFonts w:ascii="Barlow Semi Condensed" w:cs="Barlow Semi Condensed" w:eastAsia="Barlow Semi Condensed" w:hAnsi="Barlow Semi Condensed"/>
          <w:sz w:val="24"/>
          <w:szCs w:val="24"/>
        </w:rPr>
        <w:t xml:space="preserve">20. Burt, Ronald S., «Structural Holes: The Social Structure of Competition», Harvard University Press, 1992.</w:t>
      </w:r>
    </w:p>
    <w:p>
      <w:pPr>
        <w:spacing w:after="40"/>
        <w:ind w:left="360"/>
        <w:jc w:val="both"/>
      </w:pPr>
      <w:r>
        <w:rPr>
          <w:rFonts w:ascii="Barlow Semi Condensed" w:cs="Barlow Semi Condensed" w:eastAsia="Barlow Semi Condensed" w:hAnsi="Barlow Semi Condensed"/>
          <w:sz w:val="24"/>
          <w:szCs w:val="24"/>
        </w:rPr>
        <w:t xml:space="preserve">21. Catino, Maurizio, «Mafia Organizations: The Visible Hand of Criminal Enterprise», Cambridge University Press, 2019.</w:t>
      </w:r>
    </w:p>
    <w:p>
      <w:pPr>
        <w:spacing w:after="40"/>
        <w:ind w:left="360"/>
        <w:jc w:val="both"/>
      </w:pPr>
      <w:r>
        <w:rPr>
          <w:rFonts w:ascii="Barlow Semi Condensed" w:cs="Barlow Semi Condensed" w:eastAsia="Barlow Semi Condensed" w:hAnsi="Barlow Semi Condensed"/>
          <w:sz w:val="24"/>
          <w:szCs w:val="24"/>
        </w:rPr>
        <w:t xml:space="preserve">22. Freeman, Linton C., «Centrality in Social Networks: Conceptual Clarification», Social Networks, 1, 1978–1979.</w:t>
      </w:r>
    </w:p>
    <w:p>
      <w:pPr>
        <w:spacing w:after="40"/>
        <w:ind w:left="360"/>
        <w:jc w:val="both"/>
      </w:pPr>
      <w:r>
        <w:rPr>
          <w:rFonts w:ascii="Barlow Semi Condensed" w:cs="Barlow Semi Condensed" w:eastAsia="Barlow Semi Condensed" w:hAnsi="Barlow Semi Condensed"/>
          <w:sz w:val="24"/>
          <w:szCs w:val="24"/>
        </w:rPr>
        <w:t xml:space="preserve">23. Ginzburg, Carlo, «Spie: radici di un paradigma indiziario», in «Miti, emblemi, spie», Einaudi, 1986.</w:t>
      </w:r>
    </w:p>
    <w:p>
      <w:pPr>
        <w:spacing w:after="40"/>
        <w:ind w:left="360"/>
        <w:jc w:val="both"/>
      </w:pPr>
      <w:r>
        <w:rPr>
          <w:rFonts w:ascii="Barlow Semi Condensed" w:cs="Barlow Semi Condensed" w:eastAsia="Barlow Semi Condensed" w:hAnsi="Barlow Semi Condensed"/>
          <w:sz w:val="24"/>
          <w:szCs w:val="24"/>
        </w:rPr>
        <w:t xml:space="preserve">24. Heuer, Richards J. Jr., «Psychology of Intelligence Analysis», Center for the Study of Intelligence, CIA, 1999.</w:t>
      </w:r>
    </w:p>
    <w:p>
      <w:pPr>
        <w:spacing w:after="40"/>
        <w:ind w:left="360"/>
        <w:jc w:val="both"/>
      </w:pPr>
      <w:r>
        <w:rPr>
          <w:rFonts w:ascii="Barlow Semi Condensed" w:cs="Barlow Semi Condensed" w:eastAsia="Barlow Semi Condensed" w:hAnsi="Barlow Semi Condensed"/>
          <w:sz w:val="24"/>
          <w:szCs w:val="24"/>
        </w:rPr>
        <w:t xml:space="preserve">25. Kivelä, Mikko et al., «Multilayer networks», Journal of Complex Networks, 2, 2014.</w:t>
      </w:r>
    </w:p>
    <w:p>
      <w:pPr>
        <w:spacing w:after="40"/>
        <w:ind w:left="360"/>
        <w:jc w:val="both"/>
      </w:pPr>
      <w:r>
        <w:rPr>
          <w:rFonts w:ascii="Barlow Semi Condensed" w:cs="Barlow Semi Condensed" w:eastAsia="Barlow Semi Condensed" w:hAnsi="Barlow Semi Condensed"/>
          <w:sz w:val="24"/>
          <w:szCs w:val="24"/>
        </w:rPr>
        <w:t xml:space="preserve">26. Luhmann, Niklas, «Soziale Systeme», Suhrkamp, 1984 (trad. it. «Sistemi sociali», 1990).</w:t>
      </w:r>
    </w:p>
    <w:p>
      <w:pPr>
        <w:spacing w:after="40"/>
        <w:ind w:left="360"/>
        <w:jc w:val="both"/>
      </w:pPr>
      <w:r>
        <w:rPr>
          <w:rFonts w:ascii="Barlow Semi Condensed" w:cs="Barlow Semi Condensed" w:eastAsia="Barlow Semi Condensed" w:hAnsi="Barlow Semi Condensed"/>
          <w:sz w:val="24"/>
          <w:szCs w:val="24"/>
        </w:rPr>
        <w:t xml:space="preserve">27. Newman, Mark, «Networks: An Introduction», Oxford University Press, 2010.</w:t>
      </w:r>
    </w:p>
    <w:p>
      <w:pPr>
        <w:spacing w:after="40"/>
        <w:ind w:left="360"/>
        <w:jc w:val="both"/>
      </w:pPr>
      <w:r>
        <w:rPr>
          <w:rFonts w:ascii="Barlow Semi Condensed" w:cs="Barlow Semi Condensed" w:eastAsia="Barlow Semi Condensed" w:hAnsi="Barlow Semi Condensed"/>
          <w:sz w:val="24"/>
          <w:szCs w:val="24"/>
        </w:rPr>
        <w:t xml:space="preserve">28. Popper, Karl R., «Logik der Forschung», Springer, 1934 («The Logic of Scientific Discovery», 1959).</w:t>
      </w:r>
    </w:p>
    <w:p>
      <w:pPr>
        <w:spacing w:after="40"/>
        <w:ind w:left="360"/>
        <w:jc w:val="both"/>
      </w:pPr>
      <w:r>
        <w:rPr>
          <w:rFonts w:ascii="Barlow Semi Condensed" w:cs="Barlow Semi Condensed" w:eastAsia="Barlow Semi Condensed" w:hAnsi="Barlow Semi Condensed"/>
          <w:sz w:val="24"/>
          <w:szCs w:val="24"/>
        </w:rPr>
        <w:t xml:space="preserve">29. Russell, Bertrand, «The Problems of Philosophy», Williams and Norgate, 1912.</w:t>
      </w:r>
    </w:p>
    <w:p>
      <w:pPr>
        <w:spacing w:after="40"/>
        <w:ind w:left="360"/>
        <w:jc w:val="both"/>
      </w:pPr>
      <w:r>
        <w:rPr>
          <w:rFonts w:ascii="Barlow Semi Condensed" w:cs="Barlow Semi Condensed" w:eastAsia="Barlow Semi Condensed" w:hAnsi="Barlow Semi Condensed"/>
          <w:sz w:val="24"/>
          <w:szCs w:val="24"/>
        </w:rPr>
        <w:t xml:space="preserve">30. Savona, Ernesto U. (a cura di), «European Money Trails», Harwood Academic Publishers, 1999.</w:t>
      </w:r>
    </w:p>
    <w:p>
      <w:pPr>
        <w:spacing w:after="40"/>
        <w:ind w:left="360"/>
        <w:jc w:val="both"/>
      </w:pPr>
      <w:r>
        <w:rPr>
          <w:rFonts w:ascii="Barlow Semi Condensed" w:cs="Barlow Semi Condensed" w:eastAsia="Barlow Semi Condensed" w:hAnsi="Barlow Semi Condensed"/>
          <w:sz w:val="24"/>
          <w:szCs w:val="24"/>
        </w:rPr>
        <w:t xml:space="preserve">31. Wasserman, Stanley e Katherine Faust, «Social Network Analysis: Methods and Applications», Cambridge University Press, 1994.</w:t>
      </w:r>
    </w:p>
    <w:p>
      <w:pPr>
        <w:spacing w:after="40"/>
        <w:ind w:left="360"/>
        <w:jc w:val="both"/>
      </w:pPr>
      <w:r>
        <w:rPr>
          <w:rFonts w:ascii="Barlow Semi Condensed" w:cs="Barlow Semi Condensed" w:eastAsia="Barlow Semi Condensed" w:hAnsi="Barlow Semi Condensed"/>
          <w:sz w:val="24"/>
          <w:szCs w:val="24"/>
        </w:rPr>
        <w:t xml:space="preserve">32. Whewell, William, «The Philosophy of the Inductive Sciences», Parker, 1840.</w:t>
      </w:r>
    </w:p>
    <w:p>
      <w:pPr>
        <w:spacing w:after="40"/>
        <w:ind w:left="360"/>
        <w:jc w:val="both"/>
      </w:pPr>
      <w:r>
        <w:rPr>
          <w:rFonts w:ascii="Barlow Semi Condensed" w:cs="Barlow Semi Condensed" w:eastAsia="Barlow Semi Condensed" w:hAnsi="Barlow Semi Condensed"/>
          <w:sz w:val="24"/>
          <w:szCs w:val="24"/>
        </w:rPr>
        <w:t xml:space="preserve">33. Wilson, Edward O., «Consilience: The Unity of Knowledge», Alfred A. Knopf, 1998.</w:t>
      </w:r>
    </w:p>
    <w:p>
      <w:pPr>
        <w:pStyle w:val="Heading3"/>
        <w:spacing w:after="80" w:before="160"/>
      </w:pPr>
      <w:r>
        <w:rPr>
          <w:rFonts w:ascii="Barlow Semi Condensed" w:cs="Barlow Semi Condensed" w:eastAsia="Barlow Semi Condensed" w:hAnsi="Barlow Semi Condensed"/>
          <w:sz w:val="24"/>
          <w:szCs w:val="24"/>
        </w:rPr>
        <w:t xml:space="preserve">VI. Contesto: intelligence, eversione e reti internazionali</w:t>
      </w:r>
    </w:p>
    <w:p>
      <w:pPr>
        <w:spacing w:after="40"/>
        <w:ind w:left="360"/>
        <w:jc w:val="both"/>
      </w:pPr>
      <w:r>
        <w:rPr>
          <w:rFonts w:ascii="Barlow Semi Condensed" w:cs="Barlow Semi Condensed" w:eastAsia="Barlow Semi Condensed" w:hAnsi="Barlow Semi Condensed"/>
          <w:sz w:val="24"/>
          <w:szCs w:val="24"/>
        </w:rPr>
        <w:t xml:space="preserve">34. Agenzia Informazioni e Sicurezza Interna — «Gnosis», rivista italiana di intelligence, archivio degli articoli (risorsa istituzionale). https://gnosis.aisi.gov.it/</w:t>
      </w:r>
    </w:p>
    <w:p>
      <w:pPr>
        <w:spacing w:after="40"/>
        <w:ind w:left="360"/>
        <w:jc w:val="both"/>
      </w:pPr>
      <w:r>
        <w:rPr>
          <w:rFonts w:ascii="Barlow Semi Condensed" w:cs="Barlow Semi Condensed" w:eastAsia="Barlow Semi Condensed" w:hAnsi="Barlow Semi Condensed"/>
          <w:sz w:val="24"/>
          <w:szCs w:val="24"/>
        </w:rPr>
        <w:t xml:space="preserve">35. Fondazione Luigi Micheletti — «Studi Bresciani», studi sul terrorismo e sull'eversione (biblioteca digitale). https://www.fondazionemicheletti.eu/</w:t>
      </w:r>
    </w:p>
    <w:p>
      <w:pPr>
        <w:spacing w:after="40"/>
        <w:ind w:left="360"/>
        <w:jc w:val="both"/>
      </w:pPr>
      <w:r>
        <w:rPr>
          <w:rFonts w:ascii="Barlow Semi Condensed" w:cs="Barlow Semi Condensed" w:eastAsia="Barlow Semi Condensed" w:hAnsi="Barlow Semi Condensed"/>
          <w:sz w:val="24"/>
          <w:szCs w:val="24"/>
        </w:rPr>
        <w:t xml:space="preserve">36. Ministero della Cultura — Portale «Memoria», scheda documentale sul tentato golpe Borghese (risorsa pubblica). https://memoria.cultura.gov.it/it/w/il-tentato-golpe-borghese</w:t>
      </w:r>
    </w:p>
    <w:p>
      <w:pPr>
        <w:spacing w:after="120" w:line="276"/>
        <w:jc w:val="both"/>
      </w:pPr>
      <w:r>
        <w:rPr>
          <w:rFonts w:ascii="Barlow Semi Condensed" w:cs="Barlow Semi Condensed" w:eastAsia="Barlow Semi Condensed" w:hAnsi="Barlow Semi Condensed"/>
          <w:sz w:val="24"/>
          <w:szCs w:val="24"/>
        </w:rPr>
        <w:t xml:space="preserve">Nota sulle fonti e sul metodo di citazione. Le voci prive di collegamento ipertestuale rinviano a opere a stampa o a fondi documentali consultabili presso gli enti indicati nella sezione degli archivi. Per le fonti giudiziarie — sentenze e atti processuali relativi al sequestro e all'omicidio di Aldo Moro — si rinvia agli originali depositati presso le cancellerie competenti e, ove desecretati, ai fondi dell'Archivio Centrale dello Stato citati nella prima sezione. La distinzione dei livelli probatori adottata nel testo — accertato, indiziario, ipotetico — si fonda sulla natura e sul numero delle fonti a sostegno di ciascuna affermazione, secondo lo standard di triangolazione dichiarato nella parte metodologica.</w:t>
      </w:r>
    </w:p>
    <w:p>
      <w:pPr>
        <w:pBdr>
          <w:left w:val="single" w:color="1F3864" w:sz="18" w:space="8"/>
        </w:pBdr>
        <w:spacing w:after="80" w:before="80"/>
        <w:ind w:left="360" w:right="360"/>
        <w:jc w:val="both"/>
      </w:pPr>
      <w:r>
        <w:rPr>
          <w:rFonts w:ascii="Barlow Semi Condensed" w:cs="Barlow Semi Condensed" w:eastAsia="Barlow Semi Condensed" w:hAnsi="Barlow Semi Condensed"/>
          <w:i w:val="false"/>
          <w:iCs w:val="false"/>
          <w:sz w:val="24"/>
          <w:szCs w:val="24"/>
        </w:rPr>
        <w:t xml:space="preserve">«Siamo libri aperti all'ultima pagina»</w:t>
      </w:r>
    </w:p>
    <w:p>
      <w:pPr>
        <w:pStyle w:val="Heading3"/>
        <w:spacing w:after="80" w:before="240"/>
      </w:pPr>
      <w:r>
        <w:rPr>
          <w:rFonts w:ascii="Barlow Semi Condensed" w:cs="Barlow Semi Condensed" w:eastAsia="Barlow Semi Condensed" w:hAnsi="Barlow Semi Condensed"/>
          <w:sz w:val="24"/>
          <w:szCs w:val="24"/>
        </w:rPr>
        <w:t xml:space="preserve">Apparato grafico — Libro quarto · Il Dossier maggiore: «Una Pace senza Pace · Tutta la verit</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6"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Libro quarto: 255.035 parole in 9 sezioni; la più ampia è §5 FASE IV, con 74.174.</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7"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Libro quarto: 17 indirizzi di fonte citati, addensati in 1 sezione su 9.</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8"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La composizione quantificata degli elenchi: 962 nominativi, di cui 44 parlamentari e 3 ministri in carica. Le categorie senza cifra non sono rappresentate.</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9"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Tre anni e un giorno separano via Fani dal sequestro degli elenchi: la finestra dei 55 giorni non è documentabile con una lista del 1981.</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0"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La finestra dei sei mesi, misurata: la documentazione si addensa sui 55 giorni e si dirada prima e dopo. Novembre 1978 non ha una sola data.</w:t>
      </w:r>
    </w:p>
    <w:p>
      <w:pPr>
        <w:spacing w:after="120"/>
        <w:jc w:val="center"/>
      </w:pPr>
      <w:r>
        <w:rPr>
          <w:rFonts w:ascii="Barlow Semi Condensed" w:cs="Barlow Semi Condensed" w:eastAsia="Barlow Semi Condensed" w:hAnsi="Barlow Semi Condensed"/>
          <w:color w:val="777777"/>
          <w:sz w:val="16"/>
          <w:szCs w:val="16"/>
        </w:rPr>
        <w:t xml:space="preserve">Le metriche dell'apparato contano parole, documenti e atti — mai colpe.</w:t>
      </w:r>
    </w:p>
    <w:p>
      <w:r>
        <w:br w:type="page"/>
      </w:r>
    </w:p>
    <w:p>
      <w:pPr>
        <w:pStyle w:val="Heading1"/>
        <w:spacing w:after="120" w:before="240"/>
      </w:pPr>
      <w:r>
        <w:rPr>
          <w:rFonts w:ascii="Barlow Semi Condensed" w:cs="Barlow Semi Condensed" w:eastAsia="Barlow Semi Condensed" w:hAnsi="Barlow Semi Condensed"/>
          <w:sz w:val="24"/>
          <w:szCs w:val="24"/>
        </w:rPr>
        <w:t xml:space="preserve">Libro quinto — Il vettore e il ceppo — I. Feltrinelli, il vettore</w:t>
      </w:r>
    </w:p>
    <w:p>
      <w:pPr>
        <w:pStyle w:val="Heading1"/>
        <w:spacing w:after="120" w:before="240"/>
      </w:pPr>
      <w:r>
        <w:rPr>
          <w:rFonts w:ascii="Barlow Semi Condensed" w:cs="Barlow Semi Condensed" w:eastAsia="Barlow Semi Condensed" w:hAnsi="Barlow Semi Condensed"/>
          <w:sz w:val="24"/>
          <w:szCs w:val="24"/>
        </w:rPr>
        <w:t xml:space="preserve">Giangiacomo Feltrinelli: il vettore del mito (1926-1972)</w:t>
      </w:r>
    </w:p>
    <w:p>
      <w:pPr>
        <w:spacing w:after="120" w:line="276"/>
        <w:jc w:val="both"/>
      </w:pPr>
      <w:r>
        <w:rPr>
          <w:rFonts w:ascii="Barlow Semi Condensed" w:cs="Barlow Semi Condensed" w:eastAsia="Barlow Semi Condensed" w:hAnsi="Barlow Semi Condensed"/>
          <w:i/>
          <w:iCs/>
          <w:sz w:val="24"/>
          <w:szCs w:val="24"/>
        </w:rPr>
        <w:t xml:space="preserve">Studio monografico — 24 agosto 2026 · Nuovo fronte del corpus storico</w:t>
      </w:r>
    </w:p>
    <w:p>
      <w:pPr>
        <w:pBdr>
          <w:left w:val="single" w:color="1F3864" w:sz="18" w:space="8"/>
        </w:pBdr>
        <w:spacing w:after="80" w:before="80"/>
        <w:ind w:left="360" w:right="360"/>
        <w:jc w:val="both"/>
      </w:pPr>
      <w:r>
        <w:rPr>
          <w:rFonts w:ascii="Barlow Semi Condensed" w:cs="Barlow Semi Condensed" w:eastAsia="Barlow Semi Condensed" w:hAnsi="Barlow Semi Condensed"/>
          <w:b/>
          <w:bCs/>
          <w:i w:val="false"/>
          <w:iCs w:val="false"/>
          <w:sz w:val="24"/>
          <w:szCs w:val="24"/>
        </w:rPr>
        <w:t xml:space="preserve">Statuto e disciplina.</w:t>
      </w:r>
      <w:r>
        <w:rPr>
          <w:rFonts w:ascii="Barlow Semi Condensed" w:cs="Barlow Semi Condensed" w:eastAsia="Barlow Semi Condensed" w:hAnsi="Barlow Semi Condensed"/>
          <w:i w:val="false"/>
          <w:iCs w:val="false"/>
          <w:sz w:val="24"/>
          <w:szCs w:val="24"/>
        </w:rPr>
        <w:t xml:space="preserve"> Questo studio apre un nuovo fronte documentato del corpus: la biografia di </w:t>
      </w:r>
      <w:r>
        <w:rPr>
          <w:rFonts w:ascii="Barlow Semi Condensed" w:cs="Barlow Semi Condensed" w:eastAsia="Barlow Semi Condensed" w:hAnsi="Barlow Semi Condensed"/>
          <w:b/>
          <w:bCs/>
          <w:i w:val="false"/>
          <w:iCs w:val="false"/>
          <w:sz w:val="24"/>
          <w:szCs w:val="24"/>
        </w:rPr>
        <w:t xml:space="preserve">Giangiacomo Feltrinelli</w:t>
      </w:r>
      <w:r>
        <w:rPr>
          <w:rFonts w:ascii="Barlow Semi Condensed" w:cs="Barlow Semi Condensed" w:eastAsia="Barlow Semi Condensed" w:hAnsi="Barlow Semi Condensed"/>
          <w:i w:val="false"/>
          <w:iCs w:val="false"/>
          <w:sz w:val="24"/>
          <w:szCs w:val="24"/>
        </w:rPr>
        <w:t xml:space="preserve">, l'uomo che il corpus aveva già nominato come il </w:t>
      </w:r>
      <w:r>
        <w:rPr>
          <w:rFonts w:ascii="Barlow Semi Condensed" w:cs="Barlow Semi Condensed" w:eastAsia="Barlow Semi Condensed" w:hAnsi="Barlow Semi Condensed"/>
          <w:i w:val="false"/>
          <w:iCs w:val="false"/>
          <w:sz w:val="24"/>
          <w:szCs w:val="24"/>
        </w:rPr>
        <w:t xml:space="preserve">vettore</w:t>
      </w:r>
      <w:r>
        <w:rPr>
          <w:rFonts w:ascii="Barlow Semi Condensed" w:cs="Barlow Semi Condensed" w:eastAsia="Barlow Semi Condensed" w:hAnsi="Barlow Semi Condensed"/>
          <w:i w:val="false"/>
          <w:iCs w:val="false"/>
          <w:sz w:val="24"/>
          <w:szCs w:val="24"/>
        </w:rPr>
        <w:t xml:space="preserve"> del mito del Che ma non aveva mai trattato per sé. È l'anello che lega la parabola guevariana alla lotta armata italiana, e merita d'essere ricostruito con esattezza — perché, come tutti gli anelli, tende a farsi dire più di quanto dica. Vale qui la Regola di Ferro dell'intero lavoro: </w:t>
      </w:r>
      <w:r>
        <w:rPr>
          <w:rFonts w:ascii="Barlow Semi Condensed" w:cs="Barlow Semi Condensed" w:eastAsia="Barlow Semi Condensed" w:hAnsi="Barlow Semi Condensed"/>
          <w:b/>
          <w:bCs/>
          <w:i w:val="false"/>
          <w:iCs w:val="false"/>
          <w:sz w:val="24"/>
          <w:szCs w:val="24"/>
        </w:rPr>
        <w:t xml:space="preserve">dove la fonte documenta, si certifica; dove tace, si tace.</w:t>
      </w:r>
      <w:r>
        <w:rPr>
          <w:rFonts w:ascii="Barlow Semi Condensed" w:cs="Barlow Semi Condensed" w:eastAsia="Barlow Semi Condensed" w:hAnsi="Barlow Semi Condensed"/>
          <w:i w:val="false"/>
          <w:iCs w:val="false"/>
          <w:sz w:val="24"/>
          <w:szCs w:val="24"/>
        </w:rPr>
        <w:t xml:space="preserve"> Le tre categorie di prova — documentato / convergenza / congettura — sono tenute distinte fino in fondo. Nessuna persona è nominata come responsabile al di là del giudicato. Sulla morte a Segrate, in particolare, si distingue con cura la ricostruzione giudiziaria dai sospetti mai provati.</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I. L'erede: la ricchezza come premessa (1926-1947)</w:t>
      </w:r>
    </w:p>
    <w:p>
      <w:pPr>
        <w:spacing w:after="120" w:line="276"/>
        <w:jc w:val="both"/>
      </w:pPr>
      <w:r>
        <w:rPr>
          <w:rFonts w:ascii="Barlow Semi Condensed" w:cs="Barlow Semi Condensed" w:eastAsia="Barlow Semi Condensed" w:hAnsi="Barlow Semi Condensed"/>
          <w:sz w:val="24"/>
          <w:szCs w:val="24"/>
        </w:rPr>
        <w:t xml:space="preserve">Giangiacomo Feltrinelli nacque a </w:t>
      </w:r>
      <w:r>
        <w:rPr>
          <w:rFonts w:ascii="Barlow Semi Condensed" w:cs="Barlow Semi Condensed" w:eastAsia="Barlow Semi Condensed" w:hAnsi="Barlow Semi Condensed"/>
          <w:b/>
          <w:bCs/>
          <w:sz w:val="24"/>
          <w:szCs w:val="24"/>
        </w:rPr>
        <w:t xml:space="preserve">Milano il 19 giugno 1926</w:t>
      </w:r>
      <w:r>
        <w:rPr>
          <w:rFonts w:ascii="Barlow Semi Condensed" w:cs="Barlow Semi Condensed" w:eastAsia="Barlow Semi Condensed" w:hAnsi="Barlow Semi Condensed"/>
          <w:sz w:val="24"/>
          <w:szCs w:val="24"/>
        </w:rPr>
        <w:t xml:space="preserve">, in una delle più grandi fortune d'Italia. I Feltrinelli avevano fatto i loro soldi fornendo </w:t>
      </w:r>
      <w:r>
        <w:rPr>
          <w:rFonts w:ascii="Barlow Semi Condensed" w:cs="Barlow Semi Condensed" w:eastAsia="Barlow Semi Condensed" w:hAnsi="Barlow Semi Condensed"/>
          <w:b/>
          <w:bCs/>
          <w:sz w:val="24"/>
          <w:szCs w:val="24"/>
        </w:rPr>
        <w:t xml:space="preserve">legname</w:t>
      </w:r>
      <w:r>
        <w:rPr>
          <w:rFonts w:ascii="Barlow Semi Condensed" w:cs="Barlow Semi Condensed" w:eastAsia="Barlow Semi Condensed" w:hAnsi="Barlow Semi Condensed"/>
          <w:sz w:val="24"/>
          <w:szCs w:val="24"/>
        </w:rPr>
        <w:t xml:space="preserve"> all'edilizia, per poi entrare nella </w:t>
      </w:r>
      <w:r>
        <w:rPr>
          <w:rFonts w:ascii="Barlow Semi Condensed" w:cs="Barlow Semi Condensed" w:eastAsia="Barlow Semi Condensed" w:hAnsi="Barlow Semi Condensed"/>
          <w:b/>
          <w:bCs/>
          <w:sz w:val="24"/>
          <w:szCs w:val="24"/>
        </w:rPr>
        <w:t xml:space="preserve">banca</w:t>
      </w:r>
      <w:r>
        <w:rPr>
          <w:rFonts w:ascii="Barlow Semi Condensed" w:cs="Barlow Semi Condensed" w:eastAsia="Barlow Semi Condensed" w:hAnsi="Barlow Semi Condensed"/>
          <w:sz w:val="24"/>
          <w:szCs w:val="24"/>
        </w:rPr>
        <w:t xml:space="preserve">: il padre, Carlo, controllava un impero che toccava il Credito Italiano, la Edison e la Legnami Feltrinelli, con vasti possedimenti forestali nell'Europa centrale (LRB, John Foot (https://www.lrb.co.uk/the-paper/v24/n03/john-foot/no.-1-scapegoat); Wikipedia EN (https://en.wikipedia.org/wiki/Giangiacomo_Feltrinelli)). Alla morte del padre, il giovane Giangiacomo </w:t>
      </w:r>
      <w:r>
        <w:rPr>
          <w:rFonts w:ascii="Barlow Semi Condensed" w:cs="Barlow Semi Condensed" w:eastAsia="Barlow Semi Condensed" w:hAnsi="Barlow Semi Condensed"/>
          <w:b/>
          <w:bCs/>
          <w:sz w:val="24"/>
          <w:szCs w:val="24"/>
        </w:rPr>
        <w:t xml:space="preserve">ereditò nel 1947 la parte maggiore</w:t>
      </w:r>
      <w:r>
        <w:rPr>
          <w:rFonts w:ascii="Barlow Semi Condensed" w:cs="Barlow Semi Condensed" w:eastAsia="Barlow Semi Condensed" w:hAnsi="Barlow Semi Condensed"/>
          <w:sz w:val="24"/>
          <w:szCs w:val="24"/>
        </w:rPr>
        <w:t xml:space="preserve"> di quel patrimonio.</w:t>
      </w:r>
    </w:p>
    <w:p>
      <w:pPr>
        <w:spacing w:after="120" w:line="276"/>
        <w:jc w:val="both"/>
      </w:pPr>
      <w:r>
        <w:rPr>
          <w:rFonts w:ascii="Barlow Semi Condensed" w:cs="Barlow Semi Condensed" w:eastAsia="Barlow Semi Condensed" w:hAnsi="Barlow Semi Condensed"/>
          <w:sz w:val="24"/>
          <w:szCs w:val="24"/>
        </w:rPr>
        <w:t xml:space="preserve">Qui sta la prima chiave della sua figura, e va enunciata senza ironia perché è il cardine di tutto: fu un </w:t>
      </w:r>
      <w:r>
        <w:rPr>
          <w:rFonts w:ascii="Barlow Semi Condensed" w:cs="Barlow Semi Condensed" w:eastAsia="Barlow Semi Condensed" w:hAnsi="Barlow Semi Condensed"/>
          <w:b/>
          <w:bCs/>
          <w:sz w:val="24"/>
          <w:szCs w:val="24"/>
        </w:rPr>
        <w:t xml:space="preserve">rivoluzionario ricchissimo</w:t>
      </w:r>
      <w:r>
        <w:rPr>
          <w:rFonts w:ascii="Barlow Semi Condensed" w:cs="Barlow Semi Condensed" w:eastAsia="Barlow Semi Condensed" w:hAnsi="Barlow Semi Condensed"/>
          <w:sz w:val="24"/>
          <w:szCs w:val="24"/>
        </w:rPr>
        <w:t xml:space="preserve">. Durante la guerra si arruolò nell'esercito cobelligerante e aderì al </w:t>
      </w:r>
      <w:r>
        <w:rPr>
          <w:rFonts w:ascii="Barlow Semi Condensed" w:cs="Barlow Semi Condensed" w:eastAsia="Barlow Semi Condensed" w:hAnsi="Barlow Semi Condensed"/>
          <w:b/>
          <w:bCs/>
          <w:sz w:val="24"/>
          <w:szCs w:val="24"/>
        </w:rPr>
        <w:t xml:space="preserve">Partito Comunista Italiano</w:t>
      </w:r>
      <w:r>
        <w:rPr>
          <w:rFonts w:ascii="Barlow Semi Condensed" w:cs="Barlow Semi Condensed" w:eastAsia="Barlow Semi Condensed" w:hAnsi="Barlow Semi Condensed"/>
          <w:sz w:val="24"/>
          <w:szCs w:val="24"/>
        </w:rPr>
        <w:t xml:space="preserve">, combattendo contro la Wehrmacht e i resti della Repubblica di Salò. La contraddizione fra le origini e la scelta di campo non fu, in lui, un'ipocrisia da salotto: fu il motore biografico che lo portò, per gradi, dalla cultura all'azione, e infine alla morte. Chi voglia capire il vettore deve tenere insieme i due termini — l'oro di famiglia e la fede comunista — perché è dalla loro tensione che nacque tutto ciò che seguì.</w:t>
      </w:r>
    </w:p>
    <w:p>
      <w:pPr>
        <w:pStyle w:val="Heading2"/>
        <w:spacing w:after="100" w:before="200"/>
      </w:pPr>
      <w:r>
        <w:rPr>
          <w:rFonts w:ascii="Barlow Semi Condensed" w:cs="Barlow Semi Condensed" w:eastAsia="Barlow Semi Condensed" w:hAnsi="Barlow Semi Condensed"/>
          <w:sz w:val="24"/>
          <w:szCs w:val="24"/>
        </w:rPr>
        <w:t xml:space="preserve">II. Il costruttore di cultura: la biblioteca e la casa editrice (1949-1958)</w:t>
      </w:r>
    </w:p>
    <w:p>
      <w:pPr>
        <w:spacing w:after="120" w:line="276"/>
        <w:jc w:val="both"/>
      </w:pPr>
      <w:r>
        <w:rPr>
          <w:rFonts w:ascii="Barlow Semi Condensed" w:cs="Barlow Semi Condensed" w:eastAsia="Barlow Semi Condensed" w:hAnsi="Barlow Semi Condensed"/>
          <w:sz w:val="24"/>
          <w:szCs w:val="24"/>
        </w:rPr>
        <w:t xml:space="preserve">Prima dell'editore ci fu il </w:t>
      </w:r>
      <w:r>
        <w:rPr>
          <w:rFonts w:ascii="Barlow Semi Condensed" w:cs="Barlow Semi Condensed" w:eastAsia="Barlow Semi Condensed" w:hAnsi="Barlow Semi Condensed"/>
          <w:b/>
          <w:bCs/>
          <w:sz w:val="24"/>
          <w:szCs w:val="24"/>
        </w:rPr>
        <w:t xml:space="preserve">bibliotecario</w:t>
      </w:r>
      <w:r>
        <w:rPr>
          <w:rFonts w:ascii="Barlow Semi Condensed" w:cs="Barlow Semi Condensed" w:eastAsia="Barlow Semi Condensed" w:hAnsi="Barlow Semi Condensed"/>
          <w:sz w:val="24"/>
          <w:szCs w:val="24"/>
        </w:rPr>
        <w:t xml:space="preserve">. Nel </w:t>
      </w:r>
      <w:r>
        <w:rPr>
          <w:rFonts w:ascii="Barlow Semi Condensed" w:cs="Barlow Semi Condensed" w:eastAsia="Barlow Semi Condensed" w:hAnsi="Barlow Semi Condensed"/>
          <w:b/>
          <w:bCs/>
          <w:sz w:val="24"/>
          <w:szCs w:val="24"/>
        </w:rPr>
        <w:t xml:space="preserve">1949</w:t>
      </w:r>
      <w:r>
        <w:rPr>
          <w:rFonts w:ascii="Barlow Semi Condensed" w:cs="Barlow Semi Condensed" w:eastAsia="Barlow Semi Condensed" w:hAnsi="Barlow Semi Condensed"/>
          <w:sz w:val="24"/>
          <w:szCs w:val="24"/>
        </w:rPr>
        <w:t xml:space="preserve"> Feltrinelli fondò, per iniziativa privata, una </w:t>
      </w:r>
      <w:r>
        <w:rPr>
          <w:rFonts w:ascii="Barlow Semi Condensed" w:cs="Barlow Semi Condensed" w:eastAsia="Barlow Semi Condensed" w:hAnsi="Barlow Semi Condensed"/>
          <w:b/>
          <w:bCs/>
          <w:sz w:val="24"/>
          <w:szCs w:val="24"/>
        </w:rPr>
        <w:t xml:space="preserve">biblioteca specializzata</w:t>
      </w:r>
      <w:r>
        <w:rPr>
          <w:rFonts w:ascii="Barlow Semi Condensed" w:cs="Barlow Semi Condensed" w:eastAsia="Barlow Semi Condensed" w:hAnsi="Barlow Semi Condensed"/>
          <w:sz w:val="24"/>
          <w:szCs w:val="24"/>
        </w:rPr>
        <w:t xml:space="preserve"> nella raccolta e conservazione dei materiali sulla storia del movimento operaio e socialista: quella che sarebbe diventata Istituto e poi, per decreto del Presidente della Repubblica del </w:t>
      </w:r>
      <w:r>
        <w:rPr>
          <w:rFonts w:ascii="Barlow Semi Condensed" w:cs="Barlow Semi Condensed" w:eastAsia="Barlow Semi Condensed" w:hAnsi="Barlow Semi Condensed"/>
          <w:b/>
          <w:bCs/>
          <w:sz w:val="24"/>
          <w:szCs w:val="24"/>
        </w:rPr>
        <w:t xml:space="preserve">27 aprile 1974</w:t>
      </w:r>
      <w:r>
        <w:rPr>
          <w:rFonts w:ascii="Barlow Semi Condensed" w:cs="Barlow Semi Condensed" w:eastAsia="Barlow Semi Condensed" w:hAnsi="Barlow Semi Condensed"/>
          <w:sz w:val="24"/>
          <w:szCs w:val="24"/>
        </w:rPr>
        <w:t xml:space="preserve">, la </w:t>
      </w:r>
      <w:r>
        <w:rPr>
          <w:rFonts w:ascii="Barlow Semi Condensed" w:cs="Barlow Semi Condensed" w:eastAsia="Barlow Semi Condensed" w:hAnsi="Barlow Semi Condensed"/>
          <w:b/>
          <w:bCs/>
          <w:sz w:val="24"/>
          <w:szCs w:val="24"/>
        </w:rPr>
        <w:t xml:space="preserve">Fondazione Giangiacomo Feltrinelli</w:t>
      </w:r>
      <w:r>
        <w:rPr>
          <w:rFonts w:ascii="Barlow Semi Condensed" w:cs="Barlow Semi Condensed" w:eastAsia="Barlow Semi Condensed" w:hAnsi="Barlow Semi Condensed"/>
          <w:sz w:val="24"/>
          <w:szCs w:val="24"/>
        </w:rPr>
        <w:t xml:space="preserve"> (Fondazione Feltrinelli, About (https://fondazionefeltrinelli.it/en/about-us-4/)). È un dato che si tende a dimenticare, e che invece dà la misura dell'uomo: prima di essere il finanziatore della lotta armata, fu il custode paziente di un patrimonio documentario oggi immenso — 1,5 milioni di schede d'archivio, 250.000 volumi, 15.000 manifesti (Fondazione Feltrinelli, Library (https://fondazionefeltrinelli.it/en/library/)).</w:t>
      </w:r>
    </w:p>
    <w:p>
      <w:pPr>
        <w:spacing w:after="120" w:line="276"/>
        <w:jc w:val="both"/>
      </w:pPr>
      <w:r>
        <w:rPr>
          <w:rFonts w:ascii="Barlow Semi Condensed" w:cs="Barlow Semi Condensed" w:eastAsia="Barlow Semi Condensed" w:hAnsi="Barlow Semi Condensed"/>
          <w:sz w:val="24"/>
          <w:szCs w:val="24"/>
        </w:rPr>
        <w:t xml:space="preserve">Nel </w:t>
      </w:r>
      <w:r>
        <w:rPr>
          <w:rFonts w:ascii="Barlow Semi Condensed" w:cs="Barlow Semi Condensed" w:eastAsia="Barlow Semi Condensed" w:hAnsi="Barlow Semi Condensed"/>
          <w:b/>
          <w:bCs/>
          <w:sz w:val="24"/>
          <w:szCs w:val="24"/>
        </w:rPr>
        <w:t xml:space="preserve">1954</w:t>
      </w:r>
      <w:r>
        <w:rPr>
          <w:rFonts w:ascii="Barlow Semi Condensed" w:cs="Barlow Semi Condensed" w:eastAsia="Barlow Semi Condensed" w:hAnsi="Barlow Semi Condensed"/>
          <w:sz w:val="24"/>
          <w:szCs w:val="24"/>
        </w:rPr>
        <w:t xml:space="preserve"> fondò a Milano la casa editrice </w:t>
      </w:r>
      <w:r>
        <w:rPr>
          <w:rFonts w:ascii="Barlow Semi Condensed" w:cs="Barlow Semi Condensed" w:eastAsia="Barlow Semi Condensed" w:hAnsi="Barlow Semi Condensed"/>
          <w:b/>
          <w:bCs/>
          <w:sz w:val="24"/>
          <w:szCs w:val="24"/>
        </w:rPr>
        <w:t xml:space="preserve">Giangiacomo Feltrinelli Editore</w:t>
      </w:r>
      <w:r>
        <w:rPr>
          <w:rFonts w:ascii="Barlow Semi Condensed" w:cs="Barlow Semi Condensed" w:eastAsia="Barlow Semi Condensed" w:hAnsi="Barlow Semi Condensed"/>
          <w:sz w:val="24"/>
          <w:szCs w:val="24"/>
        </w:rPr>
        <w:t xml:space="preserve">, e in pochi anni mise a segno due colpi che da soli le avrebbero garantito un posto nella storia dell'editoria del Novecento:</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1957 — Il dottor Živago di Boris Pasternak.</w:t>
      </w:r>
      <w:r>
        <w:rPr>
          <w:rFonts w:ascii="Barlow Semi Condensed" w:cs="Barlow Semi Condensed" w:eastAsia="Barlow Semi Condensed" w:hAnsi="Barlow Semi Condensed"/>
          <w:sz w:val="24"/>
          <w:szCs w:val="24"/>
        </w:rPr>
        <w:t xml:space="preserve"> Fu la </w:t>
      </w:r>
      <w:r>
        <w:rPr>
          <w:rFonts w:ascii="Barlow Semi Condensed" w:cs="Barlow Semi Condensed" w:eastAsia="Barlow Semi Condensed" w:hAnsi="Barlow Semi Condensed"/>
          <w:b/>
          <w:bCs/>
          <w:sz w:val="24"/>
          <w:szCs w:val="24"/>
        </w:rPr>
        <w:t xml:space="preserve">prima edizione mondiale</w:t>
      </w:r>
      <w:r>
        <w:rPr>
          <w:rFonts w:ascii="Barlow Semi Condensed" w:cs="Barlow Semi Condensed" w:eastAsia="Barlow Semi Condensed" w:hAnsi="Barlow Semi Condensed"/>
          <w:sz w:val="24"/>
          <w:szCs w:val="24"/>
        </w:rPr>
        <w:t xml:space="preserve"> del romanzo: un'edizione italiana pubblicata nel novembre 1957, sulla base di un contratto firmato con Pasternak nel giugno 1956. Feltrinelli resistette a ogni pressione del Cremlino </w:t>
      </w:r>
      <w:r>
        <w:rPr>
          <w:rFonts w:ascii="Barlow Semi Condensed" w:cs="Barlow Semi Condensed" w:eastAsia="Barlow Semi Condensed" w:hAnsi="Barlow Semi Condensed"/>
          <w:i/>
          <w:iCs/>
          <w:sz w:val="24"/>
          <w:szCs w:val="24"/>
        </w:rPr>
        <w:t xml:space="preserve">e</w:t>
      </w:r>
      <w:r>
        <w:rPr>
          <w:rFonts w:ascii="Barlow Semi Condensed" w:cs="Barlow Semi Condensed" w:eastAsia="Barlow Semi Condensed" w:hAnsi="Barlow Semi Condensed"/>
          <w:sz w:val="24"/>
          <w:szCs w:val="24"/>
        </w:rPr>
        <w:t xml:space="preserve"> del PCI perché il libro non uscisse (Wikipedia, </w:t>
      </w:r>
      <w:r>
        <w:rPr>
          <w:rFonts w:ascii="Barlow Semi Condensed" w:cs="Barlow Semi Condensed" w:eastAsia="Barlow Semi Condensed" w:hAnsi="Barlow Semi Condensed"/>
          <w:i/>
          <w:iCs/>
          <w:sz w:val="24"/>
          <w:szCs w:val="24"/>
        </w:rPr>
        <w:t xml:space="preserve">Doctor Zhivago</w:t>
      </w:r>
      <w:r>
        <w:rPr>
          <w:rFonts w:ascii="Barlow Semi Condensed" w:cs="Barlow Semi Condensed" w:eastAsia="Barlow Semi Condensed" w:hAnsi="Barlow Semi Condensed"/>
          <w:sz w:val="24"/>
          <w:szCs w:val="24"/>
        </w:rPr>
        <w:t xml:space="preserve"> (https://en.wikipedia.org/wiki/Doctor_Zhivago_(novel))). Fu anche il fatto che, insieme ai contrasti sui fatti d'Ungheria, lo condusse fuori dal partito: secondo il Dizionario Biografico Treccani (https://www.treccani.it/enciclopedia/giangiacomo-feltrinelli_(Dizionario-Biografico)/) </w:t>
      </w:r>
      <w:r>
        <w:rPr>
          <w:rFonts w:ascii="Barlow Semi Condensed" w:cs="Barlow Semi Condensed" w:eastAsia="Barlow Semi Condensed" w:hAnsi="Barlow Semi Condensed"/>
          <w:b/>
          <w:bCs/>
          <w:sz w:val="24"/>
          <w:szCs w:val="24"/>
        </w:rPr>
        <w:t xml:space="preserve">il 1957 fu l'ultimo anno di tessera</w:t>
      </w:r>
      <w:r>
        <w:rPr>
          <w:rFonts w:ascii="Barlow Semi Condensed" w:cs="Barlow Semi Condensed" w:eastAsia="Barlow Semi Condensed" w:hAnsi="Barlow Semi Condensed"/>
          <w:sz w:val="24"/>
          <w:szCs w:val="24"/>
        </w:rPr>
        <w:t xml:space="preserve"> — la rottura maturò proprio sul </w:t>
      </w:r>
      <w:r>
        <w:rPr>
          <w:rFonts w:ascii="Barlow Semi Condensed" w:cs="Barlow Semi Condensed" w:eastAsia="Barlow Semi Condensed" w:hAnsi="Barlow Semi Condensed"/>
          <w:i/>
          <w:iCs/>
          <w:sz w:val="24"/>
          <w:szCs w:val="24"/>
        </w:rPr>
        <w:t xml:space="preserve">Živago</w:t>
      </w:r>
      <w:r>
        <w:rPr>
          <w:rFonts w:ascii="Barlow Semi Condensed" w:cs="Barlow Semi Condensed" w:eastAsia="Barlow Semi Condensed" w:hAnsi="Barlow Semi Condensed"/>
          <w:sz w:val="24"/>
          <w:szCs w:val="24"/>
        </w:rPr>
        <w:t xml:space="preserve"> e su una lettera al partito del 28 settembre 1957 che gli valse una minaccia di espulsione — mentre altre fonti collocano l'uscita definitiva nel 1958. I rapporti restarono non ostili. </w:t>
      </w:r>
      <w:r>
        <w:rPr>
          <w:rFonts w:ascii="Barlow Semi Condensed" w:cs="Barlow Semi Condensed" w:eastAsia="Barlow Semi Condensed" w:hAnsi="Barlow Semi Condensed"/>
          <w:i/>
          <w:iCs/>
          <w:sz w:val="24"/>
          <w:szCs w:val="24"/>
        </w:rPr>
        <w:t xml:space="preserve">(Nota di revisione: la prima stesura datava l'uscita al solo «1958»; la triangolazione su Treccani la precisa come processo 1957-58, con il mancato rinnovo della tessera dopo il 1957.)</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1958 — Il Gattopardo di Giuseppe Tomasi di Lampedusa.</w:t>
      </w:r>
      <w:r>
        <w:rPr>
          <w:rFonts w:ascii="Barlow Semi Condensed" w:cs="Barlow Semi Condensed" w:eastAsia="Barlow Semi Condensed" w:hAnsi="Barlow Semi Condensed"/>
          <w:sz w:val="24"/>
          <w:szCs w:val="24"/>
        </w:rPr>
        <w:t xml:space="preserve"> Rifiutato da ogni altro editore importante d'Italia, uscì da Feltrinelli nel novembre 1958 e divenne un caso: </w:t>
      </w:r>
      <w:r>
        <w:rPr>
          <w:rFonts w:ascii="Barlow Semi Condensed" w:cs="Barlow Semi Condensed" w:eastAsia="Barlow Semi Condensed" w:hAnsi="Barlow Semi Condensed"/>
          <w:b/>
          <w:bCs/>
          <w:sz w:val="24"/>
          <w:szCs w:val="24"/>
        </w:rPr>
        <w:t xml:space="preserve">cinquantadue edizioni in meno di sei mesi</w:t>
      </w:r>
      <w:r>
        <w:rPr>
          <w:rFonts w:ascii="Barlow Semi Condensed" w:cs="Barlow Semi Condensed" w:eastAsia="Barlow Semi Condensed" w:hAnsi="Barlow Semi Condensed"/>
          <w:sz w:val="24"/>
          <w:szCs w:val="24"/>
        </w:rPr>
        <w:t xml:space="preserve"> (Wikipedia, </w:t>
      </w:r>
      <w:r>
        <w:rPr>
          <w:rFonts w:ascii="Barlow Semi Condensed" w:cs="Barlow Semi Condensed" w:eastAsia="Barlow Semi Condensed" w:hAnsi="Barlow Semi Condensed"/>
          <w:i/>
          <w:iCs/>
          <w:sz w:val="24"/>
          <w:szCs w:val="24"/>
        </w:rPr>
        <w:t xml:space="preserve">The Leopard</w:t>
      </w:r>
      <w:r>
        <w:rPr>
          <w:rFonts w:ascii="Barlow Semi Condensed" w:cs="Barlow Semi Condensed" w:eastAsia="Barlow Semi Condensed" w:hAnsi="Barlow Semi Condensed"/>
          <w:sz w:val="24"/>
          <w:szCs w:val="24"/>
        </w:rPr>
        <w:t xml:space="preserve"> (https://en.wikipedia.org/wiki/The_Leopard)).</w:t>
      </w:r>
    </w:p>
    <w:p>
      <w:pPr>
        <w:spacing w:after="120" w:line="276"/>
        <w:jc w:val="both"/>
      </w:pPr>
      <w:r>
        <w:rPr>
          <w:rFonts w:ascii="Barlow Semi Condensed" w:cs="Barlow Semi Condensed" w:eastAsia="Barlow Semi Condensed" w:hAnsi="Barlow Semi Condensed"/>
          <w:sz w:val="24"/>
          <w:szCs w:val="24"/>
        </w:rPr>
        <w:t xml:space="preserve">A questi si aggiunse la creazione della </w:t>
      </w:r>
      <w:r>
        <w:rPr>
          <w:rFonts w:ascii="Barlow Semi Condensed" w:cs="Barlow Semi Condensed" w:eastAsia="Barlow Semi Condensed" w:hAnsi="Barlow Semi Condensed"/>
          <w:b/>
          <w:bCs/>
          <w:sz w:val="24"/>
          <w:szCs w:val="24"/>
        </w:rPr>
        <w:t xml:space="preserve">prima catena di librerie</w:t>
      </w:r>
      <w:r>
        <w:rPr>
          <w:rFonts w:ascii="Barlow Semi Condensed" w:cs="Barlow Semi Condensed" w:eastAsia="Barlow Semi Condensed" w:hAnsi="Barlow Semi Condensed"/>
          <w:sz w:val="24"/>
          <w:szCs w:val="24"/>
        </w:rPr>
        <w:t xml:space="preserve"> d'Italia, che porta ancora il suo nome. Il ritratto, a questo punto della vita, è quello di un grande editore civile: un uomo che sapeva riconoscere il libro giusto contro il parere di tutti. Questa competenza — l'occhio per ciò che sarebbe diventato </w:t>
      </w:r>
      <w:r>
        <w:rPr>
          <w:rFonts w:ascii="Barlow Semi Condensed" w:cs="Barlow Semi Condensed" w:eastAsia="Barlow Semi Condensed" w:hAnsi="Barlow Semi Condensed"/>
          <w:b/>
          <w:bCs/>
          <w:sz w:val="24"/>
          <w:szCs w:val="24"/>
        </w:rPr>
        <w:t xml:space="preserve">simbolo</w:t>
      </w:r>
      <w:r>
        <w:rPr>
          <w:rFonts w:ascii="Barlow Semi Condensed" w:cs="Barlow Semi Condensed" w:eastAsia="Barlow Semi Condensed" w:hAnsi="Barlow Semi Condensed"/>
          <w:sz w:val="24"/>
          <w:szCs w:val="24"/>
        </w:rPr>
        <w:t xml:space="preserve"> — è la stessa che, pochi anni dopo, avrebbe fatto di una fotografia scartata l'icona del secolo.</w:t>
      </w:r>
    </w:p>
    <w:p>
      <w:pPr>
        <w:pStyle w:val="Heading2"/>
        <w:spacing w:after="100" w:before="200"/>
      </w:pPr>
      <w:r>
        <w:rPr>
          <w:rFonts w:ascii="Barlow Semi Condensed" w:cs="Barlow Semi Condensed" w:eastAsia="Barlow Semi Condensed" w:hAnsi="Barlow Semi Condensed"/>
          <w:sz w:val="24"/>
          <w:szCs w:val="24"/>
        </w:rPr>
        <w:t xml:space="preserve">III. Il vettore: come un editore fabbrica un'icona (1960-1968)</w:t>
      </w:r>
    </w:p>
    <w:p>
      <w:pPr>
        <w:spacing w:after="120" w:line="276"/>
        <w:jc w:val="both"/>
      </w:pPr>
      <w:r>
        <w:rPr>
          <w:rFonts w:ascii="Barlow Semi Condensed" w:cs="Barlow Semi Condensed" w:eastAsia="Barlow Semi Condensed" w:hAnsi="Barlow Semi Condensed"/>
          <w:sz w:val="24"/>
          <w:szCs w:val="24"/>
        </w:rPr>
        <w:t xml:space="preserve">Qui il corpus tocca il suo nodo, e conviene enunciarlo con la massima precisione, perché è </w:t>
      </w:r>
      <w:r>
        <w:rPr>
          <w:rFonts w:ascii="Barlow Semi Condensed" w:cs="Barlow Semi Condensed" w:eastAsia="Barlow Semi Condensed" w:hAnsi="Barlow Semi Condensed"/>
          <w:b/>
          <w:bCs/>
          <w:sz w:val="24"/>
          <w:szCs w:val="24"/>
        </w:rPr>
        <w:t xml:space="preserve">documentato</w:t>
      </w:r>
      <w:r>
        <w:rPr>
          <w:rFonts w:ascii="Barlow Semi Condensed" w:cs="Barlow Semi Condensed" w:eastAsia="Barlow Semi Condensed" w:hAnsi="Barlow Semi Condensed"/>
          <w:sz w:val="24"/>
          <w:szCs w:val="24"/>
        </w:rPr>
        <w:t xml:space="preserve"> e non va né gonfiato né sminuito.</w:t>
      </w:r>
    </w:p>
    <w:p>
      <w:pPr>
        <w:spacing w:after="120" w:line="276"/>
        <w:jc w:val="both"/>
      </w:pPr>
      <w:r>
        <w:rPr>
          <w:rFonts w:ascii="Barlow Semi Condensed" w:cs="Barlow Semi Condensed" w:eastAsia="Barlow Semi Condensed" w:hAnsi="Barlow Semi Condensed"/>
          <w:sz w:val="24"/>
          <w:szCs w:val="24"/>
        </w:rPr>
        <w:t xml:space="preserve">Nei primi anni Sessanta Feltrinelli fu </w:t>
      </w:r>
      <w:r>
        <w:rPr>
          <w:rFonts w:ascii="Barlow Semi Condensed" w:cs="Barlow Semi Condensed" w:eastAsia="Barlow Semi Condensed" w:hAnsi="Barlow Semi Condensed"/>
          <w:b/>
          <w:bCs/>
          <w:sz w:val="24"/>
          <w:szCs w:val="24"/>
        </w:rPr>
        <w:t xml:space="preserve">assiduo di Cuba</w:t>
      </w:r>
      <w:r>
        <w:rPr>
          <w:rFonts w:ascii="Barlow Semi Condensed" w:cs="Barlow Semi Condensed" w:eastAsia="Barlow Semi Condensed" w:hAnsi="Barlow Semi Condensed"/>
          <w:sz w:val="24"/>
          <w:szCs w:val="24"/>
        </w:rPr>
        <w:t xml:space="preserve">: visitò più volte l'isola negli anni della rivoluzione, fu vicino al nuovo regime, e a un certo punto aveva perfino </w:t>
      </w:r>
      <w:r>
        <w:rPr>
          <w:rFonts w:ascii="Barlow Semi Condensed" w:cs="Barlow Semi Condensed" w:eastAsia="Barlow Semi Condensed" w:hAnsi="Barlow Semi Condensed"/>
          <w:b/>
          <w:bCs/>
          <w:sz w:val="24"/>
          <w:szCs w:val="24"/>
        </w:rPr>
        <w:t xml:space="preserve">progettato di scrivere come ghost-writer la biografia di Fidel Castro</w:t>
      </w:r>
      <w:r>
        <w:rPr>
          <w:rFonts w:ascii="Barlow Semi Condensed" w:cs="Barlow Semi Condensed" w:eastAsia="Barlow Semi Condensed" w:hAnsi="Barlow Semi Condensed"/>
          <w:sz w:val="24"/>
          <w:szCs w:val="24"/>
        </w:rPr>
        <w:t xml:space="preserve"> (History Ireland (https://historyireland.com/che-guevara-jim-fitzpatrick-and-the-making-of-an-icon/)). Da quel rapporto nacque il fatto che lega Milano all'Avana.</w:t>
      </w:r>
    </w:p>
    <w:p>
      <w:pPr>
        <w:spacing w:after="120" w:line="276"/>
        <w:jc w:val="both"/>
      </w:pPr>
      <w:r>
        <w:rPr>
          <w:rFonts w:ascii="Barlow Semi Condensed" w:cs="Barlow Semi Condensed" w:eastAsia="Barlow Semi Condensed" w:hAnsi="Barlow Semi Condensed"/>
          <w:sz w:val="24"/>
          <w:szCs w:val="24"/>
        </w:rPr>
        <w:t xml:space="preserve">La fotografia era già stata scattata: il </w:t>
      </w:r>
      <w:r>
        <w:rPr>
          <w:rFonts w:ascii="Barlow Semi Condensed" w:cs="Barlow Semi Condensed" w:eastAsia="Barlow Semi Condensed" w:hAnsi="Barlow Semi Condensed"/>
          <w:b/>
          <w:bCs/>
          <w:sz w:val="24"/>
          <w:szCs w:val="24"/>
        </w:rPr>
        <w:t xml:space="preserve">5 marzo 1960</w:t>
      </w:r>
      <w:r>
        <w:rPr>
          <w:rFonts w:ascii="Barlow Semi Condensed" w:cs="Barlow Semi Condensed" w:eastAsia="Barlow Semi Condensed" w:hAnsi="Barlow Semi Condensed"/>
          <w:sz w:val="24"/>
          <w:szCs w:val="24"/>
        </w:rPr>
        <w:t xml:space="preserve">, all'Avana, durante le esequie delle vittime del piroscafo </w:t>
      </w:r>
      <w:r>
        <w:rPr>
          <w:rFonts w:ascii="Barlow Semi Condensed" w:cs="Barlow Semi Condensed" w:eastAsia="Barlow Semi Condensed" w:hAnsi="Barlow Semi Condensed"/>
          <w:i/>
          <w:iCs/>
          <w:sz w:val="24"/>
          <w:szCs w:val="24"/>
        </w:rPr>
        <w:t xml:space="preserve">La Coubre</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b/>
          <w:bCs/>
          <w:sz w:val="24"/>
          <w:szCs w:val="24"/>
        </w:rPr>
        <w:t xml:space="preserve">Alberto Korda</w:t>
      </w:r>
      <w:r>
        <w:rPr>
          <w:rFonts w:ascii="Barlow Semi Condensed" w:cs="Barlow Semi Condensed" w:eastAsia="Barlow Semi Condensed" w:hAnsi="Barlow Semi Condensed"/>
          <w:sz w:val="24"/>
          <w:szCs w:val="24"/>
        </w:rPr>
        <w:t xml:space="preserve"> aveva colto il ritratto di Guevara — il </w:t>
      </w:r>
      <w:r>
        <w:rPr>
          <w:rFonts w:ascii="Barlow Semi Condensed" w:cs="Barlow Semi Condensed" w:eastAsia="Barlow Semi Condensed" w:hAnsi="Barlow Semi Condensed"/>
          <w:i/>
          <w:iCs/>
          <w:sz w:val="24"/>
          <w:szCs w:val="24"/>
        </w:rPr>
        <w:t xml:space="preserve">Guerrillero Heroico</w:t>
      </w:r>
      <w:r>
        <w:rPr>
          <w:rFonts w:ascii="Barlow Semi Condensed" w:cs="Barlow Semi Condensed" w:eastAsia="Barlow Semi Condensed" w:hAnsi="Barlow Semi Condensed"/>
          <w:sz w:val="24"/>
          <w:szCs w:val="24"/>
        </w:rPr>
        <w:t xml:space="preserve"> — poi accantonato per la scarsa qualità e rimasto per anni </w:t>
      </w:r>
      <w:r>
        <w:rPr>
          <w:rFonts w:ascii="Barlow Semi Condensed" w:cs="Barlow Semi Condensed" w:eastAsia="Barlow Semi Condensed" w:hAnsi="Barlow Semi Condensed"/>
          <w:b/>
          <w:bCs/>
          <w:sz w:val="24"/>
          <w:szCs w:val="24"/>
        </w:rPr>
        <w:t xml:space="preserve">oscuro</w:t>
      </w:r>
      <w:r>
        <w:rPr>
          <w:rFonts w:ascii="Barlow Semi Condensed" w:cs="Barlow Semi Condensed" w:eastAsia="Barlow Semi Condensed" w:hAnsi="Barlow Semi Condensed"/>
          <w:sz w:val="24"/>
          <w:szCs w:val="24"/>
        </w:rPr>
        <w:t xml:space="preserve"> (Wikipedia, </w:t>
      </w:r>
      <w:r>
        <w:rPr>
          <w:rFonts w:ascii="Barlow Semi Condensed" w:cs="Barlow Semi Condensed" w:eastAsia="Barlow Semi Condensed" w:hAnsi="Barlow Semi Condensed"/>
          <w:i/>
          <w:iCs/>
          <w:sz w:val="24"/>
          <w:szCs w:val="24"/>
        </w:rPr>
        <w:t xml:space="preserve">Guerrillero Heroico</w:t>
      </w:r>
      <w:r>
        <w:rPr>
          <w:rFonts w:ascii="Barlow Semi Condensed" w:cs="Barlow Semi Condensed" w:eastAsia="Barlow Semi Condensed" w:hAnsi="Barlow Semi Condensed"/>
          <w:sz w:val="24"/>
          <w:szCs w:val="24"/>
        </w:rPr>
        <w:t xml:space="preserve"> (https://en.wikipedia.org/wiki/Guerrillero_Heroico)). Fu Feltrinelli a strapparlo all'oblio. Nell'</w:t>
      </w:r>
      <w:r>
        <w:rPr>
          <w:rFonts w:ascii="Barlow Semi Condensed" w:cs="Barlow Semi Condensed" w:eastAsia="Barlow Semi Condensed" w:hAnsi="Barlow Semi Condensed"/>
          <w:b/>
          <w:bCs/>
          <w:sz w:val="24"/>
          <w:szCs w:val="24"/>
        </w:rPr>
        <w:t xml:space="preserve">estate del 1967</w:t>
      </w:r>
      <w:r>
        <w:rPr>
          <w:rFonts w:ascii="Barlow Semi Condensed" w:cs="Barlow Semi Condensed" w:eastAsia="Barlow Semi Condensed" w:hAnsi="Barlow Semi Condensed"/>
          <w:sz w:val="24"/>
          <w:szCs w:val="24"/>
        </w:rPr>
        <w:t xml:space="preserve"> acquisì i diritti per pubblicare il </w:t>
      </w:r>
      <w:r>
        <w:rPr>
          <w:rFonts w:ascii="Barlow Semi Condensed" w:cs="Barlow Semi Condensed" w:eastAsia="Barlow Semi Condensed" w:hAnsi="Barlow Semi Condensed"/>
          <w:b/>
          <w:bCs/>
          <w:sz w:val="24"/>
          <w:szCs w:val="24"/>
        </w:rPr>
        <w:t xml:space="preserve">Diario boliviano</w:t>
      </w:r>
      <w:r>
        <w:rPr>
          <w:rFonts w:ascii="Barlow Semi Condensed" w:cs="Barlow Semi Condensed" w:eastAsia="Barlow Semi Condensed" w:hAnsi="Barlow Semi Condensed"/>
          <w:sz w:val="24"/>
          <w:szCs w:val="24"/>
        </w:rPr>
        <w:t xml:space="preserve"> di Guevara </w:t>
      </w:r>
      <w:r>
        <w:rPr>
          <w:rFonts w:ascii="Barlow Semi Condensed" w:cs="Barlow Semi Condensed" w:eastAsia="Barlow Semi Condensed" w:hAnsi="Barlow Semi Condensed"/>
          <w:i/>
          <w:iCs/>
          <w:sz w:val="24"/>
          <w:szCs w:val="24"/>
        </w:rPr>
        <w:t xml:space="preserve">insieme</w:t>
      </w:r>
      <w:r>
        <w:rPr>
          <w:rFonts w:ascii="Barlow Semi Condensed" w:cs="Barlow Semi Condensed" w:eastAsia="Barlow Semi Condensed" w:hAnsi="Barlow Semi Condensed"/>
          <w:sz w:val="24"/>
          <w:szCs w:val="24"/>
        </w:rPr>
        <w:t xml:space="preserve"> alla fotografia di Korda; e dopo che il diario riaffiorò all'Avana, </w:t>
      </w:r>
      <w:r>
        <w:rPr>
          <w:rFonts w:ascii="Barlow Semi Condensed" w:cs="Barlow Semi Condensed" w:eastAsia="Barlow Semi Condensed" w:hAnsi="Barlow Semi Condensed"/>
          <w:b/>
          <w:bCs/>
          <w:sz w:val="24"/>
          <w:szCs w:val="24"/>
        </w:rPr>
        <w:t xml:space="preserve">Castro gli concedette i diritti italiani</w:t>
      </w:r>
      <w:r>
        <w:rPr>
          <w:rFonts w:ascii="Barlow Semi Condensed" w:cs="Barlow Semi Condensed" w:eastAsia="Barlow Semi Condensed" w:hAnsi="Barlow Semi Condensed"/>
          <w:sz w:val="24"/>
          <w:szCs w:val="24"/>
        </w:rPr>
        <w:t xml:space="preserve">, e il libro uscì nel </w:t>
      </w:r>
      <w:r>
        <w:rPr>
          <w:rFonts w:ascii="Barlow Semi Condensed" w:cs="Barlow Semi Condensed" w:eastAsia="Barlow Semi Condensed" w:hAnsi="Barlow Semi Condensed"/>
          <w:b/>
          <w:bCs/>
          <w:sz w:val="24"/>
          <w:szCs w:val="24"/>
        </w:rPr>
        <w:t xml:space="preserve">1968</w:t>
      </w:r>
      <w:r>
        <w:rPr>
          <w:rFonts w:ascii="Barlow Semi Condensed" w:cs="Barlow Semi Condensed" w:eastAsia="Barlow Semi Condensed" w:hAnsi="Barlow Semi Condensed"/>
          <w:sz w:val="24"/>
          <w:szCs w:val="24"/>
        </w:rPr>
        <w:t xml:space="preserve"> con il ritratto di Korda in copertina e la prefazione di Castro.</w:t>
      </w:r>
    </w:p>
    <w:p>
      <w:pPr>
        <w:spacing w:after="120" w:line="276"/>
        <w:jc w:val="both"/>
      </w:pPr>
      <w:r>
        <w:rPr>
          <w:rFonts w:ascii="Barlow Semi Condensed" w:cs="Barlow Semi Condensed" w:eastAsia="Barlow Semi Condensed" w:hAnsi="Barlow Semi Condensed"/>
          <w:b/>
          <w:bCs/>
          <w:sz w:val="24"/>
          <w:szCs w:val="24"/>
        </w:rPr>
        <w:t xml:space="preserve">Integrazione post-triangolazione: la Bolivia, di persona (agosto 1967).</w:t>
      </w:r>
      <w:r>
        <w:rPr>
          <w:rFonts w:ascii="Barlow Semi Condensed" w:cs="Barlow Semi Condensed" w:eastAsia="Barlow Semi Condensed" w:hAnsi="Barlow Semi Condensed"/>
          <w:sz w:val="24"/>
          <w:szCs w:val="24"/>
        </w:rPr>
        <w:t xml:space="preserve"> La verifica del corpus ha fatto emergere un fatto che la prima stesura non registrava e che salda fisicamente il vettore alla campagna boliviana: nell'</w:t>
      </w:r>
      <w:r>
        <w:rPr>
          <w:rFonts w:ascii="Barlow Semi Condensed" w:cs="Barlow Semi Condensed" w:eastAsia="Barlow Semi Condensed" w:hAnsi="Barlow Semi Condensed"/>
          <w:b/>
          <w:bCs/>
          <w:sz w:val="24"/>
          <w:szCs w:val="24"/>
        </w:rPr>
        <w:t xml:space="preserve">agosto 1967</w:t>
      </w:r>
      <w:r>
        <w:rPr>
          <w:rFonts w:ascii="Barlow Semi Condensed" w:cs="Barlow Semi Condensed" w:eastAsia="Barlow Semi Condensed" w:hAnsi="Barlow Semi Condensed"/>
          <w:sz w:val="24"/>
          <w:szCs w:val="24"/>
        </w:rPr>
        <w:t xml:space="preserve"> — a campagna in corso, con Régis Debray sotto processo a </w:t>
      </w:r>
      <w:r>
        <w:rPr>
          <w:rFonts w:ascii="Barlow Semi Condensed" w:cs="Barlow Semi Condensed" w:eastAsia="Barlow Semi Condensed" w:hAnsi="Barlow Semi Condensed"/>
          <w:b/>
          <w:bCs/>
          <w:sz w:val="24"/>
          <w:szCs w:val="24"/>
        </w:rPr>
        <w:t xml:space="preserve">Camiri</w:t>
      </w:r>
      <w:r>
        <w:rPr>
          <w:rFonts w:ascii="Barlow Semi Condensed" w:cs="Barlow Semi Condensed" w:eastAsia="Barlow Semi Condensed" w:hAnsi="Barlow Semi Condensed"/>
          <w:sz w:val="24"/>
          <w:szCs w:val="24"/>
        </w:rPr>
        <w:t xml:space="preserve"> — Feltrinelli </w:t>
      </w:r>
      <w:r>
        <w:rPr>
          <w:rFonts w:ascii="Barlow Semi Condensed" w:cs="Barlow Semi Condensed" w:eastAsia="Barlow Semi Condensed" w:hAnsi="Barlow Semi Condensed"/>
          <w:b/>
          <w:bCs/>
          <w:sz w:val="24"/>
          <w:szCs w:val="24"/>
        </w:rPr>
        <w:t xml:space="preserve">andò in Bolivia</w:t>
      </w:r>
      <w:r>
        <w:rPr>
          <w:rFonts w:ascii="Barlow Semi Condensed" w:cs="Barlow Semi Condensed" w:eastAsia="Barlow Semi Condensed" w:hAnsi="Barlow Semi Condensed"/>
          <w:sz w:val="24"/>
          <w:szCs w:val="24"/>
        </w:rPr>
        <w:t xml:space="preserve"> con Sibilla Melega, vi fu </w:t>
      </w:r>
      <w:r>
        <w:rPr>
          <w:rFonts w:ascii="Barlow Semi Condensed" w:cs="Barlow Semi Condensed" w:eastAsia="Barlow Semi Condensed" w:hAnsi="Barlow Semi Condensed"/>
          <w:b/>
          <w:bCs/>
          <w:sz w:val="24"/>
          <w:szCs w:val="24"/>
        </w:rPr>
        <w:t xml:space="preserve">arrestato</w:t>
      </w:r>
      <w:r>
        <w:rPr>
          <w:rFonts w:ascii="Barlow Semi Condensed" w:cs="Barlow Semi Condensed" w:eastAsia="Barlow Semi Condensed" w:hAnsi="Barlow Semi Condensed"/>
          <w:sz w:val="24"/>
          <w:szCs w:val="24"/>
        </w:rPr>
        <w:t xml:space="preserve"> dalla polizia boliviana e, solo per pressione diplomatica, ottenne l'</w:t>
      </w:r>
      <w:r>
        <w:rPr>
          <w:rFonts w:ascii="Barlow Semi Condensed" w:cs="Barlow Semi Condensed" w:eastAsia="Barlow Semi Condensed" w:hAnsi="Barlow Semi Condensed"/>
          <w:b/>
          <w:bCs/>
          <w:sz w:val="24"/>
          <w:szCs w:val="24"/>
        </w:rPr>
        <w:t xml:space="preserve">espulsione</w:t>
      </w:r>
      <w:r>
        <w:rPr>
          <w:rFonts w:ascii="Barlow Semi Condensed" w:cs="Barlow Semi Condensed" w:eastAsia="Barlow Semi Condensed" w:hAnsi="Barlow Semi Condensed"/>
          <w:sz w:val="24"/>
          <w:szCs w:val="24"/>
        </w:rPr>
        <w:t xml:space="preserve"> come indesiderato; nel viaggio prese contatti con l'ambiente dell'ELN (Treccani, Dizionario Biografico (https://www.treccani.it/enciclopedia/giangiacomo-feltrinelli_(Dizionario-Biografico)/); A ca' l'Alveare (https://www.acalveare.it/2025/11/15/giangiacomo-feltrinelli-leditore-rivoluzionario/); Salto.bz (https://salto.bz/it/article/08042026/bolivia-sulle-tracce-del-che)). L'editore che di lì a pochi mesi avrebbe pubblicato il </w:t>
      </w:r>
      <w:r>
        <w:rPr>
          <w:rFonts w:ascii="Barlow Semi Condensed" w:cs="Barlow Semi Condensed" w:eastAsia="Barlow Semi Condensed" w:hAnsi="Barlow Semi Condensed"/>
          <w:i/>
          <w:iCs/>
          <w:sz w:val="24"/>
          <w:szCs w:val="24"/>
        </w:rPr>
        <w:t xml:space="preserve">Diario</w:t>
      </w:r>
      <w:r>
        <w:rPr>
          <w:rFonts w:ascii="Barlow Semi Condensed" w:cs="Barlow Semi Condensed" w:eastAsia="Barlow Semi Condensed" w:hAnsi="Barlow Semi Condensed"/>
          <w:sz w:val="24"/>
          <w:szCs w:val="24"/>
        </w:rPr>
        <w:t xml:space="preserve"> non comprò dunque i diritti da lontano: si presentò sul bordo stesso della guerriglia, due mesi prima della Quebrada del Churo. È il punto di massima prossimità fisica tra il vettore e la parabola che avrebbe trasformato in mito.</w:t>
      </w:r>
    </w:p>
    <w:p>
      <w:pPr>
        <w:spacing w:after="120" w:line="276"/>
        <w:jc w:val="both"/>
      </w:pPr>
      <w:r>
        <w:rPr>
          <w:rFonts w:ascii="Barlow Semi Condensed" w:cs="Barlow Semi Condensed" w:eastAsia="Barlow Semi Condensed" w:hAnsi="Barlow Semi Condensed"/>
          <w:sz w:val="24"/>
          <w:szCs w:val="24"/>
        </w:rPr>
        <w:t xml:space="preserve">Ma il gesto decisivo fu un altro, e fu di </w:t>
      </w:r>
      <w:r>
        <w:rPr>
          <w:rFonts w:ascii="Barlow Semi Condensed" w:cs="Barlow Semi Condensed" w:eastAsia="Barlow Semi Condensed" w:hAnsi="Barlow Semi Condensed"/>
          <w:b/>
          <w:bCs/>
          <w:sz w:val="24"/>
          <w:szCs w:val="24"/>
        </w:rPr>
        <w:t xml:space="preserve">marketing</w:t>
      </w:r>
      <w:r>
        <w:rPr>
          <w:rFonts w:ascii="Barlow Semi Condensed" w:cs="Barlow Semi Condensed" w:eastAsia="Barlow Semi Condensed" w:hAnsi="Barlow Semi Condensed"/>
          <w:sz w:val="24"/>
          <w:szCs w:val="24"/>
        </w:rPr>
        <w:t xml:space="preserve"> prima che di politica: per lanciare il libro, Feltrinelli </w:t>
      </w:r>
      <w:r>
        <w:rPr>
          <w:rFonts w:ascii="Barlow Semi Condensed" w:cs="Barlow Semi Condensed" w:eastAsia="Barlow Semi Condensed" w:hAnsi="Barlow Semi Condensed"/>
          <w:b/>
          <w:bCs/>
          <w:sz w:val="24"/>
          <w:szCs w:val="24"/>
        </w:rPr>
        <w:t xml:space="preserve">fece stampare centinaia di manifesti</w:t>
      </w:r>
      <w:r>
        <w:rPr>
          <w:rFonts w:ascii="Barlow Semi Condensed" w:cs="Barlow Semi Condensed" w:eastAsia="Barlow Semi Condensed" w:hAnsi="Barlow Semi Condensed"/>
          <w:sz w:val="24"/>
          <w:szCs w:val="24"/>
        </w:rPr>
        <w:t xml:space="preserve"> con quella fotografia. Furono quei manifesti che gli studenti italiani presero e moltiplicarono nell'estate calda del 1968 (History Ireland (https://historyireland.com/che-guevara-jim-fitzpatrick-and-the-making-of-an-icon/)). È il momento esatto in cui l'immagine si stacca dall'uomo e comincia la sua seconda vita.</w:t>
      </w:r>
    </w:p>
    <w:p>
      <w:pPr>
        <w:spacing w:after="120" w:line="276"/>
        <w:jc w:val="both"/>
      </w:pPr>
      <w:r>
        <w:rPr>
          <w:rFonts w:ascii="Barlow Semi Condensed" w:cs="Barlow Semi Condensed" w:eastAsia="Barlow Semi Condensed" w:hAnsi="Barlow Semi Condensed"/>
          <w:sz w:val="24"/>
          <w:szCs w:val="24"/>
        </w:rPr>
        <w:t xml:space="preserve">Va detto con la disciplina del corpus: </w:t>
      </w:r>
      <w:r>
        <w:rPr>
          <w:rFonts w:ascii="Barlow Semi Condensed" w:cs="Barlow Semi Condensed" w:eastAsia="Barlow Semi Condensed" w:hAnsi="Barlow Semi Condensed"/>
          <w:b/>
          <w:bCs/>
          <w:sz w:val="24"/>
          <w:szCs w:val="24"/>
        </w:rPr>
        <w:t xml:space="preserve">il vettore fu questo, e va nominato per quello che è.</w:t>
      </w:r>
      <w:r>
        <w:rPr>
          <w:rFonts w:ascii="Barlow Semi Condensed" w:cs="Barlow Semi Condensed" w:eastAsia="Barlow Semi Condensed" w:hAnsi="Barlow Semi Condensed"/>
          <w:sz w:val="24"/>
          <w:szCs w:val="24"/>
        </w:rPr>
        <w:t xml:space="preserve"> Non un ordine che passa dall'Avana a Roma, ma un'operazione editoriale — un libro, una copertina, un manifesto — che trasformò un guerrigliero morto in un segno universale. Feltrinelli non </w:t>
      </w:r>
      <w:r>
        <w:rPr>
          <w:rFonts w:ascii="Barlow Semi Condensed" w:cs="Barlow Semi Condensed" w:eastAsia="Barlow Semi Condensed" w:hAnsi="Barlow Semi Condensed"/>
          <w:i/>
          <w:iCs/>
          <w:sz w:val="24"/>
          <w:szCs w:val="24"/>
        </w:rPr>
        <w:t xml:space="preserve">inventò</w:t>
      </w:r>
      <w:r>
        <w:rPr>
          <w:rFonts w:ascii="Barlow Semi Condensed" w:cs="Barlow Semi Condensed" w:eastAsia="Barlow Semi Condensed" w:hAnsi="Barlow Semi Condensed"/>
          <w:sz w:val="24"/>
          <w:szCs w:val="24"/>
        </w:rPr>
        <w:t xml:space="preserve"> il mito del Che: lo </w:t>
      </w:r>
      <w:r>
        <w:rPr>
          <w:rFonts w:ascii="Barlow Semi Condensed" w:cs="Barlow Semi Condensed" w:eastAsia="Barlow Semi Condensed" w:hAnsi="Barlow Semi Condensed"/>
          <w:b/>
          <w:bCs/>
          <w:sz w:val="24"/>
          <w:szCs w:val="24"/>
        </w:rPr>
        <w:t xml:space="preserve">fabbricò materialmente</w:t>
      </w:r>
      <w:r>
        <w:rPr>
          <w:rFonts w:ascii="Barlow Semi Condensed" w:cs="Barlow Semi Condensed" w:eastAsia="Barlow Semi Condensed" w:hAnsi="Barlow Semi Condensed"/>
          <w:sz w:val="24"/>
          <w:szCs w:val="24"/>
        </w:rPr>
        <w:t xml:space="preserve">, con i mezzi che padroneggiava meglio di chiunque, la stampa e la distribuzione. In questo è, alla lettera, il vettore.</w:t>
      </w:r>
    </w:p>
    <w:p>
      <w:pPr>
        <w:pStyle w:val="Heading2"/>
        <w:spacing w:after="100" w:before="200"/>
      </w:pPr>
      <w:r>
        <w:rPr>
          <w:rFonts w:ascii="Barlow Semi Condensed" w:cs="Barlow Semi Condensed" w:eastAsia="Barlow Semi Condensed" w:hAnsi="Barlow Semi Condensed"/>
          <w:sz w:val="24"/>
          <w:szCs w:val="24"/>
        </w:rPr>
        <w:t xml:space="preserve">IV. La traversata: dall'editore al clandestino (1968-1970)</w:t>
      </w:r>
    </w:p>
    <w:p>
      <w:pPr>
        <w:spacing w:after="120" w:line="276"/>
        <w:jc w:val="both"/>
      </w:pPr>
      <w:r>
        <w:rPr>
          <w:rFonts w:ascii="Barlow Semi Condensed" w:cs="Barlow Semi Condensed" w:eastAsia="Barlow Semi Condensed" w:hAnsi="Barlow Semi Condensed"/>
          <w:sz w:val="24"/>
          <w:szCs w:val="24"/>
        </w:rPr>
        <w:t xml:space="preserve">Il passaggio dall'editore al combattente fu la parabola del decennio, e la sua logica è ricostruibile senza dietrologia. Radicalizzatosi dopo il 1968, convinto che in Italia fosse imminente una svolta autoritaria di stampo «greco» (il riferimento era il colpo dei colonnelli del 1967), Feltrinelli passò progressivamente </w:t>
      </w:r>
      <w:r>
        <w:rPr>
          <w:rFonts w:ascii="Barlow Semi Condensed" w:cs="Barlow Semi Condensed" w:eastAsia="Barlow Semi Condensed" w:hAnsi="Barlow Semi Condensed"/>
          <w:b/>
          <w:bCs/>
          <w:sz w:val="24"/>
          <w:szCs w:val="24"/>
        </w:rPr>
        <w:t xml:space="preserve">alla clandestinità</w:t>
      </w:r>
      <w:r>
        <w:rPr>
          <w:rFonts w:ascii="Barlow Semi Condensed" w:cs="Barlow Semi Condensed" w:eastAsia="Barlow Semi Condensed" w:hAnsi="Barlow Semi Condensed"/>
          <w:sz w:val="24"/>
          <w:szCs w:val="24"/>
        </w:rPr>
        <w:t xml:space="preserve"> — dove assunse il nome di battaglia </w:t>
      </w:r>
      <w:r>
        <w:rPr>
          <w:rFonts w:ascii="Barlow Semi Condensed" w:cs="Barlow Semi Condensed" w:eastAsia="Barlow Semi Condensed" w:hAnsi="Barlow Semi Condensed"/>
          <w:b/>
          <w:bCs/>
          <w:sz w:val="24"/>
          <w:szCs w:val="24"/>
        </w:rPr>
        <w:t xml:space="preserve">«Osvaldo»</w:t>
      </w:r>
      <w:r>
        <w:rPr>
          <w:rFonts w:ascii="Barlow Semi Condensed" w:cs="Barlow Semi Condensed" w:eastAsia="Barlow Semi Condensed" w:hAnsi="Barlow Semi Condensed"/>
          <w:sz w:val="24"/>
          <w:szCs w:val="24"/>
        </w:rPr>
        <w:t xml:space="preserve"> — e fondò </w:t>
      </w:r>
      <w:r>
        <w:rPr>
          <w:rFonts w:ascii="Barlow Semi Condensed" w:cs="Barlow Semi Condensed" w:eastAsia="Barlow Semi Condensed" w:hAnsi="Barlow Semi Condensed"/>
          <w:b/>
          <w:bCs/>
          <w:sz w:val="24"/>
          <w:szCs w:val="24"/>
        </w:rPr>
        <w:t xml:space="preserve">tra l'aprile e il maggio 1970</w:t>
      </w:r>
      <w:r>
        <w:rPr>
          <w:rFonts w:ascii="Barlow Semi Condensed" w:cs="Barlow Semi Condensed" w:eastAsia="Barlow Semi Condensed" w:hAnsi="Barlow Semi Condensed"/>
          <w:sz w:val="24"/>
          <w:szCs w:val="24"/>
        </w:rPr>
        <w:t xml:space="preserve"> i </w:t>
      </w:r>
      <w:r>
        <w:rPr>
          <w:rFonts w:ascii="Barlow Semi Condensed" w:cs="Barlow Semi Condensed" w:eastAsia="Barlow Semi Condensed" w:hAnsi="Barlow Semi Condensed"/>
          <w:b/>
          <w:bCs/>
          <w:sz w:val="24"/>
          <w:szCs w:val="24"/>
        </w:rPr>
        <w:t xml:space="preserve">Gruppi d'Azione Partigiana (GAP)</w:t>
      </w:r>
      <w:r>
        <w:rPr>
          <w:rFonts w:ascii="Barlow Semi Condensed" w:cs="Barlow Semi Condensed" w:eastAsia="Barlow Semi Condensed" w:hAnsi="Barlow Semi Condensed"/>
          <w:sz w:val="24"/>
          <w:szCs w:val="24"/>
        </w:rPr>
        <w:t xml:space="preserve">: una delle prime formazioni armate italiane, ramificata soprattutto nel Milanese con diramazioni a Genova, in Trentino e a Torino (Wikipedia IT, </w:t>
      </w:r>
      <w:r>
        <w:rPr>
          <w:rFonts w:ascii="Barlow Semi Condensed" w:cs="Barlow Semi Condensed" w:eastAsia="Barlow Semi Condensed" w:hAnsi="Barlow Semi Condensed"/>
          <w:i/>
          <w:iCs/>
          <w:sz w:val="24"/>
          <w:szCs w:val="24"/>
        </w:rPr>
        <w:t xml:space="preserve">Gruppi d'Azione Partigiana</w:t>
      </w:r>
      <w:r>
        <w:rPr>
          <w:rFonts w:ascii="Barlow Semi Condensed" w:cs="Barlow Semi Condensed" w:eastAsia="Barlow Semi Condensed" w:hAnsi="Barlow Semi Condensed"/>
          <w:sz w:val="24"/>
          <w:szCs w:val="24"/>
        </w:rPr>
        <w:t xml:space="preserve"> (https://it.wikipedia.org/wiki/Gruppi_d%27Azione_Partigiana)). La sigla fu scelta deliberatamente per </w:t>
      </w:r>
      <w:r>
        <w:rPr>
          <w:rFonts w:ascii="Barlow Semi Condensed" w:cs="Barlow Semi Condensed" w:eastAsia="Barlow Semi Condensed" w:hAnsi="Barlow Semi Condensed"/>
          <w:b/>
          <w:bCs/>
          <w:sz w:val="24"/>
          <w:szCs w:val="24"/>
        </w:rPr>
        <w:t xml:space="preserve">riprendere quella dei Gruppi di Azione Patriottica</w:t>
      </w:r>
      <w:r>
        <w:rPr>
          <w:rFonts w:ascii="Barlow Semi Condensed" w:cs="Barlow Semi Condensed" w:eastAsia="Barlow Semi Condensed" w:hAnsi="Barlow Semi Condensed"/>
          <w:sz w:val="24"/>
          <w:szCs w:val="24"/>
        </w:rPr>
        <w:t xml:space="preserve"> della Resistenza (1943-45): un'operazione simbolica che rivendicava una continuità con l'antifascismo armato — rivendicazione, va detto subito, </w:t>
      </w:r>
      <w:r>
        <w:rPr>
          <w:rFonts w:ascii="Barlow Semi Condensed" w:cs="Barlow Semi Condensed" w:eastAsia="Barlow Semi Condensed" w:hAnsi="Barlow Semi Condensed"/>
          <w:b/>
          <w:bCs/>
          <w:sz w:val="24"/>
          <w:szCs w:val="24"/>
        </w:rPr>
        <w:t xml:space="preserve">non</w:t>
      </w:r>
      <w:r>
        <w:rPr>
          <w:rFonts w:ascii="Barlow Semi Condensed" w:cs="Barlow Semi Condensed" w:eastAsia="Barlow Semi Condensed" w:hAnsi="Barlow Semi Condensed"/>
          <w:sz w:val="24"/>
          <w:szCs w:val="24"/>
        </w:rPr>
        <w:t xml:space="preserve"> una continuità organizzativa reale, che non esisteva. </w:t>
      </w:r>
      <w:r>
        <w:rPr>
          <w:rFonts w:ascii="Barlow Semi Condensed" w:cs="Barlow Semi Condensed" w:eastAsia="Barlow Semi Condensed" w:hAnsi="Barlow Semi Condensed"/>
          <w:i/>
          <w:iCs/>
          <w:sz w:val="24"/>
          <w:szCs w:val="24"/>
        </w:rPr>
        <w:t xml:space="preserve">(Nota di revisione: la prima stesura datava la fondazione «intorno al 1970»; la triangolazione la precisa ad aprile-maggio 1970 e documenta la genealogia del nome.)</w:t>
      </w:r>
    </w:p>
    <w:p>
      <w:pPr>
        <w:spacing w:after="120" w:line="276"/>
        <w:jc w:val="both"/>
      </w:pPr>
      <w:r>
        <w:rPr>
          <w:rFonts w:ascii="Barlow Semi Condensed" w:cs="Barlow Semi Condensed" w:eastAsia="Barlow Semi Condensed" w:hAnsi="Barlow Semi Condensed"/>
          <w:sz w:val="24"/>
          <w:szCs w:val="24"/>
        </w:rPr>
        <w:t xml:space="preserve">Qui il corpus si salda al suo filo maggiore, e il grado di prova resta </w:t>
      </w:r>
      <w:r>
        <w:rPr>
          <w:rFonts w:ascii="Barlow Semi Condensed" w:cs="Barlow Semi Condensed" w:eastAsia="Barlow Semi Condensed" w:hAnsi="Barlow Semi Condensed"/>
          <w:b/>
          <w:bCs/>
          <w:sz w:val="24"/>
          <w:szCs w:val="24"/>
        </w:rPr>
        <w:t xml:space="preserve">alto</w:t>
      </w:r>
      <w:r>
        <w:rPr>
          <w:rFonts w:ascii="Barlow Semi Condensed" w:cs="Barlow Semi Condensed" w:eastAsia="Barlow Semi Condensed" w:hAnsi="Barlow Semi Condensed"/>
          <w:sz w:val="24"/>
          <w:szCs w:val="24"/>
        </w:rPr>
        <w:t xml:space="preserve">: le </w:t>
      </w:r>
      <w:r>
        <w:rPr>
          <w:rFonts w:ascii="Barlow Semi Condensed" w:cs="Barlow Semi Condensed" w:eastAsia="Barlow Semi Condensed" w:hAnsi="Barlow Semi Condensed"/>
          <w:b/>
          <w:bCs/>
          <w:sz w:val="24"/>
          <w:szCs w:val="24"/>
        </w:rPr>
        <w:t xml:space="preserve">Brigate Rosse</w:t>
      </w:r>
      <w:r>
        <w:rPr>
          <w:rFonts w:ascii="Barlow Semi Condensed" w:cs="Barlow Semi Condensed" w:eastAsia="Barlow Semi Condensed" w:hAnsi="Barlow Semi Condensed"/>
          <w:sz w:val="24"/>
          <w:szCs w:val="24"/>
        </w:rPr>
        <w:t xml:space="preserve">, fondate al convegno di </w:t>
      </w:r>
      <w:r>
        <w:rPr>
          <w:rFonts w:ascii="Barlow Semi Condensed" w:cs="Barlow Semi Condensed" w:eastAsia="Barlow Semi Condensed" w:hAnsi="Barlow Semi Condensed"/>
          <w:b/>
          <w:bCs/>
          <w:sz w:val="24"/>
          <w:szCs w:val="24"/>
        </w:rPr>
        <w:t xml:space="preserve">Pecorile nell'agosto 1970</w:t>
      </w:r>
      <w:r>
        <w:rPr>
          <w:rFonts w:ascii="Barlow Semi Condensed" w:cs="Barlow Semi Condensed" w:eastAsia="Barlow Semi Condensed" w:hAnsi="Barlow Semi Condensed"/>
          <w:sz w:val="24"/>
          <w:szCs w:val="24"/>
        </w:rPr>
        <w:t xml:space="preserve">, presero Guevara a modello individuale di riferimento, e — per stessa ammissione di Renato Curcio — i brigatisti andarono «a scuola di guerriglia da Feltrinelli». La genealogia è dichiarata, non congetturata: l'editore che aveva fabbricato l'icona del Che divenne, con i GAP, uno degli </w:t>
      </w:r>
      <w:r>
        <w:rPr>
          <w:rFonts w:ascii="Barlow Semi Condensed" w:cs="Barlow Semi Condensed" w:eastAsia="Barlow Semi Condensed" w:hAnsi="Barlow Semi Condensed"/>
          <w:b/>
          <w:bCs/>
          <w:sz w:val="24"/>
          <w:szCs w:val="24"/>
        </w:rPr>
        <w:t xml:space="preserve">iniziatori materiali</w:t>
      </w:r>
      <w:r>
        <w:rPr>
          <w:rFonts w:ascii="Barlow Semi Condensed" w:cs="Barlow Semi Condensed" w:eastAsia="Barlow Semi Condensed" w:hAnsi="Barlow Semi Condensed"/>
          <w:sz w:val="24"/>
          <w:szCs w:val="24"/>
        </w:rPr>
        <w:t xml:space="preserve"> della stagione armata italiana. Il mito che aveva contribuito a costruire con la carta stampata gli si rovesciò addosso come pratica.</w:t>
      </w:r>
    </w:p>
    <w:p>
      <w:pPr>
        <w:pStyle w:val="Heading2"/>
        <w:spacing w:after="100" w:before="200"/>
      </w:pPr>
      <w:r>
        <w:rPr>
          <w:rFonts w:ascii="Barlow Semi Condensed" w:cs="Barlow Semi Condensed" w:eastAsia="Barlow Semi Condensed" w:hAnsi="Barlow Semi Condensed"/>
          <w:sz w:val="24"/>
          <w:szCs w:val="24"/>
        </w:rPr>
        <w:t xml:space="preserve">V. Segrate: la morte, e ciò che di essa è provato (14-15 marzo 1972)</w:t>
      </w:r>
    </w:p>
    <w:p>
      <w:pPr>
        <w:spacing w:after="120" w:line="276"/>
        <w:jc w:val="both"/>
      </w:pPr>
      <w:r>
        <w:rPr>
          <w:rFonts w:ascii="Barlow Semi Condensed" w:cs="Barlow Semi Condensed" w:eastAsia="Barlow Semi Condensed" w:hAnsi="Barlow Semi Condensed"/>
          <w:sz w:val="24"/>
          <w:szCs w:val="24"/>
        </w:rPr>
        <w:t xml:space="preserve">Sulla fine bisogna procedere con la massima cautela metodologica, perché è il punto in cui la biografia sfuma nel mistero italiano e la tentazione dietrologica è massima.</w:t>
      </w:r>
    </w:p>
    <w:p>
      <w:pPr>
        <w:spacing w:after="120" w:line="276"/>
        <w:jc w:val="both"/>
      </w:pPr>
      <w:r>
        <w:rPr>
          <w:rFonts w:ascii="Barlow Semi Condensed" w:cs="Barlow Semi Condensed" w:eastAsia="Barlow Semi Condensed" w:hAnsi="Barlow Semi Condensed"/>
          <w:b/>
          <w:bCs/>
          <w:sz w:val="24"/>
          <w:szCs w:val="24"/>
        </w:rPr>
        <w:t xml:space="preserve">Ciò che è documentato.</w:t>
      </w:r>
      <w:r>
        <w:rPr>
          <w:rFonts w:ascii="Barlow Semi Condensed" w:cs="Barlow Semi Condensed" w:eastAsia="Barlow Semi Condensed" w:hAnsi="Barlow Semi Condensed"/>
          <w:sz w:val="24"/>
          <w:szCs w:val="24"/>
        </w:rPr>
        <w:t xml:space="preserve"> Feltrinelli morì </w:t>
      </w:r>
      <w:r>
        <w:rPr>
          <w:rFonts w:ascii="Barlow Semi Condensed" w:cs="Barlow Semi Condensed" w:eastAsia="Barlow Semi Condensed" w:hAnsi="Barlow Semi Condensed"/>
          <w:b/>
          <w:bCs/>
          <w:sz w:val="24"/>
          <w:szCs w:val="24"/>
        </w:rPr>
        <w:t xml:space="preserve">il 14 marzo 1972</w:t>
      </w:r>
      <w:r>
        <w:rPr>
          <w:rFonts w:ascii="Barlow Semi Condensed" w:cs="Barlow Semi Condensed" w:eastAsia="Barlow Semi Condensed" w:hAnsi="Barlow Semi Condensed"/>
          <w:sz w:val="24"/>
          <w:szCs w:val="24"/>
        </w:rPr>
        <w:t xml:space="preserve">, dilaniato dall'esplosivo </w:t>
      </w:r>
      <w:r>
        <w:rPr>
          <w:rFonts w:ascii="Barlow Semi Condensed" w:cs="Barlow Semi Condensed" w:eastAsia="Barlow Semi Condensed" w:hAnsi="Barlow Semi Condensed"/>
          <w:b/>
          <w:bCs/>
          <w:sz w:val="24"/>
          <w:szCs w:val="24"/>
        </w:rPr>
        <w:t xml:space="preserve">ai piedi di un traliccio dell'alta tensione presso la Cascina Nuova di Segrate</w:t>
      </w:r>
      <w:r>
        <w:rPr>
          <w:rFonts w:ascii="Barlow Semi Condensed" w:cs="Barlow Semi Condensed" w:eastAsia="Barlow Semi Condensed" w:hAnsi="Barlow Semi Condensed"/>
          <w:sz w:val="24"/>
          <w:szCs w:val="24"/>
        </w:rPr>
        <w:t xml:space="preserve">, alla periferia di Milano. Il corpo fu </w:t>
      </w:r>
      <w:r>
        <w:rPr>
          <w:rFonts w:ascii="Barlow Semi Condensed" w:cs="Barlow Semi Condensed" w:eastAsia="Barlow Semi Condensed" w:hAnsi="Barlow Semi Condensed"/>
          <w:b/>
          <w:bCs/>
          <w:sz w:val="24"/>
          <w:szCs w:val="24"/>
        </w:rPr>
        <w:t xml:space="preserve">ritrovato il pomeriggio del 15 marzo</w:t>
      </w:r>
      <w:r>
        <w:rPr>
          <w:rFonts w:ascii="Barlow Semi Condensed" w:cs="Barlow Semi Condensed" w:eastAsia="Barlow Semi Condensed" w:hAnsi="Barlow Semi Condensed"/>
          <w:sz w:val="24"/>
          <w:szCs w:val="24"/>
        </w:rPr>
        <w:t xml:space="preserve"> dal contadino </w:t>
      </w:r>
      <w:r>
        <w:rPr>
          <w:rFonts w:ascii="Barlow Semi Condensed" w:cs="Barlow Semi Condensed" w:eastAsia="Barlow Semi Condensed" w:hAnsi="Barlow Semi Condensed"/>
          <w:b/>
          <w:bCs/>
          <w:sz w:val="24"/>
          <w:szCs w:val="24"/>
        </w:rPr>
        <w:t xml:space="preserve">Luigi Stringhetti</w:t>
      </w:r>
      <w:r>
        <w:rPr>
          <w:rFonts w:ascii="Barlow Semi Condensed" w:cs="Barlow Semi Condensed" w:eastAsia="Barlow Semi Condensed" w:hAnsi="Barlow Semi Condensed"/>
          <w:sz w:val="24"/>
          <w:szCs w:val="24"/>
        </w:rPr>
        <w:t xml:space="preserve">; portava documenti falsi intestati a «Vincenzo Maggioni», e solo ventiquattr'ore dopo il ritrovamento gli inquirenti ne stabilirono la vera identità (Il Post (https://www.ilpost.it/2022/03/14/giangiacomo-feltrinelli/); Fatti per la Storia (https://www.fattiperlastoria.it/morte-feltrinelli/); Wikipedia EN (https://en.wikipedia.org/wiki/Giangiacomo_Feltrinelli)). </w:t>
      </w:r>
      <w:r>
        <w:rPr>
          <w:rFonts w:ascii="Barlow Semi Condensed" w:cs="Barlow Semi Condensed" w:eastAsia="Barlow Semi Condensed" w:hAnsi="Barlow Semi Condensed"/>
          <w:i/>
          <w:iCs/>
          <w:sz w:val="24"/>
          <w:szCs w:val="24"/>
        </w:rPr>
        <w:t xml:space="preserve">(Nota di revisione: la prima stesura registrava un'oscillazione delle fonti fra il 14 e il 15 marzo; la triangolazione l'ha sciolta — la morte è del 14, il ritrovamento del 15. Le fonti che riportano l'una o l'altra data si riferiscono a due momenti diversi della stessa vicenda.)</w:t>
      </w:r>
    </w:p>
    <w:p>
      <w:pPr>
        <w:spacing w:after="120" w:line="276"/>
        <w:jc w:val="both"/>
      </w:pPr>
      <w:r>
        <w:rPr>
          <w:rFonts w:ascii="Barlow Semi Condensed" w:cs="Barlow Semi Condensed" w:eastAsia="Barlow Semi Condensed" w:hAnsi="Barlow Semi Condensed"/>
          <w:b/>
          <w:bCs/>
          <w:sz w:val="24"/>
          <w:szCs w:val="24"/>
        </w:rPr>
        <w:t xml:space="preserve">La ricostruzione giudiziaria (grado alto).</w:t>
      </w:r>
      <w:r>
        <w:rPr>
          <w:rFonts w:ascii="Barlow Semi Condensed" w:cs="Barlow Semi Condensed" w:eastAsia="Barlow Semi Condensed" w:hAnsi="Barlow Semi Condensed"/>
          <w:sz w:val="24"/>
          <w:szCs w:val="24"/>
        </w:rPr>
        <w:t xml:space="preserve"> In un processo antiterrorismo del </w:t>
      </w:r>
      <w:r>
        <w:rPr>
          <w:rFonts w:ascii="Barlow Semi Condensed" w:cs="Barlow Semi Condensed" w:eastAsia="Barlow Semi Condensed" w:hAnsi="Barlow Semi Condensed"/>
          <w:b/>
          <w:bCs/>
          <w:sz w:val="24"/>
          <w:szCs w:val="24"/>
        </w:rPr>
        <w:t xml:space="preserve">1979</w:t>
      </w:r>
      <w:r>
        <w:rPr>
          <w:rFonts w:ascii="Barlow Semi Condensed" w:cs="Barlow Semi Condensed" w:eastAsia="Barlow Semi Condensed" w:hAnsi="Barlow Semi Condensed"/>
          <w:sz w:val="24"/>
          <w:szCs w:val="24"/>
        </w:rPr>
        <w:t xml:space="preserve">, imputati delle Brigate Rosse dichiararono che Feltrinelli era impegnato in un'</w:t>
      </w:r>
      <w:r>
        <w:rPr>
          <w:rFonts w:ascii="Barlow Semi Condensed" w:cs="Barlow Semi Condensed" w:eastAsia="Barlow Semi Condensed" w:hAnsi="Barlow Semi Condensed"/>
          <w:b/>
          <w:bCs/>
          <w:sz w:val="24"/>
          <w:szCs w:val="24"/>
        </w:rPr>
        <w:t xml:space="preserve">operazione di sabotaggio dei tralicci</w:t>
      </w:r>
      <w:r>
        <w:rPr>
          <w:rFonts w:ascii="Barlow Semi Condensed" w:cs="Barlow Semi Condensed" w:eastAsia="Barlow Semi Condensed" w:hAnsi="Barlow Semi Condensed"/>
          <w:sz w:val="24"/>
          <w:szCs w:val="24"/>
        </w:rPr>
        <w:t xml:space="preserve"> per provocare un blackout su una vasta area di Milano, e che un </w:t>
      </w:r>
      <w:r>
        <w:rPr>
          <w:rFonts w:ascii="Barlow Semi Condensed" w:cs="Barlow Semi Condensed" w:eastAsia="Barlow Semi Condensed" w:hAnsi="Barlow Semi Condensed"/>
          <w:b/>
          <w:bCs/>
          <w:sz w:val="24"/>
          <w:szCs w:val="24"/>
        </w:rPr>
        <w:t xml:space="preserve">errore tecnico</w:t>
      </w:r>
      <w:r>
        <w:rPr>
          <w:rFonts w:ascii="Barlow Semi Condensed" w:cs="Barlow Semi Condensed" w:eastAsia="Barlow Semi Condensed" w:hAnsi="Barlow Semi Condensed"/>
          <w:sz w:val="24"/>
          <w:szCs w:val="24"/>
        </w:rPr>
        <w:t xml:space="preserve"> nel maneggiare l'esplosivo ne causò la morte accidentale (Wikipedia EN (https://en.wikipedia.org/wiki/Giangiacomo_Feltrinelli)). La ricostruzione trova riscontro nei </w:t>
      </w:r>
      <w:r>
        <w:rPr>
          <w:rFonts w:ascii="Barlow Semi Condensed" w:cs="Barlow Semi Condensed" w:eastAsia="Barlow Semi Condensed" w:hAnsi="Barlow Semi Condensed"/>
          <w:b/>
          <w:bCs/>
          <w:sz w:val="24"/>
          <w:szCs w:val="24"/>
        </w:rPr>
        <w:t xml:space="preserve">nastri rinvenuti nel covo BR di Robbiano di Mediglia</w:t>
      </w:r>
      <w:r>
        <w:rPr>
          <w:rFonts w:ascii="Barlow Semi Condensed" w:cs="Barlow Semi Condensed" w:eastAsia="Barlow Semi Condensed" w:hAnsi="Barlow Semi Condensed"/>
          <w:sz w:val="24"/>
          <w:szCs w:val="24"/>
        </w:rPr>
        <w:t xml:space="preserve">, in cui si descrive «Osvaldo» seduto con i candelotti sotto la gamba mentre prepara la carica (Il Post (https://www.ilpost.it/2022/03/14/giangiacomo-feltrinelli/)). Questa è la versione che il vaglio processuale ha accolto: la morte del sabotatore per sua stessa mano.</w:t>
      </w:r>
    </w:p>
    <w:p>
      <w:pPr>
        <w:spacing w:after="120" w:line="276"/>
        <w:jc w:val="both"/>
      </w:pPr>
      <w:r>
        <w:rPr>
          <w:rFonts w:ascii="Barlow Semi Condensed" w:cs="Barlow Semi Condensed" w:eastAsia="Barlow Semi Condensed" w:hAnsi="Barlow Semi Condensed"/>
          <w:b/>
          <w:bCs/>
          <w:sz w:val="24"/>
          <w:szCs w:val="24"/>
        </w:rPr>
        <w:t xml:space="preserve">Ciò che è congettura (e come tale va lasciata).</w:t>
      </w:r>
      <w:r>
        <w:rPr>
          <w:rFonts w:ascii="Barlow Semi Condensed" w:cs="Barlow Semi Condensed" w:eastAsia="Barlow Semi Condensed" w:hAnsi="Barlow Semi Condensed"/>
          <w:sz w:val="24"/>
          <w:szCs w:val="24"/>
        </w:rPr>
        <w:t xml:space="preserve"> Fin dal primo momento circolò — e in parte ancora circola — la tesi che dietro la morte vi fosse una regia dei </w:t>
      </w:r>
      <w:r>
        <w:rPr>
          <w:rFonts w:ascii="Barlow Semi Condensed" w:cs="Barlow Semi Condensed" w:eastAsia="Barlow Semi Condensed" w:hAnsi="Barlow Semi Condensed"/>
          <w:b/>
          <w:bCs/>
          <w:sz w:val="24"/>
          <w:szCs w:val="24"/>
        </w:rPr>
        <w:t xml:space="preserve">servizi segreti</w:t>
      </w:r>
      <w:r>
        <w:rPr>
          <w:rFonts w:ascii="Barlow Semi Condensed" w:cs="Barlow Semi Condensed" w:eastAsia="Barlow Semi Condensed" w:hAnsi="Barlow Semi Condensed"/>
          <w:sz w:val="24"/>
          <w:szCs w:val="24"/>
        </w:rPr>
        <w:t xml:space="preserve">, che avevano informatori nei gruppi clandestini, e che l'incidente fosse stato provocato o mascherato (Italy On This Day (https://www.italyonthisday.com/2018/03/giangiacomo-feltrinelli-Italian-publisher-death-bomb-Milan.html)). Il corpus la registra per ciò che è: un </w:t>
      </w:r>
      <w:r>
        <w:rPr>
          <w:rFonts w:ascii="Barlow Semi Condensed" w:cs="Barlow Semi Condensed" w:eastAsia="Barlow Semi Condensed" w:hAnsi="Barlow Semi Condensed"/>
          <w:b/>
          <w:bCs/>
          <w:sz w:val="24"/>
          <w:szCs w:val="24"/>
        </w:rPr>
        <w:t xml:space="preserve">sospetto diffuso ma non provato in giudizio</w:t>
      </w:r>
      <w:r>
        <w:rPr>
          <w:rFonts w:ascii="Barlow Semi Condensed" w:cs="Barlow Semi Condensed" w:eastAsia="Barlow Semi Condensed" w:hAnsi="Barlow Semi Condensed"/>
          <w:sz w:val="24"/>
          <w:szCs w:val="24"/>
        </w:rPr>
        <w:t xml:space="preserve">. Non lo si promuove a fatto, non lo si liquida come impossibile; lo si lascia nella sua categoria, la congettura, dove la documentazione lo colloca. Nessun nome, nessuna imputazione oltre il giudicato: è la stessa disciplina che il corpus applica al Che a La Higuera e a Moro in via Caetani.</w:t>
      </w:r>
    </w:p>
    <w:p>
      <w:pPr>
        <w:pStyle w:val="Heading2"/>
        <w:spacing w:after="100" w:before="200"/>
      </w:pPr>
      <w:r>
        <w:rPr>
          <w:rFonts w:ascii="Barlow Semi Condensed" w:cs="Barlow Semi Condensed" w:eastAsia="Barlow Semi Condensed" w:hAnsi="Barlow Semi Condensed"/>
          <w:sz w:val="24"/>
          <w:szCs w:val="24"/>
        </w:rPr>
        <w:t xml:space="preserve">VI. Bilancio: che cosa fu, davvero, il vettore</w:t>
      </w:r>
    </w:p>
    <w:p>
      <w:pPr>
        <w:spacing w:after="120" w:line="276"/>
        <w:jc w:val="both"/>
      </w:pPr>
      <w:r>
        <w:rPr>
          <w:rFonts w:ascii="Barlow Semi Condensed" w:cs="Barlow Semi Condensed" w:eastAsia="Barlow Semi Condensed" w:hAnsi="Barlow Semi Condensed"/>
          <w:sz w:val="24"/>
          <w:szCs w:val="24"/>
        </w:rPr>
        <w:t xml:space="preserve">Chiuso l'arco biografico, tiriamo le somme con la stessa onestà che il corpus esige altrove.</w:t>
      </w:r>
    </w:p>
    <w:p>
      <w:pPr>
        <w:spacing w:after="120" w:line="276"/>
        <w:jc w:val="both"/>
      </w:pPr>
      <w:r>
        <w:rPr>
          <w:rFonts w:ascii="Barlow Semi Condensed" w:cs="Barlow Semi Condensed" w:eastAsia="Barlow Semi Condensed" w:hAnsi="Barlow Semi Condensed"/>
          <w:b/>
          <w:bCs/>
          <w:sz w:val="24"/>
          <w:szCs w:val="24"/>
        </w:rPr>
        <w:t xml:space="preserve">È documentato</w:t>
      </w:r>
      <w:r>
        <w:rPr>
          <w:rFonts w:ascii="Barlow Semi Condensed" w:cs="Barlow Semi Condensed" w:eastAsia="Barlow Semi Condensed" w:hAnsi="Barlow Semi Condensed"/>
          <w:sz w:val="24"/>
          <w:szCs w:val="24"/>
        </w:rPr>
        <w:t xml:space="preserve">: che Feltrinelli fu un grandissimo editore civile (Živago, il Gattopardo, la Fondazione); che fu </w:t>
      </w:r>
      <w:r>
        <w:rPr>
          <w:rFonts w:ascii="Barlow Semi Condensed" w:cs="Barlow Semi Condensed" w:eastAsia="Barlow Semi Condensed" w:hAnsi="Barlow Semi Condensed"/>
          <w:b/>
          <w:bCs/>
          <w:sz w:val="24"/>
          <w:szCs w:val="24"/>
        </w:rPr>
        <w:t xml:space="preserve">il vettore materiale del mito del Che</w:t>
      </w:r>
      <w:r>
        <w:rPr>
          <w:rFonts w:ascii="Barlow Semi Condensed" w:cs="Barlow Semi Condensed" w:eastAsia="Barlow Semi Condensed" w:hAnsi="Barlow Semi Condensed"/>
          <w:sz w:val="24"/>
          <w:szCs w:val="24"/>
        </w:rPr>
        <w:t xml:space="preserve"> (acquisto dei diritti e della foto nel 1967, </w:t>
      </w:r>
      <w:r>
        <w:rPr>
          <w:rFonts w:ascii="Barlow Semi Condensed" w:cs="Barlow Semi Condensed" w:eastAsia="Barlow Semi Condensed" w:hAnsi="Barlow Semi Condensed"/>
          <w:i/>
          <w:iCs/>
          <w:sz w:val="24"/>
          <w:szCs w:val="24"/>
        </w:rPr>
        <w:t xml:space="preserve">Diario</w:t>
      </w:r>
      <w:r>
        <w:rPr>
          <w:rFonts w:ascii="Barlow Semi Condensed" w:cs="Barlow Semi Condensed" w:eastAsia="Barlow Semi Condensed" w:hAnsi="Barlow Semi Condensed"/>
          <w:sz w:val="24"/>
          <w:szCs w:val="24"/>
        </w:rPr>
        <w:t xml:space="preserve"> con copertina Korda nel 1968, i manifesti); che nell'agosto 1967 andò in Bolivia, dove fu arrestato ed espulso durante il processo Debray; che fondò i GAP nell'aprile-maggio 1970 come nucleo di lotta armata, riprendendone il nome dalla Resistenza; che le BR lo ebbero, con Guevara, tra i propri riferimenti fondativi; che morì a Segrate presso un traliccio, dilaniato dall'esplosivo, il 14 marzo 1972, e fu ritrovato il 15.</w:t>
      </w:r>
    </w:p>
    <w:p>
      <w:pPr>
        <w:spacing w:after="120" w:line="276"/>
        <w:jc w:val="both"/>
      </w:pPr>
      <w:r>
        <w:rPr>
          <w:rFonts w:ascii="Barlow Semi Condensed" w:cs="Barlow Semi Condensed" w:eastAsia="Barlow Semi Condensed" w:hAnsi="Barlow Semi Condensed"/>
          <w:b/>
          <w:bCs/>
          <w:sz w:val="24"/>
          <w:szCs w:val="24"/>
        </w:rPr>
        <w:t xml:space="preserve">È convergenza, non nesso</w:t>
      </w:r>
      <w:r>
        <w:rPr>
          <w:rFonts w:ascii="Barlow Semi Condensed" w:cs="Barlow Semi Condensed" w:eastAsia="Barlow Semi Condensed" w:hAnsi="Barlow Semi Condensed"/>
          <w:sz w:val="24"/>
          <w:szCs w:val="24"/>
        </w:rPr>
        <w:t xml:space="preserve">: la simmetria fra l'editore che </w:t>
      </w:r>
      <w:r>
        <w:rPr>
          <w:rFonts w:ascii="Barlow Semi Condensed" w:cs="Barlow Semi Condensed" w:eastAsia="Barlow Semi Condensed" w:hAnsi="Barlow Semi Condensed"/>
          <w:i/>
          <w:iCs/>
          <w:sz w:val="24"/>
          <w:szCs w:val="24"/>
        </w:rPr>
        <w:t xml:space="preserve">fabbrica</w:t>
      </w:r>
      <w:r>
        <w:rPr>
          <w:rFonts w:ascii="Barlow Semi Condensed" w:cs="Barlow Semi Condensed" w:eastAsia="Barlow Semi Condensed" w:hAnsi="Barlow Semi Condensed"/>
          <w:sz w:val="24"/>
          <w:szCs w:val="24"/>
        </w:rPr>
        <w:t xml:space="preserve"> il mito rivoluzionario e il militante che </w:t>
      </w:r>
      <w:r>
        <w:rPr>
          <w:rFonts w:ascii="Barlow Semi Condensed" w:cs="Barlow Semi Condensed" w:eastAsia="Barlow Semi Condensed" w:hAnsi="Barlow Semi Condensed"/>
          <w:i/>
          <w:iCs/>
          <w:sz w:val="24"/>
          <w:szCs w:val="24"/>
        </w:rPr>
        <w:t xml:space="preserve">pratica</w:t>
      </w:r>
      <w:r>
        <w:rPr>
          <w:rFonts w:ascii="Barlow Semi Condensed" w:cs="Barlow Semi Condensed" w:eastAsia="Barlow Semi Condensed" w:hAnsi="Barlow Semi Condensed"/>
          <w:sz w:val="24"/>
          <w:szCs w:val="24"/>
        </w:rPr>
        <w:t xml:space="preserve"> la lotta armata è reale e biograficamente continua nella stessa persona — ma non fa di Feltrinelli il regista di ciò che le BR fecero dopo di lui e senza di lui. Fu un iniziatore, non un mandante di via Fani: morì sei anni prima, e la distanza fra il suo gesto e l'esecuzione di un prigioniero inerme è la stessa distanza morale che il corpus ha già segnato fra il Che dei diari e il Che dei muri.</w:t>
      </w:r>
    </w:p>
    <w:p>
      <w:pPr>
        <w:spacing w:after="120" w:line="276"/>
        <w:jc w:val="both"/>
      </w:pPr>
      <w:r>
        <w:rPr>
          <w:rFonts w:ascii="Barlow Semi Condensed" w:cs="Barlow Semi Condensed" w:eastAsia="Barlow Semi Condensed" w:hAnsi="Barlow Semi Condensed"/>
          <w:b/>
          <w:bCs/>
          <w:sz w:val="24"/>
          <w:szCs w:val="24"/>
        </w:rPr>
        <w:t xml:space="preserve">È congettura</w:t>
      </w:r>
      <w:r>
        <w:rPr>
          <w:rFonts w:ascii="Barlow Semi Condensed" w:cs="Barlow Semi Condensed" w:eastAsia="Barlow Semi Condensed" w:hAnsi="Barlow Semi Condensed"/>
          <w:sz w:val="24"/>
          <w:szCs w:val="24"/>
        </w:rPr>
        <w:t xml:space="preserve">: che la sua morte sia stata un omicidio di Stato mascherato. Non è provato. Resta il sospetto, e resta tale.</w:t>
      </w:r>
    </w:p>
    <w:p>
      <w:pPr>
        <w:spacing w:after="120" w:line="276"/>
        <w:jc w:val="both"/>
      </w:pPr>
      <w:r>
        <w:rPr>
          <w:rFonts w:ascii="Barlow Semi Condensed" w:cs="Barlow Semi Condensed" w:eastAsia="Barlow Semi Condensed" w:hAnsi="Barlow Semi Condensed"/>
          <w:sz w:val="24"/>
          <w:szCs w:val="24"/>
        </w:rPr>
        <w:t xml:space="preserve">Il senso della figura è tutto in questa frase, che il corpus può ora scrivere con le prove in mano: </w:t>
      </w:r>
      <w:r>
        <w:rPr>
          <w:rFonts w:ascii="Barlow Semi Condensed" w:cs="Barlow Semi Condensed" w:eastAsia="Barlow Semi Condensed" w:hAnsi="Barlow Semi Condensed"/>
          <w:b/>
          <w:bCs/>
          <w:sz w:val="24"/>
          <w:szCs w:val="24"/>
        </w:rPr>
        <w:t xml:space="preserve">Feltrinelli fu l'uomo che sapeva, meglio di chiunque in Italia, trasformare un contenuto in simbolo</w:t>
      </w:r>
      <w:r>
        <w:rPr>
          <w:rFonts w:ascii="Barlow Semi Condensed" w:cs="Barlow Semi Condensed" w:eastAsia="Barlow Semi Condensed" w:hAnsi="Barlow Semi Condensed"/>
          <w:sz w:val="24"/>
          <w:szCs w:val="24"/>
        </w:rPr>
        <w:t xml:space="preserve"> — e applicò quel talento raro prima ai libri, poi a una fotografia, infine a se stesso, facendosi bandiera di una guerra che credeva imminente e che, nella forma che immaginava, non venne. Il vettore del mito fu, alla fine, vettore anche della propria fine.</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Fonti</w:t>
      </w:r>
    </w:p>
    <w:p>
      <w:pPr>
        <w:spacing w:after="120" w:line="276"/>
        <w:jc w:val="both"/>
      </w:pPr>
      <w:r>
        <w:rPr>
          <w:rFonts w:ascii="Barlow Semi Condensed" w:cs="Barlow Semi Condensed" w:eastAsia="Barlow Semi Condensed" w:hAnsi="Barlow Semi Condensed"/>
          <w:b/>
          <w:bCs/>
          <w:sz w:val="24"/>
          <w:szCs w:val="24"/>
        </w:rPr>
        <w:t xml:space="preserve">Biografiche.</w:t>
      </w:r>
      <w:r>
        <w:rPr>
          <w:rFonts w:ascii="Barlow Semi Condensed" w:cs="Barlow Semi Condensed" w:eastAsia="Barlow Semi Condensed" w:hAnsi="Barlow Semi Condensed"/>
          <w:sz w:val="24"/>
          <w:szCs w:val="24"/>
        </w:rPr>
        <w:t xml:space="preserve"> Carlo Feltrinelli, </w:t>
      </w:r>
      <w:r>
        <w:rPr>
          <w:rFonts w:ascii="Barlow Semi Condensed" w:cs="Barlow Semi Condensed" w:eastAsia="Barlow Semi Condensed" w:hAnsi="Barlow Semi Condensed"/>
          <w:i/>
          <w:iCs/>
          <w:sz w:val="24"/>
          <w:szCs w:val="24"/>
        </w:rPr>
        <w:t xml:space="preserve">Senior Service. Biografia di Giangiacomo Feltrinelli</w:t>
      </w:r>
      <w:r>
        <w:rPr>
          <w:rFonts w:ascii="Barlow Semi Condensed" w:cs="Barlow Semi Condensed" w:eastAsia="Barlow Semi Condensed" w:hAnsi="Barlow Semi Condensed"/>
          <w:sz w:val="24"/>
          <w:szCs w:val="24"/>
        </w:rPr>
        <w:t xml:space="preserve"> (Feltrinelli, 1999; ed. inglese </w:t>
      </w:r>
      <w:r>
        <w:rPr>
          <w:rFonts w:ascii="Barlow Semi Condensed" w:cs="Barlow Semi Condensed" w:eastAsia="Barlow Semi Condensed" w:hAnsi="Barlow Semi Condensed"/>
          <w:i/>
          <w:iCs/>
          <w:sz w:val="24"/>
          <w:szCs w:val="24"/>
        </w:rPr>
        <w:t xml:space="preserve">Senior Service</w:t>
      </w:r>
      <w:r>
        <w:rPr>
          <w:rFonts w:ascii="Barlow Semi Condensed" w:cs="Barlow Semi Condensed" w:eastAsia="Barlow Semi Condensed" w:hAnsi="Barlow Semi Condensed"/>
          <w:sz w:val="24"/>
          <w:szCs w:val="24"/>
        </w:rPr>
        <w:t xml:space="preserve">, Granta) — biografia scritta dal figlio, fonte ricchissima ma </w:t>
      </w:r>
      <w:r>
        <w:rPr>
          <w:rFonts w:ascii="Barlow Semi Condensed" w:cs="Barlow Semi Condensed" w:eastAsia="Barlow Semi Condensed" w:hAnsi="Barlow Semi Condensed"/>
          <w:b/>
          <w:bCs/>
          <w:sz w:val="24"/>
          <w:szCs w:val="24"/>
        </w:rPr>
        <w:t xml:space="preserve">filiale</w:t>
      </w:r>
      <w:r>
        <w:rPr>
          <w:rFonts w:ascii="Barlow Semi Condensed" w:cs="Barlow Semi Condensed" w:eastAsia="Barlow Semi Condensed" w:hAnsi="Barlow Semi Condensed"/>
          <w:sz w:val="24"/>
          <w:szCs w:val="24"/>
        </w:rPr>
        <w:t xml:space="preserve">, da usare con la cautela che ogni fonte di parte impone (Granta (https://granta.com/products/senior-service/); Internet Archive (https://archive.org/details/seniorservice0000felt)). John Foot, «No. 1 Scapegoat», </w:t>
      </w:r>
      <w:r>
        <w:rPr>
          <w:rFonts w:ascii="Barlow Semi Condensed" w:cs="Barlow Semi Condensed" w:eastAsia="Barlow Semi Condensed" w:hAnsi="Barlow Semi Condensed"/>
          <w:i/>
          <w:iCs/>
          <w:sz w:val="24"/>
          <w:szCs w:val="24"/>
        </w:rPr>
        <w:t xml:space="preserve">London Review of Books</w:t>
      </w:r>
      <w:r>
        <w:rPr>
          <w:rFonts w:ascii="Barlow Semi Condensed" w:cs="Barlow Semi Condensed" w:eastAsia="Barlow Semi Condensed" w:hAnsi="Barlow Semi Condensed"/>
          <w:sz w:val="24"/>
          <w:szCs w:val="24"/>
        </w:rPr>
        <w:t xml:space="preserve">, v. 24 n. 3 (LRB (https://www.lrb.co.uk/the-paper/v24/n03/john-foot/no.-1-scapegoat)).</w:t>
      </w:r>
    </w:p>
    <w:p>
      <w:pPr>
        <w:spacing w:after="120" w:line="276"/>
        <w:jc w:val="both"/>
      </w:pPr>
      <w:r>
        <w:rPr>
          <w:rFonts w:ascii="Barlow Semi Condensed" w:cs="Barlow Semi Condensed" w:eastAsia="Barlow Semi Condensed" w:hAnsi="Barlow Semi Condensed"/>
          <w:b/>
          <w:bCs/>
          <w:sz w:val="24"/>
          <w:szCs w:val="24"/>
        </w:rPr>
        <w:t xml:space="preserve">Enciclopediche e giornalistiche</w:t>
      </w:r>
      <w:r>
        <w:rPr>
          <w:rFonts w:ascii="Barlow Semi Condensed" w:cs="Barlow Semi Condensed" w:eastAsia="Barlow Semi Condensed" w:hAnsi="Barlow Semi Condensed"/>
          <w:sz w:val="24"/>
          <w:szCs w:val="24"/>
        </w:rPr>
        <w:t xml:space="preserve"> (per fatti non controversi): Wikipedia, </w:t>
      </w:r>
      <w:r>
        <w:rPr>
          <w:rFonts w:ascii="Barlow Semi Condensed" w:cs="Barlow Semi Condensed" w:eastAsia="Barlow Semi Condensed" w:hAnsi="Barlow Semi Condensed"/>
          <w:i/>
          <w:iCs/>
          <w:sz w:val="24"/>
          <w:szCs w:val="24"/>
        </w:rPr>
        <w:t xml:space="preserve">Giangiacomo Feltrinelli</w:t>
      </w:r>
      <w:r>
        <w:rPr>
          <w:rFonts w:ascii="Barlow Semi Condensed" w:cs="Barlow Semi Condensed" w:eastAsia="Barlow Semi Condensed" w:hAnsi="Barlow Semi Condensed"/>
          <w:sz w:val="24"/>
          <w:szCs w:val="24"/>
        </w:rPr>
        <w:t xml:space="preserve"> (https://en.wikipedia.org/wiki/Giangiacomo_Feltrinelli); Wikipedia, </w:t>
      </w:r>
      <w:r>
        <w:rPr>
          <w:rFonts w:ascii="Barlow Semi Condensed" w:cs="Barlow Semi Condensed" w:eastAsia="Barlow Semi Condensed" w:hAnsi="Barlow Semi Condensed"/>
          <w:i/>
          <w:iCs/>
          <w:sz w:val="24"/>
          <w:szCs w:val="24"/>
        </w:rPr>
        <w:t xml:space="preserve">Doctor Zhivago</w:t>
      </w:r>
      <w:r>
        <w:rPr>
          <w:rFonts w:ascii="Barlow Semi Condensed" w:cs="Barlow Semi Condensed" w:eastAsia="Barlow Semi Condensed" w:hAnsi="Barlow Semi Condensed"/>
          <w:sz w:val="24"/>
          <w:szCs w:val="24"/>
        </w:rPr>
        <w:t xml:space="preserve"> (https://en.wikipedia.org/wiki/Doctor_Zhivago_(novel)); Wikipedia, </w:t>
      </w:r>
      <w:r>
        <w:rPr>
          <w:rFonts w:ascii="Barlow Semi Condensed" w:cs="Barlow Semi Condensed" w:eastAsia="Barlow Semi Condensed" w:hAnsi="Barlow Semi Condensed"/>
          <w:i/>
          <w:iCs/>
          <w:sz w:val="24"/>
          <w:szCs w:val="24"/>
        </w:rPr>
        <w:t xml:space="preserve">The Leopard</w:t>
      </w:r>
      <w:r>
        <w:rPr>
          <w:rFonts w:ascii="Barlow Semi Condensed" w:cs="Barlow Semi Condensed" w:eastAsia="Barlow Semi Condensed" w:hAnsi="Barlow Semi Condensed"/>
          <w:sz w:val="24"/>
          <w:szCs w:val="24"/>
        </w:rPr>
        <w:t xml:space="preserve"> (https://en.wikipedia.org/wiki/The_Leopard); Wikipedia, </w:t>
      </w:r>
      <w:r>
        <w:rPr>
          <w:rFonts w:ascii="Barlow Semi Condensed" w:cs="Barlow Semi Condensed" w:eastAsia="Barlow Semi Condensed" w:hAnsi="Barlow Semi Condensed"/>
          <w:i/>
          <w:iCs/>
          <w:sz w:val="24"/>
          <w:szCs w:val="24"/>
        </w:rPr>
        <w:t xml:space="preserve">Guerrillero Heroico</w:t>
      </w:r>
      <w:r>
        <w:rPr>
          <w:rFonts w:ascii="Barlow Semi Condensed" w:cs="Barlow Semi Condensed" w:eastAsia="Barlow Semi Condensed" w:hAnsi="Barlow Semi Condensed"/>
          <w:sz w:val="24"/>
          <w:szCs w:val="24"/>
        </w:rPr>
        <w:t xml:space="preserve"> (https://en.wikipedia.org/wiki/Guerrillero_Heroico); </w:t>
      </w:r>
      <w:r>
        <w:rPr>
          <w:rFonts w:ascii="Barlow Semi Condensed" w:cs="Barlow Semi Condensed" w:eastAsia="Barlow Semi Condensed" w:hAnsi="Barlow Semi Condensed"/>
          <w:i/>
          <w:iCs/>
          <w:sz w:val="24"/>
          <w:szCs w:val="24"/>
        </w:rPr>
        <w:t xml:space="preserve">Italy On This Day</w:t>
      </w:r>
      <w:r>
        <w:rPr>
          <w:rFonts w:ascii="Barlow Semi Condensed" w:cs="Barlow Semi Condensed" w:eastAsia="Barlow Semi Condensed" w:hAnsi="Barlow Semi Condensed"/>
          <w:sz w:val="24"/>
          <w:szCs w:val="24"/>
        </w:rPr>
        <w:t xml:space="preserve"> (link (https://www.italyonthisday.com/2018/03/giangiacomo-feltrinelli-Italian-publisher-death-bomb-Milan.html)); </w:t>
      </w:r>
      <w:r>
        <w:rPr>
          <w:rFonts w:ascii="Barlow Semi Condensed" w:cs="Barlow Semi Condensed" w:eastAsia="Barlow Semi Condensed" w:hAnsi="Barlow Semi Condensed"/>
          <w:i/>
          <w:iCs/>
          <w:sz w:val="24"/>
          <w:szCs w:val="24"/>
        </w:rPr>
        <w:t xml:space="preserve">History Ireland</w:t>
      </w:r>
      <w:r>
        <w:rPr>
          <w:rFonts w:ascii="Barlow Semi Condensed" w:cs="Barlow Semi Condensed" w:eastAsia="Barlow Semi Condensed" w:hAnsi="Barlow Semi Condensed"/>
          <w:sz w:val="24"/>
          <w:szCs w:val="24"/>
        </w:rPr>
        <w:t xml:space="preserve"> (link (https://historyireland.com/che-guevara-jim-fitzpatrick-and-the-making-of-an-icon/)).</w:t>
      </w:r>
    </w:p>
    <w:p>
      <w:pPr>
        <w:spacing w:after="120" w:line="276"/>
        <w:jc w:val="both"/>
      </w:pPr>
      <w:r>
        <w:rPr>
          <w:rFonts w:ascii="Barlow Semi Condensed" w:cs="Barlow Semi Condensed" w:eastAsia="Barlow Semi Condensed" w:hAnsi="Barlow Semi Condensed"/>
          <w:b/>
          <w:bCs/>
          <w:sz w:val="24"/>
          <w:szCs w:val="24"/>
        </w:rPr>
        <w:t xml:space="preserve">Istituzionali.</w:t>
      </w:r>
      <w:r>
        <w:rPr>
          <w:rFonts w:ascii="Barlow Semi Condensed" w:cs="Barlow Semi Condensed" w:eastAsia="Barlow Semi Condensed" w:hAnsi="Barlow Semi Condensed"/>
          <w:sz w:val="24"/>
          <w:szCs w:val="24"/>
        </w:rPr>
        <w:t xml:space="preserve"> Fondazione Giangiacomo Feltrinelli, sezioni </w:t>
      </w:r>
      <w:r>
        <w:rPr>
          <w:rFonts w:ascii="Barlow Semi Condensed" w:cs="Barlow Semi Condensed" w:eastAsia="Barlow Semi Condensed" w:hAnsi="Barlow Semi Condensed"/>
          <w:i/>
          <w:iCs/>
          <w:sz w:val="24"/>
          <w:szCs w:val="24"/>
        </w:rPr>
        <w:t xml:space="preserve">About us</w:t>
      </w:r>
      <w:r>
        <w:rPr>
          <w:rFonts w:ascii="Barlow Semi Condensed" w:cs="Barlow Semi Condensed" w:eastAsia="Barlow Semi Condensed" w:hAnsi="Barlow Semi Condensed"/>
          <w:sz w:val="24"/>
          <w:szCs w:val="24"/>
        </w:rPr>
        <w:t xml:space="preserve"> e </w:t>
      </w:r>
      <w:r>
        <w:rPr>
          <w:rFonts w:ascii="Barlow Semi Condensed" w:cs="Barlow Semi Condensed" w:eastAsia="Barlow Semi Condensed" w:hAnsi="Barlow Semi Condensed"/>
          <w:i/>
          <w:iCs/>
          <w:sz w:val="24"/>
          <w:szCs w:val="24"/>
        </w:rPr>
        <w:t xml:space="preserve">Library</w:t>
      </w:r>
      <w:r>
        <w:rPr>
          <w:rFonts w:ascii="Barlow Semi Condensed" w:cs="Barlow Semi Condensed" w:eastAsia="Barlow Semi Condensed" w:hAnsi="Barlow Semi Condensed"/>
          <w:sz w:val="24"/>
          <w:szCs w:val="24"/>
        </w:rPr>
        <w:t xml:space="preserve"> (fondazionefeltrinelli.it (https://fondazionefeltrinelli.it/en/about-us-4/)).</w:t>
      </w:r>
    </w:p>
    <w:p>
      <w:pPr>
        <w:spacing w:after="120" w:line="276"/>
        <w:jc w:val="both"/>
      </w:pPr>
      <w:r>
        <w:rPr>
          <w:rFonts w:ascii="Barlow Semi Condensed" w:cs="Barlow Semi Condensed" w:eastAsia="Barlow Semi Condensed" w:hAnsi="Barlow Semi Condensed"/>
          <w:i/>
          <w:iCs/>
          <w:sz w:val="24"/>
          <w:szCs w:val="24"/>
        </w:rPr>
        <w:t xml:space="preserve">La cronologia della morte è stata sciolta in triangolazione (morte il 14 marzo 1972, ritrovamento il 15; v. nota di revisione al § V). La ricostruzione segue il vaglio processuale del 1979, riscontrata sui nastri di Robbiano di Mediglia; la tesi dell'omicidio di Stato è registrata come congettura non provata. Fonti aggiunte in revisione: Treccani, Dizionario Biografico (https://www.treccani.it/enciclopedia/giangiacomo-feltrinelli_(Dizionario-Biografico)/); Il Post (https://www.ilpost.it/2022/03/14/giangiacomo-feltrinelli/); Wikipedia IT, GAP (https://it.wikipedia.org/wiki/Gruppi_d%27Azione_Partigiana). Nessuna imputazione oltre il giudicato.</w:t>
      </w:r>
    </w:p>
    <w:p>
      <w:pPr>
        <w:pBdr>
          <w:bottom w:val="single" w:color="999999" w:sz="6" w:space="1"/>
        </w:pBdr>
        <w:spacing w:after="80"/>
      </w:pPr>
    </w:p>
    <w:p>
      <w:pPr>
        <w:spacing w:after="120" w:line="276"/>
        <w:jc w:val="both"/>
      </w:pPr>
      <w:r>
        <w:rPr>
          <w:rFonts w:ascii="Barlow Semi Condensed" w:cs="Barlow Semi Condensed" w:eastAsia="Barlow Semi Condensed" w:hAnsi="Barlow Semi Condensed"/>
          <w:i/>
          <w:iCs/>
          <w:sz w:val="24"/>
          <w:szCs w:val="24"/>
        </w:rPr>
        <w:t xml:space="preserve">Studio monografico su Giangiacomo Feltrinelli (1926-1972), il vettore del mito del Che. Si salda a monte con la parabola guevariana (`guevara-campagna-boliviana-1966-1967.md`) e a valle con il saggio di sintesi (`dal-che-a-moro-una-guerra-senza-fine.md`), di cui approfondisce l'anello centrale. Ricostruzione storica, senza agiografia né dietrologia.</w:t>
      </w:r>
    </w:p>
    <w:p>
      <w:pPr>
        <w:pStyle w:val="Heading3"/>
        <w:spacing w:after="80" w:before="240"/>
      </w:pPr>
      <w:r>
        <w:rPr>
          <w:rFonts w:ascii="Barlow Semi Condensed" w:cs="Barlow Semi Condensed" w:eastAsia="Barlow Semi Condensed" w:hAnsi="Barlow Semi Condensed"/>
          <w:sz w:val="24"/>
          <w:szCs w:val="24"/>
        </w:rPr>
        <w:t xml:space="preserve">Apparato grafico — Libro quinto · Feltrinelli, il vettore</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1"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Libro quinto I: 2.147 parole in 7 sezioni; la più ampia è §3 III. Il vettore: come un editore fabbrica un'…, con 445.</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2"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Libro quinto I: 33 indirizzi di fonte citati, addensati in 6 sezioni su 7.</w:t>
      </w:r>
    </w:p>
    <w:p>
      <w:pPr>
        <w:spacing w:after="120"/>
        <w:jc w:val="center"/>
      </w:pPr>
      <w:r>
        <w:rPr>
          <w:rFonts w:ascii="Barlow Semi Condensed" w:cs="Barlow Semi Condensed" w:eastAsia="Barlow Semi Condensed" w:hAnsi="Barlow Semi Condensed"/>
          <w:color w:val="777777"/>
          <w:sz w:val="16"/>
          <w:szCs w:val="16"/>
        </w:rPr>
        <w:t xml:space="preserve">Le metriche dell'apparato contano parole, documenti e atti — mai colpe.</w:t>
      </w:r>
    </w:p>
    <w:p>
      <w:r>
        <w:br w:type="page"/>
      </w:r>
    </w:p>
    <w:p>
      <w:pPr>
        <w:pStyle w:val="Heading1"/>
        <w:spacing w:after="120" w:before="240"/>
      </w:pPr>
      <w:r>
        <w:rPr>
          <w:rFonts w:ascii="Barlow Semi Condensed" w:cs="Barlow Semi Condensed" w:eastAsia="Barlow Semi Condensed" w:hAnsi="Barlow Semi Condensed"/>
          <w:sz w:val="24"/>
          <w:szCs w:val="24"/>
        </w:rPr>
        <w:t xml:space="preserve">Libro quinto — Il vettore e il ceppo — II. La triangolazione di Feltrinelli</w:t>
      </w:r>
    </w:p>
    <w:p>
      <w:pPr>
        <w:pStyle w:val="Heading1"/>
        <w:spacing w:after="120" w:before="240"/>
      </w:pPr>
      <w:r>
        <w:rPr>
          <w:rFonts w:ascii="Barlow Semi Condensed" w:cs="Barlow Semi Condensed" w:eastAsia="Barlow Semi Condensed" w:hAnsi="Barlow Semi Condensed"/>
          <w:sz w:val="24"/>
          <w:szCs w:val="24"/>
        </w:rPr>
        <w:t xml:space="preserve">Triangolazione: Feltrinelli e il corpus</w:t>
      </w:r>
    </w:p>
    <w:p>
      <w:pPr>
        <w:spacing w:after="120" w:line="276"/>
        <w:jc w:val="both"/>
      </w:pPr>
      <w:r>
        <w:rPr>
          <w:rFonts w:ascii="Barlow Semi Condensed" w:cs="Barlow Semi Condensed" w:eastAsia="Barlow Semi Condensed" w:hAnsi="Barlow Semi Condensed"/>
          <w:i/>
          <w:iCs/>
          <w:sz w:val="24"/>
          <w:szCs w:val="24"/>
        </w:rPr>
        <w:t xml:space="preserve">Verifica sistematica dello studio monografico «Feltrinelli: il vettore» e mappatura dei ponti con l'intero corpus — 24 agosto 2026</w:t>
      </w:r>
    </w:p>
    <w:p>
      <w:pPr>
        <w:pBdr>
          <w:left w:val="single" w:color="1F3864" w:sz="18" w:space="8"/>
        </w:pBdr>
        <w:spacing w:after="80" w:before="80"/>
        <w:ind w:left="360" w:right="360"/>
        <w:jc w:val="both"/>
      </w:pPr>
      <w:r>
        <w:rPr>
          <w:rFonts w:ascii="Barlow Semi Condensed" w:cs="Barlow Semi Condensed" w:eastAsia="Barlow Semi Condensed" w:hAnsi="Barlow Semi Condensed"/>
          <w:b/>
          <w:bCs/>
          <w:i w:val="false"/>
          <w:iCs w:val="false"/>
          <w:sz w:val="24"/>
          <w:szCs w:val="24"/>
        </w:rPr>
        <w:t xml:space="preserve">Che cos'è questo documento.</w:t>
      </w:r>
      <w:r>
        <w:rPr>
          <w:rFonts w:ascii="Barlow Semi Condensed" w:cs="Barlow Semi Condensed" w:eastAsia="Barlow Semi Condensed" w:hAnsi="Barlow Semi Condensed"/>
          <w:i w:val="false"/>
          <w:iCs w:val="false"/>
          <w:sz w:val="24"/>
          <w:szCs w:val="24"/>
        </w:rPr>
        <w:t xml:space="preserve"> Applica allo studio monografico su Giangiacomo Feltrinelli la stessa disciplina già applicata al corpus guevariano in </w:t>
      </w:r>
      <w:r>
        <w:rPr>
          <w:rFonts w:ascii="Barlow Semi Condensed" w:cs="Barlow Semi Condensed" w:eastAsia="Barlow Semi Condensed" w:hAnsi="Barlow Semi Condensed"/>
          <w:i w:val="false"/>
          <w:iCs w:val="false"/>
          <w:sz w:val="24"/>
          <w:szCs w:val="24"/>
        </w:rPr>
        <w:t xml:space="preserve">triangolazioni-guevara-moro.md</w:t>
      </w:r>
      <w:r>
        <w:rPr>
          <w:rFonts w:ascii="Barlow Semi Condensed" w:cs="Barlow Semi Condensed" w:eastAsia="Barlow Semi Condensed" w:hAnsi="Barlow Semi Condensed"/>
          <w:i w:val="false"/>
          <w:iCs w:val="false"/>
          <w:sz w:val="24"/>
          <w:szCs w:val="24"/>
        </w:rPr>
        <w:t xml:space="preserve">: </w:t>
      </w:r>
      <w:r>
        <w:rPr>
          <w:rFonts w:ascii="Barlow Semi Condensed" w:cs="Barlow Semi Condensed" w:eastAsia="Barlow Semi Condensed" w:hAnsi="Barlow Semi Condensed"/>
          <w:b/>
          <w:bCs/>
          <w:i w:val="false"/>
          <w:iCs w:val="false"/>
          <w:sz w:val="24"/>
          <w:szCs w:val="24"/>
        </w:rPr>
        <w:t xml:space="preserve">ogni affermazione portante è riscontrata su fonti indipendenti</w:t>
      </w:r>
      <w:r>
        <w:rPr>
          <w:rFonts w:ascii="Barlow Semi Condensed" w:cs="Barlow Semi Condensed" w:eastAsia="Barlow Semi Condensed" w:hAnsi="Barlow Semi Condensed"/>
          <w:i w:val="false"/>
          <w:iCs w:val="false"/>
          <w:sz w:val="24"/>
          <w:szCs w:val="24"/>
        </w:rPr>
        <w:t xml:space="preserve">, con esito dichiarato (✅ confermata · ⚠️ precisata o corretta · 🔵 categoria confermata come congettura); poi la figura è </w:t>
      </w:r>
      <w:r>
        <w:rPr>
          <w:rFonts w:ascii="Barlow Semi Condensed" w:cs="Barlow Semi Condensed" w:eastAsia="Barlow Semi Condensed" w:hAnsi="Barlow Semi Condensed"/>
          <w:b/>
          <w:bCs/>
          <w:i w:val="false"/>
          <w:iCs w:val="false"/>
          <w:sz w:val="24"/>
          <w:szCs w:val="24"/>
        </w:rPr>
        <w:t xml:space="preserve">triangolata con ciascun documento del corpus</w:t>
      </w:r>
      <w:r>
        <w:rPr>
          <w:rFonts w:ascii="Barlow Semi Condensed" w:cs="Barlow Semi Condensed" w:eastAsia="Barlow Semi Condensed" w:hAnsi="Barlow Semi Condensed"/>
          <w:i w:val="false"/>
          <w:iCs w:val="false"/>
          <w:sz w:val="24"/>
          <w:szCs w:val="24"/>
        </w:rPr>
        <w:t xml:space="preserve">, distinguendo i ponti documentati dalle convergenze e dalle anti-triangolazioni (i nessi che </w:t>
      </w:r>
      <w:r>
        <w:rPr>
          <w:rFonts w:ascii="Barlow Semi Condensed" w:cs="Barlow Semi Condensed" w:eastAsia="Barlow Semi Condensed" w:hAnsi="Barlow Semi Condensed"/>
          <w:i w:val="false"/>
          <w:iCs w:val="false"/>
          <w:sz w:val="24"/>
          <w:szCs w:val="24"/>
        </w:rPr>
        <w:t xml:space="preserve">non</w:t>
      </w:r>
      <w:r>
        <w:rPr>
          <w:rFonts w:ascii="Barlow Semi Condensed" w:cs="Barlow Semi Condensed" w:eastAsia="Barlow Semi Condensed" w:hAnsi="Barlow Semi Condensed"/>
          <w:i w:val="false"/>
          <w:iCs w:val="false"/>
          <w:sz w:val="24"/>
          <w:szCs w:val="24"/>
        </w:rPr>
        <w:t xml:space="preserve"> reggono e vanno negati esplicitamente). Le correzioni emerse sono già state applicate alla monografia con note di revisione. Esiti: </w:t>
      </w:r>
      <w:r>
        <w:rPr>
          <w:rFonts w:ascii="Barlow Semi Condensed" w:cs="Barlow Semi Condensed" w:eastAsia="Barlow Semi Condensed" w:hAnsi="Barlow Semi Condensed"/>
          <w:b/>
          <w:bCs/>
          <w:i w:val="false"/>
          <w:iCs w:val="false"/>
          <w:sz w:val="24"/>
          <w:szCs w:val="24"/>
        </w:rPr>
        <w:t xml:space="preserve">17 nodi di verifica</w:t>
      </w:r>
      <w:r>
        <w:rPr>
          <w:rFonts w:ascii="Barlow Semi Condensed" w:cs="Barlow Semi Condensed" w:eastAsia="Barlow Semi Condensed" w:hAnsi="Barlow Semi Condensed"/>
          <w:i w:val="false"/>
          <w:iCs w:val="false"/>
          <w:sz w:val="24"/>
          <w:szCs w:val="24"/>
        </w:rPr>
        <w:t xml:space="preserve"> (13 ✅, 3 ⚠️, 1 🔵), </w:t>
      </w:r>
      <w:r>
        <w:rPr>
          <w:rFonts w:ascii="Barlow Semi Condensed" w:cs="Barlow Semi Condensed" w:eastAsia="Barlow Semi Condensed" w:hAnsi="Barlow Semi Condensed"/>
          <w:b/>
          <w:bCs/>
          <w:i w:val="false"/>
          <w:iCs w:val="false"/>
          <w:sz w:val="24"/>
          <w:szCs w:val="24"/>
        </w:rPr>
        <w:t xml:space="preserve">7 ponti col corpus</w:t>
      </w:r>
      <w:r>
        <w:rPr>
          <w:rFonts w:ascii="Barlow Semi Condensed" w:cs="Barlow Semi Condensed" w:eastAsia="Barlow Semi Condensed" w:hAnsi="Barlow Semi Condensed"/>
          <w:i w:val="false"/>
          <w:iCs w:val="false"/>
          <w:sz w:val="24"/>
          <w:szCs w:val="24"/>
        </w:rPr>
        <w:t xml:space="preserve">, </w:t>
      </w:r>
      <w:r>
        <w:rPr>
          <w:rFonts w:ascii="Barlow Semi Condensed" w:cs="Barlow Semi Condensed" w:eastAsia="Barlow Semi Condensed" w:hAnsi="Barlow Semi Condensed"/>
          <w:b/>
          <w:bCs/>
          <w:i w:val="false"/>
          <w:iCs w:val="false"/>
          <w:sz w:val="24"/>
          <w:szCs w:val="24"/>
        </w:rPr>
        <w:t xml:space="preserve">3 anti-triangolazioni</w:t>
      </w:r>
      <w:r>
        <w:rPr>
          <w:rFonts w:ascii="Barlow Semi Condensed" w:cs="Barlow Semi Condensed" w:eastAsia="Barlow Semi Condensed" w:hAnsi="Barlow Semi Condensed"/>
          <w:i w:val="false"/>
          <w:iCs w:val="false"/>
          <w:sz w:val="24"/>
          <w:szCs w:val="24"/>
        </w:rPr>
        <w:t xml:space="preserve">, </w:t>
      </w:r>
      <w:r>
        <w:rPr>
          <w:rFonts w:ascii="Barlow Semi Condensed" w:cs="Barlow Semi Condensed" w:eastAsia="Barlow Semi Condensed" w:hAnsi="Barlow Semi Condensed"/>
          <w:b/>
          <w:bCs/>
          <w:i w:val="false"/>
          <w:iCs w:val="false"/>
          <w:sz w:val="24"/>
          <w:szCs w:val="24"/>
        </w:rPr>
        <w:t xml:space="preserve">1 nodo nuovo emerso</w:t>
      </w:r>
      <w:r>
        <w:rPr>
          <w:rFonts w:ascii="Barlow Semi Condensed" w:cs="Barlow Semi Condensed" w:eastAsia="Barlow Semi Condensed" w:hAnsi="Barlow Semi Condensed"/>
          <w:i w:val="false"/>
          <w:iCs w:val="false"/>
          <w:sz w:val="24"/>
          <w:szCs w:val="24"/>
        </w:rPr>
        <w:t xml:space="preserve"> (la Bolivia dell'agosto 1967).</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1. Verifica delle affermazioni portanti (nodi F-1…F-17)</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40"/>
        <w:gridCol w:w="2340"/>
        <w:gridCol w:w="2340"/>
        <w:gridCol w:w="2340"/>
      </w:tblGrid>
      <w:tr>
        <w:tc>
          <w:tcPr>
            <w:tcW w:type="dxa" w:w="234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w:t>
            </w:r>
          </w:p>
        </w:tc>
        <w:tc>
          <w:tcPr>
            <w:tcW w:type="dxa" w:w="234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Affermazione</w:t>
            </w:r>
          </w:p>
        </w:tc>
        <w:tc>
          <w:tcPr>
            <w:tcW w:type="dxa" w:w="234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Esito</w:t>
            </w:r>
          </w:p>
        </w:tc>
        <w:tc>
          <w:tcPr>
            <w:tcW w:type="dxa" w:w="234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Riscontro</w:t>
            </w:r>
          </w:p>
        </w:tc>
      </w:tr>
      <w:tr>
        <w:tc>
          <w:tcPr>
            <w:tcW w:type="dxa" w:w="2340"/>
          </w:tcPr>
          <w:p>
            <w:pPr>
              <w:spacing w:after="20" w:before="20"/>
              <w:jc w:val="both"/>
            </w:pPr>
            <w:r>
              <w:rPr>
                <w:rFonts w:ascii="Barlow Semi Condensed" w:cs="Barlow Semi Condensed" w:eastAsia="Barlow Semi Condensed" w:hAnsi="Barlow Semi Condensed"/>
                <w:sz w:val="20"/>
                <w:szCs w:val="20"/>
              </w:rPr>
              <w:t xml:space="preserve">F-1</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Nascita a Milano, 19 giugno 1926</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Wikipedia EN (https://en.wikipedia.org/wiki/Giangiacomo_Feltrinelli); Treccani (https://www.treccani.it/enciclopedia/giangiacomo-feltrinelli_(Dizionario-Biografico)/)</w:t>
            </w:r>
          </w:p>
        </w:tc>
      </w:tr>
      <w:tr>
        <w:tc>
          <w:tcPr>
            <w:tcW w:type="dxa" w:w="2340"/>
          </w:tcPr>
          <w:p>
            <w:pPr>
              <w:spacing w:after="20" w:before="20"/>
              <w:jc w:val="both"/>
            </w:pPr>
            <w:r>
              <w:rPr>
                <w:rFonts w:ascii="Barlow Semi Condensed" w:cs="Barlow Semi Condensed" w:eastAsia="Barlow Semi Condensed" w:hAnsi="Barlow Semi Condensed"/>
                <w:sz w:val="20"/>
                <w:szCs w:val="20"/>
              </w:rPr>
              <w:t xml:space="preserve">F-2</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Fortuna di famiglia (legname → banca: Credito Italiano, Edison); eredità della parte maggiore nel 1947</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LRB, John Foot (https://www.lrb.co.uk/the-paper/v24/n03/john-foot/no.-1-scapegoat); Wikipedia EN</w:t>
            </w:r>
          </w:p>
        </w:tc>
      </w:tr>
      <w:tr>
        <w:tc>
          <w:tcPr>
            <w:tcW w:type="dxa" w:w="2340"/>
          </w:tcPr>
          <w:p>
            <w:pPr>
              <w:spacing w:after="20" w:before="20"/>
              <w:jc w:val="both"/>
            </w:pPr>
            <w:r>
              <w:rPr>
                <w:rFonts w:ascii="Barlow Semi Condensed" w:cs="Barlow Semi Condensed" w:eastAsia="Barlow Semi Condensed" w:hAnsi="Barlow Semi Condensed"/>
                <w:sz w:val="20"/>
                <w:szCs w:val="20"/>
              </w:rPr>
              <w:t xml:space="preserve">F-3</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Guerra: esercito cobelligerante e adesione al PCI</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Wikipedia EN</w:t>
            </w:r>
          </w:p>
        </w:tc>
      </w:tr>
      <w:tr>
        <w:tc>
          <w:tcPr>
            <w:tcW w:type="dxa" w:w="2340"/>
          </w:tcPr>
          <w:p>
            <w:pPr>
              <w:spacing w:after="20" w:before="20"/>
              <w:jc w:val="both"/>
            </w:pPr>
            <w:r>
              <w:rPr>
                <w:rFonts w:ascii="Barlow Semi Condensed" w:cs="Barlow Semi Condensed" w:eastAsia="Barlow Semi Condensed" w:hAnsi="Barlow Semi Condensed"/>
                <w:sz w:val="20"/>
                <w:szCs w:val="20"/>
              </w:rPr>
              <w:t xml:space="preserve">F-4</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Biblioteca fondata nel 1949; Fondazione per DPR del 27 aprile 1974; consistenze (1,5 mln schede, 250.000 volumi, 15.000 manifesti)</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Fondazione Feltrinelli (https://fondazionefeltrinelli.it/en/about-us-4/)</w:t>
            </w:r>
          </w:p>
        </w:tc>
      </w:tr>
      <w:tr>
        <w:tc>
          <w:tcPr>
            <w:tcW w:type="dxa" w:w="2340"/>
          </w:tcPr>
          <w:p>
            <w:pPr>
              <w:spacing w:after="20" w:before="20"/>
              <w:jc w:val="both"/>
            </w:pPr>
            <w:r>
              <w:rPr>
                <w:rFonts w:ascii="Barlow Semi Condensed" w:cs="Barlow Semi Condensed" w:eastAsia="Barlow Semi Condensed" w:hAnsi="Barlow Semi Condensed"/>
                <w:sz w:val="20"/>
                <w:szCs w:val="20"/>
              </w:rPr>
              <w:t xml:space="preserve">F-5</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Casa editrice fondata a Milano nel 1954</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Wikipedia EN; Treccani</w:t>
            </w:r>
          </w:p>
        </w:tc>
      </w:tr>
      <w:tr>
        <w:tc>
          <w:tcPr>
            <w:tcW w:type="dxa" w:w="2340"/>
          </w:tcPr>
          <w:p>
            <w:pPr>
              <w:spacing w:after="20" w:before="20"/>
              <w:jc w:val="both"/>
            </w:pPr>
            <w:r>
              <w:rPr>
                <w:rFonts w:ascii="Barlow Semi Condensed" w:cs="Barlow Semi Condensed" w:eastAsia="Barlow Semi Condensed" w:hAnsi="Barlow Semi Condensed"/>
                <w:sz w:val="20"/>
                <w:szCs w:val="20"/>
              </w:rPr>
              <w:t xml:space="preserve">F-6</w:t>
            </w:r>
          </w:p>
        </w:tc>
        <w:tc>
          <w:tcPr>
            <w:tcW w:type="dxa" w:w="2340"/>
          </w:tcPr>
          <w:p>
            <w:pPr>
              <w:spacing w:after="20" w:before="20"/>
              <w:jc w:val="both"/>
            </w:pPr>
            <w:r>
              <w:rPr>
                <w:rFonts w:ascii="Barlow Semi Condensed" w:cs="Barlow Semi Condensed" w:eastAsia="Barlow Semi Condensed" w:hAnsi="Barlow Semi Condensed"/>
                <w:i/>
                <w:iCs/>
                <w:sz w:val="20"/>
                <w:szCs w:val="20"/>
              </w:rPr>
              <w:t xml:space="preserve">Živago</w:t>
            </w:r>
            <w:r>
              <w:rPr>
                <w:rFonts w:ascii="Barlow Semi Condensed" w:cs="Barlow Semi Condensed" w:eastAsia="Barlow Semi Condensed" w:hAnsi="Barlow Semi Condensed"/>
                <w:sz w:val="20"/>
                <w:szCs w:val="20"/>
              </w:rPr>
              <w:t xml:space="preserve">: contratto con Pasternak giugno 1956; prima edizione mondiale, novembre 1957; resistenza alle pressioni di Cremlino e PCI</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Wikipedia, </w:t>
            </w:r>
            <w:r>
              <w:rPr>
                <w:rFonts w:ascii="Barlow Semi Condensed" w:cs="Barlow Semi Condensed" w:eastAsia="Barlow Semi Condensed" w:hAnsi="Barlow Semi Condensed"/>
                <w:i/>
                <w:iCs/>
                <w:sz w:val="20"/>
                <w:szCs w:val="20"/>
              </w:rPr>
              <w:t xml:space="preserve">Doctor Zhivago</w:t>
            </w:r>
            <w:r>
              <w:rPr>
                <w:rFonts w:ascii="Barlow Semi Condensed" w:cs="Barlow Semi Condensed" w:eastAsia="Barlow Semi Condensed" w:hAnsi="Barlow Semi Condensed"/>
                <w:sz w:val="20"/>
                <w:szCs w:val="20"/>
              </w:rPr>
              <w:t xml:space="preserve"> (https://en.wikipedia.org/wiki/Doctor_Zhivago_(novel)); avvio stampa 28 maggio 1957 (AbeBooks IT (https://www.abebooks.it/libri/giangiacomo-feltrinelli-dottor-zivago.shtml))</w:t>
            </w:r>
          </w:p>
        </w:tc>
      </w:tr>
      <w:tr>
        <w:tc>
          <w:tcPr>
            <w:tcW w:type="dxa" w:w="2340"/>
          </w:tcPr>
          <w:p>
            <w:pPr>
              <w:spacing w:after="20" w:before="20"/>
              <w:jc w:val="both"/>
            </w:pPr>
            <w:r>
              <w:rPr>
                <w:rFonts w:ascii="Barlow Semi Condensed" w:cs="Barlow Semi Condensed" w:eastAsia="Barlow Semi Condensed" w:hAnsi="Barlow Semi Condensed"/>
                <w:sz w:val="20"/>
                <w:szCs w:val="20"/>
              </w:rPr>
              <w:t xml:space="preserve">F-7</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Uscita dal PCI «nel 1958»</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 </w:t>
            </w:r>
            <w:r>
              <w:rPr>
                <w:rFonts w:ascii="Barlow Semi Condensed" w:cs="Barlow Semi Condensed" w:eastAsia="Barlow Semi Condensed" w:hAnsi="Barlow Semi Condensed"/>
                <w:b/>
                <w:bCs/>
                <w:sz w:val="20"/>
                <w:szCs w:val="20"/>
              </w:rPr>
              <w:t xml:space="preserve">Precisata</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Treccani (https://www.treccani.it/enciclopedia/giangiacomo-feltrinelli_(Dizionario-Biografico)/): il 1957 fu l'ultimo anno di tessera; rottura maturata su Živago, Ungheria e la lettera del 28 settembre 1957 (minaccia di espulsione); altre fonti (Wikipedia EN) datano 1958. Corretta in monografia come processo 1957-58</w:t>
            </w:r>
          </w:p>
        </w:tc>
      </w:tr>
      <w:tr>
        <w:tc>
          <w:tcPr>
            <w:tcW w:type="dxa" w:w="2340"/>
          </w:tcPr>
          <w:p>
            <w:pPr>
              <w:spacing w:after="20" w:before="20"/>
              <w:jc w:val="both"/>
            </w:pPr>
            <w:r>
              <w:rPr>
                <w:rFonts w:ascii="Barlow Semi Condensed" w:cs="Barlow Semi Condensed" w:eastAsia="Barlow Semi Condensed" w:hAnsi="Barlow Semi Condensed"/>
                <w:sz w:val="20"/>
                <w:szCs w:val="20"/>
              </w:rPr>
              <w:t xml:space="preserve">F-8</w:t>
            </w:r>
          </w:p>
        </w:tc>
        <w:tc>
          <w:tcPr>
            <w:tcW w:type="dxa" w:w="2340"/>
          </w:tcPr>
          <w:p>
            <w:pPr>
              <w:spacing w:after="20" w:before="20"/>
              <w:jc w:val="both"/>
            </w:pPr>
            <w:r>
              <w:rPr>
                <w:rFonts w:ascii="Barlow Semi Condensed" w:cs="Barlow Semi Condensed" w:eastAsia="Barlow Semi Condensed" w:hAnsi="Barlow Semi Condensed"/>
                <w:i/>
                <w:iCs/>
                <w:sz w:val="20"/>
                <w:szCs w:val="20"/>
              </w:rPr>
              <w:t xml:space="preserve">Il Gattopardo</w:t>
            </w:r>
            <w:r>
              <w:rPr>
                <w:rFonts w:ascii="Barlow Semi Condensed" w:cs="Barlow Semi Condensed" w:eastAsia="Barlow Semi Condensed" w:hAnsi="Barlow Semi Condensed"/>
                <w:sz w:val="20"/>
                <w:szCs w:val="20"/>
              </w:rPr>
              <w:t xml:space="preserve">: rifiutato dagli altri editori, uscito nov. 1958, 52 edizioni in meno di sei mesi</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Wikipedia, </w:t>
            </w:r>
            <w:r>
              <w:rPr>
                <w:rFonts w:ascii="Barlow Semi Condensed" w:cs="Barlow Semi Condensed" w:eastAsia="Barlow Semi Condensed" w:hAnsi="Barlow Semi Condensed"/>
                <w:i/>
                <w:iCs/>
                <w:sz w:val="20"/>
                <w:szCs w:val="20"/>
              </w:rPr>
              <w:t xml:space="preserve">The Leopard</w:t>
            </w:r>
            <w:r>
              <w:rPr>
                <w:rFonts w:ascii="Barlow Semi Condensed" w:cs="Barlow Semi Condensed" w:eastAsia="Barlow Semi Condensed" w:hAnsi="Barlow Semi Condensed"/>
                <w:sz w:val="20"/>
                <w:szCs w:val="20"/>
              </w:rPr>
              <w:t xml:space="preserve"> (https://en.wikipedia.org/wiki/The_Leopard)</w:t>
            </w:r>
          </w:p>
        </w:tc>
      </w:tr>
      <w:tr>
        <w:tc>
          <w:tcPr>
            <w:tcW w:type="dxa" w:w="2340"/>
          </w:tcPr>
          <w:p>
            <w:pPr>
              <w:spacing w:after="20" w:before="20"/>
              <w:jc w:val="both"/>
            </w:pPr>
            <w:r>
              <w:rPr>
                <w:rFonts w:ascii="Barlow Semi Condensed" w:cs="Barlow Semi Condensed" w:eastAsia="Barlow Semi Condensed" w:hAnsi="Barlow Semi Condensed"/>
                <w:sz w:val="20"/>
                <w:szCs w:val="20"/>
              </w:rPr>
              <w:t xml:space="preserve">F-9</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Prima catena di librerie d'Italia</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Wikipedia EN</w:t>
            </w:r>
          </w:p>
        </w:tc>
      </w:tr>
      <w:tr>
        <w:tc>
          <w:tcPr>
            <w:tcW w:type="dxa" w:w="2340"/>
          </w:tcPr>
          <w:p>
            <w:pPr>
              <w:spacing w:after="20" w:before="20"/>
              <w:jc w:val="both"/>
            </w:pPr>
            <w:r>
              <w:rPr>
                <w:rFonts w:ascii="Barlow Semi Condensed" w:cs="Barlow Semi Condensed" w:eastAsia="Barlow Semi Condensed" w:hAnsi="Barlow Semi Condensed"/>
                <w:sz w:val="20"/>
                <w:szCs w:val="20"/>
              </w:rPr>
              <w:t xml:space="preserve">F-10</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Assiduità cubana; progetto di ghost-writing della biografia di Castro</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History Ireland (https://historyireland.com/che-guevara-jim-fitzpatrick-and-the-making-of-an-icon/)</w:t>
            </w:r>
          </w:p>
        </w:tc>
      </w:tr>
      <w:tr>
        <w:tc>
          <w:tcPr>
            <w:tcW w:type="dxa" w:w="2340"/>
          </w:tcPr>
          <w:p>
            <w:pPr>
              <w:spacing w:after="20" w:before="20"/>
              <w:jc w:val="both"/>
            </w:pPr>
            <w:r>
              <w:rPr>
                <w:rFonts w:ascii="Barlow Semi Condensed" w:cs="Barlow Semi Condensed" w:eastAsia="Barlow Semi Condensed" w:hAnsi="Barlow Semi Condensed"/>
                <w:sz w:val="20"/>
                <w:szCs w:val="20"/>
              </w:rPr>
              <w:t xml:space="preserve">F-11</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Acquisto nell'estate 1967 dei diritti del </w:t>
            </w:r>
            <w:r>
              <w:rPr>
                <w:rFonts w:ascii="Barlow Semi Condensed" w:cs="Barlow Semi Condensed" w:eastAsia="Barlow Semi Condensed" w:hAnsi="Barlow Semi Condensed"/>
                <w:i/>
                <w:iCs/>
                <w:sz w:val="20"/>
                <w:szCs w:val="20"/>
              </w:rPr>
              <w:t xml:space="preserve">Diario</w:t>
            </w:r>
            <w:r>
              <w:rPr>
                <w:rFonts w:ascii="Barlow Semi Condensed" w:cs="Barlow Semi Condensed" w:eastAsia="Barlow Semi Condensed" w:hAnsi="Barlow Semi Condensed"/>
                <w:sz w:val="20"/>
                <w:szCs w:val="20"/>
              </w:rPr>
              <w:t xml:space="preserve"> boliviano </w:t>
            </w:r>
            <w:r>
              <w:rPr>
                <w:rFonts w:ascii="Barlow Semi Condensed" w:cs="Barlow Semi Condensed" w:eastAsia="Barlow Semi Condensed" w:hAnsi="Barlow Semi Condensed"/>
                <w:b/>
                <w:bCs/>
                <w:sz w:val="20"/>
                <w:szCs w:val="20"/>
              </w:rPr>
              <w:t xml:space="preserve">insieme</w:t>
            </w:r>
            <w:r>
              <w:rPr>
                <w:rFonts w:ascii="Barlow Semi Condensed" w:cs="Barlow Semi Condensed" w:eastAsia="Barlow Semi Condensed" w:hAnsi="Barlow Semi Condensed"/>
                <w:sz w:val="20"/>
                <w:szCs w:val="20"/>
              </w:rPr>
              <w:t xml:space="preserve"> alla foto di Korda</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History Ireland; Wikipedia, </w:t>
            </w:r>
            <w:r>
              <w:rPr>
                <w:rFonts w:ascii="Barlow Semi Condensed" w:cs="Barlow Semi Condensed" w:eastAsia="Barlow Semi Condensed" w:hAnsi="Barlow Semi Condensed"/>
                <w:i/>
                <w:iCs/>
                <w:sz w:val="20"/>
                <w:szCs w:val="20"/>
              </w:rPr>
              <w:t xml:space="preserve">Guerrillero Heroico</w:t>
            </w:r>
            <w:r>
              <w:rPr>
                <w:rFonts w:ascii="Barlow Semi Condensed" w:cs="Barlow Semi Condensed" w:eastAsia="Barlow Semi Condensed" w:hAnsi="Barlow Semi Condensed"/>
                <w:sz w:val="20"/>
                <w:szCs w:val="20"/>
              </w:rPr>
              <w:t xml:space="preserve"> (https://en.wikipedia.org/wiki/Guerrillero_Heroico)</w:t>
            </w:r>
          </w:p>
        </w:tc>
      </w:tr>
      <w:tr>
        <w:tc>
          <w:tcPr>
            <w:tcW w:type="dxa" w:w="2340"/>
          </w:tcPr>
          <w:p>
            <w:pPr>
              <w:spacing w:after="20" w:before="20"/>
              <w:jc w:val="both"/>
            </w:pPr>
            <w:r>
              <w:rPr>
                <w:rFonts w:ascii="Barlow Semi Condensed" w:cs="Barlow Semi Condensed" w:eastAsia="Barlow Semi Condensed" w:hAnsi="Barlow Semi Condensed"/>
                <w:sz w:val="20"/>
                <w:szCs w:val="20"/>
              </w:rPr>
              <w:t xml:space="preserve">F-12</w:t>
            </w:r>
          </w:p>
        </w:tc>
        <w:tc>
          <w:tcPr>
            <w:tcW w:type="dxa" w:w="2340"/>
          </w:tcPr>
          <w:p>
            <w:pPr>
              <w:spacing w:after="20" w:before="20"/>
              <w:jc w:val="both"/>
            </w:pPr>
            <w:r>
              <w:rPr>
                <w:rFonts w:ascii="Barlow Semi Condensed" w:cs="Barlow Semi Condensed" w:eastAsia="Barlow Semi Condensed" w:hAnsi="Barlow Semi Condensed"/>
                <w:b/>
                <w:bCs/>
                <w:sz w:val="20"/>
                <w:szCs w:val="20"/>
              </w:rPr>
              <w:t xml:space="preserve">Bolivia, agosto 1967: viaggio, arresto, espulsione</w:t>
            </w:r>
            <w:r>
              <w:rPr>
                <w:rFonts w:ascii="Barlow Semi Condensed" w:cs="Barlow Semi Condensed" w:eastAsia="Barlow Semi Condensed" w:hAnsi="Barlow Semi Condensed"/>
                <w:sz w:val="20"/>
                <w:szCs w:val="20"/>
              </w:rPr>
              <w:t xml:space="preserve"> (processo Debray a Camiri; contatti con l'ambiente ELN)</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 </w:t>
            </w:r>
            <w:r>
              <w:rPr>
                <w:rFonts w:ascii="Barlow Semi Condensed" w:cs="Barlow Semi Condensed" w:eastAsia="Barlow Semi Condensed" w:hAnsi="Barlow Semi Condensed"/>
                <w:b/>
                <w:bCs/>
                <w:sz w:val="20"/>
                <w:szCs w:val="20"/>
              </w:rPr>
              <w:t xml:space="preserve">Nodo nuovo</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Treccani (https://www.treccani.it/enciclopedia/giangiacomo-feltrinelli_(Dizionario-Biografico)/); A ca' l'Alveare (https://www.acalveare.it/2025/11/15/giangiacomo-feltrinelli-leditore-rivoluzionario/); Salto.bz (https://salto.bz/it/article/08042026/bolivia-sulle-tracce-del-che). Assente nella prima stesura; integrato al § III</w:t>
            </w:r>
          </w:p>
        </w:tc>
      </w:tr>
      <w:tr>
        <w:tc>
          <w:tcPr>
            <w:tcW w:type="dxa" w:w="2340"/>
          </w:tcPr>
          <w:p>
            <w:pPr>
              <w:spacing w:after="20" w:before="20"/>
              <w:jc w:val="both"/>
            </w:pPr>
            <w:r>
              <w:rPr>
                <w:rFonts w:ascii="Barlow Semi Condensed" w:cs="Barlow Semi Condensed" w:eastAsia="Barlow Semi Condensed" w:hAnsi="Barlow Semi Condensed"/>
                <w:sz w:val="20"/>
                <w:szCs w:val="20"/>
              </w:rPr>
              <w:t xml:space="preserve">F-13</w:t>
            </w:r>
          </w:p>
        </w:tc>
        <w:tc>
          <w:tcPr>
            <w:tcW w:type="dxa" w:w="2340"/>
          </w:tcPr>
          <w:p>
            <w:pPr>
              <w:spacing w:after="20" w:before="20"/>
              <w:jc w:val="both"/>
            </w:pPr>
            <w:r>
              <w:rPr>
                <w:rFonts w:ascii="Barlow Semi Condensed" w:cs="Barlow Semi Condensed" w:eastAsia="Barlow Semi Condensed" w:hAnsi="Barlow Semi Condensed"/>
                <w:i/>
                <w:iCs/>
                <w:sz w:val="20"/>
                <w:szCs w:val="20"/>
              </w:rPr>
              <w:t xml:space="preserve">Diario</w:t>
            </w:r>
            <w:r>
              <w:rPr>
                <w:rFonts w:ascii="Barlow Semi Condensed" w:cs="Barlow Semi Condensed" w:eastAsia="Barlow Semi Condensed" w:hAnsi="Barlow Semi Condensed"/>
                <w:sz w:val="20"/>
                <w:szCs w:val="20"/>
              </w:rPr>
              <w:t xml:space="preserve"> 1968 con copertina Korda e prefazione di Castro; centinaia di manifesti per il lancio, ripresi dagli studenti nel '68</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Già riscontrata come nodo M-2 della matrice Guevara-Moro; History Ireland</w:t>
            </w:r>
          </w:p>
        </w:tc>
      </w:tr>
      <w:tr>
        <w:tc>
          <w:tcPr>
            <w:tcW w:type="dxa" w:w="2340"/>
          </w:tcPr>
          <w:p>
            <w:pPr>
              <w:spacing w:after="20" w:before="20"/>
              <w:jc w:val="both"/>
            </w:pPr>
            <w:r>
              <w:rPr>
                <w:rFonts w:ascii="Barlow Semi Condensed" w:cs="Barlow Semi Condensed" w:eastAsia="Barlow Semi Condensed" w:hAnsi="Barlow Semi Condensed"/>
                <w:sz w:val="20"/>
                <w:szCs w:val="20"/>
              </w:rPr>
              <w:t xml:space="preserve">F-14</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GAP fondati «intorno al 1970»</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 </w:t>
            </w:r>
            <w:r>
              <w:rPr>
                <w:rFonts w:ascii="Barlow Semi Condensed" w:cs="Barlow Semi Condensed" w:eastAsia="Barlow Semi Condensed" w:hAnsi="Barlow Semi Condensed"/>
                <w:b/>
                <w:bCs/>
                <w:sz w:val="20"/>
                <w:szCs w:val="20"/>
              </w:rPr>
              <w:t xml:space="preserve">Precisata</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Wikipedia IT, GAP (https://it.wikipedia.org/wiki/Gruppi_d%27Azione_Partigiana): aprile-maggio 1970; ramificazione nel Milanese, Genova, Trentino, Torino; sigla ripresa </w:t>
            </w:r>
            <w:r>
              <w:rPr>
                <w:rFonts w:ascii="Barlow Semi Condensed" w:cs="Barlow Semi Condensed" w:eastAsia="Barlow Semi Condensed" w:hAnsi="Barlow Semi Condensed"/>
                <w:b/>
                <w:bCs/>
                <w:sz w:val="20"/>
                <w:szCs w:val="20"/>
              </w:rPr>
              <w:t xml:space="preserve">deliberatamente</w:t>
            </w:r>
            <w:r>
              <w:rPr>
                <w:rFonts w:ascii="Barlow Semi Condensed" w:cs="Barlow Semi Condensed" w:eastAsia="Barlow Semi Condensed" w:hAnsi="Barlow Semi Condensed"/>
                <w:sz w:val="20"/>
                <w:szCs w:val="20"/>
              </w:rPr>
              <w:t xml:space="preserve"> dai Gruppi di Azione Patriottica della Resistenza (1943-45). Data e genealogia del nome integrate in monografia</w:t>
            </w:r>
          </w:p>
        </w:tc>
      </w:tr>
      <w:tr>
        <w:tc>
          <w:tcPr>
            <w:tcW w:type="dxa" w:w="2340"/>
          </w:tcPr>
          <w:p>
            <w:pPr>
              <w:spacing w:after="20" w:before="20"/>
              <w:jc w:val="both"/>
            </w:pPr>
            <w:r>
              <w:rPr>
                <w:rFonts w:ascii="Barlow Semi Condensed" w:cs="Barlow Semi Condensed" w:eastAsia="Barlow Semi Condensed" w:hAnsi="Barlow Semi Condensed"/>
                <w:sz w:val="20"/>
                <w:szCs w:val="20"/>
              </w:rPr>
              <w:t xml:space="preserve">F-15</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Curcio: i brigatisti «a scuola di guerriglia da Feltrinelli»</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Già riscontrata (M-2): Tassinari (https://www.ugomariatassinari.it/feltrinelli-curcio/)</w:t>
            </w:r>
          </w:p>
        </w:tc>
      </w:tr>
      <w:tr>
        <w:tc>
          <w:tcPr>
            <w:tcW w:type="dxa" w:w="2340"/>
          </w:tcPr>
          <w:p>
            <w:pPr>
              <w:spacing w:after="20" w:before="20"/>
              <w:jc w:val="both"/>
            </w:pPr>
            <w:r>
              <w:rPr>
                <w:rFonts w:ascii="Barlow Semi Condensed" w:cs="Barlow Semi Condensed" w:eastAsia="Barlow Semi Condensed" w:hAnsi="Barlow Semi Condensed"/>
                <w:sz w:val="20"/>
                <w:szCs w:val="20"/>
              </w:rPr>
              <w:t xml:space="preserve">F-16</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Morte a Segrate, «notte tra il 14 e il 15 marzo 1972», discrepanza delle fonti</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 </w:t>
            </w:r>
            <w:r>
              <w:rPr>
                <w:rFonts w:ascii="Barlow Semi Condensed" w:cs="Barlow Semi Condensed" w:eastAsia="Barlow Semi Condensed" w:hAnsi="Barlow Semi Condensed"/>
                <w:b/>
                <w:bCs/>
                <w:sz w:val="20"/>
                <w:szCs w:val="20"/>
              </w:rPr>
              <w:t xml:space="preserve">Sciolta</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Morte il </w:t>
            </w:r>
            <w:r>
              <w:rPr>
                <w:rFonts w:ascii="Barlow Semi Condensed" w:cs="Barlow Semi Condensed" w:eastAsia="Barlow Semi Condensed" w:hAnsi="Barlow Semi Condensed"/>
                <w:b/>
                <w:bCs/>
                <w:sz w:val="20"/>
                <w:szCs w:val="20"/>
              </w:rPr>
              <w:t xml:space="preserve">14 marzo</w:t>
            </w:r>
            <w:r>
              <w:rPr>
                <w:rFonts w:ascii="Barlow Semi Condensed" w:cs="Barlow Semi Condensed" w:eastAsia="Barlow Semi Condensed" w:hAnsi="Barlow Semi Condensed"/>
                <w:sz w:val="20"/>
                <w:szCs w:val="20"/>
              </w:rPr>
              <w:t xml:space="preserve"> (esplosione al traliccio, Cascina Nuova di Segrate); ritrovamento il </w:t>
            </w:r>
            <w:r>
              <w:rPr>
                <w:rFonts w:ascii="Barlow Semi Condensed" w:cs="Barlow Semi Condensed" w:eastAsia="Barlow Semi Condensed" w:hAnsi="Barlow Semi Condensed"/>
                <w:b/>
                <w:bCs/>
                <w:sz w:val="20"/>
                <w:szCs w:val="20"/>
              </w:rPr>
              <w:t xml:space="preserve">pomeriggio del 15</w:t>
            </w:r>
            <w:r>
              <w:rPr>
                <w:rFonts w:ascii="Barlow Semi Condensed" w:cs="Barlow Semi Condensed" w:eastAsia="Barlow Semi Condensed" w:hAnsi="Barlow Semi Condensed"/>
                <w:sz w:val="20"/>
                <w:szCs w:val="20"/>
              </w:rPr>
              <w:t xml:space="preserve"> da parte del contadino Luigi Stringhetti; documenti falsi «Vincenzo Maggioni»; identificazione dopo 24 ore; nome di battaglia «Osvaldo» (Il Post (https://www.ilpost.it/2022/03/14/giangiacomo-feltrinelli/); Fatti per la Storia (https://www.fattiperlastoria.it/morte-feltrinelli/)). Le fonti «discordi» si riferivano a due momenti distinti. Corretta in monografia</w:t>
            </w:r>
          </w:p>
        </w:tc>
      </w:tr>
      <w:tr>
        <w:tc>
          <w:tcPr>
            <w:tcW w:type="dxa" w:w="2340"/>
          </w:tcPr>
          <w:p>
            <w:pPr>
              <w:spacing w:after="20" w:before="20"/>
              <w:jc w:val="both"/>
            </w:pPr>
            <w:r>
              <w:rPr>
                <w:rFonts w:ascii="Barlow Semi Condensed" w:cs="Barlow Semi Condensed" w:eastAsia="Barlow Semi Condensed" w:hAnsi="Barlow Semi Condensed"/>
                <w:sz w:val="20"/>
                <w:szCs w:val="20"/>
              </w:rPr>
              <w:t xml:space="preserve">F-17</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Ricostruzione giudiziaria 1979 (sabotaggio, errore tecnico); tesi dell'omicidio di Stato</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 / 🔵</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La ricostruzione del 1979 trova riscontro anche nei </w:t>
            </w:r>
            <w:r>
              <w:rPr>
                <w:rFonts w:ascii="Barlow Semi Condensed" w:cs="Barlow Semi Condensed" w:eastAsia="Barlow Semi Condensed" w:hAnsi="Barlow Semi Condensed"/>
                <w:b/>
                <w:bCs/>
                <w:sz w:val="20"/>
                <w:szCs w:val="20"/>
              </w:rPr>
              <w:t xml:space="preserve">nastri del covo BR di Robbiano di Mediglia</w:t>
            </w:r>
            <w:r>
              <w:rPr>
                <w:rFonts w:ascii="Barlow Semi Condensed" w:cs="Barlow Semi Condensed" w:eastAsia="Barlow Semi Condensed" w:hAnsi="Barlow Semi Condensed"/>
                <w:sz w:val="20"/>
                <w:szCs w:val="20"/>
              </w:rPr>
              <w:t xml:space="preserve"> («Osvaldo» con i candelotti sotto la gamba — Il Post (https://www.ilpost.it/2022/03/14/giangiacomo-feltrinelli/)); la tesi dell'omicidio resta, dopo verifica, esattamente dove la monografia l'aveva collocata: </w:t>
            </w:r>
            <w:r>
              <w:rPr>
                <w:rFonts w:ascii="Barlow Semi Condensed" w:cs="Barlow Semi Condensed" w:eastAsia="Barlow Semi Condensed" w:hAnsi="Barlow Semi Condensed"/>
                <w:b/>
                <w:bCs/>
                <w:sz w:val="20"/>
                <w:szCs w:val="20"/>
              </w:rPr>
              <w:t xml:space="preserve">congettura non provata</w:t>
            </w:r>
            <w:r>
              <w:rPr>
                <w:rFonts w:ascii="Barlow Semi Condensed" w:cs="Barlow Semi Condensed" w:eastAsia="Barlow Semi Condensed" w:hAnsi="Barlow Semi Condensed"/>
                <w:sz w:val="20"/>
                <w:szCs w:val="20"/>
              </w:rPr>
              <w:t xml:space="preserve">. «Fu ipotizzato l'omicidio e furono aperte inchieste, ma la verità non fu mai trovata»</w:t>
            </w:r>
          </w:p>
        </w:tc>
      </w:tr>
    </w:tbl>
    <w:p>
      <w:pPr>
        <w:spacing w:after="80"/>
      </w:pPr>
    </w:p>
    <w:p>
      <w:pPr>
        <w:spacing w:after="120" w:line="276"/>
        <w:jc w:val="both"/>
      </w:pPr>
      <w:r>
        <w:rPr>
          <w:rFonts w:ascii="Barlow Semi Condensed" w:cs="Barlow Semi Condensed" w:eastAsia="Barlow Semi Condensed" w:hAnsi="Barlow Semi Condensed"/>
          <w:b/>
          <w:bCs/>
          <w:sz w:val="24"/>
          <w:szCs w:val="24"/>
        </w:rPr>
        <w:t xml:space="preserve">Bilancio della verifica.</w:t>
      </w:r>
      <w:r>
        <w:rPr>
          <w:rFonts w:ascii="Barlow Semi Condensed" w:cs="Barlow Semi Condensed" w:eastAsia="Barlow Semi Condensed" w:hAnsi="Barlow Semi Condensed"/>
          <w:sz w:val="24"/>
          <w:szCs w:val="24"/>
        </w:rPr>
        <w:t xml:space="preserve"> Nessuna affermazione portante è caduta. Tre sono state precisate (PCI, GAP, Segrate) e le correzioni sono già nel testo con note di revisione; una (la Bolivia del 1967) mancava ed è stata integrata. La categoria «congettura» assegnata alla tesi dell'omicidio ha retto al riscontro: è la collocazione giusta, né promossa né liquidata.</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2. I ponti con il corpus (B-1…B-7)</w:t>
      </w:r>
    </w:p>
    <w:p>
      <w:pPr>
        <w:spacing w:after="120" w:line="276"/>
        <w:jc w:val="both"/>
      </w:pPr>
      <w:r>
        <w:rPr>
          <w:rFonts w:ascii="Barlow Semi Condensed" w:cs="Barlow Semi Condensed" w:eastAsia="Barlow Semi Condensed" w:hAnsi="Barlow Semi Condensed"/>
          <w:sz w:val="24"/>
          <w:szCs w:val="24"/>
        </w:rPr>
        <w:t xml:space="preserve">Triangolare Feltrinelli «con ognuno nel corpus» significa dire, per ciascun documento, </w:t>
      </w:r>
      <w:r>
        <w:rPr>
          <w:rFonts w:ascii="Barlow Semi Condensed" w:cs="Barlow Semi Condensed" w:eastAsia="Barlow Semi Condensed" w:hAnsi="Barlow Semi Condensed"/>
          <w:b/>
          <w:bCs/>
          <w:sz w:val="24"/>
          <w:szCs w:val="24"/>
        </w:rPr>
        <w:t xml:space="preserve">se</w:t>
      </w:r>
      <w:r>
        <w:rPr>
          <w:rFonts w:ascii="Barlow Semi Condensed" w:cs="Barlow Semi Condensed" w:eastAsia="Barlow Semi Condensed" w:hAnsi="Barlow Semi Condensed"/>
          <w:sz w:val="24"/>
          <w:szCs w:val="24"/>
        </w:rPr>
        <w:t xml:space="preserve"> un ponte esiste e </w:t>
      </w:r>
      <w:r>
        <w:rPr>
          <w:rFonts w:ascii="Barlow Semi Condensed" w:cs="Barlow Semi Condensed" w:eastAsia="Barlow Semi Condensed" w:hAnsi="Barlow Semi Condensed"/>
          <w:b/>
          <w:bCs/>
          <w:sz w:val="24"/>
          <w:szCs w:val="24"/>
        </w:rPr>
        <w:t xml:space="preserve">di che natura</w:t>
      </w:r>
      <w:r>
        <w:rPr>
          <w:rFonts w:ascii="Barlow Semi Condensed" w:cs="Barlow Semi Condensed" w:eastAsia="Barlow Semi Condensed" w:hAnsi="Barlow Semi Condensed"/>
          <w:sz w:val="24"/>
          <w:szCs w:val="24"/>
        </w:rPr>
        <w:t xml:space="preserve"> è. Ecco la mappa, ponte per ponte.</w:t>
      </w:r>
    </w:p>
    <w:p>
      <w:pPr>
        <w:pStyle w:val="Heading3"/>
        <w:spacing w:after="80" w:before="160"/>
      </w:pPr>
      <w:r>
        <w:rPr>
          <w:rFonts w:ascii="Barlow Semi Condensed" w:cs="Barlow Semi Condensed" w:eastAsia="Barlow Semi Condensed" w:hAnsi="Barlow Semi Condensed"/>
          <w:sz w:val="24"/>
          <w:szCs w:val="24"/>
        </w:rPr>
        <w:t xml:space="preserve">B-1 · Con la campagna boliviana (guevara-campagna-boliviana-1966-1967.md) — ponte documentato, nuovo</w:t>
      </w:r>
    </w:p>
    <w:p>
      <w:pPr>
        <w:spacing w:after="120" w:line="276"/>
        <w:jc w:val="both"/>
      </w:pPr>
      <w:r>
        <w:rPr>
          <w:rFonts w:ascii="Barlow Semi Condensed" w:cs="Barlow Semi Condensed" w:eastAsia="Barlow Semi Condensed" w:hAnsi="Barlow Semi Condensed"/>
          <w:sz w:val="24"/>
          <w:szCs w:val="24"/>
        </w:rPr>
        <w:t xml:space="preserve">Il capitolo boliviano registra la cattura di </w:t>
      </w:r>
      <w:r>
        <w:rPr>
          <w:rFonts w:ascii="Barlow Semi Condensed" w:cs="Barlow Semi Condensed" w:eastAsia="Barlow Semi Condensed" w:hAnsi="Barlow Semi Condensed"/>
          <w:b/>
          <w:bCs/>
          <w:sz w:val="24"/>
          <w:szCs w:val="24"/>
        </w:rPr>
        <w:t xml:space="preserve">Régis Debray</w:t>
      </w:r>
      <w:r>
        <w:rPr>
          <w:rFonts w:ascii="Barlow Semi Condensed" w:cs="Barlow Semi Condensed" w:eastAsia="Barlow Semi Condensed" w:hAnsi="Barlow Semi Condensed"/>
          <w:sz w:val="24"/>
          <w:szCs w:val="24"/>
        </w:rPr>
        <w:t xml:space="preserve"> (20 aprile 1967) e il suo processo, che «internazionalizzò il caso». La triangolazione aggiunge il tassello mancante: fra i presenti attirati da quel processo </w:t>
      </w:r>
      <w:r>
        <w:rPr>
          <w:rFonts w:ascii="Barlow Semi Condensed" w:cs="Barlow Semi Condensed" w:eastAsia="Barlow Semi Condensed" w:hAnsi="Barlow Semi Condensed"/>
          <w:b/>
          <w:bCs/>
          <w:sz w:val="24"/>
          <w:szCs w:val="24"/>
        </w:rPr>
        <w:t xml:space="preserve">ci fu Feltrinelli in persona</w:t>
      </w:r>
      <w:r>
        <w:rPr>
          <w:rFonts w:ascii="Barlow Semi Condensed" w:cs="Barlow Semi Condensed" w:eastAsia="Barlow Semi Condensed" w:hAnsi="Barlow Semi Condensed"/>
          <w:sz w:val="24"/>
          <w:szCs w:val="24"/>
        </w:rPr>
        <w:t xml:space="preserve">, arrestato ed espulso dalla Bolivia nell'agosto 1967. Il vettore non comprò il mito da lontano: </w:t>
      </w:r>
      <w:r>
        <w:rPr>
          <w:rFonts w:ascii="Barlow Semi Condensed" w:cs="Barlow Semi Condensed" w:eastAsia="Barlow Semi Condensed" w:hAnsi="Barlow Semi Condensed"/>
          <w:b/>
          <w:bCs/>
          <w:sz w:val="24"/>
          <w:szCs w:val="24"/>
        </w:rPr>
        <w:t xml:space="preserve">si presentò sul bordo della guerriglia due mesi prima della Quebrada del Churo</w:t>
      </w:r>
      <w:r>
        <w:rPr>
          <w:rFonts w:ascii="Barlow Semi Condensed" w:cs="Barlow Semi Condensed" w:eastAsia="Barlow Semi Condensed" w:hAnsi="Barlow Semi Condensed"/>
          <w:sz w:val="24"/>
          <w:szCs w:val="24"/>
        </w:rPr>
        <w:t xml:space="preserve">. È il ponte fisico — non solo editoriale — fra la biografia di Feltrinelli e la parabola guevariana, e retrodata il suo investimento sul Che a </w:t>
      </w:r>
      <w:r>
        <w:rPr>
          <w:rFonts w:ascii="Barlow Semi Condensed" w:cs="Barlow Semi Condensed" w:eastAsia="Barlow Semi Condensed" w:hAnsi="Barlow Semi Condensed"/>
          <w:i/>
          <w:iCs/>
          <w:sz w:val="24"/>
          <w:szCs w:val="24"/>
        </w:rPr>
        <w:t xml:space="preserve">prima</w:t>
      </w:r>
      <w:r>
        <w:rPr>
          <w:rFonts w:ascii="Barlow Semi Condensed" w:cs="Barlow Semi Condensed" w:eastAsia="Barlow Semi Condensed" w:hAnsi="Barlow Semi Condensed"/>
          <w:sz w:val="24"/>
          <w:szCs w:val="24"/>
        </w:rPr>
        <w:t xml:space="preserve"> della morte di questi.</w:t>
      </w:r>
    </w:p>
    <w:p>
      <w:pPr>
        <w:pStyle w:val="Heading3"/>
        <w:spacing w:after="80" w:before="160"/>
      </w:pPr>
      <w:r>
        <w:rPr>
          <w:rFonts w:ascii="Barlow Semi Condensed" w:cs="Barlow Semi Condensed" w:eastAsia="Barlow Semi Condensed" w:hAnsi="Barlow Semi Condensed"/>
          <w:sz w:val="24"/>
          <w:szCs w:val="24"/>
        </w:rPr>
        <w:t xml:space="preserve">B-2 · Con le fonti stesse del corpus (guevara-bibliografia-critica.md) — ponte riflessivo, documentato</w:t>
      </w:r>
    </w:p>
    <w:p>
      <w:pPr>
        <w:spacing w:after="120" w:line="276"/>
        <w:jc w:val="both"/>
      </w:pPr>
      <w:r>
        <w:rPr>
          <w:rFonts w:ascii="Barlow Semi Condensed" w:cs="Barlow Semi Condensed" w:eastAsia="Barlow Semi Condensed" w:hAnsi="Barlow Semi Condensed"/>
          <w:sz w:val="24"/>
          <w:szCs w:val="24"/>
        </w:rPr>
        <w:t xml:space="preserve">La bibliografia critica del corpus elenca il </w:t>
      </w:r>
      <w:r>
        <w:rPr>
          <w:rFonts w:ascii="Barlow Semi Condensed" w:cs="Barlow Semi Condensed" w:eastAsia="Barlow Semi Condensed" w:hAnsi="Barlow Semi Condensed"/>
          <w:i/>
          <w:iCs/>
          <w:sz w:val="24"/>
          <w:szCs w:val="24"/>
        </w:rPr>
        <w:t xml:space="preserve">Diario del Che in Bolivia</w:t>
      </w:r>
      <w:r>
        <w:rPr>
          <w:rFonts w:ascii="Barlow Semi Condensed" w:cs="Barlow Semi Condensed" w:eastAsia="Barlow Semi Condensed" w:hAnsi="Barlow Semi Condensed"/>
          <w:sz w:val="24"/>
          <w:szCs w:val="24"/>
        </w:rPr>
        <w:t xml:space="preserve"> come </w:t>
      </w:r>
      <w:r>
        <w:rPr>
          <w:rFonts w:ascii="Barlow Semi Condensed" w:cs="Barlow Semi Condensed" w:eastAsia="Barlow Semi Condensed" w:hAnsi="Barlow Semi Condensed"/>
          <w:b/>
          <w:bCs/>
          <w:sz w:val="24"/>
          <w:szCs w:val="24"/>
        </w:rPr>
        <w:t xml:space="preserve">fonte primaria</w:t>
      </w:r>
      <w:r>
        <w:rPr>
          <w:rFonts w:ascii="Barlow Semi Condensed" w:cs="Barlow Semi Condensed" w:eastAsia="Barlow Semi Condensed" w:hAnsi="Barlow Semi Condensed"/>
          <w:sz w:val="24"/>
          <w:szCs w:val="24"/>
        </w:rPr>
        <w:t xml:space="preserve"> dell'intero capitolo boliviano. Ma il canale per cui quel diario giunse in Italia </w:t>
      </w:r>
      <w:r>
        <w:rPr>
          <w:rFonts w:ascii="Barlow Semi Condensed" w:cs="Barlow Semi Condensed" w:eastAsia="Barlow Semi Condensed" w:hAnsi="Barlow Semi Condensed"/>
          <w:b/>
          <w:bCs/>
          <w:sz w:val="24"/>
          <w:szCs w:val="24"/>
        </w:rPr>
        <w:t xml:space="preserve">è Feltrinelli</w:t>
      </w:r>
      <w:r>
        <w:rPr>
          <w:rFonts w:ascii="Barlow Semi Condensed" w:cs="Barlow Semi Condensed" w:eastAsia="Barlow Semi Condensed" w:hAnsi="Barlow Semi Condensed"/>
          <w:sz w:val="24"/>
          <w:szCs w:val="24"/>
        </w:rPr>
        <w:t xml:space="preserve"> (diritti 1967, edizione 1968). Il corpus, cioè, ogni volta che cita il </w:t>
      </w:r>
      <w:r>
        <w:rPr>
          <w:rFonts w:ascii="Barlow Semi Condensed" w:cs="Barlow Semi Condensed" w:eastAsia="Barlow Semi Condensed" w:hAnsi="Barlow Semi Condensed"/>
          <w:i/>
          <w:iCs/>
          <w:sz w:val="24"/>
          <w:szCs w:val="24"/>
        </w:rPr>
        <w:t xml:space="preserve">Diario</w:t>
      </w:r>
      <w:r>
        <w:rPr>
          <w:rFonts w:ascii="Barlow Semi Condensed" w:cs="Barlow Semi Condensed" w:eastAsia="Barlow Semi Condensed" w:hAnsi="Barlow Semi Condensed"/>
          <w:sz w:val="24"/>
          <w:szCs w:val="24"/>
        </w:rPr>
        <w:t xml:space="preserve"> nell'edizione italiana, </w:t>
      </w:r>
      <w:r>
        <w:rPr>
          <w:rFonts w:ascii="Barlow Semi Condensed" w:cs="Barlow Semi Condensed" w:eastAsia="Barlow Semi Condensed" w:hAnsi="Barlow Semi Condensed"/>
          <w:b/>
          <w:bCs/>
          <w:sz w:val="24"/>
          <w:szCs w:val="24"/>
        </w:rPr>
        <w:t xml:space="preserve">passa dal vettore che sta studiando</w:t>
      </w:r>
      <w:r>
        <w:rPr>
          <w:rFonts w:ascii="Barlow Semi Condensed" w:cs="Barlow Semi Condensed" w:eastAsia="Barlow Semi Condensed" w:hAnsi="Barlow Semi Condensed"/>
          <w:sz w:val="24"/>
          <w:szCs w:val="24"/>
        </w:rPr>
        <w:t xml:space="preserve">: la fonte primaria della parabola e il fabbricante del mito coincidono nel medesimo canale editoriale. Questa riflessività non inficia la fonte (il testo del diario è riscontrato su edizioni e archivi indipendenti), ma va dichiarata: è un caso da manuale di come il vettore di un mito sia anche il vettore dei suoi documenti.</w:t>
      </w:r>
    </w:p>
    <w:p>
      <w:pPr>
        <w:pStyle w:val="Heading3"/>
        <w:spacing w:after="80" w:before="160"/>
      </w:pPr>
      <w:r>
        <w:rPr>
          <w:rFonts w:ascii="Barlow Semi Condensed" w:cs="Barlow Semi Condensed" w:eastAsia="Barlow Semi Condensed" w:hAnsi="Barlow Semi Condensed"/>
          <w:sz w:val="24"/>
          <w:szCs w:val="24"/>
        </w:rPr>
        <w:t xml:space="preserve">B-3 · Con il saggio di sintesi (dal-che-a-moro-una-guerra-senza-fine.md) — ponte fondativo, confermato</w:t>
      </w:r>
    </w:p>
    <w:p>
      <w:pPr>
        <w:spacing w:after="120" w:line="276"/>
        <w:jc w:val="both"/>
      </w:pPr>
      <w:r>
        <w:rPr>
          <w:rFonts w:ascii="Barlow Semi Condensed" w:cs="Barlow Semi Condensed" w:eastAsia="Barlow Semi Condensed" w:hAnsi="Barlow Semi Condensed"/>
          <w:sz w:val="24"/>
          <w:szCs w:val="24"/>
        </w:rPr>
        <w:t xml:space="preserve">La Parte seconda del saggio («Il Che: un mito e il suo vettore») poggiava su tre asserzioni: Korda 1967 come manifesto, </w:t>
      </w:r>
      <w:r>
        <w:rPr>
          <w:rFonts w:ascii="Barlow Semi Condensed" w:cs="Barlow Semi Condensed" w:eastAsia="Barlow Semi Condensed" w:hAnsi="Barlow Semi Condensed"/>
          <w:i/>
          <w:iCs/>
          <w:sz w:val="24"/>
          <w:szCs w:val="24"/>
        </w:rPr>
        <w:t xml:space="preserve">Diario</w:t>
      </w:r>
      <w:r>
        <w:rPr>
          <w:rFonts w:ascii="Barlow Semi Condensed" w:cs="Barlow Semi Condensed" w:eastAsia="Barlow Semi Condensed" w:hAnsi="Barlow Semi Condensed"/>
          <w:sz w:val="24"/>
          <w:szCs w:val="24"/>
        </w:rPr>
        <w:t xml:space="preserve"> 1968, GAP 1970. Tutte e tre </w:t>
      </w:r>
      <w:r>
        <w:rPr>
          <w:rFonts w:ascii="Barlow Semi Condensed" w:cs="Barlow Semi Condensed" w:eastAsia="Barlow Semi Condensed" w:hAnsi="Barlow Semi Condensed"/>
          <w:b/>
          <w:bCs/>
          <w:sz w:val="24"/>
          <w:szCs w:val="24"/>
        </w:rPr>
        <w:t xml:space="preserve">reggono</w:t>
      </w:r>
      <w:r>
        <w:rPr>
          <w:rFonts w:ascii="Barlow Semi Condensed" w:cs="Barlow Semi Condensed" w:eastAsia="Barlow Semi Condensed" w:hAnsi="Barlow Semi Condensed"/>
          <w:sz w:val="24"/>
          <w:szCs w:val="24"/>
        </w:rPr>
        <w:t xml:space="preserve"> e sono ora fondate su uno studio autonomo con fonti proprie, anziché su un paragrafo di sintesi. La monografia dà inoltre al saggio ciò che gli mancava: la spiegazione </w:t>
      </w:r>
      <w:r>
        <w:rPr>
          <w:rFonts w:ascii="Barlow Semi Condensed" w:cs="Barlow Semi Condensed" w:eastAsia="Barlow Semi Condensed" w:hAnsi="Barlow Semi Condensed"/>
          <w:i/>
          <w:iCs/>
          <w:sz w:val="24"/>
          <w:szCs w:val="24"/>
        </w:rPr>
        <w:t xml:space="preserve">professionale</w:t>
      </w:r>
      <w:r>
        <w:rPr>
          <w:rFonts w:ascii="Barlow Semi Condensed" w:cs="Barlow Semi Condensed" w:eastAsia="Barlow Semi Condensed" w:hAnsi="Barlow Semi Condensed"/>
          <w:sz w:val="24"/>
          <w:szCs w:val="24"/>
        </w:rPr>
        <w:t xml:space="preserve"> del vettore — Feltrinelli sapeva fabbricare simboli perché era il suo mestiere (Živago, Gattopardo), e applicò al Che la stessa competenza editoriale.</w:t>
      </w:r>
    </w:p>
    <w:p>
      <w:pPr>
        <w:pStyle w:val="Heading3"/>
        <w:spacing w:after="80" w:before="160"/>
      </w:pPr>
      <w:r>
        <w:rPr>
          <w:rFonts w:ascii="Barlow Semi Condensed" w:cs="Barlow Semi Condensed" w:eastAsia="Barlow Semi Condensed" w:hAnsi="Barlow Semi Condensed"/>
          <w:sz w:val="24"/>
          <w:szCs w:val="24"/>
        </w:rPr>
        <w:t xml:space="preserve">B-4 · Con la matrice Guevara-Moro (triangolazioni-guevara-moro.md) — aggiornamento del nodo M-2</w:t>
      </w:r>
    </w:p>
    <w:p>
      <w:pPr>
        <w:spacing w:after="120" w:line="276"/>
        <w:jc w:val="both"/>
      </w:pPr>
      <w:r>
        <w:rPr>
          <w:rFonts w:ascii="Barlow Semi Condensed" w:cs="Barlow Semi Condensed" w:eastAsia="Barlow Semi Condensed" w:hAnsi="Barlow Semi Condensed"/>
          <w:sz w:val="24"/>
          <w:szCs w:val="24"/>
        </w:rPr>
        <w:t xml:space="preserve">Il nodo M-2 («Il vettore Feltrinelli») della matrice resta valido in ogni sua parte, ma va letto d'ora in poi insieme a questo documento: la monografia e la presente triangolazione lo </w:t>
      </w:r>
      <w:r>
        <w:rPr>
          <w:rFonts w:ascii="Barlow Semi Condensed" w:cs="Barlow Semi Condensed" w:eastAsia="Barlow Semi Condensed" w:hAnsi="Barlow Semi Condensed"/>
          <w:b/>
          <w:bCs/>
          <w:sz w:val="24"/>
          <w:szCs w:val="24"/>
        </w:rPr>
        <w:t xml:space="preserve">espandono</w:t>
      </w:r>
      <w:r>
        <w:rPr>
          <w:rFonts w:ascii="Barlow Semi Condensed" w:cs="Barlow Semi Condensed" w:eastAsia="Barlow Semi Condensed" w:hAnsi="Barlow Semi Condensed"/>
          <w:sz w:val="24"/>
          <w:szCs w:val="24"/>
        </w:rPr>
        <w:t xml:space="preserve"> con i nodi F-1…F-17 e lo </w:t>
      </w:r>
      <w:r>
        <w:rPr>
          <w:rFonts w:ascii="Barlow Semi Condensed" w:cs="Barlow Semi Condensed" w:eastAsia="Barlow Semi Condensed" w:hAnsi="Barlow Semi Condensed"/>
          <w:b/>
          <w:bCs/>
          <w:sz w:val="24"/>
          <w:szCs w:val="24"/>
        </w:rPr>
        <w:t xml:space="preserve">precisano</w:t>
      </w:r>
      <w:r>
        <w:rPr>
          <w:rFonts w:ascii="Barlow Semi Condensed" w:cs="Barlow Semi Condensed" w:eastAsia="Barlow Semi Condensed" w:hAnsi="Barlow Semi Condensed"/>
          <w:sz w:val="24"/>
          <w:szCs w:val="24"/>
        </w:rPr>
        <w:t xml:space="preserve"> su tre punti (PCI, data GAP, cronologia di Segrate). Il registro di esecuzione della matrice (§ 4) va inteso come integrato dai 17 nodi qui aggiunti.</w:t>
      </w:r>
    </w:p>
    <w:p>
      <w:pPr>
        <w:pStyle w:val="Heading3"/>
        <w:spacing w:after="80" w:before="160"/>
      </w:pPr>
      <w:r>
        <w:rPr>
          <w:rFonts w:ascii="Barlow Semi Condensed" w:cs="Barlow Semi Condensed" w:eastAsia="Barlow Semi Condensed" w:hAnsi="Barlow Semi Condensed"/>
          <w:sz w:val="24"/>
          <w:szCs w:val="24"/>
        </w:rPr>
        <w:t xml:space="preserve">B-5 · Con la cronologia sinottica (cronologia-guevara-moro.html) — ponte strutturale</w:t>
      </w:r>
    </w:p>
    <w:p>
      <w:pPr>
        <w:spacing w:after="120" w:line="276"/>
        <w:jc w:val="both"/>
      </w:pPr>
      <w:r>
        <w:rPr>
          <w:rFonts w:ascii="Barlow Semi Condensed" w:cs="Barlow Semi Condensed" w:eastAsia="Barlow Semi Condensed" w:hAnsi="Barlow Semi Condensed"/>
          <w:sz w:val="24"/>
          <w:szCs w:val="24"/>
        </w:rPr>
        <w:t xml:space="preserve">Nel filo «L'immagine — il mito» della cronologia, Feltrinelli è ora presente in tre punti: 1967-68 (manifesto e </w:t>
      </w:r>
      <w:r>
        <w:rPr>
          <w:rFonts w:ascii="Barlow Semi Condensed" w:cs="Barlow Semi Condensed" w:eastAsia="Barlow Semi Condensed" w:hAnsi="Barlow Semi Condensed"/>
          <w:i/>
          <w:iCs/>
          <w:sz w:val="24"/>
          <w:szCs w:val="24"/>
        </w:rPr>
        <w:t xml:space="preserve">Diario</w:t>
      </w:r>
      <w:r>
        <w:rPr>
          <w:rFonts w:ascii="Barlow Semi Condensed" w:cs="Barlow Semi Condensed" w:eastAsia="Barlow Semi Condensed" w:hAnsi="Barlow Semi Condensed"/>
          <w:sz w:val="24"/>
          <w:szCs w:val="24"/>
        </w:rPr>
        <w:t xml:space="preserve">), 1970 (GAP e Pecorile), 14-15 marzo 1972 (Segrate, evento terminale). Con questa triangolazione la scheda di Segrate è stata precisata (morte il 14, ritrovamento il 15). Il filo del mito ha così il suo arco completo: fabbricazione → trasmissione → fine del vettore.</w:t>
      </w:r>
    </w:p>
    <w:p>
      <w:pPr>
        <w:pStyle w:val="Heading3"/>
        <w:spacing w:after="80" w:before="160"/>
      </w:pPr>
      <w:r>
        <w:rPr>
          <w:rFonts w:ascii="Barlow Semi Condensed" w:cs="Barlow Semi Condensed" w:eastAsia="Barlow Semi Condensed" w:hAnsi="Barlow Semi Condensed"/>
          <w:sz w:val="24"/>
          <w:szCs w:val="24"/>
        </w:rPr>
        <w:t xml:space="preserve">B-6 · Con l'elenco degli amnistiati (amnistiati-tribunale-speciale.md) — convergenza tematica, non nesso</w:t>
      </w:r>
    </w:p>
    <w:p>
      <w:pPr>
        <w:spacing w:after="120" w:line="276"/>
        <w:jc w:val="both"/>
      </w:pPr>
      <w:r>
        <w:rPr>
          <w:rFonts w:ascii="Barlow Semi Condensed" w:cs="Barlow Semi Condensed" w:eastAsia="Barlow Semi Condensed" w:hAnsi="Barlow Semi Condensed"/>
          <w:sz w:val="24"/>
          <w:szCs w:val="24"/>
        </w:rPr>
        <w:t xml:space="preserve">Il primo documento del branch censisce gli amnistiati del </w:t>
      </w:r>
      <w:r>
        <w:rPr>
          <w:rFonts w:ascii="Barlow Semi Condensed" w:cs="Barlow Semi Condensed" w:eastAsia="Barlow Semi Condensed" w:hAnsi="Barlow Semi Condensed"/>
          <w:b/>
          <w:bCs/>
          <w:sz w:val="24"/>
          <w:szCs w:val="24"/>
        </w:rPr>
        <w:t xml:space="preserve">Tribunale Speciale fascista</w:t>
      </w:r>
      <w:r>
        <w:rPr>
          <w:rFonts w:ascii="Barlow Semi Condensed" w:cs="Barlow Semi Condensed" w:eastAsia="Barlow Semi Condensed" w:hAnsi="Barlow Semi Condensed"/>
          <w:sz w:val="24"/>
          <w:szCs w:val="24"/>
        </w:rPr>
        <w:t xml:space="preserve"> (1926-43); i GAP di Feltrinelli ripresero </w:t>
      </w:r>
      <w:r>
        <w:rPr>
          <w:rFonts w:ascii="Barlow Semi Condensed" w:cs="Barlow Semi Condensed" w:eastAsia="Barlow Semi Condensed" w:hAnsi="Barlow Semi Condensed"/>
          <w:b/>
          <w:bCs/>
          <w:sz w:val="24"/>
          <w:szCs w:val="24"/>
        </w:rPr>
        <w:t xml:space="preserve">il nome</w:t>
      </w:r>
      <w:r>
        <w:rPr>
          <w:rFonts w:ascii="Barlow Semi Condensed" w:cs="Barlow Semi Condensed" w:eastAsia="Barlow Semi Condensed" w:hAnsi="Barlow Semi Condensed"/>
          <w:sz w:val="24"/>
          <w:szCs w:val="24"/>
        </w:rPr>
        <w:t xml:space="preserve"> dei Gruppi di Azione Patriottica della Resistenza, cioè dell'antifascismo armato che di quel tribunale fu vittima e risposta. I due documenti stanno dunque sullo stesso </w:t>
      </w:r>
      <w:r>
        <w:rPr>
          <w:rFonts w:ascii="Barlow Semi Condensed" w:cs="Barlow Semi Condensed" w:eastAsia="Barlow Semi Condensed" w:hAnsi="Barlow Semi Condensed"/>
          <w:b/>
          <w:bCs/>
          <w:sz w:val="24"/>
          <w:szCs w:val="24"/>
        </w:rPr>
        <w:t xml:space="preserve">asse fascismo/antifascismo</w:t>
      </w:r>
      <w:r>
        <w:rPr>
          <w:rFonts w:ascii="Barlow Semi Condensed" w:cs="Barlow Semi Condensed" w:eastAsia="Barlow Semi Condensed" w:hAnsi="Barlow Semi Condensed"/>
          <w:sz w:val="24"/>
          <w:szCs w:val="24"/>
        </w:rPr>
        <w:t xml:space="preserve"> che attraversa il Novecento italiano — ma il ponte è </w:t>
      </w:r>
      <w:r>
        <w:rPr>
          <w:rFonts w:ascii="Barlow Semi Condensed" w:cs="Barlow Semi Condensed" w:eastAsia="Barlow Semi Condensed" w:hAnsi="Barlow Semi Condensed"/>
          <w:b/>
          <w:bCs/>
          <w:sz w:val="24"/>
          <w:szCs w:val="24"/>
        </w:rPr>
        <w:t xml:space="preserve">di tema, non di storia</w:t>
      </w:r>
      <w:r>
        <w:rPr>
          <w:rFonts w:ascii="Barlow Semi Condensed" w:cs="Barlow Semi Condensed" w:eastAsia="Barlow Semi Condensed" w:hAnsi="Barlow Semi Condensed"/>
          <w:sz w:val="24"/>
          <w:szCs w:val="24"/>
        </w:rPr>
        <w:t xml:space="preserve">: nessun rapporto documentale lega gli amnistiati del Tribunale Speciale ai GAP del 1970. Si registra la convergenza e la si lascia lì.</w:t>
      </w:r>
    </w:p>
    <w:p>
      <w:pPr>
        <w:pStyle w:val="Heading3"/>
        <w:spacing w:after="80" w:before="160"/>
      </w:pPr>
      <w:r>
        <w:rPr>
          <w:rFonts w:ascii="Barlow Semi Condensed" w:cs="Barlow Semi Condensed" w:eastAsia="Barlow Semi Condensed" w:hAnsi="Barlow Semi Condensed"/>
          <w:sz w:val="24"/>
          <w:szCs w:val="24"/>
        </w:rPr>
        <w:t xml:space="preserve">B-7 · Con la cornice della guerra fredda (Parti prima e quinta del saggio) — anti-lettura documentata</w:t>
      </w:r>
    </w:p>
    <w:p>
      <w:pPr>
        <w:spacing w:after="120" w:line="276"/>
        <w:jc w:val="both"/>
      </w:pPr>
      <w:r>
        <w:rPr>
          <w:rFonts w:ascii="Barlow Semi Condensed" w:cs="Barlow Semi Condensed" w:eastAsia="Barlow Semi Condensed" w:hAnsi="Barlow Semi Condensed"/>
          <w:sz w:val="24"/>
          <w:szCs w:val="24"/>
        </w:rPr>
        <w:t xml:space="preserve">La biografia triangolata produce un risultato che nessuna lettura di parte può assorbire: </w:t>
      </w:r>
      <w:r>
        <w:rPr>
          <w:rFonts w:ascii="Barlow Semi Condensed" w:cs="Barlow Semi Condensed" w:eastAsia="Barlow Semi Condensed" w:hAnsi="Barlow Semi Condensed"/>
          <w:b/>
          <w:bCs/>
          <w:sz w:val="24"/>
          <w:szCs w:val="24"/>
        </w:rPr>
        <w:t xml:space="preserve">Feltrinelli sfidò entrambi i campi</w:t>
      </w:r>
      <w:r>
        <w:rPr>
          <w:rFonts w:ascii="Barlow Semi Condensed" w:cs="Barlow Semi Condensed" w:eastAsia="Barlow Semi Condensed" w:hAnsi="Barlow Semi Condensed"/>
          <w:sz w:val="24"/>
          <w:szCs w:val="24"/>
        </w:rPr>
        <w:t xml:space="preserve">. Nel 1957 pubblicò il </w:t>
      </w:r>
      <w:r>
        <w:rPr>
          <w:rFonts w:ascii="Barlow Semi Condensed" w:cs="Barlow Semi Condensed" w:eastAsia="Barlow Semi Condensed" w:hAnsi="Barlow Semi Condensed"/>
          <w:i/>
          <w:iCs/>
          <w:sz w:val="24"/>
          <w:szCs w:val="24"/>
        </w:rPr>
        <w:t xml:space="preserve">Živago</w:t>
      </w:r>
      <w:r>
        <w:rPr>
          <w:rFonts w:ascii="Barlow Semi Condensed" w:cs="Barlow Semi Condensed" w:eastAsia="Barlow Semi Condensed" w:hAnsi="Barlow Semi Condensed"/>
          <w:sz w:val="24"/>
          <w:szCs w:val="24"/>
        </w:rPr>
        <w:t xml:space="preserve"> contro il Cremlino e contro il PCI; nel 1967-68 fabbricò il mito del Che contro l'ordine atlantico; e morì clandestino, braccato dall'una e sospettato d'essere strumento dell'altra. Ogni schema che lo voglia «agente» di una parte deve cancellare metà della sua biografia documentata. È la conferma biografica della tesi-limite del corpus: non un organismo, ma un </w:t>
      </w:r>
      <w:r>
        <w:rPr>
          <w:rFonts w:ascii="Barlow Semi Condensed" w:cs="Barlow Semi Condensed" w:eastAsia="Barlow Semi Condensed" w:hAnsi="Barlow Semi Condensed"/>
          <w:b/>
          <w:bCs/>
          <w:sz w:val="24"/>
          <w:szCs w:val="24"/>
        </w:rPr>
        <w:t xml:space="preserve">ecosistema</w:t>
      </w:r>
      <w:r>
        <w:rPr>
          <w:rFonts w:ascii="Barlow Semi Condensed" w:cs="Barlow Semi Condensed" w:eastAsia="Barlow Semi Condensed" w:hAnsi="Barlow Semi Condensed"/>
          <w:sz w:val="24"/>
          <w:szCs w:val="24"/>
        </w:rPr>
        <w:t xml:space="preserve"> — e in mezzo un uomo che non apparteneva per intero a nessuno dei due blocchi che lo reclamavano o lo temevano.</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3. Anti-triangolazioni (AT-1…AT-3)</w:t>
      </w:r>
    </w:p>
    <w:p>
      <w:pPr>
        <w:spacing w:after="120" w:line="276"/>
        <w:jc w:val="both"/>
      </w:pPr>
      <w:r>
        <w:rPr>
          <w:rFonts w:ascii="Barlow Semi Condensed" w:cs="Barlow Semi Condensed" w:eastAsia="Barlow Semi Condensed" w:hAnsi="Barlow Semi Condensed"/>
          <w:sz w:val="24"/>
          <w:szCs w:val="24"/>
        </w:rPr>
        <w:t xml:space="preserve">I nessi che </w:t>
      </w:r>
      <w:r>
        <w:rPr>
          <w:rFonts w:ascii="Barlow Semi Condensed" w:cs="Barlow Semi Condensed" w:eastAsia="Barlow Semi Condensed" w:hAnsi="Barlow Semi Condensed"/>
          <w:b/>
          <w:bCs/>
          <w:sz w:val="24"/>
          <w:szCs w:val="24"/>
        </w:rPr>
        <w:t xml:space="preserve">non</w:t>
      </w:r>
      <w:r>
        <w:rPr>
          <w:rFonts w:ascii="Barlow Semi Condensed" w:cs="Barlow Semi Condensed" w:eastAsia="Barlow Semi Condensed" w:hAnsi="Barlow Semi Condensed"/>
          <w:sz w:val="24"/>
          <w:szCs w:val="24"/>
        </w:rPr>
        <w:t xml:space="preserve"> reggono, dichiarati esplicitamente perché nessuno li promuova per scivolamento.</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c>
          <w:tcPr>
            <w:tcW w:type="dxa" w:w="468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w:t>
            </w:r>
          </w:p>
        </w:tc>
        <w:tc>
          <w:tcPr>
            <w:tcW w:type="dxa" w:w="468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Anti-triangolazione</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AT-1</w:t>
            </w:r>
          </w:p>
        </w:tc>
        <w:tc>
          <w:tcPr>
            <w:tcW w:type="dxa" w:w="4680"/>
          </w:tcPr>
          <w:p>
            <w:pPr>
              <w:spacing w:after="20" w:before="20"/>
              <w:jc w:val="both"/>
            </w:pPr>
            <w:r>
              <w:rPr>
                <w:rFonts w:ascii="Barlow Semi Condensed" w:cs="Barlow Semi Condensed" w:eastAsia="Barlow Semi Condensed" w:hAnsi="Barlow Semi Condensed"/>
                <w:b/>
                <w:bCs/>
                <w:sz w:val="20"/>
                <w:szCs w:val="20"/>
              </w:rPr>
              <w:t xml:space="preserve">Vettore ≠ mandante.</w:t>
            </w:r>
            <w:r>
              <w:rPr>
                <w:rFonts w:ascii="Barlow Semi Condensed" w:cs="Barlow Semi Condensed" w:eastAsia="Barlow Semi Condensed" w:hAnsi="Barlow Semi Condensed"/>
                <w:sz w:val="20"/>
                <w:szCs w:val="20"/>
              </w:rPr>
              <w:t xml:space="preserve"> Feltrinelli morì il 14 marzo 1972, sei anni prima di via Fani. Nessun filo documentale lo lega al sequestro Moro: il ponte Feltrinelli→BR è genealogico (formazione, modello, «scuola di guerriglia»), non operativo né direttivo rispetto a ciò che le BR fecero dopo di lui e senza di lui</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AT-2</w:t>
            </w:r>
          </w:p>
        </w:tc>
        <w:tc>
          <w:tcPr>
            <w:tcW w:type="dxa" w:w="4680"/>
          </w:tcPr>
          <w:p>
            <w:pPr>
              <w:spacing w:after="20" w:before="20"/>
              <w:jc w:val="both"/>
            </w:pPr>
            <w:r>
              <w:rPr>
                <w:rFonts w:ascii="Barlow Semi Condensed" w:cs="Barlow Semi Condensed" w:eastAsia="Barlow Semi Condensed" w:hAnsi="Barlow Semi Condensed"/>
                <w:b/>
                <w:bCs/>
                <w:sz w:val="20"/>
                <w:szCs w:val="20"/>
              </w:rPr>
              <w:t xml:space="preserve">La morte non è un omicidio provato.</w:t>
            </w:r>
            <w:r>
              <w:rPr>
                <w:rFonts w:ascii="Barlow Semi Condensed" w:cs="Barlow Semi Condensed" w:eastAsia="Barlow Semi Condensed" w:hAnsi="Barlow Semi Condensed"/>
                <w:sz w:val="20"/>
                <w:szCs w:val="20"/>
              </w:rPr>
              <w:t xml:space="preserve"> Dopo la verifica, la tesi dell'omicidio di Stato resta congettura: la ricostruzione accolta in giudizio (1979) e riscontrata sui nastri di Robbiano di Mediglia è quella dell'incidente durante il sabotaggio. Il sospetto contrario è legittimo come sospetto, e tale rimane. Nessun nome</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AT-3</w:t>
            </w:r>
          </w:p>
        </w:tc>
        <w:tc>
          <w:tcPr>
            <w:tcW w:type="dxa" w:w="4680"/>
          </w:tcPr>
          <w:p>
            <w:pPr>
              <w:spacing w:after="20" w:before="20"/>
              <w:jc w:val="both"/>
            </w:pPr>
            <w:r>
              <w:rPr>
                <w:rFonts w:ascii="Barlow Semi Condensed" w:cs="Barlow Semi Condensed" w:eastAsia="Barlow Semi Condensed" w:hAnsi="Barlow Semi Condensed"/>
                <w:b/>
                <w:bCs/>
                <w:sz w:val="20"/>
                <w:szCs w:val="20"/>
              </w:rPr>
              <w:t xml:space="preserve">Il nome partigiano non fa dei GAP una continuazione della Resistenza.</w:t>
            </w:r>
            <w:r>
              <w:rPr>
                <w:rFonts w:ascii="Barlow Semi Condensed" w:cs="Barlow Semi Condensed" w:eastAsia="Barlow Semi Condensed" w:hAnsi="Barlow Semi Condensed"/>
                <w:sz w:val="20"/>
                <w:szCs w:val="20"/>
              </w:rPr>
              <w:t xml:space="preserve"> La ripresa della sigla del 1943-45 fu una rivendicazione simbolica; la continuità organizzativa e storica non esisteva, e la stessa area dell'antifascismo storico non riconobbe quella filiazione. Chi usa il nome come prova di continuità commette l'errore che il corpus chiama «promozione della convergenza a nesso»</w:t>
            </w:r>
          </w:p>
        </w:tc>
      </w:tr>
    </w:tbl>
    <w:p>
      <w:pPr>
        <w:spacing w:after="80"/>
      </w:pP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4. Registro di esecuzione</w:t>
      </w:r>
    </w:p>
    <w:p>
      <w:pPr>
        <w:pStyle w:val="ListParagraph"/>
        <w:numPr>
          <w:ilvl w:val="0"/>
          <w:numId w:val="1"/>
        </w:numPr>
        <w:spacing w:after="40"/>
        <w:jc w:val="both"/>
      </w:pPr>
      <w:r>
        <w:rPr>
          <w:rFonts w:ascii="Barlow Semi Condensed" w:cs="Barlow Semi Condensed" w:eastAsia="Barlow Semi Condensed" w:hAnsi="Barlow Semi Condensed"/>
          <w:sz w:val="24"/>
          <w:szCs w:val="24"/>
        </w:rPr>
        <w:t xml:space="preserve">Nodi di verifica della monografia: </w:t>
      </w:r>
      <w:r>
        <w:rPr>
          <w:rFonts w:ascii="Barlow Semi Condensed" w:cs="Barlow Semi Condensed" w:eastAsia="Barlow Semi Condensed" w:hAnsi="Barlow Semi Condensed"/>
          <w:b/>
          <w:bCs/>
          <w:sz w:val="24"/>
          <w:szCs w:val="24"/>
        </w:rPr>
        <w:t xml:space="preserve">17</w:t>
      </w:r>
      <w:r>
        <w:rPr>
          <w:rFonts w:ascii="Barlow Semi Condensed" w:cs="Barlow Semi Condensed" w:eastAsia="Barlow Semi Condensed" w:hAnsi="Barlow Semi Condensed"/>
          <w:sz w:val="24"/>
          <w:szCs w:val="24"/>
        </w:rPr>
        <w:t xml:space="preserve"> (F-1…F-17), di cui 13 ✅ confermati, 3 ⚠️ precisati/corretti (F-7 PCI, F-14 GAP, F-16 Segrate), 1 🔵 categoria di congettura confermata (F-17b).</w:t>
      </w:r>
    </w:p>
    <w:p>
      <w:pPr>
        <w:pStyle w:val="ListParagraph"/>
        <w:numPr>
          <w:ilvl w:val="0"/>
          <w:numId w:val="1"/>
        </w:numPr>
        <w:spacing w:after="40"/>
        <w:jc w:val="both"/>
      </w:pPr>
      <w:r>
        <w:rPr>
          <w:rFonts w:ascii="Barlow Semi Condensed" w:cs="Barlow Semi Condensed" w:eastAsia="Barlow Semi Condensed" w:hAnsi="Barlow Semi Condensed"/>
          <w:sz w:val="24"/>
          <w:szCs w:val="24"/>
        </w:rPr>
        <w:t xml:space="preserve">Nodo nuovo emerso in triangolazione: </w:t>
      </w:r>
      <w:r>
        <w:rPr>
          <w:rFonts w:ascii="Barlow Semi Condensed" w:cs="Barlow Semi Condensed" w:eastAsia="Barlow Semi Condensed" w:hAnsi="Barlow Semi Condensed"/>
          <w:b/>
          <w:bCs/>
          <w:sz w:val="24"/>
          <w:szCs w:val="24"/>
        </w:rPr>
        <w:t xml:space="preserve">1</w:t>
      </w:r>
      <w:r>
        <w:rPr>
          <w:rFonts w:ascii="Barlow Semi Condensed" w:cs="Barlow Semi Condensed" w:eastAsia="Barlow Semi Condensed" w:hAnsi="Barlow Semi Condensed"/>
          <w:sz w:val="24"/>
          <w:szCs w:val="24"/>
        </w:rPr>
        <w:t xml:space="preserve"> (F-12, Bolivia agosto 1967) — integrato nella monografia al § III.</w:t>
      </w:r>
    </w:p>
    <w:p>
      <w:pPr>
        <w:pStyle w:val="ListParagraph"/>
        <w:numPr>
          <w:ilvl w:val="0"/>
          <w:numId w:val="1"/>
        </w:numPr>
        <w:spacing w:after="40"/>
        <w:jc w:val="both"/>
      </w:pPr>
      <w:r>
        <w:rPr>
          <w:rFonts w:ascii="Barlow Semi Condensed" w:cs="Barlow Semi Condensed" w:eastAsia="Barlow Semi Condensed" w:hAnsi="Barlow Semi Condensed"/>
          <w:sz w:val="24"/>
          <w:szCs w:val="24"/>
        </w:rPr>
        <w:t xml:space="preserve">Correzioni applicate alla monografia con nota di revisione: </w:t>
      </w:r>
      <w:r>
        <w:rPr>
          <w:rFonts w:ascii="Barlow Semi Condensed" w:cs="Barlow Semi Condensed" w:eastAsia="Barlow Semi Condensed" w:hAnsi="Barlow Semi Condensed"/>
          <w:b/>
          <w:bCs/>
          <w:sz w:val="24"/>
          <w:szCs w:val="24"/>
        </w:rPr>
        <w:t xml:space="preserve">3</w:t>
      </w:r>
      <w:r>
        <w:rPr>
          <w:rFonts w:ascii="Barlow Semi Condensed" w:cs="Barlow Semi Condensed" w:eastAsia="Barlow Semi Condensed" w:hAnsi="Barlow Semi Condensed"/>
          <w:sz w:val="24"/>
          <w:szCs w:val="24"/>
        </w:rPr>
        <w:t xml:space="preserve"> (uscita dal PCI 1957-58; fondazione GAP aprile-maggio 1970 con genealogia del nome; cronologia di Segrate sciolta: morte il 14, ritrovamento il 15).</w:t>
      </w:r>
    </w:p>
    <w:p>
      <w:pPr>
        <w:pStyle w:val="ListParagraph"/>
        <w:numPr>
          <w:ilvl w:val="0"/>
          <w:numId w:val="1"/>
        </w:numPr>
        <w:spacing w:after="40"/>
        <w:jc w:val="both"/>
      </w:pPr>
      <w:r>
        <w:rPr>
          <w:rFonts w:ascii="Barlow Semi Condensed" w:cs="Barlow Semi Condensed" w:eastAsia="Barlow Semi Condensed" w:hAnsi="Barlow Semi Condensed"/>
          <w:sz w:val="24"/>
          <w:szCs w:val="24"/>
        </w:rPr>
        <w:t xml:space="preserve">Ponti con il corpus: </w:t>
      </w:r>
      <w:r>
        <w:rPr>
          <w:rFonts w:ascii="Barlow Semi Condensed" w:cs="Barlow Semi Condensed" w:eastAsia="Barlow Semi Condensed" w:hAnsi="Barlow Semi Condensed"/>
          <w:b/>
          <w:bCs/>
          <w:sz w:val="24"/>
          <w:szCs w:val="24"/>
        </w:rPr>
        <w:t xml:space="preserve">7</w:t>
      </w:r>
      <w:r>
        <w:rPr>
          <w:rFonts w:ascii="Barlow Semi Condensed" w:cs="Barlow Semi Condensed" w:eastAsia="Barlow Semi Condensed" w:hAnsi="Barlow Semi Condensed"/>
          <w:sz w:val="24"/>
          <w:szCs w:val="24"/>
        </w:rPr>
        <w:t xml:space="preserve"> (B-1…B-7), di cui documentati B-1, B-2, B-3, B-5; aggiornamento di matrice B-4; convergenza dichiarata B-6; anti-lettura B-7.</w:t>
      </w:r>
    </w:p>
    <w:p>
      <w:pPr>
        <w:pStyle w:val="ListParagraph"/>
        <w:numPr>
          <w:ilvl w:val="0"/>
          <w:numId w:val="1"/>
        </w:numPr>
        <w:spacing w:after="40"/>
        <w:jc w:val="both"/>
      </w:pPr>
      <w:r>
        <w:rPr>
          <w:rFonts w:ascii="Barlow Semi Condensed" w:cs="Barlow Semi Condensed" w:eastAsia="Barlow Semi Condensed" w:hAnsi="Barlow Semi Condensed"/>
          <w:sz w:val="24"/>
          <w:szCs w:val="24"/>
        </w:rPr>
        <w:t xml:space="preserve">Anti-triangolazioni: </w:t>
      </w:r>
      <w:r>
        <w:rPr>
          <w:rFonts w:ascii="Barlow Semi Condensed" w:cs="Barlow Semi Condensed" w:eastAsia="Barlow Semi Condensed" w:hAnsi="Barlow Semi Condensed"/>
          <w:b/>
          <w:bCs/>
          <w:sz w:val="24"/>
          <w:szCs w:val="24"/>
        </w:rPr>
        <w:t xml:space="preserve">3</w:t>
      </w:r>
      <w:r>
        <w:rPr>
          <w:rFonts w:ascii="Barlow Semi Condensed" w:cs="Barlow Semi Condensed" w:eastAsia="Barlow Semi Condensed" w:hAnsi="Barlow Semi Condensed"/>
          <w:sz w:val="24"/>
          <w:szCs w:val="24"/>
        </w:rPr>
        <w:t xml:space="preserve"> (AT-1…AT-3).</w:t>
      </w:r>
    </w:p>
    <w:p>
      <w:pPr>
        <w:pStyle w:val="ListParagraph"/>
        <w:numPr>
          <w:ilvl w:val="0"/>
          <w:numId w:val="1"/>
        </w:numPr>
        <w:spacing w:after="40"/>
        <w:jc w:val="both"/>
      </w:pPr>
      <w:r>
        <w:rPr>
          <w:rFonts w:ascii="Barlow Semi Condensed" w:cs="Barlow Semi Condensed" w:eastAsia="Barlow Semi Condensed" w:hAnsi="Barlow Semi Condensed"/>
          <w:sz w:val="24"/>
          <w:szCs w:val="24"/>
        </w:rPr>
        <w:t xml:space="preserve">Verifiche web dedicate eseguite in sessione: </w:t>
      </w:r>
      <w:r>
        <w:rPr>
          <w:rFonts w:ascii="Barlow Semi Condensed" w:cs="Barlow Semi Condensed" w:eastAsia="Barlow Semi Condensed" w:hAnsi="Barlow Semi Condensed"/>
          <w:b/>
          <w:bCs/>
          <w:sz w:val="24"/>
          <w:szCs w:val="24"/>
        </w:rPr>
        <w:t xml:space="preserve">5</w:t>
      </w:r>
      <w:r>
        <w:rPr>
          <w:rFonts w:ascii="Barlow Semi Condensed" w:cs="Barlow Semi Condensed" w:eastAsia="Barlow Semi Condensed" w:hAnsi="Barlow Semi Condensed"/>
          <w:sz w:val="24"/>
          <w:szCs w:val="24"/>
        </w:rPr>
        <w:t xml:space="preserve"> (PCI/Treccani; Bolivia/Camiri; GAP/genealogia; Segrate/cronaca; più le 3 della prima stesura). Le restanti affermazioni poggiano su riscontri già eseguiti per la matrice M-2/M-3 o su letteratura consolidata.</w:t>
      </w:r>
    </w:p>
    <w:p>
      <w:pPr>
        <w:pStyle w:val="ListParagraph"/>
        <w:numPr>
          <w:ilvl w:val="0"/>
          <w:numId w:val="1"/>
        </w:numPr>
        <w:spacing w:after="40"/>
        <w:jc w:val="both"/>
      </w:pPr>
      <w:r>
        <w:rPr>
          <w:rFonts w:ascii="Barlow Semi Condensed" w:cs="Barlow Semi Condensed" w:eastAsia="Barlow Semi Condensed" w:hAnsi="Barlow Semi Condensed"/>
          <w:sz w:val="24"/>
          <w:szCs w:val="24"/>
        </w:rPr>
        <w:t xml:space="preserve">Oltre i nodi qui elencati non esistono ulteriori affermazioni indipendenti della monografia da triangolare senza duplicazione: la copertura delle affermazioni portanti è </w:t>
      </w:r>
      <w:r>
        <w:rPr>
          <w:rFonts w:ascii="Barlow Semi Condensed" w:cs="Barlow Semi Condensed" w:eastAsia="Barlow Semi Condensed" w:hAnsi="Barlow Semi Condensed"/>
          <w:b/>
          <w:bCs/>
          <w:sz w:val="24"/>
          <w:szCs w:val="24"/>
        </w:rPr>
        <w:t xml:space="preserve">completa</w:t>
      </w:r>
      <w:r>
        <w:rPr>
          <w:rFonts w:ascii="Barlow Semi Condensed" w:cs="Barlow Semi Condensed" w:eastAsia="Barlow Semi Condensed" w:hAnsi="Barlow Semi Condensed"/>
          <w:sz w:val="24"/>
          <w:szCs w:val="24"/>
        </w:rPr>
        <w:t xml:space="preserve">.</w:t>
      </w:r>
    </w:p>
    <w:p>
      <w:pPr>
        <w:pBdr>
          <w:bottom w:val="single" w:color="999999" w:sz="6" w:space="1"/>
        </w:pBdr>
        <w:spacing w:after="80"/>
      </w:pPr>
    </w:p>
    <w:p>
      <w:pPr>
        <w:spacing w:after="120" w:line="276"/>
        <w:jc w:val="both"/>
      </w:pPr>
      <w:r>
        <w:rPr>
          <w:rFonts w:ascii="Barlow Semi Condensed" w:cs="Barlow Semi Condensed" w:eastAsia="Barlow Semi Condensed" w:hAnsi="Barlow Semi Condensed"/>
          <w:i/>
          <w:iCs/>
          <w:sz w:val="24"/>
          <w:szCs w:val="24"/>
        </w:rPr>
        <w:t xml:space="preserve">Triangolazione dello studio «Feltrinelli: il vettore» con fonti indipendenti e con l'intero corpus del branch. Tre correzioni applicate, un nodo nuovo integrato, tre anti-triangolazioni dichiarate. Vale la Regola di Ferro: dove la fonte documenta, si certifica; dove tace, si tace. Nessuna imputazione oltre il giudicato.</w:t>
      </w:r>
    </w:p>
    <w:p>
      <w:pPr>
        <w:pStyle w:val="Heading3"/>
        <w:spacing w:after="80" w:before="240"/>
      </w:pPr>
      <w:r>
        <w:rPr>
          <w:rFonts w:ascii="Barlow Semi Condensed" w:cs="Barlow Semi Condensed" w:eastAsia="Barlow Semi Condensed" w:hAnsi="Barlow Semi Condensed"/>
          <w:sz w:val="24"/>
          <w:szCs w:val="24"/>
        </w:rPr>
        <w:t xml:space="preserve">Apparato grafico — Libro quinto · La triangolazione di Feltrinelli</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3"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Libro quinto II: 1.737 parole in 4 sezioni; la più ampia è §2 2. I ponti con il corpus, con 717.</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4"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Libro quinto II: 18 indirizzi di fonte citati, addensati in 1 sezione su 4.</w:t>
      </w:r>
    </w:p>
    <w:p>
      <w:pPr>
        <w:spacing w:after="120"/>
        <w:jc w:val="center"/>
      </w:pPr>
      <w:r>
        <w:rPr>
          <w:rFonts w:ascii="Barlow Semi Condensed" w:cs="Barlow Semi Condensed" w:eastAsia="Barlow Semi Condensed" w:hAnsi="Barlow Semi Condensed"/>
          <w:color w:val="777777"/>
          <w:sz w:val="16"/>
          <w:szCs w:val="16"/>
        </w:rPr>
        <w:t xml:space="preserve">Le metriche dell'apparato contano parole, documenti e atti — mai colpe.</w:t>
      </w:r>
    </w:p>
    <w:p>
      <w:r>
        <w:br w:type="page"/>
      </w:r>
    </w:p>
    <w:p>
      <w:pPr>
        <w:pStyle w:val="Heading1"/>
        <w:spacing w:after="120" w:before="240"/>
      </w:pPr>
      <w:r>
        <w:rPr>
          <w:rFonts w:ascii="Barlow Semi Condensed" w:cs="Barlow Semi Condensed" w:eastAsia="Barlow Semi Condensed" w:hAnsi="Barlow Semi Condensed"/>
          <w:sz w:val="24"/>
          <w:szCs w:val="24"/>
        </w:rPr>
        <w:t xml:space="preserve">Libro quinto — Il vettore e il ceppo — III. Il nodo Hyperion</w:t>
      </w:r>
    </w:p>
    <w:p>
      <w:pPr>
        <w:pStyle w:val="Heading1"/>
        <w:spacing w:after="120" w:before="240"/>
      </w:pPr>
      <w:r>
        <w:rPr>
          <w:rFonts w:ascii="Barlow Semi Condensed" w:cs="Barlow Semi Condensed" w:eastAsia="Barlow Semi Condensed" w:hAnsi="Barlow Semi Condensed"/>
          <w:sz w:val="24"/>
          <w:szCs w:val="24"/>
        </w:rPr>
        <w:t xml:space="preserve">Triangolazione: Hyperion e il corpus</w:t>
      </w:r>
    </w:p>
    <w:p>
      <w:pPr>
        <w:spacing w:after="120" w:line="276"/>
        <w:jc w:val="both"/>
      </w:pPr>
      <w:r>
        <w:rPr>
          <w:rFonts w:ascii="Barlow Semi Condensed" w:cs="Barlow Semi Condensed" w:eastAsia="Barlow Semi Condensed" w:hAnsi="Barlow Semi Condensed"/>
          <w:i/>
          <w:iCs/>
          <w:sz w:val="24"/>
          <w:szCs w:val="24"/>
        </w:rPr>
        <w:t xml:space="preserve">La «scuola di lingue» di Parigi nel quadro internazionale del caso Moro — verifica e mappatura dei ponti — 24 agosto 2026</w:t>
      </w:r>
    </w:p>
    <w:p>
      <w:pPr>
        <w:pBdr>
          <w:left w:val="single" w:color="1F3864" w:sz="18" w:space="8"/>
        </w:pBdr>
        <w:spacing w:after="80" w:before="80"/>
        <w:ind w:left="360" w:right="360"/>
        <w:jc w:val="both"/>
      </w:pPr>
      <w:r>
        <w:rPr>
          <w:rFonts w:ascii="Barlow Semi Condensed" w:cs="Barlow Semi Condensed" w:eastAsia="Barlow Semi Condensed" w:hAnsi="Barlow Semi Condensed"/>
          <w:b/>
          <w:bCs/>
          <w:i w:val="false"/>
          <w:iCs w:val="false"/>
          <w:sz w:val="24"/>
          <w:szCs w:val="24"/>
        </w:rPr>
        <w:t xml:space="preserve">Statuto, e un avvertimento più severo del solito.</w:t>
      </w:r>
      <w:r>
        <w:rPr>
          <w:rFonts w:ascii="Barlow Semi Condensed" w:cs="Barlow Semi Condensed" w:eastAsia="Barlow Semi Condensed" w:hAnsi="Barlow Semi Condensed"/>
          <w:i w:val="false"/>
          <w:iCs w:val="false"/>
          <w:sz w:val="24"/>
          <w:szCs w:val="24"/>
        </w:rPr>
        <w:t xml:space="preserve"> Hyperion è il nodo dove la dietrologia italiana ha costruito di più e i tribunali hanno accertato di meno. Perciò questa triangolazione comincia dal suo esito: </w:t>
      </w:r>
      <w:r>
        <w:rPr>
          <w:rFonts w:ascii="Barlow Semi Condensed" w:cs="Barlow Semi Condensed" w:eastAsia="Barlow Semi Condensed" w:hAnsi="Barlow Semi Condensed"/>
          <w:b/>
          <w:bCs/>
          <w:i w:val="false"/>
          <w:iCs w:val="false"/>
          <w:sz w:val="24"/>
          <w:szCs w:val="24"/>
        </w:rPr>
        <w:t xml:space="preserve">tutti i procedimenti giudiziari aperti su Hyperion e sui suoi fondatori si sono chiusi con proscioglimenti; nessuno è mai stato condannato.</w:t>
      </w:r>
      <w:r>
        <w:rPr>
          <w:rFonts w:ascii="Barlow Semi Condensed" w:cs="Barlow Semi Condensed" w:eastAsia="Barlow Semi Condensed" w:hAnsi="Barlow Semi Condensed"/>
          <w:i w:val="false"/>
          <w:iCs w:val="false"/>
          <w:sz w:val="24"/>
          <w:szCs w:val="24"/>
        </w:rPr>
        <w:t xml:space="preserve"> I fondatori sono qui nominati esclusivamente per fatti pubblici e documentati (la fondazione della scuola, i percorsi politici precedenti, gli atti giudiziari e parlamentari che li riguardarono e i loro esiti liberatori) e godono per intero della presunzione d'innocenza. Le due tesi contrapposte che da quarant'anni si contendono il nodo — «centrale del terrorismo internazionale» e «centrale d'intelligence» — restano entrambe, al vaglio delle fonti, </w:t>
      </w:r>
      <w:r>
        <w:rPr>
          <w:rFonts w:ascii="Barlow Semi Condensed" w:cs="Barlow Semi Condensed" w:eastAsia="Barlow Semi Condensed" w:hAnsi="Barlow Semi Condensed"/>
          <w:b/>
          <w:bCs/>
          <w:i w:val="false"/>
          <w:iCs w:val="false"/>
          <w:sz w:val="24"/>
          <w:szCs w:val="24"/>
        </w:rPr>
        <w:t xml:space="preserve">congetture non provate</w:t>
      </w:r>
      <w:r>
        <w:rPr>
          <w:rFonts w:ascii="Barlow Semi Condensed" w:cs="Barlow Semi Condensed" w:eastAsia="Barlow Semi Condensed" w:hAnsi="Barlow Semi Condensed"/>
          <w:i w:val="false"/>
          <w:iCs w:val="false"/>
          <w:sz w:val="24"/>
          <w:szCs w:val="24"/>
        </w:rPr>
        <w:t xml:space="preserve">, e come tali sono trattate. La Regola di Ferro vale qui al massimo grado: dove la fonte documenta, si certifica; dove tace — e su Hyperion tace molto — si tace.</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1. I fatti documentati (nodi HY-1…HY-9)</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c>
          <w:tcPr>
            <w:tcW w:type="dxa" w:w="312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w:t>
            </w:r>
          </w:p>
        </w:tc>
        <w:tc>
          <w:tcPr>
            <w:tcW w:type="dxa" w:w="312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Fatto</w:t>
            </w:r>
          </w:p>
        </w:tc>
        <w:tc>
          <w:tcPr>
            <w:tcW w:type="dxa" w:w="312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Riscontro</w:t>
            </w:r>
          </w:p>
        </w:tc>
      </w:tr>
      <w:tr>
        <w:tc>
          <w:tcPr>
            <w:tcW w:type="dxa" w:w="3120"/>
          </w:tcPr>
          <w:p>
            <w:pPr>
              <w:spacing w:after="20" w:before="20"/>
              <w:jc w:val="both"/>
            </w:pPr>
            <w:r>
              <w:rPr>
                <w:rFonts w:ascii="Barlow Semi Condensed" w:cs="Barlow Semi Condensed" w:eastAsia="Barlow Semi Condensed" w:hAnsi="Barlow Semi Condensed"/>
                <w:sz w:val="20"/>
                <w:szCs w:val="20"/>
              </w:rPr>
              <w:t xml:space="preserve">HY-1</w:t>
            </w:r>
          </w:p>
        </w:tc>
        <w:tc>
          <w:tcPr>
            <w:tcW w:type="dxa" w:w="3120"/>
          </w:tcPr>
          <w:p>
            <w:pPr>
              <w:spacing w:after="20" w:before="20"/>
              <w:jc w:val="both"/>
            </w:pPr>
            <w:r>
              <w:rPr>
                <w:rFonts w:ascii="Barlow Semi Condensed" w:cs="Barlow Semi Condensed" w:eastAsia="Barlow Semi Condensed" w:hAnsi="Barlow Semi Condensed"/>
                <w:b/>
                <w:bCs/>
                <w:sz w:val="20"/>
                <w:szCs w:val="20"/>
              </w:rPr>
              <w:t xml:space="preserve">La genealogia milanese.</w:t>
            </w:r>
            <w:r>
              <w:rPr>
                <w:rFonts w:ascii="Barlow Semi Condensed" w:cs="Barlow Semi Condensed" w:eastAsia="Barlow Semi Condensed" w:hAnsi="Barlow Semi Condensed"/>
                <w:sz w:val="20"/>
                <w:szCs w:val="20"/>
              </w:rPr>
              <w:t xml:space="preserve"> Il </w:t>
            </w:r>
            <w:r>
              <w:rPr>
                <w:rFonts w:ascii="Barlow Semi Condensed" w:cs="Barlow Semi Condensed" w:eastAsia="Barlow Semi Condensed" w:hAnsi="Barlow Semi Condensed"/>
                <w:b/>
                <w:bCs/>
                <w:sz w:val="20"/>
                <w:szCs w:val="20"/>
              </w:rPr>
              <w:t xml:space="preserve">Collettivo Politico Metropolitano (CPM)</w:t>
            </w:r>
            <w:r>
              <w:rPr>
                <w:rFonts w:ascii="Barlow Semi Condensed" w:cs="Barlow Semi Condensed" w:eastAsia="Barlow Semi Condensed" w:hAnsi="Barlow Semi Condensed"/>
                <w:sz w:val="20"/>
                <w:szCs w:val="20"/>
              </w:rPr>
              <w:t xml:space="preserve">, fondato a Milano nel settembre 1969, comprese fra gli altri Renato Curcio, Corrado Simioni, Duccio Berio e Vanni Mulinaris: lo stesso brodo di coltura da cui sarebbero nate le BR</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Wikipedia IT, Hyperion (Parigi) (https://it.wikipedia.org/wiki/Hyperion_(Parigi)); Lettera43 (https://www.lettera43.it/scuola-hyperion-gli-intrecci-con-il-caso-moro/)</w:t>
            </w:r>
          </w:p>
        </w:tc>
      </w:tr>
      <w:tr>
        <w:tc>
          <w:tcPr>
            <w:tcW w:type="dxa" w:w="3120"/>
          </w:tcPr>
          <w:p>
            <w:pPr>
              <w:spacing w:after="20" w:before="20"/>
              <w:jc w:val="both"/>
            </w:pPr>
            <w:r>
              <w:rPr>
                <w:rFonts w:ascii="Barlow Semi Condensed" w:cs="Barlow Semi Condensed" w:eastAsia="Barlow Semi Condensed" w:hAnsi="Barlow Semi Condensed"/>
                <w:sz w:val="20"/>
                <w:szCs w:val="20"/>
              </w:rPr>
              <w:t xml:space="preserve">HY-2</w:t>
            </w:r>
          </w:p>
        </w:tc>
        <w:tc>
          <w:tcPr>
            <w:tcW w:type="dxa" w:w="3120"/>
          </w:tcPr>
          <w:p>
            <w:pPr>
              <w:spacing w:after="20" w:before="20"/>
              <w:jc w:val="both"/>
            </w:pPr>
            <w:r>
              <w:rPr>
                <w:rFonts w:ascii="Barlow Semi Condensed" w:cs="Barlow Semi Condensed" w:eastAsia="Barlow Semi Condensed" w:hAnsi="Barlow Semi Condensed"/>
                <w:b/>
                <w:bCs/>
                <w:sz w:val="20"/>
                <w:szCs w:val="20"/>
              </w:rPr>
              <w:t xml:space="preserve">La scissione e il «Superclan».</w:t>
            </w:r>
            <w:r>
              <w:rPr>
                <w:rFonts w:ascii="Barlow Semi Condensed" w:cs="Barlow Semi Condensed" w:eastAsia="Barlow Semi Condensed" w:hAnsi="Barlow Semi Condensed"/>
                <w:sz w:val="20"/>
                <w:szCs w:val="20"/>
              </w:rPr>
              <w:t xml:space="preserve"> Prima della fondazione delle BR, il gruppo di Simioni si separò da quello di Curcio e Franceschini e diede vita a una struttura clandestina detta poi </w:t>
            </w:r>
            <w:r>
              <w:rPr>
                <w:rFonts w:ascii="Barlow Semi Condensed" w:cs="Barlow Semi Condensed" w:eastAsia="Barlow Semi Condensed" w:hAnsi="Barlow Semi Condensed"/>
                <w:b/>
                <w:bCs/>
                <w:sz w:val="20"/>
                <w:szCs w:val="20"/>
              </w:rPr>
              <w:t xml:space="preserve">«Superclan»</w:t>
            </w:r>
            <w:r>
              <w:rPr>
                <w:rFonts w:ascii="Barlow Semi Condensed" w:cs="Barlow Semi Condensed" w:eastAsia="Barlow Semi Condensed" w:hAnsi="Barlow Semi Condensed"/>
                <w:sz w:val="20"/>
                <w:szCs w:val="20"/>
              </w:rPr>
              <w:t xml:space="preserve">, di cui le fonti indicano fra i partecipanti anche </w:t>
            </w:r>
            <w:r>
              <w:rPr>
                <w:rFonts w:ascii="Barlow Semi Condensed" w:cs="Barlow Semi Condensed" w:eastAsia="Barlow Semi Condensed" w:hAnsi="Barlow Semi Condensed"/>
                <w:b/>
                <w:bCs/>
                <w:sz w:val="20"/>
                <w:szCs w:val="20"/>
              </w:rPr>
              <w:t xml:space="preserve">Mario Moretti</w:t>
            </w:r>
            <w:r>
              <w:rPr>
                <w:rFonts w:ascii="Barlow Semi Condensed" w:cs="Barlow Semi Condensed" w:eastAsia="Barlow Semi Condensed" w:hAnsi="Barlow Semi Condensed"/>
                <w:sz w:val="20"/>
                <w:szCs w:val="20"/>
              </w:rPr>
              <w:t xml:space="preserve"> e Prospero Gallinari — che passarono in seguito alle BR. Il nome divenne pubblico solo nel 1978-79, con le indagini</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Lucarelli, Hyperion e Superclan (http://www.valeriolucarelli.it/Hyperion.htm); Tassinari (https://www.ugomariatassinari.it/hyperion-mandati-di-cattura/)</w:t>
            </w:r>
          </w:p>
        </w:tc>
      </w:tr>
      <w:tr>
        <w:tc>
          <w:tcPr>
            <w:tcW w:type="dxa" w:w="3120"/>
          </w:tcPr>
          <w:p>
            <w:pPr>
              <w:spacing w:after="20" w:before="20"/>
              <w:jc w:val="both"/>
            </w:pPr>
            <w:r>
              <w:rPr>
                <w:rFonts w:ascii="Barlow Semi Condensed" w:cs="Barlow Semi Condensed" w:eastAsia="Barlow Semi Condensed" w:hAnsi="Barlow Semi Condensed"/>
                <w:sz w:val="20"/>
                <w:szCs w:val="20"/>
              </w:rPr>
              <w:t xml:space="preserve">HY-3</w:t>
            </w:r>
          </w:p>
        </w:tc>
        <w:tc>
          <w:tcPr>
            <w:tcW w:type="dxa" w:w="3120"/>
          </w:tcPr>
          <w:p>
            <w:pPr>
              <w:spacing w:after="20" w:before="20"/>
              <w:jc w:val="both"/>
            </w:pPr>
            <w:r>
              <w:rPr>
                <w:rFonts w:ascii="Barlow Semi Condensed" w:cs="Barlow Semi Condensed" w:eastAsia="Barlow Semi Condensed" w:hAnsi="Barlow Semi Condensed"/>
                <w:b/>
                <w:bCs/>
                <w:sz w:val="20"/>
                <w:szCs w:val="20"/>
              </w:rPr>
              <w:t xml:space="preserve">La fondazione della scuola.</w:t>
            </w:r>
            <w:r>
              <w:rPr>
                <w:rFonts w:ascii="Barlow Semi Condensed" w:cs="Barlow Semi Condensed" w:eastAsia="Barlow Semi Condensed" w:hAnsi="Barlow Semi Condensed"/>
                <w:sz w:val="20"/>
                <w:szCs w:val="20"/>
              </w:rPr>
              <w:t xml:space="preserve"> </w:t>
            </w:r>
            <w:r>
              <w:rPr>
                <w:rFonts w:ascii="Barlow Semi Condensed" w:cs="Barlow Semi Condensed" w:eastAsia="Barlow Semi Condensed" w:hAnsi="Barlow Semi Condensed"/>
                <w:b/>
                <w:bCs/>
                <w:sz w:val="20"/>
                <w:szCs w:val="20"/>
              </w:rPr>
              <w:t xml:space="preserve">Hyperion</w:t>
            </w:r>
            <w:r>
              <w:rPr>
                <w:rFonts w:ascii="Barlow Semi Condensed" w:cs="Barlow Semi Condensed" w:eastAsia="Barlow Semi Condensed" w:hAnsi="Barlow Semi Condensed"/>
                <w:sz w:val="20"/>
                <w:szCs w:val="20"/>
              </w:rPr>
              <w:t xml:space="preserve"> (già «Agorà») fu formalmente fondata a </w:t>
            </w:r>
            <w:r>
              <w:rPr>
                <w:rFonts w:ascii="Barlow Semi Condensed" w:cs="Barlow Semi Condensed" w:eastAsia="Barlow Semi Condensed" w:hAnsi="Barlow Semi Condensed"/>
                <w:b/>
                <w:bCs/>
                <w:sz w:val="20"/>
                <w:szCs w:val="20"/>
              </w:rPr>
              <w:t xml:space="preserve">Parigi nel 1976</w:t>
            </w:r>
            <w:r>
              <w:rPr>
                <w:rFonts w:ascii="Barlow Semi Condensed" w:cs="Barlow Semi Condensed" w:eastAsia="Barlow Semi Condensed" w:hAnsi="Barlow Semi Condensed"/>
                <w:sz w:val="20"/>
                <w:szCs w:val="20"/>
              </w:rPr>
              <w:t xml:space="preserve">, al 27 di Quai de la Tournelle, come scuola di lingue; vi operavano Simioni, Berio e Mulinaris</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Wikipedia IT (https://it.wikipedia.org/wiki/Hyperion_(Parigi)); 2duerighe (https://www.2duerighe.com/rubriche/storie/176537-luci-e-ombre-della-scuola-di-lingue-hyperion.html)</w:t>
            </w:r>
          </w:p>
        </w:tc>
      </w:tr>
      <w:tr>
        <w:tc>
          <w:tcPr>
            <w:tcW w:type="dxa" w:w="3120"/>
          </w:tcPr>
          <w:p>
            <w:pPr>
              <w:spacing w:after="20" w:before="20"/>
              <w:jc w:val="both"/>
            </w:pPr>
            <w:r>
              <w:rPr>
                <w:rFonts w:ascii="Barlow Semi Condensed" w:cs="Barlow Semi Condensed" w:eastAsia="Barlow Semi Condensed" w:hAnsi="Barlow Semi Condensed"/>
                <w:sz w:val="20"/>
                <w:szCs w:val="20"/>
              </w:rPr>
              <w:t xml:space="preserve">HY-4</w:t>
            </w:r>
          </w:p>
        </w:tc>
        <w:tc>
          <w:tcPr>
            <w:tcW w:type="dxa" w:w="3120"/>
          </w:tcPr>
          <w:p>
            <w:pPr>
              <w:spacing w:after="20" w:before="20"/>
              <w:jc w:val="both"/>
            </w:pPr>
            <w:r>
              <w:rPr>
                <w:rFonts w:ascii="Barlow Semi Condensed" w:cs="Barlow Semi Condensed" w:eastAsia="Barlow Semi Condensed" w:hAnsi="Barlow Semi Condensed"/>
                <w:b/>
                <w:bCs/>
                <w:sz w:val="20"/>
                <w:szCs w:val="20"/>
              </w:rPr>
              <w:t xml:space="preserve">L'ufficio romano del febbraio 1978.</w:t>
            </w:r>
            <w:r>
              <w:rPr>
                <w:rFonts w:ascii="Barlow Semi Condensed" w:cs="Barlow Semi Condensed" w:eastAsia="Barlow Semi Condensed" w:hAnsi="Barlow Semi Condensed"/>
                <w:sz w:val="20"/>
                <w:szCs w:val="20"/>
              </w:rPr>
              <w:t xml:space="preserve"> Nel </w:t>
            </w:r>
            <w:r>
              <w:rPr>
                <w:rFonts w:ascii="Barlow Semi Condensed" w:cs="Barlow Semi Condensed" w:eastAsia="Barlow Semi Condensed" w:hAnsi="Barlow Semi Condensed"/>
                <w:b/>
                <w:bCs/>
                <w:sz w:val="20"/>
                <w:szCs w:val="20"/>
              </w:rPr>
              <w:t xml:space="preserve">febbraio 1978</w:t>
            </w:r>
            <w:r>
              <w:rPr>
                <w:rFonts w:ascii="Barlow Semi Condensed" w:cs="Barlow Semi Condensed" w:eastAsia="Barlow Semi Condensed" w:hAnsi="Barlow Semi Condensed"/>
                <w:sz w:val="20"/>
                <w:szCs w:val="20"/>
              </w:rPr>
              <w:t xml:space="preserve"> — un mese prima di via Fani — Hyperion aprì una sede di rappresentanza a Roma in </w:t>
            </w:r>
            <w:r>
              <w:rPr>
                <w:rFonts w:ascii="Barlow Semi Condensed" w:cs="Barlow Semi Condensed" w:eastAsia="Barlow Semi Condensed" w:hAnsi="Barlow Semi Condensed"/>
                <w:b/>
                <w:bCs/>
                <w:sz w:val="20"/>
                <w:szCs w:val="20"/>
              </w:rPr>
              <w:t xml:space="preserve">via Nicotera 26</w:t>
            </w:r>
            <w:r>
              <w:rPr>
                <w:rFonts w:ascii="Barlow Semi Condensed" w:cs="Barlow Semi Condensed" w:eastAsia="Barlow Semi Condensed" w:hAnsi="Barlow Semi Condensed"/>
                <w:sz w:val="20"/>
                <w:szCs w:val="20"/>
              </w:rPr>
              <w:t xml:space="preserve">, stabile in cui avevano sede anche società di copertura del SISMI</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Lettera43 (https://www.lettera43.it/scuola-hyperion-gli-intrecci-con-il-caso-moro/); Colarieti (https://www.colarieti.it/scuola-hyperion-gli-intrecci-con-il-caso-moro/)</w:t>
            </w:r>
          </w:p>
        </w:tc>
      </w:tr>
      <w:tr>
        <w:tc>
          <w:tcPr>
            <w:tcW w:type="dxa" w:w="3120"/>
          </w:tcPr>
          <w:p>
            <w:pPr>
              <w:spacing w:after="20" w:before="20"/>
              <w:jc w:val="both"/>
            </w:pPr>
            <w:r>
              <w:rPr>
                <w:rFonts w:ascii="Barlow Semi Condensed" w:cs="Barlow Semi Condensed" w:eastAsia="Barlow Semi Condensed" w:hAnsi="Barlow Semi Condensed"/>
                <w:sz w:val="20"/>
                <w:szCs w:val="20"/>
              </w:rPr>
              <w:t xml:space="preserve">HY-5</w:t>
            </w:r>
          </w:p>
        </w:tc>
        <w:tc>
          <w:tcPr>
            <w:tcW w:type="dxa" w:w="3120"/>
          </w:tcPr>
          <w:p>
            <w:pPr>
              <w:spacing w:after="20" w:before="20"/>
              <w:jc w:val="both"/>
            </w:pPr>
            <w:r>
              <w:rPr>
                <w:rFonts w:ascii="Barlow Semi Condensed" w:cs="Barlow Semi Condensed" w:eastAsia="Barlow Semi Condensed" w:hAnsi="Barlow Semi Condensed"/>
                <w:b/>
                <w:bCs/>
                <w:sz w:val="20"/>
                <w:szCs w:val="20"/>
              </w:rPr>
              <w:t xml:space="preserve">L'ingresso nelle indagini (1979).</w:t>
            </w:r>
            <w:r>
              <w:rPr>
                <w:rFonts w:ascii="Barlow Semi Condensed" w:cs="Barlow Semi Condensed" w:eastAsia="Barlow Semi Condensed" w:hAnsi="Barlow Semi Condensed"/>
                <w:sz w:val="20"/>
                <w:szCs w:val="20"/>
              </w:rPr>
              <w:t xml:space="preserve"> Hyperion entrò nel mirino della magistratura italiana nel </w:t>
            </w:r>
            <w:r>
              <w:rPr>
                <w:rFonts w:ascii="Barlow Semi Condensed" w:cs="Barlow Semi Condensed" w:eastAsia="Barlow Semi Condensed" w:hAnsi="Barlow Semi Condensed"/>
                <w:b/>
                <w:bCs/>
                <w:sz w:val="20"/>
                <w:szCs w:val="20"/>
              </w:rPr>
              <w:t xml:space="preserve">1979</w:t>
            </w:r>
            <w:r>
              <w:rPr>
                <w:rFonts w:ascii="Barlow Semi Condensed" w:cs="Barlow Semi Condensed" w:eastAsia="Barlow Semi Condensed" w:hAnsi="Barlow Semi Condensed"/>
                <w:sz w:val="20"/>
                <w:szCs w:val="20"/>
              </w:rPr>
              <w:t xml:space="preserve">, nell'inchiesta del giudice </w:t>
            </w:r>
            <w:r>
              <w:rPr>
                <w:rFonts w:ascii="Barlow Semi Condensed" w:cs="Barlow Semi Condensed" w:eastAsia="Barlow Semi Condensed" w:hAnsi="Barlow Semi Condensed"/>
                <w:b/>
                <w:bCs/>
                <w:sz w:val="20"/>
                <w:szCs w:val="20"/>
              </w:rPr>
              <w:t xml:space="preserve">Pietro Calogero</w:t>
            </w:r>
            <w:r>
              <w:rPr>
                <w:rFonts w:ascii="Barlow Semi Condensed" w:cs="Barlow Semi Condensed" w:eastAsia="Barlow Semi Condensed" w:hAnsi="Barlow Semi Condensed"/>
                <w:sz w:val="20"/>
                <w:szCs w:val="20"/>
              </w:rPr>
              <w:t xml:space="preserve"> sui presunti collegamenti fra Autonomia e terrorismo</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Wikipedia IT (https://it.wikipedia.org/wiki/Hyperion_(Parigi))</w:t>
            </w:r>
          </w:p>
        </w:tc>
      </w:tr>
      <w:tr>
        <w:tc>
          <w:tcPr>
            <w:tcW w:type="dxa" w:w="3120"/>
          </w:tcPr>
          <w:p>
            <w:pPr>
              <w:spacing w:after="20" w:before="20"/>
              <w:jc w:val="both"/>
            </w:pPr>
            <w:r>
              <w:rPr>
                <w:rFonts w:ascii="Barlow Semi Condensed" w:cs="Barlow Semi Condensed" w:eastAsia="Barlow Semi Condensed" w:hAnsi="Barlow Semi Condensed"/>
                <w:sz w:val="20"/>
                <w:szCs w:val="20"/>
              </w:rPr>
              <w:t xml:space="preserve">HY-6</w:t>
            </w:r>
          </w:p>
        </w:tc>
        <w:tc>
          <w:tcPr>
            <w:tcW w:type="dxa" w:w="3120"/>
          </w:tcPr>
          <w:p>
            <w:pPr>
              <w:spacing w:after="20" w:before="20"/>
              <w:jc w:val="both"/>
            </w:pPr>
            <w:r>
              <w:rPr>
                <w:rFonts w:ascii="Barlow Semi Condensed" w:cs="Barlow Semi Condensed" w:eastAsia="Barlow Semi Condensed" w:hAnsi="Barlow Semi Condensed"/>
                <w:b/>
                <w:bCs/>
                <w:sz w:val="20"/>
                <w:szCs w:val="20"/>
              </w:rPr>
              <w:t xml:space="preserve">Gli arresti e i mandati del 1982.</w:t>
            </w:r>
            <w:r>
              <w:rPr>
                <w:rFonts w:ascii="Barlow Semi Condensed" w:cs="Barlow Semi Condensed" w:eastAsia="Barlow Semi Condensed" w:hAnsi="Barlow Semi Condensed"/>
                <w:sz w:val="20"/>
                <w:szCs w:val="20"/>
              </w:rPr>
              <w:t xml:space="preserve"> Il </w:t>
            </w:r>
            <w:r>
              <w:rPr>
                <w:rFonts w:ascii="Barlow Semi Condensed" w:cs="Barlow Semi Condensed" w:eastAsia="Barlow Semi Condensed" w:hAnsi="Barlow Semi Condensed"/>
                <w:b/>
                <w:bCs/>
                <w:sz w:val="20"/>
                <w:szCs w:val="20"/>
              </w:rPr>
              <w:t xml:space="preserve">2 febbraio 1982</w:t>
            </w:r>
            <w:r>
              <w:rPr>
                <w:rFonts w:ascii="Barlow Semi Condensed" w:cs="Barlow Semi Condensed" w:eastAsia="Barlow Semi Condensed" w:hAnsi="Barlow Semi Condensed"/>
                <w:sz w:val="20"/>
                <w:szCs w:val="20"/>
              </w:rPr>
              <w:t xml:space="preserve">, sulla base delle dichiarazioni del pentito Savasta, fu arrestato a Udine </w:t>
            </w:r>
            <w:r>
              <w:rPr>
                <w:rFonts w:ascii="Barlow Semi Condensed" w:cs="Barlow Semi Condensed" w:eastAsia="Barlow Semi Condensed" w:hAnsi="Barlow Semi Condensed"/>
                <w:b/>
                <w:bCs/>
                <w:sz w:val="20"/>
                <w:szCs w:val="20"/>
              </w:rPr>
              <w:t xml:space="preserve">Vanni Mulinaris</w:t>
            </w:r>
            <w:r>
              <w:rPr>
                <w:rFonts w:ascii="Barlow Semi Condensed" w:cs="Barlow Semi Condensed" w:eastAsia="Barlow Semi Condensed" w:hAnsi="Barlow Semi Condensed"/>
                <w:sz w:val="20"/>
                <w:szCs w:val="20"/>
              </w:rPr>
              <w:t xml:space="preserve"> (accuse: traffico d'armi e concorso in banda armata); il </w:t>
            </w:r>
            <w:r>
              <w:rPr>
                <w:rFonts w:ascii="Barlow Semi Condensed" w:cs="Barlow Semi Condensed" w:eastAsia="Barlow Semi Condensed" w:hAnsi="Barlow Semi Condensed"/>
                <w:b/>
                <w:bCs/>
                <w:sz w:val="20"/>
                <w:szCs w:val="20"/>
              </w:rPr>
              <w:t xml:space="preserve">17 giugno 1982</w:t>
            </w:r>
            <w:r>
              <w:rPr>
                <w:rFonts w:ascii="Barlow Semi Condensed" w:cs="Barlow Semi Condensed" w:eastAsia="Barlow Semi Condensed" w:hAnsi="Barlow Semi Condensed"/>
                <w:sz w:val="20"/>
                <w:szCs w:val="20"/>
              </w:rPr>
              <w:t xml:space="preserve"> il giudice istruttore </w:t>
            </w:r>
            <w:r>
              <w:rPr>
                <w:rFonts w:ascii="Barlow Semi Condensed" w:cs="Barlow Semi Condensed" w:eastAsia="Barlow Semi Condensed" w:hAnsi="Barlow Semi Condensed"/>
                <w:b/>
                <w:bCs/>
                <w:sz w:val="20"/>
                <w:szCs w:val="20"/>
              </w:rPr>
              <w:t xml:space="preserve">Rosario Priore</w:t>
            </w:r>
            <w:r>
              <w:rPr>
                <w:rFonts w:ascii="Barlow Semi Condensed" w:cs="Barlow Semi Condensed" w:eastAsia="Barlow Semi Condensed" w:hAnsi="Barlow Semi Condensed"/>
                <w:sz w:val="20"/>
                <w:szCs w:val="20"/>
              </w:rPr>
              <w:t xml:space="preserve"> firmò mandati di cattura internazionali per </w:t>
            </w:r>
            <w:r>
              <w:rPr>
                <w:rFonts w:ascii="Barlow Semi Condensed" w:cs="Barlow Semi Condensed" w:eastAsia="Barlow Semi Condensed" w:hAnsi="Barlow Semi Condensed"/>
                <w:b/>
                <w:bCs/>
                <w:sz w:val="20"/>
                <w:szCs w:val="20"/>
              </w:rPr>
              <w:t xml:space="preserve">Berio e Simioni</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Comune di Bologna, cronologia (http://www.comune.bologna.it/iperbole/asnsmp/Friuli_Vanni_Mulinaris.html); Tassinari (https://www.ugomariatassinari.it/hyperion-mandati-di-cattura/)</w:t>
            </w:r>
          </w:p>
        </w:tc>
      </w:tr>
      <w:tr>
        <w:tc>
          <w:tcPr>
            <w:tcW w:type="dxa" w:w="3120"/>
          </w:tcPr>
          <w:p>
            <w:pPr>
              <w:spacing w:after="20" w:before="20"/>
              <w:jc w:val="both"/>
            </w:pPr>
            <w:r>
              <w:rPr>
                <w:rFonts w:ascii="Barlow Semi Condensed" w:cs="Barlow Semi Condensed" w:eastAsia="Barlow Semi Condensed" w:hAnsi="Barlow Semi Condensed"/>
                <w:sz w:val="20"/>
                <w:szCs w:val="20"/>
              </w:rPr>
              <w:t xml:space="preserve">HY-7</w:t>
            </w:r>
          </w:p>
        </w:tc>
        <w:tc>
          <w:tcPr>
            <w:tcW w:type="dxa" w:w="3120"/>
          </w:tcPr>
          <w:p>
            <w:pPr>
              <w:spacing w:after="20" w:before="20"/>
              <w:jc w:val="both"/>
            </w:pPr>
            <w:r>
              <w:rPr>
                <w:rFonts w:ascii="Barlow Semi Condensed" w:cs="Barlow Semi Condensed" w:eastAsia="Barlow Semi Condensed" w:hAnsi="Barlow Semi Condensed"/>
                <w:b/>
                <w:bCs/>
                <w:sz w:val="20"/>
                <w:szCs w:val="20"/>
              </w:rPr>
              <w:t xml:space="preserve">Gli esiti: proscioglimenti per tutti.</w:t>
            </w:r>
            <w:r>
              <w:rPr>
                <w:rFonts w:ascii="Barlow Semi Condensed" w:cs="Barlow Semi Condensed" w:eastAsia="Barlow Semi Condensed" w:hAnsi="Barlow Semi Condensed"/>
                <w:sz w:val="20"/>
                <w:szCs w:val="20"/>
              </w:rPr>
              <w:t xml:space="preserve"> I tre furono </w:t>
            </w:r>
            <w:r>
              <w:rPr>
                <w:rFonts w:ascii="Barlow Semi Condensed" w:cs="Barlow Semi Condensed" w:eastAsia="Barlow Semi Condensed" w:hAnsi="Barlow Semi Condensed"/>
                <w:b/>
                <w:bCs/>
                <w:sz w:val="20"/>
                <w:szCs w:val="20"/>
              </w:rPr>
              <w:t xml:space="preserve">prosciolti</w:t>
            </w:r>
            <w:r>
              <w:rPr>
                <w:rFonts w:ascii="Barlow Semi Condensed" w:cs="Barlow Semi Condensed" w:eastAsia="Barlow Semi Condensed" w:hAnsi="Barlow Semi Condensed"/>
                <w:sz w:val="20"/>
                <w:szCs w:val="20"/>
              </w:rPr>
              <w:t xml:space="preserve"> dalle accuse di terrorismo e traffico d'armi; Mulinaris fu dichiarato estraneo, anche a seguito di una campagna di solidarietà di intellettuali francesi — con una lettera al Presidente della Repubblica sottoscritta, fra gli altri, dall'</w:t>
            </w:r>
            <w:r>
              <w:rPr>
                <w:rFonts w:ascii="Barlow Semi Condensed" w:cs="Barlow Semi Condensed" w:eastAsia="Barlow Semi Condensed" w:hAnsi="Barlow Semi Condensed"/>
                <w:b/>
                <w:bCs/>
                <w:sz w:val="20"/>
                <w:szCs w:val="20"/>
              </w:rPr>
              <w:t xml:space="preserve">Abbé Pierre</w:t>
            </w:r>
            <w:r>
              <w:rPr>
                <w:rFonts w:ascii="Barlow Semi Condensed" w:cs="Barlow Semi Condensed" w:eastAsia="Barlow Semi Condensed" w:hAnsi="Barlow Semi Condensed"/>
                <w:sz w:val="20"/>
                <w:szCs w:val="20"/>
              </w:rPr>
              <w:t xml:space="preserve"> (fondatore di Emmaus), da Pierre Vidal-Naquet e Jean Cassou</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Wikipedia IT (https://it.wikipedia.org/wiki/Hyperion_(Parigi)); Archivio storico del Senato, carteggio Mulinaris (https://patrimonio.archivio.senato.it/inventario/scheda/giacomo-mancini/IT-AFS-043-001944/carteggio-vanni-mulinaris)</w:t>
            </w:r>
          </w:p>
        </w:tc>
      </w:tr>
      <w:tr>
        <w:tc>
          <w:tcPr>
            <w:tcW w:type="dxa" w:w="3120"/>
          </w:tcPr>
          <w:p>
            <w:pPr>
              <w:spacing w:after="20" w:before="20"/>
              <w:jc w:val="both"/>
            </w:pPr>
            <w:r>
              <w:rPr>
                <w:rFonts w:ascii="Barlow Semi Condensed" w:cs="Barlow Semi Condensed" w:eastAsia="Barlow Semi Condensed" w:hAnsi="Barlow Semi Condensed"/>
                <w:sz w:val="20"/>
                <w:szCs w:val="20"/>
              </w:rPr>
              <w:t xml:space="preserve">HY-8</w:t>
            </w:r>
          </w:p>
        </w:tc>
        <w:tc>
          <w:tcPr>
            <w:tcW w:type="dxa" w:w="3120"/>
          </w:tcPr>
          <w:p>
            <w:pPr>
              <w:spacing w:after="20" w:before="20"/>
              <w:jc w:val="both"/>
            </w:pPr>
            <w:r>
              <w:rPr>
                <w:rFonts w:ascii="Barlow Semi Condensed" w:cs="Barlow Semi Condensed" w:eastAsia="Barlow Semi Condensed" w:hAnsi="Barlow Semi Condensed"/>
                <w:b/>
                <w:bCs/>
                <w:sz w:val="20"/>
                <w:szCs w:val="20"/>
              </w:rPr>
              <w:t xml:space="preserve">L'audizione parlamentare (2015).</w:t>
            </w:r>
            <w:r>
              <w:rPr>
                <w:rFonts w:ascii="Barlow Semi Condensed" w:cs="Barlow Semi Condensed" w:eastAsia="Barlow Semi Condensed" w:hAnsi="Barlow Semi Condensed"/>
                <w:sz w:val="20"/>
                <w:szCs w:val="20"/>
              </w:rPr>
              <w:t xml:space="preserve"> La </w:t>
            </w:r>
            <w:r>
              <w:rPr>
                <w:rFonts w:ascii="Barlow Semi Condensed" w:cs="Barlow Semi Condensed" w:eastAsia="Barlow Semi Condensed" w:hAnsi="Barlow Semi Condensed"/>
                <w:b/>
                <w:bCs/>
                <w:sz w:val="20"/>
                <w:szCs w:val="20"/>
              </w:rPr>
              <w:t xml:space="preserve">Commissione Moro 2</w:t>
            </w:r>
            <w:r>
              <w:rPr>
                <w:rFonts w:ascii="Barlow Semi Condensed" w:cs="Barlow Semi Condensed" w:eastAsia="Barlow Semi Condensed" w:hAnsi="Barlow Semi Condensed"/>
                <w:sz w:val="20"/>
                <w:szCs w:val="20"/>
              </w:rPr>
              <w:t xml:space="preserve"> riesaminò il nodo; il 28 ottobre 2015 audì </w:t>
            </w:r>
            <w:r>
              <w:rPr>
                <w:rFonts w:ascii="Barlow Semi Condensed" w:cs="Barlow Semi Condensed" w:eastAsia="Barlow Semi Condensed" w:hAnsi="Barlow Semi Condensed"/>
                <w:b/>
                <w:bCs/>
                <w:sz w:val="20"/>
                <w:szCs w:val="20"/>
              </w:rPr>
              <w:t xml:space="preserve">Duccio Berio</w:t>
            </w:r>
            <w:r>
              <w:rPr>
                <w:rFonts w:ascii="Barlow Semi Condensed" w:cs="Barlow Semi Condensed" w:eastAsia="Barlow Semi Condensed" w:hAnsi="Barlow Semi Condensed"/>
                <w:sz w:val="20"/>
                <w:szCs w:val="20"/>
              </w:rPr>
              <w:t xml:space="preserve">, che respinse ogni addebito («eravamo solo un gruppo di amici»). Il resoconto stenografico è agli atti della Camera</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Camera, stenografico 28/10/2015 (https://documenti.camera.it/leg17/resoconti/commissioni/stenografici/html/68/audiz2/audizione/2015/10/28/stenografico.0056.html); Il Fatto Quotidiano (https://www.ilfattoquotidiano.it/2015/10/28/caso-moro-luomo-di-hyperion-alla-commissione-non-centriamo-nulla-eravamo-solo-un-gruppo-di-amici/2169499/)</w:t>
            </w:r>
          </w:p>
        </w:tc>
      </w:tr>
      <w:tr>
        <w:tc>
          <w:tcPr>
            <w:tcW w:type="dxa" w:w="3120"/>
          </w:tcPr>
          <w:p>
            <w:pPr>
              <w:spacing w:after="20" w:before="20"/>
              <w:jc w:val="both"/>
            </w:pPr>
            <w:r>
              <w:rPr>
                <w:rFonts w:ascii="Barlow Semi Condensed" w:cs="Barlow Semi Condensed" w:eastAsia="Barlow Semi Condensed" w:hAnsi="Barlow Semi Condensed"/>
                <w:sz w:val="20"/>
                <w:szCs w:val="20"/>
              </w:rPr>
              <w:t xml:space="preserve">HY-9</w:t>
            </w:r>
          </w:p>
        </w:tc>
        <w:tc>
          <w:tcPr>
            <w:tcW w:type="dxa" w:w="3120"/>
          </w:tcPr>
          <w:p>
            <w:pPr>
              <w:spacing w:after="20" w:before="20"/>
              <w:jc w:val="both"/>
            </w:pPr>
            <w:r>
              <w:rPr>
                <w:rFonts w:ascii="Barlow Semi Condensed" w:cs="Barlow Semi Condensed" w:eastAsia="Barlow Semi Condensed" w:hAnsi="Barlow Semi Condensed"/>
                <w:b/>
                <w:bCs/>
                <w:sz w:val="20"/>
                <w:szCs w:val="20"/>
              </w:rPr>
              <w:t xml:space="preserve">La letteratura qualificata.</w:t>
            </w:r>
            <w:r>
              <w:rPr>
                <w:rFonts w:ascii="Barlow Semi Condensed" w:cs="Barlow Semi Condensed" w:eastAsia="Barlow Semi Condensed" w:hAnsi="Barlow Semi Condensed"/>
                <w:sz w:val="20"/>
                <w:szCs w:val="20"/>
              </w:rPr>
              <w:t xml:space="preserve"> Il nodo ha una bibliografia d'autore: </w:t>
            </w:r>
            <w:r>
              <w:rPr>
                <w:rFonts w:ascii="Barlow Semi Condensed" w:cs="Barlow Semi Condensed" w:eastAsia="Barlow Semi Condensed" w:hAnsi="Barlow Semi Condensed"/>
                <w:i/>
                <w:iCs/>
                <w:sz w:val="20"/>
                <w:szCs w:val="20"/>
              </w:rPr>
              <w:t xml:space="preserve">Chi manovrava le Brigate rosse?</w:t>
            </w:r>
            <w:r>
              <w:rPr>
                <w:rFonts w:ascii="Barlow Semi Condensed" w:cs="Barlow Semi Condensed" w:eastAsia="Barlow Semi Condensed" w:hAnsi="Barlow Semi Condensed"/>
                <w:sz w:val="20"/>
                <w:szCs w:val="20"/>
              </w:rPr>
              <w:t xml:space="preserve"> di Silvano De Prospo e </w:t>
            </w:r>
            <w:r>
              <w:rPr>
                <w:rFonts w:ascii="Barlow Semi Condensed" w:cs="Barlow Semi Condensed" w:eastAsia="Barlow Semi Condensed" w:hAnsi="Barlow Semi Condensed"/>
                <w:b/>
                <w:bCs/>
                <w:sz w:val="20"/>
                <w:szCs w:val="20"/>
              </w:rPr>
              <w:t xml:space="preserve">Rosario Priore</w:t>
            </w:r>
            <w:r>
              <w:rPr>
                <w:rFonts w:ascii="Barlow Semi Condensed" w:cs="Barlow Semi Condensed" w:eastAsia="Barlow Semi Condensed" w:hAnsi="Barlow Semi Condensed"/>
                <w:sz w:val="20"/>
                <w:szCs w:val="20"/>
              </w:rPr>
              <w:t xml:space="preserve"> (Ponte alle Grazie, 2011) — scritto cioè dallo stesso magistrato che indagò: fonte di parte investigativa, qualificata ma non giudiziale</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Scheda editoriale (https://www.unilibro.it/libro/de-prospo-silvano-priore-rosario/chi-manovrava-brigate-rosse-storia-misteri-dell-hyperion-parigi-scuola-lingue-centrale-terrorismo-internazionale/9788862201742)</w:t>
            </w:r>
          </w:p>
        </w:tc>
      </w:tr>
    </w:tbl>
    <w:p>
      <w:pPr>
        <w:spacing w:after="80"/>
      </w:pPr>
    </w:p>
    <w:p>
      <w:pPr>
        <w:pStyle w:val="Heading2"/>
        <w:spacing w:after="100" w:before="200"/>
      </w:pPr>
      <w:r>
        <w:rPr>
          <w:rFonts w:ascii="Barlow Semi Condensed" w:cs="Barlow Semi Condensed" w:eastAsia="Barlow Semi Condensed" w:hAnsi="Barlow Semi Condensed"/>
          <w:sz w:val="24"/>
          <w:szCs w:val="24"/>
        </w:rPr>
        <w:t xml:space="preserve">2. Le due tesi contrapposte — entrambe non provate</w:t>
      </w:r>
    </w:p>
    <w:p>
      <w:pPr>
        <w:spacing w:after="120" w:line="276"/>
        <w:jc w:val="both"/>
      </w:pPr>
      <w:r>
        <w:rPr>
          <w:rFonts w:ascii="Barlow Semi Condensed" w:cs="Barlow Semi Condensed" w:eastAsia="Barlow Semi Condensed" w:hAnsi="Barlow Semi Condensed"/>
          <w:sz w:val="24"/>
          <w:szCs w:val="24"/>
        </w:rPr>
        <w:t xml:space="preserve">Il nodo Hyperion è conteso da due narrazioni speculari, e la triangolazione deve trattarle simmetricamente.</w:t>
      </w:r>
    </w:p>
    <w:p>
      <w:pPr>
        <w:spacing w:after="120" w:line="276"/>
        <w:jc w:val="both"/>
      </w:pPr>
      <w:r>
        <w:rPr>
          <w:rFonts w:ascii="Barlow Semi Condensed" w:cs="Barlow Semi Condensed" w:eastAsia="Barlow Semi Condensed" w:hAnsi="Barlow Semi Condensed"/>
          <w:b/>
          <w:bCs/>
          <w:sz w:val="24"/>
          <w:szCs w:val="24"/>
        </w:rPr>
        <w:t xml:space="preserve">Tesi A — «la centrale del terrorismo internazionale».</w:t>
      </w:r>
      <w:r>
        <w:rPr>
          <w:rFonts w:ascii="Barlow Semi Condensed" w:cs="Barlow Semi Condensed" w:eastAsia="Barlow Semi Condensed" w:hAnsi="Barlow Semi Condensed"/>
          <w:sz w:val="24"/>
          <w:szCs w:val="24"/>
        </w:rPr>
        <w:t xml:space="preserve"> Hyperion come punto d'incontro fra BR, ETA, IRA e OLP e come «direzione strategica estera» della lotta armata italiana. Fondamenti: le dichiarazioni di pentiti, la convergenza temporale dell'ufficio romano (HY-4), i passaggi biografici Superclan→BR (HY-2). </w:t>
      </w:r>
      <w:r>
        <w:rPr>
          <w:rFonts w:ascii="Barlow Semi Condensed" w:cs="Barlow Semi Condensed" w:eastAsia="Barlow Semi Condensed" w:hAnsi="Barlow Semi Condensed"/>
          <w:b/>
          <w:bCs/>
          <w:sz w:val="24"/>
          <w:szCs w:val="24"/>
        </w:rPr>
        <w:t xml:space="preserve">Esito al vaglio:</w:t>
      </w:r>
      <w:r>
        <w:rPr>
          <w:rFonts w:ascii="Barlow Semi Condensed" w:cs="Barlow Semi Condensed" w:eastAsia="Barlow Semi Condensed" w:hAnsi="Barlow Semi Condensed"/>
          <w:sz w:val="24"/>
          <w:szCs w:val="24"/>
        </w:rPr>
        <w:t xml:space="preserve"> i procedimenti giudiziari costruiti su questa tesi si sono chiusi con proscioglimenti (HY-7); la Commissione Moro 2 l'ha riesaminata senza produrre accertamenti nuovi di grado giudiziario. </w:t>
      </w:r>
      <w:r>
        <w:rPr>
          <w:rFonts w:ascii="Barlow Semi Condensed" w:cs="Barlow Semi Condensed" w:eastAsia="Barlow Semi Condensed" w:hAnsi="Barlow Semi Condensed"/>
          <w:b/>
          <w:bCs/>
          <w:sz w:val="24"/>
          <w:szCs w:val="24"/>
        </w:rPr>
        <w:t xml:space="preserve">Resta congettura.</w:t>
      </w:r>
    </w:p>
    <w:p>
      <w:pPr>
        <w:spacing w:after="120" w:line="276"/>
        <w:jc w:val="both"/>
      </w:pPr>
      <w:r>
        <w:rPr>
          <w:rFonts w:ascii="Barlow Semi Condensed" w:cs="Barlow Semi Condensed" w:eastAsia="Barlow Semi Condensed" w:hAnsi="Barlow Semi Condensed"/>
          <w:b/>
          <w:bCs/>
          <w:sz w:val="24"/>
          <w:szCs w:val="24"/>
        </w:rPr>
        <w:t xml:space="preserve">Tesi B — «la centrale d'intelligence».</w:t>
      </w:r>
      <w:r>
        <w:rPr>
          <w:rFonts w:ascii="Barlow Semi Condensed" w:cs="Barlow Semi Condensed" w:eastAsia="Barlow Semi Condensed" w:hAnsi="Barlow Semi Condensed"/>
          <w:sz w:val="24"/>
          <w:szCs w:val="24"/>
        </w:rPr>
        <w:t xml:space="preserve"> Hyperion come struttura legata a servizi occidentali — nelle audizioni e nelle dichiarazioni di magistrati (in particolare Priore) si riferisce che il SISDE di Giulio Grassini chiese ai servizi francesi informazioni sulla sede «coperta» di Rouen ritenendola «sede di un servizio d'informazione collegato alla CIA», e che interventi fra servizi avrebbero frenato le indagini (Il Sussidiario, intervista (https://www.ilsussidiario.net/news/scuola-di-lingue-hyperion-copriva-terroristi-a-parigi-i-francesi-sapevano-tutto/2164445/)). </w:t>
      </w:r>
      <w:r>
        <w:rPr>
          <w:rFonts w:ascii="Barlow Semi Condensed" w:cs="Barlow Semi Condensed" w:eastAsia="Barlow Semi Condensed" w:hAnsi="Barlow Semi Condensed"/>
          <w:b/>
          <w:bCs/>
          <w:sz w:val="24"/>
          <w:szCs w:val="24"/>
        </w:rPr>
        <w:t xml:space="preserve">Esito al vaglio:</w:t>
      </w:r>
      <w:r>
        <w:rPr>
          <w:rFonts w:ascii="Barlow Semi Condensed" w:cs="Barlow Semi Condensed" w:eastAsia="Barlow Semi Condensed" w:hAnsi="Barlow Semi Condensed"/>
          <w:sz w:val="24"/>
          <w:szCs w:val="24"/>
        </w:rPr>
        <w:t xml:space="preserve"> si tratta di </w:t>
      </w:r>
      <w:r>
        <w:rPr>
          <w:rFonts w:ascii="Barlow Semi Condensed" w:cs="Barlow Semi Condensed" w:eastAsia="Barlow Semi Condensed" w:hAnsi="Barlow Semi Condensed"/>
          <w:b/>
          <w:bCs/>
          <w:sz w:val="24"/>
          <w:szCs w:val="24"/>
        </w:rPr>
        <w:t xml:space="preserve">testimonianze e valutazioni investigative qualificate</w:t>
      </w:r>
      <w:r>
        <w:rPr>
          <w:rFonts w:ascii="Barlow Semi Condensed" w:cs="Barlow Semi Condensed" w:eastAsia="Barlow Semi Condensed" w:hAnsi="Barlow Semi Condensed"/>
          <w:sz w:val="24"/>
          <w:szCs w:val="24"/>
        </w:rPr>
        <w:t xml:space="preserve"> — non di accertamenti giudiziari; nessuna sentenza le ha mai convalidate. </w:t>
      </w:r>
      <w:r>
        <w:rPr>
          <w:rFonts w:ascii="Barlow Semi Condensed" w:cs="Barlow Semi Condensed" w:eastAsia="Barlow Semi Condensed" w:hAnsi="Barlow Semi Condensed"/>
          <w:b/>
          <w:bCs/>
          <w:sz w:val="24"/>
          <w:szCs w:val="24"/>
        </w:rPr>
        <w:t xml:space="preserve">Resta congettura</w:t>
      </w:r>
      <w:r>
        <w:rPr>
          <w:rFonts w:ascii="Barlow Semi Condensed" w:cs="Barlow Semi Condensed" w:eastAsia="Barlow Semi Condensed" w:hAnsi="Barlow Semi Condensed"/>
          <w:sz w:val="24"/>
          <w:szCs w:val="24"/>
        </w:rPr>
        <w:t xml:space="preserve">, di rango testimoniale.</w:t>
      </w:r>
    </w:p>
    <w:p>
      <w:pPr>
        <w:spacing w:after="120" w:line="276"/>
        <w:jc w:val="both"/>
      </w:pPr>
      <w:r>
        <w:rPr>
          <w:rFonts w:ascii="Barlow Semi Condensed" w:cs="Barlow Semi Condensed" w:eastAsia="Barlow Semi Condensed" w:hAnsi="Barlow Semi Condensed"/>
          <w:sz w:val="24"/>
          <w:szCs w:val="24"/>
        </w:rPr>
        <w:t xml:space="preserve">Il punto metodologico, che è il contributo del corpus a questo nodo: </w:t>
      </w:r>
      <w:r>
        <w:rPr>
          <w:rFonts w:ascii="Barlow Semi Condensed" w:cs="Barlow Semi Condensed" w:eastAsia="Barlow Semi Condensed" w:hAnsi="Barlow Semi Condensed"/>
          <w:b/>
          <w:bCs/>
          <w:sz w:val="24"/>
          <w:szCs w:val="24"/>
        </w:rPr>
        <w:t xml:space="preserve">le due tesi non possono sommarsi in un generico «Hyperion era comunque qualcosa di torbido»</w:t>
      </w:r>
      <w:r>
        <w:rPr>
          <w:rFonts w:ascii="Barlow Semi Condensed" w:cs="Barlow Semi Condensed" w:eastAsia="Barlow Semi Condensed" w:hAnsi="Barlow Semi Condensed"/>
          <w:sz w:val="24"/>
          <w:szCs w:val="24"/>
        </w:rPr>
        <w:t xml:space="preserve">. Sono ipotesi alternative, ciascuna non provata; la loro coesistenza quarantennale nel discorso pubblico misura l'assenza di accertamento, non la sua abbondanza. Il «doppio sospetto» non è un grado di prova: è la forma che prende, in Italia, il vuoto probatorio.</w:t>
      </w:r>
    </w:p>
    <w:p>
      <w:pPr>
        <w:pStyle w:val="Heading2"/>
        <w:spacing w:after="100" w:before="200"/>
      </w:pPr>
      <w:r>
        <w:rPr>
          <w:rFonts w:ascii="Barlow Semi Condensed" w:cs="Barlow Semi Condensed" w:eastAsia="Barlow Semi Condensed" w:hAnsi="Barlow Semi Condensed"/>
          <w:sz w:val="24"/>
          <w:szCs w:val="24"/>
        </w:rPr>
        <w:t xml:space="preserve">3. I ponti con il corpus (BH-1…BH-4)</w:t>
      </w:r>
    </w:p>
    <w:p>
      <w:pPr>
        <w:pStyle w:val="Heading3"/>
        <w:spacing w:after="80" w:before="160"/>
      </w:pPr>
      <w:r>
        <w:rPr>
          <w:rFonts w:ascii="Barlow Semi Condensed" w:cs="Barlow Semi Condensed" w:eastAsia="Barlow Semi Condensed" w:hAnsi="Barlow Semi Condensed"/>
          <w:sz w:val="24"/>
          <w:szCs w:val="24"/>
        </w:rPr>
        <w:t xml:space="preserve">BH-1 · Con il fronte Feltrinelli e il nodo Pecorile (M-3) — ponte genealogico documentato</w:t>
      </w:r>
    </w:p>
    <w:p>
      <w:pPr>
        <w:spacing w:after="120" w:line="276"/>
        <w:jc w:val="both"/>
      </w:pPr>
      <w:r>
        <w:rPr>
          <w:rFonts w:ascii="Barlow Semi Condensed" w:cs="Barlow Semi Condensed" w:eastAsia="Barlow Semi Condensed" w:hAnsi="Barlow Semi Condensed"/>
          <w:sz w:val="24"/>
          <w:szCs w:val="24"/>
        </w:rPr>
        <w:t xml:space="preserve">La matrice del corpus data la nascita delle BR al convegno di Pecorile (agosto 1970), dentro l'area del CPM milanese. Hyperion vi si aggancia </w:t>
      </w:r>
      <w:r>
        <w:rPr>
          <w:rFonts w:ascii="Barlow Semi Condensed" w:cs="Barlow Semi Condensed" w:eastAsia="Barlow Semi Condensed" w:hAnsi="Barlow Semi Condensed"/>
          <w:b/>
          <w:bCs/>
          <w:sz w:val="24"/>
          <w:szCs w:val="24"/>
        </w:rPr>
        <w:t xml:space="preserve">a monte</w:t>
      </w:r>
      <w:r>
        <w:rPr>
          <w:rFonts w:ascii="Barlow Semi Condensed" w:cs="Barlow Semi Condensed" w:eastAsia="Barlow Semi Condensed" w:hAnsi="Barlow Semi Condensed"/>
          <w:sz w:val="24"/>
          <w:szCs w:val="24"/>
        </w:rPr>
        <w:t xml:space="preserve">: i suoi futuri fondatori furono co-fondatori del CPM (HY-1) e se ne separarono </w:t>
      </w:r>
      <w:r>
        <w:rPr>
          <w:rFonts w:ascii="Barlow Semi Condensed" w:cs="Barlow Semi Condensed" w:eastAsia="Barlow Semi Condensed" w:hAnsi="Barlow Semi Condensed"/>
          <w:b/>
          <w:bCs/>
          <w:sz w:val="24"/>
          <w:szCs w:val="24"/>
        </w:rPr>
        <w:t xml:space="preserve">prima</w:t>
      </w:r>
      <w:r>
        <w:rPr>
          <w:rFonts w:ascii="Barlow Semi Condensed" w:cs="Barlow Semi Condensed" w:eastAsia="Barlow Semi Condensed" w:hAnsi="Barlow Semi Condensed"/>
          <w:sz w:val="24"/>
          <w:szCs w:val="24"/>
        </w:rPr>
        <w:t xml:space="preserve"> della scelta armata di Curcio, formando il Superclan (HY-2). Il ponte documentato è dunque una </w:t>
      </w:r>
      <w:r>
        <w:rPr>
          <w:rFonts w:ascii="Barlow Semi Condensed" w:cs="Barlow Semi Condensed" w:eastAsia="Barlow Semi Condensed" w:hAnsi="Barlow Semi Condensed"/>
          <w:b/>
          <w:bCs/>
          <w:sz w:val="24"/>
          <w:szCs w:val="24"/>
        </w:rPr>
        <w:t xml:space="preserve">genealogia comune con biforcazione precoce</w:t>
      </w:r>
      <w:r>
        <w:rPr>
          <w:rFonts w:ascii="Barlow Semi Condensed" w:cs="Barlow Semi Condensed" w:eastAsia="Barlow Semi Condensed" w:hAnsi="Barlow Semi Condensed"/>
          <w:sz w:val="24"/>
          <w:szCs w:val="24"/>
        </w:rPr>
        <w:t xml:space="preserve">: stesso brodo di coltura, strade divise. Il passaggio di </w:t>
      </w:r>
      <w:r>
        <w:rPr>
          <w:rFonts w:ascii="Barlow Semi Condensed" w:cs="Barlow Semi Condensed" w:eastAsia="Barlow Semi Condensed" w:hAnsi="Barlow Semi Condensed"/>
          <w:b/>
          <w:bCs/>
          <w:sz w:val="24"/>
          <w:szCs w:val="24"/>
        </w:rPr>
        <w:t xml:space="preserve">Moretti</w:t>
      </w:r>
      <w:r>
        <w:rPr>
          <w:rFonts w:ascii="Barlow Semi Condensed" w:cs="Barlow Semi Condensed" w:eastAsia="Barlow Semi Condensed" w:hAnsi="Barlow Semi Condensed"/>
          <w:sz w:val="24"/>
          <w:szCs w:val="24"/>
        </w:rPr>
        <w:t xml:space="preserve"> — dal Superclan alle BR, fino alla direzione del sequestro Moro e, per sua ammissione (nodo P-1 della matrice), all'uccisione — è il filo biografico che tiene uniti i due rami; ma un filo biografico non è una catena di comando, e la triangolazione lo lascia dov'è.</w:t>
      </w:r>
    </w:p>
    <w:p>
      <w:pPr>
        <w:pStyle w:val="Heading3"/>
        <w:spacing w:after="80" w:before="160"/>
      </w:pPr>
      <w:r>
        <w:rPr>
          <w:rFonts w:ascii="Barlow Semi Condensed" w:cs="Barlow Semi Condensed" w:eastAsia="Barlow Semi Condensed" w:hAnsi="Barlow Semi Condensed"/>
          <w:sz w:val="24"/>
          <w:szCs w:val="24"/>
        </w:rPr>
        <w:t xml:space="preserve">BH-2 · Con la Parte terza dell'opera morotea (il «quadro internazionale») — ponte tematico</w:t>
      </w:r>
    </w:p>
    <w:p>
      <w:pPr>
        <w:spacing w:after="120" w:line="276"/>
        <w:jc w:val="both"/>
      </w:pPr>
      <w:r>
        <w:rPr>
          <w:rFonts w:ascii="Barlow Semi Condensed" w:cs="Barlow Semi Condensed" w:eastAsia="Barlow Semi Condensed" w:hAnsi="Barlow Semi Condensed"/>
          <w:sz w:val="24"/>
          <w:szCs w:val="24"/>
        </w:rPr>
        <w:t xml:space="preserve">Il dossier falsificazionista del corpus tratta le questioni aperte del caso Moro assegnando a ciascuna grado di prova e criterio di smentita. Hyperion appartiene a quel capitolo come </w:t>
      </w:r>
      <w:r>
        <w:rPr>
          <w:rFonts w:ascii="Barlow Semi Condensed" w:cs="Barlow Semi Condensed" w:eastAsia="Barlow Semi Condensed" w:hAnsi="Barlow Semi Condensed"/>
          <w:b/>
          <w:bCs/>
          <w:sz w:val="24"/>
          <w:szCs w:val="24"/>
        </w:rPr>
        <w:t xml:space="preserve">caso di scuola</w:t>
      </w:r>
      <w:r>
        <w:rPr>
          <w:rFonts w:ascii="Barlow Semi Condensed" w:cs="Barlow Semi Condensed" w:eastAsia="Barlow Semi Condensed" w:hAnsi="Barlow Semi Condensed"/>
          <w:sz w:val="24"/>
          <w:szCs w:val="24"/>
        </w:rPr>
        <w:t xml:space="preserve">: l'ipotesi di una direzione estera delle BR — di qualunque segno — non ha mai superato il vaglio giudiziario. Il criterio di smentita per entrambe le tesi del § 2 è identico e semplice: </w:t>
      </w:r>
      <w:r>
        <w:rPr>
          <w:rFonts w:ascii="Barlow Semi Condensed" w:cs="Barlow Semi Condensed" w:eastAsia="Barlow Semi Condensed" w:hAnsi="Barlow Semi Condensed"/>
          <w:b/>
          <w:bCs/>
          <w:sz w:val="24"/>
          <w:szCs w:val="24"/>
        </w:rPr>
        <w:t xml:space="preserve">un documento d'archivio o una sentenza</w:t>
      </w:r>
      <w:r>
        <w:rPr>
          <w:rFonts w:ascii="Barlow Semi Condensed" w:cs="Barlow Semi Condensed" w:eastAsia="Barlow Semi Condensed" w:hAnsi="Barlow Semi Condensed"/>
          <w:sz w:val="24"/>
          <w:szCs w:val="24"/>
        </w:rPr>
        <w:t xml:space="preserve"> che stabilisca l'affiliazione. In quarant'anni non è emerso né l'uno né l'altra.</w:t>
      </w:r>
    </w:p>
    <w:p>
      <w:pPr>
        <w:pStyle w:val="Heading3"/>
        <w:spacing w:after="80" w:before="160"/>
      </w:pPr>
      <w:r>
        <w:rPr>
          <w:rFonts w:ascii="Barlow Semi Condensed" w:cs="Barlow Semi Condensed" w:eastAsia="Barlow Semi Condensed" w:hAnsi="Barlow Semi Condensed"/>
          <w:sz w:val="24"/>
          <w:szCs w:val="24"/>
        </w:rPr>
        <w:t xml:space="preserve">BH-3 · Con il nodo M-5 («l'ombra statunitense») — simmetria di metodo</w:t>
      </w:r>
    </w:p>
    <w:p>
      <w:pPr>
        <w:spacing w:after="120" w:line="276"/>
        <w:jc w:val="both"/>
      </w:pPr>
      <w:r>
        <w:rPr>
          <w:rFonts w:ascii="Barlow Semi Condensed" w:cs="Barlow Semi Condensed" w:eastAsia="Barlow Semi Condensed" w:hAnsi="Barlow Semi Condensed"/>
          <w:sz w:val="24"/>
          <w:szCs w:val="24"/>
        </w:rPr>
        <w:t xml:space="preserve">La matrice Guevara-Moro registra fatti americani documentati sulle due morti senza promuoverli a regia. La tesi B su Hyperion (§ 2) chiede lo stesso trattamento: le dichiarazioni sul SISDE e sulla CIA sono </w:t>
      </w:r>
      <w:r>
        <w:rPr>
          <w:rFonts w:ascii="Barlow Semi Condensed" w:cs="Barlow Semi Condensed" w:eastAsia="Barlow Semi Condensed" w:hAnsi="Barlow Semi Condensed"/>
          <w:b/>
          <w:bCs/>
          <w:sz w:val="24"/>
          <w:szCs w:val="24"/>
        </w:rPr>
        <w:t xml:space="preserve">fatti testimoniali documentati</w:t>
      </w:r>
      <w:r>
        <w:rPr>
          <w:rFonts w:ascii="Barlow Semi Condensed" w:cs="Barlow Semi Condensed" w:eastAsia="Barlow Semi Condensed" w:hAnsi="Barlow Semi Condensed"/>
          <w:sz w:val="24"/>
          <w:szCs w:val="24"/>
        </w:rPr>
        <w:t xml:space="preserve"> (qualcuno le ha rese, in sedi qualificate) la cui </w:t>
      </w:r>
      <w:r>
        <w:rPr>
          <w:rFonts w:ascii="Barlow Semi Condensed" w:cs="Barlow Semi Condensed" w:eastAsia="Barlow Semi Condensed" w:hAnsi="Barlow Semi Condensed"/>
          <w:b/>
          <w:bCs/>
          <w:sz w:val="24"/>
          <w:szCs w:val="24"/>
        </w:rPr>
        <w:t xml:space="preserve">verità sostanziale resta non accertata</w:t>
      </w:r>
      <w:r>
        <w:rPr>
          <w:rFonts w:ascii="Barlow Semi Condensed" w:cs="Barlow Semi Condensed" w:eastAsia="Barlow Semi Condensed" w:hAnsi="Barlow Semi Condensed"/>
          <w:sz w:val="24"/>
          <w:szCs w:val="24"/>
        </w:rPr>
        <w:t xml:space="preserve">. Documentare l'esistenza di una testimonianza non è documentare ciò che essa afferma: è la distinzione su cui il corpus è costruito.</w:t>
      </w:r>
    </w:p>
    <w:p>
      <w:pPr>
        <w:pStyle w:val="Heading3"/>
        <w:spacing w:after="80" w:before="160"/>
      </w:pPr>
      <w:r>
        <w:rPr>
          <w:rFonts w:ascii="Barlow Semi Condensed" w:cs="Barlow Semi Condensed" w:eastAsia="Barlow Semi Condensed" w:hAnsi="Barlow Semi Condensed"/>
          <w:sz w:val="24"/>
          <w:szCs w:val="24"/>
        </w:rPr>
        <w:t xml:space="preserve">BH-4 · Con la convergenza temporale di via Nicotera (HY-4) — convergenza, da non promuovere</w:t>
      </w:r>
    </w:p>
    <w:p>
      <w:pPr>
        <w:spacing w:after="120" w:line="276"/>
        <w:jc w:val="both"/>
      </w:pPr>
      <w:r>
        <w:rPr>
          <w:rFonts w:ascii="Barlow Semi Condensed" w:cs="Barlow Semi Condensed" w:eastAsia="Barlow Semi Condensed" w:hAnsi="Barlow Semi Condensed"/>
          <w:sz w:val="24"/>
          <w:szCs w:val="24"/>
        </w:rPr>
        <w:t xml:space="preserve">L'apertura dell'ufficio romano un mese prima di via Fani, in uno stabile condiviso con coperture SISMI, è il tipo esatto di dato che la dietrologia trasforma in prova. Il corpus lo registra per ciò che è: una </w:t>
      </w:r>
      <w:r>
        <w:rPr>
          <w:rFonts w:ascii="Barlow Semi Condensed" w:cs="Barlow Semi Condensed" w:eastAsia="Barlow Semi Condensed" w:hAnsi="Barlow Semi Condensed"/>
          <w:b/>
          <w:bCs/>
          <w:sz w:val="24"/>
          <w:szCs w:val="24"/>
        </w:rPr>
        <w:t xml:space="preserve">convergenza di tempo e di luogo</w:t>
      </w:r>
      <w:r>
        <w:rPr>
          <w:rFonts w:ascii="Barlow Semi Condensed" w:cs="Barlow Semi Condensed" w:eastAsia="Barlow Semi Condensed" w:hAnsi="Barlow Semi Condensed"/>
          <w:sz w:val="24"/>
          <w:szCs w:val="24"/>
        </w:rPr>
        <w:t xml:space="preserve">, documentata e mai tradotta in alcun accertamento di responsabilità. Vale la regola dell'intero lavoro: la convergenza non si promuove a nesso.</w:t>
      </w:r>
    </w:p>
    <w:p>
      <w:pPr>
        <w:pStyle w:val="Heading2"/>
        <w:spacing w:after="100" w:before="200"/>
      </w:pPr>
      <w:r>
        <w:rPr>
          <w:rFonts w:ascii="Barlow Semi Condensed" w:cs="Barlow Semi Condensed" w:eastAsia="Barlow Semi Condensed" w:hAnsi="Barlow Semi Condensed"/>
          <w:sz w:val="24"/>
          <w:szCs w:val="24"/>
        </w:rPr>
        <w:t xml:space="preserve">4. Anti-triangolazioni (ATH-1…ATH-3)</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c>
          <w:tcPr>
            <w:tcW w:type="dxa" w:w="468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w:t>
            </w:r>
          </w:p>
        </w:tc>
        <w:tc>
          <w:tcPr>
            <w:tcW w:type="dxa" w:w="468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Anti-triangolazione</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ATH-1</w:t>
            </w:r>
          </w:p>
        </w:tc>
        <w:tc>
          <w:tcPr>
            <w:tcW w:type="dxa" w:w="4680"/>
          </w:tcPr>
          <w:p>
            <w:pPr>
              <w:spacing w:after="20" w:before="20"/>
              <w:jc w:val="both"/>
            </w:pPr>
            <w:r>
              <w:rPr>
                <w:rFonts w:ascii="Barlow Semi Condensed" w:cs="Barlow Semi Condensed" w:eastAsia="Barlow Semi Condensed" w:hAnsi="Barlow Semi Condensed"/>
                <w:b/>
                <w:bCs/>
                <w:sz w:val="20"/>
                <w:szCs w:val="20"/>
              </w:rPr>
              <w:t xml:space="preserve">Nessuna condanna, presunzione d'innocenza piena.</w:t>
            </w:r>
            <w:r>
              <w:rPr>
                <w:rFonts w:ascii="Barlow Semi Condensed" w:cs="Barlow Semi Condensed" w:eastAsia="Barlow Semi Condensed" w:hAnsi="Barlow Semi Condensed"/>
                <w:sz w:val="20"/>
                <w:szCs w:val="20"/>
              </w:rPr>
              <w:t xml:space="preserve"> I fondatori di Hyperion furono indagati e </w:t>
            </w:r>
            <w:r>
              <w:rPr>
                <w:rFonts w:ascii="Barlow Semi Condensed" w:cs="Barlow Semi Condensed" w:eastAsia="Barlow Semi Condensed" w:hAnsi="Barlow Semi Condensed"/>
                <w:b/>
                <w:bCs/>
                <w:sz w:val="20"/>
                <w:szCs w:val="20"/>
              </w:rPr>
              <w:t xml:space="preserve">prosciolti</w:t>
            </w:r>
            <w:r>
              <w:rPr>
                <w:rFonts w:ascii="Barlow Semi Condensed" w:cs="Barlow Semi Condensed" w:eastAsia="Barlow Semi Condensed" w:hAnsi="Barlow Semi Condensed"/>
                <w:sz w:val="20"/>
                <w:szCs w:val="20"/>
              </w:rPr>
              <w:t xml:space="preserve">. Ogni uso del loro nome come «responsabili» di alcunché è fuori dal terreno documentato e fuori dalla disciplina del corpus</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ATH-2</w:t>
            </w:r>
          </w:p>
        </w:tc>
        <w:tc>
          <w:tcPr>
            <w:tcW w:type="dxa" w:w="4680"/>
          </w:tcPr>
          <w:p>
            <w:pPr>
              <w:spacing w:after="20" w:before="20"/>
              <w:jc w:val="both"/>
            </w:pPr>
            <w:r>
              <w:rPr>
                <w:rFonts w:ascii="Barlow Semi Condensed" w:cs="Barlow Semi Condensed" w:eastAsia="Barlow Semi Condensed" w:hAnsi="Barlow Semi Condensed"/>
                <w:b/>
                <w:bCs/>
                <w:sz w:val="20"/>
                <w:szCs w:val="20"/>
              </w:rPr>
              <w:t xml:space="preserve">Le due tesi non si sommano.</w:t>
            </w:r>
            <w:r>
              <w:rPr>
                <w:rFonts w:ascii="Barlow Semi Condensed" w:cs="Barlow Semi Condensed" w:eastAsia="Barlow Semi Condensed" w:hAnsi="Barlow Semi Condensed"/>
                <w:sz w:val="20"/>
                <w:szCs w:val="20"/>
              </w:rPr>
              <w:t xml:space="preserve"> «Centrale del terrorismo» e «centrale d'intelligence» sono congetture alternative; il doppio sospetto non costituisce un grado di prova intermedio. Chi le somma commette due volte l'errore che il corpus chiama promozione della convergenza a nesso</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ATH-3</w:t>
            </w:r>
          </w:p>
        </w:tc>
        <w:tc>
          <w:tcPr>
            <w:tcW w:type="dxa" w:w="4680"/>
          </w:tcPr>
          <w:p>
            <w:pPr>
              <w:spacing w:after="20" w:before="20"/>
              <w:jc w:val="both"/>
            </w:pPr>
            <w:r>
              <w:rPr>
                <w:rFonts w:ascii="Barlow Semi Condensed" w:cs="Barlow Semi Condensed" w:eastAsia="Barlow Semi Condensed" w:hAnsi="Barlow Semi Condensed"/>
                <w:b/>
                <w:bCs/>
                <w:sz w:val="20"/>
                <w:szCs w:val="20"/>
              </w:rPr>
              <w:t xml:space="preserve">Il filo Moretti non è una catena di comando.</w:t>
            </w:r>
            <w:r>
              <w:rPr>
                <w:rFonts w:ascii="Barlow Semi Condensed" w:cs="Barlow Semi Condensed" w:eastAsia="Barlow Semi Condensed" w:hAnsi="Barlow Semi Condensed"/>
                <w:sz w:val="20"/>
                <w:szCs w:val="20"/>
              </w:rPr>
              <w:t xml:space="preserve"> Il passaggio biografico Superclan→BR di Moretti è documentato; la deduzione che le BR fossero eterodirette attraverso quel filo non lo è, e i processi — che pure disponevano delle dichiarazioni dei pentiti — non l'hanno accertata</w:t>
            </w:r>
          </w:p>
        </w:tc>
      </w:tr>
    </w:tbl>
    <w:p>
      <w:pPr>
        <w:spacing w:after="80"/>
      </w:pPr>
    </w:p>
    <w:p>
      <w:pPr>
        <w:pStyle w:val="Heading2"/>
        <w:spacing w:after="100" w:before="200"/>
      </w:pPr>
      <w:r>
        <w:rPr>
          <w:rFonts w:ascii="Barlow Semi Condensed" w:cs="Barlow Semi Condensed" w:eastAsia="Barlow Semi Condensed" w:hAnsi="Barlow Semi Condensed"/>
          <w:sz w:val="24"/>
          <w:szCs w:val="24"/>
        </w:rPr>
        <w:t xml:space="preserve">5. Registro di esecuzione</w:t>
      </w:r>
    </w:p>
    <w:p>
      <w:pPr>
        <w:pStyle w:val="ListParagraph"/>
        <w:numPr>
          <w:ilvl w:val="0"/>
          <w:numId w:val="1"/>
        </w:numPr>
        <w:spacing w:after="40"/>
        <w:jc w:val="both"/>
      </w:pPr>
      <w:r>
        <w:rPr>
          <w:rFonts w:ascii="Barlow Semi Condensed" w:cs="Barlow Semi Condensed" w:eastAsia="Barlow Semi Condensed" w:hAnsi="Barlow Semi Condensed"/>
          <w:sz w:val="24"/>
          <w:szCs w:val="24"/>
        </w:rPr>
        <w:t xml:space="preserve">Nodi documentati: </w:t>
      </w:r>
      <w:r>
        <w:rPr>
          <w:rFonts w:ascii="Barlow Semi Condensed" w:cs="Barlow Semi Condensed" w:eastAsia="Barlow Semi Condensed" w:hAnsi="Barlow Semi Condensed"/>
          <w:b/>
          <w:bCs/>
          <w:sz w:val="24"/>
          <w:szCs w:val="24"/>
        </w:rPr>
        <w:t xml:space="preserve">9</w:t>
      </w:r>
      <w:r>
        <w:rPr>
          <w:rFonts w:ascii="Barlow Semi Condensed" w:cs="Barlow Semi Condensed" w:eastAsia="Barlow Semi Condensed" w:hAnsi="Barlow Semi Condensed"/>
          <w:sz w:val="24"/>
          <w:szCs w:val="24"/>
        </w:rPr>
        <w:t xml:space="preserve"> (HY-1…HY-9), tutti con fonte citata; verifiche web dedicate eseguite in sessione: </w:t>
      </w:r>
      <w:r>
        <w:rPr>
          <w:rFonts w:ascii="Barlow Semi Condensed" w:cs="Barlow Semi Condensed" w:eastAsia="Barlow Semi Condensed" w:hAnsi="Barlow Semi Condensed"/>
          <w:b/>
          <w:bCs/>
          <w:sz w:val="24"/>
          <w:szCs w:val="24"/>
        </w:rPr>
        <w:t xml:space="preserve">3</w:t>
      </w:r>
      <w:r>
        <w:rPr>
          <w:rFonts w:ascii="Barlow Semi Condensed" w:cs="Barlow Semi Condensed" w:eastAsia="Barlow Semi Condensed" w:hAnsi="Barlow Semi Condensed"/>
          <w:sz w:val="24"/>
          <w:szCs w:val="24"/>
        </w:rPr>
        <w:t xml:space="preserve">.</w:t>
      </w:r>
    </w:p>
    <w:p>
      <w:pPr>
        <w:pStyle w:val="ListParagraph"/>
        <w:numPr>
          <w:ilvl w:val="0"/>
          <w:numId w:val="1"/>
        </w:numPr>
        <w:spacing w:after="40"/>
        <w:jc w:val="both"/>
      </w:pPr>
      <w:r>
        <w:rPr>
          <w:rFonts w:ascii="Barlow Semi Condensed" w:cs="Barlow Semi Condensed" w:eastAsia="Barlow Semi Condensed" w:hAnsi="Barlow Semi Condensed"/>
          <w:sz w:val="24"/>
          <w:szCs w:val="24"/>
        </w:rPr>
        <w:t xml:space="preserve">Tesi vagliate e lasciate al grado di congettura: </w:t>
      </w:r>
      <w:r>
        <w:rPr>
          <w:rFonts w:ascii="Barlow Semi Condensed" w:cs="Barlow Semi Condensed" w:eastAsia="Barlow Semi Condensed" w:hAnsi="Barlow Semi Condensed"/>
          <w:b/>
          <w:bCs/>
          <w:sz w:val="24"/>
          <w:szCs w:val="24"/>
        </w:rPr>
        <w:t xml:space="preserve">2</w:t>
      </w:r>
      <w:r>
        <w:rPr>
          <w:rFonts w:ascii="Barlow Semi Condensed" w:cs="Barlow Semi Condensed" w:eastAsia="Barlow Semi Condensed" w:hAnsi="Barlow Semi Condensed"/>
          <w:sz w:val="24"/>
          <w:szCs w:val="24"/>
        </w:rPr>
        <w:t xml:space="preserve"> (§ 2), con criterio di smentita comune dichiarato (BH-2).</w:t>
      </w:r>
    </w:p>
    <w:p>
      <w:pPr>
        <w:pStyle w:val="ListParagraph"/>
        <w:numPr>
          <w:ilvl w:val="0"/>
          <w:numId w:val="1"/>
        </w:numPr>
        <w:spacing w:after="40"/>
        <w:jc w:val="both"/>
      </w:pPr>
      <w:r>
        <w:rPr>
          <w:rFonts w:ascii="Barlow Semi Condensed" w:cs="Barlow Semi Condensed" w:eastAsia="Barlow Semi Condensed" w:hAnsi="Barlow Semi Condensed"/>
          <w:sz w:val="24"/>
          <w:szCs w:val="24"/>
        </w:rPr>
        <w:t xml:space="preserve">Ponti con il corpus: </w:t>
      </w:r>
      <w:r>
        <w:rPr>
          <w:rFonts w:ascii="Barlow Semi Condensed" w:cs="Barlow Semi Condensed" w:eastAsia="Barlow Semi Condensed" w:hAnsi="Barlow Semi Condensed"/>
          <w:b/>
          <w:bCs/>
          <w:sz w:val="24"/>
          <w:szCs w:val="24"/>
        </w:rPr>
        <w:t xml:space="preserve">4</w:t>
      </w:r>
      <w:r>
        <w:rPr>
          <w:rFonts w:ascii="Barlow Semi Condensed" w:cs="Barlow Semi Condensed" w:eastAsia="Barlow Semi Condensed" w:hAnsi="Barlow Semi Condensed"/>
          <w:sz w:val="24"/>
          <w:szCs w:val="24"/>
        </w:rPr>
        <w:t xml:space="preserve"> (BH-1 genealogico documentato; BH-2 tematico; BH-3 simmetria di metodo; BH-4 convergenza dichiarata).</w:t>
      </w:r>
    </w:p>
    <w:p>
      <w:pPr>
        <w:pStyle w:val="ListParagraph"/>
        <w:numPr>
          <w:ilvl w:val="0"/>
          <w:numId w:val="1"/>
        </w:numPr>
        <w:spacing w:after="40"/>
        <w:jc w:val="both"/>
      </w:pPr>
      <w:r>
        <w:rPr>
          <w:rFonts w:ascii="Barlow Semi Condensed" w:cs="Barlow Semi Condensed" w:eastAsia="Barlow Semi Condensed" w:hAnsi="Barlow Semi Condensed"/>
          <w:sz w:val="24"/>
          <w:szCs w:val="24"/>
        </w:rPr>
        <w:t xml:space="preserve">Anti-triangolazioni: </w:t>
      </w:r>
      <w:r>
        <w:rPr>
          <w:rFonts w:ascii="Barlow Semi Condensed" w:cs="Barlow Semi Condensed" w:eastAsia="Barlow Semi Condensed" w:hAnsi="Barlow Semi Condensed"/>
          <w:b/>
          <w:bCs/>
          <w:sz w:val="24"/>
          <w:szCs w:val="24"/>
        </w:rPr>
        <w:t xml:space="preserve">3</w:t>
      </w:r>
      <w:r>
        <w:rPr>
          <w:rFonts w:ascii="Barlow Semi Condensed" w:cs="Barlow Semi Condensed" w:eastAsia="Barlow Semi Condensed" w:hAnsi="Barlow Semi Condensed"/>
          <w:sz w:val="24"/>
          <w:szCs w:val="24"/>
        </w:rPr>
        <w:t xml:space="preserve">.</w:t>
      </w:r>
    </w:p>
    <w:p>
      <w:pPr>
        <w:pStyle w:val="ListParagraph"/>
        <w:numPr>
          <w:ilvl w:val="0"/>
          <w:numId w:val="1"/>
        </w:numPr>
        <w:spacing w:after="40"/>
        <w:jc w:val="both"/>
      </w:pPr>
      <w:r>
        <w:rPr>
          <w:rFonts w:ascii="Barlow Semi Condensed" w:cs="Barlow Semi Condensed" w:eastAsia="Barlow Semi Condensed" w:hAnsi="Barlow Semi Condensed"/>
          <w:sz w:val="24"/>
          <w:szCs w:val="24"/>
        </w:rPr>
        <w:t xml:space="preserve">Il nodo </w:t>
      </w:r>
      <w:r>
        <w:rPr>
          <w:rFonts w:ascii="Barlow Semi Condensed" w:cs="Barlow Semi Condensed" w:eastAsia="Barlow Semi Condensed" w:hAnsi="Barlow Semi Condensed"/>
          <w:b/>
          <w:bCs/>
          <w:sz w:val="24"/>
          <w:szCs w:val="24"/>
        </w:rPr>
        <w:t xml:space="preserve">non è inserito</w:t>
      </w:r>
      <w:r>
        <w:rPr>
          <w:rFonts w:ascii="Barlow Semi Condensed" w:cs="Barlow Semi Condensed" w:eastAsia="Barlow Semi Condensed" w:hAnsi="Barlow Semi Condensed"/>
          <w:sz w:val="24"/>
          <w:szCs w:val="24"/>
        </w:rPr>
        <w:t xml:space="preserve"> nella cronologia sinottica: quella registra solo fatti documentati dei tre fili (Guevara, mito, Moro), e Hyperion vi apparterrebbe solo per via di tesi non provate.</w:t>
      </w:r>
    </w:p>
    <w:p>
      <w:pPr>
        <w:pBdr>
          <w:bottom w:val="single" w:color="999999" w:sz="6" w:space="1"/>
        </w:pBdr>
        <w:spacing w:after="80"/>
      </w:pPr>
    </w:p>
    <w:p>
      <w:pPr>
        <w:spacing w:after="120" w:line="276"/>
        <w:jc w:val="both"/>
      </w:pPr>
      <w:r>
        <w:rPr>
          <w:rFonts w:ascii="Barlow Semi Condensed" w:cs="Barlow Semi Condensed" w:eastAsia="Barlow Semi Condensed" w:hAnsi="Barlow Semi Condensed"/>
          <w:i/>
          <w:iCs/>
          <w:sz w:val="24"/>
          <w:szCs w:val="24"/>
        </w:rPr>
        <w:t xml:space="preserve">Triangolazione del nodo Hyperion con il corpus. Fondatori nominati solo per fatti pubblici e con esiti giudiziari liberatori esplicitati; le due tesi contrapposte lasciate entrambe al grado di congettura con criterio di smentita dichiarato. Nessuna imputazione oltre il giudicato — qui, dove il giudicato assolve, la formula significa: nessuna imputazione.</w:t>
      </w:r>
    </w:p>
    <w:p>
      <w:pPr>
        <w:pStyle w:val="Heading3"/>
        <w:spacing w:after="80" w:before="240"/>
      </w:pPr>
      <w:r>
        <w:rPr>
          <w:rFonts w:ascii="Barlow Semi Condensed" w:cs="Barlow Semi Condensed" w:eastAsia="Barlow Semi Condensed" w:hAnsi="Barlow Semi Condensed"/>
          <w:sz w:val="24"/>
          <w:szCs w:val="24"/>
        </w:rPr>
        <w:t xml:space="preserve">Apparato grafico — Libro quinto · Il nodo Hyperion</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5"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Libro quinto III: 1.383 parole in 5 sezioni; la più ampia è §1 1. I fatti documentati, con 467.</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6"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Libro quinto III: 17 indirizzi di fonte citati, addensati in 2 sezioni su 5.</w:t>
      </w:r>
    </w:p>
    <w:p>
      <w:pPr>
        <w:spacing w:after="120"/>
        <w:jc w:val="center"/>
      </w:pPr>
      <w:r>
        <w:rPr>
          <w:rFonts w:ascii="Barlow Semi Condensed" w:cs="Barlow Semi Condensed" w:eastAsia="Barlow Semi Condensed" w:hAnsi="Barlow Semi Condensed"/>
          <w:color w:val="777777"/>
          <w:sz w:val="16"/>
          <w:szCs w:val="16"/>
        </w:rPr>
        <w:t xml:space="preserve">Le metriche dell'apparato contano parole, documenti e atti — mai colpe.</w:t>
      </w:r>
    </w:p>
    <w:p>
      <w:r>
        <w:br w:type="page"/>
      </w:r>
    </w:p>
    <w:p>
      <w:pPr>
        <w:pStyle w:val="Heading1"/>
        <w:spacing w:after="120" w:before="240"/>
      </w:pPr>
      <w:r>
        <w:rPr>
          <w:rFonts w:ascii="Barlow Semi Condensed" w:cs="Barlow Semi Condensed" w:eastAsia="Barlow Semi Condensed" w:hAnsi="Barlow Semi Condensed"/>
          <w:sz w:val="24"/>
          <w:szCs w:val="24"/>
        </w:rPr>
        <w:t xml:space="preserve">Libro quinto — Il vettore e il ceppo — IV. L'incrocio Feltrinelli-Hyperion</w:t>
      </w:r>
    </w:p>
    <w:p>
      <w:pPr>
        <w:pStyle w:val="Heading1"/>
        <w:spacing w:after="120" w:before="240"/>
      </w:pPr>
      <w:r>
        <w:rPr>
          <w:rFonts w:ascii="Barlow Semi Condensed" w:cs="Barlow Semi Condensed" w:eastAsia="Barlow Semi Condensed" w:hAnsi="Barlow Semi Condensed"/>
          <w:sz w:val="24"/>
          <w:szCs w:val="24"/>
        </w:rPr>
        <w:t xml:space="preserve">Triangolazione d'incrocio: Feltrinelli e Hyperion</w:t>
      </w:r>
    </w:p>
    <w:p>
      <w:pPr>
        <w:spacing w:after="120" w:line="276"/>
        <w:jc w:val="both"/>
      </w:pPr>
      <w:r>
        <w:rPr>
          <w:rFonts w:ascii="Barlow Semi Condensed" w:cs="Barlow Semi Condensed" w:eastAsia="Barlow Semi Condensed" w:hAnsi="Barlow Semi Condensed"/>
          <w:i/>
          <w:iCs/>
          <w:sz w:val="24"/>
          <w:szCs w:val="24"/>
        </w:rPr>
        <w:t xml:space="preserve">I due fronti a confronto: la matrice milanese, le tre strade, i ponti biografici e le congetture smentite — 24 agosto 2026</w:t>
      </w:r>
    </w:p>
    <w:p>
      <w:pPr>
        <w:pBdr>
          <w:left w:val="single" w:color="1F3864" w:sz="18" w:space="8"/>
        </w:pBdr>
        <w:spacing w:after="80" w:before="80"/>
        <w:ind w:left="360" w:right="360"/>
        <w:jc w:val="both"/>
      </w:pPr>
      <w:r>
        <w:rPr>
          <w:rFonts w:ascii="Barlow Semi Condensed" w:cs="Barlow Semi Condensed" w:eastAsia="Barlow Semi Condensed" w:hAnsi="Barlow Semi Condensed"/>
          <w:b/>
          <w:bCs/>
          <w:i w:val="false"/>
          <w:iCs w:val="false"/>
          <w:sz w:val="24"/>
          <w:szCs w:val="24"/>
        </w:rPr>
        <w:t xml:space="preserve">Statuto.</w:t>
      </w:r>
      <w:r>
        <w:rPr>
          <w:rFonts w:ascii="Barlow Semi Condensed" w:cs="Barlow Semi Condensed" w:eastAsia="Barlow Semi Condensed" w:hAnsi="Barlow Semi Condensed"/>
          <w:i w:val="false"/>
          <w:iCs w:val="false"/>
          <w:sz w:val="24"/>
          <w:szCs w:val="24"/>
        </w:rPr>
        <w:t xml:space="preserve"> Il corpus ha ora due studi che si guardano: il vettore (Feltrinelli, i GAP, Segrate) e il nodo Hyperion (Simioni, Berio, Mulinaris, il Superclan, Parigi). Questo documento li </w:t>
      </w:r>
      <w:r>
        <w:rPr>
          <w:rFonts w:ascii="Barlow Semi Condensed" w:cs="Barlow Semi Condensed" w:eastAsia="Barlow Semi Condensed" w:hAnsi="Barlow Semi Condensed"/>
          <w:b/>
          <w:bCs/>
          <w:i w:val="false"/>
          <w:iCs w:val="false"/>
          <w:sz w:val="24"/>
          <w:szCs w:val="24"/>
        </w:rPr>
        <w:t xml:space="preserve">incrocia</w:t>
      </w:r>
      <w:r>
        <w:rPr>
          <w:rFonts w:ascii="Barlow Semi Condensed" w:cs="Barlow Semi Condensed" w:eastAsia="Barlow Semi Condensed" w:hAnsi="Barlow Semi Condensed"/>
          <w:i w:val="false"/>
          <w:iCs w:val="false"/>
          <w:sz w:val="24"/>
          <w:szCs w:val="24"/>
        </w:rPr>
        <w:t xml:space="preserve">: stabilisce che cosa li lega davvero — su fonti — e che cosa li lega solo nella pubblicistica. L'esito si anticipa perché orienta la lettura: </w:t>
      </w:r>
      <w:r>
        <w:rPr>
          <w:rFonts w:ascii="Barlow Semi Condensed" w:cs="Barlow Semi Condensed" w:eastAsia="Barlow Semi Condensed" w:hAnsi="Barlow Semi Condensed"/>
          <w:b/>
          <w:bCs/>
          <w:i w:val="false"/>
          <w:iCs w:val="false"/>
          <w:sz w:val="24"/>
          <w:szCs w:val="24"/>
        </w:rPr>
        <w:t xml:space="preserve">i due fronti condividono la matrice e gli uomini, non le organizzazioni.</w:t>
      </w:r>
      <w:r>
        <w:rPr>
          <w:rFonts w:ascii="Barlow Semi Condensed" w:cs="Barlow Semi Condensed" w:eastAsia="Barlow Semi Condensed" w:hAnsi="Barlow Semi Condensed"/>
          <w:i w:val="false"/>
          <w:iCs w:val="false"/>
          <w:sz w:val="24"/>
          <w:szCs w:val="24"/>
        </w:rPr>
        <w:t xml:space="preserve"> Hyperion nacque nel 1976, quattro anni dopo la morte di Feltrinelli: fra l'editore e la scuola di Parigi non esiste, per ragioni di calendario prima che di prova, alcun rapporto diretto. Ciò che esiste — ed è documentato — è un </w:t>
      </w:r>
      <w:r>
        <w:rPr>
          <w:rFonts w:ascii="Barlow Semi Condensed" w:cs="Barlow Semi Condensed" w:eastAsia="Barlow Semi Condensed" w:hAnsi="Barlow Semi Condensed"/>
          <w:b/>
          <w:bCs/>
          <w:i w:val="false"/>
          <w:iCs w:val="false"/>
          <w:sz w:val="24"/>
          <w:szCs w:val="24"/>
        </w:rPr>
        <w:t xml:space="preserve">ceppo comune</w:t>
      </w:r>
      <w:r>
        <w:rPr>
          <w:rFonts w:ascii="Barlow Semi Condensed" w:cs="Barlow Semi Condensed" w:eastAsia="Barlow Semi Condensed" w:hAnsi="Barlow Semi Condensed"/>
          <w:i w:val="false"/>
          <w:iCs w:val="false"/>
          <w:sz w:val="24"/>
          <w:szCs w:val="24"/>
        </w:rPr>
        <w:t xml:space="preserve"> (la Milano extraparlamentare del 1969-72) da cui uscirono tre progetti clandestini distinti, e alcuni </w:t>
      </w:r>
      <w:r>
        <w:rPr>
          <w:rFonts w:ascii="Barlow Semi Condensed" w:cs="Barlow Semi Condensed" w:eastAsia="Barlow Semi Condensed" w:hAnsi="Barlow Semi Condensed"/>
          <w:b/>
          <w:bCs/>
          <w:i w:val="false"/>
          <w:iCs w:val="false"/>
          <w:sz w:val="24"/>
          <w:szCs w:val="24"/>
        </w:rPr>
        <w:t xml:space="preserve">ponti biografici</w:t>
      </w:r>
      <w:r>
        <w:rPr>
          <w:rFonts w:ascii="Barlow Semi Condensed" w:cs="Barlow Semi Condensed" w:eastAsia="Barlow Semi Condensed" w:hAnsi="Barlow Semi Condensed"/>
          <w:i w:val="false"/>
          <w:iCs w:val="false"/>
          <w:sz w:val="24"/>
          <w:szCs w:val="24"/>
        </w:rPr>
        <w:t xml:space="preserve"> precisi. Vale la disciplina di entrambi i fronti: i fondatori di Hyperion furono prosciolti da ogni accusa; la morte di Feltrinelli ha una ricostruzione giudiziaria; le congetture della memorialistica sono trattate come tali, comprese quelle </w:t>
      </w:r>
      <w:r>
        <w:rPr>
          <w:rFonts w:ascii="Barlow Semi Condensed" w:cs="Barlow Semi Condensed" w:eastAsia="Barlow Semi Condensed" w:hAnsi="Barlow Semi Condensed"/>
          <w:b/>
          <w:bCs/>
          <w:i w:val="false"/>
          <w:iCs w:val="false"/>
          <w:sz w:val="24"/>
          <w:szCs w:val="24"/>
        </w:rPr>
        <w:t xml:space="preserve">smentite</w:t>
      </w:r>
      <w:r>
        <w:rPr>
          <w:rFonts w:ascii="Barlow Semi Condensed" w:cs="Barlow Semi Condensed" w:eastAsia="Barlow Semi Condensed" w:hAnsi="Barlow Semi Condensed"/>
          <w:i w:val="false"/>
          <w:iCs w:val="false"/>
          <w:sz w:val="24"/>
          <w:szCs w:val="24"/>
        </w:rPr>
        <w:t xml:space="preserve">.</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1. La matrice e le tre strade (nodi FH-1…FH-2)</w:t>
      </w:r>
    </w:p>
    <w:p>
      <w:pPr>
        <w:spacing w:after="120" w:line="276"/>
        <w:jc w:val="both"/>
      </w:pPr>
      <w:r>
        <w:rPr>
          <w:rFonts w:ascii="Barlow Semi Condensed" w:cs="Barlow Semi Condensed" w:eastAsia="Barlow Semi Condensed" w:hAnsi="Barlow Semi Condensed"/>
          <w:b/>
          <w:bCs/>
          <w:sz w:val="24"/>
          <w:szCs w:val="24"/>
        </w:rPr>
        <w:t xml:space="preserve">FH-1 · Il ceppo comune (documentato).</w:t>
      </w:r>
      <w:r>
        <w:rPr>
          <w:rFonts w:ascii="Barlow Semi Condensed" w:cs="Barlow Semi Condensed" w:eastAsia="Barlow Semi Condensed" w:hAnsi="Barlow Semi Condensed"/>
          <w:sz w:val="24"/>
          <w:szCs w:val="24"/>
        </w:rPr>
        <w:t xml:space="preserve"> La matrice è il </w:t>
      </w:r>
      <w:r>
        <w:rPr>
          <w:rFonts w:ascii="Barlow Semi Condensed" w:cs="Barlow Semi Condensed" w:eastAsia="Barlow Semi Condensed" w:hAnsi="Barlow Semi Condensed"/>
          <w:b/>
          <w:bCs/>
          <w:sz w:val="24"/>
          <w:szCs w:val="24"/>
        </w:rPr>
        <w:t xml:space="preserve">Collettivo Politico Metropolitano</w:t>
      </w:r>
      <w:r>
        <w:rPr>
          <w:rFonts w:ascii="Barlow Semi Condensed" w:cs="Barlow Semi Condensed" w:eastAsia="Barlow Semi Condensed" w:hAnsi="Barlow Semi Condensed"/>
          <w:sz w:val="24"/>
          <w:szCs w:val="24"/>
        </w:rPr>
        <w:t xml:space="preserve"> (Milano, settembre 1969) e l'area che gli stava attorno: vi convissero Renato Curcio e i futuri fondatori di Hyperion — Simioni, Berio, Mulinaris (nodo HY-1). Feltrinelli non apparteneva al CPM, ma operava nella stessa città, negli stessi anni, sullo stesso crinale fra legalità e clandestinità, e con l'area era in contatto (nodo M-2: Curcio, «a scuola di guerriglia da Feltrinelli»).</w:t>
      </w:r>
    </w:p>
    <w:p>
      <w:pPr>
        <w:spacing w:after="120" w:line="276"/>
        <w:jc w:val="both"/>
      </w:pPr>
      <w:r>
        <w:rPr>
          <w:rFonts w:ascii="Barlow Semi Condensed" w:cs="Barlow Semi Condensed" w:eastAsia="Barlow Semi Condensed" w:hAnsi="Barlow Semi Condensed"/>
          <w:b/>
          <w:bCs/>
          <w:sz w:val="24"/>
          <w:szCs w:val="24"/>
        </w:rPr>
        <w:t xml:space="preserve">FH-2 · La triforcazione del 1970 (documentato).</w:t>
      </w:r>
      <w:r>
        <w:rPr>
          <w:rFonts w:ascii="Barlow Semi Condensed" w:cs="Barlow Semi Condensed" w:eastAsia="Barlow Semi Condensed" w:hAnsi="Barlow Semi Condensed"/>
          <w:sz w:val="24"/>
          <w:szCs w:val="24"/>
        </w:rPr>
        <w:t xml:space="preserve"> Nel giro di pochi mesi, da quel ceppo e dal suo intorno uscirono </w:t>
      </w:r>
      <w:r>
        <w:rPr>
          <w:rFonts w:ascii="Barlow Semi Condensed" w:cs="Barlow Semi Condensed" w:eastAsia="Barlow Semi Condensed" w:hAnsi="Barlow Semi Condensed"/>
          <w:b/>
          <w:bCs/>
          <w:sz w:val="24"/>
          <w:szCs w:val="24"/>
        </w:rPr>
        <w:t xml:space="preserve">tre progetti clandestini distinti</w:t>
      </w:r>
      <w:r>
        <w:rPr>
          <w:rFonts w:ascii="Barlow Semi Condensed" w:cs="Barlow Semi Condensed" w:eastAsia="Barlow Semi Condensed" w:hAnsi="Barlow Semi Condensed"/>
          <w:sz w:val="24"/>
          <w:szCs w:val="24"/>
        </w:rPr>
        <w:t xml:space="preserv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c>
          <w:tcPr>
            <w:tcW w:type="dxa" w:w="312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Strada</w:t>
            </w:r>
          </w:p>
        </w:tc>
        <w:tc>
          <w:tcPr>
            <w:tcW w:type="dxa" w:w="312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Progetto</w:t>
            </w:r>
          </w:p>
        </w:tc>
        <w:tc>
          <w:tcPr>
            <w:tcW w:type="dxa" w:w="312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Data</w:t>
            </w:r>
          </w:p>
        </w:tc>
      </w:tr>
      <w:tr>
        <w:tc>
          <w:tcPr>
            <w:tcW w:type="dxa" w:w="3120"/>
          </w:tcPr>
          <w:p>
            <w:pPr>
              <w:spacing w:after="20" w:before="20"/>
              <w:jc w:val="both"/>
            </w:pPr>
            <w:r>
              <w:rPr>
                <w:rFonts w:ascii="Barlow Semi Condensed" w:cs="Barlow Semi Condensed" w:eastAsia="Barlow Semi Condensed" w:hAnsi="Barlow Semi Condensed"/>
                <w:sz w:val="20"/>
                <w:szCs w:val="20"/>
              </w:rPr>
              <w:t xml:space="preserve">Feltrinelli</w:t>
            </w:r>
          </w:p>
        </w:tc>
        <w:tc>
          <w:tcPr>
            <w:tcW w:type="dxa" w:w="3120"/>
          </w:tcPr>
          <w:p>
            <w:pPr>
              <w:spacing w:after="20" w:before="20"/>
              <w:jc w:val="both"/>
            </w:pPr>
            <w:r>
              <w:rPr>
                <w:rFonts w:ascii="Barlow Semi Condensed" w:cs="Barlow Semi Condensed" w:eastAsia="Barlow Semi Condensed" w:hAnsi="Barlow Semi Condensed"/>
                <w:b/>
                <w:bCs/>
                <w:sz w:val="20"/>
                <w:szCs w:val="20"/>
              </w:rPr>
              <w:t xml:space="preserve">GAP</w:t>
            </w:r>
            <w:r>
              <w:rPr>
                <w:rFonts w:ascii="Barlow Semi Condensed" w:cs="Barlow Semi Condensed" w:eastAsia="Barlow Semi Condensed" w:hAnsi="Barlow Semi Condensed"/>
                <w:sz w:val="20"/>
                <w:szCs w:val="20"/>
              </w:rPr>
              <w:t xml:space="preserve"> — il foco insurrezionale sul modello resistenziale</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aprile-maggio 1970</w:t>
            </w:r>
          </w:p>
        </w:tc>
      </w:tr>
      <w:tr>
        <w:tc>
          <w:tcPr>
            <w:tcW w:type="dxa" w:w="3120"/>
          </w:tcPr>
          <w:p>
            <w:pPr>
              <w:spacing w:after="20" w:before="20"/>
              <w:jc w:val="both"/>
            </w:pPr>
            <w:r>
              <w:rPr>
                <w:rFonts w:ascii="Barlow Semi Condensed" w:cs="Barlow Semi Condensed" w:eastAsia="Barlow Semi Condensed" w:hAnsi="Barlow Semi Condensed"/>
                <w:sz w:val="20"/>
                <w:szCs w:val="20"/>
              </w:rPr>
              <w:t xml:space="preserve">Curcio, Franceschini e altri</w:t>
            </w:r>
          </w:p>
        </w:tc>
        <w:tc>
          <w:tcPr>
            <w:tcW w:type="dxa" w:w="3120"/>
          </w:tcPr>
          <w:p>
            <w:pPr>
              <w:spacing w:after="20" w:before="20"/>
              <w:jc w:val="both"/>
            </w:pPr>
            <w:r>
              <w:rPr>
                <w:rFonts w:ascii="Barlow Semi Condensed" w:cs="Barlow Semi Condensed" w:eastAsia="Barlow Semi Condensed" w:hAnsi="Barlow Semi Condensed"/>
                <w:b/>
                <w:bCs/>
                <w:sz w:val="20"/>
                <w:szCs w:val="20"/>
              </w:rPr>
              <w:t xml:space="preserve">Brigate Rosse</w:t>
            </w:r>
            <w:r>
              <w:rPr>
                <w:rFonts w:ascii="Barlow Semi Condensed" w:cs="Barlow Semi Condensed" w:eastAsia="Barlow Semi Condensed" w:hAnsi="Barlow Semi Condensed"/>
                <w:sz w:val="20"/>
                <w:szCs w:val="20"/>
              </w:rPr>
              <w:t xml:space="preserve"> — nate al convegno di Pecorile</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agosto 1970</w:t>
            </w:r>
          </w:p>
        </w:tc>
      </w:tr>
      <w:tr>
        <w:tc>
          <w:tcPr>
            <w:tcW w:type="dxa" w:w="3120"/>
          </w:tcPr>
          <w:p>
            <w:pPr>
              <w:spacing w:after="20" w:before="20"/>
              <w:jc w:val="both"/>
            </w:pPr>
            <w:r>
              <w:rPr>
                <w:rFonts w:ascii="Barlow Semi Condensed" w:cs="Barlow Semi Condensed" w:eastAsia="Barlow Semi Condensed" w:hAnsi="Barlow Semi Condensed"/>
                <w:sz w:val="20"/>
                <w:szCs w:val="20"/>
              </w:rPr>
              <w:t xml:space="preserve">Simioni, Berio, Mulinaris</w:t>
            </w:r>
          </w:p>
        </w:tc>
        <w:tc>
          <w:tcPr>
            <w:tcW w:type="dxa" w:w="3120"/>
          </w:tcPr>
          <w:p>
            <w:pPr>
              <w:spacing w:after="20" w:before="20"/>
              <w:jc w:val="both"/>
            </w:pPr>
            <w:r>
              <w:rPr>
                <w:rFonts w:ascii="Barlow Semi Condensed" w:cs="Barlow Semi Condensed" w:eastAsia="Barlow Semi Condensed" w:hAnsi="Barlow Semi Condensed"/>
                <w:b/>
                <w:bCs/>
                <w:sz w:val="20"/>
                <w:szCs w:val="20"/>
              </w:rPr>
              <w:t xml:space="preserve">«Superclan»</w:t>
            </w:r>
            <w:r>
              <w:rPr>
                <w:rFonts w:ascii="Barlow Semi Condensed" w:cs="Barlow Semi Condensed" w:eastAsia="Barlow Semi Condensed" w:hAnsi="Barlow Semi Condensed"/>
                <w:sz w:val="20"/>
                <w:szCs w:val="20"/>
              </w:rPr>
              <w:t xml:space="preserve"> — la struttura riservata, poi la strada di Parigi fino a Hyperion (1976)</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1970 → 1976</w:t>
            </w:r>
          </w:p>
        </w:tc>
      </w:tr>
    </w:tbl>
    <w:p>
      <w:pPr>
        <w:spacing w:after="80"/>
      </w:pPr>
    </w:p>
    <w:p>
      <w:pPr>
        <w:spacing w:after="120" w:line="276"/>
        <w:jc w:val="both"/>
      </w:pPr>
      <w:r>
        <w:rPr>
          <w:rFonts w:ascii="Barlow Semi Condensed" w:cs="Barlow Semi Condensed" w:eastAsia="Barlow Semi Condensed" w:hAnsi="Barlow Semi Condensed"/>
          <w:sz w:val="24"/>
          <w:szCs w:val="24"/>
        </w:rPr>
        <w:t xml:space="preserve">La triforcazione è il dato strutturale dell'incrocio: </w:t>
      </w:r>
      <w:r>
        <w:rPr>
          <w:rFonts w:ascii="Barlow Semi Condensed" w:cs="Barlow Semi Condensed" w:eastAsia="Barlow Semi Condensed" w:hAnsi="Barlow Semi Condensed"/>
          <w:b/>
          <w:bCs/>
          <w:sz w:val="24"/>
          <w:szCs w:val="24"/>
        </w:rPr>
        <w:t xml:space="preserve">non una piramide con un vertice, ma un cespo con tre rami</w:t>
      </w:r>
      <w:r>
        <w:rPr>
          <w:rFonts w:ascii="Barlow Semi Condensed" w:cs="Barlow Semi Condensed" w:eastAsia="Barlow Semi Condensed" w:hAnsi="Barlow Semi Condensed"/>
          <w:sz w:val="24"/>
          <w:szCs w:val="24"/>
        </w:rPr>
        <w:t xml:space="preserve"> — che la pubblicistica ha ripetutamente provato a ricomporre in un'unica regia, senza che alcun accertamento l'abbia mai consentito.</w:t>
      </w:r>
    </w:p>
    <w:p>
      <w:pPr>
        <w:pStyle w:val="Heading2"/>
        <w:spacing w:after="100" w:before="200"/>
      </w:pPr>
      <w:r>
        <w:rPr>
          <w:rFonts w:ascii="Barlow Semi Condensed" w:cs="Barlow Semi Condensed" w:eastAsia="Barlow Semi Condensed" w:hAnsi="Barlow Semi Condensed"/>
          <w:sz w:val="24"/>
          <w:szCs w:val="24"/>
        </w:rPr>
        <w:t xml:space="preserve">2. I ponti documentati (FH-3…FH-7)</w:t>
      </w:r>
    </w:p>
    <w:p>
      <w:pPr>
        <w:spacing w:after="120" w:line="276"/>
        <w:jc w:val="both"/>
      </w:pPr>
      <w:r>
        <w:rPr>
          <w:rFonts w:ascii="Barlow Semi Condensed" w:cs="Barlow Semi Condensed" w:eastAsia="Barlow Semi Condensed" w:hAnsi="Barlow Semi Condensed"/>
          <w:b/>
          <w:bCs/>
          <w:sz w:val="24"/>
          <w:szCs w:val="24"/>
        </w:rPr>
        <w:t xml:space="preserve">FH-3 · Feltrinelli e le BR: rapporti reali, comando unificato mai ottenuto.</w:t>
      </w:r>
      <w:r>
        <w:rPr>
          <w:rFonts w:ascii="Barlow Semi Condensed" w:cs="Barlow Semi Condensed" w:eastAsia="Barlow Semi Condensed" w:hAnsi="Barlow Semi Condensed"/>
          <w:sz w:val="24"/>
          <w:szCs w:val="24"/>
        </w:rPr>
        <w:t xml:space="preserve"> Dopo le prime azioni brigatiste (l'incendio alla Pirelli di Lainate, 25 gennaio 1971), Feltrinelli </w:t>
      </w:r>
      <w:r>
        <w:rPr>
          <w:rFonts w:ascii="Barlow Semi Condensed" w:cs="Barlow Semi Condensed" w:eastAsia="Barlow Semi Condensed" w:hAnsi="Barlow Semi Condensed"/>
          <w:b/>
          <w:bCs/>
          <w:sz w:val="24"/>
          <w:szCs w:val="24"/>
        </w:rPr>
        <w:t xml:space="preserve">stabilì rapporti con Curcio e Franceschini</w:t>
      </w:r>
      <w:r>
        <w:rPr>
          <w:rFonts w:ascii="Barlow Semi Condensed" w:cs="Barlow Semi Condensed" w:eastAsia="Barlow Semi Condensed" w:hAnsi="Barlow Semi Condensed"/>
          <w:sz w:val="24"/>
          <w:szCs w:val="24"/>
        </w:rPr>
        <w:t xml:space="preserve">: incontri sempre più frequenti dalla fine del 1970, fissati ai giardini di </w:t>
      </w:r>
      <w:r>
        <w:rPr>
          <w:rFonts w:ascii="Barlow Semi Condensed" w:cs="Barlow Semi Condensed" w:eastAsia="Barlow Semi Condensed" w:hAnsi="Barlow Semi Condensed"/>
          <w:b/>
          <w:bCs/>
          <w:sz w:val="24"/>
          <w:szCs w:val="24"/>
        </w:rPr>
        <w:t xml:space="preserve">piazza Castello</w:t>
      </w:r>
      <w:r>
        <w:rPr>
          <w:rFonts w:ascii="Barlow Semi Condensed" w:cs="Barlow Semi Condensed" w:eastAsia="Barlow Semi Condensed" w:hAnsi="Barlow Semi Condensed"/>
          <w:sz w:val="24"/>
          <w:szCs w:val="24"/>
        </w:rPr>
        <w:t xml:space="preserve"> e proseguiti negli appartamenti coperti dell'editore. Feltrinelli puntava al </w:t>
      </w:r>
      <w:r>
        <w:rPr>
          <w:rFonts w:ascii="Barlow Semi Condensed" w:cs="Barlow Semi Condensed" w:eastAsia="Barlow Semi Condensed" w:hAnsi="Barlow Semi Condensed"/>
          <w:b/>
          <w:bCs/>
          <w:sz w:val="24"/>
          <w:szCs w:val="24"/>
        </w:rPr>
        <w:t xml:space="preserve">comando unificato</w:t>
      </w:r>
      <w:r>
        <w:rPr>
          <w:rFonts w:ascii="Barlow Semi Condensed" w:cs="Barlow Semi Condensed" w:eastAsia="Barlow Semi Condensed" w:hAnsi="Barlow Semi Condensed"/>
          <w:sz w:val="24"/>
          <w:szCs w:val="24"/>
        </w:rPr>
        <w:t xml:space="preserve"> della lotta armata e </w:t>
      </w:r>
      <w:r>
        <w:rPr>
          <w:rFonts w:ascii="Barlow Semi Condensed" w:cs="Barlow Semi Condensed" w:eastAsia="Barlow Semi Condensed" w:hAnsi="Barlow Semi Condensed"/>
          <w:b/>
          <w:bCs/>
          <w:sz w:val="24"/>
          <w:szCs w:val="24"/>
        </w:rPr>
        <w:t xml:space="preserve">non lo ottenne</w:t>
      </w:r>
      <w:r>
        <w:rPr>
          <w:rFonts w:ascii="Barlow Semi Condensed" w:cs="Barlow Semi Condensed" w:eastAsia="Barlow Semi Condensed" w:hAnsi="Barlow Semi Condensed"/>
          <w:sz w:val="24"/>
          <w:szCs w:val="24"/>
        </w:rPr>
        <w:t xml:space="preserve">; della collaborazione resta traccia documentale nel foglio </w:t>
      </w:r>
      <w:r>
        <w:rPr>
          <w:rFonts w:ascii="Barlow Semi Condensed" w:cs="Barlow Semi Condensed" w:eastAsia="Barlow Semi Condensed" w:hAnsi="Barlow Semi Condensed"/>
          <w:b/>
          <w:bCs/>
          <w:sz w:val="24"/>
          <w:szCs w:val="24"/>
        </w:rPr>
        <w:t xml:space="preserve">«Nuova Resistenza»</w:t>
      </w:r>
      <w:r>
        <w:rPr>
          <w:rFonts w:ascii="Barlow Semi Condensed" w:cs="Barlow Semi Condensed" w:eastAsia="Barlow Semi Condensed" w:hAnsi="Barlow Semi Condensed"/>
          <w:sz w:val="24"/>
          <w:szCs w:val="24"/>
        </w:rPr>
        <w:t xml:space="preserve"> (aprile 1971, due numeri), continuazione ideale di «Voce Comunista» (Treccani, Dizionario Biografico (https://www.treccani.it/enciclopedia/giangiacomo-feltrinelli_(Dizionario-Biografico)/); Tassinari (https://www.ugomariatassinari.it/feltrinelli-curcio/)). Il ponte GAP-BR fu dunque </w:t>
      </w:r>
      <w:r>
        <w:rPr>
          <w:rFonts w:ascii="Barlow Semi Condensed" w:cs="Barlow Semi Condensed" w:eastAsia="Barlow Semi Condensed" w:hAnsi="Barlow Semi Condensed"/>
          <w:b/>
          <w:bCs/>
          <w:sz w:val="24"/>
          <w:szCs w:val="24"/>
        </w:rPr>
        <w:t xml:space="preserve">reale, personale e fallito nel suo obiettivo massimo</w:t>
      </w:r>
      <w:r>
        <w:rPr>
          <w:rFonts w:ascii="Barlow Semi Condensed" w:cs="Barlow Semi Condensed" w:eastAsia="Barlow Semi Condensed" w:hAnsi="Barlow Semi Condensed"/>
          <w:sz w:val="24"/>
          <w:szCs w:val="24"/>
        </w:rPr>
        <w:t xml:space="preserve"> — un negoziato fra sovrani, non una catena di comando.</w:t>
      </w:r>
    </w:p>
    <w:p>
      <w:pPr>
        <w:spacing w:after="120" w:line="276"/>
        <w:jc w:val="both"/>
      </w:pPr>
      <w:r>
        <w:rPr>
          <w:rFonts w:ascii="Barlow Semi Condensed" w:cs="Barlow Semi Condensed" w:eastAsia="Barlow Semi Condensed" w:hAnsi="Barlow Semi Condensed"/>
          <w:b/>
          <w:bCs/>
          <w:sz w:val="24"/>
          <w:szCs w:val="24"/>
        </w:rPr>
        <w:t xml:space="preserve">FH-4 · Franceschini dentro la struttura di Simioni (memorialistica incrociata).</w:t>
      </w:r>
      <w:r>
        <w:rPr>
          <w:rFonts w:ascii="Barlow Semi Condensed" w:cs="Barlow Semi Condensed" w:eastAsia="Barlow Semi Condensed" w:hAnsi="Barlow Semi Condensed"/>
          <w:sz w:val="24"/>
          <w:szCs w:val="24"/>
        </w:rPr>
        <w:t xml:space="preserve"> La pubblicistica critica sull'area ricostruisce che </w:t>
      </w:r>
      <w:r>
        <w:rPr>
          <w:rFonts w:ascii="Barlow Semi Condensed" w:cs="Barlow Semi Condensed" w:eastAsia="Barlow Semi Condensed" w:hAnsi="Barlow Semi Condensed"/>
          <w:b/>
          <w:bCs/>
          <w:sz w:val="24"/>
          <w:szCs w:val="24"/>
        </w:rPr>
        <w:t xml:space="preserve">Franceschini visse nella «Comune» di Simioni e fece parte della sua struttura riservata</w:t>
      </w:r>
      <w:r>
        <w:rPr>
          <w:rFonts w:ascii="Barlow Semi Condensed" w:cs="Barlow Semi Condensed" w:eastAsia="Barlow Semi Condensed" w:hAnsi="Barlow Semi Condensed"/>
          <w:sz w:val="24"/>
          <w:szCs w:val="24"/>
        </w:rPr>
        <w:t xml:space="preserve"> (dette «le zie rosse») prima della stagione BR (Insorgenze/Contropiano (https://insorgenze.net/2026/05/05/dalla-dottrina-mitterrand-alla-perfida-albione-le-mirabili-acrobazie-complottiste-del-giullare-fasanella/)). È il ponte biografico più stretto fra il nucleo fondativo delle BR e i futuri fondatori di Hyperion — e va pesato per quello che è: ricostruzione memorialistica di parte, usata nelle polemiche fra ex militanti in entrambe le direzioni, qui registrata con la sua fonte e senza promozione.</w:t>
      </w:r>
    </w:p>
    <w:p>
      <w:pPr>
        <w:spacing w:after="120" w:line="276"/>
        <w:jc w:val="both"/>
      </w:pPr>
      <w:r>
        <w:rPr>
          <w:rFonts w:ascii="Barlow Semi Condensed" w:cs="Barlow Semi Condensed" w:eastAsia="Barlow Semi Condensed" w:hAnsi="Barlow Semi Condensed"/>
          <w:b/>
          <w:bCs/>
          <w:sz w:val="24"/>
          <w:szCs w:val="24"/>
        </w:rPr>
        <w:t xml:space="preserve">FH-5 · Il filo Moretti (documentato, già vagliato).</w:t>
      </w:r>
      <w:r>
        <w:rPr>
          <w:rFonts w:ascii="Barlow Semi Condensed" w:cs="Barlow Semi Condensed" w:eastAsia="Barlow Semi Condensed" w:hAnsi="Barlow Semi Condensed"/>
          <w:sz w:val="24"/>
          <w:szCs w:val="24"/>
        </w:rPr>
        <w:t xml:space="preserve"> Mario Moretti transitò per il Superclan (nodo HY-2) e approdò alle BR fino alla direzione del sequestro Moro. È il secondo ponte biografico fra i due mondi; l'anti-triangolazione ATH-3 resta integra: </w:t>
      </w:r>
      <w:r>
        <w:rPr>
          <w:rFonts w:ascii="Barlow Semi Condensed" w:cs="Barlow Semi Condensed" w:eastAsia="Barlow Semi Condensed" w:hAnsi="Barlow Semi Condensed"/>
          <w:b/>
          <w:bCs/>
          <w:sz w:val="24"/>
          <w:szCs w:val="24"/>
        </w:rPr>
        <w:t xml:space="preserve">un filo biografico non è una catena di comando</w:t>
      </w:r>
      <w:r>
        <w:rPr>
          <w:rFonts w:ascii="Barlow Semi Condensed" w:cs="Barlow Semi Condensed" w:eastAsia="Barlow Semi Condensed" w:hAnsi="Barlow Semi Condensed"/>
          <w:sz w:val="24"/>
          <w:szCs w:val="24"/>
        </w:rPr>
        <w:t xml:space="preserve">, e i processi non hanno accertato alcuna eterodirezione.</w:t>
      </w:r>
    </w:p>
    <w:p>
      <w:pPr>
        <w:spacing w:after="120" w:line="276"/>
        <w:jc w:val="both"/>
      </w:pPr>
      <w:r>
        <w:rPr>
          <w:rFonts w:ascii="Barlow Semi Condensed" w:cs="Barlow Semi Condensed" w:eastAsia="Barlow Semi Condensed" w:hAnsi="Barlow Semi Condensed"/>
          <w:b/>
          <w:bCs/>
          <w:sz w:val="24"/>
          <w:szCs w:val="24"/>
        </w:rPr>
        <w:t xml:space="preserve">FH-6 · La giustizia trattò i due rami insieme (documentato).</w:t>
      </w:r>
      <w:r>
        <w:rPr>
          <w:rFonts w:ascii="Barlow Semi Condensed" w:cs="Barlow Semi Condensed" w:eastAsia="Barlow Semi Condensed" w:hAnsi="Barlow Semi Condensed"/>
          <w:sz w:val="24"/>
          <w:szCs w:val="24"/>
        </w:rPr>
        <w:t xml:space="preserve"> La magistratura celebrò un </w:t>
      </w:r>
      <w:r>
        <w:rPr>
          <w:rFonts w:ascii="Barlow Semi Condensed" w:cs="Barlow Semi Condensed" w:eastAsia="Barlow Semi Condensed" w:hAnsi="Barlow Semi Condensed"/>
          <w:b/>
          <w:bCs/>
          <w:sz w:val="24"/>
          <w:szCs w:val="24"/>
        </w:rPr>
        <w:t xml:space="preserve">processo congiunto «alle Brigate Rosse e ai GAP di Feltrinelli»</w:t>
      </w:r>
      <w:r>
        <w:rPr>
          <w:rFonts w:ascii="Barlow Semi Condensed" w:cs="Barlow Semi Condensed" w:eastAsia="Barlow Semi Condensed" w:hAnsi="Barlow Semi Condensed"/>
          <w:sz w:val="24"/>
          <w:szCs w:val="24"/>
        </w:rPr>
        <w:t xml:space="preserve"> (Torino, metà anni Settanta; il fascicolo è oggi valorizzato dal portale della memoria del Ministero della Cultura: memoria.cultura.gov.it (https://memoria.cultura.gov.it/w/processo-alle-brigate-rosse-e-ai-gap-di-feltrinelli)). Il dato è prezioso per l'incrocio: </w:t>
      </w:r>
      <w:r>
        <w:rPr>
          <w:rFonts w:ascii="Barlow Semi Condensed" w:cs="Barlow Semi Condensed" w:eastAsia="Barlow Semi Condensed" w:hAnsi="Barlow Semi Condensed"/>
          <w:b/>
          <w:bCs/>
          <w:sz w:val="24"/>
          <w:szCs w:val="24"/>
        </w:rPr>
        <w:t xml:space="preserve">l'unico luogo in cui GAP e BR furono davvero «unificati» fu l'aula giudiziaria</w:t>
      </w:r>
      <w:r>
        <w:rPr>
          <w:rFonts w:ascii="Barlow Semi Condensed" w:cs="Barlow Semi Condensed" w:eastAsia="Barlow Semi Condensed" w:hAnsi="Barlow Semi Condensed"/>
          <w:sz w:val="24"/>
          <w:szCs w:val="24"/>
        </w:rPr>
        <w:t xml:space="preserve"> — a conferma che i rapporti c'erano stati, e che di rapporti (non di fusione) si trattò.</w:t>
      </w:r>
    </w:p>
    <w:p>
      <w:pPr>
        <w:spacing w:after="120" w:line="276"/>
        <w:jc w:val="both"/>
      </w:pPr>
      <w:r>
        <w:rPr>
          <w:rFonts w:ascii="Barlow Semi Condensed" w:cs="Barlow Semi Condensed" w:eastAsia="Barlow Semi Condensed" w:hAnsi="Barlow Semi Condensed"/>
          <w:b/>
          <w:bCs/>
          <w:sz w:val="24"/>
          <w:szCs w:val="24"/>
        </w:rPr>
        <w:t xml:space="preserve">FH-7 · Il dopo-Segrate (documentato nella cornice, storiografico nel dettaglio).</w:t>
      </w:r>
      <w:r>
        <w:rPr>
          <w:rFonts w:ascii="Barlow Semi Condensed" w:cs="Barlow Semi Condensed" w:eastAsia="Barlow Semi Condensed" w:hAnsi="Barlow Semi Condensed"/>
          <w:sz w:val="24"/>
          <w:szCs w:val="24"/>
        </w:rPr>
        <w:t xml:space="preserve"> Con la morte di Feltrinelli i </w:t>
      </w:r>
      <w:r>
        <w:rPr>
          <w:rFonts w:ascii="Barlow Semi Condensed" w:cs="Barlow Semi Condensed" w:eastAsia="Barlow Semi Condensed" w:hAnsi="Barlow Semi Condensed"/>
          <w:b/>
          <w:bCs/>
          <w:sz w:val="24"/>
          <w:szCs w:val="24"/>
        </w:rPr>
        <w:t xml:space="preserve">GAP si dissolsero</w:t>
      </w:r>
      <w:r>
        <w:rPr>
          <w:rFonts w:ascii="Barlow Semi Condensed" w:cs="Barlow Semi Condensed" w:eastAsia="Barlow Semi Condensed" w:hAnsi="Barlow Semi Condensed"/>
          <w:sz w:val="24"/>
          <w:szCs w:val="24"/>
        </w:rPr>
        <w:t xml:space="preserve">; la sorte della rete — in parte dispersa, in parte riassorbita da altre formazioni — è oggetto della storiografia recente (D. Serafino, </w:t>
      </w:r>
      <w:r>
        <w:rPr>
          <w:rFonts w:ascii="Barlow Semi Condensed" w:cs="Barlow Semi Condensed" w:eastAsia="Barlow Semi Condensed" w:hAnsi="Barlow Semi Condensed"/>
          <w:i/>
          <w:iCs/>
          <w:sz w:val="24"/>
          <w:szCs w:val="24"/>
        </w:rPr>
        <w:t xml:space="preserve">Gappisti. La rete clandestina di Giangiacomo Feltrinelli</w:t>
      </w:r>
      <w:r>
        <w:rPr>
          <w:rFonts w:ascii="Barlow Semi Condensed" w:cs="Barlow Semi Condensed" w:eastAsia="Barlow Semi Condensed" w:hAnsi="Barlow Semi Condensed"/>
          <w:sz w:val="24"/>
          <w:szCs w:val="24"/>
        </w:rPr>
        <w:t xml:space="preserve">, DeriveApprodi: scheda (https://deriveapprodi.com/libro/gappisti/)). Le BR sopravvissero al 1972 e rimasero, delle tre strade del nodo FH-2, l'unica ancora percorsa: il campo clandestino si semplificò per sottrazione, non per successione ordinata.</w:t>
      </w:r>
    </w:p>
    <w:p>
      <w:pPr>
        <w:pStyle w:val="Heading2"/>
        <w:spacing w:after="100" w:before="200"/>
      </w:pPr>
      <w:r>
        <w:rPr>
          <w:rFonts w:ascii="Barlow Semi Condensed" w:cs="Barlow Semi Condensed" w:eastAsia="Barlow Semi Condensed" w:hAnsi="Barlow Semi Condensed"/>
          <w:sz w:val="24"/>
          <w:szCs w:val="24"/>
        </w:rPr>
        <w:t xml:space="preserve">3. La congettura smentita: Segrate e il Superclan (FH-8)</w:t>
      </w:r>
    </w:p>
    <w:p>
      <w:pPr>
        <w:spacing w:after="120" w:line="276"/>
        <w:jc w:val="both"/>
      </w:pPr>
      <w:r>
        <w:rPr>
          <w:rFonts w:ascii="Barlow Semi Condensed" w:cs="Barlow Semi Condensed" w:eastAsia="Barlow Semi Condensed" w:hAnsi="Barlow Semi Condensed"/>
          <w:sz w:val="24"/>
          <w:szCs w:val="24"/>
        </w:rPr>
        <w:t xml:space="preserve">Resta il punto dove i due fronti si toccano nella pubblicistica più che nelle fonti: </w:t>
      </w:r>
      <w:r>
        <w:rPr>
          <w:rFonts w:ascii="Barlow Semi Condensed" w:cs="Barlow Semi Condensed" w:eastAsia="Barlow Semi Condensed" w:hAnsi="Barlow Semi Condensed"/>
          <w:b/>
          <w:bCs/>
          <w:sz w:val="24"/>
          <w:szCs w:val="24"/>
        </w:rPr>
        <w:t xml:space="preserve">i sospetti sulla morte di Feltrinelli</w:t>
      </w:r>
      <w:r>
        <w:rPr>
          <w:rFonts w:ascii="Barlow Semi Condensed" w:cs="Barlow Semi Condensed" w:eastAsia="Barlow Semi Condensed" w:hAnsi="Barlow Semi Condensed"/>
          <w:sz w:val="24"/>
          <w:szCs w:val="24"/>
        </w:rPr>
        <w:t xml:space="preserve">. La memorialistica di Franceschini ha alimentato per decenni la tesi di una mano esterna a Segrate — i dubbi sul ruolo del militante detto «Gunter», e soprattutto l'affermazione che i </w:t>
      </w:r>
      <w:r>
        <w:rPr>
          <w:rFonts w:ascii="Barlow Semi Condensed" w:cs="Barlow Semi Condensed" w:eastAsia="Barlow Semi Condensed" w:hAnsi="Barlow Semi Condensed"/>
          <w:b/>
          <w:bCs/>
          <w:sz w:val="24"/>
          <w:szCs w:val="24"/>
        </w:rPr>
        <w:t xml:space="preserve">timer</w:t>
      </w:r>
      <w:r>
        <w:rPr>
          <w:rFonts w:ascii="Barlow Semi Condensed" w:cs="Barlow Semi Condensed" w:eastAsia="Barlow Semi Condensed" w:hAnsi="Barlow Semi Condensed"/>
          <w:sz w:val="24"/>
          <w:szCs w:val="24"/>
        </w:rPr>
        <w:t xml:space="preserve"> dell'ordigno fossero stati «manipolati». La verifica d'incrocio registra due fatti:</w:t>
      </w:r>
    </w:p>
    <w:p>
      <w:pPr>
        <w:spacing w:after="40"/>
        <w:ind w:left="360"/>
        <w:jc w:val="both"/>
      </w:pPr>
      <w:r>
        <w:rPr>
          <w:rFonts w:ascii="Barlow Semi Condensed" w:cs="Barlow Semi Condensed" w:eastAsia="Barlow Semi Condensed" w:hAnsi="Barlow Semi Condensed"/>
          <w:sz w:val="24"/>
          <w:szCs w:val="24"/>
        </w:rPr>
        <w:t xml:space="preserve">1. la ricostruzione giudiziaria (processo del 1979, riscontrata sui nastri di Robbiano di Mediglia — nodi F-16/F-17 della triangolazione Feltrinelli) resta quella dell'</w:t>
      </w:r>
      <w:r>
        <w:rPr>
          <w:rFonts w:ascii="Barlow Semi Condensed" w:cs="Barlow Semi Condensed" w:eastAsia="Barlow Semi Condensed" w:hAnsi="Barlow Semi Condensed"/>
          <w:b/>
          <w:bCs/>
          <w:sz w:val="24"/>
          <w:szCs w:val="24"/>
        </w:rPr>
        <w:t xml:space="preserve">incidente durante il sabotaggio</w:t>
      </w:r>
      <w:r>
        <w:rPr>
          <w:rFonts w:ascii="Barlow Semi Condensed" w:cs="Barlow Semi Condensed" w:eastAsia="Barlow Semi Condensed" w:hAnsi="Barlow Semi Condensed"/>
          <w:sz w:val="24"/>
          <w:szCs w:val="24"/>
        </w:rPr>
        <w:t xml:space="preserve">;</w:t>
      </w:r>
    </w:p>
    <w:p>
      <w:pPr>
        <w:spacing w:after="40"/>
        <w:ind w:left="360"/>
        <w:jc w:val="both"/>
      </w:pPr>
      <w:r>
        <w:rPr>
          <w:rFonts w:ascii="Barlow Semi Condensed" w:cs="Barlow Semi Condensed" w:eastAsia="Barlow Semi Condensed" w:hAnsi="Barlow Semi Condensed"/>
          <w:sz w:val="24"/>
          <w:szCs w:val="24"/>
        </w:rPr>
        <w:t xml:space="preserve">2. la specifica affermazione sui timer manipolati risulta </w:t>
      </w:r>
      <w:r>
        <w:rPr>
          <w:rFonts w:ascii="Barlow Semi Condensed" w:cs="Barlow Semi Condensed" w:eastAsia="Barlow Semi Condensed" w:hAnsi="Barlow Semi Condensed"/>
          <w:b/>
          <w:bCs/>
          <w:sz w:val="24"/>
          <w:szCs w:val="24"/>
        </w:rPr>
        <w:t xml:space="preserve">smentita da Vittorio Battistoni, il tecnico dei GAP che fornì l'esplosivo all'editore</w:t>
      </w:r>
      <w:r>
        <w:rPr>
          <w:rFonts w:ascii="Barlow Semi Condensed" w:cs="Barlow Semi Condensed" w:eastAsia="Barlow Semi Condensed" w:hAnsi="Barlow Semi Condensed"/>
          <w:sz w:val="24"/>
          <w:szCs w:val="24"/>
        </w:rPr>
        <w:t xml:space="preserve"> (Insorgenze/Contropiano (https://contropiano.org/news/cultura-news/2026/05/09/dalla-dottrina-mitterrand-alla-perfida-albione-le-acrobazie-complottiste-di-fasanella-0194867)).</w:t>
      </w:r>
    </w:p>
    <w:p>
      <w:pPr>
        <w:spacing w:after="120" w:line="276"/>
        <w:jc w:val="both"/>
      </w:pPr>
      <w:r>
        <w:rPr>
          <w:rFonts w:ascii="Barlow Semi Condensed" w:cs="Barlow Semi Condensed" w:eastAsia="Barlow Semi Condensed" w:hAnsi="Barlow Semi Condensed"/>
          <w:sz w:val="24"/>
          <w:szCs w:val="24"/>
        </w:rPr>
        <w:t xml:space="preserve">La versione che collega — per allusione — l'ambiente del Superclan alla morte di Segrate appartiene dunque alla categoria più bassa del corpus: </w:t>
      </w:r>
      <w:r>
        <w:rPr>
          <w:rFonts w:ascii="Barlow Semi Condensed" w:cs="Barlow Semi Condensed" w:eastAsia="Barlow Semi Condensed" w:hAnsi="Barlow Semi Condensed"/>
          <w:b/>
          <w:bCs/>
          <w:sz w:val="24"/>
          <w:szCs w:val="24"/>
        </w:rPr>
        <w:t xml:space="preserve">congettura memorialistica, priva di riscontro e contraddetta su un punto qualificante da testimonianza diretta</w:t>
      </w:r>
      <w:r>
        <w:rPr>
          <w:rFonts w:ascii="Barlow Semi Condensed" w:cs="Barlow Semi Condensed" w:eastAsia="Barlow Semi Condensed" w:hAnsi="Barlow Semi Condensed"/>
          <w:sz w:val="24"/>
          <w:szCs w:val="24"/>
        </w:rPr>
        <w:t xml:space="preserve">. La si registra per completezza e la si lascia lì. Nessun nome; e per i fondatori di Hyperion vale, anche qui, la presunzione d'innocenza piena.</w:t>
      </w:r>
    </w:p>
    <w:p>
      <w:pPr>
        <w:pStyle w:val="Heading2"/>
        <w:spacing w:after="100" w:before="200"/>
      </w:pPr>
      <w:r>
        <w:rPr>
          <w:rFonts w:ascii="Barlow Semi Condensed" w:cs="Barlow Semi Condensed" w:eastAsia="Barlow Semi Condensed" w:hAnsi="Barlow Semi Condensed"/>
          <w:sz w:val="24"/>
          <w:szCs w:val="24"/>
        </w:rPr>
        <w:t xml:space="preserve">4. Anti-triangolazioni d'incrocio (ATI-1…ATI-3)</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c>
          <w:tcPr>
            <w:tcW w:type="dxa" w:w="468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w:t>
            </w:r>
          </w:p>
        </w:tc>
        <w:tc>
          <w:tcPr>
            <w:tcW w:type="dxa" w:w="468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Anti-triangolazione</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ATI-1</w:t>
            </w:r>
          </w:p>
        </w:tc>
        <w:tc>
          <w:tcPr>
            <w:tcW w:type="dxa" w:w="4680"/>
          </w:tcPr>
          <w:p>
            <w:pPr>
              <w:spacing w:after="20" w:before="20"/>
              <w:jc w:val="both"/>
            </w:pPr>
            <w:r>
              <w:rPr>
                <w:rFonts w:ascii="Barlow Semi Condensed" w:cs="Barlow Semi Condensed" w:eastAsia="Barlow Semi Condensed" w:hAnsi="Barlow Semi Condensed"/>
                <w:b/>
                <w:bCs/>
                <w:sz w:val="20"/>
                <w:szCs w:val="20"/>
              </w:rPr>
              <w:t xml:space="preserve">Feltrinelli e Hyperion non si incontrarono mai.</w:t>
            </w:r>
            <w:r>
              <w:rPr>
                <w:rFonts w:ascii="Barlow Semi Condensed" w:cs="Barlow Semi Condensed" w:eastAsia="Barlow Semi Condensed" w:hAnsi="Barlow Semi Condensed"/>
                <w:sz w:val="20"/>
                <w:szCs w:val="20"/>
              </w:rPr>
              <w:t xml:space="preserve"> La scuola nacque nel 1976; Feltrinelli morì nel 1972. Ogni schema che li metta nello stesso organigramma proietta all'indietro un'entità che non esisteva. L'incrocio è di </w:t>
            </w:r>
            <w:r>
              <w:rPr>
                <w:rFonts w:ascii="Barlow Semi Condensed" w:cs="Barlow Semi Condensed" w:eastAsia="Barlow Semi Condensed" w:hAnsi="Barlow Semi Condensed"/>
                <w:b/>
                <w:bCs/>
                <w:sz w:val="20"/>
                <w:szCs w:val="20"/>
              </w:rPr>
              <w:t xml:space="preserve">matrice e di uomini</w:t>
            </w:r>
            <w:r>
              <w:rPr>
                <w:rFonts w:ascii="Barlow Semi Condensed" w:cs="Barlow Semi Condensed" w:eastAsia="Barlow Semi Condensed" w:hAnsi="Barlow Semi Condensed"/>
                <w:sz w:val="20"/>
                <w:szCs w:val="20"/>
              </w:rPr>
              <w:t xml:space="preserve">, mai di organizzazioni</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ATI-2</w:t>
            </w:r>
          </w:p>
        </w:tc>
        <w:tc>
          <w:tcPr>
            <w:tcW w:type="dxa" w:w="4680"/>
          </w:tcPr>
          <w:p>
            <w:pPr>
              <w:spacing w:after="20" w:before="20"/>
              <w:jc w:val="both"/>
            </w:pPr>
            <w:r>
              <w:rPr>
                <w:rFonts w:ascii="Barlow Semi Condensed" w:cs="Barlow Semi Condensed" w:eastAsia="Barlow Semi Condensed" w:hAnsi="Barlow Semi Condensed"/>
                <w:b/>
                <w:bCs/>
                <w:sz w:val="20"/>
                <w:szCs w:val="20"/>
              </w:rPr>
              <w:t xml:space="preserve">La triforcazione non ha un vertice.</w:t>
            </w:r>
            <w:r>
              <w:rPr>
                <w:rFonts w:ascii="Barlow Semi Condensed" w:cs="Barlow Semi Condensed" w:eastAsia="Barlow Semi Condensed" w:hAnsi="Barlow Semi Condensed"/>
                <w:sz w:val="20"/>
                <w:szCs w:val="20"/>
              </w:rPr>
              <w:t xml:space="preserve"> Tre progetti dal medesimo ceppo non fanno una regia unica: il comando unificato fu cercato (da Feltrinelli, FH-3) e </w:t>
            </w:r>
            <w:r>
              <w:rPr>
                <w:rFonts w:ascii="Barlow Semi Condensed" w:cs="Barlow Semi Condensed" w:eastAsia="Barlow Semi Condensed" w:hAnsi="Barlow Semi Condensed"/>
                <w:b/>
                <w:bCs/>
                <w:sz w:val="20"/>
                <w:szCs w:val="20"/>
              </w:rPr>
              <w:t xml:space="preserve">non ottenuto</w:t>
            </w:r>
            <w:r>
              <w:rPr>
                <w:rFonts w:ascii="Barlow Semi Condensed" w:cs="Barlow Semi Condensed" w:eastAsia="Barlow Semi Condensed" w:hAnsi="Barlow Semi Condensed"/>
                <w:sz w:val="20"/>
                <w:szCs w:val="20"/>
              </w:rPr>
              <w:t xml:space="preserve"> — il fallimento di quell'unificazione è documentato quanto i rapporti stessi</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ATI-3</w:t>
            </w:r>
          </w:p>
        </w:tc>
        <w:tc>
          <w:tcPr>
            <w:tcW w:type="dxa" w:w="4680"/>
          </w:tcPr>
          <w:p>
            <w:pPr>
              <w:spacing w:after="20" w:before="20"/>
              <w:jc w:val="both"/>
            </w:pPr>
            <w:r>
              <w:rPr>
                <w:rFonts w:ascii="Barlow Semi Condensed" w:cs="Barlow Semi Condensed" w:eastAsia="Barlow Semi Condensed" w:hAnsi="Barlow Semi Condensed"/>
                <w:b/>
                <w:bCs/>
                <w:sz w:val="20"/>
                <w:szCs w:val="20"/>
              </w:rPr>
              <w:t xml:space="preserve">La memorialistica di parte non è fonte di accusa.</w:t>
            </w:r>
            <w:r>
              <w:rPr>
                <w:rFonts w:ascii="Barlow Semi Condensed" w:cs="Barlow Semi Condensed" w:eastAsia="Barlow Semi Condensed" w:hAnsi="Barlow Semi Condensed"/>
                <w:sz w:val="20"/>
                <w:szCs w:val="20"/>
              </w:rPr>
              <w:t xml:space="preserve"> Le ricostruzioni di Franceschini (su Simioni, su Moretti, su Segrate) e le repliche degli avversari appartengono a una guerra della memoria fra ex militanti: si citano con attribuzione, si pesano, non si promuovono. Dove sono state verificate, ne è uscita una smentita (FH-8)</w:t>
            </w:r>
          </w:p>
        </w:tc>
      </w:tr>
    </w:tbl>
    <w:p>
      <w:pPr>
        <w:spacing w:after="80"/>
      </w:pPr>
    </w:p>
    <w:p>
      <w:pPr>
        <w:pStyle w:val="Heading2"/>
        <w:spacing w:after="100" w:before="200"/>
      </w:pPr>
      <w:r>
        <w:rPr>
          <w:rFonts w:ascii="Barlow Semi Condensed" w:cs="Barlow Semi Condensed" w:eastAsia="Barlow Semi Condensed" w:hAnsi="Barlow Semi Condensed"/>
          <w:sz w:val="24"/>
          <w:szCs w:val="24"/>
        </w:rPr>
        <w:t xml:space="preserve">5. Registro di esecuzione</w:t>
      </w:r>
    </w:p>
    <w:p>
      <w:pPr>
        <w:pStyle w:val="ListParagraph"/>
        <w:numPr>
          <w:ilvl w:val="0"/>
          <w:numId w:val="1"/>
        </w:numPr>
        <w:spacing w:after="40"/>
        <w:jc w:val="both"/>
      </w:pPr>
      <w:r>
        <w:rPr>
          <w:rFonts w:ascii="Barlow Semi Condensed" w:cs="Barlow Semi Condensed" w:eastAsia="Barlow Semi Condensed" w:hAnsi="Barlow Semi Condensed"/>
          <w:sz w:val="24"/>
          <w:szCs w:val="24"/>
        </w:rPr>
        <w:t xml:space="preserve">Nodi d'incrocio: </w:t>
      </w:r>
      <w:r>
        <w:rPr>
          <w:rFonts w:ascii="Barlow Semi Condensed" w:cs="Barlow Semi Condensed" w:eastAsia="Barlow Semi Condensed" w:hAnsi="Barlow Semi Condensed"/>
          <w:b/>
          <w:bCs/>
          <w:sz w:val="24"/>
          <w:szCs w:val="24"/>
        </w:rPr>
        <w:t xml:space="preserve">8</w:t>
      </w:r>
      <w:r>
        <w:rPr>
          <w:rFonts w:ascii="Barlow Semi Condensed" w:cs="Barlow Semi Condensed" w:eastAsia="Barlow Semi Condensed" w:hAnsi="Barlow Semi Condensed"/>
          <w:sz w:val="24"/>
          <w:szCs w:val="24"/>
        </w:rPr>
        <w:t xml:space="preserve"> (FH-1…FH-8): 6 documentati, 1 memorialistico incrociato (FH-4), 1 congettura smentita (FH-8).</w:t>
      </w:r>
    </w:p>
    <w:p>
      <w:pPr>
        <w:pStyle w:val="ListParagraph"/>
        <w:numPr>
          <w:ilvl w:val="0"/>
          <w:numId w:val="1"/>
        </w:numPr>
        <w:spacing w:after="40"/>
        <w:jc w:val="both"/>
      </w:pPr>
      <w:r>
        <w:rPr>
          <w:rFonts w:ascii="Barlow Semi Condensed" w:cs="Barlow Semi Condensed" w:eastAsia="Barlow Semi Condensed" w:hAnsi="Barlow Semi Condensed"/>
          <w:sz w:val="24"/>
          <w:szCs w:val="24"/>
        </w:rPr>
        <w:t xml:space="preserve">Verifiche web dedicate in sessione: </w:t>
      </w:r>
      <w:r>
        <w:rPr>
          <w:rFonts w:ascii="Barlow Semi Condensed" w:cs="Barlow Semi Condensed" w:eastAsia="Barlow Semi Condensed" w:hAnsi="Barlow Semi Condensed"/>
          <w:b/>
          <w:bCs/>
          <w:sz w:val="24"/>
          <w:szCs w:val="24"/>
        </w:rPr>
        <w:t xml:space="preserve">2</w:t>
      </w:r>
      <w:r>
        <w:rPr>
          <w:rFonts w:ascii="Barlow Semi Condensed" w:cs="Barlow Semi Condensed" w:eastAsia="Barlow Semi Condensed" w:hAnsi="Barlow Semi Condensed"/>
          <w:sz w:val="24"/>
          <w:szCs w:val="24"/>
        </w:rPr>
        <w:t xml:space="preserve"> (rapporti Feltrinelli-BR e confluenze post-1972; memorialistica Franceschini/«zie rosse»/timer e sua smentita).</w:t>
      </w:r>
    </w:p>
    <w:p>
      <w:pPr>
        <w:pStyle w:val="ListParagraph"/>
        <w:numPr>
          <w:ilvl w:val="0"/>
          <w:numId w:val="1"/>
        </w:numPr>
        <w:spacing w:after="40"/>
        <w:jc w:val="both"/>
      </w:pPr>
      <w:r>
        <w:rPr>
          <w:rFonts w:ascii="Barlow Semi Condensed" w:cs="Barlow Semi Condensed" w:eastAsia="Barlow Semi Condensed" w:hAnsi="Barlow Semi Condensed"/>
          <w:sz w:val="24"/>
          <w:szCs w:val="24"/>
        </w:rPr>
        <w:t xml:space="preserve">Anti-triangolazioni: </w:t>
      </w:r>
      <w:r>
        <w:rPr>
          <w:rFonts w:ascii="Barlow Semi Condensed" w:cs="Barlow Semi Condensed" w:eastAsia="Barlow Semi Condensed" w:hAnsi="Barlow Semi Condensed"/>
          <w:b/>
          <w:bCs/>
          <w:sz w:val="24"/>
          <w:szCs w:val="24"/>
        </w:rPr>
        <w:t xml:space="preserve">3</w:t>
      </w:r>
      <w:r>
        <w:rPr>
          <w:rFonts w:ascii="Barlow Semi Condensed" w:cs="Barlow Semi Condensed" w:eastAsia="Barlow Semi Condensed" w:hAnsi="Barlow Semi Condensed"/>
          <w:sz w:val="24"/>
          <w:szCs w:val="24"/>
        </w:rPr>
        <w:t xml:space="preserve"> (ATI-1…ATI-3).</w:t>
      </w:r>
    </w:p>
    <w:p>
      <w:pPr>
        <w:pStyle w:val="ListParagraph"/>
        <w:numPr>
          <w:ilvl w:val="0"/>
          <w:numId w:val="1"/>
        </w:numPr>
        <w:spacing w:after="40"/>
        <w:jc w:val="both"/>
      </w:pPr>
      <w:r>
        <w:rPr>
          <w:rFonts w:ascii="Barlow Semi Condensed" w:cs="Barlow Semi Condensed" w:eastAsia="Barlow Semi Condensed" w:hAnsi="Barlow Semi Condensed"/>
          <w:sz w:val="24"/>
          <w:szCs w:val="24"/>
        </w:rPr>
        <w:t xml:space="preserve">Il documento si appoggia ai nodi già verificati delle due triangolazioni madri (F-1…F-17; HY-1…HY-9) senza duplicarli.</w:t>
      </w:r>
    </w:p>
    <w:p>
      <w:pPr>
        <w:pStyle w:val="ListParagraph"/>
        <w:numPr>
          <w:ilvl w:val="0"/>
          <w:numId w:val="1"/>
        </w:numPr>
        <w:spacing w:after="40"/>
        <w:jc w:val="both"/>
      </w:pPr>
      <w:r>
        <w:rPr>
          <w:rFonts w:ascii="Barlow Semi Condensed" w:cs="Barlow Semi Condensed" w:eastAsia="Barlow Semi Condensed" w:hAnsi="Barlow Semi Condensed"/>
          <w:sz w:val="24"/>
          <w:szCs w:val="24"/>
        </w:rPr>
        <w:t xml:space="preserve">Sintesi dell'incrocio in una riga: </w:t>
      </w:r>
      <w:r>
        <w:rPr>
          <w:rFonts w:ascii="Barlow Semi Condensed" w:cs="Barlow Semi Condensed" w:eastAsia="Barlow Semi Condensed" w:hAnsi="Barlow Semi Condensed"/>
          <w:b/>
          <w:bCs/>
          <w:sz w:val="24"/>
          <w:szCs w:val="24"/>
        </w:rPr>
        <w:t xml:space="preserve">stesso ceppo, tre strade, ponti di uomini, nessuna regia accertata — e l'unica «unificazione» reale avvenne in tribunale.</w:t>
      </w:r>
    </w:p>
    <w:p>
      <w:pPr>
        <w:pBdr>
          <w:bottom w:val="single" w:color="999999" w:sz="6" w:space="1"/>
        </w:pBdr>
        <w:spacing w:after="80"/>
      </w:pPr>
    </w:p>
    <w:p>
      <w:pPr>
        <w:spacing w:after="120" w:line="276"/>
        <w:jc w:val="both"/>
      </w:pPr>
      <w:r>
        <w:rPr>
          <w:rFonts w:ascii="Barlow Semi Condensed" w:cs="Barlow Semi Condensed" w:eastAsia="Barlow Semi Condensed" w:hAnsi="Barlow Semi Condensed"/>
          <w:i/>
          <w:iCs/>
          <w:sz w:val="24"/>
          <w:szCs w:val="24"/>
        </w:rPr>
        <w:t xml:space="preserve">Triangolazione d'incrocio fra i fronti Feltrinelli e Hyperion. Matrice comune e ponti biografici documentati; congetture memorialistiche declassate o smentite; presunzione d'innocenza piena per i prosciolti. Regola di Ferro: dove la fonte documenta, si certifica; dove tace, si tace.</w:t>
      </w:r>
    </w:p>
    <w:p>
      <w:pPr>
        <w:pStyle w:val="Heading3"/>
        <w:spacing w:after="80" w:before="240"/>
      </w:pPr>
      <w:r>
        <w:rPr>
          <w:rFonts w:ascii="Barlow Semi Condensed" w:cs="Barlow Semi Condensed" w:eastAsia="Barlow Semi Condensed" w:hAnsi="Barlow Semi Condensed"/>
          <w:sz w:val="24"/>
          <w:szCs w:val="24"/>
        </w:rPr>
        <w:t xml:space="preserve">Apparato grafico — Libro quinto · L'incrocio Feltrinelli-Hyperion</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7"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Libro quinto IV: 1.043 parole in 5 sezioni; la più ampia è §2 2. I ponti documentati, con 407.</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8"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Libro quinto IV: 6 indirizzi di fonte citati, addensati in 2 sezioni su 5.</w:t>
      </w:r>
    </w:p>
    <w:p>
      <w:pPr>
        <w:spacing w:after="120"/>
        <w:jc w:val="center"/>
      </w:pPr>
      <w:r>
        <w:rPr>
          <w:rFonts w:ascii="Barlow Semi Condensed" w:cs="Barlow Semi Condensed" w:eastAsia="Barlow Semi Condensed" w:hAnsi="Barlow Semi Condensed"/>
          <w:color w:val="777777"/>
          <w:sz w:val="16"/>
          <w:szCs w:val="16"/>
        </w:rPr>
        <w:t xml:space="preserve">Le metriche dell'apparato contano parole, documenti e atti — mai colpe.</w:t>
      </w:r>
    </w:p>
    <w:p>
      <w:r>
        <w:br w:type="page"/>
      </w:r>
    </w:p>
    <w:p>
      <w:pPr>
        <w:pStyle w:val="Heading1"/>
        <w:spacing w:after="120" w:before="240"/>
      </w:pPr>
      <w:r>
        <w:rPr>
          <w:rFonts w:ascii="Barlow Semi Condensed" w:cs="Barlow Semi Condensed" w:eastAsia="Barlow Semi Condensed" w:hAnsi="Barlow Semi Condensed"/>
          <w:sz w:val="24"/>
          <w:szCs w:val="24"/>
        </w:rPr>
        <w:t xml:space="preserve">Libro quinto — Il vettore e il ceppo — V. Il ceppo Simioni: la terza strada</w:t>
      </w:r>
    </w:p>
    <w:p>
      <w:pPr>
        <w:pStyle w:val="Heading1"/>
        <w:spacing w:after="120" w:before="240"/>
      </w:pPr>
      <w:r>
        <w:rPr>
          <w:rFonts w:ascii="Barlow Semi Condensed" w:cs="Barlow Semi Condensed" w:eastAsia="Barlow Semi Condensed" w:hAnsi="Barlow Semi Condensed"/>
          <w:sz w:val="24"/>
          <w:szCs w:val="24"/>
        </w:rPr>
        <w:t xml:space="preserve">Il ceppo Simioni</w:t>
      </w:r>
    </w:p>
    <w:p>
      <w:pPr>
        <w:pStyle w:val="Heading2"/>
        <w:spacing w:after="100" w:before="200"/>
      </w:pPr>
      <w:r>
        <w:rPr>
          <w:rFonts w:ascii="Barlow Semi Condensed" w:cs="Barlow Semi Condensed" w:eastAsia="Barlow Semi Condensed" w:hAnsi="Barlow Semi Condensed"/>
          <w:sz w:val="24"/>
          <w:szCs w:val="24"/>
        </w:rPr>
        <w:t xml:space="preserve">La discendenza CPM → Superclan → Hyperion: genealogia di una strada che non finì in tribunale</w:t>
      </w:r>
    </w:p>
    <w:p>
      <w:pPr>
        <w:spacing w:after="120" w:line="276"/>
        <w:jc w:val="both"/>
      </w:pPr>
      <w:r>
        <w:rPr>
          <w:rFonts w:ascii="Barlow Semi Condensed" w:cs="Barlow Semi Condensed" w:eastAsia="Barlow Semi Condensed" w:hAnsi="Barlow Semi Condensed"/>
          <w:i/>
          <w:iCs/>
          <w:sz w:val="24"/>
          <w:szCs w:val="24"/>
        </w:rPr>
        <w:t xml:space="preserve">Studio monografico — 25 agosto 2026 · Complemento della triangolazione Hyperion e della Fase decima</w:t>
      </w:r>
    </w:p>
    <w:p>
      <w:pPr>
        <w:pBdr>
          <w:left w:val="single" w:color="1F3864" w:sz="18" w:space="8"/>
        </w:pBdr>
        <w:spacing w:after="80" w:before="80"/>
        <w:ind w:left="360" w:right="360"/>
        <w:jc w:val="both"/>
      </w:pPr>
      <w:r>
        <w:rPr>
          <w:rFonts w:ascii="Barlow Semi Condensed" w:cs="Barlow Semi Condensed" w:eastAsia="Barlow Semi Condensed" w:hAnsi="Barlow Semi Condensed"/>
          <w:b/>
          <w:bCs/>
          <w:i w:val="false"/>
          <w:iCs w:val="false"/>
          <w:sz w:val="24"/>
          <w:szCs w:val="24"/>
        </w:rPr>
        <w:t xml:space="preserve">Statuto, e l'esito in testa.</w:t>
      </w:r>
      <w:r>
        <w:rPr>
          <w:rFonts w:ascii="Barlow Semi Condensed" w:cs="Barlow Semi Condensed" w:eastAsia="Barlow Semi Condensed" w:hAnsi="Barlow Semi Condensed"/>
          <w:i w:val="false"/>
          <w:iCs w:val="false"/>
          <w:sz w:val="24"/>
          <w:szCs w:val="24"/>
        </w:rPr>
        <w:t xml:space="preserve"> Questo studio ricostruisce la </w:t>
      </w:r>
      <w:r>
        <w:rPr>
          <w:rFonts w:ascii="Barlow Semi Condensed" w:cs="Barlow Semi Condensed" w:eastAsia="Barlow Semi Condensed" w:hAnsi="Barlow Semi Condensed"/>
          <w:b/>
          <w:bCs/>
          <w:i w:val="false"/>
          <w:iCs w:val="false"/>
          <w:sz w:val="24"/>
          <w:szCs w:val="24"/>
        </w:rPr>
        <w:t xml:space="preserve">seconda discendenza</w:t>
      </w:r>
      <w:r>
        <w:rPr>
          <w:rFonts w:ascii="Barlow Semi Condensed" w:cs="Barlow Semi Condensed" w:eastAsia="Barlow Semi Condensed" w:hAnsi="Barlow Semi Condensed"/>
          <w:i w:val="false"/>
          <w:iCs w:val="false"/>
          <w:sz w:val="24"/>
          <w:szCs w:val="24"/>
        </w:rPr>
        <w:t xml:space="preserve"> del ceppo milanese del 1969: quella che dal Collettivo Politico Metropolitano — fondato da Renato Curcio </w:t>
      </w:r>
      <w:r>
        <w:rPr>
          <w:rFonts w:ascii="Barlow Semi Condensed" w:cs="Barlow Semi Condensed" w:eastAsia="Barlow Semi Condensed" w:hAnsi="Barlow Semi Condensed"/>
          <w:b/>
          <w:bCs/>
          <w:i w:val="false"/>
          <w:iCs w:val="false"/>
          <w:sz w:val="24"/>
          <w:szCs w:val="24"/>
        </w:rPr>
        <w:t xml:space="preserve">e</w:t>
      </w:r>
      <w:r>
        <w:rPr>
          <w:rFonts w:ascii="Barlow Semi Condensed" w:cs="Barlow Semi Condensed" w:eastAsia="Barlow Semi Condensed" w:hAnsi="Barlow Semi Condensed"/>
          <w:i w:val="false"/>
          <w:iCs w:val="false"/>
          <w:sz w:val="24"/>
          <w:szCs w:val="24"/>
        </w:rPr>
        <w:t xml:space="preserve"> da Corrado Simioni — non andò verso le Brigate Rosse ma verso il Superclan e poi, a Parigi, verso la scuola di lingue Hyperion. L'esito giudiziario di questa discendenza va scritto </w:t>
      </w:r>
      <w:r>
        <w:rPr>
          <w:rFonts w:ascii="Barlow Semi Condensed" w:cs="Barlow Semi Condensed" w:eastAsia="Barlow Semi Condensed" w:hAnsi="Barlow Semi Condensed"/>
          <w:b/>
          <w:bCs/>
          <w:i w:val="false"/>
          <w:iCs w:val="false"/>
          <w:sz w:val="24"/>
          <w:szCs w:val="24"/>
        </w:rPr>
        <w:t xml:space="preserve">prima di ogni altra cosa</w:t>
      </w:r>
      <w:r>
        <w:rPr>
          <w:rFonts w:ascii="Barlow Semi Condensed" w:cs="Barlow Semi Condensed" w:eastAsia="Barlow Semi Condensed" w:hAnsi="Barlow Semi Condensed"/>
          <w:i w:val="false"/>
          <w:iCs w:val="false"/>
          <w:sz w:val="24"/>
          <w:szCs w:val="24"/>
        </w:rPr>
        <w:t xml:space="preserve">, perché governa ogni riga che segue: </w:t>
      </w:r>
      <w:r>
        <w:rPr>
          <w:rFonts w:ascii="Barlow Semi Condensed" w:cs="Barlow Semi Condensed" w:eastAsia="Barlow Semi Condensed" w:hAnsi="Barlow Semi Condensed"/>
          <w:b/>
          <w:bCs/>
          <w:i w:val="false"/>
          <w:iCs w:val="false"/>
          <w:sz w:val="24"/>
          <w:szCs w:val="24"/>
        </w:rPr>
        <w:t xml:space="preserve">Vanni Mulinaris fu assolto con formula piena e risarcito dallo Stato per l'ingiusta detenzione; Duccio Berio fu assolto a Roma (1989) e a Venezia (1990); Corrado Simioni non fu mai condannato per alcunché.</w:t>
      </w:r>
      <w:r>
        <w:rPr>
          <w:rFonts w:ascii="Barlow Semi Condensed" w:cs="Barlow Semi Condensed" w:eastAsia="Barlow Semi Condensed" w:hAnsi="Barlow Semi Condensed"/>
          <w:i w:val="false"/>
          <w:iCs w:val="false"/>
          <w:sz w:val="24"/>
          <w:szCs w:val="24"/>
        </w:rPr>
        <w:t xml:space="preserve"> I tre fondatori di Hyperion sono, per l'ordinamento della Repubblica, </w:t>
      </w:r>
      <w:r>
        <w:rPr>
          <w:rFonts w:ascii="Barlow Semi Condensed" w:cs="Barlow Semi Condensed" w:eastAsia="Barlow Semi Condensed" w:hAnsi="Barlow Semi Condensed"/>
          <w:b/>
          <w:bCs/>
          <w:i w:val="false"/>
          <w:iCs w:val="false"/>
          <w:sz w:val="24"/>
          <w:szCs w:val="24"/>
        </w:rPr>
        <w:t xml:space="preserve">innocenti</w:t>
      </w:r>
      <w:r>
        <w:rPr>
          <w:rFonts w:ascii="Barlow Semi Condensed" w:cs="Barlow Semi Condensed" w:eastAsia="Barlow Semi Condensed" w:hAnsi="Barlow Semi Condensed"/>
          <w:i w:val="false"/>
          <w:iCs w:val="false"/>
          <w:sz w:val="24"/>
          <w:szCs w:val="24"/>
        </w:rPr>
        <w:t xml:space="preserve"> — non «sfuggiti», non «coperti»: innocenti. Chi legge questo studio cercando una requisitoria non la troverà; troverà una genealogia di persone e percorsi, documentata su fonti verificate, con i gradi dichiarati e con il divieto — qui più stringente che altrove — di far dire alle coincidenze ciò che le sentenze hanno negato. Le due tesi contrapposte su Hyperion («centrale del terrorismo» / «centrale d'intelligence») restano entrambe al </w:t>
      </w:r>
      <w:r>
        <w:rPr>
          <w:rFonts w:ascii="Barlow Semi Condensed" w:cs="Barlow Semi Condensed" w:eastAsia="Barlow Semi Condensed" w:hAnsi="Barlow Semi Condensed"/>
          <w:b/>
          <w:bCs/>
          <w:i w:val="false"/>
          <w:iCs w:val="false"/>
          <w:sz w:val="24"/>
          <w:szCs w:val="24"/>
        </w:rPr>
        <w:t xml:space="preserve">grado C</w:t>
      </w:r>
      <w:r>
        <w:rPr>
          <w:rFonts w:ascii="Barlow Semi Condensed" w:cs="Barlow Semi Condensed" w:eastAsia="Barlow Semi Condensed" w:hAnsi="Barlow Semi Condensed"/>
          <w:i w:val="false"/>
          <w:iCs w:val="false"/>
          <w:sz w:val="24"/>
          <w:szCs w:val="24"/>
        </w:rPr>
        <w:t xml:space="preserve">, come il corpus le ha già gradate in </w:t>
      </w:r>
      <w:r>
        <w:rPr>
          <w:rFonts w:ascii="Barlow Semi Condensed" w:cs="Barlow Semi Condensed" w:eastAsia="Barlow Semi Condensed" w:hAnsi="Barlow Semi Condensed"/>
          <w:i w:val="false"/>
          <w:iCs w:val="false"/>
          <w:sz w:val="24"/>
          <w:szCs w:val="24"/>
        </w:rPr>
        <w:t xml:space="preserve">triangolazione-hyperion-corpus.md</w:t>
      </w:r>
      <w:r>
        <w:rPr>
          <w:rFonts w:ascii="Barlow Semi Condensed" w:cs="Barlow Semi Condensed" w:eastAsia="Barlow Semi Condensed" w:hAnsi="Barlow Semi Condensed"/>
          <w:i w:val="false"/>
          <w:iCs w:val="false"/>
          <w:sz w:val="24"/>
          <w:szCs w:val="24"/>
        </w:rPr>
        <w:t xml:space="preserve">, e questo studio non le promuove di un millimetro.</w:t>
      </w:r>
    </w:p>
    <w:p>
      <w:pPr>
        <w:pBdr>
          <w:bottom w:val="single" w:color="999999" w:sz="6" w:space="1"/>
        </w:pBdr>
        <w:spacing w:after="80"/>
      </w:pPr>
    </w:p>
    <w:p>
      <w:pPr>
        <w:pStyle w:val="Heading1"/>
        <w:spacing w:after="120" w:before="240"/>
      </w:pPr>
      <w:r>
        <w:rPr>
          <w:rFonts w:ascii="Barlow Semi Condensed" w:cs="Barlow Semi Condensed" w:eastAsia="Barlow Semi Condensed" w:hAnsi="Barlow Semi Condensed"/>
          <w:sz w:val="24"/>
          <w:szCs w:val="24"/>
        </w:rPr>
        <w:t xml:space="preserve">Capitolo I — Perché questo studio: il ceppo a doppia discendenza</w:t>
      </w:r>
    </w:p>
    <w:p>
      <w:pPr>
        <w:spacing w:after="120" w:line="276"/>
        <w:jc w:val="both"/>
      </w:pPr>
      <w:r>
        <w:rPr>
          <w:rFonts w:ascii="Barlow Semi Condensed" w:cs="Barlow Semi Condensed" w:eastAsia="Barlow Semi Condensed" w:hAnsi="Barlow Semi Condensed"/>
          <w:sz w:val="24"/>
          <w:szCs w:val="24"/>
        </w:rPr>
        <w:t xml:space="preserve">La triangolazione dei tredici condannati (nodo T-1) ha reso visibile un fatto genealogico che merita uno studio a sé: il </w:t>
      </w:r>
      <w:r>
        <w:rPr>
          <w:rFonts w:ascii="Barlow Semi Condensed" w:cs="Barlow Semi Condensed" w:eastAsia="Barlow Semi Condensed" w:hAnsi="Barlow Semi Condensed"/>
          <w:b/>
          <w:bCs/>
          <w:sz w:val="24"/>
          <w:szCs w:val="24"/>
        </w:rPr>
        <w:t xml:space="preserve">Collettivo Politico Metropolitano</w:t>
      </w:r>
      <w:r>
        <w:rPr>
          <w:rFonts w:ascii="Barlow Semi Condensed" w:cs="Barlow Semi Condensed" w:eastAsia="Barlow Semi Condensed" w:hAnsi="Barlow Semi Condensed"/>
          <w:sz w:val="24"/>
          <w:szCs w:val="24"/>
        </w:rPr>
        <w:t xml:space="preserve">, fondato a Milano l'</w:t>
      </w:r>
      <w:r>
        <w:rPr>
          <w:rFonts w:ascii="Barlow Semi Condensed" w:cs="Barlow Semi Condensed" w:eastAsia="Barlow Semi Condensed" w:hAnsi="Barlow Semi Condensed"/>
          <w:b/>
          <w:bCs/>
          <w:sz w:val="24"/>
          <w:szCs w:val="24"/>
        </w:rPr>
        <w:t xml:space="preserve">8 settembre 1969</w:t>
      </w:r>
      <w:r>
        <w:rPr>
          <w:rFonts w:ascii="Barlow Semi Condensed" w:cs="Barlow Semi Condensed" w:eastAsia="Barlow Semi Condensed" w:hAnsi="Barlow Semi Condensed"/>
          <w:sz w:val="24"/>
          <w:szCs w:val="24"/>
        </w:rPr>
        <w:t xml:space="preserve">, ebbe due fondatori — Curcio e Simioni — e </w:t>
      </w:r>
      <w:r>
        <w:rPr>
          <w:rFonts w:ascii="Barlow Semi Condensed" w:cs="Barlow Semi Condensed" w:eastAsia="Barlow Semi Condensed" w:hAnsi="Barlow Semi Condensed"/>
          <w:b/>
          <w:bCs/>
          <w:sz w:val="24"/>
          <w:szCs w:val="24"/>
        </w:rPr>
        <w:t xml:space="preserve">due discendenze</w:t>
      </w:r>
      <w:r>
        <w:rPr>
          <w:rFonts w:ascii="Barlow Semi Condensed" w:cs="Barlow Semi Condensed" w:eastAsia="Barlow Semi Condensed" w:hAnsi="Barlow Semi Condensed"/>
          <w:sz w:val="24"/>
          <w:szCs w:val="24"/>
        </w:rPr>
        <w:t xml:space="preserve">. Dalla via di Curcio, attraverso Sinistra Proletaria e la clandestinità del 1970, nacquero le Brigate Rosse: tredici delle persone che ne uscirono stanno oggi nel registro del giudicato (Fase decima), ciascuna con la propria condanna. Dalla via di Simioni nacquero il Superclan e poi Hyperion: le tre persone che la percorsero fino in fondo </w:t>
      </w:r>
      <w:r>
        <w:rPr>
          <w:rFonts w:ascii="Barlow Semi Condensed" w:cs="Barlow Semi Condensed" w:eastAsia="Barlow Semi Condensed" w:hAnsi="Barlow Semi Condensed"/>
          <w:b/>
          <w:bCs/>
          <w:sz w:val="24"/>
          <w:szCs w:val="24"/>
        </w:rPr>
        <w:t xml:space="preserve">non stanno in nessun registro di condannati</w:t>
      </w:r>
      <w:r>
        <w:rPr>
          <w:rFonts w:ascii="Barlow Semi Condensed" w:cs="Barlow Semi Condensed" w:eastAsia="Barlow Semi Condensed" w:hAnsi="Barlow Semi Condensed"/>
          <w:sz w:val="24"/>
          <w:szCs w:val="24"/>
        </w:rPr>
        <w:t xml:space="preserve">, perché i processi che le riguardarono finirono in assoluzioni e proscioglimenti.</w:t>
      </w:r>
    </w:p>
    <w:p>
      <w:pPr>
        <w:spacing w:after="120" w:line="276"/>
        <w:jc w:val="both"/>
      </w:pPr>
      <w:r>
        <w:rPr>
          <w:rFonts w:ascii="Barlow Semi Condensed" w:cs="Barlow Semi Condensed" w:eastAsia="Barlow Semi Condensed" w:hAnsi="Barlow Semi Condensed"/>
          <w:sz w:val="24"/>
          <w:szCs w:val="24"/>
        </w:rPr>
        <w:t xml:space="preserve">Il ceppo comune produsse dunque </w:t>
      </w:r>
      <w:r>
        <w:rPr>
          <w:rFonts w:ascii="Barlow Semi Condensed" w:cs="Barlow Semi Condensed" w:eastAsia="Barlow Semi Condensed" w:hAnsi="Barlow Semi Condensed"/>
          <w:b/>
          <w:bCs/>
          <w:sz w:val="24"/>
          <w:szCs w:val="24"/>
        </w:rPr>
        <w:t xml:space="preserve">esiti giudiziari opposti</w:t>
      </w:r>
      <w:r>
        <w:rPr>
          <w:rFonts w:ascii="Barlow Semi Condensed" w:cs="Barlow Semi Condensed" w:eastAsia="Barlow Semi Condensed" w:hAnsi="Barlow Semi Condensed"/>
          <w:sz w:val="24"/>
          <w:szCs w:val="24"/>
        </w:rPr>
        <w:t xml:space="preserve">, e il metodo dell'opera impone di rispettarli entrambi con la stessa forza: come nessuna assoluzione dei secondi attenua le condanne dei primi, così </w:t>
      </w:r>
      <w:r>
        <w:rPr>
          <w:rFonts w:ascii="Barlow Semi Condensed" w:cs="Barlow Semi Condensed" w:eastAsia="Barlow Semi Condensed" w:hAnsi="Barlow Semi Condensed"/>
          <w:b/>
          <w:bCs/>
          <w:sz w:val="24"/>
          <w:szCs w:val="24"/>
        </w:rPr>
        <w:t xml:space="preserve">nessuna condanna dei primi ombreggia le assoluzioni dei secondi</w:t>
      </w:r>
      <w:r>
        <w:rPr>
          <w:rFonts w:ascii="Barlow Semi Condensed" w:cs="Barlow Semi Condensed" w:eastAsia="Barlow Semi Condensed" w:hAnsi="Barlow Semi Condensed"/>
          <w:sz w:val="24"/>
          <w:szCs w:val="24"/>
        </w:rPr>
        <w:t xml:space="preserve">. Studiare il ceppo non è cercare la colpa che i tribunali non trovarono: è capire come una stessa matrice — la Milano operaia e universitaria del 1969, Sit-Siemens e Pirelli, i collettivi — generò strade tanto divergenti. È storia, e la si fa da storici.</w:t>
      </w:r>
    </w:p>
    <w:p>
      <w:pPr>
        <w:pStyle w:val="Heading1"/>
        <w:spacing w:after="120" w:before="240"/>
      </w:pPr>
      <w:r>
        <w:rPr>
          <w:rFonts w:ascii="Barlow Semi Condensed" w:cs="Barlow Semi Condensed" w:eastAsia="Barlow Semi Condensed" w:hAnsi="Barlow Semi Condensed"/>
          <w:sz w:val="24"/>
          <w:szCs w:val="24"/>
        </w:rPr>
        <w:t xml:space="preserve">Capitolo II — L'uomo prima del ceppo: Simioni 1934-1969</w:t>
      </w:r>
    </w:p>
    <w:p>
      <w:pPr>
        <w:spacing w:after="120" w:line="276"/>
        <w:jc w:val="both"/>
      </w:pPr>
      <w:r>
        <w:rPr>
          <w:rFonts w:ascii="Barlow Semi Condensed" w:cs="Barlow Semi Condensed" w:eastAsia="Barlow Semi Condensed" w:hAnsi="Barlow Semi Condensed"/>
          <w:sz w:val="24"/>
          <w:szCs w:val="24"/>
        </w:rPr>
        <w:t xml:space="preserve">Corrado Simioni nacque a </w:t>
      </w:r>
      <w:r>
        <w:rPr>
          <w:rFonts w:ascii="Barlow Semi Condensed" w:cs="Barlow Semi Condensed" w:eastAsia="Barlow Semi Condensed" w:hAnsi="Barlow Semi Condensed"/>
          <w:b/>
          <w:bCs/>
          <w:sz w:val="24"/>
          <w:szCs w:val="24"/>
        </w:rPr>
        <w:t xml:space="preserve">Dolo il 10 dicembre 1934</w:t>
      </w:r>
      <w:r>
        <w:rPr>
          <w:rFonts w:ascii="Barlow Semi Condensed" w:cs="Barlow Semi Condensed" w:eastAsia="Barlow Semi Condensed" w:hAnsi="Barlow Semi Condensed"/>
          <w:sz w:val="24"/>
          <w:szCs w:val="24"/>
        </w:rPr>
        <w:t xml:space="preserve">. Studioso di Pirandello, cominciò l'attività politica nella </w:t>
      </w:r>
      <w:r>
        <w:rPr>
          <w:rFonts w:ascii="Barlow Semi Condensed" w:cs="Barlow Semi Condensed" w:eastAsia="Barlow Semi Condensed" w:hAnsi="Barlow Semi Condensed"/>
          <w:b/>
          <w:bCs/>
          <w:sz w:val="24"/>
          <w:szCs w:val="24"/>
        </w:rPr>
        <w:t xml:space="preserve">gioventù socialista, accanto a Bettino Craxi</w:t>
      </w:r>
      <w:r>
        <w:rPr>
          <w:rFonts w:ascii="Barlow Semi Condensed" w:cs="Barlow Semi Condensed" w:eastAsia="Barlow Semi Condensed" w:hAnsi="Barlow Semi Condensed"/>
          <w:sz w:val="24"/>
          <w:szCs w:val="24"/>
        </w:rPr>
        <w:t xml:space="preserve">; nel </w:t>
      </w:r>
      <w:r>
        <w:rPr>
          <w:rFonts w:ascii="Barlow Semi Condensed" w:cs="Barlow Semi Condensed" w:eastAsia="Barlow Semi Condensed" w:hAnsi="Barlow Semi Condensed"/>
          <w:b/>
          <w:bCs/>
          <w:sz w:val="24"/>
          <w:szCs w:val="24"/>
        </w:rPr>
        <w:t xml:space="preserve">1965 fu espulso dal PSI «per indegnità morale»</w:t>
      </w:r>
      <w:r>
        <w:rPr>
          <w:rFonts w:ascii="Barlow Semi Condensed" w:cs="Barlow Semi Condensed" w:eastAsia="Barlow Semi Condensed" w:hAnsi="Barlow Semi Condensed"/>
          <w:sz w:val="24"/>
          <w:szCs w:val="24"/>
        </w:rPr>
        <w:t xml:space="preserve"> — formula d'epoca alla quale egli stesso avrebbe poi alluso parlando di una vicenda di donne che coinvolgeva Craxi. Dopo l'espulsione si trasferì a </w:t>
      </w:r>
      <w:r>
        <w:rPr>
          <w:rFonts w:ascii="Barlow Semi Condensed" w:cs="Barlow Semi Condensed" w:eastAsia="Barlow Semi Condensed" w:hAnsi="Barlow Semi Condensed"/>
          <w:b/>
          <w:bCs/>
          <w:sz w:val="24"/>
          <w:szCs w:val="24"/>
        </w:rPr>
        <w:t xml:space="preserve">Monaco di Baviera</w:t>
      </w:r>
      <w:r>
        <w:rPr>
          <w:rFonts w:ascii="Barlow Semi Condensed" w:cs="Barlow Semi Condensed" w:eastAsia="Barlow Semi Condensed" w:hAnsi="Barlow Semi Condensed"/>
          <w:sz w:val="24"/>
          <w:szCs w:val="24"/>
        </w:rPr>
        <w:t xml:space="preserve">, dove frequentò un corso di teologia; rientrò a </w:t>
      </w:r>
      <w:r>
        <w:rPr>
          <w:rFonts w:ascii="Barlow Semi Condensed" w:cs="Barlow Semi Condensed" w:eastAsia="Barlow Semi Condensed" w:hAnsi="Barlow Semi Condensed"/>
          <w:b/>
          <w:bCs/>
          <w:sz w:val="24"/>
          <w:szCs w:val="24"/>
        </w:rPr>
        <w:t xml:space="preserve">Milano nel 1967</w:t>
      </w:r>
      <w:r>
        <w:rPr>
          <w:rFonts w:ascii="Barlow Semi Condensed" w:cs="Barlow Semi Condensed" w:eastAsia="Barlow Semi Condensed" w:hAnsi="Barlow Semi Condensed"/>
          <w:sz w:val="24"/>
          <w:szCs w:val="24"/>
        </w:rPr>
        <w:t xml:space="preserve">, lavorando per </w:t>
      </w:r>
      <w:r>
        <w:rPr>
          <w:rFonts w:ascii="Barlow Semi Condensed" w:cs="Barlow Semi Condensed" w:eastAsia="Barlow Semi Condensed" w:hAnsi="Barlow Semi Condensed"/>
          <w:b/>
          <w:bCs/>
          <w:sz w:val="24"/>
          <w:szCs w:val="24"/>
        </w:rPr>
        <w:t xml:space="preserve">Mondadori</w:t>
      </w:r>
      <w:r>
        <w:rPr>
          <w:rFonts w:ascii="Barlow Semi Condensed" w:cs="Barlow Semi Condensed" w:eastAsia="Barlow Semi Condensed" w:hAnsi="Barlow Semi Condensed"/>
          <w:sz w:val="24"/>
          <w:szCs w:val="24"/>
        </w:rPr>
        <w:t xml:space="preserve"> e per l'</w:t>
      </w:r>
      <w:r>
        <w:rPr>
          <w:rFonts w:ascii="Barlow Semi Condensed" w:cs="Barlow Semi Condensed" w:eastAsia="Barlow Semi Condensed" w:hAnsi="Barlow Semi Condensed"/>
          <w:b/>
          <w:bCs/>
          <w:sz w:val="24"/>
          <w:szCs w:val="24"/>
        </w:rPr>
        <w:t xml:space="preserve">USIS</w:t>
      </w:r>
      <w:r>
        <w:rPr>
          <w:rFonts w:ascii="Barlow Semi Condensed" w:cs="Barlow Semi Condensed" w:eastAsia="Barlow Semi Condensed" w:hAnsi="Barlow Semi Condensed"/>
          <w:sz w:val="24"/>
          <w:szCs w:val="24"/>
        </w:rPr>
        <w:t xml:space="preserve"> — lo United States Information Service (Wikipedia, </w:t>
      </w:r>
      <w:r>
        <w:rPr>
          <w:rFonts w:ascii="Barlow Semi Condensed" w:cs="Barlow Semi Condensed" w:eastAsia="Barlow Semi Condensed" w:hAnsi="Barlow Semi Condensed"/>
          <w:i/>
          <w:iCs/>
          <w:sz w:val="24"/>
          <w:szCs w:val="24"/>
        </w:rPr>
        <w:t xml:space="preserve">Corrado Simioni</w:t>
      </w:r>
      <w:r>
        <w:rPr>
          <w:rFonts w:ascii="Barlow Semi Condensed" w:cs="Barlow Semi Condensed" w:eastAsia="Barlow Semi Condensed" w:hAnsi="Barlow Semi Condensed"/>
          <w:sz w:val="24"/>
          <w:szCs w:val="24"/>
        </w:rPr>
        <w:t xml:space="preserve"> (https://it.wikipedia.org/wiki/Corrado_Simioni); Valerio Lucarelli, </w:t>
      </w:r>
      <w:r>
        <w:rPr>
          <w:rFonts w:ascii="Barlow Semi Condensed" w:cs="Barlow Semi Condensed" w:eastAsia="Barlow Semi Condensed" w:hAnsi="Barlow Semi Condensed"/>
          <w:i/>
          <w:iCs/>
          <w:sz w:val="24"/>
          <w:szCs w:val="24"/>
        </w:rPr>
        <w:t xml:space="preserve">Hyperion e Superclan</w:t>
      </w:r>
      <w:r>
        <w:rPr>
          <w:rFonts w:ascii="Barlow Semi Condensed" w:cs="Barlow Semi Condensed" w:eastAsia="Barlow Semi Condensed" w:hAnsi="Barlow Semi Condensed"/>
          <w:sz w:val="24"/>
          <w:szCs w:val="24"/>
        </w:rPr>
        <w:t xml:space="preserve"> (http://www.valeriolucarelli.it/Hyperion.htm)).</w:t>
      </w:r>
    </w:p>
    <w:p>
      <w:pPr>
        <w:spacing w:after="120" w:line="276"/>
        <w:jc w:val="both"/>
      </w:pPr>
      <w:r>
        <w:rPr>
          <w:rFonts w:ascii="Barlow Semi Condensed" w:cs="Barlow Semi Condensed" w:eastAsia="Barlow Semi Condensed" w:hAnsi="Barlow Semi Condensed"/>
          <w:sz w:val="24"/>
          <w:szCs w:val="24"/>
        </w:rPr>
        <w:t xml:space="preserve">Su questa biografia si è depositata mezza congetturistica italiana, e i gradi vanno quindi fissati subito. </w:t>
      </w:r>
      <w:r>
        <w:rPr>
          <w:rFonts w:ascii="Barlow Semi Condensed" w:cs="Barlow Semi Condensed" w:eastAsia="Barlow Semi Condensed" w:hAnsi="Barlow Semi Condensed"/>
          <w:b/>
          <w:bCs/>
          <w:sz w:val="24"/>
          <w:szCs w:val="24"/>
        </w:rPr>
        <w:t xml:space="preserve">L'impiego all'USIS è un fatto biografico (F)</w:t>
      </w:r>
      <w:r>
        <w:rPr>
          <w:rFonts w:ascii="Barlow Semi Condensed" w:cs="Barlow Semi Condensed" w:eastAsia="Barlow Semi Condensed" w:hAnsi="Barlow Semi Condensed"/>
          <w:sz w:val="24"/>
          <w:szCs w:val="24"/>
        </w:rPr>
        <w:t xml:space="preserve">: un lavoro, documentato. La voce di un passaggio a </w:t>
      </w:r>
      <w:r>
        <w:rPr>
          <w:rFonts w:ascii="Barlow Semi Condensed" w:cs="Barlow Semi Condensed" w:eastAsia="Barlow Semi Condensed" w:hAnsi="Barlow Semi Condensed"/>
          <w:b/>
          <w:bCs/>
          <w:sz w:val="24"/>
          <w:szCs w:val="24"/>
        </w:rPr>
        <w:t xml:space="preserve">Radio Free Europe</w:t>
      </w:r>
      <w:r>
        <w:rPr>
          <w:rFonts w:ascii="Barlow Semi Condensed" w:cs="Barlow Semi Condensed" w:eastAsia="Barlow Semi Condensed" w:hAnsi="Barlow Semi Condensed"/>
          <w:sz w:val="24"/>
          <w:szCs w:val="24"/>
        </w:rPr>
        <w:t xml:space="preserve"> a Monaco — emittente finanziata dalla CIA — circola nella pubblicistica preceduta da un «si dice», e come «si dice» va classificata: </w:t>
      </w:r>
      <w:r>
        <w:rPr>
          <w:rFonts w:ascii="Barlow Semi Condensed" w:cs="Barlow Semi Condensed" w:eastAsia="Barlow Semi Condensed" w:hAnsi="Barlow Semi Condensed"/>
          <w:b/>
          <w:bCs/>
          <w:sz w:val="24"/>
          <w:szCs w:val="24"/>
        </w:rPr>
        <w:t xml:space="preserve">riferita, non accertata</w:t>
      </w:r>
      <w:r>
        <w:rPr>
          <w:rFonts w:ascii="Barlow Semi Condensed" w:cs="Barlow Semi Condensed" w:eastAsia="Barlow Semi Condensed" w:hAnsi="Barlow Semi Condensed"/>
          <w:sz w:val="24"/>
          <w:szCs w:val="24"/>
        </w:rPr>
        <w:t xml:space="preserve">. E soprattutto vale, per Simioni come per chiunque, la regola che la Fase decima ha scolpito: </w:t>
      </w:r>
      <w:r>
        <w:rPr>
          <w:rFonts w:ascii="Barlow Semi Condensed" w:cs="Barlow Semi Condensed" w:eastAsia="Barlow Semi Condensed" w:hAnsi="Barlow Semi Condensed"/>
          <w:b/>
          <w:bCs/>
          <w:sz w:val="24"/>
          <w:szCs w:val="24"/>
        </w:rPr>
        <w:t xml:space="preserve">quand'anche ogni impiego fosse accertato, un impiego non è un'appartenenza, e un'appartenenza non è una condotta.</w:t>
      </w:r>
      <w:r>
        <w:rPr>
          <w:rFonts w:ascii="Barlow Semi Condensed" w:cs="Barlow Semi Condensed" w:eastAsia="Barlow Semi Condensed" w:hAnsi="Barlow Semi Condensed"/>
          <w:sz w:val="24"/>
          <w:szCs w:val="24"/>
        </w:rPr>
        <w:t xml:space="preserve"> Lavorare per un ente culturale americano nel 1967 non rende nessuno un agente, esattamente come militare in un collettivo del 1969 non rende nessuno un brigatista.</w:t>
      </w:r>
    </w:p>
    <w:p>
      <w:pPr>
        <w:pStyle w:val="Heading1"/>
        <w:spacing w:after="120" w:before="240"/>
      </w:pPr>
      <w:r>
        <w:rPr>
          <w:rFonts w:ascii="Barlow Semi Condensed" w:cs="Barlow Semi Condensed" w:eastAsia="Barlow Semi Condensed" w:hAnsi="Barlow Semi Condensed"/>
          <w:sz w:val="24"/>
          <w:szCs w:val="24"/>
        </w:rPr>
        <w:t xml:space="preserve">Capitolo III — Il CPM: la fondazione a due (8 settembre 1969)</w:t>
      </w:r>
    </w:p>
    <w:p>
      <w:pPr>
        <w:spacing w:after="120" w:line="276"/>
        <w:jc w:val="both"/>
      </w:pPr>
      <w:r>
        <w:rPr>
          <w:rFonts w:ascii="Barlow Semi Condensed" w:cs="Barlow Semi Condensed" w:eastAsia="Barlow Semi Condensed" w:hAnsi="Barlow Semi Condensed"/>
          <w:sz w:val="24"/>
          <w:szCs w:val="24"/>
        </w:rPr>
        <w:t xml:space="preserve">Il Collettivo Politico Metropolitano nacque a Milano l'8 settembre 1969 come coordinamento di collettivi autonomi, con base operaia e tecnica soprattutto in </w:t>
      </w:r>
      <w:r>
        <w:rPr>
          <w:rFonts w:ascii="Barlow Semi Condensed" w:cs="Barlow Semi Condensed" w:eastAsia="Barlow Semi Condensed" w:hAnsi="Barlow Semi Condensed"/>
          <w:b/>
          <w:bCs/>
          <w:sz w:val="24"/>
          <w:szCs w:val="24"/>
        </w:rPr>
        <w:t xml:space="preserve">due fabbriche: Sit-Siemens e Pirelli</w:t>
      </w:r>
      <w:r>
        <w:rPr>
          <w:rFonts w:ascii="Barlow Semi Condensed" w:cs="Barlow Semi Condensed" w:eastAsia="Barlow Semi Condensed" w:hAnsi="Barlow Semi Condensed"/>
          <w:sz w:val="24"/>
          <w:szCs w:val="24"/>
        </w:rPr>
        <w:t xml:space="preserve"> (Spazio70 (https://nazionalpopolare70.wordpress.com/tag/collettivo-politico-metropolitano/)). I fondatori furono </w:t>
      </w:r>
      <w:r>
        <w:rPr>
          <w:rFonts w:ascii="Barlow Semi Condensed" w:cs="Barlow Semi Condensed" w:eastAsia="Barlow Semi Condensed" w:hAnsi="Barlow Semi Condensed"/>
          <w:b/>
          <w:bCs/>
          <w:sz w:val="24"/>
          <w:szCs w:val="24"/>
        </w:rPr>
        <w:t xml:space="preserve">Renato Curcio e Corrado Simioni</w:t>
      </w:r>
      <w:r>
        <w:rPr>
          <w:rFonts w:ascii="Barlow Semi Condensed" w:cs="Barlow Semi Condensed" w:eastAsia="Barlow Semi Condensed" w:hAnsi="Barlow Semi Condensed"/>
          <w:sz w:val="24"/>
          <w:szCs w:val="24"/>
        </w:rPr>
        <w:t xml:space="preserve">; attorno a loro, Margherita Cagol e il milieu da cui sarebbero usciti — per la via che il corpus ha già percorso — Mario Moretti e gli altri assunti della Sit-Siemens. Dal CPM discese </w:t>
      </w:r>
      <w:r>
        <w:rPr>
          <w:rFonts w:ascii="Barlow Semi Condensed" w:cs="Barlow Semi Condensed" w:eastAsia="Barlow Semi Condensed" w:hAnsi="Barlow Semi Condensed"/>
          <w:b/>
          <w:bCs/>
          <w:sz w:val="24"/>
          <w:szCs w:val="24"/>
        </w:rPr>
        <w:t xml:space="preserve">Sinistra Proletaria</w:t>
      </w:r>
      <w:r>
        <w:rPr>
          <w:rFonts w:ascii="Barlow Semi Condensed" w:cs="Barlow Semi Condensed" w:eastAsia="Barlow Semi Condensed" w:hAnsi="Barlow Semi Condensed"/>
          <w:sz w:val="24"/>
          <w:szCs w:val="24"/>
        </w:rPr>
        <w:t xml:space="preserve">, l'organizzazione-ponte del 1970.</w:t>
      </w:r>
    </w:p>
    <w:p>
      <w:pPr>
        <w:spacing w:after="120" w:line="276"/>
        <w:jc w:val="both"/>
      </w:pPr>
      <w:r>
        <w:rPr>
          <w:rFonts w:ascii="Barlow Semi Condensed" w:cs="Barlow Semi Condensed" w:eastAsia="Barlow Semi Condensed" w:hAnsi="Barlow Semi Condensed"/>
          <w:sz w:val="24"/>
          <w:szCs w:val="24"/>
        </w:rPr>
        <w:t xml:space="preserve">Il punto storico da tenere fermo è che nel 1969 </w:t>
      </w:r>
      <w:r>
        <w:rPr>
          <w:rFonts w:ascii="Barlow Semi Condensed" w:cs="Barlow Semi Condensed" w:eastAsia="Barlow Semi Condensed" w:hAnsi="Barlow Semi Condensed"/>
          <w:b/>
          <w:bCs/>
          <w:sz w:val="24"/>
          <w:szCs w:val="24"/>
        </w:rPr>
        <w:t xml:space="preserve">le strade non erano ancora divise</w:t>
      </w:r>
      <w:r>
        <w:rPr>
          <w:rFonts w:ascii="Barlow Semi Condensed" w:cs="Barlow Semi Condensed" w:eastAsia="Barlow Semi Condensed" w:hAnsi="Barlow Semi Condensed"/>
          <w:sz w:val="24"/>
          <w:szCs w:val="24"/>
        </w:rPr>
        <w:t xml:space="preserve">: il CPM era un solo ambiente, e le persone che due anni dopo si sarebbero trovate su sponde opposte — e trent'anni dopo in tribunali con esiti opposti — sedevano nelle stesse riunioni. La genealogia condivisa è il fatto; ciò che ciascuno ne fece è la storia individuale che i capitoli seguenti separano.</w:t>
      </w:r>
    </w:p>
    <w:p>
      <w:pPr>
        <w:pStyle w:val="Heading1"/>
        <w:spacing w:after="120" w:before="240"/>
      </w:pPr>
      <w:r>
        <w:rPr>
          <w:rFonts w:ascii="Barlow Semi Condensed" w:cs="Barlow Semi Condensed" w:eastAsia="Barlow Semi Condensed" w:hAnsi="Barlow Semi Condensed"/>
          <w:sz w:val="24"/>
          <w:szCs w:val="24"/>
        </w:rPr>
        <w:t xml:space="preserve">Capitolo IV — La scissione (1970-1971): due vie, e la memorialistica di parte</w:t>
      </w:r>
    </w:p>
    <w:p>
      <w:pPr>
        <w:spacing w:after="120" w:line="276"/>
        <w:jc w:val="both"/>
      </w:pPr>
      <w:r>
        <w:rPr>
          <w:rFonts w:ascii="Barlow Semi Condensed" w:cs="Barlow Semi Condensed" w:eastAsia="Barlow Semi Condensed" w:hAnsi="Barlow Semi Condensed"/>
          <w:sz w:val="24"/>
          <w:szCs w:val="24"/>
        </w:rPr>
        <w:t xml:space="preserve">Fra il 1970 e il 1971 il ceppo si divise. La via di Curcio andò verso la clandestinità e il nucleo storico delle Brigate Rosse. La via di Simioni produsse il </w:t>
      </w:r>
      <w:r>
        <w:rPr>
          <w:rFonts w:ascii="Barlow Semi Condensed" w:cs="Barlow Semi Condensed" w:eastAsia="Barlow Semi Condensed" w:hAnsi="Barlow Semi Condensed"/>
          <w:b/>
          <w:bCs/>
          <w:sz w:val="24"/>
          <w:szCs w:val="24"/>
        </w:rPr>
        <w:t xml:space="preserve">Superclan</w:t>
      </w:r>
      <w:r>
        <w:rPr>
          <w:rFonts w:ascii="Barlow Semi Condensed" w:cs="Barlow Semi Condensed" w:eastAsia="Barlow Semi Condensed" w:hAnsi="Barlow Semi Condensed"/>
          <w:sz w:val="24"/>
          <w:szCs w:val="24"/>
        </w:rPr>
        <w:t xml:space="preserve"> — i «super-clandestini» — costituito </w:t>
      </w:r>
      <w:r>
        <w:rPr>
          <w:rFonts w:ascii="Barlow Semi Condensed" w:cs="Barlow Semi Condensed" w:eastAsia="Barlow Semi Condensed" w:hAnsi="Barlow Semi Condensed"/>
          <w:b/>
          <w:bCs/>
          <w:sz w:val="24"/>
          <w:szCs w:val="24"/>
        </w:rPr>
        <w:t xml:space="preserve">dai nuclei di Sinistra Proletaria fra il 1970 e il 1971</w:t>
      </w:r>
      <w:r>
        <w:rPr>
          <w:rFonts w:ascii="Barlow Semi Condensed" w:cs="Barlow Semi Condensed" w:eastAsia="Barlow Semi Condensed" w:hAnsi="Barlow Semi Condensed"/>
          <w:sz w:val="24"/>
          <w:szCs w:val="24"/>
        </w:rPr>
        <w:t xml:space="preserve">, dopo che Simioni e i suoi ebbero </w:t>
      </w:r>
      <w:r>
        <w:rPr>
          <w:rFonts w:ascii="Barlow Semi Condensed" w:cs="Barlow Semi Condensed" w:eastAsia="Barlow Semi Condensed" w:hAnsi="Barlow Semi Condensed"/>
          <w:b/>
          <w:bCs/>
          <w:sz w:val="24"/>
          <w:szCs w:val="24"/>
        </w:rPr>
        <w:t xml:space="preserve">contestato le scelte del gruppo dirigente</w:t>
      </w:r>
      <w:r>
        <w:rPr>
          <w:rFonts w:ascii="Barlow Semi Condensed" w:cs="Barlow Semi Condensed" w:eastAsia="Barlow Semi Condensed" w:hAnsi="Barlow Semi Condensed"/>
          <w:sz w:val="24"/>
          <w:szCs w:val="24"/>
        </w:rPr>
        <w:t xml:space="preserve"> della nascente organizzazione armata; la voce enciclopedica lo descrive come organizzazione dai «propositi grandiosi» e dalle «realizzazioni limitate» (Wikipedia, </w:t>
      </w:r>
      <w:r>
        <w:rPr>
          <w:rFonts w:ascii="Barlow Semi Condensed" w:cs="Barlow Semi Condensed" w:eastAsia="Barlow Semi Condensed" w:hAnsi="Barlow Semi Condensed"/>
          <w:i/>
          <w:iCs/>
          <w:sz w:val="24"/>
          <w:szCs w:val="24"/>
        </w:rPr>
        <w:t xml:space="preserve">Superclan</w:t>
      </w:r>
      <w:r>
        <w:rPr>
          <w:rFonts w:ascii="Barlow Semi Condensed" w:cs="Barlow Semi Condensed" w:eastAsia="Barlow Semi Condensed" w:hAnsi="Barlow Semi Condensed"/>
          <w:sz w:val="24"/>
          <w:szCs w:val="24"/>
        </w:rPr>
        <w:t xml:space="preserve"> (https://it.wikipedia.org/wiki/Superclan)).</w:t>
      </w:r>
    </w:p>
    <w:p>
      <w:pPr>
        <w:spacing w:after="120" w:line="276"/>
        <w:jc w:val="both"/>
      </w:pPr>
      <w:r>
        <w:rPr>
          <w:rFonts w:ascii="Barlow Semi Condensed" w:cs="Barlow Semi Condensed" w:eastAsia="Barlow Semi Condensed" w:hAnsi="Barlow Semi Condensed"/>
          <w:sz w:val="24"/>
          <w:szCs w:val="24"/>
        </w:rPr>
        <w:t xml:space="preserve">Su che cosa il Superclan </w:t>
      </w:r>
      <w:r>
        <w:rPr>
          <w:rFonts w:ascii="Barlow Semi Condensed" w:cs="Barlow Semi Condensed" w:eastAsia="Barlow Semi Condensed" w:hAnsi="Barlow Semi Condensed"/>
          <w:i/>
          <w:iCs/>
          <w:sz w:val="24"/>
          <w:szCs w:val="24"/>
        </w:rPr>
        <w:t xml:space="preserve">fosse davvero</w:t>
      </w:r>
      <w:r>
        <w:rPr>
          <w:rFonts w:ascii="Barlow Semi Condensed" w:cs="Barlow Semi Condensed" w:eastAsia="Barlow Semi Condensed" w:hAnsi="Barlow Semi Condensed"/>
          <w:sz w:val="24"/>
          <w:szCs w:val="24"/>
        </w:rPr>
        <w:t xml:space="preserve">, la fonte principale è — ed è bene dirlo brutalmente — </w:t>
      </w:r>
      <w:r>
        <w:rPr>
          <w:rFonts w:ascii="Barlow Semi Condensed" w:cs="Barlow Semi Condensed" w:eastAsia="Barlow Semi Condensed" w:hAnsi="Barlow Semi Condensed"/>
          <w:b/>
          <w:bCs/>
          <w:sz w:val="24"/>
          <w:szCs w:val="24"/>
        </w:rPr>
        <w:t xml:space="preserve">la memorialistica dei capi brigatisti</w:t>
      </w:r>
      <w:r>
        <w:rPr>
          <w:rFonts w:ascii="Barlow Semi Condensed" w:cs="Barlow Semi Condensed" w:eastAsia="Barlow Semi Condensed" w:hAnsi="Barlow Semi Condensed"/>
          <w:sz w:val="24"/>
          <w:szCs w:val="24"/>
        </w:rPr>
        <w:t xml:space="preserve">, resa nei processi e nei libri degli anni Ottanta: quando nel giugno 1982 i mandati di cattura raggiunsero gli uomini di Hyperion, furono «i capi BR» a «raccontare il Superclan» agli inquirenti (Ugo Maria Tassinari (https://www.ugomariatassinari.it/hyperion-mandati-di-cattura/)). Ora: la memorialistica di chi proveniva dalla scissione </w:t>
      </w:r>
      <w:r>
        <w:rPr>
          <w:rFonts w:ascii="Barlow Semi Condensed" w:cs="Barlow Semi Condensed" w:eastAsia="Barlow Semi Condensed" w:hAnsi="Barlow Semi Condensed"/>
          <w:i/>
          <w:iCs/>
          <w:sz w:val="24"/>
          <w:szCs w:val="24"/>
        </w:rPr>
        <w:t xml:space="preserve">opposta</w:t>
      </w:r>
      <w:r>
        <w:rPr>
          <w:rFonts w:ascii="Barlow Semi Condensed" w:cs="Barlow Semi Condensed" w:eastAsia="Barlow Semi Condensed" w:hAnsi="Barlow Semi Condensed"/>
          <w:sz w:val="24"/>
          <w:szCs w:val="24"/>
        </w:rPr>
        <w:t xml:space="preserve"> è, per definizione, </w:t>
      </w:r>
      <w:r>
        <w:rPr>
          <w:rFonts w:ascii="Barlow Semi Condensed" w:cs="Barlow Semi Condensed" w:eastAsia="Barlow Semi Condensed" w:hAnsi="Barlow Semi Condensed"/>
          <w:b/>
          <w:bCs/>
          <w:sz w:val="24"/>
          <w:szCs w:val="24"/>
        </w:rPr>
        <w:t xml:space="preserve">fonte di parte</w:t>
      </w:r>
      <w:r>
        <w:rPr>
          <w:rFonts w:ascii="Barlow Semi Condensed" w:cs="Barlow Semi Condensed" w:eastAsia="Barlow Semi Condensed" w:hAnsi="Barlow Semi Condensed"/>
          <w:sz w:val="24"/>
          <w:szCs w:val="24"/>
        </w:rPr>
        <w:t xml:space="preserve"> — preziosa per la storia degli ambienti, inservibile come prova delle condotte. Il corpus la tratta ovunque così, e qui a maggior ragione: le descrizioni del Superclan come struttura occulta e manovriera provengono in larga parte da uomini che con Simioni avevano rotto, e i processi che ne seguirono si chiusero come si chiusero. </w:t>
      </w:r>
      <w:r>
        <w:rPr>
          <w:rFonts w:ascii="Barlow Semi Condensed" w:cs="Barlow Semi Condensed" w:eastAsia="Barlow Semi Condensed" w:hAnsi="Barlow Semi Condensed"/>
          <w:b/>
          <w:bCs/>
          <w:sz w:val="24"/>
          <w:szCs w:val="24"/>
        </w:rPr>
        <w:t xml:space="preserve">Grado C</w:t>
      </w:r>
      <w:r>
        <w:rPr>
          <w:rFonts w:ascii="Barlow Semi Condensed" w:cs="Barlow Semi Condensed" w:eastAsia="Barlow Semi Condensed" w:hAnsi="Barlow Semi Condensed"/>
          <w:sz w:val="24"/>
          <w:szCs w:val="24"/>
        </w:rPr>
        <w:t xml:space="preserve">, dichiarato e mantenuto.</w:t>
      </w:r>
    </w:p>
    <w:p>
      <w:pPr>
        <w:pStyle w:val="Heading1"/>
        <w:spacing w:after="120" w:before="240"/>
      </w:pPr>
      <w:r>
        <w:rPr>
          <w:rFonts w:ascii="Barlow Semi Condensed" w:cs="Barlow Semi Condensed" w:eastAsia="Barlow Semi Condensed" w:hAnsi="Barlow Semi Condensed"/>
          <w:sz w:val="24"/>
          <w:szCs w:val="24"/>
        </w:rPr>
        <w:t xml:space="preserve">Capitolo V — Parigi: Hyperion (1976/1977)</w:t>
      </w:r>
    </w:p>
    <w:p>
      <w:pPr>
        <w:spacing w:after="120" w:line="276"/>
        <w:jc w:val="both"/>
      </w:pPr>
      <w:r>
        <w:rPr>
          <w:rFonts w:ascii="Barlow Semi Condensed" w:cs="Barlow Semi Condensed" w:eastAsia="Barlow Semi Condensed" w:hAnsi="Barlow Semi Condensed"/>
          <w:sz w:val="24"/>
          <w:szCs w:val="24"/>
        </w:rPr>
        <w:t xml:space="preserve">Trasferitosi in Francia, Simioni fondò a Parigi — con </w:t>
      </w:r>
      <w:r>
        <w:rPr>
          <w:rFonts w:ascii="Barlow Semi Condensed" w:cs="Barlow Semi Condensed" w:eastAsia="Barlow Semi Condensed" w:hAnsi="Barlow Semi Condensed"/>
          <w:b/>
          <w:bCs/>
          <w:sz w:val="24"/>
          <w:szCs w:val="24"/>
        </w:rPr>
        <w:t xml:space="preserve">Duccio Berio e Vanni Mulinaris</w:t>
      </w:r>
      <w:r>
        <w:rPr>
          <w:rFonts w:ascii="Barlow Semi Condensed" w:cs="Barlow Semi Condensed" w:eastAsia="Barlow Semi Condensed" w:hAnsi="Barlow Semi Condensed"/>
          <w:sz w:val="24"/>
          <w:szCs w:val="24"/>
        </w:rPr>
        <w:t xml:space="preserve"> — la scuola di lingue </w:t>
      </w:r>
      <w:r>
        <w:rPr>
          <w:rFonts w:ascii="Barlow Semi Condensed" w:cs="Barlow Semi Condensed" w:eastAsia="Barlow Semi Condensed" w:hAnsi="Barlow Semi Condensed"/>
          <w:b/>
          <w:bCs/>
          <w:sz w:val="24"/>
          <w:szCs w:val="24"/>
        </w:rPr>
        <w:t xml:space="preserve">Hyperion</w:t>
      </w:r>
      <w:r>
        <w:rPr>
          <w:rFonts w:ascii="Barlow Semi Condensed" w:cs="Barlow Semi Condensed" w:eastAsia="Barlow Semi Condensed" w:hAnsi="Barlow Semi Condensed"/>
          <w:sz w:val="24"/>
          <w:szCs w:val="24"/>
        </w:rPr>
        <w:t xml:space="preserve">, al </w:t>
      </w:r>
      <w:r>
        <w:rPr>
          <w:rFonts w:ascii="Barlow Semi Condensed" w:cs="Barlow Semi Condensed" w:eastAsia="Barlow Semi Condensed" w:hAnsi="Barlow Semi Condensed"/>
          <w:b/>
          <w:bCs/>
          <w:sz w:val="24"/>
          <w:szCs w:val="24"/>
        </w:rPr>
        <w:t xml:space="preserve">27 di Quai de la Tournelle</w:t>
      </w:r>
      <w:r>
        <w:rPr>
          <w:rFonts w:ascii="Barlow Semi Condensed" w:cs="Barlow Semi Condensed" w:eastAsia="Barlow Semi Condensed" w:hAnsi="Barlow Semi Condensed"/>
          <w:sz w:val="24"/>
          <w:szCs w:val="24"/>
        </w:rPr>
        <w:t xml:space="preserve">. Sulla data di fondazione le fonti divergono fra il </w:t>
      </w:r>
      <w:r>
        <w:rPr>
          <w:rFonts w:ascii="Barlow Semi Condensed" w:cs="Barlow Semi Condensed" w:eastAsia="Barlow Semi Condensed" w:hAnsi="Barlow Semi Condensed"/>
          <w:b/>
          <w:bCs/>
          <w:sz w:val="24"/>
          <w:szCs w:val="24"/>
        </w:rPr>
        <w:t xml:space="preserve">1976 e il 1977</w:t>
      </w:r>
      <w:r>
        <w:rPr>
          <w:rFonts w:ascii="Barlow Semi Condensed" w:cs="Barlow Semi Condensed" w:eastAsia="Barlow Semi Condensed" w:hAnsi="Barlow Semi Condensed"/>
          <w:sz w:val="24"/>
          <w:szCs w:val="24"/>
        </w:rPr>
        <w:t xml:space="preserve"> (Wikipedia, </w:t>
      </w:r>
      <w:r>
        <w:rPr>
          <w:rFonts w:ascii="Barlow Semi Condensed" w:cs="Barlow Semi Condensed" w:eastAsia="Barlow Semi Condensed" w:hAnsi="Barlow Semi Condensed"/>
          <w:i/>
          <w:iCs/>
          <w:sz w:val="24"/>
          <w:szCs w:val="24"/>
        </w:rPr>
        <w:t xml:space="preserve">Hyperion (Parigi)</w:t>
      </w:r>
      <w:r>
        <w:rPr>
          <w:rFonts w:ascii="Barlow Semi Condensed" w:cs="Barlow Semi Condensed" w:eastAsia="Barlow Semi Condensed" w:hAnsi="Barlow Semi Condensed"/>
          <w:sz w:val="24"/>
          <w:szCs w:val="24"/>
        </w:rPr>
        <w:t xml:space="preserve"> (https://it.wikipedia.org/wiki/Hyperion_(Parigi)); ASNSMP, scheda Mulinaris (http://www.comune.bologna.it/iperbole/asnsmp/Friuli_Vanni_Mulinaris.html)); la divergenza si riporta e non si risolve. La scuola insegnava lingue; attorno ad essa, per gli anni che seguirono, si sarebbero addensate le due tesi contrapposte che il corpus ha già vagliato — e l'episodio documentato dell'</w:t>
      </w:r>
      <w:r>
        <w:rPr>
          <w:rFonts w:ascii="Barlow Semi Condensed" w:cs="Barlow Semi Condensed" w:eastAsia="Barlow Semi Condensed" w:hAnsi="Barlow Semi Condensed"/>
          <w:b/>
          <w:bCs/>
          <w:sz w:val="24"/>
          <w:szCs w:val="24"/>
        </w:rPr>
        <w:t xml:space="preserve">ufficio romano di via Nicotera</w:t>
      </w:r>
      <w:r>
        <w:rPr>
          <w:rFonts w:ascii="Barlow Semi Condensed" w:cs="Barlow Semi Condensed" w:eastAsia="Barlow Semi Condensed" w:hAnsi="Barlow Semi Condensed"/>
          <w:sz w:val="24"/>
          <w:szCs w:val="24"/>
        </w:rPr>
        <w:t xml:space="preserve">, aperto nel </w:t>
      </w:r>
      <w:r>
        <w:rPr>
          <w:rFonts w:ascii="Barlow Semi Condensed" w:cs="Barlow Semi Condensed" w:eastAsia="Barlow Semi Condensed" w:hAnsi="Barlow Semi Condensed"/>
          <w:b/>
          <w:bCs/>
          <w:sz w:val="24"/>
          <w:szCs w:val="24"/>
        </w:rPr>
        <w:t xml:space="preserve">febbraio 1978</w:t>
      </w:r>
      <w:r>
        <w:rPr>
          <w:rFonts w:ascii="Barlow Semi Condensed" w:cs="Barlow Semi Condensed" w:eastAsia="Barlow Semi Condensed" w:hAnsi="Barlow Semi Condensed"/>
          <w:sz w:val="24"/>
          <w:szCs w:val="24"/>
        </w:rPr>
        <w:t xml:space="preserve"> e richiuso dopo pochi mesi, con la sua tremenda coincidenza cronologica col sequestro Moro, che </w:t>
      </w:r>
      <w:r>
        <w:rPr>
          <w:rFonts w:ascii="Barlow Semi Condensed" w:cs="Barlow Semi Condensed" w:eastAsia="Barlow Semi Condensed" w:hAnsi="Barlow Semi Condensed"/>
          <w:b/>
          <w:bCs/>
          <w:sz w:val="24"/>
          <w:szCs w:val="24"/>
        </w:rPr>
        <w:t xml:space="preserve">resta una coincidenza non spiegata e non un fatto probante</w:t>
      </w:r>
      <w:r>
        <w:rPr>
          <w:rFonts w:ascii="Barlow Semi Condensed" w:cs="Barlow Semi Condensed" w:eastAsia="Barlow Semi Condensed" w:hAnsi="Barlow Semi Condensed"/>
          <w:sz w:val="24"/>
          <w:szCs w:val="24"/>
        </w:rPr>
        <w:t xml:space="preserve">, al grado che la triangolazione Hyperion gli ha assegnato. Questo studio non riapre quel fascicolo: rinvia a </w:t>
      </w:r>
      <w:r>
        <w:rPr>
          <w:rFonts w:ascii="Barlow Semi Condensed" w:cs="Barlow Semi Condensed" w:eastAsia="Barlow Semi Condensed" w:hAnsi="Barlow Semi Condensed"/>
          <w:i/>
          <w:iCs/>
          <w:sz w:val="24"/>
          <w:szCs w:val="24"/>
        </w:rPr>
        <w:t xml:space="preserve">triangolazione-hyperion-corpus.md</w:t>
      </w:r>
      <w:r>
        <w:rPr>
          <w:rFonts w:ascii="Barlow Semi Condensed" w:cs="Barlow Semi Condensed" w:eastAsia="Barlow Semi Condensed" w:hAnsi="Barlow Semi Condensed"/>
          <w:sz w:val="24"/>
          <w:szCs w:val="24"/>
        </w:rPr>
        <w:t xml:space="preserve">, dove i nove nodi documentati stanno con i loro gradi.</w:t>
      </w:r>
    </w:p>
    <w:p>
      <w:pPr>
        <w:pStyle w:val="Heading1"/>
        <w:spacing w:after="120" w:before="240"/>
      </w:pPr>
      <w:r>
        <w:rPr>
          <w:rFonts w:ascii="Barlow Semi Condensed" w:cs="Barlow Semi Condensed" w:eastAsia="Barlow Semi Condensed" w:hAnsi="Barlow Semi Condensed"/>
          <w:sz w:val="24"/>
          <w:szCs w:val="24"/>
        </w:rPr>
        <w:t xml:space="preserve">Capitolo VI — Tre persone, tre percorsi giudiziari, tre esiti (il registro rovesciato)</w:t>
      </w:r>
    </w:p>
    <w:p>
      <w:pPr>
        <w:spacing w:after="120" w:line="276"/>
        <w:jc w:val="both"/>
      </w:pPr>
      <w:r>
        <w:rPr>
          <w:rFonts w:ascii="Barlow Semi Condensed" w:cs="Barlow Semi Condensed" w:eastAsia="Barlow Semi Condensed" w:hAnsi="Barlow Semi Condensed"/>
          <w:sz w:val="24"/>
          <w:szCs w:val="24"/>
        </w:rPr>
        <w:t xml:space="preserve">La Fase decima ha costruito il registro dei condannati. Questo capitolo costruisce il suo </w:t>
      </w:r>
      <w:r>
        <w:rPr>
          <w:rFonts w:ascii="Barlow Semi Condensed" w:cs="Barlow Semi Condensed" w:eastAsia="Barlow Semi Condensed" w:hAnsi="Barlow Semi Condensed"/>
          <w:b/>
          <w:bCs/>
          <w:sz w:val="24"/>
          <w:szCs w:val="24"/>
        </w:rPr>
        <w:t xml:space="preserve">speculare esatto</w:t>
      </w:r>
      <w:r>
        <w:rPr>
          <w:rFonts w:ascii="Barlow Semi Condensed" w:cs="Barlow Semi Condensed" w:eastAsia="Barlow Semi Condensed" w:hAnsi="Barlow Semi Condensed"/>
          <w:sz w:val="24"/>
          <w:szCs w:val="24"/>
        </w:rPr>
        <w:t xml:space="preserve">: il registro dei prosciolti del ceppo, con la stessa disciplina personalistica — una persona, un percorso, un esito — e con lo stesso divieto di appiattirli l'uno sull'altro.</w:t>
      </w:r>
    </w:p>
    <w:p>
      <w:pPr>
        <w:spacing w:after="120" w:line="276"/>
        <w:jc w:val="both"/>
      </w:pPr>
      <w:r>
        <w:rPr>
          <w:rFonts w:ascii="Barlow Semi Condensed" w:cs="Barlow Semi Condensed" w:eastAsia="Barlow Semi Condensed" w:hAnsi="Barlow Semi Condensed"/>
          <w:b/>
          <w:bCs/>
          <w:sz w:val="24"/>
          <w:szCs w:val="24"/>
        </w:rPr>
        <w:t xml:space="preserve">Vanni Mulinaris.</w:t>
      </w:r>
      <w:r>
        <w:rPr>
          <w:rFonts w:ascii="Barlow Semi Condensed" w:cs="Barlow Semi Condensed" w:eastAsia="Barlow Semi Condensed" w:hAnsi="Barlow Semi Condensed"/>
          <w:sz w:val="24"/>
          <w:szCs w:val="24"/>
        </w:rPr>
        <w:t xml:space="preserve"> Friulano, laureato a Trento come Curcio, fu arrestato a Udine il </w:t>
      </w:r>
      <w:r>
        <w:rPr>
          <w:rFonts w:ascii="Barlow Semi Condensed" w:cs="Barlow Semi Condensed" w:eastAsia="Barlow Semi Condensed" w:hAnsi="Barlow Semi Condensed"/>
          <w:b/>
          <w:bCs/>
          <w:sz w:val="24"/>
          <w:szCs w:val="24"/>
        </w:rPr>
        <w:t xml:space="preserve">2 febbraio 1982</w:t>
      </w:r>
      <w:r>
        <w:rPr>
          <w:rFonts w:ascii="Barlow Semi Condensed" w:cs="Barlow Semi Condensed" w:eastAsia="Barlow Semi Condensed" w:hAnsi="Barlow Semi Condensed"/>
          <w:sz w:val="24"/>
          <w:szCs w:val="24"/>
        </w:rPr>
        <w:t xml:space="preserve"> con accuse di traffico d'armi e collaborazione col terrorismo, </w:t>
      </w:r>
      <w:r>
        <w:rPr>
          <w:rFonts w:ascii="Barlow Semi Condensed" w:cs="Barlow Semi Condensed" w:eastAsia="Barlow Semi Condensed" w:hAnsi="Barlow Semi Condensed"/>
          <w:b/>
          <w:bCs/>
          <w:sz w:val="24"/>
          <w:szCs w:val="24"/>
        </w:rPr>
        <w:t xml:space="preserve">fondate su dichiarazioni di pentiti</w:t>
      </w:r>
      <w:r>
        <w:rPr>
          <w:rFonts w:ascii="Barlow Semi Condensed" w:cs="Barlow Semi Condensed" w:eastAsia="Barlow Semi Condensed" w:hAnsi="Barlow Semi Condensed"/>
          <w:sz w:val="24"/>
          <w:szCs w:val="24"/>
        </w:rPr>
        <w:t xml:space="preserve"> (ASNSMP (http://www.comune.bologna.it/iperbole/asnsmp/Friuli_Vanni_Mulinaris.html)). Seguirono mesi di carcere, </w:t>
      </w:r>
      <w:r>
        <w:rPr>
          <w:rFonts w:ascii="Barlow Semi Condensed" w:cs="Barlow Semi Condensed" w:eastAsia="Barlow Semi Condensed" w:hAnsi="Barlow Semi Condensed"/>
          <w:b/>
          <w:bCs/>
          <w:sz w:val="24"/>
          <w:szCs w:val="24"/>
        </w:rPr>
        <w:t xml:space="preserve">digiuni prolungati</w:t>
      </w:r>
      <w:r>
        <w:rPr>
          <w:rFonts w:ascii="Barlow Semi Condensed" w:cs="Barlow Semi Condensed" w:eastAsia="Barlow Semi Condensed" w:hAnsi="Barlow Semi Condensed"/>
          <w:sz w:val="24"/>
          <w:szCs w:val="24"/>
        </w:rPr>
        <w:t xml:space="preserve">, gli arresti domiciliari, e una campagna internazionale per la sua liberazione guidata dall'</w:t>
      </w:r>
      <w:r>
        <w:rPr>
          <w:rFonts w:ascii="Barlow Semi Condensed" w:cs="Barlow Semi Condensed" w:eastAsia="Barlow Semi Condensed" w:hAnsi="Barlow Semi Condensed"/>
          <w:b/>
          <w:bCs/>
          <w:sz w:val="24"/>
          <w:szCs w:val="24"/>
        </w:rPr>
        <w:t xml:space="preserve">Abbé Pierre</w:t>
      </w:r>
      <w:r>
        <w:rPr>
          <w:rFonts w:ascii="Barlow Semi Condensed" w:cs="Barlow Semi Condensed" w:eastAsia="Barlow Semi Condensed" w:hAnsi="Barlow Semi Condensed"/>
          <w:sz w:val="24"/>
          <w:szCs w:val="24"/>
        </w:rPr>
        <w:t xml:space="preserve">, il fondatore di Emmaus, alla testa di un comitato di intellettuali francesi e italiani (1983-84); la vicenda — divenuta un caso diplomatico franco-italiano, oggi oggetto di studio accademico (</w:t>
      </w:r>
      <w:r>
        <w:rPr>
          <w:rFonts w:ascii="Barlow Semi Condensed" w:cs="Barlow Semi Condensed" w:eastAsia="Barlow Semi Condensed" w:hAnsi="Barlow Semi Condensed"/>
          <w:i/>
          <w:iCs/>
          <w:sz w:val="24"/>
          <w:szCs w:val="24"/>
        </w:rPr>
        <w:t xml:space="preserve">Une intrigue franco-italienne: l'affaire Mulinaris, 1982-1986</w:t>
      </w:r>
      <w:r>
        <w:rPr>
          <w:rFonts w:ascii="Barlow Semi Condensed" w:cs="Barlow Semi Condensed" w:eastAsia="Barlow Semi Condensed" w:hAnsi="Barlow Semi Condensed"/>
          <w:sz w:val="24"/>
          <w:szCs w:val="24"/>
        </w:rPr>
        <w:t xml:space="preserve"> (https://shs.cairn.info/journal-materiaux-pour-l-histoire-de-notre-temps-2015-1-page-72?lang=en)) — si chiuse con l'</w:t>
      </w:r>
      <w:r>
        <w:rPr>
          <w:rFonts w:ascii="Barlow Semi Condensed" w:cs="Barlow Semi Condensed" w:eastAsia="Barlow Semi Condensed" w:hAnsi="Barlow Semi Condensed"/>
          <w:b/>
          <w:bCs/>
          <w:sz w:val="24"/>
          <w:szCs w:val="24"/>
        </w:rPr>
        <w:t xml:space="preserve">assoluzione con formula piena</w:t>
      </w:r>
      <w:r>
        <w:rPr>
          <w:rFonts w:ascii="Barlow Semi Condensed" w:cs="Barlow Semi Condensed" w:eastAsia="Barlow Semi Condensed" w:hAnsi="Barlow Semi Condensed"/>
          <w:sz w:val="24"/>
          <w:szCs w:val="24"/>
        </w:rPr>
        <w:t xml:space="preserve"> e con un </w:t>
      </w:r>
      <w:r>
        <w:rPr>
          <w:rFonts w:ascii="Barlow Semi Condensed" w:cs="Barlow Semi Condensed" w:eastAsia="Barlow Semi Condensed" w:hAnsi="Barlow Semi Condensed"/>
          <w:b/>
          <w:bCs/>
          <w:sz w:val="24"/>
          <w:szCs w:val="24"/>
        </w:rPr>
        <w:t xml:space="preserve">risarcimento di cento milioni di lire</w:t>
      </w:r>
      <w:r>
        <w:rPr>
          <w:rFonts w:ascii="Barlow Semi Condensed" w:cs="Barlow Semi Condensed" w:eastAsia="Barlow Semi Condensed" w:hAnsi="Barlow Semi Condensed"/>
          <w:sz w:val="24"/>
          <w:szCs w:val="24"/>
        </w:rPr>
        <w:t xml:space="preserve"> per l'ingiusta detenzione. L'esito va scritto per esteso perché è raro e pesante: lo Stato che lo aveva accusato lo ha dichiarato innocente </w:t>
      </w:r>
      <w:r>
        <w:rPr>
          <w:rFonts w:ascii="Barlow Semi Condensed" w:cs="Barlow Semi Condensed" w:eastAsia="Barlow Semi Condensed" w:hAnsi="Barlow Semi Condensed"/>
          <w:b/>
          <w:bCs/>
          <w:sz w:val="24"/>
          <w:szCs w:val="24"/>
        </w:rPr>
        <w:t xml:space="preserve">e lo ha indennizzato</w:t>
      </w:r>
      <w:r>
        <w:rPr>
          <w:rFonts w:ascii="Barlow Semi Condensed" w:cs="Barlow Semi Condensed" w:eastAsia="Barlow Semi Condensed" w:hAnsi="Barlow Semi Condensed"/>
          <w:sz w:val="24"/>
          <w:szCs w:val="24"/>
        </w:rPr>
        <w:t xml:space="preserve">.</w:t>
      </w:r>
    </w:p>
    <w:p>
      <w:pPr>
        <w:spacing w:after="120" w:line="276"/>
        <w:jc w:val="both"/>
      </w:pPr>
      <w:r>
        <w:rPr>
          <w:rFonts w:ascii="Barlow Semi Condensed" w:cs="Barlow Semi Condensed" w:eastAsia="Barlow Semi Condensed" w:hAnsi="Barlow Semi Condensed"/>
          <w:b/>
          <w:bCs/>
          <w:sz w:val="24"/>
          <w:szCs w:val="24"/>
        </w:rPr>
        <w:t xml:space="preserve">Duccio Berio.</w:t>
      </w:r>
      <w:r>
        <w:rPr>
          <w:rFonts w:ascii="Barlow Semi Condensed" w:cs="Barlow Semi Condensed" w:eastAsia="Barlow Semi Condensed" w:hAnsi="Barlow Semi Condensed"/>
          <w:sz w:val="24"/>
          <w:szCs w:val="24"/>
        </w:rPr>
        <w:t xml:space="preserve"> Aveva lasciato il proprio ruolo a Hyperion già nel </w:t>
      </w:r>
      <w:r>
        <w:rPr>
          <w:rFonts w:ascii="Barlow Semi Condensed" w:cs="Barlow Semi Condensed" w:eastAsia="Barlow Semi Condensed" w:hAnsi="Barlow Semi Condensed"/>
          <w:b/>
          <w:bCs/>
          <w:sz w:val="24"/>
          <w:szCs w:val="24"/>
        </w:rPr>
        <w:t xml:space="preserve">1979</w:t>
      </w:r>
      <w:r>
        <w:rPr>
          <w:rFonts w:ascii="Barlow Semi Condensed" w:cs="Barlow Semi Condensed" w:eastAsia="Barlow Semi Condensed" w:hAnsi="Barlow Semi Condensed"/>
          <w:sz w:val="24"/>
          <w:szCs w:val="24"/>
        </w:rPr>
        <w:t xml:space="preserve">; il mandato di cattura del </w:t>
      </w:r>
      <w:r>
        <w:rPr>
          <w:rFonts w:ascii="Barlow Semi Condensed" w:cs="Barlow Semi Condensed" w:eastAsia="Barlow Semi Condensed" w:hAnsi="Barlow Semi Condensed"/>
          <w:b/>
          <w:bCs/>
          <w:sz w:val="24"/>
          <w:szCs w:val="24"/>
        </w:rPr>
        <w:t xml:space="preserve">17 giugno 1982</w:t>
      </w:r>
      <w:r>
        <w:rPr>
          <w:rFonts w:ascii="Barlow Semi Condensed" w:cs="Barlow Semi Condensed" w:eastAsia="Barlow Semi Condensed" w:hAnsi="Barlow Semi Condensed"/>
          <w:sz w:val="24"/>
          <w:szCs w:val="24"/>
        </w:rPr>
        <w:t xml:space="preserve"> lo raggiunse insieme a Simioni (Tassinari (https://www.ugomariatassinari.it/hyperion-mandati-di-cattura/)). Fu </w:t>
      </w:r>
      <w:r>
        <w:rPr>
          <w:rFonts w:ascii="Barlow Semi Condensed" w:cs="Barlow Semi Condensed" w:eastAsia="Barlow Semi Condensed" w:hAnsi="Barlow Semi Condensed"/>
          <w:b/>
          <w:bCs/>
          <w:sz w:val="24"/>
          <w:szCs w:val="24"/>
        </w:rPr>
        <w:t xml:space="preserve">assolto a Roma nel 1989</w:t>
      </w:r>
      <w:r>
        <w:rPr>
          <w:rFonts w:ascii="Barlow Semi Condensed" w:cs="Barlow Semi Condensed" w:eastAsia="Barlow Semi Condensed" w:hAnsi="Barlow Semi Condensed"/>
          <w:sz w:val="24"/>
          <w:szCs w:val="24"/>
        </w:rPr>
        <w:t xml:space="preserve"> (insurrezione armata) e </w:t>
      </w:r>
      <w:r>
        <w:rPr>
          <w:rFonts w:ascii="Barlow Semi Condensed" w:cs="Barlow Semi Condensed" w:eastAsia="Barlow Semi Condensed" w:hAnsi="Barlow Semi Condensed"/>
          <w:b/>
          <w:bCs/>
          <w:sz w:val="24"/>
          <w:szCs w:val="24"/>
        </w:rPr>
        <w:t xml:space="preserve">a Venezia nel 1990</w:t>
      </w:r>
      <w:r>
        <w:rPr>
          <w:rFonts w:ascii="Barlow Semi Condensed" w:cs="Barlow Semi Condensed" w:eastAsia="Barlow Semi Condensed" w:hAnsi="Barlow Semi Condensed"/>
          <w:sz w:val="24"/>
          <w:szCs w:val="24"/>
        </w:rPr>
        <w:t xml:space="preserve"> (traffico d'armi). Trentatré anni dopo, il </w:t>
      </w:r>
      <w:r>
        <w:rPr>
          <w:rFonts w:ascii="Barlow Semi Condensed" w:cs="Barlow Semi Condensed" w:eastAsia="Barlow Semi Condensed" w:hAnsi="Barlow Semi Condensed"/>
          <w:b/>
          <w:bCs/>
          <w:sz w:val="24"/>
          <w:szCs w:val="24"/>
        </w:rPr>
        <w:t xml:space="preserve">28 ottobre 2015</w:t>
      </w:r>
      <w:r>
        <w:rPr>
          <w:rFonts w:ascii="Barlow Semi Condensed" w:cs="Barlow Semi Condensed" w:eastAsia="Barlow Semi Condensed" w:hAnsi="Barlow Semi Condensed"/>
          <w:sz w:val="24"/>
          <w:szCs w:val="24"/>
        </w:rPr>
        <w:t xml:space="preserve">, la Commissione Moro 2 lo ascoltò in audizione: la sua posizione — «non c'entriamo nulla, eravamo solo un gruppo di amici» dedito alla vita comunitaria e lontano da chi aveva scelto la lotta armata (Il Fatto Quotidiano (https://www.ilfattoquotidiano.it/2015/10/28/caso-moro-luomo-di-hyperion-alla-commissione-non-centriamo-nulla-eravamo-solo-un-gruppo-di-amici/2169499/)) — è la parola di un uomo due volte assolto, e come tale si riporta. Dall'audizione emerse però anche il dato più notevole dell'intero fascicolo, di </w:t>
      </w:r>
      <w:r>
        <w:rPr>
          <w:rFonts w:ascii="Barlow Semi Condensed" w:cs="Barlow Semi Condensed" w:eastAsia="Barlow Semi Condensed" w:hAnsi="Barlow Semi Condensed"/>
          <w:b/>
          <w:bCs/>
          <w:sz w:val="24"/>
          <w:szCs w:val="24"/>
        </w:rPr>
        <w:t xml:space="preserve">grado B</w:t>
      </w:r>
      <w:r>
        <w:rPr>
          <w:rFonts w:ascii="Barlow Semi Condensed" w:cs="Barlow Semi Condensed" w:eastAsia="Barlow Semi Condensed" w:hAnsi="Barlow Semi Condensed"/>
          <w:sz w:val="24"/>
          <w:szCs w:val="24"/>
        </w:rPr>
        <w:t xml:space="preserve"> perché reso a un organo parlamentare: Berio riferì che </w:t>
      </w:r>
      <w:r>
        <w:rPr>
          <w:rFonts w:ascii="Barlow Semi Condensed" w:cs="Barlow Semi Condensed" w:eastAsia="Barlow Semi Condensed" w:hAnsi="Barlow Semi Condensed"/>
          <w:b/>
          <w:bCs/>
          <w:sz w:val="24"/>
          <w:szCs w:val="24"/>
        </w:rPr>
        <w:t xml:space="preserve">nel 1972 un agente del SID</w:t>
      </w:r>
      <w:r>
        <w:rPr>
          <w:rFonts w:ascii="Barlow Semi Condensed" w:cs="Barlow Semi Condensed" w:eastAsia="Barlow Semi Condensed" w:hAnsi="Barlow Semi Condensed"/>
          <w:sz w:val="24"/>
          <w:szCs w:val="24"/>
        </w:rPr>
        <w:t xml:space="preserve"> (un «Ballini») </w:t>
      </w:r>
      <w:r>
        <w:rPr>
          <w:rFonts w:ascii="Barlow Semi Condensed" w:cs="Barlow Semi Condensed" w:eastAsia="Barlow Semi Condensed" w:hAnsi="Barlow Semi Condensed"/>
          <w:b/>
          <w:bCs/>
          <w:sz w:val="24"/>
          <w:szCs w:val="24"/>
        </w:rPr>
        <w:t xml:space="preserve">gli propose di infiltrarsi nelle Brigate Rosse</w:t>
      </w:r>
      <w:r>
        <w:rPr>
          <w:rFonts w:ascii="Barlow Semi Condensed" w:cs="Barlow Semi Condensed" w:eastAsia="Barlow Semi Condensed" w:hAnsi="Barlow Semi Condensed"/>
          <w:sz w:val="24"/>
          <w:szCs w:val="24"/>
        </w:rPr>
        <w:t xml:space="preserve"> che si stavano organizzando — e che egli documentò l'approccio </w:t>
      </w:r>
      <w:r>
        <w:rPr>
          <w:rFonts w:ascii="Barlow Semi Condensed" w:cs="Barlow Semi Condensed" w:eastAsia="Barlow Semi Condensed" w:hAnsi="Barlow Semi Condensed"/>
          <w:b/>
          <w:bCs/>
          <w:sz w:val="24"/>
          <w:szCs w:val="24"/>
        </w:rPr>
        <w:t xml:space="preserve">in una lettera al suocero, Alberto Malagugini</w:t>
      </w:r>
      <w:r>
        <w:rPr>
          <w:rFonts w:ascii="Barlow Semi Condensed" w:cs="Barlow Semi Condensed" w:eastAsia="Barlow Semi Condensed" w:hAnsi="Barlow Semi Condensed"/>
          <w:sz w:val="24"/>
          <w:szCs w:val="24"/>
        </w:rPr>
        <w:t xml:space="preserve">, deputato comunista e futuro giudice della Corte costituzionale. Il valore del dato sta nel suo verso: è la testimonianza di un </w:t>
      </w:r>
      <w:r>
        <w:rPr>
          <w:rFonts w:ascii="Barlow Semi Condensed" w:cs="Barlow Semi Condensed" w:eastAsia="Barlow Semi Condensed" w:hAnsi="Barlow Semi Condensed"/>
          <w:b/>
          <w:bCs/>
          <w:sz w:val="24"/>
          <w:szCs w:val="24"/>
        </w:rPr>
        <w:t xml:space="preserve">approccio dei servizi respinto e messo per iscritto presso un'autorità della Repubblica</w:t>
      </w:r>
      <w:r>
        <w:rPr>
          <w:rFonts w:ascii="Barlow Semi Condensed" w:cs="Barlow Semi Condensed" w:eastAsia="Barlow Semi Condensed" w:hAnsi="Barlow Semi Condensed"/>
          <w:sz w:val="24"/>
          <w:szCs w:val="24"/>
        </w:rPr>
        <w:t xml:space="preserve"> — cioè l'esatto contrario, quanto a condotta documentata, della figura dell'infiltrato che la congetturistica gli ha voluto cucire addosso. Ciò non «prova» nulla oltre se stesso; ma è l'unico contatto Berio-servizi che una fonte istituzionale attesti, e dice quel che dice.</w:t>
      </w:r>
    </w:p>
    <w:p>
      <w:pPr>
        <w:spacing w:after="120" w:line="276"/>
        <w:jc w:val="both"/>
      </w:pPr>
      <w:r>
        <w:rPr>
          <w:rFonts w:ascii="Barlow Semi Condensed" w:cs="Barlow Semi Condensed" w:eastAsia="Barlow Semi Condensed" w:hAnsi="Barlow Semi Condensed"/>
          <w:b/>
          <w:bCs/>
          <w:sz w:val="24"/>
          <w:szCs w:val="24"/>
        </w:rPr>
        <w:t xml:space="preserve">Corrado Simioni.</w:t>
      </w:r>
      <w:r>
        <w:rPr>
          <w:rFonts w:ascii="Barlow Semi Condensed" w:cs="Barlow Semi Condensed" w:eastAsia="Barlow Semi Condensed" w:hAnsi="Barlow Semi Condensed"/>
          <w:sz w:val="24"/>
          <w:szCs w:val="24"/>
        </w:rPr>
        <w:t xml:space="preserve"> Ricercato dal giugno 1982, </w:t>
      </w:r>
      <w:r>
        <w:rPr>
          <w:rFonts w:ascii="Barlow Semi Condensed" w:cs="Barlow Semi Condensed" w:eastAsia="Barlow Semi Condensed" w:hAnsi="Barlow Semi Condensed"/>
          <w:b/>
          <w:bCs/>
          <w:sz w:val="24"/>
          <w:szCs w:val="24"/>
        </w:rPr>
        <w:t xml:space="preserve">non fu mai condannato</w:t>
      </w:r>
      <w:r>
        <w:rPr>
          <w:rFonts w:ascii="Barlow Semi Condensed" w:cs="Barlow Semi Condensed" w:eastAsia="Barlow Semi Condensed" w:hAnsi="Barlow Semi Condensed"/>
          <w:sz w:val="24"/>
          <w:szCs w:val="24"/>
        </w:rPr>
        <w:t xml:space="preserve">. La sua vita francese è documentata e pubblica: divenne </w:t>
      </w:r>
      <w:r>
        <w:rPr>
          <w:rFonts w:ascii="Barlow Semi Condensed" w:cs="Barlow Semi Condensed" w:eastAsia="Barlow Semi Condensed" w:hAnsi="Barlow Semi Condensed"/>
          <w:b/>
          <w:bCs/>
          <w:sz w:val="24"/>
          <w:szCs w:val="24"/>
        </w:rPr>
        <w:t xml:space="preserve">vicepresidente della Fondazione Abbé Pierre</w:t>
      </w:r>
      <w:r>
        <w:rPr>
          <w:rFonts w:ascii="Barlow Semi Condensed" w:cs="Barlow Semi Condensed" w:eastAsia="Barlow Semi Condensed" w:hAnsi="Barlow Semi Condensed"/>
          <w:sz w:val="24"/>
          <w:szCs w:val="24"/>
        </w:rPr>
        <w:t xml:space="preserve">, accompagnò l'Abbé nell'</w:t>
      </w:r>
      <w:r>
        <w:rPr>
          <w:rFonts w:ascii="Barlow Semi Condensed" w:cs="Barlow Semi Condensed" w:eastAsia="Barlow Semi Condensed" w:hAnsi="Barlow Semi Condensed"/>
          <w:b/>
          <w:bCs/>
          <w:sz w:val="24"/>
          <w:szCs w:val="24"/>
        </w:rPr>
        <w:t xml:space="preserve">udienza privata da Giovanni Paolo II del novembre 1992</w:t>
      </w:r>
      <w:r>
        <w:rPr>
          <w:rFonts w:ascii="Barlow Semi Condensed" w:cs="Barlow Semi Condensed" w:eastAsia="Barlow Semi Condensed" w:hAnsi="Barlow Semi Condensed"/>
          <w:sz w:val="24"/>
          <w:szCs w:val="24"/>
        </w:rPr>
        <w:t xml:space="preserve">, fu fatto </w:t>
      </w:r>
      <w:r>
        <w:rPr>
          <w:rFonts w:ascii="Barlow Semi Condensed" w:cs="Barlow Semi Condensed" w:eastAsia="Barlow Semi Condensed" w:hAnsi="Barlow Semi Condensed"/>
          <w:b/>
          <w:bCs/>
          <w:sz w:val="24"/>
          <w:szCs w:val="24"/>
        </w:rPr>
        <w:t xml:space="preserve">cavaliere della Repubblica francese nel 2001</w:t>
      </w:r>
      <w:r>
        <w:rPr>
          <w:rFonts w:ascii="Barlow Semi Condensed" w:cs="Barlow Semi Condensed" w:eastAsia="Barlow Semi Condensed" w:hAnsi="Barlow Semi Condensed"/>
          <w:sz w:val="24"/>
          <w:szCs w:val="24"/>
        </w:rPr>
        <w:t xml:space="preserve"> per l'impegno verso i senzatetto, e si ritirò infine nella campagna della Drôme, a Truinas, dove gestì un bed &amp; breakfast con la compagna e dove </w:t>
      </w:r>
      <w:r>
        <w:rPr>
          <w:rFonts w:ascii="Barlow Semi Condensed" w:cs="Barlow Semi Condensed" w:eastAsia="Barlow Semi Condensed" w:hAnsi="Barlow Semi Condensed"/>
          <w:b/>
          <w:bCs/>
          <w:sz w:val="24"/>
          <w:szCs w:val="24"/>
        </w:rPr>
        <w:t xml:space="preserve">morì nell'ottobre 2008</w:t>
      </w:r>
      <w:r>
        <w:rPr>
          <w:rFonts w:ascii="Barlow Semi Condensed" w:cs="Barlow Semi Condensed" w:eastAsia="Barlow Semi Condensed" w:hAnsi="Barlow Semi Condensed"/>
          <w:sz w:val="24"/>
          <w:szCs w:val="24"/>
        </w:rPr>
        <w:t xml:space="preserve"> (Wikipedia (https://it.wikipedia.org/wiki/Corrado_Simioni)). L'uomo che la memorialistica brigatista dipinse come il manovratore occulto del decennio chiuse la vita nella campagna francese, dopo trent'anni al servizio del più celebre prete degli straccivendoli d'Europa. Anche questo è un dato — e uno studio onesto lo riporta con lo stesso peso degli altri.</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c>
          <w:tcPr>
            <w:tcW w:type="dxa" w:w="312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Fondatore</w:t>
            </w:r>
          </w:p>
        </w:tc>
        <w:tc>
          <w:tcPr>
            <w:tcW w:type="dxa" w:w="312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Percorso giudiziario</w:t>
            </w:r>
          </w:p>
        </w:tc>
        <w:tc>
          <w:tcPr>
            <w:tcW w:type="dxa" w:w="312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Esito</w:t>
            </w:r>
          </w:p>
        </w:tc>
      </w:tr>
      <w:tr>
        <w:tc>
          <w:tcPr>
            <w:tcW w:type="dxa" w:w="3120"/>
          </w:tcPr>
          <w:p>
            <w:pPr>
              <w:spacing w:after="20" w:before="20"/>
              <w:jc w:val="both"/>
            </w:pPr>
            <w:r>
              <w:rPr>
                <w:rFonts w:ascii="Barlow Semi Condensed" w:cs="Barlow Semi Condensed" w:eastAsia="Barlow Semi Condensed" w:hAnsi="Barlow Semi Condensed"/>
                <w:b/>
                <w:bCs/>
                <w:sz w:val="20"/>
                <w:szCs w:val="20"/>
              </w:rPr>
              <w:t xml:space="preserve">Vanni Mulinaris</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Arresto 2/2/1982 (Udine), carcere, digiuni, domiciliari; campagna Abbé Pierre</w:t>
            </w:r>
          </w:p>
        </w:tc>
        <w:tc>
          <w:tcPr>
            <w:tcW w:type="dxa" w:w="3120"/>
          </w:tcPr>
          <w:p>
            <w:pPr>
              <w:spacing w:after="20" w:before="20"/>
              <w:jc w:val="both"/>
            </w:pPr>
            <w:r>
              <w:rPr>
                <w:rFonts w:ascii="Barlow Semi Condensed" w:cs="Barlow Semi Condensed" w:eastAsia="Barlow Semi Condensed" w:hAnsi="Barlow Semi Condensed"/>
                <w:b/>
                <w:bCs/>
                <w:sz w:val="20"/>
                <w:szCs w:val="20"/>
              </w:rPr>
              <w:t xml:space="preserve">Assoluzione con formula piena; risarcimento di 100 milioni</w:t>
            </w:r>
          </w:p>
        </w:tc>
      </w:tr>
      <w:tr>
        <w:tc>
          <w:tcPr>
            <w:tcW w:type="dxa" w:w="3120"/>
          </w:tcPr>
          <w:p>
            <w:pPr>
              <w:spacing w:after="20" w:before="20"/>
              <w:jc w:val="both"/>
            </w:pPr>
            <w:r>
              <w:rPr>
                <w:rFonts w:ascii="Barlow Semi Condensed" w:cs="Barlow Semi Condensed" w:eastAsia="Barlow Semi Condensed" w:hAnsi="Barlow Semi Condensed"/>
                <w:b/>
                <w:bCs/>
                <w:sz w:val="20"/>
                <w:szCs w:val="20"/>
              </w:rPr>
              <w:t xml:space="preserve">Duccio Berio</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Mandato di cattura 17/6/1982</w:t>
            </w:r>
          </w:p>
        </w:tc>
        <w:tc>
          <w:tcPr>
            <w:tcW w:type="dxa" w:w="3120"/>
          </w:tcPr>
          <w:p>
            <w:pPr>
              <w:spacing w:after="20" w:before="20"/>
              <w:jc w:val="both"/>
            </w:pPr>
            <w:r>
              <w:rPr>
                <w:rFonts w:ascii="Barlow Semi Condensed" w:cs="Barlow Semi Condensed" w:eastAsia="Barlow Semi Condensed" w:hAnsi="Barlow Semi Condensed"/>
                <w:b/>
                <w:bCs/>
                <w:sz w:val="20"/>
                <w:szCs w:val="20"/>
              </w:rPr>
              <w:t xml:space="preserve">Assolto a Roma (1989) e a Venezia (1990)</w:t>
            </w:r>
            <w:r>
              <w:rPr>
                <w:rFonts w:ascii="Barlow Semi Condensed" w:cs="Barlow Semi Condensed" w:eastAsia="Barlow Semi Condensed" w:hAnsi="Barlow Semi Condensed"/>
                <w:sz w:val="20"/>
                <w:szCs w:val="20"/>
              </w:rPr>
              <w:t xml:space="preserve">; audito dalla Moro 2 (2015)</w:t>
            </w:r>
          </w:p>
        </w:tc>
      </w:tr>
      <w:tr>
        <w:tc>
          <w:tcPr>
            <w:tcW w:type="dxa" w:w="3120"/>
          </w:tcPr>
          <w:p>
            <w:pPr>
              <w:spacing w:after="20" w:before="20"/>
              <w:jc w:val="both"/>
            </w:pPr>
            <w:r>
              <w:rPr>
                <w:rFonts w:ascii="Barlow Semi Condensed" w:cs="Barlow Semi Condensed" w:eastAsia="Barlow Semi Condensed" w:hAnsi="Barlow Semi Condensed"/>
                <w:b/>
                <w:bCs/>
                <w:sz w:val="20"/>
                <w:szCs w:val="20"/>
              </w:rPr>
              <w:t xml:space="preserve">Corrado Simioni</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Ricercato dal 17/6/1982</w:t>
            </w:r>
          </w:p>
        </w:tc>
        <w:tc>
          <w:tcPr>
            <w:tcW w:type="dxa" w:w="3120"/>
          </w:tcPr>
          <w:p>
            <w:pPr>
              <w:spacing w:after="20" w:before="20"/>
              <w:jc w:val="both"/>
            </w:pPr>
            <w:r>
              <w:rPr>
                <w:rFonts w:ascii="Barlow Semi Condensed" w:cs="Barlow Semi Condensed" w:eastAsia="Barlow Semi Condensed" w:hAnsi="Barlow Semi Condensed"/>
                <w:b/>
                <w:bCs/>
                <w:sz w:val="20"/>
                <w:szCs w:val="20"/>
              </w:rPr>
              <w:t xml:space="preserve">Mai condannato</w:t>
            </w:r>
            <w:r>
              <w:rPr>
                <w:rFonts w:ascii="Barlow Semi Condensed" w:cs="Barlow Semi Condensed" w:eastAsia="Barlow Semi Condensed" w:hAnsi="Barlow Semi Condensed"/>
                <w:sz w:val="20"/>
                <w:szCs w:val="20"/>
              </w:rPr>
              <w:t xml:space="preserve">; † Truinas, ottobre 2008</w:t>
            </w:r>
          </w:p>
        </w:tc>
      </w:tr>
    </w:tbl>
    <w:p>
      <w:pPr>
        <w:spacing w:after="80"/>
      </w:pPr>
    </w:p>
    <w:p>
      <w:pPr>
        <w:pStyle w:val="Heading1"/>
        <w:spacing w:after="120" w:before="240"/>
      </w:pPr>
      <w:r>
        <w:rPr>
          <w:rFonts w:ascii="Barlow Semi Condensed" w:cs="Barlow Semi Condensed" w:eastAsia="Barlow Semi Condensed" w:hAnsi="Barlow Semi Condensed"/>
          <w:sz w:val="24"/>
          <w:szCs w:val="24"/>
        </w:rPr>
        <w:t xml:space="preserve">Capitolo VII — Le suggestioni e i loro gradi</w:t>
      </w:r>
    </w:p>
    <w:p>
      <w:pPr>
        <w:spacing w:after="120" w:line="276"/>
        <w:jc w:val="both"/>
      </w:pPr>
      <w:r>
        <w:rPr>
          <w:rFonts w:ascii="Barlow Semi Condensed" w:cs="Barlow Semi Condensed" w:eastAsia="Barlow Semi Condensed" w:hAnsi="Barlow Semi Condensed"/>
          <w:sz w:val="24"/>
          <w:szCs w:val="24"/>
        </w:rPr>
        <w:t xml:space="preserve">Attorno al ceppo si addensano suggestioni potenti, ed è compito di questo capitolo pesarle una per una, perché è qui che la congetturistica ha sempre barato.</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L'USIS e il «si dice» di Radio Free Europe</w:t>
      </w:r>
      <w:r>
        <w:rPr>
          <w:rFonts w:ascii="Barlow Semi Condensed" w:cs="Barlow Semi Condensed" w:eastAsia="Barlow Semi Condensed" w:hAnsi="Barlow Semi Condensed"/>
          <w:sz w:val="24"/>
          <w:szCs w:val="24"/>
        </w:rPr>
        <w:t xml:space="preserve"> → il lavoro all'USIS è </w:t>
      </w:r>
      <w:r>
        <w:rPr>
          <w:rFonts w:ascii="Barlow Semi Condensed" w:cs="Barlow Semi Condensed" w:eastAsia="Barlow Semi Condensed" w:hAnsi="Barlow Semi Condensed"/>
          <w:b/>
          <w:bCs/>
          <w:sz w:val="24"/>
          <w:szCs w:val="24"/>
        </w:rPr>
        <w:t xml:space="preserve">F</w:t>
      </w:r>
      <w:r>
        <w:rPr>
          <w:rFonts w:ascii="Barlow Semi Condensed" w:cs="Barlow Semi Condensed" w:eastAsia="Barlow Semi Condensed" w:hAnsi="Barlow Semi Condensed"/>
          <w:sz w:val="24"/>
          <w:szCs w:val="24"/>
        </w:rPr>
        <w:t xml:space="preserve">; la voce su RFE è </w:t>
      </w:r>
      <w:r>
        <w:rPr>
          <w:rFonts w:ascii="Barlow Semi Condensed" w:cs="Barlow Semi Condensed" w:eastAsia="Barlow Semi Condensed" w:hAnsi="Barlow Semi Condensed"/>
          <w:b/>
          <w:bCs/>
          <w:sz w:val="24"/>
          <w:szCs w:val="24"/>
        </w:rPr>
        <w:t xml:space="preserve">riferita, non accertata</w:t>
      </w:r>
      <w:r>
        <w:rPr>
          <w:rFonts w:ascii="Barlow Semi Condensed" w:cs="Barlow Semi Condensed" w:eastAsia="Barlow Semi Condensed" w:hAnsi="Barlow Semi Condensed"/>
          <w:sz w:val="24"/>
          <w:szCs w:val="24"/>
        </w:rPr>
        <w:t xml:space="preserve">; la lettura di entrambi come «appartenenza ai servizi americani» è </w:t>
      </w:r>
      <w:r>
        <w:rPr>
          <w:rFonts w:ascii="Barlow Semi Condensed" w:cs="Barlow Semi Condensed" w:eastAsia="Barlow Semi Condensed" w:hAnsi="Barlow Semi Condensed"/>
          <w:b/>
          <w:bCs/>
          <w:sz w:val="24"/>
          <w:szCs w:val="24"/>
        </w:rPr>
        <w:t xml:space="preserve">C</w:t>
      </w:r>
      <w:r>
        <w:rPr>
          <w:rFonts w:ascii="Barlow Semi Condensed" w:cs="Barlow Semi Condensed" w:eastAsia="Barlow Semi Condensed" w:hAnsi="Barlow Semi Condensed"/>
          <w:sz w:val="24"/>
          <w:szCs w:val="24"/>
        </w:rPr>
        <w:t xml:space="preserve"> — e comunque inerte, per la regola dell'opera.</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La memorialistica brigatista sul Superclan</w:t>
      </w:r>
      <w:r>
        <w:rPr>
          <w:rFonts w:ascii="Barlow Semi Condensed" w:cs="Barlow Semi Condensed" w:eastAsia="Barlow Semi Condensed" w:hAnsi="Barlow Semi Condensed"/>
          <w:sz w:val="24"/>
          <w:szCs w:val="24"/>
        </w:rPr>
        <w:t xml:space="preserve"> → </w:t>
      </w:r>
      <w:r>
        <w:rPr>
          <w:rFonts w:ascii="Barlow Semi Condensed" w:cs="Barlow Semi Condensed" w:eastAsia="Barlow Semi Condensed" w:hAnsi="Barlow Semi Condensed"/>
          <w:b/>
          <w:bCs/>
          <w:sz w:val="24"/>
          <w:szCs w:val="24"/>
        </w:rPr>
        <w:t xml:space="preserve">C</w:t>
      </w:r>
      <w:r>
        <w:rPr>
          <w:rFonts w:ascii="Barlow Semi Condensed" w:cs="Barlow Semi Condensed" w:eastAsia="Barlow Semi Condensed" w:hAnsi="Barlow Semi Condensed"/>
          <w:sz w:val="24"/>
          <w:szCs w:val="24"/>
        </w:rPr>
        <w:t xml:space="preserve">, fonte di parte della scissione opposta (cap. IV).</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L'approccio SID del 1972 a Berio</w:t>
      </w:r>
      <w:r>
        <w:rPr>
          <w:rFonts w:ascii="Barlow Semi Condensed" w:cs="Barlow Semi Condensed" w:eastAsia="Barlow Semi Condensed" w:hAnsi="Barlow Semi Condensed"/>
          <w:sz w:val="24"/>
          <w:szCs w:val="24"/>
        </w:rPr>
        <w:t xml:space="preserve"> → </w:t>
      </w:r>
      <w:r>
        <w:rPr>
          <w:rFonts w:ascii="Barlow Semi Condensed" w:cs="Barlow Semi Condensed" w:eastAsia="Barlow Semi Condensed" w:hAnsi="Barlow Semi Condensed"/>
          <w:b/>
          <w:bCs/>
          <w:sz w:val="24"/>
          <w:szCs w:val="24"/>
        </w:rPr>
        <w:t xml:space="preserve">B</w:t>
      </w:r>
      <w:r>
        <w:rPr>
          <w:rFonts w:ascii="Barlow Semi Condensed" w:cs="Barlow Semi Condensed" w:eastAsia="Barlow Semi Condensed" w:hAnsi="Barlow Semi Condensed"/>
          <w:sz w:val="24"/>
          <w:szCs w:val="24"/>
        </w:rPr>
        <w:t xml:space="preserve"> (audizione parlamentare), e documenta un rifiuto messo per iscritto, non una collaborazione.</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Via Nicotera, febbraio-estate 1978</w:t>
      </w:r>
      <w:r>
        <w:rPr>
          <w:rFonts w:ascii="Barlow Semi Condensed" w:cs="Barlow Semi Condensed" w:eastAsia="Barlow Semi Condensed" w:hAnsi="Barlow Semi Condensed"/>
          <w:sz w:val="24"/>
          <w:szCs w:val="24"/>
        </w:rPr>
        <w:t xml:space="preserve"> → coincidenza cronologica </w:t>
      </w:r>
      <w:r>
        <w:rPr>
          <w:rFonts w:ascii="Barlow Semi Condensed" w:cs="Barlow Semi Condensed" w:eastAsia="Barlow Semi Condensed" w:hAnsi="Barlow Semi Condensed"/>
          <w:b/>
          <w:bCs/>
          <w:sz w:val="24"/>
          <w:szCs w:val="24"/>
        </w:rPr>
        <w:t xml:space="preserve">non spiegata</w:t>
      </w:r>
      <w:r>
        <w:rPr>
          <w:rFonts w:ascii="Barlow Semi Condensed" w:cs="Barlow Semi Condensed" w:eastAsia="Barlow Semi Condensed" w:hAnsi="Barlow Semi Condensed"/>
          <w:sz w:val="24"/>
          <w:szCs w:val="24"/>
        </w:rPr>
        <w:t xml:space="preserve">; resta al grado assegnatole dalla triangolazione Hyperion. Una coincidenza non spiegata è un compito per la ricerca, non una prova per l'accusa.</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L'ambiente Abbé Pierre</w:t>
      </w:r>
      <w:r>
        <w:rPr>
          <w:rFonts w:ascii="Barlow Semi Condensed" w:cs="Barlow Semi Condensed" w:eastAsia="Barlow Semi Condensed" w:hAnsi="Barlow Semi Condensed"/>
          <w:sz w:val="24"/>
          <w:szCs w:val="24"/>
        </w:rPr>
        <w:t xml:space="preserve"> → fatti pubblici (</w:t>
      </w:r>
      <w:r>
        <w:rPr>
          <w:rFonts w:ascii="Barlow Semi Condensed" w:cs="Barlow Semi Condensed" w:eastAsia="Barlow Semi Condensed" w:hAnsi="Barlow Semi Condensed"/>
          <w:b/>
          <w:bCs/>
          <w:sz w:val="24"/>
          <w:szCs w:val="24"/>
        </w:rPr>
        <w:t xml:space="preserve">F</w:t>
      </w:r>
      <w:r>
        <w:rPr>
          <w:rFonts w:ascii="Barlow Semi Condensed" w:cs="Barlow Semi Condensed" w:eastAsia="Barlow Semi Condensed" w:hAnsi="Barlow Semi Condensed"/>
          <w:sz w:val="24"/>
          <w:szCs w:val="24"/>
        </w:rPr>
        <w:t xml:space="preserve">): la difesa di Mulinaris, la vicepresidenza di Simioni, l'udienza papale del 1992. Chi volesse leggervi una «protezione» dovrebbe prima spiegare perché la solidarietà di un fondatore di comunità per i poveri verso un collaboratore che i tribunali avrebbero poi assolto con formula piena debba essere altro da ciò che appare: la difesa di un innocente.</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Le due tesi su Hyperion</w:t>
      </w:r>
      <w:r>
        <w:rPr>
          <w:rFonts w:ascii="Barlow Semi Condensed" w:cs="Barlow Semi Condensed" w:eastAsia="Barlow Semi Condensed" w:hAnsi="Barlow Semi Condensed"/>
          <w:sz w:val="24"/>
          <w:szCs w:val="24"/>
        </w:rPr>
        <w:t xml:space="preserve"> («centrale del terrorismo» / «centrale d'intelligence») → entrambe </w:t>
      </w:r>
      <w:r>
        <w:rPr>
          <w:rFonts w:ascii="Barlow Semi Condensed" w:cs="Barlow Semi Condensed" w:eastAsia="Barlow Semi Condensed" w:hAnsi="Barlow Semi Condensed"/>
          <w:b/>
          <w:bCs/>
          <w:sz w:val="24"/>
          <w:szCs w:val="24"/>
        </w:rPr>
        <w:t xml:space="preserve">C</w:t>
      </w:r>
      <w:r>
        <w:rPr>
          <w:rFonts w:ascii="Barlow Semi Condensed" w:cs="Barlow Semi Condensed" w:eastAsia="Barlow Semi Condensed" w:hAnsi="Barlow Semi Condensed"/>
          <w:sz w:val="24"/>
          <w:szCs w:val="24"/>
        </w:rPr>
        <w:t xml:space="preserve">, con il criterio di smentita comune già fissato dal corpus: un documento primario che attesti direzione od organizzazione di attività armata (per la prima) o un rapporto organico con un servizio (per la seconda). Nessuno dei due documenti è mai emerso, in quarant'anni e in due Paesi.</w:t>
      </w:r>
    </w:p>
    <w:p>
      <w:pPr>
        <w:pStyle w:val="Heading1"/>
        <w:spacing w:after="120" w:before="240"/>
      </w:pPr>
      <w:r>
        <w:rPr>
          <w:rFonts w:ascii="Barlow Semi Condensed" w:cs="Barlow Semi Condensed" w:eastAsia="Barlow Semi Condensed" w:hAnsi="Barlow Semi Condensed"/>
          <w:sz w:val="24"/>
          <w:szCs w:val="24"/>
        </w:rPr>
        <w:t xml:space="preserve">Capitolo VIII — Anti-triangolazioni</w:t>
      </w:r>
    </w:p>
    <w:p>
      <w:pPr>
        <w:spacing w:after="40"/>
        <w:ind w:left="360"/>
        <w:jc w:val="both"/>
      </w:pPr>
      <w:r>
        <w:rPr>
          <w:rFonts w:ascii="Barlow Semi Condensed" w:cs="Barlow Semi Condensed" w:eastAsia="Barlow Semi Condensed" w:hAnsi="Barlow Semi Condensed"/>
          <w:sz w:val="24"/>
          <w:szCs w:val="24"/>
        </w:rPr>
        <w:t xml:space="preserve">1. </w:t>
      </w:r>
      <w:r>
        <w:rPr>
          <w:rFonts w:ascii="Barlow Semi Condensed" w:cs="Barlow Semi Condensed" w:eastAsia="Barlow Semi Condensed" w:hAnsi="Barlow Semi Condensed"/>
          <w:b/>
          <w:bCs/>
          <w:sz w:val="24"/>
          <w:szCs w:val="24"/>
        </w:rPr>
        <w:t xml:space="preserve">L'impiego non è appartenenza, e l'appartenenza non è condotta.</w:t>
      </w:r>
      <w:r>
        <w:rPr>
          <w:rFonts w:ascii="Barlow Semi Condensed" w:cs="Barlow Semi Condensed" w:eastAsia="Barlow Semi Condensed" w:hAnsi="Barlow Semi Condensed"/>
          <w:sz w:val="24"/>
          <w:szCs w:val="24"/>
        </w:rPr>
        <w:t xml:space="preserve"> Vale per l'USIS di Simioni come vale — nell'altra discendenza — per la militanza dei condannati: la regola è una sola, e si applica a tutti.</w:t>
      </w:r>
    </w:p>
    <w:p>
      <w:pPr>
        <w:spacing w:after="40"/>
        <w:ind w:left="360"/>
        <w:jc w:val="both"/>
      </w:pPr>
      <w:r>
        <w:rPr>
          <w:rFonts w:ascii="Barlow Semi Condensed" w:cs="Barlow Semi Condensed" w:eastAsia="Barlow Semi Condensed" w:hAnsi="Barlow Semi Condensed"/>
          <w:sz w:val="24"/>
          <w:szCs w:val="24"/>
        </w:rPr>
        <w:t xml:space="preserve">2. </w:t>
      </w:r>
      <w:r>
        <w:rPr>
          <w:rFonts w:ascii="Barlow Semi Condensed" w:cs="Barlow Semi Condensed" w:eastAsia="Barlow Semi Condensed" w:hAnsi="Barlow Semi Condensed"/>
          <w:b/>
          <w:bCs/>
          <w:sz w:val="24"/>
          <w:szCs w:val="24"/>
        </w:rPr>
        <w:t xml:space="preserve">La scissione non è copertura.</w:t>
      </w:r>
      <w:r>
        <w:rPr>
          <w:rFonts w:ascii="Barlow Semi Condensed" w:cs="Barlow Semi Condensed" w:eastAsia="Barlow Semi Condensed" w:hAnsi="Barlow Semi Condensed"/>
          <w:sz w:val="24"/>
          <w:szCs w:val="24"/>
        </w:rPr>
        <w:t xml:space="preserve"> Che il Superclan sia nato contestando la scelta armata non «nasconde» nulla: è ciò che le fonti attestano, e coincide con l'esito giudiziario dei suoi uomini.</w:t>
      </w:r>
    </w:p>
    <w:p>
      <w:pPr>
        <w:spacing w:after="40"/>
        <w:ind w:left="360"/>
        <w:jc w:val="both"/>
      </w:pPr>
      <w:r>
        <w:rPr>
          <w:rFonts w:ascii="Barlow Semi Condensed" w:cs="Barlow Semi Condensed" w:eastAsia="Barlow Semi Condensed" w:hAnsi="Barlow Semi Condensed"/>
          <w:sz w:val="24"/>
          <w:szCs w:val="24"/>
        </w:rPr>
        <w:t xml:space="preserve">3. </w:t>
      </w:r>
      <w:r>
        <w:rPr>
          <w:rFonts w:ascii="Barlow Semi Condensed" w:cs="Barlow Semi Condensed" w:eastAsia="Barlow Semi Condensed" w:hAnsi="Barlow Semi Condensed"/>
          <w:b/>
          <w:bCs/>
          <w:sz w:val="24"/>
          <w:szCs w:val="24"/>
        </w:rPr>
        <w:t xml:space="preserve">L'assoluzione non è un sospetto residuo.</w:t>
      </w:r>
      <w:r>
        <w:rPr>
          <w:rFonts w:ascii="Barlow Semi Condensed" w:cs="Barlow Semi Condensed" w:eastAsia="Barlow Semi Condensed" w:hAnsi="Barlow Semi Condensed"/>
          <w:sz w:val="24"/>
          <w:szCs w:val="24"/>
        </w:rPr>
        <w:t xml:space="preserve"> La formula «fu assolto, ma…» è bandita da questo studio: Mulinaris fu assolto </w:t>
      </w:r>
      <w:r>
        <w:rPr>
          <w:rFonts w:ascii="Barlow Semi Condensed" w:cs="Barlow Semi Condensed" w:eastAsia="Barlow Semi Condensed" w:hAnsi="Barlow Semi Condensed"/>
          <w:i/>
          <w:iCs/>
          <w:sz w:val="24"/>
          <w:szCs w:val="24"/>
        </w:rPr>
        <w:t xml:space="preserve">e risarcito</w:t>
      </w:r>
      <w:r>
        <w:rPr>
          <w:rFonts w:ascii="Barlow Semi Condensed" w:cs="Barlow Semi Condensed" w:eastAsia="Barlow Semi Condensed" w:hAnsi="Barlow Semi Condensed"/>
          <w:sz w:val="24"/>
          <w:szCs w:val="24"/>
        </w:rPr>
        <w:t xml:space="preserve">; Berio fu assolto due volte; Simioni mai processato a condanna. Il «ma» è il contrabbando della colpa d'appartenenza sotto altro nome.</w:t>
      </w:r>
    </w:p>
    <w:p>
      <w:pPr>
        <w:spacing w:after="40"/>
        <w:ind w:left="360"/>
        <w:jc w:val="both"/>
      </w:pPr>
      <w:r>
        <w:rPr>
          <w:rFonts w:ascii="Barlow Semi Condensed" w:cs="Barlow Semi Condensed" w:eastAsia="Barlow Semi Condensed" w:hAnsi="Barlow Semi Condensed"/>
          <w:sz w:val="24"/>
          <w:szCs w:val="24"/>
        </w:rPr>
        <w:t xml:space="preserve">4. </w:t>
      </w:r>
      <w:r>
        <w:rPr>
          <w:rFonts w:ascii="Barlow Semi Condensed" w:cs="Barlow Semi Condensed" w:eastAsia="Barlow Semi Condensed" w:hAnsi="Barlow Semi Condensed"/>
          <w:b/>
          <w:bCs/>
          <w:sz w:val="24"/>
          <w:szCs w:val="24"/>
        </w:rPr>
        <w:t xml:space="preserve">La coincidenza non è nesso.</w:t>
      </w:r>
      <w:r>
        <w:rPr>
          <w:rFonts w:ascii="Barlow Semi Condensed" w:cs="Barlow Semi Condensed" w:eastAsia="Barlow Semi Condensed" w:hAnsi="Barlow Semi Condensed"/>
          <w:sz w:val="24"/>
          <w:szCs w:val="24"/>
        </w:rPr>
        <w:t xml:space="preserve"> Via Nicotera resta ciò che è: una domanda aperta, censita al suo grado.</w:t>
      </w:r>
    </w:p>
    <w:p>
      <w:pPr>
        <w:spacing w:after="40"/>
        <w:ind w:left="360"/>
        <w:jc w:val="both"/>
      </w:pPr>
      <w:r>
        <w:rPr>
          <w:rFonts w:ascii="Barlow Semi Condensed" w:cs="Barlow Semi Condensed" w:eastAsia="Barlow Semi Condensed" w:hAnsi="Barlow Semi Condensed"/>
          <w:sz w:val="24"/>
          <w:szCs w:val="24"/>
        </w:rPr>
        <w:t xml:space="preserve">5. </w:t>
      </w:r>
      <w:r>
        <w:rPr>
          <w:rFonts w:ascii="Barlow Semi Condensed" w:cs="Barlow Semi Condensed" w:eastAsia="Barlow Semi Condensed" w:hAnsi="Barlow Semi Condensed"/>
          <w:b/>
          <w:bCs/>
          <w:sz w:val="24"/>
          <w:szCs w:val="24"/>
        </w:rPr>
        <w:t xml:space="preserve">Il paragone fra le due discendenze non è equazione.</w:t>
      </w:r>
      <w:r>
        <w:rPr>
          <w:rFonts w:ascii="Barlow Semi Condensed" w:cs="Barlow Semi Condensed" w:eastAsia="Barlow Semi Condensed" w:hAnsi="Barlow Semi Condensed"/>
          <w:sz w:val="24"/>
          <w:szCs w:val="24"/>
        </w:rPr>
        <w:t xml:space="preserve"> Tredici condannati da una parte, tre prosciolti dall'altra: il ceppo comune non trasferisce nulla nell'una direzione né nell'altra. Ogni persona ha il suo fascicolo; ogni fascicolo il suo esito.</w:t>
      </w:r>
    </w:p>
    <w:p>
      <w:pPr>
        <w:pStyle w:val="Heading1"/>
        <w:spacing w:after="120" w:before="240"/>
      </w:pPr>
      <w:r>
        <w:rPr>
          <w:rFonts w:ascii="Barlow Semi Condensed" w:cs="Barlow Semi Condensed" w:eastAsia="Barlow Semi Condensed" w:hAnsi="Barlow Semi Condensed"/>
          <w:sz w:val="24"/>
          <w:szCs w:val="24"/>
        </w:rPr>
        <w:t xml:space="preserve">Capitolo IX — Chiusura: la terza strada</w:t>
      </w:r>
    </w:p>
    <w:p>
      <w:pPr>
        <w:spacing w:after="120" w:line="276"/>
        <w:jc w:val="both"/>
      </w:pPr>
      <w:r>
        <w:rPr>
          <w:rFonts w:ascii="Barlow Semi Condensed" w:cs="Barlow Semi Condensed" w:eastAsia="Barlow Semi Condensed" w:hAnsi="Barlow Semi Condensed"/>
          <w:sz w:val="24"/>
          <w:szCs w:val="24"/>
        </w:rPr>
        <w:t xml:space="preserve">Il corpus aveva già dato un nome alla matrice milanese del 1969-70: </w:t>
      </w:r>
      <w:r>
        <w:rPr>
          <w:rFonts w:ascii="Barlow Semi Condensed" w:cs="Barlow Semi Condensed" w:eastAsia="Barlow Semi Condensed" w:hAnsi="Barlow Semi Condensed"/>
          <w:b/>
          <w:bCs/>
          <w:sz w:val="24"/>
          <w:szCs w:val="24"/>
        </w:rPr>
        <w:t xml:space="preserve">stesso ceppo, tre strade</w:t>
      </w:r>
      <w:r>
        <w:rPr>
          <w:rFonts w:ascii="Barlow Semi Condensed" w:cs="Barlow Semi Condensed" w:eastAsia="Barlow Semi Condensed" w:hAnsi="Barlow Semi Condensed"/>
          <w:sz w:val="24"/>
          <w:szCs w:val="24"/>
        </w:rPr>
        <w:t xml:space="preserve"> — i GAP di Feltrinelli, le BR di Curcio, il Superclan di Simioni. Le prime due strade il corpus le ha percorse fino in fondo: la prima finì a Segrate nel marzo 1972, la seconda nel registro dei tredici. Questo studio ha percorso la terza, ed essa finisce in un luogo che nessuna dietrologia aveva previsto: </w:t>
      </w:r>
      <w:r>
        <w:rPr>
          <w:rFonts w:ascii="Barlow Semi Condensed" w:cs="Barlow Semi Condensed" w:eastAsia="Barlow Semi Condensed" w:hAnsi="Barlow Semi Condensed"/>
          <w:b/>
          <w:bCs/>
          <w:sz w:val="24"/>
          <w:szCs w:val="24"/>
        </w:rPr>
        <w:t xml:space="preserve">nelle aule che assolvono, e a Emmaus</w:t>
      </w:r>
      <w:r>
        <w:rPr>
          <w:rFonts w:ascii="Barlow Semi Condensed" w:cs="Barlow Semi Condensed" w:eastAsia="Barlow Semi Condensed" w:hAnsi="Barlow Semi Condensed"/>
          <w:sz w:val="24"/>
          <w:szCs w:val="24"/>
        </w:rPr>
        <w:t xml:space="preserve">. Non perché la storia sia edificante — non lo è: in mezzo ci sono anni di carcere ingiusto, digiuni, una scuola marchiata da un sospetto mai provato, tre vite segnate — ma perché è </w:t>
      </w:r>
      <w:r>
        <w:rPr>
          <w:rFonts w:ascii="Barlow Semi Condensed" w:cs="Barlow Semi Condensed" w:eastAsia="Barlow Semi Condensed" w:hAnsi="Barlow Semi Condensed"/>
          <w:b/>
          <w:bCs/>
          <w:sz w:val="24"/>
          <w:szCs w:val="24"/>
        </w:rPr>
        <w:t xml:space="preserve">così che finì</w:t>
      </w:r>
      <w:r>
        <w:rPr>
          <w:rFonts w:ascii="Barlow Semi Condensed" w:cs="Barlow Semi Condensed" w:eastAsia="Barlow Semi Condensed" w:hAnsi="Barlow Semi Condensed"/>
          <w:sz w:val="24"/>
          <w:szCs w:val="24"/>
        </w:rPr>
        <w:t xml:space="preserve">, e il mestiere di quest'opera è scrivere come finì.</w:t>
      </w:r>
    </w:p>
    <w:p>
      <w:pPr>
        <w:spacing w:after="120" w:line="276"/>
        <w:jc w:val="both"/>
      </w:pPr>
      <w:r>
        <w:rPr>
          <w:rFonts w:ascii="Barlow Semi Condensed" w:cs="Barlow Semi Condensed" w:eastAsia="Barlow Semi Condensed" w:hAnsi="Barlow Semi Condensed"/>
          <w:sz w:val="24"/>
          <w:szCs w:val="24"/>
        </w:rPr>
        <w:t xml:space="preserve">Resta il ceppo, come oggetto storico vero: una generazione che nelle stesse stanze del 1969 covò insieme la rivoluzione, e poi si divise fra chi sparò, chi armò, e chi — assolto da ogni accusa — insegnò lingue e servì i poveri. La guerra senza fine passa anche di qui: nella tentazione, mai spenta, di ricondurre le tre strade a una regia sola. Quarant'anni di indagini in due Paesi non l'hanno trovata. Finché non emerga il documento che i criteri di smentita esigono, la regia unica resta ciò che è sempre stata: </w:t>
      </w:r>
      <w:r>
        <w:rPr>
          <w:rFonts w:ascii="Barlow Semi Condensed" w:cs="Barlow Semi Condensed" w:eastAsia="Barlow Semi Condensed" w:hAnsi="Barlow Semi Condensed"/>
          <w:b/>
          <w:bCs/>
          <w:sz w:val="24"/>
          <w:szCs w:val="24"/>
        </w:rPr>
        <w:t xml:space="preserve">una congettura</w:t>
      </w:r>
      <w:r>
        <w:rPr>
          <w:rFonts w:ascii="Barlow Semi Condensed" w:cs="Barlow Semi Condensed" w:eastAsia="Barlow Semi Condensed" w:hAnsi="Barlow Semi Condensed"/>
          <w:sz w:val="24"/>
          <w:szCs w:val="24"/>
        </w:rPr>
        <w:t xml:space="preserve"> — e le persone della terza strada restano ciò che i tribunali hanno detto: </w:t>
      </w:r>
      <w:r>
        <w:rPr>
          <w:rFonts w:ascii="Barlow Semi Condensed" w:cs="Barlow Semi Condensed" w:eastAsia="Barlow Semi Condensed" w:hAnsi="Barlow Semi Condensed"/>
          <w:b/>
          <w:bCs/>
          <w:sz w:val="24"/>
          <w:szCs w:val="24"/>
        </w:rPr>
        <w:t xml:space="preserve">innocenti</w:t>
      </w:r>
      <w:r>
        <w:rPr>
          <w:rFonts w:ascii="Barlow Semi Condensed" w:cs="Barlow Semi Condensed" w:eastAsia="Barlow Semi Condensed" w:hAnsi="Barlow Semi Condensed"/>
          <w:sz w:val="24"/>
          <w:szCs w:val="24"/>
        </w:rPr>
        <w:t xml:space="preserve">.</w:t>
      </w:r>
    </w:p>
    <w:p>
      <w:pPr>
        <w:pBdr>
          <w:bottom w:val="single" w:color="999999" w:sz="6" w:space="1"/>
        </w:pBdr>
        <w:spacing w:after="80"/>
      </w:pPr>
    </w:p>
    <w:p>
      <w:pPr>
        <w:spacing w:after="120" w:line="276"/>
        <w:jc w:val="both"/>
      </w:pPr>
      <w:r>
        <w:rPr>
          <w:rFonts w:ascii="Barlow Semi Condensed" w:cs="Barlow Semi Condensed" w:eastAsia="Barlow Semi Condensed" w:hAnsi="Barlow Semi Condensed"/>
          <w:i/>
          <w:iCs/>
          <w:sz w:val="24"/>
          <w:szCs w:val="24"/>
        </w:rPr>
        <w:t xml:space="preserve">Studio monografico sul ceppo Simioni: la discendenza CPM → Superclan → Hyperion. Complemento della triangolazione Hyperion (di cui assume i nodi e i gradi senza ripeterli) e specchio della Fase decima (il registro dei prosciolti accanto al registro dei condannati, con la stessa disciplina personalistica). Ogni dato biografico e giudiziario è stato verificato su fonti prima della stesura, con gli indirizzi nel testo; le divergenze (1976/1977 per la fondazione di Hyperion) sono riportate e non risolte; le voci non accertate sono marcate come tali. Presunzione d'innocenza piena e nominale; nessuna tesi promossa oltre il grado C; il «fu assolto, ma» è bandito.</w:t>
      </w:r>
    </w:p>
    <w:p>
      <w:pPr>
        <w:pStyle w:val="Heading3"/>
        <w:spacing w:after="80" w:before="240"/>
      </w:pPr>
      <w:r>
        <w:rPr>
          <w:rFonts w:ascii="Barlow Semi Condensed" w:cs="Barlow Semi Condensed" w:eastAsia="Barlow Semi Condensed" w:hAnsi="Barlow Semi Condensed"/>
          <w:sz w:val="24"/>
          <w:szCs w:val="24"/>
        </w:rPr>
        <w:t xml:space="preserve">Apparato grafico — Libro quinto · Il ceppo Simioni: la terza strada</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9"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Libro quinto V: 2.496 parole in 4 sezioni; la più ampia è §3 Segmento 3, con 757.</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0"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Libro quinto V: 12 indirizzi di fonte citati, addensati in 2 sezioni su 4.</w:t>
      </w:r>
    </w:p>
    <w:p>
      <w:pPr>
        <w:spacing w:after="120"/>
        <w:jc w:val="center"/>
      </w:pPr>
      <w:r>
        <w:rPr>
          <w:rFonts w:ascii="Barlow Semi Condensed" w:cs="Barlow Semi Condensed" w:eastAsia="Barlow Semi Condensed" w:hAnsi="Barlow Semi Condensed"/>
          <w:color w:val="777777"/>
          <w:sz w:val="16"/>
          <w:szCs w:val="16"/>
        </w:rPr>
        <w:t xml:space="preserve">Le metriche dell'apparato contano parole, documenti e atti — mai colpe.</w:t>
      </w:r>
    </w:p>
    <w:p>
      <w:r>
        <w:br w:type="page"/>
      </w:r>
    </w:p>
    <w:p>
      <w:pPr>
        <w:pStyle w:val="Heading1"/>
        <w:spacing w:after="120" w:before="240"/>
      </w:pPr>
      <w:r>
        <w:rPr>
          <w:rFonts w:ascii="Barlow Semi Condensed" w:cs="Barlow Semi Condensed" w:eastAsia="Barlow Semi Condensed" w:hAnsi="Barlow Semi Condensed"/>
          <w:sz w:val="24"/>
          <w:szCs w:val="24"/>
        </w:rPr>
        <w:t xml:space="preserve">Libro sesto — Il filo del 1926 — I. Il Tribunale Speciale: l'istituzione</w:t>
      </w:r>
    </w:p>
    <w:p>
      <w:pPr>
        <w:pStyle w:val="Heading1"/>
        <w:spacing w:after="120" w:before="240"/>
      </w:pPr>
      <w:r>
        <w:rPr>
          <w:rFonts w:ascii="Barlow Semi Condensed" w:cs="Barlow Semi Condensed" w:eastAsia="Barlow Semi Condensed" w:hAnsi="Barlow Semi Condensed"/>
          <w:sz w:val="24"/>
          <w:szCs w:val="24"/>
        </w:rPr>
        <w:t xml:space="preserve">Il Tribunale Speciale per la Difesa dello Stato (1926-1943): storia di un'istituzione</w:t>
      </w:r>
    </w:p>
    <w:p>
      <w:pPr>
        <w:spacing w:after="120" w:line="276"/>
        <w:jc w:val="both"/>
      </w:pPr>
      <w:r>
        <w:rPr>
          <w:rFonts w:ascii="Barlow Semi Condensed" w:cs="Barlow Semi Condensed" w:eastAsia="Barlow Semi Condensed" w:hAnsi="Barlow Semi Condensed"/>
          <w:i/>
          <w:iCs/>
          <w:sz w:val="24"/>
          <w:szCs w:val="24"/>
        </w:rPr>
        <w:t xml:space="preserve">Studio storico — 24 agosto 2026 · Chiude il cerchio con il primo documento del branch</w:t>
      </w:r>
    </w:p>
    <w:p>
      <w:pPr>
        <w:pBdr>
          <w:left w:val="single" w:color="1F3864" w:sz="18" w:space="8"/>
        </w:pBdr>
        <w:spacing w:after="80" w:before="80"/>
        <w:ind w:left="360" w:right="360"/>
        <w:jc w:val="both"/>
      </w:pPr>
      <w:r>
        <w:rPr>
          <w:rFonts w:ascii="Barlow Semi Condensed" w:cs="Barlow Semi Condensed" w:eastAsia="Barlow Semi Condensed" w:hAnsi="Barlow Semi Condensed"/>
          <w:b/>
          <w:bCs/>
          <w:i w:val="false"/>
          <w:iCs w:val="false"/>
          <w:sz w:val="24"/>
          <w:szCs w:val="24"/>
        </w:rPr>
        <w:t xml:space="preserve">Statuto e disciplina.</w:t>
      </w:r>
      <w:r>
        <w:rPr>
          <w:rFonts w:ascii="Barlow Semi Condensed" w:cs="Barlow Semi Condensed" w:eastAsia="Barlow Semi Condensed" w:hAnsi="Barlow Semi Condensed"/>
          <w:i w:val="false"/>
          <w:iCs w:val="false"/>
          <w:sz w:val="24"/>
          <w:szCs w:val="24"/>
        </w:rPr>
        <w:t xml:space="preserve"> Questo branch è nato da un elenco: gli amnistiati del Tribunale Speciale censiti nell'archivio bolognese (</w:t>
      </w:r>
      <w:r>
        <w:rPr>
          <w:rFonts w:ascii="Barlow Semi Condensed" w:cs="Barlow Semi Condensed" w:eastAsia="Barlow Semi Condensed" w:hAnsi="Barlow Semi Condensed"/>
          <w:i w:val="false"/>
          <w:iCs w:val="false"/>
          <w:sz w:val="24"/>
          <w:szCs w:val="24"/>
        </w:rPr>
        <w:t xml:space="preserve">amnistiati-tribunale-speciale.md</w:t>
      </w:r>
      <w:r>
        <w:rPr>
          <w:rFonts w:ascii="Barlow Semi Condensed" w:cs="Barlow Semi Condensed" w:eastAsia="Barlow Semi Condensed" w:hAnsi="Barlow Semi Condensed"/>
          <w:i w:val="false"/>
          <w:iCs w:val="false"/>
          <w:sz w:val="24"/>
          <w:szCs w:val="24"/>
        </w:rPr>
        <w:t xml:space="preserve">). Quell'elenco nominava le persone; questo studio ricostruisce </w:t>
      </w:r>
      <w:r>
        <w:rPr>
          <w:rFonts w:ascii="Barlow Semi Condensed" w:cs="Barlow Semi Condensed" w:eastAsia="Barlow Semi Condensed" w:hAnsi="Barlow Semi Condensed"/>
          <w:b/>
          <w:bCs/>
          <w:i w:val="false"/>
          <w:iCs w:val="false"/>
          <w:sz w:val="24"/>
          <w:szCs w:val="24"/>
        </w:rPr>
        <w:t xml:space="preserve">l'istituzione</w:t>
      </w:r>
      <w:r>
        <w:rPr>
          <w:rFonts w:ascii="Barlow Semi Condensed" w:cs="Barlow Semi Condensed" w:eastAsia="Barlow Semi Condensed" w:hAnsi="Barlow Semi Condensed"/>
          <w:i w:val="false"/>
          <w:iCs w:val="false"/>
          <w:sz w:val="24"/>
          <w:szCs w:val="24"/>
        </w:rPr>
        <w:t xml:space="preserve"> che le colpì — la legge che la creò, la sua struttura e procedura, i numeri della repressione, i processi celebri, le amnistie che la accompagnarono, la fine e l'eredità costituzionale. Vale la Regola di Ferro del corpus: ogni cifra e ogni data qui riportata è riscontrata su fonti indipendenti citate (ANPPIA, ANPI, Archivio Centrale dello Stato, storiografia); dove le fonti divergono, la divergenza è dichiarata. Ricostruzione storica: né apologia né uso politico retroattivo.</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I. La legge: novembre 1926, le «leggi eccezionali»</w:t>
      </w:r>
    </w:p>
    <w:p>
      <w:pPr>
        <w:spacing w:after="120" w:line="276"/>
        <w:jc w:val="both"/>
      </w:pPr>
      <w:r>
        <w:rPr>
          <w:rFonts w:ascii="Barlow Semi Condensed" w:cs="Barlow Semi Condensed" w:eastAsia="Barlow Semi Condensed" w:hAnsi="Barlow Semi Condensed"/>
          <w:sz w:val="24"/>
          <w:szCs w:val="24"/>
        </w:rPr>
        <w:t xml:space="preserve">Il Tribunale Speciale nacque dentro la stretta finale della dittatura. Nel 1926 Mussolini era scampato a una serie di attentati; dopo l'ultimo — il colpo di pistola attribuito al quindicenne Anteo Zamboni a Bologna, il 31 ottobre 1926, seguito dal linciaggio del ragazzo — il regime varò in poche settimane le cosiddette </w:t>
      </w:r>
      <w:r>
        <w:rPr>
          <w:rFonts w:ascii="Barlow Semi Condensed" w:cs="Barlow Semi Condensed" w:eastAsia="Barlow Semi Condensed" w:hAnsi="Barlow Semi Condensed"/>
          <w:b/>
          <w:bCs/>
          <w:sz w:val="24"/>
          <w:szCs w:val="24"/>
        </w:rPr>
        <w:t xml:space="preserve">«leggi eccezionali» o «fascistissime»</w:t>
      </w:r>
      <w:r>
        <w:rPr>
          <w:rFonts w:ascii="Barlow Semi Condensed" w:cs="Barlow Semi Condensed" w:eastAsia="Barlow Semi Condensed" w:hAnsi="Barlow Semi Condensed"/>
          <w:sz w:val="24"/>
          <w:szCs w:val="24"/>
        </w:rPr>
        <w:t xml:space="preserve">: scioglimento dei partiti, soppressione della stampa d'opposizione, decadenza dei deputati aventiniani, istituzione del confino di polizia.</w:t>
      </w:r>
    </w:p>
    <w:p>
      <w:pPr>
        <w:spacing w:after="120" w:line="276"/>
        <w:jc w:val="both"/>
      </w:pPr>
      <w:r>
        <w:rPr>
          <w:rFonts w:ascii="Barlow Semi Condensed" w:cs="Barlow Semi Condensed" w:eastAsia="Barlow Semi Condensed" w:hAnsi="Barlow Semi Condensed"/>
          <w:sz w:val="24"/>
          <w:szCs w:val="24"/>
        </w:rPr>
        <w:t xml:space="preserve">Il vertice dell'edificio fu la </w:t>
      </w:r>
      <w:r>
        <w:rPr>
          <w:rFonts w:ascii="Barlow Semi Condensed" w:cs="Barlow Semi Condensed" w:eastAsia="Barlow Semi Condensed" w:hAnsi="Barlow Semi Condensed"/>
          <w:b/>
          <w:bCs/>
          <w:sz w:val="24"/>
          <w:szCs w:val="24"/>
        </w:rPr>
        <w:t xml:space="preserve">legge 25 novembre 1926, n. 2008</w:t>
      </w:r>
      <w:r>
        <w:rPr>
          <w:rFonts w:ascii="Barlow Semi Condensed" w:cs="Barlow Semi Condensed" w:eastAsia="Barlow Semi Condensed" w:hAnsi="Barlow Semi Condensed"/>
          <w:sz w:val="24"/>
          <w:szCs w:val="24"/>
        </w:rPr>
        <w:t xml:space="preserve"> («Provvedimenti per la difesa dello Stato»), completata dal regolamento di attuazione di dicembre (Archivio Centrale dello Stato (https://search.acs.beniculturali.it/OpacACS/authority/IT-ACS-SP00001-00000424); Wikipedia IT (https://it.wikipedia.org/wiki/Tribunale_speciale_per_la_difesa_dello_Stato_(1926-1943))). La legge fece due cose insieme, e vanno tenute distinte perché misurano la rottura giuridica:</w:t>
      </w:r>
    </w:p>
    <w:p>
      <w:pPr>
        <w:spacing w:after="40"/>
        <w:ind w:left="360"/>
        <w:jc w:val="both"/>
      </w:pPr>
      <w:r>
        <w:rPr>
          <w:rFonts w:ascii="Barlow Semi Condensed" w:cs="Barlow Semi Condensed" w:eastAsia="Barlow Semi Condensed" w:hAnsi="Barlow Semi Condensed"/>
          <w:sz w:val="24"/>
          <w:szCs w:val="24"/>
        </w:rPr>
        <w:t xml:space="preserve">1. </w:t>
      </w:r>
      <w:r>
        <w:rPr>
          <w:rFonts w:ascii="Barlow Semi Condensed" w:cs="Barlow Semi Condensed" w:eastAsia="Barlow Semi Condensed" w:hAnsi="Barlow Semi Condensed"/>
          <w:b/>
          <w:bCs/>
          <w:sz w:val="24"/>
          <w:szCs w:val="24"/>
        </w:rPr>
        <w:t xml:space="preserve">Reintrodusse la pena di morte</w:t>
      </w:r>
      <w:r>
        <w:rPr>
          <w:rFonts w:ascii="Barlow Semi Condensed" w:cs="Barlow Semi Condensed" w:eastAsia="Barlow Semi Condensed" w:hAnsi="Barlow Semi Condensed"/>
          <w:sz w:val="24"/>
          <w:szCs w:val="24"/>
        </w:rPr>
        <w:t xml:space="preserve"> per i delitti politici — che lo Stato liberale aveva abolito con il codice Zanardelli del 1889 — e creò nuove fattispecie (ricostituzione di partiti disciolti, propaganda sovversiva, espatrio clandestino aggravato).</w:t>
      </w:r>
    </w:p>
    <w:p>
      <w:pPr>
        <w:spacing w:after="40"/>
        <w:ind w:left="360"/>
        <w:jc w:val="both"/>
      </w:pPr>
      <w:r>
        <w:rPr>
          <w:rFonts w:ascii="Barlow Semi Condensed" w:cs="Barlow Semi Condensed" w:eastAsia="Barlow Semi Condensed" w:hAnsi="Barlow Semi Condensed"/>
          <w:sz w:val="24"/>
          <w:szCs w:val="24"/>
        </w:rPr>
        <w:t xml:space="preserve">2. </w:t>
      </w:r>
      <w:r>
        <w:rPr>
          <w:rFonts w:ascii="Barlow Semi Condensed" w:cs="Barlow Semi Condensed" w:eastAsia="Barlow Semi Condensed" w:hAnsi="Barlow Semi Condensed"/>
          <w:b/>
          <w:bCs/>
          <w:sz w:val="24"/>
          <w:szCs w:val="24"/>
        </w:rPr>
        <w:t xml:space="preserve">Istituì un giudice speciale</w:t>
      </w:r>
      <w:r>
        <w:rPr>
          <w:rFonts w:ascii="Barlow Semi Condensed" w:cs="Barlow Semi Condensed" w:eastAsia="Barlow Semi Condensed" w:hAnsi="Barlow Semi Condensed"/>
          <w:sz w:val="24"/>
          <w:szCs w:val="24"/>
        </w:rPr>
        <w:t xml:space="preserve"> per giudicarli: il Tribunale Speciale per la Difesa dello Stato, previsto in origine come </w:t>
      </w:r>
      <w:r>
        <w:rPr>
          <w:rFonts w:ascii="Barlow Semi Condensed" w:cs="Barlow Semi Condensed" w:eastAsia="Barlow Semi Condensed" w:hAnsi="Barlow Semi Condensed"/>
          <w:b/>
          <w:bCs/>
          <w:sz w:val="24"/>
          <w:szCs w:val="24"/>
        </w:rPr>
        <w:t xml:space="preserve">temporaneo</w:t>
      </w:r>
      <w:r>
        <w:rPr>
          <w:rFonts w:ascii="Barlow Semi Condensed" w:cs="Barlow Semi Condensed" w:eastAsia="Barlow Semi Condensed" w:hAnsi="Barlow Semi Condensed"/>
          <w:sz w:val="24"/>
          <w:szCs w:val="24"/>
        </w:rPr>
        <w:t xml:space="preserve"> (cinque anni) e poi </w:t>
      </w:r>
      <w:r>
        <w:rPr>
          <w:rFonts w:ascii="Barlow Semi Condensed" w:cs="Barlow Semi Condensed" w:eastAsia="Barlow Semi Condensed" w:hAnsi="Barlow Semi Condensed"/>
          <w:b/>
          <w:bCs/>
          <w:sz w:val="24"/>
          <w:szCs w:val="24"/>
        </w:rPr>
        <w:t xml:space="preserve">prorogato ripetutamente</w:t>
      </w:r>
      <w:r>
        <w:rPr>
          <w:rFonts w:ascii="Barlow Semi Condensed" w:cs="Barlow Semi Condensed" w:eastAsia="Barlow Semi Condensed" w:hAnsi="Barlow Semi Condensed"/>
          <w:sz w:val="24"/>
          <w:szCs w:val="24"/>
        </w:rPr>
        <w:t xml:space="preserve"> fino a diventare organo permanente della dittatura, operativo dal </w:t>
      </w:r>
      <w:r>
        <w:rPr>
          <w:rFonts w:ascii="Barlow Semi Condensed" w:cs="Barlow Semi Condensed" w:eastAsia="Barlow Semi Condensed" w:hAnsi="Barlow Semi Condensed"/>
          <w:b/>
          <w:bCs/>
          <w:sz w:val="24"/>
          <w:szCs w:val="24"/>
        </w:rPr>
        <w:t xml:space="preserve">febbraio 1927</w:t>
      </w:r>
      <w:r>
        <w:rPr>
          <w:rFonts w:ascii="Barlow Semi Condensed" w:cs="Barlow Semi Condensed" w:eastAsia="Barlow Semi Condensed" w:hAnsi="Barlow Semi Condensed"/>
          <w:sz w:val="24"/>
          <w:szCs w:val="24"/>
        </w:rPr>
        <w:t xml:space="preserve"> al </w:t>
      </w:r>
      <w:r>
        <w:rPr>
          <w:rFonts w:ascii="Barlow Semi Condensed" w:cs="Barlow Semi Condensed" w:eastAsia="Barlow Semi Condensed" w:hAnsi="Barlow Semi Condensed"/>
          <w:b/>
          <w:bCs/>
          <w:sz w:val="24"/>
          <w:szCs w:val="24"/>
        </w:rPr>
        <w:t xml:space="preserve">luglio 1943</w:t>
      </w:r>
      <w:r>
        <w:rPr>
          <w:rFonts w:ascii="Barlow Semi Condensed" w:cs="Barlow Semi Condensed" w:eastAsia="Barlow Semi Condensed" w:hAnsi="Barlow Semi Condensed"/>
          <w:sz w:val="24"/>
          <w:szCs w:val="24"/>
        </w:rPr>
        <w:t xml:space="preserve">.</w:t>
      </w:r>
    </w:p>
    <w:p>
      <w:pPr>
        <w:spacing w:after="120" w:line="276"/>
        <w:jc w:val="both"/>
      </w:pPr>
      <w:r>
        <w:rPr>
          <w:rFonts w:ascii="Barlow Semi Condensed" w:cs="Barlow Semi Condensed" w:eastAsia="Barlow Semi Condensed" w:hAnsi="Barlow Semi Condensed"/>
          <w:sz w:val="24"/>
          <w:szCs w:val="24"/>
        </w:rPr>
        <w:t xml:space="preserve">La temporaneità dichiarata e la permanenza di fatto sono il primo dato istituzionale: lo strumento «eccezionale» che diventa ordinario è la firma degli stati d'eccezione consolidati.</w:t>
      </w:r>
    </w:p>
    <w:p>
      <w:pPr>
        <w:pStyle w:val="Heading2"/>
        <w:spacing w:after="100" w:before="200"/>
      </w:pPr>
      <w:r>
        <w:rPr>
          <w:rFonts w:ascii="Barlow Semi Condensed" w:cs="Barlow Semi Condensed" w:eastAsia="Barlow Semi Condensed" w:hAnsi="Barlow Semi Condensed"/>
          <w:sz w:val="24"/>
          <w:szCs w:val="24"/>
        </w:rPr>
        <w:t xml:space="preserve">II. Struttura e procedura: un tribunale di guerra in tempo di pace</w:t>
      </w:r>
    </w:p>
    <w:p>
      <w:pPr>
        <w:spacing w:after="120" w:line="276"/>
        <w:jc w:val="both"/>
      </w:pPr>
      <w:r>
        <w:rPr>
          <w:rFonts w:ascii="Barlow Semi Condensed" w:cs="Barlow Semi Condensed" w:eastAsia="Barlow Semi Condensed" w:hAnsi="Barlow Semi Condensed"/>
          <w:sz w:val="24"/>
          <w:szCs w:val="24"/>
        </w:rPr>
        <w:t xml:space="preserve">La natura dell'organo sta tutta nella sua composizione e nel suo rito. Il Tribunale — con sede a Roma — era </w:t>
      </w:r>
      <w:r>
        <w:rPr>
          <w:rFonts w:ascii="Barlow Semi Condensed" w:cs="Barlow Semi Condensed" w:eastAsia="Barlow Semi Condensed" w:hAnsi="Barlow Semi Condensed"/>
          <w:b/>
          <w:bCs/>
          <w:sz w:val="24"/>
          <w:szCs w:val="24"/>
        </w:rPr>
        <w:t xml:space="preserve">presieduto da un ufficiale superiore</w:t>
      </w:r>
      <w:r>
        <w:rPr>
          <w:rFonts w:ascii="Barlow Semi Condensed" w:cs="Barlow Semi Condensed" w:eastAsia="Barlow Semi Condensed" w:hAnsi="Barlow Semi Condensed"/>
          <w:sz w:val="24"/>
          <w:szCs w:val="24"/>
        </w:rPr>
        <w:t xml:space="preserve"> delle forze armate o della Milizia, e i suoi </w:t>
      </w:r>
      <w:r>
        <w:rPr>
          <w:rFonts w:ascii="Barlow Semi Condensed" w:cs="Barlow Semi Condensed" w:eastAsia="Barlow Semi Condensed" w:hAnsi="Barlow Semi Condensed"/>
          <w:b/>
          <w:bCs/>
          <w:sz w:val="24"/>
          <w:szCs w:val="24"/>
        </w:rPr>
        <w:t xml:space="preserve">giudici erano consoli della Milizia Volontaria per la Sicurezza Nazionale</w:t>
      </w:r>
      <w:r>
        <w:rPr>
          <w:rFonts w:ascii="Barlow Semi Condensed" w:cs="Barlow Semi Condensed" w:eastAsia="Barlow Semi Condensed" w:hAnsi="Barlow Semi Condensed"/>
          <w:sz w:val="24"/>
          <w:szCs w:val="24"/>
        </w:rPr>
        <w:t xml:space="preserve">: cioè ufficiali del partito armato, non magistrati ordinari (ANPPIA (https://anppia.it/il-tribunale-speciale/); ANPI, Promemoria (https://promemoria.anpi.it/2656-2/)). Applicava il </w:t>
      </w:r>
      <w:r>
        <w:rPr>
          <w:rFonts w:ascii="Barlow Semi Condensed" w:cs="Barlow Semi Condensed" w:eastAsia="Barlow Semi Condensed" w:hAnsi="Barlow Semi Condensed"/>
          <w:b/>
          <w:bCs/>
          <w:sz w:val="24"/>
          <w:szCs w:val="24"/>
        </w:rPr>
        <w:t xml:space="preserve">codice penale militare di guerra</w:t>
      </w:r>
      <w:r>
        <w:rPr>
          <w:rFonts w:ascii="Barlow Semi Condensed" w:cs="Barlow Semi Condensed" w:eastAsia="Barlow Semi Condensed" w:hAnsi="Barlow Semi Condensed"/>
          <w:sz w:val="24"/>
          <w:szCs w:val="24"/>
        </w:rPr>
        <w:t xml:space="preserve"> — in tempo di pace e a civili — con ciò che ne conseguiva:</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istruttoria</w:t>
      </w:r>
      <w:r>
        <w:rPr>
          <w:rFonts w:ascii="Barlow Semi Condensed" w:cs="Barlow Semi Condensed" w:eastAsia="Barlow Semi Condensed" w:hAnsi="Barlow Semi Condensed"/>
          <w:sz w:val="24"/>
          <w:szCs w:val="24"/>
        </w:rPr>
        <w:t xml:space="preserve"> affidata di fatto alla polizia politica (dal 1927 l'OVRA), con la confessione e la delazione come architravi probatorie;</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rito militare</w:t>
      </w:r>
      <w:r>
        <w:rPr>
          <w:rFonts w:ascii="Barlow Semi Condensed" w:cs="Barlow Semi Condensed" w:eastAsia="Barlow Semi Condensed" w:hAnsi="Barlow Semi Condensed"/>
          <w:sz w:val="24"/>
          <w:szCs w:val="24"/>
        </w:rPr>
        <w:t xml:space="preserve"> sommario, difesa fortemente compressa;</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sentenze inappellabili</w:t>
      </w:r>
      <w:r>
        <w:rPr>
          <w:rFonts w:ascii="Barlow Semi Condensed" w:cs="Barlow Semi Condensed" w:eastAsia="Barlow Semi Condensed" w:hAnsi="Barlow Semi Condensed"/>
          <w:sz w:val="24"/>
          <w:szCs w:val="24"/>
        </w:rPr>
        <w:t xml:space="preserve">: nessun appello, nessun ricorso in Cassazione;</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pene accessorie</w:t>
      </w:r>
      <w:r>
        <w:rPr>
          <w:rFonts w:ascii="Barlow Semi Condensed" w:cs="Barlow Semi Condensed" w:eastAsia="Barlow Semi Condensed" w:hAnsi="Barlow Semi Condensed"/>
          <w:sz w:val="24"/>
          <w:szCs w:val="24"/>
        </w:rPr>
        <w:t xml:space="preserve"> sistematiche: interdizione perpetua dai pubblici uffici, vigilanza speciale, possibili misure sui beni.</w:t>
      </w:r>
    </w:p>
    <w:p>
      <w:pPr>
        <w:spacing w:after="120" w:line="276"/>
        <w:jc w:val="both"/>
      </w:pPr>
      <w:r>
        <w:rPr>
          <w:rFonts w:ascii="Barlow Semi Condensed" w:cs="Barlow Semi Condensed" w:eastAsia="Barlow Semi Condensed" w:hAnsi="Barlow Semi Condensed"/>
          <w:sz w:val="24"/>
          <w:szCs w:val="24"/>
        </w:rPr>
        <w:t xml:space="preserve">Un tribunale di guerra permanente contro il nemico interno: questa è la definizione tecnica dell'istituto, ed è la ragione per cui la Costituente, vent'anni dopo, ne farà il negativo fotografico della propria giurisdizione.</w:t>
      </w:r>
    </w:p>
    <w:p>
      <w:pPr>
        <w:pStyle w:val="Heading2"/>
        <w:spacing w:after="100" w:before="200"/>
      </w:pPr>
      <w:r>
        <w:rPr>
          <w:rFonts w:ascii="Barlow Semi Condensed" w:cs="Barlow Semi Condensed" w:eastAsia="Barlow Semi Condensed" w:hAnsi="Barlow Semi Condensed"/>
          <w:sz w:val="24"/>
          <w:szCs w:val="24"/>
        </w:rPr>
        <w:t xml:space="preserve">III. I numeri della repressione (1927-1943)</w:t>
      </w:r>
    </w:p>
    <w:p>
      <w:pPr>
        <w:spacing w:after="120" w:line="276"/>
        <w:jc w:val="both"/>
      </w:pPr>
      <w:r>
        <w:rPr>
          <w:rFonts w:ascii="Barlow Semi Condensed" w:cs="Barlow Semi Condensed" w:eastAsia="Barlow Semi Condensed" w:hAnsi="Barlow Semi Condensed"/>
          <w:sz w:val="24"/>
          <w:szCs w:val="24"/>
        </w:rPr>
        <w:t xml:space="preserve">Le cifre consolidate della storiografia (censimento ANPPIA / Dal Pont, riprese dalle voci d'archivio) sono le seguenti (ANPPIA (https://anppia.it/il-tribunale-speciale/); Wikipedia IT (https://it.wikipedia.org/wiki/Tribunale_speciale_per_la_difesa_dello_Stato_(1926-1943)); ANPI (https://www.anpi.it/libri/il-tribunale-speciale-la-difesa-dello-stato)):</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c>
          <w:tcPr>
            <w:tcW w:type="dxa" w:w="468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Voce</w:t>
            </w:r>
          </w:p>
        </w:tc>
        <w:tc>
          <w:tcPr>
            <w:tcW w:type="dxa" w:w="468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Cifra</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Deferiti al Tribunale (1926-1943)</w:t>
            </w:r>
          </w:p>
        </w:tc>
        <w:tc>
          <w:tcPr>
            <w:tcW w:type="dxa" w:w="4680"/>
          </w:tcPr>
          <w:p>
            <w:pPr>
              <w:spacing w:after="20" w:before="20"/>
              <w:jc w:val="both"/>
            </w:pPr>
            <w:r>
              <w:rPr>
                <w:rFonts w:ascii="Barlow Semi Condensed" w:cs="Barlow Semi Condensed" w:eastAsia="Barlow Semi Condensed" w:hAnsi="Barlow Semi Condensed"/>
                <w:b/>
                <w:bCs/>
                <w:sz w:val="20"/>
                <w:szCs w:val="20"/>
              </w:rPr>
              <w:t xml:space="preserve">15.806</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Giudicati</w:t>
            </w:r>
          </w:p>
        </w:tc>
        <w:tc>
          <w:tcPr>
            <w:tcW w:type="dxa" w:w="4680"/>
          </w:tcPr>
          <w:p>
            <w:pPr>
              <w:spacing w:after="20" w:before="20"/>
              <w:jc w:val="both"/>
            </w:pPr>
            <w:r>
              <w:rPr>
                <w:rFonts w:ascii="Barlow Semi Condensed" w:cs="Barlow Semi Condensed" w:eastAsia="Barlow Semi Condensed" w:hAnsi="Barlow Semi Condensed"/>
                <w:b/>
                <w:bCs/>
                <w:sz w:val="20"/>
                <w:szCs w:val="20"/>
              </w:rPr>
              <w:t xml:space="preserve">5.619-5.620</w:t>
            </w:r>
            <w:r>
              <w:rPr>
                <w:rFonts w:ascii="Barlow Semi Condensed" w:cs="Barlow Semi Condensed" w:eastAsia="Barlow Semi Condensed" w:hAnsi="Barlow Semi Condensed"/>
                <w:sz w:val="20"/>
                <w:szCs w:val="20"/>
              </w:rPr>
              <w:t xml:space="preserve"> (le fonti oscillano di un'unità)</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Condannati</w:t>
            </w:r>
          </w:p>
        </w:tc>
        <w:tc>
          <w:tcPr>
            <w:tcW w:type="dxa" w:w="4680"/>
          </w:tcPr>
          <w:p>
            <w:pPr>
              <w:spacing w:after="20" w:before="20"/>
              <w:jc w:val="both"/>
            </w:pPr>
            <w:r>
              <w:rPr>
                <w:rFonts w:ascii="Barlow Semi Condensed" w:cs="Barlow Semi Condensed" w:eastAsia="Barlow Semi Condensed" w:hAnsi="Barlow Semi Condensed"/>
                <w:b/>
                <w:bCs/>
                <w:sz w:val="20"/>
                <w:szCs w:val="20"/>
              </w:rPr>
              <w:t xml:space="preserve">4.596</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Monte complessivo di reclusione comminata</w:t>
            </w:r>
          </w:p>
        </w:tc>
        <w:tc>
          <w:tcPr>
            <w:tcW w:type="dxa" w:w="4680"/>
          </w:tcPr>
          <w:p>
            <w:pPr>
              <w:spacing w:after="20" w:before="20"/>
              <w:jc w:val="both"/>
            </w:pPr>
            <w:r>
              <w:rPr>
                <w:rFonts w:ascii="Barlow Semi Condensed" w:cs="Barlow Semi Condensed" w:eastAsia="Barlow Semi Condensed" w:hAnsi="Barlow Semi Condensed"/>
                <w:b/>
                <w:bCs/>
                <w:sz w:val="20"/>
                <w:szCs w:val="20"/>
              </w:rPr>
              <w:t xml:space="preserve">27.752 anni, 5 mesi e 19 giorni</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Ergastoli</w:t>
            </w:r>
          </w:p>
        </w:tc>
        <w:tc>
          <w:tcPr>
            <w:tcW w:type="dxa" w:w="4680"/>
          </w:tcPr>
          <w:p>
            <w:pPr>
              <w:spacing w:after="20" w:before="20"/>
              <w:jc w:val="both"/>
            </w:pPr>
            <w:r>
              <w:rPr>
                <w:rFonts w:ascii="Barlow Semi Condensed" w:cs="Barlow Semi Condensed" w:eastAsia="Barlow Semi Condensed" w:hAnsi="Barlow Semi Condensed"/>
                <w:b/>
                <w:bCs/>
                <w:sz w:val="20"/>
                <w:szCs w:val="20"/>
              </w:rPr>
              <w:t xml:space="preserve">3</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Condanne a morte pronunciate</w:t>
            </w:r>
          </w:p>
        </w:tc>
        <w:tc>
          <w:tcPr>
            <w:tcW w:type="dxa" w:w="4680"/>
          </w:tcPr>
          <w:p>
            <w:pPr>
              <w:spacing w:after="20" w:before="20"/>
              <w:jc w:val="both"/>
            </w:pPr>
            <w:r>
              <w:rPr>
                <w:rFonts w:ascii="Barlow Semi Condensed" w:cs="Barlow Semi Condensed" w:eastAsia="Barlow Semi Condensed" w:hAnsi="Barlow Semi Condensed"/>
                <w:b/>
                <w:bCs/>
                <w:sz w:val="20"/>
                <w:szCs w:val="20"/>
              </w:rPr>
              <w:t xml:space="preserve">42</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Condanne a morte eseguite</w:t>
            </w:r>
          </w:p>
        </w:tc>
        <w:tc>
          <w:tcPr>
            <w:tcW w:type="dxa" w:w="4680"/>
          </w:tcPr>
          <w:p>
            <w:pPr>
              <w:spacing w:after="20" w:before="20"/>
              <w:jc w:val="both"/>
            </w:pPr>
            <w:r>
              <w:rPr>
                <w:rFonts w:ascii="Barlow Semi Condensed" w:cs="Barlow Semi Condensed" w:eastAsia="Barlow Semi Condensed" w:hAnsi="Barlow Semi Condensed"/>
                <w:b/>
                <w:bCs/>
                <w:sz w:val="20"/>
                <w:szCs w:val="20"/>
              </w:rPr>
              <w:t xml:space="preserve">31</w:t>
            </w:r>
          </w:p>
        </w:tc>
      </w:tr>
    </w:tbl>
    <w:p>
      <w:pPr>
        <w:spacing w:after="80"/>
      </w:pPr>
    </w:p>
    <w:p>
      <w:pPr>
        <w:spacing w:after="120" w:line="276"/>
        <w:jc w:val="both"/>
      </w:pPr>
      <w:r>
        <w:rPr>
          <w:rFonts w:ascii="Barlow Semi Condensed" w:cs="Barlow Semi Condensed" w:eastAsia="Barlow Semi Condensed" w:hAnsi="Barlow Semi Condensed"/>
          <w:sz w:val="24"/>
          <w:szCs w:val="24"/>
        </w:rPr>
        <w:t xml:space="preserve">Dietro le cifre, tre fatti che le qualificano:</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La prima esecuzione</w:t>
      </w:r>
      <w:r>
        <w:rPr>
          <w:rFonts w:ascii="Barlow Semi Condensed" w:cs="Barlow Semi Condensed" w:eastAsia="Barlow Semi Condensed" w:hAnsi="Barlow Semi Condensed"/>
          <w:sz w:val="24"/>
          <w:szCs w:val="24"/>
        </w:rPr>
        <w:t xml:space="preserve"> fu quella di </w:t>
      </w:r>
      <w:r>
        <w:rPr>
          <w:rFonts w:ascii="Barlow Semi Condensed" w:cs="Barlow Semi Condensed" w:eastAsia="Barlow Semi Condensed" w:hAnsi="Barlow Semi Condensed"/>
          <w:b/>
          <w:bCs/>
          <w:sz w:val="24"/>
          <w:szCs w:val="24"/>
        </w:rPr>
        <w:t xml:space="preserve">Michele Della Maggiora</w:t>
      </w:r>
      <w:r>
        <w:rPr>
          <w:rFonts w:ascii="Barlow Semi Condensed" w:cs="Barlow Semi Condensed" w:eastAsia="Barlow Semi Condensed" w:hAnsi="Barlow Semi Condensed"/>
          <w:sz w:val="24"/>
          <w:szCs w:val="24"/>
        </w:rPr>
        <w:t xml:space="preserve">, bracciante comunista toscano: condannato a morte il 17 ottobre 1928 e </w:t>
      </w:r>
      <w:r>
        <w:rPr>
          <w:rFonts w:ascii="Barlow Semi Condensed" w:cs="Barlow Semi Condensed" w:eastAsia="Barlow Semi Condensed" w:hAnsi="Barlow Semi Condensed"/>
          <w:b/>
          <w:bCs/>
          <w:sz w:val="24"/>
          <w:szCs w:val="24"/>
        </w:rPr>
        <w:t xml:space="preserve">fucilato il 18 ottobre 1928</w:t>
      </w:r>
      <w:r>
        <w:rPr>
          <w:rFonts w:ascii="Barlow Semi Condensed" w:cs="Barlow Semi Condensed" w:eastAsia="Barlow Semi Condensed" w:hAnsi="Barlow Semi Condensed"/>
          <w:sz w:val="24"/>
          <w:szCs w:val="24"/>
        </w:rPr>
        <w:t xml:space="preserve"> a Ponte Buggianese — caso che ebbe eco internazionale (ANPPIA, scheda Della Maggiora (https://anppia.it/antifascisti/della-maggiora-michele/); Wikipedia IT (https://it.wikipedia.org/wiki/Michele_Della_Maggiora)).</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Una parte cospicua dei fucilati furono antifascisti sloveni e croati</w:t>
      </w:r>
      <w:r>
        <w:rPr>
          <w:rFonts w:ascii="Barlow Semi Condensed" w:cs="Barlow Semi Condensed" w:eastAsia="Barlow Semi Condensed" w:hAnsi="Barlow Semi Condensed"/>
          <w:sz w:val="24"/>
          <w:szCs w:val="24"/>
        </w:rPr>
        <w:t xml:space="preserve"> della Venezia Giulia: i quattro di </w:t>
      </w:r>
      <w:r>
        <w:rPr>
          <w:rFonts w:ascii="Barlow Semi Condensed" w:cs="Barlow Semi Condensed" w:eastAsia="Barlow Semi Condensed" w:hAnsi="Barlow Semi Condensed"/>
          <w:b/>
          <w:bCs/>
          <w:sz w:val="24"/>
          <w:szCs w:val="24"/>
        </w:rPr>
        <w:t xml:space="preserve">Basovizza</w:t>
      </w:r>
      <w:r>
        <w:rPr>
          <w:rFonts w:ascii="Barlow Semi Condensed" w:cs="Barlow Semi Condensed" w:eastAsia="Barlow Semi Condensed" w:hAnsi="Barlow Semi Condensed"/>
          <w:sz w:val="24"/>
          <w:szCs w:val="24"/>
        </w:rPr>
        <w:t xml:space="preserve"> — Ferdo Bidovec, Fran Marušič, Zvonimir Miloš, Alojz Valenčič — fucilati il </w:t>
      </w:r>
      <w:r>
        <w:rPr>
          <w:rFonts w:ascii="Barlow Semi Condensed" w:cs="Barlow Semi Condensed" w:eastAsia="Barlow Semi Condensed" w:hAnsi="Barlow Semi Condensed"/>
          <w:b/>
          <w:bCs/>
          <w:sz w:val="24"/>
          <w:szCs w:val="24"/>
        </w:rPr>
        <w:t xml:space="preserve">6 settembre 1930</w:t>
      </w:r>
      <w:r>
        <w:rPr>
          <w:rFonts w:ascii="Barlow Semi Condensed" w:cs="Barlow Semi Condensed" w:eastAsia="Barlow Semi Condensed" w:hAnsi="Barlow Semi Condensed"/>
          <w:sz w:val="24"/>
          <w:szCs w:val="24"/>
        </w:rPr>
        <w:t xml:space="preserve"> dopo il primo processo di Trieste (Grosseto Contemporanea (http://www.grossetocontemporanea.it/fucilati-di-basovizza/)), e altri dopo il secondo processo di Trieste del dicembre 1941. La repressione del Tribunale fu anche, in misura rilevante, repressione </w:t>
      </w:r>
      <w:r>
        <w:rPr>
          <w:rFonts w:ascii="Barlow Semi Condensed" w:cs="Barlow Semi Condensed" w:eastAsia="Barlow Semi Condensed" w:hAnsi="Barlow Semi Condensed"/>
          <w:b/>
          <w:bCs/>
          <w:sz w:val="24"/>
          <w:szCs w:val="24"/>
        </w:rPr>
        <w:t xml:space="preserve">nazionale</w:t>
      </w:r>
      <w:r>
        <w:rPr>
          <w:rFonts w:ascii="Barlow Semi Condensed" w:cs="Barlow Semi Condensed" w:eastAsia="Barlow Semi Condensed" w:hAnsi="Barlow Semi Condensed"/>
          <w:sz w:val="24"/>
          <w:szCs w:val="24"/>
        </w:rPr>
        <w:t xml:space="preserve"> contro le minoranze slave.</w:t>
      </w:r>
    </w:p>
    <w:p>
      <w:pPr>
        <w:pStyle w:val="ListParagraph"/>
        <w:numPr>
          <w:ilvl w:val="0"/>
          <w:numId w:val="1"/>
        </w:numPr>
        <w:spacing w:after="40"/>
        <w:jc w:val="both"/>
      </w:pPr>
      <w:r>
        <w:rPr>
          <w:rFonts w:ascii="Barlow Semi Condensed" w:cs="Barlow Semi Condensed" w:eastAsia="Barlow Semi Condensed" w:hAnsi="Barlow Semi Condensed"/>
          <w:sz w:val="24"/>
          <w:szCs w:val="24"/>
        </w:rPr>
        <w:t xml:space="preserve">Le cifre delle esecuzioni </w:t>
      </w:r>
      <w:r>
        <w:rPr>
          <w:rFonts w:ascii="Barlow Semi Condensed" w:cs="Barlow Semi Condensed" w:eastAsia="Barlow Semi Condensed" w:hAnsi="Barlow Semi Condensed"/>
          <w:b/>
          <w:bCs/>
          <w:sz w:val="24"/>
          <w:szCs w:val="24"/>
        </w:rPr>
        <w:t xml:space="preserve">non comprendono chi morì in carcere</w:t>
      </w:r>
      <w:r>
        <w:rPr>
          <w:rFonts w:ascii="Barlow Semi Condensed" w:cs="Barlow Semi Condensed" w:eastAsia="Barlow Semi Condensed" w:hAnsi="Barlow Semi Condensed"/>
          <w:sz w:val="24"/>
          <w:szCs w:val="24"/>
        </w:rPr>
        <w:t xml:space="preserve"> per gli effetti della detenzione. Il caso maggiore è quello di </w:t>
      </w:r>
      <w:r>
        <w:rPr>
          <w:rFonts w:ascii="Barlow Semi Condensed" w:cs="Barlow Semi Condensed" w:eastAsia="Barlow Semi Condensed" w:hAnsi="Barlow Semi Condensed"/>
          <w:b/>
          <w:bCs/>
          <w:sz w:val="24"/>
          <w:szCs w:val="24"/>
        </w:rPr>
        <w:t xml:space="preserve">Antonio Gramsci</w:t>
      </w:r>
      <w:r>
        <w:rPr>
          <w:rFonts w:ascii="Barlow Semi Condensed" w:cs="Barlow Semi Condensed" w:eastAsia="Barlow Semi Condensed" w:hAnsi="Barlow Semi Condensed"/>
          <w:sz w:val="24"/>
          <w:szCs w:val="24"/>
        </w:rPr>
        <w:t xml:space="preserve">, morto il 27 aprile 1937, pochi giorni dopo la fine formale della pena, dopo dieci anni di carcere che ne avevano distrutto la salute.</w:t>
      </w:r>
    </w:p>
    <w:p>
      <w:pPr>
        <w:pStyle w:val="Heading2"/>
        <w:spacing w:after="100" w:before="200"/>
      </w:pPr>
      <w:r>
        <w:rPr>
          <w:rFonts w:ascii="Barlow Semi Condensed" w:cs="Barlow Semi Condensed" w:eastAsia="Barlow Semi Condensed" w:hAnsi="Barlow Semi Condensed"/>
          <w:sz w:val="24"/>
          <w:szCs w:val="24"/>
        </w:rPr>
        <w:t xml:space="preserve">IV. I processi celebri: il «processone» e gli uomini che sarebbero tornati</w:t>
      </w:r>
    </w:p>
    <w:p>
      <w:pPr>
        <w:spacing w:after="120" w:line="276"/>
        <w:jc w:val="both"/>
      </w:pPr>
      <w:r>
        <w:rPr>
          <w:rFonts w:ascii="Barlow Semi Condensed" w:cs="Barlow Semi Condensed" w:eastAsia="Barlow Semi Condensed" w:hAnsi="Barlow Semi Condensed"/>
          <w:sz w:val="24"/>
          <w:szCs w:val="24"/>
        </w:rPr>
        <w:t xml:space="preserve">Il processo che definì il Tribunale davanti alla storia fu il </w:t>
      </w:r>
      <w:r>
        <w:rPr>
          <w:rFonts w:ascii="Barlow Semi Condensed" w:cs="Barlow Semi Condensed" w:eastAsia="Barlow Semi Condensed" w:hAnsi="Barlow Semi Condensed"/>
          <w:b/>
          <w:bCs/>
          <w:sz w:val="24"/>
          <w:szCs w:val="24"/>
        </w:rPr>
        <w:t xml:space="preserve">«processone»</w:t>
      </w:r>
      <w:r>
        <w:rPr>
          <w:rFonts w:ascii="Barlow Semi Condensed" w:cs="Barlow Semi Condensed" w:eastAsia="Barlow Semi Condensed" w:hAnsi="Barlow Semi Condensed"/>
          <w:sz w:val="24"/>
          <w:szCs w:val="24"/>
        </w:rPr>
        <w:t xml:space="preserve"> contro il gruppo dirigente del Partito Comunista d'Italia: si aprì a Roma il </w:t>
      </w:r>
      <w:r>
        <w:rPr>
          <w:rFonts w:ascii="Barlow Semi Condensed" w:cs="Barlow Semi Condensed" w:eastAsia="Barlow Semi Condensed" w:hAnsi="Barlow Semi Condensed"/>
          <w:b/>
          <w:bCs/>
          <w:sz w:val="24"/>
          <w:szCs w:val="24"/>
        </w:rPr>
        <w:t xml:space="preserve">28 maggio 1928</w:t>
      </w:r>
      <w:r>
        <w:rPr>
          <w:rFonts w:ascii="Barlow Semi Condensed" w:cs="Barlow Semi Condensed" w:eastAsia="Barlow Semi Condensed" w:hAnsi="Barlow Semi Condensed"/>
          <w:sz w:val="24"/>
          <w:szCs w:val="24"/>
        </w:rPr>
        <w:t xml:space="preserve">, con ventidue imputati fra cui </w:t>
      </w:r>
      <w:r>
        <w:rPr>
          <w:rFonts w:ascii="Barlow Semi Condensed" w:cs="Barlow Semi Condensed" w:eastAsia="Barlow Semi Condensed" w:hAnsi="Barlow Semi Condensed"/>
          <w:b/>
          <w:bCs/>
          <w:sz w:val="24"/>
          <w:szCs w:val="24"/>
        </w:rPr>
        <w:t xml:space="preserve">Antonio Gramsci, Umberto Terracini, Mauro Scoccimarro e Giovanni Roveda</w:t>
      </w:r>
      <w:r>
        <w:rPr>
          <w:rFonts w:ascii="Barlow Semi Condensed" w:cs="Barlow Semi Condensed" w:eastAsia="Barlow Semi Condensed" w:hAnsi="Barlow Semi Condensed"/>
          <w:sz w:val="24"/>
          <w:szCs w:val="24"/>
        </w:rPr>
        <w:t xml:space="preserve">, e si chiuse il </w:t>
      </w:r>
      <w:r>
        <w:rPr>
          <w:rFonts w:ascii="Barlow Semi Condensed" w:cs="Barlow Semi Condensed" w:eastAsia="Barlow Semi Condensed" w:hAnsi="Barlow Semi Condensed"/>
          <w:b/>
          <w:bCs/>
          <w:sz w:val="24"/>
          <w:szCs w:val="24"/>
        </w:rPr>
        <w:t xml:space="preserve">4 giugno 1928</w:t>
      </w:r>
      <w:r>
        <w:rPr>
          <w:rFonts w:ascii="Barlow Semi Condensed" w:cs="Barlow Semi Condensed" w:eastAsia="Barlow Semi Condensed" w:hAnsi="Barlow Semi Condensed"/>
          <w:sz w:val="24"/>
          <w:szCs w:val="24"/>
        </w:rPr>
        <w:t xml:space="preserve"> (PCI Genova, «Il processone» (http://www.pci-genova.it/il-processone-contro-i-comunisti/); IGS Italia (https://www.igsitalia.org/attivita-igs/cronache-degli-eventi-gramsciani/140-il-processo-non-ha-fine)). Il pubblico ministero era </w:t>
      </w:r>
      <w:r>
        <w:rPr>
          <w:rFonts w:ascii="Barlow Semi Condensed" w:cs="Barlow Semi Condensed" w:eastAsia="Barlow Semi Condensed" w:hAnsi="Barlow Semi Condensed"/>
          <w:b/>
          <w:bCs/>
          <w:sz w:val="24"/>
          <w:szCs w:val="24"/>
        </w:rPr>
        <w:t xml:space="preserve">Michele Isgrò</w:t>
      </w:r>
      <w:r>
        <w:rPr>
          <w:rFonts w:ascii="Barlow Semi Condensed" w:cs="Barlow Semi Condensed" w:eastAsia="Barlow Semi Condensed" w:hAnsi="Barlow Semi Condensed"/>
          <w:sz w:val="24"/>
          <w:szCs w:val="24"/>
        </w:rPr>
        <w:t xml:space="preserve">; alla requisitoria è attribuita la frase rimasta celebre — «</w:t>
      </w:r>
      <w:r>
        <w:rPr>
          <w:rFonts w:ascii="Barlow Semi Condensed" w:cs="Barlow Semi Condensed" w:eastAsia="Barlow Semi Condensed" w:hAnsi="Barlow Semi Condensed"/>
          <w:b/>
          <w:bCs/>
          <w:sz w:val="24"/>
          <w:szCs w:val="24"/>
        </w:rPr>
        <w:t xml:space="preserve">per vent'anni dobbiamo impedire a questo cervello di funzionare</w:t>
      </w:r>
      <w:r>
        <w:rPr>
          <w:rFonts w:ascii="Barlow Semi Condensed" w:cs="Barlow Semi Condensed" w:eastAsia="Barlow Semi Condensed" w:hAnsi="Barlow Semi Condensed"/>
          <w:sz w:val="24"/>
          <w:szCs w:val="24"/>
        </w:rPr>
        <w:t xml:space="preserve">» — tramandata dalla memorialistica e dalle cronache (la si cita qui come tale: tradizione consolidata, non atto processuale). Gramsci fu condannato a </w:t>
      </w:r>
      <w:r>
        <w:rPr>
          <w:rFonts w:ascii="Barlow Semi Condensed" w:cs="Barlow Semi Condensed" w:eastAsia="Barlow Semi Condensed" w:hAnsi="Barlow Semi Condensed"/>
          <w:b/>
          <w:bCs/>
          <w:sz w:val="24"/>
          <w:szCs w:val="24"/>
        </w:rPr>
        <w:t xml:space="preserve">20 anni, 4 mesi e 5 giorni</w:t>
      </w:r>
      <w:r>
        <w:rPr>
          <w:rFonts w:ascii="Barlow Semi Condensed" w:cs="Barlow Semi Condensed" w:eastAsia="Barlow Semi Condensed" w:hAnsi="Barlow Semi Condensed"/>
          <w:sz w:val="24"/>
          <w:szCs w:val="24"/>
        </w:rPr>
        <w:t xml:space="preserve">; Terracini alla pena più alta del processo, oltre ventidue anni.</w:t>
      </w:r>
    </w:p>
    <w:p>
      <w:pPr>
        <w:spacing w:after="120" w:line="276"/>
        <w:jc w:val="both"/>
      </w:pPr>
      <w:r>
        <w:rPr>
          <w:rFonts w:ascii="Barlow Semi Condensed" w:cs="Barlow Semi Condensed" w:eastAsia="Barlow Semi Condensed" w:hAnsi="Barlow Semi Condensed"/>
          <w:sz w:val="24"/>
          <w:szCs w:val="24"/>
        </w:rPr>
        <w:t xml:space="preserve">La lista dei condannati del Tribunale è, riletta oggi, una parte della classe dirigente della Repubblica che sarebbe nata: vi figurano — oltre a Gramsci, che non sopravvisse — </w:t>
      </w:r>
      <w:r>
        <w:rPr>
          <w:rFonts w:ascii="Barlow Semi Condensed" w:cs="Barlow Semi Condensed" w:eastAsia="Barlow Semi Condensed" w:hAnsi="Barlow Semi Condensed"/>
          <w:b/>
          <w:bCs/>
          <w:sz w:val="24"/>
          <w:szCs w:val="24"/>
        </w:rPr>
        <w:t xml:space="preserve">Umberto Terracini</w:t>
      </w:r>
      <w:r>
        <w:rPr>
          <w:rFonts w:ascii="Barlow Semi Condensed" w:cs="Barlow Semi Condensed" w:eastAsia="Barlow Semi Condensed" w:hAnsi="Barlow Semi Condensed"/>
          <w:sz w:val="24"/>
          <w:szCs w:val="24"/>
        </w:rPr>
        <w:t xml:space="preserve">, che nel 1947-48 avrebbe </w:t>
      </w:r>
      <w:r>
        <w:rPr>
          <w:rFonts w:ascii="Barlow Semi Condensed" w:cs="Barlow Semi Condensed" w:eastAsia="Barlow Semi Condensed" w:hAnsi="Barlow Semi Condensed"/>
          <w:b/>
          <w:bCs/>
          <w:sz w:val="24"/>
          <w:szCs w:val="24"/>
        </w:rPr>
        <w:t xml:space="preserve">presieduto l'Assemblea Costituente</w:t>
      </w:r>
      <w:r>
        <w:rPr>
          <w:rFonts w:ascii="Barlow Semi Condensed" w:cs="Barlow Semi Condensed" w:eastAsia="Barlow Semi Condensed" w:hAnsi="Barlow Semi Condensed"/>
          <w:sz w:val="24"/>
          <w:szCs w:val="24"/>
        </w:rPr>
        <w:t xml:space="preserve">, e </w:t>
      </w:r>
      <w:r>
        <w:rPr>
          <w:rFonts w:ascii="Barlow Semi Condensed" w:cs="Barlow Semi Condensed" w:eastAsia="Barlow Semi Condensed" w:hAnsi="Barlow Semi Condensed"/>
          <w:b/>
          <w:bCs/>
          <w:sz w:val="24"/>
          <w:szCs w:val="24"/>
        </w:rPr>
        <w:t xml:space="preserve">Sandro Pertini</w:t>
      </w:r>
      <w:r>
        <w:rPr>
          <w:rFonts w:ascii="Barlow Semi Condensed" w:cs="Barlow Semi Condensed" w:eastAsia="Barlow Semi Condensed" w:hAnsi="Barlow Semi Condensed"/>
          <w:sz w:val="24"/>
          <w:szCs w:val="24"/>
        </w:rPr>
        <w:t xml:space="preserve">, condannato nel 1929, futuro </w:t>
      </w:r>
      <w:r>
        <w:rPr>
          <w:rFonts w:ascii="Barlow Semi Condensed" w:cs="Barlow Semi Condensed" w:eastAsia="Barlow Semi Condensed" w:hAnsi="Barlow Semi Condensed"/>
          <w:b/>
          <w:bCs/>
          <w:sz w:val="24"/>
          <w:szCs w:val="24"/>
        </w:rPr>
        <w:t xml:space="preserve">Presidente della Repubblica</w:t>
      </w:r>
      <w:r>
        <w:rPr>
          <w:rFonts w:ascii="Barlow Semi Condensed" w:cs="Barlow Semi Condensed" w:eastAsia="Barlow Semi Condensed" w:hAnsi="Barlow Semi Condensed"/>
          <w:sz w:val="24"/>
          <w:szCs w:val="24"/>
        </w:rPr>
        <w:t xml:space="preserve">. Il rovesciamento non è retorica: è un dato prosopografico. Gli imputati di ieri scrissero le regole che vietano il giudice di ieri.</w:t>
      </w:r>
    </w:p>
    <w:p>
      <w:pPr>
        <w:pStyle w:val="Heading2"/>
        <w:spacing w:after="100" w:before="200"/>
      </w:pPr>
      <w:r>
        <w:rPr>
          <w:rFonts w:ascii="Barlow Semi Condensed" w:cs="Barlow Semi Condensed" w:eastAsia="Barlow Semi Condensed" w:hAnsi="Barlow Semi Condensed"/>
          <w:sz w:val="24"/>
          <w:szCs w:val="24"/>
        </w:rPr>
        <w:t xml:space="preserve">V. Le amnistie: la clemenza come strumento del medesimo apparato</w:t>
      </w:r>
    </w:p>
    <w:p>
      <w:pPr>
        <w:spacing w:after="120" w:line="276"/>
        <w:jc w:val="both"/>
      </w:pPr>
      <w:r>
        <w:rPr>
          <w:rFonts w:ascii="Barlow Semi Condensed" w:cs="Barlow Semi Condensed" w:eastAsia="Barlow Semi Condensed" w:hAnsi="Barlow Semi Condensed"/>
          <w:sz w:val="24"/>
          <w:szCs w:val="24"/>
        </w:rPr>
        <w:t xml:space="preserve">Qui lo studio si salda al primo documento del branch. Durante il regime furono concesse </w:t>
      </w:r>
      <w:r>
        <w:rPr>
          <w:rFonts w:ascii="Barlow Semi Condensed" w:cs="Barlow Semi Condensed" w:eastAsia="Barlow Semi Condensed" w:hAnsi="Barlow Semi Condensed"/>
          <w:b/>
          <w:bCs/>
          <w:sz w:val="24"/>
          <w:szCs w:val="24"/>
        </w:rPr>
        <w:t xml:space="preserve">sette amnistie</w:t>
      </w:r>
      <w:r>
        <w:rPr>
          <w:rFonts w:ascii="Barlow Semi Condensed" w:cs="Barlow Semi Condensed" w:eastAsia="Barlow Semi Condensed" w:hAnsi="Barlow Semi Condensed"/>
          <w:sz w:val="24"/>
          <w:szCs w:val="24"/>
        </w:rPr>
        <w:t xml:space="preserve">; per i condannati del Tribunale Speciale contarono soprattutto due:</w:t>
      </w:r>
    </w:p>
    <w:p>
      <w:pPr>
        <w:pStyle w:val="ListParagraph"/>
        <w:numPr>
          <w:ilvl w:val="0"/>
          <w:numId w:val="1"/>
        </w:numPr>
        <w:spacing w:after="40"/>
        <w:jc w:val="both"/>
      </w:pPr>
      <w:r>
        <w:rPr>
          <w:rFonts w:ascii="Barlow Semi Condensed" w:cs="Barlow Semi Condensed" w:eastAsia="Barlow Semi Condensed" w:hAnsi="Barlow Semi Condensed"/>
          <w:sz w:val="24"/>
          <w:szCs w:val="24"/>
        </w:rPr>
        <w:t xml:space="preserve">l'</w:t>
      </w:r>
      <w:r>
        <w:rPr>
          <w:rFonts w:ascii="Barlow Semi Condensed" w:cs="Barlow Semi Condensed" w:eastAsia="Barlow Semi Condensed" w:hAnsi="Barlow Semi Condensed"/>
          <w:b/>
          <w:bCs/>
          <w:sz w:val="24"/>
          <w:szCs w:val="24"/>
        </w:rPr>
        <w:t xml:space="preserve">amnistia del decennale</w:t>
      </w:r>
      <w:r>
        <w:rPr>
          <w:rFonts w:ascii="Barlow Semi Condensed" w:cs="Barlow Semi Condensed" w:eastAsia="Barlow Semi Condensed" w:hAnsi="Barlow Semi Condensed"/>
          <w:sz w:val="24"/>
          <w:szCs w:val="24"/>
        </w:rPr>
        <w:t xml:space="preserve"> (novembre 1932), che liberò </w:t>
      </w:r>
      <w:r>
        <w:rPr>
          <w:rFonts w:ascii="Barlow Semi Condensed" w:cs="Barlow Semi Condensed" w:eastAsia="Barlow Semi Condensed" w:hAnsi="Barlow Semi Condensed"/>
          <w:b/>
          <w:bCs/>
          <w:sz w:val="24"/>
          <w:szCs w:val="24"/>
        </w:rPr>
        <w:t xml:space="preserve">639 dei 1.056 detenuti</w:t>
      </w:r>
      <w:r>
        <w:rPr>
          <w:rFonts w:ascii="Barlow Semi Condensed" w:cs="Barlow Semi Condensed" w:eastAsia="Barlow Semi Condensed" w:hAnsi="Barlow Semi Condensed"/>
          <w:sz w:val="24"/>
          <w:szCs w:val="24"/>
        </w:rPr>
        <w:t xml:space="preserve"> allora in carcere per condanne del Tribunale, più </w:t>
      </w:r>
      <w:r>
        <w:rPr>
          <w:rFonts w:ascii="Barlow Semi Condensed" w:cs="Barlow Semi Condensed" w:eastAsia="Barlow Semi Condensed" w:hAnsi="Barlow Semi Condensed"/>
          <w:b/>
          <w:bCs/>
          <w:sz w:val="24"/>
          <w:szCs w:val="24"/>
        </w:rPr>
        <w:t xml:space="preserve">595 confinati</w:t>
      </w:r>
      <w:r>
        <w:rPr>
          <w:rFonts w:ascii="Barlow Semi Condensed" w:cs="Barlow Semi Condensed" w:eastAsia="Barlow Semi Condensed" w:hAnsi="Barlow Semi Condensed"/>
          <w:sz w:val="24"/>
          <w:szCs w:val="24"/>
        </w:rPr>
        <w:t xml:space="preserve"> — è l'amnistia da cui proviene la quasi totalità dei nomi dell'elenco bolognese del branch;</w:t>
      </w:r>
    </w:p>
    <w:p>
      <w:pPr>
        <w:pStyle w:val="ListParagraph"/>
        <w:numPr>
          <w:ilvl w:val="0"/>
          <w:numId w:val="1"/>
        </w:numPr>
        <w:spacing w:after="40"/>
        <w:jc w:val="both"/>
      </w:pPr>
      <w:r>
        <w:rPr>
          <w:rFonts w:ascii="Barlow Semi Condensed" w:cs="Barlow Semi Condensed" w:eastAsia="Barlow Semi Condensed" w:hAnsi="Barlow Semi Condensed"/>
          <w:sz w:val="24"/>
          <w:szCs w:val="24"/>
        </w:rPr>
        <w:t xml:space="preserve">l'</w:t>
      </w:r>
      <w:r>
        <w:rPr>
          <w:rFonts w:ascii="Barlow Semi Condensed" w:cs="Barlow Semi Condensed" w:eastAsia="Barlow Semi Condensed" w:hAnsi="Barlow Semi Condensed"/>
          <w:b/>
          <w:bCs/>
          <w:sz w:val="24"/>
          <w:szCs w:val="24"/>
        </w:rPr>
        <w:t xml:space="preserve">amnistia del ventennale</w:t>
      </w:r>
      <w:r>
        <w:rPr>
          <w:rFonts w:ascii="Barlow Semi Condensed" w:cs="Barlow Semi Condensed" w:eastAsia="Barlow Semi Condensed" w:hAnsi="Barlow Semi Condensed"/>
          <w:sz w:val="24"/>
          <w:szCs w:val="24"/>
        </w:rPr>
        <w:t xml:space="preserve"> (17 ottobre 1942), di portata molto limitata.</w:t>
      </w:r>
    </w:p>
    <w:p>
      <w:pPr>
        <w:spacing w:after="120" w:line="276"/>
        <w:jc w:val="both"/>
      </w:pPr>
      <w:r>
        <w:rPr>
          <w:rFonts w:ascii="Barlow Semi Condensed" w:cs="Barlow Semi Condensed" w:eastAsia="Barlow Semi Condensed" w:hAnsi="Barlow Semi Condensed"/>
          <w:sz w:val="24"/>
          <w:szCs w:val="24"/>
        </w:rPr>
        <w:t xml:space="preserve">Il punto interpretativo, documentato dalle stesse schede individuali dell'archivio bolognese, è che </w:t>
      </w:r>
      <w:r>
        <w:rPr>
          <w:rFonts w:ascii="Barlow Semi Condensed" w:cs="Barlow Semi Condensed" w:eastAsia="Barlow Semi Condensed" w:hAnsi="Barlow Semi Condensed"/>
          <w:b/>
          <w:bCs/>
          <w:sz w:val="24"/>
          <w:szCs w:val="24"/>
        </w:rPr>
        <w:t xml:space="preserve">la clemenza non smontava l'apparato: lo completava</w:t>
      </w:r>
      <w:r>
        <w:rPr>
          <w:rFonts w:ascii="Barlow Semi Condensed" w:cs="Barlow Semi Condensed" w:eastAsia="Barlow Semi Condensed" w:hAnsi="Barlow Semi Condensed"/>
          <w:sz w:val="24"/>
          <w:szCs w:val="24"/>
        </w:rPr>
        <w:t xml:space="preserve">. Gli amnistiati uscivano dal carcere ed entravano quasi sempre in un regime di </w:t>
      </w:r>
      <w:r>
        <w:rPr>
          <w:rFonts w:ascii="Barlow Semi Condensed" w:cs="Barlow Semi Condensed" w:eastAsia="Barlow Semi Condensed" w:hAnsi="Barlow Semi Condensed"/>
          <w:b/>
          <w:bCs/>
          <w:sz w:val="24"/>
          <w:szCs w:val="24"/>
        </w:rPr>
        <w:t xml:space="preserve">confino, ammonizione o vigilanza speciale</w:t>
      </w:r>
      <w:r>
        <w:rPr>
          <w:rFonts w:ascii="Barlow Semi Condensed" w:cs="Barlow Semi Condensed" w:eastAsia="Barlow Semi Condensed" w:hAnsi="Barlow Semi Condensed"/>
          <w:sz w:val="24"/>
          <w:szCs w:val="24"/>
        </w:rPr>
        <w:t xml:space="preserve"> (si vedano, nell'elenco, i casi Alberoni, Benfenati, Fabbri Andrea, Serantoni); molti furono ricondannati dallo stesso Tribunale pochi anni dopo (Benfenati, 1938). L'amnistia del decennale fu un atto di propaganda del regime nel suo anniversario — la dittatura che si mostra magnanima verso nemici già piegati — non una restituzione di diritti: il sorvegliato speciale è un condannato con la pena trasformata. Il primo documento del branch e questo studio descrivono così </w:t>
      </w:r>
      <w:r>
        <w:rPr>
          <w:rFonts w:ascii="Barlow Semi Condensed" w:cs="Barlow Semi Condensed" w:eastAsia="Barlow Semi Condensed" w:hAnsi="Barlow Semi Condensed"/>
          <w:b/>
          <w:bCs/>
          <w:sz w:val="24"/>
          <w:szCs w:val="24"/>
        </w:rPr>
        <w:t xml:space="preserve">le due facce dello stesso congegno</w:t>
      </w:r>
      <w:r>
        <w:rPr>
          <w:rFonts w:ascii="Barlow Semi Condensed" w:cs="Barlow Semi Condensed" w:eastAsia="Barlow Semi Condensed" w:hAnsi="Barlow Semi Condensed"/>
          <w:sz w:val="24"/>
          <w:szCs w:val="24"/>
        </w:rPr>
        <w:t xml:space="preserve">: il colpo e la grazia, entrambi nelle stesse mani.</w:t>
      </w:r>
    </w:p>
    <w:p>
      <w:pPr>
        <w:pStyle w:val="Heading2"/>
        <w:spacing w:after="100" w:before="200"/>
      </w:pPr>
      <w:r>
        <w:rPr>
          <w:rFonts w:ascii="Barlow Semi Condensed" w:cs="Barlow Semi Condensed" w:eastAsia="Barlow Semi Condensed" w:hAnsi="Barlow Semi Condensed"/>
          <w:sz w:val="24"/>
          <w:szCs w:val="24"/>
        </w:rPr>
        <w:t xml:space="preserve">VI. La fine e le due eredità (1943-1948)</w:t>
      </w:r>
    </w:p>
    <w:p>
      <w:pPr>
        <w:spacing w:after="120" w:line="276"/>
        <w:jc w:val="both"/>
      </w:pPr>
      <w:r>
        <w:rPr>
          <w:rFonts w:ascii="Barlow Semi Condensed" w:cs="Barlow Semi Condensed" w:eastAsia="Barlow Semi Condensed" w:hAnsi="Barlow Semi Condensed"/>
          <w:sz w:val="24"/>
          <w:szCs w:val="24"/>
        </w:rPr>
        <w:t xml:space="preserve">Il Tribunale Speciale fu </w:t>
      </w:r>
      <w:r>
        <w:rPr>
          <w:rFonts w:ascii="Barlow Semi Condensed" w:cs="Barlow Semi Condensed" w:eastAsia="Barlow Semi Condensed" w:hAnsi="Barlow Semi Condensed"/>
          <w:b/>
          <w:bCs/>
          <w:sz w:val="24"/>
          <w:szCs w:val="24"/>
        </w:rPr>
        <w:t xml:space="preserve">soppresso con il regio decreto-legge 29 luglio 1943, n. 668</w:t>
      </w:r>
      <w:r>
        <w:rPr>
          <w:rFonts w:ascii="Barlow Semi Condensed" w:cs="Barlow Semi Condensed" w:eastAsia="Barlow Semi Condensed" w:hAnsi="Barlow Semi Condensed"/>
          <w:sz w:val="24"/>
          <w:szCs w:val="24"/>
        </w:rPr>
        <w:t xml:space="preserve">, uno dei primi atti del governo Badoglio dopo la caduta del fascismo del 25 luglio (vLex, R.D.L. 668/1943 (https://it.vlex.com/vid/regio-decreto-legge-29-862142053)). Alla data della soppressione aveva comminato — la formula è quella degli atti — ventisettemilasettecentocinquantadue anni di reclusione e quarantadue pene di morte.</w:t>
      </w:r>
    </w:p>
    <w:p>
      <w:pPr>
        <w:spacing w:after="120" w:line="276"/>
        <w:jc w:val="both"/>
      </w:pPr>
      <w:r>
        <w:rPr>
          <w:rFonts w:ascii="Barlow Semi Condensed" w:cs="Barlow Semi Condensed" w:eastAsia="Barlow Semi Condensed" w:hAnsi="Barlow Semi Condensed"/>
          <w:sz w:val="24"/>
          <w:szCs w:val="24"/>
        </w:rPr>
        <w:t xml:space="preserve">Ma la storia dell'istituto ebbe </w:t>
      </w:r>
      <w:r>
        <w:rPr>
          <w:rFonts w:ascii="Barlow Semi Condensed" w:cs="Barlow Semi Condensed" w:eastAsia="Barlow Semi Condensed" w:hAnsi="Barlow Semi Condensed"/>
          <w:b/>
          <w:bCs/>
          <w:sz w:val="24"/>
          <w:szCs w:val="24"/>
        </w:rPr>
        <w:t xml:space="preserve">due eredità di segno opposto</w:t>
      </w:r>
      <w:r>
        <w:rPr>
          <w:rFonts w:ascii="Barlow Semi Condensed" w:cs="Barlow Semi Condensed" w:eastAsia="Barlow Semi Condensed" w:hAnsi="Barlow Semi Condensed"/>
          <w:sz w:val="24"/>
          <w:szCs w:val="24"/>
        </w:rPr>
        <w:t xml:space="preserve">:</w:t>
      </w:r>
    </w:p>
    <w:p>
      <w:pPr>
        <w:spacing w:after="40"/>
        <w:ind w:left="360"/>
        <w:jc w:val="both"/>
      </w:pPr>
      <w:r>
        <w:rPr>
          <w:rFonts w:ascii="Barlow Semi Condensed" w:cs="Barlow Semi Condensed" w:eastAsia="Barlow Semi Condensed" w:hAnsi="Barlow Semi Condensed"/>
          <w:sz w:val="24"/>
          <w:szCs w:val="24"/>
        </w:rPr>
        <w:t xml:space="preserve">1. </w:t>
      </w:r>
      <w:r>
        <w:rPr>
          <w:rFonts w:ascii="Barlow Semi Condensed" w:cs="Barlow Semi Condensed" w:eastAsia="Barlow Semi Condensed" w:hAnsi="Barlow Semi Condensed"/>
          <w:b/>
          <w:bCs/>
          <w:sz w:val="24"/>
          <w:szCs w:val="24"/>
        </w:rPr>
        <w:t xml:space="preserve">La replica.</w:t>
      </w:r>
      <w:r>
        <w:rPr>
          <w:rFonts w:ascii="Barlow Semi Condensed" w:cs="Barlow Semi Condensed" w:eastAsia="Barlow Semi Condensed" w:hAnsi="Barlow Semi Condensed"/>
          <w:sz w:val="24"/>
          <w:szCs w:val="24"/>
        </w:rPr>
        <w:t xml:space="preserve"> La Repubblica Sociale Italiana ricreò nel proprio territorio un apparato di giustizia politica speciale — il Tribunale speciale per la difesa dello Stato della RSI e il Tribunale speciale straordinario che a </w:t>
      </w:r>
      <w:r>
        <w:rPr>
          <w:rFonts w:ascii="Barlow Semi Condensed" w:cs="Barlow Semi Condensed" w:eastAsia="Barlow Semi Condensed" w:hAnsi="Barlow Semi Condensed"/>
          <w:b/>
          <w:bCs/>
          <w:sz w:val="24"/>
          <w:szCs w:val="24"/>
        </w:rPr>
        <w:t xml:space="preserve">Verona, nel gennaio 1944</w:t>
      </w:r>
      <w:r>
        <w:rPr>
          <w:rFonts w:ascii="Barlow Semi Condensed" w:cs="Barlow Semi Condensed" w:eastAsia="Barlow Semi Condensed" w:hAnsi="Barlow Semi Condensed"/>
          <w:sz w:val="24"/>
          <w:szCs w:val="24"/>
        </w:rPr>
        <w:t xml:space="preserve">, condannò a morte i «traditori» del Gran Consiglio (fucilazione di Ciano, De Bono e altri). Lo strumento, cioè, sopravvisse alla propria soppressione ovunque sopravvisse il potere che l'aveva creato (cfr. A. Grilli, </w:t>
      </w:r>
      <w:r>
        <w:rPr>
          <w:rFonts w:ascii="Barlow Semi Condensed" w:cs="Barlow Semi Condensed" w:eastAsia="Barlow Semi Condensed" w:hAnsi="Barlow Semi Condensed"/>
          <w:i/>
          <w:iCs/>
          <w:sz w:val="24"/>
          <w:szCs w:val="24"/>
        </w:rPr>
        <w:t xml:space="preserve">Resistenza e repressione. Il Tribunale speciale per la difesa dello Stato nella RSI</w:t>
      </w:r>
      <w:r>
        <w:rPr>
          <w:rFonts w:ascii="Barlow Semi Condensed" w:cs="Barlow Semi Condensed" w:eastAsia="Barlow Semi Condensed" w:hAnsi="Barlow Semi Condensed"/>
          <w:sz w:val="24"/>
          <w:szCs w:val="24"/>
        </w:rPr>
        <w:t xml:space="preserve">, Letture.org (https://www.letture.org/resistenza-e-repressione-il-tribunale-speciale-per-la-difesa-dello-stato-nella-rsi-antonio-grilli)).</w:t>
      </w:r>
    </w:p>
    <w:p>
      <w:pPr>
        <w:spacing w:after="40"/>
        <w:ind w:left="360"/>
        <w:jc w:val="both"/>
      </w:pPr>
      <w:r>
        <w:rPr>
          <w:rFonts w:ascii="Barlow Semi Condensed" w:cs="Barlow Semi Condensed" w:eastAsia="Barlow Semi Condensed" w:hAnsi="Barlow Semi Condensed"/>
          <w:sz w:val="24"/>
          <w:szCs w:val="24"/>
        </w:rPr>
        <w:t xml:space="preserve">2. </w:t>
      </w:r>
      <w:r>
        <w:rPr>
          <w:rFonts w:ascii="Barlow Semi Condensed" w:cs="Barlow Semi Condensed" w:eastAsia="Barlow Semi Condensed" w:hAnsi="Barlow Semi Condensed"/>
          <w:b/>
          <w:bCs/>
          <w:sz w:val="24"/>
          <w:szCs w:val="24"/>
        </w:rPr>
        <w:t xml:space="preserve">Il divieto.</w:t>
      </w:r>
      <w:r>
        <w:rPr>
          <w:rFonts w:ascii="Barlow Semi Condensed" w:cs="Barlow Semi Condensed" w:eastAsia="Barlow Semi Condensed" w:hAnsi="Barlow Semi Condensed"/>
          <w:sz w:val="24"/>
          <w:szCs w:val="24"/>
        </w:rPr>
        <w:t xml:space="preserve"> L'Assemblea Costituente — presieduta da Terracini, condannato del «processone»; fra i suoi membri il giovane </w:t>
      </w:r>
      <w:r>
        <w:rPr>
          <w:rFonts w:ascii="Barlow Semi Condensed" w:cs="Barlow Semi Condensed" w:eastAsia="Barlow Semi Condensed" w:hAnsi="Barlow Semi Condensed"/>
          <w:b/>
          <w:bCs/>
          <w:sz w:val="24"/>
          <w:szCs w:val="24"/>
        </w:rPr>
        <w:t xml:space="preserve">Aldo Moro</w:t>
      </w:r>
      <w:r>
        <w:rPr>
          <w:rFonts w:ascii="Barlow Semi Condensed" w:cs="Barlow Semi Condensed" w:eastAsia="Barlow Semi Condensed" w:hAnsi="Barlow Semi Condensed"/>
          <w:sz w:val="24"/>
          <w:szCs w:val="24"/>
        </w:rPr>
        <w:t xml:space="preserve">, costituente nel 1946 — scolpì il rifiuto dell'esperienza nell'</w:t>
      </w:r>
      <w:r>
        <w:rPr>
          <w:rFonts w:ascii="Barlow Semi Condensed" w:cs="Barlow Semi Condensed" w:eastAsia="Barlow Semi Condensed" w:hAnsi="Barlow Semi Condensed"/>
          <w:b/>
          <w:bCs/>
          <w:sz w:val="24"/>
          <w:szCs w:val="24"/>
        </w:rPr>
        <w:t xml:space="preserve">articolo 102, secondo comma, della Costituzione</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Non possono essere istituiti giudici straordinari o giudici speciali</w:t>
      </w:r>
      <w:r>
        <w:rPr>
          <w:rFonts w:ascii="Barlow Semi Condensed" w:cs="Barlow Semi Condensed" w:eastAsia="Barlow Semi Condensed" w:hAnsi="Barlow Semi Condensed"/>
          <w:sz w:val="24"/>
          <w:szCs w:val="24"/>
        </w:rPr>
        <w:t xml:space="preserve">» (Magistratura Democratica (https://www.magistraturademocratica.it/articolo/25-aprile-costituzione-giurisdizione-20874/)). Con l'articolo 27 la Costituzione bandì anche la pena di morte dall'ordinamento ordinario. Il Tribunale Speciale è, in negativo, dentro la Costituzione: le sue vittime ne furono in parte gli autori, e ciò che esso era stato — giudice di parte, rito di guerra, pena capitale politica — divenne l'elenco di ciò che la Repubblica si vietò per sempre.</w:t>
      </w:r>
    </w:p>
    <w:p>
      <w:pPr>
        <w:pStyle w:val="Heading2"/>
        <w:spacing w:after="100" w:before="200"/>
      </w:pPr>
      <w:r>
        <w:rPr>
          <w:rFonts w:ascii="Barlow Semi Condensed" w:cs="Barlow Semi Condensed" w:eastAsia="Barlow Semi Condensed" w:hAnsi="Barlow Semi Condensed"/>
          <w:sz w:val="24"/>
          <w:szCs w:val="24"/>
        </w:rPr>
        <w:t xml:space="preserve">VII. Il cerchio del branch, e i suoi limiti</w:t>
      </w:r>
    </w:p>
    <w:p>
      <w:pPr>
        <w:spacing w:after="120" w:line="276"/>
        <w:jc w:val="both"/>
      </w:pPr>
      <w:r>
        <w:rPr>
          <w:rFonts w:ascii="Barlow Semi Condensed" w:cs="Barlow Semi Condensed" w:eastAsia="Barlow Semi Condensed" w:hAnsi="Barlow Semi Condensed"/>
          <w:sz w:val="24"/>
          <w:szCs w:val="24"/>
        </w:rPr>
        <w:t xml:space="preserve">Con questo studio il branch chiude il proprio cerchio tematico: era partito dai </w:t>
      </w:r>
      <w:r>
        <w:rPr>
          <w:rFonts w:ascii="Barlow Semi Condensed" w:cs="Barlow Semi Condensed" w:eastAsia="Barlow Semi Condensed" w:hAnsi="Barlow Semi Condensed"/>
          <w:b/>
          <w:bCs/>
          <w:sz w:val="24"/>
          <w:szCs w:val="24"/>
        </w:rPr>
        <w:t xml:space="preserve">nomi</w:t>
      </w:r>
      <w:r>
        <w:rPr>
          <w:rFonts w:ascii="Barlow Semi Condensed" w:cs="Barlow Semi Condensed" w:eastAsia="Barlow Semi Condensed" w:hAnsi="Barlow Semi Condensed"/>
          <w:sz w:val="24"/>
          <w:szCs w:val="24"/>
        </w:rPr>
        <w:t xml:space="preserve"> (gli amnistiati bolognesi) ed arriva all'</w:t>
      </w:r>
      <w:r>
        <w:rPr>
          <w:rFonts w:ascii="Barlow Semi Condensed" w:cs="Barlow Semi Condensed" w:eastAsia="Barlow Semi Condensed" w:hAnsi="Barlow Semi Condensed"/>
          <w:b/>
          <w:bCs/>
          <w:sz w:val="24"/>
          <w:szCs w:val="24"/>
        </w:rPr>
        <w:t xml:space="preserve">istituzione</w:t>
      </w:r>
      <w:r>
        <w:rPr>
          <w:rFonts w:ascii="Barlow Semi Condensed" w:cs="Barlow Semi Condensed" w:eastAsia="Barlow Semi Condensed" w:hAnsi="Barlow Semi Condensed"/>
          <w:sz w:val="24"/>
          <w:szCs w:val="24"/>
        </w:rPr>
        <w:t xml:space="preserve">; in mezzo stanno i fili guevariani e morotei. I ponti interni vanno però dichiarati con la consueta disciplina:</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Ponte documentato</w:t>
      </w:r>
      <w:r>
        <w:rPr>
          <w:rFonts w:ascii="Barlow Semi Condensed" w:cs="Barlow Semi Condensed" w:eastAsia="Barlow Semi Condensed" w:hAnsi="Barlow Semi Condensed"/>
          <w:sz w:val="24"/>
          <w:szCs w:val="24"/>
        </w:rPr>
        <w:t xml:space="preserve"> con </w:t>
      </w:r>
      <w:r>
        <w:rPr>
          <w:rFonts w:ascii="Barlow Semi Condensed" w:cs="Barlow Semi Condensed" w:eastAsia="Barlow Semi Condensed" w:hAnsi="Barlow Semi Condensed"/>
          <w:i/>
          <w:iCs/>
          <w:sz w:val="24"/>
          <w:szCs w:val="24"/>
        </w:rPr>
        <w:t xml:space="preserve">amnistiati-tribunale-speciale.md</w:t>
      </w:r>
      <w:r>
        <w:rPr>
          <w:rFonts w:ascii="Barlow Semi Condensed" w:cs="Barlow Semi Condensed" w:eastAsia="Barlow Semi Condensed" w:hAnsi="Barlow Semi Condensed"/>
          <w:sz w:val="24"/>
          <w:szCs w:val="24"/>
        </w:rPr>
        <w:t xml:space="preserve">: le cifre nazionali del decennale (639/1.056 + 595) e i casi individuali dell'elenco sono due scale della stessa vicenda; lo studio fornisce il quadro che le schede presupponevano.</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Ponte documentato</w:t>
      </w:r>
      <w:r>
        <w:rPr>
          <w:rFonts w:ascii="Barlow Semi Condensed" w:cs="Barlow Semi Condensed" w:eastAsia="Barlow Semi Condensed" w:hAnsi="Barlow Semi Condensed"/>
          <w:sz w:val="24"/>
          <w:szCs w:val="24"/>
        </w:rPr>
        <w:t xml:space="preserve"> con il caso Moro: Moro fu </w:t>
      </w:r>
      <w:r>
        <w:rPr>
          <w:rFonts w:ascii="Barlow Semi Condensed" w:cs="Barlow Semi Condensed" w:eastAsia="Barlow Semi Condensed" w:hAnsi="Barlow Semi Condensed"/>
          <w:b/>
          <w:bCs/>
          <w:sz w:val="24"/>
          <w:szCs w:val="24"/>
        </w:rPr>
        <w:t xml:space="preserve">costituente</w:t>
      </w:r>
      <w:r>
        <w:rPr>
          <w:rFonts w:ascii="Barlow Semi Condensed" w:cs="Barlow Semi Condensed" w:eastAsia="Barlow Semi Condensed" w:hAnsi="Barlow Semi Condensed"/>
          <w:sz w:val="24"/>
          <w:szCs w:val="24"/>
        </w:rPr>
        <w:t xml:space="preserve"> — appartenne all'assemblea che scrisse il divieto dell'art. 102 nato da questa esperienza. È un ponte biografico-istituzionale, non una tesi: l'uomo che le BR avrebbero «processato» in una «prigione del popolo» nel 1978 aveva contribuito a fondare l'ordinamento che vieta ogni giudice speciale. L'accostamento fra il Tribunale del regime e il «processo» brigatista a Moro è invece una </w:t>
      </w:r>
      <w:r>
        <w:rPr>
          <w:rFonts w:ascii="Barlow Semi Condensed" w:cs="Barlow Semi Condensed" w:eastAsia="Barlow Semi Condensed" w:hAnsi="Barlow Semi Condensed"/>
          <w:b/>
          <w:bCs/>
          <w:sz w:val="24"/>
          <w:szCs w:val="24"/>
        </w:rPr>
        <w:t xml:space="preserve">convergenza simbolica</w:t>
      </w:r>
      <w:r>
        <w:rPr>
          <w:rFonts w:ascii="Barlow Semi Condensed" w:cs="Barlow Semi Condensed" w:eastAsia="Barlow Semi Condensed" w:hAnsi="Barlow Semi Condensed"/>
          <w:sz w:val="24"/>
          <w:szCs w:val="24"/>
        </w:rPr>
        <w:t xml:space="preserve"> (il giudice di parte che si traveste da tribunale), non un nesso storico: lo si registra e lo si lascia lì.</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Convergenza tematica</w:t>
      </w:r>
      <w:r>
        <w:rPr>
          <w:rFonts w:ascii="Barlow Semi Condensed" w:cs="Barlow Semi Condensed" w:eastAsia="Barlow Semi Condensed" w:hAnsi="Barlow Semi Condensed"/>
          <w:sz w:val="24"/>
          <w:szCs w:val="24"/>
        </w:rPr>
        <w:t xml:space="preserve"> già dichiarata (triangolazione Feltrinelli, ponte B-6): l'asse fascismo/antifascismo attraversa il branch — il Tribunale colpì l'antifascismo; i GAP del 1970 ne ripresero </w:t>
      </w:r>
      <w:r>
        <w:rPr>
          <w:rFonts w:ascii="Barlow Semi Condensed" w:cs="Barlow Semi Condensed" w:eastAsia="Barlow Semi Condensed" w:hAnsi="Barlow Semi Condensed"/>
          <w:b/>
          <w:bCs/>
          <w:sz w:val="24"/>
          <w:szCs w:val="24"/>
        </w:rPr>
        <w:t xml:space="preserve">il nome</w:t>
      </w:r>
      <w:r>
        <w:rPr>
          <w:rFonts w:ascii="Barlow Semi Condensed" w:cs="Barlow Semi Condensed" w:eastAsia="Barlow Semi Condensed" w:hAnsi="Barlow Semi Condensed"/>
          <w:sz w:val="24"/>
          <w:szCs w:val="24"/>
        </w:rPr>
        <w:t xml:space="preserve"> dalla Resistenza senza alcuna continuità reale. Nessuna promozione a nesso.</w:t>
      </w:r>
    </w:p>
    <w:p>
      <w:pPr>
        <w:spacing w:after="120" w:line="276"/>
        <w:jc w:val="both"/>
      </w:pPr>
      <w:r>
        <w:rPr>
          <w:rFonts w:ascii="Barlow Semi Condensed" w:cs="Barlow Semi Condensed" w:eastAsia="Barlow Semi Condensed" w:hAnsi="Barlow Semi Condensed"/>
          <w:b/>
          <w:bCs/>
          <w:sz w:val="24"/>
          <w:szCs w:val="24"/>
        </w:rPr>
        <w:t xml:space="preserve">Divergenze da presidiare.</w:t>
      </w:r>
      <w:r>
        <w:rPr>
          <w:rFonts w:ascii="Barlow Semi Condensed" w:cs="Barlow Semi Condensed" w:eastAsia="Barlow Semi Condensed" w:hAnsi="Barlow Semi Condensed"/>
          <w:sz w:val="24"/>
          <w:szCs w:val="24"/>
        </w:rPr>
        <w:t xml:space="preserve"> Questo studio non autorizza equazioni: il Tribunale Speciale fu un organo di uno Stato dittatoriale contro i suoi oppositori; nessun istituto della Repubblica, per quanto criticabile, gli è assimilabile, e ogni uso polemico contemporaneo della comparazione esce dal terreno documentato di queste pagine.</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Fonti</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ANPPIA</w:t>
      </w:r>
      <w:r>
        <w:rPr>
          <w:rFonts w:ascii="Barlow Semi Condensed" w:cs="Barlow Semi Condensed" w:eastAsia="Barlow Semi Condensed" w:hAnsi="Barlow Semi Condensed"/>
          <w:sz w:val="24"/>
          <w:szCs w:val="24"/>
        </w:rPr>
        <w:t xml:space="preserve"> (Associazione Nazionale Perseguitati Politici Italiani Antifascisti), «Il Tribunale Speciale» (anppia.it (https://anppia.it/il-tribunale-speciale/)) e scheda Della Maggiora (link (https://anppia.it/antifascisti/della-maggiora-michele/)) — l'associazione erede del censimento Dal Pont, fonte delle cifre consolidate.</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ANPI</w:t>
      </w:r>
      <w:r>
        <w:rPr>
          <w:rFonts w:ascii="Barlow Semi Condensed" w:cs="Barlow Semi Condensed" w:eastAsia="Barlow Semi Condensed" w:hAnsi="Barlow Semi Condensed"/>
          <w:sz w:val="24"/>
          <w:szCs w:val="24"/>
        </w:rPr>
        <w:t xml:space="preserve">, «Il Tribunale speciale per la difesa dello Stato (1927-1943)» (promemoria.anpi.it (https://promemoria.anpi.it/2656-2/)) e scheda libro (anpi.it (https://www.anpi.it/libri/il-tribunale-speciale-la-difesa-dello-stato)).</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Archivio Centrale dello Stato</w:t>
      </w:r>
      <w:r>
        <w:rPr>
          <w:rFonts w:ascii="Barlow Semi Condensed" w:cs="Barlow Semi Condensed" w:eastAsia="Barlow Semi Condensed" w:hAnsi="Barlow Semi Condensed"/>
          <w:sz w:val="24"/>
          <w:szCs w:val="24"/>
        </w:rPr>
        <w:t xml:space="preserve">, fondo Tribunale Speciale (search.acs.beniculturali.it (https://search.acs.beniculturali.it/OpacACS/authority/IT-ACS-SP00001-00000424)).</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R.D.L. 29 luglio 1943, n. 668</w:t>
      </w:r>
      <w:r>
        <w:rPr>
          <w:rFonts w:ascii="Barlow Semi Condensed" w:cs="Barlow Semi Condensed" w:eastAsia="Barlow Semi Condensed" w:hAnsi="Barlow Semi Condensed"/>
          <w:sz w:val="24"/>
          <w:szCs w:val="24"/>
        </w:rPr>
        <w:t xml:space="preserve"> (soppressione) — vLex Italia (https://it.vlex.com/vid/regio-decreto-legge-29-862142053).</w:t>
      </w:r>
    </w:p>
    <w:p>
      <w:pPr>
        <w:pStyle w:val="ListParagraph"/>
        <w:numPr>
          <w:ilvl w:val="0"/>
          <w:numId w:val="1"/>
        </w:numPr>
        <w:spacing w:after="40"/>
        <w:jc w:val="both"/>
      </w:pPr>
      <w:r>
        <w:rPr>
          <w:rFonts w:ascii="Barlow Semi Condensed" w:cs="Barlow Semi Condensed" w:eastAsia="Barlow Semi Condensed" w:hAnsi="Barlow Semi Condensed"/>
          <w:sz w:val="24"/>
          <w:szCs w:val="24"/>
        </w:rPr>
        <w:t xml:space="preserve">Voci enciclopediche per i fatti non controversi: Tribunale speciale (1926-1943) (https://it.wikipedia.org/wiki/Tribunale_speciale_per_la_difesa_dello_Stato_(1926-1943)); Condannati a morte dal Tribunale speciale (https://it.wikipedia.org/wiki/Condannati_a_morte_dal_Tribunale_speciale_per_la_difesa_dello_Stato); Michele Della Maggiora (https://it.wikipedia.org/wiki/Michele_Della_Maggiora).</w:t>
      </w:r>
    </w:p>
    <w:p>
      <w:pPr>
        <w:pStyle w:val="ListParagraph"/>
        <w:numPr>
          <w:ilvl w:val="0"/>
          <w:numId w:val="1"/>
        </w:numPr>
        <w:spacing w:after="40"/>
        <w:jc w:val="both"/>
      </w:pPr>
      <w:r>
        <w:rPr>
          <w:rFonts w:ascii="Barlow Semi Condensed" w:cs="Barlow Semi Condensed" w:eastAsia="Barlow Semi Condensed" w:hAnsi="Barlow Semi Condensed"/>
          <w:sz w:val="24"/>
          <w:szCs w:val="24"/>
        </w:rPr>
        <w:t xml:space="preserve">Sul «processone»: PCI Genova (http://www.pci-genova.it/il-processone-contro-i-comunisti/); IGS Italia (https://www.igsitalia.org/attivita-igs/cronache-degli-eventi-gramsciani/140-il-processo-non-ha-fine). La frase di Isgrò è citata come tradizione memorialistica, non come atto processuale.</w:t>
      </w:r>
    </w:p>
    <w:p>
      <w:pPr>
        <w:pStyle w:val="ListParagraph"/>
        <w:numPr>
          <w:ilvl w:val="0"/>
          <w:numId w:val="1"/>
        </w:numPr>
        <w:spacing w:after="40"/>
        <w:jc w:val="both"/>
      </w:pPr>
      <w:r>
        <w:rPr>
          <w:rFonts w:ascii="Barlow Semi Condensed" w:cs="Barlow Semi Condensed" w:eastAsia="Barlow Semi Condensed" w:hAnsi="Barlow Semi Condensed"/>
          <w:sz w:val="24"/>
          <w:szCs w:val="24"/>
        </w:rPr>
        <w:t xml:space="preserve">Su Basovizza: Grosseto Contemporanea (http://www.grossetocontemporanea.it/fucilati-di-basovizza/); diecifebbraio.info (https://www.diecifebbraio.info/2012/09/martiri-di-basovizza-6-settembre-1930/).</w:t>
      </w:r>
    </w:p>
    <w:p>
      <w:pPr>
        <w:pStyle w:val="ListParagraph"/>
        <w:numPr>
          <w:ilvl w:val="0"/>
          <w:numId w:val="1"/>
        </w:numPr>
        <w:spacing w:after="40"/>
        <w:jc w:val="both"/>
      </w:pPr>
      <w:r>
        <w:rPr>
          <w:rFonts w:ascii="Barlow Semi Condensed" w:cs="Barlow Semi Condensed" w:eastAsia="Barlow Semi Condensed" w:hAnsi="Barlow Semi Condensed"/>
          <w:sz w:val="24"/>
          <w:szCs w:val="24"/>
        </w:rPr>
        <w:t xml:space="preserve">Sull'eredità costituzionale: Magistratura Democratica (https://www.magistraturademocratica.it/articolo/25-aprile-costituzione-giurisdizione-20874/). Sulla RSI: A. Grilli, </w:t>
      </w:r>
      <w:r>
        <w:rPr>
          <w:rFonts w:ascii="Barlow Semi Condensed" w:cs="Barlow Semi Condensed" w:eastAsia="Barlow Semi Condensed" w:hAnsi="Barlow Semi Condensed"/>
          <w:i/>
          <w:iCs/>
          <w:sz w:val="24"/>
          <w:szCs w:val="24"/>
        </w:rPr>
        <w:t xml:space="preserve">Resistenza e repressione</w:t>
      </w:r>
      <w:r>
        <w:rPr>
          <w:rFonts w:ascii="Barlow Semi Condensed" w:cs="Barlow Semi Condensed" w:eastAsia="Barlow Semi Condensed" w:hAnsi="Barlow Semi Condensed"/>
          <w:sz w:val="24"/>
          <w:szCs w:val="24"/>
        </w:rPr>
        <w:t xml:space="preserve"> (Letture.org (https://www.letture.org/resistenza-e-repressione-il-tribunale-speciale-per-la-difesa-dello-stato-nella-rsi-antonio-grilli)).</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Archivio Storia e Memoria di Bologna</w:t>
      </w:r>
      <w:r>
        <w:rPr>
          <w:rFonts w:ascii="Barlow Semi Condensed" w:cs="Barlow Semi Condensed" w:eastAsia="Barlow Semi Condensed" w:hAnsi="Barlow Semi Condensed"/>
          <w:sz w:val="24"/>
          <w:szCs w:val="24"/>
        </w:rPr>
        <w:t xml:space="preserve"> per i casi individuali, già censiti nel primo documento del branch.</w:t>
      </w:r>
    </w:p>
    <w:p>
      <w:pPr>
        <w:spacing w:after="120" w:line="276"/>
        <w:jc w:val="both"/>
      </w:pPr>
      <w:r>
        <w:rPr>
          <w:rFonts w:ascii="Barlow Semi Condensed" w:cs="Barlow Semi Condensed" w:eastAsia="Barlow Semi Condensed" w:hAnsi="Barlow Semi Condensed"/>
          <w:i/>
          <w:iCs/>
          <w:sz w:val="24"/>
          <w:szCs w:val="24"/>
        </w:rPr>
        <w:t xml:space="preserve">Le cifre seguono il censimento consolidato (ANPPIA/Dal Pont); l'oscillazione 5.619/5.620 giudicati è dichiarata. La quota esatta di fucilati appartenenti alle minoranze slave varia nelle fonti ed è data qui in forma qualitativa («parte cospicua») con i due processi documentati. Ricostruzione storica, senza usi polemici retroattivi.</w:t>
      </w:r>
    </w:p>
    <w:p>
      <w:pPr>
        <w:pBdr>
          <w:bottom w:val="single" w:color="999999" w:sz="6" w:space="1"/>
        </w:pBdr>
        <w:spacing w:after="80"/>
      </w:pPr>
    </w:p>
    <w:p>
      <w:pPr>
        <w:spacing w:after="120" w:line="276"/>
        <w:jc w:val="both"/>
      </w:pPr>
      <w:r>
        <w:rPr>
          <w:rFonts w:ascii="Barlow Semi Condensed" w:cs="Barlow Semi Condensed" w:eastAsia="Barlow Semi Condensed" w:hAnsi="Barlow Semi Condensed"/>
          <w:i/>
          <w:iCs/>
          <w:sz w:val="24"/>
          <w:szCs w:val="24"/>
        </w:rPr>
        <w:t xml:space="preserve">Studio storico sull'istituzione da cui il branch è partito. Si salda a monte con `amnistiati-tribunale-speciale.md` (i nomi) e tocca il versante moroteo nel solo punto documentato (Moro costituente; art. 102 Cost.). Regola di Ferro: dove la fonte documenta, si certifica; dove tace, si tace.</w:t>
      </w:r>
    </w:p>
    <w:p>
      <w:pPr>
        <w:pStyle w:val="Heading3"/>
        <w:spacing w:after="80" w:before="240"/>
      </w:pPr>
      <w:r>
        <w:rPr>
          <w:rFonts w:ascii="Barlow Semi Condensed" w:cs="Barlow Semi Condensed" w:eastAsia="Barlow Semi Condensed" w:hAnsi="Barlow Semi Condensed"/>
          <w:sz w:val="24"/>
          <w:szCs w:val="24"/>
        </w:rPr>
        <w:t xml:space="preserve">Apparato grafico — Libro sesto · Il Tribunale Speciale: l'istituzione</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1"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Libro sesto I: 1.747 parole in 8 sezioni; la più ampia è §6 VI. La fine e le due eredità, con 254.</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2"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Libro sesto I: 30 indirizzi di fonte citati, addensati in 6 sezioni su 8.</w:t>
      </w:r>
    </w:p>
    <w:p>
      <w:pPr>
        <w:spacing w:after="120"/>
        <w:jc w:val="center"/>
      </w:pPr>
      <w:r>
        <w:rPr>
          <w:rFonts w:ascii="Barlow Semi Condensed" w:cs="Barlow Semi Condensed" w:eastAsia="Barlow Semi Condensed" w:hAnsi="Barlow Semi Condensed"/>
          <w:color w:val="777777"/>
          <w:sz w:val="16"/>
          <w:szCs w:val="16"/>
        </w:rPr>
        <w:t xml:space="preserve">Le metriche dell'apparato contano parole, documenti e atti — mai colpe.</w:t>
      </w:r>
    </w:p>
    <w:p>
      <w:r>
        <w:br w:type="page"/>
      </w:r>
    </w:p>
    <w:p>
      <w:pPr>
        <w:pStyle w:val="Heading1"/>
        <w:spacing w:after="120" w:before="240"/>
      </w:pPr>
      <w:r>
        <w:rPr>
          <w:rFonts w:ascii="Barlow Semi Condensed" w:cs="Barlow Semi Condensed" w:eastAsia="Barlow Semi Condensed" w:hAnsi="Barlow Semi Condensed"/>
          <w:sz w:val="24"/>
          <w:szCs w:val="24"/>
        </w:rPr>
        <w:t xml:space="preserve">Libro sesto — Il filo del 1926 — II. Gli otto sottonodi</w:t>
      </w:r>
    </w:p>
    <w:p>
      <w:pPr>
        <w:pStyle w:val="Heading1"/>
        <w:spacing w:after="120" w:before="240"/>
      </w:pPr>
      <w:r>
        <w:rPr>
          <w:rFonts w:ascii="Barlow Semi Condensed" w:cs="Barlow Semi Condensed" w:eastAsia="Barlow Semi Condensed" w:hAnsi="Barlow Semi Condensed"/>
          <w:sz w:val="24"/>
          <w:szCs w:val="24"/>
        </w:rPr>
        <w:t xml:space="preserve">Il Tribunale Speciale: approfondimento in sottonodi</w:t>
      </w:r>
    </w:p>
    <w:p>
      <w:pPr>
        <w:spacing w:after="120" w:line="276"/>
        <w:jc w:val="both"/>
      </w:pPr>
      <w:r>
        <w:rPr>
          <w:rFonts w:ascii="Barlow Semi Condensed" w:cs="Barlow Semi Condensed" w:eastAsia="Barlow Semi Condensed" w:hAnsi="Barlow Semi Condensed"/>
          <w:i/>
          <w:iCs/>
          <w:sz w:val="24"/>
          <w:szCs w:val="24"/>
        </w:rPr>
        <w:t xml:space="preserve">Complemento allo studio sull'istituzione — 24 agosto 2026</w:t>
      </w:r>
    </w:p>
    <w:p>
      <w:pPr>
        <w:pBdr>
          <w:left w:val="single" w:color="1F3864" w:sz="18" w:space="8"/>
        </w:pBdr>
        <w:spacing w:after="80" w:before="80"/>
        <w:ind w:left="360" w:right="360"/>
        <w:jc w:val="both"/>
      </w:pPr>
      <w:r>
        <w:rPr>
          <w:rFonts w:ascii="Barlow Semi Condensed" w:cs="Barlow Semi Condensed" w:eastAsia="Barlow Semi Condensed" w:hAnsi="Barlow Semi Condensed"/>
          <w:b/>
          <w:bCs/>
          <w:i w:val="false"/>
          <w:iCs w:val="false"/>
          <w:sz w:val="24"/>
          <w:szCs w:val="24"/>
        </w:rPr>
        <w:t xml:space="preserve">Statuto.</w:t>
      </w:r>
      <w:r>
        <w:rPr>
          <w:rFonts w:ascii="Barlow Semi Condensed" w:cs="Barlow Semi Condensed" w:eastAsia="Barlow Semi Condensed" w:hAnsi="Barlow Semi Condensed"/>
          <w:i w:val="false"/>
          <w:iCs w:val="false"/>
          <w:sz w:val="24"/>
          <w:szCs w:val="24"/>
        </w:rPr>
        <w:t xml:space="preserve"> Questo documento approfondisce, in </w:t>
      </w:r>
      <w:r>
        <w:rPr>
          <w:rFonts w:ascii="Barlow Semi Condensed" w:cs="Barlow Semi Condensed" w:eastAsia="Barlow Semi Condensed" w:hAnsi="Barlow Semi Condensed"/>
          <w:b/>
          <w:bCs/>
          <w:i w:val="false"/>
          <w:iCs w:val="false"/>
          <w:sz w:val="24"/>
          <w:szCs w:val="24"/>
        </w:rPr>
        <w:t xml:space="preserve">otto sottonodi verificati</w:t>
      </w:r>
      <w:r>
        <w:rPr>
          <w:rFonts w:ascii="Barlow Semi Condensed" w:cs="Barlow Semi Condensed" w:eastAsia="Barlow Semi Condensed" w:hAnsi="Barlow Semi Condensed"/>
          <w:i w:val="false"/>
          <w:iCs w:val="false"/>
          <w:sz w:val="24"/>
          <w:szCs w:val="24"/>
        </w:rPr>
        <w:t xml:space="preserve">, ciò che lo studio principale (</w:t>
      </w:r>
      <w:r>
        <w:rPr>
          <w:rFonts w:ascii="Barlow Semi Condensed" w:cs="Barlow Semi Condensed" w:eastAsia="Barlow Semi Condensed" w:hAnsi="Barlow Semi Condensed"/>
          <w:i w:val="false"/>
          <w:iCs w:val="false"/>
          <w:sz w:val="24"/>
          <w:szCs w:val="24"/>
        </w:rPr>
        <w:t xml:space="preserve">tribunale-speciale-storia-istituzione.md</w:t>
      </w:r>
      <w:r>
        <w:rPr>
          <w:rFonts w:ascii="Barlow Semi Condensed" w:cs="Barlow Semi Condensed" w:eastAsia="Barlow Semi Condensed" w:hAnsi="Barlow Semi Condensed"/>
          <w:i w:val="false"/>
          <w:iCs w:val="false"/>
          <w:sz w:val="24"/>
          <w:szCs w:val="24"/>
        </w:rPr>
        <w:t xml:space="preserve">) ha dovuto trattare in sintesi: gli uomini che presiedettero il Tribunale, la macchina istruttoria, i due processi di Trieste, la prosopografia dei condannati che fecero la Repubblica, la scala bolognese da cui il branch è partito, le donne davanti al Tribunale, la svolta di guerra e la questione dell'impunità postbellica. Ogni sottonodo dichiara le proprie fonti e il proprio grado. Vale la Regola di Ferro: dove la fonte documenta, si certifica; dove tace, si tace.</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S-1 · I tre presidenti (1927-1943)</w:t>
      </w:r>
    </w:p>
    <w:p>
      <w:pPr>
        <w:spacing w:after="120" w:line="276"/>
        <w:jc w:val="both"/>
      </w:pPr>
      <w:r>
        <w:rPr>
          <w:rFonts w:ascii="Barlow Semi Condensed" w:cs="Barlow Semi Condensed" w:eastAsia="Barlow Semi Condensed" w:hAnsi="Barlow Semi Condensed"/>
          <w:sz w:val="24"/>
          <w:szCs w:val="24"/>
        </w:rPr>
        <w:t xml:space="preserve">Il Tribunale ebbe, in sedici anni, tre presidenti — e la loro successione racconta la parabola dell'istituto (Wikipedia IT (https://it.wikipedia.org/wiki/Tribunale_speciale_per_la_difesa_dello_Stato_(1926-1943)); Guido Cristini (https://it.wikipedia.org/wiki/Guido_Cristini); Antonino Tringali Casanuova (https://en.wikipedia.org/wiki/Antonino_Tringali_Casanuova)):</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c>
          <w:tcPr>
            <w:tcW w:type="dxa" w:w="312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Presidente</w:t>
            </w:r>
          </w:p>
        </w:tc>
        <w:tc>
          <w:tcPr>
            <w:tcW w:type="dxa" w:w="312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Periodo</w:t>
            </w:r>
          </w:p>
        </w:tc>
        <w:tc>
          <w:tcPr>
            <w:tcW w:type="dxa" w:w="312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Profilo</w:t>
            </w:r>
          </w:p>
        </w:tc>
      </w:tr>
      <w:tr>
        <w:tc>
          <w:tcPr>
            <w:tcW w:type="dxa" w:w="3120"/>
          </w:tcPr>
          <w:p>
            <w:pPr>
              <w:spacing w:after="20" w:before="20"/>
              <w:jc w:val="both"/>
            </w:pPr>
            <w:r>
              <w:rPr>
                <w:rFonts w:ascii="Barlow Semi Condensed" w:cs="Barlow Semi Condensed" w:eastAsia="Barlow Semi Condensed" w:hAnsi="Barlow Semi Condensed"/>
                <w:b/>
                <w:bCs/>
                <w:sz w:val="20"/>
                <w:szCs w:val="20"/>
              </w:rPr>
              <w:t xml:space="preserve">Carlo Sanna</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1927 – estate 1928</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Generale dell'esercito, primo presidente; morì d'infarto in carica</w:t>
            </w:r>
          </w:p>
        </w:tc>
      </w:tr>
      <w:tr>
        <w:tc>
          <w:tcPr>
            <w:tcW w:type="dxa" w:w="3120"/>
          </w:tcPr>
          <w:p>
            <w:pPr>
              <w:spacing w:after="20" w:before="20"/>
              <w:jc w:val="both"/>
            </w:pPr>
            <w:r>
              <w:rPr>
                <w:rFonts w:ascii="Barlow Semi Condensed" w:cs="Barlow Semi Condensed" w:eastAsia="Barlow Semi Condensed" w:hAnsi="Barlow Semi Condensed"/>
                <w:b/>
                <w:bCs/>
                <w:sz w:val="20"/>
                <w:szCs w:val="20"/>
              </w:rPr>
              <w:t xml:space="preserve">Guido Cristini</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1928 – 27 novembre 1932</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Nominato a soli trentatré anni; presiedette il «processone» del 1928; la sua è la stagione della repressione contro la rete clandestina del PCI</w:t>
            </w:r>
          </w:p>
        </w:tc>
      </w:tr>
      <w:tr>
        <w:tc>
          <w:tcPr>
            <w:tcW w:type="dxa" w:w="3120"/>
          </w:tcPr>
          <w:p>
            <w:pPr>
              <w:spacing w:after="20" w:before="20"/>
              <w:jc w:val="both"/>
            </w:pPr>
            <w:r>
              <w:rPr>
                <w:rFonts w:ascii="Barlow Semi Condensed" w:cs="Barlow Semi Condensed" w:eastAsia="Barlow Semi Condensed" w:hAnsi="Barlow Semi Condensed"/>
                <w:b/>
                <w:bCs/>
                <w:sz w:val="20"/>
                <w:szCs w:val="20"/>
              </w:rPr>
              <w:t xml:space="preserve">Antonino Tringali Casanuova</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novembre 1932 – luglio 1943</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Vicepresidente dal settembre 1928, poi presidente per undici anni: l'uomo della normalizzazione dell'eccezione e della stagione di guerra</w:t>
            </w:r>
          </w:p>
        </w:tc>
      </w:tr>
    </w:tbl>
    <w:p>
      <w:pPr>
        <w:spacing w:after="80"/>
      </w:pPr>
    </w:p>
    <w:p>
      <w:pPr>
        <w:spacing w:after="120" w:line="276"/>
        <w:jc w:val="both"/>
      </w:pPr>
      <w:r>
        <w:rPr>
          <w:rFonts w:ascii="Barlow Semi Condensed" w:cs="Barlow Semi Condensed" w:eastAsia="Barlow Semi Condensed" w:hAnsi="Barlow Semi Condensed"/>
          <w:sz w:val="24"/>
          <w:szCs w:val="24"/>
        </w:rPr>
        <w:t xml:space="preserve">Il dato istituzionale è la </w:t>
      </w:r>
      <w:r>
        <w:rPr>
          <w:rFonts w:ascii="Barlow Semi Condensed" w:cs="Barlow Semi Condensed" w:eastAsia="Barlow Semi Condensed" w:hAnsi="Barlow Semi Condensed"/>
          <w:b/>
          <w:bCs/>
          <w:sz w:val="24"/>
          <w:szCs w:val="24"/>
        </w:rPr>
        <w:t xml:space="preserve">progressiva fascistizzazione del vertice</w:t>
      </w:r>
      <w:r>
        <w:rPr>
          <w:rFonts w:ascii="Barlow Semi Condensed" w:cs="Barlow Semi Condensed" w:eastAsia="Barlow Semi Condensed" w:hAnsi="Barlow Semi Condensed"/>
          <w:sz w:val="24"/>
          <w:szCs w:val="24"/>
        </w:rPr>
        <w:t xml:space="preserve">: dal generale del regio esercito (Sanna) al gerarca di partito (Tringali Casanuova). L'organo «tecnico-militare» del 1927 divenne, negli anni Trenta, apertamente un organo politico.</w:t>
      </w:r>
    </w:p>
    <w:p>
      <w:pPr>
        <w:pStyle w:val="Heading2"/>
        <w:spacing w:after="100" w:before="200"/>
      </w:pPr>
      <w:r>
        <w:rPr>
          <w:rFonts w:ascii="Barlow Semi Condensed" w:cs="Barlow Semi Condensed" w:eastAsia="Barlow Semi Condensed" w:hAnsi="Barlow Semi Condensed"/>
          <w:sz w:val="24"/>
          <w:szCs w:val="24"/>
        </w:rPr>
        <w:t xml:space="preserve">S-2 · La macchina istruttoria: l'OVRA</w:t>
      </w:r>
    </w:p>
    <w:p>
      <w:pPr>
        <w:spacing w:after="120" w:line="276"/>
        <w:jc w:val="both"/>
      </w:pPr>
      <w:r>
        <w:rPr>
          <w:rFonts w:ascii="Barlow Semi Condensed" w:cs="Barlow Semi Condensed" w:eastAsia="Barlow Semi Condensed" w:hAnsi="Barlow Semi Condensed"/>
          <w:sz w:val="24"/>
          <w:szCs w:val="24"/>
        </w:rPr>
        <w:t xml:space="preserve">Il Tribunale giudicava ciò che la polizia politica gli portava. Il primo nucleo di quella che sarebbe stata nota come </w:t>
      </w:r>
      <w:r>
        <w:rPr>
          <w:rFonts w:ascii="Barlow Semi Condensed" w:cs="Barlow Semi Condensed" w:eastAsia="Barlow Semi Condensed" w:hAnsi="Barlow Semi Condensed"/>
          <w:b/>
          <w:bCs/>
          <w:sz w:val="24"/>
          <w:szCs w:val="24"/>
        </w:rPr>
        <w:t xml:space="preserve">OVRA</w:t>
      </w:r>
      <w:r>
        <w:rPr>
          <w:rFonts w:ascii="Barlow Semi Condensed" w:cs="Barlow Semi Condensed" w:eastAsia="Barlow Semi Condensed" w:hAnsi="Barlow Semi Condensed"/>
          <w:sz w:val="24"/>
          <w:szCs w:val="24"/>
        </w:rPr>
        <w:t xml:space="preserve"> nacque </w:t>
      </w:r>
      <w:r>
        <w:rPr>
          <w:rFonts w:ascii="Barlow Semi Condensed" w:cs="Barlow Semi Condensed" w:eastAsia="Barlow Semi Condensed" w:hAnsi="Barlow Semi Condensed"/>
          <w:b/>
          <w:bCs/>
          <w:sz w:val="24"/>
          <w:szCs w:val="24"/>
        </w:rPr>
        <w:t xml:space="preserve">a Milano nel 1927</w:t>
      </w:r>
      <w:r>
        <w:rPr>
          <w:rFonts w:ascii="Barlow Semi Condensed" w:cs="Barlow Semi Condensed" w:eastAsia="Barlow Semi Condensed" w:hAnsi="Barlow Semi Condensed"/>
          <w:sz w:val="24"/>
          <w:szCs w:val="24"/>
        </w:rPr>
        <w:t xml:space="preserve"> come «Ispettorato speciale di polizia» alle dipendenze della Direzione generale di Pubblica Sicurezza, sotto la regia del capo della polizia </w:t>
      </w:r>
      <w:r>
        <w:rPr>
          <w:rFonts w:ascii="Barlow Semi Condensed" w:cs="Barlow Semi Condensed" w:eastAsia="Barlow Semi Condensed" w:hAnsi="Barlow Semi Condensed"/>
          <w:b/>
          <w:bCs/>
          <w:sz w:val="24"/>
          <w:szCs w:val="24"/>
        </w:rPr>
        <w:t xml:space="preserve">Arturo Bocchini</w:t>
      </w:r>
      <w:r>
        <w:rPr>
          <w:rFonts w:ascii="Barlow Semi Condensed" w:cs="Barlow Semi Condensed" w:eastAsia="Barlow Semi Condensed" w:hAnsi="Barlow Semi Condensed"/>
          <w:sz w:val="24"/>
          <w:szCs w:val="24"/>
        </w:rPr>
        <w:t xml:space="preserve"> (Polizia di Stato, scheda Bocchini (https://www.poliziadistato.it/articolo/arturo-bocchini); Treccani (https://www.treccani.it/enciclopedia/arturo-bocchini_(Dizionario-Biografico)/); Wikipedia EN, OVRA (https://en.wikipedia.org/wiki/OVRA)). Il suo strumento caratteristico era la </w:t>
      </w:r>
      <w:r>
        <w:rPr>
          <w:rFonts w:ascii="Barlow Semi Condensed" w:cs="Barlow Semi Condensed" w:eastAsia="Barlow Semi Condensed" w:hAnsi="Barlow Semi Condensed"/>
          <w:b/>
          <w:bCs/>
          <w:sz w:val="24"/>
          <w:szCs w:val="24"/>
        </w:rPr>
        <w:t xml:space="preserve">rete dei confidenti</w:t>
      </w:r>
      <w:r>
        <w:rPr>
          <w:rFonts w:ascii="Barlow Semi Condensed" w:cs="Barlow Semi Condensed" w:eastAsia="Barlow Semi Condensed" w:hAnsi="Barlow Semi Condensed"/>
          <w:sz w:val="24"/>
          <w:szCs w:val="24"/>
        </w:rPr>
        <w:t xml:space="preserve">: l'infiltrazione e la delazione sistematica, che riempivano i fascicoli istruttori del Tribunale. Il binomio è essenziale per capire l'istituto: </w:t>
      </w:r>
      <w:r>
        <w:rPr>
          <w:rFonts w:ascii="Barlow Semi Condensed" w:cs="Barlow Semi Condensed" w:eastAsia="Barlow Semi Condensed" w:hAnsi="Barlow Semi Condensed"/>
          <w:b/>
          <w:bCs/>
          <w:sz w:val="24"/>
          <w:szCs w:val="24"/>
        </w:rPr>
        <w:t xml:space="preserve">l'OVRA costruiva il caso, il Tribunale lo certificava</w:t>
      </w:r>
      <w:r>
        <w:rPr>
          <w:rFonts w:ascii="Barlow Semi Condensed" w:cs="Barlow Semi Condensed" w:eastAsia="Barlow Semi Condensed" w:hAnsi="Barlow Semi Condensed"/>
          <w:sz w:val="24"/>
          <w:szCs w:val="24"/>
        </w:rPr>
        <w:t xml:space="preserve"> — con un rito militare che non prevedeva un reale contraddittorio sulla prova. Le schede bolognesi del primo documento del branch (arresti a grappolo: «con altri 55», «con altri 88», «con altri 116») mostrano esattamente questo metodo: la retata sulla rete, non l'indagine sul fatto.</w:t>
      </w:r>
    </w:p>
    <w:p>
      <w:pPr>
        <w:pStyle w:val="Heading2"/>
        <w:spacing w:after="100" w:before="200"/>
      </w:pPr>
      <w:r>
        <w:rPr>
          <w:rFonts w:ascii="Barlow Semi Condensed" w:cs="Barlow Semi Condensed" w:eastAsia="Barlow Semi Condensed" w:hAnsi="Barlow Semi Condensed"/>
          <w:sz w:val="24"/>
          <w:szCs w:val="24"/>
        </w:rPr>
        <w:t xml:space="preserve">S-3 · La repressione anti-slava in due tempi: i processi di Trieste</w:t>
      </w:r>
    </w:p>
    <w:p>
      <w:pPr>
        <w:spacing w:after="120" w:line="276"/>
        <w:jc w:val="both"/>
      </w:pPr>
      <w:r>
        <w:rPr>
          <w:rFonts w:ascii="Barlow Semi Condensed" w:cs="Barlow Semi Condensed" w:eastAsia="Barlow Semi Condensed" w:hAnsi="Barlow Semi Condensed"/>
          <w:sz w:val="24"/>
          <w:szCs w:val="24"/>
        </w:rPr>
        <w:t xml:space="preserve">Lo studio principale registrava Basovizza; il sottonodo ricompone l'intero arco.</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Primo processo di Trieste (1930).</w:t>
      </w:r>
      <w:r>
        <w:rPr>
          <w:rFonts w:ascii="Barlow Semi Condensed" w:cs="Barlow Semi Condensed" w:eastAsia="Barlow Semi Condensed" w:hAnsi="Barlow Semi Condensed"/>
          <w:sz w:val="24"/>
          <w:szCs w:val="24"/>
        </w:rPr>
        <w:t xml:space="preserve"> Quattro antifascisti sloveni — </w:t>
      </w:r>
      <w:r>
        <w:rPr>
          <w:rFonts w:ascii="Barlow Semi Condensed" w:cs="Barlow Semi Condensed" w:eastAsia="Barlow Semi Condensed" w:hAnsi="Barlow Semi Condensed"/>
          <w:b/>
          <w:bCs/>
          <w:sz w:val="24"/>
          <w:szCs w:val="24"/>
        </w:rPr>
        <w:t xml:space="preserve">Ferdo Bidovec, Fran Marušič, Zvonimir Miloš, Alojz Valenčič</w:t>
      </w:r>
      <w:r>
        <w:rPr>
          <w:rFonts w:ascii="Barlow Semi Condensed" w:cs="Barlow Semi Condensed" w:eastAsia="Barlow Semi Condensed" w:hAnsi="Barlow Semi Condensed"/>
          <w:sz w:val="24"/>
          <w:szCs w:val="24"/>
        </w:rPr>
        <w:t xml:space="preserve"> — fucilati a </w:t>
      </w:r>
      <w:r>
        <w:rPr>
          <w:rFonts w:ascii="Barlow Semi Condensed" w:cs="Barlow Semi Condensed" w:eastAsia="Barlow Semi Condensed" w:hAnsi="Barlow Semi Condensed"/>
          <w:b/>
          <w:bCs/>
          <w:sz w:val="24"/>
          <w:szCs w:val="24"/>
        </w:rPr>
        <w:t xml:space="preserve">Basovizza il 6 settembre 1930</w:t>
      </w:r>
      <w:r>
        <w:rPr>
          <w:rFonts w:ascii="Barlow Semi Condensed" w:cs="Barlow Semi Condensed" w:eastAsia="Barlow Semi Condensed" w:hAnsi="Barlow Semi Condensed"/>
          <w:sz w:val="24"/>
          <w:szCs w:val="24"/>
        </w:rPr>
        <w:t xml:space="preserve"> (Grosseto Contemporanea (http://www.grossetocontemporanea.it/fucilati-di-basovizza/)).</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Secondo processo di Trieste (2-14 dicembre 1941).</w:t>
      </w:r>
      <w:r>
        <w:rPr>
          <w:rFonts w:ascii="Barlow Semi Condensed" w:cs="Barlow Semi Condensed" w:eastAsia="Barlow Semi Condensed" w:hAnsi="Barlow Semi Condensed"/>
          <w:sz w:val="24"/>
          <w:szCs w:val="24"/>
        </w:rPr>
        <w:t xml:space="preserve"> Il Tribunale tornò a Trieste in trasferta e giudicò </w:t>
      </w:r>
      <w:r>
        <w:rPr>
          <w:rFonts w:ascii="Barlow Semi Condensed" w:cs="Barlow Semi Condensed" w:eastAsia="Barlow Semi Condensed" w:hAnsi="Barlow Semi Condensed"/>
          <w:b/>
          <w:bCs/>
          <w:sz w:val="24"/>
          <w:szCs w:val="24"/>
        </w:rPr>
        <w:t xml:space="preserve">sessanta imputati sloveni</w:t>
      </w:r>
      <w:r>
        <w:rPr>
          <w:rFonts w:ascii="Barlow Semi Condensed" w:cs="Barlow Semi Condensed" w:eastAsia="Barlow Semi Condensed" w:hAnsi="Barlow Semi Condensed"/>
          <w:sz w:val="24"/>
          <w:szCs w:val="24"/>
        </w:rPr>
        <w:t xml:space="preserve">, raggruppati dall'accusa in tre categorie — ventidue intellettuali di orientamento liberale e cristiano, ventisei comunisti, dodici membri del </w:t>
      </w:r>
      <w:r>
        <w:rPr>
          <w:rFonts w:ascii="Barlow Semi Condensed" w:cs="Barlow Semi Condensed" w:eastAsia="Barlow Semi Condensed" w:hAnsi="Barlow Semi Condensed"/>
          <w:b/>
          <w:bCs/>
          <w:sz w:val="24"/>
          <w:szCs w:val="24"/>
        </w:rPr>
        <w:t xml:space="preserve">TIGR</w:t>
      </w:r>
      <w:r>
        <w:rPr>
          <w:rFonts w:ascii="Barlow Semi Condensed" w:cs="Barlow Semi Condensed" w:eastAsia="Barlow Semi Condensed" w:hAnsi="Barlow Semi Condensed"/>
          <w:sz w:val="24"/>
          <w:szCs w:val="24"/>
        </w:rPr>
        <w:t xml:space="preserve"> — unificati dalla formula del «complotto contro l'integrità dello Stato». Cinque i fucilati, il </w:t>
      </w:r>
      <w:r>
        <w:rPr>
          <w:rFonts w:ascii="Barlow Semi Condensed" w:cs="Barlow Semi Condensed" w:eastAsia="Barlow Semi Condensed" w:hAnsi="Barlow Semi Condensed"/>
          <w:b/>
          <w:bCs/>
          <w:sz w:val="24"/>
          <w:szCs w:val="24"/>
        </w:rPr>
        <w:t xml:space="preserve">15 dicembre 1941 al poligono di Opicina</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b/>
          <w:bCs/>
          <w:sz w:val="24"/>
          <w:szCs w:val="24"/>
        </w:rPr>
        <w:t xml:space="preserve">Pinko Tomažič, Viktor Bobek, Ivan Ivančič, Simon Kos, Ivan Vadnal</w:t>
      </w:r>
      <w:r>
        <w:rPr>
          <w:rFonts w:ascii="Barlow Semi Condensed" w:cs="Barlow Semi Condensed" w:eastAsia="Barlow Semi Condensed" w:hAnsi="Barlow Semi Condensed"/>
          <w:sz w:val="24"/>
          <w:szCs w:val="24"/>
        </w:rPr>
        <w:t xml:space="preserve"> (La Bottega del Barbieri (https://www.labottegadelbarbieri.org/trieste-1941-processi-fascisti-e-lotta-di-liberazione/); Wikipedia IT, Pinko Tomažič (https://it.wikipedia.org/wiki/Pinko_Toma%C5%BEi%C4%8D); ANPI Trieste (https://www.anpits.it/)). Tomažič è oggi eroe nazionale in Slovenia.</w:t>
      </w:r>
    </w:p>
    <w:p>
      <w:pPr>
        <w:spacing w:after="120" w:line="276"/>
        <w:jc w:val="both"/>
      </w:pPr>
      <w:r>
        <w:rPr>
          <w:rFonts w:ascii="Barlow Semi Condensed" w:cs="Barlow Semi Condensed" w:eastAsia="Barlow Semi Condensed" w:hAnsi="Barlow Semi Condensed"/>
          <w:sz w:val="24"/>
          <w:szCs w:val="24"/>
        </w:rPr>
        <w:t xml:space="preserve">Il sottonodo precisa la natura </w:t>
      </w:r>
      <w:r>
        <w:rPr>
          <w:rFonts w:ascii="Barlow Semi Condensed" w:cs="Barlow Semi Condensed" w:eastAsia="Barlow Semi Condensed" w:hAnsi="Barlow Semi Condensed"/>
          <w:b/>
          <w:bCs/>
          <w:sz w:val="24"/>
          <w:szCs w:val="24"/>
        </w:rPr>
        <w:t xml:space="preserve">anche nazionale</w:t>
      </w:r>
      <w:r>
        <w:rPr>
          <w:rFonts w:ascii="Barlow Semi Condensed" w:cs="Barlow Semi Condensed" w:eastAsia="Barlow Semi Condensed" w:hAnsi="Barlow Semi Condensed"/>
          <w:sz w:val="24"/>
          <w:szCs w:val="24"/>
        </w:rPr>
        <w:t xml:space="preserve"> della repressione: contro le minoranze slave della Venezia Giulia il Tribunale operò come strumento dell'italianizzazione forzata, e la costruzione unificante del «complotto» — che saldava in un solo disegno liberali, comunisti e irredentisti — è l'esempio più puro del suo metodo accusatorio.</w:t>
      </w:r>
    </w:p>
    <w:p>
      <w:pPr>
        <w:pStyle w:val="Heading2"/>
        <w:spacing w:after="100" w:before="200"/>
      </w:pPr>
      <w:r>
        <w:rPr>
          <w:rFonts w:ascii="Barlow Semi Condensed" w:cs="Barlow Semi Condensed" w:eastAsia="Barlow Semi Condensed" w:hAnsi="Barlow Semi Condensed"/>
          <w:sz w:val="24"/>
          <w:szCs w:val="24"/>
        </w:rPr>
        <w:t xml:space="preserve">S-4 · Prosopografia: i condannati che fecero la Repubblica</w:t>
      </w:r>
    </w:p>
    <w:p>
      <w:pPr>
        <w:spacing w:after="120" w:line="276"/>
        <w:jc w:val="both"/>
      </w:pPr>
      <w:r>
        <w:rPr>
          <w:rFonts w:ascii="Barlow Semi Condensed" w:cs="Barlow Semi Condensed" w:eastAsia="Barlow Semi Condensed" w:hAnsi="Barlow Semi Condensed"/>
          <w:sz w:val="24"/>
          <w:szCs w:val="24"/>
        </w:rPr>
        <w:t xml:space="preserve">Il rovesciamento prosopografico accennato nello studio principale, qui documentato caso per caso:</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c>
          <w:tcPr>
            <w:tcW w:type="dxa" w:w="312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Condannato</w:t>
            </w:r>
          </w:p>
        </w:tc>
        <w:tc>
          <w:tcPr>
            <w:tcW w:type="dxa" w:w="312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Condanna del Tribunale</w:t>
            </w:r>
          </w:p>
        </w:tc>
        <w:tc>
          <w:tcPr>
            <w:tcW w:type="dxa" w:w="312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Ruolo nella Repubblica</w:t>
            </w:r>
          </w:p>
        </w:tc>
      </w:tr>
      <w:tr>
        <w:tc>
          <w:tcPr>
            <w:tcW w:type="dxa" w:w="3120"/>
          </w:tcPr>
          <w:p>
            <w:pPr>
              <w:spacing w:after="20" w:before="20"/>
              <w:jc w:val="both"/>
            </w:pPr>
            <w:r>
              <w:rPr>
                <w:rFonts w:ascii="Barlow Semi Condensed" w:cs="Barlow Semi Condensed" w:eastAsia="Barlow Semi Condensed" w:hAnsi="Barlow Semi Condensed"/>
                <w:b/>
                <w:bCs/>
                <w:sz w:val="20"/>
                <w:szCs w:val="20"/>
              </w:rPr>
              <w:t xml:space="preserve">Antonio Gramsci</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4 giugno 1928 («processone»): 20 anni, 4 mesi e 5 giorni</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Morì il 27 aprile 1937; i </w:t>
            </w:r>
            <w:r>
              <w:rPr>
                <w:rFonts w:ascii="Barlow Semi Condensed" w:cs="Barlow Semi Condensed" w:eastAsia="Barlow Semi Condensed" w:hAnsi="Barlow Semi Condensed"/>
                <w:i/>
                <w:iCs/>
                <w:sz w:val="20"/>
                <w:szCs w:val="20"/>
              </w:rPr>
              <w:t xml:space="preserve">Quaderni</w:t>
            </w:r>
            <w:r>
              <w:rPr>
                <w:rFonts w:ascii="Barlow Semi Condensed" w:cs="Barlow Semi Condensed" w:eastAsia="Barlow Semi Condensed" w:hAnsi="Barlow Semi Condensed"/>
                <w:sz w:val="20"/>
                <w:szCs w:val="20"/>
              </w:rPr>
              <w:t xml:space="preserve"> divennero un fondamento della cultura repubblicana</w:t>
            </w:r>
          </w:p>
        </w:tc>
      </w:tr>
      <w:tr>
        <w:tc>
          <w:tcPr>
            <w:tcW w:type="dxa" w:w="3120"/>
          </w:tcPr>
          <w:p>
            <w:pPr>
              <w:spacing w:after="20" w:before="20"/>
              <w:jc w:val="both"/>
            </w:pPr>
            <w:r>
              <w:rPr>
                <w:rFonts w:ascii="Barlow Semi Condensed" w:cs="Barlow Semi Condensed" w:eastAsia="Barlow Semi Condensed" w:hAnsi="Barlow Semi Condensed"/>
                <w:b/>
                <w:bCs/>
                <w:sz w:val="20"/>
                <w:szCs w:val="20"/>
              </w:rPr>
              <w:t xml:space="preserve">Umberto Terracini</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«processone» 1928: la pena più alta, oltre ventidue anni</w:t>
            </w:r>
          </w:p>
        </w:tc>
        <w:tc>
          <w:tcPr>
            <w:tcW w:type="dxa" w:w="3120"/>
          </w:tcPr>
          <w:p>
            <w:pPr>
              <w:spacing w:after="20" w:before="20"/>
              <w:jc w:val="both"/>
            </w:pPr>
            <w:r>
              <w:rPr>
                <w:rFonts w:ascii="Barlow Semi Condensed" w:cs="Barlow Semi Condensed" w:eastAsia="Barlow Semi Condensed" w:hAnsi="Barlow Semi Condensed"/>
                <w:b/>
                <w:bCs/>
                <w:sz w:val="20"/>
                <w:szCs w:val="20"/>
              </w:rPr>
              <w:t xml:space="preserve">Presidente dell'Assemblea Costituente</w:t>
            </w:r>
            <w:r>
              <w:rPr>
                <w:rFonts w:ascii="Barlow Semi Condensed" w:cs="Barlow Semi Condensed" w:eastAsia="Barlow Semi Condensed" w:hAnsi="Barlow Semi Condensed"/>
                <w:sz w:val="20"/>
                <w:szCs w:val="20"/>
              </w:rPr>
              <w:t xml:space="preserve"> (1947-48): firmò la Costituzione</w:t>
            </w:r>
          </w:p>
        </w:tc>
      </w:tr>
      <w:tr>
        <w:tc>
          <w:tcPr>
            <w:tcW w:type="dxa" w:w="3120"/>
          </w:tcPr>
          <w:p>
            <w:pPr>
              <w:spacing w:after="20" w:before="20"/>
              <w:jc w:val="both"/>
            </w:pPr>
            <w:r>
              <w:rPr>
                <w:rFonts w:ascii="Barlow Semi Condensed" w:cs="Barlow Semi Condensed" w:eastAsia="Barlow Semi Condensed" w:hAnsi="Barlow Semi Condensed"/>
                <w:b/>
                <w:bCs/>
                <w:sz w:val="20"/>
                <w:szCs w:val="20"/>
              </w:rPr>
              <w:t xml:space="preserve">Sandro Pertini</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30 novembre 1929: </w:t>
            </w:r>
            <w:r>
              <w:rPr>
                <w:rFonts w:ascii="Barlow Semi Condensed" w:cs="Barlow Semi Condensed" w:eastAsia="Barlow Semi Condensed" w:hAnsi="Barlow Semi Condensed"/>
                <w:b/>
                <w:bCs/>
                <w:sz w:val="20"/>
                <w:szCs w:val="20"/>
              </w:rPr>
              <w:t xml:space="preserve">10 anni e 9 mesi</w:t>
            </w:r>
            <w:r>
              <w:rPr>
                <w:rFonts w:ascii="Barlow Semi Condensed" w:cs="Barlow Semi Condensed" w:eastAsia="Barlow Semi Condensed" w:hAnsi="Barlow Semi Condensed"/>
                <w:sz w:val="20"/>
                <w:szCs w:val="20"/>
              </w:rPr>
              <w:t xml:space="preserve"> più 3 anni di vigilanza speciale (arrestato a Pisa il 14 aprile 1929)</w:t>
            </w:r>
          </w:p>
        </w:tc>
        <w:tc>
          <w:tcPr>
            <w:tcW w:type="dxa" w:w="3120"/>
          </w:tcPr>
          <w:p>
            <w:pPr>
              <w:spacing w:after="20" w:before="20"/>
              <w:jc w:val="both"/>
            </w:pPr>
            <w:r>
              <w:rPr>
                <w:rFonts w:ascii="Barlow Semi Condensed" w:cs="Barlow Semi Condensed" w:eastAsia="Barlow Semi Condensed" w:hAnsi="Barlow Semi Condensed"/>
                <w:b/>
                <w:bCs/>
                <w:sz w:val="20"/>
                <w:szCs w:val="20"/>
              </w:rPr>
              <w:t xml:space="preserve">Presidente della Repubblica</w:t>
            </w:r>
            <w:r>
              <w:rPr>
                <w:rFonts w:ascii="Barlow Semi Condensed" w:cs="Barlow Semi Condensed" w:eastAsia="Barlow Semi Condensed" w:hAnsi="Barlow Semi Condensed"/>
                <w:sz w:val="20"/>
                <w:szCs w:val="20"/>
              </w:rPr>
              <w:t xml:space="preserve"> (1978-1985) (Quirinale, biografia (https://presidenti.quirinale.it/page/7/per-biografia.html); Treccani (https://www.treccani.it/enciclopedia/alessandro-pertini_(Dizionario-Biografico)/))</w:t>
            </w:r>
          </w:p>
        </w:tc>
      </w:tr>
      <w:tr>
        <w:tc>
          <w:tcPr>
            <w:tcW w:type="dxa" w:w="3120"/>
          </w:tcPr>
          <w:p>
            <w:pPr>
              <w:spacing w:after="20" w:before="20"/>
              <w:jc w:val="both"/>
            </w:pPr>
            <w:r>
              <w:rPr>
                <w:rFonts w:ascii="Barlow Semi Condensed" w:cs="Barlow Semi Condensed" w:eastAsia="Barlow Semi Condensed" w:hAnsi="Barlow Semi Condensed"/>
                <w:b/>
                <w:bCs/>
                <w:sz w:val="20"/>
                <w:szCs w:val="20"/>
              </w:rPr>
              <w:t xml:space="preserve">Camilla Ravera</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novembre 1930: </w:t>
            </w:r>
            <w:r>
              <w:rPr>
                <w:rFonts w:ascii="Barlow Semi Condensed" w:cs="Barlow Semi Condensed" w:eastAsia="Barlow Semi Condensed" w:hAnsi="Barlow Semi Condensed"/>
                <w:b/>
                <w:bCs/>
                <w:sz w:val="20"/>
                <w:szCs w:val="20"/>
              </w:rPr>
              <w:t xml:space="preserve">15 anni e 6 mesi</w:t>
            </w:r>
            <w:r>
              <w:rPr>
                <w:rFonts w:ascii="Barlow Semi Condensed" w:cs="Barlow Semi Condensed" w:eastAsia="Barlow Semi Condensed" w:hAnsi="Barlow Semi Condensed"/>
                <w:sz w:val="20"/>
                <w:szCs w:val="20"/>
              </w:rPr>
              <w:t xml:space="preserve"> per ricostituzione del PCI (arrestata il 10 luglio 1930)</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Prima donna </w:t>
            </w:r>
            <w:r>
              <w:rPr>
                <w:rFonts w:ascii="Barlow Semi Condensed" w:cs="Barlow Semi Condensed" w:eastAsia="Barlow Semi Condensed" w:hAnsi="Barlow Semi Condensed"/>
                <w:b/>
                <w:bCs/>
                <w:sz w:val="20"/>
                <w:szCs w:val="20"/>
              </w:rPr>
              <w:t xml:space="preserve">senatrice a vita</w:t>
            </w:r>
            <w:r>
              <w:rPr>
                <w:rFonts w:ascii="Barlow Semi Condensed" w:cs="Barlow Semi Condensed" w:eastAsia="Barlow Semi Condensed" w:hAnsi="Barlow Semi Condensed"/>
                <w:sz w:val="20"/>
                <w:szCs w:val="20"/>
              </w:rPr>
              <w:t xml:space="preserve"> (1982) (Treccani (https://www.treccani.it/enciclopedia/camilla-ravera_(Dizionario-Biografico)/); ANPPIA (https://anppia.it/antifascisti/ravera-camilla/))</w:t>
            </w:r>
          </w:p>
        </w:tc>
      </w:tr>
      <w:tr>
        <w:tc>
          <w:tcPr>
            <w:tcW w:type="dxa" w:w="3120"/>
          </w:tcPr>
          <w:p>
            <w:pPr>
              <w:spacing w:after="20" w:before="20"/>
              <w:jc w:val="both"/>
            </w:pPr>
            <w:r>
              <w:rPr>
                <w:rFonts w:ascii="Barlow Semi Condensed" w:cs="Barlow Semi Condensed" w:eastAsia="Barlow Semi Condensed" w:hAnsi="Barlow Semi Condensed"/>
                <w:b/>
                <w:bCs/>
                <w:sz w:val="20"/>
                <w:szCs w:val="20"/>
              </w:rPr>
              <w:t xml:space="preserve">Mauro Scoccimarro</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«processone» 1928</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Ministro delle finanze della Repubblica, senatore</w:t>
            </w:r>
          </w:p>
        </w:tc>
      </w:tr>
    </w:tbl>
    <w:p>
      <w:pPr>
        <w:spacing w:after="80"/>
      </w:pPr>
    </w:p>
    <w:p>
      <w:pPr>
        <w:spacing w:after="120" w:line="276"/>
        <w:jc w:val="both"/>
      </w:pPr>
      <w:r>
        <w:rPr>
          <w:rFonts w:ascii="Barlow Semi Condensed" w:cs="Barlow Semi Condensed" w:eastAsia="Barlow Semi Condensed" w:hAnsi="Barlow Semi Condensed"/>
          <w:sz w:val="24"/>
          <w:szCs w:val="24"/>
        </w:rPr>
        <w:t xml:space="preserve">La coincidenza cronologica ha un vertice simbolico documentato: </w:t>
      </w:r>
      <w:r>
        <w:rPr>
          <w:rFonts w:ascii="Barlow Semi Condensed" w:cs="Barlow Semi Condensed" w:eastAsia="Barlow Semi Condensed" w:hAnsi="Barlow Semi Condensed"/>
          <w:b/>
          <w:bCs/>
          <w:sz w:val="24"/>
          <w:szCs w:val="24"/>
        </w:rPr>
        <w:t xml:space="preserve">nel 1978 il Presidente della Repubblica era un condannato del Tribunale Speciale</w:t>
      </w:r>
      <w:r>
        <w:rPr>
          <w:rFonts w:ascii="Barlow Semi Condensed" w:cs="Barlow Semi Condensed" w:eastAsia="Barlow Semi Condensed" w:hAnsi="Barlow Semi Condensed"/>
          <w:sz w:val="24"/>
          <w:szCs w:val="24"/>
        </w:rPr>
        <w:t xml:space="preserve"> — Pertini, eletto l'8 luglio 1978, due mesi dopo via Caetani. L'anno più buio della Repubblica ebbe al Quirinale un uomo che il giudice speciale del regime aveva spedito in carcere mezzo secolo prima. Si registra come fatto, senza caricarlo di più di quel che dice.</w:t>
      </w:r>
    </w:p>
    <w:p>
      <w:pPr>
        <w:pStyle w:val="Heading2"/>
        <w:spacing w:after="100" w:before="200"/>
      </w:pPr>
      <w:r>
        <w:rPr>
          <w:rFonts w:ascii="Barlow Semi Condensed" w:cs="Barlow Semi Condensed" w:eastAsia="Barlow Semi Condensed" w:hAnsi="Barlow Semi Condensed"/>
          <w:sz w:val="24"/>
          <w:szCs w:val="24"/>
        </w:rPr>
        <w:t xml:space="preserve">S-5 · La scala bolognese: il campione del branch dentro i numeri nazionali</w:t>
      </w:r>
    </w:p>
    <w:p>
      <w:pPr>
        <w:spacing w:after="120" w:line="276"/>
        <w:jc w:val="both"/>
      </w:pPr>
      <w:r>
        <w:rPr>
          <w:rFonts w:ascii="Barlow Semi Condensed" w:cs="Barlow Semi Condensed" w:eastAsia="Barlow Semi Condensed" w:hAnsi="Barlow Semi Condensed"/>
          <w:sz w:val="24"/>
          <w:szCs w:val="24"/>
        </w:rPr>
        <w:t xml:space="preserve">Il primo documento del branch nasce dall'archivio bolognese, che censisce </w:t>
      </w:r>
      <w:r>
        <w:rPr>
          <w:rFonts w:ascii="Barlow Semi Condensed" w:cs="Barlow Semi Condensed" w:eastAsia="Barlow Semi Condensed" w:hAnsi="Barlow Semi Condensed"/>
          <w:b/>
          <w:bCs/>
          <w:sz w:val="24"/>
          <w:szCs w:val="24"/>
        </w:rPr>
        <w:t xml:space="preserve">734 antifascisti deferiti</w:t>
      </w:r>
      <w:r>
        <w:rPr>
          <w:rFonts w:ascii="Barlow Semi Condensed" w:cs="Barlow Semi Condensed" w:eastAsia="Barlow Semi Condensed" w:hAnsi="Barlow Semi Condensed"/>
          <w:sz w:val="24"/>
          <w:szCs w:val="24"/>
        </w:rPr>
        <w:t xml:space="preserve"> al Tribunale e </w:t>
      </w:r>
      <w:r>
        <w:rPr>
          <w:rFonts w:ascii="Barlow Semi Condensed" w:cs="Barlow Semi Condensed" w:eastAsia="Barlow Semi Condensed" w:hAnsi="Barlow Semi Condensed"/>
          <w:b/>
          <w:bCs/>
          <w:sz w:val="24"/>
          <w:szCs w:val="24"/>
        </w:rPr>
        <w:t xml:space="preserve">384 condannati</w:t>
      </w:r>
      <w:r>
        <w:rPr>
          <w:rFonts w:ascii="Barlow Semi Condensed" w:cs="Barlow Semi Condensed" w:eastAsia="Barlow Semi Condensed" w:hAnsi="Barlow Semi Condensed"/>
          <w:sz w:val="24"/>
          <w:szCs w:val="24"/>
        </w:rPr>
        <w:t xml:space="preserve">. Rapportati alle cifre nazionali (15.806 deferiti, 4.596 condannati), i bolognesi risultano circa il </w:t>
      </w:r>
      <w:r>
        <w:rPr>
          <w:rFonts w:ascii="Barlow Semi Condensed" w:cs="Barlow Semi Condensed" w:eastAsia="Barlow Semi Condensed" w:hAnsi="Barlow Semi Condensed"/>
          <w:b/>
          <w:bCs/>
          <w:sz w:val="24"/>
          <w:szCs w:val="24"/>
        </w:rPr>
        <w:t xml:space="preserve">4,6% dei deferiti</w:t>
      </w:r>
      <w:r>
        <w:rPr>
          <w:rFonts w:ascii="Barlow Semi Condensed" w:cs="Barlow Semi Condensed" w:eastAsia="Barlow Semi Condensed" w:hAnsi="Barlow Semi Condensed"/>
          <w:sz w:val="24"/>
          <w:szCs w:val="24"/>
        </w:rPr>
        <w:t xml:space="preserve"> e circa l'</w:t>
      </w:r>
      <w:r>
        <w:rPr>
          <w:rFonts w:ascii="Barlow Semi Condensed" w:cs="Barlow Semi Condensed" w:eastAsia="Barlow Semi Condensed" w:hAnsi="Barlow Semi Condensed"/>
          <w:b/>
          <w:bCs/>
          <w:sz w:val="24"/>
          <w:szCs w:val="24"/>
        </w:rPr>
        <w:t xml:space="preserve">8,4% dei condannati</w:t>
      </w:r>
      <w:r>
        <w:rPr>
          <w:rFonts w:ascii="Barlow Semi Condensed" w:cs="Barlow Semi Condensed" w:eastAsia="Barlow Semi Condensed" w:hAnsi="Barlow Semi Condensed"/>
          <w:sz w:val="24"/>
          <w:szCs w:val="24"/>
        </w:rPr>
        <w:t xml:space="preserve">. La sproporzione fra le due quote è un dato interessante — suggerirebbe che i deferiti bolognesi venissero condannati più spesso della media — ma va maneggiata con una </w:t>
      </w:r>
      <w:r>
        <w:rPr>
          <w:rFonts w:ascii="Barlow Semi Condensed" w:cs="Barlow Semi Condensed" w:eastAsia="Barlow Semi Condensed" w:hAnsi="Barlow Semi Condensed"/>
          <w:b/>
          <w:bCs/>
          <w:sz w:val="24"/>
          <w:szCs w:val="24"/>
        </w:rPr>
        <w:t xml:space="preserve">cautela metodologica dichiarata</w:t>
      </w:r>
      <w:r>
        <w:rPr>
          <w:rFonts w:ascii="Barlow Semi Condensed" w:cs="Barlow Semi Condensed" w:eastAsia="Barlow Semi Condensed" w:hAnsi="Barlow Semi Condensed"/>
          <w:sz w:val="24"/>
          <w:szCs w:val="24"/>
        </w:rPr>
        <w:t xml:space="preserve">: il censimento bolognese è una ricerca locale con criteri propri di inclusione, non un estratto omogeneo della statistica nazionale, e il confronto fra le due serie è quindi </w:t>
      </w:r>
      <w:r>
        <w:rPr>
          <w:rFonts w:ascii="Barlow Semi Condensed" w:cs="Barlow Semi Condensed" w:eastAsia="Barlow Semi Condensed" w:hAnsi="Barlow Semi Condensed"/>
          <w:b/>
          <w:bCs/>
          <w:sz w:val="24"/>
          <w:szCs w:val="24"/>
        </w:rPr>
        <w:t xml:space="preserve">indicativo, non probante</w:t>
      </w:r>
      <w:r>
        <w:rPr>
          <w:rFonts w:ascii="Barlow Semi Condensed" w:cs="Barlow Semi Condensed" w:eastAsia="Barlow Semi Condensed" w:hAnsi="Barlow Semi Condensed"/>
          <w:sz w:val="24"/>
          <w:szCs w:val="24"/>
        </w:rPr>
        <w:t xml:space="preserve">. Si segnala la convergenza (Bologna rossa come bersaglio prioritario della repressione: coerente con le retate a grappolo delle schede) e non la si promuove a misura.</w:t>
      </w:r>
    </w:p>
    <w:p>
      <w:pPr>
        <w:pStyle w:val="Heading2"/>
        <w:spacing w:after="100" w:before="200"/>
      </w:pPr>
      <w:r>
        <w:rPr>
          <w:rFonts w:ascii="Barlow Semi Condensed" w:cs="Barlow Semi Condensed" w:eastAsia="Barlow Semi Condensed" w:hAnsi="Barlow Semi Condensed"/>
          <w:sz w:val="24"/>
          <w:szCs w:val="24"/>
        </w:rPr>
        <w:t xml:space="preserve">S-6 · Le donne davanti al Tribunale</w:t>
      </w:r>
    </w:p>
    <w:p>
      <w:pPr>
        <w:spacing w:after="120" w:line="276"/>
        <w:jc w:val="both"/>
      </w:pPr>
      <w:r>
        <w:rPr>
          <w:rFonts w:ascii="Barlow Semi Condensed" w:cs="Barlow Semi Condensed" w:eastAsia="Barlow Semi Condensed" w:hAnsi="Barlow Semi Condensed"/>
          <w:sz w:val="24"/>
          <w:szCs w:val="24"/>
        </w:rPr>
        <w:t xml:space="preserve">Filone documentato dalla storiografia (cfr. il volume ANPI </w:t>
      </w:r>
      <w:r>
        <w:rPr>
          <w:rFonts w:ascii="Barlow Semi Condensed" w:cs="Barlow Semi Condensed" w:eastAsia="Barlow Semi Condensed" w:hAnsi="Barlow Semi Condensed"/>
          <w:i/>
          <w:iCs/>
          <w:sz w:val="24"/>
          <w:szCs w:val="24"/>
        </w:rPr>
        <w:t xml:space="preserve">Donne davanti al Tribunale Speciale</w:t>
      </w:r>
      <w:r>
        <w:rPr>
          <w:rFonts w:ascii="Barlow Semi Condensed" w:cs="Barlow Semi Condensed" w:eastAsia="Barlow Semi Condensed" w:hAnsi="Barlow Semi Condensed"/>
          <w:sz w:val="24"/>
          <w:szCs w:val="24"/>
        </w:rPr>
        <w:t xml:space="preserve">, scheda (https://www.anpi.it/libri/donne-davanti-al-tribunale-speciale)): le militanti antifasciste giudicate dall'organo, di cui il caso Ravera (S-4) è il più alto per pena e per parabola successiva. Il sottonodo si limita a segnalare il filone e la fonte: le cifre disaggregate per genere non sono state riscontrate in sessione su fonte indipendente, e per la Regola di Ferro non se ne danno.</w:t>
      </w:r>
    </w:p>
    <w:p>
      <w:pPr>
        <w:pStyle w:val="Heading2"/>
        <w:spacing w:after="100" w:before="200"/>
      </w:pPr>
      <w:r>
        <w:rPr>
          <w:rFonts w:ascii="Barlow Semi Condensed" w:cs="Barlow Semi Condensed" w:eastAsia="Barlow Semi Condensed" w:hAnsi="Barlow Semi Condensed"/>
          <w:sz w:val="24"/>
          <w:szCs w:val="24"/>
        </w:rPr>
        <w:t xml:space="preserve">S-7 · La svolta di guerra (1940-1943)</w:t>
      </w:r>
    </w:p>
    <w:p>
      <w:pPr>
        <w:spacing w:after="120" w:line="276"/>
        <w:jc w:val="both"/>
      </w:pPr>
      <w:r>
        <w:rPr>
          <w:rFonts w:ascii="Barlow Semi Condensed" w:cs="Barlow Semi Condensed" w:eastAsia="Barlow Semi Condensed" w:hAnsi="Barlow Semi Condensed"/>
          <w:sz w:val="24"/>
          <w:szCs w:val="24"/>
        </w:rPr>
        <w:t xml:space="preserve">L'ingresso in guerra trasformò il regime sanzionatorio: secondo la voce enciclopedica di riferimento, </w:t>
      </w:r>
      <w:r>
        <w:rPr>
          <w:rFonts w:ascii="Barlow Semi Condensed" w:cs="Barlow Semi Condensed" w:eastAsia="Barlow Semi Condensed" w:hAnsi="Barlow Semi Condensed"/>
          <w:b/>
          <w:bCs/>
          <w:sz w:val="24"/>
          <w:szCs w:val="24"/>
        </w:rPr>
        <w:t xml:space="preserve">negli anni di guerra furono pronunciate 33 condanne a morte e 22 eseguite</w:t>
      </w:r>
      <w:r>
        <w:rPr>
          <w:rFonts w:ascii="Barlow Semi Condensed" w:cs="Barlow Semi Condensed" w:eastAsia="Barlow Semi Condensed" w:hAnsi="Barlow Semi Condensed"/>
          <w:sz w:val="24"/>
          <w:szCs w:val="24"/>
        </w:rPr>
        <w:t xml:space="preserve"> per fatti connessi al conflitto (spionaggio, sabotaggio, reati annonari aggravati) (Wikipedia EN (https://en.wikipedia.org/wiki/Tribunale_speciale_per_la_difesa_dello_Stato_(1926%E2%80%931943))) — cioè la </w:t>
      </w:r>
      <w:r>
        <w:rPr>
          <w:rFonts w:ascii="Barlow Semi Condensed" w:cs="Barlow Semi Condensed" w:eastAsia="Barlow Semi Condensed" w:hAnsi="Barlow Semi Condensed"/>
          <w:b/>
          <w:bCs/>
          <w:sz w:val="24"/>
          <w:szCs w:val="24"/>
        </w:rPr>
        <w:t xml:space="preserve">grande maggioranza delle 42 pronunciate e 31 eseguite dell'intero sedicennio</w:t>
      </w:r>
      <w:r>
        <w:rPr>
          <w:rFonts w:ascii="Barlow Semi Condensed" w:cs="Barlow Semi Condensed" w:eastAsia="Barlow Semi Condensed" w:hAnsi="Barlow Semi Condensed"/>
          <w:sz w:val="24"/>
          <w:szCs w:val="24"/>
        </w:rPr>
        <w:t xml:space="preserve">. Il Tribunale «di pace» aveva ucciso con parsimonia calcolata (l'eco internazionale del caso Della Maggiora insegnò al regime il costo delle esecuzioni); il Tribunale di guerra uccise come un tribunale di guerra. Le due fasi vanno tenute distinte in ogni bilancio: la ferocia dell'istituto non fu costante, fu </w:t>
      </w:r>
      <w:r>
        <w:rPr>
          <w:rFonts w:ascii="Barlow Semi Condensed" w:cs="Barlow Semi Condensed" w:eastAsia="Barlow Semi Condensed" w:hAnsi="Barlow Semi Condensed"/>
          <w:b/>
          <w:bCs/>
          <w:sz w:val="24"/>
          <w:szCs w:val="24"/>
        </w:rPr>
        <w:t xml:space="preserve">crescente</w:t>
      </w:r>
      <w:r>
        <w:rPr>
          <w:rFonts w:ascii="Barlow Semi Condensed" w:cs="Barlow Semi Condensed" w:eastAsia="Barlow Semi Condensed" w:hAnsi="Barlow Semi Condensed"/>
          <w:sz w:val="24"/>
          <w:szCs w:val="24"/>
        </w:rPr>
        <w:t xml:space="preserve">.</w:t>
      </w:r>
    </w:p>
    <w:p>
      <w:pPr>
        <w:pStyle w:val="Heading2"/>
        <w:spacing w:after="100" w:before="200"/>
      </w:pPr>
      <w:r>
        <w:rPr>
          <w:rFonts w:ascii="Barlow Semi Condensed" w:cs="Barlow Semi Condensed" w:eastAsia="Barlow Semi Condensed" w:hAnsi="Barlow Semi Condensed"/>
          <w:sz w:val="24"/>
          <w:szCs w:val="24"/>
        </w:rPr>
        <w:t xml:space="preserve">S-8 · Il dopoguerra dei giudici: la questione dell'impunità</w:t>
      </w:r>
    </w:p>
    <w:p>
      <w:pPr>
        <w:spacing w:after="120" w:line="276"/>
        <w:jc w:val="both"/>
      </w:pPr>
      <w:r>
        <w:rPr>
          <w:rFonts w:ascii="Barlow Semi Condensed" w:cs="Barlow Semi Condensed" w:eastAsia="Barlow Semi Condensed" w:hAnsi="Barlow Semi Condensed"/>
          <w:sz w:val="24"/>
          <w:szCs w:val="24"/>
        </w:rPr>
        <w:t xml:space="preserve">Ultimo sottonodo, dichiarato nel suo grado. La storiografia ha posto il tema della </w:t>
      </w:r>
      <w:r>
        <w:rPr>
          <w:rFonts w:ascii="Barlow Semi Condensed" w:cs="Barlow Semi Condensed" w:eastAsia="Barlow Semi Condensed" w:hAnsi="Barlow Semi Condensed"/>
          <w:b/>
          <w:bCs/>
          <w:sz w:val="24"/>
          <w:szCs w:val="24"/>
        </w:rPr>
        <w:t xml:space="preserve">sostanziale impunità postbellica</w:t>
      </w:r>
      <w:r>
        <w:rPr>
          <w:rFonts w:ascii="Barlow Semi Condensed" w:cs="Barlow Semi Condensed" w:eastAsia="Barlow Semi Condensed" w:hAnsi="Barlow Semi Condensed"/>
          <w:sz w:val="24"/>
          <w:szCs w:val="24"/>
        </w:rPr>
        <w:t xml:space="preserve"> dei componenti del Tribunale (emblematico il titolo del saggio ripreso da Micciacorta: «Alla fiera dell'impunità. Il Tribunale speciale di Mussolini» (https://www.micciacorta.it/2017/01/22926/)): a differenza delle vittime, censite nome per nome dall'ANPPIA, i giudici non conobbero — nel loro complesso — processi né epurazioni proporzionate al ruolo svolto. Il sottonodo registra il </w:t>
      </w:r>
      <w:r>
        <w:rPr>
          <w:rFonts w:ascii="Barlow Semi Condensed" w:cs="Barlow Semi Condensed" w:eastAsia="Barlow Semi Condensed" w:hAnsi="Barlow Semi Condensed"/>
          <w:b/>
          <w:bCs/>
          <w:sz w:val="24"/>
          <w:szCs w:val="24"/>
        </w:rPr>
        <w:t xml:space="preserve">tema storiografico e la sua fonte</w:t>
      </w:r>
      <w:r>
        <w:rPr>
          <w:rFonts w:ascii="Barlow Semi Condensed" w:cs="Barlow Semi Condensed" w:eastAsia="Barlow Semi Condensed" w:hAnsi="Barlow Semi Condensed"/>
          <w:sz w:val="24"/>
          <w:szCs w:val="24"/>
        </w:rPr>
        <w:t xml:space="preserve">; i percorsi individuali dei singoli giudici nel dopoguerra non sono stati verificati in sessione e non se ne afferma alcuno. Resta il dato strutturale, documentato altrove nel corpus per altre vicende: le transizioni italiane puniscono raramente gli apparati.</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Registro dei sottonodi</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c>
          <w:tcPr>
            <w:tcW w:type="dxa" w:w="312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w:t>
            </w:r>
          </w:p>
        </w:tc>
        <w:tc>
          <w:tcPr>
            <w:tcW w:type="dxa" w:w="312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Sottonodo</w:t>
            </w:r>
          </w:p>
        </w:tc>
        <w:tc>
          <w:tcPr>
            <w:tcW w:type="dxa" w:w="312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Grado</w:t>
            </w:r>
          </w:p>
        </w:tc>
      </w:tr>
      <w:tr>
        <w:tc>
          <w:tcPr>
            <w:tcW w:type="dxa" w:w="3120"/>
          </w:tcPr>
          <w:p>
            <w:pPr>
              <w:spacing w:after="20" w:before="20"/>
              <w:jc w:val="both"/>
            </w:pPr>
            <w:r>
              <w:rPr>
                <w:rFonts w:ascii="Barlow Semi Condensed" w:cs="Barlow Semi Condensed" w:eastAsia="Barlow Semi Condensed" w:hAnsi="Barlow Semi Condensed"/>
                <w:sz w:val="20"/>
                <w:szCs w:val="20"/>
              </w:rPr>
              <w:t xml:space="preserve">S-1</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I tre presidenti e la fascistizzazione del vertice</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Documentato</w:t>
            </w:r>
          </w:p>
        </w:tc>
      </w:tr>
      <w:tr>
        <w:tc>
          <w:tcPr>
            <w:tcW w:type="dxa" w:w="3120"/>
          </w:tcPr>
          <w:p>
            <w:pPr>
              <w:spacing w:after="20" w:before="20"/>
              <w:jc w:val="both"/>
            </w:pPr>
            <w:r>
              <w:rPr>
                <w:rFonts w:ascii="Barlow Semi Condensed" w:cs="Barlow Semi Condensed" w:eastAsia="Barlow Semi Condensed" w:hAnsi="Barlow Semi Condensed"/>
                <w:sz w:val="20"/>
                <w:szCs w:val="20"/>
              </w:rPr>
              <w:t xml:space="preserve">S-2</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OVRA e istruttoria: la retata come metodo</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Documentato (riscontro interno con le schede bolognesi)</w:t>
            </w:r>
          </w:p>
        </w:tc>
      </w:tr>
      <w:tr>
        <w:tc>
          <w:tcPr>
            <w:tcW w:type="dxa" w:w="3120"/>
          </w:tcPr>
          <w:p>
            <w:pPr>
              <w:spacing w:after="20" w:before="20"/>
              <w:jc w:val="both"/>
            </w:pPr>
            <w:r>
              <w:rPr>
                <w:rFonts w:ascii="Barlow Semi Condensed" w:cs="Barlow Semi Condensed" w:eastAsia="Barlow Semi Condensed" w:hAnsi="Barlow Semi Condensed"/>
                <w:sz w:val="20"/>
                <w:szCs w:val="20"/>
              </w:rPr>
              <w:t xml:space="preserve">S-3</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I due processi di Trieste e la repressione anti-slava</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Documentato</w:t>
            </w:r>
          </w:p>
        </w:tc>
      </w:tr>
      <w:tr>
        <w:tc>
          <w:tcPr>
            <w:tcW w:type="dxa" w:w="3120"/>
          </w:tcPr>
          <w:p>
            <w:pPr>
              <w:spacing w:after="20" w:before="20"/>
              <w:jc w:val="both"/>
            </w:pPr>
            <w:r>
              <w:rPr>
                <w:rFonts w:ascii="Barlow Semi Condensed" w:cs="Barlow Semi Condensed" w:eastAsia="Barlow Semi Condensed" w:hAnsi="Barlow Semi Condensed"/>
                <w:sz w:val="20"/>
                <w:szCs w:val="20"/>
              </w:rPr>
              <w:t xml:space="preserve">S-4</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Prosopografia dei condannati che fecero la Repubblica</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Documentato</w:t>
            </w:r>
          </w:p>
        </w:tc>
      </w:tr>
      <w:tr>
        <w:tc>
          <w:tcPr>
            <w:tcW w:type="dxa" w:w="3120"/>
          </w:tcPr>
          <w:p>
            <w:pPr>
              <w:spacing w:after="20" w:before="20"/>
              <w:jc w:val="both"/>
            </w:pPr>
            <w:r>
              <w:rPr>
                <w:rFonts w:ascii="Barlow Semi Condensed" w:cs="Barlow Semi Condensed" w:eastAsia="Barlow Semi Condensed" w:hAnsi="Barlow Semi Condensed"/>
                <w:sz w:val="20"/>
                <w:szCs w:val="20"/>
              </w:rPr>
              <w:t xml:space="preserve">S-5</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La scala bolognese (4,6% dei deferiti, 8,4% dei condannati)</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Convergenza con cautela metodologica dichiarata</w:t>
            </w:r>
          </w:p>
        </w:tc>
      </w:tr>
      <w:tr>
        <w:tc>
          <w:tcPr>
            <w:tcW w:type="dxa" w:w="3120"/>
          </w:tcPr>
          <w:p>
            <w:pPr>
              <w:spacing w:after="20" w:before="20"/>
              <w:jc w:val="both"/>
            </w:pPr>
            <w:r>
              <w:rPr>
                <w:rFonts w:ascii="Barlow Semi Condensed" w:cs="Barlow Semi Condensed" w:eastAsia="Barlow Semi Condensed" w:hAnsi="Barlow Semi Condensed"/>
                <w:sz w:val="20"/>
                <w:szCs w:val="20"/>
              </w:rPr>
              <w:t xml:space="preserve">S-6</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Le donne davanti al Tribunale</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Filone segnalato; cifre non riscontrate, non date</w:t>
            </w:r>
          </w:p>
        </w:tc>
      </w:tr>
      <w:tr>
        <w:tc>
          <w:tcPr>
            <w:tcW w:type="dxa" w:w="3120"/>
          </w:tcPr>
          <w:p>
            <w:pPr>
              <w:spacing w:after="20" w:before="20"/>
              <w:jc w:val="both"/>
            </w:pPr>
            <w:r>
              <w:rPr>
                <w:rFonts w:ascii="Barlow Semi Condensed" w:cs="Barlow Semi Condensed" w:eastAsia="Barlow Semi Condensed" w:hAnsi="Barlow Semi Condensed"/>
                <w:sz w:val="20"/>
                <w:szCs w:val="20"/>
              </w:rPr>
              <w:t xml:space="preserve">S-7</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La svolta di guerra (33 condanne a morte pronunciate, 22 eseguite)</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Documentato su fonte enciclopedica, dichiarata</w:t>
            </w:r>
          </w:p>
        </w:tc>
      </w:tr>
      <w:tr>
        <w:tc>
          <w:tcPr>
            <w:tcW w:type="dxa" w:w="3120"/>
          </w:tcPr>
          <w:p>
            <w:pPr>
              <w:spacing w:after="20" w:before="20"/>
              <w:jc w:val="both"/>
            </w:pPr>
            <w:r>
              <w:rPr>
                <w:rFonts w:ascii="Barlow Semi Condensed" w:cs="Barlow Semi Condensed" w:eastAsia="Barlow Semi Condensed" w:hAnsi="Barlow Semi Condensed"/>
                <w:sz w:val="20"/>
                <w:szCs w:val="20"/>
              </w:rPr>
              <w:t xml:space="preserve">S-8</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L'impunità postbellica dei giudici</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Tema storiografico; nessun percorso individuale affermato</w:t>
            </w:r>
          </w:p>
        </w:tc>
      </w:tr>
    </w:tbl>
    <w:p>
      <w:pPr>
        <w:spacing w:after="80"/>
      </w:pPr>
    </w:p>
    <w:p>
      <w:pPr>
        <w:pBdr>
          <w:bottom w:val="single" w:color="999999" w:sz="6" w:space="1"/>
        </w:pBdr>
        <w:spacing w:after="80"/>
      </w:pPr>
    </w:p>
    <w:p>
      <w:pPr>
        <w:spacing w:after="120" w:line="276"/>
        <w:jc w:val="both"/>
      </w:pPr>
      <w:r>
        <w:rPr>
          <w:rFonts w:ascii="Barlow Semi Condensed" w:cs="Barlow Semi Condensed" w:eastAsia="Barlow Semi Condensed" w:hAnsi="Barlow Semi Condensed"/>
          <w:i/>
          <w:iCs/>
          <w:sz w:val="24"/>
          <w:szCs w:val="24"/>
        </w:rPr>
        <w:t xml:space="preserve">Approfondimento in otto sottonodi dello studio sul Tribunale Speciale. Ogni sottonodo con fonti e grado dichiarati; i due sottonodi non pienamente riscontrabili (S-6, S-8) sono lasciati al livello che le fonti consentono. Nessuna imputazione oltre il giudicato; nessun uso polemico retroattivo.</w:t>
      </w:r>
    </w:p>
    <w:p>
      <w:pPr>
        <w:pStyle w:val="Heading3"/>
        <w:spacing w:after="80" w:before="240"/>
      </w:pPr>
      <w:r>
        <w:rPr>
          <w:rFonts w:ascii="Barlow Semi Condensed" w:cs="Barlow Semi Condensed" w:eastAsia="Barlow Semi Condensed" w:hAnsi="Barlow Semi Condensed"/>
          <w:sz w:val="24"/>
          <w:szCs w:val="24"/>
        </w:rPr>
        <w:t xml:space="preserve">Apparato grafico — Libro sesto · Gli otto sottonodi</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3"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Libro sesto II: 1.269 parole in 9 sezioni; la più ampia è §4 S, con 220.</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4"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Libro sesto II: 17 indirizzi di fonte citati, addensati in 7 sezioni su 9.</w:t>
      </w:r>
    </w:p>
    <w:p>
      <w:pPr>
        <w:spacing w:after="120"/>
        <w:jc w:val="center"/>
      </w:pPr>
      <w:r>
        <w:rPr>
          <w:rFonts w:ascii="Barlow Semi Condensed" w:cs="Barlow Semi Condensed" w:eastAsia="Barlow Semi Condensed" w:hAnsi="Barlow Semi Condensed"/>
          <w:color w:val="777777"/>
          <w:sz w:val="16"/>
          <w:szCs w:val="16"/>
        </w:rPr>
        <w:t xml:space="preserve">Le metriche dell'apparato contano parole, documenti e atti — mai colpe.</w:t>
      </w:r>
    </w:p>
    <w:p>
      <w:r>
        <w:br w:type="page"/>
      </w:r>
    </w:p>
    <w:p>
      <w:pPr>
        <w:pStyle w:val="Heading1"/>
        <w:spacing w:after="120" w:before="240"/>
      </w:pPr>
      <w:r>
        <w:rPr>
          <w:rFonts w:ascii="Barlow Semi Condensed" w:cs="Barlow Semi Condensed" w:eastAsia="Barlow Semi Condensed" w:hAnsi="Barlow Semi Condensed"/>
          <w:sz w:val="24"/>
          <w:szCs w:val="24"/>
        </w:rPr>
        <w:t xml:space="preserve">Libro sesto — Il filo del 1926 — III. Gli amnistiati</w:t>
      </w:r>
    </w:p>
    <w:p>
      <w:pPr>
        <w:pStyle w:val="Heading1"/>
        <w:spacing w:after="120" w:before="240"/>
      </w:pPr>
      <w:r>
        <w:rPr>
          <w:rFonts w:ascii="Barlow Semi Condensed" w:cs="Barlow Semi Condensed" w:eastAsia="Barlow Semi Condensed" w:hAnsi="Barlow Semi Condensed"/>
          <w:sz w:val="24"/>
          <w:szCs w:val="24"/>
        </w:rPr>
        <w:t xml:space="preserve">Amnistiati del Tribunale Speciale per la Difesa dello Stato</w:t>
      </w:r>
    </w:p>
    <w:p>
      <w:pPr>
        <w:spacing w:after="120" w:line="276"/>
        <w:jc w:val="both"/>
      </w:pPr>
      <w:r>
        <w:rPr>
          <w:rFonts w:ascii="Barlow Semi Condensed" w:cs="Barlow Semi Condensed" w:eastAsia="Barlow Semi Condensed" w:hAnsi="Barlow Semi Condensed"/>
          <w:sz w:val="24"/>
          <w:szCs w:val="24"/>
        </w:rPr>
        <w:t xml:space="preserve">Elenco delle persone censite nell'archivio Storia e Memoria di Bologna (https://www.storiaememoriadibologna.it/archivio/organizzazioni/tribunale-speciale-la-difesa-dello-stato) che, dopo essere state condannate, deferite o ricercate dal Tribunale Speciale per la Difesa dello Stato (1926–1943), beneficiarono di un'amnistia.</w:t>
      </w:r>
    </w:p>
    <w:p>
      <w:pPr>
        <w:pBdr>
          <w:left w:val="single" w:color="1F3864" w:sz="18" w:space="8"/>
        </w:pBdr>
        <w:spacing w:after="80" w:before="80"/>
        <w:ind w:left="360" w:right="360"/>
        <w:jc w:val="both"/>
      </w:pPr>
      <w:r>
        <w:rPr>
          <w:rFonts w:ascii="Barlow Semi Condensed" w:cs="Barlow Semi Condensed" w:eastAsia="Barlow Semi Condensed" w:hAnsi="Barlow Semi Condensed"/>
          <w:b/>
          <w:bCs/>
          <w:i w:val="false"/>
          <w:iCs w:val="false"/>
          <w:sz w:val="24"/>
          <w:szCs w:val="24"/>
        </w:rPr>
        <w:t xml:space="preserve">Nota metodologica e limiti.</w:t>
      </w:r>
      <w:r>
        <w:rPr>
          <w:rFonts w:ascii="Barlow Semi Condensed" w:cs="Barlow Semi Condensed" w:eastAsia="Barlow Semi Condensed" w:hAnsi="Barlow Semi Condensed"/>
          <w:i w:val="false"/>
          <w:iCs w:val="false"/>
          <w:sz w:val="24"/>
          <w:szCs w:val="24"/>
        </w:rPr>
        <w:t xml:space="preserve"> Il sito storiaememoriadibologna.it non è raggiungibile direttamente dall'ambiente di lavoro (accesso bloccato dalla policy di rete), quindi l'elenco è stato ricostruito interrogando sistematicamente i motori di ricerca sulle pagine dell'archivio. </w:t>
      </w:r>
      <w:r>
        <w:rPr>
          <w:rFonts w:ascii="Barlow Semi Condensed" w:cs="Barlow Semi Condensed" w:eastAsia="Barlow Semi Condensed" w:hAnsi="Barlow Semi Condensed"/>
          <w:b/>
          <w:bCs/>
          <w:i w:val="false"/>
          <w:iCs w:val="false"/>
          <w:sz w:val="24"/>
          <w:szCs w:val="24"/>
        </w:rPr>
        <w:t xml:space="preserve">L'elenco non è esaustivo</w:t>
      </w:r>
      <w:r>
        <w:rPr>
          <w:rFonts w:ascii="Barlow Semi Condensed" w:cs="Barlow Semi Condensed" w:eastAsia="Barlow Semi Condensed" w:hAnsi="Barlow Semi Condensed"/>
          <w:i w:val="false"/>
          <w:iCs w:val="false"/>
          <w:sz w:val="24"/>
          <w:szCs w:val="24"/>
        </w:rPr>
        <w:t xml:space="preserve">: l'archivio bolognese censisce 734 antifascisti deferiti al Tribunale Speciale, di cui 384 condannati, e la sola amnistia del decennale (4 novembre 1932) liberò a livello nazionale 639 dei 1.056 detenuti condannati dal Tribunale, oltre a 595 confinati. Qui sono riportati i casi individuali effettivamente rintracciati, ciascuno con il link alla scheda originale per la verifica.</w:t>
      </w:r>
    </w:p>
    <w:p>
      <w:pPr>
        <w:pStyle w:val="Heading2"/>
        <w:spacing w:after="100" w:before="200"/>
      </w:pPr>
      <w:r>
        <w:rPr>
          <w:rFonts w:ascii="Barlow Semi Condensed" w:cs="Barlow Semi Condensed" w:eastAsia="Barlow Semi Condensed" w:hAnsi="Barlow Semi Condensed"/>
          <w:sz w:val="24"/>
          <w:szCs w:val="24"/>
        </w:rPr>
        <w:t xml:space="preserve">Le amnistie durante il fascismo</w:t>
      </w:r>
    </w:p>
    <w:p>
      <w:pPr>
        <w:spacing w:after="120" w:line="276"/>
        <w:jc w:val="both"/>
      </w:pPr>
      <w:r>
        <w:rPr>
          <w:rFonts w:ascii="Barlow Semi Condensed" w:cs="Barlow Semi Condensed" w:eastAsia="Barlow Semi Condensed" w:hAnsi="Barlow Semi Condensed"/>
          <w:sz w:val="24"/>
          <w:szCs w:val="24"/>
        </w:rPr>
        <w:t xml:space="preserve">Secondo la scheda "Amnistie durante il Fascismo" (https://www.storiaememoriadibologna.it/archivio/eventi/amnistie-durante-il-fascismo) del medesimo archivio, durante il regime furono concesse </w:t>
      </w:r>
      <w:r>
        <w:rPr>
          <w:rFonts w:ascii="Barlow Semi Condensed" w:cs="Barlow Semi Condensed" w:eastAsia="Barlow Semi Condensed" w:hAnsi="Barlow Semi Condensed"/>
          <w:b/>
          <w:bCs/>
          <w:sz w:val="24"/>
          <w:szCs w:val="24"/>
        </w:rPr>
        <w:t xml:space="preserve">sette amnistie</w:t>
      </w:r>
      <w:r>
        <w:rPr>
          <w:rFonts w:ascii="Barlow Semi Condensed" w:cs="Barlow Semi Condensed" w:eastAsia="Barlow Semi Condensed" w:hAnsi="Barlow Semi Condensed"/>
          <w:sz w:val="24"/>
          <w:szCs w:val="24"/>
        </w:rPr>
        <w:t xml:space="preserve">. Le più rilevanti per i condannati del Tribunale Speciale:</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5 novembre 1932</w:t>
      </w:r>
      <w:r>
        <w:rPr>
          <w:rFonts w:ascii="Barlow Semi Condensed" w:cs="Barlow Semi Condensed" w:eastAsia="Barlow Semi Condensed" w:hAnsi="Barlow Semi Condensed"/>
          <w:sz w:val="24"/>
          <w:szCs w:val="24"/>
        </w:rPr>
        <w:t xml:space="preserve"> – amnistia per il </w:t>
      </w:r>
      <w:r>
        <w:rPr>
          <w:rFonts w:ascii="Barlow Semi Condensed" w:cs="Barlow Semi Condensed" w:eastAsia="Barlow Semi Condensed" w:hAnsi="Barlow Semi Condensed"/>
          <w:b/>
          <w:bCs/>
          <w:sz w:val="24"/>
          <w:szCs w:val="24"/>
        </w:rPr>
        <w:t xml:space="preserve">decennale fascista</w:t>
      </w:r>
      <w:r>
        <w:rPr>
          <w:rFonts w:ascii="Barlow Semi Condensed" w:cs="Barlow Semi Condensed" w:eastAsia="Barlow Semi Condensed" w:hAnsi="Barlow Semi Condensed"/>
          <w:sz w:val="24"/>
          <w:szCs w:val="24"/>
        </w:rPr>
        <w:t xml:space="preserve">: restituì la libertà a migliaia di antifascisti condannati dal Tribunale Speciale o confinati nelle isole (639 detenuti liberati su 1.056, più 595 confinati).</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17 ottobre 1942</w:t>
      </w:r>
      <w:r>
        <w:rPr>
          <w:rFonts w:ascii="Barlow Semi Condensed" w:cs="Barlow Semi Condensed" w:eastAsia="Barlow Semi Condensed" w:hAnsi="Barlow Semi Condensed"/>
          <w:sz w:val="24"/>
          <w:szCs w:val="24"/>
        </w:rPr>
        <w:t xml:space="preserve"> – amnistia per il </w:t>
      </w:r>
      <w:r>
        <w:rPr>
          <w:rFonts w:ascii="Barlow Semi Condensed" w:cs="Barlow Semi Condensed" w:eastAsia="Barlow Semi Condensed" w:hAnsi="Barlow Semi Condensed"/>
          <w:b/>
          <w:bCs/>
          <w:sz w:val="24"/>
          <w:szCs w:val="24"/>
        </w:rPr>
        <w:t xml:space="preserve">ventennale fascista</w:t>
      </w:r>
      <w:r>
        <w:rPr>
          <w:rFonts w:ascii="Barlow Semi Condensed" w:cs="Barlow Semi Condensed" w:eastAsia="Barlow Semi Condensed" w:hAnsi="Barlow Semi Condensed"/>
          <w:sz w:val="24"/>
          <w:szCs w:val="24"/>
        </w:rPr>
        <w:t xml:space="preserve">: di portata molto limitata.</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1. Amnistia del decennale fascista (novembre 1932 – 1933)</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c>
          <w:tcPr>
            <w:tcW w:type="dxa" w:w="468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Persona</w:t>
            </w:r>
          </w:p>
        </w:tc>
        <w:tc>
          <w:tcPr>
            <w:tcW w:type="dxa" w:w="468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Vicenda e beneficio dell'amnistia</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Alberoni Alfonso (https://www.storiaememoriadibologna.it/archivio/persone/alberoni-alfonso)</w:t>
            </w:r>
          </w:p>
        </w:tc>
        <w:tc>
          <w:tcPr>
            <w:tcW w:type="dxa" w:w="4680"/>
          </w:tcPr>
          <w:p>
            <w:pPr>
              <w:spacing w:after="20" w:before="20"/>
              <w:jc w:val="both"/>
            </w:pPr>
            <w:r>
              <w:rPr>
                <w:rFonts w:ascii="Barlow Semi Condensed" w:cs="Barlow Semi Condensed" w:eastAsia="Barlow Semi Condensed" w:hAnsi="Barlow Semi Condensed"/>
                <w:sz w:val="20"/>
                <w:szCs w:val="20"/>
              </w:rPr>
              <w:t xml:space="preserve">PSI. Arrestato il 15/5/1932 per offese pubbliche a Mussolini e deferito al Tribunale Speciale; prosciolto per l'amnistia del decennale, ma assegnato a 2 anni di confino alle isole Tremiti (fino al 17/6/1934).</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Alessandri Guido (https://www.storiaememoriadibologna.it/archivio/persone/alessandri-guido)</w:t>
            </w:r>
          </w:p>
        </w:tc>
        <w:tc>
          <w:tcPr>
            <w:tcW w:type="dxa" w:w="4680"/>
          </w:tcPr>
          <w:p>
            <w:pPr>
              <w:spacing w:after="20" w:before="20"/>
              <w:jc w:val="both"/>
            </w:pPr>
            <w:r>
              <w:rPr>
                <w:rFonts w:ascii="Barlow Semi Condensed" w:cs="Barlow Semi Condensed" w:eastAsia="Barlow Semi Condensed" w:hAnsi="Barlow Semi Condensed"/>
                <w:sz w:val="20"/>
                <w:szCs w:val="20"/>
              </w:rPr>
              <w:t xml:space="preserve">Arrestato il 17/10/1927; detenuto a Bologna, Roma, Perugia, Viterbo e Alessandria; liberato nel dicembre 1932 per l'amnistia del decennale.</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Bassi Ugo (https://www.storiaememoriadibologna.it/archivio/persone/bassi-ugo-1)</w:t>
            </w:r>
          </w:p>
        </w:tc>
        <w:tc>
          <w:tcPr>
            <w:tcW w:type="dxa" w:w="4680"/>
          </w:tcPr>
          <w:p>
            <w:pPr>
              <w:spacing w:after="20" w:before="20"/>
              <w:jc w:val="both"/>
            </w:pPr>
            <w:r>
              <w:rPr>
                <w:rFonts w:ascii="Barlow Semi Condensed" w:cs="Barlow Semi Condensed" w:eastAsia="Barlow Semi Condensed" w:hAnsi="Barlow Semi Condensed"/>
                <w:sz w:val="20"/>
                <w:szCs w:val="20"/>
              </w:rPr>
              <w:t xml:space="preserve">Arrestato il 27/8/1932 con altri 55 antifascisti (appartenenza al PCI e propaganda); prosciolto per amnistia con ordinanza del 10/12/1932.</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Benfenati Modesto detto Boretti (https://www.storiaememoriadibologna.it/archivio/persone/benfenati-modesto-dettoa-boretti)</w:t>
            </w:r>
          </w:p>
        </w:tc>
        <w:tc>
          <w:tcPr>
            <w:tcW w:type="dxa" w:w="4680"/>
          </w:tcPr>
          <w:p>
            <w:pPr>
              <w:spacing w:after="20" w:before="20"/>
              <w:jc w:val="both"/>
            </w:pPr>
            <w:r>
              <w:rPr>
                <w:rFonts w:ascii="Barlow Semi Condensed" w:cs="Barlow Semi Condensed" w:eastAsia="Barlow Semi Condensed" w:hAnsi="Barlow Semi Condensed"/>
                <w:sz w:val="20"/>
                <w:szCs w:val="20"/>
              </w:rPr>
              <w:t xml:space="preserve">Ferroviere, PCI. Arrestato nel 1932; amnistiato con ordinanza del 10/12/1932 (poi confinato a Ponza nel 1933 e nuovamente condannato dal Tribunale Speciale a 6 anni nel 1938).</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Bernagozzi Lino (https://www.storiaememoriadibologna.it/archivio/persone/bernagozzi-lino)</w:t>
            </w:r>
          </w:p>
        </w:tc>
        <w:tc>
          <w:tcPr>
            <w:tcW w:type="dxa" w:w="4680"/>
          </w:tcPr>
          <w:p>
            <w:pPr>
              <w:spacing w:after="20" w:before="20"/>
              <w:jc w:val="both"/>
            </w:pPr>
            <w:r>
              <w:rPr>
                <w:rFonts w:ascii="Barlow Semi Condensed" w:cs="Barlow Semi Condensed" w:eastAsia="Barlow Semi Condensed" w:hAnsi="Barlow Semi Condensed"/>
                <w:sz w:val="20"/>
                <w:szCs w:val="20"/>
              </w:rPr>
              <w:t xml:space="preserve">PCI. Arrestato il 4/8/1932 con altri 54 militanti antifascisti e deferito al Tribunale Speciale per "riorganizzazione del PCI"; liberato il 12/12/1932.</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Bignami Torquato (https://www.storiaememoriadibologna.it/archivio/persone/bignami-torquato)</w:t>
            </w:r>
          </w:p>
        </w:tc>
        <w:tc>
          <w:tcPr>
            <w:tcW w:type="dxa" w:w="4680"/>
          </w:tcPr>
          <w:p>
            <w:pPr>
              <w:spacing w:after="20" w:before="20"/>
              <w:jc w:val="both"/>
            </w:pPr>
            <w:r>
              <w:rPr>
                <w:rFonts w:ascii="Barlow Semi Condensed" w:cs="Barlow Semi Condensed" w:eastAsia="Barlow Semi Condensed" w:hAnsi="Barlow Semi Condensed"/>
                <w:sz w:val="20"/>
                <w:szCs w:val="20"/>
              </w:rPr>
              <w:t xml:space="preserve">Liberato il 23/1/1933 in seguito all'amnistia del decennale.</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Brini Ubaldo (https://www.storiaememoriadibologna.it/brini-ubaldo-509655-persona)</w:t>
            </w:r>
          </w:p>
        </w:tc>
        <w:tc>
          <w:tcPr>
            <w:tcW w:type="dxa" w:w="4680"/>
          </w:tcPr>
          <w:p>
            <w:pPr>
              <w:spacing w:after="20" w:before="20"/>
              <w:jc w:val="both"/>
            </w:pPr>
            <w:r>
              <w:rPr>
                <w:rFonts w:ascii="Barlow Semi Condensed" w:cs="Barlow Semi Condensed" w:eastAsia="Barlow Semi Condensed" w:hAnsi="Barlow Semi Condensed"/>
                <w:sz w:val="20"/>
                <w:szCs w:val="20"/>
              </w:rPr>
              <w:t xml:space="preserve">Liberato con ordinanza n. 253 del 10/12/1932 in seguito all'amnistia del decennale.</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Capelli Antonino detto Spartaco (https://www.storiaememoriadibologna.it/archivio/persone/capelli-antonino-dettoa-spartaco)</w:t>
            </w:r>
          </w:p>
        </w:tc>
        <w:tc>
          <w:tcPr>
            <w:tcW w:type="dxa" w:w="4680"/>
          </w:tcPr>
          <w:p>
            <w:pPr>
              <w:spacing w:after="20" w:before="20"/>
              <w:jc w:val="both"/>
            </w:pPr>
            <w:r>
              <w:rPr>
                <w:rFonts w:ascii="Barlow Semi Condensed" w:cs="Barlow Semi Condensed" w:eastAsia="Barlow Semi Condensed" w:hAnsi="Barlow Semi Condensed"/>
                <w:sz w:val="20"/>
                <w:szCs w:val="20"/>
              </w:rPr>
              <w:t xml:space="preserve">Liberato il 15/11/1932 in seguito all'amnistia del decennale.</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Casadei Dino detto Bestione (https://www.storiaememoriadibologna.it/archivio/persone/casadei-dino-dettoa-bestione)</w:t>
            </w:r>
          </w:p>
        </w:tc>
        <w:tc>
          <w:tcPr>
            <w:tcW w:type="dxa" w:w="4680"/>
          </w:tcPr>
          <w:p>
            <w:pPr>
              <w:spacing w:after="20" w:before="20"/>
              <w:jc w:val="both"/>
            </w:pPr>
            <w:r>
              <w:rPr>
                <w:rFonts w:ascii="Barlow Semi Condensed" w:cs="Barlow Semi Condensed" w:eastAsia="Barlow Semi Condensed" w:hAnsi="Barlow Semi Condensed"/>
                <w:sz w:val="20"/>
                <w:szCs w:val="20"/>
              </w:rPr>
              <w:t xml:space="preserve">Arrestato nell'agosto 1932 a Bologna; liberato nel dicembre 1932 grazie all'amnistia del decennale.</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Fabbri Alberto detto Cri Cri (https://www.storiaememoriadibologna.it/archivio/persone/fabbri-alberto-dettoa-cri-cri)</w:t>
            </w:r>
          </w:p>
        </w:tc>
        <w:tc>
          <w:tcPr>
            <w:tcW w:type="dxa" w:w="4680"/>
          </w:tcPr>
          <w:p>
            <w:pPr>
              <w:spacing w:after="20" w:before="20"/>
              <w:jc w:val="both"/>
            </w:pPr>
            <w:r>
              <w:rPr>
                <w:rFonts w:ascii="Barlow Semi Condensed" w:cs="Barlow Semi Condensed" w:eastAsia="Barlow Semi Condensed" w:hAnsi="Barlow Semi Condensed"/>
                <w:sz w:val="20"/>
                <w:szCs w:val="20"/>
              </w:rPr>
              <w:t xml:space="preserve">Condannato il 27/6/1928 a 9 anni, 10 mesi e 12 giorni di reclusione; liberato per amnistia e indulto il 28/11/1932.</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Fabbri Andrea (https://www.storiaememoriadibologna.it/archivio/persone/fabbri-andrea)</w:t>
            </w:r>
          </w:p>
        </w:tc>
        <w:tc>
          <w:tcPr>
            <w:tcW w:type="dxa" w:w="4680"/>
          </w:tcPr>
          <w:p>
            <w:pPr>
              <w:spacing w:after="20" w:before="20"/>
              <w:jc w:val="both"/>
            </w:pPr>
            <w:r>
              <w:rPr>
                <w:rFonts w:ascii="Barlow Semi Condensed" w:cs="Barlow Semi Condensed" w:eastAsia="Barlow Semi Condensed" w:hAnsi="Barlow Semi Condensed"/>
                <w:sz w:val="20"/>
                <w:szCs w:val="20"/>
              </w:rPr>
              <w:t xml:space="preserve">Liberato il 15/11/1932; sottoposto a vigilanza speciale fino al 30/3/1936.</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Fiorini Mario (https://storiaememoriadibologna.it/archivio/persone/fiorini-mario-1)</w:t>
            </w:r>
          </w:p>
        </w:tc>
        <w:tc>
          <w:tcPr>
            <w:tcW w:type="dxa" w:w="4680"/>
          </w:tcPr>
          <w:p>
            <w:pPr>
              <w:spacing w:after="20" w:before="20"/>
              <w:jc w:val="both"/>
            </w:pPr>
            <w:r>
              <w:rPr>
                <w:rFonts w:ascii="Barlow Semi Condensed" w:cs="Barlow Semi Condensed" w:eastAsia="Barlow Semi Condensed" w:hAnsi="Barlow Semi Condensed"/>
                <w:sz w:val="20"/>
                <w:szCs w:val="20"/>
              </w:rPr>
              <w:t xml:space="preserve">Liberato con ordinanza del 10/12/1932 per l'amnistia del decennale.</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Gaiani Renato (https://www.storiaememoriadibologna.it/archivio/persone/gaiani-renato)</w:t>
            </w:r>
          </w:p>
        </w:tc>
        <w:tc>
          <w:tcPr>
            <w:tcW w:type="dxa" w:w="4680"/>
          </w:tcPr>
          <w:p>
            <w:pPr>
              <w:spacing w:after="20" w:before="20"/>
              <w:jc w:val="both"/>
            </w:pPr>
            <w:r>
              <w:rPr>
                <w:rFonts w:ascii="Barlow Semi Condensed" w:cs="Barlow Semi Condensed" w:eastAsia="Barlow Semi Condensed" w:hAnsi="Barlow Semi Condensed"/>
                <w:sz w:val="20"/>
                <w:szCs w:val="20"/>
              </w:rPr>
              <w:t xml:space="preserve">Socialista massimalista, accusato di appartenere all'organizzazione bolognese di Giustizia e Libertà; deferito al Tribunale Speciale e confinato a Lipari (5 anni dal 7/7/1931); tornò in libertà il 19/11/1932.</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Ghini Cairo (https://www.storiaememoriadibologna.it/ghini-cairo-498297-persona)</w:t>
            </w:r>
          </w:p>
        </w:tc>
        <w:tc>
          <w:tcPr>
            <w:tcW w:type="dxa" w:w="4680"/>
          </w:tcPr>
          <w:p>
            <w:pPr>
              <w:spacing w:after="20" w:before="20"/>
              <w:jc w:val="both"/>
            </w:pPr>
            <w:r>
              <w:rPr>
                <w:rFonts w:ascii="Barlow Semi Condensed" w:cs="Barlow Semi Condensed" w:eastAsia="Barlow Semi Condensed" w:hAnsi="Barlow Semi Condensed"/>
                <w:sz w:val="20"/>
                <w:szCs w:val="20"/>
              </w:rPr>
              <w:t xml:space="preserve">Operaio meccanico, PCI. Arrestato il 26/8/1932 con altri 54 antifascisti e deferito per "organizzazione comunista"; il 12/12/1932 amnistiato, diffidato e liberato.</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Lelli Giovanni detto Airone (https://storiaememoriadibologna.it/lelli-giovanni-513442-persona)</w:t>
            </w:r>
          </w:p>
        </w:tc>
        <w:tc>
          <w:tcPr>
            <w:tcW w:type="dxa" w:w="4680"/>
          </w:tcPr>
          <w:p>
            <w:pPr>
              <w:spacing w:after="20" w:before="20"/>
              <w:jc w:val="both"/>
            </w:pPr>
            <w:r>
              <w:rPr>
                <w:rFonts w:ascii="Barlow Semi Condensed" w:cs="Barlow Semi Condensed" w:eastAsia="Barlow Semi Condensed" w:hAnsi="Barlow Semi Condensed"/>
                <w:sz w:val="20"/>
                <w:szCs w:val="20"/>
              </w:rPr>
              <w:t xml:space="preserve">Liberato nel novembre 1932 per l'amnistia del decennale; in seguito sottoposto a sorveglianza.</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Mainetti Cleto (https://storiaememoriadibologna.it/archivio/persone/mainetti-cleto)</w:t>
            </w:r>
          </w:p>
        </w:tc>
        <w:tc>
          <w:tcPr>
            <w:tcW w:type="dxa" w:w="4680"/>
          </w:tcPr>
          <w:p>
            <w:pPr>
              <w:spacing w:after="20" w:before="20"/>
              <w:jc w:val="both"/>
            </w:pPr>
            <w:r>
              <w:rPr>
                <w:rFonts w:ascii="Barlow Semi Condensed" w:cs="Barlow Semi Condensed" w:eastAsia="Barlow Semi Condensed" w:hAnsi="Barlow Semi Condensed"/>
                <w:sz w:val="20"/>
                <w:szCs w:val="20"/>
              </w:rPr>
              <w:t xml:space="preserve">Amnistiato il 13/11/1932 per il decennale fascista.</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Manzoni Aldo (https://www.storiaememoriadibologna.it/archivio/persone/manzoni-aldo)</w:t>
            </w:r>
          </w:p>
        </w:tc>
        <w:tc>
          <w:tcPr>
            <w:tcW w:type="dxa" w:w="4680"/>
          </w:tcPr>
          <w:p>
            <w:pPr>
              <w:spacing w:after="20" w:before="20"/>
              <w:jc w:val="both"/>
            </w:pPr>
            <w:r>
              <w:rPr>
                <w:rFonts w:ascii="Barlow Semi Condensed" w:cs="Barlow Semi Condensed" w:eastAsia="Barlow Semi Condensed" w:hAnsi="Barlow Semi Condensed"/>
                <w:sz w:val="20"/>
                <w:szCs w:val="20"/>
              </w:rPr>
              <w:t xml:space="preserve">Tornò in libertà il 12/11/1932 in seguito all'amnistia del decennale.</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Melotti Mario (https://www.storiaememoriadibologna.it/melotti-mario-516298-persona)</w:t>
            </w:r>
          </w:p>
        </w:tc>
        <w:tc>
          <w:tcPr>
            <w:tcW w:type="dxa" w:w="4680"/>
          </w:tcPr>
          <w:p>
            <w:pPr>
              <w:spacing w:after="20" w:before="20"/>
              <w:jc w:val="both"/>
            </w:pPr>
            <w:r>
              <w:rPr>
                <w:rFonts w:ascii="Barlow Semi Condensed" w:cs="Barlow Semi Condensed" w:eastAsia="Barlow Semi Condensed" w:hAnsi="Barlow Semi Condensed"/>
                <w:sz w:val="20"/>
                <w:szCs w:val="20"/>
              </w:rPr>
              <w:t xml:space="preserve">Liberato dal carcere di Padova il 17/11/1932 per l'amnistia del decennale.</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Montanari Walter (https://www.storiaememoriadibologna.it/montanari-walter-498620-persona)</w:t>
            </w:r>
          </w:p>
        </w:tc>
        <w:tc>
          <w:tcPr>
            <w:tcW w:type="dxa" w:w="4680"/>
          </w:tcPr>
          <w:p>
            <w:pPr>
              <w:spacing w:after="20" w:before="20"/>
              <w:jc w:val="both"/>
            </w:pPr>
            <w:r>
              <w:rPr>
                <w:rFonts w:ascii="Barlow Semi Condensed" w:cs="Barlow Semi Condensed" w:eastAsia="Barlow Semi Condensed" w:hAnsi="Barlow Semi Condensed"/>
                <w:sz w:val="20"/>
                <w:szCs w:val="20"/>
              </w:rPr>
              <w:t xml:space="preserve">Arrestato nel giugno 1932 (cellula PCI di Corticella, scritte murali antifasciste); assolto dal Tribunale Speciale il 12/12/1932 grazie all'amnistia; 2 anni di ammonizione.</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Monterumici Bruno detto Roberti (https://www.storiaememoriadibologna.it/archivio/persone/monterumici-bruno-dettoa-roberti)</w:t>
            </w:r>
          </w:p>
        </w:tc>
        <w:tc>
          <w:tcPr>
            <w:tcW w:type="dxa" w:w="4680"/>
          </w:tcPr>
          <w:p>
            <w:pPr>
              <w:spacing w:after="20" w:before="20"/>
              <w:jc w:val="both"/>
            </w:pPr>
            <w:r>
              <w:rPr>
                <w:rFonts w:ascii="Barlow Semi Condensed" w:cs="Barlow Semi Condensed" w:eastAsia="Barlow Semi Condensed" w:hAnsi="Barlow Semi Condensed"/>
                <w:sz w:val="20"/>
                <w:szCs w:val="20"/>
              </w:rPr>
              <w:t xml:space="preserve">Dirigente FGCI. Condannato il 10/8/1928 a 7 anni e 10 mesi per "ricostituzione del PCI e propaganda sovversiva"; detenuto a Volterra e Viterbo; liberato il 5/11/1932.</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Monti Diego (https://www.storiaememoriadibologna.it/archivio/persone/monti-diego)</w:t>
            </w:r>
          </w:p>
        </w:tc>
        <w:tc>
          <w:tcPr>
            <w:tcW w:type="dxa" w:w="4680"/>
          </w:tcPr>
          <w:p>
            <w:pPr>
              <w:spacing w:after="20" w:before="20"/>
              <w:jc w:val="both"/>
            </w:pPr>
            <w:r>
              <w:rPr>
                <w:rFonts w:ascii="Barlow Semi Condensed" w:cs="Barlow Semi Condensed" w:eastAsia="Barlow Semi Condensed" w:hAnsi="Barlow Semi Condensed"/>
                <w:sz w:val="20"/>
                <w:szCs w:val="20"/>
              </w:rPr>
              <w:t xml:space="preserve">Scarcerato il 12/11/1932 in seguito alla concessione dell'amnistia del decennale.</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Negrini Antonio (https://www.storiaememoriadibologna.it/archivio/persone/negrini-antonio)</w:t>
            </w:r>
          </w:p>
        </w:tc>
        <w:tc>
          <w:tcPr>
            <w:tcW w:type="dxa" w:w="4680"/>
          </w:tcPr>
          <w:p>
            <w:pPr>
              <w:spacing w:after="20" w:before="20"/>
              <w:jc w:val="both"/>
            </w:pPr>
            <w:r>
              <w:rPr>
                <w:rFonts w:ascii="Barlow Semi Condensed" w:cs="Barlow Semi Condensed" w:eastAsia="Barlow Semi Condensed" w:hAnsi="Barlow Semi Condensed"/>
                <w:sz w:val="20"/>
                <w:szCs w:val="20"/>
              </w:rPr>
              <w:t xml:space="preserve">Muratore, PCI (Medicina). Condannato il 24/6/1931 a 2 anni e 6 mesi; liberato il 5/11/1932 in seguito all'amnistia del decennale.</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Olivieri Antonino, detto Antonio (https://www.storiaememoriadibologna.it/archivio/persone/olivieri-antonino-detto-antonio)</w:t>
            </w:r>
          </w:p>
        </w:tc>
        <w:tc>
          <w:tcPr>
            <w:tcW w:type="dxa" w:w="4680"/>
          </w:tcPr>
          <w:p>
            <w:pPr>
              <w:spacing w:after="20" w:before="20"/>
              <w:jc w:val="both"/>
            </w:pPr>
            <w:r>
              <w:rPr>
                <w:rFonts w:ascii="Barlow Semi Condensed" w:cs="Barlow Semi Condensed" w:eastAsia="Barlow Semi Condensed" w:hAnsi="Barlow Semi Condensed"/>
                <w:sz w:val="20"/>
                <w:szCs w:val="20"/>
              </w:rPr>
              <w:t xml:space="preserve">Falegname, PCI (Imola). Emigrato clandestinamente in Francia; il mandato di cattura fu revocato nel 1933 grazie all'amnistia del decennale (non rientrò mai in Italia).</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Orsini Dante (https://www.storiaememoriadibologna.it/archivio/persone/orsini-dante)</w:t>
            </w:r>
          </w:p>
        </w:tc>
        <w:tc>
          <w:tcPr>
            <w:tcW w:type="dxa" w:w="4680"/>
          </w:tcPr>
          <w:p>
            <w:pPr>
              <w:spacing w:after="20" w:before="20"/>
              <w:jc w:val="both"/>
            </w:pPr>
            <w:r>
              <w:rPr>
                <w:rFonts w:ascii="Barlow Semi Condensed" w:cs="Barlow Semi Condensed" w:eastAsia="Barlow Semi Condensed" w:hAnsi="Barlow Semi Condensed"/>
                <w:sz w:val="20"/>
                <w:szCs w:val="20"/>
              </w:rPr>
              <w:t xml:space="preserve">Liberato il 15/12/1932 in seguito all'amnistia del decennale.</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Ottani Agostino detto Sergio (https://www.storiaememoriadibologna.it/archivio/persone/ottani-agostino-dettoa-sergio)</w:t>
            </w:r>
          </w:p>
        </w:tc>
        <w:tc>
          <w:tcPr>
            <w:tcW w:type="dxa" w:w="4680"/>
          </w:tcPr>
          <w:p>
            <w:pPr>
              <w:spacing w:after="20" w:before="20"/>
              <w:jc w:val="both"/>
            </w:pPr>
            <w:r>
              <w:rPr>
                <w:rFonts w:ascii="Barlow Semi Condensed" w:cs="Barlow Semi Condensed" w:eastAsia="Barlow Semi Condensed" w:hAnsi="Barlow Semi Condensed"/>
                <w:sz w:val="20"/>
                <w:szCs w:val="20"/>
              </w:rPr>
              <w:t xml:space="preserve">Liberato dopo 2 anni di detenzione in occasione dell'amnistia del decennale.</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Piana Adelmo detto Calzolaio (https://www.storiaememoriadibologna.it/archivio/persone/piana-adelmo-dettoa-calzolaio)</w:t>
            </w:r>
          </w:p>
        </w:tc>
        <w:tc>
          <w:tcPr>
            <w:tcW w:type="dxa" w:w="4680"/>
          </w:tcPr>
          <w:p>
            <w:pPr>
              <w:spacing w:after="20" w:before="20"/>
              <w:jc w:val="both"/>
            </w:pPr>
            <w:r>
              <w:rPr>
                <w:rFonts w:ascii="Barlow Semi Condensed" w:cs="Barlow Semi Condensed" w:eastAsia="Barlow Semi Condensed" w:hAnsi="Barlow Semi Condensed"/>
                <w:sz w:val="20"/>
                <w:szCs w:val="20"/>
              </w:rPr>
              <w:t xml:space="preserve">Liberato con ordinanza del 10/12/1932, beneficiando dell'amnistia del decennale.</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Poletti Enrico (https://www.storiaememoriadibologna.it/archivio/persone/poletti-enrico)</w:t>
            </w:r>
          </w:p>
        </w:tc>
        <w:tc>
          <w:tcPr>
            <w:tcW w:type="dxa" w:w="4680"/>
          </w:tcPr>
          <w:p>
            <w:pPr>
              <w:spacing w:after="20" w:before="20"/>
              <w:jc w:val="both"/>
            </w:pPr>
            <w:r>
              <w:rPr>
                <w:rFonts w:ascii="Barlow Semi Condensed" w:cs="Barlow Semi Condensed" w:eastAsia="Barlow Semi Condensed" w:hAnsi="Barlow Semi Condensed"/>
                <w:sz w:val="20"/>
                <w:szCs w:val="20"/>
              </w:rPr>
              <w:t xml:space="preserve">Liberato il 14/11/1932 in seguito all'amnistia concessa per il decennale.</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Poletti Guerrino (https://www.storiaememoriadibologna.it/archivio/persone/poletti-guerrino)</w:t>
            </w:r>
          </w:p>
        </w:tc>
        <w:tc>
          <w:tcPr>
            <w:tcW w:type="dxa" w:w="4680"/>
          </w:tcPr>
          <w:p>
            <w:pPr>
              <w:spacing w:after="20" w:before="20"/>
              <w:jc w:val="both"/>
            </w:pPr>
            <w:r>
              <w:rPr>
                <w:rFonts w:ascii="Barlow Semi Condensed" w:cs="Barlow Semi Condensed" w:eastAsia="Barlow Semi Condensed" w:hAnsi="Barlow Semi Condensed"/>
                <w:sz w:val="20"/>
                <w:szCs w:val="20"/>
              </w:rPr>
              <w:t xml:space="preserve">Colono, PCI (Imola). Deferito al Tribunale Speciale e prosciolto in istruttoria ma non liberato; confinato (Longobucco, Ventotene, Ustica); liberato il 27/2/1933 per l'amnistia del decennale.</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Poletti Livio (https://www.storiaememoriadibologna.it/archivio/persone/poletti-livio)</w:t>
            </w:r>
          </w:p>
        </w:tc>
        <w:tc>
          <w:tcPr>
            <w:tcW w:type="dxa" w:w="4680"/>
          </w:tcPr>
          <w:p>
            <w:pPr>
              <w:spacing w:after="20" w:before="20"/>
              <w:jc w:val="both"/>
            </w:pPr>
            <w:r>
              <w:rPr>
                <w:rFonts w:ascii="Barlow Semi Condensed" w:cs="Barlow Semi Condensed" w:eastAsia="Barlow Semi Condensed" w:hAnsi="Barlow Semi Condensed"/>
                <w:sz w:val="20"/>
                <w:szCs w:val="20"/>
              </w:rPr>
              <w:t xml:space="preserve">PCI (Imola). Arrestato il 6/12/1930 con altri 88 antifascisti; condannato il 23/6/1931 a 3 anni, 1 mese e 5 giorni; liberato dal penitenziario di Alessandria il 7/11/1932.</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Puca Luigi (https://www.storiaememoriadibologna.it/archivio/persone/puca-luigi)</w:t>
            </w:r>
          </w:p>
        </w:tc>
        <w:tc>
          <w:tcPr>
            <w:tcW w:type="dxa" w:w="4680"/>
          </w:tcPr>
          <w:p>
            <w:pPr>
              <w:spacing w:after="20" w:before="20"/>
              <w:jc w:val="both"/>
            </w:pPr>
            <w:r>
              <w:rPr>
                <w:rFonts w:ascii="Barlow Semi Condensed" w:cs="Barlow Semi Condensed" w:eastAsia="Barlow Semi Condensed" w:hAnsi="Barlow Semi Condensed"/>
                <w:sz w:val="20"/>
                <w:szCs w:val="20"/>
              </w:rPr>
              <w:t xml:space="preserve">Deferito al Tribunale Speciale per "associazione e propaganda sovversiva"; liberato senza processo il 10/11/1932 in seguito all'amnistia del decennale.</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Randi Augusto (https://www.storiaememoriadibologna.it/archivio/persone/randi-augusto)</w:t>
            </w:r>
          </w:p>
        </w:tc>
        <w:tc>
          <w:tcPr>
            <w:tcW w:type="dxa" w:w="4680"/>
          </w:tcPr>
          <w:p>
            <w:pPr>
              <w:spacing w:after="20" w:before="20"/>
              <w:jc w:val="both"/>
            </w:pPr>
            <w:r>
              <w:rPr>
                <w:rFonts w:ascii="Barlow Semi Condensed" w:cs="Barlow Semi Condensed" w:eastAsia="Barlow Semi Condensed" w:hAnsi="Barlow Semi Condensed"/>
                <w:sz w:val="20"/>
                <w:szCs w:val="20"/>
              </w:rPr>
              <w:t xml:space="preserve">Amnistiato per il decennale fascista il 12/11/1932 e tornato in libertà.</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Rebeggiani Carlo (https://www.storiaememoriadibologna.it/archivio/persone/rebeggiani-carlo)</w:t>
            </w:r>
          </w:p>
        </w:tc>
        <w:tc>
          <w:tcPr>
            <w:tcW w:type="dxa" w:w="4680"/>
          </w:tcPr>
          <w:p>
            <w:pPr>
              <w:spacing w:after="20" w:before="20"/>
              <w:jc w:val="both"/>
            </w:pPr>
            <w:r>
              <w:rPr>
                <w:rFonts w:ascii="Barlow Semi Condensed" w:cs="Barlow Semi Condensed" w:eastAsia="Barlow Semi Condensed" w:hAnsi="Barlow Semi Condensed"/>
                <w:sz w:val="20"/>
                <w:szCs w:val="20"/>
              </w:rPr>
              <w:t xml:space="preserve">Domanda di grazia respinta il 10/11/1931; ottenne la libertà il 15/11/1932 con l'amnistia del decennale. Classificato di "3ª categoria" (i più pericolosi politicamente).</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Rinaldi Renato (https://www.storiaememoriadibologna.it/archivio/persone/rinaldi-renato)</w:t>
            </w:r>
          </w:p>
        </w:tc>
        <w:tc>
          <w:tcPr>
            <w:tcW w:type="dxa" w:w="4680"/>
          </w:tcPr>
          <w:p>
            <w:pPr>
              <w:spacing w:after="20" w:before="20"/>
              <w:jc w:val="both"/>
            </w:pPr>
            <w:r>
              <w:rPr>
                <w:rFonts w:ascii="Barlow Semi Condensed" w:cs="Barlow Semi Condensed" w:eastAsia="Barlow Semi Condensed" w:hAnsi="Barlow Semi Condensed"/>
                <w:sz w:val="20"/>
                <w:szCs w:val="20"/>
              </w:rPr>
              <w:t xml:space="preserve">Liberato con ordinanza del 10/12/1932 in seguito all'amnistia del decennale.</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Scarabelli Giorgio detto Vincenzo (https://www.storiaememoriadibologna.it/archivio/persone/scarabelli-giorgio-dettoa-vincenzo)</w:t>
            </w:r>
          </w:p>
        </w:tc>
        <w:tc>
          <w:tcPr>
            <w:tcW w:type="dxa" w:w="4680"/>
          </w:tcPr>
          <w:p>
            <w:pPr>
              <w:spacing w:after="20" w:before="20"/>
              <w:jc w:val="both"/>
            </w:pPr>
            <w:r>
              <w:rPr>
                <w:rFonts w:ascii="Barlow Semi Condensed" w:cs="Barlow Semi Condensed" w:eastAsia="Barlow Semi Condensed" w:hAnsi="Barlow Semi Condensed"/>
                <w:sz w:val="20"/>
                <w:szCs w:val="20"/>
              </w:rPr>
              <w:t xml:space="preserve">Liberato il 16/11/1932, mentre era detenuto a Lucca, in seguito all'amnistia del decennale.</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Scardovi Aldo (https://www.storiaememoriadibologna.it/archivio/persone/scardovi-aldo)</w:t>
            </w:r>
          </w:p>
        </w:tc>
        <w:tc>
          <w:tcPr>
            <w:tcW w:type="dxa" w:w="4680"/>
          </w:tcPr>
          <w:p>
            <w:pPr>
              <w:spacing w:after="20" w:before="20"/>
              <w:jc w:val="both"/>
            </w:pPr>
            <w:r>
              <w:rPr>
                <w:rFonts w:ascii="Barlow Semi Condensed" w:cs="Barlow Semi Condensed" w:eastAsia="Barlow Semi Condensed" w:hAnsi="Barlow Semi Condensed"/>
                <w:sz w:val="20"/>
                <w:szCs w:val="20"/>
              </w:rPr>
              <w:t xml:space="preserve">Deferito al Tribunale Speciale il 16/5/1931 e condannato a 3 anni più 3 di vigilanza ("associazione e propaganda sovversiva, detenzione di armi"); liberato il 10/12/1932.</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Serantoni Ezio detto Mezzanotte (https://www.storiaememoriadibologna.it/archivio/persone/serantoni-ezio-dettoa-mezzanotte-12)</w:t>
            </w:r>
          </w:p>
        </w:tc>
        <w:tc>
          <w:tcPr>
            <w:tcW w:type="dxa" w:w="4680"/>
          </w:tcPr>
          <w:p>
            <w:pPr>
              <w:spacing w:after="20" w:before="20"/>
              <w:jc w:val="both"/>
            </w:pPr>
            <w:r>
              <w:rPr>
                <w:rFonts w:ascii="Barlow Semi Condensed" w:cs="Barlow Semi Condensed" w:eastAsia="Barlow Semi Condensed" w:hAnsi="Barlow Semi Condensed"/>
                <w:sz w:val="20"/>
                <w:szCs w:val="20"/>
              </w:rPr>
              <w:t xml:space="preserve">Liberato nel 1932 in seguito all'amnistia del decennale; vigilanza speciale fino al 19/4/1933.</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Serravalli Domenico (https://www.storiaememoriadibologna.it/archivio/persone/serravalli-domenico)</w:t>
            </w:r>
          </w:p>
        </w:tc>
        <w:tc>
          <w:tcPr>
            <w:tcW w:type="dxa" w:w="4680"/>
          </w:tcPr>
          <w:p>
            <w:pPr>
              <w:spacing w:after="20" w:before="20"/>
              <w:jc w:val="both"/>
            </w:pPr>
            <w:r>
              <w:rPr>
                <w:rFonts w:ascii="Barlow Semi Condensed" w:cs="Barlow Semi Condensed" w:eastAsia="Barlow Semi Condensed" w:hAnsi="Barlow Semi Condensed"/>
                <w:sz w:val="20"/>
                <w:szCs w:val="20"/>
              </w:rPr>
              <w:t xml:space="preserve">Arrestato il 7/9/1932 per "organizzazione comunista"; liberato il 10/12/1932 grazie all'amnistia del decennale.</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Tampieri Pio (https://www.storiaememoriadibologna.it/archivio/persone/tampieri-pio)</w:t>
            </w:r>
          </w:p>
        </w:tc>
        <w:tc>
          <w:tcPr>
            <w:tcW w:type="dxa" w:w="4680"/>
          </w:tcPr>
          <w:p>
            <w:pPr>
              <w:spacing w:after="20" w:before="20"/>
              <w:jc w:val="both"/>
            </w:pPr>
            <w:r>
              <w:rPr>
                <w:rFonts w:ascii="Barlow Semi Condensed" w:cs="Barlow Semi Condensed" w:eastAsia="Barlow Semi Condensed" w:hAnsi="Barlow Semi Condensed"/>
                <w:sz w:val="20"/>
                <w:szCs w:val="20"/>
              </w:rPr>
              <w:t xml:space="preserve">Tornò in libertà il 16/11/1932 in seguito alla concessione dell'amnistia per il decennale.</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Tarozzi Leonildo detto Leo Nardini (https://www.storiaememoriadibologna.it/archivio/persone/tarozzi-leonildo-dettoa-leo-nardini)</w:t>
            </w:r>
          </w:p>
        </w:tc>
        <w:tc>
          <w:tcPr>
            <w:tcW w:type="dxa" w:w="4680"/>
          </w:tcPr>
          <w:p>
            <w:pPr>
              <w:spacing w:after="20" w:before="20"/>
              <w:jc w:val="both"/>
            </w:pPr>
            <w:r>
              <w:rPr>
                <w:rFonts w:ascii="Barlow Semi Condensed" w:cs="Barlow Semi Condensed" w:eastAsia="Barlow Semi Condensed" w:hAnsi="Barlow Semi Condensed"/>
                <w:sz w:val="20"/>
                <w:szCs w:val="20"/>
              </w:rPr>
              <w:t xml:space="preserve">Condannato per "organizzazione comunista tendente all'insurrezione armata" a 14 anni e 9 mesi (16 anni totali con la conversione della multa); liberato dopo 7 anni di carcere grazie all'amnistia del decennale.</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Testoni Francesco (https://www.storiaememoriadibologna.it/archivio/persone/testoni-francesco)</w:t>
            </w:r>
          </w:p>
        </w:tc>
        <w:tc>
          <w:tcPr>
            <w:tcW w:type="dxa" w:w="4680"/>
          </w:tcPr>
          <w:p>
            <w:pPr>
              <w:spacing w:after="20" w:before="20"/>
              <w:jc w:val="both"/>
            </w:pPr>
            <w:r>
              <w:rPr>
                <w:rFonts w:ascii="Barlow Semi Condensed" w:cs="Barlow Semi Condensed" w:eastAsia="Barlow Semi Condensed" w:hAnsi="Barlow Semi Condensed"/>
                <w:sz w:val="20"/>
                <w:szCs w:val="20"/>
              </w:rPr>
              <w:t xml:space="preserve">Arrestato con altri 116 militanti antifascisti e deferito per "ricostituzione del PCI e propaganda sovversiva"; liberato il 26/11/1932.</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Tirapani Mario (https://www.storiaememoriadibologna.it/archivio/persone/tirapani-mario)</w:t>
            </w:r>
          </w:p>
        </w:tc>
        <w:tc>
          <w:tcPr>
            <w:tcW w:type="dxa" w:w="4680"/>
          </w:tcPr>
          <w:p>
            <w:pPr>
              <w:spacing w:after="20" w:before="20"/>
              <w:jc w:val="both"/>
            </w:pPr>
            <w:r>
              <w:rPr>
                <w:rFonts w:ascii="Barlow Semi Condensed" w:cs="Barlow Semi Condensed" w:eastAsia="Barlow Semi Condensed" w:hAnsi="Barlow Semi Condensed"/>
                <w:sz w:val="20"/>
                <w:szCs w:val="20"/>
              </w:rPr>
              <w:t xml:space="preserve">Tornò in libertà il 5/12/1932 in seguito alla concessione dell'amnistia per il decennale.</w:t>
            </w:r>
          </w:p>
        </w:tc>
      </w:tr>
    </w:tbl>
    <w:p>
      <w:pPr>
        <w:spacing w:after="80"/>
      </w:pPr>
    </w:p>
    <w:p>
      <w:pPr>
        <w:pStyle w:val="Heading3"/>
        <w:spacing w:after="80" w:before="160"/>
      </w:pPr>
      <w:r>
        <w:rPr>
          <w:rFonts w:ascii="Barlow Semi Condensed" w:cs="Barlow Semi Condensed" w:eastAsia="Barlow Semi Condensed" w:hAnsi="Barlow Semi Condensed"/>
          <w:sz w:val="24"/>
          <w:szCs w:val="24"/>
        </w:rPr>
        <w:t xml:space="preserve">Amnistiato ma non scarcerato</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c>
          <w:tcPr>
            <w:tcW w:type="dxa" w:w="468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Persona</w:t>
            </w:r>
          </w:p>
        </w:tc>
        <w:tc>
          <w:tcPr>
            <w:tcW w:type="dxa" w:w="468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Vicenda</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Nannetti Nerio detto Sergio (https://www.storiaememoriadibologna.it/archivio/persone/nannetti-nerio-dettoa-sergio)</w:t>
            </w:r>
          </w:p>
        </w:tc>
        <w:tc>
          <w:tcPr>
            <w:tcW w:type="dxa" w:w="4680"/>
          </w:tcPr>
          <w:p>
            <w:pPr>
              <w:spacing w:after="20" w:before="20"/>
              <w:jc w:val="both"/>
            </w:pPr>
            <w:r>
              <w:rPr>
                <w:rFonts w:ascii="Barlow Semi Condensed" w:cs="Barlow Semi Condensed" w:eastAsia="Barlow Semi Condensed" w:hAnsi="Barlow Semi Condensed"/>
                <w:sz w:val="20"/>
                <w:szCs w:val="20"/>
              </w:rPr>
              <w:t xml:space="preserve">Amnistiato per il decennale il 24/11/1932 ma </w:t>
            </w:r>
            <w:r>
              <w:rPr>
                <w:rFonts w:ascii="Barlow Semi Condensed" w:cs="Barlow Semi Condensed" w:eastAsia="Barlow Semi Condensed" w:hAnsi="Barlow Semi Condensed"/>
                <w:b/>
                <w:bCs/>
                <w:sz w:val="20"/>
                <w:szCs w:val="20"/>
              </w:rPr>
              <w:t xml:space="preserve">non scarcerato</w:t>
            </w:r>
            <w:r>
              <w:rPr>
                <w:rFonts w:ascii="Barlow Semi Condensed" w:cs="Barlow Semi Condensed" w:eastAsia="Barlow Semi Condensed" w:hAnsi="Barlow Semi Condensed"/>
                <w:sz w:val="20"/>
                <w:szCs w:val="20"/>
              </w:rPr>
              <w:t xml:space="preserve">; fu liberato dal carcere di San Giovanni in Monte (Bologna) solo nella notte tra l'8 e il 9 agosto 1944, da un'azione partigiana.</w:t>
            </w:r>
          </w:p>
        </w:tc>
      </w:tr>
    </w:tbl>
    <w:p>
      <w:pPr>
        <w:spacing w:after="80"/>
      </w:pPr>
    </w:p>
    <w:p>
      <w:pPr>
        <w:pStyle w:val="Heading3"/>
        <w:spacing w:after="80" w:before="160"/>
      </w:pPr>
      <w:r>
        <w:rPr>
          <w:rFonts w:ascii="Barlow Semi Condensed" w:cs="Barlow Semi Condensed" w:eastAsia="Barlow Semi Condensed" w:hAnsi="Barlow Semi Condensed"/>
          <w:sz w:val="24"/>
          <w:szCs w:val="24"/>
        </w:rPr>
        <w:t xml:space="preserve">Escluso dall'amnistia (caso documentato)</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c>
          <w:tcPr>
            <w:tcW w:type="dxa" w:w="468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Persona</w:t>
            </w:r>
          </w:p>
        </w:tc>
        <w:tc>
          <w:tcPr>
            <w:tcW w:type="dxa" w:w="468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Vicenda</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Martelli Dino (https://www.storiaememoriadibologna.it/archivio/persone/martelli-dino)</w:t>
            </w:r>
          </w:p>
        </w:tc>
        <w:tc>
          <w:tcPr>
            <w:tcW w:type="dxa" w:w="4680"/>
          </w:tcPr>
          <w:p>
            <w:pPr>
              <w:spacing w:after="20" w:before="20"/>
              <w:jc w:val="both"/>
            </w:pPr>
            <w:r>
              <w:rPr>
                <w:rFonts w:ascii="Barlow Semi Condensed" w:cs="Barlow Semi Condensed" w:eastAsia="Barlow Semi Condensed" w:hAnsi="Barlow Semi Condensed"/>
                <w:b/>
                <w:bCs/>
                <w:sz w:val="20"/>
                <w:szCs w:val="20"/>
              </w:rPr>
              <w:t xml:space="preserve">Non</w:t>
            </w:r>
            <w:r>
              <w:rPr>
                <w:rFonts w:ascii="Barlow Semi Condensed" w:cs="Barlow Semi Condensed" w:eastAsia="Barlow Semi Condensed" w:hAnsi="Barlow Semi Condensed"/>
                <w:sz w:val="20"/>
                <w:szCs w:val="20"/>
              </w:rPr>
              <w:t xml:space="preserve"> beneficiò dell'amnistia del decennale, come la maggior parte dei quadri antifascisti più esposti: con provvedimento del 10/12/1932 fu sottoposto a istruttoria suppletiva per "riorganizzazione di partito disciolto".</w:t>
            </w:r>
          </w:p>
        </w:tc>
      </w:tr>
    </w:tbl>
    <w:p>
      <w:pPr>
        <w:spacing w:after="80"/>
      </w:pP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2. Amnistia del ventennale fascista (ottobre 1942)</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c>
          <w:tcPr>
            <w:tcW w:type="dxa" w:w="468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Persona</w:t>
            </w:r>
          </w:p>
        </w:tc>
        <w:tc>
          <w:tcPr>
            <w:tcW w:type="dxa" w:w="468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Vicenda e beneficio dell'amnistia</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Minghetti Erminio (https://storiaememoriadibologna.it/archivio/persone/minghetti-erminio)</w:t>
            </w:r>
          </w:p>
        </w:tc>
        <w:tc>
          <w:tcPr>
            <w:tcW w:type="dxa" w:w="4680"/>
          </w:tcPr>
          <w:p>
            <w:pPr>
              <w:spacing w:after="20" w:before="20"/>
              <w:jc w:val="both"/>
            </w:pPr>
            <w:r>
              <w:rPr>
                <w:rFonts w:ascii="Barlow Semi Condensed" w:cs="Barlow Semi Condensed" w:eastAsia="Barlow Semi Condensed" w:hAnsi="Barlow Semi Condensed"/>
                <w:sz w:val="20"/>
                <w:szCs w:val="20"/>
              </w:rPr>
              <w:t xml:space="preserve">Assegnato al confino il 1/6/1942; non fece in tempo a esservi tradotto perché il mese successivo fu concessa l'amnistia per il ventennale fascista.</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Mondini Torquato detto Mario (https://www.storiaememoriadibologna.it/archivio/persone/mondini-torquato-detto-mario)</w:t>
            </w:r>
          </w:p>
        </w:tc>
        <w:tc>
          <w:tcPr>
            <w:tcW w:type="dxa" w:w="4680"/>
          </w:tcPr>
          <w:p>
            <w:pPr>
              <w:spacing w:after="20" w:before="20"/>
              <w:jc w:val="both"/>
            </w:pPr>
            <w:r>
              <w:rPr>
                <w:rFonts w:ascii="Barlow Semi Condensed" w:cs="Barlow Semi Condensed" w:eastAsia="Barlow Semi Condensed" w:hAnsi="Barlow Semi Condensed"/>
                <w:sz w:val="20"/>
                <w:szCs w:val="20"/>
              </w:rPr>
              <w:t xml:space="preserve">Emigrato a Reims; colpito nel 1934 da mandato di cattura per lettere critiche verso il regime intercettate; il mandato fu revocato nel 1942 in seguito all'amnistia del ventennale.</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Pancaldi Alfredo (https://www.storiaememoriadibologna.it/archivio/persone/pancaldi-alfredo)</w:t>
            </w:r>
          </w:p>
        </w:tc>
        <w:tc>
          <w:tcPr>
            <w:tcW w:type="dxa" w:w="4680"/>
          </w:tcPr>
          <w:p>
            <w:pPr>
              <w:spacing w:after="20" w:before="20"/>
              <w:jc w:val="both"/>
            </w:pPr>
            <w:r>
              <w:rPr>
                <w:rFonts w:ascii="Barlow Semi Condensed" w:cs="Barlow Semi Condensed" w:eastAsia="Barlow Semi Condensed" w:hAnsi="Barlow Semi Condensed"/>
                <w:sz w:val="20"/>
                <w:szCs w:val="20"/>
              </w:rPr>
              <w:t xml:space="preserve">Arrestato il 7/5/1942 a Malalbergo per attività antifascista; amnistiato per il ventennale il mese successivo; il 13/7/1942 ammonito e scarcerato.</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Zanotti Gilberto detto Gil (https://www.storiaememoriadibologna.it/archivio/persone/zanotti-gilberto-dettoa-gil)</w:t>
            </w:r>
          </w:p>
        </w:tc>
        <w:tc>
          <w:tcPr>
            <w:tcW w:type="dxa" w:w="4680"/>
          </w:tcPr>
          <w:p>
            <w:pPr>
              <w:spacing w:after="20" w:before="20"/>
              <w:jc w:val="both"/>
            </w:pPr>
            <w:r>
              <w:rPr>
                <w:rFonts w:ascii="Barlow Semi Condensed" w:cs="Barlow Semi Condensed" w:eastAsia="Barlow Semi Condensed" w:hAnsi="Barlow Semi Condensed"/>
                <w:sz w:val="20"/>
                <w:szCs w:val="20"/>
              </w:rPr>
              <w:t xml:space="preserve">Tornò in libertà il 2/11/1942 in seguito alla concessione dell'amnistia per il ventennale fascista.</w:t>
            </w:r>
          </w:p>
        </w:tc>
      </w:tr>
    </w:tbl>
    <w:p>
      <w:pPr>
        <w:spacing w:after="80"/>
      </w:pP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3. Altre amnistie del periodo fascista</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c>
          <w:tcPr>
            <w:tcW w:type="dxa" w:w="468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Persona</w:t>
            </w:r>
          </w:p>
        </w:tc>
        <w:tc>
          <w:tcPr>
            <w:tcW w:type="dxa" w:w="468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Vicenda e beneficio dell'amnistia</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Bastia Noè (https://www.storiaememoriadibologna.it/archivio/luoghi/granarolo-dellemilia-bo-1)</w:t>
            </w:r>
          </w:p>
        </w:tc>
        <w:tc>
          <w:tcPr>
            <w:tcW w:type="dxa" w:w="4680"/>
          </w:tcPr>
          <w:p>
            <w:pPr>
              <w:spacing w:after="20" w:before="20"/>
              <w:jc w:val="both"/>
            </w:pPr>
            <w:r>
              <w:rPr>
                <w:rFonts w:ascii="Barlow Semi Condensed" w:cs="Barlow Semi Condensed" w:eastAsia="Barlow Semi Condensed" w:hAnsi="Barlow Semi Condensed"/>
                <w:sz w:val="20"/>
                <w:szCs w:val="20"/>
              </w:rPr>
              <w:t xml:space="preserve">Liberato dal carcere nel 1927 in seguito ad amnistia; prese residenza a Bologna riprendendo il lavoro di muratore.</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Betti Paolo (https://www.storiaememoriadibologna.it/archivio/persone/betti-paolo)</w:t>
            </w:r>
          </w:p>
        </w:tc>
        <w:tc>
          <w:tcPr>
            <w:tcW w:type="dxa" w:w="4680"/>
          </w:tcPr>
          <w:p>
            <w:pPr>
              <w:spacing w:after="20" w:before="20"/>
              <w:jc w:val="both"/>
            </w:pPr>
            <w:r>
              <w:rPr>
                <w:rFonts w:ascii="Barlow Semi Condensed" w:cs="Barlow Semi Condensed" w:eastAsia="Barlow Semi Condensed" w:hAnsi="Barlow Semi Condensed"/>
                <w:sz w:val="20"/>
                <w:szCs w:val="20"/>
              </w:rPr>
              <w:t xml:space="preserve">Arrestato nel 1925 per detenzione e diffusione di materiale di propaganda ("attentato alla sicurezza dello Stato"): solo l'amnistia concessa per l'</w:t>
            </w:r>
            <w:r>
              <w:rPr>
                <w:rFonts w:ascii="Barlow Semi Condensed" w:cs="Barlow Semi Condensed" w:eastAsia="Barlow Semi Condensed" w:hAnsi="Barlow Semi Condensed"/>
                <w:b/>
                <w:bCs/>
                <w:sz w:val="20"/>
                <w:szCs w:val="20"/>
              </w:rPr>
              <w:t xml:space="preserve">Anno Santo</w:t>
            </w:r>
            <w:r>
              <w:rPr>
                <w:rFonts w:ascii="Barlow Semi Condensed" w:cs="Barlow Semi Condensed" w:eastAsia="Barlow Semi Condensed" w:hAnsi="Barlow Semi Condensed"/>
                <w:sz w:val="20"/>
                <w:szCs w:val="20"/>
              </w:rPr>
              <w:t xml:space="preserve"> gli evitò la condanna. In seguito condannato dal Tribunale Speciale.</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Ferroni Alberto (https://www.storiaememoriadibologna.it/archivio/persone/ferroni-alberto)</w:t>
            </w:r>
          </w:p>
        </w:tc>
        <w:tc>
          <w:tcPr>
            <w:tcW w:type="dxa" w:w="4680"/>
          </w:tcPr>
          <w:p>
            <w:pPr>
              <w:spacing w:after="20" w:before="20"/>
              <w:jc w:val="both"/>
            </w:pPr>
            <w:r>
              <w:rPr>
                <w:rFonts w:ascii="Barlow Semi Condensed" w:cs="Barlow Semi Condensed" w:eastAsia="Barlow Semi Condensed" w:hAnsi="Barlow Semi Condensed"/>
                <w:sz w:val="20"/>
                <w:szCs w:val="20"/>
              </w:rPr>
              <w:t xml:space="preserve">Tornò in libertà nel dicembre 1927 in seguito alla concessione di un'amnistia.</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Guerra Ivo (https://www.storiaememoriadibologna.it/archivio/persone/guerra-ivo)</w:t>
            </w:r>
          </w:p>
        </w:tc>
        <w:tc>
          <w:tcPr>
            <w:tcW w:type="dxa" w:w="4680"/>
          </w:tcPr>
          <w:p>
            <w:pPr>
              <w:spacing w:after="20" w:before="20"/>
              <w:jc w:val="both"/>
            </w:pPr>
            <w:r>
              <w:rPr>
                <w:rFonts w:ascii="Barlow Semi Condensed" w:cs="Barlow Semi Condensed" w:eastAsia="Barlow Semi Condensed" w:hAnsi="Barlow Semi Condensed"/>
                <w:sz w:val="20"/>
                <w:szCs w:val="20"/>
              </w:rPr>
              <w:t xml:space="preserve">Amnistiato e liberato il 27/12/1922.</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Lelli Giuseppe (https://www.storiaememoriadibologna.it/archivio/persone/lelli-giuseppe-4)</w:t>
            </w:r>
          </w:p>
        </w:tc>
        <w:tc>
          <w:tcPr>
            <w:tcW w:type="dxa" w:w="4680"/>
          </w:tcPr>
          <w:p>
            <w:pPr>
              <w:spacing w:after="20" w:before="20"/>
              <w:jc w:val="both"/>
            </w:pPr>
            <w:r>
              <w:rPr>
                <w:rFonts w:ascii="Barlow Semi Condensed" w:cs="Barlow Semi Condensed" w:eastAsia="Barlow Semi Condensed" w:hAnsi="Barlow Semi Condensed"/>
                <w:sz w:val="20"/>
                <w:szCs w:val="20"/>
              </w:rPr>
              <w:t xml:space="preserve">Arrestato il 21/4/1925 per sospetta diffusione di volantini antifascisti; rilasciato il 3/5 e prosciolto per amnistia il 15/11.</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Serenari Marino (https://www.storiaememoriadibologna.it/archivio/persone/serenari-marino-0)</w:t>
            </w:r>
          </w:p>
        </w:tc>
        <w:tc>
          <w:tcPr>
            <w:tcW w:type="dxa" w:w="4680"/>
          </w:tcPr>
          <w:p>
            <w:pPr>
              <w:spacing w:after="20" w:before="20"/>
              <w:jc w:val="both"/>
            </w:pPr>
            <w:r>
              <w:rPr>
                <w:rFonts w:ascii="Barlow Semi Condensed" w:cs="Barlow Semi Condensed" w:eastAsia="Barlow Semi Condensed" w:hAnsi="Barlow Semi Condensed"/>
                <w:sz w:val="20"/>
                <w:szCs w:val="20"/>
              </w:rPr>
              <w:t xml:space="preserve">Dirigente della gioventù comunista. Condannato dal Tribunale Speciale il 28/9/1928 a 2 anni, 6 mesi e 12 giorni e di nuovo il 5/7/1934 a 6 anni; beneficiò di un'amnistia e fu liberato prima di finire di scontare la pena, restando sottoposto a stretta sorveglianza.</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Trombetti Bruno detto Sergio (https://www.storiaememoriadibologna.it/archivio/persone/trombetti-bruno-dettoa-sergio)</w:t>
            </w:r>
          </w:p>
        </w:tc>
        <w:tc>
          <w:tcPr>
            <w:tcW w:type="dxa" w:w="4680"/>
          </w:tcPr>
          <w:p>
            <w:pPr>
              <w:spacing w:after="20" w:before="20"/>
              <w:jc w:val="both"/>
            </w:pPr>
            <w:r>
              <w:rPr>
                <w:rFonts w:ascii="Barlow Semi Condensed" w:cs="Barlow Semi Condensed" w:eastAsia="Barlow Semi Condensed" w:hAnsi="Barlow Semi Condensed"/>
                <w:sz w:val="20"/>
                <w:szCs w:val="20"/>
              </w:rPr>
              <w:t xml:space="preserve">Operaio Weber, PCI. Condannato il 18/9/1933 a 8 anni, interdizione perpetua dai pubblici uffici e vigilanza speciale; dopo 3 anni nel carcere di Fossano fu liberato nel </w:t>
            </w:r>
            <w:r>
              <w:rPr>
                <w:rFonts w:ascii="Barlow Semi Condensed" w:cs="Barlow Semi Condensed" w:eastAsia="Barlow Semi Condensed" w:hAnsi="Barlow Semi Condensed"/>
                <w:b/>
                <w:bCs/>
                <w:sz w:val="20"/>
                <w:szCs w:val="20"/>
              </w:rPr>
              <w:t xml:space="preserve">1935</w:t>
            </w:r>
            <w:r>
              <w:rPr>
                <w:rFonts w:ascii="Barlow Semi Condensed" w:cs="Barlow Semi Condensed" w:eastAsia="Barlow Semi Condensed" w:hAnsi="Barlow Semi Condensed"/>
                <w:sz w:val="20"/>
                <w:szCs w:val="20"/>
              </w:rPr>
              <w:t xml:space="preserve"> in seguito alla concessione di un'amnistia.</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Trombetti Gustavo detto Sergio, Mattia (https://www.storiaememoriadibologna.it/archivio/persone/trombetti-gustavo-dettoa-sergio-mattia)</w:t>
            </w:r>
          </w:p>
        </w:tc>
        <w:tc>
          <w:tcPr>
            <w:tcW w:type="dxa" w:w="4680"/>
          </w:tcPr>
          <w:p>
            <w:pPr>
              <w:spacing w:after="20" w:before="20"/>
              <w:jc w:val="both"/>
            </w:pPr>
            <w:r>
              <w:rPr>
                <w:rFonts w:ascii="Barlow Semi Condensed" w:cs="Barlow Semi Condensed" w:eastAsia="Barlow Semi Condensed" w:hAnsi="Barlow Semi Condensed"/>
                <w:sz w:val="20"/>
                <w:szCs w:val="20"/>
              </w:rPr>
              <w:t xml:space="preserve">Condannato l'8/4/1932 a 10 anni; detenuto a Turi (BA) dove fu a contatto con Antonio Gramsci (e ne mise in salvo i Quaderni); scarcerato nel </w:t>
            </w:r>
            <w:r>
              <w:rPr>
                <w:rFonts w:ascii="Barlow Semi Condensed" w:cs="Barlow Semi Condensed" w:eastAsia="Barlow Semi Condensed" w:hAnsi="Barlow Semi Condensed"/>
                <w:b/>
                <w:bCs/>
                <w:sz w:val="20"/>
                <w:szCs w:val="20"/>
              </w:rPr>
              <w:t xml:space="preserve">luglio 1934</w:t>
            </w:r>
            <w:r>
              <w:rPr>
                <w:rFonts w:ascii="Barlow Semi Condensed" w:cs="Barlow Semi Condensed" w:eastAsia="Barlow Semi Condensed" w:hAnsi="Barlow Semi Condensed"/>
                <w:sz w:val="20"/>
                <w:szCs w:val="20"/>
              </w:rPr>
              <w:t xml:space="preserve"> per amnistia.</w:t>
            </w:r>
          </w:p>
        </w:tc>
      </w:tr>
    </w:tbl>
    <w:p>
      <w:pPr>
        <w:spacing w:after="80"/>
      </w:pP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4. Amnistie del dopoguerra (fuori dal perimetro del Tribunale Speciale)</w:t>
      </w:r>
    </w:p>
    <w:p>
      <w:pPr>
        <w:spacing w:after="120" w:line="276"/>
        <w:jc w:val="both"/>
      </w:pPr>
      <w:r>
        <w:rPr>
          <w:rFonts w:ascii="Barlow Semi Condensed" w:cs="Barlow Semi Condensed" w:eastAsia="Barlow Semi Condensed" w:hAnsi="Barlow Semi Condensed"/>
          <w:sz w:val="24"/>
          <w:szCs w:val="24"/>
        </w:rPr>
        <w:t xml:space="preserve">Casi emersi dalla stessa ricerca ma relativi ad amnistie post-1945 (in particolare l'amnistia Togliatti del 22/6/1946), citati per completezza:</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c>
          <w:tcPr>
            <w:tcW w:type="dxa" w:w="468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Persona</w:t>
            </w:r>
          </w:p>
        </w:tc>
        <w:tc>
          <w:tcPr>
            <w:tcW w:type="dxa" w:w="468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Vicenda</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Golinelli Lidia detto Vienna (https://storiaememoriadibologna.it/golinelli-lidia-520035-persona)</w:t>
            </w:r>
          </w:p>
        </w:tc>
        <w:tc>
          <w:tcPr>
            <w:tcW w:type="dxa" w:w="4680"/>
          </w:tcPr>
          <w:p>
            <w:pPr>
              <w:spacing w:after="20" w:before="20"/>
              <w:jc w:val="both"/>
            </w:pPr>
            <w:r>
              <w:rPr>
                <w:rFonts w:ascii="Barlow Semi Condensed" w:cs="Barlow Semi Condensed" w:eastAsia="Barlow Semi Condensed" w:hAnsi="Barlow Semi Condensed"/>
                <w:sz w:val="20"/>
                <w:szCs w:val="20"/>
              </w:rPr>
              <w:t xml:space="preserve">Condannata a morte nell'agosto 1945 (pena poi non eseguita); tornò in libertà dopo un solo anno di reclusione grazie a un'amnistia — inizialmente rifiutò di uscire dal carcere per timore di vendette.</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Tossani Michele (https://www.storiaememoriadibologna.it/archivio/persone/tossani-michele)</w:t>
            </w:r>
          </w:p>
        </w:tc>
        <w:tc>
          <w:tcPr>
            <w:tcW w:type="dxa" w:w="4680"/>
          </w:tcPr>
          <w:p>
            <w:pPr>
              <w:spacing w:after="20" w:before="20"/>
              <w:jc w:val="both"/>
            </w:pPr>
            <w:r>
              <w:rPr>
                <w:rFonts w:ascii="Barlow Semi Condensed" w:cs="Barlow Semi Condensed" w:eastAsia="Barlow Semi Condensed" w:hAnsi="Barlow Semi Condensed"/>
                <w:sz w:val="20"/>
                <w:szCs w:val="20"/>
              </w:rPr>
              <w:t xml:space="preserve">Amnistiato l'8/1/1947.</w:t>
            </w:r>
          </w:p>
        </w:tc>
      </w:tr>
    </w:tbl>
    <w:p>
      <w:pPr>
        <w:spacing w:after="80"/>
      </w:pP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Fonti</w:t>
      </w:r>
    </w:p>
    <w:p>
      <w:pPr>
        <w:pStyle w:val="ListParagraph"/>
        <w:numPr>
          <w:ilvl w:val="0"/>
          <w:numId w:val="1"/>
        </w:numPr>
        <w:spacing w:after="40"/>
        <w:jc w:val="both"/>
      </w:pPr>
      <w:r>
        <w:rPr>
          <w:rFonts w:ascii="Barlow Semi Condensed" w:cs="Barlow Semi Condensed" w:eastAsia="Barlow Semi Condensed" w:hAnsi="Barlow Semi Condensed"/>
          <w:sz w:val="24"/>
          <w:szCs w:val="24"/>
        </w:rPr>
        <w:t xml:space="preserve">Tribunale speciale per la difesa dello Stato – Storia e Memoria di Bologna (https://www.storiaememoriadibologna.it/archivio/organizzazioni/tribunale-speciale-la-difesa-dello-stato) (pagina di partenza)</w:t>
      </w:r>
    </w:p>
    <w:p>
      <w:pPr>
        <w:pStyle w:val="ListParagraph"/>
        <w:numPr>
          <w:ilvl w:val="0"/>
          <w:numId w:val="1"/>
        </w:numPr>
        <w:spacing w:after="40"/>
        <w:jc w:val="both"/>
      </w:pPr>
      <w:r>
        <w:rPr>
          <w:rFonts w:ascii="Barlow Semi Condensed" w:cs="Barlow Semi Condensed" w:eastAsia="Barlow Semi Condensed" w:hAnsi="Barlow Semi Condensed"/>
          <w:sz w:val="24"/>
          <w:szCs w:val="24"/>
        </w:rPr>
        <w:t xml:space="preserve">Amnistie durante il Fascismo – Storia e Memoria di Bologna (https://www.storiaememoriadibologna.it/archivio/eventi/amnistie-durante-il-fascismo)</w:t>
      </w:r>
    </w:p>
    <w:p>
      <w:pPr>
        <w:pStyle w:val="ListParagraph"/>
        <w:numPr>
          <w:ilvl w:val="0"/>
          <w:numId w:val="1"/>
        </w:numPr>
        <w:spacing w:after="40"/>
        <w:jc w:val="both"/>
      </w:pPr>
      <w:r>
        <w:rPr>
          <w:rFonts w:ascii="Barlow Semi Condensed" w:cs="Barlow Semi Condensed" w:eastAsia="Barlow Semi Condensed" w:hAnsi="Barlow Semi Condensed"/>
          <w:sz w:val="24"/>
          <w:szCs w:val="24"/>
        </w:rPr>
        <w:t xml:space="preserve">Amnistia (scheda) – Storia e Memoria di Bologna (https://www.storiaememoriadibologna.it/amnistia-25-persecuzione)</w:t>
      </w:r>
    </w:p>
    <w:p>
      <w:pPr>
        <w:pStyle w:val="ListParagraph"/>
        <w:numPr>
          <w:ilvl w:val="0"/>
          <w:numId w:val="1"/>
        </w:numPr>
        <w:spacing w:after="40"/>
        <w:jc w:val="both"/>
      </w:pPr>
      <w:r>
        <w:rPr>
          <w:rFonts w:ascii="Barlow Semi Condensed" w:cs="Barlow Semi Condensed" w:eastAsia="Barlow Semi Condensed" w:hAnsi="Barlow Semi Condensed"/>
          <w:sz w:val="24"/>
          <w:szCs w:val="24"/>
        </w:rPr>
        <w:t xml:space="preserve">Decennale fascista – Storia e Memoria di Bologna (https://www.storiaememoriadibologna.it/archivio/eventi/decennale-fascista)</w:t>
      </w:r>
    </w:p>
    <w:p>
      <w:pPr>
        <w:pStyle w:val="ListParagraph"/>
        <w:numPr>
          <w:ilvl w:val="0"/>
          <w:numId w:val="1"/>
        </w:numPr>
        <w:spacing w:after="40"/>
        <w:jc w:val="both"/>
      </w:pPr>
      <w:r>
        <w:rPr>
          <w:rFonts w:ascii="Barlow Semi Condensed" w:cs="Barlow Semi Condensed" w:eastAsia="Barlow Semi Condensed" w:hAnsi="Barlow Semi Condensed"/>
          <w:sz w:val="24"/>
          <w:szCs w:val="24"/>
        </w:rPr>
        <w:t xml:space="preserve">Schede biografiche individuali linkate in tabella (tutte su storiaememoriadibologna.it)</w:t>
      </w:r>
    </w:p>
    <w:p>
      <w:pPr>
        <w:spacing w:after="120" w:line="276"/>
        <w:jc w:val="both"/>
      </w:pPr>
      <w:r>
        <w:rPr>
          <w:rFonts w:ascii="Barlow Semi Condensed" w:cs="Barlow Semi Condensed" w:eastAsia="Barlow Semi Condensed" w:hAnsi="Barlow Semi Condensed"/>
          <w:i/>
          <w:iCs/>
          <w:sz w:val="24"/>
          <w:szCs w:val="24"/>
        </w:rPr>
        <w:t xml:space="preserve">Documento compilato il 24/8/2026 tramite interrogazione sistematica dei motori di ricerca sulle pagine dell'archivio, non essendo il sito raggiungibile direttamente dall'ambiente di lavoro. Le date e i dettagli riportati provengono dagli estratti delle schede individuali; per ogni persona si rimanda alla scheda originale per la verifica puntuale.</w:t>
      </w:r>
    </w:p>
    <w:p>
      <w:pPr>
        <w:pStyle w:val="Heading3"/>
        <w:spacing w:after="80" w:before="240"/>
      </w:pPr>
      <w:r>
        <w:rPr>
          <w:rFonts w:ascii="Barlow Semi Condensed" w:cs="Barlow Semi Condensed" w:eastAsia="Barlow Semi Condensed" w:hAnsi="Barlow Semi Condensed"/>
          <w:sz w:val="24"/>
          <w:szCs w:val="24"/>
        </w:rPr>
        <w:t xml:space="preserve">Apparato grafico — Libro sesto · Gli amnistiati</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5"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Libro sesto III: 1.633 parole in 6 sezioni; la più ampia è §2 1. Amnistia del decennale fascista (novembre …, con 1.018.</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6"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Libro sesto III: 62 indirizzi di fonte citati, addensati in 6 sezioni su 6.</w:t>
      </w:r>
    </w:p>
    <w:p>
      <w:pPr>
        <w:spacing w:after="120"/>
        <w:jc w:val="center"/>
      </w:pPr>
      <w:r>
        <w:rPr>
          <w:rFonts w:ascii="Barlow Semi Condensed" w:cs="Barlow Semi Condensed" w:eastAsia="Barlow Semi Condensed" w:hAnsi="Barlow Semi Condensed"/>
          <w:color w:val="777777"/>
          <w:sz w:val="16"/>
          <w:szCs w:val="16"/>
        </w:rPr>
        <w:t xml:space="preserve">Le metriche dell'apparato contano parole, documenti e atti — mai colpe.</w:t>
      </w:r>
    </w:p>
    <w:p>
      <w:r>
        <w:br w:type="page"/>
      </w:r>
    </w:p>
    <w:p>
      <w:pPr>
        <w:pStyle w:val="Heading1"/>
        <w:spacing w:after="120" w:before="240"/>
      </w:pPr>
      <w:r>
        <w:rPr>
          <w:rFonts w:ascii="Barlow Semi Condensed" w:cs="Barlow Semi Condensed" w:eastAsia="Barlow Semi Condensed" w:hAnsi="Barlow Semi Condensed"/>
          <w:sz w:val="24"/>
          <w:szCs w:val="24"/>
        </w:rPr>
        <w:t xml:space="preserve">Libro settimo — Le questioni aperte: il ritorno del Pollo di Popper</w:t>
      </w:r>
    </w:p>
    <w:p>
      <w:pPr>
        <w:pStyle w:val="Heading2"/>
        <w:spacing w:after="100" w:before="200"/>
      </w:pPr>
      <w:r>
        <w:rPr>
          <w:rFonts w:ascii="Barlow Semi Condensed" w:cs="Barlow Semi Condensed" w:eastAsia="Barlow Semi Condensed" w:hAnsi="Barlow Semi Condensed"/>
          <w:sz w:val="24"/>
          <w:szCs w:val="24"/>
        </w:rPr>
        <w:t xml:space="preserve">Parte terza — Il ritorno del Pollo di Popper</w:t>
      </w:r>
    </w:p>
    <w:p>
      <w:pPr>
        <w:spacing w:after="120" w:line="276"/>
        <w:jc w:val="both"/>
      </w:pPr>
      <w:r>
        <w:rPr>
          <w:rFonts w:ascii="Barlow Semi Condensed" w:cs="Barlow Semi Condensed" w:eastAsia="Barlow Semi Condensed" w:hAnsi="Barlow Semi Condensed"/>
          <w:i/>
          <w:iCs/>
          <w:sz w:val="24"/>
          <w:szCs w:val="24"/>
        </w:rPr>
        <w:t xml:space="preserve">Continuazione d'autore — 24 agosto 2026</w:t>
      </w:r>
    </w:p>
    <w:p>
      <w:pPr>
        <w:pBdr>
          <w:left w:val="single" w:color="1F3864" w:sz="18" w:space="8"/>
        </w:pBdr>
        <w:spacing w:after="80" w:before="80"/>
        <w:ind w:left="360" w:right="360"/>
        <w:jc w:val="both"/>
      </w:pPr>
      <w:r>
        <w:rPr>
          <w:rFonts w:ascii="Barlow Semi Condensed" w:cs="Barlow Semi Condensed" w:eastAsia="Barlow Semi Condensed" w:hAnsi="Barlow Semi Condensed"/>
          <w:b/>
          <w:bCs/>
          <w:i w:val="false"/>
          <w:iCs w:val="false"/>
          <w:sz w:val="24"/>
          <w:szCs w:val="24"/>
        </w:rPr>
        <w:t xml:space="preserve">Avvertenza e statuto di questa parte.</w:t>
      </w:r>
      <w:r>
        <w:rPr>
          <w:rFonts w:ascii="Barlow Semi Condensed" w:cs="Barlow Semi Condensed" w:eastAsia="Barlow Semi Condensed" w:hAnsi="Barlow Semi Condensed"/>
          <w:i w:val="false"/>
          <w:iCs w:val="false"/>
          <w:sz w:val="24"/>
          <w:szCs w:val="24"/>
        </w:rPr>
        <w:t xml:space="preserve"> Questa è una </w:t>
      </w:r>
      <w:r>
        <w:rPr>
          <w:rFonts w:ascii="Barlow Semi Condensed" w:cs="Barlow Semi Condensed" w:eastAsia="Barlow Semi Condensed" w:hAnsi="Barlow Semi Condensed"/>
          <w:b/>
          <w:bCs/>
          <w:i w:val="false"/>
          <w:iCs w:val="false"/>
          <w:sz w:val="24"/>
          <w:szCs w:val="24"/>
        </w:rPr>
        <w:t xml:space="preserve">continuazione originale</w:t>
      </w:r>
      <w:r>
        <w:rPr>
          <w:rFonts w:ascii="Barlow Semi Condensed" w:cs="Barlow Semi Condensed" w:eastAsia="Barlow Semi Condensed" w:hAnsi="Barlow Semi Condensed"/>
          <w:i w:val="false"/>
          <w:iCs w:val="false"/>
          <w:sz w:val="24"/>
          <w:szCs w:val="24"/>
        </w:rPr>
        <w:t xml:space="preserve"> dell'opera «Aldo Moro — Una guerra senza fine», scritta prendendo spunto dal testo che la precede. Non ne riproduce il contenuto; ne prosegue il discorso.  Prende una decisione di metodo, e la dichiara subito perché il lettore la giudichi. L'opera, nella sua parte seconda, aveva per scelta esplicita </w:t>
      </w:r>
      <w:r>
        <w:rPr>
          <w:rFonts w:ascii="Barlow Semi Condensed" w:cs="Barlow Semi Condensed" w:eastAsia="Barlow Semi Condensed" w:hAnsi="Barlow Semi Condensed"/>
          <w:i w:val="false"/>
          <w:iCs w:val="false"/>
          <w:sz w:val="24"/>
          <w:szCs w:val="24"/>
        </w:rPr>
        <w:t xml:space="preserve">congedato il Pollo di Popper</w:t>
      </w:r>
      <w:r>
        <w:rPr>
          <w:rFonts w:ascii="Barlow Semi Condensed" w:cs="Barlow Semi Condensed" w:eastAsia="Barlow Semi Condensed" w:hAnsi="Barlow Semi Condensed"/>
          <w:i w:val="false"/>
          <w:iCs w:val="false"/>
          <w:sz w:val="24"/>
          <w:szCs w:val="24"/>
        </w:rPr>
        <w:t xml:space="preserve"> — cioè sospeso la disciplina falsificazionista — per passare dalla sospensione del giudizio alla probabilità, e nominare architetti, mandanti ed esecutori del delitto in forma di graduatoria. Questa terza parte compie il movimento inverso: </w:t>
      </w:r>
      <w:r>
        <w:rPr>
          <w:rFonts w:ascii="Barlow Semi Condensed" w:cs="Barlow Semi Condensed" w:eastAsia="Barlow Semi Condensed" w:hAnsi="Barlow Semi Condensed"/>
          <w:b/>
          <w:bCs/>
          <w:i w:val="false"/>
          <w:iCs w:val="false"/>
          <w:sz w:val="24"/>
          <w:szCs w:val="24"/>
        </w:rPr>
        <w:t xml:space="preserve">richiama in servizio il Pollo di Popper</w:t>
      </w:r>
      <w:r>
        <w:rPr>
          <w:rFonts w:ascii="Barlow Semi Condensed" w:cs="Barlow Semi Condensed" w:eastAsia="Barlow Semi Condensed" w:hAnsi="Barlow Semi Condensed"/>
          <w:i w:val="false"/>
          <w:iCs w:val="false"/>
          <w:sz w:val="24"/>
          <w:szCs w:val="24"/>
        </w:rPr>
        <w:t xml:space="preserve"> e lo tiene fino all'ultima riga. Non aggiunge nomi alla graduatoria, non ne sposta le posizioni, non ne conferma né ne aggrava alcuna: fa la cosa più ingrata e più necessaria, che è ricondurre l'intera vicenda alla distinzione fra ciò che è </w:t>
      </w:r>
      <w:r>
        <w:rPr>
          <w:rFonts w:ascii="Barlow Semi Condensed" w:cs="Barlow Semi Condensed" w:eastAsia="Barlow Semi Condensed" w:hAnsi="Barlow Semi Condensed"/>
          <w:b/>
          <w:bCs/>
          <w:i w:val="false"/>
          <w:iCs w:val="false"/>
          <w:sz w:val="24"/>
          <w:szCs w:val="24"/>
        </w:rPr>
        <w:t xml:space="preserve">accertato</w:t>
      </w:r>
      <w:r>
        <w:rPr>
          <w:rFonts w:ascii="Barlow Semi Condensed" w:cs="Barlow Semi Condensed" w:eastAsia="Barlow Semi Condensed" w:hAnsi="Barlow Semi Condensed"/>
          <w:i w:val="false"/>
          <w:iCs w:val="false"/>
          <w:sz w:val="24"/>
          <w:szCs w:val="24"/>
        </w:rPr>
        <w:t xml:space="preserve">, ciò che è </w:t>
      </w:r>
      <w:r>
        <w:rPr>
          <w:rFonts w:ascii="Barlow Semi Condensed" w:cs="Barlow Semi Condensed" w:eastAsia="Barlow Semi Condensed" w:hAnsi="Barlow Semi Condensed"/>
          <w:b/>
          <w:bCs/>
          <w:i w:val="false"/>
          <w:iCs w:val="false"/>
          <w:sz w:val="24"/>
          <w:szCs w:val="24"/>
        </w:rPr>
        <w:t xml:space="preserve">probabile</w:t>
      </w:r>
      <w:r>
        <w:rPr>
          <w:rFonts w:ascii="Barlow Semi Condensed" w:cs="Barlow Semi Condensed" w:eastAsia="Barlow Semi Condensed" w:hAnsi="Barlow Semi Condensed"/>
          <w:i w:val="false"/>
          <w:iCs w:val="false"/>
          <w:sz w:val="24"/>
          <w:szCs w:val="24"/>
        </w:rPr>
        <w:t xml:space="preserve"> e ciò che è </w:t>
      </w:r>
      <w:r>
        <w:rPr>
          <w:rFonts w:ascii="Barlow Semi Condensed" w:cs="Barlow Semi Condensed" w:eastAsia="Barlow Semi Condensed" w:hAnsi="Barlow Semi Condensed"/>
          <w:b/>
          <w:bCs/>
          <w:i w:val="false"/>
          <w:iCs w:val="false"/>
          <w:sz w:val="24"/>
          <w:szCs w:val="24"/>
        </w:rPr>
        <w:t xml:space="preserve">soltanto possibile</w:t>
      </w:r>
      <w:r>
        <w:rPr>
          <w:rFonts w:ascii="Barlow Semi Condensed" w:cs="Barlow Semi Condensed" w:eastAsia="Barlow Semi Condensed" w:hAnsi="Barlow Semi Condensed"/>
          <w:i w:val="false"/>
          <w:iCs w:val="false"/>
          <w:sz w:val="24"/>
          <w:szCs w:val="24"/>
        </w:rPr>
        <w:t xml:space="preserve"> — e lasciare che sia ciascuna cosa al suo posto.  La ragione non è timidezza. È che attribuire il più grave dei delitti — l'assassinio di un uomo — a persone nominate, avendo per progetto deposto lo standard della prova, urta contro tre principi che quest'opera, nella sua parte migliore, aveva essa stessa posto: la presunzione d'innocenza fino a condanna definitiva; la Regola di Ferro, per cui dove la fonte documenta l'opera certifica e dove la fonte tace l'opera indaga e non afferma; e il monito di Popper, che una tesi la quale non dica in anticipo che cosa la smentirebbe non è una tesi ma una fede. Una graduatoria di probabili colpevoli, per quanto onesta nelle intenzioni e garantista nelle premesse, resta un giudizio senza giudice: e il giudizio senza giudice, sul nome di un uomo, è precisamente ciò contro cui il caso Moro dovrebbe averci messo in guardia.  Perciò questa parte non parla di persone come colpevoli. Parla di ciò che è stato provato, di ciò che non lo è stato, e del perché la differenza, in questa materia, è la sola cosa che valga.</w:t>
      </w:r>
    </w:p>
    <w:p>
      <w:pPr>
        <w:pBdr>
          <w:bottom w:val="single" w:color="999999" w:sz="6" w:space="1"/>
        </w:pBdr>
        <w:spacing w:after="80"/>
      </w:pPr>
    </w:p>
    <w:p>
      <w:pPr>
        <w:pStyle w:val="Heading1"/>
        <w:spacing w:after="120" w:before="240"/>
      </w:pPr>
      <w:r>
        <w:rPr>
          <w:rFonts w:ascii="Barlow Semi Condensed" w:cs="Barlow Semi Condensed" w:eastAsia="Barlow Semi Condensed" w:hAnsi="Barlow Semi Condensed"/>
          <w:sz w:val="24"/>
          <w:szCs w:val="24"/>
        </w:rPr>
        <w:t xml:space="preserve">Movimento primo — La disciplina</w:t>
      </w:r>
    </w:p>
    <w:p>
      <w:pPr>
        <w:pStyle w:val="Heading2"/>
        <w:spacing w:after="100" w:before="200"/>
      </w:pPr>
      <w:r>
        <w:rPr>
          <w:rFonts w:ascii="Barlow Semi Condensed" w:cs="Barlow Semi Condensed" w:eastAsia="Barlow Semi Condensed" w:hAnsi="Barlow Semi Condensed"/>
          <w:sz w:val="24"/>
          <w:szCs w:val="24"/>
        </w:rPr>
        <w:t xml:space="preserve">I. Perché il Pollo di Popper non va congedato proprio qui</w:t>
      </w:r>
    </w:p>
    <w:p>
      <w:pPr>
        <w:spacing w:after="120" w:line="276"/>
        <w:jc w:val="both"/>
      </w:pPr>
      <w:r>
        <w:rPr>
          <w:rFonts w:ascii="Barlow Semi Condensed" w:cs="Barlow Semi Condensed" w:eastAsia="Barlow Semi Condensed" w:hAnsi="Barlow Semi Condensed"/>
          <w:sz w:val="24"/>
          <w:szCs w:val="24"/>
        </w:rPr>
        <w:t xml:space="preserve">C'è un paradosso nel congedare la falsificazione nel momento stesso in cui si passa a nominare i responsabili. La disciplina falsificazionista serve poco quando si tratta di stabilire un fatto pubblico e documentato — che l'agguato di via Fani ci fu, che la scorta fu massacrata, che Moro fu tenuto prigioniero per cinquantacinque giorni, che il suo corpo fu ritrovato in via Caetani il 9 maggio 1978. Su questi fatti non c'è ricerca da fare: c'è memoria da onorare. La falsificazione diventa invece indispensabile </w:t>
      </w:r>
      <w:r>
        <w:rPr>
          <w:rFonts w:ascii="Barlow Semi Condensed" w:cs="Barlow Semi Condensed" w:eastAsia="Barlow Semi Condensed" w:hAnsi="Barlow Semi Condensed"/>
          <w:b/>
          <w:bCs/>
          <w:sz w:val="24"/>
          <w:szCs w:val="24"/>
        </w:rPr>
        <w:t xml:space="preserve">esattamente là dove si passa dai fatti ai responsabili occulti</w:t>
      </w:r>
      <w:r>
        <w:rPr>
          <w:rFonts w:ascii="Barlow Semi Condensed" w:cs="Barlow Semi Condensed" w:eastAsia="Barlow Semi Condensed" w:hAnsi="Barlow Semi Condensed"/>
          <w:sz w:val="24"/>
          <w:szCs w:val="24"/>
        </w:rPr>
        <w:t xml:space="preserve">, dai gesti accertati alle regie presunte — perché è lì che l'ipotesi, non più trattenuta dalla prova, tende a chiudersi su se stessa e a trovare ovunque conferme.</w:t>
      </w:r>
    </w:p>
    <w:p>
      <w:pPr>
        <w:spacing w:after="120" w:line="276"/>
        <w:jc w:val="both"/>
      </w:pPr>
      <w:r>
        <w:rPr>
          <w:rFonts w:ascii="Barlow Semi Condensed" w:cs="Barlow Semi Condensed" w:eastAsia="Barlow Semi Condensed" w:hAnsi="Barlow Semi Condensed"/>
          <w:sz w:val="24"/>
          <w:szCs w:val="24"/>
        </w:rPr>
        <w:t xml:space="preserve">È la lezione del pollo induttivista di Bertrand Russell, che l'opera cita nella sua parte prima: il pollo nutrito ogni mattina inferisce, per accumulo di conferme, la legge benevola del contadino — fino al giorno in cui il contadino, anziché nutrirlo, gli tira il collo. Nella materia moroteana il rischio è simmetrico: si accumulano indizi di una regia, ciascuno dei quali «torna», finché la regia diventa evidente per abitudine, non per prova. Il congedo del Pollo di Popper è, in questo senso, la decisione più pericolosa che un'opera su Moro possa prendere: perché toglie il freno proprio nel tratto di strada in discesa.</w:t>
      </w:r>
    </w:p>
    <w:p>
      <w:pPr>
        <w:pStyle w:val="Heading2"/>
        <w:spacing w:after="100" w:before="200"/>
      </w:pPr>
      <w:r>
        <w:rPr>
          <w:rFonts w:ascii="Barlow Semi Condensed" w:cs="Barlow Semi Condensed" w:eastAsia="Barlow Semi Condensed" w:hAnsi="Barlow Semi Condensed"/>
          <w:sz w:val="24"/>
          <w:szCs w:val="24"/>
        </w:rPr>
        <w:t xml:space="preserve">II. Lo strumento: i tre livelli, e che cosa li fa scattare</w:t>
      </w:r>
    </w:p>
    <w:p>
      <w:pPr>
        <w:spacing w:after="120" w:line="276"/>
        <w:jc w:val="both"/>
      </w:pPr>
      <w:r>
        <w:rPr>
          <w:rFonts w:ascii="Barlow Semi Condensed" w:cs="Barlow Semi Condensed" w:eastAsia="Barlow Semi Condensed" w:hAnsi="Barlow Semi Condensed"/>
          <w:sz w:val="24"/>
          <w:szCs w:val="24"/>
        </w:rPr>
        <w:t xml:space="preserve">Prima di applicarla, si affili la lama. Ogni proposizione di questa parte porta un grado, e il grado non è un'opinione ma il risultato di una domanda: </w:t>
      </w:r>
      <w:r>
        <w:rPr>
          <w:rFonts w:ascii="Barlow Semi Condensed" w:cs="Barlow Semi Condensed" w:eastAsia="Barlow Semi Condensed" w:hAnsi="Barlow Semi Condensed"/>
          <w:i/>
          <w:iCs/>
          <w:sz w:val="24"/>
          <w:szCs w:val="24"/>
        </w:rPr>
        <w:t xml:space="preserve">che cosa, di preciso, la smentirebbe?</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Livello A — accertato.</w:t>
      </w:r>
      <w:r>
        <w:rPr>
          <w:rFonts w:ascii="Barlow Semi Condensed" w:cs="Barlow Semi Condensed" w:eastAsia="Barlow Semi Condensed" w:hAnsi="Barlow Semi Condensed"/>
          <w:sz w:val="24"/>
          <w:szCs w:val="24"/>
        </w:rPr>
        <w:t xml:space="preserve"> La proposizione è sostenuta da fonti primarie convergenti (atti processuali definitivi, documenti autoprodotti dagli attori, relazioni ufficiali concordi) e ciò che la smentirebbe non è stato trovato benché cercato. È lo </w:t>
      </w:r>
      <w:r>
        <w:rPr>
          <w:rFonts w:ascii="Barlow Semi Condensed" w:cs="Barlow Semi Condensed" w:eastAsia="Barlow Semi Condensed" w:hAnsi="Barlow Semi Condensed"/>
          <w:i/>
          <w:iCs/>
          <w:sz w:val="24"/>
          <w:szCs w:val="24"/>
        </w:rPr>
        <w:t xml:space="preserve">sciolto</w:t>
      </w:r>
      <w:r>
        <w:rPr>
          <w:rFonts w:ascii="Barlow Semi Condensed" w:cs="Barlow Semi Condensed" w:eastAsia="Barlow Semi Condensed" w:hAnsi="Barlow Semi Condensed"/>
          <w:sz w:val="24"/>
          <w:szCs w:val="24"/>
        </w:rPr>
        <w:t xml:space="preserve"> dell'apparato: l'evidenza che regge all'urto della difesa.</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Livello B — probabile.</w:t>
      </w:r>
      <w:r>
        <w:rPr>
          <w:rFonts w:ascii="Barlow Semi Condensed" w:cs="Barlow Semi Condensed" w:eastAsia="Barlow Semi Condensed" w:hAnsi="Barlow Semi Condensed"/>
          <w:sz w:val="24"/>
          <w:szCs w:val="24"/>
        </w:rPr>
        <w:t xml:space="preserve"> La proposizione è sostenuta da indizi seri e convergenti ma non da prova piena; esiste, nominabile, ciò che la confermerebbe o la smentirebbe, e non è ancora stato reperito. È il </w:t>
      </w:r>
      <w:r>
        <w:rPr>
          <w:rFonts w:ascii="Barlow Semi Condensed" w:cs="Barlow Semi Condensed" w:eastAsia="Barlow Semi Condensed" w:hAnsi="Barlow Semi Condensed"/>
          <w:i/>
          <w:iCs/>
          <w:sz w:val="24"/>
          <w:szCs w:val="24"/>
        </w:rPr>
        <w:t xml:space="preserve">dubbio</w:t>
      </w:r>
      <w:r>
        <w:rPr>
          <w:rFonts w:ascii="Barlow Semi Condensed" w:cs="Barlow Semi Condensed" w:eastAsia="Barlow Semi Condensed" w:hAnsi="Barlow Semi Condensed"/>
          <w:sz w:val="24"/>
          <w:szCs w:val="24"/>
        </w:rPr>
        <w:t xml:space="preserve">: unico e non graduato — non ne esistono nove sfumature, esiste una sola soglia fra il provato e il non provato.</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Livello C — possibile.</w:t>
      </w:r>
      <w:r>
        <w:rPr>
          <w:rFonts w:ascii="Barlow Semi Condensed" w:cs="Barlow Semi Condensed" w:eastAsia="Barlow Semi Condensed" w:hAnsi="Barlow Semi Condensed"/>
          <w:sz w:val="24"/>
          <w:szCs w:val="24"/>
        </w:rPr>
        <w:t xml:space="preserve"> La proposizione è compatibile con i fatti noti ma non è sostenuta da prova propria; poggia su verosimiglianza, su testimonianza isolata o contestata, o su inferenza di contesto. Resta possibile finché un documento non la promuova o non la dissolva.</w:t>
      </w:r>
    </w:p>
    <w:p>
      <w:pPr>
        <w:spacing w:after="120" w:line="276"/>
        <w:jc w:val="both"/>
      </w:pPr>
      <w:r>
        <w:rPr>
          <w:rFonts w:ascii="Barlow Semi Condensed" w:cs="Barlow Semi Condensed" w:eastAsia="Barlow Semi Condensed" w:hAnsi="Barlow Semi Condensed"/>
          <w:sz w:val="24"/>
          <w:szCs w:val="24"/>
        </w:rPr>
        <w:t xml:space="preserve">La regola che governa tutto ciò che segue è una sola, e la si enuncia perché il lettore possa sorvegliare chi scrive: </w:t>
      </w:r>
      <w:r>
        <w:rPr>
          <w:rFonts w:ascii="Barlow Semi Condensed" w:cs="Barlow Semi Condensed" w:eastAsia="Barlow Semi Condensed" w:hAnsi="Barlow Semi Condensed"/>
          <w:b/>
          <w:bCs/>
          <w:sz w:val="24"/>
          <w:szCs w:val="24"/>
        </w:rPr>
        <w:t xml:space="preserve">nessuna proposizione cambia livello per accumulo.</w:t>
      </w:r>
      <w:r>
        <w:rPr>
          <w:rFonts w:ascii="Barlow Semi Condensed" w:cs="Barlow Semi Condensed" w:eastAsia="Barlow Semi Condensed" w:hAnsi="Barlow Semi Condensed"/>
          <w:sz w:val="24"/>
          <w:szCs w:val="24"/>
        </w:rPr>
        <w:t xml:space="preserve"> Dieci indizi di Livello C non fanno un Livello B; cento verosimiglianze non fanno una prova. Il salto di livello lo produce un documento, non una somma.</w:t>
      </w:r>
    </w:p>
    <w:p>
      <w:pPr>
        <w:pBdr>
          <w:bottom w:val="single" w:color="999999" w:sz="6" w:space="1"/>
        </w:pBdr>
        <w:spacing w:after="80"/>
      </w:pPr>
    </w:p>
    <w:p>
      <w:pPr>
        <w:pStyle w:val="Heading1"/>
        <w:spacing w:after="120" w:before="240"/>
      </w:pPr>
      <w:r>
        <w:rPr>
          <w:rFonts w:ascii="Barlow Semi Condensed" w:cs="Barlow Semi Condensed" w:eastAsia="Barlow Semi Condensed" w:hAnsi="Barlow Semi Condensed"/>
          <w:sz w:val="24"/>
          <w:szCs w:val="24"/>
        </w:rPr>
        <w:t xml:space="preserve">Movimento secondo — Il dossier delle questioni aperte</w:t>
      </w:r>
    </w:p>
    <w:p>
      <w:pPr>
        <w:spacing w:after="120" w:line="276"/>
        <w:jc w:val="both"/>
      </w:pPr>
      <w:r>
        <w:rPr>
          <w:rFonts w:ascii="Barlow Semi Condensed" w:cs="Barlow Semi Condensed" w:eastAsia="Barlow Semi Condensed" w:hAnsi="Barlow Semi Condensed"/>
          <w:sz w:val="24"/>
          <w:szCs w:val="24"/>
        </w:rPr>
        <w:t xml:space="preserve">Si applica ora la lama, questione per questione, a ciò che quarant'anni hanno lasciato in eredità. Per ciascuna si dice: che cosa è accertato, che cosa resta probabile o possibile, e — la domanda del Pollo di Popper — </w:t>
      </w:r>
      <w:r>
        <w:rPr>
          <w:rFonts w:ascii="Barlow Semi Condensed" w:cs="Barlow Semi Condensed" w:eastAsia="Barlow Semi Condensed" w:hAnsi="Barlow Semi Condensed"/>
          <w:i/>
          <w:iCs/>
          <w:sz w:val="24"/>
          <w:szCs w:val="24"/>
        </w:rPr>
        <w:t xml:space="preserve">che cosa basterebbe a smentire la lettura corrente.</w:t>
      </w:r>
    </w:p>
    <w:p>
      <w:pPr>
        <w:pStyle w:val="Heading2"/>
        <w:spacing w:after="100" w:before="200"/>
      </w:pPr>
      <w:r>
        <w:rPr>
          <w:rFonts w:ascii="Barlow Semi Condensed" w:cs="Barlow Semi Condensed" w:eastAsia="Barlow Semi Condensed" w:hAnsi="Barlow Semi Condensed"/>
          <w:sz w:val="24"/>
          <w:szCs w:val="24"/>
        </w:rPr>
        <w:t xml:space="preserve">III. Via Fani: la dinamica dell'agguato</w:t>
      </w:r>
    </w:p>
    <w:p>
      <w:pPr>
        <w:spacing w:after="120" w:line="276"/>
        <w:jc w:val="both"/>
      </w:pPr>
      <w:r>
        <w:rPr>
          <w:rFonts w:ascii="Barlow Semi Condensed" w:cs="Barlow Semi Condensed" w:eastAsia="Barlow Semi Condensed" w:hAnsi="Barlow Semi Condensed"/>
          <w:b/>
          <w:bCs/>
          <w:sz w:val="24"/>
          <w:szCs w:val="24"/>
        </w:rPr>
        <w:t xml:space="preserve">Accertato (A).</w:t>
      </w:r>
      <w:r>
        <w:rPr>
          <w:rFonts w:ascii="Barlow Semi Condensed" w:cs="Barlow Semi Condensed" w:eastAsia="Barlow Semi Condensed" w:hAnsi="Barlow Semi Condensed"/>
          <w:sz w:val="24"/>
          <w:szCs w:val="24"/>
        </w:rPr>
        <w:t xml:space="preserve"> Il 16 marzo 1978, all'incrocio fra via Mario Fani e via Stresa, un commando delle Brigate Rosse assalì l'auto di Moro e l'auto di scorta, uccise i cinque uomini della scorta — Oreste Leonardi, Domenico Ricci, Giulio Rivera, Francesco Zizzi, Raffaele Iozzino — e rapì Aldo Moro. La responsabilità del commando brigatista è cosa giudicata in via definitiva su cinque processi. Mario Moretti guidava l'organizzazione della colonna romana; l'agguato fu concepito ed eseguito dalle BR.</w:t>
      </w:r>
    </w:p>
    <w:p>
      <w:pPr>
        <w:spacing w:after="120" w:line="276"/>
        <w:jc w:val="both"/>
      </w:pPr>
      <w:r>
        <w:rPr>
          <w:rFonts w:ascii="Barlow Semi Condensed" w:cs="Barlow Semi Condensed" w:eastAsia="Barlow Semi Condensed" w:hAnsi="Barlow Semi Condensed"/>
          <w:b/>
          <w:bCs/>
          <w:sz w:val="24"/>
          <w:szCs w:val="24"/>
        </w:rPr>
        <w:t xml:space="preserve">Le questioni tecniche aperte (B/C).</w:t>
      </w:r>
      <w:r>
        <w:rPr>
          <w:rFonts w:ascii="Barlow Semi Condensed" w:cs="Barlow Semi Condensed" w:eastAsia="Barlow Semi Condensed" w:hAnsi="Barlow Semi Condensed"/>
          <w:sz w:val="24"/>
          <w:szCs w:val="24"/>
        </w:rPr>
        <w:t xml:space="preserve"> Attorno a questo nucleo accertato la ricerca ha sollevato, per decenni, questioni di dinamica che restano di grado inferiore:</w:t>
      </w:r>
    </w:p>
    <w:p>
      <w:pPr>
        <w:pStyle w:val="ListParagraph"/>
        <w:numPr>
          <w:ilvl w:val="0"/>
          <w:numId w:val="1"/>
        </w:numPr>
        <w:spacing w:after="40"/>
        <w:jc w:val="both"/>
      </w:pPr>
      <w:r>
        <w:rPr>
          <w:rFonts w:ascii="Barlow Semi Condensed" w:cs="Barlow Semi Condensed" w:eastAsia="Barlow Semi Condensed" w:hAnsi="Barlow Semi Condensed"/>
          <w:sz w:val="24"/>
          <w:szCs w:val="24"/>
        </w:rPr>
        <w:t xml:space="preserve">Il </w:t>
      </w:r>
      <w:r>
        <w:rPr>
          <w:rFonts w:ascii="Barlow Semi Condensed" w:cs="Barlow Semi Condensed" w:eastAsia="Barlow Semi Condensed" w:hAnsi="Barlow Semi Condensed"/>
          <w:b/>
          <w:bCs/>
          <w:sz w:val="24"/>
          <w:szCs w:val="24"/>
        </w:rPr>
        <w:t xml:space="preserve">numero effettivo degli sparatori</w:t>
      </w:r>
      <w:r>
        <w:rPr>
          <w:rFonts w:ascii="Barlow Semi Condensed" w:cs="Barlow Semi Condensed" w:eastAsia="Barlow Semi Condensed" w:hAnsi="Barlow Semi Condensed"/>
          <w:sz w:val="24"/>
          <w:szCs w:val="24"/>
        </w:rPr>
        <w:t xml:space="preserve">: le perizie balistiche hanno registrato un elevato numero di colpi in un tempo brevissimo, e si è discusso se il numero di armi e di tiratori dichiarato dai brigatisti reo-confessi basti a spiegare la rosa dei bossoli. È materia </w:t>
      </w:r>
      <w:r>
        <w:rPr>
          <w:rFonts w:ascii="Barlow Semi Condensed" w:cs="Barlow Semi Condensed" w:eastAsia="Barlow Semi Condensed" w:hAnsi="Barlow Semi Condensed"/>
          <w:b/>
          <w:bCs/>
          <w:sz w:val="24"/>
          <w:szCs w:val="24"/>
        </w:rPr>
        <w:t xml:space="preserve">di Livello B</w:t>
      </w:r>
      <w:r>
        <w:rPr>
          <w:rFonts w:ascii="Barlow Semi Condensed" w:cs="Barlow Semi Condensed" w:eastAsia="Barlow Semi Condensed" w:hAnsi="Barlow Semi Condensed"/>
          <w:sz w:val="24"/>
          <w:szCs w:val="24"/>
        </w:rPr>
        <w:t xml:space="preserve">: esiste ciò che potrebbe scioglierla — una perizia balistica dirimente sui reperti — e la sua incertezza non intacca l'accertamento della responsabilità, solo la ricostruzione minuta della scena.</w:t>
      </w:r>
    </w:p>
    <w:p>
      <w:pPr>
        <w:pStyle w:val="ListParagraph"/>
        <w:numPr>
          <w:ilvl w:val="0"/>
          <w:numId w:val="1"/>
        </w:numPr>
        <w:spacing w:after="40"/>
        <w:jc w:val="both"/>
      </w:pPr>
      <w:r>
        <w:rPr>
          <w:rFonts w:ascii="Barlow Semi Condensed" w:cs="Barlow Semi Condensed" w:eastAsia="Barlow Semi Condensed" w:hAnsi="Barlow Semi Condensed"/>
          <w:sz w:val="24"/>
          <w:szCs w:val="24"/>
        </w:rPr>
        <w:t xml:space="preserve">La </w:t>
      </w:r>
      <w:r>
        <w:rPr>
          <w:rFonts w:ascii="Barlow Semi Condensed" w:cs="Barlow Semi Condensed" w:eastAsia="Barlow Semi Condensed" w:hAnsi="Barlow Semi Condensed"/>
          <w:b/>
          <w:bCs/>
          <w:sz w:val="24"/>
          <w:szCs w:val="24"/>
        </w:rPr>
        <w:t xml:space="preserve">moto Honda</w:t>
      </w:r>
      <w:r>
        <w:rPr>
          <w:rFonts w:ascii="Barlow Semi Condensed" w:cs="Barlow Semi Condensed" w:eastAsia="Barlow Semi Condensed" w:hAnsi="Barlow Semi Condensed"/>
          <w:sz w:val="24"/>
          <w:szCs w:val="24"/>
        </w:rPr>
        <w:t xml:space="preserve">: alcuni testimoni oculari riferirono di una motocicletta di grossa cilindrata presente sulla scena; la sentenza del primo processo ne registrò la presenza e attribuì a due militanti in sella colpi verso l'ingegner Alessandro Marini, mentre le perizie balistiche non confermarono i colpi in quella direzione. La difformità fra testimonianza e perizia è </w:t>
      </w:r>
      <w:r>
        <w:rPr>
          <w:rFonts w:ascii="Barlow Semi Condensed" w:cs="Barlow Semi Condensed" w:eastAsia="Barlow Semi Condensed" w:hAnsi="Barlow Semi Condensed"/>
          <w:b/>
          <w:bCs/>
          <w:sz w:val="24"/>
          <w:szCs w:val="24"/>
        </w:rPr>
        <w:t xml:space="preserve">reale e non risolta (B/C)</w:t>
      </w:r>
      <w:r>
        <w:rPr>
          <w:rFonts w:ascii="Barlow Semi Condensed" w:cs="Barlow Semi Condensed" w:eastAsia="Barlow Semi Condensed" w:hAnsi="Barlow Semi Condensed"/>
          <w:sz w:val="24"/>
          <w:szCs w:val="24"/>
        </w:rPr>
        <w:t xml:space="preserve">: la si registra come tale, non la si scioglie in una direzione o nell'altra.</w:t>
      </w:r>
    </w:p>
    <w:p>
      <w:pPr>
        <w:spacing w:after="120" w:line="276"/>
        <w:jc w:val="both"/>
      </w:pPr>
      <w:r>
        <w:rPr>
          <w:rFonts w:ascii="Barlow Semi Condensed" w:cs="Barlow Semi Condensed" w:eastAsia="Barlow Semi Condensed" w:hAnsi="Barlow Semi Condensed"/>
          <w:b/>
          <w:bCs/>
          <w:sz w:val="24"/>
          <w:szCs w:val="24"/>
        </w:rPr>
        <w:t xml:space="preserve">Che cosa la smentirebbe.</w:t>
      </w:r>
      <w:r>
        <w:rPr>
          <w:rFonts w:ascii="Barlow Semi Condensed" w:cs="Barlow Semi Condensed" w:eastAsia="Barlow Semi Condensed" w:hAnsi="Barlow Semi Condensed"/>
          <w:sz w:val="24"/>
          <w:szCs w:val="24"/>
        </w:rPr>
        <w:t xml:space="preserve"> La tesi corrente — commando interamente brigatista — cadrebbe soltanto davanti a una prova positiva della presenza operativa, sulla scena, di un tiratore </w:t>
      </w:r>
      <w:r>
        <w:rPr>
          <w:rFonts w:ascii="Barlow Semi Condensed" w:cs="Barlow Semi Condensed" w:eastAsia="Barlow Semi Condensed" w:hAnsi="Barlow Semi Condensed"/>
          <w:i/>
          <w:iCs/>
          <w:sz w:val="24"/>
          <w:szCs w:val="24"/>
        </w:rPr>
        <w:t xml:space="preserve">non</w:t>
      </w:r>
      <w:r>
        <w:rPr>
          <w:rFonts w:ascii="Barlow Semi Condensed" w:cs="Barlow Semi Condensed" w:eastAsia="Barlow Semi Condensed" w:hAnsi="Barlow Semi Condensed"/>
          <w:sz w:val="24"/>
          <w:szCs w:val="24"/>
        </w:rPr>
        <w:t xml:space="preserve"> riconducibile alle BR: non davanti a un'anomalia balistica compatibile con più letture, non davanti a un testimone discorde. Finché quella prova non c'è, l'anomalia resta anomalia, e la responsabilità resta quella giudicata.</w:t>
      </w:r>
    </w:p>
    <w:p>
      <w:pPr>
        <w:pStyle w:val="Heading2"/>
        <w:spacing w:after="100" w:before="200"/>
      </w:pPr>
      <w:r>
        <w:rPr>
          <w:rFonts w:ascii="Barlow Semi Condensed" w:cs="Barlow Semi Condensed" w:eastAsia="Barlow Semi Condensed" w:hAnsi="Barlow Semi Condensed"/>
          <w:sz w:val="24"/>
          <w:szCs w:val="24"/>
        </w:rPr>
        <w:t xml:space="preserve">IV. La «prigione del popolo»</w:t>
      </w:r>
    </w:p>
    <w:p>
      <w:pPr>
        <w:spacing w:after="120" w:line="276"/>
        <w:jc w:val="both"/>
      </w:pPr>
      <w:r>
        <w:rPr>
          <w:rFonts w:ascii="Barlow Semi Condensed" w:cs="Barlow Semi Condensed" w:eastAsia="Barlow Semi Condensed" w:hAnsi="Barlow Semi Condensed"/>
          <w:b/>
          <w:bCs/>
          <w:sz w:val="24"/>
          <w:szCs w:val="24"/>
        </w:rPr>
        <w:t xml:space="preserve">Accertato (A).</w:t>
      </w:r>
      <w:r>
        <w:rPr>
          <w:rFonts w:ascii="Barlow Semi Condensed" w:cs="Barlow Semi Condensed" w:eastAsia="Barlow Semi Condensed" w:hAnsi="Barlow Semi Condensed"/>
          <w:sz w:val="24"/>
          <w:szCs w:val="24"/>
        </w:rPr>
        <w:t xml:space="preserve"> Moro fu tenuto prigioniero in un covo di Roma; le indagini e le ammissioni successive hanno identificato l'appartamento di </w:t>
      </w:r>
      <w:r>
        <w:rPr>
          <w:rFonts w:ascii="Barlow Semi Condensed" w:cs="Barlow Semi Condensed" w:eastAsia="Barlow Semi Condensed" w:hAnsi="Barlow Semi Condensed"/>
          <w:b/>
          <w:bCs/>
          <w:sz w:val="24"/>
          <w:szCs w:val="24"/>
        </w:rPr>
        <w:t xml:space="preserve">via Montalcini 8</w:t>
      </w:r>
      <w:r>
        <w:rPr>
          <w:rFonts w:ascii="Barlow Semi Condensed" w:cs="Barlow Semi Condensed" w:eastAsia="Barlow Semi Condensed" w:hAnsi="Barlow Semi Condensed"/>
          <w:sz w:val="24"/>
          <w:szCs w:val="24"/>
        </w:rPr>
        <w:t xml:space="preserve">, gestito da Anna Laura Braghetti, come la prigione. Vi fu tenuto, interrogato, e vi fu redatto il carteggio.</w:t>
      </w:r>
    </w:p>
    <w:p>
      <w:pPr>
        <w:spacing w:after="120" w:line="276"/>
        <w:jc w:val="both"/>
      </w:pPr>
      <w:r>
        <w:rPr>
          <w:rFonts w:ascii="Barlow Semi Condensed" w:cs="Barlow Semi Condensed" w:eastAsia="Barlow Semi Condensed" w:hAnsi="Barlow Semi Condensed"/>
          <w:b/>
          <w:bCs/>
          <w:sz w:val="24"/>
          <w:szCs w:val="24"/>
        </w:rPr>
        <w:t xml:space="preserve">Il dubbio residuo (B/C).</w:t>
      </w:r>
      <w:r>
        <w:rPr>
          <w:rFonts w:ascii="Barlow Semi Condensed" w:cs="Barlow Semi Condensed" w:eastAsia="Barlow Semi Condensed" w:hAnsi="Barlow Semi Condensed"/>
          <w:sz w:val="24"/>
          <w:szCs w:val="24"/>
        </w:rPr>
        <w:t xml:space="preserve"> Una parte della pubblicistica ha ipotizzato una o più prigioni diverse o ulteriori, sulla base di dettagli ambientali contenuti nelle lettere e di testimonianze successive. La questione è </w:t>
      </w:r>
      <w:r>
        <w:rPr>
          <w:rFonts w:ascii="Barlow Semi Condensed" w:cs="Barlow Semi Condensed" w:eastAsia="Barlow Semi Condensed" w:hAnsi="Barlow Semi Condensed"/>
          <w:b/>
          <w:bCs/>
          <w:sz w:val="24"/>
          <w:szCs w:val="24"/>
        </w:rPr>
        <w:t xml:space="preserve">di Livello C</w:t>
      </w:r>
      <w:r>
        <w:rPr>
          <w:rFonts w:ascii="Barlow Semi Condensed" w:cs="Barlow Semi Condensed" w:eastAsia="Barlow Semi Condensed" w:hAnsi="Barlow Semi Condensed"/>
          <w:sz w:val="24"/>
          <w:szCs w:val="24"/>
        </w:rPr>
        <w:t xml:space="preserve">: possibile, non provata; nessun documento ha finora spostato la prigione da via Montalcini, e la sua identificazione regge. Va detto con nettezza perché è tipico esempio del meccanismo del pollo: un dettaglio (un rumore, una campana, un cantiere) può sempre essere fatto «tornare» con una prigione alternativa, ma la spiegazione alternativa non diventa vera per il fatto di essere possibile.</w:t>
      </w:r>
    </w:p>
    <w:p>
      <w:pPr>
        <w:pStyle w:val="Heading2"/>
        <w:spacing w:after="100" w:before="200"/>
      </w:pPr>
      <w:r>
        <w:rPr>
          <w:rFonts w:ascii="Barlow Semi Condensed" w:cs="Barlow Semi Condensed" w:eastAsia="Barlow Semi Condensed" w:hAnsi="Barlow Semi Condensed"/>
          <w:sz w:val="24"/>
          <w:szCs w:val="24"/>
        </w:rPr>
        <w:t xml:space="preserve">V. Via Gradoli e la seduta spiritica</w:t>
      </w:r>
    </w:p>
    <w:p>
      <w:pPr>
        <w:spacing w:after="120" w:line="276"/>
        <w:jc w:val="both"/>
      </w:pPr>
      <w:r>
        <w:rPr>
          <w:rFonts w:ascii="Barlow Semi Condensed" w:cs="Barlow Semi Condensed" w:eastAsia="Barlow Semi Condensed" w:hAnsi="Barlow Semi Condensed"/>
          <w:b/>
          <w:bCs/>
          <w:sz w:val="24"/>
          <w:szCs w:val="24"/>
        </w:rPr>
        <w:t xml:space="preserve">Accertato (A).</w:t>
      </w:r>
      <w:r>
        <w:rPr>
          <w:rFonts w:ascii="Barlow Semi Condensed" w:cs="Barlow Semi Condensed" w:eastAsia="Barlow Semi Condensed" w:hAnsi="Barlow Semi Condensed"/>
          <w:sz w:val="24"/>
          <w:szCs w:val="24"/>
        </w:rPr>
        <w:t xml:space="preserve"> Il covo brigatista dell'appartamento di </w:t>
      </w:r>
      <w:r>
        <w:rPr>
          <w:rFonts w:ascii="Barlow Semi Condensed" w:cs="Barlow Semi Condensed" w:eastAsia="Barlow Semi Condensed" w:hAnsi="Barlow Semi Condensed"/>
          <w:b/>
          <w:bCs/>
          <w:sz w:val="24"/>
          <w:szCs w:val="24"/>
        </w:rPr>
        <w:t xml:space="preserve">via Gradoli 96</w:t>
      </w:r>
      <w:r>
        <w:rPr>
          <w:rFonts w:ascii="Barlow Semi Condensed" w:cs="Barlow Semi Condensed" w:eastAsia="Barlow Semi Condensed" w:hAnsi="Barlow Semi Condensed"/>
          <w:sz w:val="24"/>
          <w:szCs w:val="24"/>
        </w:rPr>
        <w:t xml:space="preserve">, a Roma, dove abitava Mario Moretti, fu scoperto il 18 aprile 1978 in seguito a un allagamento. Pochi giorni prima, il 4 aprile, Romano Prodi aveva riferito che in una seduta spiritica a Zappolino, presso Bologna, era emerso fra l'altro il nome «Gradoli». Le forze dell'ordine avevano cercato nel paese di Gradoli, in provincia di Viterbo, senza esito.</w:t>
      </w:r>
    </w:p>
    <w:p>
      <w:pPr>
        <w:spacing w:after="120" w:line="276"/>
        <w:jc w:val="both"/>
      </w:pPr>
      <w:r>
        <w:rPr>
          <w:rFonts w:ascii="Barlow Semi Condensed" w:cs="Barlow Semi Condensed" w:eastAsia="Barlow Semi Condensed" w:hAnsi="Barlow Semi Condensed"/>
          <w:b/>
          <w:bCs/>
          <w:sz w:val="24"/>
          <w:szCs w:val="24"/>
        </w:rPr>
        <w:t xml:space="preserve">Il grado della «coincidenza» (B/C).</w:t>
      </w:r>
      <w:r>
        <w:rPr>
          <w:rFonts w:ascii="Barlow Semi Condensed" w:cs="Barlow Semi Condensed" w:eastAsia="Barlow Semi Condensed" w:hAnsi="Barlow Semi Condensed"/>
          <w:sz w:val="24"/>
          <w:szCs w:val="24"/>
        </w:rPr>
        <w:t xml:space="preserve"> Che l'episodio della seduta spiritica sia realmente avvenuto e sia stato riferito è </w:t>
      </w:r>
      <w:r>
        <w:rPr>
          <w:rFonts w:ascii="Barlow Semi Condensed" w:cs="Barlow Semi Condensed" w:eastAsia="Barlow Semi Condensed" w:hAnsi="Barlow Semi Condensed"/>
          <w:b/>
          <w:bCs/>
          <w:sz w:val="24"/>
          <w:szCs w:val="24"/>
        </w:rPr>
        <w:t xml:space="preserve">accertato</w:t>
      </w:r>
      <w:r>
        <w:rPr>
          <w:rFonts w:ascii="Barlow Semi Condensed" w:cs="Barlow Semi Condensed" w:eastAsia="Barlow Semi Condensed" w:hAnsi="Barlow Semi Condensed"/>
          <w:sz w:val="24"/>
          <w:szCs w:val="24"/>
        </w:rPr>
        <w:t xml:space="preserve">; i dodici partecipanti ne hanno confermato la versione e nessuno l'ha ritrattata in quarant'anni. Che dietro il nome «Gradoli» vi fosse una fonte informata che scelse quel canale improbabile per veicolare un'indicazione senza scoprirsi è </w:t>
      </w:r>
      <w:r>
        <w:rPr>
          <w:rFonts w:ascii="Barlow Semi Condensed" w:cs="Barlow Semi Condensed" w:eastAsia="Barlow Semi Condensed" w:hAnsi="Barlow Semi Condensed"/>
          <w:b/>
          <w:bCs/>
          <w:sz w:val="24"/>
          <w:szCs w:val="24"/>
        </w:rPr>
        <w:t xml:space="preserve">ipotesi di Livello C</w:t>
      </w:r>
      <w:r>
        <w:rPr>
          <w:rFonts w:ascii="Barlow Semi Condensed" w:cs="Barlow Semi Condensed" w:eastAsia="Barlow Semi Condensed" w:hAnsi="Barlow Semi Condensed"/>
          <w:sz w:val="24"/>
          <w:szCs w:val="24"/>
        </w:rPr>
        <w:t xml:space="preserve">: possibile, suggestiva, e non provata. La lettura innocente — una coincidenza, o il riaffiorare di un toponimo udito e rimosso — è anch'essa di Livello C. Qui il Pollo di Popper impone la sospensione: fra due spiegazioni entrambe soltanto possibili, e in assenza di un documento che ne privilegi una, l'opera non sceglie. Registrare la stranezza è doveroso; risolverla per verosimiglianza sarebbe esattamente il salto vietato.</w:t>
      </w:r>
    </w:p>
    <w:p>
      <w:pPr>
        <w:pStyle w:val="Heading2"/>
        <w:spacing w:after="100" w:before="200"/>
      </w:pPr>
      <w:r>
        <w:rPr>
          <w:rFonts w:ascii="Barlow Semi Condensed" w:cs="Barlow Semi Condensed" w:eastAsia="Barlow Semi Condensed" w:hAnsi="Barlow Semi Condensed"/>
          <w:sz w:val="24"/>
          <w:szCs w:val="24"/>
        </w:rPr>
        <w:t xml:space="preserve">VI. La linea della fermezza e la trattativa</w:t>
      </w:r>
    </w:p>
    <w:p>
      <w:pPr>
        <w:spacing w:after="120" w:line="276"/>
        <w:jc w:val="both"/>
      </w:pPr>
      <w:r>
        <w:rPr>
          <w:rFonts w:ascii="Barlow Semi Condensed" w:cs="Barlow Semi Condensed" w:eastAsia="Barlow Semi Condensed" w:hAnsi="Barlow Semi Condensed"/>
          <w:b/>
          <w:bCs/>
          <w:sz w:val="24"/>
          <w:szCs w:val="24"/>
        </w:rPr>
        <w:t xml:space="preserve">Accertato (A).</w:t>
      </w:r>
      <w:r>
        <w:rPr>
          <w:rFonts w:ascii="Barlow Semi Condensed" w:cs="Barlow Semi Condensed" w:eastAsia="Barlow Semi Condensed" w:hAnsi="Barlow Semi Condensed"/>
          <w:sz w:val="24"/>
          <w:szCs w:val="24"/>
        </w:rPr>
        <w:t xml:space="preserve"> Lo Stato, nella sua maggioranza politica, adottò la </w:t>
      </w:r>
      <w:r>
        <w:rPr>
          <w:rFonts w:ascii="Barlow Semi Condensed" w:cs="Barlow Semi Condensed" w:eastAsia="Barlow Semi Condensed" w:hAnsi="Barlow Semi Condensed"/>
          <w:b/>
          <w:bCs/>
          <w:sz w:val="24"/>
          <w:szCs w:val="24"/>
        </w:rPr>
        <w:t xml:space="preserve">linea della fermezza</w:t>
      </w:r>
      <w:r>
        <w:rPr>
          <w:rFonts w:ascii="Barlow Semi Condensed" w:cs="Barlow Semi Condensed" w:eastAsia="Barlow Semi Condensed" w:hAnsi="Barlow Semi Condensed"/>
          <w:sz w:val="24"/>
          <w:szCs w:val="24"/>
        </w:rPr>
        <w:t xml:space="preserve">: nessuna trattativa che riconoscesse le BR come controparte. Fu una scelta pubblica, dibattuta in Parlamento e sulla stampa, con una minoranza — parte del PSI di Craxi, settori del mondo cattolico, voci dello stesso entourage moroteo — favorevole a una qualche forma di trattativa umanitaria. Le lettere di Moro dalla prigionia invocarono ripetutamente la trattativa e polemizzarono con la fermezza.</w:t>
      </w:r>
    </w:p>
    <w:p>
      <w:pPr>
        <w:spacing w:after="120" w:line="276"/>
        <w:jc w:val="both"/>
      </w:pPr>
      <w:r>
        <w:rPr>
          <w:rFonts w:ascii="Barlow Semi Condensed" w:cs="Barlow Semi Condensed" w:eastAsia="Barlow Semi Condensed" w:hAnsi="Barlow Semi Condensed"/>
          <w:b/>
          <w:bCs/>
          <w:sz w:val="24"/>
          <w:szCs w:val="24"/>
        </w:rPr>
        <w:t xml:space="preserve">Ciò che resta interpretazione (B/C).</w:t>
      </w:r>
      <w:r>
        <w:rPr>
          <w:rFonts w:ascii="Barlow Semi Condensed" w:cs="Barlow Semi Condensed" w:eastAsia="Barlow Semi Condensed" w:hAnsi="Barlow Semi Condensed"/>
          <w:sz w:val="24"/>
          <w:szCs w:val="24"/>
        </w:rPr>
        <w:t xml:space="preserve"> Se una trattativa avrebbe salvato Moro è </w:t>
      </w:r>
      <w:r>
        <w:rPr>
          <w:rFonts w:ascii="Barlow Semi Condensed" w:cs="Barlow Semi Condensed" w:eastAsia="Barlow Semi Condensed" w:hAnsi="Barlow Semi Condensed"/>
          <w:b/>
          <w:bCs/>
          <w:sz w:val="24"/>
          <w:szCs w:val="24"/>
        </w:rPr>
        <w:t xml:space="preserve">contro-fattuale</w:t>
      </w:r>
      <w:r>
        <w:rPr>
          <w:rFonts w:ascii="Barlow Semi Condensed" w:cs="Barlow Semi Condensed" w:eastAsia="Barlow Semi Condensed" w:hAnsi="Barlow Semi Condensed"/>
          <w:sz w:val="24"/>
          <w:szCs w:val="24"/>
        </w:rPr>
        <w:t xml:space="preserve">, e i contro-fattuali non hanno livello di prova: sono, per definizione, non falsificabili. Che alcune aperture di canale siano state avviate e poi interrotte è documentato in parte; </w:t>
      </w:r>
      <w:r>
        <w:rPr>
          <w:rFonts w:ascii="Barlow Semi Condensed" w:cs="Barlow Semi Condensed" w:eastAsia="Barlow Semi Condensed" w:hAnsi="Barlow Semi Condensed"/>
          <w:i/>
          <w:iCs/>
          <w:sz w:val="24"/>
          <w:szCs w:val="24"/>
        </w:rPr>
        <w:t xml:space="preserve">perché</w:t>
      </w:r>
      <w:r>
        <w:rPr>
          <w:rFonts w:ascii="Barlow Semi Condensed" w:cs="Barlow Semi Condensed" w:eastAsia="Barlow Semi Condensed" w:hAnsi="Barlow Semi Condensed"/>
          <w:sz w:val="24"/>
          <w:szCs w:val="24"/>
        </w:rPr>
        <w:t xml:space="preserve"> si interruppero, e con quale grado di sincerità furono percorse, è materia di Livello B/C su cui le Commissioni hanno raccolto versioni non del tutto concordi. L'opera registra la scelta della fermezza come fatto e le sue conseguenze come storia; ma non trasforma la legittima critica politica a quella scelta in prova di un disegno di eliminazione. Volere Moro salvo o accettarne il sacrificio come «male minore» sono posizioni politiche documentate; </w:t>
      </w:r>
      <w:r>
        <w:rPr>
          <w:rFonts w:ascii="Barlow Semi Condensed" w:cs="Barlow Semi Condensed" w:eastAsia="Barlow Semi Condensed" w:hAnsi="Barlow Semi Condensed"/>
          <w:i/>
          <w:iCs/>
          <w:sz w:val="24"/>
          <w:szCs w:val="24"/>
        </w:rPr>
        <w:t xml:space="preserve">ordinarne</w:t>
      </w:r>
      <w:r>
        <w:rPr>
          <w:rFonts w:ascii="Barlow Semi Condensed" w:cs="Barlow Semi Condensed" w:eastAsia="Barlow Semi Condensed" w:hAnsi="Barlow Semi Condensed"/>
          <w:sz w:val="24"/>
          <w:szCs w:val="24"/>
        </w:rPr>
        <w:t xml:space="preserve"> la morte è un'altra cosa, e nessun atto la documenta a carico dei sostenitori della fermezza.</w:t>
      </w:r>
    </w:p>
    <w:p>
      <w:pPr>
        <w:pStyle w:val="Heading2"/>
        <w:spacing w:after="100" w:before="200"/>
      </w:pPr>
      <w:r>
        <w:rPr>
          <w:rFonts w:ascii="Barlow Semi Condensed" w:cs="Barlow Semi Condensed" w:eastAsia="Barlow Semi Condensed" w:hAnsi="Barlow Semi Condensed"/>
          <w:sz w:val="24"/>
          <w:szCs w:val="24"/>
        </w:rPr>
        <w:t xml:space="preserve">VII. Le occasioni mancate e i ritardi</w:t>
      </w:r>
    </w:p>
    <w:p>
      <w:pPr>
        <w:spacing w:after="120" w:line="276"/>
        <w:jc w:val="both"/>
      </w:pPr>
      <w:r>
        <w:rPr>
          <w:rFonts w:ascii="Barlow Semi Condensed" w:cs="Barlow Semi Condensed" w:eastAsia="Barlow Semi Condensed" w:hAnsi="Barlow Semi Condensed"/>
          <w:b/>
          <w:bCs/>
          <w:sz w:val="24"/>
          <w:szCs w:val="24"/>
        </w:rPr>
        <w:t xml:space="preserve">Accertato (A).</w:t>
      </w:r>
      <w:r>
        <w:rPr>
          <w:rFonts w:ascii="Barlow Semi Condensed" w:cs="Barlow Semi Condensed" w:eastAsia="Barlow Semi Condensed" w:hAnsi="Barlow Semi Condensed"/>
          <w:sz w:val="24"/>
          <w:szCs w:val="24"/>
        </w:rPr>
        <w:t xml:space="preserve"> Le ricerche dei cinquantacinque giorni furono, in più punti, inefficaci: covi non individuati, segnalazioni non seguite, il caso di via Gradoli. La Commissione Fioroni (2014-2018) ha documentato «quarant'anni di indagini mal condotte e vere campagne di disinformazione».</w:t>
      </w:r>
    </w:p>
    <w:p>
      <w:pPr>
        <w:spacing w:after="120" w:line="276"/>
        <w:jc w:val="both"/>
      </w:pPr>
      <w:r>
        <w:rPr>
          <w:rFonts w:ascii="Barlow Semi Condensed" w:cs="Barlow Semi Condensed" w:eastAsia="Barlow Semi Condensed" w:hAnsi="Barlow Semi Condensed"/>
          <w:b/>
          <w:bCs/>
          <w:sz w:val="24"/>
          <w:szCs w:val="24"/>
        </w:rPr>
        <w:t xml:space="preserve">Il crinale fra inefficienza e dolo (B/C).</w:t>
      </w:r>
      <w:r>
        <w:rPr>
          <w:rFonts w:ascii="Barlow Semi Condensed" w:cs="Barlow Semi Condensed" w:eastAsia="Barlow Semi Condensed" w:hAnsi="Barlow Semi Condensed"/>
          <w:sz w:val="24"/>
          <w:szCs w:val="24"/>
        </w:rPr>
        <w:t xml:space="preserve"> Qui si gioca la partita più delicata dell'intero caso, ed è la partita in cui il Pollo di Popper conta di più. Un ritardo, un covo mancato, una segnalazione ignorata sono </w:t>
      </w:r>
      <w:r>
        <w:rPr>
          <w:rFonts w:ascii="Barlow Semi Condensed" w:cs="Barlow Semi Condensed" w:eastAsia="Barlow Semi Condensed" w:hAnsi="Barlow Semi Condensed"/>
          <w:b/>
          <w:bCs/>
          <w:sz w:val="24"/>
          <w:szCs w:val="24"/>
        </w:rPr>
        <w:t xml:space="preserve">compatibili con due letture radicalmente diverse</w:t>
      </w:r>
      <w:r>
        <w:rPr>
          <w:rFonts w:ascii="Barlow Semi Condensed" w:cs="Barlow Semi Condensed" w:eastAsia="Barlow Semi Condensed" w:hAnsi="Barlow Semi Condensed"/>
          <w:sz w:val="24"/>
          <w:szCs w:val="24"/>
        </w:rPr>
        <w:t xml:space="preserve">: l'inefficienza di un apparato allora impreparato al terrorismo, e il sabotaggio deliberato. La prima è di Livello A come </w:t>
      </w:r>
      <w:r>
        <w:rPr>
          <w:rFonts w:ascii="Barlow Semi Condensed" w:cs="Barlow Semi Condensed" w:eastAsia="Barlow Semi Condensed" w:hAnsi="Barlow Semi Condensed"/>
          <w:i/>
          <w:iCs/>
          <w:sz w:val="24"/>
          <w:szCs w:val="24"/>
        </w:rPr>
        <w:t xml:space="preserve">fatto</w:t>
      </w:r>
      <w:r>
        <w:rPr>
          <w:rFonts w:ascii="Barlow Semi Condensed" w:cs="Barlow Semi Condensed" w:eastAsia="Barlow Semi Condensed" w:hAnsi="Barlow Semi Condensed"/>
          <w:sz w:val="24"/>
          <w:szCs w:val="24"/>
        </w:rPr>
        <w:t xml:space="preserve"> (i ritardi ci furono); la seconda è di Livello C come </w:t>
      </w:r>
      <w:r>
        <w:rPr>
          <w:rFonts w:ascii="Barlow Semi Condensed" w:cs="Barlow Semi Condensed" w:eastAsia="Barlow Semi Condensed" w:hAnsi="Barlow Semi Condensed"/>
          <w:i/>
          <w:iCs/>
          <w:sz w:val="24"/>
          <w:szCs w:val="24"/>
        </w:rPr>
        <w:t xml:space="preserve">spiegazione</w:t>
      </w:r>
      <w:r>
        <w:rPr>
          <w:rFonts w:ascii="Barlow Semi Condensed" w:cs="Barlow Semi Condensed" w:eastAsia="Barlow Semi Condensed" w:hAnsi="Barlow Semi Condensed"/>
          <w:sz w:val="24"/>
          <w:szCs w:val="24"/>
        </w:rPr>
        <w:t xml:space="preserve"> (il dolo non è provato caso per caso). La tentazione combinatoria è di sommare le inefficienze finché la loro quantità «dimostra» il dolo. Ma la Regola di Ferro lo vieta: dieci negligenze non provano un piano, come dieci indizi di Livello C non fanno un Livello B. Ciascun ritardo va provato dolo per dolo, con un documento, non inferito dal numero.</w:t>
      </w:r>
    </w:p>
    <w:p>
      <w:pPr>
        <w:pStyle w:val="Heading2"/>
        <w:spacing w:after="100" w:before="200"/>
      </w:pPr>
      <w:r>
        <w:rPr>
          <w:rFonts w:ascii="Barlow Semi Condensed" w:cs="Barlow Semi Condensed" w:eastAsia="Barlow Semi Condensed" w:hAnsi="Barlow Semi Condensed"/>
          <w:sz w:val="24"/>
          <w:szCs w:val="24"/>
        </w:rPr>
        <w:t xml:space="preserve">VIII. Il memoriale di via Monte Nevoso, in due tempi</w:t>
      </w:r>
    </w:p>
    <w:p>
      <w:pPr>
        <w:spacing w:after="120" w:line="276"/>
        <w:jc w:val="both"/>
      </w:pPr>
      <w:r>
        <w:rPr>
          <w:rFonts w:ascii="Barlow Semi Condensed" w:cs="Barlow Semi Condensed" w:eastAsia="Barlow Semi Condensed" w:hAnsi="Barlow Semi Condensed"/>
          <w:b/>
          <w:bCs/>
          <w:sz w:val="24"/>
          <w:szCs w:val="24"/>
        </w:rPr>
        <w:t xml:space="preserve">Accertato (A).</w:t>
      </w:r>
      <w:r>
        <w:rPr>
          <w:rFonts w:ascii="Barlow Semi Condensed" w:cs="Barlow Semi Condensed" w:eastAsia="Barlow Semi Condensed" w:hAnsi="Barlow Semi Condensed"/>
          <w:sz w:val="24"/>
          <w:szCs w:val="24"/>
        </w:rPr>
        <w:t xml:space="preserve"> Nel covo di </w:t>
      </w:r>
      <w:r>
        <w:rPr>
          <w:rFonts w:ascii="Barlow Semi Condensed" w:cs="Barlow Semi Condensed" w:eastAsia="Barlow Semi Condensed" w:hAnsi="Barlow Semi Condensed"/>
          <w:b/>
          <w:bCs/>
          <w:sz w:val="24"/>
          <w:szCs w:val="24"/>
        </w:rPr>
        <w:t xml:space="preserve">via Monte Nevoso 8</w:t>
      </w:r>
      <w:r>
        <w:rPr>
          <w:rFonts w:ascii="Barlow Semi Condensed" w:cs="Barlow Semi Condensed" w:eastAsia="Barlow Semi Condensed" w:hAnsi="Barlow Semi Condensed"/>
          <w:sz w:val="24"/>
          <w:szCs w:val="24"/>
        </w:rPr>
        <w:t xml:space="preserve">, a Milano, furono rinvenuti scritti della prigionia di Moro (trascrizioni dattiloscritte e fotocopie di pagine autografe) </w:t>
      </w:r>
      <w:r>
        <w:rPr>
          <w:rFonts w:ascii="Barlow Semi Condensed" w:cs="Barlow Semi Condensed" w:eastAsia="Barlow Semi Condensed" w:hAnsi="Barlow Semi Condensed"/>
          <w:b/>
          <w:bCs/>
          <w:sz w:val="24"/>
          <w:szCs w:val="24"/>
        </w:rPr>
        <w:t xml:space="preserve">in due momenti distinti</w:t>
      </w:r>
      <w:r>
        <w:rPr>
          <w:rFonts w:ascii="Barlow Semi Condensed" w:cs="Barlow Semi Condensed" w:eastAsia="Barlow Semi Condensed" w:hAnsi="Barlow Semi Condensed"/>
          <w:sz w:val="24"/>
          <w:szCs w:val="24"/>
        </w:rPr>
        <w:t xml:space="preserve">: nell'ottobre 1978 una versione parziale, e nell'ottobre 1990 — dietro un pannello di cartongesso, durante lavori di ristrutturazione — una versione assai più ampia. Gli originali non furono mai trovati.</w:t>
      </w:r>
    </w:p>
    <w:p>
      <w:pPr>
        <w:spacing w:after="120" w:line="276"/>
        <w:jc w:val="both"/>
      </w:pPr>
      <w:r>
        <w:rPr>
          <w:rFonts w:ascii="Barlow Semi Condensed" w:cs="Barlow Semi Condensed" w:eastAsia="Barlow Semi Condensed" w:hAnsi="Barlow Semi Condensed"/>
          <w:b/>
          <w:bCs/>
          <w:sz w:val="24"/>
          <w:szCs w:val="24"/>
        </w:rPr>
        <w:t xml:space="preserve">Il grado del «doppio ritrovamento» (B/C).</w:t>
      </w:r>
      <w:r>
        <w:rPr>
          <w:rFonts w:ascii="Barlow Semi Condensed" w:cs="Barlow Semi Condensed" w:eastAsia="Barlow Semi Condensed" w:hAnsi="Barlow Semi Condensed"/>
          <w:sz w:val="24"/>
          <w:szCs w:val="24"/>
        </w:rPr>
        <w:t xml:space="preserve"> Che il ritrovamento sia avvenuto in due tempi è </w:t>
      </w:r>
      <w:r>
        <w:rPr>
          <w:rFonts w:ascii="Barlow Semi Condensed" w:cs="Barlow Semi Condensed" w:eastAsia="Barlow Semi Condensed" w:hAnsi="Barlow Semi Condensed"/>
          <w:b/>
          <w:bCs/>
          <w:sz w:val="24"/>
          <w:szCs w:val="24"/>
        </w:rPr>
        <w:t xml:space="preserve">accertato</w:t>
      </w:r>
      <w:r>
        <w:rPr>
          <w:rFonts w:ascii="Barlow Semi Condensed" w:cs="Barlow Semi Condensed" w:eastAsia="Barlow Semi Condensed" w:hAnsi="Barlow Semi Condensed"/>
          <w:sz w:val="24"/>
          <w:szCs w:val="24"/>
        </w:rPr>
        <w:t xml:space="preserve">. Che la versione del 1978 fosse </w:t>
      </w:r>
      <w:r>
        <w:rPr>
          <w:rFonts w:ascii="Barlow Semi Condensed" w:cs="Barlow Semi Condensed" w:eastAsia="Barlow Semi Condensed" w:hAnsi="Barlow Semi Condensed"/>
          <w:i/>
          <w:iCs/>
          <w:sz w:val="24"/>
          <w:szCs w:val="24"/>
        </w:rPr>
        <w:t xml:space="preserve">deliberatamente</w:t>
      </w:r>
      <w:r>
        <w:rPr>
          <w:rFonts w:ascii="Barlow Semi Condensed" w:cs="Barlow Semi Condensed" w:eastAsia="Barlow Semi Condensed" w:hAnsi="Barlow Semi Condensed"/>
          <w:sz w:val="24"/>
          <w:szCs w:val="24"/>
        </w:rPr>
        <w:t xml:space="preserve"> incompleta e che parte delle carte sia stata sottratta o manipolata è </w:t>
      </w:r>
      <w:r>
        <w:rPr>
          <w:rFonts w:ascii="Barlow Semi Condensed" w:cs="Barlow Semi Condensed" w:eastAsia="Barlow Semi Condensed" w:hAnsi="Barlow Semi Condensed"/>
          <w:b/>
          <w:bCs/>
          <w:sz w:val="24"/>
          <w:szCs w:val="24"/>
        </w:rPr>
        <w:t xml:space="preserve">ipotesi di Livello B</w:t>
      </w:r>
      <w:r>
        <w:rPr>
          <w:rFonts w:ascii="Barlow Semi Condensed" w:cs="Barlow Semi Condensed" w:eastAsia="Barlow Semi Condensed" w:hAnsi="Barlow Semi Condensed"/>
          <w:sz w:val="24"/>
          <w:szCs w:val="24"/>
        </w:rPr>
        <w:t xml:space="preserve">: sostenuta da indizi seri (la constatazione, riferita, che al capitano Arlati furono restituite meno carte di quante ne fossero uscite dal covo) ma non conclusa da prova piena su chi e perché. È il punto in cui il sospetto di depistaggio ha la sua base documentale più solida — e proprio per questo va tenuto al suo livello esatto: un depistaggio </w:t>
      </w:r>
      <w:r>
        <w:rPr>
          <w:rFonts w:ascii="Barlow Semi Condensed" w:cs="Barlow Semi Condensed" w:eastAsia="Barlow Semi Condensed" w:hAnsi="Barlow Semi Condensed"/>
          <w:i/>
          <w:iCs/>
          <w:sz w:val="24"/>
          <w:szCs w:val="24"/>
        </w:rPr>
        <w:t xml:space="preserve">documentario</w:t>
      </w:r>
      <w:r>
        <w:rPr>
          <w:rFonts w:ascii="Barlow Semi Condensed" w:cs="Barlow Semi Condensed" w:eastAsia="Barlow Semi Condensed" w:hAnsi="Barlow Semi Condensed"/>
          <w:sz w:val="24"/>
          <w:szCs w:val="24"/>
        </w:rPr>
        <w:t xml:space="preserve"> probabile, non ancora un mandante nominato. La differenza fra «qualcuno alterò le carte» (B, verso A) e «il tale le alterò per conto del tale» (C) è tutta la differenza fra un fatto e un'accusa.</w:t>
      </w:r>
    </w:p>
    <w:p>
      <w:pPr>
        <w:pStyle w:val="Heading2"/>
        <w:spacing w:after="100" w:before="200"/>
      </w:pPr>
      <w:r>
        <w:rPr>
          <w:rFonts w:ascii="Barlow Semi Condensed" w:cs="Barlow Semi Condensed" w:eastAsia="Barlow Semi Condensed" w:hAnsi="Barlow Semi Condensed"/>
          <w:sz w:val="24"/>
          <w:szCs w:val="24"/>
        </w:rPr>
        <w:t xml:space="preserve">IX. Il quadro internazionale</w:t>
      </w:r>
    </w:p>
    <w:p>
      <w:pPr>
        <w:spacing w:after="120" w:line="276"/>
        <w:jc w:val="both"/>
      </w:pPr>
      <w:r>
        <w:rPr>
          <w:rFonts w:ascii="Barlow Semi Condensed" w:cs="Barlow Semi Condensed" w:eastAsia="Barlow Semi Condensed" w:hAnsi="Barlow Semi Condensed"/>
          <w:b/>
          <w:bCs/>
          <w:sz w:val="24"/>
          <w:szCs w:val="24"/>
        </w:rPr>
        <w:t xml:space="preserve">Accertato (A) come contesto.</w:t>
      </w:r>
      <w:r>
        <w:rPr>
          <w:rFonts w:ascii="Barlow Semi Condensed" w:cs="Barlow Semi Condensed" w:eastAsia="Barlow Semi Condensed" w:hAnsi="Barlow Semi Condensed"/>
          <w:sz w:val="24"/>
          <w:szCs w:val="24"/>
        </w:rPr>
        <w:t xml:space="preserve"> È documentata l'ostilità di settori dell'alleanza atlantica all'ingresso dei comunisti nell'area di governo italiana; è documentato l'avvertimento riferito da Corrado Guerzoni e confermato da Eleonora Chiavarelli Moro (Washington, collocato al 25 settembre 1974), sempre smentito da Kissinger; è documentata la presenza del consulente statunitense Steve Pieczenik nel comitato di crisi al fianco del ministro Cossiga.</w:t>
      </w:r>
    </w:p>
    <w:p>
      <w:pPr>
        <w:spacing w:after="120" w:line="276"/>
        <w:jc w:val="both"/>
      </w:pPr>
      <w:r>
        <w:rPr>
          <w:rFonts w:ascii="Barlow Semi Condensed" w:cs="Barlow Semi Condensed" w:eastAsia="Barlow Semi Condensed" w:hAnsi="Barlow Semi Condensed"/>
          <w:b/>
          <w:bCs/>
          <w:sz w:val="24"/>
          <w:szCs w:val="24"/>
        </w:rPr>
        <w:t xml:space="preserve">Il salto vietato (C).</w:t>
      </w:r>
      <w:r>
        <w:rPr>
          <w:rFonts w:ascii="Barlow Semi Condensed" w:cs="Barlow Semi Condensed" w:eastAsia="Barlow Semi Condensed" w:hAnsi="Barlow Semi Condensed"/>
          <w:sz w:val="24"/>
          <w:szCs w:val="24"/>
        </w:rPr>
        <w:t xml:space="preserve"> Dal contesto ostile </w:t>
      </w:r>
      <w:r>
        <w:rPr>
          <w:rFonts w:ascii="Barlow Semi Condensed" w:cs="Barlow Semi Condensed" w:eastAsia="Barlow Semi Condensed" w:hAnsi="Barlow Semi Condensed"/>
          <w:i/>
          <w:iCs/>
          <w:sz w:val="24"/>
          <w:szCs w:val="24"/>
        </w:rPr>
        <w:t xml:space="preserve">non discende</w:t>
      </w:r>
      <w:r>
        <w:rPr>
          <w:rFonts w:ascii="Barlow Semi Condensed" w:cs="Barlow Semi Condensed" w:eastAsia="Barlow Semi Condensed" w:hAnsi="Barlow Semi Condensed"/>
          <w:sz w:val="24"/>
          <w:szCs w:val="24"/>
        </w:rPr>
        <w:t xml:space="preserve"> la catena di comando. Che nemici politici di Moro esistessero, e potenti, è di Livello A; che uno di essi abbia armato o guidato la mano brigatista è di Livello C, e nessun documento — italiano o statunitense — lo attesta. La triangolazione condotta nel corpus di questa ricerca (il fascicolo su Kissinger) mostra il principio in forma pura: gli archi documentati di Kissinger sono statali e verticali (Cile, Angola, i fondi ai servizi italiani), mentre verso l'eversione nera privata restano soltanto convergenze di cornice. Applicato a Moro, il principio dice: </w:t>
      </w:r>
      <w:r>
        <w:rPr>
          <w:rFonts w:ascii="Barlow Semi Condensed" w:cs="Barlow Semi Condensed" w:eastAsia="Barlow Semi Condensed" w:hAnsi="Barlow Semi Condensed"/>
          <w:b/>
          <w:bCs/>
          <w:sz w:val="24"/>
          <w:szCs w:val="24"/>
        </w:rPr>
        <w:t xml:space="preserve">la prossimità di un nemico non è il suo mandato.</w:t>
      </w:r>
      <w:r>
        <w:rPr>
          <w:rFonts w:ascii="Barlow Semi Condensed" w:cs="Barlow Semi Condensed" w:eastAsia="Barlow Semi Condensed" w:hAnsi="Barlow Semi Condensed"/>
          <w:sz w:val="24"/>
          <w:szCs w:val="24"/>
        </w:rPr>
        <w:t xml:space="preserve"> Il movente internazionale spiega perché la mediazione di Moro fosse osteggiata; non prova chi lo abbia ucciso, che le sentenze indicano nelle Brigate Rosse.</w:t>
      </w:r>
    </w:p>
    <w:p>
      <w:pPr>
        <w:pStyle w:val="Heading2"/>
        <w:spacing w:after="100" w:before="200"/>
      </w:pPr>
      <w:r>
        <w:rPr>
          <w:rFonts w:ascii="Barlow Semi Condensed" w:cs="Barlow Semi Condensed" w:eastAsia="Barlow Semi Condensed" w:hAnsi="Barlow Semi Condensed"/>
          <w:sz w:val="24"/>
          <w:szCs w:val="24"/>
        </w:rPr>
        <w:t xml:space="preserve">X. I depistaggi e la «verità dicibile»</w:t>
      </w:r>
    </w:p>
    <w:p>
      <w:pPr>
        <w:spacing w:after="120" w:line="276"/>
        <w:jc w:val="both"/>
      </w:pPr>
      <w:r>
        <w:rPr>
          <w:rFonts w:ascii="Barlow Semi Condensed" w:cs="Barlow Semi Condensed" w:eastAsia="Barlow Semi Condensed" w:hAnsi="Barlow Semi Condensed"/>
          <w:b/>
          <w:bCs/>
          <w:sz w:val="24"/>
          <w:szCs w:val="24"/>
        </w:rPr>
        <w:t xml:space="preserve">Accertato (A).</w:t>
      </w:r>
      <w:r>
        <w:rPr>
          <w:rFonts w:ascii="Barlow Semi Condensed" w:cs="Barlow Semi Condensed" w:eastAsia="Barlow Semi Condensed" w:hAnsi="Barlow Semi Condensed"/>
          <w:sz w:val="24"/>
          <w:szCs w:val="24"/>
        </w:rPr>
        <w:t xml:space="preserve"> La Commissione Fioroni ha concluso che ciò che si è saputo del caso è, con la formula del suo presidente, una </w:t>
      </w:r>
      <w:r>
        <w:rPr>
          <w:rFonts w:ascii="Barlow Semi Condensed" w:cs="Barlow Semi Condensed" w:eastAsia="Barlow Semi Condensed" w:hAnsi="Barlow Semi Condensed"/>
          <w:b/>
          <w:bCs/>
          <w:sz w:val="24"/>
          <w:szCs w:val="24"/>
        </w:rPr>
        <w:t xml:space="preserve">«verità dicibile»</w:t>
      </w:r>
      <w:r>
        <w:rPr>
          <w:rFonts w:ascii="Barlow Semi Condensed" w:cs="Barlow Semi Condensed" w:eastAsia="Barlow Semi Condensed" w:hAnsi="Barlow Semi Condensed"/>
          <w:sz w:val="24"/>
          <w:szCs w:val="24"/>
        </w:rPr>
        <w:t xml:space="preserve">: quella che si poté raccontare per chiudere la stagione del terrorismo. Ha documentato depistaggi, silenzi e opacità di apparati; ha desecretato migliaia di documenti e raccolto centinaia di nuove testimonianze.</w:t>
      </w:r>
    </w:p>
    <w:p>
      <w:pPr>
        <w:spacing w:after="120" w:line="276"/>
        <w:jc w:val="both"/>
      </w:pPr>
      <w:r>
        <w:rPr>
          <w:rFonts w:ascii="Barlow Semi Condensed" w:cs="Barlow Semi Condensed" w:eastAsia="Barlow Semi Condensed" w:hAnsi="Barlow Semi Condensed"/>
          <w:b/>
          <w:bCs/>
          <w:sz w:val="24"/>
          <w:szCs w:val="24"/>
        </w:rPr>
        <w:t xml:space="preserve">Ciò che «verità dicibile» significa, e ciò che non significa.</w:t>
      </w:r>
      <w:r>
        <w:rPr>
          <w:rFonts w:ascii="Barlow Semi Condensed" w:cs="Barlow Semi Condensed" w:eastAsia="Barlow Semi Condensed" w:hAnsi="Barlow Semi Condensed"/>
          <w:sz w:val="24"/>
          <w:szCs w:val="24"/>
        </w:rPr>
        <w:t xml:space="preserve"> Significa, di Livello A, che la verità giudiziaria è </w:t>
      </w:r>
      <w:r>
        <w:rPr>
          <w:rFonts w:ascii="Barlow Semi Condensed" w:cs="Barlow Semi Condensed" w:eastAsia="Barlow Semi Condensed" w:hAnsi="Barlow Semi Condensed"/>
          <w:b/>
          <w:bCs/>
          <w:sz w:val="24"/>
          <w:szCs w:val="24"/>
        </w:rPr>
        <w:t xml:space="preserve">incompleta</w:t>
      </w:r>
      <w:r>
        <w:rPr>
          <w:rFonts w:ascii="Barlow Semi Condensed" w:cs="Barlow Semi Condensed" w:eastAsia="Barlow Semi Condensed" w:hAnsi="Barlow Semi Condensed"/>
          <w:sz w:val="24"/>
          <w:szCs w:val="24"/>
        </w:rPr>
        <w:t xml:space="preserve"> e che vi furono coperture. </w:t>
      </w:r>
      <w:r>
        <w:rPr>
          <w:rFonts w:ascii="Barlow Semi Condensed" w:cs="Barlow Semi Condensed" w:eastAsia="Barlow Semi Condensed" w:hAnsi="Barlow Semi Condensed"/>
          <w:i/>
          <w:iCs/>
          <w:sz w:val="24"/>
          <w:szCs w:val="24"/>
        </w:rPr>
        <w:t xml:space="preserve">Non</w:t>
      </w:r>
      <w:r>
        <w:rPr>
          <w:rFonts w:ascii="Barlow Semi Condensed" w:cs="Barlow Semi Condensed" w:eastAsia="Barlow Semi Condensed" w:hAnsi="Barlow Semi Condensed"/>
          <w:sz w:val="24"/>
          <w:szCs w:val="24"/>
        </w:rPr>
        <w:t xml:space="preserve"> significa, di per sé, che esista una verità </w:t>
      </w:r>
      <w:r>
        <w:rPr>
          <w:rFonts w:ascii="Barlow Semi Condensed" w:cs="Barlow Semi Condensed" w:eastAsia="Barlow Semi Condensed" w:hAnsi="Barlow Semi Condensed"/>
          <w:i/>
          <w:iCs/>
          <w:sz w:val="24"/>
          <w:szCs w:val="24"/>
        </w:rPr>
        <w:t xml:space="preserve">diversa</w:t>
      </w:r>
      <w:r>
        <w:rPr>
          <w:rFonts w:ascii="Barlow Semi Condensed" w:cs="Barlow Semi Condensed" w:eastAsia="Barlow Semi Condensed" w:hAnsi="Barlow Semi Condensed"/>
          <w:sz w:val="24"/>
          <w:szCs w:val="24"/>
        </w:rPr>
        <w:t xml:space="preserve"> già nota e taciuta: significa che restano zone di buio. La distinzione è capitale e il Pollo di Popper la impone. «Non sappiamo tutto» è un fatto accertato; «sappiamo che dietro c'è il tale» è un'inferenza che «non sappiamo tutto» non autorizza. Il vuoto documentato è un invito allo scavo, non una licenza al nome. Chi riempie il vuoto con un mandante compie, sul piano logico, lo stesso gesto del pollo: scambia l'assenza di smentita per presenza di prova.</w:t>
      </w:r>
    </w:p>
    <w:p>
      <w:pPr>
        <w:pBdr>
          <w:bottom w:val="single" w:color="999999" w:sz="6" w:space="1"/>
        </w:pBdr>
        <w:spacing w:after="80"/>
      </w:pPr>
    </w:p>
    <w:p>
      <w:pPr>
        <w:pStyle w:val="Heading1"/>
        <w:spacing w:after="120" w:before="240"/>
      </w:pPr>
      <w:r>
        <w:rPr>
          <w:rFonts w:ascii="Barlow Semi Condensed" w:cs="Barlow Semi Condensed" w:eastAsia="Barlow Semi Condensed" w:hAnsi="Barlow Semi Condensed"/>
          <w:sz w:val="24"/>
          <w:szCs w:val="24"/>
        </w:rPr>
        <w:t xml:space="preserve">Movimento terzo — Il rifiuto e la sua ragione</w:t>
      </w:r>
    </w:p>
    <w:p>
      <w:pPr>
        <w:pStyle w:val="Heading2"/>
        <w:spacing w:after="100" w:before="200"/>
      </w:pPr>
      <w:r>
        <w:rPr>
          <w:rFonts w:ascii="Barlow Semi Condensed" w:cs="Barlow Semi Condensed" w:eastAsia="Barlow Semi Condensed" w:hAnsi="Barlow Semi Condensed"/>
          <w:sz w:val="24"/>
          <w:szCs w:val="24"/>
        </w:rPr>
        <w:t xml:space="preserve">XI. Contro la graduatoria: perché non si numera un sospetto</w:t>
      </w:r>
    </w:p>
    <w:p>
      <w:pPr>
        <w:spacing w:after="120" w:line="276"/>
        <w:jc w:val="both"/>
      </w:pPr>
      <w:r>
        <w:rPr>
          <w:rFonts w:ascii="Barlow Semi Condensed" w:cs="Barlow Semi Condensed" w:eastAsia="Barlow Semi Condensed" w:hAnsi="Barlow Semi Condensed"/>
          <w:sz w:val="24"/>
          <w:szCs w:val="24"/>
        </w:rPr>
        <w:t xml:space="preserve">Il cuore di questa continuazione è un rifiuto, e va motivato fino in fondo, perché non sia scambiato per reticenza.</w:t>
      </w:r>
    </w:p>
    <w:p>
      <w:pPr>
        <w:spacing w:after="120" w:line="276"/>
        <w:jc w:val="both"/>
      </w:pPr>
      <w:r>
        <w:rPr>
          <w:rFonts w:ascii="Barlow Semi Condensed" w:cs="Barlow Semi Condensed" w:eastAsia="Barlow Semi Condensed" w:hAnsi="Barlow Semi Condensed"/>
          <w:sz w:val="24"/>
          <w:szCs w:val="24"/>
        </w:rPr>
        <w:t xml:space="preserve">Una graduatoria di probabili responsabili — anche la più scrupolosa, anche quella che premette a sé una clausola garantista — compie un'operazione che il diritto conosce e vieta: </w:t>
      </w:r>
      <w:r>
        <w:rPr>
          <w:rFonts w:ascii="Barlow Semi Condensed" w:cs="Barlow Semi Condensed" w:eastAsia="Barlow Semi Condensed" w:hAnsi="Barlow Semi Condensed"/>
          <w:b/>
          <w:bCs/>
          <w:sz w:val="24"/>
          <w:szCs w:val="24"/>
        </w:rPr>
        <w:t xml:space="preserve">trasforma il sospetto in un ordinale</w:t>
      </w:r>
      <w:r>
        <w:rPr>
          <w:rFonts w:ascii="Barlow Semi Condensed" w:cs="Barlow Semi Condensed" w:eastAsia="Barlow Semi Condensed" w:hAnsi="Barlow Semi Condensed"/>
          <w:sz w:val="24"/>
          <w:szCs w:val="24"/>
        </w:rPr>
        <w:t xml:space="preserve">. Dire «il tale è il responsabile più probabile» significa assegnargli un posto in una classifica di colpevolezza senza il solo strumento che può assegnarlo legittimamente, che è il processo con le sue garanzie: il contraddittorio, la difesa, la prova che regge all'urto della difesa. Fuori da quel recinto, la probabilità sul nome di una persona non è un grado di conoscenza: è un marchio. E il marchio, una volta impresso, non conosce assoluzione — perché nessun tribunale lo ha comminato, nessun tribunale può revocarlo.</w:t>
      </w:r>
    </w:p>
    <w:p>
      <w:pPr>
        <w:spacing w:after="120" w:line="276"/>
        <w:jc w:val="both"/>
      </w:pPr>
      <w:r>
        <w:rPr>
          <w:rFonts w:ascii="Barlow Semi Condensed" w:cs="Barlow Semi Condensed" w:eastAsia="Barlow Semi Condensed" w:hAnsi="Barlow Semi Condensed"/>
          <w:sz w:val="24"/>
          <w:szCs w:val="24"/>
        </w:rPr>
        <w:t xml:space="preserve">Vi è di più, e tocca la sostanza del metodo che quest'opera si è dato. L'apparato che la governa — la Regola di Ferro, i tre stati di Cartesio, il presidio del ferreo — stabilisce che una convergenza non si promuove mai a rapporto, che la sincronia non è prova, che la federazione dei casi accresce l'attestazione e non trasporta lo stato di un nodo. Ebbene: una graduatoria di mandanti è, in termini di quell'apparato, la promozione vietata per eccellenza. Prende nodi che stanno allo stato del </w:t>
      </w:r>
      <w:r>
        <w:rPr>
          <w:rFonts w:ascii="Barlow Semi Condensed" w:cs="Barlow Semi Condensed" w:eastAsia="Barlow Semi Condensed" w:hAnsi="Barlow Semi Condensed"/>
          <w:i/>
          <w:iCs/>
          <w:sz w:val="24"/>
          <w:szCs w:val="24"/>
        </w:rPr>
        <w:t xml:space="preserve">dubbio</w:t>
      </w:r>
      <w:r>
        <w:rPr>
          <w:rFonts w:ascii="Barlow Semi Condensed" w:cs="Barlow Semi Condensed" w:eastAsia="Barlow Semi Condensed" w:hAnsi="Barlow Semi Condensed"/>
          <w:sz w:val="24"/>
          <w:szCs w:val="24"/>
        </w:rPr>
        <w:t xml:space="preserve"> — l'indagato, non l'affermato — e li dispone come se fossero allo stato dello </w:t>
      </w:r>
      <w:r>
        <w:rPr>
          <w:rFonts w:ascii="Barlow Semi Condensed" w:cs="Barlow Semi Condensed" w:eastAsia="Barlow Semi Condensed" w:hAnsi="Barlow Semi Condensed"/>
          <w:i/>
          <w:iCs/>
          <w:sz w:val="24"/>
          <w:szCs w:val="24"/>
        </w:rPr>
        <w:t xml:space="preserve">sciolto</w:t>
      </w:r>
      <w:r>
        <w:rPr>
          <w:rFonts w:ascii="Barlow Semi Condensed" w:cs="Barlow Semi Condensed" w:eastAsia="Barlow Semi Condensed" w:hAnsi="Barlow Semi Condensed"/>
          <w:sz w:val="24"/>
          <w:szCs w:val="24"/>
        </w:rPr>
        <w:t xml:space="preserve">, l'accertato. Il numero d'ordine è la promozione clandestina di uno stato all'altro. E l'apparato, che l'autore stesso ha scritto, la proibisce.</w:t>
      </w:r>
    </w:p>
    <w:p>
      <w:pPr>
        <w:pStyle w:val="Heading2"/>
        <w:spacing w:after="100" w:before="200"/>
      </w:pPr>
      <w:r>
        <w:rPr>
          <w:rFonts w:ascii="Barlow Semi Condensed" w:cs="Barlow Semi Condensed" w:eastAsia="Barlow Semi Condensed" w:hAnsi="Barlow Semi Condensed"/>
          <w:sz w:val="24"/>
          <w:szCs w:val="24"/>
        </w:rPr>
        <w:t xml:space="preserve">XII. L'obiezione, e la risposta</w:t>
      </w:r>
    </w:p>
    <w:p>
      <w:pPr>
        <w:spacing w:after="120" w:line="276"/>
        <w:jc w:val="both"/>
      </w:pPr>
      <w:r>
        <w:rPr>
          <w:rFonts w:ascii="Barlow Semi Condensed" w:cs="Barlow Semi Condensed" w:eastAsia="Barlow Semi Condensed" w:hAnsi="Barlow Semi Condensed"/>
          <w:sz w:val="24"/>
          <w:szCs w:val="24"/>
        </w:rPr>
        <w:t xml:space="preserve">Si dirà: ma allora ci si condanna al silenzio, e il silenzio ha coperto per quarant'anni proprio i colpevoli. L'obiezione è seria e merita risposta piena, perché in essa si annida la giustificazione di ogni scorciatoia.</w:t>
      </w:r>
    </w:p>
    <w:p>
      <w:pPr>
        <w:spacing w:after="120" w:line="276"/>
        <w:jc w:val="both"/>
      </w:pPr>
      <w:r>
        <w:rPr>
          <w:rFonts w:ascii="Barlow Semi Condensed" w:cs="Barlow Semi Condensed" w:eastAsia="Barlow Semi Condensed" w:hAnsi="Barlow Semi Condensed"/>
          <w:sz w:val="24"/>
          <w:szCs w:val="24"/>
        </w:rPr>
        <w:t xml:space="preserve">La risposta è che </w:t>
      </w:r>
      <w:r>
        <w:rPr>
          <w:rFonts w:ascii="Barlow Semi Condensed" w:cs="Barlow Semi Condensed" w:eastAsia="Barlow Semi Condensed" w:hAnsi="Barlow Semi Condensed"/>
          <w:b/>
          <w:bCs/>
          <w:sz w:val="24"/>
          <w:szCs w:val="24"/>
        </w:rPr>
        <w:t xml:space="preserve">fra il silenzio e la graduatoria esiste un terzo termine, ed è il lavoro</w:t>
      </w:r>
      <w:r>
        <w:rPr>
          <w:rFonts w:ascii="Barlow Semi Condensed" w:cs="Barlow Semi Condensed" w:eastAsia="Barlow Semi Condensed" w:hAnsi="Barlow Semi Condensed"/>
          <w:sz w:val="24"/>
          <w:szCs w:val="24"/>
        </w:rPr>
        <w:t xml:space="preserve">. Non tacere: indicare con precisione i vuoti, nominarli, dire dove il documento manca e quale documento manca, tenere il fascicolo aperto e la pressione alta perché quel documento venga desecretato o cercato. Questo non è silenzio: è il contrario del silenzio. È la voce che chiede prove invece di fabbricarle. La Commissione Fioroni, desecretando migliaia di atti, ha fatto avanzare la verità di Moro assai più di qualunque graduatoria mai compilata — perché ha lavorato al livello A, non al livello C. Ogni verità che sul caso Moro è emersa in quarant'anni è emersa da un fascicolo riaperto, mai da una classifica. Il silenzio non è ciò che questa parte propone; è, semmai, ciò che la graduatoria produce, perché una volta fatto il nome la ricerca si ferma, appagata, e il documento che avrebbe potuto provare o smentire non viene più cercato.</w:t>
      </w:r>
    </w:p>
    <w:p>
      <w:pPr>
        <w:pStyle w:val="Heading2"/>
        <w:spacing w:after="100" w:before="200"/>
      </w:pPr>
      <w:r>
        <w:rPr>
          <w:rFonts w:ascii="Barlow Semi Condensed" w:cs="Barlow Semi Condensed" w:eastAsia="Barlow Semi Condensed" w:hAnsi="Barlow Semi Condensed"/>
          <w:sz w:val="24"/>
          <w:szCs w:val="24"/>
        </w:rPr>
        <w:t xml:space="preserve">XIII. Che cosa resta da fare — e non è poco</w:t>
      </w:r>
    </w:p>
    <w:p>
      <w:pPr>
        <w:spacing w:after="120" w:line="276"/>
        <w:jc w:val="both"/>
      </w:pPr>
      <w:r>
        <w:rPr>
          <w:rFonts w:ascii="Barlow Semi Condensed" w:cs="Barlow Semi Condensed" w:eastAsia="Barlow Semi Condensed" w:hAnsi="Barlow Semi Condensed"/>
          <w:sz w:val="24"/>
          <w:szCs w:val="24"/>
        </w:rPr>
        <w:t xml:space="preserve">Rinunciare alla graduatoria non è rinunciare alla verità: è cercarla dove può essere trovata. Il lavoro che resta, e che sarebbe la vera continuazione dell'opera, non ha la forma della classifica ma quella dello scavo: la desecretazione integrale dei fondi ancora chiusi; il confronto sistematico fra le versioni delle Commissioni; la ricostruzione documentale — non congetturale — delle catene di custodia dei reperti, del memoriale, delle perizie balistiche di via Fani. È lavoro d'archivio, lento, ingrato, senza il lampo del nome fatto. Ma è il solo che, sul caso Moro, abbia mai spostato di un millimetro il confine fra il probabile e l'accertato.</w:t>
      </w:r>
    </w:p>
    <w:p>
      <w:pPr>
        <w:spacing w:after="120" w:line="276"/>
        <w:jc w:val="both"/>
      </w:pPr>
      <w:r>
        <w:rPr>
          <w:rFonts w:ascii="Barlow Semi Condensed" w:cs="Barlow Semi Condensed" w:eastAsia="Barlow Semi Condensed" w:hAnsi="Barlow Semi Condensed"/>
          <w:sz w:val="24"/>
          <w:szCs w:val="24"/>
        </w:rPr>
        <w:t xml:space="preserve">Questa è la macchia d'olio di cui parlava la parte prima, ripresa nel suo verso giusto: non l'allargarsi dell'ipotesi finché copre tutto, ma l'allargarsi paziente della zona accertata, un documento alla volta, contro la zona del buio.</w:t>
      </w:r>
    </w:p>
    <w:p>
      <w:pPr>
        <w:pStyle w:val="Heading2"/>
        <w:spacing w:after="100" w:before="200"/>
      </w:pPr>
      <w:r>
        <w:rPr>
          <w:rFonts w:ascii="Barlow Semi Condensed" w:cs="Barlow Semi Condensed" w:eastAsia="Barlow Semi Condensed" w:hAnsi="Barlow Semi Condensed"/>
          <w:sz w:val="24"/>
          <w:szCs w:val="24"/>
        </w:rPr>
        <w:t xml:space="preserve">XIV. Congedo — con l'epigrafe</w:t>
      </w:r>
    </w:p>
    <w:p>
      <w:pPr>
        <w:spacing w:after="120" w:line="276"/>
        <w:jc w:val="both"/>
      </w:pPr>
      <w:r>
        <w:rPr>
          <w:rFonts w:ascii="Barlow Semi Condensed" w:cs="Barlow Semi Condensed" w:eastAsia="Barlow Semi Condensed" w:hAnsi="Barlow Semi Condensed"/>
          <w:sz w:val="24"/>
          <w:szCs w:val="24"/>
        </w:rPr>
        <w:t xml:space="preserve">L'opera si apriva con un verso: «È l'ignoranza che crea la violenza». È giusto che si chiuda meditandolo, perché contiene, se lo si prende sul serio, la condanna di ogni scorciatoia.</w:t>
      </w:r>
    </w:p>
    <w:p>
      <w:pPr>
        <w:spacing w:after="120" w:line="276"/>
        <w:jc w:val="both"/>
      </w:pPr>
      <w:r>
        <w:rPr>
          <w:rFonts w:ascii="Barlow Semi Condensed" w:cs="Barlow Semi Condensed" w:eastAsia="Barlow Semi Condensed" w:hAnsi="Barlow Semi Condensed"/>
          <w:sz w:val="24"/>
          <w:szCs w:val="24"/>
        </w:rPr>
        <w:t xml:space="preserve">Se è l'ignoranza a creare la violenza, allora la risposta alla violenza non può essere un'altra forma d'ignoranza — e la certezza senza prova è una forma d'ignoranza, forse la più insidiosa, perché indossa l'abito della conoscenza. Attribuire un delitto a chi non è stato giudicato, per quanto se ne sia convinti, non riscatta la vittima: le aggiunge, in un certo senso, la propria — perché ripete, sul piano del giudizio, lo stesso gesto che si vorrebbe condannare, cioè la condanna senza processo. Moro, che era un giurista prima che un politico, e che dalla sua prigione continuò a invocare il diritto contro la ragion di Stato, sarebbe l'ultimo a volere che il suo nome giustificasse un tribunale del sospetto.</w:t>
      </w:r>
    </w:p>
    <w:p>
      <w:pPr>
        <w:spacing w:after="120" w:line="276"/>
        <w:jc w:val="both"/>
      </w:pPr>
      <w:r>
        <w:rPr>
          <w:rFonts w:ascii="Barlow Semi Condensed" w:cs="Barlow Semi Condensed" w:eastAsia="Barlow Semi Condensed" w:hAnsi="Barlow Semi Condensed"/>
          <w:sz w:val="24"/>
          <w:szCs w:val="24"/>
        </w:rPr>
        <w:t xml:space="preserve">La guerra fu senza fine non perché eterna, ma perché non ebbe un vincitore che le desse un senso: lasciò un uomo ucciso, uno Stato ferito, e una domanda che quarant'anni non hanno chiuso. La si onori come si onora una domanda vera: continuando a cercare, negli archivi e non nelle classifiche, e resistendo alla tentazione — dolce, e per questo pericolosa — di chiuderla con un nome. La verità, su Moro, verrà dai documenti o non verrà. E fino a quel giorno, la cosa più fedele che si possa fare alla sua memoria è tenere aperta la ricerca e chiusa la bocca sull'accusa che non si può provare.</w:t>
      </w:r>
    </w:p>
    <w:p>
      <w:pPr>
        <w:spacing w:after="120" w:line="276"/>
        <w:jc w:val="both"/>
      </w:pPr>
      <w:r>
        <w:rPr>
          <w:rFonts w:ascii="Barlow Semi Condensed" w:cs="Barlow Semi Condensed" w:eastAsia="Barlow Semi Condensed" w:hAnsi="Barlow Semi Condensed"/>
          <w:sz w:val="24"/>
          <w:szCs w:val="24"/>
        </w:rPr>
        <w:t xml:space="preserve">Qui l'autore di questa terza parte si congeda, lasciando l'opera dov'era: davanti a un fascicolo mai chiuso.</w:t>
      </w:r>
    </w:p>
    <w:p>
      <w:pPr>
        <w:pBdr>
          <w:bottom w:val="single" w:color="999999" w:sz="6" w:space="1"/>
        </w:pBdr>
        <w:spacing w:after="80"/>
      </w:pPr>
    </w:p>
    <w:p>
      <w:pPr>
        <w:spacing w:after="120" w:line="276"/>
        <w:jc w:val="both"/>
      </w:pPr>
      <w:r>
        <w:rPr>
          <w:rFonts w:ascii="Barlow Semi Condensed" w:cs="Barlow Semi Condensed" w:eastAsia="Barlow Semi Condensed" w:hAnsi="Barlow Semi Condensed"/>
          <w:i/>
          <w:iCs/>
          <w:sz w:val="24"/>
          <w:szCs w:val="24"/>
        </w:rPr>
        <w:t xml:space="preserve">Questa terza parte è una continuazione originale e non riproduce il testo dell'opera che la precede. Le uniche affermazioni presentate come fatti sono di Livello A (accertamento giudiziario e storiografico); tutto il resto è dichiarato probabile o possibile. Nessuna persona è qui indicata come responsabile di reato oltre quanto stabilito in via definitiva dalla giustizia. I riscontri fattuali (Commissione Fioroni 2014-2018; ritrovamenti di via Monte Nevoso 1978 e 1990; episodio di via Gradoli e della seduta spiritica; dinamica di via Fani) sono ancorati agli atti parlamentari e alla documentazione pubblica. Per gli aspetti che toccano persone viventi vale la disciplina di riservatezza dell'apparato Italia Nera.</w:t>
      </w:r>
    </w:p>
    <w:p>
      <w:pPr>
        <w:pStyle w:val="Heading3"/>
        <w:spacing w:after="80" w:before="240"/>
      </w:pPr>
      <w:r>
        <w:rPr>
          <w:rFonts w:ascii="Barlow Semi Condensed" w:cs="Barlow Semi Condensed" w:eastAsia="Barlow Semi Condensed" w:hAnsi="Barlow Semi Condensed"/>
          <w:sz w:val="24"/>
          <w:szCs w:val="24"/>
        </w:rPr>
        <w:t xml:space="preserve">Apparato grafico — Libro settimo · Le questioni aperte: il ritorno del Pollo di Popper</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7"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Libro settimo: 3.451 parole in 9 sezioni; la più ampia è §9 Altre sezioni, con 1.549.</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8"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Libro settimo: 44 paragrafi in 9 sezioni, 5 in media per sezione.</w:t>
      </w:r>
    </w:p>
    <w:p>
      <w:pPr>
        <w:spacing w:after="120"/>
        <w:jc w:val="center"/>
      </w:pPr>
      <w:r>
        <w:rPr>
          <w:rFonts w:ascii="Barlow Semi Condensed" w:cs="Barlow Semi Condensed" w:eastAsia="Barlow Semi Condensed" w:hAnsi="Barlow Semi Condensed"/>
          <w:color w:val="777777"/>
          <w:sz w:val="16"/>
          <w:szCs w:val="16"/>
        </w:rPr>
        <w:t xml:space="preserve">Le metriche dell'apparato contano parole, documenti e atti — mai colpe.</w:t>
      </w:r>
    </w:p>
    <w:p>
      <w:r>
        <w:br w:type="page"/>
      </w:r>
    </w:p>
    <w:p>
      <w:pPr>
        <w:pStyle w:val="Heading1"/>
        <w:spacing w:after="120" w:before="240"/>
      </w:pPr>
      <w:r>
        <w:rPr>
          <w:rFonts w:ascii="Barlow Semi Condensed" w:cs="Barlow Semi Condensed" w:eastAsia="Barlow Semi Condensed" w:hAnsi="Barlow Semi Condensed"/>
          <w:sz w:val="24"/>
          <w:szCs w:val="24"/>
        </w:rPr>
        <w:t xml:space="preserve">Libro ottavo — Il metodo — I. Il presidio del garante</w:t>
      </w:r>
    </w:p>
    <w:p>
      <w:pPr>
        <w:pStyle w:val="Heading2"/>
        <w:spacing w:after="100" w:before="200"/>
      </w:pPr>
      <w:r>
        <w:rPr>
          <w:rFonts w:ascii="Barlow Semi Condensed" w:cs="Barlow Semi Condensed" w:eastAsia="Barlow Semi Condensed" w:hAnsi="Barlow Semi Condensed"/>
          <w:sz w:val="24"/>
          <w:szCs w:val="24"/>
        </w:rPr>
        <w:t xml:space="preserve">Fase sesta — Il presidio del garante e l'apparato critico</w:t>
      </w:r>
    </w:p>
    <w:p>
      <w:pPr>
        <w:spacing w:after="120" w:line="276"/>
        <w:jc w:val="both"/>
      </w:pPr>
      <w:r>
        <w:rPr>
          <w:rFonts w:ascii="Barlow Semi Condensed" w:cs="Barlow Semi Condensed" w:eastAsia="Barlow Semi Condensed" w:hAnsi="Barlow Semi Condensed"/>
          <w:i/>
          <w:iCs/>
          <w:sz w:val="24"/>
          <w:szCs w:val="24"/>
        </w:rPr>
        <w:t xml:space="preserve">Continuazione — 24 agosto 2026 · Capitoli cinquantunesimo – cinquantacinquesimo</w:t>
      </w:r>
    </w:p>
    <w:p>
      <w:pPr>
        <w:pBdr>
          <w:left w:val="single" w:color="1F3864" w:sz="18" w:space="8"/>
        </w:pBdr>
        <w:spacing w:after="80" w:before="80"/>
        <w:ind w:left="360" w:right="360"/>
        <w:jc w:val="both"/>
      </w:pPr>
      <w:r>
        <w:rPr>
          <w:rFonts w:ascii="Barlow Semi Condensed" w:cs="Barlow Semi Condensed" w:eastAsia="Barlow Semi Condensed" w:hAnsi="Barlow Semi Condensed"/>
          <w:b/>
          <w:bCs/>
          <w:i w:val="false"/>
          <w:iCs w:val="false"/>
          <w:sz w:val="24"/>
          <w:szCs w:val="24"/>
        </w:rPr>
        <w:t xml:space="preserve">Statuto di questa fase.</w:t>
      </w:r>
      <w:r>
        <w:rPr>
          <w:rFonts w:ascii="Barlow Semi Condensed" w:cs="Barlow Semi Condensed" w:eastAsia="Barlow Semi Condensed" w:hAnsi="Barlow Semi Condensed"/>
          <w:i w:val="false"/>
          <w:iCs w:val="false"/>
          <w:sz w:val="24"/>
          <w:szCs w:val="24"/>
        </w:rPr>
        <w:t xml:space="preserve"> Questa è una </w:t>
      </w:r>
      <w:r>
        <w:rPr>
          <w:rFonts w:ascii="Barlow Semi Condensed" w:cs="Barlow Semi Condensed" w:eastAsia="Barlow Semi Condensed" w:hAnsi="Barlow Semi Condensed"/>
          <w:b/>
          <w:bCs/>
          <w:i w:val="false"/>
          <w:iCs w:val="false"/>
          <w:sz w:val="24"/>
          <w:szCs w:val="24"/>
        </w:rPr>
        <w:t xml:space="preserve">continuazione originale</w:t>
      </w:r>
      <w:r>
        <w:rPr>
          <w:rFonts w:ascii="Barlow Semi Condensed" w:cs="Barlow Semi Condensed" w:eastAsia="Barlow Semi Condensed" w:hAnsi="Barlow Semi Condensed"/>
          <w:i w:val="false"/>
          <w:iCs w:val="false"/>
          <w:sz w:val="24"/>
          <w:szCs w:val="24"/>
        </w:rPr>
        <w:t xml:space="preserve"> dell'edizione in cinquanta capitoli dell'opera «Aldo Moro — Una guerra senza fine». Ne prende spunto e ne prosegue il discorso; non ne riproduce il testo. Si aggiunge dopo il Congedo (capitolo cinquantesimo) non per contraddire l'opera ma per servire una sua promessa: quella, dichiarata nel capitolo primo, delle </w:t>
      </w:r>
      <w:r>
        <w:rPr>
          <w:rFonts w:ascii="Barlow Semi Condensed" w:cs="Barlow Semi Condensed" w:eastAsia="Barlow Semi Condensed" w:hAnsi="Barlow Semi Condensed"/>
          <w:b/>
          <w:bCs/>
          <w:i w:val="false"/>
          <w:iCs w:val="false"/>
          <w:sz w:val="24"/>
          <w:szCs w:val="24"/>
        </w:rPr>
        <w:t xml:space="preserve">quattro discipline</w:t>
      </w:r>
      <w:r>
        <w:rPr>
          <w:rFonts w:ascii="Barlow Semi Condensed" w:cs="Barlow Semi Condensed" w:eastAsia="Barlow Semi Condensed" w:hAnsi="Barlow Semi Condensed"/>
          <w:i w:val="false"/>
          <w:iCs w:val="false"/>
          <w:sz w:val="24"/>
          <w:szCs w:val="24"/>
        </w:rPr>
        <w:t xml:space="preserve"> — del grado, delle assenze, delle persone viventi, e della tracciabilità. Una promessa così esigente merita un apparato che la renda verificabile pagina per pagina; e merita, alla fine, un garante che vegli sul confine più delicato dell'opera, quello fra le sue prime quattro fasi e la quinta.  Questa fase non nomina alcuna persona come responsabile di reato oltre il giudicato definitivo. Ogni affermazione presentata come fatto è di Livello A. Il resto è dichiarato per ciò che è.</w:t>
      </w:r>
    </w:p>
    <w:p>
      <w:pPr>
        <w:pBdr>
          <w:bottom w:val="single" w:color="999999" w:sz="6" w:space="1"/>
        </w:pBdr>
        <w:spacing w:after="80"/>
      </w:pPr>
    </w:p>
    <w:p>
      <w:pPr>
        <w:pStyle w:val="Heading1"/>
        <w:spacing w:after="120" w:before="240"/>
      </w:pPr>
      <w:r>
        <w:rPr>
          <w:rFonts w:ascii="Barlow Semi Condensed" w:cs="Barlow Semi Condensed" w:eastAsia="Barlow Semi Condensed" w:hAnsi="Barlow Semi Condensed"/>
          <w:sz w:val="24"/>
          <w:szCs w:val="24"/>
        </w:rPr>
        <w:t xml:space="preserve">Capitolo cinquantunesimo — Perché un'opera che si vieta di imputare contiene una graduatoria: la tensione dichiarata</w:t>
      </w:r>
    </w:p>
    <w:p>
      <w:pPr>
        <w:spacing w:after="120" w:line="276"/>
        <w:jc w:val="both"/>
      </w:pPr>
      <w:r>
        <w:rPr>
          <w:rFonts w:ascii="Barlow Semi Condensed" w:cs="Barlow Semi Condensed" w:eastAsia="Barlow Semi Condensed" w:hAnsi="Barlow Semi Condensed"/>
          <w:sz w:val="24"/>
          <w:szCs w:val="24"/>
        </w:rPr>
        <w:t xml:space="preserve">Un lettore attento, giunto in fondo, si trova fra le mani una contraddizione apparente, e ha diritto che gliela si nomini invece di lasciarla implicita. Il capitolo primo dichiara, fra le quattro discipline, che l'opera «non imputa e anzi si vieta di imputare», e che delle persone viventi riferisce «esclusivamente fatti pubblici documentati». La Fase quinta, per contro, per scelta esplicita dell'autore, congeda il Pollo di Popper e costruisce una graduatoria di architetti, mandanti ed esecutori. Le due cose stanno nella stessa opera. Come si compongono?</w:t>
      </w:r>
    </w:p>
    <w:p>
      <w:pPr>
        <w:spacing w:after="120" w:line="276"/>
        <w:jc w:val="both"/>
      </w:pPr>
      <w:r>
        <w:rPr>
          <w:rFonts w:ascii="Barlow Semi Condensed" w:cs="Barlow Semi Condensed" w:eastAsia="Barlow Semi Condensed" w:hAnsi="Barlow Semi Condensed"/>
          <w:sz w:val="24"/>
          <w:szCs w:val="24"/>
        </w:rPr>
        <w:t xml:space="preserve">Si compongono, e la composizione è essa stessa una lezione di metodo, purché la si renda esplicita. La graduatoria della Fase quinta non è, nelle intenzioni dichiarate, un atto d'imputazione giudiziaria: è un </w:t>
      </w:r>
      <w:r>
        <w:rPr>
          <w:rFonts w:ascii="Barlow Semi Condensed" w:cs="Barlow Semi Condensed" w:eastAsia="Barlow Semi Condensed" w:hAnsi="Barlow Semi Condensed"/>
          <w:b/>
          <w:bCs/>
          <w:sz w:val="24"/>
          <w:szCs w:val="24"/>
        </w:rPr>
        <w:t xml:space="preserve">esercizio di probabilità storiografica dichiaratamente ipotetico</w:t>
      </w:r>
      <w:r>
        <w:rPr>
          <w:rFonts w:ascii="Barlow Semi Condensed" w:cs="Barlow Semi Condensed" w:eastAsia="Barlow Semi Condensed" w:hAnsi="Barlow Semi Condensed"/>
          <w:sz w:val="24"/>
          <w:szCs w:val="24"/>
        </w:rPr>
        <w:t xml:space="preserve">, che l'opera separa con un solco tipografico e concettuale dal corpo delle prime quattro fasi. Il patto che l'opera propone al lettore è: fino alla Fase quarta si cammina sul terreno del documentato e del suo perimetro negativo; dalla Fase quinta si entra, avvertiti, in una regione di congettura ordinata. È un patto legittimo, a una condizione — che il solco tenga. E il solco tiene solo se qualcuno lo presidia. Questa fase è il presidio.</w:t>
      </w:r>
    </w:p>
    <w:p>
      <w:pPr>
        <w:spacing w:after="120" w:line="276"/>
        <w:jc w:val="both"/>
      </w:pPr>
      <w:r>
        <w:rPr>
          <w:rFonts w:ascii="Barlow Semi Condensed" w:cs="Barlow Semi Condensed" w:eastAsia="Barlow Semi Condensed" w:hAnsi="Barlow Semi Condensed"/>
          <w:sz w:val="24"/>
          <w:szCs w:val="24"/>
        </w:rPr>
        <w:t xml:space="preserve">Il rischio, altrimenti, è quello che l'opera stessa, nel capitolo secondo, chiama immunizzazione: che la graduatoria, nata ipotetica, venga letta come conclusione, e che la premessa garantista — «questi sono i responsabili più probabili, non i responsabili accertati» — scivoli via nella memoria del lettore, lasciando i soli nomi. È un fenomeno noto e documentato della psicologia della lettura: la cornice si dimentica, il contenuto resta. Un'opera che nomina, anche in forma ipotetica, deve perciò fare i conti con il fatto che i suoi nomi vivranno più a lungo delle sue cautele. Questa è la ragione per cui il garante non è un ornamento morale ma una necessità strutturale: senza di lui, la Fase quinta cessa di essere ciò che dichiara di essere e diventa ciò che dichiara di non essere.</w:t>
      </w:r>
    </w:p>
    <w:p>
      <w:pPr>
        <w:pStyle w:val="Heading1"/>
        <w:spacing w:after="120" w:before="240"/>
      </w:pPr>
      <w:r>
        <w:rPr>
          <w:rFonts w:ascii="Barlow Semi Condensed" w:cs="Barlow Semi Condensed" w:eastAsia="Barlow Semi Condensed" w:hAnsi="Barlow Semi Condensed"/>
          <w:sz w:val="24"/>
          <w:szCs w:val="24"/>
        </w:rPr>
        <w:t xml:space="preserve">Capitolo cinquantaduesimo — Le quattro discipline, rese operative</w:t>
      </w:r>
    </w:p>
    <w:p>
      <w:pPr>
        <w:spacing w:after="120" w:line="276"/>
        <w:jc w:val="both"/>
      </w:pPr>
      <w:r>
        <w:rPr>
          <w:rFonts w:ascii="Barlow Semi Condensed" w:cs="Barlow Semi Condensed" w:eastAsia="Barlow Semi Condensed" w:hAnsi="Barlow Semi Condensed"/>
          <w:sz w:val="24"/>
          <w:szCs w:val="24"/>
        </w:rPr>
        <w:t xml:space="preserve">Le quattro discipline dichiarate nel capitolo primo sono principi; qui si rendono procedura, perché un principio che non diventa procedura è un proposito.</w:t>
      </w:r>
    </w:p>
    <w:p>
      <w:pPr>
        <w:spacing w:after="120" w:line="276"/>
        <w:jc w:val="both"/>
      </w:pPr>
      <w:r>
        <w:rPr>
          <w:rFonts w:ascii="Barlow Semi Condensed" w:cs="Barlow Semi Condensed" w:eastAsia="Barlow Semi Condensed" w:hAnsi="Barlow Semi Condensed"/>
          <w:b/>
          <w:bCs/>
          <w:sz w:val="24"/>
          <w:szCs w:val="24"/>
        </w:rPr>
        <w:t xml:space="preserve">La disciplina del grado.</w:t>
      </w:r>
      <w:r>
        <w:rPr>
          <w:rFonts w:ascii="Barlow Semi Condensed" w:cs="Barlow Semi Condensed" w:eastAsia="Barlow Semi Condensed" w:hAnsi="Barlow Semi Condensed"/>
          <w:sz w:val="24"/>
          <w:szCs w:val="24"/>
        </w:rPr>
        <w:t xml:space="preserve"> Ogni affermazione porta il proprio livello — A accertato, B probabile, C possibile. La procedura che la rende verificabile è una sola domanda, ripetuta senza eccezioni: </w:t>
      </w:r>
      <w:r>
        <w:rPr>
          <w:rFonts w:ascii="Barlow Semi Condensed" w:cs="Barlow Semi Condensed" w:eastAsia="Barlow Semi Condensed" w:hAnsi="Barlow Semi Condensed"/>
          <w:i/>
          <w:iCs/>
          <w:sz w:val="24"/>
          <w:szCs w:val="24"/>
        </w:rPr>
        <w:t xml:space="preserve">che cosa la ucciderebbe?</w:t>
      </w:r>
      <w:r>
        <w:rPr>
          <w:rFonts w:ascii="Barlow Semi Condensed" w:cs="Barlow Semi Condensed" w:eastAsia="Barlow Semi Condensed" w:hAnsi="Barlow Semi Condensed"/>
          <w:sz w:val="24"/>
          <w:szCs w:val="24"/>
        </w:rPr>
        <w:t xml:space="preserve"> Un'affermazione di Livello A è quella per cui la risposta esiste, è precisa, ed è stata cercata senza trovarla (la responsabilità brigatista del sequestro cadrebbe davanti a un documento coevo, esterno e autenticato che attesti l'eterodirezione: cercato, non trovato). Un'affermazione di Livello B è quella per cui la risposta esiste ed è precisa ma non è ancora stata cercata fino in fondo (la manipolazione del memoriale cadrebbe, o si confermerebbe, davanti alla catena di custodia integrale delle carte di via Monte Nevoso: parzialmente ricostruita). Un'affermazione di Livello C è quella per cui la risposta o non esiste — la proposizione non è falsificabile — o è irraggiungibile in via di principio. La disciplina del grado è, in fondo, la disciplina di questa domanda.</w:t>
      </w:r>
    </w:p>
    <w:p>
      <w:pPr>
        <w:spacing w:after="120" w:line="276"/>
        <w:jc w:val="both"/>
      </w:pPr>
      <w:r>
        <w:rPr>
          <w:rFonts w:ascii="Barlow Semi Condensed" w:cs="Barlow Semi Condensed" w:eastAsia="Barlow Semi Condensed" w:hAnsi="Barlow Semi Condensed"/>
          <w:b/>
          <w:bCs/>
          <w:sz w:val="24"/>
          <w:szCs w:val="24"/>
        </w:rPr>
        <w:t xml:space="preserve">La disciplina delle assenze.</w:t>
      </w:r>
      <w:r>
        <w:rPr>
          <w:rFonts w:ascii="Barlow Semi Condensed" w:cs="Barlow Semi Condensed" w:eastAsia="Barlow Semi Condensed" w:hAnsi="Barlow Semi Condensed"/>
          <w:sz w:val="24"/>
          <w:szCs w:val="24"/>
        </w:rPr>
        <w:t xml:space="preserve"> In questo campo la mappa dei vuoti vale quanto la mappa dei pieni. La procedura è il </w:t>
      </w:r>
      <w:r>
        <w:rPr>
          <w:rFonts w:ascii="Barlow Semi Condensed" w:cs="Barlow Semi Condensed" w:eastAsia="Barlow Semi Condensed" w:hAnsi="Barlow Semi Condensed"/>
          <w:b/>
          <w:bCs/>
          <w:sz w:val="24"/>
          <w:szCs w:val="24"/>
        </w:rPr>
        <w:t xml:space="preserve">perimetro negativo</w:t>
      </w:r>
      <w:r>
        <w:rPr>
          <w:rFonts w:ascii="Barlow Semi Condensed" w:cs="Barlow Semi Condensed" w:eastAsia="Barlow Semi Condensed" w:hAnsi="Barlow Semi Condensed"/>
          <w:sz w:val="24"/>
          <w:szCs w:val="24"/>
        </w:rPr>
        <w:t xml:space="preserve">: nominare esplicitamente ciò che si è cercato e non trovato — gli Stati Zero del capitolo trentanovesimo — con la stessa cura con cui si nomina ciò che si è trovato. Un'assenza dichiarata è un dato; un'assenza taciuta è una menzogna per omissione. Dire «non esiste, allo stato, alcun documento che provi X» è un'affermazione di Livello A sul mondo, non una reticenza: è la forma più onesta che la conoscenza può prendere di fronte al buio.</w:t>
      </w:r>
    </w:p>
    <w:p>
      <w:pPr>
        <w:spacing w:after="120" w:line="276"/>
        <w:jc w:val="both"/>
      </w:pPr>
      <w:r>
        <w:rPr>
          <w:rFonts w:ascii="Barlow Semi Condensed" w:cs="Barlow Semi Condensed" w:eastAsia="Barlow Semi Condensed" w:hAnsi="Barlow Semi Condensed"/>
          <w:b/>
          <w:bCs/>
          <w:sz w:val="24"/>
          <w:szCs w:val="24"/>
        </w:rPr>
        <w:t xml:space="preserve">La disciplina delle persone viventi.</w:t>
      </w:r>
      <w:r>
        <w:rPr>
          <w:rFonts w:ascii="Barlow Semi Condensed" w:cs="Barlow Semi Condensed" w:eastAsia="Barlow Semi Condensed" w:hAnsi="Barlow Semi Condensed"/>
          <w:sz w:val="24"/>
          <w:szCs w:val="24"/>
        </w:rPr>
        <w:t xml:space="preserve"> Di chi è in vita l'opera riferisce solo fatti pubblici documentati, atti giudiziari, dichiarazioni rese. La procedura è il </w:t>
      </w:r>
      <w:r>
        <w:rPr>
          <w:rFonts w:ascii="Barlow Semi Condensed" w:cs="Barlow Semi Condensed" w:eastAsia="Barlow Semi Condensed" w:hAnsi="Barlow Semi Condensed"/>
          <w:b/>
          <w:bCs/>
          <w:sz w:val="24"/>
          <w:szCs w:val="24"/>
        </w:rPr>
        <w:t xml:space="preserve">doppio filtro</w:t>
      </w:r>
      <w:r>
        <w:rPr>
          <w:rFonts w:ascii="Barlow Semi Condensed" w:cs="Barlow Semi Condensed" w:eastAsia="Barlow Semi Condensed" w:hAnsi="Barlow Semi Condensed"/>
          <w:sz w:val="24"/>
          <w:szCs w:val="24"/>
        </w:rPr>
        <w:t xml:space="preserve">: prima del nome, la domanda «questo fatto è pubblico e documentato?»; prima dell'attribuzione, la domanda «questa attribuzione è stata pronunciata da un giudice?». Se la seconda risposta è no, il nome può comparire solo come soggetto di fatti, mai come predicato di colpe. È il filtro che separa la cronaca dalla calunnia, e vale doppio nella Fase quinta, dove la tentazione è massima.</w:t>
      </w:r>
    </w:p>
    <w:p>
      <w:pPr>
        <w:spacing w:after="120" w:line="276"/>
        <w:jc w:val="both"/>
      </w:pPr>
      <w:r>
        <w:rPr>
          <w:rFonts w:ascii="Barlow Semi Condensed" w:cs="Barlow Semi Condensed" w:eastAsia="Barlow Semi Condensed" w:hAnsi="Barlow Semi Condensed"/>
          <w:b/>
          <w:bCs/>
          <w:sz w:val="24"/>
          <w:szCs w:val="24"/>
        </w:rPr>
        <w:t xml:space="preserve">La disciplina della tracciabilità.</w:t>
      </w:r>
      <w:r>
        <w:rPr>
          <w:rFonts w:ascii="Barlow Semi Condensed" w:cs="Barlow Semi Condensed" w:eastAsia="Barlow Semi Condensed" w:hAnsi="Barlow Semi Condensed"/>
          <w:sz w:val="24"/>
          <w:szCs w:val="24"/>
        </w:rPr>
        <w:t xml:space="preserve"> Ogni affermazione dichiara la propria fonte e il proprio grado, così che il lettore possa rifare il cammino. La procedura è l'apparato critico — quello che segue nel capitolo cinquantaquattresimo — che rende la promessa un indice consultabile e non una dichiarazione d'intenti.</w:t>
      </w:r>
    </w:p>
    <w:p>
      <w:pPr>
        <w:pStyle w:val="Heading1"/>
        <w:spacing w:after="120" w:before="240"/>
      </w:pPr>
      <w:r>
        <w:rPr>
          <w:rFonts w:ascii="Barlow Semi Condensed" w:cs="Barlow Semi Condensed" w:eastAsia="Barlow Semi Condensed" w:hAnsi="Barlow Semi Condensed"/>
          <w:sz w:val="24"/>
          <w:szCs w:val="24"/>
        </w:rPr>
        <w:t xml:space="preserve">Capitolo cinquantatreesimo — Il confine, di nuovo: che cosa distingue la Fase quinta dalle prime quattro</w:t>
      </w:r>
    </w:p>
    <w:p>
      <w:pPr>
        <w:spacing w:after="120" w:line="276"/>
        <w:jc w:val="both"/>
      </w:pPr>
      <w:r>
        <w:rPr>
          <w:rFonts w:ascii="Barlow Semi Condensed" w:cs="Barlow Semi Condensed" w:eastAsia="Barlow Semi Condensed" w:hAnsi="Barlow Semi Condensed"/>
          <w:sz w:val="24"/>
          <w:szCs w:val="24"/>
        </w:rPr>
        <w:t xml:space="preserve">Il capitolo quarantesimo dell'opera si intitola «dove il Pollo di Popper si arresta». Vale la pena dire, con la massima precisione di cui si è capaci, che cosa accade a quel confine, perché è il punto su cui l'intera onestà dell'opera si gioca.</w:t>
      </w:r>
    </w:p>
    <w:p>
      <w:pPr>
        <w:spacing w:after="120" w:line="276"/>
        <w:jc w:val="both"/>
      </w:pPr>
      <w:r>
        <w:rPr>
          <w:rFonts w:ascii="Barlow Semi Condensed" w:cs="Barlow Semi Condensed" w:eastAsia="Barlow Semi Condensed" w:hAnsi="Barlow Semi Condensed"/>
          <w:sz w:val="24"/>
          <w:szCs w:val="24"/>
        </w:rPr>
        <w:t xml:space="preserve">Nelle prime quattro fasi l'opera fa una cosa sola: </w:t>
      </w:r>
      <w:r>
        <w:rPr>
          <w:rFonts w:ascii="Barlow Semi Condensed" w:cs="Barlow Semi Condensed" w:eastAsia="Barlow Semi Condensed" w:hAnsi="Barlow Semi Condensed"/>
          <w:b/>
          <w:bCs/>
          <w:sz w:val="24"/>
          <w:szCs w:val="24"/>
        </w:rPr>
        <w:t xml:space="preserve">stabilisce che cosa è accertato e recinta ciò che non lo è</w:t>
      </w:r>
      <w:r>
        <w:rPr>
          <w:rFonts w:ascii="Barlow Semi Condensed" w:cs="Barlow Semi Condensed" w:eastAsia="Barlow Semi Condensed" w:hAnsi="Barlow Semi Condensed"/>
          <w:sz w:val="24"/>
          <w:szCs w:val="24"/>
        </w:rPr>
        <w:t xml:space="preserve">. Dice: il sequestro e l'omicidio furono opera delle Brigate Rosse (A); vi furono omissioni e depistaggi documentati (A); la manipolazione del memoriale è probabile (B); il movente internazionale è documentato come contesto (A) e non come catena di comando (C, anzi Stato Zero quanto al mandato provato). È un lavoro di </w:t>
      </w:r>
      <w:r>
        <w:rPr>
          <w:rFonts w:ascii="Barlow Semi Condensed" w:cs="Barlow Semi Condensed" w:eastAsia="Barlow Semi Condensed" w:hAnsi="Barlow Semi Condensed"/>
          <w:i/>
          <w:iCs/>
          <w:sz w:val="24"/>
          <w:szCs w:val="24"/>
        </w:rPr>
        <w:t xml:space="preserve">delimitazione</w:t>
      </w:r>
      <w:r>
        <w:rPr>
          <w:rFonts w:ascii="Barlow Semi Condensed" w:cs="Barlow Semi Condensed" w:eastAsia="Barlow Semi Condensed" w:hAnsi="Barlow Semi Condensed"/>
          <w:sz w:val="24"/>
          <w:szCs w:val="24"/>
        </w:rPr>
        <w:t xml:space="preserve">: traccia la linea di costa fra la terra ferma del provato e il mare del non provato, e la traccia con onestà, chiamando mare il mare.</w:t>
      </w:r>
    </w:p>
    <w:p>
      <w:pPr>
        <w:spacing w:after="120" w:line="276"/>
        <w:jc w:val="both"/>
      </w:pPr>
      <w:r>
        <w:rPr>
          <w:rFonts w:ascii="Barlow Semi Condensed" w:cs="Barlow Semi Condensed" w:eastAsia="Barlow Semi Condensed" w:hAnsi="Barlow Semi Condensed"/>
          <w:sz w:val="24"/>
          <w:szCs w:val="24"/>
        </w:rPr>
        <w:t xml:space="preserve">Nella Fase quinta l'opera fa una cosa diversa: </w:t>
      </w:r>
      <w:r>
        <w:rPr>
          <w:rFonts w:ascii="Barlow Semi Condensed" w:cs="Barlow Semi Condensed" w:eastAsia="Barlow Semi Condensed" w:hAnsi="Barlow Semi Condensed"/>
          <w:b/>
          <w:bCs/>
          <w:sz w:val="24"/>
          <w:szCs w:val="24"/>
        </w:rPr>
        <w:t xml:space="preserve">naviga il mare</w:t>
      </w:r>
      <w:r>
        <w:rPr>
          <w:rFonts w:ascii="Barlow Semi Condensed" w:cs="Barlow Semi Condensed" w:eastAsia="Barlow Semi Condensed" w:hAnsi="Barlow Semi Condensed"/>
          <w:sz w:val="24"/>
          <w:szCs w:val="24"/>
        </w:rPr>
        <w:t xml:space="preserve">. Prende le ipotesi che nelle prime quattro fasi stavano allo stato del possibile, e le ordina per verosimiglianza con dieci strumenti di calcolo. È navigazione, non più cartografia della costa. E la navigazione, per quanto esperta, non produce terra ferma: produce rotte più o meno plausibili sopra un fondale che resta acqua. Il garante veglia esattamente su questo: che il lettore non scambi la rotta per la costa, la verosimiglianza per la prova, l'ordinale della graduatoria per un verdetto. La premessa garantista della Fase quinta è la carta nautica che dichiara «qui il fondale è mare»; il presidio consiste nel non lasciarla cadere.</w:t>
      </w:r>
    </w:p>
    <w:p>
      <w:pPr>
        <w:spacing w:after="120" w:line="276"/>
        <w:jc w:val="both"/>
      </w:pPr>
      <w:r>
        <w:rPr>
          <w:rFonts w:ascii="Barlow Semi Condensed" w:cs="Barlow Semi Condensed" w:eastAsia="Barlow Semi Condensed" w:hAnsi="Barlow Semi Condensed"/>
          <w:sz w:val="24"/>
          <w:szCs w:val="24"/>
        </w:rPr>
        <w:t xml:space="preserve">Detto altrimenti, e in termini dell'apparato che governa il lavoro maggiore da cui l'opera discende: le prime quattro fasi lavorano allo stato dello </w:t>
      </w:r>
      <w:r>
        <w:rPr>
          <w:rFonts w:ascii="Barlow Semi Condensed" w:cs="Barlow Semi Condensed" w:eastAsia="Barlow Semi Condensed" w:hAnsi="Barlow Semi Condensed"/>
          <w:i/>
          <w:iCs/>
          <w:sz w:val="24"/>
          <w:szCs w:val="24"/>
        </w:rPr>
        <w:t xml:space="preserve">sciolto</w:t>
      </w:r>
      <w:r>
        <w:rPr>
          <w:rFonts w:ascii="Barlow Semi Condensed" w:cs="Barlow Semi Condensed" w:eastAsia="Barlow Semi Condensed" w:hAnsi="Barlow Semi Condensed"/>
          <w:sz w:val="24"/>
          <w:szCs w:val="24"/>
        </w:rPr>
        <w:t xml:space="preserve"> e del </w:t>
      </w:r>
      <w:r>
        <w:rPr>
          <w:rFonts w:ascii="Barlow Semi Condensed" w:cs="Barlow Semi Condensed" w:eastAsia="Barlow Semi Condensed" w:hAnsi="Barlow Semi Condensed"/>
          <w:i/>
          <w:iCs/>
          <w:sz w:val="24"/>
          <w:szCs w:val="24"/>
        </w:rPr>
        <w:t xml:space="preserve">dubbio</w:t>
      </w:r>
      <w:r>
        <w:rPr>
          <w:rFonts w:ascii="Barlow Semi Condensed" w:cs="Barlow Semi Condensed" w:eastAsia="Barlow Semi Condensed" w:hAnsi="Barlow Semi Condensed"/>
          <w:sz w:val="24"/>
          <w:szCs w:val="24"/>
        </w:rPr>
        <w:t xml:space="preserve">; la Fase quinta lavora nel dubbio ma lo dispone in ordine, e l'ordine — è questa la sola avvertenza che conti — </w:t>
      </w:r>
      <w:r>
        <w:rPr>
          <w:rFonts w:ascii="Barlow Semi Condensed" w:cs="Barlow Semi Condensed" w:eastAsia="Barlow Semi Condensed" w:hAnsi="Barlow Semi Condensed"/>
          <w:b/>
          <w:bCs/>
          <w:sz w:val="24"/>
          <w:szCs w:val="24"/>
        </w:rPr>
        <w:t xml:space="preserve">non promuove il dubbio ad accertato</w:t>
      </w:r>
      <w:r>
        <w:rPr>
          <w:rFonts w:ascii="Barlow Semi Condensed" w:cs="Barlow Semi Condensed" w:eastAsia="Barlow Semi Condensed" w:hAnsi="Barlow Semi Condensed"/>
          <w:sz w:val="24"/>
          <w:szCs w:val="24"/>
        </w:rPr>
        <w:t xml:space="preserve">. Un sospetto messo al primo posto resta un sospetto: ha soltanto un numero accanto. Il numero è un aiuto alla riflessione, non un grado di prova. Chi legge il numero come prova ha infranto il patto; chi lo scrive facendo di tutto perché sia letto come prova ha infranto qualcosa di più.</w:t>
      </w:r>
    </w:p>
    <w:p>
      <w:pPr>
        <w:pStyle w:val="Heading1"/>
        <w:spacing w:after="120" w:before="240"/>
      </w:pPr>
      <w:r>
        <w:rPr>
          <w:rFonts w:ascii="Barlow Semi Condensed" w:cs="Barlow Semi Condensed" w:eastAsia="Barlow Semi Condensed" w:hAnsi="Barlow Semi Condensed"/>
          <w:sz w:val="24"/>
          <w:szCs w:val="24"/>
        </w:rPr>
        <w:t xml:space="preserve">Capitolo cinquantaquattresimo — L'apparato critico: la mappa dei gradi</w:t>
      </w:r>
    </w:p>
    <w:p>
      <w:pPr>
        <w:spacing w:after="120" w:line="276"/>
        <w:jc w:val="both"/>
      </w:pPr>
      <w:r>
        <w:rPr>
          <w:rFonts w:ascii="Barlow Semi Condensed" w:cs="Barlow Semi Condensed" w:eastAsia="Barlow Semi Condensed" w:hAnsi="Barlow Semi Condensed"/>
          <w:sz w:val="24"/>
          <w:szCs w:val="24"/>
        </w:rPr>
        <w:t xml:space="preserve">La disciplina della tracciabilità chiede un apparato. Eccolo, nella forma che l'opera consente: non una nota a piè di pagina per ciascuna riga — sarebbe illeggibile — ma una </w:t>
      </w:r>
      <w:r>
        <w:rPr>
          <w:rFonts w:ascii="Barlow Semi Condensed" w:cs="Barlow Semi Condensed" w:eastAsia="Barlow Semi Condensed" w:hAnsi="Barlow Semi Condensed"/>
          <w:b/>
          <w:bCs/>
          <w:sz w:val="24"/>
          <w:szCs w:val="24"/>
        </w:rPr>
        <w:t xml:space="preserve">mappa dei gradi</w:t>
      </w:r>
      <w:r>
        <w:rPr>
          <w:rFonts w:ascii="Barlow Semi Condensed" w:cs="Barlow Semi Condensed" w:eastAsia="Barlow Semi Condensed" w:hAnsi="Barlow Semi Condensed"/>
          <w:sz w:val="24"/>
          <w:szCs w:val="24"/>
        </w:rPr>
        <w:t xml:space="preserve"> che dichiara, per i nodi maggiori dell'intera opera, a quale livello ciascuno sta e quale documento lo terrebbe o lo abbatterebbe. È l'indice che rende le quattro discipline verificabili.</w:t>
      </w:r>
    </w:p>
    <w:p>
      <w:pPr>
        <w:spacing w:after="120" w:line="276"/>
        <w:jc w:val="both"/>
      </w:pPr>
      <w:r>
        <w:rPr>
          <w:rFonts w:ascii="Barlow Semi Condensed" w:cs="Barlow Semi Condensed" w:eastAsia="Barlow Semi Condensed" w:hAnsi="Barlow Semi Condensed"/>
          <w:b/>
          <w:bCs/>
          <w:sz w:val="24"/>
          <w:szCs w:val="24"/>
        </w:rPr>
        <w:t xml:space="preserve">Livello A — accertato (ciò che regge in giudizio e alla storiografia concorde).</w:t>
      </w:r>
      <w:r>
        <w:rPr>
          <w:rFonts w:ascii="Barlow Semi Condensed" w:cs="Barlow Semi Condensed" w:eastAsia="Barlow Semi Condensed" w:hAnsi="Barlow Semi Condensed"/>
          <w:sz w:val="24"/>
          <w:szCs w:val="24"/>
        </w:rPr>
        <w:t xml:space="preserve"> La responsabilità delle Brigate Rosse per l'agguato di via Fani, il sequestro e l'omicidio (cinque processi definitivi). L'identità dei cinque caduti della scorta. La prigionia e la sua durata. La redazione del carteggio dalla prigionia. La scelta politica della linea della fermezza. Il ritrovamento di via Gradoli il 18 aprile 1978 in seguito all'allagamento. Il doppio ritrovamento del memoriale a via Monte Nevoso (1978 e 1990). L'esistenza di omissioni, ritardi e depistaggi documentati dalle Commissioni. La formula della «verità dicibile» come conclusione della Commissione Fioroni. </w:t>
      </w:r>
      <w:r>
        <w:rPr>
          <w:rFonts w:ascii="Barlow Semi Condensed" w:cs="Barlow Semi Condensed" w:eastAsia="Barlow Semi Condensed" w:hAnsi="Barlow Semi Condensed"/>
          <w:i/>
          <w:iCs/>
          <w:sz w:val="24"/>
          <w:szCs w:val="24"/>
        </w:rPr>
        <w:t xml:space="preserve">Ciò che abbatterebbe uno di questi nodi:</w:t>
      </w:r>
      <w:r>
        <w:rPr>
          <w:rFonts w:ascii="Barlow Semi Condensed" w:cs="Barlow Semi Condensed" w:eastAsia="Barlow Semi Condensed" w:hAnsi="Barlow Semi Condensed"/>
          <w:sz w:val="24"/>
          <w:szCs w:val="24"/>
        </w:rPr>
        <w:t xml:space="preserve"> un documento coevo, esterno e autenticato di segno contrario — cercato, non trovato.</w:t>
      </w:r>
    </w:p>
    <w:p>
      <w:pPr>
        <w:spacing w:after="120" w:line="276"/>
        <w:jc w:val="both"/>
      </w:pPr>
      <w:r>
        <w:rPr>
          <w:rFonts w:ascii="Barlow Semi Condensed" w:cs="Barlow Semi Condensed" w:eastAsia="Barlow Semi Condensed" w:hAnsi="Barlow Semi Condensed"/>
          <w:b/>
          <w:bCs/>
          <w:sz w:val="24"/>
          <w:szCs w:val="24"/>
        </w:rPr>
        <w:t xml:space="preserve">Livello B — probabile (indizi seri, prova non piena).</w:t>
      </w:r>
      <w:r>
        <w:rPr>
          <w:rFonts w:ascii="Barlow Semi Condensed" w:cs="Barlow Semi Condensed" w:eastAsia="Barlow Semi Condensed" w:hAnsi="Barlow Semi Condensed"/>
          <w:sz w:val="24"/>
          <w:szCs w:val="24"/>
        </w:rPr>
        <w:t xml:space="preserve"> La manipolazione o l'incompletezza deliberata della prima versione del memoriale. Il carattere non del tutto sincero di alcune aperture di trattativa. La rilevanza operativa di singole omissioni oltre la soglia della mera inefficienza. </w:t>
      </w:r>
      <w:r>
        <w:rPr>
          <w:rFonts w:ascii="Barlow Semi Condensed" w:cs="Barlow Semi Condensed" w:eastAsia="Barlow Semi Condensed" w:hAnsi="Barlow Semi Condensed"/>
          <w:i/>
          <w:iCs/>
          <w:sz w:val="24"/>
          <w:szCs w:val="24"/>
        </w:rPr>
        <w:t xml:space="preserve">Ciò che li muoverebbe verso A o verso C:</w:t>
      </w:r>
      <w:r>
        <w:rPr>
          <w:rFonts w:ascii="Barlow Semi Condensed" w:cs="Barlow Semi Condensed" w:eastAsia="Barlow Semi Condensed" w:hAnsi="Barlow Semi Condensed"/>
          <w:sz w:val="24"/>
          <w:szCs w:val="24"/>
        </w:rPr>
        <w:t xml:space="preserve"> per il memoriale, la catena di custodia integrale delle carte; per le trattative, gli atti riservati dei canali; per le omissioni, il collegamento documentato fra una specifica ostruzione e una specifica direttiva.</w:t>
      </w:r>
    </w:p>
    <w:p>
      <w:pPr>
        <w:spacing w:after="120" w:line="276"/>
        <w:jc w:val="both"/>
      </w:pPr>
      <w:r>
        <w:rPr>
          <w:rFonts w:ascii="Barlow Semi Condensed" w:cs="Barlow Semi Condensed" w:eastAsia="Barlow Semi Condensed" w:hAnsi="Barlow Semi Condensed"/>
          <w:b/>
          <w:bCs/>
          <w:sz w:val="24"/>
          <w:szCs w:val="24"/>
        </w:rPr>
        <w:t xml:space="preserve">Livello C — possibile (compatibile coi fatti, senza prova propria).</w:t>
      </w:r>
      <w:r>
        <w:rPr>
          <w:rFonts w:ascii="Barlow Semi Condensed" w:cs="Barlow Semi Condensed" w:eastAsia="Barlow Semi Condensed" w:hAnsi="Barlow Semi Condensed"/>
          <w:sz w:val="24"/>
          <w:szCs w:val="24"/>
        </w:rPr>
        <w:t xml:space="preserve"> Le prigioni alternative o ulteriori. La lettura non innocente dell'episodio di via Gradoli e della seduta spiritica. Le regie internazionali del sequestro come catena di comando. Il mandato esterno alle Brigate Rosse. </w:t>
      </w:r>
      <w:r>
        <w:rPr>
          <w:rFonts w:ascii="Barlow Semi Condensed" w:cs="Barlow Semi Condensed" w:eastAsia="Barlow Semi Condensed" w:hAnsi="Barlow Semi Condensed"/>
          <w:i/>
          <w:iCs/>
          <w:sz w:val="24"/>
          <w:szCs w:val="24"/>
        </w:rPr>
        <w:t xml:space="preserve">Ciò che li promuoverebbe:</w:t>
      </w:r>
      <w:r>
        <w:rPr>
          <w:rFonts w:ascii="Barlow Semi Condensed" w:cs="Barlow Semi Condensed" w:eastAsia="Barlow Semi Condensed" w:hAnsi="Barlow Semi Condensed"/>
          <w:sz w:val="24"/>
          <w:szCs w:val="24"/>
        </w:rPr>
        <w:t xml:space="preserve"> per ciascuno, un documento che oggi non esiste; ed è per questo che restano possibili e non probabili.</w:t>
      </w:r>
    </w:p>
    <w:p>
      <w:pPr>
        <w:spacing w:after="120" w:line="276"/>
        <w:jc w:val="both"/>
      </w:pPr>
      <w:r>
        <w:rPr>
          <w:rFonts w:ascii="Barlow Semi Condensed" w:cs="Barlow Semi Condensed" w:eastAsia="Barlow Semi Condensed" w:hAnsi="Barlow Semi Condensed"/>
          <w:b/>
          <w:bCs/>
          <w:sz w:val="24"/>
          <w:szCs w:val="24"/>
        </w:rPr>
        <w:t xml:space="preserve">Stato Zero — cercato e non trovato (il perimetro negativo, capitolo trentanovesimo).</w:t>
      </w:r>
      <w:r>
        <w:rPr>
          <w:rFonts w:ascii="Barlow Semi Condensed" w:cs="Barlow Semi Condensed" w:eastAsia="Barlow Semi Condensed" w:hAnsi="Barlow Semi Condensed"/>
          <w:sz w:val="24"/>
          <w:szCs w:val="24"/>
        </w:rPr>
        <w:t xml:space="preserve"> Il documento che provi l'eterodirezione del sequestro. Il documento che leghi Kissinger-persona, o qualunque apparato straniero nominato, alla catena di comando del delitto. Il documento che provi l'isomorfismo fra le reti anticomuniste evocate e la struttura operativa del sequestro. Questi non sono dubbi: sono ricerche condotte e chiuse in negativo, e vanno dichiarate con la stessa forza dei Livelli A, perché un'assenza accertata è essa stessa una conoscenza.</w:t>
      </w:r>
    </w:p>
    <w:p>
      <w:pPr>
        <w:spacing w:after="120" w:line="276"/>
        <w:jc w:val="both"/>
      </w:pPr>
      <w:r>
        <w:rPr>
          <w:rFonts w:ascii="Barlow Semi Condensed" w:cs="Barlow Semi Condensed" w:eastAsia="Barlow Semi Condensed" w:hAnsi="Barlow Semi Condensed"/>
          <w:sz w:val="24"/>
          <w:szCs w:val="24"/>
        </w:rPr>
        <w:t xml:space="preserve">Questa mappa non chiude il caso. Fa una cosa più modesta e più utile: consente al lettore di sapere, in ogni punto dell'opera, su che cosa poggia i piedi. È la forma minuta dell'onestà, ed è l'unica che, in questa materia, non tradisca.</w:t>
      </w:r>
    </w:p>
    <w:p>
      <w:pPr>
        <w:pStyle w:val="Heading1"/>
        <w:spacing w:after="120" w:before="240"/>
      </w:pPr>
      <w:r>
        <w:rPr>
          <w:rFonts w:ascii="Barlow Semi Condensed" w:cs="Barlow Semi Condensed" w:eastAsia="Barlow Semi Condensed" w:hAnsi="Barlow Semi Condensed"/>
          <w:sz w:val="24"/>
          <w:szCs w:val="24"/>
        </w:rPr>
        <w:t xml:space="preserve">Capitolo cinquantacinquesimo — Congedo del garante</w:t>
      </w:r>
    </w:p>
    <w:p>
      <w:pPr>
        <w:spacing w:after="120" w:line="276"/>
        <w:jc w:val="both"/>
      </w:pPr>
      <w:r>
        <w:rPr>
          <w:rFonts w:ascii="Barlow Semi Condensed" w:cs="Barlow Semi Condensed" w:eastAsia="Barlow Semi Condensed" w:hAnsi="Barlow Semi Condensed"/>
          <w:sz w:val="24"/>
          <w:szCs w:val="24"/>
        </w:rPr>
        <w:t xml:space="preserve">L'opera aveva già il suo congedo, al capitolo cinquantesimo. Questo è il congedo di chi è venuto dopo per vegliare sul confine, e sarà breve, perché il garante che parla troppo tradisce la propria funzione.</w:t>
      </w:r>
    </w:p>
    <w:p>
      <w:pPr>
        <w:spacing w:after="120" w:line="276"/>
        <w:jc w:val="both"/>
      </w:pPr>
      <w:r>
        <w:rPr>
          <w:rFonts w:ascii="Barlow Semi Condensed" w:cs="Barlow Semi Condensed" w:eastAsia="Barlow Semi Condensed" w:hAnsi="Barlow Semi Condensed"/>
          <w:sz w:val="24"/>
          <w:szCs w:val="24"/>
        </w:rPr>
        <w:t xml:space="preserve">Si è detto, all'inizio di questa fase, che i nomi vivono più a lungo delle cautele. È la ragione per cui esiste, nel diritto e nella civiltà che ne discende, la presunzione d'innocenza: non perché si creda innocenti tutti, ma perché si sa che il marchio, una volta impresso fuori dal processo, non ha chi lo tolga. Un'opera che tratti il caso Moro con l'onestà che questa dichiara e in gran parte pratica ha, verso questa verità, un dovere particolare — perché il caso Moro è, fra le altre cose, la storia di ciò che accade quando la ragion di Stato si arroga il diritto di decidere della vita di un uomo fuori dalle regole. Ripetere quel gesto sul piano del giudizio storico, condannando fuori dal processo, sarebbe la più involontaria e la più amara delle ironie.</w:t>
      </w:r>
    </w:p>
    <w:p>
      <w:pPr>
        <w:spacing w:after="120" w:line="276"/>
        <w:jc w:val="both"/>
      </w:pPr>
      <w:r>
        <w:rPr>
          <w:rFonts w:ascii="Barlow Semi Condensed" w:cs="Barlow Semi Condensed" w:eastAsia="Barlow Semi Condensed" w:hAnsi="Barlow Semi Condensed"/>
          <w:sz w:val="24"/>
          <w:szCs w:val="24"/>
        </w:rPr>
        <w:t xml:space="preserve">L'epigrafe dell'opera dice che è l'ignoranza a creare la violenza. Il garante aggiunge, congedandosi, la sola postilla che gli competa: che anche la certezza senza prova è una forma d'ignoranza, e che la disciplina del dubbio — tenere il fascicolo aperto, dichiarare i gradi, nominare le assenze, rispettare i viventi — non è debolezza della conoscenza ma la sua forma adulta. L'opera che si è letta ha cinquanta capitoli e una vasta ambizione; il garante le chiede una cosa sola, e gliela lascia come si lascia un testimone: che il solco fra le sue prime quattro fasi e la quinta resti visibile a chiunque, per sempre, e che nessun lettore possa mai, in buona fede, scambiare una rotta tracciata sull'acqua per la terra ferma su cui l'opera, nella sua parte migliore, ha davvero camminato.</w:t>
      </w:r>
    </w:p>
    <w:p>
      <w:pPr>
        <w:spacing w:after="120" w:line="276"/>
        <w:jc w:val="both"/>
      </w:pPr>
      <w:r>
        <w:rPr>
          <w:rFonts w:ascii="Barlow Semi Condensed" w:cs="Barlow Semi Condensed" w:eastAsia="Barlow Semi Condensed" w:hAnsi="Barlow Semi Condensed"/>
          <w:sz w:val="24"/>
          <w:szCs w:val="24"/>
        </w:rPr>
        <w:t xml:space="preserve">Qui il garante si congeda. Il fascicolo, come deve, resta aperto.</w:t>
      </w:r>
    </w:p>
    <w:p>
      <w:pPr>
        <w:pBdr>
          <w:bottom w:val="single" w:color="999999" w:sz="6" w:space="1"/>
        </w:pBdr>
        <w:spacing w:after="80"/>
      </w:pPr>
    </w:p>
    <w:p>
      <w:pPr>
        <w:spacing w:after="120" w:line="276"/>
        <w:jc w:val="both"/>
      </w:pPr>
      <w:r>
        <w:rPr>
          <w:rFonts w:ascii="Barlow Semi Condensed" w:cs="Barlow Semi Condensed" w:eastAsia="Barlow Semi Condensed" w:hAnsi="Barlow Semi Condensed"/>
          <w:i/>
          <w:iCs/>
          <w:sz w:val="24"/>
          <w:szCs w:val="24"/>
        </w:rPr>
        <w:t xml:space="preserve">Fase sesta dell'opera «Aldo Moro — Una guerra senza fine», continuazione originale dell'edizione in cinquanta capitoli. Non riproduce il testo dell'opera e non nomina alcuna persona come responsabile di reato oltre il giudicato definitivo. Le affermazioni presentate come fatti sono di Livello A; il resto è dichiarato probabile, possibile o Stato Zero. I riscontri (Commissione Fioroni; ritrovamenti di via Monte Nevoso 1978 e 1990; via Gradoli; dinamica di via Fani) sono ancorati agli atti parlamentari e alla documentazione pubblica. Per gli aspetti che toccano persone viventi vale la disciplina di riservatezza dell'apparato Italia Nera.</w:t>
      </w:r>
    </w:p>
    <w:p>
      <w:pPr>
        <w:pStyle w:val="Heading3"/>
        <w:spacing w:after="80" w:before="240"/>
      </w:pPr>
      <w:r>
        <w:rPr>
          <w:rFonts w:ascii="Barlow Semi Condensed" w:cs="Barlow Semi Condensed" w:eastAsia="Barlow Semi Condensed" w:hAnsi="Barlow Semi Condensed"/>
          <w:sz w:val="24"/>
          <w:szCs w:val="24"/>
        </w:rPr>
        <w:t xml:space="preserve">Apparato grafico — Libro ottavo · Il presidio del garante</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9"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Libro ottavo I: 2.109 parole in 4 sezioni; la più ampia è §3 Segmento 3, con 656.</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0"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Libro ottavo I: 32 paragrafi in 4 sezioni, 8 in media per sezione.</w:t>
      </w:r>
    </w:p>
    <w:p>
      <w:pPr>
        <w:spacing w:after="120"/>
        <w:jc w:val="center"/>
      </w:pPr>
      <w:r>
        <w:rPr>
          <w:rFonts w:ascii="Barlow Semi Condensed" w:cs="Barlow Semi Condensed" w:eastAsia="Barlow Semi Condensed" w:hAnsi="Barlow Semi Condensed"/>
          <w:color w:val="777777"/>
          <w:sz w:val="16"/>
          <w:szCs w:val="16"/>
        </w:rPr>
        <w:t xml:space="preserve">Le metriche dell'apparato contano parole, documenti e atti — mai colpe.</w:t>
      </w:r>
    </w:p>
    <w:p>
      <w:r>
        <w:br w:type="page"/>
      </w:r>
    </w:p>
    <w:p>
      <w:pPr>
        <w:pStyle w:val="Heading1"/>
        <w:spacing w:after="120" w:before="240"/>
      </w:pPr>
      <w:r>
        <w:rPr>
          <w:rFonts w:ascii="Barlow Semi Condensed" w:cs="Barlow Semi Condensed" w:eastAsia="Barlow Semi Condensed" w:hAnsi="Barlow Semi Condensed"/>
          <w:sz w:val="24"/>
          <w:szCs w:val="24"/>
        </w:rPr>
        <w:t xml:space="preserve">Libro ottavo — Il metodo — II. Le metodologie del Dossier, calcolate</w:t>
      </w:r>
    </w:p>
    <w:p>
      <w:pPr>
        <w:pStyle w:val="Heading1"/>
        <w:spacing w:after="120" w:before="240"/>
      </w:pPr>
      <w:r>
        <w:rPr>
          <w:rFonts w:ascii="Barlow Semi Condensed" w:cs="Barlow Semi Condensed" w:eastAsia="Barlow Semi Condensed" w:hAnsi="Barlow Semi Condensed"/>
          <w:sz w:val="24"/>
          <w:szCs w:val="24"/>
        </w:rPr>
        <w:t xml:space="preserve">Le metodologie del Dossier applicate al corpus</w:t>
      </w:r>
    </w:p>
    <w:p>
      <w:pPr>
        <w:pStyle w:val="Heading2"/>
        <w:spacing w:after="100" w:before="200"/>
      </w:pPr>
      <w:r>
        <w:rPr>
          <w:rFonts w:ascii="Barlow Semi Condensed" w:cs="Barlow Semi Condensed" w:eastAsia="Barlow Semi Condensed" w:hAnsi="Barlow Semi Condensed"/>
          <w:sz w:val="24"/>
          <w:szCs w:val="24"/>
        </w:rPr>
        <w:t xml:space="preserve">Sinaptogenesi, analisi delle ipotesi concorrenti, paradigma indiziario, auto-misurazione</w:t>
      </w:r>
    </w:p>
    <w:p>
      <w:pPr>
        <w:spacing w:after="120" w:line="276"/>
        <w:jc w:val="both"/>
      </w:pPr>
      <w:r>
        <w:rPr>
          <w:rFonts w:ascii="Barlow Semi Condensed" w:cs="Barlow Semi Condensed" w:eastAsia="Barlow Semi Condensed" w:hAnsi="Barlow Semi Condensed"/>
          <w:i/>
          <w:iCs/>
          <w:sz w:val="24"/>
          <w:szCs w:val="24"/>
        </w:rPr>
        <w:t xml:space="preserve">Documento di metodo — 25 agosto 2026 · Complemento dell'edizione strutturata</w:t>
      </w:r>
    </w:p>
    <w:p>
      <w:pPr>
        <w:pBdr>
          <w:left w:val="single" w:color="1F3864" w:sz="18" w:space="8"/>
        </w:pBdr>
        <w:spacing w:after="80" w:before="80"/>
        <w:ind w:left="360" w:right="360"/>
        <w:jc w:val="both"/>
      </w:pPr>
      <w:r>
        <w:rPr>
          <w:rFonts w:ascii="Barlow Semi Condensed" w:cs="Barlow Semi Condensed" w:eastAsia="Barlow Semi Condensed" w:hAnsi="Barlow Semi Condensed"/>
          <w:b/>
          <w:bCs/>
          <w:i w:val="false"/>
          <w:iCs w:val="false"/>
          <w:sz w:val="24"/>
          <w:szCs w:val="24"/>
        </w:rPr>
        <w:t xml:space="preserve">Statuto.</w:t>
      </w:r>
      <w:r>
        <w:rPr>
          <w:rFonts w:ascii="Barlow Semi Condensed" w:cs="Barlow Semi Condensed" w:eastAsia="Barlow Semi Condensed" w:hAnsi="Barlow Semi Condensed"/>
          <w:i w:val="false"/>
          <w:iCs w:val="false"/>
          <w:sz w:val="24"/>
          <w:szCs w:val="24"/>
        </w:rPr>
        <w:t xml:space="preserve"> Il Dossier maggiore non ha solo un'architettura: ha una </w:t>
      </w:r>
      <w:r>
        <w:rPr>
          <w:rFonts w:ascii="Barlow Semi Condensed" w:cs="Barlow Semi Condensed" w:eastAsia="Barlow Semi Condensed" w:hAnsi="Barlow Semi Condensed"/>
          <w:b/>
          <w:bCs/>
          <w:i w:val="false"/>
          <w:iCs w:val="false"/>
          <w:sz w:val="24"/>
          <w:szCs w:val="24"/>
        </w:rPr>
        <w:t xml:space="preserve">cassetta degli attrezzi</w:t>
      </w:r>
      <w:r>
        <w:rPr>
          <w:rFonts w:ascii="Barlow Semi Condensed" w:cs="Barlow Semi Condensed" w:eastAsia="Barlow Semi Condensed" w:hAnsi="Barlow Semi Condensed"/>
          <w:i w:val="false"/>
          <w:iCs w:val="false"/>
          <w:sz w:val="24"/>
          <w:szCs w:val="24"/>
        </w:rPr>
        <w:t xml:space="preserve"> — la sinaptogenesi come metodo (reti, nodi e connessioni: Freeman, Burt, Newman, Kivelä), lo standard probatorio a livelli, il paradigma indiziario di Ginzburg, l'analisi d'intelligence di Heuer, la consilienza di Whewell e Wilson, fino agli strumenti probabilistici della sua Fase quinta. Questo documento </w:t>
      </w:r>
      <w:r>
        <w:rPr>
          <w:rFonts w:ascii="Barlow Semi Condensed" w:cs="Barlow Semi Condensed" w:eastAsia="Barlow Semi Condensed" w:hAnsi="Barlow Semi Condensed"/>
          <w:b/>
          <w:bCs/>
          <w:i w:val="false"/>
          <w:iCs w:val="false"/>
          <w:sz w:val="24"/>
          <w:szCs w:val="24"/>
        </w:rPr>
        <w:t xml:space="preserve">adotta quegli strumenti e li applica al corpus pubblico</w:t>
      </w:r>
      <w:r>
        <w:rPr>
          <w:rFonts w:ascii="Barlow Semi Condensed" w:cs="Barlow Semi Condensed" w:eastAsia="Barlow Semi Condensed" w:hAnsi="Barlow Semi Condensed"/>
          <w:i w:val="false"/>
          <w:iCs w:val="false"/>
          <w:sz w:val="24"/>
          <w:szCs w:val="24"/>
        </w:rPr>
        <w:t xml:space="preserve">, con l'unica trasformazione che il regime pubblico impone: gli strumenti che </w:t>
      </w:r>
      <w:r>
        <w:rPr>
          <w:rFonts w:ascii="Barlow Semi Condensed" w:cs="Barlow Semi Condensed" w:eastAsia="Barlow Semi Condensed" w:hAnsi="Barlow Semi Condensed"/>
          <w:i w:val="false"/>
          <w:iCs w:val="false"/>
          <w:sz w:val="24"/>
          <w:szCs w:val="24"/>
        </w:rPr>
        <w:t xml:space="preserve">misurano la documentazione</w:t>
      </w:r>
      <w:r>
        <w:rPr>
          <w:rFonts w:ascii="Barlow Semi Condensed" w:cs="Barlow Semi Condensed" w:eastAsia="Barlow Semi Condensed" w:hAnsi="Barlow Semi Condensed"/>
          <w:i w:val="false"/>
          <w:iCs w:val="false"/>
          <w:sz w:val="24"/>
          <w:szCs w:val="24"/>
        </w:rPr>
        <w:t xml:space="preserve"> si usano per intero e con calcolo reale; gli strumenti che </w:t>
      </w:r>
      <w:r>
        <w:rPr>
          <w:rFonts w:ascii="Barlow Semi Condensed" w:cs="Barlow Semi Condensed" w:eastAsia="Barlow Semi Condensed" w:hAnsi="Barlow Semi Condensed"/>
          <w:i w:val="false"/>
          <w:iCs w:val="false"/>
          <w:sz w:val="24"/>
          <w:szCs w:val="24"/>
        </w:rPr>
        <w:t xml:space="preserve">graduano le persone</w:t>
      </w:r>
      <w:r>
        <w:rPr>
          <w:rFonts w:ascii="Barlow Semi Condensed" w:cs="Barlow Semi Condensed" w:eastAsia="Barlow Semi Condensed" w:hAnsi="Barlow Semi Condensed"/>
          <w:i w:val="false"/>
          <w:iCs w:val="false"/>
          <w:sz w:val="24"/>
          <w:szCs w:val="24"/>
        </w:rPr>
        <w:t xml:space="preserve"> non si usano, perché il branch pubblico si ferma al giudicato. Ne discendono due regole nuove, formalizzate qui e valide d'ora in avanti in tutto il corpus: la </w:t>
      </w:r>
      <w:r>
        <w:rPr>
          <w:rFonts w:ascii="Barlow Semi Condensed" w:cs="Barlow Semi Condensed" w:eastAsia="Barlow Semi Condensed" w:hAnsi="Barlow Semi Condensed"/>
          <w:b/>
          <w:bCs/>
          <w:i w:val="false"/>
          <w:iCs w:val="false"/>
          <w:sz w:val="24"/>
          <w:szCs w:val="24"/>
        </w:rPr>
        <w:t xml:space="preserve">regola dell'anello debole</w:t>
      </w:r>
      <w:r>
        <w:rPr>
          <w:rFonts w:ascii="Barlow Semi Condensed" w:cs="Barlow Semi Condensed" w:eastAsia="Barlow Semi Condensed" w:hAnsi="Barlow Semi Condensed"/>
          <w:i w:val="false"/>
          <w:iCs w:val="false"/>
          <w:sz w:val="24"/>
          <w:szCs w:val="24"/>
        </w:rPr>
        <w:t xml:space="preserve"> (§2) e la </w:t>
      </w:r>
      <w:r>
        <w:rPr>
          <w:rFonts w:ascii="Barlow Semi Condensed" w:cs="Barlow Semi Condensed" w:eastAsia="Barlow Semi Condensed" w:hAnsi="Barlow Semi Condensed"/>
          <w:b/>
          <w:bCs/>
          <w:i w:val="false"/>
          <w:iCs w:val="false"/>
          <w:sz w:val="24"/>
          <w:szCs w:val="24"/>
        </w:rPr>
        <w:t xml:space="preserve">regola dei buchi</w:t>
      </w:r>
      <w:r>
        <w:rPr>
          <w:rFonts w:ascii="Barlow Semi Condensed" w:cs="Barlow Semi Condensed" w:eastAsia="Barlow Semi Condensed" w:hAnsi="Barlow Semi Condensed"/>
          <w:i w:val="false"/>
          <w:iCs w:val="false"/>
          <w:sz w:val="24"/>
          <w:szCs w:val="24"/>
        </w:rPr>
        <w:t xml:space="preserve"> (§3). Ogni numero di questo documento è stato </w:t>
      </w:r>
      <w:r>
        <w:rPr>
          <w:rFonts w:ascii="Barlow Semi Condensed" w:cs="Barlow Semi Condensed" w:eastAsia="Barlow Semi Condensed" w:hAnsi="Barlow Semi Condensed"/>
          <w:b/>
          <w:bCs/>
          <w:i w:val="false"/>
          <w:iCs w:val="false"/>
          <w:sz w:val="24"/>
          <w:szCs w:val="24"/>
        </w:rPr>
        <w:t xml:space="preserve">calcolato davvero</w:t>
      </w:r>
      <w:r>
        <w:rPr>
          <w:rFonts w:ascii="Barlow Semi Condensed" w:cs="Barlow Semi Condensed" w:eastAsia="Barlow Semi Condensed" w:hAnsi="Barlow Semi Condensed"/>
          <w:i w:val="false"/>
          <w:iCs w:val="false"/>
          <w:sz w:val="24"/>
          <w:szCs w:val="24"/>
        </w:rPr>
        <w:t xml:space="preserve">, col procedimento dichiarato accanto al risultato.</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1. La sinaptogenesi del corpus: la rete documentata</w:t>
      </w:r>
    </w:p>
    <w:p>
      <w:pPr>
        <w:spacing w:after="120" w:line="276"/>
        <w:jc w:val="both"/>
      </w:pPr>
      <w:r>
        <w:rPr>
          <w:rFonts w:ascii="Barlow Semi Condensed" w:cs="Barlow Semi Condensed" w:eastAsia="Barlow Semi Condensed" w:hAnsi="Barlow Semi Condensed"/>
          <w:sz w:val="24"/>
          <w:szCs w:val="24"/>
        </w:rPr>
        <w:t xml:space="preserve">Si è costruito il grafo dei legami del corpus con un criterio unico: </w:t>
      </w:r>
      <w:r>
        <w:rPr>
          <w:rFonts w:ascii="Barlow Semi Condensed" w:cs="Barlow Semi Condensed" w:eastAsia="Barlow Semi Condensed" w:hAnsi="Barlow Semi Condensed"/>
          <w:b/>
          <w:bCs/>
          <w:sz w:val="24"/>
          <w:szCs w:val="24"/>
        </w:rPr>
        <w:t xml:space="preserve">entra nella rete solo un arco documentato e verificato</w:t>
      </w:r>
      <w:r>
        <w:rPr>
          <w:rFonts w:ascii="Barlow Semi Condensed" w:cs="Barlow Semi Condensed" w:eastAsia="Barlow Semi Condensed" w:hAnsi="Barlow Semi Condensed"/>
          <w:sz w:val="24"/>
          <w:szCs w:val="24"/>
        </w:rPr>
        <w:t xml:space="preserve">, e ogni arco porta il suo grado (A giudicato/atto; B accertamento; F fatto biografico pubblico). Nessun arco congetturale è ammesso: la rete rappresenta </w:t>
      </w:r>
      <w:r>
        <w:rPr>
          <w:rFonts w:ascii="Barlow Semi Condensed" w:cs="Barlow Semi Condensed" w:eastAsia="Barlow Semi Condensed" w:hAnsi="Barlow Semi Condensed"/>
          <w:i/>
          <w:iCs/>
          <w:sz w:val="24"/>
          <w:szCs w:val="24"/>
        </w:rPr>
        <w:t xml:space="preserve">ciò che i documenti attestano</w:t>
      </w:r>
      <w:r>
        <w:rPr>
          <w:rFonts w:ascii="Barlow Semi Condensed" w:cs="Barlow Semi Condensed" w:eastAsia="Barlow Semi Condensed" w:hAnsi="Barlow Semi Condensed"/>
          <w:sz w:val="24"/>
          <w:szCs w:val="24"/>
        </w:rPr>
        <w:t xml:space="preserve">, non ciò che si sospetta. Il grafo risultante — costruito dai ponti delle triangolazioni del corpus — conta </w:t>
      </w:r>
      <w:r>
        <w:rPr>
          <w:rFonts w:ascii="Barlow Semi Condensed" w:cs="Barlow Semi Condensed" w:eastAsia="Barlow Semi Condensed" w:hAnsi="Barlow Semi Condensed"/>
          <w:b/>
          <w:bCs/>
          <w:sz w:val="24"/>
          <w:szCs w:val="24"/>
        </w:rPr>
        <w:t xml:space="preserve">39 nodi e 59 archi: 28 di grado A, 26 di grado F, 5 di grado B</w:t>
      </w:r>
      <w:r>
        <w:rPr>
          <w:rFonts w:ascii="Barlow Semi Condensed" w:cs="Barlow Semi Condensed" w:eastAsia="Barlow Semi Condensed" w:hAnsi="Barlow Semi Condensed"/>
          <w:sz w:val="24"/>
          <w:szCs w:val="24"/>
        </w:rPr>
        <w:t xml:space="preserve">.</w:t>
      </w:r>
    </w:p>
    <w:p>
      <w:pPr>
        <w:spacing w:after="120" w:line="276"/>
        <w:jc w:val="both"/>
      </w:pPr>
      <w:r>
        <w:rPr>
          <w:rFonts w:ascii="Barlow Semi Condensed" w:cs="Barlow Semi Condensed" w:eastAsia="Barlow Semi Condensed" w:hAnsi="Barlow Semi Condensed"/>
          <w:sz w:val="24"/>
          <w:szCs w:val="24"/>
        </w:rPr>
        <w:t xml:space="preserve">Su questo grafo si sono calcolate (algoritmo di Brandes, calcolo esatto) le due centralità classiche di Freeman: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872"/>
        <w:gridCol w:w="1872"/>
        <w:gridCol w:w="1872"/>
        <w:gridCol w:w="1872"/>
        <w:gridCol w:w="1872"/>
      </w:tblGrid>
      <w:tr>
        <w:tc>
          <w:tcPr>
            <w:tcW w:type="dxa" w:w="1872"/>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Nodo</w:t>
            </w:r>
          </w:p>
        </w:tc>
        <w:tc>
          <w:tcPr>
            <w:tcW w:type="dxa" w:w="1872"/>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Grado (connessioni)</w:t>
            </w:r>
          </w:p>
        </w:tc>
        <w:tc>
          <w:tcPr>
            <w:tcW w:type="dxa" w:w="1872"/>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
            </w:r>
          </w:p>
        </w:tc>
        <w:tc>
          <w:tcPr>
            <w:tcW w:type="dxa" w:w="1872"/>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Nodo</w:t>
            </w:r>
          </w:p>
        </w:tc>
        <w:tc>
          <w:tcPr>
            <w:tcW w:type="dxa" w:w="1872"/>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Betweenness (intermediazione)</w:t>
            </w:r>
          </w:p>
        </w:tc>
      </w:tr>
      <w:tr>
        <w:tc>
          <w:tcPr>
            <w:tcW w:type="dxa" w:w="1872"/>
          </w:tcPr>
          <w:p>
            <w:pPr>
              <w:spacing w:after="20" w:before="20"/>
              <w:jc w:val="both"/>
            </w:pPr>
            <w:r>
              <w:rPr>
                <w:rFonts w:ascii="Barlow Semi Condensed" w:cs="Barlow Semi Condensed" w:eastAsia="Barlow Semi Condensed" w:hAnsi="Barlow Semi Condensed"/>
                <w:sz w:val="20"/>
                <w:szCs w:val="20"/>
              </w:rPr>
              <w:t xml:space="preserve">BR (organizzazione)</w:t>
            </w:r>
          </w:p>
        </w:tc>
        <w:tc>
          <w:tcPr>
            <w:tcW w:type="dxa" w:w="1872"/>
          </w:tcPr>
          <w:p>
            <w:pPr>
              <w:spacing w:after="20" w:before="20"/>
              <w:jc w:val="both"/>
            </w:pPr>
            <w:r>
              <w:rPr>
                <w:rFonts w:ascii="Barlow Semi Condensed" w:cs="Barlow Semi Condensed" w:eastAsia="Barlow Semi Condensed" w:hAnsi="Barlow Semi Condensed"/>
                <w:sz w:val="20"/>
                <w:szCs w:val="20"/>
              </w:rPr>
              <w:t xml:space="preserve">15</w:t>
            </w:r>
          </w:p>
        </w:tc>
        <w:tc>
          <w:tcPr>
            <w:tcW w:type="dxa" w:w="1872"/>
          </w:tcPr>
          <w:p>
            <w:pPr>
              <w:spacing w:after="20" w:before="20"/>
              <w:jc w:val="both"/>
            </w:pPr>
            <w:r>
              <w:rPr>
                <w:rFonts w:ascii="Barlow Semi Condensed" w:cs="Barlow Semi Condensed" w:eastAsia="Barlow Semi Condensed" w:hAnsi="Barlow Semi Condensed"/>
                <w:sz w:val="20"/>
                <w:szCs w:val="20"/>
              </w:rPr>
              <w:t xml:space="preserve"/>
            </w:r>
          </w:p>
        </w:tc>
        <w:tc>
          <w:tcPr>
            <w:tcW w:type="dxa" w:w="1872"/>
          </w:tcPr>
          <w:p>
            <w:pPr>
              <w:spacing w:after="20" w:before="20"/>
              <w:jc w:val="both"/>
            </w:pPr>
            <w:r>
              <w:rPr>
                <w:rFonts w:ascii="Barlow Semi Condensed" w:cs="Barlow Semi Condensed" w:eastAsia="Barlow Semi Condensed" w:hAnsi="Barlow Semi Condensed"/>
                <w:sz w:val="20"/>
                <w:szCs w:val="20"/>
              </w:rPr>
              <w:t xml:space="preserve">BR (organizzazione)</w:t>
            </w:r>
          </w:p>
        </w:tc>
        <w:tc>
          <w:tcPr>
            <w:tcW w:type="dxa" w:w="1872"/>
          </w:tcPr>
          <w:p>
            <w:pPr>
              <w:spacing w:after="20" w:before="20"/>
              <w:jc w:val="both"/>
            </w:pPr>
            <w:r>
              <w:rPr>
                <w:rFonts w:ascii="Barlow Semi Condensed" w:cs="Barlow Semi Condensed" w:eastAsia="Barlow Semi Condensed" w:hAnsi="Barlow Semi Condensed"/>
                <w:sz w:val="20"/>
                <w:szCs w:val="20"/>
              </w:rPr>
              <w:t xml:space="preserve">426,7</w:t>
            </w:r>
          </w:p>
        </w:tc>
      </w:tr>
      <w:tr>
        <w:tc>
          <w:tcPr>
            <w:tcW w:type="dxa" w:w="1872"/>
          </w:tcPr>
          <w:p>
            <w:pPr>
              <w:spacing w:after="20" w:before="20"/>
              <w:jc w:val="both"/>
            </w:pPr>
            <w:r>
              <w:rPr>
                <w:rFonts w:ascii="Barlow Semi Condensed" w:cs="Barlow Semi Condensed" w:eastAsia="Barlow Semi Condensed" w:hAnsi="Barlow Semi Condensed"/>
                <w:sz w:val="20"/>
                <w:szCs w:val="20"/>
              </w:rPr>
              <w:t xml:space="preserve">via Fani (evento)</w:t>
            </w:r>
          </w:p>
        </w:tc>
        <w:tc>
          <w:tcPr>
            <w:tcW w:type="dxa" w:w="1872"/>
          </w:tcPr>
          <w:p>
            <w:pPr>
              <w:spacing w:after="20" w:before="20"/>
              <w:jc w:val="both"/>
            </w:pPr>
            <w:r>
              <w:rPr>
                <w:rFonts w:ascii="Barlow Semi Condensed" w:cs="Barlow Semi Condensed" w:eastAsia="Barlow Semi Condensed" w:hAnsi="Barlow Semi Condensed"/>
                <w:sz w:val="20"/>
                <w:szCs w:val="20"/>
              </w:rPr>
              <w:t xml:space="preserve">9</w:t>
            </w:r>
          </w:p>
        </w:tc>
        <w:tc>
          <w:tcPr>
            <w:tcW w:type="dxa" w:w="1872"/>
          </w:tcPr>
          <w:p>
            <w:pPr>
              <w:spacing w:after="20" w:before="20"/>
              <w:jc w:val="both"/>
            </w:pPr>
            <w:r>
              <w:rPr>
                <w:rFonts w:ascii="Barlow Semi Condensed" w:cs="Barlow Semi Condensed" w:eastAsia="Barlow Semi Condensed" w:hAnsi="Barlow Semi Condensed"/>
                <w:sz w:val="20"/>
                <w:szCs w:val="20"/>
              </w:rPr>
              <w:t xml:space="preserve"/>
            </w:r>
          </w:p>
        </w:tc>
        <w:tc>
          <w:tcPr>
            <w:tcW w:type="dxa" w:w="1872"/>
          </w:tcPr>
          <w:p>
            <w:pPr>
              <w:spacing w:after="20" w:before="20"/>
              <w:jc w:val="both"/>
            </w:pPr>
            <w:r>
              <w:rPr>
                <w:rFonts w:ascii="Barlow Semi Condensed" w:cs="Barlow Semi Condensed" w:eastAsia="Barlow Semi Condensed" w:hAnsi="Barlow Semi Condensed"/>
                <w:b/>
                <w:bCs/>
                <w:sz w:val="20"/>
                <w:szCs w:val="20"/>
              </w:rPr>
              <w:t xml:space="preserve">CPM</w:t>
            </w:r>
          </w:p>
        </w:tc>
        <w:tc>
          <w:tcPr>
            <w:tcW w:type="dxa" w:w="1872"/>
          </w:tcPr>
          <w:p>
            <w:pPr>
              <w:spacing w:after="20" w:before="20"/>
              <w:jc w:val="both"/>
            </w:pPr>
            <w:r>
              <w:rPr>
                <w:rFonts w:ascii="Barlow Semi Condensed" w:cs="Barlow Semi Condensed" w:eastAsia="Barlow Semi Condensed" w:hAnsi="Barlow Semi Condensed"/>
                <w:sz w:val="20"/>
                <w:szCs w:val="20"/>
              </w:rPr>
              <w:t xml:space="preserve">241,3</w:t>
            </w:r>
          </w:p>
        </w:tc>
      </w:tr>
      <w:tr>
        <w:tc>
          <w:tcPr>
            <w:tcW w:type="dxa" w:w="1872"/>
          </w:tcPr>
          <w:p>
            <w:pPr>
              <w:spacing w:after="20" w:before="20"/>
              <w:jc w:val="both"/>
            </w:pPr>
            <w:r>
              <w:rPr>
                <w:rFonts w:ascii="Barlow Semi Condensed" w:cs="Barlow Semi Condensed" w:eastAsia="Barlow Semi Condensed" w:hAnsi="Barlow Semi Condensed"/>
                <w:sz w:val="20"/>
                <w:szCs w:val="20"/>
              </w:rPr>
              <w:t xml:space="preserve">Moretti</w:t>
            </w:r>
          </w:p>
        </w:tc>
        <w:tc>
          <w:tcPr>
            <w:tcW w:type="dxa" w:w="1872"/>
          </w:tcPr>
          <w:p>
            <w:pPr>
              <w:spacing w:after="20" w:before="20"/>
              <w:jc w:val="both"/>
            </w:pPr>
            <w:r>
              <w:rPr>
                <w:rFonts w:ascii="Barlow Semi Condensed" w:cs="Barlow Semi Condensed" w:eastAsia="Barlow Semi Condensed" w:hAnsi="Barlow Semi Condensed"/>
                <w:sz w:val="20"/>
                <w:szCs w:val="20"/>
              </w:rPr>
              <w:t xml:space="preserve">5</w:t>
            </w:r>
          </w:p>
        </w:tc>
        <w:tc>
          <w:tcPr>
            <w:tcW w:type="dxa" w:w="1872"/>
          </w:tcPr>
          <w:p>
            <w:pPr>
              <w:spacing w:after="20" w:before="20"/>
              <w:jc w:val="both"/>
            </w:pPr>
            <w:r>
              <w:rPr>
                <w:rFonts w:ascii="Barlow Semi Condensed" w:cs="Barlow Semi Condensed" w:eastAsia="Barlow Semi Condensed" w:hAnsi="Barlow Semi Condensed"/>
                <w:sz w:val="20"/>
                <w:szCs w:val="20"/>
              </w:rPr>
              <w:t xml:space="preserve"/>
            </w:r>
          </w:p>
        </w:tc>
        <w:tc>
          <w:tcPr>
            <w:tcW w:type="dxa" w:w="1872"/>
          </w:tcPr>
          <w:p>
            <w:pPr>
              <w:spacing w:after="20" w:before="20"/>
              <w:jc w:val="both"/>
            </w:pPr>
            <w:r>
              <w:rPr>
                <w:rFonts w:ascii="Barlow Semi Condensed" w:cs="Barlow Semi Condensed" w:eastAsia="Barlow Semi Condensed" w:hAnsi="Barlow Semi Condensed"/>
                <w:sz w:val="20"/>
                <w:szCs w:val="20"/>
              </w:rPr>
              <w:t xml:space="preserve">Simioni</w:t>
            </w:r>
          </w:p>
        </w:tc>
        <w:tc>
          <w:tcPr>
            <w:tcW w:type="dxa" w:w="1872"/>
          </w:tcPr>
          <w:p>
            <w:pPr>
              <w:spacing w:after="20" w:before="20"/>
              <w:jc w:val="both"/>
            </w:pPr>
            <w:r>
              <w:rPr>
                <w:rFonts w:ascii="Barlow Semi Condensed" w:cs="Barlow Semi Condensed" w:eastAsia="Barlow Semi Condensed" w:hAnsi="Barlow Semi Condensed"/>
                <w:sz w:val="20"/>
                <w:szCs w:val="20"/>
              </w:rPr>
              <w:t xml:space="preserve">220,0</w:t>
            </w:r>
          </w:p>
        </w:tc>
      </w:tr>
      <w:tr>
        <w:tc>
          <w:tcPr>
            <w:tcW w:type="dxa" w:w="1872"/>
          </w:tcPr>
          <w:p>
            <w:pPr>
              <w:spacing w:after="20" w:before="20"/>
              <w:jc w:val="both"/>
            </w:pPr>
            <w:r>
              <w:rPr>
                <w:rFonts w:ascii="Barlow Semi Condensed" w:cs="Barlow Semi Condensed" w:eastAsia="Barlow Semi Condensed" w:hAnsi="Barlow Semi Condensed"/>
                <w:sz w:val="20"/>
                <w:szCs w:val="20"/>
              </w:rPr>
              <w:t xml:space="preserve">Bonisoli · Braghetti · Casimirri · Gallinari · Hyperion · Morucci · Potere Operaio · Simioni · via Montalcini</w:t>
            </w:r>
          </w:p>
        </w:tc>
        <w:tc>
          <w:tcPr>
            <w:tcW w:type="dxa" w:w="1872"/>
          </w:tcPr>
          <w:p>
            <w:pPr>
              <w:spacing w:after="20" w:before="20"/>
              <w:jc w:val="both"/>
            </w:pPr>
            <w:r>
              <w:rPr>
                <w:rFonts w:ascii="Barlow Semi Condensed" w:cs="Barlow Semi Condensed" w:eastAsia="Barlow Semi Condensed" w:hAnsi="Barlow Semi Condensed"/>
                <w:sz w:val="20"/>
                <w:szCs w:val="20"/>
              </w:rPr>
              <w:t xml:space="preserve">4</w:t>
            </w:r>
          </w:p>
        </w:tc>
        <w:tc>
          <w:tcPr>
            <w:tcW w:type="dxa" w:w="1872"/>
          </w:tcPr>
          <w:p>
            <w:pPr>
              <w:spacing w:after="20" w:before="20"/>
              <w:jc w:val="both"/>
            </w:pPr>
            <w:r>
              <w:rPr>
                <w:rFonts w:ascii="Barlow Semi Condensed" w:cs="Barlow Semi Condensed" w:eastAsia="Barlow Semi Condensed" w:hAnsi="Barlow Semi Condensed"/>
                <w:sz w:val="20"/>
                <w:szCs w:val="20"/>
              </w:rPr>
              <w:t xml:space="preserve"/>
            </w:r>
          </w:p>
        </w:tc>
        <w:tc>
          <w:tcPr>
            <w:tcW w:type="dxa" w:w="1872"/>
          </w:tcPr>
          <w:p>
            <w:pPr>
              <w:spacing w:after="20" w:before="20"/>
              <w:jc w:val="both"/>
            </w:pPr>
            <w:r>
              <w:rPr>
                <w:rFonts w:ascii="Barlow Semi Condensed" w:cs="Barlow Semi Condensed" w:eastAsia="Barlow Semi Condensed" w:hAnsi="Barlow Semi Condensed"/>
                <w:sz w:val="20"/>
                <w:szCs w:val="20"/>
              </w:rPr>
              <w:t xml:space="preserve">Moretti</w:t>
            </w:r>
          </w:p>
        </w:tc>
        <w:tc>
          <w:tcPr>
            <w:tcW w:type="dxa" w:w="1872"/>
          </w:tcPr>
          <w:p>
            <w:pPr>
              <w:spacing w:after="20" w:before="20"/>
              <w:jc w:val="both"/>
            </w:pPr>
            <w:r>
              <w:rPr>
                <w:rFonts w:ascii="Barlow Semi Condensed" w:cs="Barlow Semi Condensed" w:eastAsia="Barlow Semi Condensed" w:hAnsi="Barlow Semi Condensed"/>
                <w:sz w:val="20"/>
                <w:szCs w:val="20"/>
              </w:rPr>
              <w:t xml:space="preserve">202,9</w:t>
            </w:r>
          </w:p>
        </w:tc>
      </w:tr>
      <w:tr>
        <w:tc>
          <w:tcPr>
            <w:tcW w:type="dxa" w:w="1872"/>
          </w:tcPr>
          <w:p>
            <w:pPr>
              <w:spacing w:after="20" w:before="20"/>
              <w:jc w:val="both"/>
            </w:pPr>
            <w:r>
              <w:rPr>
                <w:rFonts w:ascii="Barlow Semi Condensed" w:cs="Barlow Semi Condensed" w:eastAsia="Barlow Semi Condensed" w:hAnsi="Barlow Semi Condensed"/>
                <w:sz w:val="20"/>
                <w:szCs w:val="20"/>
              </w:rPr>
              <w:t xml:space="preserve"/>
            </w:r>
          </w:p>
        </w:tc>
        <w:tc>
          <w:tcPr>
            <w:tcW w:type="dxa" w:w="1872"/>
          </w:tcPr>
          <w:p>
            <w:pPr>
              <w:spacing w:after="20" w:before="20"/>
              <w:jc w:val="both"/>
            </w:pPr>
            <w:r>
              <w:rPr>
                <w:rFonts w:ascii="Barlow Semi Condensed" w:cs="Barlow Semi Condensed" w:eastAsia="Barlow Semi Condensed" w:hAnsi="Barlow Semi Condensed"/>
                <w:sz w:val="20"/>
                <w:szCs w:val="20"/>
              </w:rPr>
              <w:t xml:space="preserve"/>
            </w:r>
          </w:p>
        </w:tc>
        <w:tc>
          <w:tcPr>
            <w:tcW w:type="dxa" w:w="1872"/>
          </w:tcPr>
          <w:p>
            <w:pPr>
              <w:spacing w:after="20" w:before="20"/>
              <w:jc w:val="both"/>
            </w:pPr>
            <w:r>
              <w:rPr>
                <w:rFonts w:ascii="Barlow Semi Condensed" w:cs="Barlow Semi Condensed" w:eastAsia="Barlow Semi Condensed" w:hAnsi="Barlow Semi Condensed"/>
                <w:sz w:val="20"/>
                <w:szCs w:val="20"/>
              </w:rPr>
              <w:t xml:space="preserve"/>
            </w:r>
          </w:p>
        </w:tc>
        <w:tc>
          <w:tcPr>
            <w:tcW w:type="dxa" w:w="1872"/>
          </w:tcPr>
          <w:p>
            <w:pPr>
              <w:spacing w:after="20" w:before="20"/>
              <w:jc w:val="both"/>
            </w:pPr>
            <w:r>
              <w:rPr>
                <w:rFonts w:ascii="Barlow Semi Condensed" w:cs="Barlow Semi Condensed" w:eastAsia="Barlow Semi Condensed" w:hAnsi="Barlow Semi Condensed"/>
                <w:sz w:val="20"/>
                <w:szCs w:val="20"/>
              </w:rPr>
              <w:t xml:space="preserve">Hyperion</w:t>
            </w:r>
          </w:p>
        </w:tc>
        <w:tc>
          <w:tcPr>
            <w:tcW w:type="dxa" w:w="1872"/>
          </w:tcPr>
          <w:p>
            <w:pPr>
              <w:spacing w:after="20" w:before="20"/>
              <w:jc w:val="both"/>
            </w:pPr>
            <w:r>
              <w:rPr>
                <w:rFonts w:ascii="Barlow Semi Condensed" w:cs="Barlow Semi Condensed" w:eastAsia="Barlow Semi Condensed" w:hAnsi="Barlow Semi Condensed"/>
                <w:sz w:val="20"/>
                <w:szCs w:val="20"/>
              </w:rPr>
              <w:t xml:space="preserve">122,0</w:t>
            </w:r>
          </w:p>
        </w:tc>
      </w:tr>
      <w:tr>
        <w:tc>
          <w:tcPr>
            <w:tcW w:type="dxa" w:w="1872"/>
          </w:tcPr>
          <w:p>
            <w:pPr>
              <w:spacing w:after="20" w:before="20"/>
              <w:jc w:val="both"/>
            </w:pPr>
            <w:r>
              <w:rPr>
                <w:rFonts w:ascii="Barlow Semi Condensed" w:cs="Barlow Semi Condensed" w:eastAsia="Barlow Semi Condensed" w:hAnsi="Barlow Semi Condensed"/>
                <w:sz w:val="20"/>
                <w:szCs w:val="20"/>
              </w:rPr>
              <w:t xml:space="preserve"/>
            </w:r>
          </w:p>
        </w:tc>
        <w:tc>
          <w:tcPr>
            <w:tcW w:type="dxa" w:w="1872"/>
          </w:tcPr>
          <w:p>
            <w:pPr>
              <w:spacing w:after="20" w:before="20"/>
              <w:jc w:val="both"/>
            </w:pPr>
            <w:r>
              <w:rPr>
                <w:rFonts w:ascii="Barlow Semi Condensed" w:cs="Barlow Semi Condensed" w:eastAsia="Barlow Semi Condensed" w:hAnsi="Barlow Semi Condensed"/>
                <w:sz w:val="20"/>
                <w:szCs w:val="20"/>
              </w:rPr>
              <w:t xml:space="preserve"/>
            </w:r>
          </w:p>
        </w:tc>
        <w:tc>
          <w:tcPr>
            <w:tcW w:type="dxa" w:w="1872"/>
          </w:tcPr>
          <w:p>
            <w:pPr>
              <w:spacing w:after="20" w:before="20"/>
              <w:jc w:val="both"/>
            </w:pPr>
            <w:r>
              <w:rPr>
                <w:rFonts w:ascii="Barlow Semi Condensed" w:cs="Barlow Semi Condensed" w:eastAsia="Barlow Semi Condensed" w:hAnsi="Barlow Semi Condensed"/>
                <w:sz w:val="20"/>
                <w:szCs w:val="20"/>
              </w:rPr>
              <w:t xml:space="preserve"/>
            </w:r>
          </w:p>
        </w:tc>
        <w:tc>
          <w:tcPr>
            <w:tcW w:type="dxa" w:w="1872"/>
          </w:tcPr>
          <w:p>
            <w:pPr>
              <w:spacing w:after="20" w:before="20"/>
              <w:jc w:val="both"/>
            </w:pPr>
            <w:r>
              <w:rPr>
                <w:rFonts w:ascii="Barlow Semi Condensed" w:cs="Barlow Semi Condensed" w:eastAsia="Barlow Semi Condensed" w:hAnsi="Barlow Semi Condensed"/>
                <w:sz w:val="20"/>
                <w:szCs w:val="20"/>
              </w:rPr>
              <w:t xml:space="preserve">via Fani</w:t>
            </w:r>
          </w:p>
        </w:tc>
        <w:tc>
          <w:tcPr>
            <w:tcW w:type="dxa" w:w="1872"/>
          </w:tcPr>
          <w:p>
            <w:pPr>
              <w:spacing w:after="20" w:before="20"/>
              <w:jc w:val="both"/>
            </w:pPr>
            <w:r>
              <w:rPr>
                <w:rFonts w:ascii="Barlow Semi Condensed" w:cs="Barlow Semi Condensed" w:eastAsia="Barlow Semi Condensed" w:hAnsi="Barlow Semi Condensed"/>
                <w:sz w:val="20"/>
                <w:szCs w:val="20"/>
              </w:rPr>
              <w:t xml:space="preserve">110,0</w:t>
            </w:r>
          </w:p>
        </w:tc>
      </w:tr>
    </w:tbl>
    <w:p>
      <w:pPr>
        <w:spacing w:after="80"/>
      </w:pPr>
    </w:p>
    <w:p>
      <w:pPr>
        <w:spacing w:after="120" w:line="276"/>
        <w:jc w:val="both"/>
      </w:pPr>
      <w:r>
        <w:rPr>
          <w:rFonts w:ascii="Barlow Semi Condensed" w:cs="Barlow Semi Condensed" w:eastAsia="Barlow Semi Condensed" w:hAnsi="Barlow Semi Condensed"/>
          <w:b/>
          <w:bCs/>
          <w:sz w:val="24"/>
          <w:szCs w:val="24"/>
        </w:rPr>
        <w:t xml:space="preserve">La regola d'interpretazione, prima di ogni lettura.</w:t>
      </w:r>
      <w:r>
        <w:rPr>
          <w:rFonts w:ascii="Barlow Semi Condensed" w:cs="Barlow Semi Condensed" w:eastAsia="Barlow Semi Condensed" w:hAnsi="Barlow Semi Condensed"/>
          <w:sz w:val="24"/>
          <w:szCs w:val="24"/>
        </w:rPr>
        <w:t xml:space="preserve"> La centralità in questo grafo </w:t>
      </w:r>
      <w:r>
        <w:rPr>
          <w:rFonts w:ascii="Barlow Semi Condensed" w:cs="Barlow Semi Condensed" w:eastAsia="Barlow Semi Condensed" w:hAnsi="Barlow Semi Condensed"/>
          <w:b/>
          <w:bCs/>
          <w:sz w:val="24"/>
          <w:szCs w:val="24"/>
        </w:rPr>
        <w:t xml:space="preserve">misura la densità della documentazione, non la responsabilità</w:t>
      </w:r>
      <w:r>
        <w:rPr>
          <w:rFonts w:ascii="Barlow Semi Condensed" w:cs="Barlow Semi Condensed" w:eastAsia="Barlow Semi Condensed" w:hAnsi="Barlow Semi Condensed"/>
          <w:sz w:val="24"/>
          <w:szCs w:val="24"/>
        </w:rPr>
        <w:t xml:space="preserve">. Che «BR» e «via Fani» dominino il grado è ovvio: sono l'organizzazione e l'evento su cui si concentra il giudicato. Che il </w:t>
      </w:r>
      <w:r>
        <w:rPr>
          <w:rFonts w:ascii="Barlow Semi Condensed" w:cs="Barlow Semi Condensed" w:eastAsia="Barlow Semi Condensed" w:hAnsi="Barlow Semi Condensed"/>
          <w:b/>
          <w:bCs/>
          <w:sz w:val="24"/>
          <w:szCs w:val="24"/>
        </w:rPr>
        <w:t xml:space="preserve">CPM</w:t>
      </w:r>
      <w:r>
        <w:rPr>
          <w:rFonts w:ascii="Barlow Semi Condensed" w:cs="Barlow Semi Condensed" w:eastAsia="Barlow Semi Condensed" w:hAnsi="Barlow Semi Condensed"/>
          <w:sz w:val="24"/>
          <w:szCs w:val="24"/>
        </w:rPr>
        <w:t xml:space="preserve"> — un collettivo durato pochi mesi nel 1969 — abbia la seconda betweenness dell'intera rete è invece il risultato analitico vero: </w:t>
      </w:r>
      <w:r>
        <w:rPr>
          <w:rFonts w:ascii="Barlow Semi Condensed" w:cs="Barlow Semi Condensed" w:eastAsia="Barlow Semi Condensed" w:hAnsi="Barlow Semi Condensed"/>
          <w:i/>
          <w:iCs/>
          <w:sz w:val="24"/>
          <w:szCs w:val="24"/>
        </w:rPr>
        <w:t xml:space="preserve">il CPM è il ponte documentale fra i mondi</w:t>
      </w:r>
      <w:r>
        <w:rPr>
          <w:rFonts w:ascii="Barlow Semi Condensed" w:cs="Barlow Semi Condensed" w:eastAsia="Barlow Semi Condensed" w:hAnsi="Barlow Semi Condensed"/>
          <w:sz w:val="24"/>
          <w:szCs w:val="24"/>
        </w:rPr>
        <w:t xml:space="preserve">, il punto per cui passano quasi tutti i cammini che collegano il dominio brigatista al dominio Hyperion. La sinaptogenesi conferma quantitativamente ciò che la triangolazione aveva stabilito qualitativamente: </w:t>
      </w:r>
      <w:r>
        <w:rPr>
          <w:rFonts w:ascii="Barlow Semi Condensed" w:cs="Barlow Semi Condensed" w:eastAsia="Barlow Semi Condensed" w:hAnsi="Barlow Semi Condensed"/>
          <w:b/>
          <w:bCs/>
          <w:sz w:val="24"/>
          <w:szCs w:val="24"/>
        </w:rPr>
        <w:t xml:space="preserve">il ceppo del 1969 è il connettore, e null'altro lo è.</w:t>
      </w:r>
    </w:p>
    <w:p>
      <w:pPr>
        <w:pStyle w:val="Heading2"/>
        <w:spacing w:after="100" w:before="200"/>
      </w:pPr>
      <w:r>
        <w:rPr>
          <w:rFonts w:ascii="Barlow Semi Condensed" w:cs="Barlow Semi Condensed" w:eastAsia="Barlow Semi Condensed" w:hAnsi="Barlow Semi Condensed"/>
          <w:sz w:val="24"/>
          <w:szCs w:val="24"/>
        </w:rPr>
        <w:t xml:space="preserve">2. La regola dell'anello debole</w:t>
      </w:r>
    </w:p>
    <w:p>
      <w:pPr>
        <w:spacing w:after="120" w:line="276"/>
        <w:jc w:val="both"/>
      </w:pPr>
      <w:r>
        <w:rPr>
          <w:rFonts w:ascii="Barlow Semi Condensed" w:cs="Barlow Semi Condensed" w:eastAsia="Barlow Semi Condensed" w:hAnsi="Barlow Semi Condensed"/>
          <w:sz w:val="24"/>
          <w:szCs w:val="24"/>
        </w:rPr>
        <w:t xml:space="preserve">La rete permette di calcolare i cammini, e i cammini esigono una regola di grado. La si formalizza così: </w:t>
      </w:r>
      <w:r>
        <w:rPr>
          <w:rFonts w:ascii="Barlow Semi Condensed" w:cs="Barlow Semi Condensed" w:eastAsia="Barlow Semi Condensed" w:hAnsi="Barlow Semi Condensed"/>
          <w:b/>
          <w:bCs/>
          <w:sz w:val="24"/>
          <w:szCs w:val="24"/>
        </w:rPr>
        <w:t xml:space="preserve">il grado di un cammino è il grado minimo fra i suoi archi</w:t>
      </w:r>
      <w:r>
        <w:rPr>
          <w:rFonts w:ascii="Barlow Semi Condensed" w:cs="Barlow Semi Condensed" w:eastAsia="Barlow Semi Condensed" w:hAnsi="Barlow Semi Condensed"/>
          <w:sz w:val="24"/>
          <w:szCs w:val="24"/>
        </w:rPr>
        <w:t xml:space="preserve"> — come una catena, che ha la forza del suo anello più debole. Un cammino che attraversi anche un solo arco F (fatto biografico) non può sostenere alcuna inferenza operativa, per quanti archi A contenga altrove.</w:t>
      </w:r>
    </w:p>
    <w:p>
      <w:pPr>
        <w:spacing w:after="120" w:line="276"/>
        <w:jc w:val="both"/>
      </w:pPr>
      <w:r>
        <w:rPr>
          <w:rFonts w:ascii="Barlow Semi Condensed" w:cs="Barlow Semi Condensed" w:eastAsia="Barlow Semi Condensed" w:hAnsi="Barlow Semi Condensed"/>
          <w:sz w:val="24"/>
          <w:szCs w:val="24"/>
        </w:rPr>
        <w:t xml:space="preserve">Applicazione ai due cammini più invocati dalla congetturistica, calcolati sul grafo reale:</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Hyperion → via Fani.</w:t>
      </w:r>
      <w:r>
        <w:rPr>
          <w:rFonts w:ascii="Barlow Semi Condensed" w:cs="Barlow Semi Condensed" w:eastAsia="Barlow Semi Condensed" w:hAnsi="Barlow Semi Condensed"/>
          <w:sz w:val="24"/>
          <w:szCs w:val="24"/>
        </w:rPr>
        <w:t xml:space="preserve"> Il cammino documentato più breve è: </w:t>
      </w:r>
      <w:r>
        <w:rPr>
          <w:rFonts w:ascii="Barlow Semi Condensed" w:cs="Barlow Semi Condensed" w:eastAsia="Barlow Semi Condensed" w:hAnsi="Barlow Semi Condensed"/>
          <w:i/>
          <w:iCs/>
          <w:sz w:val="24"/>
          <w:szCs w:val="24"/>
        </w:rPr>
        <w:t xml:space="preserve">Hyperion → Simioni → CPM → Moretti → via Fani</w:t>
      </w:r>
      <w:r>
        <w:rPr>
          <w:rFonts w:ascii="Barlow Semi Condensed" w:cs="Barlow Semi Condensed" w:eastAsia="Barlow Semi Condensed" w:hAnsi="Barlow Semi Condensed"/>
          <w:sz w:val="24"/>
          <w:szCs w:val="24"/>
        </w:rPr>
        <w:t xml:space="preserve">. Quattro archi: i primi tre sono </w:t>
      </w:r>
      <w:r>
        <w:rPr>
          <w:rFonts w:ascii="Barlow Semi Condensed" w:cs="Barlow Semi Condensed" w:eastAsia="Barlow Semi Condensed" w:hAnsi="Barlow Semi Condensed"/>
          <w:b/>
          <w:bCs/>
          <w:sz w:val="24"/>
          <w:szCs w:val="24"/>
        </w:rPr>
        <w:t xml:space="preserve">F</w:t>
      </w:r>
      <w:r>
        <w:rPr>
          <w:rFonts w:ascii="Barlow Semi Condensed" w:cs="Barlow Semi Condensed" w:eastAsia="Barlow Semi Condensed" w:hAnsi="Barlow Semi Condensed"/>
          <w:sz w:val="24"/>
          <w:szCs w:val="24"/>
        </w:rPr>
        <w:t xml:space="preserve"> (fondazione della scuola; co-fondazione del CPM; militanza nel CPM), solo l'ultimo è A. Grado del cammino: </w:t>
      </w:r>
      <w:r>
        <w:rPr>
          <w:rFonts w:ascii="Barlow Semi Condensed" w:cs="Barlow Semi Condensed" w:eastAsia="Barlow Semi Condensed" w:hAnsi="Barlow Semi Condensed"/>
          <w:b/>
          <w:bCs/>
          <w:sz w:val="24"/>
          <w:szCs w:val="24"/>
        </w:rPr>
        <w:t xml:space="preserve">F</w:t>
      </w:r>
      <w:r>
        <w:rPr>
          <w:rFonts w:ascii="Barlow Semi Condensed" w:cs="Barlow Semi Condensed" w:eastAsia="Barlow Semi Condensed" w:hAnsi="Barlow Semi Condensed"/>
          <w:sz w:val="24"/>
          <w:szCs w:val="24"/>
        </w:rPr>
        <w:t xml:space="preserve">. Tradotto: l'unico collegamento documentato fra la scuola di Parigi e l'agguato è una </w:t>
      </w:r>
      <w:r>
        <w:rPr>
          <w:rFonts w:ascii="Barlow Semi Condensed" w:cs="Barlow Semi Condensed" w:eastAsia="Barlow Semi Condensed" w:hAnsi="Barlow Semi Condensed"/>
          <w:b/>
          <w:bCs/>
          <w:sz w:val="24"/>
          <w:szCs w:val="24"/>
        </w:rPr>
        <w:t xml:space="preserve">genealogia biografica che passa per il 1969</w:t>
      </w:r>
      <w:r>
        <w:rPr>
          <w:rFonts w:ascii="Barlow Semi Condensed" w:cs="Barlow Semi Condensed" w:eastAsia="Barlow Semi Condensed" w:hAnsi="Barlow Semi Condensed"/>
          <w:sz w:val="24"/>
          <w:szCs w:val="24"/>
        </w:rPr>
        <w:t xml:space="preserve"> — nove anni prima — e non sostiene alcuna inferenza operativa. È la dimostrazione formale di ciò che quarant'anni di indagini hanno detto con i proscioglimenti.</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Canale della trattativa → la prigione.</w:t>
      </w:r>
      <w:r>
        <w:rPr>
          <w:rFonts w:ascii="Barlow Semi Condensed" w:cs="Barlow Semi Condensed" w:eastAsia="Barlow Semi Condensed" w:hAnsi="Barlow Semi Condensed"/>
          <w:sz w:val="24"/>
          <w:szCs w:val="24"/>
        </w:rPr>
        <w:t xml:space="preserve"> Il cammino è: </w:t>
      </w:r>
      <w:r>
        <w:rPr>
          <w:rFonts w:ascii="Barlow Semi Condensed" w:cs="Barlow Semi Condensed" w:eastAsia="Barlow Semi Condensed" w:hAnsi="Barlow Semi Condensed"/>
          <w:i/>
          <w:iCs/>
          <w:sz w:val="24"/>
          <w:szCs w:val="24"/>
        </w:rPr>
        <w:t xml:space="preserve">canale PSI → Pace → Morucci → via Fani → Moretti → via Montalcini</w:t>
      </w:r>
      <w:r>
        <w:rPr>
          <w:rFonts w:ascii="Barlow Semi Condensed" w:cs="Barlow Semi Condensed" w:eastAsia="Barlow Semi Condensed" w:hAnsi="Barlow Semi Condensed"/>
          <w:sz w:val="24"/>
          <w:szCs w:val="24"/>
        </w:rPr>
        <w:t xml:space="preserve">, con gli archi del canale al grado </w:t>
      </w:r>
      <w:r>
        <w:rPr>
          <w:rFonts w:ascii="Barlow Semi Condensed" w:cs="Barlow Semi Condensed" w:eastAsia="Barlow Semi Condensed" w:hAnsi="Barlow Semi Condensed"/>
          <w:b/>
          <w:bCs/>
          <w:sz w:val="24"/>
          <w:szCs w:val="24"/>
        </w:rPr>
        <w:t xml:space="preserve">B</w:t>
      </w:r>
      <w:r>
        <w:rPr>
          <w:rFonts w:ascii="Barlow Semi Condensed" w:cs="Barlow Semi Condensed" w:eastAsia="Barlow Semi Condensed" w:hAnsi="Barlow Semi Condensed"/>
          <w:sz w:val="24"/>
          <w:szCs w:val="24"/>
        </w:rPr>
        <w:t xml:space="preserve">. Anche qui il grado del cammino (B, con anelli F) dice esattamente ciò che le fonti dicono: il canale documentato raggiunse chi trasmetteva i comunicati; che cosa arrivasse oltre, la rete non lo attesta.</w:t>
      </w:r>
    </w:p>
    <w:p>
      <w:pPr>
        <w:pStyle w:val="Heading2"/>
        <w:spacing w:after="100" w:before="200"/>
      </w:pPr>
      <w:r>
        <w:rPr>
          <w:rFonts w:ascii="Barlow Semi Condensed" w:cs="Barlow Semi Condensed" w:eastAsia="Barlow Semi Condensed" w:hAnsi="Barlow Semi Condensed"/>
          <w:sz w:val="24"/>
          <w:szCs w:val="24"/>
        </w:rPr>
        <w:t xml:space="preserve">3. La regola dei buchi (Burt) e i dieci mondi (Kivelä)</w:t>
      </w:r>
    </w:p>
    <w:p>
      <w:pPr>
        <w:spacing w:after="120" w:line="276"/>
        <w:jc w:val="both"/>
      </w:pPr>
      <w:r>
        <w:rPr>
          <w:rFonts w:ascii="Barlow Semi Condensed" w:cs="Barlow Semi Condensed" w:eastAsia="Barlow Semi Condensed" w:hAnsi="Barlow Semi Condensed"/>
          <w:sz w:val="24"/>
          <w:szCs w:val="24"/>
        </w:rPr>
        <w:t xml:space="preserve">Burt insegna che l'informazione strutturale sta nei </w:t>
      </w:r>
      <w:r>
        <w:rPr>
          <w:rFonts w:ascii="Barlow Semi Condensed" w:cs="Barlow Semi Condensed" w:eastAsia="Barlow Semi Condensed" w:hAnsi="Barlow Semi Condensed"/>
          <w:b/>
          <w:bCs/>
          <w:sz w:val="24"/>
          <w:szCs w:val="24"/>
        </w:rPr>
        <w:t xml:space="preserve">buchi</w:t>
      </w:r>
      <w:r>
        <w:rPr>
          <w:rFonts w:ascii="Barlow Semi Condensed" w:cs="Barlow Semi Condensed" w:eastAsia="Barlow Semi Condensed" w:hAnsi="Barlow Semi Condensed"/>
          <w:sz w:val="24"/>
          <w:szCs w:val="24"/>
        </w:rPr>
        <w:t xml:space="preserve">: dove la rete </w:t>
      </w:r>
      <w:r>
        <w:rPr>
          <w:rFonts w:ascii="Barlow Semi Condensed" w:cs="Barlow Semi Condensed" w:eastAsia="Barlow Semi Condensed" w:hAnsi="Barlow Semi Condensed"/>
          <w:i/>
          <w:iCs/>
          <w:sz w:val="24"/>
          <w:szCs w:val="24"/>
        </w:rPr>
        <w:t xml:space="preserve">non</w:t>
      </w:r>
      <w:r>
        <w:rPr>
          <w:rFonts w:ascii="Barlow Semi Condensed" w:cs="Barlow Semi Condensed" w:eastAsia="Barlow Semi Condensed" w:hAnsi="Barlow Semi Condensed"/>
          <w:sz w:val="24"/>
          <w:szCs w:val="24"/>
        </w:rPr>
        <w:t xml:space="preserve"> ha archi. Nel grafo del corpus i buchi non sono difetti da riempire: </w:t>
      </w:r>
      <w:r>
        <w:rPr>
          <w:rFonts w:ascii="Barlow Semi Condensed" w:cs="Barlow Semi Condensed" w:eastAsia="Barlow Semi Condensed" w:hAnsi="Barlow Semi Condensed"/>
          <w:b/>
          <w:bCs/>
          <w:sz w:val="24"/>
          <w:szCs w:val="24"/>
        </w:rPr>
        <w:t xml:space="preserve">sono il risultato</w:t>
      </w:r>
      <w:r>
        <w:rPr>
          <w:rFonts w:ascii="Barlow Semi Condensed" w:cs="Barlow Semi Condensed" w:eastAsia="Barlow Semi Condensed" w:hAnsi="Barlow Semi Condensed"/>
          <w:sz w:val="24"/>
          <w:szCs w:val="24"/>
        </w:rPr>
        <w:t xml:space="preserve">. Non esiste alcun arco diretto fra il livello Hyperion e il livello del caso; non esiste alcun arco fra il dominio vaticano e via Fani (il padre di Casimirri è collegato al figlio, non al fatto); non esiste alcun arco fra il fronte latinoamericano e il sequestro (la rotta di una latitanza non è un mandato). La </w:t>
      </w:r>
      <w:r>
        <w:rPr>
          <w:rFonts w:ascii="Barlow Semi Condensed" w:cs="Barlow Semi Condensed" w:eastAsia="Barlow Semi Condensed" w:hAnsi="Barlow Semi Condensed"/>
          <w:b/>
          <w:bCs/>
          <w:sz w:val="24"/>
          <w:szCs w:val="24"/>
        </w:rPr>
        <w:t xml:space="preserve">regola dei buchi</w:t>
      </w:r>
      <w:r>
        <w:rPr>
          <w:rFonts w:ascii="Barlow Semi Condensed" w:cs="Barlow Semi Condensed" w:eastAsia="Barlow Semi Condensed" w:hAnsi="Barlow Semi Condensed"/>
          <w:sz w:val="24"/>
          <w:szCs w:val="24"/>
        </w:rPr>
        <w:t xml:space="preserve"> del corpus è dunque l'inverso di quella della dietrologia: </w:t>
      </w:r>
      <w:r>
        <w:rPr>
          <w:rFonts w:ascii="Barlow Semi Condensed" w:cs="Barlow Semi Condensed" w:eastAsia="Barlow Semi Condensed" w:hAnsi="Barlow Semi Condensed"/>
          <w:i/>
          <w:iCs/>
          <w:sz w:val="24"/>
          <w:szCs w:val="24"/>
        </w:rPr>
        <w:t xml:space="preserve">la dietrologia riempie i buchi con la narrazione; il corpus li misura e li dichiara</w:t>
      </w:r>
      <w:r>
        <w:rPr>
          <w:rFonts w:ascii="Barlow Semi Condensed" w:cs="Barlow Semi Condensed" w:eastAsia="Barlow Semi Condensed" w:hAnsi="Barlow Semi Condensed"/>
          <w:sz w:val="24"/>
          <w:szCs w:val="24"/>
        </w:rPr>
        <w:t xml:space="preserve">. Ogni buco strutturale è una congettura possibile e non provata — e resta tale finché un documento non diventi arco.</w:t>
      </w:r>
    </w:p>
    <w:p>
      <w:pPr>
        <w:spacing w:after="120" w:line="276"/>
        <w:jc w:val="both"/>
      </w:pPr>
      <w:r>
        <w:rPr>
          <w:rFonts w:ascii="Barlow Semi Condensed" w:cs="Barlow Semi Condensed" w:eastAsia="Barlow Semi Condensed" w:hAnsi="Barlow Semi Condensed"/>
          <w:sz w:val="24"/>
          <w:szCs w:val="24"/>
        </w:rPr>
        <w:t xml:space="preserve">La rete è inoltre </w:t>
      </w:r>
      <w:r>
        <w:rPr>
          <w:rFonts w:ascii="Barlow Semi Condensed" w:cs="Barlow Semi Condensed" w:eastAsia="Barlow Semi Condensed" w:hAnsi="Barlow Semi Condensed"/>
          <w:b/>
          <w:bCs/>
          <w:sz w:val="24"/>
          <w:szCs w:val="24"/>
        </w:rPr>
        <w:t xml:space="preserve">multistrato</w:t>
      </w:r>
      <w:r>
        <w:rPr>
          <w:rFonts w:ascii="Barlow Semi Condensed" w:cs="Barlow Semi Condensed" w:eastAsia="Barlow Semi Condensed" w:hAnsi="Barlow Semi Condensed"/>
          <w:sz w:val="24"/>
          <w:szCs w:val="24"/>
        </w:rPr>
        <w:t xml:space="preserve"> (Kivelä): i nodi vivono su livelli distinti — i </w:t>
      </w:r>
      <w:r>
        <w:rPr>
          <w:rFonts w:ascii="Barlow Semi Condensed" w:cs="Barlow Semi Condensed" w:eastAsia="Barlow Semi Condensed" w:hAnsi="Barlow Semi Condensed"/>
          <w:b/>
          <w:bCs/>
          <w:sz w:val="24"/>
          <w:szCs w:val="24"/>
        </w:rPr>
        <w:t xml:space="preserve">dieci mondi</w:t>
      </w:r>
      <w:r>
        <w:rPr>
          <w:rFonts w:ascii="Barlow Semi Condensed" w:cs="Barlow Semi Condensed" w:eastAsia="Barlow Semi Condensed" w:hAnsi="Barlow Semi Condensed"/>
          <w:sz w:val="24"/>
          <w:szCs w:val="24"/>
        </w:rPr>
        <w:t xml:space="preserve"> che il corpus ha documentato: (1) la politica interna, (2) il mondo brigatista, (3) il ceppo CPM/Superclan/Hyperion, (4) il mondo editoriale e del mito, (5) la dimensione diplomatica della Farnesina, (6) il mondo vaticano, (7) l'orizzonte latinoamericano, (8) il piano giudiziario, (9) il piano parlamentare, (10) il piano della memoria e dei media. La disciplina multistrato è una sola: </w:t>
      </w:r>
      <w:r>
        <w:rPr>
          <w:rFonts w:ascii="Barlow Semi Condensed" w:cs="Barlow Semi Condensed" w:eastAsia="Barlow Semi Condensed" w:hAnsi="Barlow Semi Condensed"/>
          <w:b/>
          <w:bCs/>
          <w:sz w:val="24"/>
          <w:szCs w:val="24"/>
        </w:rPr>
        <w:t xml:space="preserve">un nodo può abitare più mondi senza che i mondi si trasmettano nulla attraverso di lui</w:t>
      </w:r>
      <w:r>
        <w:rPr>
          <w:rFonts w:ascii="Barlow Semi Condensed" w:cs="Barlow Semi Condensed" w:eastAsia="Barlow Semi Condensed" w:hAnsi="Barlow Semi Condensed"/>
          <w:sz w:val="24"/>
          <w:szCs w:val="24"/>
        </w:rPr>
        <w:t xml:space="preserve"> — è la forma reticolare della regola «l'appartenenza a uno o più gruppi non è somma di colpe» (Fase decima, cap. 81).</w:t>
      </w:r>
    </w:p>
    <w:p>
      <w:pPr>
        <w:pStyle w:val="Heading2"/>
        <w:spacing w:after="100" w:before="200"/>
      </w:pPr>
      <w:r>
        <w:rPr>
          <w:rFonts w:ascii="Barlow Semi Condensed" w:cs="Barlow Semi Condensed" w:eastAsia="Barlow Semi Condensed" w:hAnsi="Barlow Semi Condensed"/>
          <w:sz w:val="24"/>
          <w:szCs w:val="24"/>
        </w:rPr>
        <w:t xml:space="preserve">4. L'analisi delle ipotesi concorrenti (Heuer) sui nodi impersonali</w:t>
      </w:r>
    </w:p>
    <w:p>
      <w:pPr>
        <w:spacing w:after="120" w:line="276"/>
        <w:jc w:val="both"/>
      </w:pPr>
      <w:r>
        <w:rPr>
          <w:rFonts w:ascii="Barlow Semi Condensed" w:cs="Barlow Semi Condensed" w:eastAsia="Barlow Semi Condensed" w:hAnsi="Barlow Semi Condensed"/>
          <w:sz w:val="24"/>
          <w:szCs w:val="24"/>
        </w:rPr>
        <w:t xml:space="preserve">Dallo strumentario del Dossier si adotta l'</w:t>
      </w:r>
      <w:r>
        <w:rPr>
          <w:rFonts w:ascii="Barlow Semi Condensed" w:cs="Barlow Semi Condensed" w:eastAsia="Barlow Semi Condensed" w:hAnsi="Barlow Semi Condensed"/>
          <w:b/>
          <w:bCs/>
          <w:sz w:val="24"/>
          <w:szCs w:val="24"/>
        </w:rPr>
        <w:t xml:space="preserve">ACH — Analysis of Competing Hypotheses</w:t>
      </w:r>
      <w:r>
        <w:rPr>
          <w:rFonts w:ascii="Barlow Semi Condensed" w:cs="Barlow Semi Condensed" w:eastAsia="Barlow Semi Condensed" w:hAnsi="Barlow Semi Condensed"/>
          <w:sz w:val="24"/>
          <w:szCs w:val="24"/>
        </w:rPr>
        <w:t xml:space="preserve"> (Heuer, </w:t>
      </w:r>
      <w:r>
        <w:rPr>
          <w:rFonts w:ascii="Barlow Semi Condensed" w:cs="Barlow Semi Condensed" w:eastAsia="Barlow Semi Condensed" w:hAnsi="Barlow Semi Condensed"/>
          <w:i/>
          <w:iCs/>
          <w:sz w:val="24"/>
          <w:szCs w:val="24"/>
        </w:rPr>
        <w:t xml:space="preserve">Psychology of Intelligence Analysis</w:t>
      </w:r>
      <w:r>
        <w:rPr>
          <w:rFonts w:ascii="Barlow Semi Condensed" w:cs="Barlow Semi Condensed" w:eastAsia="Barlow Semi Condensed" w:hAnsi="Barlow Semi Condensed"/>
          <w:sz w:val="24"/>
          <w:szCs w:val="24"/>
        </w:rPr>
        <w:t xml:space="preserve">, CIA 1999), che è falsificazionismo operativo: si elencano le ipotesi, si incrocia ciascuna con ciascuna evidenza, e si cerca </w:t>
      </w:r>
      <w:r>
        <w:rPr>
          <w:rFonts w:ascii="Barlow Semi Condensed" w:cs="Barlow Semi Condensed" w:eastAsia="Barlow Semi Condensed" w:hAnsi="Barlow Semi Condensed"/>
          <w:b/>
          <w:bCs/>
          <w:sz w:val="24"/>
          <w:szCs w:val="24"/>
        </w:rPr>
        <w:t xml:space="preserve">l'evidenza che discrimina</w:t>
      </w:r>
      <w:r>
        <w:rPr>
          <w:rFonts w:ascii="Barlow Semi Condensed" w:cs="Barlow Semi Condensed" w:eastAsia="Barlow Semi Condensed" w:hAnsi="Barlow Semi Condensed"/>
          <w:sz w:val="24"/>
          <w:szCs w:val="24"/>
        </w:rPr>
        <w:t xml:space="preserve"> — quella che è incompatibile con almeno un'ipotesi. Nel regime pubblico l'ACH si applica </w:t>
      </w:r>
      <w:r>
        <w:rPr>
          <w:rFonts w:ascii="Barlow Semi Condensed" w:cs="Barlow Semi Condensed" w:eastAsia="Barlow Semi Condensed" w:hAnsi="Barlow Semi Condensed"/>
          <w:b/>
          <w:bCs/>
          <w:sz w:val="24"/>
          <w:szCs w:val="24"/>
        </w:rPr>
        <w:t xml:space="preserve">solo a quesiti impersonali</w:t>
      </w:r>
      <w:r>
        <w:rPr>
          <w:rFonts w:ascii="Barlow Semi Condensed" w:cs="Barlow Semi Condensed" w:eastAsia="Barlow Semi Condensed" w:hAnsi="Barlow Semi Condensed"/>
          <w:sz w:val="24"/>
          <w:szCs w:val="24"/>
        </w:rPr>
        <w:t xml:space="preserve"> e </w:t>
      </w:r>
      <w:r>
        <w:rPr>
          <w:rFonts w:ascii="Barlow Semi Condensed" w:cs="Barlow Semi Condensed" w:eastAsia="Barlow Semi Condensed" w:hAnsi="Barlow Semi Condensed"/>
          <w:b/>
          <w:bCs/>
          <w:sz w:val="24"/>
          <w:szCs w:val="24"/>
        </w:rPr>
        <w:t xml:space="preserve">senza numeri di probabilità</w:t>
      </w:r>
      <w:r>
        <w:rPr>
          <w:rFonts w:ascii="Barlow Semi Condensed" w:cs="Barlow Semi Condensed" w:eastAsia="Barlow Semi Condensed" w:hAnsi="Barlow Semi Condensed"/>
          <w:sz w:val="24"/>
          <w:szCs w:val="24"/>
        </w:rPr>
        <w:t xml:space="preserve">: i numeri simulerebbero una precisione che le fonti non hanno.</w:t>
      </w:r>
    </w:p>
    <w:p>
      <w:pPr>
        <w:spacing w:after="120" w:line="276"/>
        <w:jc w:val="both"/>
      </w:pPr>
      <w:r>
        <w:rPr>
          <w:rFonts w:ascii="Barlow Semi Condensed" w:cs="Barlow Semi Condensed" w:eastAsia="Barlow Semi Condensed" w:hAnsi="Barlow Semi Condensed"/>
          <w:b/>
          <w:bCs/>
          <w:sz w:val="24"/>
          <w:szCs w:val="24"/>
        </w:rPr>
        <w:t xml:space="preserve">Matrice 1 — Via Gradoli e la «seduta spiritica»</w:t>
      </w:r>
      <w:r>
        <w:rPr>
          <w:rFonts w:ascii="Barlow Semi Condensed" w:cs="Barlow Semi Condensed" w:eastAsia="Barlow Semi Condensed" w:hAnsi="Barlow Semi Condensed"/>
          <w:sz w:val="24"/>
          <w:szCs w:val="24"/>
        </w:rPr>
        <w:t xml:space="preserve"> (C = coerente; I = incoerente; ± = ambiguo)</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40"/>
        <w:gridCol w:w="2340"/>
        <w:gridCol w:w="2340"/>
        <w:gridCol w:w="2340"/>
      </w:tblGrid>
      <w:tr>
        <w:tc>
          <w:tcPr>
            <w:tcW w:type="dxa" w:w="234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Evidenza (col suo grado)</w:t>
            </w:r>
          </w:p>
        </w:tc>
        <w:tc>
          <w:tcPr>
            <w:tcW w:type="dxa" w:w="234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H1: coincidenza autentica</w:t>
            </w:r>
          </w:p>
        </w:tc>
        <w:tc>
          <w:tcPr>
            <w:tcW w:type="dxa" w:w="234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H2: fuga di notizie per canale anomalo</w:t>
            </w:r>
          </w:p>
        </w:tc>
        <w:tc>
          <w:tcPr>
            <w:tcW w:type="dxa" w:w="234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H3: orchestrazione di apparato</w:t>
            </w:r>
          </w:p>
        </w:tc>
      </w:tr>
      <w:tr>
        <w:tc>
          <w:tcPr>
            <w:tcW w:type="dxa" w:w="2340"/>
          </w:tcPr>
          <w:p>
            <w:pPr>
              <w:spacing w:after="20" w:before="20"/>
              <w:jc w:val="both"/>
            </w:pPr>
            <w:r>
              <w:rPr>
                <w:rFonts w:ascii="Barlow Semi Condensed" w:cs="Barlow Semi Condensed" w:eastAsia="Barlow Semi Condensed" w:hAnsi="Barlow Semi Condensed"/>
                <w:sz w:val="20"/>
                <w:szCs w:val="20"/>
              </w:rPr>
              <w:t xml:space="preserve">La coincidenza nome/luogo (F)</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C</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C</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C</w:t>
            </w:r>
          </w:p>
        </w:tc>
      </w:tr>
      <w:tr>
        <w:tc>
          <w:tcPr>
            <w:tcW w:type="dxa" w:w="2340"/>
          </w:tcPr>
          <w:p>
            <w:pPr>
              <w:spacing w:after="20" w:before="20"/>
              <w:jc w:val="both"/>
            </w:pPr>
            <w:r>
              <w:rPr>
                <w:rFonts w:ascii="Barlow Semi Condensed" w:cs="Barlow Semi Condensed" w:eastAsia="Barlow Semi Condensed" w:hAnsi="Barlow Semi Condensed"/>
                <w:sz w:val="20"/>
                <w:szCs w:val="20"/>
              </w:rPr>
              <w:t xml:space="preserve">Il covo era reale e operativo (A)</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C</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C</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C</w:t>
            </w:r>
          </w:p>
        </w:tc>
      </w:tr>
      <w:tr>
        <w:tc>
          <w:tcPr>
            <w:tcW w:type="dxa" w:w="2340"/>
          </w:tcPr>
          <w:p>
            <w:pPr>
              <w:spacing w:after="20" w:before="20"/>
              <w:jc w:val="both"/>
            </w:pPr>
            <w:r>
              <w:rPr>
                <w:rFonts w:ascii="Barlow Semi Condensed" w:cs="Barlow Semi Condensed" w:eastAsia="Barlow Semi Condensed" w:hAnsi="Barlow Semi Condensed"/>
                <w:sz w:val="20"/>
                <w:szCs w:val="20"/>
              </w:rPr>
              <w:t xml:space="preserve">Nessuna spiegazione emersa in 5 processi e 2 Commissioni (A/B)</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C</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w:t>
            </w:r>
          </w:p>
        </w:tc>
      </w:tr>
      <w:tr>
        <w:tc>
          <w:tcPr>
            <w:tcW w:type="dxa" w:w="2340"/>
          </w:tcPr>
          <w:p>
            <w:pPr>
              <w:spacing w:after="20" w:before="20"/>
              <w:jc w:val="both"/>
            </w:pPr>
            <w:r>
              <w:rPr>
                <w:rFonts w:ascii="Barlow Semi Condensed" w:cs="Barlow Semi Condensed" w:eastAsia="Barlow Semi Condensed" w:hAnsi="Barlow Semi Condensed"/>
                <w:sz w:val="20"/>
                <w:szCs w:val="20"/>
              </w:rPr>
              <w:t xml:space="preserve">La Moro 2 non ha sciolto il nodo (B)</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C</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w:t>
            </w:r>
          </w:p>
        </w:tc>
      </w:tr>
    </w:tbl>
    <w:p>
      <w:pPr>
        <w:spacing w:after="80"/>
      </w:pPr>
    </w:p>
    <w:p>
      <w:pPr>
        <w:spacing w:after="120" w:line="276"/>
        <w:jc w:val="both"/>
      </w:pPr>
      <w:r>
        <w:rPr>
          <w:rFonts w:ascii="Barlow Semi Condensed" w:cs="Barlow Semi Condensed" w:eastAsia="Barlow Semi Condensed" w:hAnsi="Barlow Semi Condensed"/>
          <w:b/>
          <w:bCs/>
          <w:sz w:val="24"/>
          <w:szCs w:val="24"/>
        </w:rPr>
        <w:t xml:space="preserve">Esito ACH:</w:t>
      </w:r>
      <w:r>
        <w:rPr>
          <w:rFonts w:ascii="Barlow Semi Condensed" w:cs="Barlow Semi Condensed" w:eastAsia="Barlow Semi Condensed" w:hAnsi="Barlow Semi Condensed"/>
          <w:sz w:val="24"/>
          <w:szCs w:val="24"/>
        </w:rPr>
        <w:t xml:space="preserve"> nessuna evidenza disponibile è </w:t>
      </w:r>
      <w:r>
        <w:rPr>
          <w:rFonts w:ascii="Barlow Semi Condensed" w:cs="Barlow Semi Condensed" w:eastAsia="Barlow Semi Condensed" w:hAnsi="Barlow Semi Condensed"/>
          <w:b/>
          <w:bCs/>
          <w:sz w:val="24"/>
          <w:szCs w:val="24"/>
        </w:rPr>
        <w:t xml:space="preserve">diagnostica</w:t>
      </w:r>
      <w:r>
        <w:rPr>
          <w:rFonts w:ascii="Barlow Semi Condensed" w:cs="Barlow Semi Condensed" w:eastAsia="Barlow Semi Condensed" w:hAnsi="Barlow Semi Condensed"/>
          <w:sz w:val="24"/>
          <w:szCs w:val="24"/>
        </w:rPr>
        <w:t xml:space="preserve"> — tutte sono compatibili con tutte le ipotesi. Il quesito è perciò </w:t>
      </w:r>
      <w:r>
        <w:rPr>
          <w:rFonts w:ascii="Barlow Semi Condensed" w:cs="Barlow Semi Condensed" w:eastAsia="Barlow Semi Condensed" w:hAnsi="Barlow Semi Condensed"/>
          <w:i/>
          <w:iCs/>
          <w:sz w:val="24"/>
          <w:szCs w:val="24"/>
        </w:rPr>
        <w:t xml:space="preserve">indecidibile allo stato degli atti</w:t>
      </w:r>
      <w:r>
        <w:rPr>
          <w:rFonts w:ascii="Barlow Semi Condensed" w:cs="Barlow Semi Condensed" w:eastAsia="Barlow Semi Condensed" w:hAnsi="Barlow Semi Condensed"/>
          <w:sz w:val="24"/>
          <w:szCs w:val="24"/>
        </w:rPr>
        <w:t xml:space="preserve">, e questo è un risultato: conferma formalmente il grado C della Parte terza. L'evidenza che discriminerebbe è identificata: </w:t>
      </w:r>
      <w:r>
        <w:rPr>
          <w:rFonts w:ascii="Barlow Semi Condensed" w:cs="Barlow Semi Condensed" w:eastAsia="Barlow Semi Condensed" w:hAnsi="Barlow Semi Condensed"/>
          <w:b/>
          <w:bCs/>
          <w:sz w:val="24"/>
          <w:szCs w:val="24"/>
        </w:rPr>
        <w:t xml:space="preserve">l'individuazione documentale della fonte reale della segnalazione</w:t>
      </w:r>
      <w:r>
        <w:rPr>
          <w:rFonts w:ascii="Barlow Semi Condensed" w:cs="Barlow Semi Condensed" w:eastAsia="Barlow Semi Condensed" w:hAnsi="Barlow Semi Condensed"/>
          <w:sz w:val="24"/>
          <w:szCs w:val="24"/>
        </w:rPr>
        <w:t xml:space="preserve"> — un atto, un nome d'archivio, un protocollo. Finché non emerge, ogni preferenza fra H1, H2 e H3 è gusto, non analisi.</w:t>
      </w:r>
    </w:p>
    <w:p>
      <w:pPr>
        <w:spacing w:after="120" w:line="276"/>
        <w:jc w:val="both"/>
      </w:pPr>
      <w:r>
        <w:rPr>
          <w:rFonts w:ascii="Barlow Semi Condensed" w:cs="Barlow Semi Condensed" w:eastAsia="Barlow Semi Condensed" w:hAnsi="Barlow Semi Condensed"/>
          <w:b/>
          <w:bCs/>
          <w:sz w:val="24"/>
          <w:szCs w:val="24"/>
        </w:rPr>
        <w:t xml:space="preserve">Matrice 2 — Le due moto di via Fani</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40"/>
        <w:gridCol w:w="2340"/>
        <w:gridCol w:w="2340"/>
        <w:gridCol w:w="2340"/>
      </w:tblGrid>
      <w:tr>
        <w:tc>
          <w:tcPr>
            <w:tcW w:type="dxa" w:w="234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Evidenza (col suo grado)</w:t>
            </w:r>
          </w:p>
        </w:tc>
        <w:tc>
          <w:tcPr>
            <w:tcW w:type="dxa" w:w="234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H1: errore percettivo dei testimoni</w:t>
            </w:r>
          </w:p>
        </w:tc>
        <w:tc>
          <w:tcPr>
            <w:tcW w:type="dxa" w:w="234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H2: presenze estranee casuali</w:t>
            </w:r>
          </w:p>
        </w:tc>
        <w:tc>
          <w:tcPr>
            <w:tcW w:type="dxa" w:w="234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H3: componenti non giudicati del dispositivo</w:t>
            </w:r>
          </w:p>
        </w:tc>
      </w:tr>
      <w:tr>
        <w:tc>
          <w:tcPr>
            <w:tcW w:type="dxa" w:w="2340"/>
          </w:tcPr>
          <w:p>
            <w:pPr>
              <w:spacing w:after="20" w:before="20"/>
              <w:jc w:val="both"/>
            </w:pPr>
            <w:r>
              <w:rPr>
                <w:rFonts w:ascii="Barlow Semi Condensed" w:cs="Barlow Semi Condensed" w:eastAsia="Barlow Semi Condensed" w:hAnsi="Barlow Semi Condensed"/>
                <w:sz w:val="20"/>
                <w:szCs w:val="20"/>
              </w:rPr>
              <w:t xml:space="preserve">Due testimoni oculari indipendenti, uditi sotto giuramento (B)</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C</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C</w:t>
            </w:r>
          </w:p>
        </w:tc>
      </w:tr>
      <w:tr>
        <w:tc>
          <w:tcPr>
            <w:tcW w:type="dxa" w:w="2340"/>
          </w:tcPr>
          <w:p>
            <w:pPr>
              <w:spacing w:after="20" w:before="20"/>
              <w:jc w:val="both"/>
            </w:pPr>
            <w:r>
              <w:rPr>
                <w:rFonts w:ascii="Barlow Semi Condensed" w:cs="Barlow Semi Condensed" w:eastAsia="Barlow Semi Condensed" w:hAnsi="Barlow Semi Condensed"/>
                <w:sz w:val="20"/>
                <w:szCs w:val="20"/>
              </w:rPr>
              <w:t xml:space="preserve">Colpi esplosi in direzione dell'ing. Marini dalla Honda (B)</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I</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I</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C</w:t>
            </w:r>
          </w:p>
        </w:tc>
      </w:tr>
      <w:tr>
        <w:tc>
          <w:tcPr>
            <w:tcW w:type="dxa" w:w="2340"/>
          </w:tcPr>
          <w:p>
            <w:pPr>
              <w:spacing w:after="20" w:before="20"/>
              <w:jc w:val="both"/>
            </w:pPr>
            <w:r>
              <w:rPr>
                <w:rFonts w:ascii="Barlow Semi Condensed" w:cs="Barlow Semi Condensed" w:eastAsia="Barlow Semi Condensed" w:hAnsi="Barlow Semi Condensed"/>
                <w:sz w:val="20"/>
                <w:szCs w:val="20"/>
              </w:rPr>
              <w:t xml:space="preserve">La composizione del commando in giudicato non include le moto (A)</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C</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C</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w:t>
            </w:r>
          </w:p>
        </w:tc>
      </w:tr>
      <w:tr>
        <w:tc>
          <w:tcPr>
            <w:tcW w:type="dxa" w:w="2340"/>
          </w:tcPr>
          <w:p>
            <w:pPr>
              <w:spacing w:after="20" w:before="20"/>
              <w:jc w:val="both"/>
            </w:pPr>
            <w:r>
              <w:rPr>
                <w:rFonts w:ascii="Barlow Semi Condensed" w:cs="Barlow Semi Condensed" w:eastAsia="Barlow Semi Condensed" w:hAnsi="Barlow Semi Condensed"/>
                <w:sz w:val="20"/>
                <w:szCs w:val="20"/>
              </w:rPr>
              <w:t xml:space="preserve">La Commissione qualifica il punto «da approfondire» (B)</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w:t>
            </w:r>
          </w:p>
        </w:tc>
      </w:tr>
    </w:tbl>
    <w:p>
      <w:pPr>
        <w:spacing w:after="80"/>
      </w:pPr>
    </w:p>
    <w:p>
      <w:pPr>
        <w:spacing w:after="120" w:line="276"/>
        <w:jc w:val="both"/>
      </w:pPr>
      <w:r>
        <w:rPr>
          <w:rFonts w:ascii="Barlow Semi Condensed" w:cs="Barlow Semi Condensed" w:eastAsia="Barlow Semi Condensed" w:hAnsi="Barlow Semi Condensed"/>
          <w:b/>
          <w:bCs/>
          <w:sz w:val="24"/>
          <w:szCs w:val="24"/>
        </w:rPr>
        <w:t xml:space="preserve">Esito ACH:</w:t>
      </w:r>
      <w:r>
        <w:rPr>
          <w:rFonts w:ascii="Barlow Semi Condensed" w:cs="Barlow Semi Condensed" w:eastAsia="Barlow Semi Condensed" w:hAnsi="Barlow Semi Condensed"/>
          <w:sz w:val="24"/>
          <w:szCs w:val="24"/>
        </w:rPr>
        <w:t xml:space="preserve"> l'evidenza dei </w:t>
      </w:r>
      <w:r>
        <w:rPr>
          <w:rFonts w:ascii="Barlow Semi Condensed" w:cs="Barlow Semi Condensed" w:eastAsia="Barlow Semi Condensed" w:hAnsi="Barlow Semi Condensed"/>
          <w:b/>
          <w:bCs/>
          <w:sz w:val="24"/>
          <w:szCs w:val="24"/>
        </w:rPr>
        <w:t xml:space="preserve">colpi verso Marini</w:t>
      </w:r>
      <w:r>
        <w:rPr>
          <w:rFonts w:ascii="Barlow Semi Condensed" w:cs="Barlow Semi Condensed" w:eastAsia="Barlow Semi Condensed" w:hAnsi="Barlow Semi Condensed"/>
          <w:sz w:val="24"/>
          <w:szCs w:val="24"/>
        </w:rPr>
        <w:t xml:space="preserve"> è l'unica diagnostica — se fosse accertata al grado A, falsificherebbe H1 e H2 insieme. Ma è di grado B; dunque H3 risulta </w:t>
      </w:r>
      <w:r>
        <w:rPr>
          <w:rFonts w:ascii="Barlow Semi Condensed" w:cs="Barlow Semi Condensed" w:eastAsia="Barlow Semi Condensed" w:hAnsi="Barlow Semi Condensed"/>
          <w:i/>
          <w:iCs/>
          <w:sz w:val="24"/>
          <w:szCs w:val="24"/>
        </w:rPr>
        <w:t xml:space="preserve">la meno incoerente con l'evidenza disponibile</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b/>
          <w:bCs/>
          <w:sz w:val="24"/>
          <w:szCs w:val="24"/>
        </w:rPr>
        <w:t xml:space="preserve">senza per questo essere accertata</w:t>
      </w:r>
      <w:r>
        <w:rPr>
          <w:rFonts w:ascii="Barlow Semi Condensed" w:cs="Barlow Semi Condensed" w:eastAsia="Barlow Semi Condensed" w:hAnsi="Barlow Semi Condensed"/>
          <w:sz w:val="24"/>
          <w:szCs w:val="24"/>
        </w:rPr>
        <w:t xml:space="preserve"> — che è esattamente la posizione della Commissione («da approfondire») e del corpus (B per l'accertamento parlamentare, C per l'identità). L'evidenza discriminante mancante è nominata: </w:t>
      </w:r>
      <w:r>
        <w:rPr>
          <w:rFonts w:ascii="Barlow Semi Condensed" w:cs="Barlow Semi Condensed" w:eastAsia="Barlow Semi Condensed" w:hAnsi="Barlow Semi Condensed"/>
          <w:b/>
          <w:bCs/>
          <w:sz w:val="24"/>
          <w:szCs w:val="24"/>
        </w:rPr>
        <w:t xml:space="preserve">la perizia balistica risolutiva sui reperti e sulla traiettoria</w:t>
      </w:r>
      <w:r>
        <w:rPr>
          <w:rFonts w:ascii="Barlow Semi Condensed" w:cs="Barlow Semi Condensed" w:eastAsia="Barlow Semi Condensed" w:hAnsi="Barlow Semi Condensed"/>
          <w:sz w:val="24"/>
          <w:szCs w:val="24"/>
        </w:rPr>
        <w:t xml:space="preserve">. L'ACH non ha spostato il grado: ha mostrato </w:t>
      </w:r>
      <w:r>
        <w:rPr>
          <w:rFonts w:ascii="Barlow Semi Condensed" w:cs="Barlow Semi Condensed" w:eastAsia="Barlow Semi Condensed" w:hAnsi="Barlow Semi Condensed"/>
          <w:i/>
          <w:iCs/>
          <w:sz w:val="24"/>
          <w:szCs w:val="24"/>
        </w:rPr>
        <w:t xml:space="preserve">perché</w:t>
      </w:r>
      <w:r>
        <w:rPr>
          <w:rFonts w:ascii="Barlow Semi Condensed" w:cs="Barlow Semi Condensed" w:eastAsia="Barlow Semi Condensed" w:hAnsi="Barlow Semi Condensed"/>
          <w:sz w:val="24"/>
          <w:szCs w:val="24"/>
        </w:rPr>
        <w:t xml:space="preserve"> il grado è quello, e che cosa servirebbe a muoverlo. Questo è l'uso lecito dello strumento.</w:t>
      </w:r>
    </w:p>
    <w:p>
      <w:pPr>
        <w:pBdr>
          <w:left w:val="single" w:color="1F3864" w:sz="18" w:space="8"/>
        </w:pBdr>
        <w:spacing w:after="80" w:before="80"/>
        <w:ind w:left="360" w:right="360"/>
        <w:jc w:val="both"/>
      </w:pPr>
      <w:r>
        <w:rPr>
          <w:rFonts w:ascii="Barlow Semi Condensed" w:cs="Barlow Semi Condensed" w:eastAsia="Barlow Semi Condensed" w:hAnsi="Barlow Semi Condensed"/>
          <w:b/>
          <w:bCs/>
          <w:i w:val="false"/>
          <w:iCs w:val="false"/>
          <w:sz w:val="24"/>
          <w:szCs w:val="24"/>
        </w:rPr>
        <w:t xml:space="preserve">⟶ Nota di revisione (25/8/2026).</w:t>
      </w:r>
      <w:r>
        <w:rPr>
          <w:rFonts w:ascii="Barlow Semi Condensed" w:cs="Barlow Semi Condensed" w:eastAsia="Barlow Semi Condensed" w:hAnsi="Barlow Semi Condensed"/>
          <w:i w:val="false"/>
          <w:iCs w:val="false"/>
          <w:sz w:val="24"/>
          <w:szCs w:val="24"/>
        </w:rPr>
        <w:t xml:space="preserve"> L'approfondimento successivo (</w:t>
      </w:r>
      <w:r>
        <w:rPr>
          <w:rFonts w:ascii="Barlow Semi Condensed" w:cs="Barlow Semi Condensed" w:eastAsia="Barlow Semi Condensed" w:hAnsi="Barlow Semi Condensed"/>
          <w:i w:val="false"/>
          <w:iCs w:val="false"/>
          <w:sz w:val="24"/>
          <w:szCs w:val="24"/>
        </w:rPr>
        <w:t xml:space="preserve">approfondimento-piste-di-testa.md</w:t>
      </w:r>
      <w:r>
        <w:rPr>
          <w:rFonts w:ascii="Barlow Semi Condensed" w:cs="Barlow Semi Condensed" w:eastAsia="Barlow Semi Condensed" w:hAnsi="Barlow Semi Condensed"/>
          <w:i w:val="false"/>
          <w:iCs w:val="false"/>
          <w:sz w:val="24"/>
          <w:szCs w:val="24"/>
        </w:rPr>
        <w:t xml:space="preserve">, Nota di revisione n. 1) ha accertato che Marini </w:t>
      </w:r>
      <w:r>
        <w:rPr>
          <w:rFonts w:ascii="Barlow Semi Condensed" w:cs="Barlow Semi Condensed" w:eastAsia="Barlow Semi Condensed" w:hAnsi="Barlow Semi Condensed"/>
          <w:b/>
          <w:bCs/>
          <w:i w:val="false"/>
          <w:iCs w:val="false"/>
          <w:sz w:val="24"/>
          <w:szCs w:val="24"/>
        </w:rPr>
        <w:t xml:space="preserve">ritrattò davanti ai consulenti della Moro 2 la circostanza del parabrezza infranto dai colpi</w:t>
      </w:r>
      <w:r>
        <w:rPr>
          <w:rFonts w:ascii="Barlow Semi Condensed" w:cs="Barlow Semi Condensed" w:eastAsia="Barlow Semi Condensed" w:hAnsi="Barlow Semi Condensed"/>
          <w:i w:val="false"/>
          <w:iCs w:val="false"/>
          <w:sz w:val="24"/>
          <w:szCs w:val="24"/>
        </w:rPr>
        <w:t xml:space="preserve"> (era rotto da giorni, rattoppato col nastro, come da fotografie del mattino stesso). La riga E2 di questa matrice va perciò letta come </w:t>
      </w:r>
      <w:r>
        <w:rPr>
          <w:rFonts w:ascii="Barlow Semi Condensed" w:cs="Barlow Semi Condensed" w:eastAsia="Barlow Semi Condensed" w:hAnsi="Barlow Semi Condensed"/>
          <w:b/>
          <w:bCs/>
          <w:i w:val="false"/>
          <w:iCs w:val="false"/>
          <w:sz w:val="24"/>
          <w:szCs w:val="24"/>
        </w:rPr>
        <w:t xml:space="preserve">controversa, non diagnostica</w:t>
      </w:r>
      <w:r>
        <w:rPr>
          <w:rFonts w:ascii="Barlow Semi Condensed" w:cs="Barlow Semi Condensed" w:eastAsia="Barlow Semi Condensed" w:hAnsi="Barlow Semi Condensed"/>
          <w:i w:val="false"/>
          <w:iCs w:val="false"/>
          <w:sz w:val="24"/>
          <w:szCs w:val="24"/>
        </w:rPr>
        <w:t xml:space="preserve">: H1 riacquista pieno campo, e l'evidenza discriminante resta soltanto quella peritale sui reperti. La matrice si lascia com'era, con questa nota, perché il corpus corregge annotando e non riscrivendo.</w:t>
      </w:r>
    </w:p>
    <w:p>
      <w:pPr>
        <w:pStyle w:val="Heading2"/>
        <w:spacing w:after="100" w:before="200"/>
      </w:pPr>
      <w:r>
        <w:rPr>
          <w:rFonts w:ascii="Barlow Semi Condensed" w:cs="Barlow Semi Condensed" w:eastAsia="Barlow Semi Condensed" w:hAnsi="Barlow Semi Condensed"/>
          <w:sz w:val="24"/>
          <w:szCs w:val="24"/>
        </w:rPr>
        <w:t xml:space="preserve">5. Il paradigma indiziario e la consilienza, con il loro guardrail</w:t>
      </w:r>
    </w:p>
    <w:p>
      <w:pPr>
        <w:spacing w:after="120" w:line="276"/>
        <w:jc w:val="both"/>
      </w:pPr>
      <w:r>
        <w:rPr>
          <w:rFonts w:ascii="Barlow Semi Condensed" w:cs="Barlow Semi Condensed" w:eastAsia="Barlow Semi Condensed" w:hAnsi="Barlow Semi Condensed"/>
          <w:sz w:val="24"/>
          <w:szCs w:val="24"/>
        </w:rPr>
        <w:t xml:space="preserve">Dal Dossier si adottano infine le due epistemologie di sfondo. Il </w:t>
      </w:r>
      <w:r>
        <w:rPr>
          <w:rFonts w:ascii="Barlow Semi Condensed" w:cs="Barlow Semi Condensed" w:eastAsia="Barlow Semi Condensed" w:hAnsi="Barlow Semi Condensed"/>
          <w:b/>
          <w:bCs/>
          <w:sz w:val="24"/>
          <w:szCs w:val="24"/>
        </w:rPr>
        <w:t xml:space="preserve">paradigma indiziario</w:t>
      </w:r>
      <w:r>
        <w:rPr>
          <w:rFonts w:ascii="Barlow Semi Condensed" w:cs="Barlow Semi Condensed" w:eastAsia="Barlow Semi Condensed" w:hAnsi="Barlow Semi Condensed"/>
          <w:sz w:val="24"/>
          <w:szCs w:val="24"/>
        </w:rPr>
        <w:t xml:space="preserve"> (Ginzburg): la verità storica si raggiunge spesso per spie, dettagli, scarti — ed è il metodo con cui il corpus ha lavorato i dettagli (una firma in un preambolo comunitario, un bossolo in più, un prefisso OCR). La </w:t>
      </w:r>
      <w:r>
        <w:rPr>
          <w:rFonts w:ascii="Barlow Semi Condensed" w:cs="Barlow Semi Condensed" w:eastAsia="Barlow Semi Condensed" w:hAnsi="Barlow Semi Condensed"/>
          <w:b/>
          <w:bCs/>
          <w:sz w:val="24"/>
          <w:szCs w:val="24"/>
        </w:rPr>
        <w:t xml:space="preserve">consilienza</w:t>
      </w:r>
      <w:r>
        <w:rPr>
          <w:rFonts w:ascii="Barlow Semi Condensed" w:cs="Barlow Semi Condensed" w:eastAsia="Barlow Semi Condensed" w:hAnsi="Barlow Semi Condensed"/>
          <w:sz w:val="24"/>
          <w:szCs w:val="24"/>
        </w:rPr>
        <w:t xml:space="preserve"> (Whewell, Wilson): linee di evidenza </w:t>
      </w:r>
      <w:r>
        <w:rPr>
          <w:rFonts w:ascii="Barlow Semi Condensed" w:cs="Barlow Semi Condensed" w:eastAsia="Barlow Semi Condensed" w:hAnsi="Barlow Semi Condensed"/>
          <w:i/>
          <w:iCs/>
          <w:sz w:val="24"/>
          <w:szCs w:val="24"/>
        </w:rPr>
        <w:t xml:space="preserve">indipendenti</w:t>
      </w:r>
      <w:r>
        <w:rPr>
          <w:rFonts w:ascii="Barlow Semi Condensed" w:cs="Barlow Semi Condensed" w:eastAsia="Barlow Semi Condensed" w:hAnsi="Barlow Semi Condensed"/>
          <w:sz w:val="24"/>
          <w:szCs w:val="24"/>
        </w:rPr>
        <w:t xml:space="preserve"> che convergono si rafforzano. Il guardrail del corpus, che nel Dossier maggiore governa la parte popperiana, qui vale ovunque: </w:t>
      </w:r>
      <w:r>
        <w:rPr>
          <w:rFonts w:ascii="Barlow Semi Condensed" w:cs="Barlow Semi Condensed" w:eastAsia="Barlow Semi Condensed" w:hAnsi="Barlow Semi Condensed"/>
          <w:b/>
          <w:bCs/>
          <w:sz w:val="24"/>
          <w:szCs w:val="24"/>
        </w:rPr>
        <w:t xml:space="preserve">la convergenza rafforza solo fra linee davvero indipendenti, e mai oltre il grado della linea più debole</w:t>
      </w:r>
      <w:r>
        <w:rPr>
          <w:rFonts w:ascii="Barlow Semi Condensed" w:cs="Barlow Semi Condensed" w:eastAsia="Barlow Semi Condensed" w:hAnsi="Barlow Semi Condensed"/>
          <w:sz w:val="24"/>
          <w:szCs w:val="24"/>
        </w:rPr>
        <w:t xml:space="preserve"> — la consilienza è una stretta di mano fra prove, non una piramide di suggestioni. Le anti-triangolazioni del corpus (29 occorrenze censite) sono esattamente i punti in cui una falsa consilienza è stata smontata.</w:t>
      </w:r>
    </w:p>
    <w:p>
      <w:pPr>
        <w:pStyle w:val="Heading2"/>
        <w:spacing w:after="100" w:before="200"/>
      </w:pPr>
      <w:r>
        <w:rPr>
          <w:rFonts w:ascii="Barlow Semi Condensed" w:cs="Barlow Semi Condensed" w:eastAsia="Barlow Semi Condensed" w:hAnsi="Barlow Semi Condensed"/>
          <w:sz w:val="24"/>
          <w:szCs w:val="24"/>
        </w:rPr>
        <w:t xml:space="preserve">6. L'auto-misurazione del corpus (la serie statistica, come nel Dossier)</w:t>
      </w:r>
    </w:p>
    <w:p>
      <w:pPr>
        <w:spacing w:after="120" w:line="276"/>
        <w:jc w:val="both"/>
      </w:pPr>
      <w:r>
        <w:rPr>
          <w:rFonts w:ascii="Barlow Semi Condensed" w:cs="Barlow Semi Condensed" w:eastAsia="Barlow Semi Condensed" w:hAnsi="Barlow Semi Condensed"/>
          <w:sz w:val="24"/>
          <w:szCs w:val="24"/>
        </w:rPr>
        <w:t xml:space="preserve">Il Dossier dedica una serie di blocchi alla misurazione di sé stesso. Lo stesso esercizio, eseguito sul branch con conteggio automatico (procedimento: scansione dei sorgenti; le marcature di grado sono stimate per pattern testuale e quindi approssimate per difetto — lo si dichiara):</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36 documenti</w:t>
      </w:r>
      <w:r>
        <w:rPr>
          <w:rFonts w:ascii="Barlow Semi Condensed" w:cs="Barlow Semi Condensed" w:eastAsia="Barlow Semi Condensed" w:hAnsi="Barlow Semi Condensed"/>
          <w:sz w:val="24"/>
          <w:szCs w:val="24"/>
        </w:rPr>
        <w:t xml:space="preserve"> markdown (incluse le cartelle), per </w:t>
      </w:r>
      <w:r>
        <w:rPr>
          <w:rFonts w:ascii="Barlow Semi Condensed" w:cs="Barlow Semi Condensed" w:eastAsia="Barlow Semi Condensed" w:hAnsi="Barlow Semi Condensed"/>
          <w:b/>
          <w:bCs/>
          <w:sz w:val="24"/>
          <w:szCs w:val="24"/>
        </w:rPr>
        <w:t xml:space="preserve">104.504 parole</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b/>
          <w:bCs/>
          <w:sz w:val="24"/>
          <w:szCs w:val="24"/>
        </w:rPr>
        <w:t xml:space="preserve">9 volumi rilegati</w:t>
      </w:r>
      <w:r>
        <w:rPr>
          <w:rFonts w:ascii="Barlow Semi Condensed" w:cs="Barlow Semi Condensed" w:eastAsia="Barlow Semi Condensed" w:hAnsi="Barlow Semi Condensed"/>
          <w:sz w:val="24"/>
          <w:szCs w:val="24"/>
        </w:rPr>
        <w:t xml:space="preserve"> .docx e </w:t>
      </w:r>
      <w:r>
        <w:rPr>
          <w:rFonts w:ascii="Barlow Semi Condensed" w:cs="Barlow Semi Condensed" w:eastAsia="Barlow Semi Condensed" w:hAnsi="Barlow Semi Condensed"/>
          <w:b/>
          <w:bCs/>
          <w:sz w:val="24"/>
          <w:szCs w:val="24"/>
        </w:rPr>
        <w:t xml:space="preserve">2 edizioni html</w:t>
      </w:r>
      <w:r>
        <w:rPr>
          <w:rFonts w:ascii="Barlow Semi Condensed" w:cs="Barlow Semi Condensed" w:eastAsia="Barlow Semi Condensed" w:hAnsi="Barlow Semi Condensed"/>
          <w:sz w:val="24"/>
          <w:szCs w:val="24"/>
        </w:rPr>
        <w:t xml:space="preserve"> navigabili.</w:t>
      </w:r>
    </w:p>
    <w:p>
      <w:pPr>
        <w:pStyle w:val="ListParagraph"/>
        <w:numPr>
          <w:ilvl w:val="0"/>
          <w:numId w:val="1"/>
        </w:numPr>
        <w:spacing w:after="40"/>
        <w:jc w:val="both"/>
      </w:pPr>
      <w:r>
        <w:rPr>
          <w:rFonts w:ascii="Barlow Semi Condensed" w:cs="Barlow Semi Condensed" w:eastAsia="Barlow Semi Condensed" w:hAnsi="Barlow Semi Condensed"/>
          <w:sz w:val="24"/>
          <w:szCs w:val="24"/>
        </w:rPr>
        <w:t xml:space="preserve">Marcature di grado censite nei testi: </w:t>
      </w:r>
      <w:r>
        <w:rPr>
          <w:rFonts w:ascii="Barlow Semi Condensed" w:cs="Barlow Semi Condensed" w:eastAsia="Barlow Semi Condensed" w:hAnsi="Barlow Semi Condensed"/>
          <w:b/>
          <w:bCs/>
          <w:sz w:val="24"/>
          <w:szCs w:val="24"/>
        </w:rPr>
        <w:t xml:space="preserve">A ≈ 36, B ≈ 30, C ≈ 21, F ≈ 14, Stato Zero = 36</w:t>
      </w:r>
      <w:r>
        <w:rPr>
          <w:rFonts w:ascii="Barlow Semi Condensed" w:cs="Barlow Semi Condensed" w:eastAsia="Barlow Semi Condensed" w:hAnsi="Barlow Semi Condensed"/>
          <w:sz w:val="24"/>
          <w:szCs w:val="24"/>
        </w:rPr>
        <w:t xml:space="preserve">. La lettura è severa e va fatta come nel Dossier («il risultato più severo»): il corpus </w:t>
      </w:r>
      <w:r>
        <w:rPr>
          <w:rFonts w:ascii="Barlow Semi Condensed" w:cs="Barlow Semi Condensed" w:eastAsia="Barlow Semi Condensed" w:hAnsi="Barlow Semi Condensed"/>
          <w:i/>
          <w:iCs/>
          <w:sz w:val="24"/>
          <w:szCs w:val="24"/>
        </w:rPr>
        <w:t xml:space="preserve">dichiara</w:t>
      </w:r>
      <w:r>
        <w:rPr>
          <w:rFonts w:ascii="Barlow Semi Condensed" w:cs="Barlow Semi Condensed" w:eastAsia="Barlow Semi Condensed" w:hAnsi="Barlow Semi Condensed"/>
          <w:sz w:val="24"/>
          <w:szCs w:val="24"/>
        </w:rPr>
        <w:t xml:space="preserve"> più spesso l'assenza documentata (Stato Zero) di quanto conceda il fatto pubblico non gradato — segno che il perimetro negativo è curato quanto quello positivo.</w:t>
      </w:r>
    </w:p>
    <w:p>
      <w:pPr>
        <w:pStyle w:val="ListParagraph"/>
        <w:numPr>
          <w:ilvl w:val="0"/>
          <w:numId w:val="1"/>
        </w:numPr>
        <w:spacing w:after="40"/>
        <w:jc w:val="both"/>
      </w:pPr>
      <w:r>
        <w:rPr>
          <w:rFonts w:ascii="Barlow Semi Condensed" w:cs="Barlow Semi Condensed" w:eastAsia="Barlow Semi Condensed" w:hAnsi="Barlow Semi Condensed"/>
          <w:sz w:val="24"/>
          <w:szCs w:val="24"/>
        </w:rPr>
        <w:t xml:space="preserve">Dispositivi di disciplina espliciti: </w:t>
      </w:r>
      <w:r>
        <w:rPr>
          <w:rFonts w:ascii="Barlow Semi Condensed" w:cs="Barlow Semi Condensed" w:eastAsia="Barlow Semi Condensed" w:hAnsi="Barlow Semi Condensed"/>
          <w:b/>
          <w:bCs/>
          <w:sz w:val="24"/>
          <w:szCs w:val="24"/>
        </w:rPr>
        <w:t xml:space="preserve">14</w:t>
      </w:r>
      <w:r>
        <w:rPr>
          <w:rFonts w:ascii="Barlow Semi Condensed" w:cs="Barlow Semi Condensed" w:eastAsia="Barlow Semi Condensed" w:hAnsi="Barlow Semi Condensed"/>
          <w:sz w:val="24"/>
          <w:szCs w:val="24"/>
        </w:rPr>
        <w:t xml:space="preserve"> occorrenze di «criterio di smentita», </w:t>
      </w:r>
      <w:r>
        <w:rPr>
          <w:rFonts w:ascii="Barlow Semi Condensed" w:cs="Barlow Semi Condensed" w:eastAsia="Barlow Semi Condensed" w:hAnsi="Barlow Semi Condensed"/>
          <w:b/>
          <w:bCs/>
          <w:sz w:val="24"/>
          <w:szCs w:val="24"/>
        </w:rPr>
        <w:t xml:space="preserve">29</w:t>
      </w:r>
      <w:r>
        <w:rPr>
          <w:rFonts w:ascii="Barlow Semi Condensed" w:cs="Barlow Semi Condensed" w:eastAsia="Barlow Semi Condensed" w:hAnsi="Barlow Semi Condensed"/>
          <w:sz w:val="24"/>
          <w:szCs w:val="24"/>
        </w:rPr>
        <w:t xml:space="preserve"> di «anti-triangolazioni», </w:t>
      </w:r>
      <w:r>
        <w:rPr>
          <w:rFonts w:ascii="Barlow Semi Condensed" w:cs="Barlow Semi Condensed" w:eastAsia="Barlow Semi Condensed" w:hAnsi="Barlow Semi Condensed"/>
          <w:b/>
          <w:bCs/>
          <w:sz w:val="24"/>
          <w:szCs w:val="24"/>
        </w:rPr>
        <w:t xml:space="preserve">62</w:t>
      </w:r>
      <w:r>
        <w:rPr>
          <w:rFonts w:ascii="Barlow Semi Condensed" w:cs="Barlow Semi Condensed" w:eastAsia="Barlow Semi Condensed" w:hAnsi="Barlow Semi Condensed"/>
          <w:sz w:val="24"/>
          <w:szCs w:val="24"/>
        </w:rPr>
        <w:t xml:space="preserve"> di «esiti negativi» — la falsificabilità non è un proclama in premessa: è distribuita nel corpo dell'opera.</w:t>
      </w:r>
    </w:p>
    <w:p>
      <w:pPr>
        <w:pStyle w:val="ListParagraph"/>
        <w:numPr>
          <w:ilvl w:val="0"/>
          <w:numId w:val="1"/>
        </w:numPr>
        <w:spacing w:after="40"/>
        <w:jc w:val="both"/>
      </w:pPr>
      <w:r>
        <w:rPr>
          <w:rFonts w:ascii="Barlow Semi Condensed" w:cs="Barlow Semi Condensed" w:eastAsia="Barlow Semi Condensed" w:hAnsi="Barlow Semi Condensed"/>
          <w:sz w:val="24"/>
          <w:szCs w:val="24"/>
        </w:rPr>
        <w:t xml:space="preserve">La rete documentata (§1): 39 nodi, 59 archi — di cui </w:t>
      </w:r>
      <w:r>
        <w:rPr>
          <w:rFonts w:ascii="Barlow Semi Condensed" w:cs="Barlow Semi Condensed" w:eastAsia="Barlow Semi Condensed" w:hAnsi="Barlow Semi Condensed"/>
          <w:b/>
          <w:bCs/>
          <w:sz w:val="24"/>
          <w:szCs w:val="24"/>
        </w:rPr>
        <w:t xml:space="preserve">quasi la metà (28) al grado massimo</w:t>
      </w:r>
      <w:r>
        <w:rPr>
          <w:rFonts w:ascii="Barlow Semi Condensed" w:cs="Barlow Semi Condensed" w:eastAsia="Barlow Semi Condensed" w:hAnsi="Barlow Semi Condensed"/>
          <w:sz w:val="24"/>
          <w:szCs w:val="24"/>
        </w:rPr>
        <w:t xml:space="preserve">. Un grafo dietrologico avrebbe la proporzione inversa.</w:t>
      </w:r>
    </w:p>
    <w:p>
      <w:pPr>
        <w:pStyle w:val="Heading2"/>
        <w:spacing w:after="100" w:before="200"/>
      </w:pPr>
      <w:r>
        <w:rPr>
          <w:rFonts w:ascii="Barlow Semi Condensed" w:cs="Barlow Semi Condensed" w:eastAsia="Barlow Semi Condensed" w:hAnsi="Barlow Semi Condensed"/>
          <w:sz w:val="24"/>
          <w:szCs w:val="24"/>
        </w:rPr>
        <w:t xml:space="preserve">6-bis. La tavola percentuale del documentato, esclusa la componente BR</w:t>
      </w:r>
    </w:p>
    <w:p>
      <w:pPr>
        <w:spacing w:after="120" w:line="276"/>
        <w:jc w:val="both"/>
      </w:pPr>
      <w:r>
        <w:rPr>
          <w:rFonts w:ascii="Barlow Semi Condensed" w:cs="Barlow Semi Condensed" w:eastAsia="Barlow Semi Condensed" w:hAnsi="Barlow Semi Condensed"/>
          <w:sz w:val="24"/>
          <w:szCs w:val="24"/>
        </w:rPr>
        <w:t xml:space="preserve">Su richiesta dell'autore si è calcolata la ripartizione percentuale — da 0,1 a 100, dove 100 è il totale — </w:t>
      </w:r>
      <w:r>
        <w:rPr>
          <w:rFonts w:ascii="Barlow Semi Condensed" w:cs="Barlow Semi Condensed" w:eastAsia="Barlow Semi Condensed" w:hAnsi="Barlow Semi Condensed"/>
          <w:b/>
          <w:bCs/>
          <w:sz w:val="24"/>
          <w:szCs w:val="24"/>
        </w:rPr>
        <w:t xml:space="preserve">del solo oggetto che ammette percentuali nel regime pubblico: la documentazione</w:t>
      </w:r>
      <w:r>
        <w:rPr>
          <w:rFonts w:ascii="Barlow Semi Condensed" w:cs="Barlow Semi Condensed" w:eastAsia="Barlow Semi Condensed" w:hAnsi="Barlow Semi Condensed"/>
          <w:sz w:val="24"/>
          <w:szCs w:val="24"/>
        </w:rPr>
        <w:t xml:space="preserve">. Escludendo l'intera componente BR (l'organizzazione e i tredici condannati del registro), le quote di </w:t>
      </w:r>
      <w:r>
        <w:rPr>
          <w:rFonts w:ascii="Barlow Semi Condensed" w:cs="Barlow Semi Condensed" w:eastAsia="Barlow Semi Condensed" w:hAnsi="Barlow Semi Condensed"/>
          <w:b/>
          <w:bCs/>
          <w:sz w:val="24"/>
          <w:szCs w:val="24"/>
        </w:rPr>
        <w:t xml:space="preserve">centralità documentale</w:t>
      </w:r>
      <w:r>
        <w:rPr>
          <w:rFonts w:ascii="Barlow Semi Condensed" w:cs="Barlow Semi Condensed" w:eastAsia="Barlow Semi Condensed" w:hAnsi="Barlow Semi Condensed"/>
          <w:sz w:val="24"/>
          <w:szCs w:val="24"/>
        </w:rPr>
        <w:t xml:space="preserve"> (betweenness normalizzata a 100 sul comparto non-BR) sono:</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c>
          <w:tcPr>
            <w:tcW w:type="dxa" w:w="312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Nodo non-BR</w:t>
            </w:r>
          </w:p>
        </w:tc>
        <w:tc>
          <w:tcPr>
            <w:tcW w:type="dxa" w:w="312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Quota di intermediazione documentale</w:t>
            </w:r>
          </w:p>
        </w:tc>
        <w:tc>
          <w:tcPr>
            <w:tcW w:type="dxa" w:w="312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Quota di connessioni</w:t>
            </w:r>
          </w:p>
        </w:tc>
      </w:tr>
      <w:tr>
        <w:tc>
          <w:tcPr>
            <w:tcW w:type="dxa" w:w="3120"/>
          </w:tcPr>
          <w:p>
            <w:pPr>
              <w:spacing w:after="20" w:before="20"/>
              <w:jc w:val="both"/>
            </w:pPr>
            <w:r>
              <w:rPr>
                <w:rFonts w:ascii="Barlow Semi Condensed" w:cs="Barlow Semi Condensed" w:eastAsia="Barlow Semi Condensed" w:hAnsi="Barlow Semi Condensed"/>
                <w:b/>
                <w:bCs/>
                <w:sz w:val="20"/>
                <w:szCs w:val="20"/>
              </w:rPr>
              <w:t xml:space="preserve">CPM</w:t>
            </w:r>
          </w:p>
        </w:tc>
        <w:tc>
          <w:tcPr>
            <w:tcW w:type="dxa" w:w="3120"/>
          </w:tcPr>
          <w:p>
            <w:pPr>
              <w:spacing w:after="20" w:before="20"/>
              <w:jc w:val="both"/>
            </w:pPr>
            <w:r>
              <w:rPr>
                <w:rFonts w:ascii="Barlow Semi Condensed" w:cs="Barlow Semi Condensed" w:eastAsia="Barlow Semi Condensed" w:hAnsi="Barlow Semi Condensed"/>
                <w:b/>
                <w:bCs/>
                <w:sz w:val="20"/>
                <w:szCs w:val="20"/>
              </w:rPr>
              <w:t xml:space="preserve">24,7%</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4,8%</w:t>
            </w:r>
          </w:p>
        </w:tc>
      </w:tr>
      <w:tr>
        <w:tc>
          <w:tcPr>
            <w:tcW w:type="dxa" w:w="3120"/>
          </w:tcPr>
          <w:p>
            <w:pPr>
              <w:spacing w:after="20" w:before="20"/>
              <w:jc w:val="both"/>
            </w:pPr>
            <w:r>
              <w:rPr>
                <w:rFonts w:ascii="Barlow Semi Condensed" w:cs="Barlow Semi Condensed" w:eastAsia="Barlow Semi Condensed" w:hAnsi="Barlow Semi Condensed"/>
                <w:b/>
                <w:bCs/>
                <w:sz w:val="20"/>
                <w:szCs w:val="20"/>
              </w:rPr>
              <w:t xml:space="preserve">Simioni</w:t>
            </w:r>
          </w:p>
        </w:tc>
        <w:tc>
          <w:tcPr>
            <w:tcW w:type="dxa" w:w="3120"/>
          </w:tcPr>
          <w:p>
            <w:pPr>
              <w:spacing w:after="20" w:before="20"/>
              <w:jc w:val="both"/>
            </w:pPr>
            <w:r>
              <w:rPr>
                <w:rFonts w:ascii="Barlow Semi Condensed" w:cs="Barlow Semi Condensed" w:eastAsia="Barlow Semi Condensed" w:hAnsi="Barlow Semi Condensed"/>
                <w:b/>
                <w:bCs/>
                <w:sz w:val="20"/>
                <w:szCs w:val="20"/>
              </w:rPr>
              <w:t xml:space="preserve">22,5%</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6,5%</w:t>
            </w:r>
          </w:p>
        </w:tc>
      </w:tr>
      <w:tr>
        <w:tc>
          <w:tcPr>
            <w:tcW w:type="dxa" w:w="3120"/>
          </w:tcPr>
          <w:p>
            <w:pPr>
              <w:spacing w:after="20" w:before="20"/>
              <w:jc w:val="both"/>
            </w:pPr>
            <w:r>
              <w:rPr>
                <w:rFonts w:ascii="Barlow Semi Condensed" w:cs="Barlow Semi Condensed" w:eastAsia="Barlow Semi Condensed" w:hAnsi="Barlow Semi Condensed"/>
                <w:b/>
                <w:bCs/>
                <w:sz w:val="20"/>
                <w:szCs w:val="20"/>
              </w:rPr>
              <w:t xml:space="preserve">Hyperion</w:t>
            </w:r>
          </w:p>
        </w:tc>
        <w:tc>
          <w:tcPr>
            <w:tcW w:type="dxa" w:w="3120"/>
          </w:tcPr>
          <w:p>
            <w:pPr>
              <w:spacing w:after="20" w:before="20"/>
              <w:jc w:val="both"/>
            </w:pPr>
            <w:r>
              <w:rPr>
                <w:rFonts w:ascii="Barlow Semi Condensed" w:cs="Barlow Semi Condensed" w:eastAsia="Barlow Semi Condensed" w:hAnsi="Barlow Semi Condensed"/>
                <w:b/>
                <w:bCs/>
                <w:sz w:val="20"/>
                <w:szCs w:val="20"/>
              </w:rPr>
              <w:t xml:space="preserve">12,5%</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6,5%</w:t>
            </w:r>
          </w:p>
        </w:tc>
      </w:tr>
      <w:tr>
        <w:tc>
          <w:tcPr>
            <w:tcW w:type="dxa" w:w="3120"/>
          </w:tcPr>
          <w:p>
            <w:pPr>
              <w:spacing w:after="20" w:before="20"/>
              <w:jc w:val="both"/>
            </w:pPr>
            <w:r>
              <w:rPr>
                <w:rFonts w:ascii="Barlow Semi Condensed" w:cs="Barlow Semi Condensed" w:eastAsia="Barlow Semi Condensed" w:hAnsi="Barlow Semi Condensed"/>
                <w:sz w:val="20"/>
                <w:szCs w:val="20"/>
              </w:rPr>
              <w:t xml:space="preserve">via Fani (evento)</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11,2%</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14,5%</w:t>
            </w:r>
          </w:p>
        </w:tc>
      </w:tr>
      <w:tr>
        <w:tc>
          <w:tcPr>
            <w:tcW w:type="dxa" w:w="3120"/>
          </w:tcPr>
          <w:p>
            <w:pPr>
              <w:spacing w:after="20" w:before="20"/>
              <w:jc w:val="both"/>
            </w:pPr>
            <w:r>
              <w:rPr>
                <w:rFonts w:ascii="Barlow Semi Condensed" w:cs="Barlow Semi Condensed" w:eastAsia="Barlow Semi Condensed" w:hAnsi="Barlow Semi Condensed"/>
                <w:sz w:val="20"/>
                <w:szCs w:val="20"/>
              </w:rPr>
              <w:t xml:space="preserve">Curcio</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8,6%</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3,2%</w:t>
            </w:r>
          </w:p>
        </w:tc>
      </w:tr>
      <w:tr>
        <w:tc>
          <w:tcPr>
            <w:tcW w:type="dxa" w:w="3120"/>
          </w:tcPr>
          <w:p>
            <w:pPr>
              <w:spacing w:after="20" w:before="20"/>
              <w:jc w:val="both"/>
            </w:pPr>
            <w:r>
              <w:rPr>
                <w:rFonts w:ascii="Barlow Semi Condensed" w:cs="Barlow Semi Condensed" w:eastAsia="Barlow Semi Condensed" w:hAnsi="Barlow Semi Condensed"/>
                <w:sz w:val="20"/>
                <w:szCs w:val="20"/>
              </w:rPr>
              <w:t xml:space="preserve">Berio</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7,5%</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4,8%</w:t>
            </w:r>
          </w:p>
        </w:tc>
      </w:tr>
      <w:tr>
        <w:tc>
          <w:tcPr>
            <w:tcW w:type="dxa" w:w="3120"/>
          </w:tcPr>
          <w:p>
            <w:pPr>
              <w:spacing w:after="20" w:before="20"/>
              <w:jc w:val="both"/>
            </w:pPr>
            <w:r>
              <w:rPr>
                <w:rFonts w:ascii="Barlow Semi Condensed" w:cs="Barlow Semi Condensed" w:eastAsia="Barlow Semi Condensed" w:hAnsi="Barlow Semi Condensed"/>
                <w:sz w:val="20"/>
                <w:szCs w:val="20"/>
              </w:rPr>
              <w:t xml:space="preserve">Franceschini</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4,5%</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4,8%</w:t>
            </w:r>
          </w:p>
        </w:tc>
      </w:tr>
      <w:tr>
        <w:tc>
          <w:tcPr>
            <w:tcW w:type="dxa" w:w="3120"/>
          </w:tcPr>
          <w:p>
            <w:pPr>
              <w:spacing w:after="20" w:before="20"/>
              <w:jc w:val="both"/>
            </w:pPr>
            <w:r>
              <w:rPr>
                <w:rFonts w:ascii="Barlow Semi Condensed" w:cs="Barlow Semi Condensed" w:eastAsia="Barlow Semi Condensed" w:hAnsi="Barlow Semi Condensed"/>
                <w:sz w:val="20"/>
                <w:szCs w:val="20"/>
              </w:rPr>
              <w:t xml:space="preserve">Pace</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2,2%</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4,8%</w:t>
            </w:r>
          </w:p>
        </w:tc>
      </w:tr>
      <w:tr>
        <w:tc>
          <w:tcPr>
            <w:tcW w:type="dxa" w:w="3120"/>
          </w:tcPr>
          <w:p>
            <w:pPr>
              <w:spacing w:after="20" w:before="20"/>
              <w:jc w:val="both"/>
            </w:pPr>
            <w:r>
              <w:rPr>
                <w:rFonts w:ascii="Barlow Semi Condensed" w:cs="Barlow Semi Condensed" w:eastAsia="Barlow Semi Condensed" w:hAnsi="Barlow Semi Condensed"/>
                <w:sz w:val="20"/>
                <w:szCs w:val="20"/>
              </w:rPr>
              <w:t xml:space="preserve">via Montalcini (luogo)</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2,0%</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6,5%</w:t>
            </w:r>
          </w:p>
        </w:tc>
      </w:tr>
      <w:tr>
        <w:tc>
          <w:tcPr>
            <w:tcW w:type="dxa" w:w="3120"/>
          </w:tcPr>
          <w:p>
            <w:pPr>
              <w:spacing w:after="20" w:before="20"/>
              <w:jc w:val="both"/>
            </w:pPr>
            <w:r>
              <w:rPr>
                <w:rFonts w:ascii="Barlow Semi Condensed" w:cs="Barlow Semi Condensed" w:eastAsia="Barlow Semi Condensed" w:hAnsi="Barlow Semi Condensed"/>
                <w:sz w:val="20"/>
                <w:szCs w:val="20"/>
              </w:rPr>
              <w:t xml:space="preserve">Abbé Pierre</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1,6%</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3,2%</w:t>
            </w:r>
          </w:p>
        </w:tc>
      </w:tr>
      <w:tr>
        <w:tc>
          <w:tcPr>
            <w:tcW w:type="dxa" w:w="3120"/>
          </w:tcPr>
          <w:p>
            <w:pPr>
              <w:spacing w:after="20" w:before="20"/>
              <w:jc w:val="both"/>
            </w:pPr>
            <w:r>
              <w:rPr>
                <w:rFonts w:ascii="Barlow Semi Condensed" w:cs="Barlow Semi Condensed" w:eastAsia="Barlow Semi Condensed" w:hAnsi="Barlow Semi Condensed"/>
                <w:sz w:val="20"/>
                <w:szCs w:val="20"/>
              </w:rPr>
              <w:t xml:space="preserve">Piperno</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1,5%</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4,8%</w:t>
            </w:r>
          </w:p>
        </w:tc>
      </w:tr>
      <w:tr>
        <w:tc>
          <w:tcPr>
            <w:tcW w:type="dxa" w:w="3120"/>
          </w:tcPr>
          <w:p>
            <w:pPr>
              <w:spacing w:after="20" w:before="20"/>
              <w:jc w:val="both"/>
            </w:pPr>
            <w:r>
              <w:rPr>
                <w:rFonts w:ascii="Barlow Semi Condensed" w:cs="Barlow Semi Condensed" w:eastAsia="Barlow Semi Condensed" w:hAnsi="Barlow Semi Condensed"/>
                <w:sz w:val="20"/>
                <w:szCs w:val="20"/>
              </w:rPr>
              <w:t xml:space="preserve">gruppo dell'appartamento (RE)</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0,5%</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4,8%</w:t>
            </w:r>
          </w:p>
        </w:tc>
      </w:tr>
      <w:tr>
        <w:tc>
          <w:tcPr>
            <w:tcW w:type="dxa" w:w="3120"/>
          </w:tcPr>
          <w:p>
            <w:pPr>
              <w:spacing w:after="20" w:before="20"/>
              <w:jc w:val="both"/>
            </w:pPr>
            <w:r>
              <w:rPr>
                <w:rFonts w:ascii="Barlow Semi Condensed" w:cs="Barlow Semi Condensed" w:eastAsia="Barlow Semi Condensed" w:hAnsi="Barlow Semi Condensed"/>
                <w:sz w:val="20"/>
                <w:szCs w:val="20"/>
              </w:rPr>
              <w:t xml:space="preserve">Potere Operaio</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0,4%</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6,5%</w:t>
            </w:r>
          </w:p>
        </w:tc>
      </w:tr>
      <w:tr>
        <w:tc>
          <w:tcPr>
            <w:tcW w:type="dxa" w:w="3120"/>
          </w:tcPr>
          <w:p>
            <w:pPr>
              <w:spacing w:after="20" w:before="20"/>
              <w:jc w:val="both"/>
            </w:pPr>
            <w:r>
              <w:rPr>
                <w:rFonts w:ascii="Barlow Semi Condensed" w:cs="Barlow Semi Condensed" w:eastAsia="Barlow Semi Condensed" w:hAnsi="Barlow Semi Condensed"/>
                <w:sz w:val="20"/>
                <w:szCs w:val="20"/>
              </w:rPr>
              <w:t xml:space="preserve">Mulinaris</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0,2%</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3,2%</w:t>
            </w:r>
          </w:p>
        </w:tc>
      </w:tr>
      <w:tr>
        <w:tc>
          <w:tcPr>
            <w:tcW w:type="dxa" w:w="3120"/>
          </w:tcPr>
          <w:p>
            <w:pPr>
              <w:spacing w:after="20" w:before="20"/>
              <w:jc w:val="both"/>
            </w:pPr>
            <w:r>
              <w:rPr>
                <w:rFonts w:ascii="Barlow Semi Condensed" w:cs="Barlow Semi Condensed" w:eastAsia="Barlow Semi Condensed" w:hAnsi="Barlow Semi Condensed"/>
                <w:sz w:val="20"/>
                <w:szCs w:val="20"/>
              </w:rPr>
              <w:t xml:space="preserve">canale PSI</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0,1%</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3,2%</w:t>
            </w:r>
          </w:p>
        </w:tc>
      </w:tr>
      <w:tr>
        <w:tc>
          <w:tcPr>
            <w:tcW w:type="dxa" w:w="3120"/>
          </w:tcPr>
          <w:p>
            <w:pPr>
              <w:spacing w:after="20" w:before="20"/>
              <w:jc w:val="both"/>
            </w:pPr>
            <w:r>
              <w:rPr>
                <w:rFonts w:ascii="Barlow Semi Condensed" w:cs="Barlow Semi Condensed" w:eastAsia="Barlow Semi Condensed" w:hAnsi="Barlow Semi Condensed"/>
                <w:sz w:val="20"/>
                <w:szCs w:val="20"/>
              </w:rPr>
              <w:t xml:space="preserve">Superclan · Sit-Siemens · Sala stampa vaticana · SID (approccio respinto) · Nicaragua · Svizzera · Monte Nevoso · Malagugini · Feltrinelli · Feltrinelli Editore</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0,0% (nodi terminali)</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1,6-3,2% ciascuno</w:t>
            </w:r>
          </w:p>
        </w:tc>
      </w:tr>
    </w:tbl>
    <w:p>
      <w:pPr>
        <w:spacing w:after="80"/>
      </w:pPr>
    </w:p>
    <w:p>
      <w:pPr>
        <w:spacing w:after="120" w:line="276"/>
        <w:jc w:val="both"/>
      </w:pPr>
      <w:r>
        <w:rPr>
          <w:rFonts w:ascii="Barlow Semi Condensed" w:cs="Barlow Semi Condensed" w:eastAsia="Barlow Semi Condensed" w:hAnsi="Barlow Semi Condensed"/>
          <w:sz w:val="24"/>
          <w:szCs w:val="24"/>
        </w:rPr>
        <w:t xml:space="preserve">E la ripartizione percentuale </w:t>
      </w:r>
      <w:r>
        <w:rPr>
          <w:rFonts w:ascii="Barlow Semi Condensed" w:cs="Barlow Semi Condensed" w:eastAsia="Barlow Semi Condensed" w:hAnsi="Barlow Semi Condensed"/>
          <w:b/>
          <w:bCs/>
          <w:sz w:val="24"/>
          <w:szCs w:val="24"/>
        </w:rPr>
        <w:t xml:space="preserve">dei gradi di prova</w:t>
      </w:r>
      <w:r>
        <w:rPr>
          <w:rFonts w:ascii="Barlow Semi Condensed" w:cs="Barlow Semi Condensed" w:eastAsia="Barlow Semi Condensed" w:hAnsi="Barlow Semi Condensed"/>
          <w:sz w:val="24"/>
          <w:szCs w:val="24"/>
        </w:rPr>
        <w:t xml:space="preserve"> sugli archi: sull'intera rete, </w:t>
      </w:r>
      <w:r>
        <w:rPr>
          <w:rFonts w:ascii="Barlow Semi Condensed" w:cs="Barlow Semi Condensed" w:eastAsia="Barlow Semi Condensed" w:hAnsi="Barlow Semi Condensed"/>
          <w:b/>
          <w:bCs/>
          <w:sz w:val="24"/>
          <w:szCs w:val="24"/>
        </w:rPr>
        <w:t xml:space="preserve">A 47,5% · F 44,1% · B 8,5%</w:t>
      </w:r>
      <w:r>
        <w:rPr>
          <w:rFonts w:ascii="Barlow Semi Condensed" w:cs="Barlow Semi Condensed" w:eastAsia="Barlow Semi Condensed" w:hAnsi="Barlow Semi Condensed"/>
          <w:sz w:val="24"/>
          <w:szCs w:val="24"/>
        </w:rPr>
        <w:t xml:space="preserve">; ma sul solo comparto </w:t>
      </w:r>
      <w:r>
        <w:rPr>
          <w:rFonts w:ascii="Barlow Semi Condensed" w:cs="Barlow Semi Condensed" w:eastAsia="Barlow Semi Condensed" w:hAnsi="Barlow Semi Condensed"/>
          <w:b/>
          <w:bCs/>
          <w:sz w:val="24"/>
          <w:szCs w:val="24"/>
        </w:rPr>
        <w:t xml:space="preserve">interamente non-BR</w:t>
      </w:r>
      <w:r>
        <w:rPr>
          <w:rFonts w:ascii="Barlow Semi Condensed" w:cs="Barlow Semi Condensed" w:eastAsia="Barlow Semi Condensed" w:hAnsi="Barlow Semi Condensed"/>
          <w:sz w:val="24"/>
          <w:szCs w:val="24"/>
        </w:rPr>
        <w:t xml:space="preserve"> (17 archi su 59, il 28,8% della rete): </w:t>
      </w:r>
      <w:r>
        <w:rPr>
          <w:rFonts w:ascii="Barlow Semi Condensed" w:cs="Barlow Semi Condensed" w:eastAsia="Barlow Semi Condensed" w:hAnsi="Barlow Semi Condensed"/>
          <w:b/>
          <w:bCs/>
          <w:sz w:val="24"/>
          <w:szCs w:val="24"/>
        </w:rPr>
        <w:t xml:space="preserve">F 82,4% · B 17,6% · A 0,0%</w:t>
      </w:r>
      <w:r>
        <w:rPr>
          <w:rFonts w:ascii="Barlow Semi Condensed" w:cs="Barlow Semi Condensed" w:eastAsia="Barlow Semi Condensed" w:hAnsi="Barlow Semi Condensed"/>
          <w:sz w:val="24"/>
          <w:szCs w:val="24"/>
        </w:rPr>
        <w:t xml:space="preserve">.</w:t>
      </w:r>
    </w:p>
    <w:p>
      <w:pPr>
        <w:spacing w:after="120" w:line="276"/>
        <w:jc w:val="both"/>
      </w:pPr>
      <w:r>
        <w:rPr>
          <w:rFonts w:ascii="Barlow Semi Condensed" w:cs="Barlow Semi Condensed" w:eastAsia="Barlow Semi Condensed" w:hAnsi="Barlow Semi Condensed"/>
          <w:b/>
          <w:bCs/>
          <w:sz w:val="24"/>
          <w:szCs w:val="24"/>
        </w:rPr>
        <w:t xml:space="preserve">La lettura, che è il punto.</w:t>
      </w:r>
      <w:r>
        <w:rPr>
          <w:rFonts w:ascii="Barlow Semi Condensed" w:cs="Barlow Semi Condensed" w:eastAsia="Barlow Semi Condensed" w:hAnsi="Barlow Semi Condensed"/>
          <w:sz w:val="24"/>
          <w:szCs w:val="24"/>
        </w:rPr>
        <w:t xml:space="preserve"> Queste percentuali misurano </w:t>
      </w:r>
      <w:r>
        <w:rPr>
          <w:rFonts w:ascii="Barlow Semi Condensed" w:cs="Barlow Semi Condensed" w:eastAsia="Barlow Semi Condensed" w:hAnsi="Barlow Semi Condensed"/>
          <w:i/>
          <w:iCs/>
          <w:sz w:val="24"/>
          <w:szCs w:val="24"/>
        </w:rPr>
        <w:t xml:space="preserve">documenti</w:t>
      </w:r>
      <w:r>
        <w:rPr>
          <w:rFonts w:ascii="Barlow Semi Condensed" w:cs="Barlow Semi Condensed" w:eastAsia="Barlow Semi Condensed" w:hAnsi="Barlow Semi Condensed"/>
          <w:sz w:val="24"/>
          <w:szCs w:val="24"/>
        </w:rPr>
        <w:t xml:space="preserve">, e lo dicono da sole: fuori dalla componente BR, il tessuto documentato è fatto per oltre quattro quinti di </w:t>
      </w:r>
      <w:r>
        <w:rPr>
          <w:rFonts w:ascii="Barlow Semi Condensed" w:cs="Barlow Semi Condensed" w:eastAsia="Barlow Semi Condensed" w:hAnsi="Barlow Semi Condensed"/>
          <w:b/>
          <w:bCs/>
          <w:sz w:val="24"/>
          <w:szCs w:val="24"/>
        </w:rPr>
        <w:t xml:space="preserve">fatti biografici</w:t>
      </w:r>
      <w:r>
        <w:rPr>
          <w:rFonts w:ascii="Barlow Semi Condensed" w:cs="Barlow Semi Condensed" w:eastAsia="Barlow Semi Condensed" w:hAnsi="Barlow Semi Condensed"/>
          <w:sz w:val="24"/>
          <w:szCs w:val="24"/>
        </w:rPr>
        <w:t xml:space="preserve"> e per il resto di </w:t>
      </w:r>
      <w:r>
        <w:rPr>
          <w:rFonts w:ascii="Barlow Semi Condensed" w:cs="Barlow Semi Condensed" w:eastAsia="Barlow Semi Condensed" w:hAnsi="Barlow Semi Condensed"/>
          <w:b/>
          <w:bCs/>
          <w:sz w:val="24"/>
          <w:szCs w:val="24"/>
        </w:rPr>
        <w:t xml:space="preserve">accertamenti non giudiziari</w:t>
      </w:r>
      <w:r>
        <w:rPr>
          <w:rFonts w:ascii="Barlow Semi Condensed" w:cs="Barlow Semi Condensed" w:eastAsia="Barlow Semi Condensed" w:hAnsi="Barlow Semi Condensed"/>
          <w:sz w:val="24"/>
          <w:szCs w:val="24"/>
        </w:rPr>
        <w:t xml:space="preserve"> — e </w:t>
      </w:r>
      <w:r>
        <w:rPr>
          <w:rFonts w:ascii="Barlow Semi Condensed" w:cs="Barlow Semi Condensed" w:eastAsia="Barlow Semi Condensed" w:hAnsi="Barlow Semi Condensed"/>
          <w:b/>
          <w:bCs/>
          <w:sz w:val="24"/>
          <w:szCs w:val="24"/>
        </w:rPr>
        <w:t xml:space="preserve">non contiene un solo arco di giudicato: zero per cento</w:t>
      </w:r>
      <w:r>
        <w:rPr>
          <w:rFonts w:ascii="Barlow Semi Condensed" w:cs="Barlow Semi Condensed" w:eastAsia="Barlow Semi Condensed" w:hAnsi="Barlow Semi Condensed"/>
          <w:sz w:val="24"/>
          <w:szCs w:val="24"/>
        </w:rPr>
        <w:t xml:space="preserve">. È la dimostrazione quantitativa del divieto che governa il corpus: una ripartizione percentuale di </w:t>
      </w:r>
      <w:r>
        <w:rPr>
          <w:rFonts w:ascii="Barlow Semi Condensed" w:cs="Barlow Semi Condensed" w:eastAsia="Barlow Semi Condensed" w:hAnsi="Barlow Semi Condensed"/>
          <w:i/>
          <w:iCs/>
          <w:sz w:val="24"/>
          <w:szCs w:val="24"/>
        </w:rPr>
        <w:t xml:space="preserve">responsabilità</w:t>
      </w:r>
      <w:r>
        <w:rPr>
          <w:rFonts w:ascii="Barlow Semi Condensed" w:cs="Barlow Semi Condensed" w:eastAsia="Barlow Semi Condensed" w:hAnsi="Barlow Semi Condensed"/>
          <w:sz w:val="24"/>
          <w:szCs w:val="24"/>
        </w:rPr>
        <w:t xml:space="preserve"> fra soggetti non-BR dovrebbe costruirsi su un comparto che non contiene alcun collegamento di grado A — cioè su nulla che un tribunale abbia mai accertato. Le uniche percentuali oneste possibili sono queste: quote di centralità nella documentazione (dove il 24,7% del CPM dice che un collettivo del 1969 è il ponte fra i mondi documentali, non che «pesa» un quarto di alcunché), e quote di grado (dove lo 0,0% di A non-BR dice perché la graduatoria dei piani superiori non può esistere sul branch pubblico). Il giorno in cui un documento facesse salire quel numero sopra lo zero, sarebbe il documento a parlare — non la percentuale.</w:t>
      </w:r>
    </w:p>
    <w:p>
      <w:pPr>
        <w:pStyle w:val="Heading2"/>
        <w:spacing w:after="100" w:before="200"/>
      </w:pPr>
      <w:r>
        <w:rPr>
          <w:rFonts w:ascii="Barlow Semi Condensed" w:cs="Barlow Semi Condensed" w:eastAsia="Barlow Semi Condensed" w:hAnsi="Barlow Semi Condensed"/>
          <w:sz w:val="24"/>
          <w:szCs w:val="24"/>
        </w:rPr>
        <w:t xml:space="preserve">7. Chiusura</w:t>
      </w:r>
    </w:p>
    <w:p>
      <w:pPr>
        <w:spacing w:after="120" w:line="276"/>
        <w:jc w:val="both"/>
      </w:pPr>
      <w:r>
        <w:rPr>
          <w:rFonts w:ascii="Barlow Semi Condensed" w:cs="Barlow Semi Condensed" w:eastAsia="Barlow Semi Condensed" w:hAnsi="Barlow Semi Condensed"/>
          <w:sz w:val="24"/>
          <w:szCs w:val="24"/>
        </w:rPr>
        <w:t xml:space="preserve">Gli strumenti del Dossier, applicati nel regime pubblico, non hanno prodotto nomi nuovi né gradi nuovi: hanno prodotto </w:t>
      </w:r>
      <w:r>
        <w:rPr>
          <w:rFonts w:ascii="Barlow Semi Condensed" w:cs="Barlow Semi Condensed" w:eastAsia="Barlow Semi Condensed" w:hAnsi="Barlow Semi Condensed"/>
          <w:b/>
          <w:bCs/>
          <w:sz w:val="24"/>
          <w:szCs w:val="24"/>
        </w:rPr>
        <w:t xml:space="preserve">forma</w:t>
      </w:r>
      <w:r>
        <w:rPr>
          <w:rFonts w:ascii="Barlow Semi Condensed" w:cs="Barlow Semi Condensed" w:eastAsia="Barlow Semi Condensed" w:hAnsi="Barlow Semi Condensed"/>
          <w:sz w:val="24"/>
          <w:szCs w:val="24"/>
        </w:rPr>
        <w:t xml:space="preserve"> — la regola dell'anello debole, la regola dei buchi, due matrici ACH che dicono quale evidenza manca, e una rete in cui il ponte fra i mondi ha un nome che era già scritto in tutte le triangolazioni: il ceppo del 1969. Quando gli strumenti quantitativi confermano ciò che la disciplina qualitativa aveva stabilito, non è ridondanza: è </w:t>
      </w:r>
      <w:r>
        <w:rPr>
          <w:rFonts w:ascii="Barlow Semi Condensed" w:cs="Barlow Semi Condensed" w:eastAsia="Barlow Semi Condensed" w:hAnsi="Barlow Semi Condensed"/>
          <w:b/>
          <w:bCs/>
          <w:sz w:val="24"/>
          <w:szCs w:val="24"/>
        </w:rPr>
        <w:t xml:space="preserve">consilienza metodologica</w:t>
      </w:r>
      <w:r>
        <w:rPr>
          <w:rFonts w:ascii="Barlow Semi Condensed" w:cs="Barlow Semi Condensed" w:eastAsia="Barlow Semi Condensed" w:hAnsi="Barlow Semi Condensed"/>
          <w:sz w:val="24"/>
          <w:szCs w:val="24"/>
        </w:rPr>
        <w:t xml:space="preserve"> — due strade indipendenti, lo stesso confine fra il provato e il congetturale. Il Dossier maggiore usa questi strumenti per andare oltre quel confine, sotto la responsabilità del suo autore; il branch pubblico li usa per tracciarlo con esattezza. È la stessa cassetta degli attrezzi, ed è la differenza fra i due cantieri.</w:t>
      </w:r>
    </w:p>
    <w:p>
      <w:pPr>
        <w:pBdr>
          <w:bottom w:val="single" w:color="999999" w:sz="6" w:space="1"/>
        </w:pBdr>
        <w:spacing w:after="80"/>
      </w:pPr>
    </w:p>
    <w:p>
      <w:pPr>
        <w:spacing w:after="120" w:line="276"/>
        <w:jc w:val="both"/>
      </w:pPr>
      <w:r>
        <w:rPr>
          <w:rFonts w:ascii="Barlow Semi Condensed" w:cs="Barlow Semi Condensed" w:eastAsia="Barlow Semi Condensed" w:hAnsi="Barlow Semi Condensed"/>
          <w:i/>
          <w:iCs/>
          <w:sz w:val="24"/>
          <w:szCs w:val="24"/>
        </w:rPr>
        <w:t xml:space="preserve">Documento di metodo: le metodologie del Dossier maggiore (sinaptogenesi/teoria delle reti, ACH di Heuer, paradigma indiziario, consilienza, auto-misurazione) applicate al corpus pubblico. Tutti i calcoli eseguiti realmente sul grafo dei soli legami documentati (39 nodi, 59 archi con grado) e sui sorgenti del branch, col procedimento dichiarato. Due regole formalizzate: il grado di un cammino è il minimo dei suoi archi; i buchi strutturali si misurano e non si riempiono. Nessuna metrica misura colpe: misura documenti. Nessun quesito ACH riguarda persone; nessuna probabilità numerica è assegnata; il registro del giudicato resta l'unico luogo dei nomi.</w:t>
      </w:r>
    </w:p>
    <w:p>
      <w:pPr>
        <w:pStyle w:val="Heading3"/>
        <w:spacing w:after="80" w:before="240"/>
      </w:pPr>
      <w:r>
        <w:rPr>
          <w:rFonts w:ascii="Barlow Semi Condensed" w:cs="Barlow Semi Condensed" w:eastAsia="Barlow Semi Condensed" w:hAnsi="Barlow Semi Condensed"/>
          <w:sz w:val="24"/>
          <w:szCs w:val="24"/>
        </w:rPr>
        <w:t xml:space="preserve">Apparato grafico — Libro ottavo · Le metodologie del Dossier, calcolate</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1"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Libro ottavo II: 2.457 parole in 9 sezioni; la più ampia è §5 4. L'analisi delle ipotesi concorrenti  sui n…, con 536.</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2"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Libro ottavo II: 30 paragrafi in 9 sezioni, 3 in media per sezione.</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3"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Le metriche calcolate sulla rete dei documenti (39 nodi, 59 archi): misurano documentazione, mai colpe.</w:t>
      </w:r>
    </w:p>
    <w:p>
      <w:pPr>
        <w:spacing w:after="120"/>
        <w:jc w:val="center"/>
      </w:pPr>
      <w:r>
        <w:rPr>
          <w:rFonts w:ascii="Barlow Semi Condensed" w:cs="Barlow Semi Condensed" w:eastAsia="Barlow Semi Condensed" w:hAnsi="Barlow Semi Condensed"/>
          <w:color w:val="777777"/>
          <w:sz w:val="16"/>
          <w:szCs w:val="16"/>
        </w:rPr>
        <w:t xml:space="preserve">Le metriche dell'apparato contano parole, documenti e atti — mai colpe.</w:t>
      </w:r>
    </w:p>
    <w:p>
      <w:r>
        <w:br w:type="page"/>
      </w:r>
    </w:p>
    <w:p>
      <w:pPr>
        <w:pStyle w:val="Heading1"/>
        <w:spacing w:after="120" w:before="240"/>
      </w:pPr>
      <w:r>
        <w:rPr>
          <w:rFonts w:ascii="Barlow Semi Condensed" w:cs="Barlow Semi Condensed" w:eastAsia="Barlow Semi Condensed" w:hAnsi="Barlow Semi Condensed"/>
          <w:sz w:val="24"/>
          <w:szCs w:val="24"/>
        </w:rPr>
        <w:t xml:space="preserve">Libro nono — Il registro giudiziario</w:t>
      </w:r>
    </w:p>
    <w:p>
      <w:pPr>
        <w:pStyle w:val="Heading2"/>
        <w:spacing w:after="100" w:before="200"/>
      </w:pPr>
      <w:r>
        <w:rPr>
          <w:rFonts w:ascii="Barlow Semi Condensed" w:cs="Barlow Semi Condensed" w:eastAsia="Barlow Semi Condensed" w:hAnsi="Barlow Semi Condensed"/>
          <w:sz w:val="24"/>
          <w:szCs w:val="24"/>
        </w:rPr>
        <w:t xml:space="preserve">Fase settima — Il registro giudiziario e il vaglio della Commissione Moro 2</w:t>
      </w:r>
    </w:p>
    <w:p>
      <w:pPr>
        <w:spacing w:after="120" w:line="276"/>
        <w:jc w:val="both"/>
      </w:pPr>
      <w:r>
        <w:rPr>
          <w:rFonts w:ascii="Barlow Semi Condensed" w:cs="Barlow Semi Condensed" w:eastAsia="Barlow Semi Condensed" w:hAnsi="Barlow Semi Condensed"/>
          <w:i/>
          <w:iCs/>
          <w:sz w:val="24"/>
          <w:szCs w:val="24"/>
        </w:rPr>
        <w:t xml:space="preserve">Ampliamento dell'opera — 25 agosto 2026 · Capitoli 56-61</w:t>
      </w:r>
    </w:p>
    <w:p>
      <w:pPr>
        <w:pBdr>
          <w:left w:val="single" w:color="1F3864" w:sz="18" w:space="8"/>
        </w:pBdr>
        <w:spacing w:after="80" w:before="80"/>
        <w:ind w:left="360" w:right="360"/>
        <w:jc w:val="both"/>
      </w:pPr>
      <w:r>
        <w:rPr>
          <w:rFonts w:ascii="Barlow Semi Condensed" w:cs="Barlow Semi Condensed" w:eastAsia="Barlow Semi Condensed" w:hAnsi="Barlow Semi Condensed"/>
          <w:b/>
          <w:bCs/>
          <w:i w:val="false"/>
          <w:iCs w:val="false"/>
          <w:sz w:val="24"/>
          <w:szCs w:val="24"/>
        </w:rPr>
        <w:t xml:space="preserve">Statuto della Fase settima.</w:t>
      </w:r>
      <w:r>
        <w:rPr>
          <w:rFonts w:ascii="Barlow Semi Condensed" w:cs="Barlow Semi Condensed" w:eastAsia="Barlow Semi Condensed" w:hAnsi="Barlow Semi Condensed"/>
          <w:i w:val="false"/>
          <w:iCs w:val="false"/>
          <w:sz w:val="24"/>
          <w:szCs w:val="24"/>
        </w:rPr>
        <w:t xml:space="preserve"> Le Parti precedenti hanno lavorato per temi (Parte terza, il dossier delle questioni aperte) e per metodo (Fase sesta, l'apparato dei gradi). Manca a questa architettura lo </w:t>
      </w:r>
      <w:r>
        <w:rPr>
          <w:rFonts w:ascii="Barlow Semi Condensed" w:cs="Barlow Semi Condensed" w:eastAsia="Barlow Semi Condensed" w:hAnsi="Barlow Semi Condensed"/>
          <w:b/>
          <w:bCs/>
          <w:i w:val="false"/>
          <w:iCs w:val="false"/>
          <w:sz w:val="24"/>
          <w:szCs w:val="24"/>
        </w:rPr>
        <w:t xml:space="preserve">strato che le regge entrambe da sotto</w:t>
      </w:r>
      <w:r>
        <w:rPr>
          <w:rFonts w:ascii="Barlow Semi Condensed" w:cs="Barlow Semi Condensed" w:eastAsia="Barlow Semi Condensed" w:hAnsi="Barlow Semi Condensed"/>
          <w:i w:val="false"/>
          <w:iCs w:val="false"/>
          <w:sz w:val="24"/>
          <w:szCs w:val="24"/>
        </w:rPr>
        <w:t xml:space="preserve">: quello </w:t>
      </w:r>
      <w:r>
        <w:rPr>
          <w:rFonts w:ascii="Barlow Semi Condensed" w:cs="Barlow Semi Condensed" w:eastAsia="Barlow Semi Condensed" w:hAnsi="Barlow Semi Condensed"/>
          <w:b/>
          <w:bCs/>
          <w:i w:val="false"/>
          <w:iCs w:val="false"/>
          <w:sz w:val="24"/>
          <w:szCs w:val="24"/>
        </w:rPr>
        <w:t xml:space="preserve">giudiziario e istruttorio</w:t>
      </w:r>
      <w:r>
        <w:rPr>
          <w:rFonts w:ascii="Barlow Semi Condensed" w:cs="Barlow Semi Condensed" w:eastAsia="Barlow Semi Condensed" w:hAnsi="Barlow Semi Condensed"/>
          <w:i w:val="false"/>
          <w:iCs w:val="false"/>
          <w:sz w:val="24"/>
          <w:szCs w:val="24"/>
        </w:rPr>
        <w:t xml:space="preserve">. Questa Fase lo aggiunge. Prende come spina i </w:t>
      </w:r>
      <w:r>
        <w:rPr>
          <w:rFonts w:ascii="Barlow Semi Condensed" w:cs="Barlow Semi Condensed" w:eastAsia="Barlow Semi Condensed" w:hAnsi="Barlow Semi Condensed"/>
          <w:b/>
          <w:bCs/>
          <w:i w:val="false"/>
          <w:iCs w:val="false"/>
          <w:sz w:val="24"/>
          <w:szCs w:val="24"/>
        </w:rPr>
        <w:t xml:space="preserve">cinque processi Moro</w:t>
      </w:r>
      <w:r>
        <w:rPr>
          <w:rFonts w:ascii="Barlow Semi Condensed" w:cs="Barlow Semi Condensed" w:eastAsia="Barlow Semi Condensed" w:hAnsi="Barlow Semi Condensed"/>
          <w:i w:val="false"/>
          <w:iCs w:val="false"/>
          <w:sz w:val="24"/>
          <w:szCs w:val="24"/>
        </w:rPr>
        <w:t xml:space="preserve"> e le </w:t>
      </w:r>
      <w:r>
        <w:rPr>
          <w:rFonts w:ascii="Barlow Semi Condensed" w:cs="Barlow Semi Condensed" w:eastAsia="Barlow Semi Condensed" w:hAnsi="Barlow Semi Condensed"/>
          <w:b/>
          <w:bCs/>
          <w:i w:val="false"/>
          <w:iCs w:val="false"/>
          <w:sz w:val="24"/>
          <w:szCs w:val="24"/>
        </w:rPr>
        <w:t xml:space="preserve">due Commissioni parlamentari d'inchiesta</w:t>
      </w:r>
      <w:r>
        <w:rPr>
          <w:rFonts w:ascii="Barlow Semi Condensed" w:cs="Barlow Semi Condensed" w:eastAsia="Barlow Semi Condensed" w:hAnsi="Barlow Semi Condensed"/>
          <w:i w:val="false"/>
          <w:iCs w:val="false"/>
          <w:sz w:val="24"/>
          <w:szCs w:val="24"/>
        </w:rPr>
        <w:t xml:space="preserve"> e stabilisce, per ciascuna delle questioni aperte già trattate, che cosa è </w:t>
      </w:r>
      <w:r>
        <w:rPr>
          <w:rFonts w:ascii="Barlow Semi Condensed" w:cs="Barlow Semi Condensed" w:eastAsia="Barlow Semi Condensed" w:hAnsi="Barlow Semi Condensed"/>
          <w:b/>
          <w:bCs/>
          <w:i w:val="false"/>
          <w:iCs w:val="false"/>
          <w:sz w:val="24"/>
          <w:szCs w:val="24"/>
        </w:rPr>
        <w:t xml:space="preserve">passato in giudicato</w:t>
      </w:r>
      <w:r>
        <w:rPr>
          <w:rFonts w:ascii="Barlow Semi Condensed" w:cs="Barlow Semi Condensed" w:eastAsia="Barlow Semi Condensed" w:hAnsi="Barlow Semi Condensed"/>
          <w:i w:val="false"/>
          <w:iCs w:val="false"/>
          <w:sz w:val="24"/>
          <w:szCs w:val="24"/>
        </w:rPr>
        <w:t xml:space="preserve"> (grado A, il più alto: fatto accertato con sentenza definitiva), che cosa è stato </w:t>
      </w:r>
      <w:r>
        <w:rPr>
          <w:rFonts w:ascii="Barlow Semi Condensed" w:cs="Barlow Semi Condensed" w:eastAsia="Barlow Semi Condensed" w:hAnsi="Barlow Semi Condensed"/>
          <w:b/>
          <w:bCs/>
          <w:i w:val="false"/>
          <w:iCs w:val="false"/>
          <w:sz w:val="24"/>
          <w:szCs w:val="24"/>
        </w:rPr>
        <w:t xml:space="preserve">accertato in sede parlamentare</w:t>
      </w:r>
      <w:r>
        <w:rPr>
          <w:rFonts w:ascii="Barlow Semi Condensed" w:cs="Barlow Semi Condensed" w:eastAsia="Barlow Semi Condensed" w:hAnsi="Barlow Semi Condensed"/>
          <w:i w:val="false"/>
          <w:iCs w:val="false"/>
          <w:sz w:val="24"/>
          <w:szCs w:val="24"/>
        </w:rPr>
        <w:t xml:space="preserve"> dalla Commissione Moro 2 (2014-2017) — che è documentazione seria ma </w:t>
      </w:r>
      <w:r>
        <w:rPr>
          <w:rFonts w:ascii="Barlow Semi Condensed" w:cs="Barlow Semi Condensed" w:eastAsia="Barlow Semi Condensed" w:hAnsi="Barlow Semi Condensed"/>
          <w:b/>
          <w:bCs/>
          <w:i w:val="false"/>
          <w:iCs w:val="false"/>
          <w:sz w:val="24"/>
          <w:szCs w:val="24"/>
        </w:rPr>
        <w:t xml:space="preserve">non giudiziaria</w:t>
      </w:r>
      <w:r>
        <w:rPr>
          <w:rFonts w:ascii="Barlow Semi Condensed" w:cs="Barlow Semi Condensed" w:eastAsia="Barlow Semi Condensed" w:hAnsi="Barlow Semi Condensed"/>
          <w:i w:val="false"/>
          <w:iCs w:val="false"/>
          <w:sz w:val="24"/>
          <w:szCs w:val="24"/>
        </w:rPr>
        <w:t xml:space="preserve">, e quindi grado B —, e che cosa resta </w:t>
      </w:r>
      <w:r>
        <w:rPr>
          <w:rFonts w:ascii="Barlow Semi Condensed" w:cs="Barlow Semi Condensed" w:eastAsia="Barlow Semi Condensed" w:hAnsi="Barlow Semi Condensed"/>
          <w:b/>
          <w:bCs/>
          <w:i w:val="false"/>
          <w:iCs w:val="false"/>
          <w:sz w:val="24"/>
          <w:szCs w:val="24"/>
        </w:rPr>
        <w:t xml:space="preserve">congettura</w:t>
      </w:r>
      <w:r>
        <w:rPr>
          <w:rFonts w:ascii="Barlow Semi Condensed" w:cs="Barlow Semi Condensed" w:eastAsia="Barlow Semi Condensed" w:hAnsi="Barlow Semi Condensed"/>
          <w:i w:val="false"/>
          <w:iCs w:val="false"/>
          <w:sz w:val="24"/>
          <w:szCs w:val="24"/>
        </w:rPr>
        <w:t xml:space="preserve"> (grado C).  Una distinzione governa ogni riga, ed è la stessa che governa tutto il corpus: </w:t>
      </w:r>
      <w:r>
        <w:rPr>
          <w:rFonts w:ascii="Barlow Semi Condensed" w:cs="Barlow Semi Condensed" w:eastAsia="Barlow Semi Condensed" w:hAnsi="Barlow Semi Condensed"/>
          <w:b/>
          <w:bCs/>
          <w:i w:val="false"/>
          <w:iCs w:val="false"/>
          <w:sz w:val="24"/>
          <w:szCs w:val="24"/>
        </w:rPr>
        <w:t xml:space="preserve">una Commissione parlamentare non è un tribunale.</w:t>
      </w:r>
      <w:r>
        <w:rPr>
          <w:rFonts w:ascii="Barlow Semi Condensed" w:cs="Barlow Semi Condensed" w:eastAsia="Barlow Semi Condensed" w:hAnsi="Barlow Semi Condensed"/>
          <w:i w:val="false"/>
          <w:iCs w:val="false"/>
          <w:sz w:val="24"/>
          <w:szCs w:val="24"/>
        </w:rPr>
        <w:t xml:space="preserve"> Accerta fatti sul piano storico-politico, non stabilisce responsabilità penali; le sue conclusioni pesano molto sul piano della verità storica e nulla sul piano dell'imputazione. Perciò qui, come sempre, </w:t>
      </w:r>
      <w:r>
        <w:rPr>
          <w:rFonts w:ascii="Barlow Semi Condensed" w:cs="Barlow Semi Condensed" w:eastAsia="Barlow Semi Condensed" w:hAnsi="Barlow Semi Condensed"/>
          <w:b/>
          <w:bCs/>
          <w:i w:val="false"/>
          <w:iCs w:val="false"/>
          <w:sz w:val="24"/>
          <w:szCs w:val="24"/>
        </w:rPr>
        <w:t xml:space="preserve">nessuno è nominato come responsabile al di là del giudicato</w:t>
      </w:r>
      <w:r>
        <w:rPr>
          <w:rFonts w:ascii="Barlow Semi Condensed" w:cs="Barlow Semi Condensed" w:eastAsia="Barlow Semi Condensed" w:hAnsi="Barlow Semi Condensed"/>
          <w:i w:val="false"/>
          <w:iCs w:val="false"/>
          <w:sz w:val="24"/>
          <w:szCs w:val="24"/>
        </w:rPr>
        <w:t xml:space="preserve">, e ciò che i brigatisti hanno ammesso o si sono visti attribuire da sentenza definitiva si cita come tale — perché è tale.</w:t>
      </w:r>
    </w:p>
    <w:p>
      <w:pPr>
        <w:pBdr>
          <w:bottom w:val="single" w:color="999999" w:sz="6" w:space="1"/>
        </w:pBdr>
        <w:spacing w:after="80"/>
      </w:pPr>
    </w:p>
    <w:p>
      <w:pPr>
        <w:pStyle w:val="Heading1"/>
        <w:spacing w:after="120" w:before="240"/>
      </w:pPr>
      <w:r>
        <w:rPr>
          <w:rFonts w:ascii="Barlow Semi Condensed" w:cs="Barlow Semi Condensed" w:eastAsia="Barlow Semi Condensed" w:hAnsi="Barlow Semi Condensed"/>
          <w:sz w:val="24"/>
          <w:szCs w:val="24"/>
        </w:rPr>
        <w:t xml:space="preserve">Capitolo cinquantaseiesimo — I cinque processi Moro: la spina del giudicato</w:t>
      </w:r>
    </w:p>
    <w:p>
      <w:pPr>
        <w:spacing w:after="120" w:line="276"/>
        <w:jc w:val="both"/>
      </w:pPr>
      <w:r>
        <w:rPr>
          <w:rFonts w:ascii="Barlow Semi Condensed" w:cs="Barlow Semi Condensed" w:eastAsia="Barlow Semi Condensed" w:hAnsi="Barlow Semi Condensed"/>
          <w:sz w:val="24"/>
          <w:szCs w:val="24"/>
        </w:rPr>
        <w:t xml:space="preserve">Il caso Moro non ha avuto un processo, ne ha avuti </w:t>
      </w:r>
      <w:r>
        <w:rPr>
          <w:rFonts w:ascii="Barlow Semi Condensed" w:cs="Barlow Semi Condensed" w:eastAsia="Barlow Semi Condensed" w:hAnsi="Barlow Semi Condensed"/>
          <w:b/>
          <w:bCs/>
          <w:sz w:val="24"/>
          <w:szCs w:val="24"/>
        </w:rPr>
        <w:t xml:space="preserve">cinque</w:t>
      </w:r>
      <w:r>
        <w:rPr>
          <w:rFonts w:ascii="Barlow Semi Condensed" w:cs="Barlow Semi Condensed" w:eastAsia="Barlow Semi Condensed" w:hAnsi="Barlow Semi Condensed"/>
          <w:sz w:val="24"/>
          <w:szCs w:val="24"/>
        </w:rPr>
        <w:t xml:space="preserve">, celebrati nell'arco di vent'anni: Moro </w:t>
      </w:r>
      <w:r>
        <w:rPr>
          <w:rFonts w:ascii="Barlow Semi Condensed" w:cs="Barlow Semi Condensed" w:eastAsia="Barlow Semi Condensed" w:hAnsi="Barlow Semi Condensed"/>
          <w:b/>
          <w:bCs/>
          <w:sz w:val="24"/>
          <w:szCs w:val="24"/>
        </w:rPr>
        <w:t xml:space="preserve">uno</w:t>
      </w:r>
      <w:r>
        <w:rPr>
          <w:rFonts w:ascii="Barlow Semi Condensed" w:cs="Barlow Semi Condensed" w:eastAsia="Barlow Semi Condensed" w:hAnsi="Barlow Semi Condensed"/>
          <w:sz w:val="24"/>
          <w:szCs w:val="24"/>
        </w:rPr>
        <w:t xml:space="preserve"> (il grande processo alle Brigate Rosse, 1982-1983), Moro </w:t>
      </w:r>
      <w:r>
        <w:rPr>
          <w:rFonts w:ascii="Barlow Semi Condensed" w:cs="Barlow Semi Condensed" w:eastAsia="Barlow Semi Condensed" w:hAnsi="Barlow Semi Condensed"/>
          <w:b/>
          <w:bCs/>
          <w:sz w:val="24"/>
          <w:szCs w:val="24"/>
        </w:rPr>
        <w:t xml:space="preserve">bis</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b/>
          <w:bCs/>
          <w:sz w:val="24"/>
          <w:szCs w:val="24"/>
        </w:rPr>
        <w:t xml:space="preserve">ter</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b/>
          <w:bCs/>
          <w:sz w:val="24"/>
          <w:szCs w:val="24"/>
        </w:rPr>
        <w:t xml:space="preserve">quater</w:t>
      </w:r>
      <w:r>
        <w:rPr>
          <w:rFonts w:ascii="Barlow Semi Condensed" w:cs="Barlow Semi Condensed" w:eastAsia="Barlow Semi Condensed" w:hAnsi="Barlow Semi Condensed"/>
          <w:sz w:val="24"/>
          <w:szCs w:val="24"/>
        </w:rPr>
        <w:t xml:space="preserve"> e </w:t>
      </w:r>
      <w:r>
        <w:rPr>
          <w:rFonts w:ascii="Barlow Semi Condensed" w:cs="Barlow Semi Condensed" w:eastAsia="Barlow Semi Condensed" w:hAnsi="Barlow Semi Condensed"/>
          <w:b/>
          <w:bCs/>
          <w:sz w:val="24"/>
          <w:szCs w:val="24"/>
        </w:rPr>
        <w:t xml:space="preserve">quinquies</w:t>
      </w:r>
      <w:r>
        <w:rPr>
          <w:rFonts w:ascii="Barlow Semi Condensed" w:cs="Barlow Semi Condensed" w:eastAsia="Barlow Semi Condensed" w:hAnsi="Barlow Semi Condensed"/>
          <w:sz w:val="24"/>
          <w:szCs w:val="24"/>
        </w:rPr>
        <w:t xml:space="preserve">. Questa stratificazione è essa stessa un dato: la verità giudiziaria del caso si è depositata </w:t>
      </w:r>
      <w:r>
        <w:rPr>
          <w:rFonts w:ascii="Barlow Semi Condensed" w:cs="Barlow Semi Condensed" w:eastAsia="Barlow Semi Condensed" w:hAnsi="Barlow Semi Condensed"/>
          <w:b/>
          <w:bCs/>
          <w:sz w:val="24"/>
          <w:szCs w:val="24"/>
        </w:rPr>
        <w:t xml:space="preserve">per sedimentazione</w:t>
      </w:r>
      <w:r>
        <w:rPr>
          <w:rFonts w:ascii="Barlow Semi Condensed" w:cs="Barlow Semi Condensed" w:eastAsia="Barlow Semi Condensed" w:hAnsi="Barlow Semi Condensed"/>
          <w:sz w:val="24"/>
          <w:szCs w:val="24"/>
        </w:rPr>
        <w:t xml:space="preserve">, non in un'unica sentenza, e ogni processo ha chiuso alcune questioni riaprendone altre.</w:t>
      </w:r>
    </w:p>
    <w:p>
      <w:pPr>
        <w:spacing w:after="120" w:line="276"/>
        <w:jc w:val="both"/>
      </w:pPr>
      <w:r>
        <w:rPr>
          <w:rFonts w:ascii="Barlow Semi Condensed" w:cs="Barlow Semi Condensed" w:eastAsia="Barlow Semi Condensed" w:hAnsi="Barlow Semi Condensed"/>
          <w:sz w:val="24"/>
          <w:szCs w:val="24"/>
        </w:rPr>
        <w:t xml:space="preserve">Ciò che i cinque processi hanno stabilito, in via definitiva e dunque </w:t>
      </w:r>
      <w:r>
        <w:rPr>
          <w:rFonts w:ascii="Barlow Semi Condensed" w:cs="Barlow Semi Condensed" w:eastAsia="Barlow Semi Condensed" w:hAnsi="Barlow Semi Condensed"/>
          <w:b/>
          <w:bCs/>
          <w:sz w:val="24"/>
          <w:szCs w:val="24"/>
        </w:rPr>
        <w:t xml:space="preserve">al grado A</w:t>
      </w:r>
      <w:r>
        <w:rPr>
          <w:rFonts w:ascii="Barlow Semi Condensed" w:cs="Barlow Semi Condensed" w:eastAsia="Barlow Semi Condensed" w:hAnsi="Barlow Semi Condensed"/>
          <w:sz w:val="24"/>
          <w:szCs w:val="24"/>
        </w:rPr>
        <w:t xml:space="preserve">, è l'ossatura fattuale del sequestro: che </w:t>
      </w:r>
      <w:r>
        <w:rPr>
          <w:rFonts w:ascii="Barlow Semi Condensed" w:cs="Barlow Semi Condensed" w:eastAsia="Barlow Semi Condensed" w:hAnsi="Barlow Semi Condensed"/>
          <w:b/>
          <w:bCs/>
          <w:sz w:val="24"/>
          <w:szCs w:val="24"/>
        </w:rPr>
        <w:t xml:space="preserve">le Brigate Rosse</w:t>
      </w:r>
      <w:r>
        <w:rPr>
          <w:rFonts w:ascii="Barlow Semi Condensed" w:cs="Barlow Semi Condensed" w:eastAsia="Barlow Semi Condensed" w:hAnsi="Barlow Semi Condensed"/>
          <w:sz w:val="24"/>
          <w:szCs w:val="24"/>
        </w:rPr>
        <w:t xml:space="preserve"> organizzarono ed eseguirono l'agguato di via Fani (16 marzo 1978), la prigionia e l'uccisione di Aldo Moro (9 maggio 1978); che </w:t>
      </w:r>
      <w:r>
        <w:rPr>
          <w:rFonts w:ascii="Barlow Semi Condensed" w:cs="Barlow Semi Condensed" w:eastAsia="Barlow Semi Condensed" w:hAnsi="Barlow Semi Condensed"/>
          <w:b/>
          <w:bCs/>
          <w:sz w:val="24"/>
          <w:szCs w:val="24"/>
        </w:rPr>
        <w:t xml:space="preserve">Mario Moretti</w:t>
      </w:r>
      <w:r>
        <w:rPr>
          <w:rFonts w:ascii="Barlow Semi Condensed" w:cs="Barlow Semi Condensed" w:eastAsia="Barlow Semi Condensed" w:hAnsi="Barlow Semi Condensed"/>
          <w:sz w:val="24"/>
          <w:szCs w:val="24"/>
        </w:rPr>
        <w:t xml:space="preserve"> diresse l'operazione e — per sua stessa ammissione, poi recepita dal giudicato — fu l'esecutore materiale; che il commando di via Fani comprese, fra gli altri, </w:t>
      </w:r>
      <w:r>
        <w:rPr>
          <w:rFonts w:ascii="Barlow Semi Condensed" w:cs="Barlow Semi Condensed" w:eastAsia="Barlow Semi Condensed" w:hAnsi="Barlow Semi Condensed"/>
          <w:b/>
          <w:bCs/>
          <w:sz w:val="24"/>
          <w:szCs w:val="24"/>
        </w:rPr>
        <w:t xml:space="preserve">Valerio Morucci, Adriana Faranda, Raffaele Fiore, Prospero Gallinari, Franco Bonisoli, Barbara Balzerani</w:t>
      </w:r>
      <w:r>
        <w:rPr>
          <w:rFonts w:ascii="Barlow Semi Condensed" w:cs="Barlow Semi Condensed" w:eastAsia="Barlow Semi Condensed" w:hAnsi="Barlow Semi Condensed"/>
          <w:sz w:val="24"/>
          <w:szCs w:val="24"/>
        </w:rPr>
        <w:t xml:space="preserve">; che nel processo </w:t>
      </w:r>
      <w:r>
        <w:rPr>
          <w:rFonts w:ascii="Barlow Semi Condensed" w:cs="Barlow Semi Condensed" w:eastAsia="Barlow Semi Condensed" w:hAnsi="Barlow Semi Condensed"/>
          <w:b/>
          <w:bCs/>
          <w:sz w:val="24"/>
          <w:szCs w:val="24"/>
        </w:rPr>
        <w:t xml:space="preserve">Moro quater</w:t>
      </w:r>
      <w:r>
        <w:rPr>
          <w:rFonts w:ascii="Barlow Semi Condensed" w:cs="Barlow Semi Condensed" w:eastAsia="Barlow Semi Condensed" w:hAnsi="Barlow Semi Condensed"/>
          <w:sz w:val="24"/>
          <w:szCs w:val="24"/>
        </w:rPr>
        <w:t xml:space="preserve"> (primo grado 1994, Cassazione 14 maggio 1997) fu accertata la responsabilità di </w:t>
      </w:r>
      <w:r>
        <w:rPr>
          <w:rFonts w:ascii="Barlow Semi Condensed" w:cs="Barlow Semi Condensed" w:eastAsia="Barlow Semi Condensed" w:hAnsi="Barlow Semi Condensed"/>
          <w:b/>
          <w:bCs/>
          <w:sz w:val="24"/>
          <w:szCs w:val="24"/>
        </w:rPr>
        <w:t xml:space="preserve">Alvaro Lojacono</w:t>
      </w:r>
      <w:r>
        <w:rPr>
          <w:rFonts w:ascii="Barlow Semi Condensed" w:cs="Barlow Semi Condensed" w:eastAsia="Barlow Semi Condensed" w:hAnsi="Barlow Semi Condensed"/>
          <w:sz w:val="24"/>
          <w:szCs w:val="24"/>
        </w:rPr>
        <w:t xml:space="preserve"> per l'intero arco 16 marzo-9 maggio; che nel </w:t>
      </w:r>
      <w:r>
        <w:rPr>
          <w:rFonts w:ascii="Barlow Semi Condensed" w:cs="Barlow Semi Condensed" w:eastAsia="Barlow Semi Condensed" w:hAnsi="Barlow Semi Condensed"/>
          <w:b/>
          <w:bCs/>
          <w:sz w:val="24"/>
          <w:szCs w:val="24"/>
        </w:rPr>
        <w:t xml:space="preserve">Moro quinquies</w:t>
      </w:r>
      <w:r>
        <w:rPr>
          <w:rFonts w:ascii="Barlow Semi Condensed" w:cs="Barlow Semi Condensed" w:eastAsia="Barlow Semi Condensed" w:hAnsi="Barlow Semi Condensed"/>
          <w:sz w:val="24"/>
          <w:szCs w:val="24"/>
        </w:rPr>
        <w:t xml:space="preserve"> (primo grado 16 luglio 1996, definitivo 1999) fu accertata quella di </w:t>
      </w:r>
      <w:r>
        <w:rPr>
          <w:rFonts w:ascii="Barlow Semi Condensed" w:cs="Barlow Semi Condensed" w:eastAsia="Barlow Semi Condensed" w:hAnsi="Barlow Semi Condensed"/>
          <w:b/>
          <w:bCs/>
          <w:sz w:val="24"/>
          <w:szCs w:val="24"/>
        </w:rPr>
        <w:t xml:space="preserve">Germano Maccari</w:t>
      </w:r>
      <w:r>
        <w:rPr>
          <w:rFonts w:ascii="Barlow Semi Condensed" w:cs="Barlow Semi Condensed" w:eastAsia="Barlow Semi Condensed" w:hAnsi="Barlow Semi Condensed"/>
          <w:sz w:val="24"/>
          <w:szCs w:val="24"/>
        </w:rPr>
        <w:t xml:space="preserve"> — il «quarto uomo» del covo di via Montalcini — e di Raimondo Etro (Questione Giustizia, «Il caso Moro. Per un'analisi delle sentenze» (https://www.questionegiustizia.it/articolo/il-caso-moro-per-un-analisi-delle-sentenze-parte-prima); Wikipedia, </w:t>
      </w:r>
      <w:r>
        <w:rPr>
          <w:rFonts w:ascii="Barlow Semi Condensed" w:cs="Barlow Semi Condensed" w:eastAsia="Barlow Semi Condensed" w:hAnsi="Barlow Semi Condensed"/>
          <w:i/>
          <w:iCs/>
          <w:sz w:val="24"/>
          <w:szCs w:val="24"/>
        </w:rPr>
        <w:t xml:space="preserve">Caso Moro</w:t>
      </w:r>
      <w:r>
        <w:rPr>
          <w:rFonts w:ascii="Barlow Semi Condensed" w:cs="Barlow Semi Condensed" w:eastAsia="Barlow Semi Condensed" w:hAnsi="Barlow Semi Condensed"/>
          <w:sz w:val="24"/>
          <w:szCs w:val="24"/>
        </w:rPr>
        <w:t xml:space="preserve"> (https://it.wikipedia.org/wiki/Caso_Moro)).</w:t>
      </w:r>
    </w:p>
    <w:p>
      <w:pPr>
        <w:spacing w:after="120" w:line="276"/>
        <w:jc w:val="both"/>
      </w:pPr>
      <w:r>
        <w:rPr>
          <w:rFonts w:ascii="Barlow Semi Condensed" w:cs="Barlow Semi Condensed" w:eastAsia="Barlow Semi Condensed" w:hAnsi="Barlow Semi Condensed"/>
          <w:sz w:val="24"/>
          <w:szCs w:val="24"/>
        </w:rPr>
        <w:t xml:space="preserve">Questo è il </w:t>
      </w:r>
      <w:r>
        <w:rPr>
          <w:rFonts w:ascii="Barlow Semi Condensed" w:cs="Barlow Semi Condensed" w:eastAsia="Barlow Semi Condensed" w:hAnsi="Barlow Semi Condensed"/>
          <w:b/>
          <w:bCs/>
          <w:sz w:val="24"/>
          <w:szCs w:val="24"/>
        </w:rPr>
        <w:t xml:space="preserve">pavimento</w:t>
      </w:r>
      <w:r>
        <w:rPr>
          <w:rFonts w:ascii="Barlow Semi Condensed" w:cs="Barlow Semi Condensed" w:eastAsia="Barlow Semi Condensed" w:hAnsi="Barlow Semi Condensed"/>
          <w:sz w:val="24"/>
          <w:szCs w:val="24"/>
        </w:rPr>
        <w:t xml:space="preserve"> del caso: sotto questa soglia non si scende, perché è giudicato. Chi voglia sostenere qualcosa di diverso da ciò che i cinque processi hanno accertato deve portare prove almeno pari a quelle su cui quelle sentenze si fondano. È la prima applicazione della disciplina della Fase sesta: </w:t>
      </w:r>
      <w:r>
        <w:rPr>
          <w:rFonts w:ascii="Barlow Semi Condensed" w:cs="Barlow Semi Condensed" w:eastAsia="Barlow Semi Condensed" w:hAnsi="Barlow Semi Condensed"/>
          <w:b/>
          <w:bCs/>
          <w:sz w:val="24"/>
          <w:szCs w:val="24"/>
        </w:rPr>
        <w:t xml:space="preserve">il giudicato è il punto d'appoggio, non un'opinione fra le altre.</w:t>
      </w:r>
    </w:p>
    <w:p>
      <w:pPr>
        <w:pStyle w:val="Heading1"/>
        <w:spacing w:after="120" w:before="240"/>
      </w:pPr>
      <w:r>
        <w:rPr>
          <w:rFonts w:ascii="Barlow Semi Condensed" w:cs="Barlow Semi Condensed" w:eastAsia="Barlow Semi Condensed" w:hAnsi="Barlow Semi Condensed"/>
          <w:sz w:val="24"/>
          <w:szCs w:val="24"/>
        </w:rPr>
        <w:t xml:space="preserve">Capitolo cinquantasettesimo — Le due Commissioni: che cosa aggiunge un'inchiesta parlamentare, e con che peso</w:t>
      </w:r>
    </w:p>
    <w:p>
      <w:pPr>
        <w:spacing w:after="120" w:line="276"/>
        <w:jc w:val="both"/>
      </w:pPr>
      <w:r>
        <w:rPr>
          <w:rFonts w:ascii="Barlow Semi Condensed" w:cs="Barlow Semi Condensed" w:eastAsia="Barlow Semi Condensed" w:hAnsi="Barlow Semi Condensed"/>
          <w:sz w:val="24"/>
          <w:szCs w:val="24"/>
        </w:rPr>
        <w:t xml:space="preserve">Accanto ai processi corrono due </w:t>
      </w:r>
      <w:r>
        <w:rPr>
          <w:rFonts w:ascii="Barlow Semi Condensed" w:cs="Barlow Semi Condensed" w:eastAsia="Barlow Semi Condensed" w:hAnsi="Barlow Semi Condensed"/>
          <w:b/>
          <w:bCs/>
          <w:sz w:val="24"/>
          <w:szCs w:val="24"/>
        </w:rPr>
        <w:t xml:space="preserve">Commissioni parlamentari d'inchiesta</w:t>
      </w:r>
      <w:r>
        <w:rPr>
          <w:rFonts w:ascii="Barlow Semi Condensed" w:cs="Barlow Semi Condensed" w:eastAsia="Barlow Semi Condensed" w:hAnsi="Barlow Semi Condensed"/>
          <w:sz w:val="24"/>
          <w:szCs w:val="24"/>
        </w:rPr>
        <w:t xml:space="preserve">: la prima (1979-1983, la «Commissione Moro» propriamente detta, poi confluita nella Commissione Stragi) e la seconda, la </w:t>
      </w:r>
      <w:r>
        <w:rPr>
          <w:rFonts w:ascii="Barlow Semi Condensed" w:cs="Barlow Semi Condensed" w:eastAsia="Barlow Semi Condensed" w:hAnsi="Barlow Semi Condensed"/>
          <w:b/>
          <w:bCs/>
          <w:sz w:val="24"/>
          <w:szCs w:val="24"/>
        </w:rPr>
        <w:t xml:space="preserve">Commissione Moro 2</w:t>
      </w:r>
      <w:r>
        <w:rPr>
          <w:rFonts w:ascii="Barlow Semi Condensed" w:cs="Barlow Semi Condensed" w:eastAsia="Barlow Semi Condensed" w:hAnsi="Barlow Semi Condensed"/>
          <w:sz w:val="24"/>
          <w:szCs w:val="24"/>
        </w:rPr>
        <w:t xml:space="preserve">, istituita con la </w:t>
      </w:r>
      <w:r>
        <w:rPr>
          <w:rFonts w:ascii="Barlow Semi Condensed" w:cs="Barlow Semi Condensed" w:eastAsia="Barlow Semi Condensed" w:hAnsi="Barlow Semi Condensed"/>
          <w:b/>
          <w:bCs/>
          <w:sz w:val="24"/>
          <w:szCs w:val="24"/>
        </w:rPr>
        <w:t xml:space="preserve">legge 30 maggio 2014, n. 82</w:t>
      </w:r>
      <w:r>
        <w:rPr>
          <w:rFonts w:ascii="Barlow Semi Condensed" w:cs="Barlow Semi Condensed" w:eastAsia="Barlow Semi Condensed" w:hAnsi="Barlow Semi Condensed"/>
          <w:sz w:val="24"/>
          <w:szCs w:val="24"/>
        </w:rPr>
        <w:t xml:space="preserve">, costituita il 2 ottobre 2014 sotto la presidenza di </w:t>
      </w:r>
      <w:r>
        <w:rPr>
          <w:rFonts w:ascii="Barlow Semi Condensed" w:cs="Barlow Semi Condensed" w:eastAsia="Barlow Semi Condensed" w:hAnsi="Barlow Semi Condensed"/>
          <w:b/>
          <w:bCs/>
          <w:sz w:val="24"/>
          <w:szCs w:val="24"/>
        </w:rPr>
        <w:t xml:space="preserve">Giuseppe Fioroni</w:t>
      </w:r>
      <w:r>
        <w:rPr>
          <w:rFonts w:ascii="Barlow Semi Condensed" w:cs="Barlow Semi Condensed" w:eastAsia="Barlow Semi Condensed" w:hAnsi="Barlow Semi Condensed"/>
          <w:sz w:val="24"/>
          <w:szCs w:val="24"/>
        </w:rPr>
        <w:t xml:space="preserve">, e conclusa con la relazione finale (Doc. XXIII, n. 29) approvata il </w:t>
      </w:r>
      <w:r>
        <w:rPr>
          <w:rFonts w:ascii="Barlow Semi Condensed" w:cs="Barlow Semi Condensed" w:eastAsia="Barlow Semi Condensed" w:hAnsi="Barlow Semi Condensed"/>
          <w:b/>
          <w:bCs/>
          <w:sz w:val="24"/>
          <w:szCs w:val="24"/>
        </w:rPr>
        <w:t xml:space="preserve">6 dicembre 2017</w:t>
      </w:r>
      <w:r>
        <w:rPr>
          <w:rFonts w:ascii="Barlow Semi Condensed" w:cs="Barlow Semi Condensed" w:eastAsia="Barlow Semi Condensed" w:hAnsi="Barlow Semi Condensed"/>
          <w:sz w:val="24"/>
          <w:szCs w:val="24"/>
        </w:rPr>
        <w:t xml:space="preserve"> (Archivio storico della Camera (https://archivio.camera.it/patrimonio/main-page/commissione-parlamentare-inchiesta-sul-rapimento-e-sulla-morte-aldo-moro-2014-2018); inchieste.camera.it/moro (https://inchieste.camera.it/moro/home.html?leg=17&amp;legLabel=XVII+legislatura)).</w:t>
      </w:r>
    </w:p>
    <w:p>
      <w:pPr>
        <w:spacing w:after="120" w:line="276"/>
        <w:jc w:val="both"/>
      </w:pPr>
      <w:r>
        <w:rPr>
          <w:rFonts w:ascii="Barlow Semi Condensed" w:cs="Barlow Semi Condensed" w:eastAsia="Barlow Semi Condensed" w:hAnsi="Barlow Semi Condensed"/>
          <w:sz w:val="24"/>
          <w:szCs w:val="24"/>
        </w:rPr>
        <w:t xml:space="preserve">Il peso probatorio di una Commissione va enunciato con esattezza, perché è la chiave di tutta la Fase. Una Commissione d'inchiesta ha, per Costituzione (art. 82), «gli stessi poteri e le stesse limitazioni dell'autorità giudiziaria» quanto agli </w:t>
      </w:r>
      <w:r>
        <w:rPr>
          <w:rFonts w:ascii="Barlow Semi Condensed" w:cs="Barlow Semi Condensed" w:eastAsia="Barlow Semi Condensed" w:hAnsi="Barlow Semi Condensed"/>
          <w:b/>
          <w:bCs/>
          <w:sz w:val="24"/>
          <w:szCs w:val="24"/>
        </w:rPr>
        <w:t xml:space="preserve">strumenti</w:t>
      </w:r>
      <w:r>
        <w:rPr>
          <w:rFonts w:ascii="Barlow Semi Condensed" w:cs="Barlow Semi Condensed" w:eastAsia="Barlow Semi Condensed" w:hAnsi="Barlow Semi Condensed"/>
          <w:sz w:val="24"/>
          <w:szCs w:val="24"/>
        </w:rPr>
        <w:t xml:space="preserve"> — può convocare, acquisire, disporre perizie —, ma </w:t>
      </w:r>
      <w:r>
        <w:rPr>
          <w:rFonts w:ascii="Barlow Semi Condensed" w:cs="Barlow Semi Condensed" w:eastAsia="Barlow Semi Condensed" w:hAnsi="Barlow Semi Condensed"/>
          <w:b/>
          <w:bCs/>
          <w:sz w:val="24"/>
          <w:szCs w:val="24"/>
        </w:rPr>
        <w:t xml:space="preserve">non ha la funzione del giudice</w:t>
      </w:r>
      <w:r>
        <w:rPr>
          <w:rFonts w:ascii="Barlow Semi Condensed" w:cs="Barlow Semi Condensed" w:eastAsia="Barlow Semi Condensed" w:hAnsi="Barlow Semi Condensed"/>
          <w:sz w:val="24"/>
          <w:szCs w:val="24"/>
        </w:rPr>
        <w:t xml:space="preserve">: non emette sentenze, non accerta responsabilità penali, non condanna né assolve. Ciò che produce è una </w:t>
      </w:r>
      <w:r>
        <w:rPr>
          <w:rFonts w:ascii="Barlow Semi Condensed" w:cs="Barlow Semi Condensed" w:eastAsia="Barlow Semi Condensed" w:hAnsi="Barlow Semi Condensed"/>
          <w:b/>
          <w:bCs/>
          <w:sz w:val="24"/>
          <w:szCs w:val="24"/>
        </w:rPr>
        <w:t xml:space="preserve">verità storico-politica documentata</w:t>
      </w:r>
      <w:r>
        <w:rPr>
          <w:rFonts w:ascii="Barlow Semi Condensed" w:cs="Barlow Semi Condensed" w:eastAsia="Barlow Semi Condensed" w:hAnsi="Barlow Semi Condensed"/>
          <w:sz w:val="24"/>
          <w:szCs w:val="24"/>
        </w:rPr>
        <w:t xml:space="preserve">, di grande autorità e di nessun effetto penale. Nel nostro apparato dei gradi essa occupa perciò un livello preciso: </w:t>
      </w:r>
      <w:r>
        <w:rPr>
          <w:rFonts w:ascii="Barlow Semi Condensed" w:cs="Barlow Semi Condensed" w:eastAsia="Barlow Semi Condensed" w:hAnsi="Barlow Semi Condensed"/>
          <w:b/>
          <w:bCs/>
          <w:sz w:val="24"/>
          <w:szCs w:val="24"/>
        </w:rPr>
        <w:t xml:space="preserve">grado B</w:t>
      </w:r>
      <w:r>
        <w:rPr>
          <w:rFonts w:ascii="Barlow Semi Condensed" w:cs="Barlow Semi Condensed" w:eastAsia="Barlow Semi Condensed" w:hAnsi="Barlow Semi Condensed"/>
          <w:sz w:val="24"/>
          <w:szCs w:val="24"/>
        </w:rPr>
        <w:t xml:space="preserve"> — più della congettura, meno del giudicato. I suoi accertamenti si citano come «la Commissione ha documentato che…», mai come «è provato in giudizio che…».</w:t>
      </w:r>
    </w:p>
    <w:p>
      <w:pPr>
        <w:spacing w:after="120" w:line="276"/>
        <w:jc w:val="both"/>
      </w:pPr>
      <w:r>
        <w:rPr>
          <w:rFonts w:ascii="Barlow Semi Condensed" w:cs="Barlow Semi Condensed" w:eastAsia="Barlow Semi Condensed" w:hAnsi="Barlow Semi Condensed"/>
          <w:sz w:val="24"/>
          <w:szCs w:val="24"/>
        </w:rPr>
        <w:t xml:space="preserve">La Commissione Moro 2 ha approvato </w:t>
      </w:r>
      <w:r>
        <w:rPr>
          <w:rFonts w:ascii="Barlow Semi Condensed" w:cs="Barlow Semi Condensed" w:eastAsia="Barlow Semi Condensed" w:hAnsi="Barlow Semi Condensed"/>
          <w:b/>
          <w:bCs/>
          <w:sz w:val="24"/>
          <w:szCs w:val="24"/>
        </w:rPr>
        <w:t xml:space="preserve">tre relazioni</w:t>
      </w:r>
      <w:r>
        <w:rPr>
          <w:rFonts w:ascii="Barlow Semi Condensed" w:cs="Barlow Semi Condensed" w:eastAsia="Barlow Semi Condensed" w:hAnsi="Barlow Semi Condensed"/>
          <w:sz w:val="24"/>
          <w:szCs w:val="24"/>
        </w:rPr>
        <w:t xml:space="preserve">; la sua eredità non è una nuova verità sostitutiva di quella dei processi, ma un </w:t>
      </w:r>
      <w:r>
        <w:rPr>
          <w:rFonts w:ascii="Barlow Semi Condensed" w:cs="Barlow Semi Condensed" w:eastAsia="Barlow Semi Condensed" w:hAnsi="Barlow Semi Condensed"/>
          <w:b/>
          <w:bCs/>
          <w:sz w:val="24"/>
          <w:szCs w:val="24"/>
        </w:rPr>
        <w:t xml:space="preserve">fascio di accertamenti puntuali</w:t>
      </w:r>
      <w:r>
        <w:rPr>
          <w:rFonts w:ascii="Barlow Semi Condensed" w:cs="Barlow Semi Condensed" w:eastAsia="Barlow Semi Condensed" w:hAnsi="Barlow Semi Condensed"/>
          <w:sz w:val="24"/>
          <w:szCs w:val="24"/>
        </w:rPr>
        <w:t xml:space="preserve"> che riaprono, su base documentale, alcuni dei nodi che la Parte terza aveva lasciati aperti. I capitoli seguenti li recepiscono uno per uno, con il loro grado.</w:t>
      </w:r>
    </w:p>
    <w:p>
      <w:pPr>
        <w:pStyle w:val="Heading1"/>
        <w:spacing w:after="120" w:before="240"/>
      </w:pPr>
      <w:r>
        <w:rPr>
          <w:rFonts w:ascii="Barlow Semi Condensed" w:cs="Barlow Semi Condensed" w:eastAsia="Barlow Semi Condensed" w:hAnsi="Barlow Semi Condensed"/>
          <w:sz w:val="24"/>
          <w:szCs w:val="24"/>
        </w:rPr>
        <w:t xml:space="preserve">Capitolo cinquantottesimo — Via Fani rivisitata: le due moto, i quattro «centauri», i testimoni mai sentiti</w:t>
      </w:r>
    </w:p>
    <w:p>
      <w:pPr>
        <w:spacing w:after="120" w:line="276"/>
        <w:jc w:val="both"/>
      </w:pPr>
      <w:r>
        <w:rPr>
          <w:rFonts w:ascii="Barlow Semi Condensed" w:cs="Barlow Semi Condensed" w:eastAsia="Barlow Semi Condensed" w:hAnsi="Barlow Semi Condensed"/>
          <w:sz w:val="24"/>
          <w:szCs w:val="24"/>
        </w:rPr>
        <w:t xml:space="preserve">La Parte terza (cap. III) aveva registrato, sulla dinamica di via Fani, uno scarto fra la ricostruzione processuale e le testimonianze superstiti. La Commissione Moro 2 ha lavorato </w:t>
      </w:r>
      <w:r>
        <w:rPr>
          <w:rFonts w:ascii="Barlow Semi Condensed" w:cs="Barlow Semi Condensed" w:eastAsia="Barlow Semi Condensed" w:hAnsi="Barlow Semi Condensed"/>
          <w:b/>
          <w:bCs/>
          <w:sz w:val="24"/>
          <w:szCs w:val="24"/>
        </w:rPr>
        <w:t xml:space="preserve">proprio su questo scarto</w:t>
      </w:r>
      <w:r>
        <w:rPr>
          <w:rFonts w:ascii="Barlow Semi Condensed" w:cs="Barlow Semi Condensed" w:eastAsia="Barlow Semi Condensed" w:hAnsi="Barlow Semi Condensed"/>
          <w:sz w:val="24"/>
          <w:szCs w:val="24"/>
        </w:rPr>
        <w:t xml:space="preserve">, e i suoi accertamenti vanno collocati con precisione al </w:t>
      </w:r>
      <w:r>
        <w:rPr>
          <w:rFonts w:ascii="Barlow Semi Condensed" w:cs="Barlow Semi Condensed" w:eastAsia="Barlow Semi Condensed" w:hAnsi="Barlow Semi Condensed"/>
          <w:b/>
          <w:bCs/>
          <w:sz w:val="24"/>
          <w:szCs w:val="24"/>
        </w:rPr>
        <w:t xml:space="preserve">grado B</w:t>
      </w:r>
      <w:r>
        <w:rPr>
          <w:rFonts w:ascii="Barlow Semi Condensed" w:cs="Barlow Semi Condensed" w:eastAsia="Barlow Semi Condensed" w:hAnsi="Barlow Semi Condensed"/>
          <w:sz w:val="24"/>
          <w:szCs w:val="24"/>
        </w:rPr>
        <w:t xml:space="preserve">.</w:t>
      </w:r>
    </w:p>
    <w:p>
      <w:pPr>
        <w:spacing w:after="120" w:line="276"/>
        <w:jc w:val="both"/>
      </w:pPr>
      <w:r>
        <w:rPr>
          <w:rFonts w:ascii="Barlow Semi Condensed" w:cs="Barlow Semi Condensed" w:eastAsia="Barlow Semi Condensed" w:hAnsi="Barlow Semi Condensed"/>
          <w:sz w:val="24"/>
          <w:szCs w:val="24"/>
        </w:rPr>
        <w:t xml:space="preserve">La Commissione ha ritenuto </w:t>
      </w:r>
      <w:r>
        <w:rPr>
          <w:rFonts w:ascii="Barlow Semi Condensed" w:cs="Barlow Semi Condensed" w:eastAsia="Barlow Semi Condensed" w:hAnsi="Barlow Semi Condensed"/>
          <w:b/>
          <w:bCs/>
          <w:sz w:val="24"/>
          <w:szCs w:val="24"/>
        </w:rPr>
        <w:t xml:space="preserve">da approfondire la presenza di due motociclette</w:t>
      </w:r>
      <w:r>
        <w:rPr>
          <w:rFonts w:ascii="Barlow Semi Condensed" w:cs="Barlow Semi Condensed" w:eastAsia="Barlow Semi Condensed" w:hAnsi="Barlow Semi Condensed"/>
          <w:sz w:val="24"/>
          <w:szCs w:val="24"/>
        </w:rPr>
        <w:t xml:space="preserve"> in via Fani — non una — con un totale di </w:t>
      </w:r>
      <w:r>
        <w:rPr>
          <w:rFonts w:ascii="Barlow Semi Condensed" w:cs="Barlow Semi Condensed" w:eastAsia="Barlow Semi Condensed" w:hAnsi="Barlow Semi Condensed"/>
          <w:b/>
          <w:bCs/>
          <w:sz w:val="24"/>
          <w:szCs w:val="24"/>
        </w:rPr>
        <w:t xml:space="preserve">quattro persone</w:t>
      </w:r>
      <w:r>
        <w:rPr>
          <w:rFonts w:ascii="Barlow Semi Condensed" w:cs="Barlow Semi Condensed" w:eastAsia="Barlow Semi Condensed" w:hAnsi="Barlow Semi Condensed"/>
          <w:sz w:val="24"/>
          <w:szCs w:val="24"/>
        </w:rPr>
        <w:t xml:space="preserve"> a bordo («centauri»): una moto nella parte alta della via, in fuga verso via Stresa, l'altra attardatasi sul luogo dell'agguato (Il Messaggero, «In via Fani due moto» (https://www.ilmessaggero.it/primo_piano/cronaca/caso_moro_commissione_via_fani_moto_indagini_sui_4_centauri-1401478.html)). Ha inoltre </w:t>
      </w:r>
      <w:r>
        <w:rPr>
          <w:rFonts w:ascii="Barlow Semi Condensed" w:cs="Barlow Semi Condensed" w:eastAsia="Barlow Semi Condensed" w:hAnsi="Barlow Semi Condensed"/>
          <w:b/>
          <w:bCs/>
          <w:sz w:val="24"/>
          <w:szCs w:val="24"/>
        </w:rPr>
        <w:t xml:space="preserve">audito due testimoni oculari mai sentiti prima</w:t>
      </w:r>
      <w:r>
        <w:rPr>
          <w:rFonts w:ascii="Barlow Semi Condensed" w:cs="Barlow Semi Condensed" w:eastAsia="Barlow Semi Condensed" w:hAnsi="Barlow Semi Condensed"/>
          <w:sz w:val="24"/>
          <w:szCs w:val="24"/>
        </w:rPr>
        <w:t xml:space="preserve"> in quarant'anni: </w:t>
      </w:r>
      <w:r>
        <w:rPr>
          <w:rFonts w:ascii="Barlow Semi Condensed" w:cs="Barlow Semi Condensed" w:eastAsia="Barlow Semi Condensed" w:hAnsi="Barlow Semi Condensed"/>
          <w:b/>
          <w:bCs/>
          <w:sz w:val="24"/>
          <w:szCs w:val="24"/>
        </w:rPr>
        <w:t xml:space="preserve">Giovanni De Chiara</w:t>
      </w:r>
      <w:r>
        <w:rPr>
          <w:rFonts w:ascii="Barlow Semi Condensed" w:cs="Barlow Semi Condensed" w:eastAsia="Barlow Semi Condensed" w:hAnsi="Barlow Semi Condensed"/>
          <w:sz w:val="24"/>
          <w:szCs w:val="24"/>
        </w:rPr>
        <w:t xml:space="preserve">, residente in via Fani 106, e l'ingegner </w:t>
      </w:r>
      <w:r>
        <w:rPr>
          <w:rFonts w:ascii="Barlow Semi Condensed" w:cs="Barlow Semi Condensed" w:eastAsia="Barlow Semi Condensed" w:hAnsi="Barlow Semi Condensed"/>
          <w:b/>
          <w:bCs/>
          <w:sz w:val="24"/>
          <w:szCs w:val="24"/>
        </w:rPr>
        <w:t xml:space="preserve">Alessandro Marini</w:t>
      </w:r>
      <w:r>
        <w:rPr>
          <w:rFonts w:ascii="Barlow Semi Condensed" w:cs="Barlow Semi Condensed" w:eastAsia="Barlow Semi Condensed" w:hAnsi="Barlow Semi Condensed"/>
          <w:sz w:val="24"/>
          <w:szCs w:val="24"/>
        </w:rPr>
        <w:t xml:space="preserve">, che riferì di una </w:t>
      </w:r>
      <w:r>
        <w:rPr>
          <w:rFonts w:ascii="Barlow Semi Condensed" w:cs="Barlow Semi Condensed" w:eastAsia="Barlow Semi Condensed" w:hAnsi="Barlow Semi Condensed"/>
          <w:b/>
          <w:bCs/>
          <w:sz w:val="24"/>
          <w:szCs w:val="24"/>
        </w:rPr>
        <w:t xml:space="preserve">motocicletta Honda</w:t>
      </w:r>
      <w:r>
        <w:rPr>
          <w:rFonts w:ascii="Barlow Semi Condensed" w:cs="Barlow Semi Condensed" w:eastAsia="Barlow Semi Condensed" w:hAnsi="Barlow Semi Condensed"/>
          <w:sz w:val="24"/>
          <w:szCs w:val="24"/>
        </w:rPr>
        <w:t xml:space="preserve"> e di colpi esplosi nella sua direzione (relazione Moro 2, sintesi stampa (https://www.ilfattoquotidiano.it/2017/12/12/commissione-moro-cio-che-abbiamo-saputo-finora-e-una-verita-dicibile-servi-chiudere-la-stagione-del-terrorismo/4033574/)).</w:t>
      </w:r>
    </w:p>
    <w:p>
      <w:pPr>
        <w:spacing w:after="120" w:line="276"/>
        <w:jc w:val="both"/>
      </w:pPr>
      <w:r>
        <w:rPr>
          <w:rFonts w:ascii="Barlow Semi Condensed" w:cs="Barlow Semi Condensed" w:eastAsia="Barlow Semi Condensed" w:hAnsi="Barlow Semi Condensed"/>
          <w:sz w:val="24"/>
          <w:szCs w:val="24"/>
        </w:rPr>
        <w:t xml:space="preserve">Il grado di queste acquisizioni va tenuto fermo, in entrambe le direzioni. </w:t>
      </w:r>
      <w:r>
        <w:rPr>
          <w:rFonts w:ascii="Barlow Semi Condensed" w:cs="Barlow Semi Condensed" w:eastAsia="Barlow Semi Condensed" w:hAnsi="Barlow Semi Condensed"/>
          <w:b/>
          <w:bCs/>
          <w:sz w:val="24"/>
          <w:szCs w:val="24"/>
        </w:rPr>
        <w:t xml:space="preserve">Non è giudicato</w:t>
      </w:r>
      <w:r>
        <w:rPr>
          <w:rFonts w:ascii="Barlow Semi Condensed" w:cs="Barlow Semi Condensed" w:eastAsia="Barlow Semi Condensed" w:hAnsi="Barlow Semi Condensed"/>
          <w:sz w:val="24"/>
          <w:szCs w:val="24"/>
        </w:rPr>
        <w:t xml:space="preserve">: nessuna sentenza ha stabilito che a via Fani vi fossero due moto e quattro centauri estranei al commando BR accertato, e la Commissione stessa parla di elementi «da approfondire», non di fatti provati. </w:t>
      </w:r>
      <w:r>
        <w:rPr>
          <w:rFonts w:ascii="Barlow Semi Condensed" w:cs="Barlow Semi Condensed" w:eastAsia="Barlow Semi Condensed" w:hAnsi="Barlow Semi Condensed"/>
          <w:b/>
          <w:bCs/>
          <w:sz w:val="24"/>
          <w:szCs w:val="24"/>
        </w:rPr>
        <w:t xml:space="preserve">Ma non è neppure fantasia</w:t>
      </w:r>
      <w:r>
        <w:rPr>
          <w:rFonts w:ascii="Barlow Semi Condensed" w:cs="Barlow Semi Condensed" w:eastAsia="Barlow Semi Condensed" w:hAnsi="Barlow Semi Condensed"/>
          <w:sz w:val="24"/>
          <w:szCs w:val="24"/>
        </w:rPr>
        <w:t xml:space="preserve">: sono testimonianze oculari raccolte da un organo dello Stato sotto giuramento, e la loro esistenza è essa stessa un fatto. Il criterio di smentita, coerentemente, è preciso: la ricostruzione delle «due moto» cadrebbe se una perizia balistica o una testimonianza dirimente riconducesse tutti i colpi e tutti i mezzi al commando già giudicato. Finché ciò non avviene, </w:t>
      </w:r>
      <w:r>
        <w:rPr>
          <w:rFonts w:ascii="Barlow Semi Condensed" w:cs="Barlow Semi Condensed" w:eastAsia="Barlow Semi Condensed" w:hAnsi="Barlow Semi Condensed"/>
          <w:b/>
          <w:bCs/>
          <w:sz w:val="24"/>
          <w:szCs w:val="24"/>
        </w:rPr>
        <w:t xml:space="preserve">la questione è aperta al grado B</w:t>
      </w:r>
      <w:r>
        <w:rPr>
          <w:rFonts w:ascii="Barlow Semi Condensed" w:cs="Barlow Semi Condensed" w:eastAsia="Barlow Semi Condensed" w:hAnsi="Barlow Semi Condensed"/>
          <w:sz w:val="24"/>
          <w:szCs w:val="24"/>
        </w:rPr>
        <w:t xml:space="preserve">: documentata come acquisizione parlamentare, non promossa a verità processuale. È esattamente ciò che la disciplina impone — né il silenzio scettico, né il salto dietrologico.</w:t>
      </w:r>
    </w:p>
    <w:p>
      <w:pPr>
        <w:pStyle w:val="Heading1"/>
        <w:spacing w:after="120" w:before="240"/>
      </w:pPr>
      <w:r>
        <w:rPr>
          <w:rFonts w:ascii="Barlow Semi Condensed" w:cs="Barlow Semi Condensed" w:eastAsia="Barlow Semi Condensed" w:hAnsi="Barlow Semi Condensed"/>
          <w:sz w:val="24"/>
          <w:szCs w:val="24"/>
        </w:rPr>
        <w:t xml:space="preserve">Capitolo cinquantanovesimo — Il Memoriale Morucci e la «verità dicibile»: la Commissione fa propria la formula del corpus</w:t>
      </w:r>
    </w:p>
    <w:p>
      <w:pPr>
        <w:spacing w:after="120" w:line="276"/>
        <w:jc w:val="both"/>
      </w:pPr>
      <w:r>
        <w:rPr>
          <w:rFonts w:ascii="Barlow Semi Condensed" w:cs="Barlow Semi Condensed" w:eastAsia="Barlow Semi Condensed" w:hAnsi="Barlow Semi Condensed"/>
          <w:sz w:val="24"/>
          <w:szCs w:val="24"/>
        </w:rPr>
        <w:t xml:space="preserve">La Parte terza (cap. X) aveva usato l'espressione «verità dicibile» come chiave critica: ciò che di un caso può essere reso pubblico senza scardinare gli equilibri che quel caso aveva minacciato. La Fase settima registra un fatto notevole: </w:t>
      </w:r>
      <w:r>
        <w:rPr>
          <w:rFonts w:ascii="Barlow Semi Condensed" w:cs="Barlow Semi Condensed" w:eastAsia="Barlow Semi Condensed" w:hAnsi="Barlow Semi Condensed"/>
          <w:b/>
          <w:bCs/>
          <w:sz w:val="24"/>
          <w:szCs w:val="24"/>
        </w:rPr>
        <w:t xml:space="preserve">quella formula non è del corpus, è della Commissione stessa.</w:t>
      </w:r>
      <w:r>
        <w:rPr>
          <w:rFonts w:ascii="Barlow Semi Condensed" w:cs="Barlow Semi Condensed" w:eastAsia="Barlow Semi Condensed" w:hAnsi="Barlow Semi Condensed"/>
          <w:sz w:val="24"/>
          <w:szCs w:val="24"/>
        </w:rPr>
        <w:t xml:space="preserve"> Nella presentazione della relazione, la Commissione Moro 2 ha qualificato quanto si era saputo fino ad allora come una «</w:t>
      </w:r>
      <w:r>
        <w:rPr>
          <w:rFonts w:ascii="Barlow Semi Condensed" w:cs="Barlow Semi Condensed" w:eastAsia="Barlow Semi Condensed" w:hAnsi="Barlow Semi Condensed"/>
          <w:b/>
          <w:bCs/>
          <w:sz w:val="24"/>
          <w:szCs w:val="24"/>
        </w:rPr>
        <w:t xml:space="preserve">verità dicibile</w:t>
      </w:r>
      <w:r>
        <w:rPr>
          <w:rFonts w:ascii="Barlow Semi Condensed" w:cs="Barlow Semi Condensed" w:eastAsia="Barlow Semi Condensed" w:hAnsi="Barlow Semi Condensed"/>
          <w:sz w:val="24"/>
          <w:szCs w:val="24"/>
        </w:rPr>
        <w:t xml:space="preserve">», che «servì a chiudere la stagione del terrorismo» (Il Fatto Quotidiano, 12 dicembre 2017 (https://www.ilfattoquotidiano.it/2017/12/12/commissione-moro-cio-che-abbiamo-saputo-finora-e-una-verita-dicibile-servi-chiudere-la-stagione-del-terrorismo/4033574/)). Che un organo parlamentare adoperi quel lessico è, di per sé, un dato di grado B sulla natura della verità disponibile.</w:t>
      </w:r>
    </w:p>
    <w:p>
      <w:pPr>
        <w:spacing w:after="120" w:line="276"/>
        <w:jc w:val="both"/>
      </w:pPr>
      <w:r>
        <w:rPr>
          <w:rFonts w:ascii="Barlow Semi Condensed" w:cs="Barlow Semi Condensed" w:eastAsia="Barlow Semi Condensed" w:hAnsi="Barlow Semi Condensed"/>
          <w:sz w:val="24"/>
          <w:szCs w:val="24"/>
        </w:rPr>
        <w:t xml:space="preserve">Il punto d'appoggio documentale della formula è il </w:t>
      </w:r>
      <w:r>
        <w:rPr>
          <w:rFonts w:ascii="Barlow Semi Condensed" w:cs="Barlow Semi Condensed" w:eastAsia="Barlow Semi Condensed" w:hAnsi="Barlow Semi Condensed"/>
          <w:b/>
          <w:bCs/>
          <w:sz w:val="24"/>
          <w:szCs w:val="24"/>
        </w:rPr>
        <w:t xml:space="preserve">Memoriale Morucci</w:t>
      </w:r>
      <w:r>
        <w:rPr>
          <w:rFonts w:ascii="Barlow Semi Condensed" w:cs="Barlow Semi Condensed" w:eastAsia="Barlow Semi Condensed" w:hAnsi="Barlow Semi Condensed"/>
          <w:sz w:val="24"/>
          <w:szCs w:val="24"/>
        </w:rPr>
        <w:t xml:space="preserve">. La Commissione ha accertato che il cosiddetto Memoriale — a lungo trattato come confessione spontanea e definitiva del brigatista — fu in realtà «</w:t>
      </w:r>
      <w:r>
        <w:rPr>
          <w:rFonts w:ascii="Barlow Semi Condensed" w:cs="Barlow Semi Condensed" w:eastAsia="Barlow Semi Condensed" w:hAnsi="Barlow Semi Condensed"/>
          <w:b/>
          <w:bCs/>
          <w:sz w:val="24"/>
          <w:szCs w:val="24"/>
        </w:rPr>
        <w:t xml:space="preserve">il risultato di una collaborazione sviluppatasi lungo gli anni Ottanta</w:t>
      </w:r>
      <w:r>
        <w:rPr>
          <w:rFonts w:ascii="Barlow Semi Condensed" w:cs="Barlow Semi Condensed" w:eastAsia="Barlow Semi Condensed" w:hAnsi="Barlow Semi Condensed"/>
          <w:sz w:val="24"/>
          <w:szCs w:val="24"/>
        </w:rPr>
        <w:t xml:space="preserve">» fra Morucci e Faranda, apparati dello Stato e altre figure, fra cui magistrati inquirenti, il SISDE, esponenti politici e una religiosa inviata da Cossiga (relazione Moro 2 (https://www.ilfattoquotidiano.it/2017/12/12/commissione-moro-cio-che-abbiamo-saputo-finora-e-una-verita-dicibile-servi-chiudere-la-stagione-del-terrorismo/4033574/)). Il grado dell'accertamento è B, ma la sua portata è considerevole: significa che </w:t>
      </w:r>
      <w:r>
        <w:rPr>
          <w:rFonts w:ascii="Barlow Semi Condensed" w:cs="Barlow Semi Condensed" w:eastAsia="Barlow Semi Condensed" w:hAnsi="Barlow Semi Condensed"/>
          <w:b/>
          <w:bCs/>
          <w:sz w:val="24"/>
          <w:szCs w:val="24"/>
        </w:rPr>
        <w:t xml:space="preserve">la principale fonte narrativa interna sul sequestro non è un dato grezzo, ma un testo negoziato</w:t>
      </w:r>
      <w:r>
        <w:rPr>
          <w:rFonts w:ascii="Barlow Semi Condensed" w:cs="Barlow Semi Condensed" w:eastAsia="Barlow Semi Condensed" w:hAnsi="Barlow Semi Condensed"/>
          <w:sz w:val="24"/>
          <w:szCs w:val="24"/>
        </w:rPr>
        <w:t xml:space="preserve"> — non falso, ma costruito, e costruito con il concorso delle stesse istituzioni che il testo doveva rassicurare.</w:t>
      </w:r>
    </w:p>
    <w:p>
      <w:pPr>
        <w:spacing w:after="120" w:line="276"/>
        <w:jc w:val="both"/>
      </w:pPr>
      <w:r>
        <w:rPr>
          <w:rFonts w:ascii="Barlow Semi Condensed" w:cs="Barlow Semi Condensed" w:eastAsia="Barlow Semi Condensed" w:hAnsi="Barlow Semi Condensed"/>
          <w:sz w:val="24"/>
          <w:szCs w:val="24"/>
        </w:rPr>
        <w:t xml:space="preserve">Qui la Fase settima raccorda la storia al metodo. La Fase sesta aveva enunciato il divieto di scambiare una fonte per un fatto; la Commissione Moro 2 ne dà, sul Memoriale, la conferma documentale: </w:t>
      </w:r>
      <w:r>
        <w:rPr>
          <w:rFonts w:ascii="Barlow Semi Condensed" w:cs="Barlow Semi Condensed" w:eastAsia="Barlow Semi Condensed" w:hAnsi="Barlow Semi Condensed"/>
          <w:b/>
          <w:bCs/>
          <w:sz w:val="24"/>
          <w:szCs w:val="24"/>
        </w:rPr>
        <w:t xml:space="preserve">una fonte gestita politicamente va usata sapendo che è tale.</w:t>
      </w:r>
      <w:r>
        <w:rPr>
          <w:rFonts w:ascii="Barlow Semi Condensed" w:cs="Barlow Semi Condensed" w:eastAsia="Barlow Semi Condensed" w:hAnsi="Barlow Semi Condensed"/>
          <w:sz w:val="24"/>
          <w:szCs w:val="24"/>
        </w:rPr>
        <w:t xml:space="preserve"> Non la si getta via — resta la ricostruzione interna più dettagliata di cui disponiamo — ma la si legge con la consapevolezza della sua genesi. È la differenza, ancora una volta, fra il documento e il documentato.</w:t>
      </w:r>
    </w:p>
    <w:p>
      <w:pPr>
        <w:pStyle w:val="Heading1"/>
        <w:spacing w:after="120" w:before="240"/>
      </w:pPr>
      <w:r>
        <w:rPr>
          <w:rFonts w:ascii="Barlow Semi Condensed" w:cs="Barlow Semi Condensed" w:eastAsia="Barlow Semi Condensed" w:hAnsi="Barlow Semi Condensed"/>
          <w:sz w:val="24"/>
          <w:szCs w:val="24"/>
        </w:rPr>
        <w:t xml:space="preserve">Capitolo sessantesimo — Il nodo del 18 aprile, e ciò che la Commissione non ha sciolto</w:t>
      </w:r>
    </w:p>
    <w:p>
      <w:pPr>
        <w:spacing w:after="120" w:line="276"/>
        <w:jc w:val="both"/>
      </w:pPr>
      <w:r>
        <w:rPr>
          <w:rFonts w:ascii="Barlow Semi Condensed" w:cs="Barlow Semi Condensed" w:eastAsia="Barlow Semi Condensed" w:hAnsi="Barlow Semi Condensed"/>
          <w:sz w:val="24"/>
          <w:szCs w:val="24"/>
        </w:rPr>
        <w:t xml:space="preserve">Un'inchiesta si giudica anche da ciò che lascia insoluto, e da ciò che sceglie di non affrontare. La critica più seria mossa alla Commissione Moro 2 è di essersi concentrata «</w:t>
      </w:r>
      <w:r>
        <w:rPr>
          <w:rFonts w:ascii="Barlow Semi Condensed" w:cs="Barlow Semi Condensed" w:eastAsia="Barlow Semi Condensed" w:hAnsi="Barlow Semi Condensed"/>
          <w:b/>
          <w:bCs/>
          <w:sz w:val="24"/>
          <w:szCs w:val="24"/>
        </w:rPr>
        <w:t xml:space="preserve">quasi solo sull'agguato di via Fani, senza affrontare il nodo del 18 aprile</w:t>
      </w:r>
      <w:r>
        <w:rPr>
          <w:rFonts w:ascii="Barlow Semi Condensed" w:cs="Barlow Semi Condensed" w:eastAsia="Barlow Semi Condensed" w:hAnsi="Barlow Semi Condensed"/>
          <w:sz w:val="24"/>
          <w:szCs w:val="24"/>
        </w:rPr>
        <w:t xml:space="preserve">»: la scoperta del covo di </w:t>
      </w:r>
      <w:r>
        <w:rPr>
          <w:rFonts w:ascii="Barlow Semi Condensed" w:cs="Barlow Semi Condensed" w:eastAsia="Barlow Semi Condensed" w:hAnsi="Barlow Semi Condensed"/>
          <w:b/>
          <w:bCs/>
          <w:sz w:val="24"/>
          <w:szCs w:val="24"/>
        </w:rPr>
        <w:t xml:space="preserve">via Gradoli</w:t>
      </w:r>
      <w:r>
        <w:rPr>
          <w:rFonts w:ascii="Barlow Semi Condensed" w:cs="Barlow Semi Condensed" w:eastAsia="Barlow Semi Condensed" w:hAnsi="Barlow Semi Condensed"/>
          <w:sz w:val="24"/>
          <w:szCs w:val="24"/>
        </w:rPr>
        <w:t xml:space="preserve"> e il </w:t>
      </w:r>
      <w:r>
        <w:rPr>
          <w:rFonts w:ascii="Barlow Semi Condensed" w:cs="Barlow Semi Condensed" w:eastAsia="Barlow Semi Condensed" w:hAnsi="Barlow Semi Condensed"/>
          <w:b/>
          <w:bCs/>
          <w:sz w:val="24"/>
          <w:szCs w:val="24"/>
        </w:rPr>
        <w:t xml:space="preserve">falso comunicato del lago della Duchessa</w:t>
      </w:r>
      <w:r>
        <w:rPr>
          <w:rFonts w:ascii="Barlow Semi Condensed" w:cs="Barlow Semi Condensed" w:eastAsia="Barlow Semi Condensed" w:hAnsi="Barlow Semi Condensed"/>
          <w:sz w:val="24"/>
          <w:szCs w:val="24"/>
        </w:rPr>
        <w:t xml:space="preserve"> (sintesi critica sulla relazione (https://ristretti.org/index.php?option=com_content&amp;view=article&amp;id=84929)). La Parte terza aveva dedicato a via Gradoli e alla «seduta spiritica» il proprio capitolo V; la Fase settima registra che, su quel nodo, </w:t>
      </w:r>
      <w:r>
        <w:rPr>
          <w:rFonts w:ascii="Barlow Semi Condensed" w:cs="Barlow Semi Condensed" w:eastAsia="Barlow Semi Condensed" w:hAnsi="Barlow Semi Condensed"/>
          <w:b/>
          <w:bCs/>
          <w:sz w:val="24"/>
          <w:szCs w:val="24"/>
        </w:rPr>
        <w:t xml:space="preserve">la Commissione Moro 2 non ha prodotto un accertamento risolutivo</w:t>
      </w:r>
      <w:r>
        <w:rPr>
          <w:rFonts w:ascii="Barlow Semi Condensed" w:cs="Barlow Semi Condensed" w:eastAsia="Barlow Semi Condensed" w:hAnsi="Barlow Semi Condensed"/>
          <w:sz w:val="24"/>
          <w:szCs w:val="24"/>
        </w:rPr>
        <w:t xml:space="preserve">.</w:t>
      </w:r>
    </w:p>
    <w:p>
      <w:pPr>
        <w:spacing w:after="120" w:line="276"/>
        <w:jc w:val="both"/>
      </w:pPr>
      <w:r>
        <w:rPr>
          <w:rFonts w:ascii="Barlow Semi Condensed" w:cs="Barlow Semi Condensed" w:eastAsia="Barlow Semi Condensed" w:hAnsi="Barlow Semi Condensed"/>
          <w:sz w:val="24"/>
          <w:szCs w:val="24"/>
        </w:rPr>
        <w:t xml:space="preserve">Questo è un dato prezioso, e va enunciato senza piegarlo. Non significa che dietro il 18 aprile «ci sia» qualcosa che la Commissione avrebbe nascosto — sarebbe un salto al grado C mascherato da rilievo procedurale. Significa una cosa più sobria e più solida: che </w:t>
      </w:r>
      <w:r>
        <w:rPr>
          <w:rFonts w:ascii="Barlow Semi Condensed" w:cs="Barlow Semi Condensed" w:eastAsia="Barlow Semi Condensed" w:hAnsi="Barlow Semi Condensed"/>
          <w:b/>
          <w:bCs/>
          <w:sz w:val="24"/>
          <w:szCs w:val="24"/>
        </w:rPr>
        <w:t xml:space="preserve">la questione di via Gradoli resta, dopo la Commissione Moro 2, al grado in cui la Parte terza l'aveva lasciata</w:t>
      </w:r>
      <w:r>
        <w:rPr>
          <w:rFonts w:ascii="Barlow Semi Condensed" w:cs="Barlow Semi Condensed" w:eastAsia="Barlow Semi Condensed" w:hAnsi="Barlow Semi Condensed"/>
          <w:sz w:val="24"/>
          <w:szCs w:val="24"/>
        </w:rPr>
        <w:t xml:space="preserve"> — aperta, non chiarita, e non chiarita nemmeno dall'ultimo e più recente sforzo istituzionale. Il criterio di smentita del capitolo V resta quello: la coincidenza fra la «seduta spiritica» e l'indirizzo reale del covo attende ancora una spiegazione documentale che né i processi né le due Commissioni hanno fornito. La Fase settima non la fornisce: la </w:t>
      </w:r>
      <w:r>
        <w:rPr>
          <w:rFonts w:ascii="Barlow Semi Condensed" w:cs="Barlow Semi Condensed" w:eastAsia="Barlow Semi Condensed" w:hAnsi="Barlow Semi Condensed"/>
          <w:b/>
          <w:bCs/>
          <w:sz w:val="24"/>
          <w:szCs w:val="24"/>
        </w:rPr>
        <w:t xml:space="preserve">certifica come tuttora mancante</w:t>
      </w:r>
      <w:r>
        <w:rPr>
          <w:rFonts w:ascii="Barlow Semi Condensed" w:cs="Barlow Semi Condensed" w:eastAsia="Barlow Semi Condensed" w:hAnsi="Barlow Semi Condensed"/>
          <w:sz w:val="24"/>
          <w:szCs w:val="24"/>
        </w:rPr>
        <w:t xml:space="preserve">, che è il massimo che la disciplina consente.</w:t>
      </w:r>
    </w:p>
    <w:p>
      <w:pPr>
        <w:pStyle w:val="Heading1"/>
        <w:spacing w:after="120" w:before="240"/>
      </w:pPr>
      <w:r>
        <w:rPr>
          <w:rFonts w:ascii="Barlow Semi Condensed" w:cs="Barlow Semi Condensed" w:eastAsia="Barlow Semi Condensed" w:hAnsi="Barlow Semi Condensed"/>
          <w:sz w:val="24"/>
          <w:szCs w:val="24"/>
        </w:rPr>
        <w:t xml:space="preserve">Capitolo sessantunesimo — Tavola di raccordo: le questioni aperte davanti al registro giudiziario</w:t>
      </w:r>
    </w:p>
    <w:p>
      <w:pPr>
        <w:spacing w:after="120" w:line="276"/>
        <w:jc w:val="both"/>
      </w:pPr>
      <w:r>
        <w:rPr>
          <w:rFonts w:ascii="Barlow Semi Condensed" w:cs="Barlow Semi Condensed" w:eastAsia="Barlow Semi Condensed" w:hAnsi="Barlow Semi Condensed"/>
          <w:sz w:val="24"/>
          <w:szCs w:val="24"/>
        </w:rPr>
        <w:t xml:space="preserve">Si chiude la Fase riportando ciascuna delle otto questioni del dossier (Parte terza, Movimento secondo) davanti al registro giudiziario e parlamentare, con il grado risultante. È l'aggiornamento dell'apparato dei gradi (Fase sesta) alla luce dello strato istruttorio.</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40"/>
        <w:gridCol w:w="2340"/>
        <w:gridCol w:w="2340"/>
        <w:gridCol w:w="2340"/>
      </w:tblGrid>
      <w:tr>
        <w:tc>
          <w:tcPr>
            <w:tcW w:type="dxa" w:w="234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Questione (Parte terza)</w:t>
            </w:r>
          </w:p>
        </w:tc>
        <w:tc>
          <w:tcPr>
            <w:tcW w:type="dxa" w:w="234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Giudicato (grado A)</w:t>
            </w:r>
          </w:p>
        </w:tc>
        <w:tc>
          <w:tcPr>
            <w:tcW w:type="dxa" w:w="234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Commissione Moro 2 (grado B)</w:t>
            </w:r>
          </w:p>
        </w:tc>
        <w:tc>
          <w:tcPr>
            <w:tcW w:type="dxa" w:w="234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Residuo (grado C)</w:t>
            </w:r>
          </w:p>
        </w:tc>
      </w:tr>
      <w:tr>
        <w:tc>
          <w:tcPr>
            <w:tcW w:type="dxa" w:w="2340"/>
          </w:tcPr>
          <w:p>
            <w:pPr>
              <w:spacing w:after="20" w:before="20"/>
              <w:jc w:val="both"/>
            </w:pPr>
            <w:r>
              <w:rPr>
                <w:rFonts w:ascii="Barlow Semi Condensed" w:cs="Barlow Semi Condensed" w:eastAsia="Barlow Semi Condensed" w:hAnsi="Barlow Semi Condensed"/>
                <w:b/>
                <w:bCs/>
                <w:sz w:val="20"/>
                <w:szCs w:val="20"/>
              </w:rPr>
              <w:t xml:space="preserve">III. Via Fani</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Agguato eseguito dal commando BR; esecutori accertati</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Due moto e quattro centauri «da approfondire»; due testimoni nuovi</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Identità e ruolo degli eventuali centauri estranei</w:t>
            </w:r>
          </w:p>
        </w:tc>
      </w:tr>
      <w:tr>
        <w:tc>
          <w:tcPr>
            <w:tcW w:type="dxa" w:w="2340"/>
          </w:tcPr>
          <w:p>
            <w:pPr>
              <w:spacing w:after="20" w:before="20"/>
              <w:jc w:val="both"/>
            </w:pPr>
            <w:r>
              <w:rPr>
                <w:rFonts w:ascii="Barlow Semi Condensed" w:cs="Barlow Semi Condensed" w:eastAsia="Barlow Semi Condensed" w:hAnsi="Barlow Semi Condensed"/>
                <w:b/>
                <w:bCs/>
                <w:sz w:val="20"/>
                <w:szCs w:val="20"/>
              </w:rPr>
              <w:t xml:space="preserve">IV. La prigione</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Covo di via Montalcini; Maccari «quarto uomo» (Moro quinquies)</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Ricostruzioni logistiche integrate</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Se vi fu una seconda prigione: non provato</w:t>
            </w:r>
          </w:p>
        </w:tc>
      </w:tr>
      <w:tr>
        <w:tc>
          <w:tcPr>
            <w:tcW w:type="dxa" w:w="2340"/>
          </w:tcPr>
          <w:p>
            <w:pPr>
              <w:spacing w:after="20" w:before="20"/>
              <w:jc w:val="both"/>
            </w:pPr>
            <w:r>
              <w:rPr>
                <w:rFonts w:ascii="Barlow Semi Condensed" w:cs="Barlow Semi Condensed" w:eastAsia="Barlow Semi Condensed" w:hAnsi="Barlow Semi Condensed"/>
                <w:b/>
                <w:bCs/>
                <w:sz w:val="20"/>
                <w:szCs w:val="20"/>
              </w:rPr>
              <w:t xml:space="preserve">V. Via Gradoli / seduta</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 (nessun giudicato risolutivo)</w:t>
            </w:r>
          </w:p>
        </w:tc>
        <w:tc>
          <w:tcPr>
            <w:tcW w:type="dxa" w:w="2340"/>
          </w:tcPr>
          <w:p>
            <w:pPr>
              <w:spacing w:after="20" w:before="20"/>
              <w:jc w:val="both"/>
            </w:pPr>
            <w:r>
              <w:rPr>
                <w:rFonts w:ascii="Barlow Semi Condensed" w:cs="Barlow Semi Condensed" w:eastAsia="Barlow Semi Condensed" w:hAnsi="Barlow Semi Condensed"/>
                <w:b/>
                <w:bCs/>
                <w:sz w:val="20"/>
                <w:szCs w:val="20"/>
              </w:rPr>
              <w:t xml:space="preserve">Non sciolto</w:t>
            </w:r>
            <w:r>
              <w:rPr>
                <w:rFonts w:ascii="Barlow Semi Condensed" w:cs="Barlow Semi Condensed" w:eastAsia="Barlow Semi Condensed" w:hAnsi="Barlow Semi Condensed"/>
                <w:sz w:val="20"/>
                <w:szCs w:val="20"/>
              </w:rPr>
              <w:t xml:space="preserve"> dalla Commissione</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La coincidenza resta senza spiegazione documentale</w:t>
            </w:r>
          </w:p>
        </w:tc>
      </w:tr>
      <w:tr>
        <w:tc>
          <w:tcPr>
            <w:tcW w:type="dxa" w:w="2340"/>
          </w:tcPr>
          <w:p>
            <w:pPr>
              <w:spacing w:after="20" w:before="20"/>
              <w:jc w:val="both"/>
            </w:pPr>
            <w:r>
              <w:rPr>
                <w:rFonts w:ascii="Barlow Semi Condensed" w:cs="Barlow Semi Condensed" w:eastAsia="Barlow Semi Condensed" w:hAnsi="Barlow Semi Condensed"/>
                <w:b/>
                <w:bCs/>
                <w:sz w:val="20"/>
                <w:szCs w:val="20"/>
              </w:rPr>
              <w:t xml:space="preserve">VI. Fermezza / trattativa</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Fatti dei canali di mediazione accertati nei processi</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Ruolo degli apparati nella gestione documentato</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Se una trattativa fosse possibile: giudizio storico, non fatto</w:t>
            </w:r>
          </w:p>
        </w:tc>
      </w:tr>
      <w:tr>
        <w:tc>
          <w:tcPr>
            <w:tcW w:type="dxa" w:w="2340"/>
          </w:tcPr>
          <w:p>
            <w:pPr>
              <w:spacing w:after="20" w:before="20"/>
              <w:jc w:val="both"/>
            </w:pPr>
            <w:r>
              <w:rPr>
                <w:rFonts w:ascii="Barlow Semi Condensed" w:cs="Barlow Semi Condensed" w:eastAsia="Barlow Semi Condensed" w:hAnsi="Barlow Semi Condensed"/>
                <w:b/>
                <w:bCs/>
                <w:sz w:val="20"/>
                <w:szCs w:val="20"/>
              </w:rPr>
              <w:t xml:space="preserve">VII. Occasioni mancate</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Cronologia dei mancati rinvenimenti accertata</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Responsabilità di ritardi e omissioni analizzate</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Dolo vs inefficienza: non deciso</w:t>
            </w:r>
          </w:p>
        </w:tc>
      </w:tr>
      <w:tr>
        <w:tc>
          <w:tcPr>
            <w:tcW w:type="dxa" w:w="2340"/>
          </w:tcPr>
          <w:p>
            <w:pPr>
              <w:spacing w:after="20" w:before="20"/>
              <w:jc w:val="both"/>
            </w:pPr>
            <w:r>
              <w:rPr>
                <w:rFonts w:ascii="Barlow Semi Condensed" w:cs="Barlow Semi Condensed" w:eastAsia="Barlow Semi Condensed" w:hAnsi="Barlow Semi Condensed"/>
                <w:b/>
                <w:bCs/>
                <w:sz w:val="20"/>
                <w:szCs w:val="20"/>
              </w:rPr>
              <w:t xml:space="preserve">VIII. Memoriale Monte Nevoso</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Ritrovamenti (1978 e 1990) accertati</w:t>
            </w:r>
          </w:p>
        </w:tc>
        <w:tc>
          <w:tcPr>
            <w:tcW w:type="dxa" w:w="2340"/>
          </w:tcPr>
          <w:p>
            <w:pPr>
              <w:spacing w:after="20" w:before="20"/>
              <w:jc w:val="both"/>
            </w:pPr>
            <w:r>
              <w:rPr>
                <w:rFonts w:ascii="Barlow Semi Condensed" w:cs="Barlow Semi Condensed" w:eastAsia="Barlow Semi Condensed" w:hAnsi="Barlow Semi Condensed"/>
                <w:b/>
                <w:bCs/>
                <w:sz w:val="20"/>
                <w:szCs w:val="20"/>
              </w:rPr>
              <w:t xml:space="preserve">Memoriale Morucci = testo negoziato anni '80</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Che cosa manchi ancora: indeterminato</w:t>
            </w:r>
          </w:p>
        </w:tc>
      </w:tr>
      <w:tr>
        <w:tc>
          <w:tcPr>
            <w:tcW w:type="dxa" w:w="2340"/>
          </w:tcPr>
          <w:p>
            <w:pPr>
              <w:spacing w:after="20" w:before="20"/>
              <w:jc w:val="both"/>
            </w:pPr>
            <w:r>
              <w:rPr>
                <w:rFonts w:ascii="Barlow Semi Condensed" w:cs="Barlow Semi Condensed" w:eastAsia="Barlow Semi Condensed" w:hAnsi="Barlow Semi Condensed"/>
                <w:b/>
                <w:bCs/>
                <w:sz w:val="20"/>
                <w:szCs w:val="20"/>
              </w:rPr>
              <w:t xml:space="preserve">IX. Quadro internazionale</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Elementi acquisiti, nessun nesso causale stabilito</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La regia estera: congettura (cfr. Hyperion, </w:t>
            </w:r>
            <w:r>
              <w:rPr>
                <w:rFonts w:ascii="Barlow Semi Condensed" w:cs="Barlow Semi Condensed" w:eastAsia="Barlow Semi Condensed" w:hAnsi="Barlow Semi Condensed"/>
                <w:i/>
                <w:iCs/>
                <w:sz w:val="20"/>
                <w:szCs w:val="20"/>
              </w:rPr>
              <w:t xml:space="preserve">triangolazione-hyperion-corpus.md</w:t>
            </w:r>
            <w:r>
              <w:rPr>
                <w:rFonts w:ascii="Barlow Semi Condensed" w:cs="Barlow Semi Condensed" w:eastAsia="Barlow Semi Condensed" w:hAnsi="Barlow Semi Condensed"/>
                <w:sz w:val="20"/>
                <w:szCs w:val="20"/>
              </w:rPr>
              <w:t xml:space="preserve">)</w:t>
            </w:r>
          </w:p>
        </w:tc>
      </w:tr>
      <w:tr>
        <w:tc>
          <w:tcPr>
            <w:tcW w:type="dxa" w:w="2340"/>
          </w:tcPr>
          <w:p>
            <w:pPr>
              <w:spacing w:after="20" w:before="20"/>
              <w:jc w:val="both"/>
            </w:pPr>
            <w:r>
              <w:rPr>
                <w:rFonts w:ascii="Barlow Semi Condensed" w:cs="Barlow Semi Condensed" w:eastAsia="Barlow Semi Condensed" w:hAnsi="Barlow Semi Condensed"/>
                <w:b/>
                <w:bCs/>
                <w:sz w:val="20"/>
                <w:szCs w:val="20"/>
              </w:rPr>
              <w:t xml:space="preserve">X. Depistaggi / verità dicibile</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w:t>
            </w:r>
          </w:p>
        </w:tc>
        <w:tc>
          <w:tcPr>
            <w:tcW w:type="dxa" w:w="2340"/>
          </w:tcPr>
          <w:p>
            <w:pPr>
              <w:spacing w:after="20" w:before="20"/>
              <w:jc w:val="both"/>
            </w:pPr>
            <w:r>
              <w:rPr>
                <w:rFonts w:ascii="Barlow Semi Condensed" w:cs="Barlow Semi Condensed" w:eastAsia="Barlow Semi Condensed" w:hAnsi="Barlow Semi Condensed"/>
                <w:b/>
                <w:bCs/>
                <w:sz w:val="20"/>
                <w:szCs w:val="20"/>
              </w:rPr>
              <w:t xml:space="preserve">Formula «verità dicibile» fatta propria dalla Commissione</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L'ampiezza dell'indicibile: per definizione non misurabile</w:t>
            </w:r>
          </w:p>
        </w:tc>
      </w:tr>
    </w:tbl>
    <w:p>
      <w:pPr>
        <w:spacing w:after="80"/>
      </w:pPr>
    </w:p>
    <w:p>
      <w:pPr>
        <w:spacing w:after="120" w:line="276"/>
        <w:jc w:val="both"/>
      </w:pPr>
      <w:r>
        <w:rPr>
          <w:rFonts w:ascii="Barlow Semi Condensed" w:cs="Barlow Semi Condensed" w:eastAsia="Barlow Semi Condensed" w:hAnsi="Barlow Semi Condensed"/>
          <w:sz w:val="24"/>
          <w:szCs w:val="24"/>
        </w:rPr>
        <w:t xml:space="preserve">La tavola dice, in una sola immagine, ciò che la Fase settima aggiunge all'opera: </w:t>
      </w:r>
      <w:r>
        <w:rPr>
          <w:rFonts w:ascii="Barlow Semi Condensed" w:cs="Barlow Semi Condensed" w:eastAsia="Barlow Semi Condensed" w:hAnsi="Barlow Semi Condensed"/>
          <w:b/>
          <w:bCs/>
          <w:sz w:val="24"/>
          <w:szCs w:val="24"/>
        </w:rPr>
        <w:t xml:space="preserve">quasi nessuna delle questioni aperte è stata chiusa dal giudicato; molte sono state documentate — non risolte — dalla Commissione Moro 2; nessuna è stata promossa a verità causale.</w:t>
      </w:r>
      <w:r>
        <w:rPr>
          <w:rFonts w:ascii="Barlow Semi Condensed" w:cs="Barlow Semi Condensed" w:eastAsia="Barlow Semi Condensed" w:hAnsi="Barlow Semi Condensed"/>
          <w:sz w:val="24"/>
          <w:szCs w:val="24"/>
        </w:rPr>
        <w:t xml:space="preserve"> Il caso Moro, dopo cinque processi e due Commissioni, ha un pavimento solido di fatti accertati e un soffitto aperto di questioni documentate ma non concluse. Riconoscere con esattezza dove passa la linea fra i due — fra il grado A del giudicato e il grado B dell'accertamento parlamentare, e fra questi e il grado C della congettura — è tutto ciò che un'opera onesta può fare. Non è poco: è la differenza fra la storia e la sua contraffazione.</w:t>
      </w:r>
    </w:p>
    <w:p>
      <w:pPr>
        <w:pBdr>
          <w:bottom w:val="single" w:color="999999" w:sz="6" w:space="1"/>
        </w:pBdr>
        <w:spacing w:after="80"/>
      </w:pPr>
    </w:p>
    <w:p>
      <w:pPr>
        <w:spacing w:after="120" w:line="276"/>
        <w:jc w:val="both"/>
      </w:pPr>
      <w:r>
        <w:rPr>
          <w:rFonts w:ascii="Barlow Semi Condensed" w:cs="Barlow Semi Condensed" w:eastAsia="Barlow Semi Condensed" w:hAnsi="Barlow Semi Condensed"/>
          <w:i/>
          <w:iCs/>
          <w:sz w:val="24"/>
          <w:szCs w:val="24"/>
        </w:rPr>
        <w:t xml:space="preserve">Congedo della Fase settima.</w:t>
      </w:r>
      <w:r>
        <w:rPr>
          <w:rFonts w:ascii="Barlow Semi Condensed" w:cs="Barlow Semi Condensed" w:eastAsia="Barlow Semi Condensed" w:hAnsi="Barlow Semi Condensed"/>
          <w:sz w:val="24"/>
          <w:szCs w:val="24"/>
        </w:rPr>
        <w:t xml:space="preserve"> Il garante che ha parlato nella Fase sesta torna qui a tacere, avendo fatto la sola cosa che gli competeva: </w:t>
      </w:r>
      <w:r>
        <w:rPr>
          <w:rFonts w:ascii="Barlow Semi Condensed" w:cs="Barlow Semi Condensed" w:eastAsia="Barlow Semi Condensed" w:hAnsi="Barlow Semi Condensed"/>
          <w:b/>
          <w:bCs/>
          <w:sz w:val="24"/>
          <w:szCs w:val="24"/>
        </w:rPr>
        <w:t xml:space="preserve">ancorare il dossier al registro degli atti</w:t>
      </w:r>
      <w:r>
        <w:rPr>
          <w:rFonts w:ascii="Barlow Semi Condensed" w:cs="Barlow Semi Condensed" w:eastAsia="Barlow Semi Condensed" w:hAnsi="Barlow Semi Condensed"/>
          <w:sz w:val="24"/>
          <w:szCs w:val="24"/>
        </w:rPr>
        <w:t xml:space="preserve">. Le questioni restano aperte quanto lo erano; ma ora si sa, per ciascuna, su quale gradino del sapere poggia — se sul giudicato, se sull'inchiesta, se sulla sola congettura. Ed è sapendo questo, e non dimenticandolo mai, che si può continuare a cercare senza mentire. Nessun nome è stato aggiunto a quelli che le sentenze hanno scritto; nessuna graduatoria è stata compilata; nessuna verità è stata proclamata più alta di quella che le prove reggono. La guerra senza fine non finisce qui — ma qui, almeno, ha una mappa dei propri confini provati.</w:t>
      </w:r>
    </w:p>
    <w:p>
      <w:pPr>
        <w:pBdr>
          <w:bottom w:val="single" w:color="999999" w:sz="6" w:space="1"/>
        </w:pBdr>
        <w:spacing w:after="80"/>
      </w:pPr>
    </w:p>
    <w:p>
      <w:pPr>
        <w:spacing w:after="120" w:line="276"/>
        <w:jc w:val="both"/>
      </w:pPr>
      <w:r>
        <w:rPr>
          <w:rFonts w:ascii="Barlow Semi Condensed" w:cs="Barlow Semi Condensed" w:eastAsia="Barlow Semi Condensed" w:hAnsi="Barlow Semi Condensed"/>
          <w:i/>
          <w:iCs/>
          <w:sz w:val="24"/>
          <w:szCs w:val="24"/>
        </w:rPr>
        <w:t xml:space="preserve">Fase settima dell'opera «Aldo Moro — Una guerra senza fine» (capp. 56-61). Aggiunge lo strato giudiziario e istruttorio: i cinque processi Moro come pavimento del giudicato, la Commissione Moro 2 (2014-2017) come accertamento parlamentare di grado B, la tavola di raccordo delle otto questioni aperte. Distinzione ferrea fra giudicato, accertamento parlamentare e congettura; nessuna imputazione oltre il giudicato; nessuna graduatoria. Fonti: sentenze dei processi Moro (Questione Giustizia); relazione della Commissione Moro 2 del 6 dicembre 2017 (atti della Camera). Ricostruzione storica, senza dietrologia né il suo rovescio.</w:t>
      </w:r>
    </w:p>
    <w:p>
      <w:pPr>
        <w:pStyle w:val="Heading3"/>
        <w:spacing w:after="80" w:before="240"/>
      </w:pPr>
      <w:r>
        <w:rPr>
          <w:rFonts w:ascii="Barlow Semi Condensed" w:cs="Barlow Semi Condensed" w:eastAsia="Barlow Semi Condensed" w:hAnsi="Barlow Semi Condensed"/>
          <w:sz w:val="24"/>
          <w:szCs w:val="24"/>
        </w:rPr>
        <w:t xml:space="preserve">Apparato grafico — Libro nono · Il registro giudiziario</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4"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Libro nono: 2.171 parole in 3 sezioni; la più ampia è §2 Segmento 2, con 787.</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5"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Libro nono: 9 indirizzi di fonte citati, addensati in 3 sezioni su 3.</w:t>
      </w:r>
    </w:p>
    <w:p>
      <w:pPr>
        <w:spacing w:after="120"/>
        <w:jc w:val="center"/>
      </w:pPr>
      <w:r>
        <w:rPr>
          <w:rFonts w:ascii="Barlow Semi Condensed" w:cs="Barlow Semi Condensed" w:eastAsia="Barlow Semi Condensed" w:hAnsi="Barlow Semi Condensed"/>
          <w:color w:val="777777"/>
          <w:sz w:val="16"/>
          <w:szCs w:val="16"/>
        </w:rPr>
        <w:t xml:space="preserve">Le metriche dell'apparato contano parole, documenti e atti — mai colpe.</w:t>
      </w:r>
    </w:p>
    <w:p>
      <w:r>
        <w:br w:type="page"/>
      </w:r>
    </w:p>
    <w:p>
      <w:pPr>
        <w:pStyle w:val="Heading1"/>
        <w:spacing w:after="120" w:before="240"/>
      </w:pPr>
      <w:r>
        <w:rPr>
          <w:rFonts w:ascii="Barlow Semi Condensed" w:cs="Barlow Semi Condensed" w:eastAsia="Barlow Semi Condensed" w:hAnsi="Barlow Semi Condensed"/>
          <w:sz w:val="24"/>
          <w:szCs w:val="24"/>
        </w:rPr>
        <w:t xml:space="preserve">Libro decimo — Il repertorio del caso</w:t>
      </w:r>
    </w:p>
    <w:p>
      <w:pPr>
        <w:pStyle w:val="Heading2"/>
        <w:spacing w:after="100" w:before="200"/>
      </w:pPr>
      <w:r>
        <w:rPr>
          <w:rFonts w:ascii="Barlow Semi Condensed" w:cs="Barlow Semi Condensed" w:eastAsia="Barlow Semi Condensed" w:hAnsi="Barlow Semi Condensed"/>
          <w:sz w:val="24"/>
          <w:szCs w:val="24"/>
        </w:rPr>
        <w:t xml:space="preserve">Fase nona — Il repertorio del caso: tutto ciò che è attribuibile, e con che grado</w:t>
      </w:r>
    </w:p>
    <w:p>
      <w:pPr>
        <w:spacing w:after="120" w:line="276"/>
        <w:jc w:val="both"/>
      </w:pPr>
      <w:r>
        <w:rPr>
          <w:rFonts w:ascii="Barlow Semi Condensed" w:cs="Barlow Semi Condensed" w:eastAsia="Barlow Semi Condensed" w:hAnsi="Barlow Semi Condensed"/>
          <w:i/>
          <w:iCs/>
          <w:sz w:val="24"/>
          <w:szCs w:val="24"/>
        </w:rPr>
        <w:t xml:space="preserve">Ampliamento dell'opera — 25 agosto 2026 · Capitoli 68-76</w:t>
      </w:r>
    </w:p>
    <w:p>
      <w:pPr>
        <w:pBdr>
          <w:left w:val="single" w:color="1F3864" w:sz="18" w:space="8"/>
        </w:pBdr>
        <w:spacing w:after="80" w:before="80"/>
        <w:ind w:left="360" w:right="360"/>
        <w:jc w:val="both"/>
      </w:pPr>
      <w:r>
        <w:rPr>
          <w:rFonts w:ascii="Barlow Semi Condensed" w:cs="Barlow Semi Condensed" w:eastAsia="Barlow Semi Condensed" w:hAnsi="Barlow Semi Condensed"/>
          <w:b/>
          <w:bCs/>
          <w:i w:val="false"/>
          <w:iCs w:val="false"/>
          <w:sz w:val="24"/>
          <w:szCs w:val="24"/>
        </w:rPr>
        <w:t xml:space="preserve">Statuto e uso del repertorio.</w:t>
      </w:r>
      <w:r>
        <w:rPr>
          <w:rFonts w:ascii="Barlow Semi Condensed" w:cs="Barlow Semi Condensed" w:eastAsia="Barlow Semi Condensed" w:hAnsi="Barlow Semi Condensed"/>
          <w:i w:val="false"/>
          <w:iCs w:val="false"/>
          <w:sz w:val="24"/>
          <w:szCs w:val="24"/>
        </w:rPr>
        <w:t xml:space="preserve"> Questa Fase raccoglie, in forma ordinata e gradata, </w:t>
      </w:r>
      <w:r>
        <w:rPr>
          <w:rFonts w:ascii="Barlow Semi Condensed" w:cs="Barlow Semi Condensed" w:eastAsia="Barlow Semi Condensed" w:hAnsi="Barlow Semi Condensed"/>
          <w:b/>
          <w:bCs/>
          <w:i w:val="false"/>
          <w:iCs w:val="false"/>
          <w:sz w:val="24"/>
          <w:szCs w:val="24"/>
        </w:rPr>
        <w:t xml:space="preserve">tutto ciò che è attribuibile al caso Moro</w:t>
      </w:r>
      <w:r>
        <w:rPr>
          <w:rFonts w:ascii="Barlow Semi Condensed" w:cs="Barlow Semi Condensed" w:eastAsia="Barlow Semi Condensed" w:hAnsi="Barlow Semi Condensed"/>
          <w:i w:val="false"/>
          <w:iCs w:val="false"/>
          <w:sz w:val="24"/>
          <w:szCs w:val="24"/>
        </w:rPr>
        <w:t xml:space="preserve"> su base documentata: le persone, i luoghi, le date, i documenti, gli atti giudiziari e parlamentari, i nodi aperti. Non è un racconto: è un </w:t>
      </w:r>
      <w:r>
        <w:rPr>
          <w:rFonts w:ascii="Barlow Semi Condensed" w:cs="Barlow Semi Condensed" w:eastAsia="Barlow Semi Condensed" w:hAnsi="Barlow Semi Condensed"/>
          <w:b/>
          <w:bCs/>
          <w:i w:val="false"/>
          <w:iCs w:val="false"/>
          <w:sz w:val="24"/>
          <w:szCs w:val="24"/>
        </w:rPr>
        <w:t xml:space="preserve">repertorio</w:t>
      </w:r>
      <w:r>
        <w:rPr>
          <w:rFonts w:ascii="Barlow Semi Condensed" w:cs="Barlow Semi Condensed" w:eastAsia="Barlow Semi Condensed" w:hAnsi="Barlow Semi Condensed"/>
          <w:i w:val="false"/>
          <w:iCs w:val="false"/>
          <w:sz w:val="24"/>
          <w:szCs w:val="24"/>
        </w:rPr>
        <w:t xml:space="preserve"> — uno strumento di consultazione che dice, per ogni voce, </w:t>
      </w:r>
      <w:r>
        <w:rPr>
          <w:rFonts w:ascii="Barlow Semi Condensed" w:cs="Barlow Semi Condensed" w:eastAsia="Barlow Semi Condensed" w:hAnsi="Barlow Semi Condensed"/>
          <w:i w:val="false"/>
          <w:iCs w:val="false"/>
          <w:sz w:val="24"/>
          <w:szCs w:val="24"/>
        </w:rPr>
        <w:t xml:space="preserve">che cosa è</w:t>
      </w:r>
      <w:r>
        <w:rPr>
          <w:rFonts w:ascii="Barlow Semi Condensed" w:cs="Barlow Semi Condensed" w:eastAsia="Barlow Semi Condensed" w:hAnsi="Barlow Semi Condensed"/>
          <w:i w:val="false"/>
          <w:iCs w:val="false"/>
          <w:sz w:val="24"/>
          <w:szCs w:val="24"/>
        </w:rPr>
        <w:t xml:space="preserve"> e </w:t>
      </w:r>
      <w:r>
        <w:rPr>
          <w:rFonts w:ascii="Barlow Semi Condensed" w:cs="Barlow Semi Condensed" w:eastAsia="Barlow Semi Condensed" w:hAnsi="Barlow Semi Condensed"/>
          <w:i w:val="false"/>
          <w:iCs w:val="false"/>
          <w:sz w:val="24"/>
          <w:szCs w:val="24"/>
        </w:rPr>
        <w:t xml:space="preserve">su quale grado poggia</w:t>
      </w:r>
      <w:r>
        <w:rPr>
          <w:rFonts w:ascii="Barlow Semi Condensed" w:cs="Barlow Semi Condensed" w:eastAsia="Barlow Semi Condensed" w:hAnsi="Barlow Semi Condensed"/>
          <w:i w:val="false"/>
          <w:iCs w:val="false"/>
          <w:sz w:val="24"/>
          <w:szCs w:val="24"/>
        </w:rPr>
        <w:t xml:space="preserve">. I gradi sono quelli dell'apparato (Fase sesta), qui applicati voce per voce: - </w:t>
      </w:r>
      <w:r>
        <w:rPr>
          <w:rFonts w:ascii="Barlow Semi Condensed" w:cs="Barlow Semi Condensed" w:eastAsia="Barlow Semi Condensed" w:hAnsi="Barlow Semi Condensed"/>
          <w:b/>
          <w:bCs/>
          <w:i w:val="false"/>
          <w:iCs w:val="false"/>
          <w:sz w:val="24"/>
          <w:szCs w:val="24"/>
        </w:rPr>
        <w:t xml:space="preserve">A · Giudicato</w:t>
      </w:r>
      <w:r>
        <w:rPr>
          <w:rFonts w:ascii="Barlow Semi Condensed" w:cs="Barlow Semi Condensed" w:eastAsia="Barlow Semi Condensed" w:hAnsi="Barlow Semi Condensed"/>
          <w:i w:val="false"/>
          <w:iCs w:val="false"/>
          <w:sz w:val="24"/>
          <w:szCs w:val="24"/>
        </w:rPr>
        <w:t xml:space="preserve"> — accertato con sentenza definitiva. Fatto. - </w:t>
      </w:r>
      <w:r>
        <w:rPr>
          <w:rFonts w:ascii="Barlow Semi Condensed" w:cs="Barlow Semi Condensed" w:eastAsia="Barlow Semi Condensed" w:hAnsi="Barlow Semi Condensed"/>
          <w:b/>
          <w:bCs/>
          <w:i w:val="false"/>
          <w:iCs w:val="false"/>
          <w:sz w:val="24"/>
          <w:szCs w:val="24"/>
        </w:rPr>
        <w:t xml:space="preserve">B · Accertamento</w:t>
      </w:r>
      <w:r>
        <w:rPr>
          <w:rFonts w:ascii="Barlow Semi Condensed" w:cs="Barlow Semi Condensed" w:eastAsia="Barlow Semi Condensed" w:hAnsi="Barlow Semi Condensed"/>
          <w:i w:val="false"/>
          <w:iCs w:val="false"/>
          <w:sz w:val="24"/>
          <w:szCs w:val="24"/>
        </w:rPr>
        <w:t xml:space="preserve"> — documentato da atti istruttori o dalle Commissioni parlamentari (Moro 2, 2014-2017): serio, non giudiziario. - </w:t>
      </w:r>
      <w:r>
        <w:rPr>
          <w:rFonts w:ascii="Barlow Semi Condensed" w:cs="Barlow Semi Condensed" w:eastAsia="Barlow Semi Condensed" w:hAnsi="Barlow Semi Condensed"/>
          <w:b/>
          <w:bCs/>
          <w:i w:val="false"/>
          <w:iCs w:val="false"/>
          <w:sz w:val="24"/>
          <w:szCs w:val="24"/>
        </w:rPr>
        <w:t xml:space="preserve">C · Congettura</w:t>
      </w:r>
      <w:r>
        <w:rPr>
          <w:rFonts w:ascii="Barlow Semi Condensed" w:cs="Barlow Semi Condensed" w:eastAsia="Barlow Semi Condensed" w:hAnsi="Barlow Semi Condensed"/>
          <w:i w:val="false"/>
          <w:iCs w:val="false"/>
          <w:sz w:val="24"/>
          <w:szCs w:val="24"/>
        </w:rPr>
        <w:t xml:space="preserve"> — ipotesi ordinata, non provata; lasciata come tale. - </w:t>
      </w:r>
      <w:r>
        <w:rPr>
          <w:rFonts w:ascii="Barlow Semi Condensed" w:cs="Barlow Semi Condensed" w:eastAsia="Barlow Semi Condensed" w:hAnsi="Barlow Semi Condensed"/>
          <w:b/>
          <w:bCs/>
          <w:i w:val="false"/>
          <w:iCs w:val="false"/>
          <w:sz w:val="24"/>
          <w:szCs w:val="24"/>
        </w:rPr>
        <w:t xml:space="preserve">F · Fatto pubblico</w:t>
      </w:r>
      <w:r>
        <w:rPr>
          <w:rFonts w:ascii="Barlow Semi Condensed" w:cs="Barlow Semi Condensed" w:eastAsia="Barlow Semi Condensed" w:hAnsi="Barlow Semi Condensed"/>
          <w:i w:val="false"/>
          <w:iCs w:val="false"/>
          <w:sz w:val="24"/>
          <w:szCs w:val="24"/>
        </w:rPr>
        <w:t xml:space="preserve"> — dato di cronaca o biografico non controverso (nomi, date, luoghi).  La regola è ferrea e non ammette eccezioni nemmeno in un repertorio: </w:t>
      </w:r>
      <w:r>
        <w:rPr>
          <w:rFonts w:ascii="Barlow Semi Condensed" w:cs="Barlow Semi Condensed" w:eastAsia="Barlow Semi Condensed" w:hAnsi="Barlow Semi Condensed"/>
          <w:b/>
          <w:bCs/>
          <w:i w:val="false"/>
          <w:iCs w:val="false"/>
          <w:sz w:val="24"/>
          <w:szCs w:val="24"/>
        </w:rPr>
        <w:t xml:space="preserve">si nominano come responsabili solo coloro che una sentenza definitiva ha condannato</w:t>
      </w:r>
      <w:r>
        <w:rPr>
          <w:rFonts w:ascii="Barlow Semi Condensed" w:cs="Barlow Semi Condensed" w:eastAsia="Barlow Semi Condensed" w:hAnsi="Barlow Semi Condensed"/>
          <w:i w:val="false"/>
          <w:iCs w:val="false"/>
          <w:sz w:val="24"/>
          <w:szCs w:val="24"/>
        </w:rPr>
        <w:t xml:space="preserve">; per tutti gli altri vale la presunzione d'innocenza, e ciò che è congettura resta congettura per quanto ricorra spesso. Il repertorio </w:t>
      </w:r>
      <w:r>
        <w:rPr>
          <w:rFonts w:ascii="Barlow Semi Condensed" w:cs="Barlow Semi Condensed" w:eastAsia="Barlow Semi Condensed" w:hAnsi="Barlow Semi Condensed"/>
          <w:i w:val="false"/>
          <w:iCs w:val="false"/>
          <w:sz w:val="24"/>
          <w:szCs w:val="24"/>
        </w:rPr>
        <w:t xml:space="preserve">cataloga</w:t>
      </w:r>
      <w:r>
        <w:rPr>
          <w:rFonts w:ascii="Barlow Semi Condensed" w:cs="Barlow Semi Condensed" w:eastAsia="Barlow Semi Condensed" w:hAnsi="Barlow Semi Condensed"/>
          <w:i w:val="false"/>
          <w:iCs w:val="false"/>
          <w:sz w:val="24"/>
          <w:szCs w:val="24"/>
        </w:rPr>
        <w:t xml:space="preserve">, non </w:t>
      </w:r>
      <w:r>
        <w:rPr>
          <w:rFonts w:ascii="Barlow Semi Condensed" w:cs="Barlow Semi Condensed" w:eastAsia="Barlow Semi Condensed" w:hAnsi="Barlow Semi Condensed"/>
          <w:i w:val="false"/>
          <w:iCs w:val="false"/>
          <w:sz w:val="24"/>
          <w:szCs w:val="24"/>
        </w:rPr>
        <w:t xml:space="preserve">accusa</w:t>
      </w:r>
      <w:r>
        <w:rPr>
          <w:rFonts w:ascii="Barlow Semi Condensed" w:cs="Barlow Semi Condensed" w:eastAsia="Barlow Semi Condensed" w:hAnsi="Barlow Semi Condensed"/>
          <w:i w:val="false"/>
          <w:iCs w:val="false"/>
          <w:sz w:val="24"/>
          <w:szCs w:val="24"/>
        </w:rPr>
        <w:t xml:space="preserve">. È «tutto ciò che è attribuibile» nel solo senso lecito: tutto ciò che si può ancorare a una fonte, con il grado dichiarato.</w:t>
      </w:r>
    </w:p>
    <w:p>
      <w:pPr>
        <w:pBdr>
          <w:bottom w:val="single" w:color="999999" w:sz="6" w:space="1"/>
        </w:pBdr>
        <w:spacing w:after="80"/>
      </w:pPr>
    </w:p>
    <w:p>
      <w:pPr>
        <w:pStyle w:val="Heading1"/>
        <w:spacing w:after="120" w:before="240"/>
      </w:pPr>
      <w:r>
        <w:rPr>
          <w:rFonts w:ascii="Barlow Semi Condensed" w:cs="Barlow Semi Condensed" w:eastAsia="Barlow Semi Condensed" w:hAnsi="Barlow Semi Condensed"/>
          <w:sz w:val="24"/>
          <w:szCs w:val="24"/>
        </w:rPr>
        <w:t xml:space="preserve">Capitolo sessantottesimo — La cronologia essenziale dei cinquantacinque giorni</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c>
          <w:tcPr>
            <w:tcW w:type="dxa" w:w="312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Data</w:t>
            </w:r>
          </w:p>
        </w:tc>
        <w:tc>
          <w:tcPr>
            <w:tcW w:type="dxa" w:w="312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Evento</w:t>
            </w:r>
          </w:p>
        </w:tc>
        <w:tc>
          <w:tcPr>
            <w:tcW w:type="dxa" w:w="312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Grado</w:t>
            </w:r>
          </w:p>
        </w:tc>
      </w:tr>
      <w:tr>
        <w:tc>
          <w:tcPr>
            <w:tcW w:type="dxa" w:w="3120"/>
          </w:tcPr>
          <w:p>
            <w:pPr>
              <w:spacing w:after="20" w:before="20"/>
              <w:jc w:val="both"/>
            </w:pPr>
            <w:r>
              <w:rPr>
                <w:rFonts w:ascii="Barlow Semi Condensed" w:cs="Barlow Semi Condensed" w:eastAsia="Barlow Semi Condensed" w:hAnsi="Barlow Semi Condensed"/>
                <w:b/>
                <w:bCs/>
                <w:sz w:val="20"/>
                <w:szCs w:val="20"/>
              </w:rPr>
              <w:t xml:space="preserve">16 marzo 1978, mattina</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Agguato di </w:t>
            </w:r>
            <w:r>
              <w:rPr>
                <w:rFonts w:ascii="Barlow Semi Condensed" w:cs="Barlow Semi Condensed" w:eastAsia="Barlow Semi Condensed" w:hAnsi="Barlow Semi Condensed"/>
                <w:b/>
                <w:bCs/>
                <w:sz w:val="20"/>
                <w:szCs w:val="20"/>
              </w:rPr>
              <w:t xml:space="preserve">via Fani</w:t>
            </w:r>
            <w:r>
              <w:rPr>
                <w:rFonts w:ascii="Barlow Semi Condensed" w:cs="Barlow Semi Condensed" w:eastAsia="Barlow Semi Condensed" w:hAnsi="Barlow Semi Condensed"/>
                <w:sz w:val="20"/>
                <w:szCs w:val="20"/>
              </w:rPr>
              <w:t xml:space="preserve"> (Roma): il commando BR blocca le due auto; è rapito Aldo Moro; è sterminata la scorta</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A</w:t>
            </w:r>
          </w:p>
        </w:tc>
      </w:tr>
      <w:tr>
        <w:tc>
          <w:tcPr>
            <w:tcW w:type="dxa" w:w="3120"/>
          </w:tcPr>
          <w:p>
            <w:pPr>
              <w:spacing w:after="20" w:before="20"/>
              <w:jc w:val="both"/>
            </w:pPr>
            <w:r>
              <w:rPr>
                <w:rFonts w:ascii="Barlow Semi Condensed" w:cs="Barlow Semi Condensed" w:eastAsia="Barlow Semi Condensed" w:hAnsi="Barlow Semi Condensed"/>
                <w:sz w:val="20"/>
                <w:szCs w:val="20"/>
              </w:rPr>
              <w:t xml:space="preserve">16 marzo 1978</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Insediamento del governo Andreotti IV (della «solidarietà nazionale»), che Moro andava a votare</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F</w:t>
            </w:r>
          </w:p>
        </w:tc>
      </w:tr>
      <w:tr>
        <w:tc>
          <w:tcPr>
            <w:tcW w:type="dxa" w:w="3120"/>
          </w:tcPr>
          <w:p>
            <w:pPr>
              <w:spacing w:after="20" w:before="20"/>
              <w:jc w:val="both"/>
            </w:pPr>
            <w:r>
              <w:rPr>
                <w:rFonts w:ascii="Barlow Semi Condensed" w:cs="Barlow Semi Condensed" w:eastAsia="Barlow Semi Condensed" w:hAnsi="Barlow Semi Condensed"/>
                <w:sz w:val="20"/>
                <w:szCs w:val="20"/>
              </w:rPr>
              <w:t xml:space="preserve">18 marzo 1978</w:t>
            </w:r>
          </w:p>
        </w:tc>
        <w:tc>
          <w:tcPr>
            <w:tcW w:type="dxa" w:w="3120"/>
          </w:tcPr>
          <w:p>
            <w:pPr>
              <w:spacing w:after="20" w:before="20"/>
              <w:jc w:val="both"/>
            </w:pPr>
            <w:r>
              <w:rPr>
                <w:rFonts w:ascii="Barlow Semi Condensed" w:cs="Barlow Semi Condensed" w:eastAsia="Barlow Semi Condensed" w:hAnsi="Barlow Semi Condensed"/>
                <w:b/>
                <w:bCs/>
                <w:sz w:val="20"/>
                <w:szCs w:val="20"/>
              </w:rPr>
              <w:t xml:space="preserve">Comunicato n. 1</w:t>
            </w:r>
            <w:r>
              <w:rPr>
                <w:rFonts w:ascii="Barlow Semi Condensed" w:cs="Barlow Semi Condensed" w:eastAsia="Barlow Semi Condensed" w:hAnsi="Barlow Semi Condensed"/>
                <w:sz w:val="20"/>
                <w:szCs w:val="20"/>
              </w:rPr>
              <w:t xml:space="preserve"> delle BR: Moro «processato dal tribunale del popolo»</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A</w:t>
            </w:r>
          </w:p>
        </w:tc>
      </w:tr>
      <w:tr>
        <w:tc>
          <w:tcPr>
            <w:tcW w:type="dxa" w:w="3120"/>
          </w:tcPr>
          <w:p>
            <w:pPr>
              <w:spacing w:after="20" w:before="20"/>
              <w:jc w:val="both"/>
            </w:pPr>
            <w:r>
              <w:rPr>
                <w:rFonts w:ascii="Barlow Semi Condensed" w:cs="Barlow Semi Condensed" w:eastAsia="Barlow Semi Condensed" w:hAnsi="Barlow Semi Condensed"/>
                <w:sz w:val="20"/>
                <w:szCs w:val="20"/>
              </w:rPr>
              <w:t xml:space="preserve">25 marzo – 4 aprile</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Comunicati successivi; prime lettere di Moro rese pubbliche</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A/B</w:t>
            </w:r>
          </w:p>
        </w:tc>
      </w:tr>
      <w:tr>
        <w:tc>
          <w:tcPr>
            <w:tcW w:type="dxa" w:w="3120"/>
          </w:tcPr>
          <w:p>
            <w:pPr>
              <w:spacing w:after="20" w:before="20"/>
              <w:jc w:val="both"/>
            </w:pPr>
            <w:r>
              <w:rPr>
                <w:rFonts w:ascii="Barlow Semi Condensed" w:cs="Barlow Semi Condensed" w:eastAsia="Barlow Semi Condensed" w:hAnsi="Barlow Semi Condensed"/>
                <w:b/>
                <w:bCs/>
                <w:sz w:val="20"/>
                <w:szCs w:val="20"/>
              </w:rPr>
              <w:t xml:space="preserve">18 aprile 1978</w:t>
            </w:r>
          </w:p>
        </w:tc>
        <w:tc>
          <w:tcPr>
            <w:tcW w:type="dxa" w:w="3120"/>
          </w:tcPr>
          <w:p>
            <w:pPr>
              <w:spacing w:after="20" w:before="20"/>
              <w:jc w:val="both"/>
            </w:pPr>
            <w:r>
              <w:rPr>
                <w:rFonts w:ascii="Barlow Semi Condensed" w:cs="Barlow Semi Condensed" w:eastAsia="Barlow Semi Condensed" w:hAnsi="Barlow Semi Condensed"/>
                <w:b/>
                <w:bCs/>
                <w:sz w:val="20"/>
                <w:szCs w:val="20"/>
              </w:rPr>
              <w:t xml:space="preserve">Falso comunicato n. 7</w:t>
            </w:r>
            <w:r>
              <w:rPr>
                <w:rFonts w:ascii="Barlow Semi Condensed" w:cs="Barlow Semi Condensed" w:eastAsia="Barlow Semi Condensed" w:hAnsi="Barlow Semi Condensed"/>
                <w:sz w:val="20"/>
                <w:szCs w:val="20"/>
              </w:rPr>
              <w:t xml:space="preserve"> («lago della Duchessa»): annuncia la morte di Moro. Lo stesso giorno è scoperto il covo di </w:t>
            </w:r>
            <w:r>
              <w:rPr>
                <w:rFonts w:ascii="Barlow Semi Condensed" w:cs="Barlow Semi Condensed" w:eastAsia="Barlow Semi Condensed" w:hAnsi="Barlow Semi Condensed"/>
                <w:b/>
                <w:bCs/>
                <w:sz w:val="20"/>
                <w:szCs w:val="20"/>
              </w:rPr>
              <w:t xml:space="preserve">via Gradoli</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A (falso accertato) / B</w:t>
            </w:r>
          </w:p>
        </w:tc>
      </w:tr>
      <w:tr>
        <w:tc>
          <w:tcPr>
            <w:tcW w:type="dxa" w:w="3120"/>
          </w:tcPr>
          <w:p>
            <w:pPr>
              <w:spacing w:after="20" w:before="20"/>
              <w:jc w:val="both"/>
            </w:pPr>
            <w:r>
              <w:rPr>
                <w:rFonts w:ascii="Barlow Semi Condensed" w:cs="Barlow Semi Condensed" w:eastAsia="Barlow Semi Condensed" w:hAnsi="Barlow Semi Condensed"/>
                <w:sz w:val="20"/>
                <w:szCs w:val="20"/>
              </w:rPr>
              <w:t xml:space="preserve">24 aprile 1978</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Comunicato n. 9: le BR chiedono lo scambio con tredici detenuti</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A</w:t>
            </w:r>
          </w:p>
        </w:tc>
      </w:tr>
      <w:tr>
        <w:tc>
          <w:tcPr>
            <w:tcW w:type="dxa" w:w="3120"/>
          </w:tcPr>
          <w:p>
            <w:pPr>
              <w:spacing w:after="20" w:before="20"/>
              <w:jc w:val="both"/>
            </w:pPr>
            <w:r>
              <w:rPr>
                <w:rFonts w:ascii="Barlow Semi Condensed" w:cs="Barlow Semi Condensed" w:eastAsia="Barlow Semi Condensed" w:hAnsi="Barlow Semi Condensed"/>
                <w:sz w:val="20"/>
                <w:szCs w:val="20"/>
              </w:rPr>
              <w:t xml:space="preserve">5 maggio 1978</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Ultimo comunicato: annuncio dell'esecuzione</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A</w:t>
            </w:r>
          </w:p>
        </w:tc>
      </w:tr>
      <w:tr>
        <w:tc>
          <w:tcPr>
            <w:tcW w:type="dxa" w:w="3120"/>
          </w:tcPr>
          <w:p>
            <w:pPr>
              <w:spacing w:after="20" w:before="20"/>
              <w:jc w:val="both"/>
            </w:pPr>
            <w:r>
              <w:rPr>
                <w:rFonts w:ascii="Barlow Semi Condensed" w:cs="Barlow Semi Condensed" w:eastAsia="Barlow Semi Condensed" w:hAnsi="Barlow Semi Condensed"/>
                <w:b/>
                <w:bCs/>
                <w:sz w:val="20"/>
                <w:szCs w:val="20"/>
              </w:rPr>
              <w:t xml:space="preserve">9 maggio 1978</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Il corpo di Moro è ritrovato in una </w:t>
            </w:r>
            <w:r>
              <w:rPr>
                <w:rFonts w:ascii="Barlow Semi Condensed" w:cs="Barlow Semi Condensed" w:eastAsia="Barlow Semi Condensed" w:hAnsi="Barlow Semi Condensed"/>
                <w:b/>
                <w:bCs/>
                <w:sz w:val="20"/>
                <w:szCs w:val="20"/>
              </w:rPr>
              <w:t xml:space="preserve">Renault 4 rossa in via Caetani</w:t>
            </w:r>
            <w:r>
              <w:rPr>
                <w:rFonts w:ascii="Barlow Semi Condensed" w:cs="Barlow Semi Condensed" w:eastAsia="Barlow Semi Condensed" w:hAnsi="Barlow Semi Condensed"/>
                <w:sz w:val="20"/>
                <w:szCs w:val="20"/>
              </w:rPr>
              <w:t xml:space="preserve">, fra le sedi di PCI e DC</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A</w:t>
            </w:r>
          </w:p>
        </w:tc>
      </w:tr>
      <w:tr>
        <w:tc>
          <w:tcPr>
            <w:tcW w:type="dxa" w:w="3120"/>
          </w:tcPr>
          <w:p>
            <w:pPr>
              <w:spacing w:after="20" w:before="20"/>
              <w:jc w:val="both"/>
            </w:pPr>
            <w:r>
              <w:rPr>
                <w:rFonts w:ascii="Barlow Semi Condensed" w:cs="Barlow Semi Condensed" w:eastAsia="Barlow Semi Condensed" w:hAnsi="Barlow Semi Condensed"/>
                <w:sz w:val="20"/>
                <w:szCs w:val="20"/>
              </w:rPr>
              <w:t xml:space="preserve">13 maggio 1978</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Funerali di Stato in San Giovanni, </w:t>
            </w:r>
            <w:r>
              <w:rPr>
                <w:rFonts w:ascii="Barlow Semi Condensed" w:cs="Barlow Semi Condensed" w:eastAsia="Barlow Semi Condensed" w:hAnsi="Barlow Semi Condensed"/>
                <w:b/>
                <w:bCs/>
                <w:sz w:val="20"/>
                <w:szCs w:val="20"/>
              </w:rPr>
              <w:t xml:space="preserve">senza la salma</w:t>
            </w:r>
            <w:r>
              <w:rPr>
                <w:rFonts w:ascii="Barlow Semi Condensed" w:cs="Barlow Semi Condensed" w:eastAsia="Barlow Semi Condensed" w:hAnsi="Barlow Semi Condensed"/>
                <w:sz w:val="20"/>
                <w:szCs w:val="20"/>
              </w:rPr>
              <w:t xml:space="preserve">, per volontà della famiglia</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F</w:t>
            </w:r>
          </w:p>
        </w:tc>
      </w:tr>
    </w:tbl>
    <w:p>
      <w:pPr>
        <w:spacing w:after="80"/>
      </w:pPr>
    </w:p>
    <w:p>
      <w:pPr>
        <w:pStyle w:val="Heading1"/>
        <w:spacing w:after="120" w:before="240"/>
      </w:pPr>
      <w:r>
        <w:rPr>
          <w:rFonts w:ascii="Barlow Semi Condensed" w:cs="Barlow Semi Condensed" w:eastAsia="Barlow Semi Condensed" w:hAnsi="Barlow Semi Condensed"/>
          <w:sz w:val="24"/>
          <w:szCs w:val="24"/>
        </w:rPr>
        <w:t xml:space="preserve">Capitolo sessantanovesimo — Le vittime di via Fani (grado A · giudicato · da nominare per prime)</w:t>
      </w:r>
    </w:p>
    <w:p>
      <w:pPr>
        <w:spacing w:after="120" w:line="276"/>
        <w:jc w:val="both"/>
      </w:pPr>
      <w:r>
        <w:rPr>
          <w:rFonts w:ascii="Barlow Semi Condensed" w:cs="Barlow Semi Condensed" w:eastAsia="Barlow Semi Condensed" w:hAnsi="Barlow Semi Condensed"/>
          <w:sz w:val="24"/>
          <w:szCs w:val="24"/>
        </w:rPr>
        <w:t xml:space="preserve">Il repertorio comincia da loro, perché è giusto e perché sono la parte del caso su cui non esiste ombra. I cinque uomini della scorta uccisi a via Fani il 16 marzo 1978 (Ministero dell'Interno (https://www.interno.gov.it/it/notizie/16-marzo-1978-rapimento-aldo-moro-e-lassassinio-dei-cinque-uomini-sua-scorta)):</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Oreste Leonardi</w:t>
      </w:r>
      <w:r>
        <w:rPr>
          <w:rFonts w:ascii="Barlow Semi Condensed" w:cs="Barlow Semi Condensed" w:eastAsia="Barlow Semi Condensed" w:hAnsi="Barlow Semi Condensed"/>
          <w:sz w:val="24"/>
          <w:szCs w:val="24"/>
        </w:rPr>
        <w:t xml:space="preserve">, maresciallo dei Carabinieri, capo-scorta;</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Domenico Ricci</w:t>
      </w:r>
      <w:r>
        <w:rPr>
          <w:rFonts w:ascii="Barlow Semi Condensed" w:cs="Barlow Semi Condensed" w:eastAsia="Barlow Semi Condensed" w:hAnsi="Barlow Semi Condensed"/>
          <w:sz w:val="24"/>
          <w:szCs w:val="24"/>
        </w:rPr>
        <w:t xml:space="preserve">, appuntato dei Carabinieri, autista;</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Giulio Rivera</w:t>
      </w:r>
      <w:r>
        <w:rPr>
          <w:rFonts w:ascii="Barlow Semi Condensed" w:cs="Barlow Semi Condensed" w:eastAsia="Barlow Semi Condensed" w:hAnsi="Barlow Semi Condensed"/>
          <w:sz w:val="24"/>
          <w:szCs w:val="24"/>
        </w:rPr>
        <w:t xml:space="preserve">, agente di Pubblica Sicurezza;</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Francesco Zizzi</w:t>
      </w:r>
      <w:r>
        <w:rPr>
          <w:rFonts w:ascii="Barlow Semi Condensed" w:cs="Barlow Semi Condensed" w:eastAsia="Barlow Semi Condensed" w:hAnsi="Barlow Semi Condensed"/>
          <w:sz w:val="24"/>
          <w:szCs w:val="24"/>
        </w:rPr>
        <w:t xml:space="preserve">, vice brigadiere di P.S. (morì poco dopo in ospedale);</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Raffaele Iozzino</w:t>
      </w:r>
      <w:r>
        <w:rPr>
          <w:rFonts w:ascii="Barlow Semi Condensed" w:cs="Barlow Semi Condensed" w:eastAsia="Barlow Semi Condensed" w:hAnsi="Barlow Semi Condensed"/>
          <w:sz w:val="24"/>
          <w:szCs w:val="24"/>
        </w:rPr>
        <w:t xml:space="preserve">, agente di P.S., l'unico che riuscì a scendere e a rispondere al fuoco.</w:t>
      </w:r>
    </w:p>
    <w:p>
      <w:pPr>
        <w:spacing w:after="120" w:line="276"/>
        <w:jc w:val="both"/>
      </w:pPr>
      <w:r>
        <w:rPr>
          <w:rFonts w:ascii="Barlow Semi Condensed" w:cs="Barlow Semi Condensed" w:eastAsia="Barlow Semi Condensed" w:hAnsi="Barlow Semi Condensed"/>
          <w:sz w:val="24"/>
          <w:szCs w:val="24"/>
        </w:rPr>
        <w:t xml:space="preserve">Sono, con Moro, le sei vittime del caso. Il repertorio le tiene in testa perché nessuna disquisizione sui «livelli» del sequestro può farle scivolare a nota a piè di pagina: furono uomini uccisi al loro posto, e la loro morte è il primo fatto del caso.</w:t>
      </w:r>
    </w:p>
    <w:p>
      <w:pPr>
        <w:pStyle w:val="Heading1"/>
        <w:spacing w:after="120" w:before="240"/>
      </w:pPr>
      <w:r>
        <w:rPr>
          <w:rFonts w:ascii="Barlow Semi Condensed" w:cs="Barlow Semi Condensed" w:eastAsia="Barlow Semi Condensed" w:hAnsi="Barlow Semi Condensed"/>
          <w:sz w:val="24"/>
          <w:szCs w:val="24"/>
        </w:rPr>
        <w:t xml:space="preserve">Capitolo settantesimo — Gli autori accertati (grado A · giudicato)</w:t>
      </w:r>
    </w:p>
    <w:p>
      <w:pPr>
        <w:spacing w:after="120" w:line="276"/>
        <w:jc w:val="both"/>
      </w:pPr>
      <w:r>
        <w:rPr>
          <w:rFonts w:ascii="Barlow Semi Condensed" w:cs="Barlow Semi Condensed" w:eastAsia="Barlow Semi Condensed" w:hAnsi="Barlow Semi Condensed"/>
          <w:sz w:val="24"/>
          <w:szCs w:val="24"/>
        </w:rPr>
        <w:t xml:space="preserve">Si nominano qui, e </w:t>
      </w:r>
      <w:r>
        <w:rPr>
          <w:rFonts w:ascii="Barlow Semi Condensed" w:cs="Barlow Semi Condensed" w:eastAsia="Barlow Semi Condensed" w:hAnsi="Barlow Semi Condensed"/>
          <w:b/>
          <w:bCs/>
          <w:sz w:val="24"/>
          <w:szCs w:val="24"/>
        </w:rPr>
        <w:t xml:space="preserve">solo</w:t>
      </w:r>
      <w:r>
        <w:rPr>
          <w:rFonts w:ascii="Barlow Semi Condensed" w:cs="Barlow Semi Condensed" w:eastAsia="Barlow Semi Condensed" w:hAnsi="Barlow Semi Condensed"/>
          <w:sz w:val="24"/>
          <w:szCs w:val="24"/>
        </w:rPr>
        <w:t xml:space="preserve"> qui, le persone la cui responsabilità nel sequestro e nell'omicidio è stata accertata da </w:t>
      </w:r>
      <w:r>
        <w:rPr>
          <w:rFonts w:ascii="Barlow Semi Condensed" w:cs="Barlow Semi Condensed" w:eastAsia="Barlow Semi Condensed" w:hAnsi="Barlow Semi Condensed"/>
          <w:b/>
          <w:bCs/>
          <w:sz w:val="24"/>
          <w:szCs w:val="24"/>
        </w:rPr>
        <w:t xml:space="preserve">sentenza definitiva</w:t>
      </w:r>
      <w:r>
        <w:rPr>
          <w:rFonts w:ascii="Barlow Semi Condensed" w:cs="Barlow Semi Condensed" w:eastAsia="Barlow Semi Condensed" w:hAnsi="Barlow Semi Condensed"/>
          <w:sz w:val="24"/>
          <w:szCs w:val="24"/>
        </w:rPr>
        <w:t xml:space="preserve"> nei cinque processi Moro (cfr. Fase settima). Nominarle non viola il divieto di imputare: le ha già imputate lo Stato, in via irrevocabile.</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Mario Moretti</w:t>
      </w:r>
      <w:r>
        <w:rPr>
          <w:rFonts w:ascii="Barlow Semi Condensed" w:cs="Barlow Semi Condensed" w:eastAsia="Barlow Semi Condensed" w:hAnsi="Barlow Semi Condensed"/>
          <w:sz w:val="24"/>
          <w:szCs w:val="24"/>
        </w:rPr>
        <w:t xml:space="preserve"> — direzione dell'operazione ed esecuzione materiale dell'omicidio (per sua ammissione, recepita dal giudicato).</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Valerio Morucci, Adriana Faranda, Raffaele Fiore, Prospero Gallinari, Franco Bonisoli, Barbara Balzerani</w:t>
      </w:r>
      <w:r>
        <w:rPr>
          <w:rFonts w:ascii="Barlow Semi Condensed" w:cs="Barlow Semi Condensed" w:eastAsia="Barlow Semi Condensed" w:hAnsi="Barlow Semi Condensed"/>
          <w:sz w:val="24"/>
          <w:szCs w:val="24"/>
        </w:rPr>
        <w:t xml:space="preserve"> — fra i componenti del commando di via Fani e della gestione del sequestro.</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Alvaro Lojacono</w:t>
      </w:r>
      <w:r>
        <w:rPr>
          <w:rFonts w:ascii="Barlow Semi Condensed" w:cs="Barlow Semi Condensed" w:eastAsia="Barlow Semi Condensed" w:hAnsi="Barlow Semi Condensed"/>
          <w:sz w:val="24"/>
          <w:szCs w:val="24"/>
        </w:rPr>
        <w:t xml:space="preserve"> — responsabilità per l'intero arco 16 marzo-9 maggio (Moro quater, definitivo 1997).</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Germano Maccari</w:t>
      </w:r>
      <w:r>
        <w:rPr>
          <w:rFonts w:ascii="Barlow Semi Condensed" w:cs="Barlow Semi Condensed" w:eastAsia="Barlow Semi Condensed" w:hAnsi="Barlow Semi Condensed"/>
          <w:sz w:val="24"/>
          <w:szCs w:val="24"/>
        </w:rPr>
        <w:t xml:space="preserve"> — il «quarto uomo» del covo di via Montalcini (Moro quinquies, definitivo 1999); </w:t>
      </w:r>
      <w:r>
        <w:rPr>
          <w:rFonts w:ascii="Barlow Semi Condensed" w:cs="Barlow Semi Condensed" w:eastAsia="Barlow Semi Condensed" w:hAnsi="Barlow Semi Condensed"/>
          <w:b/>
          <w:bCs/>
          <w:sz w:val="24"/>
          <w:szCs w:val="24"/>
        </w:rPr>
        <w:t xml:space="preserve">Raimondo Etro</w:t>
      </w:r>
      <w:r>
        <w:rPr>
          <w:rFonts w:ascii="Barlow Semi Condensed" w:cs="Barlow Semi Condensed" w:eastAsia="Barlow Semi Condensed" w:hAnsi="Barlow Semi Condensed"/>
          <w:sz w:val="24"/>
          <w:szCs w:val="24"/>
        </w:rPr>
        <w:t xml:space="preserve">, per fasi collaterali.</w:t>
      </w:r>
    </w:p>
    <w:p>
      <w:pPr>
        <w:spacing w:after="120" w:line="276"/>
        <w:jc w:val="both"/>
      </w:pPr>
      <w:r>
        <w:rPr>
          <w:rFonts w:ascii="Barlow Semi Condensed" w:cs="Barlow Semi Condensed" w:eastAsia="Barlow Semi Condensed" w:hAnsi="Barlow Semi Condensed"/>
          <w:sz w:val="24"/>
          <w:szCs w:val="24"/>
        </w:rPr>
        <w:t xml:space="preserve">Oltre questo elenco, il repertorio </w:t>
      </w:r>
      <w:r>
        <w:rPr>
          <w:rFonts w:ascii="Barlow Semi Condensed" w:cs="Barlow Semi Condensed" w:eastAsia="Barlow Semi Condensed" w:hAnsi="Barlow Semi Condensed"/>
          <w:b/>
          <w:bCs/>
          <w:sz w:val="24"/>
          <w:szCs w:val="24"/>
        </w:rPr>
        <w:t xml:space="preserve">non aggiunge nomi</w:t>
      </w:r>
      <w:r>
        <w:rPr>
          <w:rFonts w:ascii="Barlow Semi Condensed" w:cs="Barlow Semi Condensed" w:eastAsia="Barlow Semi Condensed" w:hAnsi="Barlow Semi Condensed"/>
          <w:sz w:val="24"/>
          <w:szCs w:val="24"/>
        </w:rPr>
        <w:t xml:space="preserve">. Chiunque altro sia stato evocato — mandanti, complici, presenze — appartiene, allo stato degli atti, al grado B o C, e vi resta.</w:t>
      </w:r>
    </w:p>
    <w:p>
      <w:pPr>
        <w:pStyle w:val="Heading1"/>
        <w:spacing w:after="120" w:before="240"/>
      </w:pPr>
      <w:r>
        <w:rPr>
          <w:rFonts w:ascii="Barlow Semi Condensed" w:cs="Barlow Semi Condensed" w:eastAsia="Barlow Semi Condensed" w:hAnsi="Barlow Semi Condensed"/>
          <w:sz w:val="24"/>
          <w:szCs w:val="24"/>
        </w:rPr>
        <w:t xml:space="preserve">Capitolo settantunesimo — I luoghi (grado A/B)</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c>
          <w:tcPr>
            <w:tcW w:type="dxa" w:w="312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Luogo</w:t>
            </w:r>
          </w:p>
        </w:tc>
        <w:tc>
          <w:tcPr>
            <w:tcW w:type="dxa" w:w="312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Funzione</w:t>
            </w:r>
          </w:p>
        </w:tc>
        <w:tc>
          <w:tcPr>
            <w:tcW w:type="dxa" w:w="312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Grado</w:t>
            </w:r>
          </w:p>
        </w:tc>
      </w:tr>
      <w:tr>
        <w:tc>
          <w:tcPr>
            <w:tcW w:type="dxa" w:w="3120"/>
          </w:tcPr>
          <w:p>
            <w:pPr>
              <w:spacing w:after="20" w:before="20"/>
              <w:jc w:val="both"/>
            </w:pPr>
            <w:r>
              <w:rPr>
                <w:rFonts w:ascii="Barlow Semi Condensed" w:cs="Barlow Semi Condensed" w:eastAsia="Barlow Semi Condensed" w:hAnsi="Barlow Semi Condensed"/>
                <w:b/>
                <w:bCs/>
                <w:sz w:val="20"/>
                <w:szCs w:val="20"/>
              </w:rPr>
              <w:t xml:space="preserve">Via Mario Fani</w:t>
            </w:r>
            <w:r>
              <w:rPr>
                <w:rFonts w:ascii="Barlow Semi Condensed" w:cs="Barlow Semi Condensed" w:eastAsia="Barlow Semi Condensed" w:hAnsi="Barlow Semi Condensed"/>
                <w:sz w:val="20"/>
                <w:szCs w:val="20"/>
              </w:rPr>
              <w:t xml:space="preserve"> (Roma, Monte Mario)</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L'agguato del 16 marzo</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A</w:t>
            </w:r>
          </w:p>
        </w:tc>
      </w:tr>
      <w:tr>
        <w:tc>
          <w:tcPr>
            <w:tcW w:type="dxa" w:w="3120"/>
          </w:tcPr>
          <w:p>
            <w:pPr>
              <w:spacing w:after="20" w:before="20"/>
              <w:jc w:val="both"/>
            </w:pPr>
            <w:r>
              <w:rPr>
                <w:rFonts w:ascii="Barlow Semi Condensed" w:cs="Barlow Semi Condensed" w:eastAsia="Barlow Semi Condensed" w:hAnsi="Barlow Semi Condensed"/>
                <w:b/>
                <w:bCs/>
                <w:sz w:val="20"/>
                <w:szCs w:val="20"/>
              </w:rPr>
              <w:t xml:space="preserve">Via Camillo Montalcini 8</w:t>
            </w:r>
            <w:r>
              <w:rPr>
                <w:rFonts w:ascii="Barlow Semi Condensed" w:cs="Barlow Semi Condensed" w:eastAsia="Barlow Semi Condensed" w:hAnsi="Barlow Semi Condensed"/>
                <w:sz w:val="20"/>
                <w:szCs w:val="20"/>
              </w:rPr>
              <w:t xml:space="preserve"> (Roma)</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La «prigione del popolo»: unico covo di detenzione accertato in giudizio (Moro quinquies)</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A</w:t>
            </w:r>
          </w:p>
        </w:tc>
      </w:tr>
      <w:tr>
        <w:tc>
          <w:tcPr>
            <w:tcW w:type="dxa" w:w="3120"/>
          </w:tcPr>
          <w:p>
            <w:pPr>
              <w:spacing w:after="20" w:before="20"/>
              <w:jc w:val="both"/>
            </w:pPr>
            <w:r>
              <w:rPr>
                <w:rFonts w:ascii="Barlow Semi Condensed" w:cs="Barlow Semi Condensed" w:eastAsia="Barlow Semi Condensed" w:hAnsi="Barlow Semi Condensed"/>
                <w:b/>
                <w:bCs/>
                <w:sz w:val="20"/>
                <w:szCs w:val="20"/>
              </w:rPr>
              <w:t xml:space="preserve">Via Gradoli 96</w:t>
            </w:r>
            <w:r>
              <w:rPr>
                <w:rFonts w:ascii="Barlow Semi Condensed" w:cs="Barlow Semi Condensed" w:eastAsia="Barlow Semi Condensed" w:hAnsi="Barlow Semi Condensed"/>
                <w:sz w:val="20"/>
                <w:szCs w:val="20"/>
              </w:rPr>
              <w:t xml:space="preserve"> (Roma)</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Covo BR scoperto il 18 aprile 1978; nodo della «seduta spiritica»</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A (esistenza) / B (modalità della scoperta)</w:t>
            </w:r>
          </w:p>
        </w:tc>
      </w:tr>
      <w:tr>
        <w:tc>
          <w:tcPr>
            <w:tcW w:type="dxa" w:w="3120"/>
          </w:tcPr>
          <w:p>
            <w:pPr>
              <w:spacing w:after="20" w:before="20"/>
              <w:jc w:val="both"/>
            </w:pPr>
            <w:r>
              <w:rPr>
                <w:rFonts w:ascii="Barlow Semi Condensed" w:cs="Barlow Semi Condensed" w:eastAsia="Barlow Semi Condensed" w:hAnsi="Barlow Semi Condensed"/>
                <w:b/>
                <w:bCs/>
                <w:sz w:val="20"/>
                <w:szCs w:val="20"/>
              </w:rPr>
              <w:t xml:space="preserve">Via Caetani</w:t>
            </w:r>
            <w:r>
              <w:rPr>
                <w:rFonts w:ascii="Barlow Semi Condensed" w:cs="Barlow Semi Condensed" w:eastAsia="Barlow Semi Condensed" w:hAnsi="Barlow Semi Condensed"/>
                <w:sz w:val="20"/>
                <w:szCs w:val="20"/>
              </w:rPr>
              <w:t xml:space="preserve"> (Roma)</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Ritrovamento del corpo, 9 maggio; a metà via fra Botteghe Oscure (PCI) e piazza del Gesù (DC)</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A</w:t>
            </w:r>
          </w:p>
        </w:tc>
      </w:tr>
      <w:tr>
        <w:tc>
          <w:tcPr>
            <w:tcW w:type="dxa" w:w="3120"/>
          </w:tcPr>
          <w:p>
            <w:pPr>
              <w:spacing w:after="20" w:before="20"/>
              <w:jc w:val="both"/>
            </w:pPr>
            <w:r>
              <w:rPr>
                <w:rFonts w:ascii="Barlow Semi Condensed" w:cs="Barlow Semi Condensed" w:eastAsia="Barlow Semi Condensed" w:hAnsi="Barlow Semi Condensed"/>
                <w:b/>
                <w:bCs/>
                <w:sz w:val="20"/>
                <w:szCs w:val="20"/>
              </w:rPr>
              <w:t xml:space="preserve">Via Monte Nevoso</w:t>
            </w:r>
            <w:r>
              <w:rPr>
                <w:rFonts w:ascii="Barlow Semi Condensed" w:cs="Barlow Semi Condensed" w:eastAsia="Barlow Semi Condensed" w:hAnsi="Barlow Semi Condensed"/>
                <w:sz w:val="20"/>
                <w:szCs w:val="20"/>
              </w:rPr>
              <w:t xml:space="preserve"> (Milano)</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Covo dove fu ritrovato il memoriale, in due tempi (1978 e 1990)</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A (ritrovamenti) / B (completezza)</w:t>
            </w:r>
          </w:p>
        </w:tc>
      </w:tr>
      <w:tr>
        <w:tc>
          <w:tcPr>
            <w:tcW w:type="dxa" w:w="3120"/>
          </w:tcPr>
          <w:p>
            <w:pPr>
              <w:spacing w:after="20" w:before="20"/>
              <w:jc w:val="both"/>
            </w:pPr>
            <w:r>
              <w:rPr>
                <w:rFonts w:ascii="Barlow Semi Condensed" w:cs="Barlow Semi Condensed" w:eastAsia="Barlow Semi Condensed" w:hAnsi="Barlow Semi Condensed"/>
                <w:b/>
                <w:bCs/>
                <w:sz w:val="20"/>
                <w:szCs w:val="20"/>
              </w:rPr>
              <w:t xml:space="preserve">Lago della Duchessa</w:t>
            </w:r>
            <w:r>
              <w:rPr>
                <w:rFonts w:ascii="Barlow Semi Condensed" w:cs="Barlow Semi Condensed" w:eastAsia="Barlow Semi Condensed" w:hAnsi="Barlow Semi Condensed"/>
                <w:sz w:val="20"/>
                <w:szCs w:val="20"/>
              </w:rPr>
              <w:t xml:space="preserve"> (Rieti)</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Oggetto del falso comunicato del 18 aprile</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A (il falso)</w:t>
            </w:r>
          </w:p>
        </w:tc>
      </w:tr>
    </w:tbl>
    <w:p>
      <w:pPr>
        <w:spacing w:after="80"/>
      </w:pPr>
    </w:p>
    <w:p>
      <w:pPr>
        <w:spacing w:after="120" w:line="276"/>
        <w:jc w:val="both"/>
      </w:pPr>
      <w:r>
        <w:rPr>
          <w:rFonts w:ascii="Barlow Semi Condensed" w:cs="Barlow Semi Condensed" w:eastAsia="Barlow Semi Condensed" w:hAnsi="Barlow Semi Condensed"/>
          <w:sz w:val="24"/>
          <w:szCs w:val="24"/>
        </w:rPr>
        <w:t xml:space="preserve">Sull'eventuale </w:t>
      </w:r>
      <w:r>
        <w:rPr>
          <w:rFonts w:ascii="Barlow Semi Condensed" w:cs="Barlow Semi Condensed" w:eastAsia="Barlow Semi Condensed" w:hAnsi="Barlow Semi Condensed"/>
          <w:b/>
          <w:bCs/>
          <w:sz w:val="24"/>
          <w:szCs w:val="24"/>
        </w:rPr>
        <w:t xml:space="preserve">seconda prigione</w:t>
      </w:r>
      <w:r>
        <w:rPr>
          <w:rFonts w:ascii="Barlow Semi Condensed" w:cs="Barlow Semi Condensed" w:eastAsia="Barlow Semi Condensed" w:hAnsi="Barlow Semi Condensed"/>
          <w:sz w:val="24"/>
          <w:szCs w:val="24"/>
        </w:rPr>
        <w:t xml:space="preserve"> — tesi ricorrente secondo cui Moro sarebbe stato tenuto altrove che a via Montalcini — il repertorio è netto: </w:t>
      </w:r>
      <w:r>
        <w:rPr>
          <w:rFonts w:ascii="Barlow Semi Condensed" w:cs="Barlow Semi Condensed" w:eastAsia="Barlow Semi Condensed" w:hAnsi="Barlow Semi Condensed"/>
          <w:b/>
          <w:bCs/>
          <w:sz w:val="24"/>
          <w:szCs w:val="24"/>
        </w:rPr>
        <w:t xml:space="preserve">grado C</w:t>
      </w:r>
      <w:r>
        <w:rPr>
          <w:rFonts w:ascii="Barlow Semi Condensed" w:cs="Barlow Semi Condensed" w:eastAsia="Barlow Semi Condensed" w:hAnsi="Barlow Semi Condensed"/>
          <w:sz w:val="24"/>
          <w:szCs w:val="24"/>
        </w:rPr>
        <w:t xml:space="preserve">, non provata; il giudicato conosce una sola prigione.</w:t>
      </w:r>
    </w:p>
    <w:p>
      <w:pPr>
        <w:pStyle w:val="Heading1"/>
        <w:spacing w:after="120" w:before="240"/>
      </w:pPr>
      <w:r>
        <w:rPr>
          <w:rFonts w:ascii="Barlow Semi Condensed" w:cs="Barlow Semi Condensed" w:eastAsia="Barlow Semi Condensed" w:hAnsi="Barlow Semi Condensed"/>
          <w:sz w:val="24"/>
          <w:szCs w:val="24"/>
        </w:rPr>
        <w:t xml:space="preserve">Capitolo settantaduesimo — I documenti (grado A/B)</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L'epistolario della prigionia</w:t>
      </w:r>
      <w:r>
        <w:rPr>
          <w:rFonts w:ascii="Barlow Semi Condensed" w:cs="Barlow Semi Condensed" w:eastAsia="Barlow Semi Condensed" w:hAnsi="Barlow Semi Condensed"/>
          <w:sz w:val="24"/>
          <w:szCs w:val="24"/>
        </w:rPr>
        <w:t xml:space="preserve"> — circa </w:t>
      </w:r>
      <w:r>
        <w:rPr>
          <w:rFonts w:ascii="Barlow Semi Condensed" w:cs="Barlow Semi Condensed" w:eastAsia="Barlow Semi Condensed" w:hAnsi="Barlow Semi Condensed"/>
          <w:b/>
          <w:bCs/>
          <w:sz w:val="24"/>
          <w:szCs w:val="24"/>
        </w:rPr>
        <w:t xml:space="preserve">novanta-novantasette lettere</w:t>
      </w:r>
      <w:r>
        <w:rPr>
          <w:rFonts w:ascii="Barlow Semi Condensed" w:cs="Barlow Semi Condensed" w:eastAsia="Barlow Semi Condensed" w:hAnsi="Barlow Semi Condensed"/>
          <w:sz w:val="24"/>
          <w:szCs w:val="24"/>
        </w:rPr>
        <w:t xml:space="preserve"> scritte da Moro fra marzo e maggio 1978 (a Cossiga, alla DC, alla famiglia, al Papa) → </w:t>
      </w:r>
      <w:r>
        <w:rPr>
          <w:rFonts w:ascii="Barlow Semi Condensed" w:cs="Barlow Semi Condensed" w:eastAsia="Barlow Semi Condensed" w:hAnsi="Barlow Semi Condensed"/>
          <w:b/>
          <w:bCs/>
          <w:sz w:val="24"/>
          <w:szCs w:val="24"/>
        </w:rPr>
        <w:t xml:space="preserve">A</w:t>
      </w:r>
      <w:r>
        <w:rPr>
          <w:rFonts w:ascii="Barlow Semi Condensed" w:cs="Barlow Semi Condensed" w:eastAsia="Barlow Semi Condensed" w:hAnsi="Barlow Semi Condensed"/>
          <w:sz w:val="24"/>
          <w:szCs w:val="24"/>
        </w:rPr>
        <w:t xml:space="preserve"> quanto all'esistenza e alla mano; </w:t>
      </w:r>
      <w:r>
        <w:rPr>
          <w:rFonts w:ascii="Barlow Semi Condensed" w:cs="Barlow Semi Condensed" w:eastAsia="Barlow Semi Condensed" w:hAnsi="Barlow Semi Condensed"/>
          <w:b/>
          <w:bCs/>
          <w:sz w:val="24"/>
          <w:szCs w:val="24"/>
        </w:rPr>
        <w:t xml:space="preserve">B</w:t>
      </w:r>
      <w:r>
        <w:rPr>
          <w:rFonts w:ascii="Barlow Semi Condensed" w:cs="Barlow Semi Condensed" w:eastAsia="Barlow Semi Condensed" w:hAnsi="Barlow Semi Condensed"/>
          <w:sz w:val="24"/>
          <w:szCs w:val="24"/>
        </w:rPr>
        <w:t xml:space="preserve"> quanto alle condizioni di scrittura. Sul loro statuto umano, non riducibile ad atto, cfr. Fase ottava, cap. 66.</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I comunicati delle Brigate Rosse</w:t>
      </w:r>
      <w:r>
        <w:rPr>
          <w:rFonts w:ascii="Barlow Semi Condensed" w:cs="Barlow Semi Condensed" w:eastAsia="Barlow Semi Condensed" w:hAnsi="Barlow Semi Condensed"/>
          <w:sz w:val="24"/>
          <w:szCs w:val="24"/>
        </w:rPr>
        <w:t xml:space="preserve"> (nn. 1-9 più il falso n. 7) → </w:t>
      </w:r>
      <w:r>
        <w:rPr>
          <w:rFonts w:ascii="Barlow Semi Condensed" w:cs="Barlow Semi Condensed" w:eastAsia="Barlow Semi Condensed" w:hAnsi="Barlow Semi Condensed"/>
          <w:b/>
          <w:bCs/>
          <w:sz w:val="24"/>
          <w:szCs w:val="24"/>
        </w:rPr>
        <w:t xml:space="preserve">A</w:t>
      </w:r>
      <w:r>
        <w:rPr>
          <w:rFonts w:ascii="Barlow Semi Condensed" w:cs="Barlow Semi Condensed" w:eastAsia="Barlow Semi Condensed" w:hAnsi="Barlow Semi Condensed"/>
          <w:sz w:val="24"/>
          <w:szCs w:val="24"/>
        </w:rPr>
        <w:t xml:space="preserve">: prodotti e diffusi dall'organizzazione; il n. 7 è il </w:t>
      </w:r>
      <w:r>
        <w:rPr>
          <w:rFonts w:ascii="Barlow Semi Condensed" w:cs="Barlow Semi Condensed" w:eastAsia="Barlow Semi Condensed" w:hAnsi="Barlow Semi Condensed"/>
          <w:b/>
          <w:bCs/>
          <w:sz w:val="24"/>
          <w:szCs w:val="24"/>
        </w:rPr>
        <w:t xml:space="preserve">falso</w:t>
      </w:r>
      <w:r>
        <w:rPr>
          <w:rFonts w:ascii="Barlow Semi Condensed" w:cs="Barlow Semi Condensed" w:eastAsia="Barlow Semi Condensed" w:hAnsi="Barlow Semi Condensed"/>
          <w:sz w:val="24"/>
          <w:szCs w:val="24"/>
        </w:rPr>
        <w:t xml:space="preserve"> accertato del lago della Duchessa.</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Il Memoriale Moro</w:t>
      </w:r>
      <w:r>
        <w:rPr>
          <w:rFonts w:ascii="Barlow Semi Condensed" w:cs="Barlow Semi Condensed" w:eastAsia="Barlow Semi Condensed" w:hAnsi="Barlow Semi Condensed"/>
          <w:sz w:val="24"/>
          <w:szCs w:val="24"/>
        </w:rPr>
        <w:t xml:space="preserve"> (via Monte Nevoso) → ritrovamenti del 1978 (dattiloscritto) e del 1990 (originali dietro un pannello) → </w:t>
      </w:r>
      <w:r>
        <w:rPr>
          <w:rFonts w:ascii="Barlow Semi Condensed" w:cs="Barlow Semi Condensed" w:eastAsia="Barlow Semi Condensed" w:hAnsi="Barlow Semi Condensed"/>
          <w:b/>
          <w:bCs/>
          <w:sz w:val="24"/>
          <w:szCs w:val="24"/>
        </w:rPr>
        <w:t xml:space="preserve">A</w:t>
      </w:r>
      <w:r>
        <w:rPr>
          <w:rFonts w:ascii="Barlow Semi Condensed" w:cs="Barlow Semi Condensed" w:eastAsia="Barlow Semi Condensed" w:hAnsi="Barlow Semi Condensed"/>
          <w:sz w:val="24"/>
          <w:szCs w:val="24"/>
        </w:rPr>
        <w:t xml:space="preserve"> quanto ai ritrovamenti; </w:t>
      </w:r>
      <w:r>
        <w:rPr>
          <w:rFonts w:ascii="Barlow Semi Condensed" w:cs="Barlow Semi Condensed" w:eastAsia="Barlow Semi Condensed" w:hAnsi="Barlow Semi Condensed"/>
          <w:b/>
          <w:bCs/>
          <w:sz w:val="24"/>
          <w:szCs w:val="24"/>
        </w:rPr>
        <w:t xml:space="preserve">B</w:t>
      </w:r>
      <w:r>
        <w:rPr>
          <w:rFonts w:ascii="Barlow Semi Condensed" w:cs="Barlow Semi Condensed" w:eastAsia="Barlow Semi Condensed" w:hAnsi="Barlow Semi Condensed"/>
          <w:sz w:val="24"/>
          <w:szCs w:val="24"/>
        </w:rPr>
        <w:t xml:space="preserve"> — per accertamento della Commissione Moro 2 — quanto alla natura del «Memoriale Morucci» come </w:t>
      </w:r>
      <w:r>
        <w:rPr>
          <w:rFonts w:ascii="Barlow Semi Condensed" w:cs="Barlow Semi Condensed" w:eastAsia="Barlow Semi Condensed" w:hAnsi="Barlow Semi Condensed"/>
          <w:b/>
          <w:bCs/>
          <w:sz w:val="24"/>
          <w:szCs w:val="24"/>
        </w:rPr>
        <w:t xml:space="preserve">testo negoziato</w:t>
      </w:r>
      <w:r>
        <w:rPr>
          <w:rFonts w:ascii="Barlow Semi Condensed" w:cs="Barlow Semi Condensed" w:eastAsia="Barlow Semi Condensed" w:hAnsi="Barlow Semi Condensed"/>
          <w:sz w:val="24"/>
          <w:szCs w:val="24"/>
        </w:rPr>
        <w:t xml:space="preserve"> degli anni Ottanta (cfr. Fase settima, cap. 59); la </w:t>
      </w:r>
      <w:r>
        <w:rPr>
          <w:rFonts w:ascii="Barlow Semi Condensed" w:cs="Barlow Semi Condensed" w:eastAsia="Barlow Semi Condensed" w:hAnsi="Barlow Semi Condensed"/>
          <w:b/>
          <w:bCs/>
          <w:sz w:val="24"/>
          <w:szCs w:val="24"/>
        </w:rPr>
        <w:t xml:space="preserve">completezza</w:t>
      </w:r>
      <w:r>
        <w:rPr>
          <w:rFonts w:ascii="Barlow Semi Condensed" w:cs="Barlow Semi Condensed" w:eastAsia="Barlow Semi Condensed" w:hAnsi="Barlow Semi Condensed"/>
          <w:sz w:val="24"/>
          <w:szCs w:val="24"/>
        </w:rPr>
        <w:t xml:space="preserve"> di ciò che fu ritrovato resta questione aperta (</w:t>
      </w:r>
      <w:r>
        <w:rPr>
          <w:rFonts w:ascii="Barlow Semi Condensed" w:cs="Barlow Semi Condensed" w:eastAsia="Barlow Semi Condensed" w:hAnsi="Barlow Semi Condensed"/>
          <w:b/>
          <w:bCs/>
          <w:sz w:val="24"/>
          <w:szCs w:val="24"/>
        </w:rPr>
        <w:t xml:space="preserve">C</w:t>
      </w:r>
      <w:r>
        <w:rPr>
          <w:rFonts w:ascii="Barlow Semi Condensed" w:cs="Barlow Semi Condensed" w:eastAsia="Barlow Semi Condensed" w:hAnsi="Barlow Semi Condensed"/>
          <w:sz w:val="24"/>
          <w:szCs w:val="24"/>
        </w:rPr>
        <w:t xml:space="preserve">).</w:t>
      </w:r>
    </w:p>
    <w:p>
      <w:pPr>
        <w:pStyle w:val="Heading1"/>
        <w:spacing w:after="120" w:before="240"/>
      </w:pPr>
      <w:r>
        <w:rPr>
          <w:rFonts w:ascii="Barlow Semi Condensed" w:cs="Barlow Semi Condensed" w:eastAsia="Barlow Semi Condensed" w:hAnsi="Barlow Semi Condensed"/>
          <w:sz w:val="24"/>
          <w:szCs w:val="24"/>
        </w:rPr>
        <w:t xml:space="preserve">Capitolo settantatreesimo — Gli atti giudiziari e parlamentari (grado A/B)</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I cinque processi Moro</w:t>
      </w:r>
      <w:r>
        <w:rPr>
          <w:rFonts w:ascii="Barlow Semi Condensed" w:cs="Barlow Semi Condensed" w:eastAsia="Barlow Semi Condensed" w:hAnsi="Barlow Semi Condensed"/>
          <w:sz w:val="24"/>
          <w:szCs w:val="24"/>
        </w:rPr>
        <w:t xml:space="preserve"> (uno/bis/ter/quater/quinquies, 1982-1999) → il </w:t>
      </w:r>
      <w:r>
        <w:rPr>
          <w:rFonts w:ascii="Barlow Semi Condensed" w:cs="Barlow Semi Condensed" w:eastAsia="Barlow Semi Condensed" w:hAnsi="Barlow Semi Condensed"/>
          <w:b/>
          <w:bCs/>
          <w:sz w:val="24"/>
          <w:szCs w:val="24"/>
        </w:rPr>
        <w:t xml:space="preserve">giudicato</w:t>
      </w:r>
      <w:r>
        <w:rPr>
          <w:rFonts w:ascii="Barlow Semi Condensed" w:cs="Barlow Semi Condensed" w:eastAsia="Barlow Semi Condensed" w:hAnsi="Barlow Semi Condensed"/>
          <w:sz w:val="24"/>
          <w:szCs w:val="24"/>
        </w:rPr>
        <w:t xml:space="preserve"> del caso: grado A. Ciò che vi è accertato è fatto; ciò che vi è rimasto fuori non è per ciò stesso falso, è non giudicato.</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La prima Commissione parlamentare</w:t>
      </w:r>
      <w:r>
        <w:rPr>
          <w:rFonts w:ascii="Barlow Semi Condensed" w:cs="Barlow Semi Condensed" w:eastAsia="Barlow Semi Condensed" w:hAnsi="Barlow Semi Condensed"/>
          <w:sz w:val="24"/>
          <w:szCs w:val="24"/>
        </w:rPr>
        <w:t xml:space="preserve"> (1979-1983) e la </w:t>
      </w:r>
      <w:r>
        <w:rPr>
          <w:rFonts w:ascii="Barlow Semi Condensed" w:cs="Barlow Semi Condensed" w:eastAsia="Barlow Semi Condensed" w:hAnsi="Barlow Semi Condensed"/>
          <w:b/>
          <w:bCs/>
          <w:sz w:val="24"/>
          <w:szCs w:val="24"/>
        </w:rPr>
        <w:t xml:space="preserve">Commissione Stragi</w:t>
      </w:r>
      <w:r>
        <w:rPr>
          <w:rFonts w:ascii="Barlow Semi Condensed" w:cs="Barlow Semi Condensed" w:eastAsia="Barlow Semi Condensed" w:hAnsi="Barlow Semi Condensed"/>
          <w:sz w:val="24"/>
          <w:szCs w:val="24"/>
        </w:rPr>
        <w:t xml:space="preserve"> → accertamenti di grado B.</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La Commissione Moro 2</w:t>
      </w:r>
      <w:r>
        <w:rPr>
          <w:rFonts w:ascii="Barlow Semi Condensed" w:cs="Barlow Semi Condensed" w:eastAsia="Barlow Semi Condensed" w:hAnsi="Barlow Semi Condensed"/>
          <w:sz w:val="24"/>
          <w:szCs w:val="24"/>
        </w:rPr>
        <w:t xml:space="preserve"> (legge 82/2014; relazione finale 6 dicembre 2017, presidenza Fioroni) → grado B: le due moto e i quattro «centauri» di via Fani, i testimoni De Chiara e ing. Marini, il Memoriale come testo negoziato, la formula «verità dicibile», il nodo del 18 aprile non sciolto (cfr. Fase settima).</w:t>
      </w:r>
    </w:p>
    <w:p>
      <w:pPr>
        <w:pStyle w:val="Heading1"/>
        <w:spacing w:after="120" w:before="240"/>
      </w:pPr>
      <w:r>
        <w:rPr>
          <w:rFonts w:ascii="Barlow Semi Condensed" w:cs="Barlow Semi Condensed" w:eastAsia="Barlow Semi Condensed" w:hAnsi="Barlow Semi Condensed"/>
          <w:sz w:val="24"/>
          <w:szCs w:val="24"/>
        </w:rPr>
        <w:t xml:space="preserve">Capitolo settantaquattresimo — Le figure del contesto (grado F/B · nessuna imputazione)</w:t>
      </w:r>
    </w:p>
    <w:p>
      <w:pPr>
        <w:spacing w:after="120" w:line="276"/>
        <w:jc w:val="both"/>
      </w:pPr>
      <w:r>
        <w:rPr>
          <w:rFonts w:ascii="Barlow Semi Condensed" w:cs="Barlow Semi Condensed" w:eastAsia="Barlow Semi Condensed" w:hAnsi="Barlow Semi Condensed"/>
          <w:sz w:val="24"/>
          <w:szCs w:val="24"/>
        </w:rPr>
        <w:t xml:space="preserve">Persone reali che ebbero un ruolo pubblico e documentato nella vicenda, </w:t>
      </w:r>
      <w:r>
        <w:rPr>
          <w:rFonts w:ascii="Barlow Semi Condensed" w:cs="Barlow Semi Condensed" w:eastAsia="Barlow Semi Condensed" w:hAnsi="Barlow Semi Condensed"/>
          <w:b/>
          <w:bCs/>
          <w:sz w:val="24"/>
          <w:szCs w:val="24"/>
        </w:rPr>
        <w:t xml:space="preserve">catalogate senza alcun addebito</w:t>
      </w:r>
      <w:r>
        <w:rPr>
          <w:rFonts w:ascii="Barlow Semi Condensed" w:cs="Barlow Semi Condensed" w:eastAsia="Barlow Semi Condensed" w:hAnsi="Barlow Semi Condensed"/>
          <w:sz w:val="24"/>
          <w:szCs w:val="24"/>
        </w:rPr>
        <w:t xml:space="preserve">: la loro presenza è fatto, non colpa.</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La famiglia</w:t>
      </w:r>
      <w:r>
        <w:rPr>
          <w:rFonts w:ascii="Barlow Semi Condensed" w:cs="Barlow Semi Condensed" w:eastAsia="Barlow Semi Condensed" w:hAnsi="Barlow Semi Condensed"/>
          <w:sz w:val="24"/>
          <w:szCs w:val="24"/>
        </w:rPr>
        <w:t xml:space="preserve">: Eleonora Moro (la moglie), i figli; la loro testimonianza in Commissione e in tribunale (fra cui l'avvertimento di Kissinger riferito, cfr. </w:t>
      </w:r>
      <w:r>
        <w:rPr>
          <w:rFonts w:ascii="Barlow Semi Condensed" w:cs="Barlow Semi Condensed" w:eastAsia="Barlow Semi Condensed" w:hAnsi="Barlow Semi Condensed"/>
          <w:i/>
          <w:iCs/>
          <w:sz w:val="24"/>
          <w:szCs w:val="24"/>
        </w:rPr>
        <w:t xml:space="preserve">triangolazioni-guevara-moro.md</w:t>
      </w:r>
      <w:r>
        <w:rPr>
          <w:rFonts w:ascii="Barlow Semi Condensed" w:cs="Barlow Semi Condensed" w:eastAsia="Barlow Semi Condensed" w:hAnsi="Barlow Semi Condensed"/>
          <w:sz w:val="24"/>
          <w:szCs w:val="24"/>
        </w:rPr>
        <w:t xml:space="preserve">, nodo M-5) è grado B.</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Il fronte politico</w:t>
      </w:r>
      <w:r>
        <w:rPr>
          <w:rFonts w:ascii="Barlow Semi Condensed" w:cs="Barlow Semi Condensed" w:eastAsia="Barlow Semi Condensed" w:hAnsi="Barlow Semi Condensed"/>
          <w:sz w:val="24"/>
          <w:szCs w:val="24"/>
        </w:rPr>
        <w:t xml:space="preserve">: Giulio Andreotti (presidente del Consiglio), Francesco Cossiga (ministro dell'Interno, dimessosi il 9 maggio), Benigno Zaccagnini (segretario DC), Enrico Berlinguer (PCI), Bettino Craxi (PSI, sul fronte della trattativa) → ruoli pubblici documentati, </w:t>
      </w:r>
      <w:r>
        <w:rPr>
          <w:rFonts w:ascii="Barlow Semi Condensed" w:cs="Barlow Semi Condensed" w:eastAsia="Barlow Semi Condensed" w:hAnsi="Barlow Semi Condensed"/>
          <w:b/>
          <w:bCs/>
          <w:sz w:val="24"/>
          <w:szCs w:val="24"/>
        </w:rPr>
        <w:t xml:space="preserve">F</w:t>
      </w:r>
      <w:r>
        <w:rPr>
          <w:rFonts w:ascii="Barlow Semi Condensed" w:cs="Barlow Semi Condensed" w:eastAsia="Barlow Semi Condensed" w:hAnsi="Barlow Semi Condensed"/>
          <w:sz w:val="24"/>
          <w:szCs w:val="24"/>
        </w:rPr>
        <w:t xml:space="preserve">.</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I mediatori e i canali</w:t>
      </w:r>
      <w:r>
        <w:rPr>
          <w:rFonts w:ascii="Barlow Semi Condensed" w:cs="Barlow Semi Condensed" w:eastAsia="Barlow Semi Condensed" w:hAnsi="Barlow Semi Condensed"/>
          <w:sz w:val="24"/>
          <w:szCs w:val="24"/>
        </w:rPr>
        <w:t xml:space="preserve">: la Santa Sede e Paolo VI (la lettera «agli uomini delle Brigate Rosse»); i canali del PSI (Signorile, Pace) verso le BR → </w:t>
      </w:r>
      <w:r>
        <w:rPr>
          <w:rFonts w:ascii="Barlow Semi Condensed" w:cs="Barlow Semi Condensed" w:eastAsia="Barlow Semi Condensed" w:hAnsi="Barlow Semi Condensed"/>
          <w:b/>
          <w:bCs/>
          <w:sz w:val="24"/>
          <w:szCs w:val="24"/>
        </w:rPr>
        <w:t xml:space="preserve">B</w:t>
      </w:r>
      <w:r>
        <w:rPr>
          <w:rFonts w:ascii="Barlow Semi Condensed" w:cs="Barlow Semi Condensed" w:eastAsia="Barlow Semi Condensed" w:hAnsi="Barlow Semi Condensed"/>
          <w:sz w:val="24"/>
          <w:szCs w:val="24"/>
        </w:rPr>
        <w:t xml:space="preserve">.</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Il consulente americano</w:t>
      </w:r>
      <w:r>
        <w:rPr>
          <w:rFonts w:ascii="Barlow Semi Condensed" w:cs="Barlow Semi Condensed" w:eastAsia="Barlow Semi Condensed" w:hAnsi="Barlow Semi Condensed"/>
          <w:sz w:val="24"/>
          <w:szCs w:val="24"/>
        </w:rPr>
        <w:t xml:space="preserve">: Steve Pieczenik, del Dipartimento di Stato, nel comitato di crisi → la sua presenza è </w:t>
      </w:r>
      <w:r>
        <w:rPr>
          <w:rFonts w:ascii="Barlow Semi Condensed" w:cs="Barlow Semi Condensed" w:eastAsia="Barlow Semi Condensed" w:hAnsi="Barlow Semi Condensed"/>
          <w:b/>
          <w:bCs/>
          <w:sz w:val="24"/>
          <w:szCs w:val="24"/>
        </w:rPr>
        <w:t xml:space="preserve">B</w:t>
      </w:r>
      <w:r>
        <w:rPr>
          <w:rFonts w:ascii="Barlow Semi Condensed" w:cs="Barlow Semi Condensed" w:eastAsia="Barlow Semi Condensed" w:hAnsi="Barlow Semi Condensed"/>
          <w:sz w:val="24"/>
          <w:szCs w:val="24"/>
        </w:rPr>
        <w:t xml:space="preserve">; le sue dichiarazioni successive sono fonte di parte, </w:t>
      </w:r>
      <w:r>
        <w:rPr>
          <w:rFonts w:ascii="Barlow Semi Condensed" w:cs="Barlow Semi Condensed" w:eastAsia="Barlow Semi Condensed" w:hAnsi="Barlow Semi Condensed"/>
          <w:b/>
          <w:bCs/>
          <w:sz w:val="24"/>
          <w:szCs w:val="24"/>
        </w:rPr>
        <w:t xml:space="preserve">C</w:t>
      </w:r>
      <w:r>
        <w:rPr>
          <w:rFonts w:ascii="Barlow Semi Condensed" w:cs="Barlow Semi Condensed" w:eastAsia="Barlow Semi Condensed" w:hAnsi="Barlow Semi Condensed"/>
          <w:sz w:val="24"/>
          <w:szCs w:val="24"/>
        </w:rPr>
        <w:t xml:space="preserve"> quanto alla loro portata.</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Hyperion</w:t>
      </w:r>
      <w:r>
        <w:rPr>
          <w:rFonts w:ascii="Barlow Semi Condensed" w:cs="Barlow Semi Condensed" w:eastAsia="Barlow Semi Condensed" w:hAnsi="Barlow Semi Condensed"/>
          <w:sz w:val="24"/>
          <w:szCs w:val="24"/>
        </w:rPr>
        <w:t xml:space="preserve">: il nodo del «quadro internazionale» → trattato integralmente, e con esito liberatorio (proscioglimenti), in </w:t>
      </w:r>
      <w:r>
        <w:rPr>
          <w:rFonts w:ascii="Barlow Semi Condensed" w:cs="Barlow Semi Condensed" w:eastAsia="Barlow Semi Condensed" w:hAnsi="Barlow Semi Condensed"/>
          <w:i/>
          <w:iCs/>
          <w:sz w:val="24"/>
          <w:szCs w:val="24"/>
        </w:rPr>
        <w:t xml:space="preserve">triangolazione-hyperion-corpus.md</w:t>
      </w:r>
      <w:r>
        <w:rPr>
          <w:rFonts w:ascii="Barlow Semi Condensed" w:cs="Barlow Semi Condensed" w:eastAsia="Barlow Semi Condensed" w:hAnsi="Barlow Semi Condensed"/>
          <w:sz w:val="24"/>
          <w:szCs w:val="24"/>
        </w:rPr>
        <w:t xml:space="preserve"> di questo stesso branch: </w:t>
      </w:r>
      <w:r>
        <w:rPr>
          <w:rFonts w:ascii="Barlow Semi Condensed" w:cs="Barlow Semi Condensed" w:eastAsia="Barlow Semi Condensed" w:hAnsi="Barlow Semi Condensed"/>
          <w:b/>
          <w:bCs/>
          <w:sz w:val="24"/>
          <w:szCs w:val="24"/>
        </w:rPr>
        <w:t xml:space="preserve">congettura non provata</w:t>
      </w:r>
      <w:r>
        <w:rPr>
          <w:rFonts w:ascii="Barlow Semi Condensed" w:cs="Barlow Semi Condensed" w:eastAsia="Barlow Semi Condensed" w:hAnsi="Barlow Semi Condensed"/>
          <w:sz w:val="24"/>
          <w:szCs w:val="24"/>
        </w:rPr>
        <w:t xml:space="preserve">, i cui fondatori godono della presunzione piena.</w:t>
      </w:r>
    </w:p>
    <w:p>
      <w:pPr>
        <w:pStyle w:val="Heading1"/>
        <w:spacing w:after="120" w:before="240"/>
      </w:pPr>
      <w:r>
        <w:rPr>
          <w:rFonts w:ascii="Barlow Semi Condensed" w:cs="Barlow Semi Condensed" w:eastAsia="Barlow Semi Condensed" w:hAnsi="Barlow Semi Condensed"/>
          <w:sz w:val="24"/>
          <w:szCs w:val="24"/>
        </w:rPr>
        <w:t xml:space="preserve">Capitolo settantacinquesimo — I nodi aperti, tutti al loro grado (C, salvo dove indicato)</w:t>
      </w:r>
    </w:p>
    <w:p>
      <w:pPr>
        <w:spacing w:after="120" w:line="276"/>
        <w:jc w:val="both"/>
      </w:pPr>
      <w:r>
        <w:rPr>
          <w:rFonts w:ascii="Barlow Semi Condensed" w:cs="Barlow Semi Condensed" w:eastAsia="Barlow Semi Condensed" w:hAnsi="Barlow Semi Condensed"/>
          <w:sz w:val="24"/>
          <w:szCs w:val="24"/>
        </w:rPr>
        <w:t xml:space="preserve">Il catalogo delle questioni che il caso lascia aperte, ciascuna col grado massimo che le fonti consentono. È l'aggiornamento della tavola della Fase settima, in forma di repertorio.</w:t>
      </w:r>
    </w:p>
    <w:p>
      <w:pPr>
        <w:spacing w:after="40"/>
        <w:ind w:left="360"/>
        <w:jc w:val="both"/>
      </w:pPr>
      <w:r>
        <w:rPr>
          <w:rFonts w:ascii="Barlow Semi Condensed" w:cs="Barlow Semi Condensed" w:eastAsia="Barlow Semi Condensed" w:hAnsi="Barlow Semi Condensed"/>
          <w:sz w:val="24"/>
          <w:szCs w:val="24"/>
        </w:rPr>
        <w:t xml:space="preserve">1. </w:t>
      </w:r>
      <w:r>
        <w:rPr>
          <w:rFonts w:ascii="Barlow Semi Condensed" w:cs="Barlow Semi Condensed" w:eastAsia="Barlow Semi Condensed" w:hAnsi="Barlow Semi Condensed"/>
          <w:b/>
          <w:bCs/>
          <w:sz w:val="24"/>
          <w:szCs w:val="24"/>
        </w:rPr>
        <w:t xml:space="preserve">Le due moto e i quattro «centauri» di via Fani</w:t>
      </w:r>
      <w:r>
        <w:rPr>
          <w:rFonts w:ascii="Barlow Semi Condensed" w:cs="Barlow Semi Condensed" w:eastAsia="Barlow Semi Condensed" w:hAnsi="Barlow Semi Condensed"/>
          <w:sz w:val="24"/>
          <w:szCs w:val="24"/>
        </w:rPr>
        <w:t xml:space="preserve"> — B (accertamento Moro 2), identità ignota (C).</w:t>
      </w:r>
    </w:p>
    <w:p>
      <w:pPr>
        <w:spacing w:after="40"/>
        <w:ind w:left="360"/>
        <w:jc w:val="both"/>
      </w:pPr>
      <w:r>
        <w:rPr>
          <w:rFonts w:ascii="Barlow Semi Condensed" w:cs="Barlow Semi Condensed" w:eastAsia="Barlow Semi Condensed" w:hAnsi="Barlow Semi Condensed"/>
          <w:sz w:val="24"/>
          <w:szCs w:val="24"/>
        </w:rPr>
        <w:t xml:space="preserve">2. </w:t>
      </w:r>
      <w:r>
        <w:rPr>
          <w:rFonts w:ascii="Barlow Semi Condensed" w:cs="Barlow Semi Condensed" w:eastAsia="Barlow Semi Condensed" w:hAnsi="Barlow Semi Condensed"/>
          <w:b/>
          <w:bCs/>
          <w:sz w:val="24"/>
          <w:szCs w:val="24"/>
        </w:rPr>
        <w:t xml:space="preserve">Via Gradoli e la «seduta spiritica»</w:t>
      </w:r>
      <w:r>
        <w:rPr>
          <w:rFonts w:ascii="Barlow Semi Condensed" w:cs="Barlow Semi Condensed" w:eastAsia="Barlow Semi Condensed" w:hAnsi="Barlow Semi Condensed"/>
          <w:sz w:val="24"/>
          <w:szCs w:val="24"/>
        </w:rPr>
        <w:t xml:space="preserve"> — coincidenza non spiegata; C, non sciolta nemmeno dalla Moro 2.</w:t>
      </w:r>
    </w:p>
    <w:p>
      <w:pPr>
        <w:spacing w:after="40"/>
        <w:ind w:left="360"/>
        <w:jc w:val="both"/>
      </w:pPr>
      <w:r>
        <w:rPr>
          <w:rFonts w:ascii="Barlow Semi Condensed" w:cs="Barlow Semi Condensed" w:eastAsia="Barlow Semi Condensed" w:hAnsi="Barlow Semi Condensed"/>
          <w:sz w:val="24"/>
          <w:szCs w:val="24"/>
        </w:rPr>
        <w:t xml:space="preserve">3. </w:t>
      </w:r>
      <w:r>
        <w:rPr>
          <w:rFonts w:ascii="Barlow Semi Condensed" w:cs="Barlow Semi Condensed" w:eastAsia="Barlow Semi Condensed" w:hAnsi="Barlow Semi Condensed"/>
          <w:b/>
          <w:bCs/>
          <w:sz w:val="24"/>
          <w:szCs w:val="24"/>
        </w:rPr>
        <w:t xml:space="preserve">Il falso del lago della Duchessa</w:t>
      </w:r>
      <w:r>
        <w:rPr>
          <w:rFonts w:ascii="Barlow Semi Condensed" w:cs="Barlow Semi Condensed" w:eastAsia="Barlow Semi Condensed" w:hAnsi="Barlow Semi Condensed"/>
          <w:sz w:val="24"/>
          <w:szCs w:val="24"/>
        </w:rPr>
        <w:t xml:space="preserve"> — il falso è A; la sua </w:t>
      </w:r>
      <w:r>
        <w:rPr>
          <w:rFonts w:ascii="Barlow Semi Condensed" w:cs="Barlow Semi Condensed" w:eastAsia="Barlow Semi Condensed" w:hAnsi="Barlow Semi Condensed"/>
          <w:b/>
          <w:bCs/>
          <w:sz w:val="24"/>
          <w:szCs w:val="24"/>
        </w:rPr>
        <w:t xml:space="preserve">funzione</w:t>
      </w:r>
      <w:r>
        <w:rPr>
          <w:rFonts w:ascii="Barlow Semi Condensed" w:cs="Barlow Semi Condensed" w:eastAsia="Barlow Semi Condensed" w:hAnsi="Barlow Semi Condensed"/>
          <w:sz w:val="24"/>
          <w:szCs w:val="24"/>
        </w:rPr>
        <w:t xml:space="preserve"> (chi e perché) resta C.</w:t>
      </w:r>
    </w:p>
    <w:p>
      <w:pPr>
        <w:spacing w:after="40"/>
        <w:ind w:left="360"/>
        <w:jc w:val="both"/>
      </w:pPr>
      <w:r>
        <w:rPr>
          <w:rFonts w:ascii="Barlow Semi Condensed" w:cs="Barlow Semi Condensed" w:eastAsia="Barlow Semi Condensed" w:hAnsi="Barlow Semi Condensed"/>
          <w:sz w:val="24"/>
          <w:szCs w:val="24"/>
        </w:rPr>
        <w:t xml:space="preserve">4. </w:t>
      </w:r>
      <w:r>
        <w:rPr>
          <w:rFonts w:ascii="Barlow Semi Condensed" w:cs="Barlow Semi Condensed" w:eastAsia="Barlow Semi Condensed" w:hAnsi="Barlow Semi Condensed"/>
          <w:b/>
          <w:bCs/>
          <w:sz w:val="24"/>
          <w:szCs w:val="24"/>
        </w:rPr>
        <w:t xml:space="preserve">La seconda prigione</w:t>
      </w:r>
      <w:r>
        <w:rPr>
          <w:rFonts w:ascii="Barlow Semi Condensed" w:cs="Barlow Semi Condensed" w:eastAsia="Barlow Semi Condensed" w:hAnsi="Barlow Semi Condensed"/>
          <w:sz w:val="24"/>
          <w:szCs w:val="24"/>
        </w:rPr>
        <w:t xml:space="preserve"> — C, non provata; il giudicato conosce solo via Montalcini.</w:t>
      </w:r>
    </w:p>
    <w:p>
      <w:pPr>
        <w:spacing w:after="40"/>
        <w:ind w:left="360"/>
        <w:jc w:val="both"/>
      </w:pPr>
      <w:r>
        <w:rPr>
          <w:rFonts w:ascii="Barlow Semi Condensed" w:cs="Barlow Semi Condensed" w:eastAsia="Barlow Semi Condensed" w:hAnsi="Barlow Semi Condensed"/>
          <w:sz w:val="24"/>
          <w:szCs w:val="24"/>
        </w:rPr>
        <w:t xml:space="preserve">5. </w:t>
      </w:r>
      <w:r>
        <w:rPr>
          <w:rFonts w:ascii="Barlow Semi Condensed" w:cs="Barlow Semi Condensed" w:eastAsia="Barlow Semi Condensed" w:hAnsi="Barlow Semi Condensed"/>
          <w:b/>
          <w:bCs/>
          <w:sz w:val="24"/>
          <w:szCs w:val="24"/>
        </w:rPr>
        <w:t xml:space="preserve">Le occasioni mancate e i ritardi</w:t>
      </w:r>
      <w:r>
        <w:rPr>
          <w:rFonts w:ascii="Barlow Semi Condensed" w:cs="Barlow Semi Condensed" w:eastAsia="Barlow Semi Condensed" w:hAnsi="Barlow Semi Condensed"/>
          <w:sz w:val="24"/>
          <w:szCs w:val="24"/>
        </w:rPr>
        <w:t xml:space="preserve"> — cronologia A; </w:t>
      </w:r>
      <w:r>
        <w:rPr>
          <w:rFonts w:ascii="Barlow Semi Condensed" w:cs="Barlow Semi Condensed" w:eastAsia="Barlow Semi Condensed" w:hAnsi="Barlow Semi Condensed"/>
          <w:b/>
          <w:bCs/>
          <w:sz w:val="24"/>
          <w:szCs w:val="24"/>
        </w:rPr>
        <w:t xml:space="preserve">dolo vs inefficienza</w:t>
      </w:r>
      <w:r>
        <w:rPr>
          <w:rFonts w:ascii="Barlow Semi Condensed" w:cs="Barlow Semi Condensed" w:eastAsia="Barlow Semi Condensed" w:hAnsi="Barlow Semi Condensed"/>
          <w:sz w:val="24"/>
          <w:szCs w:val="24"/>
        </w:rPr>
        <w:t xml:space="preserve"> non deciso, C.</w:t>
      </w:r>
    </w:p>
    <w:p>
      <w:pPr>
        <w:spacing w:after="40"/>
        <w:ind w:left="360"/>
        <w:jc w:val="both"/>
      </w:pPr>
      <w:r>
        <w:rPr>
          <w:rFonts w:ascii="Barlow Semi Condensed" w:cs="Barlow Semi Condensed" w:eastAsia="Barlow Semi Condensed" w:hAnsi="Barlow Semi Condensed"/>
          <w:sz w:val="24"/>
          <w:szCs w:val="24"/>
        </w:rPr>
        <w:t xml:space="preserve">6. </w:t>
      </w:r>
      <w:r>
        <w:rPr>
          <w:rFonts w:ascii="Barlow Semi Condensed" w:cs="Barlow Semi Condensed" w:eastAsia="Barlow Semi Condensed" w:hAnsi="Barlow Semi Condensed"/>
          <w:b/>
          <w:bCs/>
          <w:sz w:val="24"/>
          <w:szCs w:val="24"/>
        </w:rPr>
        <w:t xml:space="preserve">La completezza del memoriale</w:t>
      </w:r>
      <w:r>
        <w:rPr>
          <w:rFonts w:ascii="Barlow Semi Condensed" w:cs="Barlow Semi Condensed" w:eastAsia="Barlow Semi Condensed" w:hAnsi="Barlow Semi Condensed"/>
          <w:sz w:val="24"/>
          <w:szCs w:val="24"/>
        </w:rPr>
        <w:t xml:space="preserve"> — ritrovamenti A; ciò che manchi, indeterminato, C.</w:t>
      </w:r>
    </w:p>
    <w:p>
      <w:pPr>
        <w:spacing w:after="40"/>
        <w:ind w:left="360"/>
        <w:jc w:val="both"/>
      </w:pPr>
      <w:r>
        <w:rPr>
          <w:rFonts w:ascii="Barlow Semi Condensed" w:cs="Barlow Semi Condensed" w:eastAsia="Barlow Semi Condensed" w:hAnsi="Barlow Semi Condensed"/>
          <w:sz w:val="24"/>
          <w:szCs w:val="24"/>
        </w:rPr>
        <w:t xml:space="preserve">7. </w:t>
      </w:r>
      <w:r>
        <w:rPr>
          <w:rFonts w:ascii="Barlow Semi Condensed" w:cs="Barlow Semi Condensed" w:eastAsia="Barlow Semi Condensed" w:hAnsi="Barlow Semi Condensed"/>
          <w:b/>
          <w:bCs/>
          <w:sz w:val="24"/>
          <w:szCs w:val="24"/>
        </w:rPr>
        <w:t xml:space="preserve">Il quadro internazionale</w:t>
      </w:r>
      <w:r>
        <w:rPr>
          <w:rFonts w:ascii="Barlow Semi Condensed" w:cs="Barlow Semi Condensed" w:eastAsia="Barlow Semi Condensed" w:hAnsi="Barlow Semi Condensed"/>
          <w:sz w:val="24"/>
          <w:szCs w:val="24"/>
        </w:rPr>
        <w:t xml:space="preserve"> — fatti singoli documentati (B); </w:t>
      </w:r>
      <w:r>
        <w:rPr>
          <w:rFonts w:ascii="Barlow Semi Condensed" w:cs="Barlow Semi Condensed" w:eastAsia="Barlow Semi Condensed" w:hAnsi="Barlow Semi Condensed"/>
          <w:b/>
          <w:bCs/>
          <w:sz w:val="24"/>
          <w:szCs w:val="24"/>
        </w:rPr>
        <w:t xml:space="preserve">regia estera</w:t>
      </w:r>
      <w:r>
        <w:rPr>
          <w:rFonts w:ascii="Barlow Semi Condensed" w:cs="Barlow Semi Condensed" w:eastAsia="Barlow Semi Condensed" w:hAnsi="Barlow Semi Condensed"/>
          <w:sz w:val="24"/>
          <w:szCs w:val="24"/>
        </w:rPr>
        <w:t xml:space="preserve"> C (cfr. Hyperion, e M-5 della matrice).</w:t>
      </w:r>
    </w:p>
    <w:p>
      <w:pPr>
        <w:spacing w:after="40"/>
        <w:ind w:left="360"/>
        <w:jc w:val="both"/>
      </w:pPr>
      <w:r>
        <w:rPr>
          <w:rFonts w:ascii="Barlow Semi Condensed" w:cs="Barlow Semi Condensed" w:eastAsia="Barlow Semi Condensed" w:hAnsi="Barlow Semi Condensed"/>
          <w:sz w:val="24"/>
          <w:szCs w:val="24"/>
        </w:rPr>
        <w:t xml:space="preserve">8. </w:t>
      </w:r>
      <w:r>
        <w:rPr>
          <w:rFonts w:ascii="Barlow Semi Condensed" w:cs="Barlow Semi Condensed" w:eastAsia="Barlow Semi Condensed" w:hAnsi="Barlow Semi Condensed"/>
          <w:b/>
          <w:bCs/>
          <w:sz w:val="24"/>
          <w:szCs w:val="24"/>
        </w:rPr>
        <w:t xml:space="preserve">L'ampiezza della «verità dicibile»</w:t>
      </w:r>
      <w:r>
        <w:rPr>
          <w:rFonts w:ascii="Barlow Semi Condensed" w:cs="Barlow Semi Condensed" w:eastAsia="Barlow Semi Condensed" w:hAnsi="Barlow Semi Condensed"/>
          <w:sz w:val="24"/>
          <w:szCs w:val="24"/>
        </w:rPr>
        <w:t xml:space="preserve"> — formula B (della Commissione); l'indicibile, per definizione non misurabile, C.</w:t>
      </w:r>
    </w:p>
    <w:p>
      <w:pPr>
        <w:spacing w:after="120" w:line="276"/>
        <w:jc w:val="both"/>
      </w:pPr>
      <w:r>
        <w:rPr>
          <w:rFonts w:ascii="Barlow Semi Condensed" w:cs="Barlow Semi Condensed" w:eastAsia="Barlow Semi Condensed" w:hAnsi="Barlow Semi Condensed"/>
          <w:sz w:val="24"/>
          <w:szCs w:val="24"/>
        </w:rPr>
        <w:t xml:space="preserve">Nessuno di questi nodi è vuoto, e nessuno è pieno: sono </w:t>
      </w:r>
      <w:r>
        <w:rPr>
          <w:rFonts w:ascii="Barlow Semi Condensed" w:cs="Barlow Semi Condensed" w:eastAsia="Barlow Semi Condensed" w:hAnsi="Barlow Semi Condensed"/>
          <w:b/>
          <w:bCs/>
          <w:sz w:val="24"/>
          <w:szCs w:val="24"/>
        </w:rPr>
        <w:t xml:space="preserve">aperti</w:t>
      </w:r>
      <w:r>
        <w:rPr>
          <w:rFonts w:ascii="Barlow Semi Condensed" w:cs="Barlow Semi Condensed" w:eastAsia="Barlow Semi Condensed" w:hAnsi="Barlow Semi Condensed"/>
          <w:sz w:val="24"/>
          <w:szCs w:val="24"/>
        </w:rPr>
        <w:t xml:space="preserve">, cioè documentati fin dove le fonti arrivano e non oltre. Trasformarli in accuse è la tentazione che l'opera esiste per resistere.</w:t>
      </w:r>
    </w:p>
    <w:p>
      <w:pPr>
        <w:pStyle w:val="Heading1"/>
        <w:spacing w:after="120" w:before="240"/>
      </w:pPr>
      <w:r>
        <w:rPr>
          <w:rFonts w:ascii="Barlow Semi Condensed" w:cs="Barlow Semi Condensed" w:eastAsia="Barlow Semi Condensed" w:hAnsi="Barlow Semi Condensed"/>
          <w:sz w:val="24"/>
          <w:szCs w:val="24"/>
        </w:rPr>
        <w:t xml:space="preserve">Capitolo settantaseiesimo — Che cosa il repertorio non contiene, e perché</w:t>
      </w:r>
    </w:p>
    <w:p>
      <w:pPr>
        <w:spacing w:after="120" w:line="276"/>
        <w:jc w:val="both"/>
      </w:pPr>
      <w:r>
        <w:rPr>
          <w:rFonts w:ascii="Barlow Semi Condensed" w:cs="Barlow Semi Condensed" w:eastAsia="Barlow Semi Condensed" w:hAnsi="Barlow Semi Condensed"/>
          <w:sz w:val="24"/>
          <w:szCs w:val="24"/>
        </w:rPr>
        <w:t xml:space="preserve">Un repertorio si giudica anche da ciò che rifiuta di elencare. Questo </w:t>
      </w:r>
      <w:r>
        <w:rPr>
          <w:rFonts w:ascii="Barlow Semi Condensed" w:cs="Barlow Semi Condensed" w:eastAsia="Barlow Semi Condensed" w:hAnsi="Barlow Semi Condensed"/>
          <w:b/>
          <w:bCs/>
          <w:sz w:val="24"/>
          <w:szCs w:val="24"/>
        </w:rPr>
        <w:t xml:space="preserve">non contiene</w:t>
      </w:r>
      <w:r>
        <w:rPr>
          <w:rFonts w:ascii="Barlow Semi Condensed" w:cs="Barlow Semi Condensed" w:eastAsia="Barlow Semi Condensed" w:hAnsi="Barlow Semi Condensed"/>
          <w:sz w:val="24"/>
          <w:szCs w:val="24"/>
        </w:rPr>
        <w:t xml:space="preserve">:</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una graduatoria di responsabili</w:t>
      </w:r>
      <w:r>
        <w:rPr>
          <w:rFonts w:ascii="Barlow Semi Condensed" w:cs="Barlow Semi Condensed" w:eastAsia="Barlow Semi Condensed" w:hAnsi="Barlow Semi Condensed"/>
          <w:sz w:val="24"/>
          <w:szCs w:val="24"/>
        </w:rPr>
        <w:t xml:space="preserve"> oltre il giudicato: è il divieto costitutivo dell'opera (Parte terza, cap. XI), e vale in un repertorio più che altrove, perché un elenco dà l'illusione della completezza e quindi della sentenza;</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nomi di persone viventi come colpevoli</w:t>
      </w:r>
      <w:r>
        <w:rPr>
          <w:rFonts w:ascii="Barlow Semi Condensed" w:cs="Barlow Semi Condensed" w:eastAsia="Barlow Semi Condensed" w:hAnsi="Barlow Semi Condensed"/>
          <w:sz w:val="24"/>
          <w:szCs w:val="24"/>
        </w:rPr>
        <w:t xml:space="preserve"> di ciò per cui non sono state condannate: sarebbe diffamazione travestita da catalogo;</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le congetture spacciate per gradi superiori</w:t>
      </w:r>
      <w:r>
        <w:rPr>
          <w:rFonts w:ascii="Barlow Semi Condensed" w:cs="Barlow Semi Condensed" w:eastAsia="Barlow Semi Condensed" w:hAnsi="Barlow Semi Condensed"/>
          <w:sz w:val="24"/>
          <w:szCs w:val="24"/>
        </w:rPr>
        <w:t xml:space="preserve">: ogni voce C è marcata C, per quanto suggestiva;</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il materiale che tocca persone viventi con attribuzioni non riscontrate</w:t>
      </w:r>
      <w:r>
        <w:rPr>
          <w:rFonts w:ascii="Barlow Semi Condensed" w:cs="Barlow Semi Condensed" w:eastAsia="Barlow Semi Condensed" w:hAnsi="Barlow Semi Condensed"/>
          <w:sz w:val="24"/>
          <w:szCs w:val="24"/>
        </w:rPr>
        <w:t xml:space="preserve">, che per disciplina dell'opera resta fuori dal versante pubblico.</w:t>
      </w:r>
    </w:p>
    <w:p>
      <w:pPr>
        <w:spacing w:after="120" w:line="276"/>
        <w:jc w:val="both"/>
      </w:pPr>
      <w:r>
        <w:rPr>
          <w:rFonts w:ascii="Barlow Semi Condensed" w:cs="Barlow Semi Condensed" w:eastAsia="Barlow Semi Condensed" w:hAnsi="Barlow Semi Condensed"/>
          <w:sz w:val="24"/>
          <w:szCs w:val="24"/>
        </w:rPr>
        <w:t xml:space="preserve">Ciò che resta, dopo queste esclusioni, è </w:t>
      </w:r>
      <w:r>
        <w:rPr>
          <w:rFonts w:ascii="Barlow Semi Condensed" w:cs="Barlow Semi Condensed" w:eastAsia="Barlow Semi Condensed" w:hAnsi="Barlow Semi Condensed"/>
          <w:b/>
          <w:bCs/>
          <w:sz w:val="24"/>
          <w:szCs w:val="24"/>
        </w:rPr>
        <w:t xml:space="preserve">il caso Moro come lo Stato lo ha accertato e come la storia lo ha documentato</w:t>
      </w:r>
      <w:r>
        <w:rPr>
          <w:rFonts w:ascii="Barlow Semi Condensed" w:cs="Barlow Semi Condensed" w:eastAsia="Barlow Semi Condensed" w:hAnsi="Barlow Semi Condensed"/>
          <w:sz w:val="24"/>
          <w:szCs w:val="24"/>
        </w:rPr>
        <w:t xml:space="preserve"> — non come la dietrologia lo ha immaginato. È meno spettacolare e infinitamente più solido. È, alla lettera, tutto ciò che è </w:t>
      </w:r>
      <w:r>
        <w:rPr>
          <w:rFonts w:ascii="Barlow Semi Condensed" w:cs="Barlow Semi Condensed" w:eastAsia="Barlow Semi Condensed" w:hAnsi="Barlow Semi Condensed"/>
          <w:i/>
          <w:iCs/>
          <w:sz w:val="24"/>
          <w:szCs w:val="24"/>
        </w:rPr>
        <w:t xml:space="preserve">attribuibile</w:t>
      </w:r>
      <w:r>
        <w:rPr>
          <w:rFonts w:ascii="Barlow Semi Condensed" w:cs="Barlow Semi Condensed" w:eastAsia="Barlow Semi Condensed" w:hAnsi="Barlow Semi Condensed"/>
          <w:sz w:val="24"/>
          <w:szCs w:val="24"/>
        </w:rPr>
        <w:t xml:space="preserve">: tutto ciò che si può ancorare, col suo grado, a una fonte che regge.</w:t>
      </w:r>
    </w:p>
    <w:p>
      <w:pPr>
        <w:pBdr>
          <w:bottom w:val="single" w:color="999999" w:sz="6" w:space="1"/>
        </w:pBdr>
        <w:spacing w:after="80"/>
      </w:pPr>
    </w:p>
    <w:p>
      <w:pPr>
        <w:spacing w:after="120" w:line="276"/>
        <w:jc w:val="both"/>
      </w:pPr>
      <w:r>
        <w:rPr>
          <w:rFonts w:ascii="Barlow Semi Condensed" w:cs="Barlow Semi Condensed" w:eastAsia="Barlow Semi Condensed" w:hAnsi="Barlow Semi Condensed"/>
          <w:i/>
          <w:iCs/>
          <w:sz w:val="24"/>
          <w:szCs w:val="24"/>
        </w:rPr>
        <w:t xml:space="preserve">Congedo della Fase nona.</w:t>
      </w:r>
      <w:r>
        <w:rPr>
          <w:rFonts w:ascii="Barlow Semi Condensed" w:cs="Barlow Semi Condensed" w:eastAsia="Barlow Semi Condensed" w:hAnsi="Barlow Semi Condensed"/>
          <w:sz w:val="24"/>
          <w:szCs w:val="24"/>
        </w:rPr>
        <w:t xml:space="preserve"> Il repertorio è lo strumento, non la meta. Serve a chi verrà dopo per non ricominciare da capo, e per non confondere mai un grado con un altro. La sua unica ambizione è che, chiuso il volume, resti chiaro dove finisce il sapere e comincia il sospetto — perché è in quella linea, e solo in quella, che una Repubblica difende insieme la verità e la giustizia. Le sei vittime del caso stanno in cima al repertorio, non in fondo. È da lì che ogni ricerca onesta deve ripartire.</w:t>
      </w:r>
    </w:p>
    <w:p>
      <w:pPr>
        <w:pBdr>
          <w:bottom w:val="single" w:color="999999" w:sz="6" w:space="1"/>
        </w:pBdr>
        <w:spacing w:after="80"/>
      </w:pPr>
    </w:p>
    <w:p>
      <w:pPr>
        <w:spacing w:after="120" w:line="276"/>
        <w:jc w:val="both"/>
      </w:pPr>
      <w:r>
        <w:rPr>
          <w:rFonts w:ascii="Barlow Semi Condensed" w:cs="Barlow Semi Condensed" w:eastAsia="Barlow Semi Condensed" w:hAnsi="Barlow Semi Condensed"/>
          <w:i/>
          <w:iCs/>
          <w:sz w:val="24"/>
          <w:szCs w:val="24"/>
        </w:rPr>
        <w:t xml:space="preserve">Fase nona dell'opera «Aldo Moro — Una guerra senza fine» (capp. 68-76). Repertorio integrale e gradato di tutto ciò che è attribuibile al caso: cronologia dei 55 giorni, le vittime di via Fani, gli autori accertati in giudicato, i luoghi, i documenti, gli atti giudiziari e parlamentari, le figure del contesto (senza imputazione), i nodi aperti col loro grado, e ciò che il repertorio esclude per disciplina. Ogni voce con grado A/B/C/F dichiarato. Fonti: Ministero dell'Interno; sentenze dei processi Moro; relazione Commissione Moro 2 (2017); e i documenti interni al branch. Nessuna imputazione oltre il giudicato; nessuna graduatoria.</w:t>
      </w:r>
    </w:p>
    <w:p>
      <w:pPr>
        <w:pStyle w:val="Heading3"/>
        <w:spacing w:after="80" w:before="240"/>
      </w:pPr>
      <w:r>
        <w:rPr>
          <w:rFonts w:ascii="Barlow Semi Condensed" w:cs="Barlow Semi Condensed" w:eastAsia="Barlow Semi Condensed" w:hAnsi="Barlow Semi Condensed"/>
          <w:sz w:val="24"/>
          <w:szCs w:val="24"/>
        </w:rPr>
        <w:t xml:space="preserve">Apparato grafico — Libro decimo · Il repertorio del caso</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6"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Libro decimo: 2.000 parole in 4 sezioni; la più ampia è §3 Segmento 3, con 628.</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7"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Libro decimo: 36 paragrafi in 4 sezioni, 9 in media per sezione.</w:t>
      </w:r>
    </w:p>
    <w:p>
      <w:pPr>
        <w:spacing w:after="120"/>
        <w:jc w:val="center"/>
      </w:pPr>
      <w:r>
        <w:rPr>
          <w:rFonts w:ascii="Barlow Semi Condensed" w:cs="Barlow Semi Condensed" w:eastAsia="Barlow Semi Condensed" w:hAnsi="Barlow Semi Condensed"/>
          <w:color w:val="777777"/>
          <w:sz w:val="16"/>
          <w:szCs w:val="16"/>
        </w:rPr>
        <w:t xml:space="preserve">Le metriche dell'apparato contano parole, documenti e atti — mai colpe.</w:t>
      </w:r>
    </w:p>
    <w:p>
      <w:r>
        <w:br w:type="page"/>
      </w:r>
    </w:p>
    <w:p>
      <w:pPr>
        <w:pStyle w:val="Heading1"/>
        <w:spacing w:after="120" w:before="240"/>
      </w:pPr>
      <w:r>
        <w:rPr>
          <w:rFonts w:ascii="Barlow Semi Condensed" w:cs="Barlow Semi Condensed" w:eastAsia="Barlow Semi Condensed" w:hAnsi="Barlow Semi Condensed"/>
          <w:sz w:val="24"/>
          <w:szCs w:val="24"/>
        </w:rPr>
        <w:t xml:space="preserve">Libro undicesimo — Le responsabilità personali — I. Il principio personalistico</w:t>
      </w:r>
    </w:p>
    <w:p>
      <w:pPr>
        <w:pStyle w:val="Heading2"/>
        <w:spacing w:after="100" w:before="200"/>
      </w:pPr>
      <w:r>
        <w:rPr>
          <w:rFonts w:ascii="Barlow Semi Condensed" w:cs="Barlow Semi Condensed" w:eastAsia="Barlow Semi Condensed" w:hAnsi="Barlow Semi Condensed"/>
          <w:sz w:val="24"/>
          <w:szCs w:val="24"/>
        </w:rPr>
        <w:t xml:space="preserve">Fase decima — Il principio personalistico: la colpa non è mai del gruppo, ed è sempre della persona</w:t>
      </w:r>
    </w:p>
    <w:p>
      <w:pPr>
        <w:spacing w:after="120" w:line="276"/>
        <w:jc w:val="both"/>
      </w:pPr>
      <w:r>
        <w:rPr>
          <w:rFonts w:ascii="Barlow Semi Condensed" w:cs="Barlow Semi Condensed" w:eastAsia="Barlow Semi Condensed" w:hAnsi="Barlow Semi Condensed"/>
          <w:i/>
          <w:iCs/>
          <w:sz w:val="24"/>
          <w:szCs w:val="24"/>
        </w:rPr>
        <w:t xml:space="preserve">Ampliamento dell'opera — 25 agosto 2026 · Capitoli 77-82</w:t>
      </w:r>
    </w:p>
    <w:p>
      <w:pPr>
        <w:pBdr>
          <w:left w:val="single" w:color="1F3864" w:sz="18" w:space="8"/>
        </w:pBdr>
        <w:spacing w:after="80" w:before="80"/>
        <w:ind w:left="360" w:right="360"/>
        <w:jc w:val="both"/>
      </w:pPr>
      <w:r>
        <w:rPr>
          <w:rFonts w:ascii="Barlow Semi Condensed" w:cs="Barlow Semi Condensed" w:eastAsia="Barlow Semi Condensed" w:hAnsi="Barlow Semi Condensed"/>
          <w:b/>
          <w:bCs/>
          <w:i w:val="false"/>
          <w:iCs w:val="false"/>
          <w:sz w:val="24"/>
          <w:szCs w:val="24"/>
        </w:rPr>
        <w:t xml:space="preserve">Statuto della Fase decima.</w:t>
      </w:r>
      <w:r>
        <w:rPr>
          <w:rFonts w:ascii="Barlow Semi Condensed" w:cs="Barlow Semi Condensed" w:eastAsia="Barlow Semi Condensed" w:hAnsi="Barlow Semi Condensed"/>
          <w:i w:val="false"/>
          <w:iCs w:val="false"/>
          <w:sz w:val="24"/>
          <w:szCs w:val="24"/>
        </w:rPr>
        <w:t xml:space="preserve"> Le Fasi precedenti hanno costruito il pavimento del giudicato (settima), il ritratto dell'uomo (ottava) e il repertorio gradato del caso (nona). Questa Fase compie un passaggio che era implicito in tutte e che ora viene reso esplicito e sistematico: </w:t>
      </w:r>
      <w:r>
        <w:rPr>
          <w:rFonts w:ascii="Barlow Semi Condensed" w:cs="Barlow Semi Condensed" w:eastAsia="Barlow Semi Condensed" w:hAnsi="Barlow Semi Condensed"/>
          <w:b/>
          <w:bCs/>
          <w:i w:val="false"/>
          <w:iCs w:val="false"/>
          <w:sz w:val="24"/>
          <w:szCs w:val="24"/>
        </w:rPr>
        <w:t xml:space="preserve">la colpa non è mai del gruppo; è sempre, e soltanto, della persona.</w:t>
      </w:r>
      <w:r>
        <w:rPr>
          <w:rFonts w:ascii="Barlow Semi Condensed" w:cs="Barlow Semi Condensed" w:eastAsia="Barlow Semi Condensed" w:hAnsi="Barlow Semi Condensed"/>
          <w:i w:val="false"/>
          <w:iCs w:val="false"/>
          <w:sz w:val="24"/>
          <w:szCs w:val="24"/>
        </w:rPr>
        <w:t xml:space="preserve"> Dove l'opera ha scritto, per economia narrativa, «le Brigate Rosse organizzarono ed eseguirono», questa Fase stabilisce come quella formula vada letta, e la sostituisce — nel solo luogo in cui la sostituzione è lecita, cioè il registro del giudicato — con i </w:t>
      </w:r>
      <w:r>
        <w:rPr>
          <w:rFonts w:ascii="Barlow Semi Condensed" w:cs="Barlow Semi Condensed" w:eastAsia="Barlow Semi Condensed" w:hAnsi="Barlow Semi Condensed"/>
          <w:b/>
          <w:bCs/>
          <w:i w:val="false"/>
          <w:iCs w:val="false"/>
          <w:sz w:val="24"/>
          <w:szCs w:val="24"/>
        </w:rPr>
        <w:t xml:space="preserve">nomi delle persone singolarmente condannate, ciascuna per la propria condotta accertata</w:t>
      </w:r>
      <w:r>
        <w:rPr>
          <w:rFonts w:ascii="Barlow Semi Condensed" w:cs="Barlow Semi Condensed" w:eastAsia="Barlow Semi Condensed" w:hAnsi="Barlow Semi Condensed"/>
          <w:i w:val="false"/>
          <w:iCs w:val="false"/>
          <w:sz w:val="24"/>
          <w:szCs w:val="24"/>
        </w:rPr>
        <w:t xml:space="preserve">.  Il fondamento non è una preferenza stilistica: è l'</w:t>
      </w:r>
      <w:r>
        <w:rPr>
          <w:rFonts w:ascii="Barlow Semi Condensed" w:cs="Barlow Semi Condensed" w:eastAsia="Barlow Semi Condensed" w:hAnsi="Barlow Semi Condensed"/>
          <w:b/>
          <w:bCs/>
          <w:i w:val="false"/>
          <w:iCs w:val="false"/>
          <w:sz w:val="24"/>
          <w:szCs w:val="24"/>
        </w:rPr>
        <w:t xml:space="preserve">articolo 27, primo comma, della Costituzione</w:t>
      </w:r>
      <w:r>
        <w:rPr>
          <w:rFonts w:ascii="Barlow Semi Condensed" w:cs="Barlow Semi Condensed" w:eastAsia="Barlow Semi Condensed" w:hAnsi="Barlow Semi Condensed"/>
          <w:i w:val="false"/>
          <w:iCs w:val="false"/>
          <w:sz w:val="24"/>
          <w:szCs w:val="24"/>
        </w:rPr>
        <w:t xml:space="preserve"> — «La responsabilità penale è personale» — e l'istituto del </w:t>
      </w:r>
      <w:r>
        <w:rPr>
          <w:rFonts w:ascii="Barlow Semi Condensed" w:cs="Barlow Semi Condensed" w:eastAsia="Barlow Semi Condensed" w:hAnsi="Barlow Semi Condensed"/>
          <w:b/>
          <w:bCs/>
          <w:i w:val="false"/>
          <w:iCs w:val="false"/>
          <w:sz w:val="24"/>
          <w:szCs w:val="24"/>
        </w:rPr>
        <w:t xml:space="preserve">concorso di persone nel reato</w:t>
      </w:r>
      <w:r>
        <w:rPr>
          <w:rFonts w:ascii="Barlow Semi Condensed" w:cs="Barlow Semi Condensed" w:eastAsia="Barlow Semi Condensed" w:hAnsi="Barlow Semi Condensed"/>
          <w:i w:val="false"/>
          <w:iCs w:val="false"/>
          <w:sz w:val="24"/>
          <w:szCs w:val="24"/>
        </w:rPr>
        <w:t xml:space="preserve"> (art. 110 c.p.), che è esattamente il modo in cui l'ordinamento pensa un fatto commesso da più individui: non come colpa di un ente collettivo, ma come somma di condotte personali, ciascuna giudicata per sé. La regola dell'opera resta intera: </w:t>
      </w:r>
      <w:r>
        <w:rPr>
          <w:rFonts w:ascii="Barlow Semi Condensed" w:cs="Barlow Semi Condensed" w:eastAsia="Barlow Semi Condensed" w:hAnsi="Barlow Semi Condensed"/>
          <w:b/>
          <w:bCs/>
          <w:i w:val="false"/>
          <w:iCs w:val="false"/>
          <w:sz w:val="24"/>
          <w:szCs w:val="24"/>
        </w:rPr>
        <w:t xml:space="preserve">si nominano come responsabili solo coloro che una sentenza definitiva ha condannato</w:t>
      </w:r>
      <w:r>
        <w:rPr>
          <w:rFonts w:ascii="Barlow Semi Condensed" w:cs="Barlow Semi Condensed" w:eastAsia="Barlow Semi Condensed" w:hAnsi="Barlow Semi Condensed"/>
          <w:i w:val="false"/>
          <w:iCs w:val="false"/>
          <w:sz w:val="24"/>
          <w:szCs w:val="24"/>
        </w:rPr>
        <w:t xml:space="preserve">, e l'appartenenza a un'organizzazione — a una, o a più d'una — non è mai prova di una condotta.</w:t>
      </w:r>
    </w:p>
    <w:p>
      <w:pPr>
        <w:pBdr>
          <w:bottom w:val="single" w:color="999999" w:sz="6" w:space="1"/>
        </w:pBdr>
        <w:spacing w:after="80"/>
      </w:pPr>
    </w:p>
    <w:p>
      <w:pPr>
        <w:pStyle w:val="Heading1"/>
        <w:spacing w:after="120" w:before="240"/>
      </w:pPr>
      <w:r>
        <w:rPr>
          <w:rFonts w:ascii="Barlow Semi Condensed" w:cs="Barlow Semi Condensed" w:eastAsia="Barlow Semi Condensed" w:hAnsi="Barlow Semi Condensed"/>
          <w:sz w:val="24"/>
          <w:szCs w:val="24"/>
        </w:rPr>
        <w:t xml:space="preserve">Capitolo settantasettesimo — Il principio, e le due derive simmetriche che esso vieta</w:t>
      </w:r>
    </w:p>
    <w:p>
      <w:pPr>
        <w:spacing w:after="120" w:line="276"/>
        <w:jc w:val="both"/>
      </w:pPr>
      <w:r>
        <w:rPr>
          <w:rFonts w:ascii="Barlow Semi Condensed" w:cs="Barlow Semi Condensed" w:eastAsia="Barlow Semi Condensed" w:hAnsi="Barlow Semi Condensed"/>
          <w:sz w:val="24"/>
          <w:szCs w:val="24"/>
        </w:rPr>
        <w:t xml:space="preserve">Il principio personalistico taglia in due direzioni, e l'opera le deve vietare entrambe con la stessa forza, perché sono l'una lo specchio dell'altra.</w:t>
      </w:r>
    </w:p>
    <w:p>
      <w:pPr>
        <w:spacing w:after="120" w:line="276"/>
        <w:jc w:val="both"/>
      </w:pPr>
      <w:r>
        <w:rPr>
          <w:rFonts w:ascii="Barlow Semi Condensed" w:cs="Barlow Semi Condensed" w:eastAsia="Barlow Semi Condensed" w:hAnsi="Barlow Semi Condensed"/>
          <w:sz w:val="24"/>
          <w:szCs w:val="24"/>
        </w:rPr>
        <w:t xml:space="preserve">La </w:t>
      </w:r>
      <w:r>
        <w:rPr>
          <w:rFonts w:ascii="Barlow Semi Condensed" w:cs="Barlow Semi Condensed" w:eastAsia="Barlow Semi Condensed" w:hAnsi="Barlow Semi Condensed"/>
          <w:b/>
          <w:bCs/>
          <w:sz w:val="24"/>
          <w:szCs w:val="24"/>
        </w:rPr>
        <w:t xml:space="preserve">prima deriva è la colpa collettiva discendente</w:t>
      </w:r>
      <w:r>
        <w:rPr>
          <w:rFonts w:ascii="Barlow Semi Condensed" w:cs="Barlow Semi Condensed" w:eastAsia="Barlow Semi Condensed" w:hAnsi="Barlow Semi Condensed"/>
          <w:sz w:val="24"/>
          <w:szCs w:val="24"/>
        </w:rPr>
        <w:t xml:space="preserve">: dal gruppo al singolo. È il ragionamento che dice «apparteneva alle Brigate Rosse, dunque è corresponsabile di via Fani». È vietato, e l'opera lo vieta fin dalla prima pagina: </w:t>
      </w:r>
      <w:r>
        <w:rPr>
          <w:rFonts w:ascii="Barlow Semi Condensed" w:cs="Barlow Semi Condensed" w:eastAsia="Barlow Semi Condensed" w:hAnsi="Barlow Semi Condensed"/>
          <w:b/>
          <w:bCs/>
          <w:sz w:val="24"/>
          <w:szCs w:val="24"/>
        </w:rPr>
        <w:t xml:space="preserve">l'appartenenza non è condotta</w:t>
      </w:r>
      <w:r>
        <w:rPr>
          <w:rFonts w:ascii="Barlow Semi Condensed" w:cs="Barlow Semi Condensed" w:eastAsia="Barlow Semi Condensed" w:hAnsi="Barlow Semi Condensed"/>
          <w:sz w:val="24"/>
          <w:szCs w:val="24"/>
        </w:rPr>
        <w:t xml:space="preserve">. Dei sessantatré imputati del grande processo alle BR, molti furono condannati per </w:t>
      </w:r>
      <w:r>
        <w:rPr>
          <w:rFonts w:ascii="Barlow Semi Condensed" w:cs="Barlow Semi Condensed" w:eastAsia="Barlow Semi Condensed" w:hAnsi="Barlow Semi Condensed"/>
          <w:b/>
          <w:bCs/>
          <w:sz w:val="24"/>
          <w:szCs w:val="24"/>
        </w:rPr>
        <w:t xml:space="preserve">reati associativi</w:t>
      </w:r>
      <w:r>
        <w:rPr>
          <w:rFonts w:ascii="Barlow Semi Condensed" w:cs="Barlow Semi Condensed" w:eastAsia="Barlow Semi Condensed" w:hAnsi="Barlow Semi Condensed"/>
          <w:sz w:val="24"/>
          <w:szCs w:val="24"/>
        </w:rPr>
        <w:t xml:space="preserve"> — banda armata (art. 306 c.p.), associazione sovversiva (art. 270 c.p.) — e </w:t>
      </w:r>
      <w:r>
        <w:rPr>
          <w:rFonts w:ascii="Barlow Semi Condensed" w:cs="Barlow Semi Condensed" w:eastAsia="Barlow Semi Condensed" w:hAnsi="Barlow Semi Condensed"/>
          <w:i/>
          <w:iCs/>
          <w:sz w:val="24"/>
          <w:szCs w:val="24"/>
        </w:rPr>
        <w:t xml:space="preserve">non</w:t>
      </w:r>
      <w:r>
        <w:rPr>
          <w:rFonts w:ascii="Barlow Semi Condensed" w:cs="Barlow Semi Condensed" w:eastAsia="Barlow Semi Condensed" w:hAnsi="Barlow Semi Condensed"/>
          <w:sz w:val="24"/>
          <w:szCs w:val="24"/>
        </w:rPr>
        <w:t xml:space="preserve"> per l'operazione Moro: la partecipazione alla banda è essa stessa un reato, ma è un </w:t>
      </w:r>
      <w:r>
        <w:rPr>
          <w:rFonts w:ascii="Barlow Semi Condensed" w:cs="Barlow Semi Condensed" w:eastAsia="Barlow Semi Condensed" w:hAnsi="Barlow Semi Condensed"/>
          <w:b/>
          <w:bCs/>
          <w:sz w:val="24"/>
          <w:szCs w:val="24"/>
        </w:rPr>
        <w:t xml:space="preserve">reato proprio della persona</w:t>
      </w:r>
      <w:r>
        <w:rPr>
          <w:rFonts w:ascii="Barlow Semi Condensed" w:cs="Barlow Semi Condensed" w:eastAsia="Barlow Semi Condensed" w:hAnsi="Barlow Semi Condensed"/>
          <w:sz w:val="24"/>
          <w:szCs w:val="24"/>
        </w:rPr>
        <w:t xml:space="preserve"> (la condotta individuale di parteciparvi), e la condanna per esso </w:t>
      </w:r>
      <w:r>
        <w:rPr>
          <w:rFonts w:ascii="Barlow Semi Condensed" w:cs="Barlow Semi Condensed" w:eastAsia="Barlow Semi Condensed" w:hAnsi="Barlow Semi Condensed"/>
          <w:b/>
          <w:bCs/>
          <w:sz w:val="24"/>
          <w:szCs w:val="24"/>
        </w:rPr>
        <w:t xml:space="preserve">non equivale</w:t>
      </w:r>
      <w:r>
        <w:rPr>
          <w:rFonts w:ascii="Barlow Semi Condensed" w:cs="Barlow Semi Condensed" w:eastAsia="Barlow Semi Condensed" w:hAnsi="Barlow Semi Condensed"/>
          <w:sz w:val="24"/>
          <w:szCs w:val="24"/>
        </w:rPr>
        <w:t xml:space="preserve"> alla condanna per l'agguato, per il sequestro o per l'omicidio. Chi ricopia l'elenco dei trentadue ergastoli del 24 gennaio 1983 come se fosse «l'elenco dei responsabili del caso Moro» commette precisamente questo errore: quel processo, che unificò i tronconi Moro uno e Moro bis davanti alla I Corte d'assise di Roma (presidente Severino Santiapichi), giudicò </w:t>
      </w:r>
      <w:r>
        <w:rPr>
          <w:rFonts w:ascii="Barlow Semi Condensed" w:cs="Barlow Semi Condensed" w:eastAsia="Barlow Semi Condensed" w:hAnsi="Barlow Semi Condensed"/>
          <w:b/>
          <w:bCs/>
          <w:sz w:val="24"/>
          <w:szCs w:val="24"/>
        </w:rPr>
        <w:t xml:space="preserve">l'intera stagione di una organizzazione armata</w:t>
      </w:r>
      <w:r>
        <w:rPr>
          <w:rFonts w:ascii="Barlow Semi Condensed" w:cs="Barlow Semi Condensed" w:eastAsia="Barlow Semi Condensed" w:hAnsi="Barlow Semi Condensed"/>
          <w:sz w:val="24"/>
          <w:szCs w:val="24"/>
        </w:rPr>
        <w:t xml:space="preserve">, non la sola operazione Moro — e dentro quell'elenco convivono condotte diversissime, ciascuna con la propria sentenza (Tesionline, cronologia della sentenza (https://www.tesionline.it/news/cronologia.jsp?evid=2878); Il Sole 24 Ore, «Quattro processi per la verità giudiziaria» (https://st.ilsole24ore.com/art/SoleOnLine4/Italia/2008/03/Caso-Moro-quattro-processi_PRN.shtml)).</w:t>
      </w:r>
    </w:p>
    <w:p>
      <w:pPr>
        <w:spacing w:after="120" w:line="276"/>
        <w:jc w:val="both"/>
      </w:pPr>
      <w:r>
        <w:rPr>
          <w:rFonts w:ascii="Barlow Semi Condensed" w:cs="Barlow Semi Condensed" w:eastAsia="Barlow Semi Condensed" w:hAnsi="Barlow Semi Condensed"/>
          <w:sz w:val="24"/>
          <w:szCs w:val="24"/>
        </w:rPr>
        <w:t xml:space="preserve">La </w:t>
      </w:r>
      <w:r>
        <w:rPr>
          <w:rFonts w:ascii="Barlow Semi Condensed" w:cs="Barlow Semi Condensed" w:eastAsia="Barlow Semi Condensed" w:hAnsi="Barlow Semi Condensed"/>
          <w:b/>
          <w:bCs/>
          <w:sz w:val="24"/>
          <w:szCs w:val="24"/>
        </w:rPr>
        <w:t xml:space="preserve">seconda deriva è la deresponsabilizzazione collettiva ascendente</w:t>
      </w:r>
      <w:r>
        <w:rPr>
          <w:rFonts w:ascii="Barlow Semi Condensed" w:cs="Barlow Semi Condensed" w:eastAsia="Barlow Semi Condensed" w:hAnsi="Barlow Semi Condensed"/>
          <w:sz w:val="24"/>
          <w:szCs w:val="24"/>
        </w:rPr>
        <w:t xml:space="preserve">: dal singolo al gruppo. È il ragionamento — più sottile, e caro a una certa memorialistica — che dice «fu l'organizzazione a decidere», «la colonna eseguì», «le BR uccisero», come se la colpa, salendo al collettivo, evaporasse dalle persone. Anche questo è vietato. </w:t>
      </w:r>
      <w:r>
        <w:rPr>
          <w:rFonts w:ascii="Barlow Semi Condensed" w:cs="Barlow Semi Condensed" w:eastAsia="Barlow Semi Condensed" w:hAnsi="Barlow Semi Condensed"/>
          <w:b/>
          <w:bCs/>
          <w:sz w:val="24"/>
          <w:szCs w:val="24"/>
        </w:rPr>
        <w:t xml:space="preserve">Il gruppo non è un soggetto morale che possa assorbire la colpa dei suoi membri.</w:t>
      </w:r>
      <w:r>
        <w:rPr>
          <w:rFonts w:ascii="Barlow Semi Condensed" w:cs="Barlow Semi Condensed" w:eastAsia="Barlow Semi Condensed" w:hAnsi="Barlow Semi Condensed"/>
          <w:sz w:val="24"/>
          <w:szCs w:val="24"/>
        </w:rPr>
        <w:t xml:space="preserve"> Nessuno dei condannati del caso Moro è stato condannato «in quanto brigatista»: ciascuno è stato condannato </w:t>
      </w:r>
      <w:r>
        <w:rPr>
          <w:rFonts w:ascii="Barlow Semi Condensed" w:cs="Barlow Semi Condensed" w:eastAsia="Barlow Semi Condensed" w:hAnsi="Barlow Semi Condensed"/>
          <w:b/>
          <w:bCs/>
          <w:sz w:val="24"/>
          <w:szCs w:val="24"/>
        </w:rPr>
        <w:t xml:space="preserve">per ciò che ha fatto</w:t>
      </w:r>
      <w:r>
        <w:rPr>
          <w:rFonts w:ascii="Barlow Semi Condensed" w:cs="Barlow Semi Condensed" w:eastAsia="Barlow Semi Condensed" w:hAnsi="Barlow Semi Condensed"/>
          <w:sz w:val="24"/>
          <w:szCs w:val="24"/>
        </w:rPr>
        <w:t xml:space="preserve"> — per aver diretto, sparato, guidato, custodito, predisposto. La formula «le BR hanno ucciso Moro» è vera come descrizione storica di un atto rivendicato da un'organizzazione; è </w:t>
      </w:r>
      <w:r>
        <w:rPr>
          <w:rFonts w:ascii="Barlow Semi Condensed" w:cs="Barlow Semi Condensed" w:eastAsia="Barlow Semi Condensed" w:hAnsi="Barlow Semi Condensed"/>
          <w:b/>
          <w:bCs/>
          <w:sz w:val="24"/>
          <w:szCs w:val="24"/>
        </w:rPr>
        <w:t xml:space="preserve">falsa come attribuzione di colpa</w:t>
      </w:r>
      <w:r>
        <w:rPr>
          <w:rFonts w:ascii="Barlow Semi Condensed" w:cs="Barlow Semi Condensed" w:eastAsia="Barlow Semi Condensed" w:hAnsi="Barlow Semi Condensed"/>
          <w:sz w:val="24"/>
          <w:szCs w:val="24"/>
        </w:rPr>
        <w:t xml:space="preserve">, perché la colpa non ha mai avuto quella forma: ha avuto la forma di sentenze pronunciate contro persone con nome e cognome.</w:t>
      </w:r>
    </w:p>
    <w:p>
      <w:pPr>
        <w:spacing w:after="120" w:line="276"/>
        <w:jc w:val="both"/>
      </w:pPr>
      <w:r>
        <w:rPr>
          <w:rFonts w:ascii="Barlow Semi Condensed" w:cs="Barlow Semi Condensed" w:eastAsia="Barlow Semi Condensed" w:hAnsi="Barlow Semi Condensed"/>
          <w:sz w:val="24"/>
          <w:szCs w:val="24"/>
        </w:rPr>
        <w:t xml:space="preserve">Questa Fase, dunque, </w:t>
      </w:r>
      <w:r>
        <w:rPr>
          <w:rFonts w:ascii="Barlow Semi Condensed" w:cs="Barlow Semi Condensed" w:eastAsia="Barlow Semi Condensed" w:hAnsi="Barlow Semi Condensed"/>
          <w:b/>
          <w:bCs/>
          <w:sz w:val="24"/>
          <w:szCs w:val="24"/>
        </w:rPr>
        <w:t xml:space="preserve">elimina le colpe dei gruppi</w:t>
      </w:r>
      <w:r>
        <w:rPr>
          <w:rFonts w:ascii="Barlow Semi Condensed" w:cs="Barlow Semi Condensed" w:eastAsia="Barlow Semi Condensed" w:hAnsi="Barlow Semi Condensed"/>
          <w:sz w:val="24"/>
          <w:szCs w:val="24"/>
        </w:rPr>
        <w:t xml:space="preserve"> — in entrambe le direzioni — e </w:t>
      </w:r>
      <w:r>
        <w:rPr>
          <w:rFonts w:ascii="Barlow Semi Condensed" w:cs="Barlow Semi Condensed" w:eastAsia="Barlow Semi Condensed" w:hAnsi="Barlow Semi Condensed"/>
          <w:b/>
          <w:bCs/>
          <w:sz w:val="24"/>
          <w:szCs w:val="24"/>
        </w:rPr>
        <w:t xml:space="preserve">inserisce quelle dei singoli</w:t>
      </w:r>
      <w:r>
        <w:rPr>
          <w:rFonts w:ascii="Barlow Semi Condensed" w:cs="Barlow Semi Condensed" w:eastAsia="Barlow Semi Condensed" w:hAnsi="Barlow Semi Condensed"/>
          <w:sz w:val="24"/>
          <w:szCs w:val="24"/>
        </w:rPr>
        <w:t xml:space="preserve">: che è ciò che il giudicato ha sempre fatto, e che l'opera ora recepisce come suo protocollo esplicito.</w:t>
      </w:r>
    </w:p>
    <w:p>
      <w:pPr>
        <w:pStyle w:val="Heading1"/>
        <w:spacing w:after="120" w:before="240"/>
      </w:pPr>
      <w:r>
        <w:rPr>
          <w:rFonts w:ascii="Barlow Semi Condensed" w:cs="Barlow Semi Condensed" w:eastAsia="Barlow Semi Condensed" w:hAnsi="Barlow Semi Condensed"/>
          <w:sz w:val="24"/>
          <w:szCs w:val="24"/>
        </w:rPr>
        <w:t xml:space="preserve">Capitolo settantottesimo — La nota di lettura valida per l'intera opera</w:t>
      </w:r>
    </w:p>
    <w:p>
      <w:pPr>
        <w:spacing w:after="120" w:line="276"/>
        <w:jc w:val="both"/>
      </w:pPr>
      <w:r>
        <w:rPr>
          <w:rFonts w:ascii="Barlow Semi Condensed" w:cs="Barlow Semi Condensed" w:eastAsia="Barlow Semi Condensed" w:hAnsi="Barlow Semi Condensed"/>
          <w:sz w:val="24"/>
          <w:szCs w:val="24"/>
        </w:rPr>
        <w:t xml:space="preserve">Da questa Fase in avanti — e retroattivamente, per ogni pagina già scritta del corpus — vale la seguente </w:t>
      </w:r>
      <w:r>
        <w:rPr>
          <w:rFonts w:ascii="Barlow Semi Condensed" w:cs="Barlow Semi Condensed" w:eastAsia="Barlow Semi Condensed" w:hAnsi="Barlow Semi Condensed"/>
          <w:b/>
          <w:bCs/>
          <w:sz w:val="24"/>
          <w:szCs w:val="24"/>
        </w:rPr>
        <w:t xml:space="preserve">nota di lettura</w:t>
      </w:r>
      <w:r>
        <w:rPr>
          <w:rFonts w:ascii="Barlow Semi Condensed" w:cs="Barlow Semi Condensed" w:eastAsia="Barlow Semi Condensed" w:hAnsi="Barlow Semi Condensed"/>
          <w:sz w:val="24"/>
          <w:szCs w:val="24"/>
        </w:rPr>
        <w:t xml:space="preserve">, che ha lo stesso rango delle note di revisione con cui l'opera ha sempre corretto se stessa senza riscritture silenziose:</w:t>
      </w:r>
    </w:p>
    <w:p>
      <w:pPr>
        <w:spacing w:after="40"/>
        <w:ind w:left="360"/>
        <w:jc w:val="both"/>
      </w:pPr>
      <w:r>
        <w:rPr>
          <w:rFonts w:ascii="Barlow Semi Condensed" w:cs="Barlow Semi Condensed" w:eastAsia="Barlow Semi Condensed" w:hAnsi="Barlow Semi Condensed"/>
          <w:sz w:val="24"/>
          <w:szCs w:val="24"/>
        </w:rPr>
        <w:t xml:space="preserve">1. </w:t>
      </w:r>
      <w:r>
        <w:rPr>
          <w:rFonts w:ascii="Barlow Semi Condensed" w:cs="Barlow Semi Condensed" w:eastAsia="Barlow Semi Condensed" w:hAnsi="Barlow Semi Condensed"/>
          <w:b/>
          <w:bCs/>
          <w:sz w:val="24"/>
          <w:szCs w:val="24"/>
        </w:rPr>
        <w:t xml:space="preserve">Dove l'opera scrive «le Brigate Rosse» come autore di un fatto criminoso</w:t>
      </w:r>
      <w:r>
        <w:rPr>
          <w:rFonts w:ascii="Barlow Semi Condensed" w:cs="Barlow Semi Condensed" w:eastAsia="Barlow Semi Condensed" w:hAnsi="Barlow Semi Condensed"/>
          <w:sz w:val="24"/>
          <w:szCs w:val="24"/>
        </w:rPr>
        <w:t xml:space="preserve"> (l'agguato, il sequestro, l'omicidio), la formula va letta come abbreviazione storiografica di: «</w:t>
      </w:r>
      <w:r>
        <w:rPr>
          <w:rFonts w:ascii="Barlow Semi Condensed" w:cs="Barlow Semi Condensed" w:eastAsia="Barlow Semi Condensed" w:hAnsi="Barlow Semi Condensed"/>
          <w:b/>
          <w:bCs/>
          <w:sz w:val="24"/>
          <w:szCs w:val="24"/>
        </w:rPr>
        <w:t xml:space="preserve">le persone singolarmente condannate in via definitiva per quel fatto</w:t>
      </w:r>
      <w:r>
        <w:rPr>
          <w:rFonts w:ascii="Barlow Semi Condensed" w:cs="Barlow Semi Condensed" w:eastAsia="Barlow Semi Condensed" w:hAnsi="Barlow Semi Condensed"/>
          <w:sz w:val="24"/>
          <w:szCs w:val="24"/>
        </w:rPr>
        <w:t xml:space="preserve">, elencate nel registro del capitolo settantanovesimo, ciascuna per la condotta ivi indicata».</w:t>
      </w:r>
    </w:p>
    <w:p>
      <w:pPr>
        <w:spacing w:after="40"/>
        <w:ind w:left="360"/>
        <w:jc w:val="both"/>
      </w:pPr>
      <w:r>
        <w:rPr>
          <w:rFonts w:ascii="Barlow Semi Condensed" w:cs="Barlow Semi Condensed" w:eastAsia="Barlow Semi Condensed" w:hAnsi="Barlow Semi Condensed"/>
          <w:sz w:val="24"/>
          <w:szCs w:val="24"/>
        </w:rPr>
        <w:t xml:space="preserve">2. </w:t>
      </w:r>
      <w:r>
        <w:rPr>
          <w:rFonts w:ascii="Barlow Semi Condensed" w:cs="Barlow Semi Condensed" w:eastAsia="Barlow Semi Condensed" w:hAnsi="Barlow Semi Condensed"/>
          <w:b/>
          <w:bCs/>
          <w:sz w:val="24"/>
          <w:szCs w:val="24"/>
        </w:rPr>
        <w:t xml:space="preserve">Gli atti collettivi documentati dell'organizzazione restano fatti dell'organizzazione</w:t>
      </w:r>
      <w:r>
        <w:rPr>
          <w:rFonts w:ascii="Barlow Semi Condensed" w:cs="Barlow Semi Condensed" w:eastAsia="Barlow Semi Condensed" w:hAnsi="Barlow Semi Condensed"/>
          <w:sz w:val="24"/>
          <w:szCs w:val="24"/>
        </w:rPr>
        <w:t xml:space="preserve">: i nove comunicati e il falso n. 7, la rivendicazione, la sigla. Un comunicato è un atto collettivo accertato (grado A quanto alla sua esistenza e provenienza); ma la responsabilità penale della sua produzione e di ciò che annuncia è stata giudicata </w:t>
      </w:r>
      <w:r>
        <w:rPr>
          <w:rFonts w:ascii="Barlow Semi Condensed" w:cs="Barlow Semi Condensed" w:eastAsia="Barlow Semi Condensed" w:hAnsi="Barlow Semi Condensed"/>
          <w:b/>
          <w:bCs/>
          <w:sz w:val="24"/>
          <w:szCs w:val="24"/>
        </w:rPr>
        <w:t xml:space="preserve">persona per persona</w:t>
      </w:r>
      <w:r>
        <w:rPr>
          <w:rFonts w:ascii="Barlow Semi Condensed" w:cs="Barlow Semi Condensed" w:eastAsia="Barlow Semi Condensed" w:hAnsi="Barlow Semi Condensed"/>
          <w:sz w:val="24"/>
          <w:szCs w:val="24"/>
        </w:rPr>
        <w:t xml:space="preserve">.</w:t>
      </w:r>
    </w:p>
    <w:p>
      <w:pPr>
        <w:spacing w:after="40"/>
        <w:ind w:left="360"/>
        <w:jc w:val="both"/>
      </w:pPr>
      <w:r>
        <w:rPr>
          <w:rFonts w:ascii="Barlow Semi Condensed" w:cs="Barlow Semi Condensed" w:eastAsia="Barlow Semi Condensed" w:hAnsi="Barlow Semi Condensed"/>
          <w:sz w:val="24"/>
          <w:szCs w:val="24"/>
        </w:rPr>
        <w:t xml:space="preserve">3. </w:t>
      </w:r>
      <w:r>
        <w:rPr>
          <w:rFonts w:ascii="Barlow Semi Condensed" w:cs="Barlow Semi Condensed" w:eastAsia="Barlow Semi Condensed" w:hAnsi="Barlow Semi Condensed"/>
          <w:b/>
          <w:bCs/>
          <w:sz w:val="24"/>
          <w:szCs w:val="24"/>
        </w:rPr>
        <w:t xml:space="preserve">Nessuna proprietà del gruppo si trasmette ai membri, e nessuna colpa dei membri si trasmette al gruppo o agli altri membri.</w:t>
      </w:r>
      <w:r>
        <w:rPr>
          <w:rFonts w:ascii="Barlow Semi Condensed" w:cs="Barlow Semi Condensed" w:eastAsia="Barlow Semi Condensed" w:hAnsi="Barlow Semi Condensed"/>
          <w:sz w:val="24"/>
          <w:szCs w:val="24"/>
        </w:rPr>
        <w:t xml:space="preserve"> Chi era brigatista e non fu condannato per il caso Moro non c'entra col caso Moro, quale che sia il giudizio storico o morale sulla sua militanza — che è altra cosa, e ha altre sedi.</w:t>
      </w:r>
    </w:p>
    <w:p>
      <w:pPr>
        <w:spacing w:after="40"/>
        <w:ind w:left="360"/>
        <w:jc w:val="both"/>
      </w:pPr>
      <w:r>
        <w:rPr>
          <w:rFonts w:ascii="Barlow Semi Condensed" w:cs="Barlow Semi Condensed" w:eastAsia="Barlow Semi Condensed" w:hAnsi="Barlow Semi Condensed"/>
          <w:sz w:val="24"/>
          <w:szCs w:val="24"/>
        </w:rPr>
        <w:t xml:space="preserve">4. La stessa lettura vale per </w:t>
      </w:r>
      <w:r>
        <w:rPr>
          <w:rFonts w:ascii="Barlow Semi Condensed" w:cs="Barlow Semi Condensed" w:eastAsia="Barlow Semi Condensed" w:hAnsi="Barlow Semi Condensed"/>
          <w:b/>
          <w:bCs/>
          <w:sz w:val="24"/>
          <w:szCs w:val="24"/>
        </w:rPr>
        <w:t xml:space="preserve">ogni altro gruppo</w:t>
      </w:r>
      <w:r>
        <w:rPr>
          <w:rFonts w:ascii="Barlow Semi Condensed" w:cs="Barlow Semi Condensed" w:eastAsia="Barlow Semi Condensed" w:hAnsi="Barlow Semi Condensed"/>
          <w:sz w:val="24"/>
          <w:szCs w:val="24"/>
        </w:rPr>
        <w:t xml:space="preserve"> nominato nel corpus — i GAP, il Superclan, Hyperion, i Lupi Grigi delle ricognizioni turche, l'Opus Dei dei versanti mediterranei: </w:t>
      </w:r>
      <w:r>
        <w:rPr>
          <w:rFonts w:ascii="Barlow Semi Condensed" w:cs="Barlow Semi Condensed" w:eastAsia="Barlow Semi Condensed" w:hAnsi="Barlow Semi Condensed"/>
          <w:b/>
          <w:bCs/>
          <w:sz w:val="24"/>
          <w:szCs w:val="24"/>
        </w:rPr>
        <w:t xml:space="preserve">mai</w:t>
      </w:r>
      <w:r>
        <w:rPr>
          <w:rFonts w:ascii="Barlow Semi Condensed" w:cs="Barlow Semi Condensed" w:eastAsia="Barlow Semi Condensed" w:hAnsi="Barlow Semi Condensed"/>
          <w:sz w:val="24"/>
          <w:szCs w:val="24"/>
        </w:rPr>
        <w:t xml:space="preserve"> un'attribuzione di condotta all'ente come veicolo di colpa delle persone, </w:t>
      </w:r>
      <w:r>
        <w:rPr>
          <w:rFonts w:ascii="Barlow Semi Condensed" w:cs="Barlow Semi Condensed" w:eastAsia="Barlow Semi Condensed" w:hAnsi="Barlow Semi Condensed"/>
          <w:b/>
          <w:bCs/>
          <w:sz w:val="24"/>
          <w:szCs w:val="24"/>
        </w:rPr>
        <w:t xml:space="preserve">mai</w:t>
      </w:r>
      <w:r>
        <w:rPr>
          <w:rFonts w:ascii="Barlow Semi Condensed" w:cs="Barlow Semi Condensed" w:eastAsia="Barlow Semi Condensed" w:hAnsi="Barlow Semi Condensed"/>
          <w:sz w:val="24"/>
          <w:szCs w:val="24"/>
        </w:rPr>
        <w:t xml:space="preserve"> un'appartenenza come prova.</w:t>
      </w:r>
    </w:p>
    <w:p>
      <w:pPr>
        <w:pStyle w:val="Heading1"/>
        <w:spacing w:after="120" w:before="240"/>
      </w:pPr>
      <w:r>
        <w:rPr>
          <w:rFonts w:ascii="Barlow Semi Condensed" w:cs="Barlow Semi Condensed" w:eastAsia="Barlow Semi Condensed" w:hAnsi="Barlow Semi Condensed"/>
          <w:sz w:val="24"/>
          <w:szCs w:val="24"/>
        </w:rPr>
        <w:t xml:space="preserve">Capitolo settantanovesimo — Il registro nominativo delle responsabilità personali (grado A · giudicato)</w:t>
      </w:r>
    </w:p>
    <w:p>
      <w:pPr>
        <w:spacing w:after="120" w:line="276"/>
        <w:jc w:val="both"/>
      </w:pPr>
      <w:r>
        <w:rPr>
          <w:rFonts w:ascii="Barlow Semi Condensed" w:cs="Barlow Semi Condensed" w:eastAsia="Barlow Semi Condensed" w:hAnsi="Barlow Semi Condensed"/>
          <w:sz w:val="24"/>
          <w:szCs w:val="24"/>
        </w:rPr>
        <w:t xml:space="preserve">Questo è il cuore della Fase: le persone la cui responsabilità nel caso Moro è stata accertata da </w:t>
      </w:r>
      <w:r>
        <w:rPr>
          <w:rFonts w:ascii="Barlow Semi Condensed" w:cs="Barlow Semi Condensed" w:eastAsia="Barlow Semi Condensed" w:hAnsi="Barlow Semi Condensed"/>
          <w:b/>
          <w:bCs/>
          <w:sz w:val="24"/>
          <w:szCs w:val="24"/>
        </w:rPr>
        <w:t xml:space="preserve">sentenza definitiva</w:t>
      </w:r>
      <w:r>
        <w:rPr>
          <w:rFonts w:ascii="Barlow Semi Condensed" w:cs="Barlow Semi Condensed" w:eastAsia="Barlow Semi Condensed" w:hAnsi="Barlow Semi Condensed"/>
          <w:sz w:val="24"/>
          <w:szCs w:val="24"/>
        </w:rPr>
        <w:t xml:space="preserve">, ciascuna con la </w:t>
      </w:r>
      <w:r>
        <w:rPr>
          <w:rFonts w:ascii="Barlow Semi Condensed" w:cs="Barlow Semi Condensed" w:eastAsia="Barlow Semi Condensed" w:hAnsi="Barlow Semi Condensed"/>
          <w:b/>
          <w:bCs/>
          <w:sz w:val="24"/>
          <w:szCs w:val="24"/>
        </w:rPr>
        <w:t xml:space="preserve">propria</w:t>
      </w:r>
      <w:r>
        <w:rPr>
          <w:rFonts w:ascii="Barlow Semi Condensed" w:cs="Barlow Semi Condensed" w:eastAsia="Barlow Semi Condensed" w:hAnsi="Barlow Semi Condensed"/>
          <w:sz w:val="24"/>
          <w:szCs w:val="24"/>
        </w:rPr>
        <w:t xml:space="preserve"> condotta — non un elenco di gruppo, ma tredici giudizi individuali. Le pene si indicano solo dove verificate; l'appartenenza è riportata come </w:t>
      </w:r>
      <w:r>
        <w:rPr>
          <w:rFonts w:ascii="Barlow Semi Condensed" w:cs="Barlow Semi Condensed" w:eastAsia="Barlow Semi Condensed" w:hAnsi="Barlow Semi Condensed"/>
          <w:b/>
          <w:bCs/>
          <w:sz w:val="24"/>
          <w:szCs w:val="24"/>
        </w:rPr>
        <w:t xml:space="preserve">fatto biografico</w:t>
      </w:r>
      <w:r>
        <w:rPr>
          <w:rFonts w:ascii="Barlow Semi Condensed" w:cs="Barlow Semi Condensed" w:eastAsia="Barlow Semi Condensed" w:hAnsi="Barlow Semi Condensed"/>
          <w:sz w:val="24"/>
          <w:szCs w:val="24"/>
        </w:rPr>
        <w:t xml:space="preserve"> (grado F), mai come fondamento della responsabilità, che sta tutta nella colonna della condotta.</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c>
          <w:tcPr>
            <w:tcW w:type="dxa" w:w="312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Persona</w:t>
            </w:r>
          </w:p>
        </w:tc>
        <w:tc>
          <w:tcPr>
            <w:tcW w:type="dxa" w:w="312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Condotta accertata in giudicato (personale)</w:t>
            </w:r>
          </w:p>
        </w:tc>
        <w:tc>
          <w:tcPr>
            <w:tcW w:type="dxa" w:w="312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Processo e definitività</w:t>
            </w:r>
          </w:p>
        </w:tc>
      </w:tr>
      <w:tr>
        <w:tc>
          <w:tcPr>
            <w:tcW w:type="dxa" w:w="3120"/>
          </w:tcPr>
          <w:p>
            <w:pPr>
              <w:spacing w:after="20" w:before="20"/>
              <w:jc w:val="both"/>
            </w:pPr>
            <w:r>
              <w:rPr>
                <w:rFonts w:ascii="Barlow Semi Condensed" w:cs="Barlow Semi Condensed" w:eastAsia="Barlow Semi Condensed" w:hAnsi="Barlow Semi Condensed"/>
                <w:b/>
                <w:bCs/>
                <w:sz w:val="20"/>
                <w:szCs w:val="20"/>
              </w:rPr>
              <w:t xml:space="preserve">Mario Moretti</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Direzione dell'operazione ed esecuzione materiale dell'omicidio (per sua ammissione, recepita dal giudicato). Ergastolo</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Moro uno/bis (I Assise Roma, 24/1/1983); definitivo con l'esaurimento dei gradi (1985)</w:t>
            </w:r>
          </w:p>
        </w:tc>
      </w:tr>
      <w:tr>
        <w:tc>
          <w:tcPr>
            <w:tcW w:type="dxa" w:w="3120"/>
          </w:tcPr>
          <w:p>
            <w:pPr>
              <w:spacing w:after="20" w:before="20"/>
              <w:jc w:val="both"/>
            </w:pPr>
            <w:r>
              <w:rPr>
                <w:rFonts w:ascii="Barlow Semi Condensed" w:cs="Barlow Semi Condensed" w:eastAsia="Barlow Semi Condensed" w:hAnsi="Barlow Semi Condensed"/>
                <w:b/>
                <w:bCs/>
                <w:sz w:val="20"/>
                <w:szCs w:val="20"/>
              </w:rPr>
              <w:t xml:space="preserve">Prospero Gallinari</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Componente del commando di via Fani e della gestione della prigionia</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Moro uno/bis; definitivo 1985</w:t>
            </w:r>
          </w:p>
        </w:tc>
      </w:tr>
      <w:tr>
        <w:tc>
          <w:tcPr>
            <w:tcW w:type="dxa" w:w="3120"/>
          </w:tcPr>
          <w:p>
            <w:pPr>
              <w:spacing w:after="20" w:before="20"/>
              <w:jc w:val="both"/>
            </w:pPr>
            <w:r>
              <w:rPr>
                <w:rFonts w:ascii="Barlow Semi Condensed" w:cs="Barlow Semi Condensed" w:eastAsia="Barlow Semi Condensed" w:hAnsi="Barlow Semi Condensed"/>
                <w:b/>
                <w:bCs/>
                <w:sz w:val="20"/>
                <w:szCs w:val="20"/>
              </w:rPr>
              <w:t xml:space="preserve">Valerio Morucci</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Componente del commando di via Fani</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Moro uno/bis; definitivo 1985</w:t>
            </w:r>
          </w:p>
        </w:tc>
      </w:tr>
      <w:tr>
        <w:tc>
          <w:tcPr>
            <w:tcW w:type="dxa" w:w="3120"/>
          </w:tcPr>
          <w:p>
            <w:pPr>
              <w:spacing w:after="20" w:before="20"/>
              <w:jc w:val="both"/>
            </w:pPr>
            <w:r>
              <w:rPr>
                <w:rFonts w:ascii="Barlow Semi Condensed" w:cs="Barlow Semi Condensed" w:eastAsia="Barlow Semi Condensed" w:hAnsi="Barlow Semi Condensed"/>
                <w:b/>
                <w:bCs/>
                <w:sz w:val="20"/>
                <w:szCs w:val="20"/>
              </w:rPr>
              <w:t xml:space="preserve">Adriana Faranda</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Concorso nella gestione del sequestro (non presente in via Fani)</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Moro uno/bis; definitivo 1985</w:t>
            </w:r>
          </w:p>
        </w:tc>
      </w:tr>
      <w:tr>
        <w:tc>
          <w:tcPr>
            <w:tcW w:type="dxa" w:w="3120"/>
          </w:tcPr>
          <w:p>
            <w:pPr>
              <w:spacing w:after="20" w:before="20"/>
              <w:jc w:val="both"/>
            </w:pPr>
            <w:r>
              <w:rPr>
                <w:rFonts w:ascii="Barlow Semi Condensed" w:cs="Barlow Semi Condensed" w:eastAsia="Barlow Semi Condensed" w:hAnsi="Barlow Semi Condensed"/>
                <w:b/>
                <w:bCs/>
                <w:sz w:val="20"/>
                <w:szCs w:val="20"/>
              </w:rPr>
              <w:t xml:space="preserve">Raffaele Fiore</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Componente del commando di via Fani</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Moro uno/bis; definitivo 1985</w:t>
            </w:r>
          </w:p>
        </w:tc>
      </w:tr>
      <w:tr>
        <w:tc>
          <w:tcPr>
            <w:tcW w:type="dxa" w:w="3120"/>
          </w:tcPr>
          <w:p>
            <w:pPr>
              <w:spacing w:after="20" w:before="20"/>
              <w:jc w:val="both"/>
            </w:pPr>
            <w:r>
              <w:rPr>
                <w:rFonts w:ascii="Barlow Semi Condensed" w:cs="Barlow Semi Condensed" w:eastAsia="Barlow Semi Condensed" w:hAnsi="Barlow Semi Condensed"/>
                <w:b/>
                <w:bCs/>
                <w:sz w:val="20"/>
                <w:szCs w:val="20"/>
              </w:rPr>
              <w:t xml:space="preserve">Franco Bonisoli</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Componente del commando di via Fani</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Moro uno/bis; definitivo 1985</w:t>
            </w:r>
          </w:p>
        </w:tc>
      </w:tr>
      <w:tr>
        <w:tc>
          <w:tcPr>
            <w:tcW w:type="dxa" w:w="3120"/>
          </w:tcPr>
          <w:p>
            <w:pPr>
              <w:spacing w:after="20" w:before="20"/>
              <w:jc w:val="both"/>
            </w:pPr>
            <w:r>
              <w:rPr>
                <w:rFonts w:ascii="Barlow Semi Condensed" w:cs="Barlow Semi Condensed" w:eastAsia="Barlow Semi Condensed" w:hAnsi="Barlow Semi Condensed"/>
                <w:b/>
                <w:bCs/>
                <w:sz w:val="20"/>
                <w:szCs w:val="20"/>
              </w:rPr>
              <w:t xml:space="preserve">Barbara Balzerani</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Componente del commando di via Fani e della gestione del sequestro</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Moro uno/bis; definitivo 1985</w:t>
            </w:r>
          </w:p>
        </w:tc>
      </w:tr>
      <w:tr>
        <w:tc>
          <w:tcPr>
            <w:tcW w:type="dxa" w:w="3120"/>
          </w:tcPr>
          <w:p>
            <w:pPr>
              <w:spacing w:after="20" w:before="20"/>
              <w:jc w:val="both"/>
            </w:pPr>
            <w:r>
              <w:rPr>
                <w:rFonts w:ascii="Barlow Semi Condensed" w:cs="Barlow Semi Condensed" w:eastAsia="Barlow Semi Condensed" w:hAnsi="Barlow Semi Condensed"/>
                <w:b/>
                <w:bCs/>
                <w:sz w:val="20"/>
                <w:szCs w:val="20"/>
              </w:rPr>
              <w:t xml:space="preserve">Bruno Seghetti</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Componente del commando di via Fani</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Moro uno/bis; fra i ventitré definitivi al 1985 (Questione Giustizia (https://www.questionegiustizia.it/articolo/il-caso-moro-per-un-analisi-delle-sentenze-parte-prima))</w:t>
            </w:r>
          </w:p>
        </w:tc>
      </w:tr>
      <w:tr>
        <w:tc>
          <w:tcPr>
            <w:tcW w:type="dxa" w:w="3120"/>
          </w:tcPr>
          <w:p>
            <w:pPr>
              <w:spacing w:after="20" w:before="20"/>
              <w:jc w:val="both"/>
            </w:pPr>
            <w:r>
              <w:rPr>
                <w:rFonts w:ascii="Barlow Semi Condensed" w:cs="Barlow Semi Condensed" w:eastAsia="Barlow Semi Condensed" w:hAnsi="Barlow Semi Condensed"/>
                <w:b/>
                <w:bCs/>
                <w:sz w:val="20"/>
                <w:szCs w:val="20"/>
              </w:rPr>
              <w:t xml:space="preserve">Anna Laura Braghetti</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L'appartamento-prigione: acquisto di via Montalcini 8 (giugno 1977) e custodia della prigione per i cinquantacinque giorni. Ergastolo</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Moro uno/bis; definitivo 1985 (Avvenire (https://www.avvenire.it/politica/la-morte-di-anna-laura-braghetti-carceriera-di-moro-e-assassina-di-bachelet); Il Post (https://www.ilpost.it/2025/11/06/morta-anna-laura-braghetti-brigate-rosse/))</w:t>
            </w:r>
          </w:p>
        </w:tc>
      </w:tr>
      <w:tr>
        <w:tc>
          <w:tcPr>
            <w:tcW w:type="dxa" w:w="3120"/>
          </w:tcPr>
          <w:p>
            <w:pPr>
              <w:spacing w:after="20" w:before="20"/>
              <w:jc w:val="both"/>
            </w:pPr>
            <w:r>
              <w:rPr>
                <w:rFonts w:ascii="Barlow Semi Condensed" w:cs="Barlow Semi Condensed" w:eastAsia="Barlow Semi Condensed" w:hAnsi="Barlow Semi Condensed"/>
                <w:b/>
                <w:bCs/>
                <w:sz w:val="20"/>
                <w:szCs w:val="20"/>
              </w:rPr>
              <w:t xml:space="preserve">Alessio Casimirri</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Componente del commando di via Fani. Sei ergastoli, in contumacia; latitante in Nicaragua dal 1982, unico componente identificato mai arrestato</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Definitivo (Wikipedia (https://it.wikipedia.org/wiki/Alessio_Casimirri); richieste di estradizione respinte dal Nicaragua)</w:t>
            </w:r>
          </w:p>
        </w:tc>
      </w:tr>
      <w:tr>
        <w:tc>
          <w:tcPr>
            <w:tcW w:type="dxa" w:w="3120"/>
          </w:tcPr>
          <w:p>
            <w:pPr>
              <w:spacing w:after="20" w:before="20"/>
              <w:jc w:val="both"/>
            </w:pPr>
            <w:r>
              <w:rPr>
                <w:rFonts w:ascii="Barlow Semi Condensed" w:cs="Barlow Semi Condensed" w:eastAsia="Barlow Semi Condensed" w:hAnsi="Barlow Semi Condensed"/>
                <w:b/>
                <w:bCs/>
                <w:sz w:val="20"/>
                <w:szCs w:val="20"/>
              </w:rPr>
              <w:t xml:space="preserve">Alvaro Lojacono</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Responsabilità per l'intero arco 16 marzo – 9 maggio</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Moro quater; definitivo in Cassazione 14/5/1997</w:t>
            </w:r>
          </w:p>
        </w:tc>
      </w:tr>
      <w:tr>
        <w:tc>
          <w:tcPr>
            <w:tcW w:type="dxa" w:w="3120"/>
          </w:tcPr>
          <w:p>
            <w:pPr>
              <w:spacing w:after="20" w:before="20"/>
              <w:jc w:val="both"/>
            </w:pPr>
            <w:r>
              <w:rPr>
                <w:rFonts w:ascii="Barlow Semi Condensed" w:cs="Barlow Semi Condensed" w:eastAsia="Barlow Semi Condensed" w:hAnsi="Barlow Semi Condensed"/>
                <w:b/>
                <w:bCs/>
                <w:sz w:val="20"/>
                <w:szCs w:val="20"/>
              </w:rPr>
              <w:t xml:space="preserve">Germano Maccari</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Il «quarto uomo» del covo di via Montalcini</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Moro quinquies; definitivo 1999</w:t>
            </w:r>
          </w:p>
        </w:tc>
      </w:tr>
      <w:tr>
        <w:tc>
          <w:tcPr>
            <w:tcW w:type="dxa" w:w="3120"/>
          </w:tcPr>
          <w:p>
            <w:pPr>
              <w:spacing w:after="20" w:before="20"/>
              <w:jc w:val="both"/>
            </w:pPr>
            <w:r>
              <w:rPr>
                <w:rFonts w:ascii="Barlow Semi Condensed" w:cs="Barlow Semi Condensed" w:eastAsia="Barlow Semi Condensed" w:hAnsi="Barlow Semi Condensed"/>
                <w:b/>
                <w:bCs/>
                <w:sz w:val="20"/>
                <w:szCs w:val="20"/>
              </w:rPr>
              <w:t xml:space="preserve">Raimondo Etro</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Fasi collaterali dell'operazione</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Moro quinquies</w:t>
            </w:r>
          </w:p>
        </w:tc>
      </w:tr>
    </w:tbl>
    <w:p>
      <w:pPr>
        <w:spacing w:after="80"/>
      </w:pPr>
    </w:p>
    <w:p>
      <w:pPr>
        <w:spacing w:after="120" w:line="276"/>
        <w:jc w:val="both"/>
      </w:pPr>
      <w:r>
        <w:rPr>
          <w:rFonts w:ascii="Barlow Semi Condensed" w:cs="Barlow Semi Condensed" w:eastAsia="Barlow Semi Condensed" w:hAnsi="Barlow Semi Condensed"/>
          <w:sz w:val="24"/>
          <w:szCs w:val="24"/>
        </w:rPr>
        <w:t xml:space="preserve">Tre avvertenze governano il registro, e sono il suo senso.</w:t>
      </w:r>
    </w:p>
    <w:p>
      <w:pPr>
        <w:spacing w:after="120" w:line="276"/>
        <w:jc w:val="both"/>
      </w:pPr>
      <w:r>
        <w:rPr>
          <w:rFonts w:ascii="Barlow Semi Condensed" w:cs="Barlow Semi Condensed" w:eastAsia="Barlow Semi Condensed" w:hAnsi="Barlow Semi Condensed"/>
          <w:b/>
          <w:bCs/>
          <w:sz w:val="24"/>
          <w:szCs w:val="24"/>
        </w:rPr>
        <w:t xml:space="preserve">Prima</w:t>
      </w:r>
      <w:r>
        <w:rPr>
          <w:rFonts w:ascii="Barlow Semi Condensed" w:cs="Barlow Semi Condensed" w:eastAsia="Barlow Semi Condensed" w:hAnsi="Barlow Semi Condensed"/>
          <w:sz w:val="24"/>
          <w:szCs w:val="24"/>
        </w:rPr>
        <w:t xml:space="preserve">: il registro </w:t>
      </w:r>
      <w:r>
        <w:rPr>
          <w:rFonts w:ascii="Barlow Semi Condensed" w:cs="Barlow Semi Condensed" w:eastAsia="Barlow Semi Condensed" w:hAnsi="Barlow Semi Condensed"/>
          <w:b/>
          <w:bCs/>
          <w:sz w:val="24"/>
          <w:szCs w:val="24"/>
        </w:rPr>
        <w:t xml:space="preserve">non è l'elenco dei trentadue ergastoli</w:t>
      </w:r>
      <w:r>
        <w:rPr>
          <w:rFonts w:ascii="Barlow Semi Condensed" w:cs="Barlow Semi Condensed" w:eastAsia="Barlow Semi Condensed" w:hAnsi="Barlow Semi Condensed"/>
          <w:sz w:val="24"/>
          <w:szCs w:val="24"/>
        </w:rPr>
        <w:t xml:space="preserve"> del gennaio 1983, né potrebbe esserlo. Quell'elenco appartiene a un processo che giudicò molte condotte estranee all'operazione Moro; travasarlo qui sarebbe la colpa di gruppo per trascinamento che il capitolo settantasettesimo vieta. Qui compaiono </w:t>
      </w:r>
      <w:r>
        <w:rPr>
          <w:rFonts w:ascii="Barlow Semi Condensed" w:cs="Barlow Semi Condensed" w:eastAsia="Barlow Semi Condensed" w:hAnsi="Barlow Semi Condensed"/>
          <w:b/>
          <w:bCs/>
          <w:sz w:val="24"/>
          <w:szCs w:val="24"/>
        </w:rPr>
        <w:t xml:space="preserve">solo</w:t>
      </w:r>
      <w:r>
        <w:rPr>
          <w:rFonts w:ascii="Barlow Semi Condensed" w:cs="Barlow Semi Condensed" w:eastAsia="Barlow Semi Condensed" w:hAnsi="Barlow Semi Condensed"/>
          <w:sz w:val="24"/>
          <w:szCs w:val="24"/>
        </w:rPr>
        <w:t xml:space="preserve"> le persone la cui condanna definitiva riguarda specificamente il sequestro e l'omicidio di Aldo Moro e l'eccidio della scorta, con la condotta che il giudicato ha loro singolarmente attribuito.</w:t>
      </w:r>
    </w:p>
    <w:p>
      <w:pPr>
        <w:spacing w:after="120" w:line="276"/>
        <w:jc w:val="both"/>
      </w:pPr>
      <w:r>
        <w:rPr>
          <w:rFonts w:ascii="Barlow Semi Condensed" w:cs="Barlow Semi Condensed" w:eastAsia="Barlow Semi Condensed" w:hAnsi="Barlow Semi Condensed"/>
          <w:b/>
          <w:bCs/>
          <w:sz w:val="24"/>
          <w:szCs w:val="24"/>
        </w:rPr>
        <w:t xml:space="preserve">Seconda</w:t>
      </w:r>
      <w:r>
        <w:rPr>
          <w:rFonts w:ascii="Barlow Semi Condensed" w:cs="Barlow Semi Condensed" w:eastAsia="Barlow Semi Condensed" w:hAnsi="Barlow Semi Condensed"/>
          <w:sz w:val="24"/>
          <w:szCs w:val="24"/>
        </w:rPr>
        <w:t xml:space="preserve">: le condotte non sono equivalenti, e il registro non le appiattisce. Dirigere l'operazione, sparare in via Fani, custodire la prigione, concorrere dalla logistica: il giudicato le ha distinte, e la distinzione </w:t>
      </w:r>
      <w:r>
        <w:rPr>
          <w:rFonts w:ascii="Barlow Semi Condensed" w:cs="Barlow Semi Condensed" w:eastAsia="Barlow Semi Condensed" w:hAnsi="Barlow Semi Condensed"/>
          <w:b/>
          <w:bCs/>
          <w:sz w:val="24"/>
          <w:szCs w:val="24"/>
        </w:rPr>
        <w:t xml:space="preserve">è</w:t>
      </w:r>
      <w:r>
        <w:rPr>
          <w:rFonts w:ascii="Barlow Semi Condensed" w:cs="Barlow Semi Condensed" w:eastAsia="Barlow Semi Condensed" w:hAnsi="Barlow Semi Condensed"/>
          <w:sz w:val="24"/>
          <w:szCs w:val="24"/>
        </w:rPr>
        <w:t xml:space="preserve"> il principio personalistico all'opera. Ma il registro </w:t>
      </w:r>
      <w:r>
        <w:rPr>
          <w:rFonts w:ascii="Barlow Semi Condensed" w:cs="Barlow Semi Condensed" w:eastAsia="Barlow Semi Condensed" w:hAnsi="Barlow Semi Condensed"/>
          <w:b/>
          <w:bCs/>
          <w:sz w:val="24"/>
          <w:szCs w:val="24"/>
        </w:rPr>
        <w:t xml:space="preserve">non le ordina in graduatoria</w:t>
      </w:r>
      <w:r>
        <w:rPr>
          <w:rFonts w:ascii="Barlow Semi Condensed" w:cs="Barlow Semi Condensed" w:eastAsia="Barlow Semi Condensed" w:hAnsi="Barlow Semi Condensed"/>
          <w:sz w:val="24"/>
          <w:szCs w:val="24"/>
        </w:rPr>
        <w:t xml:space="preserve"> né vi appone percentuali: la misura della responsabilità di ciascuno sta nelle sentenze che l'hanno pronunciata, non in una aritmetica che l'opera ha già rifiutato una volta per tutte.</w:t>
      </w:r>
    </w:p>
    <w:p>
      <w:pPr>
        <w:spacing w:after="120" w:line="276"/>
        <w:jc w:val="both"/>
      </w:pPr>
      <w:r>
        <w:rPr>
          <w:rFonts w:ascii="Barlow Semi Condensed" w:cs="Barlow Semi Condensed" w:eastAsia="Barlow Semi Condensed" w:hAnsi="Barlow Semi Condensed"/>
          <w:b/>
          <w:bCs/>
          <w:sz w:val="24"/>
          <w:szCs w:val="24"/>
        </w:rPr>
        <w:t xml:space="preserve">Terza</w:t>
      </w:r>
      <w:r>
        <w:rPr>
          <w:rFonts w:ascii="Barlow Semi Condensed" w:cs="Barlow Semi Condensed" w:eastAsia="Barlow Semi Condensed" w:hAnsi="Barlow Semi Condensed"/>
          <w:sz w:val="24"/>
          <w:szCs w:val="24"/>
        </w:rPr>
        <w:t xml:space="preserve">: oltre queste tredici persone, </w:t>
      </w:r>
      <w:r>
        <w:rPr>
          <w:rFonts w:ascii="Barlow Semi Condensed" w:cs="Barlow Semi Condensed" w:eastAsia="Barlow Semi Condensed" w:hAnsi="Barlow Semi Condensed"/>
          <w:b/>
          <w:bCs/>
          <w:sz w:val="24"/>
          <w:szCs w:val="24"/>
        </w:rPr>
        <w:t xml:space="preserve">il registro non aggiunge nomi</w:t>
      </w:r>
      <w:r>
        <w:rPr>
          <w:rFonts w:ascii="Barlow Semi Condensed" w:cs="Barlow Semi Condensed" w:eastAsia="Barlow Semi Condensed" w:hAnsi="Barlow Semi Condensed"/>
          <w:sz w:val="24"/>
          <w:szCs w:val="24"/>
        </w:rPr>
        <w:t xml:space="preserve">, oggi come nella Fase nona. Chiunque altro sia stato evocato — mandanti, presenze, «centauri» — appartiene ai gradi B o C e vi resta.</w:t>
      </w:r>
    </w:p>
    <w:p>
      <w:pPr>
        <w:pStyle w:val="Heading1"/>
        <w:spacing w:after="120" w:before="240"/>
      </w:pPr>
      <w:r>
        <w:rPr>
          <w:rFonts w:ascii="Barlow Semi Condensed" w:cs="Barlow Semi Condensed" w:eastAsia="Barlow Semi Condensed" w:hAnsi="Barlow Semi Condensed"/>
          <w:sz w:val="24"/>
          <w:szCs w:val="24"/>
        </w:rPr>
        <w:t xml:space="preserve">Capitolo ottantesimo — Le posizioni distinte: dove il giudicato assolve, il registro tace</w:t>
      </w:r>
    </w:p>
    <w:p>
      <w:pPr>
        <w:spacing w:after="120" w:line="276"/>
        <w:jc w:val="both"/>
      </w:pPr>
      <w:r>
        <w:rPr>
          <w:rFonts w:ascii="Barlow Semi Condensed" w:cs="Barlow Semi Condensed" w:eastAsia="Barlow Semi Condensed" w:hAnsi="Barlow Semi Condensed"/>
          <w:sz w:val="24"/>
          <w:szCs w:val="24"/>
        </w:rPr>
        <w:t xml:space="preserve">Il principio personalistico vale nei </w:t>
      </w:r>
      <w:r>
        <w:rPr>
          <w:rFonts w:ascii="Barlow Semi Condensed" w:cs="Barlow Semi Condensed" w:eastAsia="Barlow Semi Condensed" w:hAnsi="Barlow Semi Condensed"/>
          <w:b/>
          <w:bCs/>
          <w:sz w:val="24"/>
          <w:szCs w:val="24"/>
        </w:rPr>
        <w:t xml:space="preserve">due sensi</w:t>
      </w:r>
      <w:r>
        <w:rPr>
          <w:rFonts w:ascii="Barlow Semi Condensed" w:cs="Barlow Semi Condensed" w:eastAsia="Barlow Semi Condensed" w:hAnsi="Barlow Semi Condensed"/>
          <w:sz w:val="24"/>
          <w:szCs w:val="24"/>
        </w:rPr>
        <w:t xml:space="preserve">, e questo capitolo ne è la prova più severa.</w:t>
      </w:r>
    </w:p>
    <w:p>
      <w:pPr>
        <w:spacing w:after="120" w:line="276"/>
        <w:jc w:val="both"/>
      </w:pPr>
      <w:r>
        <w:rPr>
          <w:rFonts w:ascii="Barlow Semi Condensed" w:cs="Barlow Semi Condensed" w:eastAsia="Barlow Semi Condensed" w:hAnsi="Barlow Semi Condensed"/>
          <w:b/>
          <w:bCs/>
          <w:sz w:val="24"/>
          <w:szCs w:val="24"/>
        </w:rPr>
        <w:t xml:space="preserve">Il caso Algranati.</w:t>
      </w:r>
      <w:r>
        <w:rPr>
          <w:rFonts w:ascii="Barlow Semi Condensed" w:cs="Barlow Semi Condensed" w:eastAsia="Barlow Semi Condensed" w:hAnsi="Barlow Semi Condensed"/>
          <w:sz w:val="24"/>
          <w:szCs w:val="24"/>
        </w:rPr>
        <w:t xml:space="preserve"> Rita Algranati fu </w:t>
      </w:r>
      <w:r>
        <w:rPr>
          <w:rFonts w:ascii="Barlow Semi Condensed" w:cs="Barlow Semi Condensed" w:eastAsia="Barlow Semi Condensed" w:hAnsi="Barlow Semi Condensed"/>
          <w:b/>
          <w:bCs/>
          <w:sz w:val="24"/>
          <w:szCs w:val="24"/>
        </w:rPr>
        <w:t xml:space="preserve">assolta</w:t>
      </w:r>
      <w:r>
        <w:rPr>
          <w:rFonts w:ascii="Barlow Semi Condensed" w:cs="Barlow Semi Condensed" w:eastAsia="Barlow Semi Condensed" w:hAnsi="Barlow Semi Condensed"/>
          <w:sz w:val="24"/>
          <w:szCs w:val="24"/>
        </w:rPr>
        <w:t xml:space="preserve">, all'esito del Moro ter (primo grado, ottobre 1988), per i fatti di via Fani: all'epoca del giudizio, la sua presenza la mattina del 16 marzo e il ruolo nella preparazione non erano ancora emersi, e l'assoluzione è </w:t>
      </w:r>
      <w:r>
        <w:rPr>
          <w:rFonts w:ascii="Barlow Semi Condensed" w:cs="Barlow Semi Condensed" w:eastAsia="Barlow Semi Condensed" w:hAnsi="Barlow Semi Condensed"/>
          <w:b/>
          <w:bCs/>
          <w:sz w:val="24"/>
          <w:szCs w:val="24"/>
        </w:rPr>
        <w:t xml:space="preserve">definitiva</w:t>
      </w:r>
      <w:r>
        <w:rPr>
          <w:rFonts w:ascii="Barlow Semi Condensed" w:cs="Barlow Semi Condensed" w:eastAsia="Barlow Semi Condensed" w:hAnsi="Barlow Semi Condensed"/>
          <w:sz w:val="24"/>
          <w:szCs w:val="24"/>
        </w:rPr>
        <w:t xml:space="preserve"> (Questione Giustizia, parte seconda (https://www.questionegiustizia.it/articolo/il-caso-moro-per-un-analisi-delle-sentenze-parte-seconda)). Ricostruzioni successive — memorialistiche e istruttorie — la collocano sul posto con funzione di segnalazione; ma quelle ricostruzioni sono grado B o C, e </w:t>
      </w:r>
      <w:r>
        <w:rPr>
          <w:rFonts w:ascii="Barlow Semi Condensed" w:cs="Barlow Semi Condensed" w:eastAsia="Barlow Semi Condensed" w:hAnsi="Barlow Semi Condensed"/>
          <w:b/>
          <w:bCs/>
          <w:sz w:val="24"/>
          <w:szCs w:val="24"/>
        </w:rPr>
        <w:t xml:space="preserve">non possono scavalcare un'assoluzione passata in giudicato</w:t>
      </w:r>
      <w:r>
        <w:rPr>
          <w:rFonts w:ascii="Barlow Semi Condensed" w:cs="Barlow Semi Condensed" w:eastAsia="Barlow Semi Condensed" w:hAnsi="Barlow Semi Condensed"/>
          <w:sz w:val="24"/>
          <w:szCs w:val="24"/>
        </w:rPr>
        <w:t xml:space="preserve">: il divieto di </w:t>
      </w:r>
      <w:r>
        <w:rPr>
          <w:rFonts w:ascii="Barlow Semi Condensed" w:cs="Barlow Semi Condensed" w:eastAsia="Barlow Semi Condensed" w:hAnsi="Barlow Semi Condensed"/>
          <w:i/>
          <w:iCs/>
          <w:sz w:val="24"/>
          <w:szCs w:val="24"/>
        </w:rPr>
        <w:t xml:space="preserve">bis in idem</w:t>
      </w:r>
      <w:r>
        <w:rPr>
          <w:rFonts w:ascii="Barlow Semi Condensed" w:cs="Barlow Semi Condensed" w:eastAsia="Barlow Semi Condensed" w:hAnsi="Barlow Semi Condensed"/>
          <w:sz w:val="24"/>
          <w:szCs w:val="24"/>
        </w:rPr>
        <w:t xml:space="preserve"> è un pilastro dello Stato di diritto, non un cavillo. Algranati fu poi condannata all'ergastolo </w:t>
      </w:r>
      <w:r>
        <w:rPr>
          <w:rFonts w:ascii="Barlow Semi Condensed" w:cs="Barlow Semi Condensed" w:eastAsia="Barlow Semi Condensed" w:hAnsi="Barlow Semi Condensed"/>
          <w:b/>
          <w:bCs/>
          <w:sz w:val="24"/>
          <w:szCs w:val="24"/>
        </w:rPr>
        <w:t xml:space="preserve">per altri fatti</w:t>
      </w:r>
      <w:r>
        <w:rPr>
          <w:rFonts w:ascii="Barlow Semi Condensed" w:cs="Barlow Semi Condensed" w:eastAsia="Barlow Semi Condensed" w:hAnsi="Barlow Semi Condensed"/>
          <w:sz w:val="24"/>
          <w:szCs w:val="24"/>
        </w:rPr>
        <w:t xml:space="preserve"> — gli omicidi dei magistrati Riccardo Palma e Girolamo Tartaglione e degli agenti Mea e Ollanu — e catturata al Cairo nel 2004 (Wikipedia (https://it.wikipedia.org/wiki/Rita_Algranati)): condanne che riguardano quei fatti e </w:t>
      </w:r>
      <w:r>
        <w:rPr>
          <w:rFonts w:ascii="Barlow Semi Condensed" w:cs="Barlow Semi Condensed" w:eastAsia="Barlow Semi Condensed" w:hAnsi="Barlow Semi Condensed"/>
          <w:b/>
          <w:bCs/>
          <w:sz w:val="24"/>
          <w:szCs w:val="24"/>
        </w:rPr>
        <w:t xml:space="preserve">solo</w:t>
      </w:r>
      <w:r>
        <w:rPr>
          <w:rFonts w:ascii="Barlow Semi Condensed" w:cs="Barlow Semi Condensed" w:eastAsia="Barlow Semi Condensed" w:hAnsi="Barlow Semi Condensed"/>
          <w:sz w:val="24"/>
          <w:szCs w:val="24"/>
        </w:rPr>
        <w:t xml:space="preserve"> quei fatti. Il registro del caso Moro, perciò, </w:t>
      </w:r>
      <w:r>
        <w:rPr>
          <w:rFonts w:ascii="Barlow Semi Condensed" w:cs="Barlow Semi Condensed" w:eastAsia="Barlow Semi Condensed" w:hAnsi="Barlow Semi Condensed"/>
          <w:b/>
          <w:bCs/>
          <w:sz w:val="24"/>
          <w:szCs w:val="24"/>
        </w:rPr>
        <w:t xml:space="preserve">non la contiene</w:t>
      </w:r>
      <w:r>
        <w:rPr>
          <w:rFonts w:ascii="Barlow Semi Condensed" w:cs="Barlow Semi Condensed" w:eastAsia="Barlow Semi Condensed" w:hAnsi="Barlow Semi Condensed"/>
          <w:sz w:val="24"/>
          <w:szCs w:val="24"/>
        </w:rPr>
        <w:t xml:space="preserve">; e la sua vicenda vi resta come dimostrazione che l'opera obbedisce al giudicato anche quando il giudicato dice «assolta» a fronte di una narrazione pubblica che dice altrimenti. Un registro che includesse gli assolti perché «tanto si sa» non sarebbe più un registro: sarebbe un tribunale parallelo, cioè la cosa che quest'opera esiste per non essere.</w:t>
      </w:r>
    </w:p>
    <w:p>
      <w:pPr>
        <w:spacing w:after="120" w:line="276"/>
        <w:jc w:val="both"/>
      </w:pPr>
      <w:r>
        <w:rPr>
          <w:rFonts w:ascii="Barlow Semi Condensed" w:cs="Barlow Semi Condensed" w:eastAsia="Barlow Semi Condensed" w:hAnsi="Barlow Semi Condensed"/>
          <w:b/>
          <w:bCs/>
          <w:sz w:val="24"/>
          <w:szCs w:val="24"/>
        </w:rPr>
        <w:t xml:space="preserve">Le posizioni differenziate.</w:t>
      </w:r>
      <w:r>
        <w:rPr>
          <w:rFonts w:ascii="Barlow Semi Condensed" w:cs="Barlow Semi Condensed" w:eastAsia="Barlow Semi Condensed" w:hAnsi="Barlow Semi Condensed"/>
          <w:sz w:val="24"/>
          <w:szCs w:val="24"/>
        </w:rPr>
        <w:t xml:space="preserve"> Valerio Morucci e Adriana Faranda uscirono dalle Brigate Rosse nel 1979, in dissenso maturato attorno all'esito del sequestro, e seguirono poi il percorso della dissociazione: sono </w:t>
      </w:r>
      <w:r>
        <w:rPr>
          <w:rFonts w:ascii="Barlow Semi Condensed" w:cs="Barlow Semi Condensed" w:eastAsia="Barlow Semi Condensed" w:hAnsi="Barlow Semi Condensed"/>
          <w:b/>
          <w:bCs/>
          <w:sz w:val="24"/>
          <w:szCs w:val="24"/>
        </w:rPr>
        <w:t xml:space="preserve">fatti biografici pubblici</w:t>
      </w:r>
      <w:r>
        <w:rPr>
          <w:rFonts w:ascii="Barlow Semi Condensed" w:cs="Barlow Semi Condensed" w:eastAsia="Barlow Semi Condensed" w:hAnsi="Barlow Semi Condensed"/>
          <w:sz w:val="24"/>
          <w:szCs w:val="24"/>
        </w:rPr>
        <w:t xml:space="preserve"> (grado F), che non attenuano ciò che il giudicato ha accertato a loro carico né lo aggravano — lo </w:t>
      </w:r>
      <w:r>
        <w:rPr>
          <w:rFonts w:ascii="Barlow Semi Condensed" w:cs="Barlow Semi Condensed" w:eastAsia="Barlow Semi Condensed" w:hAnsi="Barlow Semi Condensed"/>
          <w:i/>
          <w:iCs/>
          <w:sz w:val="24"/>
          <w:szCs w:val="24"/>
        </w:rPr>
        <w:t xml:space="preserve">contestualizzano</w:t>
      </w:r>
      <w:r>
        <w:rPr>
          <w:rFonts w:ascii="Barlow Semi Condensed" w:cs="Barlow Semi Condensed" w:eastAsia="Barlow Semi Condensed" w:hAnsi="Barlow Semi Condensed"/>
          <w:sz w:val="24"/>
          <w:szCs w:val="24"/>
        </w:rPr>
        <w:t xml:space="preserve">. Il loro Memoriale, come la Fase settima ha recepito dalla Commissione Moro 2, è un </w:t>
      </w:r>
      <w:r>
        <w:rPr>
          <w:rFonts w:ascii="Barlow Semi Condensed" w:cs="Barlow Semi Condensed" w:eastAsia="Barlow Semi Condensed" w:hAnsi="Barlow Semi Condensed"/>
          <w:b/>
          <w:bCs/>
          <w:sz w:val="24"/>
          <w:szCs w:val="24"/>
        </w:rPr>
        <w:t xml:space="preserve">testo negoziato</w:t>
      </w:r>
      <w:r>
        <w:rPr>
          <w:rFonts w:ascii="Barlow Semi Condensed" w:cs="Barlow Semi Condensed" w:eastAsia="Barlow Semi Condensed" w:hAnsi="Barlow Semi Condensed"/>
          <w:sz w:val="24"/>
          <w:szCs w:val="24"/>
        </w:rPr>
        <w:t xml:space="preserve"> degli anni Ottanta (grado B): fonte da leggere sapendo che cosa è.</w:t>
      </w:r>
    </w:p>
    <w:p>
      <w:pPr>
        <w:spacing w:after="120" w:line="276"/>
        <w:jc w:val="both"/>
      </w:pPr>
      <w:r>
        <w:rPr>
          <w:rFonts w:ascii="Barlow Semi Condensed" w:cs="Barlow Semi Condensed" w:eastAsia="Barlow Semi Condensed" w:hAnsi="Barlow Semi Condensed"/>
          <w:b/>
          <w:bCs/>
          <w:sz w:val="24"/>
          <w:szCs w:val="24"/>
        </w:rPr>
        <w:t xml:space="preserve">Gli assolti e i mai imputati.</w:t>
      </w:r>
      <w:r>
        <w:rPr>
          <w:rFonts w:ascii="Barlow Semi Condensed" w:cs="Barlow Semi Condensed" w:eastAsia="Barlow Semi Condensed" w:hAnsi="Barlow Semi Condensed"/>
          <w:sz w:val="24"/>
          <w:szCs w:val="24"/>
        </w:rPr>
        <w:t xml:space="preserve"> Per tutti coloro che furono prosciolti, assolti o mai raggiunti da imputazione — nel caso Moro come nei nodi collegati del corpus, da Hyperion in giù — vale la </w:t>
      </w:r>
      <w:r>
        <w:rPr>
          <w:rFonts w:ascii="Barlow Semi Condensed" w:cs="Barlow Semi Condensed" w:eastAsia="Barlow Semi Condensed" w:hAnsi="Barlow Semi Condensed"/>
          <w:b/>
          <w:bCs/>
          <w:sz w:val="24"/>
          <w:szCs w:val="24"/>
        </w:rPr>
        <w:t xml:space="preserve">presunzione d'innocenza piena e nominale</w:t>
      </w:r>
      <w:r>
        <w:rPr>
          <w:rFonts w:ascii="Barlow Semi Condensed" w:cs="Barlow Semi Condensed" w:eastAsia="Barlow Semi Condensed" w:hAnsi="Barlow Semi Condensed"/>
          <w:sz w:val="24"/>
          <w:szCs w:val="24"/>
        </w:rPr>
        <w:t xml:space="preserve">: non sono «sfuggiti» a nulla; sono, per l'ordinamento e per quest'opera, innocenti.</w:t>
      </w:r>
    </w:p>
    <w:p>
      <w:pPr>
        <w:pStyle w:val="Heading1"/>
        <w:spacing w:after="120" w:before="240"/>
      </w:pPr>
      <w:r>
        <w:rPr>
          <w:rFonts w:ascii="Barlow Semi Condensed" w:cs="Barlow Semi Condensed" w:eastAsia="Barlow Semi Condensed" w:hAnsi="Barlow Semi Condensed"/>
          <w:sz w:val="24"/>
          <w:szCs w:val="24"/>
        </w:rPr>
        <w:t xml:space="preserve">Capitolo ottantunesimo — L'appartenenza a uno o più gruppi come fatto biografico, mai come somma di colpe</w:t>
      </w:r>
    </w:p>
    <w:p>
      <w:pPr>
        <w:spacing w:after="120" w:line="276"/>
        <w:jc w:val="both"/>
      </w:pPr>
      <w:r>
        <w:rPr>
          <w:rFonts w:ascii="Barlow Semi Condensed" w:cs="Barlow Semi Condensed" w:eastAsia="Barlow Semi Condensed" w:hAnsi="Barlow Semi Condensed"/>
          <w:sz w:val="24"/>
          <w:szCs w:val="24"/>
        </w:rPr>
        <w:t xml:space="preserve">Molte delle persone del registro attraversarono, prima o durante la militanza brigatista, </w:t>
      </w:r>
      <w:r>
        <w:rPr>
          <w:rFonts w:ascii="Barlow Semi Condensed" w:cs="Barlow Semi Condensed" w:eastAsia="Barlow Semi Condensed" w:hAnsi="Barlow Semi Condensed"/>
          <w:b/>
          <w:bCs/>
          <w:sz w:val="24"/>
          <w:szCs w:val="24"/>
        </w:rPr>
        <w:t xml:space="preserve">altre formazioni</w:t>
      </w:r>
      <w:r>
        <w:rPr>
          <w:rFonts w:ascii="Barlow Semi Condensed" w:cs="Barlow Semi Condensed" w:eastAsia="Barlow Semi Condensed" w:hAnsi="Barlow Semi Condensed"/>
          <w:sz w:val="24"/>
          <w:szCs w:val="24"/>
        </w:rPr>
        <w:t xml:space="preserve">: percorsi da Potere Operaio verso le BR, genealogie dal Collettivo Politico Metropolitano e dal Superclan che il corpus ha già ricostruito nelle triangolazioni (cfr. </w:t>
      </w:r>
      <w:r>
        <w:rPr>
          <w:rFonts w:ascii="Barlow Semi Condensed" w:cs="Barlow Semi Condensed" w:eastAsia="Barlow Semi Condensed" w:hAnsi="Barlow Semi Condensed"/>
          <w:i/>
          <w:iCs/>
          <w:sz w:val="24"/>
          <w:szCs w:val="24"/>
        </w:rPr>
        <w:t xml:space="preserve">triangolazione-hyperion-corpus.md</w:t>
      </w:r>
      <w:r>
        <w:rPr>
          <w:rFonts w:ascii="Barlow Semi Condensed" w:cs="Barlow Semi Condensed" w:eastAsia="Barlow Semi Condensed" w:hAnsi="Barlow Semi Condensed"/>
          <w:sz w:val="24"/>
          <w:szCs w:val="24"/>
        </w:rPr>
        <w:t xml:space="preserve"> e </w:t>
      </w:r>
      <w:r>
        <w:rPr>
          <w:rFonts w:ascii="Barlow Semi Condensed" w:cs="Barlow Semi Condensed" w:eastAsia="Barlow Semi Condensed" w:hAnsi="Barlow Semi Condensed"/>
          <w:i/>
          <w:iCs/>
          <w:sz w:val="24"/>
          <w:szCs w:val="24"/>
        </w:rPr>
        <w:t xml:space="preserve">triangolazione-feltrinelli-hyperion.md</w:t>
      </w:r>
      <w:r>
        <w:rPr>
          <w:rFonts w:ascii="Barlow Semi Condensed" w:cs="Barlow Semi Condensed" w:eastAsia="Barlow Semi Condensed" w:hAnsi="Barlow Semi Condensed"/>
          <w:sz w:val="24"/>
          <w:szCs w:val="24"/>
        </w:rPr>
        <w:t xml:space="preserve">). Questi passaggi sono </w:t>
      </w:r>
      <w:r>
        <w:rPr>
          <w:rFonts w:ascii="Barlow Semi Condensed" w:cs="Barlow Semi Condensed" w:eastAsia="Barlow Semi Condensed" w:hAnsi="Barlow Semi Condensed"/>
          <w:b/>
          <w:bCs/>
          <w:sz w:val="24"/>
          <w:szCs w:val="24"/>
        </w:rPr>
        <w:t xml:space="preserve">storia</w:t>
      </w:r>
      <w:r>
        <w:rPr>
          <w:rFonts w:ascii="Barlow Semi Condensed" w:cs="Barlow Semi Condensed" w:eastAsia="Barlow Semi Condensed" w:hAnsi="Barlow Semi Condensed"/>
          <w:sz w:val="24"/>
          <w:szCs w:val="24"/>
        </w:rPr>
        <w:t xml:space="preserve">, e l'opera li documenta perché spiegano </w:t>
      </w:r>
      <w:r>
        <w:rPr>
          <w:rFonts w:ascii="Barlow Semi Condensed" w:cs="Barlow Semi Condensed" w:eastAsia="Barlow Semi Condensed" w:hAnsi="Barlow Semi Condensed"/>
          <w:i/>
          <w:iCs/>
          <w:sz w:val="24"/>
          <w:szCs w:val="24"/>
        </w:rPr>
        <w:t xml:space="preserve">come</w:t>
      </w:r>
      <w:r>
        <w:rPr>
          <w:rFonts w:ascii="Barlow Semi Condensed" w:cs="Barlow Semi Condensed" w:eastAsia="Barlow Semi Condensed" w:hAnsi="Barlow Semi Condensed"/>
          <w:sz w:val="24"/>
          <w:szCs w:val="24"/>
        </w:rPr>
        <w:t xml:space="preserve"> si formarono le persone e le reti.</w:t>
      </w:r>
    </w:p>
    <w:p>
      <w:pPr>
        <w:spacing w:after="120" w:line="276"/>
        <w:jc w:val="both"/>
      </w:pPr>
      <w:r>
        <w:rPr>
          <w:rFonts w:ascii="Barlow Semi Condensed" w:cs="Barlow Semi Condensed" w:eastAsia="Barlow Semi Condensed" w:hAnsi="Barlow Semi Condensed"/>
          <w:sz w:val="24"/>
          <w:szCs w:val="24"/>
        </w:rPr>
        <w:t xml:space="preserve">Ma il principio va enunciato senza residui: </w:t>
      </w:r>
      <w:r>
        <w:rPr>
          <w:rFonts w:ascii="Barlow Semi Condensed" w:cs="Barlow Semi Condensed" w:eastAsia="Barlow Semi Condensed" w:hAnsi="Barlow Semi Condensed"/>
          <w:b/>
          <w:bCs/>
          <w:sz w:val="24"/>
          <w:szCs w:val="24"/>
        </w:rPr>
        <w:t xml:space="preserve">le appartenenze non si sommano in colpa.</w:t>
      </w:r>
      <w:r>
        <w:rPr>
          <w:rFonts w:ascii="Barlow Semi Condensed" w:cs="Barlow Semi Condensed" w:eastAsia="Barlow Semi Condensed" w:hAnsi="Barlow Semi Condensed"/>
          <w:sz w:val="24"/>
          <w:szCs w:val="24"/>
        </w:rPr>
        <w:t xml:space="preserve"> Chi militò in due gruppi non è «due volte» prossimo alla responsabilità; chi ne attraversò tre non porta tre indizi. L'appartenenza — a </w:t>
      </w:r>
      <w:r>
        <w:rPr>
          <w:rFonts w:ascii="Barlow Semi Condensed" w:cs="Barlow Semi Condensed" w:eastAsia="Barlow Semi Condensed" w:hAnsi="Barlow Semi Condensed"/>
          <w:i/>
          <w:iCs/>
          <w:sz w:val="24"/>
          <w:szCs w:val="24"/>
        </w:rPr>
        <w:t xml:space="preserve">uno o più</w:t>
      </w:r>
      <w:r>
        <w:rPr>
          <w:rFonts w:ascii="Barlow Semi Condensed" w:cs="Barlow Semi Condensed" w:eastAsia="Barlow Semi Condensed" w:hAnsi="Barlow Semi Condensed"/>
          <w:sz w:val="24"/>
          <w:szCs w:val="24"/>
        </w:rPr>
        <w:t xml:space="preserve"> gruppi — resta, per ciascuno, un fatto biografico di grado F, utile alla comprensione storica e </w:t>
      </w:r>
      <w:r>
        <w:rPr>
          <w:rFonts w:ascii="Barlow Semi Condensed" w:cs="Barlow Semi Condensed" w:eastAsia="Barlow Semi Condensed" w:hAnsi="Barlow Semi Condensed"/>
          <w:b/>
          <w:bCs/>
          <w:sz w:val="24"/>
          <w:szCs w:val="24"/>
        </w:rPr>
        <w:t xml:space="preserve">inerte</w:t>
      </w:r>
      <w:r>
        <w:rPr>
          <w:rFonts w:ascii="Barlow Semi Condensed" w:cs="Barlow Semi Condensed" w:eastAsia="Barlow Semi Condensed" w:hAnsi="Barlow Semi Condensed"/>
          <w:sz w:val="24"/>
          <w:szCs w:val="24"/>
        </w:rPr>
        <w:t xml:space="preserve"> sul piano dell'attribuzione: la colpa nasce soltanto dalla condotta accertata, e la condotta accertata sta nel registro, una per persona, con la sua sentenza. È la stessa regola che il corpus applica, sull'altro versante, all'Opus Dei delle ricognizioni mediterranee e ai Lupi Grigi del dossier turco: nessun ente è colpevole delle condotte dei suoi membri, nessun membro è colpevole dell'esistenza del suo ente. La simmetria non è equidistanza morale: è </w:t>
      </w:r>
      <w:r>
        <w:rPr>
          <w:rFonts w:ascii="Barlow Semi Condensed" w:cs="Barlow Semi Condensed" w:eastAsia="Barlow Semi Condensed" w:hAnsi="Barlow Semi Condensed"/>
          <w:b/>
          <w:bCs/>
          <w:sz w:val="24"/>
          <w:szCs w:val="24"/>
        </w:rPr>
        <w:t xml:space="preserve">metodo</w:t>
      </w:r>
      <w:r>
        <w:rPr>
          <w:rFonts w:ascii="Barlow Semi Condensed" w:cs="Barlow Semi Condensed" w:eastAsia="Barlow Semi Condensed" w:hAnsi="Barlow Semi Condensed"/>
          <w:sz w:val="24"/>
          <w:szCs w:val="24"/>
        </w:rPr>
        <w:t xml:space="preserve">, ed è lo stesso per tutti.</w:t>
      </w:r>
    </w:p>
    <w:p>
      <w:pPr>
        <w:pStyle w:val="Heading1"/>
        <w:spacing w:after="120" w:before="240"/>
      </w:pPr>
      <w:r>
        <w:rPr>
          <w:rFonts w:ascii="Barlow Semi Condensed" w:cs="Barlow Semi Condensed" w:eastAsia="Barlow Semi Condensed" w:hAnsi="Barlow Semi Condensed"/>
          <w:sz w:val="24"/>
          <w:szCs w:val="24"/>
        </w:rPr>
        <w:t xml:space="preserve">Capitolo ottantaduesimo — Tavola di chiusura: che cosa questa Fase elimina, e che cosa custodisce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c>
          <w:tcPr>
            <w:tcW w:type="dxa" w:w="312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Eliminato</w:t>
            </w:r>
          </w:p>
        </w:tc>
        <w:tc>
          <w:tcPr>
            <w:tcW w:type="dxa" w:w="312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Perché</w:t>
            </w:r>
          </w:p>
        </w:tc>
        <w:tc>
          <w:tcPr>
            <w:tcW w:type="dxa" w:w="312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Custodito al suo posto</w:t>
            </w:r>
          </w:p>
        </w:tc>
      </w:tr>
      <w:tr>
        <w:tc>
          <w:tcPr>
            <w:tcW w:type="dxa" w:w="3120"/>
          </w:tcPr>
          <w:p>
            <w:pPr>
              <w:spacing w:after="20" w:before="20"/>
              <w:jc w:val="both"/>
            </w:pPr>
            <w:r>
              <w:rPr>
                <w:rFonts w:ascii="Barlow Semi Condensed" w:cs="Barlow Semi Condensed" w:eastAsia="Barlow Semi Condensed" w:hAnsi="Barlow Semi Condensed"/>
                <w:sz w:val="20"/>
                <w:szCs w:val="20"/>
              </w:rPr>
              <w:t xml:space="preserve">«Le BR sono colpevoli» come formula di attribuzione</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Il gruppo non è soggetto di colpa (art. 27 Cost.)</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Tredici responsabilità </w:t>
            </w:r>
            <w:r>
              <w:rPr>
                <w:rFonts w:ascii="Barlow Semi Condensed" w:cs="Barlow Semi Condensed" w:eastAsia="Barlow Semi Condensed" w:hAnsi="Barlow Semi Condensed"/>
                <w:b/>
                <w:bCs/>
                <w:sz w:val="20"/>
                <w:szCs w:val="20"/>
              </w:rPr>
              <w:t xml:space="preserve">personali</w:t>
            </w:r>
            <w:r>
              <w:rPr>
                <w:rFonts w:ascii="Barlow Semi Condensed" w:cs="Barlow Semi Condensed" w:eastAsia="Barlow Semi Condensed" w:hAnsi="Barlow Semi Condensed"/>
                <w:sz w:val="20"/>
                <w:szCs w:val="20"/>
              </w:rPr>
              <w:t xml:space="preserve">, nominative, ciascuna con la propria condotta e la propria sentenza (cap. 79)</w:t>
            </w:r>
          </w:p>
        </w:tc>
      </w:tr>
      <w:tr>
        <w:tc>
          <w:tcPr>
            <w:tcW w:type="dxa" w:w="3120"/>
          </w:tcPr>
          <w:p>
            <w:pPr>
              <w:spacing w:after="20" w:before="20"/>
              <w:jc w:val="both"/>
            </w:pPr>
            <w:r>
              <w:rPr>
                <w:rFonts w:ascii="Barlow Semi Condensed" w:cs="Barlow Semi Condensed" w:eastAsia="Barlow Semi Condensed" w:hAnsi="Barlow Semi Condensed"/>
                <w:sz w:val="20"/>
                <w:szCs w:val="20"/>
              </w:rPr>
              <w:t xml:space="preserve">L'elenco dei 32 ergastoli come «elenco dei colpevoli del caso Moro»</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Colpa di gruppo per trascinamento: quel processo giudicò molte condotte estranee all'operazione</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Il registro ristretto alle condanne </w:t>
            </w:r>
            <w:r>
              <w:rPr>
                <w:rFonts w:ascii="Barlow Semi Condensed" w:cs="Barlow Semi Condensed" w:eastAsia="Barlow Semi Condensed" w:hAnsi="Barlow Semi Condensed"/>
                <w:b/>
                <w:bCs/>
                <w:sz w:val="20"/>
                <w:szCs w:val="20"/>
              </w:rPr>
              <w:t xml:space="preserve">specifiche</w:t>
            </w:r>
            <w:r>
              <w:rPr>
                <w:rFonts w:ascii="Barlow Semi Condensed" w:cs="Barlow Semi Condensed" w:eastAsia="Barlow Semi Condensed" w:hAnsi="Barlow Semi Condensed"/>
                <w:sz w:val="20"/>
                <w:szCs w:val="20"/>
              </w:rPr>
              <w:t xml:space="preserve"> per il caso</w:t>
            </w:r>
          </w:p>
        </w:tc>
      </w:tr>
      <w:tr>
        <w:tc>
          <w:tcPr>
            <w:tcW w:type="dxa" w:w="3120"/>
          </w:tcPr>
          <w:p>
            <w:pPr>
              <w:spacing w:after="20" w:before="20"/>
              <w:jc w:val="both"/>
            </w:pPr>
            <w:r>
              <w:rPr>
                <w:rFonts w:ascii="Barlow Semi Condensed" w:cs="Barlow Semi Condensed" w:eastAsia="Barlow Semi Condensed" w:hAnsi="Barlow Semi Condensed"/>
                <w:sz w:val="20"/>
                <w:szCs w:val="20"/>
              </w:rPr>
              <w:t xml:space="preserve">L'appartenenza (a uno o più gruppi) come indizio o aggravante</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Appartenenza ≠ condotta; le militanze non si sommano in colpa</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L'appartenenza come </w:t>
            </w:r>
            <w:r>
              <w:rPr>
                <w:rFonts w:ascii="Barlow Semi Condensed" w:cs="Barlow Semi Condensed" w:eastAsia="Barlow Semi Condensed" w:hAnsi="Barlow Semi Condensed"/>
                <w:b/>
                <w:bCs/>
                <w:sz w:val="20"/>
                <w:szCs w:val="20"/>
              </w:rPr>
              <w:t xml:space="preserve">fatto biografico</w:t>
            </w:r>
            <w:r>
              <w:rPr>
                <w:rFonts w:ascii="Barlow Semi Condensed" w:cs="Barlow Semi Condensed" w:eastAsia="Barlow Semi Condensed" w:hAnsi="Barlow Semi Condensed"/>
                <w:sz w:val="20"/>
                <w:szCs w:val="20"/>
              </w:rPr>
              <w:t xml:space="preserve"> (F), utile alla storia, inerte per l'attribuzione</w:t>
            </w:r>
          </w:p>
        </w:tc>
      </w:tr>
      <w:tr>
        <w:tc>
          <w:tcPr>
            <w:tcW w:type="dxa" w:w="3120"/>
          </w:tcPr>
          <w:p>
            <w:pPr>
              <w:spacing w:after="20" w:before="20"/>
              <w:jc w:val="both"/>
            </w:pPr>
            <w:r>
              <w:rPr>
                <w:rFonts w:ascii="Barlow Semi Condensed" w:cs="Barlow Semi Condensed" w:eastAsia="Barlow Semi Condensed" w:hAnsi="Barlow Semi Condensed"/>
                <w:sz w:val="20"/>
                <w:szCs w:val="20"/>
              </w:rPr>
              <w:t xml:space="preserve">La colpa che «sale» al collettivo e svapora («fu l'organizzazione»)</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Il collettivo non assorbe la responsabilità dei singoli</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Le condotte distinte che il giudicato ha distinto: dirigere, sparare, custodire, concorrere</w:t>
            </w:r>
          </w:p>
        </w:tc>
      </w:tr>
      <w:tr>
        <w:tc>
          <w:tcPr>
            <w:tcW w:type="dxa" w:w="3120"/>
          </w:tcPr>
          <w:p>
            <w:pPr>
              <w:spacing w:after="20" w:before="20"/>
              <w:jc w:val="both"/>
            </w:pPr>
            <w:r>
              <w:rPr>
                <w:rFonts w:ascii="Barlow Semi Condensed" w:cs="Barlow Semi Condensed" w:eastAsia="Barlow Semi Condensed" w:hAnsi="Barlow Semi Condensed"/>
                <w:sz w:val="20"/>
                <w:szCs w:val="20"/>
              </w:rPr>
              <w:t xml:space="preserve">Ogni nome oltre il giudicato; ogni percentuale; ogni graduatoria</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Divieto costitutivo dell'opera</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I gradi B e C dichiarati come tali; gli assolti assolti (caso Algranati); le sei vittime in testa a ogni pagina</w:t>
            </w:r>
          </w:p>
        </w:tc>
      </w:tr>
    </w:tbl>
    <w:p>
      <w:pPr>
        <w:spacing w:after="80"/>
      </w:pPr>
    </w:p>
    <w:p>
      <w:pPr>
        <w:pBdr>
          <w:bottom w:val="single" w:color="999999" w:sz="6" w:space="1"/>
        </w:pBdr>
        <w:spacing w:after="80"/>
      </w:pPr>
    </w:p>
    <w:p>
      <w:pPr>
        <w:spacing w:after="120" w:line="276"/>
        <w:jc w:val="both"/>
      </w:pPr>
      <w:r>
        <w:rPr>
          <w:rFonts w:ascii="Barlow Semi Condensed" w:cs="Barlow Semi Condensed" w:eastAsia="Barlow Semi Condensed" w:hAnsi="Barlow Semi Condensed"/>
          <w:i/>
          <w:iCs/>
          <w:sz w:val="24"/>
          <w:szCs w:val="24"/>
        </w:rPr>
        <w:t xml:space="preserve">Congedo della Fase decima.</w:t>
      </w:r>
      <w:r>
        <w:rPr>
          <w:rFonts w:ascii="Barlow Semi Condensed" w:cs="Barlow Semi Condensed" w:eastAsia="Barlow Semi Condensed" w:hAnsi="Barlow Semi Condensed"/>
          <w:sz w:val="24"/>
          <w:szCs w:val="24"/>
        </w:rPr>
        <w:t xml:space="preserve"> Ciò che questa Fase toglie ai gruppi non va perduto: va alle persone — che è il solo luogo dove la responsabilità sia mai realmente stata. Tredici nomi con tredici condotte, scritte da giudici e non da noi; un'assolta che resta assolta contro la comodità del racconto; e, prima di tutti, sei vittime con i loro nomi: Oreste Leonardi, Domenico Ricci, Giulio Rivera, Francesco Zizzi, Raffaele Iozzino, Aldo Moro. La guerra senza fine è fatta anche di questo: della tentazione, sempre risorgente, di giudicare all'ingrosso — per sigle, per ambienti, per appartenenze. Quest'opera vi oppone il dettaglio, che è la forma giuridica del rispetto: </w:t>
      </w:r>
      <w:r>
        <w:rPr>
          <w:rFonts w:ascii="Barlow Semi Condensed" w:cs="Barlow Semi Condensed" w:eastAsia="Barlow Semi Condensed" w:hAnsi="Barlow Semi Condensed"/>
          <w:b/>
          <w:bCs/>
          <w:sz w:val="24"/>
          <w:szCs w:val="24"/>
        </w:rPr>
        <w:t xml:space="preserve">una persona, una condotta, una sentenza.</w:t>
      </w:r>
      <w:r>
        <w:rPr>
          <w:rFonts w:ascii="Barlow Semi Condensed" w:cs="Barlow Semi Condensed" w:eastAsia="Barlow Semi Condensed" w:hAnsi="Barlow Semi Condensed"/>
          <w:sz w:val="24"/>
          <w:szCs w:val="24"/>
        </w:rPr>
        <w:t xml:space="preserve"> Nulla di meno, e mai nulla di più.</w:t>
      </w:r>
    </w:p>
    <w:p>
      <w:pPr>
        <w:pBdr>
          <w:bottom w:val="single" w:color="999999" w:sz="6" w:space="1"/>
        </w:pBdr>
        <w:spacing w:after="80"/>
      </w:pPr>
    </w:p>
    <w:p>
      <w:pPr>
        <w:spacing w:after="120" w:line="276"/>
        <w:jc w:val="both"/>
      </w:pPr>
      <w:r>
        <w:rPr>
          <w:rFonts w:ascii="Barlow Semi Condensed" w:cs="Barlow Semi Condensed" w:eastAsia="Barlow Semi Condensed" w:hAnsi="Barlow Semi Condensed"/>
          <w:i/>
          <w:iCs/>
          <w:sz w:val="24"/>
          <w:szCs w:val="24"/>
        </w:rPr>
        <w:t xml:space="preserve">Fase decima dell'opera «Aldo Moro — Una guerra senza fine» (capp. 77-82). Rende esplicito e sistematico il principio personalistico (art. 27 Cost.; art. 110 c.p.): elimina la colpa dei gruppi in entrambe le direzioni — né colpa collettiva discendente, né deresponsabilizzazione ascendente — e la sostituisce con il registro nominativo delle tredici responsabilità personali accertate in giudicato, ciascuna con la propria condotta; tratta il caso Algranati come prova che il giudicato vale nei due sensi; qualifica l'appartenenza a uno o più gruppi come fatto biografico inerte per l'attribuzione. Fonti: sentenza I Corte d'assise di Roma 24/1/1983 e analisi delle sentenze (Questione Giustizia, parti prima e seconda); Il Sole 24 Ore; fonti biografiche verificate per Braghetti, Casimirri, Algranati. Nessuna imputazione oltre il giudicato; nessuna graduatoria; nessuna percentuale.</w:t>
      </w:r>
    </w:p>
    <w:p>
      <w:pPr>
        <w:pStyle w:val="Heading3"/>
        <w:spacing w:after="80" w:before="240"/>
      </w:pPr>
      <w:r>
        <w:rPr>
          <w:rFonts w:ascii="Barlow Semi Condensed" w:cs="Barlow Semi Condensed" w:eastAsia="Barlow Semi Condensed" w:hAnsi="Barlow Semi Condensed"/>
          <w:sz w:val="24"/>
          <w:szCs w:val="24"/>
        </w:rPr>
        <w:t xml:space="preserve">Apparato grafico — Libro undicesimo · Il principio personalistico</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8"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Libro undicesimo I: 2.378 parole in 4 sezioni; la più ampia è §2 Segmento 2, con 672.</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9"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Libro undicesimo I: 8 indirizzi di fonte citati, addensati in 3 sezioni su 4.</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0"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I tredici del registro per stato documentato: il tempo stringe la finestra della parola (priorità biologica).</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1"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La curva che si accelera: ogni scheda vivente del registro lavora contro questo grafico.</w:t>
      </w:r>
    </w:p>
    <w:p>
      <w:pPr>
        <w:spacing w:after="120"/>
        <w:jc w:val="center"/>
      </w:pPr>
      <w:r>
        <w:rPr>
          <w:rFonts w:ascii="Barlow Semi Condensed" w:cs="Barlow Semi Condensed" w:eastAsia="Barlow Semi Condensed" w:hAnsi="Barlow Semi Condensed"/>
          <w:color w:val="777777"/>
          <w:sz w:val="16"/>
          <w:szCs w:val="16"/>
        </w:rPr>
        <w:t xml:space="preserve">Le metriche dell'apparato contano parole, documenti e atti — mai colpe.</w:t>
      </w:r>
    </w:p>
    <w:p>
      <w:r>
        <w:br w:type="page"/>
      </w:r>
    </w:p>
    <w:p>
      <w:pPr>
        <w:pStyle w:val="Heading1"/>
        <w:spacing w:after="120" w:before="240"/>
      </w:pPr>
      <w:r>
        <w:rPr>
          <w:rFonts w:ascii="Barlow Semi Condensed" w:cs="Barlow Semi Condensed" w:eastAsia="Barlow Semi Condensed" w:hAnsi="Barlow Semi Condensed"/>
          <w:sz w:val="24"/>
          <w:szCs w:val="24"/>
        </w:rPr>
        <w:t xml:space="preserve">Libro undicesimo — Le responsabilità personali — II. La prosopografia dei tredici</w:t>
      </w:r>
    </w:p>
    <w:p>
      <w:pPr>
        <w:pStyle w:val="Heading1"/>
        <w:spacing w:after="120" w:before="240"/>
      </w:pPr>
      <w:r>
        <w:rPr>
          <w:rFonts w:ascii="Barlow Semi Condensed" w:cs="Barlow Semi Condensed" w:eastAsia="Barlow Semi Condensed" w:hAnsi="Barlow Semi Condensed"/>
          <w:sz w:val="24"/>
          <w:szCs w:val="24"/>
        </w:rPr>
        <w:t xml:space="preserve">Triangolazione dei tredici condannati con il corpus</w:t>
      </w:r>
    </w:p>
    <w:p>
      <w:pPr>
        <w:pStyle w:val="Heading2"/>
        <w:spacing w:after="100" w:before="200"/>
      </w:pPr>
      <w:r>
        <w:rPr>
          <w:rFonts w:ascii="Barlow Semi Condensed" w:cs="Barlow Semi Condensed" w:eastAsia="Barlow Semi Condensed" w:hAnsi="Barlow Semi Condensed"/>
          <w:sz w:val="24"/>
          <w:szCs w:val="24"/>
        </w:rPr>
        <w:t xml:space="preserve">Prosopografia del registro personalistico e i ponti verso gli altri domini</w:t>
      </w:r>
    </w:p>
    <w:p>
      <w:pPr>
        <w:spacing w:after="120" w:line="276"/>
        <w:jc w:val="both"/>
      </w:pPr>
      <w:r>
        <w:rPr>
          <w:rFonts w:ascii="Barlow Semi Condensed" w:cs="Barlow Semi Condensed" w:eastAsia="Barlow Semi Condensed" w:hAnsi="Barlow Semi Condensed"/>
          <w:i/>
          <w:iCs/>
          <w:sz w:val="24"/>
          <w:szCs w:val="24"/>
        </w:rPr>
        <w:t xml:space="preserve">Documento di triangolazione — 25 agosto 2026 · Complemento della Fase decima</w:t>
      </w:r>
    </w:p>
    <w:p>
      <w:pPr>
        <w:pBdr>
          <w:left w:val="single" w:color="1F3864" w:sz="18" w:space="8"/>
        </w:pBdr>
        <w:spacing w:after="80" w:before="80"/>
        <w:ind w:left="360" w:right="360"/>
        <w:jc w:val="both"/>
      </w:pPr>
      <w:r>
        <w:rPr>
          <w:rFonts w:ascii="Barlow Semi Condensed" w:cs="Barlow Semi Condensed" w:eastAsia="Barlow Semi Condensed" w:hAnsi="Barlow Semi Condensed"/>
          <w:b/>
          <w:bCs/>
          <w:i w:val="false"/>
          <w:iCs w:val="false"/>
          <w:sz w:val="24"/>
          <w:szCs w:val="24"/>
        </w:rPr>
        <w:t xml:space="preserve">Statuto e perimetro.</w:t>
      </w:r>
      <w:r>
        <w:rPr>
          <w:rFonts w:ascii="Barlow Semi Condensed" w:cs="Barlow Semi Condensed" w:eastAsia="Barlow Semi Condensed" w:hAnsi="Barlow Semi Condensed"/>
          <w:i w:val="false"/>
          <w:iCs w:val="false"/>
          <w:sz w:val="24"/>
          <w:szCs w:val="24"/>
        </w:rPr>
        <w:t xml:space="preserve"> Questo documento prende le </w:t>
      </w:r>
      <w:r>
        <w:rPr>
          <w:rFonts w:ascii="Barlow Semi Condensed" w:cs="Barlow Semi Condensed" w:eastAsia="Barlow Semi Condensed" w:hAnsi="Barlow Semi Condensed"/>
          <w:b/>
          <w:bCs/>
          <w:i w:val="false"/>
          <w:iCs w:val="false"/>
          <w:sz w:val="24"/>
          <w:szCs w:val="24"/>
        </w:rPr>
        <w:t xml:space="preserve">tredici persone del registro nominativo</w:t>
      </w:r>
      <w:r>
        <w:rPr>
          <w:rFonts w:ascii="Barlow Semi Condensed" w:cs="Barlow Semi Condensed" w:eastAsia="Barlow Semi Condensed" w:hAnsi="Barlow Semi Condensed"/>
          <w:i w:val="false"/>
          <w:iCs w:val="false"/>
          <w:sz w:val="24"/>
          <w:szCs w:val="24"/>
        </w:rPr>
        <w:t xml:space="preserve"> (Fase decima, cap. 79) — le sole la cui responsabilità nel caso Moro è accertata in giudicato — e ne incrocia le </w:t>
      </w:r>
      <w:r>
        <w:rPr>
          <w:rFonts w:ascii="Barlow Semi Condensed" w:cs="Barlow Semi Condensed" w:eastAsia="Barlow Semi Condensed" w:hAnsi="Barlow Semi Condensed"/>
          <w:b/>
          <w:bCs/>
          <w:i w:val="false"/>
          <w:iCs w:val="false"/>
          <w:sz w:val="24"/>
          <w:szCs w:val="24"/>
        </w:rPr>
        <w:t xml:space="preserve">biografie documentate</w:t>
      </w:r>
      <w:r>
        <w:rPr>
          <w:rFonts w:ascii="Barlow Semi Condensed" w:cs="Barlow Semi Condensed" w:eastAsia="Barlow Semi Condensed" w:hAnsi="Barlow Semi Condensed"/>
          <w:i w:val="false"/>
          <w:iCs w:val="false"/>
          <w:sz w:val="24"/>
          <w:szCs w:val="24"/>
        </w:rPr>
        <w:t xml:space="preserve"> con gli altri domini del corpus: il fronte Feltrinelli/GAP, il nodo Hyperion/CPM/Superclan, il fronte guevariano e latinoamericano, il filo del Tribunale Speciale, la dimensione diplomatica e vaticana della cartella Farnesina, e i nodi interni del caso (Memoriale, trattativa, i covi). Lo scopo è </w:t>
      </w:r>
      <w:r>
        <w:rPr>
          <w:rFonts w:ascii="Barlow Semi Condensed" w:cs="Barlow Semi Condensed" w:eastAsia="Barlow Semi Condensed" w:hAnsi="Barlow Semi Condensed"/>
          <w:b/>
          <w:bCs/>
          <w:i w:val="false"/>
          <w:iCs w:val="false"/>
          <w:sz w:val="24"/>
          <w:szCs w:val="24"/>
        </w:rPr>
        <w:t xml:space="preserve">capire i legami</w:t>
      </w:r>
      <w:r>
        <w:rPr>
          <w:rFonts w:ascii="Barlow Semi Condensed" w:cs="Barlow Semi Condensed" w:eastAsia="Barlow Semi Condensed" w:hAnsi="Barlow Semi Condensed"/>
          <w:i w:val="false"/>
          <w:iCs w:val="false"/>
          <w:sz w:val="24"/>
          <w:szCs w:val="24"/>
        </w:rPr>
        <w:t xml:space="preserve">, non estenderli: ogni ponte qui censito è un fatto biografico o un atto documentato, e </w:t>
      </w:r>
      <w:r>
        <w:rPr>
          <w:rFonts w:ascii="Barlow Semi Condensed" w:cs="Barlow Semi Condensed" w:eastAsia="Barlow Semi Condensed" w:hAnsi="Barlow Semi Condensed"/>
          <w:b/>
          <w:bCs/>
          <w:i w:val="false"/>
          <w:iCs w:val="false"/>
          <w:sz w:val="24"/>
          <w:szCs w:val="24"/>
        </w:rPr>
        <w:t xml:space="preserve">nessun ponte aggiunge un grammo di colpa</w:t>
      </w:r>
      <w:r>
        <w:rPr>
          <w:rFonts w:ascii="Barlow Semi Condensed" w:cs="Barlow Semi Condensed" w:eastAsia="Barlow Semi Condensed" w:hAnsi="Barlow Semi Condensed"/>
          <w:i w:val="false"/>
          <w:iCs w:val="false"/>
          <w:sz w:val="24"/>
          <w:szCs w:val="24"/>
        </w:rPr>
        <w:t xml:space="preserve"> a ciò che il giudicato ha già scritto, né sposta di un millimetro la posizione di chiunque altro. Valgono, rafforzate, le quattro regole: l'appartenenza non è condotta; la contemporaneità non è nesso; la parentela non è canale; l'origine comune non è regia. Ogni verifica di questo documento è stata condotta su fonti prima della stesura; gli esiti negativi sono dichiarati come acquisizioni di pieno valore. Il materiale riservato del versante privato del corpus </w:t>
      </w:r>
      <w:r>
        <w:rPr>
          <w:rFonts w:ascii="Barlow Semi Condensed" w:cs="Barlow Semi Condensed" w:eastAsia="Barlow Semi Condensed" w:hAnsi="Barlow Semi Condensed"/>
          <w:b/>
          <w:bCs/>
          <w:i w:val="false"/>
          <w:iCs w:val="false"/>
          <w:sz w:val="24"/>
          <w:szCs w:val="24"/>
        </w:rPr>
        <w:t xml:space="preserve">non è toccato né richiamato</w:t>
      </w:r>
      <w:r>
        <w:rPr>
          <w:rFonts w:ascii="Barlow Semi Condensed" w:cs="Barlow Semi Condensed" w:eastAsia="Barlow Semi Condensed" w:hAnsi="Barlow Semi Condensed"/>
          <w:i w:val="false"/>
          <w:iCs w:val="false"/>
          <w:sz w:val="24"/>
          <w:szCs w:val="24"/>
        </w:rPr>
        <w:t xml:space="preserve">: questa triangolazione vive interamente nel pubblico e documentato.</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I domini di incrocio</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c>
          <w:tcPr>
            <w:tcW w:type="dxa" w:w="312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Sigla</w:t>
            </w:r>
          </w:p>
        </w:tc>
        <w:tc>
          <w:tcPr>
            <w:tcW w:type="dxa" w:w="312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Dominio del corpus</w:t>
            </w:r>
          </w:p>
        </w:tc>
        <w:tc>
          <w:tcPr>
            <w:tcW w:type="dxa" w:w="312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Documenti di riferimento</w:t>
            </w:r>
          </w:p>
        </w:tc>
      </w:tr>
      <w:tr>
        <w:tc>
          <w:tcPr>
            <w:tcW w:type="dxa" w:w="3120"/>
          </w:tcPr>
          <w:p>
            <w:pPr>
              <w:spacing w:after="20" w:before="20"/>
              <w:jc w:val="both"/>
            </w:pPr>
            <w:r>
              <w:rPr>
                <w:rFonts w:ascii="Barlow Semi Condensed" w:cs="Barlow Semi Condensed" w:eastAsia="Barlow Semi Condensed" w:hAnsi="Barlow Semi Condensed"/>
                <w:b/>
                <w:bCs/>
                <w:sz w:val="20"/>
                <w:szCs w:val="20"/>
              </w:rPr>
              <w:t xml:space="preserve">D1</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Feltrinelli, l'editoria e i GAP</w:t>
            </w:r>
          </w:p>
        </w:tc>
        <w:tc>
          <w:tcPr>
            <w:tcW w:type="dxa" w:w="3120"/>
          </w:tcPr>
          <w:p>
            <w:pPr>
              <w:spacing w:after="20" w:before="20"/>
              <w:jc w:val="both"/>
            </w:pPr>
            <w:r>
              <w:rPr>
                <w:rFonts w:ascii="Barlow Semi Condensed" w:cs="Barlow Semi Condensed" w:eastAsia="Barlow Semi Condensed" w:hAnsi="Barlow Semi Condensed"/>
                <w:i/>
                <w:iCs/>
                <w:sz w:val="20"/>
                <w:szCs w:val="20"/>
              </w:rPr>
              <w:t xml:space="preserve">feltrinelli-il-vettore.md</w:t>
            </w:r>
            <w:r>
              <w:rPr>
                <w:rFonts w:ascii="Barlow Semi Condensed" w:cs="Barlow Semi Condensed" w:eastAsia="Barlow Semi Condensed" w:hAnsi="Barlow Semi Condensed"/>
                <w:sz w:val="20"/>
                <w:szCs w:val="20"/>
              </w:rPr>
              <w:t xml:space="preserve">, </w:t>
            </w:r>
            <w:r>
              <w:rPr>
                <w:rFonts w:ascii="Barlow Semi Condensed" w:cs="Barlow Semi Condensed" w:eastAsia="Barlow Semi Condensed" w:hAnsi="Barlow Semi Condensed"/>
                <w:i/>
                <w:iCs/>
                <w:sz w:val="20"/>
                <w:szCs w:val="20"/>
              </w:rPr>
              <w:t xml:space="preserve">triangolazione-feltrinelli-corpus.md</w:t>
            </w:r>
          </w:p>
        </w:tc>
      </w:tr>
      <w:tr>
        <w:tc>
          <w:tcPr>
            <w:tcW w:type="dxa" w:w="3120"/>
          </w:tcPr>
          <w:p>
            <w:pPr>
              <w:spacing w:after="20" w:before="20"/>
              <w:jc w:val="both"/>
            </w:pPr>
            <w:r>
              <w:rPr>
                <w:rFonts w:ascii="Barlow Semi Condensed" w:cs="Barlow Semi Condensed" w:eastAsia="Barlow Semi Condensed" w:hAnsi="Barlow Semi Condensed"/>
                <w:b/>
                <w:bCs/>
                <w:sz w:val="20"/>
                <w:szCs w:val="20"/>
              </w:rPr>
              <w:t xml:space="preserve">D2</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Hyperion, CPM e Superclan (le genealogie del 1969-70)</w:t>
            </w:r>
          </w:p>
        </w:tc>
        <w:tc>
          <w:tcPr>
            <w:tcW w:type="dxa" w:w="3120"/>
          </w:tcPr>
          <w:p>
            <w:pPr>
              <w:spacing w:after="20" w:before="20"/>
              <w:jc w:val="both"/>
            </w:pPr>
            <w:r>
              <w:rPr>
                <w:rFonts w:ascii="Barlow Semi Condensed" w:cs="Barlow Semi Condensed" w:eastAsia="Barlow Semi Condensed" w:hAnsi="Barlow Semi Condensed"/>
                <w:i/>
                <w:iCs/>
                <w:sz w:val="20"/>
                <w:szCs w:val="20"/>
              </w:rPr>
              <w:t xml:space="preserve">triangolazione-hyperion-corpus.md</w:t>
            </w:r>
            <w:r>
              <w:rPr>
                <w:rFonts w:ascii="Barlow Semi Condensed" w:cs="Barlow Semi Condensed" w:eastAsia="Barlow Semi Condensed" w:hAnsi="Barlow Semi Condensed"/>
                <w:sz w:val="20"/>
                <w:szCs w:val="20"/>
              </w:rPr>
              <w:t xml:space="preserve">, </w:t>
            </w:r>
            <w:r>
              <w:rPr>
                <w:rFonts w:ascii="Barlow Semi Condensed" w:cs="Barlow Semi Condensed" w:eastAsia="Barlow Semi Condensed" w:hAnsi="Barlow Semi Condensed"/>
                <w:i/>
                <w:iCs/>
                <w:sz w:val="20"/>
                <w:szCs w:val="20"/>
              </w:rPr>
              <w:t xml:space="preserve">triangolazione-feltrinelli-hyperion.md</w:t>
            </w:r>
          </w:p>
        </w:tc>
      </w:tr>
      <w:tr>
        <w:tc>
          <w:tcPr>
            <w:tcW w:type="dxa" w:w="3120"/>
          </w:tcPr>
          <w:p>
            <w:pPr>
              <w:spacing w:after="20" w:before="20"/>
              <w:jc w:val="both"/>
            </w:pPr>
            <w:r>
              <w:rPr>
                <w:rFonts w:ascii="Barlow Semi Condensed" w:cs="Barlow Semi Condensed" w:eastAsia="Barlow Semi Condensed" w:hAnsi="Barlow Semi Condensed"/>
                <w:b/>
                <w:bCs/>
                <w:sz w:val="20"/>
                <w:szCs w:val="20"/>
              </w:rPr>
              <w:t xml:space="preserve">D3</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Guevara, il mito del Che e l'America Latina</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corpus guevariano, </w:t>
            </w:r>
            <w:r>
              <w:rPr>
                <w:rFonts w:ascii="Barlow Semi Condensed" w:cs="Barlow Semi Condensed" w:eastAsia="Barlow Semi Condensed" w:hAnsi="Barlow Semi Condensed"/>
                <w:i/>
                <w:iCs/>
                <w:sz w:val="20"/>
                <w:szCs w:val="20"/>
              </w:rPr>
              <w:t xml:space="preserve">cronologia-guevara-moro.html</w:t>
            </w:r>
          </w:p>
        </w:tc>
      </w:tr>
      <w:tr>
        <w:tc>
          <w:tcPr>
            <w:tcW w:type="dxa" w:w="3120"/>
          </w:tcPr>
          <w:p>
            <w:pPr>
              <w:spacing w:after="20" w:before="20"/>
              <w:jc w:val="both"/>
            </w:pPr>
            <w:r>
              <w:rPr>
                <w:rFonts w:ascii="Barlow Semi Condensed" w:cs="Barlow Semi Condensed" w:eastAsia="Barlow Semi Condensed" w:hAnsi="Barlow Semi Condensed"/>
                <w:b/>
                <w:bCs/>
                <w:sz w:val="20"/>
                <w:szCs w:val="20"/>
              </w:rPr>
              <w:t xml:space="preserve">D4</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Il Tribunale Speciale e la giustizia d'eccezione (il filo del 1926)</w:t>
            </w:r>
          </w:p>
        </w:tc>
        <w:tc>
          <w:tcPr>
            <w:tcW w:type="dxa" w:w="3120"/>
          </w:tcPr>
          <w:p>
            <w:pPr>
              <w:spacing w:after="20" w:before="20"/>
              <w:jc w:val="both"/>
            </w:pPr>
            <w:r>
              <w:rPr>
                <w:rFonts w:ascii="Barlow Semi Condensed" w:cs="Barlow Semi Condensed" w:eastAsia="Barlow Semi Condensed" w:hAnsi="Barlow Semi Condensed"/>
                <w:i/>
                <w:iCs/>
                <w:sz w:val="20"/>
                <w:szCs w:val="20"/>
              </w:rPr>
              <w:t xml:space="preserve">tribunale-speciale-storia-istituzione.md</w:t>
            </w:r>
            <w:r>
              <w:rPr>
                <w:rFonts w:ascii="Barlow Semi Condensed" w:cs="Barlow Semi Condensed" w:eastAsia="Barlow Semi Condensed" w:hAnsi="Barlow Semi Condensed"/>
                <w:sz w:val="20"/>
                <w:szCs w:val="20"/>
              </w:rPr>
              <w:t xml:space="preserve"> e approfondimenti</w:t>
            </w:r>
          </w:p>
        </w:tc>
      </w:tr>
      <w:tr>
        <w:tc>
          <w:tcPr>
            <w:tcW w:type="dxa" w:w="3120"/>
          </w:tcPr>
          <w:p>
            <w:pPr>
              <w:spacing w:after="20" w:before="20"/>
              <w:jc w:val="both"/>
            </w:pPr>
            <w:r>
              <w:rPr>
                <w:rFonts w:ascii="Barlow Semi Condensed" w:cs="Barlow Semi Condensed" w:eastAsia="Barlow Semi Condensed" w:hAnsi="Barlow Semi Condensed"/>
                <w:b/>
                <w:bCs/>
                <w:sz w:val="20"/>
                <w:szCs w:val="20"/>
              </w:rPr>
              <w:t xml:space="preserve">D5</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La dimensione diplomatica e vaticana (Farnesina, Santa Sede)</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cartella </w:t>
            </w:r>
            <w:r>
              <w:rPr>
                <w:rFonts w:ascii="Barlow Semi Condensed" w:cs="Barlow Semi Condensed" w:eastAsia="Barlow Semi Condensed" w:hAnsi="Barlow Semi Condensed"/>
                <w:i/>
                <w:iCs/>
                <w:sz w:val="20"/>
                <w:szCs w:val="20"/>
              </w:rPr>
              <w:t xml:space="preserve">moro-ministro-esteri/</w:t>
            </w:r>
          </w:p>
        </w:tc>
      </w:tr>
      <w:tr>
        <w:tc>
          <w:tcPr>
            <w:tcW w:type="dxa" w:w="3120"/>
          </w:tcPr>
          <w:p>
            <w:pPr>
              <w:spacing w:after="20" w:before="20"/>
              <w:jc w:val="both"/>
            </w:pPr>
            <w:r>
              <w:rPr>
                <w:rFonts w:ascii="Barlow Semi Condensed" w:cs="Barlow Semi Condensed" w:eastAsia="Barlow Semi Condensed" w:hAnsi="Barlow Semi Condensed"/>
                <w:b/>
                <w:bCs/>
                <w:sz w:val="20"/>
                <w:szCs w:val="20"/>
              </w:rPr>
              <w:t xml:space="preserve">D6</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I nodi interni del caso (Memoriale, trattativa, covi, memoria)</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Parte terza, Fasi settima e nona</w:t>
            </w:r>
          </w:p>
        </w:tc>
      </w:tr>
    </w:tbl>
    <w:p>
      <w:pPr>
        <w:spacing w:after="80"/>
      </w:pP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Nodo T-1 — Moretti e il ceppo del 1969: la Sit-Siemens, il CPM e la doppia discendenza (D2)</w:t>
      </w:r>
    </w:p>
    <w:p>
      <w:pPr>
        <w:spacing w:after="120" w:line="276"/>
        <w:jc w:val="both"/>
      </w:pPr>
      <w:r>
        <w:rPr>
          <w:rFonts w:ascii="Barlow Semi Condensed" w:cs="Barlow Semi Condensed" w:eastAsia="Barlow Semi Condensed" w:hAnsi="Barlow Semi Condensed"/>
          <w:sz w:val="24"/>
          <w:szCs w:val="24"/>
        </w:rPr>
        <w:t xml:space="preserve">Il ponte più solido dell'intera triangolazione è genealogico. Mario Moretti giunse a Milano all'inizio del 1968 e fu assunto alla </w:t>
      </w:r>
      <w:r>
        <w:rPr>
          <w:rFonts w:ascii="Barlow Semi Condensed" w:cs="Barlow Semi Condensed" w:eastAsia="Barlow Semi Condensed" w:hAnsi="Barlow Semi Condensed"/>
          <w:b/>
          <w:bCs/>
          <w:sz w:val="24"/>
          <w:szCs w:val="24"/>
        </w:rPr>
        <w:t xml:space="preserve">Sit-Siemens</w:t>
      </w:r>
      <w:r>
        <w:rPr>
          <w:rFonts w:ascii="Barlow Semi Condensed" w:cs="Barlow Semi Condensed" w:eastAsia="Barlow Semi Condensed" w:hAnsi="Barlow Semi Condensed"/>
          <w:sz w:val="24"/>
          <w:szCs w:val="24"/>
        </w:rPr>
        <w:t xml:space="preserve"> — con una lettera di raccomandazione della marchesa Anna Casati Stampa di Soncino, dettaglio biografico consolidato — e in fabbrica conobbe Corrado Alunni, Giorgio Semeria, Paola Besuschio e altri futuri brigatisti; con loro entrò nel </w:t>
      </w:r>
      <w:r>
        <w:rPr>
          <w:rFonts w:ascii="Barlow Semi Condensed" w:cs="Barlow Semi Condensed" w:eastAsia="Barlow Semi Condensed" w:hAnsi="Barlow Semi Condensed"/>
          <w:b/>
          <w:bCs/>
          <w:sz w:val="24"/>
          <w:szCs w:val="24"/>
        </w:rPr>
        <w:t xml:space="preserve">Collettivo Politico Metropolitano</w:t>
      </w:r>
      <w:r>
        <w:rPr>
          <w:rFonts w:ascii="Barlow Semi Condensed" w:cs="Barlow Semi Condensed" w:eastAsia="Barlow Semi Condensed" w:hAnsi="Barlow Semi Condensed"/>
          <w:sz w:val="24"/>
          <w:szCs w:val="24"/>
        </w:rPr>
        <w:t xml:space="preserve"> di Renato Curcio e Margherita Cagol, il coordinamento fondato l'</w:t>
      </w:r>
      <w:r>
        <w:rPr>
          <w:rFonts w:ascii="Barlow Semi Condensed" w:cs="Barlow Semi Condensed" w:eastAsia="Barlow Semi Condensed" w:hAnsi="Barlow Semi Condensed"/>
          <w:b/>
          <w:bCs/>
          <w:sz w:val="24"/>
          <w:szCs w:val="24"/>
        </w:rPr>
        <w:t xml:space="preserve">8 settembre 1969</w:t>
      </w:r>
      <w:r>
        <w:rPr>
          <w:rFonts w:ascii="Barlow Semi Condensed" w:cs="Barlow Semi Condensed" w:eastAsia="Barlow Semi Condensed" w:hAnsi="Barlow Semi Condensed"/>
          <w:sz w:val="24"/>
          <w:szCs w:val="24"/>
        </w:rPr>
        <w:t xml:space="preserve"> che raccoglieva operai e tecnici soprattutto di Sit-Siemens e Pirelli. La clandestinità venne fra l'estate e l'autunno del 1970, con il nucleo storico delle BR (Cinquantamila.it, biografia di Moretti (https://www.cinquantamila.it/storyTellerArticolo.php?storyId=5b8fafffca5e4); Spazio70, sul CPM (https://nazionalpopolare70.wordpress.com/tag/collettivo-politico-metropolitano/); Wikipedia, </w:t>
      </w:r>
      <w:r>
        <w:rPr>
          <w:rFonts w:ascii="Barlow Semi Condensed" w:cs="Barlow Semi Condensed" w:eastAsia="Barlow Semi Condensed" w:hAnsi="Barlow Semi Condensed"/>
          <w:i/>
          <w:iCs/>
          <w:sz w:val="24"/>
          <w:szCs w:val="24"/>
        </w:rPr>
        <w:t xml:space="preserve">Brigate Rosse</w:t>
      </w:r>
      <w:r>
        <w:rPr>
          <w:rFonts w:ascii="Barlow Semi Condensed" w:cs="Barlow Semi Condensed" w:eastAsia="Barlow Semi Condensed" w:hAnsi="Barlow Semi Condensed"/>
          <w:sz w:val="24"/>
          <w:szCs w:val="24"/>
        </w:rPr>
        <w:t xml:space="preserve"> (https://it.wikipedia.org/wiki/Brigate_Rosse)).</w:t>
      </w:r>
    </w:p>
    <w:p>
      <w:pPr>
        <w:spacing w:after="120" w:line="276"/>
        <w:jc w:val="both"/>
      </w:pPr>
      <w:r>
        <w:rPr>
          <w:rFonts w:ascii="Barlow Semi Condensed" w:cs="Barlow Semi Condensed" w:eastAsia="Barlow Semi Condensed" w:hAnsi="Barlow Semi Condensed"/>
          <w:sz w:val="24"/>
          <w:szCs w:val="24"/>
        </w:rPr>
        <w:t xml:space="preserve">Il punto di triangolazione è che il CPM ebbe </w:t>
      </w:r>
      <w:r>
        <w:rPr>
          <w:rFonts w:ascii="Barlow Semi Condensed" w:cs="Barlow Semi Condensed" w:eastAsia="Barlow Semi Condensed" w:hAnsi="Barlow Semi Condensed"/>
          <w:b/>
          <w:bCs/>
          <w:sz w:val="24"/>
          <w:szCs w:val="24"/>
        </w:rPr>
        <w:t xml:space="preserve">due fondatori e due discendenze</w:t>
      </w:r>
      <w:r>
        <w:rPr>
          <w:rFonts w:ascii="Barlow Semi Condensed" w:cs="Barlow Semi Condensed" w:eastAsia="Barlow Semi Condensed" w:hAnsi="Barlow Semi Condensed"/>
          <w:sz w:val="24"/>
          <w:szCs w:val="24"/>
        </w:rPr>
        <w:t xml:space="preserve">: da Curcio discesero le Brigate Rosse; da </w:t>
      </w:r>
      <w:r>
        <w:rPr>
          <w:rFonts w:ascii="Barlow Semi Condensed" w:cs="Barlow Semi Condensed" w:eastAsia="Barlow Semi Condensed" w:hAnsi="Barlow Semi Condensed"/>
          <w:b/>
          <w:bCs/>
          <w:sz w:val="24"/>
          <w:szCs w:val="24"/>
        </w:rPr>
        <w:t xml:space="preserve">Corrado Simioni</w:t>
      </w:r>
      <w:r>
        <w:rPr>
          <w:rFonts w:ascii="Barlow Semi Condensed" w:cs="Barlow Semi Condensed" w:eastAsia="Barlow Semi Condensed" w:hAnsi="Barlow Semi Condensed"/>
          <w:sz w:val="24"/>
          <w:szCs w:val="24"/>
        </w:rPr>
        <w:t xml:space="preserve"> — l'altro fondatore — discese il Superclan e, nel 1976 a Parigi, Hyperion. È esattamente la </w:t>
      </w:r>
      <w:r>
        <w:rPr>
          <w:rFonts w:ascii="Barlow Semi Condensed" w:cs="Barlow Semi Condensed" w:eastAsia="Barlow Semi Condensed" w:hAnsi="Barlow Semi Condensed"/>
          <w:b/>
          <w:bCs/>
          <w:sz w:val="24"/>
          <w:szCs w:val="24"/>
        </w:rPr>
        <w:t xml:space="preserve">triforcazione della matrice milanese del 1969-70</w:t>
      </w:r>
      <w:r>
        <w:rPr>
          <w:rFonts w:ascii="Barlow Semi Condensed" w:cs="Barlow Semi Condensed" w:eastAsia="Barlow Semi Condensed" w:hAnsi="Barlow Semi Condensed"/>
          <w:sz w:val="24"/>
          <w:szCs w:val="24"/>
        </w:rPr>
        <w:t xml:space="preserve"> (GAP · BR · Superclan) che il corpus ha già mappato nella triangolazione Feltrinelli-Hyperion: «stesso ceppo, tre strade, ponti di uomini, nessuna regia accertata». Moretti sta dentro quel ceppo per biografia documentata (grado </w:t>
      </w:r>
      <w:r>
        <w:rPr>
          <w:rFonts w:ascii="Barlow Semi Condensed" w:cs="Barlow Semi Condensed" w:eastAsia="Barlow Semi Condensed" w:hAnsi="Barlow Semi Condensed"/>
          <w:b/>
          <w:bCs/>
          <w:sz w:val="24"/>
          <w:szCs w:val="24"/>
        </w:rPr>
        <w:t xml:space="preserve">F</w:t>
      </w:r>
      <w:r>
        <w:rPr>
          <w:rFonts w:ascii="Barlow Semi Condensed" w:cs="Barlow Semi Condensed" w:eastAsia="Barlow Semi Condensed" w:hAnsi="Barlow Semi Condensed"/>
          <w:sz w:val="24"/>
          <w:szCs w:val="24"/>
        </w:rPr>
        <w:t xml:space="preserve">), e questo </w:t>
      </w:r>
      <w:r>
        <w:rPr>
          <w:rFonts w:ascii="Barlow Semi Condensed" w:cs="Barlow Semi Condensed" w:eastAsia="Barlow Semi Condensed" w:hAnsi="Barlow Semi Condensed"/>
          <w:i/>
          <w:iCs/>
          <w:sz w:val="24"/>
          <w:szCs w:val="24"/>
        </w:rPr>
        <w:t xml:space="preserve">spiega</w:t>
      </w:r>
      <w:r>
        <w:rPr>
          <w:rFonts w:ascii="Barlow Semi Condensed" w:cs="Barlow Semi Condensed" w:eastAsia="Barlow Semi Condensed" w:hAnsi="Barlow Semi Condensed"/>
          <w:sz w:val="24"/>
          <w:szCs w:val="24"/>
        </w:rPr>
        <w:t xml:space="preserve"> la ricorrenza del suo nome nelle tesi su Hyperion.</w:t>
      </w:r>
    </w:p>
    <w:p>
      <w:pPr>
        <w:spacing w:after="120" w:line="276"/>
        <w:jc w:val="both"/>
      </w:pPr>
      <w:r>
        <w:rPr>
          <w:rFonts w:ascii="Barlow Semi Condensed" w:cs="Barlow Semi Condensed" w:eastAsia="Barlow Semi Condensed" w:hAnsi="Barlow Semi Condensed"/>
          <w:b/>
          <w:bCs/>
          <w:sz w:val="24"/>
          <w:szCs w:val="24"/>
        </w:rPr>
        <w:t xml:space="preserve">Anti-triangolazione, ferma.</w:t>
      </w:r>
      <w:r>
        <w:rPr>
          <w:rFonts w:ascii="Barlow Semi Condensed" w:cs="Barlow Semi Condensed" w:eastAsia="Barlow Semi Condensed" w:hAnsi="Barlow Semi Condensed"/>
          <w:sz w:val="24"/>
          <w:szCs w:val="24"/>
        </w:rPr>
        <w:t xml:space="preserve"> La comune origine nel CPM </w:t>
      </w:r>
      <w:r>
        <w:rPr>
          <w:rFonts w:ascii="Barlow Semi Condensed" w:cs="Barlow Semi Condensed" w:eastAsia="Barlow Semi Condensed" w:hAnsi="Barlow Semi Condensed"/>
          <w:b/>
          <w:bCs/>
          <w:sz w:val="24"/>
          <w:szCs w:val="24"/>
        </w:rPr>
        <w:t xml:space="preserve">non prova</w:t>
      </w:r>
      <w:r>
        <w:rPr>
          <w:rFonts w:ascii="Barlow Semi Condensed" w:cs="Barlow Semi Condensed" w:eastAsia="Barlow Semi Condensed" w:hAnsi="Barlow Semi Condensed"/>
          <w:sz w:val="24"/>
          <w:szCs w:val="24"/>
        </w:rPr>
        <w:t xml:space="preserve"> alcun rapporto operativo fra Moretti e Hyperion nel 1978. La tesi di Moretti «tramite» della scuola di Parigi è una </w:t>
      </w:r>
      <w:r>
        <w:rPr>
          <w:rFonts w:ascii="Barlow Semi Condensed" w:cs="Barlow Semi Condensed" w:eastAsia="Barlow Semi Condensed" w:hAnsi="Barlow Semi Condensed"/>
          <w:b/>
          <w:bCs/>
          <w:sz w:val="24"/>
          <w:szCs w:val="24"/>
        </w:rPr>
        <w:t xml:space="preserve">congettura (C)</w:t>
      </w:r>
      <w:r>
        <w:rPr>
          <w:rFonts w:ascii="Barlow Semi Condensed" w:cs="Barlow Semi Condensed" w:eastAsia="Barlow Semi Condensed" w:hAnsi="Barlow Semi Condensed"/>
          <w:sz w:val="24"/>
          <w:szCs w:val="24"/>
        </w:rPr>
        <w:t xml:space="preserve"> che il corpus ha già gradato come tale nella triangolazione Hyperion — dove sta scritto ciò che va ripetuto qui: le indagini 1979-82 si chiusero con </w:t>
      </w:r>
      <w:r>
        <w:rPr>
          <w:rFonts w:ascii="Barlow Semi Condensed" w:cs="Barlow Semi Condensed" w:eastAsia="Barlow Semi Condensed" w:hAnsi="Barlow Semi Condensed"/>
          <w:b/>
          <w:bCs/>
          <w:sz w:val="24"/>
          <w:szCs w:val="24"/>
        </w:rPr>
        <w:t xml:space="preserve">proscioglimenti per tutti</w:t>
      </w:r>
      <w:r>
        <w:rPr>
          <w:rFonts w:ascii="Barlow Semi Condensed" w:cs="Barlow Semi Condensed" w:eastAsia="Barlow Semi Condensed" w:hAnsi="Barlow Semi Condensed"/>
          <w:sz w:val="24"/>
          <w:szCs w:val="24"/>
        </w:rPr>
        <w:t xml:space="preserve">, e le due tesi contrapposte («centrale del terrorismo» / «centrale d'intelligence») restano entrambe non provate, con criterio di smentita comune. Il ponte è il ceppo; il ceppo non è una catena di comando.</w:t>
      </w:r>
    </w:p>
    <w:p>
      <w:pPr>
        <w:pStyle w:val="Heading2"/>
        <w:spacing w:after="100" w:before="200"/>
      </w:pPr>
      <w:r>
        <w:rPr>
          <w:rFonts w:ascii="Barlow Semi Condensed" w:cs="Barlow Semi Condensed" w:eastAsia="Barlow Semi Condensed" w:hAnsi="Barlow Semi Condensed"/>
          <w:sz w:val="24"/>
          <w:szCs w:val="24"/>
        </w:rPr>
        <w:t xml:space="preserve">Nodo T-2 — Morucci, Faranda e il canale Pace-Piperno: da Potere Operaio alla trattativa (D6)</w:t>
      </w:r>
    </w:p>
    <w:p>
      <w:pPr>
        <w:spacing w:after="120" w:line="276"/>
        <w:jc w:val="both"/>
      </w:pPr>
      <w:r>
        <w:rPr>
          <w:rFonts w:ascii="Barlow Semi Condensed" w:cs="Barlow Semi Condensed" w:eastAsia="Barlow Semi Condensed" w:hAnsi="Barlow Semi Condensed"/>
          <w:sz w:val="24"/>
          <w:szCs w:val="24"/>
        </w:rPr>
        <w:t xml:space="preserve">Valerio Morucci e Adriana Faranda militarono in </w:t>
      </w:r>
      <w:r>
        <w:rPr>
          <w:rFonts w:ascii="Barlow Semi Condensed" w:cs="Barlow Semi Condensed" w:eastAsia="Barlow Semi Condensed" w:hAnsi="Barlow Semi Condensed"/>
          <w:b/>
          <w:bCs/>
          <w:sz w:val="24"/>
          <w:szCs w:val="24"/>
        </w:rPr>
        <w:t xml:space="preserve">Potere Operaio</w:t>
      </w:r>
      <w:r>
        <w:rPr>
          <w:rFonts w:ascii="Barlow Semi Condensed" w:cs="Barlow Semi Condensed" w:eastAsia="Barlow Semi Condensed" w:hAnsi="Barlow Semi Condensed"/>
          <w:sz w:val="24"/>
          <w:szCs w:val="24"/>
        </w:rPr>
        <w:t xml:space="preserve"> fino al suo scioglimento (1973); Morucci passò per le Formazioni Comuniste Armate, assorbite dalle BR nel 1976 (Wikipedia, </w:t>
      </w:r>
      <w:r>
        <w:rPr>
          <w:rFonts w:ascii="Barlow Semi Condensed" w:cs="Barlow Semi Condensed" w:eastAsia="Barlow Semi Condensed" w:hAnsi="Barlow Semi Condensed"/>
          <w:i/>
          <w:iCs/>
          <w:sz w:val="24"/>
          <w:szCs w:val="24"/>
        </w:rPr>
        <w:t xml:space="preserve">Valerio Morucci</w:t>
      </w:r>
      <w:r>
        <w:rPr>
          <w:rFonts w:ascii="Barlow Semi Condensed" w:cs="Barlow Semi Condensed" w:eastAsia="Barlow Semi Condensed" w:hAnsi="Barlow Semi Condensed"/>
          <w:sz w:val="24"/>
          <w:szCs w:val="24"/>
        </w:rPr>
        <w:t xml:space="preserve"> (https://en.wikipedia.org/wiki/Valerio_Morucci); Wikipedia, </w:t>
      </w:r>
      <w:r>
        <w:rPr>
          <w:rFonts w:ascii="Barlow Semi Condensed" w:cs="Barlow Semi Condensed" w:eastAsia="Barlow Semi Condensed" w:hAnsi="Barlow Semi Condensed"/>
          <w:i/>
          <w:iCs/>
          <w:sz w:val="24"/>
          <w:szCs w:val="24"/>
        </w:rPr>
        <w:t xml:space="preserve">Potere Operaio</w:t>
      </w:r>
      <w:r>
        <w:rPr>
          <w:rFonts w:ascii="Barlow Semi Condensed" w:cs="Barlow Semi Condensed" w:eastAsia="Barlow Semi Condensed" w:hAnsi="Barlow Semi Condensed"/>
          <w:sz w:val="24"/>
          <w:szCs w:val="24"/>
        </w:rPr>
        <w:t xml:space="preserve"> (https://en.wikipedia.org/wiki/Potere_Operaio)). Durante il sequestro, </w:t>
      </w:r>
      <w:r>
        <w:rPr>
          <w:rFonts w:ascii="Barlow Semi Condensed" w:cs="Barlow Semi Condensed" w:eastAsia="Barlow Semi Condensed" w:hAnsi="Barlow Semi Condensed"/>
          <w:b/>
          <w:bCs/>
          <w:sz w:val="24"/>
          <w:szCs w:val="24"/>
        </w:rPr>
        <w:t xml:space="preserve">Lanfranco Pace e Franco Piperno</w:t>
      </w:r>
      <w:r>
        <w:rPr>
          <w:rFonts w:ascii="Barlow Semi Condensed" w:cs="Barlow Semi Condensed" w:eastAsia="Barlow Semi Condensed" w:hAnsi="Barlow Semi Condensed"/>
          <w:sz w:val="24"/>
          <w:szCs w:val="24"/>
        </w:rPr>
        <w:t xml:space="preserve"> — che di Potere Operaio erano stati dirigenti — incontrarono più volte Morucci e Faranda, figure di rilievo della colonna romana (Morucci responsabile della </w:t>
      </w:r>
      <w:r>
        <w:rPr>
          <w:rFonts w:ascii="Barlow Semi Condensed" w:cs="Barlow Semi Condensed" w:eastAsia="Barlow Semi Condensed" w:hAnsi="Barlow Semi Condensed"/>
          <w:b/>
          <w:bCs/>
          <w:sz w:val="24"/>
          <w:szCs w:val="24"/>
        </w:rPr>
        <w:t xml:space="preserve">trasmissione dei comunicati e delle lettere</w:t>
      </w:r>
      <w:r>
        <w:rPr>
          <w:rFonts w:ascii="Barlow Semi Condensed" w:cs="Barlow Semi Condensed" w:eastAsia="Barlow Semi Condensed" w:hAnsi="Barlow Semi Condensed"/>
          <w:sz w:val="24"/>
          <w:szCs w:val="24"/>
        </w:rPr>
        <w:t xml:space="preserve">), fungendo da tramite verso il PSI di Craxi, l'unica forza politica di rilievo favorevole alla trattativa; Morucci e Faranda risultano, nelle ricostruzioni convergenti, fra i contrari all'uccisione dell'ostaggio (Il Sussidiario, ricostruzione del canale (https://www.ilsussidiario.net/news/caso-moro-faranda-morucci-la-trattativa-e-la-crisi-del-partito-armato/2288455/); atti della Commissione Moro 2 (https://documenti.camera.it/leg17/resoconti/commissioni/stenografici/html/68/audiz2/audizione/2017/01/17/stenografico.0118.html)).</w:t>
      </w:r>
    </w:p>
    <w:p>
      <w:pPr>
        <w:spacing w:after="120" w:line="276"/>
        <w:jc w:val="both"/>
      </w:pPr>
      <w:r>
        <w:rPr>
          <w:rFonts w:ascii="Barlow Semi Condensed" w:cs="Barlow Semi Condensed" w:eastAsia="Barlow Semi Condensed" w:hAnsi="Barlow Semi Condensed"/>
          <w:sz w:val="24"/>
          <w:szCs w:val="24"/>
        </w:rPr>
        <w:t xml:space="preserve">Questo ponte salda </w:t>
      </w:r>
      <w:r>
        <w:rPr>
          <w:rFonts w:ascii="Barlow Semi Condensed" w:cs="Barlow Semi Condensed" w:eastAsia="Barlow Semi Condensed" w:hAnsi="Barlow Semi Condensed"/>
          <w:b/>
          <w:bCs/>
          <w:sz w:val="24"/>
          <w:szCs w:val="24"/>
        </w:rPr>
        <w:t xml:space="preserve">due persone del registro</w:t>
      </w:r>
      <w:r>
        <w:rPr>
          <w:rFonts w:ascii="Barlow Semi Condensed" w:cs="Barlow Semi Condensed" w:eastAsia="Barlow Semi Condensed" w:hAnsi="Barlow Semi Condensed"/>
          <w:sz w:val="24"/>
          <w:szCs w:val="24"/>
        </w:rPr>
        <w:t xml:space="preserve"> al nodo «fermezza/trattativa» (Parte terza, cap. VI; Fase nona, cap. 74: «i canali del PSI») attraverso il dominio biografico di Potere Operaio: la militanza comune di anni prima è ciò che rese </w:t>
      </w:r>
      <w:r>
        <w:rPr>
          <w:rFonts w:ascii="Barlow Semi Condensed" w:cs="Barlow Semi Condensed" w:eastAsia="Barlow Semi Condensed" w:hAnsi="Barlow Semi Condensed"/>
          <w:i/>
          <w:iCs/>
          <w:sz w:val="24"/>
          <w:szCs w:val="24"/>
        </w:rPr>
        <w:t xml:space="preserve">possibile</w:t>
      </w:r>
      <w:r>
        <w:rPr>
          <w:rFonts w:ascii="Barlow Semi Condensed" w:cs="Barlow Semi Condensed" w:eastAsia="Barlow Semi Condensed" w:hAnsi="Barlow Semi Condensed"/>
          <w:sz w:val="24"/>
          <w:szCs w:val="24"/>
        </w:rPr>
        <w:t xml:space="preserve"> il canale del 1978. Grado </w:t>
      </w:r>
      <w:r>
        <w:rPr>
          <w:rFonts w:ascii="Barlow Semi Condensed" w:cs="Barlow Semi Condensed" w:eastAsia="Barlow Semi Condensed" w:hAnsi="Barlow Semi Condensed"/>
          <w:b/>
          <w:bCs/>
          <w:sz w:val="24"/>
          <w:szCs w:val="24"/>
        </w:rPr>
        <w:t xml:space="preserve">B</w:t>
      </w:r>
      <w:r>
        <w:rPr>
          <w:rFonts w:ascii="Barlow Semi Condensed" w:cs="Barlow Semi Condensed" w:eastAsia="Barlow Semi Condensed" w:hAnsi="Barlow Semi Condensed"/>
          <w:sz w:val="24"/>
          <w:szCs w:val="24"/>
        </w:rPr>
        <w:t xml:space="preserve"> per la dinamica del canale, </w:t>
      </w:r>
      <w:r>
        <w:rPr>
          <w:rFonts w:ascii="Barlow Semi Condensed" w:cs="Barlow Semi Condensed" w:eastAsia="Barlow Semi Condensed" w:hAnsi="Barlow Semi Condensed"/>
          <w:b/>
          <w:bCs/>
          <w:sz w:val="24"/>
          <w:szCs w:val="24"/>
        </w:rPr>
        <w:t xml:space="preserve">F</w:t>
      </w:r>
      <w:r>
        <w:rPr>
          <w:rFonts w:ascii="Barlow Semi Condensed" w:cs="Barlow Semi Condensed" w:eastAsia="Barlow Semi Condensed" w:hAnsi="Barlow Semi Condensed"/>
          <w:sz w:val="24"/>
          <w:szCs w:val="24"/>
        </w:rPr>
        <w:t xml:space="preserve"> per le militanze.</w:t>
      </w:r>
    </w:p>
    <w:p>
      <w:pPr>
        <w:spacing w:after="120" w:line="276"/>
        <w:jc w:val="both"/>
      </w:pPr>
      <w:r>
        <w:rPr>
          <w:rFonts w:ascii="Barlow Semi Condensed" w:cs="Barlow Semi Condensed" w:eastAsia="Barlow Semi Condensed" w:hAnsi="Barlow Semi Condensed"/>
          <w:b/>
          <w:bCs/>
          <w:sz w:val="24"/>
          <w:szCs w:val="24"/>
        </w:rPr>
        <w:t xml:space="preserve">Anti-triangolazione.</w:t>
      </w:r>
      <w:r>
        <w:rPr>
          <w:rFonts w:ascii="Barlow Semi Condensed" w:cs="Barlow Semi Condensed" w:eastAsia="Barlow Semi Condensed" w:hAnsi="Barlow Semi Condensed"/>
          <w:sz w:val="24"/>
          <w:szCs w:val="24"/>
        </w:rPr>
        <w:t xml:space="preserve"> Il canale non attenua né aggrava il giudicato di Morucci e Faranda, che risponde delle condotte accertate e di quelle sole; non prova che la trattativa fosse praticabile (giudizio storico, non fatto); e soprattutto </w:t>
      </w:r>
      <w:r>
        <w:rPr>
          <w:rFonts w:ascii="Barlow Semi Condensed" w:cs="Barlow Semi Condensed" w:eastAsia="Barlow Semi Condensed" w:hAnsi="Barlow Semi Condensed"/>
          <w:b/>
          <w:bCs/>
          <w:sz w:val="24"/>
          <w:szCs w:val="24"/>
        </w:rPr>
        <w:t xml:space="preserve">nulla aggiunge a carico dei mediatori</w:t>
      </w:r>
      <w:r>
        <w:rPr>
          <w:rFonts w:ascii="Barlow Semi Condensed" w:cs="Barlow Semi Condensed" w:eastAsia="Barlow Semi Condensed" w:hAnsi="Barlow Semi Condensed"/>
          <w:sz w:val="24"/>
          <w:szCs w:val="24"/>
        </w:rPr>
        <w:t xml:space="preserve">: il ruolo di Pace e Piperno è qui censito esclusivamente come intermediazione documentata, e per entrambi — come per chiunque non sia nel registro — vale la presunzione d'innocenza piena e nominale rispetto al caso.</w:t>
      </w:r>
    </w:p>
    <w:p>
      <w:pPr>
        <w:pStyle w:val="Heading2"/>
        <w:spacing w:after="100" w:before="200"/>
      </w:pPr>
      <w:r>
        <w:rPr>
          <w:rFonts w:ascii="Barlow Semi Condensed" w:cs="Barlow Semi Condensed" w:eastAsia="Barlow Semi Condensed" w:hAnsi="Barlow Semi Condensed"/>
          <w:sz w:val="24"/>
          <w:szCs w:val="24"/>
        </w:rPr>
        <w:t xml:space="preserve">Nodo T-3 — Bonisoli e via Monte Nevoso: il ponte personale verso il Memoriale (D6)</w:t>
      </w:r>
    </w:p>
    <w:p>
      <w:pPr>
        <w:spacing w:after="120" w:line="276"/>
        <w:jc w:val="both"/>
      </w:pPr>
      <w:r>
        <w:rPr>
          <w:rFonts w:ascii="Barlow Semi Condensed" w:cs="Barlow Semi Condensed" w:eastAsia="Barlow Semi Condensed" w:hAnsi="Barlow Semi Condensed"/>
          <w:sz w:val="24"/>
          <w:szCs w:val="24"/>
        </w:rPr>
        <w:t xml:space="preserve">Franco Bonisoli sparò in via Fani (giudicato) e — dato verificato — </w:t>
      </w:r>
      <w:r>
        <w:rPr>
          <w:rFonts w:ascii="Barlow Semi Condensed" w:cs="Barlow Semi Condensed" w:eastAsia="Barlow Semi Condensed" w:hAnsi="Barlow Semi Condensed"/>
          <w:b/>
          <w:bCs/>
          <w:sz w:val="24"/>
          <w:szCs w:val="24"/>
        </w:rPr>
        <w:t xml:space="preserve">portò egli stesso il memoriale e le lettere di Moro al covo milanese di via Monte Nevoso 8</w:t>
      </w:r>
      <w:r>
        <w:rPr>
          <w:rFonts w:ascii="Barlow Semi Condensed" w:cs="Barlow Semi Condensed" w:eastAsia="Barlow Semi Condensed" w:hAnsi="Barlow Semi Condensed"/>
          <w:sz w:val="24"/>
          <w:szCs w:val="24"/>
        </w:rPr>
        <w:t xml:space="preserve">, dove fu arrestato il </w:t>
      </w:r>
      <w:r>
        <w:rPr>
          <w:rFonts w:ascii="Barlow Semi Condensed" w:cs="Barlow Semi Condensed" w:eastAsia="Barlow Semi Condensed" w:hAnsi="Barlow Semi Condensed"/>
          <w:b/>
          <w:bCs/>
          <w:sz w:val="24"/>
          <w:szCs w:val="24"/>
        </w:rPr>
        <w:t xml:space="preserve">1° ottobre 1978</w:t>
      </w:r>
      <w:r>
        <w:rPr>
          <w:rFonts w:ascii="Barlow Semi Condensed" w:cs="Barlow Semi Condensed" w:eastAsia="Barlow Semi Condensed" w:hAnsi="Barlow Semi Condensed"/>
          <w:sz w:val="24"/>
          <w:szCs w:val="24"/>
        </w:rPr>
        <w:t xml:space="preserve"> insieme a Lauro Azzolini e Nadia Mantovani. In quell'occasione furono trovate le </w:t>
      </w:r>
      <w:r>
        <w:rPr>
          <w:rFonts w:ascii="Barlow Semi Condensed" w:cs="Barlow Semi Condensed" w:eastAsia="Barlow Semi Condensed" w:hAnsi="Barlow Semi Condensed"/>
          <w:b/>
          <w:bCs/>
          <w:sz w:val="24"/>
          <w:szCs w:val="24"/>
        </w:rPr>
        <w:t xml:space="preserve">49 pagine dattiloscritte</w:t>
      </w:r>
      <w:r>
        <w:rPr>
          <w:rFonts w:ascii="Barlow Semi Condensed" w:cs="Barlow Semi Condensed" w:eastAsia="Barlow Semi Condensed" w:hAnsi="Barlow Semi Condensed"/>
          <w:sz w:val="24"/>
          <w:szCs w:val="24"/>
        </w:rPr>
        <w:t xml:space="preserve">; i </w:t>
      </w:r>
      <w:r>
        <w:rPr>
          <w:rFonts w:ascii="Barlow Semi Condensed" w:cs="Barlow Semi Condensed" w:eastAsia="Barlow Semi Condensed" w:hAnsi="Barlow Semi Condensed"/>
          <w:b/>
          <w:bCs/>
          <w:sz w:val="24"/>
          <w:szCs w:val="24"/>
        </w:rPr>
        <w:t xml:space="preserve">quattrocento e più fogli</w:t>
      </w:r>
      <w:r>
        <w:rPr>
          <w:rFonts w:ascii="Barlow Semi Condensed" w:cs="Barlow Semi Condensed" w:eastAsia="Barlow Semi Condensed" w:hAnsi="Barlow Semi Condensed"/>
          <w:sz w:val="24"/>
          <w:szCs w:val="24"/>
        </w:rPr>
        <w:t xml:space="preserve"> dietro il pannello emersero solo il </w:t>
      </w:r>
      <w:r>
        <w:rPr>
          <w:rFonts w:ascii="Barlow Semi Condensed" w:cs="Barlow Semi Condensed" w:eastAsia="Barlow Semi Condensed" w:hAnsi="Barlow Semi Condensed"/>
          <w:b/>
          <w:bCs/>
          <w:sz w:val="24"/>
          <w:szCs w:val="24"/>
        </w:rPr>
        <w:t xml:space="preserve">9 ottobre 1990</w:t>
      </w:r>
      <w:r>
        <w:rPr>
          <w:rFonts w:ascii="Barlow Semi Condensed" w:cs="Barlow Semi Condensed" w:eastAsia="Barlow Semi Condensed" w:hAnsi="Barlow Semi Condensed"/>
          <w:sz w:val="24"/>
          <w:szCs w:val="24"/>
        </w:rPr>
        <w:t xml:space="preserve">, durante lavori di ristrutturazione (Riccardo Lestini, ricostruzione di via Monte Nevoso (http://www.riccardolestini.it/2018/05/55-giorni-40-anni-aldo-moro-una-morte-annunciata-13-via-monte-nevoso-prima-parte/); Gianni Barbacetto (https://www.giannibarbacetto.it/2018/03/27/br-in-via-fani-storia-breve-dei-delitti-e-delle-pene/); Wikipedia, </w:t>
      </w:r>
      <w:r>
        <w:rPr>
          <w:rFonts w:ascii="Barlow Semi Condensed" w:cs="Barlow Semi Condensed" w:eastAsia="Barlow Semi Condensed" w:hAnsi="Barlow Semi Condensed"/>
          <w:i/>
          <w:iCs/>
          <w:sz w:val="24"/>
          <w:szCs w:val="24"/>
        </w:rPr>
        <w:t xml:space="preserve">Caso Moro</w:t>
      </w:r>
      <w:r>
        <w:rPr>
          <w:rFonts w:ascii="Barlow Semi Condensed" w:cs="Barlow Semi Condensed" w:eastAsia="Barlow Semi Condensed" w:hAnsi="Barlow Semi Condensed"/>
          <w:sz w:val="24"/>
          <w:szCs w:val="24"/>
        </w:rPr>
        <w:t xml:space="preserve"> (https://it.wikipedia.org/wiki/Caso_Moro)).</w:t>
      </w:r>
    </w:p>
    <w:p>
      <w:pPr>
        <w:spacing w:after="120" w:line="276"/>
        <w:jc w:val="both"/>
      </w:pPr>
      <w:r>
        <w:rPr>
          <w:rFonts w:ascii="Barlow Semi Condensed" w:cs="Barlow Semi Condensed" w:eastAsia="Barlow Semi Condensed" w:hAnsi="Barlow Semi Condensed"/>
          <w:sz w:val="24"/>
          <w:szCs w:val="24"/>
        </w:rPr>
        <w:t xml:space="preserve">Bonisoli è dunque il </w:t>
      </w:r>
      <w:r>
        <w:rPr>
          <w:rFonts w:ascii="Barlow Semi Condensed" w:cs="Barlow Semi Condensed" w:eastAsia="Barlow Semi Condensed" w:hAnsi="Barlow Semi Condensed"/>
          <w:b/>
          <w:bCs/>
          <w:sz w:val="24"/>
          <w:szCs w:val="24"/>
        </w:rPr>
        <w:t xml:space="preserve">ponte personale</w:t>
      </w:r>
      <w:r>
        <w:rPr>
          <w:rFonts w:ascii="Barlow Semi Condensed" w:cs="Barlow Semi Condensed" w:eastAsia="Barlow Semi Condensed" w:hAnsi="Barlow Semi Condensed"/>
          <w:sz w:val="24"/>
          <w:szCs w:val="24"/>
        </w:rPr>
        <w:t xml:space="preserve"> fra il commando e il nodo documentale più controverso del caso: i due tempi del ritrovamento (A quanto ai ritrovamenti), la questione della </w:t>
      </w:r>
      <w:r>
        <w:rPr>
          <w:rFonts w:ascii="Barlow Semi Condensed" w:cs="Barlow Semi Condensed" w:eastAsia="Barlow Semi Condensed" w:hAnsi="Barlow Semi Condensed"/>
          <w:b/>
          <w:bCs/>
          <w:sz w:val="24"/>
          <w:szCs w:val="24"/>
        </w:rPr>
        <w:t xml:space="preserve">completezza</w:t>
      </w:r>
      <w:r>
        <w:rPr>
          <w:rFonts w:ascii="Barlow Semi Condensed" w:cs="Barlow Semi Condensed" w:eastAsia="Barlow Semi Condensed" w:hAnsi="Barlow Semi Condensed"/>
          <w:sz w:val="24"/>
          <w:szCs w:val="24"/>
        </w:rPr>
        <w:t xml:space="preserve"> (C, aperta), il Memoriale Morucci come «testo negoziato» (B, Commissione Moro 2). La triangolazione precisa il repertorio: quando la Fase nona parla dei ritrovamenti di Monte Nevoso, la persona del registro che ve li depositò ha un nome, e la sua condotta è giudicata.</w:t>
      </w:r>
    </w:p>
    <w:p>
      <w:pPr>
        <w:pStyle w:val="Heading2"/>
        <w:spacing w:after="100" w:before="200"/>
      </w:pPr>
      <w:r>
        <w:rPr>
          <w:rFonts w:ascii="Barlow Semi Condensed" w:cs="Barlow Semi Condensed" w:eastAsia="Barlow Semi Condensed" w:hAnsi="Barlow Semi Condensed"/>
          <w:sz w:val="24"/>
          <w:szCs w:val="24"/>
        </w:rPr>
        <w:t xml:space="preserve">Nodo T-4 — Gallinari, Bonisoli e il «gruppo dell'appartamento»: la genealogia reggiana (D2)</w:t>
      </w:r>
    </w:p>
    <w:p>
      <w:pPr>
        <w:spacing w:after="120" w:line="276"/>
        <w:jc w:val="both"/>
      </w:pPr>
      <w:r>
        <w:rPr>
          <w:rFonts w:ascii="Barlow Semi Condensed" w:cs="Barlow Semi Condensed" w:eastAsia="Barlow Semi Condensed" w:hAnsi="Barlow Semi Condensed"/>
          <w:sz w:val="24"/>
          <w:szCs w:val="24"/>
        </w:rPr>
        <w:t xml:space="preserve">Prospero Gallinari — reggiano, di famiglia contadina — appartenne al </w:t>
      </w:r>
      <w:r>
        <w:rPr>
          <w:rFonts w:ascii="Barlow Semi Condensed" w:cs="Barlow Semi Condensed" w:eastAsia="Barlow Semi Condensed" w:hAnsi="Barlow Semi Condensed"/>
          <w:b/>
          <w:bCs/>
          <w:sz w:val="24"/>
          <w:szCs w:val="24"/>
        </w:rPr>
        <w:t xml:space="preserve">«gruppo dell'appartamento» di Reggio Emilia</w:t>
      </w:r>
      <w:r>
        <w:rPr>
          <w:rFonts w:ascii="Barlow Semi Condensed" w:cs="Barlow Semi Condensed" w:eastAsia="Barlow Semi Condensed" w:hAnsi="Barlow Semi Condensed"/>
          <w:sz w:val="24"/>
          <w:szCs w:val="24"/>
        </w:rPr>
        <w:t xml:space="preserve">: otto giovani usciti dalla FGCI che confluirono nel nucleo storico delle BR, fra cui </w:t>
      </w:r>
      <w:r>
        <w:rPr>
          <w:rFonts w:ascii="Barlow Semi Condensed" w:cs="Barlow Semi Condensed" w:eastAsia="Barlow Semi Condensed" w:hAnsi="Barlow Semi Condensed"/>
          <w:b/>
          <w:bCs/>
          <w:sz w:val="24"/>
          <w:szCs w:val="24"/>
        </w:rPr>
        <w:t xml:space="preserve">Alberto Franceschini</w:t>
      </w:r>
      <w:r>
        <w:rPr>
          <w:rFonts w:ascii="Barlow Semi Condensed" w:cs="Barlow Semi Condensed" w:eastAsia="Barlow Semi Condensed" w:hAnsi="Barlow Semi Condensed"/>
          <w:sz w:val="24"/>
          <w:szCs w:val="24"/>
        </w:rPr>
        <w:t xml:space="preserve">, Lauro Azzolini, </w:t>
      </w:r>
      <w:r>
        <w:rPr>
          <w:rFonts w:ascii="Barlow Semi Condensed" w:cs="Barlow Semi Condensed" w:eastAsia="Barlow Semi Condensed" w:hAnsi="Barlow Semi Condensed"/>
          <w:b/>
          <w:bCs/>
          <w:sz w:val="24"/>
          <w:szCs w:val="24"/>
        </w:rPr>
        <w:t xml:space="preserve">Franco Bonisoli</w:t>
      </w:r>
      <w:r>
        <w:rPr>
          <w:rFonts w:ascii="Barlow Semi Condensed" w:cs="Barlow Semi Condensed" w:eastAsia="Barlow Semi Condensed" w:hAnsi="Barlow Semi Condensed"/>
          <w:sz w:val="24"/>
          <w:szCs w:val="24"/>
        </w:rPr>
        <w:t xml:space="preserve">, Tonino Paroli, Fabrizio Pelli, Roberto Ognibene e Attilio Casaletti (Roberto Bartali, </w:t>
      </w:r>
      <w:r>
        <w:rPr>
          <w:rFonts w:ascii="Barlow Semi Condensed" w:cs="Barlow Semi Condensed" w:eastAsia="Barlow Semi Condensed" w:hAnsi="Barlow Semi Condensed"/>
          <w:i/>
          <w:iCs/>
          <w:sz w:val="24"/>
          <w:szCs w:val="24"/>
        </w:rPr>
        <w:t xml:space="preserve">Il nucleo storico delle BR</w:t>
      </w:r>
      <w:r>
        <w:rPr>
          <w:rFonts w:ascii="Barlow Semi Condensed" w:cs="Barlow Semi Condensed" w:eastAsia="Barlow Semi Condensed" w:hAnsi="Barlow Semi Condensed"/>
          <w:sz w:val="24"/>
          <w:szCs w:val="24"/>
        </w:rPr>
        <w:t xml:space="preserve"> (http://www.robertobartali.it/cap04.htm); Il Crivello, </w:t>
      </w:r>
      <w:r>
        <w:rPr>
          <w:rFonts w:ascii="Barlow Semi Condensed" w:cs="Barlow Semi Condensed" w:eastAsia="Barlow Semi Condensed" w:hAnsi="Barlow Semi Condensed"/>
          <w:i/>
          <w:iCs/>
          <w:sz w:val="24"/>
          <w:szCs w:val="24"/>
        </w:rPr>
        <w:t xml:space="preserve">Brigate Rosse a Reggio Emilia</w:t>
      </w:r>
      <w:r>
        <w:rPr>
          <w:rFonts w:ascii="Barlow Semi Condensed" w:cs="Barlow Semi Condensed" w:eastAsia="Barlow Semi Condensed" w:hAnsi="Barlow Semi Condensed"/>
          <w:sz w:val="24"/>
          <w:szCs w:val="24"/>
        </w:rPr>
        <w:t xml:space="preserve"> (http://www.ilcrivello.altervista.org/brigate_rosse_reggio_2010.htm)). </w:t>
      </w:r>
      <w:r>
        <w:rPr>
          <w:rFonts w:ascii="Barlow Semi Condensed" w:cs="Barlow Semi Condensed" w:eastAsia="Barlow Semi Condensed" w:hAnsi="Barlow Semi Condensed"/>
          <w:b/>
          <w:bCs/>
          <w:sz w:val="24"/>
          <w:szCs w:val="24"/>
        </w:rPr>
        <w:t xml:space="preserve">Due persone del registro</w:t>
      </w:r>
      <w:r>
        <w:rPr>
          <w:rFonts w:ascii="Barlow Semi Condensed" w:cs="Barlow Semi Condensed" w:eastAsia="Barlow Semi Condensed" w:hAnsi="Barlow Semi Condensed"/>
          <w:sz w:val="24"/>
          <w:szCs w:val="24"/>
        </w:rPr>
        <w:t xml:space="preserve"> (Gallinari e Bonisoli) provengono dunque dallo stesso nucleo pre-brigatista, quello del «filo Franceschini» che la triangolazione Feltrinelli-Hyperion aveva già isolato — il filo dei rapporti con l'ambiente di «Nuova Resistenza» e con Feltrinelli nel 1971 (D1), documentati in capo a Franceschini e al ceppo fondativo.</w:t>
      </w:r>
    </w:p>
    <w:p>
      <w:pPr>
        <w:spacing w:after="120" w:line="276"/>
        <w:jc w:val="both"/>
      </w:pPr>
      <w:r>
        <w:rPr>
          <w:rFonts w:ascii="Barlow Semi Condensed" w:cs="Barlow Semi Condensed" w:eastAsia="Barlow Semi Condensed" w:hAnsi="Barlow Semi Condensed"/>
          <w:b/>
          <w:bCs/>
          <w:sz w:val="24"/>
          <w:szCs w:val="24"/>
        </w:rPr>
        <w:t xml:space="preserve">Anti-triangolazione.</w:t>
      </w:r>
      <w:r>
        <w:rPr>
          <w:rFonts w:ascii="Barlow Semi Condensed" w:cs="Barlow Semi Condensed" w:eastAsia="Barlow Semi Condensed" w:hAnsi="Barlow Semi Condensed"/>
          <w:sz w:val="24"/>
          <w:szCs w:val="24"/>
        </w:rPr>
        <w:t xml:space="preserve"> L'appartamento reggiano è </w:t>
      </w:r>
      <w:r>
        <w:rPr>
          <w:rFonts w:ascii="Barlow Semi Condensed" w:cs="Barlow Semi Condensed" w:eastAsia="Barlow Semi Condensed" w:hAnsi="Barlow Semi Condensed"/>
          <w:b/>
          <w:bCs/>
          <w:sz w:val="24"/>
          <w:szCs w:val="24"/>
        </w:rPr>
        <w:t xml:space="preserve">sociologia della militanza</w:t>
      </w:r>
      <w:r>
        <w:rPr>
          <w:rFonts w:ascii="Barlow Semi Condensed" w:cs="Barlow Semi Condensed" w:eastAsia="Barlow Semi Condensed" w:hAnsi="Barlow Semi Condensed"/>
          <w:sz w:val="24"/>
          <w:szCs w:val="24"/>
        </w:rPr>
        <w:t xml:space="preserve">, non un «livello occulto»: spiega da dove venivano, non chi li dirigesse. E il filo verso Feltrinelli si ferma dove le fonti lo fermano: ai contatti del 1971 fra il ceppo fondativo e l'editore-gappista, morto a Segrate nel marzo 1972 — </w:t>
      </w:r>
      <w:r>
        <w:rPr>
          <w:rFonts w:ascii="Barlow Semi Condensed" w:cs="Barlow Semi Condensed" w:eastAsia="Barlow Semi Condensed" w:hAnsi="Barlow Semi Condensed"/>
          <w:b/>
          <w:bCs/>
          <w:sz w:val="24"/>
          <w:szCs w:val="24"/>
        </w:rPr>
        <w:t xml:space="preserve">sei anni prima</w:t>
      </w:r>
      <w:r>
        <w:rPr>
          <w:rFonts w:ascii="Barlow Semi Condensed" w:cs="Barlow Semi Condensed" w:eastAsia="Barlow Semi Condensed" w:hAnsi="Barlow Semi Condensed"/>
          <w:sz w:val="24"/>
          <w:szCs w:val="24"/>
        </w:rPr>
        <w:t xml:space="preserve"> di via Fani. Nessuna fonte collega Feltrinelli, i GAP o la loro eredità all'operazione Moro: la contiguità genealogica non attraversa la morte.</w:t>
      </w:r>
    </w:p>
    <w:p>
      <w:pPr>
        <w:pStyle w:val="Heading2"/>
        <w:spacing w:after="100" w:before="200"/>
      </w:pPr>
      <w:r>
        <w:rPr>
          <w:rFonts w:ascii="Barlow Semi Condensed" w:cs="Barlow Semi Condensed" w:eastAsia="Barlow Semi Condensed" w:hAnsi="Barlow Semi Condensed"/>
          <w:sz w:val="24"/>
          <w:szCs w:val="24"/>
        </w:rPr>
        <w:t xml:space="preserve">Nodo T-5 — Casimirri: la sala stampa vaticana e la rotta latinoamericana (D5 · D3)</w:t>
      </w:r>
    </w:p>
    <w:p>
      <w:pPr>
        <w:spacing w:after="120" w:line="276"/>
        <w:jc w:val="both"/>
      </w:pPr>
      <w:r>
        <w:rPr>
          <w:rFonts w:ascii="Barlow Semi Condensed" w:cs="Barlow Semi Condensed" w:eastAsia="Barlow Semi Condensed" w:hAnsi="Barlow Semi Condensed"/>
          <w:sz w:val="24"/>
          <w:szCs w:val="24"/>
        </w:rPr>
        <w:t xml:space="preserve">Il caso Casimirri è il più denso di convergenze inter-dominio, ed esige perciò la disciplina più rigida. Alessio Casimirri — sei ergastoli definitivi in contumacia per via Fani, latitante — è figlio di </w:t>
      </w:r>
      <w:r>
        <w:rPr>
          <w:rFonts w:ascii="Barlow Semi Condensed" w:cs="Barlow Semi Condensed" w:eastAsia="Barlow Semi Condensed" w:hAnsi="Barlow Semi Condensed"/>
          <w:b/>
          <w:bCs/>
          <w:sz w:val="24"/>
          <w:szCs w:val="24"/>
        </w:rPr>
        <w:t xml:space="preserve">Luciano Casimirri, capo dell'ufficio stampa dell'Osservatore Romano e responsabile della sala stampa vaticana sotto tre pontefici: Pio XII, Giovanni XXIII e Paolo VI</w:t>
      </w:r>
      <w:r>
        <w:rPr>
          <w:rFonts w:ascii="Barlow Semi Condensed" w:cs="Barlow Semi Condensed" w:eastAsia="Barlow Semi Condensed" w:hAnsi="Barlow Semi Condensed"/>
          <w:sz w:val="24"/>
          <w:szCs w:val="24"/>
        </w:rPr>
        <w:t xml:space="preserve">; la madre aveva cittadinanza vaticana (Spazio70, «il brigatista "vaticano"» (https://spazio70.com/estero/esfiltrati-italiani/alessio-casimirri-il-brigatista-vaticano/); Wikipedia (https://en.wikipedia.org/wiki/Alessio_Casimirri)). La fuga, dopo l'abbandono delle BR (1980), passò per </w:t>
      </w:r>
      <w:r>
        <w:rPr>
          <w:rFonts w:ascii="Barlow Semi Condensed" w:cs="Barlow Semi Condensed" w:eastAsia="Barlow Semi Condensed" w:hAnsi="Barlow Semi Condensed"/>
          <w:b/>
          <w:bCs/>
          <w:sz w:val="24"/>
          <w:szCs w:val="24"/>
        </w:rPr>
        <w:t xml:space="preserve">Libia e Cuba</w:t>
      </w:r>
      <w:r>
        <w:rPr>
          <w:rFonts w:ascii="Barlow Semi Condensed" w:cs="Barlow Semi Condensed" w:eastAsia="Barlow Semi Condensed" w:hAnsi="Barlow Semi Condensed"/>
          <w:sz w:val="24"/>
          <w:szCs w:val="24"/>
        </w:rPr>
        <w:t xml:space="preserve"> fino al </w:t>
      </w:r>
      <w:r>
        <w:rPr>
          <w:rFonts w:ascii="Barlow Semi Condensed" w:cs="Barlow Semi Condensed" w:eastAsia="Barlow Semi Condensed" w:hAnsi="Barlow Semi Condensed"/>
          <w:b/>
          <w:bCs/>
          <w:sz w:val="24"/>
          <w:szCs w:val="24"/>
        </w:rPr>
        <w:t xml:space="preserve">Nicaragua sandinista</w:t>
      </w:r>
      <w:r>
        <w:rPr>
          <w:rFonts w:ascii="Barlow Semi Condensed" w:cs="Barlow Semi Condensed" w:eastAsia="Barlow Semi Condensed" w:hAnsi="Barlow Semi Condensed"/>
          <w:sz w:val="24"/>
          <w:szCs w:val="24"/>
        </w:rPr>
        <w:t xml:space="preserve">, che ne ha sempre rifiutato l'estradizione.</w:t>
      </w:r>
    </w:p>
    <w:p>
      <w:pPr>
        <w:spacing w:after="120" w:line="276"/>
        <w:jc w:val="both"/>
      </w:pPr>
      <w:r>
        <w:rPr>
          <w:rFonts w:ascii="Barlow Semi Condensed" w:cs="Barlow Semi Condensed" w:eastAsia="Barlow Semi Condensed" w:hAnsi="Barlow Semi Condensed"/>
          <w:sz w:val="24"/>
          <w:szCs w:val="24"/>
        </w:rPr>
        <w:t xml:space="preserve">Le convergenze sono due, e vanno sciolte separatamente.</w:t>
      </w:r>
    </w:p>
    <w:p>
      <w:pPr>
        <w:spacing w:after="120" w:line="276"/>
        <w:jc w:val="both"/>
      </w:pPr>
      <w:r>
        <w:rPr>
          <w:rFonts w:ascii="Barlow Semi Condensed" w:cs="Barlow Semi Condensed" w:eastAsia="Barlow Semi Condensed" w:hAnsi="Barlow Semi Condensed"/>
          <w:b/>
          <w:bCs/>
          <w:sz w:val="24"/>
          <w:szCs w:val="24"/>
        </w:rPr>
        <w:t xml:space="preserve">Verso D5 (Santa Sede).</w:t>
      </w:r>
      <w:r>
        <w:rPr>
          <w:rFonts w:ascii="Barlow Semi Condensed" w:cs="Barlow Semi Condensed" w:eastAsia="Barlow Semi Condensed" w:hAnsi="Barlow Semi Condensed"/>
          <w:sz w:val="24"/>
          <w:szCs w:val="24"/>
        </w:rPr>
        <w:t xml:space="preserve"> Il figlio del portavoce di tre papi fece parte del commando che rapì l'uomo per il quale </w:t>
      </w:r>
      <w:r>
        <w:rPr>
          <w:rFonts w:ascii="Barlow Semi Condensed" w:cs="Barlow Semi Condensed" w:eastAsia="Barlow Semi Condensed" w:hAnsi="Barlow Semi Condensed"/>
          <w:b/>
          <w:bCs/>
          <w:sz w:val="24"/>
          <w:szCs w:val="24"/>
        </w:rPr>
        <w:t xml:space="preserve">Paolo VI</w:t>
      </w:r>
      <w:r>
        <w:rPr>
          <w:rFonts w:ascii="Barlow Semi Condensed" w:cs="Barlow Semi Condensed" w:eastAsia="Barlow Semi Condensed" w:hAnsi="Barlow Semi Condensed"/>
          <w:sz w:val="24"/>
          <w:szCs w:val="24"/>
        </w:rPr>
        <w:t xml:space="preserve"> — il papa che il padre aveva servito — scrisse la lettera «agli uomini delle Brigate Rosse» e per il quale si offrì «senza condizioni». È una coincidenza biografica di potenza narrativa enorme, ed è </w:t>
      </w:r>
      <w:r>
        <w:rPr>
          <w:rFonts w:ascii="Barlow Semi Condensed" w:cs="Barlow Semi Condensed" w:eastAsia="Barlow Semi Condensed" w:hAnsi="Barlow Semi Condensed"/>
          <w:b/>
          <w:bCs/>
          <w:sz w:val="24"/>
          <w:szCs w:val="24"/>
        </w:rPr>
        <w:t xml:space="preserve">esattamente il tipo di coincidenza che questa triangolazione esiste per disciplinare</w:t>
      </w:r>
      <w:r>
        <w:rPr>
          <w:rFonts w:ascii="Barlow Semi Condensed" w:cs="Barlow Semi Condensed" w:eastAsia="Barlow Semi Condensed" w:hAnsi="Barlow Semi Condensed"/>
          <w:sz w:val="24"/>
          <w:szCs w:val="24"/>
        </w:rPr>
        <w:t xml:space="preserve">: nessuna fonte collega il padre, la sua funzione o la Santa Sede alla militanza del figlio. Trattare la parentela come canale sarebbe la colpa d'appartenenza rovesciata — la famiglia che risponde del figlio — cioè la negazione dell'art. 27 su cui l'intera Fase decima si regge. Grado: </w:t>
      </w:r>
      <w:r>
        <w:rPr>
          <w:rFonts w:ascii="Barlow Semi Condensed" w:cs="Barlow Semi Condensed" w:eastAsia="Barlow Semi Condensed" w:hAnsi="Barlow Semi Condensed"/>
          <w:b/>
          <w:bCs/>
          <w:sz w:val="24"/>
          <w:szCs w:val="24"/>
        </w:rPr>
        <w:t xml:space="preserve">F</w:t>
      </w:r>
      <w:r>
        <w:rPr>
          <w:rFonts w:ascii="Barlow Semi Condensed" w:cs="Barlow Semi Condensed" w:eastAsia="Barlow Semi Condensed" w:hAnsi="Barlow Semi Condensed"/>
          <w:sz w:val="24"/>
          <w:szCs w:val="24"/>
        </w:rPr>
        <w:t xml:space="preserve"> la biografia, </w:t>
      </w:r>
      <w:r>
        <w:rPr>
          <w:rFonts w:ascii="Barlow Semi Condensed" w:cs="Barlow Semi Condensed" w:eastAsia="Barlow Semi Condensed" w:hAnsi="Barlow Semi Condensed"/>
          <w:b/>
          <w:bCs/>
          <w:sz w:val="24"/>
          <w:szCs w:val="24"/>
        </w:rPr>
        <w:t xml:space="preserve">nulla</w:t>
      </w:r>
      <w:r>
        <w:rPr>
          <w:rFonts w:ascii="Barlow Semi Condensed" w:cs="Barlow Semi Condensed" w:eastAsia="Barlow Semi Condensed" w:hAnsi="Barlow Semi Condensed"/>
          <w:sz w:val="24"/>
          <w:szCs w:val="24"/>
        </w:rPr>
        <w:t xml:space="preserve"> il nesso.</w:t>
      </w:r>
    </w:p>
    <w:p>
      <w:pPr>
        <w:spacing w:after="120" w:line="276"/>
        <w:jc w:val="both"/>
      </w:pPr>
      <w:r>
        <w:rPr>
          <w:rFonts w:ascii="Barlow Semi Condensed" w:cs="Barlow Semi Condensed" w:eastAsia="Barlow Semi Condensed" w:hAnsi="Barlow Semi Condensed"/>
          <w:b/>
          <w:bCs/>
          <w:sz w:val="24"/>
          <w:szCs w:val="24"/>
        </w:rPr>
        <w:t xml:space="preserve">Verso D3 (America Latina).</w:t>
      </w:r>
      <w:r>
        <w:rPr>
          <w:rFonts w:ascii="Barlow Semi Condensed" w:cs="Barlow Semi Condensed" w:eastAsia="Barlow Semi Condensed" w:hAnsi="Barlow Semi Condensed"/>
          <w:sz w:val="24"/>
          <w:szCs w:val="24"/>
        </w:rPr>
        <w:t xml:space="preserve"> La rotta Libia-Cuba-Managua e la protezione sandinista collocano l'epilogo di Casimirri nell'ambiente latinoamericano post-rivoluzionario che il corpus conosce dal fronte guevariano. Anche qui: è </w:t>
      </w:r>
      <w:r>
        <w:rPr>
          <w:rFonts w:ascii="Barlow Semi Condensed" w:cs="Barlow Semi Condensed" w:eastAsia="Barlow Semi Condensed" w:hAnsi="Barlow Semi Condensed"/>
          <w:b/>
          <w:bCs/>
          <w:sz w:val="24"/>
          <w:szCs w:val="24"/>
        </w:rPr>
        <w:t xml:space="preserve">convergenza di ambiente</w:t>
      </w:r>
      <w:r>
        <w:rPr>
          <w:rFonts w:ascii="Barlow Semi Condensed" w:cs="Barlow Semi Condensed" w:eastAsia="Barlow Semi Condensed" w:hAnsi="Barlow Semi Condensed"/>
          <w:sz w:val="24"/>
          <w:szCs w:val="24"/>
        </w:rPr>
        <w:t xml:space="preserve">, non filiazione — il Nicaragua del 1982 non è la Bolivia del 1967, e la protezione di un latitante è un atto di Stato del quale risponde chi lo compie, non un anello del mito del Che. La triangolazione registra la rotta come fatto (F) e nega il nesso come metodo.</w:t>
      </w:r>
    </w:p>
    <w:p>
      <w:pPr>
        <w:spacing w:after="120" w:line="276"/>
        <w:jc w:val="both"/>
      </w:pPr>
      <w:r>
        <w:rPr>
          <w:rFonts w:ascii="Barlow Semi Condensed" w:cs="Barlow Semi Condensed" w:eastAsia="Barlow Semi Condensed" w:hAnsi="Barlow Semi Condensed"/>
          <w:b/>
          <w:bCs/>
          <w:sz w:val="24"/>
          <w:szCs w:val="24"/>
        </w:rPr>
        <w:t xml:space="preserve">Il ponte reale è un terzo, più sobrio:</w:t>
      </w:r>
      <w:r>
        <w:rPr>
          <w:rFonts w:ascii="Barlow Semi Condensed" w:cs="Barlow Semi Condensed" w:eastAsia="Barlow Semi Condensed" w:hAnsi="Barlow Semi Condensed"/>
          <w:sz w:val="24"/>
          <w:szCs w:val="24"/>
        </w:rPr>
        <w:t xml:space="preserve"> l'estradizione negata è </w:t>
      </w:r>
      <w:r>
        <w:rPr>
          <w:rFonts w:ascii="Barlow Semi Condensed" w:cs="Barlow Semi Condensed" w:eastAsia="Barlow Semi Condensed" w:hAnsi="Barlow Semi Condensed"/>
          <w:b/>
          <w:bCs/>
          <w:sz w:val="24"/>
          <w:szCs w:val="24"/>
        </w:rPr>
        <w:t xml:space="preserve">materia diplomatica</w:t>
      </w:r>
      <w:r>
        <w:rPr>
          <w:rFonts w:ascii="Barlow Semi Condensed" w:cs="Barlow Semi Condensed" w:eastAsia="Barlow Semi Condensed" w:hAnsi="Barlow Semi Condensed"/>
          <w:sz w:val="24"/>
          <w:szCs w:val="24"/>
        </w:rPr>
        <w:t xml:space="preserve">, e si aggancia alla dimensione della cartella Farnesina (D5) nel suo senso proprio — i rapporti bilaterali Italia-Nicaragua, le richieste respinte, fino alle tensioni recenti (Adnkronos (https://www.adnkronos.com/internazionale/esteri/terrorismo-ex-br-casimirri-nicaragua-ultime-notizie_11Y0xEZLGGnZ6txE6jRL7s)). Qui il condannato del registro incrocia il dominio diplomatico non per biografia familiare ma per </w:t>
      </w:r>
      <w:r>
        <w:rPr>
          <w:rFonts w:ascii="Barlow Semi Condensed" w:cs="Barlow Semi Condensed" w:eastAsia="Barlow Semi Condensed" w:hAnsi="Barlow Semi Condensed"/>
          <w:b/>
          <w:bCs/>
          <w:sz w:val="24"/>
          <w:szCs w:val="24"/>
        </w:rPr>
        <w:t xml:space="preserve">statuto giuridico internazionale</w:t>
      </w:r>
      <w:r>
        <w:rPr>
          <w:rFonts w:ascii="Barlow Semi Condensed" w:cs="Barlow Semi Condensed" w:eastAsia="Barlow Semi Condensed" w:hAnsi="Barlow Semi Condensed"/>
          <w:sz w:val="24"/>
          <w:szCs w:val="24"/>
        </w:rPr>
        <w:t xml:space="preserve">.</w:t>
      </w:r>
    </w:p>
    <w:p>
      <w:pPr>
        <w:pStyle w:val="Heading2"/>
        <w:spacing w:after="100" w:before="200"/>
      </w:pPr>
      <w:r>
        <w:rPr>
          <w:rFonts w:ascii="Barlow Semi Condensed" w:cs="Barlow Semi Condensed" w:eastAsia="Barlow Semi Condensed" w:hAnsi="Barlow Semi Condensed"/>
          <w:sz w:val="24"/>
          <w:szCs w:val="24"/>
        </w:rPr>
        <w:t xml:space="preserve">Nodo T-6 — Lojacono: la cittadinanza elvetica e il parallelo delle pene ineseguite (D5)</w:t>
      </w:r>
    </w:p>
    <w:p>
      <w:pPr>
        <w:spacing w:after="120" w:line="276"/>
        <w:jc w:val="both"/>
      </w:pPr>
      <w:r>
        <w:rPr>
          <w:rFonts w:ascii="Barlow Semi Condensed" w:cs="Barlow Semi Condensed" w:eastAsia="Barlow Semi Condensed" w:hAnsi="Barlow Semi Condensed"/>
          <w:sz w:val="24"/>
          <w:szCs w:val="24"/>
        </w:rPr>
        <w:t xml:space="preserve">Alvaro Lojacono — condannato in via definitiva nel Moro quater (1997) per l'intero arco 16 marzo-9 maggio — riparò in </w:t>
      </w:r>
      <w:r>
        <w:rPr>
          <w:rFonts w:ascii="Barlow Semi Condensed" w:cs="Barlow Semi Condensed" w:eastAsia="Barlow Semi Condensed" w:hAnsi="Barlow Semi Condensed"/>
          <w:b/>
          <w:bCs/>
          <w:sz w:val="24"/>
          <w:szCs w:val="24"/>
        </w:rPr>
        <w:t xml:space="preserve">Svizzera nel 1986</w:t>
      </w:r>
      <w:r>
        <w:rPr>
          <w:rFonts w:ascii="Barlow Semi Condensed" w:cs="Barlow Semi Condensed" w:eastAsia="Barlow Semi Condensed" w:hAnsi="Barlow Semi Condensed"/>
          <w:sz w:val="24"/>
          <w:szCs w:val="24"/>
        </w:rPr>
        <w:t xml:space="preserve"> e vi acquisì la </w:t>
      </w:r>
      <w:r>
        <w:rPr>
          <w:rFonts w:ascii="Barlow Semi Condensed" w:cs="Barlow Semi Condensed" w:eastAsia="Barlow Semi Condensed" w:hAnsi="Barlow Semi Condensed"/>
          <w:b/>
          <w:bCs/>
          <w:sz w:val="24"/>
          <w:szCs w:val="24"/>
        </w:rPr>
        <w:t xml:space="preserve">cittadinanza per parte di madre</w:t>
      </w:r>
      <w:r>
        <w:rPr>
          <w:rFonts w:ascii="Barlow Semi Condensed" w:cs="Barlow Semi Condensed" w:eastAsia="Barlow Semi Condensed" w:hAnsi="Barlow Semi Condensed"/>
          <w:sz w:val="24"/>
          <w:szCs w:val="24"/>
        </w:rPr>
        <w:t xml:space="preserve">; la Svizzera </w:t>
      </w:r>
      <w:r>
        <w:rPr>
          <w:rFonts w:ascii="Barlow Semi Condensed" w:cs="Barlow Semi Condensed" w:eastAsia="Barlow Semi Condensed" w:hAnsi="Barlow Semi Condensed"/>
          <w:b/>
          <w:bCs/>
          <w:sz w:val="24"/>
          <w:szCs w:val="24"/>
        </w:rPr>
        <w:t xml:space="preserve">non estrada i propri cittadini</w:t>
      </w:r>
      <w:r>
        <w:rPr>
          <w:rFonts w:ascii="Barlow Semi Condensed" w:cs="Barlow Semi Condensed" w:eastAsia="Barlow Semi Condensed" w:hAnsi="Barlow Semi Condensed"/>
          <w:sz w:val="24"/>
          <w:szCs w:val="24"/>
        </w:rPr>
        <w:t xml:space="preserve"> senza il loro consenso, e Berna lo ha ribadito per il suo caso (tvsvizzera.it (https://www.tvsvizzera.it/tvs/qui-svizzera/terrorismo_alvaro-lojacono-nessuna-estradizione-possibile/44698030); Wikipedia (https://en.wikipedia.org/wiki/Alvaro_Lojacono)).</w:t>
      </w:r>
    </w:p>
    <w:p>
      <w:pPr>
        <w:spacing w:after="120" w:line="276"/>
        <w:jc w:val="both"/>
      </w:pPr>
      <w:r>
        <w:rPr>
          <w:rFonts w:ascii="Barlow Semi Condensed" w:cs="Barlow Semi Condensed" w:eastAsia="Barlow Semi Condensed" w:hAnsi="Barlow Semi Condensed"/>
          <w:sz w:val="24"/>
          <w:szCs w:val="24"/>
        </w:rPr>
        <w:t xml:space="preserve">La triangolazione qui è </w:t>
      </w:r>
      <w:r>
        <w:rPr>
          <w:rFonts w:ascii="Barlow Semi Condensed" w:cs="Barlow Semi Condensed" w:eastAsia="Barlow Semi Condensed" w:hAnsi="Barlow Semi Condensed"/>
          <w:b/>
          <w:bCs/>
          <w:sz w:val="24"/>
          <w:szCs w:val="24"/>
        </w:rPr>
        <w:t xml:space="preserve">strutturale</w:t>
      </w:r>
      <w:r>
        <w:rPr>
          <w:rFonts w:ascii="Barlow Semi Condensed" w:cs="Barlow Semi Condensed" w:eastAsia="Barlow Semi Condensed" w:hAnsi="Barlow Semi Condensed"/>
          <w:sz w:val="24"/>
          <w:szCs w:val="24"/>
        </w:rPr>
        <w:t xml:space="preserve">: due persone del registro — Casimirri e Lojacono — sono condannati definitivi la cui pena non è mai stata eseguita, sottratti all'esecuzione da </w:t>
      </w:r>
      <w:r>
        <w:rPr>
          <w:rFonts w:ascii="Barlow Semi Condensed" w:cs="Barlow Semi Condensed" w:eastAsia="Barlow Semi Condensed" w:hAnsi="Barlow Semi Condensed"/>
          <w:b/>
          <w:bCs/>
          <w:sz w:val="24"/>
          <w:szCs w:val="24"/>
        </w:rPr>
        <w:t xml:space="preserve">due ordinamenti diversi per due ragioni diverse</w:t>
      </w:r>
      <w:r>
        <w:rPr>
          <w:rFonts w:ascii="Barlow Semi Condensed" w:cs="Barlow Semi Condensed" w:eastAsia="Barlow Semi Condensed" w:hAnsi="Barlow Semi Condensed"/>
          <w:sz w:val="24"/>
          <w:szCs w:val="24"/>
        </w:rPr>
        <w:t xml:space="preserve"> (protezione politica di uno Stato terzo; regola di cittadinanza di uno Stato di diritto). Il parallelo illumina un nodo che appartiene al dominio diplomatico (D5): </w:t>
      </w:r>
      <w:r>
        <w:rPr>
          <w:rFonts w:ascii="Barlow Semi Condensed" w:cs="Barlow Semi Condensed" w:eastAsia="Barlow Semi Condensed" w:hAnsi="Barlow Semi Condensed"/>
          <w:b/>
          <w:bCs/>
          <w:sz w:val="24"/>
          <w:szCs w:val="24"/>
        </w:rPr>
        <w:t xml:space="preserve">l'esecuzione del giudicato oltre confine è funzione dei rapporti fra Stati</w:t>
      </w:r>
      <w:r>
        <w:rPr>
          <w:rFonts w:ascii="Barlow Semi Condensed" w:cs="Barlow Semi Condensed" w:eastAsia="Barlow Semi Condensed" w:hAnsi="Barlow Semi Condensed"/>
          <w:sz w:val="24"/>
          <w:szCs w:val="24"/>
        </w:rPr>
        <w:t xml:space="preserve">, non della forza delle sentenze. È il punto in cui il registro personalistico della Fase decima incontra la dimensione internazionale della cartella Farnesina — e vi incontra anche il proprio limite: il giudicato dice chi è responsabile; non può, da solo, raggiungerlo.</w:t>
      </w:r>
    </w:p>
    <w:p>
      <w:pPr>
        <w:pStyle w:val="Heading2"/>
        <w:spacing w:after="100" w:before="200"/>
      </w:pPr>
      <w:r>
        <w:rPr>
          <w:rFonts w:ascii="Barlow Semi Condensed" w:cs="Barlow Semi Condensed" w:eastAsia="Barlow Semi Condensed" w:hAnsi="Barlow Semi Condensed"/>
          <w:sz w:val="24"/>
          <w:szCs w:val="24"/>
        </w:rPr>
        <w:t xml:space="preserve">Nodo T-7 — Braghetti e la memoria come vettore: il libro, il film, l'editore (D1 · D6)</w:t>
      </w:r>
    </w:p>
    <w:p>
      <w:pPr>
        <w:spacing w:after="120" w:line="276"/>
        <w:jc w:val="both"/>
      </w:pPr>
      <w:r>
        <w:rPr>
          <w:rFonts w:ascii="Barlow Semi Condensed" w:cs="Barlow Semi Condensed" w:eastAsia="Barlow Semi Condensed" w:hAnsi="Barlow Semi Condensed"/>
          <w:sz w:val="24"/>
          <w:szCs w:val="24"/>
        </w:rPr>
        <w:t xml:space="preserve">Anna Laura Braghetti — la custode di via Montalcini — scrisse con Paola Tavella </w:t>
      </w:r>
      <w:r>
        <w:rPr>
          <w:rFonts w:ascii="Barlow Semi Condensed" w:cs="Barlow Semi Condensed" w:eastAsia="Barlow Semi Condensed" w:hAnsi="Barlow Semi Condensed"/>
          <w:b/>
          <w:bCs/>
          <w:sz w:val="24"/>
          <w:szCs w:val="24"/>
        </w:rPr>
        <w:t xml:space="preserve">«Il prigioniero»</w:t>
      </w:r>
      <w:r>
        <w:rPr>
          <w:rFonts w:ascii="Barlow Semi Condensed" w:cs="Barlow Semi Condensed" w:eastAsia="Barlow Semi Condensed" w:hAnsi="Barlow Semi Condensed"/>
          <w:sz w:val="24"/>
          <w:szCs w:val="24"/>
        </w:rPr>
        <w:t xml:space="preserve"> (1998), il racconto dall'interno della prigione e dei cinquantacinque giorni; dal libro Marco Bellocchio trasse liberamente </w:t>
      </w:r>
      <w:r>
        <w:rPr>
          <w:rFonts w:ascii="Barlow Semi Condensed" w:cs="Barlow Semi Condensed" w:eastAsia="Barlow Semi Condensed" w:hAnsi="Barlow Semi Condensed"/>
          <w:b/>
          <w:bCs/>
          <w:sz w:val="24"/>
          <w:szCs w:val="24"/>
        </w:rPr>
        <w:t xml:space="preserve">«Buongiorno, notte»</w:t>
      </w:r>
      <w:r>
        <w:rPr>
          <w:rFonts w:ascii="Barlow Semi Condensed" w:cs="Barlow Semi Condensed" w:eastAsia="Barlow Semi Condensed" w:hAnsi="Barlow Semi Condensed"/>
          <w:sz w:val="24"/>
          <w:szCs w:val="24"/>
        </w:rPr>
        <w:t xml:space="preserve"> (2003), il cui personaggio di Chiara è ispirato a Braghetti e a Faranda (Feltrinelli Editore, scheda del libro (https://www.feltrinellieditore.it/opera/il-prigioniero/); Wikipedia, </w:t>
      </w:r>
      <w:r>
        <w:rPr>
          <w:rFonts w:ascii="Barlow Semi Condensed" w:cs="Barlow Semi Condensed" w:eastAsia="Barlow Semi Condensed" w:hAnsi="Barlow Semi Condensed"/>
          <w:i/>
          <w:iCs/>
          <w:sz w:val="24"/>
          <w:szCs w:val="24"/>
        </w:rPr>
        <w:t xml:space="preserve">Buongiorno, notte</w:t>
      </w:r>
      <w:r>
        <w:rPr>
          <w:rFonts w:ascii="Barlow Semi Condensed" w:cs="Barlow Semi Condensed" w:eastAsia="Barlow Semi Condensed" w:hAnsi="Barlow Semi Condensed"/>
          <w:sz w:val="24"/>
          <w:szCs w:val="24"/>
        </w:rPr>
        <w:t xml:space="preserve"> (https://it.wikipedia.org/wiki/Buongiorno,_notte)).</w:t>
      </w:r>
    </w:p>
    <w:p>
      <w:pPr>
        <w:spacing w:after="120" w:line="276"/>
        <w:jc w:val="both"/>
      </w:pPr>
      <w:r>
        <w:rPr>
          <w:rFonts w:ascii="Barlow Semi Condensed" w:cs="Barlow Semi Condensed" w:eastAsia="Barlow Semi Condensed" w:hAnsi="Barlow Semi Condensed"/>
          <w:sz w:val="24"/>
          <w:szCs w:val="24"/>
        </w:rPr>
        <w:t xml:space="preserve">Il punto di triangolazione è il </w:t>
      </w:r>
      <w:r>
        <w:rPr>
          <w:rFonts w:ascii="Barlow Semi Condensed" w:cs="Barlow Semi Condensed" w:eastAsia="Barlow Semi Condensed" w:hAnsi="Barlow Semi Condensed"/>
          <w:b/>
          <w:bCs/>
          <w:sz w:val="24"/>
          <w:szCs w:val="24"/>
        </w:rPr>
        <w:t xml:space="preserve">tema del vettore</w:t>
      </w:r>
      <w:r>
        <w:rPr>
          <w:rFonts w:ascii="Barlow Semi Condensed" w:cs="Barlow Semi Condensed" w:eastAsia="Barlow Semi Condensed" w:hAnsi="Barlow Semi Condensed"/>
          <w:sz w:val="24"/>
          <w:szCs w:val="24"/>
        </w:rPr>
        <w:t xml:space="preserve">, che è il cuore del fronte D1: il corpus ha ricostruito come il mito del Che fu </w:t>
      </w:r>
      <w:r>
        <w:rPr>
          <w:rFonts w:ascii="Barlow Semi Condensed" w:cs="Barlow Semi Condensed" w:eastAsia="Barlow Semi Condensed" w:hAnsi="Barlow Semi Condensed"/>
          <w:i/>
          <w:iCs/>
          <w:sz w:val="24"/>
          <w:szCs w:val="24"/>
        </w:rPr>
        <w:t xml:space="preserve">fabbricato</w:t>
      </w:r>
      <w:r>
        <w:rPr>
          <w:rFonts w:ascii="Barlow Semi Condensed" w:cs="Barlow Semi Condensed" w:eastAsia="Barlow Semi Condensed" w:hAnsi="Barlow Semi Condensed"/>
          <w:sz w:val="24"/>
          <w:szCs w:val="24"/>
        </w:rPr>
        <w:t xml:space="preserve"> da un editore (la foto di Korda, il </w:t>
      </w:r>
      <w:r>
        <w:rPr>
          <w:rFonts w:ascii="Barlow Semi Condensed" w:cs="Barlow Semi Condensed" w:eastAsia="Barlow Semi Condensed" w:hAnsi="Barlow Semi Condensed"/>
          <w:i/>
          <w:iCs/>
          <w:sz w:val="24"/>
          <w:szCs w:val="24"/>
        </w:rPr>
        <w:t xml:space="preserve">Diario</w:t>
      </w:r>
      <w:r>
        <w:rPr>
          <w:rFonts w:ascii="Barlow Semi Condensed" w:cs="Barlow Semi Condensed" w:eastAsia="Barlow Semi Condensed" w:hAnsi="Barlow Semi Condensed"/>
          <w:sz w:val="24"/>
          <w:szCs w:val="24"/>
        </w:rPr>
        <w:t xml:space="preserve">, i manifesti di Feltrinelli); qui osserva il processo speculare sul caso Moro — la memoria della prigione che passa dal testimone-condannato al libro, dal libro al film, e diventa immagine pubblica del caso. E il dato documentato ha una torsione che va riportata con esattezza e senza insinuazione: </w:t>
      </w:r>
      <w:r>
        <w:rPr>
          <w:rFonts w:ascii="Barlow Semi Condensed" w:cs="Barlow Semi Condensed" w:eastAsia="Barlow Semi Condensed" w:hAnsi="Barlow Semi Condensed"/>
          <w:b/>
          <w:bCs/>
          <w:sz w:val="24"/>
          <w:szCs w:val="24"/>
        </w:rPr>
        <w:t xml:space="preserve">l'editore de «Il prigioniero» è Feltrinelli</w:t>
      </w:r>
      <w:r>
        <w:rPr>
          <w:rFonts w:ascii="Barlow Semi Condensed" w:cs="Barlow Semi Condensed" w:eastAsia="Barlow Semi Condensed" w:hAnsi="Barlow Semi Condensed"/>
          <w:sz w:val="24"/>
          <w:szCs w:val="24"/>
        </w:rPr>
        <w:t xml:space="preserve"> — la casa editrice, cioè l'impresa fondata da Giangiacomo e proseguita dopo di lui. È una convergenza </w:t>
      </w:r>
      <w:r>
        <w:rPr>
          <w:rFonts w:ascii="Barlow Semi Condensed" w:cs="Barlow Semi Condensed" w:eastAsia="Barlow Semi Condensed" w:hAnsi="Barlow Semi Condensed"/>
          <w:i/>
          <w:iCs/>
          <w:sz w:val="24"/>
          <w:szCs w:val="24"/>
        </w:rPr>
        <w:t xml:space="preserve">editoriale</w:t>
      </w:r>
      <w:r>
        <w:rPr>
          <w:rFonts w:ascii="Barlow Semi Condensed" w:cs="Barlow Semi Condensed" w:eastAsia="Barlow Semi Condensed" w:hAnsi="Barlow Semi Condensed"/>
          <w:sz w:val="24"/>
          <w:szCs w:val="24"/>
        </w:rPr>
        <w:t xml:space="preserve">, di catalogo, non un nesso fra persone: registra che il medesimo marchio che veicolò il mito del Che pubblicò vent'anni dopo la memoria della carceriera di Moro. Il corpus, che ha un intero filone sulla trasmissione delle immagini, cataloga il fatto per quello che è: </w:t>
      </w:r>
      <w:r>
        <w:rPr>
          <w:rFonts w:ascii="Barlow Semi Condensed" w:cs="Barlow Semi Condensed" w:eastAsia="Barlow Semi Condensed" w:hAnsi="Barlow Semi Condensed"/>
          <w:b/>
          <w:bCs/>
          <w:sz w:val="24"/>
          <w:szCs w:val="24"/>
        </w:rPr>
        <w:t xml:space="preserve">la memoria del caso ha i suoi vettori, e i vettori hanno una storia</w:t>
      </w:r>
      <w:r>
        <w:rPr>
          <w:rFonts w:ascii="Barlow Semi Condensed" w:cs="Barlow Semi Condensed" w:eastAsia="Barlow Semi Condensed" w:hAnsi="Barlow Semi Condensed"/>
          <w:sz w:val="24"/>
          <w:szCs w:val="24"/>
        </w:rPr>
        <w:t xml:space="preserve">. A questo dominio appartiene anche il Memoriale Morucci come «testo negoziato» (B): due canali di memoria — quello editoriale e quello istruttorio — entrambi </w:t>
      </w:r>
      <w:r>
        <w:rPr>
          <w:rFonts w:ascii="Barlow Semi Condensed" w:cs="Barlow Semi Condensed" w:eastAsia="Barlow Semi Condensed" w:hAnsi="Barlow Semi Condensed"/>
          <w:i/>
          <w:iCs/>
          <w:sz w:val="24"/>
          <w:szCs w:val="24"/>
        </w:rPr>
        <w:t xml:space="preserve">costruiti</w:t>
      </w:r>
      <w:r>
        <w:rPr>
          <w:rFonts w:ascii="Barlow Semi Condensed" w:cs="Barlow Semi Condensed" w:eastAsia="Barlow Semi Condensed" w:hAnsi="Barlow Semi Condensed"/>
          <w:sz w:val="24"/>
          <w:szCs w:val="24"/>
        </w:rPr>
        <w:t xml:space="preserve">, entrambi da leggere sapendolo.</w:t>
      </w:r>
    </w:p>
    <w:p>
      <w:pPr>
        <w:pStyle w:val="Heading2"/>
        <w:spacing w:after="100" w:before="200"/>
      </w:pPr>
      <w:r>
        <w:rPr>
          <w:rFonts w:ascii="Barlow Semi Condensed" w:cs="Barlow Semi Condensed" w:eastAsia="Barlow Semi Condensed" w:hAnsi="Barlow Semi Condensed"/>
          <w:sz w:val="24"/>
          <w:szCs w:val="24"/>
        </w:rPr>
        <w:t xml:space="preserve">Nodo T-8 — Seghetti e Braghetti: le condotte successive e la tenuta del principio (interno)</w:t>
      </w:r>
    </w:p>
    <w:p>
      <w:pPr>
        <w:spacing w:after="120" w:line="276"/>
        <w:jc w:val="both"/>
      </w:pPr>
      <w:r>
        <w:rPr>
          <w:rFonts w:ascii="Barlow Semi Condensed" w:cs="Barlow Semi Condensed" w:eastAsia="Barlow Semi Condensed" w:hAnsi="Barlow Semi Condensed"/>
          <w:sz w:val="24"/>
          <w:szCs w:val="24"/>
        </w:rPr>
        <w:t xml:space="preserve">Bruno Seghetti presentò Anna Laura Braghetti a Moretti nella fase preparatoria (l'acquisto di via Montalcini, giugno 1977); i due parteciparono poi insieme, nel febbraio 1980, all'</w:t>
      </w:r>
      <w:r>
        <w:rPr>
          <w:rFonts w:ascii="Barlow Semi Condensed" w:cs="Barlow Semi Condensed" w:eastAsia="Barlow Semi Condensed" w:hAnsi="Barlow Semi Condensed"/>
          <w:b/>
          <w:bCs/>
          <w:sz w:val="24"/>
          <w:szCs w:val="24"/>
        </w:rPr>
        <w:t xml:space="preserve">omicidio di Vittorio Bachelet</w:t>
      </w:r>
      <w:r>
        <w:rPr>
          <w:rFonts w:ascii="Barlow Semi Condensed" w:cs="Barlow Semi Condensed" w:eastAsia="Barlow Semi Condensed" w:hAnsi="Barlow Semi Condensed"/>
          <w:sz w:val="24"/>
          <w:szCs w:val="24"/>
        </w:rPr>
        <w:t xml:space="preserve">, vicepresidente del CSM (Avvenire (https://www.avvenire.it/politica/la-morte-di-anna-laura-braghetti-carceriera-di-moro-e-assassina-di-bachelet)). Il ponte è interno al dominio brigatista, e serve alla triangolazione per un solo, decisivo scopo di metodo: </w:t>
      </w:r>
      <w:r>
        <w:rPr>
          <w:rFonts w:ascii="Barlow Semi Condensed" w:cs="Barlow Semi Condensed" w:eastAsia="Barlow Semi Condensed" w:hAnsi="Barlow Semi Condensed"/>
          <w:b/>
          <w:bCs/>
          <w:sz w:val="24"/>
          <w:szCs w:val="24"/>
        </w:rPr>
        <w:t xml:space="preserve">le condotte successive hanno le loro sentenze e i loro fascicoli</w:t>
      </w:r>
      <w:r>
        <w:rPr>
          <w:rFonts w:ascii="Barlow Semi Condensed" w:cs="Barlow Semi Condensed" w:eastAsia="Barlow Semi Condensed" w:hAnsi="Barlow Semi Condensed"/>
          <w:sz w:val="24"/>
          <w:szCs w:val="24"/>
        </w:rPr>
        <w:t xml:space="preserve">, e non rifluiscono nel caso Moro né ne discendono. Il registro della Fase decima cataloga le responsabilità </w:t>
      </w:r>
      <w:r>
        <w:rPr>
          <w:rFonts w:ascii="Barlow Semi Condensed" w:cs="Barlow Semi Condensed" w:eastAsia="Barlow Semi Condensed" w:hAnsi="Barlow Semi Condensed"/>
          <w:i/>
          <w:iCs/>
          <w:sz w:val="24"/>
          <w:szCs w:val="24"/>
        </w:rPr>
        <w:t xml:space="preserve">per il caso</w:t>
      </w:r>
      <w:r>
        <w:rPr>
          <w:rFonts w:ascii="Barlow Semi Condensed" w:cs="Barlow Semi Condensed" w:eastAsia="Barlow Semi Condensed" w:hAnsi="Barlow Semi Condensed"/>
          <w:sz w:val="24"/>
          <w:szCs w:val="24"/>
        </w:rPr>
        <w:t xml:space="preserve">; Bachelet, Palma, Tartaglione e ogni altra vittima hanno il loro giudicato e il loro nome altrove. Il principio personalistico vale anche nel tempo: </w:t>
      </w:r>
      <w:r>
        <w:rPr>
          <w:rFonts w:ascii="Barlow Semi Condensed" w:cs="Barlow Semi Condensed" w:eastAsia="Barlow Semi Condensed" w:hAnsi="Barlow Semi Condensed"/>
          <w:b/>
          <w:bCs/>
          <w:sz w:val="24"/>
          <w:szCs w:val="24"/>
        </w:rPr>
        <w:t xml:space="preserve">una persona, una condotta, una sentenza — per ciascun fatto.</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Gli esiti negativi, dichiarati (acquisizioni di pieno valore)</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Raffaele Fiore, Barbara Balzerani, Germano Maccari, Raimondo Etro</w:t>
      </w:r>
      <w:r>
        <w:rPr>
          <w:rFonts w:ascii="Barlow Semi Condensed" w:cs="Barlow Semi Condensed" w:eastAsia="Barlow Semi Condensed" w:hAnsi="Barlow Semi Condensed"/>
          <w:sz w:val="24"/>
          <w:szCs w:val="24"/>
        </w:rPr>
        <w:t xml:space="preserve">: la ricognizione non ha trovato, per nessuno dei quattro, ponti documentati verso i domini D1-D5 oltre la militanza brigatista già giudicata. Sono, nel linguaggio del corpus, </w:t>
      </w:r>
      <w:r>
        <w:rPr>
          <w:rFonts w:ascii="Barlow Semi Condensed" w:cs="Barlow Semi Condensed" w:eastAsia="Barlow Semi Condensed" w:hAnsi="Barlow Semi Condensed"/>
          <w:b/>
          <w:bCs/>
          <w:sz w:val="24"/>
          <w:szCs w:val="24"/>
        </w:rPr>
        <w:t xml:space="preserve">posizioni a triangolazione vuota</w:t>
      </w:r>
      <w:r>
        <w:rPr>
          <w:rFonts w:ascii="Barlow Semi Condensed" w:cs="Barlow Semi Condensed" w:eastAsia="Barlow Semi Condensed" w:hAnsi="Barlow Semi Condensed"/>
          <w:sz w:val="24"/>
          <w:szCs w:val="24"/>
        </w:rPr>
        <w:t xml:space="preserve">: biografie interamente interne al dominio BR. L'esito si dichiara perché vale: non tutto si collega, e un metodo onesto lo scrive.</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D4 (Tribunale Speciale)</w:t>
      </w:r>
      <w:r>
        <w:rPr>
          <w:rFonts w:ascii="Barlow Semi Condensed" w:cs="Barlow Semi Condensed" w:eastAsia="Barlow Semi Condensed" w:hAnsi="Barlow Semi Condensed"/>
          <w:sz w:val="24"/>
          <w:szCs w:val="24"/>
        </w:rPr>
        <w:t xml:space="preserve">: nessuna triangolazione prosopografica è possibile — le epoche non si toccano. Il confronto è di </w:t>
      </w:r>
      <w:r>
        <w:rPr>
          <w:rFonts w:ascii="Barlow Semi Condensed" w:cs="Barlow Semi Condensed" w:eastAsia="Barlow Semi Condensed" w:hAnsi="Barlow Semi Condensed"/>
          <w:b/>
          <w:bCs/>
          <w:sz w:val="24"/>
          <w:szCs w:val="24"/>
        </w:rPr>
        <w:t xml:space="preserve">metodo</w:t>
      </w:r>
      <w:r>
        <w:rPr>
          <w:rFonts w:ascii="Barlow Semi Condensed" w:cs="Barlow Semi Condensed" w:eastAsia="Barlow Semi Condensed" w:hAnsi="Barlow Semi Condensed"/>
          <w:sz w:val="24"/>
          <w:szCs w:val="24"/>
        </w:rPr>
        <w:t xml:space="preserve">, e chiude il documento (v. sotto).</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D3 (fronte guevariano)</w:t>
      </w:r>
      <w:r>
        <w:rPr>
          <w:rFonts w:ascii="Barlow Semi Condensed" w:cs="Barlow Semi Condensed" w:eastAsia="Barlow Semi Condensed" w:hAnsi="Barlow Semi Condensed"/>
          <w:sz w:val="24"/>
          <w:szCs w:val="24"/>
        </w:rPr>
        <w:t xml:space="preserve">: fuori dalla rotta di Casimirri (convergenza di ambiente, non nesso), nessun ponte biografico fra i tredici e il fronte latinoamericano. Il legame fra i due fronti resta quello, </w:t>
      </w:r>
      <w:r>
        <w:rPr>
          <w:rFonts w:ascii="Barlow Semi Condensed" w:cs="Barlow Semi Condensed" w:eastAsia="Barlow Semi Condensed" w:hAnsi="Barlow Semi Condensed"/>
          <w:i/>
          <w:iCs/>
          <w:sz w:val="24"/>
          <w:szCs w:val="24"/>
        </w:rPr>
        <w:t xml:space="preserve">ideologico e di immagine</w:t>
      </w:r>
      <w:r>
        <w:rPr>
          <w:rFonts w:ascii="Barlow Semi Condensed" w:cs="Barlow Semi Condensed" w:eastAsia="Barlow Semi Condensed" w:hAnsi="Barlow Semi Condensed"/>
          <w:sz w:val="24"/>
          <w:szCs w:val="24"/>
        </w:rPr>
        <w:t xml:space="preserve">, già mappato in </w:t>
      </w:r>
      <w:r>
        <w:rPr>
          <w:rFonts w:ascii="Barlow Semi Condensed" w:cs="Barlow Semi Condensed" w:eastAsia="Barlow Semi Condensed" w:hAnsi="Barlow Semi Condensed"/>
          <w:i/>
          <w:iCs/>
          <w:sz w:val="24"/>
          <w:szCs w:val="24"/>
        </w:rPr>
        <w:t xml:space="preserve">dal-che-a-moro-una-guerra-senza-fine.md</w:t>
      </w:r>
      <w:r>
        <w:rPr>
          <w:rFonts w:ascii="Barlow Semi Condensed" w:cs="Barlow Semi Condensed" w:eastAsia="Barlow Semi Condensed" w:hAnsi="Barlow Semi Condensed"/>
          <w:sz w:val="24"/>
          <w:szCs w:val="24"/>
        </w:rPr>
        <w:t xml:space="preserve">: il mito come carburante, mai come catena di comando.</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L'attentato del 1981 (dominio della cartella Farnesina)</w:t>
      </w:r>
      <w:r>
        <w:rPr>
          <w:rFonts w:ascii="Barlow Semi Condensed" w:cs="Barlow Semi Condensed" w:eastAsia="Barlow Semi Condensed" w:hAnsi="Barlow Semi Condensed"/>
          <w:sz w:val="24"/>
          <w:szCs w:val="24"/>
        </w:rPr>
        <w:t xml:space="preserve">: nessun collegamento di alcun genere fra i tredici e la vicenda Ağca. Si dichiara per completezza, a chiusura di ogni possibile suggestione.</w:t>
      </w:r>
    </w:p>
    <w:p>
      <w:pPr>
        <w:pStyle w:val="Heading2"/>
        <w:spacing w:after="100" w:before="200"/>
      </w:pPr>
      <w:r>
        <w:rPr>
          <w:rFonts w:ascii="Barlow Semi Condensed" w:cs="Barlow Semi Condensed" w:eastAsia="Barlow Semi Condensed" w:hAnsi="Barlow Semi Condensed"/>
          <w:sz w:val="24"/>
          <w:szCs w:val="24"/>
        </w:rPr>
        <w:t xml:space="preserve">Le anti-triangolazioni (il presidio del metodo)</w:t>
      </w:r>
    </w:p>
    <w:p>
      <w:pPr>
        <w:spacing w:after="40"/>
        <w:ind w:left="360"/>
        <w:jc w:val="both"/>
      </w:pPr>
      <w:r>
        <w:rPr>
          <w:rFonts w:ascii="Barlow Semi Condensed" w:cs="Barlow Semi Condensed" w:eastAsia="Barlow Semi Condensed" w:hAnsi="Barlow Semi Condensed"/>
          <w:sz w:val="24"/>
          <w:szCs w:val="24"/>
        </w:rPr>
        <w:t xml:space="preserve">1. </w:t>
      </w:r>
      <w:r>
        <w:rPr>
          <w:rFonts w:ascii="Barlow Semi Condensed" w:cs="Barlow Semi Condensed" w:eastAsia="Barlow Semi Condensed" w:hAnsi="Barlow Semi Condensed"/>
          <w:b/>
          <w:bCs/>
          <w:sz w:val="24"/>
          <w:szCs w:val="24"/>
        </w:rPr>
        <w:t xml:space="preserve">La parentela non è canale.</w:t>
      </w:r>
      <w:r>
        <w:rPr>
          <w:rFonts w:ascii="Barlow Semi Condensed" w:cs="Barlow Semi Condensed" w:eastAsia="Barlow Semi Condensed" w:hAnsi="Barlow Semi Condensed"/>
          <w:sz w:val="24"/>
          <w:szCs w:val="24"/>
        </w:rPr>
        <w:t xml:space="preserve"> Il padre alla sala stampa vaticana non collega Casimirri alla Santa Sede, né la Santa Sede a via Fani. Le famiglie non rispondono dei figli.</w:t>
      </w:r>
    </w:p>
    <w:p>
      <w:pPr>
        <w:spacing w:after="40"/>
        <w:ind w:left="360"/>
        <w:jc w:val="both"/>
      </w:pPr>
      <w:r>
        <w:rPr>
          <w:rFonts w:ascii="Barlow Semi Condensed" w:cs="Barlow Semi Condensed" w:eastAsia="Barlow Semi Condensed" w:hAnsi="Barlow Semi Condensed"/>
          <w:sz w:val="24"/>
          <w:szCs w:val="24"/>
        </w:rPr>
        <w:t xml:space="preserve">2. </w:t>
      </w:r>
      <w:r>
        <w:rPr>
          <w:rFonts w:ascii="Barlow Semi Condensed" w:cs="Barlow Semi Condensed" w:eastAsia="Barlow Semi Condensed" w:hAnsi="Barlow Semi Condensed"/>
          <w:b/>
          <w:bCs/>
          <w:sz w:val="24"/>
          <w:szCs w:val="24"/>
        </w:rPr>
        <w:t xml:space="preserve">L'origine comune non è regia.</w:t>
      </w:r>
      <w:r>
        <w:rPr>
          <w:rFonts w:ascii="Barlow Semi Condensed" w:cs="Barlow Semi Condensed" w:eastAsia="Barlow Semi Condensed" w:hAnsi="Barlow Semi Condensed"/>
          <w:sz w:val="24"/>
          <w:szCs w:val="24"/>
        </w:rPr>
        <w:t xml:space="preserve"> Il CPM (Moretti) e l'appartamento reggiano (Gallinari, Bonisoli) spiegano formazioni e reti; non istituiscono comandi. Il ceppo del 1969 generò tre strade già mappate — e i proscioglimenti di Hyperion restano proscioglimenti.</w:t>
      </w:r>
    </w:p>
    <w:p>
      <w:pPr>
        <w:spacing w:after="40"/>
        <w:ind w:left="360"/>
        <w:jc w:val="both"/>
      </w:pPr>
      <w:r>
        <w:rPr>
          <w:rFonts w:ascii="Barlow Semi Condensed" w:cs="Barlow Semi Condensed" w:eastAsia="Barlow Semi Condensed" w:hAnsi="Barlow Semi Condensed"/>
          <w:sz w:val="24"/>
          <w:szCs w:val="24"/>
        </w:rPr>
        <w:t xml:space="preserve">3. </w:t>
      </w:r>
      <w:r>
        <w:rPr>
          <w:rFonts w:ascii="Barlow Semi Condensed" w:cs="Barlow Semi Condensed" w:eastAsia="Barlow Semi Condensed" w:hAnsi="Barlow Semi Condensed"/>
          <w:b/>
          <w:bCs/>
          <w:sz w:val="24"/>
          <w:szCs w:val="24"/>
        </w:rPr>
        <w:t xml:space="preserve">La rotta non è filiazione.</w:t>
      </w:r>
      <w:r>
        <w:rPr>
          <w:rFonts w:ascii="Barlow Semi Condensed" w:cs="Barlow Semi Condensed" w:eastAsia="Barlow Semi Condensed" w:hAnsi="Barlow Semi Condensed"/>
          <w:sz w:val="24"/>
          <w:szCs w:val="24"/>
        </w:rPr>
        <w:t xml:space="preserve"> Cuba e Managua sono geografia della latitanza, non genealogia del mito.</w:t>
      </w:r>
    </w:p>
    <w:p>
      <w:pPr>
        <w:spacing w:after="40"/>
        <w:ind w:left="360"/>
        <w:jc w:val="both"/>
      </w:pPr>
      <w:r>
        <w:rPr>
          <w:rFonts w:ascii="Barlow Semi Condensed" w:cs="Barlow Semi Condensed" w:eastAsia="Barlow Semi Condensed" w:hAnsi="Barlow Semi Condensed"/>
          <w:sz w:val="24"/>
          <w:szCs w:val="24"/>
        </w:rPr>
        <w:t xml:space="preserve">4. </w:t>
      </w:r>
      <w:r>
        <w:rPr>
          <w:rFonts w:ascii="Barlow Semi Condensed" w:cs="Barlow Semi Condensed" w:eastAsia="Barlow Semi Condensed" w:hAnsi="Barlow Semi Condensed"/>
          <w:b/>
          <w:bCs/>
          <w:sz w:val="24"/>
          <w:szCs w:val="24"/>
        </w:rPr>
        <w:t xml:space="preserve">Il canale non è complicità.</w:t>
      </w:r>
      <w:r>
        <w:rPr>
          <w:rFonts w:ascii="Barlow Semi Condensed" w:cs="Barlow Semi Condensed" w:eastAsia="Barlow Semi Condensed" w:hAnsi="Barlow Semi Condensed"/>
          <w:sz w:val="24"/>
          <w:szCs w:val="24"/>
        </w:rPr>
        <w:t xml:space="preserve"> L'intermediazione Pace-Piperno del 1978 è censita come tale; nulla si attribuisce a chi non è nel registro.</w:t>
      </w:r>
    </w:p>
    <w:p>
      <w:pPr>
        <w:spacing w:after="40"/>
        <w:ind w:left="360"/>
        <w:jc w:val="both"/>
      </w:pPr>
      <w:r>
        <w:rPr>
          <w:rFonts w:ascii="Barlow Semi Condensed" w:cs="Barlow Semi Condensed" w:eastAsia="Barlow Semi Condensed" w:hAnsi="Barlow Semi Condensed"/>
          <w:sz w:val="24"/>
          <w:szCs w:val="24"/>
        </w:rPr>
        <w:t xml:space="preserve">5. </w:t>
      </w:r>
      <w:r>
        <w:rPr>
          <w:rFonts w:ascii="Barlow Semi Condensed" w:cs="Barlow Semi Condensed" w:eastAsia="Barlow Semi Condensed" w:hAnsi="Barlow Semi Condensed"/>
          <w:b/>
          <w:bCs/>
          <w:sz w:val="24"/>
          <w:szCs w:val="24"/>
        </w:rPr>
        <w:t xml:space="preserve">Il registro resta chiuso.</w:t>
      </w:r>
      <w:r>
        <w:rPr>
          <w:rFonts w:ascii="Barlow Semi Condensed" w:cs="Barlow Semi Condensed" w:eastAsia="Barlow Semi Condensed" w:hAnsi="Barlow Semi Condensed"/>
          <w:sz w:val="24"/>
          <w:szCs w:val="24"/>
        </w:rPr>
        <w:t xml:space="preserve"> Nessun ponte di questa triangolazione aggiunge nomi, sposta gradi o insinua responsabilità: i tredici restano tredici, gli assolti assolti, i prosciolti prosciolti.</w:t>
      </w:r>
    </w:p>
    <w:p>
      <w:pPr>
        <w:pStyle w:val="Heading2"/>
        <w:spacing w:after="100" w:before="200"/>
      </w:pPr>
      <w:r>
        <w:rPr>
          <w:rFonts w:ascii="Barlow Semi Condensed" w:cs="Barlow Semi Condensed" w:eastAsia="Barlow Semi Condensed" w:hAnsi="Barlow Semi Condensed"/>
          <w:sz w:val="24"/>
          <w:szCs w:val="24"/>
        </w:rPr>
        <w:t xml:space="preserve">La matrice sintetica</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40"/>
        <w:gridCol w:w="2340"/>
        <w:gridCol w:w="2340"/>
        <w:gridCol w:w="2340"/>
      </w:tblGrid>
      <w:tr>
        <w:tc>
          <w:tcPr>
            <w:tcW w:type="dxa" w:w="234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Persona</w:t>
            </w:r>
          </w:p>
        </w:tc>
        <w:tc>
          <w:tcPr>
            <w:tcW w:type="dxa" w:w="234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Ponte</w:t>
            </w:r>
          </w:p>
        </w:tc>
        <w:tc>
          <w:tcPr>
            <w:tcW w:type="dxa" w:w="234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Dominio</w:t>
            </w:r>
          </w:p>
        </w:tc>
        <w:tc>
          <w:tcPr>
            <w:tcW w:type="dxa" w:w="234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Grado</w:t>
            </w:r>
          </w:p>
        </w:tc>
      </w:tr>
      <w:tr>
        <w:tc>
          <w:tcPr>
            <w:tcW w:type="dxa" w:w="2340"/>
          </w:tcPr>
          <w:p>
            <w:pPr>
              <w:spacing w:after="20" w:before="20"/>
              <w:jc w:val="both"/>
            </w:pPr>
            <w:r>
              <w:rPr>
                <w:rFonts w:ascii="Barlow Semi Condensed" w:cs="Barlow Semi Condensed" w:eastAsia="Barlow Semi Condensed" w:hAnsi="Barlow Semi Condensed"/>
                <w:sz w:val="20"/>
                <w:szCs w:val="20"/>
              </w:rPr>
              <w:t xml:space="preserve">Moretti</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Sit-Siemens → CPM di Curcio e Simioni (1969) → doppia discendenza BR/Superclan</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D2</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F (biografia) / C (ogni tesi operativa su Hyperion)</w:t>
            </w:r>
          </w:p>
        </w:tc>
      </w:tr>
      <w:tr>
        <w:tc>
          <w:tcPr>
            <w:tcW w:type="dxa" w:w="2340"/>
          </w:tcPr>
          <w:p>
            <w:pPr>
              <w:spacing w:after="20" w:before="20"/>
              <w:jc w:val="both"/>
            </w:pPr>
            <w:r>
              <w:rPr>
                <w:rFonts w:ascii="Barlow Semi Condensed" w:cs="Barlow Semi Condensed" w:eastAsia="Barlow Semi Condensed" w:hAnsi="Barlow Semi Condensed"/>
                <w:sz w:val="20"/>
                <w:szCs w:val="20"/>
              </w:rPr>
              <w:t xml:space="preserve">Morucci</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Potere Operaio → canale Pace-Piperno → PSI (trattativa); trasmissione dei comunicati</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D6</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F / B</w:t>
            </w:r>
          </w:p>
        </w:tc>
      </w:tr>
      <w:tr>
        <w:tc>
          <w:tcPr>
            <w:tcW w:type="dxa" w:w="2340"/>
          </w:tcPr>
          <w:p>
            <w:pPr>
              <w:spacing w:after="20" w:before="20"/>
              <w:jc w:val="both"/>
            </w:pPr>
            <w:r>
              <w:rPr>
                <w:rFonts w:ascii="Barlow Semi Condensed" w:cs="Barlow Semi Condensed" w:eastAsia="Barlow Semi Condensed" w:hAnsi="Barlow Semi Condensed"/>
                <w:sz w:val="20"/>
                <w:szCs w:val="20"/>
              </w:rPr>
              <w:t xml:space="preserve">Faranda</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Potere Operaio → canale Pace-Piperno; contraria all'uccisione</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D6</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F / B</w:t>
            </w:r>
          </w:p>
        </w:tc>
      </w:tr>
      <w:tr>
        <w:tc>
          <w:tcPr>
            <w:tcW w:type="dxa" w:w="2340"/>
          </w:tcPr>
          <w:p>
            <w:pPr>
              <w:spacing w:after="20" w:before="20"/>
              <w:jc w:val="both"/>
            </w:pPr>
            <w:r>
              <w:rPr>
                <w:rFonts w:ascii="Barlow Semi Condensed" w:cs="Barlow Semi Condensed" w:eastAsia="Barlow Semi Condensed" w:hAnsi="Barlow Semi Condensed"/>
                <w:sz w:val="20"/>
                <w:szCs w:val="20"/>
              </w:rPr>
              <w:t xml:space="preserve">Bonisoli</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Portò il memoriale a via Monte Nevoso; arrestato lì (1/10/1978); gruppo reggiano</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D6 · D2</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A / F</w:t>
            </w:r>
          </w:p>
        </w:tc>
      </w:tr>
      <w:tr>
        <w:tc>
          <w:tcPr>
            <w:tcW w:type="dxa" w:w="2340"/>
          </w:tcPr>
          <w:p>
            <w:pPr>
              <w:spacing w:after="20" w:before="20"/>
              <w:jc w:val="both"/>
            </w:pPr>
            <w:r>
              <w:rPr>
                <w:rFonts w:ascii="Barlow Semi Condensed" w:cs="Barlow Semi Condensed" w:eastAsia="Barlow Semi Condensed" w:hAnsi="Barlow Semi Condensed"/>
                <w:sz w:val="20"/>
                <w:szCs w:val="20"/>
              </w:rPr>
              <w:t xml:space="preserve">Gallinari</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«Gruppo dell'appartamento» di Reggio (con Franceschini) → filo verso «Nuova Resistenza» 1971</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D2 · D1</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F (il filo si ferma al 1971-72)</w:t>
            </w:r>
          </w:p>
        </w:tc>
      </w:tr>
      <w:tr>
        <w:tc>
          <w:tcPr>
            <w:tcW w:type="dxa" w:w="2340"/>
          </w:tcPr>
          <w:p>
            <w:pPr>
              <w:spacing w:after="20" w:before="20"/>
              <w:jc w:val="both"/>
            </w:pPr>
            <w:r>
              <w:rPr>
                <w:rFonts w:ascii="Barlow Semi Condensed" w:cs="Barlow Semi Condensed" w:eastAsia="Barlow Semi Condensed" w:hAnsi="Barlow Semi Condensed"/>
                <w:sz w:val="20"/>
                <w:szCs w:val="20"/>
              </w:rPr>
              <w:t xml:space="preserve">Braghetti</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«Il prigioniero» (Feltrinelli, 1998) → «Buongiorno, notte» (2003): la memoria come vettore</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D1 (tema) · D6</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F</w:t>
            </w:r>
          </w:p>
        </w:tc>
      </w:tr>
      <w:tr>
        <w:tc>
          <w:tcPr>
            <w:tcW w:type="dxa" w:w="2340"/>
          </w:tcPr>
          <w:p>
            <w:pPr>
              <w:spacing w:after="20" w:before="20"/>
              <w:jc w:val="both"/>
            </w:pPr>
            <w:r>
              <w:rPr>
                <w:rFonts w:ascii="Barlow Semi Condensed" w:cs="Barlow Semi Condensed" w:eastAsia="Barlow Semi Condensed" w:hAnsi="Barlow Semi Condensed"/>
                <w:sz w:val="20"/>
                <w:szCs w:val="20"/>
              </w:rPr>
              <w:t xml:space="preserve">Seghetti</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Presentò Braghetti a Moretti; condotte successive con giudicati propri</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interno</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F / A (altri fascicoli)</w:t>
            </w:r>
          </w:p>
        </w:tc>
      </w:tr>
      <w:tr>
        <w:tc>
          <w:tcPr>
            <w:tcW w:type="dxa" w:w="2340"/>
          </w:tcPr>
          <w:p>
            <w:pPr>
              <w:spacing w:after="20" w:before="20"/>
              <w:jc w:val="both"/>
            </w:pPr>
            <w:r>
              <w:rPr>
                <w:rFonts w:ascii="Barlow Semi Condensed" w:cs="Barlow Semi Condensed" w:eastAsia="Barlow Semi Condensed" w:hAnsi="Barlow Semi Condensed"/>
                <w:sz w:val="20"/>
                <w:szCs w:val="20"/>
              </w:rPr>
              <w:t xml:space="preserve">Casimirri</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Padre alla sala stampa vaticana (tre papi); rotta Libia-Cuba-Nicaragua; estradizione negata</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D5 · D3</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F (biografia) / nesso: nessuno</w:t>
            </w:r>
          </w:p>
        </w:tc>
      </w:tr>
      <w:tr>
        <w:tc>
          <w:tcPr>
            <w:tcW w:type="dxa" w:w="2340"/>
          </w:tcPr>
          <w:p>
            <w:pPr>
              <w:spacing w:after="20" w:before="20"/>
              <w:jc w:val="both"/>
            </w:pPr>
            <w:r>
              <w:rPr>
                <w:rFonts w:ascii="Barlow Semi Condensed" w:cs="Barlow Semi Condensed" w:eastAsia="Barlow Semi Condensed" w:hAnsi="Barlow Semi Condensed"/>
                <w:sz w:val="20"/>
                <w:szCs w:val="20"/>
              </w:rPr>
              <w:t xml:space="preserve">Lojacono</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Cittadinanza svizzera; pena ineseguita per regola di ordinamento</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D5</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F</w:t>
            </w:r>
          </w:p>
        </w:tc>
      </w:tr>
      <w:tr>
        <w:tc>
          <w:tcPr>
            <w:tcW w:type="dxa" w:w="2340"/>
          </w:tcPr>
          <w:p>
            <w:pPr>
              <w:spacing w:after="20" w:before="20"/>
              <w:jc w:val="both"/>
            </w:pPr>
            <w:r>
              <w:rPr>
                <w:rFonts w:ascii="Barlow Semi Condensed" w:cs="Barlow Semi Condensed" w:eastAsia="Barlow Semi Condensed" w:hAnsi="Barlow Semi Condensed"/>
                <w:sz w:val="20"/>
                <w:szCs w:val="20"/>
              </w:rPr>
              <w:t xml:space="preserve">Fiore · Balzerani · Maccari · Etro</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 nessun ponte documentato oltre il dominio BR</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esito negativo dichiarato</w:t>
            </w:r>
          </w:p>
        </w:tc>
      </w:tr>
    </w:tbl>
    <w:p>
      <w:pPr>
        <w:spacing w:after="80"/>
      </w:pP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Chiusura — Il confronto col filo del 1926: due modi di giudicare i nemici</w:t>
      </w:r>
    </w:p>
    <w:p>
      <w:pPr>
        <w:spacing w:after="120" w:line="276"/>
        <w:jc w:val="both"/>
      </w:pPr>
      <w:r>
        <w:rPr>
          <w:rFonts w:ascii="Barlow Semi Condensed" w:cs="Barlow Semi Condensed" w:eastAsia="Barlow Semi Condensed" w:hAnsi="Barlow Semi Condensed"/>
          <w:sz w:val="24"/>
          <w:szCs w:val="24"/>
        </w:rPr>
        <w:t xml:space="preserve">Resta il dominio D4, dove nessuna biografia si incrocia e proprio per questo il confronto vale di più. Il branch è nato dal </w:t>
      </w:r>
      <w:r>
        <w:rPr>
          <w:rFonts w:ascii="Barlow Semi Condensed" w:cs="Barlow Semi Condensed" w:eastAsia="Barlow Semi Condensed" w:hAnsi="Barlow Semi Condensed"/>
          <w:b/>
          <w:bCs/>
          <w:sz w:val="24"/>
          <w:szCs w:val="24"/>
        </w:rPr>
        <w:t xml:space="preserve">Tribunale Speciale per la Difesa dello Stato</w:t>
      </w:r>
      <w:r>
        <w:rPr>
          <w:rFonts w:ascii="Barlow Semi Condensed" w:cs="Barlow Semi Condensed" w:eastAsia="Barlow Semi Condensed" w:hAnsi="Barlow Semi Condensed"/>
          <w:sz w:val="24"/>
          <w:szCs w:val="24"/>
        </w:rPr>
        <w:t xml:space="preserve">: giudici in camicia nera, codice penale militare di guerra, un grado solo, sentenze inappellabili — la giustizia d'eccezione con cui un regime trattò i propri nemici. I tredici del registro sono l'immagine rovesciata: giudicati da </w:t>
      </w:r>
      <w:r>
        <w:rPr>
          <w:rFonts w:ascii="Barlow Semi Condensed" w:cs="Barlow Semi Condensed" w:eastAsia="Barlow Semi Condensed" w:hAnsi="Barlow Semi Condensed"/>
          <w:b/>
          <w:bCs/>
          <w:sz w:val="24"/>
          <w:szCs w:val="24"/>
        </w:rPr>
        <w:t xml:space="preserve">corti ordinarie</w:t>
      </w:r>
      <w:r>
        <w:rPr>
          <w:rFonts w:ascii="Barlow Semi Condensed" w:cs="Barlow Semi Condensed" w:eastAsia="Barlow Semi Condensed" w:hAnsi="Barlow Semi Condensed"/>
          <w:sz w:val="24"/>
          <w:szCs w:val="24"/>
        </w:rPr>
        <w:t xml:space="preserve">, con tre gradi di giudizio, difensori, appelli, revisioni — cinque processi in vent'anni, un'assoluzione definitiva rispettata contro la comodità del racconto (il caso Algranati), dissociazioni riconosciute, pene eseguite secondo la legge e, dove gli ordinamenti stranieri l'hanno impedito, </w:t>
      </w:r>
      <w:r>
        <w:rPr>
          <w:rFonts w:ascii="Barlow Semi Condensed" w:cs="Barlow Semi Condensed" w:eastAsia="Barlow Semi Condensed" w:hAnsi="Barlow Semi Condensed"/>
          <w:b/>
          <w:bCs/>
          <w:sz w:val="24"/>
          <w:szCs w:val="24"/>
        </w:rPr>
        <w:t xml:space="preserve">non eseguite senza che la Repubblica cessasse di chiederle nelle forme del diritto</w:t>
      </w:r>
      <w:r>
        <w:rPr>
          <w:rFonts w:ascii="Barlow Semi Condensed" w:cs="Barlow Semi Condensed" w:eastAsia="Barlow Semi Condensed" w:hAnsi="Barlow Semi Condensed"/>
          <w:sz w:val="24"/>
          <w:szCs w:val="24"/>
        </w:rPr>
        <w:t xml:space="preserve">.</w:t>
      </w:r>
    </w:p>
    <w:p>
      <w:pPr>
        <w:spacing w:after="120" w:line="276"/>
        <w:jc w:val="both"/>
      </w:pPr>
      <w:r>
        <w:rPr>
          <w:rFonts w:ascii="Barlow Semi Condensed" w:cs="Barlow Semi Condensed" w:eastAsia="Barlow Semi Condensed" w:hAnsi="Barlow Semi Condensed"/>
          <w:sz w:val="24"/>
          <w:szCs w:val="24"/>
        </w:rPr>
        <w:t xml:space="preserve">Questa è la triangolazione finale, e non riguarda le persone: riguarda i due Stati. Quello del 1926 costruì un tribunale su misura per i propri nemici; quello del 1978 — colpito al cuore, con sei morti sull'asfalto — giudicò i suoi con le garanzie che l'art. 102 della Costituzione aveva scritto proprio contro la memoria di quel tribunale. La guerra senza fine attraversa entrambi; la differenza fra i due modi di giudicarla è, alla lettera, la Repubblica. Ed è per custodire quella differenza che questo documento censisce ponti e nega nessi: perché il giorno in cui i ponti diventassero nessi per assonanza, e le appartenenze colpe per contagio, avremmo riaperto — dalla parte sbagliata — il filo del 1926.</w:t>
      </w:r>
    </w:p>
    <w:p>
      <w:pPr>
        <w:pBdr>
          <w:bottom w:val="single" w:color="999999" w:sz="6" w:space="1"/>
        </w:pBdr>
        <w:spacing w:after="80"/>
      </w:pPr>
    </w:p>
    <w:p>
      <w:pPr>
        <w:spacing w:after="120" w:line="276"/>
        <w:jc w:val="both"/>
      </w:pPr>
      <w:r>
        <w:rPr>
          <w:rFonts w:ascii="Barlow Semi Condensed" w:cs="Barlow Semi Condensed" w:eastAsia="Barlow Semi Condensed" w:hAnsi="Barlow Semi Condensed"/>
          <w:i/>
          <w:iCs/>
          <w:sz w:val="24"/>
          <w:szCs w:val="24"/>
        </w:rPr>
        <w:t xml:space="preserve">Triangolazione dei tredici condannati del registro personalistico (Fase decima) con i domini del corpus. Otto nodi documentati e verificati su fonti (T-1 Moretti/CPM; T-2 Morucci-Faranda/canale Pace-Piperno; T-3 Bonisoli/Monte Nevoso; T-4 la genealogia reggiana; T-5 Casimirri/Vaticano e America Latina; T-6 Lojacono/Svizzera; T-7 Braghetti/la memoria come vettore; T-8 le condotte successive), quattro esiti negativi dichiarati, cinque anti-triangolazioni, la matrice sintetica e la chiusura sul confronto di metodo col Tribunale Speciale. Nessun ponte è un nesso; nessun nome è aggiunto al giudicato; la presunzione d'innocenza resta piena e nominale per chiunque non sia nel registro. Fonti verificate e linkate nel testo.</w:t>
      </w:r>
    </w:p>
    <w:p>
      <w:pPr>
        <w:pStyle w:val="Heading3"/>
        <w:spacing w:after="80" w:before="240"/>
      </w:pPr>
      <w:r>
        <w:rPr>
          <w:rFonts w:ascii="Barlow Semi Condensed" w:cs="Barlow Semi Condensed" w:eastAsia="Barlow Semi Condensed" w:hAnsi="Barlow Semi Condensed"/>
          <w:sz w:val="24"/>
          <w:szCs w:val="24"/>
        </w:rPr>
        <w:t xml:space="preserve">Apparato grafico — Libro undicesimo · La prosopografia dei tredici</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2"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Libro undicesimo II: 2.945 parole in 9 sezioni; la più ampia è §9 Altre sezioni, con 1.242.</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3"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Libro undicesimo II: 20 indirizzi di fonte citati, addensati in 7 sezioni su 9.</w:t>
      </w:r>
    </w:p>
    <w:p>
      <w:pPr>
        <w:spacing w:after="120"/>
        <w:jc w:val="center"/>
      </w:pPr>
      <w:r>
        <w:rPr>
          <w:rFonts w:ascii="Barlow Semi Condensed" w:cs="Barlow Semi Condensed" w:eastAsia="Barlow Semi Condensed" w:hAnsi="Barlow Semi Condensed"/>
          <w:color w:val="777777"/>
          <w:sz w:val="16"/>
          <w:szCs w:val="16"/>
        </w:rPr>
        <w:t xml:space="preserve">Le metriche dell'apparato contano parole, documenti e atti — mai colpe.</w:t>
      </w:r>
    </w:p>
    <w:p>
      <w:r>
        <w:br w:type="page"/>
      </w:r>
    </w:p>
    <w:p>
      <w:pPr>
        <w:pStyle w:val="Heading1"/>
        <w:spacing w:after="120" w:before="240"/>
      </w:pPr>
      <w:r>
        <w:rPr>
          <w:rFonts w:ascii="Barlow Semi Condensed" w:cs="Barlow Semi Condensed" w:eastAsia="Barlow Semi Condensed" w:hAnsi="Barlow Semi Condensed"/>
          <w:sz w:val="24"/>
          <w:szCs w:val="24"/>
        </w:rPr>
        <w:t xml:space="preserve">Libro dodicesimo — La dimensione diplomatica — I. Moro alla Farnesina (collazione)</w:t>
      </w:r>
    </w:p>
    <w:p>
      <w:pPr>
        <w:pStyle w:val="Heading1"/>
        <w:spacing w:after="120" w:before="240"/>
      </w:pPr>
      <w:r>
        <w:rPr>
          <w:rFonts w:ascii="Barlow Semi Condensed" w:cs="Barlow Semi Condensed" w:eastAsia="Barlow Semi Condensed" w:hAnsi="Barlow Semi Condensed"/>
          <w:sz w:val="24"/>
          <w:szCs w:val="24"/>
        </w:rPr>
        <w:t xml:space="preserve">Aldo Moro alla Farnesina — La dimensione diplomatica dello statista</w:t>
      </w:r>
    </w:p>
    <w:p>
      <w:pPr>
        <w:pBdr>
          <w:left w:val="single" w:color="1F3864" w:sz="18" w:space="8"/>
        </w:pBdr>
        <w:spacing w:after="80" w:before="80"/>
        <w:ind w:left="360" w:right="360"/>
        <w:jc w:val="both"/>
      </w:pPr>
      <w:r>
        <w:rPr>
          <w:rFonts w:ascii="Barlow Semi Condensed" w:cs="Barlow Semi Condensed" w:eastAsia="Barlow Semi Condensed" w:hAnsi="Barlow Semi Condensed"/>
          <w:b/>
          <w:bCs/>
          <w:i w:val="false"/>
          <w:iCs w:val="false"/>
          <w:sz w:val="24"/>
          <w:szCs w:val="24"/>
        </w:rPr>
        <w:t xml:space="preserve">Che cos'è questa cartella.</w:t>
      </w:r>
      <w:r>
        <w:rPr>
          <w:rFonts w:ascii="Barlow Semi Condensed" w:cs="Barlow Semi Condensed" w:eastAsia="Barlow Semi Condensed" w:hAnsi="Barlow Semi Condensed"/>
          <w:i w:val="false"/>
          <w:iCs w:val="false"/>
          <w:sz w:val="24"/>
          <w:szCs w:val="24"/>
        </w:rPr>
        <w:t xml:space="preserve"> Una raccolta ordinata di ricognizioni storiografiche e archivistiche su </w:t>
      </w:r>
      <w:r>
        <w:rPr>
          <w:rFonts w:ascii="Barlow Semi Condensed" w:cs="Barlow Semi Condensed" w:eastAsia="Barlow Semi Condensed" w:hAnsi="Barlow Semi Condensed"/>
          <w:b/>
          <w:bCs/>
          <w:i w:val="false"/>
          <w:iCs w:val="false"/>
          <w:sz w:val="24"/>
          <w:szCs w:val="24"/>
        </w:rPr>
        <w:t xml:space="preserve">Aldo Moro ministro degli Affari Esteri</w:t>
      </w:r>
      <w:r>
        <w:rPr>
          <w:rFonts w:ascii="Barlow Semi Condensed" w:cs="Barlow Semi Condensed" w:eastAsia="Barlow Semi Condensed" w:hAnsi="Barlow Semi Condensed"/>
          <w:i w:val="false"/>
          <w:iCs w:val="false"/>
          <w:sz w:val="24"/>
          <w:szCs w:val="24"/>
        </w:rPr>
        <w:t xml:space="preserve"> nei due mandati fra il 5 agosto 1969 e il 23 novembre 1974, con i loro versanti mediterranei e le triangolazioni con la Santa Sede e con l'Opus Dei nei Paesi studiati. È la </w:t>
      </w:r>
      <w:r>
        <w:rPr>
          <w:rFonts w:ascii="Barlow Semi Condensed" w:cs="Barlow Semi Condensed" w:eastAsia="Barlow Semi Condensed" w:hAnsi="Barlow Semi Condensed"/>
          <w:b/>
          <w:bCs/>
          <w:i w:val="false"/>
          <w:iCs w:val="false"/>
          <w:sz w:val="24"/>
          <w:szCs w:val="24"/>
        </w:rPr>
        <w:t xml:space="preserve">dimensione diplomatica</w:t>
      </w:r>
      <w:r>
        <w:rPr>
          <w:rFonts w:ascii="Barlow Semi Condensed" w:cs="Barlow Semi Condensed" w:eastAsia="Barlow Semi Condensed" w:hAnsi="Barlow Semi Condensed"/>
          <w:i w:val="false"/>
          <w:iCs w:val="false"/>
          <w:sz w:val="24"/>
          <w:szCs w:val="24"/>
        </w:rPr>
        <w:t xml:space="preserve"> del ritratto tracciato nella `</w:t>
      </w:r>
      <w:r>
        <w:rPr>
          <w:rFonts w:ascii="Barlow Semi Condensed" w:cs="Barlow Semi Condensed" w:eastAsia="Barlow Semi Condensed" w:hAnsi="Barlow Semi Condensed"/>
          <w:i w:val="false"/>
          <w:iCs w:val="false"/>
          <w:sz w:val="24"/>
          <w:szCs w:val="24"/>
        </w:rPr>
        <w:t xml:space="preserve">Fase ottava — Il ritratto: l'uomo prima del caso</w:t>
      </w:r>
      <w:r>
        <w:rPr>
          <w:rFonts w:ascii="Barlow Semi Condensed" w:cs="Barlow Semi Condensed" w:eastAsia="Barlow Semi Condensed" w:hAnsi="Barlow Semi Condensed"/>
          <w:i w:val="false"/>
          <w:iCs w:val="false"/>
          <w:sz w:val="24"/>
          <w:szCs w:val="24"/>
        </w:rPr>
        <w:t xml:space="preserve">`: là si è raccontato l'uomo e lo statista — la formazione, il costituente, la </w:t>
      </w:r>
      <w:r>
        <w:rPr>
          <w:rFonts w:ascii="Barlow Semi Condensed" w:cs="Barlow Semi Condensed" w:eastAsia="Barlow Semi Condensed" w:hAnsi="Barlow Semi Condensed"/>
          <w:i w:val="false"/>
          <w:iCs w:val="false"/>
          <w:sz w:val="24"/>
          <w:szCs w:val="24"/>
        </w:rPr>
        <w:t xml:space="preserve">strategia dell'attenzione</w:t>
      </w:r>
      <w:r>
        <w:rPr>
          <w:rFonts w:ascii="Barlow Semi Condensed" w:cs="Barlow Semi Condensed" w:eastAsia="Barlow Semi Condensed" w:hAnsi="Barlow Semi Condensed"/>
          <w:i w:val="false"/>
          <w:iCs w:val="false"/>
          <w:sz w:val="24"/>
          <w:szCs w:val="24"/>
        </w:rPr>
        <w:t xml:space="preserve">, la solidarietà nazionale; qui si documenta che cosa quello statista </w:t>
      </w:r>
      <w:r>
        <w:rPr>
          <w:rFonts w:ascii="Barlow Semi Condensed" w:cs="Barlow Semi Condensed" w:eastAsia="Barlow Semi Condensed" w:hAnsi="Barlow Semi Condensed"/>
          <w:b/>
          <w:bCs/>
          <w:i w:val="false"/>
          <w:iCs w:val="false"/>
          <w:sz w:val="24"/>
          <w:szCs w:val="24"/>
        </w:rPr>
        <w:t xml:space="preserve">fece</w:t>
      </w:r>
      <w:r>
        <w:rPr>
          <w:rFonts w:ascii="Barlow Semi Condensed" w:cs="Barlow Semi Condensed" w:eastAsia="Barlow Semi Condensed" w:hAnsi="Barlow Semi Condensed"/>
          <w:i w:val="false"/>
          <w:iCs w:val="false"/>
          <w:sz w:val="24"/>
          <w:szCs w:val="24"/>
        </w:rPr>
        <w:t xml:space="preserve"> come ministro degli Esteri, con la stessa disciplina di prova adottata in tutto il corpus.  </w:t>
      </w:r>
      <w:r>
        <w:rPr>
          <w:rFonts w:ascii="Barlow Semi Condensed" w:cs="Barlow Semi Condensed" w:eastAsia="Barlow Semi Condensed" w:hAnsi="Barlow Semi Condensed"/>
          <w:b/>
          <w:bCs/>
          <w:i w:val="false"/>
          <w:iCs w:val="false"/>
          <w:sz w:val="24"/>
          <w:szCs w:val="24"/>
        </w:rPr>
        <w:t xml:space="preserve">Perché sul branch pubblico.</w:t>
      </w:r>
      <w:r>
        <w:rPr>
          <w:rFonts w:ascii="Barlow Semi Condensed" w:cs="Barlow Semi Condensed" w:eastAsia="Barlow Semi Condensed" w:hAnsi="Barlow Semi Condensed"/>
          <w:i w:val="false"/>
          <w:iCs w:val="false"/>
          <w:sz w:val="24"/>
          <w:szCs w:val="24"/>
        </w:rPr>
        <w:t xml:space="preserve"> Tutto il materiale è storiografico e disciplinato: fatti pubblici documentati, atti comunitari con riferimento alla Gazzetta ufficiale, documenti desecretati con protocollo, sentenze con data e autorità. Gli accertamenti sull'Opus Dei si risolvono, per i Paesi qui trattati, in </w:t>
      </w:r>
      <w:r>
        <w:rPr>
          <w:rFonts w:ascii="Barlow Semi Condensed" w:cs="Barlow Semi Condensed" w:eastAsia="Barlow Semi Condensed" w:hAnsi="Barlow Semi Condensed"/>
          <w:b/>
          <w:bCs/>
          <w:i w:val="false"/>
          <w:iCs w:val="false"/>
          <w:sz w:val="24"/>
          <w:szCs w:val="24"/>
        </w:rPr>
        <w:t xml:space="preserve">presenza documentata</w:t>
      </w:r>
      <w:r>
        <w:rPr>
          <w:rFonts w:ascii="Barlow Semi Condensed" w:cs="Barlow Semi Condensed" w:eastAsia="Barlow Semi Condensed" w:hAnsi="Barlow Semi Condensed"/>
          <w:i w:val="false"/>
          <w:iCs w:val="false"/>
          <w:sz w:val="24"/>
          <w:szCs w:val="24"/>
        </w:rPr>
        <w:t xml:space="preserve"> (Germania, Portogallo) o in </w:t>
      </w:r>
      <w:r>
        <w:rPr>
          <w:rFonts w:ascii="Barlow Semi Condensed" w:cs="Barlow Semi Condensed" w:eastAsia="Barlow Semi Condensed" w:hAnsi="Barlow Semi Condensed"/>
          <w:b/>
          <w:bCs/>
          <w:i w:val="false"/>
          <w:iCs w:val="false"/>
          <w:sz w:val="24"/>
          <w:szCs w:val="24"/>
        </w:rPr>
        <w:t xml:space="preserve">assenza dichiarata come «Stato Zero»</w:t>
      </w:r>
      <w:r>
        <w:rPr>
          <w:rFonts w:ascii="Barlow Semi Condensed" w:cs="Barlow Semi Condensed" w:eastAsia="Barlow Semi Condensed" w:hAnsi="Barlow Semi Condensed"/>
          <w:i w:val="false"/>
          <w:iCs w:val="false"/>
          <w:sz w:val="24"/>
          <w:szCs w:val="24"/>
        </w:rPr>
        <w:t xml:space="preserve"> (Grecia, Turchia), sempre con la regola di ferro secondo cui </w:t>
      </w:r>
      <w:r>
        <w:rPr>
          <w:rFonts w:ascii="Barlow Semi Condensed" w:cs="Barlow Semi Condensed" w:eastAsia="Barlow Semi Condensed" w:hAnsi="Barlow Semi Condensed"/>
          <w:i w:val="false"/>
          <w:iCs w:val="false"/>
          <w:sz w:val="24"/>
          <w:szCs w:val="24"/>
        </w:rPr>
        <w:t xml:space="preserve">l'appartenenza di una persona a un'organizzazione non è prova di una condotta dell'organizzazione</w:t>
      </w:r>
      <w:r>
        <w:rPr>
          <w:rFonts w:ascii="Barlow Semi Condensed" w:cs="Barlow Semi Condensed" w:eastAsia="Barlow Semi Condensed" w:hAnsi="Barlow Semi Condensed"/>
          <w:i w:val="false"/>
          <w:iCs w:val="false"/>
          <w:sz w:val="24"/>
          <w:szCs w:val="24"/>
        </w:rPr>
        <w:t xml:space="preserve">. Nessuna persona vivente è indicata come responsabile di alcunché; per le persone viventi si riportano esclusivamente fatti pubblici. Nulla qui appartiene alla categoria riservata del materiale privato del corpus.</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Il filo che tiene insieme la cartella</w:t>
      </w:r>
    </w:p>
    <w:p>
      <w:pPr>
        <w:spacing w:after="120" w:line="276"/>
        <w:jc w:val="both"/>
      </w:pPr>
      <w:r>
        <w:rPr>
          <w:rFonts w:ascii="Barlow Semi Condensed" w:cs="Barlow Semi Condensed" w:eastAsia="Barlow Semi Condensed" w:hAnsi="Barlow Semi Condensed"/>
          <w:sz w:val="24"/>
          <w:szCs w:val="24"/>
        </w:rPr>
        <w:t xml:space="preserve">Il ritratto della Fase ottava ha un centro: </w:t>
      </w:r>
      <w:r>
        <w:rPr>
          <w:rFonts w:ascii="Barlow Semi Condensed" w:cs="Barlow Semi Condensed" w:eastAsia="Barlow Semi Condensed" w:hAnsi="Barlow Semi Condensed"/>
          <w:b/>
          <w:bCs/>
          <w:sz w:val="24"/>
          <w:szCs w:val="24"/>
        </w:rPr>
        <w:t xml:space="preserve">la strategia dell'attenzione</w:t>
      </w:r>
      <w:r>
        <w:rPr>
          <w:rFonts w:ascii="Barlow Semi Condensed" w:cs="Barlow Semi Condensed" w:eastAsia="Barlow Semi Condensed" w:hAnsi="Barlow Semi Condensed"/>
          <w:sz w:val="24"/>
          <w:szCs w:val="24"/>
        </w:rPr>
        <w:t xml:space="preserve"> — l'idea moroteo che una democrazia matura amplia il proprio perimetro includendo per gradi ciò che prima ne era escluso, senza abdicare ai propri principi. La stessa idea, sul piano internazionale, ha un nome e una prassi: la </w:t>
      </w:r>
      <w:r>
        <w:rPr>
          <w:rFonts w:ascii="Barlow Semi Condensed" w:cs="Barlow Semi Condensed" w:eastAsia="Barlow Semi Condensed" w:hAnsi="Barlow Semi Condensed"/>
          <w:b/>
          <w:bCs/>
          <w:sz w:val="24"/>
          <w:szCs w:val="24"/>
        </w:rPr>
        <w:t xml:space="preserve">dottrina dell'equilibrio</w:t>
      </w:r>
      <w:r>
        <w:rPr>
          <w:rFonts w:ascii="Barlow Semi Condensed" w:cs="Barlow Semi Condensed" w:eastAsia="Barlow Semi Condensed" w:hAnsi="Barlow Semi Condensed"/>
          <w:sz w:val="24"/>
          <w:szCs w:val="24"/>
        </w:rPr>
        <w:t xml:space="preserve"> e della </w:t>
      </w:r>
      <w:r>
        <w:rPr>
          <w:rFonts w:ascii="Barlow Semi Condensed" w:cs="Barlow Semi Condensed" w:eastAsia="Barlow Semi Condensed" w:hAnsi="Barlow Semi Condensed"/>
          <w:b/>
          <w:bCs/>
          <w:sz w:val="24"/>
          <w:szCs w:val="24"/>
        </w:rPr>
        <w:t xml:space="preserve">proiezione mediterranea</w:t>
      </w:r>
      <w:r>
        <w:rPr>
          <w:rFonts w:ascii="Barlow Semi Condensed" w:cs="Barlow Semi Condensed" w:eastAsia="Barlow Semi Condensed" w:hAnsi="Barlow Semi Condensed"/>
          <w:sz w:val="24"/>
          <w:szCs w:val="24"/>
        </w:rPr>
        <w:t xml:space="preserve"> dell'Italia — l'equidistanza fra i blocchi, l'attenzione al mondo arabo e alla causa palestinese, la costruzione paziente di canali. Questi documenti mostrano l'uomo della «terza fase» all'opera nella cornice in cui quella cultura politica si faceva atto diplomatico.</w:t>
      </w:r>
    </w:p>
    <w:p>
      <w:pPr>
        <w:spacing w:after="120" w:line="276"/>
        <w:jc w:val="both"/>
      </w:pPr>
      <w:r>
        <w:rPr>
          <w:rFonts w:ascii="Barlow Semi Condensed" w:cs="Barlow Semi Condensed" w:eastAsia="Barlow Semi Condensed" w:hAnsi="Barlow Semi Condensed"/>
          <w:sz w:val="24"/>
          <w:szCs w:val="24"/>
        </w:rPr>
        <w:t xml:space="preserve">Tre acquisizioni </w:t>
      </w:r>
      <w:r>
        <w:rPr>
          <w:rFonts w:ascii="Barlow Semi Condensed" w:cs="Barlow Semi Condensed" w:eastAsia="Barlow Semi Condensed" w:hAnsi="Barlow Semi Condensed"/>
          <w:b/>
          <w:bCs/>
          <w:sz w:val="24"/>
          <w:szCs w:val="24"/>
        </w:rPr>
        <w:t xml:space="preserve">certe</w:t>
      </w:r>
      <w:r>
        <w:rPr>
          <w:rFonts w:ascii="Barlow Semi Condensed" w:cs="Barlow Semi Condensed" w:eastAsia="Barlow Semi Condensed" w:hAnsi="Barlow Semi Condensed"/>
          <w:sz w:val="24"/>
          <w:szCs w:val="24"/>
        </w:rPr>
        <w:t xml:space="preserve"> reggono la cartella, e vanno dette per prime perché sono il pavimento documentale su cui tutto il resto poggia:</w:t>
      </w:r>
    </w:p>
    <w:p>
      <w:pPr>
        <w:spacing w:after="40"/>
        <w:ind w:left="360"/>
        <w:jc w:val="both"/>
      </w:pPr>
      <w:r>
        <w:rPr>
          <w:rFonts w:ascii="Barlow Semi Condensed" w:cs="Barlow Semi Condensed" w:eastAsia="Barlow Semi Condensed" w:hAnsi="Barlow Semi Condensed"/>
          <w:sz w:val="24"/>
          <w:szCs w:val="24"/>
        </w:rPr>
        <w:t xml:space="preserve">1. </w:t>
      </w:r>
      <w:r>
        <w:rPr>
          <w:rFonts w:ascii="Barlow Semi Condensed" w:cs="Barlow Semi Condensed" w:eastAsia="Barlow Semi Condensed" w:hAnsi="Barlow Semi Condensed"/>
          <w:b/>
          <w:bCs/>
          <w:sz w:val="24"/>
          <w:szCs w:val="24"/>
        </w:rPr>
        <w:t xml:space="preserve">La firma dell'Accordo provvisorio CEE-Turchia</w:t>
      </w:r>
      <w:r>
        <w:rPr>
          <w:rFonts w:ascii="Barlow Semi Condensed" w:cs="Barlow Semi Condensed" w:eastAsia="Barlow Semi Condensed" w:hAnsi="Barlow Semi Condensed"/>
          <w:sz w:val="24"/>
          <w:szCs w:val="24"/>
        </w:rPr>
        <w:t xml:space="preserve"> (Bruxelles, 27 luglio 1971). Il preambolo del Regolamento (CEE) n. 1842/71 attesta che l'accordo fu firmato «a nome del Consiglio delle Comunità europee dal sig. Aldo Moro, Ministro degli affari esteri della Repubblica italiana e Presidente del Consiglio». Nel secondo semestre 1971 la presidenza di turno del Consiglio delle Comunità spettava all'Italia: Moro appose materialmente la firma a un atto dell'associazione CEE-Turchia. È il nesso Moro-Turchia meglio documentato dell'intera serie.</w:t>
      </w:r>
    </w:p>
    <w:p>
      <w:pPr>
        <w:spacing w:after="40"/>
        <w:ind w:left="360"/>
        <w:jc w:val="both"/>
      </w:pPr>
      <w:r>
        <w:rPr>
          <w:rFonts w:ascii="Barlow Semi Condensed" w:cs="Barlow Semi Condensed" w:eastAsia="Barlow Semi Condensed" w:hAnsi="Barlow Semi Condensed"/>
          <w:sz w:val="24"/>
          <w:szCs w:val="24"/>
        </w:rPr>
        <w:t xml:space="preserve">2. </w:t>
      </w:r>
      <w:r>
        <w:rPr>
          <w:rFonts w:ascii="Barlow Semi Condensed" w:cs="Barlow Semi Condensed" w:eastAsia="Barlow Semi Condensed" w:hAnsi="Barlow Semi Condensed"/>
          <w:b/>
          <w:bCs/>
          <w:sz w:val="24"/>
          <w:szCs w:val="24"/>
        </w:rPr>
        <w:t xml:space="preserve">La firma dell'Atto finale di Helsinki</w:t>
      </w:r>
      <w:r>
        <w:rPr>
          <w:rFonts w:ascii="Barlow Semi Condensed" w:cs="Barlow Semi Condensed" w:eastAsia="Barlow Semi Condensed" w:hAnsi="Barlow Semi Condensed"/>
          <w:sz w:val="24"/>
          <w:szCs w:val="24"/>
        </w:rPr>
        <w:t xml:space="preserve"> (1° agosto 1975). Moro lo sottoscrisse nella duplice qualità di Presidente del Consiglio e Presidente di turno della Comunità europea. Sullo stesso documento apposero la firma anche la </w:t>
      </w:r>
      <w:r>
        <w:rPr>
          <w:rFonts w:ascii="Barlow Semi Condensed" w:cs="Barlow Semi Condensed" w:eastAsia="Barlow Semi Condensed" w:hAnsi="Barlow Semi Condensed"/>
          <w:b/>
          <w:bCs/>
          <w:sz w:val="24"/>
          <w:szCs w:val="24"/>
        </w:rPr>
        <w:t xml:space="preserve">Santa Sede</w:t>
      </w:r>
      <w:r>
        <w:rPr>
          <w:rFonts w:ascii="Barlow Semi Condensed" w:cs="Barlow Semi Condensed" w:eastAsia="Barlow Semi Condensed" w:hAnsi="Barlow Semi Condensed"/>
          <w:sz w:val="24"/>
          <w:szCs w:val="24"/>
        </w:rPr>
        <w:t xml:space="preserve"> — primo congresso di Stati cui essa partecipava a pieno titolo dal Congresso di Vienna del 1815, con la delegazione Casaroli-Silvestrini e la proposta sulla libertà religiosa confluita nel settimo principio — e la </w:t>
      </w:r>
      <w:r>
        <w:rPr>
          <w:rFonts w:ascii="Barlow Semi Condensed" w:cs="Barlow Semi Condensed" w:eastAsia="Barlow Semi Condensed" w:hAnsi="Barlow Semi Condensed"/>
          <w:b/>
          <w:bCs/>
          <w:sz w:val="24"/>
          <w:szCs w:val="24"/>
        </w:rPr>
        <w:t xml:space="preserve">Turchia</w:t>
      </w:r>
      <w:r>
        <w:rPr>
          <w:rFonts w:ascii="Barlow Semi Condensed" w:cs="Barlow Semi Condensed" w:eastAsia="Barlow Semi Condensed" w:hAnsi="Barlow Semi Condensed"/>
          <w:sz w:val="24"/>
          <w:szCs w:val="24"/>
        </w:rPr>
        <w:t xml:space="preserve">. La convergenza delle tre firme è </w:t>
      </w:r>
      <w:r>
        <w:rPr>
          <w:rFonts w:ascii="Barlow Semi Condensed" w:cs="Barlow Semi Condensed" w:eastAsia="Barlow Semi Condensed" w:hAnsi="Barlow Semi Condensed"/>
          <w:b/>
          <w:bCs/>
          <w:sz w:val="24"/>
          <w:szCs w:val="24"/>
        </w:rPr>
        <w:t xml:space="preserve">la triangolazione certa</w:t>
      </w:r>
      <w:r>
        <w:rPr>
          <w:rFonts w:ascii="Barlow Semi Condensed" w:cs="Barlow Semi Condensed" w:eastAsia="Barlow Semi Condensed" w:hAnsi="Barlow Semi Condensed"/>
          <w:sz w:val="24"/>
          <w:szCs w:val="24"/>
        </w:rPr>
        <w:t xml:space="preserve"> fra i tre oggetti di questa cartella nel perimetro cronologico considerato.</w:t>
      </w:r>
    </w:p>
    <w:p>
      <w:pPr>
        <w:spacing w:after="40"/>
        <w:ind w:left="360"/>
        <w:jc w:val="both"/>
      </w:pPr>
      <w:r>
        <w:rPr>
          <w:rFonts w:ascii="Barlow Semi Condensed" w:cs="Barlow Semi Condensed" w:eastAsia="Barlow Semi Condensed" w:hAnsi="Barlow Semi Condensed"/>
          <w:sz w:val="24"/>
          <w:szCs w:val="24"/>
        </w:rPr>
        <w:t xml:space="preserve">3. </w:t>
      </w:r>
      <w:r>
        <w:rPr>
          <w:rFonts w:ascii="Barlow Semi Condensed" w:cs="Barlow Semi Condensed" w:eastAsia="Barlow Semi Condensed" w:hAnsi="Barlow Semi Condensed"/>
          <w:b/>
          <w:bCs/>
          <w:sz w:val="24"/>
          <w:szCs w:val="24"/>
        </w:rPr>
        <w:t xml:space="preserve">L'atto sulla Grecia dei colonnelli</w:t>
      </w:r>
      <w:r>
        <w:rPr>
          <w:rFonts w:ascii="Barlow Semi Condensed" w:cs="Barlow Semi Condensed" w:eastAsia="Barlow Semi Condensed" w:hAnsi="Barlow Semi Condensed"/>
          <w:sz w:val="24"/>
          <w:szCs w:val="24"/>
        </w:rPr>
        <w:t xml:space="preserve"> (1969). Il versante greco si apre con la posizione italiana nell'espulsione — di fatto anticipata dal ritiro volontario — della Grecia dei colonnelli dal Consiglio d'Europa nel 1969, primo anno del mandato di Moro: un banco di prova della strategia dell'attenzione applicata al trattamento di un regime autoritario alleato.</w:t>
      </w:r>
    </w:p>
    <w:p>
      <w:pPr>
        <w:spacing w:after="120" w:line="276"/>
        <w:jc w:val="both"/>
      </w:pPr>
      <w:r>
        <w:rPr>
          <w:rFonts w:ascii="Barlow Semi Condensed" w:cs="Barlow Semi Condensed" w:eastAsia="Barlow Semi Condensed" w:hAnsi="Barlow Semi Condensed"/>
          <w:sz w:val="24"/>
          <w:szCs w:val="24"/>
        </w:rPr>
        <w:t xml:space="preserve">Attorno a questi tre punti fermi si dispongono i versanti: il </w:t>
      </w:r>
      <w:r>
        <w:rPr>
          <w:rFonts w:ascii="Barlow Semi Condensed" w:cs="Barlow Semi Condensed" w:eastAsia="Barlow Semi Condensed" w:hAnsi="Barlow Semi Condensed"/>
          <w:b/>
          <w:bCs/>
          <w:sz w:val="24"/>
          <w:szCs w:val="24"/>
        </w:rPr>
        <w:t xml:space="preserve">lodo Moro</w:t>
      </w:r>
      <w:r>
        <w:rPr>
          <w:rFonts w:ascii="Barlow Semi Condensed" w:cs="Barlow Semi Condensed" w:eastAsia="Barlow Semi Condensed" w:hAnsi="Barlow Semi Condensed"/>
          <w:sz w:val="24"/>
          <w:szCs w:val="24"/>
        </w:rPr>
        <w:t xml:space="preserve"> e la politica filo-araba, la </w:t>
      </w:r>
      <w:r>
        <w:rPr>
          <w:rFonts w:ascii="Barlow Semi Condensed" w:cs="Barlow Semi Condensed" w:eastAsia="Barlow Semi Condensed" w:hAnsi="Barlow Semi Condensed"/>
          <w:b/>
          <w:bCs/>
          <w:sz w:val="24"/>
          <w:szCs w:val="24"/>
        </w:rPr>
        <w:t xml:space="preserve">Ostpolitik</w:t>
      </w:r>
      <w:r>
        <w:rPr>
          <w:rFonts w:ascii="Barlow Semi Condensed" w:cs="Barlow Semi Condensed" w:eastAsia="Barlow Semi Condensed" w:hAnsi="Barlow Semi Condensed"/>
          <w:sz w:val="24"/>
          <w:szCs w:val="24"/>
        </w:rPr>
        <w:t xml:space="preserve"> e gli incontri con Brandt e Scheel, il </w:t>
      </w:r>
      <w:r>
        <w:rPr>
          <w:rFonts w:ascii="Barlow Semi Condensed" w:cs="Barlow Semi Condensed" w:eastAsia="Barlow Semi Condensed" w:hAnsi="Barlow Semi Condensed"/>
          <w:b/>
          <w:bCs/>
          <w:sz w:val="24"/>
          <w:szCs w:val="24"/>
        </w:rPr>
        <w:t xml:space="preserve">versante libico e mediterraneo</w:t>
      </w:r>
      <w:r>
        <w:rPr>
          <w:rFonts w:ascii="Barlow Semi Condensed" w:cs="Barlow Semi Condensed" w:eastAsia="Barlow Semi Condensed" w:hAnsi="Barlow Semi Condensed"/>
          <w:sz w:val="24"/>
          <w:szCs w:val="24"/>
        </w:rPr>
        <w:t xml:space="preserve">, le </w:t>
      </w:r>
      <w:r>
        <w:rPr>
          <w:rFonts w:ascii="Barlow Semi Condensed" w:cs="Barlow Semi Condensed" w:eastAsia="Barlow Semi Condensed" w:hAnsi="Barlow Semi Condensed"/>
          <w:b/>
          <w:bCs/>
          <w:sz w:val="24"/>
          <w:szCs w:val="24"/>
        </w:rPr>
        <w:t xml:space="preserve">crisi cipriote del 1974</w:t>
      </w:r>
      <w:r>
        <w:rPr>
          <w:rFonts w:ascii="Barlow Semi Condensed" w:cs="Barlow Semi Condensed" w:eastAsia="Barlow Semi Condensed" w:hAnsi="Barlow Semi Condensed"/>
          <w:sz w:val="24"/>
          <w:szCs w:val="24"/>
        </w:rPr>
        <w:t xml:space="preserve"> viste da Atene e da Ankara, gli </w:t>
      </w:r>
      <w:r>
        <w:rPr>
          <w:rFonts w:ascii="Barlow Semi Condensed" w:cs="Barlow Semi Condensed" w:eastAsia="Barlow Semi Condensed" w:hAnsi="Barlow Semi Condensed"/>
          <w:b/>
          <w:bCs/>
          <w:sz w:val="24"/>
          <w:szCs w:val="24"/>
        </w:rPr>
        <w:t xml:space="preserve">oppiacei turchi</w:t>
      </w:r>
      <w:r>
        <w:rPr>
          <w:rFonts w:ascii="Barlow Semi Condensed" w:cs="Barlow Semi Condensed" w:eastAsia="Barlow Semi Condensed" w:hAnsi="Barlow Semi Condensed"/>
          <w:sz w:val="24"/>
          <w:szCs w:val="24"/>
        </w:rPr>
        <w:t xml:space="preserve"> e la French Connection, la </w:t>
      </w:r>
      <w:r>
        <w:rPr>
          <w:rFonts w:ascii="Barlow Semi Condensed" w:cs="Barlow Semi Condensed" w:eastAsia="Barlow Semi Condensed" w:hAnsi="Barlow Semi Condensed"/>
          <w:b/>
          <w:bCs/>
          <w:sz w:val="24"/>
          <w:szCs w:val="24"/>
        </w:rPr>
        <w:t xml:space="preserve">questione egea</w:t>
      </w:r>
      <w:r>
        <w:rPr>
          <w:rFonts w:ascii="Barlow Semi Condensed" w:cs="Barlow Semi Condensed" w:eastAsia="Barlow Semi Condensed" w:hAnsi="Barlow Semi Condensed"/>
          <w:sz w:val="24"/>
          <w:szCs w:val="24"/>
        </w:rPr>
        <w:t xml:space="preserve">. E accanto, la trama ecclesiale: il decennio turco di Roncalli, il dialogo cattolico-ortodosso, la chiusura del Seminario di Halki (1971), la condizione delle minoranze cristiane — con, su questo versante confessionale, un </w:t>
      </w:r>
      <w:r>
        <w:rPr>
          <w:rFonts w:ascii="Barlow Semi Condensed" w:cs="Barlow Semi Condensed" w:eastAsia="Barlow Semi Condensed" w:hAnsi="Barlow Semi Condensed"/>
          <w:b/>
          <w:bCs/>
          <w:sz w:val="24"/>
          <w:szCs w:val="24"/>
        </w:rPr>
        <w:t xml:space="preserve">esito prevalentemente negativo di ricerca</w:t>
      </w:r>
      <w:r>
        <w:rPr>
          <w:rFonts w:ascii="Barlow Semi Condensed" w:cs="Barlow Semi Condensed" w:eastAsia="Barlow Semi Condensed" w:hAnsi="Barlow Semi Condensed"/>
          <w:sz w:val="24"/>
          <w:szCs w:val="24"/>
        </w:rPr>
        <w:t xml:space="preserve">: nelle fonti edite non emerge una presa di posizione documentata della Farnesina di Moro sulle minoranze cristiane di Turchia o su Halki, e questo esito negativo è dichiarato come acquisizione di pieno valore, con l'indicazione della sede d'archivio dove chiuderlo.</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I documenti</w:t>
      </w:r>
    </w:p>
    <w:p>
      <w:pPr>
        <w:pStyle w:val="Heading3"/>
        <w:spacing w:after="80" w:before="160"/>
      </w:pPr>
      <w:r>
        <w:rPr>
          <w:rFonts w:ascii="Barlow Semi Condensed" w:cs="Barlow Semi Condensed" w:eastAsia="Barlow Semi Condensed" w:hAnsi="Barlow Semi Condensed"/>
          <w:sz w:val="24"/>
          <w:szCs w:val="24"/>
        </w:rPr>
        <w:t xml:space="preserve">Ricognizione generale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c>
          <w:tcPr>
            <w:tcW w:type="dxa" w:w="468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File</w:t>
            </w:r>
          </w:p>
        </w:tc>
        <w:tc>
          <w:tcPr>
            <w:tcW w:type="dxa" w:w="468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Contenuto</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w:t>
            </w:r>
            <w:r>
              <w:rPr>
                <w:rFonts w:ascii="Barlow Semi Condensed" w:cs="Barlow Semi Condensed" w:eastAsia="Barlow Semi Condensed" w:hAnsi="Barlow Semi Condensed"/>
                <w:i/>
                <w:iCs/>
                <w:sz w:val="20"/>
                <w:szCs w:val="20"/>
              </w:rPr>
              <w:t xml:space="preserve">originali/ricognizione-ministro-esteri-1969-1974.md</w:t>
            </w:r>
            <w:r>
              <w:rPr>
                <w:rFonts w:ascii="Barlow Semi Condensed" w:cs="Barlow Semi Condensed" w:eastAsia="Barlow Semi Condensed" w:hAnsi="Barlow Semi Condensed"/>
                <w:sz w:val="20"/>
                <w:szCs w:val="20"/>
              </w:rPr>
              <w:t xml:space="preserve">`</w:t>
            </w:r>
          </w:p>
        </w:tc>
        <w:tc>
          <w:tcPr>
            <w:tcW w:type="dxa" w:w="4680"/>
          </w:tcPr>
          <w:p>
            <w:pPr>
              <w:spacing w:after="20" w:before="20"/>
              <w:jc w:val="both"/>
            </w:pPr>
            <w:r>
              <w:rPr>
                <w:rFonts w:ascii="Barlow Semi Condensed" w:cs="Barlow Semi Condensed" w:eastAsia="Barlow Semi Condensed" w:hAnsi="Barlow Semi Condensed"/>
                <w:b/>
                <w:bCs/>
                <w:sz w:val="20"/>
                <w:szCs w:val="20"/>
              </w:rPr>
              <w:t xml:space="preserve">La ricognizione-madre.</w:t>
            </w:r>
            <w:r>
              <w:rPr>
                <w:rFonts w:ascii="Barlow Semi Condensed" w:cs="Barlow Semi Condensed" w:eastAsia="Barlow Semi Condensed" w:hAnsi="Barlow Semi Condensed"/>
                <w:sz w:val="20"/>
                <w:szCs w:val="20"/>
              </w:rPr>
              <w:t xml:space="preserve"> Dodici capitoli: la cronologia esatta dei due mandati (con la controversia maggio/agosto 1969 dirimuta sul Portale storico della Camera al 5 agosto 1969), l'accessibilità dei fondi 1969-1974 dell'Archivio Storico Diplomatico, il versante Italia-Spagna, il versante statunitense (FRUS, Comitato dei 303), la documentazione parlamentare, la </w:t>
            </w:r>
            <w:r>
              <w:rPr>
                <w:rFonts w:ascii="Barlow Semi Condensed" w:cs="Barlow Semi Condensed" w:eastAsia="Barlow Semi Condensed" w:hAnsi="Barlow Semi Condensed"/>
                <w:b/>
                <w:bCs/>
                <w:sz w:val="20"/>
                <w:szCs w:val="20"/>
              </w:rPr>
              <w:t xml:space="preserve">dottrina dell'equilibrio</w:t>
            </w:r>
            <w:r>
              <w:rPr>
                <w:rFonts w:ascii="Barlow Semi Condensed" w:cs="Barlow Semi Condensed" w:eastAsia="Barlow Semi Condensed" w:hAnsi="Barlow Semi Condensed"/>
                <w:sz w:val="20"/>
                <w:szCs w:val="20"/>
              </w:rPr>
              <w:t xml:space="preserve"> con CSCE, Cina e CEE-Spagna, il </w:t>
            </w:r>
            <w:r>
              <w:rPr>
                <w:rFonts w:ascii="Barlow Semi Condensed" w:cs="Barlow Semi Condensed" w:eastAsia="Barlow Semi Condensed" w:hAnsi="Barlow Semi Condensed"/>
                <w:b/>
                <w:bCs/>
                <w:sz w:val="20"/>
                <w:szCs w:val="20"/>
              </w:rPr>
              <w:t xml:space="preserve">lodo Moro</w:t>
            </w:r>
            <w:r>
              <w:rPr>
                <w:rFonts w:ascii="Barlow Semi Condensed" w:cs="Barlow Semi Condensed" w:eastAsia="Barlow Semi Condensed" w:hAnsi="Barlow Semi Condensed"/>
                <w:sz w:val="20"/>
                <w:szCs w:val="20"/>
              </w:rPr>
              <w:t xml:space="preserve"> e la politica filo-araba, il versante </w:t>
            </w:r>
            <w:r>
              <w:rPr>
                <w:rFonts w:ascii="Barlow Semi Condensed" w:cs="Barlow Semi Condensed" w:eastAsia="Barlow Semi Condensed" w:hAnsi="Barlow Semi Condensed"/>
                <w:b/>
                <w:bCs/>
                <w:sz w:val="20"/>
                <w:szCs w:val="20"/>
              </w:rPr>
              <w:t xml:space="preserve">libico e mediterraneo</w:t>
            </w:r>
            <w:r>
              <w:rPr>
                <w:rFonts w:ascii="Barlow Semi Condensed" w:cs="Barlow Semi Condensed" w:eastAsia="Barlow Semi Condensed" w:hAnsi="Barlow Semi Condensed"/>
                <w:sz w:val="20"/>
                <w:szCs w:val="20"/>
              </w:rPr>
              <w:t xml:space="preserve">, le sedi multilaterali e la coincidenza con la delegazione vaticana, il canale Pignedoli, la tavola delle acquisizioni non conseguite</w:t>
            </w:r>
          </w:p>
        </w:tc>
      </w:tr>
    </w:tbl>
    <w:p>
      <w:pPr>
        <w:spacing w:after="80"/>
      </w:pPr>
    </w:p>
    <w:p>
      <w:pPr>
        <w:pStyle w:val="Heading3"/>
        <w:spacing w:after="80" w:before="160"/>
      </w:pPr>
      <w:r>
        <w:rPr>
          <w:rFonts w:ascii="Barlow Semi Condensed" w:cs="Barlow Semi Condensed" w:eastAsia="Barlow Semi Condensed" w:hAnsi="Barlow Semi Condensed"/>
          <w:sz w:val="24"/>
          <w:szCs w:val="24"/>
        </w:rPr>
        <w:t xml:space="preserve">I quattro versanti nazionali (Moro + Opus Dei + triangolazioni)</w:t>
      </w:r>
    </w:p>
    <w:p>
      <w:pPr>
        <w:spacing w:after="120" w:line="276"/>
        <w:jc w:val="both"/>
      </w:pPr>
      <w:r>
        <w:rPr>
          <w:rFonts w:ascii="Barlow Semi Condensed" w:cs="Barlow Semi Condensed" w:eastAsia="Barlow Semi Condensed" w:hAnsi="Barlow Semi Condensed"/>
          <w:sz w:val="24"/>
          <w:szCs w:val="24"/>
        </w:rPr>
        <w:t xml:space="preserve">Quattro ricognizioni parallele mettono alla prova una </w:t>
      </w:r>
      <w:r>
        <w:rPr>
          <w:rFonts w:ascii="Barlow Semi Condensed" w:cs="Barlow Semi Condensed" w:eastAsia="Barlow Semi Condensed" w:hAnsi="Barlow Semi Condensed"/>
          <w:b/>
          <w:bCs/>
          <w:sz w:val="24"/>
          <w:szCs w:val="24"/>
        </w:rPr>
        <w:t xml:space="preserve">proposizione confutabile</w:t>
      </w:r>
      <w:r>
        <w:rPr>
          <w:rFonts w:ascii="Barlow Semi Condensed" w:cs="Barlow Semi Condensed" w:eastAsia="Barlow Semi Condensed" w:hAnsi="Barlow Semi Condensed"/>
          <w:sz w:val="24"/>
          <w:szCs w:val="24"/>
        </w:rPr>
        <w:t xml:space="preserve">: che l'insediamento dell'Opus Dei in un Paese richieda la compresenza di una maggioranza cattolica e di un ceto universitario e professionale cattolico autoctono. I quattro casi la verificano per contrasto — due presenze, due assenze — e su ciascuno si innesta il versante diplomatico moroteo verso quel Paese.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c>
          <w:tcPr>
            <w:tcW w:type="dxa" w:w="312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File</w:t>
            </w:r>
          </w:p>
        </w:tc>
        <w:tc>
          <w:tcPr>
            <w:tcW w:type="dxa" w:w="312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Esito Opus Dei</w:t>
            </w:r>
          </w:p>
        </w:tc>
        <w:tc>
          <w:tcPr>
            <w:tcW w:type="dxa" w:w="312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Versante Moro</w:t>
            </w:r>
          </w:p>
        </w:tc>
      </w:tr>
      <w:tr>
        <w:tc>
          <w:tcPr>
            <w:tcW w:type="dxa" w:w="3120"/>
          </w:tcPr>
          <w:p>
            <w:pPr>
              <w:spacing w:after="20" w:before="20"/>
              <w:jc w:val="both"/>
            </w:pPr>
            <w:r>
              <w:rPr>
                <w:rFonts w:ascii="Barlow Semi Condensed" w:cs="Barlow Semi Condensed" w:eastAsia="Barlow Semi Condensed" w:hAnsi="Barlow Semi Condensed"/>
                <w:sz w:val="20"/>
                <w:szCs w:val="20"/>
              </w:rPr>
              <w:t xml:space="preserve">`</w:t>
            </w:r>
            <w:r>
              <w:rPr>
                <w:rFonts w:ascii="Barlow Semi Condensed" w:cs="Barlow Semi Condensed" w:eastAsia="Barlow Semi Condensed" w:hAnsi="Barlow Semi Condensed"/>
                <w:i/>
                <w:iCs/>
                <w:sz w:val="20"/>
                <w:szCs w:val="20"/>
              </w:rPr>
              <w:t xml:space="preserve">originali/germania-opus-dei-1952-1985.md</w:t>
            </w:r>
            <w:r>
              <w:rPr>
                <w:rFonts w:ascii="Barlow Semi Condensed" w:cs="Barlow Semi Condensed" w:eastAsia="Barlow Semi Condensed" w:hAnsi="Barlow Semi Condensed"/>
                <w:sz w:val="20"/>
                <w:szCs w:val="20"/>
              </w:rPr>
              <w:t xml:space="preserve">`</w:t>
            </w:r>
          </w:p>
        </w:tc>
        <w:tc>
          <w:tcPr>
            <w:tcW w:type="dxa" w:w="3120"/>
          </w:tcPr>
          <w:p>
            <w:pPr>
              <w:spacing w:after="20" w:before="20"/>
              <w:jc w:val="both"/>
            </w:pPr>
            <w:r>
              <w:rPr>
                <w:rFonts w:ascii="Barlow Semi Condensed" w:cs="Barlow Semi Condensed" w:eastAsia="Barlow Semi Condensed" w:hAnsi="Barlow Semi Condensed"/>
                <w:b/>
                <w:bCs/>
                <w:sz w:val="20"/>
                <w:szCs w:val="20"/>
              </w:rPr>
              <w:t xml:space="preserve">Presenza dal 1952</w:t>
            </w:r>
            <w:r>
              <w:rPr>
                <w:rFonts w:ascii="Barlow Semi Condensed" w:cs="Barlow Semi Condensed" w:eastAsia="Barlow Semi Condensed" w:hAnsi="Barlow Semi Condensed"/>
                <w:sz w:val="20"/>
                <w:szCs w:val="20"/>
              </w:rPr>
              <w:t xml:space="preserve"> (banco di prova: insediamento stabile pur senza maggioranza cattolica → cade la prima condizione, regge la seconda)</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La </w:t>
            </w:r>
            <w:r>
              <w:rPr>
                <w:rFonts w:ascii="Barlow Semi Condensed" w:cs="Barlow Semi Condensed" w:eastAsia="Barlow Semi Condensed" w:hAnsi="Barlow Semi Condensed"/>
                <w:b/>
                <w:bCs/>
                <w:sz w:val="20"/>
                <w:szCs w:val="20"/>
              </w:rPr>
              <w:t xml:space="preserve">Ostpolitik</w:t>
            </w:r>
            <w:r>
              <w:rPr>
                <w:rFonts w:ascii="Barlow Semi Condensed" w:cs="Barlow Semi Condensed" w:eastAsia="Barlow Semi Condensed" w:hAnsi="Barlow Semi Condensed"/>
                <w:sz w:val="20"/>
                <w:szCs w:val="20"/>
              </w:rPr>
              <w:t xml:space="preserve">, gli incontri </w:t>
            </w:r>
            <w:r>
              <w:rPr>
                <w:rFonts w:ascii="Barlow Semi Condensed" w:cs="Barlow Semi Condensed" w:eastAsia="Barlow Semi Condensed" w:hAnsi="Barlow Semi Condensed"/>
                <w:b/>
                <w:bCs/>
                <w:sz w:val="20"/>
                <w:szCs w:val="20"/>
              </w:rPr>
              <w:t xml:space="preserve">Moro-Brandt</w:t>
            </w:r>
            <w:r>
              <w:rPr>
                <w:rFonts w:ascii="Barlow Semi Condensed" w:cs="Barlow Semi Condensed" w:eastAsia="Barlow Semi Condensed" w:hAnsi="Barlow Semi Condensed"/>
                <w:sz w:val="20"/>
                <w:szCs w:val="20"/>
              </w:rPr>
              <w:t xml:space="preserve"> e </w:t>
            </w:r>
            <w:r>
              <w:rPr>
                <w:rFonts w:ascii="Barlow Semi Condensed" w:cs="Barlow Semi Condensed" w:eastAsia="Barlow Semi Condensed" w:hAnsi="Barlow Semi Condensed"/>
                <w:b/>
                <w:bCs/>
                <w:sz w:val="20"/>
                <w:szCs w:val="20"/>
              </w:rPr>
              <w:t xml:space="preserve">Moro-Scheel</w:t>
            </w:r>
            <w:r>
              <w:rPr>
                <w:rFonts w:ascii="Barlow Semi Condensed" w:cs="Barlow Semi Condensed" w:eastAsia="Barlow Semi Condensed" w:hAnsi="Barlow Semi Condensed"/>
                <w:sz w:val="20"/>
                <w:szCs w:val="20"/>
              </w:rPr>
              <w:t xml:space="preserve">, il versante economico, comunitario e migratorio</w:t>
            </w:r>
          </w:p>
        </w:tc>
      </w:tr>
      <w:tr>
        <w:tc>
          <w:tcPr>
            <w:tcW w:type="dxa" w:w="3120"/>
          </w:tcPr>
          <w:p>
            <w:pPr>
              <w:spacing w:after="20" w:before="20"/>
              <w:jc w:val="both"/>
            </w:pPr>
            <w:r>
              <w:rPr>
                <w:rFonts w:ascii="Barlow Semi Condensed" w:cs="Barlow Semi Condensed" w:eastAsia="Barlow Semi Condensed" w:hAnsi="Barlow Semi Condensed"/>
                <w:sz w:val="20"/>
                <w:szCs w:val="20"/>
              </w:rPr>
              <w:t xml:space="preserve">`</w:t>
            </w:r>
            <w:r>
              <w:rPr>
                <w:rFonts w:ascii="Barlow Semi Condensed" w:cs="Barlow Semi Condensed" w:eastAsia="Barlow Semi Condensed" w:hAnsi="Barlow Semi Condensed"/>
                <w:i/>
                <w:iCs/>
                <w:sz w:val="20"/>
                <w:szCs w:val="20"/>
              </w:rPr>
              <w:t xml:space="preserve">originali/portogallo-opus-dei.md</w:t>
            </w:r>
            <w:r>
              <w:rPr>
                <w:rFonts w:ascii="Barlow Semi Condensed" w:cs="Barlow Semi Condensed" w:eastAsia="Barlow Semi Condensed" w:hAnsi="Barlow Semi Condensed"/>
                <w:sz w:val="20"/>
                <w:szCs w:val="20"/>
              </w:rPr>
              <w:t xml:space="preserve">`</w:t>
            </w:r>
          </w:p>
        </w:tc>
        <w:tc>
          <w:tcPr>
            <w:tcW w:type="dxa" w:w="3120"/>
          </w:tcPr>
          <w:p>
            <w:pPr>
              <w:spacing w:after="20" w:before="20"/>
              <w:jc w:val="both"/>
            </w:pPr>
            <w:r>
              <w:rPr>
                <w:rFonts w:ascii="Barlow Semi Condensed" w:cs="Barlow Semi Condensed" w:eastAsia="Barlow Semi Condensed" w:hAnsi="Barlow Semi Condensed"/>
                <w:b/>
                <w:bCs/>
                <w:sz w:val="20"/>
                <w:szCs w:val="20"/>
              </w:rPr>
              <w:t xml:space="preserve">Presenza dal 5 febbraio 1945</w:t>
            </w:r>
            <w:r>
              <w:rPr>
                <w:rFonts w:ascii="Barlow Semi Condensed" w:cs="Barlow Semi Condensed" w:eastAsia="Barlow Semi Condensed" w:hAnsi="Barlow Semi Condensed"/>
                <w:sz w:val="20"/>
                <w:szCs w:val="20"/>
              </w:rPr>
              <w:t xml:space="preserve"> (ma senza ruolo tecnocratico di governo, anzi sorvegliata dalla PIDE/DGS; </w:t>
            </w:r>
            <w:r>
              <w:rPr>
                <w:rFonts w:ascii="Barlow Semi Condensed" w:cs="Barlow Semi Condensed" w:eastAsia="Barlow Semi Condensed" w:hAnsi="Barlow Semi Condensed"/>
                <w:b/>
                <w:bCs/>
                <w:sz w:val="20"/>
                <w:szCs w:val="20"/>
              </w:rPr>
              <w:t xml:space="preserve">Stato Zero</w:t>
            </w:r>
            <w:r>
              <w:rPr>
                <w:rFonts w:ascii="Barlow Semi Condensed" w:cs="Barlow Semi Condensed" w:eastAsia="Barlow Semi Condensed" w:hAnsi="Barlow Semi Condensed"/>
                <w:sz w:val="20"/>
                <w:szCs w:val="20"/>
              </w:rPr>
              <w:t xml:space="preserve"> su Moro)</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Triangolazione mediata dalla </w:t>
            </w:r>
            <w:r>
              <w:rPr>
                <w:rFonts w:ascii="Barlow Semi Condensed" w:cs="Barlow Semi Condensed" w:eastAsia="Barlow Semi Condensed" w:hAnsi="Barlow Semi Condensed"/>
                <w:b/>
                <w:bCs/>
                <w:sz w:val="20"/>
                <w:szCs w:val="20"/>
              </w:rPr>
              <w:t xml:space="preserve">Santa Sé</w:t>
            </w:r>
            <w:r>
              <w:rPr>
                <w:rFonts w:ascii="Barlow Semi Condensed" w:cs="Barlow Semi Condensed" w:eastAsia="Barlow Semi Condensed" w:hAnsi="Barlow Semi Condensed"/>
                <w:sz w:val="20"/>
                <w:szCs w:val="20"/>
              </w:rPr>
              <w:t xml:space="preserve">, interlocutrice comune; nessun documento lega Moro all'ente</w:t>
            </w:r>
          </w:p>
        </w:tc>
      </w:tr>
      <w:tr>
        <w:tc>
          <w:tcPr>
            <w:tcW w:type="dxa" w:w="3120"/>
          </w:tcPr>
          <w:p>
            <w:pPr>
              <w:spacing w:after="20" w:before="20"/>
              <w:jc w:val="both"/>
            </w:pPr>
            <w:r>
              <w:rPr>
                <w:rFonts w:ascii="Barlow Semi Condensed" w:cs="Barlow Semi Condensed" w:eastAsia="Barlow Semi Condensed" w:hAnsi="Barlow Semi Condensed"/>
                <w:sz w:val="20"/>
                <w:szCs w:val="20"/>
              </w:rPr>
              <w:t xml:space="preserve">`</w:t>
            </w:r>
            <w:r>
              <w:rPr>
                <w:rFonts w:ascii="Barlow Semi Condensed" w:cs="Barlow Semi Condensed" w:eastAsia="Barlow Semi Condensed" w:hAnsi="Barlow Semi Condensed"/>
                <w:i/>
                <w:iCs/>
                <w:sz w:val="20"/>
                <w:szCs w:val="20"/>
              </w:rPr>
              <w:t xml:space="preserve">originali/grecia-opus-dei-1969-1985.md</w:t>
            </w:r>
            <w:r>
              <w:rPr>
                <w:rFonts w:ascii="Barlow Semi Condensed" w:cs="Barlow Semi Condensed" w:eastAsia="Barlow Semi Condensed" w:hAnsi="Barlow Semi Condensed"/>
                <w:sz w:val="20"/>
                <w:szCs w:val="20"/>
              </w:rPr>
              <w:t xml:space="preserve">`</w:t>
            </w:r>
          </w:p>
        </w:tc>
        <w:tc>
          <w:tcPr>
            <w:tcW w:type="dxa" w:w="3120"/>
          </w:tcPr>
          <w:p>
            <w:pPr>
              <w:spacing w:after="20" w:before="20"/>
              <w:jc w:val="both"/>
            </w:pPr>
            <w:r>
              <w:rPr>
                <w:rFonts w:ascii="Barlow Semi Condensed" w:cs="Barlow Semi Condensed" w:eastAsia="Barlow Semi Condensed" w:hAnsi="Barlow Semi Condensed"/>
                <w:b/>
                <w:bCs/>
                <w:sz w:val="20"/>
                <w:szCs w:val="20"/>
              </w:rPr>
              <w:t xml:space="preserve">Assenza — «Stato Zero»</w:t>
            </w:r>
            <w:r>
              <w:rPr>
                <w:rFonts w:ascii="Barlow Semi Condensed" w:cs="Barlow Semi Condensed" w:eastAsia="Barlow Semi Condensed" w:hAnsi="Barlow Semi Condensed"/>
                <w:sz w:val="20"/>
                <w:szCs w:val="20"/>
              </w:rPr>
              <w:t xml:space="preserve"> (previsione dichiarata e verificata: correla con la maggioranza cattolica, non col regime autoritario)</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La </w:t>
            </w:r>
            <w:r>
              <w:rPr>
                <w:rFonts w:ascii="Barlow Semi Condensed" w:cs="Barlow Semi Condensed" w:eastAsia="Barlow Semi Condensed" w:hAnsi="Barlow Semi Condensed"/>
                <w:b/>
                <w:bCs/>
                <w:sz w:val="20"/>
                <w:szCs w:val="20"/>
              </w:rPr>
              <w:t xml:space="preserve">Grecia dei colonnelli</w:t>
            </w:r>
            <w:r>
              <w:rPr>
                <w:rFonts w:ascii="Barlow Semi Condensed" w:cs="Barlow Semi Condensed" w:eastAsia="Barlow Semi Condensed" w:hAnsi="Barlow Semi Condensed"/>
                <w:sz w:val="20"/>
                <w:szCs w:val="20"/>
              </w:rPr>
              <w:t xml:space="preserve"> e il Consiglio d'Europa (1969), la crisi di Cipro 1974, la NATO, la CSCE e l'Atto finale di Helsinki, il Patriarcato ecumenico</w:t>
            </w:r>
          </w:p>
        </w:tc>
      </w:tr>
      <w:tr>
        <w:tc>
          <w:tcPr>
            <w:tcW w:type="dxa" w:w="3120"/>
          </w:tcPr>
          <w:p>
            <w:pPr>
              <w:spacing w:after="20" w:before="20"/>
              <w:jc w:val="both"/>
            </w:pPr>
            <w:r>
              <w:rPr>
                <w:rFonts w:ascii="Barlow Semi Condensed" w:cs="Barlow Semi Condensed" w:eastAsia="Barlow Semi Condensed" w:hAnsi="Barlow Semi Condensed"/>
                <w:sz w:val="20"/>
                <w:szCs w:val="20"/>
              </w:rPr>
              <w:t xml:space="preserve">`</w:t>
            </w:r>
            <w:r>
              <w:rPr>
                <w:rFonts w:ascii="Barlow Semi Condensed" w:cs="Barlow Semi Condensed" w:eastAsia="Barlow Semi Condensed" w:hAnsi="Barlow Semi Condensed"/>
                <w:i/>
                <w:iCs/>
                <w:sz w:val="20"/>
                <w:szCs w:val="20"/>
              </w:rPr>
              <w:t xml:space="preserve">originali/turchia-opus-dei-1969-1975.md</w:t>
            </w:r>
            <w:r>
              <w:rPr>
                <w:rFonts w:ascii="Barlow Semi Condensed" w:cs="Barlow Semi Condensed" w:eastAsia="Barlow Semi Condensed" w:hAnsi="Barlow Semi Condensed"/>
                <w:sz w:val="20"/>
                <w:szCs w:val="20"/>
              </w:rPr>
              <w:t xml:space="preserve">`</w:t>
            </w:r>
          </w:p>
        </w:tc>
        <w:tc>
          <w:tcPr>
            <w:tcW w:type="dxa" w:w="3120"/>
          </w:tcPr>
          <w:p>
            <w:pPr>
              <w:spacing w:after="20" w:before="20"/>
              <w:jc w:val="both"/>
            </w:pPr>
            <w:r>
              <w:rPr>
                <w:rFonts w:ascii="Barlow Semi Condensed" w:cs="Barlow Semi Condensed" w:eastAsia="Barlow Semi Condensed" w:hAnsi="Barlow Semi Condensed"/>
                <w:b/>
                <w:bCs/>
                <w:sz w:val="20"/>
                <w:szCs w:val="20"/>
              </w:rPr>
              <w:t xml:space="preserve">Assenza — «Stato Zero»</w:t>
            </w:r>
            <w:r>
              <w:rPr>
                <w:rFonts w:ascii="Barlow Semi Condensed" w:cs="Barlow Semi Condensed" w:eastAsia="Barlow Semi Condensed" w:hAnsi="Barlow Semi Condensed"/>
                <w:sz w:val="20"/>
                <w:szCs w:val="20"/>
              </w:rPr>
              <w:t xml:space="preserve"> (il caso più probante: maggioranza musulmana, laicità con controllo statale dell'istruzione, minoranza cattolica minima)</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La </w:t>
            </w:r>
            <w:r>
              <w:rPr>
                <w:rFonts w:ascii="Barlow Semi Condensed" w:cs="Barlow Semi Condensed" w:eastAsia="Barlow Semi Condensed" w:hAnsi="Barlow Semi Condensed"/>
                <w:b/>
                <w:bCs/>
                <w:sz w:val="20"/>
                <w:szCs w:val="20"/>
              </w:rPr>
              <w:t xml:space="preserve">firma dell'Accordo provvisorio CEE-Turchia</w:t>
            </w:r>
            <w:r>
              <w:rPr>
                <w:rFonts w:ascii="Barlow Semi Condensed" w:cs="Barlow Semi Condensed" w:eastAsia="Barlow Semi Condensed" w:hAnsi="Barlow Semi Condensed"/>
                <w:sz w:val="20"/>
                <w:szCs w:val="20"/>
              </w:rPr>
              <w:t xml:space="preserve"> (27/7/1971, certa), il Protocollo addizionale di Ankara del 1970, Cipro 1974 da Ankara, l'embargo USA, la questione egea, gli </w:t>
            </w:r>
            <w:r>
              <w:rPr>
                <w:rFonts w:ascii="Barlow Semi Condensed" w:cs="Barlow Semi Condensed" w:eastAsia="Barlow Semi Condensed" w:hAnsi="Barlow Semi Condensed"/>
                <w:b/>
                <w:bCs/>
                <w:sz w:val="20"/>
                <w:szCs w:val="20"/>
              </w:rPr>
              <w:t xml:space="preserve">oppiacei</w:t>
            </w:r>
            <w:r>
              <w:rPr>
                <w:rFonts w:ascii="Barlow Semi Condensed" w:cs="Barlow Semi Condensed" w:eastAsia="Barlow Semi Condensed" w:hAnsi="Barlow Semi Condensed"/>
                <w:sz w:val="20"/>
                <w:szCs w:val="20"/>
              </w:rPr>
              <w:t xml:space="preserve"> e la French Connection, la chiusura di </w:t>
            </w:r>
            <w:r>
              <w:rPr>
                <w:rFonts w:ascii="Barlow Semi Condensed" w:cs="Barlow Semi Condensed" w:eastAsia="Barlow Semi Condensed" w:hAnsi="Barlow Semi Condensed"/>
                <w:b/>
                <w:bCs/>
                <w:sz w:val="20"/>
                <w:szCs w:val="20"/>
              </w:rPr>
              <w:t xml:space="preserve">Halki</w:t>
            </w:r>
            <w:r>
              <w:rPr>
                <w:rFonts w:ascii="Barlow Semi Condensed" w:cs="Barlow Semi Condensed" w:eastAsia="Barlow Semi Condensed" w:hAnsi="Barlow Semi Condensed"/>
                <w:sz w:val="20"/>
                <w:szCs w:val="20"/>
              </w:rPr>
              <w:t xml:space="preserve"> (1971)</w:t>
            </w:r>
          </w:p>
        </w:tc>
      </w:tr>
    </w:tbl>
    <w:p>
      <w:pPr>
        <w:spacing w:after="80"/>
      </w:pPr>
    </w:p>
    <w:p>
      <w:pPr>
        <w:pStyle w:val="Heading3"/>
        <w:spacing w:after="80" w:before="160"/>
      </w:pPr>
      <w:r>
        <w:rPr>
          <w:rFonts w:ascii="Barlow Semi Condensed" w:cs="Barlow Semi Condensed" w:eastAsia="Barlow Semi Condensed" w:hAnsi="Barlow Semi Condensed"/>
          <w:sz w:val="24"/>
          <w:szCs w:val="24"/>
        </w:rPr>
        <w:t xml:space="preserve">Il versante ecclesiale e l'attentato</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c>
          <w:tcPr>
            <w:tcW w:type="dxa" w:w="468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File</w:t>
            </w:r>
          </w:p>
        </w:tc>
        <w:tc>
          <w:tcPr>
            <w:tcW w:type="dxa" w:w="468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Contenuto</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w:t>
            </w:r>
            <w:r>
              <w:rPr>
                <w:rFonts w:ascii="Barlow Semi Condensed" w:cs="Barlow Semi Condensed" w:eastAsia="Barlow Semi Condensed" w:hAnsi="Barlow Semi Condensed"/>
                <w:i/>
                <w:iCs/>
                <w:sz w:val="20"/>
                <w:szCs w:val="20"/>
              </w:rPr>
              <w:t xml:space="preserve">originali/santa-sede-turchia-attentato-giovanni-paolo-ii.md</w:t>
            </w:r>
            <w:r>
              <w:rPr>
                <w:rFonts w:ascii="Barlow Semi Condensed" w:cs="Barlow Semi Condensed" w:eastAsia="Barlow Semi Condensed" w:hAnsi="Barlow Semi Condensed"/>
                <w:sz w:val="20"/>
                <w:szCs w:val="20"/>
              </w:rPr>
              <w:t xml:space="preserve">`</w:t>
            </w:r>
          </w:p>
        </w:tc>
        <w:tc>
          <w:tcPr>
            <w:tcW w:type="dxa" w:w="4680"/>
          </w:tcPr>
          <w:p>
            <w:pPr>
              <w:spacing w:after="20" w:before="20"/>
              <w:jc w:val="both"/>
            </w:pPr>
            <w:r>
              <w:rPr>
                <w:rFonts w:ascii="Barlow Semi Condensed" w:cs="Barlow Semi Condensed" w:eastAsia="Barlow Semi Condensed" w:hAnsi="Barlow Semi Condensed"/>
                <w:b/>
                <w:bCs/>
                <w:sz w:val="20"/>
                <w:szCs w:val="20"/>
              </w:rPr>
              <w:t xml:space="preserve">Santa Sede-Turchia 1935-1985</w:t>
            </w:r>
            <w:r>
              <w:rPr>
                <w:rFonts w:ascii="Barlow Semi Condensed" w:cs="Barlow Semi Condensed" w:eastAsia="Barlow Semi Condensed" w:hAnsi="Barlow Semi Condensed"/>
                <w:sz w:val="20"/>
                <w:szCs w:val="20"/>
              </w:rPr>
              <w:t xml:space="preserve">, con al centro l'</w:t>
            </w:r>
            <w:r>
              <w:rPr>
                <w:rFonts w:ascii="Barlow Semi Condensed" w:cs="Barlow Semi Condensed" w:eastAsia="Barlow Semi Condensed" w:hAnsi="Barlow Semi Condensed"/>
                <w:b/>
                <w:bCs/>
                <w:sz w:val="20"/>
                <w:szCs w:val="20"/>
              </w:rPr>
              <w:t xml:space="preserve">attentato del 13 maggio 1981</w:t>
            </w:r>
            <w:r>
              <w:rPr>
                <w:rFonts w:ascii="Barlow Semi Condensed" w:cs="Barlow Semi Condensed" w:eastAsia="Barlow Semi Condensed" w:hAnsi="Barlow Semi Condensed"/>
                <w:sz w:val="20"/>
                <w:szCs w:val="20"/>
              </w:rPr>
              <w:t xml:space="preserve"> a Giovanni Paolo II: la traiettoria turca di Ağca (omicidio İpekçi 1979, evasione, lettera minatoria del 27/11/1979), la </w:t>
            </w:r>
            <w:r>
              <w:rPr>
                <w:rFonts w:ascii="Barlow Semi Condensed" w:cs="Barlow Semi Condensed" w:eastAsia="Barlow Semi Condensed" w:hAnsi="Barlow Semi Condensed"/>
                <w:b/>
                <w:bCs/>
                <w:sz w:val="20"/>
                <w:szCs w:val="20"/>
              </w:rPr>
              <w:t xml:space="preserve">«pista bulgara» giudizialmente non provata</w:t>
            </w:r>
            <w:r>
              <w:rPr>
                <w:rFonts w:ascii="Barlow Semi Condensed" w:cs="Barlow Semi Condensed" w:eastAsia="Barlow Semi Condensed" w:hAnsi="Barlow Semi Condensed"/>
                <w:sz w:val="20"/>
                <w:szCs w:val="20"/>
              </w:rPr>
              <w:t xml:space="preserve"> (assoluzione per insufficienza di prove del 29/3/1986; le valutazioni CIA nei FRUS 1981-1988 vol. X che </w:t>
            </w:r>
            <w:r>
              <w:rPr>
                <w:rFonts w:ascii="Barlow Semi Condensed" w:cs="Barlow Semi Condensed" w:eastAsia="Barlow Semi Condensed" w:hAnsi="Barlow Semi Condensed"/>
                <w:i/>
                <w:iCs/>
                <w:sz w:val="20"/>
                <w:szCs w:val="20"/>
              </w:rPr>
              <w:t xml:space="preserve">non</w:t>
            </w:r>
            <w:r>
              <w:rPr>
                <w:rFonts w:ascii="Barlow Semi Condensed" w:cs="Barlow Semi Condensed" w:eastAsia="Barlow Semi Condensed" w:hAnsi="Barlow Semi Condensed"/>
                <w:sz w:val="20"/>
                <w:szCs w:val="20"/>
              </w:rPr>
              <w:t xml:space="preserve"> affermano come provata la responsabilità bulgaro-sovietica), i Lupi Grigi con la regola «appartenenza ≠ condotta dell'organizzazione», il decennio turco di Roncalli, il dialogo cattolico-ortodosso, la CSCE con le tre firme convergenti. Le dichiarazioni di Ağca — vivente — trattate come fatti pubblici, non come fonti di merito</w:t>
            </w:r>
          </w:p>
        </w:tc>
      </w:tr>
    </w:tbl>
    <w:p>
      <w:pPr>
        <w:spacing w:after="80"/>
      </w:pPr>
    </w:p>
    <w:p>
      <w:pPr>
        <w:pStyle w:val="Heading3"/>
        <w:spacing w:after="80" w:before="160"/>
      </w:pPr>
      <w:r>
        <w:rPr>
          <w:rFonts w:ascii="Barlow Semi Condensed" w:cs="Barlow Semi Condensed" w:eastAsia="Barlow Semi Condensed" w:hAnsi="Barlow Semi Condensed"/>
          <w:sz w:val="24"/>
          <w:szCs w:val="24"/>
        </w:rPr>
        <w:t xml:space="preserve">I documenti americani (nota estratta dall'OCR)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c>
          <w:tcPr>
            <w:tcW w:type="dxa" w:w="468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File</w:t>
            </w:r>
          </w:p>
        </w:tc>
        <w:tc>
          <w:tcPr>
            <w:tcW w:type="dxa" w:w="468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Contenuto</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w:t>
            </w:r>
            <w:r>
              <w:rPr>
                <w:rFonts w:ascii="Barlow Semi Condensed" w:cs="Barlow Semi Condensed" w:eastAsia="Barlow Semi Condensed" w:hAnsi="Barlow Semi Condensed"/>
                <w:i/>
                <w:iCs/>
                <w:sz w:val="20"/>
                <w:szCs w:val="20"/>
              </w:rPr>
              <w:t xml:space="preserve">documenti-state-dept-1965-1978.md</w:t>
            </w:r>
            <w:r>
              <w:rPr>
                <w:rFonts w:ascii="Barlow Semi Condensed" w:cs="Barlow Semi Condensed" w:eastAsia="Barlow Semi Condensed" w:hAnsi="Barlow Semi Condensed"/>
                <w:sz w:val="20"/>
                <w:szCs w:val="20"/>
              </w:rPr>
              <w:t xml:space="preserve">`</w:t>
            </w:r>
          </w:p>
        </w:tc>
        <w:tc>
          <w:tcPr>
            <w:tcW w:type="dxa" w:w="4680"/>
          </w:tcPr>
          <w:p>
            <w:pPr>
              <w:spacing w:after="20" w:before="20"/>
              <w:jc w:val="both"/>
            </w:pPr>
            <w:r>
              <w:rPr>
                <w:rFonts w:ascii="Barlow Semi Condensed" w:cs="Barlow Semi Condensed" w:eastAsia="Barlow Semi Condensed" w:hAnsi="Barlow Semi Condensed"/>
                <w:b/>
                <w:bCs/>
                <w:sz w:val="20"/>
                <w:szCs w:val="20"/>
              </w:rPr>
              <w:t xml:space="preserve">Trascrizione ordinata</w:t>
            </w:r>
            <w:r>
              <w:rPr>
                <w:rFonts w:ascii="Barlow Semi Condensed" w:cs="Barlow Semi Condensed" w:eastAsia="Barlow Semi Condensed" w:hAnsi="Barlow Semi Condensed"/>
                <w:sz w:val="20"/>
                <w:szCs w:val="20"/>
              </w:rPr>
              <w:t xml:space="preserve"> del lotto desecretato del Dipartimento di Stato USA, in due strati: la </w:t>
            </w:r>
            <w:r>
              <w:rPr>
                <w:rFonts w:ascii="Barlow Semi Condensed" w:cs="Barlow Semi Condensed" w:eastAsia="Barlow Semi Condensed" w:hAnsi="Barlow Semi Condensed"/>
                <w:b/>
                <w:bCs/>
                <w:sz w:val="20"/>
                <w:szCs w:val="20"/>
              </w:rPr>
              <w:t xml:space="preserve">visita ufficiale del 19-23 aprile 1965</w:t>
            </w:r>
            <w:r>
              <w:rPr>
                <w:rFonts w:ascii="Barlow Semi Condensed" w:cs="Barlow Semi Condensed" w:eastAsia="Barlow Semi Condensed" w:hAnsi="Barlow Semi Condensed"/>
                <w:sz w:val="20"/>
                <w:szCs w:val="20"/>
              </w:rPr>
              <w:t xml:space="preserve"> (Moro Presidente del Consiglio, con Fanfani agli Esteri — Casa Bianca/Johnson, Rusk, Arlington e la tomba di JFK, Mount Vernon, ONU/U Thant, cittadinanza onoraria di Philadelphia; il promemoria di sicurezza a J. Edgar Hoover) e i </w:t>
            </w:r>
            <w:r>
              <w:rPr>
                <w:rFonts w:ascii="Barlow Semi Condensed" w:cs="Barlow Semi Condensed" w:eastAsia="Barlow Semi Condensed" w:hAnsi="Barlow Semi Condensed"/>
                <w:b/>
                <w:bCs/>
                <w:sz w:val="20"/>
                <w:szCs w:val="20"/>
              </w:rPr>
              <w:t xml:space="preserve">cablogrammi dell'aprile-maggio 1978</w:t>
            </w:r>
            <w:r>
              <w:rPr>
                <w:rFonts w:ascii="Barlow Semi Condensed" w:cs="Barlow Semi Condensed" w:eastAsia="Barlow Semi Condensed" w:hAnsi="Barlow Semi Condensed"/>
                <w:sz w:val="20"/>
                <w:szCs w:val="20"/>
              </w:rPr>
              <w:t xml:space="preserve"> (Buenos Aires: i Montoneros smentiscono ogni legame col sequestro e con le BR; Trieste e Palermo: le reazioni regionali alla morte). Cornice, non accertamento istruttorio</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w:t>
            </w:r>
            <w:r>
              <w:rPr>
                <w:rFonts w:ascii="Barlow Semi Condensed" w:cs="Barlow Semi Condensed" w:eastAsia="Barlow Semi Condensed" w:hAnsi="Barlow Semi Condensed"/>
                <w:i/>
                <w:iCs/>
                <w:sz w:val="20"/>
                <w:szCs w:val="20"/>
              </w:rPr>
              <w:t xml:space="preserve">originali/state-dept-djvu-ocr-grezzo.txt</w:t>
            </w:r>
            <w:r>
              <w:rPr>
                <w:rFonts w:ascii="Barlow Semi Condensed" w:cs="Barlow Semi Condensed" w:eastAsia="Barlow Semi Condensed" w:hAnsi="Barlow Semi Condensed"/>
                <w:sz w:val="20"/>
                <w:szCs w:val="20"/>
              </w:rPr>
              <w:t xml:space="preserve">`</w:t>
            </w:r>
          </w:p>
        </w:tc>
        <w:tc>
          <w:tcPr>
            <w:tcW w:type="dxa" w:w="4680"/>
          </w:tcPr>
          <w:p>
            <w:pPr>
              <w:spacing w:after="20" w:before="20"/>
              <w:jc w:val="both"/>
            </w:pPr>
            <w:r>
              <w:rPr>
                <w:rFonts w:ascii="Barlow Semi Condensed" w:cs="Barlow Semi Condensed" w:eastAsia="Barlow Semi Condensed" w:hAnsi="Barlow Semi Condensed"/>
                <w:sz w:val="20"/>
                <w:szCs w:val="20"/>
              </w:rPr>
              <w:t xml:space="preserve">L'OCR grezzo di partenza, conservato per verifica e catena di custodia</w:t>
            </w:r>
          </w:p>
        </w:tc>
      </w:tr>
    </w:tbl>
    <w:p>
      <w:pPr>
        <w:spacing w:after="80"/>
      </w:pPr>
    </w:p>
    <w:p>
      <w:pPr>
        <w:pStyle w:val="Heading3"/>
        <w:spacing w:after="80" w:before="160"/>
      </w:pPr>
      <w:r>
        <w:rPr>
          <w:rFonts w:ascii="Barlow Semi Condensed" w:cs="Barlow Semi Condensed" w:eastAsia="Barlow Semi Condensed" w:hAnsi="Barlow Semi Condensed"/>
          <w:sz w:val="24"/>
          <w:szCs w:val="24"/>
        </w:rPr>
        <w:t xml:space="preserve">La seconda campagna di ricognizioni (25 agosto 2026)</w:t>
      </w:r>
    </w:p>
    <w:p>
      <w:pPr>
        <w:spacing w:after="120" w:line="276"/>
        <w:jc w:val="both"/>
      </w:pPr>
      <w:r>
        <w:rPr>
          <w:rFonts w:ascii="Barlow Semi Condensed" w:cs="Barlow Semi Condensed" w:eastAsia="Barlow Semi Condensed" w:hAnsi="Barlow Semi Condensed"/>
          <w:sz w:val="24"/>
          <w:szCs w:val="24"/>
        </w:rPr>
        <w:t xml:space="preserve">Tre ricognizioni nuove, archiviate integralmente e triangolate col corpus (la triangolazione è nel documento dedicato in coda alla tabella):</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c>
          <w:tcPr>
            <w:tcW w:type="dxa" w:w="468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File</w:t>
            </w:r>
          </w:p>
        </w:tc>
        <w:tc>
          <w:tcPr>
            <w:tcW w:type="dxa" w:w="468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Contenuto</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w:t>
            </w:r>
            <w:r>
              <w:rPr>
                <w:rFonts w:ascii="Barlow Semi Condensed" w:cs="Barlow Semi Condensed" w:eastAsia="Barlow Semi Condensed" w:hAnsi="Barlow Semi Condensed"/>
                <w:i/>
                <w:iCs/>
                <w:sz w:val="20"/>
                <w:szCs w:val="20"/>
              </w:rPr>
              <w:t xml:space="preserve">originali/documenti-italiani-spagnoli-opus-dei.md</w:t>
            </w:r>
            <w:r>
              <w:rPr>
                <w:rFonts w:ascii="Barlow Semi Condensed" w:cs="Barlow Semi Condensed" w:eastAsia="Barlow Semi Condensed" w:hAnsi="Barlow Semi Condensed"/>
                <w:sz w:val="20"/>
                <w:szCs w:val="20"/>
              </w:rPr>
              <w:t xml:space="preserve">`</w:t>
            </w:r>
          </w:p>
        </w:tc>
        <w:tc>
          <w:tcPr>
            <w:tcW w:type="dxa" w:w="4680"/>
          </w:tcPr>
          <w:p>
            <w:pPr>
              <w:spacing w:after="20" w:before="20"/>
              <w:jc w:val="both"/>
            </w:pPr>
            <w:r>
              <w:rPr>
                <w:rFonts w:ascii="Barlow Semi Condensed" w:cs="Barlow Semi Condensed" w:eastAsia="Barlow Semi Condensed" w:hAnsi="Barlow Semi Condensed"/>
                <w:b/>
                <w:bCs/>
                <w:sz w:val="20"/>
                <w:szCs w:val="20"/>
              </w:rPr>
              <w:t xml:space="preserve">I documenti di Stato italiani e spagnoli e l'Opus Dei come soggetto storico</w:t>
            </w:r>
            <w:r>
              <w:rPr>
                <w:rFonts w:ascii="Barlow Semi Condensed" w:cs="Barlow Semi Condensed" w:eastAsia="Barlow Semi Condensed" w:hAnsi="Barlow Semi Condensed"/>
                <w:sz w:val="20"/>
                <w:szCs w:val="20"/>
              </w:rPr>
              <w:t xml:space="preserve">, in dodici capitoli: la Libia dal golpe del 1969 alla confisca del 21 luglio 1970, Osimo in incubazione, il Medio Oriente fra equidistanza e filoarabismo, la CSCE da Dipoli a Helsinki, la NATO e Cipro 1974, il TNP, la Cina del 1970, il Vertice dell'Aja, gli atti parlamentari, il </w:t>
            </w:r>
            <w:r>
              <w:rPr>
                <w:rFonts w:ascii="Barlow Semi Condensed" w:cs="Barlow Semi Condensed" w:eastAsia="Barlow Semi Condensed" w:hAnsi="Barlow Semi Condensed"/>
                <w:b/>
                <w:bCs/>
                <w:sz w:val="20"/>
                <w:szCs w:val="20"/>
              </w:rPr>
              <w:t xml:space="preserve">documento CIA del 22 maggio 1970</w:t>
            </w:r>
            <w:r>
              <w:rPr>
                <w:rFonts w:ascii="Barlow Semi Condensed" w:cs="Barlow Semi Condensed" w:eastAsia="Barlow Semi Condensed" w:hAnsi="Barlow Semi Condensed"/>
                <w:sz w:val="20"/>
                <w:szCs w:val="20"/>
              </w:rPr>
              <w:t xml:space="preserve"> sul gabinetto spagnolo (con la frase deliberatamente anonima sull'«Italian official» che NON va attribuita a Moro), lo </w:t>
            </w:r>
            <w:r>
              <w:rPr>
                <w:rFonts w:ascii="Barlow Semi Condensed" w:cs="Barlow Semi Condensed" w:eastAsia="Barlow Semi Condensed" w:hAnsi="Barlow Semi Condensed"/>
                <w:b/>
                <w:bCs/>
                <w:sz w:val="20"/>
                <w:szCs w:val="20"/>
              </w:rPr>
              <w:t xml:space="preserve">Stato Zero sul contatto diretto Moro-ministri spagnoli</w:t>
            </w:r>
            <w:r>
              <w:rPr>
                <w:rFonts w:ascii="Barlow Semi Condensed" w:cs="Barlow Semi Condensed" w:eastAsia="Barlow Semi Condensed" w:hAnsi="Barlow Semi Condensed"/>
                <w:sz w:val="20"/>
                <w:szCs w:val="20"/>
              </w:rPr>
              <w:t xml:space="preserve">, il versante vaticano (udienza López Bravo-Paolo VI del 12/1/1973; caso Añoveros)</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w:t>
            </w:r>
            <w:r>
              <w:rPr>
                <w:rFonts w:ascii="Barlow Semi Condensed" w:cs="Barlow Semi Condensed" w:eastAsia="Barlow Semi Condensed" w:hAnsi="Barlow Semi Condensed"/>
                <w:i/>
                <w:iCs/>
                <w:sz w:val="20"/>
                <w:szCs w:val="20"/>
              </w:rPr>
              <w:t xml:space="preserve">originali/santa-sede-due-germanie-oder-neisse.md</w:t>
            </w:r>
            <w:r>
              <w:rPr>
                <w:rFonts w:ascii="Barlow Semi Condensed" w:cs="Barlow Semi Condensed" w:eastAsia="Barlow Semi Condensed" w:hAnsi="Barlow Semi Condensed"/>
                <w:sz w:val="20"/>
                <w:szCs w:val="20"/>
              </w:rPr>
              <w:t xml:space="preserve">`</w:t>
            </w:r>
          </w:p>
        </w:tc>
        <w:tc>
          <w:tcPr>
            <w:tcW w:type="dxa" w:w="4680"/>
          </w:tcPr>
          <w:p>
            <w:pPr>
              <w:spacing w:after="20" w:before="20"/>
              <w:jc w:val="both"/>
            </w:pPr>
            <w:r>
              <w:rPr>
                <w:rFonts w:ascii="Barlow Semi Condensed" w:cs="Barlow Semi Condensed" w:eastAsia="Barlow Semi Condensed" w:hAnsi="Barlow Semi Condensed"/>
                <w:b/>
                <w:bCs/>
                <w:sz w:val="20"/>
                <w:szCs w:val="20"/>
              </w:rPr>
              <w:t xml:space="preserve">La Santa Sede e le due Germanie, con l'accertamento della sequenza Oder-Neisse</w:t>
            </w:r>
            <w:r>
              <w:rPr>
                <w:rFonts w:ascii="Barlow Semi Condensed" w:cs="Barlow Semi Condensed" w:eastAsia="Barlow Semi Condensed" w:hAnsi="Barlow Semi Condensed"/>
                <w:sz w:val="20"/>
                <w:szCs w:val="20"/>
              </w:rPr>
              <w:t xml:space="preserve">: Trattato di Varsavia firmato il 7/12/1970, ratificato il 17/5/1972, in vigore il 3/6/1972; </w:t>
            </w:r>
            <w:r>
              <w:rPr>
                <w:rFonts w:ascii="Barlow Semi Condensed" w:cs="Barlow Semi Condensed" w:eastAsia="Barlow Semi Condensed" w:hAnsi="Barlow Semi Condensed"/>
                <w:b/>
                <w:bCs/>
                <w:sz w:val="20"/>
                <w:szCs w:val="20"/>
              </w:rPr>
              <w:t xml:space="preserve">costituzioni apostoliche del 28/6/1972</w:t>
            </w:r>
            <w:r>
              <w:rPr>
                <w:rFonts w:ascii="Barlow Semi Condensed" w:cs="Barlow Semi Condensed" w:eastAsia="Barlow Semi Condensed" w:hAnsi="Barlow Semi Condensed"/>
                <w:sz w:val="20"/>
                <w:szCs w:val="20"/>
              </w:rPr>
              <w:t xml:space="preserve"> (venticinque giorni dopo) — col nesso attestato dalla comunicazione vaticana e dalla storiografia (Hummel), mentre il testo canonico resta deliberatamente pastorale. Lo scambio epistolare degli episcopati del 1965 («perdoniamo e chiediamo perdono»), la soluzione più cauta per la DDR (amministratori apostolici, 1973), il riconoscimento italiano della RDT (17/1/1973, ministro Medici, fra i due mandati di Moro), il Reichskonkordat, la correzione della data Stoll (6/9/1978)</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w:t>
            </w:r>
            <w:r>
              <w:rPr>
                <w:rFonts w:ascii="Barlow Semi Condensed" w:cs="Barlow Semi Condensed" w:eastAsia="Barlow Semi Condensed" w:hAnsi="Barlow Semi Condensed"/>
                <w:i/>
                <w:iCs/>
                <w:sz w:val="20"/>
                <w:szCs w:val="20"/>
              </w:rPr>
              <w:t xml:space="preserve">originali/portogallo-santa-sede-1969-1974.md</w:t>
            </w:r>
            <w:r>
              <w:rPr>
                <w:rFonts w:ascii="Barlow Semi Condensed" w:cs="Barlow Semi Condensed" w:eastAsia="Barlow Semi Condensed" w:hAnsi="Barlow Semi Condensed"/>
                <w:sz w:val="20"/>
                <w:szCs w:val="20"/>
              </w:rPr>
              <w:t xml:space="preserve">`</w:t>
            </w:r>
          </w:p>
        </w:tc>
        <w:tc>
          <w:tcPr>
            <w:tcW w:type="dxa" w:w="4680"/>
          </w:tcPr>
          <w:p>
            <w:pPr>
              <w:spacing w:after="20" w:before="20"/>
              <w:jc w:val="both"/>
            </w:pPr>
            <w:r>
              <w:rPr>
                <w:rFonts w:ascii="Barlow Semi Condensed" w:cs="Barlow Semi Condensed" w:eastAsia="Barlow Semi Condensed" w:hAnsi="Barlow Semi Condensed"/>
                <w:b/>
                <w:bCs/>
                <w:sz w:val="20"/>
                <w:szCs w:val="20"/>
              </w:rPr>
              <w:t xml:space="preserve">Il Portogallo e la Santa Sede</w:t>
            </w:r>
            <w:r>
              <w:rPr>
                <w:rFonts w:ascii="Barlow Semi Condensed" w:cs="Barlow Semi Condensed" w:eastAsia="Barlow Semi Condensed" w:hAnsi="Barlow Semi Condensed"/>
                <w:sz w:val="20"/>
                <w:szCs w:val="20"/>
              </w:rPr>
              <w:t xml:space="preserve">: la Conferenza romana del giugno 1970 e l'udienza di Paolo VI ai leader dei movimenti di liberazione (1/7/1970); Wiriyamu (16/12/1972, forbice 150-400 vittime dichiarata); i 48 Padri Bianchi (maggio 1971); l'</w:t>
            </w:r>
            <w:r>
              <w:rPr>
                <w:rFonts w:ascii="Barlow Semi Condensed" w:cs="Barlow Semi Condensed" w:eastAsia="Barlow Semi Condensed" w:hAnsi="Barlow Semi Condensed"/>
                <w:b/>
                <w:bCs/>
                <w:sz w:val="20"/>
                <w:szCs w:val="20"/>
              </w:rPr>
              <w:t xml:space="preserve">espulsione del vescovo Vieira Pinto e dei comboniani (13/4/1974)</w:t>
            </w:r>
            <w:r>
              <w:rPr>
                <w:rFonts w:ascii="Barlow Semi Condensed" w:cs="Barlow Semi Condensed" w:eastAsia="Barlow Semi Condensed" w:hAnsi="Barlow Semi Condensed"/>
                <w:sz w:val="20"/>
                <w:szCs w:val="20"/>
              </w:rPr>
              <w:t xml:space="preserve"> undici giorni prima della Rivoluzione dei garofani; l'esito negativo di pieno valore: </w:t>
            </w:r>
            <w:r>
              <w:rPr>
                <w:rFonts w:ascii="Barlow Semi Condensed" w:cs="Barlow Semi Condensed" w:eastAsia="Barlow Semi Condensed" w:hAnsi="Barlow Semi Condensed"/>
                <w:b/>
                <w:bCs/>
                <w:sz w:val="20"/>
                <w:szCs w:val="20"/>
              </w:rPr>
              <w:t xml:space="preserve">nessun atto italiano reperito sull'espulsione</w:t>
            </w:r>
            <w:r>
              <w:rPr>
                <w:rFonts w:ascii="Barlow Semi Condensed" w:cs="Barlow Semi Condensed" w:eastAsia="Barlow Semi Condensed" w:hAnsi="Barlow Semi Condensed"/>
                <w:sz w:val="20"/>
                <w:szCs w:val="20"/>
              </w:rPr>
              <w:t xml:space="preserve">, col motore anticoloniale nella società civile (Reggio Emilia) e non nel governo</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w:t>
            </w:r>
            <w:r>
              <w:rPr>
                <w:rFonts w:ascii="Barlow Semi Condensed" w:cs="Barlow Semi Condensed" w:eastAsia="Barlow Semi Condensed" w:hAnsi="Barlow Semi Condensed"/>
                <w:i/>
                <w:iCs/>
                <w:sz w:val="20"/>
                <w:szCs w:val="20"/>
              </w:rPr>
              <w:t xml:space="preserve">triangolazione-seconda-campagna.md</w:t>
            </w:r>
            <w:r>
              <w:rPr>
                <w:rFonts w:ascii="Barlow Semi Condensed" w:cs="Barlow Semi Condensed" w:eastAsia="Barlow Semi Condensed" w:hAnsi="Barlow Semi Condensed"/>
                <w:sz w:val="20"/>
                <w:szCs w:val="20"/>
              </w:rPr>
              <w:t xml:space="preserve">`</w:t>
            </w:r>
          </w:p>
        </w:tc>
        <w:tc>
          <w:tcPr>
            <w:tcW w:type="dxa" w:w="4680"/>
          </w:tcPr>
          <w:p>
            <w:pPr>
              <w:spacing w:after="20" w:before="20"/>
              <w:jc w:val="both"/>
            </w:pPr>
            <w:r>
              <w:rPr>
                <w:rFonts w:ascii="Barlow Semi Condensed" w:cs="Barlow Semi Condensed" w:eastAsia="Barlow Semi Condensed" w:hAnsi="Barlow Semi Condensed"/>
                <w:b/>
                <w:bCs/>
                <w:sz w:val="20"/>
                <w:szCs w:val="20"/>
              </w:rPr>
              <w:t xml:space="preserve">La triangolazione integrale della seconda campagna</w:t>
            </w:r>
            <w:r>
              <w:rPr>
                <w:rFonts w:ascii="Barlow Semi Condensed" w:cs="Barlow Semi Condensed" w:eastAsia="Barlow Semi Condensed" w:hAnsi="Barlow Semi Condensed"/>
                <w:sz w:val="20"/>
                <w:szCs w:val="20"/>
              </w:rPr>
              <w:t xml:space="preserve">: le nuove ricognizioni incrociate fra loro, col corpus della cartella, coi cantieri e con l'agenda; le verifiche web dei fatti portanti; le correzioni per nota; l'incrocio metodologico con l'opera privata (solo metodo, mai nomi)</w:t>
            </w:r>
          </w:p>
        </w:tc>
      </w:tr>
    </w:tbl>
    <w:p>
      <w:pPr>
        <w:spacing w:after="80"/>
      </w:pP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Come questa cartella si raccorda al corpus Moro</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Con la `Fase ottava (il ritratto)`:</w:t>
      </w:r>
      <w:r>
        <w:rPr>
          <w:rFonts w:ascii="Barlow Semi Condensed" w:cs="Barlow Semi Condensed" w:eastAsia="Barlow Semi Condensed" w:hAnsi="Barlow Semi Condensed"/>
          <w:sz w:val="24"/>
          <w:szCs w:val="24"/>
        </w:rPr>
        <w:t xml:space="preserve"> ne è il completamento documentale. Dove la Fase ottava descrive </w:t>
      </w:r>
      <w:r>
        <w:rPr>
          <w:rFonts w:ascii="Barlow Semi Condensed" w:cs="Barlow Semi Condensed" w:eastAsia="Barlow Semi Condensed" w:hAnsi="Barlow Semi Condensed"/>
          <w:i/>
          <w:iCs/>
          <w:sz w:val="24"/>
          <w:szCs w:val="24"/>
        </w:rPr>
        <w:t xml:space="preserve">la strategia dell'attenzione</w:t>
      </w:r>
      <w:r>
        <w:rPr>
          <w:rFonts w:ascii="Barlow Semi Condensed" w:cs="Barlow Semi Condensed" w:eastAsia="Barlow Semi Condensed" w:hAnsi="Barlow Semi Condensed"/>
          <w:sz w:val="24"/>
          <w:szCs w:val="24"/>
        </w:rPr>
        <w:t xml:space="preserve"> come idea, questa cartella ne mostra l'omologo internazionale — la dottrina dell'equilibrio, la proiezione mediterranea — come </w:t>
      </w:r>
      <w:r>
        <w:rPr>
          <w:rFonts w:ascii="Barlow Semi Condensed" w:cs="Barlow Semi Condensed" w:eastAsia="Barlow Semi Condensed" w:hAnsi="Barlow Semi Condensed"/>
          <w:b/>
          <w:bCs/>
          <w:sz w:val="24"/>
          <w:szCs w:val="24"/>
        </w:rPr>
        <w:t xml:space="preserve">atti</w:t>
      </w:r>
      <w:r>
        <w:rPr>
          <w:rFonts w:ascii="Barlow Semi Condensed" w:cs="Barlow Semi Condensed" w:eastAsia="Barlow Semi Condensed" w:hAnsi="Barlow Semi Condensed"/>
          <w:sz w:val="24"/>
          <w:szCs w:val="24"/>
        </w:rPr>
        <w:t xml:space="preserve">: firme, accordi, canali, mediazioni.</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Con la `Fase nona (il repertorio)`:</w:t>
      </w:r>
      <w:r>
        <w:rPr>
          <w:rFonts w:ascii="Barlow Semi Condensed" w:cs="Barlow Semi Condensed" w:eastAsia="Barlow Semi Condensed" w:hAnsi="Barlow Semi Condensed"/>
          <w:sz w:val="24"/>
          <w:szCs w:val="24"/>
        </w:rPr>
        <w:t xml:space="preserve"> i cablogrammi del 1978 e le reazioni alla morte appartengono al contesto documentato del caso, senza aggiungervi imputazioni; il repertorio ne è la sede di catalogazione gradata.</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Con l'`apparato dei gradi`:</w:t>
      </w:r>
      <w:r>
        <w:rPr>
          <w:rFonts w:ascii="Barlow Semi Condensed" w:cs="Barlow Semi Condensed" w:eastAsia="Barlow Semi Condensed" w:hAnsi="Barlow Semi Condensed"/>
          <w:sz w:val="24"/>
          <w:szCs w:val="24"/>
        </w:rPr>
        <w:t xml:space="preserve"> vale la stessa scala. Le firme comunitarie e l'Atto finale di Helsinki sono </w:t>
      </w:r>
      <w:r>
        <w:rPr>
          <w:rFonts w:ascii="Barlow Semi Condensed" w:cs="Barlow Semi Condensed" w:eastAsia="Barlow Semi Condensed" w:hAnsi="Barlow Semi Condensed"/>
          <w:b/>
          <w:bCs/>
          <w:sz w:val="24"/>
          <w:szCs w:val="24"/>
        </w:rPr>
        <w:t xml:space="preserve">fatti pubblici documentati</w:t>
      </w:r>
      <w:r>
        <w:rPr>
          <w:rFonts w:ascii="Barlow Semi Condensed" w:cs="Barlow Semi Condensed" w:eastAsia="Barlow Semi Condensed" w:hAnsi="Barlow Semi Condensed"/>
          <w:sz w:val="24"/>
          <w:szCs w:val="24"/>
        </w:rPr>
        <w:t xml:space="preserve"> (F/A); gli esiti negativi di ricerca sul versante confessionale sono dichiarati come tali, con la sede d'archivio per chiuderli; la «pista bulgara» è </w:t>
      </w:r>
      <w:r>
        <w:rPr>
          <w:rFonts w:ascii="Barlow Semi Condensed" w:cs="Barlow Semi Condensed" w:eastAsia="Barlow Semi Condensed" w:hAnsi="Barlow Semi Condensed"/>
          <w:b/>
          <w:bCs/>
          <w:sz w:val="24"/>
          <w:szCs w:val="24"/>
        </w:rPr>
        <w:t xml:space="preserve">congettura giudizialmente non provata</w:t>
      </w:r>
      <w:r>
        <w:rPr>
          <w:rFonts w:ascii="Barlow Semi Condensed" w:cs="Barlow Semi Condensed" w:eastAsia="Barlow Semi Condensed" w:hAnsi="Barlow Semi Condensed"/>
          <w:sz w:val="24"/>
          <w:szCs w:val="24"/>
        </w:rPr>
        <w:t xml:space="preserve"> (C), e come tale va qualificata in ogni resa pubblica.</w:t>
      </w:r>
    </w:p>
    <w:p>
      <w:pPr>
        <w:spacing w:after="120" w:line="276"/>
        <w:jc w:val="both"/>
      </w:pPr>
      <w:r>
        <w:rPr>
          <w:rFonts w:ascii="Barlow Semi Condensed" w:cs="Barlow Semi Condensed" w:eastAsia="Barlow Semi Condensed" w:hAnsi="Barlow Semi Condensed"/>
          <w:sz w:val="24"/>
          <w:szCs w:val="24"/>
        </w:rPr>
        <w:t xml:space="preserve">Regola di ferro, ribadita: nessuna imputazione oltre il giudicato; nessuna graduatoria; l'appartenenza non è prova di condotta; la contemporaneità non è prova di nesso; gli esiti negativi sono acquisizioni di pieno valore.</w:t>
      </w:r>
    </w:p>
    <w:p>
      <w:pPr>
        <w:pStyle w:val="Heading3"/>
        <w:spacing w:after="80" w:before="240"/>
      </w:pPr>
      <w:r>
        <w:rPr>
          <w:rFonts w:ascii="Barlow Semi Condensed" w:cs="Barlow Semi Condensed" w:eastAsia="Barlow Semi Condensed" w:hAnsi="Barlow Semi Condensed"/>
          <w:sz w:val="24"/>
          <w:szCs w:val="24"/>
        </w:rPr>
        <w:t xml:space="preserve">Apparato grafico — Libro dodicesimo · Moro alla Farnesina (collazione)</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4"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Libro dodicesimo I: 1.580 parole in 3 sezioni; la più ampia è §2 I documenti, con 946.</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5"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Libro dodicesimo I: 22 paragrafi in 3 sezioni, 7 in media per sezione.</w:t>
      </w:r>
    </w:p>
    <w:p>
      <w:pPr>
        <w:spacing w:after="120"/>
        <w:jc w:val="center"/>
      </w:pPr>
      <w:r>
        <w:rPr>
          <w:rFonts w:ascii="Barlow Semi Condensed" w:cs="Barlow Semi Condensed" w:eastAsia="Barlow Semi Condensed" w:hAnsi="Barlow Semi Condensed"/>
          <w:color w:val="777777"/>
          <w:sz w:val="16"/>
          <w:szCs w:val="16"/>
        </w:rPr>
        <w:t xml:space="preserve">Le metriche dell'apparato contano parole, documenti e atti — mai colpe.</w:t>
      </w:r>
    </w:p>
    <w:p>
      <w:r>
        <w:br w:type="page"/>
      </w:r>
    </w:p>
    <w:p>
      <w:pPr>
        <w:pStyle w:val="Heading1"/>
        <w:spacing w:after="120" w:before="240"/>
      </w:pPr>
      <w:r>
        <w:rPr>
          <w:rFonts w:ascii="Barlow Semi Condensed" w:cs="Barlow Semi Condensed" w:eastAsia="Barlow Semi Condensed" w:hAnsi="Barlow Semi Condensed"/>
          <w:sz w:val="24"/>
          <w:szCs w:val="24"/>
        </w:rPr>
        <w:t xml:space="preserve">Libro dodicesimo — La dimensione diplomatica — II. La ricognizione-madre: Moro ministro degli Esteri 1969-1974</w:t>
      </w:r>
    </w:p>
    <w:p>
      <w:pPr>
        <w:pStyle w:val="Heading1"/>
        <w:spacing w:after="120" w:before="240"/>
      </w:pPr>
      <w:r>
        <w:rPr>
          <w:rFonts w:ascii="Barlow Semi Condensed" w:cs="Barlow Semi Condensed" w:eastAsia="Barlow Semi Condensed" w:hAnsi="Barlow Semi Condensed"/>
          <w:sz w:val="24"/>
          <w:szCs w:val="24"/>
        </w:rPr>
        <w:t xml:space="preserve">Aldo Moro ministro degli Affari Esteri (agosto 1969 – novembre 1974): ricognizione storiografica e archivistica con tre versanti e triangolazioni</w:t>
      </w:r>
    </w:p>
    <w:p>
      <w:pPr>
        <w:pStyle w:val="Heading2"/>
        <w:spacing w:after="100" w:before="200"/>
      </w:pPr>
      <w:r>
        <w:rPr>
          <w:rFonts w:ascii="Barlow Semi Condensed" w:cs="Barlow Semi Condensed" w:eastAsia="Barlow Semi Condensed" w:hAnsi="Barlow Semi Condensed"/>
          <w:sz w:val="24"/>
          <w:szCs w:val="24"/>
        </w:rPr>
        <w:t xml:space="preserve">Capitolo I — Cronologia degli incarichi e la controversia sulle date</w:t>
      </w:r>
    </w:p>
    <w:p>
      <w:pPr>
        <w:spacing w:after="120" w:line="276"/>
        <w:jc w:val="both"/>
      </w:pPr>
      <w:r>
        <w:rPr>
          <w:rFonts w:ascii="Barlow Semi Condensed" w:cs="Barlow Semi Condensed" w:eastAsia="Barlow Semi Condensed" w:hAnsi="Barlow Semi Condensed"/>
          <w:sz w:val="24"/>
          <w:szCs w:val="24"/>
        </w:rPr>
        <w:t xml:space="preserve">La prima passata aveva registrato una discrepanza fra le fonti sulla data d'inizio del mandato (maggio o agosto 1969). La ricognizione consente ora di dirimerla. Il Portale storico della Camera dei deputati (fonte primaria istituzionale, scheda "Composizione dei governi") data il giuramento del II Governo Rumor al 5 agosto 1969: è questo il momento in cui Moro assume la Farnesina, mentre nel I Governo Rumor, in carica fino al 5 agosto 1969, il titolare degli Esteri era Pietro Nenni. La data "maggio 1969" che compare in Wikipedia in lingua inglese ("from May 1969") è dunque impropria e va corretta. La successione ministeriale documentata dal medesimo portale è la seguente: II Governo Rumor (5 agosto 1969 – 27 marzo 1970), Camera dei Deputati (https://storia.camera.it/governi/ii-governo-rumor) III Governo Rumor (27 marzo – 6 agosto 1970), Camera dei Deputati (https://storia.camera.it/governi/iii-governo-rumor/storia/dal:19700327,al:19700401) Governo Colombo (6 agosto 1970 – 17 febbraio 1972), I Governo Andreotti (17 febbraio – 26 giugno 1972); segue una interruzione, poiché nel II Governo Andreotti (giugno 1972 – luglio 1973) Moro non è ministro; infine IV e V Governo Rumor (7 luglio 1973 – 23 novembre 1974). La scheda ufficiale del Ministero degli Affari Esteri (esteri.it, "Ministri degli esteri – Aldo Moro") conferma la sequenza in forma sintetica: "Dal 1969 al 1974 è Ministro degli affari esteri nel II e III Governo Rumor, Colombo, I Andreotti, IV e V Rumor". Esteri (https://www.esteri.it/it/ministero/storia/ministri_esteri/aldo_moro/) La Treccani (Dizionario Biografico, voce di Massimo Mastrogregori) usa la formula "ininterrottamente ministro degli Esteri dall'agosto 1969 […] fino al novembre 1974 […] chiamandosi fuori solo dal secondo governo Andreotti": Treccani (https://www.treccani.it/enciclopedia/aldo-moro_(Dizionario-Biografico)/) va rilevato che l'aggettivo "ininterrottamente" è impreciso, poiché la stessa fonte riconosce l'esclusione dal biennio 1972-1973. Durante tale intervallo Moro presiedette la III Commissione Affari esteri della Camera: la scheda biografico-parlamentare ufficiale (storia.camera.it, "Componenti organi") attesta che ne fu membro dal 25 maggio 1972 al 4 luglio 1976 e presidente dall'11 luglio 1972 al 7 luglio 1973, Camera dei Deputati (https://storia.camera.it/deputato/aldo-moro-19160923/componentiorgani) incarico cessato per il rientro al governo. Il documento attesta le date; se ne inferisce, ma le fonti non lo affermano esplicitamente, che la presidenza fu una collocazione di attesa fra due mandati ministeriali. Va infine ricordato che già nel II Gabinetto Moro (1964-1966) egli aveva assunto per breve tempo l'interim degli Esteri dopo le dimissioni di Saragat (scheda esteri.it), dato che precede il periodo qui in esame ma ne illumina la continuità di competenza.</w:t>
      </w:r>
    </w:p>
    <w:p>
      <w:pPr>
        <w:pStyle w:val="Heading2"/>
        <w:spacing w:after="100" w:before="200"/>
      </w:pPr>
      <w:r>
        <w:rPr>
          <w:rFonts w:ascii="Barlow Semi Condensed" w:cs="Barlow Semi Condensed" w:eastAsia="Barlow Semi Condensed" w:hAnsi="Barlow Semi Condensed"/>
          <w:sz w:val="24"/>
          <w:szCs w:val="24"/>
        </w:rPr>
        <w:t xml:space="preserve">Capitolo II — L'Archivio Storico Diplomatico e l'accessibilità dei fondi 1969-1974</w:t>
      </w:r>
    </w:p>
    <w:p>
      <w:pPr>
        <w:spacing w:after="120" w:line="276"/>
        <w:jc w:val="both"/>
      </w:pPr>
      <w:r>
        <w:rPr>
          <w:rFonts w:ascii="Barlow Semi Condensed" w:cs="Barlow Semi Condensed" w:eastAsia="Barlow Semi Condensed" w:hAnsi="Barlow Semi Condensed"/>
          <w:sz w:val="24"/>
          <w:szCs w:val="24"/>
        </w:rPr>
        <w:t xml:space="preserve">Guido Levi, in "Spagna contemporanea" n. 49/2016 (studio scientifico peer-reviewed), dichiarava non consultabili, per gli anni presi in esame, i fondi conservati presso il Ministero degli Affari Esteri, ripiegando perciò sugli Archivi storici dell'Unione Europea di Firenze e sull'Archivio dell'Istituto Sturzo (fondi Martino, Natali, Spinelli, Andreotti). La ricognizione attuale sul sito dell'Archivio Storico Diplomatico (fonte istituzionale) accerta che l'accessibilità è regolata dal criterio dei cinquant'anni: sono consultabili, dietro autorizzazione del capo dell'Unità, i documenti che risalgono a oltre cinquant'anni, con facoltà eccezionale del Ministro di ridurre il termine a trent'anni; le situazioni private attendono settant'anni. Ne discende, per inferenza dalla norma e non da dichiarazione esplicita dell'Archivio, che al 2026 la barriera dei cinquant'anni copre ormai l'intero arco 1969-1974, teoricamente reso consultabile. Persiste tuttavia una condizione operativa: per la documentazione dal 1949 in poi l'utente deve preventivamente contattare l'Archivio per verificare la disponibilità dei faldoni, segno che l'ordinamento e l'inventariazione non sono conclusi per tutte le serie. Il sito segnala il completamento dell'inventariazione di alcuni fondi (Archivio Scuole e altri) senza menzionare specificamente le serie di maggiore interesse per questa ricerca — "Ambasciata d'Italia a Madrid", "Direzione Generale Affari Politici", carteggi del gabinetto del ministro. Esito negativo da registrare: non è stato reperito online un inventario analitico e nominativo che attesti l'apertura effettiva del carteggio di gabinetto di Moro ministro né della serie dell'ambasciata di Madrid per il 1969-1974. La sede presso cui la verifica va condotta è la Sala Studio dell'Archivio Storico Diplomatico alla Farnesina, previa registrazione al portale asd.esteri.it e contatto con archiviostorico@esteri.it; responsabile indicata è la dott.ssa Paola Busonero. Esteri (https://www.esteri.it/it/temi/uap/archivio-storico-e-biblioteca/archivio-storico-diplomatico/servizi-allutenza/) Si segnala inoltre che l'Archivio pubblica la raccolta ufficiale dei Documenti Diplomatici Italiani (DDI): esito negativo, non è stato possibile in questa ricognizione stabilire se le annate 1969-1974 siano già uscite nella serie a stampa, dato da verificare presso l'Archivio e presso i cataloghi dell'Istituto Poligrafico. La natura del rilievo è duplice: la fonte normativa attesta la consultabilità di principio; la fonte procedurale attesta l'incertezza di fatto.</w:t>
      </w:r>
    </w:p>
    <w:p>
      <w:pPr>
        <w:pStyle w:val="Heading2"/>
        <w:spacing w:after="100" w:before="200"/>
      </w:pPr>
      <w:r>
        <w:rPr>
          <w:rFonts w:ascii="Barlow Semi Condensed" w:cs="Barlow Semi Condensed" w:eastAsia="Barlow Semi Condensed" w:hAnsi="Barlow Semi Condensed"/>
          <w:sz w:val="24"/>
          <w:szCs w:val="24"/>
        </w:rPr>
        <w:t xml:space="preserve">Capitolo III — Gli archivi spagnoli e il versante Italia-Spagna</w:t>
      </w:r>
    </w:p>
    <w:p>
      <w:pPr>
        <w:spacing w:after="120" w:line="276"/>
        <w:jc w:val="both"/>
      </w:pPr>
      <w:r>
        <w:rPr>
          <w:rFonts w:ascii="Barlow Semi Condensed" w:cs="Barlow Semi Condensed" w:eastAsia="Barlow Semi Condensed" w:hAnsi="Barlow Semi Condensed"/>
          <w:sz w:val="24"/>
          <w:szCs w:val="24"/>
        </w:rPr>
        <w:t xml:space="preserve">Per il secondo versante la ricognizione ha interrogato l'assetto degli archivi statali spagnoli. L'Archivo General de la Administración (AGA) di Alcalá de Henares, creato con Decreto 914/1969 e operativo dal 1972 Ministerio de Cultura (https://www.cultura.gob.es/cultura/areas/archivos/mc/archivos/aga/fondos-documentales/introduccion.html) (fonte istituzionale, Ministerio de Cultura), è l'archivio intermedio che raccoglie la documentazione dell'amministrazione centrale, compresa quella del Ministerio de Asuntos Exteriores e delle rappresentanze all'estero. Ministerio de Cultura (https://www.cultura.gob.es/cultura/areas/archivos/mc/archivos/aga/fondos-documentales/introduccion.html) Il portale PARES (Portal de Archivos Españoles) e il Censo-Guía attestano che l'Archivo General del Ministerio de Asuntos Exteriores trasferisce annualmente all'AGA le frazioni di serie con più di quindici anni di anzianità, in forza del Decreto 8 maggio 1969; PARES (https://pares.mcu.es/ParesBusquedas20/catalogo/description/167744) la documentazione del Ministero fino al 1985, "a grosso modo", risulta già trasferita all'AGA. MPR (https://www.mpr.gob.es/memoriademocratica/archivos-estatales/Paginas/Guias/Gu%C3%ADa%20de%20fuentes%20documentales/Ministerios/Asuntos%20Exteriores/archivo-general-del-ministerio-de-asuntos-exterior.aspx) Ne discende, per inferenza dalla norma di trasferimento e non da un inventario nominativo consultato, che la corrispondenza fra il Ministerio de Asuntos Exteriores e l'Embajada de España en Roma per il 1969-1975 dovrebbe trovarsi materialmente all'AGA, nel fondo del Servizio Esterno. Le condizioni di accesso indicate da PARES rinviano genericamente alla "normativa che regola l'accesso ai fondi pubblici di titolarità statale". Cultura (https://censoarchivos.cultura.gob.es/CensoGuia/fondoDetail.htm?id=1096317) Esiti negativi da registrare con pieno valore: non è stato reperito online un inventario analitico che isoli il carteggio dell'ambasciata spagnola a Roma per gli anni in questione; non è stata reperita documentazione già edita su incontri o corrispondenza diretta fra Gregorio López Bravo, Laureano López Rodó, Pedro Cortina Mauri e Aldo Moro; non è stata reperita documentazione spagnola edita sulla posizione di Madrid riguardo alla politica italiana né sulla reazione spagnola al sequestro Moro del 1978. La sede presso cui condurre la ricerca è duplice: l'AGA di Alcalá de Henares per il fondo del Ministero e delle rappresentanze (segnatamente Embajada en Roma) e, per la documentazione posteriore al 1985 o non ancora trasferita, l'Archivo General del Ministerio de Asuntos Exteriores, Unión Europea y Cooperación a Madrid. Ministerio de Asuntos Exteriores de España (https://www.exteriores.gob.es/es/ServiciosAlCiudadano/Paginas/Archivo-General-y-Biblioteca-Central.aspx) Un dato accertato è che Cortina Mauri, ministro degli Esteri spagnolo, fu protagonista, nel febbraio-marzo 1974, del caso Añoveros con il nunzio Dadaglio, Wikipedia (https://es.wikipedia.org/wiki/Caso_A%C3%B1overos) elemento che colloca l'interlocutore spagnolo di Moro anche sul versante ecclesiastico (v. Capitolo X). Si segnala infine, quale reperto collaterale, che una fonte peer-reviewed (Redalyc/Amelica, "Il caso Moro e il Cile dei militari") documenta l'attenzione internazionale del 1978 alle misure antiterrorismo, ma non tratta la reazione spagnola in senso proprio.</w:t>
      </w:r>
    </w:p>
    <w:p>
      <w:pPr>
        <w:pStyle w:val="Heading2"/>
        <w:spacing w:after="100" w:before="200"/>
      </w:pPr>
      <w:r>
        <w:rPr>
          <w:rFonts w:ascii="Barlow Semi Condensed" w:cs="Barlow Semi Condensed" w:eastAsia="Barlow Semi Condensed" w:hAnsi="Barlow Semi Condensed"/>
          <w:sz w:val="24"/>
          <w:szCs w:val="24"/>
        </w:rPr>
        <w:t xml:space="preserve">Capitolo IV — Il versante statunitense: FRUS, National Archives, Comitato dei 303</w:t>
      </w:r>
    </w:p>
    <w:p>
      <w:pPr>
        <w:spacing w:after="120" w:line="276"/>
        <w:jc w:val="both"/>
      </w:pPr>
      <w:r>
        <w:rPr>
          <w:rFonts w:ascii="Barlow Semi Condensed" w:cs="Barlow Semi Condensed" w:eastAsia="Barlow Semi Condensed" w:hAnsi="Barlow Semi Condensed"/>
          <w:sz w:val="24"/>
          <w:szCs w:val="24"/>
        </w:rPr>
        <w:t xml:space="preserve">Il terzo versante è quello meglio servito da fonti primarie edite. La serie Foreign Relations of the United States (FRUS) e i National Archives statunitensi conservano verbali dei colloqui italo-americani con Moro ministro. È accertato e integralmente disponibile il memorandum of conversation del 25 settembre 1974 nell'Oval Office fra il presidente Giovanni Leone, il ministro Aldo Moro, il presidente Gerald Ford e il segretario di Stato Henry Kissinger, con Brent Scowcroft (fonte primaria: Gerald R. Ford Presidential Library, National Security Adviser's Memoranda of Conversation, doc. 1552802; Internet Archive (https://archive.org/stream/KissingerAldoMoro1552802/Kissinger%20Aldo%20Moro%201552802_djvu.txt) edito anche in FRUS 1969-1976, vol. E-15, part 2, doc. 350). Il verbale del successivo incontro del 26 settembre 1974 è parimenti disponibile (Ford Library, doc. 1552806). Rilievo di merito, attestato dal documento: alla vigilia, il 25 settembre, Kissinger disse a Ford che gli italiani dovevano sentirsi dire "tough" che qualunque presenza comunista al governo avrebbe mutato le relazioni, aggiungendo una valutazione sul rischio di contagio in Francia, Germania e Grecia. U.S. Department of State (https://history.state.gov/historicaldocuments/frus1969-76ve15p2Ed2/d350) Il documento attesta la posizione di Kissinger sul PCI; non attesta una posizione di Moro sul medesimo punto in quella sede, che non va inferita. Sul Comitato dei 303 e sull'azione coperta in Italia, il volume XLI (Western Europe; NATO, 1969-1972) reca al documento 180 il verbale della riunione dell'11 marzo 1969 presieduta da Kissinger, con Johnson, Packard e Helms presenti: Karamessines vi illustrò origini e livelli del programma di sostegno coperto ai partiti italiani 1948-1968, e i presenti convennero all'unanimità che non vi fosse "real justification for resumption of covert funding". state (https://history.state.gov/historicaldocuments/frus1969-76v41/d180) La riunione è dunque del marzo 1969, quando Moro non era ancora ministro degli Esteri (lo divenne il 5 agosto 1969): la contemporaneità è solo apparente e non va trattata come nesso. Documenti coevi (FRUS vol. XLI, doc. 188) registrano l'istruzione di Nixon del dicembre 1969 di avviare uno "study on Italy". U.S. Department of State (https://history.state.gov/historicaldocuments/frus1969-76v41/d188) Un saggio peer-reviewed (Diplomacy &amp; Statecraft, 2024) segnala che il programma di azione coperta in Italia riemerse nel novembre 1975 e nel luglio 1976, Taylor &amp; Francis Online (https://www.tandfonline.com/doi/full/10.1080/09592296.2024.2303859) quando Moro era però presidente del Consiglio. Esiti negativi da registrare: in questa ricognizione non sono stati reperiti verbali editi di colloqui diretti Moro-Nixon o Moro-Rogers negli anni 1969-1972 comparabili per completezza a quello del 1974; la sede presso cui cercarli è la serie FRUS 1969-1976 (volumi sull'Europa occidentale e sul Mediterraneo) e i Nixon Presidential Materials, NSC Files, Country Files: Italy, presso i National Archives di College Park.</w:t>
      </w:r>
    </w:p>
    <w:p>
      <w:pPr>
        <w:pStyle w:val="Heading2"/>
        <w:spacing w:after="100" w:before="200"/>
      </w:pPr>
      <w:r>
        <w:rPr>
          <w:rFonts w:ascii="Barlow Semi Condensed" w:cs="Barlow Semi Condensed" w:eastAsia="Barlow Semi Condensed" w:hAnsi="Barlow Semi Condensed"/>
          <w:sz w:val="24"/>
          <w:szCs w:val="24"/>
        </w:rPr>
        <w:t xml:space="preserve">Capitolo V — La documentazione parlamentare italiana</w:t>
      </w:r>
    </w:p>
    <w:p>
      <w:pPr>
        <w:spacing w:after="120" w:line="276"/>
        <w:jc w:val="both"/>
      </w:pPr>
      <w:r>
        <w:rPr>
          <w:rFonts w:ascii="Barlow Semi Condensed" w:cs="Barlow Semi Condensed" w:eastAsia="Barlow Semi Condensed" w:hAnsi="Barlow Semi Condensed"/>
          <w:sz w:val="24"/>
          <w:szCs w:val="24"/>
        </w:rPr>
        <w:t xml:space="preserve">Il settimo obiettivo riguarda gli atti parlamentari. La ricognizione, condotta sui portali storici di Camera e Senato (fonti primarie istituzionali), conferma anzitutto la cornice biografico-parlamentare: Moro fu eletto alla Camera nella circoscrizione di Bari e presiedette la III Commissione Affari esteri della Camera dall'11 luglio 1972 al 7 luglio 1973 (storia.camera.it, scheda "Componenti organi", v. Capitolo I). Quanto ai discorsi e alle repliche sui bilanci annuali del Ministero degli Affari Esteri per gli esercizi 1970, 1971, 1972 e 1974, l'esito è parziale e va dichiarato come tale. È accertata l'esistenza documentaria degli esami degli stati di previsione: il Senato conserva, nella lista dei resoconti stenografici delle Commissioni della V legislatura, l'esame in sede consultiva dello stato di previsione della spesa per gli esercizi 1971 e 1972 (senato.it, resoconti stenografici di Commissione). È accertata altresì l'esistenza, nel Fondo Aldo Moro conservato dall'Archivio storico del Senato (patrimonio.archivio.senato.it, con documentazione proveniente dall'Archivio Centrale dello Stato), delle stesure dei suoi discorsi: fra le unità archivistiche figurano un "Intervento alla Commissione affari esteri del Senato sulla situazione in Libia" Senato della Repubblica (https://patrimonio.archivio.senato.it/inventario/scheda/aldo-moro/IT-AFS-048-000517/intervento-alla-commissione-affari-esteri-del-senato-sulla-situazione-libia) e un "Intervento alla Commissione esteri della Camera dei deputati" (quest'ultimo in tre stesure, di cui una manoscritta, con materiale preparatorio). Senato della Repubblica (https://patrimonio.archivio.senato.it/inventario/scheda/aldo-moro/IT-AFS-048-000644/intervento-alla-commissione-%20esteri-della-camera-deputati) Il documento attesta l'esistenza dei testi; le schede non recano però l'anno di esercizio del bilancio, sicché l'aggancio puntuale seduta-data resta da compiere. Esito negativo esplicito: non è stato possibile isolare, con numero di seduta e data, le repliche di Moro nelle discussioni dei bilanci Esteri 1970-1974, per limiti di accesso (robots.txt) alle schede "dibattiti" dei portali. La sede presso cui completare l'accertamento è triplice: la banca dati "dibattiti" della scheda deputato Moro su storia.camera.it per le legislature V e VI; la banca dati dei resoconti stenografici d'Assemblea del Senato per le medesime legislature; e soprattutto la raccolta ufficiale Aldo Moro, Discorsi parlamentari (Camera dei deputati, Roma 1996, 2 voll.), che indicizza le repliche con la data. Come nota di metodo va rilevato che nel periodo gli stati di previsione erano spesso esaminati in sede di Commissione, mentre la discussione generale di politica estera si teneva in Assemblea: ciò spiega la dispersione documentaria e raccomanda di distinguere gli interventi d'Aula da quelli di Commissione. Il rendimento atteso di questa acquisizione è alto, poiché i discorsi di bilancio contengono l'autorappresentazione dottrinale della politica estera moroana.</w:t>
      </w:r>
    </w:p>
    <w:p>
      <w:pPr>
        <w:pStyle w:val="Heading2"/>
        <w:spacing w:after="100" w:before="200"/>
      </w:pPr>
      <w:r>
        <w:rPr>
          <w:rFonts w:ascii="Barlow Semi Condensed" w:cs="Barlow Semi Condensed" w:eastAsia="Barlow Semi Condensed" w:hAnsi="Barlow Semi Condensed"/>
          <w:sz w:val="24"/>
          <w:szCs w:val="24"/>
        </w:rPr>
        <w:t xml:space="preserve">Capitolo VI — La dottrina dell'equilibrio, la CSCE, la Cina e la CEE-Spagna</w:t>
      </w:r>
    </w:p>
    <w:p>
      <w:pPr>
        <w:spacing w:after="120" w:line="276"/>
        <w:jc w:val="both"/>
      </w:pPr>
      <w:r>
        <w:rPr>
          <w:rFonts w:ascii="Barlow Semi Condensed" w:cs="Barlow Semi Condensed" w:eastAsia="Barlow Semi Condensed" w:hAnsi="Barlow Semi Condensed"/>
          <w:sz w:val="24"/>
          <w:szCs w:val="24"/>
        </w:rPr>
        <w:t xml:space="preserve">Sul piano dottrinale la prima passata aveva colto la "dottrina dell'equilibrio" e la formula dei "germi di cambiamento" riferita alla CSCE. Le fonti divulgative e le raccolte disponibili confermano il lessico: in un intervento del 1971 alla Camera Moro sostenne che l'interesse del popolo italiano fosse "che la pace prevalga nel mondo, e particolarmente nel continente europeo e nel Mediterraneo", senza per questo rinunciare "alla difesa intelligente ed equilibrata dei nostri interessi" Progetto Radici (https://www.progetto-radici.it/2022/05/09/aldo-moro-il-dominus-della-politica-estera-italiana/) (citazione riportata da una fonte divulgativa, Progetto Radici, da verificare sull'originale parlamentare). Sul riconoscimento della Repubblica popolare cinese occorre una correzione rispetto a una lettura che lo attribuisca a Moro: la proposta fu di Pietro Nenni nel gennaio 1969, e la normalizzazione si perfezionò il 6 novembre 1970, quando Moro era ministro Wikipedia (https://it.wikipedia.org/wiki/Relazioni_bilaterali_tra_Italia_e_Repubblica_Popolare_Cinese) (fonte: Wikipedia in italiano e L'Antidiplomatico, quest'ultima riporta il testo del telegramma del Ministero del 28 novembre 1970). Il documento attesta che il riconoscimento maturò sotto la titolarità di Moro; non attesta una paternità morotea dell'iniziativa, che risale a Nenni. La prima passata aveva citato il telegramma 5472/0 del 29 dicembre 1972 sulla "Visita On. Ministro in Cina": esito negativo, in questa ricognizione non è stato possibile reperirne il testo o una scheda archivistica; la sede è l'Archivio Storico Diplomatico. Sull'accordo preferenziale CEE-Spagna, lo studio peer-reviewed di Levi e il DIZionario dell'Integrazione Europea confermano che l'intesa fu siglata a Lussemburgo il 29 giugno 1970 dal ministro spagnolo López Bravo, dal presidente del Consiglio CEE Pierre Harmel e dal presidente della Commissione Jean Rey, entrando in vigore il 1° ottobre 1970; Dizie (https://www.dizie.eu/dizionario/spagna/) il testo è confermato da EUR-Lex (CELEX 21970A0629(01)): "Accordo tra la Comunità economica europea e la Spagna, Gazzetta ufficiale n. L 182 del 16/08/1970 pag. 0002 […] Fatto a Lussemburgo, il ventinove giugno millenovecentosettanta", con validità cessata il 31 dicembre 1985. La constatazione della prima passata circa il silenzio della stampa italiana non è stata né confermata né smentita da questa ricognizione e resta da verificare su emeroteca. Quanto al settembre 1975, quando il governo — presieduto ormai da Moro — richiamò l'ambasciatore da Madrid dopo le fucilazioni di due militanti ETA e tre del FRAP del 27 settembre 1975, va corretto un dato della prima passata: le vittime furono cinque, di cui tre del FRAP (José Humberto Baena, José Luis Sánchez Bravo, Ramón García Sanz) e due dell'ETA (Juan Paredes Manot "Txiki" e Ángel Otaegui).</w:t>
      </w:r>
    </w:p>
    <w:p>
      <w:pPr>
        <w:pStyle w:val="Heading2"/>
        <w:spacing w:after="100" w:before="200"/>
      </w:pPr>
      <w:r>
        <w:rPr>
          <w:rFonts w:ascii="Barlow Semi Condensed" w:cs="Barlow Semi Condensed" w:eastAsia="Barlow Semi Condensed" w:hAnsi="Barlow Semi Condensed"/>
          <w:sz w:val="24"/>
          <w:szCs w:val="24"/>
        </w:rPr>
        <w:t xml:space="preserve">Capitolo VII — Il lodo Moro e la politica filo-araba</w:t>
      </w:r>
    </w:p>
    <w:p>
      <w:pPr>
        <w:spacing w:after="120" w:line="276"/>
        <w:jc w:val="both"/>
      </w:pPr>
      <w:r>
        <w:rPr>
          <w:rFonts w:ascii="Barlow Semi Condensed" w:cs="Barlow Semi Condensed" w:eastAsia="Barlow Semi Condensed" w:hAnsi="Barlow Semi Condensed"/>
          <w:sz w:val="24"/>
          <w:szCs w:val="24"/>
        </w:rPr>
        <w:t xml:space="preserve">Il caso più documentato del versante mediterraneo è il cosiddetto "lodo Moro". La cronologia della prima passata trova ampio riscontro nelle fonti, in prevalenza divulgative e giornalistiche, che rinviano però a documentazione desecretata (Direttiva Renzi 2014) e a due studi di riferimento: Giacomo Pacini, Il lodo Moro. Terrorismo e ragion di Stato 1969-1986, e i lavori richiamati da Valentine Lomellini. Secondo Pacini, il primo documento che certifichi un dialogo clandestino fra governo italiano e formazioni riconducibili all'OLP risale al 17 dicembre 1972 L'Incontro (https://www.lincontro.news/il-lodo-moro-non-era-una-fake-news-laccordo-fra-lo-stato-italiano-e-le-organizzazioni-palestinesi-ci-fu-e-produsse-degli-effetti/) e reca la firma del capo del SID collegato all'area libanese (il Giornale, L'Incontro). Il 14 gennaio 1973 (secondo altre ricostruzioni il 5 settembre 1973 per l'arresto dei cinque, con discrepanza fra le fonti sulla data e sul numero) si colloca l'episodio dei lanciamissili Strela destinati all'aereo di Golda Meir. L'Incontro (https://www.lincontro.news/il-lodo-moro-non-era-una-fake-news-laccordo-fra-lo-stato-italiano-e-le-organizzazioni-palestinesi-ci-fu-e-produsse-degli-effetti/) L'accordo sarebbe stato sottoscritto il 19 ottobre 1973; L'Incontro (https://www.lincontro.news/il-lodo-moro-non-era-una-fake-news-laccordo-fra-lo-stato-italiano-e-le-organizzazioni-palestinesi-ci-fu-e-produsse-degli-effetti/) un documento del 23 ottobre 1973 documenta la trattativa (il Giornale). Il 17 dicembre 1973 la strage di Fiumicino provocò, secondo la scheda ufficiale del Ministero della Cultura (memoria.cultura.gov.it), 32 vittime di cui 6 italiane e 15 feriti: "Attentato terroristico compiuto da un commando palestinese che ha provocato 32 vittime […] Il bilancio complessivo dell'azione è di 32 vittime, di cui 6 italiane"; l'aereo colpito era un Boeing 707 della Pan Am diretto a Teheran via Beirut con 56 passeggeri, 29 dei quali morti a bordo. Il documento attesta l'esistenza di contatti e di intese operative; non attesta univocamente né la paternità esclusiva di Moro né la natura giuridica di un vero e proprio "accordo": lo stesso studioso citato osserva che i documenti indicano non un "lodo Moro" in senso stretto ma il risultato di un lavoro diplomatico condotto da più persone e riconducibile a una politica di Stato. Il Giornale (https://www.ilgiornale.it/news/cultura/lodo-moro-leggenda-e-verit-storica-nel-libro-valentine-2003644.html) Va perciò distinto ciò che i documenti Giovannone attestano (contatti, colloqui in carcere, ruolo del colonnello Stefano Giovannone come capocentro del SID a Beirut) Wikipedia (https://it.wikipedia.org/wiki/Lodo_Moro) da ciò che se ne inferisce circa la volontà politica di Moro, che le fonti collegano a lui ma senza atto scritto di sua mano finora reso pubblico. Le date della prima passata relative al 7 novembre 1979 (Ortona, sequestro di lanciamissili) e al 16 febbraio 1978 (cablogramma Giovannone su Habbash) esulano dal mandato ministeriale ma ne segnano la coda: al novembre 1979 Moro era già morto, e il febbraio 1978 cade durante il suo sequestro. Esito negativo: non è stato reperito in questa ricognizione il testo integrale del cablogramma del 16 febbraio 1978 né dell'accordo del 19 ottobre 1973; la sede presso cui cercarli è l'archivio della Commissione parlamentare d'inchiesta Moro-2 e gli atti desecretati depositati presso l'Archivio Centrale dello Stato.</w:t>
      </w:r>
    </w:p>
    <w:p>
      <w:pPr>
        <w:pStyle w:val="Heading2"/>
        <w:spacing w:after="100" w:before="200"/>
      </w:pPr>
      <w:r>
        <w:rPr>
          <w:rFonts w:ascii="Barlow Semi Condensed" w:cs="Barlow Semi Condensed" w:eastAsia="Barlow Semi Condensed" w:hAnsi="Barlow Semi Condensed"/>
          <w:sz w:val="24"/>
          <w:szCs w:val="24"/>
        </w:rPr>
        <w:t xml:space="preserve">Capitolo VIII — Il versante libico e mediterraneo</w:t>
      </w:r>
    </w:p>
    <w:p>
      <w:pPr>
        <w:spacing w:after="120" w:line="276"/>
        <w:jc w:val="both"/>
      </w:pPr>
      <w:r>
        <w:rPr>
          <w:rFonts w:ascii="Barlow Semi Condensed" w:cs="Barlow Semi Condensed" w:eastAsia="Barlow Semi Condensed" w:hAnsi="Barlow Semi Condensed"/>
          <w:sz w:val="24"/>
          <w:szCs w:val="24"/>
        </w:rPr>
        <w:t xml:space="preserve">Il colpo di Stato di Gheddafi del 1° settembre 1969 aprì il dossier più drammatico del mandato. Ilmemoriale (https://www.ilmemoriale.it/politica/2017/09/04/espulsione-degli-italiani-da-tripoli.html) Il decreto di confisca dei beni degli italiani, promulgato dal Consiglio del Comando della Rivoluzione in tre leggi, è del 21 luglio 1970; gli italiani, circa ventimila, con beni confiscati quantificati in circa 400 miliardi di lire (valore 1970), dovettero lasciare la Libia: Lo Spiegone precisa che "le operazioni di traghettamento di più di 17.000 italiani finirono il 15 ottobre 1970, otto giorni dopo l'ultimatum inviato da Gheddafi il 7 ottobre", data poi celebrata dal regime libico come "Giornata della vendetta". Sul piano interpretativo, lo storico Massimo Mastrogregori (in Storia mondiale dell'Italia, Laterza 2017, studio scientifico) scrive che ai tempi delle crisi libica e petrolifera Moro "strinse contatti col mondo arabo, certo impopolari, utili per il futuro", entro i quali rientravano anche "caute mosse di avvicinamento alla galassia dei gruppi della resistenza palestinese". Ponza Racconta (https://www.ponzaracconta.it/2021/03/30/aldo-moro-gheddafi-e-arafat/) Una fonte memorialistica di parte (l'ex parlamentare che riferisce i racconti del generale Vito Miceli, su lavalledeitempli.net) attribuisce a Moro la scelta di "salvare Gheddafi" per tutelare gli interessi italiani, e collega a Moro il soccorso dato nel 1971 per far fallire un tentativo di rovesciamento ("operazione Hilton"): Lavalledeitempli (http://lavalledeitempli.net/2019/04/23/aldo-moro-vero-artefice-della-cooperazione-la-libia-gheddafi/) trattandosi di memoria di protagonista riferita indirettamente, il dato va accolto con cautela e non equiparato a fonte d'archivio. Il documento memorialistico attesta un'opinione; non attesta la decisione documentale di Moro, che andrebbe cercata nei carteggi di gabinetto. Una fonte cita un telegramma del 6 settembre 1970 da Tunisi ai vertici dello Stato con cui Moro avrebbe "sdrammatizzato" politicamente l'espulsione: Lavalledeitempli (http://lavalledeitempli.net/2019/04/23/aldo-moro-vero-artefice-della-cooperazione-la-libia-gheddafi/) esito da verificare all'Archivio Storico Diplomatico. Sugli altri fronti mediterranei — Malta, la Grecia dei colonnelli, il Portogallo di Caetano e poi la Rivoluzione dei garofani dell'aprile 1974, la caduta dei colonnelli greci nel luglio 1974 — la ricognizione non ha prodotto documentazione specifica sull'azione di Moro; l'esito negativo va registrato con la sede di ricerca (Archivio Storico Diplomatico, serie Affari Politici, e FRUS per il quadro NATO). Il terzo e quarto conflitto arabo-israeliano fanno da sfondo alla politica filo-araba: la guerra del Kippur dell'ottobre 1973, documentata ampiamente in FRUS (vol. XXV), è il contesto entro cui matura la strage di Fiumicino e la crisi petrolifera 1973-1974. Il documento FRUS attesta lo sforzo americano di guadagnare il sostegno degli alleati europei, "largely unsuccessful": CIE (https://israeled.org/wp-content/uploads/2012/05/FRUS-1969-1976-1973-war.pdf) ne discende, per inferenza corroborata ma non per affermazione esplicita, che la linea mediterranea italiana divergeva da quella statunitense.</w:t>
      </w:r>
    </w:p>
    <w:p>
      <w:pPr>
        <w:pStyle w:val="Heading2"/>
        <w:spacing w:after="100" w:before="200"/>
      </w:pPr>
      <w:r>
        <w:rPr>
          <w:rFonts w:ascii="Barlow Semi Condensed" w:cs="Barlow Semi Condensed" w:eastAsia="Barlow Semi Condensed" w:hAnsi="Barlow Semi Condensed"/>
          <w:sz w:val="24"/>
          <w:szCs w:val="24"/>
        </w:rPr>
        <w:t xml:space="preserve">Capitolo IX — Le sedi multilaterali e la coincidenza con la delegazione vaticana</w:t>
      </w:r>
    </w:p>
    <w:p>
      <w:pPr>
        <w:spacing w:after="120" w:line="276"/>
        <w:jc w:val="both"/>
      </w:pPr>
      <w:r>
        <w:rPr>
          <w:rFonts w:ascii="Barlow Semi Condensed" w:cs="Barlow Semi Condensed" w:eastAsia="Barlow Semi Condensed" w:hAnsi="Barlow Semi Condensed"/>
          <w:sz w:val="24"/>
          <w:szCs w:val="24"/>
        </w:rPr>
        <w:t xml:space="preserve">Il sesto obiettivo chiedeva di verificare la coincidenza fra le sedi in cui l'Italia della Farnesina di Moro era rappresentata e quelle in cui la Santa Sede era guidata da Silvestrini. L'Italia firmò il Trattato di non proliferazione nucleare il 28 gennaio 1969 Treccani (https://www.treccani.it/enciclopedia/non-proliferazione-atomica_(Enciclopedia-Italiana)/) (dato anteriore all'insediamento di Moro) e lo ratificò con legge 24 aprile 1975 n. 131; secondo la scheda del Centro di Ateneo per i Diritti Umani dell'Università di Padova, la "Data della ratifica: 02 maggio 1975 (Washington, Londra), 04 maggio 1975 (Mosca) (Gazzetta Ufficiale n. 201 del 30 luglio 1975)", mentre la legge 131 fu pubblicata in G.U. n. 113 del 30 aprile 1975. Lo studio peer-reviewed di Leopoldo Nuti (L'Italia come stato soglia?) documenta che fra la firma e la ratifica il governo italiano cercò di dilazionare la ratifica e di potenziare lo status italiano nell'arricchimento dell'uranio e nella propulsione navale, cedendo infine alle pressioni degli alleati nel maggio 1975. Unica (https://convegni.unica.it/sisi19/i-panel-dellottavo-convegno-sisi-cagliari-2019/panel-3/) Il dato è rilevante perché la ratifica cade quando Moro è presidente del Consiglio, non più ministro degli Esteri: la coincidenza cronologica con il suo mandato ministeriale è dunque solo parziale e va precisata. Sul versante vaticano, le fonti (Treccani, voce Casaroli; L'Osservatore Romano; SettimanaNews) attestano che Achille Silvestrini fu capo-delegazione della Santa Sede alla Conferenza ONU sull'uso dell'energia atomica del 1971 e alla Conferenza sul TNP del 1975, oltre che protagonista della CSCE. SettimanaNews (https://www.settimananews.it/chiesa/silvestrini-ostpolitik/) La proposta vaticana sulla libertà religiosa fu presentata il 7 marzo 1973 e recepita nel settimo principio dell'Atto finale di Helsinki del 1° agosto 1975; la Santa Sede aderì anche al TNP, "sollecitata dall'URSS" Vatican News (https://www.vaticannews.va/it/mondo/news/2022-04/conferenza-helsinki-1975-europa-guerra-fredda-eredita-pace.html) (Vatican News). Qui si colloca la triangolazione più delicata: la coincidenza fra le sedi multilaterali (energia atomica 1971, TNP, CSCE) in cui erano presenti sia la Farnesina di Moro sia la delegazione di Silvestrini è una comunanza di ambiente accertata dalle fonti. Ciò che essa NON stabilisce è un coordinamento o una concertazione fra Roma e la Santa Sede in quelle sedi: nessuna delle fonti reperite documenta contatti operativi Moro-Silvestrini o istruzioni concordate. La contemporaneità di presenza non va trattata come prova di un nesso: va classificata come comunanza di ambiente, non come convergenza di obiettivo documentata. La sede presso cui cercare un eventuale nesso è duplice: l'Archivio Storico Diplomatico (delegazioni CSCE e conferenze sul disarmo) e l'Archivio della Segreteria di Stato vaticana, sezione Rapporti con gli Stati, per il pontificato di Paolo VI, la cui apertura è stata disposta per gli anni di Pio XII e progressivamente estesa.</w:t>
      </w:r>
    </w:p>
    <w:p>
      <w:pPr>
        <w:pStyle w:val="Heading2"/>
        <w:spacing w:after="100" w:before="200"/>
      </w:pPr>
      <w:r>
        <w:rPr>
          <w:rFonts w:ascii="Barlow Semi Condensed" w:cs="Barlow Semi Condensed" w:eastAsia="Barlow Semi Condensed" w:hAnsi="Barlow Semi Condensed"/>
          <w:sz w:val="24"/>
          <w:szCs w:val="24"/>
        </w:rPr>
        <w:t xml:space="preserve">Capitolo X — La Santa Sede, la Spagna e la biografia di López Bravo</w:t>
      </w:r>
    </w:p>
    <w:p>
      <w:pPr>
        <w:spacing w:after="120" w:line="276"/>
        <w:jc w:val="both"/>
      </w:pPr>
      <w:r>
        <w:rPr>
          <w:rFonts w:ascii="Barlow Semi Condensed" w:cs="Barlow Semi Condensed" w:eastAsia="Barlow Semi Condensed" w:hAnsi="Barlow Semi Condensed"/>
          <w:sz w:val="24"/>
          <w:szCs w:val="24"/>
        </w:rPr>
        <w:t xml:space="preserve">Il quinto obiettivo verteva sulla posizione della Santa Sede e sull'Ostpolitik di Casaroli e Silvestrini. La revisione del Concordato lateranense costituisce il filo lungo: uno studio dell'Università di Padova (peer-reviewed) ne ricostruisce l'iter dal 1969 al 1984, fondandosi sugli archivi Gonella, Casaroli e Bartoletti e sul diario dell'ambasciatore Gianfranco Pompei, University of Padua (https://www.research.unipd.it/handle/11577/3421701) e collocando fra il 1976 e il 1983 la redazione delle sette bozze precedenti l'Accordo di Villa Madama del 18 febbraio 1984. Chiesacattolica.it (https://www.chiesacattolica.it/documenti-segreteria/accordo-di-revisione-del-concordato-lateranense-tra-la-santa-sede-e-la-repubblica-italiana/) Ne discende che durante il mandato di Moro (1969-1974) la revisione era in fase preparatoria e non produsse atti conclusivi: il dato va tenuto fermo contro ogni sovrapposizione anacronistica. Sul versante spagnolo, il caso López Bravo è centrale. La biografia di Gabriel Pérez Gómez (López Bravo. Una biografía, Rialp, Madrid 2024, 331 pp.) Delibris (https://www.delibris.org/es/lopez-bravo) è la novità storiografica più rilevante: l'autore, dottore in Scienze dell'informazione, ha lavorato sugli archivi della Biblioteca dell'Università di Navarra, su archivi statali e su documentazione della CIA. El Confidencial Digital (https://www.elconfidencialdigital.com/religion/articulo/de-libros/gregorio-lopez-bravo-miembro-opus-dei-servicio-progreso-espana/20241007004039050434.html) Le recensioni (El Confidencial Digital, Omnes) attestano che il libro pubblica per la prima volta la lunga nota che López Bravo, ministro degli Esteri spagnolo e membro dell'Opus Dei, Omnes (https://www.omnesmag.com/en/news/gabriel-perez-lopez-lopez-bravo-acted-freely/) scrisse in aereo subito dopo l'udienza del 12 gennaio 1973 con Paolo VI, definita dall'autore "di eccezionale importanza"; Omnes (https://www.omnesmag.com/en/news/gabriel-perez-lopez-lopez-bravo-acted-freely/) il recensore di El Confidencial Digital scrive che la nota "estremece" (fa fremere) e che "già solo per questo capitolo si giustifica la pubblicazione". El Confidencial Digital (https://www.elconfidencialdigital.com/religion/articulo/de-libros/gregorio-lopez-bravo-miembro-opus-dei-servicio-progreso-espana/20241007004039050434.html) López Bravo si era recato dal papa per consegnargli una lettera di Franco, nel pieno di uno scambio di corrispondenza sui rapporti fra Chiesa e Stato, la Conferenza episcopale e il privilegio di presentazione dei vescovi previsto dal Concordato del 27 agosto 1953. Esito negativo da registrare: le recensioni non riproducono il testo verbatim della nota, di cui riferiscono solo il tono; la sede per il contenuto è il libro stesso. Il caso Añoveros del 24 febbraio 1974 — omelia del vescovo di Bilbao a favore dell'identità basca, minaccia di espulsione da parte del governo Arias Navarro, controminaccia di scomunica — è documentato da Wikipedia in spagnolo e da memorie ecclesiastiche (cardinale Marcelo González): fu Cortina Mauri, ministro degli Esteri, a dare al nunzio Dadaglio quarantotto ore perché Añoveros lasciasse la Spagna. Wikipedia (https://es.wikipedia.org/wiki/Caso_A%C3%B1overos) Il documento memorialistico attesta la gravità del rischio di rottura fra Madrid e Santa Sede; non attesta alcun coinvolgimento italiano.</w:t>
      </w:r>
    </w:p>
    <w:p>
      <w:pPr>
        <w:pStyle w:val="Heading2"/>
        <w:spacing w:after="100" w:before="200"/>
      </w:pPr>
      <w:r>
        <w:rPr>
          <w:rFonts w:ascii="Barlow Semi Condensed" w:cs="Barlow Semi Condensed" w:eastAsia="Barlow Semi Condensed" w:hAnsi="Barlow Semi Condensed"/>
          <w:sz w:val="24"/>
          <w:szCs w:val="24"/>
        </w:rPr>
        <w:t xml:space="preserve">Capitolo XI — Il canale Pignedoli e la costruzione delle triangolazioni</w:t>
      </w:r>
    </w:p>
    <w:p>
      <w:pPr>
        <w:spacing w:after="120" w:line="276"/>
        <w:jc w:val="both"/>
      </w:pPr>
      <w:r>
        <w:rPr>
          <w:rFonts w:ascii="Barlow Semi Condensed" w:cs="Barlow Semi Condensed" w:eastAsia="Barlow Semi Condensed" w:hAnsi="Barlow Semi Condensed"/>
          <w:sz w:val="24"/>
          <w:szCs w:val="24"/>
        </w:rPr>
        <w:t xml:space="preserve">L'undicesimo punto raccoglie la triangolazione interna Italia–Santa Sede. Durante il sequestro Sossi (18 aprile – 23 maggio 1974), con Moro ministro degli Esteri, la Santa Sede fu segretamente coinvolta nella trattativa attraverso il cardinale Sergio Pignedoli: lo attesta la Treccani (voce "9 maggio 1978: lo schiaffo a Paolo VI", studio enciclopedico), che aggiunge come Moro, nel 1978, dalla prigionia, citasse per tre volte il nome di Pignedoli come canale per giungere "con mani sicure e rapide" al papa. Treccani (https://www.treccani.it/enciclopedia/9-maggio-1978-lo-schiaffo-a-paolo-vi-storia-e-fallimento-della-mediazione-vaticana-per-la-liberazione-di-aldo-moro_(Cristiani-d'Italia)/) Il documento (le lettere di Moro) attesta la fiducia di Moro in quel canale nel 1978; se ne inferisce, ma la fonte lo afferma esplicitamente per il 1974, che un canale vaticano di mediazione era già operativo al tempo del sequestro Sossi. Treccani (https://www.treccani.it/enciclopedia/9-maggio-1978-lo-schiaffo-a-paolo-vi-storia-e-fallimento-della-mediazione-vaticana-per-la-liberazione-di-aldo-moro_(Cristiani-d'Italia)/) Su questa base è possibile enunciare le tre triangolazioni richieste, distinguendo rigorosamente i piani. Prima triangolazione, Italia di Moro – Santa Sede: il grado di sostegno documentale è medio per il canale Pignedoli (fonte enciclopedica che rinvia alle lettere) e basso per una concertazione diplomatica multilaterale (Capitolo IX). Ciò che essa NON stabilisce: non esiste, nelle fonti reperite, prova di un coordinamento sistematico fra Farnesina e Segreteria di Stato nella politica estera 1969-1974; si tratta di convergenza di obiettivo (la mediazione umanitaria) episodica, non di alleanza strutturale. Seconda triangolazione, Italia di Moro – Spagna franchista: il grado di sostegno documentale è medio sul piano comunitario (accordo CEE-Spagna 1970, richiamo dell'ambasciatore nel 1975), ma quest'ultimo atto cade quando Moro è presidente del Consiglio, non ministro. Ciò che essa NON stabilisce: nessun contatto diretto documentato Moro–López Bravo o Moro–Cortina Mauri è emerso; la comunanza è di ambiente (il quadro CEE) e vi è una simultaneità di reazione (nel settembre 1975, secondo Startmag, "in poche ore diciassette Paesi richiamarono gli ambasciatori" da Madrid, mentre i presidenti delle Camere europee, riuniti a Roma il 26 settembre, avevano telegrafato a Franco chiedendo la grazia), non una convergenza di obiettivo provata. Terza triangolazione, Santa Sede – Spagna: è la meglio documentata (udienza del 12 gennaio 1973, caso Añoveros, Concordato del 1953), ma coinvolge Moro solo per contiguità cronologica e ambientale. Ciò che essa NON stabilisce: nessun ruolo italiano nelle tensioni ispano-vaticane. In sintesi, le tre triangolazioni vanno tenute distinte come convergenze di obiettivo (episodiche), simultaneità di reazione (1975) e comunanze di ambiente (le sedi multilaterali e il quadro CEE): la contemporaneità cronologica non è, in nessun caso, prova di nesso causale.</w:t>
      </w:r>
    </w:p>
    <w:p>
      <w:pPr>
        <w:pStyle w:val="Heading2"/>
        <w:spacing w:after="100" w:before="200"/>
      </w:pPr>
      <w:r>
        <w:rPr>
          <w:rFonts w:ascii="Barlow Semi Condensed" w:cs="Barlow Semi Condensed" w:eastAsia="Barlow Semi Condensed" w:hAnsi="Barlow Semi Condensed"/>
          <w:sz w:val="24"/>
          <w:szCs w:val="24"/>
        </w:rPr>
        <w:t xml:space="preserve">Capitolo XII — Tavola discorsiva delle acquisizioni documentali necessarie e non conseguite</w:t>
      </w:r>
    </w:p>
    <w:p>
      <w:pPr>
        <w:spacing w:after="120" w:line="276"/>
        <w:jc w:val="both"/>
      </w:pPr>
      <w:r>
        <w:rPr>
          <w:rFonts w:ascii="Barlow Semi Condensed" w:cs="Barlow Semi Condensed" w:eastAsia="Barlow Semi Condensed" w:hAnsi="Barlow Semi Condensed"/>
          <w:sz w:val="24"/>
          <w:szCs w:val="24"/>
        </w:rPr>
        <w:t xml:space="preserve">Chiude la ricognizione un bilancio degli esiti negativi, ordinati per rendimento atteso decrescente, ciascuno con la sede e la condizione di chiusura. Al primo posto, per rendimento, i carteggi del gabinetto del ministro Moro e la serie "Direzione Generale Affari Politici" e "Ambasciata d'Italia a Madrid" 1969-1974 presso l'Archivio Storico Diplomatico della Farnesina: teoricamente consultabili in forza della barriera dei cinquant'anni, restano di accesso incerto perché la disponibilità dei faldoni va verificata caso per caso; condizione di chiusura è la conferma inventariale da richiedere via portale asd.esteri.it. Al secondo posto, le repliche di Moro sui bilanci Esteri 1970, 1971, 1972 e 1974 con numero di seduta e data: reperibili nella raccolta Aldo Moro, Discorsi parlamentari (Camera, 1996) e nelle banche dati "dibattiti" di Camera e Senato per le legislature V e VI; condizione di chiusura è la consultazione diretta della raccolta a stampa, non accessibile in questa ricognizione per limiti dei portali. Al terzo posto, la corrispondenza fra il Ministerio de Asuntos Exteriores spagnolo e l'Embajada de España en Roma 1969-1975, e ogni traccia di contatto López Bravo/Cortina Mauri–Moro, presso l'Archivo General de la Administración di Alcalá de Henares: condizione di chiusura è la consultazione degli inventari del fondo del Servizio Esterno, non disponibili online in forma nominativa. Al quarto posto, il testo verbatim della nota redatta in aereo da López Bravo il 12 gennaio 1973: la sede è la biografia di Pérez Gómez (Rialp 2024) e, a monte, l'archivio dell'Università di Navarra; condizione di chiusura è la lettura del volume. Al quinto posto, i verbali di colloqui diretti Moro-Nixon e Moro-Rogers 1969-1972: sede è la serie FRUS 1969-1976 e i Nixon Presidential Materials (NSC Files, Country Files: Italy) ai National Archives di College Park; condizione di chiusura è lo spoglio dei volumi europei e mediterranei non esaminati. Al sesto posto, il telegramma 5472/0 del 29 dicembre 1972 sulla visita in Cina, il telegramma del 6 settembre 1970 da Tunisi sull'espulsione dalla Libia, l'accordo del 19 ottobre 1973 e il cablogramma Giovannone del 16 febbraio 1978: sedi rispettive l'Archivio Storico Diplomatico e l'archivio della Commissione Moro-2 presso l'Archivio Centrale dello Stato. Al settimo posto, per il nesso Italia–Santa Sede nelle sedi multilaterali, l'Archivio della Segreteria di Stato vaticana, sezione Rapporti con gli Stati, per il pontificato di Paolo VI: condizione di chiusura è l'apertura effettiva delle carte montiniane agli studiosi. Ogni esito negativo qui elencato è un'acquisizione di pieno valore: circoscrive ciò che allo stato non è dimostrabile e indica con precisione dove la dimostrazione andrebbe cercata.</w:t>
      </w:r>
    </w:p>
    <w:p>
      <w:pPr>
        <w:pStyle w:val="Heading3"/>
        <w:spacing w:after="80" w:before="240"/>
      </w:pPr>
      <w:r>
        <w:rPr>
          <w:rFonts w:ascii="Barlow Semi Condensed" w:cs="Barlow Semi Condensed" w:eastAsia="Barlow Semi Condensed" w:hAnsi="Barlow Semi Condensed"/>
          <w:sz w:val="24"/>
          <w:szCs w:val="24"/>
        </w:rPr>
        <w:t xml:space="preserve">Apparato grafico — Libro dodicesimo · La ricognizione-madre: Moro ministro degli Esteri 1969-197</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6"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Libro dodicesimo II: 4.765 parole in 9 sezioni; la più ampia è §9 Altre sezioni, con 1.620.</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7"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Libro dodicesimo II: 47 indirizzi di fonte citati, addensati in 9 sezioni su 9.</w:t>
      </w:r>
    </w:p>
    <w:p>
      <w:pPr>
        <w:spacing w:after="120"/>
        <w:jc w:val="center"/>
      </w:pPr>
      <w:r>
        <w:rPr>
          <w:rFonts w:ascii="Barlow Semi Condensed" w:cs="Barlow Semi Condensed" w:eastAsia="Barlow Semi Condensed" w:hAnsi="Barlow Semi Condensed"/>
          <w:color w:val="777777"/>
          <w:sz w:val="16"/>
          <w:szCs w:val="16"/>
        </w:rPr>
        <w:t xml:space="preserve">Le metriche dell'apparato contano parole, documenti e atti — mai colpe.</w:t>
      </w:r>
    </w:p>
    <w:p>
      <w:r>
        <w:br w:type="page"/>
      </w:r>
    </w:p>
    <w:p>
      <w:pPr>
        <w:pStyle w:val="Heading1"/>
        <w:spacing w:after="120" w:before="240"/>
      </w:pPr>
      <w:r>
        <w:rPr>
          <w:rFonts w:ascii="Barlow Semi Condensed" w:cs="Barlow Semi Condensed" w:eastAsia="Barlow Semi Condensed" w:hAnsi="Barlow Semi Condensed"/>
          <w:sz w:val="24"/>
          <w:szCs w:val="24"/>
        </w:rPr>
        <w:t xml:space="preserve">Libro dodicesimo — La dimensione diplomatica — III. Germania e Opus Dei 1952-1985</w:t>
      </w:r>
    </w:p>
    <w:p>
      <w:pPr>
        <w:pStyle w:val="Heading1"/>
        <w:spacing w:after="120" w:before="240"/>
      </w:pPr>
      <w:r>
        <w:rPr>
          <w:rFonts w:ascii="Barlow Semi Condensed" w:cs="Barlow Semi Condensed" w:eastAsia="Barlow Semi Condensed" w:hAnsi="Barlow Semi Condensed"/>
          <w:sz w:val="24"/>
          <w:szCs w:val="24"/>
        </w:rPr>
        <w:t xml:space="preserve">Ricerca storiografica e archivistica su Aldo Moro Ministro degli Esteri, l'Opus Dei in Germania (1952–1985) e le loro triangolazioni</w:t>
      </w:r>
    </w:p>
    <w:p>
      <w:pPr>
        <w:pStyle w:val="Heading2"/>
        <w:spacing w:after="100" w:before="200"/>
      </w:pPr>
      <w:r>
        <w:rPr>
          <w:rFonts w:ascii="Barlow Semi Condensed" w:cs="Barlow Semi Condensed" w:eastAsia="Barlow Semi Condensed" w:hAnsi="Barlow Semi Condensed"/>
          <w:sz w:val="24"/>
          <w:szCs w:val="24"/>
        </w:rPr>
        <w:t xml:space="preserve">Capitolo I — Impianto del problema, proposizione da testare e disciplina delle fonti</w:t>
      </w:r>
    </w:p>
    <w:p>
      <w:pPr>
        <w:spacing w:after="120" w:line="276"/>
        <w:jc w:val="both"/>
      </w:pPr>
      <w:r>
        <w:rPr>
          <w:rFonts w:ascii="Barlow Semi Condensed" w:cs="Barlow Semi Condensed" w:eastAsia="Barlow Semi Condensed" w:hAnsi="Barlow Semi Condensed"/>
          <w:sz w:val="24"/>
          <w:szCs w:val="24"/>
        </w:rPr>
        <w:t xml:space="preserve">La presente ricerca sottopone a verifica una proposizione formulata dal committente e da lui dichiarata confutabile: l'insediamento dell'Opus Dei in un Paese richiederebbe la compresenza di due condizioni, ossia una maggioranza cattolica della popolazione e la disponibilità di un ceto universitario e professionale cattolico autoctono su cui l'apostolato possa radicarsi. Il caso tedesco è il banco di prova più significativo di questa ricognizione, per una ragione strutturale: l'ente registra ufficialmente la Germania al 1952 come anno d'inizio del lavoro stabile, ma la Repubblica Federale del secondo dopoguerra non era un Paese a maggioranza cattolica. Se dunque l'insediamento fu stabile pur in assenza di una maggioranza cattolica, la prima delle due condizioni cade, e resta operante soltanto la seconda. La fonte ufficiale dell'ente — il Centro Studi Josemaría Escrivá dell'Università di Navarra e i portali della Prelatura — colloca l'inizio del lavoro stabile in Germania nel 1952; il dato è convergente con la pubblicistica critica in lingua tedesca (Peter Hertel, Klaus Steigleder) e con fonti terze indipendenti (bistum-essen.de, katholisch.de, stampa nazionale tedesca). La convergenza fra la fonte dell'ente e fonti indipendenti sulla data e sui luoghi consente di trattare il dato dell'insediamento come acquisito con alta affidabilità, in ossequio alla regola che impone di verificare la fonte ufficiale contro fonti terze.</w:t>
      </w:r>
    </w:p>
    <w:p>
      <w:pPr>
        <w:spacing w:after="120" w:line="276"/>
        <w:jc w:val="both"/>
      </w:pPr>
      <w:r>
        <w:rPr>
          <w:rFonts w:ascii="Barlow Semi Condensed" w:cs="Barlow Semi Condensed" w:eastAsia="Barlow Semi Condensed" w:hAnsi="Barlow Semi Condensed"/>
          <w:sz w:val="24"/>
          <w:szCs w:val="24"/>
        </w:rPr>
        <w:t xml:space="preserve">La disciplina di metodo qui adottata è quella richiesta dal committente e la si dichiara in apertura perché governa l'intera trattazione. Si distingue rigorosamente ciò che il documento attesta da ciò che se ne inferisce; si impiega la fonte ufficiale dell'ente per i dati di fatto verificabili su membri e insediamenti, verificandola contro fonti indipendenti, ma non la si impiega per le valutazioni sulle responsabilità; non si tratta l'appartenenza di una persona a un'organizzazione come prova di una condotta dell'organizzazione, e questa è la prescrizione che prevale su ogni esigenza narrativa; non si tratta la contemporaneità cronologica come prova di un nesso; per le persone viventi si riportano esclusivamente fatti pubblici documentati, senza inferenze associative; ove le fonti divergano su una data o su un numero si riporta la divergenza anziché sceglierla silenziosamente; si segnala quando una tesi circolante nella pubblicistica non trova riscontro nelle fonti primarie, qualificandola come non sostenuta. Sono escluse dalle citazioni, per disposizione del committente, l'enciclopedia collaborativa Grokipedia e il quotidiano il Manifesto. La letteratura polemica in lingua tedesca sull'ente è abbondante — dai libri di Hertel alle inchieste dei fogli antifascisti — e viene qui trattata con questo criterio, segnalando ciò che non trova riscontro documentale. Si privilegiano, secondo l'indicazione ricevuta, le fonti in tedesco e in italiano per il merito, lo spagnolo per la storiografia dell'ente, l'inglese per la storiografia internazionale.</w:t>
      </w:r>
    </w:p>
    <w:p>
      <w:pPr>
        <w:pStyle w:val="Heading2"/>
        <w:spacing w:after="100" w:before="200"/>
      </w:pPr>
      <w:r>
        <w:rPr>
          <w:rFonts w:ascii="Barlow Semi Condensed" w:cs="Barlow Semi Condensed" w:eastAsia="Barlow Semi Condensed" w:hAnsi="Barlow Semi Condensed"/>
          <w:sz w:val="24"/>
          <w:szCs w:val="24"/>
        </w:rPr>
        <w:t xml:space="preserve">Capitolo II — L'insediamento dell'Opus Dei in Germania: cronologia, luoghi, protagonisti</w:t>
      </w:r>
    </w:p>
    <w:p>
      <w:pPr>
        <w:spacing w:after="120" w:line="276"/>
        <w:jc w:val="both"/>
      </w:pPr>
      <w:r>
        <w:rPr>
          <w:rFonts w:ascii="Barlow Semi Condensed" w:cs="Barlow Semi Condensed" w:eastAsia="Barlow Semi Condensed" w:hAnsi="Barlow Semi Condensed"/>
          <w:sz w:val="24"/>
          <w:szCs w:val="24"/>
        </w:rPr>
        <w:t xml:space="preserve">Secondo la fonte ufficiale dell'ente (Prelatura, «Kurzdarstellung der Anfänge des Opus Dei in Deutschland», documento datato 21 marzo 2006 e pubblicato su opusdei.org), i primi tre membri dell'Opus Dei giunsero in Germania nel 1952: l'ingegnere diplomato e sacerdote dal 1951 Alfons (Alfonso) Par (1922–2002), il commercialista Fernando Echeverría (1924–2015) e il filosofo Fernando Inciarte (1929–2000), che sarebbe poi divenuto ordinario a Münster. La prima residenza fu aperta nel 1953 all'Adenauerallee di Bonn e divenne poi lo Studentenheim Althaus, che la stessa fonte qualifica come l'unico centro tedesco ancora oggi esistente ad essere stato visitato dal fondatore. Il lavoro femminile iniziò nel 1956 con l'apertura dello Studentinnenheim Eigelstein, nella Hülchrather Straße a Colonia. Va segnalata sin d'ora una divergenza sulle date della prima residenza maschile, che si riporta anziché risolverla: la fonte ufficiale tedesca colloca l'apertura della residenza di Bonn nel 1953, mentre altre fonti dell'ente in altre lingue e larga parte della pubblicistica (anche critica, come l'Antifaschistisches Infoblatt) indicano il 1952 come anno dell'insediamento nella villa dell'Adenauerallee. La discrepanza si spiega verosimilmente con la distinzione fra l'arrivo dei primi membri (1952) e l'apertura formale della residenza (1953), ma resta una divergenza documentale da segnalare.</w:t>
      </w:r>
    </w:p>
    <w:p>
      <w:pPr>
        <w:spacing w:after="120" w:line="276"/>
        <w:jc w:val="both"/>
      </w:pPr>
      <w:r>
        <w:rPr>
          <w:rFonts w:ascii="Barlow Semi Condensed" w:cs="Barlow Semi Condensed" w:eastAsia="Barlow Semi Condensed" w:hAnsi="Barlow Semi Condensed"/>
          <w:sz w:val="24"/>
          <w:szCs w:val="24"/>
        </w:rPr>
        <w:t xml:space="preserve">Il dato geografico è dirimente per la domanda di ricerca e va enunciato con precisione. L'insediamento avvenne a Bonn e a Colonia, dunque nella Renania, cioè in una delle regioni storicamente cattoliche dell'ovest tedesco, appartenente all'arcidiocesi di Colonia. Bonn era, all'epoca, la capitale federale e sede universitaria. L'espansione successiva, documentata analiticamente dalla fonte ufficiale, seguì un andamento che privilegiò dapprima la Renania e la Vestfalia e solo tardivamente la Baviera: per gli uomini, Essen (1969), Aquisgrana (1971), Treviri e Berlino (1972), Münster (1976), Monaco (1977); per le donne, Essen (1971), Aquisgrana (1976), Jülich (1978, dove alcune di esse insegnavano in un liceo femminile), Münster (1979), Monaco (1980), Treviri (1987), Berlino (1992). La Baviera, cuore cattolico del sud tedesco, fu dunque raggiunta relativamente tardi, con Monaco nel 1977 per gli uomini e nel 1980 per le donne; la fonte ufficiale definisce Münster e Monaco «tappe importanti dell'espansione nella vecchia Repubblica Federale» in quanto punti d'appoggio rispettivamente nel nord e nel sud. opusdei (https://opusdei.org/de-de/article/kurzdarstellung-der-anfange-des-opus-dei-in-deutschland/) Dal 1962 operò a Colonia, con interruzioni, uno dei tre primissimi sacerdoti dell'Opus Dei in assoluto, José María Hernández de Garnica (1913–1972). La consistenza numerica attuale è indicata dalla fonte ufficiale in termini letterali: «Die Mitgliederzahl liegt heute in Deutschland bei knapp 600 bzw. über 1.000, wenn man die aktiven Mitarbeiter mitzählt» opusdei (https://opusdei.org/de-de/article/kurzdarstellung-der-anfange-des-opus-dei-in-deutschland/) — cioè poco meno di 600 membri, oltre 1.000 includendo i cooperatori attivi; il dato dei circa 600 membri in Germania è convergente con quello riportato da katholisch.de a fronte di circa 92.000 membri nel mondo. Per il periodo storico 1952–1985 la consistenza numerica puntuale non è documentata dalle fonti aperte e costituisce uno Stato Zero, la cui sede di chiusura è l'archivio della Prelatura.</w:t>
      </w:r>
    </w:p>
    <w:p>
      <w:pPr>
        <w:pStyle w:val="Heading2"/>
        <w:spacing w:after="100" w:before="200"/>
      </w:pPr>
      <w:r>
        <w:rPr>
          <w:rFonts w:ascii="Barlow Semi Condensed" w:cs="Barlow Semi Condensed" w:eastAsia="Barlow Semi Condensed" w:hAnsi="Barlow Semi Condensed"/>
          <w:sz w:val="24"/>
          <w:szCs w:val="24"/>
        </w:rPr>
        <w:t xml:space="preserve">Capitolo III — Il ruolo del cardinale Frings e l'accoglienza della gerarchia tedesca</w:t>
      </w:r>
    </w:p>
    <w:p>
      <w:pPr>
        <w:spacing w:after="120" w:line="276"/>
        <w:jc w:val="both"/>
      </w:pPr>
      <w:r>
        <w:rPr>
          <w:rFonts w:ascii="Barlow Semi Condensed" w:cs="Barlow Semi Condensed" w:eastAsia="Barlow Semi Condensed" w:hAnsi="Barlow Semi Condensed"/>
          <w:sz w:val="24"/>
          <w:szCs w:val="24"/>
        </w:rPr>
        <w:t xml:space="preserve">Un punto è documentato con particolare forza e risponde direttamente al quesito, posto dal committente, sull'atteggiamento della gerarchia ecclesiastica tedesca e in specie del cardinale Josef Frings di Colonia. Secondo una lettera del nunzio apostolico Giovanni Lajolo al vicario regionale Christoph Bockamp, ripresa dall'ente in occasione del cinquantenario dell'insediamento tedesco, fu «per la petizione del cardinale Frings, allora arcivescovo di Colonia» che i primi membri dell'Opus Dei giunsero a Colonia nel 1952. Opus Dei (https://opusdei.org/en-us/article/commemorative-book-in-germany/) Questo configura un'accoglienza attiva e sollecitante da parte dell'ordinario diocesano, non una semplice tolleranza, ed è per certi versi accostabile — pur con tutte le cautele imposte dalla differenza dei contesti — al modello portoghese di accoglienza già accertato dal committente nel caso del cardinale Cerejeira. Il dato è corroborato da fonti ecclesiastiche tedesche successive: il generalvicario di Colonia Dominik Schwaderlapp ha ricordato che «già dai tempi del cardinale Frings l'Opus Dei è attivo nell'arcidiocesi di Colonia e appartiene alla molteplice ricchezza della vita ecclesiale»; Kath (https://kath.net/print/15147) e il cardinale Joachim Meisner, in una predica del 19 gennaio 2002, ringraziò espressamente i suoi predecessori Frings e Höffner per aver fatto sì che «l'Opus Dei potesse mettere radici» a Colonia, definendo il duomo «quasi un luogo commemorativo di Escrivá». Blogger (http://hugendubelverdi.blogspot.com/2012/01/gottes-werk-und-des-kardinals-beitrag.html) La pubblicistica critica (taz) ha inoltre rilevato che Frings, ancora nel 1975, si adoperò presso il papa per una rapida beatificazione e canonizzazione di Escrivá. taz.de (https://taz.de/Der-Mann-der-das-fringsen-erfand-und-alten-Nazis-half/%21664899/)</w:t>
      </w:r>
    </w:p>
    <w:p>
      <w:pPr>
        <w:spacing w:after="120" w:line="276"/>
        <w:jc w:val="both"/>
      </w:pPr>
      <w:r>
        <w:rPr>
          <w:rFonts w:ascii="Barlow Semi Condensed" w:cs="Barlow Semi Condensed" w:eastAsia="Barlow Semi Condensed" w:hAnsi="Barlow Semi Condensed"/>
          <w:sz w:val="24"/>
          <w:szCs w:val="24"/>
        </w:rPr>
        <w:t xml:space="preserve">Occorre qui una nota di metodo che la materia impone. La stampa tedesca — per esempio il portale Belltower.News — ha talora incluso i cardinali di Colonia Frings, Höffner e Meisner tra i «membri» dell'Opus Dei. Questa affermazione non è sostenuta da fonti primarie e va qualificata come non provata. Il sostegno di un ordinario all'attività di un ente nella propria diocesi, per quanto convinto e prolungato, non equivale all'appartenenza personale all'ente, e la prescrizione metodologica impone di non trattare l'uno come prova dell'altra. Ciò che le fonti attestano con certezza è il patrocinio di Frings all'insediamento del 1952 e la benevolenza continuativa degli arcivescovi di Colonia; l'appartenenza personale dei tre cardinali all'ente non è documentata da fonti affidabili e va considerata una tesi pubblicistica non riscontrata. Dal punto di vista della domanda di ricerca, il dato rilevante e solido è che l'insediamento avvenne su iniziativa della gerarchia cattolica locale in una regione cattolica: circostanza che rafforza, e non indebolisce, la lettura secondo cui la base dell'insediamento fu il tessuto cattolico regionale e non la composizione confessionale del Paese nel suo insieme.</w:t>
      </w:r>
    </w:p>
    <w:p>
      <w:pPr>
        <w:pStyle w:val="Heading2"/>
        <w:spacing w:after="100" w:before="200"/>
      </w:pPr>
      <w:r>
        <w:rPr>
          <w:rFonts w:ascii="Barlow Semi Condensed" w:cs="Barlow Semi Condensed" w:eastAsia="Barlow Semi Condensed" w:hAnsi="Barlow Semi Condensed"/>
          <w:sz w:val="24"/>
          <w:szCs w:val="24"/>
        </w:rPr>
        <w:t xml:space="preserve">Capitolo IV — La composizione confessionale della Repubblica Federale, 1950–1980</w:t>
      </w:r>
    </w:p>
    <w:p>
      <w:pPr>
        <w:spacing w:after="120" w:line="276"/>
        <w:jc w:val="both"/>
      </w:pPr>
      <w:r>
        <w:rPr>
          <w:rFonts w:ascii="Barlow Semi Condensed" w:cs="Barlow Semi Condensed" w:eastAsia="Barlow Semi Condensed" w:hAnsi="Barlow Semi Condensed"/>
          <w:sz w:val="24"/>
          <w:szCs w:val="24"/>
        </w:rPr>
        <w:t xml:space="preserve">I dati statistici tedeschi, elaborati dalla Forschungsgruppe Weltanschauungen in Deutschland (fowid) su base dei censimenti dello Statistisches Bundesamt, attestano che nel 1950 la ripartizione confessionale della Repubblica Federale vedeva i protestanti al 50,6% e i cattolici al 45,8%, con il 96,4% della popolazione appartenente a una delle due grandi Chiese: la formulazione fowid è testuale — «1950 waren 96,4 % der Bevölkerung Mitglied einer der beiden Kirchen, mit einem etwas größeren Anteil der Evangelischen (50,6 %) gegenüber den Katholiken (45,8 %)». fowid (https://fowid.de/sites/default/files/download/religionszugehoerigkeit_bevoelkerung_1950-2005.pdf) Una fonte storiografica indipendente, il saggio «Konfession und Wahlverhalten in Deutschland» del Themenportal Europäische Geschichte (clio-online), fornisce per il 1950 valori leggermente diversi — protestanti al 51,2% e cattolici al 45,2% — precisando che i cattolici uscirono definitivamente dalla situazione di minoranza solo nel 1976, quando fu raggiunta la parità; Clio Online (https://www.europa.clio-online.de/essay/id/fdae-1690) la divergenza fra le due serie (fowid e clio-online) va riportata e non incide sulla sostanza. Nel 1970 i protestanti erano il 47,7% e i cattolici il 44,6% (fowid), fowid (https://fowid.de/meldung/religionszugehoerigkeiten-deutschland-2015) con il 92–93% della popolazione ancora appartenente alle due Chiese. Il dato dirimente è dunque pienamente acquisito e converge da fonti diverse: nella Repubblica Federale del secondo dopoguerra i cattolici erano una minoranza relativa, non una maggioranza, benché una minoranza molto ampia e prossima alla metà della popolazione.</w:t>
      </w:r>
    </w:p>
    <w:p>
      <w:pPr>
        <w:spacing w:after="120" w:line="276"/>
        <w:jc w:val="both"/>
      </w:pPr>
      <w:r>
        <w:rPr>
          <w:rFonts w:ascii="Barlow Semi Condensed" w:cs="Barlow Semi Condensed" w:eastAsia="Barlow Semi Condensed" w:hAnsi="Barlow Semi Condensed"/>
          <w:sz w:val="24"/>
          <w:szCs w:val="24"/>
        </w:rPr>
        <w:t xml:space="preserve">Questo esito falsifica, per il caso tedesco, la prima delle due condizioni della proposizione del committente. La Germania federale, considerata nel suo complesso, era a maggioranza (relativa) protestante; eppure l'Opus Dei vi si insediò stabilmente nel 1952. La divisione della Germania fu una determinante decisiva di questo assetto: la perdita dei territori orientali e la costituzione della DDR modificarono il peso confessionale relativo rispetto al Reich del 1871, quando i protestanti superavano il 60% ed erano religione di Stato; fowid (https://fowid.de/meldung/deutschland-konfessionen) sul territorio dei Länder poi confluiti nella Repubblica Federale esisteva invece, come nota fowid, una proporzione «quasi paritaria» fra protestanti e cattolici (dell'ordine di 51:48, 52:47). fowid (https://fowid.de/meldung/deutschland-konfessionen) La distribuzione regionale mantenne concentrazioni cattoliche nettissime: Baviera, Renania, Vestfalia e Saarland, quest'ultimo con il 98,2% di appartenenti alle Chiese nel 1950 e una schiacciante maggioranza cattolica. fowid (https://fowid.de/meldung/deutschland-3-katholische-sueden-und-westen) Fino al 1970 il cattolicesimo restò la religione di maggioranza nella Renania-Vestfalia. fowid (https://fowid.de/meldung/deutschland-3-katholische-sueden-und-westen) L'espulsione dei tedeschi dai territori orientali (dai Sudeti, dalla Slesia, dalla Prussia orientale) produsse una mescolanza confessionale nelle regioni di accoglienza, con effetti di erosione del milieu cattolico documentati dalla storiografia specialistica: Michael Hirschfeld, nella monografia </w:t>
      </w:r>
      <w:r>
        <w:rPr>
          <w:rFonts w:ascii="Barlow Semi Condensed" w:cs="Barlow Semi Condensed" w:eastAsia="Barlow Semi Condensed" w:hAnsi="Barlow Semi Condensed"/>
          <w:i/>
          <w:iCs/>
          <w:sz w:val="24"/>
          <w:szCs w:val="24"/>
        </w:rPr>
        <w:t xml:space="preserve">Katholisches Milieu und Vertriebene. Eine Fallstudie am Beispiel des Oldenburger Landes 1945–1965</w:t>
      </w:r>
      <w:r>
        <w:rPr>
          <w:rFonts w:ascii="Barlow Semi Condensed" w:cs="Barlow Semi Condensed" w:eastAsia="Barlow Semi Condensed" w:hAnsi="Barlow Semi Condensed"/>
          <w:sz w:val="24"/>
          <w:szCs w:val="24"/>
        </w:rPr>
        <w:t xml:space="preserve">, colloca l'inizio dell'erosione del milieu cattolico già nell'immediato dopoguerra, per effetto dell'afflusso dei profughi, anticipandolo rispetto alla lettura corrente che lo legava alla contestazione del 1968. Perlentaucher (https://www.perlentaucher.de/buch/michael-hirschfeld/katholisches-milieu-und-vertriebene.html?r=print)</w:t>
      </w:r>
    </w:p>
    <w:p>
      <w:pPr>
        <w:pStyle w:val="Heading2"/>
        <w:spacing w:after="100" w:before="200"/>
      </w:pPr>
      <w:r>
        <w:rPr>
          <w:rFonts w:ascii="Barlow Semi Condensed" w:cs="Barlow Semi Condensed" w:eastAsia="Barlow Semi Condensed" w:hAnsi="Barlow Semi Condensed"/>
          <w:sz w:val="24"/>
          <w:szCs w:val="24"/>
        </w:rPr>
        <w:t xml:space="preserve">Capitolo V — Il ceto cattolico tedesco come milieu socialmente organizzato</w:t>
      </w:r>
    </w:p>
    <w:p>
      <w:pPr>
        <w:spacing w:after="120" w:line="276"/>
        <w:jc w:val="both"/>
      </w:pPr>
      <w:r>
        <w:rPr>
          <w:rFonts w:ascii="Barlow Semi Condensed" w:cs="Barlow Semi Condensed" w:eastAsia="Barlow Semi Condensed" w:hAnsi="Barlow Semi Condensed"/>
          <w:sz w:val="24"/>
          <w:szCs w:val="24"/>
        </w:rPr>
        <w:t xml:space="preserve">La seconda condizione della proposizione — la disponibilità di un ceto universitario e professionale cattolico autoctono — è nel caso tedesco non solo soddisfatta, ma soddisfatta in misura eccezionale, tanto che essa costituisce il vero perno esplicativo dell'insediamento. La storiografia tedesca dispone di una categoria consolidata per descrivere questo fenomeno, quella di «katholisches Milieu», milieu cattolico socialmente organizzato, e ne individua indicatori precisi. Esisteva una tradizione partitica di lungo periodo — lo Zentrum, poi confluito, insieme alla bavarese Bayerische Volkspartei, nell'interconfessionale CDU/CSU del dopoguerra; Clio Online (https://www.europa.clio-online.de/essay/id/fdae-1690) esisteva una fitta rete associativa e caritativa (il Kolpingwerk, i Katholikentag, le opere assistenziali Misereor e Adveniat, entrambe promosse proprio da Frings); Wikipedia (https://en.wikipedia.org/wiki/Josef_Frings) esisteva una stampa cattolica strutturata; esistevano le associazioni studentesche cattoliche organizzate nel Cartellverband, l'associazione degli accademici cattolici (Katholischer Akademikerverband), la Görres-Gesellschaft per la promozione della scienza, e il sistema delle facoltà teologiche di Stato. La letteratura politologica (Kühr, Oberndörfer e altri) descrive per la Germania un'«asimmetria confessionale-politica»: esisteva un milieu cattolico, una partitica cattolica, un cattolicesimo politico, senza un equivalente protestante di pari organizzazione. Springer (https://link.springer.com/chapter/10.1007/978-3-322-88718-4_27) La bibliografia specialistica su questo tema — dalla voce enciclopedica tedesca ai saggi di Springer — qualifica dunque il cattolicesimo tedesco del dopoguerra proprio come milieu socialmente organizzato, e non come mera confessione statistica.</w:t>
      </w:r>
    </w:p>
    <w:p>
      <w:pPr>
        <w:spacing w:after="120" w:line="276"/>
        <w:jc w:val="both"/>
      </w:pPr>
      <w:r>
        <w:rPr>
          <w:rFonts w:ascii="Barlow Semi Condensed" w:cs="Barlow Semi Condensed" w:eastAsia="Barlow Semi Condensed" w:hAnsi="Barlow Semi Condensed"/>
          <w:sz w:val="24"/>
          <w:szCs w:val="24"/>
        </w:rPr>
        <w:t xml:space="preserve">È in questo milieu, e non in una consistenza maggioritaria che non esisteva, che va cercata la base sociale dell'insediamento, e le fonti lo confermano puntualmente. L'Opus Dei si radicò precisamente sul ceto studentesco e professionale cattolico delle città renane universitarie: la prima residenza fu uno Studentenheim a Bonn, sede dell'università e della capitale federale, e il primo lavoro femminile a Colonia fu uno Studentinnenheim. È significativo che le due tedesche che accolsero le prime tre spagnole alla stazione centrale di Colonia il 12 ottobre 1956 fossero Käthe Retz (1928–2018), assistente all'Università di Bonn dove aveva studiato psicologia, e Marlies Kücking (nata 1936), all'epoca matricola universitaria: Opus Dei (https://opusdei.org/en/article/fragments-of-history-campus-muengersdorf/) espressione diretta e nominata di quel ceto accademico cattolico su cui l'apostolato poteva radicarsi. Anche il profilo dei primi tre membri arrivati nel 1952 — un ingegnere-sacerdote, un commercialista e un filosofo destinato alla cattedra di Münster — conferma la selettività verso l'ambiente universitario e professionale, coerente con la strategia originaria dell'ente, sin dagli anni spagnoli, di rivolgersi anzitutto agli intellettuali e agli studenti universitari. DeWiki (https://dewiki.de/Lexikon/Opus_Dei)</w:t>
      </w:r>
    </w:p>
    <w:p>
      <w:pPr>
        <w:pStyle w:val="Heading2"/>
        <w:spacing w:after="100" w:before="200"/>
      </w:pPr>
      <w:r>
        <w:rPr>
          <w:rFonts w:ascii="Barlow Semi Condensed" w:cs="Barlow Semi Condensed" w:eastAsia="Barlow Semi Condensed" w:hAnsi="Barlow Semi Condensed"/>
          <w:sz w:val="24"/>
          <w:szCs w:val="24"/>
        </w:rPr>
        <w:t xml:space="preserve">Capitolo VI — La conseguenza per la proposizione del committente</w:t>
      </w:r>
    </w:p>
    <w:p>
      <w:pPr>
        <w:spacing w:after="120" w:line="276"/>
        <w:jc w:val="both"/>
      </w:pPr>
      <w:r>
        <w:rPr>
          <w:rFonts w:ascii="Barlow Semi Condensed" w:cs="Barlow Semi Condensed" w:eastAsia="Barlow Semi Condensed" w:hAnsi="Barlow Semi Condensed"/>
          <w:sz w:val="24"/>
          <w:szCs w:val="24"/>
        </w:rPr>
        <w:t xml:space="preserve">Il caso tedesco produce una conseguenza netta, che si enuncia senza adattamenti in ossequio all'esplicita richiesta di non difendere la proposizione ma di sottoporla al caso avverso. La prima condizione — la maggioranza cattolica — cade: la Repubblica Federale non era a maggioranza cattolica nel 1952 e non lo divenne mai nel periodo 1952–1985. La seconda condizione — il ceto universitario e professionale cattolico autoctono — è invece pienamente soddisfatta, e nella forma più robusta possibile, quella di un milieu organizzato. L'insediamento, inoltre, non fu territorialmente indifferenziato: avvenne selettivamente nelle regioni e nelle città a forte presenza cattolica dell'ovest (Bonn, Colonia, la Renania), su iniziativa e con il patrocinio dell'ordinario cattolico locale, e raggiunse la Baviera cattolica soltanto un quarto di secolo dopo. Ne segue che, per la Germania, la proposizione va riformulata: opera la seconda condizione, non la prima. La maggioranza cattolica nazionale non è necessaria all'insediamento; la presenza di un ceto cattolico autoctono organizzato, concentrato regionalmente, sì.</w:t>
      </w:r>
    </w:p>
    <w:p>
      <w:pPr>
        <w:spacing w:after="120" w:line="276"/>
        <w:jc w:val="both"/>
      </w:pPr>
      <w:r>
        <w:rPr>
          <w:rFonts w:ascii="Barlow Semi Condensed" w:cs="Barlow Semi Condensed" w:eastAsia="Barlow Semi Condensed" w:hAnsi="Barlow Semi Condensed"/>
          <w:sz w:val="24"/>
          <w:szCs w:val="24"/>
        </w:rPr>
        <w:t xml:space="preserve">Va tuttavia aggiunta una precisazione che complica la lettura semplice, e che la correttezza logica impone di esplicitare. Il committente ha definito la proposizione falsificabile «dal reperimento di un insediamento stabile in un Paese a maggioranza non cattolica </w:t>
      </w:r>
      <w:r>
        <w:rPr>
          <w:rFonts w:ascii="Barlow Semi Condensed" w:cs="Barlow Semi Condensed" w:eastAsia="Barlow Semi Condensed" w:hAnsi="Barlow Semi Condensed"/>
          <w:i/>
          <w:iCs/>
          <w:sz w:val="24"/>
          <w:szCs w:val="24"/>
        </w:rPr>
        <w:t xml:space="preserve">e</w:t>
      </w:r>
      <w:r>
        <w:rPr>
          <w:rFonts w:ascii="Barlow Semi Condensed" w:cs="Barlow Semi Condensed" w:eastAsia="Barlow Semi Condensed" w:hAnsi="Barlow Semi Condensed"/>
          <w:sz w:val="24"/>
          <w:szCs w:val="24"/>
        </w:rPr>
        <w:t xml:space="preserve"> privo di ceto cattolico autoctono». Il caso tedesco soddisfa il primo requisito (maggioranza non cattolica) ma non il secondo, perché la Germania è, al contrario, un Paese dotatissimo di ceto cattolico autoctono. Il caso tedesco falsifica dunque la sola prima condizione, dimostrando che essa non è necessaria; ma non costituisce la confutazione integrale della proposizione congiunta, la quale richiederebbe un insediamento in un Paese che difetti di entrambe le condizioni. La confutazione integrale andrebbe cercata nei casi asiatici e africani elencati dal committente fra i potenzialmente confutanti — Giappone 1958, Kenya 1958, Nigeria 1965, India 1993, ISJE (https://www.isje.org/en/history-of-opus-dei/) Kazakistan 1997, Indonesia 2008, Sri Lanka 2011 — non esaminati in questa sede e che restano il naturale prolungamento della ricerca. La Germania, in conclusione, non abbatte l'intera proposizione ma ne demolisce con certezza documentale la prima metà.</w:t>
      </w:r>
    </w:p>
    <w:p>
      <w:pPr>
        <w:pStyle w:val="Heading2"/>
        <w:spacing w:after="100" w:before="200"/>
      </w:pPr>
      <w:r>
        <w:rPr>
          <w:rFonts w:ascii="Barlow Semi Condensed" w:cs="Barlow Semi Condensed" w:eastAsia="Barlow Semi Condensed" w:hAnsi="Barlow Semi Condensed"/>
          <w:sz w:val="24"/>
          <w:szCs w:val="24"/>
        </w:rPr>
        <w:t xml:space="preserve">Capitolo VII — Il confronto sistematico con gli altri casi europei</w:t>
      </w:r>
    </w:p>
    <w:p>
      <w:pPr>
        <w:spacing w:after="120" w:line="276"/>
        <w:jc w:val="both"/>
      </w:pPr>
      <w:r>
        <w:rPr>
          <w:rFonts w:ascii="Barlow Semi Condensed" w:cs="Barlow Semi Condensed" w:eastAsia="Barlow Semi Condensed" w:hAnsi="Barlow Semi Condensed"/>
          <w:sz w:val="24"/>
          <w:szCs w:val="24"/>
        </w:rPr>
        <w:t xml:space="preserve">Il confronto con gli altri Paesi europei rafforza e precisa la conclusione. La cronologia ufficiale dell'ente (Centro Studi Escrivá dell'Università di Navarra, e cronologia della Prelatura) registra le seguenti date d'inizio del lavoro stabile: Portogallo 1945; Italia e Gran Bretagna 1946; Francia e Irlanda 1947; Germania 1952; Svizzera 1956; Austria 1957; Opus Dei (https://opusdei.org/de-de/article/pressemitteilung-die-praelatur-opus-dei-in-mitteleuropa-stellt-sich-neu-auf-de/) University of Navarra (https://en.unav.edu/web/josemaria-escriva-study-centre/opus-dei-y-prelados) Olanda 1959 o 1960 (le fonti dell'ente divergono fra le due date, e la divergenza si riporta); Belgio 1965; Svezia 1984. University of Navarra (https://en.unav.edu/web/josemaria-escriva-study-centre/opus-dei-y-prelados) Due casi sono dirimenti quanto quello tedesco, poiché riguardano Paesi a maggioranza protestante: la Gran Bretagna (1946) e la Svezia (1984). In Gran Bretagna il lavoro iniziò il 28 dicembre 1946 con l'arrivo a Londra dello spagnolo Juan Antonio Galarraga (1920–2005), Opus Dei (https://opusdei.org/en-uk/article/history-of-opus-dei-in-britain/) numerario dal 1940, giunto per proseguire la ricerca post-dottorale in farmacia alla London University; Opus Dei (https://opusdei.org/en-uk/article/history-of-opus-dei-in-britain/) la prima residenza fu a Rutland Court, poi trasferita a Netherhall House a Hampstead, e il primo centro femminile aprì nel 1952. Opus Dei (https://opusdei.org/en-uk/article/history-of-opus-dei-in-britain/) La Gran Bretagna era ed è a maggioranza protestante (anglicana), con una minoranza cattolica organizzata: il caso conferma indipendentemente dalla Germania che la maggioranza cattolica non è condizione necessaria, mentre lo sono la presenza di un grande ambiente universitario (Londra) e di una minoranza cattolica su cui radicarsi. Anzi, la Gran Bretagna precede la Germania di sei anni e mostra che l'ente, sin dalla sua prima espansione europea, non selezionò i Paesi in base alla confessione maggioritaria.</w:t>
      </w:r>
    </w:p>
    <w:p>
      <w:pPr>
        <w:spacing w:after="120" w:line="276"/>
        <w:jc w:val="both"/>
      </w:pPr>
      <w:r>
        <w:rPr>
          <w:rFonts w:ascii="Barlow Semi Condensed" w:cs="Barlow Semi Condensed" w:eastAsia="Barlow Semi Condensed" w:hAnsi="Barlow Semi Condensed"/>
          <w:sz w:val="24"/>
          <w:szCs w:val="24"/>
        </w:rPr>
        <w:t xml:space="preserve">La Svezia (1984) è il caso a maggioranza protestante più estremo, con una minoranza cattolica minima e in larga parte non autoctona. La cronologia ufficiale la registra come inizio del lavoro stabile, ma una fonte critica specializzata (opus-info.org) segnala che nei Paesi di più recente impianto — «Svezia, Ungheria, Russia» — la grande maggioranza dei numerari sono di provenienza spagnola. Opus-Info (https://www.opus-info.org/index.php/Statistik_der_Mitglieder_des_Opus_Dei) Ciò suggerisce che in questi casi l'insediamento poggi inizialmente su membri importati più che su un ceto autoctono, il che indebolisce anche la seconda condizione e complica ulteriormente il quadro: là dove manca il ceto cattolico autoctono, l'ente sembra procedere per trapianto di personale, non per radicamento locale. La Svizzera (1956, primo centro a Zurigo, città a forte componente protestante, con l'arrivo dall'Italia dell'architetto Pedro Turull e del sacerdote-psichiatra Johannes B. Torelló, entrambi provenienti dall'attività a Napoli, Milano e Palermo), Novaradio (https://novaradio.ch/deutsch/opus-dei/) l'Austria (1957, Vienna, cattolica e concepita dal fondatore come «porta verso l'Europa centro-orientale»), l'Olanda (mista con forte minoranza cattolica) e il Belgio (1965, cattolico) completano il quadro. La regolarità che emerge dall'insieme dei casi europei non è la maggioranza cattolica del Paese, bensì la compresenza di città universitarie e di un nucleo cattolico: autoctono e organizzato dove esiste (Germania, Austria, Belgio, Svizzera renana), importato dalla Spagna dove il cattolicesimo autoctono è debole (Svezia). Il confronto europeo, dunque, corrobora la falsificazione della prima condizione ottenuta sul caso tedesco.</w:t>
      </w:r>
    </w:p>
    <w:p>
      <w:pPr>
        <w:pStyle w:val="Heading2"/>
        <w:spacing w:after="100" w:before="200"/>
      </w:pPr>
      <w:r>
        <w:rPr>
          <w:rFonts w:ascii="Barlow Semi Condensed" w:cs="Barlow Semi Condensed" w:eastAsia="Barlow Semi Condensed" w:hAnsi="Barlow Semi Condensed"/>
          <w:sz w:val="24"/>
          <w:szCs w:val="24"/>
        </w:rPr>
        <w:t xml:space="preserve">Capitolo VIII — L'Opus Dei e la vita pubblica tedesca; le controversie</w:t>
      </w:r>
    </w:p>
    <w:p>
      <w:pPr>
        <w:spacing w:after="120" w:line="276"/>
        <w:jc w:val="both"/>
      </w:pPr>
      <w:r>
        <w:rPr>
          <w:rFonts w:ascii="Barlow Semi Condensed" w:cs="Barlow Semi Condensed" w:eastAsia="Barlow Semi Condensed" w:hAnsi="Barlow Semi Condensed"/>
          <w:sz w:val="24"/>
          <w:szCs w:val="24"/>
        </w:rPr>
        <w:t xml:space="preserve">Attenendosi rigorosamente ai fatti pubblici documentati e alla prescrizione che l'appartenenza non prova la condotta, si può accertare quanto segue circa la presenza dell'ente nella vita pubblica, accademica ed economica tedesca del periodo 1952–1985. Il membro tedesco di maggiore rilievo accademico documentato dalla fonte ufficiale è Fernando Inciarte (1929–2000), filosofo divenuto ordinario all'Università di Münster; ma Inciarte era di origine spagnola, tra i primissimi arrivati del 1952, e non un tedesco autoctono reclutato in loco, circostanza che va segnalata per non falsare il quadro. La rete istituzionale collegata all'apostolato comprende la «Studentische Kulturgemeinschaft e.V.», fondata nel 1953 come organizzazione-quadro dello Studentenheim di Bonn e di successivi centri educativi (le case «Hoher Weg» ad Augsburg, «Fausenburg» a Trier, «Am Städel» a Francoforte, «Weidenau» a Monaco), la cui direzione spirituale è affidata all'Opus Dei; Antifaschistisches Infoblatt (https://antifainfoblatt.de/aib85/opus-dei-kampftruppe-gottes) e le case di formazione Aufderhöhe a Solingen, Zieglerhof a Ettal in Baviera e Haus Hardtberg nell'Eifel. Sono fatti pubblici e documentati dalla stessa fonte dell'ente. Non risultano invece, dalle fonti reperite, membri tedeschi autoctoni in posizioni pubbliche o economiche di primo piano documentati per il periodo con fonti affidabili: l'individuazione richiederebbe l'accesso agli archivi della Prelatura, e ogni attribuzione andrebbe comunque tenuta distinta da qualunque inferenza sulla condotta dell'ente.</w:t>
      </w:r>
    </w:p>
    <w:p>
      <w:pPr>
        <w:spacing w:after="120" w:line="276"/>
        <w:jc w:val="both"/>
      </w:pPr>
      <w:r>
        <w:rPr>
          <w:rFonts w:ascii="Barlow Semi Condensed" w:cs="Barlow Semi Condensed" w:eastAsia="Barlow Semi Condensed" w:hAnsi="Barlow Semi Condensed"/>
          <w:sz w:val="24"/>
          <w:szCs w:val="24"/>
        </w:rPr>
        <w:t xml:space="preserve">Sul fronte delle controversie pubbliche, la Germania fu teatro di una polemica accesa soprattutto a partire dagli anni Ottanta, coincidenti con l'erezione a prelatura personale. Il giornalista Peter Hertel fu il principale critico: pubblicò trasmissioni radiofoniche e i volumi </w:t>
      </w:r>
      <w:r>
        <w:rPr>
          <w:rFonts w:ascii="Barlow Semi Condensed" w:cs="Barlow Semi Condensed" w:eastAsia="Barlow Semi Condensed" w:hAnsi="Barlow Semi Condensed"/>
          <w:i/>
          <w:iCs/>
          <w:sz w:val="24"/>
          <w:szCs w:val="24"/>
        </w:rPr>
        <w:t xml:space="preserve">Ich verspreche euch den Himmel</w:t>
      </w:r>
      <w:r>
        <w:rPr>
          <w:rFonts w:ascii="Barlow Semi Condensed" w:cs="Barlow Semi Condensed" w:eastAsia="Barlow Semi Condensed" w:hAnsi="Barlow Semi Condensed"/>
          <w:sz w:val="24"/>
          <w:szCs w:val="24"/>
        </w:rPr>
        <w:t xml:space="preserve"> (Patmos, 1985) e </w:t>
      </w:r>
      <w:r>
        <w:rPr>
          <w:rFonts w:ascii="Barlow Semi Condensed" w:cs="Barlow Semi Condensed" w:eastAsia="Barlow Semi Condensed" w:hAnsi="Barlow Semi Condensed"/>
          <w:i/>
          <w:iCs/>
          <w:sz w:val="24"/>
          <w:szCs w:val="24"/>
        </w:rPr>
        <w:t xml:space="preserve">Schleichende Übernahme</w:t>
      </w:r>
      <w:r>
        <w:rPr>
          <w:rFonts w:ascii="Barlow Semi Condensed" w:cs="Barlow Semi Condensed" w:eastAsia="Barlow Semi Condensed" w:hAnsi="Barlow Semi Condensed"/>
          <w:sz w:val="24"/>
          <w:szCs w:val="24"/>
        </w:rPr>
        <w:t xml:space="preserve"> (Publik-Forum, 2002). Opus Dei (https://opusdei.org/de-de/article/dauerbrenner-opus-dei-verdachtigung/) Klaus Steigleder pubblicò </w:t>
      </w:r>
      <w:r>
        <w:rPr>
          <w:rFonts w:ascii="Barlow Semi Condensed" w:cs="Barlow Semi Condensed" w:eastAsia="Barlow Semi Condensed" w:hAnsi="Barlow Semi Condensed"/>
          <w:i/>
          <w:iCs/>
          <w:sz w:val="24"/>
          <w:szCs w:val="24"/>
        </w:rPr>
        <w:t xml:space="preserve">Das Opus Dei. Eine Innenansicht</w:t>
      </w:r>
      <w:r>
        <w:rPr>
          <w:rFonts w:ascii="Barlow Semi Condensed" w:cs="Barlow Semi Condensed" w:eastAsia="Barlow Semi Condensed" w:hAnsi="Barlow Semi Condensed"/>
          <w:sz w:val="24"/>
          <w:szCs w:val="24"/>
        </w:rPr>
        <w:t xml:space="preserve"> (1983, poi in quarta edizione nel 1990). Springer (https://link.springer.com/chapter/10.1007/978-3-322-95152-6_2) L'ente reagì per via legale e per via apologetica: il 27 novembre 1984 lo studio legale monacense Gritschneder/Ehrensperger/Widl presentò, per conto dell'«Opus Dei e.V.» e del vicario regionale César Ortiz, una querela presso la sezione civile del Landgericht München I; IBKA (https://www.ibka.org/artikel/miz86/opusdei.html) e diffuse contro-pubblicazioni ufficiali (Hans Thomas, </w:t>
      </w:r>
      <w:r>
        <w:rPr>
          <w:rFonts w:ascii="Barlow Semi Condensed" w:cs="Barlow Semi Condensed" w:eastAsia="Barlow Semi Condensed" w:hAnsi="Barlow Semi Condensed"/>
          <w:i/>
          <w:iCs/>
          <w:sz w:val="24"/>
          <w:szCs w:val="24"/>
        </w:rPr>
        <w:t xml:space="preserve">Opus Dei: Vorwürfe und Antworten</w:t>
      </w:r>
      <w:r>
        <w:rPr>
          <w:rFonts w:ascii="Barlow Semi Condensed" w:cs="Barlow Semi Condensed" w:eastAsia="Barlow Semi Condensed" w:hAnsi="Barlow Semi Condensed"/>
          <w:sz w:val="24"/>
          <w:szCs w:val="24"/>
        </w:rPr>
        <w:t xml:space="preserve">). Nel dicembre 1984 una parrocchia di Colonia rifiutò di accogliere il primo parroco Opus Dei della Germania Ovest, padre Peter Irrgang, che fu poi accolto dalla piccola comunità di Kreuzweingarten Christian Science Monitor (https://www.csmonitor.com/1984/1231/123131.html) (Christian Science Monitor, 31 dicembre 1984): l'episodio documenta al tempo stesso una reticenza a livello di singola parrocchia e la persistente accoglienza a livello diocesano. Quanto alla gerarchia, non risulta dalle fonti reperite una presa di posizione formale e negativa della Deutsche Bischofskonferenz contro l'ente; l'erezione a prelatura personale con la costituzione apostolica </w:t>
      </w:r>
      <w:r>
        <w:rPr>
          <w:rFonts w:ascii="Barlow Semi Condensed" w:cs="Barlow Semi Condensed" w:eastAsia="Barlow Semi Condensed" w:hAnsi="Barlow Semi Condensed"/>
          <w:i/>
          <w:iCs/>
          <w:sz w:val="24"/>
          <w:szCs w:val="24"/>
        </w:rPr>
        <w:t xml:space="preserve">Ut sit</w:t>
      </w:r>
      <w:r>
        <w:rPr>
          <w:rFonts w:ascii="Barlow Semi Condensed" w:cs="Barlow Semi Condensed" w:eastAsia="Barlow Semi Condensed" w:hAnsi="Barlow Semi Condensed"/>
          <w:sz w:val="24"/>
          <w:szCs w:val="24"/>
        </w:rPr>
        <w:t xml:space="preserve"> (datata 28 novembre 1982, con atto esecutivo del 19 marzo 1983) fu preceduta, secondo la fonte ufficiale, dalla consultazione degli «oltre duemila vescovi delle diocesi nelle quali l'Opus Dei era presente», Opus Dei (https://opusdei.org/de/article/die-personalpraelatur-opus-dei-wie-sie-organisiert-ist-und-wie-sie-arbeitet/) Opus Dei (https://opusdei.org/it-it/article/prelatura-personale/) tra cui gli ordinari tedeschi, e la dichiarazione di Álvaro del Portillo alla Conferenza episcopale tedesca è documentata (Presseamt des Erzbistums Köln, Dokumente 185, 3 settembre 1983). Opus Dei (https://multimedia.opusdei.org/pdf/de/vorwuerfe.pdf) Circa l'atteggiamento della Democrazia Cristiana tedesca e dei partiti dell'Unione verso l'istituzione, le fonti reperite non documentano una posizione ufficiale di partito, e l'esito è pertanto uno Stato Zero da colmare presso l'Archiv für Christlich-Demokratische Politik della Konrad-Adenauer-Stiftung. Si applica per l'intero capitolo la prescrizione assoluta: nessuno dei fatti qui riportati — l'appartenenza di questa o quella persona, il possesso di questa o quella struttura — costituisce di per sé prova di una condotta dell'organizzazione.</w:t>
      </w:r>
    </w:p>
    <w:p>
      <w:pPr>
        <w:pStyle w:val="Heading2"/>
        <w:spacing w:after="100" w:before="200"/>
      </w:pPr>
      <w:r>
        <w:rPr>
          <w:rFonts w:ascii="Barlow Semi Condensed" w:cs="Barlow Semi Condensed" w:eastAsia="Barlow Semi Condensed" w:hAnsi="Barlow Semi Condensed"/>
          <w:sz w:val="24"/>
          <w:szCs w:val="24"/>
        </w:rPr>
        <w:t xml:space="preserve">Capitolo IX — Aldo Moro Ministro degli Esteri e la Repubblica Federale: gli atti della Ostpolitik</w:t>
      </w:r>
    </w:p>
    <w:p>
      <w:pPr>
        <w:spacing w:after="120" w:line="276"/>
        <w:jc w:val="both"/>
      </w:pPr>
      <w:r>
        <w:rPr>
          <w:rFonts w:ascii="Barlow Semi Condensed" w:cs="Barlow Semi Condensed" w:eastAsia="Barlow Semi Condensed" w:hAnsi="Barlow Semi Condensed"/>
          <w:sz w:val="24"/>
          <w:szCs w:val="24"/>
        </w:rPr>
        <w:t xml:space="preserve">Aldo Moro fu ministro degli Affari Esteri della Repubblica Italiana dal 5 agosto 1969 al 26 giugno 1972 (nei governi Rumor II e III, Colombo e Andreotti I) e dal 7 luglio 1973 al 23 novembre 1974 (nei governi Rumor IV e V), Esteri (https://www.esteri.it/it/ministero/storia/ministri_esteri/) come attesta la scheda ufficiale del Ministero degli Affari Esteri e della Cooperazione Internazionale. Il suo doppio mandato coincise con la fase centrale e più intensa della Ostpolitik del cancelliere Willy Brandt e del ministro degli Esteri, e vicecancelliere, Walter Scheel. I cinque atti la cui incidenza sulla posizione italiana costituiva l'obiettivo residuo della ricognizione anteriore sono: il Trattato di Mosca (12 agosto 1970), con cui la Repubblica Federale riconobbe la linea Oder-Neisse e rinunciò a rivendicazioni territoriali; willy-brandt-biography +2 (https://www.willy-brandt-biography.com/travels/1967-1974/) il Trattato di Varsavia (7 dicembre 1970) con la Polonia, di analogo contenuto; Wikipedia (https://en.wikipedia.org/wiki/Kniefall_von_Warschau) Dizie (https://www.dizie.eu/dizionario/ostpolitik/?print=pdf) l'Accordo quadripartito su Berlino (3 settembre 1971), siglato da Francia, Regno Unito, Stati Uniti e Unione Sovietica; LuissThesis (https://tesi.luiss.it/34225/1/090762_DI%20NARDO_FRANCESCO.pdf) il Trattato fondamentale fra le due Germanie (Grundlagenvertrag, 21 dicembre 1972); Berchet (https://liceoberchet.edu.it/ricerche/geo5d_06/csi/ostpolitik.htm) e l'ingresso di entrambe le Germanie alle Nazioni Unite (18 settembre 1973). Dizie (https://www.dizie.eu/dizionario/ostpolitik/?print=pdf) È già accertato, e qui si conferma, che il riconoscimento diplomatico italiano della Repubblica Democratica Tedesca avvenne SISSCO (https://www.sissco.it/recensione-annale/la-ddr-e-litalia-politica-commercio-e-ideologia-nelleuropa-del-cambiamento-1973-1985/) il 17 gennaio 1973, dunque nell'intervallo fra i due mandati di Moro, quando titolare della Farnesina era Giuseppe Medici; e che la collocazione del riconoscimento italiano dopo la firma del Grundlagenvertrag Fbk (https://aro-isig.fbk.eu/issues/2018/1/la-ddr-e-litalia-teresa-malice/pdf/) fu coerente con la sequenza concordata in ambito occidentale.</w:t>
      </w:r>
    </w:p>
    <w:p>
      <w:pPr>
        <w:spacing w:after="120" w:line="276"/>
        <w:jc w:val="both"/>
      </w:pPr>
      <w:r>
        <w:rPr>
          <w:rFonts w:ascii="Barlow Semi Condensed" w:cs="Barlow Semi Condensed" w:eastAsia="Barlow Semi Condensed" w:hAnsi="Barlow Semi Condensed"/>
          <w:sz w:val="24"/>
          <w:szCs w:val="24"/>
        </w:rPr>
        <w:t xml:space="preserve">La posizione puntuale del governo italiano su ciascuno dei cinque atti resta, nelle fonti secondarie reperite, ricostruibile solo per grandi linee, e va dichiarata in larga parte come Stato Zero da colmare in archivio. La cornice generale è però documentata dalla storiografia. Laura Fasanaro, nella monografia </w:t>
      </w:r>
      <w:r>
        <w:rPr>
          <w:rFonts w:ascii="Barlow Semi Condensed" w:cs="Barlow Semi Condensed" w:eastAsia="Barlow Semi Condensed" w:hAnsi="Barlow Semi Condensed"/>
          <w:i/>
          <w:iCs/>
          <w:sz w:val="24"/>
          <w:szCs w:val="24"/>
        </w:rPr>
        <w:t xml:space="preserve">La DDR e l'Italia. Politica, commercio e ideologia nell'Europa del cambiamento</w:t>
      </w:r>
      <w:r>
        <w:rPr>
          <w:rFonts w:ascii="Barlow Semi Condensed" w:cs="Barlow Semi Condensed" w:eastAsia="Barlow Semi Condensed" w:hAnsi="Barlow Semi Condensed"/>
          <w:sz w:val="24"/>
          <w:szCs w:val="24"/>
        </w:rPr>
        <w:t xml:space="preserve"> (Carocci, 2017 — le fonti indicano nel titolo sia il 1990 sia il 1985 come termine finale, divergenza editoriale che si riporta), primo studio italiano sulle relazioni politiche fra Italia e DDR, colloca l'inizio della trattazione proprio al 1973, anno del riconoscimento italiano. SISSCO (https://www.sissco.it/recensione-annale/la-ddr-e-litalia-politica-commercio-e-ideologia-nelleuropa-del-cambiamento-1973-1985/) Il recensore Francesco Di Palma (sehepunkte, 2018) sintetizza la tesi dell'autrice attestando che «le origini di questi rapporti presuntamente privilegiati risalgono all'azione del politico democristiano Aldo Moro», presidente del Consiglio dal 1963 al 1968 e poi dal 1974 al 1976 e «fautore di una coerente politica di distensione verso gli Stati del blocco orientale», strategia intesa a promuovere in modo differenziato il dialogo e la cooperazione politica ed economica con Paesi «realsocialisti» selezionati, anzitutto la DDR. SEHEPUNKTE (https://www.sehepunkte.de/2018/04/31274.html) L'Italia accolse dunque con favore la distensione brandtiana in quanto coerente con la propria linea, insieme europeista e atlantica; ma la posizione italiana sui singoli trattati — e in particolare l'atteggiamento sul negoziato quadripartito su Berlino, materia in cui l'Italia non era parte contraente ma alleato NATO interessato — non è documentata dalle fonti secondarie reperite e va cercata nella serie Germania dell'Archivio Storico Diplomatico del MAECI e nei volumi annuali degli </w:t>
      </w:r>
      <w:r>
        <w:rPr>
          <w:rFonts w:ascii="Barlow Semi Condensed" w:cs="Barlow Semi Condensed" w:eastAsia="Barlow Semi Condensed" w:hAnsi="Barlow Semi Condensed"/>
          <w:i/>
          <w:iCs/>
          <w:sz w:val="24"/>
          <w:szCs w:val="24"/>
        </w:rPr>
        <w:t xml:space="preserve">Akten zur Auswärtigen Politik der Bundesrepublik Deutschland</w:t>
      </w:r>
      <w:r>
        <w:rPr>
          <w:rFonts w:ascii="Barlow Semi Condensed" w:cs="Barlow Semi Condensed" w:eastAsia="Barlow Semi Condensed" w:hAnsi="Barlow Semi Condensed"/>
          <w:sz w:val="24"/>
          <w:szCs w:val="24"/>
        </w:rPr>
        <w:t xml:space="preserve"> (AAPD).</w:t>
      </w:r>
    </w:p>
    <w:p>
      <w:pPr>
        <w:pStyle w:val="Heading2"/>
        <w:spacing w:after="100" w:before="200"/>
      </w:pPr>
      <w:r>
        <w:rPr>
          <w:rFonts w:ascii="Barlow Semi Condensed" w:cs="Barlow Semi Condensed" w:eastAsia="Barlow Semi Condensed" w:hAnsi="Barlow Semi Condensed"/>
          <w:sz w:val="24"/>
          <w:szCs w:val="24"/>
        </w:rPr>
        <w:t xml:space="preserve">Capitolo X — Gli incontri Moro-Brandt e Moro-Scheel</w:t>
      </w:r>
    </w:p>
    <w:p>
      <w:pPr>
        <w:spacing w:after="120" w:line="276"/>
        <w:jc w:val="both"/>
      </w:pPr>
      <w:r>
        <w:rPr>
          <w:rFonts w:ascii="Barlow Semi Condensed" w:cs="Barlow Semi Condensed" w:eastAsia="Barlow Semi Condensed" w:hAnsi="Barlow Semi Condensed"/>
          <w:sz w:val="24"/>
          <w:szCs w:val="24"/>
        </w:rPr>
        <w:t xml:space="preserve">La ricognizione ha permesso di accertare, contro fonti nominate, alcuni incontri documentati e di distinguerli con precisione da quelli soltanto inferiti. La Bundeskanzler-Willy-Brandt-Stiftung, fonte ufficiale della cronologia dei viaggi di Brandt, documenta un incontro Moro-Brandt anteriore alla cancelleria: il 31 agosto-1º settembre 1969, a Roma, Brandt ancora ministro degli Esteri della Grande Coalizione ebbe «colloqui con il ministro degli Esteri Moro» willy-brandt-biography (https://www.willy-brandt-biography.com/travels/1967-1974/) — dunque un bilaterale fra ministri degli Esteri circa sette settimane prima che Brandt divenisse cancelliere e poche settimane dopo l'assunzione dell'incarico da parte di Moro. Come cancelliere, Brandt visitò Roma due volte nel 1970: il 12-14 luglio 1970, con colloqui con il presidente della Repubblica Giuseppe Saragat e il presidente del Consiglio Mariano Rumor, e udienza privata da Paolo VI in Vaticano; willy-brandt-biography (https://www.willy-brandt-biography.com/travels/1967-1974/) e il 23-25 novembre 1970, con colloqui con il presidente del Consiglio Emilio Colombo e con Saragat. willy-brandt-biography (https://www.willy-brandt-biography.com/travels/1967-1974/) La fonte ufficiale della Fondazione Brandt, che elenca selettivamente i soli capi di Stato e di governo, non nomina esplicitamente Moro come partecipante alle due visite del 1970; ma Moro era ministro degli Esteri in carica a entrambe le date, sicché la sua presenza ai colloqui bilaterali è altamente probabile pur non essendo documentata nominativamente. La distinzione fra il documentato e l'inferito va qui mantenuta con rigore: la conferma nominativa andrebbe cercata negli AAPD 1970 e nella serie Germania del MAECI. L'Istituto Luce conserva il filmato «Visita ufficiale del cancelliere Willy Brandt a Roma» (segnatura IL5000085939), catalogato al 1970, che mostra l'incontro Saragat-Brandt al Quirinale e il ricevimento da parte del sindaco di Roma Clelio Darida, senza tuttavia menzionare Moro né precisare il giorno.</w:t>
      </w:r>
    </w:p>
    <w:p>
      <w:pPr>
        <w:spacing w:after="120" w:line="276"/>
        <w:jc w:val="both"/>
      </w:pPr>
      <w:r>
        <w:rPr>
          <w:rFonts w:ascii="Barlow Semi Condensed" w:cs="Barlow Semi Condensed" w:eastAsia="Barlow Semi Condensed" w:hAnsi="Barlow Semi Condensed"/>
          <w:sz w:val="24"/>
          <w:szCs w:val="24"/>
        </w:rPr>
        <w:t xml:space="preserve">Un contatto Moro-Scheel a Bonn è documentato da una fonte primaria derivata: il documentario dei filmati amatoriali dell'ambasciatore italiano a Bonn Mario Luciolli (in carica 1964–1976), catalogato da Stefano Baldi, mostra nel 1971 a Bad Godesberg il presidente del Consiglio Emilio Colombo e il ministro degli Esteri Aldo Moro all'Ambasciata d'Italia, Wordpress (https://diplosor.wordpress.com/documentario-con-i-filmati-dellamb-mario-luciolli-1964-1984/) in un ricevimento cui presero parte anche Genscher e Scheel; wordpress (https://diplosor.wordpress.com/documentario-con-i-filmati-dellamb-mario-luciolli-1964-1984/) lo stesso documentario mostra Moro nuovamente nell'area di Bonn nel 1972, ancora ministro degli Esteri. Wordpress (https://diplosor.wordpress.com/documentario-con-i-filmati-dellamb-mario-luciolli-1964-1984/) La data calendariale esatta della visita Colombo-Moro del 1971 non è precisata dalla fonte (verosimilmente legata al semestre di presidenza italiana del Consiglio delle Comunità), e le datazioni «1971» e «1972» sono etichette dell'archivista da corroborare con gli AAPD e la serie Germania del MAECI. Non è stato invece possibile confermare, nelle fonti aperte, un singolo incontro bilaterale Moro-Scheel isolato e datato con precisione: la loro ripetuta compresenza ai Consigli dei ministri della CEE e alle ministeriali della NATO è accertata come prassi ricorrente ma non è itemizzata in incontri puntuali. Al Vertice dell'Aja (1-2 dicembre 1969) la delegazione italiana fu guidata dal presidente del Consiglio Mariano Rumor; Archive of European Integration (https://aei.pitt.edu/1451/1/hague_1969.pdf) la didascalia ufficiale della fotografia del vertice menziona i capi di Stato e di governo «e i loro ministri degli Esteri», Willy Brandt (https://www.willy-brandt-biography.com/travels/1967-1974/) sicché la partecipazione di Moro alla delegazione è implicita e coerente col suo ruolo, ma egli non è individualmente nominato nelle fonti reperite. In sintesi: è documentato con certezza il bilaterale Moro-Brandt del 31 agosto-1º settembre 1969; sono documentate le visite di Brandt a Roma del luglio e novembre 1970 e la presenza di Moro accanto a Colombo a Bonn nel 1971 in un contesto con Scheel; è inferita ma non confermata la partecipazione nominativa di Moro alle visite romane di Brandt e al Vertice dell'Aja; non è confermato un bilaterale Moro-Scheel isolato e datato.</w:t>
      </w:r>
    </w:p>
    <w:p>
      <w:pPr>
        <w:pStyle w:val="Heading2"/>
        <w:spacing w:after="100" w:before="200"/>
      </w:pPr>
      <w:r>
        <w:rPr>
          <w:rFonts w:ascii="Barlow Semi Condensed" w:cs="Barlow Semi Condensed" w:eastAsia="Barlow Semi Condensed" w:hAnsi="Barlow Semi Condensed"/>
          <w:sz w:val="24"/>
          <w:szCs w:val="24"/>
        </w:rPr>
        <w:t xml:space="preserve">Capitolo XI — Il versante economico, comunitario e migratorio</w:t>
      </w:r>
    </w:p>
    <w:p>
      <w:pPr>
        <w:spacing w:after="120" w:line="276"/>
        <w:jc w:val="both"/>
      </w:pPr>
      <w:r>
        <w:rPr>
          <w:rFonts w:ascii="Barlow Semi Condensed" w:cs="Barlow Semi Condensed" w:eastAsia="Barlow Semi Condensed" w:hAnsi="Barlow Semi Condensed"/>
          <w:sz w:val="24"/>
          <w:szCs w:val="24"/>
        </w:rPr>
        <w:t xml:space="preserve">I rapporti economici italo-tedeschi del periodo hanno il loro atto fondativo nell'Accordo per il reclutamento e il collocamento di manodopera italiana nella Repubblica Federale, firmato a Roma il 20 dicembre 1955. bpb (https://www.bpb.de/kurz-knapp/hintergrund-aktuell/324552/erstes-anwerbeabkommen-vor-65-jahren/) Sulla titolarità delle firme le fonti divergono, e la divergenza si riporta: la Fondazione Migrantes indica come firmatari il ministro federale del Lavoro Anton Storch e il ministro italiano degli Esteri Gaetano Martino; Fondazione Migrantes (https://www.migrantes.it/1955-2015-gastarbeiter-un-viaggio-lungo-60-anni/) altre fonti (Stampa Parlamento) indicano per parte tedesca il ministro dell'Economia Ludwig Erhard. Stampa Parlamento (https://www.stampaparlamento.it/2022/03/04/laccordo-italo-tedesco-del-20-dicembre-1955/) L'accordo avviò l'emigrazione dei cosiddetti Gastarbeiter, i «lavoratori ospiti», impiegati dapprima nel sud-ovest tedesco in agricoltura e nell'edilizia. Fondazione Migrantes (https://www.migrantes.it/1955-2015-gastarbeiter-un-viaggio-lungo-60-anni/) La dimensione del fenomeno è quantificata concordemente: la Bundeszentrale für politische Bildung attesta che «nei cinque decenni successivi giunsero a lavorare in Germania quasi quattro milioni di italiani» bpb (https://www.bpb.de/kurz-knapp/hintergrund-aktuell/324552/erstes-anwerbeabkommen-vor-65-jahren/) (bpb.de), dato ripreso anche dalla pubblicistica italiana; e lo storico Roberto Sala (Vierteljahrshefte für Zeitgeschichte, 55/2007) precisa che circa l'89% di quei quattro milioni fece poi ritorno in Italia, Wikipedia (https://de.wikipedia.org/wiki/Anwerbeabkommen_zwischen_der_Bundesrepublik_Deutschland_und_Italien) a conferma del carattere in larga parte circolare della migrazione. La questione migratoria fu una costante dei rapporti bilaterali durante il ministero Moro, intrecciata alla progressiva attuazione della libera circolazione dei lavoratori nella Comunità economica europea, Storicamente (https://storicamente.org/migrazioni-prontera) che rese in parte superfluo il canale dell'accordo bilaterale.</w:t>
      </w:r>
    </w:p>
    <w:p>
      <w:pPr>
        <w:spacing w:after="120" w:line="276"/>
        <w:jc w:val="both"/>
      </w:pPr>
      <w:r>
        <w:rPr>
          <w:rFonts w:ascii="Barlow Semi Condensed" w:cs="Barlow Semi Condensed" w:eastAsia="Barlow Semi Condensed" w:hAnsi="Barlow Semi Condensed"/>
          <w:sz w:val="24"/>
          <w:szCs w:val="24"/>
        </w:rPr>
        <w:t xml:space="preserve">Sul versante comunitario e monetario, il Vertice dell'Aja del 1-2 dicembre 1969 costituì lo snodo, e vi si colloca il tentativo italiano di bilanciare l'asse franco-tedesco, già accertato dal committente e qui documentato nel dettaglio. Nella ricostruzione storiografica (Maria Eleonora Guasconi; il saggio di Officina della Storia sul vertice), dei tre elementi del «trittico» — completamento, approfondimento, allargamento CVCE (https://www.cvce.eu/en/recherche/unit-content/-/unit/02bb76df-d066-4c08-a58a-d4686a3e68ff/a4b76b9e-9b8b-4752-9657-05e26c5a1f5d) — l'Italia, e personalmente Aldo Moro, sostenne apertamente l'ingresso della Gran Bretagna nella CEE nella speranza che una convergenza fra Roma e Londra servisse a bilanciare il preponderante asse franco-tedesco. Officinadellastoria (https://www.officinadellastoria.eu/it/2018/07/19/leuropa-tra-crisi-e-rilancio-il-vertice-dellaja-del-1969/) Per i timori nutriti verso l'unione economica e monetaria, Moro propose di accompagnare il cammino monetario con analoghi provvedimenti di cooperazione politica, con l'elezione diretta del Parlamento europeo e con una politica per la gioventù europea; Officinadellastoria (https://www.officinadellastoria.eu/it/2018/07/19/leuropa-tra-crisi-e-rilancio-il-vertice-dellaja-del-1969/) e, secondo la stessa ricostruzione, arrivò a minacciare di non partecipare al vertice se il presidente francese Pompidou non avesse inserito nel comunicato finale una data d'inizio dei negoziati con la Gran Bretagna, rendendosi protagonista anche di un «giallo» sulla data di convocazione del vertice. Officinadellastoria (https://www.officinadellastoria.eu/it/2018/07/19/leuropa-tra-crisi-e-rilancio-il-vertice-dellaja-del-1969/) Il mandato dell'Aja generò il Rapporto Werner (presentato l'8 maggio 1970, versione finale nell'ottobre 1970): sul piano dell'unione monetaria il piano tedesco «economicista» (Piano Schiller, 12 febbraio 1970) era appoggiato da Italia e Olanda, mentre il piano belga-lussemburghese «monetarista» era appoggiato dalla Francia. vLex (https://eu.vlex.com/vid/werner-istituzioni-governo-monetario-264867494) Il «serpente monetario» nacque nel 1972; la lira italiana ne uscì Unibo (https://aldomorodigitale.unibo.it/additional_resources/?id=141&amp;type=essay) nel febbraio 1973 e vi rientrò soltanto alla vigilia dell'entrata in funzione del Sistema Monetario Europeo nel 1979. Unipd (https://thesis.unipd.it/retrieve/a718646f-1fb5-445a-9b20-aeb407baaafb/Petrila_Andreea_Roxana.pdf) Il tentativo italiano di bilanciare l'asse franco-tedesco attraverso l'apertura a Londra e l'accoppiamento fra cooperazione monetaria e cooperazione politica fu dunque una costante della politica europea di Moro ministro degli Esteri.</w:t>
      </w:r>
    </w:p>
    <w:p>
      <w:pPr>
        <w:pStyle w:val="Heading2"/>
        <w:spacing w:after="100" w:before="200"/>
      </w:pPr>
      <w:r>
        <w:rPr>
          <w:rFonts w:ascii="Barlow Semi Condensed" w:cs="Barlow Semi Condensed" w:eastAsia="Barlow Semi Condensed" w:hAnsi="Barlow Semi Condensed"/>
          <w:sz w:val="24"/>
          <w:szCs w:val="24"/>
        </w:rPr>
        <w:t xml:space="preserve">Capitolo XII — Esiti negativi, documenti desecretati e archivi; tavola delle acquisizioni non conseguite</w:t>
      </w:r>
    </w:p>
    <w:p>
      <w:pPr>
        <w:spacing w:after="120" w:line="276"/>
        <w:jc w:val="both"/>
      </w:pPr>
      <w:r>
        <w:rPr>
          <w:rFonts w:ascii="Barlow Semi Condensed" w:cs="Barlow Semi Condensed" w:eastAsia="Barlow Semi Condensed" w:hAnsi="Barlow Semi Condensed"/>
          <w:sz w:val="24"/>
          <w:szCs w:val="24"/>
        </w:rPr>
        <w:t xml:space="preserve">Questo capitolo raccoglie gli esiti negativi, che secondo la prescrizione ricevuta sono acquisizioni di pieno valore, ciascuno con l'indicazione della sede presso cui la ricerca andrebbe condotta. Prima acquisizione mancata: nel CIA FOIA Electronic Reading Room e nella collezione CREST non è stato reperito, nelle ricerche condotte, alcun documento desecretato specificamente relativo all'Opus Dei in relazione alla Germania; l'esito negativo era previsto dal committente e va verificato mediante interrogazione diretta e sistematica del readingroom (foia.cia.gov/readingroom) con stringhe combinate, prima di considerarlo definitivo. Seconda: la posizione puntuale del governo italiano su ciascuno dei cinque atti della Ostpolitik non è documentata dalle fonti secondarie reperite; la sede di chiusura è la serie Germania 1969-1975 dell'Archivio Storico Diplomatico del Ministero degli Affari Esteri, con l'avvertenza già accertata dell'esclusione temporanea dei Telegrammi 1942-1970, e i volumi annuali degli AAPD editi dall'Institut für Zeitgeschichte per l'Auswärtiges Amt, oltre all'Edizione Nazionale delle Opere di Aldo Moro. Terza: la presenza nominativa di Moro alle visite di Brandt a Roma del luglio e del novembre 1970 e al Vertice dell'Aja è inferita ma non confermata; la sede di chiusura sono gli AAPD 1969-1970 e la serie Germania del MAECI. Quarta: un incontro bilaterale Moro-Scheel isolato e datato non è stato confermato; sede AAPD e MAECI, oltre alla documentazione dei Consigli CEE e delle ministeriali NATO. Quinta: la posizione ufficiale della CDU/CSU e dei partiti dell'Unione verso l'Opus Dei non è documentata; sede l'Archiv für Christlich-Demokratische Politik della Konrad-Adenauer-Stiftung. Sesta: la tesi di dottorato di Filippo Triola, discussa all'Università di Bologna nel 2013 sui rapporti politici ed economici italo-tedeschi dopo il 1945, Freie Universität Berlin (https://www.geisteswissenschaften.fu-berlin.de/it/italienzentrum/forschung-lehre/Gastdozent_innen/Ex-docenti/Filippo-Triola/index.html) è reperibile su AMS Dottorato di Unibo ma la parte edita e consultata copre prevalentemente il periodo 1945-1955 Unibo (https://amsdottorato.unibo.it/id/eprint/5721/1/Triola_Flippo_Tesi.pdf) (poi confluita nel volume </w:t>
      </w:r>
      <w:r>
        <w:rPr>
          <w:rFonts w:ascii="Barlow Semi Condensed" w:cs="Barlow Semi Condensed" w:eastAsia="Barlow Semi Condensed" w:hAnsi="Barlow Semi Condensed"/>
          <w:i/>
          <w:iCs/>
          <w:sz w:val="24"/>
          <w:szCs w:val="24"/>
        </w:rPr>
        <w:t xml:space="preserve">L'alleato naturale</w:t>
      </w:r>
      <w:r>
        <w:rPr>
          <w:rFonts w:ascii="Barlow Semi Condensed" w:cs="Barlow Semi Condensed" w:eastAsia="Barlow Semi Condensed" w:hAnsi="Barlow Semi Condensed"/>
          <w:sz w:val="24"/>
          <w:szCs w:val="24"/>
        </w:rPr>
        <w:t xml:space="preserve">, Le Monnier, 2017); il testo integrale andrebbe consultato per il periodo 1963-1972 di specifico interesse. Settima: la consistenza numerica storica dell'insediamento tedesco per gli anni 1952-1985 e la cronologia interna dettagliata non sono documentate dalle fonti aperte; la sede primaria è costituita dall'Archivio Generale della Prelatura a Roma e dal Centro Studi Josemaría Escrivá dell'Università di Navarra, entrambi ad accesso ristretto.</w:t>
      </w:r>
    </w:p>
    <w:p>
      <w:pPr>
        <w:spacing w:after="120" w:line="276"/>
        <w:jc w:val="both"/>
      </w:pPr>
      <w:r>
        <w:rPr>
          <w:rFonts w:ascii="Barlow Semi Condensed" w:cs="Barlow Semi Condensed" w:eastAsia="Barlow Semi Condensed" w:hAnsi="Barlow Semi Condensed"/>
          <w:sz w:val="24"/>
          <w:szCs w:val="24"/>
        </w:rPr>
        <w:t xml:space="preserve">La tavola discorsiva delle acquisizioni documentali necessarie e non conseguite, ordinate per rendimento atteso, si chiude come segue. A rendimento più alto si collocano congiuntamente la serie Germania dell'Archivio Storico Diplomatico del MAECI e i volumi degli AAPD: la loro consultazione chiuderebbe insieme la posizione italiana sui cinque atti della Ostpolitik e la conferma nominativa e datata degli incontri Moro-Brandt e Moro-Scheel; la condizione di chiusura è l'accesso in sala studio e il superamento dell'esclusione temporanea dei Telegrammi 1942-1970. A rendimento medio-alto si collocano gli archivi della Prelatura e il Centro Studi di Navarra, per i dati numerici storici e la cronologia interna dell'insediamento tedesco; condizione di chiusura è l'autorizzazione all'accesso ristretto. A rendimento medio si colloca l'Archiv für Christlich-Demokratische Politik, per l'atteggiamento dei partiti dell'Unione verso l'ente; condizione di chiusura è la consultazione dei fondi di partito. A rendimento incerto ma da verificare si colloca il CIA FOIA readingroom, con previsione di esito negativo; condizione di chiusura è l'interrogazione sistematica. Il Bundesarchiv di Coblenza e il Politisches Archiv des Auswärtigen Amts di Berlino completano il quadro documentale per il versante tedesco, sia diplomatico sia interno. Resta fermo, e non condizionato dalle acquisizioni mancanti, il risultato principale di questa ricerca: per la Germania la prima condizione della proposizione del committente — la maggioranza cattolica della popolazione — è falsificata con certezza documentale, poiché la Repubblica Federale era a maggioranza relativa protestante e l'Opus Dei vi si insediò comunque stabilmente nel 1952; mentre la seconda condizione — la disponibilità di un ceto universitario e professionale cattolico autoctono, qui presente nella forma robusta di un milieu socialmente organizzato — è pienamente confermata. Con l'avvertenza, che la correttezza logica impone di ribadire in chiusura, che il caso tedesco falsifica la sola prima condizione e non costituisce la confutazione integrale della proposizione congiunta, la quale resta affidata all'esame dei casi extraeuropei non ancora studiati.</w:t>
      </w:r>
    </w:p>
    <w:p>
      <w:pPr>
        <w:pStyle w:val="Heading3"/>
        <w:spacing w:after="80" w:before="240"/>
      </w:pPr>
      <w:r>
        <w:rPr>
          <w:rFonts w:ascii="Barlow Semi Condensed" w:cs="Barlow Semi Condensed" w:eastAsia="Barlow Semi Condensed" w:hAnsi="Barlow Semi Condensed"/>
          <w:sz w:val="24"/>
          <w:szCs w:val="24"/>
        </w:rPr>
        <w:t xml:space="preserve">Apparato grafico — Libro dodicesimo · Germania e Opus Dei 1952-1985</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8"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Libro dodicesimo III: 5.715 parole in 9 sezioni; la più ampia è §9 Altre sezioni, con 2.224.</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9"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Libro dodicesimo III: 71 indirizzi di fonte citati, addensati in 8 sezioni su 9.</w:t>
      </w:r>
    </w:p>
    <w:p>
      <w:pPr>
        <w:spacing w:after="120"/>
        <w:jc w:val="center"/>
      </w:pPr>
      <w:r>
        <w:rPr>
          <w:rFonts w:ascii="Barlow Semi Condensed" w:cs="Barlow Semi Condensed" w:eastAsia="Barlow Semi Condensed" w:hAnsi="Barlow Semi Condensed"/>
          <w:color w:val="777777"/>
          <w:sz w:val="16"/>
          <w:szCs w:val="16"/>
        </w:rPr>
        <w:t xml:space="preserve">Le metriche dell'apparato contano parole, documenti e atti — mai colpe.</w:t>
      </w:r>
    </w:p>
    <w:p>
      <w:r>
        <w:br w:type="page"/>
      </w:r>
    </w:p>
    <w:p>
      <w:pPr>
        <w:pStyle w:val="Heading1"/>
        <w:spacing w:after="120" w:before="240"/>
      </w:pPr>
      <w:r>
        <w:rPr>
          <w:rFonts w:ascii="Barlow Semi Condensed" w:cs="Barlow Semi Condensed" w:eastAsia="Barlow Semi Condensed" w:hAnsi="Barlow Semi Condensed"/>
          <w:sz w:val="24"/>
          <w:szCs w:val="24"/>
        </w:rPr>
        <w:t xml:space="preserve">Libro dodicesimo — La dimensione diplomatica — IV. La Santa Sede e le due Germanie: la sequenza Oder-Neisse</w:t>
      </w:r>
    </w:p>
    <w:p>
      <w:pPr>
        <w:pStyle w:val="Heading1"/>
        <w:spacing w:after="120" w:before="240"/>
      </w:pPr>
      <w:r>
        <w:rPr>
          <w:rFonts w:ascii="Barlow Semi Condensed" w:cs="Barlow Semi Condensed" w:eastAsia="Barlow Semi Condensed" w:hAnsi="Barlow Semi Condensed"/>
          <w:sz w:val="24"/>
          <w:szCs w:val="24"/>
        </w:rPr>
        <w:t xml:space="preserve">Aldo Moro ministro degli Esteri, la Santa Sede e le due Germanie: ricognizione storiografica e archivistica, con l'accertamento della sequenza Oder-Neisse</w:t>
      </w:r>
    </w:p>
    <w:p>
      <w:pPr>
        <w:pStyle w:val="Heading2"/>
        <w:spacing w:after="100" w:before="200"/>
      </w:pPr>
      <w:r>
        <w:rPr>
          <w:rFonts w:ascii="Barlow Semi Condensed" w:cs="Barlow Semi Condensed" w:eastAsia="Barlow Semi Condensed" w:hAnsi="Barlow Semi Condensed"/>
          <w:sz w:val="24"/>
          <w:szCs w:val="24"/>
        </w:rPr>
        <w:t xml:space="preserve">Capitolo I — Premessa metodologica e accertamento della sequenza prioritaria</w:t>
      </w:r>
    </w:p>
    <w:p>
      <w:pPr>
        <w:spacing w:after="120" w:line="276"/>
        <w:jc w:val="both"/>
      </w:pPr>
      <w:r>
        <w:rPr>
          <w:rFonts w:ascii="Barlow Semi Condensed" w:cs="Barlow Semi Condensed" w:eastAsia="Barlow Semi Condensed" w:hAnsi="Barlow Semi Condensed"/>
          <w:sz w:val="24"/>
          <w:szCs w:val="24"/>
        </w:rPr>
        <w:t xml:space="preserve">Questa ricognizione muove dall'obiettivo prioritario fissato dal committente: stabilire se e in che misura la Santa Sede abbia atteso la ratifica del Trattato di Varsavia prima di ridisegnare le diocesi a oriente della linea Oder-Neisse. La conclusione, che il presente capitolo anticipa e che i capitoli seguenti documentano anello per anello, è la seguente: la successione temporale è accertata con precisione documentale, e per essa esiste inoltre — a differenza di quanto la prudenza metodologica avrebbe potuto far temere — una documentazione che ne attesta il nesso, non soltanto la prossimità. La sequenza è questa: il Trattato di Varsavia fra Repubblica Federale di Germania e Repubblica Popolare di Polonia fu firmato il 7 dicembre 1970; fu ratificato dal Bundestag il 17 maggio 1972; entrò in vigore con lo scambio degli strumenti di ratifica il 3 giugno 1972; e il 28 giugno 1972 Paolo VI emanò le costituzioni apostoliche con cui erigeva diocesi permanenti nei territori occidentali e settentrionali della Polonia. Fra l'entrata in vigore del trattato e l'atto pontificio corrono venticinque giorni.</w:t>
      </w:r>
    </w:p>
    <w:p>
      <w:pPr>
        <w:spacing w:after="120" w:line="276"/>
        <w:jc w:val="both"/>
      </w:pPr>
      <w:r>
        <w:rPr>
          <w:rFonts w:ascii="Barlow Semi Condensed" w:cs="Barlow Semi Condensed" w:eastAsia="Barlow Semi Condensed" w:hAnsi="Barlow Semi Condensed"/>
          <w:sz w:val="24"/>
          <w:szCs w:val="24"/>
        </w:rPr>
        <w:t xml:space="preserve">Il requisito metodologico più stringente imposto dal committente è di non trattare la contemporaneità come prova di un nesso. Qui il nesso è però attestato da fonte terza e qualificata. Lo storico Karl-Joseph Hummel, allora direttore della Forschungsstelle della Kommission für Zeitgeschichte di Bonn, nel saggio pubblicato nella rivista OST-WEST Europäische Perspektiven (fascicolo 4 del 2005) documenta due elementi decisivi: primo, che la Santa Sede aveva mantenuto per anni la consuetudine dichiarata di non mutare lo status delle diocesi prima di un trattato di pace, principio che il cardinale Julius Döpfner, presidente della Conferenza episcopale tedesca, aveva riferito al governo di Bonn dopo consultazione a Roma («man halte in Rom entschieden an der bekannten Gepflogenheit fest, vor einem Friedensvertrag nichts an dem Status von Bistümern zu ändern»); secondo, che la comunicazione vaticana del 28 giugno 1972 sulla riorganizzazione dei territori a oriente dell'Oder e della Neisse «si riferì espressamente al trattato tedesco-polacco» («hat sich ausdrücklich auf den deutsch-polnischen Vertrag bezogen») e che Roma reagì «entro tre settimane» («binnen drei Wochen») dalla ratifica. Occorre tuttavia distinguere con rigore ciò che il documento pontificio attesta da ciò che se ne inferisce: il testo delle due costituzioni apostoliche adduce come motivazione una ragione pastorale («ad aptius propiusque christianum populum regendum») e l'accoglimento della richiesta dell'episcopato polacco, Vatican (https://www.vatican.va/content/paul-vi/la/apost_constitutions/documents/hf_p-vi_apc_19720628_vratislaviensis.html) e non contiene una frase che dichiari «abbiamo atteso il trattato»; è la comunicazione di accompagnamento del 28 giugno, secondo Hummel, e non la bolla in sé, a rendere esplicito il legame con il trattato. La sequenza dunque è confermata come accertamento; il nesso causale è documentato da fonte storiografica peer-reviewed e dalla comunicazione ufficiale vaticana, mentre il testo canonico si tiene sul piano pastorale, con una cautela che i capitoli V e VI illustrano come deliberata.</w:t>
      </w:r>
    </w:p>
    <w:p>
      <w:pPr>
        <w:pStyle w:val="Heading2"/>
        <w:spacing w:after="100" w:before="200"/>
      </w:pPr>
      <w:r>
        <w:rPr>
          <w:rFonts w:ascii="Barlow Semi Condensed" w:cs="Barlow Semi Condensed" w:eastAsia="Barlow Semi Condensed" w:hAnsi="Barlow Semi Condensed"/>
          <w:sz w:val="24"/>
          <w:szCs w:val="24"/>
        </w:rPr>
        <w:t xml:space="preserve">Capitolo II — Il retroterra ecclesiastico dal 1933 al 1965: la provvisorietà, Pio XII e Giovanni XXIII</w:t>
      </w:r>
    </w:p>
    <w:p>
      <w:pPr>
        <w:spacing w:after="120" w:line="276"/>
        <w:jc w:val="both"/>
      </w:pPr>
      <w:r>
        <w:rPr>
          <w:rFonts w:ascii="Barlow Semi Condensed" w:cs="Barlow Semi Condensed" w:eastAsia="Barlow Semi Condensed" w:hAnsi="Barlow Semi Condensed"/>
          <w:sz w:val="24"/>
          <w:szCs w:val="24"/>
        </w:rPr>
        <w:t xml:space="preserve">La questione dei territori orientali tedeschi passati alla Polonia dopo il 1945 ha una radice geografico-ecclesiastica precisa. Le diocesi di Breslavia (Wrocław), dell'Ermland (Warmia), di Danzica (Gdańsk), di Schneidemühl (Piła, una prelatura) e la prelatura di Kamień-Lubusz-Piła rimasero nominalmente tedesche nella geografia ecclesiastica anche dopo che i territori in cui insistevano furono posti sotto amministrazione polacca in seguito alla Conferenza di Potsdam. La ragione di questa discrasia fu il principio, tenuto fermo dalla Santa Sede sotto Pio XII e ribadito sotto Giovanni XXIII, secondo cui l'assetto territoriale uscito dalla guerra era provvisorio in attesa di un trattato di pace che regolasse definitivamente i confini; e finché quel trattato mancava, la Santa Sede non poteva mutare in via permanente la titolarità delle sedi.</w:t>
      </w:r>
    </w:p>
    <w:p>
      <w:pPr>
        <w:spacing w:after="120" w:line="276"/>
        <w:jc w:val="both"/>
      </w:pPr>
      <w:r>
        <w:rPr>
          <w:rFonts w:ascii="Barlow Semi Condensed" w:cs="Barlow Semi Condensed" w:eastAsia="Barlow Semi Condensed" w:hAnsi="Barlow Semi Condensed"/>
          <w:sz w:val="24"/>
          <w:szCs w:val="24"/>
        </w:rPr>
        <w:t xml:space="preserve">La documentazione storiografica sul punto è solida. Lo studioso Michał Białkowski, in un saggio pubblicato nella rivista Zapiski Historyczne (vol. LXXXII, 2017, fascicolo 3), ricostruisce che il 15 agosto 1945 il cardinale August Hlond, primate di Polonia, usando facoltà straordinarie ricevute da Pio XII, istituì cinque amministrazioni apostoliche — non diocesi — nei territori: Danzica-Chełmno (con Andrzej Wronka), Warmia-Olsztyn (Teodor Bensch), Opole (Bolesław Kominek), Breslavia (Karol Milik) e Gorzów (Edmund Nowicki). zapiskihistoryczne (https://www.zapiskihistoryczne.pl/files/issues/3eec121a6dde7c3b4e34b1c06bd7524a_ZH_2017_3_07_ENG_Bialkowski_N.pdf) La scelta della forma dell'amministrazione apostolica, provvisoria per natura canonica, fu deliberata proprio perché il confine non era ancora definito. Białkowski documenta inoltre che il termine tecnico impiegato per descrivere quell'assetto fu «provvisorietà» (tymczasowość) e che perfino il comunicato governativo comunista del 27 gennaio 1951 parlò di «liquidazione dello stato di provvisorietà» nell'amministrazione ecclesiastica dei territori occidentali. zapiskihistoryczne (https://www.zapiskihistoryczne.pl/files/issues/3eec121a6dde7c3b4e34b1c06bd7524a_ZH_2017_3_07_ENG_Bialkowski_N.pdf) La provvisorietà attraversò il pontificato di Giovanni XXIII e i lavori del Concilio Vaticano II (1962-1965) senza mutamenti di sostanza, zapiskihistoryczne (https://www.zapiskihistoryczne.pl/files/issues/3eec121a6dde7c3b4e34b1c06bd7524a_ZH_2017_3_07_ENG_Bialkowski_N.pdf) restando in piedi fino al 1972.</w:t>
      </w:r>
    </w:p>
    <w:p>
      <w:pPr>
        <w:spacing w:after="120" w:line="276"/>
        <w:jc w:val="both"/>
      </w:pPr>
      <w:r>
        <w:rPr>
          <w:rFonts w:ascii="Barlow Semi Condensed" w:cs="Barlow Semi Condensed" w:eastAsia="Barlow Semi Condensed" w:hAnsi="Barlow Semi Condensed"/>
          <w:sz w:val="24"/>
          <w:szCs w:val="24"/>
        </w:rPr>
        <w:t xml:space="preserve">Sul retroterra ulteriore risalente al 1933 — la nunziatura di Pacelli a Berlino, la germanofilia attribuita a Pio XII da parte della storiografia (così Czesław Madajczyk, citato nel saggio di Zofia Waszkiewicz sulla politica del Vaticano verso la Polonia), il rapporto fra Santa Sede e questione polacca durante la guerra — la documentazione è ampia ma esula in parte dall'obiettivo prioritario; se ne dà conto qui in forma sintetica perché il committente ne chiede il retroterra dal 1933, mentre il nucleo documentale è trattato al capitolo X a proposito del Reichskonkordat. Va segnalato per onestà metodologica che gli atti di governo della Santa Sede relativi ai pontificati posteriori all'ottobre 1958 non sono consultabili in Archivio Apostolico Vaticano, sicché la ricostruzione della posizione di Giovanni XXIII e di Paolo VI si fonda necessariamente su fonti edite, storiografia e fonti ufficiali dell'istituzione, non su carte d'archivio primarie desecretate.</w:t>
      </w:r>
    </w:p>
    <w:p>
      <w:pPr>
        <w:pStyle w:val="Heading2"/>
        <w:spacing w:after="100" w:before="200"/>
      </w:pPr>
      <w:r>
        <w:rPr>
          <w:rFonts w:ascii="Barlow Semi Condensed" w:cs="Barlow Semi Condensed" w:eastAsia="Barlow Semi Condensed" w:hAnsi="Barlow Semi Condensed"/>
          <w:sz w:val="24"/>
          <w:szCs w:val="24"/>
        </w:rPr>
        <w:t xml:space="preserve">Capitolo III — Lo scambio di lettere fra i vescovi polacchi e tedeschi del novembre 1965</w:t>
      </w:r>
    </w:p>
    <w:p>
      <w:pPr>
        <w:spacing w:after="120" w:line="276"/>
        <w:jc w:val="both"/>
      </w:pPr>
      <w:r>
        <w:rPr>
          <w:rFonts w:ascii="Barlow Semi Condensed" w:cs="Barlow Semi Condensed" w:eastAsia="Barlow Semi Condensed" w:hAnsi="Barlow Semi Condensed"/>
          <w:sz w:val="24"/>
          <w:szCs w:val="24"/>
        </w:rPr>
        <w:t xml:space="preserve">Anello essenziale della sequenza è lo scambio epistolare fra gli episcopati polacco e tedesco nel novembre-dicembre 1965, ai margini dell'ultima sessione del Concilio Vaticano II. Il 18 novembre 1965 i vescovi polacchi inviarono ai confratelli tedeschi un messaggio che conteneva la frase divenuta emblematica: «Vi tendiamo le nostre mani accordando perdono e chiedendo perdono» uni-oldenburg (https://ome-lexikon.uni-oldenburg.de/begriffe/briefwechsel-der-polnischen-und-deutschen-bischoefe) («Przebaczamy i prosimy o przebaczenie»). Il documento, di dodici pagine, ripercorreva la storia millenaria del cristianesimo polacco e le difficili relazioni con il popolo tedesco, con esplicito riferimento all'incertezza determinata dalla provvisorietà dei confini post-bellici sull'Oder-Neisse. SettimanaNews (https://www.settimananews.it/vescovi/guerra-fragile-memoria/) Le fonti ecclesiastiche italiane e polacche (l'agenzia SIR, Vatican News, l'agenzia ZENIT, l'Istituto della Memoria Nazionale polacca) concordano nell'attribuire la paternità del testo all'arcivescovo di Breslavia Bolesław Kominek, con il concorso di Wincenty Urban, del gruppo dell'Istituto storico polacco di Roma e di gesuiti della Radio Vaticana; il messaggio fu approvato il 18 novembre 1965 dal primate SettimanaNews (https://www.settimananews.it/chiesa/polonia-il-primate-del-millennio/) Stefan Wyszyński, da Karol Wojtyła e dagli altri vescovi polacchi presenti al Concilio.</w:t>
      </w:r>
    </w:p>
    <w:p>
      <w:pPr>
        <w:spacing w:after="120" w:line="276"/>
        <w:jc w:val="both"/>
      </w:pPr>
      <w:r>
        <w:rPr>
          <w:rFonts w:ascii="Barlow Semi Condensed" w:cs="Barlow Semi Condensed" w:eastAsia="Barlow Semi Condensed" w:hAnsi="Barlow Semi Condensed"/>
          <w:sz w:val="24"/>
          <w:szCs w:val="24"/>
        </w:rPr>
        <w:t xml:space="preserve">La risposta tedesca reca la data del 5 dicembre 1965 («Saluto dei vescovi tedeschi ai fratelli polacchi»): essa esprimeva gratitudine e chiedeva a sua volta perdono, ma non accettava le perdite territoriali della Germania a favore della Polonia come esito della seconda guerra mondiale. Zenit (https://it.zenit.org/2015/10/26/un-messaggio-che-fu-un-atto-di-coraggio-dell-episcopato-polacco/) Questo è il punto documentale che il committente chiede di verificare quanto a perdono e confini: sul perdono vi fu reciprocità, con la nota espressione tedesca dell'auspicio «che mai più lo spirito malvagio dell'odio separi le nostre mani»; sui confini la risposta tedesca rimase su una riserva. La delusione polacca è attestata da una fonte diretta di protagonista: in una lettera del 1970 al cardinale Döpfner, il primate Wyszyński scrisse che «la nostra mano, tesa con tanta cordialità, è stata accolta non senza riserve». Il messaggio polacco ebbe precedenti e seguiti nel mondo protestante e laico tedesco: il memorandum delle Chiese evangeliche tedesche del 1965 (la cosiddetta Ostdenkschrift dell'EKD) auspicava un accordo e il riconoscimento dei confini, SettimanaNews (https://www.settimananews.it/chiesa/polonia-il-primate-del-millennio/) e successivamente il Memorandum del Bensberger Kreis, pubblicato il 3 marzo 1968 e sottoscritto da un gruppo di circa 160-180 cattolici critici tedeschi (come attesta DOMRADIO.DE nel servizio di Anselm Verbeek del 3 marzo 2018: «Am 3. März 1968 [...] veröffentlichte der sogenannte Bensberger Kreis sein Memorandum deutscher Katholiken zu den polnisch-deutschen Fragen»), chiese il riconoscimento dei confini post-bellici. Questi documenti attestano che, sul versante ecclesiale, il terreno del riconoscimento fu preparato ben prima dell'atto politico del 1970 e dell'atto canonico del 1972, senza però che ciò implichi, e le fonti non lo attestano, un coordinamento fra episcopati e cancellerie.</w:t>
      </w:r>
    </w:p>
    <w:p>
      <w:pPr>
        <w:pStyle w:val="Heading2"/>
        <w:spacing w:after="100" w:before="200"/>
      </w:pPr>
      <w:r>
        <w:rPr>
          <w:rFonts w:ascii="Barlow Semi Condensed" w:cs="Barlow Semi Condensed" w:eastAsia="Barlow Semi Condensed" w:hAnsi="Barlow Semi Condensed"/>
          <w:sz w:val="24"/>
          <w:szCs w:val="24"/>
        </w:rPr>
        <w:t xml:space="preserve">Capitolo IV — Il Trattato di Varsavia e la Ostpolitik di Brandt, con la posizione italiana sugli atti</w:t>
      </w:r>
    </w:p>
    <w:p>
      <w:pPr>
        <w:spacing w:after="120" w:line="276"/>
        <w:jc w:val="both"/>
      </w:pPr>
      <w:r>
        <w:rPr>
          <w:rFonts w:ascii="Barlow Semi Condensed" w:cs="Barlow Semi Condensed" w:eastAsia="Barlow Semi Condensed" w:hAnsi="Barlow Semi Condensed"/>
          <w:sz w:val="24"/>
          <w:szCs w:val="24"/>
        </w:rPr>
        <w:t xml:space="preserve">La Ostpolitik fu inaugurata dal governo di coalizione fra socialdemocratici e liberali guidato da Willy Brandt, con Walter Scheel agli Esteri, insediatosi il 21 ottobre 1969, poche settimane dopo l'ingresso di Aldo Moro alla Farnesina. La documentazione ufficiale tedesca (Deutscher Bundestag, Konrad-Adenauer-Stiftung, Bundeszentrale für politische Bildung) consente di fissare con precisione gli atti. Il Trattato di Mosca fu firmato il 12 agosto 1970: la Repubblica Federale riconosceva l'inviolabilità dei confini esistenti, inclusa la linea Oder-Neisse, e rinunciava a rivendicazioni territoriali; Berchet (https://liceoberchet.edu.it/ricerche/geo5d_06/csi/ostpolitik.htm) su insistenza di Scheel, Mosca accettò di ricevere un «Brief zur deutschen Einheit» (lettera sull'unità tedesca) con cui Bonn notificava che il trattato non contraddiceva l'obiettivo della riunificazione in libera autodeterminazione. Il Trattato di Varsavia fu firmato il 7 dicembre 1970 e, secondo la documentazione del Bundestag, era quasi identico a quello di Mosca, salvo che vi figurava per primo il riconoscimento della linea Oder-Neisse; la Konrad-Adenauer-Stiftung documenta che verso Varsavia il governo federale rinunciò a un «Brief zur deutschen Einheit» di accompagnamento, cosicché la Polonia interpretò il trattato come riconoscimento definitivo della frontiera. Konrad-Adenauer-Stiftung (https://www.kas.de/en/web/geschichte-der-cdu/calendar-detail/-/content/der-bundestag-ratifiziert-den-moskauer-und-den-warschauer-vertrag-und-stimmt-der-gemeinsamen-entschl) Lo stesso 7 dicembre 1970 Brandt compì a Varsavia il gesto dell'inginocchiamento davanti al monumento agli eroi del ghetto (Kniefall). L'Accordo quadripartito su Berlino fu concluso il 3 settembre 1971; il Trattato fondamentale fra le due Germanie (Grundlagenvertrag) fu firmato il 21 dicembre 1972; Berchet (https://liceoberchet.edu.it/ricerche/geo5d_06/csi/ostpolitik.htm) l'ingresso simultaneo delle due Germanie alle Nazioni Unite avvenne il 18 settembre 1973. La ratifica dei trattati orientali dal Bundestag il 17 maggio 1972 fu preceduta dal fallito voto di sfiducia costruttiva di Rainer Barzel del 24 aprile 1972 e accompagnata da una Gemeinsame Entschließung (risoluzione comune) di governo e opposizione; lo scambio degli strumenti di ratifica il 3 giugno 1972 fece entrare in vigore i trattati di Mosca e Varsavia dpa Picture-Alliance (https://www.picture-alliance.com/en/webseries/2022-05-17-50-years-ago-eastern-treaties-with-the-soviet-union-and-poland-passed-in-the-bundestag-w287155) e l'Accordo quadripartito.</w:t>
      </w:r>
    </w:p>
    <w:p>
      <w:pPr>
        <w:spacing w:after="120" w:line="276"/>
        <w:jc w:val="both"/>
      </w:pPr>
      <w:r>
        <w:rPr>
          <w:rFonts w:ascii="Barlow Semi Condensed" w:cs="Barlow Semi Condensed" w:eastAsia="Barlow Semi Condensed" w:hAnsi="Barlow Semi Condensed"/>
          <w:sz w:val="24"/>
          <w:szCs w:val="24"/>
        </w:rPr>
        <w:t xml:space="preserve">Sulla posizione italiana rispetto a ciascuno di questi atti la documentazione reperibile è meno ricca di quella tedesca, e il capitolo ne dichiara i limiti. Lo studio scientifico più pertinente è il volume di Laura Fasanaro, La DDR e l'Italia. Politica, commercio e ideologia nell'Europa del cambiamento (1973-1985), edito da Carocci, il cui primo capitolo si intitola «Le declinazioni della distensione in Italia e la Ostpolitik di Aldo Moro» e affronta esplicitamente «L'Italia e la questione tedesca»; il volume, recensito dalla SISSCO e dall'istituto FBK, sceglie però il 1973 come termine iniziale, lasciando in ombra il quadriennio precedente. Per il periodo 1963-1972 esiste la tesi di dottorato di Filippo Triola discussa all'Università di Bologna sulle relazioni italo-tedesche, che il committente potrà impiegare come studio specifico sulla collocazione italiana rispetto alla questione tedesca. La ricostruzione puntuale della posizione italiana su ognuno dei cinque atti della Ostpolitik richiederebbe lo spoglio dell'Archivio Storico Diplomatico della Farnesina (serie Germania) e degli Akten zur Auswärtigen Politik der Bundesrepublik Deutschland; allo stato delle fonti edite consultate, tale posizione risulta di sostanziale allineamento atlantico e comunitario ma priva di iniziativa autonoma, coerentemente con il giudizio storiografico sul ruolo marginale dell'Italia nel medesimo periodo (capitolo IX).</w:t>
      </w:r>
    </w:p>
    <w:p>
      <w:pPr>
        <w:pStyle w:val="Heading2"/>
        <w:spacing w:after="100" w:before="200"/>
      </w:pPr>
      <w:r>
        <w:rPr>
          <w:rFonts w:ascii="Barlow Semi Condensed" w:cs="Barlow Semi Condensed" w:eastAsia="Barlow Semi Condensed" w:hAnsi="Barlow Semi Condensed"/>
          <w:sz w:val="24"/>
          <w:szCs w:val="24"/>
        </w:rPr>
        <w:t xml:space="preserve">Capitolo V — Le costituzioni apostoliche del 28 giugno 1972: testo, pubblicazione, contenuto e sequenza</w:t>
      </w:r>
    </w:p>
    <w:p>
      <w:pPr>
        <w:spacing w:after="120" w:line="276"/>
        <w:jc w:val="both"/>
      </w:pPr>
      <w:r>
        <w:rPr>
          <w:rFonts w:ascii="Barlow Semi Condensed" w:cs="Barlow Semi Condensed" w:eastAsia="Barlow Semi Condensed" w:hAnsi="Barlow Semi Condensed"/>
          <w:sz w:val="24"/>
          <w:szCs w:val="24"/>
        </w:rPr>
        <w:t xml:space="preserve">L'atto pontificio con cui Paolo VI eresse le nuove diocesi non fu una sola bolla, bensì una coppia di costituzioni apostoliche emanate lo stesso giorno: Episcoporum Poloniae coetus e Vratislaviensis-Berolinensis et aliarum. Wikipedia (https://pl.wikipedia.org/wiki/Episcoporum_Poloniae_coetus) Il testo latino, consultabile sul sito ufficiale della Santa Sede e pubblicato negli Acta Apostolicae Sedis vol. LXIV (1972), n. 10, alle pagine 657- En Academic (https://en-academic.com/dic.nsf/enwiki/3499690) 658, reca il titolo «Novae in Polonia dioeceses constituuntur, nomine Opoliensis, Gorzoviensis, Sedinensis-Caminensis, Coslinensis-Colubreganae». Vatican (https://www.vatican.va/content/paul-vi/la/apost_constitutions/documents/hf_p-vi_apc_19720628_vratislaviensis.html) L'incipit dichiara la ragione pastorale: l'assemblea dei vescovi di Polonia («Episcoporum Poloniae coetus») aveva chiesto alla Sede Apostolica che alcune circoscrizioni ecclesiastiche nella parte settentrionale e occidentale della nazione fossero disposte in modo più opportuno «per reggere più adattamente e da vicino il popolo cristiano», e il Papa dichiara di accedere volentieri ai desideri. Vatican (https://www.vatican.va/content/paul-vi/la/apost_constitutions/documents/hf_p-vi_apc_19720628_vratislaviensis.html) Il dispositivo erige quattro diocesi: Opole (Opoliensis), suffraganea della metropolia di Breslavia; Gorzów (Gorzoviensis), parimenti suffraganea di Breslavia; Vatican (https://www.vatican.va/content/paul-vi/la/apost_constitutions/documents/hf_p-vi_apc_19720628_vratislaviensis.html) Szczecin-Kamień (Sedinensis-Caminensis), suffraganea di Gniezno; Koszalin-Kołobrzeg (Coslinensis-Colubregana), suffraganea di Gniezno. Il testo dispone inoltre lo smembramento di territori dall'arcidiocesi di Breslavia, dalla diocesi di Berlino (Berolinensis) e dalla prelatura di Schneidemühl; diecezjakoszalin (https://www.diecezjakoszalin.pl/bulla-episcoporum-poloniae-coetus) trasferisce la cattedrale di Warmia dalla metropolia di Breslavia a quella di Varsavia, cui resta soggetta «perpetuo»; e rende la Chiesa di Danzica (Gedanensis), fino ad allora direttamente soggetta alla Sede Apostolica, suffraganea di Gniezno. Diecezja Koszalińsko-Kołobrzeska (https://www.diecezjakoszalin.pl/bulla-episcoporum-poloniae-coetus) Alla esecuzione dell'atto il Papa delega nominativamente il cardinale Stefan Wyszyński, arcivescovo di Gniezno e Varsavia. Diecezja Koszalińsko-Kołobrzeska (https://www.diecezjakoszalin.pl/bulla-episcoporum-poloniae-coetus) La costituzione è datata «Romae, apud S. Petrum, die duodetricesimo mensis Iunii, anno Domini millesimo nongentesimo septuagesimo secundo, Pontificatus Nostri decimo» ed è firmata dal cardinale Aloisius Traglia, cancelliere di Santa Romana Chiesa, dal cardinale Carlo Confalonieri, prefetto della Sacra Congregazione per i Vescovi, e da Franciscus Tinello, reggente della Cancelleria Apostolica. Diecezja Koszalińsko-Kołobrzeska (https://www.diecezjakoszalin.pl/bulla-episcoporum-poloniae-coetus)</w:t>
      </w:r>
    </w:p>
    <w:p>
      <w:pPr>
        <w:spacing w:after="120" w:line="276"/>
        <w:jc w:val="both"/>
      </w:pPr>
      <w:r>
        <w:rPr>
          <w:rFonts w:ascii="Barlow Semi Condensed" w:cs="Barlow Semi Condensed" w:eastAsia="Barlow Semi Condensed" w:hAnsi="Barlow Semi Condensed"/>
          <w:sz w:val="24"/>
          <w:szCs w:val="24"/>
        </w:rPr>
        <w:t xml:space="preserve">Sulla data va segnalata una divergenza fra le fonti, come il metodo impone. Il testo primario e la quasi totalità delle fonti ecclesiastiche polacche (l'Istituto della Memoria Nazionale, l'agenzia dzieje.pl, i siti diocesani di Koszalin, Szczecin-Kamień e Zielona Góra-Gorzów) indicano il 28 giugno 1972; alcune voci enciclopediche tedesche e inglesi relative alle diocesi di Berlino e Breslavia indicano il 27 giugno 1972; En Academic (https://en-academic.com/dic.nsf/enwiki/3499690) un sito diocesano polacco reca per errore «26 VI 1972». Diecezji Zielonogórsko-Gorzowskiej (https://diecezjazg.pl/45-lat-episcoporum-poloniae-coetus/) La data del 28 giugno, corrispondente alla clausola di datazione della costituzione stessa («die duodetricesimo mensis Iunii»), è da ritenersi autorevole. Quanto al rapporto cronologico esatto richiesto dal committente, esso è dunque il seguente e va dichiarato come accertamento: ratifica del Bundestag il 17 maggio 1972; entrata in vigore per scambio degli strumenti il 3 giugno 1972; atto pontificio il 28 giugno 1972. La distanza fra entrata in vigore e atto pontificio è di venticinque giorni; quella fra ratifica e atto pontificio di quarantadue giorni. Il nesso, come si è detto al capitolo I, è attestato dalla comunicazione vaticana di accompagnamento e dalla storiografia, non dalla sola prossimità delle date né dal testo canonico, che tace la ragione politica.</w:t>
      </w:r>
    </w:p>
    <w:p>
      <w:pPr>
        <w:pStyle w:val="Heading2"/>
        <w:spacing w:after="100" w:before="200"/>
      </w:pPr>
      <w:r>
        <w:rPr>
          <w:rFonts w:ascii="Barlow Semi Condensed" w:cs="Barlow Semi Condensed" w:eastAsia="Barlow Semi Condensed" w:hAnsi="Barlow Semi Condensed"/>
          <w:sz w:val="24"/>
          <w:szCs w:val="24"/>
        </w:rPr>
        <w:t xml:space="preserve">Capitolo VI — Casaroli, Wyszyński, Döpfner, la Ostpolitik vaticana e le reazioni all'atto</w:t>
      </w:r>
    </w:p>
    <w:p>
      <w:pPr>
        <w:spacing w:after="120" w:line="276"/>
        <w:jc w:val="both"/>
      </w:pPr>
      <w:r>
        <w:rPr>
          <w:rFonts w:ascii="Barlow Semi Condensed" w:cs="Barlow Semi Condensed" w:eastAsia="Barlow Semi Condensed" w:hAnsi="Barlow Semi Condensed"/>
          <w:sz w:val="24"/>
          <w:szCs w:val="24"/>
        </w:rPr>
        <w:t xml:space="preserve">La preparazione diplomatica dell'atto del 1972 fu opera della Ostpolitik vaticana, la cui figura centrale fu Agostino Casaroli, allora segretario del Consiglio per gli Affari pubblici della Chiesa. Le fonti (la voce enciclopedica su Casaroli, la recensione del volume curato da Alberto Melloni Il filo sottile. L'Ostpolitik vaticana di Agostino Casaroli, edito dal Mulino nel 2006, pubblicata su Project MUSE) documentano che Casaroli condusse i colloqui con le autorità della Repubblica Popolare di Polonia nell'aprile e nel novembre 1971, i quali portarono, oltre alla erezione delle diocesi, alla normalizzazione dei rapporti di lavoro fra Varsavia e la Santa Sede senza ripristino di relazioni diplomatiche piene, e al ritiro del riconoscimento vaticano di Kazimierz Papée quale ambasciatore del governo polacco in esilio a Londra. Wikipedia (https://pl.wikipedia.org/wiki/Episcoporum_Poloniae_coetus) La recensione su Project MUSE osserva che l'Ostpolitik di Casaroli fu «complementare» a quella praticata da Brandt fra il 1969 e il 1974, e che nei primi anni Settanta gli interessi convergenti riguardavano Bonn (che voleva discutere i confini con l'Est), il Vaticano (che voleva sistemare i confini polacco-tedeschi e i confini diocesani) e Berlino Est (che cercava riconoscimento come Stato separato). Occorre qui distinguere, come il committente chiede, la convergenza di obiettivo documentata dalla mera contemporaneità: le fonti attestano una convergenza di obiettivi fra Ostpolitik tedesca e Ostpolitik vaticana, non una direzione comune né una subordinazione dell'una all'altra. Va inoltre registrato che sul valore complessivo dell'Ostpolitik di Casaroli la storiografia diverge apertamente: il biografo di Giovanni Paolo II George Weigel ne dà un giudizio fortemente critico, definendola eccessivamente cauta, laddove ambienti vaticani e italiani la celebrano come chiave del crollo del comunismo europeo; questa divergenza va riportata con il suo statuto di controversia interpretativa, non di dato di fatto.</w:t>
      </w:r>
    </w:p>
    <w:p>
      <w:pPr>
        <w:spacing w:after="120" w:line="276"/>
        <w:jc w:val="both"/>
      </w:pPr>
      <w:r>
        <w:rPr>
          <w:rFonts w:ascii="Barlow Semi Condensed" w:cs="Barlow Semi Condensed" w:eastAsia="Barlow Semi Condensed" w:hAnsi="Barlow Semi Condensed"/>
          <w:sz w:val="24"/>
          <w:szCs w:val="24"/>
        </w:rPr>
        <w:t xml:space="preserve">Il ruolo del cardinale Wyszyński e dell'episcopato polacco fu duplice: sollecitatore dell'atto e suo esecutore delegato. La ricerca storiografica pubblicata dalla rivista Church History dell'Università di Cambridge, dalla prospettiva del primate Wyszyński, colloca nel 1972 «uno spostamento significativo» nel pensiero del primate riguardo ai negoziati polacco-vaticani, «in connessione con la ratifica del trattato PRL-RFT e la possibilità di regolare finalmente lo status» delle diocesi. Cambridge Core (https://www.cambridge.org/core/journals/church-history/article/diplomatic-relations-between-poland-and-the-holy-see-and-the-vaticans-ostpolitik-from-the-perspective-of-cardinal-stefan-wyszynski-primate-of-poland-19481981/FFE51F5CC9F89D956808883C94F59F37) Il ruolo del cardinale Döpfner e dell'episcopato tedesco fu invece di riserva critica: secondo Hummel, la Conferenza episcopale tedesca non fu consultata prima della decisione e stentò ad accettare la motivazione pastorale come ragione decisiva, owep (https://www.owep.de/artikel/472-getrennte-vergangenheit-gemeinsame-zukunft-polnische-und-deutsche-katholiken-1945-1978) tanto più che Döpfner aveva in passato rassicurato Bonn, dopo consultazione a Roma, che nulla sarebbe stato mutato prima di un trattato di pace. owep (https://www.owep.de/artikel/472-getrennte-vergangenheit-gemeinsame-zukunft-polnische-und-deutsche-katholiken-1945-1978) Contestualmente la Santa Sede nominò tre Visitatori apostolici per i cattolici tedeschi espulsi (dall'arcidiocesi di Breslavia, dalla diocesi di Warmia e dalla prelatura di Schneidemühl), DOMRADIO.DE (https://www.domradio.de/artikel/bischoefe-lassen-besondere-vertriebenenseelsorge-auslaufen) misura pastorale di compensazione verso il versante tedesco, attestata dal portale Domradio della Chiesa cattolica tedesca. Le reazioni delle parti furono divergenti secondo le rispettive narrazioni nazionali, che il metodo impone di riportare senza adottarle: le fonti ecclesiastiche polacche celebrarono l'atto come «fine dello stato di provvisorietà» e normalizzazione dei rapporti giuridici fra la Repubblica Popolare e il Vaticano; Ikamien (https://ikamien.pl/artykuly/14945/) la stampa delle organizzazioni tedesche degli espulsi reagì con allarme già prima dell'atto (l'organo della Landsmannschaft Ostpreußen, Das Ostpreußenblatt, nel numero del 24 giugno 1972 titolò «Hat Bonn dem Vatikan 'grünes Licht' gegeben?», ossia «Bonn ha dato al Vaticano il 'via libera'?»). La Santa Sede, dal canto suo, curò di presentare l'atto come rispondente a necessità pastorali e non come riconoscimento politico della frontiera, sfumatura che la storiografia anglofona (il saggio «The Vatican's Ostpolitik» nella Review of Politics di Cambridge) legge come deliberata volontà di offrire «qualcosa di meno del riconoscimento formale» della linea Oder-Neisse. Cambridge Core (https://www.cambridge.org/core/journals/review-of-politics/article/abs/vaticans-ostpolitik/AC442D87BDF81829CD57653F878EB16A)</w:t>
      </w:r>
    </w:p>
    <w:p>
      <w:pPr>
        <w:pStyle w:val="Heading2"/>
        <w:spacing w:after="100" w:before="200"/>
      </w:pPr>
      <w:r>
        <w:rPr>
          <w:rFonts w:ascii="Barlow Semi Condensed" w:cs="Barlow Semi Condensed" w:eastAsia="Barlow Semi Condensed" w:hAnsi="Barlow Semi Condensed"/>
          <w:sz w:val="24"/>
          <w:szCs w:val="24"/>
        </w:rPr>
        <w:t xml:space="preserve">Capitolo VII — La Santa Sede e la Repubblica Democratica Tedesca</w:t>
      </w:r>
    </w:p>
    <w:p>
      <w:pPr>
        <w:spacing w:after="120" w:line="276"/>
        <w:jc w:val="both"/>
      </w:pPr>
      <w:r>
        <w:rPr>
          <w:rFonts w:ascii="Barlow Semi Condensed" w:cs="Barlow Semi Condensed" w:eastAsia="Barlow Semi Condensed" w:hAnsi="Barlow Semi Condensed"/>
          <w:sz w:val="24"/>
          <w:szCs w:val="24"/>
        </w:rPr>
        <w:t xml:space="preserve">Sul versante orientale tedesco la Santa Sede operò in parallelo, ma con soluzione diversa e più cauta. Le fonti (il portale Katholisch.de della Chiesa tedesca, l'edizione italiana di Wikipedia per le singole diocesi, e soprattutto i materiali dell'Archivio degli atti della Stasi, ddr-im-blick.de) attestano che il 23 luglio 1973 Paolo VI nominò amministratori apostolici «permanenter constituti» per i territori giurisdizionali che, situati nella Repubblica Democratica Tedesca, appartenevano ancora de iure a diocesi occidentali: Erfurt-Meiningen (già di Fulda e Würzburg), Magdeburgo (già di Paderborn) e Schwerin (già di Osnabrück). Questi furono costituiti come Bischöfliche Ämter (uffici vescovili) posti direttamente sotto la Santa Sede, con sospensione — non soppressione — della giurisdizione dei vescovi occidentali. Görlitz, residuo tedesco dell'antica arcidiocesi di Breslavia, era già stato elevato ad amministrazione apostolica nel 1972. Wikipedia (https://en.wikipedia.org/wiki/Archdiocese_of_Wroc%C5%82aw) La differenza rispetto alla soluzione polacca è documentalmente rilevante: nella Repubblica Democratica Tedesca la Santa Sede non eresse diocesi permanenti nel 1972-1973, ma si fermò alla figura dell'amministratore apostolico e dell'ufficio vescovile, proprio perché la questione dell'unità tedesca restava aperta e Bonn continuava a rivendicare i diritti connessi.</w:t>
      </w:r>
    </w:p>
    <w:p>
      <w:pPr>
        <w:spacing w:after="120" w:line="276"/>
        <w:jc w:val="both"/>
      </w:pPr>
      <w:r>
        <w:rPr>
          <w:rFonts w:ascii="Barlow Semi Condensed" w:cs="Barlow Semi Condensed" w:eastAsia="Barlow Semi Condensed" w:hAnsi="Barlow Semi Condensed"/>
          <w:sz w:val="24"/>
          <w:szCs w:val="24"/>
        </w:rPr>
        <w:t xml:space="preserve">Il ruolo di Casaroli è attestato: nel 1973, a Roma, egli incontrò Werner Lamberz, membro del Politbüro della SED, e nel giugno 1975 (il 9 giugno) si recò nella Repubblica Democratica Tedesca, dove fu ricevuto dal presidente del Consiglio dei ministri Horst Sindermann, dal ministro degli Esteri Oskar Fischer e dal segretario di Stato per le questioni ecclesiastiche Hans Seigewasser. I cardinali Alfred Bengsch e Döpfner guardarono con diffidenza all'atteggiamento accomodante del Vaticano, temendo per l'unità della Chiesa cattolica in Germania. Non vi furono relazioni diplomatiche fra la Santa Sede e il governo di Berlino Est. Nel 1976 la Berliner Ordinarienkonferenz fu trasformata in Berliner Bischofskonferenz, forum di comunicazione fra gli amministratori apostolici e i vescovi di Berlino e Dresda-Meissen. Un ulteriore progetto, auspicato dalla diplomazia della Repubblica Democratica e studiato da Casaroli, di elevare gli uffici vescovili al rango di amministrazioni apostoliche autonome, non fu attuato a causa della morte di Paolo VI, avvenuta il 6 agosto 1978, e del nuovo corso inaugurato da Giovanni Paolo II. La circoscrizione definitiva in diocesi avvenne solo dopo la riunificazione, con le bolle di Giovanni Paolo II del 27 giugno 1994 (Quo aptius per Erfurt, Cum gaudio et spe per Magdeburgo).</w:t>
      </w:r>
    </w:p>
    <w:p>
      <w:pPr>
        <w:pStyle w:val="Heading2"/>
        <w:spacing w:after="100" w:before="200"/>
      </w:pPr>
      <w:r>
        <w:rPr>
          <w:rFonts w:ascii="Barlow Semi Condensed" w:cs="Barlow Semi Condensed" w:eastAsia="Barlow Semi Condensed" w:hAnsi="Barlow Semi Condensed"/>
          <w:sz w:val="24"/>
          <w:szCs w:val="24"/>
        </w:rPr>
        <w:t xml:space="preserve">Capitolo VIII — Moro, la questione tedesca e il riconoscimento della Repubblica Democratica Tedesca</w:t>
      </w:r>
    </w:p>
    <w:p>
      <w:pPr>
        <w:spacing w:after="120" w:line="276"/>
        <w:jc w:val="both"/>
      </w:pPr>
      <w:r>
        <w:rPr>
          <w:rFonts w:ascii="Barlow Semi Condensed" w:cs="Barlow Semi Condensed" w:eastAsia="Barlow Semi Condensed" w:hAnsi="Barlow Semi Condensed"/>
          <w:sz w:val="24"/>
          <w:szCs w:val="24"/>
        </w:rPr>
        <w:t xml:space="preserve">Aldo Moro fu ministro degli Affari Esteri in due periodi (secondo la datazione del committente, 5 agosto 1969 – 26 giugno 1972 e 7 luglio 1973 – 23 novembre 1974). Le fonti registrano una lieve divergenza sulle date terminali: il sito ufficiale del Ministero degli Affari Esteri parla genericamente del periodo 1969-1974 attraverso i governi Rumor, Colombo, Andreotti; la voce inglese di Wikipedia indica maggio 1969 – luglio 1972; Wikipedia (https://en.wikipedia.org/wiki/Aldo_Moro) la ricerca condotta per questa ricognizione ha rilevato indicazioni secondo cui Moro lasciò la Farnesina il 29 luglio 1972. La divergenza va segnalata e non risolta silenziosamente; ai fini della sequenza prioritaria essa è comunque ininfluente, poiché l'atto pontificio del 28 giugno 1972 cadde nell'ultimo scorcio del primo mandato di Moro o immediatamente a ridosso della sua conclusione, e il governo in carica in quel giorno era il primo governo Andreotti.</w:t>
      </w:r>
    </w:p>
    <w:p>
      <w:pPr>
        <w:spacing w:after="120" w:line="276"/>
        <w:jc w:val="both"/>
      </w:pPr>
      <w:r>
        <w:rPr>
          <w:rFonts w:ascii="Barlow Semi Condensed" w:cs="Barlow Semi Condensed" w:eastAsia="Barlow Semi Condensed" w:hAnsi="Barlow Semi Condensed"/>
          <w:sz w:val="24"/>
          <w:szCs w:val="24"/>
        </w:rPr>
        <w:t xml:space="preserve">Il punto di maggiore rilievo per l'obiettivo secondo è il riconoscimento italiano della Repubblica Democratica Tedesca. Le fonti storiografiche (Laura Fasanaro; le recensioni SISSCO e FBK; la voce di Wikipedia sulla storia della Repubblica Democratica Tedesca) collocano il riconoscimento diplomatico italiano nel 1973, nel quadro della distensione e dopo la firma del Grundlagenvertrag. La data esatta risulta il 17 gennaio 1973: il Portale storico della Camera dei deputati, per la seduta di mercoledì 17 gennaio 1973 della VI Legislatura, registra che «L'Italia riconosce la Repubblica Democratica di Germania e i due Paesi stabiliscono relazioni diplomatiche». Il riconoscimento cadde dunque fra i due mandati di Moro alla Farnesina — quando il ministro degli Esteri era Giuseppe Medici nel governo Andreotti — e non durante un mandato di Moro; ciò va dichiarato con precisione, correggendo l'ipotesi che il riconoscimento fosse avvenuto sotto la sua titolarità. La stessa Fasanaro intitola un paragrafo «Dopo il riconoscimento, Moro incontra Honecker», il che attesta un incontro fra Moro e il capo di Stato della Repubblica Democratica successivo al riconoscimento e ricadente nel secondo mandato di Moro o nella sua successiva presidenza del Consiglio. Sul piano bilaterale tedesco-tedesco, le rappresentanze permanenti fra Repubblica Federale e Repubblica Democratica furono aperte il 2 maggio 1974 (Günter Gaus per Bonn, Michael Kohl per Berlino Est), dunque in data successiva al riconoscimento italiano. Sulla dottrina Hallstein e sul suo superamento, le fonti attestano che essa fu il quadro entro cui la Repubblica Federale si oppose per anni al riconoscimento della Repubblica Democratica da parte di Stati terzi, e che il suo superamento con la Ostpolitik aprì agli Stati occidentali, Italia inclusa, la via del riconoscimento; la posizione italiana specifica sulla dottrina Hallstein non è documentata nelle fonti edite qui reperite e resta da ricercare negli archivi diplomatici. Gli incontri documentati fra Moro e Walter Scheel e fra Moro e Willy Brandt non sono emersi con dettaglio di data e sede dalle fonti edite consultate e andrebbero ricostruiti tramite gli Akten zur Auswärtigen Politik der Bundesrepublik Deutschland e i Documenti Diplomatici Italiani. Quanto al rapporto fra Ostpolitik tedesca e posizione italiana nella preparazione della Conferenza per la sicurezza e la cooperazione in Europa, esso è trattato al capitolo XI.</w:t>
      </w:r>
    </w:p>
    <w:p>
      <w:pPr>
        <w:pStyle w:val="Heading2"/>
        <w:spacing w:after="100" w:before="200"/>
      </w:pPr>
      <w:r>
        <w:rPr>
          <w:rFonts w:ascii="Barlow Semi Condensed" w:cs="Barlow Semi Condensed" w:eastAsia="Barlow Semi Condensed" w:hAnsi="Barlow Semi Condensed"/>
          <w:sz w:val="24"/>
          <w:szCs w:val="24"/>
        </w:rPr>
        <w:t xml:space="preserve">Capitolo IX — Il Vertice dell'Aja del dicembre 1969, il ruolo tedesco, il Piano Werner e il serpente monetario</w:t>
      </w:r>
    </w:p>
    <w:p>
      <w:pPr>
        <w:spacing w:after="120" w:line="276"/>
        <w:jc w:val="both"/>
      </w:pPr>
      <w:r>
        <w:rPr>
          <w:rFonts w:ascii="Barlow Semi Condensed" w:cs="Barlow Semi Condensed" w:eastAsia="Barlow Semi Condensed" w:hAnsi="Barlow Semi Condensed"/>
          <w:sz w:val="24"/>
          <w:szCs w:val="24"/>
        </w:rPr>
        <w:t xml:space="preserve">Il Vertice dell'Aja si tenne il 1º e 2 dicembre 1969 nella Ridderzaal del Binnenhof. Il giudizio storiografico che il committente riprende è quello di Guido Levi, nel saggio «L'integrazione della Spagna nella Comunità europea: il ruolo dell'Italia», pubblicato in Spagna contemporanea (anno XXV, n. 49, 2016, pp. 69-102): al Vertice l'Italia «finì per giocare un ruolo piuttosto marginale anche per le incertezze del nuovo ministro degli Esteri Aldo Moro, che aveva sostituito da pochi mesi Pietro Nenni alla guida della Farnesina». Il cosiddetto «giallo» sulla data è documentato dalla fonte accademica italiana Officina della Storia, che ricostruisce come il vertice, dapprima fissato per il 17 e 18 novembre, fosse stato spostato al 1º e 2 dicembre a causa di una «presunta 'malattia'» del ministro degli Esteri italiano, spostamento che «scatenò non poche illazioni e commenti sulla stampa europea» circa le vere ragioni, legate alle difficoltà di Moro; la stessa fonte attesta che Moro ingaggiò un «braccio di ferro» con il governo francese, arrivando «addirittura a minacciare di non partecipare al vertice» se Pompidou non avesse inserito nel comunicato finale una data d'inizio dei negoziati con la Gran Bretagna. La posizione italiana era dunque a sostegno dell'ingresso britannico e tesa a bilanciare l'asse franco-tedesco; il ruolo di Brandt e della delegazione tedesca fu di primo piano nel rilancio (il Vertice varò l'obiettivo dell'unione economica e monetaria e dell'allargamento). La medesima fonte segnala che all'Aja prevalse la pratica intergovernativa, con la Commissione europea relegata a una sessione tecnica per volontà francese.</w:t>
      </w:r>
    </w:p>
    <w:p>
      <w:pPr>
        <w:spacing w:after="120" w:line="276"/>
        <w:jc w:val="both"/>
      </w:pPr>
      <w:r>
        <w:rPr>
          <w:rFonts w:ascii="Barlow Semi Condensed" w:cs="Barlow Semi Condensed" w:eastAsia="Barlow Semi Condensed" w:hAnsi="Barlow Semi Condensed"/>
          <w:sz w:val="24"/>
          <w:szCs w:val="24"/>
        </w:rPr>
        <w:t xml:space="preserve">Dal mandato dell'Aja discese il Piano Werner, elaborato dal comitato presieduto dal primo ministro lussemburghese Pierre Werner, presentato al Consiglio nel giugno 1970 e recepito dal Consiglio con risoluzione del 22 marzo 1971, che avviava la prima tappa dell'unione economica e monetaria da realizzarsi in dieci anni. Sul serpente monetario le fonti presentano una lieve divergenza terminologica che va riportata: la Wikipedia italiana colloca i primi provvedimenti al 21 marzo 1972, perfezionati nell'accordo di Basilea del 10 aprile 1972 ed entrati in vigore il 24 aprile 1972, con margini di fluttuazione del 2,25 per cento; BankPedia colloca l'accordo di Basilea al 24 aprile 1972; una lezione universitaria della Sapienza colloca la nascita del serpente nel marzo 1972. L'uscita della lira dal serpente è datata concordemente al 13 febbraio 1973 (BankPedia; Wikipedia italiana), in coincidenza con la seconda svalutazione del dollaro; la lira restò fuori dal sistema fino alla vigilia dell'entrata in funzione del Sistema monetario europeo nel 1979. La materia monetaria è di ambito comunitario e non tocca direttamente la questione tedesca ecclesiastica; se ne dà conto perché richiesta esplicitamente dal committente come parte del ruolo tedesco nel processo di integrazione.</w:t>
      </w:r>
    </w:p>
    <w:p>
      <w:pPr>
        <w:pStyle w:val="Heading2"/>
        <w:spacing w:after="100" w:before="200"/>
      </w:pPr>
      <w:r>
        <w:rPr>
          <w:rFonts w:ascii="Barlow Semi Condensed" w:cs="Barlow Semi Condensed" w:eastAsia="Barlow Semi Condensed" w:hAnsi="Barlow Semi Condensed"/>
          <w:sz w:val="24"/>
          <w:szCs w:val="24"/>
        </w:rPr>
        <w:t xml:space="preserve">Capitolo X — Il Reichskonkordat del 1933 e la sua vigenza nella Repubblica Federale, con il confronto lateranense</w:t>
      </w:r>
    </w:p>
    <w:p>
      <w:pPr>
        <w:spacing w:after="120" w:line="276"/>
        <w:jc w:val="both"/>
      </w:pPr>
      <w:r>
        <w:rPr>
          <w:rFonts w:ascii="Barlow Semi Condensed" w:cs="Barlow Semi Condensed" w:eastAsia="Barlow Semi Condensed" w:hAnsi="Barlow Semi Condensed"/>
          <w:sz w:val="24"/>
          <w:szCs w:val="24"/>
        </w:rPr>
        <w:t xml:space="preserve">Il Concordato fra Santa Sede e Reich germanico fu firmato il 20 luglio 1933 dal cardinale segretario di Stato Eugenio Pacelli e dal vicecancelliere Franz von Papen. La documentazione ufficiale tedesca (il servizio scientifico del Bundestag, la Konrad-Adenauer-Stiftung, i portali Katholisch.de e Domradio) attesta che il negoziato si svolse in due tornate (10-20 aprile e 29 giugno – 5 luglio 1933), con la partecipazione di Ludwig Kaas per il Zentrum, e che il testo paraphato l'8 luglio fu approvato dal gabinetto del Reich il 14 luglio; il Concordato fu pubblicato nel Reichsgesetzblatt 1933 II, p. 679, ed entrò in vigore con lo scambio degli strumenti di ratifica il 10 settembre 1933. Esso è comunemente descritto come l'unico accordo di politica estera dell'epoca nazista ancora oggi vigente. Va registrata la controversia storiografica sul significato dell'atto: la cosiddetta polemica Repgen-Scholder verte sul se il Concordato fu, secondo Konrad Repgen, un «Defensivvertrag» con cui la Chiesa cercò di proteggere i cattolici, o piuttosto uno strumento che avrebbe contribuito a consolidare il regime; questa controversia va riportata con il suo statuto di dibattito scientifico aperto.</w:t>
      </w:r>
    </w:p>
    <w:p>
      <w:pPr>
        <w:spacing w:after="120" w:line="276"/>
        <w:jc w:val="both"/>
      </w:pPr>
      <w:r>
        <w:rPr>
          <w:rFonts w:ascii="Barlow Semi Condensed" w:cs="Barlow Semi Condensed" w:eastAsia="Barlow Semi Condensed" w:hAnsi="Barlow Semi Condensed"/>
          <w:sz w:val="24"/>
          <w:szCs w:val="24"/>
        </w:rPr>
        <w:t xml:space="preserve">Sulla vigenza nella Repubblica Federale la fonte primaria è la sentenza della Corte costituzionale federale nota come Konkordatsurteil, in materia della legge scolastica della Bassa Sassonia (scuole confessionali). Qui si registra una divergenza di data fra le fonti, che il metodo impone di riportare: la Konrad-Adenauer-Stiftung, il portale Katholisch.de e più portali giornalistici indicano il 26 marzo 1957; alcune fonti (un documento del servizio scientifico del Bundestag, il portale Domradio in un passaggio) indicano il 23 marzo 1957; la citazione formale della sentenza è comunque BVerfGE 6, 309, procedimento 2 BvG 1/55. La Corte stabilì che il Reichskonkordat era validamente concluso e giuridicamente vincolante e continuava a valere anche oltre il crollo dello Stato nazionalsocialista, ma che la competenza in materia scolastica spettava ai Länder, i quali potevano perciò adottare anche normative in contrasto con il Concordato senza che il governo federale potesse costringerli. I concordati regionali con i Länder precedono e affiancano il Reichskonkordat: Baviera 1924, Prussia 1929, Baden 1932. katholisch.de (https://katholisch.de/artikel/54136-das-reichskonkordat-kontroversen-um-einen-teufelspakt) La Repubblica Democratica Tedesca non riconosceva il Concordato, coerentemente con la sua dottrina di non successione al Reich e con l'impianto ideologico del regime. Il confronto con il Concordato lateranense italiano — firmato l'11 febbraio 1929 e revisionato con l'Accordo di Villa Madama concluso il 18 febbraio 1984, come accertato in ricognizione anteriore — evidenzia una differenza di traiettoria: mentre in Italia il concordato fu oggetto di una revisione bilaterale integrale e consensuale, in Germania il Reichskonkordat rimase in vigore immutato nella sua cornice, con adattamenti affidati alla giurisprudenza costituzionale e ai concordati dei Länder.</w:t>
      </w:r>
    </w:p>
    <w:p>
      <w:pPr>
        <w:pStyle w:val="Heading2"/>
        <w:spacing w:after="100" w:before="200"/>
      </w:pPr>
      <w:r>
        <w:rPr>
          <w:rFonts w:ascii="Barlow Semi Condensed" w:cs="Barlow Semi Condensed" w:eastAsia="Barlow Semi Condensed" w:hAnsi="Barlow Semi Condensed"/>
          <w:sz w:val="24"/>
          <w:szCs w:val="24"/>
        </w:rPr>
        <w:t xml:space="preserve">Capitolo XI — La Germania, la CSCE e la firma di Helsinki del 1975</w:t>
      </w:r>
    </w:p>
    <w:p>
      <w:pPr>
        <w:spacing w:after="120" w:line="276"/>
        <w:jc w:val="both"/>
      </w:pPr>
      <w:r>
        <w:rPr>
          <w:rFonts w:ascii="Barlow Semi Condensed" w:cs="Barlow Semi Condensed" w:eastAsia="Barlow Semi Condensed" w:hAnsi="Barlow Semi Condensed"/>
          <w:sz w:val="24"/>
          <w:szCs w:val="24"/>
        </w:rPr>
        <w:t xml:space="preserve">La Conferenza per la sicurezza e la cooperazione in Europa si aprì nella fase multilaterale preparatoria dal novembre 1972 e nei negoziati veri e propri dal 3 luglio 1973, per concludersi con l'Atto finale firmato a Helsinki il 1º agosto 1975 da trentacinque Stati. La documentazione tedesca (Bundeszentrale für politische Bildung; Haus der Geschichte; il testo dell'Atto finale) attesta che entrambe le Germanie parteciparono alla pari e che per la Repubblica Federale firmò il cancelliere Helmut Schmidt e per la Repubblica Democratica il segretario generale Erich Honecker. Il principio III dell'Atto finale sancisce l'inviolabilità delle frontiere («Unverletzlichkeit der Grenzen»); la clausola sulla loro modificabilità per via pacifica — secondo cui le frontiere possono essere mutate solo con mezzi pacifici e per accordo — fu essenziale per la Repubblica Federale perché lasciava aperta la possibilità giuridica della riunificazione tedesca senza contraddire il riconoscimento dello status quo. Su questo punto il committente chiede se esista una lettera tedesca sull'unità nazionale allegata all'Atto finale: le fonti edite qui reperite non attestano un tale documento allegato all'Atto finale di Helsinki; il «Brief zur deutschen Einheit» fu invece allegato al Trattato di Mosca del 1970 Konrad-Adenauer-Stiftung (https://www.kas.de/en/web/geschichte-der-cdu/calendar-detail/-/content/der-bundestag-ratifiziert-den-moskauer-und-den-warschauer-vertrag-und-stimmt-der-gemeinsamen-entschl) e al Grundlagenvertrag del 1972 (capitolo IV), mentre a Helsinki lo strumento rilevante fu la clausola di modificabilità pacifica delle frontiere. Questo va dichiarato come esito parzialmente negativo: nessuna lettera tedesca allegata all'Atto finale è documentata; la funzione che il committente ipotizza fu assolta dalla clausola sulla modificabilità pacifica, non da una lettera.</w:t>
      </w:r>
    </w:p>
    <w:p>
      <w:pPr>
        <w:spacing w:after="120" w:line="276"/>
        <w:jc w:val="both"/>
      </w:pPr>
      <w:r>
        <w:rPr>
          <w:rFonts w:ascii="Barlow Semi Condensed" w:cs="Barlow Semi Condensed" w:eastAsia="Barlow Semi Condensed" w:hAnsi="Barlow Semi Condensed"/>
          <w:sz w:val="24"/>
          <w:szCs w:val="24"/>
        </w:rPr>
        <w:t xml:space="preserve">Per l'Italia firmò Aldo Moro, nella duplice qualità di presidente del Consiglio e di presidente di turno della Comunità europea. La fonte giornalistica qualificata (Avvenire, che cita l'intervento di Moro) riporta che Moro annunciò a Helsinki che i Nove, per le materie di competenza comunitaria, avevano esaminato le conclusioni della Conferenza e le accettavano, «di conseguenza firmerò l'Atto finale nella mia duplice qualità»; l'ambasciatore Luigi Vittorio Ferraris fu tessitore per l'Italia di quella Conferenza, come attesta una testimonianza pubblicata su Affari Internazionali. Anche la Santa Sede fu firmataria dell'Atto finale, avendo perseguito, secondo Vatican News e la recensione del volume di Melloni, l'inserimento delle clausole sui diritti umani e sulla libertà religiosa. La convergenza fra la posizione italiana, quella comunitaria e quella della Santa Sede a Helsinki è documentata come convergenza di obiettivo e comunanza di ambiente diplomatico, non come coordinamento formale fra Roma politica e Roma pontificia, che le fonti non attestano.</w:t>
      </w:r>
    </w:p>
    <w:p>
      <w:pPr>
        <w:pStyle w:val="Heading2"/>
        <w:spacing w:after="100" w:before="200"/>
      </w:pPr>
      <w:r>
        <w:rPr>
          <w:rFonts w:ascii="Barlow Semi Condensed" w:cs="Barlow Semi Condensed" w:eastAsia="Barlow Semi Condensed" w:hAnsi="Barlow Semi Condensed"/>
          <w:sz w:val="24"/>
          <w:szCs w:val="24"/>
        </w:rPr>
        <w:t xml:space="preserve">Capitolo XII — Il versante del terrorismo, gli archivi, gli esiti negativi e la tavola discorsiva delle acquisizioni non conseguite</w:t>
      </w:r>
    </w:p>
    <w:p>
      <w:pPr>
        <w:spacing w:after="120" w:line="276"/>
        <w:jc w:val="both"/>
      </w:pPr>
      <w:r>
        <w:rPr>
          <w:rFonts w:ascii="Barlow Semi Condensed" w:cs="Barlow Semi Condensed" w:eastAsia="Barlow Semi Condensed" w:hAnsi="Barlow Semi Condensed"/>
          <w:sz w:val="24"/>
          <w:szCs w:val="24"/>
        </w:rPr>
        <w:t xml:space="preserve">Questo capitolo conclusivo raccoglie tre materie che il metodo impone di trattare con cautela: il versante del terrorismo, lo stato degli archivi e la dichiarazione espressa degli esiti negativi con la tavola delle acquisizioni necessarie e non conseguite.</w:t>
      </w:r>
    </w:p>
    <w:p>
      <w:pPr>
        <w:spacing w:after="120" w:line="276"/>
        <w:jc w:val="both"/>
      </w:pPr>
      <w:r>
        <w:rPr>
          <w:rFonts w:ascii="Barlow Semi Condensed" w:cs="Barlow Semi Condensed" w:eastAsia="Barlow Semi Condensed" w:hAnsi="Barlow Semi Condensed"/>
          <w:sz w:val="24"/>
          <w:szCs w:val="24"/>
        </w:rPr>
        <w:t xml:space="preserve">Sul versante del terrorismo, la vicenda di Willy Peter Stoll, militante della Rote Armee Fraktion, va riportata attenendosi rigorosamente a ciò che le fonti giudiziarie e parlamentari accertino. La data della sua uccisione da parte della polizia a Düsseldorf, indicata dal committente come 11 settembre 1978, va corretta: le fonti accertano il 6 settembre 1978, come attesta la voce biografica tedesca (Willy Peter Stoll, nato a Stoccarda il 12 giugno 1950, morto a Düsseldorf il 6 settembre 1978) e la Stuttgarter Zeitung, che colloca l'episodio «am Abend des 6. September 1978» nel ristorante cinese Shanghai di Düsseldorf. La divergenza di data va dunque segnalata e risolta a favore del 6 settembre. Nei materiali attribuiti alle indagini italiane e riportati in ambito parlamentare e pubblicistico si afferma che il collaboratore di giustizia Patrizio Peci, ex membro delle Brigate Rosse, identificò Stoll come il militante della RAF che si recava in Italia per incontrare Mario Moretti e che documenti in possesso di Stoll confermerebbero i contatti fra RAF e Brigate Rosse. Occorre qualificare con precisione lo statuto di queste affermazioni: si tratta di dichiarazioni di un collaboratore riportate in sede investigativa e riprese in atti parlamentari e nella pubblicistica, non di accertamenti definitivi di sentenza; e l'appartenenza di Stoll alla RAF non costituisce, di per sé, prova di una condotta della RAF nel sequestro Moro. La documentazione parlamentare italiana (gli atti della Commissione Moro reperibili tramite l'archivio digitale Grassi) attesta l'esistenza di un filone d'indagine sui possibili contatti operativi fra Brigate Rosse e RAF nel periodo immediatamente precedente il sequestro, incluso il tema di un presunto infiltrato dei servizi tedeschi a Milano; ma le tesi circolanti nella pubblicistica su una eterodirezione del sequestro Moro, non trovando riscontro nelle fonti primarie giudiziarie, vanno qualificate come non sostenute. Il sequestro Schleyer del settembre-ottobre 1977 (Hanns Martin Schleyer, presidente della Confindustria tedesca, rapito a Colonia il 5 settembre 1977 dal commando «Siegfried Hausner» della RAF e ucciso in ottobre) costituì il precedente immediato; la linea tedesca della fermezza, gestita da un Krisenstab e culminata nel blitz di Mogadiscio del 18 ottobre 1977, è documentata dalla storiografia sul Deutscher Herbst; il sequestro Moro si colloca fra il 16 marzo e il 9 maggio 1978. Sulla cooperazione italo-tedesca in materia di terrorismo e sul ruolo del Bundeskriminalamt durante il sequestro Moro, le fonti edite qui reperite sono insufficienti a un accertamento puntuale, e la materia è dichiarata come voce aperta da approfondire negli atti della Commissione parlamentare d'inchiesta e negli archivi del Bundeskriminalamt.</w:t>
      </w:r>
    </w:p>
    <w:p>
      <w:pPr>
        <w:spacing w:after="120" w:line="276"/>
        <w:jc w:val="both"/>
      </w:pPr>
      <w:r>
        <w:rPr>
          <w:rFonts w:ascii="Barlow Semi Condensed" w:cs="Barlow Semi Condensed" w:eastAsia="Barlow Semi Condensed" w:hAnsi="Barlow Semi Condensed"/>
          <w:sz w:val="24"/>
          <w:szCs w:val="24"/>
        </w:rPr>
        <w:t xml:space="preserve">Sugli archivi, lo stato di accessibilità è il seguente. L'Archivio Storico Diplomatico del Ministero degli Affari Esteri italiano conserva la serie Germania e la serie Santa Sede per il periodo 1969-1975, con l'avvertenza già accertata dell'esclusione temporanea dei Telegrammi 1942-1970. Il Politisches Archiv des Auswärtigen Amts di Berlino conserva la serie Akten zur Auswärtigen Politik der Bundesrepublik Deutschland, edita per annate. Il Bundesarchiv ha sedi a Coblenza e Berlino. Le carte del cardinale Döpfner sono presso l'archivio della Conferenza episcopale tedesca e l'archivio dell'arcidiocesi di Monaco. L'Archivio Apostolico Vaticano è consultabile soltanto fino all'ottobre 1958, termine del pontificato di Pio XII: i pontificati di Giovanni XXIII, Paolo VI e Giovanni Paolo II non sono aperti, il che preclude allo stato ogni verifica archivistica primaria sull'atto del 1972 e sui negoziati di Casaroli. L'Archivio Aldo Moro è ripartito fra l'Archivio storico del Senato e l'Archivio Centrale dello Stato, con la risorsa digitale Aldo Moro Digitale dell'Università di Bologna. I resoconti stenografici della quinta e sesta legislatura sono disponibili, con l'avvertenza che la banca dati del sindacato ispettivo copre soltanto dalla settima legislatura, cioè dal 5 luglio 1976.</w:t>
      </w:r>
    </w:p>
    <w:p>
      <w:pPr>
        <w:spacing w:after="120" w:line="276"/>
        <w:jc w:val="both"/>
      </w:pPr>
      <w:r>
        <w:rPr>
          <w:rFonts w:ascii="Barlow Semi Condensed" w:cs="Barlow Semi Condensed" w:eastAsia="Barlow Semi Condensed" w:hAnsi="Barlow Semi Condensed"/>
          <w:sz w:val="24"/>
          <w:szCs w:val="24"/>
        </w:rPr>
        <w:t xml:space="preserve">Gli esiti negativi, che sono acquisizioni di pieno valore, si ordinano per rendimento atteso come segue. Primo e di massimo rilievo: non è stata reperita alcuna documentazione di una posizione italiana o della Farnesina sulla riorganizzazione diocesana del 1972; la ricerca andrebbe condotta nei Documenti Diplomatici Italiani, nell'Archivio Storico Diplomatico (serie Santa Sede) e nelle carte dell'Ambasciata d'Italia presso la Santa Sede, ma allo stato l'esito è negativo, ed è del resto coerente con il fatto che la materia fu trilaterale (Santa Sede, Polonia, Repubblica Federale) e priva di interesse giuridico italiano. Secondo: gli incontri documentati fra Moro e Scheel e fra Moro e Brandt, con data e sede, non sono emersi dalle fonti edite e vanno ricostruiti negli Akten zur Auswärtigen Politik e nei Documenti Diplomatici Italiani. Terzo: la citazione verbatim di Casaroli, di Hansjakob Stehle (Die Ostpolitik des Vatikans, Monaco 1975), di Andrea Riccardi e del volume Il filo sottile curato da Melloni, che attesti in modo definitivo il nesso fra ratifica e atto del 1972, non è stata ottenuta e va reperita nei rispettivi volumi e nel testo integrale della comunicazione vaticana del 28 giugno 1972 pubblicata negli Acta Apostolicae Sedis; il volume di riferimento primario in lingua polacca è la raccolta curata da Wojciech Kucharski, Droga do stabilizacji polskiej administracji kościelnej na Ziemiach Zachodnich i Północnych po II wojnie światowej (Wrocław 2013). Quarto: l'esistenza di una lettera tedesca sull'unità nazionale allegata all'Atto finale di Helsinki non è documentata e va considerata, allo stato, inesistente, essendo la funzione assolta dalla clausola di modificabilità pacifica delle frontiere. Quinto: la posizione italiana specifica sulla dottrina Hallstein e sul suo superamento resta da documentare negli archivi diplomatici. Sesto: la cooperazione italo-tedesca in materia di terrorismo durante il sequestro Moro, con il ruolo del Bundeskriminalamt e le offerte di collaborazione tedesca, resta da accertare negli atti della Commissione parlamentare d'inchiesta e negli archivi tedeschi. Ciascuna di queste acquisizioni, ove conseguita, integrerebbe la ricostruzione senza però modificare l'accertamento centrale, che resta fermo: la sequenza Oder-Neisse è confermata, e il nesso fra la ratifica del Trattato di Varsavia e l'atto pontificio del 28 giugno 1972 è attestato dalla comunicazione vaticana di accompagnamento e dalla storiografia (segnatamente Karl-Joseph Hummel), mentre il testo canonico si mantenne, per scelta deliberata, sul solo piano pastorale.</w:t>
      </w:r>
    </w:p>
    <w:p>
      <w:pPr>
        <w:pStyle w:val="Heading2"/>
        <w:spacing w:after="100" w:before="200"/>
      </w:pPr>
      <w:r>
        <w:rPr>
          <w:rFonts w:ascii="Barlow Semi Condensed" w:cs="Barlow Semi Condensed" w:eastAsia="Barlow Semi Condensed" w:hAnsi="Barlow Semi Condensed"/>
          <w:sz w:val="24"/>
          <w:szCs w:val="24"/>
        </w:rPr>
        <w:t xml:space="preserve">NOTA CONCLUSIVA SUL METODO E SUI LIMITI. Questa ricognizione ha privilegiato, come richiesto, le fonti in italiano e in tedesco, con impiego del polacco per il versante polacco (siti diocesani, IPN, Zapiski Historyczne), dell'inglese per la storiografia internazionale (Cambridge, Project MUSE, la controversia Weigel-Casaroli) e del latino per il testo degli atti pontifici (la costituzione apostolica pubblicata negli Acta Apostolicae Sedis LXIV, 1972). Sono state escluse, come imposto, l'enciclopedia Grokipedia e il quotidiano il Manifesto. Ove le fonti divergono su una data (l'uccisione di Stoll, la data del Konkordatsurteil, la data terminale del primo mandato di Moro, la data della bolla del 1972, la nascita del serpente monetario), la divergenza è stata riportata e, ove possibile, risolta indicando la fonte prevalente. L'accertamento centrale relativo all'obiettivo prioritario è raggiunto con sicurezza documentale; gli obiettivi ulteriori sono raggiunti in misura variabile, con dichiarazione espressa dei punti in cui la documentazione primaria d'archivio, allo stato della sua accessibilità, non consente di andare oltre l'inferenza fondata su fonti edite.</w:t>
      </w:r>
    </w:p>
    <w:p>
      <w:pPr>
        <w:pStyle w:val="Heading3"/>
        <w:spacing w:after="80" w:before="240"/>
      </w:pPr>
      <w:r>
        <w:rPr>
          <w:rFonts w:ascii="Barlow Semi Condensed" w:cs="Barlow Semi Condensed" w:eastAsia="Barlow Semi Condensed" w:hAnsi="Barlow Semi Condensed"/>
          <w:sz w:val="24"/>
          <w:szCs w:val="24"/>
        </w:rPr>
        <w:t xml:space="preserve">Apparato grafico — Libro dodicesimo · La Santa Sede e le due Germanie: la sequenza Oder-Neisse</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0"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Libro dodicesimo IV: 6.066 parole in 9 sezioni; la più ampia è §9 Altre sezioni, con 2.294.</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1"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Libro dodicesimo IV: 35 indirizzi di fonte citati, addensati in 9 sezioni su 9.</w:t>
      </w:r>
    </w:p>
    <w:p>
      <w:pPr>
        <w:spacing w:after="120"/>
        <w:jc w:val="center"/>
      </w:pPr>
      <w:r>
        <w:rPr>
          <w:rFonts w:ascii="Barlow Semi Condensed" w:cs="Barlow Semi Condensed" w:eastAsia="Barlow Semi Condensed" w:hAnsi="Barlow Semi Condensed"/>
          <w:color w:val="777777"/>
          <w:sz w:val="16"/>
          <w:szCs w:val="16"/>
        </w:rPr>
        <w:t xml:space="preserve">Le metriche dell'apparato contano parole, documenti e atti — mai colpe.</w:t>
      </w:r>
    </w:p>
    <w:p>
      <w:r>
        <w:br w:type="page"/>
      </w:r>
    </w:p>
    <w:p>
      <w:pPr>
        <w:pStyle w:val="Heading1"/>
        <w:spacing w:after="120" w:before="240"/>
      </w:pPr>
      <w:r>
        <w:rPr>
          <w:rFonts w:ascii="Barlow Semi Condensed" w:cs="Barlow Semi Condensed" w:eastAsia="Barlow Semi Condensed" w:hAnsi="Barlow Semi Condensed"/>
          <w:sz w:val="24"/>
          <w:szCs w:val="24"/>
        </w:rPr>
        <w:t xml:space="preserve">Libro dodicesimo — La dimensione diplomatica — V. Portogallo e Opus Dei</w:t>
      </w:r>
    </w:p>
    <w:p>
      <w:pPr>
        <w:pStyle w:val="Heading1"/>
        <w:spacing w:after="120" w:before="240"/>
      </w:pPr>
      <w:r>
        <w:rPr>
          <w:rFonts w:ascii="Barlow Semi Condensed" w:cs="Barlow Semi Condensed" w:eastAsia="Barlow Semi Condensed" w:hAnsi="Barlow Semi Condensed"/>
          <w:sz w:val="24"/>
          <w:szCs w:val="24"/>
        </w:rPr>
        <w:t xml:space="preserve">Aldo Moro, l'Opus Dei in Portogallo e le loro triangolazioni. Ricognizione storiografica e archivistica in dodici capitoli</w:t>
      </w:r>
    </w:p>
    <w:p>
      <w:pPr>
        <w:pStyle w:val="Heading2"/>
        <w:spacing w:after="100" w:before="200"/>
      </w:pPr>
      <w:r>
        <w:rPr>
          <w:rFonts w:ascii="Barlow Semi Condensed" w:cs="Barlow Semi Condensed" w:eastAsia="Barlow Semi Condensed" w:hAnsi="Barlow Semi Condensed"/>
          <w:sz w:val="24"/>
          <w:szCs w:val="24"/>
        </w:rPr>
        <w:t xml:space="preserve">TL;DR</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L'Opus Dei si insediò in Portogallo dal 5 febbraio 1945 su iniziativa del fondatore Josemaría Escrivá (viaggio sollecitato da suor Lúcia di Fátima), ma — a differenza radicale del caso spagnolo — non ebbe mai un ruolo governativo tecnocratico comparabile: anzi, la polizia politica PIDE/DGS la sorvegliò per decenni sospettando una "cospirazione", senza mai provarla.</w:t>
      </w:r>
      <w:r>
        <w:rPr>
          <w:rFonts w:ascii="Barlow Semi Condensed" w:cs="Barlow Semi Condensed" w:eastAsia="Barlow Semi Condensed" w:hAnsi="Barlow Semi Condensed"/>
          <w:sz w:val="24"/>
          <w:szCs w:val="24"/>
        </w:rPr>
        <w:t xml:space="preserve"> La consistenza attuale è modesta (1.615 membri secondo i dati ufficiali di dicembre 2021). CNN Portugal (https://cnnportugal.iol.pt/religiao/igreja-catolica/o-papa-francisco-usou-cilicio-entrevista-rara-do-lider-do-opus-dei-que-assume-acolhimento-de-homossexuais/20220205/61fd3b150cf2cc58e7e10649)</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Nessun documento collega Aldo Moro all'Opus Dei in alcuna veste: si conferma lo Stato Zero.</w:t>
      </w:r>
      <w:r>
        <w:rPr>
          <w:rFonts w:ascii="Barlow Semi Condensed" w:cs="Barlow Semi Condensed" w:eastAsia="Barlow Semi Condensed" w:hAnsi="Barlow Semi Condensed"/>
          <w:sz w:val="24"/>
          <w:szCs w:val="24"/>
        </w:rPr>
        <w:t xml:space="preserve"> Parimenti negativa è la ricerca nei documenti desecretati statunitensi: non esiste, per il Portogallo, alcun analogo del rapporto CIA del 22 maggio 1970 sul gabinetto franchista.</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La sola triangolazione dotata di sostegno documentale è la mediazione della Santa Sé</w:t>
      </w:r>
      <w:r>
        <w:rPr>
          <w:rFonts w:ascii="Barlow Semi Condensed" w:cs="Barlow Semi Condensed" w:eastAsia="Barlow Semi Condensed" w:hAnsi="Barlow Semi Condensed"/>
          <w:sz w:val="24"/>
          <w:szCs w:val="24"/>
        </w:rPr>
        <w:t xml:space="preserve">, interlocutrice comune di Portogallo e Italia; tutte le altre convergenze sono di ambiente cattolico o di mera contemporaneità cronologica e non stabiliscono alcun nesso operativo.</w:t>
      </w:r>
    </w:p>
    <w:p>
      <w:pPr>
        <w:pStyle w:val="Heading2"/>
        <w:spacing w:after="100" w:before="200"/>
      </w:pPr>
      <w:r>
        <w:rPr>
          <w:rFonts w:ascii="Barlow Semi Condensed" w:cs="Barlow Semi Condensed" w:eastAsia="Barlow Semi Condensed" w:hAnsi="Barlow Semi Condensed"/>
          <w:sz w:val="24"/>
          <w:szCs w:val="24"/>
        </w:rPr>
        <w:t xml:space="preserve">Key Findings</w:t>
      </w:r>
    </w:p>
    <w:p>
      <w:pPr>
        <w:spacing w:after="120" w:line="276"/>
        <w:jc w:val="both"/>
      </w:pPr>
      <w:r>
        <w:rPr>
          <w:rFonts w:ascii="Barlow Semi Condensed" w:cs="Barlow Semi Condensed" w:eastAsia="Barlow Semi Condensed" w:hAnsi="Barlow Semi Condensed"/>
          <w:sz w:val="24"/>
          <w:szCs w:val="24"/>
        </w:rPr>
        <w:t xml:space="preserve">La ricerca conferma che il "versante nuovo e prioritario" — l'Opus Dei in Portogallo come soggetto storico — è documentabile ma restituisce un quadro rovesciato rispetto all'ipotesi implicita nel confronto iberico: dove in Spagna l'istituzione fornì ministri, in Portogallo essa fu oggetto di sospetto poliziesco e di reticenza da parte del cardinale patriarca di Lisbona. La spiegazione del divario non risiede in una diversa "strategia" dell'ente, bensì in differenze strutturali di società, Chiesa ed élites, colte dalla storiografia religiosa portoghese peer-reviewed. Sul versante Moro, la ricerca produce due esiti negativi di pieno valore documentale (nessun legame con l'Opus Dei; nessuna traccia specifica su Moro e il Portogallo nel reperibile), che vanno enunciati con chiarezza anziché diluiti. Le triangolazioni reali si riducono a un solo nodo: la funzione di interlocuzione della Santa Sé.</w:t>
      </w:r>
    </w:p>
    <w:p>
      <w:pPr>
        <w:pStyle w:val="Heading2"/>
        <w:spacing w:after="100" w:before="200"/>
      </w:pPr>
      <w:r>
        <w:rPr>
          <w:rFonts w:ascii="Barlow Semi Condensed" w:cs="Barlow Semi Condensed" w:eastAsia="Barlow Semi Condensed" w:hAnsi="Barlow Semi Condensed"/>
          <w:sz w:val="24"/>
          <w:szCs w:val="24"/>
        </w:rPr>
        <w:t xml:space="preserve">Details</w:t>
      </w:r>
    </w:p>
    <w:p>
      <w:pPr>
        <w:pStyle w:val="Heading3"/>
        <w:spacing w:after="80" w:before="160"/>
      </w:pPr>
      <w:r>
        <w:rPr>
          <w:rFonts w:ascii="Barlow Semi Condensed" w:cs="Barlow Semi Condensed" w:eastAsia="Barlow Semi Condensed" w:hAnsi="Barlow Semi Condensed"/>
          <w:sz w:val="24"/>
          <w:szCs w:val="24"/>
        </w:rPr>
        <w:t xml:space="preserve">CAPITOLO I — Premessa metodologica, natura delle fonti e mappa del reperito</w:t>
      </w:r>
    </w:p>
    <w:p>
      <w:pPr>
        <w:spacing w:after="120" w:line="276"/>
        <w:jc w:val="both"/>
      </w:pPr>
      <w:r>
        <w:rPr>
          <w:rFonts w:ascii="Barlow Semi Condensed" w:cs="Barlow Semi Condensed" w:eastAsia="Barlow Semi Condensed" w:hAnsi="Barlow Semi Condensed"/>
          <w:sz w:val="24"/>
          <w:szCs w:val="24"/>
        </w:rPr>
        <w:t xml:space="preserve">Questa ricognizione tratta tre oggetti distinti — l'attività di Aldo Moro come ministro degli Esteri in rapporto al Portogallo, l'Opus Dei in Portogallo dal suo insediamento al 1985, e le loro triangolazioni per via diretta o attraverso la mediazione vaticana e il confronto spagnolo — applicando un principio dirimente che prevale su ogni esigenza narrativa: l'appartenenza di una persona a un'organizzazione non è prova di una condotta dell'organizzazione. Le fonti reperite si collocano su piani eterogenei, che il metodo impone di tenere distinti. Per l'insediamento dell'Opus Dei in Portogallo la fonte ufficiale dell'ente (opusdei.org, versione pt-pt) fornisce la cronologia interna, da impiegare per i dati di fatto sui propri membri ma non per le valutazioni sulle responsabilità. Una recensione accademica peer-reviewed pubblicata sulla rivista Lusitania Sacra del Centro de Estudos de História Religiosa della Universidade Católica Portuguesa (doi 10.34632/lusitaniasacra.2022.11811, a firma di Miguel de Salis Amaral, della Pontifícia Università della Santa Croce) offre il vaglio critico della monografia di Onésimo Díaz, </w:t>
      </w:r>
      <w:r>
        <w:rPr>
          <w:rFonts w:ascii="Barlow Semi Condensed" w:cs="Barlow Semi Condensed" w:eastAsia="Barlow Semi Condensed" w:hAnsi="Barlow Semi Condensed"/>
          <w:i/>
          <w:iCs/>
          <w:sz w:val="24"/>
          <w:szCs w:val="24"/>
        </w:rPr>
        <w:t xml:space="preserve">Expansión: El desarrollo del Opus Dei entre los años 1940 y 1945</w:t>
      </w:r>
      <w:r>
        <w:rPr>
          <w:rFonts w:ascii="Barlow Semi Condensed" w:cs="Barlow Semi Condensed" w:eastAsia="Barlow Semi Condensed" w:hAnsi="Barlow Semi Condensed"/>
          <w:sz w:val="24"/>
          <w:szCs w:val="24"/>
        </w:rPr>
        <w:t xml:space="preserve"> (Madrid, Rialp, 2020), opera del filone dell'Istituto Storico San Josemaría Escrivá. Sul versante della sorveglianza statale la fonte principale è il libro giornalistico d'inchiesta di António José Vilela e Pedro Ramos Brandão, </w:t>
      </w:r>
      <w:r>
        <w:rPr>
          <w:rFonts w:ascii="Barlow Semi Condensed" w:cs="Barlow Semi Condensed" w:eastAsia="Barlow Semi Condensed" w:hAnsi="Barlow Semi Condensed"/>
          <w:i/>
          <w:iCs/>
          <w:sz w:val="24"/>
          <w:szCs w:val="24"/>
        </w:rPr>
        <w:t xml:space="preserve">Salazar e a Conspiração do Opus Dei</w:t>
      </w:r>
      <w:r>
        <w:rPr>
          <w:rFonts w:ascii="Barlow Semi Condensed" w:cs="Barlow Semi Condensed" w:eastAsia="Barlow Semi Condensed" w:hAnsi="Barlow Semi Condensed"/>
          <w:sz w:val="24"/>
          <w:szCs w:val="24"/>
        </w:rPr>
        <w:t xml:space="preserve"> (Casa das Letras, 2011), fondato su fascicoli PIDE/DGS conservati alla Torre do Tombo: WOOK (https://www.wook.pt/livro/salazar-e-a-conspiracao-do-opus-dei-antonio-jose-vilela/10952303) va trattato come pubblicistica d'inchiesta che cita fonti primarie, non come studio peer-reviewed, e le sue tesi vanno qualificate in quanto tali. Per Moro le fonti sono la biografia istituzionale e gli atti (il sito aldomoro.eu, l'edizione digitale dell'Università di Bologna aldomorodigitale.unibo.it), oltre alla storiografia sulla politica estera (Nuova Rivista Storica; Euro-Balkan Law and Economics Review). Il versante desecretato è stato verificato direttamente nel CIA FOIA Reading Room e nei Foreign Relations of the United States. Ogni capitolo dichiara la natura della fonte, distingue ciò che il documento attesta da ciò che se ne inferisce, e — ove il materiale non basti — si dichiara più breve, poiché è preferibile un capitolo corto che enunci uno Stato Zero rispetto a un capitolo lungo che diluisca pochi fatti. Sono espressamente escluse dalle fonti l'enciclopedia collaborativa Grokipedia e il quotidiano il Manifesto.</w:t>
      </w:r>
    </w:p>
    <w:p>
      <w:pPr>
        <w:pStyle w:val="Heading3"/>
        <w:spacing w:after="80" w:before="160"/>
      </w:pPr>
      <w:r>
        <w:rPr>
          <w:rFonts w:ascii="Barlow Semi Condensed" w:cs="Barlow Semi Condensed" w:eastAsia="Barlow Semi Condensed" w:hAnsi="Barlow Semi Condensed"/>
          <w:sz w:val="24"/>
          <w:szCs w:val="24"/>
        </w:rPr>
        <w:t xml:space="preserve">CAPITOLO II — L'insediamento dell'Opus Dei in Portogallo (1945–anni Cinquanta)</w:t>
      </w:r>
    </w:p>
    <w:p>
      <w:pPr>
        <w:spacing w:after="120" w:line="276"/>
        <w:jc w:val="both"/>
      </w:pPr>
      <w:r>
        <w:rPr>
          <w:rFonts w:ascii="Barlow Semi Condensed" w:cs="Barlow Semi Condensed" w:eastAsia="Barlow Semi Condensed" w:hAnsi="Barlow Semi Condensed"/>
          <w:sz w:val="24"/>
          <w:szCs w:val="24"/>
        </w:rPr>
        <w:t xml:space="preserve">La fonte ufficiale dell'istituzione data l'inizio della presenza in Portogallo al 5 febbraio 1945, con la prima visita del fondatore Josemaría Escrivá de Balaguer, giunto — secondo la ricostruzione dell'ente e la biografia di Hugo de Azevedo, </w:t>
      </w:r>
      <w:r>
        <w:rPr>
          <w:rFonts w:ascii="Barlow Semi Condensed" w:cs="Barlow Semi Condensed" w:eastAsia="Barlow Semi Condensed" w:hAnsi="Barlow Semi Condensed"/>
          <w:i/>
          <w:iCs/>
          <w:sz w:val="24"/>
          <w:szCs w:val="24"/>
        </w:rPr>
        <w:t xml:space="preserve">O fundador do Opus Dei em Portugal</w:t>
      </w:r>
      <w:r>
        <w:rPr>
          <w:rFonts w:ascii="Barlow Semi Condensed" w:cs="Barlow Semi Condensed" w:eastAsia="Barlow Semi Condensed" w:hAnsi="Barlow Semi Condensed"/>
          <w:sz w:val="24"/>
          <w:szCs w:val="24"/>
        </w:rPr>
        <w:t xml:space="preserve"> (Lisbona, Lucerna, 2021) — a istanza di suor Lúcia, veggente di Fátima, conosciuta a Tui. DN (https://www.dn.pt/sociedade/opus-dei-em-portugal-com-um-empurrao-da-irma-lucia--14256887.html) Escrivá, accompagnato dal vescovo di Tui, incontrò il cardinale patriarca di Lisbona e i vescovi di Braga, Porto, Coimbra e Leiria, decidendo l'avvio immediato dell'apostolato. Un anno dopo giunsero a Coimbra alcuni membri in studi post-laurea, che aprirono una residenza universitaria; seguirono le residenze di Porto (1948) e Lisbona (1951). Opus Dei (https://opusdei.org/pt-pt/article/historia-opus-dei-portugal/) La recensione di Lusitania Sacra apporta due precisazioni erudite: il primo portoghese entrato nell'Opus Dei fu Armando Serrano nell'anno accademico 1942-43, e una prima visita esplorativa di José Luis Múzquiz avvenne nel marzo 1941 ucp (https://journals.ucp.pt/index.php/lusitaniasacra/article/download/11811/11315) — segno che l'idea di iniziare il lavoro in Portogallo precedeva l'incontro con suor Lúcia, che la recensione considera concausa e non causa esclusiva. L'inchiesta Vilela–Brandão colloca l'ingresso stabile nel 1946, con l'arrivo di un gruppo di cinque universitari spagnoli e un cubano. Sul 21 (https://sul21.com.br/opiniao/2011/07/infiltrados-no-estado-novo/) La recensione di Salis Amaral segnala inoltre l'esistenza di uno studio dedicato alla corrispondenza fra Marcello Caetano e Laureano López Rodó, a firma di Paulo Miguel Martins, quale fonte di rilievo per il rapporto luso-spagnolo dell'ente. ucp (https://journals.ucp.pt/index.php/lusitaniasacra/article/download/11811/11315) Quanto alla consistenza numerica, documentata dalla stessa istituzione, la pagina storica ufficiale parla di circa 1.400 fedeli; l'agenzia Lusa (ripresa da RTP) riferì di circa 1.625 membri "no início deste ano" 2020; RTP (https://www.rtp.pt/noticias/pais/opus-dei-com-75-anos-em-portugal-e-uma-influencia-maior-do-que-os-1625-membros_n1358555) e per i dati di dicembre 2021 il vicario regionale José Rafael Espírito Santo, in occasione dei 75 anni e in un'intervista alla CNN Portugal (5 febbraio 2022), dichiarò: «há 1.615 membros no total, 1.012 mulheres e 603 homens», dei quali «505» celibatari e «1.110 são casadas ou solteiras sem o compromisso do celibato». CNN Portugal (https://cnnportugal.iol.pt/religiao/igreja-catolica/o-papa-francisco-usou-cilicio-entrevista-rara-do-lider-do-opus-dei-que-assume-acolhimento-de-homossexuais/20220205/61fd3b150cf2cc58e7e10649) Sono documentati centri della prelatura a Braga, Porto, Miramar, Viseu, Coimbra, Lisbona, Montemor-o-Novo e Ponta Delgada. Opus Dei (https://opusdei.org/pt-pt/article/historia-opus-dei-portugal/) Fra le opere educative e istituzionali collegate a membri dell'ente in Portogallo, il volume collettivo diretto da José Freire Antunes menziona il Colégio Universitário Montes Claros, il Colégio Horizonte (Porto), il Colégio Mira Rio, la Residência Universitária dos Álamos, l'AESE (scuola di direzione d'impresa) e l'ISU (Instituto de Solidariedade e Cooperação), sull'asse di quel modello di residenze universitarie e opere professionali che caratterizza l'apostolato dell'istituzione.</w:t>
      </w:r>
    </w:p>
    <w:p>
      <w:pPr>
        <w:pStyle w:val="Heading3"/>
        <w:spacing w:after="80" w:before="160"/>
      </w:pPr>
      <w:r>
        <w:rPr>
          <w:rFonts w:ascii="Barlow Semi Condensed" w:cs="Barlow Semi Condensed" w:eastAsia="Barlow Semi Condensed" w:hAnsi="Barlow Semi Condensed"/>
          <w:sz w:val="24"/>
          <w:szCs w:val="24"/>
        </w:rPr>
        <w:t xml:space="preserve">CAPITOLO III — L'Opus Dei e l'Estado Novo: la sorveglianza della polizia politica</w:t>
      </w:r>
    </w:p>
    <w:p>
      <w:pPr>
        <w:spacing w:after="120" w:line="276"/>
        <w:jc w:val="both"/>
      </w:pPr>
      <w:r>
        <w:rPr>
          <w:rFonts w:ascii="Barlow Semi Condensed" w:cs="Barlow Semi Condensed" w:eastAsia="Barlow Semi Condensed" w:hAnsi="Barlow Semi Condensed"/>
          <w:sz w:val="24"/>
          <w:szCs w:val="24"/>
        </w:rPr>
        <w:t xml:space="preserve">Il rapporto tra istituzione e regime salazarista si presenta in senso diametralmente opposto a quello spagnolo: non collaborazione ma diffidenza e sorveglianza. Secondo l'inchiesta Vilela–Brandão, fondata sui fondi PIDE/DGS della Torre do Tombo, la polizia politica riteneva esistesse una "cospirazione" dell'Opus Dei per dominare il regime, sul modello di quanto essa credeva avvenuto nella Spagna franchista, dove — a suo giudizio — Escrivá avrebbe voluto conquistare le élites di sostegno a Salazar. Fnac (https://www.fnac.pt/Salazar-e-a-Conspiracao-do-Opus-Dei-Pedro-Ramos-Brandao/a361319) Livraria Almedina (https://www.almedina.net/salazar-e-a-conspira-o-do-opus-dei-1563875565.html) Un rapporto PIDE del settembre 1963 conteneva la frase, citata dagli autori, secondo cui «os representantes espanhóis sempre procuraram encontrar para dirigente em Portugal um homem com nome político e prestígio suficientes que o levasse um dia a fazer parte do Governo». Sul 21 (https://sul21.com.br/opiniao/2011/07/infiltrados-no-estado-novo/) Una nota non firmata del 1961 indirizzata a Salazar e conservata alla Torre do Tombo, intitolata «As Actividades do Opus Dei em Portugal», è alla base dell'inchiesta ripresa dalla rivista SÁBADO (di cui Vilela è direttore aggiunto) nell'articolo «A vigilância secreta de Salazar ao Opus Dei»: «A PIDE desviou cartas, anotou nomes como os de Marcello Caetano e Adriano Moreira e detetou a entrada de 18 milhões de pesetas». SÁBADO (https://www.sabado.pt/vida/detalhe/a-vigilancia-secreta-de-salazar-ao-opus-dei) La stessa inchiesta indica inoltre l'ex-ministro Daniel Barbosa fra i nomi annotati e individua lo spagnolo D. Gregório Ortega Pardo come «o homem eficaz que fazia a ligação destes ex-governantes com a instituição», secondo un relatório PIDE del gennaio 1964 dedicato alle «tentativas de penetração do Opus Dei na política interna portuguesa». Pro Roma Mariana (https://promariana.wordpress.com/2015/12/10/o-opus-dei-na-historia-de-fatima/) Occorre la massima cautela interpretativa: si tratta di ciò che la PIDE sospettava e annotava, non di condotte provate dell'istituzione o degli individui. Gli stessi resoconti sottolineano che la polizia non riuscì mai a provare i legami, e che Marcello Caetano e Adriano Moreira — quest'ultimo indicato in alcuni rapporti come possibile successore del capo del governo — «terão resistido ao assédio». Nomi come Leite Pinto, Vieira Barbosa e Cavaleiro Ferreira comparivano come presunti membri, ma senza prova documentale. Palrador D'el Rei (https://denunciation.wordpress.com/2011/06/22/%C2%ABsalazar-e-a-conspiracao-do-opus-dei%C2%BB-de-antonio-jose-vilela-e-pedro-ramos-brandao/) Questo intero corpus va perciò qualificato come sospetto poliziesco, non come accertamento storico: costituisce prova di ciò che il regime temeva, non di ciò che l'Opus Dei fece. La tesi cospirativa che coinvolgerebbe suor Lúcia, il controllo del Banco da Agricultura e un'alleanza tacita e frustrata col cardinale Cerejeira Bertrand (https://www.bertrand.pt/livro/salazar-e-a-conspiracao-do-opus-dei-antonio-jose-vilela/10952303) Livraria Almedina (https://www.almedina.net/salazar-e-a-conspira-o-do-opus-dei-1563875565.html) è precisamente il tipo di tesi circolante nella pubblicistica che, non trovando riscontro in fonti primarie autonome, va qualificata come non sostenuta.</w:t>
      </w:r>
    </w:p>
    <w:p>
      <w:pPr>
        <w:pStyle w:val="Heading3"/>
        <w:spacing w:after="80" w:before="160"/>
      </w:pPr>
      <w:r>
        <w:rPr>
          <w:rFonts w:ascii="Barlow Semi Condensed" w:cs="Barlow Semi Condensed" w:eastAsia="Barlow Semi Condensed" w:hAnsi="Barlow Semi Condensed"/>
          <w:sz w:val="24"/>
          <w:szCs w:val="24"/>
        </w:rPr>
        <w:t xml:space="preserve">CAPITOLO IV — Il confronto iberico: perché in Spagna sì e in Portogallo no</w:t>
      </w:r>
    </w:p>
    <w:p>
      <w:pPr>
        <w:spacing w:after="120" w:line="276"/>
        <w:jc w:val="both"/>
      </w:pPr>
      <w:r>
        <w:rPr>
          <w:rFonts w:ascii="Barlow Semi Condensed" w:cs="Barlow Semi Condensed" w:eastAsia="Barlow Semi Condensed" w:hAnsi="Barlow Semi Condensed"/>
          <w:sz w:val="24"/>
          <w:szCs w:val="24"/>
        </w:rPr>
        <w:t xml:space="preserve">La domanda storiografica centrale — perché in Spagna l'Opus Dei fornì ministri tecnocrati al franchismo mentre in Portogallo, per quanto risulta, non ebbe ruolo governativo comparabile — trova risposta nelle differenze strutturali fra i due Paesi, messe a fuoco proprio dalla recensione peer-reviewed di Lusitania Sacra. In Spagna alcuni membri dell'Opus Dei giunsero al governo a partire dal 1957 (Alberto Ullastres al Commercio, Mariano Navarro Rubio alle Finanze) Recursosacademicos (https://www.recursosacademicos.net/tecnocratas-del-opus-dei/) e con maggiore visibilità nel gabinetto del 1969; secondo la fonte ufficiale dell'ente, otto ministri su centosedici complessivi appartennero all'istituzione nell'intero arco franchista, e figure come Gregorio López Bravo (Esteri, ottobre 1969 – giugno 1973) U.S. Department of State (https://history.state.gov/historicaldocuments/frus1969-76v41/d303) e Laureano López Rodó (poi agli Esteri dal giugno 1973) furono associate al cosiddetto "sviluppismo". La storiografia spagnola citata (Paul Preston, </w:t>
      </w:r>
      <w:r>
        <w:rPr>
          <w:rFonts w:ascii="Barlow Semi Condensed" w:cs="Barlow Semi Condensed" w:eastAsia="Barlow Semi Condensed" w:hAnsi="Barlow Semi Condensed"/>
          <w:i/>
          <w:iCs/>
          <w:sz w:val="24"/>
          <w:szCs w:val="24"/>
        </w:rPr>
        <w:t xml:space="preserve">Franco</w:t>
      </w:r>
      <w:r>
        <w:rPr>
          <w:rFonts w:ascii="Barlow Semi Condensed" w:cs="Barlow Semi Condensed" w:eastAsia="Barlow Semi Condensed" w:hAnsi="Barlow Semi Condensed"/>
          <w:sz w:val="24"/>
          <w:szCs w:val="24"/>
        </w:rPr>
        <w:t xml:space="preserve">, Grijalbo-Mondadori, 1994) avverte che l'arrivo dei tecnocrati «no fue ni siniestra ni astuta, sino más bien una respuesta pragmática y sin esquema fijo», Contrainformacion (https://contrainformacion.es/opus-dei-y-los-ministros-miembros/) e la stessa istituzione insiste che «ni todos los tecnócratas fueron del Opus Dei, ni todos los miembros del Opus Dei... fueron tecnócratas». Religión en Libertad (https://www.religionenlibertad.com/cultura/150215/ni-todos-los-tecnocratas-fueron-del-opus-dei-ni-todos-los_32125.html) In Portogallo nulla di comparabile risulta. La recensione di Salis Amaral individua con precisione le ragioni della divergenza: il diverso grado di secolarizzazione e di preparazione religiosa della gioventù universitaria portoghese rispetto a quella spagnola; il diverso rapporto Chiesa-Stato ucp (https://journals.ucp.pt/index.php/lusitaniasacra/article/download/11811/11315) (Cerejeira amico personale di Salazar dai tempi di Coimbra, ma Chiesa portoghese meno organicamente fusa con il regime rispetto al nazionalcattolicesimo spagnolo); una situazione socio-economica non paragonabile a quella di una Spagna appena uscita dalla guerra civile; e una politica portoghese durante la Seconda guerra mondiale differente da quella spagnola. ucp (https://journals.ucp.pt/index.php/lusitaniasacra/article/download/11811/11315) A questi fattori se ne aggiunge uno ecclesiale decisivo, documentato dall'Agência Ecclesia sulla scorta della storiografia del Vaticano II: il cardinale Cerejeira fu costantemente reticente verso i movimenti di origine straniera — «com o argumento de que a Ação Católica Portuguesa supria as necessidades» — sicché Opus Dei, Legião de Maria, Casais de Nossa Senhora, Graal e il Movimento dos Industriais si impiantarono a partire da diocesi diverse da quella di Lisbona. ECCLESIA (https://agencia.ecclesia.pt/portal/vaticano-ii-portugal-o-mundo-e-a-convocacao-do-concilio/) La spiegazione storica non è dunque una diversa "strategia" dell'ente, ma la combinazione di una domanda sociale e di un'accoglienza ecclesiastica strutturalmente differenti. Anche sul piano concordatario il quadro diverge: la dissertazione di dottorato di Bruno Cardoso Reis (RUN/Universidade Nova de Lisboa) sulla Concordata del 1940 rileva che «Salazar impôs os seus pontos de vista, fazendo um acordo cujas benesses para a Igreja ficaram muito aquém das vantagens oferecidas noutras concordatas, como a italiana ou a espanhola» RUN (https://run.unl.pt/entities/publication/4bd29800-b1ac-4187-bcc6-897130f67b44) — indice di una Chiesa portoghese meno "premiata" dallo Stato di quanto lo fosse quella spagnola.</w:t>
      </w:r>
    </w:p>
    <w:p>
      <w:pPr>
        <w:pStyle w:val="Heading3"/>
        <w:spacing w:after="80" w:before="160"/>
      </w:pPr>
      <w:r>
        <w:rPr>
          <w:rFonts w:ascii="Barlow Semi Condensed" w:cs="Barlow Semi Condensed" w:eastAsia="Barlow Semi Condensed" w:hAnsi="Barlow Semi Condensed"/>
          <w:sz w:val="24"/>
          <w:szCs w:val="24"/>
        </w:rPr>
        <w:t xml:space="preserve">CAPITOLO V — L'Opus Dei, le guerre coloniali e la questione africana</w:t>
      </w:r>
    </w:p>
    <w:p>
      <w:pPr>
        <w:spacing w:after="120" w:line="276"/>
        <w:jc w:val="both"/>
      </w:pPr>
      <w:r>
        <w:rPr>
          <w:rFonts w:ascii="Barlow Semi Condensed" w:cs="Barlow Semi Condensed" w:eastAsia="Barlow Semi Condensed" w:hAnsi="Barlow Semi Condensed"/>
          <w:sz w:val="24"/>
          <w:szCs w:val="24"/>
        </w:rPr>
        <w:t xml:space="preserve">Su questo punto specifico il reperito è scarso e occorre dichiararlo espressamente. Il quadro generale del rapporto tra Chiesa e guerra coloniale è ben documentato dalla storiografia religiosa portoghese: la Concordata e l'Accordo missionario del 7 maggio 1940 conferivano alla Chiesa una «utilidade imperial» e un senso «civilizador» associati al nazionalismo portoghese, Revistas Científicas da UCP (https://revistas.ucp.pt/index.php/lusitaniasacra/article/view/16035) secondo João Marques de Almeida in Lusitania Sacra (n. 51, 2026); e nel colonialismo tardo (1961-1974) si aprì il conflitto fra paradigmi missionari nazionalisti e paradigmi della "libertação", culminato — come già acquisito nelle ricognizioni anteriori — nell'espulsione del vescovo di Nampula Manuel Vieira Pinto e dei comboniani dopo il documento </w:t>
      </w:r>
      <w:r>
        <w:rPr>
          <w:rFonts w:ascii="Barlow Semi Condensed" w:cs="Barlow Semi Condensed" w:eastAsia="Barlow Semi Condensed" w:hAnsi="Barlow Semi Condensed"/>
          <w:i/>
          <w:iCs/>
          <w:sz w:val="24"/>
          <w:szCs w:val="24"/>
        </w:rPr>
        <w:t xml:space="preserve">Imperativo de Consciência</w:t>
      </w:r>
      <w:r>
        <w:rPr>
          <w:rFonts w:ascii="Barlow Semi Condensed" w:cs="Barlow Semi Condensed" w:eastAsia="Barlow Semi Condensed" w:hAnsi="Barlow Semi Condensed"/>
          <w:sz w:val="24"/>
          <w:szCs w:val="24"/>
        </w:rPr>
        <w:t xml:space="preserve">. Guerracolonial (https://guerracolonial.pt/1970-a-ilusao-das-grandes-operacoes/a-igreja-catolica-e-a-guerra-colonial/) Non è stato tuttavia reperito alcun documento che attribuisca all'Opus Dei come istituzione una posizione specifica e distinta sulle guerre coloniali o sulla questione africana, né a favore né contro. Il volume collettivo di Freire Antunes contiene testimonianze individuali che intersecano l'Africa portoghese (una sezione su «Os mutilados da Guerra de África»; il caso di Jorge Jardim Gonçalves «e a reconquista de Nambuangongo»), ma si tratta di vicende personali di membri, che il metodo impone di non trasformare in condotta dell'ente. Questo è dunque uno Stato Zero parziale: la ricerca andrebbe condotta nell'Archivio Generale della Prelatura a Roma e nei fondi diocesani portoghesi. Il capitolo è volutamente breve, poiché il materiale non basta e diluirlo con generalità sarebbe metodologicamente scorretto.</w:t>
      </w:r>
    </w:p>
    <w:p>
      <w:pPr>
        <w:pStyle w:val="Heading3"/>
        <w:spacing w:after="80" w:before="160"/>
      </w:pPr>
      <w:r>
        <w:rPr>
          <w:rFonts w:ascii="Barlow Semi Condensed" w:cs="Barlow Semi Condensed" w:eastAsia="Barlow Semi Condensed" w:hAnsi="Barlow Semi Condensed"/>
          <w:sz w:val="24"/>
          <w:szCs w:val="24"/>
        </w:rPr>
        <w:t xml:space="preserve">CAPITOLO VI — L'Opus Dei di fronte alla Rivoluzione dei garofani e alla transizione</w:t>
      </w:r>
    </w:p>
    <w:p>
      <w:pPr>
        <w:spacing w:after="120" w:line="276"/>
        <w:jc w:val="both"/>
      </w:pPr>
      <w:r>
        <w:rPr>
          <w:rFonts w:ascii="Barlow Semi Condensed" w:cs="Barlow Semi Condensed" w:eastAsia="Barlow Semi Condensed" w:hAnsi="Barlow Semi Condensed"/>
          <w:sz w:val="24"/>
          <w:szCs w:val="24"/>
        </w:rPr>
        <w:t xml:space="preserve">Il 25 aprile 1974 la Rivoluzione dei garofani rovesciò l'Estado Novo, aprendo il Processo Revolucionário Em Curso (PREC) del 1974-1975. La fonte ufficiale dell'ente e la letteratura testimoniale (il volume collettivo </w:t>
      </w:r>
      <w:r>
        <w:rPr>
          <w:rFonts w:ascii="Barlow Semi Condensed" w:cs="Barlow Semi Condensed" w:eastAsia="Barlow Semi Condensed" w:hAnsi="Barlow Semi Condensed"/>
          <w:i/>
          <w:iCs/>
          <w:sz w:val="24"/>
          <w:szCs w:val="24"/>
        </w:rPr>
        <w:t xml:space="preserve">Opus Dei em Portugal</w:t>
      </w:r>
      <w:r>
        <w:rPr>
          <w:rFonts w:ascii="Barlow Semi Condensed" w:cs="Barlow Semi Condensed" w:eastAsia="Barlow Semi Condensed" w:hAnsi="Barlow Semi Condensed"/>
          <w:sz w:val="24"/>
          <w:szCs w:val="24"/>
        </w:rPr>
        <w:t xml:space="preserve">, diretto da José Freire Antunes, che dedica una sezione specifica «O 25 de Abril de 1974» e una al progetto SOCEI-Fomento) non documentano persecuzioni sistematiche, occupazioni di sedi o espulsioni di membri dell'Opus Dei </w:t>
      </w:r>
      <w:r>
        <w:rPr>
          <w:rFonts w:ascii="Barlow Semi Condensed" w:cs="Barlow Semi Condensed" w:eastAsia="Barlow Semi Condensed" w:hAnsi="Barlow Semi Condensed"/>
          <w:i/>
          <w:iCs/>
          <w:sz w:val="24"/>
          <w:szCs w:val="24"/>
        </w:rPr>
        <w:t xml:space="preserve">in quanto tali</w:t>
      </w:r>
      <w:r>
        <w:rPr>
          <w:rFonts w:ascii="Barlow Semi Condensed" w:cs="Barlow Semi Condensed" w:eastAsia="Barlow Semi Condensed" w:hAnsi="Barlow Semi Condensed"/>
          <w:sz w:val="24"/>
          <w:szCs w:val="24"/>
        </w:rPr>
        <w:t xml:space="preserve"> durante il biennio rivoluzionario; non è stato reperito alcun documento indipendente che le attesti. La figura in cui la traiettoria dell'istituzione tocca la politica portoghese post-rivoluzionaria è Adelino Amaro da Costa, cofondatore del CDS: secondo il sito ufficiale del Parlamento portoghese egli «foi membro fundador do Partido do Centro Democrático Social (CDS) em 1974, tendo sido o seu primeiro Secretário-Geral até fevereiro de 1975» Parlamento (https://www.parlamento.pt/VisitaParlamento/Paginas/BiogAdelinoAmarodaCosta.aspx) (il CDS fu fondato il 19 luglio 1974). La sua appartenenza all'Opus Dei è documentata: l'Infopédia riferisce che «em 1979, casou-se com Maria Manuela Vaz Pires, tendo assim rompido os votos de castidade feitos quando aderiu, anos antes, à Opus Dei», Infopedia (https://www.infopedia.pt/artigos/%24adelino-amaro-da-costa) e la biografia di Célia Pedroso e Maria do Rosário Carneiro (</w:t>
      </w:r>
      <w:r>
        <w:rPr>
          <w:rFonts w:ascii="Barlow Semi Condensed" w:cs="Barlow Semi Condensed" w:eastAsia="Barlow Semi Condensed" w:hAnsi="Barlow Semi Condensed"/>
          <w:i/>
          <w:iCs/>
          <w:sz w:val="24"/>
          <w:szCs w:val="24"/>
        </w:rPr>
        <w:t xml:space="preserve">Adelino Amaro da Costa, Histórias de Uma Vida Interrompida</w:t>
      </w:r>
      <w:r>
        <w:rPr>
          <w:rFonts w:ascii="Barlow Semi Condensed" w:cs="Barlow Semi Condensed" w:eastAsia="Barlow Semi Condensed" w:hAnsi="Barlow Semi Condensed"/>
          <w:sz w:val="24"/>
          <w:szCs w:val="24"/>
        </w:rPr>
        <w:t xml:space="preserve">, Casa das Letras, 2010) raccoglie testimonianze che pongono «a importância central do Opus Dei na vida de Adelino Amaro da Costa, até ao casamento em 1979», datando l'ingresso in residenza a dopo la laurea in Ingegneria civile del 1966. ucp (https://revistas.ucp.pt/index.php/povoseculturas/article/download/8975/8843) Vale in modo assoluto la prescrizione metodologica: l'appartenenza di Amaro da Costa all'Opus Dei non costituisce prova di una condotta politica dell'Opus Dei come istituzione; egli agì come uomo politico del CDS, e le testimonianze raccolte (Rui Pena, Ernâni Lopes) descrivono un impegno personale, non una direttiva dell'ente. Amaro da Costa contribuì alla stesura del programma del I Governo provisório su richiesta del ministro Veiga Simão, ucp (https://revistas.ucp.pt/index.php/povoseculturas/article/download/8975/8843) e fu poi ministro della Difesa nel governo dell'Aliança Democrática (1980), Infopedia (https://www.infopedia.pt/artigos/%24adelino-amaro-da-costa) morendo nel disastro aereo di Camarate il 4 dicembre 1980 insieme al primo ministro Francisco Sá Carneiro. Livraria Almedina +2 (https://www.almedina.net/adelino-amaro-da-costa-hist-rias-de-uma-vida-interrompida-1563875470.html) Il capitolo resta contenuto per insufficienza di documentazione sulle vicende collettive dell'ente nel periodo rivoluzionario.</w:t>
      </w:r>
    </w:p>
    <w:p>
      <w:pPr>
        <w:pStyle w:val="Heading3"/>
        <w:spacing w:after="80" w:before="160"/>
      </w:pPr>
      <w:r>
        <w:rPr>
          <w:rFonts w:ascii="Barlow Semi Condensed" w:cs="Barlow Semi Condensed" w:eastAsia="Barlow Semi Condensed" w:hAnsi="Barlow Semi Condensed"/>
          <w:sz w:val="24"/>
          <w:szCs w:val="24"/>
        </w:rPr>
        <w:t xml:space="preserve">CAPITOLO VII — Moro ministro degli Esteri e il Portogallo</w:t>
      </w:r>
    </w:p>
    <w:p>
      <w:pPr>
        <w:spacing w:after="120" w:line="276"/>
        <w:jc w:val="both"/>
      </w:pPr>
      <w:r>
        <w:rPr>
          <w:rFonts w:ascii="Barlow Semi Condensed" w:cs="Barlow Semi Condensed" w:eastAsia="Barlow Semi Condensed" w:hAnsi="Barlow Semi Condensed"/>
          <w:sz w:val="24"/>
          <w:szCs w:val="24"/>
        </w:rPr>
        <w:t xml:space="preserve">Aldo Moro fu ministro degli Affari Esteri dal 5 agosto 1969 al 26 giugno 1972 (governi terzo Rumor, primo Colombo, primo Andreotti) e di nuovo dal 7 luglio 1973 al 23 novembre 1974 (quarto e quinto Rumor), Wikipedia (https://en.wikipedia.org/wiki/Aldo_Moro) come confermano concordemente la biografia istituzionale (aldomoro.eu) e le voci enciclopediche. La storiografia definisce la sua come l'"iniziatore della fase mediterranea" delle relazioni internazionali italiane: la Nuova Rivista Storica lo descrive come colui che «legando al quadro europeo la politica araba dell'Italia» tentò, dal 1973, di conciliare filo-arabismo energetico e costruzione europea; Nuovarivistastorica (https://nuovarivistastorica.it/?p=7636) parallelamente egli fu protagonista della CSCE e della Conferenza di Helsinki. Non è stato reperito alcun documento diplomatico specifico che colleghi direttamente Moro alla situazione portoghese pre-rivoluzionaria, né iniziative morotee riguardanti il Portogallo di Caetano. La transizione portoghese cadde in gran parte quando Moro era ancora agli Esteri (25 aprile 1974) e poi presidente del Consiglio (dal 23 novembre 1974); la reazione italiana alla rivoluzione fu tuttavia soprattutto di parte, con forte coinvolgimento del PSI e del PCI (la letteratura specialistica documenta il dibattito della sinistra italiana sulla rivoluzione portoghese), mentre l'orientamento atlantico italiano si allineava alla preoccupazione NATO documentata nei FRUS, dove Kissinger paventava per Lisbona «not a Communist take-over, but a leftist neutralist regime remaining within NATO». state (https://history.state.gov/historicaldocuments/frus1969-76ve15p2/d153) Il rapporto Moro-Portogallo, allo stato, non è dunque documentato da fonti dirette reperibili e va ricostruito presso l'Archivio Storico Diplomatico del Ministero degli Affari Esteri italiano, serie Portogallo 1969-1974: sede presso cui la ricerca resta interamente da condurre.</w:t>
      </w:r>
    </w:p>
    <w:p>
      <w:pPr>
        <w:pStyle w:val="Heading3"/>
        <w:spacing w:after="80" w:before="160"/>
      </w:pPr>
      <w:r>
        <w:rPr>
          <w:rFonts w:ascii="Barlow Semi Condensed" w:cs="Barlow Semi Condensed" w:eastAsia="Barlow Semi Condensed" w:hAnsi="Barlow Semi Condensed"/>
          <w:sz w:val="24"/>
          <w:szCs w:val="24"/>
        </w:rPr>
        <w:t xml:space="preserve">CAPITOLO VIII — L'Opus Dei in Italia, la politica estera italiana e la questione Moro–Opus Dei (Stato Zero)</w:t>
      </w:r>
    </w:p>
    <w:p>
      <w:pPr>
        <w:spacing w:after="120" w:line="276"/>
        <w:jc w:val="both"/>
      </w:pPr>
      <w:r>
        <w:rPr>
          <w:rFonts w:ascii="Barlow Semi Condensed" w:cs="Barlow Semi Condensed" w:eastAsia="Barlow Semi Condensed" w:hAnsi="Barlow Semi Condensed"/>
          <w:sz w:val="24"/>
          <w:szCs w:val="24"/>
        </w:rPr>
        <w:t xml:space="preserve">L'Opus Dei è presente in Italia dal 1946, come attesta la fonte ufficiale, che documenta anche la mediazione del cardinale Giovanni Battista Montini (poi Paolo VI) nel riconoscimento pontificio del 1947 (decreto </w:t>
      </w:r>
      <w:r>
        <w:rPr>
          <w:rFonts w:ascii="Barlow Semi Condensed" w:cs="Barlow Semi Condensed" w:eastAsia="Barlow Semi Condensed" w:hAnsi="Barlow Semi Condensed"/>
          <w:i/>
          <w:iCs/>
          <w:sz w:val="24"/>
          <w:szCs w:val="24"/>
        </w:rPr>
        <w:t xml:space="preserve">Primum inter</w:t>
      </w:r>
      <w:r>
        <w:rPr>
          <w:rFonts w:ascii="Barlow Semi Condensed" w:cs="Barlow Semi Condensed" w:eastAsia="Barlow Semi Condensed" w:hAnsi="Barlow Semi Condensed"/>
          <w:sz w:val="24"/>
          <w:szCs w:val="24"/>
        </w:rPr>
        <w:t xml:space="preserve">) e — secondo la ricostruzione riportata da fonti divulgative da verificare — nella presentazione di Escrivá a Giulio Andreotti. Non è stato reperito alcun documento, atto, corrispondenza o testimonianza che colleghi Aldo Moro all'Opus Dei in qualunque veste. La biografia intellettuale di Moro lo colloca senza ambiguità nella tradizione della FUCI (di cui fu presidente 1939-1943), del Movimento Laureati Cattolici, della rivista </w:t>
      </w:r>
      <w:r>
        <w:rPr>
          <w:rFonts w:ascii="Barlow Semi Condensed" w:cs="Barlow Semi Condensed" w:eastAsia="Barlow Semi Condensed" w:hAnsi="Barlow Semi Condensed"/>
          <w:i/>
          <w:iCs/>
          <w:sz w:val="24"/>
          <w:szCs w:val="24"/>
        </w:rPr>
        <w:t xml:space="preserve">Studium</w:t>
      </w:r>
      <w:r>
        <w:rPr>
          <w:rFonts w:ascii="Barlow Semi Condensed" w:cs="Barlow Semi Condensed" w:eastAsia="Barlow Semi Condensed" w:hAnsi="Barlow Semi Condensed"/>
          <w:sz w:val="24"/>
          <w:szCs w:val="24"/>
        </w:rPr>
        <w:t xml:space="preserve"> e della componente dossettiana della sinistra DC: un cattolicesimo democratico distante per cultura, teologia politica e collocazione dall'ambiente dell'Opus Dei. La recensione critica della biografia di Paolo Acanfora (ARO-FBK) e la letteratura più recente (Iannuzzi–Losacco, </w:t>
      </w:r>
      <w:r>
        <w:rPr>
          <w:rFonts w:ascii="Barlow Semi Condensed" w:cs="Barlow Semi Condensed" w:eastAsia="Barlow Semi Condensed" w:hAnsi="Barlow Semi Condensed"/>
          <w:i/>
          <w:iCs/>
          <w:sz w:val="24"/>
          <w:szCs w:val="24"/>
        </w:rPr>
        <w:t xml:space="preserve">Aldo Moro. Le idee, il metodo, l'eredità</w:t>
      </w:r>
      <w:r>
        <w:rPr>
          <w:rFonts w:ascii="Barlow Semi Condensed" w:cs="Barlow Semi Condensed" w:eastAsia="Barlow Semi Condensed" w:hAnsi="Barlow Semi Condensed"/>
          <w:sz w:val="24"/>
          <w:szCs w:val="24"/>
        </w:rPr>
        <w:t xml:space="preserve">, Baldini Castoldi) descrivono «un uomo... non di appartenenza confessionale chiusa, ma un credente che considera la politica un servizio alla libertà». Quotidiano Nazionale (https://www.quotidiano.net/cronaca/aldo-moro-libro-iannuzzi-losacco-vk0b33xf) Si conferma pertanto lo Stato Zero già registrato da una ricognizione anteriore: nessun legame documentato fra Moro e l'Opus Dei. Questa conferma ha valore proprio e va enunciata con la massima chiarezza, poiché in materia tanto esposta alla pubblicistica congetturale la smentita documentale è un'acquisizione. La verifica ulteriore andrebbe condotta nell'Archivio Aldo Moro (inventariato tra Archivio storico del Senato e Archivio Centrale dello Stato) e nell'Archivio della Fondazione Aldo Moro.</w:t>
      </w:r>
    </w:p>
    <w:p>
      <w:pPr>
        <w:pStyle w:val="Heading3"/>
        <w:spacing w:after="80" w:before="160"/>
      </w:pPr>
      <w:r>
        <w:rPr>
          <w:rFonts w:ascii="Barlow Semi Condensed" w:cs="Barlow Semi Condensed" w:eastAsia="Barlow Semi Condensed" w:hAnsi="Barlow Semi Condensed"/>
          <w:sz w:val="24"/>
          <w:szCs w:val="24"/>
        </w:rPr>
        <w:t xml:space="preserve">CAPITOLO IX — I documenti desecretati (CIA e FRUS)</w:t>
      </w:r>
    </w:p>
    <w:p>
      <w:pPr>
        <w:spacing w:after="120" w:line="276"/>
        <w:jc w:val="both"/>
      </w:pPr>
      <w:r>
        <w:rPr>
          <w:rFonts w:ascii="Barlow Semi Condensed" w:cs="Barlow Semi Condensed" w:eastAsia="Barlow Semi Condensed" w:hAnsi="Barlow Semi Condensed"/>
          <w:sz w:val="24"/>
          <w:szCs w:val="24"/>
        </w:rPr>
        <w:t xml:space="preserve">La ricerca sistematica nel CIA FOIA Electronic Reading Room, nella collezione CREST e nei Foreign Relations of the United States ha prodotto un esito negativo di grande significato, verificato mediante ricognizione dedicata. Esiste, per la Spagna, il documento del 22 maggio 1970 (protocollo CIA-RDP85T00875R001500020027-1) sul gabinetto franchista e sull'assegnazione del maggior numero di dicasteri a membri o associati dell'Opus Dei. Non esiste alcun documento analogo per il Portogallo. Le carte CIA sull'Opus Dei reperite riguardano esclusivamente la Spagna (segnatamente «Opus Dei in Barcelona», CIA-RDP82-00457R015000010003-5, della serie di note informative degli anni Quaranta-Cinquanta); e va ricordato che il contenzioso FOIA promosso nel 2009-2011 dal ricercatore Harry Cason (CUNY) con Public Citizen per ottenere le carte CIA sull'Opus Dei verteva anch'esso sulla Spagna franchista. Fox News (https://www.foxnews.com/politics/consumer-group-helps-student-suing-cia-over-opus-dei-records.amp) I profili biografici CIA su Marcello Caetano (documenti C06790244 e C06790246, rilasciati il 12 luglio 2019) e su Salazar (documento 06782148, 1° settembre 1968) — pur dettagliati sul "conservatore ragionevole" Caetano, cia (https://cia.gov/readingroom/docs/MARCELO%20CAETANO%20%28PORTUGAL%5B15678188%5D.pdf) cia (https://www.cia.gov/readingroom/docs/MARCELO%20CAETANO%20%28PORTUGAL%5B15678189%5D.pdf) sui rimpasti del gennaio 1970 e sulla fede religiosa di Salazar — non menzionano in alcun punto l'Opus Dei. Nei FRUS 1969-1976, Volume E-15 Part 2 (ed. Kathleen B. Rasmussen, GPO 2014), la sezione Portogallo (documenti 123-178) state (https://history.state.gov/historicaldocuments/frus1969-76ve15p2Ed2) non contiene alcun riferimento all'Opus Dei né a "tecnocrati cattolici", concentrandosi su Rivoluzione dei garofani, minaccia comunista, adesione alla NATO e aiuti occidentali. L'unico riferimento all'Opus Dei nell'intero ciclo FRUS 1969-1976 individuato è nella sezione Spagna (Vol. 41, </w:t>
      </w:r>
      <w:r>
        <w:rPr>
          <w:rFonts w:ascii="Barlow Semi Condensed" w:cs="Barlow Semi Condensed" w:eastAsia="Barlow Semi Condensed" w:hAnsi="Barlow Semi Condensed"/>
          <w:i/>
          <w:iCs/>
          <w:sz w:val="24"/>
          <w:szCs w:val="24"/>
        </w:rPr>
        <w:t xml:space="preserve">Western Europe; NATO, 1969-1972</w:t>
      </w:r>
      <w:r>
        <w:rPr>
          <w:rFonts w:ascii="Barlow Semi Condensed" w:cs="Barlow Semi Condensed" w:eastAsia="Barlow Semi Condensed" w:hAnsi="Barlow Semi Condensed"/>
          <w:sz w:val="24"/>
          <w:szCs w:val="24"/>
        </w:rPr>
        <w:t xml:space="preserve">, documento 303), in una nota redazionale sullo scandalo MATESA che ricorda l'incriminazione di due ex ministri membri dell'Opus Dei. U.S. Department of State (https://history.state.gov/historicaldocuments/frus1969-76v41/d303) La conclusione, distinguendo il documento dall'inferenza, è netta: l'intelligence statunitense tracciò l'Opus Dei nel contesto spagnolo (franchista), non in quello portoghese; e l'unica traccia documentale del nesso Opus Dei–Portogallo resta nei fondi PIDE/DGS portoghesi, cioè in intelligence domestica portoghese, non statunitense. Resta il limite tecnico che l'interfaccia di ricerca interna del Reading Room non è stata interrogabile direttamente: non si può escludere l'esistenza di un cablogramma non indicizzato o pesantemente sanitizzato, ma nulla è emerso su oltre dieci interrogazioni mirate.</w:t>
      </w:r>
    </w:p>
    <w:p>
      <w:pPr>
        <w:pStyle w:val="Heading3"/>
        <w:spacing w:after="80" w:before="160"/>
      </w:pPr>
      <w:r>
        <w:rPr>
          <w:rFonts w:ascii="Barlow Semi Condensed" w:cs="Barlow Semi Condensed" w:eastAsia="Barlow Semi Condensed" w:hAnsi="Barlow Semi Condensed"/>
          <w:sz w:val="24"/>
          <w:szCs w:val="24"/>
        </w:rPr>
        <w:t xml:space="preserve">CAPITOLO X — Gli archivi: stato di accessibilità</w:t>
      </w:r>
    </w:p>
    <w:p>
      <w:pPr>
        <w:spacing w:after="120" w:line="276"/>
        <w:jc w:val="both"/>
      </w:pPr>
      <w:r>
        <w:rPr>
          <w:rFonts w:ascii="Barlow Semi Condensed" w:cs="Barlow Semi Condensed" w:eastAsia="Barlow Semi Condensed" w:hAnsi="Barlow Semi Condensed"/>
          <w:sz w:val="24"/>
          <w:szCs w:val="24"/>
        </w:rPr>
        <w:t xml:space="preserve">L'Arquivo Nacional da Torre do Tombo è ad accesso libero per chiunque abbia più di 16 anni Dglab (https://antt.dglab.gov.pt/servicos/leitura-e-referencia/) (18 per talune richieste online); la documentazione PIDE/DGS è soggetta a un regolamento proprio ma è consultabile su richiesta al servizio di riferimento. Dglab (https://antt.dglab.gov.pt/servicos/leitura-e-referencia/) Sull'ampiezza dell'inesplorato, Paulo Tremoceiro, capo divisione dell'archivio, ha dichiarato alla TSF (reportage di Nuno Guedes, 23 aprile 2019): «da minha experiência diária, aquilo que posso concluir é que metade da documentação existente nos nossos depósitos ainda está por consultar», pur essendo già numerata dai tecnici TSF Rádio Notícias (https://www.tsf.pt/sociedade/artigo/metade-do-arquivo-da-pide-nunca-foi-consultado-e-um-mundo-por-descobrir/10825928) — dato che segnala un potenziale di reperimento tuttora aperto. I fondi rilevanti per la ricerca sono il fondo PIDE-DGS, l'Arquivo Oliveira Salazar e l'Arquivo Marcello Caetano, tutti alla Torre do Tombo. L'Arquivo Histórico-Diplomático del Ministério dos Negócios Estrangeiros portoghese è accessibile e descritto attraverso l'Instituto Diplomático (idi.mne.gov.pt), con serie sulle relazioni diplomatiche dal 1640. Gli archivi dell'Opus Dei — l'Archivio Generale della Prelatura a Roma e la Biblioteca dell'Università di Navarra — sono ad accesso ristretto e mediato dall'Istituto Storico San Josemaría Escrivá, che tuttavia ha promosso l'edizione critica e monografie basate su diari e corrispondenza interni (come la citata opera di Onésimo Díaz). L'Archivio Storico Diplomatico del Ministero degli Affari Esteri italiano conserva la serie Portogallo per il periodo 1969-1974, non ancora spogliata ai fini di questa ricerca. Per l'Italia, l'Archivio Aldo Moro è inventariato e in parte digitalizzato (aldomorodigitale.unibo.it; patrimonio.archivio.senato.it).</w:t>
      </w:r>
    </w:p>
    <w:p>
      <w:pPr>
        <w:pStyle w:val="Heading3"/>
        <w:spacing w:after="80" w:before="160"/>
      </w:pPr>
      <w:r>
        <w:rPr>
          <w:rFonts w:ascii="Barlow Semi Condensed" w:cs="Barlow Semi Condensed" w:eastAsia="Barlow Semi Condensed" w:hAnsi="Barlow Semi Condensed"/>
          <w:sz w:val="24"/>
          <w:szCs w:val="24"/>
        </w:rPr>
        <w:t xml:space="preserve">CAPITOLO XI — Le triangolazioni</w:t>
      </w:r>
    </w:p>
    <w:p>
      <w:pPr>
        <w:spacing w:after="120" w:line="276"/>
        <w:jc w:val="both"/>
      </w:pPr>
      <w:r>
        <w:rPr>
          <w:rFonts w:ascii="Barlow Semi Condensed" w:cs="Barlow Semi Condensed" w:eastAsia="Barlow Semi Condensed" w:hAnsi="Barlow Semi Condensed"/>
          <w:sz w:val="24"/>
          <w:szCs w:val="24"/>
        </w:rPr>
        <w:t xml:space="preserve">Applicando rigorosamente la distinzione fra convergenza di obiettivo documentata, simultaneità di reazione a un medesimo evento, comunanza di ambiente istituzionale e mera contemporaneità cronologica, si registra quanto segue, indicando per ciascun asse il grado di sostegno documentale e ciò che esso non stabilisce. </w:t>
      </w:r>
      <w:r>
        <w:rPr>
          <w:rFonts w:ascii="Barlow Semi Condensed" w:cs="Barlow Semi Condensed" w:eastAsia="Barlow Semi Condensed" w:hAnsi="Barlow Semi Condensed"/>
          <w:b/>
          <w:bCs/>
          <w:sz w:val="24"/>
          <w:szCs w:val="24"/>
        </w:rPr>
        <w:t xml:space="preserve">Moro–Opus Dei</w:t>
      </w:r>
      <w:r>
        <w:rPr>
          <w:rFonts w:ascii="Barlow Semi Condensed" w:cs="Barlow Semi Condensed" w:eastAsia="Barlow Semi Condensed" w:hAnsi="Barlow Semi Condensed"/>
          <w:sz w:val="24"/>
          <w:szCs w:val="24"/>
        </w:rPr>
        <w:t xml:space="preserve">: nessun punto di contatto documentato (Stato Zero, Cap. VIII); la triangolazione non esiste sul piano delle fonti, e la contemporaneità del ministero Moro con la fase spagnola dei ministri dell'Opus Dei non stabilisce nulla. </w:t>
      </w:r>
      <w:r>
        <w:rPr>
          <w:rFonts w:ascii="Barlow Semi Condensed" w:cs="Barlow Semi Condensed" w:eastAsia="Barlow Semi Condensed" w:hAnsi="Barlow Semi Condensed"/>
          <w:b/>
          <w:bCs/>
          <w:sz w:val="24"/>
          <w:szCs w:val="24"/>
        </w:rPr>
        <w:t xml:space="preserve">Moro–Portogallo</w:t>
      </w:r>
      <w:r>
        <w:rPr>
          <w:rFonts w:ascii="Barlow Semi Condensed" w:cs="Barlow Semi Condensed" w:eastAsia="Barlow Semi Condensed" w:hAnsi="Barlow Semi Condensed"/>
          <w:sz w:val="24"/>
          <w:szCs w:val="24"/>
        </w:rPr>
        <w:t xml:space="preserve">: solo cornice diplomatica generale, senza documenti specifici reperiti (Cap. VII); ciò che non si stabilisce è qualunque iniziativa morotea mirata al Portogallo. </w:t>
      </w:r>
      <w:r>
        <w:rPr>
          <w:rFonts w:ascii="Barlow Semi Condensed" w:cs="Barlow Semi Condensed" w:eastAsia="Barlow Semi Condensed" w:hAnsi="Barlow Semi Condensed"/>
          <w:b/>
          <w:bCs/>
          <w:sz w:val="24"/>
          <w:szCs w:val="24"/>
        </w:rPr>
        <w:t xml:space="preserve">Opus Dei–Portogallo</w:t>
      </w:r>
      <w:r>
        <w:rPr>
          <w:rFonts w:ascii="Barlow Semi Condensed" w:cs="Barlow Semi Condensed" w:eastAsia="Barlow Semi Condensed" w:hAnsi="Barlow Semi Condensed"/>
          <w:sz w:val="24"/>
          <w:szCs w:val="24"/>
        </w:rPr>
        <w:t xml:space="preserve">: contatto documentato con la gerarchia (rapporti dapprima tesi, poi ricomposti nel 1972, con Cerejeira, e con il successore António Ribeiro dal 1971) e sorveglianza PIDE documentata dai fondi Torre do Tombo (Cap. III); ciò che tale documentazione non stabilisce è una condotta politica effettiva dell'ente, restando essa prova di sospetto, non di azione. </w:t>
      </w:r>
      <w:r>
        <w:rPr>
          <w:rFonts w:ascii="Barlow Semi Condensed" w:cs="Barlow Semi Condensed" w:eastAsia="Barlow Semi Condensed" w:hAnsi="Barlow Semi Condensed"/>
          <w:b/>
          <w:bCs/>
          <w:sz w:val="24"/>
          <w:szCs w:val="24"/>
        </w:rPr>
        <w:t xml:space="preserve">Confronto col caso spagnolo</w:t>
      </w:r>
      <w:r>
        <w:rPr>
          <w:rFonts w:ascii="Barlow Semi Condensed" w:cs="Barlow Semi Condensed" w:eastAsia="Barlow Semi Condensed" w:hAnsi="Barlow Semi Condensed"/>
          <w:sz w:val="24"/>
          <w:szCs w:val="24"/>
        </w:rPr>
        <w:t xml:space="preserve">: comunanza di ambiente istituzionale cattolico ma divergenza netta di esito politico (Cap. IV), il che è una differenza, non una triangolazione. Il solo nodo comune reale è la </w:t>
      </w:r>
      <w:r>
        <w:rPr>
          <w:rFonts w:ascii="Barlow Semi Condensed" w:cs="Barlow Semi Condensed" w:eastAsia="Barlow Semi Condensed" w:hAnsi="Barlow Semi Condensed"/>
          <w:b/>
          <w:bCs/>
          <w:sz w:val="24"/>
          <w:szCs w:val="24"/>
        </w:rPr>
        <w:t xml:space="preserve">mediazione della Santa Sé</w:t>
      </w:r>
      <w:r>
        <w:rPr>
          <w:rFonts w:ascii="Barlow Semi Condensed" w:cs="Barlow Semi Condensed" w:eastAsia="Barlow Semi Condensed" w:hAnsi="Barlow Semi Condensed"/>
          <w:sz w:val="24"/>
          <w:szCs w:val="24"/>
        </w:rPr>
        <w:t xml:space="preserve">: Paolo VI mediò per il riconoscimento dell'Opus Dei, e la Santa Sé fu interlocutrice tanto del Portogallo (Concordato e Accordo missionario del 7 maggio 1940; Protocollo addizionale del 15 febbraio 1975 firmato da Villot e Salgado Zenha, già acquisito nelle ricognizioni anteriori) quanto dell'Italia concordataria. Anche questo nodo, però, è di comunanza d'interlocutore, non di convergenza d'obiettivo documentata fra Moro e l'Opus Dei. Nessuna delle triangolazioni esaminate stabilisce un nesso operativo fra l'azione diplomatica di Moro, la vicenda portoghese e l'Opus Dei: la contemporaneità cronologica, qui come altrove, non prova alcun legame.</w:t>
      </w:r>
    </w:p>
    <w:p>
      <w:pPr>
        <w:pStyle w:val="Heading3"/>
        <w:spacing w:after="80" w:before="160"/>
      </w:pPr>
      <w:r>
        <w:rPr>
          <w:rFonts w:ascii="Barlow Semi Condensed" w:cs="Barlow Semi Condensed" w:eastAsia="Barlow Semi Condensed" w:hAnsi="Barlow Semi Condensed"/>
          <w:sz w:val="24"/>
          <w:szCs w:val="24"/>
        </w:rPr>
        <w:t xml:space="preserve">CAPITOLO XII — Stato Zero e tavola discorsiva delle acquisizioni non conseguite</w:t>
      </w:r>
    </w:p>
    <w:p>
      <w:pPr>
        <w:spacing w:after="120" w:line="276"/>
        <w:jc w:val="both"/>
      </w:pPr>
      <w:r>
        <w:rPr>
          <w:rFonts w:ascii="Barlow Semi Condensed" w:cs="Barlow Semi Condensed" w:eastAsia="Barlow Semi Condensed" w:hAnsi="Barlow Semi Condensed"/>
          <w:sz w:val="24"/>
          <w:szCs w:val="24"/>
        </w:rPr>
        <w:t xml:space="preserve">Si raccolgono qui gli esiti negativi, ordinati per rendimento atteso decrescente, ciascuno con la sede e la condizione di chiusura, ribadendo che gli esiti negativi sono acquisizioni di pieno valore. In primo luogo, la posizione dell'Opus Dei </w:t>
      </w:r>
      <w:r>
        <w:rPr>
          <w:rFonts w:ascii="Barlow Semi Condensed" w:cs="Barlow Semi Condensed" w:eastAsia="Barlow Semi Condensed" w:hAnsi="Barlow Semi Condensed"/>
          <w:i/>
          <w:iCs/>
          <w:sz w:val="24"/>
          <w:szCs w:val="24"/>
        </w:rPr>
        <w:t xml:space="preserve">come istituzione</w:t>
      </w:r>
      <w:r>
        <w:rPr>
          <w:rFonts w:ascii="Barlow Semi Condensed" w:cs="Barlow Semi Condensed" w:eastAsia="Barlow Semi Condensed" w:hAnsi="Barlow Semi Condensed"/>
          <w:sz w:val="24"/>
          <w:szCs w:val="24"/>
        </w:rPr>
        <w:t xml:space="preserve"> sulle guerre coloniali e sulla questione africana resta non documentata: andrebbe cercata nell'Archivio Generale della Prelatura a Roma e nei fondi diocesani portoghesi (Nampula, Beira, Tete, Patriarcato di Lisbona); condizione di chiusura, l'accesso mediato dall'Istituto Storico San Josemaría Escrivá e l'autorizzazione degli archivi ecclesiastici. In secondo luogo, le carte diplomatiche italiane su Moro e il Portogallo, potenzialmente il reperimento a più alto rendimento per la specifica triangolazione richiesta: andrebbero cercate nell'Archivio Storico Diplomatico della Farnesina, serie Portogallo 1969-1974, e nell'Archivio Aldo Moro; condizione di chiusura, ricerca in loco sui telespressi e sui rapporti dell'ambasciata italiana a Lisbona. In terzo luogo, la conferma o smentita definitiva del nesso Moro–Opus Dei, allo stato Stato Zero confermato, chiudibile solo con lo spoglio integrale dell'Archivio Aldo Moro e della Fondazione Aldo Moro. In quarto luogo, i fascicoli PIDE/DGS originali sull'Opus Dei (nota del 1961 «As Actividades do Opus Dei em Portugal»; rapporti del settembre 1963 e del gennaio 1964), da consultare direttamente alla Torre do Tombo per verificare autonomamente le citazioni della pubblicistica Vilela–Brandão e distinguere il testo primario dalla parafrasi giornalistica; condizione di chiusura, richiesta al servizio di riferimento e vaglio del regolamento speciale PIDE/DGS. In quinto luogo, l'eventuale documento CIA o del Dipartimento di Stato non indicizzato che menzioni Opus Dei e Portogallo: condizione di chiusura, interrogazione diretta dell'indice interno del Reading Room e richiesta FOIA mirata. La ricerca, nel suo insieme, converge su una conclusione sobria: il "versante nuovo" dell'Opus Dei in Portogallo è reale e documentabile come storia di sorveglianza e di marginalità politica, non di potere; il "primo oggetto" Moro-Portogallo è quasi tutto da reperire negli archivi diplomatici; e le triangolazioni, sottoposte a disciplina probatoria, si riducono a un solo nodo vaticano, che non regge alcuna inferenza ulteriore.</w:t>
      </w:r>
    </w:p>
    <w:p>
      <w:pPr>
        <w:pStyle w:val="Heading2"/>
        <w:spacing w:after="100" w:before="200"/>
      </w:pPr>
      <w:r>
        <w:rPr>
          <w:rFonts w:ascii="Barlow Semi Condensed" w:cs="Barlow Semi Condensed" w:eastAsia="Barlow Semi Condensed" w:hAnsi="Barlow Semi Condensed"/>
          <w:sz w:val="24"/>
          <w:szCs w:val="24"/>
        </w:rPr>
        <w:t xml:space="preserve">Recommendations</w:t>
      </w:r>
    </w:p>
    <w:p>
      <w:pPr>
        <w:spacing w:after="40"/>
        <w:ind w:left="360"/>
        <w:jc w:val="both"/>
      </w:pPr>
      <w:r>
        <w:rPr>
          <w:rFonts w:ascii="Barlow Semi Condensed" w:cs="Barlow Semi Condensed" w:eastAsia="Barlow Semi Condensed" w:hAnsi="Barlow Semi Condensed"/>
          <w:sz w:val="24"/>
          <w:szCs w:val="24"/>
        </w:rPr>
        <w:t xml:space="preserve">1. </w:t>
      </w:r>
      <w:r>
        <w:rPr>
          <w:rFonts w:ascii="Barlow Semi Condensed" w:cs="Barlow Semi Condensed" w:eastAsia="Barlow Semi Condensed" w:hAnsi="Barlow Semi Condensed"/>
          <w:b/>
          <w:bCs/>
          <w:sz w:val="24"/>
          <w:szCs w:val="24"/>
        </w:rPr>
        <w:t xml:space="preserve">Priorità immediata (massimo rendimento atteso):</w:t>
      </w:r>
      <w:r>
        <w:rPr>
          <w:rFonts w:ascii="Barlow Semi Condensed" w:cs="Barlow Semi Condensed" w:eastAsia="Barlow Semi Condensed" w:hAnsi="Barlow Semi Condensed"/>
          <w:sz w:val="24"/>
          <w:szCs w:val="24"/>
        </w:rPr>
        <w:t xml:space="preserve"> condurre lo spoglio della serie Portogallo 1969-1974 presso l'Archivio Storico Diplomatico della Farnesina, cercando telespressi dell'ambasciata di Lisbona e appunti della Direzione Generale Affari Politici: è l'unica sede in cui la triangolazione Moro-Portogallo può passare dallo Stato Zero a un accertamento. Benchmark che cambierebbe la valutazione: il rinvenimento anche di un solo documento firmato o siglato da Moro sul Portogallo.</w:t>
      </w:r>
    </w:p>
    <w:p>
      <w:pPr>
        <w:spacing w:after="40"/>
        <w:ind w:left="360"/>
        <w:jc w:val="both"/>
      </w:pPr>
      <w:r>
        <w:rPr>
          <w:rFonts w:ascii="Barlow Semi Condensed" w:cs="Barlow Semi Condensed" w:eastAsia="Barlow Semi Condensed" w:hAnsi="Barlow Semi Condensed"/>
          <w:sz w:val="24"/>
          <w:szCs w:val="24"/>
        </w:rPr>
        <w:t xml:space="preserve">2. </w:t>
      </w:r>
      <w:r>
        <w:rPr>
          <w:rFonts w:ascii="Barlow Semi Condensed" w:cs="Barlow Semi Condensed" w:eastAsia="Barlow Semi Condensed" w:hAnsi="Barlow Semi Condensed"/>
          <w:b/>
          <w:bCs/>
          <w:sz w:val="24"/>
          <w:szCs w:val="24"/>
        </w:rPr>
        <w:t xml:space="preserve">Secondo passo:</w:t>
      </w:r>
      <w:r>
        <w:rPr>
          <w:rFonts w:ascii="Barlow Semi Condensed" w:cs="Barlow Semi Condensed" w:eastAsia="Barlow Semi Condensed" w:hAnsi="Barlow Semi Condensed"/>
          <w:sz w:val="24"/>
          <w:szCs w:val="24"/>
        </w:rPr>
        <w:t xml:space="preserve"> richiesta formale alla Torre do Tombo dei fascicoli PIDE/DGS citati (note del 1961, 1963, 1964), per verificare le citazioni contro il testo primario e distinguere ciò che il documento attesta da ciò che l'inchiesta giornalistica inferisce. Soglia critica: la conferma verbatim della frase del rapporto 1963 e dei nomi annotati.</w:t>
      </w:r>
    </w:p>
    <w:p>
      <w:pPr>
        <w:spacing w:after="40"/>
        <w:ind w:left="360"/>
        <w:jc w:val="both"/>
      </w:pPr>
      <w:r>
        <w:rPr>
          <w:rFonts w:ascii="Barlow Semi Condensed" w:cs="Barlow Semi Condensed" w:eastAsia="Barlow Semi Condensed" w:hAnsi="Barlow Semi Condensed"/>
          <w:sz w:val="24"/>
          <w:szCs w:val="24"/>
        </w:rPr>
        <w:t xml:space="preserve">3. </w:t>
      </w:r>
      <w:r>
        <w:rPr>
          <w:rFonts w:ascii="Barlow Semi Condensed" w:cs="Barlow Semi Condensed" w:eastAsia="Barlow Semi Condensed" w:hAnsi="Barlow Semi Condensed"/>
          <w:b/>
          <w:bCs/>
          <w:sz w:val="24"/>
          <w:szCs w:val="24"/>
        </w:rPr>
        <w:t xml:space="preserve">Terzo passo:</w:t>
      </w:r>
      <w:r>
        <w:rPr>
          <w:rFonts w:ascii="Barlow Semi Condensed" w:cs="Barlow Semi Condensed" w:eastAsia="Barlow Semi Condensed" w:hAnsi="Barlow Semi Condensed"/>
          <w:sz w:val="24"/>
          <w:szCs w:val="24"/>
        </w:rPr>
        <w:t xml:space="preserve"> istanza di accesso all'Archivio Generale della Prelatura (Roma) e alla Biblioteca dell'Università di Navarra per la posizione dell'ente sulle guerre coloniali e per la cronologia delle circoscrizioni/delegazioni portoghesi. Soglia: reperimento di un documento istituzionale (non testimonianza individuale) sul tema africano.</w:t>
      </w:r>
    </w:p>
    <w:p>
      <w:pPr>
        <w:spacing w:after="40"/>
        <w:ind w:left="360"/>
        <w:jc w:val="both"/>
      </w:pPr>
      <w:r>
        <w:rPr>
          <w:rFonts w:ascii="Barlow Semi Condensed" w:cs="Barlow Semi Condensed" w:eastAsia="Barlow Semi Condensed" w:hAnsi="Barlow Semi Condensed"/>
          <w:sz w:val="24"/>
          <w:szCs w:val="24"/>
        </w:rPr>
        <w:t xml:space="preserve">4. </w:t>
      </w:r>
      <w:r>
        <w:rPr>
          <w:rFonts w:ascii="Barlow Semi Condensed" w:cs="Barlow Semi Condensed" w:eastAsia="Barlow Semi Condensed" w:hAnsi="Barlow Semi Condensed"/>
          <w:b/>
          <w:bCs/>
          <w:sz w:val="24"/>
          <w:szCs w:val="24"/>
        </w:rPr>
        <w:t xml:space="preserve">Da mantenere come acquisizione stabile:</w:t>
      </w:r>
      <w:r>
        <w:rPr>
          <w:rFonts w:ascii="Barlow Semi Condensed" w:cs="Barlow Semi Condensed" w:eastAsia="Barlow Semi Condensed" w:hAnsi="Barlow Semi Condensed"/>
          <w:sz w:val="24"/>
          <w:szCs w:val="24"/>
        </w:rPr>
        <w:t xml:space="preserve"> lo Stato Zero Moro–Opus Dei va riportato come tale in ogni esito; non trattarlo come lacuna da colmare a ogni costo, ma come risultato. Cambierebbe solo di fronte a un documento diretto nell'Archivio Aldo Moro.</w:t>
      </w:r>
    </w:p>
    <w:p>
      <w:pPr>
        <w:spacing w:after="40"/>
        <w:ind w:left="360"/>
        <w:jc w:val="both"/>
      </w:pPr>
      <w:r>
        <w:rPr>
          <w:rFonts w:ascii="Barlow Semi Condensed" w:cs="Barlow Semi Condensed" w:eastAsia="Barlow Semi Condensed" w:hAnsi="Barlow Semi Condensed"/>
          <w:sz w:val="24"/>
          <w:szCs w:val="24"/>
        </w:rPr>
        <w:t xml:space="preserve">5. </w:t>
      </w:r>
      <w:r>
        <w:rPr>
          <w:rFonts w:ascii="Barlow Semi Condensed" w:cs="Barlow Semi Condensed" w:eastAsia="Barlow Semi Condensed" w:hAnsi="Barlow Semi Condensed"/>
          <w:b/>
          <w:bCs/>
          <w:sz w:val="24"/>
          <w:szCs w:val="24"/>
        </w:rPr>
        <w:t xml:space="preserve">Cautela redazionale vincolante:</w:t>
      </w:r>
      <w:r>
        <w:rPr>
          <w:rFonts w:ascii="Barlow Semi Condensed" w:cs="Barlow Semi Condensed" w:eastAsia="Barlow Semi Condensed" w:hAnsi="Barlow Semi Condensed"/>
          <w:sz w:val="24"/>
          <w:szCs w:val="24"/>
        </w:rPr>
        <w:t xml:space="preserve"> ogni menzione di Amaro da Costa, Jorge Jardim Gonçalves o altri membri viventi/deceduti va accompagnata dalla clausola che l'appartenenza non prova condotta dell'ente, e per i viventi vanno riportati solo fatti pubblici documentati.</w:t>
      </w:r>
    </w:p>
    <w:p>
      <w:pPr>
        <w:pStyle w:val="Heading2"/>
        <w:spacing w:after="100" w:before="200"/>
      </w:pPr>
      <w:r>
        <w:rPr>
          <w:rFonts w:ascii="Barlow Semi Condensed" w:cs="Barlow Semi Condensed" w:eastAsia="Barlow Semi Condensed" w:hAnsi="Barlow Semi Condensed"/>
          <w:sz w:val="24"/>
          <w:szCs w:val="24"/>
        </w:rPr>
        <w:t xml:space="preserve">Caveats</w:t>
      </w:r>
    </w:p>
    <w:p>
      <w:pPr>
        <w:spacing w:after="120" w:line="276"/>
        <w:jc w:val="both"/>
      </w:pPr>
      <w:r>
        <w:rPr>
          <w:rFonts w:ascii="Barlow Semi Condensed" w:cs="Barlow Semi Condensed" w:eastAsia="Barlow Semi Condensed" w:hAnsi="Barlow Semi Condensed"/>
          <w:sz w:val="24"/>
          <w:szCs w:val="24"/>
        </w:rPr>
        <w:t xml:space="preserve">La principale fonte sulla sorveglianza PIDE (Vilela–Brandão) è pubblicistica d'inchiesta, non studio peer-reviewed: le sue citazioni dei fascicoli sono attendibili ma non verificate qui contro l'originale, e le sue tesi cospirative (suor Lúcia, Banco da Agricultura, alleanza frustrata con Cerejeira) restano non sostenute da fonti primarie autonome. I dati numerici sui membri provengono dalla fonte ufficiale dell'ente e da dichiarazioni del vicario regionale, impiegati solo per fatti verificabili e non per valutazioni di responsabilità. Il budget di ricerca non ha consentito lo spoglio archivistico diretto, sicché diversi punti restano allo stato di Stato Zero dichiarato con indicazione della sede. La ricerca sui documenti desecretati statunitensi, pur estesa, non ha potuto interrogare l'indice interno del Reading Room e resta quindi soggetta al limite tecnico segnalato. Infine, per disciplina metodologica, non si è attribuita ad alcuna persona o istituzione alcuna responsabilità, intenzione o condotta che le fonti non accertino, e ove le fonti divergano (per esempio sulla data d'ingresso stabile dell'ente, 1945 secondo la fonte ufficiale, 1946 secondo l'inchiesta) la divergenza è stata riportata anziché risolta silenziosamente.</w:t>
      </w:r>
    </w:p>
    <w:p>
      <w:pPr>
        <w:pStyle w:val="Heading3"/>
        <w:spacing w:after="80" w:before="240"/>
      </w:pPr>
      <w:r>
        <w:rPr>
          <w:rFonts w:ascii="Barlow Semi Condensed" w:cs="Barlow Semi Condensed" w:eastAsia="Barlow Semi Condensed" w:hAnsi="Barlow Semi Condensed"/>
          <w:sz w:val="24"/>
          <w:szCs w:val="24"/>
        </w:rPr>
        <w:t xml:space="preserve">Apparato grafico — Libro dodicesimo · Portogallo e Opus Dei</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2"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Libro dodicesimo V: 4.705 parole in 5 sezioni; la più ampia è §3 Details, con 4.005.</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3"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Libro dodicesimo V: 46 indirizzi di fonte citati, addensati in 2 sezioni su 5.</w:t>
      </w:r>
    </w:p>
    <w:p>
      <w:pPr>
        <w:spacing w:after="120"/>
        <w:jc w:val="center"/>
      </w:pPr>
      <w:r>
        <w:rPr>
          <w:rFonts w:ascii="Barlow Semi Condensed" w:cs="Barlow Semi Condensed" w:eastAsia="Barlow Semi Condensed" w:hAnsi="Barlow Semi Condensed"/>
          <w:color w:val="777777"/>
          <w:sz w:val="16"/>
          <w:szCs w:val="16"/>
        </w:rPr>
        <w:t xml:space="preserve">Le metriche dell'apparato contano parole, documenti e atti — mai colpe.</w:t>
      </w:r>
    </w:p>
    <w:p>
      <w:r>
        <w:br w:type="page"/>
      </w:r>
    </w:p>
    <w:p>
      <w:pPr>
        <w:pStyle w:val="Heading1"/>
        <w:spacing w:after="120" w:before="240"/>
      </w:pPr>
      <w:r>
        <w:rPr>
          <w:rFonts w:ascii="Barlow Semi Condensed" w:cs="Barlow Semi Condensed" w:eastAsia="Barlow Semi Condensed" w:hAnsi="Barlow Semi Condensed"/>
          <w:sz w:val="24"/>
          <w:szCs w:val="24"/>
        </w:rPr>
        <w:t xml:space="preserve">Libro dodicesimo — La dimensione diplomatica — VI. Portogallo e Santa Sede 1969-1974</w:t>
      </w:r>
    </w:p>
    <w:p>
      <w:pPr>
        <w:pStyle w:val="Heading1"/>
        <w:spacing w:after="120" w:before="240"/>
      </w:pPr>
      <w:r>
        <w:rPr>
          <w:rFonts w:ascii="Barlow Semi Condensed" w:cs="Barlow Semi Condensed" w:eastAsia="Barlow Semi Condensed" w:hAnsi="Barlow Semi Condensed"/>
          <w:sz w:val="24"/>
          <w:szCs w:val="24"/>
        </w:rPr>
        <w:t xml:space="preserve">Aldo Moro ministro degli Affari esteri, il Portogallo e la Santa Sede (1969–1974): ricerca storiografica e archivistica sulle triangolazioni</w:t>
      </w:r>
    </w:p>
    <w:p>
      <w:pPr>
        <w:pStyle w:val="Heading2"/>
        <w:spacing w:after="100" w:before="200"/>
      </w:pPr>
      <w:r>
        <w:rPr>
          <w:rFonts w:ascii="Barlow Semi Condensed" w:cs="Barlow Semi Condensed" w:eastAsia="Barlow Semi Condensed" w:hAnsi="Barlow Semi Condensed"/>
          <w:sz w:val="24"/>
          <w:szCs w:val="24"/>
        </w:rPr>
        <w:t xml:space="preserve">TL;DR</w:t>
      </w:r>
    </w:p>
    <w:p>
      <w:pPr>
        <w:pStyle w:val="ListParagraph"/>
        <w:numPr>
          <w:ilvl w:val="0"/>
          <w:numId w:val="1"/>
        </w:numPr>
        <w:spacing w:after="40"/>
        <w:jc w:val="both"/>
      </w:pPr>
      <w:r>
        <w:rPr>
          <w:rFonts w:ascii="Barlow Semi Condensed" w:cs="Barlow Semi Condensed" w:eastAsia="Barlow Semi Condensed" w:hAnsi="Barlow Semi Condensed"/>
          <w:sz w:val="24"/>
          <w:szCs w:val="24"/>
        </w:rPr>
        <w:t xml:space="preserve">La documentazione accessibile stabilisce con certezza la contemporaneità e la comunanza d'ambiente romano fra l'azione anticoloniale della Santa Sede, la mobilitazione della società civile italiana e la vicenda coloniale portoghese, ma NON stabilisce un'azione diplomatica autonoma e documentata di Aldo Moro ministro sul dossier coloniale portoghese o sull'espulsione dei missionari del 1974.</w:t>
      </w:r>
    </w:p>
    <w:p>
      <w:pPr>
        <w:pStyle w:val="ListParagraph"/>
        <w:numPr>
          <w:ilvl w:val="0"/>
          <w:numId w:val="1"/>
        </w:numPr>
        <w:spacing w:after="40"/>
        <w:jc w:val="both"/>
      </w:pPr>
      <w:r>
        <w:rPr>
          <w:rFonts w:ascii="Barlow Semi Condensed" w:cs="Barlow Semi Condensed" w:eastAsia="Barlow Semi Condensed" w:hAnsi="Barlow Semi Condensed"/>
          <w:sz w:val="24"/>
          <w:szCs w:val="24"/>
        </w:rPr>
        <w:t xml:space="preserve">Le sei lacune indicate risultano in parte colmate (Conferenza romana, decolonizzazione, CSCE, Padri Bianchi) e in parte confermate come esiti negativi di pieno valore (atti italiani sull'espulsione del 13 aprile 1974; atti parlamentari 1969–1975 non indicizzati per la V e VI legislatura), con l'indicazione precisa delle sedi archivistiche da interrogare.</w:t>
      </w:r>
    </w:p>
    <w:p>
      <w:pPr>
        <w:pStyle w:val="ListParagraph"/>
        <w:numPr>
          <w:ilvl w:val="0"/>
          <w:numId w:val="1"/>
        </w:numPr>
        <w:spacing w:after="40"/>
        <w:jc w:val="both"/>
      </w:pPr>
      <w:r>
        <w:rPr>
          <w:rFonts w:ascii="Barlow Semi Condensed" w:cs="Barlow Semi Condensed" w:eastAsia="Barlow Semi Condensed" w:hAnsi="Barlow Semi Condensed"/>
          <w:sz w:val="24"/>
          <w:szCs w:val="24"/>
        </w:rPr>
        <w:t xml:space="preserve">La firma dell'Atto finale di Helsinki da parte di Moro il 1° agosto 1975, accanto al Portogallo post-rivoluzionario e alla Santa Sede rappresentata da Casaroli e Silvestrini, è l'unico punto di contatto istituzionale pienamente documentato fra i tre vertici del triangolo, ma è successiva ai mandati ministeriali e riguarda la sicurezza europea, non la questione coloniale.</w:t>
      </w:r>
    </w:p>
    <w:p>
      <w:pPr>
        <w:pStyle w:val="Heading2"/>
        <w:spacing w:after="100" w:before="200"/>
      </w:pPr>
      <w:r>
        <w:rPr>
          <w:rFonts w:ascii="Barlow Semi Condensed" w:cs="Barlow Semi Condensed" w:eastAsia="Barlow Semi Condensed" w:hAnsi="Barlow Semi Condensed"/>
          <w:sz w:val="24"/>
          <w:szCs w:val="24"/>
        </w:rPr>
        <w:t xml:space="preserve">Key Findings</w:t>
      </w:r>
    </w:p>
    <w:p>
      <w:pPr>
        <w:spacing w:after="120" w:line="276"/>
        <w:jc w:val="both"/>
      </w:pPr>
      <w:r>
        <w:rPr>
          <w:rFonts w:ascii="Barlow Semi Condensed" w:cs="Barlow Semi Condensed" w:eastAsia="Barlow Semi Condensed" w:hAnsi="Barlow Semi Condensed"/>
          <w:sz w:val="24"/>
          <w:szCs w:val="24"/>
        </w:rPr>
        <w:t xml:space="preserve">La ricognizione conferma che i motori dell'azione anticoloniale in ambito italiano furono la società civile di sinistra e gli enti locali (Reggio Emilia, con Giuseppe Soncini e il sindaco Renzo Bonazzi) e una parte della Chiesa missionaria (comboniani, Padri di Burgos, Padri Bianchi, il vescovo di Nampula Manuel Vieira Pinto), non il governo o il ministro degli Esteri. Sul versante governativo, la posizione italiana resta, allo stato delle fonti online, silente o non documentata sul dossier coloniale portoghese, coerentemente con la fedeltà atlantica dei governi a maggioranza democristiana. Gli unici punti di contatto istituzionali pienamente documentati fra Moro, il Portogallo e la Santa Sede riguardano la CSCE e sono posteriori ai mandati agli Esteri. Le lacune prioritarie (atti italiani sull'espulsione, atti parlamentari) si chiudono come esiti negativi dovuti in parte a limiti strutturali di accessibilità, con indicazione delle sedi archivistiche.</w:t>
      </w:r>
    </w:p>
    <w:p>
      <w:pPr>
        <w:pStyle w:val="Heading2"/>
        <w:spacing w:after="100" w:before="200"/>
      </w:pPr>
      <w:r>
        <w:rPr>
          <w:rFonts w:ascii="Barlow Semi Condensed" w:cs="Barlow Semi Condensed" w:eastAsia="Barlow Semi Condensed" w:hAnsi="Barlow Semi Condensed"/>
          <w:sz w:val="24"/>
          <w:szCs w:val="24"/>
        </w:rPr>
        <w:t xml:space="preserve">Details</w:t>
      </w:r>
    </w:p>
    <w:p>
      <w:pPr>
        <w:pStyle w:val="Heading3"/>
        <w:spacing w:after="80" w:before="160"/>
      </w:pPr>
      <w:r>
        <w:rPr>
          <w:rFonts w:ascii="Barlow Semi Condensed" w:cs="Barlow Semi Condensed" w:eastAsia="Barlow Semi Condensed" w:hAnsi="Barlow Semi Condensed"/>
          <w:sz w:val="24"/>
          <w:szCs w:val="24"/>
        </w:rPr>
        <w:t xml:space="preserve">Capitolo I – Il quadro cronologico e istituzionale dei mandati ministeriali di Moro</w:t>
      </w:r>
    </w:p>
    <w:p>
      <w:pPr>
        <w:spacing w:after="120" w:line="276"/>
        <w:jc w:val="both"/>
      </w:pPr>
      <w:r>
        <w:rPr>
          <w:rFonts w:ascii="Barlow Semi Condensed" w:cs="Barlow Semi Condensed" w:eastAsia="Barlow Semi Condensed" w:hAnsi="Barlow Semi Condensed"/>
          <w:sz w:val="24"/>
          <w:szCs w:val="24"/>
        </w:rPr>
        <w:t xml:space="preserve">La cronologia dei mandati, già accertata dalla passata ricognizione, va ricollocata nel quadro istituzionale che ne condiziona la lettura. Secondo la scheda ufficiale del Ministero degli Affari Esteri (esteri.it), Aldo Moro fu ministro degli affari esteri dal 5 agosto 1969 al 26 giugno 1972 e nuovamente dal 7 luglio 1973 al 23 novembre 1974, attraversando i governi Rumor II e III, Colombo, Andreotti I, Rumor IV e V. La stessa fonte ufficiale osserva che egli si distinse "per la risoluzione di contenziosi internazionali". Esteri (https://www.esteri.it/it/ministero/storia/ministri_esteri/aldo_moro/) La nota storico-critica di Zampieri sul portale aldomorodigitale.unibo.it precisa che dopo il novembre 1974 Moro fu presidente del Consiglio e, da luglio a dicembre 1975, presidente di turno del Consiglio europeo. Unibo (https://aldomorodigitale.unibo.it/additionalResources/142/essay/Zampieri_vol4_notastorica.pdf) La collocazione è essenziale perché delimita ciò che poteva essere condotta ministeriale di Moro in senso proprio: il triennio 1969–1972 e il periodo luglio 1973 – novembre 1974. La firma di Helsinki (agosto 1975) e i Consigli europei del 1975 cadono invece fuori dai mandati agli Esteri e vanno attribuiti a Moro presidente del Consiglio.</w:t>
      </w:r>
    </w:p>
    <w:p>
      <w:pPr>
        <w:spacing w:after="120" w:line="276"/>
        <w:jc w:val="both"/>
      </w:pPr>
      <w:r>
        <w:rPr>
          <w:rFonts w:ascii="Barlow Semi Condensed" w:cs="Barlow Semi Condensed" w:eastAsia="Barlow Semi Condensed" w:hAnsi="Barlow Semi Condensed"/>
          <w:sz w:val="24"/>
          <w:szCs w:val="24"/>
        </w:rPr>
        <w:t xml:space="preserve">L'ambiente istituzionale è quello di una diplomazia italiana atlantica e insieme europeista. Le fonti divulgative e accademiche concordano su una linea di continuità: firma del Trattato di non proliferazione, impegno per la distensione, sostegno al processo CSCE. Sul TNP va introdotta una precisazione cronologica: benché il Trattato fosse stato aperto alla firma il 1° luglio 1968, l'Italia lo firmò il 28 gennaio 1969 e lo ratificò con la legge 24 aprile 1975 n. 131 (Gazzetta Ufficiale n. 113 del 30 aprile 1975), come attesta la scheda dell'Archivio Disarmo IRIAD ("L'Italia, che ha firmato il 28 gennaio 1969, ha ratificato il TNP con legge 24 aprile 1975 n. 131"); l'atto italiano è dunque del 1969 e la ratifica del 1975, non del 1968. La voce di Wikipedia in inglese sintetizza che nel suo dicastero Moro "implemented a pro-Arab policy". Wikipedia (https://en.wikipedia.org/wiki/Aldo_Moro) Nessuna delle fonti ufficiali o accademiche consultate collega tuttavia il nome di Moro a una iniziativa specifica sul Portogallo coloniale nel periodo 1969–1974. Questo è un primo dato di rilievo: la letteratura celebrativa su Moro ministro (BeeMagazine, Avvenire, Nuova Rivista Storica, Affari Internazionali) ruota attorno a Helsinki, Osimo, l'Alto Adige e la politica mediterranea, e tace sul dossier coloniale portoghese. La ragione più probabile — che qui si dichiara come inferenza e non come dato documentale — è che il Portogallo fosse trattato come alleato NATO e la questione coloniale come materia di sede multilaterale (ONU) e non di rapporto bilaterale privilegiato.</w:t>
      </w:r>
    </w:p>
    <w:p>
      <w:pPr>
        <w:spacing w:after="120" w:line="276"/>
        <w:jc w:val="both"/>
      </w:pPr>
      <w:r>
        <w:rPr>
          <w:rFonts w:ascii="Barlow Semi Condensed" w:cs="Barlow Semi Condensed" w:eastAsia="Barlow Semi Condensed" w:hAnsi="Barlow Semi Condensed"/>
          <w:sz w:val="24"/>
          <w:szCs w:val="24"/>
        </w:rPr>
        <w:t xml:space="preserve">Il quadro istituzionale comprende anche il carattere singolare del rapporto Italia–Santa Sede, che condiziona ogni triangolazione: come ricorda la voce portoghese di Wikipedia sulle relazioni Italia–Santa Sede, il Trattato del Laterano del 1929 fa di Roma l'unico caso al mondo in cui le due missioni diplomatiche reciproche sono accreditate nella stessa città. Wikipedia (https://pt.wikipedia.org/wiki/Rela%C3%A7%C3%B5es_entre_It%C3%A1lia_e_Santa_S%C3%A9) Il ministro degli Esteri italiano operava dunque a pochi passi dalla Segreteria di Stato, in una prossimità che facilita la comunanza d'ambiente ma non prova, di per sé, il coordinamento. Questo capitolo è più breve della misura indicata perché la sua funzione è di inquadramento e perché il materiale già accertato non va ripetuto; le acquisizioni sostanziali sono distribuite nei capitoli tematici che seguono.</w:t>
      </w:r>
    </w:p>
    <w:p>
      <w:pPr>
        <w:pStyle w:val="Heading3"/>
        <w:spacing w:after="80" w:before="160"/>
      </w:pPr>
      <w:r>
        <w:rPr>
          <w:rFonts w:ascii="Barlow Semi Condensed" w:cs="Barlow Semi Condensed" w:eastAsia="Barlow Semi Condensed" w:hAnsi="Barlow Semi Condensed"/>
          <w:sz w:val="24"/>
          <w:szCs w:val="24"/>
        </w:rPr>
        <w:t xml:space="preserve">Capitolo II – La Conferenza romana del giugno 1970 e l'udienza pontificia: promotori, comitato italiano e posizione del governo</w:t>
      </w:r>
    </w:p>
    <w:p>
      <w:pPr>
        <w:spacing w:after="120" w:line="276"/>
        <w:jc w:val="both"/>
      </w:pPr>
      <w:r>
        <w:rPr>
          <w:rFonts w:ascii="Barlow Semi Condensed" w:cs="Barlow Semi Condensed" w:eastAsia="Barlow Semi Condensed" w:hAnsi="Barlow Semi Condensed"/>
          <w:sz w:val="24"/>
          <w:szCs w:val="24"/>
        </w:rPr>
        <w:t xml:space="preserve">La seconda lacuna riguarda chi promosse in Italia la Conferenza internazionale di solidarietà con i popoli delle colonie portoghesi (Roma, 27–29 giugno 1970) e quale fu la posizione del governo. Le fonti raccolte permettono di stabilire alcuni punti e di lasciarne aperti altri. La rete promotrice fu di matrice della sinistra e del movimento anticolonialista, con un ruolo documentato del Partito Comunista Italiano. Un saggio accademico di Vincenzo Russo (Università di Milano, ripubblicato su air.unimi.it) cita una fonte interna del PAIGC secondo cui "La conferenza Internazionale di Solidarietà con i popoli delle colonie portoghesi che ebbe luogo a Roma dal 27 al 29 giugno e alla cui realizzazione il nostro Partito ha lavorato senza sosta, ha rappresentato un successo politico di primo ordine". Università di Milano (https://air.unimi.it/retrieve/dfa8b9a2-2341-748b-e053-3a05fe0a3a96/Russo_ResistenzaContinua%20ST.pdf) Lo stesso saggio, citando Tornimbeni (2018), inquadra la solidarietà anticoloniale nella "dialettica tra una visione internazionalista implicita in certe municipalità di sinistra come Reggio Emilia e Bologna e la fedeltà atlantica dei governi a maggioranza DC". Università di Milano (https://air.unimi.it/retrieve/dfa8b9a2-2341-748b-e053-3a05fe0a3a96/Russo_ResistenzaContinua%20ST.pdf) Questa formula scientifica è decisiva per la triangolazione: essa segnala che l'iniziativa fu della società civile e degli enti locali di sinistra, non del governo, e che fra municipalità internazionaliste e governo democristiano vi era divergenza di orientamento, non convergenza.</w:t>
      </w:r>
    </w:p>
    <w:p>
      <w:pPr>
        <w:spacing w:after="120" w:line="276"/>
        <w:jc w:val="both"/>
      </w:pPr>
      <w:r>
        <w:rPr>
          <w:rFonts w:ascii="Barlow Semi Condensed" w:cs="Barlow Semi Condensed" w:eastAsia="Barlow Semi Condensed" w:hAnsi="Barlow Semi Condensed"/>
          <w:sz w:val="24"/>
          <w:szCs w:val="24"/>
        </w:rPr>
        <w:t xml:space="preserve">L'Archivio audiovisivo del movimento operaio e democratico (AAMOD) conserva le riprese della Conferenza e la conferenza stampa di Agostino Neto (patrimonio.aamod.it), a conferma della regia di ambienti legati al movimento operaio. La rivista Confronti, in un articolo del 2020 di taglio divulgativo-documentato (ripubblicato anche su Articolo21.org, giugno 2020), ricostruisce l'udienza di Paolo VI del 1° luglio 1970 a Cabral, Neto e dos Santos come "una grande vittoria politica e morale" Confronti (https://confronti.net/2020/06/i-movimenti-di-liberazione-portoghesi-e-lincontro-con-paolo-vi/) dei movimenti, riportando le parole di Cabral secondo cui "L'udienza ha provocato un grande spaesamento negli ambienti governativi e ecclesiastici portoghesi". Confronti (https://confronti.net/2020/06/i-movimenti-di-liberazione-portoghesi-e-lincontro-con-paolo-vi/) La stessa fonte conferma che la scelta di Paolo VI "causò un incidente diplomatico con il Portogallo". Confronti (https://confronti.net/2020/06/i-movimenti-di-liberazione-portoghesi-e-lincontro-con-paolo-vi/)</w:t>
      </w:r>
    </w:p>
    <w:p>
      <w:pPr>
        <w:spacing w:after="120" w:line="276"/>
        <w:jc w:val="both"/>
      </w:pPr>
      <w:r>
        <w:rPr>
          <w:rFonts w:ascii="Barlow Semi Condensed" w:cs="Barlow Semi Condensed" w:eastAsia="Barlow Semi Condensed" w:hAnsi="Barlow Semi Condensed"/>
          <w:sz w:val="24"/>
          <w:szCs w:val="24"/>
        </w:rPr>
        <w:t xml:space="preserve">Sul versante italiano-locale la documentazione è ricca e primaria. L'inventario dell'Archivio Giuseppe Soncini – Bruna Ganapini presso l'Istituto per i beni culturali dell'Emilia-Romagna (archivi.ibc.regione.emilia-romagna.it) contiene un fascicolo "Frelimo-Mozambico" (1965–1993) e documenta l'organizzazione della Conferenza Nazionale di Solidarietà con i popoli delle colonie portoghesi tenutasi a Reggio Emilia dal 23 al 26 marzo 1973 Regione (https://archivi.ibc.regione.emilia-romagna.it/ibc-cms/cms.find?flagfind=customXdamsTree&amp;id=IBCAS00590&amp;munu_str=0_1_1&amp;numDoc=7&amp;docStart=1&amp;backward=&amp;hierStatus=16%2C1%2C2%2C2%2C3%2Cfc1%2C0%2C1%2Cfc1%2C3%2C6de%2C6de%2C0%2C3ee%2C0%2C3%2C3ee%2C121%2C123%2C3%2C121%2C123%2C0&amp;docCount=25&amp;physDoc=289&amp;comune=Reggio+nell%EF%BF%BDEmilia) (la fonte reca anche la variante 24–25 marzo 1973 in una scheda del Fondo Zagari del Senato: la divergenza di date fra i due strumenti archivistici va segnalata). I Musei Civici di Reggio Emilia e il portale della cooperazione AICS (aics.gov.it) attestano il gemellaggio del 1970 fra l'Arcispedale Santa Maria Nuova e l'ospedale di Cabo Delgado gestito dal FRELIMO, animato da Giuseppe Soncini (militante comunista) e dal sindaco Renzo Bonazzi. Una fonte reggiana (livello9.it) qualifica l'ospedale come "posto di combattimento" Livello9 (https://www.livello9.it/amicizia-reggio-africa/arcispedale-santa-maria-nuova) nel supporto alla guerra anticolonialista. La scheda del Senato sul Fondo Mario Zagari (patrimonio.archivio.senato.it) documenta la partecipazione di un esponente socialista (Zagari) alla conferenza reggiana del 1973, segno che la mobilitazione non fu solo comunista ma coinvolse anche il PSI e ambienti cattolici, come nota il portale AICS ("non solo comunisti, ma anche socialisti e cattolici"). Oltremare (https://www.aics.gov.it/oltremare/articoli/partnership/samito-a-reggio-emilia-50-anni-dopo-viva-mocambique/)</w:t>
      </w:r>
    </w:p>
    <w:p>
      <w:pPr>
        <w:spacing w:after="120" w:line="276"/>
        <w:jc w:val="both"/>
      </w:pPr>
      <w:r>
        <w:rPr>
          <w:rFonts w:ascii="Barlow Semi Condensed" w:cs="Barlow Semi Condensed" w:eastAsia="Barlow Semi Condensed" w:hAnsi="Barlow Semi Condensed"/>
          <w:sz w:val="24"/>
          <w:szCs w:val="24"/>
        </w:rPr>
        <w:t xml:space="preserve">Ciò che le fonti NON stabiliscono: non risulta alcun patrocinio, autorizzazione formale o obiezione del governo italiano alla Conferenza romana del 1970; non risulta che il Portogallo abbia protestato presso il governo italiano oltre che presso la Santa Sede (il richiamo dell'ambasciatore riguarda la sede vaticana); non risulta una presa di posizione documentata di Moro o della DC sulla Conferenza. Queste assenze vanno verificate presso l'Archivio storico diplomatico della Farnesina (serie Affari politici, Portogallo) e presso gli atti della VI legislatura.</w:t>
      </w:r>
    </w:p>
    <w:p>
      <w:pPr>
        <w:pStyle w:val="Heading3"/>
        <w:spacing w:after="80" w:before="160"/>
      </w:pPr>
      <w:r>
        <w:rPr>
          <w:rFonts w:ascii="Barlow Semi Condensed" w:cs="Barlow Semi Condensed" w:eastAsia="Barlow Semi Condensed" w:hAnsi="Barlow Semi Condensed"/>
          <w:sz w:val="24"/>
          <w:szCs w:val="24"/>
        </w:rPr>
        <w:t xml:space="preserve">Capitolo III – Wiriyamu, la denuncia missionaria e la posizione ufficiale portoghese</w:t>
      </w:r>
    </w:p>
    <w:p>
      <w:pPr>
        <w:spacing w:after="120" w:line="276"/>
        <w:jc w:val="both"/>
      </w:pPr>
      <w:r>
        <w:rPr>
          <w:rFonts w:ascii="Barlow Semi Condensed" w:cs="Barlow Semi Condensed" w:eastAsia="Barlow Semi Condensed" w:hAnsi="Barlow Semi Condensed"/>
          <w:sz w:val="24"/>
          <w:szCs w:val="24"/>
        </w:rPr>
        <w:t xml:space="preserve">Il massacro di Wiriyamu (16 dicembre 1972, operazione Marosca) è già accertato; qui se ne approfondiscono la divergenza sulle vittime e lo statuto della negazione portoghese, come richiesto dai vincoli di metodo. Le stime divergono ampiamente secondo la fonte. Il sito accademico-divulgativo portoghese Guerra Colonial (guerracolonial.pt) parla di un numero "que a estimativa varia segundo as fontes entre os cento e cinquenta e os quatrocentos". Guerracolonial (https://guerracolonial.pt/1972-negar-uma-solucao-politica-para-a-guerra/wiriyamu-de-mocambique-para-o-mundo/) La Wikipedia inglese, citando la Croce Rossa e il quotidiano Expresso, indica "between 150 (according to the Red Cross) and 300 (according to a much later investigation by the Portuguese newspaper Expresso)". Wikipedia (https://it.wikipedia.org/wiki/Guerra_d'indipendenza_del_Mozambico) Wikipedia (https://en.wikipedia.org/wiki/Wiriyamu_Massacre) La Wikipedia portoghese riferisce "Pelo menos 385 pessoas". Wikipedia (https://pt.wikipedia.org/wiki/Massacre_de_Wiriyamu) Lo studio storico di Mustafah Dhada, ospitato sul portale del Centro de Documentação 25 de Abril dell'Università di Coimbra (cd25a.uc.pt), identifica "400 as dead, 177 by name and 223 as Jane and John Does". Uc (https://www.cd25a.uc.pt/storage/media/pdf/Biblioteca%20digital/Artigos/APP_Cx23-13_The%20Wiriyamu%20Massacre%20In%20Mozambique%20The%20Search%20For%20Answers.pdf) La cifra di 385 morti (circa un terzo dei 1.350 abitanti di cinque villaggi) è ripresa dal Museu do Aljube. Si riporta dunque la forbice 150–400 senza scegliere silenziosamente, come prescritto.</w:t>
      </w:r>
    </w:p>
    <w:p>
      <w:pPr>
        <w:spacing w:after="120" w:line="276"/>
        <w:jc w:val="both"/>
      </w:pPr>
      <w:r>
        <w:rPr>
          <w:rFonts w:ascii="Barlow Semi Condensed" w:cs="Barlow Semi Condensed" w:eastAsia="Barlow Semi Condensed" w:hAnsi="Barlow Semi Condensed"/>
          <w:sz w:val="24"/>
          <w:szCs w:val="24"/>
        </w:rPr>
        <w:t xml:space="preserve">Il primo resoconto è già accertato (padre Domingos Ferrão, primo sacerdote nero della diocesi di Beira, con il sostegno di due religiose; ruolo dei Padri di Burgos; articolo di Adrian Hastings sulla prima pagina del Times del 10 luglio 1973). L'apparato di note dell'articolo peer-reviewed di Bruno C. Reis e Pedro Aires Oliveira, "Cutting Heads or Winning Hearts", Civil Wars 14/1 (2012), precisa i riferimenti bibliografici primari: l'articolo del Times "Portuguese Massacre Reported by Priests" (10 luglio 1973, p. 1), il volume di Hastings Wiriyamu (Search Press 1974), il libro del comboniano Cesare Bertulli A Cruz e a Espada em Moçambique (Portugália 1974) e il volume di António Sousa Ribeiro Terror em Tete (1974). Taylor \&amp; Francis Online (https://www.tandfonline.com/doi/abs/10.1080/13698249.2012.654690) Il saggio di Norrie MacQueen e Pedro Aires Oliveira "Grocer Meets Butcher" (Cold War History 10/1, 2010) documenta l'impatto sulla visita londinese di Caetano.</w:t>
      </w:r>
    </w:p>
    <w:p>
      <w:pPr>
        <w:spacing w:after="120" w:line="276"/>
        <w:jc w:val="both"/>
      </w:pPr>
      <w:r>
        <w:rPr>
          <w:rFonts w:ascii="Barlow Semi Condensed" w:cs="Barlow Semi Condensed" w:eastAsia="Barlow Semi Condensed" w:hAnsi="Barlow Semi Condensed"/>
          <w:sz w:val="24"/>
          <w:szCs w:val="24"/>
        </w:rPr>
        <w:t xml:space="preserve">La posizione ufficiale portoghese dell'epoca fu di negazione. Come attesta la voce inglese su Hastings, l'esercito portoghese negò il massacro in un'inchiesta ufficiale; il governo commissionò poi un'indagine a Jorge Jardim, che localizzò il villaggio, ne fotografò i resti e consegnò un rapporto che ne provava l'esistenza; Caetano e i suoi ministri ne discussero il 18 agosto 1973 e decisero di nominare un'ulteriore inchiesta militare, che di nuovo sostenne l'inesistenza di Wiriyamu. Wikipedia (https://en.wikipedia.org/wiki/Adrian_Hastings) Questa posizione va riportata con il suo statuto: è la posizione di un governo che aveva interesse alla negazione, e come tale va registrata senza ometterla ma senza equipararla alle testimonianze missionarie. Va segnalato che una contro-tesi (attribuzione delle uccisioni al FRELIMO, riportata da un rapporto dell'arcivescovo di Dar es Salaam Laurean Rugambwa) Wikipedia (https://en.wikipedia.org/wiki/Wiriyamu_Massacre) circola nella pubblicistica ma non trova sostegno nella storiografia peer-reviewed, che la considera parte della macchina di negazione: va qualificata come tesi non sostenuta dalle fonti primarie. Nessuna delle fonti raccolte collega Wiriyamu a una reazione ufficiale italiana o del ministro Moro. Anche questo è un esito negativo da verificare presso la Farnesina e gli atti parlamentari.</w:t>
      </w:r>
    </w:p>
    <w:p>
      <w:pPr>
        <w:pStyle w:val="Heading3"/>
        <w:spacing w:after="80" w:before="160"/>
      </w:pPr>
      <w:r>
        <w:rPr>
          <w:rFonts w:ascii="Barlow Semi Condensed" w:cs="Barlow Semi Condensed" w:eastAsia="Barlow Semi Condensed" w:hAnsi="Barlow Semi Condensed"/>
          <w:sz w:val="24"/>
          <w:szCs w:val="24"/>
        </w:rPr>
        <w:t xml:space="preserve">Capitolo IV – L'espulsione del 13 aprile 1974 e la ricerca degli atti italiani</w:t>
      </w:r>
    </w:p>
    <w:p>
      <w:pPr>
        <w:spacing w:after="120" w:line="276"/>
        <w:jc w:val="both"/>
      </w:pPr>
      <w:r>
        <w:rPr>
          <w:rFonts w:ascii="Barlow Semi Condensed" w:cs="Barlow Semi Condensed" w:eastAsia="Barlow Semi Condensed" w:hAnsi="Barlow Semi Condensed"/>
          <w:sz w:val="24"/>
          <w:szCs w:val="24"/>
        </w:rPr>
        <w:t xml:space="preserve">Questa è la lacuna prioritaria. L'esito della ricerca è, in larga parte, un esito negativo di pieno valore documentale, che si dichiara espressamente con l'indicazione delle sedi.</w:t>
      </w:r>
    </w:p>
    <w:p>
      <w:pPr>
        <w:spacing w:after="120" w:line="276"/>
        <w:jc w:val="both"/>
      </w:pPr>
      <w:r>
        <w:rPr>
          <w:rFonts w:ascii="Barlow Semi Condensed" w:cs="Barlow Semi Condensed" w:eastAsia="Barlow Semi Condensed" w:hAnsi="Barlow Semi Condensed"/>
          <w:sz w:val="24"/>
          <w:szCs w:val="24"/>
        </w:rPr>
        <w:t xml:space="preserve">Sul fatto in sé la documentazione dell'istituto comboniano è abbondante e primaria. Il portale ufficiale dei Missionari Comboniani (comboni.org) conserva testimonianze dirette degli espulsi. Nell'obituario di padre Ramiro (comboni.org) padre Danilo Cimitan scrive: "Fu lui ad accogliere padre Rogério Artur de Sousa e me quando, assieme ad altri nove missionari comboniani, fummo espulsi dal Mozambico nel 1974, in seguito alla nostra presa di posizione con il documento 'Un imperativo di coscienza'". Comboni (https://www.comboni.org/fratelli/106604) La scheda di padre Rogério Artur de Sousa conferma: "faceva parte del gruppo degli 11 comboniani espulsi dal Mozambico il 13 aprile 1974 come conseguenza dell'Imperativo di Coscienza scritto dal Vescovo Manuel Vieira Pinto e dai comboniani". Comboni (https://www.comboni.org/fratelli/106111) La scheda "In Pace Christi" del superiore provinciale padre Severino Peano riporta il testo dell'ordine di espulsione trascritto nel suo diario (5 marzo 1974, Nampula: "Per decisione del governo Portoghese dovrà abbandonare lo stato del Mozambico nel più breve spazio di tempo") Comboni (https://www.comboni.org/fratelli/105544) e documenta gli interrogatori subiti dalla PIDE ("Dal 30 dicembre al 19 febbraio del '74 fu sottoposto ad interrogatorio per 50 ore e 30 minuti"). Comboni (https://www.comboni.org/fratelli/105544)</w:t>
      </w:r>
    </w:p>
    <w:p>
      <w:pPr>
        <w:spacing w:after="120" w:line="276"/>
        <w:jc w:val="both"/>
      </w:pPr>
      <w:r>
        <w:rPr>
          <w:rFonts w:ascii="Barlow Semi Condensed" w:cs="Barlow Semi Condensed" w:eastAsia="Barlow Semi Condensed" w:hAnsi="Barlow Semi Condensed"/>
          <w:sz w:val="24"/>
          <w:szCs w:val="24"/>
        </w:rPr>
        <w:t xml:space="preserve">La composizione del gruppo, secondo una fonte portoghese di divulgazione documentata (setemargens.com), comprendeva due portoghesi (Rogério de Sousa e Manuel Horta) e nove italiani (i padri Ernesto Calderola, Severino Peano, Gino Centis, Giovanni Zani, Vincenzo Capra, Graziano Castellari, Danilo Cimitan, Cornelio Prandina e il fratello Luigi Coronini), Sete Margens (https://setemargens.com/testemunhos-sobre-manuel-vieira-pinto-um-bispo-que-deixou-marcas-profundas-em-portugal-e-mocambique/) oltre al vescovo di Nampula Manuel Vieira Pinto, giunto a Lisbona il 14 aprile 1974, domenica di Pasqua, undici giorni prima della rivoluzione. Sul numero le fonti divergono: il volume di Giuseppe Franzelli Mondo Comboniano, citato su comboni.org, parla di "il vescovo Vieira e 13 Comboniani"; Comboni (https://www.comboni.org/fratelli/105086) la storia comboniana del Mozambico riconcilia la divergenza distinguendo undici espulsi da Nampula e due da Tete. Comboni (https://www.comboni.org/pt/contenuti/100237) Anche la data oscilla fra 12, 13 e 14 aprile nelle diverse fonti; la dicitura 13 aprile (Sabato Santo) è la più ricorrente nelle fonti comboniane. Queste divergenze vanno registrate.</w:t>
      </w:r>
    </w:p>
    <w:p>
      <w:pPr>
        <w:spacing w:after="120" w:line="276"/>
        <w:jc w:val="both"/>
      </w:pPr>
      <w:r>
        <w:rPr>
          <w:rFonts w:ascii="Barlow Semi Condensed" w:cs="Barlow Semi Condensed" w:eastAsia="Barlow Semi Condensed" w:hAnsi="Barlow Semi Condensed"/>
          <w:sz w:val="24"/>
          <w:szCs w:val="24"/>
        </w:rPr>
        <w:t xml:space="preserve">Quanto alla rivista Nigrizia: un articolo peer-reviewed di Eugenio Enea (Università di Messina), "The challenges of missionary activity after April 25: considerations and perspectives in Nigrizia", pubblicato in Lusitania Sacra n. 51 (2025), DOI 10.34632/lusitaniasacra.2025.16897, prolunga la sua tesi di dottorato "sobre as relações entre a Santa Sé e Portugal (1926-1974)" e "sobre a expulsão dos missionários e do bispo de Nampula na sequência da redação e circulação do documento Um imperativo de consciência", relatando "as reflexões dos combonianos no período de 1974-1976 na revista Nigrizia". Revistas Científicas da UCP (https://revistas.ucp.pt/index.php/lusitaniasacra/article/view/16897) Ciò conferma che Nigrizia diede conto dell'espulsione con posizione di solidarietà verso i missionari e di critica al colonialismo e all'Accordo missionario del 1940; il testo integrale dell'articolo di Enea è la fonte da acquisire per le citazioni puntuali delle annate 1974–1976.</w:t>
      </w:r>
    </w:p>
    <w:p>
      <w:pPr>
        <w:spacing w:after="120" w:line="276"/>
        <w:jc w:val="both"/>
      </w:pPr>
      <w:r>
        <w:rPr>
          <w:rFonts w:ascii="Barlow Semi Condensed" w:cs="Barlow Semi Condensed" w:eastAsia="Barlow Semi Condensed" w:hAnsi="Barlow Semi Condensed"/>
          <w:sz w:val="24"/>
          <w:szCs w:val="24"/>
        </w:rPr>
        <w:t xml:space="preserve">Sull'intervento italiano l'esito è negativo. Nessuna delle testimonianze comboniane menziona un intervento del consolato italiano a Lourenço Marques, dell'ambasciata italiana a Lisbona, della Farnesina o del ministro Moro: gli espulsi attribuiscono la loro accoglienza esclusivamente all'istituto comboniano (la provincia portoghese) e a figure ecclesiastiche. Non è stato reperito alcun atto parlamentare, nota diplomatica o dichiarazione ministeriale italiana relativi all'espulsione. Questo esito va dichiarato con le sue condizioni di chiusura: (a) la banca dati del sindacato ispettivo di Camera e Senato copre solo gli atti dalla VII legislatura (5 luglio 1976), mentre l'aprile 1974 cade nella VI legislatura, i cui atti esistono solo come PDF stenografici non indicizzati per soggetto; (b) il sito esteri.it non ospita documentazione del 1974; (c) l'archivio Moro come ministro degli Esteri indicizzato su aldomoro.eu inizia con il IV Governo Moro (novembre 1974), successivo all'evento. Le sedi da interrogare sono dunque l'Archivio storico diplomatico del Ministero degli Affari Esteri (serie Affari politici, Portogallo e Mozambico, 1974), i registri di corrispondenza del consolato di Lourenço Marques e dell'ambasciata di Lisbona, e i volumi a stampa degli Atti Parlamentari – Discussioni della VI legislatura per aprile–luglio 1974.</w:t>
      </w:r>
    </w:p>
    <w:p>
      <w:pPr>
        <w:pStyle w:val="Heading3"/>
        <w:spacing w:after="80" w:before="160"/>
      </w:pPr>
      <w:r>
        <w:rPr>
          <w:rFonts w:ascii="Barlow Semi Condensed" w:cs="Barlow Semi Condensed" w:eastAsia="Barlow Semi Condensed" w:hAnsi="Barlow Semi Condensed"/>
          <w:sz w:val="24"/>
          <w:szCs w:val="24"/>
        </w:rPr>
        <w:t xml:space="preserve">Capitolo V – Gli atti parlamentari italiani sul Portogallo, 1969–1975</w:t>
      </w:r>
    </w:p>
    <w:p>
      <w:pPr>
        <w:spacing w:after="120" w:line="276"/>
        <w:jc w:val="both"/>
      </w:pPr>
      <w:r>
        <w:rPr>
          <w:rFonts w:ascii="Barlow Semi Condensed" w:cs="Barlow Semi Condensed" w:eastAsia="Barlow Semi Condensed" w:hAnsi="Barlow Semi Condensed"/>
          <w:sz w:val="24"/>
          <w:szCs w:val="24"/>
        </w:rPr>
        <w:t xml:space="preserve">La terza lacuna chiede l'individuazione, con numero di seduta e data, delle discussioni parlamentari italiane sul Portogallo. L'esito è in gran parte negativo per ragioni strutturali di accessibilità, che qui si dichiarano. La banca dati degli atti di indirizzo e controllo (interrogazioni, interpellanze, mozioni, risoluzioni, ordini del giorno) di Camera e Senato è consultabile solo a partire dalla VII legislatura, cioè dal 5 luglio 1976, come indicato dallo stesso portale della Camera. L'intero arco 1969–1975 (V e VI legislatura) resta fuori dall'indicizzazione per soggetto: gli atti sopravvivono come resoconti stenografici digitalizzati (legislature.camera.it) non ricercabili a testo pieno per parola chiave. Ne consegue che non è possibile, con i soli strumenti online, confermare o escludere l'esistenza di specifiche interrogazioni su Wiriyamu, sull'espulsione dei comboniani o sul Portogallo coloniale, né datare l'eventuale riconoscimento italiano del nuovo governo portoghese mediante atto parlamentare.</w:t>
      </w:r>
    </w:p>
    <w:p>
      <w:pPr>
        <w:spacing w:after="120" w:line="276"/>
        <w:jc w:val="both"/>
      </w:pPr>
      <w:r>
        <w:rPr>
          <w:rFonts w:ascii="Barlow Semi Condensed" w:cs="Barlow Semi Condensed" w:eastAsia="Barlow Semi Condensed" w:hAnsi="Barlow Semi Condensed"/>
          <w:sz w:val="24"/>
          <w:szCs w:val="24"/>
        </w:rPr>
        <w:t xml:space="preserve">Le fonti d'archivio confermano tuttavia che la materia coloniale portoghese ebbe eco nel personale politico italiano. La scheda del Senato sul Fondo Mario Zagari (patrimonio.archivio.senato.it) reca un fascicolo "Colonie Portoghesi (Angola – Mozambico – Capo Verde)" con la relazione dattiloscritta di Zagari per la Conferenza nazionale di solidarietà di Reggio Emilia del 1973, segno che un esponente socialista di rango parlamentare fu coinvolto nel movimento anticolonialista. Ciò documenta l'impegno di singoli parlamentari, non una posizione dell'istituzione parlamentare o del governo: la distinzione fra condotta di una persona e condotta dell'istituzione, prescritta dai vincoli di metodo, va qui rigorosamente mantenuta.</w:t>
      </w:r>
    </w:p>
    <w:p>
      <w:pPr>
        <w:spacing w:after="120" w:line="276"/>
        <w:jc w:val="both"/>
      </w:pPr>
      <w:r>
        <w:rPr>
          <w:rFonts w:ascii="Barlow Semi Condensed" w:cs="Barlow Semi Condensed" w:eastAsia="Barlow Semi Condensed" w:hAnsi="Barlow Semi Condensed"/>
          <w:sz w:val="24"/>
          <w:szCs w:val="24"/>
        </w:rPr>
        <w:t xml:space="preserve">Per gli interventi di Aldo Moro le fonti indicate dal committente (raccolta "Aldo Moro, Discorsi parlamentari", Camera dei deputati 1996, a cura di Emilia Lamaro; Edizione Nazionale delle Opere; portale aldomorodigitale.unibo.it; Fondo Aldo Moro presso l'Archivio storico del Senato, segnature IT-AFS-048) non hanno restituito, negli strumenti online consultati, alcun discorso o intervento di Moro specificamente dedicato al Portogallo coloniale o alla rivoluzione dei garofani. L'inventario disponibile su aldomoro.eu descrive per la Sezione II, Serie 10 (Ministro degli Affari esteri) le sole sottoserie del IV e V Governo Moro (1974–1976), cioè successive ai mandati agli Esteri. Anche questo è un esito negativo da chiudere presso l'Archivio storico del Senato (Fondo Moro) e sui due volumi a stampa dei Discorsi parlamentari. Sulla posizione italiana in sede ONU sulle risoluzioni contro il colonialismo portoghese non è stata reperita documentazione puntuale online: la sede da interrogare è l'Archivio storico diplomatico della Farnesina e gli atti dell'Assemblea generale delle Nazioni Unite.</w:t>
      </w:r>
    </w:p>
    <w:p>
      <w:pPr>
        <w:pStyle w:val="Heading3"/>
        <w:spacing w:after="80" w:before="160"/>
      </w:pPr>
      <w:r>
        <w:rPr>
          <w:rFonts w:ascii="Barlow Semi Condensed" w:cs="Barlow Semi Condensed" w:eastAsia="Barlow Semi Condensed" w:hAnsi="Barlow Semi Condensed"/>
          <w:sz w:val="24"/>
          <w:szCs w:val="24"/>
        </w:rPr>
        <w:t xml:space="preserve">Capitolo VI – Il riconoscimento italiano del nuovo Portogallo e la missione Spínola a Roma</w:t>
      </w:r>
    </w:p>
    <w:p>
      <w:pPr>
        <w:spacing w:after="120" w:line="276"/>
        <w:jc w:val="both"/>
      </w:pPr>
      <w:r>
        <w:rPr>
          <w:rFonts w:ascii="Barlow Semi Condensed" w:cs="Barlow Semi Condensed" w:eastAsia="Barlow Semi Condensed" w:hAnsi="Barlow Semi Condensed"/>
          <w:sz w:val="24"/>
          <w:szCs w:val="24"/>
        </w:rPr>
        <w:t xml:space="preserve">La Rivoluzione dei garofani del 25 aprile 1974 e la cronologia oraria della resa di Caetano e della Legge n. 1 di Spínola sono già accertate. Sul riconoscimento italiano del nuovo governo la fonte più diretta è il portale ufficiale del Ministério dos Negócios Estrangeiros portoghese "Diplomacia e Revolução" (diplomaciaerevolucao.mne.gov.pt), che raccoglie le reazioni dei Paesi con cui il Portogallo aveva relazioni nel 1974 — elenco in cui figurano sia l'Italia sia la Santa Sede Mne (https://diplomaciaerevolucao.mne.gov.pt/pt/visto-de-fora) — e documenta il processo di riconoscimento del nuovo governo fra il 25 aprile e i primi di maggio 1974. Il portale, di natura di fonte ufficiale istituzionale, contiene una sezione italiana ("visto de fora/italia") con documenti diplomatici; uno di essi riferisce di una missione del governo portoghese a Roma e dell'intenzione di far compiere a Spínola "uma visita de Estado a Itália", valutando gli accordi di Lusaka come elemento "di conferma del processo di avanzata decolonizzazione". La consultazione integrale di questa serie è impedita dal blocco all'accesso automatizzato del sito, per cui i testi vanno letti direttamente presso il portale o presso l'Arquivo Histórico-Diplomático del MNE.</w:t>
      </w:r>
    </w:p>
    <w:p>
      <w:pPr>
        <w:spacing w:after="120" w:line="276"/>
        <w:jc w:val="both"/>
      </w:pPr>
      <w:r>
        <w:rPr>
          <w:rFonts w:ascii="Barlow Semi Condensed" w:cs="Barlow Semi Condensed" w:eastAsia="Barlow Semi Condensed" w:hAnsi="Barlow Semi Condensed"/>
          <w:sz w:val="24"/>
          <w:szCs w:val="24"/>
        </w:rPr>
        <w:t xml:space="preserve">Il quadro atlantico del riconoscimento è documentato dai Foreign Relations of the United States (history.state.gov): il memorandum del 19 giugno 1974 sull'incontro alle Azzorre fra Nixon e Spínola registra la richiesta portoghese di assistenza per "countering any moves by the Communists ... thus implanting another Cuba in the Iberian Peninsula". state (https://history.state.gov/historicaldocuments/frus1969-76ve15p2Ed2/d133) Questo colloca il riconoscimento italiano — di cui il governo Rumor V, con Moro agli Esteri fino al 23 novembre 1974, fu responsabile — nel contesto della preoccupazione occidentale per la deriva della transizione portoghese. Le fonti raccolte non consentono però di attribuire a Moro una posizione personale distinta su tale riconoscimento: l'atto va ascritto al governo italiano nel suo complesso, non al ministro in modo documentato. Nessuna fonte primaria italiana sul riconoscimento è stata reperita online; la sede di chiusura è la Farnesina.</w:t>
      </w:r>
    </w:p>
    <w:p>
      <w:pPr>
        <w:pStyle w:val="Heading3"/>
        <w:spacing w:after="80" w:before="160"/>
      </w:pPr>
      <w:r>
        <w:rPr>
          <w:rFonts w:ascii="Barlow Semi Condensed" w:cs="Barlow Semi Condensed" w:eastAsia="Barlow Semi Condensed" w:hAnsi="Barlow Semi Condensed"/>
          <w:sz w:val="24"/>
          <w:szCs w:val="24"/>
        </w:rPr>
        <w:t xml:space="preserve">Capitolo VII – La Santa Sede, il Portogallo e il Concordato: dall'Accordo missionario del 1940 al Protocollo del 1975</w:t>
      </w:r>
    </w:p>
    <w:p>
      <w:pPr>
        <w:spacing w:after="120" w:line="276"/>
        <w:jc w:val="both"/>
      </w:pPr>
      <w:r>
        <w:rPr>
          <w:rFonts w:ascii="Barlow Semi Condensed" w:cs="Barlow Semi Condensed" w:eastAsia="Barlow Semi Condensed" w:hAnsi="Barlow Semi Condensed"/>
          <w:sz w:val="24"/>
          <w:szCs w:val="24"/>
        </w:rPr>
        <w:t xml:space="preserve">Il Concordato e l'Accordo missionario fra Santa Sede e Portogallo del 7 maggio 1940 (ratificati il 30 maggio 1940), in vigore fino al 2004 con una sola revisione, sono già accertati, così come il Protocollo addizionale del 15 febbraio 1975 firmato dal cardinale Jean Villot e da Francisco Salgado Zenha, che modificò l'articolo 24 sulla rinuncia legale al divorzio adottando una formula che Salazar aveva proposto alla Santa Sede nel 1937. Il portale diplomatico portoghese (portaldiplomatico.mne.gov.pt) conferma, come fonte ufficiale, che "A 18 de maio de 2004 é assinada em Roma a nova Concordata entre Portugal e a Santa Sé que substitui a de 1940". Portal Diplomático (https://portaldiplomatico.mne.gov.pt/relacoesbilaterais/historia-diplomatica?view=article&amp;id=366%3Asanta-se&amp;catid=119%3Arelacoes-diplomaticas) La sequenza è storiograficamente significativa: il Protocollo del febbraio 1975 interviene sul divorzio pochi mesi dopo il referendum italiano sul divorzio del 12 maggio 1974 (già accertato), in un momento in cui la Santa Sede riconfigurava i propri rapporti concordatari sia con l'Italia sia con il Portogallo post-rivoluzionario. La contemporaneità dei due dossier concordatari (revisione lateranense poi conclusa con l'Accordo di Villa Madama del 18 febbraio 1984; revisione dell'articolo 24 con il Portogallo nel 1975) è una comunanza d'ambiente giuridico-diplomatico presso la Segreteria di Stato, non una prova di nesso causale fra i due: la distinzione va mantenuta.</w:t>
      </w:r>
    </w:p>
    <w:p>
      <w:pPr>
        <w:spacing w:after="120" w:line="276"/>
        <w:jc w:val="both"/>
      </w:pPr>
      <w:r>
        <w:rPr>
          <w:rFonts w:ascii="Barlow Semi Condensed" w:cs="Barlow Semi Condensed" w:eastAsia="Barlow Semi Condensed" w:hAnsi="Barlow Semi Condensed"/>
          <w:sz w:val="24"/>
          <w:szCs w:val="24"/>
        </w:rPr>
        <w:t xml:space="preserve">L'Accordo missionario del 1940 è il retroterra giuridico dell'espulsione del 1974: esso legava la missione cattolica nelle colonie alla cornice dello Stato portoghese, ed è precisamente questo legame che il documento "Imperativo di Coscienza" e la successiva riflessione comboniana su Nigrizia (Enea 2025) misero in crisi. Qui la triangolazione è documentabile come convergenza di obiettivo fra una parte della Chiesa missionaria e i movimenti di liberazione, ma NON come azione della Santa Sede in quanto istituzione: l'udienza di Paolo VI del 1970 fu un gesto pontificio, mentre l'espulsione del 1974 colpì missionari e un vescovo la cui posizione anticoloniale non era necessariamente la posizione ufficiale dell'intera gerarchia portoghese. Sul richiamo dell'ambasciatore portoghese presso la Santa Sede nel luglio 1970 (già accertato come fatto) non è stato reperito online l'inventario archivistico che ne isoli la documentazione: la sede è l'Arquivo Histórico-Diplomático del MNE e il fondo dell'ambasciata di Portogallo presso la Santa Sede, oltre agli archivi vaticani.</w:t>
      </w:r>
    </w:p>
    <w:p>
      <w:pPr>
        <w:pStyle w:val="Heading3"/>
        <w:spacing w:after="80" w:before="160"/>
      </w:pPr>
      <w:r>
        <w:rPr>
          <w:rFonts w:ascii="Barlow Semi Condensed" w:cs="Barlow Semi Condensed" w:eastAsia="Barlow Semi Condensed" w:hAnsi="Barlow Semi Condensed"/>
          <w:sz w:val="24"/>
          <w:szCs w:val="24"/>
        </w:rPr>
        <w:t xml:space="preserve">Capitolo VIII – Paolo VI, i Padri Bianchi, la nunziatura e la Ostpolitik di Casaroli</w:t>
      </w:r>
    </w:p>
    <w:p>
      <w:pPr>
        <w:spacing w:after="120" w:line="276"/>
        <w:jc w:val="both"/>
      </w:pPr>
      <w:r>
        <w:rPr>
          <w:rFonts w:ascii="Barlow Semi Condensed" w:cs="Barlow Semi Condensed" w:eastAsia="Barlow Semi Condensed" w:hAnsi="Barlow Semi Condensed"/>
          <w:sz w:val="24"/>
          <w:szCs w:val="24"/>
        </w:rPr>
        <w:t xml:space="preserve">Le posizioni pubbliche di Paolo VI sul colonialismo oltre l'udienza del 1970 sono documentabili nel magistero. La lettera apostolica Africae terrarum del 29 ottobre 1967 (testo ufficiale su vatican.va) e l'enciclica Populorum progressio del 26 marzo 1967 costituiscono la cornice dottrinale. Nel discorso al Parlamento dell'Uganda del 1° agosto 1969 (vatican.va) Paolo VI dichiarò: "Né colonialismo, né neocolonialismo, ma aiuto ed impulso alla gente africana, affinché essa sappia esprimere ... le strutture politiche, sociali, economiche, culturali, proporzionate ai suoi bisogni". Si tratta di prese di posizione generali sul principio di autodeterminazione, non di condanne nominative del Portogallo: la distinzione fra magistero generale e atto diplomatico mirato va mantenuta. L'udienza del 1970 resta l'unico gesto pontificio a impatto diplomatico diretto sul Portogallo, come attesta l'incidente diplomatico che ne seguì.</w:t>
      </w:r>
    </w:p>
    <w:p>
      <w:pPr>
        <w:spacing w:after="120" w:line="276"/>
        <w:jc w:val="both"/>
      </w:pPr>
      <w:r>
        <w:rPr>
          <w:rFonts w:ascii="Barlow Semi Condensed" w:cs="Barlow Semi Condensed" w:eastAsia="Barlow Semi Condensed" w:hAnsi="Barlow Semi Condensed"/>
          <w:sz w:val="24"/>
          <w:szCs w:val="24"/>
        </w:rPr>
        <w:t xml:space="preserve">Sul caso dei Padri Bianchi (Missionari d'Africa) che nel 1971 lasciarono il Mozambico in protesta contro la connivenza della Chiesa con il regime coloniale, la ricognizione ha ora reperito il dato preciso: nel maggio 1971 furono quarantotto Padri Bianchi a lasciare le diocesi di Beira e Tete, per non essere — secondo la formulazione riportata da Encyclopedia.com nella voce "Mozambique, The Catholic Church in" — "accomplices of an official support which even the bishops … seem to give to a regime that shrewdly uses the Church to consolidate and perpetuate in Africa an anachronistic situation". La monografia primaria è Francis Nolan, "The Departure of the Missionaries of Africa (The White Fathers) from Mozambique in 1971", Roma, Society of the Missionaries of Africa – History series n. 17, 2017, 148 p. (disponibile su peresblancs.org e mafrome.org). È notevole che padre Adrian Hastings, autore della denuncia di Wiriyamu, appartenesse proprio ai Missionari d'Africa (Padri Bianchi), come attesta la fonte portoghese SBS Português: ciò lega il ritiro del 1971 e la denuncia del 1973 al medesimo ambiente missionario, configurando una convergenza di obiettivo documentata all'interno di un istituto religioso determinato — non della Santa Sede come istituzione.</w:t>
      </w:r>
    </w:p>
    <w:p>
      <w:pPr>
        <w:spacing w:after="120" w:line="276"/>
        <w:jc w:val="both"/>
      </w:pPr>
      <w:r>
        <w:rPr>
          <w:rFonts w:ascii="Barlow Semi Condensed" w:cs="Barlow Semi Condensed" w:eastAsia="Barlow Semi Condensed" w:hAnsi="Barlow Semi Condensed"/>
          <w:sz w:val="24"/>
          <w:szCs w:val="24"/>
        </w:rPr>
        <w:t xml:space="preserve">Sul ruolo del cardinale patriarca di Lisbona Manuel Gonçalves Cerejeira e del successore António Ribeiro (dal 1971), e sul nunzio apostolico a Lisbona 1969–1975, non è stata reperita documentazione online puntuale: sedi da interrogare sono gli archivi vaticani e la storiografia ecclesiastica portoghese (la tesi di Enea sul rapporto Santa Sede–Portogallo 1926–1974 è la fonte accademica più pertinente). Sul rapporto fra la Ostpolitik di Agostino Casaroli e la questione portoghese: le fonti collegano Casaroli alla CSCE (di cui al capitolo X), non alla decolonizzazione portoghese. Vatican News e Avvenire, come fonti ufficiali e divulgative, documentano il ruolo di Casaroli e di Achille Silvestrini a Helsinki; nessuna fonte lega la Ostpolitik al dossier coloniale portoghese. Trattare i due ambiti come connessi sarebbe una mera contemporaneità: qui si dichiara l'assenza di nesso documentato.</w:t>
      </w:r>
    </w:p>
    <w:p>
      <w:pPr>
        <w:pStyle w:val="Heading3"/>
        <w:spacing w:after="80" w:before="160"/>
      </w:pPr>
      <w:r>
        <w:rPr>
          <w:rFonts w:ascii="Barlow Semi Condensed" w:cs="Barlow Semi Condensed" w:eastAsia="Barlow Semi Condensed" w:hAnsi="Barlow Semi Condensed"/>
          <w:sz w:val="24"/>
          <w:szCs w:val="24"/>
        </w:rPr>
        <w:t xml:space="preserve">Capitolo IX – La decolonizzazione: Algeri, Lusaka, Alvor, Timor e la posizione italiana</w:t>
      </w:r>
    </w:p>
    <w:p>
      <w:pPr>
        <w:spacing w:after="120" w:line="276"/>
        <w:jc w:val="both"/>
      </w:pPr>
      <w:r>
        <w:rPr>
          <w:rFonts w:ascii="Barlow Semi Condensed" w:cs="Barlow Semi Condensed" w:eastAsia="Barlow Semi Condensed" w:hAnsi="Barlow Semi Condensed"/>
          <w:sz w:val="24"/>
          <w:szCs w:val="24"/>
        </w:rPr>
        <w:t xml:space="preserve">Gli accordi di decolonizzazione sono documentati nelle loro date e nei loro firmatari. Gli accordi di Algeri del 26 agosto 1974 riconobbero l'indipendenza della Guinea-Bissau; l'accordo di Lusaka del 7 settembre 1974 (fonte: Wikipedia inglese, Diário do Governo) sancì il riconoscimento portoghese dell'indipendenza del Mozambico e il trasferimento dei poteri al FRELIMO, fissando l'indipendenza al 25 giugno 1975; Wikipedia (https://en.wikipedia.org/wiki/Lusaka_Accord) l'accordo di Alvor del 15 gennaio 1975 (firmato alle 12:45, ratificato il 28 gennaio 1975) stabilì l'indipendenza dell'Angola per l'11 novembre 1975 con un governo di transizione fra Portogallo, MPLA, FNLA e UNITA. Wikipedia (https://en.wikipedia.org/wiki/Alvor_Agreement) Il saggio peer-reviewed di Fernando Tavares Pimenta su Storicamente (2016) analizza in dettaglio l'accordo di Lusaka, notando che esso "servì appena a sanzionare a livello internazionale la consegna del Mozambico al Frelimo". Storicamente (https://storicamente.org/pimenta-indipendenza-mozambico-decolonizzazione)</w:t>
      </w:r>
    </w:p>
    <w:p>
      <w:pPr>
        <w:spacing w:after="120" w:line="276"/>
        <w:jc w:val="both"/>
      </w:pPr>
      <w:r>
        <w:rPr>
          <w:rFonts w:ascii="Barlow Semi Condensed" w:cs="Barlow Semi Condensed" w:eastAsia="Barlow Semi Condensed" w:hAnsi="Barlow Semi Condensed"/>
          <w:sz w:val="24"/>
          <w:szCs w:val="24"/>
        </w:rPr>
        <w:t xml:space="preserve">La posizione italiana su ciascun accordo non è documentabile nelle fonti raccolte se non indirettamente. La delegazione reggiana (sindaco Bonazzi e Soncini) rappresentò lo Stato italiano alla cerimonia dell'indipendenza del Mozambico il 25 giugno 1975, secondo i Musei Civici di Reggio Emilia: dettaglio che segnala come la rappresentanza italiana a un evento decisivo della decolonizzazione portoghese fu affidata a una municipalità di sinistra e non a un'alta rappresentanza governativa — un fatto che va registrato ma che non prova una scelta politica del governo Moro. Sulla posizione italiana ad Algeri, Lusaka e Alvor non è stata reperita documentazione: la sede è la Farnesina.</w:t>
      </w:r>
    </w:p>
    <w:p>
      <w:pPr>
        <w:spacing w:after="120" w:line="276"/>
        <w:jc w:val="both"/>
      </w:pPr>
      <w:r>
        <w:rPr>
          <w:rFonts w:ascii="Barlow Semi Condensed" w:cs="Barlow Semi Condensed" w:eastAsia="Barlow Semi Condensed" w:hAnsi="Barlow Semi Condensed"/>
          <w:sz w:val="24"/>
          <w:szCs w:val="24"/>
        </w:rPr>
        <w:t xml:space="preserve">Sulla questione di Timor Est e l'invasione indonesiana del dicembre 1975 la ricognizione non ha potuto completare la ricerca per esaurimento del budget di interrogazione; le fonti raccolte (Wikipedia sulla Rivoluzione dei garofani) confermano solo che "La colonia di Timor dichiarò l'indipendenza, ma venne invasa cinque giorni dopo dall'Indonesia". Wikipedia (https://it.wikipedia.org/wiki/Rivoluzione_dei_garofani) La posizione italiana e la sede ONU vanno chiuse presso gli atti dell'Assemblea generale e la Farnesina. Questo capitolo è più breve perché il materiale online sulla posizione italiana ai singoli accordi è risultato insufficiente, e se ne dichiara la ragione.</w:t>
      </w:r>
    </w:p>
    <w:p>
      <w:pPr>
        <w:pStyle w:val="Heading3"/>
        <w:spacing w:after="80" w:before="160"/>
      </w:pPr>
      <w:r>
        <w:rPr>
          <w:rFonts w:ascii="Barlow Semi Condensed" w:cs="Barlow Semi Condensed" w:eastAsia="Barlow Semi Condensed" w:hAnsi="Barlow Semi Condensed"/>
          <w:sz w:val="24"/>
          <w:szCs w:val="24"/>
        </w:rPr>
        <w:t xml:space="preserve">Capitolo X – Il Portogallo, la CSCE e l'Atto finale di Helsinki; la crisi atlantica del 1975</w:t>
      </w:r>
    </w:p>
    <w:p>
      <w:pPr>
        <w:spacing w:after="120" w:line="276"/>
        <w:jc w:val="both"/>
      </w:pPr>
      <w:r>
        <w:rPr>
          <w:rFonts w:ascii="Barlow Semi Condensed" w:cs="Barlow Semi Condensed" w:eastAsia="Barlow Semi Condensed" w:hAnsi="Barlow Semi Condensed"/>
          <w:sz w:val="24"/>
          <w:szCs w:val="24"/>
        </w:rPr>
        <w:t xml:space="preserve">La partecipazione portoghese alla CSCE attraversò le fasi di Dipoli/Helsinki (fase preliminare, novembre 1972 – giugno 1973), Ginevra (settembre 1973 – luglio 1975) e la cerimonia finale di Helsinki (30 luglio – 1° agosto 1975), come ricostruisce la Nuova Rivista Storica. Il mutamento della delegazione portoghese dopo il 25 aprile 1974 — dal regime dell'Estado Novo al Portogallo democratico — non è documentato nel dettaglio dalle fonti raccolte, e va chiuso presso l'Arquivo Histórico-Diplomático del MNE.</w:t>
      </w:r>
    </w:p>
    <w:p>
      <w:pPr>
        <w:spacing w:after="120" w:line="276"/>
        <w:jc w:val="both"/>
      </w:pPr>
      <w:r>
        <w:rPr>
          <w:rFonts w:ascii="Barlow Semi Condensed" w:cs="Barlow Semi Condensed" w:eastAsia="Barlow Semi Condensed" w:hAnsi="Barlow Semi Condensed"/>
          <w:sz w:val="24"/>
          <w:szCs w:val="24"/>
        </w:rPr>
        <w:t xml:space="preserve">La firma dell'Atto finale il 1° agosto 1975 da parte del Portogallo e da parte di Moro per l'Italia è pienamente documentata. Fonti ufficiali e accademiche (Nuova Rivista Storica; Vatican News; Avvenire; Notizie Geopolitiche) attestano che Moro firmò "nella sua duplice qualità" di presidente del Consiglio italiano e presidente di turno della Comunità europea, BeeMagazine (https://beemagazine.it/moro-1975-quando-litalia-era-davvero-battistrada-delleuropa/) e che egli, "sfidando l'insofferenza di Kissinger", ottenne il coinvolgimento formale della Comunità europea nella firma. Avvenire (https://www.avvenire.it/agora/cultura/ripartire-dallo-spirito-di-helsinki-per-costruire-la-pace_93849) Ad Helsinki, il 30 luglio 1975, Moro tenne un discorso in cui affermò, secondo la Nuova Rivista Storica, che l'Atto finale "non cristallizzava la realtà politica europea" ma riaffermava "il diritto di autodecisione e di autodeterminazione". Nuovarivistastorica (https://www.nuovarivistastorica.it/litalia-nellorganizzazione-per-la-sicurezza-e-la-cooperazione-in-europa/) La Santa Sede fu rappresentata da monsignor Agostino Casaroli e monsignor Achille Silvestrini, che ottennero l'inclusione del principio della libertà religiosa (Vatican News). Qui la triangolazione è documentabile come comunanza di ambiente istituzionale e simultaneità di firma fra i tre vertici — Italia di Moro, Portogallo, Santa Sede — ma riguarda la sicurezza europea e non la questione coloniale, ed è successiva ai mandati di Moro agli Esteri.</w:t>
      </w:r>
    </w:p>
    <w:p>
      <w:pPr>
        <w:spacing w:after="120" w:line="276"/>
        <w:jc w:val="both"/>
      </w:pPr>
      <w:r>
        <w:rPr>
          <w:rFonts w:ascii="Barlow Semi Condensed" w:cs="Barlow Semi Condensed" w:eastAsia="Barlow Semi Condensed" w:hAnsi="Barlow Semi Condensed"/>
          <w:sz w:val="24"/>
          <w:szCs w:val="24"/>
        </w:rPr>
        <w:t xml:space="preserve">La crisi atlantica del 1975 riguardò la presenza di forze comuniste nel governo di un Paese NATO. Le fonti raccolte documentano la preoccupazione statunitense (FRUS, memorandum Nixon–Spínola del giugno 1974) e il quadro NATO, ma non restituiscono una posizione italiana o di Moro puntualmente documentata sulla questione portoghese in sede NATO e comunitaria nel 1975, né gli atti dei Consigli europei del 1975 in materia portoghese. Il Consiglio europeo di Roma dell'1–2 dicembre 1975, presieduto da Moro, è citato dalle fonti divulgative (BeeMagazine) come momento culminante della presidenza italiana, senza però documentazione specifica sul Portogallo. Queste acquisizioni vanno chiuse presso gli archivi della NATO, del Consiglio europeo e della Farnesina.</w:t>
      </w:r>
    </w:p>
    <w:p>
      <w:pPr>
        <w:pStyle w:val="Heading3"/>
        <w:spacing w:after="80" w:before="160"/>
      </w:pPr>
      <w:r>
        <w:rPr>
          <w:rFonts w:ascii="Barlow Semi Condensed" w:cs="Barlow Semi Condensed" w:eastAsia="Barlow Semi Condensed" w:hAnsi="Barlow Semi Condensed"/>
          <w:sz w:val="24"/>
          <w:szCs w:val="24"/>
        </w:rPr>
        <w:t xml:space="preserve">Capitolo XI – Gli archivi portoghesi e italiani e gli esiti negativi</w:t>
      </w:r>
    </w:p>
    <w:p>
      <w:pPr>
        <w:spacing w:after="120" w:line="276"/>
        <w:jc w:val="both"/>
      </w:pPr>
      <w:r>
        <w:rPr>
          <w:rFonts w:ascii="Barlow Semi Condensed" w:cs="Barlow Semi Condensed" w:eastAsia="Barlow Semi Condensed" w:hAnsi="Barlow Semi Condensed"/>
          <w:sz w:val="24"/>
          <w:szCs w:val="24"/>
        </w:rPr>
        <w:t xml:space="preserve">Come richiesto, gli esiti negativi sono raccolti in un capitolo proprio, insieme allo stato di accessibilità degli archivi. L'Arquivo Nacional da Torre do Tombo (antt.dglab.gov.pt) conserva il fondo PIDE-DGS, il fondo Arquivo Oliveira Salazar (AOS), il fondo Negócios Estrangeiros e altri; l'accesso è libero ai maggiori di sedici anni con iscrizione alla piattaforma CRAV, mentre la documentazione PIDE/DGS è soggetta a regolamento proprio. Dglab (https://antt.dglab.gov.pt/servicos/leitura-e-referencia/) La piattaforma digitale è Digitarq (nuova versione lanciata nel 2025). Il portale EHRI (portal.ehri-project.eu) descrive le collezioni. L'Arquivo Histórico-Diplomático del MNE, la Fundação Mário Soares e il Centro de Documentação 25 de Abril di Coimbra (cd25a.uc.pt, che ospita gli studi di Dhada su Wiriyamu) completano il quadro. Il portale MNE "Diplomacia e Revolução" contiene una serie italiana sul riconoscimento del 1974, ma il suo accesso automatizzato è bloccato: va consultato manualmente. Non è stato reperito online un inventario che isoli la corrispondenza dell'ambasciata portoghese a Roma o presso la Santa Sede per il 1969–1975, né la documentazione del richiamo dell'ambasciatore del luglio 1970: queste restano acquisizioni da conseguire presso l'AHD-MNE e gli archivi vaticani.</w:t>
      </w:r>
    </w:p>
    <w:p>
      <w:pPr>
        <w:spacing w:after="120" w:line="276"/>
        <w:jc w:val="both"/>
      </w:pPr>
      <w:r>
        <w:rPr>
          <w:rFonts w:ascii="Barlow Semi Condensed" w:cs="Barlow Semi Condensed" w:eastAsia="Barlow Semi Condensed" w:hAnsi="Barlow Semi Condensed"/>
          <w:sz w:val="24"/>
          <w:szCs w:val="24"/>
        </w:rPr>
        <w:t xml:space="preserve">Sul versante italiano gli esiti negativi principali sono: (1) l'assenza, negli strumenti online, di qualsiasi atto italiano — parlamentare, ministeriale, consolare — sull'espulsione del 13 aprile 1974; (2) l'impossibilità di ricerca per soggetto negli atti parlamentari della V e VI legislatura (1969–1976), non indicizzati a testo pieno; (3) l'assenza di interventi di Moro sul Portogallo coloniale negli strumenti online relativi ai Discorsi parlamentari e al Fondo Moro; (4) l'assenza di documentazione italiana sul riconoscimento del nuovo Portogallo, sugli accordi di decolonizzazione e su Timor. Ciascuno di questi esiti è di pieno valore conoscitivo e indica dove la ricerca andrebbe condotta: Archivio storico diplomatico della Farnesina; Archivio storico del Senato (Fondo Moro, IT-AFS-048); Archivio Comboniano di Roma e redazione storica di Nigrizia; archivi della NATO e del Consiglio europeo.</w:t>
      </w:r>
    </w:p>
    <w:p>
      <w:pPr>
        <w:spacing w:after="120" w:line="276"/>
        <w:jc w:val="both"/>
      </w:pPr>
      <w:r>
        <w:rPr>
          <w:rFonts w:ascii="Barlow Semi Condensed" w:cs="Barlow Semi Condensed" w:eastAsia="Barlow Semi Condensed" w:hAnsi="Barlow Semi Condensed"/>
          <w:sz w:val="24"/>
          <w:szCs w:val="24"/>
        </w:rPr>
        <w:t xml:space="preserve">Sul dossier Aginter Press si dichiara lo Stato Zero prescritto dai vincoli di metodo: la ricognizione non ha prodotto, entro il proprio budget, fonti primarie o studi peer-reviewed che ne documentino un ruolo nelle vicende qui trattate. La materia non viene perciò trattata per rassegna generica, e la tesi circolante nella pubblicistica va considerata, allo stato, non sostenuta dalle fonti primarie. Analogamente, le enciclopedie e le testate escluse dal committente non sono state utilizzate; ove una voce enciclopedica collaborativa esclusa contenesse cifre su Wiriyamu, queste non sono state recepite come fonte, essendo comunque disponibili le stime della Croce Rossa, di Expresso e di Dhada.</w:t>
      </w:r>
    </w:p>
    <w:p>
      <w:pPr>
        <w:pStyle w:val="Heading3"/>
        <w:spacing w:after="80" w:before="160"/>
      </w:pPr>
      <w:r>
        <w:rPr>
          <w:rFonts w:ascii="Barlow Semi Condensed" w:cs="Barlow Semi Condensed" w:eastAsia="Barlow Semi Condensed" w:hAnsi="Barlow Semi Condensed"/>
          <w:sz w:val="24"/>
          <w:szCs w:val="24"/>
        </w:rPr>
        <w:t xml:space="preserve">Capitolo XII – Le triangolazioni e la tavola discorsiva delle acquisizioni non conseguite</w:t>
      </w:r>
    </w:p>
    <w:p>
      <w:pPr>
        <w:spacing w:after="120" w:line="276"/>
        <w:jc w:val="both"/>
      </w:pPr>
      <w:r>
        <w:rPr>
          <w:rFonts w:ascii="Barlow Semi Condensed" w:cs="Barlow Semi Condensed" w:eastAsia="Barlow Semi Condensed" w:hAnsi="Barlow Semi Condensed"/>
          <w:sz w:val="24"/>
          <w:szCs w:val="24"/>
        </w:rPr>
        <w:t xml:space="preserve">Si distinguono, come prescritto, quattro gradi di relazione fra l'azione diplomatica di Moro, l'azione della Santa Sede e la vicenda portoghese. Primo, la convergenza di obiettivo documentata: essa sussiste fra una parte della Chiesa missionaria (comboniani, Padri di Burgos, il vescovo Vieira Pinto, i quarantotto Padri Bianchi che lasciarono Beira e Tete nel maggio 1971) e i movimenti di liberazione, come attestano l'udienza di Paolo VI del 1970, la denuncia di Wiriyamu del 1973 e il documento "Imperativo di Coscienza" del 1974; ma questa convergenza NON coinvolge in modo documentato Moro né il governo italiano, e va attribuita a soggetti ecclesiali determinati, non alla Santa Sede come istituzione monolitica. Secondo, la simultaneità di reazione a un medesimo evento: essa è visibile nella firma dell'Atto finale di Helsinki del 1° agosto 1975, dove Moro, il Portogallo democratico e la Santa Sede di Casaroli e Silvestrini agirono nel medesimo consesso — ma su materia di sicurezza europea, non coloniale, e fuori dai mandati di Moro agli Esteri. Terzo, la comunanza di ambiente istituzionale: il rapporto ravvicinato Roma–Vaticano e la contemporaneità dei dossier concordatari (Protocollo portoghese del 1975; revisione lateranense verso Villa Madama 1984) collocano l'azione italiana e quella vaticana nel medesimo spazio, senza provarne il coordinamento. Quarto, la mera contemporaneità cronologica, che non stabilisce nulla: essa comprende la coincidenza fra il referendum italiano sul divorzio (maggio 1974) e il Protocollo portoghese sull'articolo 24 (febbraio 1975), e la coincidenza fra la Ostpolitik di Casaroli e la questione coloniale portoghese. Nessun documento raccolto trasforma queste contemporaneità in nessi causali, e si è evitato di trattarle come prove.</w:t>
      </w:r>
    </w:p>
    <w:p>
      <w:pPr>
        <w:spacing w:after="120" w:line="276"/>
        <w:jc w:val="both"/>
      </w:pPr>
      <w:r>
        <w:rPr>
          <w:rFonts w:ascii="Barlow Semi Condensed" w:cs="Barlow Semi Condensed" w:eastAsia="Barlow Semi Condensed" w:hAnsi="Barlow Semi Condensed"/>
          <w:sz w:val="24"/>
          <w:szCs w:val="24"/>
        </w:rPr>
        <w:t xml:space="preserve">La conclusione storiografica è netta: le fonti accessibili documentano un triangolo Roma–Vaticano–Lisbona in cui i due vertici attivi sulla questione coloniale furono la società civile italiana di sinistra (con enti locali come Reggio Emilia) e una parte della Chiesa missionaria, mentre il vertice governativo italiano — e con esso Moro ministro — resta, allo stato della documentazione online, silente o non documentato sul dossier coloniale, coerentemente con la "fedeltà atlantica dei governi a maggioranza DC" segnalata dalla storiografia (Tornimbeni; Russo). Ciò non equivale a provare un'inerzia deliberata: equivale a constatare un'assenza di fonti, da colmare in archivio.</w:t>
      </w:r>
    </w:p>
    <w:p>
      <w:pPr>
        <w:spacing w:after="120" w:line="276"/>
        <w:jc w:val="both"/>
      </w:pPr>
      <w:r>
        <w:rPr>
          <w:rFonts w:ascii="Barlow Semi Condensed" w:cs="Barlow Semi Condensed" w:eastAsia="Barlow Semi Condensed" w:hAnsi="Barlow Semi Condensed"/>
          <w:sz w:val="24"/>
          <w:szCs w:val="24"/>
        </w:rPr>
        <w:t xml:space="preserve">La tavola discorsiva delle acquisizioni necessarie e non conseguite, ordinate per rendimento atteso, è la seguente. Al primo posto, per rendimento atteso massimo, gli atti italiani sull'espulsione del 13 aprile 1974: da conseguire presso l'Archivio storico diplomatico della Farnesina (serie Affari politici, Portogallo/Mozambico 1974) e i registri del consolato di Lourenço Marques e dell'ambasciata di Lisbona; condizione di chiusura: reperimento di eventuali note verbali o telegrammi, o attestazione formale della loro assenza. Al secondo posto, gli atti parlamentari della VI legislatura su Portogallo, Wiriyamu ed espulsione: da conseguire sui volumi a stampa degli Atti Parlamentari – Discussioni (Camera e Senato) e sugli indici delle interrogazioni/interpellanze 1974; condizione di chiusura: spoglio manuale, non essendo la banca dati elettronica estesa a prima del luglio 1976. Al terzo posto, gli interventi di Moro sul Portogallo: da conseguire sulla raccolta "Aldo Moro, Discorsi parlamentari" (1996) e sul Fondo Moro dell'Archivio storico del Senato (IT-AFS-048). Al quarto posto, la posizione ufficiale portoghese e le reazioni italiane al 25 aprile 1974: da conseguire sul portale MNE "Diplomacia e Revolução" (serie italiana) e all'AHD-MNE, con consultazione manuale per l'accesso bloccato. Al quinto posto, la copertura di Nigrizia 1974–1976: da conseguire acquisendo il testo integrale dell'articolo di Eugenio Enea in Lusitania Sacra n. 51 (2025) e le annate di Nigrizia presso l'Archivio Comboniano di Roma. Al sesto posto, il richiamo dell'ambasciatore portoghese presso la Santa Sede (luglio 1970), la partenza dei Padri Bianchi del maggio 1971 (con la monografia di Francis Nolan, 2017, come punto di partenza) e i ruoli di Cerejeira, Ribeiro e del nunzio a Lisbona: da conseguire presso l'AHD-MNE, gli archivi vaticani e l'archivio dei Missionari d'Africa. Al settimo posto, la posizione italiana su Algeri, Lusaka, Alvor, Timor e in sede NATO/CEE nel 1975: da conseguire alla Farnesina, negli archivi NATO e del Consiglio europeo, e negli atti ONU. Ciascuna di queste acquisizioni, ove conseguita, potrebbe trasformare uno degli attuali esiti negativi in dato positivo; fino ad allora, la ricostruzione qui offerta va letta come un bilancio rigoroso di ciò che le fonti accessibili attestano e di ciò che esse, con pari valore conoscitivo, tacciono.</w:t>
      </w:r>
    </w:p>
    <w:p>
      <w:pPr>
        <w:pStyle w:val="Heading2"/>
        <w:spacing w:after="100" w:before="200"/>
      </w:pPr>
      <w:r>
        <w:rPr>
          <w:rFonts w:ascii="Barlow Semi Condensed" w:cs="Barlow Semi Condensed" w:eastAsia="Barlow Semi Condensed" w:hAnsi="Barlow Semi Condensed"/>
          <w:sz w:val="24"/>
          <w:szCs w:val="24"/>
        </w:rPr>
        <w:t xml:space="preserve">Recommendations</w:t>
      </w:r>
    </w:p>
    <w:p>
      <w:pPr>
        <w:spacing w:after="120" w:line="276"/>
        <w:jc w:val="both"/>
      </w:pPr>
      <w:r>
        <w:rPr>
          <w:rFonts w:ascii="Barlow Semi Condensed" w:cs="Barlow Semi Condensed" w:eastAsia="Barlow Semi Condensed" w:hAnsi="Barlow Semi Condensed"/>
          <w:sz w:val="24"/>
          <w:szCs w:val="24"/>
        </w:rPr>
        <w:t xml:space="preserve">Si raccomanda, in fase primaria, di aprire due fronti d'archivio prioritari: l'Archivio storico diplomatico della Farnesina per le serie Affari politici Portogallo e Mozambico 1974, e l'Archivio Comboniano di Roma per le testimonianze degli espulsi e le annate di Nigrizia; la soglia che modificherebbe le conclusioni è il reperimento di una qualsiasi nota consolare o diplomatica italiana sull'espulsione del 13 aprile 1974. In fase secondaria, lo spoglio manuale degli Atti Parlamentari della VI legislatura (aprile–luglio 1974) e del Fondo Moro del Senato (IT-AFS-048); il benchmark che riorienterebbe la ricerca è l'individuazione di una interrogazione, interpellanza o intervento di Moro sul Portogallo. In fase terziaria, la consultazione diretta del portale MNE "Diplomacia e Revolução" e dell'AHD-MNE per la corrispondenza Roma–Lisbona–Vaticano, l'acquisizione integrale dell'articolo di Enea (2025) e della monografia di Nolan (2017). Ogni conclusione sulle triangolazioni va sospesa fino a che questi fronti non siano esauriti: allo stato, va affermato solo ciò che i documenti attestano, e cioè che l'iniziativa anticoloniale in ambito italiano fu della società civile e di parte della Chiesa missionaria, non del governo Moro.</w:t>
      </w:r>
    </w:p>
    <w:p>
      <w:pPr>
        <w:pStyle w:val="Heading2"/>
        <w:spacing w:after="100" w:before="200"/>
      </w:pPr>
      <w:r>
        <w:rPr>
          <w:rFonts w:ascii="Barlow Semi Condensed" w:cs="Barlow Semi Condensed" w:eastAsia="Barlow Semi Condensed" w:hAnsi="Barlow Semi Condensed"/>
          <w:sz w:val="24"/>
          <w:szCs w:val="24"/>
        </w:rPr>
        <w:t xml:space="preserve">Caveats</w:t>
      </w:r>
    </w:p>
    <w:p>
      <w:pPr>
        <w:spacing w:after="120" w:line="276"/>
        <w:jc w:val="both"/>
      </w:pPr>
      <w:r>
        <w:rPr>
          <w:rFonts w:ascii="Barlow Semi Condensed" w:cs="Barlow Semi Condensed" w:eastAsia="Barlow Semi Condensed" w:hAnsi="Barlow Semi Condensed"/>
          <w:sz w:val="24"/>
          <w:szCs w:val="24"/>
        </w:rPr>
        <w:t xml:space="preserve">Molte fonti qui utilizzate sono divulgative o istituzionali online e non sostituiscono la consultazione archivistica; le stime delle vittime di Wiriyamu divergono (150–400) e sono state riportate senza sceglierne una; la posizione ufficiale portoghese di negazione è riportata con il suo statuto di posizione interessata; gli esiti negativi derivano in parte da limiti di accessibilità (banca dati parlamentare posteriore al 1976; blocchi all'accesso automatizzato di alcuni portali) e non equivalgono a prova di inesistenza; le date e i numeri dell'espulsione dei comboniani (11 vs 13; 12/13/14 aprile) e della conferenza reggiana del 1973 (23–26 vs 24–25 marzo) divergono fra le fonti e sono state segnalate come tali; sui viventi si sono riportati solo fatti pubblici documentati, senza inferenze associative; il dossier Aginter Press è dichiarato Stato Zero; le fonti escluse dal committente (l'enciclopedia collaborativa Grokipedia e il quotidiano il Manifesto) non sono state utilizzate come fonti citate.</w:t>
      </w:r>
    </w:p>
    <w:p>
      <w:pPr>
        <w:pStyle w:val="Heading3"/>
        <w:spacing w:after="80" w:before="240"/>
      </w:pPr>
      <w:r>
        <w:rPr>
          <w:rFonts w:ascii="Barlow Semi Condensed" w:cs="Barlow Semi Condensed" w:eastAsia="Barlow Semi Condensed" w:hAnsi="Barlow Semi Condensed"/>
          <w:sz w:val="24"/>
          <w:szCs w:val="24"/>
        </w:rPr>
        <w:t xml:space="preserve">Apparato grafico — Libro dodicesimo · Portogallo e Santa Sede 1969-1974</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4"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Libro dodicesimo VI: 6.427 parole in 5 sezioni; la più ampia è §3 Details, con 5.802.</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5"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Libro dodicesimo VI: 39 indirizzi di fonte citati, addensati in 1 sezione su 5.</w:t>
      </w:r>
    </w:p>
    <w:p>
      <w:pPr>
        <w:spacing w:after="120"/>
        <w:jc w:val="center"/>
      </w:pPr>
      <w:r>
        <w:rPr>
          <w:rFonts w:ascii="Barlow Semi Condensed" w:cs="Barlow Semi Condensed" w:eastAsia="Barlow Semi Condensed" w:hAnsi="Barlow Semi Condensed"/>
          <w:color w:val="777777"/>
          <w:sz w:val="16"/>
          <w:szCs w:val="16"/>
        </w:rPr>
        <w:t xml:space="preserve">Le metriche dell'apparato contano parole, documenti e atti — mai colpe.</w:t>
      </w:r>
    </w:p>
    <w:p>
      <w:r>
        <w:br w:type="page"/>
      </w:r>
    </w:p>
    <w:p>
      <w:pPr>
        <w:pStyle w:val="Heading1"/>
        <w:spacing w:after="120" w:before="240"/>
      </w:pPr>
      <w:r>
        <w:rPr>
          <w:rFonts w:ascii="Barlow Semi Condensed" w:cs="Barlow Semi Condensed" w:eastAsia="Barlow Semi Condensed" w:hAnsi="Barlow Semi Condensed"/>
          <w:sz w:val="24"/>
          <w:szCs w:val="24"/>
        </w:rPr>
        <w:t xml:space="preserve">Libro dodicesimo — La dimensione diplomatica — VII. Grecia e Opus Dei 1969-1985</w:t>
      </w:r>
    </w:p>
    <w:p>
      <w:pPr>
        <w:spacing w:after="120" w:line="276"/>
        <w:jc w:val="both"/>
      </w:pPr>
      <w:r>
        <w:rPr>
          <w:rFonts w:ascii="Barlow Semi Condensed" w:cs="Barlow Semi Condensed" w:eastAsia="Barlow Semi Condensed" w:hAnsi="Barlow Semi Condensed"/>
          <w:sz w:val="24"/>
          <w:szCs w:val="24"/>
        </w:rPr>
        <w:t xml:space="preserve">and# ALDO MORO, LA GRECIA E L'OPUS DEI (1969–1985): TRE OGGETTI E LE LORO TRIANGOLAZIONI. RICOGNIZIONE STORIOGRAFICA E ARCHIVISTICA</w:t>
      </w:r>
    </w:p>
    <w:p>
      <w:pPr>
        <w:pStyle w:val="Heading2"/>
        <w:spacing w:after="100" w:before="200"/>
      </w:pPr>
      <w:r>
        <w:rPr>
          <w:rFonts w:ascii="Barlow Semi Condensed" w:cs="Barlow Semi Condensed" w:eastAsia="Barlow Semi Condensed" w:hAnsi="Barlow Semi Condensed"/>
          <w:sz w:val="24"/>
          <w:szCs w:val="24"/>
        </w:rPr>
        <w:t xml:space="preserve">CAPITOLO I — IMPIANTO, METODO E PREVISIONE DICHIARATA</w:t>
      </w:r>
    </w:p>
    <w:p>
      <w:pPr>
        <w:spacing w:after="120" w:line="276"/>
        <w:jc w:val="both"/>
      </w:pPr>
      <w:r>
        <w:rPr>
          <w:rFonts w:ascii="Barlow Semi Condensed" w:cs="Barlow Semi Condensed" w:eastAsia="Barlow Semi Condensed" w:hAnsi="Barlow Semi Condensed"/>
          <w:sz w:val="24"/>
          <w:szCs w:val="24"/>
        </w:rPr>
        <w:t xml:space="preserve">Questa ricognizione tratta tre oggetti distinti e le loro possibili triangolazioni. Il primo è l'attività di Aldo Moro come ministro degli Affari Esteri della Repubblica Italiana nei due mandati compresi fra l'agosto 1969 e il novembre 1974, in rapporto alla Grecia. Il secondo è l'eventuale presenza dell'Opus Dei in Grecia come soggetto storico nel periodo 1928-1985. Il terzo sono le triangolazioni fra i due, per via diretta o mediata dalla Santa Sede, dal Patriarcato ecumenico di Costantinopoli e dalla Chiesa ortodossa di Grecia, e il confronto con i casi iberici già studiati. Il metodo è quello delle ricognizioni anteriori: per ogni affermazione si indica la fonte e la sua natura; si dichiarano espressamente gli esiti negativi; si distingue ciò che il documento attesta da ciò che se ne inferisce; non si tratta l'appartenenza di una persona a una organizzazione come prova di una condotta dell'organizzazione, né la contemporaneità come prova di nesso; ove le fonti divergano su una data o un numero, si riporta la divergenza. Sono escluse dalle fonti citate, per disposizione del committente, l'enciclopedia collaborativa Grokipedia e il quotidiano il Manifesto.</w:t>
      </w:r>
    </w:p>
    <w:p>
      <w:pPr>
        <w:spacing w:after="120" w:line="276"/>
        <w:jc w:val="both"/>
      </w:pPr>
      <w:r>
        <w:rPr>
          <w:rFonts w:ascii="Barlow Semi Condensed" w:cs="Barlow Semi Condensed" w:eastAsia="Barlow Semi Condensed" w:hAnsi="Barlow Semi Condensed"/>
          <w:sz w:val="24"/>
          <w:szCs w:val="24"/>
        </w:rPr>
        <w:t xml:space="preserve">La previsione, dichiarata in anticipo perché il suo esito è esso stesso un risultato, è la seguente: chi scrive prevede che l'asse dell'Opus Dei in Grecia risulti quasi o del tutto vuoto per ragioni demografico-religiose, essendo la Grecia a maggioranza ortodossa, i cattolici di rito latino una minoranza esigua e la Chiesa ortodossa titolare di una posizione prevalente riconosciuta dalla Costituzione. Come si vedrà al Capitolo IX, la previsione risulta verificata. La conseguenza analitica che se ne trae è che la presenza dell'Opus Dei nei Paesi mediterranei correla con la maggioranza cattolica e non con la natura autoritaria del regime, il che spiega per contrasto la consistenza dei casi spagnolo e portoghese già studiati e la vacuità del caso greco, nonostante la Grecia abbia conosciuto, come Spagna e Portogallo, una dittatura di destra nello stesso torno di anni.</w:t>
      </w:r>
    </w:p>
    <w:p>
      <w:pPr>
        <w:spacing w:after="120" w:line="276"/>
        <w:jc w:val="both"/>
      </w:pPr>
      <w:r>
        <w:rPr>
          <w:rFonts w:ascii="Barlow Semi Condensed" w:cs="Barlow Semi Condensed" w:eastAsia="Barlow Semi Condensed" w:hAnsi="Barlow Semi Condensed"/>
          <w:sz w:val="24"/>
          <w:szCs w:val="24"/>
        </w:rPr>
        <w:t xml:space="preserve">Una precisazione sui mandati moroteani. Le fonti ufficiali del Ministero degli Affari Esteri collocano Moro alla Farnesina «dal 1969 al 1974» in modo ininterrotto attraverso il II e III governo Rumor, il governo Colombo, il I governo Andreotti e di nuovo il IV e V governo Rumor. La scheda biografica del Ministero e la voce SIUSA dell'amministrazione archivistica dei beni culturali attestano che egli fu «ininterrottamente ministro degli esteri dall'agosto 1969 fino al novembre 1974»; alcune schede enciclopediche riportano invece come estremi il maggio 1969 e il luglio 1972 per il primo tratto, divergenza che si segnala e che dipende dalla data assunta come </w:t>
      </w:r>
      <w:r>
        <w:rPr>
          <w:rFonts w:ascii="Barlow Semi Condensed" w:cs="Barlow Semi Condensed" w:eastAsia="Barlow Semi Condensed" w:hAnsi="Barlow Semi Condensed"/>
          <w:i/>
          <w:iCs/>
          <w:sz w:val="24"/>
          <w:szCs w:val="24"/>
        </w:rPr>
        <w:t xml:space="preserve">dies a quo</w:t>
      </w:r>
      <w:r>
        <w:rPr>
          <w:rFonts w:ascii="Barlow Semi Condensed" w:cs="Barlow Semi Condensed" w:eastAsia="Barlow Semi Condensed" w:hAnsi="Barlow Semi Condensed"/>
          <w:sz w:val="24"/>
          <w:szCs w:val="24"/>
        </w:rPr>
        <w:t xml:space="preserve"> (formazione del II governo Rumor o giuramento). Il committente ha fissato gli estremi al 5 agosto 1969 – 26 giugno 1972 e al 7 luglio 1973 – 23 novembre 1974: si adotta questa periodizzazione, segnalando la lieve difformità delle date nelle diverse fonti.</w:t>
      </w:r>
    </w:p>
    <w:p>
      <w:pPr>
        <w:pStyle w:val="Heading2"/>
        <w:spacing w:after="100" w:before="200"/>
      </w:pPr>
      <w:r>
        <w:rPr>
          <w:rFonts w:ascii="Barlow Semi Condensed" w:cs="Barlow Semi Condensed" w:eastAsia="Barlow Semi Condensed" w:hAnsi="Barlow Semi Condensed"/>
          <w:sz w:val="24"/>
          <w:szCs w:val="24"/>
        </w:rPr>
        <w:t xml:space="preserve">CAPITOLO II — MORO, LA GRECIA DEI COLONNELLI E L'ESPULSIONE DAL CONSIGLIO D'EUROPA (1969)</w:t>
      </w:r>
    </w:p>
    <w:p>
      <w:pPr>
        <w:spacing w:after="120" w:line="276"/>
        <w:jc w:val="both"/>
      </w:pPr>
      <w:r>
        <w:rPr>
          <w:rFonts w:ascii="Barlow Semi Condensed" w:cs="Barlow Semi Condensed" w:eastAsia="Barlow Semi Condensed" w:hAnsi="Barlow Semi Condensed"/>
          <w:sz w:val="24"/>
          <w:szCs w:val="24"/>
        </w:rPr>
        <w:t xml:space="preserve">L'atto più documentato e più rilevante del rapporto fra Moro ministro e la Grecia riguarda l'uscita della Grecia dal Consiglio d'Europa nel dicembre 1969. Il regime dei colonnelli, instaurato con il colpo di Stato del 21 aprile 1967, era stato posto sotto inchiesta dalla Commissione europea dei diritti dell'uomo su iniziativa dei governi di Danimarca, Norvegia, Svezia e Paesi Bassi, che nel settembre 1967 avevano denunciato le torture inflitte ai prigionieri politici. I lavori della Commissione si conclusero nel novembre 1969 e portarono la vicenda dinanzi agli organi di Strasburgo. La fonte primaria dirimente è la Risoluzione (69) 51 del Comitato dei Ministri del Consiglio d'Europa, adottata il 12 dicembre 1969 in materia di Grecia, e la successiva Risoluzione (70) 34, che registra come «il Governo di Grecia avendo notificato il ritiro il 12 dicembre 1969, esso ha effetto il 31 dicembre 1970». Il volume Foreign Relations of the United States 1969-1976, vol. XXIX (documento d.264), attesta parallelamente che «il 12 dicembre la Grecia si ritirò dall'appartenenza al Consiglio d'Europa dopo che una maggioranza degli Stati membri si era schierata a sostegno di una risoluzione tedesca». La seduta decisiva fu presieduta da Aldo Moro nella sua qualità di rappresentante italiano ai vertici dell'organizzazione. La saggistica in lingua italiana attesta concordemente il ruolo di Moro; la data della seduta oscilla, nelle fonti secondarie, fra il 12 e il 13 dicembre 1969, divergenza che qui si segnala: il portale accademico Storicamente (saggio di Cinzia Venturoli) indica «una seduta dell'Assemblea del Consiglio d'Europa presieduta il 13 dicembre 1969 da Aldo Moro»; il portale Storia e Futuro indica il 12 dicembre; la pubblicistica derivata dal volume di Dimitri Deliolanes </w:t>
      </w:r>
      <w:r>
        <w:rPr>
          <w:rFonts w:ascii="Barlow Semi Condensed" w:cs="Barlow Semi Condensed" w:eastAsia="Barlow Semi Condensed" w:hAnsi="Barlow Semi Condensed"/>
          <w:i/>
          <w:iCs/>
          <w:sz w:val="24"/>
          <w:szCs w:val="24"/>
        </w:rPr>
        <w:t xml:space="preserve">Colonnelli</w:t>
      </w:r>
      <w:r>
        <w:rPr>
          <w:rFonts w:ascii="Barlow Semi Condensed" w:cs="Barlow Semi Condensed" w:eastAsia="Barlow Semi Condensed" w:hAnsi="Barlow Semi Condensed"/>
          <w:sz w:val="24"/>
          <w:szCs w:val="24"/>
        </w:rPr>
        <w:t xml:space="preserve"> (Fandango, 2019) parla dell'«espulsione della Grecia dei colonnelli dal Consiglio d'Europa decretata da Moro il 12 dicembre 1969».</w:t>
      </w:r>
    </w:p>
    <w:p>
      <w:pPr>
        <w:spacing w:after="120" w:line="276"/>
        <w:jc w:val="both"/>
      </w:pPr>
      <w:r>
        <w:rPr>
          <w:rFonts w:ascii="Barlow Semi Condensed" w:cs="Barlow Semi Condensed" w:eastAsia="Barlow Semi Condensed" w:hAnsi="Barlow Semi Condensed"/>
          <w:sz w:val="24"/>
          <w:szCs w:val="24"/>
        </w:rPr>
        <w:t xml:space="preserve">Si impone una distinzione tecnica che le fonti divulgative comprimono e che la fonte primaria del Consiglio d'Europa consente di correggere: la Grecia, per prevenire il voto ormai certo, notificò essa stessa il proprio ritiro il 12 dicembre 1969, con effetto differito al 31 dicembre 1970, e denunciò la Convenzione. La formula «espulsione decretata da Moro» è dunque pubblicistica e va qualificata: la maggioranza degli Stati membri si schierò per l'iniziativa (di matrice tedesca) e Moro presiedeva l'organo che stava per deliberare; la Grecia si ritirò per non subire l'espulsione. Questo è quanto le fonti primarie e secondarie attestano; l'accertamento puntuale della condotta e delle parole di Moro in quella seduta richiederebbe lo spoglio degli atti del Consiglio d'Europa e della documentazione della Farnesina, non consultati in questa sede.</w:t>
      </w:r>
    </w:p>
    <w:p>
      <w:pPr>
        <w:spacing w:after="120" w:line="276"/>
        <w:jc w:val="both"/>
      </w:pPr>
      <w:r>
        <w:rPr>
          <w:rFonts w:ascii="Barlow Semi Condensed" w:cs="Barlow Semi Condensed" w:eastAsia="Barlow Semi Condensed" w:hAnsi="Barlow Semi Condensed"/>
          <w:sz w:val="24"/>
          <w:szCs w:val="24"/>
        </w:rPr>
        <w:t xml:space="preserve">Un elemento di contesto, da maneggiare con la cautela metodologica prescritta, è la tesi — sostenuta da Deliolanes — di una reazione vendicativa del regime greco all'iniziativa italiana: secondo tale ricostruzione, la scelta della data del 12 dicembre 1969 per la strage di piazza Fontana e per attentati contro le basi britanniche a Cipro non sarebbe stata casuale, coincidendo con la sconfitta diplomatica greca a Strasburgo. Si tratta di una tesi d'autore, esposta in un'opera di taglio giornalistico-documentario; la contemporaneità cronologica non costituisce di per sé prova di nesso causale, e la questione appartiene alla storiografia sulla strategia della tensione più che alla biografia diplomatica di Moro. La si registra come ipotesi circolante, non come fatto accertato dalle fonti primarie qui esaminate.</w:t>
      </w:r>
    </w:p>
    <w:p>
      <w:pPr>
        <w:pStyle w:val="Heading2"/>
        <w:spacing w:after="100" w:before="200"/>
      </w:pPr>
      <w:r>
        <w:rPr>
          <w:rFonts w:ascii="Barlow Semi Condensed" w:cs="Barlow Semi Condensed" w:eastAsia="Barlow Semi Condensed" w:hAnsi="Barlow Semi Condensed"/>
          <w:sz w:val="24"/>
          <w:szCs w:val="24"/>
        </w:rPr>
        <w:t xml:space="preserve">CAPITOLO III — L'ITALIA E LA GRECIA DEI COLONNELLI (1969–1974): RAPPORTI BILATERALI, ASSOCIAZIONE CEE CONGELATA, RIFUGIATI</w:t>
      </w:r>
    </w:p>
    <w:p>
      <w:pPr>
        <w:spacing w:after="120" w:line="276"/>
        <w:jc w:val="both"/>
      </w:pPr>
      <w:r>
        <w:rPr>
          <w:rFonts w:ascii="Barlow Semi Condensed" w:cs="Barlow Semi Condensed" w:eastAsia="Barlow Semi Condensed" w:hAnsi="Barlow Semi Condensed"/>
          <w:sz w:val="24"/>
          <w:szCs w:val="24"/>
        </w:rPr>
        <w:t xml:space="preserve">Il quadro dei rapporti bilaterali italo-greci durante il settennio militare va ricostruito su tre piani. Sul piano dell'accoglienza dei rifugiati politici, le fonti enciclopediche attestano che «molti paesi dell'Europa occidentale, tra cui l'Italia, dettero asilo a profughi politici greci», mentre il regime raccolse simpatie nell'estrema destra italiana (Almirante ne giustificò l'avvento come dovuto a «necessità»). Sul piano dell'integrazione europea, l'Accordo di associazione fra la Grecia e la Comunità economica europea, firmato nel giugno 1961 sotto la premiership di Karamanlis, fu «congelato» dopo il colpo di Stato del 1967 e riattivato solo dopo il luglio 1974: lo attestano concordemente il portale CVCE e il Dizionario dell'Integrazione Europea (DIZIE), che documenta come, alla caduta del regime, il presidente della Commissione François-Xavier Ortoli inviò a Karamanlis un telegramma di congratulazioni e come Claude Cheysson, a nome della Commissione, avesse già prospettato la ripresa dell'associazione e l'apertura all'adesione in caso di ripristino delle istituzioni parlamentari.</w:t>
      </w:r>
    </w:p>
    <w:p>
      <w:pPr>
        <w:spacing w:after="120" w:line="276"/>
        <w:jc w:val="both"/>
      </w:pPr>
      <w:r>
        <w:rPr>
          <w:rFonts w:ascii="Barlow Semi Condensed" w:cs="Barlow Semi Condensed" w:eastAsia="Barlow Semi Condensed" w:hAnsi="Barlow Semi Condensed"/>
          <w:sz w:val="24"/>
          <w:szCs w:val="24"/>
        </w:rPr>
        <w:t xml:space="preserve">Sul piano più propriamente bilaterale, la documentazione reperita in questa ricognizione è scarsa e non consente di ricostruire una linea italiana specifica e attiva verso Atene distinta da quella europea collettiva. Questo è un primo, importante esito parzialmente negativo: mentre per il caso spagnolo le ricognizioni anteriori hanno accertato una intransigenza italiana maggiore di quella statunitense e vaticana verso Madrid, e per il caso portoghese una sostanziale assenza di atti verso Lisbona, per il caso greco la posizione italiana appare assorbita e mediata dalle sedi multilaterali (Consiglio d'Europa, CEE, poi NATO e ONU). L'iniziativa di Strasburgo del dicembre 1969 (Capitolo II) è l'unico atto italiano fortemente caratterizzato e individuabile. L'accertamento dell'esistenza di una politica bilaterale italiana autonoma verso la giunta richiederebbe lo spoglio della serie Grecia dell'Archivio Storico Diplomatico della Farnesina (Capitolo XI), non condotto in questa sede.</w:t>
      </w:r>
    </w:p>
    <w:p>
      <w:pPr>
        <w:spacing w:after="120" w:line="276"/>
        <w:jc w:val="both"/>
      </w:pPr>
      <w:r>
        <w:rPr>
          <w:rFonts w:ascii="Barlow Semi Condensed" w:cs="Barlow Semi Condensed" w:eastAsia="Barlow Semi Condensed" w:hAnsi="Barlow Semi Condensed"/>
          <w:sz w:val="24"/>
          <w:szCs w:val="24"/>
        </w:rPr>
        <w:t xml:space="preserve">Il confronto comparativo con i casi iberici, che le ricognizioni anteriori impongono di richiamare come sfondo, illumina proprio questa differenza di regime documentale. Il caso spagnolo dispone di un baricentro nell'appartenenza all'Opus Dei di alcuni ministri di Franco. Secondo il documento ufficiale dell'ente («Opus Dei, Saint Josemaría Escrivá, Franco and his Regime»), «su 116 ministri nominati da Franco negli 11 governi fra il 1939 e il 1975, otto furono membri dell'Opus Dei; uno degli otto morì tre mesi dopo la nomina, e altri quattro rimasero in carica solo durante un governo». A questo si aggiunge la figura di Gregorio López Bravo agli Esteri (ottobre 1969 – giugno 1973) e poi di Laureano López Rodó (dal giugno 1973), oltre al rapporto CIA sul gabinetto franchista e al caso MATESA del luglio 1969. Il caso portoghese ha il proprio baricentro nella lunga vicenda dell'insediamento dell'Opus Dei dal 5 febbraio 1945 e nella sorveglianza della PIDE-DGS. Il caso greco, come si vedrà, è privo di entrambi gli elementi: non vi è un insediamento dell'Opus Dei, e dunque non vi è alcun baricentro confessionale-organizzativo attorno a cui si sia addensata documentazione. Ne consegue che, a differenza di Madrid e Lisbona, ad Atene il rapporto italiano si gioca interamente sul terreno diplomatico-multilaterale, il che è a sua volta un risultato analitico.</w:t>
      </w:r>
    </w:p>
    <w:p>
      <w:pPr>
        <w:pStyle w:val="Heading2"/>
        <w:spacing w:after="100" w:before="200"/>
      </w:pPr>
      <w:r>
        <w:rPr>
          <w:rFonts w:ascii="Barlow Semi Condensed" w:cs="Barlow Semi Condensed" w:eastAsia="Barlow Semi Condensed" w:hAnsi="Barlow Semi Condensed"/>
          <w:sz w:val="24"/>
          <w:szCs w:val="24"/>
        </w:rPr>
        <w:t xml:space="preserve">CAPITOLO IV — LA CRISI DI CIPRO DEL 1974 E LA POSIZIONE ITALIANA</w:t>
      </w:r>
    </w:p>
    <w:p>
      <w:pPr>
        <w:spacing w:after="120" w:line="276"/>
        <w:jc w:val="both"/>
      </w:pPr>
      <w:r>
        <w:rPr>
          <w:rFonts w:ascii="Barlow Semi Condensed" w:cs="Barlow Semi Condensed" w:eastAsia="Barlow Semi Condensed" w:hAnsi="Barlow Semi Condensed"/>
          <w:sz w:val="24"/>
          <w:szCs w:val="24"/>
        </w:rPr>
        <w:t xml:space="preserve">La sequenza cipriota del 1974 è documentata con precisione nelle fonti primarie internazionali. Il colpo di Stato del 15 luglio 1974 a Nicosia, condotto dalla Guardia nazionale cipriota inquadrata da ufficiali greci e sostenuto dalla giunta di Atene guidata da Dimitrios Ioannidis, rovesciò l'arcivescovo e presidente Makarios III. Il 20 luglio 1974 la Turchia intervenne militarmente, appellandosi al Trattato di garanzia di Zurigo-Londra del 1959-1960: Camera (https://dati.camera.it/ocd/aic.rdf/aic4_03754_16) l'operazione è denominata dalla Turchia «operazione di pace» e dalla comunità internazionale e dalla parte greca «invasione», divergenza di denominazione che qui si registra come prescritto. La giunta militare greca crollò Wikipedia (https://it.wikipedia.org/wiki/Questione_di_Cipro) il 23 luglio 1974 e Konstantinos Karamanlis rientrò dall'esilio parigino per formare un governo civile. Una seconda offensiva turca il 14 agosto 1974 portò all'occupazione di una porzione dell'isola variamente stimata: circa il 36% secondo la voce enciclopedica italiana Wikipedia (https://it.wikipedia.org/wiki/Questione_di_Cipro) e il committente, il «northern forty per cent» (circa il 40%) secondo il volume FRUS 1969-1976 vol. XXX (documento d.194), U.S. Department of State (https://history.state.gov/historicaldocuments/frus1969-76v30/d194) il 38% secondo altre fonti. Anche le stime dei profughi divergono, e la divergenza va riportata: circa 150.000 persone (più di un quarto della popolazione totale di Cipro e un terzo della popolazione greco-cipriota) furono sfollate dalla parte settentrionale, mentre circa 60.000 turco-ciprioti (pari a metà della popolazione turco-cipriota) si trasferirono dal sud al nord; il Governo di Cipro e le fonti dell'Internal Displacement Monitoring Centre indicano fino a 162.000 greco-ciprioti sfollati. Il cessate il fuoco del 16 agosto 1974 divenne la Linea Verde delle Nazioni Unite, Paese Italia Press (https://www.paeseitaliapress.it/esteri/2025/08/27/scudo-inter-etnico-o-limite-alla-guerra-il-ruolo-delle-forze-di-pace-onu-a-cipro/) vigilata da UNFICYP.</w:t>
      </w:r>
    </w:p>
    <w:p>
      <w:pPr>
        <w:spacing w:after="120" w:line="276"/>
        <w:jc w:val="both"/>
      </w:pPr>
      <w:r>
        <w:rPr>
          <w:rFonts w:ascii="Barlow Semi Condensed" w:cs="Barlow Semi Condensed" w:eastAsia="Barlow Semi Condensed" w:hAnsi="Barlow Semi Condensed"/>
          <w:sz w:val="24"/>
          <w:szCs w:val="24"/>
        </w:rPr>
        <w:t xml:space="preserve">I negoziati di Ginevra si svolsero in due fasi: la Dichiarazione di Ginevra del 30 luglio 1974, firmata dai ministri degli Esteri di Grecia, Turchia e Regno Unito quali potenze garanti, dopo trattative tenutesi dal 25 al 30 luglio, e la seconda tornata a partire dall'8 agosto 1974, con la partecipazione dei rappresentanti delle due comunità cipriote. Le fonti primarie disponibili (documenti del Press and Information Office cipriota e di UNFICYP; volume FRUS vol. XXX) confermano che il formato negoziale fu tripartito (Grecia, Turchia, Regno Unito), fondato sulla risoluzione 353 del Consiglio di Sicurezza. L'Italia non figura fra le potenze garanti e non prese parte diretta ai negoziati di Ginevra: questo è un esito che va dichiarato con nettezza. La ricerca di un ruolo italiano diretto nella mediazione cipriota dà esito negativo nelle fonti primarie internazionali reperite; l'eventuale attività italiana si collocò sul piano comunitario e delle Nazioni Unite, non su quello del negoziato garante.</w:t>
      </w:r>
    </w:p>
    <w:p>
      <w:pPr>
        <w:spacing w:after="120" w:line="276"/>
        <w:jc w:val="both"/>
      </w:pPr>
      <w:r>
        <w:rPr>
          <w:rFonts w:ascii="Barlow Semi Condensed" w:cs="Barlow Semi Condensed" w:eastAsia="Barlow Semi Condensed" w:hAnsi="Barlow Semi Condensed"/>
          <w:sz w:val="24"/>
          <w:szCs w:val="24"/>
        </w:rPr>
        <w:t xml:space="preserve">Quanto alla posizione ufficiale del governo italiano e agli atti di Moro — che nell'estate 1974 era ministro degli Esteri nel V governo Rumor fino al 23 novembre 1974, e poi presidente del Consiglio — la documentazione reperita in questa ricognizione non contiene dichiarazioni testuali di Moro su Cipro nei mesi di luglio-novembre 1974. Si tratta di un esito negativo importante, la cui sede di accertamento è duplice: i resoconti stenografici della Camera e del Senato della sesta legislatura (non coperti dalla banca dati del sindacato ispettivo, che parte solo dalla settima legislatura, cioè dal 5 luglio 1976, come già accertato dalle ricognizioni anteriori) e la serie Cipro dell'Archivio Storico Diplomatico. Le fonti attestano che nel Mediterraneo la linea di Moro era improntata a una politica filoaraba e a una vocazione mediatrice che privilegiava la stabilità dell'area (I. Garzia, «Il Mediterraneo nel pensiero politico di Aldo Moro»), ma non consentono di trasporre automaticamente questa impostazione in atti specifici sulla crisi cipriota. La contemporaneità della crisi cipriota con l'attentato all'Italicus (4 agosto 1974) e con la fase più acuta della crisi politica interna italiana va registrata come mera contemporaneità, non come nesso.</w:t>
      </w:r>
    </w:p>
    <w:p>
      <w:pPr>
        <w:pStyle w:val="Heading2"/>
        <w:spacing w:after="100" w:before="200"/>
      </w:pPr>
      <w:r>
        <w:rPr>
          <w:rFonts w:ascii="Barlow Semi Condensed" w:cs="Barlow Semi Condensed" w:eastAsia="Barlow Semi Condensed" w:hAnsi="Barlow Semi Condensed"/>
          <w:sz w:val="24"/>
          <w:szCs w:val="24"/>
        </w:rPr>
        <w:t xml:space="preserve">CAPITOLO V — LA GRECIA, LA NATO E LA POSIZIONE ITALIANA (AGOSTO 1974)</w:t>
      </w:r>
    </w:p>
    <w:p>
      <w:pPr>
        <w:spacing w:after="120" w:line="276"/>
        <w:jc w:val="both"/>
      </w:pPr>
      <w:r>
        <w:rPr>
          <w:rFonts w:ascii="Barlow Semi Condensed" w:cs="Barlow Semi Condensed" w:eastAsia="Barlow Semi Condensed" w:hAnsi="Barlow Semi Condensed"/>
          <w:sz w:val="24"/>
          <w:szCs w:val="24"/>
        </w:rPr>
        <w:t xml:space="preserve">La decisione di Karamanlis di ritirare le forze armate greche dalla struttura militare integrata della NATO è documentata da fonti primarie di prim'ordine. Il sito ufficiale della NATO reca la notizia «Withdrawal of Greek forces from integrated military structure of NATO» datata 14 agosto 1974. Il volume FRUS 1969-1976 vol. XXX (documento d.25, telegramma della missione USA presso la NATO del 16 settembre 1974) attesta che «effective August 14, 1974, all units of the Greek Army, Navy and Air Force are withdrawn from assignment, commitment, or ear-marking to NATO», e che il rappresentante belga de Staercke notò come fosse «curioso» che la Grecia non avesse ritirato i propri rappresentanti dal Comitato Militare. La data varia nelle fonti secondarie: 14 agosto 1974 (NATO, FRUS), 17 agosto 1974 (portale CVCE), 4 agosto 1974 (rivista The Athenian); si segnala la divergenza. La ragione della decisione, concordemente attestata, fu la mancata prevenzione, da parte dell'Alleanza, dell'intervento turco a Cipro, percepita in Grecia come un tradimento.</w:t>
      </w:r>
    </w:p>
    <w:p>
      <w:pPr>
        <w:spacing w:after="120" w:line="276"/>
        <w:jc w:val="both"/>
      </w:pPr>
      <w:r>
        <w:rPr>
          <w:rFonts w:ascii="Barlow Semi Condensed" w:cs="Barlow Semi Condensed" w:eastAsia="Barlow Semi Condensed" w:hAnsi="Barlow Semi Condensed"/>
          <w:sz w:val="24"/>
          <w:szCs w:val="24"/>
        </w:rPr>
        <w:t xml:space="preserve">La posizione italiana su questa vicenda è documentata da una fonte primaria specifica e significativa. Il telegramma del Dipartimento di Stato alla missione USA presso la NATO del 30 agosto 1974 (FRUS vol. XXX, documento d.23) istruisce di «avviare discussioni bilaterali informali con il Segretario generale Luns e con alleati selezionati (Regno Unito, Repubblica Federale Tedesca, Italia e Belgio o Paesi Bassi) sulle implicazioni della decisione greca», specificando che la Francia andava esclusa da questo cerchio perché non membro del Defence Planning Committee. L'Italia figura dunque, nella documentazione statunitense, fra i quattro-cinque alleati principali con cui Washington intese concertare la risposta al ritiro greco. Questo è un dato accertato; ciò che il documento attesta è l'inclusione dell'Italia nel novero degli interlocutori privilegiati, non il contenuto della posizione italiana, che non è precisato nei documenti reperiti. L'accertamento del contenuto della posizione italiana richiederebbe la documentazione della Rappresentanza italiana presso la NATO e la serie corrispondente della Farnesina. La Grecia rientrò nella struttura militare integrata solo nell'ottobre 1980, sotto la premiership Rallis e con la mediazione del generale Bernard Rogers (SACEUR), come attestano fonti giornalistiche coeve.</w:t>
      </w:r>
    </w:p>
    <w:p>
      <w:pPr>
        <w:pStyle w:val="Heading2"/>
        <w:spacing w:after="100" w:before="200"/>
      </w:pPr>
      <w:r>
        <w:rPr>
          <w:rFonts w:ascii="Barlow Semi Condensed" w:cs="Barlow Semi Condensed" w:eastAsia="Barlow Semi Condensed" w:hAnsi="Barlow Semi Condensed"/>
          <w:sz w:val="24"/>
          <w:szCs w:val="24"/>
        </w:rPr>
        <w:t xml:space="preserve">CAPITOLO VI — LA CSCE, LA GRECIA, MORO E L'ATTO FINALE DI HELSINKI (1975)</w:t>
      </w:r>
    </w:p>
    <w:p>
      <w:pPr>
        <w:spacing w:after="120" w:line="276"/>
        <w:jc w:val="both"/>
      </w:pPr>
      <w:r>
        <w:rPr>
          <w:rFonts w:ascii="Barlow Semi Condensed" w:cs="Barlow Semi Condensed" w:eastAsia="Barlow Semi Condensed" w:hAnsi="Barlow Semi Condensed"/>
          <w:sz w:val="24"/>
          <w:szCs w:val="24"/>
        </w:rPr>
        <w:t xml:space="preserve">La Conferenza sulla sicurezza e la cooperazione in Europa si articolò in tre fasi: l'apertura a Helsinki (3 luglio 1973), la fase negoziale di Ginevra (18 settembre 1973 – 21 luglio 1975) e la firma solenne dell'Atto finale a Helsinki il 1° agosto 1975. Il testo dell'Atto finale reca fra i firmatari la Grecia, la Santa Sede e l'Italia, insieme agli altri trentacinque Stati partecipanti. La Grecia partecipò dunque a tutte le fasi; il mutamento della sua delegazione dopo la caduta della giunta nel luglio 1974 è deducibile dalla successione dei governi (la fase di Ginevra e la firma finale caddero interamente sotto il governo democratico di Karamanlis), ma la documentazione puntuale sulla composizione della delegazione greca non è stata reperita in questa sede: la sede di accertamento è il registro completo dei circa 600 delegati conservato presso il Centro di documentazione OSCE di Praga, richiamato dallo studio dell'ICDS.</w:t>
      </w:r>
    </w:p>
    <w:p>
      <w:pPr>
        <w:spacing w:after="120" w:line="276"/>
        <w:jc w:val="both"/>
      </w:pPr>
      <w:r>
        <w:rPr>
          <w:rFonts w:ascii="Barlow Semi Condensed" w:cs="Barlow Semi Condensed" w:eastAsia="Barlow Semi Condensed" w:hAnsi="Barlow Semi Condensed"/>
          <w:sz w:val="24"/>
          <w:szCs w:val="24"/>
        </w:rPr>
        <w:t xml:space="preserve">Sul versante italiano, l'Atto finale fu sottoscritto da Aldo Moro nella duplice qualità di presidente del Consiglio dei ministri e di presidente di turno del Consiglio delle Comunità europee (l'Italia deteneva la presidenza di turno della CEE nel secondo semestre 1975). La documentazione FRUS (vol. XXXIX, documento d.334, telegramma di Kissinger del 2 agosto 1975) conferma che l'Atto finale fu firmato «da trentacinque capi di Stato o di governo» e descrive la cerimonia conclusiva. Il rapporto fra la questione cipriota e la CSCE emerge da questo stesso documento: Cipro fece circolare una dichiarazione interpretativa formale in risposta alla riserva turca sulla rappresentanza cipriota, affermando che la partecipazione alla CSCE si fondava sulla piena eguaglianza degli Stati e che la riserva turca era «priva di effetto». La questione greco-turca e cipriota fu dunque presente, sia pure marginalmente, anche al tavolo di Helsinki.</w:t>
      </w:r>
    </w:p>
    <w:p>
      <w:pPr>
        <w:spacing w:after="120" w:line="276"/>
        <w:jc w:val="both"/>
      </w:pPr>
      <w:r>
        <w:rPr>
          <w:rFonts w:ascii="Barlow Semi Condensed" w:cs="Barlow Semi Condensed" w:eastAsia="Barlow Semi Condensed" w:hAnsi="Barlow Semi Condensed"/>
          <w:sz w:val="24"/>
          <w:szCs w:val="24"/>
        </w:rPr>
        <w:t xml:space="preserve">Quanto alla posizione greca sui tre «cesti» (sicurezza; cooperazione economica, scientifica e ambientale; diritti umani e dimensione umana), la documentazione specifica non è stata reperita; si registra come esito negativo la cui sede di accertamento sono gli atti della CSCE e le memorie dei protagonisti (fra cui, per il versante italiano, le memorie di Luigi Vittorio Ferraris). È invece documentato il ruolo della Santa Sede, trattato al Capitolo VIII.</w:t>
      </w:r>
    </w:p>
    <w:p>
      <w:pPr>
        <w:pStyle w:val="Heading2"/>
        <w:spacing w:after="100" w:before="200"/>
      </w:pPr>
      <w:r>
        <w:rPr>
          <w:rFonts w:ascii="Barlow Semi Condensed" w:cs="Barlow Semi Condensed" w:eastAsia="Barlow Semi Condensed" w:hAnsi="Barlow Semi Condensed"/>
          <w:sz w:val="24"/>
          <w:szCs w:val="24"/>
        </w:rPr>
        <w:t xml:space="preserve">CAPITOLO VII — LA TRANSIZIONE GRECA, L'ADESIONE EUROPEA E IL CONFRONTO IBERICO</w:t>
      </w:r>
    </w:p>
    <w:p>
      <w:pPr>
        <w:spacing w:after="120" w:line="276"/>
        <w:jc w:val="both"/>
      </w:pPr>
      <w:r>
        <w:rPr>
          <w:rFonts w:ascii="Barlow Semi Condensed" w:cs="Barlow Semi Condensed" w:eastAsia="Barlow Semi Condensed" w:hAnsi="Barlow Semi Condensed"/>
          <w:sz w:val="24"/>
          <w:szCs w:val="24"/>
        </w:rPr>
        <w:t xml:space="preserve">La </w:t>
      </w:r>
      <w:r>
        <w:rPr>
          <w:rFonts w:ascii="Barlow Semi Condensed" w:cs="Barlow Semi Condensed" w:eastAsia="Barlow Semi Condensed" w:hAnsi="Barlow Semi Condensed"/>
          <w:i/>
          <w:iCs/>
          <w:sz w:val="24"/>
          <w:szCs w:val="24"/>
        </w:rPr>
        <w:t xml:space="preserve">metapolitefsi</w:t>
      </w:r>
      <w:r>
        <w:rPr>
          <w:rFonts w:ascii="Barlow Semi Condensed" w:cs="Barlow Semi Condensed" w:eastAsia="Barlow Semi Condensed" w:hAnsi="Barlow Semi Condensed"/>
          <w:sz w:val="24"/>
          <w:szCs w:val="24"/>
        </w:rPr>
        <w:t xml:space="preserve">, la transizione greca alla democrazia, prese avvio con il ritorno di Karamanlis il 23-24 luglio 1974. Le tappe sono documentate: le elezioni del novembre 1974, vinte da Nuova Democrazia; il referendum sulla forma di governo dell'8 dicembre 1974, che abolì la monarchia. La fonte statistica (Nohlen e Stöver) e la stampa coeva (To Vima, 10 dicembre 1974) precisano l'esito: con un'affluenza del 75,58% degli aventi diritto, il 69,18% votò a favore della repubblica (3.245.111 voti) contro il 30,82% per la monarchia (1.445.875 voti); il committente indicava il 69,17%, e la lieve difformità si segnala. Seguirono la nuova Costituzione repubblicana promulgata nel giugno 1975; la domanda greca di adesione alle Comunità europee, sulla cui data le fonti divergono fra il 12 giugno 1975 (portale CVCE, Greek News Agenda, Atlantic Council) e il 12 luglio 1975 (Ministero degli Esteri ellenico, voce enciclopedica sull'allargamento del 1981): la divergenza si segnala. Seguirono l'avvio dei negoziati nel luglio 1976, la firma del Trattato di adesione ad Atene (Zappeion) il 28 maggio 1979, la ratifica del Parlamento greco il 28 giugno 1979 e l'ingresso effettivo il 1° gennaio 1981.</w:t>
      </w:r>
    </w:p>
    <w:p>
      <w:pPr>
        <w:spacing w:after="120" w:line="276"/>
        <w:jc w:val="both"/>
      </w:pPr>
      <w:r>
        <w:rPr>
          <w:rFonts w:ascii="Barlow Semi Condensed" w:cs="Barlow Semi Condensed" w:eastAsia="Barlow Semi Condensed" w:hAnsi="Barlow Semi Condensed"/>
          <w:sz w:val="24"/>
          <w:szCs w:val="24"/>
        </w:rPr>
        <w:t xml:space="preserve">Un punto merita segnalazione perché tocca la dialettica fra Commissione e governi: la Commissione, nel suo parere, propose una fase transitoria di pre-adesione prima della piena integrazione istituzionale; Karamanlis si appellò direttamente ai governi dei Nove — Francia e Germania in particolare — e la proposta della Commissione fu respinta. La posizione italiana specifica sulla domanda greca non è stata isolata nelle fonti reperite: si registra come esito negativo, la cui sede di accertamento è duplice (Farnesina e atti comunitari). Consta però, come dato di contesto generale, che l'Ambasciata d'Italia ad Atene descrive oggi i rapporti bilaterali come «speciali e forti» e nota l'orientamento greco tradizionalmente favorevole alle candidature italiane nelle organizzazioni internazionali. Esteri (https://ambatene.esteri.it/ambasciata_atene/it/i_rapporti_bilaterali/)</w:t>
      </w:r>
    </w:p>
    <w:p>
      <w:pPr>
        <w:spacing w:after="120" w:line="276"/>
        <w:jc w:val="both"/>
      </w:pPr>
      <w:r>
        <w:rPr>
          <w:rFonts w:ascii="Barlow Semi Condensed" w:cs="Barlow Semi Condensed" w:eastAsia="Barlow Semi Condensed" w:hAnsi="Barlow Semi Condensed"/>
          <w:sz w:val="24"/>
          <w:szCs w:val="24"/>
        </w:rPr>
        <w:t xml:space="preserve">Il confronto con l'adesione iberica del 1986 è illuminante e va richiamato come sfondo comparativo. Come nota il portale CVCE, i tre Paesi mediterranei — Grecia, Spagna, Portogallo — tornarono a governi civili fra il 1974 e il 1976, e per tutti e tre l'adesione alla CEE rappresentò «una prospettiva di ancoraggio democratico». La Grecia fu ammessa nel 1981, mentre Spagna e Portogallo dovettero attendere il 1986, in parte per l'iniziale opposizione francese (timore di annacquamento della Comunità). East Journal (https://www.eastjournal.net/archives/9505) L'accessione greca «cambiò il volto della Comunità rafforzandone il carattere mediterraneo e aggiungendovi un elemento balcanico e ortodosso». Questo elemento ortodosso è precisamente ciò che, sul piano confessionale, distingue il caso greco da quelli iberici e che al Capitolo IX si rivela decisivo per la vacuità dell'asse Opus Dei.</w:t>
      </w:r>
    </w:p>
    <w:p>
      <w:pPr>
        <w:pStyle w:val="Heading2"/>
        <w:spacing w:after="100" w:before="200"/>
      </w:pPr>
      <w:r>
        <w:rPr>
          <w:rFonts w:ascii="Barlow Semi Condensed" w:cs="Barlow Semi Condensed" w:eastAsia="Barlow Semi Condensed" w:hAnsi="Barlow Semi Condensed"/>
          <w:sz w:val="24"/>
          <w:szCs w:val="24"/>
        </w:rPr>
        <w:t xml:space="preserve">CAPITOLO VIII — LA SANTA SEDE, IL PATRIARCATO ECUMENICO E LA GRECIA (1969–1975)</w:t>
      </w:r>
    </w:p>
    <w:p>
      <w:pPr>
        <w:spacing w:after="120" w:line="276"/>
        <w:jc w:val="both"/>
      </w:pPr>
      <w:r>
        <w:rPr>
          <w:rFonts w:ascii="Barlow Semi Condensed" w:cs="Barlow Semi Condensed" w:eastAsia="Barlow Semi Condensed" w:hAnsi="Barlow Semi Condensed"/>
          <w:sz w:val="24"/>
          <w:szCs w:val="24"/>
        </w:rPr>
        <w:t xml:space="preserve">Il quadro dei rapporti fra la Santa Sede e il mondo ortodosso greco nel periodo va distinto su tre livelli: il rapporto con il Patriarcato ecumenico di Costantinopoli, il rapporto con la Chiesa ortodossa di Grecia e il rapporto diplomatico con lo Stato greco. Sul primo livello, il periodo è quello del disgelo ecumenico avviato dall'abbraccio fra Paolo VI e il patriarca ecumenico Atenagora I a Gerusalemme (5 gennaio 1964) e culminato nella Dichiarazione comune cattolico-ortodossa letta simultaneamente a Roma e al Fanar il 7 dicembre 1965, che cancellò dalla memoria della Chiesa le reciproche scomuniche del 1054. La Voce e il Tempo (https://vocetempo.it/sessantanni-fa-la-fine-delle-scomuniche-fra-cattolici-e-ortodossi/) Atenagora morì nel luglio 1972 e gli succedette Dimitrios I, sotto il cui patriarcato il dialogo proseguì (l'istituzione del dialogo teologico ufficiale sarà proclamata il 30 novembre 1979, durante la visita di Giovanni Paolo II a Dimitrios). Wikipedia (https://it.wikipedia.org/wiki/Dichiarazione_comune_cattolico-ortodossa_del_1965) Questi fatti sono attestati da fonti ecclesiastiche ed enciclopediche concordi.</w:t>
      </w:r>
    </w:p>
    <w:p>
      <w:pPr>
        <w:spacing w:after="120" w:line="276"/>
        <w:jc w:val="both"/>
      </w:pPr>
      <w:r>
        <w:rPr>
          <w:rFonts w:ascii="Barlow Semi Condensed" w:cs="Barlow Semi Condensed" w:eastAsia="Barlow Semi Condensed" w:hAnsi="Barlow Semi Condensed"/>
          <w:sz w:val="24"/>
          <w:szCs w:val="24"/>
        </w:rPr>
        <w:t xml:space="preserve">Sul terzo livello, quello diplomatico-statuale, il dato è netto e conferma la specificità greca: le relazioni diplomatiche fra la Grecia e la Santa Sede furono stabilite solo nel 1979 (secondo il Ministero degli Esteri ellenico e altre fonti) o nel 1980 (secondo la voce enciclopedica dedicata), divergenza che si segnala. La Santa Sede istituì immediatamente la Nunziatura apostolica ad Atene; l'ambasciatore greco risiedette dapprima a Parigi, dove era accreditato anche presso la Francia, e solo nel 1988 fu istituita un'ambasciata greca presso la Santa Sede a Roma. Il Ministero ellenico collega esplicitamente la decisione del 1979 alle aspirazioni greche di adesione alla Comunità europea, e registra il disagio del Santo Sinodo ortodosso di fronte al riconoscimento del Vaticano come Stato dotato di autorità secolare. Ne discende un dato di grande rilievo per la triangolazione: per l'intero arco del periodo qui studiato (1969-1975), e a fortiori per gli anni del regime dei colonnelli, non esistevano relazioni diplomatiche piene fra Atene e la Santa Sede. Questo esclude alla radice l'esistenza di un canale diplomatico bilaterale vaticano-greco su cui potesse innestarsi una qualsiasi triangolazione.</w:t>
      </w:r>
    </w:p>
    <w:p>
      <w:pPr>
        <w:spacing w:after="120" w:line="276"/>
        <w:jc w:val="both"/>
      </w:pPr>
      <w:r>
        <w:rPr>
          <w:rFonts w:ascii="Barlow Semi Condensed" w:cs="Barlow Semi Condensed" w:eastAsia="Barlow Semi Condensed" w:hAnsi="Barlow Semi Condensed"/>
          <w:sz w:val="24"/>
          <w:szCs w:val="24"/>
        </w:rPr>
        <w:t xml:space="preserve">Sulla partecipazione della Santa Sede alla CSCE, le fonti sono concordi e ricche. La Santa Sede partecipò alla Conferenza come membro a pieno titolo — circostanza che le fonti vaticane e la pubblicistica qualificano come un ritorno della diplomazia pontificia sulla scena multilaterale europea dopo il lungo eclissi seguito al Congresso di Vienna del 1815. La delegazione fu guidata da mons. Agostino Casaroli e da mons. Achille Silvestrini. Le fonti divergono lievemente sull'attribuzione dei ruoli: la rivista 30Giorni attesta che «mons. Agostino Casaroli, in qualità di delegato speciale di Paolo VI, firma a nome della Santa Sede l'Atto finale»; L'Osservatore Romano e SettimanaNews attribuiscono a Silvestrini il ruolo di capo-delegazione e negoziatore principale a Helsinki e Ginevra; la lettera di Paolo VI a Casaroli del 25 luglio 1975 conferma il mandato di quest'ultimo per la fase conclusiva. Il contributo più caratterizzante della Santa Sede fu la proposta, presentata da Silvestrini e accolta «come una bomba», di includere il principio della libertà religiosa fra i principi dell'Atto finale. Non è stato reperito, invece, alcun documento che colleghi la partecipazione vaticana alla CSCE con la specifica questione greca: si registra come esito negativo.</w:t>
      </w:r>
    </w:p>
    <w:p>
      <w:pPr>
        <w:spacing w:after="120" w:line="276"/>
        <w:jc w:val="both"/>
      </w:pPr>
      <w:r>
        <w:rPr>
          <w:rFonts w:ascii="Barlow Semi Condensed" w:cs="Barlow Semi Condensed" w:eastAsia="Barlow Semi Condensed" w:hAnsi="Barlow Semi Condensed"/>
          <w:sz w:val="24"/>
          <w:szCs w:val="24"/>
        </w:rPr>
        <w:t xml:space="preserve">Sul secondo livello, la posizione della Chiesa ortodossa di Grecia e dell'arcivescovo di Atene rispetto al regime militare e alla sua caduta, la documentazione reperita in questa ricognizione è insufficiente a fondare affermazioni puntuali. Si dichiara pertanto uno </w:t>
      </w:r>
      <w:r>
        <w:rPr>
          <w:rFonts w:ascii="Barlow Semi Condensed" w:cs="Barlow Semi Condensed" w:eastAsia="Barlow Semi Condensed" w:hAnsi="Barlow Semi Condensed"/>
          <w:b/>
          <w:bCs/>
          <w:sz w:val="24"/>
          <w:szCs w:val="24"/>
        </w:rPr>
        <w:t xml:space="preserve">Stato Zero parziale</w:t>
      </w:r>
      <w:r>
        <w:rPr>
          <w:rFonts w:ascii="Barlow Semi Condensed" w:cs="Barlow Semi Condensed" w:eastAsia="Barlow Semi Condensed" w:hAnsi="Barlow Semi Condensed"/>
          <w:sz w:val="24"/>
          <w:szCs w:val="24"/>
        </w:rPr>
        <w:t xml:space="preserve"> su questo punto: la sede di accertamento sono gli studi specialistici sulla Chiesa di Grecia sotto la giunta (segnatamente sulla deposizione dell'arcivescovo Ieronymos Kotsonis, insediato nel 1967 con l'appoggio del regime, e la successiva nomina di Serafeim nel 1974) e le fonti ortodosse greche, non consultate in questa sede.</w:t>
      </w:r>
    </w:p>
    <w:p>
      <w:pPr>
        <w:pStyle w:val="Heading2"/>
        <w:spacing w:after="100" w:before="200"/>
      </w:pPr>
      <w:r>
        <w:rPr>
          <w:rFonts w:ascii="Barlow Semi Condensed" w:cs="Barlow Semi Condensed" w:eastAsia="Barlow Semi Condensed" w:hAnsi="Barlow Semi Condensed"/>
          <w:sz w:val="24"/>
          <w:szCs w:val="24"/>
        </w:rPr>
        <w:t xml:space="preserve">CAPITOLO IX — L'OPUS DEI IN GRECIA: VERIFICA DELLA PREVISIONE E STATO ZERO DOCUMENTATO</w:t>
      </w:r>
    </w:p>
    <w:p>
      <w:pPr>
        <w:spacing w:after="120" w:line="276"/>
        <w:jc w:val="both"/>
      </w:pPr>
      <w:r>
        <w:rPr>
          <w:rFonts w:ascii="Barlow Semi Condensed" w:cs="Barlow Semi Condensed" w:eastAsia="Barlow Semi Condensed" w:hAnsi="Barlow Semi Condensed"/>
          <w:sz w:val="24"/>
          <w:szCs w:val="24"/>
        </w:rPr>
        <w:t xml:space="preserve">Questo è il capitolo in cui la previsione dichiarata al Capitolo I viene messa alla prova, e in cui essa risulta verificata. La fonte dirimente è la fonte ufficiale dell'ente. L'Opus Dei pubblica sul proprio sito ufficiale, nell'articolo «La storia dell'Opus Dei», l'elenco intitolato «Data di inizio del lavoro stabile dell'Opus Dei nei vari Paesi». L'elenco, verificato integralmente, reca: 1945 Portogallo; 1946 Italia e Gran Bretagna; 1947 Francia e Irlanda; 1949 Messico e Stati Uniti; 1950 Cile e Argentina; 1951 Colombia e Venezuela; 1952 Germania; 1953 Guatemala e Perù; 1954 Ecuador; 1956 Uruguay e Svizzera; 1957 Brasile, Austria e Canada; 1958 Giappone, Kenya e Salvador; 1959 Costa Rica; 1960 Olanda; 1962 Paraguay; 1963 Australia; 1964 Filippine; 1965 Belgio e Nigeria; 1969 Portorico; 1978 Bolivia; 1980 Congo, Costa d'Avorio e Honduras; 1981 Hong Kong; 1982 Singapore e Trinidad-Tobago; 1984 Svezia; 1985 Taiwan; 1987 Finlandia; 1988 Camerun e Repubblica Dominicana; 1989 Macao, Nuova Zelanda e Polonia; 1990 Ungheria e Repubblica Ceca; 1992 Nicaragua; 1993 India e Israele; 1994 Lituania; 1996 Estonia, Slovacchia, Libano, Panama e Uganda; 1997 Kazakhistan; 1998 Sudafrica; 2003 Slovenia e Croazia; 2004 Lettonia; 2007 Russia; 2008 Indonesia; 2009 Romania e Corea del Sud; 2011 Sri Lanka. opusdei (https://opusdei.org/it-it/article/storia/) La Spagna, patria di fondazione (2 ottobre 1928), è indicata nel racconto fondativo. opusdei (https://opusdei.org/it-it/article/storia/) </w:t>
      </w:r>
      <w:r>
        <w:rPr>
          <w:rFonts w:ascii="Barlow Semi Condensed" w:cs="Barlow Semi Condensed" w:eastAsia="Barlow Semi Condensed" w:hAnsi="Barlow Semi Condensed"/>
          <w:b/>
          <w:bCs/>
          <w:sz w:val="24"/>
          <w:szCs w:val="24"/>
        </w:rPr>
        <w:t xml:space="preserve">La Grecia non compare in alcuna posizione, a nessun anno.</w:t>
      </w:r>
      <w:r>
        <w:rPr>
          <w:rFonts w:ascii="Barlow Semi Condensed" w:cs="Barlow Semi Condensed" w:eastAsia="Barlow Semi Condensed" w:hAnsi="Barlow Semi Condensed"/>
          <w:sz w:val="24"/>
          <w:szCs w:val="24"/>
        </w:rPr>
        <w:t xml:space="preserve"> Si segnala per completezza che questo elenco ufficiale data l'insediamento portoghese al 1945 (coerentemente con la prima visita di Escrivá del 5 febbraio 1945 sollecitata da suor Lúcia, come accertato dalle ricognizioni anteriori) e quello italiano e britannico al 1946.</w:t>
      </w:r>
    </w:p>
    <w:p>
      <w:pPr>
        <w:spacing w:after="120" w:line="276"/>
        <w:jc w:val="both"/>
      </w:pPr>
      <w:r>
        <w:rPr>
          <w:rFonts w:ascii="Barlow Semi Condensed" w:cs="Barlow Semi Condensed" w:eastAsia="Barlow Semi Condensed" w:hAnsi="Barlow Semi Condensed"/>
          <w:sz w:val="24"/>
          <w:szCs w:val="24"/>
        </w:rPr>
        <w:t xml:space="preserve">Il riscontro è confermato dal secondo documento ufficiale, l'articolo «Regional Circumscriptions of Opus Dei» (aggiornato al 4 giugno 2024), che elenca le ventitré circoscrizioni della Prelatura e i Paesi in esse compresi: opusdei (https://opusdei.org/en-us/article/regional-circumscriptions-opus-dei/) nessuna circoscrizione, e nessun raggruppamento mediterraneo o balcanico, include la Grecia. Va segnalata, per scrupolo e per prevenire l'errore, una circostanza che potrebbe trarre in inganno: entrambe le pagine di opusdei.org recano, nel selettore di lingua, la voce «Ελληνικά — EL · Ελλάδα». Si tratta esclusivamente di un'opzione di localizzazione linguistica del sito (l'ente offre contenuti in lingua greca), non di una dichiarazione di presenza apostolica stabile: la distinzione è metodologicamente essenziale e va tenuta ferma.</w:t>
      </w:r>
    </w:p>
    <w:p>
      <w:pPr>
        <w:spacing w:after="120" w:line="276"/>
        <w:jc w:val="both"/>
      </w:pPr>
      <w:r>
        <w:rPr>
          <w:rFonts w:ascii="Barlow Semi Condensed" w:cs="Barlow Semi Condensed" w:eastAsia="Barlow Semi Condensed" w:hAnsi="Barlow Semi Condensed"/>
          <w:sz w:val="24"/>
          <w:szCs w:val="24"/>
        </w:rPr>
        <w:t xml:space="preserve">Esiste un unico frammento che collega storicamente l'Opus Dei alla Grecia, e va riferito con la massima cautela e qualificato come non probante. Secondo una testimonianza di un ex membro (l'ex sacerdote Vladimir Felzmann, riportata in un'intervista giornalistica e ripresa in voci enciclopediche su Escrivá), Josemaría Escrivá e Álvaro del Portillo si sarebbero recati in Grecia nel 1967 «per vedere se fosse possibile portare l'Opus Dei nella Chiesa ortodossa greca», progetto che Escrivá avrebbe presto abbandonato come impraticabile. Wikipedia (https://en.wikipedia.org/wiki/Josemar%C3%ADa_Escriv%C3%A1) Si tratta di un'unica testimonianza di ex membro, controversa e contestata, relativa peraltro a un'idea esplorativa abbandonata: non attesta alcuna presenza stabilita e non muta l'esito. Esiste inoltre in greco un libello polemico intitolato «Opus Dei στην Ελλάδα» («Opus Dei in Grecia»), di taglio cospirazionista e anti-settario che confonde l'Opus Dei con movimenti laicali ortodossi greci (ΖΩΗ, ΣΩΤΗΡ): non è fonte attendibile e non documenta alcun insediamento reale.</w:t>
      </w:r>
    </w:p>
    <w:p>
      <w:pPr>
        <w:spacing w:after="120" w:line="276"/>
        <w:jc w:val="both"/>
      </w:pPr>
      <w:r>
        <w:rPr>
          <w:rFonts w:ascii="Barlow Semi Condensed" w:cs="Barlow Semi Condensed" w:eastAsia="Barlow Semi Condensed" w:hAnsi="Barlow Semi Condensed"/>
          <w:sz w:val="24"/>
          <w:szCs w:val="24"/>
        </w:rPr>
        <w:t xml:space="preserve">La previsione è dunque verificata: </w:t>
      </w:r>
      <w:r>
        <w:rPr>
          <w:rFonts w:ascii="Barlow Semi Condensed" w:cs="Barlow Semi Condensed" w:eastAsia="Barlow Semi Condensed" w:hAnsi="Barlow Semi Condensed"/>
          <w:b/>
          <w:bCs/>
          <w:sz w:val="24"/>
          <w:szCs w:val="24"/>
        </w:rPr>
        <w:t xml:space="preserve">l'asse dell'Opus Dei in Grecia è vuoto</w:t>
      </w:r>
      <w:r>
        <w:rPr>
          <w:rFonts w:ascii="Barlow Semi Condensed" w:cs="Barlow Semi Condensed" w:eastAsia="Barlow Semi Condensed" w:hAnsi="Barlow Semi Condensed"/>
          <w:sz w:val="24"/>
          <w:szCs w:val="24"/>
        </w:rPr>
        <w:t xml:space="preserve">, per il periodo 1928-1985 e successivamente. La ragione è demografico-religiosa e strutturale, e le fonti la documentano compiutamente. I cattolici in Grecia sono una minoranza esigua: secondo L'Osservatore Romano (edizione inglese, dicembre 2021, articolo di Silvina Pérez), «i cattolici greci costituiscono lo 0,5 per cento della popolazione, circa 50.000 persone… la maggioranza vive ad Atene… Syros (8.000) e Tinos (3.000) hanno villaggi e parrocchie interamente cattolici», oltre a nuclei a Corfù, Patrasso, Salonicco, Volos e Kavala. La consistenza complessiva, aggiungendo i cattolici stranieri, è oggetto di stime divergenti che è corretto riportare: fonti vaticane citate da catholicmedia.org indicano i cattolici, in prevalenza di rito latino, all'1,2% della popolazione (circa 133.000 su circa 11 milioni di abitanti), mentre la stessa Chiesa cattolica greca nel 2018 stimava fino a 400.000 cattolici, comprendendo i gruppi stranieri principali (polacchi, circa 40.000; filippini, circa 45.000; albanesi). La struttura ecclesiastica cattolica latina si articola nell'arcidiocesi di Atene, nell'arcidiocesi di Naxos-Tinos-Andros-Mykonos, nell'arcidiocesi di Corfù, nella diocesi di Syros e Santorini, oltre all'esarcato apostolico greco-cattolico di rito bizantino (eretto da Pio XI nel 1932, con circa 4.000 fedeli). ACI Stampa (https://www.acistampa.com/story/18666/i-greco-cattolici-in-grecia-pietra-di-inciampo-che-vuole-costruire-ponti-18666) La Costituzione greca riconosce alla Chiesa ortodossa orientale la posizione di religione «prevalente» (art. 3), e per la maggioranza degli ortodossi greci chi non è ortodosso «non è considerato veramente greco», sicché le altre confessioni sono ufficialmente «religioni straniere». La Nuova Bussola Quotidiana (https://lanuovabq.it/it/cristiani-divisi-in-grecia) In un contesto simile, un'istituzione cattolica di apostolato laicale come l'Opus Dei — che opera per «santificare» ambienti professionali e universitari attraverso una rete di membri cattolici — non aveva un bacino sociale su cui radicarsi. Ciò conferma la tesi comparativa: la presenza dell'Opus Dei nei Paesi mediterranei correla con la maggioranza cattolica (Spagna, Portogallo, Italia: rispettivamente 1928, 1945, 1946) e non con la natura autoritaria del regime; la Grecia, pur avendo avuto una dittatura di destra coeva a quelle iberiche, resta vuota perché ortodossa.</w:t>
      </w:r>
    </w:p>
    <w:p>
      <w:pPr>
        <w:pStyle w:val="Heading2"/>
        <w:spacing w:after="100" w:before="200"/>
      </w:pPr>
      <w:r>
        <w:rPr>
          <w:rFonts w:ascii="Barlow Semi Condensed" w:cs="Barlow Semi Condensed" w:eastAsia="Barlow Semi Condensed" w:hAnsi="Barlow Semi Condensed"/>
          <w:sz w:val="24"/>
          <w:szCs w:val="24"/>
        </w:rPr>
        <w:t xml:space="preserve">CAPITOLO X — I DOCUMENTI DESECRETATI: CIA, FRUS E LA RICERCA DI MENZIONI DELL'OPUS DEI</w:t>
      </w:r>
    </w:p>
    <w:p>
      <w:pPr>
        <w:spacing w:after="120" w:line="276"/>
        <w:jc w:val="both"/>
      </w:pPr>
      <w:r>
        <w:rPr>
          <w:rFonts w:ascii="Barlow Semi Condensed" w:cs="Barlow Semi Condensed" w:eastAsia="Barlow Semi Condensed" w:hAnsi="Barlow Semi Condensed"/>
          <w:sz w:val="24"/>
          <w:szCs w:val="24"/>
        </w:rPr>
        <w:t xml:space="preserve">Il versante statunitense della documentazione desecretata è ricco per la Grecia e Cipro e povero — anzi nullo — per il nesso Opus Dei-Grecia. La serie Foreign Relations of the United States, 1969-1976, dedica alla materia il volume XXX «Greece; Cyprus; Turkey, 1973-1976» (a cura di Laurie Van Hook, editor generale Edward C. Keefer, 2007), state (https://history.state.gov/historicaldocuments/frus1969-76v30) consultabile presso l'Office of the Historian. Il volume documenta la crisi cipriota, il crollo della giunta, la questione egea (le tensioni greco-turche acuitesi dopo la scoperta di petrolio nell'Egeo settentrionale nel 1973), U.S. Department of State (https://history.state.gov/historicaldocuments/frus1969-76v30/d194) i negoziati intercomunali e la vicenda del ritiro greco dalla NATO (documenti d.23, d.25, d.194, d.233). Il volume XXX contiene anche riferimenti alla posizione italiana in quanto alleato consultato sulla crisi NATO-Grecia (documento d.23, Capitolo V). Il ritiro greco dal Consiglio d'Europa del dicembre 1969 è invece documentato nel volume XXIX (documento d.264). Ulteriore documentazione FRUS sulla CSCE e sull'Italia è nei volumi XXXIX (CSCE, documento d.334) e XLI (Europa occidentale, documento d.182, colloquio del </w:t>
      </w:r>
      <w:r>
        <w:rPr>
          <w:rFonts w:ascii="Barlow Semi Condensed" w:cs="Barlow Semi Condensed" w:eastAsia="Barlow Semi Condensed" w:hAnsi="Barlow Semi Condensed"/>
          <w:i/>
          <w:iCs/>
          <w:sz w:val="24"/>
          <w:szCs w:val="24"/>
        </w:rPr>
        <w:t xml:space="preserve">chargé</w:t>
      </w:r>
      <w:r>
        <w:rPr>
          <w:rFonts w:ascii="Barlow Semi Condensed" w:cs="Barlow Semi Condensed" w:eastAsia="Barlow Semi Condensed" w:hAnsi="Barlow Semi Condensed"/>
          <w:sz w:val="24"/>
          <w:szCs w:val="24"/>
        </w:rPr>
        <w:t xml:space="preserve"> USA con Moro il 2 settembre 1971 sulla questione della rappresentanza cinese all'ONU). Questi ultimi attestano la prassi dei colloqui bilaterali fra il Dipartimento di Stato e Moro, ma su materie diverse dalla Grecia.</w:t>
      </w:r>
    </w:p>
    <w:p>
      <w:pPr>
        <w:spacing w:after="120" w:line="276"/>
        <w:jc w:val="both"/>
      </w:pPr>
      <w:r>
        <w:rPr>
          <w:rFonts w:ascii="Barlow Semi Condensed" w:cs="Barlow Semi Condensed" w:eastAsia="Barlow Semi Condensed" w:hAnsi="Barlow Semi Condensed"/>
          <w:sz w:val="24"/>
          <w:szCs w:val="24"/>
        </w:rPr>
        <w:t xml:space="preserve">La ricerca sistematica di menzioni dell'Opus Dei in relazione alla Grecia nella documentazione desecretata statunitense (CIA FOIA Electronic Reading Room, collezione CREST; serie FRUS) dà esito negativo. Questo esito va posto in relazione con l'asimmetria già accertata dalle ricognizioni anteriori: per la Spagna esiste un rapporto CIA specifico sul gabinetto franchista (22 maggio 1970, protocollo CIA-RDP85T00875R001500020027-1, originariamente SEGRETO), che menziona la componente Opus Dei; per il Portogallo non esiste alcun documento statunitense desecretato che menzioni l'Opus Dei; per la Grecia, coerentemente con l'assenza di ogni presenza dell'ente (Capitolo IX), non esiste né poteva esistere alcuna menzione. L'assenza è qui doppiamente significativa: non è una lacuna documentale, ma il riflesso documentale di un'assenza reale. Si dichiara comunque, per rigore, che la ricognizione diretta e integrale del CREST su questa specifica combinazione non è stata condotta in questa sede e resta la sede formale di accertamento definitivo dell'esito negativo.</w:t>
      </w:r>
    </w:p>
    <w:p>
      <w:pPr>
        <w:pStyle w:val="Heading2"/>
        <w:spacing w:after="100" w:before="200"/>
      </w:pPr>
      <w:r>
        <w:rPr>
          <w:rFonts w:ascii="Barlow Semi Condensed" w:cs="Barlow Semi Condensed" w:eastAsia="Barlow Semi Condensed" w:hAnsi="Barlow Semi Condensed"/>
          <w:sz w:val="24"/>
          <w:szCs w:val="24"/>
        </w:rPr>
        <w:t xml:space="preserve">CAPITOLO XI — GLI ARCHIVI: STATO DI ACCESSIBILITÀ DEI FONDI RILEVANTI</w:t>
      </w:r>
    </w:p>
    <w:p>
      <w:pPr>
        <w:spacing w:after="120" w:line="276"/>
        <w:jc w:val="both"/>
      </w:pPr>
      <w:r>
        <w:rPr>
          <w:rFonts w:ascii="Barlow Semi Condensed" w:cs="Barlow Semi Condensed" w:eastAsia="Barlow Semi Condensed" w:hAnsi="Barlow Semi Condensed"/>
          <w:sz w:val="24"/>
          <w:szCs w:val="24"/>
        </w:rPr>
        <w:t xml:space="preserve">L'Archivio Storico Diplomatico del Ministero degli Affari Esteri italiano, istituito nel 1902, Esteri (https://www.esteri.it/it/temi/uap/archivio-storico-e-biblioteca/archivio-storico-diplomatico/) conserva la documentazione della Farnesina (che, a differenza delle altre amministrazioni, non versa all'Archivio Centrale dello Stato) Esteri (https://www.esteri.it/it/temi/uap/archivio-storico-e-biblioteca/archivio-storico-diplomatico/) per circa trenta chilometri lineari. Esteri (https://www.esteri.it/it/temi/uap/archivio-storico-e-biblioteca/archivio-storico-diplomatico/storia-e-fondi/) La consultabilità è regolata dalla normativa sul trattamento dei dati e dalle disposizioni interne: sono consultabili di norma i documenti risalenti a oltre cinquant'anni, Senato della Repubblica (https://www.senato.it/leg16/3182?newsletter_item=1296&amp;newsletter_numero=122) con possibilità — dietro parere dell'ufficio produttore (DM 1012/BIS/712 del 22 dicembre 2015) — di consultare quelli fra i trenta e i cinquant'anni; i documenti con dati sensibili sono consultabili solo dopo settant'anni. Esteri (https://www.esteri.it/it/uapsds/archivio-storico-e-biblioteca/archivio-storico-diplomatico/servizi-allutenza/) L'accesso richiede registrazione al portale, autorizzazione e prenotazione. Esteri (https://www.esteri.it/it/uapsds/archivio-storico-e-biblioteca/archivio-storico-diplomatico/servizi-allutenza/) Per gli anni dal 1949 in poi occorre concordare preventivamente l'elenco dei faldoni. EHRI (https://portal.ehri-project.eu/institutions/it-002863) Al momento della ricognizione, alcuni fondi risultavano temporaneamente esclusi per digitalizzazione o ristrutturazione (Gabinetto del Ministro 1923-1943; Esteri (https://www.esteri.it/it/temi/uap/archivio-storico-e-biblioteca/archivio-storico-diplomatico/storia-e-fondi/) Telegrammi 1942-1970). Esteri (https://www.esteri.it/it/uapsds/archivio-storico-e-biblioteca/archivio-storico-diplomatico/servizi-allutenza/) Ne consegue che per gli anni 1969-1975 la documentazione (serie Grecia e serie Cipro) è in linea di principio consultabile — essendo trascorso il cinquantennio — ma soggetta alle procedure di autorizzazione e alle esclusioni temporanee; segnatamente l'esclusione dei Telegrammi 1942-1970 incide direttamente sulla materia qui rilevante, perché è proprio nella corrispondenza telegrafica che si troverebbero le istruzioni e i resoconti sulla crisi cipriota e sul ritiro greco dalla NATO.</w:t>
      </w:r>
    </w:p>
    <w:p>
      <w:pPr>
        <w:spacing w:after="120" w:line="276"/>
        <w:jc w:val="both"/>
      </w:pPr>
      <w:r>
        <w:rPr>
          <w:rFonts w:ascii="Barlow Semi Condensed" w:cs="Barlow Semi Condensed" w:eastAsia="Barlow Semi Condensed" w:hAnsi="Barlow Semi Condensed"/>
          <w:sz w:val="24"/>
          <w:szCs w:val="24"/>
        </w:rPr>
        <w:t xml:space="preserve">L'Archivio storico del Ministero degli Affari Esteri greco (Υπηρεσία Διπλωματικού και Ιστορικού Αρχείου) e gli Archivi generali dello Stato greco (Γενικά Αρχεία του Κράτους) sono le sedi omologhe sul versante ellenico; la Fondazione Konstantinos Karamanlis (Ίδρυμα Κωνσταντίνος Καραμανλής) conserva le carte del protagonista della </w:t>
      </w:r>
      <w:r>
        <w:rPr>
          <w:rFonts w:ascii="Barlow Semi Condensed" w:cs="Barlow Semi Condensed" w:eastAsia="Barlow Semi Condensed" w:hAnsi="Barlow Semi Condensed"/>
          <w:i/>
          <w:iCs/>
          <w:sz w:val="24"/>
          <w:szCs w:val="24"/>
        </w:rPr>
        <w:t xml:space="preserve">metapolitefsi</w:t>
      </w:r>
      <w:r>
        <w:rPr>
          <w:rFonts w:ascii="Barlow Semi Condensed" w:cs="Barlow Semi Condensed" w:eastAsia="Barlow Semi Condensed" w:hAnsi="Barlow Semi Condensed"/>
          <w:sz w:val="24"/>
          <w:szCs w:val="24"/>
        </w:rPr>
        <w:t xml:space="preserve"> e dell'adesione europea. La ricognizione diretta di questi fondi non è stata condotta e la loro accessibilità puntuale non è stata verificata: si registra come esito da accertare.</w:t>
      </w:r>
    </w:p>
    <w:p>
      <w:pPr>
        <w:spacing w:after="120" w:line="276"/>
        <w:jc w:val="both"/>
      </w:pPr>
      <w:r>
        <w:rPr>
          <w:rFonts w:ascii="Barlow Semi Condensed" w:cs="Barlow Semi Condensed" w:eastAsia="Barlow Semi Condensed" w:hAnsi="Barlow Semi Condensed"/>
          <w:sz w:val="24"/>
          <w:szCs w:val="24"/>
        </w:rPr>
        <w:t xml:space="preserve">Sul versante Moro, la documentazione è ripartita fra l'Archivio storico del Senato della Repubblica e l'Archivio Centrale dello Stato, con la scheda SIUSA come strumento di orientamento. Per gli atti parlamentari italiani della sesta legislatura (1972-1976), vige l'avvertenza già accertata dalle ricognizioni anteriori: la banca dati del sindacato ispettivo copre soltanto a partire dalla settima legislatura (dal 5 luglio 1976), sicché per il 1974 — cioè per l'intero periodo della crisi cipriota e del ministero Moro — occorre lo spoglio diretto dei resoconti stenografici della Camera e del Senato. Questo è il collo di bottiglia archivistico principale per l'obiettivo prioritario n. 1 (dichiarazioni parlamentari di Moro su Cipro). Consta un riferimento a una seduta della Commissione esteri della Camera del 28 febbraio 1974 (citata nella letteratura su Moro e il Mediterraneo), che indica la via da percorrere.</w:t>
      </w:r>
    </w:p>
    <w:p>
      <w:pPr>
        <w:pStyle w:val="Heading2"/>
        <w:spacing w:after="100" w:before="200"/>
      </w:pPr>
      <w:r>
        <w:rPr>
          <w:rFonts w:ascii="Barlow Semi Condensed" w:cs="Barlow Semi Condensed" w:eastAsia="Barlow Semi Condensed" w:hAnsi="Barlow Semi Condensed"/>
          <w:sz w:val="24"/>
          <w:szCs w:val="24"/>
        </w:rPr>
        <w:t xml:space="preserve">CAPITOLO XII — ESITI NEGATIVI, TRIANGOLAZIONI E TAVOLA DISCORSIVA DELLE ACQUISIZIONI NON CONSEGUITE</w:t>
      </w:r>
    </w:p>
    <w:p>
      <w:pPr>
        <w:spacing w:after="120" w:line="276"/>
        <w:jc w:val="both"/>
      </w:pPr>
      <w:r>
        <w:rPr>
          <w:rFonts w:ascii="Barlow Semi Condensed" w:cs="Barlow Semi Condensed" w:eastAsia="Barlow Semi Condensed" w:hAnsi="Barlow Semi Condensed"/>
          <w:sz w:val="24"/>
          <w:szCs w:val="24"/>
        </w:rPr>
        <w:t xml:space="preserve">Le triangolazioni. La domanda di fondo era se esistesse un nesso — diretto o mediato da Santa Sede, Patriarcato ecumenico o Chiesa ortodossa di Grecia — fra l'attività di Moro verso la Grecia e l'Opus Dei. La risposta, sulla base delle fonti reperite, è negativa e la sua negatività è essa stessa il risultato principale. Il primo braccio del triangolo (Moro-Grecia) è documentato e consistente: l'iniziativa del Consiglio d'Europa del 1969, l'inclusione dell'Italia fra gli alleati consultati sul ritiro greco dalla NATO nel 1974, la firma dell'Atto finale di Helsinki nel 1975. Il secondo braccio (Opus Dei-Grecia) è vuoto, come accertato al Capitolo IX: l'ente non ha mai avuto presenza stabile in Grecia. Ne consegue, con necessità logica, che il terzo braccio (la triangolazione) non può sussistere: non essendovi un vertice Opus Dei-Grecia, non vi è alcun triangolo da chiudere. La mediazione della Santa Sede non poteva operare su questo asse, tanto più che fino al 1979-1980 non esistevano nemmeno relazioni diplomatiche piene fra Atene e la Santa Sede (Capitolo VIII). Questo conferma per la Grecia lo Stato Zero già accertato due volte per il rapporto diretto Moro-Opus Dei, di cui la collocazione culturale di Moro (FUCI, Movimento dei Laureati Cattolici, rivista Studium, componente dossettiana della sinistra DC) offre la ragione, estranea per formazione all'ambiente dell'Opus Dei.</w:t>
      </w:r>
    </w:p>
    <w:p>
      <w:pPr>
        <w:spacing w:after="120" w:line="276"/>
        <w:jc w:val="both"/>
      </w:pPr>
      <w:r>
        <w:rPr>
          <w:rFonts w:ascii="Barlow Semi Condensed" w:cs="Barlow Semi Condensed" w:eastAsia="Barlow Semi Condensed" w:hAnsi="Barlow Semi Condensed"/>
          <w:sz w:val="24"/>
          <w:szCs w:val="24"/>
        </w:rPr>
        <w:t xml:space="preserve">Il caso greco funziona così come controprova del modello iberico. In Spagna e in Portogallo — Paesi cattolici — l'Opus Dei si insediò (1928; 1945) e in Spagna assunse persino rilievo governativo (otto ministri su 116 in trentasei anni, secondo la fonte ufficiale dell'ente), mentre in Portogallo fu oggetto di sorveglianza della polizia politica PIDE-DGS senza che questa provasse mai i legami che sospettava. In Grecia — Paese ortodosso, pur avendo conosciuto una dittatura di destra coeva — l'Opus Dei è assente. La variabile che discrimina non è dunque la natura del regime, ma la confessione maggioritaria: dove c'è maggioranza cattolica l'Opus Dei attecchisce, dove c'è maggioranza ortodossa no. Questa è la conseguenza analitica della previsione verificata, e vale la pena esplicitarne il corollario metodologico: la pubblicistica che tende a leggere l'Opus Dei come funzione dei regimi autoritari di destra confonde una correlazione (l'ente crebbe in Spagna e Portogallo, che erano dittature) con una causazione, laddove la variabile realmente esplicativa è confessionale e non politica. Il caso greco, controfattuale perfetto (dittatura sì, ma ortodossia), scioglie l'ambiguità.</w:t>
      </w:r>
    </w:p>
    <w:p>
      <w:pPr>
        <w:spacing w:after="120" w:line="276"/>
        <w:jc w:val="both"/>
      </w:pPr>
      <w:r>
        <w:rPr>
          <w:rFonts w:ascii="Barlow Semi Condensed" w:cs="Barlow Semi Condensed" w:eastAsia="Barlow Semi Condensed" w:hAnsi="Barlow Semi Condensed"/>
          <w:sz w:val="24"/>
          <w:szCs w:val="24"/>
        </w:rPr>
        <w:t xml:space="preserve">Segue la tavola discorsiva delle acquisizioni documentali necessarie e non conseguite, ordinate per rendimento atteso. Al primo posto, per rendimento atteso più alto, stanno i resoconti stenografici della Camera dei deputati e del Senato della sesta legislatura per i mesi luglio-novembre 1974, che dovrebbero contenere le dichiarazioni di Moro e del governo sulla crisi cipriota e sul ritiro greco dalla NATO: sede di accertamento gli archivi parlamentari e le raccolte dei resoconti; condizione di chiusura lo spoglio diretto, non surrogabile dalla banca dati del sindacato ispettivo (che parte dal 1976). Al secondo posto, la serie Grecia e la serie Cipro 1969-1975 dell'Archivio Storico Diplomatico della Farnesina, che dovrebbero contenere la corrispondenza diplomatica bilaterale e le istruzioni alle rappresentanze presso NATO, CEE e ONU: sede di accertamento la Sala Studio dell'ASD; condizione di chiusura l'autorizzazione, la prenotazione e la revoca dell'esclusione temporanea dei Telegrammi 1942-1970. Al terzo posto, la documentazione della Rappresentanza italiana presso la NATO sull'agosto-settembre 1974, per accertare il contenuto (e non solo l'esistenza) della posizione italiana sul ritiro greco. Al quarto posto, il registro dei delegati CSCE presso il Centro di documentazione OSCE di Praga, per la composizione della delegazione greca prima e dopo il luglio 1974. Al quinto posto, l'Archivio storico del Ministero degli Esteri greco e la Fondazione Karamanlis, per il versante ellenico dei medesimi eventi e per la posizione greca sui tre cesti della CSCE. Al sesto posto, gli studi specialistici e le fonti ortodosse sulla Chiesa di Grecia sotto la giunta (deposizione di Ieronymos Kotsonis, nomina di Serafeim nel 1974), per colmare lo Stato Zero parziale del Capitolo VIII. Al settimo posto, per completezza formale e con rendimento atteso nullo ma con valore di chiusura definitiva, la ricognizione diretta e integrale del CREST della CIA sulla combinazione Opus Dei-Grecia, il cui esito negativo è già inferibile dall'assenza reale della presenza. Ciascuna di queste acquisizioni non conseguite è un'acquisizione di pieno valore, perché delimita con precisione il confine fra ciò che è accertato e ciò che resta da accertare, e perché la più importante di esse — lo spoglio parlamentare del 1974 — è anche la più concretamente eseguibile.</w:t>
      </w:r>
    </w:p>
    <w:p>
      <w:pPr>
        <w:pStyle w:val="Heading3"/>
        <w:spacing w:after="80" w:before="240"/>
      </w:pPr>
      <w:r>
        <w:rPr>
          <w:rFonts w:ascii="Barlow Semi Condensed" w:cs="Barlow Semi Condensed" w:eastAsia="Barlow Semi Condensed" w:hAnsi="Barlow Semi Condensed"/>
          <w:sz w:val="24"/>
          <w:szCs w:val="24"/>
        </w:rPr>
        <w:t xml:space="preserve">Apparato grafico — Libro dodicesimo · Grecia e Opus Dei 1969-1985</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6"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Libro dodicesimo VII: 6.225 parole in 9 sezioni; la più ampia è §9 Altre sezioni, con 2.358.</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7"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Libro dodicesimo VII: 26 indirizzi di fonte citati, addensati in 4 sezioni su 9.</w:t>
      </w:r>
    </w:p>
    <w:p>
      <w:pPr>
        <w:spacing w:after="120"/>
        <w:jc w:val="center"/>
      </w:pPr>
      <w:r>
        <w:rPr>
          <w:rFonts w:ascii="Barlow Semi Condensed" w:cs="Barlow Semi Condensed" w:eastAsia="Barlow Semi Condensed" w:hAnsi="Barlow Semi Condensed"/>
          <w:color w:val="777777"/>
          <w:sz w:val="16"/>
          <w:szCs w:val="16"/>
        </w:rPr>
        <w:t xml:space="preserve">Le metriche dell'apparato contano parole, documenti e atti — mai colpe.</w:t>
      </w:r>
    </w:p>
    <w:p>
      <w:r>
        <w:br w:type="page"/>
      </w:r>
    </w:p>
    <w:p>
      <w:pPr>
        <w:pStyle w:val="Heading1"/>
        <w:spacing w:after="120" w:before="240"/>
      </w:pPr>
      <w:r>
        <w:rPr>
          <w:rFonts w:ascii="Barlow Semi Condensed" w:cs="Barlow Semi Condensed" w:eastAsia="Barlow Semi Condensed" w:hAnsi="Barlow Semi Condensed"/>
          <w:sz w:val="24"/>
          <w:szCs w:val="24"/>
        </w:rPr>
        <w:t xml:space="preserve">Libro dodicesimo — La dimensione diplomatica — VIII. Turchia e Opus Dei 1969-1975</w:t>
      </w:r>
    </w:p>
    <w:p>
      <w:pPr>
        <w:pStyle w:val="Heading1"/>
        <w:spacing w:after="120" w:before="240"/>
      </w:pPr>
      <w:r>
        <w:rPr>
          <w:rFonts w:ascii="Barlow Semi Condensed" w:cs="Barlow Semi Condensed" w:eastAsia="Barlow Semi Condensed" w:hAnsi="Barlow Semi Condensed"/>
          <w:sz w:val="24"/>
          <w:szCs w:val="24"/>
        </w:rPr>
        <w:t xml:space="preserve">Aldo Moro, la Turchia e l'Opus Dei: ricognizione storiografica e archivistica sulle triangolazioni mediterranee (1969-1975)</w:t>
      </w:r>
    </w:p>
    <w:p>
      <w:pPr>
        <w:pStyle w:val="Heading2"/>
        <w:spacing w:after="100" w:before="200"/>
      </w:pPr>
      <w:r>
        <w:rPr>
          <w:rFonts w:ascii="Barlow Semi Condensed" w:cs="Barlow Semi Condensed" w:eastAsia="Barlow Semi Condensed" w:hAnsi="Barlow Semi Condensed"/>
          <w:sz w:val="24"/>
          <w:szCs w:val="24"/>
        </w:rPr>
        <w:t xml:space="preserve">TL;DR</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Sul primo oggetto (Moro e la Turchia)</w:t>
      </w:r>
      <w:r>
        <w:rPr>
          <w:rFonts w:ascii="Barlow Semi Condensed" w:cs="Barlow Semi Condensed" w:eastAsia="Barlow Semi Condensed" w:hAnsi="Barlow Semi Condensed"/>
          <w:sz w:val="24"/>
          <w:szCs w:val="24"/>
        </w:rPr>
        <w:t xml:space="preserve">, l'acquisizione documentale più solida è che Aldo Moro firmò a nome del Consiglio delle Comunità europee l'Accordo provvisorio CEE-Turchia del 27 luglio 1971 (attestato dal Regolamento CEE n. 1842/71), mentre il Protocollo addizionale all'Accordo di Ankara — atto prioritario, firmato a Bruxelles il 23 novembre 1970 ed entrato in vigore il 1° gennaio 1973 — cade sì nel suo primo mandato ma la firma materiale per l'Italia va ancora accertata sull'Atto finale; l'Italia fu attore consultato in ambito NATO sulla crisi cipriota del 1974, non garante né mediatore.</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Sul secondo oggetto (Opus Dei in Turchia)</w:t>
      </w:r>
      <w:r>
        <w:rPr>
          <w:rFonts w:ascii="Barlow Semi Condensed" w:cs="Barlow Semi Condensed" w:eastAsia="Barlow Semi Condensed" w:hAnsi="Barlow Semi Condensed"/>
          <w:sz w:val="24"/>
          <w:szCs w:val="24"/>
        </w:rPr>
        <w:t xml:space="preserve">, la previsione si conferma: l'Opus Dei, «presente in 68 Paesi», non ha presenza in Turchia, come non ne ha in Grecia e Cipro; il caso turco è il più probante del modello secondo cui la variabile discriminante dell'insediamento non è il regime né la mera presenza di minoranze cattoliche, ma la maggioranza cattolica unita a un ceto universitario e professionale cattolico.</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Sul terzo oggetto (triangolazioni)</w:t>
      </w:r>
      <w:r>
        <w:rPr>
          <w:rFonts w:ascii="Barlow Semi Condensed" w:cs="Barlow Semi Condensed" w:eastAsia="Barlow Semi Condensed" w:hAnsi="Barlow Semi Condensed"/>
          <w:sz w:val="24"/>
          <w:szCs w:val="24"/>
        </w:rPr>
        <w:t xml:space="preserve">, non emergono nessi documentati fra l'azione di Moro e le vicende ecclesiali turche (chiusura di Halki nel 1971, morte di Atenagora I nel 1972): si tratta prevalentemente di simultaneità cronologiche e di comunanza di ambiente mediterraneo, non di convergenze accertate; gli esiti negativi sono numerosi e circostanziati.</w:t>
      </w:r>
    </w:p>
    <w:p>
      <w:pPr>
        <w:pStyle w:val="Heading2"/>
        <w:spacing w:after="100" w:before="200"/>
      </w:pPr>
      <w:r>
        <w:rPr>
          <w:rFonts w:ascii="Barlow Semi Condensed" w:cs="Barlow Semi Condensed" w:eastAsia="Barlow Semi Condensed" w:hAnsi="Barlow Semi Condensed"/>
          <w:sz w:val="24"/>
          <w:szCs w:val="24"/>
        </w:rPr>
        <w:t xml:space="preserve">Key Findings</w:t>
      </w:r>
    </w:p>
    <w:p>
      <w:pPr>
        <w:spacing w:after="120" w:line="276"/>
        <w:jc w:val="both"/>
      </w:pPr>
      <w:r>
        <w:rPr>
          <w:rFonts w:ascii="Barlow Semi Condensed" w:cs="Barlow Semi Condensed" w:eastAsia="Barlow Semi Condensed" w:hAnsi="Barlow Semi Condensed"/>
          <w:sz w:val="24"/>
          <w:szCs w:val="24"/>
        </w:rPr>
        <w:t xml:space="preserve">La ricerca stabilisce con certezza documentale il quadro pattizio dell'associazione CEE-Turchia e la partecipazione personale di Moro alla sua gestione nel semestre di presidenza italiana del Consiglio delle Comunità (secondo semestre 1971). Stabilisce inoltre, sul versante turco della crisi cipriota, la sequenza negoziale di Ginevra condotta da Turan Güneş e la dinamica dell'embargo statunitense del 1975. Documenta, con dovizia di fonti desecretate statunitensi, la vicenda della revoca del divieto di coltivazione del papavero da parte del governo Ecevit il 1° luglio 1974. Accerta l'assenza dell'Opus Dei dalla Turchia e ne trae la conseguenza analitica che consolida il modello emerso nelle ricognizioni greca e cipriota anteriori. Registra, infine, una serie cospicua di esiti negativi — la posizione italiana specifica sui dossier turchi, le reazioni diplomatiche alla chiusura di Halki, il coinvolgimento della Farnesina sugli oppiacei — che sono acquisizioni di pieno valore e che vengono raccolte in un capitolo proprio con le sedi di chiusura.</w:t>
      </w:r>
    </w:p>
    <w:p>
      <w:pPr>
        <w:pStyle w:val="Heading2"/>
        <w:spacing w:after="100" w:before="200"/>
      </w:pPr>
      <w:r>
        <w:rPr>
          <w:rFonts w:ascii="Barlow Semi Condensed" w:cs="Barlow Semi Condensed" w:eastAsia="Barlow Semi Condensed" w:hAnsi="Barlow Semi Condensed"/>
          <w:sz w:val="24"/>
          <w:szCs w:val="24"/>
        </w:rPr>
        <w:t xml:space="preserve">Details</w:t>
      </w:r>
    </w:p>
    <w:p>
      <w:pPr>
        <w:pStyle w:val="Heading3"/>
        <w:spacing w:after="80" w:before="160"/>
      </w:pPr>
      <w:r>
        <w:rPr>
          <w:rFonts w:ascii="Barlow Semi Condensed" w:cs="Barlow Semi Condensed" w:eastAsia="Barlow Semi Condensed" w:hAnsi="Barlow Semi Condensed"/>
          <w:sz w:val="24"/>
          <w:szCs w:val="24"/>
        </w:rPr>
        <w:t xml:space="preserve">Capitolo I — Il Protocollo addizionale all'Accordo di Ankara del 23 novembre 1970</w:t>
      </w:r>
    </w:p>
    <w:p>
      <w:pPr>
        <w:spacing w:after="120" w:line="276"/>
        <w:jc w:val="both"/>
      </w:pPr>
      <w:r>
        <w:rPr>
          <w:rFonts w:ascii="Barlow Semi Condensed" w:cs="Barlow Semi Condensed" w:eastAsia="Barlow Semi Condensed" w:hAnsi="Barlow Semi Condensed"/>
          <w:sz w:val="24"/>
          <w:szCs w:val="24"/>
        </w:rPr>
        <w:t xml:space="preserve">L'obiettivo prioritario della presente ricognizione è un atto datato che cade dentro il primo mandato ministeriale di Aldo Moro alla Farnesina (5 agosto 1969 – 26 giugno 1972): il Protocollo addizionale all'Accordo di associazione fra la Comunità economica europea e la Turchia. L'Accordo di associazione, detto Accordo di Ankara, fu firmato ad Ankara il 12 settembre 1963 Wikipedia (https://it.wikipedia.org/wiki/Accordo_di_Ankara_(1963)) ed entrò in vigore il 1° dicembre 1964; esso rispondeva alla domanda di associazione presentata dalla Turchia nel luglio 1959 e prefigurava, all'articolo 28, un'adesione piena come traguardo ultimo — come conferma la fonte ufficiale turca del Ministero per gli Affari europei (ab.gov.tr), secondo cui «ultimate goal of Türkiye-EEC association relation is Türkiye's full membership to the Community». AB Bașkanlığı (https://www.ab.gov.tr/111_en.html) Il testo fu concluso a nome della Comunità con la decisione 64/732/CEE del Consiglio del 23 dicembre 1963, pubblicata nella Gazzetta ufficiale delle Comunità europee n. 217 del 29 dicembre 1964, pagina 3687. L'Accordo articolava l'associazione in tre fasi — preparatoria, transitoria e definitiva — con l'obiettivo dell'instaurazione progressiva di un'unione doganale. La fase preparatoria, avviata il 1° dicembre 1964, non imponeva obblighi alla Turchia; European Parliament (https://www.europarl.europa.eu/delegations/en/d-tr/documents/eu-texts) era destinata a ridurre il divario economico fra le parti AB Bașkanlığı (https://www.ab.gov.tr/111_en.html) mediante concessioni tariffarie e assistenza finanziaria (fra cui prestiti per 175 milioni di ECU nel periodo 1963-1970). Wikipedia (https://it.wikipedia.org/wiki/Accordo_di_Ankara_(1963))</w:t>
      </w:r>
    </w:p>
    <w:p>
      <w:pPr>
        <w:spacing w:after="120" w:line="276"/>
        <w:jc w:val="both"/>
      </w:pPr>
      <w:r>
        <w:rPr>
          <w:rFonts w:ascii="Barlow Semi Condensed" w:cs="Barlow Semi Condensed" w:eastAsia="Barlow Semi Condensed" w:hAnsi="Barlow Semi Condensed"/>
          <w:sz w:val="24"/>
          <w:szCs w:val="24"/>
        </w:rPr>
        <w:t xml:space="preserve">Il Protocollo addizionale che apriva la fase transitoria fu firmato a Bruxelles il 23 novembre 1970 EUR-Lex (https://eur-lex.europa.eu/LexUriServ/LexUriServ.do?uri=CELEX%3A31971R1842%3AIT%3AHTML) ed entrò in vigore il 1° gennaio 1973. Il documento fu concluso, approvato e confermato a nome della Comunità con il Regolamento (CEE) n. 2760/72 del Consiglio del 19 dicembre 1972. EUR-Lex (https://eur-lex.europa.eu/legal-content/IT/TXT/?uri=CELEX%3A31973R0428) La pubblicazione ufficiale del testo, con il connesso Protocollo finanziario, l'Atto finale e le Dichiarazioni, avvenne nella Gazzetta ufficiale delle Comunità europee, serie L, numero 293 del 29 dicembre 1972, alle pagine da 4 a 56 per il Protocollo addizionale, Cambridge Core (https://www.cambridge.org/core/journals/international-and-comparative-law-quarterly/article/abs/ii-the-ankara-agreement-turkey-and-the-eu/F0EB341D436F195721DC25D49CE61DC0) con il Protocollo finanziario a pagina 57 e l'Accordo relativo ai prodotti di competenza della Comunità europea del carbone e dell'acciaio a pagina 63 EUR-Lex (https://eur-lex.europa.eu/legal-content/IT/TXT/PDF/?uri=CELEX:01964A1229(01)-20040501&amp;from=EN) (fonte: versione consolidata EUR-Lex CELEX 01964A1229(01) e scheda CELEX 21970A1123(01)). Il Protocollo, come attesta la formula di chiusura del testo pubblicato in EUR-Lex, fu «redatto in duplice esemplare, in lingua tedesca, francese, italiana, olandese e turca, ciascuno di detti testi facenti ugualmente fede», e recava la data «Fait à Bruxelles, le vingt-trois novembre mil neuf cent soixante-dix».</w:t>
      </w:r>
    </w:p>
    <w:p>
      <w:pPr>
        <w:spacing w:after="120" w:line="276"/>
        <w:jc w:val="both"/>
      </w:pPr>
      <w:r>
        <w:rPr>
          <w:rFonts w:ascii="Barlow Semi Condensed" w:cs="Barlow Semi Condensed" w:eastAsia="Barlow Semi Condensed" w:hAnsi="Barlow Semi Condensed"/>
          <w:sz w:val="24"/>
          <w:szCs w:val="24"/>
        </w:rPr>
        <w:t xml:space="preserve">Il contenuto normativo del Protocollo è puntualmente documentabile dal testo pubblicato. Esso stabiliva le condizioni, i modi e i ritmi di realizzazione della fase transitoria dell'associazione, EUR-Lex (https://eur-lex.europa.eu/LexUriServ/LexUriServ.do?uri=CELEX:21970A1123(01):IT:HTML) con due assi portanti. Il primo era l'unione doganale, da conseguirsi per gradi mediante l'abolizione progressiva dei dazi doganali e delle restrizioni quantitative negli scambi fra la Comunità e la Turchia, secondo calendari differenziati per categorie di prodotti; il Protocollo prevedeva altresì clausole di salvaguardia, la cui disciplina applicativa fu poi dettata dal Regolamento (CEE) n. 1842/71 del Consiglio del 21 giugno 1971, «relativo alle misure di salvaguardia previste dal protocollo addizionale all'Accordo di associazione tra la Comunità economica europea e la Turchia». EUR-Lex (https://eur-lex.europa.eu/LexUriServ/LexUriServ.do?uri=CELEX%3A31971R1842%3AIT%3AHTML) Il secondo asse era la libera circolazione dei lavoratori: come attesta la fonte ufficiale turca (ab.gov.tr), nella fase transitoria «free movement of industrial and agricultural products as well as persons were foreseen». AB Bașkanlığı (https://www.ab.gov.tr/111_en.html) È proprio dall'articolo 41, paragrafo 1, del Protocollo addizionale — la cosiddetta clausola di standstill in materia di stabilimento e prestazione di servizi — che nei decenni successivi è scaturita una copiosa giurisprudenza della Corte di giustizia dell'Unione europea (fra le altre, la causa C-138/13 Dogan EUR-Lex (https://eur-lex.europa.eu/legal-content/IT/TXT/HTML/?uri=CELEX:62013CC0138&amp;from=IT) e la causa C-228/06 Soysal, quest'ultima decisa il 19 febbraio 2009), EUR-Lex (https://eur-lex.europa.eu/legal-content/IT/TXT/HTML/?amp=&amp;from=IT&amp;uri=CELEX%3A22014A0507%2801%29) a riprova della centralità dell'atto del 1970 nel diritto dell'associazione.</w:t>
      </w:r>
    </w:p>
    <w:p>
      <w:pPr>
        <w:spacing w:after="120" w:line="276"/>
        <w:jc w:val="both"/>
      </w:pPr>
      <w:r>
        <w:rPr>
          <w:rFonts w:ascii="Barlow Semi Condensed" w:cs="Barlow Semi Condensed" w:eastAsia="Barlow Semi Condensed" w:hAnsi="Barlow Semi Condensed"/>
          <w:sz w:val="24"/>
          <w:szCs w:val="24"/>
        </w:rPr>
        <w:t xml:space="preserve">Sul punto specifico e più delicato dell'obiettivo di ricerca — se e chi firmò per l'Italia, e se Aldo Moro vi apparve in qualità di ministro degli Esteri — occorre distinguere ciò che i documenti attestano da ciò che resta da accertare. La ricognizione documentale ha stabilito un fatto contiguo e certo, di grande rilievo analitico: Aldo Moro firmò, a nome del Consiglio delle Comunità europee, l'Accordo provvisorio fra la CEE e la Turchia siglato a Bruxelles il 27 luglio 1971. Lo attesta il preambolo del Regolamento (CEE) n. 1842/71, il quale nel richiamare l'accordo provvisorio precisa che esso fu firmato «a nome del Consiglio delle Comunità europee dal sig. Aldo Moro, Ministro degli affari esteri della Repubblica italiana e Presidente del Consiglio, e dal sig. Franco Maria Malfatti, Presidente della Commissione», EUR-Lex (https://eur-lex.europa.eu/LexUriServ/LexUriServ.do?uri=CELEX%3A31971R1842%3AIT%3AHTML) mentre per la Turchia firmava Osman Olcay, ministro degli Affari esteri turco. Il dato è pienamente coerente con la circostanza istituzionale che, nel secondo semestre del 1971, la presidenza di turno del Consiglio delle Comunità europee spettava all'Italia, e dunque al suo ministro degli Esteri. Ciò documenta in modo diretto e non inferenziale che Moro, nel pieno del primo mandato, appose materialmente la propria firma a un atto dell'associazione CEE-Turchia in veste di presidente del Consiglio dei ministri comunitario.</w:t>
      </w:r>
    </w:p>
    <w:p>
      <w:pPr>
        <w:spacing w:after="120" w:line="276"/>
        <w:jc w:val="both"/>
      </w:pPr>
      <w:r>
        <w:rPr>
          <w:rFonts w:ascii="Barlow Semi Condensed" w:cs="Barlow Semi Condensed" w:eastAsia="Barlow Semi Condensed" w:hAnsi="Barlow Semi Condensed"/>
          <w:sz w:val="24"/>
          <w:szCs w:val="24"/>
        </w:rPr>
        <w:t xml:space="preserve">Quanto invece alla firma del Protocollo addizionale del 23 novembre 1970 in senso proprio, la fonte primaria — l'elenco nominativo dei plenipotenziari contenuto nell'Atto finale — non è stato possibile estrarla integralmente per via telematica, poiché il portale EUR-Lex oppone un blocco all'accesso automatizzato del documento CELEX 21970A1123(01). Si registra pertanto un esito parzialmente negativo: al 23 novembre 1970 il ministro degli Esteri italiano era Aldo Moro (nel governo Colombo, insediatosi il 6 agosto 1970), e la prassi comunitaria dell'epoca prevedeva che i protocolli di associazione fossero firmati dai ministri degli Esteri o da loro plenipotenziari delegati; ma l'identità del firmatario materiale per la Repubblica italiana va confermata sulla lettura diretta dell'Atto finale, e non può essere data per acquisita in capo a Moro senza tale riscontro. La sede di chiusura è duplice: il testo integrale in EUR-Lex CELEX 21970A1123(01), sezione «Per la Repubblica italiana», da consultarsi manualmente, e la Gazzetta ufficiale delle Comunità europee L 293 del 29 dicembre 1972, EUR-Lex (https://eur-lex.europa.eu/legal-content/EN/ALL/?uri=CELEX%3A21970A1123%2801%29) pagine 4-56, che riproduce l'Atto finale con le sottoscrizioni.</w:t>
      </w:r>
    </w:p>
    <w:p>
      <w:pPr>
        <w:spacing w:after="120" w:line="276"/>
        <w:jc w:val="both"/>
      </w:pPr>
      <w:r>
        <w:rPr>
          <w:rFonts w:ascii="Barlow Semi Condensed" w:cs="Barlow Semi Condensed" w:eastAsia="Barlow Semi Condensed" w:hAnsi="Barlow Semi Condensed"/>
          <w:sz w:val="24"/>
          <w:szCs w:val="24"/>
        </w:rPr>
        <w:t xml:space="preserve">Sul versante della posizione italiana nel negoziato e sull'aspirazione turca all'adesione piena, la documentazione reperita consente affermazioni prudenti. L'Italia figurava fra i sei Stati membri fondatori parti dell'Accordo di associazione fin dal 1963, e il territorio italiano era espressamente incluso nell'ambito di applicazione territoriale dell'Accordo EUR-Lex (https://eur-lex.europa.eu/legal-content/IT/ALL/?uri=CELEX%3A21964A1229%2801%29) (articolo 29). La partecipazione di Moro alla firma dell'accordo provvisorio del luglio 1971 attesta un ruolo attivo e non meramente passivo dell'Italia nella gestione della fase transitoria. Non si sono invece reperite fonti primarie che documentino una specifica posizione negoziale italiana distinta da quella comunitaria collettiva; la ricerca andrebbe condotta nell'Archivio Storico Diplomatico del Ministero degli Affari Esteri, serie Comunità europee e serie Turchia, e nei fondi del Consiglio delle Comunità europee per il semestre di presidenza italiana del 1971. Va inoltre ricordato che le modifiche rese necessarie dall'adesione di Danimarca, Irlanda e Regno Unito furono fissate in un Protocollo complementare firmato ad Ankara il 30 giugno 1973, con un accordo provvisorio firmato a Bruxelles per anticiparne alcune disposizioni: EUR-Lex (https://eur-lex.europa.eu/LexUriServ/LexUriServ.do?uri=CELEX%3A21973A1003%2801%29%3AIT%3AHTML) anche questo atto cade nel secondo mandato ministeriale di Moro (7 luglio 1973 – 23 novembre 1974).</w:t>
      </w:r>
    </w:p>
    <w:p>
      <w:pPr>
        <w:pStyle w:val="Heading3"/>
        <w:spacing w:after="80" w:before="160"/>
      </w:pPr>
      <w:r>
        <w:rPr>
          <w:rFonts w:ascii="Barlow Semi Condensed" w:cs="Barlow Semi Condensed" w:eastAsia="Barlow Semi Condensed" w:hAnsi="Barlow Semi Condensed"/>
          <w:sz w:val="24"/>
          <w:szCs w:val="24"/>
        </w:rPr>
        <w:t xml:space="preserve">Capitolo II — La ratifica italiana del Protocollo e il quadro parlamentare della VI legislatura</w:t>
      </w:r>
    </w:p>
    <w:p>
      <w:pPr>
        <w:spacing w:after="120" w:line="276"/>
        <w:jc w:val="both"/>
      </w:pPr>
      <w:r>
        <w:rPr>
          <w:rFonts w:ascii="Barlow Semi Condensed" w:cs="Barlow Semi Condensed" w:eastAsia="Barlow Semi Condensed" w:hAnsi="Barlow Semi Condensed"/>
          <w:sz w:val="24"/>
          <w:szCs w:val="24"/>
        </w:rPr>
        <w:t xml:space="preserve">La ricognizione sulla ratifica italiana del Protocollo addizionale ha prodotto un quadro parzialmente accertato, che è opportuno esporre distinguendo il certo dal probabile e dichiarando espressamente lo stato dei dati mancanti, secondo il principio per cui l'esito negativo circostanziato è acquisizione di pieno valore. È accertato che il Parlamento italiano fu chiamato a ratificare non il solo Protocollo addizionale, bensì un pacchetto composito di atti relativi all'associazione. Un documento del Senato della Repubblica descrive l'oggetto sottoposto alla ratifica come comprendente «un Protocollo addizionale all'Accordo di Ankara del 12 settembre 1963, un nuovo Protocollo finanziario, l'Accordo relativo ai prodotti CECA e l'Atto finale, nonché l'Accordo interno relativo al Protocollo finanziario». Senato della Repubblica (https://www.senato.it/service/PDF/PDFServer/DF/311398.pdf) Questa circostanza spiega la natura complessa del titolo della legge di ratifica e va tenuta presente per non confondere l'atto italiano con l'atto comunitario di conclusione, che è invece il Regolamento (CEE) n. 2760/72 del 19 dicembre 1972.</w:t>
      </w:r>
    </w:p>
    <w:p>
      <w:pPr>
        <w:spacing w:after="120" w:line="276"/>
        <w:jc w:val="both"/>
      </w:pPr>
      <w:r>
        <w:rPr>
          <w:rFonts w:ascii="Barlow Semi Condensed" w:cs="Barlow Semi Condensed" w:eastAsia="Barlow Semi Condensed" w:hAnsi="Barlow Semi Condensed"/>
          <w:sz w:val="24"/>
          <w:szCs w:val="24"/>
        </w:rPr>
        <w:t xml:space="preserve">La trattazione parlamentare si colloca nella VI legislatura, avviata il 25 maggio 1972, ovvero nel periodo che immediatamente precede l'entrata in vigore comunitaria del 1° gennaio 1973. La ratifica fu di iniziativa governativa. Non è stato però possibile confermare con fonte primaria diretta il numero e la data esatti della legge italiana di autorizzazione alla ratifica e ordine di esecuzione, né i riferimenti precisi (numero e data) della Gazzetta Ufficiale della Repubblica Italiana di pubblicazione. Un elenco secondario rielaborato da dati aperti della Camera associa alla voce «Ratifica ed esecuzione del protocollo addizionale all'accordo che crea un'associazione» il numero 757, ma tale attribuzione è risultata ambigua e inaffidabile, poiché il medesimo numero compare nell'indice del 1977 riferito ad altra materia; il dato è pertanto da respingere in assenza di verifica.</w:t>
      </w:r>
    </w:p>
    <w:p>
      <w:pPr>
        <w:spacing w:after="120" w:line="276"/>
        <w:jc w:val="both"/>
      </w:pPr>
      <w:r>
        <w:rPr>
          <w:rFonts w:ascii="Barlow Semi Condensed" w:cs="Barlow Semi Condensed" w:eastAsia="Barlow Semi Condensed" w:hAnsi="Barlow Semi Condensed"/>
          <w:sz w:val="24"/>
          <w:szCs w:val="24"/>
        </w:rPr>
        <w:t xml:space="preserve">Occorre inoltre segnalare un limite strutturale della ricerca parlamentare per il periodo, già accertato nelle ricognizioni anteriori: la banca dati del sindacato ispettivo del Parlamento italiano copre soltanto dalla settima legislatura, cioè dal 5 luglio 1976, sicché per la VI legislatura la consultazione degli atti di indirizzo e di sindacato ispettivo relativi alla materia turca non è agevolata dagli strumenti telematici correnti e richiede il ricorso ai resoconti stenografici cartacei. Le sedi di chiusura per i dati mancanti sono la banca dati Normattiva, il portale storico della Camera (sezione «Norme fondamentali e leggi», con filtro per gli anni 1972 e 1973 e ricerca del titolo contenente «Turchia» e «protocollo addizionale»), la Gazzetta Ufficiale storica per gli anni 1972-1973, ove il testo del trattato fu presumibilmente pubblicato in supplemento ordinario, e il fascicolo del disegno di legge presso l'Archivio storico del Senato. Data la relativa esiguità del materiale primario direttamente reperito, il presente capitolo è deliberatamente contenuto: esso registra uno stato di parziale accertamento e indica con precisione dove condurre il completamento, anziché diluire con parafrasi i pochi fatti stabiliti.</w:t>
      </w:r>
    </w:p>
    <w:p>
      <w:pPr>
        <w:pStyle w:val="Heading3"/>
        <w:spacing w:after="80" w:before="160"/>
      </w:pPr>
      <w:r>
        <w:rPr>
          <w:rFonts w:ascii="Barlow Semi Condensed" w:cs="Barlow Semi Condensed" w:eastAsia="Barlow Semi Condensed" w:hAnsi="Barlow Semi Condensed"/>
          <w:sz w:val="24"/>
          <w:szCs w:val="24"/>
        </w:rPr>
        <w:t xml:space="preserve">Capitolo III — La crisi cipriota del 1974 vista da Ankara e la posizione italiana verso la Turchia</w:t>
      </w:r>
    </w:p>
    <w:p>
      <w:pPr>
        <w:spacing w:after="120" w:line="276"/>
        <w:jc w:val="both"/>
      </w:pPr>
      <w:r>
        <w:rPr>
          <w:rFonts w:ascii="Barlow Semi Condensed" w:cs="Barlow Semi Condensed" w:eastAsia="Barlow Semi Condensed" w:hAnsi="Barlow Semi Condensed"/>
          <w:sz w:val="24"/>
          <w:szCs w:val="24"/>
        </w:rPr>
        <w:t xml:space="preserve">La crisi cipriota del 1974, il cui quadro fattuale è già stato acquisito nelle ricognizioni greca e cipriota e non va qui ripetuto, si presenta dal punto di vista di Ankara come una sequenza di decisioni assunte dal governo di coalizione guidato da Bülent Ecevit, presidente del Consiglio a capo di un gabinetto formato dal Partito Repubblicano del Popolo e dal Partito della Salvezza Nazionale di Necmettin Erbakan. Il ministro degli Esteri era Turan Güneş (25 giugno 1921 – 9 aprile 1982), giurista formatosi al liceo di Galatasaray e all'Università di Parigi, deputato di Kocaeli eletto nelle elezioni del 1973, Wikipedia (https://en.wikipedia.org/wiki/Turan_G%C3%BCne%C5%9F) in carica per il breve ma denso 1974. Fu Güneş a condurre per la Turchia i negoziati di Ginevra. Alla seconda tornata, apertasi l'8-9 agosto 1974, la Turchia presentò, secondo la ricostruzione storiografica corrente, un piano cantonale — elaborato su suggerimento statunitense — alternativo alla federazione bizonale voluta dai turco-ciprioti. Sulle percentuali territoriali le fonti sono concordi nell'ordine di grandezza: la New World Encyclopedia (voce «Turkish invasion of Cyprus») riferisce che il 14 agosto 1974 la Turchia domandò il piano di Stato federale con trasferimento di popolazione e «34 percent of the territory under Turkish Cypriot control»; New World Encyclopedia (https://www.newworldencyclopedia.org/entry/Turkish_invasion_of_Cyprus) il Ministero degli Esteri della Repubblica di Cipro (gov.cy) indica che l'occupazione effettiva raggiunse poi «over 36% of the territory of the Republic of Cyprus». Government of Cyprus (https://www.gov.cy/mfa/en/documents/turkish-military-invasion-and-occupation/) Quando, il 13 agosto, il presidente facente funzioni Glafkos Clerides chiese trentasei-quarantotto ore per consultare Atene e i dirigenti greco-ciprioti, Güneş negò la dilazione. New World Encyclopedia (https://www.newworldencyclopedia.org/entry/Turkish_invasion_of_Cyprus) All'alba del 14 agosto ebbe inizio la seconda offensiva. È documentata la frase in codice con cui, alle tre del mattino del 14 agosto, Güneş comunicò telefonicamente a Ecevit il via libera: «Ayşe può andare in vacanza» (Ayşe è il nome della figlia di Güneş, Cyprus Mail (https://cyprus-mail.com/2026/08/14/cyprus-commemorates-anniversary-of-second-phase-of-invasion) oggi la politologa Ayşe Güneş Ayata).</w:t>
      </w:r>
    </w:p>
    <w:p>
      <w:pPr>
        <w:spacing w:after="120" w:line="276"/>
        <w:jc w:val="both"/>
      </w:pPr>
      <w:r>
        <w:rPr>
          <w:rFonts w:ascii="Barlow Semi Condensed" w:cs="Barlow Semi Condensed" w:eastAsia="Barlow Semi Condensed" w:hAnsi="Barlow Semi Condensed"/>
          <w:sz w:val="24"/>
          <w:szCs w:val="24"/>
        </w:rPr>
        <w:t xml:space="preserve">La lettura turca di quegli eventi, che va riportata con il suo statuto di posizione di parte, è che la seconda fase costituì la conseguenza diretta dell'intransigenza greca a Ginevra e di una minaccia immediata all'incolumità dei turco-ciprioti. Lo stesso Ecevit, in una conversazione documentata dai Foreign Relations of the United States relativa al periodo dell'embargo, «reviewing the Cyprus problem since 1974, stressing that the August 1974 Turkish military move had been the direct result of Greek intransigence in Geneva, coupled with an immediate threat to Turkish-Cypriots on the island». state (https://history.state.gov/historicaldocuments/frus1977-80v21/d117) La parte greca e cipriota, all'opposto, qualifica l'operazione come «barbarica invasione e occupazione illegale», in aperta violazione della risoluzione 353 del Consiglio di Sicurezza del 20 luglio 1974 che imponeva il cessate il fuoco immediato e la cessazione dell'intervento militare straniero. Parikiaki (https://www.parikiaki.com/2026/08/%CF%84oday-marks-second-phase-of-1974-barbaric-turkish-invasion-of-cyprus/) La denominazione dell'evento resta dunque duplice e contesa — «operazione di pace» per la Turchia, «invasione» per la parte greca, cipriota e per la comunità internazionale — e va mantenuta nella sua duplicità.</w:t>
      </w:r>
    </w:p>
    <w:p>
      <w:pPr>
        <w:spacing w:after="120" w:line="276"/>
        <w:jc w:val="both"/>
      </w:pPr>
      <w:r>
        <w:rPr>
          <w:rFonts w:ascii="Barlow Semi Condensed" w:cs="Barlow Semi Condensed" w:eastAsia="Barlow Semi Condensed" w:hAnsi="Barlow Semi Condensed"/>
          <w:sz w:val="24"/>
          <w:szCs w:val="24"/>
        </w:rPr>
        <w:t xml:space="preserve">Quanto alla posizione italiana verso la Turchia in quella crisi, distinta da quella verso la Grecia, la documentazione primaria diretta è scarsa e va dichiarata come tale. Ciò che è accertato è il quadro istituzionale del coinvolgimento italiano, già stabilito nelle ricognizioni anteriori: l'Italia non figurava fra le potenze garanti di Cipro, non era membro del Consiglio di Sicurezza nel 1974 e non figurava fra i Paesi contributori di UNFICYP; ma era parte del meccanismo consultivo atlantico. Il documento FRUS 1969-1976, volume XXX, documento 16 — telegramma da Bruxelles del 4 luglio 1974 — attesta la convocazione, da parte del Segretario generale della NATO Joseph Luns, degli ambasciatori di Stati Uniti, Regno Unito, Francia, Repubblica Federale di Germania, Italia e Belgio per discutere la disputa greco-turca; e il documento 23 del 30 agosto 1974 include l'Italia fra gli alleati consultati sul ritiro greco dalla struttura militare integrata. L'Italia fu dunque, rispetto alla crisi, un attore consultato in seno all'Alleanza atlantica, non un mediatore né un garante. Sul piano dell'azione ministeriale di Moro, occorre ricordare che egli fu ministro degli Esteri fino al 23 novembre 1974 (l'edizione digitale delle carte Moro curata dall'Università di Bologna, con l'introduzione di Guido Formigoni, precisa i due mandati: 6 agosto 1969 – 26 giugno 1972 e 8 luglio 1973 – 26 novembre 1974) Unibo (https://aldomorodigitale.unibo.it/additional_resources/?id=141&amp;type=introduction) e che il medesimo 23 novembre 1974 si insediò il suo quarto governo, di cui fu presidente del Consiglio fino al 12 febbraio 1976; il gabinetto ottenne la fiducia del Senato il 5 dicembre 1974 con 190 voti a favore e 113 contrari, e della Camera il 7 dicembre 1974 con 355 voti a favore, 226 contrari e 19 astenuti. Non si sono reperite, nella documentazione telematicamente accessibile, dichiarazioni o atti specifici di Moro sulla Turchia nei mesi della crisi cipriota; la ricerca andrebbe condotta nell'Archivio Storico Diplomatico della Farnesina, serie Turchia e serie Cipro 1974, e nell'edizione digitale delle carte Moro. Si tratta, allo stato, di un esito prevalentemente negativo, che consolida però l'immagine di un'Italia collocata al margine consultivo della vicenda.</w:t>
      </w:r>
    </w:p>
    <w:p>
      <w:pPr>
        <w:pStyle w:val="Heading3"/>
        <w:spacing w:after="80" w:before="160"/>
      </w:pPr>
      <w:r>
        <w:rPr>
          <w:rFonts w:ascii="Barlow Semi Condensed" w:cs="Barlow Semi Condensed" w:eastAsia="Barlow Semi Condensed" w:hAnsi="Barlow Semi Condensed"/>
          <w:sz w:val="24"/>
          <w:szCs w:val="24"/>
        </w:rPr>
        <w:t xml:space="preserve">Capitolo IV — L'embargo statunitense sulle forniture militari alla Turchia e l'assetto NATO del fianco sud</w:t>
      </w:r>
    </w:p>
    <w:p>
      <w:pPr>
        <w:spacing w:after="120" w:line="276"/>
        <w:jc w:val="both"/>
      </w:pPr>
      <w:r>
        <w:rPr>
          <w:rFonts w:ascii="Barlow Semi Condensed" w:cs="Barlow Semi Condensed" w:eastAsia="Barlow Semi Condensed" w:hAnsi="Barlow Semi Condensed"/>
          <w:sz w:val="24"/>
          <w:szCs w:val="24"/>
        </w:rPr>
        <w:t xml:space="preserve">La reazione del Congresso statunitense all'uso di armi americane nell'intervento a Cipro condusse a un embargo sulle forniture militari alla Turchia. La misura fu deliberata dal Congresso nel dicembre 1974 ed entrò in vigore il 5 febbraio 1975. Le fonti concordano sulla dinamica: l'embargo puniva l'occupazione continuata e il presunto uso improprio di armamenti statunitensi Martinkramer (https://martinkramer.org/wp-content/uploads/2025/09/cyprus-1974.pdf) in violazione delle clausole d'uso finale, e produsse una reazione ritorsiva turca. Il 18 giugno 1975, con una nota consegnata all'ambasciata statunitense, la Turchia — per voce del ministro degli Esteri İhsan Sabri Çağlayangil — dichiarò l'embargo «tanto ingiusto quanto errato sotto ogni aspetto» («both unjust and wrong in all its aspects», secondo la cronaca del Michigan Daily del 18 giugno 1975) e chiese l'apertura di negoziati sul futuro delle basi entro trenta giorni. umich (https://digital.bentley.umich.edu/midaily/mdp.39015071754639/361/download_text) Nel luglio 1975 la Turchia sospese le attività delle installazioni militari statunitensi sul proprio territorio — una ventina di basi, fra cui la vitale base aerea di İncirlik e tre stazioni di intelligence per il monitoraggio dei movimenti navali sovietici in ingresso e uscita dal Mar Nero umich (https://digital.bentley.umich.edu/midaily/mdp.39015071754639/361/download_text) — mantenendo operative solo quelle funzionali alla NATO. La vicenda parlamentare statunitense fu tormentata: il Senato votò per la revoca nel maggio 1975, ma la Camera dei Rappresentanti la respinse il 24 luglio 1975 con 223 voti contro 206, in un dibattito in cui gli oppositori del piano di Gerald Ford accusarono l'amministrazione di cedere a un «ricatto». msu (https://archive.lib.msu.edu/DMC/state_news/1975/state_news_19750725.pdf) Solo il 25 luglio 1978 il Senato votò 57 a 42 per la revoca, perfezionata il 26 settembre 1978 con la firma del presidente Carter e la Presidential Determination n. 78-18 state (https://history.state.gov/historicaldocuments/frus1977-80v21/d121) (fonte: FRUS 1977-1980, vol. XXI, doc. 121).</w:t>
      </w:r>
    </w:p>
    <w:p>
      <w:pPr>
        <w:spacing w:after="120" w:line="276"/>
        <w:jc w:val="both"/>
      </w:pPr>
      <w:r>
        <w:rPr>
          <w:rFonts w:ascii="Barlow Semi Condensed" w:cs="Barlow Semi Condensed" w:eastAsia="Barlow Semi Condensed" w:hAnsi="Barlow Semi Condensed"/>
          <w:sz w:val="24"/>
          <w:szCs w:val="24"/>
        </w:rPr>
        <w:t xml:space="preserve">Le conseguenze sull'assetto NATO del fianco sud furono considerevoli, poiché l'embargo indebolì la seconda forza terrestre dell'Alleanza e sospese l'uso di basi essenziali per la sorveglianza del blocco sovietico. DEU University (https://web.deu.edu.tr/kibris/articles/aftermath.html) La posizione italiana su questo specifico dossier non è documentata da fonti primarie direttamente reperite: non si sono trovate dichiarazioni del governo Moro né atti della Farnesina che prendessero posizione sull'embargo statunitense alla Turchia. Si tratta di un esito negativo, la cui sede di chiusura è duplice: l'Archivio Storico Diplomatico del Ministero degli Affari Esteri per la corrispondenza con la rappresentanza presso la NATO, e la documentazione del Comando atlantico. È tuttavia possibile inferire, senza forzature, che l'Italia — Paese del fianco sud dell'Alleanza, direttamente interessata alla tenuta del dispositivo mediterraneo — avesse un interesse oggettivo alla ricomposizione della frattura fra Washington e Ankara; ma l'inferenza va tenuta distinta da un accertamento documentale, che qui manca. Si eviti, in particolare, di trattare la comune appartenenza atlantica come prova di una convergenza attiva: essa è al più comunanza di ambiente istituzionale.</w:t>
      </w:r>
    </w:p>
    <w:p>
      <w:pPr>
        <w:pStyle w:val="Heading3"/>
        <w:spacing w:after="80" w:before="160"/>
      </w:pPr>
      <w:r>
        <w:rPr>
          <w:rFonts w:ascii="Barlow Semi Condensed" w:cs="Barlow Semi Condensed" w:eastAsia="Barlow Semi Condensed" w:hAnsi="Barlow Semi Condensed"/>
          <w:sz w:val="24"/>
          <w:szCs w:val="24"/>
        </w:rPr>
        <w:t xml:space="preserve">Capitolo V — La questione egea, la piattaforma continentale e la Convenzione di Montreux</w:t>
      </w:r>
    </w:p>
    <w:p>
      <w:pPr>
        <w:spacing w:after="120" w:line="276"/>
        <w:jc w:val="both"/>
      </w:pPr>
      <w:r>
        <w:rPr>
          <w:rFonts w:ascii="Barlow Semi Condensed" w:cs="Barlow Semi Condensed" w:eastAsia="Barlow Semi Condensed" w:hAnsi="Barlow Semi Condensed"/>
          <w:sz w:val="24"/>
          <w:szCs w:val="24"/>
        </w:rPr>
        <w:t xml:space="preserve">La disputa greco-turca sulla piattaforma continentale dell'Egeo si acuì proprio negli anni del secondo mandato di Moro. Verso la fine del 1973 il governo turco concesse alla Türkiye Petrolleri Anonim Ortaklığı (TPAO), la compagnia petrolifera di Stato, licenze di esplorazione per idrocarburi in ventisette zone della piattaforma continentale egea, a est di una linea che partiva dalla foce del fiume Evros a nord e si estendeva verso sud, a ovest delle isole greche di Chios e Psara, in aree che la Grecia riteneva pertinenti alla piattaforma continentale delle proprie isole. Eliamep (https://www.eliamep.gr/en/oi-ellinotourkikes-diafores-sto-thalassio-choro-apo-tin-optiki-tou-diethnous-dikaiou/) Ne seguì uno scambio di note verbali. Con nota verbale del 7 febbraio 1974 il governo greco, fondandosi sul diritto internazionale codificato dagli articoli 1(b) e 2 della Convenzione di Ginevra del 1958 sulla piattaforma continentale, contestò la validità delle licenze turche, riservò i propri diritti sovrani sulla piattaforma adiacente alle coste delle isole e sostenne che la delimitazione dovesse avvenire secondo il principio dell'equidistanza mediante una linea mediana International Court of Justice (https://www.icj-cij.org/node/103115) (così la sentenza della Corte internazionale di giustizia del 19 dicembre 1978, che ricostruisce l'origine della controversia). Con nota verbale del 27 febbraio 1974 il governo turco replicò che «le isole greche situate assai vicino alla costa turca non possiedono una piattaforma continentale propria», International Court of Justice (https://www.icj-cij.org/node/103115) contestando l'applicabilità del criterio invocato da Atene e argomentando che l'Egeo costituisce il prolungamento naturale della penisola anatolica. La Grecia rispose con un'ulteriore nota del 24 maggio 1974. ResearchGate (https://www.researchgate.net/publication/340592573_Aegean_Sea_Continental_Shelf_Greece_v_Turkey) La vicenda sarebbe sfociata, dopo la fase acuta del 1976 (in cui la Grecia adì simultaneamente, il 10 agosto 1976, la Corte internazionale di giustizia e il Consiglio di Sicurezza, che il 25 agosto 1976 adottò la risoluzione 395), International Court of Justice (https://www.icj-cij.org/node/103115) nella sentenza del 19 dicembre 1978 con cui la Corte declinò la propria giurisdizione.</w:t>
      </w:r>
    </w:p>
    <w:p>
      <w:pPr>
        <w:spacing w:after="120" w:line="276"/>
        <w:jc w:val="both"/>
      </w:pPr>
      <w:r>
        <w:rPr>
          <w:rFonts w:ascii="Barlow Semi Condensed" w:cs="Barlow Semi Condensed" w:eastAsia="Barlow Semi Condensed" w:hAnsi="Barlow Semi Condensed"/>
          <w:sz w:val="24"/>
          <w:szCs w:val="24"/>
        </w:rPr>
        <w:t xml:space="preserve">Le posizioni delle due parti vanno riportate ciascuna con il proprio statuto di posizione di parte, senza adottarne alcuna: per la Grecia la piattaforma delle isole è misurata come quella di ogni territorio secondo l'equidistanza; per la Turchia le isole prospicienti la costa anatolica non generano piattaforma autonoma e l'Egeo è prolungamento del continente asiatico (posizione ribadita nel 1976 dal presidente Fahri Korutürk, secondo cui l'Egeo è «un'estensione dell'Asia Minore»). Taylor &amp; Francis Online (https://www.tandfonline.com/doi/abs/10.1080/00908320590909088) Il rapporto fra la questione egea e la crisi cipriota è, sul piano documentale, un rapporto di simultaneità e di comunanza di attori — le medesime cancellerie di Atene e Ankara, i medesimi mesi del 1974 — più che di nesso causale accertato: le due dispute si alimentarono reciprocamente sul piano del clima diplomatico, ma vanno tenute analiticamente distinte, evitando di trattare la contemporaneità come prova di un disegno unitario.</w:t>
      </w:r>
    </w:p>
    <w:p>
      <w:pPr>
        <w:spacing w:after="120" w:line="276"/>
        <w:jc w:val="both"/>
      </w:pPr>
      <w:r>
        <w:rPr>
          <w:rFonts w:ascii="Barlow Semi Condensed" w:cs="Barlow Semi Condensed" w:eastAsia="Barlow Semi Condensed" w:hAnsi="Barlow Semi Condensed"/>
          <w:sz w:val="24"/>
          <w:szCs w:val="24"/>
        </w:rPr>
        <w:t xml:space="preserve">La posizione italiana sulla disputa egea non è documentata da fonti primarie direttamente reperite per il periodo 1973-1974: si registra un esito negativo, con sede di chiusura nell'Archivio Storico Diplomatico della Farnesina. È tuttavia rilevante, come termine di confronto, che l'Italia avesse una prassi consolidata di delimitazione della piattaforma continentale nel Mediterraneo mediante accordi bilaterali: l'Accordo fra Grecia e Italia sulla piattaforma continentale fu firmato il 24 maggio 1977, Taylor &amp; Francis Online (https://www.tandfonline.com/doi/abs/10.1080/00908320590909088) a testimonianza di un metodo negoziale bilaterale che l'Italia praticava nella regione, benché su un fronte diverso da quello egeo conteso. Quanto alla Convenzione di Montreux del 20 luglio 1936 sul regime degli Stretti — Dardanelli, Mar di Marmara e Bosforo —, essa conferiva e conferisce alla Turchia il controllo del transito navale, Agenzia Nova (https://www.agenzianova.com/news/ucraina-russia-erdogan-applicheremo-convenzione-montreux-per-limitare-conflitto/) con regimi distinti per il tempo di pace e di guerra e per le navi mercantili e da guerra. L'Italia non partecipò alla conferenza preparatoria ma aderì successivamente, sottoscrivendo l'accordo il 2 maggio 1938. it.google-info.cn (https://amp.it.google-info.cn/2723395/1/convenzione-di-montreux.html) Wikipedia (https://it.wikipedia.org/wiki/Convenzione_di_Montreux) La rilevanza della Convenzione nel periodo considerato è essenzialmente strategica e di sfondo: essa collocava la Turchia in posizione di custode degli Stretti nell'assetto della guerra fredda, funzione che aveva segnato l'ingresso di Ankara nella sfera di protezione statunitense fin dal contenzioso sovietico del 1945; it.google-info.cn (https://amp.it.google-info.cn/2723395/1/convenzione-di-montreux.html) Wikipedia (https://it.wikipedia.org/wiki/Convenzione_di_Montreux) non si sono però reperiti atti che colleghino specificamente Montreux all'azione ministeriale di Moro.</w:t>
      </w:r>
    </w:p>
    <w:p>
      <w:pPr>
        <w:pStyle w:val="Heading3"/>
        <w:spacing w:after="80" w:before="160"/>
      </w:pPr>
      <w:r>
        <w:rPr>
          <w:rFonts w:ascii="Barlow Semi Condensed" w:cs="Barlow Semi Condensed" w:eastAsia="Barlow Semi Condensed" w:hAnsi="Barlow Semi Condensed"/>
          <w:sz w:val="24"/>
          <w:szCs w:val="24"/>
        </w:rPr>
        <w:t xml:space="preserve">Capitolo VI — I rapporti bilaterali Italia-Turchia 1969-1975</w:t>
      </w:r>
    </w:p>
    <w:p>
      <w:pPr>
        <w:spacing w:after="120" w:line="276"/>
        <w:jc w:val="both"/>
      </w:pPr>
      <w:r>
        <w:rPr>
          <w:rFonts w:ascii="Barlow Semi Condensed" w:cs="Barlow Semi Condensed" w:eastAsia="Barlow Semi Condensed" w:hAnsi="Barlow Semi Condensed"/>
          <w:sz w:val="24"/>
          <w:szCs w:val="24"/>
        </w:rPr>
        <w:t xml:space="preserve">I rapporti bilaterali fra Italia e Turchia nel periodo si iscrivono in una relazione di lunga durata, fondata su secolari legami storici e su una comune identità mediterranea, Esteri (https://ambankara.esteri.it/it/italia-e-turchia/) e su un dato strutturale che le fonti ufficiali italiane sottolineano: la collettività italiana in Turchia, che ha origine medievale ed è definita dalla stessa diplomazia italiana «la più antica colonia italiana al mondo», costituita dagli «Italiani del Levante» Cespi (https://www.cespi.it/sites/default/files/osservatori/allegati/apr._2_marsili_italia-turchia.pdf) insediati principalmente a Istanbul e a Smirne (così l'approfondimento del Cespi n. 2/giugno 2019 sui rapporti bilaterali Italia-Turchia). La presenza istituzionale italiana in Turchia si articolava — e si articola — in un'ambasciata ad Ankara, un consolato generale a Istanbul e un consolato a Smirne, oltre all'Istituto italiano di cultura di Istanbul. Wikipedia (https://it.wikipedia.org/wiki/Relazioni_bilaterali_tra_Italia_e_Turchia) Un elemento di continuità patrimoniale, ricordato dalla pubblicistica diplomatica, è la proprietà italiana dello storico edificio di Istanbul rivendicato nel 1918 dal conte Carlo Sforza, alto commissario italiano per l'attuazione dell'armistizio con l'Impero ottomano. Cespi (https://www.cespi.it/sites/default/files/osservatori/allegati/apr._2_marsili_italia-turchia.pdf)</w:t>
      </w:r>
    </w:p>
    <w:p>
      <w:pPr>
        <w:spacing w:after="120" w:line="276"/>
        <w:jc w:val="both"/>
      </w:pPr>
      <w:r>
        <w:rPr>
          <w:rFonts w:ascii="Barlow Semi Condensed" w:cs="Barlow Semi Condensed" w:eastAsia="Barlow Semi Condensed" w:hAnsi="Barlow Semi Condensed"/>
          <w:sz w:val="24"/>
          <w:szCs w:val="24"/>
        </w:rPr>
        <w:t xml:space="preserve">Sul piano economico e commerciale, la documentazione telematicamente accessibile per gli anni 1969-1975 è lacunosa e non consente di fornire cifre precise sull'interscambio del periodo: si registra un esito parzialmente negativo, la cui sede di chiusura è nella documentazione dell'Istituto nazionale per il commercio estero e negli annuari statistici del commercio con l'estero dell'ISTAT per gli anni considerati, nonché nell'Archivio Storico Diplomatico della Farnesina, serie affari economici. È accertato il quadro pattizio di fondo: i rapporti commerciali bilaterali erano regolati dal Trattato di commercio e navigazione del 29 dicembre 1936 con Protocollo aggiuntivo, in vigore dal 1° gennaio 1937 fra la Repubblica di Turchia e la Repubblica italiana, Gazzetta Ufficiale (https://www.gazzettaufficiale.it/atto/vediMenuHTML?atto.dataPubblicazioneGazzetta=1993-10-15&amp;atto.codiceRedazionale=093A5659&amp;tipoSerie=serie_generale&amp;tipoVigenza=originario) trattato che sarebbe stato modificato solo nel 1992 (con scambio di lettere del 18 settembre – 26 ottobre 1992, per l'abolizione degli articoli da 1 a 5), in considerazione dell'evoluzione della politica commerciale comunitaria. Gazzetta Ufficiale (https://www.gazzettaufficiale.it/atto/vediMenuHTML?atto.dataPubblicazioneGazzetta=1993-10-15&amp;atto.codiceRedazionale=093A5659&amp;tipoSerie=serie_generale&amp;tipoVigenza=originario) Il fatto che tale trattato del 1936 fosse ancora in vigore nel periodo considerato indica che il quadro giuridico bilaterale degli scambi era, negli anni di Moro, quello risalente e non aggiornato, mentre la dimensione comunitaria dei rapporti commerciali con la Turchia era assorbita dall'associazione CEE.</w:t>
      </w:r>
    </w:p>
    <w:p>
      <w:pPr>
        <w:spacing w:after="120" w:line="276"/>
        <w:jc w:val="both"/>
      </w:pPr>
      <w:r>
        <w:rPr>
          <w:rFonts w:ascii="Barlow Semi Condensed" w:cs="Barlow Semi Condensed" w:eastAsia="Barlow Semi Condensed" w:hAnsi="Barlow Semi Condensed"/>
          <w:sz w:val="24"/>
          <w:szCs w:val="24"/>
        </w:rPr>
        <w:t xml:space="preserve">Quanto alle visite ministeriali reciproche, e in particolare a eventuali visite di Moro in Turchia o di ministri turchi in Italia nel periodo, non si sono reperite fonti primarie che le documentino: la fonte diplomatica italiana consultata (Cespi) data le prime visite di Stato di alto livello reciproche ad epoca assai posteriore (le visite dei presidenti Ciampi ad Ankara e Istanbul nel novembre 2005 e Napolitano ad Ankara e Smirne nel novembre 2009 Cespi (https://www.cespi.it/sites/default/files/osservatori/allegati/apr._2_marsili_italia-turchia.pdf) sono presentate come culmine dei rapporti bilaterali), il che, per differenza, suggerisce che negli anni Settanta i contatti fossero di rango prevalentemente tecnico e comunitario più che di vertice bilaterale. Si tratta di un esito negativo, con sede di chiusura nell'Archivio Storico Diplomatico e negli archivi del cerimoniale della Farnesina. Sulla questione della manodopera turca in Europa, il Protocollo addizionale del 1970 prevedeva, come si è visto, la libera circolazione dei lavoratori come traguardo della fase transitoria; ma la posizione italiana specifica su tale profilo non è documentata da fonti primarie reperite, e l'emigrazione turca del periodo era diretta prevalentemente verso la Repubblica Federale di Germania, non verso l'Italia, Paese esso stesso di emigrazione. Data la relativa esiguità del materiale primario, il capitolo è tenuto misurato.</w:t>
      </w:r>
    </w:p>
    <w:p>
      <w:pPr>
        <w:pStyle w:val="Heading3"/>
        <w:spacing w:after="80" w:before="160"/>
      </w:pPr>
      <w:r>
        <w:rPr>
          <w:rFonts w:ascii="Barlow Semi Condensed" w:cs="Barlow Semi Condensed" w:eastAsia="Barlow Semi Condensed" w:hAnsi="Barlow Semi Condensed"/>
          <w:sz w:val="24"/>
          <w:szCs w:val="24"/>
        </w:rPr>
        <w:t xml:space="preserve">Capitolo VII — La questione degli oppiacei</w:t>
      </w:r>
    </w:p>
    <w:p>
      <w:pPr>
        <w:spacing w:after="120" w:line="276"/>
        <w:jc w:val="both"/>
      </w:pPr>
      <w:r>
        <w:rPr>
          <w:rFonts w:ascii="Barlow Semi Condensed" w:cs="Barlow Semi Condensed" w:eastAsia="Barlow Semi Condensed" w:hAnsi="Barlow Semi Condensed"/>
          <w:sz w:val="24"/>
          <w:szCs w:val="24"/>
        </w:rPr>
        <w:t xml:space="preserve">La questione degli oppiacei costituisce, nel periodo considerato, il dossier turco più densamente documentato dalle fonti desecretate statunitensi, e presenta una rilevanza indiretta ma reale per l'Italia. Il governo Ecevit decise il 1° luglio 1974 di revocare il divieto di coltivazione del papavero da oppio che era stato introdotto nel giugno 1971 dal governo di Nihat Erim sotto forte pressione statunitense, esercitata personalmente dal presidente Nixon. state (https://history.state.gov/historicaldocuments/frus1969-76v30/d208) La revoca fu formalizzata con il Decreto n. 7522 del luglio 1974, ResearchGate (https://www.researchgate.net/publication/262013273_A_Very_Gradual_Suppression_A_History_of_Turkish_Opium_Controls_1933-1974) che riautorizzava la coltivazione in sei province e in parte della provincia di Konya. La decisione è documentata in presa diretta dai Foreign Relations of the United States: il telegramma 5213 dell'ambasciata ad Ankara del 2 luglio 1974 (documento 204 del volume XXX) riferisce dell'incontro notturno dell'ambasciatore con Ecevit, il quale confermò che il Consiglio dei ministri aveva approvato il decreto e annunciò che avrebbe chiesto «alle Nazioni Unite consiglio e assistenza tecnica» e che «tutte le misure di controllo raccomandate sarebbero state adottate». state (https://history.state.gov/historicaldocuments/frus1969-76v30/d204) Già il telegramma 1310 del 21 febbraio 1974 (documento 154 del volume E-3) aveva riferito di un lungo colloquio con Ecevit in cui l'ambasciatore, su istruzione di Washington, aveva espresso «strong USG hope that Turkey would not lift poppy ban». state (https://history.state.gov/historicaldocuments/frus1969-76ve03/d154) La reazione di Washington è tracciabile passo per passo: il memorandum di Henry Kissinger al presidente Ford (documento 208 del volume XXX) qualificava la questione come richiedente una decisione presidenziale, ricordando che l'oppio turco era stato «la principale fonte dell'eroina contrabbandata negli Stati Uniti» e che dal divieto del 1971 vi era stato «un drammatico declino della tossicodipendenza da eroina negli Stati Uniti»; state (https://history.state.gov/historicaldocuments/frus1969-76v30/d208) il paper del Gruppo interdipartimentale per l'Europa del Consiglio di sicurezza nazionale (documento 206) analizzava le opzioni di risposta; il National Security Decision Memorandum 267 del 23 agosto 1974 (documento 209 del volume XXX, replicato come documento 164 del volume E-3) impartiva le istruzioni operative, fra cui l'avvio di discussioni con il governo turco e le agenzie delle Nazioni Unite per prevenire il contrabbando. state (https://history.state.gov/historicaldocuments/frus1969-76v30/d209) state (https://history.state.gov/historicaldocuments/frus1969-76ve03/d164)</w:t>
      </w:r>
    </w:p>
    <w:p>
      <w:pPr>
        <w:spacing w:after="120" w:line="276"/>
        <w:jc w:val="both"/>
      </w:pPr>
      <w:r>
        <w:rPr>
          <w:rFonts w:ascii="Barlow Semi Condensed" w:cs="Barlow Semi Condensed" w:eastAsia="Barlow Semi Condensed" w:hAnsi="Barlow Semi Condensed"/>
          <w:sz w:val="24"/>
          <w:szCs w:val="24"/>
        </w:rPr>
        <w:t xml:space="preserve">Il collegamento con la French Connection e con le rotte balcaniche è storiograficamente accertato. La French Connection — la rete che rifiniva a Marsiglia, nei laboratori corsi diretti da esponenti dell'Unione Corse, la morfina base di provenienza anatolica per esportarla come eroina ad alta purezza verso gli Stati Uniti Grokipedia (https://grokipedia.com/page/Turkish_mafia) — dipendeva in misura maggioritaria dall'oppio turco, e il divieto turco del 1971, Discover Walks (https://www.discoverwalks.com/blog/paris/all-about-the-french-connection/) unito allo smantellamento della rete corsa nei primi anni Settanta (con i sequestri del 1972), ne segnò la fine. Il ruolo turco nel traffico si sarebbe poi ristrutturato lungo la cosiddetta rotta balcanica, corridoio terrestre che dagli anni successivi convogliò gli oppiacei dall'Asia sud-occidentale verso l'Europa attraverso la Turchia e i Balcani, Wikipedia (https://en.wikipedia.org/wiki/Balkan_Route) con l'Italia fra i punti di arrivo, in parte via mare mediante traghetti. La rilevanza per l'Italia — Paese di transito e di consumo dell'eroina di provenienza turca e mediorientale — è dunque strutturalmente documentata sul piano criminologico.</w:t>
      </w:r>
    </w:p>
    <w:p>
      <w:pPr>
        <w:spacing w:after="120" w:line="276"/>
        <w:jc w:val="both"/>
      </w:pPr>
      <w:r>
        <w:rPr>
          <w:rFonts w:ascii="Barlow Semi Condensed" w:cs="Barlow Semi Condensed" w:eastAsia="Barlow Semi Condensed" w:hAnsi="Barlow Semi Condensed"/>
          <w:sz w:val="24"/>
          <w:szCs w:val="24"/>
        </w:rPr>
        <w:t xml:space="preserve">Sul piano diplomatico, tuttavia, occorre segnalare un esito negativo circostanziato: non si sono reperite fonti primarie che documentino uno specifico coinvolgimento della Farnesina di Moro nella vicenda della revoca del divieto turco del 1974, né una specifica posizione italiana in sede di Nazioni Unite e di Commissione stupefacenti su quel dossier. La documentazione statunitense mostra un negoziato prevalentemente bilaterale turco-americano, con il ricorso turco alle Nazioni Unite come garante tecnico; l'Italia non compare, nei documenti reperiti, fra gli attori diplomatici della vicenda. La sede di chiusura è duplice: l'Archivio Storico Diplomatico della Farnesina, serie affari sociali e stupefacenti, e gli archivi della Commissione stupefacenti delle Nazioni Unite a Vienna. Va evitata, in particolare, l'inferenza indebita che, poiché l'Italia era Paese di consumo, essa avesse necessariamente assunto una posizione diplomatica attiva: la contemporaneità del problema del consumo interno con la vicenda turca non equivale a un nesso diplomatico documentato.</w:t>
      </w:r>
    </w:p>
    <w:p>
      <w:pPr>
        <w:pStyle w:val="Heading3"/>
        <w:spacing w:after="80" w:before="160"/>
      </w:pPr>
      <w:r>
        <w:rPr>
          <w:rFonts w:ascii="Barlow Semi Condensed" w:cs="Barlow Semi Condensed" w:eastAsia="Barlow Semi Condensed" w:hAnsi="Barlow Semi Condensed"/>
          <w:sz w:val="24"/>
          <w:szCs w:val="24"/>
        </w:rPr>
        <w:t xml:space="preserve">Capitolo VIII — Il Patriarcato ecumenico e la chiusura del Seminario di Halki</w:t>
      </w:r>
    </w:p>
    <w:p>
      <w:pPr>
        <w:spacing w:after="120" w:line="276"/>
        <w:jc w:val="both"/>
      </w:pPr>
      <w:r>
        <w:rPr>
          <w:rFonts w:ascii="Barlow Semi Condensed" w:cs="Barlow Semi Condensed" w:eastAsia="Barlow Semi Condensed" w:hAnsi="Barlow Semi Condensed"/>
          <w:sz w:val="24"/>
          <w:szCs w:val="24"/>
        </w:rPr>
        <w:t xml:space="preserve">La chiusura della Scuola teologica di Halki, sull'isola di Heybeliada nel Mar di Marmara, avvenne nel 1971 durante il primo mandato ministeriale di Moro e costituisce lo snodo più rilevante per la condizione delle minoranze cristiane di Turchia nel periodo. La scuola, operativa dal 1844 sui terreni del monastero della Santissima Trinità (Hagia Triada), Wikipedia (https://en.wikipedia.org/wiki/Halki_seminary) aveva formato nel corso della sua storia dodici patriarchi ecumenici; Asia News (https://www.asianews.it/notizie-it/Halki-e-la-chiesa-biblioteca-di-Adana:-il-futuro-(incerto)-del-patrimonio-cristiano-turco-65440.html) la testata Türkiye Today (2026) precisa che «over 127 years of operation, it produced approximately 990 graduates, among them 12 Ecumenical Patriarchs, including Bartholomew I himself, as well as the heads of the churches of Alexandria, Antioch, Athens, and Albania», Türkiye Today (https://www.turkiyetoday.com/nation/turkiye-plans-to-reopen-halki-seminary-as-university-after-more-than-50-years-3222222) mentre l'Arcidiocesi greco-ortodossa d'America (GOARCH) fornisce una stima divergente e più ampia — «330 bishops, one exarch, five archbishops, and seventeen patriarchs» Greek Orthodox Archdiocese of America (https://www.goarch.org/-/he-halki) — divergenza numerica che qui si riporta anziché risolvere. Era, in ogni caso, l'unica istituzione educativa greco-ortodossa in Turchia deputata alla formazione della leadership religiosa. La Fiaccola (https://www.lafiaccola.it/wp/alla-conferenza-dellosce-il-patriarcato-ecumenico-e-la-minoranza-greca-in-turchia/) La chiusura fu conseguenza di una sentenza della Corte costituzionale turca Internazionale (https://www.internazionale.it/ultime-notizie-reuters/2026/06/21/erdogan-orders-talks-to-reopen-orthodox-christian-seminary-in-turkey-a-focus-for-trump) che, in attuazione del principio secondo cui gli istituti privati di istruzione superiore dovevano essere affiliati alle università statali — requisito respinto dal Patriarcato Internazionale (https://www.internazionale.it/ultime-notizie-reuters/2026/06/21/erdogan-orders-talks-to-reopen-orthodox-christian-seminary-in-turkey-a-focus-for-trump) —, forzò di fatto la cessazione dell'attività accademica. Le fonti divergono lievemente sulla qualificazione dell'atto: alcune parlano di «decreto del parlamento turco», SettimanaNews (https://www.settimananews.it/chiesa/turchia-bartolomeo-fiducioso-sulla-riapertura-di-halki/) altre di «sentenza della Corte Costituzionale», Asia News (https://www.asianews.it/notizie-it/Halki-e-la-chiesa-biblioteca-di-Adana:-il-futuro-(incerto)-del-patrimonio-cristiano-turco-65440.html) altre ancora di chiusura «dai militari»; Il Sole 24 ORE (https://www.ilsole24ore.com/art/notizie/2012-07-11/turchi-vogliono-chiudere-monastero-192229.shtml?uuid=AbqTFS6F) la divergenza va riportata anziché risolta silenziosamente, fermo restando l'anno 1971 e la motivazione formale della legge sull'istruzione superiore privata.</w:t>
      </w:r>
    </w:p>
    <w:p>
      <w:pPr>
        <w:spacing w:after="120" w:line="276"/>
        <w:jc w:val="both"/>
      </w:pPr>
      <w:r>
        <w:rPr>
          <w:rFonts w:ascii="Barlow Semi Condensed" w:cs="Barlow Semi Condensed" w:eastAsia="Barlow Semi Condensed" w:hAnsi="Barlow Semi Condensed"/>
          <w:sz w:val="24"/>
          <w:szCs w:val="24"/>
        </w:rPr>
        <w:t xml:space="preserve">Il contesto ecclesiale è segnato dalla morte del patriarca ecumenico Atenagora I, avvenuta a Istanbul. Le fonti presentano una piccola ma reale divergenza sulla data e circostanza: la Wikipedia inglese indica che egli «was hospitalized on 6 July 1972, for a broken hip, but died from kidney failure in Istanbul the following day at the age of 86», Wikipedia (https://en.wikipedia.org/wiki/Athenagoras_I_of_Constantinople) dunque il 7 luglio 1972 (data recepita anche dal martirologio del Monastero di Bose), e fu sepolto nel cimitero della Chiesa di Santa Maria della Fonte a Balıklı; Wikipedia (https://en.wikipedia.org/wiki/Athenagoras_I_of_Constantinople) la fonte accademica spagnola di Ángel Santos, S.J. («Atenágoras, Patriarca Ecuménico y unionista», Universidad Pontificia de Salamanca) colloca invece il decesso «a últimas horas de la tarde del 6 de julio (1972)» nell'ospedale di Balıklı; UPSA (https://summa.upsa.es/high.raw?id=0000001470&amp;name=00000001.original.pdf) la divergenza fra il 6 e il 7 luglio va riportata. Atenagora era stato il protagonista, con Paolo VI, del disgelo ecumenico avviato con l'incontro di Gerusalemme del 5 gennaio 1964 Arche (https://fraternita.arche.it/testimoni/atenagora-i/) e culminato nella Dichiarazione comune del 7 dicembre 1965 che revocò le reciproche scomuniche del 1054. Thearda (https://www.thearda.com/us-religion/history/timelines/entry?etype=5&amp;eid=141) Wikipedia (https://en.wikipedia.org/wiki/Athenagoras_I_of_Constantinople) Gli succedette Dimitrios I, che le fonti indicano essere stato negli ultimi anni il collaboratore di fiducia dell'anziano Atenagora. La condizione della minoranza greco-ortodossa di Istanbul, già gravemente compromessa dal pogrom del 1955 e dalle espulsioni del 1964, si aggravò ulteriormente con la chiusura di Halki, che privava il Patriarcato del proprio vivaio di clero. Un vincolo ulteriore, imposto dalla legislazione turca in attuazione del Trattato di Losanna, è il requisito della cittadinanza turca per il patriarca ecumenico e per i membri del Santo Sinodo. La Fiaccola (https://www.lafiaccola.it/wp/alla-conferenza-dellosce-il-patriarcato-ecumenico-e-la-minoranza-greca-in-turchia/)</w:t>
      </w:r>
    </w:p>
    <w:p>
      <w:pPr>
        <w:spacing w:after="120" w:line="276"/>
        <w:jc w:val="both"/>
      </w:pPr>
      <w:r>
        <w:rPr>
          <w:rFonts w:ascii="Barlow Semi Condensed" w:cs="Barlow Semi Condensed" w:eastAsia="Barlow Semi Condensed" w:hAnsi="Barlow Semi Condensed"/>
          <w:sz w:val="24"/>
          <w:szCs w:val="24"/>
        </w:rPr>
        <w:t xml:space="preserve">Sulla questione cruciale dell'obiettivo di ricerca — se la chiusura di Halki, avvenuta durante il primo mandato di Moro, abbia prodotto reazioni diplomatiche italiane o vaticane documentate — si registra un esito negativo. Non si sono reperite fonti primarie che attestino una reazione ufficiale della Santa Sede o del governo italiano alla chiusura del 1971. È accertato il quadro dei rapporti fra Paolo VI e il Patriarcato in quegli anni, improntato al disgelo ecumenico; ma il nesso specifico fra tale disgelo e una eventuale presa di posizione sulla chiusura di Halki non è documentato dalle fonti reperite. La sede di chiusura è duplice: l'Archivio Apostolico Vaticano e l'archivio della Segreteria di Stato per il pontificato di Paolo VI, e l'archivio del Patriarcato ecumenico. Va evitata l'inferenza che l'esistenza del dialogo ecumenico implichi di per sé una reazione diplomatica documentata alla chiusura della scuola.</w:t>
      </w:r>
    </w:p>
    <w:p>
      <w:pPr>
        <w:pStyle w:val="Heading3"/>
        <w:spacing w:after="80" w:before="160"/>
      </w:pPr>
      <w:r>
        <w:rPr>
          <w:rFonts w:ascii="Barlow Semi Condensed" w:cs="Barlow Semi Condensed" w:eastAsia="Barlow Semi Condensed" w:hAnsi="Barlow Semi Condensed"/>
          <w:sz w:val="24"/>
          <w:szCs w:val="24"/>
        </w:rPr>
        <w:t xml:space="preserve">Capitolo IX — Le comunità cattoliche di Turchia e la Santa Sede</w:t>
      </w:r>
    </w:p>
    <w:p>
      <w:pPr>
        <w:spacing w:after="120" w:line="276"/>
        <w:jc w:val="both"/>
      </w:pPr>
      <w:r>
        <w:rPr>
          <w:rFonts w:ascii="Barlow Semi Condensed" w:cs="Barlow Semi Condensed" w:eastAsia="Barlow Semi Condensed" w:hAnsi="Barlow Semi Condensed"/>
          <w:sz w:val="24"/>
          <w:szCs w:val="24"/>
        </w:rPr>
        <w:t xml:space="preserve">Le comunità cattoliche di Turchia costituivano e costituiscono una minoranza minima all'interno di un Paese a stragrande maggioranza musulmana. La struttura ecclesiastica cattolica è articolata su più riti: la Chiesa latina comprende il Vicariato apostolico di Istanbul, l'Arcidiocesi di Smirne e il Vicariato apostolico dell'Anatolia SettimanaNews (https://www.settimananews.it/ecumenismo-dialogo/chiesa-latina-turchia-dal-dentro/) (quest'ultimo eretto nella forma attuale nel 1990, con il decreto Quo melius della Congregazione per le Chiese Orientali del 30 novembre 1990); Wikipedia (https://it.wikipedia.org/wiki/Vicariato_apostolico_di_Istanbul) ad essa si affiancano le circoscrizioni di rito orientale, ovvero l'Arcieparchia armena cattolica di Istanbul, la comunità caldea (storicamente riferita a Diyarbakır) e quella siro-cattolica, oltre a un Esarcato apostolico per i cattolici di rito bizantino. La consistenza numerica complessiva è dell'ordine di alcune decine di migliaia di fedeli. Le stime, che le fonti presentano con qualche divergenza da riportare, oscillano attorno ai sessantamila cattolici: l'agenzia AgenSIR (27 novembre 2025) indica che «i cattolici presenti nel Paese sono circa 60.000, equivalenti allo 0,07% della popolazione, composta prevalentemente da musulmani», SettimanaNews (https://www.settimananews.it/chiesa/cattolici-in-turchia/) SIR (https://www.agensir.it/chiesa/2025/11/27/le-comunita-cristiane-in-turchia-tra-storia-e-attualita/) mentre una stima più ridotta — 25-30.000, meno dello 0,04% SIR (https://www.agensir.it/quotidiano/2026/4/9/turchia-rapporto-cespi-chiese-scuole-e-proprieta-sono-le-sfide-quotidiane-dei-cattolici-e-dei-cristiani-nel-paese/) — è ripresa da AgenSIR il 9 aprile 2026 su base di un rapporto Cespi; la divergenza va riportata. Nel dettaglio, il Vicariato apostolico di Istanbul è indicato in circa quindicimila-diciassettemila battezzati, l'Arcidiocesi di Smirne in poco più di milletrecento fedeli (una fonte indica 1.350), il Vicariato dell'Anatolia in circa millecinquecento; per i riti orientali, l'arcidiocesi armena cattolica di Istanbul è stimata in 3.670 fedeli, i caldei in 5.993, i siri cattolici in 2.155 Fratesole (https://turchia.fratesole.com/approfondimenti/i-cristiani-nellimpero-ottomano-e-nella-turchia-moderna/) (fonte: turchia.fratesole.com). Una fonte vaticana recente distingue, per il solo vicariato latino di Istanbul, «poco più di diecimila fedeli locali» e «circa trentamila fedeli stranieri, rifugiati o migranti», Vatican News (https://www.vaticannews.va/it/chiesa/news/2025-11/turchia-un-paese-che-e-ponte-mosaico-diamante.html) segnalando così il carattere prevalentemente non autoctono della comunità.</w:t>
      </w:r>
    </w:p>
    <w:p>
      <w:pPr>
        <w:spacing w:after="120" w:line="276"/>
        <w:jc w:val="both"/>
      </w:pPr>
      <w:r>
        <w:rPr>
          <w:rFonts w:ascii="Barlow Semi Condensed" w:cs="Barlow Semi Condensed" w:eastAsia="Barlow Semi Condensed" w:hAnsi="Barlow Semi Condensed"/>
          <w:sz w:val="24"/>
          <w:szCs w:val="24"/>
        </w:rPr>
        <w:t xml:space="preserve">Lo statuto giuridico delle Chiese cristiane nella Turchia laica è definito, in senso restrittivo, dal Trattato di Losanna del 24 luglio 1923 e dalla legislazione sulle fondazioni. I governi turchi hanno costantemente interpretato gli articoli del Trattato relativi alle minoranze nel senso di riconoscere come minoranze religiose soltanto quelle ufficialmente riconosciute al tempo dell'Impero ottomano — greco-ortodossi, armeni ed ebrei —, con la conseguenza che le comunità caldea, siro-cattolica, siro-ortodossa, latina e protestante sono considerate «straniere» e dunque non tutelate dalle disposizioni di Losanna. Fratesole (https://turchia.fratesole.com/approfondimenti/i-cristiani-nellimpero-ottomano-e-nella-turchia-moderna/) Tale interpretazione restrittiva è stata contestata dalle comunità escluse e da organismi internazionali, fra cui la Commissione delle Nazioni Unite per i diritti dell'uomo. Fratesole (https://turchia.fratesole.com/approfondimenti/i-cristiani-nellimpero-ottomano-e-nella-turchia-moderna/) La questione armena va trattata, entro il perimetro assegnato, unicamente per quanto attiene alla condizione della comunità armena cattolica di Turchia: essa condivideva con le altre minoranze cattoliche la piccolezza numerica e la fragilità statutaria, pur beneficiando — in quanto armena — del riconoscimento formale di Losanna sul versante della minoranza etnico-religiosa, distinto però dal rito cattolico.</w:t>
      </w:r>
    </w:p>
    <w:p>
      <w:pPr>
        <w:spacing w:after="120" w:line="276"/>
        <w:jc w:val="both"/>
      </w:pPr>
      <w:r>
        <w:rPr>
          <w:rFonts w:ascii="Barlow Semi Condensed" w:cs="Barlow Semi Condensed" w:eastAsia="Barlow Semi Condensed" w:hAnsi="Barlow Semi Condensed"/>
          <w:sz w:val="24"/>
          <w:szCs w:val="24"/>
        </w:rPr>
        <w:t xml:space="preserve">Le relazioni diplomatiche fra Santa Sede e Turchia furono istituite nel 1960 con l'erezione dell'Internunziatura apostolica di Turchia, avvenuta il 25 gennaio 1960; l'Internunziatura fu elevata al rango di Nunziatura apostolica Cathopedia (https://it.cathopedia.org/wiki/Delegato_apostolico_in_Turchia) da Paolo VI il 30 agosto 1966 con il breve Optimo sane. Cathopedia (https://it.cathopedia.org/wiki/Delegato_apostolico_in_Turchia) Anteriormente, la rappresentanza pontificia era assicurata da un Delegato apostolico, figura non ufficialmente diplomatica ma trattata alla stregua di diplomatico. East Journal (https://www.eastjournal.net/archives/145757) È a questo punto che si colloca l'elemento di memoria condivisa di maggior rilievo: Angelo Giuseppe Roncalli, futuro Giovanni XXIII, fu delegato apostolico in Turchia — e amministratore del Vicariato apostolico di Istanbul — dal 1935 al 1944 (le fonti oscillano fra il 1934 e il 1935 come anno d'inizio effettivo; la Cathopedia indica la nomina al 12 gennaio 1935 e la conclusione al 23 dicembre 1944, quando Roncalli fu nominato nunzio apostolico in Francia). Cathopedia (https://it.cathopedia.org/wiki/Delegato_apostolico_in_Turchia) Roncalli operò in una comunità cattolica che al suo arrivo contava circa trentamila fedeli dei vari riti e che andò via via diminuendo; Terrasanta (https://www.terrasanta.net/2014/03/il-decennio-turco-di-monsignor-roncalli/) la sua figura è unanimemente ricordata, dalle fonti italiane e turche, come «ponte» fra mondi e come radice dell'amicizia che nel 1960 avrebbe condotto alle relazioni diplomatiche. Va segnalato, come dato archivistico rilevante, che la documentazione delle relazioni Santa Sede-Turchia è conservata in Segreteria di Stato prevalentemente in italiano e francese, e che studiosi come Rinaldo Marmara ne hanno avviato la trascrizione e catalogazione. Istanbulofm (https://www.istanbulofm.org/2021/11/le-relazioni-diplomatiche-turchia-santa.html) Non si sono reperite, nel perimetro della ricerca, tracce di un coinvolgimento italiano nella condizione delle minoranze cristiane di Turchia negli anni di Moro: la memoria roncalliana appartiene alla Santa Sede, non alla diplomazia della Repubblica.</w:t>
      </w:r>
    </w:p>
    <w:p>
      <w:pPr>
        <w:pStyle w:val="Heading3"/>
        <w:spacing w:after="80" w:before="160"/>
      </w:pPr>
      <w:r>
        <w:rPr>
          <w:rFonts w:ascii="Barlow Semi Condensed" w:cs="Barlow Semi Condensed" w:eastAsia="Barlow Semi Condensed" w:hAnsi="Barlow Semi Condensed"/>
          <w:sz w:val="24"/>
          <w:szCs w:val="24"/>
        </w:rPr>
        <w:t xml:space="preserve">Capitolo X — L'Opus Dei in Turchia</w:t>
      </w:r>
    </w:p>
    <w:p>
      <w:pPr>
        <w:spacing w:after="120" w:line="276"/>
        <w:jc w:val="both"/>
      </w:pPr>
      <w:r>
        <w:rPr>
          <w:rFonts w:ascii="Barlow Semi Condensed" w:cs="Barlow Semi Condensed" w:eastAsia="Barlow Semi Condensed" w:hAnsi="Barlow Semi Condensed"/>
          <w:sz w:val="24"/>
          <w:szCs w:val="24"/>
        </w:rPr>
        <w:t xml:space="preserve">L'ottavo obiettivo di ricerca chiedeva di verificare se l'Opus Dei abbia o abbia avuto presenza in Turchia, interrogando l'elenco ufficiale dell'ente delle date di inizio del lavoro stabile nei vari Paesi e l'elenco delle circoscrizioni regionali. La previsione, dichiarata in anticipo perché il suo esito è esso stesso un risultato, era che la Turchia non vi figurasse, come non vi figurano la Grecia e Cipro. La ricognizione conferma la previsione, con la precisazione che l'accertamento è parzialmente indiretto e ne va dichiarata la ragione. La fonte ufficiale dell'ente (opusdei.org, pagina «La storia dell'Opus Dei») attesta verbatim che «l'Opus Dei fu fondato nel 1928 in Spagna. È presente in 68 Paesi», Opus Dei (https://opusdei.org/it-it/article/storia/) Opus Dei (https://opusdei.org/it-it/page/lopus-dei/) e la pagina istituzionale rinvia a un prospetto delle «date di inizio del lavoro stabile dell'Opus Dei nei vari Paesi»; la Wikipedia stima i membri in 85.000 (2025). Wikipedia (https://en.wikipedia.org/wiki/Opus_Dei) La consultazione telematica della pagina di storia dell'ente non ha restituito l'elenco analitico completo dei 68 Paesi con le rispettive date, per limiti di estrazione del contenuto; ma la cifra di 68 Paesi, incrociata con la fisionomia geografica dell'espansione dell'ente e con l'assenza — già accertata nelle ricognizioni greca e cipriota — di Grecia e Cipro dal medesimo elenco, rende la Turchia assente in modo altamente probabile. La sede di chiusura definitiva è la consultazione integrale del prospetto ufficiale delle date di inizio del lavoro stabile e dell'elenco delle circoscrizioni regionali (delegazioni e regioni) dell'ente.</w:t>
      </w:r>
    </w:p>
    <w:p>
      <w:pPr>
        <w:spacing w:after="120" w:line="276"/>
        <w:jc w:val="both"/>
      </w:pPr>
      <w:r>
        <w:rPr>
          <w:rFonts w:ascii="Barlow Semi Condensed" w:cs="Barlow Semi Condensed" w:eastAsia="Barlow Semi Condensed" w:hAnsi="Barlow Semi Condensed"/>
          <w:sz w:val="24"/>
          <w:szCs w:val="24"/>
        </w:rPr>
        <w:t xml:space="preserve">Non si sono reperite opere educative dell'Opus Dei in Turchia, né membri turchi documentati come tali, né circoscrizioni regionali dell'ente comprendenti la Turchia. Le uniche occorrenze del binomio «Opus Dei» e «Turchia» reperite nelle fonti sono di natura affatto diversa e non provano una presenza dell'ente nel Paese: da un lato una testimonianza, pubblicata dall'ente stesso, di studenti musulmani e di un turco ortodosso ospiti di una residenza universitaria diretta da membri dell'Opus Dei a Strasburgo, in Francia Opus Dei (https://opusdei.org/en/article/two-muslims-and-a-turkish-orthodox-life-in-nideck-residence/) — dunque fuori dalla Turchia; dall'altro un articolo del quotidiano turco Daily Sabah (22 gennaio 2015) che accosta, sul piano puramente comparativo e polemico, la struttura del movimento di Fethullah Gülen a quella dell'Opus Dei Daily Sabah (https://www.dailysabah.com/politics/2015/01/22/gulen-movement-displays-resemblance-to-opus-dei) — accostamento giornalistico che non ha valore probatorio di alcuna presenza istituzionale. Va inoltre segnalato che l'unica connessione recente fra l'ente e la Turchia riguarda la cronaca ecclesiale generale (il viaggio apostolico di Leone XIV in Turchia e Libano del 27 novembre – 2 dicembre 2025, Opus Dei (https://opusdei.org/en-us/article/journey-pope-leo-xiv-turkey-lebanon-2025) riportato anche dal sito dell'Opus Dei), che nulla dice circa un radicamento dell'ente nel Paese.</w:t>
      </w:r>
    </w:p>
    <w:p>
      <w:pPr>
        <w:spacing w:after="120" w:line="276"/>
        <w:jc w:val="both"/>
      </w:pPr>
      <w:r>
        <w:rPr>
          <w:rFonts w:ascii="Barlow Semi Condensed" w:cs="Barlow Semi Condensed" w:eastAsia="Barlow Semi Condensed" w:hAnsi="Barlow Semi Condensed"/>
          <w:sz w:val="24"/>
          <w:szCs w:val="24"/>
        </w:rPr>
        <w:t xml:space="preserve">Se ne trae la conseguenza analitica che consolida il modello già emerso nelle due ricognizioni anteriori. La presenza dell'Opus Dei nei Paesi del Mediterraneo orientale a maggioranza non cattolica è nulla, e la variabile discriminante dell'insediamento non è la natura del regime né la mera presenza di minoranze cattoliche, bensì la compresenza di una maggioranza cattolica e di un ceto universitario e professionale cattolico su cui l'apostolato dell'ente — nato nel 1933 con l'Accademia DYA, rivolta a studenti di Diritto e Architettura — possa radicarsi. Il caso turco è il più probante dei tre, perché somma tre fattori: maggioranza musulmana (attorno al 99 per cento della popolazione), La Nuova Bussola Quotidiana (https://lanuovabq.it/it/istanbul-ha-un-nuovo-vicario-apostolico) laicità dello Stato con controllo statale dell'istruzione religiosa (la stessa legge che chiuse Halki vietava l'istruzione superiore privata non affiliata alle università di Stato, precludendo così anche l'eventuale radicamento educativo di enti confessionali), e minoranza cattolica minima e in larga parte straniera. Il Libano, con inizio del lavoro stabile dell'ente dal 1996, resta il termine di confronto regionale che illumina per contrasto il caso turco: là dove esiste un ceto cattolico autoctono di dimensione significativa l'ente si insedia, là dove non esiste no. Si ribadisce, in conformità ai requisiti di metodo, che l'appartenenza di una persona all'Opus Dei non potrebbe comunque essere trattata come prova di una condotta dell'ente, e che qui non si è in ogni caso reperito alcun membro turco.</w:t>
      </w:r>
    </w:p>
    <w:p>
      <w:pPr>
        <w:pStyle w:val="Heading3"/>
        <w:spacing w:after="80" w:before="160"/>
      </w:pPr>
      <w:r>
        <w:rPr>
          <w:rFonts w:ascii="Barlow Semi Condensed" w:cs="Barlow Semi Condensed" w:eastAsia="Barlow Semi Condensed" w:hAnsi="Barlow Semi Condensed"/>
          <w:sz w:val="24"/>
          <w:szCs w:val="24"/>
        </w:rPr>
        <w:t xml:space="preserve">Capitolo XI — Documenti desecretati e stato degli archivi</w:t>
      </w:r>
    </w:p>
    <w:p>
      <w:pPr>
        <w:spacing w:after="120" w:line="276"/>
        <w:jc w:val="both"/>
      </w:pPr>
      <w:r>
        <w:rPr>
          <w:rFonts w:ascii="Barlow Semi Condensed" w:cs="Barlow Semi Condensed" w:eastAsia="Barlow Semi Condensed" w:hAnsi="Barlow Semi Condensed"/>
          <w:sz w:val="24"/>
          <w:szCs w:val="24"/>
        </w:rPr>
        <w:t xml:space="preserve">Il nono e il decimo obiettivo di ricerca riguardano le fonti desecretate e lo stato di accessibilità degli archivi. La serie Foreign Relations of the United States si è rivelata la fonte primaria desecretata di gran lunga più produttiva per il versante turco del periodo. Il volume XXX del ciclo 1969-1976, dedicato a Grecia, Cipro e Turchia 1973-1976, e il volume E-3 (Documents on Global Issues) contengono la documentazione più densa sulla vicenda degli oppiacei: si sono citati il telegramma 1310 da Ankara del 21 febbraio 1974 sull'incontro con Ecevit a proposito del divieto (documento 154 del volume E-3), il telegramma 5213 del 2 luglio 1974 sulla revoca (documento 204 del volume XXX), il memorandum Kissinger-Ford (documento 208), il paper del Gruppo interdipartimentale per l'Europa del Consiglio di sicurezza nazionale (documento 206) e il National Security Decision Memorandum 267 del 23 agosto 1974 (documento 209 del volume XXX e documento 164 del volume E-3). Per la posizione italiana nell'assetto atlantico sono già stati richiamati i documenti 16 (telegramma da Bruxelles del 4 luglio 1974) e 23 (30 agosto 1974) del volume XXX. Il documento 200 del volume XXX (telegramma da Ankara) documenta le posizioni turche sulla disputa egea, con l'attenzione ai vertici militari e civili turchi, incluso il presidente Fahri Korutürk, ex comandante di flotta. state (https://history.state.gov/historicaldocuments/frus1969-76v30/d200) Riferimenti diretti a colloqui di Moro sulla questione turca non sono emersi nella documentazione FRUS reperita: è un esito negativo, la cui sede di chiusura è la consultazione integrale dei volumi FRUS 1969-1976 pertinenti, inclusi i volumi anteriori per il 1969-1972, e l'indice per nome.</w:t>
      </w:r>
    </w:p>
    <w:p>
      <w:pPr>
        <w:spacing w:after="120" w:line="276"/>
        <w:jc w:val="both"/>
      </w:pPr>
      <w:r>
        <w:rPr>
          <w:rFonts w:ascii="Barlow Semi Condensed" w:cs="Barlow Semi Condensed" w:eastAsia="Barlow Semi Condensed" w:hAnsi="Barlow Semi Condensed"/>
          <w:sz w:val="24"/>
          <w:szCs w:val="24"/>
        </w:rPr>
        <w:t xml:space="preserve">Quanto alla CIA FOIA Electronic Reading Room e alla collezione CREST, la ricerca — che il committente aveva prefigurato con esito atteso negativo per quanto attiene all'Opus Dei — non ha prodotto, nell'ambito telematicamente esplorato, documenti pertinenti su una relazione fra l'Opus Dei e la Turchia, conformemente alla previsione. Sui temi turchi generali (Ecevit, Süleyman Demirel, il memorandum dei generali e il colpo di Stato militare del 12 marzo 1971, l'estrema destra dei Lupi Grigi e il Milliyetçi Hareket Partisi di Alparslan Türkeş) la collezione CREST è in linea di principio la sede appropriata, ma non è stata direttamente interrogata nell'ambito della presente ricognizione per esaurimento del budget di ricerca; se ne segnala l'esplorazione come acquisizione ancora da conseguire, con sede nella Electronic Reading Room della CIA.</w:t>
      </w:r>
    </w:p>
    <w:p>
      <w:pPr>
        <w:spacing w:after="120" w:line="276"/>
        <w:jc w:val="both"/>
      </w:pPr>
      <w:r>
        <w:rPr>
          <w:rFonts w:ascii="Barlow Semi Condensed" w:cs="Barlow Semi Condensed" w:eastAsia="Barlow Semi Condensed" w:hAnsi="Barlow Semi Condensed"/>
          <w:sz w:val="24"/>
          <w:szCs w:val="24"/>
        </w:rPr>
        <w:t xml:space="preserve">Sullo stato degli archivi, il quadro è il seguente. L'Archivio Storico Diplomatico del Ministero degli Affari Esteri italiano, per la serie Turchia 1969-1975, è la sede primaria per la posizione italiana, con l'avvertenza già accertata nelle ricognizioni anteriori che i Telegrammi 1942-1970 risultavano temporaneamente esclusi dalla consultazione per lavori di ristrutturazione. Gli archivi diplomatici turchi del Dışişleri Bakanlığı e gli archivi di Stato della Repubblica di Turchia costituiscono il naturale contraltare, di accessibilità variabile e spesso condizionata. L'archivio del Patriarcato ecumenico è la sede per la vicenda di Halki e per la condizione della minoranza greco-ortodossa. L'Archivio Apostolico Vaticano, per il pontificato di Paolo VI, è la sede per i rapporti Santa Sede-Turchia e per l'eventuale reazione vaticana alla chiusura di Halki; va ricordato che la documentazione delle relazioni Santa Sede-Turchia in Segreteria di Stato è in italiano e francese. L'Archivio Aldo Moro, ripartito fra l'Archivio storico del Senato e l'Archivio Centrale dello Stato, e l'edizione digitale delle carte Moro curata dall'Università di Bologna (aldomorodigitale.unibo.it), sono le sedi per l'azione ministeriale di Moro; l'introduzione di Guido Formigoni a tale edizione conferma la cronologia dei due mandati e ne sottolinea la lunghezza e il rilievo. Unibo (https://aldomorodigitale.unibo.it/additional_resources/?id=141&amp;type=introduction) Per gli atti parlamentari, si ribadisce che i resoconti stenografici della VI legislatura vanno consultati in forma cartacea o nei portali storici, poiché la banca dati del sindacato ispettivo copre soltanto dalla settima legislatura, cioè dal 5 luglio 1976.</w:t>
      </w:r>
    </w:p>
    <w:p>
      <w:pPr>
        <w:pStyle w:val="Heading3"/>
        <w:spacing w:after="80" w:before="160"/>
      </w:pPr>
      <w:r>
        <w:rPr>
          <w:rFonts w:ascii="Barlow Semi Condensed" w:cs="Barlow Semi Condensed" w:eastAsia="Barlow Semi Condensed" w:hAnsi="Barlow Semi Condensed"/>
          <w:sz w:val="24"/>
          <w:szCs w:val="24"/>
        </w:rPr>
        <w:t xml:space="preserve">Capitolo XII — Tavola discorsiva delle acquisizioni documentali necessarie e non conseguite</w:t>
      </w:r>
    </w:p>
    <w:p>
      <w:pPr>
        <w:spacing w:after="120" w:line="276"/>
        <w:jc w:val="both"/>
      </w:pPr>
      <w:r>
        <w:rPr>
          <w:rFonts w:ascii="Barlow Semi Condensed" w:cs="Barlow Semi Condensed" w:eastAsia="Barlow Semi Condensed" w:hAnsi="Barlow Semi Condensed"/>
          <w:sz w:val="24"/>
          <w:szCs w:val="24"/>
        </w:rPr>
        <w:t xml:space="preserve">Si raccolgono qui, ordinate per rendimento atteso decrescente, le acquisizioni documentali necessarie e non conseguite, ciascuna con la sede e la condizione di chiusura, nella convinzione — ribadita in premessa — che l'esito negativo circostanziato sia acquisizione di pieno valore.</w:t>
      </w:r>
    </w:p>
    <w:p>
      <w:pPr>
        <w:spacing w:after="120" w:line="276"/>
        <w:jc w:val="both"/>
      </w:pPr>
      <w:r>
        <w:rPr>
          <w:rFonts w:ascii="Barlow Semi Condensed" w:cs="Barlow Semi Condensed" w:eastAsia="Barlow Semi Condensed" w:hAnsi="Barlow Semi Condensed"/>
          <w:sz w:val="24"/>
          <w:szCs w:val="24"/>
        </w:rPr>
        <w:t xml:space="preserve">La prima e più remunerativa acquisizione mancante è la legge italiana di autorizzazione alla ratifica ed esecuzione del pacchetto di atti dell'associazione CEE-Turchia comprendente il Protocollo addizionale del 23 novembre 1970: ne restano da accertare il numero, la data e i riferimenti di Gazzetta Ufficiale della Repubblica Italiana, nonché l'eventuale dibattito parlamentare della VI legislatura. La sede di chiusura è Normattiva, il portale storico della Camera (sezione «Norme fondamentali e leggi», filtro 1972-1973), la Gazzetta Ufficiale storica per il 1972-1973 e il fascicolo del disegno di legge presso l'Archivio storico del Senato. Il rendimento atteso è massimo perché si tratta di un atto datato, cadente nel mandato di Moro, e di reperibilità in linea di principio agevole una volta superato il blocco all'accesso automatizzato dei portali.</w:t>
      </w:r>
    </w:p>
    <w:p>
      <w:pPr>
        <w:spacing w:after="120" w:line="276"/>
        <w:jc w:val="both"/>
      </w:pPr>
      <w:r>
        <w:rPr>
          <w:rFonts w:ascii="Barlow Semi Condensed" w:cs="Barlow Semi Condensed" w:eastAsia="Barlow Semi Condensed" w:hAnsi="Barlow Semi Condensed"/>
          <w:sz w:val="24"/>
          <w:szCs w:val="24"/>
        </w:rPr>
        <w:t xml:space="preserve">La seconda acquisizione mancante è l'identità del plenipotenziario che firmò per la Repubblica italiana il Protocollo addizionale del 23 novembre 1970: se sia stato Aldo Moro, ministro degli Esteri in carica a quella data, o un sottosegretario o plenipotenziario delegato. La sede di chiusura è il testo integrale dell'Atto finale in EUR-Lex CELEX 21970A1123(01), sezione «Per la Repubblica italiana», da consultarsi manualmente, e la Gazzetta ufficiale delle Comunità europee L 293 del 29 dicembre 1972, pagine 4-56. Il rendimento atteso è alto perché il dato è puntuale e dirimente per la triangolazione fra Moro e la Turchia, ed è già circoscritto a una fonte identificata.</w:t>
      </w:r>
    </w:p>
    <w:p>
      <w:pPr>
        <w:spacing w:after="120" w:line="276"/>
        <w:jc w:val="both"/>
      </w:pPr>
      <w:r>
        <w:rPr>
          <w:rFonts w:ascii="Barlow Semi Condensed" w:cs="Barlow Semi Condensed" w:eastAsia="Barlow Semi Condensed" w:hAnsi="Barlow Semi Condensed"/>
          <w:sz w:val="24"/>
          <w:szCs w:val="24"/>
        </w:rPr>
        <w:t xml:space="preserve">La terza acquisizione mancante è la posizione italiana specifica su tre dossier: la crisi cipriota vista verso la Turchia (distinta da quella verso la Grecia), l'embargo statunitense del 1975 e la disputa egea. La sede di chiusura è l'Archivio Storico Diplomatico della Farnesina, serie Turchia, Cipro e Comunità europee 1974-1975, e la corrispondenza con la rappresentanza italiana presso la NATO, con l'avvertenza dell'esclusione temporanea dei Telegrammi 1942-1970. Il rendimento atteso è medio-alto, ma condizionato dai tempi di riordino dell'archivio.</w:t>
      </w:r>
    </w:p>
    <w:p>
      <w:pPr>
        <w:spacing w:after="120" w:line="276"/>
        <w:jc w:val="both"/>
      </w:pPr>
      <w:r>
        <w:rPr>
          <w:rFonts w:ascii="Barlow Semi Condensed" w:cs="Barlow Semi Condensed" w:eastAsia="Barlow Semi Condensed" w:hAnsi="Barlow Semi Condensed"/>
          <w:sz w:val="24"/>
          <w:szCs w:val="24"/>
        </w:rPr>
        <w:t xml:space="preserve">La quarta acquisizione mancante è l'eventuale reazione diplomatica italiana o vaticana alla chiusura del Seminario di Halki del 1971. La sede di chiusura è l'Archivio Apostolico Vaticano e la Segreteria di Stato per il pontificato di Paolo VI, l'archivio del Patriarcato ecumenico e l'Archivio Storico Diplomatico della Farnesina. Il rendimento atteso è medio, perché la stessa esistenza di una reazione documentata è incerta.</w:t>
      </w:r>
    </w:p>
    <w:p>
      <w:pPr>
        <w:spacing w:after="120" w:line="276"/>
        <w:jc w:val="both"/>
      </w:pPr>
      <w:r>
        <w:rPr>
          <w:rFonts w:ascii="Barlow Semi Condensed" w:cs="Barlow Semi Condensed" w:eastAsia="Barlow Semi Condensed" w:hAnsi="Barlow Semi Condensed"/>
          <w:sz w:val="24"/>
          <w:szCs w:val="24"/>
        </w:rPr>
        <w:t xml:space="preserve">La quinta acquisizione mancante è il coinvolgimento della Farnesina di Moro e la posizione italiana in sede di Nazioni Unite e Commissione stupefacenti sulla vicenda della revoca del divieto turco del papavero del 1974. La sede di chiusura è l'Archivio Storico Diplomatico della Farnesina, serie affari sociali, e gli archivi della Commissione stupefacenti a Vienna. Il rendimento atteso è medio-basso, poiché la documentazione statunitense mostra un negoziato prevalentemente bilaterale turco-americano da cui l'Italia risulta assente.</w:t>
      </w:r>
    </w:p>
    <w:p>
      <w:pPr>
        <w:spacing w:after="120" w:line="276"/>
        <w:jc w:val="both"/>
      </w:pPr>
      <w:r>
        <w:rPr>
          <w:rFonts w:ascii="Barlow Semi Condensed" w:cs="Barlow Semi Condensed" w:eastAsia="Barlow Semi Condensed" w:hAnsi="Barlow Semi Condensed"/>
          <w:sz w:val="24"/>
          <w:szCs w:val="24"/>
        </w:rPr>
        <w:t xml:space="preserve">La sesta acquisizione mancante è la consistenza quantitativa dell'interscambio commerciale Italia-Turchia 1969-1975 e la cronologia delle visite ministeriali reciproche del periodo. La sede di chiusura è l'ISTAT (annuari del commercio con l'estero), l'archivio dell'Istituto nazionale per il commercio estero e l'Archivio Storico Diplomatico. Il rendimento atteso è medio-basso per la relazione bilaterale, ma i dati sono in linea di principio disponibili.</w:t>
      </w:r>
    </w:p>
    <w:p>
      <w:pPr>
        <w:spacing w:after="120" w:line="276"/>
        <w:jc w:val="both"/>
      </w:pPr>
      <w:r>
        <w:rPr>
          <w:rFonts w:ascii="Barlow Semi Condensed" w:cs="Barlow Semi Condensed" w:eastAsia="Barlow Semi Condensed" w:hAnsi="Barlow Semi Condensed"/>
          <w:sz w:val="24"/>
          <w:szCs w:val="24"/>
        </w:rPr>
        <w:t xml:space="preserve">La settima e ultima acquisizione mancante è la consultazione integrale del prospetto ufficiale dell'Opus Dei delle date di inizio del lavoro stabile nei 68 Paesi e dell'elenco delle circoscrizioni regionali, a conferma definitiva e non più soltanto altamente probabile dell'assenza della Turchia. La sede di chiusura è il sito ufficiale dell'ente (opusdei.org) e le sue pubblicazioni istituzionali, oltre al nuovo portale storiadelopusdei.org promosso dal Centro Studi Josemaría Escrivá dell'Università di Navarra e dall'Istituto Storico San Josemaría Escrivá di Roma. Il rendimento atteso è basso in termini di novità — l'esito è pronosticabile come negativo e coerente con il modello — ma alto in termini di chiusura formale dell'accertamento.</w:t>
      </w:r>
    </w:p>
    <w:p>
      <w:pPr>
        <w:pStyle w:val="Heading2"/>
        <w:spacing w:after="100" w:before="200"/>
      </w:pPr>
      <w:r>
        <w:rPr>
          <w:rFonts w:ascii="Barlow Semi Condensed" w:cs="Barlow Semi Condensed" w:eastAsia="Barlow Semi Condensed" w:hAnsi="Barlow Semi Condensed"/>
          <w:sz w:val="24"/>
          <w:szCs w:val="24"/>
        </w:rPr>
        <w:t xml:space="preserve">Recommendations</w:t>
      </w:r>
    </w:p>
    <w:p>
      <w:pPr>
        <w:spacing w:after="120" w:line="276"/>
        <w:jc w:val="both"/>
      </w:pPr>
      <w:r>
        <w:rPr>
          <w:rFonts w:ascii="Barlow Semi Condensed" w:cs="Barlow Semi Condensed" w:eastAsia="Barlow Semi Condensed" w:hAnsi="Barlow Semi Condensed"/>
          <w:sz w:val="24"/>
          <w:szCs w:val="24"/>
        </w:rPr>
        <w:t xml:space="preserve">Per il completamento della ricerca si raccomanda una sequenza scaglionata. In prima battuta, e con priorità assoluta, occorre chiudere i due accertamenti a più alto rendimento e a più bassa incertezza: la legge italiana di ratifica del pacchetto CEE-Turchia (con numero, data e Gazzetta Ufficiale) tramite consultazione manuale di Normattiva, del portale storico della Camera e dell'Archivio storico del Senato; e l'identità del firmatario italiano del Protocollo addizionale del 23 novembre 1970 mediante lettura diretta dell'Atto finale in EUR-Lex CELEX 21970A1123(01) o nella GUCE L 293/1972. Questi due dati sono decisivi per stabilire se e in quale veste Moro sia legato all'atto prioritario, e sono reperibili senza accesso ad archivi fisici. La soglia che modificherebbe le conclusioni è semplice: se l'Atto finale reca la firma di Moro per l'Italia, la triangolazione Moro-Turchia acquista un ancoraggio documentale diretto e non più soltanto contiguo (come già è per l'accordo provvisorio del 27 luglio 1971); in caso contrario, si confermerà che il legame documentato passa per il ruolo comunitario di Moro nel 1971.</w:t>
      </w:r>
    </w:p>
    <w:p>
      <w:pPr>
        <w:spacing w:after="120" w:line="276"/>
        <w:jc w:val="both"/>
      </w:pPr>
      <w:r>
        <w:rPr>
          <w:rFonts w:ascii="Barlow Semi Condensed" w:cs="Barlow Semi Condensed" w:eastAsia="Barlow Semi Condensed" w:hAnsi="Barlow Semi Condensed"/>
          <w:sz w:val="24"/>
          <w:szCs w:val="24"/>
        </w:rPr>
        <w:t xml:space="preserve">In seconda battuta, per i dossier di rango diplomatico (posizione italiana su Cipro/Turchia, embargo 1975, disputa egea, oppiacei), si raccomanda l'accesso fisico all'Archivio Storico Diplomatico della Farnesina non appena la serie Telegrammi 1942-1970 sarà nuovamente consultabile: il benchmark che sblocca questa fase è la riapertura della serie dopo i lavori di ristrutturazione. In terza battuta, per il versante ecclesiale (reazione alla chiusura di Halki, rapporti Santa Sede-Turchia), si raccomanda la consultazione dell'Archivio Apostolico Vaticano per il pontificato di Paolo VI, man mano che la documentazione viene resa accessibile agli studiosi. Infine, per la chiusura formale dell'accertamento sull'Opus Dei, è sufficiente la consultazione integrale del prospetto ufficiale delle date di inizio del lavoro stabile: l'esito atteso è la conferma dell'assenza della Turchia, e nessun benchmark ragionevole lo modificherebbe, stante l'assetto demografico e istituzionale del Paese.</w:t>
      </w:r>
    </w:p>
    <w:p>
      <w:pPr>
        <w:pStyle w:val="Heading2"/>
        <w:spacing w:after="100" w:before="200"/>
      </w:pPr>
      <w:r>
        <w:rPr>
          <w:rFonts w:ascii="Barlow Semi Condensed" w:cs="Barlow Semi Condensed" w:eastAsia="Barlow Semi Condensed" w:hAnsi="Barlow Semi Condensed"/>
          <w:sz w:val="24"/>
          <w:szCs w:val="24"/>
        </w:rPr>
        <w:t xml:space="preserve">Caveats</w:t>
      </w:r>
    </w:p>
    <w:p>
      <w:pPr>
        <w:spacing w:after="120" w:line="276"/>
        <w:jc w:val="both"/>
      </w:pPr>
      <w:r>
        <w:rPr>
          <w:rFonts w:ascii="Barlow Semi Condensed" w:cs="Barlow Semi Condensed" w:eastAsia="Barlow Semi Condensed" w:hAnsi="Barlow Semi Condensed"/>
          <w:sz w:val="24"/>
          <w:szCs w:val="24"/>
        </w:rPr>
        <w:t xml:space="preserve">Il presente rapporto poggia in misura preponderante su fonti telematicamente accessibili — testi normativi comunitari in EUR-Lex, documenti desecretati statunitensi in history.state.gov, fonti ecclesiali e diplomatiche ufficiali — e non su consultazione archivistica diretta; gli esiti negativi qui dichiarati sono pertanto esiti della ricerca telematica, non prove dell'inesistenza dei documenti cercati. Diverse date e denominazioni restano oggetto di divergenza fra le fonti, e sono state riportate come tali anziché risolte: in particolare la denominazione degli eventi ciprioti del 1974 («operazione di pace» / «invasione»), la data di morte di Atenagora I (6 o 7 luglio 1972), il numero di patriarchi formati a Halki (12 secondo Türkiye Today, con GOARCH che indica cifre più ampie), le stime dei cattolici di Turchia (circa 60.000 secondo AgenSIR 2025, 25-30.000 secondo una fonte 2026) e le percentuali del territorio cipriota (34% richiesto a Ginevra, oltre 36% occupato). La materia turco-greca e cipriota è oggetto di contenziosi internazionali ancora aperti e di narrazioni contrapposte: le posizioni delle parti sono state riportate con il loro statuto di posizioni di parte, senza ometterle e senza adottarne alcuna. Si è mantenuta la distinzione fra ciò che i documenti attestano e ciò che se ne inferisce, e non si è trattata la contemporaneità cronologica come prova di un nesso. In ottemperanza alle istruzioni del committente, sono state escluse dalle fonti citate l'enciclopedia collaborativa denominata Grokipedia (che pure compariva fra i risultati di ricerca su alcuni temi) e il quotidiano il Manifesto. Nessuna responsabilità, intenzione o condotta è stata attribuita ad alcuna persona o istituzione oltre quanto le fonti accertino, e per le persone viventi si sono riportati esclusivamente fatti pubblici documentati.</w:t>
      </w:r>
    </w:p>
    <w:p>
      <w:pPr>
        <w:pStyle w:val="Heading3"/>
        <w:spacing w:after="80" w:before="240"/>
      </w:pPr>
      <w:r>
        <w:rPr>
          <w:rFonts w:ascii="Barlow Semi Condensed" w:cs="Barlow Semi Condensed" w:eastAsia="Barlow Semi Condensed" w:hAnsi="Barlow Semi Condensed"/>
          <w:sz w:val="24"/>
          <w:szCs w:val="24"/>
        </w:rPr>
        <w:t xml:space="preserve">Apparato grafico — Libro dodicesimo · Turchia e Opus Dei 1969-1975</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8"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Libro dodicesimo VIII: 9.166 parole in 5 sezioni; la più ampia è §3 Details, con 8.219.</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9"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Libro dodicesimo VIII: 103 indirizzi di fonte citati, addensati in 1 sezione su 5.</w:t>
      </w:r>
    </w:p>
    <w:p>
      <w:pPr>
        <w:spacing w:after="120"/>
        <w:jc w:val="center"/>
      </w:pPr>
      <w:r>
        <w:rPr>
          <w:rFonts w:ascii="Barlow Semi Condensed" w:cs="Barlow Semi Condensed" w:eastAsia="Barlow Semi Condensed" w:hAnsi="Barlow Semi Condensed"/>
          <w:color w:val="777777"/>
          <w:sz w:val="16"/>
          <w:szCs w:val="16"/>
        </w:rPr>
        <w:t xml:space="preserve">Le metriche dell'apparato contano parole, documenti e atti — mai colpe.</w:t>
      </w:r>
    </w:p>
    <w:p>
      <w:r>
        <w:br w:type="page"/>
      </w:r>
    </w:p>
    <w:p>
      <w:pPr>
        <w:pStyle w:val="Heading1"/>
        <w:spacing w:after="120" w:before="240"/>
      </w:pPr>
      <w:r>
        <w:rPr>
          <w:rFonts w:ascii="Barlow Semi Condensed" w:cs="Barlow Semi Condensed" w:eastAsia="Barlow Semi Condensed" w:hAnsi="Barlow Semi Condensed"/>
          <w:sz w:val="24"/>
          <w:szCs w:val="24"/>
        </w:rPr>
        <w:t xml:space="preserve">Libro dodicesimo — La dimensione diplomatica — IX. La Santa Sede, la Turchia e l’attentato del 1981</w:t>
      </w:r>
    </w:p>
    <w:p>
      <w:pPr>
        <w:spacing w:after="120" w:line="276"/>
        <w:jc w:val="both"/>
      </w:pPr>
      <w:r>
        <w:rPr>
          <w:rFonts w:ascii="Barlow Semi Condensed" w:cs="Barlow Semi Condensed" w:eastAsia="Barlow Semi Condensed" w:hAnsi="Barlow Semi Condensed"/>
          <w:sz w:val="24"/>
          <w:szCs w:val="24"/>
        </w:rPr>
        <w:t xml:space="preserve">RICERCA STORIOGRAFICA E ARCHIVISTICA: ALDO MORO, LA SANTA SEDE E LA TURCHIA, CON PARTICOLARE RIGUARDO ALL'ATTENTATO A GIOVANNI PAOLO II (1935-1985)</w:t>
      </w:r>
    </w:p>
    <w:p>
      <w:pPr>
        <w:spacing w:after="120" w:line="276"/>
        <w:jc w:val="both"/>
      </w:pPr>
      <w:r>
        <w:rPr>
          <w:rFonts w:ascii="Barlow Semi Condensed" w:cs="Barlow Semi Condensed" w:eastAsia="Barlow Semi Condensed" w:hAnsi="Barlow Semi Condensed"/>
          <w:sz w:val="24"/>
          <w:szCs w:val="24"/>
        </w:rPr>
        <w:t xml:space="preserve">TL;DR</w:t>
      </w:r>
    </w:p>
    <w:p>
      <w:pPr>
        <w:pStyle w:val="ListParagraph"/>
        <w:numPr>
          <w:ilvl w:val="0"/>
          <w:numId w:val="1"/>
        </w:numPr>
        <w:spacing w:after="40"/>
        <w:jc w:val="both"/>
      </w:pPr>
      <w:r>
        <w:rPr>
          <w:rFonts w:ascii="Barlow Semi Condensed" w:cs="Barlow Semi Condensed" w:eastAsia="Barlow Semi Condensed" w:hAnsi="Barlow Semi Condensed"/>
          <w:sz w:val="24"/>
          <w:szCs w:val="24"/>
        </w:rPr>
        <w:t xml:space="preserve">Il nodo che collega più direttamente e più documentatamente la Turchia al Vaticano è l'attentato del 13 maggio 1981: la traiettoria turca di Mehmet Ali Ağca (omicidio İpekçi del 1° febbraio 1979, evasione da Kartal-Maltepe del 25 novembre 1979, lettera minatoria a Milliyet del 27 novembre 1979) è documentata e accertata; per contro la cosiddetta «pista bulgara» non fu mai giudizialmente provata — la sentenza della Corte d'assise di Roma del 29 marzo 1986 assolse per insufficienza di prove Antonov e gli altri, Spazio70 (https://spazio70.com/post-anni-70/il-gioco-dei-potenti/mistero-della-fede-lattentato-al-papa-e-le-sue-ombre-la-falsa-pista-bulgara/) e la stessa CIA scrisse di «non essere in grado di sviluppare un quadro chiaro e conclusivo» del coinvolgimento bulgaro.</w:t>
      </w:r>
    </w:p>
    <w:p>
      <w:pPr>
        <w:pStyle w:val="ListParagraph"/>
        <w:numPr>
          <w:ilvl w:val="0"/>
          <w:numId w:val="1"/>
        </w:numPr>
        <w:spacing w:after="40"/>
        <w:jc w:val="both"/>
      </w:pPr>
      <w:r>
        <w:rPr>
          <w:rFonts w:ascii="Barlow Semi Condensed" w:cs="Barlow Semi Condensed" w:eastAsia="Barlow Semi Condensed" w:hAnsi="Barlow Semi Condensed"/>
          <w:sz w:val="24"/>
          <w:szCs w:val="24"/>
        </w:rPr>
        <w:t xml:space="preserve">Il rapporto Santa Sede-Turchia 1935-1985 ha tre radici solide e ben documentate: il decennio di Angelo Roncalli (1935-1944), matrice riconosciuta dell'istituzione delle relazioni diplomatiche del 1960 (Internunziatura 25 gennaio 1960, Nunziatura con il breve Optimo sane del 30 agosto 1966); Wikipedia (https://it.m.wikipedia.org/wiki/Chiesa_cattolica_in_Turchia) il dialogo cattolico-ortodosso da Gerusalemme 1964 alla Commissione mista di Patmos-Rodi 1980; e la questione irrisolta delle minoranze cristiane (Halki chiusa dal 1971, esclusione dei cattolici latini dal Trattato di Losanna).</w:t>
      </w:r>
    </w:p>
    <w:p>
      <w:pPr>
        <w:pStyle w:val="ListParagraph"/>
        <w:numPr>
          <w:ilvl w:val="0"/>
          <w:numId w:val="1"/>
        </w:numPr>
        <w:spacing w:after="40"/>
        <w:jc w:val="both"/>
      </w:pPr>
      <w:r>
        <w:rPr>
          <w:rFonts w:ascii="Barlow Semi Condensed" w:cs="Barlow Semi Condensed" w:eastAsia="Barlow Semi Condensed" w:hAnsi="Barlow Semi Condensed"/>
          <w:sz w:val="24"/>
          <w:szCs w:val="24"/>
        </w:rPr>
        <w:t xml:space="preserve">Sul versante Moro-Turchia il materiale è reale ma prevalentemente europeo-comunitario e mediterraneo, non confessionale: non è emersa documentazione di una presa di posizione della Farnesina di Moro sulla chiusura di Halki o sullo statuto del Patriarcato ecumenico. Questo è un esito negativo di pieno valore, da chiudere presso l'Archivio Storico Diplomatico del Ministero degli Affari Esteri.</w:t>
      </w:r>
    </w:p>
    <w:p>
      <w:pPr>
        <w:spacing w:after="120" w:line="276"/>
        <w:jc w:val="both"/>
      </w:pPr>
      <w:r>
        <w:rPr>
          <w:rFonts w:ascii="Barlow Semi Condensed" w:cs="Barlow Semi Condensed" w:eastAsia="Barlow Semi Condensed" w:hAnsi="Barlow Semi Condensed"/>
          <w:sz w:val="24"/>
          <w:szCs w:val="24"/>
        </w:rPr>
        <w:t xml:space="preserve">KEY FINDINGS</w:t>
      </w:r>
    </w:p>
    <w:p>
      <w:pPr>
        <w:pStyle w:val="ListParagraph"/>
        <w:numPr>
          <w:ilvl w:val="0"/>
          <w:numId w:val="1"/>
        </w:numPr>
        <w:spacing w:after="40"/>
        <w:jc w:val="both"/>
      </w:pPr>
      <w:r>
        <w:rPr>
          <w:rFonts w:ascii="Barlow Semi Condensed" w:cs="Barlow Semi Condensed" w:eastAsia="Barlow Semi Condensed" w:hAnsi="Barlow Semi Condensed"/>
          <w:sz w:val="24"/>
          <w:szCs w:val="24"/>
        </w:rPr>
        <w:t xml:space="preserve">Ağca uccise Abdi İpekçi il 1° febbraio 1979 ed evase da Kartal-Maltepe il 25 novembre 1979; il 27 novembre 1979 minacciò per iscritto Giovanni Paolo II definendolo «Capo dei crociati». Questi fatti sono accertati.</w:t>
      </w:r>
    </w:p>
    <w:p>
      <w:pPr>
        <w:pStyle w:val="ListParagraph"/>
        <w:numPr>
          <w:ilvl w:val="0"/>
          <w:numId w:val="1"/>
        </w:numPr>
        <w:spacing w:after="40"/>
        <w:jc w:val="both"/>
      </w:pPr>
      <w:r>
        <w:rPr>
          <w:rFonts w:ascii="Barlow Semi Condensed" w:cs="Barlow Semi Condensed" w:eastAsia="Barlow Semi Condensed" w:hAnsi="Barlow Semi Condensed"/>
          <w:sz w:val="24"/>
          <w:szCs w:val="24"/>
        </w:rPr>
        <w:t xml:space="preserve">La condanna all'ergastolo in primo grado risale al 22 luglio 1981; l'arresto di Sergej Antonov al 25 novembre 1982; l'assoluzione dei bulgari e dei turchi per insufficienza di prove al 29 marzo 1986.</w:t>
      </w:r>
    </w:p>
    <w:p>
      <w:pPr>
        <w:pStyle w:val="ListParagraph"/>
        <w:numPr>
          <w:ilvl w:val="0"/>
          <w:numId w:val="1"/>
        </w:numPr>
        <w:spacing w:after="40"/>
        <w:jc w:val="both"/>
      </w:pPr>
      <w:r>
        <w:rPr>
          <w:rFonts w:ascii="Barlow Semi Condensed" w:cs="Barlow Semi Condensed" w:eastAsia="Barlow Semi Condensed" w:hAnsi="Barlow Semi Condensed"/>
          <w:sz w:val="24"/>
          <w:szCs w:val="24"/>
        </w:rPr>
        <w:t xml:space="preserve">Le valutazioni desecretate della CIA (FRUS 1981-1988, vol. X) sono concordi nel non affermare la responsabilità bulgaro-sovietica come provata; il caso della Procura poggiava «unicamente sulla testimonianza di Agca».</w:t>
      </w:r>
    </w:p>
    <w:p>
      <w:pPr>
        <w:pStyle w:val="ListParagraph"/>
        <w:numPr>
          <w:ilvl w:val="0"/>
          <w:numId w:val="1"/>
        </w:numPr>
        <w:spacing w:after="40"/>
        <w:jc w:val="both"/>
      </w:pPr>
      <w:r>
        <w:rPr>
          <w:rFonts w:ascii="Barlow Semi Condensed" w:cs="Barlow Semi Condensed" w:eastAsia="Barlow Semi Condensed" w:hAnsi="Barlow Semi Condensed"/>
          <w:sz w:val="24"/>
          <w:szCs w:val="24"/>
        </w:rPr>
        <w:t xml:space="preserve">Il decennio turco di Roncalli e il dialogo cattolico-ortodosso costituiscono la spina dorsale positiva del rapporto Santa Sede-Turchia; la questione delle minoranze (Halki, Losanna, cittadinanza turca del patriarca) ne è il contrappunto irrisolto.</w:t>
      </w:r>
    </w:p>
    <w:p>
      <w:pPr>
        <w:pStyle w:val="ListParagraph"/>
        <w:numPr>
          <w:ilvl w:val="0"/>
          <w:numId w:val="1"/>
        </w:numPr>
        <w:spacing w:after="40"/>
        <w:jc w:val="both"/>
      </w:pPr>
      <w:r>
        <w:rPr>
          <w:rFonts w:ascii="Barlow Semi Condensed" w:cs="Barlow Semi Condensed" w:eastAsia="Barlow Semi Condensed" w:hAnsi="Barlow Semi Condensed"/>
          <w:sz w:val="24"/>
          <w:szCs w:val="24"/>
        </w:rPr>
        <w:t xml:space="preserve">Sull'asse Moro-questione confessionale in Turchia si registra un esito negativo di ricerca, da verificare in archivio.</w:t>
      </w:r>
    </w:p>
    <w:p>
      <w:pPr>
        <w:spacing w:after="120" w:line="276"/>
        <w:jc w:val="both"/>
      </w:pPr>
      <w:r>
        <w:rPr>
          <w:rFonts w:ascii="Barlow Semi Condensed" w:cs="Barlow Semi Condensed" w:eastAsia="Barlow Semi Condensed" w:hAnsi="Barlow Semi Condensed"/>
          <w:sz w:val="24"/>
          <w:szCs w:val="24"/>
        </w:rPr>
        <w:t xml:space="preserve">DETTAGLI</w:t>
      </w:r>
    </w:p>
    <w:p>
      <w:pPr>
        <w:spacing w:after="120" w:line="276"/>
        <w:jc w:val="both"/>
      </w:pPr>
      <w:r>
        <w:rPr>
          <w:rFonts w:ascii="Barlow Semi Condensed" w:cs="Barlow Semi Condensed" w:eastAsia="Barlow Semi Condensed" w:hAnsi="Barlow Semi Condensed"/>
          <w:sz w:val="24"/>
          <w:szCs w:val="24"/>
        </w:rPr>
        <w:t xml:space="preserve">CAPITOLO I — Premessa metodologica, perimetro della ricognizione e statuto delle fonti</w:t>
      </w:r>
    </w:p>
    <w:p>
      <w:pPr>
        <w:spacing w:after="120" w:line="276"/>
        <w:jc w:val="both"/>
      </w:pPr>
      <w:r>
        <w:rPr>
          <w:rFonts w:ascii="Barlow Semi Condensed" w:cs="Barlow Semi Condensed" w:eastAsia="Barlow Semi Condensed" w:hAnsi="Barlow Semi Condensed"/>
          <w:sz w:val="24"/>
          <w:szCs w:val="24"/>
        </w:rPr>
        <w:t xml:space="preserve">La presente ricognizione si colloca in dichiarata continuità con una precedente indagine condotta sul versante turco, di cui assume gli esiti come sfondo da non ripetere: l'Accordo di Ankara del 12 settembre 1963 e la sua entrata in vigore il 1° dicembre 1964; il Protocollo addizionale firmato a Bruxelles il 23 novembre 1970 ed entrato in vigore il 1° gennaio 1973, concluso a nome della Comunità con il Regolamento CEE 2760/72 pubblicato nella Gazzetta ufficiale delle Comunità europee L 293 del 29 dicembre 1972; la firma di Aldo Moro, a nome del Consiglio delle Comunità europee, dell'Accordo provvisorio CEE-Turchia del 27 luglio 1971, quale attestata dal preambolo del Regolamento CEE 1842/71; il Protocollo complementare firmato ad Ankara il 30 giugno 1973; la crisi cipriota del 1974; l'embargo statunitense sulle forniture militari alla Turchia; la disputa egea sulla piattaforma continentale con la sentenza della Corte internazionale di giustizia del 19 dicembre 1978; la Convenzione di Montreux del 20 luglio 1936; la revoca del divieto di coltivazione del papavero da oppio del 1° luglio 1974; la chiusura della Scuola teologica di Halki nel 1971; la morte del patriarca Atenagora I nel luglio 1972 e l'elezione di Dimitrios I; le relazioni diplomatiche Santa Sede-Turchia con Internunziatura eretta il 25 gennaio 1960 ed elevata a Nunziatura il 30 agosto 1966; e l'accertamento come Stato Zero dell'assenza dell'Opus Dei dalla Turchia. Tutto ciò è qui presupposto e non riesaminato.</w:t>
      </w:r>
    </w:p>
    <w:p>
      <w:pPr>
        <w:spacing w:after="120" w:line="276"/>
        <w:jc w:val="both"/>
      </w:pPr>
      <w:r>
        <w:rPr>
          <w:rFonts w:ascii="Barlow Semi Condensed" w:cs="Barlow Semi Condensed" w:eastAsia="Barlow Semi Condensed" w:hAnsi="Barlow Semi Condensed"/>
          <w:sz w:val="24"/>
          <w:szCs w:val="24"/>
        </w:rPr>
        <w:t xml:space="preserve">L'obiettivo prioritario di questa nuova ricognizione, come indicato dal committente, è l'attentato del 13 maggio 1981 e la traiettoria turca di Mehmet Ali Ağca, in quanto nodo che collega la Turchia al Vaticano in modo più diretto e documentato di ogni altro elemento della serie. Attorno a questo perno si dispongono, in ordine di priorità, il decennio turco di Roncalli, il dialogo cattolico-ortodosso, lo statuto delle comunità cattoliche, il rapporto fra Santa Sede, Turchia e Conferenza sulla sicurezza e la cooperazione in Europa, la posizione italiana sulle minoranze cristiane, e infine il quadro degli archivi e delle fonti desecretate.</w:t>
      </w:r>
    </w:p>
    <w:p>
      <w:pPr>
        <w:spacing w:after="120" w:line="276"/>
        <w:jc w:val="both"/>
      </w:pPr>
      <w:r>
        <w:rPr>
          <w:rFonts w:ascii="Barlow Semi Condensed" w:cs="Barlow Semi Condensed" w:eastAsia="Barlow Semi Condensed" w:hAnsi="Barlow Semi Condensed"/>
          <w:sz w:val="24"/>
          <w:szCs w:val="24"/>
        </w:rPr>
        <w:t xml:space="preserve">La disciplina di metodo adottata è quella richiesta dal committente e la si dichiara qui una volta per tutte. Per ogni affermazione si indica la fonte e la sua natura: atto pontificio o della Segreteria di Stato, atto parlamentare con data, sentenza con data e autorità giudicante, trattato o protocollo con il riferimento alla pubblicazione ufficiale, documento desecretato con protocollo, studio scientifico, fonte ufficiale dell'istituzione interessata, memoria di protagonista, pubblicistica divulgativa. Si distingue costantemente ciò che il documento attesta da ciò che se ne inferisce, e ciò che una sentenza accerta da ciò che essa dichiara non provato. In particolare, la cosiddetta «pista bulgara» non fu giudizialmente provata e viene qualificata come tale ogni volta che venga menzionata; le tesi che la affermano come accertata sono riportate e qualificate come non sostenute dalle sentenze; le dichiarazioni successive di Mehmet Ali Ağca — vivente — ripetutamente contraddittorie e ritrattate, sono trattate come dichiarazioni di un soggetto la cui attendibilità è stata giudizialmente e storiograficamente contestata, e non come fonti di accertamento. Non si tratta l'appartenenza di una persona a una organizzazione come prova di una condotta di quella organizzazione, e ciò vale in modo assoluto per i Lupi Grigi e per i servizi di sicurezza di ogni Paese menzionato; non si tratta la contemporaneità cronologica come prova di un nesso.</w:t>
      </w:r>
    </w:p>
    <w:p>
      <w:pPr>
        <w:spacing w:after="120" w:line="276"/>
        <w:jc w:val="both"/>
      </w:pPr>
      <w:r>
        <w:rPr>
          <w:rFonts w:ascii="Barlow Semi Condensed" w:cs="Barlow Semi Condensed" w:eastAsia="Barlow Semi Condensed" w:hAnsi="Barlow Semi Condensed"/>
          <w:sz w:val="24"/>
          <w:szCs w:val="24"/>
        </w:rPr>
        <w:t xml:space="preserve">Le fonti privilegiate sono in italiano e, per i versanti confessionali, i testi ufficiali della Santa Sede reperibili nel sito vatican.va e christianunity.va; per il versante giudiziario e parlamentare italiano, i documenti pubblicati da parlamento.it; per il versante statunitense, la raccolta Foreign Relations of the United States, 1981-1988, volume X, edita dall'Office of the Historian del Dipartimento di Stato, e la CIA FOIA Electronic Reading Room; per la storiografia su Moro, il volume collettaneo Fra diplomazia e petrolio. Aldo Moro e la politica italiana in Medio Oriente (1963-1978), a cura di Federico Imperato, Rosario Milano e Luciano Monzali, Cacucci, Bari 2018, che contiene un capitolo specifico di Federico Imperato intitolato Un aspetto della politica mediterranea dell'Italia: le relazioni con la Turchia (1946-1974), alle pagine 119-154. Sono espressamente esclusi, per indicazione del committente, l'enciclopedia collaborativa Grokipedia e il quotidiano il Manifesto. Ove le fonti divergano su una data, un numero o una denominazione, la divergenza viene riportata anziché risolta silenziosamente; ove una tesi circolante nella pubblicistica non trovi riscontro nelle fonti primarie o nelle sentenze, viene qualificata come non sostenuta. Gli esiti negativi sono raccolti nel capitolo conclusivo come acquisizioni di pieno valore.</w:t>
      </w:r>
    </w:p>
    <w:p>
      <w:pPr>
        <w:spacing w:after="120" w:line="276"/>
        <w:jc w:val="both"/>
      </w:pPr>
      <w:r>
        <w:rPr>
          <w:rFonts w:ascii="Barlow Semi Condensed" w:cs="Barlow Semi Condensed" w:eastAsia="Barlow Semi Condensed" w:hAnsi="Barlow Semi Condensed"/>
          <w:sz w:val="24"/>
          <w:szCs w:val="24"/>
        </w:rPr>
        <w:t xml:space="preserve">CAPITOLO II — Aldo Moro alla Farnesina e il rapporto con la Turchia</w:t>
      </w:r>
    </w:p>
    <w:p>
      <w:pPr>
        <w:spacing w:after="120" w:line="276"/>
        <w:jc w:val="both"/>
      </w:pPr>
      <w:r>
        <w:rPr>
          <w:rFonts w:ascii="Barlow Semi Condensed" w:cs="Barlow Semi Condensed" w:eastAsia="Barlow Semi Condensed" w:hAnsi="Barlow Semi Condensed"/>
          <w:sz w:val="24"/>
          <w:szCs w:val="24"/>
        </w:rPr>
        <w:t xml:space="preserve">La titolarità di Aldo Moro al Ministero degli Affari Esteri copre due periodi, dal 5 agosto 1969 al 26 giugno 1972 e dal 7 luglio 1973 al 23 novembre 1974, attraverso i governi Rumor II e III, Colombo, Andreotti I e Rumor IV e V, Esteri (https://www.esteri.it/it/ministero/storia/ministri_esteri/aldo_moro/) come registra la scheda biografica ufficiale del Ministero degli Affari Esteri e della Cooperazione Internazionale (esteri.it, sezione «Storia — Ministri degli Esteri»). La medesima fonte istituzionale sottolinea che egli si distinse «per la risoluzione di contenziosi internazionali». Il Dizionario dell'Integrazione Europea 1950-2017 (dizie.eu) precisa che Moro firmò l'Atto finale di Helsinki «in qualità di presidente del Consiglio e presidente di turno della Comunità europea», che inaugurò a Firenze l'Istituto universitario europeo nel febbraio 1975, e che aveva presentato già nel 1964 un memorandum per inserire gli accordi di associazione dell'area mediterranea in una cornice comunitaria.</w:t>
      </w:r>
    </w:p>
    <w:p>
      <w:pPr>
        <w:spacing w:after="120" w:line="276"/>
        <w:jc w:val="both"/>
      </w:pPr>
      <w:r>
        <w:rPr>
          <w:rFonts w:ascii="Barlow Semi Condensed" w:cs="Barlow Semi Condensed" w:eastAsia="Barlow Semi Condensed" w:hAnsi="Barlow Semi Condensed"/>
          <w:sz w:val="24"/>
          <w:szCs w:val="24"/>
        </w:rPr>
        <w:t xml:space="preserve">La collocazione della Turchia nella politica estera di Moro è, alla luce delle fonti reperite, prevalentemente comunitaria e mediterranea, non confessionale. Il capitolo di Federico Imperato nel volume Cacucci del 2018 — la fonte scientifica di riferimento su questo asse — è intitolato Un aspetto della politica mediterranea dell'Italia: le relazioni con la Turchia (1946-1974), il che colloca esplicitamente il rapporto italo-turco nel quadro della proiezione mediterranea dell'Italia repubblicana. Il quadro complessivo del volume, con i capitoli su equidistanza e filoarabismo, sull'Iran, sul Libano e sul Pakistan, mostra che l'interesse dominante della Farnesina moroteana nell'area era quello politico-energetico e di equilibrio fra i blocchi, secondo la formula, ricordata dalla nota storico-critica di Enrico Palumbo nell'edizione digitale delle opere di Moro (aldomorodigitale.unibo.it), della «proiezione mediterranea» della sua politica estera e della «grande attenzione di Moro al mondo arabo e alla causa palestinese».</w:t>
      </w:r>
    </w:p>
    <w:p>
      <w:pPr>
        <w:spacing w:after="120" w:line="276"/>
        <w:jc w:val="both"/>
      </w:pPr>
      <w:r>
        <w:rPr>
          <w:rFonts w:ascii="Barlow Semi Condensed" w:cs="Barlow Semi Condensed" w:eastAsia="Barlow Semi Condensed" w:hAnsi="Barlow Semi Condensed"/>
          <w:sz w:val="24"/>
          <w:szCs w:val="24"/>
        </w:rPr>
        <w:t xml:space="preserve">Il dato istituzionale più solido e già acquisito è la firma di Moro, a nome del Consiglio delle Comunità europee, dell'Accordo provvisorio CEE-Turchia del 27 luglio 1971, attestata dal preambolo del Regolamento CEE 1842/71 che lo nomina insieme a Franco Maria Malfatti, presidente della Commissione, con Osman Olcay per la Turchia. Questo elemento — pienamente documentato — testimonia il ruolo di Moro come snodo della relazione comunitaria con Ankara nella fase in cui l'Italia esercitava responsabilità di presidenza, e si salda con la firma dell'Atto finale di Helsinki del 1° agosto 1975, alla quale si torna al Capitolo X. La documentazione francese citata da aldomoro.eu registra inoltre incontri di Moro come ministro degli Esteri con l'omologo francese Maurice Schumann e con il presidente Georges Pompidou nel 1970-1971, e la sua relazione al Parlamento europeo del 10 giugno 1971 in qualità di presidente in esercizio del Consiglio: la Turchia vi compare nel contesto dell'unificazione politica europea e degli accordi di associazione, non delle questioni religiose.</w:t>
      </w:r>
    </w:p>
    <w:p>
      <w:pPr>
        <w:spacing w:after="120" w:line="276"/>
        <w:jc w:val="both"/>
      </w:pPr>
      <w:r>
        <w:rPr>
          <w:rFonts w:ascii="Barlow Semi Condensed" w:cs="Barlow Semi Condensed" w:eastAsia="Barlow Semi Condensed" w:hAnsi="Barlow Semi Condensed"/>
          <w:sz w:val="24"/>
          <w:szCs w:val="24"/>
        </w:rPr>
        <w:t xml:space="preserve">La ricognizione consente di affermare con sicurezza, in negativo, un punto rilevante: nelle fonti reperite non emerge alcuna presa di posizione documentata di Moro, o della Farnesina sotto la sua guida, sulla condizione delle minoranze cristiane in Turchia, sulla chiusura di Halki del 1971 o sullo statuto del Patriarcato ecumenico. Questo esito, di pieno valore, viene ripreso e circostanziato al Capitolo XI e classificato al Capitolo XII con l'indicazione della sede presso cui la ricerca andrebbe condotta, cioè l'Archivio Storico Diplomatico del Ministero degli Affari Esteri, serie Turchia e serie Santa Sede 1969-1975, tenuto conto dell'esclusione temporanea, già accertata nella ricognizione anteriore, dei Telegrammi 1942-1970. Poiché il materiale specificamente riferito al binomio Moro-Turchia sul piano confessionale è, allo stato, assai limitato, questo capitolo è deliberatamente più contenuto di altri: preferire un capitolo corto che dichiari la scarsità della base documentale è coerente con la disciplina richiesta e con l'onestà epistemica della ricerca.</w:t>
      </w:r>
    </w:p>
    <w:p>
      <w:pPr>
        <w:spacing w:after="120" w:line="276"/>
        <w:jc w:val="both"/>
      </w:pPr>
      <w:r>
        <w:rPr>
          <w:rFonts w:ascii="Barlow Semi Condensed" w:cs="Barlow Semi Condensed" w:eastAsia="Barlow Semi Condensed" w:hAnsi="Barlow Semi Condensed"/>
          <w:sz w:val="24"/>
          <w:szCs w:val="24"/>
        </w:rPr>
        <w:t xml:space="preserve">CAPITOLO III — L'attentato del 13 maggio 1981 e la traiettoria turca di Mehmet Ali Ağca</w:t>
      </w:r>
    </w:p>
    <w:p>
      <w:pPr>
        <w:spacing w:after="120" w:line="276"/>
        <w:jc w:val="both"/>
      </w:pPr>
      <w:r>
        <w:rPr>
          <w:rFonts w:ascii="Barlow Semi Condensed" w:cs="Barlow Semi Condensed" w:eastAsia="Barlow Semi Condensed" w:hAnsi="Barlow Semi Condensed"/>
          <w:sz w:val="24"/>
          <w:szCs w:val="24"/>
        </w:rPr>
        <w:t xml:space="preserve">Mehmet Ali Ağca è nato in Anatolia, a Malatya (alcune fonti indicano il villaggio di Hekimhan nella provincia di Malatya), il 9 gennaio 1958. Wikipedia (https://en.wikipedia.org/wiki/Mehmet_Ali_A%C4%9Fca) La sua traiettoria giudiziaria comincia con un fatto accertato: il 1° febbraio 1979 partecipò all'omicidio di Abdi İpekçi, direttore ed editorialista di punta del quotidiano Milliyet, uno dei principali giornali turchi. Wikipedia (https://en.wikipedia.org/wiki/Milliyet) İpekçi, nato il 9 agosto 1929, fu ucciso con colpi d'arma da fuoco all'interno della propria automobile davanti alla sua abitazione a Istanbul; la voce enciclopedica di riferimento indica che l'azione fu compiuta insieme a Oral Çelik, coetaneo e amico d'infanzia di Ağca. Va segnalata una divergenza fra le fonti sulla dinamica: alcune ricostruzioni giornalistiche riportano la confessione di Ağca «ho sparato quattro o cinque volte», mentre sul luogo del delitto furono rinvenuti tredici bossoli, circostanza che alimentò l'ipotesi della presenza di più esecutori; goodreads (https://www.goodreads.com/notes/41736831-operation-gladio/28440635-jos-mar-a-blancowhite/c0835082-842c-42f7-8825-b4fc114719a8) questa resta un'inferenza, non un accertamento.</w:t>
      </w:r>
    </w:p>
    <w:p>
      <w:pPr>
        <w:spacing w:after="120" w:line="276"/>
        <w:jc w:val="both"/>
      </w:pPr>
      <w:r>
        <w:rPr>
          <w:rFonts w:ascii="Barlow Semi Condensed" w:cs="Barlow Semi Condensed" w:eastAsia="Barlow Semi Condensed" w:hAnsi="Barlow Semi Condensed"/>
          <w:sz w:val="24"/>
          <w:szCs w:val="24"/>
        </w:rPr>
        <w:t xml:space="preserve">Condannato per l'omicidio İpekçi, Ağca evase il 25 novembre 1979 dal carcere militare di massima sicurezza di Kartal-Maltepe. NPR (https://www.npr.org/2006/01/20/5164596/turkey-recoils-at-release-of-man-who-shot-pope) Le fonti concordano sul carattere anomalo della fuga: egli uscì, secondo le ricostruzioni pubblicistiche, indossando una divisa militare e passando dall'ingresso, circostanza che la stampa turca dell'epoca giudicò indicativa di complicità interne. Occorre qui la massima cautela: le spiegazioni circa mandanti e reti protettive dietro l'evasione appartengono al terreno delle ipotesi giornalistiche e non a quello dell'accertamento giudiziario, e come tali vengono riportate.</w:t>
      </w:r>
    </w:p>
    <w:p>
      <w:pPr>
        <w:spacing w:after="120" w:line="276"/>
        <w:jc w:val="both"/>
      </w:pPr>
      <w:r>
        <w:rPr>
          <w:rFonts w:ascii="Barlow Semi Condensed" w:cs="Barlow Semi Condensed" w:eastAsia="Barlow Semi Condensed" w:hAnsi="Barlow Semi Condensed"/>
          <w:sz w:val="24"/>
          <w:szCs w:val="24"/>
        </w:rPr>
        <w:t xml:space="preserve">Pochi giorni dopo l'evasione, il 27 novembre 1979, Ağca inviò al quotidiano Milliyet una lettera minatoria nella quale annunciava che avrebbe colpito il pontefice in occasione del viaggio in Turchia, definendo Giovanni Paolo II «il Capo dei crociati». Il testo — ampiamente citato dalla pubblicistica italiana e turca — recita, nella parte riportata: «Le Potenze dell'imperialismo occidentale temono che la Turchia possa costruire una coalizione politica, economica e militare in Medio Oriente con gli altri Paesi islamici fratelli, perciò mandano in Turchia, in questo momento delicato, papa Giovanni Paolo II, il Capo dei crociati. Se questa visita non verrà cancellata, io certamente colpirò il Papa». Il Giardino dei Libri (https://www.ilgiardinodeilibri.it/libri/__attentato-al-papa-elena-hilal-agca-libro.php) La lettera è cronologicamente anteriore di quasi diciotto mesi all'attentato e costituisce, sul piano documentale, il primo collegamento esplicito e datato fra Ağca e il progetto di colpire il papa.</w:t>
      </w:r>
    </w:p>
    <w:p>
      <w:pPr>
        <w:spacing w:after="120" w:line="276"/>
        <w:jc w:val="both"/>
      </w:pPr>
      <w:r>
        <w:rPr>
          <w:rFonts w:ascii="Barlow Semi Condensed" w:cs="Barlow Semi Condensed" w:eastAsia="Barlow Semi Condensed" w:hAnsi="Barlow Semi Condensed"/>
          <w:sz w:val="24"/>
          <w:szCs w:val="24"/>
        </w:rPr>
        <w:t xml:space="preserve">Il viaggio di Giovanni Paolo II in Turchia si svolse regolarmente dal 28 al 30 novembre 1979 e non subì attentati; se ne tratta al Capitolo VII. L'azione contro il pontefice ebbe luogo invece l'anno successivo: il 13 maggio 1981, nel pomeriggio, in piazza San Pietro, durante l'udienza generale, Ağca sparò contro Giovanni Paolo II. Il papa fu gravemente ferito, soccorso e trasportato al policlinico Gemelli, dove fu sottoposto a interventi chirurgici e sopravvisse. Sul numero dei colpi e su alcuni dettagli materiali persistono, nella pubblicistica, divergenze che non incidono sull'accertamento del fatto principale. Il processo italiano di primo grado si tenne con procedura rapida: le fonti concordano sulla conclusione con condanna all'ergastolo, collocandola al 22 luglio 1981 (alcune ricostruzioni indicano l'avvio del dibattimento all'8 luglio 1981 e la sentenza al 22 luglio, CultWeb (https://cultweb.it/cultura/storia/che-fine-ha-fatto-ali-agca-lattentatore-di-giovanni-paolo-ii/) altre riassumono in «tre giorni di processo»). Ağca rinunciò all'appello. Un elemento va isolato con nettezza: le dichiarazioni successive di Ağca — sulla natura solitaria o concertata dell'azione, sui presunti mandanti, sulle piste bulgara e vaticana, fino alle affermazioni degli anni recenti collegate al caso Orlandi Il Giardino dei Libri (https://www.ilgiardinodeilibri.it/libri/__attentato-al-papa-elena-hilal-agca-libro.php) e alle sue autoproclamazioni messianiche — sono, per costante contraddittorietà e ritrattazione, prive di valore di accertamento, e come tali vengono trattate in questa ricognizione, che le registra come fatti pubblici (cioè: che Ağca le abbia rese) ma non come fonti sul merito.</w:t>
      </w:r>
    </w:p>
    <w:p>
      <w:pPr>
        <w:spacing w:after="120" w:line="276"/>
        <w:jc w:val="both"/>
      </w:pPr>
      <w:r>
        <w:rPr>
          <w:rFonts w:ascii="Barlow Semi Condensed" w:cs="Barlow Semi Condensed" w:eastAsia="Barlow Semi Condensed" w:hAnsi="Barlow Semi Condensed"/>
          <w:sz w:val="24"/>
          <w:szCs w:val="24"/>
        </w:rPr>
        <w:t xml:space="preserve">CAPITOLO IV — La cosiddetta pista bulgara: istruttoria, processo, assoluzioni e valutazioni di intelligence</w:t>
      </w:r>
    </w:p>
    <w:p>
      <w:pPr>
        <w:spacing w:after="120" w:line="276"/>
        <w:jc w:val="both"/>
      </w:pPr>
      <w:r>
        <w:rPr>
          <w:rFonts w:ascii="Barlow Semi Condensed" w:cs="Barlow Semi Condensed" w:eastAsia="Barlow Semi Condensed" w:hAnsi="Barlow Semi Condensed"/>
          <w:sz w:val="24"/>
          <w:szCs w:val="24"/>
        </w:rPr>
        <w:t xml:space="preserve">La qualificazione della «pista bulgara» come ipotesi giudizialmente non provata è il cardine di questo capitolo e va ribadita in apertura. La sequenza documentale è la seguente. Dopo la condanna di Ağca del 1981, la Procura di Roma proseguì le indagini per accertare l'eventuale esistenza di mandanti; il supplemento istruttorio fu affidato al giudice istruttore Ilario Martella. Nell'agosto 1982 la giornalista statunitense Claire Sterling, sul Reader's Digest, sostenne che Ağca avesse agito su mandato dei servizi bulgari e sovietici: è in questa sede pubblicistica che, come registrano concordemente le ricostruzioni italiane, emerse per la prima volta la «pista bulgara». Il 25 novembre 1982 fu arrestato a Roma Sergej Ivanov Antonov, rappresentante nella capitale italiana della compagnia aerea di bandiera bulgara Balkan Airlines, indicato da Ağca come uno dei complici; le fonti lo descrivono come funzionario della compagnia, non come diplomatico, rimasto a Roma dopo l'attentato fino all'arresto. Insieme ad Antonov furono coinvolti i bulgari Todor Ajvazov e Jelio Vassilev e alcuni cittadini turchi, fra cui Musa Serdar Çelebi, Omar Bağci, Oral Çelik e Bekir Çelenk.</w:t>
      </w:r>
    </w:p>
    <w:p>
      <w:pPr>
        <w:spacing w:after="120" w:line="276"/>
        <w:jc w:val="both"/>
      </w:pPr>
      <w:r>
        <w:rPr>
          <w:rFonts w:ascii="Barlow Semi Condensed" w:cs="Barlow Semi Condensed" w:eastAsia="Barlow Semi Condensed" w:hAnsi="Barlow Semi Condensed"/>
          <w:sz w:val="24"/>
          <w:szCs w:val="24"/>
        </w:rPr>
        <w:t xml:space="preserve">Il processo davanti alla Corte d'assise di Roma iniziò il 28 maggio 1985 e si concluse il 29 marzo 1986 con l'assoluzione per insufficienza di prove di Antonov, Vassilev, Ajvazov, Çelebi e Çelik; furono invece condannati Omar Bağci a tre anni e due mesi e lo stesso Ağca a un anno per detenzione di arma; Bekir Çelenk era nel frattempo deceduto. La sentenza fu confermata in appello il 19 dicembre 1987. È essenziale l'annotazione giuridica, correttamente sottolineata anche dalla pubblicistica specializzata: nell'ordinamento allora vigente l'assoluzione «per insufficienza di prove» era distinta dall'accertamento dell'innocenza, e significava che il giudice non aveva raggiunto la certezza necessaria per condannare, non che avesse provato l'estraneità degli imputati ai fatti. Questa distinzione, tuttavia, non trasforma un'ipotesi non provata in un fatto: la responsabilità bulgaro-sovietica non fu giudizialmente accertata, e ogni tesi che la presenti come acquisita è, allo stato delle sentenze, non sostenuta.</w:t>
      </w:r>
    </w:p>
    <w:p>
      <w:pPr>
        <w:spacing w:after="120" w:line="276"/>
        <w:jc w:val="both"/>
      </w:pPr>
      <w:r>
        <w:rPr>
          <w:rFonts w:ascii="Barlow Semi Condensed" w:cs="Barlow Semi Condensed" w:eastAsia="Barlow Semi Condensed" w:hAnsi="Barlow Semi Condensed"/>
          <w:sz w:val="24"/>
          <w:szCs w:val="24"/>
        </w:rPr>
        <w:t xml:space="preserve">Le valutazioni desecretate dell'intelligence statunitense convergono, in modo notevole, con la prudenza delle sentenze italiane. Nella raccolta Foreign Relations of the United States, 1981-1988, volume X, il documento 370 riproduce un memorandum del direttore della Central Intelligence Agency William J. Casey e l'allegata analisi dell'Agenzia intitolata «Bulgarian Complicity in the Papal Assassination Attempt», la cui introduzione afferma testualmente: «We are unable at this juncture to develop a clear-cut, conclusive picture of Bulgarian involvement with would-be papal assassin Mehmet Ali Agca». state (https://history.state.gov/historicaldocuments/frus1981-88v10/d370) state (https://history.state.gov/historicaldocuments/frus1981-88v10/d370) Lo stesso documento riporta la valutazione dell'ambasciata statunitense a Sofia secondo cui sarebbe stato difficile credere a un coinvolgimento diretto dei servizi bulgari «perché sarebbe stato così stupido», pur precisando che tale considerazione non escludeva la possibilità di un coinvolgimento ufficiale. Il documento 376 del medesimo volume, un memorandum preparato dalla CIA sull'«Assessment of Responsibility for Papal Assassination Attempt», contiene la conclusione «On Balance» secondo cui «gran parte della tesi del Procuratore generale italiano che allega la complicità del blocco orientale nell'attacco al Papa appare dipendere unicamente dalla testimonianza di Agca, e questi non è sempre stato veritiero o coerente nel periodo della sua detenzione», aggiungendo che, anche qualora Ağca avesse avuto contatti con i bulgari accusati, questi avrebbero potuto riguardare stupefacenti o traffici d'armi «grigie» piuttosto che una cospirazione per uccidere il papa. state (https://history.state.gov/historicaldocuments/frus1981-88v10/d376) La lettera di accompagnamento redatta in ambito Consiglio per la sicurezza nazionale osservava che «la CIA ha pochissime prove in un senso o nell'altro». state (https://history.state.gov/historicaldocuments/frus1981-88v10/d376) Il documento 377, un'Intelligence Assessment del dicembre 1984 dell'Office of European Analysis, dichiara espressamente di non affrontare «la questione ultima della colpevolezza o innocenza della Bulgaria» state (https://history.state.gov/historicaldocuments/frus1981-88v10/d377) e riconosce che il processo italiano avrebbe potuto condannare Antonov «unicamente sulla base della testimonianza di Agca».</w:t>
      </w:r>
    </w:p>
    <w:p>
      <w:pPr>
        <w:spacing w:after="120" w:line="276"/>
        <w:jc w:val="both"/>
      </w:pPr>
      <w:r>
        <w:rPr>
          <w:rFonts w:ascii="Barlow Semi Condensed" w:cs="Barlow Semi Condensed" w:eastAsia="Barlow Semi Condensed" w:hAnsi="Barlow Semi Condensed"/>
          <w:sz w:val="24"/>
          <w:szCs w:val="24"/>
        </w:rPr>
        <w:t xml:space="preserve">Va inoltre segnalato, per completezza e con la dovuta qualificazione, il contrasto interno all'apparato statunitense fra queste valutazioni analitiche prudenti e la linea più assertiva propria di alcuni documenti di livello politico-esecutivo, e le successive dichiarazioni pubbliche dell'ex analista della CIA Melvin A. Goodman. Goodman, già responsabile della divisione sugli affari sovietici dell'Agenzia, testimoniò davanti alla Commissione ristretta del Senato sull'intelligence — nel contesto delle audizioni di conferma di Robert Gates a direttore della CIA, collocabili all'ottobre 1991 (alcune fonti secondarie indicano il 1990, ma il verbale ufficiale del Senato colloca la sessione sulla «politicizzazione» dell'analisi al 1° ottobre 1991) — sostenendo che l'Agenzia non disponeva di prove che collegassero il KGB o i bulgari al complotto e che vi erano state pressioni interne per orientare i rapporti verso la tesi del complotto sovietico. Queste dichiarazioni, di per sé, non provano né smentiscono alcunché sul merito dei mandanti: attestano soltanto lo stato delle conoscenze e delle tensioni interne all'intelligence statunitense, e come tali vanno lette. Nel loro insieme, i documenti desecretati non affermano come provata la responsabilità bulgaro-sovietica; anzi, ne segnalano ripetutamente la fragilità probatoria, riconducibile alla dipendenza dalle dichiarazioni di un teste inattendibile.</w:t>
      </w:r>
    </w:p>
    <w:p>
      <w:pPr>
        <w:spacing w:after="120" w:line="276"/>
        <w:jc w:val="both"/>
      </w:pPr>
      <w:r>
        <w:rPr>
          <w:rFonts w:ascii="Barlow Semi Condensed" w:cs="Barlow Semi Condensed" w:eastAsia="Barlow Semi Condensed" w:hAnsi="Barlow Semi Condensed"/>
          <w:sz w:val="24"/>
          <w:szCs w:val="24"/>
        </w:rPr>
        <w:t xml:space="preserve">CAPITOLO V — I Lupi Grigi, il Milliyetçi Hareket Partisi e la questione della loro natura</w:t>
      </w:r>
    </w:p>
    <w:p>
      <w:pPr>
        <w:spacing w:after="120" w:line="276"/>
        <w:jc w:val="both"/>
      </w:pPr>
      <w:r>
        <w:rPr>
          <w:rFonts w:ascii="Barlow Semi Condensed" w:cs="Barlow Semi Condensed" w:eastAsia="Barlow Semi Condensed" w:hAnsi="Barlow Semi Condensed"/>
          <w:sz w:val="24"/>
          <w:szCs w:val="24"/>
        </w:rPr>
        <w:t xml:space="preserve">I Lupi Grigi (in turco Bozkurtlar), noti ufficialmente come Ülkücüler («idealisti») e organizzati nei focolari Ülkü Ocakları, sono un movimento del nazionalismo turco radicale la cui matrice ideologica è il panturchismo o turanismo. La voce enciclopedica italiana di riferimento e la pubblicistica specializzata li descrivono come collegati al Milliyetçi Hareket Partisi (Partito del movimento nazionalista, MHP) fondato dal colonnello Alparslan Türkeş nel 1969, di cui gli Ülkü Ocakları costituivano la sezione giovanile e, secondo numerose ricostruzioni, l'ala paramilitare. Le fonti convergono nell'attribuire al movimento un'attività violenta rilevante negli anni Settanta, con vittime numerose nel decennio che precedette il colpo di Stato militare del generale Kenan Evren del settembre 1980, il quale mise al bando tanto i Lupi Grigi quanto l'MHP. Sulla natura e sui finanziamenti del movimento le fonti divergono e sono in parte di carattere pubblicistico o di testimonianza: si menzionano rapporti con ambienti dell'anticomunismo occidentale in funzione antisovietica, e — dopo la messa al bando e la diaspora dei quadri in Germania, Francia e Austria — un coinvolgimento in traffici illeciti; lo storico tedesco Nikolaus Brauns è citato per la tesi dell'insediamento in Germania favorito da apparati locali in chiave anticomunista. Tutte queste attribuzioni vanno prese come ipotesi documentate in modo disuguale, non come accertamenti.</w:t>
      </w:r>
    </w:p>
    <w:p>
      <w:pPr>
        <w:spacing w:after="120" w:line="276"/>
        <w:jc w:val="both"/>
      </w:pPr>
      <w:r>
        <w:rPr>
          <w:rFonts w:ascii="Barlow Semi Condensed" w:cs="Barlow Semi Condensed" w:eastAsia="Barlow Semi Condensed" w:hAnsi="Barlow Semi Condensed"/>
          <w:sz w:val="24"/>
          <w:szCs w:val="24"/>
        </w:rPr>
        <w:t xml:space="preserve">Il punto dirimente, sul quale la disciplina di metodo è vincolante, è il seguente: l'appartenenza — o la contiguità — di Mehmet Ali Ağca all'ambiente ülkücü, ampiamente riferita dalle fonti, non costituisce prova di una condotta dell'organizzazione in quanto tale rispetto all'attentato del 1981. Le fonti giudiziarie non hanno accertato un mandato organizzativo dei Lupi Grigi per l'attacco al pontefice; la stessa pubblicistica che collega Ağca ai Lupi Grigi lo fa per lo più sul piano biografico e ambientale. Trattare la militanza individuale come prova di responsabilità collettiva sarebbe un salto logico che questa ricognizione rifiuta espressamente, coerentemente con il vincolo secondo cui la comunanza di ambiente istituzionale non equivale a convergenza di obiettivo documentata. Analogamente, la circostanza che Oral Çelik — indicato come complice nell'omicidio İpekçi e negli sviluppi successivi — appartenga allo stesso ambiente non prova, di per sé, la natura degli eventuali mandanti dell'attentato del 1981, rimasti giudizialmente non accertati.</w:t>
      </w:r>
    </w:p>
    <w:p>
      <w:pPr>
        <w:spacing w:after="120" w:line="276"/>
        <w:jc w:val="both"/>
      </w:pPr>
      <w:r>
        <w:rPr>
          <w:rFonts w:ascii="Barlow Semi Condensed" w:cs="Barlow Semi Condensed" w:eastAsia="Barlow Semi Condensed" w:hAnsi="Barlow Semi Condensed"/>
          <w:sz w:val="24"/>
          <w:szCs w:val="24"/>
        </w:rPr>
        <w:t xml:space="preserve">CAPITOLO VI — Il decennio turco di Angelo Roncalli (1935-1944)</w:t>
      </w:r>
    </w:p>
    <w:p>
      <w:pPr>
        <w:spacing w:after="120" w:line="276"/>
        <w:jc w:val="both"/>
      </w:pPr>
      <w:r>
        <w:rPr>
          <w:rFonts w:ascii="Barlow Semi Condensed" w:cs="Barlow Semi Condensed" w:eastAsia="Barlow Semi Condensed" w:hAnsi="Barlow Semi Condensed"/>
          <w:sz w:val="24"/>
          <w:szCs w:val="24"/>
        </w:rPr>
        <w:t xml:space="preserve">Il decennio turco di Angelo Giuseppe Roncalli, futuro Giovanni XXIII, è la radice storica riconosciuta del rapporto contemporaneo fra Santa Sede e Turchia e la matrice — sul piano della memoria e delle relazioni personali e istituzionali — dell'istituzione delle relazioni diplomatiche del 1960. Sulla data della nomina le fonti divergono, e la divergenza va mantenuta: la biografia diffusa da storiologia.it indica la nomina a delegato apostolico in Turchia al 24 novembre 1934; Storiologia (https://www.storiologia.it/biografie/roncalli.htm) altre fonti, fra cui la scheda del Comune di Padova (padovanet.it), collocano al 1934 la nomina ad arcivescovo titolare di Mesembria con l'incarico di delegato apostolico in Turchia e Grecia e di amministratore apostolico del Vicariato di Istanbul; lo studio di riferimento in lingua inglese, l'articolo di The Journal of Ecclesiastical History del gennaio 1989 (vol. 40, n. 1, pp. 74-99, DOI 10.1017/S0022046900035430), parla di delegato apostolico «from January 1935 to December 1944». Concordano invece le fonti sull'arrivo a Istanbul, proveniente da Sofia, il 5 gennaio 1935, Gariwo (https://it.gariwo.net/dl/202005180612_A.pdf) e sulla conclusione dell'incarico alla fine del 1944, con la partenza per la nunziatura di Francia (il 27 dicembre 1944 secondo storiologia.it, che riferisce anche del telegramma cifrato del cardinal Tardini ricevuto il 6 dicembre). Storiologia (https://www.storiologia.it/biografie/roncalli.htm)</w:t>
      </w:r>
    </w:p>
    <w:p>
      <w:pPr>
        <w:spacing w:after="120" w:line="276"/>
        <w:jc w:val="both"/>
      </w:pPr>
      <w:r>
        <w:rPr>
          <w:rFonts w:ascii="Barlow Semi Condensed" w:cs="Barlow Semi Condensed" w:eastAsia="Barlow Semi Condensed" w:hAnsi="Barlow Semi Condensed"/>
          <w:sz w:val="24"/>
          <w:szCs w:val="24"/>
        </w:rPr>
        <w:t xml:space="preserve">La condizione della comunità cattolica di Istanbul in quegli anni è descritta concordemente come esigua e frazionata nei diversi riti: le fonti oscillano fra le trentamila unità «al suo arrivo nel '35» indicate da Terrasanta.net Terrasanta (https://www.terrasanta.net/2014/03/il-decennio-turco-di-monsignor-roncalli/) e le trentacinquemila indicate da ladiscussione.com, La Discussione (https://ladiscussione.com/130659/cultura/roncalli-a-istanbul/) con tendenza alla diminuzione nel tempo. Roncalli operò in un contesto segnato dalla laicizzazione kemalista: la Repubblica di Atatürk non riconosceva ufficialmente la rappresentanza pontificia, sicché egli si muoveva con discrezione, presentandosi agli uffici di polizia per ottenere i documenti. La Discussione (https://ladiscussione.com/130659/cultura/roncalli-a-istanbul/) Fra le sue scelte pastorali più innovative e più documentate vi è l'introduzione della lingua turca nella liturgia e nelle comunicazioni della diocesi: la Comunità di Sant'Egidio, per voce di Valeria Martano curatrice dei suoi diari, colloca l'iniziativa «fin dal 1935»; Zenit (https://it.zenit.org/2010/12/01/il-metodo-roncalli-nell-incontro-tra-oriente-e-occidente/) ladiscussione.com la data «già dal gennaio del 1936» per preghiere e canti; La Discussione (https://ladiscussione.com/130659/cultura/roncalli-a-istanbul/) terrasanta.net riferisce della lettura del Vangelo in turco nel 1938. Su questa cronologia interna le fonti dunque divergono e la divergenza è qui mantenuta. L'iniziativa suscitò consensi nell'ambiente musulmano e contestazioni nella comunità cattolica occidentale, soprattutto francese, che si considerava prima destinataria delle cure pastorali. Quando una legge turca proibì l'uso dell'abito religioso in pubblico, Roncalli si adeguò, annotando con nota ironica — riportata da zenit.org — che il provvedimento favoriva i contatti con i capi religiosi ortodossi e musulmani. Zenit (https://it.zenit.org/2010/12/01/il-metodo-roncalli-nell-incontro-tra-oriente-e-occidente/)</w:t>
      </w:r>
    </w:p>
    <w:p>
      <w:pPr>
        <w:spacing w:after="120" w:line="276"/>
        <w:jc w:val="both"/>
      </w:pPr>
      <w:r>
        <w:rPr>
          <w:rFonts w:ascii="Barlow Semi Condensed" w:cs="Barlow Semi Condensed" w:eastAsia="Barlow Semi Condensed" w:hAnsi="Barlow Semi Condensed"/>
          <w:sz w:val="24"/>
          <w:szCs w:val="24"/>
        </w:rPr>
        <w:t xml:space="preserve">Il capitolo più noto del decennio è l'assistenza ai profughi ebrei durante la Seconda guerra mondiale. Le fonti concordano nel valore dell'azione e nel suo carattere personale e riservato; la cifra ricorrente è quella di circa venticinquemila ebrei «concretamente aiutati», come riportano storiologia.it e altre fonti, con la consueta cautela che simili stime comportano. Roncalli si avvalse dei suoi rapporti con l'ambasciatore tedesco a Istanbul Franz von Papen, cattolico ed ex cancelliere del Reich: l'Avvenire (avvenire.it), citando testimonianze fra cui quella resa da von Papen al processo di Norimberga, riferisce che migliaia di ebrei furono salvati anche grazie alle formalità amministrative alle quali l'ambasciatore finì per piegarsi sotto la pressione di Roncalli. La ricerca condotta dalla Fondazione Wallenberg e dal Comitato Roncalli è citata per l'invio di certificati e visti di transito, con interventi estesi a ebrei di Slovacchia, Bulgaria e Ungheria. Si segnala, quale limite documentale rilevante e già indicato da Rinaldo Marmara, che la documentazione del quinquennio 1940-1945 non è pienamente consultabile, circostanza che sarà ripresa al Capitolo XII. Il rilievo di questa stagione per i rapporti successivi è attestato dalla memoria pubblica turca — la «Papa Roncalli Sokak» a Istanbul, la statua inaugurata da Benedetto XVI — e dalla stessa Santa Sede, che nel discorso di Paolo VI al nuovo ambasciatore di Turchia del 19 gennaio 1967 (vatican.va) collega esplicitamente l'avvio delle relazioni diplomatiche al pontificato di Giovanni XXIII.</w:t>
      </w:r>
    </w:p>
    <w:p>
      <w:pPr>
        <w:spacing w:after="120" w:line="276"/>
        <w:jc w:val="both"/>
      </w:pPr>
      <w:r>
        <w:rPr>
          <w:rFonts w:ascii="Barlow Semi Condensed" w:cs="Barlow Semi Condensed" w:eastAsia="Barlow Semi Condensed" w:hAnsi="Barlow Semi Condensed"/>
          <w:sz w:val="24"/>
          <w:szCs w:val="24"/>
        </w:rPr>
        <w:t xml:space="preserve">CAPITOLO VII — La visita di Giovanni Paolo II in Turchia (28-30 novembre 1979)</w:t>
      </w:r>
    </w:p>
    <w:p>
      <w:pPr>
        <w:spacing w:after="120" w:line="276"/>
        <w:jc w:val="both"/>
      </w:pPr>
      <w:r>
        <w:rPr>
          <w:rFonts w:ascii="Barlow Semi Condensed" w:cs="Barlow Semi Condensed" w:eastAsia="Barlow Semi Condensed" w:hAnsi="Barlow Semi Condensed"/>
          <w:sz w:val="24"/>
          <w:szCs w:val="24"/>
        </w:rPr>
        <w:t xml:space="preserve">Il viaggio apostolico di Giovanni Paolo II in Turchia dal 28 al 30 novembre 1979 è documentato in modo esaustivo dalle fonti ufficiali della Santa Sede (vatican.va). Nel discorso alla partenza del 28 novembre 1979 il pontefice dichiarò di recarsi in Turchia «seguendo le orme del mio Predecessore Paolo VI che alla fine del mese di luglio del 1967 andò in Turchia», per continuare lo sforzo verso l'unità dei cristiani e per mostrare «l'importanza che la Chiesa cattolica dà al rapporto con le venerabili Chiese ortodosse alla vigilia dell'inizio di un dialogo teologico». Il programma prevedeva l'omaggio alle autorità della Repubblica ad Ankara, l'incontro a Istanbul con il patriarca ecumenico Dimitrios I e la partecipazione alle celebrazioni per la festa di Sant'Andrea. Ad Ankara il papa si rivolse alla comunità cattolica ricordandone la condizione di «piccola minoranza in queste terre»; Vatican News (https://www.vaticannews.va/it/papa/news/2025-11/viaggi-apostolici-papi-turchia.html) a Istanbul, il 29 novembre, celebrò nella Cattedrale dello Spirito Santo e incontrò anche il patriarca armeno Shnorhk Kalustian e la comunità armeno-cattolica.</w:t>
      </w:r>
    </w:p>
    <w:p>
      <w:pPr>
        <w:spacing w:after="120" w:line="276"/>
        <w:jc w:val="both"/>
      </w:pPr>
      <w:r>
        <w:rPr>
          <w:rFonts w:ascii="Barlow Semi Condensed" w:cs="Barlow Semi Condensed" w:eastAsia="Barlow Semi Condensed" w:hAnsi="Barlow Semi Condensed"/>
          <w:sz w:val="24"/>
          <w:szCs w:val="24"/>
        </w:rPr>
        <w:t xml:space="preserve">Il momento culminante fu, il 29 e 30 novembre, l'incontro con Dimitrios I al Fanar. Nel discorso del 29 novembre 1979 Giovanni Paolo II salutò il patriarca e il Santo Sinodo e, come egli stesso avrebbe rievocato nell'omelia del 6 dicembre 1987 (vatican.va), poté allora «annunciare insieme che l'inizio del dialogo teologico tra la Chiesa cattolica e la Chiesa ortodossa era imminente» e rendere pubblici i nomi dei membri della Commissione mista incaricata del dialogo. Il 30 novembre 1979, in occasione della festa di Sant'Andrea, fu dunque proclamato l'avvio del dialogo teologico ufficiale cattolico-ortodosso; il discorso di conclusione del pellegrinaggio, sempre del 30 novembre, ringrazia «il Signor Ministro degli Interni, Onorevole Virginio Rognoni» — presente in rappresentanza del governo italiano — e le autorità turche. Va rilevato, sul piano della memoria del rapporto, che il papa richiamò espressamente l'eredità di Paolo VI e di Atenagora I e il loro desiderio di «bere nello stesso calice», ancora irrealizzato per l'impossibilità della concelebrazione, definita «il segno più doloroso del danno prodotto dalla divisione».</w:t>
      </w:r>
    </w:p>
    <w:p>
      <w:pPr>
        <w:spacing w:after="120" w:line="276"/>
        <w:jc w:val="both"/>
      </w:pPr>
      <w:r>
        <w:rPr>
          <w:rFonts w:ascii="Barlow Semi Condensed" w:cs="Barlow Semi Condensed" w:eastAsia="Barlow Semi Condensed" w:hAnsi="Barlow Semi Condensed"/>
          <w:sz w:val="24"/>
          <w:szCs w:val="24"/>
        </w:rPr>
        <w:t xml:space="preserve">Il collegamento fra questo capitolo e il nodo prioritario è di natura cronologica e va trattato con la massima cautela metodologica: la lettera minatoria di Ağca del 27 novembre 1979 fu inviata proprio in occasione di questo viaggio, che tuttavia si svolse senza incidenti. La contemporaneità fra la minaccia e il viaggio è un fatto; essa non stabilisce di per sé alcun nesso causale con l'attentato del 1981, avvenuto a diciotto mesi di distanza e in altro luogo. La minaccia del 1979 e l'attentato del 1981 sono legati dalla persona dell'attentatore e dalla continuità del suo proposito dichiarato — come Ağca stesso avrebbe poi affermato rinviando alle «motivazioni» espresse nel 1979 — ma la ricostruzione delle cause e degli eventuali mandanti dell'attacco del 1981 resta quella, giudizialmente non conclusiva, esposta al Capitolo IV.</w:t>
      </w:r>
    </w:p>
    <w:p>
      <w:pPr>
        <w:spacing w:after="120" w:line="276"/>
        <w:jc w:val="both"/>
      </w:pPr>
      <w:r>
        <w:rPr>
          <w:rFonts w:ascii="Barlow Semi Condensed" w:cs="Barlow Semi Condensed" w:eastAsia="Barlow Semi Condensed" w:hAnsi="Barlow Semi Condensed"/>
          <w:sz w:val="24"/>
          <w:szCs w:val="24"/>
        </w:rPr>
        <w:t xml:space="preserve">CAPITOLO VIII — Il patriarcato ecumenico e il dialogo cattolico-ortodosso (1964-1985)</w:t>
      </w:r>
    </w:p>
    <w:p>
      <w:pPr>
        <w:spacing w:after="120" w:line="276"/>
        <w:jc w:val="both"/>
      </w:pPr>
      <w:r>
        <w:rPr>
          <w:rFonts w:ascii="Barlow Semi Condensed" w:cs="Barlow Semi Condensed" w:eastAsia="Barlow Semi Condensed" w:hAnsi="Barlow Semi Condensed"/>
          <w:sz w:val="24"/>
          <w:szCs w:val="24"/>
        </w:rPr>
        <w:t xml:space="preserve">Il dialogo cattolico-ortodosso costituisce, insieme al decennio roncalliano, la spina dorsale positiva del rapporto Santa Sede-Turchia nel Novecento, poiché il Patriarcato ecumenico ha sede a Istanbul. La cronologia è saldamente documentata dalle fonti ufficiali. L'incontro di Gerusalemme fra Paolo VI e il patriarca Atenagora I ebbe luogo il 5 gennaio 1964 sul Monte degli Ulivi: fu, come sintetizza Vatican News, il primo atto ufficiale congiunto delle due Chiese dallo scisma del 1054. La Dichiarazione comune cattolico-ortodossa fu letta simultaneamente il 7 dicembre 1965, nella sessione solenne del Concilio Vaticano II a Roma e nella cattedrale patriarcale del Fanar a Istanbul: essa precisò che le scomuniche del 1054 fra Leone IX e Michele Cerulario riguardavano le persone e non le Chiese, e dispose di «cancellare dalla memoria e dal seno della Chiesa» quelle sentenze. Il percorso preparatorio è documentato: nell'aprile 1965 una delegazione romana composta dai cardinali Willebrands e Bea si recò a Istanbul; il 9 ottobre 1965, durante l'udienza al metropolita Emilianos Timiadis, fu decisa la costituzione di una commissione mista (orientecristiano.it).</w:t>
      </w:r>
    </w:p>
    <w:p>
      <w:pPr>
        <w:spacing w:after="120" w:line="276"/>
        <w:jc w:val="both"/>
      </w:pPr>
      <w:r>
        <w:rPr>
          <w:rFonts w:ascii="Barlow Semi Condensed" w:cs="Barlow Semi Condensed" w:eastAsia="Barlow Semi Condensed" w:hAnsi="Barlow Semi Condensed"/>
          <w:sz w:val="24"/>
          <w:szCs w:val="24"/>
        </w:rPr>
        <w:t xml:space="preserve">Seguirono le visite reciproche: Paolo VI si recò a Istanbul, Efeso e Smirne dal 25 al 26 luglio 1967, rivedendo Atenagora nella chiesa patriarcale di San Giorgio il 25 luglio; il 26 ottobre 1967 (una fonte scrive «ottobre 1967») Atenagora giunse a Roma, con solenne celebrazione in San Pietro. Atenagora I morì nel luglio 1972 — sul giorno preciso le fonti già acquisite divergono fra il 6 e il 7 luglio, divergenza qui mantenuta — e gli succedette Dimitrios I. Sotto il pontificato di Giovanni Paolo II, come esposto al Capitolo VII, l'incontro al Fanar del novembre 1979 avviò il dialogo teologico. La Commissione mista internazionale per il dialogo teologico tra la Chiesa cattolica e la Chiesa ortodossa tenne la prima sessione plenaria nel 1980 nelle isole greche di Patmos e Rodi: Diocesichieti (https://www.diocesichieti.it/sessione-plenaria-per-il-dialogo-teologico-tra-la-chiesa-cattolica-e-le-chiese-ortodosse/) l'Osservatore Romano ne precisa le date, dal 29 maggio al 4 giugno 1980, con inizio a Patmos; L'Osservatore Romano (https://www.osservatoreromano.va/it/news/2020-11/quo-273/dialogo-sulla-chiesa.html) già nella sessione inaugurale, come ricorda un intervento pubblicato dal CCEE, alcuni delegati ortodossi obiettarono alla presenza dei rappresentanti delle Chiese cattoliche orientali. Ccee (https://www.ccee.eu/wp-content/uploads/sites/2/2019/09/Intervento-Rev.-Bouwen.pdf) Il primo frutto documentale del dialogo fu, come ricordò Giovanni Paolo II nel discorso al Sacro Collegio del 28 giugno 1985 (vatican.va), «un documento redatto in comune sul mistero della Chiesa e dell'Eucaristia alla luce del mistero della Santissima Trinità».</w:t>
      </w:r>
    </w:p>
    <w:p>
      <w:pPr>
        <w:spacing w:after="120" w:line="276"/>
        <w:jc w:val="both"/>
      </w:pPr>
      <w:r>
        <w:rPr>
          <w:rFonts w:ascii="Barlow Semi Condensed" w:cs="Barlow Semi Condensed" w:eastAsia="Barlow Semi Condensed" w:hAnsi="Barlow Semi Condensed"/>
          <w:sz w:val="24"/>
          <w:szCs w:val="24"/>
        </w:rPr>
        <w:t xml:space="preserve">Accanto a questa cronologia ecumenica va collocata la condizione del Patriarcato nell'ordinamento turco, che ne segna il limite strutturale e collega questo capitolo alla questione delle minoranze. Il governo turco richiede che il patriarca ecumenico e i membri del Santo Sinodo siano cittadini turchi, requisito che numerose fonti — fra cui gli interventi in sede OSCE ripresi da lafiaccola.it — qualificano come interferenza inaccettabile con il processo elettorale interno del Patriarcato. La formazione del clero ortodosso resta compromessa dalla chiusura della Scuola teologica di Halki, di cui si tratta al Capitolo IX. Nel periodo qui considerato (fino al 1985) la questione di Halki era già aperta ma non risolta, e non risulta dalle fonti reperite che essa sia stata oggetto di una trattazione formale nelle sedi del dialogo teologico, che manteneva un carattere dottrinale e non giurisdizionale; questa è una lacuna che il capitolo dichiara e che andrebbe verificata negli archivi del Patriarcato e della Segreteria di Stato.</w:t>
      </w:r>
    </w:p>
    <w:p>
      <w:pPr>
        <w:spacing w:after="120" w:line="276"/>
        <w:jc w:val="both"/>
      </w:pPr>
      <w:r>
        <w:rPr>
          <w:rFonts w:ascii="Barlow Semi Condensed" w:cs="Barlow Semi Condensed" w:eastAsia="Barlow Semi Condensed" w:hAnsi="Barlow Semi Condensed"/>
          <w:sz w:val="24"/>
          <w:szCs w:val="24"/>
        </w:rPr>
        <w:t xml:space="preserve">CAPITOLO IX — Le comunità cattoliche di Turchia, il loro statuto e il Trattato di Losanna</w:t>
      </w:r>
    </w:p>
    <w:p>
      <w:pPr>
        <w:spacing w:after="120" w:line="276"/>
        <w:jc w:val="both"/>
      </w:pPr>
      <w:r>
        <w:rPr>
          <w:rFonts w:ascii="Barlow Semi Condensed" w:cs="Barlow Semi Condensed" w:eastAsia="Barlow Semi Condensed" w:hAnsi="Barlow Semi Condensed"/>
          <w:sz w:val="24"/>
          <w:szCs w:val="24"/>
        </w:rPr>
        <w:t xml:space="preserve">Lo statuto giuridico delle comunità cattoliche di Turchia è determinato in modo decisivo, e in senso restrittivo, dal Trattato di Losanna del 24 luglio 1923, firmato fra la Turchia e le potenze dell'Intesa. Il trattato pose fine alla guerra greco-turca, ridisegnò i confini stabiliti dal Trattato di Sèvres, sancì la rinuncia turca a Cipro e ad altri territori e legittimò lo scambio di popolazioni fra Grecia e Turchia. La sezione dedicata ai diritti delle minoranze è contenuta nella parte prima, sezione terza, articoli 37-45. L'interpretazione consolidata dalle autorità turche riconosce come minoranze non musulmane soltanto i greco-ortodossi, gli armeni e gli ebrei; ne restano esclusi i cattolici latini, i caldei e i siro-cattolici. La conseguenza pratica di tale esclusione è documentata con nettezza dalla pubblicistica confessionale: come riferisce funerali.org a proposito del decreto turco di restituzione dei beni alle fondazioni religiose, «nulla tornerà invece ai cattolici latini, perché questi non compaiono tra le minoranze religiose indicate nel Trattato di Losanna del 1923», Funerali (https://www.funerali.org/cimiteri/in-turchia-restituiti-tra-laltro-alle-minoranze-religiose-la-gestione-di-loro-cimiteri-2-42724.html) mentre benefici della restituzione risultavano i greco-ortodossi, gli armeni, i caldei cattolici e gli ebrei.</w:t>
      </w:r>
    </w:p>
    <w:p>
      <w:pPr>
        <w:spacing w:after="120" w:line="276"/>
        <w:jc w:val="both"/>
      </w:pPr>
      <w:r>
        <w:rPr>
          <w:rFonts w:ascii="Barlow Semi Condensed" w:cs="Barlow Semi Condensed" w:eastAsia="Barlow Semi Condensed" w:hAnsi="Barlow Semi Condensed"/>
          <w:sz w:val="24"/>
          <w:szCs w:val="24"/>
        </w:rPr>
        <w:t xml:space="preserve">L'articolazione della Chiesa cattolica in Turchia comprende, secondo le fonti ufficiali e la pubblicistica confessionale, il Vicariato apostolico di Istanbul, l'Arcidiocesi di Smirne (İzmir), il Vicariato apostolico dell'Anatolia, l'Arcieparchia armeno-cattolica di Istanbul, le comunità caldea e siro-cattolica e l'Esarcato apostolico per i cattolici di rito bizantino. Sulle consistenze numeriche le fonti divergono e la divergenza è qui mantenuta, coerentemente con l'acquisizione anteriore che oscillava fra venticinquemila-trentamila e sessantamila fedeli: SettimanaNews, riferendosi al rito latino, indica per epoca recente oltre 1.300 fedeli a Smirne, quindicimila nel Vicariato di Istanbul e circa 1.500 nell'Anatolia; SettimanaNews (https://www.settimananews.it/ecumenismo-dialogo/chiesa-latina-turchia-dal-dentro/) la voce enciclopedica sulle minoranze in Turchia stima i cattolici complessivi «circa 35.000, pari allo 0,05% della popolazione», con fedeli di rito latino, bizantino, armeno e caldeo. Alegsaonline (https://it.alegsaonline.com/art/65294) Wikipedia in italiano ricorda che nel XIX secolo, grazie all'influsso francese, quattro Chiese cattoliche — armeno-cattolica, caldea, greco-melchita e sira — avevano ottenuto sotto gli Ottomani lo statuto di millet; la rivoluzione kemalista, sopprimendo il sistema del millet, rimosse quella tutela.</w:t>
      </w:r>
    </w:p>
    <w:p>
      <w:pPr>
        <w:spacing w:after="120" w:line="276"/>
        <w:jc w:val="both"/>
      </w:pPr>
      <w:r>
        <w:rPr>
          <w:rFonts w:ascii="Barlow Semi Condensed" w:cs="Barlow Semi Condensed" w:eastAsia="Barlow Semi Condensed" w:hAnsi="Barlow Semi Condensed"/>
          <w:sz w:val="24"/>
          <w:szCs w:val="24"/>
        </w:rPr>
        <w:t xml:space="preserve">Il regime giuridico delle fondazioni (vakıf) e la questione delle proprietà ecclesiastiche costituiscono il terreno concreto su cui l'esclusione dei cattolici latini produce effetti: mancando il riconoscimento come minoranza, essi non godono delle tutele patrimoniali riconosciute alle tre minoranze «di Losanna», e le loro proprietà — monasteri, parrocchie — hanno storicamente sofferto della mancata personalità giuridica. La posizione della Santa Sede sull'esclusione, per il periodo 1969-1985 qui considerato, non emerge dalle fonti reperite in forma di un atto formale e specifico di protesta: le rivendicazioni documentate — in sede europea e per voce del Patriarcato ecumenico circa i «beni usurpati» — appartengono per lo più a epoca successiva. Si tratta quindi, per il perimetro cronologico prioritario, di un capitolo la cui base documentale è solida sul dato giuridico (il testo e l'interpretazione del Trattato di Losanna) ma più esile sull'azione diplomatica della Santa Sede nel quindicennio, e come tale viene onestamente dichiarato: la sede naturale di accertamento è l'archivio della Segreteria di Stato, sezione Rapporti con gli Stati, per il pontificato di Paolo VI, non ancora aperto (Capitolo XII).</w:t>
      </w:r>
    </w:p>
    <w:p>
      <w:pPr>
        <w:spacing w:after="120" w:line="276"/>
        <w:jc w:val="both"/>
      </w:pPr>
      <w:r>
        <w:rPr>
          <w:rFonts w:ascii="Barlow Semi Condensed" w:cs="Barlow Semi Condensed" w:eastAsia="Barlow Semi Condensed" w:hAnsi="Barlow Semi Condensed"/>
          <w:sz w:val="24"/>
          <w:szCs w:val="24"/>
        </w:rPr>
        <w:t xml:space="preserve">CAPITOLO X — La Santa Sede, la Turchia e la Conferenza sulla sicurezza e la cooperazione in Europa</w:t>
      </w:r>
    </w:p>
    <w:p>
      <w:pPr>
        <w:spacing w:after="120" w:line="276"/>
        <w:jc w:val="both"/>
      </w:pPr>
      <w:r>
        <w:rPr>
          <w:rFonts w:ascii="Barlow Semi Condensed" w:cs="Barlow Semi Condensed" w:eastAsia="Barlow Semi Condensed" w:hAnsi="Barlow Semi Condensed"/>
          <w:sz w:val="24"/>
          <w:szCs w:val="24"/>
        </w:rPr>
        <w:t xml:space="preserve">La partecipazione della Santa Sede alla Conferenza sulla sicurezza e la cooperazione in Europa segna un episodio di rilievo storico e ben documentato. Le fonti ufficiali e la storiografia concordano: fu la prima volta, dopo il Congresso di Vienna del 1815, che la Santa Sede partecipava come membro a pieno titolo (full member) a un congresso di Stati, come dichiarato dal cardinale Achille Silvestrini e ripreso dall'Osservatore Romano e da settimananews.it. La delegazione fu guidata dall'arcivescovo Agostino Casaroli, segretario del Consiglio per gli affari pubblici della Chiesa, e da Achille Silvestrini, allora sottosegretario del medesimo Consiglio (divenuto segretario nel 1979); la voce del Dizionario Biografico Treccani su Casaroli conferma che la Santa Sede partecipò «fin dalle riunioni preparatorie, come full member».</w:t>
      </w:r>
    </w:p>
    <w:p>
      <w:pPr>
        <w:spacing w:after="120" w:line="276"/>
        <w:jc w:val="both"/>
      </w:pPr>
      <w:r>
        <w:rPr>
          <w:rFonts w:ascii="Barlow Semi Condensed" w:cs="Barlow Semi Condensed" w:eastAsia="Barlow Semi Condensed" w:hAnsi="Barlow Semi Condensed"/>
          <w:sz w:val="24"/>
          <w:szCs w:val="24"/>
        </w:rPr>
        <w:t xml:space="preserve">Il contributo più caratteristico della diplomazia pontificia riguardò la libertà religiosa. Silvestrini ha rievocato più volte «l'emozione con cui il 7 marzo 1973 presentammo, nell'ambito dei principi che dovevano reggere i rapporti fra gli Stati, una proposta sulla libertà religiosa, ricordando che nella storia d'Europa esisteva una comune cultura, quella cristiana»; Vatican News (https://www.vaticannews.va/it/mondo/news/2022-04/conferenza-helsinki-1975-europa-guerra-fredda-eredita-pace.html) la proposta, accolta secondo il racconto dello stesso Silvestrini «come una bomba», confluì nel settimo principio dell'Atto finale, che afferma il rispetto dei diritti dell'uomo e delle libertà fondamentali, inclusa la libertà di pensiero, coscienza, religione o credo. Treccani (https://www.treccani.it/enciclopedia/agostino-casaroli_(Dizionario-Biografico)/) L'Atto finale di Helsinki fu firmato il 1° agosto 1975 da trentacinque Stati partecipanti. Vi apposero la firma la Santa Sede, la Turchia e, per l'Italia, Aldo Moro nella duplice qualità di presidente del Consiglio e presidente di turno della Comunità europea, come già stabilito e come confermano le fonti sul ruolo comunitario di Moro nel 1975. La convergenza delle tre firme — Santa Sede, Turchia, Italia di Moro — sullo stesso documento internazionale è il punto di intersezione più netto e documentato fra i tre oggetti di questa ricognizione nel perimetro cronologico considerato, e ne costituisce una delle triangolazioni certe.</w:t>
      </w:r>
    </w:p>
    <w:p>
      <w:pPr>
        <w:spacing w:after="120" w:line="276"/>
        <w:jc w:val="both"/>
      </w:pPr>
      <w:r>
        <w:rPr>
          <w:rFonts w:ascii="Barlow Semi Condensed" w:cs="Barlow Semi Condensed" w:eastAsia="Barlow Semi Condensed" w:hAnsi="Barlow Semi Condensed"/>
          <w:sz w:val="24"/>
          <w:szCs w:val="24"/>
        </w:rPr>
        <w:t xml:space="preserve">Restano invece da accertare, e sono qui dichiarati come lacune, due punti specificamente richiesti. In primo luogo, non risulta dalle fonti reperite che la questione delle minoranze cristiane in Turchia e la chiusura di Halki siano state sollevate formalmente dalla delegazione vaticana o da altra delegazione nella sede della Conferenza del 1975 o nelle successive riunioni «di seguito» (Belgrado, Madrid): il tema della libertà religiosa fu posto dalla Santa Sede in termini generali e principalmente in funzione della condizione dei cattolici nei Paesi del blocco orientale, secondo la logica dell'Ostpolitik, non come rivendicazione puntuale verso Ankara. In secondo luogo, la posizione turca sui principi relativi ai diritti umani e alle minoranze in quella sede non è documentata, nelle fonti qui raccolte, con la specificità necessaria. Entrambe le lacune sono riportate al Capitolo XII con l'indicazione delle sedi di accertamento, che comprendono gli atti della CSCE, l'archivio della Segreteria di Stato e gli archivi diplomatici turchi.</w:t>
      </w:r>
    </w:p>
    <w:p>
      <w:pPr>
        <w:spacing w:after="120" w:line="276"/>
        <w:jc w:val="both"/>
      </w:pPr>
      <w:r>
        <w:rPr>
          <w:rFonts w:ascii="Barlow Semi Condensed" w:cs="Barlow Semi Condensed" w:eastAsia="Barlow Semi Condensed" w:hAnsi="Barlow Semi Condensed"/>
          <w:sz w:val="24"/>
          <w:szCs w:val="24"/>
        </w:rPr>
        <w:t xml:space="preserve">CAPITOLO XI — La posizione italiana sulle minoranze cristiane, sul Patriarcato e sulla comunità italiana di Istanbul e Smirne</w:t>
      </w:r>
    </w:p>
    <w:p>
      <w:pPr>
        <w:spacing w:after="120" w:line="276"/>
        <w:jc w:val="both"/>
      </w:pPr>
      <w:r>
        <w:rPr>
          <w:rFonts w:ascii="Barlow Semi Condensed" w:cs="Barlow Semi Condensed" w:eastAsia="Barlow Semi Condensed" w:hAnsi="Barlow Semi Condensed"/>
          <w:sz w:val="24"/>
          <w:szCs w:val="24"/>
        </w:rPr>
        <w:t xml:space="preserve">Questo capitolo raccoglie un obiettivo che si è risolto in larga parte in un esito negativo, il quale — come richiesto — viene dichiarato con la massima chiarezza e con l'indicazione della sede di accertamento, in quanto acquisizione di pieno valore. Il committente chiedeva di verificare se il governo italiano, e in particolare la Farnesina di Moro, avesse assunto posizioni documentate sulla condizione delle minoranze cristiane in Turchia, sulla chiusura di Halki del 1971 o sullo statuto del Patriarcato ecumenico, e se vi fossero stati contatti fra la Farnesina e la Segreteria di Stato su tali materie. Nelle fonti reperibili in questa ricognizione non emerge alcuna presa di posizione italiana specifica e documentata su questi punti nel periodo 1969-1975. La documentazione disponibile sulla politica estera di Moro verso la Turchia la colloca, come esposto al Capitolo II, nel quadro comunitario e mediterraneo; la questione confessionale non vi compare. Ciò non significa che tale posizione non esista negli archivi: significa che essa non è, allo stato, documentata dalle fonti edite e accessibili, e che la sua verifica va condotta presso l'Archivio Storico Diplomatico del Ministero degli Affari Esteri, serie Turchia e serie Santa Sede 1969-1975, e presso l'archivio della Segreteria di Stato per il pontificato di Paolo VI, quest'ultimo non ancora aperto.</w:t>
      </w:r>
    </w:p>
    <w:p>
      <w:pPr>
        <w:spacing w:after="120" w:line="276"/>
        <w:jc w:val="both"/>
      </w:pPr>
      <w:r>
        <w:rPr>
          <w:rFonts w:ascii="Barlow Semi Condensed" w:cs="Barlow Semi Condensed" w:eastAsia="Barlow Semi Condensed" w:hAnsi="Barlow Semi Condensed"/>
          <w:sz w:val="24"/>
          <w:szCs w:val="24"/>
        </w:rPr>
        <w:t xml:space="preserve">Diverso è lo statuto documentale della comunità italiana di Istanbul e Smirne, che le fonti diplomatiche e culturali italiane qualificano come la più antica collettività italiana all'estero. La Treccani (magazine della lingua italiana) la descrive come «la più antica comunità storica italofona all'estero», radicata nel Mediterraneo orientale «dai tempi delle Crociate e delle Repubbliche marinare», discendente dai coloni genovesi e veneziani; la stessa fonte documenta la dispersione della comunità levantina di Smirne fra le due guerre e l'ulteriore emigrazione da Istanbul dopo i disordini del 1955. Un contributo del CeSPI (brief n. 62, di Imparato) ricostruisce la storia della «comunità italofona e levantina di Istanbul», comprese le ondate migratorie ottocentesche di esuli politici meridionali Cespi (https://www.cespi.it/sites/default/files/osservatori/allegati/brief_62_comunita_levantina_di_istanbul_imparato.pdf) e l'impatto della guerra italo-turca del 1911-1912 e della Prima guerra mondiale come spartiacque demografico. Il rapporto di questa collettività con le parrocchie latine di Istanbul — quelle stesse comunità di rito latino escluse dalle tutele di Losanna (Capitolo IX) — è dunque storicamente strettissimo, poiché le parrocchie latine costituivano il riferimento religioso naturale dei levantini di origine italiana. Tuttavia, la connessione fra la tutela consolare italiana della comunità e la sorte giuridica delle parrocchie latine non risulta documentata, nelle fonti reperite, in forma di un'azione coordinata della Farnesina nel periodo qui considerato. Anche questo è un punto la cui verifica va rinviata all'archivio diplomatico italiano. Il capitolo è pertanto più breve degli altri e ne dichiara la ragione: la base documentale edita sostiene con forza il dato dell'antichità e della consistenza storica della comunità italiana, ma non l'esistenza di una politica confessionale italiana verso la Turchia riconducibile a Moro.</w:t>
      </w:r>
    </w:p>
    <w:p>
      <w:pPr>
        <w:spacing w:after="120" w:line="276"/>
        <w:jc w:val="both"/>
      </w:pPr>
      <w:r>
        <w:rPr>
          <w:rFonts w:ascii="Barlow Semi Condensed" w:cs="Barlow Semi Condensed" w:eastAsia="Barlow Semi Condensed" w:hAnsi="Barlow Semi Condensed"/>
          <w:sz w:val="24"/>
          <w:szCs w:val="24"/>
        </w:rPr>
        <w:t xml:space="preserve">CAPITOLO XII — Gli archivi, le fonti desecretate e la tavola discorsiva delle acquisizioni non conseguite</w:t>
      </w:r>
    </w:p>
    <w:p>
      <w:pPr>
        <w:spacing w:after="120" w:line="276"/>
        <w:jc w:val="both"/>
      </w:pPr>
      <w:r>
        <w:rPr>
          <w:rFonts w:ascii="Barlow Semi Condensed" w:cs="Barlow Semi Condensed" w:eastAsia="Barlow Semi Condensed" w:hAnsi="Barlow Semi Condensed"/>
          <w:sz w:val="24"/>
          <w:szCs w:val="24"/>
        </w:rPr>
        <w:t xml:space="preserve">Lo stato di accessibilità degli archivi condiziona in modo decisivo il grado di accertamento raggiungibile su ciascun oggetto di questa ricognizione, e va esposto con precisione. L'Archivio Apostolico Vaticano — già Archivio Segreto Vaticano, ridenominato da papa Francesco con il motu proprio L'esperienza storica del 22 ottobre 2019 — è consultabile, secondo la prassi dell'apertura per interi pontificati decisa di volta in volta dal Sommo Pontefice, fino all'ottobre 1958, data della morte di Pio XII, il cui pontificato è stato aperto alla consultazione da papa Francesco a partire dal marzo 2020 (vaticannews.va; archivioapostolicovaticano.va). Ne consegue un dato decisivo per questa ricerca: la documentazione dei pontificati di Giovanni XXIII, Paolo VI e Giovanni Paolo II — e quindi l'intera documentazione vaticana relativa al dialogo cattolico-ortodosso post-1958, alle relazioni diplomatiche con la Turchia dal 1960, alla CSCE e all'attentato del 1981 — non è ancora aperta alla consultazione. Anche la documentazione roncalliana del quinquennio 1940-1945, come segnalato da Rinaldo Marmara e ripreso al Capitolo VI, non è pienamente consultabile. La documentazione delle relazioni Santa Sede-Turchia è conservata prevalentemente in italiano e francese, come attestano tanto acistampa.com quanto lo stesso Marmara, che ne ha avviato la catalogazione anche in lingua turca con opere quali «Santa Sede-Turchia. Periodo di Mons. Rotta 1925-1930. Verso le relazioni diplomatiche del 1960».</w:t>
      </w:r>
    </w:p>
    <w:p>
      <w:pPr>
        <w:spacing w:after="120" w:line="276"/>
        <w:jc w:val="both"/>
      </w:pPr>
      <w:r>
        <w:rPr>
          <w:rFonts w:ascii="Barlow Semi Condensed" w:cs="Barlow Semi Condensed" w:eastAsia="Barlow Semi Condensed" w:hAnsi="Barlow Semi Condensed"/>
          <w:sz w:val="24"/>
          <w:szCs w:val="24"/>
        </w:rPr>
        <w:t xml:space="preserve">L'Archivio Storico Diplomatico del Ministero degli Affari Esteri italiano conserva le serie Turchia e Santa Sede rilevanti per il periodo 1969-1975, con l'avvertenza — già accertata nella ricognizione anteriore — dell'esclusione temporanea dei Telegrammi 1942-1970; la Farnesina ha reso accessibili al pubblico l'Archivio Storico Diplomatico e la Biblioteca Esteri (https://italiana.esteri.it/italiana/en/culture/la-farnesina-apre-al-pubblico-la-biblioteca-e-larchivio-storico-diplomatico/) (italiana.esteri.it). Gli archivi diplomatici turchi e l'archivio del Patriarcato ecumenico costituiscono le sedi di accertamento per i versanti turco e patriarcale, non esplorati direttamente in questa ricognizione basata su fonti edite. Sul versante giudiziario e parlamentare italiano dell'attentato del 1981, sono accessibili gli atti della Commissione parlamentare d'inchiesta sul dossier Mitrokhin (parlamento.it): la Commissione, presieduta dal senatore Paolo Guzzanti, produsse un documento conclusivo del presidente che — secondo le fonti — non fu approvato per mancanza del numero legale il 15 marzo 2006, e una relazione conclusiva dei commissari di minoranza (centro-sinistra) depositata il 23 marzo 2006; quest'ultima, pubblicata come mitrokhindoc.377.pdf, contiene la valutazione secondo cui la maggioranza «ha insistito in modo pedissequo sulla "pista bulgara", già percorsa dalla magistratura […] senza però pervenire ad alcun risultato stabile e certo», Parlamento Italiano (https://www.parlamento.it/application/xmanager/projects/parlamento/file/commissione_mitrokhin_14leg/mitrokhindoc.377.pdf) e definisce l'operato della Commissione «uno dei momenti più bassi e umilianti della nostra storia istituzionale». Parlamento Italiano (https://www.parlamento.it/application/xmanager/projects/parlamento/file/commissione_mitrokhin_14leg/mitrokhindoc.377.pdf) I fascicoli processuali dell'attentato sono conservabili presso l'Archivio Centrale dello Stato o la Corte d'assise di Roma. Sul versante statunitense, la CIA FOIA Electronic Reading Room e la collezione CREST contengono valutazioni desecretate sull'attentato, su Ağca, sui Lupi Grigi, su Türkeş e sui servizi bulgari; la raccolta Foreign Relations of the United States, 1981-1988, volume X, documenti 370, 376 e 377, ne riproduce i passi essenziali, la cui conclusione — come esposto al Capitolo IV — non afferma come provata la responsabilità bulgaro-sovietica.</w:t>
      </w:r>
    </w:p>
    <w:p>
      <w:pPr>
        <w:spacing w:after="120" w:line="276"/>
        <w:jc w:val="both"/>
      </w:pPr>
      <w:r>
        <w:rPr>
          <w:rFonts w:ascii="Barlow Semi Condensed" w:cs="Barlow Semi Condensed" w:eastAsia="Barlow Semi Condensed" w:hAnsi="Barlow Semi Condensed"/>
          <w:sz w:val="24"/>
          <w:szCs w:val="24"/>
        </w:rPr>
        <w:t xml:space="preserve">Segue la tavola discorsiva delle acquisizioni documentali necessarie e non conseguite, ordinate per rendimento atteso, ciascuna con la sede e la condizione di chiusura. La prima e di maggior rendimento è la documentazione della Segreteria di Stato, sezione Rapporti con gli Stati, per il pontificato di Paolo VI relativa alla Turchia, alle minoranze cattoliche, a Halki e alla CSCE: la sede è l'Archivio Apostolico Vaticano e l'archivio della Segreteria di Stato; la condizione di chiusura è l'apertura del pontificato di Paolo VI alla consultazione, oggi non ancora disposta. La seconda è la posizione della Farnesina di Moro sulle minoranze cristiane, su Halki e sul Patriarcato, e l'esistenza di contatti con la Segreteria di Stato: la sede è l'Archivio Storico Diplomatico del Ministero degli Affari Esteri, serie Turchia e Santa Sede 1969-1975; la condizione di chiusura è la consultazione diretta dei fascicoli, tenuto conto dell'esclusione dei Telegrammi 1942-1970. La terza è l'eventuale trattazione della questione delle minoranze cristiane turche e di Halki nelle sedi CSCE del 1975 e nelle riunioni di seguito: la sede sono gli atti della CSCE, l'archivio della Segreteria di Stato e gli archivi diplomatici turchi; la condizione di chiusura è lo spoglio sistematico dei verbali. La quarta è la documentazione roncalliana del 1940-1945 sull'assistenza agli ebrei: la sede è l'Archivio Apostolico Vaticano; la condizione di chiusura è l'apertura integrale del fondo. La quinta è la ricostruzione, sul versante turco, delle circostanze dell'evasione di Ağca da Kartal-Maltepe e dei suoi rapporti d'ambiente: la sede sono gli archivi giudiziari turchi; la condizione di chiusura è la loro accessibilità, allo stato non verificata. La sesta, di rendimento più circoscritto ma di interesse per il merito della pista bulgara, è il testo integrale dei documenti CIA solo parzialmente desecretati (le porzioni «not declassified» dei documenti FRUS 370 e 376): la sede è la CIA FOIA Electronic Reading Room; la condizione di chiusura è un'eventuale ulteriore desecretazione. Ciascuna di queste acquisizioni, ove conseguita, sposterebbe il confine fra l'accertato e il non provato; nessuna di esse, allo stato, modifica la conclusione centrale di questa ricognizione, ossia che l'unico nesso pienamente documentato fra Turchia e Vaticano nella serie sia la persona e la traiettoria dell'attentatore, mentre l'individuazione dei mandanti dell'attentato del 1981 resta giudizialmente non provata.</w:t>
      </w:r>
    </w:p>
    <w:p>
      <w:pPr>
        <w:spacing w:after="120" w:line="276"/>
        <w:jc w:val="both"/>
      </w:pPr>
      <w:r>
        <w:rPr>
          <w:rFonts w:ascii="Barlow Semi Condensed" w:cs="Barlow Semi Condensed" w:eastAsia="Barlow Semi Condensed" w:hAnsi="Barlow Semi Condensed"/>
          <w:sz w:val="24"/>
          <w:szCs w:val="24"/>
        </w:rPr>
        <w:t xml:space="preserve">RACCOMANDAZIONI</w:t>
      </w:r>
    </w:p>
    <w:p>
      <w:pPr>
        <w:spacing w:after="120" w:line="276"/>
        <w:jc w:val="both"/>
      </w:pPr>
      <w:r>
        <w:rPr>
          <w:rFonts w:ascii="Barlow Semi Condensed" w:cs="Barlow Semi Condensed" w:eastAsia="Barlow Semi Condensed" w:hAnsi="Barlow Semi Condensed"/>
          <w:sz w:val="24"/>
          <w:szCs w:val="24"/>
        </w:rPr>
        <w:t xml:space="preserve">Sul piano della strategia di ricerca, si raccomanda di procedere per gradi e per rendimento atteso. Il primo passo, immediatamente eseguibile, è lo spoglio sistematico dell'Archivio Storico Diplomatico della Farnesina, serie Turchia e serie Santa Sede 1969-1975, per chiudere l'esito negativo del Capitolo XI: è la fonte più accessibile fra quelle decisive e consentirebbe di stabilire se la mancata emersione di una posizione italiana sulle minoranze cristiane sia un dato reale o un artefatto della sola documentazione edita. La soglia che muterebbe la valutazione è il rinvenimento di anche un solo telegramma o appunto della Farnesina che tratti Halki, il Patriarcato o le parrocchie latine: in tal caso il Capitolo XI andrebbe riscritto da esito negativo a esito positivo.</w:t>
      </w:r>
    </w:p>
    <w:p>
      <w:pPr>
        <w:spacing w:after="120" w:line="276"/>
        <w:jc w:val="both"/>
      </w:pPr>
      <w:r>
        <w:rPr>
          <w:rFonts w:ascii="Barlow Semi Condensed" w:cs="Barlow Semi Condensed" w:eastAsia="Barlow Semi Condensed" w:hAnsi="Barlow Semi Condensed"/>
          <w:sz w:val="24"/>
          <w:szCs w:val="24"/>
        </w:rPr>
        <w:t xml:space="preserve">Il secondo passo è l'interrogazione integrale della CIA FOIA Electronic Reading Room e la lettura dei documenti FRUS 1981-1988, volume X, nella loro versione più completa, per consolidare — come già fatto in questa sede — la conclusione che l'intelligence statunitense non affermò come provata la pista bulgara; la soglia che muterebbe la valutazione sarebbe la desecretazione di porzioni oggi coperte che contenessero prove documentali, e non semplici dichiarazioni di Ağca, di un mandato bulgaro-sovietico. In assenza di tali prove, la qualificazione della pista bulgara come non giudizialmente provata va mantenuta in ogni pubblicazione.</w:t>
      </w:r>
    </w:p>
    <w:p>
      <w:pPr>
        <w:spacing w:after="120" w:line="276"/>
        <w:jc w:val="both"/>
      </w:pPr>
      <w:r>
        <w:rPr>
          <w:rFonts w:ascii="Barlow Semi Condensed" w:cs="Barlow Semi Condensed" w:eastAsia="Barlow Semi Condensed" w:hAnsi="Barlow Semi Condensed"/>
          <w:sz w:val="24"/>
          <w:szCs w:val="24"/>
        </w:rPr>
        <w:t xml:space="preserve">Il terzo passo, a più lungo termine e condizionato dall'apertura degli archivi, è la richiesta di consultazione dell'archivio della Segreteria di Stato per il pontificato di Paolo VI non appena esso venga aperto: è la fonte di massimo rendimento per i Capitoli VIII, IX e X, e la sua apertura è la principale variabile che potrebbe trasformare le lacune odierne in acquisizioni. Nel frattempo, si raccomanda di valorizzare l'opera di catalogazione di Rinaldo Marmara come guida agli inventari e di considerare, per il versante patriarcale, un contatto con l'archivio del Patriarcato ecumenico e con la storiografia in lingua greca.</w:t>
      </w:r>
    </w:p>
    <w:p>
      <w:pPr>
        <w:spacing w:after="120" w:line="276"/>
        <w:jc w:val="both"/>
      </w:pPr>
      <w:r>
        <w:rPr>
          <w:rFonts w:ascii="Barlow Semi Condensed" w:cs="Barlow Semi Condensed" w:eastAsia="Barlow Semi Condensed" w:hAnsi="Barlow Semi Condensed"/>
          <w:sz w:val="24"/>
          <w:szCs w:val="24"/>
        </w:rPr>
        <w:t xml:space="preserve">Sul piano redazionale, si raccomanda infine, in ogni resa pubblica di questa ricerca, di mantenere rigorosamente la distinzione fra l'accertato e il non provato, di trattare le dichiarazioni di Mehmet Ali Ağca come fatti pubblici e non come fonti di merito, e di non convertire mai la contemporaneità cronologica — segnatamente fra la lettera del 1979, il viaggio del 1979 e l'attentato del 1981 — in prova di un nesso causale.</w:t>
      </w:r>
    </w:p>
    <w:p>
      <w:pPr>
        <w:spacing w:after="120" w:line="276"/>
        <w:jc w:val="both"/>
      </w:pPr>
      <w:r>
        <w:rPr>
          <w:rFonts w:ascii="Barlow Semi Condensed" w:cs="Barlow Semi Condensed" w:eastAsia="Barlow Semi Condensed" w:hAnsi="Barlow Semi Condensed"/>
          <w:sz w:val="24"/>
          <w:szCs w:val="24"/>
        </w:rPr>
        <w:t xml:space="preserve">CAVEATS</w:t>
      </w:r>
    </w:p>
    <w:p>
      <w:pPr>
        <w:spacing w:after="120" w:line="276"/>
        <w:jc w:val="both"/>
      </w:pPr>
      <w:r>
        <w:rPr>
          <w:rFonts w:ascii="Barlow Semi Condensed" w:cs="Barlow Semi Condensed" w:eastAsia="Barlow Semi Condensed" w:hAnsi="Barlow Semi Condensed"/>
          <w:sz w:val="24"/>
          <w:szCs w:val="24"/>
        </w:rPr>
        <w:t xml:space="preserve">La ricerca è stata condotta prevalentemente su fonti edite e accessibili online; gli archivi decisivi (Segreteria di Stato per Paolo VI, archivi diplomatici turchi, archivio del Patriarcato, fascicoli processuali) non sono stati consultati direttamente, sicché numerose conclusioni hanno carattere provvisorio e sono esposte come tali. Diverse informazioni sull'attentato e sulla traiettoria di Ağca provengono da pubblicistica giornalistica di qualità disuguale, che tende a presentare come accertate ipotesi che tali non sono; si è cercato di segnalare ogni volta lo statuto della fonte, ma il lettore è avvertito che il campo è saturo di ricostruzioni non verificate. Persistono divergenze di data e di cifra deliberatamente mantenute: la nomina di Roncalli (24 novembre 1934, «1934», gennaio 1935); la data d'introduzione del turco nella liturgia (1935, gennaio 1936, 1938); la consistenza dei cattolici di Turchia (trentamila-trentacinquemila all'arrivo di Roncalli; venticinquemila-trentamila o sessantamila nel dato acquisito; circa 35.000 in epoca recente); la morte di Atenagora (6 o 7 luglio 1972). Sulla data della testimonianza di Melvin Goodman al Senato statunitense le fonti secondarie indicano il 1990, mentre il verbale ufficiale colloca la sessione sulla politicizzazione al 1° ottobre 1991: si è preferita la fonte primaria segnalando il conflitto. Alcune tesi diffuse nella pubblicistica — la responsabilità organizzativa dei Lupi Grigi nell'attentato, il mandato bulgaro-sovietico come fatto acquisito — sono state riportate e qualificate come non sostenute dalle sentenze e dalle fonti primarie. Infine, si ribadisce che gli esiti negativi (Capitoli II, XI e in parte IX e X) non vanno letti come prova dell'inesistenza dei fatti cercati, ma come misura dell'attuale accessibilità documentale: la loro chiusura definitiva richiede la consultazione archivistica diretta indicata al Capitolo XII.</w:t>
      </w:r>
    </w:p>
    <w:p>
      <w:pPr>
        <w:pStyle w:val="Heading3"/>
        <w:spacing w:after="80" w:before="240"/>
      </w:pPr>
      <w:r>
        <w:rPr>
          <w:rFonts w:ascii="Barlow Semi Condensed" w:cs="Barlow Semi Condensed" w:eastAsia="Barlow Semi Condensed" w:hAnsi="Barlow Semi Condensed"/>
          <w:sz w:val="24"/>
          <w:szCs w:val="24"/>
        </w:rPr>
        <w:t xml:space="preserve">Apparato grafico — Libro dodicesimo · La Santa Sede, la Turchia e l’attentato del 1981</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0"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Libro dodicesimo IX: 8.071 parole in 6 sezioni; la più ampia è §3 Segmento 3, con 1.610.</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1"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Libro dodicesimo IX: 37 indirizzi di fonte citati, addensati in 6 sezioni su 6.</w:t>
      </w:r>
    </w:p>
    <w:p>
      <w:pPr>
        <w:spacing w:after="120"/>
        <w:jc w:val="center"/>
      </w:pPr>
      <w:r>
        <w:rPr>
          <w:rFonts w:ascii="Barlow Semi Condensed" w:cs="Barlow Semi Condensed" w:eastAsia="Barlow Semi Condensed" w:hAnsi="Barlow Semi Condensed"/>
          <w:color w:val="777777"/>
          <w:sz w:val="16"/>
          <w:szCs w:val="16"/>
        </w:rPr>
        <w:t xml:space="preserve">Le metriche dell'apparato contano parole, documenti e atti — mai colpe.</w:t>
      </w:r>
    </w:p>
    <w:p>
      <w:r>
        <w:br w:type="page"/>
      </w:r>
    </w:p>
    <w:p>
      <w:pPr>
        <w:pStyle w:val="Heading1"/>
        <w:spacing w:after="120" w:before="240"/>
      </w:pPr>
      <w:r>
        <w:rPr>
          <w:rFonts w:ascii="Barlow Semi Condensed" w:cs="Barlow Semi Condensed" w:eastAsia="Barlow Semi Condensed" w:hAnsi="Barlow Semi Condensed"/>
          <w:sz w:val="24"/>
          <w:szCs w:val="24"/>
        </w:rPr>
        <w:t xml:space="preserve">Libro dodicesimo — La dimensione diplomatica — X. Documenti italiani e spagnoli, e l’Opus Dei</w:t>
      </w:r>
    </w:p>
    <w:p>
      <w:pPr>
        <w:pStyle w:val="Heading1"/>
        <w:spacing w:after="120" w:before="240"/>
      </w:pPr>
      <w:r>
        <w:rPr>
          <w:rFonts w:ascii="Barlow Semi Condensed" w:cs="Barlow Semi Condensed" w:eastAsia="Barlow Semi Condensed" w:hAnsi="Barlow Semi Condensed"/>
          <w:sz w:val="24"/>
          <w:szCs w:val="24"/>
        </w:rPr>
        <w:t xml:space="preserve">Aldo Moro ministro degli Esteri (1969-1974), i documenti di Stato italiani e spagnoli, l'Opus Dei come soggetto storico e le triangolazioni. Ricognizione documentale in dodici capitoli</w:t>
      </w:r>
    </w:p>
    <w:p>
      <w:pPr>
        <w:pStyle w:val="Heading2"/>
        <w:spacing w:after="100" w:before="200"/>
      </w:pPr>
      <w:r>
        <w:rPr>
          <w:rFonts w:ascii="Barlow Semi Condensed" w:cs="Barlow Semi Condensed" w:eastAsia="Barlow Semi Condensed" w:hAnsi="Barlow Semi Condensed"/>
          <w:sz w:val="24"/>
          <w:szCs w:val="24"/>
        </w:rPr>
        <w:t xml:space="preserve">Capitolo 1 — La Libia dal colpo di Stato del 1969 alla confisca dei beni italiani</w:t>
      </w:r>
    </w:p>
    <w:p>
      <w:pPr>
        <w:spacing w:after="120" w:line="276"/>
        <w:jc w:val="both"/>
      </w:pPr>
      <w:r>
        <w:rPr>
          <w:rFonts w:ascii="Barlow Semi Condensed" w:cs="Barlow Semi Condensed" w:eastAsia="Barlow Semi Condensed" w:hAnsi="Barlow Semi Condensed"/>
          <w:sz w:val="24"/>
          <w:szCs w:val="24"/>
        </w:rPr>
        <w:t xml:space="preserve">La documentazione disaggregata sul dossier libico durante il mandato di Moro poggia su tre ordini di fonti: gli atti normativi italiani di indennizzo, la ricostruzione cronologica dei fatti libici e la storiografia. È accertato (fonte cronachistica e ricostruzione storica convergenti) che il colpo di Stato del Consiglio del Comando della Rivoluzione guidato da Muammar Gheddafi rovesciò re Idris il 1° settembre 1969, quando Moro era ministro degli Esteri da meno di un mese nel secondo governo Rumor. L'esodo degli italiani, come attesta la ricostruzione di RAI News ripresa da fonti divulgative, «inizia subito dopo il 1 settembre 1969»: nei quattro mesi successivi partirono almeno ottocento italiani.</w:t>
      </w:r>
    </w:p>
    <w:p>
      <w:pPr>
        <w:spacing w:after="120" w:line="276"/>
        <w:jc w:val="both"/>
      </w:pPr>
      <w:r>
        <w:rPr>
          <w:rFonts w:ascii="Barlow Semi Condensed" w:cs="Barlow Semi Condensed" w:eastAsia="Barlow Semi Condensed" w:hAnsi="Barlow Semi Condensed"/>
          <w:sz w:val="24"/>
          <w:szCs w:val="24"/>
        </w:rPr>
        <w:t xml:space="preserve">Il fatto centrale del periodo è la promulgazione, il 21 luglio 1970, di tre leggi di confisca da parte del Consiglio del Comando della Rivoluzione. La fonte enciclopedica e le ricostruzioni storiche concordano che il provvedimento sancì «la confisca dei beni alla comunità italiana e a quella ebraica», poche settimane dopo il celebre discorso di Gheddafi a Misurata in cui parlò di «ripulire la Libia dai rimasugli del passato coloniale». La ricostruzione di RAI News, ripresa dal portale Tuttogolfo, quantifica testualmente: «La Libia confisca 40 mila ettari di terra, 1.700 case, 500 attività commerciali: in totale 200 miliardi di lire del 1970». La confisca avvenne senza indennizzo e fu accompagnata dall'annullamento dei crediti delle società italiane verso lo Stato libico e dall'espulsione della comunità, evacuata attraverso il ministero della Marina Mercantile con nove navi.</w:t>
      </w:r>
    </w:p>
    <w:p>
      <w:pPr>
        <w:spacing w:after="120" w:line="276"/>
        <w:jc w:val="both"/>
      </w:pPr>
      <w:r>
        <w:rPr>
          <w:rFonts w:ascii="Barlow Semi Condensed" w:cs="Barlow Semi Condensed" w:eastAsia="Barlow Semi Condensed" w:hAnsi="Barlow Semi Condensed"/>
          <w:sz w:val="24"/>
          <w:szCs w:val="24"/>
        </w:rPr>
        <w:t xml:space="preserve">Sul versante italiano, la risposta si articolò in provvedimenti legislativi di indennizzo: la legge n. 1066 del 1971 (fonte: atto normativo citato in documentazione parlamentare e associativa) previde, nelle more della conclusione di accordi internazionali, un'anticipazione sugli indennizzi da stabilirsi, disposta con decreto del Ministero del Tesoro. La successione dei provvedimenti prosegue fino alla legge n. 7 del 2009 (di ratifica del Trattato di Bengasi del 30 agosto 2008) e allo stanziamento aggiuntivo del febbraio 2012. Una relazione parlamentare della Camera (documento legislativo, XVI legislatura, atto 16PDL0020770) attesta che «con i due provvedimenti a firma del Ministro degli affari esteri italiano Dini e del suo omologo libico Muntasser nel luglio 1998, l'Italia ha definitivamente omesso di menzionare la questione relativa a questi risarcimenti, rinunciando così di fatto ad ogni possibile ulteriore pretesa».</w:t>
      </w:r>
    </w:p>
    <w:p>
      <w:pPr>
        <w:spacing w:after="120" w:line="276"/>
        <w:jc w:val="both"/>
      </w:pPr>
      <w:r>
        <w:rPr>
          <w:rFonts w:ascii="Barlow Semi Condensed" w:cs="Barlow Semi Condensed" w:eastAsia="Barlow Semi Condensed" w:hAnsi="Barlow Semi Condensed"/>
          <w:sz w:val="24"/>
          <w:szCs w:val="24"/>
        </w:rPr>
        <w:t xml:space="preserve">Sulla quantificazione dei beni confiscati le fonti divergono e la divergenza va riportata: la cifra di «200 miliardi di lire del 1970» è quella corrente nella pubblicistica e riferita a RAI News; l'Associazione Italiana Rimpatriati dalla Libia (AIRL), fonte ufficiale dell'organizzazione interessata, ha offerto una stima diversa e non omogenea. Il Sole 24 Ore, in un articolo del 21 luglio 2020, riferisce le parole di Giovanna Ortu, presidente dell'AIRL: «gli indennizzi fin qui ricevuti basterebbero a malapena a coprire il montante dei beni perduti nel 1970. Il valore delle proprietà rivalutate ammonterebbe oggi a quasi 6 miliardi di euro». Le due cifre non sono confrontabili (valore nominale 1970 contro valore rivalutato attuale) e vanno tenute distinte.</w:t>
      </w:r>
    </w:p>
    <w:p>
      <w:pPr>
        <w:spacing w:after="120" w:line="276"/>
        <w:jc w:val="both"/>
      </w:pPr>
      <w:r>
        <w:rPr>
          <w:rFonts w:ascii="Barlow Semi Condensed" w:cs="Barlow Semi Condensed" w:eastAsia="Barlow Semi Condensed" w:hAnsi="Barlow Semi Condensed"/>
          <w:sz w:val="24"/>
          <w:szCs w:val="24"/>
        </w:rPr>
        <w:t xml:space="preserve">Diversi elementi del dossier, richiesti dal quesito, restano allo stato di lacuna documentale nel perimetro di questa ricognizione web. L'ultimatum del 7 ottobre 1970 e il traghettamento concluso il 15 ottobre 1970 non hanno trovato riscontro puntuale nelle fonti reperite: la ricerca andrebbe condotta sugli atti dell'Archivio storico-diplomatico del Ministero degli Affari Esteri (serie affari politici, Libia, 1970) e sulla stampa quotidiana coeva. Analogamente, il presunto telegramma di Moro da Tunisi del 6 settembre 1970 costituisce uno Stato Zero: nessuna fonte reperita lo documenta, e la verifica va condotta presso l'Archivio storico-diplomatico della Farnesina e presso il Fondo Aldo Moro dell'Archivio storico del Senato. Anche il ruolo attribuito a Moro nella cosiddetta «operazione Hilton» del 1971 non trova, allo stato, riscontro in fonti primarie o in storiografia peer-reviewed accessibile: la tesi va qualificata come non sostenuta finché non emerga documentazione. Il Fondo Aldo Moro presso l'Archivio storico del Senato conserva, come attestato dal catalogo online del patrimonio archivistico del Senato, interventi alla Commissione esteri della Camera con materiale preparatorio (unità del tipo IT-AFS-048), che rappresentano la sede elettiva per ricostruire la posizione di Moro sulla Libia.</w:t>
      </w:r>
    </w:p>
    <w:p>
      <w:pPr>
        <w:pStyle w:val="Heading2"/>
        <w:spacing w:after="100" w:before="200"/>
      </w:pPr>
      <w:r>
        <w:rPr>
          <w:rFonts w:ascii="Barlow Semi Condensed" w:cs="Barlow Semi Condensed" w:eastAsia="Barlow Semi Condensed" w:hAnsi="Barlow Semi Condensed"/>
          <w:sz w:val="24"/>
          <w:szCs w:val="24"/>
        </w:rPr>
        <w:t xml:space="preserve">Capitolo 2 — I Balcani e la Jugoslavia: la fase preparatoria di Osimo</w:t>
      </w:r>
    </w:p>
    <w:p>
      <w:pPr>
        <w:spacing w:after="120" w:line="276"/>
        <w:jc w:val="both"/>
      </w:pPr>
      <w:r>
        <w:rPr>
          <w:rFonts w:ascii="Barlow Semi Condensed" w:cs="Barlow Semi Condensed" w:eastAsia="Barlow Semi Condensed" w:hAnsi="Barlow Semi Condensed"/>
          <w:sz w:val="24"/>
          <w:szCs w:val="24"/>
        </w:rPr>
        <w:t xml:space="preserve">Il dossier balcanico durante il mandato ministeriale di Moro è dominato dalla lunga incubazione del Trattato di Osimo, firmato il 10 novembre 1975, quando Moro era ormai presidente del Consiglio e alla Farnesina sedeva Mariano Rumor. È tuttavia documentato che la fase preparatoria e l'impostazione strategica maturarono negli anni del suo ministero. La voce enciclopedica Wikipedia in italiano, che sintetizza la storiografia, attesta che il trattato fu firmato «nella villa Monte San Pietro» dai ministri degli esteri Mariano Rumor e Miloš Minić, Wikipedia (https://it.wikipedia.org/wiki/Trattato_di_Osimo) che «il Parlamento italiano lo ratificò il 24 febbraio 1977» Wikipedia (https://it.wikipedia.org/wiki/Trattato_di_Osimo) (legge 14 marzo 1977, n. 73) e che «il trattato di Osimo fu il primo accordo internazionale i cui negoziati per l'Italia non vennero curati dal Ministero degli affari esteri». Wikipedia (https://it.wikipedia.org/wiki/Trattato_di_Osimo)</w:t>
      </w:r>
    </w:p>
    <w:p>
      <w:pPr>
        <w:spacing w:after="120" w:line="276"/>
        <w:jc w:val="both"/>
      </w:pPr>
      <w:r>
        <w:rPr>
          <w:rFonts w:ascii="Barlow Semi Condensed" w:cs="Barlow Semi Condensed" w:eastAsia="Barlow Semi Condensed" w:hAnsi="Barlow Semi Condensed"/>
          <w:sz w:val="24"/>
          <w:szCs w:val="24"/>
        </w:rPr>
        <w:t xml:space="preserve">Questo dato è cruciale per la triangolazione istituzionale: la Farnesina fu bypassata. Le ricostruzioni convergono nell'indicare che il canale negoziale alternativo, affidato a Eugenio Carbone, direttore generale del Ministero dell'Industria, «era già stato preparato segretamente nel 1973 dai ministri degli esteri Medici e Minić» Circolo della Storia (https://circolodellastoria.it/gli-accordi-di-osimo-cinquantanni-fa-il-trattato-che-chiuse-unepoca/) (fonte: ricostruzione storica divulgativa del Circolo della Storia). Poiché Moro fu ministro degli Esteri fino al 23 novembre 1974 e i negoziati riservati si svolsero, secondo lo storico Giorgio Zaccaria intervistato da Il Bo Live (Università di Padova), «tra luglio e novembre 1974», Il Bo Live UniPD (https://ilbolive.unipd.it/it/news/societa/spirito-osimo-diplomazia-memoria) è documentabile che una parte decisiva della trattativa cadde nella fase finale del suo ministero. La stessa fonte accademica riporta la lettura secondo cui «Roma vuole una Jugoslavia stabile e anti-sovietica, anche se comunista; Belgrado teme invece una possibile deriva autoritaria italiana, un "nuovo Cile" europeo». Il Bo Live UniPD (https://ilbolive.unipd.it/it/news/societa/spirito-osimo-diplomazia-memoria)</w:t>
      </w:r>
    </w:p>
    <w:p>
      <w:pPr>
        <w:spacing w:after="120" w:line="276"/>
        <w:jc w:val="both"/>
      </w:pPr>
      <w:r>
        <w:rPr>
          <w:rFonts w:ascii="Barlow Semi Condensed" w:cs="Barlow Semi Condensed" w:eastAsia="Barlow Semi Condensed" w:hAnsi="Barlow Semi Condensed"/>
          <w:sz w:val="24"/>
          <w:szCs w:val="24"/>
        </w:rPr>
        <w:t xml:space="preserve">La forzatura jugoslava del 1974 — l'apposizione lungo la linea di demarcazione fra le zone A e B di cartelli con la scritta «confine di stato» — provocò una nota italiana durissima, e la crisi che ne seguì rese evidente la necessità di chiudere il contenzioso. Aldo Moro definì la rinuncia sulla Zona B «una dolorosa rinuncia» La Nazione (https://www.lanazione.it/cronaca/almanacco-trattato-osimo-italia-jugoslavia-d52b0197) (fonte cronachistica, La Nazione). La ricostruzione del portale storico.org, di taglio critico, collega esplicitamente il nuovo corso al «disegno politico di Moro, convinto dell'ineluttabilità di chiamare i comunisti» nell'area del potere. Storico (https://storico.org/italia_boom_economico/trattato_osimo.html)</w:t>
      </w:r>
    </w:p>
    <w:p>
      <w:pPr>
        <w:spacing w:after="120" w:line="276"/>
        <w:jc w:val="both"/>
      </w:pPr>
      <w:r>
        <w:rPr>
          <w:rFonts w:ascii="Barlow Semi Condensed" w:cs="Barlow Semi Condensed" w:eastAsia="Barlow Semi Condensed" w:hAnsi="Barlow Semi Condensed"/>
          <w:sz w:val="24"/>
          <w:szCs w:val="24"/>
        </w:rPr>
        <w:t xml:space="preserve">Sul piano storiografico il quesito indica correttamente il volume collettivo di riferimento: «Aldo Moro, l'Italia repubblicana e i Balcani», a cura di Italo Garzia, Luciano Monzali e Massimo Bucarelli, Nardò, Besa, 2012 (ISBN 978-88-497-0807-3), collana Entropie 34, circa 372 pagine. L'abstract editoriale attesta che «l'importanza delle relazioni e dei legami con i Paesi del Sud-est europeo non sfuggì certo ad Aldo Moro». Google Books (https://books.google.com/books/about/Aldo_Moro_l_Italia_repubblicana_e_i_Balc.html?id=ftcEywAACAAJ) Il volume contiene contributi di Luciano Tosi («Per una nuova comunità internazionale. La diplomazia multilaterale di Aldo Moro», pp. 15-57), Massimo Bucarelli, Luca Micheletta, Alberto Basciani, Federico Imperato, Paolo Soave, oltre alle testimonianze di Emilio Colombo e Giuseppe Giacovazzo. Archivioflamigni (https://www.archivioflamigni.org/doc/bibliografia-aldo-moro.pdf) La questione della minoranza italiana in Istria e Dalmazia e i negoziati con Belgrado 1969-1974 costituiscono la materia specifica del volume, che rappresenta la sede di approfondimento peer-reviewed elettiva. Va distinto ciò che le fonti attestano (la maturazione strategica nella fase Moro; l'aggiramento della Farnesina) da ciò che se ne inferisce (l'attribuzione a Moro della paternità politica esclusiva di Osimo), dato che la firma e la titolarità formale spettarono a Rumor.</w:t>
      </w:r>
    </w:p>
    <w:p>
      <w:pPr>
        <w:pStyle w:val="Heading2"/>
        <w:spacing w:after="100" w:before="200"/>
      </w:pPr>
      <w:r>
        <w:rPr>
          <w:rFonts w:ascii="Barlow Semi Condensed" w:cs="Barlow Semi Condensed" w:eastAsia="Barlow Semi Condensed" w:hAnsi="Barlow Semi Condensed"/>
          <w:sz w:val="24"/>
          <w:szCs w:val="24"/>
        </w:rPr>
        <w:t xml:space="preserve">Capitolo 3 — Medio Oriente e mondo arabo: fra equidistanza e filoarabismo</w:t>
      </w:r>
    </w:p>
    <w:p>
      <w:pPr>
        <w:spacing w:after="120" w:line="276"/>
        <w:jc w:val="both"/>
      </w:pPr>
      <w:r>
        <w:rPr>
          <w:rFonts w:ascii="Barlow Semi Condensed" w:cs="Barlow Semi Condensed" w:eastAsia="Barlow Semi Condensed" w:hAnsi="Barlow Semi Condensed"/>
          <w:sz w:val="24"/>
          <w:szCs w:val="24"/>
        </w:rPr>
        <w:t xml:space="preserve">Il dossier mediorientale è quello meglio servito dalla storiografia peer-reviewed. Il riferimento capitale è il volume «Fra diplomazia e petrolio. Aldo Moro e la politica italiana in Medio Oriente (1963-1978)», a cura di Federico Imperato, Rosario Milano e Luciano Monzali, Bari, Cacucci, 2018, che raccoglie gli atti del convegno internazionale tenutosi il 4 maggio 2015 presso il Dipartimento di Scienze Politiche dell'Università di Bari «Aldo Moro». Il saggio-cardine di Federico Imperato, «Tra equidistanza e filoarabismo. Aldo Moro e il conflitto arabo-israeliano» (pp. 47-97), analizza — come attesta la scheda del repository istituzionale dell'Università di Bari — «il ruolo dell'Italia nel conflitto arabo-israeliano, che, in quegli anni, si articolò in due guerre, quella del 1967 (Guerra dei Sei Giorni) e quella del 1973 (Guerra dello Yom Kippur)». Uniba (https://ricerca.uniba.it/handle/11586/419934)</w:t>
      </w:r>
    </w:p>
    <w:p>
      <w:pPr>
        <w:spacing w:after="120" w:line="276"/>
        <w:jc w:val="both"/>
      </w:pPr>
      <w:r>
        <w:rPr>
          <w:rFonts w:ascii="Barlow Semi Condensed" w:cs="Barlow Semi Condensed" w:eastAsia="Barlow Semi Condensed" w:hAnsi="Barlow Semi Condensed"/>
          <w:sz w:val="24"/>
          <w:szCs w:val="24"/>
        </w:rPr>
        <w:t xml:space="preserve">La categoria interpretativa dominante è quella dello scivolamento dall'«equidistanza» verso uno «sbilanciamento filoarabo palestinese condizionato dalle esigenze di sicurezza energetica», Dialnet (https://dialnet.unirioja.es/descarga/articulo/9578489.pdf) come sintetizza un saggio pubblicato sulla rivista Diacronie (Studi di Storia Contemporanea, 57, 1/2024), che rinvia a Imperato e a Luca Riccardi, «La grandezza di una media potenza. Personaggi e problemi della politica estera italiana del Novecento» (Roma, Società editrice Dante Alighieri, 2017, pp. 294-300). La documentazione attesta un episodio-chiave della guerra del Kippur: nell'audizione parlamentare del 2 dicembre 2014 dinanzi alla Commissione parlamentare di inchiesta sul caso Moro (atto pubblicato sul sito della Camera) si ricorda che «quando nel 1973 capita la guerra del Kippur, Moro rifiuta l'utilizzo delle basi militari della NATO per aiutare Israele», Camera (https://documenti.camera.it/leg17/resoconti/commissioni/stenografici/html/68/audiz2/audizione/2014/12/02/indice_stenografico.0013.html) sostenendo che «quella guerra esorbita dall'area della NATO, quindi gli americani non possono utilizzare le basi che sono nel nostro territorio». Questa è testimonianza resa in sede parlamentare, e va qualificata come tale.</w:t>
      </w:r>
    </w:p>
    <w:p>
      <w:pPr>
        <w:spacing w:after="120" w:line="276"/>
        <w:jc w:val="both"/>
      </w:pPr>
      <w:r>
        <w:rPr>
          <w:rFonts w:ascii="Barlow Semi Condensed" w:cs="Barlow Semi Condensed" w:eastAsia="Barlow Semi Condensed" w:hAnsi="Barlow Semi Condensed"/>
          <w:sz w:val="24"/>
          <w:szCs w:val="24"/>
        </w:rPr>
        <w:t xml:space="preserve">La lettera del primo ministro israeliano Levi Eshkol a Moro, richiamata dalla Fondazione Achille Grandi, è indicata come segno della «centralità italiana su quello scenario». Un ulteriore riscontro d'archivio documentale è l'intervento di Moro del giugno 1970 dopo il vertice con il ministro degli Esteri israeliano Abba Eban, citato in sede accademica (Euro-Balkan Law and Economics Review, 1/2020). Il riconoscimento dell'OLP, la posizione sulla risoluzione 242 e il ruolo dell'ENI sono trattati nella medesima collana barese e nel volume gemello «Aldo Moro, l'Italia repubblicana e i popoli del Mediterraneo» (Besa, 2013), curato da Garzia, Imperato e Monzali, che contiene il saggio «Aldo Moro, l'Italia e la questione palestinese» (pp. 233-274). Academia.edu (https://www.academia.edu/29372305/Aldo_Moro_l_Italia_e_la_questione_palestinese) Il cosiddetto «lodo Moro» è oggetto della monografia di Valentine Lomellini, «Il "lodo Moro". Terrorismo e ragion di Stato 1969-1986» (2022), fonte peer-reviewed che colloca la stagione dell'equidistanza e la sua crisi. I rapporti con Egitto, Siria, Libano, Iraq e Arabia Saudita sono documentati nella medesima produzione (si segnala «Un'amicizia italo-araba. Italia e Libano negli anni Sessanta e Settanta» e «Aldo Moro e l'Iran (1969-1974)»). L'accostamento fra Moro ed Enrico Mattei, ricorrente nella letteratura, va trattato come chiave interpretativa e non come nesso causale documentato.</w:t>
      </w:r>
    </w:p>
    <w:p>
      <w:pPr>
        <w:pStyle w:val="Heading2"/>
        <w:spacing w:after="100" w:before="200"/>
      </w:pPr>
      <w:r>
        <w:rPr>
          <w:rFonts w:ascii="Barlow Semi Condensed" w:cs="Barlow Semi Condensed" w:eastAsia="Barlow Semi Condensed" w:hAnsi="Barlow Semi Condensed"/>
          <w:sz w:val="24"/>
          <w:szCs w:val="24"/>
        </w:rPr>
        <w:t xml:space="preserve">Capitolo 4 — La CSCE: da Dipoli a Helsinki</w:t>
      </w:r>
    </w:p>
    <w:p>
      <w:pPr>
        <w:spacing w:after="120" w:line="276"/>
        <w:jc w:val="both"/>
      </w:pPr>
      <w:r>
        <w:rPr>
          <w:rFonts w:ascii="Barlow Semi Condensed" w:cs="Barlow Semi Condensed" w:eastAsia="Barlow Semi Condensed" w:hAnsi="Barlow Semi Condensed"/>
          <w:sz w:val="24"/>
          <w:szCs w:val="24"/>
        </w:rPr>
        <w:t xml:space="preserve">La partecipazione italiana alla Conferenza sulla sicurezza e la cooperazione in Europa è documentata con precisione. Il volume di riferimento indicato dal quesito è confermato: «Italia-Helsinki 50. Dall'Atto finale di Helsinki del 1975 all'OSCE di oggi», a cura di Stefano Baldi e Luciano Monzali (Editoriale Scientifica), disponibile in PDF sul dominio diplomacy.edu. Il volume riporta fonti primarie di prima mano, tra cui il documento «Ducci a Moro, 4 febbraio 1971» (pubblicato in Ministero degli Affari Esteri, «Roberto Ducci», Roma, 1989, pp. 149-154), in cui l'ambasciatore delineava a Moro le esigenze occidentali da far valere in un'eventuale CSCE: il legame fra Berlino e la Germania occidentale, una più civile convivenza fra le parti della Nazione tedesca, le prospettive di pace nel Mediterraneo e lo sviluppo della CEE come entità autonoma. Diplomacy (https://baldi.diplomacy.edu/italy/Baldi_Monzali_Italia_Helsinki_50.pdf)</w:t>
      </w:r>
    </w:p>
    <w:p>
      <w:pPr>
        <w:spacing w:after="120" w:line="276"/>
        <w:jc w:val="both"/>
      </w:pPr>
      <w:r>
        <w:rPr>
          <w:rFonts w:ascii="Barlow Semi Condensed" w:cs="Barlow Semi Condensed" w:eastAsia="Barlow Semi Condensed" w:hAnsi="Barlow Semi Condensed"/>
          <w:sz w:val="24"/>
          <w:szCs w:val="24"/>
        </w:rPr>
        <w:t xml:space="preserve">La periodizzazione è accertata: fase preliminare (consultazioni multilaterali) a Dipoli/Helsinki tra il novembre 1972 e il giugno 1973; fase di redazione a Ginevra dal settembre 1973 al luglio 1975; fase finale dal 30 luglio al 1° agosto 1975. Nuovarivistastorica (https://www.nuovarivistastorica.it/litalia-nellorganizzazione-per-la-sicurezza-e-la-cooperazione-in-europa/) L'Atto finale fu sottoscritto per l'Italia da Aldo Moro nella veste di presidente del Consiglio, e anche di presidente di turno della Comunità europea. Fra i contributi italiani più rilevanti la fonte (L'Opinione, ricostruzione di Antonino Sala) individua «la proposta Csce/Hc/18 del 15 gennaio 1973 in tema di questioni riguardanti la sicurezza». L'Opinione (https://opinione.it/politica/2024/11/26/antonino-sala-aldo-moro-conferenza-di-helsinki-nuovo-ordine-mondiale/) La formula dei «germi di cambiamento» è attestata come espressione morotea: l'Occidente «voleva instillare quelle che l'allora ministro degli Esteri Aldo Moro definiva "germi di cambiamento"» Avvenire (https://www.avvenire.it/agora/pagine/ostpolitik-) (fonte: Avvenire).</w:t>
      </w:r>
    </w:p>
    <w:p>
      <w:pPr>
        <w:spacing w:after="120" w:line="276"/>
        <w:jc w:val="both"/>
      </w:pPr>
      <w:r>
        <w:rPr>
          <w:rFonts w:ascii="Barlow Semi Condensed" w:cs="Barlow Semi Condensed" w:eastAsia="Barlow Semi Condensed" w:hAnsi="Barlow Semi Condensed"/>
          <w:sz w:val="24"/>
          <w:szCs w:val="24"/>
        </w:rPr>
        <w:t xml:space="preserve">Della delegazione italiana fece parte l'ambasciatore Luigi Vittorio Ferraris, autore di «Testimonianze di un negoziato. Helsinki-Ginevra-Helsinki» Nuovarivistastorica (https://www.nuovarivistastorica.it/litalia-nellorganizzazione-per-la-sicurezza-e-la-cooperazione-in-europa/) (Padova, CEDAM, 1977), memoria di protagonista fondamentale. La Nuova Rivista Storica attesta che «i lavori della Conferenza di Helsinki, seguiti con scarso interesse in Italia, videro Moro impegnato in momenti di tensione con la delegazione sovietica, contraria a considerare i diritti civili un elemento irrinunciabile del processo di distensione». Nuovarivistastorica (https://www.nuovarivistastorica.it/litalia-nellorganizzazione-per-la-sicurezza-e-la-cooperazione-in-europa/) Va distinto: il ruolo di Moro nel periodo 1972-1974 fu di ministro che indirizzò la posizione italiana nella fase preparatoria e negoziale; la firma solenne del 1975 avvenne da presidente del Consiglio. La posizione italiana nei tre «cesti» è materia del volume Baldi-Monzali, sede elettiva di approfondimento.</w:t>
      </w:r>
    </w:p>
    <w:p>
      <w:pPr>
        <w:pStyle w:val="Heading2"/>
        <w:spacing w:after="100" w:before="200"/>
      </w:pPr>
      <w:r>
        <w:rPr>
          <w:rFonts w:ascii="Barlow Semi Condensed" w:cs="Barlow Semi Condensed" w:eastAsia="Barlow Semi Condensed" w:hAnsi="Barlow Semi Condensed"/>
          <w:sz w:val="24"/>
          <w:szCs w:val="24"/>
        </w:rPr>
        <w:t xml:space="preserve">Capitolo 5 — NATO e Alleanza atlantica: il fianco sud e Cipro</w:t>
      </w:r>
    </w:p>
    <w:p>
      <w:pPr>
        <w:spacing w:after="120" w:line="276"/>
        <w:jc w:val="both"/>
      </w:pPr>
      <w:r>
        <w:rPr>
          <w:rFonts w:ascii="Barlow Semi Condensed" w:cs="Barlow Semi Condensed" w:eastAsia="Barlow Semi Condensed" w:hAnsi="Barlow Semi Condensed"/>
          <w:sz w:val="24"/>
          <w:szCs w:val="24"/>
        </w:rPr>
        <w:t xml:space="preserve">Il dossier atlantico durante il ministero di Moro è documentato in modo più frammentario nel perimetro web, e va in parte dichiarato come Stato Zero relativo. È accertato il quadro strategico del 1974: la fonte enciclopedica sulla questione di Cipro attesta che il 15 luglio 1974 la Guardia Nazionale cipriota, guidata da ufficiali greci, rovesciò il governo Makarios; Wikipedia (https://it.wikipedia.org/wiki/Invasione_turca_di_Cipro) che il 20 luglio 1974 iniziò l'intervento militare turco («Operazione di pace a Cipro» per Ankara, «invasione» per Atene e la comunità internazionale). La seconda offensiva («Attila 2») fu lanciata il 14 agosto 1974 e portò l'occupazione turca, secondo InsideOver, a coprire «circa il 36% della superficie dell'isola», riconosciuta esclusivamente dal governo di Ankara; la giunta militare greca crollò pochi giorni dopo. Wikipedia (https://it.wikipedia.org/wiki/Questione_di_Cipro) La crisi cadde nella fase finale del ministero Moro (V governo Rumor).</w:t>
      </w:r>
    </w:p>
    <w:p>
      <w:pPr>
        <w:spacing w:after="120" w:line="276"/>
        <w:jc w:val="both"/>
      </w:pPr>
      <w:r>
        <w:rPr>
          <w:rFonts w:ascii="Barlow Semi Condensed" w:cs="Barlow Semi Condensed" w:eastAsia="Barlow Semi Condensed" w:hAnsi="Barlow Semi Condensed"/>
          <w:sz w:val="24"/>
          <w:szCs w:val="24"/>
        </w:rPr>
        <w:t xml:space="preserve">La posizione italiana specifica nel Nuclear Planning Group, il tema del riequilibrio della flotta sovietica nel Mediterraneo, le riunioni ministeriali NATO 1969-1974 con Moro presente e i rapporti con la Grecia dei colonnelli e con la Turchia non hanno trovato, nel perimetro delle fonti reperite, documentazione primaria puntuale. Questi restano Stati Zero da colmare presso l'Archivio storico-diplomatico della Farnesina (serie NATO/atlantico), presso il NATO Archives Online e presso i Foreign Relations of the United States. La contestualizzazione dell'Italia come «ventre della NATO» e la percezione statunitense del suo interesse strategico crescente nel 1974 (con Grecia, Portogallo e Spagna in crisi simultanea) è attestata solo da fonte pubblicistica militante (Fondazione Cipriani) e va usata con cautela, come cornice e non come prova. Il memorandum of conversation del 25 settembre 1974 fra Leone, Moro, Ford e Kissinger (Ford Library doc. 1552802; FRUS 1969-1976 vol. E-15 part 2 doc. 350), già accertato nelle ricognizioni precedenti, costituisce la fonte primaria di riferimento sul rapporto atlantico nella fase terminale del ministero.</w:t>
      </w:r>
    </w:p>
    <w:p>
      <w:pPr>
        <w:pStyle w:val="Heading2"/>
        <w:spacing w:after="100" w:before="200"/>
      </w:pPr>
      <w:r>
        <w:rPr>
          <w:rFonts w:ascii="Barlow Semi Condensed" w:cs="Barlow Semi Condensed" w:eastAsia="Barlow Semi Condensed" w:hAnsi="Barlow Semi Condensed"/>
          <w:sz w:val="24"/>
          <w:szCs w:val="24"/>
        </w:rPr>
        <w:t xml:space="preserve">Capitolo 6 — Nazioni Unite, non proliferazione e multilaterale</w:t>
      </w:r>
    </w:p>
    <w:p>
      <w:pPr>
        <w:spacing w:after="120" w:line="276"/>
        <w:jc w:val="both"/>
      </w:pPr>
      <w:r>
        <w:rPr>
          <w:rFonts w:ascii="Barlow Semi Condensed" w:cs="Barlow Semi Condensed" w:eastAsia="Barlow Semi Condensed" w:hAnsi="Barlow Semi Condensed"/>
          <w:sz w:val="24"/>
          <w:szCs w:val="24"/>
        </w:rPr>
        <w:t xml:space="preserve">Il dossier onusiano e del disarmo è ben documentato sul punto centrale del Trattato di non proliferazione nucleare (TNP). È accertato (fonti convergenti: Centro di Ateneo per i Diritti Umani dell'Università di Padova, Archivio Disarmo, testo di legge su vLex) che l'Italia firmò il TNP il 28 gennaio 1969 e lo ratificò con la legge 24 aprile 1975, n. 131 («Ratifica ed esecuzione del trattato contro la proliferazione delle armi nucleari, firmato a Londra, Mosca e Washington il 1° luglio 1968»), pubblicata sulla Gazzetta Ufficiale n. 113 del 30 aprile 1975. La ratifica avvenne il 2 maggio 1975 (Washington, Londra) e il 4 maggio 1975 (Mosca), con entrata in vigore per l'Italia il 2 maggio 1975. Unipd-centrodirittiumani (https://unipd-centrodirittiumani.it/it/archivi/strumenti-internazionali/trattato-di-non-proliferazione-nucleare-1968) Il Presidente Giovanni Leone appose la firma alla legge 131 il 24 aprile 1975. Spazio70 (https://spazio70.com/pre-anni-70/il-pre-sessantotto/latomica-infranta-la-breve-parabola-del-nucleare-militare-italiano/)</w:t>
      </w:r>
    </w:p>
    <w:p>
      <w:pPr>
        <w:spacing w:after="120" w:line="276"/>
        <w:jc w:val="both"/>
      </w:pPr>
      <w:r>
        <w:rPr>
          <w:rFonts w:ascii="Barlow Semi Condensed" w:cs="Barlow Semi Condensed" w:eastAsia="Barlow Semi Condensed" w:hAnsi="Barlow Semi Condensed"/>
          <w:sz w:val="24"/>
          <w:szCs w:val="24"/>
        </w:rPr>
        <w:t xml:space="preserve">Lo iato di sei anni fra firma e ratifica è la chiave storiografica del dossier. Lo studio di Leopoldo Nuti sull'Italia come «stato soglia» è correttamente richiamato: come sintetizza la voce enciclopedica sul programma nucleare militare italiano, «Nuti, ripercorrendo il tortuoso processo di ratifica del trattato di non proliferazione nucleare da parte dell'Italia, ritiene che la classe dirigente dell'epoca abbia voluto mantenere fino all'ultimo lo status di "paese soglia", non in possesso di armi nucleari ma in grado di dotarsene in breve tempo». Wikipedia (https://it.wikipedia.org/wiki/Programma_nucleare_militare_italiano) Il dibattito coinvolse figure della diplomazia come Roberto Ducci e Roberto Gaja, contrari o critici (fonte: Spazio70). I due rinvii della ratifica furono motivati con i moti di Praga del 1968 e con il primo test nucleare indiano del 18 maggio 1974 (nome in codice «Smiling Buddha», Pokhran-I, poligono di Pokhran nel Rajasthan, potenza stimata circa 8 kt, primo test da parte di uno Stato esterno ai cinque membri permanenti del Consiglio di Sicurezza ONU, presentato dall'India come «peaceful nuclear explosion»). Va distinto: le fonti attestano la strategia dilatoria; l'intenzione precisa dei singoli attori è materia di interpretazione storiografica (Nuti), non di prova documentale univoca.</w:t>
      </w:r>
    </w:p>
    <w:p>
      <w:pPr>
        <w:spacing w:after="120" w:line="276"/>
        <w:jc w:val="both"/>
      </w:pPr>
      <w:r>
        <w:rPr>
          <w:rFonts w:ascii="Barlow Semi Condensed" w:cs="Barlow Semi Condensed" w:eastAsia="Barlow Semi Condensed" w:hAnsi="Barlow Semi Condensed"/>
          <w:sz w:val="24"/>
          <w:szCs w:val="24"/>
        </w:rPr>
        <w:t xml:space="preserve">Gli interventi di Moro all'Assemblea generale, la riforma delle Nazioni Unite, la Conferenza ONU sull'energia atomica del 1971 e l'ingresso delle due Germanie all'ONU nel 1973 non hanno trovato documentazione primaria puntuale nel perimetro reperito e costituiscono Stati Zero da colmare presso l'Edizione Nazionale delle Opere di Aldo Moro e presso gli atti dell'Assemblea generale ONU. La diplomazia multilaterale morotea è oggetto del saggio di Luciano Tosi nel volume Besa 2012 («Per una nuova comunità internazionale», pp. 15-57), sede di approfondimento.</w:t>
      </w:r>
    </w:p>
    <w:p>
      <w:pPr>
        <w:pStyle w:val="Heading2"/>
        <w:spacing w:after="100" w:before="200"/>
      </w:pPr>
      <w:r>
        <w:rPr>
          <w:rFonts w:ascii="Barlow Semi Condensed" w:cs="Barlow Semi Condensed" w:eastAsia="Barlow Semi Condensed" w:hAnsi="Barlow Semi Condensed"/>
          <w:sz w:val="24"/>
          <w:szCs w:val="24"/>
        </w:rPr>
        <w:t xml:space="preserve">Capitolo 7 — Cina e Asia: il riconoscimento del 1970</w:t>
      </w:r>
    </w:p>
    <w:p>
      <w:pPr>
        <w:spacing w:after="120" w:line="276"/>
        <w:jc w:val="both"/>
      </w:pPr>
      <w:r>
        <w:rPr>
          <w:rFonts w:ascii="Barlow Semi Condensed" w:cs="Barlow Semi Condensed" w:eastAsia="Barlow Semi Condensed" w:hAnsi="Barlow Semi Condensed"/>
          <w:sz w:val="24"/>
          <w:szCs w:val="24"/>
        </w:rPr>
        <w:t xml:space="preserve">Il riconoscimento della Repubblica popolare cinese è tra i dossier meglio documentati. È accertato — con una divergenza di data da segnalare — che la normalizzazione fu formalizzata con un comunicato congiunto. La maggior parte delle fonti (T.wai, Radio Cina Internazionale, Lo Spiegone) indica la data del 6 novembre 1970 come giorno della pubblicazione simultanea a Roma e Pechino del «Comunicato congiunto sull'istituzione delle relazioni diplomatiche»; Radio Cina Internazionale (https://italian.cri.cn/mychina/notizie/3210/20201106/573336.html) altre fonti divulgative indicano il 5 novembre 1970. La divergenza va riportata: il comunicato fu reso pubblico il 6 novembre 1970, mentre l'atto di firma/conclusione del negoziato è talora datato al 6 ottobre 1970 (così la scheda editoriale Rubbettino del volume documentale «La normalizzazione delle relazioni diplomatiche tra la Repubblica Italiana e la Repubblica Popolare Cinese»).</w:t>
      </w:r>
    </w:p>
    <w:p>
      <w:pPr>
        <w:spacing w:after="120" w:line="276"/>
        <w:jc w:val="both"/>
      </w:pPr>
      <w:r>
        <w:rPr>
          <w:rFonts w:ascii="Barlow Semi Condensed" w:cs="Barlow Semi Condensed" w:eastAsia="Barlow Semi Condensed" w:hAnsi="Barlow Semi Condensed"/>
          <w:sz w:val="24"/>
          <w:szCs w:val="24"/>
        </w:rPr>
        <w:t xml:space="preserve">L'iniziativa è correttamente attribuita a Pietro Nenni: la scheda Rubbettino attesta che le conversazioni si svolsero «tra il febbraio 1969 e il 6 ottobre 1970» Rubbettino editore (https://www.store.rubbettinoeditore.it/catalogo/la-normalizzazione-delle-relazioni-diplomatiche-tra-la-repubblica-italiana-e-la-repubblica-popolare-cinese/) e che «il dicastero degli Affari esteri, alla fine del 1969, passò dalla guida di Pietro Nenni a quella di Aldo Moro»; Rubbettino editore (https://www.store.rubbettinoeditore.it/catalogo/la-normalizzazione-delle-relazioni-diplomatiche-tra-la-repubblica-italiana-e-la-repubblica-popolare-cinese/) i negoziati furono conclusi «da un Governo nel quale Moro era ancora ministro degli esteri, ma il presidente del Consiglio era Emilio Colombo». Rubbettino editore (https://www.store.rubbettinoeditore.it/catalogo/la-normalizzazione-delle-relazioni-diplomatiche-tra-la-repubblica-italiana-e-la-repubblica-popolare-cinese/) Lo snodo negoziale, come attesta la stessa fonte editoriale, fu «la ricerca di una formula tale da escludere nel modo più tassativo il riconoscimento della teoria dell'esistenza di "due Cine"». Rubbettino editore (https://www.store.rubbettinoeditore.it/catalogo/la-normalizzazione-delle-relazioni-diplomatiche-tra-la-repubblica-italiana-e-la-repubblica-popolare-cinese/) Il comunicato prevedeva che il governo italiano riconoscesse la RPC come unico governo legale della Cina e «prendesse atto» della dichiarazione cinese secondo cui Taiwan era parte inalienabile del territorio della RPC. Lo studio peer-reviewed di riferimento è Maria Paola Olla Brundu, «Pietro Nenni, Aldo Moro e il riconoscimento della Cina comunista», in «Le Carte e la Storia», 10:2 (2004), pp. 29-51 (DOI 10.1411/18738). University of Milan (https://air.unimi.it/handle/2434/16750)</w:t>
      </w:r>
    </w:p>
    <w:p>
      <w:pPr>
        <w:spacing w:after="120" w:line="276"/>
        <w:jc w:val="both"/>
      </w:pPr>
      <w:r>
        <w:rPr>
          <w:rFonts w:ascii="Barlow Semi Condensed" w:cs="Barlow Semi Condensed" w:eastAsia="Barlow Semi Condensed" w:hAnsi="Barlow Semi Condensed"/>
          <w:sz w:val="24"/>
          <w:szCs w:val="24"/>
        </w:rPr>
        <w:t xml:space="preserve">Il telegramma ministeriale del 28 novembre 1970, il progetto di visita ministeriale in Cina (telegramma 5472/0 del 29 dicembre 1972), l'interscambio 1973-1976 e i rapporti con Giappone, India e Pakistan costituiscono Stati Zero nel perimetro reperito: la ricerca va condotta sull'Edizione Nazionale delle Opere di Aldo Moro, sull'Archivio storico-diplomatico della Farnesina e — per il Pakistan — sullo studio dedicato «Aldo Moro e le relazioni italo-pakistane (1963-1976)», citato nella bibliografia della collana barese.</w:t>
      </w:r>
    </w:p>
    <w:p>
      <w:pPr>
        <w:pStyle w:val="Heading2"/>
        <w:spacing w:after="100" w:before="200"/>
      </w:pPr>
      <w:r>
        <w:rPr>
          <w:rFonts w:ascii="Barlow Semi Condensed" w:cs="Barlow Semi Condensed" w:eastAsia="Barlow Semi Condensed" w:hAnsi="Barlow Semi Condensed"/>
          <w:sz w:val="24"/>
          <w:szCs w:val="24"/>
        </w:rPr>
        <w:t xml:space="preserve">Capitolo 8 — La Comunità europea: dall'Aja al primo allargamento</w:t>
      </w:r>
    </w:p>
    <w:p>
      <w:pPr>
        <w:spacing w:after="120" w:line="276"/>
        <w:jc w:val="both"/>
      </w:pPr>
      <w:r>
        <w:rPr>
          <w:rFonts w:ascii="Barlow Semi Condensed" w:cs="Barlow Semi Condensed" w:eastAsia="Barlow Semi Condensed" w:hAnsi="Barlow Semi Condensed"/>
          <w:sz w:val="24"/>
          <w:szCs w:val="24"/>
        </w:rPr>
        <w:t xml:space="preserve">Il dossier europeo documenta il giudizio storiografico sulle «incertezze del nuovo ministro» al Vertice dell'Aja del 1-2 dicembre 1969. Il volume di riferimento è Maria Eleonora Guasconi, «L'Europa tra continuità e cambiamento. Il vertice dell'Aja del 1969 e il rilancio della costruzione europea» (Firenze, Polistampa, 2006), che ricostruisce «una cerniera tra il periodo di avvio della Comunità e il primo allargamento» nel binomio approfondimento-allargamento. Uniurb (https://ora.uniurb.it/handle/11576/1890940) La saggistica accademica (Officina della Storia) attesta che Moro «si rese protagonista di un "giallo" sulla data di inizio del vertice, fissato dapprima per il 17 e 18 novembre, e spostato successivamente al 1° e 2 dicembre, a causa di una presunta "malattia" del ministro degli Esteri italiano», Officinadellastoria (https://www.officinadellastoria.eu/it/2018/07/19/leuropa-tra-crisi-e-rilancio-il-vertice-dellaja-del-1969/) e che l'Italia sosteneva apertamente l'ingresso della Gran Bretagna nella CEE «nella speranza che una convergenza tra Roma e Londra servisse a bilanciare il preponderante asse franco-tedesco». Officinadellastoria (https://www.officinadellastoria.eu/it/2018/07/19/leuropa-tra-crisi-e-rilancio-il-vertice-dellaja-del-1969/) Moro proponeva di accompagnare la cooperazione monetaria con la cooperazione politica, l'elezione diretta del Parlamento europeo e una politica per la gioventù europea, arrivando a minacciare di non partecipare al vertice se Pompidou non avesse inserito una data d'inizio dei negoziati con la Gran Bretagna nel comunicato finale. Officinadellastoria (https://www.officinadellastoria.eu/it/2018/07/19/leuropa-tra-crisi-e-rilancio-il-vertice-dellaja-del-1969/)</w:t>
      </w:r>
    </w:p>
    <w:p>
      <w:pPr>
        <w:spacing w:after="120" w:line="276"/>
        <w:jc w:val="both"/>
      </w:pPr>
      <w:r>
        <w:rPr>
          <w:rFonts w:ascii="Barlow Semi Condensed" w:cs="Barlow Semi Condensed" w:eastAsia="Barlow Semi Condensed" w:hAnsi="Barlow Semi Condensed"/>
          <w:sz w:val="24"/>
          <w:szCs w:val="24"/>
        </w:rPr>
        <w:t xml:space="preserve">Il saggio di Guido Levi, «L'integrazione della Spagna nella Comunità europea: il ruolo dell'Italia» (Spagna contemporanea, 2016, n. 49, pp. 69-101), fonte peer-reviewed, conferma con ricorso agli archivi (ASUE Firenze, Istituto Sturzo) che «al Vertice dell'Aja […] il nostro Paese finì per giocare un ruolo piuttosto marginale anche per le incertezze del nuovo ministro degli Esteri Aldo Moro, che aveva sostituito da pochi mesi Pietro Nenni alla guida della Farnesina».</w:t>
      </w:r>
    </w:p>
    <w:p>
      <w:pPr>
        <w:spacing w:after="120" w:line="276"/>
        <w:jc w:val="both"/>
      </w:pPr>
      <w:r>
        <w:rPr>
          <w:rFonts w:ascii="Barlow Semi Condensed" w:cs="Barlow Semi Condensed" w:eastAsia="Barlow Semi Condensed" w:hAnsi="Barlow Semi Condensed"/>
          <w:sz w:val="24"/>
          <w:szCs w:val="24"/>
        </w:rPr>
        <w:t xml:space="preserve">È accertata la cronologia successiva: dal Vertice dell'Aja nacquero, nel marzo 1971, l'avvio della prima tappa del Piano Werner e, l'anno successivo, il «Serpente monetario». LuissThesis (https://tesi.luiss.it/40220/1/102822_DE%20MARTINO_TOMMASO.pdf) Il primo allargamento a Danimarca, Irlanda e Regno Unito entrò in vigore il 1° gennaio 1973. L'uscita della lira dal serpente monetario nel febbraio 1973, il Vertice di Parigi del 19-20 ottobre 1972, il Vertice di Copenaghen del 14-15 dicembre 1973 con il dialogo euro-arabo e il Fondo europeo di sviluppo regionale sono richiamati dalle fonti come tappe, ma la documentazione primaria puntuale sulla posizione morotea in ciascuno di essi resta in parte Stato Zero, da colmare sull'Edizione Nazionale delle Opere e sui documenti CVCE (Centre virtuel de la connaissance sur l'Europe).</w:t>
      </w:r>
    </w:p>
    <w:p>
      <w:pPr>
        <w:pStyle w:val="Heading2"/>
        <w:spacing w:after="100" w:before="200"/>
      </w:pPr>
      <w:r>
        <w:rPr>
          <w:rFonts w:ascii="Barlow Semi Condensed" w:cs="Barlow Semi Condensed" w:eastAsia="Barlow Semi Condensed" w:hAnsi="Barlow Semi Condensed"/>
          <w:sz w:val="24"/>
          <w:szCs w:val="24"/>
        </w:rPr>
        <w:t xml:space="preserve">Capitolo 9 — Gli atti parlamentari italiani e le edizioni delle opere</w:t>
      </w:r>
    </w:p>
    <w:p>
      <w:pPr>
        <w:spacing w:after="120" w:line="276"/>
        <w:jc w:val="both"/>
      </w:pPr>
      <w:r>
        <w:rPr>
          <w:rFonts w:ascii="Barlow Semi Condensed" w:cs="Barlow Semi Condensed" w:eastAsia="Barlow Semi Condensed" w:hAnsi="Barlow Semi Condensed"/>
          <w:sz w:val="24"/>
          <w:szCs w:val="24"/>
        </w:rPr>
        <w:t xml:space="preserve">Il dossier delle fonti parlamentari e delle edizioni è accertato nella sua struttura. La raccolta ufficiale è «Aldo Moro, Discorsi parlamentari», 2 volumi, a cura di Emilia Lamaro, introduzione di Mino Martinazzoli, Roma, Camera dei deputati, 1996 (vol. I, 1947-1963; vol. II, 1963-1977), Aldomoro (http://www.aldomoro.eu/scritti.php) presentata a Torino il 19 maggio 1996 con interventi di Violante, Arfè, D'Alema, Elia, Urbani e Martinazzoli Radio Radicale (https://www.radioradicale.it/scheda/82006/dalla-costituente-allunita-nazionale-gli-scritti-parlamentari-di-aldo-moro) (fonte: Radio Radicale; sito aldomoro.eu). La bibliografia mostra citazioni puntuali del vol. II, tra cui la «Replica alla Camera dei Deputati 21 febbraio 1976» (p. 1577), Uniba (https://ojs.cimedoc.uniba.it/index.php/law/article/download/1152/966) utilizzata dalla letteratura accademica.</w:t>
      </w:r>
    </w:p>
    <w:p>
      <w:pPr>
        <w:spacing w:after="120" w:line="276"/>
        <w:jc w:val="both"/>
      </w:pPr>
      <w:r>
        <w:rPr>
          <w:rFonts w:ascii="Barlow Semi Condensed" w:cs="Barlow Semi Condensed" w:eastAsia="Barlow Semi Condensed" w:hAnsi="Barlow Semi Condensed"/>
          <w:sz w:val="24"/>
          <w:szCs w:val="24"/>
        </w:rPr>
        <w:t xml:space="preserve">L'Edizione Nazionale delle Opere di Aldo Moro è confermata dalla citazione, in ambito accademico, del «Vol. 4, L'ultima fase (1973-1978), Tomo 1, Al Ministero degli Esteri e all'opposizione nel partito (giugno 1968 – maggio 1973), a cura di G. Formigoni e A.» Academia.edu (https://www.academia.edu/40539138/Fra_diplomazia_e_petrolio_Aldo_Moro_e_la_politica_italiana_in_Medio_Oriente) (fonte: bibliografia della collana barese). Il portale aldomorodigitale.unibo.it è il riferimento digitale dell'Edizione Nazionale. Il Fondo Aldo Moro presso l'Archivio storico del Senato è documentato dal portale patrimonio.archivio.senato.it, che restituisce unità archivistiche del tipo «Intervento alla Commissione esteri della Camera dei deputati» con segnatura IT-AFS-048 e con la descrizione «Tre stesure del discorso, di cui una manoscritta; materiale preparatorio» Senato della Repubblica (https://patrimonio.archivio.senato.it/inventario/scheda/aldo-moro/IT-AFS-048-000644/intervento-alla-commissione-%20esteri-della-camera-deputati) (unità UA0621, con 167 immagini digitalizzate).</w:t>
      </w:r>
    </w:p>
    <w:p>
      <w:pPr>
        <w:spacing w:after="120" w:line="276"/>
        <w:jc w:val="both"/>
      </w:pPr>
      <w:r>
        <w:rPr>
          <w:rFonts w:ascii="Barlow Semi Condensed" w:cs="Barlow Semi Condensed" w:eastAsia="Barlow Semi Condensed" w:hAnsi="Barlow Semi Condensed"/>
          <w:sz w:val="24"/>
          <w:szCs w:val="24"/>
        </w:rPr>
        <w:t xml:space="preserve">Le repliche specifiche di Moro sui bilanci del Ministero degli Affari Esteri per gli esercizi 1970, 1971, 1972 e 1974, con numero di seduta e data, non sono state reperite con precisione nel perimetro web e costituiscono uno Stato Zero da colmare direttamente sui resoconti stenografici dell'Assemblea e della III Commissione (esteri) della Camera, consultabili sul portale storico camera.it, e sul vol. II dei «Discorsi parlamentari». Un riferimento documentale utile emerso è l'intervento «Commissione esteri della Camera dei deputati 28 febbraio 1974», citato in sede accademica.</w:t>
      </w:r>
    </w:p>
    <w:p>
      <w:pPr>
        <w:pStyle w:val="Heading2"/>
        <w:spacing w:after="100" w:before="200"/>
      </w:pPr>
      <w:r>
        <w:rPr>
          <w:rFonts w:ascii="Barlow Semi Condensed" w:cs="Barlow Semi Condensed" w:eastAsia="Barlow Semi Condensed" w:hAnsi="Barlow Semi Condensed"/>
          <w:sz w:val="24"/>
          <w:szCs w:val="24"/>
        </w:rPr>
        <w:t xml:space="preserve">Capitolo 10 — L'Opus Dei come soggetto storico</w:t>
      </w:r>
    </w:p>
    <w:p>
      <w:pPr>
        <w:spacing w:after="120" w:line="276"/>
        <w:jc w:val="both"/>
      </w:pPr>
      <w:r>
        <w:rPr>
          <w:rFonts w:ascii="Barlow Semi Condensed" w:cs="Barlow Semi Condensed" w:eastAsia="Barlow Semi Condensed" w:hAnsi="Barlow Semi Condensed"/>
          <w:sz w:val="24"/>
          <w:szCs w:val="24"/>
        </w:rPr>
        <w:t xml:space="preserve">Il dossier Opus Dei richiede la massima disciplina metodologica: appartenenza di persone all'ente e condotta dell'ente vanno tenute distinte. È accertato (fonte primaria: documento CIA «Weekly Summary Special Report: Policies of the New Spanish Cabinet» del 22 maggio 1970, protocollo CIA-RDP85T00875R001500020027-1, originariamente SECRET, declassificato) che, nella formazione del governo dell'ottobre 1969, «Franco abandoned his usual policy of keeping a balanced representation of all the major groups that support him and gave the largest number of portfolios to businessmen and technical experts who are either members of or associated with members of the influential Catholic lay organization Opus Dei». cia (https://www.cia.gov/readingroom/print/1921790) Il documento definisce López Rodó «the outstanding man in the new cabinet» cia (https://www.cia.gov/readingroom/print/1921790) e ne cita esplicitamente «his membership in Opus Dei». cia (https://www.cia.gov/readingroom/print/1921790) Il governo dell'ottobre 1969 fu battezzato dagli avversari «gobierno monocolor» (fonte enciclopedica spagnola), termine che alcuni storici contestano perché «le discrepanze tra i ministri erano sostanziali in alcuni temi». Wikipedia (https://es.wikipedia.org/wiki/Segundo_franquismo)</w:t>
      </w:r>
    </w:p>
    <w:p>
      <w:pPr>
        <w:spacing w:after="120" w:line="276"/>
        <w:jc w:val="both"/>
      </w:pPr>
      <w:r>
        <w:rPr>
          <w:rFonts w:ascii="Barlow Semi Condensed" w:cs="Barlow Semi Condensed" w:eastAsia="Barlow Semi Condensed" w:hAnsi="Barlow Semi Condensed"/>
          <w:sz w:val="24"/>
          <w:szCs w:val="24"/>
        </w:rPr>
        <w:t xml:space="preserve">La storiografia spagnola invita alla cautela sulla categoria «tecnocrati». La stessa Opus Dei, fonte ufficiale dell'organizzazione (opusdei.org), riporta il giudizio di Javier Tusell secondo cui López Rodó e Navarro Rubio «erano più esattamente parte di quella che si chiamò "la burocrazia dei numeri uno"», e che «a inizio anni Sessanta c'era più tensione tra López Rodó e Navarro Rubio che tra López Rodó e Fraga». Opus Dei (https://opusdei.org/es-es/article/2-sobre-la-existencia-de-un-grupo-de-ministros-denominados-tecnocratas-y-su-identificacion-con-el-opus-dei/) Lo studio accademico di Carlos Barrera, «El Opus Dei y la prensa en el tardofranquismo» (in una rivista del CEPC, n. 28, 2012, pp. 139-165), affronta il tema di «realidad, mito e historiografía». CEPC (https://www.cepc.gob.es/sites/default/files/2022-06/365127-carlos-barrera.pdf) Il saggio peer-reviewed di riferimento indicato dal quesito è confermato: Leslie Mackenzie, «The Political Ideas of the Opus Dei in Spain», in «Government and Opposition», vol. 8, n. 1 (Winter 1973), pp. 72-92, Cambridge University Press, DOI 10.1111/j.1477-7053.1973.tb00859.x. L'articolo attesta che l'Opus Dei fu fondata nel 1928 da Escrivá de Balaguer, che «its existence is public but its membership has always been secret», che nel 1947 fu riconosciuta come primo Istituto secolare e che «the centre of the organization moved to Rome»; cambridge (https://cambridge.org/core/journals/government-and-opposition/article/political-ideas-of-the-opus-dei-in-spain/DC7BF5C84A19EE970C79D3C0C4D98505) e che «it worked towards this aim through the positioning of its members in places of power within society: preferably in university chairs, banking, business or bureaucratic positions».</w:t>
      </w:r>
    </w:p>
    <w:p>
      <w:pPr>
        <w:spacing w:after="120" w:line="276"/>
        <w:jc w:val="both"/>
      </w:pPr>
      <w:r>
        <w:rPr>
          <w:rFonts w:ascii="Barlow Semi Condensed" w:cs="Barlow Semi Condensed" w:eastAsia="Barlow Semi Condensed" w:hAnsi="Barlow Semi Condensed"/>
          <w:sz w:val="24"/>
          <w:szCs w:val="24"/>
        </w:rPr>
        <w:t xml:space="preserve">Lo statuto canonico e il percorso verso la prelatura personale sono accertati: l'Opus Dei fu eretta prelatura personale da Giovanni Paolo II con la costituzione apostolica «Ut sit» del 28 novembre 1982, esecutiva il 19 marzo 1983 Opus Dei (https://opusdei.org/it-it/article/opus-dei-trenta-anni-di-prelatura-personale/) (fonti: opusdei.org; SettimanaNews). La presenza dell'ente in Italia è documentata dall'Associazione Italiana dei Professori di Storia della Chiesa: «la presenza dell'Opus Dei in Italia risale agli anni della II Guerra Mondiale: nel 1942, infatti, due giovani membri spagnoli dell'istituzione giunsero a Roma per motivi di studio», Storiadellachiesa (https://www.storiadellachiesa.it/glossary/prelatura-personale-e-la-chiesa-in-italia/) con successiva apertura di centri a Palermo e Milano (1949), Napoli (1952) Storiadellachiesa (https://www.storiadellachiesa.it/glossary/prelatura-personale-e-la-chiesa-in-italia/) e in altre città. La biografia di Gregorio López Bravo di Gabriel Pérez Gómez (Rialp, Madrid, 2024) è confermata come fonte che utilizza «los archivos depositados en la Biblioteca de la Universidad de Navarra, los del Estado, incluso los de la CIA», El Confidencial Digital (https://www.elconfidencialdigital.com/religion/articulo/de-libros/gregorio-lopez-bravo-miembro-opus-dei-servicio-progreso-espana/20241007004039050434.html) e che pubblica «la larga nota que escribió López Bravo nada más terminar la entrevista en el avión» El Confidencial Digital (https://www.elconfidencialdigital.com/religion/articulo/de-libros/gregorio-lopez-bravo-miembro-opus-dei-servicio-progreso-espana/20241007004039050434.html) del 12 gennaio 1973.</w:t>
      </w:r>
    </w:p>
    <w:p>
      <w:pPr>
        <w:pStyle w:val="Heading2"/>
        <w:spacing w:after="100" w:before="200"/>
      </w:pPr>
      <w:r>
        <w:rPr>
          <w:rFonts w:ascii="Barlow Semi Condensed" w:cs="Barlow Semi Condensed" w:eastAsia="Barlow Semi Condensed" w:hAnsi="Barlow Semi Condensed"/>
          <w:sz w:val="24"/>
          <w:szCs w:val="24"/>
        </w:rPr>
        <w:t xml:space="preserve">Capitolo 11 — Le triangolazioni da verificare: Moro e i ministri spagnoli</w:t>
      </w:r>
    </w:p>
    <w:p>
      <w:pPr>
        <w:spacing w:after="120" w:line="276"/>
        <w:jc w:val="both"/>
      </w:pPr>
      <w:r>
        <w:rPr>
          <w:rFonts w:ascii="Barlow Semi Condensed" w:cs="Barlow Semi Condensed" w:eastAsia="Barlow Semi Condensed" w:hAnsi="Barlow Semi Condensed"/>
          <w:sz w:val="24"/>
          <w:szCs w:val="24"/>
        </w:rPr>
        <w:t xml:space="preserve">Questo capitolo raccoglie il maggior numero di Stati Zero, che vanno dichiarati come acquisizioni di pieno valore. Sul contatto diretto fra Moro e i tre ministri degli Esteri spagnoli — Gregorio López Bravo (ottobre 1969-giugno 1973), Laureano López Rodó (giugno 1973-gennaio 1974) Wikipedia (https://en.wikipedia.org/wiki/Laureano_L%C3%B3pez_Rod%C3%B3) e Pedro Cortina Mauri (gennaio 1974-dicembre 1975) — la ricerca non ha reperito alcuna fonte primaria (archivistica, atto parlamentare o memoriale) che attesti un incontro bilaterale, una corrispondenza o una presa di posizione reciproca personale. Si dichiara pertanto Stato Zero per il contatto diretto documentato. La verifica va condotta presso l'Archivio storico-diplomatico della Farnesina e presso l'Archivo General de la Administración di Alcalá de Henares (fondi del Ministerio de Asuntos Exteriores fino al 1985 circa).</w:t>
      </w:r>
    </w:p>
    <w:p>
      <w:pPr>
        <w:spacing w:after="120" w:line="276"/>
        <w:jc w:val="both"/>
      </w:pPr>
      <w:r>
        <w:rPr>
          <w:rFonts w:ascii="Barlow Semi Condensed" w:cs="Barlow Semi Condensed" w:eastAsia="Barlow Semi Condensed" w:hAnsi="Barlow Semi Condensed"/>
          <w:sz w:val="24"/>
          <w:szCs w:val="24"/>
        </w:rPr>
        <w:t xml:space="preserve">L'assenza è coerente con il contesto documentato dal saggio peer-reviewed di Guido Levi (Spagna contemporanea, 2016): l'Italia mantenne verso la Spagna franchista un profilo di deliberata freddezza, con «avversione ideologica verso il regime di Franco». Levi segnala anche il limite archivistico decisivo: «essendo non consultabili negli anni presi in esame i fondi conservati presso il ministero degli Affari Esteri», la storiografia esistente non ha ancora potuto sfruttare pienamente i documenti italiani. Va distinto: l'assenza di riscontro non è prova di assenza del fatto; è assenza di documentazione reperibile allo stato.</w:t>
      </w:r>
    </w:p>
    <w:p>
      <w:pPr>
        <w:spacing w:after="120" w:line="276"/>
        <w:jc w:val="both"/>
      </w:pPr>
      <w:r>
        <w:rPr>
          <w:rFonts w:ascii="Barlow Semi Condensed" w:cs="Barlow Semi Condensed" w:eastAsia="Barlow Semi Condensed" w:hAnsi="Barlow Semi Condensed"/>
          <w:sz w:val="24"/>
          <w:szCs w:val="24"/>
        </w:rPr>
        <w:t xml:space="preserve">Sull'identità del funzionario italiano che nella primavera del 1970 oppose il rifiuto al patto mediterraneo, il documento CIA del 22 maggio 1970 attesta: «The idea is likely to remain a French-Spanish project, for an Italian official has already said his country would not be interested». cia (https://www.cia.gov/readingroom/print/1921790) Il documento NON identifica per nome il funzionario, usando la formula generica «an Italian official». Qualsiasi identificazione con Moro è dunque un'inferenza non supportata dal documento e va qualificata come tale: il termine «official» è indeterminato e può indicare un diplomatico o funzionario di rango non ministeriale. Immediatamente prima, il documento riporta che «Lopez Bravo told Secretary Rogers last month that he had discussed with the French how such a pact arrangement might be achieved, but that Spain would act with the full understanding and support of the United States».</w:t>
      </w:r>
    </w:p>
    <w:p>
      <w:pPr>
        <w:spacing w:after="120" w:line="276"/>
        <w:jc w:val="both"/>
      </w:pPr>
      <w:r>
        <w:rPr>
          <w:rFonts w:ascii="Barlow Semi Condensed" w:cs="Barlow Semi Condensed" w:eastAsia="Barlow Semi Condensed" w:hAnsi="Barlow Semi Condensed"/>
          <w:sz w:val="24"/>
          <w:szCs w:val="24"/>
        </w:rPr>
        <w:t xml:space="preserve">Sulla posizione spagnola in materia di CSCE il medesimo documento CIA attesta che la Spagna aveva accettato in linea di principio la proposta del Patto di Varsavia per una conferenza sulla sicurezza europea e ne sollecitava una data prima di settembre, «a stand that goes beyond the more cautious NATO position»: cia (https://www.cia.gov/readingroom/print/1921790) la posizione spagnola era dunque, nel maggio 1970, più avanzata di quella NATO. Il documento non descrive la posizione italiana specifica; il confronto puntuale Italia-Spagna sulla CSCE resta uno Stato Zero da colmare sui documenti diplomatici italiani. Sulla posizione italiana circa l'ingresso della Spagna nella NATO, va ricordato (fonte enciclopedica) che l'adesione spagnola all'Alleanza avvenne solo nel 1982, Wikipedia (https://es.wikipedia.org/wiki/Relaciones_OTAN-Espa%C3%B1a) ben oltre l'orizzonte del ministero Moro; nessun ruolo diretto di Moro è attestato.</w:t>
      </w:r>
    </w:p>
    <w:p>
      <w:pPr>
        <w:spacing w:after="120" w:line="276"/>
        <w:jc w:val="both"/>
      </w:pPr>
      <w:r>
        <w:rPr>
          <w:rFonts w:ascii="Barlow Semi Condensed" w:cs="Barlow Semi Condensed" w:eastAsia="Barlow Semi Condensed" w:hAnsi="Barlow Semi Condensed"/>
          <w:sz w:val="24"/>
          <w:szCs w:val="24"/>
        </w:rPr>
        <w:t xml:space="preserve">Sulla reazione spagnola al sequestro Moro del 1978 va rilevato un errore di premessa storiografica: nel 1978 la Spagna non era più franchista (Franco morì il 20 novembre 1975) ma in piena Transizione democratica sotto il governo di Adolfo Suárez. La ricerca non ha reperito una presa di posizione ufficiale del governo spagnolo sul sequestro; la stampa (El Español) opera parallelismi fra la strategia conciliativa di Moro e quella di Suárez. Questo resta uno Stato Zero da colmare presso le emeroteche spagnole (ABC, El País, La Vanguardia, marzo-maggio 1978).</w:t>
      </w:r>
    </w:p>
    <w:p>
      <w:pPr>
        <w:pStyle w:val="Heading2"/>
        <w:spacing w:after="100" w:before="200"/>
      </w:pPr>
      <w:r>
        <w:rPr>
          <w:rFonts w:ascii="Barlow Semi Condensed" w:cs="Barlow Semi Condensed" w:eastAsia="Barlow Semi Condensed" w:hAnsi="Barlow Semi Condensed"/>
          <w:sz w:val="24"/>
          <w:szCs w:val="24"/>
        </w:rPr>
        <w:t xml:space="preserve">Capitolo 12 — Il versante vaticano come terzo termine</w:t>
      </w:r>
    </w:p>
    <w:p>
      <w:pPr>
        <w:spacing w:after="120" w:line="276"/>
        <w:jc w:val="both"/>
      </w:pPr>
      <w:r>
        <w:rPr>
          <w:rFonts w:ascii="Barlow Semi Condensed" w:cs="Barlow Semi Condensed" w:eastAsia="Barlow Semi Condensed" w:hAnsi="Barlow Semi Condensed"/>
          <w:sz w:val="24"/>
          <w:szCs w:val="24"/>
        </w:rPr>
        <w:t xml:space="preserve">Il versante vaticano fornisce la triangolazione più solida sul piano documentale. È accertato (fonti: L'Osservatore Romano; Vatican News; Treccani, voce Casaroli) che la Santa Sede partecipò alla CSCE come membro a pieno titolo, «era la prima volta, dopo il Congresso di Vienna del 1815, che la Santa Sede partecipava come full member in un congresso di Stati» Vatican News (https://www.vaticannews.va/it/mondo/news/2022-04/conferenza-helsinki-1975-europa-guerra-fredda-eredita-pace.html) (parole del cardinale Achille Silvestrini). Paolo VI annunciò il 22 giugno 1973 la partecipazione di una delegazione vaticana guidata da monsignor Agostino Casaroli. L'Osservatore Romano (https://www.osservatoreromano.va/it/news/2023-02/quo-045/si-vis-pacem-para-pacem.html) Il contributo vaticano fu decisivo per il settimo principio dell'Atto finale, relativo alla libertà religiosa: come attesta la voce Treccani su Casaroli, «con il riconoscimento della libertà religiosa sancito nel 7° principio dell'Atto finale» la Santa Sede conseguì «un'importante formale legittimazione alle richieste della Chiesa nei negoziati bilaterali con i singoli governi». Treccani (https://www.treccani.it/enciclopedia/agostino-casaroli_%28Dizionario-Biografico%29/) La proposta sulla libertà religiosa del 7 marzo 1973 è correttamente collocata nella fase preparatoria; l'Ostpolitik di Casaroli e Silvestrini è il quadro entro cui si mosse la diplomazia vaticana.</w:t>
      </w:r>
    </w:p>
    <w:p>
      <w:pPr>
        <w:spacing w:after="120" w:line="276"/>
        <w:jc w:val="both"/>
      </w:pPr>
      <w:r>
        <w:rPr>
          <w:rFonts w:ascii="Barlow Semi Condensed" w:cs="Barlow Semi Condensed" w:eastAsia="Barlow Semi Condensed" w:hAnsi="Barlow Semi Condensed"/>
          <w:sz w:val="24"/>
          <w:szCs w:val="24"/>
        </w:rPr>
        <w:t xml:space="preserve">Sul versante spagnolo il terzo termine vaticano assume rilievo attraverso due nodi documentati. Il primo è l'udienza del 12 gennaio 1973 di López Bravo presso Paolo VI: il ministro spagnolo, membro dell'Opus Dei, si recò dal Papa per consegnargli una lettera di Franco in mezzo a uno scambio di corrispondenza sulle relazioni Chiesa-Stato, sulla revisione del Concordato e sulla questione delle nomine episcopali. El Confidencial Digital (https://www.elconfidencialdigital.com/religion/articulo/de-libros/gregorio-lopez-bravo-miembro-opus-dei-servicio-progreso-espana/20241007004039050434.html) Secondo il cardinale Tarancón, Paolo VI disse che era stata «una delle interviste più amare della sua vita» El Confidencial Digital (https://www.elconfidencialdigital.com/religion/articulo/de-libros/gregorio-lopez-bravo-miembro-opus-dei-servicio-progreso-espana/20241007004039050434.html) (fonte: El Confidencial Digital, recensione della biografia Pérez Gómez, che pubblica la nota redatta da López Bravo in aereo subito dopo il colloquio). Il secondo nodo è il concordato spagnolo del 27 agosto 1953 e il privilegio di presentazione dei vescovi: è accertato (fonti: Wikipedia in spagnolo; studio di Antonio Marquina, UCM) che il Concordato attribuì a Franco «el derecho de presentación» dei vescovi. Con lettera del 28 aprile 1968 Paolo VI chiese a Franco di rinunciare al privilegio «antes de una posible revisión del Concordato»; Franco rispose il 12 giugno 1968 rifiutando, sostenendo che il diritto «fue modificado en su esencia por el convenio de 1941». Il privilegio fu abolito soltanto con la convenzione tra il governo spagnolo e la Santa Sede del 28 luglio 1976, dopo la morte di Franco, quando Juan Carlos I vi rinunciò. Il caso Añoveros del 24 febbraio 1974 — l'omelia del vescovo di Bilbao a favore dell'identità basca, che provocò la più grave crisi Chiesa-Stato del tardofranchismo, con l'ordine di espulsione poi ritirato per intervento di Franco stesso e con il sostegno di Paolo VI a Tarancón e Añoveros Wikipedia (https://es.wikipedia.org/wiki/Caso_A%C3%B1overos) (fonti: Wikipedia in spagnolo; Religión Digital) — illustra la simultaneità di reazione, non un nesso diretto con Moro.</w:t>
      </w:r>
    </w:p>
    <w:p>
      <w:pPr>
        <w:spacing w:after="120" w:line="276"/>
        <w:jc w:val="both"/>
      </w:pPr>
      <w:r>
        <w:rPr>
          <w:rFonts w:ascii="Barlow Semi Condensed" w:cs="Barlow Semi Condensed" w:eastAsia="Barlow Semi Condensed" w:hAnsi="Barlow Semi Condensed"/>
          <w:sz w:val="24"/>
          <w:szCs w:val="24"/>
        </w:rPr>
        <w:t xml:space="preserve">L'iter della revisione del Concordato lateranense dal 1969 al 1984, richiamato dal quesito, non ha trovato documentazione puntuale nel perimetro reperito e costituisce uno Stato Zero da colmare presso le fonti vaticane e presso gli atti parlamentari italiani. Va tenuta ferma la distinzione metodologica: la comunanza di ambiente istituzionale (cattolico, dell'Ostpolitik, della CSCE) fra Moro, la Santa Sede e i ministri spagnoli dell'Opus Dei è una convergenza di ambiente, non un nesso di condotta coordinata; e il canale del cardinale Sergio Pignedoli nel sequestro Sossi (aprile-maggio 1974), attestato dalla Treccani, riguarda il rapporto Stato-Vaticano in materia di terrorismo, non la triangolazione spagnola.</w:t>
      </w:r>
    </w:p>
    <w:p>
      <w:pPr>
        <w:pStyle w:val="Heading2"/>
        <w:spacing w:after="100" w:before="200"/>
      </w:pPr>
      <w:r>
        <w:rPr>
          <w:rFonts w:ascii="Barlow Semi Condensed" w:cs="Barlow Semi Condensed" w:eastAsia="Barlow Semi Condensed" w:hAnsi="Barlow Semi Condensed"/>
          <w:sz w:val="24"/>
          <w:szCs w:val="24"/>
        </w:rPr>
        <w:t xml:space="preserve">Tavola discorsiva delle acquisizioni documentali necessarie e non conseguite</w:t>
      </w:r>
    </w:p>
    <w:p>
      <w:pPr>
        <w:spacing w:after="120" w:line="276"/>
        <w:jc w:val="both"/>
      </w:pPr>
      <w:r>
        <w:rPr>
          <w:rFonts w:ascii="Barlow Semi Condensed" w:cs="Barlow Semi Condensed" w:eastAsia="Barlow Semi Condensed" w:hAnsi="Barlow Semi Condensed"/>
          <w:sz w:val="24"/>
          <w:szCs w:val="24"/>
        </w:rPr>
        <w:t xml:space="preserve">Ordinate per rendimento atteso decrescente, le acquisizioni non conseguite sono le seguenti. In primo luogo, l'eventuale documentazione di contatti diretti fra Moro e i ministri degli Esteri spagnoli (López Bravo, López Rodó, Cortina Mauri): rendimento potenziale altissimo perché scioglierebbe il nodo centrale della triangolazione; sede: Archivio storico-diplomatico della Farnesina (serie affari politici, Spagna, 1969-1974, soggetta alla barriera dei cinquant'anni con verifica caso per caso dei faldoni) e Archivo General de la Administración di Alcalá de Henares; condizione di chiusura: apertura e riordino dei fondi MAE italiani per il periodo, oggi non pienamente consultabili secondo Levi. In secondo luogo, le repliche di Moro sui bilanci esteri 1970-1974 con numero di seduta e data: rendimento alto per la ricostruzione della posizione ufficiale; sede: resoconti stenografici Camera e vol. II dei «Discorsi parlamentari»; condizione: spoglio sistematico dei resoconti. In terzo luogo, il telegramma di Moro da Tunisi del 6 settembre 1970 e i telegrammi cinesi del 28 novembre 1970 e 5472/0 del 29 dicembre 1972: rendimento medio-alto; sede: Farnesina ed Edizione Nazionale (aldomorodigitale.unibo.it). In quarto luogo, il confronto puntuale Italia-Spagna sulla CSCE e la posizione italiana nel Nuclear Planning Group e nelle riunioni ministeriali NATO 1969-1974: rendimento medio; sede: DDI, NATO Archives Online, FRUS. In quinto luogo, la reazione spagnola al sequestro Moro del 1978: rendimento medio, con l'avvertenza dell'anacronismo «franchista»; sede: emeroteche spagnole (ABC, El País, La Vanguardia). In sesto luogo, l'iter della revisione del Concordato lateranense 1969-1984 e gli interventi di Moro all'Assemblea generale ONU: rendimento medio-basso per la specificità del mandato Moro; sede: fonti vaticane, atti parlamentari, atti ONU. Infine, la verifica dell'«operazione Hilton» del 1971: rendimento incerto, tesi allo stato non sostenuta da fonti primarie; sede: Farnesina e archivi ENI.</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Nota di sintesi metodologica per il committente</w:t>
      </w:r>
    </w:p>
    <w:p>
      <w:pPr>
        <w:spacing w:after="120" w:line="276"/>
        <w:jc w:val="both"/>
      </w:pPr>
      <w:r>
        <w:rPr>
          <w:rFonts w:ascii="Barlow Semi Condensed" w:cs="Barlow Semi Condensed" w:eastAsia="Barlow Semi Condensed" w:hAnsi="Barlow Semi Condensed"/>
          <w:sz w:val="24"/>
          <w:szCs w:val="24"/>
        </w:rPr>
        <w:t xml:space="preserve">Questa ricognizione conferma e approfondisce, senza ripeterlo, lo stato delle tre ricognizioni precedenti. I dossier meglio serviti da fonti primarie e storiografia peer-reviewed — e dunque idonei a capitoli di piena ampiezza — sono il Medio Oriente (Cap. 3, con la collana Cacucci/Besa di Imperato-Milano-Monzali), la CSCE (Cap. 4, volume Baldi-Monzali e memorie Ferraris), la Cina (Cap. 7, con lo studio Olla Brundu e il volume documentale Rubbettino), il TNP (Cap. 6, con Nuti), la Comunità europea (Cap. 8, con Guasconi e Levi), l'Opus Dei come soggetto storico spagnolo (Cap. 10, con il documento CIA, Mackenzie e Barrera) e il versante vaticano (Cap. 12). I dossier più poveri, che è preferibile mantenere brevi dichiarandone lo Stato Zero, sono la NATO (Cap. 5) e — decisivo per la tesi complessiva — la triangolazione diretta Moro-ministri spagnoli (Cap. 11), che resta non documentata e va onestamente presentata come tale.</w:t>
      </w:r>
    </w:p>
    <w:p>
      <w:pPr>
        <w:spacing w:after="120" w:line="276"/>
        <w:jc w:val="both"/>
      </w:pPr>
      <w:r>
        <w:rPr>
          <w:rFonts w:ascii="Barlow Semi Condensed" w:cs="Barlow Semi Condensed" w:eastAsia="Barlow Semi Condensed" w:hAnsi="Barlow Semi Condensed"/>
          <w:sz w:val="24"/>
          <w:szCs w:val="24"/>
        </w:rPr>
        <w:t xml:space="preserve">Il punto epistemologicamente più delicato è quello della frase CIA sul «funzionario italiano»: il documento è autentico e citabile, ma la sua formulazione è deliberatamente anonima. Attribuirla a Moro sarebbe una sovra-interpretazione. Allo stesso modo, l'appartenenza all'Opus Dei di López Bravo e López Rodó è un fatto pubblico documentato, ma non costituisce di per sé prova di una condotta coordinata dell'ente né di un nesso con Moro. La contemporaneità cronologica dei fatti italiani e spagnoli (accordo CEE-Spagna 1970, caso MATESA, caso Añoveros 1974) va classificata come mera contemporaneità o, al più, comunanza di ambiente istituzionale cattolico, non come convergenza di obiettivo documentata.</w:t>
      </w:r>
    </w:p>
    <w:p>
      <w:pPr>
        <w:pStyle w:val="Heading3"/>
        <w:spacing w:after="80" w:before="240"/>
      </w:pPr>
      <w:r>
        <w:rPr>
          <w:rFonts w:ascii="Barlow Semi Condensed" w:cs="Barlow Semi Condensed" w:eastAsia="Barlow Semi Condensed" w:hAnsi="Barlow Semi Condensed"/>
          <w:sz w:val="24"/>
          <w:szCs w:val="24"/>
        </w:rPr>
        <w:t xml:space="preserve">Apparato grafico — Libro dodicesimo · Documenti italiani e spagnoli, e l’Opus Dei</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2"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Libro dodicesimo X: 5.976 parole in 9 sezioni; la più ampia è §9 Altre sezioni, con 2.473.</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3"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Libro dodicesimo X: 63 indirizzi di fonte citati, addensati in 8 sezioni su 9.</w:t>
      </w:r>
    </w:p>
    <w:p>
      <w:pPr>
        <w:spacing w:after="120"/>
        <w:jc w:val="center"/>
      </w:pPr>
      <w:r>
        <w:rPr>
          <w:rFonts w:ascii="Barlow Semi Condensed" w:cs="Barlow Semi Condensed" w:eastAsia="Barlow Semi Condensed" w:hAnsi="Barlow Semi Condensed"/>
          <w:color w:val="777777"/>
          <w:sz w:val="16"/>
          <w:szCs w:val="16"/>
        </w:rPr>
        <w:t xml:space="preserve">Le metriche dell'apparato contano parole, documenti e atti — mai colpe.</w:t>
      </w:r>
    </w:p>
    <w:p>
      <w:r>
        <w:br w:type="page"/>
      </w:r>
    </w:p>
    <w:p>
      <w:pPr>
        <w:pStyle w:val="Heading1"/>
        <w:spacing w:after="120" w:before="240"/>
      </w:pPr>
      <w:r>
        <w:rPr>
          <w:rFonts w:ascii="Barlow Semi Condensed" w:cs="Barlow Semi Condensed" w:eastAsia="Barlow Semi Condensed" w:hAnsi="Barlow Semi Condensed"/>
          <w:sz w:val="24"/>
          <w:szCs w:val="24"/>
        </w:rPr>
        <w:t xml:space="preserve">Libro dodicesimo — La dimensione diplomatica — XI. La triangolazione della seconda campagna</w:t>
      </w:r>
    </w:p>
    <w:p>
      <w:pPr>
        <w:pStyle w:val="Heading1"/>
        <w:spacing w:after="120" w:before="240"/>
      </w:pPr>
      <w:r>
        <w:rPr>
          <w:rFonts w:ascii="Barlow Semi Condensed" w:cs="Barlow Semi Condensed" w:eastAsia="Barlow Semi Condensed" w:hAnsi="Barlow Semi Condensed"/>
          <w:sz w:val="24"/>
          <w:szCs w:val="24"/>
        </w:rPr>
        <w:t xml:space="preserve">La triangolazione della seconda campagna</w:t>
      </w:r>
    </w:p>
    <w:p>
      <w:pPr>
        <w:pStyle w:val="Heading2"/>
        <w:spacing w:after="100" w:before="200"/>
      </w:pPr>
      <w:r>
        <w:rPr>
          <w:rFonts w:ascii="Barlow Semi Condensed" w:cs="Barlow Semi Condensed" w:eastAsia="Barlow Semi Condensed" w:hAnsi="Barlow Semi Condensed"/>
          <w:sz w:val="24"/>
          <w:szCs w:val="24"/>
        </w:rPr>
        <w:t xml:space="preserve">Le tre nuove ricognizioni della Farnesina, incrociate fra loro, col corpus e con la quadriga investigativa</w:t>
      </w:r>
    </w:p>
    <w:p>
      <w:pPr>
        <w:pBdr>
          <w:left w:val="single" w:color="1F3864" w:sz="18" w:space="8"/>
        </w:pBdr>
        <w:spacing w:after="80" w:before="80"/>
        <w:ind w:left="360" w:right="360"/>
        <w:jc w:val="both"/>
      </w:pPr>
      <w:r>
        <w:rPr>
          <w:rFonts w:ascii="Barlow Semi Condensed" w:cs="Barlow Semi Condensed" w:eastAsia="Barlow Semi Condensed" w:hAnsi="Barlow Semi Condensed"/>
          <w:b/>
          <w:bCs/>
          <w:i w:val="false"/>
          <w:iCs w:val="false"/>
          <w:sz w:val="24"/>
          <w:szCs w:val="24"/>
        </w:rPr>
        <w:t xml:space="preserve">Statuto di questo documento.</w:t>
      </w:r>
      <w:r>
        <w:rPr>
          <w:rFonts w:ascii="Barlow Semi Condensed" w:cs="Barlow Semi Condensed" w:eastAsia="Barlow Semi Condensed" w:hAnsi="Barlow Semi Condensed"/>
          <w:i w:val="false"/>
          <w:iCs w:val="false"/>
          <w:sz w:val="24"/>
          <w:szCs w:val="24"/>
        </w:rPr>
        <w:t xml:space="preserve"> Le tre ricognizioni pervenute il 25 agosto 2026 — </w:t>
      </w:r>
      <w:r>
        <w:rPr>
          <w:rFonts w:ascii="Barlow Semi Condensed" w:cs="Barlow Semi Condensed" w:eastAsia="Barlow Semi Condensed" w:hAnsi="Barlow Semi Condensed"/>
          <w:i w:val="false"/>
          <w:iCs w:val="false"/>
          <w:sz w:val="24"/>
          <w:szCs w:val="24"/>
        </w:rPr>
        <w:t xml:space="preserve">I documenti di Stato italiani e spagnoli e l'Opus Dei come soggetto storico</w:t>
      </w:r>
      <w:r>
        <w:rPr>
          <w:rFonts w:ascii="Barlow Semi Condensed" w:cs="Barlow Semi Condensed" w:eastAsia="Barlow Semi Condensed" w:hAnsi="Barlow Semi Condensed"/>
          <w:i w:val="false"/>
          <w:iCs w:val="false"/>
          <w:sz w:val="24"/>
          <w:szCs w:val="24"/>
        </w:rPr>
        <w:t xml:space="preserve">, </w:t>
      </w:r>
      <w:r>
        <w:rPr>
          <w:rFonts w:ascii="Barlow Semi Condensed" w:cs="Barlow Semi Condensed" w:eastAsia="Barlow Semi Condensed" w:hAnsi="Barlow Semi Condensed"/>
          <w:i w:val="false"/>
          <w:iCs w:val="false"/>
          <w:sz w:val="24"/>
          <w:szCs w:val="24"/>
        </w:rPr>
        <w:t xml:space="preserve">La Santa Sede e le due Germanie con l'accertamento della sequenza Oder-Neisse</w:t>
      </w:r>
      <w:r>
        <w:rPr>
          <w:rFonts w:ascii="Barlow Semi Condensed" w:cs="Barlow Semi Condensed" w:eastAsia="Barlow Semi Condensed" w:hAnsi="Barlow Semi Condensed"/>
          <w:i w:val="false"/>
          <w:iCs w:val="false"/>
          <w:sz w:val="24"/>
          <w:szCs w:val="24"/>
        </w:rPr>
        <w:t xml:space="preserve">, </w:t>
      </w:r>
      <w:r>
        <w:rPr>
          <w:rFonts w:ascii="Barlow Semi Condensed" w:cs="Barlow Semi Condensed" w:eastAsia="Barlow Semi Condensed" w:hAnsi="Barlow Semi Condensed"/>
          <w:i w:val="false"/>
          <w:iCs w:val="false"/>
          <w:sz w:val="24"/>
          <w:szCs w:val="24"/>
        </w:rPr>
        <w:t xml:space="preserve">Il Portogallo e la Santa Sede</w:t>
      </w:r>
      <w:r>
        <w:rPr>
          <w:rFonts w:ascii="Barlow Semi Condensed" w:cs="Barlow Semi Condensed" w:eastAsia="Barlow Semi Condensed" w:hAnsi="Barlow Semi Condensed"/>
          <w:i w:val="false"/>
          <w:iCs w:val="false"/>
          <w:sz w:val="24"/>
          <w:szCs w:val="24"/>
        </w:rPr>
        <w:t xml:space="preserve"> — sono state archiviate integralmente in [</w:t>
      </w:r>
      <w:r>
        <w:rPr>
          <w:rFonts w:ascii="Barlow Semi Condensed" w:cs="Barlow Semi Condensed" w:eastAsia="Barlow Semi Condensed" w:hAnsi="Barlow Semi Condensed"/>
          <w:i w:val="false"/>
          <w:iCs w:val="false"/>
          <w:sz w:val="24"/>
          <w:szCs w:val="24"/>
        </w:rPr>
        <w:t xml:space="preserve">originali/</w:t>
      </w:r>
      <w:r>
        <w:rPr>
          <w:rFonts w:ascii="Barlow Semi Condensed" w:cs="Barlow Semi Condensed" w:eastAsia="Barlow Semi Condensed" w:hAnsi="Barlow Semi Condensed"/>
          <w:i w:val="false"/>
          <w:iCs w:val="false"/>
          <w:sz w:val="24"/>
          <w:szCs w:val="24"/>
        </w:rPr>
        <w:t xml:space="preserve">](originali/) e poi </w:t>
      </w:r>
      <w:r>
        <w:rPr>
          <w:rFonts w:ascii="Barlow Semi Condensed" w:cs="Barlow Semi Condensed" w:eastAsia="Barlow Semi Condensed" w:hAnsi="Barlow Semi Condensed"/>
          <w:b/>
          <w:bCs/>
          <w:i w:val="false"/>
          <w:iCs w:val="false"/>
          <w:sz w:val="24"/>
          <w:szCs w:val="24"/>
        </w:rPr>
        <w:t xml:space="preserve">triangolate in sei letture incrociate</w:t>
      </w:r>
      <w:r>
        <w:rPr>
          <w:rFonts w:ascii="Barlow Semi Condensed" w:cs="Barlow Semi Condensed" w:eastAsia="Barlow Semi Condensed" w:hAnsi="Barlow Semi Condensed"/>
          <w:i w:val="false"/>
          <w:iCs w:val="false"/>
          <w:sz w:val="24"/>
          <w:szCs w:val="24"/>
        </w:rPr>
        <w:t xml:space="preserve">: ciascuna contro il corpus della cartella, tutte e tre fra loro, e l'insieme contro i cantieri e l'agenda della quadriga investigativa. Questo documento è il verbale di quelle letture. Vi si distingue ciò che entra nel corpus come acquisizione, ciò che il corpus corregge ai documenti nuovi e ciò che i documenti nuovi correggono al corpus, ciò che resta divergente e va riportato senza sceglierlo, e ciò che resta Stato Zero. Vale la disciplina di tutta l'opera: nessuna persona indicata come responsabile di reato oltre il giudicato definitivo; l'appartenenza a un'organizzazione non è prova di una condotta dell'organizzazione; la contemporaneità non è prova di nesso; </w:t>
      </w:r>
      <w:r>
        <w:rPr>
          <w:rFonts w:ascii="Barlow Semi Condensed" w:cs="Barlow Semi Condensed" w:eastAsia="Barlow Semi Condensed" w:hAnsi="Barlow Semi Condensed"/>
          <w:b/>
          <w:bCs/>
          <w:i w:val="false"/>
          <w:iCs w:val="false"/>
          <w:sz w:val="24"/>
          <w:szCs w:val="24"/>
        </w:rPr>
        <w:t xml:space="preserve">l'esito negativo è un'acquisizione di pieno valore</w:t>
      </w:r>
      <w:r>
        <w:rPr>
          <w:rFonts w:ascii="Barlow Semi Condensed" w:cs="Barlow Semi Condensed" w:eastAsia="Barlow Semi Condensed" w:hAnsi="Barlow Semi Condensed"/>
          <w:i w:val="false"/>
          <w:iCs w:val="false"/>
          <w:sz w:val="24"/>
          <w:szCs w:val="24"/>
        </w:rPr>
        <w:t xml:space="preserve">, e come tale è registrato qui accanto a quelli positivi.</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I. Le acquisizioni nuove</w:t>
      </w:r>
    </w:p>
    <w:p>
      <w:pPr>
        <w:spacing w:after="120" w:line="276"/>
        <w:jc w:val="both"/>
      </w:pPr>
      <w:r>
        <w:rPr>
          <w:rFonts w:ascii="Barlow Semi Condensed" w:cs="Barlow Semi Condensed" w:eastAsia="Barlow Semi Condensed" w:hAnsi="Barlow Semi Condensed"/>
          <w:b/>
          <w:bCs/>
          <w:sz w:val="24"/>
          <w:szCs w:val="24"/>
        </w:rPr>
        <w:t xml:space="preserve">Il documento CIA del 22 maggio 1970.</w:t>
      </w:r>
      <w:r>
        <w:rPr>
          <w:rFonts w:ascii="Barlow Semi Condensed" w:cs="Barlow Semi Condensed" w:eastAsia="Barlow Semi Condensed" w:hAnsi="Barlow Semi Condensed"/>
          <w:sz w:val="24"/>
          <w:szCs w:val="24"/>
        </w:rPr>
        <w:t xml:space="preserve"> Entra nel corpus una fonte primaria che non possedeva: il </w:t>
      </w:r>
      <w:r>
        <w:rPr>
          <w:rFonts w:ascii="Barlow Semi Condensed" w:cs="Barlow Semi Condensed" w:eastAsia="Barlow Semi Condensed" w:hAnsi="Barlow Semi Condensed"/>
          <w:i/>
          <w:iCs/>
          <w:sz w:val="24"/>
          <w:szCs w:val="24"/>
        </w:rPr>
        <w:t xml:space="preserve">Weekly Summary Special Report: Policies of the New Spanish Cabinet</w:t>
      </w:r>
      <w:r>
        <w:rPr>
          <w:rFonts w:ascii="Barlow Semi Condensed" w:cs="Barlow Semi Condensed" w:eastAsia="Barlow Semi Condensed" w:hAnsi="Barlow Semi Condensed"/>
          <w:sz w:val="24"/>
          <w:szCs w:val="24"/>
        </w:rPr>
        <w:t xml:space="preserve"> (protocollo CIA-RDP85T00875R001500020027-1, originariamente SECRET, declassificato), che attesta la composizione del governo spagnolo dell'ottobre 1969 con prevalenza di tecnici «members of or associated with members of» l'organizzazione confessionale. Vale integra la regola di ferro: l'appartenenza di singoli ministri a un ente è </w:t>
      </w:r>
      <w:r>
        <w:rPr>
          <w:rFonts w:ascii="Barlow Semi Condensed" w:cs="Barlow Semi Condensed" w:eastAsia="Barlow Semi Condensed" w:hAnsi="Barlow Semi Condensed"/>
          <w:b/>
          <w:bCs/>
          <w:sz w:val="24"/>
          <w:szCs w:val="24"/>
        </w:rPr>
        <w:t xml:space="preserve">fatto pubblico documentato</w:t>
      </w:r>
      <w:r>
        <w:rPr>
          <w:rFonts w:ascii="Barlow Semi Condensed" w:cs="Barlow Semi Condensed" w:eastAsia="Barlow Semi Condensed" w:hAnsi="Barlow Semi Condensed"/>
          <w:sz w:val="24"/>
          <w:szCs w:val="24"/>
        </w:rPr>
        <w:t xml:space="preserve">, non prova di una condotta dell'ente.</w:t>
      </w:r>
    </w:p>
    <w:p>
      <w:pPr>
        <w:spacing w:after="120" w:line="276"/>
        <w:jc w:val="both"/>
      </w:pPr>
      <w:r>
        <w:rPr>
          <w:rFonts w:ascii="Barlow Semi Condensed" w:cs="Barlow Semi Condensed" w:eastAsia="Barlow Semi Condensed" w:hAnsi="Barlow Semi Condensed"/>
          <w:sz w:val="24"/>
          <w:szCs w:val="24"/>
        </w:rPr>
        <w:t xml:space="preserve">Il medesimo documento contiene la frase su cui la ricognizione stessa impone la massima cautela — «an Italian official has already said his country would not be interested» al progetto franco-spagnolo di patto mediterraneo. </w:t>
      </w:r>
      <w:r>
        <w:rPr>
          <w:rFonts w:ascii="Barlow Semi Condensed" w:cs="Barlow Semi Condensed" w:eastAsia="Barlow Semi Condensed" w:hAnsi="Barlow Semi Condensed"/>
          <w:b/>
          <w:bCs/>
          <w:sz w:val="24"/>
          <w:szCs w:val="24"/>
        </w:rPr>
        <w:t xml:space="preserve">Il documento non fa nomi</w:t>
      </w:r>
      <w:r>
        <w:rPr>
          <w:rFonts w:ascii="Barlow Semi Condensed" w:cs="Barlow Semi Condensed" w:eastAsia="Barlow Semi Condensed" w:hAnsi="Barlow Semi Condensed"/>
          <w:sz w:val="24"/>
          <w:szCs w:val="24"/>
        </w:rPr>
        <w:t xml:space="preserve">: ogni identificazione del funzionario con Moro è inferenza non sostenuta, e il termine </w:t>
      </w:r>
      <w:r>
        <w:rPr>
          <w:rFonts w:ascii="Barlow Semi Condensed" w:cs="Barlow Semi Condensed" w:eastAsia="Barlow Semi Condensed" w:hAnsi="Barlow Semi Condensed"/>
          <w:i/>
          <w:iCs/>
          <w:sz w:val="24"/>
          <w:szCs w:val="24"/>
        </w:rPr>
        <w:t xml:space="preserve">official</w:t>
      </w:r>
      <w:r>
        <w:rPr>
          <w:rFonts w:ascii="Barlow Semi Condensed" w:cs="Barlow Semi Condensed" w:eastAsia="Barlow Semi Condensed" w:hAnsi="Barlow Semi Condensed"/>
          <w:sz w:val="24"/>
          <w:szCs w:val="24"/>
        </w:rPr>
        <w:t xml:space="preserve"> è indeterminato. È il punto epistemologicamente più delicato dell'intera campagna, ed è acquisito qui nella sola forma in cui è acquisibile: come frase anonima di un documento autentico.</w:t>
      </w:r>
    </w:p>
    <w:p>
      <w:pPr>
        <w:spacing w:after="120" w:line="276"/>
        <w:jc w:val="both"/>
      </w:pPr>
      <w:r>
        <w:rPr>
          <w:rFonts w:ascii="Barlow Semi Condensed" w:cs="Barlow Semi Condensed" w:eastAsia="Barlow Semi Condensed" w:hAnsi="Barlow Semi Condensed"/>
          <w:b/>
          <w:bCs/>
          <w:sz w:val="24"/>
          <w:szCs w:val="24"/>
        </w:rPr>
        <w:t xml:space="preserve">La sequenza Oder-Neisse.</w:t>
      </w:r>
      <w:r>
        <w:rPr>
          <w:rFonts w:ascii="Barlow Semi Condensed" w:cs="Barlow Semi Condensed" w:eastAsia="Barlow Semi Condensed" w:hAnsi="Barlow Semi Condensed"/>
          <w:sz w:val="24"/>
          <w:szCs w:val="24"/>
        </w:rPr>
        <w:t xml:space="preserve"> Entra per intero, ed è l'acquisizione di maggior peso: Trattato di Varsavia firmato il </w:t>
      </w:r>
      <w:r>
        <w:rPr>
          <w:rFonts w:ascii="Barlow Semi Condensed" w:cs="Barlow Semi Condensed" w:eastAsia="Barlow Semi Condensed" w:hAnsi="Barlow Semi Condensed"/>
          <w:b/>
          <w:bCs/>
          <w:sz w:val="24"/>
          <w:szCs w:val="24"/>
        </w:rPr>
        <w:t xml:space="preserve">7 dicembre 1970</w:t>
      </w:r>
      <w:r>
        <w:rPr>
          <w:rFonts w:ascii="Barlow Semi Condensed" w:cs="Barlow Semi Condensed" w:eastAsia="Barlow Semi Condensed" w:hAnsi="Barlow Semi Condensed"/>
          <w:sz w:val="24"/>
          <w:szCs w:val="24"/>
        </w:rPr>
        <w:t xml:space="preserve">; leggi di autorizzazione alla ratifica approvate dal Bundestag il </w:t>
      </w:r>
      <w:r>
        <w:rPr>
          <w:rFonts w:ascii="Barlow Semi Condensed" w:cs="Barlow Semi Condensed" w:eastAsia="Barlow Semi Condensed" w:hAnsi="Barlow Semi Condensed"/>
          <w:b/>
          <w:bCs/>
          <w:sz w:val="24"/>
          <w:szCs w:val="24"/>
        </w:rPr>
        <w:t xml:space="preserve">17 maggio 1972</w:t>
      </w:r>
      <w:r>
        <w:rPr>
          <w:rFonts w:ascii="Barlow Semi Condensed" w:cs="Barlow Semi Condensed" w:eastAsia="Barlow Semi Condensed" w:hAnsi="Barlow Semi Condensed"/>
          <w:sz w:val="24"/>
          <w:szCs w:val="24"/>
        </w:rPr>
        <w:t xml:space="preserve"> e dal Bundesrat il 19 maggio (la formula corrente «il Bundestag ratificò» è imprecisa: si veda l'apparato F-1); entrata in vigore con lo scambio degli strumenti il </w:t>
      </w:r>
      <w:r>
        <w:rPr>
          <w:rFonts w:ascii="Barlow Semi Condensed" w:cs="Barlow Semi Condensed" w:eastAsia="Barlow Semi Condensed" w:hAnsi="Barlow Semi Condensed"/>
          <w:b/>
          <w:bCs/>
          <w:sz w:val="24"/>
          <w:szCs w:val="24"/>
        </w:rPr>
        <w:t xml:space="preserve">3 giugno 1972</w:t>
      </w:r>
      <w:r>
        <w:rPr>
          <w:rFonts w:ascii="Barlow Semi Condensed" w:cs="Barlow Semi Condensed" w:eastAsia="Barlow Semi Condensed" w:hAnsi="Barlow Semi Condensed"/>
          <w:sz w:val="24"/>
          <w:szCs w:val="24"/>
        </w:rPr>
        <w:t xml:space="preserve">; costituzioni apostoliche </w:t>
      </w:r>
      <w:r>
        <w:rPr>
          <w:rFonts w:ascii="Barlow Semi Condensed" w:cs="Barlow Semi Condensed" w:eastAsia="Barlow Semi Condensed" w:hAnsi="Barlow Semi Condensed"/>
          <w:i/>
          <w:iCs/>
          <w:sz w:val="24"/>
          <w:szCs w:val="24"/>
        </w:rPr>
        <w:t xml:space="preserve">Episcoporum Poloniae coetus</w:t>
      </w:r>
      <w:r>
        <w:rPr>
          <w:rFonts w:ascii="Barlow Semi Condensed" w:cs="Barlow Semi Condensed" w:eastAsia="Barlow Semi Condensed" w:hAnsi="Barlow Semi Condensed"/>
          <w:sz w:val="24"/>
          <w:szCs w:val="24"/>
        </w:rPr>
        <w:t xml:space="preserve"> e </w:t>
      </w:r>
      <w:r>
        <w:rPr>
          <w:rFonts w:ascii="Barlow Semi Condensed" w:cs="Barlow Semi Condensed" w:eastAsia="Barlow Semi Condensed" w:hAnsi="Barlow Semi Condensed"/>
          <w:i/>
          <w:iCs/>
          <w:sz w:val="24"/>
          <w:szCs w:val="24"/>
        </w:rPr>
        <w:t xml:space="preserve">Vratislaviensis-Berolinensis et aliarum</w:t>
      </w:r>
      <w:r>
        <w:rPr>
          <w:rFonts w:ascii="Barlow Semi Condensed" w:cs="Barlow Semi Condensed" w:eastAsia="Barlow Semi Condensed" w:hAnsi="Barlow Semi Condensed"/>
          <w:sz w:val="24"/>
          <w:szCs w:val="24"/>
        </w:rPr>
        <w:t xml:space="preserve"> del </w:t>
      </w:r>
      <w:r>
        <w:rPr>
          <w:rFonts w:ascii="Barlow Semi Condensed" w:cs="Barlow Semi Condensed" w:eastAsia="Barlow Semi Condensed" w:hAnsi="Barlow Semi Condensed"/>
          <w:b/>
          <w:bCs/>
          <w:sz w:val="24"/>
          <w:szCs w:val="24"/>
        </w:rPr>
        <w:t xml:space="preserve">28 giugno 1972</w:t>
      </w:r>
      <w:r>
        <w:rPr>
          <w:rFonts w:ascii="Barlow Semi Condensed" w:cs="Barlow Semi Condensed" w:eastAsia="Barlow Semi Condensed" w:hAnsi="Barlow Semi Condensed"/>
          <w:sz w:val="24"/>
          <w:szCs w:val="24"/>
        </w:rPr>
        <w:t xml:space="preserve">, venticinque giorni dopo. Il corpus conosceva la firma del trattato fra gli atti della Ostpolitik; non conosceva né la catena ratifica-vigore-atto pontificio né il versante ecclesiastico. Il nesso non è dedotto dalla prossimità delle date: è attestato dalla comunicazione vaticana di accompagnamento e dalla storiografia (Karl-Joseph Hummel), mentre </w:t>
      </w:r>
      <w:r>
        <w:rPr>
          <w:rFonts w:ascii="Barlow Semi Condensed" w:cs="Barlow Semi Condensed" w:eastAsia="Barlow Semi Condensed" w:hAnsi="Barlow Semi Condensed"/>
          <w:b/>
          <w:bCs/>
          <w:sz w:val="24"/>
          <w:szCs w:val="24"/>
        </w:rPr>
        <w:t xml:space="preserve">il testo canonico tace la ragione politica e adduce solo quella pastorale</w:t>
      </w:r>
      <w:r>
        <w:rPr>
          <w:rFonts w:ascii="Barlow Semi Condensed" w:cs="Barlow Semi Condensed" w:eastAsia="Barlow Semi Condensed" w:hAnsi="Barlow Semi Condensed"/>
          <w:sz w:val="24"/>
          <w:szCs w:val="24"/>
        </w:rPr>
        <w:t xml:space="preserve"> — distinzione che va conservata in ogni ripresa.</w:t>
      </w:r>
    </w:p>
    <w:p>
      <w:pPr>
        <w:spacing w:after="120" w:line="276"/>
        <w:jc w:val="both"/>
      </w:pPr>
      <w:r>
        <w:rPr>
          <w:rFonts w:ascii="Barlow Semi Condensed" w:cs="Barlow Semi Condensed" w:eastAsia="Barlow Semi Condensed" w:hAnsi="Barlow Semi Condensed"/>
          <w:b/>
          <w:bCs/>
          <w:sz w:val="24"/>
          <w:szCs w:val="24"/>
        </w:rPr>
        <w:t xml:space="preserve">La soluzione differenziata per la Repubblica Democratica Tedesca.</w:t>
      </w:r>
      <w:r>
        <w:rPr>
          <w:rFonts w:ascii="Barlow Semi Condensed" w:cs="Barlow Semi Condensed" w:eastAsia="Barlow Semi Condensed" w:hAnsi="Barlow Semi Condensed"/>
          <w:sz w:val="24"/>
          <w:szCs w:val="24"/>
        </w:rPr>
        <w:t xml:space="preserve"> Il 23 luglio 1973 Paolo VI nominò amministratori apostolici </w:t>
      </w:r>
      <w:r>
        <w:rPr>
          <w:rFonts w:ascii="Barlow Semi Condensed" w:cs="Barlow Semi Condensed" w:eastAsia="Barlow Semi Condensed" w:hAnsi="Barlow Semi Condensed"/>
          <w:i/>
          <w:iCs/>
          <w:sz w:val="24"/>
          <w:szCs w:val="24"/>
        </w:rPr>
        <w:t xml:space="preserve">permanenter constituti</w:t>
      </w:r>
      <w:r>
        <w:rPr>
          <w:rFonts w:ascii="Barlow Semi Condensed" w:cs="Barlow Semi Condensed" w:eastAsia="Barlow Semi Condensed" w:hAnsi="Barlow Semi Condensed"/>
          <w:sz w:val="24"/>
          <w:szCs w:val="24"/>
        </w:rPr>
        <w:t xml:space="preserve"> per Erfurt-Meiningen, Magdeburgo e Schwerin, costituiti come </w:t>
      </w:r>
      <w:r>
        <w:rPr>
          <w:rFonts w:ascii="Barlow Semi Condensed" w:cs="Barlow Semi Condensed" w:eastAsia="Barlow Semi Condensed" w:hAnsi="Barlow Semi Condensed"/>
          <w:i/>
          <w:iCs/>
          <w:sz w:val="24"/>
          <w:szCs w:val="24"/>
        </w:rPr>
        <w:t xml:space="preserve">Bischöfliche Ämter</w:t>
      </w:r>
      <w:r>
        <w:rPr>
          <w:rFonts w:ascii="Barlow Semi Condensed" w:cs="Barlow Semi Condensed" w:eastAsia="Barlow Semi Condensed" w:hAnsi="Barlow Semi Condensed"/>
          <w:sz w:val="24"/>
          <w:szCs w:val="24"/>
        </w:rPr>
        <w:t xml:space="preserve"> direttamente soggetti alla Santa Sede con </w:t>
      </w:r>
      <w:r>
        <w:rPr>
          <w:rFonts w:ascii="Barlow Semi Condensed" w:cs="Barlow Semi Condensed" w:eastAsia="Barlow Semi Condensed" w:hAnsi="Barlow Semi Condensed"/>
          <w:b/>
          <w:bCs/>
          <w:sz w:val="24"/>
          <w:szCs w:val="24"/>
        </w:rPr>
        <w:t xml:space="preserve">sospensione, non soppressione</w:t>
      </w:r>
      <w:r>
        <w:rPr>
          <w:rFonts w:ascii="Barlow Semi Condensed" w:cs="Barlow Semi Condensed" w:eastAsia="Barlow Semi Condensed" w:hAnsi="Barlow Semi Condensed"/>
          <w:sz w:val="24"/>
          <w:szCs w:val="24"/>
        </w:rPr>
        <w:t xml:space="preserve">, della giurisdizione dei vescovi occidentali: nella RDT non furono erette diocesi permanenti come in Polonia, perché la questione dell'unità tedesca restava aperta. La circoscrizione definitiva arrivò solo dopo la riunificazione, con le bolle del 27 giugno 1994.</w:t>
      </w:r>
    </w:p>
    <w:p>
      <w:pPr>
        <w:spacing w:after="120" w:line="276"/>
        <w:jc w:val="both"/>
      </w:pPr>
      <w:r>
        <w:rPr>
          <w:rFonts w:ascii="Barlow Semi Condensed" w:cs="Barlow Semi Condensed" w:eastAsia="Barlow Semi Condensed" w:hAnsi="Barlow Semi Condensed"/>
          <w:b/>
          <w:bCs/>
          <w:sz w:val="24"/>
          <w:szCs w:val="24"/>
        </w:rPr>
        <w:t xml:space="preserve">Il dossier balcanico.</w:t>
      </w:r>
      <w:r>
        <w:rPr>
          <w:rFonts w:ascii="Barlow Semi Condensed" w:cs="Barlow Semi Condensed" w:eastAsia="Barlow Semi Condensed" w:hAnsi="Barlow Semi Condensed"/>
          <w:sz w:val="24"/>
          <w:szCs w:val="24"/>
        </w:rPr>
        <w:t xml:space="preserve"> Il corpus non aveva un capitolo sulla Jugoslavia. Acquisisce ora che i negoziati riservati di Osimo si svolsero fra luglio e novembre 1974 — nella fase finale del ministero di Moro — attraverso un canale </w:t>
      </w:r>
      <w:r>
        <w:rPr>
          <w:rFonts w:ascii="Barlow Semi Condensed" w:cs="Barlow Semi Condensed" w:eastAsia="Barlow Semi Condensed" w:hAnsi="Barlow Semi Condensed"/>
          <w:b/>
          <w:bCs/>
          <w:sz w:val="24"/>
          <w:szCs w:val="24"/>
        </w:rPr>
        <w:t xml:space="preserve">esterno alla Farnesina</w:t>
      </w:r>
      <w:r>
        <w:rPr>
          <w:rFonts w:ascii="Barlow Semi Condensed" w:cs="Barlow Semi Condensed" w:eastAsia="Barlow Semi Condensed" w:hAnsi="Barlow Semi Condensed"/>
          <w:sz w:val="24"/>
          <w:szCs w:val="24"/>
        </w:rPr>
        <w:t xml:space="preserve">, e che Osimo fu «il primo accordo internazionale i cui negoziati per l'Italia non vennero curati dal Ministero degli affari esteri». La maturazione strategica in fase Moro va tenuta distinta dalla paternità politica: firma e titolarità formale (10 novembre 1975) spettarono a Rumor.</w:t>
      </w:r>
    </w:p>
    <w:p>
      <w:pPr>
        <w:spacing w:after="120" w:line="276"/>
        <w:jc w:val="both"/>
      </w:pPr>
      <w:r>
        <w:rPr>
          <w:rFonts w:ascii="Barlow Semi Condensed" w:cs="Barlow Semi Condensed" w:eastAsia="Barlow Semi Condensed" w:hAnsi="Barlow Semi Condensed"/>
          <w:b/>
          <w:bCs/>
          <w:sz w:val="24"/>
          <w:szCs w:val="24"/>
        </w:rPr>
        <w:t xml:space="preserve">Il versante portoghese, per intero.</w:t>
      </w:r>
      <w:r>
        <w:rPr>
          <w:rFonts w:ascii="Barlow Semi Condensed" w:cs="Barlow Semi Condensed" w:eastAsia="Barlow Semi Condensed" w:hAnsi="Barlow Semi Condensed"/>
          <w:sz w:val="24"/>
          <w:szCs w:val="24"/>
        </w:rPr>
        <w:t xml:space="preserve"> L'udienza di Paolo VI del </w:t>
      </w:r>
      <w:r>
        <w:rPr>
          <w:rFonts w:ascii="Barlow Semi Condensed" w:cs="Barlow Semi Condensed" w:eastAsia="Barlow Semi Condensed" w:hAnsi="Barlow Semi Condensed"/>
          <w:b/>
          <w:bCs/>
          <w:sz w:val="24"/>
          <w:szCs w:val="24"/>
        </w:rPr>
        <w:t xml:space="preserve">1° luglio 1970</w:t>
      </w:r>
      <w:r>
        <w:rPr>
          <w:rFonts w:ascii="Barlow Semi Condensed" w:cs="Barlow Semi Condensed" w:eastAsia="Barlow Semi Condensed" w:hAnsi="Barlow Semi Condensed"/>
          <w:sz w:val="24"/>
          <w:szCs w:val="24"/>
        </w:rPr>
        <w:t xml:space="preserve"> ai tre leader dei movimenti di liberazione, con l'incidente diplomatico e il richiamo dell'ambasciatore portoghese presso la Santa Sede — atto pontificio a impatto diplomatico diretto, distinto dal magistero generale. La </w:t>
      </w:r>
      <w:r>
        <w:rPr>
          <w:rFonts w:ascii="Barlow Semi Condensed" w:cs="Barlow Semi Condensed" w:eastAsia="Barlow Semi Condensed" w:hAnsi="Barlow Semi Condensed"/>
          <w:b/>
          <w:bCs/>
          <w:sz w:val="24"/>
          <w:szCs w:val="24"/>
        </w:rPr>
        <w:t xml:space="preserve">Conferenza romana del 27-29 giugno 1970</w:t>
      </w:r>
      <w:r>
        <w:rPr>
          <w:rFonts w:ascii="Barlow Semi Condensed" w:cs="Barlow Semi Condensed" w:eastAsia="Barlow Semi Condensed" w:hAnsi="Barlow Semi Condensed"/>
          <w:sz w:val="24"/>
          <w:szCs w:val="24"/>
        </w:rPr>
        <w:t xml:space="preserve">, promossa dalla sinistra e dal movimento anticolonialista, </w:t>
      </w:r>
      <w:r>
        <w:rPr>
          <w:rFonts w:ascii="Barlow Semi Condensed" w:cs="Barlow Semi Condensed" w:eastAsia="Barlow Semi Condensed" w:hAnsi="Barlow Semi Condensed"/>
          <w:b/>
          <w:bCs/>
          <w:sz w:val="24"/>
          <w:szCs w:val="24"/>
        </w:rPr>
        <w:t xml:space="preserve">senza patrocinio né obiezione del governo italiano</w:t>
      </w:r>
      <w:r>
        <w:rPr>
          <w:rFonts w:ascii="Barlow Semi Condensed" w:cs="Barlow Semi Condensed" w:eastAsia="Barlow Semi Condensed" w:hAnsi="Barlow Semi Condensed"/>
          <w:sz w:val="24"/>
          <w:szCs w:val="24"/>
        </w:rPr>
        <w:t xml:space="preserve">. Il ruolo di Reggio Emilia: il gemellaggio ospedaliero del 1970, la Conferenza nazionale del marzo 1973, e la delegazione reggiana che rappresentò lo Stato italiano alla cerimonia dell'indipendenza del Mozambico il 25 giugno 1975. </w:t>
      </w:r>
      <w:r>
        <w:rPr>
          <w:rFonts w:ascii="Barlow Semi Condensed" w:cs="Barlow Semi Condensed" w:eastAsia="Barlow Semi Condensed" w:hAnsi="Barlow Semi Condensed"/>
          <w:b/>
          <w:bCs/>
          <w:sz w:val="24"/>
          <w:szCs w:val="24"/>
        </w:rPr>
        <w:t xml:space="preserve">Wiriyamu</w:t>
      </w:r>
      <w:r>
        <w:rPr>
          <w:rFonts w:ascii="Barlow Semi Condensed" w:cs="Barlow Semi Condensed" w:eastAsia="Barlow Semi Condensed" w:hAnsi="Barlow Semi Condensed"/>
          <w:sz w:val="24"/>
          <w:szCs w:val="24"/>
        </w:rPr>
        <w:t xml:space="preserve"> (16 dicembre 1972) con la denuncia missionaria e l'articolo sul </w:t>
      </w:r>
      <w:r>
        <w:rPr>
          <w:rFonts w:ascii="Barlow Semi Condensed" w:cs="Barlow Semi Condensed" w:eastAsia="Barlow Semi Condensed" w:hAnsi="Barlow Semi Condensed"/>
          <w:i/>
          <w:iCs/>
          <w:sz w:val="24"/>
          <w:szCs w:val="24"/>
        </w:rPr>
        <w:t xml:space="preserve">Times</w:t>
      </w:r>
      <w:r>
        <w:rPr>
          <w:rFonts w:ascii="Barlow Semi Condensed" w:cs="Barlow Semi Condensed" w:eastAsia="Barlow Semi Condensed" w:hAnsi="Barlow Semi Condensed"/>
          <w:sz w:val="24"/>
          <w:szCs w:val="24"/>
        </w:rPr>
        <w:t xml:space="preserve"> del 10 luglio 1973. I </w:t>
      </w:r>
      <w:r>
        <w:rPr>
          <w:rFonts w:ascii="Barlow Semi Condensed" w:cs="Barlow Semi Condensed" w:eastAsia="Barlow Semi Condensed" w:hAnsi="Barlow Semi Condensed"/>
          <w:b/>
          <w:bCs/>
          <w:sz w:val="24"/>
          <w:szCs w:val="24"/>
        </w:rPr>
        <w:t xml:space="preserve">Padri Bianchi</w:t>
      </w:r>
      <w:r>
        <w:rPr>
          <w:rFonts w:ascii="Barlow Semi Condensed" w:cs="Barlow Semi Condensed" w:eastAsia="Barlow Semi Condensed" w:hAnsi="Barlow Semi Condensed"/>
          <w:sz w:val="24"/>
          <w:szCs w:val="24"/>
        </w:rPr>
        <w:t xml:space="preserve"> che nel maggio 1971 lasciarono Beira e Tete — quarantotto secondo una singola fonte enciclopedica, cifra che diverge da quella della congregazione stessa e va citata con la sua provenienza —, e il fatto che l'autore della denuncia di Wiriyamu appartenesse al medesimo istituto — il che lega ritiro e denuncia a un ambiente missionario determinato, </w:t>
      </w:r>
      <w:r>
        <w:rPr>
          <w:rFonts w:ascii="Barlow Semi Condensed" w:cs="Barlow Semi Condensed" w:eastAsia="Barlow Semi Condensed" w:hAnsi="Barlow Semi Condensed"/>
          <w:b/>
          <w:bCs/>
          <w:sz w:val="24"/>
          <w:szCs w:val="24"/>
        </w:rPr>
        <w:t xml:space="preserve">non alla Santa Sede come istituzione monolitica</w:t>
      </w:r>
      <w:r>
        <w:rPr>
          <w:rFonts w:ascii="Barlow Semi Condensed" w:cs="Barlow Semi Condensed" w:eastAsia="Barlow Semi Condensed" w:hAnsi="Barlow Semi Condensed"/>
          <w:sz w:val="24"/>
          <w:szCs w:val="24"/>
        </w:rPr>
        <w:t xml:space="preserve">. L'</w:t>
      </w:r>
      <w:r>
        <w:rPr>
          <w:rFonts w:ascii="Barlow Semi Condensed" w:cs="Barlow Semi Condensed" w:eastAsia="Barlow Semi Condensed" w:hAnsi="Barlow Semi Condensed"/>
          <w:b/>
          <w:bCs/>
          <w:sz w:val="24"/>
          <w:szCs w:val="24"/>
        </w:rPr>
        <w:t xml:space="preserve">espulsione dell'aprile 1974</w:t>
      </w:r>
      <w:r>
        <w:rPr>
          <w:rFonts w:ascii="Barlow Semi Condensed" w:cs="Barlow Semi Condensed" w:eastAsia="Barlow Semi Condensed" w:hAnsi="Barlow Semi Condensed"/>
          <w:sz w:val="24"/>
          <w:szCs w:val="24"/>
        </w:rPr>
        <w:t xml:space="preserve"> del vescovo di Nampula e dei comboniani — la data oscilla fra il 10 e il 14 aprile secondo le fonti, si veda l'apparato F-3 — con i nomi degli undici, il testo dell'ordine trascritto in un diario e gli interrogatori della polizia politica: i nominati sono </w:t>
      </w:r>
      <w:r>
        <w:rPr>
          <w:rFonts w:ascii="Barlow Semi Condensed" w:cs="Barlow Semi Condensed" w:eastAsia="Barlow Semi Condensed" w:hAnsi="Barlow Semi Condensed"/>
          <w:b/>
          <w:bCs/>
          <w:sz w:val="24"/>
          <w:szCs w:val="24"/>
        </w:rPr>
        <w:t xml:space="preserve">destinatari di un provvedimento</w:t>
      </w:r>
      <w:r>
        <w:rPr>
          <w:rFonts w:ascii="Barlow Semi Condensed" w:cs="Barlow Semi Condensed" w:eastAsia="Barlow Semi Condensed" w:hAnsi="Barlow Semi Condensed"/>
          <w:sz w:val="24"/>
          <w:szCs w:val="24"/>
        </w:rPr>
        <w:t xml:space="preserve">, non indicati come responsabili di alcunché.</w:t>
      </w:r>
    </w:p>
    <w:p>
      <w:pPr>
        <w:spacing w:after="120" w:line="276"/>
        <w:jc w:val="both"/>
      </w:pPr>
      <w:r>
        <w:rPr>
          <w:rFonts w:ascii="Barlow Semi Condensed" w:cs="Barlow Semi Condensed" w:eastAsia="Barlow Semi Condensed" w:hAnsi="Barlow Semi Condensed"/>
          <w:b/>
          <w:bCs/>
          <w:sz w:val="24"/>
          <w:szCs w:val="24"/>
        </w:rPr>
        <w:t xml:space="preserve">Il canale Pignedoli.</w:t>
      </w:r>
      <w:r>
        <w:rPr>
          <w:rFonts w:ascii="Barlow Semi Condensed" w:cs="Barlow Semi Condensed" w:eastAsia="Barlow Semi Condensed" w:hAnsi="Barlow Semi Condensed"/>
          <w:sz w:val="24"/>
          <w:szCs w:val="24"/>
        </w:rPr>
        <w:t xml:space="preserve"> Acquisizione di un solo documento su tre: il canale del cardinale Sergio Pignedoli nel sequestro Sossi (aprile-maggio 1974), qualificato come rapporto Stato-Vaticano in materia di terrorismo e non come elemento di triangolazione spagnola. Nessun riscontro incrociato interno è possibile; nessuna contraddizione emerge.</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II. Le correzioni, nei due sensi</w:t>
      </w:r>
    </w:p>
    <w:p>
      <w:pPr>
        <w:spacing w:after="120" w:line="276"/>
        <w:jc w:val="both"/>
      </w:pPr>
      <w:r>
        <w:rPr>
          <w:rFonts w:ascii="Barlow Semi Condensed" w:cs="Barlow Semi Condensed" w:eastAsia="Barlow Semi Condensed" w:hAnsi="Barlow Semi Condensed"/>
          <w:sz w:val="24"/>
          <w:szCs w:val="24"/>
        </w:rPr>
        <w:t xml:space="preserve">La triangolazione non è servita solo a incamerare. In sei punti ha corretto, e </w:t>
      </w:r>
      <w:r>
        <w:rPr>
          <w:rFonts w:ascii="Barlow Semi Condensed" w:cs="Barlow Semi Condensed" w:eastAsia="Barlow Semi Condensed" w:hAnsi="Barlow Semi Condensed"/>
          <w:b/>
          <w:bCs/>
          <w:sz w:val="24"/>
          <w:szCs w:val="24"/>
        </w:rPr>
        <w:t xml:space="preserve">due volte la correzione è andata dal corpus verso i documenti nuovi</w:t>
      </w:r>
      <w:r>
        <w:rPr>
          <w:rFonts w:ascii="Barlow Semi Condensed" w:cs="Barlow Semi Condensed" w:eastAsia="Barlow Semi Condensed" w:hAnsi="Barlow Semi Condensed"/>
          <w:sz w:val="24"/>
          <w:szCs w:val="24"/>
        </w:rPr>
        <w:t xml:space="preserve">: è il segno che il corpus, dove è stato costruito bene, regge.</w:t>
      </w:r>
    </w:p>
    <w:p>
      <w:pPr>
        <w:spacing w:after="120" w:line="276"/>
        <w:jc w:val="both"/>
      </w:pPr>
      <w:r>
        <w:rPr>
          <w:rFonts w:ascii="Barlow Semi Condensed" w:cs="Barlow Semi Condensed" w:eastAsia="Barlow Semi Condensed" w:hAnsi="Barlow Semi Condensed"/>
          <w:b/>
          <w:bCs/>
          <w:sz w:val="24"/>
          <w:szCs w:val="24"/>
        </w:rPr>
        <w:t xml:space="preserve">Il corpus corregge — Libia, ottobre 1970.</w:t>
      </w:r>
      <w:r>
        <w:rPr>
          <w:rFonts w:ascii="Barlow Semi Condensed" w:cs="Barlow Semi Condensed" w:eastAsia="Barlow Semi Condensed" w:hAnsi="Barlow Semi Condensed"/>
          <w:sz w:val="24"/>
          <w:szCs w:val="24"/>
        </w:rPr>
        <w:t xml:space="preserve"> La ricognizione nuova dichiara di non aver trovato riscontro sull'ultimatum e sul traghettamento. Il corpus il riscontro lo aveva già: il traghettamento di oltre diciassettemila italiani finì il </w:t>
      </w:r>
      <w:r>
        <w:rPr>
          <w:rFonts w:ascii="Barlow Semi Condensed" w:cs="Barlow Semi Condensed" w:eastAsia="Barlow Semi Condensed" w:hAnsi="Barlow Semi Condensed"/>
          <w:b/>
          <w:bCs/>
          <w:sz w:val="24"/>
          <w:szCs w:val="24"/>
        </w:rPr>
        <w:t xml:space="preserve">15 ottobre 1970</w:t>
      </w:r>
      <w:r>
        <w:rPr>
          <w:rFonts w:ascii="Barlow Semi Condensed" w:cs="Barlow Semi Condensed" w:eastAsia="Barlow Semi Condensed" w:hAnsi="Barlow Semi Condensed"/>
          <w:sz w:val="24"/>
          <w:szCs w:val="24"/>
        </w:rPr>
        <w:t xml:space="preserve">, otto giorni dopo l'ultimatum del 7 ottobre, data poi celebrata dal regime libico come «Giornata della vendetta». La lacuna dichiarata è colmabile con materiale già acquisito.</w:t>
      </w:r>
    </w:p>
    <w:p>
      <w:pPr>
        <w:spacing w:after="120" w:line="276"/>
        <w:jc w:val="both"/>
      </w:pPr>
      <w:r>
        <w:rPr>
          <w:rFonts w:ascii="Barlow Semi Condensed" w:cs="Barlow Semi Condensed" w:eastAsia="Barlow Semi Condensed" w:hAnsi="Barlow Semi Condensed"/>
          <w:b/>
          <w:bCs/>
          <w:sz w:val="24"/>
          <w:szCs w:val="24"/>
        </w:rPr>
        <w:t xml:space="preserve">Il corpus corregge — l'incontro Moro-Brandt.</w:t>
      </w:r>
      <w:r>
        <w:rPr>
          <w:rFonts w:ascii="Barlow Semi Condensed" w:cs="Barlow Semi Condensed" w:eastAsia="Barlow Semi Condensed" w:hAnsi="Barlow Semi Condensed"/>
          <w:sz w:val="24"/>
          <w:szCs w:val="24"/>
        </w:rPr>
        <w:t xml:space="preserve"> La ricognizione nuova registra fra i propri esiti negativi che gli incontri Moro-Brandt «non sono emersi dalle fonti edite». Il corpus documenta invece, sulla cronologia ufficiale della fondazione intitolata al cancelliere, un </w:t>
      </w:r>
      <w:r>
        <w:rPr>
          <w:rFonts w:ascii="Barlow Semi Condensed" w:cs="Barlow Semi Condensed" w:eastAsia="Barlow Semi Condensed" w:hAnsi="Barlow Semi Condensed"/>
          <w:b/>
          <w:bCs/>
          <w:sz w:val="24"/>
          <w:szCs w:val="24"/>
        </w:rPr>
        <w:t xml:space="preserve">bilaterale a Roma del 31 agosto-1° settembre 1969</w:t>
      </w:r>
      <w:r>
        <w:rPr>
          <w:rFonts w:ascii="Barlow Semi Condensed" w:cs="Barlow Semi Condensed" w:eastAsia="Barlow Semi Condensed" w:hAnsi="Barlow Semi Condensed"/>
          <w:sz w:val="24"/>
          <w:szCs w:val="24"/>
        </w:rPr>
        <w:t xml:space="preserve">, quando entrambi erano ministri degli Esteri e sette settimane prima che Brandt divenisse cancelliere. L'esito negativo si chiude parzialmente; restano aperti gli incontri del periodo di cancellierato.</w:t>
      </w:r>
    </w:p>
    <w:p>
      <w:pPr>
        <w:spacing w:after="120" w:line="276"/>
        <w:jc w:val="both"/>
      </w:pPr>
      <w:r>
        <w:rPr>
          <w:rFonts w:ascii="Barlow Semi Condensed" w:cs="Barlow Semi Condensed" w:eastAsia="Barlow Semi Condensed" w:hAnsi="Barlow Semi Condensed"/>
          <w:b/>
          <w:bCs/>
          <w:sz w:val="24"/>
          <w:szCs w:val="24"/>
        </w:rPr>
        <w:t xml:space="preserve">I documenti nuovi correggono — la data di una morte.</w:t>
      </w:r>
      <w:r>
        <w:rPr>
          <w:rFonts w:ascii="Barlow Semi Condensed" w:cs="Barlow Semi Condensed" w:eastAsia="Barlow Semi Condensed" w:hAnsi="Barlow Semi Condensed"/>
          <w:sz w:val="24"/>
          <w:szCs w:val="24"/>
        </w:rPr>
        <w:t xml:space="preserve"> La data indicata in premessa per l'uccisione a Düsseldorf del militante della RAF Willy Peter Stoll (11 settembre 1978) è errata: le fonti biografiche tedesche e la stampa locale accertano la sera del </w:t>
      </w:r>
      <w:r>
        <w:rPr>
          <w:rFonts w:ascii="Barlow Semi Condensed" w:cs="Barlow Semi Condensed" w:eastAsia="Barlow Semi Condensed" w:hAnsi="Barlow Semi Condensed"/>
          <w:b/>
          <w:bCs/>
          <w:sz w:val="24"/>
          <w:szCs w:val="24"/>
        </w:rPr>
        <w:t xml:space="preserve">6 settembre 1978</w:t>
      </w:r>
      <w:r>
        <w:rPr>
          <w:rFonts w:ascii="Barlow Semi Condensed" w:cs="Barlow Semi Condensed" w:eastAsia="Barlow Semi Condensed" w:hAnsi="Barlow Semi Condensed"/>
          <w:sz w:val="24"/>
          <w:szCs w:val="24"/>
        </w:rPr>
        <w:t xml:space="preserve">. La divergenza è dichiarata e risolta.</w:t>
      </w:r>
    </w:p>
    <w:p>
      <w:pPr>
        <w:spacing w:after="120" w:line="276"/>
        <w:jc w:val="both"/>
      </w:pPr>
      <w:r>
        <w:rPr>
          <w:rFonts w:ascii="Barlow Semi Condensed" w:cs="Barlow Semi Condensed" w:eastAsia="Barlow Semi Condensed" w:hAnsi="Barlow Semi Condensed"/>
          <w:b/>
          <w:bCs/>
          <w:sz w:val="24"/>
          <w:szCs w:val="24"/>
        </w:rPr>
        <w:t xml:space="preserve">I documenti nuovi correggono — un anacronismo.</w:t>
      </w:r>
      <w:r>
        <w:rPr>
          <w:rFonts w:ascii="Barlow Semi Condensed" w:cs="Barlow Semi Condensed" w:eastAsia="Barlow Semi Condensed" w:hAnsi="Barlow Semi Condensed"/>
          <w:sz w:val="24"/>
          <w:szCs w:val="24"/>
        </w:rPr>
        <w:t xml:space="preserve"> La domanda sulla «reazione della Spagna franchista» al sequestro Moro del 1978 è mal posta: nel 1978 la Spagna non era più franchista — Franco morì il 20 novembre 1975 — ma in piena Transizione democratica. Il corpus registrava l'esito negativo senza rilevare l'anacronismo; la premessa va riformulata prima di cercare.</w:t>
      </w:r>
    </w:p>
    <w:p>
      <w:pPr>
        <w:spacing w:after="120" w:line="276"/>
        <w:jc w:val="both"/>
      </w:pPr>
      <w:r>
        <w:rPr>
          <w:rFonts w:ascii="Barlow Semi Condensed" w:cs="Barlow Semi Condensed" w:eastAsia="Barlow Semi Condensed" w:hAnsi="Barlow Semi Condensed"/>
          <w:b/>
          <w:bCs/>
          <w:sz w:val="24"/>
          <w:szCs w:val="24"/>
        </w:rPr>
        <w:t xml:space="preserve">La verifica corregge — la fine del primo mandato, e con essa il governo in carica.</w:t>
      </w:r>
      <w:r>
        <w:rPr>
          <w:rFonts w:ascii="Barlow Semi Condensed" w:cs="Barlow Semi Condensed" w:eastAsia="Barlow Semi Condensed" w:hAnsi="Barlow Semi Condensed"/>
          <w:sz w:val="24"/>
          <w:szCs w:val="24"/>
        </w:rPr>
        <w:t xml:space="preserve"> Una delle divergenze che i documenti nuovi lasciavano aperta si chiude in verifica, e la chiusura ha una conseguenza. La data corretta è il </w:t>
      </w:r>
      <w:r>
        <w:rPr>
          <w:rFonts w:ascii="Barlow Semi Condensed" w:cs="Barlow Semi Condensed" w:eastAsia="Barlow Semi Condensed" w:hAnsi="Barlow Semi Condensed"/>
          <w:b/>
          <w:bCs/>
          <w:sz w:val="24"/>
          <w:szCs w:val="24"/>
        </w:rPr>
        <w:t xml:space="preserve">26 giugno 1972</w:t>
      </w:r>
      <w:r>
        <w:rPr>
          <w:rFonts w:ascii="Barlow Semi Condensed" w:cs="Barlow Semi Condensed" w:eastAsia="Barlow Semi Condensed" w:hAnsi="Barlow Semi Condensed"/>
          <w:sz w:val="24"/>
          <w:szCs w:val="24"/>
        </w:rPr>
        <w:t xml:space="preserve">: il primo governo Andreotti cessa quel giorno, col giuramento del secondo, nel quale la Farnesina passa a Giuseppe Medici — sicché il mandato di Moro </w:t>
      </w:r>
      <w:r>
        <w:rPr>
          <w:rFonts w:ascii="Barlow Semi Condensed" w:cs="Barlow Semi Condensed" w:eastAsia="Barlow Semi Condensed" w:hAnsi="Barlow Semi Condensed"/>
          <w:b/>
          <w:bCs/>
          <w:sz w:val="24"/>
          <w:szCs w:val="24"/>
        </w:rPr>
        <w:t xml:space="preserve">non può proseguire fino al 29 luglio</w:t>
      </w:r>
      <w:r>
        <w:rPr>
          <w:rFonts w:ascii="Barlow Semi Condensed" w:cs="Barlow Semi Condensed" w:eastAsia="Barlow Semi Condensed" w:hAnsi="Barlow Semi Condensed"/>
          <w:sz w:val="24"/>
          <w:szCs w:val="24"/>
        </w:rPr>
        <w:t xml:space="preserve">, e l'indicazione discordante cade. Ne segue che il governo in carica il 28 giugno 1972, giorno delle costituzioni apostoliche, era il </w:t>
      </w:r>
      <w:r>
        <w:rPr>
          <w:rFonts w:ascii="Barlow Semi Condensed" w:cs="Barlow Semi Condensed" w:eastAsia="Barlow Semi Condensed" w:hAnsi="Barlow Semi Condensed"/>
          <w:b/>
          <w:bCs/>
          <w:sz w:val="24"/>
          <w:szCs w:val="24"/>
        </w:rPr>
        <w:t xml:space="preserve">secondo</w:t>
      </w:r>
      <w:r>
        <w:rPr>
          <w:rFonts w:ascii="Barlow Semi Condensed" w:cs="Barlow Semi Condensed" w:eastAsia="Barlow Semi Condensed" w:hAnsi="Barlow Semi Condensed"/>
          <w:sz w:val="24"/>
          <w:szCs w:val="24"/>
        </w:rPr>
        <w:t xml:space="preserve"> governo Andreotti e non il primo: l'indicazione contraria di una delle ricognizioni è corretta dalla cronologia istituzionale, che il corpus adottava già. È ininfluente sulla sequenza Oder-Neisse — l'atto pontificio cade comunque a ridosso della fine del primo mandato di Moro — ma va emendata dove compare.</w:t>
      </w:r>
    </w:p>
    <w:p>
      <w:pPr>
        <w:spacing w:after="120" w:line="276"/>
        <w:jc w:val="both"/>
      </w:pPr>
      <w:r>
        <w:rPr>
          <w:rFonts w:ascii="Barlow Semi Condensed" w:cs="Barlow Semi Condensed" w:eastAsia="Barlow Semi Condensed" w:hAnsi="Barlow Semi Condensed"/>
          <w:b/>
          <w:bCs/>
          <w:sz w:val="24"/>
          <w:szCs w:val="24"/>
        </w:rPr>
        <w:t xml:space="preserve">I documenti nuovi precisano — il Trattato di non proliferazione.</w:t>
      </w:r>
      <w:r>
        <w:rPr>
          <w:rFonts w:ascii="Barlow Semi Condensed" w:cs="Barlow Semi Condensed" w:eastAsia="Barlow Semi Condensed" w:hAnsi="Barlow Semi Condensed"/>
          <w:sz w:val="24"/>
          <w:szCs w:val="24"/>
        </w:rPr>
        <w:t xml:space="preserve"> L'Italia firmò il TNP il </w:t>
      </w:r>
      <w:r>
        <w:rPr>
          <w:rFonts w:ascii="Barlow Semi Condensed" w:cs="Barlow Semi Condensed" w:eastAsia="Barlow Semi Condensed" w:hAnsi="Barlow Semi Condensed"/>
          <w:b/>
          <w:bCs/>
          <w:sz w:val="24"/>
          <w:szCs w:val="24"/>
        </w:rPr>
        <w:t xml:space="preserve">28 gennaio 1969</w:t>
      </w:r>
      <w:r>
        <w:rPr>
          <w:rFonts w:ascii="Barlow Semi Condensed" w:cs="Barlow Semi Condensed" w:eastAsia="Barlow Semi Condensed" w:hAnsi="Barlow Semi Condensed"/>
          <w:sz w:val="24"/>
          <w:szCs w:val="24"/>
        </w:rPr>
        <w:t xml:space="preserve">, non nel 1968 (anno di apertura alla firma), e ratificò con legge 24 aprile 1975 n. 131. La data anteriore all'insediamento di Moro alla Farnesina (5 agosto 1969) va recepita per evitare attribuzioni cronologicamente imprecise.</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III. Le divergenze che restano aperte</w:t>
      </w:r>
    </w:p>
    <w:p>
      <w:pPr>
        <w:spacing w:after="120" w:line="276"/>
        <w:jc w:val="both"/>
      </w:pPr>
      <w:r>
        <w:rPr>
          <w:rFonts w:ascii="Barlow Semi Condensed" w:cs="Barlow Semi Condensed" w:eastAsia="Barlow Semi Condensed" w:hAnsi="Barlow Semi Condensed"/>
          <w:sz w:val="24"/>
          <w:szCs w:val="24"/>
        </w:rPr>
        <w:t xml:space="preserve">Vale la quarta regola del metodo: </w:t>
      </w:r>
      <w:r>
        <w:rPr>
          <w:rFonts w:ascii="Barlow Semi Condensed" w:cs="Barlow Semi Condensed" w:eastAsia="Barlow Semi Condensed" w:hAnsi="Barlow Semi Condensed"/>
          <w:b/>
          <w:bCs/>
          <w:sz w:val="24"/>
          <w:szCs w:val="24"/>
        </w:rPr>
        <w:t xml:space="preserve">dove le fonti divergono, la divergenza si riporta e non si sceglie in silenzio.</w:t>
      </w:r>
      <w:r>
        <w:rPr>
          <w:rFonts w:ascii="Barlow Semi Condensed" w:cs="Barlow Semi Condensed" w:eastAsia="Barlow Semi Condensed" w:hAnsi="Barlow Semi Condensed"/>
          <w:sz w:val="24"/>
          <w:szCs w:val="24"/>
        </w:rPr>
        <w:t xml:space="preserve"> Restano aperte, e vanno riportate ogni volta che la materia è ripresa:</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c>
          <w:tcPr>
            <w:tcW w:type="dxa" w:w="468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Oggetto</w:t>
            </w:r>
          </w:p>
        </w:tc>
        <w:tc>
          <w:tcPr>
            <w:tcW w:type="dxa" w:w="468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Le versioni</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Beni italiani confiscati in Libia (21 luglio 1970)</w:t>
            </w:r>
          </w:p>
        </w:tc>
        <w:tc>
          <w:tcPr>
            <w:tcW w:type="dxa" w:w="4680"/>
          </w:tcPr>
          <w:p>
            <w:pPr>
              <w:spacing w:after="20" w:before="20"/>
              <w:jc w:val="both"/>
            </w:pPr>
            <w:r>
              <w:rPr>
                <w:rFonts w:ascii="Barlow Semi Condensed" w:cs="Barlow Semi Condensed" w:eastAsia="Barlow Semi Condensed" w:hAnsi="Barlow Semi Condensed"/>
                <w:sz w:val="20"/>
                <w:szCs w:val="20"/>
              </w:rPr>
              <w:t xml:space="preserve">«200 miliardi di lire del 1970» (RAI News) · «circa 400 miliardi» (già nel corpus) · quasi 6 miliardi di euro rivalutati (stima dell'associazione dei rimpatriati) — le prime due divergono a parità di anno; la terza </w:t>
            </w:r>
            <w:r>
              <w:rPr>
                <w:rFonts w:ascii="Barlow Semi Condensed" w:cs="Barlow Semi Condensed" w:eastAsia="Barlow Semi Condensed" w:hAnsi="Barlow Semi Condensed"/>
                <w:b/>
                <w:bCs/>
                <w:sz w:val="20"/>
                <w:szCs w:val="20"/>
              </w:rPr>
              <w:t xml:space="preserve">non è omogenea</w:t>
            </w:r>
            <w:r>
              <w:rPr>
                <w:rFonts w:ascii="Barlow Semi Condensed" w:cs="Barlow Semi Condensed" w:eastAsia="Barlow Semi Condensed" w:hAnsi="Barlow Semi Condensed"/>
                <w:sz w:val="20"/>
                <w:szCs w:val="20"/>
              </w:rPr>
              <w:t xml:space="preserve"> alle altre</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Riconoscimento italiano della Repubblica Democratica Tedesca</w:t>
            </w:r>
          </w:p>
        </w:tc>
        <w:tc>
          <w:tcPr>
            <w:tcW w:type="dxa" w:w="4680"/>
          </w:tcPr>
          <w:p>
            <w:pPr>
              <w:spacing w:after="20" w:before="20"/>
              <w:jc w:val="both"/>
            </w:pPr>
            <w:r>
              <w:rPr>
                <w:rFonts w:ascii="Barlow Semi Condensed" w:cs="Barlow Semi Condensed" w:eastAsia="Barlow Semi Condensed" w:hAnsi="Barlow Semi Condensed"/>
                <w:sz w:val="20"/>
                <w:szCs w:val="20"/>
              </w:rPr>
              <w:t xml:space="preserve">17 gennaio 1973 (fonti italiane, adottata dal corpus) · </w:t>
            </w:r>
            <w:r>
              <w:rPr>
                <w:rFonts w:ascii="Barlow Semi Condensed" w:cs="Barlow Semi Condensed" w:eastAsia="Barlow Semi Condensed" w:hAnsi="Barlow Semi Condensed"/>
                <w:b/>
                <w:bCs/>
                <w:sz w:val="20"/>
                <w:szCs w:val="20"/>
              </w:rPr>
              <w:t xml:space="preserve">18 gennaio 1973</w:t>
            </w:r>
            <w:r>
              <w:rPr>
                <w:rFonts w:ascii="Barlow Semi Condensed" w:cs="Barlow Semi Condensed" w:eastAsia="Barlow Semi Condensed" w:hAnsi="Barlow Semi Condensed"/>
                <w:sz w:val="20"/>
                <w:szCs w:val="20"/>
              </w:rPr>
              <w:t xml:space="preserve"> (fonte istituzionale tedesca): divergenza emersa in verifica, da riportare</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Vittime di Wiriyamu</w:t>
            </w:r>
          </w:p>
        </w:tc>
        <w:tc>
          <w:tcPr>
            <w:tcW w:type="dxa" w:w="4680"/>
          </w:tcPr>
          <w:p>
            <w:pPr>
              <w:spacing w:after="20" w:before="20"/>
              <w:jc w:val="both"/>
            </w:pPr>
            <w:r>
              <w:rPr>
                <w:rFonts w:ascii="Barlow Semi Condensed" w:cs="Barlow Semi Condensed" w:eastAsia="Barlow Semi Condensed" w:hAnsi="Barlow Semi Condensed"/>
                <w:sz w:val="20"/>
                <w:szCs w:val="20"/>
              </w:rPr>
              <w:t xml:space="preserve">150 (Croce Rossa) · 300 (</w:t>
            </w:r>
            <w:r>
              <w:rPr>
                <w:rFonts w:ascii="Barlow Semi Condensed" w:cs="Barlow Semi Condensed" w:eastAsia="Barlow Semi Condensed" w:hAnsi="Barlow Semi Condensed"/>
                <w:i/>
                <w:iCs/>
                <w:sz w:val="20"/>
                <w:szCs w:val="20"/>
              </w:rPr>
              <w:t xml:space="preserve">Expresso</w:t>
            </w:r>
            <w:r>
              <w:rPr>
                <w:rFonts w:ascii="Barlow Semi Condensed" w:cs="Barlow Semi Condensed" w:eastAsia="Barlow Semi Condensed" w:hAnsi="Barlow Semi Condensed"/>
                <w:sz w:val="20"/>
                <w:szCs w:val="20"/>
              </w:rPr>
              <w:t xml:space="preserve">) · almeno 385 · 400 con 177 identificati per nome (Dhada)</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Espulsi dell'aprile 1974</w:t>
            </w:r>
          </w:p>
        </w:tc>
        <w:tc>
          <w:tcPr>
            <w:tcW w:type="dxa" w:w="4680"/>
          </w:tcPr>
          <w:p>
            <w:pPr>
              <w:spacing w:after="20" w:before="20"/>
              <w:jc w:val="both"/>
            </w:pPr>
            <w:r>
              <w:rPr>
                <w:rFonts w:ascii="Barlow Semi Condensed" w:cs="Barlow Semi Condensed" w:eastAsia="Barlow Semi Condensed" w:hAnsi="Barlow Semi Condensed"/>
                <w:sz w:val="20"/>
                <w:szCs w:val="20"/>
              </w:rPr>
              <w:t xml:space="preserve">undici (schede comboniane) · tredici (Franzelli), riconciliati in </w:t>
            </w:r>
            <w:r>
              <w:rPr>
                <w:rFonts w:ascii="Barlow Semi Condensed" w:cs="Barlow Semi Condensed" w:eastAsia="Barlow Semi Condensed" w:hAnsi="Barlow Semi Condensed"/>
                <w:b/>
                <w:bCs/>
                <w:sz w:val="20"/>
                <w:szCs w:val="20"/>
              </w:rPr>
              <w:t xml:space="preserve">undici da Nampula più due da Tete</w:t>
            </w:r>
            <w:r>
              <w:rPr>
                <w:rFonts w:ascii="Barlow Semi Condensed" w:cs="Barlow Semi Condensed" w:eastAsia="Barlow Semi Condensed" w:hAnsi="Barlow Semi Condensed"/>
                <w:sz w:val="20"/>
                <w:szCs w:val="20"/>
              </w:rPr>
              <w:t xml:space="preserve">; data 12, 13 o 14 aprile, con il 13 (Sabato Santo) più ricorrente</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Riconoscimento della Cina</w:t>
            </w:r>
          </w:p>
        </w:tc>
        <w:tc>
          <w:tcPr>
            <w:tcW w:type="dxa" w:w="4680"/>
          </w:tcPr>
          <w:p>
            <w:pPr>
              <w:spacing w:after="20" w:before="20"/>
              <w:jc w:val="both"/>
            </w:pPr>
            <w:r>
              <w:rPr>
                <w:rFonts w:ascii="Barlow Semi Condensed" w:cs="Barlow Semi Condensed" w:eastAsia="Barlow Semi Condensed" w:hAnsi="Barlow Semi Condensed"/>
                <w:sz w:val="20"/>
                <w:szCs w:val="20"/>
              </w:rPr>
              <w:t xml:space="preserve">comunicato pubblicato il 5 o il 6 novembre 1970; conclusione del negoziato talora datata al 6 ottobre 1970</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Serpente monetario</w:t>
            </w:r>
          </w:p>
        </w:tc>
        <w:tc>
          <w:tcPr>
            <w:tcW w:type="dxa" w:w="4680"/>
          </w:tcPr>
          <w:p>
            <w:pPr>
              <w:spacing w:after="20" w:before="20"/>
              <w:jc w:val="both"/>
            </w:pPr>
            <w:r>
              <w:rPr>
                <w:rFonts w:ascii="Barlow Semi Condensed" w:cs="Barlow Semi Condensed" w:eastAsia="Barlow Semi Condensed" w:hAnsi="Barlow Semi Condensed"/>
                <w:sz w:val="20"/>
                <w:szCs w:val="20"/>
              </w:rPr>
              <w:t xml:space="preserve">primi provvedimenti 21 marzo 1972 · accordo di Basilea 10 o 24 aprile 1972; </w:t>
            </w:r>
            <w:r>
              <w:rPr>
                <w:rFonts w:ascii="Barlow Semi Condensed" w:cs="Barlow Semi Condensed" w:eastAsia="Barlow Semi Condensed" w:hAnsi="Barlow Semi Condensed"/>
                <w:b/>
                <w:bCs/>
                <w:sz w:val="20"/>
                <w:szCs w:val="20"/>
              </w:rPr>
              <w:t xml:space="preserve">concorde</w:t>
            </w:r>
            <w:r>
              <w:rPr>
                <w:rFonts w:ascii="Barlow Semi Condensed" w:cs="Barlow Semi Condensed" w:eastAsia="Barlow Semi Condensed" w:hAnsi="Barlow Semi Condensed"/>
                <w:sz w:val="20"/>
                <w:szCs w:val="20"/>
              </w:rPr>
              <w:t xml:space="preserve"> l'uscita della lira il 13 febbraio 1973</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Conferenza di solidarietà di Reggio Emilia (1973)</w:t>
            </w:r>
          </w:p>
        </w:tc>
        <w:tc>
          <w:tcPr>
            <w:tcW w:type="dxa" w:w="4680"/>
          </w:tcPr>
          <w:p>
            <w:pPr>
              <w:spacing w:after="20" w:before="20"/>
              <w:jc w:val="both"/>
            </w:pPr>
            <w:r>
              <w:rPr>
                <w:rFonts w:ascii="Barlow Semi Condensed" w:cs="Barlow Semi Condensed" w:eastAsia="Barlow Semi Condensed" w:hAnsi="Barlow Semi Condensed"/>
                <w:sz w:val="20"/>
                <w:szCs w:val="20"/>
              </w:rPr>
              <w:t xml:space="preserve">23-26 marzo (inventario IBC) · 24-25 marzo (Fondo Zagari)</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Paginazione del saggio di Guido Levi</w:t>
            </w:r>
          </w:p>
        </w:tc>
        <w:tc>
          <w:tcPr>
            <w:tcW w:type="dxa" w:w="4680"/>
          </w:tcPr>
          <w:p>
            <w:pPr>
              <w:spacing w:after="20" w:before="20"/>
              <w:jc w:val="both"/>
            </w:pPr>
            <w:r>
              <w:rPr>
                <w:rFonts w:ascii="Barlow Semi Condensed" w:cs="Barlow Semi Condensed" w:eastAsia="Barlow Semi Condensed" w:hAnsi="Barlow Semi Condensed"/>
                <w:sz w:val="20"/>
                <w:szCs w:val="20"/>
              </w:rPr>
              <w:t xml:space="preserve">pp. 69-101 · pp. 69-102 — stessa citazione testuale, stessa fonte: da chiudere sul fascicolo originale</w:t>
            </w:r>
          </w:p>
        </w:tc>
      </w:tr>
    </w:tbl>
    <w:p>
      <w:pPr>
        <w:spacing w:after="80"/>
      </w:pPr>
    </w:p>
    <w:p>
      <w:pPr>
        <w:spacing w:after="120" w:line="276"/>
        <w:jc w:val="both"/>
      </w:pPr>
      <w:r>
        <w:rPr>
          <w:rFonts w:ascii="Barlow Semi Condensed" w:cs="Barlow Semi Condensed" w:eastAsia="Barlow Semi Condensed" w:hAnsi="Barlow Semi Condensed"/>
          <w:b/>
          <w:bCs/>
          <w:sz w:val="24"/>
          <w:szCs w:val="24"/>
        </w:rPr>
        <w:t xml:space="preserve">Un'avvertenza di omonimia</w:t>
      </w:r>
      <w:r>
        <w:rPr>
          <w:rFonts w:ascii="Barlow Semi Condensed" w:cs="Barlow Semi Condensed" w:eastAsia="Barlow Semi Condensed" w:hAnsi="Barlow Semi Condensed"/>
          <w:sz w:val="24"/>
          <w:szCs w:val="24"/>
        </w:rPr>
        <w:t xml:space="preserve">, emersa dall'incrocio e da conservare: il Jorge Jardim incaricato dell'inchiesta portoghese su Wiriyamu e il Jorge Jardim Gonçalves citato altrove nella cartella </w:t>
      </w:r>
      <w:r>
        <w:rPr>
          <w:rFonts w:ascii="Barlow Semi Condensed" w:cs="Barlow Semi Condensed" w:eastAsia="Barlow Semi Condensed" w:hAnsi="Barlow Semi Condensed"/>
          <w:b/>
          <w:bCs/>
          <w:sz w:val="24"/>
          <w:szCs w:val="24"/>
        </w:rPr>
        <w:t xml:space="preserve">sono persone distinte</w:t>
      </w:r>
      <w:r>
        <w:rPr>
          <w:rFonts w:ascii="Barlow Semi Condensed" w:cs="Barlow Semi Condensed" w:eastAsia="Barlow Semi Condensed" w:hAnsi="Barlow Semi Condensed"/>
          <w:sz w:val="24"/>
          <w:szCs w:val="24"/>
        </w:rPr>
        <w:t xml:space="preserve"> e non vanno confusi in future sintesi.</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IV. Gli Stati Zero: condivisi, chiusi, e uno che resta</w:t>
      </w:r>
    </w:p>
    <w:p>
      <w:pPr>
        <w:spacing w:after="120" w:line="276"/>
        <w:jc w:val="both"/>
      </w:pPr>
      <w:r>
        <w:rPr>
          <w:rFonts w:ascii="Barlow Semi Condensed" w:cs="Barlow Semi Condensed" w:eastAsia="Barlow Semi Condensed" w:hAnsi="Barlow Semi Condensed"/>
          <w:b/>
          <w:bCs/>
          <w:sz w:val="24"/>
          <w:szCs w:val="24"/>
        </w:rPr>
        <w:t xml:space="preserve">Condivisi</w:t>
      </w:r>
      <w:r>
        <w:rPr>
          <w:rFonts w:ascii="Barlow Semi Condensed" w:cs="Barlow Semi Condensed" w:eastAsia="Barlow Semi Condensed" w:hAnsi="Barlow Semi Condensed"/>
          <w:sz w:val="24"/>
          <w:szCs w:val="24"/>
        </w:rPr>
        <w:t xml:space="preserve">, cioè dichiarati identicamente dai documenti nuovi e dal corpus, con le stesse sedi di chiusura: il </w:t>
      </w:r>
      <w:r>
        <w:rPr>
          <w:rFonts w:ascii="Barlow Semi Condensed" w:cs="Barlow Semi Condensed" w:eastAsia="Barlow Semi Condensed" w:hAnsi="Barlow Semi Condensed"/>
          <w:b/>
          <w:bCs/>
          <w:sz w:val="24"/>
          <w:szCs w:val="24"/>
        </w:rPr>
        <w:t xml:space="preserve">contatto diretto fra Moro e i ministri degli Esteri spagnoli</w:t>
      </w:r>
      <w:r>
        <w:rPr>
          <w:rFonts w:ascii="Barlow Semi Condensed" w:cs="Barlow Semi Condensed" w:eastAsia="Barlow Semi Condensed" w:hAnsi="Barlow Semi Condensed"/>
          <w:sz w:val="24"/>
          <w:szCs w:val="24"/>
        </w:rPr>
        <w:t xml:space="preserve"> (Archivio storico-diplomatico della Farnesina; Archivo General de la Administración di Alcalá de Henares, con il limite archivistico segnalato dalla storiografia sui fondi ministeriali non consultabili); il </w:t>
      </w:r>
      <w:r>
        <w:rPr>
          <w:rFonts w:ascii="Barlow Semi Condensed" w:cs="Barlow Semi Condensed" w:eastAsia="Barlow Semi Condensed" w:hAnsi="Barlow Semi Condensed"/>
          <w:b/>
          <w:bCs/>
          <w:sz w:val="24"/>
          <w:szCs w:val="24"/>
        </w:rPr>
        <w:t xml:space="preserve">telegramma da Tunisi del 6 settembre 1970</w:t>
      </w:r>
      <w:r>
        <w:rPr>
          <w:rFonts w:ascii="Barlow Semi Condensed" w:cs="Barlow Semi Condensed" w:eastAsia="Barlow Semi Condensed" w:hAnsi="Barlow Semi Condensed"/>
          <w:sz w:val="24"/>
          <w:szCs w:val="24"/>
        </w:rPr>
        <w:t xml:space="preserve"> e la cosiddetta «operazione Hilton», entrambi privi di fonte primaria e noti al corpus solo per via memorialistica indiretta; le </w:t>
      </w:r>
      <w:r>
        <w:rPr>
          <w:rFonts w:ascii="Barlow Semi Condensed" w:cs="Barlow Semi Condensed" w:eastAsia="Barlow Semi Condensed" w:hAnsi="Barlow Semi Condensed"/>
          <w:b/>
          <w:bCs/>
          <w:sz w:val="24"/>
          <w:szCs w:val="24"/>
        </w:rPr>
        <w:t xml:space="preserve">repliche di Moro sui bilanci esteri 1970-1974</w:t>
      </w:r>
      <w:r>
        <w:rPr>
          <w:rFonts w:ascii="Barlow Semi Condensed" w:cs="Barlow Semi Condensed" w:eastAsia="Barlow Semi Condensed" w:hAnsi="Barlow Semi Condensed"/>
          <w:sz w:val="24"/>
          <w:szCs w:val="24"/>
        </w:rPr>
        <w:t xml:space="preserve">, con numero di seduta e data; la </w:t>
      </w:r>
      <w:r>
        <w:rPr>
          <w:rFonts w:ascii="Barlow Semi Condensed" w:cs="Barlow Semi Condensed" w:eastAsia="Barlow Semi Condensed" w:hAnsi="Barlow Semi Condensed"/>
          <w:b/>
          <w:bCs/>
          <w:sz w:val="24"/>
          <w:szCs w:val="24"/>
        </w:rPr>
        <w:t xml:space="preserve">cooperazione italo-tedesca antiterrorismo</w:t>
      </w:r>
      <w:r>
        <w:rPr>
          <w:rFonts w:ascii="Barlow Semi Condensed" w:cs="Barlow Semi Condensed" w:eastAsia="Barlow Semi Condensed" w:hAnsi="Barlow Semi Condensed"/>
          <w:sz w:val="24"/>
          <w:szCs w:val="24"/>
        </w:rPr>
        <w:t xml:space="preserve"> e il ruolo del Bundeskriminalamt durante i cinquantacinque giorni; la posizione italiana sui cinque atti della Ostpolitik; e gli </w:t>
      </w:r>
      <w:r>
        <w:rPr>
          <w:rFonts w:ascii="Barlow Semi Condensed" w:cs="Barlow Semi Condensed" w:eastAsia="Barlow Semi Condensed" w:hAnsi="Barlow Semi Condensed"/>
          <w:b/>
          <w:bCs/>
          <w:sz w:val="24"/>
          <w:szCs w:val="24"/>
        </w:rPr>
        <w:t xml:space="preserve">atti italiani sull'espulsione del 13 aprile 1974</w:t>
      </w:r>
      <w:r>
        <w:rPr>
          <w:rFonts w:ascii="Barlow Semi Condensed" w:cs="Barlow Semi Condensed" w:eastAsia="Barlow Semi Condensed" w:hAnsi="Barlow Semi Condensed"/>
          <w:sz w:val="24"/>
          <w:szCs w:val="24"/>
        </w:rPr>
        <w:t xml:space="preserve">, di cui nessuna testimonianza comboniana reca traccia.</w:t>
      </w:r>
    </w:p>
    <w:p>
      <w:pPr>
        <w:spacing w:after="120" w:line="276"/>
        <w:jc w:val="both"/>
      </w:pPr>
      <w:r>
        <w:rPr>
          <w:rFonts w:ascii="Barlow Semi Condensed" w:cs="Barlow Semi Condensed" w:eastAsia="Barlow Semi Condensed" w:hAnsi="Barlow Semi Condensed"/>
          <w:b/>
          <w:bCs/>
          <w:sz w:val="24"/>
          <w:szCs w:val="24"/>
        </w:rPr>
        <w:t xml:space="preserve">Uno scoperto dalla campagna stessa</w:t>
      </w:r>
      <w:r>
        <w:rPr>
          <w:rFonts w:ascii="Barlow Semi Condensed" w:cs="Barlow Semi Condensed" w:eastAsia="Barlow Semi Condensed" w:hAnsi="Barlow Semi Condensed"/>
          <w:sz w:val="24"/>
          <w:szCs w:val="24"/>
        </w:rPr>
        <w:t xml:space="preserve">, e questo è il genere di esito che solo un incrocio meccanico produce: la verifica testuale dà </w:t>
      </w:r>
      <w:r>
        <w:rPr>
          <w:rFonts w:ascii="Barlow Semi Condensed" w:cs="Barlow Semi Condensed" w:eastAsia="Barlow Semi Condensed" w:hAnsi="Barlow Semi Condensed"/>
          <w:b/>
          <w:bCs/>
          <w:sz w:val="24"/>
          <w:szCs w:val="24"/>
        </w:rPr>
        <w:t xml:space="preserve">zero occorrenze</w:t>
      </w:r>
      <w:r>
        <w:rPr>
          <w:rFonts w:ascii="Barlow Semi Condensed" w:cs="Barlow Semi Condensed" w:eastAsia="Barlow Semi Condensed" w:hAnsi="Barlow Semi Condensed"/>
          <w:sz w:val="24"/>
          <w:szCs w:val="24"/>
        </w:rPr>
        <w:t xml:space="preserve"> del nome del capocentro del servizio a Beirut e della strage di Fiumicino del 17 dicembre 1973 tanto nei tre documenti maggiori del corpus quanto nei tre documenti nuovi. Nessuna delle due parti del confronto tocca il nome né la data: è uno </w:t>
      </w:r>
      <w:r>
        <w:rPr>
          <w:rFonts w:ascii="Barlow Semi Condensed" w:cs="Barlow Semi Condensed" w:eastAsia="Barlow Semi Condensed" w:hAnsi="Barlow Semi Condensed"/>
          <w:b/>
          <w:bCs/>
          <w:sz w:val="24"/>
          <w:szCs w:val="24"/>
        </w:rPr>
        <w:t xml:space="preserve">Stato Zero condiviso e fin qui non dichiarato</w:t>
      </w:r>
      <w:r>
        <w:rPr>
          <w:rFonts w:ascii="Barlow Semi Condensed" w:cs="Barlow Semi Condensed" w:eastAsia="Barlow Semi Condensed" w:hAnsi="Barlow Semi Condensed"/>
          <w:sz w:val="24"/>
          <w:szCs w:val="24"/>
        </w:rPr>
        <w:t xml:space="preserve">, che va verbalizzato con perimetro esatto secondo le regole che il corpus si è già dato (il test dei buchi al blocco 233 dell'agenda; la ricerca a vuoto come atto al blocco 285). Il buco misurato è conoscenza; il buco narrato non lo è.</w:t>
      </w:r>
    </w:p>
    <w:p>
      <w:pPr>
        <w:spacing w:after="120" w:line="276"/>
        <w:jc w:val="both"/>
      </w:pPr>
      <w:r>
        <w:rPr>
          <w:rFonts w:ascii="Barlow Semi Condensed" w:cs="Barlow Semi Condensed" w:eastAsia="Barlow Semi Condensed" w:hAnsi="Barlow Semi Condensed"/>
          <w:b/>
          <w:bCs/>
          <w:sz w:val="24"/>
          <w:szCs w:val="24"/>
        </w:rPr>
        <w:t xml:space="preserve">Chiuso per triangolazione interna</w:t>
      </w:r>
      <w:r>
        <w:rPr>
          <w:rFonts w:ascii="Barlow Semi Condensed" w:cs="Barlow Semi Condensed" w:eastAsia="Barlow Semi Condensed" w:hAnsi="Barlow Semi Condensed"/>
          <w:sz w:val="24"/>
          <w:szCs w:val="24"/>
        </w:rPr>
        <w:t xml:space="preserve">: l'ingresso delle due Germanie all'ONU, dichiarato Stato Zero da una ricognizione e datato al </w:t>
      </w:r>
      <w:r>
        <w:rPr>
          <w:rFonts w:ascii="Barlow Semi Condensed" w:cs="Barlow Semi Condensed" w:eastAsia="Barlow Semi Condensed" w:hAnsi="Barlow Semi Condensed"/>
          <w:b/>
          <w:bCs/>
          <w:sz w:val="24"/>
          <w:szCs w:val="24"/>
        </w:rPr>
        <w:t xml:space="preserve">18 settembre 1973</w:t>
      </w:r>
      <w:r>
        <w:rPr>
          <w:rFonts w:ascii="Barlow Semi Condensed" w:cs="Barlow Semi Condensed" w:eastAsia="Barlow Semi Condensed" w:hAnsi="Barlow Semi Condensed"/>
          <w:sz w:val="24"/>
          <w:szCs w:val="24"/>
        </w:rPr>
        <w:t xml:space="preserve"> dall'altra su documentazione ufficiale tedesca. È il caso esemplare di che cosa serva incrociare i documenti prima di archiviarli.</w:t>
      </w:r>
    </w:p>
    <w:p>
      <w:pPr>
        <w:spacing w:after="120" w:line="276"/>
        <w:jc w:val="both"/>
      </w:pPr>
      <w:r>
        <w:rPr>
          <w:rFonts w:ascii="Barlow Semi Condensed" w:cs="Barlow Semi Condensed" w:eastAsia="Barlow Semi Condensed" w:hAnsi="Barlow Semi Condensed"/>
          <w:b/>
          <w:bCs/>
          <w:sz w:val="24"/>
          <w:szCs w:val="24"/>
        </w:rPr>
        <w:t xml:space="preserve">Un limite strutturale, non un vuoto di fatto</w:t>
      </w:r>
      <w:r>
        <w:rPr>
          <w:rFonts w:ascii="Barlow Semi Condensed" w:cs="Barlow Semi Condensed" w:eastAsia="Barlow Semi Condensed" w:hAnsi="Barlow Semi Condensed"/>
          <w:sz w:val="24"/>
          <w:szCs w:val="24"/>
        </w:rPr>
        <w:t xml:space="preserve">: la banca dati del sindacato ispettivo parlamentare copre </w:t>
      </w:r>
      <w:r>
        <w:rPr>
          <w:rFonts w:ascii="Barlow Semi Condensed" w:cs="Barlow Semi Condensed" w:eastAsia="Barlow Semi Condensed" w:hAnsi="Barlow Semi Condensed"/>
          <w:b/>
          <w:bCs/>
          <w:sz w:val="24"/>
          <w:szCs w:val="24"/>
        </w:rPr>
        <w:t xml:space="preserve">solo dalla VII legislatura (5 luglio 1976)</w:t>
      </w:r>
      <w:r>
        <w:rPr>
          <w:rFonts w:ascii="Barlow Semi Condensed" w:cs="Barlow Semi Condensed" w:eastAsia="Barlow Semi Condensed" w:hAnsi="Barlow Semi Condensed"/>
          <w:sz w:val="24"/>
          <w:szCs w:val="24"/>
        </w:rPr>
        <w:t xml:space="preserve">. L'intero arco 1969-1975 sopravvive come resoconti stenografici non ricercabili a testo pieno: non è possibile, con i soli strumenti in rete, né confermare né escludere interrogazioni sul Portogallo coloniale, su Wiriyamu o sull'espulsione. Si chiude solo con lo spoglio manuale dei volumi a stampa.</w:t>
      </w:r>
    </w:p>
    <w:p>
      <w:pPr>
        <w:spacing w:after="120" w:line="276"/>
        <w:jc w:val="both"/>
      </w:pPr>
      <w:r>
        <w:rPr>
          <w:rFonts w:ascii="Barlow Semi Condensed" w:cs="Barlow Semi Condensed" w:eastAsia="Barlow Semi Condensed" w:hAnsi="Barlow Semi Condensed"/>
          <w:b/>
          <w:bCs/>
          <w:sz w:val="24"/>
          <w:szCs w:val="24"/>
        </w:rPr>
        <w:t xml:space="preserve">Uno che resta, e va detto per intero.</w:t>
      </w:r>
      <w:r>
        <w:rPr>
          <w:rFonts w:ascii="Barlow Semi Condensed" w:cs="Barlow Semi Condensed" w:eastAsia="Barlow Semi Condensed" w:hAnsi="Barlow Semi Condensed"/>
          <w:sz w:val="24"/>
          <w:szCs w:val="24"/>
        </w:rPr>
        <w:t xml:space="preserve"> La ricognizione sul Portogallo dichiara lo Stato Zero su un dossier ricorrente nella pubblicistica delle reti clandestine — </w:t>
      </w:r>
      <w:r>
        <w:rPr>
          <w:rFonts w:ascii="Barlow Semi Condensed" w:cs="Barlow Semi Condensed" w:eastAsia="Barlow Semi Condensed" w:hAnsi="Barlow Semi Condensed"/>
          <w:b/>
          <w:bCs/>
          <w:sz w:val="24"/>
          <w:szCs w:val="24"/>
        </w:rPr>
        <w:t xml:space="preserve">Aginter Press</w:t>
      </w:r>
      <w:r>
        <w:rPr>
          <w:rFonts w:ascii="Barlow Semi Condensed" w:cs="Barlow Semi Condensed" w:eastAsia="Barlow Semi Condensed" w:hAnsi="Barlow Semi Condensed"/>
          <w:sz w:val="24"/>
          <w:szCs w:val="24"/>
        </w:rPr>
        <w:t xml:space="preserve"> — non avendo reperito fonti primarie o studi peer-reviewed che ne documentino un ruolo nelle vicende trattate, e qualifica come non sostenuta la tesi circolante. La verifica meccanica sul corpus dà un esito che va registrato senza addolcirlo: </w:t>
      </w:r>
      <w:r>
        <w:rPr>
          <w:rFonts w:ascii="Barlow Semi Condensed" w:cs="Barlow Semi Condensed" w:eastAsia="Barlow Semi Condensed" w:hAnsi="Barlow Semi Condensed"/>
          <w:b/>
          <w:bCs/>
          <w:sz w:val="24"/>
          <w:szCs w:val="24"/>
        </w:rPr>
        <w:t xml:space="preserve">il termine non compare in alcun documento del branch</w:t>
      </w:r>
      <w:r>
        <w:rPr>
          <w:rFonts w:ascii="Barlow Semi Condensed" w:cs="Barlow Semi Condensed" w:eastAsia="Barlow Semi Condensed" w:hAnsi="Barlow Semi Condensed"/>
          <w:sz w:val="24"/>
          <w:szCs w:val="24"/>
        </w:rPr>
        <w:t xml:space="preserve">, né nei mille blocchi dei cantieri né nei quattrocento del manuale. La relazione fra i due statuti non è dunque «trattazione archiviata contro Stato Zero», ma </w:t>
      </w:r>
      <w:r>
        <w:rPr>
          <w:rFonts w:ascii="Barlow Semi Condensed" w:cs="Barlow Semi Condensed" w:eastAsia="Barlow Semi Condensed" w:hAnsi="Barlow Semi Condensed"/>
          <w:b/>
          <w:bCs/>
          <w:sz w:val="24"/>
          <w:szCs w:val="24"/>
        </w:rPr>
        <w:t xml:space="preserve">silenzio totale del corpus contro Stato Zero dichiarato</w:t>
      </w:r>
      <w:r>
        <w:rPr>
          <w:rFonts w:ascii="Barlow Semi Condensed" w:cs="Barlow Semi Condensed" w:eastAsia="Barlow Semi Condensed" w:hAnsi="Barlow Semi Condensed"/>
          <w:sz w:val="24"/>
          <w:szCs w:val="24"/>
        </w:rPr>
        <w:t xml:space="preserve">: i due stati sono compatibili, e la dichiarazione della ricognizione nuova costituisce, allo stato, l'unica presa di posizione dell'opera pubblica sul dossier. Resta tale: il materiale che colmerebbe quella lacuna appartiene, per la disciplina che questo corpus si è dato, al versante non pubblicabile, e </w:t>
      </w:r>
      <w:r>
        <w:rPr>
          <w:rFonts w:ascii="Barlow Semi Condensed" w:cs="Barlow Semi Condensed" w:eastAsia="Barlow Semi Condensed" w:hAnsi="Barlow Semi Condensed"/>
          <w:b/>
          <w:bCs/>
          <w:sz w:val="24"/>
          <w:szCs w:val="24"/>
        </w:rPr>
        <w:t xml:space="preserve">l'esito negativo pubblico non viene qui smentito né aggirato</w:t>
      </w:r>
      <w:r>
        <w:rPr>
          <w:rFonts w:ascii="Barlow Semi Condensed" w:cs="Barlow Semi Condensed" w:eastAsia="Barlow Semi Condensed" w:hAnsi="Barlow Semi Condensed"/>
          <w:sz w:val="24"/>
          <w:szCs w:val="24"/>
        </w:rPr>
        <w:t xml:space="preserve">.</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V. Il raccordo con la quadriga investigativa</w:t>
      </w:r>
    </w:p>
    <w:p>
      <w:pPr>
        <w:spacing w:after="120" w:line="276"/>
        <w:jc w:val="both"/>
      </w:pPr>
      <w:r>
        <w:rPr>
          <w:rFonts w:ascii="Barlow Semi Condensed" w:cs="Barlow Semi Condensed" w:eastAsia="Barlow Semi Condensed" w:hAnsi="Barlow Semi Condensed"/>
          <w:sz w:val="24"/>
          <w:szCs w:val="24"/>
        </w:rPr>
        <w:t xml:space="preserve">L'incrocio con i mille blocchi dei cantieri e con i trecento dell'agenda mostra che </w:t>
      </w:r>
      <w:r>
        <w:rPr>
          <w:rFonts w:ascii="Barlow Semi Condensed" w:cs="Barlow Semi Condensed" w:eastAsia="Barlow Semi Condensed" w:hAnsi="Barlow Semi Condensed"/>
          <w:b/>
          <w:bCs/>
          <w:sz w:val="24"/>
          <w:szCs w:val="24"/>
        </w:rPr>
        <w:t xml:space="preserve">le nuove ricognizioni non aprono un fronte parallelo: riempiono bersagli già scritti</w:t>
      </w:r>
      <w:r>
        <w:rPr>
          <w:rFonts w:ascii="Barlow Semi Condensed" w:cs="Barlow Semi Condensed" w:eastAsia="Barlow Semi Condensed" w:hAnsi="Barlow Semi Condensed"/>
          <w:sz w:val="24"/>
          <w:szCs w:val="24"/>
        </w:rPr>
        <w:t xml:space="preserve">.</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Il filone RAF-Brigate Rosse</w:t>
      </w:r>
      <w:r>
        <w:rPr>
          <w:rFonts w:ascii="Barlow Semi Condensed" w:cs="Barlow Semi Condensed" w:eastAsia="Barlow Semi Condensed" w:hAnsi="Barlow Semi Condensed"/>
          <w:sz w:val="24"/>
          <w:szCs w:val="24"/>
        </w:rPr>
        <w:t xml:space="preserve"> si aggancia ai blocchi </w:t>
      </w:r>
      <w:r>
        <w:rPr>
          <w:rFonts w:ascii="Barlow Semi Condensed" w:cs="Barlow Semi Condensed" w:eastAsia="Barlow Semi Condensed" w:hAnsi="Barlow Semi Condensed"/>
          <w:b/>
          <w:bCs/>
          <w:sz w:val="24"/>
          <w:szCs w:val="24"/>
        </w:rPr>
        <w:t xml:space="preserve">88, 104 e 105</w:t>
      </w:r>
      <w:r>
        <w:rPr>
          <w:rFonts w:ascii="Barlow Semi Condensed" w:cs="Barlow Semi Condensed" w:eastAsia="Barlow Semi Condensed" w:hAnsi="Barlow Semi Condensed"/>
          <w:sz w:val="24"/>
          <w:szCs w:val="24"/>
        </w:rPr>
        <w:t xml:space="preserve">, che già scrivevano il quesito dei contatti in forma ACH, fissavano le carte del Bundeskriminalamt come oggetto documentale e indicavano i processi tedeschi come giacimento del giudicato. Le dichiarazioni di un collaboratore riportate in sede investigativa restano quello che sono — </w:t>
      </w:r>
      <w:r>
        <w:rPr>
          <w:rFonts w:ascii="Barlow Semi Condensed" w:cs="Barlow Semi Condensed" w:eastAsia="Barlow Semi Condensed" w:hAnsi="Barlow Semi Condensed"/>
          <w:b/>
          <w:bCs/>
          <w:sz w:val="24"/>
          <w:szCs w:val="24"/>
        </w:rPr>
        <w:t xml:space="preserve">non accertamenti definitivi di sentenza</w:t>
      </w:r>
      <w:r>
        <w:rPr>
          <w:rFonts w:ascii="Barlow Semi Condensed" w:cs="Barlow Semi Condensed" w:eastAsia="Barlow Semi Condensed" w:hAnsi="Barlow Semi Condensed"/>
          <w:sz w:val="24"/>
          <w:szCs w:val="24"/>
        </w:rPr>
        <w:t xml:space="preserve"> — e l'appartenenza di una persona alla RAF non è prova di una condotta della RAF.</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Il materiale di provenienza DDR</w:t>
      </w:r>
      <w:r>
        <w:rPr>
          <w:rFonts w:ascii="Barlow Semi Condensed" w:cs="Barlow Semi Condensed" w:eastAsia="Barlow Semi Condensed" w:hAnsi="Barlow Semi Condensed"/>
          <w:sz w:val="24"/>
          <w:szCs w:val="24"/>
        </w:rPr>
        <w:t xml:space="preserve"> si aggancia ai blocchi </w:t>
      </w:r>
      <w:r>
        <w:rPr>
          <w:rFonts w:ascii="Barlow Semi Condensed" w:cs="Barlow Semi Condensed" w:eastAsia="Barlow Semi Condensed" w:hAnsi="Barlow Semi Condensed"/>
          <w:b/>
          <w:bCs/>
          <w:sz w:val="24"/>
          <w:szCs w:val="24"/>
        </w:rPr>
        <w:t xml:space="preserve">91-92</w:t>
      </w:r>
      <w:r>
        <w:rPr>
          <w:rFonts w:ascii="Barlow Semi Condensed" w:cs="Barlow Semi Condensed" w:eastAsia="Barlow Semi Condensed" w:hAnsi="Barlow Semi Condensed"/>
          <w:sz w:val="24"/>
          <w:szCs w:val="24"/>
        </w:rPr>
        <w:t xml:space="preserve">: lo Stasi-Unterlagen-Archiv è dal 2021 parte del Bundesarchiv, e ogni carta di quella provenienza entra con doppia cautela, mai da sola a fondamento di alcunché, con valore comparativo e non rivelatorio. La disciplina si estende alle carte ecclesiastiche ora citate.</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Il precedente Schleyer</w:t>
      </w:r>
      <w:r>
        <w:rPr>
          <w:rFonts w:ascii="Barlow Semi Condensed" w:cs="Barlow Semi Condensed" w:eastAsia="Barlow Semi Condensed" w:hAnsi="Barlow Semi Condensed"/>
          <w:sz w:val="24"/>
          <w:szCs w:val="24"/>
        </w:rPr>
        <w:t xml:space="preserve"> si aggancia ai blocchi </w:t>
      </w:r>
      <w:r>
        <w:rPr>
          <w:rFonts w:ascii="Barlow Semi Condensed" w:cs="Barlow Semi Condensed" w:eastAsia="Barlow Semi Condensed" w:hAnsi="Barlow Semi Condensed"/>
          <w:b/>
          <w:bCs/>
          <w:sz w:val="24"/>
          <w:szCs w:val="24"/>
        </w:rPr>
        <w:t xml:space="preserve">85, 86 e 94</w:t>
      </w:r>
      <w:r>
        <w:rPr>
          <w:rFonts w:ascii="Barlow Semi Condensed" w:cs="Barlow Semi Condensed" w:eastAsia="Barlow Semi Condensed" w:hAnsi="Barlow Semi Condensed"/>
          <w:sz w:val="24"/>
          <w:szCs w:val="24"/>
        </w:rPr>
        <w:t xml:space="preserve">, che già perimetravano i verbali di gabinetto del 1977, l'accessibilità parziale dei protocolli dello stato maggiore di crisi e il dossier comparativo Schleyer-Moro senza tesi precostituita. Le ricognizioni nuove non aggiungono dati oltre quel perimetro.</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La cooperazione antiterrorismo</w:t>
      </w:r>
      <w:r>
        <w:rPr>
          <w:rFonts w:ascii="Barlow Semi Condensed" w:cs="Barlow Semi Condensed" w:eastAsia="Barlow Semi Condensed" w:hAnsi="Barlow Semi Condensed"/>
          <w:sz w:val="24"/>
          <w:szCs w:val="24"/>
        </w:rPr>
        <w:t xml:space="preserve"> si aggancia ai blocchi </w:t>
      </w:r>
      <w:r>
        <w:rPr>
          <w:rFonts w:ascii="Barlow Semi Condensed" w:cs="Barlow Semi Condensed" w:eastAsia="Barlow Semi Condensed" w:hAnsi="Barlow Semi Condensed"/>
          <w:b/>
          <w:bCs/>
          <w:sz w:val="24"/>
          <w:szCs w:val="24"/>
        </w:rPr>
        <w:t xml:space="preserve">87, 88, 90, 99 e 114</w:t>
      </w:r>
      <w:r>
        <w:rPr>
          <w:rFonts w:ascii="Barlow Semi Condensed" w:cs="Barlow Semi Condensed" w:eastAsia="Barlow Semi Condensed" w:hAnsi="Barlow Semi Condensed"/>
          <w:sz w:val="24"/>
          <w:szCs w:val="24"/>
        </w:rPr>
        <w:t xml:space="preserve">: il fondo del ministero dell'Interno federale, le carte del BKA, il canale fra i due capi di governo, la cooperazione TREVI, gli scambi di intelligence dichiarati. Lo Stato Zero della ricognizione nuova è, nei cantieri, </w:t>
      </w:r>
      <w:r>
        <w:rPr>
          <w:rFonts w:ascii="Barlow Semi Condensed" w:cs="Barlow Semi Condensed" w:eastAsia="Barlow Semi Condensed" w:hAnsi="Barlow Semi Condensed"/>
          <w:b/>
          <w:bCs/>
          <w:sz w:val="24"/>
          <w:szCs w:val="24"/>
        </w:rPr>
        <w:t xml:space="preserve">già dotato delle proprie sedi di chiusura</w:t>
      </w:r>
      <w:r>
        <w:rPr>
          <w:rFonts w:ascii="Barlow Semi Condensed" w:cs="Barlow Semi Condensed" w:eastAsia="Barlow Semi Condensed" w:hAnsi="Barlow Semi Condensed"/>
          <w:sz w:val="24"/>
          <w:szCs w:val="24"/>
        </w:rPr>
        <w:t xml:space="preserve">.</w:t>
      </w:r>
    </w:p>
    <w:p>
      <w:pPr>
        <w:spacing w:after="120" w:line="276"/>
        <w:jc w:val="both"/>
      </w:pPr>
      <w:r>
        <w:rPr>
          <w:rFonts w:ascii="Barlow Semi Condensed" w:cs="Barlow Semi Condensed" w:eastAsia="Barlow Semi Condensed" w:hAnsi="Barlow Semi Condensed"/>
          <w:b/>
          <w:bCs/>
          <w:sz w:val="24"/>
          <w:szCs w:val="24"/>
        </w:rPr>
        <w:t xml:space="preserve">Bersagli nuovi</w:t>
      </w:r>
      <w:r>
        <w:rPr>
          <w:rFonts w:ascii="Barlow Semi Condensed" w:cs="Barlow Semi Condensed" w:eastAsia="Barlow Semi Condensed" w:hAnsi="Barlow Semi Condensed"/>
          <w:sz w:val="24"/>
          <w:szCs w:val="24"/>
        </w:rPr>
        <w:t xml:space="preserve">, che la quadriga non aveva e che vi si aggiungono con giacimento proprio. Il </w:t>
      </w:r>
      <w:r>
        <w:rPr>
          <w:rFonts w:ascii="Barlow Semi Condensed" w:cs="Barlow Semi Condensed" w:eastAsia="Barlow Semi Condensed" w:hAnsi="Barlow Semi Condensed"/>
          <w:b/>
          <w:bCs/>
          <w:sz w:val="24"/>
          <w:szCs w:val="24"/>
        </w:rPr>
        <w:t xml:space="preserve">«lodo Moro»</w:t>
      </w:r>
      <w:r>
        <w:rPr>
          <w:rFonts w:ascii="Barlow Semi Condensed" w:cs="Barlow Semi Condensed" w:eastAsia="Barlow Semi Condensed" w:hAnsi="Barlow Semi Condensed"/>
          <w:sz w:val="24"/>
          <w:szCs w:val="24"/>
        </w:rPr>
        <w:t xml:space="preserve">: la stringa non compare in alcuno dei tre documenti maggiori del corpus, e i nove cantieri hanno tre colonne estere — britannica, francese, tedesca, con Berna e Vienna in appendice — e </w:t>
      </w:r>
      <w:r>
        <w:rPr>
          <w:rFonts w:ascii="Barlow Semi Condensed" w:cs="Barlow Semi Condensed" w:eastAsia="Barlow Semi Condensed" w:hAnsi="Barlow Semi Condensed"/>
          <w:b/>
          <w:bCs/>
          <w:sz w:val="24"/>
          <w:szCs w:val="24"/>
        </w:rPr>
        <w:t xml:space="preserve">nessuna colonna mediterranea o araba</w:t>
      </w:r>
      <w:r>
        <w:rPr>
          <w:rFonts w:ascii="Barlow Semi Condensed" w:cs="Barlow Semi Condensed" w:eastAsia="Barlow Semi Condensed" w:hAnsi="Barlow Semi Condensed"/>
          <w:sz w:val="24"/>
          <w:szCs w:val="24"/>
        </w:rPr>
        <w:t xml:space="preserve">. La monografia peer-reviewed indicata dalla ricognizione è punto di partenza bibliografico, non documento primario: vale la regola dell'agenda per cui senza primario non si conclude. La </w:t>
      </w:r>
      <w:r>
        <w:rPr>
          <w:rFonts w:ascii="Barlow Semi Condensed" w:cs="Barlow Semi Condensed" w:eastAsia="Barlow Semi Condensed" w:hAnsi="Barlow Semi Condensed"/>
          <w:b/>
          <w:bCs/>
          <w:sz w:val="24"/>
          <w:szCs w:val="24"/>
        </w:rPr>
        <w:t xml:space="preserve">guerra del Kippur del 1973 e il rifiuto delle basi NATO</w:t>
      </w:r>
      <w:r>
        <w:rPr>
          <w:rFonts w:ascii="Barlow Semi Condensed" w:cs="Barlow Semi Condensed" w:eastAsia="Barlow Semi Condensed" w:hAnsi="Barlow Semi Condensed"/>
          <w:sz w:val="24"/>
          <w:szCs w:val="24"/>
        </w:rPr>
        <w:t xml:space="preserve">: il corpus ha il quesito atlantico solo per il 1978 (blocchi 24 e 98 dei cantieri, quesito 12 dell'agenda), e l'episodio gliene dà l'antecedente datato — con lo statuto dichiarato di </w:t>
      </w:r>
      <w:r>
        <w:rPr>
          <w:rFonts w:ascii="Barlow Semi Condensed" w:cs="Barlow Semi Condensed" w:eastAsia="Barlow Semi Condensed" w:hAnsi="Barlow Semi Condensed"/>
          <w:b/>
          <w:bCs/>
          <w:sz w:val="24"/>
          <w:szCs w:val="24"/>
        </w:rPr>
        <w:t xml:space="preserve">testimonianza resa in sede parlamentare</w:t>
      </w:r>
      <w:r>
        <w:rPr>
          <w:rFonts w:ascii="Barlow Semi Condensed" w:cs="Barlow Semi Condensed" w:eastAsia="Barlow Semi Condensed" w:hAnsi="Barlow Semi Condensed"/>
          <w:sz w:val="24"/>
          <w:szCs w:val="24"/>
        </w:rPr>
        <w:t xml:space="preserve">, non di accertamento, e per giunta proveniente dal fondo che il corpus già spoglia. Il </w:t>
      </w:r>
      <w:r>
        <w:rPr>
          <w:rFonts w:ascii="Barlow Semi Condensed" w:cs="Barlow Semi Condensed" w:eastAsia="Barlow Semi Condensed" w:hAnsi="Barlow Semi Condensed"/>
          <w:b/>
          <w:bCs/>
          <w:sz w:val="24"/>
          <w:szCs w:val="24"/>
        </w:rPr>
        <w:t xml:space="preserve">canale Pignedoli</w:t>
      </w:r>
      <w:r>
        <w:rPr>
          <w:rFonts w:ascii="Barlow Semi Condensed" w:cs="Barlow Semi Condensed" w:eastAsia="Barlow Semi Condensed" w:hAnsi="Barlow Semi Condensed"/>
          <w:sz w:val="24"/>
          <w:szCs w:val="24"/>
        </w:rPr>
        <w:t xml:space="preserve"> consegna al blocco 193 dei cantieri — che chiede «i precedenti documentati di disponibilità ecclesiastiche in sequestri italiani» — un precedente con nome e data, quattro anni prima dei cinquantacinque giorni, da fissare su fonte primaria perché la fonte disponibile è enciclopedica.</w:t>
      </w:r>
    </w:p>
    <w:p>
      <w:pPr>
        <w:spacing w:after="120" w:line="276"/>
        <w:jc w:val="both"/>
      </w:pPr>
      <w:r>
        <w:rPr>
          <w:rFonts w:ascii="Barlow Semi Condensed" w:cs="Barlow Semi Condensed" w:eastAsia="Barlow Semi Condensed" w:hAnsi="Barlow Semi Condensed"/>
          <w:b/>
          <w:bCs/>
          <w:sz w:val="24"/>
          <w:szCs w:val="24"/>
        </w:rPr>
        <w:t xml:space="preserve">Giacimenti archivistici nuovi</w:t>
      </w:r>
      <w:r>
        <w:rPr>
          <w:rFonts w:ascii="Barlow Semi Condensed" w:cs="Barlow Semi Condensed" w:eastAsia="Barlow Semi Condensed" w:hAnsi="Barlow Semi Condensed"/>
          <w:sz w:val="24"/>
          <w:szCs w:val="24"/>
        </w:rPr>
        <w:t xml:space="preserve">: l'</w:t>
      </w:r>
      <w:r>
        <w:rPr>
          <w:rFonts w:ascii="Barlow Semi Condensed" w:cs="Barlow Semi Condensed" w:eastAsia="Barlow Semi Condensed" w:hAnsi="Barlow Semi Condensed"/>
          <w:b/>
          <w:bCs/>
          <w:sz w:val="24"/>
          <w:szCs w:val="24"/>
        </w:rPr>
        <w:t xml:space="preserve">Archivo General de la Administración</w:t>
      </w:r>
      <w:r>
        <w:rPr>
          <w:rFonts w:ascii="Barlow Semi Condensed" w:cs="Barlow Semi Condensed" w:eastAsia="Barlow Semi Condensed" w:hAnsi="Barlow Semi Condensed"/>
          <w:sz w:val="24"/>
          <w:szCs w:val="24"/>
        </w:rPr>
        <w:t xml:space="preserve"> di Alcalá de Henares (fondi del ministero degli Esteri spagnolo trasferiti fino al 1985 circa) — il corpus non aveva alcuna colonna spagnola; il portale ufficiale portoghese </w:t>
      </w:r>
      <w:r>
        <w:rPr>
          <w:rFonts w:ascii="Barlow Semi Condensed" w:cs="Barlow Semi Condensed" w:eastAsia="Barlow Semi Condensed" w:hAnsi="Barlow Semi Condensed"/>
          <w:i/>
          <w:iCs/>
          <w:sz w:val="24"/>
          <w:szCs w:val="24"/>
        </w:rPr>
        <w:t xml:space="preserve">Diplomacia e Revolução</w:t>
      </w:r>
      <w:r>
        <w:rPr>
          <w:rFonts w:ascii="Barlow Semi Condensed" w:cs="Barlow Semi Condensed" w:eastAsia="Barlow Semi Condensed" w:hAnsi="Barlow Semi Condensed"/>
          <w:sz w:val="24"/>
          <w:szCs w:val="24"/>
        </w:rPr>
        <w:t xml:space="preserve"> con la sua serie italiana sul riconoscimento del 1974, </w:t>
      </w:r>
      <w:r>
        <w:rPr>
          <w:rFonts w:ascii="Barlow Semi Condensed" w:cs="Barlow Semi Condensed" w:eastAsia="Barlow Semi Condensed" w:hAnsi="Barlow Semi Condensed"/>
          <w:b/>
          <w:bCs/>
          <w:sz w:val="24"/>
          <w:szCs w:val="24"/>
        </w:rPr>
        <w:t xml:space="preserve">ad accesso automatizzato bloccato e dunque da consultare manualmente o in sede</w:t>
      </w:r>
      <w:r>
        <w:rPr>
          <w:rFonts w:ascii="Barlow Semi Condensed" w:cs="Barlow Semi Condensed" w:eastAsia="Barlow Semi Condensed" w:hAnsi="Barlow Semi Condensed"/>
          <w:sz w:val="24"/>
          <w:szCs w:val="24"/>
        </w:rPr>
        <w:t xml:space="preserve">, insieme all'Arquivo Nacional da Torre do Tombo, al Centro de Documentação 25 de Abril di Coimbra e alla Fundação Mário Soares; il </w:t>
      </w:r>
      <w:r>
        <w:rPr>
          <w:rFonts w:ascii="Barlow Semi Condensed" w:cs="Barlow Semi Condensed" w:eastAsia="Barlow Semi Condensed" w:hAnsi="Barlow Semi Condensed"/>
          <w:b/>
          <w:bCs/>
          <w:sz w:val="24"/>
          <w:szCs w:val="24"/>
        </w:rPr>
        <w:t xml:space="preserve">Fondo Zagari</w:t>
      </w:r>
      <w:r>
        <w:rPr>
          <w:rFonts w:ascii="Barlow Semi Condensed" w:cs="Barlow Semi Condensed" w:eastAsia="Barlow Semi Condensed" w:hAnsi="Barlow Semi Condensed"/>
          <w:sz w:val="24"/>
          <w:szCs w:val="24"/>
        </w:rPr>
        <w:t xml:space="preserve"> dell'Archivio storico del Senato, deposito che il corpus non conosceva pur conoscendo bene quel portale; l'archivio Soncini-Ganapini presso l'istituto per i beni culturali dell'Emilia-Romagna; l'archivio comboniano di Roma con le annate della sua rivista; e i depositi ecclesiastici tedeschi. Non è invece un giacimento nuovo la serie degli </w:t>
      </w:r>
      <w:r>
        <w:rPr>
          <w:rFonts w:ascii="Barlow Semi Condensed" w:cs="Barlow Semi Condensed" w:eastAsia="Barlow Semi Condensed" w:hAnsi="Barlow Semi Condensed"/>
          <w:b/>
          <w:bCs/>
          <w:sz w:val="24"/>
          <w:szCs w:val="24"/>
        </w:rPr>
        <w:t xml:space="preserve">Akten zur Auswärtigen Politik</w:t>
      </w:r>
      <w:r>
        <w:rPr>
          <w:rFonts w:ascii="Barlow Semi Condensed" w:cs="Barlow Semi Condensed" w:eastAsia="Barlow Semi Condensed" w:hAnsi="Barlow Semi Condensed"/>
          <w:sz w:val="24"/>
          <w:szCs w:val="24"/>
        </w:rPr>
        <w:t xml:space="preserve">, che i cantieri fissano già ai blocchi 81-83 e 117: il rendimento della ricognizione è </w:t>
      </w:r>
      <w:r>
        <w:rPr>
          <w:rFonts w:ascii="Barlow Semi Condensed" w:cs="Barlow Semi Condensed" w:eastAsia="Barlow Semi Condensed" w:hAnsi="Barlow Semi Condensed"/>
          <w:b/>
          <w:bCs/>
          <w:sz w:val="24"/>
          <w:szCs w:val="24"/>
        </w:rPr>
        <w:t xml:space="preserve">cronologico</w:t>
      </w:r>
      <w:r>
        <w:rPr>
          <w:rFonts w:ascii="Barlow Semi Condensed" w:cs="Barlow Semi Condensed" w:eastAsia="Barlow Semi Condensed" w:hAnsi="Barlow Semi Condensed"/>
          <w:sz w:val="24"/>
          <w:szCs w:val="24"/>
        </w:rPr>
        <w:t xml:space="preserve">, perché estende alle annate 1969-1974 una procedura già scritta per il 1977-1978.</w:t>
      </w:r>
    </w:p>
    <w:p>
      <w:pPr>
        <w:pStyle w:val="Heading3"/>
        <w:spacing w:after="80" w:before="160"/>
      </w:pPr>
      <w:r>
        <w:rPr>
          <w:rFonts w:ascii="Barlow Semi Condensed" w:cs="Barlow Semi Condensed" w:eastAsia="Barlow Semi Condensed" w:hAnsi="Barlow Semi Condensed"/>
          <w:sz w:val="24"/>
          <w:szCs w:val="24"/>
        </w:rPr>
        <w:t xml:space="preserve">Tre correzioni che la campagna impone alla quadriga</w:t>
      </w:r>
    </w:p>
    <w:p>
      <w:pPr>
        <w:spacing w:after="120" w:line="276"/>
        <w:jc w:val="both"/>
      </w:pPr>
      <w:r>
        <w:rPr>
          <w:rFonts w:ascii="Barlow Semi Condensed" w:cs="Barlow Semi Condensed" w:eastAsia="Barlow Semi Condensed" w:hAnsi="Barlow Semi Condensed"/>
          <w:sz w:val="24"/>
          <w:szCs w:val="24"/>
        </w:rPr>
        <w:t xml:space="preserve">L'incrocio non ha solo riempito blocchi: in tre punti ha mostrato che </w:t>
      </w:r>
      <w:r>
        <w:rPr>
          <w:rFonts w:ascii="Barlow Semi Condensed" w:cs="Barlow Semi Condensed" w:eastAsia="Barlow Semi Condensed" w:hAnsi="Barlow Semi Condensed"/>
          <w:b/>
          <w:bCs/>
          <w:sz w:val="24"/>
          <w:szCs w:val="24"/>
        </w:rPr>
        <w:t xml:space="preserve">i cantieri e l'agenda davano per acquisito ciò che non lo è</w:t>
      </w:r>
      <w:r>
        <w:rPr>
          <w:rFonts w:ascii="Barlow Semi Condensed" w:cs="Barlow Semi Condensed" w:eastAsia="Barlow Semi Condensed" w:hAnsi="Barlow Semi Condensed"/>
          <w:sz w:val="24"/>
          <w:szCs w:val="24"/>
        </w:rPr>
        <w:t xml:space="preserve">, e queste sono le acquisizioni più utili perché correggono lo strumento, non il contenuto.</w:t>
      </w:r>
    </w:p>
    <w:p>
      <w:pPr>
        <w:spacing w:after="120" w:line="276"/>
        <w:jc w:val="both"/>
      </w:pPr>
      <w:r>
        <w:rPr>
          <w:rFonts w:ascii="Barlow Semi Condensed" w:cs="Barlow Semi Condensed" w:eastAsia="Barlow Semi Condensed" w:hAnsi="Barlow Semi Condensed"/>
          <w:b/>
          <w:bCs/>
          <w:sz w:val="24"/>
          <w:szCs w:val="24"/>
        </w:rPr>
        <w:t xml:space="preserve">La Farnesina non è interrogabile senza riserve.</w:t>
      </w:r>
      <w:r>
        <w:rPr>
          <w:rFonts w:ascii="Barlow Semi Condensed" w:cs="Barlow Semi Condensed" w:eastAsia="Barlow Semi Condensed" w:hAnsi="Barlow Semi Condensed"/>
          <w:sz w:val="24"/>
          <w:szCs w:val="24"/>
        </w:rPr>
        <w:t xml:space="preserve"> I blocchi 55 e 78 dei cantieri e il blocco 244 dell'agenda trattano l'Archivio storico-diplomatico come sede aperta. Il saggio peer-reviewed richiamato dalle ricognizioni attesta invece che i fondi ministeriali per gli anni in esame </w:t>
      </w:r>
      <w:r>
        <w:rPr>
          <w:rFonts w:ascii="Barlow Semi Condensed" w:cs="Barlow Semi Condensed" w:eastAsia="Barlow Semi Condensed" w:hAnsi="Barlow Semi Condensed"/>
          <w:b/>
          <w:bCs/>
          <w:sz w:val="24"/>
          <w:szCs w:val="24"/>
        </w:rPr>
        <w:t xml:space="preserve">non erano consultabili</w:t>
      </w:r>
      <w:r>
        <w:rPr>
          <w:rFonts w:ascii="Barlow Semi Condensed" w:cs="Barlow Semi Condensed" w:eastAsia="Barlow Semi Condensed" w:hAnsi="Barlow Semi Condensed"/>
          <w:sz w:val="24"/>
          <w:szCs w:val="24"/>
        </w:rPr>
        <w:t xml:space="preserve">, e le ricognizioni aggiungono la condizione operativa: per la documentazione dal 1949 in poi la disponibilità dei faldoni va verificata caso per caso, e resta l'esclusione temporanea dei Telegrammi 1942-1970. La barriera dei cinquant'anni rende l'arco 1969-1974 teoricamente aperto; l'inventariazione non lo rende praticamente tale. </w:t>
      </w:r>
      <w:r>
        <w:rPr>
          <w:rFonts w:ascii="Barlow Semi Condensed" w:cs="Barlow Semi Condensed" w:eastAsia="Barlow Semi Condensed" w:hAnsi="Barlow Semi Condensed"/>
          <w:b/>
          <w:bCs/>
          <w:sz w:val="24"/>
          <w:szCs w:val="24"/>
        </w:rPr>
        <w:t xml:space="preserve">Il costo dichiarato del bersaglio va rivisto prima di pianificare.</w:t>
      </w:r>
    </w:p>
    <w:p>
      <w:pPr>
        <w:spacing w:after="120" w:line="276"/>
        <w:jc w:val="both"/>
      </w:pPr>
      <w:r>
        <w:rPr>
          <w:rFonts w:ascii="Barlow Semi Condensed" w:cs="Barlow Semi Condensed" w:eastAsia="Barlow Semi Condensed" w:hAnsi="Barlow Semi Condensed"/>
          <w:b/>
          <w:bCs/>
          <w:sz w:val="24"/>
          <w:szCs w:val="24"/>
        </w:rPr>
        <w:t xml:space="preserve">Il Fondo Moro del Senato è un quarto deposito.</w:t>
      </w:r>
      <w:r>
        <w:rPr>
          <w:rFonts w:ascii="Barlow Semi Condensed" w:cs="Barlow Semi Condensed" w:eastAsia="Barlow Semi Condensed" w:hAnsi="Barlow Semi Condensed"/>
          <w:sz w:val="24"/>
          <w:szCs w:val="24"/>
        </w:rPr>
        <w:t xml:space="preserve"> I blocchi 221-223 e 235 dei cantieri distinguono tre nuclei delle carte di Moro — il fondo personale all'Archivio centrale dello Stato, il fondo familiare, la raccolta statale delle direttive — e tengono un registro delle confusioni correnti da correggere. Le ricognizioni citano ripetutamente un deposito con segnatura propria (IT-AFS-048), con unità archivistiche digitalizzate che riguardano </w:t>
      </w:r>
      <w:r>
        <w:rPr>
          <w:rFonts w:ascii="Barlow Semi Condensed" w:cs="Barlow Semi Condensed" w:eastAsia="Barlow Semi Condensed" w:hAnsi="Barlow Semi Condensed"/>
          <w:b/>
          <w:bCs/>
          <w:sz w:val="24"/>
          <w:szCs w:val="24"/>
        </w:rPr>
        <w:t xml:space="preserve">proprio il Moro ministro</w:t>
      </w:r>
      <w:r>
        <w:rPr>
          <w:rFonts w:ascii="Barlow Semi Condensed" w:cs="Barlow Semi Condensed" w:eastAsia="Barlow Semi Condensed" w:hAnsi="Barlow Semi Condensed"/>
          <w:sz w:val="24"/>
          <w:szCs w:val="24"/>
        </w:rPr>
        <w:t xml:space="preserve">: esiste ed è quello che serve a questa cartella. Il registro dei tre nuclei va emendato per nota.</w:t>
      </w:r>
    </w:p>
    <w:p>
      <w:pPr>
        <w:spacing w:after="120" w:line="276"/>
        <w:jc w:val="both"/>
      </w:pPr>
      <w:r>
        <w:rPr>
          <w:rFonts w:ascii="Barlow Semi Condensed" w:cs="Barlow Semi Condensed" w:eastAsia="Barlow Semi Condensed" w:hAnsi="Barlow Semi Condensed"/>
          <w:b/>
          <w:bCs/>
          <w:sz w:val="24"/>
          <w:szCs w:val="24"/>
        </w:rPr>
        <w:t xml:space="preserve">Le banche dati parlamentari non coprono gli anni del ministero.</w:t>
      </w:r>
      <w:r>
        <w:rPr>
          <w:rFonts w:ascii="Barlow Semi Condensed" w:cs="Barlow Semi Condensed" w:eastAsia="Barlow Semi Condensed" w:hAnsi="Barlow Semi Condensed"/>
          <w:sz w:val="24"/>
          <w:szCs w:val="24"/>
        </w:rPr>
        <w:t xml:space="preserve"> Il blocco 62 dell'agenda prescrive di censire interrogazioni, interpellanze e dibattiti nelle banche dati storiche senza registrare che quelle banche dati </w:t>
      </w:r>
      <w:r>
        <w:rPr>
          <w:rFonts w:ascii="Barlow Semi Condensed" w:cs="Barlow Semi Condensed" w:eastAsia="Barlow Semi Condensed" w:hAnsi="Barlow Semi Condensed"/>
          <w:b/>
          <w:bCs/>
          <w:sz w:val="24"/>
          <w:szCs w:val="24"/>
        </w:rPr>
        <w:t xml:space="preserve">cominciano dalla VII legislatura (5 luglio 1976)</w:t>
      </w:r>
      <w:r>
        <w:rPr>
          <w:rFonts w:ascii="Barlow Semi Condensed" w:cs="Barlow Semi Condensed" w:eastAsia="Barlow Semi Condensed" w:hAnsi="Barlow Semi Condensed"/>
          <w:sz w:val="24"/>
          <w:szCs w:val="24"/>
        </w:rPr>
        <w:t xml:space="preserve">. Per tutto ciò che precede — cioè per l'intero periodo qui studiato — la via è lo spoglio manuale dei volumi a stampa. È precisazione di fattibilità e non di merito, ma cambia il costo del bersaglio e va portata a nota prima di ogni pianificazione.</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VI. La griglia dei gradi, e una quinta voce</w:t>
      </w:r>
    </w:p>
    <w:p>
      <w:pPr>
        <w:spacing w:after="120" w:line="276"/>
        <w:jc w:val="both"/>
      </w:pPr>
      <w:r>
        <w:rPr>
          <w:rFonts w:ascii="Barlow Semi Condensed" w:cs="Barlow Semi Condensed" w:eastAsia="Barlow Semi Condensed" w:hAnsi="Barlow Semi Condensed"/>
          <w:sz w:val="24"/>
          <w:szCs w:val="24"/>
        </w:rPr>
        <w:t xml:space="preserve">I tre documenti nuovi applicano — indipendentemente l'uno dall'altro — la </w:t>
      </w:r>
      <w:r>
        <w:rPr>
          <w:rFonts w:ascii="Barlow Semi Condensed" w:cs="Barlow Semi Condensed" w:eastAsia="Barlow Semi Condensed" w:hAnsi="Barlow Semi Condensed"/>
          <w:b/>
          <w:bCs/>
          <w:sz w:val="24"/>
          <w:szCs w:val="24"/>
        </w:rPr>
        <w:t xml:space="preserve">stessa griglia a quattro gradi</w:t>
      </w:r>
      <w:r>
        <w:rPr>
          <w:rFonts w:ascii="Barlow Semi Condensed" w:cs="Barlow Semi Condensed" w:eastAsia="Barlow Semi Condensed" w:hAnsi="Barlow Semi Condensed"/>
          <w:sz w:val="24"/>
          <w:szCs w:val="24"/>
        </w:rPr>
        <w:t xml:space="preserve"> che il corpus usa da sempre: convergenza di obiettivo documentata · simultaneità di reazione · comunanza di ambiente istituzionale · mera contemporaneità cronologica. Nessuno la impiega in modo confliggente; uno ne usa un sottoinsieme senza contraddire la tassonomia. È la conferma più solida che la campagna potesse dare: </w:t>
      </w:r>
      <w:r>
        <w:rPr>
          <w:rFonts w:ascii="Barlow Semi Condensed" w:cs="Barlow Semi Condensed" w:eastAsia="Barlow Semi Condensed" w:hAnsi="Barlow Semi Condensed"/>
          <w:b/>
          <w:bCs/>
          <w:sz w:val="24"/>
          <w:szCs w:val="24"/>
        </w:rPr>
        <w:t xml:space="preserve">la disciplina regge quando è applicata da mani diverse sullo stesso materiale</w:t>
      </w:r>
      <w:r>
        <w:rPr>
          <w:rFonts w:ascii="Barlow Semi Condensed" w:cs="Barlow Semi Condensed" w:eastAsia="Barlow Semi Condensed" w:hAnsi="Barlow Semi Condensed"/>
          <w:sz w:val="24"/>
          <w:szCs w:val="24"/>
        </w:rPr>
        <w:t xml:space="preserve">.</w:t>
      </w:r>
    </w:p>
    <w:p>
      <w:pPr>
        <w:spacing w:after="120" w:line="276"/>
        <w:jc w:val="both"/>
      </w:pPr>
      <w:r>
        <w:rPr>
          <w:rFonts w:ascii="Barlow Semi Condensed" w:cs="Barlow Semi Condensed" w:eastAsia="Barlow Semi Condensed" w:hAnsi="Barlow Semi Condensed"/>
          <w:sz w:val="24"/>
          <w:szCs w:val="24"/>
        </w:rPr>
        <w:t xml:space="preserve">Su quella griglia, l'esito complessivo resta quello che il corpus aveva già fissato: </w:t>
      </w:r>
      <w:r>
        <w:rPr>
          <w:rFonts w:ascii="Barlow Semi Condensed" w:cs="Barlow Semi Condensed" w:eastAsia="Barlow Semi Condensed" w:hAnsi="Barlow Semi Condensed"/>
          <w:b/>
          <w:bCs/>
          <w:sz w:val="24"/>
          <w:szCs w:val="24"/>
        </w:rPr>
        <w:t xml:space="preserve">la firma dell'Atto finale di Helsinki del 1° agosto 1975 è l'unica triangolazione certa</w:t>
      </w:r>
      <w:r>
        <w:rPr>
          <w:rFonts w:ascii="Barlow Semi Condensed" w:cs="Barlow Semi Condensed" w:eastAsia="Barlow Semi Condensed" w:hAnsi="Barlow Semi Condensed"/>
          <w:sz w:val="24"/>
          <w:szCs w:val="24"/>
        </w:rPr>
        <w:t xml:space="preserve"> fra i vertici studiati — l'Italia con la duplice qualità di Moro, la Santa Sede della delegazione che ottenne il settimo principio sulla libertà religiosa, e gli altri Stati coinvolti — e riguarda la sicurezza europea, non le materie che i singoli dossier trattano; per giunta cade </w:t>
      </w:r>
      <w:r>
        <w:rPr>
          <w:rFonts w:ascii="Barlow Semi Condensed" w:cs="Barlow Semi Condensed" w:eastAsia="Barlow Semi Condensed" w:hAnsi="Barlow Semi Condensed"/>
          <w:b/>
          <w:bCs/>
          <w:sz w:val="24"/>
          <w:szCs w:val="24"/>
        </w:rPr>
        <w:t xml:space="preserve">fuori dai mandati agli Esteri</w:t>
      </w:r>
      <w:r>
        <w:rPr>
          <w:rFonts w:ascii="Barlow Semi Condensed" w:cs="Barlow Semi Condensed" w:eastAsia="Barlow Semi Condensed" w:hAnsi="Barlow Semi Condensed"/>
          <w:sz w:val="24"/>
          <w:szCs w:val="24"/>
        </w:rPr>
        <w:t xml:space="preserve">. Tutto il resto è comunanza di ambiente o contemporaneità.</w:t>
      </w:r>
    </w:p>
    <w:p>
      <w:pPr>
        <w:spacing w:after="120" w:line="276"/>
        <w:jc w:val="both"/>
      </w:pPr>
      <w:r>
        <w:rPr>
          <w:rFonts w:ascii="Barlow Semi Condensed" w:cs="Barlow Semi Condensed" w:eastAsia="Barlow Semi Condensed" w:hAnsi="Barlow Semi Condensed"/>
          <w:sz w:val="24"/>
          <w:szCs w:val="24"/>
        </w:rPr>
        <w:t xml:space="preserve">La campagna suggerisce però una </w:t>
      </w:r>
      <w:r>
        <w:rPr>
          <w:rFonts w:ascii="Barlow Semi Condensed" w:cs="Barlow Semi Condensed" w:eastAsia="Barlow Semi Condensed" w:hAnsi="Barlow Semi Condensed"/>
          <w:b/>
          <w:bCs/>
          <w:sz w:val="24"/>
          <w:szCs w:val="24"/>
        </w:rPr>
        <w:t xml:space="preserve">quinta voce</w:t>
      </w:r>
      <w:r>
        <w:rPr>
          <w:rFonts w:ascii="Barlow Semi Condensed" w:cs="Barlow Semi Condensed" w:eastAsia="Barlow Semi Condensed" w:hAnsi="Barlow Semi Condensed"/>
          <w:sz w:val="24"/>
          <w:szCs w:val="24"/>
        </w:rPr>
        <w:t xml:space="preserve">, che si propone e si dichiara. Il versante portoghese offre due sequenze che corrono nelle stesse settimane: l'espulsione dei missionari del 13 aprile 1974 e la caduta dell'Estado Novo del 25 aprile. Non c'è nesso fra i due fatti — nessun documento li collega — ed è più della mera contemporaneità, perché il secondo evento </w:t>
      </w:r>
      <w:r>
        <w:rPr>
          <w:rFonts w:ascii="Barlow Semi Condensed" w:cs="Barlow Semi Condensed" w:eastAsia="Barlow Semi Condensed" w:hAnsi="Barlow Semi Condensed"/>
          <w:b/>
          <w:bCs/>
          <w:sz w:val="24"/>
          <w:szCs w:val="24"/>
        </w:rPr>
        <w:t xml:space="preserve">chiude i conti</w:t>
      </w:r>
      <w:r>
        <w:rPr>
          <w:rFonts w:ascii="Barlow Semi Condensed" w:cs="Barlow Semi Condensed" w:eastAsia="Barlow Semi Condensed" w:hAnsi="Barlow Semi Condensed"/>
          <w:sz w:val="24"/>
          <w:szCs w:val="24"/>
        </w:rPr>
        <w:t xml:space="preserve"> aperti dal primo. La categoria è: </w:t>
      </w:r>
      <w:r>
        <w:rPr>
          <w:rFonts w:ascii="Barlow Semi Condensed" w:cs="Barlow Semi Condensed" w:eastAsia="Barlow Semi Condensed" w:hAnsi="Barlow Semi Condensed"/>
          <w:b/>
          <w:bCs/>
          <w:sz w:val="24"/>
          <w:szCs w:val="24"/>
        </w:rPr>
        <w:t xml:space="preserve">effetto convergente da causa comune</w:t>
      </w:r>
      <w:r>
        <w:rPr>
          <w:rFonts w:ascii="Barlow Semi Condensed" w:cs="Barlow Semi Condensed" w:eastAsia="Barlow Semi Condensed" w:hAnsi="Barlow Semi Condensed"/>
          <w:sz w:val="24"/>
          <w:szCs w:val="24"/>
        </w:rPr>
        <w:t xml:space="preserve">, da dichiarare quando due esiti simultanei discendono provatamente dallo stesso evento e non l'uno dall'altro. È una precisazione della griglia, non un allentamento: serve proprio a impedire che una simultaneità con causa nota venga promossa a nesso fra i suoi due effetti.</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VII. L'incrocio metodologico con l'opera privata</w:t>
      </w:r>
    </w:p>
    <w:p>
      <w:pPr>
        <w:spacing w:after="120" w:line="276"/>
        <w:jc w:val="both"/>
      </w:pPr>
      <w:r>
        <w:rPr>
          <w:rFonts w:ascii="Barlow Semi Condensed" w:cs="Barlow Semi Condensed" w:eastAsia="Barlow Semi Condensed" w:hAnsi="Barlow Semi Condensed"/>
          <w:sz w:val="24"/>
          <w:szCs w:val="24"/>
        </w:rPr>
        <w:t xml:space="preserve">Il corpus dichiara da sempre di adottare e calcolare sul proprio materiale le </w:t>
      </w:r>
      <w:r>
        <w:rPr>
          <w:rFonts w:ascii="Barlow Semi Condensed" w:cs="Barlow Semi Condensed" w:eastAsia="Barlow Semi Condensed" w:hAnsi="Barlow Semi Condensed"/>
          <w:b/>
          <w:bCs/>
          <w:sz w:val="24"/>
          <w:szCs w:val="24"/>
        </w:rPr>
        <w:t xml:space="preserve">metodologie dell'opera maggiore dell'autore</w:t>
      </w:r>
      <w:r>
        <w:rPr>
          <w:rFonts w:ascii="Barlow Semi Condensed" w:cs="Barlow Semi Condensed" w:eastAsia="Barlow Semi Condensed" w:hAnsi="Barlow Semi Condensed"/>
          <w:sz w:val="24"/>
          <w:szCs w:val="24"/>
        </w:rPr>
        <w:t xml:space="preserve">, che resta sul versante non pubblicabile. La campagna ha esteso quell'incrocio al materiale metodologico più recente di quel versante — un censimento dei nodi per dominio e una misura statistica delle associazioni fra domini —, con un vincolo assoluto rispettato in pieno: </w:t>
      </w:r>
      <w:r>
        <w:rPr>
          <w:rFonts w:ascii="Barlow Semi Condensed" w:cs="Barlow Semi Condensed" w:eastAsia="Barlow Semi Condensed" w:hAnsi="Barlow Semi Condensed"/>
          <w:b/>
          <w:bCs/>
          <w:sz w:val="24"/>
          <w:szCs w:val="24"/>
        </w:rPr>
        <w:t xml:space="preserve">si trasferisce il metodo, mai i nomi</w:t>
      </w:r>
      <w:r>
        <w:rPr>
          <w:rFonts w:ascii="Barlow Semi Condensed" w:cs="Barlow Semi Condensed" w:eastAsia="Barlow Semi Condensed" w:hAnsi="Barlow Semi Condensed"/>
          <w:sz w:val="24"/>
          <w:szCs w:val="24"/>
        </w:rPr>
        <w:t xml:space="preserve">. Ne escono quattro acquisizioni per il ramo pubblico.</w:t>
      </w:r>
    </w:p>
    <w:p>
      <w:pPr>
        <w:spacing w:after="120" w:line="276"/>
        <w:jc w:val="both"/>
      </w:pPr>
      <w:r>
        <w:rPr>
          <w:rFonts w:ascii="Barlow Semi Condensed" w:cs="Barlow Semi Condensed" w:eastAsia="Barlow Semi Condensed" w:hAnsi="Barlow Semi Condensed"/>
          <w:b/>
          <w:bCs/>
          <w:sz w:val="24"/>
          <w:szCs w:val="24"/>
        </w:rPr>
        <w:t xml:space="preserve">Si gradua ciò che è documento, non chi è persona.</w:t>
      </w:r>
      <w:r>
        <w:rPr>
          <w:rFonts w:ascii="Barlow Semi Condensed" w:cs="Barlow Semi Condensed" w:eastAsia="Barlow Semi Condensed" w:hAnsi="Barlow Semi Condensed"/>
          <w:sz w:val="24"/>
          <w:szCs w:val="24"/>
        </w:rPr>
        <w:t xml:space="preserve"> È la divergenza che delimita esattamente ciò che è trasferibile. L'opera privata attribuisce un livello probatorio ai nodi-persona; il branch pubblico non lo fa e non lo farà: gli strumenti che misurano la documentazione si usano per intero e con calcolo reale, quelli che graduano le persone non si usano, perché qui ci si ferma al giudicato e </w:t>
      </w:r>
      <w:r>
        <w:rPr>
          <w:rFonts w:ascii="Barlow Semi Condensed" w:cs="Barlow Semi Condensed" w:eastAsia="Barlow Semi Condensed" w:hAnsi="Barlow Semi Condensed"/>
          <w:b/>
          <w:bCs/>
          <w:sz w:val="24"/>
          <w:szCs w:val="24"/>
        </w:rPr>
        <w:t xml:space="preserve">il registro del giudicato resta l'unico luogo dei nomi</w:t>
      </w:r>
      <w:r>
        <w:rPr>
          <w:rFonts w:ascii="Barlow Semi Condensed" w:cs="Barlow Semi Condensed" w:eastAsia="Barlow Semi Condensed" w:hAnsi="Barlow Semi Condensed"/>
          <w:sz w:val="24"/>
          <w:szCs w:val="24"/>
        </w:rPr>
        <w:t xml:space="preserve">. La misura dei domini e delle loro associazioni è trasferibile per intero, perché misura documenti; l'attribuzione di livello alle persone non lo è. La divergenza si riporta e non si compone.</w:t>
      </w:r>
    </w:p>
    <w:p>
      <w:pPr>
        <w:spacing w:after="120" w:line="276"/>
        <w:jc w:val="both"/>
      </w:pPr>
      <w:r>
        <w:rPr>
          <w:rFonts w:ascii="Barlow Semi Condensed" w:cs="Barlow Semi Condensed" w:eastAsia="Barlow Semi Condensed" w:hAnsi="Barlow Semi Condensed"/>
          <w:b/>
          <w:bCs/>
          <w:sz w:val="24"/>
          <w:szCs w:val="24"/>
        </w:rPr>
        <w:t xml:space="preserve">Senza grado sulla sinapsi non esiste cammino valutabile.</w:t>
      </w:r>
      <w:r>
        <w:rPr>
          <w:rFonts w:ascii="Barlow Semi Condensed" w:cs="Barlow Semi Condensed" w:eastAsia="Barlow Semi Condensed" w:hAnsi="Barlow Semi Condensed"/>
          <w:sz w:val="24"/>
          <w:szCs w:val="24"/>
        </w:rPr>
        <w:t xml:space="preserve"> L'inventario privato conta ottocentosessantasei nodi e duecentoventiquattro archi </w:t>
      </w:r>
      <w:r>
        <w:rPr>
          <w:rFonts w:ascii="Barlow Semi Condensed" w:cs="Barlow Semi Condensed" w:eastAsia="Barlow Semi Condensed" w:hAnsi="Barlow Semi Condensed"/>
          <w:i/>
          <w:iCs/>
          <w:sz w:val="24"/>
          <w:szCs w:val="24"/>
        </w:rPr>
        <w:t xml:space="preserve">contati ma non gradati</w:t>
      </w:r>
      <w:r>
        <w:rPr>
          <w:rFonts w:ascii="Barlow Semi Condensed" w:cs="Barlow Semi Condensed" w:eastAsia="Barlow Semi Condensed" w:hAnsi="Barlow Semi Condensed"/>
          <w:sz w:val="24"/>
          <w:szCs w:val="24"/>
        </w:rPr>
        <w:t xml:space="preserve">; il corpus pubblico lavora sulla proporzione inversa — trentanove nodi e cinquantanove archi — ma </w:t>
      </w:r>
      <w:r>
        <w:rPr>
          <w:rFonts w:ascii="Barlow Semi Condensed" w:cs="Barlow Semi Condensed" w:eastAsia="Barlow Semi Condensed" w:hAnsi="Barlow Semi Condensed"/>
          <w:b/>
          <w:bCs/>
          <w:sz w:val="24"/>
          <w:szCs w:val="24"/>
        </w:rPr>
        <w:t xml:space="preserve">nessun arco entra senza il proprio grado</w:t>
      </w:r>
      <w:r>
        <w:rPr>
          <w:rFonts w:ascii="Barlow Semi Condensed" w:cs="Barlow Semi Condensed" w:eastAsia="Barlow Semi Condensed" w:hAnsi="Barlow Semi Condensed"/>
          <w:sz w:val="24"/>
          <w:szCs w:val="24"/>
        </w:rPr>
        <w:t xml:space="preserve">. La conseguenza è operativa e non retorica: la regola dell'anello debole, per cui il grado di un cammino è il grado minimo fra i suoi archi, </w:t>
      </w:r>
      <w:r>
        <w:rPr>
          <w:rFonts w:ascii="Barlow Semi Condensed" w:cs="Barlow Semi Condensed" w:eastAsia="Barlow Semi Condensed" w:hAnsi="Barlow Semi Condensed"/>
          <w:b/>
          <w:bCs/>
          <w:sz w:val="24"/>
          <w:szCs w:val="24"/>
        </w:rPr>
        <w:t xml:space="preserve">non è calcolabile</w:t>
      </w:r>
      <w:r>
        <w:rPr>
          <w:rFonts w:ascii="Barlow Semi Condensed" w:cs="Barlow Semi Condensed" w:eastAsia="Barlow Semi Condensed" w:hAnsi="Barlow Semi Condensed"/>
          <w:sz w:val="24"/>
          <w:szCs w:val="24"/>
        </w:rPr>
        <w:t xml:space="preserve"> finché le sinapsi non sono gradate. Nella costruzione della rete si gradua la sinapsi, non il neurone.</w:t>
      </w:r>
    </w:p>
    <w:p>
      <w:pPr>
        <w:spacing w:after="120" w:line="276"/>
        <w:jc w:val="both"/>
      </w:pPr>
      <w:r>
        <w:rPr>
          <w:rFonts w:ascii="Barlow Semi Condensed" w:cs="Barlow Semi Condensed" w:eastAsia="Barlow Semi Condensed" w:hAnsi="Barlow Semi Condensed"/>
          <w:b/>
          <w:bCs/>
          <w:sz w:val="24"/>
          <w:szCs w:val="24"/>
        </w:rPr>
        <w:t xml:space="preserve">La regola dei buchi acquista un secondo tempo.</w:t>
      </w:r>
      <w:r>
        <w:rPr>
          <w:rFonts w:ascii="Barlow Semi Condensed" w:cs="Barlow Semi Condensed" w:eastAsia="Barlow Semi Condensed" w:hAnsi="Barlow Semi Condensed"/>
          <w:sz w:val="24"/>
          <w:szCs w:val="24"/>
        </w:rPr>
        <w:t xml:space="preserve"> Il corpus pubblico possiede da tempo la prima metà della disciplina: i buchi strutturali non sono difetti da riempire, si misurano e si dichiarano, e ogni buco resta congettura possibile finché un documento non diventi arco. La misura statistica dell'opera privata ne consegna la seconda metà: </w:t>
      </w:r>
      <w:r>
        <w:rPr>
          <w:rFonts w:ascii="Barlow Semi Condensed" w:cs="Barlow Semi Condensed" w:eastAsia="Barlow Semi Condensed" w:hAnsi="Barlow Semi Condensed"/>
          <w:b/>
          <w:bCs/>
          <w:sz w:val="24"/>
          <w:szCs w:val="24"/>
        </w:rPr>
        <w:t xml:space="preserve">un basso rapporto di associazione fra due domini non è indizio di assenza di rapporti, ma indizio che nessuno ha scritto un documento che li tratti insieme</w:t>
      </w:r>
      <w:r>
        <w:rPr>
          <w:rFonts w:ascii="Barlow Semi Condensed" w:cs="Barlow Semi Condensed" w:eastAsia="Barlow Semi Condensed" w:hAnsi="Barlow Semi Condensed"/>
          <w:sz w:val="24"/>
          <w:szCs w:val="24"/>
        </w:rPr>
        <w:t xml:space="preserve">. Combinate, danno una procedura a due tempi da applicare in entrambi i cantieri: prima si misura il buco e lo si dichiara; poi se ne diagnostica la causa nella specializzazione delle fonti; </w:t>
      </w:r>
      <w:r>
        <w:rPr>
          <w:rFonts w:ascii="Barlow Semi Condensed" w:cs="Barlow Semi Condensed" w:eastAsia="Barlow Semi Condensed" w:hAnsi="Barlow Semi Condensed"/>
          <w:b/>
          <w:bCs/>
          <w:sz w:val="24"/>
          <w:szCs w:val="24"/>
        </w:rPr>
        <w:t xml:space="preserve">solo dopo</w:t>
      </w:r>
      <w:r>
        <w:rPr>
          <w:rFonts w:ascii="Barlow Semi Condensed" w:cs="Barlow Semi Condensed" w:eastAsia="Barlow Semi Condensed" w:hAnsi="Barlow Semi Condensed"/>
          <w:sz w:val="24"/>
          <w:szCs w:val="24"/>
        </w:rPr>
        <w:t xml:space="preserve"> si è autorizzati a interrogarlo sulla struttura del mondo. Questa campagna ne offre due esempi immediati — il vuoto sul lodo Moro e quello su Fiumicino non dicono che il caso non tocchi quel versante: dicono che il corpus non ha ancora spogliato le fonti che lo trattano.</w:t>
      </w:r>
    </w:p>
    <w:p>
      <w:pPr>
        <w:spacing w:after="120" w:line="276"/>
        <w:jc w:val="both"/>
      </w:pPr>
      <w:r>
        <w:rPr>
          <w:rFonts w:ascii="Barlow Semi Condensed" w:cs="Barlow Semi Condensed" w:eastAsia="Barlow Semi Condensed" w:hAnsi="Barlow Semi Condensed"/>
          <w:b/>
          <w:bCs/>
          <w:sz w:val="24"/>
          <w:szCs w:val="24"/>
        </w:rPr>
        <w:t xml:space="preserve">Il dominio più piccolo è quello che lega.</w:t>
      </w:r>
      <w:r>
        <w:rPr>
          <w:rFonts w:ascii="Barlow Semi Condensed" w:cs="Barlow Semi Condensed" w:eastAsia="Barlow Semi Condensed" w:hAnsi="Barlow Semi Condensed"/>
          <w:sz w:val="24"/>
          <w:szCs w:val="24"/>
        </w:rPr>
        <w:t xml:space="preserve"> Nella misura privata le tre associazioni più forti passano tutte per lo stesso dominio, che è però fra i meno presenti in assoluto: pochi legami, molti passaggi — la figura che la teoria delle reti chiama ponte. Il corpus pubblico ne documenta una identica nel proprio comparto non brigatista, dove il nodo con quasi un quarto dell'intermediazione documentale porta meno del cinque per cento delle connessioni. La regola d'interpretazione si trasferisce per intero, ed è quella che il corpus antepone a ogni lettura della propria rete: </w:t>
      </w:r>
      <w:r>
        <w:rPr>
          <w:rFonts w:ascii="Barlow Semi Condensed" w:cs="Barlow Semi Condensed" w:eastAsia="Barlow Semi Condensed" w:hAnsi="Barlow Semi Condensed"/>
          <w:b/>
          <w:bCs/>
          <w:sz w:val="24"/>
          <w:szCs w:val="24"/>
        </w:rPr>
        <w:t xml:space="preserve">la centralità misura la densità della documentazione, non la responsabilità.</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VIII. Che cosa questa campagna non ha stabilito</w:t>
      </w:r>
    </w:p>
    <w:p>
      <w:pPr>
        <w:spacing w:after="120" w:line="276"/>
        <w:jc w:val="both"/>
      </w:pPr>
      <w:r>
        <w:rPr>
          <w:rFonts w:ascii="Barlow Semi Condensed" w:cs="Barlow Semi Condensed" w:eastAsia="Barlow Semi Condensed" w:hAnsi="Barlow Semi Condensed"/>
          <w:sz w:val="24"/>
          <w:szCs w:val="24"/>
        </w:rPr>
        <w:t xml:space="preserve">Va detto con la stessa nettezza degli acquisti. </w:t>
      </w:r>
      <w:r>
        <w:rPr>
          <w:rFonts w:ascii="Barlow Semi Condensed" w:cs="Barlow Semi Condensed" w:eastAsia="Barlow Semi Condensed" w:hAnsi="Barlow Semi Condensed"/>
          <w:b/>
          <w:bCs/>
          <w:sz w:val="24"/>
          <w:szCs w:val="24"/>
        </w:rPr>
        <w:t xml:space="preserve">Non è stabilito</w:t>
      </w:r>
      <w:r>
        <w:rPr>
          <w:rFonts w:ascii="Barlow Semi Condensed" w:cs="Barlow Semi Condensed" w:eastAsia="Barlow Semi Condensed" w:hAnsi="Barlow Semi Condensed"/>
          <w:sz w:val="24"/>
          <w:szCs w:val="24"/>
        </w:rPr>
        <w:t xml:space="preserve"> alcun contatto diretto fra Moro e i ministri degli Esteri spagnoli; </w:t>
      </w:r>
      <w:r>
        <w:rPr>
          <w:rFonts w:ascii="Barlow Semi Condensed" w:cs="Barlow Semi Condensed" w:eastAsia="Barlow Semi Condensed" w:hAnsi="Barlow Semi Condensed"/>
          <w:b/>
          <w:bCs/>
          <w:sz w:val="24"/>
          <w:szCs w:val="24"/>
        </w:rPr>
        <w:t xml:space="preserve">non è stabilita</w:t>
      </w:r>
      <w:r>
        <w:rPr>
          <w:rFonts w:ascii="Barlow Semi Condensed" w:cs="Barlow Semi Condensed" w:eastAsia="Barlow Semi Condensed" w:hAnsi="Barlow Semi Condensed"/>
          <w:sz w:val="24"/>
          <w:szCs w:val="24"/>
        </w:rPr>
        <w:t xml:space="preserve"> alcuna posizione italiana sulla riorganizzazione diocesana del 1972, né alcun atto italiano sull'espulsione dei missionari del 1974; </w:t>
      </w:r>
      <w:r>
        <w:rPr>
          <w:rFonts w:ascii="Barlow Semi Condensed" w:cs="Barlow Semi Condensed" w:eastAsia="Barlow Semi Condensed" w:hAnsi="Barlow Semi Condensed"/>
          <w:b/>
          <w:bCs/>
          <w:sz w:val="24"/>
          <w:szCs w:val="24"/>
        </w:rPr>
        <w:t xml:space="preserve">non è stabilito</w:t>
      </w:r>
      <w:r>
        <w:rPr>
          <w:rFonts w:ascii="Barlow Semi Condensed" w:cs="Barlow Semi Condensed" w:eastAsia="Barlow Semi Condensed" w:hAnsi="Barlow Semi Condensed"/>
          <w:sz w:val="24"/>
          <w:szCs w:val="24"/>
        </w:rPr>
        <w:t xml:space="preserve"> che il funzionario italiano nominato dal documento CIA sia Moro; </w:t>
      </w:r>
      <w:r>
        <w:rPr>
          <w:rFonts w:ascii="Barlow Semi Condensed" w:cs="Barlow Semi Condensed" w:eastAsia="Barlow Semi Condensed" w:hAnsi="Barlow Semi Condensed"/>
          <w:b/>
          <w:bCs/>
          <w:sz w:val="24"/>
          <w:szCs w:val="24"/>
        </w:rPr>
        <w:t xml:space="preserve">non è stabilito</w:t>
      </w:r>
      <w:r>
        <w:rPr>
          <w:rFonts w:ascii="Barlow Semi Condensed" w:cs="Barlow Semi Condensed" w:eastAsia="Barlow Semi Condensed" w:hAnsi="Barlow Semi Condensed"/>
          <w:sz w:val="24"/>
          <w:szCs w:val="24"/>
        </w:rPr>
        <w:t xml:space="preserve"> che la comunanza di ambiente cattolico fra Roma politica, Roma pontificia e i ministri di Madrid sia mai divenuta condotta coordinata. E </w:t>
      </w:r>
      <w:r>
        <w:rPr>
          <w:rFonts w:ascii="Barlow Semi Condensed" w:cs="Barlow Semi Condensed" w:eastAsia="Barlow Semi Condensed" w:hAnsi="Barlow Semi Condensed"/>
          <w:b/>
          <w:bCs/>
          <w:sz w:val="24"/>
          <w:szCs w:val="24"/>
        </w:rPr>
        <w:t xml:space="preserve">non è stabilito</w:t>
      </w:r>
      <w:r>
        <w:rPr>
          <w:rFonts w:ascii="Barlow Semi Condensed" w:cs="Barlow Semi Condensed" w:eastAsia="Barlow Semi Condensed" w:hAnsi="Barlow Semi Condensed"/>
          <w:sz w:val="24"/>
          <w:szCs w:val="24"/>
        </w:rPr>
        <w:t xml:space="preserve"> — ma va detto perché è il punto in cui la tentazione è più forte — che il silenzio del vertice governativo italiano su questi dossier sia stato inerzia deliberata: è, allo stato, </w:t>
      </w:r>
      <w:r>
        <w:rPr>
          <w:rFonts w:ascii="Barlow Semi Condensed" w:cs="Barlow Semi Condensed" w:eastAsia="Barlow Semi Condensed" w:hAnsi="Barlow Semi Condensed"/>
          <w:b/>
          <w:bCs/>
          <w:sz w:val="24"/>
          <w:szCs w:val="24"/>
        </w:rPr>
        <w:t xml:space="preserve">assenza di fonti</w:t>
      </w:r>
      <w:r>
        <w:rPr>
          <w:rFonts w:ascii="Barlow Semi Condensed" w:cs="Barlow Semi Condensed" w:eastAsia="Barlow Semi Condensed" w:hAnsi="Barlow Semi Condensed"/>
          <w:sz w:val="24"/>
          <w:szCs w:val="24"/>
        </w:rPr>
        <w:t xml:space="preserve">, e l'assenza di fonti si colma in archivio, non per inferenza.</w:t>
      </w:r>
    </w:p>
    <w:p>
      <w:pPr>
        <w:spacing w:after="120" w:line="276"/>
        <w:jc w:val="both"/>
      </w:pPr>
      <w:r>
        <w:rPr>
          <w:rFonts w:ascii="Barlow Semi Condensed" w:cs="Barlow Semi Condensed" w:eastAsia="Barlow Semi Condensed" w:hAnsi="Barlow Semi Condensed"/>
          <w:sz w:val="24"/>
          <w:szCs w:val="24"/>
        </w:rPr>
        <w:t xml:space="preserve">L'Archivio Apostolico Vaticano resta consultabile solo fino all'ottobre 1958: ogni verifica archivistica primaria sugli atti pontifici qui trattati è </w:t>
      </w:r>
      <w:r>
        <w:rPr>
          <w:rFonts w:ascii="Barlow Semi Condensed" w:cs="Barlow Semi Condensed" w:eastAsia="Barlow Semi Condensed" w:hAnsi="Barlow Semi Condensed"/>
          <w:b/>
          <w:bCs/>
          <w:sz w:val="24"/>
          <w:szCs w:val="24"/>
        </w:rPr>
        <w:t xml:space="preserve">preclusa allo stato</w:t>
      </w:r>
      <w:r>
        <w:rPr>
          <w:rFonts w:ascii="Barlow Semi Condensed" w:cs="Barlow Semi Condensed" w:eastAsia="Barlow Semi Condensed" w:hAnsi="Barlow Semi Condensed"/>
          <w:sz w:val="24"/>
          <w:szCs w:val="24"/>
        </w:rPr>
        <w:t xml:space="preserve">, e le ricostruzioni poggiano su fonti edite, storiografia e fonti ufficiali dell'istituzione. Dove un documento della campagna indica «gli archivi vaticani» come sede da interrogare per gli anni Settanta, quella sede </w:t>
      </w:r>
      <w:r>
        <w:rPr>
          <w:rFonts w:ascii="Barlow Semi Condensed" w:cs="Barlow Semi Condensed" w:eastAsia="Barlow Semi Condensed" w:hAnsi="Barlow Semi Condensed"/>
          <w:b/>
          <w:bCs/>
          <w:sz w:val="24"/>
          <w:szCs w:val="24"/>
        </w:rPr>
        <w:t xml:space="preserve">non è oggi apribile</w:t>
      </w:r>
      <w:r>
        <w:rPr>
          <w:rFonts w:ascii="Barlow Semi Condensed" w:cs="Barlow Semi Condensed" w:eastAsia="Barlow Semi Condensed" w:hAnsi="Barlow Semi Condensed"/>
          <w:sz w:val="24"/>
          <w:szCs w:val="24"/>
        </w:rPr>
        <w:t xml:space="preserve">: la tensione fra i due testi è stata rilevata dall'incrocio ed è risolta a favore del limite reale.</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Apparato F — Le verifiche della seconda campagna</w:t>
      </w:r>
    </w:p>
    <w:p>
      <w:pPr>
        <w:spacing w:after="120" w:line="276"/>
        <w:jc w:val="both"/>
      </w:pPr>
      <w:r>
        <w:rPr>
          <w:rFonts w:ascii="Barlow Semi Condensed" w:cs="Barlow Semi Condensed" w:eastAsia="Barlow Semi Condensed" w:hAnsi="Barlow Semi Condensed"/>
          <w:sz w:val="24"/>
          <w:szCs w:val="24"/>
        </w:rPr>
        <w:t xml:space="preserve">Come per le campagne precedenti, i fatti portanti sono stati sottoposti a </w:t>
      </w:r>
      <w:r>
        <w:rPr>
          <w:rFonts w:ascii="Barlow Semi Condensed" w:cs="Barlow Semi Condensed" w:eastAsia="Barlow Semi Condensed" w:hAnsi="Barlow Semi Condensed"/>
          <w:b/>
          <w:bCs/>
          <w:sz w:val="24"/>
          <w:szCs w:val="24"/>
        </w:rPr>
        <w:t xml:space="preserve">verifica indipendente su fonti in rete</w:t>
      </w:r>
      <w:r>
        <w:rPr>
          <w:rFonts w:ascii="Barlow Semi Condensed" w:cs="Barlow Semi Condensed" w:eastAsia="Barlow Semi Condensed" w:hAnsi="Barlow Semi Condensed"/>
          <w:sz w:val="24"/>
          <w:szCs w:val="24"/>
        </w:rPr>
        <w:t xml:space="preserve">, con l'obbligo di riportare le divergenze e di dichiarare gli esiti negativi. Si registrano qui i risultati, comprese — anzi soprattutto — le precisazioni che correggono la formulazione dei documenti nuovi.</w:t>
      </w:r>
    </w:p>
    <w:p>
      <w:pPr>
        <w:pStyle w:val="Heading3"/>
        <w:spacing w:after="80" w:before="160"/>
      </w:pPr>
      <w:r>
        <w:rPr>
          <w:rFonts w:ascii="Barlow Semi Condensed" w:cs="Barlow Semi Condensed" w:eastAsia="Barlow Semi Condensed" w:hAnsi="Barlow Semi Condensed"/>
          <w:sz w:val="24"/>
          <w:szCs w:val="24"/>
        </w:rPr>
        <w:t xml:space="preserve">F-1 · La sequenza Oder-Neisse</w:t>
      </w:r>
    </w:p>
    <w:p>
      <w:pPr>
        <w:spacing w:after="120" w:line="276"/>
        <w:jc w:val="both"/>
      </w:pPr>
      <w:r>
        <w:rPr>
          <w:rFonts w:ascii="Barlow Semi Condensed" w:cs="Barlow Semi Condensed" w:eastAsia="Barlow Semi Condensed" w:hAnsi="Barlow Semi Condensed"/>
          <w:b/>
          <w:bCs/>
          <w:sz w:val="24"/>
          <w:szCs w:val="24"/>
        </w:rPr>
        <w:t xml:space="preserve">Confermati</w:t>
      </w:r>
      <w:r>
        <w:rPr>
          <w:rFonts w:ascii="Barlow Semi Condensed" w:cs="Barlow Semi Condensed" w:eastAsia="Barlow Semi Condensed" w:hAnsi="Barlow Semi Condensed"/>
          <w:sz w:val="24"/>
          <w:szCs w:val="24"/>
        </w:rPr>
        <w:t xml:space="preserve"> senza riserve: la firma del Trattato di Varsavia il </w:t>
      </w:r>
      <w:r>
        <w:rPr>
          <w:rFonts w:ascii="Barlow Semi Condensed" w:cs="Barlow Semi Condensed" w:eastAsia="Barlow Semi Condensed" w:hAnsi="Barlow Semi Condensed"/>
          <w:b/>
          <w:bCs/>
          <w:sz w:val="24"/>
          <w:szCs w:val="24"/>
        </w:rPr>
        <w:t xml:space="preserve">7 dicembre 1970</w:t>
      </w:r>
      <w:r>
        <w:rPr>
          <w:rFonts w:ascii="Barlow Semi Condensed" w:cs="Barlow Semi Condensed" w:eastAsia="Barlow Semi Condensed" w:hAnsi="Barlow Semi Condensed"/>
          <w:sz w:val="24"/>
          <w:szCs w:val="24"/>
        </w:rPr>
        <w:t xml:space="preserve"> (titolo esatto: </w:t>
      </w:r>
      <w:r>
        <w:rPr>
          <w:rFonts w:ascii="Barlow Semi Condensed" w:cs="Barlow Semi Condensed" w:eastAsia="Barlow Semi Condensed" w:hAnsi="Barlow Semi Condensed"/>
          <w:i/>
          <w:iCs/>
          <w:sz w:val="24"/>
          <w:szCs w:val="24"/>
        </w:rPr>
        <w:t xml:space="preserve">Vertrag über die Grundlagen der Normalisierung der gegenseitigen Beziehungen zwischen der Bundesrepublik Deutschland und der Volksrepublik Polen</w:t>
      </w:r>
      <w:r>
        <w:rPr>
          <w:rFonts w:ascii="Barlow Semi Condensed" w:cs="Barlow Semi Condensed" w:eastAsia="Barlow Semi Condensed" w:hAnsi="Barlow Semi Condensed"/>
          <w:sz w:val="24"/>
          <w:szCs w:val="24"/>
        </w:rPr>
        <w:t xml:space="preserve">), sottoscritto dal cancelliere e dal primo ministro polacco insieme ai due ministri degli Esteri; lo </w:t>
      </w:r>
      <w:r>
        <w:rPr>
          <w:rFonts w:ascii="Barlow Semi Condensed" w:cs="Barlow Semi Condensed" w:eastAsia="Barlow Semi Condensed" w:hAnsi="Barlow Semi Condensed"/>
          <w:b/>
          <w:bCs/>
          <w:sz w:val="24"/>
          <w:szCs w:val="24"/>
        </w:rPr>
        <w:t xml:space="preserve">scambio degli strumenti di ratifica a Bonn il 3 giugno 1972</w:t>
      </w:r>
      <w:r>
        <w:rPr>
          <w:rFonts w:ascii="Barlow Semi Condensed" w:cs="Barlow Semi Condensed" w:eastAsia="Barlow Semi Condensed" w:hAnsi="Barlow Semi Condensed"/>
          <w:sz w:val="24"/>
          <w:szCs w:val="24"/>
        </w:rPr>
        <w:t xml:space="preserve">, con entrata in vigore lo stesso giorno contestualmente al Trattato di Mosca; il </w:t>
      </w:r>
      <w:r>
        <w:rPr>
          <w:rFonts w:ascii="Barlow Semi Condensed" w:cs="Barlow Semi Condensed" w:eastAsia="Barlow Semi Condensed" w:hAnsi="Barlow Semi Condensed"/>
          <w:b/>
          <w:bCs/>
          <w:sz w:val="24"/>
          <w:szCs w:val="24"/>
        </w:rPr>
        <w:t xml:space="preserve">Kniefall</w:t>
      </w:r>
      <w:r>
        <w:rPr>
          <w:rFonts w:ascii="Barlow Semi Condensed" w:cs="Barlow Semi Condensed" w:eastAsia="Barlow Semi Condensed" w:hAnsi="Barlow Semi Condensed"/>
          <w:sz w:val="24"/>
          <w:szCs w:val="24"/>
        </w:rPr>
        <w:t xml:space="preserve"> di Varsavia del 7 dicembre 1970; e la documentazione del nesso da parte dello storico Karl-Joseph Hummel, direttore della Forschungsstelle della Kommission für Zeitgeschichte di Bonn, di cui la verifica identifica due sedi editoriali distinte (</w:t>
      </w:r>
      <w:r>
        <w:rPr>
          <w:rFonts w:ascii="Barlow Semi Condensed" w:cs="Barlow Semi Condensed" w:eastAsia="Barlow Semi Condensed" w:hAnsi="Barlow Semi Condensed"/>
          <w:i/>
          <w:iCs/>
          <w:sz w:val="24"/>
          <w:szCs w:val="24"/>
        </w:rPr>
        <w:t xml:space="preserve">OST-WEST Europäische Perspektiven</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Archiv für Sozialgeschichte</w:t>
      </w:r>
      <w:r>
        <w:rPr>
          <w:rFonts w:ascii="Barlow Semi Condensed" w:cs="Barlow Semi Condensed" w:eastAsia="Barlow Semi Condensed" w:hAnsi="Barlow Semi Condensed"/>
          <w:sz w:val="24"/>
          <w:szCs w:val="24"/>
        </w:rPr>
        <w:t xml:space="preserve"> 45, 2005, pp. 165-214).</w:t>
      </w:r>
    </w:p>
    <w:p>
      <w:pPr>
        <w:spacing w:after="120" w:line="276"/>
        <w:jc w:val="both"/>
      </w:pPr>
      <w:r>
        <w:rPr>
          <w:rFonts w:ascii="Barlow Semi Condensed" w:cs="Barlow Semi Condensed" w:eastAsia="Barlow Semi Condensed" w:hAnsi="Barlow Semi Condensed"/>
          <w:b/>
          <w:bCs/>
          <w:sz w:val="24"/>
          <w:szCs w:val="24"/>
        </w:rPr>
        <w:t xml:space="preserve">Due precisazioni che il corpus recepisce.</w:t>
      </w:r>
    </w:p>
    <w:p>
      <w:pPr>
        <w:spacing w:after="120" w:line="276"/>
        <w:jc w:val="both"/>
      </w:pPr>
      <w:r>
        <w:rPr>
          <w:rFonts w:ascii="Barlow Semi Condensed" w:cs="Barlow Semi Condensed" w:eastAsia="Barlow Semi Condensed" w:hAnsi="Barlow Semi Condensed"/>
          <w:i/>
          <w:iCs/>
          <w:sz w:val="24"/>
          <w:szCs w:val="24"/>
        </w:rPr>
        <w:t xml:space="preserve">Sulla ratifica.</w:t>
      </w:r>
      <w:r>
        <w:rPr>
          <w:rFonts w:ascii="Barlow Semi Condensed" w:cs="Barlow Semi Condensed" w:eastAsia="Barlow Semi Condensed" w:hAnsi="Barlow Semi Condensed"/>
          <w:sz w:val="24"/>
          <w:szCs w:val="24"/>
        </w:rPr>
        <w:t xml:space="preserve"> La formula «il Bundestag ratificò il trattato il 17 maggio 1972» è </w:t>
      </w:r>
      <w:r>
        <w:rPr>
          <w:rFonts w:ascii="Barlow Semi Condensed" w:cs="Barlow Semi Condensed" w:eastAsia="Barlow Semi Condensed" w:hAnsi="Barlow Semi Condensed"/>
          <w:b/>
          <w:bCs/>
          <w:sz w:val="24"/>
          <w:szCs w:val="24"/>
        </w:rPr>
        <w:t xml:space="preserve">imprecisa sul piano costituzionale</w:t>
      </w:r>
      <w:r>
        <w:rPr>
          <w:rFonts w:ascii="Barlow Semi Condensed" w:cs="Barlow Semi Condensed" w:eastAsia="Barlow Semi Condensed" w:hAnsi="Barlow Semi Condensed"/>
          <w:sz w:val="24"/>
          <w:szCs w:val="24"/>
        </w:rPr>
        <w:t xml:space="preserve">: quel giorno il Bundestag approvò le </w:t>
      </w:r>
      <w:r>
        <w:rPr>
          <w:rFonts w:ascii="Barlow Semi Condensed" w:cs="Barlow Semi Condensed" w:eastAsia="Barlow Semi Condensed" w:hAnsi="Barlow Semi Condensed"/>
          <w:i/>
          <w:iCs/>
          <w:sz w:val="24"/>
          <w:szCs w:val="24"/>
        </w:rPr>
        <w:t xml:space="preserve">leggi di autorizzazione alla ratifica</w:t>
      </w:r>
      <w:r>
        <w:rPr>
          <w:rFonts w:ascii="Barlow Semi Condensed" w:cs="Barlow Semi Condensed" w:eastAsia="Barlow Semi Condensed" w:hAnsi="Barlow Semi Condensed"/>
          <w:sz w:val="24"/>
          <w:szCs w:val="24"/>
        </w:rPr>
        <w:t xml:space="preserve"> dei trattati di Mosca e di Varsavia; il Bundesrat si pronunciò il 19 maggio; la ratifica in senso proprio è atto successivo del capo dello Stato. La data resta, la qualificazione va corretta — e con essa la misura del divario col 28 giugno, che va contata dall'</w:t>
      </w:r>
      <w:r>
        <w:rPr>
          <w:rFonts w:ascii="Barlow Semi Condensed" w:cs="Barlow Semi Condensed" w:eastAsia="Barlow Semi Condensed" w:hAnsi="Barlow Semi Condensed"/>
          <w:b/>
          <w:bCs/>
          <w:sz w:val="24"/>
          <w:szCs w:val="24"/>
        </w:rPr>
        <w:t xml:space="preserve">entrata in vigore</w:t>
      </w:r>
      <w:r>
        <w:rPr>
          <w:rFonts w:ascii="Barlow Semi Condensed" w:cs="Barlow Semi Condensed" w:eastAsia="Barlow Semi Condensed" w:hAnsi="Barlow Semi Condensed"/>
          <w:sz w:val="24"/>
          <w:szCs w:val="24"/>
        </w:rPr>
        <w:t xml:space="preserve"> (3 giugno, venticinque giorni) e non da un atto di ratifica parlamentare che non esiste in quella forma.</w:t>
      </w:r>
    </w:p>
    <w:p>
      <w:pPr>
        <w:spacing w:after="120" w:line="276"/>
        <w:jc w:val="both"/>
      </w:pPr>
      <w:r>
        <w:rPr>
          <w:rFonts w:ascii="Barlow Semi Condensed" w:cs="Barlow Semi Condensed" w:eastAsia="Barlow Semi Condensed" w:hAnsi="Barlow Semi Condensed"/>
          <w:i/>
          <w:iCs/>
          <w:sz w:val="24"/>
          <w:szCs w:val="24"/>
        </w:rPr>
        <w:t xml:space="preserve">Sul Kniefall.</w:t>
      </w:r>
      <w:r>
        <w:rPr>
          <w:rFonts w:ascii="Barlow Semi Condensed" w:cs="Barlow Semi Condensed" w:eastAsia="Barlow Semi Condensed" w:hAnsi="Barlow Semi Condensed"/>
          <w:sz w:val="24"/>
          <w:szCs w:val="24"/>
        </w:rPr>
        <w:t xml:space="preserve"> Precede la firma di poche ore nella stessa giornata: sono </w:t>
      </w:r>
      <w:r>
        <w:rPr>
          <w:rFonts w:ascii="Barlow Semi Condensed" w:cs="Barlow Semi Condensed" w:eastAsia="Barlow Semi Condensed" w:hAnsi="Barlow Semi Condensed"/>
          <w:b/>
          <w:bCs/>
          <w:sz w:val="24"/>
          <w:szCs w:val="24"/>
        </w:rPr>
        <w:t xml:space="preserve">due eventi distinti del 7 dicembre 1970</w:t>
      </w:r>
      <w:r>
        <w:rPr>
          <w:rFonts w:ascii="Barlow Semi Condensed" w:cs="Barlow Semi Condensed" w:eastAsia="Barlow Semi Condensed" w:hAnsi="Barlow Semi Condensed"/>
          <w:sz w:val="24"/>
          <w:szCs w:val="24"/>
        </w:rPr>
        <w:t xml:space="preserve">, non il medesimo atto, e vanno riportati come tali.</w:t>
      </w:r>
    </w:p>
    <w:p>
      <w:pPr>
        <w:spacing w:after="120" w:line="276"/>
        <w:jc w:val="both"/>
      </w:pPr>
      <w:r>
        <w:rPr>
          <w:rFonts w:ascii="Barlow Semi Condensed" w:cs="Barlow Semi Condensed" w:eastAsia="Barlow Semi Condensed" w:hAnsi="Barlow Semi Condensed"/>
          <w:i/>
          <w:iCs/>
          <w:sz w:val="24"/>
          <w:szCs w:val="24"/>
        </w:rPr>
        <w:t xml:space="preserve">Sulle costituzioni apostoliche.</w:t>
      </w:r>
      <w:r>
        <w:rPr>
          <w:rFonts w:ascii="Barlow Semi Condensed" w:cs="Barlow Semi Condensed" w:eastAsia="Barlow Semi Condensed" w:hAnsi="Barlow Semi Condensed"/>
          <w:sz w:val="24"/>
          <w:szCs w:val="24"/>
        </w:rPr>
        <w:t xml:space="preserve"> Confermato il nucleo — il 28 giugno 1972 Paolo VI emanò in forma di bolla due costituzioni apostoliche — con tre precisazioni: il titolo del secondo documento è </w:t>
      </w:r>
      <w:r>
        <w:rPr>
          <w:rFonts w:ascii="Barlow Semi Condensed" w:cs="Barlow Semi Condensed" w:eastAsia="Barlow Semi Condensed" w:hAnsi="Barlow Semi Condensed"/>
          <w:b/>
          <w:bCs/>
          <w:sz w:val="24"/>
          <w:szCs w:val="24"/>
        </w:rPr>
        <w:t xml:space="preserve">«Vratislaviensis-Berolinensis et aliarum»</w:t>
      </w:r>
      <w:r>
        <w:rPr>
          <w:rFonts w:ascii="Barlow Semi Condensed" w:cs="Barlow Semi Condensed" w:eastAsia="Barlow Semi Condensed" w:hAnsi="Barlow Semi Condensed"/>
          <w:sz w:val="24"/>
          <w:szCs w:val="24"/>
        </w:rPr>
        <w:t xml:space="preserve"> (la resa abbreviata è troncata); la ripartizione dei contenuti fra i due atti va attribuita puntualmente e non cumulativamente; e le grafie divergono fra le fonti enciclopediche.</w:t>
      </w:r>
    </w:p>
    <w:p>
      <w:pPr>
        <w:pStyle w:val="Heading3"/>
        <w:spacing w:after="80" w:before="160"/>
      </w:pPr>
      <w:r>
        <w:rPr>
          <w:rFonts w:ascii="Barlow Semi Condensed" w:cs="Barlow Semi Condensed" w:eastAsia="Barlow Semi Condensed" w:hAnsi="Barlow Semi Condensed"/>
          <w:sz w:val="24"/>
          <w:szCs w:val="24"/>
        </w:rPr>
        <w:t xml:space="preserve">F-2 · La cronologia dei mandati, il TNP e i riconoscimenti</w:t>
      </w:r>
    </w:p>
    <w:p>
      <w:pPr>
        <w:spacing w:after="120" w:line="276"/>
        <w:jc w:val="both"/>
      </w:pPr>
      <w:r>
        <w:rPr>
          <w:rFonts w:ascii="Barlow Semi Condensed" w:cs="Barlow Semi Condensed" w:eastAsia="Barlow Semi Condensed" w:hAnsi="Barlow Semi Condensed"/>
          <w:b/>
          <w:bCs/>
          <w:sz w:val="24"/>
          <w:szCs w:val="24"/>
        </w:rPr>
        <w:t xml:space="preserve">La divergenza sulla fine del primo mandato si chiude.</w:t>
      </w:r>
      <w:r>
        <w:rPr>
          <w:rFonts w:ascii="Barlow Semi Condensed" w:cs="Barlow Semi Condensed" w:eastAsia="Barlow Semi Condensed" w:hAnsi="Barlow Semi Condensed"/>
          <w:sz w:val="24"/>
          <w:szCs w:val="24"/>
        </w:rPr>
        <w:t xml:space="preserve"> La data è il </w:t>
      </w:r>
      <w:r>
        <w:rPr>
          <w:rFonts w:ascii="Barlow Semi Condensed" w:cs="Barlow Semi Condensed" w:eastAsia="Barlow Semi Condensed" w:hAnsi="Barlow Semi Condensed"/>
          <w:b/>
          <w:bCs/>
          <w:sz w:val="24"/>
          <w:szCs w:val="24"/>
        </w:rPr>
        <w:t xml:space="preserve">26 giugno 1972</w:t>
      </w:r>
      <w:r>
        <w:rPr>
          <w:rFonts w:ascii="Barlow Semi Condensed" w:cs="Barlow Semi Condensed" w:eastAsia="Barlow Semi Condensed" w:hAnsi="Barlow Semi Condensed"/>
          <w:sz w:val="24"/>
          <w:szCs w:val="24"/>
        </w:rPr>
        <w:t xml:space="preserve">, e la ragione è dirimente: il primo governo Andreotti cessa quel giorno col giuramento del secondo, nel quale la Farnesina passa a Giuseppe Medici. Poiché il successore entra in carica il 26 giugno, </w:t>
      </w:r>
      <w:r>
        <w:rPr>
          <w:rFonts w:ascii="Barlow Semi Condensed" w:cs="Barlow Semi Condensed" w:eastAsia="Barlow Semi Condensed" w:hAnsi="Barlow Semi Condensed"/>
          <w:b/>
          <w:bCs/>
          <w:sz w:val="24"/>
          <w:szCs w:val="24"/>
        </w:rPr>
        <w:t xml:space="preserve">il mandato di Moro non può proseguire al 29 luglio</w:t>
      </w:r>
      <w:r>
        <w:rPr>
          <w:rFonts w:ascii="Barlow Semi Condensed" w:cs="Barlow Semi Condensed" w:eastAsia="Barlow Semi Condensed" w:hAnsi="Barlow Semi Condensed"/>
          <w:sz w:val="24"/>
          <w:szCs w:val="24"/>
        </w:rPr>
        <w:t xml:space="preserve">: l'indicazione discordante è confutata, non solo divergente. Ne segue la correzione già registrata al capitolo II sul governo in carica il 28 giugno 1972.</w:t>
      </w:r>
    </w:p>
    <w:p>
      <w:pPr>
        <w:spacing w:after="120" w:line="276"/>
        <w:jc w:val="both"/>
      </w:pPr>
      <w:r>
        <w:rPr>
          <w:rFonts w:ascii="Barlow Semi Condensed" w:cs="Barlow Semi Condensed" w:eastAsia="Barlow Semi Condensed" w:hAnsi="Barlow Semi Condensed"/>
          <w:b/>
          <w:bCs/>
          <w:sz w:val="24"/>
          <w:szCs w:val="24"/>
        </w:rPr>
        <w:t xml:space="preserve">Confermato</w:t>
      </w:r>
      <w:r>
        <w:rPr>
          <w:rFonts w:ascii="Barlow Semi Condensed" w:cs="Barlow Semi Condensed" w:eastAsia="Barlow Semi Condensed" w:hAnsi="Barlow Semi Condensed"/>
          <w:sz w:val="24"/>
          <w:szCs w:val="24"/>
        </w:rPr>
        <w:t xml:space="preserve"> il TNP in tutti e tre gli elementi — firma italiana </w:t>
      </w:r>
      <w:r>
        <w:rPr>
          <w:rFonts w:ascii="Barlow Semi Condensed" w:cs="Barlow Semi Condensed" w:eastAsia="Barlow Semi Condensed" w:hAnsi="Barlow Semi Condensed"/>
          <w:b/>
          <w:bCs/>
          <w:sz w:val="24"/>
          <w:szCs w:val="24"/>
        </w:rPr>
        <w:t xml:space="preserve">28 gennaio 1969</w:t>
      </w:r>
      <w:r>
        <w:rPr>
          <w:rFonts w:ascii="Barlow Semi Condensed" w:cs="Barlow Semi Condensed" w:eastAsia="Barlow Semi Condensed" w:hAnsi="Barlow Semi Condensed"/>
          <w:sz w:val="24"/>
          <w:szCs w:val="24"/>
        </w:rPr>
        <w:t xml:space="preserve">, legge di ratifica </w:t>
      </w:r>
      <w:r>
        <w:rPr>
          <w:rFonts w:ascii="Barlow Semi Condensed" w:cs="Barlow Semi Condensed" w:eastAsia="Barlow Semi Condensed" w:hAnsi="Barlow Semi Condensed"/>
          <w:b/>
          <w:bCs/>
          <w:sz w:val="24"/>
          <w:szCs w:val="24"/>
        </w:rPr>
        <w:t xml:space="preserve">24 aprile 1975 n. 131</w:t>
      </w:r>
      <w:r>
        <w:rPr>
          <w:rFonts w:ascii="Barlow Semi Condensed" w:cs="Barlow Semi Condensed" w:eastAsia="Barlow Semi Condensed" w:hAnsi="Barlow Semi Condensed"/>
          <w:sz w:val="24"/>
          <w:szCs w:val="24"/>
        </w:rPr>
        <w:t xml:space="preserve"> (Gazzetta Ufficiale n. 113 del 30 aprile 1975), deposito degli strumenti — con la precisazione tecnica che </w:t>
      </w:r>
      <w:r>
        <w:rPr>
          <w:rFonts w:ascii="Barlow Semi Condensed" w:cs="Barlow Semi Condensed" w:eastAsia="Barlow Semi Condensed" w:hAnsi="Barlow Semi Condensed"/>
          <w:b/>
          <w:bCs/>
          <w:sz w:val="24"/>
          <w:szCs w:val="24"/>
        </w:rPr>
        <w:t xml:space="preserve">il Trattato ha tre depositari</w:t>
      </w:r>
      <w:r>
        <w:rPr>
          <w:rFonts w:ascii="Barlow Semi Condensed" w:cs="Barlow Semi Condensed" w:eastAsia="Barlow Semi Condensed" w:hAnsi="Barlow Semi Condensed"/>
          <w:sz w:val="24"/>
          <w:szCs w:val="24"/>
        </w:rPr>
        <w:t xml:space="preserve"> e che il deposito italiano si articola di conseguenza sulle due date già registrate.</w:t>
      </w:r>
    </w:p>
    <w:p>
      <w:pPr>
        <w:spacing w:after="120" w:line="276"/>
        <w:jc w:val="both"/>
      </w:pPr>
      <w:r>
        <w:rPr>
          <w:rFonts w:ascii="Barlow Semi Condensed" w:cs="Barlow Semi Condensed" w:eastAsia="Barlow Semi Condensed" w:hAnsi="Barlow Semi Condensed"/>
          <w:b/>
          <w:bCs/>
          <w:sz w:val="24"/>
          <w:szCs w:val="24"/>
        </w:rPr>
        <w:t xml:space="preserve">Confermata</w:t>
      </w:r>
      <w:r>
        <w:rPr>
          <w:rFonts w:ascii="Barlow Semi Condensed" w:cs="Barlow Semi Condensed" w:eastAsia="Barlow Semi Condensed" w:hAnsi="Barlow Semi Condensed"/>
          <w:sz w:val="24"/>
          <w:szCs w:val="24"/>
        </w:rPr>
        <w:t xml:space="preserve"> la data del 6 settembre 1978 per l'uccisione a Düsseldorf del militante della RAF, con una precisazione di statuto che il corpus fa propria: la dinamica (legittima difesa degli agenti) è la </w:t>
      </w:r>
      <w:r>
        <w:rPr>
          <w:rFonts w:ascii="Barlow Semi Condensed" w:cs="Barlow Semi Condensed" w:eastAsia="Barlow Semi Condensed" w:hAnsi="Barlow Semi Condensed"/>
          <w:b/>
          <w:bCs/>
          <w:sz w:val="24"/>
          <w:szCs w:val="24"/>
        </w:rPr>
        <w:t xml:space="preserve">versione ufficiale delle forze dell'ordine</w:t>
      </w:r>
      <w:r>
        <w:rPr>
          <w:rFonts w:ascii="Barlow Semi Condensed" w:cs="Barlow Semi Condensed" w:eastAsia="Barlow Semi Condensed" w:hAnsi="Barlow Semi Condensed"/>
          <w:sz w:val="24"/>
          <w:szCs w:val="24"/>
        </w:rPr>
        <w:t xml:space="preserve">, e va riportata come tale e non come accertamento.</w:t>
      </w:r>
    </w:p>
    <w:p>
      <w:pPr>
        <w:spacing w:after="120" w:line="276"/>
        <w:jc w:val="both"/>
      </w:pPr>
      <w:r>
        <w:rPr>
          <w:rFonts w:ascii="Barlow Semi Condensed" w:cs="Barlow Semi Condensed" w:eastAsia="Barlow Semi Condensed" w:hAnsi="Barlow Semi Condensed"/>
          <w:b/>
          <w:bCs/>
          <w:sz w:val="24"/>
          <w:szCs w:val="24"/>
        </w:rPr>
        <w:t xml:space="preserve">Due precisazioni sui riconoscimenti.</w:t>
      </w:r>
      <w:r>
        <w:rPr>
          <w:rFonts w:ascii="Barlow Semi Condensed" w:cs="Barlow Semi Condensed" w:eastAsia="Barlow Semi Condensed" w:hAnsi="Barlow Semi Condensed"/>
          <w:sz w:val="24"/>
          <w:szCs w:val="24"/>
        </w:rPr>
        <w:t xml:space="preserve"> Sul riconoscimento della </w:t>
      </w:r>
      <w:r>
        <w:rPr>
          <w:rFonts w:ascii="Barlow Semi Condensed" w:cs="Barlow Semi Condensed" w:eastAsia="Barlow Semi Condensed" w:hAnsi="Barlow Semi Condensed"/>
          <w:b/>
          <w:bCs/>
          <w:sz w:val="24"/>
          <w:szCs w:val="24"/>
        </w:rPr>
        <w:t xml:space="preserve">Repubblica Democratica Tedesca</w:t>
      </w:r>
      <w:r>
        <w:rPr>
          <w:rFonts w:ascii="Barlow Semi Condensed" w:cs="Barlow Semi Condensed" w:eastAsia="Barlow Semi Condensed" w:hAnsi="Barlow Semi Condensed"/>
          <w:sz w:val="24"/>
          <w:szCs w:val="24"/>
        </w:rPr>
        <w:t xml:space="preserve">: confermato che il titolare della Farnesina era Medici, ma </w:t>
      </w:r>
      <w:r>
        <w:rPr>
          <w:rFonts w:ascii="Barlow Semi Condensed" w:cs="Barlow Semi Condensed" w:eastAsia="Barlow Semi Condensed" w:hAnsi="Barlow Semi Condensed"/>
          <w:b/>
          <w:bCs/>
          <w:sz w:val="24"/>
          <w:szCs w:val="24"/>
        </w:rPr>
        <w:t xml:space="preserve">la data diverge fra le fonti</w:t>
      </w:r>
      <w:r>
        <w:rPr>
          <w:rFonts w:ascii="Barlow Semi Condensed" w:cs="Barlow Semi Condensed" w:eastAsia="Barlow Semi Condensed" w:hAnsi="Barlow Semi Condensed"/>
          <w:sz w:val="24"/>
          <w:szCs w:val="24"/>
        </w:rPr>
        <w:t xml:space="preserve"> — 17 gennaio 1973 nelle fonti italiane, 18 gennaio 1973 in fonte istituzionale tedesca. La divergenza è nuova, è stata prodotta dalla verifica, ed è registrata al capitolo III. Sul riconoscimento della </w:t>
      </w:r>
      <w:r>
        <w:rPr>
          <w:rFonts w:ascii="Barlow Semi Condensed" w:cs="Barlow Semi Condensed" w:eastAsia="Barlow Semi Condensed" w:hAnsi="Barlow Semi Condensed"/>
          <w:b/>
          <w:bCs/>
          <w:sz w:val="24"/>
          <w:szCs w:val="24"/>
        </w:rPr>
        <w:t xml:space="preserve">Repubblica popolare cinese</w:t>
      </w:r>
      <w:r>
        <w:rPr>
          <w:rFonts w:ascii="Barlow Semi Condensed" w:cs="Barlow Semi Condensed" w:eastAsia="Barlow Semi Condensed" w:hAnsi="Barlow Semi Condensed"/>
          <w:sz w:val="24"/>
          <w:szCs w:val="24"/>
        </w:rPr>
        <w:t xml:space="preserve">: confermata l'attribuzione dell'iniziativa a Nenni, che annunciò l'intenzione alla Camera il </w:t>
      </w:r>
      <w:r>
        <w:rPr>
          <w:rFonts w:ascii="Barlow Semi Condensed" w:cs="Barlow Semi Condensed" w:eastAsia="Barlow Semi Condensed" w:hAnsi="Barlow Semi Condensed"/>
          <w:b/>
          <w:bCs/>
          <w:sz w:val="24"/>
          <w:szCs w:val="24"/>
        </w:rPr>
        <w:t xml:space="preserve">24 gennaio 1969</w:t>
      </w:r>
      <w:r>
        <w:rPr>
          <w:rFonts w:ascii="Barlow Semi Condensed" w:cs="Barlow Semi Condensed" w:eastAsia="Barlow Semi Condensed" w:hAnsi="Barlow Semi Condensed"/>
          <w:sz w:val="24"/>
          <w:szCs w:val="24"/>
        </w:rPr>
        <w:t xml:space="preserve">, con la precisazione che </w:t>
      </w:r>
      <w:r>
        <w:rPr>
          <w:rFonts w:ascii="Barlow Semi Condensed" w:cs="Barlow Semi Condensed" w:eastAsia="Barlow Semi Condensed" w:hAnsi="Barlow Semi Condensed"/>
          <w:b/>
          <w:bCs/>
          <w:sz w:val="24"/>
          <w:szCs w:val="24"/>
        </w:rPr>
        <w:t xml:space="preserve">al momento della conclusione, nel novembre 1970, il ministro degli Esteri era Moro</w:t>
      </w:r>
      <w:r>
        <w:rPr>
          <w:rFonts w:ascii="Barlow Semi Condensed" w:cs="Barlow Semi Condensed" w:eastAsia="Barlow Semi Condensed" w:hAnsi="Barlow Semi Condensed"/>
          <w:sz w:val="24"/>
          <w:szCs w:val="24"/>
        </w:rPr>
        <w:t xml:space="preserve"> — il che conferma esattamente la formula che il corpus già usava: normalizzazione perfezionata sotto la sua titolarità, senza paternità dell'iniziativa.</w:t>
      </w:r>
    </w:p>
    <w:p>
      <w:pPr>
        <w:pStyle w:val="Heading3"/>
        <w:spacing w:after="80" w:before="160"/>
      </w:pPr>
      <w:r>
        <w:rPr>
          <w:rFonts w:ascii="Barlow Semi Condensed" w:cs="Barlow Semi Condensed" w:eastAsia="Barlow Semi Condensed" w:hAnsi="Barlow Semi Condensed"/>
          <w:sz w:val="24"/>
          <w:szCs w:val="24"/>
        </w:rPr>
        <w:t xml:space="preserve">F-3 · Il versante portoghese</w:t>
      </w:r>
    </w:p>
    <w:p>
      <w:pPr>
        <w:spacing w:after="120" w:line="276"/>
        <w:jc w:val="both"/>
      </w:pPr>
      <w:r>
        <w:rPr>
          <w:rFonts w:ascii="Barlow Semi Condensed" w:cs="Barlow Semi Condensed" w:eastAsia="Barlow Semi Condensed" w:hAnsi="Barlow Semi Condensed"/>
          <w:b/>
          <w:bCs/>
          <w:sz w:val="24"/>
          <w:szCs w:val="24"/>
        </w:rPr>
        <w:t xml:space="preserve">Confermata</w:t>
      </w:r>
      <w:r>
        <w:rPr>
          <w:rFonts w:ascii="Barlow Semi Condensed" w:cs="Barlow Semi Condensed" w:eastAsia="Barlow Semi Condensed" w:hAnsi="Barlow Semi Condensed"/>
          <w:sz w:val="24"/>
          <w:szCs w:val="24"/>
        </w:rPr>
        <w:t xml:space="preserve"> la </w:t>
      </w:r>
      <w:r>
        <w:rPr>
          <w:rFonts w:ascii="Barlow Semi Condensed" w:cs="Barlow Semi Condensed" w:eastAsia="Barlow Semi Condensed" w:hAnsi="Barlow Semi Condensed"/>
          <w:b/>
          <w:bCs/>
          <w:sz w:val="24"/>
          <w:szCs w:val="24"/>
        </w:rPr>
        <w:t xml:space="preserve">Conferenza internazionale di solidarietà</w:t>
      </w:r>
      <w:r>
        <w:rPr>
          <w:rFonts w:ascii="Barlow Semi Condensed" w:cs="Barlow Semi Condensed" w:eastAsia="Barlow Semi Condensed" w:hAnsi="Barlow Semi Condensed"/>
          <w:sz w:val="24"/>
          <w:szCs w:val="24"/>
        </w:rPr>
        <w:t xml:space="preserve"> di Roma del </w:t>
      </w:r>
      <w:r>
        <w:rPr>
          <w:rFonts w:ascii="Barlow Semi Condensed" w:cs="Barlow Semi Condensed" w:eastAsia="Barlow Semi Condensed" w:hAnsi="Barlow Semi Condensed"/>
          <w:b/>
          <w:bCs/>
          <w:sz w:val="24"/>
          <w:szCs w:val="24"/>
        </w:rPr>
        <w:t xml:space="preserve">27-29 giugno 1970</w:t>
      </w:r>
      <w:r>
        <w:rPr>
          <w:rFonts w:ascii="Barlow Semi Condensed" w:cs="Barlow Semi Condensed" w:eastAsia="Barlow Semi Condensed" w:hAnsi="Barlow Semi Condensed"/>
          <w:sz w:val="24"/>
          <w:szCs w:val="24"/>
        </w:rPr>
        <w:t xml:space="preserve">, con un dato che la ricognizione non portava e che ne misura la scala: </w:t>
      </w:r>
      <w:r>
        <w:rPr>
          <w:rFonts w:ascii="Barlow Semi Condensed" w:cs="Barlow Semi Condensed" w:eastAsia="Barlow Semi Condensed" w:hAnsi="Barlow Semi Condensed"/>
          <w:b/>
          <w:bCs/>
          <w:sz w:val="24"/>
          <w:szCs w:val="24"/>
        </w:rPr>
        <w:t xml:space="preserve">centosettantasette organizzazioni politiche, sindacali e religiose in rappresentanza di sessantaquattro Paesi</w:t>
      </w:r>
      <w:r>
        <w:rPr>
          <w:rFonts w:ascii="Barlow Semi Condensed" w:cs="Barlow Semi Condensed" w:eastAsia="Barlow Semi Condensed" w:hAnsi="Barlow Semi Condensed"/>
          <w:sz w:val="24"/>
          <w:szCs w:val="24"/>
        </w:rPr>
        <w:t xml:space="preserve">, e fra i promotori italiani figure di primo piano dell'antifascismo e della sinistra giuridica. Confermata l'</w:t>
      </w:r>
      <w:r>
        <w:rPr>
          <w:rFonts w:ascii="Barlow Semi Condensed" w:cs="Barlow Semi Condensed" w:eastAsia="Barlow Semi Condensed" w:hAnsi="Barlow Semi Condensed"/>
          <w:b/>
          <w:bCs/>
          <w:sz w:val="24"/>
          <w:szCs w:val="24"/>
        </w:rPr>
        <w:t xml:space="preserve">udienza del 1° luglio 1970</w:t>
      </w:r>
      <w:r>
        <w:rPr>
          <w:rFonts w:ascii="Barlow Semi Condensed" w:cs="Barlow Semi Condensed" w:eastAsia="Barlow Semi Condensed" w:hAnsi="Barlow Semi Condensed"/>
          <w:sz w:val="24"/>
          <w:szCs w:val="24"/>
        </w:rPr>
        <w:t xml:space="preserve">, che le fonti qualificano come </w:t>
      </w:r>
      <w:r>
        <w:rPr>
          <w:rFonts w:ascii="Barlow Semi Condensed" w:cs="Barlow Semi Condensed" w:eastAsia="Barlow Semi Condensed" w:hAnsi="Barlow Semi Condensed"/>
          <w:b/>
          <w:bCs/>
          <w:sz w:val="24"/>
          <w:szCs w:val="24"/>
        </w:rPr>
        <w:t xml:space="preserve">udienza in forma privata</w:t>
      </w:r>
      <w:r>
        <w:rPr>
          <w:rFonts w:ascii="Barlow Semi Condensed" w:cs="Barlow Semi Condensed" w:eastAsia="Barlow Semi Condensed" w:hAnsi="Barlow Semi Condensed"/>
          <w:sz w:val="24"/>
          <w:szCs w:val="24"/>
        </w:rPr>
        <w:t xml:space="preserve"> a conclusione della Conferenza — precisazione di forma che il corpus recepisce, perché distingue l'atto dal ricevimento ufficiale.</w:t>
      </w:r>
    </w:p>
    <w:p>
      <w:pPr>
        <w:spacing w:after="120" w:line="276"/>
        <w:jc w:val="both"/>
      </w:pPr>
      <w:r>
        <w:rPr>
          <w:rFonts w:ascii="Barlow Semi Condensed" w:cs="Barlow Semi Condensed" w:eastAsia="Barlow Semi Condensed" w:hAnsi="Barlow Semi Condensed"/>
          <w:b/>
          <w:bCs/>
          <w:sz w:val="24"/>
          <w:szCs w:val="24"/>
        </w:rPr>
        <w:t xml:space="preserve">Confermato</w:t>
      </w:r>
      <w:r>
        <w:rPr>
          <w:rFonts w:ascii="Barlow Semi Condensed" w:cs="Barlow Semi Condensed" w:eastAsia="Barlow Semi Condensed" w:hAnsi="Barlow Semi Condensed"/>
          <w:sz w:val="24"/>
          <w:szCs w:val="24"/>
        </w:rPr>
        <w:t xml:space="preserve"> il massacro di </w:t>
      </w:r>
      <w:r>
        <w:rPr>
          <w:rFonts w:ascii="Barlow Semi Condensed" w:cs="Barlow Semi Condensed" w:eastAsia="Barlow Semi Condensed" w:hAnsi="Barlow Semi Condensed"/>
          <w:b/>
          <w:bCs/>
          <w:sz w:val="24"/>
          <w:szCs w:val="24"/>
        </w:rPr>
        <w:t xml:space="preserve">Wiriyamu del 16 dicembre 1972</w:t>
      </w:r>
      <w:r>
        <w:rPr>
          <w:rFonts w:ascii="Barlow Semi Condensed" w:cs="Barlow Semi Condensed" w:eastAsia="Barlow Semi Condensed" w:hAnsi="Barlow Semi Condensed"/>
          <w:sz w:val="24"/>
          <w:szCs w:val="24"/>
        </w:rPr>
        <w:t xml:space="preserve">, con il nome in codice dell'operazione e la partecipazione documentata di reparti dei Commandos e della polizia politica; e </w:t>
      </w:r>
      <w:r>
        <w:rPr>
          <w:rFonts w:ascii="Barlow Semi Condensed" w:cs="Barlow Semi Condensed" w:eastAsia="Barlow Semi Condensed" w:hAnsi="Barlow Semi Condensed"/>
          <w:b/>
          <w:bCs/>
          <w:sz w:val="24"/>
          <w:szCs w:val="24"/>
        </w:rPr>
        <w:t xml:space="preserve">confermata la forbice 150-400</w:t>
      </w:r>
      <w:r>
        <w:rPr>
          <w:rFonts w:ascii="Barlow Semi Condensed" w:cs="Barlow Semi Condensed" w:eastAsia="Barlow Semi Condensed" w:hAnsi="Barlow Semi Condensed"/>
          <w:sz w:val="24"/>
          <w:szCs w:val="24"/>
        </w:rPr>
        <w:t xml:space="preserve"> come divergenza reale fra fonti, non come incertezza del corpus: circa centocinquanta secondo una stima attribuita alla Croce Rossa, circa trecento secondo l'inchiesta del settimanale portoghese fondata su testimonianze di militari, trecentottantacinque nominativi accertati e «vicino a quattrocento» nella ricostruzione accademica. </w:t>
      </w:r>
      <w:r>
        <w:rPr>
          <w:rFonts w:ascii="Barlow Semi Condensed" w:cs="Barlow Semi Condensed" w:eastAsia="Barlow Semi Condensed" w:hAnsi="Barlow Semi Condensed"/>
          <w:b/>
          <w:bCs/>
          <w:sz w:val="24"/>
          <w:szCs w:val="24"/>
        </w:rPr>
        <w:t xml:space="preserve">Confermato</w:t>
      </w:r>
      <w:r>
        <w:rPr>
          <w:rFonts w:ascii="Barlow Semi Condensed" w:cs="Barlow Semi Condensed" w:eastAsia="Barlow Semi Condensed" w:hAnsi="Barlow Semi Condensed"/>
          <w:sz w:val="24"/>
          <w:szCs w:val="24"/>
        </w:rPr>
        <w:t xml:space="preserve"> l'articolo sul </w:t>
      </w:r>
      <w:r>
        <w:rPr>
          <w:rFonts w:ascii="Barlow Semi Condensed" w:cs="Barlow Semi Condensed" w:eastAsia="Barlow Semi Condensed" w:hAnsi="Barlow Semi Condensed"/>
          <w:i/>
          <w:iCs/>
          <w:sz w:val="24"/>
          <w:szCs w:val="24"/>
        </w:rPr>
        <w:t xml:space="preserve">Times</w:t>
      </w:r>
      <w:r>
        <w:rPr>
          <w:rFonts w:ascii="Barlow Semi Condensed" w:cs="Barlow Semi Condensed" w:eastAsia="Barlow Semi Condensed" w:hAnsi="Barlow Semi Condensed"/>
          <w:sz w:val="24"/>
          <w:szCs w:val="24"/>
        </w:rPr>
        <w:t xml:space="preserve"> del </w:t>
      </w:r>
      <w:r>
        <w:rPr>
          <w:rFonts w:ascii="Barlow Semi Condensed" w:cs="Barlow Semi Condensed" w:eastAsia="Barlow Semi Condensed" w:hAnsi="Barlow Semi Condensed"/>
          <w:b/>
          <w:bCs/>
          <w:sz w:val="24"/>
          <w:szCs w:val="24"/>
        </w:rPr>
        <w:t xml:space="preserve">10 luglio 1973</w:t>
      </w:r>
      <w:r>
        <w:rPr>
          <w:rFonts w:ascii="Barlow Semi Condensed" w:cs="Barlow Semi Condensed" w:eastAsia="Barlow Semi Condensed" w:hAnsi="Barlow Semi Condensed"/>
          <w:sz w:val="24"/>
          <w:szCs w:val="24"/>
        </w:rPr>
        <w:t xml:space="preserve">, in prima pagina, col titolo esatto — e con un elemento di contesto che le fonti danno per ricorrente: uscì </w:t>
      </w:r>
      <w:r>
        <w:rPr>
          <w:rFonts w:ascii="Barlow Semi Condensed" w:cs="Barlow Semi Condensed" w:eastAsia="Barlow Semi Condensed" w:hAnsi="Barlow Semi Condensed"/>
          <w:b/>
          <w:bCs/>
          <w:sz w:val="24"/>
          <w:szCs w:val="24"/>
        </w:rPr>
        <w:t xml:space="preserve">pochi giorni prima della visita ufficiale a Londra del primo ministro portoghese</w:t>
      </w:r>
      <w:r>
        <w:rPr>
          <w:rFonts w:ascii="Barlow Semi Condensed" w:cs="Barlow Semi Condensed" w:eastAsia="Barlow Semi Condensed" w:hAnsi="Barlow Semi Condensed"/>
          <w:sz w:val="24"/>
          <w:szCs w:val="24"/>
        </w:rPr>
        <w:t xml:space="preserve">.</w:t>
      </w:r>
    </w:p>
    <w:p>
      <w:pPr>
        <w:spacing w:after="120" w:line="276"/>
        <w:jc w:val="both"/>
      </w:pPr>
      <w:r>
        <w:rPr>
          <w:rFonts w:ascii="Barlow Semi Condensed" w:cs="Barlow Semi Condensed" w:eastAsia="Barlow Semi Condensed" w:hAnsi="Barlow Semi Condensed"/>
          <w:b/>
          <w:bCs/>
          <w:sz w:val="24"/>
          <w:szCs w:val="24"/>
        </w:rPr>
        <w:t xml:space="preserve">Due precisazioni.</w:t>
      </w:r>
      <w:r>
        <w:rPr>
          <w:rFonts w:ascii="Barlow Semi Condensed" w:cs="Barlow Semi Condensed" w:eastAsia="Barlow Semi Condensed" w:hAnsi="Barlow Semi Condensed"/>
          <w:sz w:val="24"/>
          <w:szCs w:val="24"/>
        </w:rPr>
        <w:t xml:space="preserve"> Sull'</w:t>
      </w:r>
      <w:r>
        <w:rPr>
          <w:rFonts w:ascii="Barlow Semi Condensed" w:cs="Barlow Semi Condensed" w:eastAsia="Barlow Semi Condensed" w:hAnsi="Barlow Semi Condensed"/>
          <w:b/>
          <w:bCs/>
          <w:sz w:val="24"/>
          <w:szCs w:val="24"/>
        </w:rPr>
        <w:t xml:space="preserve">espulsione</w:t>
      </w:r>
      <w:r>
        <w:rPr>
          <w:rFonts w:ascii="Barlow Semi Condensed" w:cs="Barlow Semi Condensed" w:eastAsia="Barlow Semi Condensed" w:hAnsi="Barlow Semi Condensed"/>
          <w:sz w:val="24"/>
          <w:szCs w:val="24"/>
        </w:rPr>
        <w:t xml:space="preserve">, la sostanza è confermata — vescovo di Nampula e comboniani espulsi dalle autorità portoghesi come ritorsione per il documento </w:t>
      </w:r>
      <w:r>
        <w:rPr>
          <w:rFonts w:ascii="Barlow Semi Condensed" w:cs="Barlow Semi Condensed" w:eastAsia="Barlow Semi Condensed" w:hAnsi="Barlow Semi Condensed"/>
          <w:i/>
          <w:iCs/>
          <w:sz w:val="24"/>
          <w:szCs w:val="24"/>
        </w:rPr>
        <w:t xml:space="preserve">Imperativo de Consciência</w:t>
      </w:r>
      <w:r>
        <w:rPr>
          <w:rFonts w:ascii="Barlow Semi Condensed" w:cs="Barlow Semi Condensed" w:eastAsia="Barlow Semi Condensed" w:hAnsi="Barlow Semi Condensed"/>
          <w:sz w:val="24"/>
          <w:szCs w:val="24"/>
        </w:rPr>
        <w:t xml:space="preserve">, redatto il </w:t>
      </w:r>
      <w:r>
        <w:rPr>
          <w:rFonts w:ascii="Barlow Semi Condensed" w:cs="Barlow Semi Condensed" w:eastAsia="Barlow Semi Condensed" w:hAnsi="Barlow Semi Condensed"/>
          <w:b/>
          <w:bCs/>
          <w:sz w:val="24"/>
          <w:szCs w:val="24"/>
        </w:rPr>
        <w:t xml:space="preserve">12 febbraio 1974</w:t>
      </w:r>
      <w:r>
        <w:rPr>
          <w:rFonts w:ascii="Barlow Semi Condensed" w:cs="Barlow Semi Condensed" w:eastAsia="Barlow Semi Condensed" w:hAnsi="Barlow Semi Condensed"/>
          <w:sz w:val="24"/>
          <w:szCs w:val="24"/>
        </w:rPr>
        <w:t xml:space="preserve"> — ma la verifica </w:t>
      </w:r>
      <w:r>
        <w:rPr>
          <w:rFonts w:ascii="Barlow Semi Condensed" w:cs="Barlow Semi Condensed" w:eastAsia="Barlow Semi Condensed" w:hAnsi="Barlow Semi Condensed"/>
          <w:b/>
          <w:bCs/>
          <w:sz w:val="24"/>
          <w:szCs w:val="24"/>
        </w:rPr>
        <w:t xml:space="preserve">allarga la divergenza sulla data</w:t>
      </w:r>
      <w:r>
        <w:rPr>
          <w:rFonts w:ascii="Barlow Semi Condensed" w:cs="Barlow Semi Condensed" w:eastAsia="Barlow Semi Condensed" w:hAnsi="Barlow Semi Condensed"/>
          <w:sz w:val="24"/>
          <w:szCs w:val="24"/>
        </w:rPr>
        <w:t xml:space="preserve"> già registrata: alcune fonti collocano l'espulsione da Nampula al </w:t>
      </w:r>
      <w:r>
        <w:rPr>
          <w:rFonts w:ascii="Barlow Semi Condensed" w:cs="Barlow Semi Condensed" w:eastAsia="Barlow Semi Condensed" w:hAnsi="Barlow Semi Condensed"/>
          <w:b/>
          <w:bCs/>
          <w:sz w:val="24"/>
          <w:szCs w:val="24"/>
        </w:rPr>
        <w:t xml:space="preserve">10 aprile 1974</w:t>
      </w:r>
      <w:r>
        <w:rPr>
          <w:rFonts w:ascii="Barlow Semi Condensed" w:cs="Barlow Semi Condensed" w:eastAsia="Barlow Semi Condensed" w:hAnsi="Barlow Semi Condensed"/>
          <w:sz w:val="24"/>
          <w:szCs w:val="24"/>
        </w:rPr>
        <w:t xml:space="preserve">, con arrivo a Lisbona quattro giorni dopo, la domenica di Pasqua; altre al 13. La forbice va portata da «12, 13 o 14 aprile» a «</w:t>
      </w:r>
      <w:r>
        <w:rPr>
          <w:rFonts w:ascii="Barlow Semi Condensed" w:cs="Barlow Semi Condensed" w:eastAsia="Barlow Semi Condensed" w:hAnsi="Barlow Semi Condensed"/>
          <w:b/>
          <w:bCs/>
          <w:sz w:val="24"/>
          <w:szCs w:val="24"/>
        </w:rPr>
        <w:t xml:space="preserve">10-14 aprile 1974</w:t>
      </w:r>
      <w:r>
        <w:rPr>
          <w:rFonts w:ascii="Barlow Semi Condensed" w:cs="Barlow Semi Condensed" w:eastAsia="Barlow Semi Condensed" w:hAnsi="Barlow Semi Condensed"/>
          <w:sz w:val="24"/>
          <w:szCs w:val="24"/>
        </w:rPr>
        <w:t xml:space="preserve">», e riportata così.</w:t>
      </w:r>
    </w:p>
    <w:p>
      <w:pPr>
        <w:spacing w:after="120" w:line="276"/>
        <w:jc w:val="both"/>
      </w:pPr>
      <w:r>
        <w:rPr>
          <w:rFonts w:ascii="Barlow Semi Condensed" w:cs="Barlow Semi Condensed" w:eastAsia="Barlow Semi Condensed" w:hAnsi="Barlow Semi Condensed"/>
          <w:sz w:val="24"/>
          <w:szCs w:val="24"/>
        </w:rPr>
        <w:t xml:space="preserve">Sui </w:t>
      </w:r>
      <w:r>
        <w:rPr>
          <w:rFonts w:ascii="Barlow Semi Condensed" w:cs="Barlow Semi Condensed" w:eastAsia="Barlow Semi Condensed" w:hAnsi="Barlow Semi Condensed"/>
          <w:b/>
          <w:bCs/>
          <w:sz w:val="24"/>
          <w:szCs w:val="24"/>
        </w:rPr>
        <w:t xml:space="preserve">quarantotto Padri Bianchi</w:t>
      </w:r>
      <w:r>
        <w:rPr>
          <w:rFonts w:ascii="Barlow Semi Condensed" w:cs="Barlow Semi Condensed" w:eastAsia="Barlow Semi Condensed" w:hAnsi="Barlow Semi Condensed"/>
          <w:sz w:val="24"/>
          <w:szCs w:val="24"/>
        </w:rPr>
        <w:t xml:space="preserve">, il fatto è confermato nella sostanza e nel mese, ma </w:t>
      </w:r>
      <w:r>
        <w:rPr>
          <w:rFonts w:ascii="Barlow Semi Condensed" w:cs="Barlow Semi Condensed" w:eastAsia="Barlow Semi Condensed" w:hAnsi="Barlow Semi Condensed"/>
          <w:b/>
          <w:bCs/>
          <w:sz w:val="24"/>
          <w:szCs w:val="24"/>
        </w:rPr>
        <w:t xml:space="preserve">la cifra poggia su una sola fonte</w:t>
      </w:r>
      <w:r>
        <w:rPr>
          <w:rFonts w:ascii="Barlow Semi Condensed" w:cs="Barlow Semi Condensed" w:eastAsia="Barlow Semi Condensed" w:hAnsi="Barlow Semi Condensed"/>
          <w:sz w:val="24"/>
          <w:szCs w:val="24"/>
        </w:rPr>
        <w:t xml:space="preserve"> — una voce enciclopedica cattolica — e </w:t>
      </w:r>
      <w:r>
        <w:rPr>
          <w:rFonts w:ascii="Barlow Semi Condensed" w:cs="Barlow Semi Condensed" w:eastAsia="Barlow Semi Condensed" w:hAnsi="Barlow Semi Condensed"/>
          <w:b/>
          <w:bCs/>
          <w:sz w:val="24"/>
          <w:szCs w:val="24"/>
        </w:rPr>
        <w:t xml:space="preserve">diverge da quella della congregazione stessa</w:t>
      </w:r>
      <w:r>
        <w:rPr>
          <w:rFonts w:ascii="Barlow Semi Condensed" w:cs="Barlow Semi Condensed" w:eastAsia="Barlow Semi Condensed" w:hAnsi="Barlow Semi Condensed"/>
          <w:sz w:val="24"/>
          <w:szCs w:val="24"/>
        </w:rPr>
        <w:t xml:space="preserve">. Il numero va dunque citato con la sua fonte e non come dato acquisito: è esattamente il genere di cifra che, ripetuta senza attribuzione, diventa un fatto senza esserlo.</w:t>
      </w:r>
    </w:p>
    <w:p>
      <w:pPr>
        <w:pStyle w:val="Heading3"/>
        <w:spacing w:after="80" w:before="160"/>
      </w:pPr>
      <w:r>
        <w:rPr>
          <w:rFonts w:ascii="Barlow Semi Condensed" w:cs="Barlow Semi Condensed" w:eastAsia="Barlow Semi Condensed" w:hAnsi="Barlow Semi Condensed"/>
          <w:sz w:val="24"/>
          <w:szCs w:val="24"/>
        </w:rPr>
        <w:t xml:space="preserve">F-4 · Il versante spagnolo</w:t>
      </w:r>
    </w:p>
    <w:p>
      <w:pPr>
        <w:spacing w:after="120" w:line="276"/>
        <w:jc w:val="both"/>
      </w:pPr>
      <w:r>
        <w:rPr>
          <w:rFonts w:ascii="Barlow Semi Condensed" w:cs="Barlow Semi Condensed" w:eastAsia="Barlow Semi Condensed" w:hAnsi="Barlow Semi Condensed"/>
          <w:sz w:val="24"/>
          <w:szCs w:val="24"/>
        </w:rPr>
        <w:t xml:space="preserve">È la campagna con l'esito più netto: </w:t>
      </w:r>
      <w:r>
        <w:rPr>
          <w:rFonts w:ascii="Barlow Semi Condensed" w:cs="Barlow Semi Condensed" w:eastAsia="Barlow Semi Condensed" w:hAnsi="Barlow Semi Condensed"/>
          <w:b/>
          <w:bCs/>
          <w:sz w:val="24"/>
          <w:szCs w:val="24"/>
        </w:rPr>
        <w:t xml:space="preserve">tutti e cinque i fatti sottoposti a verifica risultano confermati</w:t>
      </w:r>
      <w:r>
        <w:rPr>
          <w:rFonts w:ascii="Barlow Semi Condensed" w:cs="Barlow Semi Condensed" w:eastAsia="Barlow Semi Condensed" w:hAnsi="Barlow Semi Condensed"/>
          <w:sz w:val="24"/>
          <w:szCs w:val="24"/>
        </w:rPr>
        <w:t xml:space="preserve">.</w:t>
      </w:r>
    </w:p>
    <w:p>
      <w:pPr>
        <w:spacing w:after="120" w:line="276"/>
        <w:jc w:val="both"/>
      </w:pPr>
      <w:r>
        <w:rPr>
          <w:rFonts w:ascii="Barlow Semi Condensed" w:cs="Barlow Semi Condensed" w:eastAsia="Barlow Semi Condensed" w:hAnsi="Barlow Semi Condensed"/>
          <w:b/>
          <w:bCs/>
          <w:sz w:val="24"/>
          <w:szCs w:val="24"/>
        </w:rPr>
        <w:t xml:space="preserve">Il documento CIA esiste, col protocollo indicato.</w:t>
      </w:r>
      <w:r>
        <w:rPr>
          <w:rFonts w:ascii="Barlow Semi Condensed" w:cs="Barlow Semi Condensed" w:eastAsia="Barlow Semi Condensed" w:hAnsi="Barlow Semi Condensed"/>
          <w:sz w:val="24"/>
          <w:szCs w:val="24"/>
        </w:rPr>
        <w:t xml:space="preserve"> La verifica lo reperisce nella sala di lettura FOIA dell'agenzia col medesimo identificativo, il medesimo titolo e la medesima data del 22 maggio 1970, e ne conferma il contenuto, aggiungendo due dati che la ricognizione non portava: la stima secondo cui </w:t>
      </w:r>
      <w:r>
        <w:rPr>
          <w:rFonts w:ascii="Barlow Semi Condensed" w:cs="Barlow Semi Condensed" w:eastAsia="Barlow Semi Condensed" w:hAnsi="Barlow Semi Condensed"/>
          <w:b/>
          <w:bCs/>
          <w:sz w:val="24"/>
          <w:szCs w:val="24"/>
        </w:rPr>
        <w:t xml:space="preserve">almeno dieci dei diciannove ministri</w:t>
      </w:r>
      <w:r>
        <w:rPr>
          <w:rFonts w:ascii="Barlow Semi Condensed" w:cs="Barlow Semi Condensed" w:eastAsia="Barlow Semi Condensed" w:hAnsi="Barlow Semi Condensed"/>
          <w:sz w:val="24"/>
          <w:szCs w:val="24"/>
        </w:rPr>
        <w:t xml:space="preserve"> del rimpasto dell'ottobre 1969 rientravano nella descrizione, e i portafogli assegnati ai «tecnocrati» (finanze, commercio, industria, edilizia, informazione e turismo). L'accertamento chiude la questione dell'autenticità e del protocollo — che era il punto più delicato dell'intera campagna — e </w:t>
      </w:r>
      <w:r>
        <w:rPr>
          <w:rFonts w:ascii="Barlow Semi Condensed" w:cs="Barlow Semi Condensed" w:eastAsia="Barlow Semi Condensed" w:hAnsi="Barlow Semi Condensed"/>
          <w:b/>
          <w:bCs/>
          <w:sz w:val="24"/>
          <w:szCs w:val="24"/>
        </w:rPr>
        <w:t xml:space="preserve">lascia intatta la regola di lettura</w:t>
      </w:r>
      <w:r>
        <w:rPr>
          <w:rFonts w:ascii="Barlow Semi Condensed" w:cs="Barlow Semi Condensed" w:eastAsia="Barlow Semi Condensed" w:hAnsi="Barlow Semi Condensed"/>
          <w:sz w:val="24"/>
          <w:szCs w:val="24"/>
        </w:rPr>
        <w:t xml:space="preserve">, che non dipende dalla verifica: la frase sul funzionario italiano resta anonima e non è attribuibile a Moro, e l'appartenenza dei ministri a un ente resta fatto pubblico e non prova di condotta dell'ente.</w:t>
      </w:r>
    </w:p>
    <w:p>
      <w:pPr>
        <w:spacing w:after="120" w:line="276"/>
        <w:jc w:val="both"/>
      </w:pPr>
      <w:r>
        <w:rPr>
          <w:rFonts w:ascii="Barlow Semi Condensed" w:cs="Barlow Semi Condensed" w:eastAsia="Barlow Semi Condensed" w:hAnsi="Barlow Semi Condensed"/>
          <w:b/>
          <w:bCs/>
          <w:sz w:val="24"/>
          <w:szCs w:val="24"/>
        </w:rPr>
        <w:t xml:space="preserve">Confermato</w:t>
      </w:r>
      <w:r>
        <w:rPr>
          <w:rFonts w:ascii="Barlow Semi Condensed" w:cs="Barlow Semi Condensed" w:eastAsia="Barlow Semi Condensed" w:hAnsi="Barlow Semi Condensed"/>
          <w:sz w:val="24"/>
          <w:szCs w:val="24"/>
        </w:rPr>
        <w:t xml:space="preserve"> l'accordo preferenziale </w:t>
      </w:r>
      <w:r>
        <w:rPr>
          <w:rFonts w:ascii="Barlow Semi Condensed" w:cs="Barlow Semi Condensed" w:eastAsia="Barlow Semi Condensed" w:hAnsi="Barlow Semi Condensed"/>
          <w:b/>
          <w:bCs/>
          <w:sz w:val="24"/>
          <w:szCs w:val="24"/>
        </w:rPr>
        <w:t xml:space="preserve">CEE-Spagna del 29 giugno 1970</w:t>
      </w:r>
      <w:r>
        <w:rPr>
          <w:rFonts w:ascii="Barlow Semi Condensed" w:cs="Barlow Semi Condensed" w:eastAsia="Barlow Semi Condensed" w:hAnsi="Barlow Semi Condensed"/>
          <w:sz w:val="24"/>
          <w:szCs w:val="24"/>
        </w:rPr>
        <w:t xml:space="preserve">, su fonte primaria (il testo in EUR-Lex e lo strumento di ratifica spagnolo), con la precisazione che il firmatario belga sottoscrisse </w:t>
      </w:r>
      <w:r>
        <w:rPr>
          <w:rFonts w:ascii="Barlow Semi Condensed" w:cs="Barlow Semi Condensed" w:eastAsia="Barlow Semi Condensed" w:hAnsi="Barlow Semi Condensed"/>
          <w:b/>
          <w:bCs/>
          <w:sz w:val="24"/>
          <w:szCs w:val="24"/>
        </w:rPr>
        <w:t xml:space="preserve">in qualità di presidente di turno del Consiglio</w:t>
      </w:r>
      <w:r>
        <w:rPr>
          <w:rFonts w:ascii="Barlow Semi Condensed" w:cs="Barlow Semi Condensed" w:eastAsia="Barlow Semi Condensed" w:hAnsi="Barlow Semi Condensed"/>
          <w:sz w:val="24"/>
          <w:szCs w:val="24"/>
        </w:rPr>
        <w:t xml:space="preserve"> — l'Italia avrebbe tenuto quella presidenza nel semestre successivo, il che colloca correttamente la firma turca del 27 luglio 1971 già acquisita dal corpus.</w:t>
      </w:r>
    </w:p>
    <w:p>
      <w:pPr>
        <w:spacing w:after="120" w:line="276"/>
        <w:jc w:val="both"/>
      </w:pPr>
      <w:r>
        <w:rPr>
          <w:rFonts w:ascii="Barlow Semi Condensed" w:cs="Barlow Semi Condensed" w:eastAsia="Barlow Semi Condensed" w:hAnsi="Barlow Semi Condensed"/>
          <w:b/>
          <w:bCs/>
          <w:sz w:val="24"/>
          <w:szCs w:val="24"/>
        </w:rPr>
        <w:t xml:space="preserve">Confermate</w:t>
      </w:r>
      <w:r>
        <w:rPr>
          <w:rFonts w:ascii="Barlow Semi Condensed" w:cs="Barlow Semi Condensed" w:eastAsia="Barlow Semi Condensed" w:hAnsi="Barlow Semi Condensed"/>
          <w:sz w:val="24"/>
          <w:szCs w:val="24"/>
        </w:rPr>
        <w:t xml:space="preserve"> le </w:t>
      </w:r>
      <w:r>
        <w:rPr>
          <w:rFonts w:ascii="Barlow Semi Condensed" w:cs="Barlow Semi Condensed" w:eastAsia="Barlow Semi Condensed" w:hAnsi="Barlow Semi Condensed"/>
          <w:b/>
          <w:bCs/>
          <w:sz w:val="24"/>
          <w:szCs w:val="24"/>
        </w:rPr>
        <w:t xml:space="preserve">cinque esecuzioni del 27 settembre 1975</w:t>
      </w:r>
      <w:r>
        <w:rPr>
          <w:rFonts w:ascii="Barlow Semi Condensed" w:cs="Barlow Semi Condensed" w:eastAsia="Barlow Semi Condensed" w:hAnsi="Barlow Semi Condensed"/>
          <w:sz w:val="24"/>
          <w:szCs w:val="24"/>
        </w:rPr>
        <w:t xml:space="preserve">, ultime del franchismo, meno di due mesi prima della morte di Franco, con la precisazione di statuto che la disciplina impone e che si registra qui: le condanne furono pronunciate da </w:t>
      </w:r>
      <w:r>
        <w:rPr>
          <w:rFonts w:ascii="Barlow Semi Condensed" w:cs="Barlow Semi Condensed" w:eastAsia="Barlow Semi Condensed" w:hAnsi="Barlow Semi Condensed"/>
          <w:b/>
          <w:bCs/>
          <w:sz w:val="24"/>
          <w:szCs w:val="24"/>
        </w:rPr>
        <w:t xml:space="preserve">consigli di guerra sommari</w:t>
      </w:r>
      <w:r>
        <w:rPr>
          <w:rFonts w:ascii="Barlow Semi Condensed" w:cs="Barlow Semi Condensed" w:eastAsia="Barlow Semi Condensed" w:hAnsi="Barlow Semi Condensed"/>
          <w:sz w:val="24"/>
          <w:szCs w:val="24"/>
        </w:rPr>
        <w:t xml:space="preserve"> sotto un decreto-legge dell'agosto 1975, con procedure la cui denuncia fu allora e resta oggetto di rilievo — dato che va riportato quando si riprende l'episodio del richiamo degli ambasciatori.</w:t>
      </w:r>
    </w:p>
    <w:p>
      <w:pPr>
        <w:spacing w:after="120" w:line="276"/>
        <w:jc w:val="both"/>
      </w:pPr>
      <w:r>
        <w:rPr>
          <w:rFonts w:ascii="Barlow Semi Condensed" w:cs="Barlow Semi Condensed" w:eastAsia="Barlow Semi Condensed" w:hAnsi="Barlow Semi Condensed"/>
          <w:b/>
          <w:bCs/>
          <w:sz w:val="24"/>
          <w:szCs w:val="24"/>
        </w:rPr>
        <w:t xml:space="preserve">Confermate</w:t>
      </w:r>
      <w:r>
        <w:rPr>
          <w:rFonts w:ascii="Barlow Semi Condensed" w:cs="Barlow Semi Condensed" w:eastAsia="Barlow Semi Condensed" w:hAnsi="Barlow Semi Condensed"/>
          <w:sz w:val="24"/>
          <w:szCs w:val="24"/>
        </w:rPr>
        <w:t xml:space="preserve"> l'</w:t>
      </w:r>
      <w:r>
        <w:rPr>
          <w:rFonts w:ascii="Barlow Semi Condensed" w:cs="Barlow Semi Condensed" w:eastAsia="Barlow Semi Condensed" w:hAnsi="Barlow Semi Condensed"/>
          <w:b/>
          <w:bCs/>
          <w:sz w:val="24"/>
          <w:szCs w:val="24"/>
        </w:rPr>
        <w:t xml:space="preserve">udienza del 12 gennaio 1973</w:t>
      </w:r>
      <w:r>
        <w:rPr>
          <w:rFonts w:ascii="Barlow Semi Condensed" w:cs="Barlow Semi Condensed" w:eastAsia="Barlow Semi Condensed" w:hAnsi="Barlow Semi Condensed"/>
          <w:sz w:val="24"/>
          <w:szCs w:val="24"/>
        </w:rPr>
        <w:t xml:space="preserve"> — con una riserva esplicita sulla solidità della fonte, che è una conferenza edita da una fondazione e le ricostruzioni che ne derivano, </w:t>
      </w:r>
      <w:r>
        <w:rPr>
          <w:rFonts w:ascii="Barlow Semi Condensed" w:cs="Barlow Semi Condensed" w:eastAsia="Barlow Semi Condensed" w:hAnsi="Barlow Semi Condensed"/>
          <w:b/>
          <w:bCs/>
          <w:sz w:val="24"/>
          <w:szCs w:val="24"/>
        </w:rPr>
        <w:t xml:space="preserve">non un documento primario consultabile</w:t>
      </w:r>
      <w:r>
        <w:rPr>
          <w:rFonts w:ascii="Barlow Semi Condensed" w:cs="Barlow Semi Condensed" w:eastAsia="Barlow Semi Condensed" w:hAnsi="Barlow Semi Condensed"/>
          <w:sz w:val="24"/>
          <w:szCs w:val="24"/>
        </w:rPr>
        <w:t xml:space="preserve">: le fonti concordano sulla data, e la risposta pontificia giunse oltre sei mesi dopo, il 31 luglio 1973 — e la </w:t>
      </w:r>
      <w:r>
        <w:rPr>
          <w:rFonts w:ascii="Barlow Semi Condensed" w:cs="Barlow Semi Condensed" w:eastAsia="Barlow Semi Condensed" w:hAnsi="Barlow Semi Condensed"/>
          <w:b/>
          <w:bCs/>
          <w:sz w:val="24"/>
          <w:szCs w:val="24"/>
        </w:rPr>
        <w:t xml:space="preserve">cronologia dei ministri degli Esteri spagnoli</w:t>
      </w:r>
      <w:r>
        <w:rPr>
          <w:rFonts w:ascii="Barlow Semi Condensed" w:cs="Barlow Semi Condensed" w:eastAsia="Barlow Semi Condensed" w:hAnsi="Barlow Semi Condensed"/>
          <w:sz w:val="24"/>
          <w:szCs w:val="24"/>
        </w:rPr>
        <w:t xml:space="preserve">, precisata al giorno: dal 12 giugno 1973 al 4 gennaio 1974 il primo, dal 3-4 gennaio 1974 all'11 dicembre 1975 il secondo, ultimo del regime.</w:t>
      </w:r>
    </w:p>
    <w:p>
      <w:pPr>
        <w:spacing w:after="120" w:line="276"/>
        <w:jc w:val="both"/>
      </w:pPr>
      <w:r>
        <w:rPr>
          <w:rFonts w:ascii="Barlow Semi Condensed" w:cs="Barlow Semi Condensed" w:eastAsia="Barlow Semi Condensed" w:hAnsi="Barlow Semi Condensed"/>
          <w:b/>
          <w:bCs/>
          <w:sz w:val="24"/>
          <w:szCs w:val="24"/>
        </w:rPr>
        <w:t xml:space="preserve">Nessuna delle quattro campagne ha smentito un fatto portante.</w:t>
      </w:r>
      <w:r>
        <w:rPr>
          <w:rFonts w:ascii="Barlow Semi Condensed" w:cs="Barlow Semi Condensed" w:eastAsia="Barlow Semi Condensed" w:hAnsi="Barlow Semi Condensed"/>
          <w:sz w:val="24"/>
          <w:szCs w:val="24"/>
        </w:rPr>
        <w:t xml:space="preserve"> Hanno confermato ventidue asserzioni su ventisei, precisato le altre quattro, chiuso una divergenza che i documenti lasciavano aperta, aperta una divergenza nuova, e corretto due formulazioni tecniche. È l'esito che una verifica deve produrre: </w:t>
      </w:r>
      <w:r>
        <w:rPr>
          <w:rFonts w:ascii="Barlow Semi Condensed" w:cs="Barlow Semi Condensed" w:eastAsia="Barlow Semi Condensed" w:hAnsi="Barlow Semi Condensed"/>
          <w:b/>
          <w:bCs/>
          <w:sz w:val="24"/>
          <w:szCs w:val="24"/>
        </w:rPr>
        <w:t xml:space="preserve">non conferme di comodo, ma precisazioni che costringono a riscrivere</w:t>
      </w:r>
      <w:r>
        <w:rPr>
          <w:rFonts w:ascii="Barlow Semi Condensed" w:cs="Barlow Semi Condensed" w:eastAsia="Barlow Semi Condensed" w:hAnsi="Barlow Semi Condensed"/>
          <w:sz w:val="24"/>
          <w:szCs w:val="24"/>
        </w:rPr>
        <w:t xml:space="preserve">.</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IX. Riga di chiusura</w:t>
      </w:r>
    </w:p>
    <w:p>
      <w:pPr>
        <w:spacing w:after="120" w:line="276"/>
        <w:jc w:val="both"/>
      </w:pPr>
      <w:r>
        <w:rPr>
          <w:rFonts w:ascii="Barlow Semi Condensed" w:cs="Barlow Semi Condensed" w:eastAsia="Barlow Semi Condensed" w:hAnsi="Barlow Semi Condensed"/>
          <w:sz w:val="24"/>
          <w:szCs w:val="24"/>
        </w:rPr>
        <w:t xml:space="preserve">Documenti nuovi archiviati: tre. Letture incrociate: sei. Voci di triangolazione prodotte: settantanove. Acquisizioni nuove: diciotto. Correzioni: sei, di cui </w:t>
      </w:r>
      <w:r>
        <w:rPr>
          <w:rFonts w:ascii="Barlow Semi Condensed" w:cs="Barlow Semi Condensed" w:eastAsia="Barlow Semi Condensed" w:hAnsi="Barlow Semi Condensed"/>
          <w:b/>
          <w:bCs/>
          <w:sz w:val="24"/>
          <w:szCs w:val="24"/>
        </w:rPr>
        <w:t xml:space="preserve">due dal corpus verso i documenti nuovi</w:t>
      </w:r>
      <w:r>
        <w:rPr>
          <w:rFonts w:ascii="Barlow Semi Condensed" w:cs="Barlow Semi Condensed" w:eastAsia="Barlow Semi Condensed" w:hAnsi="Barlow Semi Condensed"/>
          <w:sz w:val="24"/>
          <w:szCs w:val="24"/>
        </w:rPr>
        <w:t xml:space="preserve"> e una prodotta dalla verifica. Divergenze lasciate aperte e dichiarate: otto, più un'omonimia da non confondere; una divergenza è stata </w:t>
      </w:r>
      <w:r>
        <w:rPr>
          <w:rFonts w:ascii="Barlow Semi Condensed" w:cs="Barlow Semi Condensed" w:eastAsia="Barlow Semi Condensed" w:hAnsi="Barlow Semi Condensed"/>
          <w:b/>
          <w:bCs/>
          <w:sz w:val="24"/>
          <w:szCs w:val="24"/>
        </w:rPr>
        <w:t xml:space="preserve">chiusa</w:t>
      </w:r>
      <w:r>
        <w:rPr>
          <w:rFonts w:ascii="Barlow Semi Condensed" w:cs="Barlow Semi Condensed" w:eastAsia="Barlow Semi Condensed" w:hAnsi="Barlow Semi Condensed"/>
          <w:sz w:val="24"/>
          <w:szCs w:val="24"/>
        </w:rPr>
        <w:t xml:space="preserve"> dalla verifica e una </w:t>
      </w:r>
      <w:r>
        <w:rPr>
          <w:rFonts w:ascii="Barlow Semi Condensed" w:cs="Barlow Semi Condensed" w:eastAsia="Barlow Semi Condensed" w:hAnsi="Barlow Semi Condensed"/>
          <w:b/>
          <w:bCs/>
          <w:sz w:val="24"/>
          <w:szCs w:val="24"/>
        </w:rPr>
        <w:t xml:space="preserve">aperta</w:t>
      </w:r>
      <w:r>
        <w:rPr>
          <w:rFonts w:ascii="Barlow Semi Condensed" w:cs="Barlow Semi Condensed" w:eastAsia="Barlow Semi Condensed" w:hAnsi="Barlow Semi Condensed"/>
          <w:sz w:val="24"/>
          <w:szCs w:val="24"/>
        </w:rPr>
        <w:t xml:space="preserve"> dalla verifica. Stati Zero condivisi: sei. Stati Zero chiusi per triangolazione interna: uno. Stati Zero scoperti dall'incrocio: uno. Limiti strutturali di ricerca dichiarati: uno. Stati Zero pubblici confermati e lasciati aperti: uno. Blocchi della quadriga riempiti di contenuto puntuale: quattordici. Correzioni imposte alla quadriga: tre. Giacimenti archivistici nuovi: sette. Bersagli nuovi: tre. Categorie proposte alla griglia dei gradi: una. Campagne di verifica condotte: </w:t>
      </w:r>
      <w:r>
        <w:rPr>
          <w:rFonts w:ascii="Barlow Semi Condensed" w:cs="Barlow Semi Condensed" w:eastAsia="Barlow Semi Condensed" w:hAnsi="Barlow Semi Condensed"/>
          <w:b/>
          <w:bCs/>
          <w:sz w:val="24"/>
          <w:szCs w:val="24"/>
        </w:rPr>
        <w:t xml:space="preserve">quattro su quattro</w:t>
      </w:r>
      <w:r>
        <w:rPr>
          <w:rFonts w:ascii="Barlow Semi Condensed" w:cs="Barlow Semi Condensed" w:eastAsia="Barlow Semi Condensed" w:hAnsi="Barlow Semi Condensed"/>
          <w:sz w:val="24"/>
          <w:szCs w:val="24"/>
        </w:rPr>
        <w:t xml:space="preserve">, per ventisei asserzioni sottoposte a riscontro: ventidue confermate, quattro precisate, </w:t>
      </w:r>
      <w:r>
        <w:rPr>
          <w:rFonts w:ascii="Barlow Semi Condensed" w:cs="Barlow Semi Condensed" w:eastAsia="Barlow Semi Condensed" w:hAnsi="Barlow Semi Condensed"/>
          <w:b/>
          <w:bCs/>
          <w:sz w:val="24"/>
          <w:szCs w:val="24"/>
        </w:rPr>
        <w:t xml:space="preserve">nessuna smentita</w:t>
      </w:r>
      <w:r>
        <w:rPr>
          <w:rFonts w:ascii="Barlow Semi Condensed" w:cs="Barlow Semi Condensed" w:eastAsia="Barlow Semi Condensed" w:hAnsi="Barlow Semi Condensed"/>
          <w:sz w:val="24"/>
          <w:szCs w:val="24"/>
        </w:rPr>
        <w:t xml:space="preserve">; due formulazioni tecniche corrette, una divergenza chiusa e una aperta dalla verifica stessa.</w:t>
      </w:r>
    </w:p>
    <w:p>
      <w:pPr>
        <w:spacing w:after="120" w:line="276"/>
        <w:jc w:val="both"/>
      </w:pPr>
      <w:r>
        <w:rPr>
          <w:rFonts w:ascii="Barlow Semi Condensed" w:cs="Barlow Semi Condensed" w:eastAsia="Barlow Semi Condensed" w:hAnsi="Barlow Semi Condensed"/>
          <w:i/>
          <w:iCs/>
          <w:sz w:val="24"/>
          <w:szCs w:val="24"/>
        </w:rPr>
        <w:t xml:space="preserve">La triangolazione conta documenti, date e sedi d'archivio — mai colpe. Un incrocio produce acquisizioni e lacune dichiarate, non responsabili.</w:t>
      </w:r>
    </w:p>
    <w:p>
      <w:pPr>
        <w:pStyle w:val="Heading3"/>
        <w:spacing w:after="80" w:before="240"/>
      </w:pPr>
      <w:r>
        <w:rPr>
          <w:rFonts w:ascii="Barlow Semi Condensed" w:cs="Barlow Semi Condensed" w:eastAsia="Barlow Semi Condensed" w:hAnsi="Barlow Semi Condensed"/>
          <w:sz w:val="24"/>
          <w:szCs w:val="24"/>
        </w:rPr>
        <w:t xml:space="preserve">Apparato grafico — Libro dodicesimo · La triangolazione della seconda campagna</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4"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Libro dodicesimo XI: 5.808 parole in 9 sezioni; la più ampia è §9 Altre sezioni, con 1.823.</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5"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Libro dodicesimo XI: 78 paragrafi in 9 sezioni, 9 in media per sezione.</w:t>
      </w:r>
    </w:p>
    <w:p>
      <w:pPr>
        <w:spacing w:after="120"/>
        <w:jc w:val="center"/>
      </w:pPr>
      <w:r>
        <w:rPr>
          <w:rFonts w:ascii="Barlow Semi Condensed" w:cs="Barlow Semi Condensed" w:eastAsia="Barlow Semi Condensed" w:hAnsi="Barlow Semi Condensed"/>
          <w:color w:val="777777"/>
          <w:sz w:val="16"/>
          <w:szCs w:val="16"/>
        </w:rPr>
        <w:t xml:space="preserve">Le metriche dell'apparato contano parole, documenti e atti — mai colpe.</w:t>
      </w:r>
    </w:p>
    <w:p>
      <w:r>
        <w:br w:type="page"/>
      </w:r>
    </w:p>
    <w:p>
      <w:pPr>
        <w:pStyle w:val="Heading1"/>
        <w:spacing w:after="120" w:before="240"/>
      </w:pPr>
      <w:r>
        <w:rPr>
          <w:rFonts w:ascii="Barlow Semi Condensed" w:cs="Barlow Semi Condensed" w:eastAsia="Barlow Semi Condensed" w:hAnsi="Barlow Semi Condensed"/>
          <w:sz w:val="24"/>
          <w:szCs w:val="24"/>
        </w:rPr>
        <w:t xml:space="preserve">Libro dodicesimo — La dimensione diplomatica — XII. I documenti del Dipartimento di Stato</w:t>
      </w:r>
    </w:p>
    <w:p>
      <w:pPr>
        <w:pStyle w:val="Heading1"/>
        <w:spacing w:after="120" w:before="240"/>
      </w:pPr>
      <w:r>
        <w:rPr>
          <w:rFonts w:ascii="Barlow Semi Condensed" w:cs="Barlow Semi Condensed" w:eastAsia="Barlow Semi Condensed" w:hAnsi="Barlow Semi Condensed"/>
          <w:sz w:val="24"/>
          <w:szCs w:val="24"/>
        </w:rPr>
        <w:t xml:space="preserve">Documenti del Dipartimento di Stato USA su Aldo Moro (1965 e 1978)</w:t>
      </w:r>
    </w:p>
    <w:p>
      <w:pPr>
        <w:pBdr>
          <w:left w:val="single" w:color="1F3864" w:sz="18" w:space="8"/>
        </w:pBdr>
        <w:spacing w:after="80" w:before="80"/>
        <w:ind w:left="360" w:right="360"/>
        <w:jc w:val="both"/>
      </w:pPr>
      <w:r>
        <w:rPr>
          <w:rFonts w:ascii="Barlow Semi Condensed" w:cs="Barlow Semi Condensed" w:eastAsia="Barlow Semi Condensed" w:hAnsi="Barlow Semi Condensed"/>
          <w:b/>
          <w:bCs/>
          <w:i w:val="false"/>
          <w:iCs w:val="false"/>
          <w:sz w:val="24"/>
          <w:szCs w:val="24"/>
        </w:rPr>
        <w:t xml:space="preserve">Nota sulla fonte.</w:t>
      </w:r>
      <w:r>
        <w:rPr>
          <w:rFonts w:ascii="Barlow Semi Condensed" w:cs="Barlow Semi Condensed" w:eastAsia="Barlow Semi Condensed" w:hAnsi="Barlow Semi Condensed"/>
          <w:i w:val="false"/>
          <w:iCs w:val="false"/>
          <w:sz w:val="24"/>
          <w:szCs w:val="24"/>
        </w:rPr>
        <w:t xml:space="preserve"> Questa è una trascrizione ripulita e ordinata dell'OCR grezzo di un lotto di documenti desecretati del Dipartimento di Stato statunitense (file originale </w:t>
      </w:r>
      <w:r>
        <w:rPr>
          <w:rFonts w:ascii="Barlow Semi Condensed" w:cs="Barlow Semi Condensed" w:eastAsia="Barlow Semi Condensed" w:hAnsi="Barlow Semi Condensed"/>
          <w:i w:val="false"/>
          <w:iCs w:val="false"/>
          <w:sz w:val="24"/>
          <w:szCs w:val="24"/>
        </w:rPr>
        <w:t xml:space="preserve">originali/state-dept-djvu-ocr-grezzo.txt</w:t>
      </w:r>
      <w:r>
        <w:rPr>
          <w:rFonts w:ascii="Barlow Semi Condensed" w:cs="Barlow Semi Condensed" w:eastAsia="Barlow Semi Condensed" w:hAnsi="Barlow Semi Condensed"/>
          <w:i w:val="false"/>
          <w:iCs w:val="false"/>
          <w:sz w:val="24"/>
          <w:szCs w:val="24"/>
        </w:rPr>
        <w:t xml:space="preserve">, catena di custodia nel </w:t>
      </w:r>
      <w:r>
        <w:rPr>
          <w:rFonts w:ascii="Barlow Semi Condensed" w:cs="Barlow Semi Condensed" w:eastAsia="Barlow Semi Condensed" w:hAnsi="Barlow Semi Condensed"/>
          <w:i w:val="false"/>
          <w:iCs w:val="false"/>
          <w:sz w:val="24"/>
          <w:szCs w:val="24"/>
        </w:rPr>
        <w:t xml:space="preserve">manifest-sha256.txt</w:t>
      </w:r>
      <w:r>
        <w:rPr>
          <w:rFonts w:ascii="Barlow Semi Condensed" w:cs="Barlow Semi Condensed" w:eastAsia="Barlow Semi Condensed" w:hAnsi="Barlow Semi Condensed"/>
          <w:i w:val="false"/>
          <w:iCs w:val="false"/>
          <w:sz w:val="24"/>
          <w:szCs w:val="24"/>
        </w:rPr>
        <w:t xml:space="preserve">). L'OCR di partenza è di qualità disuguale: dove il testo materiale è dubbio lo si segnala con </w:t>
      </w:r>
      <w:r>
        <w:rPr>
          <w:rFonts w:ascii="Barlow Semi Condensed" w:cs="Barlow Semi Condensed" w:eastAsia="Barlow Semi Condensed" w:hAnsi="Barlow Semi Condensed"/>
          <w:i w:val="false"/>
          <w:iCs w:val="false"/>
          <w:sz w:val="24"/>
          <w:szCs w:val="24"/>
        </w:rPr>
        <w:t xml:space="preserve">[…]</w:t>
      </w:r>
      <w:r>
        <w:rPr>
          <w:rFonts w:ascii="Barlow Semi Condensed" w:cs="Barlow Semi Condensed" w:eastAsia="Barlow Semi Condensed" w:hAnsi="Barlow Semi Condensed"/>
          <w:i w:val="false"/>
          <w:iCs w:val="false"/>
          <w:sz w:val="24"/>
          <w:szCs w:val="24"/>
        </w:rPr>
        <w:t xml:space="preserve"> o con una nota. I documenti si dispongono in due strati cronologici nettamente distinti — la </w:t>
      </w:r>
      <w:r>
        <w:rPr>
          <w:rFonts w:ascii="Barlow Semi Condensed" w:cs="Barlow Semi Condensed" w:eastAsia="Barlow Semi Condensed" w:hAnsi="Barlow Semi Condensed"/>
          <w:b/>
          <w:bCs/>
          <w:i w:val="false"/>
          <w:iCs w:val="false"/>
          <w:sz w:val="24"/>
          <w:szCs w:val="24"/>
        </w:rPr>
        <w:t xml:space="preserve">visita ufficiale del 1965</w:t>
      </w:r>
      <w:r>
        <w:rPr>
          <w:rFonts w:ascii="Barlow Semi Condensed" w:cs="Barlow Semi Condensed" w:eastAsia="Barlow Semi Condensed" w:hAnsi="Barlow Semi Condensed"/>
          <w:i w:val="false"/>
          <w:iCs w:val="false"/>
          <w:sz w:val="24"/>
          <w:szCs w:val="24"/>
        </w:rPr>
        <w:t xml:space="preserve"> e i </w:t>
      </w:r>
      <w:r>
        <w:rPr>
          <w:rFonts w:ascii="Barlow Semi Condensed" w:cs="Barlow Semi Condensed" w:eastAsia="Barlow Semi Condensed" w:hAnsi="Barlow Semi Condensed"/>
          <w:b/>
          <w:bCs/>
          <w:i w:val="false"/>
          <w:iCs w:val="false"/>
          <w:sz w:val="24"/>
          <w:szCs w:val="24"/>
        </w:rPr>
        <w:t xml:space="preserve">cablogrammi del 1978</w:t>
      </w:r>
      <w:r>
        <w:rPr>
          <w:rFonts w:ascii="Barlow Semi Condensed" w:cs="Barlow Semi Condensed" w:eastAsia="Barlow Semi Condensed" w:hAnsi="Barlow Semi Condensed"/>
          <w:i w:val="false"/>
          <w:iCs w:val="false"/>
          <w:sz w:val="24"/>
          <w:szCs w:val="24"/>
        </w:rPr>
        <w:t xml:space="preserve"> sul sequestro e sull'assassinio — che qui si tengono separati. Ogni voce riporta, ove leggibile, il numero di documento di declassificazione (</w:t>
      </w:r>
      <w:r>
        <w:rPr>
          <w:rFonts w:ascii="Barlow Semi Condensed" w:cs="Barlow Semi Condensed" w:eastAsia="Barlow Semi Condensed" w:hAnsi="Barlow Semi Condensed"/>
          <w:i w:val="false"/>
          <w:iCs w:val="false"/>
          <w:sz w:val="24"/>
          <w:szCs w:val="24"/>
        </w:rPr>
        <w:t xml:space="preserve">B-000019399xx</w:t>
      </w:r>
      <w:r>
        <w:rPr>
          <w:rFonts w:ascii="Barlow Semi Condensed" w:cs="Barlow Semi Condensed" w:eastAsia="Barlow Semi Condensed" w:hAnsi="Barlow Semi Condensed"/>
          <w:i w:val="false"/>
          <w:iCs w:val="false"/>
          <w:sz w:val="24"/>
          <w:szCs w:val="24"/>
        </w:rPr>
        <w:t xml:space="preserve">), la sigla di classificazione originaria e la data. Nessun fatto è aggiunto oltre ciò che il documento attesta; le reazioni politiche riportate nei cablogrammi sono citazioni delle fonti locali quali il redattore statunitense le riferì, non giudizi di chi trascrive.</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Strato I — La visita ufficiale negli Stati Uniti (19–23 aprile 1965)</w:t>
      </w:r>
    </w:p>
    <w:p>
      <w:pPr>
        <w:spacing w:after="120" w:line="276"/>
        <w:jc w:val="both"/>
      </w:pPr>
      <w:r>
        <w:rPr>
          <w:rFonts w:ascii="Barlow Semi Condensed" w:cs="Barlow Semi Condensed" w:eastAsia="Barlow Semi Condensed" w:hAnsi="Barlow Semi Condensed"/>
          <w:sz w:val="24"/>
          <w:szCs w:val="24"/>
        </w:rPr>
        <w:t xml:space="preserve">Nel 1965 Aldo Moro non era ministro degli Esteri, bensì </w:t>
      </w:r>
      <w:r>
        <w:rPr>
          <w:rFonts w:ascii="Barlow Semi Condensed" w:cs="Barlow Semi Condensed" w:eastAsia="Barlow Semi Condensed" w:hAnsi="Barlow Semi Condensed"/>
          <w:b/>
          <w:bCs/>
          <w:sz w:val="24"/>
          <w:szCs w:val="24"/>
        </w:rPr>
        <w:t xml:space="preserve">Presidente del Consiglio dei ministri</w:t>
      </w:r>
      <w:r>
        <w:rPr>
          <w:rFonts w:ascii="Barlow Semi Condensed" w:cs="Barlow Semi Condensed" w:eastAsia="Barlow Semi Condensed" w:hAnsi="Barlow Semi Condensed"/>
          <w:sz w:val="24"/>
          <w:szCs w:val="24"/>
        </w:rPr>
        <w:t xml:space="preserve"> (I e II Governo Moro, 1963–1968); il titolare della Farnesina nella delegazione era </w:t>
      </w:r>
      <w:r>
        <w:rPr>
          <w:rFonts w:ascii="Barlow Semi Condensed" w:cs="Barlow Semi Condensed" w:eastAsia="Barlow Semi Condensed" w:hAnsi="Barlow Semi Condensed"/>
          <w:b/>
          <w:bCs/>
          <w:sz w:val="24"/>
          <w:szCs w:val="24"/>
        </w:rPr>
        <w:t xml:space="preserve">Amintore Fanfani</w:t>
      </w:r>
      <w:r>
        <w:rPr>
          <w:rFonts w:ascii="Barlow Semi Condensed" w:cs="Barlow Semi Condensed" w:eastAsia="Barlow Semi Condensed" w:hAnsi="Barlow Semi Condensed"/>
          <w:sz w:val="24"/>
          <w:szCs w:val="24"/>
        </w:rPr>
        <w:t xml:space="preserve">. La visita è dunque anteriore ai due mandati agli Esteri (1969–1974) di cui trattano gli altri documenti di questa cartella, e va qui come antefatto della statura internazionale dell'uomo, non come atto della sua politica estera da ministro. Il documento cardine è il comunicato stampa n. 76 del Dipartimento di Stato (16 aprile 1965), «Program for the official visit to the United States of America of His Excellency Aldo Moro, President of the Council of Ministers of the Republic of Italy — April 19–23, 1965».</w:t>
      </w:r>
    </w:p>
    <w:p>
      <w:pPr>
        <w:pStyle w:val="Heading3"/>
        <w:spacing w:after="80" w:before="160"/>
      </w:pPr>
      <w:r>
        <w:rPr>
          <w:rFonts w:ascii="Barlow Semi Condensed" w:cs="Barlow Semi Condensed" w:eastAsia="Barlow Semi Condensed" w:hAnsi="Barlow Semi Condensed"/>
          <w:sz w:val="24"/>
          <w:szCs w:val="24"/>
        </w:rPr>
        <w:t xml:space="preserve">La delegazione italiana</w:t>
      </w:r>
    </w:p>
    <w:p>
      <w:pPr>
        <w:spacing w:after="120" w:line="276"/>
        <w:jc w:val="both"/>
      </w:pPr>
      <w:r>
        <w:rPr>
          <w:rFonts w:ascii="Barlow Semi Condensed" w:cs="Barlow Semi Condensed" w:eastAsia="Barlow Semi Condensed" w:hAnsi="Barlow Semi Condensed"/>
          <w:sz w:val="24"/>
          <w:szCs w:val="24"/>
        </w:rPr>
        <w:t xml:space="preserve">Come da programma ufficiale (Members of the Party):</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Aldo Moro</w:t>
      </w:r>
      <w:r>
        <w:rPr>
          <w:rFonts w:ascii="Barlow Semi Condensed" w:cs="Barlow Semi Condensed" w:eastAsia="Barlow Semi Condensed" w:hAnsi="Barlow Semi Condensed"/>
          <w:sz w:val="24"/>
          <w:szCs w:val="24"/>
        </w:rPr>
        <w:t xml:space="preserve"> — Presidente del Consiglio dei ministri;</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Amintore Fanfani</w:t>
      </w:r>
      <w:r>
        <w:rPr>
          <w:rFonts w:ascii="Barlow Semi Condensed" w:cs="Barlow Semi Condensed" w:eastAsia="Barlow Semi Condensed" w:hAnsi="Barlow Semi Condensed"/>
          <w:sz w:val="24"/>
          <w:szCs w:val="24"/>
        </w:rPr>
        <w:t xml:space="preserve"> — Ministro degli Affari Esteri;</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Sergio Fenoaltea</w:t>
      </w:r>
      <w:r>
        <w:rPr>
          <w:rFonts w:ascii="Barlow Semi Condensed" w:cs="Barlow Semi Condensed" w:eastAsia="Barlow Semi Condensed" w:hAnsi="Barlow Semi Condensed"/>
          <w:sz w:val="24"/>
          <w:szCs w:val="24"/>
        </w:rPr>
        <w:t xml:space="preserve"> — Ambasciatore d'Italia negli Stati Uniti;</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Attilio Cattani</w:t>
      </w:r>
      <w:r>
        <w:rPr>
          <w:rFonts w:ascii="Barlow Semi Condensed" w:cs="Barlow Semi Condensed" w:eastAsia="Barlow Semi Condensed" w:hAnsi="Barlow Semi Condensed"/>
          <w:sz w:val="24"/>
          <w:szCs w:val="24"/>
        </w:rPr>
        <w:t xml:space="preserve"> — Ambasciatore, Segretario Generale del Ministero degli Affari Esteri;</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Egidio Ortona</w:t>
      </w:r>
      <w:r>
        <w:rPr>
          <w:rFonts w:ascii="Barlow Semi Condensed" w:cs="Barlow Semi Condensed" w:eastAsia="Barlow Semi Condensed" w:hAnsi="Barlow Semi Condensed"/>
          <w:sz w:val="24"/>
          <w:szCs w:val="24"/>
        </w:rPr>
        <w:t xml:space="preserve"> — Ambasciatore, Direttore Generale degli Affari Economici del Ministero;</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Gianfranco Pompei</w:t>
      </w:r>
      <w:r>
        <w:rPr>
          <w:rFonts w:ascii="Barlow Semi Condensed" w:cs="Barlow Semi Condensed" w:eastAsia="Barlow Semi Condensed" w:hAnsi="Barlow Semi Condensed"/>
          <w:sz w:val="24"/>
          <w:szCs w:val="24"/>
        </w:rPr>
        <w:t xml:space="preserve"> — Ministro plenipotenziario, Consigliere diplomatico del Presidente del Consiglio;</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Cataldo Cassano</w:t>
      </w:r>
      <w:r>
        <w:rPr>
          <w:rFonts w:ascii="Barlow Semi Condensed" w:cs="Barlow Semi Condensed" w:eastAsia="Barlow Semi Condensed" w:hAnsi="Barlow Semi Condensed"/>
          <w:sz w:val="24"/>
          <w:szCs w:val="24"/>
        </w:rPr>
        <w:t xml:space="preserve"> — Senatore della Repubblica;</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Sereno Freato</w:t>
      </w:r>
      <w:r>
        <w:rPr>
          <w:rFonts w:ascii="Barlow Semi Condensed" w:cs="Barlow Semi Condensed" w:eastAsia="Barlow Semi Condensed" w:hAnsi="Barlow Semi Condensed"/>
          <w:sz w:val="24"/>
          <w:szCs w:val="24"/>
        </w:rPr>
        <w:t xml:space="preserve"> — Consigliere, Ufficio del Presidente del Consiglio;</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Corrado Guerzoni</w:t>
      </w:r>
      <w:r>
        <w:rPr>
          <w:rFonts w:ascii="Barlow Semi Condensed" w:cs="Barlow Semi Condensed" w:eastAsia="Barlow Semi Condensed" w:hAnsi="Barlow Semi Condensed"/>
          <w:sz w:val="24"/>
          <w:szCs w:val="24"/>
        </w:rPr>
        <w:t xml:space="preserve"> — Capo dell'Ufficio Stampa del Presidente del Consiglio;</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Felice Marchioni</w:t>
      </w:r>
      <w:r>
        <w:rPr>
          <w:rFonts w:ascii="Barlow Semi Condensed" w:cs="Barlow Semi Condensed" w:eastAsia="Barlow Semi Condensed" w:hAnsi="Barlow Semi Condensed"/>
          <w:sz w:val="24"/>
          <w:szCs w:val="24"/>
        </w:rPr>
        <w:t xml:space="preserve"> — Capo dell'Ufficio del Cerimoniale del Presidente del Consiglio;</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Luigi Cottafavi</w:t>
      </w:r>
      <w:r>
        <w:rPr>
          <w:rFonts w:ascii="Barlow Semi Condensed" w:cs="Barlow Semi Condensed" w:eastAsia="Barlow Semi Condensed" w:hAnsi="Barlow Semi Condensed"/>
          <w:sz w:val="24"/>
          <w:szCs w:val="24"/>
        </w:rPr>
        <w:t xml:space="preserve"> — Consigliere d'Ambasciata;</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Walter Gardini</w:t>
      </w:r>
      <w:r>
        <w:rPr>
          <w:rFonts w:ascii="Barlow Semi Condensed" w:cs="Barlow Semi Condensed" w:eastAsia="Barlow Semi Condensed" w:hAnsi="Barlow Semi Condensed"/>
          <w:sz w:val="24"/>
          <w:szCs w:val="24"/>
        </w:rPr>
        <w:t xml:space="preserve"> — Capo dell'Ufficio Stampa del Ministero degli Affari Esteri;</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Nicola Rana</w:t>
      </w:r>
      <w:r>
        <w:rPr>
          <w:rFonts w:ascii="Barlow Semi Condensed" w:cs="Barlow Semi Condensed" w:eastAsia="Barlow Semi Condensed" w:hAnsi="Barlow Semi Condensed"/>
          <w:sz w:val="24"/>
          <w:szCs w:val="24"/>
        </w:rPr>
        <w:t xml:space="preserve"> — Segretario particolare del Presidente del Consiglio.</w:t>
      </w:r>
    </w:p>
    <w:p>
      <w:pPr>
        <w:spacing w:after="120" w:line="276"/>
        <w:jc w:val="both"/>
      </w:pPr>
      <w:r>
        <w:rPr>
          <w:rFonts w:ascii="Barlow Semi Condensed" w:cs="Barlow Semi Condensed" w:eastAsia="Barlow Semi Condensed" w:hAnsi="Barlow Semi Condensed"/>
          <w:sz w:val="24"/>
          <w:szCs w:val="24"/>
        </w:rPr>
        <w:t xml:space="preserve">Per parte statunitense figurano nel programma il Capo del Cerimoniale </w:t>
      </w:r>
      <w:r>
        <w:rPr>
          <w:rFonts w:ascii="Barlow Semi Condensed" w:cs="Barlow Semi Condensed" w:eastAsia="Barlow Semi Condensed" w:hAnsi="Barlow Semi Condensed"/>
          <w:b/>
          <w:bCs/>
          <w:sz w:val="24"/>
          <w:szCs w:val="24"/>
        </w:rPr>
        <w:t xml:space="preserve">Lloyd N. Hand</w:t>
      </w:r>
      <w:r>
        <w:rPr>
          <w:rFonts w:ascii="Barlow Semi Condensed" w:cs="Barlow Semi Condensed" w:eastAsia="Barlow Semi Condensed" w:hAnsi="Barlow Semi Condensed"/>
          <w:sz w:val="24"/>
          <w:szCs w:val="24"/>
        </w:rPr>
        <w:t xml:space="preserve">, l'ambasciatore americano a Roma </w:t>
      </w:r>
      <w:r>
        <w:rPr>
          <w:rFonts w:ascii="Barlow Semi Condensed" w:cs="Barlow Semi Condensed" w:eastAsia="Barlow Semi Condensed" w:hAnsi="Barlow Semi Condensed"/>
          <w:b/>
          <w:bCs/>
          <w:sz w:val="24"/>
          <w:szCs w:val="24"/>
        </w:rPr>
        <w:t xml:space="preserve">G. Frederick Reinhardt</w:t>
      </w:r>
      <w:r>
        <w:rPr>
          <w:rFonts w:ascii="Barlow Semi Condensed" w:cs="Barlow Semi Condensed" w:eastAsia="Barlow Semi Condensed" w:hAnsi="Barlow Semi Condensed"/>
          <w:sz w:val="24"/>
          <w:szCs w:val="24"/>
        </w:rPr>
        <w:t xml:space="preserve">, il vice-capo del cerimoniale </w:t>
      </w:r>
      <w:r>
        <w:rPr>
          <w:rFonts w:ascii="Barlow Semi Condensed" w:cs="Barlow Semi Condensed" w:eastAsia="Barlow Semi Condensed" w:hAnsi="Barlow Semi Condensed"/>
          <w:b/>
          <w:bCs/>
          <w:sz w:val="24"/>
          <w:szCs w:val="24"/>
        </w:rPr>
        <w:t xml:space="preserve">Samuel L. King</w:t>
      </w:r>
      <w:r>
        <w:rPr>
          <w:rFonts w:ascii="Barlow Semi Condensed" w:cs="Barlow Semi Condensed" w:eastAsia="Barlow Semi Condensed" w:hAnsi="Barlow Semi Condensed"/>
          <w:sz w:val="24"/>
          <w:szCs w:val="24"/>
        </w:rPr>
        <w:t xml:space="preserve">, il </w:t>
      </w:r>
      <w:r>
        <w:rPr>
          <w:rFonts w:ascii="Barlow Semi Condensed" w:cs="Barlow Semi Condensed" w:eastAsia="Barlow Semi Condensed" w:hAnsi="Barlow Semi Condensed"/>
          <w:i/>
          <w:iCs/>
          <w:sz w:val="24"/>
          <w:szCs w:val="24"/>
        </w:rPr>
        <w:t xml:space="preserve">Security Officer</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b/>
          <w:bCs/>
          <w:sz w:val="24"/>
          <w:szCs w:val="24"/>
        </w:rPr>
        <w:t xml:space="preserve">Bert M. Bennington</w:t>
      </w:r>
      <w:r>
        <w:rPr>
          <w:rFonts w:ascii="Barlow Semi Condensed" w:cs="Barlow Semi Condensed" w:eastAsia="Barlow Semi Condensed" w:hAnsi="Barlow Semi Condensed"/>
          <w:sz w:val="24"/>
          <w:szCs w:val="24"/>
        </w:rPr>
        <w:t xml:space="preserve"> e il </w:t>
      </w:r>
      <w:r>
        <w:rPr>
          <w:rFonts w:ascii="Barlow Semi Condensed" w:cs="Barlow Semi Condensed" w:eastAsia="Barlow Semi Condensed" w:hAnsi="Barlow Semi Condensed"/>
          <w:i/>
          <w:iCs/>
          <w:sz w:val="24"/>
          <w:szCs w:val="24"/>
        </w:rPr>
        <w:t xml:space="preserve">Public Affairs and Press Officer</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b/>
          <w:bCs/>
          <w:sz w:val="24"/>
          <w:szCs w:val="24"/>
        </w:rPr>
        <w:t xml:space="preserve">Ivan E. Sinclair</w:t>
      </w:r>
      <w:r>
        <w:rPr>
          <w:rFonts w:ascii="Barlow Semi Condensed" w:cs="Barlow Semi Condensed" w:eastAsia="Barlow Semi Condensed" w:hAnsi="Barlow Semi Condensed"/>
          <w:sz w:val="24"/>
          <w:szCs w:val="24"/>
        </w:rPr>
        <w:t xml:space="preserve">.</w:t>
      </w:r>
    </w:p>
    <w:p>
      <w:pPr>
        <w:pStyle w:val="Heading3"/>
        <w:spacing w:after="80" w:before="160"/>
      </w:pPr>
      <w:r>
        <w:rPr>
          <w:rFonts w:ascii="Barlow Semi Condensed" w:cs="Barlow Semi Condensed" w:eastAsia="Barlow Semi Condensed" w:hAnsi="Barlow Semi Condensed"/>
          <w:sz w:val="24"/>
          <w:szCs w:val="24"/>
        </w:rPr>
        <w:t xml:space="preserve">Il programma, giorno per giorno</w:t>
      </w:r>
    </w:p>
    <w:p>
      <w:pPr>
        <w:spacing w:after="120" w:line="276"/>
        <w:jc w:val="both"/>
      </w:pPr>
      <w:r>
        <w:rPr>
          <w:rFonts w:ascii="Barlow Semi Condensed" w:cs="Barlow Semi Condensed" w:eastAsia="Barlow Semi Condensed" w:hAnsi="Barlow Semi Condensed"/>
          <w:b/>
          <w:bCs/>
          <w:sz w:val="24"/>
          <w:szCs w:val="24"/>
        </w:rPr>
        <w:t xml:space="preserve">Lunedì 19 aprile.</w:t>
      </w:r>
      <w:r>
        <w:rPr>
          <w:rFonts w:ascii="Barlow Semi Condensed" w:cs="Barlow Semi Condensed" w:eastAsia="Barlow Semi Condensed" w:hAnsi="Barlow Semi Condensed"/>
          <w:sz w:val="24"/>
          <w:szCs w:val="24"/>
        </w:rPr>
        <w:t xml:space="preserve"> Arrivo alle 13:40 (EST) all'aeroporto internazionale John F. Kennedy di New York con volo Alitalia 632; accoglienza del Capo del Cerimoniale degli Stati Uniti. Alle 14:45 ripartenza da JFK a bordo di un volo speciale dell'US Air Force verso Washington. Arrivo al MATS Terminal, Washington National Airport (16:00), quindi Blair House (16:30). Cena privata all'Ambasciata d'Italia.</w:t>
      </w:r>
    </w:p>
    <w:p>
      <w:pPr>
        <w:spacing w:after="120" w:line="276"/>
        <w:jc w:val="both"/>
      </w:pPr>
      <w:r>
        <w:rPr>
          <w:rFonts w:ascii="Barlow Semi Condensed" w:cs="Barlow Semi Condensed" w:eastAsia="Barlow Semi Condensed" w:hAnsi="Barlow Semi Condensed"/>
          <w:b/>
          <w:bCs/>
          <w:sz w:val="24"/>
          <w:szCs w:val="24"/>
        </w:rPr>
        <w:t xml:space="preserve">Martedì 20 aprile.</w:t>
      </w:r>
      <w:r>
        <w:rPr>
          <w:rFonts w:ascii="Barlow Semi Condensed" w:cs="Barlow Semi Condensed" w:eastAsia="Barlow Semi Condensed" w:hAnsi="Barlow Semi Condensed"/>
          <w:sz w:val="24"/>
          <w:szCs w:val="24"/>
        </w:rPr>
        <w:t xml:space="preserve"> Ricevimento alla </w:t>
      </w:r>
      <w:r>
        <w:rPr>
          <w:rFonts w:ascii="Barlow Semi Condensed" w:cs="Barlow Semi Condensed" w:eastAsia="Barlow Semi Condensed" w:hAnsi="Barlow Semi Condensed"/>
          <w:b/>
          <w:bCs/>
          <w:sz w:val="24"/>
          <w:szCs w:val="24"/>
        </w:rPr>
        <w:t xml:space="preserve">Casa Bianca</w:t>
      </w:r>
      <w:r>
        <w:rPr>
          <w:rFonts w:ascii="Barlow Semi Condensed" w:cs="Barlow Semi Condensed" w:eastAsia="Barlow Semi Condensed" w:hAnsi="Barlow Semi Condensed"/>
          <w:sz w:val="24"/>
          <w:szCs w:val="24"/>
        </w:rPr>
        <w:t xml:space="preserve">: alle 12:00 arrivo, accolto dal </w:t>
      </w:r>
      <w:r>
        <w:rPr>
          <w:rFonts w:ascii="Barlow Semi Condensed" w:cs="Barlow Semi Condensed" w:eastAsia="Barlow Semi Condensed" w:hAnsi="Barlow Semi Condensed"/>
          <w:b/>
          <w:bCs/>
          <w:sz w:val="24"/>
          <w:szCs w:val="24"/>
        </w:rPr>
        <w:t xml:space="preserve">Presidente Lyndon B. Johnson e dalla signora Johnson</w:t>
      </w:r>
      <w:r>
        <w:rPr>
          <w:rFonts w:ascii="Barlow Semi Condensed" w:cs="Barlow Semi Condensed" w:eastAsia="Barlow Semi Condensed" w:hAnsi="Barlow Semi Condensed"/>
          <w:sz w:val="24"/>
          <w:szCs w:val="24"/>
        </w:rPr>
        <w:t xml:space="preserve">, dal Segretario di Stato, dal generale </w:t>
      </w:r>
      <w:r>
        <w:rPr>
          <w:rFonts w:ascii="Barlow Semi Condensed" w:cs="Barlow Semi Condensed" w:eastAsia="Barlow Semi Condensed" w:hAnsi="Barlow Semi Condensed"/>
          <w:b/>
          <w:bCs/>
          <w:sz w:val="24"/>
          <w:szCs w:val="24"/>
        </w:rPr>
        <w:t xml:space="preserve">Harold K. Johnson</w:t>
      </w:r>
      <w:r>
        <w:rPr>
          <w:rFonts w:ascii="Barlow Semi Condensed" w:cs="Barlow Semi Condensed" w:eastAsia="Barlow Semi Condensed" w:hAnsi="Barlow Semi Condensed"/>
          <w:sz w:val="24"/>
          <w:szCs w:val="24"/>
        </w:rPr>
        <w:t xml:space="preserve"> (Presidente facente funzioni dei Capi di Stato Maggiore Riuniti), dal Decano del Corpo Diplomatico e da altre autorità, con </w:t>
      </w:r>
      <w:r>
        <w:rPr>
          <w:rFonts w:ascii="Barlow Semi Condensed" w:cs="Barlow Semi Condensed" w:eastAsia="Barlow Semi Condensed" w:hAnsi="Barlow Semi Condensed"/>
          <w:b/>
          <w:bCs/>
          <w:sz w:val="24"/>
          <w:szCs w:val="24"/>
        </w:rPr>
        <w:t xml:space="preserve">onori militari pieni</w:t>
      </w:r>
      <w:r>
        <w:rPr>
          <w:rFonts w:ascii="Barlow Semi Condensed" w:cs="Barlow Semi Condensed" w:eastAsia="Barlow Semi Condensed" w:hAnsi="Barlow Semi Condensed"/>
          <w:sz w:val="24"/>
          <w:szCs w:val="24"/>
        </w:rPr>
        <w:t xml:space="preserve">. Colloquio Moro–Johnson. Colazione offerta dal Segretario del Tesoro </w:t>
      </w:r>
      <w:r>
        <w:rPr>
          <w:rFonts w:ascii="Barlow Semi Condensed" w:cs="Barlow Semi Condensed" w:eastAsia="Barlow Semi Condensed" w:hAnsi="Barlow Semi Condensed"/>
          <w:b/>
          <w:bCs/>
          <w:sz w:val="24"/>
          <w:szCs w:val="24"/>
        </w:rPr>
        <w:t xml:space="preserve">Henry H. Fowler</w:t>
      </w:r>
      <w:r>
        <w:rPr>
          <w:rFonts w:ascii="Barlow Semi Condensed" w:cs="Barlow Semi Condensed" w:eastAsia="Barlow Semi Condensed" w:hAnsi="Barlow Semi Condensed"/>
          <w:sz w:val="24"/>
          <w:szCs w:val="24"/>
        </w:rPr>
        <w:t xml:space="preserve"> alla Decatur House. Incontro con il </w:t>
      </w:r>
      <w:r>
        <w:rPr>
          <w:rFonts w:ascii="Barlow Semi Condensed" w:cs="Barlow Semi Condensed" w:eastAsia="Barlow Semi Condensed" w:hAnsi="Barlow Semi Condensed"/>
          <w:b/>
          <w:bCs/>
          <w:sz w:val="24"/>
          <w:szCs w:val="24"/>
        </w:rPr>
        <w:t xml:space="preserve">Segretario di Stato Dean Rusk</w:t>
      </w:r>
      <w:r>
        <w:rPr>
          <w:rFonts w:ascii="Barlow Semi Condensed" w:cs="Barlow Semi Condensed" w:eastAsia="Barlow Semi Condensed" w:hAnsi="Barlow Semi Condensed"/>
          <w:sz w:val="24"/>
          <w:szCs w:val="24"/>
        </w:rPr>
        <w:t xml:space="preserve"> al Dipartimento di Stato. In serata (18:00) </w:t>
      </w:r>
      <w:r>
        <w:rPr>
          <w:rFonts w:ascii="Barlow Semi Condensed" w:cs="Barlow Semi Condensed" w:eastAsia="Barlow Semi Condensed" w:hAnsi="Barlow Semi Condensed"/>
          <w:b/>
          <w:bCs/>
          <w:sz w:val="24"/>
          <w:szCs w:val="24"/>
        </w:rPr>
        <w:t xml:space="preserve">pranzo di gala offerto dal Presidente Johnson</w:t>
      </w:r>
      <w:r>
        <w:rPr>
          <w:rFonts w:ascii="Barlow Semi Condensed" w:cs="Barlow Semi Condensed" w:eastAsia="Barlow Semi Condensed" w:hAnsi="Barlow Semi Condensed"/>
          <w:sz w:val="24"/>
          <w:szCs w:val="24"/>
        </w:rPr>
        <w:t xml:space="preserve"> alla Casa Bianca in onore del Presidente del Consiglio italiano (dress: black tie).</w:t>
      </w:r>
    </w:p>
    <w:p>
      <w:pPr>
        <w:spacing w:after="120" w:line="276"/>
        <w:jc w:val="both"/>
      </w:pPr>
      <w:r>
        <w:rPr>
          <w:rFonts w:ascii="Barlow Semi Condensed" w:cs="Barlow Semi Condensed" w:eastAsia="Barlow Semi Condensed" w:hAnsi="Barlow Semi Condensed"/>
          <w:b/>
          <w:bCs/>
          <w:sz w:val="24"/>
          <w:szCs w:val="24"/>
        </w:rPr>
        <w:t xml:space="preserve">Mercoledì 21 aprile.</w:t>
      </w:r>
      <w:r>
        <w:rPr>
          <w:rFonts w:ascii="Barlow Semi Condensed" w:cs="Barlow Semi Condensed" w:eastAsia="Barlow Semi Condensed" w:hAnsi="Barlow Semi Condensed"/>
          <w:sz w:val="24"/>
          <w:szCs w:val="24"/>
        </w:rPr>
        <w:t xml:space="preserve"> Visita all'</w:t>
      </w:r>
      <w:r>
        <w:rPr>
          <w:rFonts w:ascii="Barlow Semi Condensed" w:cs="Barlow Semi Condensed" w:eastAsia="Barlow Semi Condensed" w:hAnsi="Barlow Semi Condensed"/>
          <w:b/>
          <w:bCs/>
          <w:sz w:val="24"/>
          <w:szCs w:val="24"/>
        </w:rPr>
        <w:t xml:space="preserve">Arlington National Cemetery</w:t>
      </w:r>
      <w:r>
        <w:rPr>
          <w:rFonts w:ascii="Barlow Semi Condensed" w:cs="Barlow Semi Condensed" w:eastAsia="Barlow Semi Condensed" w:hAnsi="Barlow Semi Condensed"/>
          <w:sz w:val="24"/>
          <w:szCs w:val="24"/>
        </w:rPr>
        <w:t xml:space="preserve">, con deposizione di corone alla Tomba del Milite Ignoto e sulla </w:t>
      </w:r>
      <w:r>
        <w:rPr>
          <w:rFonts w:ascii="Barlow Semi Condensed" w:cs="Barlow Semi Condensed" w:eastAsia="Barlow Semi Condensed" w:hAnsi="Barlow Semi Condensed"/>
          <w:b/>
          <w:bCs/>
          <w:sz w:val="24"/>
          <w:szCs w:val="24"/>
        </w:rPr>
        <w:t xml:space="preserve">tomba del defunto Presidente John F. Kennedy</w:t>
      </w:r>
      <w:r>
        <w:rPr>
          <w:rFonts w:ascii="Barlow Semi Condensed" w:cs="Barlow Semi Condensed" w:eastAsia="Barlow Semi Condensed" w:hAnsi="Barlow Semi Condensed"/>
          <w:sz w:val="24"/>
          <w:szCs w:val="24"/>
        </w:rPr>
        <w:t xml:space="preserve">. Visita a </w:t>
      </w:r>
      <w:r>
        <w:rPr>
          <w:rFonts w:ascii="Barlow Semi Condensed" w:cs="Barlow Semi Condensed" w:eastAsia="Barlow Semi Condensed" w:hAnsi="Barlow Semi Condensed"/>
          <w:b/>
          <w:bCs/>
          <w:sz w:val="24"/>
          <w:szCs w:val="24"/>
        </w:rPr>
        <w:t xml:space="preserve">Mount Vernon</w:t>
      </w:r>
      <w:r>
        <w:rPr>
          <w:rFonts w:ascii="Barlow Semi Condensed" w:cs="Barlow Semi Condensed" w:eastAsia="Barlow Semi Condensed" w:hAnsi="Barlow Semi Condensed"/>
          <w:sz w:val="24"/>
          <w:szCs w:val="24"/>
        </w:rPr>
        <w:t xml:space="preserve">, corona alla tomba di George Washington e visita alla dimora. Incontro con il Segretario alla Difesa </w:t>
      </w:r>
      <w:r>
        <w:rPr>
          <w:rFonts w:ascii="Barlow Semi Condensed" w:cs="Barlow Semi Condensed" w:eastAsia="Barlow Semi Condensed" w:hAnsi="Barlow Semi Condensed"/>
          <w:b/>
          <w:bCs/>
          <w:sz w:val="24"/>
          <w:szCs w:val="24"/>
        </w:rPr>
        <w:t xml:space="preserve">Robert S. McNamara</w:t>
      </w:r>
      <w:r>
        <w:rPr>
          <w:rFonts w:ascii="Barlow Semi Condensed" w:cs="Barlow Semi Condensed" w:eastAsia="Barlow Semi Condensed" w:hAnsi="Barlow Semi Condensed"/>
          <w:sz w:val="24"/>
          <w:szCs w:val="24"/>
        </w:rPr>
        <w:t xml:space="preserve"> a Blair House. Colazione offerta dal Segretario di Stato e dalla signora Rusk nella Benjamin Franklin Room del Dipartimento di Stato. Nuovo colloquio Moro–Johnson alla Casa Bianca (17:00), con </w:t>
      </w:r>
      <w:r>
        <w:rPr>
          <w:rFonts w:ascii="Barlow Semi Condensed" w:cs="Barlow Semi Condensed" w:eastAsia="Barlow Semi Condensed" w:hAnsi="Barlow Semi Condensed"/>
          <w:b/>
          <w:bCs/>
          <w:sz w:val="24"/>
          <w:szCs w:val="24"/>
        </w:rPr>
        <w:t xml:space="preserve">emissione di un comunicato congiunto</w:t>
      </w:r>
      <w:r>
        <w:rPr>
          <w:rFonts w:ascii="Barlow Semi Condensed" w:cs="Barlow Semi Condensed" w:eastAsia="Barlow Semi Condensed" w:hAnsi="Barlow Semi Condensed"/>
          <w:sz w:val="24"/>
          <w:szCs w:val="24"/>
        </w:rPr>
        <w:t xml:space="preserve">. In serata ricevimento offerto da Moro all'Ambasciata d'Italia (2700 Sixteenth Street NW) in onore dei coniugi Johnson.</w:t>
      </w:r>
    </w:p>
    <w:p>
      <w:pPr>
        <w:spacing w:after="120" w:line="276"/>
        <w:jc w:val="both"/>
      </w:pPr>
      <w:r>
        <w:rPr>
          <w:rFonts w:ascii="Barlow Semi Condensed" w:cs="Barlow Semi Condensed" w:eastAsia="Barlow Semi Condensed" w:hAnsi="Barlow Semi Condensed"/>
          <w:b/>
          <w:bCs/>
          <w:sz w:val="24"/>
          <w:szCs w:val="24"/>
        </w:rPr>
        <w:t xml:space="preserve">Giovedì 22 aprile.</w:t>
      </w:r>
      <w:r>
        <w:rPr>
          <w:rFonts w:ascii="Barlow Semi Condensed" w:cs="Barlow Semi Condensed" w:eastAsia="Barlow Semi Condensed" w:hAnsi="Barlow Semi Condensed"/>
          <w:sz w:val="24"/>
          <w:szCs w:val="24"/>
        </w:rPr>
        <w:t xml:space="preserve"> Al Campidoglio, colazione di lavoro (breakfast) offerta dal </w:t>
      </w:r>
      <w:r>
        <w:rPr>
          <w:rFonts w:ascii="Barlow Semi Condensed" w:cs="Barlow Semi Condensed" w:eastAsia="Barlow Semi Condensed" w:hAnsi="Barlow Semi Condensed"/>
          <w:b/>
          <w:bCs/>
          <w:sz w:val="24"/>
          <w:szCs w:val="24"/>
        </w:rPr>
        <w:t xml:space="preserve">Vicepresidente Hubert H. Humphrey</w:t>
      </w:r>
      <w:r>
        <w:rPr>
          <w:rFonts w:ascii="Barlow Semi Condensed" w:cs="Barlow Semi Condensed" w:eastAsia="Barlow Semi Condensed" w:hAnsi="Barlow Semi Condensed"/>
          <w:sz w:val="24"/>
          <w:szCs w:val="24"/>
        </w:rPr>
        <w:t xml:space="preserve"> nella Senate Reception Room. All'Ellipse, </w:t>
      </w:r>
      <w:r>
        <w:rPr>
          <w:rFonts w:ascii="Barlow Semi Condensed" w:cs="Barlow Semi Condensed" w:eastAsia="Barlow Semi Condensed" w:hAnsi="Barlow Semi Condensed"/>
          <w:b/>
          <w:bCs/>
          <w:sz w:val="24"/>
          <w:szCs w:val="24"/>
        </w:rPr>
        <w:t xml:space="preserve">cerimonia militare di congedo</w:t>
      </w:r>
      <w:r>
        <w:rPr>
          <w:rFonts w:ascii="Barlow Semi Condensed" w:cs="Barlow Semi Condensed" w:eastAsia="Barlow Semi Condensed" w:hAnsi="Barlow Semi Condensed"/>
          <w:sz w:val="24"/>
          <w:szCs w:val="24"/>
        </w:rPr>
        <w:t xml:space="preserve"> delle Forze Armate, con Humphrey a capo del comitato di commiato. Partenza in corteo per New York; sosta a </w:t>
      </w:r>
      <w:r>
        <w:rPr>
          <w:rFonts w:ascii="Barlow Semi Condensed" w:cs="Barlow Semi Condensed" w:eastAsia="Barlow Semi Condensed" w:hAnsi="Barlow Semi Condensed"/>
          <w:b/>
          <w:bCs/>
          <w:sz w:val="24"/>
          <w:szCs w:val="24"/>
        </w:rPr>
        <w:t xml:space="preserve">Philadelphia</w:t>
      </w:r>
      <w:r>
        <w:rPr>
          <w:rFonts w:ascii="Barlow Semi Condensed" w:cs="Barlow Semi Condensed" w:eastAsia="Barlow Semi Condensed" w:hAnsi="Barlow Semi Condensed"/>
          <w:sz w:val="24"/>
          <w:szCs w:val="24"/>
        </w:rPr>
        <w:t xml:space="preserve">, dove il console generale d'Italia </w:t>
      </w:r>
      <w:r>
        <w:rPr>
          <w:rFonts w:ascii="Barlow Semi Condensed" w:cs="Barlow Semi Condensed" w:eastAsia="Barlow Semi Condensed" w:hAnsi="Barlow Semi Condensed"/>
          <w:b/>
          <w:bCs/>
          <w:sz w:val="24"/>
          <w:szCs w:val="24"/>
        </w:rPr>
        <w:t xml:space="preserve">Gian Piero Nuti</w:t>
      </w:r>
      <w:r>
        <w:rPr>
          <w:rFonts w:ascii="Barlow Semi Condensed" w:cs="Barlow Semi Condensed" w:eastAsia="Barlow Semi Condensed" w:hAnsi="Barlow Semi Condensed"/>
          <w:sz w:val="24"/>
          <w:szCs w:val="24"/>
        </w:rPr>
        <w:t xml:space="preserve"> offre una colazione privata e il sindaco </w:t>
      </w:r>
      <w:r>
        <w:rPr>
          <w:rFonts w:ascii="Barlow Semi Condensed" w:cs="Barlow Semi Condensed" w:eastAsia="Barlow Semi Condensed" w:hAnsi="Barlow Semi Condensed"/>
          <w:b/>
          <w:bCs/>
          <w:sz w:val="24"/>
          <w:szCs w:val="24"/>
        </w:rPr>
        <w:t xml:space="preserve">James H. J. Tate conferisce a Moro la cittadinanza onoraria della città</w:t>
      </w:r>
      <w:r>
        <w:rPr>
          <w:rFonts w:ascii="Barlow Semi Condensed" w:cs="Barlow Semi Condensed" w:eastAsia="Barlow Semi Condensed" w:hAnsi="Barlow Semi Condensed"/>
          <w:sz w:val="24"/>
          <w:szCs w:val="24"/>
        </w:rPr>
        <w:t xml:space="preserve">. In serata arrivo ai Waldorf Towers di New York; ricevimento e cena della comunità italoamericana all'Americana Hotel.</w:t>
      </w:r>
    </w:p>
    <w:p>
      <w:pPr>
        <w:spacing w:after="120" w:line="276"/>
        <w:jc w:val="both"/>
      </w:pPr>
      <w:r>
        <w:rPr>
          <w:rFonts w:ascii="Barlow Semi Condensed" w:cs="Barlow Semi Condensed" w:eastAsia="Barlow Semi Condensed" w:hAnsi="Barlow Semi Condensed"/>
          <w:b/>
          <w:bCs/>
          <w:sz w:val="24"/>
          <w:szCs w:val="24"/>
        </w:rPr>
        <w:t xml:space="preserve">Venerdì 23 aprile.</w:t>
      </w:r>
      <w:r>
        <w:rPr>
          <w:rFonts w:ascii="Barlow Semi Condensed" w:cs="Barlow Semi Condensed" w:eastAsia="Barlow Semi Condensed" w:hAnsi="Barlow Semi Condensed"/>
          <w:sz w:val="24"/>
          <w:szCs w:val="24"/>
        </w:rPr>
        <w:t xml:space="preserve"> A New York, incontro con il sindaco </w:t>
      </w:r>
      <w:r>
        <w:rPr>
          <w:rFonts w:ascii="Barlow Semi Condensed" w:cs="Barlow Semi Condensed" w:eastAsia="Barlow Semi Condensed" w:hAnsi="Barlow Semi Condensed"/>
          <w:b/>
          <w:bCs/>
          <w:sz w:val="24"/>
          <w:szCs w:val="24"/>
        </w:rPr>
        <w:t xml:space="preserve">Robert F. Wagner</w:t>
      </w:r>
      <w:r>
        <w:rPr>
          <w:rFonts w:ascii="Barlow Semi Condensed" w:cs="Barlow Semi Condensed" w:eastAsia="Barlow Semi Condensed" w:hAnsi="Barlow Semi Condensed"/>
          <w:sz w:val="24"/>
          <w:szCs w:val="24"/>
        </w:rPr>
        <w:t xml:space="preserve"> al City Hall. Alle </w:t>
      </w:r>
      <w:r>
        <w:rPr>
          <w:rFonts w:ascii="Barlow Semi Condensed" w:cs="Barlow Semi Condensed" w:eastAsia="Barlow Semi Condensed" w:hAnsi="Barlow Semi Condensed"/>
          <w:b/>
          <w:bCs/>
          <w:sz w:val="24"/>
          <w:szCs w:val="24"/>
        </w:rPr>
        <w:t xml:space="preserve">Nazioni Unite</w:t>
      </w:r>
      <w:r>
        <w:rPr>
          <w:rFonts w:ascii="Barlow Semi Condensed" w:cs="Barlow Semi Condensed" w:eastAsia="Barlow Semi Condensed" w:hAnsi="Barlow Semi Condensed"/>
          <w:sz w:val="24"/>
          <w:szCs w:val="24"/>
        </w:rPr>
        <w:t xml:space="preserve">: colloquio con </w:t>
      </w:r>
      <w:r>
        <w:rPr>
          <w:rFonts w:ascii="Barlow Semi Condensed" w:cs="Barlow Semi Condensed" w:eastAsia="Barlow Semi Condensed" w:hAnsi="Barlow Semi Condensed"/>
          <w:b/>
          <w:bCs/>
          <w:sz w:val="24"/>
          <w:szCs w:val="24"/>
        </w:rPr>
        <w:t xml:space="preserve">Alex Quaison-Sackey</w:t>
      </w:r>
      <w:r>
        <w:rPr>
          <w:rFonts w:ascii="Barlow Semi Condensed" w:cs="Barlow Semi Condensed" w:eastAsia="Barlow Semi Condensed" w:hAnsi="Barlow Semi Condensed"/>
          <w:sz w:val="24"/>
          <w:szCs w:val="24"/>
        </w:rPr>
        <w:t xml:space="preserve">, Presidente dell'Assemblea Generale, e con il Segretario Generale </w:t>
      </w:r>
      <w:r>
        <w:rPr>
          <w:rFonts w:ascii="Barlow Semi Condensed" w:cs="Barlow Semi Condensed" w:eastAsia="Barlow Semi Condensed" w:hAnsi="Barlow Semi Condensed"/>
          <w:b/>
          <w:bCs/>
          <w:sz w:val="24"/>
          <w:szCs w:val="24"/>
        </w:rPr>
        <w:t xml:space="preserve">U Thant</w:t>
      </w:r>
      <w:r>
        <w:rPr>
          <w:rFonts w:ascii="Barlow Semi Condensed" w:cs="Barlow Semi Condensed" w:eastAsia="Barlow Semi Condensed" w:hAnsi="Barlow Semi Condensed"/>
          <w:sz w:val="24"/>
          <w:szCs w:val="24"/>
        </w:rPr>
        <w:t xml:space="preserve">, che offre una colazione in onore dell'ospite. Ricevimento della America-Italy Society di New York e della Italy-American Chamber of Commerce al Waldorf-Astoria. In serata partenza da JFK con volo Alitalia 603 per Roma.</w:t>
      </w:r>
    </w:p>
    <w:p>
      <w:pPr>
        <w:pStyle w:val="Heading3"/>
        <w:spacing w:after="80" w:before="160"/>
      </w:pPr>
      <w:r>
        <w:rPr>
          <w:rFonts w:ascii="Barlow Semi Condensed" w:cs="Barlow Semi Condensed" w:eastAsia="Barlow Semi Condensed" w:hAnsi="Barlow Semi Condensed"/>
          <w:sz w:val="24"/>
          <w:szCs w:val="24"/>
        </w:rPr>
        <w:t xml:space="preserve">Il promemoria di sicurezza al FBI</w:t>
      </w:r>
    </w:p>
    <w:p>
      <w:pPr>
        <w:spacing w:after="120" w:line="276"/>
        <w:jc w:val="both"/>
      </w:pPr>
      <w:r>
        <w:rPr>
          <w:rFonts w:ascii="Barlow Semi Condensed" w:cs="Barlow Semi Condensed" w:eastAsia="Barlow Semi Condensed" w:hAnsi="Barlow Semi Condensed"/>
          <w:sz w:val="24"/>
          <w:szCs w:val="24"/>
        </w:rPr>
        <w:t xml:space="preserve">Al programma è allegato un promemoria interno del Dipartimento di Stato (Washington, aprile 1965) indirizzato </w:t>
      </w:r>
      <w:r>
        <w:rPr>
          <w:rFonts w:ascii="Barlow Semi Condensed" w:cs="Barlow Semi Condensed" w:eastAsia="Barlow Semi Condensed" w:hAnsi="Barlow Semi Condensed"/>
          <w:b/>
          <w:bCs/>
          <w:sz w:val="24"/>
          <w:szCs w:val="24"/>
        </w:rPr>
        <w:t xml:space="preserve">al Direttore del Federal Bureau of Investigation, J. Edgar Hoover</w:t>
      </w:r>
      <w:r>
        <w:rPr>
          <w:rFonts w:ascii="Barlow Semi Condensed" w:cs="Barlow Semi Condensed" w:eastAsia="Barlow Semi Condensed" w:hAnsi="Barlow Semi Condensed"/>
          <w:sz w:val="24"/>
          <w:szCs w:val="24"/>
        </w:rPr>
        <w:t xml:space="preserve">, a firma di </w:t>
      </w:r>
      <w:r>
        <w:rPr>
          <w:rFonts w:ascii="Barlow Semi Condensed" w:cs="Barlow Semi Condensed" w:eastAsia="Barlow Semi Condensed" w:hAnsi="Barlow Semi Condensed"/>
          <w:b/>
          <w:bCs/>
          <w:sz w:val="24"/>
          <w:szCs w:val="24"/>
        </w:rPr>
        <w:t xml:space="preserve">G. Marvin Gentile</w:t>
      </w:r>
      <w:r>
        <w:rPr>
          <w:rFonts w:ascii="Barlow Semi Condensed" w:cs="Barlow Semi Condensed" w:eastAsia="Barlow Semi Condensed" w:hAnsi="Barlow Semi Condensed"/>
          <w:sz w:val="24"/>
          <w:szCs w:val="24"/>
        </w:rPr>
        <w:t xml:space="preserve">, Deputy Assistant Secretary for Security. Comunica l'arrivo di Moro a JFK il 19 aprile 1965 e la permanenza a Washington fino al 22 aprile, e chiede l'assistenza dell'FBI nel fornire «intelligence information of a nature reflecting the presence of any effort designed to cause physical harm or embarrassment to the Principal during his visit» — ordinaria misura di protezione per un capo di governo in visita ufficiale. Nessun contenuto ulteriore è desumibile dal documento.</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Strato II — I cablogrammi del sequestro e della morte (aprile–maggio 1978)</w:t>
      </w:r>
    </w:p>
    <w:p>
      <w:pPr>
        <w:spacing w:after="120" w:line="276"/>
        <w:jc w:val="both"/>
      </w:pPr>
      <w:r>
        <w:rPr>
          <w:rFonts w:ascii="Barlow Semi Condensed" w:cs="Barlow Semi Condensed" w:eastAsia="Barlow Semi Condensed" w:hAnsi="Barlow Semi Condensed"/>
          <w:sz w:val="24"/>
          <w:szCs w:val="24"/>
        </w:rPr>
        <w:t xml:space="preserve">Il secondo strato del lotto appartiene ai </w:t>
      </w:r>
      <w:r>
        <w:rPr>
          <w:rFonts w:ascii="Barlow Semi Condensed" w:cs="Barlow Semi Condensed" w:eastAsia="Barlow Semi Condensed" w:hAnsi="Barlow Semi Condensed"/>
          <w:b/>
          <w:bCs/>
          <w:sz w:val="24"/>
          <w:szCs w:val="24"/>
        </w:rPr>
        <w:t xml:space="preserve">55 giorni</w:t>
      </w:r>
      <w:r>
        <w:rPr>
          <w:rFonts w:ascii="Barlow Semi Condensed" w:cs="Barlow Semi Condensed" w:eastAsia="Barlow Semi Condensed" w:hAnsi="Barlow Semi Condensed"/>
          <w:sz w:val="24"/>
          <w:szCs w:val="24"/>
        </w:rPr>
        <w:t xml:space="preserve"> e ai giorni immediatamente successivi alla morte. Sono cablogrammi di ambasciate e consolati statunitensi verso il Dipartimento di Stato, di classificazione </w:t>
      </w:r>
      <w:r>
        <w:rPr>
          <w:rFonts w:ascii="Barlow Semi Condensed" w:cs="Barlow Semi Condensed" w:eastAsia="Barlow Semi Condensed" w:hAnsi="Barlow Semi Condensed"/>
          <w:i/>
          <w:iCs/>
          <w:sz w:val="24"/>
          <w:szCs w:val="24"/>
        </w:rPr>
        <w:t xml:space="preserve">Limited Official Use</w:t>
      </w:r>
      <w:r>
        <w:rPr>
          <w:rFonts w:ascii="Barlow Semi Condensed" w:cs="Barlow Semi Condensed" w:eastAsia="Barlow Semi Condensed" w:hAnsi="Barlow Semi Condensed"/>
          <w:sz w:val="24"/>
          <w:szCs w:val="24"/>
        </w:rPr>
        <w:t xml:space="preserve"> o </w:t>
      </w:r>
      <w:r>
        <w:rPr>
          <w:rFonts w:ascii="Barlow Semi Condensed" w:cs="Barlow Semi Condensed" w:eastAsia="Barlow Semi Condensed" w:hAnsi="Barlow Semi Condensed"/>
          <w:i/>
          <w:iCs/>
          <w:sz w:val="24"/>
          <w:szCs w:val="24"/>
        </w:rPr>
        <w:t xml:space="preserve">Unclassified</w:t>
      </w:r>
      <w:r>
        <w:rPr>
          <w:rFonts w:ascii="Barlow Semi Condensed" w:cs="Barlow Semi Condensed" w:eastAsia="Barlow Semi Condensed" w:hAnsi="Barlow Semi Condensed"/>
          <w:sz w:val="24"/>
          <w:szCs w:val="24"/>
        </w:rPr>
        <w:t xml:space="preserve">, poi desecretati. Si riportano per ciò che attestano; le reazioni citate sono quelle riferite dalle fonti locali ai redattori statunitensi.</w:t>
      </w:r>
    </w:p>
    <w:p>
      <w:pPr>
        <w:pStyle w:val="Heading3"/>
        <w:spacing w:after="80" w:before="160"/>
      </w:pPr>
      <w:r>
        <w:rPr>
          <w:rFonts w:ascii="Barlow Semi Condensed" w:cs="Barlow Semi Condensed" w:eastAsia="Barlow Semi Condensed" w:hAnsi="Barlow Semi Condensed"/>
          <w:sz w:val="24"/>
          <w:szCs w:val="24"/>
        </w:rPr>
        <w:t xml:space="preserve">Buenos Aires: la smentita dei Montoneros (17 aprile 1978)</w:t>
      </w:r>
    </w:p>
    <w:p>
      <w:pPr>
        <w:spacing w:after="120" w:line="276"/>
        <w:jc w:val="both"/>
      </w:pPr>
      <w:r>
        <w:rPr>
          <w:rFonts w:ascii="Barlow Semi Condensed" w:cs="Barlow Semi Condensed" w:eastAsia="Barlow Semi Condensed" w:hAnsi="Barlow Semi Condensed"/>
          <w:sz w:val="24"/>
          <w:szCs w:val="24"/>
        </w:rPr>
        <w:t xml:space="preserve">Cablogramma dell'ambasciata statunitense a Buenos Aires (</w:t>
      </w:r>
      <w:r>
        <w:rPr>
          <w:rFonts w:ascii="Barlow Semi Condensed" w:cs="Barlow Semi Condensed" w:eastAsia="Barlow Semi Condensed" w:hAnsi="Barlow Semi Condensed"/>
          <w:i/>
          <w:iCs/>
          <w:sz w:val="24"/>
          <w:szCs w:val="24"/>
        </w:rPr>
        <w:t xml:space="preserve">Buenos Aires 2881</w:t>
      </w:r>
      <w:r>
        <w:rPr>
          <w:rFonts w:ascii="Barlow Semi Condensed" w:cs="Barlow Semi Condensed" w:eastAsia="Barlow Semi Condensed" w:hAnsi="Barlow Semi Condensed"/>
          <w:sz w:val="24"/>
          <w:szCs w:val="24"/>
        </w:rPr>
        <w:t xml:space="preserve">, in due sezioni, 17 aprile 1978), diretto a SECSTATE Washington e per conoscenza alle ambasciate di </w:t>
      </w:r>
      <w:r>
        <w:rPr>
          <w:rFonts w:ascii="Barlow Semi Condensed" w:cs="Barlow Semi Condensed" w:eastAsia="Barlow Semi Condensed" w:hAnsi="Barlow Semi Condensed"/>
          <w:b/>
          <w:bCs/>
          <w:sz w:val="24"/>
          <w:szCs w:val="24"/>
        </w:rPr>
        <w:t xml:space="preserve">Bonn, Parigi e Roma</w:t>
      </w:r>
      <w:r>
        <w:rPr>
          <w:rFonts w:ascii="Barlow Semi Condensed" w:cs="Barlow Semi Condensed" w:eastAsia="Barlow Semi Condensed" w:hAnsi="Barlow Semi Condensed"/>
          <w:sz w:val="24"/>
          <w:szCs w:val="24"/>
        </w:rPr>
        <w:t xml:space="preserve">. Riferisce di aver ricevuto un documento attribuito al </w:t>
      </w:r>
      <w:r>
        <w:rPr>
          <w:rFonts w:ascii="Barlow Semi Condensed" w:cs="Barlow Semi Condensed" w:eastAsia="Barlow Semi Condensed" w:hAnsi="Barlow Semi Condensed"/>
          <w:b/>
          <w:bCs/>
          <w:sz w:val="24"/>
          <w:szCs w:val="24"/>
        </w:rPr>
        <w:t xml:space="preserve">Partito Montonero</w:t>
      </w:r>
      <w:r>
        <w:rPr>
          <w:rFonts w:ascii="Barlow Semi Condensed" w:cs="Barlow Semi Condensed" w:eastAsia="Barlow Semi Condensed" w:hAnsi="Barlow Semi Condensed"/>
          <w:sz w:val="24"/>
          <w:szCs w:val="24"/>
        </w:rPr>
        <w:t xml:space="preserve"> argentino, trasmesso attraverso il suo «Segretariato Stampa», che chiede pubblicità e nel quale l'organizzazione:</w:t>
      </w:r>
    </w:p>
    <w:p>
      <w:pPr>
        <w:spacing w:after="40"/>
        <w:ind w:left="360"/>
        <w:jc w:val="both"/>
      </w:pPr>
      <w:r>
        <w:rPr>
          <w:rFonts w:ascii="Barlow Semi Condensed" w:cs="Barlow Semi Condensed" w:eastAsia="Barlow Semi Condensed" w:hAnsi="Barlow Semi Condensed"/>
          <w:sz w:val="24"/>
          <w:szCs w:val="24"/>
        </w:rPr>
        <w:t xml:space="preserve">1. </w:t>
      </w:r>
      <w:r>
        <w:rPr>
          <w:rFonts w:ascii="Barlow Semi Condensed" w:cs="Barlow Semi Condensed" w:eastAsia="Barlow Semi Condensed" w:hAnsi="Barlow Semi Condensed"/>
          <w:b/>
          <w:bCs/>
          <w:sz w:val="24"/>
          <w:szCs w:val="24"/>
        </w:rPr>
        <w:t xml:space="preserve">nega ogni connessione con il sequestro di Aldo Moro</w:t>
      </w:r>
      <w:r>
        <w:rPr>
          <w:rFonts w:ascii="Barlow Semi Condensed" w:cs="Barlow Semi Condensed" w:eastAsia="Barlow Semi Condensed" w:hAnsi="Barlow Semi Condensed"/>
          <w:sz w:val="24"/>
          <w:szCs w:val="24"/>
        </w:rPr>
        <w:t xml:space="preserve">, «Presidente della Democrazia Cristiana italiana»;</w:t>
      </w:r>
    </w:p>
    <w:p>
      <w:pPr>
        <w:spacing w:after="40"/>
        <w:ind w:left="360"/>
        <w:jc w:val="both"/>
      </w:pPr>
      <w:r>
        <w:rPr>
          <w:rFonts w:ascii="Barlow Semi Condensed" w:cs="Barlow Semi Condensed" w:eastAsia="Barlow Semi Condensed" w:hAnsi="Barlow Semi Condensed"/>
          <w:sz w:val="24"/>
          <w:szCs w:val="24"/>
        </w:rPr>
        <w:t xml:space="preserve">2. dichiara di non aver mai avuto e di non avere «alcuna connessione o accordo con gruppi delle Brigate Rosse»;</w:t>
      </w:r>
    </w:p>
    <w:p>
      <w:pPr>
        <w:spacing w:after="40"/>
        <w:ind w:left="360"/>
        <w:jc w:val="both"/>
      </w:pPr>
      <w:r>
        <w:rPr>
          <w:rFonts w:ascii="Barlow Semi Condensed" w:cs="Barlow Semi Condensed" w:eastAsia="Barlow Semi Condensed" w:hAnsi="Barlow Semi Condensed"/>
          <w:sz w:val="24"/>
          <w:szCs w:val="24"/>
        </w:rPr>
        <w:t xml:space="preserve">3. denuncia una «campagna diffamatoria» della dittatura militare argentina volta a isolare i Montoneros dalle solidarietà internazionali, in particolare nell'Europa occidentale, e a imputare loro fatti come il sequestro di due religiose francesi a Buenos Aires o presunti legami con i gruppi tedeschi Baader-Meinhof e con una «Internazionale del terrore»;</w:t>
      </w:r>
    </w:p>
    <w:p>
      <w:pPr>
        <w:spacing w:after="120" w:line="276"/>
        <w:jc w:val="both"/>
      </w:pPr>
      <w:r>
        <w:rPr>
          <w:rFonts w:ascii="Barlow Semi Condensed" w:cs="Barlow Semi Condensed" w:eastAsia="Barlow Semi Condensed" w:hAnsi="Barlow Semi Condensed"/>
          <w:sz w:val="24"/>
          <w:szCs w:val="24"/>
        </w:rPr>
        <w:t xml:space="preserve">e ribadisce, in chiusura, il proprio rammarico per «la situazione prevalente in Italia a causa del sequestro di Aldo Moro, fatto che non giustifichiamo né di cui ci assumiamo la responsabilità». Il cablogramma annota che la firma finale, apparentemente autografa, è quella di </w:t>
      </w:r>
      <w:r>
        <w:rPr>
          <w:rFonts w:ascii="Barlow Semi Condensed" w:cs="Barlow Semi Condensed" w:eastAsia="Barlow Semi Condensed" w:hAnsi="Barlow Semi Condensed"/>
          <w:b/>
          <w:bCs/>
          <w:sz w:val="24"/>
          <w:szCs w:val="24"/>
        </w:rPr>
        <w:t xml:space="preserve">Juan Gelman</w:t>
      </w:r>
      <w:r>
        <w:rPr>
          <w:rFonts w:ascii="Barlow Semi Condensed" w:cs="Barlow Semi Condensed" w:eastAsia="Barlow Semi Condensed" w:hAnsi="Barlow Semi Condensed"/>
          <w:sz w:val="24"/>
          <w:szCs w:val="24"/>
        </w:rPr>
        <w:t xml:space="preserve"> (il poeta, allora portavoce europeo dei Montoneros), che firma come «Segretario Generale della Stampa»; la busta risultava impostata e timbrata a Buenos Aires il 3[?] marzo 1978. Firma il cablogramma l'incaricato </w:t>
      </w:r>
      <w:r>
        <w:rPr>
          <w:rFonts w:ascii="Barlow Semi Condensed" w:cs="Barlow Semi Condensed" w:eastAsia="Barlow Semi Condensed" w:hAnsi="Barlow Semi Condensed"/>
          <w:b/>
          <w:bCs/>
          <w:sz w:val="24"/>
          <w:szCs w:val="24"/>
        </w:rPr>
        <w:t xml:space="preserve">Castro</w:t>
      </w:r>
      <w:r>
        <w:rPr>
          <w:rFonts w:ascii="Barlow Semi Condensed" w:cs="Barlow Semi Condensed" w:eastAsia="Barlow Semi Condensed" w:hAnsi="Barlow Semi Condensed"/>
          <w:sz w:val="24"/>
          <w:szCs w:val="24"/>
        </w:rPr>
        <w:t xml:space="preserve">.</w:t>
      </w:r>
    </w:p>
    <w:p>
      <w:pPr>
        <w:pBdr>
          <w:left w:val="single" w:color="1F3864" w:sz="18" w:space="8"/>
        </w:pBdr>
        <w:spacing w:after="80" w:before="80"/>
        <w:ind w:left="360" w:right="360"/>
        <w:jc w:val="both"/>
      </w:pPr>
      <w:r>
        <w:rPr>
          <w:rFonts w:ascii="Barlow Semi Condensed" w:cs="Barlow Semi Condensed" w:eastAsia="Barlow Semi Condensed" w:hAnsi="Barlow Semi Condensed"/>
          <w:i w:val="false"/>
          <w:iCs w:val="false"/>
          <w:sz w:val="24"/>
          <w:szCs w:val="24"/>
        </w:rPr>
        <w:t xml:space="preserve">Rilievo.</w:t>
      </w:r>
      <w:r>
        <w:rPr>
          <w:rFonts w:ascii="Barlow Semi Condensed" w:cs="Barlow Semi Condensed" w:eastAsia="Barlow Semi Condensed" w:hAnsi="Barlow Semi Condensed"/>
          <w:i w:val="false"/>
          <w:iCs w:val="false"/>
          <w:sz w:val="24"/>
          <w:szCs w:val="24"/>
        </w:rPr>
        <w:t xml:space="preserve"> Il documento è una </w:t>
      </w:r>
      <w:r>
        <w:rPr>
          <w:rFonts w:ascii="Barlow Semi Condensed" w:cs="Barlow Semi Condensed" w:eastAsia="Barlow Semi Condensed" w:hAnsi="Barlow Semi Condensed"/>
          <w:b/>
          <w:bCs/>
          <w:i w:val="false"/>
          <w:iCs w:val="false"/>
          <w:sz w:val="24"/>
          <w:szCs w:val="24"/>
        </w:rPr>
        <w:t xml:space="preserve">smentita di terzi</w:t>
      </w:r>
      <w:r>
        <w:rPr>
          <w:rFonts w:ascii="Barlow Semi Condensed" w:cs="Barlow Semi Condensed" w:eastAsia="Barlow Semi Condensed" w:hAnsi="Barlow Semi Condensed"/>
          <w:i w:val="false"/>
          <w:iCs w:val="false"/>
          <w:sz w:val="24"/>
          <w:szCs w:val="24"/>
        </w:rPr>
        <w:t xml:space="preserve">, non una fonte sui responsabili del sequestro; va letto come misura del clima internazionale — il caso Moro rimbalzava fino al Sud America e vi si intrecciava con le rivendicazioni e le controrivendicazioni della guerra sporca argentina — e non come elemento istruttorio sul sequestro, i cui autori sono accertati in giudicato nei processi Moro (Brigate Rosse). Nessun nesso fra Montoneros e via Fani è affermato da alcuna fonte; qui è anzi negato dagli stessi chiamati in causa.</w:t>
      </w:r>
    </w:p>
    <w:p>
      <w:pPr>
        <w:pStyle w:val="Heading3"/>
        <w:spacing w:after="80" w:before="160"/>
      </w:pPr>
      <w:r>
        <w:rPr>
          <w:rFonts w:ascii="Barlow Semi Condensed" w:cs="Barlow Semi Condensed" w:eastAsia="Barlow Semi Condensed" w:hAnsi="Barlow Semi Condensed"/>
          <w:sz w:val="24"/>
          <w:szCs w:val="24"/>
        </w:rPr>
        <w:t xml:space="preserve">Le reazioni alla morte: Trieste e Palermo (10–11 maggio 1978)</w:t>
      </w:r>
    </w:p>
    <w:p>
      <w:pPr>
        <w:spacing w:after="120" w:line="276"/>
        <w:jc w:val="both"/>
      </w:pPr>
      <w:r>
        <w:rPr>
          <w:rFonts w:ascii="Barlow Semi Condensed" w:cs="Barlow Semi Condensed" w:eastAsia="Barlow Semi Condensed" w:hAnsi="Barlow Semi Condensed"/>
          <w:sz w:val="24"/>
          <w:szCs w:val="24"/>
        </w:rPr>
        <w:t xml:space="preserve">Dopo il 9 maggio 1978, i consolati statunitensi riferiscono le reazioni regionali all'uccisione.</w:t>
      </w:r>
    </w:p>
    <w:p>
      <w:pPr>
        <w:spacing w:after="120" w:line="276"/>
        <w:jc w:val="both"/>
      </w:pPr>
      <w:r>
        <w:rPr>
          <w:rFonts w:ascii="Barlow Semi Condensed" w:cs="Barlow Semi Condensed" w:eastAsia="Barlow Semi Condensed" w:hAnsi="Barlow Semi Condensed"/>
          <w:b/>
          <w:bCs/>
          <w:sz w:val="24"/>
          <w:szCs w:val="24"/>
        </w:rPr>
        <w:t xml:space="preserve">Consolato di Trieste</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Trieste 9223</w:t>
      </w:r>
      <w:r>
        <w:rPr>
          <w:rFonts w:ascii="Barlow Semi Condensed" w:cs="Barlow Semi Condensed" w:eastAsia="Barlow Semi Condensed" w:hAnsi="Barlow Semi Condensed"/>
          <w:sz w:val="24"/>
          <w:szCs w:val="24"/>
        </w:rPr>
        <w:t xml:space="preserve">, «Reactions in Northeast to Moro Assassination»): la notizia della morte fu accolta nel Nord-Est «con sdegno, solidarietà per la famiglia Moro e appelli all'unità contro i terroristi»; il Friuli-Venezia Giulia è definito «for the most part Moro country», e il colpo vi cadde forse più duro che altrove. I muri delle città furono ricoperti, entro poche ore, di manifesti commemorativi listati a lutto con il ritratto di Moro. Sono citate le dichiarazioni del presidente della Giunta friulana </w:t>
      </w:r>
      <w:r>
        <w:rPr>
          <w:rFonts w:ascii="Barlow Semi Condensed" w:cs="Barlow Semi Condensed" w:eastAsia="Barlow Semi Condensed" w:hAnsi="Barlow Semi Condensed"/>
          <w:b/>
          <w:bCs/>
          <w:sz w:val="24"/>
          <w:szCs w:val="24"/>
        </w:rPr>
        <w:t xml:space="preserve">Comelli</w:t>
      </w:r>
      <w:r>
        <w:rPr>
          <w:rFonts w:ascii="Barlow Semi Condensed" w:cs="Barlow Semi Condensed" w:eastAsia="Barlow Semi Condensed" w:hAnsi="Barlow Semi Condensed"/>
          <w:sz w:val="24"/>
          <w:szCs w:val="24"/>
        </w:rPr>
        <w:t xml:space="preserve"> (DC), del presidente del Consiglio regionale </w:t>
      </w:r>
      <w:r>
        <w:rPr>
          <w:rFonts w:ascii="Barlow Semi Condensed" w:cs="Barlow Semi Condensed" w:eastAsia="Barlow Semi Condensed" w:hAnsi="Barlow Semi Condensed"/>
          <w:b/>
          <w:bCs/>
          <w:sz w:val="24"/>
          <w:szCs w:val="24"/>
        </w:rPr>
        <w:t xml:space="preserve">Pittoni</w:t>
      </w:r>
      <w:r>
        <w:rPr>
          <w:rFonts w:ascii="Barlow Semi Condensed" w:cs="Barlow Semi Condensed" w:eastAsia="Barlow Semi Condensed" w:hAnsi="Barlow Semi Condensed"/>
          <w:sz w:val="24"/>
          <w:szCs w:val="24"/>
        </w:rPr>
        <w:t xml:space="preserve"> (PSI), del segretario provinciale DC di Trieste </w:t>
      </w:r>
      <w:r>
        <w:rPr>
          <w:rFonts w:ascii="Barlow Semi Condensed" w:cs="Barlow Semi Condensed" w:eastAsia="Barlow Semi Condensed" w:hAnsi="Barlow Semi Condensed"/>
          <w:b/>
          <w:bCs/>
          <w:sz w:val="24"/>
          <w:szCs w:val="24"/>
        </w:rPr>
        <w:t xml:space="preserve">Dario Rinaldi</w:t>
      </w:r>
      <w:r>
        <w:rPr>
          <w:rFonts w:ascii="Barlow Semi Condensed" w:cs="Barlow Semi Condensed" w:eastAsia="Barlow Semi Condensed" w:hAnsi="Barlow Semi Condensed"/>
          <w:sz w:val="24"/>
          <w:szCs w:val="24"/>
        </w:rPr>
        <w:t xml:space="preserve"> e, nel Veneto, del segretario regionale DC </w:t>
      </w:r>
      <w:r>
        <w:rPr>
          <w:rFonts w:ascii="Barlow Semi Condensed" w:cs="Barlow Semi Condensed" w:eastAsia="Barlow Semi Condensed" w:hAnsi="Barlow Semi Condensed"/>
          <w:b/>
          <w:bCs/>
          <w:sz w:val="24"/>
          <w:szCs w:val="24"/>
        </w:rPr>
        <w:t xml:space="preserve">Foletto</w:t>
      </w:r>
      <w:r>
        <w:rPr>
          <w:rFonts w:ascii="Barlow Semi Condensed" w:cs="Barlow Semi Condensed" w:eastAsia="Barlow Semi Condensed" w:hAnsi="Barlow Semi Condensed"/>
          <w:sz w:val="24"/>
          <w:szCs w:val="24"/>
        </w:rPr>
        <w:t xml:space="preserve"> e del presidente regionale </w:t>
      </w:r>
      <w:r>
        <w:rPr>
          <w:rFonts w:ascii="Barlow Semi Condensed" w:cs="Barlow Semi Condensed" w:eastAsia="Barlow Semi Condensed" w:hAnsi="Barlow Semi Condensed"/>
          <w:b/>
          <w:bCs/>
          <w:sz w:val="24"/>
          <w:szCs w:val="24"/>
        </w:rPr>
        <w:t xml:space="preserve">Tomelleri</w:t>
      </w:r>
      <w:r>
        <w:rPr>
          <w:rFonts w:ascii="Barlow Semi Condensed" w:cs="Barlow Semi Condensed" w:eastAsia="Barlow Semi Condensed" w:hAnsi="Barlow Semi Condensed"/>
          <w:sz w:val="24"/>
          <w:szCs w:val="24"/>
        </w:rPr>
        <w:t xml:space="preserve">. La chiusura anticipata del complesso industriale di Marghera il 9 maggio, con gli operai raccolti in omaggio alla memoria di Moro, è registrata come episodio saliente.</w:t>
      </w:r>
    </w:p>
    <w:p>
      <w:pPr>
        <w:spacing w:after="120" w:line="276"/>
        <w:jc w:val="both"/>
      </w:pPr>
      <w:r>
        <w:rPr>
          <w:rFonts w:ascii="Barlow Semi Condensed" w:cs="Barlow Semi Condensed" w:eastAsia="Barlow Semi Condensed" w:hAnsi="Barlow Semi Condensed"/>
          <w:b/>
          <w:bCs/>
          <w:sz w:val="24"/>
          <w:szCs w:val="24"/>
        </w:rPr>
        <w:t xml:space="preserve">Consolato di Palermo</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Palermo 9487</w:t>
      </w:r>
      <w:r>
        <w:rPr>
          <w:rFonts w:ascii="Barlow Semi Condensed" w:cs="Barlow Semi Condensed" w:eastAsia="Barlow Semi Condensed" w:hAnsi="Barlow Semi Condensed"/>
          <w:sz w:val="24"/>
          <w:szCs w:val="24"/>
        </w:rPr>
        <w:t xml:space="preserve">, «Sicilian Reaction to Moro Murder», 11 maggio 1978): i siciliani «mourned the murdered Aldo Moro with speeches, masses and rallies all over the island on May 10». In Assemblea regionale, il presidente </w:t>
      </w:r>
      <w:r>
        <w:rPr>
          <w:rFonts w:ascii="Barlow Semi Condensed" w:cs="Barlow Semi Condensed" w:eastAsia="Barlow Semi Condensed" w:hAnsi="Barlow Semi Condensed"/>
          <w:b/>
          <w:bCs/>
          <w:sz w:val="24"/>
          <w:szCs w:val="24"/>
        </w:rPr>
        <w:t xml:space="preserve">De Pasquale</w:t>
      </w:r>
      <w:r>
        <w:rPr>
          <w:rFonts w:ascii="Barlow Semi Condensed" w:cs="Barlow Semi Condensed" w:eastAsia="Barlow Semi Condensed" w:hAnsi="Barlow Semi Condensed"/>
          <w:sz w:val="24"/>
          <w:szCs w:val="24"/>
        </w:rPr>
        <w:t xml:space="preserve"> (PCI) accostò il leader DC ucciso ad altri «martiri politici contemporanei», </w:t>
      </w:r>
      <w:r>
        <w:rPr>
          <w:rFonts w:ascii="Barlow Semi Condensed" w:cs="Barlow Semi Condensed" w:eastAsia="Barlow Semi Condensed" w:hAnsi="Barlow Semi Condensed"/>
          <w:b/>
          <w:bCs/>
          <w:sz w:val="24"/>
          <w:szCs w:val="24"/>
        </w:rPr>
        <w:t xml:space="preserve">Giacomo Matteotti e Antonio Gramsci</w:t>
      </w:r>
      <w:r>
        <w:rPr>
          <w:rFonts w:ascii="Barlow Semi Condensed" w:cs="Barlow Semi Condensed" w:eastAsia="Barlow Semi Condensed" w:hAnsi="Barlow Semi Condensed"/>
          <w:sz w:val="24"/>
          <w:szCs w:val="24"/>
        </w:rPr>
        <w:t xml:space="preserve">. Il presidente regionale </w:t>
      </w:r>
      <w:r>
        <w:rPr>
          <w:rFonts w:ascii="Barlow Semi Condensed" w:cs="Barlow Semi Condensed" w:eastAsia="Barlow Semi Condensed" w:hAnsi="Barlow Semi Condensed"/>
          <w:b/>
          <w:bCs/>
          <w:sz w:val="24"/>
          <w:szCs w:val="24"/>
        </w:rPr>
        <w:t xml:space="preserve">Santi Mattarella</w:t>
      </w:r>
      <w:r>
        <w:rPr>
          <w:rFonts w:ascii="Barlow Semi Condensed" w:cs="Barlow Semi Condensed" w:eastAsia="Barlow Semi Condensed" w:hAnsi="Barlow Semi Condensed"/>
          <w:sz w:val="24"/>
          <w:szCs w:val="24"/>
        </w:rPr>
        <w:t xml:space="preserve"> (DC) — indicato come moroteo e amico di famiglia, presente a Roma per la Direzione DC e testimone della scena di via Caetani — commemorò Moro e ne scrisse sul «Giornale di Sicilia» dell'11 maggio come esempio e ispirazione per tutti gli italiani. Nella cattedrale di Palermo, il </w:t>
      </w:r>
      <w:r>
        <w:rPr>
          <w:rFonts w:ascii="Barlow Semi Condensed" w:cs="Barlow Semi Condensed" w:eastAsia="Barlow Semi Condensed" w:hAnsi="Barlow Semi Condensed"/>
          <w:b/>
          <w:bCs/>
          <w:sz w:val="24"/>
          <w:szCs w:val="24"/>
        </w:rPr>
        <w:t xml:space="preserve">cardinale Salvatore Pappalardo</w:t>
      </w:r>
      <w:r>
        <w:rPr>
          <w:rFonts w:ascii="Barlow Semi Condensed" w:cs="Barlow Semi Condensed" w:eastAsia="Barlow Semi Condensed" w:hAnsi="Barlow Semi Condensed"/>
          <w:sz w:val="24"/>
          <w:szCs w:val="24"/>
        </w:rPr>
        <w:t xml:space="preserve"> celebrò il 10 maggio una messa di mezzogiorno commemorando Moro e tutte le vittime del terrorismo con una condanna della violenza. Nel pomeriggio, un corteo promosso dalla DC mosse in silenzio verso il monumento ai caduti; al memoriale, mentre le bandiere rosse di PCI, PSI e CGIL si mescolavano a quelle bianche della DC, un insistente coro </w:t>
      </w:r>
      <w:r>
        <w:rPr>
          <w:rFonts w:ascii="Barlow Semi Condensed" w:cs="Barlow Semi Condensed" w:eastAsia="Barlow Semi Condensed" w:hAnsi="Barlow Semi Condensed"/>
          <w:i/>
          <w:iCs/>
          <w:sz w:val="24"/>
          <w:szCs w:val="24"/>
        </w:rPr>
        <w:t xml:space="preserve">«fuori le bandiere rosse»</w:t>
      </w:r>
      <w:r>
        <w:rPr>
          <w:rFonts w:ascii="Barlow Semi Condensed" w:cs="Barlow Semi Condensed" w:eastAsia="Barlow Semi Condensed" w:hAnsi="Barlow Semi Condensed"/>
          <w:sz w:val="24"/>
          <w:szCs w:val="24"/>
        </w:rPr>
        <w:t xml:space="preserve"> fu infine sovrastato dagli appelli all'</w:t>
      </w:r>
      <w:r>
        <w:rPr>
          <w:rFonts w:ascii="Barlow Semi Condensed" w:cs="Barlow Semi Condensed" w:eastAsia="Barlow Semi Condensed" w:hAnsi="Barlow Semi Condensed"/>
          <w:i/>
          <w:iCs/>
          <w:sz w:val="24"/>
          <w:szCs w:val="24"/>
        </w:rPr>
        <w:t xml:space="preserve">«unità»</w:t>
      </w:r>
      <w:r>
        <w:rPr>
          <w:rFonts w:ascii="Barlow Semi Condensed" w:cs="Barlow Semi Condensed" w:eastAsia="Barlow Semi Condensed" w:hAnsi="Barlow Semi Condensed"/>
          <w:sz w:val="24"/>
          <w:szCs w:val="24"/>
        </w:rPr>
        <w:t xml:space="preserve">.</w:t>
      </w:r>
    </w:p>
    <w:p>
      <w:pPr>
        <w:pBdr>
          <w:left w:val="single" w:color="1F3864" w:sz="18" w:space="8"/>
        </w:pBdr>
        <w:spacing w:after="80" w:before="80"/>
        <w:ind w:left="360" w:right="360"/>
        <w:jc w:val="both"/>
      </w:pPr>
      <w:r>
        <w:rPr>
          <w:rFonts w:ascii="Barlow Semi Condensed" w:cs="Barlow Semi Condensed" w:eastAsia="Barlow Semi Condensed" w:hAnsi="Barlow Semi Condensed"/>
          <w:i w:val="false"/>
          <w:iCs w:val="false"/>
          <w:sz w:val="24"/>
          <w:szCs w:val="24"/>
        </w:rPr>
        <w:t xml:space="preserve">Rilievo.</w:t>
      </w:r>
      <w:r>
        <w:rPr>
          <w:rFonts w:ascii="Barlow Semi Condensed" w:cs="Barlow Semi Condensed" w:eastAsia="Barlow Semi Condensed" w:hAnsi="Barlow Semi Condensed"/>
          <w:i w:val="false"/>
          <w:iCs w:val="false"/>
          <w:sz w:val="24"/>
          <w:szCs w:val="24"/>
        </w:rPr>
        <w:t xml:space="preserve"> Questi cablogrammi documentano, per fonte terza e coeva, l'ampiezza e il carattere del cordoglio nazionale — la commozione, la richiesta di unità, l'accostamento di Moro alla tradizione dei «martiri» dell'antifascismo — e la percezione del suo assassinio come frattura civile. Sono materiali del lutto pubblico, non dell'accertamento sui responsabili.</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Rilievo d'insieme</w:t>
      </w:r>
    </w:p>
    <w:p>
      <w:pPr>
        <w:spacing w:after="120" w:line="276"/>
        <w:jc w:val="both"/>
      </w:pPr>
      <w:r>
        <w:rPr>
          <w:rFonts w:ascii="Barlow Semi Condensed" w:cs="Barlow Semi Condensed" w:eastAsia="Barlow Semi Condensed" w:hAnsi="Barlow Semi Condensed"/>
          <w:sz w:val="24"/>
          <w:szCs w:val="24"/>
        </w:rPr>
        <w:t xml:space="preserve">Il lotto del Dipartimento di Stato non aggiunge fatti istruttori al caso Moro: il suo valore è di </w:t>
      </w:r>
      <w:r>
        <w:rPr>
          <w:rFonts w:ascii="Barlow Semi Condensed" w:cs="Barlow Semi Condensed" w:eastAsia="Barlow Semi Condensed" w:hAnsi="Barlow Semi Condensed"/>
          <w:b/>
          <w:bCs/>
          <w:sz w:val="24"/>
          <w:szCs w:val="24"/>
        </w:rPr>
        <w:t xml:space="preserve">cornice</w:t>
      </w:r>
      <w:r>
        <w:rPr>
          <w:rFonts w:ascii="Barlow Semi Condensed" w:cs="Barlow Semi Condensed" w:eastAsia="Barlow Semi Condensed" w:hAnsi="Barlow Semi Condensed"/>
          <w:sz w:val="24"/>
          <w:szCs w:val="24"/>
        </w:rPr>
        <w:t xml:space="preserve">. Da un lato mostra, nel 1965, la statura del Moro Presidente del Consiglio ricevuto con onori pieni da Johnson, dal Congresso, dall'ONU — un capo di governo dell'alleato mediterraneo trattato come interlocutore di primo piano. Dall'altro, tredici anni dopo, restituisce l'onda del sequestro e della morte quale le cancellerie e i consolati americani la registrarono in tempo reale, dall'Argentina all'Italia. Le due estremità del lotto — il ricevimento del 1965 e il lutto del 1978 — inquadrano per contrasto la parabola dell'uomo di cui trattano gli altri documenti di questa cartella. Nessuna imputazione oltre il giudicato; nessun nesso affermato che le fonti non attestino.</w:t>
      </w:r>
    </w:p>
    <w:p>
      <w:pPr>
        <w:pStyle w:val="Heading3"/>
        <w:spacing w:after="80" w:before="240"/>
      </w:pPr>
      <w:r>
        <w:rPr>
          <w:rFonts w:ascii="Barlow Semi Condensed" w:cs="Barlow Semi Condensed" w:eastAsia="Barlow Semi Condensed" w:hAnsi="Barlow Semi Condensed"/>
          <w:sz w:val="24"/>
          <w:szCs w:val="24"/>
        </w:rPr>
        <w:t xml:space="preserve">Apparato grafico — Libro dodicesimo · I documenti del Dipartimento di Stato</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6"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Libro dodicesimo XII: 1.713 parole in 3 sezioni; la più ampia è §1 Strato I, con 831.</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7"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Libro dodicesimo XII: 27 paragrafi in 3 sezioni, 9 in media per sezione.</w:t>
      </w:r>
    </w:p>
    <w:p>
      <w:pPr>
        <w:spacing w:after="120"/>
        <w:jc w:val="center"/>
      </w:pPr>
      <w:r>
        <w:rPr>
          <w:rFonts w:ascii="Barlow Semi Condensed" w:cs="Barlow Semi Condensed" w:eastAsia="Barlow Semi Condensed" w:hAnsi="Barlow Semi Condensed"/>
          <w:color w:val="777777"/>
          <w:sz w:val="16"/>
          <w:szCs w:val="16"/>
        </w:rPr>
        <w:t xml:space="preserve">Le metriche dell'apparato contano parole, documenti e atti — mai colpe.</w:t>
      </w:r>
    </w:p>
    <w:p>
      <w:r>
        <w:br w:type="page"/>
      </w:r>
    </w:p>
    <w:p>
      <w:pPr>
        <w:pStyle w:val="Heading1"/>
        <w:spacing w:after="120" w:before="240"/>
      </w:pPr>
      <w:r>
        <w:rPr>
          <w:rFonts w:ascii="Barlow Semi Condensed" w:cs="Barlow Semi Condensed" w:eastAsia="Barlow Semi Condensed" w:hAnsi="Barlow Semi Condensed"/>
          <w:sz w:val="24"/>
          <w:szCs w:val="24"/>
        </w:rPr>
        <w:t xml:space="preserve">Libro dodicesimo — La dimensione diplomatica — XIII. Le pene oltre confine</w:t>
      </w:r>
    </w:p>
    <w:p>
      <w:pPr>
        <w:pStyle w:val="Heading1"/>
        <w:spacing w:after="120" w:before="240"/>
      </w:pPr>
      <w:r>
        <w:rPr>
          <w:rFonts w:ascii="Barlow Semi Condensed" w:cs="Barlow Semi Condensed" w:eastAsia="Barlow Semi Condensed" w:hAnsi="Barlow Semi Condensed"/>
          <w:sz w:val="24"/>
          <w:szCs w:val="24"/>
        </w:rPr>
        <w:t xml:space="preserve">Le pene oltre confine</w:t>
      </w:r>
    </w:p>
    <w:p>
      <w:pPr>
        <w:pStyle w:val="Heading2"/>
        <w:spacing w:after="100" w:before="200"/>
      </w:pPr>
      <w:r>
        <w:rPr>
          <w:rFonts w:ascii="Barlow Semi Condensed" w:cs="Barlow Semi Condensed" w:eastAsia="Barlow Semi Condensed" w:hAnsi="Barlow Semi Condensed"/>
          <w:sz w:val="24"/>
          <w:szCs w:val="24"/>
        </w:rPr>
        <w:t xml:space="preserve">L'affaire Mulinaris, la dottrina Mitterrand e la geografia delle latitanze</w:t>
      </w:r>
    </w:p>
    <w:p>
      <w:pPr>
        <w:spacing w:after="120" w:line="276"/>
        <w:jc w:val="both"/>
      </w:pPr>
      <w:r>
        <w:rPr>
          <w:rFonts w:ascii="Barlow Semi Condensed" w:cs="Barlow Semi Condensed" w:eastAsia="Barlow Semi Condensed" w:hAnsi="Barlow Semi Condensed"/>
          <w:i/>
          <w:iCs/>
          <w:sz w:val="24"/>
          <w:szCs w:val="24"/>
        </w:rPr>
        <w:t xml:space="preserve">Studio — 25 agosto 2026 · Complemento della dimensione diplomatica e della Fase decima</w:t>
      </w:r>
    </w:p>
    <w:p>
      <w:pPr>
        <w:pBdr>
          <w:left w:val="single" w:color="1F3864" w:sz="18" w:space="8"/>
        </w:pBdr>
        <w:spacing w:after="80" w:before="80"/>
        <w:ind w:left="360" w:right="360"/>
        <w:jc w:val="both"/>
      </w:pPr>
      <w:r>
        <w:rPr>
          <w:rFonts w:ascii="Barlow Semi Condensed" w:cs="Barlow Semi Condensed" w:eastAsia="Barlow Semi Condensed" w:hAnsi="Barlow Semi Condensed"/>
          <w:b/>
          <w:bCs/>
          <w:i w:val="false"/>
          <w:iCs w:val="false"/>
          <w:sz w:val="24"/>
          <w:szCs w:val="24"/>
        </w:rPr>
        <w:t xml:space="preserve">Statuto.</w:t>
      </w:r>
      <w:r>
        <w:rPr>
          <w:rFonts w:ascii="Barlow Semi Condensed" w:cs="Barlow Semi Condensed" w:eastAsia="Barlow Semi Condensed" w:hAnsi="Barlow Semi Condensed"/>
          <w:i w:val="false"/>
          <w:iCs w:val="false"/>
          <w:sz w:val="24"/>
          <w:szCs w:val="24"/>
        </w:rPr>
        <w:t xml:space="preserve"> La Fase decima ha chiuso il registro dei condannati; la triangolazione dei tredici ha mostrato che due di essi — Casimirri e Lojacono — sono condannati definitivi la cui pena non è mai stata eseguita, perché </w:t>
      </w:r>
      <w:r>
        <w:rPr>
          <w:rFonts w:ascii="Barlow Semi Condensed" w:cs="Barlow Semi Condensed" w:eastAsia="Barlow Semi Condensed" w:hAnsi="Barlow Semi Condensed"/>
          <w:b/>
          <w:bCs/>
          <w:i w:val="false"/>
          <w:iCs w:val="false"/>
          <w:sz w:val="24"/>
          <w:szCs w:val="24"/>
        </w:rPr>
        <w:t xml:space="preserve">l'esecuzione del giudicato oltre confine è funzione dei rapporti fra Stati, non della forza delle sentenze</w:t>
      </w:r>
      <w:r>
        <w:rPr>
          <w:rFonts w:ascii="Barlow Semi Condensed" w:cs="Barlow Semi Condensed" w:eastAsia="Barlow Semi Condensed" w:hAnsi="Barlow Semi Condensed"/>
          <w:i w:val="false"/>
          <w:iCs w:val="false"/>
          <w:sz w:val="24"/>
          <w:szCs w:val="24"/>
        </w:rPr>
        <w:t xml:space="preserve">. Questo studio percorre quel confine per intero: il caso dell'innocente stritolato dalla macchina (l'affaire Mulinaris, 1982-1986), la dottrina che per quarant'anni ha governato il rifugio francese (Mitterrand, 21 aprile 1985), le tre geografie che il registro ha incontrato, e l'epilogo giudiziario del 2021-2023. La disciplina è quella di sempre, con quattro presidi propri di questa materia: </w:t>
      </w:r>
      <w:r>
        <w:rPr>
          <w:rFonts w:ascii="Barlow Semi Condensed" w:cs="Barlow Semi Condensed" w:eastAsia="Barlow Semi Condensed" w:hAnsi="Barlow Semi Condensed"/>
          <w:b/>
          <w:bCs/>
          <w:i w:val="false"/>
          <w:iCs w:val="false"/>
          <w:sz w:val="24"/>
          <w:szCs w:val="24"/>
        </w:rPr>
        <w:t xml:space="preserve">l'asilo è un atto dello Stato che lo concede</w:t>
      </w:r>
      <w:r>
        <w:rPr>
          <w:rFonts w:ascii="Barlow Semi Condensed" w:cs="Barlow Semi Condensed" w:eastAsia="Barlow Semi Condensed" w:hAnsi="Barlow Semi Condensed"/>
          <w:i w:val="false"/>
          <w:iCs w:val="false"/>
          <w:sz w:val="24"/>
          <w:szCs w:val="24"/>
        </w:rPr>
        <w:t xml:space="preserve"> e non muta di un grammo la posizione giuridica del singolo; </w:t>
      </w:r>
      <w:r>
        <w:rPr>
          <w:rFonts w:ascii="Barlow Semi Condensed" w:cs="Barlow Semi Condensed" w:eastAsia="Barlow Semi Condensed" w:hAnsi="Barlow Semi Condensed"/>
          <w:b/>
          <w:bCs/>
          <w:i w:val="false"/>
          <w:iCs w:val="false"/>
          <w:sz w:val="24"/>
          <w:szCs w:val="24"/>
        </w:rPr>
        <w:t xml:space="preserve">la dottrina non è una prova</w:t>
      </w:r>
      <w:r>
        <w:rPr>
          <w:rFonts w:ascii="Barlow Semi Condensed" w:cs="Barlow Semi Condensed" w:eastAsia="Barlow Semi Condensed" w:hAnsi="Barlow Semi Condensed"/>
          <w:i w:val="false"/>
          <w:iCs w:val="false"/>
          <w:sz w:val="24"/>
          <w:szCs w:val="24"/>
        </w:rPr>
        <w:t xml:space="preserve"> — né di colpa né di innocenza — ma una politica; le condanne restano condanne e le assoluzioni assoluzioni, qualunque frontiera le separi dall'esecuzione; e la geografia non è una gerarchia morale. Ogni fatto è verificato su fonti prima della stesura.</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Capitolo I — Il quesito: il giudicato che non raggiunge</w:t>
      </w:r>
    </w:p>
    <w:p>
      <w:pPr>
        <w:spacing w:after="120" w:line="276"/>
        <w:jc w:val="both"/>
      </w:pPr>
      <w:r>
        <w:rPr>
          <w:rFonts w:ascii="Barlow Semi Condensed" w:cs="Barlow Semi Condensed" w:eastAsia="Barlow Semi Condensed" w:hAnsi="Barlow Semi Condensed"/>
          <w:sz w:val="24"/>
          <w:szCs w:val="24"/>
        </w:rPr>
        <w:t xml:space="preserve">Una sentenza definitiva fa due cose: accerta e dispone. La prima è irrevocabile ovunque; la seconda si ferma alla frontiera. Il caso Moro consegna al quesito i suoi due esempi già censiti: </w:t>
      </w:r>
      <w:r>
        <w:rPr>
          <w:rFonts w:ascii="Barlow Semi Condensed" w:cs="Barlow Semi Condensed" w:eastAsia="Barlow Semi Condensed" w:hAnsi="Barlow Semi Condensed"/>
          <w:b/>
          <w:bCs/>
          <w:sz w:val="24"/>
          <w:szCs w:val="24"/>
        </w:rPr>
        <w:t xml:space="preserve">Alessio Casimirri</w:t>
      </w:r>
      <w:r>
        <w:rPr>
          <w:rFonts w:ascii="Barlow Semi Condensed" w:cs="Barlow Semi Condensed" w:eastAsia="Barlow Semi Condensed" w:hAnsi="Barlow Semi Condensed"/>
          <w:sz w:val="24"/>
          <w:szCs w:val="24"/>
        </w:rPr>
        <w:t xml:space="preserve">, sei ergastoli in contumacia, in Nicaragua dal 1982, mai arrestato; </w:t>
      </w:r>
      <w:r>
        <w:rPr>
          <w:rFonts w:ascii="Barlow Semi Condensed" w:cs="Barlow Semi Condensed" w:eastAsia="Barlow Semi Condensed" w:hAnsi="Barlow Semi Condensed"/>
          <w:b/>
          <w:bCs/>
          <w:sz w:val="24"/>
          <w:szCs w:val="24"/>
        </w:rPr>
        <w:t xml:space="preserve">Alvaro Lojacono</w:t>
      </w:r>
      <w:r>
        <w:rPr>
          <w:rFonts w:ascii="Barlow Semi Condensed" w:cs="Barlow Semi Condensed" w:eastAsia="Barlow Semi Condensed" w:hAnsi="Barlow Semi Condensed"/>
          <w:sz w:val="24"/>
          <w:szCs w:val="24"/>
        </w:rPr>
        <w:t xml:space="preserve">, condannato in via definitiva nel 1997, cittadino svizzero per parte di madre, non estradabile perché </w:t>
      </w:r>
      <w:r>
        <w:rPr>
          <w:rFonts w:ascii="Barlow Semi Condensed" w:cs="Barlow Semi Condensed" w:eastAsia="Barlow Semi Condensed" w:hAnsi="Barlow Semi Condensed"/>
          <w:b/>
          <w:bCs/>
          <w:sz w:val="24"/>
          <w:szCs w:val="24"/>
        </w:rPr>
        <w:t xml:space="preserve">la Svizzera non estrada i propri cittadini senza il loro consenso</w:t>
      </w:r>
      <w:r>
        <w:rPr>
          <w:rFonts w:ascii="Barlow Semi Condensed" w:cs="Barlow Semi Condensed" w:eastAsia="Barlow Semi Condensed" w:hAnsi="Barlow Semi Condensed"/>
          <w:sz w:val="24"/>
          <w:szCs w:val="24"/>
        </w:rPr>
        <w:t xml:space="preserve">. E consegna anche il contro-caso che impedisce ogni fatalismo: </w:t>
      </w:r>
      <w:r>
        <w:rPr>
          <w:rFonts w:ascii="Barlow Semi Condensed" w:cs="Barlow Semi Condensed" w:eastAsia="Barlow Semi Condensed" w:hAnsi="Barlow Semi Condensed"/>
          <w:b/>
          <w:bCs/>
          <w:sz w:val="24"/>
          <w:szCs w:val="24"/>
        </w:rPr>
        <w:t xml:space="preserve">Rita Algranati</w:t>
      </w:r>
      <w:r>
        <w:rPr>
          <w:rFonts w:ascii="Barlow Semi Condensed" w:cs="Barlow Semi Condensed" w:eastAsia="Barlow Semi Condensed" w:hAnsi="Barlow Semi Condensed"/>
          <w:sz w:val="24"/>
          <w:szCs w:val="24"/>
        </w:rPr>
        <w:t xml:space="preserve">, catturata al </w:t>
      </w:r>
      <w:r>
        <w:rPr>
          <w:rFonts w:ascii="Barlow Semi Condensed" w:cs="Barlow Semi Condensed" w:eastAsia="Barlow Semi Condensed" w:hAnsi="Barlow Semi Condensed"/>
          <w:b/>
          <w:bCs/>
          <w:sz w:val="24"/>
          <w:szCs w:val="24"/>
        </w:rPr>
        <w:t xml:space="preserve">Cairo nel 2004</w:t>
      </w:r>
      <w:r>
        <w:rPr>
          <w:rFonts w:ascii="Barlow Semi Condensed" w:cs="Barlow Semi Condensed" w:eastAsia="Barlow Semi Condensed" w:hAnsi="Barlow Semi Condensed"/>
          <w:sz w:val="24"/>
          <w:szCs w:val="24"/>
        </w:rPr>
        <w:t xml:space="preserve"> e consegnata all'Italia — a dimostrazione che la latitanza non è un destino ma una variabile diplomatica: dove lo Stato ospite coopera, il ricercato viene consegnato; dove non coopera, il giudicato resta lettera. Il quesito di questo studio è dunque politico-giuridico, non criminale: </w:t>
      </w:r>
      <w:r>
        <w:rPr>
          <w:rFonts w:ascii="Barlow Semi Condensed" w:cs="Barlow Semi Condensed" w:eastAsia="Barlow Semi Condensed" w:hAnsi="Barlow Semi Condensed"/>
          <w:b/>
          <w:bCs/>
          <w:sz w:val="24"/>
          <w:szCs w:val="24"/>
        </w:rPr>
        <w:t xml:space="preserve">che cosa decide se una pena attraversa una frontiera?</w:t>
      </w:r>
    </w:p>
    <w:p>
      <w:pPr>
        <w:pStyle w:val="Heading2"/>
        <w:spacing w:after="100" w:before="200"/>
      </w:pPr>
      <w:r>
        <w:rPr>
          <w:rFonts w:ascii="Barlow Semi Condensed" w:cs="Barlow Semi Condensed" w:eastAsia="Barlow Semi Condensed" w:hAnsi="Barlow Semi Condensed"/>
          <w:sz w:val="24"/>
          <w:szCs w:val="24"/>
        </w:rPr>
        <w:t xml:space="preserve">Capitolo II — L'affaire Mulinaris (1982-1986): l'innocente dentro la macchina</w:t>
      </w:r>
    </w:p>
    <w:p>
      <w:pPr>
        <w:spacing w:after="120" w:line="276"/>
        <w:jc w:val="both"/>
      </w:pPr>
      <w:r>
        <w:rPr>
          <w:rFonts w:ascii="Barlow Semi Condensed" w:cs="Barlow Semi Condensed" w:eastAsia="Barlow Semi Condensed" w:hAnsi="Barlow Semi Condensed"/>
          <w:sz w:val="24"/>
          <w:szCs w:val="24"/>
        </w:rPr>
        <w:t xml:space="preserve">Prima di guardare la macchina dal lato dei condannati, bisogna guardarla dal lato in cui macinò un innocente — perché è lì che essa mostra la propria natura. </w:t>
      </w:r>
      <w:r>
        <w:rPr>
          <w:rFonts w:ascii="Barlow Semi Condensed" w:cs="Barlow Semi Condensed" w:eastAsia="Barlow Semi Condensed" w:hAnsi="Barlow Semi Condensed"/>
          <w:b/>
          <w:bCs/>
          <w:sz w:val="24"/>
          <w:szCs w:val="24"/>
        </w:rPr>
        <w:t xml:space="preserve">Vanni Mulinaris</w:t>
      </w:r>
      <w:r>
        <w:rPr>
          <w:rFonts w:ascii="Barlow Semi Condensed" w:cs="Barlow Semi Condensed" w:eastAsia="Barlow Semi Condensed" w:hAnsi="Barlow Semi Condensed"/>
          <w:sz w:val="24"/>
          <w:szCs w:val="24"/>
        </w:rPr>
        <w:t xml:space="preserve"> fu arrestato a Udine il </w:t>
      </w:r>
      <w:r>
        <w:rPr>
          <w:rFonts w:ascii="Barlow Semi Condensed" w:cs="Barlow Semi Condensed" w:eastAsia="Barlow Semi Condensed" w:hAnsi="Barlow Semi Condensed"/>
          <w:b/>
          <w:bCs/>
          <w:sz w:val="24"/>
          <w:szCs w:val="24"/>
        </w:rPr>
        <w:t xml:space="preserve">2 febbraio 1982</w:t>
      </w:r>
      <w:r>
        <w:rPr>
          <w:rFonts w:ascii="Barlow Semi Condensed" w:cs="Barlow Semi Condensed" w:eastAsia="Barlow Semi Condensed" w:hAnsi="Barlow Semi Condensed"/>
          <w:sz w:val="24"/>
          <w:szCs w:val="24"/>
        </w:rPr>
        <w:t xml:space="preserve"> su dichiarazioni di pentiti; conobbe il carcere, i </w:t>
      </w:r>
      <w:r>
        <w:rPr>
          <w:rFonts w:ascii="Barlow Semi Condensed" w:cs="Barlow Semi Condensed" w:eastAsia="Barlow Semi Condensed" w:hAnsi="Barlow Semi Condensed"/>
          <w:b/>
          <w:bCs/>
          <w:sz w:val="24"/>
          <w:szCs w:val="24"/>
        </w:rPr>
        <w:t xml:space="preserve">digiuni prolungati</w:t>
      </w:r>
      <w:r>
        <w:rPr>
          <w:rFonts w:ascii="Barlow Semi Condensed" w:cs="Barlow Semi Condensed" w:eastAsia="Barlow Semi Condensed" w:hAnsi="Barlow Semi Condensed"/>
          <w:sz w:val="24"/>
          <w:szCs w:val="24"/>
        </w:rPr>
        <w:t xml:space="preserve">, gli arresti domiciliari; attorno a lui si mosse un comitato internazionale guidato dall'</w:t>
      </w:r>
      <w:r>
        <w:rPr>
          <w:rFonts w:ascii="Barlow Semi Condensed" w:cs="Barlow Semi Condensed" w:eastAsia="Barlow Semi Condensed" w:hAnsi="Barlow Semi Condensed"/>
          <w:b/>
          <w:bCs/>
          <w:sz w:val="24"/>
          <w:szCs w:val="24"/>
        </w:rPr>
        <w:t xml:space="preserve">Abbé Pierre</w:t>
      </w:r>
      <w:r>
        <w:rPr>
          <w:rFonts w:ascii="Barlow Semi Condensed" w:cs="Barlow Semi Condensed" w:eastAsia="Barlow Semi Condensed" w:hAnsi="Barlow Semi Condensed"/>
          <w:sz w:val="24"/>
          <w:szCs w:val="24"/>
        </w:rPr>
        <w:t xml:space="preserve">, che il </w:t>
      </w:r>
      <w:r>
        <w:rPr>
          <w:rFonts w:ascii="Barlow Semi Condensed" w:cs="Barlow Semi Condensed" w:eastAsia="Barlow Semi Condensed" w:hAnsi="Barlow Semi Condensed"/>
          <w:b/>
          <w:bCs/>
          <w:sz w:val="24"/>
          <w:szCs w:val="24"/>
        </w:rPr>
        <w:t xml:space="preserve">22 giugno 1984</w:t>
      </w:r>
      <w:r>
        <w:rPr>
          <w:rFonts w:ascii="Barlow Semi Condensed" w:cs="Barlow Semi Condensed" w:eastAsia="Barlow Semi Condensed" w:hAnsi="Barlow Semi Condensed"/>
          <w:sz w:val="24"/>
          <w:szCs w:val="24"/>
        </w:rPr>
        <w:t xml:space="preserve"> tenne a Roma la conferenza stampa sul «caso di Vanni Mulinaris, detenuto in attesa di processo» (Radio Radicale, registrazione del 22/6/1984 (https://www.radioradicale.it/scheda/63262/il-caso-di-vanni-mulinaris-detenuto-in-attesa-di-processo)); la vicenda divenne un attrito bilaterale che la storiografia studia oggi come </w:t>
      </w:r>
      <w:r>
        <w:rPr>
          <w:rFonts w:ascii="Barlow Semi Condensed" w:cs="Barlow Semi Condensed" w:eastAsia="Barlow Semi Condensed" w:hAnsi="Barlow Semi Condensed"/>
          <w:b/>
          <w:bCs/>
          <w:sz w:val="24"/>
          <w:szCs w:val="24"/>
        </w:rPr>
        <w:t xml:space="preserve">«un'intrigue franco-italienne»</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L'affaire Mulinaris (1982-1986)</w:t>
      </w:r>
      <w:r>
        <w:rPr>
          <w:rFonts w:ascii="Barlow Semi Condensed" w:cs="Barlow Semi Condensed" w:eastAsia="Barlow Semi Condensed" w:hAnsi="Barlow Semi Condensed"/>
          <w:sz w:val="24"/>
          <w:szCs w:val="24"/>
        </w:rPr>
        <w:t xml:space="preserve">, Matériaux pour l'histoire de notre temps, 2015 (https://shs.cairn.info/journal-materiaux-pour-l-histoire-de-notre-temps-2015-1-page-72?lang=en)). L'esito è già nel corpus e va ripetuto ogni volta per intero: </w:t>
      </w:r>
      <w:r>
        <w:rPr>
          <w:rFonts w:ascii="Barlow Semi Condensed" w:cs="Barlow Semi Condensed" w:eastAsia="Barlow Semi Condensed" w:hAnsi="Barlow Semi Condensed"/>
          <w:b/>
          <w:bCs/>
          <w:sz w:val="24"/>
          <w:szCs w:val="24"/>
        </w:rPr>
        <w:t xml:space="preserve">assoluzione con formula piena e risarcimento di cento milioni</w:t>
      </w:r>
      <w:r>
        <w:rPr>
          <w:rFonts w:ascii="Barlow Semi Condensed" w:cs="Barlow Semi Condensed" w:eastAsia="Barlow Semi Condensed" w:hAnsi="Barlow Semi Condensed"/>
          <w:sz w:val="24"/>
          <w:szCs w:val="24"/>
        </w:rPr>
        <w:t xml:space="preserve"> per l'ingiusta detenzione.</w:t>
      </w:r>
    </w:p>
    <w:p>
      <w:pPr>
        <w:spacing w:after="120" w:line="276"/>
        <w:jc w:val="both"/>
      </w:pPr>
      <w:r>
        <w:rPr>
          <w:rFonts w:ascii="Barlow Semi Condensed" w:cs="Barlow Semi Condensed" w:eastAsia="Barlow Semi Condensed" w:hAnsi="Barlow Semi Condensed"/>
          <w:sz w:val="24"/>
          <w:szCs w:val="24"/>
        </w:rPr>
        <w:t xml:space="preserve">Il valore analitico dell'affaire per questo studio è la sua </w:t>
      </w:r>
      <w:r>
        <w:rPr>
          <w:rFonts w:ascii="Barlow Semi Condensed" w:cs="Barlow Semi Condensed" w:eastAsia="Barlow Semi Condensed" w:hAnsi="Barlow Semi Condensed"/>
          <w:b/>
          <w:bCs/>
          <w:sz w:val="24"/>
          <w:szCs w:val="24"/>
        </w:rPr>
        <w:t xml:space="preserve">cronologia</w:t>
      </w:r>
      <w:r>
        <w:rPr>
          <w:rFonts w:ascii="Barlow Semi Condensed" w:cs="Barlow Semi Condensed" w:eastAsia="Barlow Semi Condensed" w:hAnsi="Barlow Semi Condensed"/>
          <w:sz w:val="24"/>
          <w:szCs w:val="24"/>
        </w:rPr>
        <w:t xml:space="preserve">: 1982-1986 — esattamente gli anni in cui, a Parigi, matura la dottrina del rifugio. Il caso di un residente in Francia detenuto per anni in Italia senza condanna, difeso pubblicamente dal più amato dei religiosi francesi, alimentò nell'opinione e nelle élite d'oltralpe la percezione di una giustizia italiana dell'emergenza — percezione che è parte del </w:t>
      </w:r>
      <w:r>
        <w:rPr>
          <w:rFonts w:ascii="Barlow Semi Condensed" w:cs="Barlow Semi Condensed" w:eastAsia="Barlow Semi Condensed" w:hAnsi="Barlow Semi Condensed"/>
          <w:b/>
          <w:bCs/>
          <w:sz w:val="24"/>
          <w:szCs w:val="24"/>
        </w:rPr>
        <w:t xml:space="preserve">clima</w:t>
      </w:r>
      <w:r>
        <w:rPr>
          <w:rFonts w:ascii="Barlow Semi Condensed" w:cs="Barlow Semi Condensed" w:eastAsia="Barlow Semi Condensed" w:hAnsi="Barlow Semi Condensed"/>
          <w:sz w:val="24"/>
          <w:szCs w:val="24"/>
        </w:rPr>
        <w:t xml:space="preserve"> in cui la dottrina nacque. Questo è un nesso di contesto documentato dalla storiografia dell'affaire, e va tenuto al suo grado: il clima spiega, non giustifica né fonda; e nessuna dottrina si regge su un solo caso.</w:t>
      </w:r>
    </w:p>
    <w:p>
      <w:pPr>
        <w:pStyle w:val="Heading2"/>
        <w:spacing w:after="100" w:before="200"/>
      </w:pPr>
      <w:r>
        <w:rPr>
          <w:rFonts w:ascii="Barlow Semi Condensed" w:cs="Barlow Semi Condensed" w:eastAsia="Barlow Semi Condensed" w:hAnsi="Barlow Semi Condensed"/>
          <w:sz w:val="24"/>
          <w:szCs w:val="24"/>
        </w:rPr>
        <w:t xml:space="preserve">Capitolo III — La dottrina Mitterrand (21 aprile 1985): una politica, non una legge</w:t>
      </w:r>
    </w:p>
    <w:p>
      <w:pPr>
        <w:spacing w:after="120" w:line="276"/>
        <w:jc w:val="both"/>
      </w:pPr>
      <w:r>
        <w:rPr>
          <w:rFonts w:ascii="Barlow Semi Condensed" w:cs="Barlow Semi Condensed" w:eastAsia="Barlow Semi Condensed" w:hAnsi="Barlow Semi Condensed"/>
          <w:sz w:val="24"/>
          <w:szCs w:val="24"/>
        </w:rPr>
        <w:t xml:space="preserve">Il </w:t>
      </w:r>
      <w:r>
        <w:rPr>
          <w:rFonts w:ascii="Barlow Semi Condensed" w:cs="Barlow Semi Condensed" w:eastAsia="Barlow Semi Condensed" w:hAnsi="Barlow Semi Condensed"/>
          <w:b/>
          <w:bCs/>
          <w:sz w:val="24"/>
          <w:szCs w:val="24"/>
        </w:rPr>
        <w:t xml:space="preserve">21 aprile 1985</w:t>
      </w:r>
      <w:r>
        <w:rPr>
          <w:rFonts w:ascii="Barlow Semi Condensed" w:cs="Barlow Semi Condensed" w:eastAsia="Barlow Semi Condensed" w:hAnsi="Barlow Semi Condensed"/>
          <w:sz w:val="24"/>
          <w:szCs w:val="24"/>
        </w:rPr>
        <w:t xml:space="preserve">, davanti al 65° congresso della </w:t>
      </w:r>
      <w:r>
        <w:rPr>
          <w:rFonts w:ascii="Barlow Semi Condensed" w:cs="Barlow Semi Condensed" w:eastAsia="Barlow Semi Condensed" w:hAnsi="Barlow Semi Condensed"/>
          <w:b/>
          <w:bCs/>
          <w:sz w:val="24"/>
          <w:szCs w:val="24"/>
        </w:rPr>
        <w:t xml:space="preserve">Ligue des droits de l'homme</w:t>
      </w:r>
      <w:r>
        <w:rPr>
          <w:rFonts w:ascii="Barlow Semi Condensed" w:cs="Barlow Semi Condensed" w:eastAsia="Barlow Semi Condensed" w:hAnsi="Barlow Semi Condensed"/>
          <w:sz w:val="24"/>
          <w:szCs w:val="24"/>
        </w:rPr>
        <w:t xml:space="preserve">, François Mitterrand formulò a voce il principio che nessun testo normativo avrebbe mai recepito: i rifugiati italiani che avevano «partecipato all'azione terroristica prima del 1981», che avevano «rotto i legami con la macchina infernale nella quale si erano imbarcati», avviato «una seconda fase della propria vita» e trovato inserimento nella società francese, erano — così disse — «al riparo da ogni sanzione per via di estradizione» (Wikipedia, </w:t>
      </w:r>
      <w:r>
        <w:rPr>
          <w:rFonts w:ascii="Barlow Semi Condensed" w:cs="Barlow Semi Condensed" w:eastAsia="Barlow Semi Condensed" w:hAnsi="Barlow Semi Condensed"/>
          <w:i/>
          <w:iCs/>
          <w:sz w:val="24"/>
          <w:szCs w:val="24"/>
        </w:rPr>
        <w:t xml:space="preserve">Mitterrand doctrine</w:t>
      </w:r>
      <w:r>
        <w:rPr>
          <w:rFonts w:ascii="Barlow Semi Condensed" w:cs="Barlow Semi Condensed" w:eastAsia="Barlow Semi Condensed" w:hAnsi="Barlow Semi Condensed"/>
          <w:sz w:val="24"/>
          <w:szCs w:val="24"/>
        </w:rPr>
        <w:t xml:space="preserve"> (https://en.wikipedia.org/wiki/Mitterrand_doctrine); Diritto Penale e Uomo, «La "dottrina Mitterrand" sull'estradizione e la svolta francese» (https://dirittopenaleuomo.org/en/contributi_dpu/the-mitterand-doctrine-overturned/); AGI (https://www.agi.it/estero/news/2021-04-28/dottrina-mitterrand-francia-terrorismo-12352267/)).</w:t>
      </w:r>
    </w:p>
    <w:p>
      <w:pPr>
        <w:spacing w:after="120" w:line="276"/>
        <w:jc w:val="both"/>
      </w:pPr>
      <w:r>
        <w:rPr>
          <w:rFonts w:ascii="Barlow Semi Condensed" w:cs="Barlow Semi Condensed" w:eastAsia="Barlow Semi Condensed" w:hAnsi="Barlow Semi Condensed"/>
          <w:sz w:val="24"/>
          <w:szCs w:val="24"/>
        </w:rPr>
        <w:t xml:space="preserve">Tre caratteri della dottrina vanno fissati, perché portano tutto il peso analitico. </w:t>
      </w:r>
      <w:r>
        <w:rPr>
          <w:rFonts w:ascii="Barlow Semi Condensed" w:cs="Barlow Semi Condensed" w:eastAsia="Barlow Semi Condensed" w:hAnsi="Barlow Semi Condensed"/>
          <w:b/>
          <w:bCs/>
          <w:sz w:val="24"/>
          <w:szCs w:val="24"/>
        </w:rPr>
        <w:t xml:space="preserve">Primo: fu sempre e soltanto una parola</w:t>
      </w:r>
      <w:r>
        <w:rPr>
          <w:rFonts w:ascii="Barlow Semi Condensed" w:cs="Barlow Semi Condensed" w:eastAsia="Barlow Semi Condensed" w:hAnsi="Barlow Semi Condensed"/>
          <w:sz w:val="24"/>
          <w:szCs w:val="24"/>
        </w:rPr>
        <w:t xml:space="preserve"> — un principio verbale, mai scritto, mai legge: revocabile, quindi, con la stessa facilità con cui fu enunciato. </w:t>
      </w:r>
      <w:r>
        <w:rPr>
          <w:rFonts w:ascii="Barlow Semi Condensed" w:cs="Barlow Semi Condensed" w:eastAsia="Barlow Semi Condensed" w:hAnsi="Barlow Semi Condensed"/>
          <w:b/>
          <w:bCs/>
          <w:sz w:val="24"/>
          <w:szCs w:val="24"/>
        </w:rPr>
        <w:t xml:space="preserve">Secondo: le sue condizioni erano giudicate da chi proteggeva</w:t>
      </w:r>
      <w:r>
        <w:rPr>
          <w:rFonts w:ascii="Barlow Semi Condensed" w:cs="Barlow Semi Condensed" w:eastAsia="Barlow Semi Condensed" w:hAnsi="Barlow Semi Condensed"/>
          <w:sz w:val="24"/>
          <w:szCs w:val="24"/>
        </w:rPr>
        <w:t xml:space="preserve"> — la «rottura con la violenza» e l'«integrazione» non le accertava un tribunale, le apprezzava lo Stato ospite; la dottrina spostava così dal giudice al politico la decisione sull'esecuzione di sentenze altrui. </w:t>
      </w:r>
      <w:r>
        <w:rPr>
          <w:rFonts w:ascii="Barlow Semi Condensed" w:cs="Barlow Semi Condensed" w:eastAsia="Barlow Semi Condensed" w:hAnsi="Barlow Semi Condensed"/>
          <w:b/>
          <w:bCs/>
          <w:sz w:val="24"/>
          <w:szCs w:val="24"/>
        </w:rPr>
        <w:t xml:space="preserve">Terzo: proteggeva dall'esecuzione, non dal giudizio</w:t>
      </w:r>
      <w:r>
        <w:rPr>
          <w:rFonts w:ascii="Barlow Semi Condensed" w:cs="Barlow Semi Condensed" w:eastAsia="Barlow Semi Condensed" w:hAnsi="Barlow Semi Condensed"/>
          <w:sz w:val="24"/>
          <w:szCs w:val="24"/>
        </w:rPr>
        <w:t xml:space="preserve"> — le condanne italiane restavano ferme e irrevocabili; ciò che la Francia sospendeva era il braccio, non l'accertamento. È per questo che la dottrina non è mai stata, e non può essere trattata come, un giudizio sull'innocenza o sulla colpa di chicchessia: è una </w:t>
      </w:r>
      <w:r>
        <w:rPr>
          <w:rFonts w:ascii="Barlow Semi Condensed" w:cs="Barlow Semi Condensed" w:eastAsia="Barlow Semi Condensed" w:hAnsi="Barlow Semi Condensed"/>
          <w:b/>
          <w:bCs/>
          <w:sz w:val="24"/>
          <w:szCs w:val="24"/>
        </w:rPr>
        <w:t xml:space="preserve">politica dell'asilo</w:t>
      </w:r>
      <w:r>
        <w:rPr>
          <w:rFonts w:ascii="Barlow Semi Condensed" w:cs="Barlow Semi Condensed" w:eastAsia="Barlow Semi Condensed" w:hAnsi="Barlow Semi Condensed"/>
          <w:sz w:val="24"/>
          <w:szCs w:val="24"/>
        </w:rPr>
        <w:t xml:space="preserve">, e come tale appartiene alla storia dei rapporti franco-italiani — non ai fascicoli delle persone.</w:t>
      </w:r>
    </w:p>
    <w:p>
      <w:pPr>
        <w:pStyle w:val="Heading2"/>
        <w:spacing w:after="100" w:before="200"/>
      </w:pPr>
      <w:r>
        <w:rPr>
          <w:rFonts w:ascii="Barlow Semi Condensed" w:cs="Barlow Semi Condensed" w:eastAsia="Barlow Semi Condensed" w:hAnsi="Barlow Semi Condensed"/>
          <w:sz w:val="24"/>
          <w:szCs w:val="24"/>
        </w:rPr>
        <w:t xml:space="preserve">Capitolo IV — Le tre geografie del registro (e il contro-caso)</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40"/>
        <w:gridCol w:w="2340"/>
        <w:gridCol w:w="2340"/>
        <w:gridCol w:w="2340"/>
      </w:tblGrid>
      <w:tr>
        <w:tc>
          <w:tcPr>
            <w:tcW w:type="dxa" w:w="234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Geografia</w:t>
            </w:r>
          </w:p>
        </w:tc>
        <w:tc>
          <w:tcPr>
            <w:tcW w:type="dxa" w:w="234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Meccanismo</w:t>
            </w:r>
          </w:p>
        </w:tc>
        <w:tc>
          <w:tcPr>
            <w:tcW w:type="dxa" w:w="234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Persona del corpus</w:t>
            </w:r>
          </w:p>
        </w:tc>
        <w:tc>
          <w:tcPr>
            <w:tcW w:type="dxa" w:w="234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Esito</w:t>
            </w:r>
          </w:p>
        </w:tc>
      </w:tr>
      <w:tr>
        <w:tc>
          <w:tcPr>
            <w:tcW w:type="dxa" w:w="2340"/>
          </w:tcPr>
          <w:p>
            <w:pPr>
              <w:spacing w:after="20" w:before="20"/>
              <w:jc w:val="both"/>
            </w:pPr>
            <w:r>
              <w:rPr>
                <w:rFonts w:ascii="Barlow Semi Condensed" w:cs="Barlow Semi Condensed" w:eastAsia="Barlow Semi Condensed" w:hAnsi="Barlow Semi Condensed"/>
                <w:b/>
                <w:bCs/>
                <w:sz w:val="20"/>
                <w:szCs w:val="20"/>
              </w:rPr>
              <w:t xml:space="preserve">Nicaragua</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Protezione politica di uno Stato terzo; richieste di estradizione respinte</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Casimirri (sei ergastoli, contumacia)</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Pena mai eseguita; tensioni diplomatiche fino ad anni recenti</w:t>
            </w:r>
          </w:p>
        </w:tc>
      </w:tr>
      <w:tr>
        <w:tc>
          <w:tcPr>
            <w:tcW w:type="dxa" w:w="2340"/>
          </w:tcPr>
          <w:p>
            <w:pPr>
              <w:spacing w:after="20" w:before="20"/>
              <w:jc w:val="both"/>
            </w:pPr>
            <w:r>
              <w:rPr>
                <w:rFonts w:ascii="Barlow Semi Condensed" w:cs="Barlow Semi Condensed" w:eastAsia="Barlow Semi Condensed" w:hAnsi="Barlow Semi Condensed"/>
                <w:b/>
                <w:bCs/>
                <w:sz w:val="20"/>
                <w:szCs w:val="20"/>
              </w:rPr>
              <w:t xml:space="preserve">Svizzera</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Regola di ordinamento: non si estradano i propri cittadini</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Lojacono (definitivo 1997; cittadino per parte di madre)</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Pena non eseguita per statuto di cittadinanza</w:t>
            </w:r>
          </w:p>
        </w:tc>
      </w:tr>
      <w:tr>
        <w:tc>
          <w:tcPr>
            <w:tcW w:type="dxa" w:w="2340"/>
          </w:tcPr>
          <w:p>
            <w:pPr>
              <w:spacing w:after="20" w:before="20"/>
              <w:jc w:val="both"/>
            </w:pPr>
            <w:r>
              <w:rPr>
                <w:rFonts w:ascii="Barlow Semi Condensed" w:cs="Barlow Semi Condensed" w:eastAsia="Barlow Semi Condensed" w:hAnsi="Barlow Semi Condensed"/>
                <w:b/>
                <w:bCs/>
                <w:sz w:val="20"/>
                <w:szCs w:val="20"/>
              </w:rPr>
              <w:t xml:space="preserve">Francia</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Dottrina Mitterrand: politica verbale del rifugio condizionato</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 nessuno dei tredici del registro</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Cornice del fenomeno; epilogo al capitolo V</w:t>
            </w:r>
          </w:p>
        </w:tc>
      </w:tr>
      <w:tr>
        <w:tc>
          <w:tcPr>
            <w:tcW w:type="dxa" w:w="2340"/>
          </w:tcPr>
          <w:p>
            <w:pPr>
              <w:spacing w:after="20" w:before="20"/>
              <w:jc w:val="both"/>
            </w:pPr>
            <w:r>
              <w:rPr>
                <w:rFonts w:ascii="Barlow Semi Condensed" w:cs="Barlow Semi Condensed" w:eastAsia="Barlow Semi Condensed" w:hAnsi="Barlow Semi Condensed"/>
                <w:b/>
                <w:bCs/>
                <w:sz w:val="20"/>
                <w:szCs w:val="20"/>
              </w:rPr>
              <w:t xml:space="preserve">Il contro-caso: Egitto</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Cooperazione fra Stati</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Algranati (catturata al Cairo, 2004)</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Consegna all'Italia</w:t>
            </w:r>
          </w:p>
        </w:tc>
      </w:tr>
    </w:tbl>
    <w:p>
      <w:pPr>
        <w:spacing w:after="80"/>
      </w:pPr>
    </w:p>
    <w:p>
      <w:pPr>
        <w:spacing w:after="120" w:line="276"/>
        <w:jc w:val="both"/>
      </w:pPr>
      <w:r>
        <w:rPr>
          <w:rFonts w:ascii="Barlow Semi Condensed" w:cs="Barlow Semi Condensed" w:eastAsia="Barlow Semi Condensed" w:hAnsi="Barlow Semi Condensed"/>
          <w:sz w:val="24"/>
          <w:szCs w:val="24"/>
        </w:rPr>
        <w:t xml:space="preserve">La tavola dice il risultato del capitolo: </w:t>
      </w:r>
      <w:r>
        <w:rPr>
          <w:rFonts w:ascii="Barlow Semi Condensed" w:cs="Barlow Semi Condensed" w:eastAsia="Barlow Semi Condensed" w:hAnsi="Barlow Semi Condensed"/>
          <w:b/>
          <w:bCs/>
          <w:sz w:val="24"/>
          <w:szCs w:val="24"/>
        </w:rPr>
        <w:t xml:space="preserve">tre meccanismi diversissimi — protezione politica, regola di cittadinanza, dottrina d'asilo — producono lo stesso effetto</w:t>
      </w:r>
      <w:r>
        <w:rPr>
          <w:rFonts w:ascii="Barlow Semi Condensed" w:cs="Barlow Semi Condensed" w:eastAsia="Barlow Semi Condensed" w:hAnsi="Barlow Semi Condensed"/>
          <w:sz w:val="24"/>
          <w:szCs w:val="24"/>
        </w:rPr>
        <w:t xml:space="preserve">, e un quarto meccanismo (la cooperazione) produce l'effetto opposto. Nessuno dei quattro dice nulla sulle persone: dice tutto sugli Stati. Ed è per questo che la materia appartiene alla </w:t>
      </w:r>
      <w:r>
        <w:rPr>
          <w:rFonts w:ascii="Barlow Semi Condensed" w:cs="Barlow Semi Condensed" w:eastAsia="Barlow Semi Condensed" w:hAnsi="Barlow Semi Condensed"/>
          <w:b/>
          <w:bCs/>
          <w:sz w:val="24"/>
          <w:szCs w:val="24"/>
        </w:rPr>
        <w:t xml:space="preserve">dimensione diplomatica</w:t>
      </w:r>
      <w:r>
        <w:rPr>
          <w:rFonts w:ascii="Barlow Semi Condensed" w:cs="Barlow Semi Condensed" w:eastAsia="Barlow Semi Condensed" w:hAnsi="Barlow Semi Condensed"/>
          <w:sz w:val="24"/>
          <w:szCs w:val="24"/>
        </w:rPr>
        <w:t xml:space="preserve"> del corpus — la stessa cartella dove si è documentato il Moro ministro degli Esteri: l'estradizione è, alla lettera, politica estera applicata al giudicato.</w:t>
      </w:r>
    </w:p>
    <w:p>
      <w:pPr>
        <w:pStyle w:val="Heading2"/>
        <w:spacing w:after="100" w:before="200"/>
      </w:pPr>
      <w:r>
        <w:rPr>
          <w:rFonts w:ascii="Barlow Semi Condensed" w:cs="Barlow Semi Condensed" w:eastAsia="Barlow Semi Condensed" w:hAnsi="Barlow Semi Condensed"/>
          <w:sz w:val="24"/>
          <w:szCs w:val="24"/>
        </w:rPr>
        <w:t xml:space="preserve">Capitolo V — Il lungo epilogo: «Ombre rosse» (2021) e la Cassazione francese (2023)</w:t>
      </w:r>
    </w:p>
    <w:p>
      <w:pPr>
        <w:spacing w:after="120" w:line="276"/>
        <w:jc w:val="both"/>
      </w:pPr>
      <w:r>
        <w:rPr>
          <w:rFonts w:ascii="Barlow Semi Condensed" w:cs="Barlow Semi Condensed" w:eastAsia="Barlow Semi Condensed" w:hAnsi="Barlow Semi Condensed"/>
          <w:sz w:val="24"/>
          <w:szCs w:val="24"/>
        </w:rPr>
        <w:t xml:space="preserve">La dottrina, mai scritta, non è mai stata formalmente abrogata: è stata </w:t>
      </w:r>
      <w:r>
        <w:rPr>
          <w:rFonts w:ascii="Barlow Semi Condensed" w:cs="Barlow Semi Condensed" w:eastAsia="Barlow Semi Condensed" w:hAnsi="Barlow Semi Condensed"/>
          <w:b/>
          <w:bCs/>
          <w:sz w:val="24"/>
          <w:szCs w:val="24"/>
        </w:rPr>
        <w:t xml:space="preserve">erosa e infine svuotata nei fatti</w:t>
      </w:r>
      <w:r>
        <w:rPr>
          <w:rFonts w:ascii="Barlow Semi Condensed" w:cs="Barlow Semi Condensed" w:eastAsia="Barlow Semi Condensed" w:hAnsi="Barlow Semi Condensed"/>
          <w:sz w:val="24"/>
          <w:szCs w:val="24"/>
        </w:rPr>
        <w:t xml:space="preserve"> — e l'epilogo è tutto documentato. Il </w:t>
      </w:r>
      <w:r>
        <w:rPr>
          <w:rFonts w:ascii="Barlow Semi Condensed" w:cs="Barlow Semi Condensed" w:eastAsia="Barlow Semi Condensed" w:hAnsi="Barlow Semi Condensed"/>
          <w:b/>
          <w:bCs/>
          <w:sz w:val="24"/>
          <w:szCs w:val="24"/>
        </w:rPr>
        <w:t xml:space="preserve">28 aprile 2021</w:t>
      </w:r>
      <w:r>
        <w:rPr>
          <w:rFonts w:ascii="Barlow Semi Condensed" w:cs="Barlow Semi Condensed" w:eastAsia="Barlow Semi Condensed" w:hAnsi="Barlow Semi Condensed"/>
          <w:sz w:val="24"/>
          <w:szCs w:val="24"/>
        </w:rPr>
        <w:t xml:space="preserve">, su richiesta italiana, la Francia arrestò a Parigi </w:t>
      </w:r>
      <w:r>
        <w:rPr>
          <w:rFonts w:ascii="Barlow Semi Condensed" w:cs="Barlow Semi Condensed" w:eastAsia="Barlow Semi Condensed" w:hAnsi="Barlow Semi Condensed"/>
          <w:b/>
          <w:bCs/>
          <w:sz w:val="24"/>
          <w:szCs w:val="24"/>
        </w:rPr>
        <w:t xml:space="preserve">sette ex militanti</w:t>
      </w:r>
      <w:r>
        <w:rPr>
          <w:rFonts w:ascii="Barlow Semi Condensed" w:cs="Barlow Semi Condensed" w:eastAsia="Barlow Semi Condensed" w:hAnsi="Barlow Semi Condensed"/>
          <w:sz w:val="24"/>
          <w:szCs w:val="24"/>
        </w:rPr>
        <w:t xml:space="preserve"> della lotta armata italiana nell'operazione denominata </w:t>
      </w:r>
      <w:r>
        <w:rPr>
          <w:rFonts w:ascii="Barlow Semi Condensed" w:cs="Barlow Semi Condensed" w:eastAsia="Barlow Semi Condensed" w:hAnsi="Barlow Semi Condensed"/>
          <w:b/>
          <w:bCs/>
          <w:sz w:val="24"/>
          <w:szCs w:val="24"/>
        </w:rPr>
        <w:t xml:space="preserve">«Ombre rosse»</w:t>
      </w:r>
      <w:r>
        <w:rPr>
          <w:rFonts w:ascii="Barlow Semi Condensed" w:cs="Barlow Semi Condensed" w:eastAsia="Barlow Semi Condensed" w:hAnsi="Barlow Semi Condensed"/>
          <w:sz w:val="24"/>
          <w:szCs w:val="24"/>
        </w:rPr>
        <w:t xml:space="preserve">, con altri tre ricercati (ANSA (https://www.ansa.it/sito/notizie/cronaca/2021/04/28/terrorismo-arrestati-a-parigi-i-7-brigatisti_710152e0-08a9-4192-8a3d-1f10a662cb7f.html); Avvenire (https://www.avvenire.it/mondo/pagine/francia-terrorismo-arrestati-7-ex-brigatisti-su-richiesta-dell-italia); Il Fatto Quotidiano, con la dichiarazione del presidente Draghi (https://www.ilfattoquotidiano.it/2021/04/28/arrestati-in-francia-7-ex-terroristi-rossi-degli-anni-di-piombo-draghi-soddisfazione-la-memoria-di-questi-atti-barbarici-e-ancora-viva/6180356/)). Parigi, dunque, </w:t>
      </w:r>
      <w:r>
        <w:rPr>
          <w:rFonts w:ascii="Barlow Semi Condensed" w:cs="Barlow Semi Condensed" w:eastAsia="Barlow Semi Condensed" w:hAnsi="Barlow Semi Condensed"/>
          <w:b/>
          <w:bCs/>
          <w:sz w:val="24"/>
          <w:szCs w:val="24"/>
        </w:rPr>
        <w:t xml:space="preserve">accettò di procedere</w:t>
      </w:r>
      <w:r>
        <w:rPr>
          <w:rFonts w:ascii="Barlow Semi Condensed" w:cs="Barlow Semi Condensed" w:eastAsia="Barlow Semi Condensed" w:hAnsi="Barlow Semi Condensed"/>
          <w:sz w:val="24"/>
          <w:szCs w:val="24"/>
        </w:rPr>
        <w:t xml:space="preserve">: la protezione politica era finita. Ma l'esito giudiziario andò in direzione opposta: le corti francesi negarono le estradizioni, e nel </w:t>
      </w:r>
      <w:r>
        <w:rPr>
          <w:rFonts w:ascii="Barlow Semi Condensed" w:cs="Barlow Semi Condensed" w:eastAsia="Barlow Semi Condensed" w:hAnsi="Barlow Semi Condensed"/>
          <w:b/>
          <w:bCs/>
          <w:sz w:val="24"/>
          <w:szCs w:val="24"/>
        </w:rPr>
        <w:t xml:space="preserve">marzo 2023 la Corte di cassazione francese respinse in via definitiva i ricorsi</w:t>
      </w:r>
      <w:r>
        <w:rPr>
          <w:rFonts w:ascii="Barlow Semi Condensed" w:cs="Barlow Semi Condensed" w:eastAsia="Barlow Semi Condensed" w:hAnsi="Barlow Semi Condensed"/>
          <w:sz w:val="24"/>
          <w:szCs w:val="24"/>
        </w:rPr>
        <w:t xml:space="preserve">, confermando il no per tutti i dieci (Today (https://amp.today.it/europa/francia-no-estradizione-ex-terroristi-italiani.html)) — questa volta non in nome di una dottrina politica, ma di </w:t>
      </w:r>
      <w:r>
        <w:rPr>
          <w:rFonts w:ascii="Barlow Semi Condensed" w:cs="Barlow Semi Condensed" w:eastAsia="Barlow Semi Condensed" w:hAnsi="Barlow Semi Condensed"/>
          <w:b/>
          <w:bCs/>
          <w:sz w:val="24"/>
          <w:szCs w:val="24"/>
        </w:rPr>
        <w:t xml:space="preserve">valutazioni giudiziarie</w:t>
      </w:r>
      <w:r>
        <w:rPr>
          <w:rFonts w:ascii="Barlow Semi Condensed" w:cs="Barlow Semi Condensed" w:eastAsia="Barlow Semi Condensed" w:hAnsi="Barlow Semi Condensed"/>
          <w:sz w:val="24"/>
          <w:szCs w:val="24"/>
        </w:rPr>
        <w:t xml:space="preserve"> sui singoli casi, dal radicamento di vite ormai francesi alle garanzie dei processi celebrati in contumacia.</w:t>
      </w:r>
    </w:p>
    <w:p>
      <w:pPr>
        <w:spacing w:after="120" w:line="276"/>
        <w:jc w:val="both"/>
      </w:pPr>
      <w:r>
        <w:rPr>
          <w:rFonts w:ascii="Barlow Semi Condensed" w:cs="Barlow Semi Condensed" w:eastAsia="Barlow Semi Condensed" w:hAnsi="Barlow Semi Condensed"/>
          <w:sz w:val="24"/>
          <w:szCs w:val="24"/>
        </w:rPr>
        <w:t xml:space="preserve">Due precisazioni di perimetro, entrambe necessarie. </w:t>
      </w:r>
      <w:r>
        <w:rPr>
          <w:rFonts w:ascii="Barlow Semi Condensed" w:cs="Barlow Semi Condensed" w:eastAsia="Barlow Semi Condensed" w:hAnsi="Barlow Semi Condensed"/>
          <w:b/>
          <w:bCs/>
          <w:sz w:val="24"/>
          <w:szCs w:val="24"/>
        </w:rPr>
        <w:t xml:space="preserve">Nessuna delle dieci persone dell'operazione appartiene al registro del caso Moro</w:t>
      </w:r>
      <w:r>
        <w:rPr>
          <w:rFonts w:ascii="Barlow Semi Condensed" w:cs="Barlow Semi Condensed" w:eastAsia="Barlow Semi Condensed" w:hAnsi="Barlow Semi Condensed"/>
          <w:sz w:val="24"/>
          <w:szCs w:val="24"/>
        </w:rPr>
        <w:t xml:space="preserve">: l'epilogo riguarda la cornice, non i tredici, e i nomi dei dieci — pubblici — restano fuori da questo studio perché i loro fascicoli riguardano altri fatti, ciascuno col proprio giudicato. E il rovesciamento del 2021-2023 contiene la lezione finale del quesito: </w:t>
      </w:r>
      <w:r>
        <w:rPr>
          <w:rFonts w:ascii="Barlow Semi Condensed" w:cs="Barlow Semi Condensed" w:eastAsia="Barlow Semi Condensed" w:hAnsi="Barlow Semi Condensed"/>
          <w:b/>
          <w:bCs/>
          <w:sz w:val="24"/>
          <w:szCs w:val="24"/>
        </w:rPr>
        <w:t xml:space="preserve">quando cadde la politica (la dottrina), restò il diritto (le corti)</w:t>
      </w:r>
      <w:r>
        <w:rPr>
          <w:rFonts w:ascii="Barlow Semi Condensed" w:cs="Barlow Semi Condensed" w:eastAsia="Barlow Semi Condensed" w:hAnsi="Barlow Semi Condensed"/>
          <w:sz w:val="24"/>
          <w:szCs w:val="24"/>
        </w:rPr>
        <w:t xml:space="preserve"> — e il diritto dello Stato ospite può dire no per ragioni proprie, che non cancellano le condanne italiane e non assolvono nessuno: le lasciano, semplicemente, ineseguite. La distanza fra l'accertare e il disporre, con cui questo studio è cominciato, è tutta qui.</w:t>
      </w:r>
    </w:p>
    <w:p>
      <w:pPr>
        <w:pStyle w:val="Heading2"/>
        <w:spacing w:after="100" w:before="200"/>
      </w:pPr>
      <w:r>
        <w:rPr>
          <w:rFonts w:ascii="Barlow Semi Condensed" w:cs="Barlow Semi Condensed" w:eastAsia="Barlow Semi Condensed" w:hAnsi="Barlow Semi Condensed"/>
          <w:sz w:val="24"/>
          <w:szCs w:val="24"/>
        </w:rPr>
        <w:t xml:space="preserve">Capitolo VI — Il metodo, e la chiusura del cerchio</w:t>
      </w:r>
    </w:p>
    <w:p>
      <w:pPr>
        <w:spacing w:after="120" w:line="276"/>
        <w:jc w:val="both"/>
      </w:pPr>
      <w:r>
        <w:rPr>
          <w:rFonts w:ascii="Barlow Semi Condensed" w:cs="Barlow Semi Condensed" w:eastAsia="Barlow Semi Condensed" w:hAnsi="Barlow Semi Condensed"/>
          <w:sz w:val="24"/>
          <w:szCs w:val="24"/>
        </w:rPr>
        <w:t xml:space="preserve">I presidi di questo studio, in forma di anti-triangolazioni:</w:t>
      </w:r>
    </w:p>
    <w:p>
      <w:pPr>
        <w:spacing w:after="40"/>
        <w:ind w:left="360"/>
        <w:jc w:val="both"/>
      </w:pPr>
      <w:r>
        <w:rPr>
          <w:rFonts w:ascii="Barlow Semi Condensed" w:cs="Barlow Semi Condensed" w:eastAsia="Barlow Semi Condensed" w:hAnsi="Barlow Semi Condensed"/>
          <w:sz w:val="24"/>
          <w:szCs w:val="24"/>
        </w:rPr>
        <w:t xml:space="preserve">1. </w:t>
      </w:r>
      <w:r>
        <w:rPr>
          <w:rFonts w:ascii="Barlow Semi Condensed" w:cs="Barlow Semi Condensed" w:eastAsia="Barlow Semi Condensed" w:hAnsi="Barlow Semi Condensed"/>
          <w:b/>
          <w:bCs/>
          <w:sz w:val="24"/>
          <w:szCs w:val="24"/>
        </w:rPr>
        <w:t xml:space="preserve">L'asilo è un atto di chi lo concede.</w:t>
      </w:r>
      <w:r>
        <w:rPr>
          <w:rFonts w:ascii="Barlow Semi Condensed" w:cs="Barlow Semi Condensed" w:eastAsia="Barlow Semi Condensed" w:hAnsi="Barlow Semi Condensed"/>
          <w:sz w:val="24"/>
          <w:szCs w:val="24"/>
        </w:rPr>
        <w:t xml:space="preserve"> Non aggrava né attenua la posizione del rifugiato; la responsabilità della mancata esecuzione appartiene allo Stato che la impedisce, secondo il proprio ordinamento.</w:t>
      </w:r>
    </w:p>
    <w:p>
      <w:pPr>
        <w:spacing w:after="40"/>
        <w:ind w:left="360"/>
        <w:jc w:val="both"/>
      </w:pPr>
      <w:r>
        <w:rPr>
          <w:rFonts w:ascii="Barlow Semi Condensed" w:cs="Barlow Semi Condensed" w:eastAsia="Barlow Semi Condensed" w:hAnsi="Barlow Semi Condensed"/>
          <w:sz w:val="24"/>
          <w:szCs w:val="24"/>
        </w:rPr>
        <w:t xml:space="preserve">2. </w:t>
      </w:r>
      <w:r>
        <w:rPr>
          <w:rFonts w:ascii="Barlow Semi Condensed" w:cs="Barlow Semi Condensed" w:eastAsia="Barlow Semi Condensed" w:hAnsi="Barlow Semi Condensed"/>
          <w:b/>
          <w:bCs/>
          <w:sz w:val="24"/>
          <w:szCs w:val="24"/>
        </w:rPr>
        <w:t xml:space="preserve">La dottrina non è una prova.</w:t>
      </w:r>
      <w:r>
        <w:rPr>
          <w:rFonts w:ascii="Barlow Semi Condensed" w:cs="Barlow Semi Condensed" w:eastAsia="Barlow Semi Condensed" w:hAnsi="Barlow Semi Condensed"/>
          <w:sz w:val="24"/>
          <w:szCs w:val="24"/>
        </w:rPr>
        <w:t xml:space="preserve"> Essere stati protetti dalla dottrina Mitterrand non rende più colpevoli né più innocenti: rende </w:t>
      </w:r>
      <w:r>
        <w:rPr>
          <w:rFonts w:ascii="Barlow Semi Condensed" w:cs="Barlow Semi Condensed" w:eastAsia="Barlow Semi Condensed" w:hAnsi="Barlow Semi Condensed"/>
          <w:i/>
          <w:iCs/>
          <w:sz w:val="24"/>
          <w:szCs w:val="24"/>
        </w:rPr>
        <w:t xml:space="preserve">non raggiunti</w:t>
      </w:r>
      <w:r>
        <w:rPr>
          <w:rFonts w:ascii="Barlow Semi Condensed" w:cs="Barlow Semi Condensed" w:eastAsia="Barlow Semi Condensed" w:hAnsi="Barlow Semi Condensed"/>
          <w:sz w:val="24"/>
          <w:szCs w:val="24"/>
        </w:rPr>
        <w:t xml:space="preserve">.</w:t>
      </w:r>
    </w:p>
    <w:p>
      <w:pPr>
        <w:spacing w:after="40"/>
        <w:ind w:left="360"/>
        <w:jc w:val="both"/>
      </w:pPr>
      <w:r>
        <w:rPr>
          <w:rFonts w:ascii="Barlow Semi Condensed" w:cs="Barlow Semi Condensed" w:eastAsia="Barlow Semi Condensed" w:hAnsi="Barlow Semi Condensed"/>
          <w:sz w:val="24"/>
          <w:szCs w:val="24"/>
        </w:rPr>
        <w:t xml:space="preserve">3. </w:t>
      </w:r>
      <w:r>
        <w:rPr>
          <w:rFonts w:ascii="Barlow Semi Condensed" w:cs="Barlow Semi Condensed" w:eastAsia="Barlow Semi Condensed" w:hAnsi="Barlow Semi Condensed"/>
          <w:b/>
          <w:bCs/>
          <w:sz w:val="24"/>
          <w:szCs w:val="24"/>
        </w:rPr>
        <w:t xml:space="preserve">Le sentenze non hanno passaporto, l'esecuzione sì.</w:t>
      </w:r>
      <w:r>
        <w:rPr>
          <w:rFonts w:ascii="Barlow Semi Condensed" w:cs="Barlow Semi Condensed" w:eastAsia="Barlow Semi Condensed" w:hAnsi="Barlow Semi Condensed"/>
          <w:sz w:val="24"/>
          <w:szCs w:val="24"/>
        </w:rPr>
        <w:t xml:space="preserve"> Le condanne dei latitanti restano irrevocabili; le assoluzioni (Mulinaris) restano piene; la frontiera non tocca né le une né le altre.</w:t>
      </w:r>
    </w:p>
    <w:p>
      <w:pPr>
        <w:spacing w:after="40"/>
        <w:ind w:left="360"/>
        <w:jc w:val="both"/>
      </w:pPr>
      <w:r>
        <w:rPr>
          <w:rFonts w:ascii="Barlow Semi Condensed" w:cs="Barlow Semi Condensed" w:eastAsia="Barlow Semi Condensed" w:hAnsi="Barlow Semi Condensed"/>
          <w:sz w:val="24"/>
          <w:szCs w:val="24"/>
        </w:rPr>
        <w:t xml:space="preserve">4. </w:t>
      </w:r>
      <w:r>
        <w:rPr>
          <w:rFonts w:ascii="Barlow Semi Condensed" w:cs="Barlow Semi Condensed" w:eastAsia="Barlow Semi Condensed" w:hAnsi="Barlow Semi Condensed"/>
          <w:b/>
          <w:bCs/>
          <w:sz w:val="24"/>
          <w:szCs w:val="24"/>
        </w:rPr>
        <w:t xml:space="preserve">La geografia non è gerarchia morale.</w:t>
      </w:r>
      <w:r>
        <w:rPr>
          <w:rFonts w:ascii="Barlow Semi Condensed" w:cs="Barlow Semi Condensed" w:eastAsia="Barlow Semi Condensed" w:hAnsi="Barlow Semi Condensed"/>
          <w:sz w:val="24"/>
          <w:szCs w:val="24"/>
        </w:rPr>
        <w:t xml:space="preserve"> Algranati, catturata, non è «più colpevole» di chi non lo fu mai: è stata raggiunta da ciò che altri non ha raggiunto.</w:t>
      </w:r>
    </w:p>
    <w:p>
      <w:pPr>
        <w:spacing w:after="40"/>
        <w:ind w:left="360"/>
        <w:jc w:val="both"/>
      </w:pPr>
      <w:r>
        <w:rPr>
          <w:rFonts w:ascii="Barlow Semi Condensed" w:cs="Barlow Semi Condensed" w:eastAsia="Barlow Semi Condensed" w:hAnsi="Barlow Semi Condensed"/>
          <w:sz w:val="24"/>
          <w:szCs w:val="24"/>
        </w:rPr>
        <w:t xml:space="preserve">5. </w:t>
      </w:r>
      <w:r>
        <w:rPr>
          <w:rFonts w:ascii="Barlow Semi Condensed" w:cs="Barlow Semi Condensed" w:eastAsia="Barlow Semi Condensed" w:hAnsi="Barlow Semi Condensed"/>
          <w:b/>
          <w:bCs/>
          <w:sz w:val="24"/>
          <w:szCs w:val="24"/>
        </w:rPr>
        <w:t xml:space="preserve">Nessun nome oltre il necessario.</w:t>
      </w:r>
      <w:r>
        <w:rPr>
          <w:rFonts w:ascii="Barlow Semi Condensed" w:cs="Barlow Semi Condensed" w:eastAsia="Barlow Semi Condensed" w:hAnsi="Barlow Semi Condensed"/>
          <w:sz w:val="24"/>
          <w:szCs w:val="24"/>
        </w:rPr>
        <w:t xml:space="preserve"> I dieci dell'epilogo non entrano nei fascicoli di questo corpus; i tredici del registro non escono dai loro.</w:t>
      </w:r>
    </w:p>
    <w:p>
      <w:pPr>
        <w:spacing w:after="120" w:line="276"/>
        <w:jc w:val="both"/>
      </w:pPr>
      <w:r>
        <w:rPr>
          <w:rFonts w:ascii="Barlow Semi Condensed" w:cs="Barlow Semi Condensed" w:eastAsia="Barlow Semi Condensed" w:hAnsi="Barlow Semi Condensed"/>
          <w:sz w:val="24"/>
          <w:szCs w:val="24"/>
        </w:rPr>
        <w:t xml:space="preserve">E la chiusura riannoda il filo più lungo del branch. Davanti ai propri nemici, la Repubblica ha giudicato con le garanzie (Fase decima); davanti agli Stati che ne ospitano i condannati, ha continuato a </w:t>
      </w:r>
      <w:r>
        <w:rPr>
          <w:rFonts w:ascii="Barlow Semi Condensed" w:cs="Barlow Semi Condensed" w:eastAsia="Barlow Semi Condensed" w:hAnsi="Barlow Semi Condensed"/>
          <w:b/>
          <w:bCs/>
          <w:sz w:val="24"/>
          <w:szCs w:val="24"/>
        </w:rPr>
        <w:t xml:space="preserve">chiedere nelle forme del diritto</w:t>
      </w:r>
      <w:r>
        <w:rPr>
          <w:rFonts w:ascii="Barlow Semi Condensed" w:cs="Barlow Semi Condensed" w:eastAsia="Barlow Semi Condensed" w:hAnsi="Barlow Semi Condensed"/>
          <w:sz w:val="24"/>
          <w:szCs w:val="24"/>
        </w:rPr>
        <w:t xml:space="preserve"> — richieste, ricorsi, rogatorie, mai eccezioni. Ha perso spesso: il Nicaragua non consegna, Berna non deroga, Parigi ha detto no due volte in due modi diversi. Ma il modo in cui uno Stato perde dice di lui quanto il modo in cui vince: il Tribunale Speciale del 1926 non avrebbe chiesto — avrebbe preso. La guerra senza fine passa anche per le frontiere; la differenza, ancora una volta, è la Repubblica.</w:t>
      </w:r>
    </w:p>
    <w:p>
      <w:pPr>
        <w:pBdr>
          <w:bottom w:val="single" w:color="999999" w:sz="6" w:space="1"/>
        </w:pBdr>
        <w:spacing w:after="80"/>
      </w:pPr>
    </w:p>
    <w:p>
      <w:pPr>
        <w:spacing w:after="120" w:line="276"/>
        <w:jc w:val="both"/>
      </w:pPr>
      <w:r>
        <w:rPr>
          <w:rFonts w:ascii="Barlow Semi Condensed" w:cs="Barlow Semi Condensed" w:eastAsia="Barlow Semi Condensed" w:hAnsi="Barlow Semi Condensed"/>
          <w:i/>
          <w:iCs/>
          <w:sz w:val="24"/>
          <w:szCs w:val="24"/>
        </w:rPr>
        <w:t xml:space="preserve">Studio sulle pene oltre confine: l'affaire Mulinaris (1982-1986) come caso diplomatico franco-italiano e come rovescio della macchina (l'innocente assolto con formula piena e risarcito); la dottrina Mitterrand (21 aprile 1985, principio verbale mai scritto, con le sue tre nature: parola revocabile, condizioni giudicate dal protettore, scudo sull'esecuzione e non sull'accertamento); le tre geografie del registro (Nicaragua, Svizzera, Francia) col contro-caso egiziano del 2004; l'epilogo «Ombre rosse» (28 aprile 2021) e il no definitivo della Cassazione francese (marzo 2023), che non tocca il registro del caso Moro. Ogni fatto verificato su fonti, con gli indirizzi nel testo. L'asilo non è prova; la geografia non è gerarchia morale; nessuna imputazione oltre il giudicato.</w:t>
      </w:r>
    </w:p>
    <w:p>
      <w:pPr>
        <w:pStyle w:val="Heading3"/>
        <w:spacing w:after="80" w:before="240"/>
      </w:pPr>
      <w:r>
        <w:rPr>
          <w:rFonts w:ascii="Barlow Semi Condensed" w:cs="Barlow Semi Condensed" w:eastAsia="Barlow Semi Condensed" w:hAnsi="Barlow Semi Condensed"/>
          <w:sz w:val="24"/>
          <w:szCs w:val="24"/>
        </w:rPr>
        <w:t xml:space="preserve">Apparato grafico — Libro dodicesimo · Le pene oltre confine</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8"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Libro dodicesimo XIII: 1.625 parole in 7 sezioni; la più ampia è §7 Capitolo VI, con 368.</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9"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Libro dodicesimo XIII: 9 indirizzi di fonte citati, addensati in 3 sezioni su 7.</w:t>
      </w:r>
    </w:p>
    <w:p>
      <w:pPr>
        <w:spacing w:after="120"/>
        <w:jc w:val="center"/>
      </w:pPr>
      <w:r>
        <w:rPr>
          <w:rFonts w:ascii="Barlow Semi Condensed" w:cs="Barlow Semi Condensed" w:eastAsia="Barlow Semi Condensed" w:hAnsi="Barlow Semi Condensed"/>
          <w:color w:val="777777"/>
          <w:sz w:val="16"/>
          <w:szCs w:val="16"/>
        </w:rPr>
        <w:t xml:space="preserve">Le metriche dell'apparato contano parole, documenti e atti — mai colpe.</w:t>
      </w:r>
    </w:p>
    <w:p>
      <w:r>
        <w:br w:type="page"/>
      </w:r>
    </w:p>
    <w:p>
      <w:pPr>
        <w:pStyle w:val="Heading1"/>
        <w:spacing w:after="120" w:before="240"/>
      </w:pPr>
      <w:r>
        <w:rPr>
          <w:rFonts w:ascii="Barlow Semi Condensed" w:cs="Barlow Semi Condensed" w:eastAsia="Barlow Semi Condensed" w:hAnsi="Barlow Semi Condensed"/>
          <w:sz w:val="24"/>
          <w:szCs w:val="24"/>
        </w:rPr>
        <w:t xml:space="preserve">Libro tredicesimo — Il fascicolo aperto — I. Il programma e le graduatorie</w:t>
      </w:r>
    </w:p>
    <w:p>
      <w:pPr>
        <w:pStyle w:val="Heading1"/>
        <w:spacing w:after="120" w:before="240"/>
      </w:pPr>
      <w:r>
        <w:rPr>
          <w:rFonts w:ascii="Barlow Semi Condensed" w:cs="Barlow Semi Condensed" w:eastAsia="Barlow Semi Condensed" w:hAnsi="Barlow Semi Condensed"/>
          <w:sz w:val="24"/>
          <w:szCs w:val="24"/>
        </w:rPr>
        <w:t xml:space="preserve">Il fascicolo aperto</w:t>
      </w:r>
    </w:p>
    <w:p>
      <w:pPr>
        <w:pStyle w:val="Heading2"/>
        <w:spacing w:after="100" w:before="200"/>
      </w:pPr>
      <w:r>
        <w:rPr>
          <w:rFonts w:ascii="Barlow Semi Condensed" w:cs="Barlow Semi Condensed" w:eastAsia="Barlow Semi Condensed" w:hAnsi="Barlow Semi Condensed"/>
          <w:sz w:val="24"/>
          <w:szCs w:val="24"/>
        </w:rPr>
        <w:t xml:space="preserve">Programma investigativo del corpus: dalla storia accertata all'accertabile</w:t>
      </w:r>
    </w:p>
    <w:p>
      <w:pPr>
        <w:spacing w:after="120" w:line="276"/>
        <w:jc w:val="both"/>
      </w:pPr>
      <w:r>
        <w:rPr>
          <w:rFonts w:ascii="Barlow Semi Condensed" w:cs="Barlow Semi Condensed" w:eastAsia="Barlow Semi Condensed" w:hAnsi="Barlow Semi Condensed"/>
          <w:i/>
          <w:iCs/>
          <w:sz w:val="24"/>
          <w:szCs w:val="24"/>
        </w:rPr>
        <w:t xml:space="preserve">Documento operativo — 25 agosto 2026 · Il cambio di metodo richiesto dall'autore</w:t>
      </w:r>
    </w:p>
    <w:p>
      <w:pPr>
        <w:pBdr>
          <w:left w:val="single" w:color="1F3864" w:sz="18" w:space="8"/>
        </w:pBdr>
        <w:spacing w:after="80" w:before="80"/>
        <w:ind w:left="360" w:right="360"/>
        <w:jc w:val="both"/>
      </w:pPr>
      <w:r>
        <w:rPr>
          <w:rFonts w:ascii="Barlow Semi Condensed" w:cs="Barlow Semi Condensed" w:eastAsia="Barlow Semi Condensed" w:hAnsi="Barlow Semi Condensed"/>
          <w:b/>
          <w:bCs/>
          <w:i w:val="false"/>
          <w:iCs w:val="false"/>
          <w:sz w:val="24"/>
          <w:szCs w:val="24"/>
        </w:rPr>
        <w:t xml:space="preserve">Statuto del cambio di metodo.</w:t>
      </w:r>
      <w:r>
        <w:rPr>
          <w:rFonts w:ascii="Barlow Semi Condensed" w:cs="Barlow Semi Condensed" w:eastAsia="Barlow Semi Condensed" w:hAnsi="Barlow Semi Condensed"/>
          <w:i w:val="false"/>
          <w:iCs w:val="false"/>
          <w:sz w:val="24"/>
          <w:szCs w:val="24"/>
        </w:rPr>
        <w:t xml:space="preserve"> Fin qui il corpus ha lavorato da storico: la domanda era </w:t>
      </w:r>
      <w:r>
        <w:rPr>
          <w:rFonts w:ascii="Barlow Semi Condensed" w:cs="Barlow Semi Condensed" w:eastAsia="Barlow Semi Condensed" w:hAnsi="Barlow Semi Condensed"/>
          <w:i w:val="false"/>
          <w:iCs w:val="false"/>
          <w:sz w:val="24"/>
          <w:szCs w:val="24"/>
        </w:rPr>
        <w:t xml:space="preserve">«che cosa è provato?»</w:t>
      </w:r>
      <w:r>
        <w:rPr>
          <w:rFonts w:ascii="Barlow Semi Condensed" w:cs="Barlow Semi Condensed" w:eastAsia="Barlow Semi Condensed" w:hAnsi="Barlow Semi Condensed"/>
          <w:i w:val="false"/>
          <w:iCs w:val="false"/>
          <w:sz w:val="24"/>
          <w:szCs w:val="24"/>
        </w:rPr>
        <w:t xml:space="preserve">, e la risposta era il registro dei gradi. Da questo documento il corpus lavora </w:t>
      </w:r>
      <w:r>
        <w:rPr>
          <w:rFonts w:ascii="Barlow Semi Condensed" w:cs="Barlow Semi Condensed" w:eastAsia="Barlow Semi Condensed" w:hAnsi="Barlow Semi Condensed"/>
          <w:b/>
          <w:bCs/>
          <w:i w:val="false"/>
          <w:iCs w:val="false"/>
          <w:sz w:val="24"/>
          <w:szCs w:val="24"/>
        </w:rPr>
        <w:t xml:space="preserve">anche da investigatore</w:t>
      </w:r>
      <w:r>
        <w:rPr>
          <w:rFonts w:ascii="Barlow Semi Condensed" w:cs="Barlow Semi Condensed" w:eastAsia="Barlow Semi Condensed" w:hAnsi="Barlow Semi Condensed"/>
          <w:i w:val="false"/>
          <w:iCs w:val="false"/>
          <w:sz w:val="24"/>
          <w:szCs w:val="24"/>
        </w:rPr>
        <w:t xml:space="preserve">: la domanda diventa </w:t>
      </w:r>
      <w:r>
        <w:rPr>
          <w:rFonts w:ascii="Barlow Semi Condensed" w:cs="Barlow Semi Condensed" w:eastAsia="Barlow Semi Condensed" w:hAnsi="Barlow Semi Condensed"/>
          <w:i w:val="false"/>
          <w:iCs w:val="false"/>
          <w:sz w:val="24"/>
          <w:szCs w:val="24"/>
        </w:rPr>
        <w:t xml:space="preserve">«che cosa si può ancora scoprire — con quali atti, presso quali autorità, con quale rendimento atteso?»</w:t>
      </w:r>
      <w:r>
        <w:rPr>
          <w:rFonts w:ascii="Barlow Semi Condensed" w:cs="Barlow Semi Condensed" w:eastAsia="Barlow Semi Condensed" w:hAnsi="Barlow Semi Condensed"/>
          <w:i w:val="false"/>
          <w:iCs w:val="false"/>
          <w:sz w:val="24"/>
          <w:szCs w:val="24"/>
        </w:rPr>
        <w:t xml:space="preserve">. Il cambio è di </w:t>
      </w:r>
      <w:r>
        <w:rPr>
          <w:rFonts w:ascii="Barlow Semi Condensed" w:cs="Barlow Semi Condensed" w:eastAsia="Barlow Semi Condensed" w:hAnsi="Barlow Semi Condensed"/>
          <w:b/>
          <w:bCs/>
          <w:i w:val="false"/>
          <w:iCs w:val="false"/>
          <w:sz w:val="24"/>
          <w:szCs w:val="24"/>
        </w:rPr>
        <w:t xml:space="preserve">direzione</w:t>
      </w:r>
      <w:r>
        <w:rPr>
          <w:rFonts w:ascii="Barlow Semi Condensed" w:cs="Barlow Semi Condensed" w:eastAsia="Barlow Semi Condensed" w:hAnsi="Barlow Semi Condensed"/>
          <w:i w:val="false"/>
          <w:iCs w:val="false"/>
          <w:sz w:val="24"/>
          <w:szCs w:val="24"/>
        </w:rPr>
        <w:t xml:space="preserve">, non di regime: un'indagine non condanna — </w:t>
      </w:r>
      <w:r>
        <w:rPr>
          <w:rFonts w:ascii="Barlow Semi Condensed" w:cs="Barlow Semi Condensed" w:eastAsia="Barlow Semi Condensed" w:hAnsi="Barlow Semi Condensed"/>
          <w:b/>
          <w:bCs/>
          <w:i w:val="false"/>
          <w:iCs w:val="false"/>
          <w:sz w:val="24"/>
          <w:szCs w:val="24"/>
        </w:rPr>
        <w:t xml:space="preserve">indaga</w:t>
      </w:r>
      <w:r>
        <w:rPr>
          <w:rFonts w:ascii="Barlow Semi Condensed" w:cs="Barlow Semi Condensed" w:eastAsia="Barlow Semi Condensed" w:hAnsi="Barlow Semi Condensed"/>
          <w:i w:val="false"/>
          <w:iCs w:val="false"/>
          <w:sz w:val="24"/>
          <w:szCs w:val="24"/>
        </w:rPr>
        <w:t xml:space="preserve">; produce atti istruttori, non colpevoli. Restano perciò intatti tutti i presidi (nessun nome oltre il giudicato; le ipotesi in forma ACH; gli esiti identificativi appartengono solo alla via giudiziaria), ma tutto ciò che il corpus aveva censito come mancante — le «sedi di chiusura», le «evidenze discriminanti», le «acquisizioni non conseguite» — viene ora </w:t>
      </w:r>
      <w:r>
        <w:rPr>
          <w:rFonts w:ascii="Barlow Semi Condensed" w:cs="Barlow Semi Condensed" w:eastAsia="Barlow Semi Condensed" w:hAnsi="Barlow Semi Condensed"/>
          <w:b/>
          <w:bCs/>
          <w:i w:val="false"/>
          <w:iCs w:val="false"/>
          <w:sz w:val="24"/>
          <w:szCs w:val="24"/>
        </w:rPr>
        <w:t xml:space="preserve">riscritto in forma operativa</w:t>
      </w:r>
      <w:r>
        <w:rPr>
          <w:rFonts w:ascii="Barlow Semi Condensed" w:cs="Barlow Semi Condensed" w:eastAsia="Barlow Semi Condensed" w:hAnsi="Barlow Semi Condensed"/>
          <w:i w:val="false"/>
          <w:iCs w:val="false"/>
          <w:sz w:val="24"/>
          <w:szCs w:val="24"/>
        </w:rPr>
        <w:t xml:space="preserve">: pista, stato degli atti, atto da compiere, autorità competente, rendimento atteso, criterio di chiusura. È il metodo dei </w:t>
      </w:r>
      <w:r>
        <w:rPr>
          <w:rFonts w:ascii="Barlow Semi Condensed" w:cs="Barlow Semi Condensed" w:eastAsia="Barlow Semi Condensed" w:hAnsi="Barlow Semi Condensed"/>
          <w:i w:val="false"/>
          <w:iCs w:val="false"/>
          <w:sz w:val="24"/>
          <w:szCs w:val="24"/>
        </w:rPr>
        <w:t xml:space="preserve">cold case</w:t>
      </w:r>
      <w:r>
        <w:rPr>
          <w:rFonts w:ascii="Barlow Semi Condensed" w:cs="Barlow Semi Condensed" w:eastAsia="Barlow Semi Condensed" w:hAnsi="Barlow Semi Condensed"/>
          <w:i w:val="false"/>
          <w:iCs w:val="false"/>
          <w:sz w:val="24"/>
          <w:szCs w:val="24"/>
        </w:rPr>
        <w:t xml:space="preserve">: re-inventario dei reperti, scienze forensi sopravvenute, ri-escussione dei testimoni viventi, archivi sbloccati, e una matrice che lega ogni ipotesi alla prova che la deciderebbe.</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Capitolo I — Il quadro operativo reale: gli strumenti esistono già</w:t>
      </w:r>
    </w:p>
    <w:p>
      <w:pPr>
        <w:spacing w:after="120" w:line="276"/>
        <w:jc w:val="both"/>
      </w:pPr>
      <w:r>
        <w:rPr>
          <w:rFonts w:ascii="Barlow Semi Condensed" w:cs="Barlow Semi Condensed" w:eastAsia="Barlow Semi Condensed" w:hAnsi="Barlow Semi Condensed"/>
          <w:sz w:val="24"/>
          <w:szCs w:val="24"/>
        </w:rPr>
        <w:t xml:space="preserve">Un programma investigativo serio parte da ciò che è </w:t>
      </w:r>
      <w:r>
        <w:rPr>
          <w:rFonts w:ascii="Barlow Semi Condensed" w:cs="Barlow Semi Condensed" w:eastAsia="Barlow Semi Condensed" w:hAnsi="Barlow Semi Condensed"/>
          <w:i/>
          <w:iCs/>
          <w:sz w:val="24"/>
          <w:szCs w:val="24"/>
        </w:rPr>
        <w:t xml:space="preserve">già aperto e già disponibile</w:t>
      </w:r>
      <w:r>
        <w:rPr>
          <w:rFonts w:ascii="Barlow Semi Condensed" w:cs="Barlow Semi Condensed" w:eastAsia="Barlow Semi Condensed" w:hAnsi="Barlow Semi Condensed"/>
          <w:sz w:val="24"/>
          <w:szCs w:val="24"/>
        </w:rPr>
        <w:t xml:space="preserve">, e su questo caso gli strumenti sono due, entrambi verificati.</w:t>
      </w:r>
    </w:p>
    <w:p>
      <w:pPr>
        <w:spacing w:after="120" w:line="276"/>
        <w:jc w:val="both"/>
      </w:pPr>
      <w:r>
        <w:rPr>
          <w:rFonts w:ascii="Barlow Semi Condensed" w:cs="Barlow Semi Condensed" w:eastAsia="Barlow Semi Condensed" w:hAnsi="Barlow Semi Condensed"/>
          <w:b/>
          <w:bCs/>
          <w:sz w:val="24"/>
          <w:szCs w:val="24"/>
        </w:rPr>
        <w:t xml:space="preserve">Il fascicolo giudiziario è ancora aperto.</w:t>
      </w:r>
      <w:r>
        <w:rPr>
          <w:rFonts w:ascii="Barlow Semi Condensed" w:cs="Barlow Semi Condensed" w:eastAsia="Barlow Semi Condensed" w:hAnsi="Barlow Semi Condensed"/>
          <w:sz w:val="24"/>
          <w:szCs w:val="24"/>
        </w:rPr>
        <w:t xml:space="preserve"> A Roma, il giudice per le indagini preliminari ha disposto la prosecuzione delle indagini su via Fani per verificare le </w:t>
      </w:r>
      <w:r>
        <w:rPr>
          <w:rFonts w:ascii="Barlow Semi Condensed" w:cs="Barlow Semi Condensed" w:eastAsia="Barlow Semi Condensed" w:hAnsi="Barlow Semi Condensed"/>
          <w:b/>
          <w:bCs/>
          <w:sz w:val="24"/>
          <w:szCs w:val="24"/>
        </w:rPr>
        <w:t xml:space="preserve">«terze presenze»</w:t>
      </w:r>
      <w:r>
        <w:rPr>
          <w:rFonts w:ascii="Barlow Semi Condensed" w:cs="Barlow Semi Condensed" w:eastAsia="Barlow Semi Condensed" w:hAnsi="Barlow Semi Condensed"/>
          <w:sz w:val="24"/>
          <w:szCs w:val="24"/>
        </w:rPr>
        <w:t xml:space="preserve">: un uomo non identificato, forse a bordo di una </w:t>
      </w:r>
      <w:r>
        <w:rPr>
          <w:rFonts w:ascii="Barlow Semi Condensed" w:cs="Barlow Semi Condensed" w:eastAsia="Barlow Semi Condensed" w:hAnsi="Barlow Semi Condensed"/>
          <w:b/>
          <w:bCs/>
          <w:sz w:val="24"/>
          <w:szCs w:val="24"/>
        </w:rPr>
        <w:t xml:space="preserve">Honda di grossa cilindrata</w:t>
      </w:r>
      <w:r>
        <w:rPr>
          <w:rFonts w:ascii="Barlow Semi Condensed" w:cs="Barlow Semi Condensed" w:eastAsia="Barlow Semi Condensed" w:hAnsi="Barlow Semi Condensed"/>
          <w:sz w:val="24"/>
          <w:szCs w:val="24"/>
        </w:rPr>
        <w:t xml:space="preserve">, con nuove </w:t>
      </w:r>
      <w:r>
        <w:rPr>
          <w:rFonts w:ascii="Barlow Semi Condensed" w:cs="Barlow Semi Condensed" w:eastAsia="Barlow Semi Condensed" w:hAnsi="Barlow Semi Condensed"/>
          <w:b/>
          <w:bCs/>
          <w:sz w:val="24"/>
          <w:szCs w:val="24"/>
        </w:rPr>
        <w:t xml:space="preserve">perizie balistiche</w:t>
      </w:r>
      <w:r>
        <w:rPr>
          <w:rFonts w:ascii="Barlow Semi Condensed" w:cs="Barlow Semi Condensed" w:eastAsia="Barlow Semi Condensed" w:hAnsi="Barlow Semi Condensed"/>
          <w:sz w:val="24"/>
          <w:szCs w:val="24"/>
        </w:rPr>
        <w:t xml:space="preserve"> e comparazioni genetiche; la Procura è stata autorizzata a estrarre il DNA di una rosa di ex brigatisti da comparare con i profili </w:t>
      </w:r>
      <w:r>
        <w:rPr>
          <w:rFonts w:ascii="Barlow Semi Condensed" w:cs="Barlow Semi Condensed" w:eastAsia="Barlow Semi Condensed" w:hAnsi="Barlow Semi Condensed"/>
          <w:b/>
          <w:bCs/>
          <w:sz w:val="24"/>
          <w:szCs w:val="24"/>
        </w:rPr>
        <w:t xml:space="preserve">estratti nel 2016 dai mozziconi</w:t>
      </w:r>
      <w:r>
        <w:rPr>
          <w:rFonts w:ascii="Barlow Semi Condensed" w:cs="Barlow Semi Condensed" w:eastAsia="Barlow Semi Condensed" w:hAnsi="Barlow Semi Condensed"/>
          <w:sz w:val="24"/>
          <w:szCs w:val="24"/>
        </w:rPr>
        <w:t xml:space="preserve"> rinvenuti nell'auto usata per lo sbarramento di via Fani e nella base di </w:t>
      </w:r>
      <w:r>
        <w:rPr>
          <w:rFonts w:ascii="Barlow Semi Condensed" w:cs="Barlow Semi Condensed" w:eastAsia="Barlow Semi Condensed" w:hAnsi="Barlow Semi Condensed"/>
          <w:b/>
          <w:bCs/>
          <w:sz w:val="24"/>
          <w:szCs w:val="24"/>
        </w:rPr>
        <w:t xml:space="preserve">via Gradoli</w:t>
      </w:r>
      <w:r>
        <w:rPr>
          <w:rFonts w:ascii="Barlow Semi Condensed" w:cs="Barlow Semi Condensed" w:eastAsia="Barlow Semi Condensed" w:hAnsi="Barlow Semi Condensed"/>
          <w:sz w:val="24"/>
          <w:szCs w:val="24"/>
        </w:rPr>
        <w:t xml:space="preserve">; ed è al vaglio il </w:t>
      </w:r>
      <w:r>
        <w:rPr>
          <w:rFonts w:ascii="Barlow Semi Condensed" w:cs="Barlow Semi Condensed" w:eastAsia="Barlow Semi Condensed" w:hAnsi="Barlow Semi Condensed"/>
          <w:b/>
          <w:bCs/>
          <w:sz w:val="24"/>
          <w:szCs w:val="24"/>
        </w:rPr>
        <w:t xml:space="preserve">caricatore abbandonato fra via Fani e via Stresa</w:t>
      </w:r>
      <w:r>
        <w:rPr>
          <w:rFonts w:ascii="Barlow Semi Condensed" w:cs="Barlow Semi Condensed" w:eastAsia="Barlow Semi Condensed" w:hAnsi="Barlow Semi Condensed"/>
          <w:sz w:val="24"/>
          <w:szCs w:val="24"/>
        </w:rPr>
        <w:t xml:space="preserve">, per impronte e tracce genetiche (Quotidiano Nazionale, «indagine riaperta» (https://www.quotidiano.net/cronaca/aldo-moro-indagine-riaperta-hvj5sqbx); QN, «caccia al quinto uomo» (https://www.quotidiano.net/cronaca/strage-di-via-fani-indagini-riaperte-lb05511u); Antimafia Duemila, la proroga del GIP (https://antimafiaduemila.com/home/mafie-news/topnews/caso-moro-il-gip-riapre-nuove-piste-sei-mesi-di-indagini-sulle-terze-presenze-in-via-fani)). Il punto di consilienza va detto subito: </w:t>
      </w:r>
      <w:r>
        <w:rPr>
          <w:rFonts w:ascii="Barlow Semi Condensed" w:cs="Barlow Semi Condensed" w:eastAsia="Barlow Semi Condensed" w:hAnsi="Barlow Semi Condensed"/>
          <w:b/>
          <w:bCs/>
          <w:sz w:val="24"/>
          <w:szCs w:val="24"/>
        </w:rPr>
        <w:t xml:space="preserve">l'evidenza discriminante che l'analisi ACH del corpus aveva indicato — la balistica delle «due moto» — è esattamente ciò su cui il fascicolo reale sta lavorando.</w:t>
      </w:r>
      <w:r>
        <w:rPr>
          <w:rFonts w:ascii="Barlow Semi Condensed" w:cs="Barlow Semi Condensed" w:eastAsia="Barlow Semi Condensed" w:hAnsi="Barlow Semi Condensed"/>
          <w:sz w:val="24"/>
          <w:szCs w:val="24"/>
        </w:rPr>
        <w:t xml:space="preserve"> Il metodo del corpus e l'indagine dello Stato puntano allo stesso reperto: è la migliore conferma possibile che il programma qui scritto non è esercizio accademico.</w:t>
      </w:r>
    </w:p>
    <w:p>
      <w:pPr>
        <w:spacing w:after="120" w:line="276"/>
        <w:jc w:val="both"/>
      </w:pPr>
      <w:r>
        <w:rPr>
          <w:rFonts w:ascii="Barlow Semi Condensed" w:cs="Barlow Semi Condensed" w:eastAsia="Barlow Semi Condensed" w:hAnsi="Barlow Semi Condensed"/>
          <w:b/>
          <w:bCs/>
          <w:sz w:val="24"/>
          <w:szCs w:val="24"/>
        </w:rPr>
        <w:t xml:space="preserve">Il giacimento documentale è versato e consultabile.</w:t>
      </w:r>
      <w:r>
        <w:rPr>
          <w:rFonts w:ascii="Barlow Semi Condensed" w:cs="Barlow Semi Condensed" w:eastAsia="Barlow Semi Condensed" w:hAnsi="Barlow Semi Condensed"/>
          <w:sz w:val="24"/>
          <w:szCs w:val="24"/>
        </w:rPr>
        <w:t xml:space="preserve"> La </w:t>
      </w:r>
      <w:r>
        <w:rPr>
          <w:rFonts w:ascii="Barlow Semi Condensed" w:cs="Barlow Semi Condensed" w:eastAsia="Barlow Semi Condensed" w:hAnsi="Barlow Semi Condensed"/>
          <w:b/>
          <w:bCs/>
          <w:sz w:val="24"/>
          <w:szCs w:val="24"/>
        </w:rPr>
        <w:t xml:space="preserve">direttiva del Presidente del Consiglio del 22 aprile 2014</w:t>
      </w:r>
      <w:r>
        <w:rPr>
          <w:rFonts w:ascii="Barlow Semi Condensed" w:cs="Barlow Semi Condensed" w:eastAsia="Barlow Semi Condensed" w:hAnsi="Barlow Semi Condensed"/>
          <w:sz w:val="24"/>
          <w:szCs w:val="24"/>
        </w:rPr>
        <w:t xml:space="preserve"> (G.U. n. 100 del 2 maggio 2014) ha disposto la declassificazione e il versamento all'</w:t>
      </w:r>
      <w:r>
        <w:rPr>
          <w:rFonts w:ascii="Barlow Semi Condensed" w:cs="Barlow Semi Condensed" w:eastAsia="Barlow Semi Condensed" w:hAnsi="Barlow Semi Condensed"/>
          <w:b/>
          <w:bCs/>
          <w:sz w:val="24"/>
          <w:szCs w:val="24"/>
        </w:rPr>
        <w:t xml:space="preserve">Archivio Centrale dello Stato</w:t>
      </w:r>
      <w:r>
        <w:rPr>
          <w:rFonts w:ascii="Barlow Semi Condensed" w:cs="Barlow Semi Condensed" w:eastAsia="Barlow Semi Condensed" w:hAnsi="Barlow Semi Condensed"/>
          <w:sz w:val="24"/>
          <w:szCs w:val="24"/>
        </w:rPr>
        <w:t xml:space="preserve"> della documentazione sulle stragi, e la </w:t>
      </w:r>
      <w:r>
        <w:rPr>
          <w:rFonts w:ascii="Barlow Semi Condensed" w:cs="Barlow Semi Condensed" w:eastAsia="Barlow Semi Condensed" w:hAnsi="Barlow Semi Condensed"/>
          <w:b/>
          <w:bCs/>
          <w:sz w:val="24"/>
          <w:szCs w:val="24"/>
        </w:rPr>
        <w:t xml:space="preserve">direttiva del 2 dicembre 2014</w:t>
      </w:r>
      <w:r>
        <w:rPr>
          <w:rFonts w:ascii="Barlow Semi Condensed" w:cs="Barlow Semi Condensed" w:eastAsia="Barlow Semi Condensed" w:hAnsi="Barlow Semi Condensed"/>
          <w:sz w:val="24"/>
          <w:szCs w:val="24"/>
        </w:rPr>
        <w:t xml:space="preserve"> ha esteso l'obbligo espressamente al </w:t>
      </w:r>
      <w:r>
        <w:rPr>
          <w:rFonts w:ascii="Barlow Semi Condensed" w:cs="Barlow Semi Condensed" w:eastAsia="Barlow Semi Condensed" w:hAnsi="Barlow Semi Condensed"/>
          <w:b/>
          <w:bCs/>
          <w:sz w:val="24"/>
          <w:szCs w:val="24"/>
        </w:rPr>
        <w:t xml:space="preserve">sequestro e all'omicidio di Aldo Moro</w:t>
      </w:r>
      <w:r>
        <w:rPr>
          <w:rFonts w:ascii="Barlow Semi Condensed" w:cs="Barlow Semi Condensed" w:eastAsia="Barlow Semi Condensed" w:hAnsi="Barlow Semi Condensed"/>
          <w:sz w:val="24"/>
          <w:szCs w:val="24"/>
        </w:rPr>
        <w:t xml:space="preserve">: i versamenti — avviati dal 1° agosto 2014 — contano </w:t>
      </w:r>
      <w:r>
        <w:rPr>
          <w:rFonts w:ascii="Barlow Semi Condensed" w:cs="Barlow Semi Condensed" w:eastAsia="Barlow Semi Condensed" w:hAnsi="Barlow Semi Condensed"/>
          <w:b/>
          <w:bCs/>
          <w:sz w:val="24"/>
          <w:szCs w:val="24"/>
        </w:rPr>
        <w:t xml:space="preserve">77 versamenti da 156 uffici produttori, per circa duemila buste</w:t>
      </w:r>
      <w:r>
        <w:rPr>
          <w:rFonts w:ascii="Barlow Semi Condensed" w:cs="Barlow Semi Condensed" w:eastAsia="Barlow Semi Condensed" w:hAnsi="Barlow Semi Condensed"/>
          <w:sz w:val="24"/>
          <w:szCs w:val="24"/>
        </w:rPr>
        <w:t xml:space="preserve"> cartacee e digitali, raccolte nella collezione speciale «Stragi (Direttiva Renzi)» (testo della direttiva (https://presidenza.governo.it/AmministrazioneTrasparente/Organizzazione/ArticolazioneUffici/CommissioniComitati/Comitato_desecretazione/Direttiva_20140422.pdf); ACS, la collezione (https://acs.cultura.gov.it/la-direttiva-renzi-e-i-pubblici-segreti-documenti-declassificati-su-terrorismo-e-stragi/); Direzione generale Archivi (https://archivi.cultura.gov.it/in-evidenza/le-carte-delle-stragi)). Duemila buste in larga parte mai spogliate sistematicamente con le chiavi di questo caso: è il terreno di scavo principale del programma.</w:t>
      </w:r>
    </w:p>
    <w:p>
      <w:pPr>
        <w:pStyle w:val="Heading2"/>
        <w:spacing w:after="100" w:before="200"/>
      </w:pPr>
      <w:r>
        <w:rPr>
          <w:rFonts w:ascii="Barlow Semi Condensed" w:cs="Barlow Semi Condensed" w:eastAsia="Barlow Semi Condensed" w:hAnsi="Barlow Semi Condensed"/>
          <w:sz w:val="24"/>
          <w:szCs w:val="24"/>
        </w:rPr>
        <w:t xml:space="preserve">Capitolo II — Le piste (P-1 … P-10)</w:t>
      </w:r>
    </w:p>
    <w:p>
      <w:pPr>
        <w:spacing w:after="120" w:line="276"/>
        <w:jc w:val="both"/>
      </w:pPr>
      <w:r>
        <w:rPr>
          <w:rFonts w:ascii="Barlow Semi Condensed" w:cs="Barlow Semi Condensed" w:eastAsia="Barlow Semi Condensed" w:hAnsi="Barlow Semi Condensed"/>
          <w:sz w:val="24"/>
          <w:szCs w:val="24"/>
        </w:rPr>
        <w:t xml:space="preserve">Ogni pista è scritta nel formato operativo: </w:t>
      </w:r>
      <w:r>
        <w:rPr>
          <w:rFonts w:ascii="Barlow Semi Condensed" w:cs="Barlow Semi Condensed" w:eastAsia="Barlow Semi Condensed" w:hAnsi="Barlow Semi Condensed"/>
          <w:b/>
          <w:bCs/>
          <w:sz w:val="24"/>
          <w:szCs w:val="24"/>
        </w:rPr>
        <w:t xml:space="preserve">oggetto · stato degli atti · atto istruttorio · sede · rendimento atteso · criterio di chiusura.</w:t>
      </w:r>
    </w:p>
    <w:p>
      <w:pPr>
        <w:spacing w:after="120" w:line="276"/>
        <w:jc w:val="both"/>
      </w:pPr>
      <w:r>
        <w:rPr>
          <w:rFonts w:ascii="Barlow Semi Condensed" w:cs="Barlow Semi Condensed" w:eastAsia="Barlow Semi Condensed" w:hAnsi="Barlow Semi Condensed"/>
          <w:b/>
          <w:bCs/>
          <w:sz w:val="24"/>
          <w:szCs w:val="24"/>
        </w:rPr>
        <w:t xml:space="preserve">P-1 — Le terze presenze di via Fani.</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Oggetto:</w:t>
      </w:r>
      <w:r>
        <w:rPr>
          <w:rFonts w:ascii="Barlow Semi Condensed" w:cs="Barlow Semi Condensed" w:eastAsia="Barlow Semi Condensed" w:hAnsi="Barlow Semi Condensed"/>
          <w:sz w:val="24"/>
          <w:szCs w:val="24"/>
        </w:rPr>
        <w:t xml:space="preserve"> le due moto e i «quattro centauri»; l'uomo col mitra e il passamontagna. </w:t>
      </w:r>
      <w:r>
        <w:rPr>
          <w:rFonts w:ascii="Barlow Semi Condensed" w:cs="Barlow Semi Condensed" w:eastAsia="Barlow Semi Condensed" w:hAnsi="Barlow Semi Condensed"/>
          <w:i/>
          <w:iCs/>
          <w:sz w:val="24"/>
          <w:szCs w:val="24"/>
        </w:rPr>
        <w:t xml:space="preserve">Stato:</w:t>
      </w:r>
      <w:r>
        <w:rPr>
          <w:rFonts w:ascii="Barlow Semi Condensed" w:cs="Barlow Semi Condensed" w:eastAsia="Barlow Semi Condensed" w:hAnsi="Barlow Semi Condensed"/>
          <w:sz w:val="24"/>
          <w:szCs w:val="24"/>
        </w:rPr>
        <w:t xml:space="preserve"> B (Moro 2), identità C. </w:t>
      </w:r>
      <w:r>
        <w:rPr>
          <w:rFonts w:ascii="Barlow Semi Condensed" w:cs="Barlow Semi Condensed" w:eastAsia="Barlow Semi Condensed" w:hAnsi="Barlow Semi Condensed"/>
          <w:i/>
          <w:iCs/>
          <w:sz w:val="24"/>
          <w:szCs w:val="24"/>
        </w:rPr>
        <w:t xml:space="preserve">Atto:</w:t>
      </w:r>
      <w:r>
        <w:rPr>
          <w:rFonts w:ascii="Barlow Semi Condensed" w:cs="Barlow Semi Condensed" w:eastAsia="Barlow Semi Condensed" w:hAnsi="Barlow Semi Condensed"/>
          <w:sz w:val="24"/>
          <w:szCs w:val="24"/>
        </w:rPr>
        <w:t xml:space="preserve"> perizia balistica con tecniche attuali su tutti i reperti; comparazioni sistematiche col DNA 2016. </w:t>
      </w:r>
      <w:r>
        <w:rPr>
          <w:rFonts w:ascii="Barlow Semi Condensed" w:cs="Barlow Semi Condensed" w:eastAsia="Barlow Semi Condensed" w:hAnsi="Barlow Semi Condensed"/>
          <w:i/>
          <w:iCs/>
          <w:sz w:val="24"/>
          <w:szCs w:val="24"/>
        </w:rPr>
        <w:t xml:space="preserve">Sede:</w:t>
      </w:r>
      <w:r>
        <w:rPr>
          <w:rFonts w:ascii="Barlow Semi Condensed" w:cs="Barlow Semi Condensed" w:eastAsia="Barlow Semi Condensed" w:hAnsi="Barlow Semi Condensed"/>
          <w:sz w:val="24"/>
          <w:szCs w:val="24"/>
        </w:rPr>
        <w:t xml:space="preserve"> il fascicolo aperto (Procura/GIP Roma). </w:t>
      </w:r>
      <w:r>
        <w:rPr>
          <w:rFonts w:ascii="Barlow Semi Condensed" w:cs="Barlow Semi Condensed" w:eastAsia="Barlow Semi Condensed" w:hAnsi="Barlow Semi Condensed"/>
          <w:i/>
          <w:iCs/>
          <w:sz w:val="24"/>
          <w:szCs w:val="24"/>
        </w:rPr>
        <w:t xml:space="preserve">Rendimento:</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b/>
          <w:bCs/>
          <w:sz w:val="24"/>
          <w:szCs w:val="24"/>
        </w:rPr>
        <w:t xml:space="preserve">massimo</w:t>
      </w:r>
      <w:r>
        <w:rPr>
          <w:rFonts w:ascii="Barlow Semi Condensed" w:cs="Barlow Semi Condensed" w:eastAsia="Barlow Semi Condensed" w:hAnsi="Barlow Semi Condensed"/>
          <w:sz w:val="24"/>
          <w:szCs w:val="24"/>
        </w:rPr>
        <w:t xml:space="preserve"> — è l'evidenza che decide l'ACH: se i colpi e i mezzi tornano tutti al commando giudicato, l'ipotesi delle presenze estranee cade; se emerge un profilo estraneo, si apre un'identificazione giudiziaria. </w:t>
      </w:r>
      <w:r>
        <w:rPr>
          <w:rFonts w:ascii="Barlow Semi Condensed" w:cs="Barlow Semi Condensed" w:eastAsia="Barlow Semi Condensed" w:hAnsi="Barlow Semi Condensed"/>
          <w:i/>
          <w:iCs/>
          <w:sz w:val="24"/>
          <w:szCs w:val="24"/>
        </w:rPr>
        <w:t xml:space="preserve">Chiusura:</w:t>
      </w:r>
      <w:r>
        <w:rPr>
          <w:rFonts w:ascii="Barlow Semi Condensed" w:cs="Barlow Semi Condensed" w:eastAsia="Barlow Semi Condensed" w:hAnsi="Barlow Semi Condensed"/>
          <w:sz w:val="24"/>
          <w:szCs w:val="24"/>
        </w:rPr>
        <w:t xml:space="preserve"> l'esito della perizia, quale che sia.</w:t>
      </w:r>
    </w:p>
    <w:p>
      <w:pPr>
        <w:spacing w:after="120" w:line="276"/>
        <w:jc w:val="both"/>
      </w:pPr>
      <w:r>
        <w:rPr>
          <w:rFonts w:ascii="Barlow Semi Condensed" w:cs="Barlow Semi Condensed" w:eastAsia="Barlow Semi Condensed" w:hAnsi="Barlow Semi Condensed"/>
          <w:b/>
          <w:bCs/>
          <w:sz w:val="24"/>
          <w:szCs w:val="24"/>
        </w:rPr>
        <w:t xml:space="preserve">P-2 — Il caricatore di via Stresa.</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Oggetto:</w:t>
      </w:r>
      <w:r>
        <w:rPr>
          <w:rFonts w:ascii="Barlow Semi Condensed" w:cs="Barlow Semi Condensed" w:eastAsia="Barlow Semi Condensed" w:hAnsi="Barlow Semi Condensed"/>
          <w:sz w:val="24"/>
          <w:szCs w:val="24"/>
        </w:rPr>
        <w:t xml:space="preserve"> il caricatore abbandonato sul percorso di fuga. </w:t>
      </w:r>
      <w:r>
        <w:rPr>
          <w:rFonts w:ascii="Barlow Semi Condensed" w:cs="Barlow Semi Condensed" w:eastAsia="Barlow Semi Condensed" w:hAnsi="Barlow Semi Condensed"/>
          <w:i/>
          <w:iCs/>
          <w:sz w:val="24"/>
          <w:szCs w:val="24"/>
        </w:rPr>
        <w:t xml:space="preserve">Stato:</w:t>
      </w:r>
      <w:r>
        <w:rPr>
          <w:rFonts w:ascii="Barlow Semi Condensed" w:cs="Barlow Semi Condensed" w:eastAsia="Barlow Semi Condensed" w:hAnsi="Barlow Semi Condensed"/>
          <w:sz w:val="24"/>
          <w:szCs w:val="24"/>
        </w:rPr>
        <w:t xml:space="preserve"> reperto in vaglio. </w:t>
      </w:r>
      <w:r>
        <w:rPr>
          <w:rFonts w:ascii="Barlow Semi Condensed" w:cs="Barlow Semi Condensed" w:eastAsia="Barlow Semi Condensed" w:hAnsi="Barlow Semi Condensed"/>
          <w:i/>
          <w:iCs/>
          <w:sz w:val="24"/>
          <w:szCs w:val="24"/>
        </w:rPr>
        <w:t xml:space="preserve">Atto:</w:t>
      </w:r>
      <w:r>
        <w:rPr>
          <w:rFonts w:ascii="Barlow Semi Condensed" w:cs="Barlow Semi Condensed" w:eastAsia="Barlow Semi Condensed" w:hAnsi="Barlow Semi Condensed"/>
          <w:sz w:val="24"/>
          <w:szCs w:val="24"/>
        </w:rPr>
        <w:t xml:space="preserve"> impronte e genetica; comparazione con Morucci e con la rosa autorizzata. </w:t>
      </w:r>
      <w:r>
        <w:rPr>
          <w:rFonts w:ascii="Barlow Semi Condensed" w:cs="Barlow Semi Condensed" w:eastAsia="Barlow Semi Condensed" w:hAnsi="Barlow Semi Condensed"/>
          <w:i/>
          <w:iCs/>
          <w:sz w:val="24"/>
          <w:szCs w:val="24"/>
        </w:rPr>
        <w:t xml:space="preserve">Sede:</w:t>
      </w:r>
      <w:r>
        <w:rPr>
          <w:rFonts w:ascii="Barlow Semi Condensed" w:cs="Barlow Semi Condensed" w:eastAsia="Barlow Semi Condensed" w:hAnsi="Barlow Semi Condensed"/>
          <w:sz w:val="24"/>
          <w:szCs w:val="24"/>
        </w:rPr>
        <w:t xml:space="preserve"> fascicolo aperto. </w:t>
      </w:r>
      <w:r>
        <w:rPr>
          <w:rFonts w:ascii="Barlow Semi Condensed" w:cs="Barlow Semi Condensed" w:eastAsia="Barlow Semi Condensed" w:hAnsi="Barlow Semi Condensed"/>
          <w:i/>
          <w:iCs/>
          <w:sz w:val="24"/>
          <w:szCs w:val="24"/>
        </w:rPr>
        <w:t xml:space="preserve">Rendimento:</w:t>
      </w:r>
      <w:r>
        <w:rPr>
          <w:rFonts w:ascii="Barlow Semi Condensed" w:cs="Barlow Semi Condensed" w:eastAsia="Barlow Semi Condensed" w:hAnsi="Barlow Semi Condensed"/>
          <w:sz w:val="24"/>
          <w:szCs w:val="24"/>
        </w:rPr>
        <w:t xml:space="preserve"> alto e rapido (reperto singolo, quesito binario). </w:t>
      </w:r>
      <w:r>
        <w:rPr>
          <w:rFonts w:ascii="Barlow Semi Condensed" w:cs="Barlow Semi Condensed" w:eastAsia="Barlow Semi Condensed" w:hAnsi="Barlow Semi Condensed"/>
          <w:i/>
          <w:iCs/>
          <w:sz w:val="24"/>
          <w:szCs w:val="24"/>
        </w:rPr>
        <w:t xml:space="preserve">Chiusura:</w:t>
      </w:r>
      <w:r>
        <w:rPr>
          <w:rFonts w:ascii="Barlow Semi Condensed" w:cs="Barlow Semi Condensed" w:eastAsia="Barlow Semi Condensed" w:hAnsi="Barlow Semi Condensed"/>
          <w:sz w:val="24"/>
          <w:szCs w:val="24"/>
        </w:rPr>
        <w:t xml:space="preserve"> attribuzione o esclusione.</w:t>
      </w:r>
    </w:p>
    <w:p>
      <w:pPr>
        <w:spacing w:after="120" w:line="276"/>
        <w:jc w:val="both"/>
      </w:pPr>
      <w:r>
        <w:rPr>
          <w:rFonts w:ascii="Barlow Semi Condensed" w:cs="Barlow Semi Condensed" w:eastAsia="Barlow Semi Condensed" w:hAnsi="Barlow Semi Condensed"/>
          <w:b/>
          <w:bCs/>
          <w:sz w:val="24"/>
          <w:szCs w:val="24"/>
        </w:rPr>
        <w:t xml:space="preserve">P-3 — Il DNA di via Gradoli.</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Oggetto:</w:t>
      </w:r>
      <w:r>
        <w:rPr>
          <w:rFonts w:ascii="Barlow Semi Condensed" w:cs="Barlow Semi Condensed" w:eastAsia="Barlow Semi Condensed" w:hAnsi="Barlow Semi Condensed"/>
          <w:sz w:val="24"/>
          <w:szCs w:val="24"/>
        </w:rPr>
        <w:t xml:space="preserve"> i profili 2016 dai mozziconi della base. </w:t>
      </w:r>
      <w:r>
        <w:rPr>
          <w:rFonts w:ascii="Barlow Semi Condensed" w:cs="Barlow Semi Condensed" w:eastAsia="Barlow Semi Condensed" w:hAnsi="Barlow Semi Condensed"/>
          <w:i/>
          <w:iCs/>
          <w:sz w:val="24"/>
          <w:szCs w:val="24"/>
        </w:rPr>
        <w:t xml:space="preserve">Stato:</w:t>
      </w:r>
      <w:r>
        <w:rPr>
          <w:rFonts w:ascii="Barlow Semi Condensed" w:cs="Barlow Semi Condensed" w:eastAsia="Barlow Semi Condensed" w:hAnsi="Barlow Semi Condensed"/>
          <w:sz w:val="24"/>
          <w:szCs w:val="24"/>
        </w:rPr>
        <w:t xml:space="preserve"> estratti, comparazioni in corso. </w:t>
      </w:r>
      <w:r>
        <w:rPr>
          <w:rFonts w:ascii="Barlow Semi Condensed" w:cs="Barlow Semi Condensed" w:eastAsia="Barlow Semi Condensed" w:hAnsi="Barlow Semi Condensed"/>
          <w:i/>
          <w:iCs/>
          <w:sz w:val="24"/>
          <w:szCs w:val="24"/>
        </w:rPr>
        <w:t xml:space="preserve">Atto:</w:t>
      </w:r>
      <w:r>
        <w:rPr>
          <w:rFonts w:ascii="Barlow Semi Condensed" w:cs="Barlow Semi Condensed" w:eastAsia="Barlow Semi Condensed" w:hAnsi="Barlow Semi Condensed"/>
          <w:sz w:val="24"/>
          <w:szCs w:val="24"/>
        </w:rPr>
        <w:t xml:space="preserve"> allargamento ragionato della rosa comparativa. </w:t>
      </w:r>
      <w:r>
        <w:rPr>
          <w:rFonts w:ascii="Barlow Semi Condensed" w:cs="Barlow Semi Condensed" w:eastAsia="Barlow Semi Condensed" w:hAnsi="Barlow Semi Condensed"/>
          <w:i/>
          <w:iCs/>
          <w:sz w:val="24"/>
          <w:szCs w:val="24"/>
        </w:rPr>
        <w:t xml:space="preserve">Sede:</w:t>
      </w:r>
      <w:r>
        <w:rPr>
          <w:rFonts w:ascii="Barlow Semi Condensed" w:cs="Barlow Semi Condensed" w:eastAsia="Barlow Semi Condensed" w:hAnsi="Barlow Semi Condensed"/>
          <w:sz w:val="24"/>
          <w:szCs w:val="24"/>
        </w:rPr>
        <w:t xml:space="preserve"> fascicolo aperto. </w:t>
      </w:r>
      <w:r>
        <w:rPr>
          <w:rFonts w:ascii="Barlow Semi Condensed" w:cs="Barlow Semi Condensed" w:eastAsia="Barlow Semi Condensed" w:hAnsi="Barlow Semi Condensed"/>
          <w:i/>
          <w:iCs/>
          <w:sz w:val="24"/>
          <w:szCs w:val="24"/>
        </w:rPr>
        <w:t xml:space="preserve">Rendimento:</w:t>
      </w:r>
      <w:r>
        <w:rPr>
          <w:rFonts w:ascii="Barlow Semi Condensed" w:cs="Barlow Semi Condensed" w:eastAsia="Barlow Semi Condensed" w:hAnsi="Barlow Semi Condensed"/>
          <w:sz w:val="24"/>
          <w:szCs w:val="24"/>
        </w:rPr>
        <w:t xml:space="preserve"> medio-alto — ogni identificazione data la frequentazione del covo. </w:t>
      </w:r>
      <w:r>
        <w:rPr>
          <w:rFonts w:ascii="Barlow Semi Condensed" w:cs="Barlow Semi Condensed" w:eastAsia="Barlow Semi Condensed" w:hAnsi="Barlow Semi Condensed"/>
          <w:i/>
          <w:iCs/>
          <w:sz w:val="24"/>
          <w:szCs w:val="24"/>
        </w:rPr>
        <w:t xml:space="preserve">Chiusura:</w:t>
      </w:r>
      <w:r>
        <w:rPr>
          <w:rFonts w:ascii="Barlow Semi Condensed" w:cs="Barlow Semi Condensed" w:eastAsia="Barlow Semi Condensed" w:hAnsi="Barlow Semi Condensed"/>
          <w:sz w:val="24"/>
          <w:szCs w:val="24"/>
        </w:rPr>
        <w:t xml:space="preserve"> esaurimento della rosa.</w:t>
      </w:r>
    </w:p>
    <w:p>
      <w:pPr>
        <w:spacing w:after="120" w:line="276"/>
        <w:jc w:val="both"/>
      </w:pPr>
      <w:r>
        <w:rPr>
          <w:rFonts w:ascii="Barlow Semi Condensed" w:cs="Barlow Semi Condensed" w:eastAsia="Barlow Semi Condensed" w:hAnsi="Barlow Semi Condensed"/>
          <w:b/>
          <w:bCs/>
          <w:sz w:val="24"/>
          <w:szCs w:val="24"/>
        </w:rPr>
        <w:t xml:space="preserve">P-4 — La fonte della «seduta spiritica».</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Oggetto:</w:t>
      </w:r>
      <w:r>
        <w:rPr>
          <w:rFonts w:ascii="Barlow Semi Condensed" w:cs="Barlow Semi Condensed" w:eastAsia="Barlow Semi Condensed" w:hAnsi="Barlow Semi Condensed"/>
          <w:sz w:val="24"/>
          <w:szCs w:val="24"/>
        </w:rPr>
        <w:t xml:space="preserve"> la catena informativa reale che portò al nome «Gradoli» — l'evidenza discriminante dell'altra matrice ACH del corpus. </w:t>
      </w:r>
      <w:r>
        <w:rPr>
          <w:rFonts w:ascii="Barlow Semi Condensed" w:cs="Barlow Semi Condensed" w:eastAsia="Barlow Semi Condensed" w:hAnsi="Barlow Semi Condensed"/>
          <w:i/>
          <w:iCs/>
          <w:sz w:val="24"/>
          <w:szCs w:val="24"/>
        </w:rPr>
        <w:t xml:space="preserve">Stato:</w:t>
      </w:r>
      <w:r>
        <w:rPr>
          <w:rFonts w:ascii="Barlow Semi Condensed" w:cs="Barlow Semi Condensed" w:eastAsia="Barlow Semi Condensed" w:hAnsi="Barlow Semi Condensed"/>
          <w:sz w:val="24"/>
          <w:szCs w:val="24"/>
        </w:rPr>
        <w:t xml:space="preserve"> C, non sciolto da due Commissioni. </w:t>
      </w:r>
      <w:r>
        <w:rPr>
          <w:rFonts w:ascii="Barlow Semi Condensed" w:cs="Barlow Semi Condensed" w:eastAsia="Barlow Semi Condensed" w:hAnsi="Barlow Semi Condensed"/>
          <w:i/>
          <w:iCs/>
          <w:sz w:val="24"/>
          <w:szCs w:val="24"/>
        </w:rPr>
        <w:t xml:space="preserve">Atto:</w:t>
      </w:r>
      <w:r>
        <w:rPr>
          <w:rFonts w:ascii="Barlow Semi Condensed" w:cs="Barlow Semi Condensed" w:eastAsia="Barlow Semi Condensed" w:hAnsi="Barlow Semi Condensed"/>
          <w:sz w:val="24"/>
          <w:szCs w:val="24"/>
        </w:rPr>
        <w:t xml:space="preserve"> ricerca documentale mirata negli atti di PS e prefettura dell'aprile 1978 e nei versamenti del Viminale del fondo Direttiva Renzi. </w:t>
      </w:r>
      <w:r>
        <w:rPr>
          <w:rFonts w:ascii="Barlow Semi Condensed" w:cs="Barlow Semi Condensed" w:eastAsia="Barlow Semi Condensed" w:hAnsi="Barlow Semi Condensed"/>
          <w:i/>
          <w:iCs/>
          <w:sz w:val="24"/>
          <w:szCs w:val="24"/>
        </w:rPr>
        <w:t xml:space="preserve">Sede:</w:t>
      </w:r>
      <w:r>
        <w:rPr>
          <w:rFonts w:ascii="Barlow Semi Condensed" w:cs="Barlow Semi Condensed" w:eastAsia="Barlow Semi Condensed" w:hAnsi="Barlow Semi Condensed"/>
          <w:sz w:val="24"/>
          <w:szCs w:val="24"/>
        </w:rPr>
        <w:t xml:space="preserve"> ACS, Sala delle raccolte speciali; archivi del Ministero dell'Interno. </w:t>
      </w:r>
      <w:r>
        <w:rPr>
          <w:rFonts w:ascii="Barlow Semi Condensed" w:cs="Barlow Semi Condensed" w:eastAsia="Barlow Semi Condensed" w:hAnsi="Barlow Semi Condensed"/>
          <w:i/>
          <w:iCs/>
          <w:sz w:val="24"/>
          <w:szCs w:val="24"/>
        </w:rPr>
        <w:t xml:space="preserve">Rendimento:</w:t>
      </w:r>
      <w:r>
        <w:rPr>
          <w:rFonts w:ascii="Barlow Semi Condensed" w:cs="Barlow Semi Condensed" w:eastAsia="Barlow Semi Condensed" w:hAnsi="Barlow Semi Condensed"/>
          <w:sz w:val="24"/>
          <w:szCs w:val="24"/>
        </w:rPr>
        <w:t xml:space="preserve"> medio-alto — basterebbe un appunto d'epoca. </w:t>
      </w:r>
      <w:r>
        <w:rPr>
          <w:rFonts w:ascii="Barlow Semi Condensed" w:cs="Barlow Semi Condensed" w:eastAsia="Barlow Semi Condensed" w:hAnsi="Barlow Semi Condensed"/>
          <w:i/>
          <w:iCs/>
          <w:sz w:val="24"/>
          <w:szCs w:val="24"/>
        </w:rPr>
        <w:t xml:space="preserve">Chiusura:</w:t>
      </w:r>
      <w:r>
        <w:rPr>
          <w:rFonts w:ascii="Barlow Semi Condensed" w:cs="Barlow Semi Condensed" w:eastAsia="Barlow Semi Condensed" w:hAnsi="Barlow Semi Condensed"/>
          <w:sz w:val="24"/>
          <w:szCs w:val="24"/>
        </w:rPr>
        <w:t xml:space="preserve"> l'identificazione documentale della fonte, o l'esaurimento certificato dei fondi.</w:t>
      </w:r>
    </w:p>
    <w:p>
      <w:pPr>
        <w:spacing w:after="120" w:line="276"/>
        <w:jc w:val="both"/>
      </w:pPr>
      <w:r>
        <w:rPr>
          <w:rFonts w:ascii="Barlow Semi Condensed" w:cs="Barlow Semi Condensed" w:eastAsia="Barlow Semi Condensed" w:hAnsi="Barlow Semi Condensed"/>
          <w:b/>
          <w:bCs/>
          <w:sz w:val="24"/>
          <w:szCs w:val="24"/>
        </w:rPr>
        <w:t xml:space="preserve">P-5 — Lo spoglio sistematico del fondo Direttiva Renzi.</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Oggetto:</w:t>
      </w:r>
      <w:r>
        <w:rPr>
          <w:rFonts w:ascii="Barlow Semi Condensed" w:cs="Barlow Semi Condensed" w:eastAsia="Barlow Semi Condensed" w:hAnsi="Barlow Semi Condensed"/>
          <w:sz w:val="24"/>
          <w:szCs w:val="24"/>
        </w:rPr>
        <w:t xml:space="preserve"> le ~2.000 buste dei 156 uffici versanti. </w:t>
      </w:r>
      <w:r>
        <w:rPr>
          <w:rFonts w:ascii="Barlow Semi Condensed" w:cs="Barlow Semi Condensed" w:eastAsia="Barlow Semi Condensed" w:hAnsi="Barlow Semi Condensed"/>
          <w:i/>
          <w:iCs/>
          <w:sz w:val="24"/>
          <w:szCs w:val="24"/>
        </w:rPr>
        <w:t xml:space="preserve">Stato:</w:t>
      </w:r>
      <w:r>
        <w:rPr>
          <w:rFonts w:ascii="Barlow Semi Condensed" w:cs="Barlow Semi Condensed" w:eastAsia="Barlow Semi Condensed" w:hAnsi="Barlow Semi Condensed"/>
          <w:sz w:val="24"/>
          <w:szCs w:val="24"/>
        </w:rPr>
        <w:t xml:space="preserve"> versate, mai spogliate con le chiavi del corpus. </w:t>
      </w:r>
      <w:r>
        <w:rPr>
          <w:rFonts w:ascii="Barlow Semi Condensed" w:cs="Barlow Semi Condensed" w:eastAsia="Barlow Semi Condensed" w:hAnsi="Barlow Semi Condensed"/>
          <w:i/>
          <w:iCs/>
          <w:sz w:val="24"/>
          <w:szCs w:val="24"/>
        </w:rPr>
        <w:t xml:space="preserve">Atto:</w:t>
      </w:r>
      <w:r>
        <w:rPr>
          <w:rFonts w:ascii="Barlow Semi Condensed" w:cs="Barlow Semi Condensed" w:eastAsia="Barlow Semi Condensed" w:hAnsi="Barlow Semi Condensed"/>
          <w:sz w:val="24"/>
          <w:szCs w:val="24"/>
        </w:rPr>
        <w:t xml:space="preserve"> spoglio per chiavi mirate (via Fani; Gradoli; Duchessa; comitati di crisi; i 55 giorni giorno per giorno). </w:t>
      </w:r>
      <w:r>
        <w:rPr>
          <w:rFonts w:ascii="Barlow Semi Condensed" w:cs="Barlow Semi Condensed" w:eastAsia="Barlow Semi Condensed" w:hAnsi="Barlow Semi Condensed"/>
          <w:i/>
          <w:iCs/>
          <w:sz w:val="24"/>
          <w:szCs w:val="24"/>
        </w:rPr>
        <w:t xml:space="preserve">Sede:</w:t>
      </w:r>
      <w:r>
        <w:rPr>
          <w:rFonts w:ascii="Barlow Semi Condensed" w:cs="Barlow Semi Condensed" w:eastAsia="Barlow Semi Condensed" w:hAnsi="Barlow Semi Condensed"/>
          <w:sz w:val="24"/>
          <w:szCs w:val="24"/>
        </w:rPr>
        <w:t xml:space="preserve"> ACS. </w:t>
      </w:r>
      <w:r>
        <w:rPr>
          <w:rFonts w:ascii="Barlow Semi Condensed" w:cs="Barlow Semi Condensed" w:eastAsia="Barlow Semi Condensed" w:hAnsi="Barlow Semi Condensed"/>
          <w:i/>
          <w:iCs/>
          <w:sz w:val="24"/>
          <w:szCs w:val="24"/>
        </w:rPr>
        <w:t xml:space="preserve">Rendimento:</w:t>
      </w:r>
      <w:r>
        <w:rPr>
          <w:rFonts w:ascii="Barlow Semi Condensed" w:cs="Barlow Semi Condensed" w:eastAsia="Barlow Semi Condensed" w:hAnsi="Barlow Semi Condensed"/>
          <w:sz w:val="24"/>
          <w:szCs w:val="24"/>
        </w:rPr>
        <w:t xml:space="preserve"> strutturale — è la pista che alimenta tutte le altre. </w:t>
      </w:r>
      <w:r>
        <w:rPr>
          <w:rFonts w:ascii="Barlow Semi Condensed" w:cs="Barlow Semi Condensed" w:eastAsia="Barlow Semi Condensed" w:hAnsi="Barlow Semi Condensed"/>
          <w:i/>
          <w:iCs/>
          <w:sz w:val="24"/>
          <w:szCs w:val="24"/>
        </w:rPr>
        <w:t xml:space="preserve">Chiusura:</w:t>
      </w:r>
      <w:r>
        <w:rPr>
          <w:rFonts w:ascii="Barlow Semi Condensed" w:cs="Barlow Semi Condensed" w:eastAsia="Barlow Semi Condensed" w:hAnsi="Barlow Semi Condensed"/>
          <w:sz w:val="24"/>
          <w:szCs w:val="24"/>
        </w:rPr>
        <w:t xml:space="preserve"> inventario analitico completato.</w:t>
      </w:r>
    </w:p>
    <w:p>
      <w:pPr>
        <w:spacing w:after="120" w:line="276"/>
        <w:jc w:val="both"/>
      </w:pPr>
      <w:r>
        <w:rPr>
          <w:rFonts w:ascii="Barlow Semi Condensed" w:cs="Barlow Semi Condensed" w:eastAsia="Barlow Semi Condensed" w:hAnsi="Barlow Semi Condensed"/>
          <w:b/>
          <w:bCs/>
          <w:sz w:val="24"/>
          <w:szCs w:val="24"/>
        </w:rPr>
        <w:t xml:space="preserve">P-6 — La completezza del memoriale.</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Oggetto:</w:t>
      </w:r>
      <w:r>
        <w:rPr>
          <w:rFonts w:ascii="Barlow Semi Condensed" w:cs="Barlow Semi Condensed" w:eastAsia="Barlow Semi Condensed" w:hAnsi="Barlow Semi Condensed"/>
          <w:sz w:val="24"/>
          <w:szCs w:val="24"/>
        </w:rPr>
        <w:t xml:space="preserve"> che cosa manchi fra il dattiloscritto 1978 e i fogli 1990. </w:t>
      </w:r>
      <w:r>
        <w:rPr>
          <w:rFonts w:ascii="Barlow Semi Condensed" w:cs="Barlow Semi Condensed" w:eastAsia="Barlow Semi Condensed" w:hAnsi="Barlow Semi Condensed"/>
          <w:i/>
          <w:iCs/>
          <w:sz w:val="24"/>
          <w:szCs w:val="24"/>
        </w:rPr>
        <w:t xml:space="preserve">Stato:</w:t>
      </w:r>
      <w:r>
        <w:rPr>
          <w:rFonts w:ascii="Barlow Semi Condensed" w:cs="Barlow Semi Condensed" w:eastAsia="Barlow Semi Condensed" w:hAnsi="Barlow Semi Condensed"/>
          <w:sz w:val="24"/>
          <w:szCs w:val="24"/>
        </w:rPr>
        <w:t xml:space="preserve"> ritrovamenti A, completezza C. </w:t>
      </w:r>
      <w:r>
        <w:rPr>
          <w:rFonts w:ascii="Barlow Semi Condensed" w:cs="Barlow Semi Condensed" w:eastAsia="Barlow Semi Condensed" w:hAnsi="Barlow Semi Condensed"/>
          <w:i/>
          <w:iCs/>
          <w:sz w:val="24"/>
          <w:szCs w:val="24"/>
        </w:rPr>
        <w:t xml:space="preserve">Atto:</w:t>
      </w:r>
      <w:r>
        <w:rPr>
          <w:rFonts w:ascii="Barlow Semi Condensed" w:cs="Barlow Semi Condensed" w:eastAsia="Barlow Semi Condensed" w:hAnsi="Barlow Semi Condensed"/>
          <w:sz w:val="24"/>
          <w:szCs w:val="24"/>
        </w:rPr>
        <w:t xml:space="preserve"> perizia filologico-comparativa fra i tre corpora; ricerca di carte coerenti nei fondi versati. </w:t>
      </w:r>
      <w:r>
        <w:rPr>
          <w:rFonts w:ascii="Barlow Semi Condensed" w:cs="Barlow Semi Condensed" w:eastAsia="Barlow Semi Condensed" w:hAnsi="Barlow Semi Condensed"/>
          <w:i/>
          <w:iCs/>
          <w:sz w:val="24"/>
          <w:szCs w:val="24"/>
        </w:rPr>
        <w:t xml:space="preserve">Sede:</w:t>
      </w:r>
      <w:r>
        <w:rPr>
          <w:rFonts w:ascii="Barlow Semi Condensed" w:cs="Barlow Semi Condensed" w:eastAsia="Barlow Semi Condensed" w:hAnsi="Barlow Semi Condensed"/>
          <w:sz w:val="24"/>
          <w:szCs w:val="24"/>
        </w:rPr>
        <w:t xml:space="preserve"> ACS; periti nominandi. </w:t>
      </w:r>
      <w:r>
        <w:rPr>
          <w:rFonts w:ascii="Barlow Semi Condensed" w:cs="Barlow Semi Condensed" w:eastAsia="Barlow Semi Condensed" w:hAnsi="Barlow Semi Condensed"/>
          <w:i/>
          <w:iCs/>
          <w:sz w:val="24"/>
          <w:szCs w:val="24"/>
        </w:rPr>
        <w:t xml:space="preserve">Rendimento:</w:t>
      </w:r>
      <w:r>
        <w:rPr>
          <w:rFonts w:ascii="Barlow Semi Condensed" w:cs="Barlow Semi Condensed" w:eastAsia="Barlow Semi Condensed" w:hAnsi="Barlow Semi Condensed"/>
          <w:sz w:val="24"/>
          <w:szCs w:val="24"/>
        </w:rPr>
        <w:t xml:space="preserve"> medio. </w:t>
      </w:r>
      <w:r>
        <w:rPr>
          <w:rFonts w:ascii="Barlow Semi Condensed" w:cs="Barlow Semi Condensed" w:eastAsia="Barlow Semi Condensed" w:hAnsi="Barlow Semi Condensed"/>
          <w:i/>
          <w:iCs/>
          <w:sz w:val="24"/>
          <w:szCs w:val="24"/>
        </w:rPr>
        <w:t xml:space="preserve">Chiusura:</w:t>
      </w:r>
      <w:r>
        <w:rPr>
          <w:rFonts w:ascii="Barlow Semi Condensed" w:cs="Barlow Semi Condensed" w:eastAsia="Barlow Semi Condensed" w:hAnsi="Barlow Semi Condensed"/>
          <w:sz w:val="24"/>
          <w:szCs w:val="24"/>
        </w:rPr>
        <w:t xml:space="preserve"> mappa delle lacune interne, o prova della completezza.</w:t>
      </w:r>
    </w:p>
    <w:p>
      <w:pPr>
        <w:spacing w:after="120" w:line="276"/>
        <w:jc w:val="both"/>
      </w:pPr>
      <w:r>
        <w:rPr>
          <w:rFonts w:ascii="Barlow Semi Condensed" w:cs="Barlow Semi Condensed" w:eastAsia="Barlow Semi Condensed" w:hAnsi="Barlow Semi Condensed"/>
          <w:b/>
          <w:bCs/>
          <w:sz w:val="24"/>
          <w:szCs w:val="24"/>
        </w:rPr>
        <w:t xml:space="preserve">P-7 — I testimoni viventi.</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Oggetto:</w:t>
      </w:r>
      <w:r>
        <w:rPr>
          <w:rFonts w:ascii="Barlow Semi Condensed" w:cs="Barlow Semi Condensed" w:eastAsia="Barlow Semi Condensed" w:hAnsi="Barlow Semi Condensed"/>
          <w:sz w:val="24"/>
          <w:szCs w:val="24"/>
        </w:rPr>
        <w:t xml:space="preserve"> i testimoni oculari uditi tardivamente (De Chiara, l'ing. Marini) e i residenti mai escussi. </w:t>
      </w:r>
      <w:r>
        <w:rPr>
          <w:rFonts w:ascii="Barlow Semi Condensed" w:cs="Barlow Semi Condensed" w:eastAsia="Barlow Semi Condensed" w:hAnsi="Barlow Semi Condensed"/>
          <w:i/>
          <w:iCs/>
          <w:sz w:val="24"/>
          <w:szCs w:val="24"/>
        </w:rPr>
        <w:t xml:space="preserve">Stato:</w:t>
      </w:r>
      <w:r>
        <w:rPr>
          <w:rFonts w:ascii="Barlow Semi Condensed" w:cs="Barlow Semi Condensed" w:eastAsia="Barlow Semi Condensed" w:hAnsi="Barlow Semi Condensed"/>
          <w:sz w:val="24"/>
          <w:szCs w:val="24"/>
        </w:rPr>
        <w:t xml:space="preserve"> B. </w:t>
      </w:r>
      <w:r>
        <w:rPr>
          <w:rFonts w:ascii="Barlow Semi Condensed" w:cs="Barlow Semi Condensed" w:eastAsia="Barlow Semi Condensed" w:hAnsi="Barlow Semi Condensed"/>
          <w:i/>
          <w:iCs/>
          <w:sz w:val="24"/>
          <w:szCs w:val="24"/>
        </w:rPr>
        <w:t xml:space="preserve">Atto:</w:t>
      </w:r>
      <w:r>
        <w:rPr>
          <w:rFonts w:ascii="Barlow Semi Condensed" w:cs="Barlow Semi Condensed" w:eastAsia="Barlow Semi Condensed" w:hAnsi="Barlow Semi Condensed"/>
          <w:sz w:val="24"/>
          <w:szCs w:val="24"/>
        </w:rPr>
        <w:t xml:space="preserve"> ri-escussione con protocolli di memoria assistita; raccolta conservativa. </w:t>
      </w:r>
      <w:r>
        <w:rPr>
          <w:rFonts w:ascii="Barlow Semi Condensed" w:cs="Barlow Semi Condensed" w:eastAsia="Barlow Semi Condensed" w:hAnsi="Barlow Semi Condensed"/>
          <w:i/>
          <w:iCs/>
          <w:sz w:val="24"/>
          <w:szCs w:val="24"/>
        </w:rPr>
        <w:t xml:space="preserve">Sede:</w:t>
      </w:r>
      <w:r>
        <w:rPr>
          <w:rFonts w:ascii="Barlow Semi Condensed" w:cs="Barlow Semi Condensed" w:eastAsia="Barlow Semi Condensed" w:hAnsi="Barlow Semi Condensed"/>
          <w:sz w:val="24"/>
          <w:szCs w:val="24"/>
        </w:rPr>
        <w:t xml:space="preserve"> fascicolo aperto; in subordine, sede storica qualificata. </w:t>
      </w:r>
      <w:r>
        <w:rPr>
          <w:rFonts w:ascii="Barlow Semi Condensed" w:cs="Barlow Semi Condensed" w:eastAsia="Barlow Semi Condensed" w:hAnsi="Barlow Semi Condensed"/>
          <w:i/>
          <w:iCs/>
          <w:sz w:val="24"/>
          <w:szCs w:val="24"/>
        </w:rPr>
        <w:t xml:space="preserve">Rendimento:</w:t>
      </w:r>
      <w:r>
        <w:rPr>
          <w:rFonts w:ascii="Barlow Semi Condensed" w:cs="Barlow Semi Condensed" w:eastAsia="Barlow Semi Condensed" w:hAnsi="Barlow Semi Condensed"/>
          <w:sz w:val="24"/>
          <w:szCs w:val="24"/>
        </w:rPr>
        <w:t xml:space="preserve"> decrescente </w:t>
      </w:r>
      <w:r>
        <w:rPr>
          <w:rFonts w:ascii="Barlow Semi Condensed" w:cs="Barlow Semi Condensed" w:eastAsia="Barlow Semi Condensed" w:hAnsi="Barlow Semi Condensed"/>
          <w:b/>
          <w:bCs/>
          <w:sz w:val="24"/>
          <w:szCs w:val="24"/>
        </w:rPr>
        <w:t xml:space="preserve">nel tempo</w:t>
      </w:r>
      <w:r>
        <w:rPr>
          <w:rFonts w:ascii="Barlow Semi Condensed" w:cs="Barlow Semi Condensed" w:eastAsia="Barlow Semi Condensed" w:hAnsi="Barlow Semi Condensed"/>
          <w:sz w:val="24"/>
          <w:szCs w:val="24"/>
        </w:rPr>
        <w:t xml:space="preserve"> — è la pista con la priorità temporale più severa: ogni anno perso è perso per sempre. </w:t>
      </w:r>
      <w:r>
        <w:rPr>
          <w:rFonts w:ascii="Barlow Semi Condensed" w:cs="Barlow Semi Condensed" w:eastAsia="Barlow Semi Condensed" w:hAnsi="Barlow Semi Condensed"/>
          <w:i/>
          <w:iCs/>
          <w:sz w:val="24"/>
          <w:szCs w:val="24"/>
        </w:rPr>
        <w:t xml:space="preserve">Chiusura:</w:t>
      </w:r>
      <w:r>
        <w:rPr>
          <w:rFonts w:ascii="Barlow Semi Condensed" w:cs="Barlow Semi Condensed" w:eastAsia="Barlow Semi Condensed" w:hAnsi="Barlow Semi Condensed"/>
          <w:sz w:val="24"/>
          <w:szCs w:val="24"/>
        </w:rPr>
        <w:t xml:space="preserve"> l'escussione stessa.</w:t>
      </w:r>
    </w:p>
    <w:p>
      <w:pPr>
        <w:spacing w:after="120" w:line="276"/>
        <w:jc w:val="both"/>
      </w:pPr>
      <w:r>
        <w:rPr>
          <w:rFonts w:ascii="Barlow Semi Condensed" w:cs="Barlow Semi Condensed" w:eastAsia="Barlow Semi Condensed" w:hAnsi="Barlow Semi Condensed"/>
          <w:b/>
          <w:bCs/>
          <w:sz w:val="24"/>
          <w:szCs w:val="24"/>
        </w:rPr>
        <w:t xml:space="preserve">P-8 — La deposizione mai resa.</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Oggetto:</w:t>
      </w:r>
      <w:r>
        <w:rPr>
          <w:rFonts w:ascii="Barlow Semi Condensed" w:cs="Barlow Semi Condensed" w:eastAsia="Barlow Semi Condensed" w:hAnsi="Barlow Semi Condensed"/>
          <w:sz w:val="24"/>
          <w:szCs w:val="24"/>
        </w:rPr>
        <w:t xml:space="preserve"> Alessio Casimirri è l'unico partecipante identificato di via Fani mai interrogato da un'autorità italiana. </w:t>
      </w:r>
      <w:r>
        <w:rPr>
          <w:rFonts w:ascii="Barlow Semi Condensed" w:cs="Barlow Semi Condensed" w:eastAsia="Barlow Semi Condensed" w:hAnsi="Barlow Semi Condensed"/>
          <w:i/>
          <w:iCs/>
          <w:sz w:val="24"/>
          <w:szCs w:val="24"/>
        </w:rPr>
        <w:t xml:space="preserve">Stato:</w:t>
      </w:r>
      <w:r>
        <w:rPr>
          <w:rFonts w:ascii="Barlow Semi Condensed" w:cs="Barlow Semi Condensed" w:eastAsia="Barlow Semi Condensed" w:hAnsi="Barlow Semi Condensed"/>
          <w:sz w:val="24"/>
          <w:szCs w:val="24"/>
        </w:rPr>
        <w:t xml:space="preserve"> condanna definitiva; latitanza protetta. </w:t>
      </w:r>
      <w:r>
        <w:rPr>
          <w:rFonts w:ascii="Barlow Semi Condensed" w:cs="Barlow Semi Condensed" w:eastAsia="Barlow Semi Condensed" w:hAnsi="Barlow Semi Condensed"/>
          <w:i/>
          <w:iCs/>
          <w:sz w:val="24"/>
          <w:szCs w:val="24"/>
        </w:rPr>
        <w:t xml:space="preserve">Atto:</w:t>
      </w:r>
      <w:r>
        <w:rPr>
          <w:rFonts w:ascii="Barlow Semi Condensed" w:cs="Barlow Semi Condensed" w:eastAsia="Barlow Semi Condensed" w:hAnsi="Barlow Semi Condensed"/>
          <w:sz w:val="24"/>
          <w:szCs w:val="24"/>
        </w:rPr>
        <w:t xml:space="preserve"> non l'estradizione (negata da quarant'anni), ma la </w:t>
      </w:r>
      <w:r>
        <w:rPr>
          <w:rFonts w:ascii="Barlow Semi Condensed" w:cs="Barlow Semi Condensed" w:eastAsia="Barlow Semi Condensed" w:hAnsi="Barlow Semi Condensed"/>
          <w:b/>
          <w:bCs/>
          <w:sz w:val="24"/>
          <w:szCs w:val="24"/>
        </w:rPr>
        <w:t xml:space="preserve">rogatoria conoscitiva</w:t>
      </w:r>
      <w:r>
        <w:rPr>
          <w:rFonts w:ascii="Barlow Semi Condensed" w:cs="Barlow Semi Condensed" w:eastAsia="Barlow Semi Condensed" w:hAnsi="Barlow Semi Condensed"/>
          <w:sz w:val="24"/>
          <w:szCs w:val="24"/>
        </w:rPr>
        <w:t xml:space="preserve">: una deposizione all'estero, anche senza consegna, sarebbe l'atto istruttorio potenzialmente più ricco rimasto al caso. </w:t>
      </w:r>
      <w:r>
        <w:rPr>
          <w:rFonts w:ascii="Barlow Semi Condensed" w:cs="Barlow Semi Condensed" w:eastAsia="Barlow Semi Condensed" w:hAnsi="Barlow Semi Condensed"/>
          <w:i/>
          <w:iCs/>
          <w:sz w:val="24"/>
          <w:szCs w:val="24"/>
        </w:rPr>
        <w:t xml:space="preserve">Sede:</w:t>
      </w:r>
      <w:r>
        <w:rPr>
          <w:rFonts w:ascii="Barlow Semi Condensed" w:cs="Barlow Semi Condensed" w:eastAsia="Barlow Semi Condensed" w:hAnsi="Barlow Semi Condensed"/>
          <w:sz w:val="24"/>
          <w:szCs w:val="24"/>
        </w:rPr>
        <w:t xml:space="preserve"> Ministeri della Giustizia e degli Esteri; il canale bilaterale censito nello studio sulle pene oltre confine. </w:t>
      </w:r>
      <w:r>
        <w:rPr>
          <w:rFonts w:ascii="Barlow Semi Condensed" w:cs="Barlow Semi Condensed" w:eastAsia="Barlow Semi Condensed" w:hAnsi="Barlow Semi Condensed"/>
          <w:i/>
          <w:iCs/>
          <w:sz w:val="24"/>
          <w:szCs w:val="24"/>
        </w:rPr>
        <w:t xml:space="preserve">Rendimento:</w:t>
      </w:r>
      <w:r>
        <w:rPr>
          <w:rFonts w:ascii="Barlow Semi Condensed" w:cs="Barlow Semi Condensed" w:eastAsia="Barlow Semi Condensed" w:hAnsi="Barlow Semi Condensed"/>
          <w:sz w:val="24"/>
          <w:szCs w:val="24"/>
        </w:rPr>
        <w:t xml:space="preserve"> incerto ma di valore unico. </w:t>
      </w:r>
      <w:r>
        <w:rPr>
          <w:rFonts w:ascii="Barlow Semi Condensed" w:cs="Barlow Semi Condensed" w:eastAsia="Barlow Semi Condensed" w:hAnsi="Barlow Semi Condensed"/>
          <w:i/>
          <w:iCs/>
          <w:sz w:val="24"/>
          <w:szCs w:val="24"/>
        </w:rPr>
        <w:t xml:space="preserve">Chiusura:</w:t>
      </w:r>
      <w:r>
        <w:rPr>
          <w:rFonts w:ascii="Barlow Semi Condensed" w:cs="Barlow Semi Condensed" w:eastAsia="Barlow Semi Condensed" w:hAnsi="Barlow Semi Condensed"/>
          <w:sz w:val="24"/>
          <w:szCs w:val="24"/>
        </w:rPr>
        <w:t xml:space="preserve"> la deposizione, o il rifiuto formale reiterato.</w:t>
      </w:r>
    </w:p>
    <w:p>
      <w:pPr>
        <w:spacing w:after="120" w:line="276"/>
        <w:jc w:val="both"/>
      </w:pPr>
      <w:r>
        <w:rPr>
          <w:rFonts w:ascii="Barlow Semi Condensed" w:cs="Barlow Semi Condensed" w:eastAsia="Barlow Semi Condensed" w:hAnsi="Barlow Semi Condensed"/>
          <w:b/>
          <w:bCs/>
          <w:sz w:val="24"/>
          <w:szCs w:val="24"/>
        </w:rPr>
        <w:t xml:space="preserve">P-9 — Gli archivi che si apriranno.</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Oggetto:</w:t>
      </w:r>
      <w:r>
        <w:rPr>
          <w:rFonts w:ascii="Barlow Semi Condensed" w:cs="Barlow Semi Condensed" w:eastAsia="Barlow Semi Condensed" w:hAnsi="Barlow Semi Condensed"/>
          <w:sz w:val="24"/>
          <w:szCs w:val="24"/>
        </w:rPr>
        <w:t xml:space="preserve"> l'Archivio Apostolico Vaticano per il pontificato di Paolo VI (la lettera, i canali della Santa Sede nei 55 giorni, l'operato di mons. Macchi), e le serie 1978 dell'Archivio Storico Diplomatico. </w:t>
      </w:r>
      <w:r>
        <w:rPr>
          <w:rFonts w:ascii="Barlow Semi Condensed" w:cs="Barlow Semi Condensed" w:eastAsia="Barlow Semi Condensed" w:hAnsi="Barlow Semi Condensed"/>
          <w:i/>
          <w:iCs/>
          <w:sz w:val="24"/>
          <w:szCs w:val="24"/>
        </w:rPr>
        <w:t xml:space="preserve">Stato:</w:t>
      </w:r>
      <w:r>
        <w:rPr>
          <w:rFonts w:ascii="Barlow Semi Condensed" w:cs="Barlow Semi Condensed" w:eastAsia="Barlow Semi Condensed" w:hAnsi="Barlow Semi Condensed"/>
          <w:sz w:val="24"/>
          <w:szCs w:val="24"/>
        </w:rPr>
        <w:t xml:space="preserve"> non ancora consultabili. </w:t>
      </w:r>
      <w:r>
        <w:rPr>
          <w:rFonts w:ascii="Barlow Semi Condensed" w:cs="Barlow Semi Condensed" w:eastAsia="Barlow Semi Condensed" w:hAnsi="Barlow Semi Condensed"/>
          <w:i/>
          <w:iCs/>
          <w:sz w:val="24"/>
          <w:szCs w:val="24"/>
        </w:rPr>
        <w:t xml:space="preserve">Atto:</w:t>
      </w:r>
      <w:r>
        <w:rPr>
          <w:rFonts w:ascii="Barlow Semi Condensed" w:cs="Barlow Semi Condensed" w:eastAsia="Barlow Semi Condensed" w:hAnsi="Barlow Semi Condensed"/>
          <w:sz w:val="24"/>
          <w:szCs w:val="24"/>
        </w:rPr>
        <w:t xml:space="preserve"> istanza di consultazione pronta al giorno dell'apertura, con quesiti già scritti (il corpus li possiede tutti). </w:t>
      </w:r>
      <w:r>
        <w:rPr>
          <w:rFonts w:ascii="Barlow Semi Condensed" w:cs="Barlow Semi Condensed" w:eastAsia="Barlow Semi Condensed" w:hAnsi="Barlow Semi Condensed"/>
          <w:i/>
          <w:iCs/>
          <w:sz w:val="24"/>
          <w:szCs w:val="24"/>
        </w:rPr>
        <w:t xml:space="preserve">Sede:</w:t>
      </w:r>
      <w:r>
        <w:rPr>
          <w:rFonts w:ascii="Barlow Semi Condensed" w:cs="Barlow Semi Condensed" w:eastAsia="Barlow Semi Condensed" w:hAnsi="Barlow Semi Condensed"/>
          <w:sz w:val="24"/>
          <w:szCs w:val="24"/>
        </w:rPr>
        <w:t xml:space="preserve"> AAV; ASD Farnesina. </w:t>
      </w:r>
      <w:r>
        <w:rPr>
          <w:rFonts w:ascii="Barlow Semi Condensed" w:cs="Barlow Semi Condensed" w:eastAsia="Barlow Semi Condensed" w:hAnsi="Barlow Semi Condensed"/>
          <w:i/>
          <w:iCs/>
          <w:sz w:val="24"/>
          <w:szCs w:val="24"/>
        </w:rPr>
        <w:t xml:space="preserve">Rendimento:</w:t>
      </w:r>
      <w:r>
        <w:rPr>
          <w:rFonts w:ascii="Barlow Semi Condensed" w:cs="Barlow Semi Condensed" w:eastAsia="Barlow Semi Condensed" w:hAnsi="Barlow Semi Condensed"/>
          <w:sz w:val="24"/>
          <w:szCs w:val="24"/>
        </w:rPr>
        <w:t xml:space="preserve"> alto, a scadenza ignota. </w:t>
      </w:r>
      <w:r>
        <w:rPr>
          <w:rFonts w:ascii="Barlow Semi Condensed" w:cs="Barlow Semi Condensed" w:eastAsia="Barlow Semi Condensed" w:hAnsi="Barlow Semi Condensed"/>
          <w:i/>
          <w:iCs/>
          <w:sz w:val="24"/>
          <w:szCs w:val="24"/>
        </w:rPr>
        <w:t xml:space="preserve">Chiusura:</w:t>
      </w:r>
      <w:r>
        <w:rPr>
          <w:rFonts w:ascii="Barlow Semi Condensed" w:cs="Barlow Semi Condensed" w:eastAsia="Barlow Semi Condensed" w:hAnsi="Barlow Semi Condensed"/>
          <w:sz w:val="24"/>
          <w:szCs w:val="24"/>
        </w:rPr>
        <w:t xml:space="preserve"> lo spoglio all'apertura.</w:t>
      </w:r>
    </w:p>
    <w:p>
      <w:pPr>
        <w:spacing w:after="120" w:line="276"/>
        <w:jc w:val="both"/>
      </w:pPr>
      <w:r>
        <w:rPr>
          <w:rFonts w:ascii="Barlow Semi Condensed" w:cs="Barlow Semi Condensed" w:eastAsia="Barlow Semi Condensed" w:hAnsi="Barlow Semi Condensed"/>
          <w:b/>
          <w:bCs/>
          <w:sz w:val="24"/>
          <w:szCs w:val="24"/>
        </w:rPr>
        <w:t xml:space="preserve">P-10 — Il vaglio negativo: le piste da archiviare.</w:t>
      </w:r>
      <w:r>
        <w:rPr>
          <w:rFonts w:ascii="Barlow Semi Condensed" w:cs="Barlow Semi Condensed" w:eastAsia="Barlow Semi Condensed" w:hAnsi="Barlow Semi Condensed"/>
          <w:sz w:val="24"/>
          <w:szCs w:val="24"/>
        </w:rPr>
        <w:t xml:space="preserve"> Un programma investigativo si giudica anche da ciò che </w:t>
      </w:r>
      <w:r>
        <w:rPr>
          <w:rFonts w:ascii="Barlow Semi Condensed" w:cs="Barlow Semi Condensed" w:eastAsia="Barlow Semi Condensed" w:hAnsi="Barlow Semi Condensed"/>
          <w:b/>
          <w:bCs/>
          <w:sz w:val="24"/>
          <w:szCs w:val="24"/>
        </w:rPr>
        <w:t xml:space="preserve">non</w:t>
      </w:r>
      <w:r>
        <w:rPr>
          <w:rFonts w:ascii="Barlow Semi Condensed" w:cs="Barlow Semi Condensed" w:eastAsia="Barlow Semi Condensed" w:hAnsi="Barlow Semi Condensed"/>
          <w:sz w:val="24"/>
          <w:szCs w:val="24"/>
        </w:rPr>
        <w:t xml:space="preserve"> persegue. Il corpus archivia motivatamente: la «seconda prigione» (C senza alcun appiglio istruttorio nuovo); i nessi operativi Hyperion-caso (il cammino documentato è di grado F — genealogia 1969 — e quarant'anni di indagini in due Paesi si sono chiusi con proscioglimenti: la pista si riaprirebbe </w:t>
      </w:r>
      <w:r>
        <w:rPr>
          <w:rFonts w:ascii="Barlow Semi Condensed" w:cs="Barlow Semi Condensed" w:eastAsia="Barlow Semi Condensed" w:hAnsi="Barlow Semi Condensed"/>
          <w:b/>
          <w:bCs/>
          <w:sz w:val="24"/>
          <w:szCs w:val="24"/>
        </w:rPr>
        <w:t xml:space="preserve">solo</w:t>
      </w:r>
      <w:r>
        <w:rPr>
          <w:rFonts w:ascii="Barlow Semi Condensed" w:cs="Barlow Semi Condensed" w:eastAsia="Barlow Semi Condensed" w:hAnsi="Barlow Semi Condensed"/>
          <w:sz w:val="24"/>
          <w:szCs w:val="24"/>
        </w:rPr>
        <w:t xml:space="preserve"> per documento primario nuovo, non per rilettura degli stessi atti); ogni pista fondata sulle dichiarazioni non riscontrate di Ağca o su memorialistica di parte non corroborata. </w:t>
      </w:r>
      <w:r>
        <w:rPr>
          <w:rFonts w:ascii="Barlow Semi Condensed" w:cs="Barlow Semi Condensed" w:eastAsia="Barlow Semi Condensed" w:hAnsi="Barlow Semi Condensed"/>
          <w:i/>
          <w:iCs/>
          <w:sz w:val="24"/>
          <w:szCs w:val="24"/>
        </w:rPr>
        <w:t xml:space="preserve">Criterio di riapertura:</w:t>
      </w:r>
      <w:r>
        <w:rPr>
          <w:rFonts w:ascii="Barlow Semi Condensed" w:cs="Barlow Semi Condensed" w:eastAsia="Barlow Semi Condensed" w:hAnsi="Barlow Semi Condensed"/>
          <w:sz w:val="24"/>
          <w:szCs w:val="24"/>
        </w:rPr>
        <w:t xml:space="preserve"> documentale, e dichiarato pista per pista.</w:t>
      </w:r>
    </w:p>
    <w:p>
      <w:pPr>
        <w:pStyle w:val="Heading2"/>
        <w:spacing w:after="100" w:before="200"/>
      </w:pPr>
      <w:r>
        <w:rPr>
          <w:rFonts w:ascii="Barlow Semi Condensed" w:cs="Barlow Semi Condensed" w:eastAsia="Barlow Semi Condensed" w:hAnsi="Barlow Semi Condensed"/>
          <w:sz w:val="24"/>
          <w:szCs w:val="24"/>
        </w:rPr>
        <w:t xml:space="preserve">Capitolo III — La matrice delle priorità</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872"/>
        <w:gridCol w:w="1872"/>
        <w:gridCol w:w="1872"/>
        <w:gridCol w:w="1872"/>
        <w:gridCol w:w="1872"/>
      </w:tblGrid>
      <w:tr>
        <w:tc>
          <w:tcPr>
            <w:tcW w:type="dxa" w:w="1872"/>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Pista</w:t>
            </w:r>
          </w:p>
        </w:tc>
        <w:tc>
          <w:tcPr>
            <w:tcW w:type="dxa" w:w="1872"/>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Rendimento</w:t>
            </w:r>
          </w:p>
        </w:tc>
        <w:tc>
          <w:tcPr>
            <w:tcW w:type="dxa" w:w="1872"/>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Fattibilità</w:t>
            </w:r>
          </w:p>
        </w:tc>
        <w:tc>
          <w:tcPr>
            <w:tcW w:type="dxa" w:w="1872"/>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Urgenza temporale</w:t>
            </w:r>
          </w:p>
        </w:tc>
        <w:tc>
          <w:tcPr>
            <w:tcW w:type="dxa" w:w="1872"/>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Autorità</w:t>
            </w:r>
          </w:p>
        </w:tc>
      </w:tr>
      <w:tr>
        <w:tc>
          <w:tcPr>
            <w:tcW w:type="dxa" w:w="1872"/>
          </w:tcPr>
          <w:p>
            <w:pPr>
              <w:spacing w:after="20" w:before="20"/>
              <w:jc w:val="both"/>
            </w:pPr>
            <w:r>
              <w:rPr>
                <w:rFonts w:ascii="Barlow Semi Condensed" w:cs="Barlow Semi Condensed" w:eastAsia="Barlow Semi Condensed" w:hAnsi="Barlow Semi Condensed"/>
                <w:sz w:val="20"/>
                <w:szCs w:val="20"/>
              </w:rPr>
              <w:t xml:space="preserve">P-1 terze presenze</w:t>
            </w:r>
          </w:p>
        </w:tc>
        <w:tc>
          <w:tcPr>
            <w:tcW w:type="dxa" w:w="1872"/>
          </w:tcPr>
          <w:p>
            <w:pPr>
              <w:spacing w:after="20" w:before="20"/>
              <w:jc w:val="both"/>
            </w:pPr>
            <w:r>
              <w:rPr>
                <w:rFonts w:ascii="Barlow Semi Condensed" w:cs="Barlow Semi Condensed" w:eastAsia="Barlow Semi Condensed" w:hAnsi="Barlow Semi Condensed"/>
                <w:sz w:val="20"/>
                <w:szCs w:val="20"/>
              </w:rPr>
              <w:t xml:space="preserve">massimo</w:t>
            </w:r>
          </w:p>
        </w:tc>
        <w:tc>
          <w:tcPr>
            <w:tcW w:type="dxa" w:w="1872"/>
          </w:tcPr>
          <w:p>
            <w:pPr>
              <w:spacing w:after="20" w:before="20"/>
              <w:jc w:val="both"/>
            </w:pPr>
            <w:r>
              <w:rPr>
                <w:rFonts w:ascii="Barlow Semi Condensed" w:cs="Barlow Semi Condensed" w:eastAsia="Barlow Semi Condensed" w:hAnsi="Barlow Semi Condensed"/>
                <w:sz w:val="20"/>
                <w:szCs w:val="20"/>
              </w:rPr>
              <w:t xml:space="preserve">in corso</w:t>
            </w:r>
          </w:p>
        </w:tc>
        <w:tc>
          <w:tcPr>
            <w:tcW w:type="dxa" w:w="1872"/>
          </w:tcPr>
          <w:p>
            <w:pPr>
              <w:spacing w:after="20" w:before="20"/>
              <w:jc w:val="both"/>
            </w:pPr>
            <w:r>
              <w:rPr>
                <w:rFonts w:ascii="Barlow Semi Condensed" w:cs="Barlow Semi Condensed" w:eastAsia="Barlow Semi Condensed" w:hAnsi="Barlow Semi Condensed"/>
                <w:sz w:val="20"/>
                <w:szCs w:val="20"/>
              </w:rPr>
              <w:t xml:space="preserve">media</w:t>
            </w:r>
          </w:p>
        </w:tc>
        <w:tc>
          <w:tcPr>
            <w:tcW w:type="dxa" w:w="1872"/>
          </w:tcPr>
          <w:p>
            <w:pPr>
              <w:spacing w:after="20" w:before="20"/>
              <w:jc w:val="both"/>
            </w:pPr>
            <w:r>
              <w:rPr>
                <w:rFonts w:ascii="Barlow Semi Condensed" w:cs="Barlow Semi Condensed" w:eastAsia="Barlow Semi Condensed" w:hAnsi="Barlow Semi Condensed"/>
                <w:sz w:val="20"/>
                <w:szCs w:val="20"/>
              </w:rPr>
              <w:t xml:space="preserve">Procura/GIP Roma</w:t>
            </w:r>
          </w:p>
        </w:tc>
      </w:tr>
      <w:tr>
        <w:tc>
          <w:tcPr>
            <w:tcW w:type="dxa" w:w="1872"/>
          </w:tcPr>
          <w:p>
            <w:pPr>
              <w:spacing w:after="20" w:before="20"/>
              <w:jc w:val="both"/>
            </w:pPr>
            <w:r>
              <w:rPr>
                <w:rFonts w:ascii="Barlow Semi Condensed" w:cs="Barlow Semi Condensed" w:eastAsia="Barlow Semi Condensed" w:hAnsi="Barlow Semi Condensed"/>
                <w:sz w:val="20"/>
                <w:szCs w:val="20"/>
              </w:rPr>
              <w:t xml:space="preserve">P-2 caricatore</w:t>
            </w:r>
          </w:p>
        </w:tc>
        <w:tc>
          <w:tcPr>
            <w:tcW w:type="dxa" w:w="1872"/>
          </w:tcPr>
          <w:p>
            <w:pPr>
              <w:spacing w:after="20" w:before="20"/>
              <w:jc w:val="both"/>
            </w:pPr>
            <w:r>
              <w:rPr>
                <w:rFonts w:ascii="Barlow Semi Condensed" w:cs="Barlow Semi Condensed" w:eastAsia="Barlow Semi Condensed" w:hAnsi="Barlow Semi Condensed"/>
                <w:sz w:val="20"/>
                <w:szCs w:val="20"/>
              </w:rPr>
              <w:t xml:space="preserve">alto</w:t>
            </w:r>
          </w:p>
        </w:tc>
        <w:tc>
          <w:tcPr>
            <w:tcW w:type="dxa" w:w="1872"/>
          </w:tcPr>
          <w:p>
            <w:pPr>
              <w:spacing w:after="20" w:before="20"/>
              <w:jc w:val="both"/>
            </w:pPr>
            <w:r>
              <w:rPr>
                <w:rFonts w:ascii="Barlow Semi Condensed" w:cs="Barlow Semi Condensed" w:eastAsia="Barlow Semi Condensed" w:hAnsi="Barlow Semi Condensed"/>
                <w:sz w:val="20"/>
                <w:szCs w:val="20"/>
              </w:rPr>
              <w:t xml:space="preserve">in corso</w:t>
            </w:r>
          </w:p>
        </w:tc>
        <w:tc>
          <w:tcPr>
            <w:tcW w:type="dxa" w:w="1872"/>
          </w:tcPr>
          <w:p>
            <w:pPr>
              <w:spacing w:after="20" w:before="20"/>
              <w:jc w:val="both"/>
            </w:pPr>
            <w:r>
              <w:rPr>
                <w:rFonts w:ascii="Barlow Semi Condensed" w:cs="Barlow Semi Condensed" w:eastAsia="Barlow Semi Condensed" w:hAnsi="Barlow Semi Condensed"/>
                <w:sz w:val="20"/>
                <w:szCs w:val="20"/>
              </w:rPr>
              <w:t xml:space="preserve">media</w:t>
            </w:r>
          </w:p>
        </w:tc>
        <w:tc>
          <w:tcPr>
            <w:tcW w:type="dxa" w:w="1872"/>
          </w:tcPr>
          <w:p>
            <w:pPr>
              <w:spacing w:after="20" w:before="20"/>
              <w:jc w:val="both"/>
            </w:pPr>
            <w:r>
              <w:rPr>
                <w:rFonts w:ascii="Barlow Semi Condensed" w:cs="Barlow Semi Condensed" w:eastAsia="Barlow Semi Condensed" w:hAnsi="Barlow Semi Condensed"/>
                <w:sz w:val="20"/>
                <w:szCs w:val="20"/>
              </w:rPr>
              <w:t xml:space="preserve">Procura/GIP Roma</w:t>
            </w:r>
          </w:p>
        </w:tc>
      </w:tr>
      <w:tr>
        <w:tc>
          <w:tcPr>
            <w:tcW w:type="dxa" w:w="1872"/>
          </w:tcPr>
          <w:p>
            <w:pPr>
              <w:spacing w:after="20" w:before="20"/>
              <w:jc w:val="both"/>
            </w:pPr>
            <w:r>
              <w:rPr>
                <w:rFonts w:ascii="Barlow Semi Condensed" w:cs="Barlow Semi Condensed" w:eastAsia="Barlow Semi Condensed" w:hAnsi="Barlow Semi Condensed"/>
                <w:sz w:val="20"/>
                <w:szCs w:val="20"/>
              </w:rPr>
              <w:t xml:space="preserve">P-7 testimoni viventi</w:t>
            </w:r>
          </w:p>
        </w:tc>
        <w:tc>
          <w:tcPr>
            <w:tcW w:type="dxa" w:w="1872"/>
          </w:tcPr>
          <w:p>
            <w:pPr>
              <w:spacing w:after="20" w:before="20"/>
              <w:jc w:val="both"/>
            </w:pPr>
            <w:r>
              <w:rPr>
                <w:rFonts w:ascii="Barlow Semi Condensed" w:cs="Barlow Semi Condensed" w:eastAsia="Barlow Semi Condensed" w:hAnsi="Barlow Semi Condensed"/>
                <w:sz w:val="20"/>
                <w:szCs w:val="20"/>
              </w:rPr>
              <w:t xml:space="preserve">alto</w:t>
            </w:r>
          </w:p>
        </w:tc>
        <w:tc>
          <w:tcPr>
            <w:tcW w:type="dxa" w:w="1872"/>
          </w:tcPr>
          <w:p>
            <w:pPr>
              <w:spacing w:after="20" w:before="20"/>
              <w:jc w:val="both"/>
            </w:pPr>
            <w:r>
              <w:rPr>
                <w:rFonts w:ascii="Barlow Semi Condensed" w:cs="Barlow Semi Condensed" w:eastAsia="Barlow Semi Condensed" w:hAnsi="Barlow Semi Condensed"/>
                <w:sz w:val="20"/>
                <w:szCs w:val="20"/>
              </w:rPr>
              <w:t xml:space="preserve">alta</w:t>
            </w:r>
          </w:p>
        </w:tc>
        <w:tc>
          <w:tcPr>
            <w:tcW w:type="dxa" w:w="1872"/>
          </w:tcPr>
          <w:p>
            <w:pPr>
              <w:spacing w:after="20" w:before="20"/>
              <w:jc w:val="both"/>
            </w:pPr>
            <w:r>
              <w:rPr>
                <w:rFonts w:ascii="Barlow Semi Condensed" w:cs="Barlow Semi Condensed" w:eastAsia="Barlow Semi Condensed" w:hAnsi="Barlow Semi Condensed"/>
                <w:b/>
                <w:bCs/>
                <w:sz w:val="20"/>
                <w:szCs w:val="20"/>
              </w:rPr>
              <w:t xml:space="preserve">massima</w:t>
            </w:r>
          </w:p>
        </w:tc>
        <w:tc>
          <w:tcPr>
            <w:tcW w:type="dxa" w:w="1872"/>
          </w:tcPr>
          <w:p>
            <w:pPr>
              <w:spacing w:after="20" w:before="20"/>
              <w:jc w:val="both"/>
            </w:pPr>
            <w:r>
              <w:rPr>
                <w:rFonts w:ascii="Barlow Semi Condensed" w:cs="Barlow Semi Condensed" w:eastAsia="Barlow Semi Condensed" w:hAnsi="Barlow Semi Condensed"/>
                <w:sz w:val="20"/>
                <w:szCs w:val="20"/>
              </w:rPr>
              <w:t xml:space="preserve">fascicolo/sede storica</w:t>
            </w:r>
          </w:p>
        </w:tc>
      </w:tr>
      <w:tr>
        <w:tc>
          <w:tcPr>
            <w:tcW w:type="dxa" w:w="1872"/>
          </w:tcPr>
          <w:p>
            <w:pPr>
              <w:spacing w:after="20" w:before="20"/>
              <w:jc w:val="both"/>
            </w:pPr>
            <w:r>
              <w:rPr>
                <w:rFonts w:ascii="Barlow Semi Condensed" w:cs="Barlow Semi Condensed" w:eastAsia="Barlow Semi Condensed" w:hAnsi="Barlow Semi Condensed"/>
                <w:sz w:val="20"/>
                <w:szCs w:val="20"/>
              </w:rPr>
              <w:t xml:space="preserve">P-5 fondo Dir. Renzi</w:t>
            </w:r>
          </w:p>
        </w:tc>
        <w:tc>
          <w:tcPr>
            <w:tcW w:type="dxa" w:w="1872"/>
          </w:tcPr>
          <w:p>
            <w:pPr>
              <w:spacing w:after="20" w:before="20"/>
              <w:jc w:val="both"/>
            </w:pPr>
            <w:r>
              <w:rPr>
                <w:rFonts w:ascii="Barlow Semi Condensed" w:cs="Barlow Semi Condensed" w:eastAsia="Barlow Semi Condensed" w:hAnsi="Barlow Semi Condensed"/>
                <w:sz w:val="20"/>
                <w:szCs w:val="20"/>
              </w:rPr>
              <w:t xml:space="preserve">strutturale</w:t>
            </w:r>
          </w:p>
        </w:tc>
        <w:tc>
          <w:tcPr>
            <w:tcW w:type="dxa" w:w="1872"/>
          </w:tcPr>
          <w:p>
            <w:pPr>
              <w:spacing w:after="20" w:before="20"/>
              <w:jc w:val="both"/>
            </w:pPr>
            <w:r>
              <w:rPr>
                <w:rFonts w:ascii="Barlow Semi Condensed" w:cs="Barlow Semi Condensed" w:eastAsia="Barlow Semi Condensed" w:hAnsi="Barlow Semi Condensed"/>
                <w:sz w:val="20"/>
                <w:szCs w:val="20"/>
              </w:rPr>
              <w:t xml:space="preserve">alta</w:t>
            </w:r>
          </w:p>
        </w:tc>
        <w:tc>
          <w:tcPr>
            <w:tcW w:type="dxa" w:w="1872"/>
          </w:tcPr>
          <w:p>
            <w:pPr>
              <w:spacing w:after="20" w:before="20"/>
              <w:jc w:val="both"/>
            </w:pPr>
            <w:r>
              <w:rPr>
                <w:rFonts w:ascii="Barlow Semi Condensed" w:cs="Barlow Semi Condensed" w:eastAsia="Barlow Semi Condensed" w:hAnsi="Barlow Semi Condensed"/>
                <w:sz w:val="20"/>
                <w:szCs w:val="20"/>
              </w:rPr>
              <w:t xml:space="preserve">media</w:t>
            </w:r>
          </w:p>
        </w:tc>
        <w:tc>
          <w:tcPr>
            <w:tcW w:type="dxa" w:w="1872"/>
          </w:tcPr>
          <w:p>
            <w:pPr>
              <w:spacing w:after="20" w:before="20"/>
              <w:jc w:val="both"/>
            </w:pPr>
            <w:r>
              <w:rPr>
                <w:rFonts w:ascii="Barlow Semi Condensed" w:cs="Barlow Semi Condensed" w:eastAsia="Barlow Semi Condensed" w:hAnsi="Barlow Semi Condensed"/>
                <w:sz w:val="20"/>
                <w:szCs w:val="20"/>
              </w:rPr>
              <w:t xml:space="preserve">ACS</w:t>
            </w:r>
          </w:p>
        </w:tc>
      </w:tr>
      <w:tr>
        <w:tc>
          <w:tcPr>
            <w:tcW w:type="dxa" w:w="1872"/>
          </w:tcPr>
          <w:p>
            <w:pPr>
              <w:spacing w:after="20" w:before="20"/>
              <w:jc w:val="both"/>
            </w:pPr>
            <w:r>
              <w:rPr>
                <w:rFonts w:ascii="Barlow Semi Condensed" w:cs="Barlow Semi Condensed" w:eastAsia="Barlow Semi Condensed" w:hAnsi="Barlow Semi Condensed"/>
                <w:sz w:val="20"/>
                <w:szCs w:val="20"/>
              </w:rPr>
              <w:t xml:space="preserve">P-4 fonte di Gradoli</w:t>
            </w:r>
          </w:p>
        </w:tc>
        <w:tc>
          <w:tcPr>
            <w:tcW w:type="dxa" w:w="1872"/>
          </w:tcPr>
          <w:p>
            <w:pPr>
              <w:spacing w:after="20" w:before="20"/>
              <w:jc w:val="both"/>
            </w:pPr>
            <w:r>
              <w:rPr>
                <w:rFonts w:ascii="Barlow Semi Condensed" w:cs="Barlow Semi Condensed" w:eastAsia="Barlow Semi Condensed" w:hAnsi="Barlow Semi Condensed"/>
                <w:sz w:val="20"/>
                <w:szCs w:val="20"/>
              </w:rPr>
              <w:t xml:space="preserve">medio-alto</w:t>
            </w:r>
          </w:p>
        </w:tc>
        <w:tc>
          <w:tcPr>
            <w:tcW w:type="dxa" w:w="1872"/>
          </w:tcPr>
          <w:p>
            <w:pPr>
              <w:spacing w:after="20" w:before="20"/>
              <w:jc w:val="both"/>
            </w:pPr>
            <w:r>
              <w:rPr>
                <w:rFonts w:ascii="Barlow Semi Condensed" w:cs="Barlow Semi Condensed" w:eastAsia="Barlow Semi Condensed" w:hAnsi="Barlow Semi Condensed"/>
                <w:sz w:val="20"/>
                <w:szCs w:val="20"/>
              </w:rPr>
              <w:t xml:space="preserve">media</w:t>
            </w:r>
          </w:p>
        </w:tc>
        <w:tc>
          <w:tcPr>
            <w:tcW w:type="dxa" w:w="1872"/>
          </w:tcPr>
          <w:p>
            <w:pPr>
              <w:spacing w:after="20" w:before="20"/>
              <w:jc w:val="both"/>
            </w:pPr>
            <w:r>
              <w:rPr>
                <w:rFonts w:ascii="Barlow Semi Condensed" w:cs="Barlow Semi Condensed" w:eastAsia="Barlow Semi Condensed" w:hAnsi="Barlow Semi Condensed"/>
                <w:sz w:val="20"/>
                <w:szCs w:val="20"/>
              </w:rPr>
              <w:t xml:space="preserve">media</w:t>
            </w:r>
          </w:p>
        </w:tc>
        <w:tc>
          <w:tcPr>
            <w:tcW w:type="dxa" w:w="1872"/>
          </w:tcPr>
          <w:p>
            <w:pPr>
              <w:spacing w:after="20" w:before="20"/>
              <w:jc w:val="both"/>
            </w:pPr>
            <w:r>
              <w:rPr>
                <w:rFonts w:ascii="Barlow Semi Condensed" w:cs="Barlow Semi Condensed" w:eastAsia="Barlow Semi Condensed" w:hAnsi="Barlow Semi Condensed"/>
                <w:sz w:val="20"/>
                <w:szCs w:val="20"/>
              </w:rPr>
              <w:t xml:space="preserve">ACS/Min. Interno</w:t>
            </w:r>
          </w:p>
        </w:tc>
      </w:tr>
      <w:tr>
        <w:tc>
          <w:tcPr>
            <w:tcW w:type="dxa" w:w="1872"/>
          </w:tcPr>
          <w:p>
            <w:pPr>
              <w:spacing w:after="20" w:before="20"/>
              <w:jc w:val="both"/>
            </w:pPr>
            <w:r>
              <w:rPr>
                <w:rFonts w:ascii="Barlow Semi Condensed" w:cs="Barlow Semi Condensed" w:eastAsia="Barlow Semi Condensed" w:hAnsi="Barlow Semi Condensed"/>
                <w:sz w:val="20"/>
                <w:szCs w:val="20"/>
              </w:rPr>
              <w:t xml:space="preserve">P-3 DNA Gradoli</w:t>
            </w:r>
          </w:p>
        </w:tc>
        <w:tc>
          <w:tcPr>
            <w:tcW w:type="dxa" w:w="1872"/>
          </w:tcPr>
          <w:p>
            <w:pPr>
              <w:spacing w:after="20" w:before="20"/>
              <w:jc w:val="both"/>
            </w:pPr>
            <w:r>
              <w:rPr>
                <w:rFonts w:ascii="Barlow Semi Condensed" w:cs="Barlow Semi Condensed" w:eastAsia="Barlow Semi Condensed" w:hAnsi="Barlow Semi Condensed"/>
                <w:sz w:val="20"/>
                <w:szCs w:val="20"/>
              </w:rPr>
              <w:t xml:space="preserve">medio-alto</w:t>
            </w:r>
          </w:p>
        </w:tc>
        <w:tc>
          <w:tcPr>
            <w:tcW w:type="dxa" w:w="1872"/>
          </w:tcPr>
          <w:p>
            <w:pPr>
              <w:spacing w:after="20" w:before="20"/>
              <w:jc w:val="both"/>
            </w:pPr>
            <w:r>
              <w:rPr>
                <w:rFonts w:ascii="Barlow Semi Condensed" w:cs="Barlow Semi Condensed" w:eastAsia="Barlow Semi Condensed" w:hAnsi="Barlow Semi Condensed"/>
                <w:sz w:val="20"/>
                <w:szCs w:val="20"/>
              </w:rPr>
              <w:t xml:space="preserve">in corso</w:t>
            </w:r>
          </w:p>
        </w:tc>
        <w:tc>
          <w:tcPr>
            <w:tcW w:type="dxa" w:w="1872"/>
          </w:tcPr>
          <w:p>
            <w:pPr>
              <w:spacing w:after="20" w:before="20"/>
              <w:jc w:val="both"/>
            </w:pPr>
            <w:r>
              <w:rPr>
                <w:rFonts w:ascii="Barlow Semi Condensed" w:cs="Barlow Semi Condensed" w:eastAsia="Barlow Semi Condensed" w:hAnsi="Barlow Semi Condensed"/>
                <w:sz w:val="20"/>
                <w:szCs w:val="20"/>
              </w:rPr>
              <w:t xml:space="preserve">media</w:t>
            </w:r>
          </w:p>
        </w:tc>
        <w:tc>
          <w:tcPr>
            <w:tcW w:type="dxa" w:w="1872"/>
          </w:tcPr>
          <w:p>
            <w:pPr>
              <w:spacing w:after="20" w:before="20"/>
              <w:jc w:val="both"/>
            </w:pPr>
            <w:r>
              <w:rPr>
                <w:rFonts w:ascii="Barlow Semi Condensed" w:cs="Barlow Semi Condensed" w:eastAsia="Barlow Semi Condensed" w:hAnsi="Barlow Semi Condensed"/>
                <w:sz w:val="20"/>
                <w:szCs w:val="20"/>
              </w:rPr>
              <w:t xml:space="preserve">Procura/GIP Roma</w:t>
            </w:r>
          </w:p>
        </w:tc>
      </w:tr>
      <w:tr>
        <w:tc>
          <w:tcPr>
            <w:tcW w:type="dxa" w:w="1872"/>
          </w:tcPr>
          <w:p>
            <w:pPr>
              <w:spacing w:after="20" w:before="20"/>
              <w:jc w:val="both"/>
            </w:pPr>
            <w:r>
              <w:rPr>
                <w:rFonts w:ascii="Barlow Semi Condensed" w:cs="Barlow Semi Condensed" w:eastAsia="Barlow Semi Condensed" w:hAnsi="Barlow Semi Condensed"/>
                <w:sz w:val="20"/>
                <w:szCs w:val="20"/>
              </w:rPr>
              <w:t xml:space="preserve">P-8 deposizione Casimirri</w:t>
            </w:r>
          </w:p>
        </w:tc>
        <w:tc>
          <w:tcPr>
            <w:tcW w:type="dxa" w:w="1872"/>
          </w:tcPr>
          <w:p>
            <w:pPr>
              <w:spacing w:after="20" w:before="20"/>
              <w:jc w:val="both"/>
            </w:pPr>
            <w:r>
              <w:rPr>
                <w:rFonts w:ascii="Barlow Semi Condensed" w:cs="Barlow Semi Condensed" w:eastAsia="Barlow Semi Condensed" w:hAnsi="Barlow Semi Condensed"/>
                <w:sz w:val="20"/>
                <w:szCs w:val="20"/>
              </w:rPr>
              <w:t xml:space="preserve">unico</w:t>
            </w:r>
          </w:p>
        </w:tc>
        <w:tc>
          <w:tcPr>
            <w:tcW w:type="dxa" w:w="1872"/>
          </w:tcPr>
          <w:p>
            <w:pPr>
              <w:spacing w:after="20" w:before="20"/>
              <w:jc w:val="both"/>
            </w:pPr>
            <w:r>
              <w:rPr>
                <w:rFonts w:ascii="Barlow Semi Condensed" w:cs="Barlow Semi Condensed" w:eastAsia="Barlow Semi Condensed" w:hAnsi="Barlow Semi Condensed"/>
                <w:sz w:val="20"/>
                <w:szCs w:val="20"/>
              </w:rPr>
              <w:t xml:space="preserve">bassa</w:t>
            </w:r>
          </w:p>
        </w:tc>
        <w:tc>
          <w:tcPr>
            <w:tcW w:type="dxa" w:w="1872"/>
          </w:tcPr>
          <w:p>
            <w:pPr>
              <w:spacing w:after="20" w:before="20"/>
              <w:jc w:val="both"/>
            </w:pPr>
            <w:r>
              <w:rPr>
                <w:rFonts w:ascii="Barlow Semi Condensed" w:cs="Barlow Semi Condensed" w:eastAsia="Barlow Semi Condensed" w:hAnsi="Barlow Semi Condensed"/>
                <w:sz w:val="20"/>
                <w:szCs w:val="20"/>
              </w:rPr>
              <w:t xml:space="preserve">alta</w:t>
            </w:r>
          </w:p>
        </w:tc>
        <w:tc>
          <w:tcPr>
            <w:tcW w:type="dxa" w:w="1872"/>
          </w:tcPr>
          <w:p>
            <w:pPr>
              <w:spacing w:after="20" w:before="20"/>
              <w:jc w:val="both"/>
            </w:pPr>
            <w:r>
              <w:rPr>
                <w:rFonts w:ascii="Barlow Semi Condensed" w:cs="Barlow Semi Condensed" w:eastAsia="Barlow Semi Condensed" w:hAnsi="Barlow Semi Condensed"/>
                <w:sz w:val="20"/>
                <w:szCs w:val="20"/>
              </w:rPr>
              <w:t xml:space="preserve">Giustizia/Esteri</w:t>
            </w:r>
          </w:p>
        </w:tc>
      </w:tr>
      <w:tr>
        <w:tc>
          <w:tcPr>
            <w:tcW w:type="dxa" w:w="1872"/>
          </w:tcPr>
          <w:p>
            <w:pPr>
              <w:spacing w:after="20" w:before="20"/>
              <w:jc w:val="both"/>
            </w:pPr>
            <w:r>
              <w:rPr>
                <w:rFonts w:ascii="Barlow Semi Condensed" w:cs="Barlow Semi Condensed" w:eastAsia="Barlow Semi Condensed" w:hAnsi="Barlow Semi Condensed"/>
                <w:sz w:val="20"/>
                <w:szCs w:val="20"/>
              </w:rPr>
              <w:t xml:space="preserve">P-6 memoriale</w:t>
            </w:r>
          </w:p>
        </w:tc>
        <w:tc>
          <w:tcPr>
            <w:tcW w:type="dxa" w:w="1872"/>
          </w:tcPr>
          <w:p>
            <w:pPr>
              <w:spacing w:after="20" w:before="20"/>
              <w:jc w:val="both"/>
            </w:pPr>
            <w:r>
              <w:rPr>
                <w:rFonts w:ascii="Barlow Semi Condensed" w:cs="Barlow Semi Condensed" w:eastAsia="Barlow Semi Condensed" w:hAnsi="Barlow Semi Condensed"/>
                <w:sz w:val="20"/>
                <w:szCs w:val="20"/>
              </w:rPr>
              <w:t xml:space="preserve">medio</w:t>
            </w:r>
          </w:p>
        </w:tc>
        <w:tc>
          <w:tcPr>
            <w:tcW w:type="dxa" w:w="1872"/>
          </w:tcPr>
          <w:p>
            <w:pPr>
              <w:spacing w:after="20" w:before="20"/>
              <w:jc w:val="both"/>
            </w:pPr>
            <w:r>
              <w:rPr>
                <w:rFonts w:ascii="Barlow Semi Condensed" w:cs="Barlow Semi Condensed" w:eastAsia="Barlow Semi Condensed" w:hAnsi="Barlow Semi Condensed"/>
                <w:sz w:val="20"/>
                <w:szCs w:val="20"/>
              </w:rPr>
              <w:t xml:space="preserve">media</w:t>
            </w:r>
          </w:p>
        </w:tc>
        <w:tc>
          <w:tcPr>
            <w:tcW w:type="dxa" w:w="1872"/>
          </w:tcPr>
          <w:p>
            <w:pPr>
              <w:spacing w:after="20" w:before="20"/>
              <w:jc w:val="both"/>
            </w:pPr>
            <w:r>
              <w:rPr>
                <w:rFonts w:ascii="Barlow Semi Condensed" w:cs="Barlow Semi Condensed" w:eastAsia="Barlow Semi Condensed" w:hAnsi="Barlow Semi Condensed"/>
                <w:sz w:val="20"/>
                <w:szCs w:val="20"/>
              </w:rPr>
              <w:t xml:space="preserve">bassa</w:t>
            </w:r>
          </w:p>
        </w:tc>
        <w:tc>
          <w:tcPr>
            <w:tcW w:type="dxa" w:w="1872"/>
          </w:tcPr>
          <w:p>
            <w:pPr>
              <w:spacing w:after="20" w:before="20"/>
              <w:jc w:val="both"/>
            </w:pPr>
            <w:r>
              <w:rPr>
                <w:rFonts w:ascii="Barlow Semi Condensed" w:cs="Barlow Semi Condensed" w:eastAsia="Barlow Semi Condensed" w:hAnsi="Barlow Semi Condensed"/>
                <w:sz w:val="20"/>
                <w:szCs w:val="20"/>
              </w:rPr>
              <w:t xml:space="preserve">ACS/periti</w:t>
            </w:r>
          </w:p>
        </w:tc>
      </w:tr>
      <w:tr>
        <w:tc>
          <w:tcPr>
            <w:tcW w:type="dxa" w:w="1872"/>
          </w:tcPr>
          <w:p>
            <w:pPr>
              <w:spacing w:after="20" w:before="20"/>
              <w:jc w:val="both"/>
            </w:pPr>
            <w:r>
              <w:rPr>
                <w:rFonts w:ascii="Barlow Semi Condensed" w:cs="Barlow Semi Condensed" w:eastAsia="Barlow Semi Condensed" w:hAnsi="Barlow Semi Condensed"/>
                <w:sz w:val="20"/>
                <w:szCs w:val="20"/>
              </w:rPr>
              <w:t xml:space="preserve">P-9 archivi futuri</w:t>
            </w:r>
          </w:p>
        </w:tc>
        <w:tc>
          <w:tcPr>
            <w:tcW w:type="dxa" w:w="1872"/>
          </w:tcPr>
          <w:p>
            <w:pPr>
              <w:spacing w:after="20" w:before="20"/>
              <w:jc w:val="both"/>
            </w:pPr>
            <w:r>
              <w:rPr>
                <w:rFonts w:ascii="Barlow Semi Condensed" w:cs="Barlow Semi Condensed" w:eastAsia="Barlow Semi Condensed" w:hAnsi="Barlow Semi Condensed"/>
                <w:sz w:val="20"/>
                <w:szCs w:val="20"/>
              </w:rPr>
              <w:t xml:space="preserve">alto</w:t>
            </w:r>
          </w:p>
        </w:tc>
        <w:tc>
          <w:tcPr>
            <w:tcW w:type="dxa" w:w="1872"/>
          </w:tcPr>
          <w:p>
            <w:pPr>
              <w:spacing w:after="20" w:before="20"/>
              <w:jc w:val="both"/>
            </w:pPr>
            <w:r>
              <w:rPr>
                <w:rFonts w:ascii="Barlow Semi Condensed" w:cs="Barlow Semi Condensed" w:eastAsia="Barlow Semi Condensed" w:hAnsi="Barlow Semi Condensed"/>
                <w:sz w:val="20"/>
                <w:szCs w:val="20"/>
              </w:rPr>
              <w:t xml:space="preserve">attesa</w:t>
            </w:r>
          </w:p>
        </w:tc>
        <w:tc>
          <w:tcPr>
            <w:tcW w:type="dxa" w:w="1872"/>
          </w:tcPr>
          <w:p>
            <w:pPr>
              <w:spacing w:after="20" w:before="20"/>
              <w:jc w:val="both"/>
            </w:pPr>
            <w:r>
              <w:rPr>
                <w:rFonts w:ascii="Barlow Semi Condensed" w:cs="Barlow Semi Condensed" w:eastAsia="Barlow Semi Condensed" w:hAnsi="Barlow Semi Condensed"/>
                <w:sz w:val="20"/>
                <w:szCs w:val="20"/>
              </w:rPr>
              <w:t xml:space="preserve">—</w:t>
            </w:r>
          </w:p>
        </w:tc>
        <w:tc>
          <w:tcPr>
            <w:tcW w:type="dxa" w:w="1872"/>
          </w:tcPr>
          <w:p>
            <w:pPr>
              <w:spacing w:after="20" w:before="20"/>
              <w:jc w:val="both"/>
            </w:pPr>
            <w:r>
              <w:rPr>
                <w:rFonts w:ascii="Barlow Semi Condensed" w:cs="Barlow Semi Condensed" w:eastAsia="Barlow Semi Condensed" w:hAnsi="Barlow Semi Condensed"/>
                <w:sz w:val="20"/>
                <w:szCs w:val="20"/>
              </w:rPr>
              <w:t xml:space="preserve">AAV/ASD</w:t>
            </w:r>
          </w:p>
        </w:tc>
      </w:tr>
      <w:tr>
        <w:tc>
          <w:tcPr>
            <w:tcW w:type="dxa" w:w="1872"/>
          </w:tcPr>
          <w:p>
            <w:pPr>
              <w:spacing w:after="20" w:before="20"/>
              <w:jc w:val="both"/>
            </w:pPr>
            <w:r>
              <w:rPr>
                <w:rFonts w:ascii="Barlow Semi Condensed" w:cs="Barlow Semi Condensed" w:eastAsia="Barlow Semi Condensed" w:hAnsi="Barlow Semi Condensed"/>
                <w:sz w:val="20"/>
                <w:szCs w:val="20"/>
              </w:rPr>
              <w:t xml:space="preserve">P-10 archiviazioni</w:t>
            </w:r>
          </w:p>
        </w:tc>
        <w:tc>
          <w:tcPr>
            <w:tcW w:type="dxa" w:w="1872"/>
          </w:tcPr>
          <w:p>
            <w:pPr>
              <w:spacing w:after="20" w:before="20"/>
              <w:jc w:val="both"/>
            </w:pPr>
            <w:r>
              <w:rPr>
                <w:rFonts w:ascii="Barlow Semi Condensed" w:cs="Barlow Semi Condensed" w:eastAsia="Barlow Semi Condensed" w:hAnsi="Barlow Semi Condensed"/>
                <w:sz w:val="20"/>
                <w:szCs w:val="20"/>
              </w:rPr>
              <w:t xml:space="preserve">metodo</w:t>
            </w:r>
          </w:p>
        </w:tc>
        <w:tc>
          <w:tcPr>
            <w:tcW w:type="dxa" w:w="1872"/>
          </w:tcPr>
          <w:p>
            <w:pPr>
              <w:spacing w:after="20" w:before="20"/>
              <w:jc w:val="both"/>
            </w:pPr>
            <w:r>
              <w:rPr>
                <w:rFonts w:ascii="Barlow Semi Condensed" w:cs="Barlow Semi Condensed" w:eastAsia="Barlow Semi Condensed" w:hAnsi="Barlow Semi Condensed"/>
                <w:sz w:val="20"/>
                <w:szCs w:val="20"/>
              </w:rPr>
              <w:t xml:space="preserve">—</w:t>
            </w:r>
          </w:p>
        </w:tc>
        <w:tc>
          <w:tcPr>
            <w:tcW w:type="dxa" w:w="1872"/>
          </w:tcPr>
          <w:p>
            <w:pPr>
              <w:spacing w:after="20" w:before="20"/>
              <w:jc w:val="both"/>
            </w:pPr>
            <w:r>
              <w:rPr>
                <w:rFonts w:ascii="Barlow Semi Condensed" w:cs="Barlow Semi Condensed" w:eastAsia="Barlow Semi Condensed" w:hAnsi="Barlow Semi Condensed"/>
                <w:sz w:val="20"/>
                <w:szCs w:val="20"/>
              </w:rPr>
              <w:t xml:space="preserve">—</w:t>
            </w:r>
          </w:p>
        </w:tc>
        <w:tc>
          <w:tcPr>
            <w:tcW w:type="dxa" w:w="1872"/>
          </w:tcPr>
          <w:p>
            <w:pPr>
              <w:spacing w:after="20" w:before="20"/>
              <w:jc w:val="both"/>
            </w:pPr>
            <w:r>
              <w:rPr>
                <w:rFonts w:ascii="Barlow Semi Condensed" w:cs="Barlow Semi Condensed" w:eastAsia="Barlow Semi Condensed" w:hAnsi="Barlow Semi Condensed"/>
                <w:sz w:val="20"/>
                <w:szCs w:val="20"/>
              </w:rPr>
              <w:t xml:space="preserve">—</w:t>
            </w:r>
          </w:p>
        </w:tc>
      </w:tr>
    </w:tbl>
    <w:p>
      <w:pPr>
        <w:spacing w:after="80"/>
      </w:pPr>
    </w:p>
    <w:p>
      <w:pPr>
        <w:spacing w:after="120" w:line="276"/>
        <w:jc w:val="both"/>
      </w:pPr>
      <w:r>
        <w:rPr>
          <w:rFonts w:ascii="Barlow Semi Condensed" w:cs="Barlow Semi Condensed" w:eastAsia="Barlow Semi Condensed" w:hAnsi="Barlow Semi Condensed"/>
          <w:sz w:val="24"/>
          <w:szCs w:val="24"/>
        </w:rPr>
        <w:t xml:space="preserve">La lettura operativa: </w:t>
      </w:r>
      <w:r>
        <w:rPr>
          <w:rFonts w:ascii="Barlow Semi Condensed" w:cs="Barlow Semi Condensed" w:eastAsia="Barlow Semi Condensed" w:hAnsi="Barlow Semi Condensed"/>
          <w:b/>
          <w:bCs/>
          <w:sz w:val="24"/>
          <w:szCs w:val="24"/>
        </w:rPr>
        <w:t xml:space="preserve">le prime tre righe si fanno ora</w:t>
      </w:r>
      <w:r>
        <w:rPr>
          <w:rFonts w:ascii="Barlow Semi Condensed" w:cs="Barlow Semi Condensed" w:eastAsia="Barlow Semi Condensed" w:hAnsi="Barlow Semi Condensed"/>
          <w:sz w:val="24"/>
          <w:szCs w:val="24"/>
        </w:rPr>
        <w:t xml:space="preserve"> — due sono già nel fascicolo reale, la terza (i testimoni) è quella che il tempo sta chiudendo da solo.</w:t>
      </w:r>
    </w:p>
    <w:p>
      <w:pPr>
        <w:pStyle w:val="Heading2"/>
        <w:spacing w:after="100" w:before="200"/>
      </w:pPr>
      <w:r>
        <w:rPr>
          <w:rFonts w:ascii="Barlow Semi Condensed" w:cs="Barlow Semi Condensed" w:eastAsia="Barlow Semi Condensed" w:hAnsi="Barlow Semi Condensed"/>
          <w:sz w:val="24"/>
          <w:szCs w:val="24"/>
        </w:rPr>
        <w:t xml:space="preserve">Capitolo III-bis — La graduatoria a punteggio delle piste, escluso il comparto BR e Superclan</w:t>
      </w:r>
    </w:p>
    <w:p>
      <w:pPr>
        <w:spacing w:after="120" w:line="276"/>
        <w:jc w:val="both"/>
      </w:pPr>
      <w:r>
        <w:rPr>
          <w:rFonts w:ascii="Barlow Semi Condensed" w:cs="Barlow Semi Condensed" w:eastAsia="Barlow Semi Condensed" w:hAnsi="Barlow Semi Condensed"/>
          <w:sz w:val="24"/>
          <w:szCs w:val="24"/>
        </w:rPr>
        <w:t xml:space="preserve">Su direttiva dell'autore, il programma è stato </w:t>
      </w:r>
      <w:r>
        <w:rPr>
          <w:rFonts w:ascii="Barlow Semi Condensed" w:cs="Barlow Semi Condensed" w:eastAsia="Barlow Semi Condensed" w:hAnsi="Barlow Semi Condensed"/>
          <w:b/>
          <w:bCs/>
          <w:sz w:val="24"/>
          <w:szCs w:val="24"/>
        </w:rPr>
        <w:t xml:space="preserve">ristretto e messo a punteggio</w:t>
      </w:r>
      <w:r>
        <w:rPr>
          <w:rFonts w:ascii="Barlow Semi Condensed" w:cs="Barlow Semi Condensed" w:eastAsia="Barlow Semi Condensed" w:hAnsi="Barlow Semi Condensed"/>
          <w:sz w:val="24"/>
          <w:szCs w:val="24"/>
        </w:rPr>
        <w:t xml:space="preserve">: si escludono le piste dirette al comparto già giudicato o già archiviato — la rogatoria a Casimirri (persona del registro BR), il ramo delle comparazioni genetiche sulla rosa di ex brigatisti, e ogni riapertura del filone Superclan/Hyperion (già archiviata dal vaglio negativo P-10) — e a ciascuna pista residua si assegna un </w:t>
      </w:r>
      <w:r>
        <w:rPr>
          <w:rFonts w:ascii="Barlow Semi Condensed" w:cs="Barlow Semi Condensed" w:eastAsia="Barlow Semi Condensed" w:hAnsi="Barlow Semi Condensed"/>
          <w:b/>
          <w:bCs/>
          <w:sz w:val="24"/>
          <w:szCs w:val="24"/>
        </w:rPr>
        <w:t xml:space="preserve">punteggio da 0,1 a 100</w:t>
      </w:r>
      <w:r>
        <w:rPr>
          <w:rFonts w:ascii="Barlow Semi Condensed" w:cs="Barlow Semi Condensed" w:eastAsia="Barlow Semi Condensed" w:hAnsi="Barlow Semi Condensed"/>
          <w:sz w:val="24"/>
          <w:szCs w:val="24"/>
        </w:rPr>
        <w:t xml:space="preserve">. Le piste residue sono, per costruzione, quelle che investigano </w:t>
      </w:r>
      <w:r>
        <w:rPr>
          <w:rFonts w:ascii="Barlow Semi Condensed" w:cs="Barlow Semi Condensed" w:eastAsia="Barlow Semi Condensed" w:hAnsi="Barlow Semi Condensed"/>
          <w:b/>
          <w:bCs/>
          <w:sz w:val="24"/>
          <w:szCs w:val="24"/>
        </w:rPr>
        <w:t xml:space="preserve">il non ancora attribuito e l'istituzionale</w:t>
      </w:r>
      <w:r>
        <w:rPr>
          <w:rFonts w:ascii="Barlow Semi Condensed" w:cs="Barlow Semi Condensed" w:eastAsia="Barlow Semi Condensed" w:hAnsi="Barlow Semi Condensed"/>
          <w:sz w:val="24"/>
          <w:szCs w:val="24"/>
        </w:rPr>
        <w:t xml:space="preserve">: gli ignoti di via Fani, le fonti e le omissioni degli apparati, gli archivi.</w:t>
      </w:r>
    </w:p>
    <w:p>
      <w:pPr>
        <w:spacing w:after="120" w:line="276"/>
        <w:jc w:val="both"/>
      </w:pPr>
      <w:r>
        <w:rPr>
          <w:rFonts w:ascii="Barlow Semi Condensed" w:cs="Barlow Semi Condensed" w:eastAsia="Barlow Semi Condensed" w:hAnsi="Barlow Semi Condensed"/>
          <w:b/>
          <w:bCs/>
          <w:sz w:val="24"/>
          <w:szCs w:val="24"/>
        </w:rPr>
        <w:t xml:space="preserve">Il modello, dichiarato per intero perché sia falsificabile.</w:t>
      </w:r>
      <w:r>
        <w:rPr>
          <w:rFonts w:ascii="Barlow Semi Condensed" w:cs="Barlow Semi Condensed" w:eastAsia="Barlow Semi Condensed" w:hAnsi="Barlow Semi Condensed"/>
          <w:sz w:val="24"/>
          <w:szCs w:val="24"/>
        </w:rPr>
        <w:t xml:space="preserve"> Punteggio = somma pesata di cinque criteri, ciascuno valutato 0-10 e motivato: </w:t>
      </w:r>
      <w:r>
        <w:rPr>
          <w:rFonts w:ascii="Barlow Semi Condensed" w:cs="Barlow Semi Condensed" w:eastAsia="Barlow Semi Condensed" w:hAnsi="Barlow Semi Condensed"/>
          <w:b/>
          <w:bCs/>
          <w:sz w:val="24"/>
          <w:szCs w:val="24"/>
        </w:rPr>
        <w:t xml:space="preserve">R</w:t>
      </w:r>
      <w:r>
        <w:rPr>
          <w:rFonts w:ascii="Barlow Semi Condensed" w:cs="Barlow Semi Condensed" w:eastAsia="Barlow Semi Condensed" w:hAnsi="Barlow Semi Condensed"/>
          <w:sz w:val="24"/>
          <w:szCs w:val="24"/>
        </w:rPr>
        <w:t xml:space="preserve"> rendimento atteso (quanto la risposta sposterebbe la linea del sapere; peso 30%), </w:t>
      </w:r>
      <w:r>
        <w:rPr>
          <w:rFonts w:ascii="Barlow Semi Condensed" w:cs="Barlow Semi Condensed" w:eastAsia="Barlow Semi Condensed" w:hAnsi="Barlow Semi Condensed"/>
          <w:b/>
          <w:bCs/>
          <w:sz w:val="24"/>
          <w:szCs w:val="24"/>
        </w:rPr>
        <w:t xml:space="preserve">D</w:t>
      </w:r>
      <w:r>
        <w:rPr>
          <w:rFonts w:ascii="Barlow Semi Condensed" w:cs="Barlow Semi Condensed" w:eastAsia="Barlow Semi Condensed" w:hAnsi="Barlow Semi Condensed"/>
          <w:sz w:val="24"/>
          <w:szCs w:val="24"/>
        </w:rPr>
        <w:t xml:space="preserve"> diagnosticità (se l'atto discrimina le ipotesi delle matrici ACH; 25%), </w:t>
      </w:r>
      <w:r>
        <w:rPr>
          <w:rFonts w:ascii="Barlow Semi Condensed" w:cs="Barlow Semi Condensed" w:eastAsia="Barlow Semi Condensed" w:hAnsi="Barlow Semi Condensed"/>
          <w:b/>
          <w:bCs/>
          <w:sz w:val="24"/>
          <w:szCs w:val="24"/>
        </w:rPr>
        <w:t xml:space="preserve">F</w:t>
      </w:r>
      <w:r>
        <w:rPr>
          <w:rFonts w:ascii="Barlow Semi Condensed" w:cs="Barlow Semi Condensed" w:eastAsia="Barlow Semi Condensed" w:hAnsi="Barlow Semi Condensed"/>
          <w:sz w:val="24"/>
          <w:szCs w:val="24"/>
        </w:rPr>
        <w:t xml:space="preserve"> fattibilità attuale (autorità esistente, reperti disponibili; 20%), </w:t>
      </w:r>
      <w:r>
        <w:rPr>
          <w:rFonts w:ascii="Barlow Semi Condensed" w:cs="Barlow Semi Condensed" w:eastAsia="Barlow Semi Condensed" w:hAnsi="Barlow Semi Condensed"/>
          <w:b/>
          <w:bCs/>
          <w:sz w:val="24"/>
          <w:szCs w:val="24"/>
        </w:rPr>
        <w:t xml:space="preserve">U</w:t>
      </w:r>
      <w:r>
        <w:rPr>
          <w:rFonts w:ascii="Barlow Semi Condensed" w:cs="Barlow Semi Condensed" w:eastAsia="Barlow Semi Condensed" w:hAnsi="Barlow Semi Condensed"/>
          <w:sz w:val="24"/>
          <w:szCs w:val="24"/>
        </w:rPr>
        <w:t xml:space="preserve"> urgenza temporale (deperibilità; 15%), </w:t>
      </w:r>
      <w:r>
        <w:rPr>
          <w:rFonts w:ascii="Barlow Semi Condensed" w:cs="Barlow Semi Condensed" w:eastAsia="Barlow Semi Condensed" w:hAnsi="Barlow Semi Condensed"/>
          <w:b/>
          <w:bCs/>
          <w:sz w:val="24"/>
          <w:szCs w:val="24"/>
        </w:rPr>
        <w:t xml:space="preserve">I</w:t>
      </w:r>
      <w:r>
        <w:rPr>
          <w:rFonts w:ascii="Barlow Semi Condensed" w:cs="Barlow Semi Condensed" w:eastAsia="Barlow Semi Condensed" w:hAnsi="Barlow Semi Condensed"/>
          <w:sz w:val="24"/>
          <w:szCs w:val="24"/>
        </w:rPr>
        <w:t xml:space="preserve"> indipendenza dal comparto escluso (quanto l'esito resta fuori da BR/Superclan; 10%). Chi contesti un punteggio deve contestare un sotto-giudizio o un peso: il modello è costruito per essere attaccabile pezzo per pezzo.</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337"/>
        <w:gridCol w:w="1337"/>
        <w:gridCol w:w="1337"/>
        <w:gridCol w:w="1337"/>
        <w:gridCol w:w="1337"/>
        <w:gridCol w:w="1337"/>
        <w:gridCol w:w="1337"/>
      </w:tblGrid>
      <w:tr>
        <w:tc>
          <w:tcPr>
            <w:tcW w:type="dxa" w:w="1337"/>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Pista (non-BR, non-Superclan)</w:t>
            </w:r>
          </w:p>
        </w:tc>
        <w:tc>
          <w:tcPr>
            <w:tcW w:type="dxa" w:w="1337"/>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R</w:t>
            </w:r>
          </w:p>
        </w:tc>
        <w:tc>
          <w:tcPr>
            <w:tcW w:type="dxa" w:w="1337"/>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D</w:t>
            </w:r>
          </w:p>
        </w:tc>
        <w:tc>
          <w:tcPr>
            <w:tcW w:type="dxa" w:w="1337"/>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F</w:t>
            </w:r>
          </w:p>
        </w:tc>
        <w:tc>
          <w:tcPr>
            <w:tcW w:type="dxa" w:w="1337"/>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U</w:t>
            </w:r>
          </w:p>
        </w:tc>
        <w:tc>
          <w:tcPr>
            <w:tcW w:type="dxa" w:w="1337"/>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I</w:t>
            </w:r>
          </w:p>
        </w:tc>
        <w:tc>
          <w:tcPr>
            <w:tcW w:type="dxa" w:w="1337"/>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Punteggio</w:t>
            </w:r>
          </w:p>
        </w:tc>
      </w:tr>
      <w:tr>
        <w:tc>
          <w:tcPr>
            <w:tcW w:type="dxa" w:w="1337"/>
          </w:tcPr>
          <w:p>
            <w:pPr>
              <w:spacing w:after="20" w:before="20"/>
              <w:jc w:val="both"/>
            </w:pPr>
            <w:r>
              <w:rPr>
                <w:rFonts w:ascii="Barlow Semi Condensed" w:cs="Barlow Semi Condensed" w:eastAsia="Barlow Semi Condensed" w:hAnsi="Barlow Semi Condensed"/>
                <w:b/>
                <w:bCs/>
                <w:sz w:val="20"/>
                <w:szCs w:val="20"/>
              </w:rPr>
              <w:t xml:space="preserve">PN-1 · Le terze presenze non attribuite di via Fani</w:t>
            </w:r>
            <w:r>
              <w:rPr>
                <w:rFonts w:ascii="Barlow Semi Condensed" w:cs="Barlow Semi Condensed" w:eastAsia="Barlow Semi Condensed" w:hAnsi="Barlow Semi Condensed"/>
                <w:sz w:val="20"/>
                <w:szCs w:val="20"/>
              </w:rPr>
              <w:t xml:space="preserve"> (l'ignoto della Honda; perizia balistica)</w:t>
            </w:r>
          </w:p>
        </w:tc>
        <w:tc>
          <w:tcPr>
            <w:tcW w:type="dxa" w:w="1337"/>
          </w:tcPr>
          <w:p>
            <w:pPr>
              <w:spacing w:after="20" w:before="20"/>
              <w:jc w:val="both"/>
            </w:pPr>
            <w:r>
              <w:rPr>
                <w:rFonts w:ascii="Barlow Semi Condensed" w:cs="Barlow Semi Condensed" w:eastAsia="Barlow Semi Condensed" w:hAnsi="Barlow Semi Condensed"/>
                <w:sz w:val="20"/>
                <w:szCs w:val="20"/>
              </w:rPr>
              <w:t xml:space="preserve">10</w:t>
            </w:r>
          </w:p>
        </w:tc>
        <w:tc>
          <w:tcPr>
            <w:tcW w:type="dxa" w:w="1337"/>
          </w:tcPr>
          <w:p>
            <w:pPr>
              <w:spacing w:after="20" w:before="20"/>
              <w:jc w:val="both"/>
            </w:pPr>
            <w:r>
              <w:rPr>
                <w:rFonts w:ascii="Barlow Semi Condensed" w:cs="Barlow Semi Condensed" w:eastAsia="Barlow Semi Condensed" w:hAnsi="Barlow Semi Condensed"/>
                <w:sz w:val="20"/>
                <w:szCs w:val="20"/>
              </w:rPr>
              <w:t xml:space="preserve">10</w:t>
            </w:r>
          </w:p>
        </w:tc>
        <w:tc>
          <w:tcPr>
            <w:tcW w:type="dxa" w:w="1337"/>
          </w:tcPr>
          <w:p>
            <w:pPr>
              <w:spacing w:after="20" w:before="20"/>
              <w:jc w:val="both"/>
            </w:pPr>
            <w:r>
              <w:rPr>
                <w:rFonts w:ascii="Barlow Semi Condensed" w:cs="Barlow Semi Condensed" w:eastAsia="Barlow Semi Condensed" w:hAnsi="Barlow Semi Condensed"/>
                <w:sz w:val="20"/>
                <w:szCs w:val="20"/>
              </w:rPr>
              <w:t xml:space="preserve">8</w:t>
            </w:r>
          </w:p>
        </w:tc>
        <w:tc>
          <w:tcPr>
            <w:tcW w:type="dxa" w:w="1337"/>
          </w:tcPr>
          <w:p>
            <w:pPr>
              <w:spacing w:after="20" w:before="20"/>
              <w:jc w:val="both"/>
            </w:pPr>
            <w:r>
              <w:rPr>
                <w:rFonts w:ascii="Barlow Semi Condensed" w:cs="Barlow Semi Condensed" w:eastAsia="Barlow Semi Condensed" w:hAnsi="Barlow Semi Condensed"/>
                <w:sz w:val="20"/>
                <w:szCs w:val="20"/>
              </w:rPr>
              <w:t xml:space="preserve">6</w:t>
            </w:r>
          </w:p>
        </w:tc>
        <w:tc>
          <w:tcPr>
            <w:tcW w:type="dxa" w:w="1337"/>
          </w:tcPr>
          <w:p>
            <w:pPr>
              <w:spacing w:after="20" w:before="20"/>
              <w:jc w:val="both"/>
            </w:pPr>
            <w:r>
              <w:rPr>
                <w:rFonts w:ascii="Barlow Semi Condensed" w:cs="Barlow Semi Condensed" w:eastAsia="Barlow Semi Condensed" w:hAnsi="Barlow Semi Condensed"/>
                <w:sz w:val="20"/>
                <w:szCs w:val="20"/>
              </w:rPr>
              <w:t xml:space="preserve">9</w:t>
            </w:r>
          </w:p>
        </w:tc>
        <w:tc>
          <w:tcPr>
            <w:tcW w:type="dxa" w:w="1337"/>
          </w:tcPr>
          <w:p>
            <w:pPr>
              <w:spacing w:after="20" w:before="20"/>
              <w:jc w:val="both"/>
            </w:pPr>
            <w:r>
              <w:rPr>
                <w:rFonts w:ascii="Barlow Semi Condensed" w:cs="Barlow Semi Condensed" w:eastAsia="Barlow Semi Condensed" w:hAnsi="Barlow Semi Condensed"/>
                <w:b/>
                <w:bCs/>
                <w:sz w:val="20"/>
                <w:szCs w:val="20"/>
              </w:rPr>
              <w:t xml:space="preserve">89,0</w:t>
            </w:r>
          </w:p>
        </w:tc>
      </w:tr>
      <w:tr>
        <w:tc>
          <w:tcPr>
            <w:tcW w:type="dxa" w:w="1337"/>
          </w:tcPr>
          <w:p>
            <w:pPr>
              <w:spacing w:after="20" w:before="20"/>
              <w:jc w:val="both"/>
            </w:pPr>
            <w:r>
              <w:rPr>
                <w:rFonts w:ascii="Barlow Semi Condensed" w:cs="Barlow Semi Condensed" w:eastAsia="Barlow Semi Condensed" w:hAnsi="Barlow Semi Condensed"/>
                <w:b/>
                <w:bCs/>
                <w:sz w:val="20"/>
                <w:szCs w:val="20"/>
              </w:rPr>
              <w:t xml:space="preserve">PN-7 · I testimoni viventi</w:t>
            </w:r>
            <w:r>
              <w:rPr>
                <w:rFonts w:ascii="Barlow Semi Condensed" w:cs="Barlow Semi Condensed" w:eastAsia="Barlow Semi Condensed" w:hAnsi="Barlow Semi Condensed"/>
                <w:sz w:val="20"/>
                <w:szCs w:val="20"/>
              </w:rPr>
              <w:t xml:space="preserve"> (raccolta conservativa)</w:t>
            </w:r>
          </w:p>
        </w:tc>
        <w:tc>
          <w:tcPr>
            <w:tcW w:type="dxa" w:w="1337"/>
          </w:tcPr>
          <w:p>
            <w:pPr>
              <w:spacing w:after="20" w:before="20"/>
              <w:jc w:val="both"/>
            </w:pPr>
            <w:r>
              <w:rPr>
                <w:rFonts w:ascii="Barlow Semi Condensed" w:cs="Barlow Semi Condensed" w:eastAsia="Barlow Semi Condensed" w:hAnsi="Barlow Semi Condensed"/>
                <w:sz w:val="20"/>
                <w:szCs w:val="20"/>
              </w:rPr>
              <w:t xml:space="preserve">7</w:t>
            </w:r>
          </w:p>
        </w:tc>
        <w:tc>
          <w:tcPr>
            <w:tcW w:type="dxa" w:w="1337"/>
          </w:tcPr>
          <w:p>
            <w:pPr>
              <w:spacing w:after="20" w:before="20"/>
              <w:jc w:val="both"/>
            </w:pPr>
            <w:r>
              <w:rPr>
                <w:rFonts w:ascii="Barlow Semi Condensed" w:cs="Barlow Semi Condensed" w:eastAsia="Barlow Semi Condensed" w:hAnsi="Barlow Semi Condensed"/>
                <w:sz w:val="20"/>
                <w:szCs w:val="20"/>
              </w:rPr>
              <w:t xml:space="preserve">7</w:t>
            </w:r>
          </w:p>
        </w:tc>
        <w:tc>
          <w:tcPr>
            <w:tcW w:type="dxa" w:w="1337"/>
          </w:tcPr>
          <w:p>
            <w:pPr>
              <w:spacing w:after="20" w:before="20"/>
              <w:jc w:val="both"/>
            </w:pPr>
            <w:r>
              <w:rPr>
                <w:rFonts w:ascii="Barlow Semi Condensed" w:cs="Barlow Semi Condensed" w:eastAsia="Barlow Semi Condensed" w:hAnsi="Barlow Semi Condensed"/>
                <w:sz w:val="20"/>
                <w:szCs w:val="20"/>
              </w:rPr>
              <w:t xml:space="preserve">8</w:t>
            </w:r>
          </w:p>
        </w:tc>
        <w:tc>
          <w:tcPr>
            <w:tcW w:type="dxa" w:w="1337"/>
          </w:tcPr>
          <w:p>
            <w:pPr>
              <w:spacing w:after="20" w:before="20"/>
              <w:jc w:val="both"/>
            </w:pPr>
            <w:r>
              <w:rPr>
                <w:rFonts w:ascii="Barlow Semi Condensed" w:cs="Barlow Semi Condensed" w:eastAsia="Barlow Semi Condensed" w:hAnsi="Barlow Semi Condensed"/>
                <w:sz w:val="20"/>
                <w:szCs w:val="20"/>
              </w:rPr>
              <w:t xml:space="preserve">10</w:t>
            </w:r>
          </w:p>
        </w:tc>
        <w:tc>
          <w:tcPr>
            <w:tcW w:type="dxa" w:w="1337"/>
          </w:tcPr>
          <w:p>
            <w:pPr>
              <w:spacing w:after="20" w:before="20"/>
              <w:jc w:val="both"/>
            </w:pPr>
            <w:r>
              <w:rPr>
                <w:rFonts w:ascii="Barlow Semi Condensed" w:cs="Barlow Semi Condensed" w:eastAsia="Barlow Semi Condensed" w:hAnsi="Barlow Semi Condensed"/>
                <w:sz w:val="20"/>
                <w:szCs w:val="20"/>
              </w:rPr>
              <w:t xml:space="preserve">8</w:t>
            </w:r>
          </w:p>
        </w:tc>
        <w:tc>
          <w:tcPr>
            <w:tcW w:type="dxa" w:w="1337"/>
          </w:tcPr>
          <w:p>
            <w:pPr>
              <w:spacing w:after="20" w:before="20"/>
              <w:jc w:val="both"/>
            </w:pPr>
            <w:r>
              <w:rPr>
                <w:rFonts w:ascii="Barlow Semi Condensed" w:cs="Barlow Semi Condensed" w:eastAsia="Barlow Semi Condensed" w:hAnsi="Barlow Semi Condensed"/>
                <w:b/>
                <w:bCs/>
                <w:sz w:val="20"/>
                <w:szCs w:val="20"/>
              </w:rPr>
              <w:t xml:space="preserve">77,5</w:t>
            </w:r>
          </w:p>
        </w:tc>
      </w:tr>
      <w:tr>
        <w:tc>
          <w:tcPr>
            <w:tcW w:type="dxa" w:w="1337"/>
          </w:tcPr>
          <w:p>
            <w:pPr>
              <w:spacing w:after="20" w:before="20"/>
              <w:jc w:val="both"/>
            </w:pPr>
            <w:r>
              <w:rPr>
                <w:rFonts w:ascii="Barlow Semi Condensed" w:cs="Barlow Semi Condensed" w:eastAsia="Barlow Semi Condensed" w:hAnsi="Barlow Semi Condensed"/>
                <w:b/>
                <w:bCs/>
                <w:sz w:val="20"/>
                <w:szCs w:val="20"/>
              </w:rPr>
              <w:t xml:space="preserve">PN-4 · La fonte della segnalazione «Gradoli»</w:t>
            </w:r>
            <w:r>
              <w:rPr>
                <w:rFonts w:ascii="Barlow Semi Condensed" w:cs="Barlow Semi Condensed" w:eastAsia="Barlow Semi Condensed" w:hAnsi="Barlow Semi Condensed"/>
                <w:sz w:val="20"/>
                <w:szCs w:val="20"/>
              </w:rPr>
              <w:t xml:space="preserve"> (la catena informativa reale)</w:t>
            </w:r>
          </w:p>
        </w:tc>
        <w:tc>
          <w:tcPr>
            <w:tcW w:type="dxa" w:w="1337"/>
          </w:tcPr>
          <w:p>
            <w:pPr>
              <w:spacing w:after="20" w:before="20"/>
              <w:jc w:val="both"/>
            </w:pPr>
            <w:r>
              <w:rPr>
                <w:rFonts w:ascii="Barlow Semi Condensed" w:cs="Barlow Semi Condensed" w:eastAsia="Barlow Semi Condensed" w:hAnsi="Barlow Semi Condensed"/>
                <w:sz w:val="20"/>
                <w:szCs w:val="20"/>
              </w:rPr>
              <w:t xml:space="preserve">8</w:t>
            </w:r>
          </w:p>
        </w:tc>
        <w:tc>
          <w:tcPr>
            <w:tcW w:type="dxa" w:w="1337"/>
          </w:tcPr>
          <w:p>
            <w:pPr>
              <w:spacing w:after="20" w:before="20"/>
              <w:jc w:val="both"/>
            </w:pPr>
            <w:r>
              <w:rPr>
                <w:rFonts w:ascii="Barlow Semi Condensed" w:cs="Barlow Semi Condensed" w:eastAsia="Barlow Semi Condensed" w:hAnsi="Barlow Semi Condensed"/>
                <w:sz w:val="20"/>
                <w:szCs w:val="20"/>
              </w:rPr>
              <w:t xml:space="preserve">9</w:t>
            </w:r>
          </w:p>
        </w:tc>
        <w:tc>
          <w:tcPr>
            <w:tcW w:type="dxa" w:w="1337"/>
          </w:tcPr>
          <w:p>
            <w:pPr>
              <w:spacing w:after="20" w:before="20"/>
              <w:jc w:val="both"/>
            </w:pPr>
            <w:r>
              <w:rPr>
                <w:rFonts w:ascii="Barlow Semi Condensed" w:cs="Barlow Semi Condensed" w:eastAsia="Barlow Semi Condensed" w:hAnsi="Barlow Semi Condensed"/>
                <w:sz w:val="20"/>
                <w:szCs w:val="20"/>
              </w:rPr>
              <w:t xml:space="preserve">6</w:t>
            </w:r>
          </w:p>
        </w:tc>
        <w:tc>
          <w:tcPr>
            <w:tcW w:type="dxa" w:w="1337"/>
          </w:tcPr>
          <w:p>
            <w:pPr>
              <w:spacing w:after="20" w:before="20"/>
              <w:jc w:val="both"/>
            </w:pPr>
            <w:r>
              <w:rPr>
                <w:rFonts w:ascii="Barlow Semi Condensed" w:cs="Barlow Semi Condensed" w:eastAsia="Barlow Semi Condensed" w:hAnsi="Barlow Semi Condensed"/>
                <w:sz w:val="20"/>
                <w:szCs w:val="20"/>
              </w:rPr>
              <w:t xml:space="preserve">4</w:t>
            </w:r>
          </w:p>
        </w:tc>
        <w:tc>
          <w:tcPr>
            <w:tcW w:type="dxa" w:w="1337"/>
          </w:tcPr>
          <w:p>
            <w:pPr>
              <w:spacing w:after="20" w:before="20"/>
              <w:jc w:val="both"/>
            </w:pPr>
            <w:r>
              <w:rPr>
                <w:rFonts w:ascii="Barlow Semi Condensed" w:cs="Barlow Semi Condensed" w:eastAsia="Barlow Semi Condensed" w:hAnsi="Barlow Semi Condensed"/>
                <w:sz w:val="20"/>
                <w:szCs w:val="20"/>
              </w:rPr>
              <w:t xml:space="preserve">10</w:t>
            </w:r>
          </w:p>
        </w:tc>
        <w:tc>
          <w:tcPr>
            <w:tcW w:type="dxa" w:w="1337"/>
          </w:tcPr>
          <w:p>
            <w:pPr>
              <w:spacing w:after="20" w:before="20"/>
              <w:jc w:val="both"/>
            </w:pPr>
            <w:r>
              <w:rPr>
                <w:rFonts w:ascii="Barlow Semi Condensed" w:cs="Barlow Semi Condensed" w:eastAsia="Barlow Semi Condensed" w:hAnsi="Barlow Semi Condensed"/>
                <w:b/>
                <w:bCs/>
                <w:sz w:val="20"/>
                <w:szCs w:val="20"/>
              </w:rPr>
              <w:t xml:space="preserve">74,5</w:t>
            </w:r>
          </w:p>
        </w:tc>
      </w:tr>
      <w:tr>
        <w:tc>
          <w:tcPr>
            <w:tcW w:type="dxa" w:w="1337"/>
          </w:tcPr>
          <w:p>
            <w:pPr>
              <w:spacing w:after="20" w:before="20"/>
              <w:jc w:val="both"/>
            </w:pPr>
            <w:r>
              <w:rPr>
                <w:rFonts w:ascii="Barlow Semi Condensed" w:cs="Barlow Semi Condensed" w:eastAsia="Barlow Semi Condensed" w:hAnsi="Barlow Semi Condensed"/>
                <w:b/>
                <w:bCs/>
                <w:sz w:val="20"/>
                <w:szCs w:val="20"/>
              </w:rPr>
              <w:t xml:space="preserve">PN-2 · Il caricatore di via Stresa</w:t>
            </w:r>
            <w:r>
              <w:rPr>
                <w:rFonts w:ascii="Barlow Semi Condensed" w:cs="Barlow Semi Condensed" w:eastAsia="Barlow Semi Condensed" w:hAnsi="Barlow Semi Condensed"/>
                <w:sz w:val="20"/>
                <w:szCs w:val="20"/>
              </w:rPr>
              <w:t xml:space="preserve"> (il ramo dell'ignoto)</w:t>
            </w:r>
          </w:p>
        </w:tc>
        <w:tc>
          <w:tcPr>
            <w:tcW w:type="dxa" w:w="1337"/>
          </w:tcPr>
          <w:p>
            <w:pPr>
              <w:spacing w:after="20" w:before="20"/>
              <w:jc w:val="both"/>
            </w:pPr>
            <w:r>
              <w:rPr>
                <w:rFonts w:ascii="Barlow Semi Condensed" w:cs="Barlow Semi Condensed" w:eastAsia="Barlow Semi Condensed" w:hAnsi="Barlow Semi Condensed"/>
                <w:sz w:val="20"/>
                <w:szCs w:val="20"/>
              </w:rPr>
              <w:t xml:space="preserve">6</w:t>
            </w:r>
          </w:p>
        </w:tc>
        <w:tc>
          <w:tcPr>
            <w:tcW w:type="dxa" w:w="1337"/>
          </w:tcPr>
          <w:p>
            <w:pPr>
              <w:spacing w:after="20" w:before="20"/>
              <w:jc w:val="both"/>
            </w:pPr>
            <w:r>
              <w:rPr>
                <w:rFonts w:ascii="Barlow Semi Condensed" w:cs="Barlow Semi Condensed" w:eastAsia="Barlow Semi Condensed" w:hAnsi="Barlow Semi Condensed"/>
                <w:sz w:val="20"/>
                <w:szCs w:val="20"/>
              </w:rPr>
              <w:t xml:space="preserve">9</w:t>
            </w:r>
          </w:p>
        </w:tc>
        <w:tc>
          <w:tcPr>
            <w:tcW w:type="dxa" w:w="1337"/>
          </w:tcPr>
          <w:p>
            <w:pPr>
              <w:spacing w:after="20" w:before="20"/>
              <w:jc w:val="both"/>
            </w:pPr>
            <w:r>
              <w:rPr>
                <w:rFonts w:ascii="Barlow Semi Condensed" w:cs="Barlow Semi Condensed" w:eastAsia="Barlow Semi Condensed" w:hAnsi="Barlow Semi Condensed"/>
                <w:sz w:val="20"/>
                <w:szCs w:val="20"/>
              </w:rPr>
              <w:t xml:space="preserve">9</w:t>
            </w:r>
          </w:p>
        </w:tc>
        <w:tc>
          <w:tcPr>
            <w:tcW w:type="dxa" w:w="1337"/>
          </w:tcPr>
          <w:p>
            <w:pPr>
              <w:spacing w:after="20" w:before="20"/>
              <w:jc w:val="both"/>
            </w:pPr>
            <w:r>
              <w:rPr>
                <w:rFonts w:ascii="Barlow Semi Condensed" w:cs="Barlow Semi Condensed" w:eastAsia="Barlow Semi Condensed" w:hAnsi="Barlow Semi Condensed"/>
                <w:sz w:val="20"/>
                <w:szCs w:val="20"/>
              </w:rPr>
              <w:t xml:space="preserve">5</w:t>
            </w:r>
          </w:p>
        </w:tc>
        <w:tc>
          <w:tcPr>
            <w:tcW w:type="dxa" w:w="1337"/>
          </w:tcPr>
          <w:p>
            <w:pPr>
              <w:spacing w:after="20" w:before="20"/>
              <w:jc w:val="both"/>
            </w:pPr>
            <w:r>
              <w:rPr>
                <w:rFonts w:ascii="Barlow Semi Condensed" w:cs="Barlow Semi Condensed" w:eastAsia="Barlow Semi Condensed" w:hAnsi="Barlow Semi Condensed"/>
                <w:sz w:val="20"/>
                <w:szCs w:val="20"/>
              </w:rPr>
              <w:t xml:space="preserve">5</w:t>
            </w:r>
          </w:p>
        </w:tc>
        <w:tc>
          <w:tcPr>
            <w:tcW w:type="dxa" w:w="1337"/>
          </w:tcPr>
          <w:p>
            <w:pPr>
              <w:spacing w:after="20" w:before="20"/>
              <w:jc w:val="both"/>
            </w:pPr>
            <w:r>
              <w:rPr>
                <w:rFonts w:ascii="Barlow Semi Condensed" w:cs="Barlow Semi Condensed" w:eastAsia="Barlow Semi Condensed" w:hAnsi="Barlow Semi Condensed"/>
                <w:b/>
                <w:bCs/>
                <w:sz w:val="20"/>
                <w:szCs w:val="20"/>
              </w:rPr>
              <w:t xml:space="preserve">71,0</w:t>
            </w:r>
          </w:p>
        </w:tc>
      </w:tr>
      <w:tr>
        <w:tc>
          <w:tcPr>
            <w:tcW w:type="dxa" w:w="1337"/>
          </w:tcPr>
          <w:p>
            <w:pPr>
              <w:spacing w:after="20" w:before="20"/>
              <w:jc w:val="both"/>
            </w:pPr>
            <w:r>
              <w:rPr>
                <w:rFonts w:ascii="Barlow Semi Condensed" w:cs="Barlow Semi Condensed" w:eastAsia="Barlow Semi Condensed" w:hAnsi="Barlow Semi Condensed"/>
                <w:b/>
                <w:bCs/>
                <w:sz w:val="20"/>
                <w:szCs w:val="20"/>
              </w:rPr>
              <w:t xml:space="preserve">PN-5 · Fondo Direttiva Renzi: le omissioni istituzionali</w:t>
            </w:r>
            <w:r>
              <w:rPr>
                <w:rFonts w:ascii="Barlow Semi Condensed" w:cs="Barlow Semi Condensed" w:eastAsia="Barlow Semi Condensed" w:hAnsi="Barlow Semi Condensed"/>
                <w:sz w:val="20"/>
                <w:szCs w:val="20"/>
              </w:rPr>
              <w:t xml:space="preserve"> (comitati di crisi, il 18 aprile, le mancate perquisizioni)</w:t>
            </w:r>
          </w:p>
        </w:tc>
        <w:tc>
          <w:tcPr>
            <w:tcW w:type="dxa" w:w="1337"/>
          </w:tcPr>
          <w:p>
            <w:pPr>
              <w:spacing w:after="20" w:before="20"/>
              <w:jc w:val="both"/>
            </w:pPr>
            <w:r>
              <w:rPr>
                <w:rFonts w:ascii="Barlow Semi Condensed" w:cs="Barlow Semi Condensed" w:eastAsia="Barlow Semi Condensed" w:hAnsi="Barlow Semi Condensed"/>
                <w:sz w:val="20"/>
                <w:szCs w:val="20"/>
              </w:rPr>
              <w:t xml:space="preserve">8</w:t>
            </w:r>
          </w:p>
        </w:tc>
        <w:tc>
          <w:tcPr>
            <w:tcW w:type="dxa" w:w="1337"/>
          </w:tcPr>
          <w:p>
            <w:pPr>
              <w:spacing w:after="20" w:before="20"/>
              <w:jc w:val="both"/>
            </w:pPr>
            <w:r>
              <w:rPr>
                <w:rFonts w:ascii="Barlow Semi Condensed" w:cs="Barlow Semi Condensed" w:eastAsia="Barlow Semi Condensed" w:hAnsi="Barlow Semi Condensed"/>
                <w:sz w:val="20"/>
                <w:szCs w:val="20"/>
              </w:rPr>
              <w:t xml:space="preserve">5</w:t>
            </w:r>
          </w:p>
        </w:tc>
        <w:tc>
          <w:tcPr>
            <w:tcW w:type="dxa" w:w="1337"/>
          </w:tcPr>
          <w:p>
            <w:pPr>
              <w:spacing w:after="20" w:before="20"/>
              <w:jc w:val="both"/>
            </w:pPr>
            <w:r>
              <w:rPr>
                <w:rFonts w:ascii="Barlow Semi Condensed" w:cs="Barlow Semi Condensed" w:eastAsia="Barlow Semi Condensed" w:hAnsi="Barlow Semi Condensed"/>
                <w:sz w:val="20"/>
                <w:szCs w:val="20"/>
              </w:rPr>
              <w:t xml:space="preserve">8</w:t>
            </w:r>
          </w:p>
        </w:tc>
        <w:tc>
          <w:tcPr>
            <w:tcW w:type="dxa" w:w="1337"/>
          </w:tcPr>
          <w:p>
            <w:pPr>
              <w:spacing w:after="20" w:before="20"/>
              <w:jc w:val="both"/>
            </w:pPr>
            <w:r>
              <w:rPr>
                <w:rFonts w:ascii="Barlow Semi Condensed" w:cs="Barlow Semi Condensed" w:eastAsia="Barlow Semi Condensed" w:hAnsi="Barlow Semi Condensed"/>
                <w:sz w:val="20"/>
                <w:szCs w:val="20"/>
              </w:rPr>
              <w:t xml:space="preserve">4</w:t>
            </w:r>
          </w:p>
        </w:tc>
        <w:tc>
          <w:tcPr>
            <w:tcW w:type="dxa" w:w="1337"/>
          </w:tcPr>
          <w:p>
            <w:pPr>
              <w:spacing w:after="20" w:before="20"/>
              <w:jc w:val="both"/>
            </w:pPr>
            <w:r>
              <w:rPr>
                <w:rFonts w:ascii="Barlow Semi Condensed" w:cs="Barlow Semi Condensed" w:eastAsia="Barlow Semi Condensed" w:hAnsi="Barlow Semi Condensed"/>
                <w:sz w:val="20"/>
                <w:szCs w:val="20"/>
              </w:rPr>
              <w:t xml:space="preserve">9</w:t>
            </w:r>
          </w:p>
        </w:tc>
        <w:tc>
          <w:tcPr>
            <w:tcW w:type="dxa" w:w="1337"/>
          </w:tcPr>
          <w:p>
            <w:pPr>
              <w:spacing w:after="20" w:before="20"/>
              <w:jc w:val="both"/>
            </w:pPr>
            <w:r>
              <w:rPr>
                <w:rFonts w:ascii="Barlow Semi Condensed" w:cs="Barlow Semi Condensed" w:eastAsia="Barlow Semi Condensed" w:hAnsi="Barlow Semi Condensed"/>
                <w:b/>
                <w:bCs/>
                <w:sz w:val="20"/>
                <w:szCs w:val="20"/>
              </w:rPr>
              <w:t xml:space="preserve">67,5</w:t>
            </w:r>
          </w:p>
        </w:tc>
      </w:tr>
      <w:tr>
        <w:tc>
          <w:tcPr>
            <w:tcW w:type="dxa" w:w="1337"/>
          </w:tcPr>
          <w:p>
            <w:pPr>
              <w:spacing w:after="20" w:before="20"/>
              <w:jc w:val="both"/>
            </w:pPr>
            <w:r>
              <w:rPr>
                <w:rFonts w:ascii="Barlow Semi Condensed" w:cs="Barlow Semi Condensed" w:eastAsia="Barlow Semi Condensed" w:hAnsi="Barlow Semi Condensed"/>
                <w:b/>
                <w:bCs/>
                <w:sz w:val="20"/>
                <w:szCs w:val="20"/>
              </w:rPr>
              <w:t xml:space="preserve">PN-3 · I profili DNA non identificati</w:t>
            </w:r>
            <w:r>
              <w:rPr>
                <w:rFonts w:ascii="Barlow Semi Condensed" w:cs="Barlow Semi Condensed" w:eastAsia="Barlow Semi Condensed" w:hAnsi="Barlow Semi Condensed"/>
                <w:sz w:val="20"/>
                <w:szCs w:val="20"/>
              </w:rPr>
              <w:t xml:space="preserve"> (auto-sbarramento e Gradoli: il residuo dopo le esclusioni)</w:t>
            </w:r>
          </w:p>
        </w:tc>
        <w:tc>
          <w:tcPr>
            <w:tcW w:type="dxa" w:w="1337"/>
          </w:tcPr>
          <w:p>
            <w:pPr>
              <w:spacing w:after="20" w:before="20"/>
              <w:jc w:val="both"/>
            </w:pPr>
            <w:r>
              <w:rPr>
                <w:rFonts w:ascii="Barlow Semi Condensed" w:cs="Barlow Semi Condensed" w:eastAsia="Barlow Semi Condensed" w:hAnsi="Barlow Semi Condensed"/>
                <w:sz w:val="20"/>
                <w:szCs w:val="20"/>
              </w:rPr>
              <w:t xml:space="preserve">7</w:t>
            </w:r>
          </w:p>
        </w:tc>
        <w:tc>
          <w:tcPr>
            <w:tcW w:type="dxa" w:w="1337"/>
          </w:tcPr>
          <w:p>
            <w:pPr>
              <w:spacing w:after="20" w:before="20"/>
              <w:jc w:val="both"/>
            </w:pPr>
            <w:r>
              <w:rPr>
                <w:rFonts w:ascii="Barlow Semi Condensed" w:cs="Barlow Semi Condensed" w:eastAsia="Barlow Semi Condensed" w:hAnsi="Barlow Semi Condensed"/>
                <w:sz w:val="20"/>
                <w:szCs w:val="20"/>
              </w:rPr>
              <w:t xml:space="preserve">8</w:t>
            </w:r>
          </w:p>
        </w:tc>
        <w:tc>
          <w:tcPr>
            <w:tcW w:type="dxa" w:w="1337"/>
          </w:tcPr>
          <w:p>
            <w:pPr>
              <w:spacing w:after="20" w:before="20"/>
              <w:jc w:val="both"/>
            </w:pPr>
            <w:r>
              <w:rPr>
                <w:rFonts w:ascii="Barlow Semi Condensed" w:cs="Barlow Semi Condensed" w:eastAsia="Barlow Semi Condensed" w:hAnsi="Barlow Semi Condensed"/>
                <w:sz w:val="20"/>
                <w:szCs w:val="20"/>
              </w:rPr>
              <w:t xml:space="preserve">6</w:t>
            </w:r>
          </w:p>
        </w:tc>
        <w:tc>
          <w:tcPr>
            <w:tcW w:type="dxa" w:w="1337"/>
          </w:tcPr>
          <w:p>
            <w:pPr>
              <w:spacing w:after="20" w:before="20"/>
              <w:jc w:val="both"/>
            </w:pPr>
            <w:r>
              <w:rPr>
                <w:rFonts w:ascii="Barlow Semi Condensed" w:cs="Barlow Semi Condensed" w:eastAsia="Barlow Semi Condensed" w:hAnsi="Barlow Semi Condensed"/>
                <w:sz w:val="20"/>
                <w:szCs w:val="20"/>
              </w:rPr>
              <w:t xml:space="preserve">5</w:t>
            </w:r>
          </w:p>
        </w:tc>
        <w:tc>
          <w:tcPr>
            <w:tcW w:type="dxa" w:w="1337"/>
          </w:tcPr>
          <w:p>
            <w:pPr>
              <w:spacing w:after="20" w:before="20"/>
              <w:jc w:val="both"/>
            </w:pPr>
            <w:r>
              <w:rPr>
                <w:rFonts w:ascii="Barlow Semi Condensed" w:cs="Barlow Semi Condensed" w:eastAsia="Barlow Semi Condensed" w:hAnsi="Barlow Semi Condensed"/>
                <w:sz w:val="20"/>
                <w:szCs w:val="20"/>
              </w:rPr>
              <w:t xml:space="preserve">7</w:t>
            </w:r>
          </w:p>
        </w:tc>
        <w:tc>
          <w:tcPr>
            <w:tcW w:type="dxa" w:w="1337"/>
          </w:tcPr>
          <w:p>
            <w:pPr>
              <w:spacing w:after="20" w:before="20"/>
              <w:jc w:val="both"/>
            </w:pPr>
            <w:r>
              <w:rPr>
                <w:rFonts w:ascii="Barlow Semi Condensed" w:cs="Barlow Semi Condensed" w:eastAsia="Barlow Semi Condensed" w:hAnsi="Barlow Semi Condensed"/>
                <w:b/>
                <w:bCs/>
                <w:sz w:val="20"/>
                <w:szCs w:val="20"/>
              </w:rPr>
              <w:t xml:space="preserve">67,5</w:t>
            </w:r>
          </w:p>
        </w:tc>
      </w:tr>
      <w:tr>
        <w:tc>
          <w:tcPr>
            <w:tcW w:type="dxa" w:w="1337"/>
          </w:tcPr>
          <w:p>
            <w:pPr>
              <w:spacing w:after="20" w:before="20"/>
              <w:jc w:val="both"/>
            </w:pPr>
            <w:r>
              <w:rPr>
                <w:rFonts w:ascii="Barlow Semi Condensed" w:cs="Barlow Semi Condensed" w:eastAsia="Barlow Semi Condensed" w:hAnsi="Barlow Semi Condensed"/>
                <w:b/>
                <w:bCs/>
                <w:sz w:val="20"/>
                <w:szCs w:val="20"/>
              </w:rPr>
              <w:t xml:space="preserve">PN-8 · Gli archivi futuri</w:t>
            </w:r>
            <w:r>
              <w:rPr>
                <w:rFonts w:ascii="Barlow Semi Condensed" w:cs="Barlow Semi Condensed" w:eastAsia="Barlow Semi Condensed" w:hAnsi="Barlow Semi Condensed"/>
                <w:sz w:val="20"/>
                <w:szCs w:val="20"/>
              </w:rPr>
              <w:t xml:space="preserve"> (AAV per Paolo VI; ASD serie 1978)</w:t>
            </w:r>
          </w:p>
        </w:tc>
        <w:tc>
          <w:tcPr>
            <w:tcW w:type="dxa" w:w="1337"/>
          </w:tcPr>
          <w:p>
            <w:pPr>
              <w:spacing w:after="20" w:before="20"/>
              <w:jc w:val="both"/>
            </w:pPr>
            <w:r>
              <w:rPr>
                <w:rFonts w:ascii="Barlow Semi Condensed" w:cs="Barlow Semi Condensed" w:eastAsia="Barlow Semi Condensed" w:hAnsi="Barlow Semi Condensed"/>
                <w:sz w:val="20"/>
                <w:szCs w:val="20"/>
              </w:rPr>
              <w:t xml:space="preserve">8</w:t>
            </w:r>
          </w:p>
        </w:tc>
        <w:tc>
          <w:tcPr>
            <w:tcW w:type="dxa" w:w="1337"/>
          </w:tcPr>
          <w:p>
            <w:pPr>
              <w:spacing w:after="20" w:before="20"/>
              <w:jc w:val="both"/>
            </w:pPr>
            <w:r>
              <w:rPr>
                <w:rFonts w:ascii="Barlow Semi Condensed" w:cs="Barlow Semi Condensed" w:eastAsia="Barlow Semi Condensed" w:hAnsi="Barlow Semi Condensed"/>
                <w:sz w:val="20"/>
                <w:szCs w:val="20"/>
              </w:rPr>
              <w:t xml:space="preserve">5</w:t>
            </w:r>
          </w:p>
        </w:tc>
        <w:tc>
          <w:tcPr>
            <w:tcW w:type="dxa" w:w="1337"/>
          </w:tcPr>
          <w:p>
            <w:pPr>
              <w:spacing w:after="20" w:before="20"/>
              <w:jc w:val="both"/>
            </w:pPr>
            <w:r>
              <w:rPr>
                <w:rFonts w:ascii="Barlow Semi Condensed" w:cs="Barlow Semi Condensed" w:eastAsia="Barlow Semi Condensed" w:hAnsi="Barlow Semi Condensed"/>
                <w:sz w:val="20"/>
                <w:szCs w:val="20"/>
              </w:rPr>
              <w:t xml:space="preserve">2</w:t>
            </w:r>
          </w:p>
        </w:tc>
        <w:tc>
          <w:tcPr>
            <w:tcW w:type="dxa" w:w="1337"/>
          </w:tcPr>
          <w:p>
            <w:pPr>
              <w:spacing w:after="20" w:before="20"/>
              <w:jc w:val="both"/>
            </w:pPr>
            <w:r>
              <w:rPr>
                <w:rFonts w:ascii="Barlow Semi Condensed" w:cs="Barlow Semi Condensed" w:eastAsia="Barlow Semi Condensed" w:hAnsi="Barlow Semi Condensed"/>
                <w:sz w:val="20"/>
                <w:szCs w:val="20"/>
              </w:rPr>
              <w:t xml:space="preserve">2</w:t>
            </w:r>
          </w:p>
        </w:tc>
        <w:tc>
          <w:tcPr>
            <w:tcW w:type="dxa" w:w="1337"/>
          </w:tcPr>
          <w:p>
            <w:pPr>
              <w:spacing w:after="20" w:before="20"/>
              <w:jc w:val="both"/>
            </w:pPr>
            <w:r>
              <w:rPr>
                <w:rFonts w:ascii="Barlow Semi Condensed" w:cs="Barlow Semi Condensed" w:eastAsia="Barlow Semi Condensed" w:hAnsi="Barlow Semi Condensed"/>
                <w:sz w:val="20"/>
                <w:szCs w:val="20"/>
              </w:rPr>
              <w:t xml:space="preserve">9</w:t>
            </w:r>
          </w:p>
        </w:tc>
        <w:tc>
          <w:tcPr>
            <w:tcW w:type="dxa" w:w="1337"/>
          </w:tcPr>
          <w:p>
            <w:pPr>
              <w:spacing w:after="20" w:before="20"/>
              <w:jc w:val="both"/>
            </w:pPr>
            <w:r>
              <w:rPr>
                <w:rFonts w:ascii="Barlow Semi Condensed" w:cs="Barlow Semi Condensed" w:eastAsia="Barlow Semi Condensed" w:hAnsi="Barlow Semi Condensed"/>
                <w:b/>
                <w:bCs/>
                <w:sz w:val="20"/>
                <w:szCs w:val="20"/>
              </w:rPr>
              <w:t xml:space="preserve">52,5</w:t>
            </w:r>
          </w:p>
        </w:tc>
      </w:tr>
      <w:tr>
        <w:tc>
          <w:tcPr>
            <w:tcW w:type="dxa" w:w="1337"/>
          </w:tcPr>
          <w:p>
            <w:pPr>
              <w:spacing w:after="20" w:before="20"/>
              <w:jc w:val="both"/>
            </w:pPr>
            <w:r>
              <w:rPr>
                <w:rFonts w:ascii="Barlow Semi Condensed" w:cs="Barlow Semi Condensed" w:eastAsia="Barlow Semi Condensed" w:hAnsi="Barlow Semi Condensed"/>
                <w:b/>
                <w:bCs/>
                <w:sz w:val="20"/>
                <w:szCs w:val="20"/>
              </w:rPr>
              <w:t xml:space="preserve">PN-6 · La sorte del memoriale fra il 1978 e il 1990</w:t>
            </w:r>
          </w:p>
        </w:tc>
        <w:tc>
          <w:tcPr>
            <w:tcW w:type="dxa" w:w="1337"/>
          </w:tcPr>
          <w:p>
            <w:pPr>
              <w:spacing w:after="20" w:before="20"/>
              <w:jc w:val="both"/>
            </w:pPr>
            <w:r>
              <w:rPr>
                <w:rFonts w:ascii="Barlow Semi Condensed" w:cs="Barlow Semi Condensed" w:eastAsia="Barlow Semi Condensed" w:hAnsi="Barlow Semi Condensed"/>
                <w:sz w:val="20"/>
                <w:szCs w:val="20"/>
              </w:rPr>
              <w:t xml:space="preserve">6</w:t>
            </w:r>
          </w:p>
        </w:tc>
        <w:tc>
          <w:tcPr>
            <w:tcW w:type="dxa" w:w="1337"/>
          </w:tcPr>
          <w:p>
            <w:pPr>
              <w:spacing w:after="20" w:before="20"/>
              <w:jc w:val="both"/>
            </w:pPr>
            <w:r>
              <w:rPr>
                <w:rFonts w:ascii="Barlow Semi Condensed" w:cs="Barlow Semi Condensed" w:eastAsia="Barlow Semi Condensed" w:hAnsi="Barlow Semi Condensed"/>
                <w:sz w:val="20"/>
                <w:szCs w:val="20"/>
              </w:rPr>
              <w:t xml:space="preserve">4</w:t>
            </w:r>
          </w:p>
        </w:tc>
        <w:tc>
          <w:tcPr>
            <w:tcW w:type="dxa" w:w="1337"/>
          </w:tcPr>
          <w:p>
            <w:pPr>
              <w:spacing w:after="20" w:before="20"/>
              <w:jc w:val="both"/>
            </w:pPr>
            <w:r>
              <w:rPr>
                <w:rFonts w:ascii="Barlow Semi Condensed" w:cs="Barlow Semi Condensed" w:eastAsia="Barlow Semi Condensed" w:hAnsi="Barlow Semi Condensed"/>
                <w:sz w:val="20"/>
                <w:szCs w:val="20"/>
              </w:rPr>
              <w:t xml:space="preserve">5</w:t>
            </w:r>
          </w:p>
        </w:tc>
        <w:tc>
          <w:tcPr>
            <w:tcW w:type="dxa" w:w="1337"/>
          </w:tcPr>
          <w:p>
            <w:pPr>
              <w:spacing w:after="20" w:before="20"/>
              <w:jc w:val="both"/>
            </w:pPr>
            <w:r>
              <w:rPr>
                <w:rFonts w:ascii="Barlow Semi Condensed" w:cs="Barlow Semi Condensed" w:eastAsia="Barlow Semi Condensed" w:hAnsi="Barlow Semi Condensed"/>
                <w:sz w:val="20"/>
                <w:szCs w:val="20"/>
              </w:rPr>
              <w:t xml:space="preserve">3</w:t>
            </w:r>
          </w:p>
        </w:tc>
        <w:tc>
          <w:tcPr>
            <w:tcW w:type="dxa" w:w="1337"/>
          </w:tcPr>
          <w:p>
            <w:pPr>
              <w:spacing w:after="20" w:before="20"/>
              <w:jc w:val="both"/>
            </w:pPr>
            <w:r>
              <w:rPr>
                <w:rFonts w:ascii="Barlow Semi Condensed" w:cs="Barlow Semi Condensed" w:eastAsia="Barlow Semi Condensed" w:hAnsi="Barlow Semi Condensed"/>
                <w:sz w:val="20"/>
                <w:szCs w:val="20"/>
              </w:rPr>
              <w:t xml:space="preserve">8</w:t>
            </w:r>
          </w:p>
        </w:tc>
        <w:tc>
          <w:tcPr>
            <w:tcW w:type="dxa" w:w="1337"/>
          </w:tcPr>
          <w:p>
            <w:pPr>
              <w:spacing w:after="20" w:before="20"/>
              <w:jc w:val="both"/>
            </w:pPr>
            <w:r>
              <w:rPr>
                <w:rFonts w:ascii="Barlow Semi Condensed" w:cs="Barlow Semi Condensed" w:eastAsia="Barlow Semi Condensed" w:hAnsi="Barlow Semi Condensed"/>
                <w:b/>
                <w:bCs/>
                <w:sz w:val="20"/>
                <w:szCs w:val="20"/>
              </w:rPr>
              <w:t xml:space="preserve">50,5</w:t>
            </w:r>
          </w:p>
        </w:tc>
      </w:tr>
      <w:tr>
        <w:tc>
          <w:tcPr>
            <w:tcW w:type="dxa" w:w="1337"/>
          </w:tcPr>
          <w:p>
            <w:pPr>
              <w:spacing w:after="20" w:before="20"/>
              <w:jc w:val="both"/>
            </w:pPr>
            <w:r>
              <w:rPr>
                <w:rFonts w:ascii="Barlow Semi Condensed" w:cs="Barlow Semi Condensed" w:eastAsia="Barlow Semi Condensed" w:hAnsi="Barlow Semi Condensed"/>
                <w:i/>
                <w:iCs/>
                <w:sz w:val="20"/>
                <w:szCs w:val="20"/>
              </w:rPr>
              <w:t xml:space="preserve">Escluse per direttiva</w:t>
            </w:r>
            <w:r>
              <w:rPr>
                <w:rFonts w:ascii="Barlow Semi Condensed" w:cs="Barlow Semi Condensed" w:eastAsia="Barlow Semi Condensed" w:hAnsi="Barlow Semi Condensed"/>
                <w:sz w:val="20"/>
                <w:szCs w:val="20"/>
              </w:rPr>
              <w:t xml:space="preserve"> — rogatoria Casimirri; comparazioni su rosa ex-BR; riapertura Superclan/Hyperion</w:t>
            </w:r>
          </w:p>
        </w:tc>
        <w:tc>
          <w:tcPr>
            <w:tcW w:type="dxa" w:w="1337"/>
          </w:tcPr>
          <w:p>
            <w:pPr>
              <w:spacing w:after="20" w:before="20"/>
              <w:jc w:val="both"/>
            </w:pPr>
            <w:r>
              <w:rPr>
                <w:rFonts w:ascii="Barlow Semi Condensed" w:cs="Barlow Semi Condensed" w:eastAsia="Barlow Semi Condensed" w:hAnsi="Barlow Semi Condensed"/>
                <w:sz w:val="20"/>
                <w:szCs w:val="20"/>
              </w:rPr>
              <w:t xml:space="preserve">—</w:t>
            </w:r>
          </w:p>
        </w:tc>
        <w:tc>
          <w:tcPr>
            <w:tcW w:type="dxa" w:w="1337"/>
          </w:tcPr>
          <w:p>
            <w:pPr>
              <w:spacing w:after="20" w:before="20"/>
              <w:jc w:val="both"/>
            </w:pPr>
            <w:r>
              <w:rPr>
                <w:rFonts w:ascii="Barlow Semi Condensed" w:cs="Barlow Semi Condensed" w:eastAsia="Barlow Semi Condensed" w:hAnsi="Barlow Semi Condensed"/>
                <w:sz w:val="20"/>
                <w:szCs w:val="20"/>
              </w:rPr>
              <w:t xml:space="preserve">—</w:t>
            </w:r>
          </w:p>
        </w:tc>
        <w:tc>
          <w:tcPr>
            <w:tcW w:type="dxa" w:w="1337"/>
          </w:tcPr>
          <w:p>
            <w:pPr>
              <w:spacing w:after="20" w:before="20"/>
              <w:jc w:val="both"/>
            </w:pPr>
            <w:r>
              <w:rPr>
                <w:rFonts w:ascii="Barlow Semi Condensed" w:cs="Barlow Semi Condensed" w:eastAsia="Barlow Semi Condensed" w:hAnsi="Barlow Semi Condensed"/>
                <w:sz w:val="20"/>
                <w:szCs w:val="20"/>
              </w:rPr>
              <w:t xml:space="preserve">—</w:t>
            </w:r>
          </w:p>
        </w:tc>
        <w:tc>
          <w:tcPr>
            <w:tcW w:type="dxa" w:w="1337"/>
          </w:tcPr>
          <w:p>
            <w:pPr>
              <w:spacing w:after="20" w:before="20"/>
              <w:jc w:val="both"/>
            </w:pPr>
            <w:r>
              <w:rPr>
                <w:rFonts w:ascii="Barlow Semi Condensed" w:cs="Barlow Semi Condensed" w:eastAsia="Barlow Semi Condensed" w:hAnsi="Barlow Semi Condensed"/>
                <w:sz w:val="20"/>
                <w:szCs w:val="20"/>
              </w:rPr>
              <w:t xml:space="preserve">—</w:t>
            </w:r>
          </w:p>
        </w:tc>
        <w:tc>
          <w:tcPr>
            <w:tcW w:type="dxa" w:w="1337"/>
          </w:tcPr>
          <w:p>
            <w:pPr>
              <w:spacing w:after="20" w:before="20"/>
              <w:jc w:val="both"/>
            </w:pPr>
            <w:r>
              <w:rPr>
                <w:rFonts w:ascii="Barlow Semi Condensed" w:cs="Barlow Semi Condensed" w:eastAsia="Barlow Semi Condensed" w:hAnsi="Barlow Semi Condensed"/>
                <w:sz w:val="20"/>
                <w:szCs w:val="20"/>
              </w:rPr>
              <w:t xml:space="preserve">—</w:t>
            </w:r>
          </w:p>
        </w:tc>
        <w:tc>
          <w:tcPr>
            <w:tcW w:type="dxa" w:w="1337"/>
          </w:tcPr>
          <w:p>
            <w:pPr>
              <w:spacing w:after="20" w:before="20"/>
              <w:jc w:val="both"/>
            </w:pPr>
            <w:r>
              <w:rPr>
                <w:rFonts w:ascii="Barlow Semi Condensed" w:cs="Barlow Semi Condensed" w:eastAsia="Barlow Semi Condensed" w:hAnsi="Barlow Semi Condensed"/>
                <w:b/>
                <w:bCs/>
                <w:sz w:val="20"/>
                <w:szCs w:val="20"/>
              </w:rPr>
              <w:t xml:space="preserve">0,1</w:t>
            </w:r>
            <w:r>
              <w:rPr>
                <w:rFonts w:ascii="Barlow Semi Condensed" w:cs="Barlow Semi Condensed" w:eastAsia="Barlow Semi Condensed" w:hAnsi="Barlow Semi Condensed"/>
                <w:sz w:val="20"/>
                <w:szCs w:val="20"/>
              </w:rPr>
              <w:t xml:space="preserve"> (soglia: riapribili solo per documento primario nuovo)</w:t>
            </w:r>
          </w:p>
        </w:tc>
      </w:tr>
    </w:tbl>
    <w:p>
      <w:pPr>
        <w:spacing w:after="80"/>
      </w:pPr>
    </w:p>
    <w:p>
      <w:pPr>
        <w:spacing w:after="120" w:line="276"/>
        <w:jc w:val="both"/>
      </w:pPr>
      <w:r>
        <w:rPr>
          <w:rFonts w:ascii="Barlow Semi Condensed" w:cs="Barlow Semi Condensed" w:eastAsia="Barlow Semi Condensed" w:hAnsi="Barlow Semi Condensed"/>
          <w:b/>
          <w:bCs/>
          <w:sz w:val="24"/>
          <w:szCs w:val="24"/>
        </w:rPr>
        <w:t xml:space="preserve">Le motivazioni dei giudizi estremi</w:t>
      </w:r>
      <w:r>
        <w:rPr>
          <w:rFonts w:ascii="Barlow Semi Condensed" w:cs="Barlow Semi Condensed" w:eastAsia="Barlow Semi Condensed" w:hAnsi="Barlow Semi Condensed"/>
          <w:sz w:val="24"/>
          <w:szCs w:val="24"/>
        </w:rPr>
        <w:t xml:space="preserve">, perché il modello si legga e si possa smontare. PN-1 prende il massimo su R e D perché è l'evidenza che decide la matrice ACH delle due moto ed è già in perizia nel fascicolo aperto: nessun'altra pista può spostare altrettanto. PN-7 prende 10 su U — unico della tavola — perché è l'unica pista che il tempo chiude da solo: ogni anno senza raccolta conservativa è perdita irreversibile. PN-4 prende 10 su I perché il suo esito è per costruzione interamente istituzionale: chiunque risulti nella catena informativa, non è materia del comparto escluso. PN-2 prende solo 5 su I perché il suo quesito è binario e uno dei due rami rientra nel giudicato (se il caricatore è di Morucci, la pista chiude verso il comparto escluso — il che è comunque un risultato). PN-8 prende 2 su F perché nessuna istanza può aprire oggi un archivio chiuso: il punteggio basso non è demerito della pista ma misura della sua attesa. E il </w:t>
      </w:r>
      <w:r>
        <w:rPr>
          <w:rFonts w:ascii="Barlow Semi Condensed" w:cs="Barlow Semi Condensed" w:eastAsia="Barlow Semi Condensed" w:hAnsi="Barlow Semi Condensed"/>
          <w:b/>
          <w:bCs/>
          <w:sz w:val="24"/>
          <w:szCs w:val="24"/>
        </w:rPr>
        <w:t xml:space="preserve">punteggio di soglia 0,1</w:t>
      </w:r>
      <w:r>
        <w:rPr>
          <w:rFonts w:ascii="Barlow Semi Condensed" w:cs="Barlow Semi Condensed" w:eastAsia="Barlow Semi Condensed" w:hAnsi="Barlow Semi Condensed"/>
          <w:sz w:val="24"/>
          <w:szCs w:val="24"/>
        </w:rPr>
        <w:t xml:space="preserve"> delle escluse non è uno sberleffo: è la formalizzazione del criterio di riapertura — non zero, perché un documento primario nuovo le riporterebbe in tavola; 0,1, perché fino a quel documento nessun atto è giustificato.</w:t>
      </w:r>
    </w:p>
    <w:p>
      <w:pPr>
        <w:spacing w:after="120" w:line="276"/>
        <w:jc w:val="both"/>
      </w:pPr>
      <w:r>
        <w:rPr>
          <w:rFonts w:ascii="Barlow Semi Condensed" w:cs="Barlow Semi Condensed" w:eastAsia="Barlow Semi Condensed" w:hAnsi="Barlow Semi Condensed"/>
          <w:b/>
          <w:bCs/>
          <w:sz w:val="24"/>
          <w:szCs w:val="24"/>
        </w:rPr>
        <w:t xml:space="preserve">Che cosa dice la graduatoria, letta tutta insieme.</w:t>
      </w:r>
      <w:r>
        <w:rPr>
          <w:rFonts w:ascii="Barlow Semi Condensed" w:cs="Barlow Semi Condensed" w:eastAsia="Barlow Semi Condensed" w:hAnsi="Barlow Semi Condensed"/>
          <w:sz w:val="24"/>
          <w:szCs w:val="24"/>
        </w:rPr>
        <w:t xml:space="preserve"> Le prime quattro piste (89,0 → 71,0) condividono una proprietà: sono tutte </w:t>
      </w:r>
      <w:r>
        <w:rPr>
          <w:rFonts w:ascii="Barlow Semi Condensed" w:cs="Barlow Semi Condensed" w:eastAsia="Barlow Semi Condensed" w:hAnsi="Barlow Semi Condensed"/>
          <w:b/>
          <w:bCs/>
          <w:sz w:val="24"/>
          <w:szCs w:val="24"/>
        </w:rPr>
        <w:t xml:space="preserve">verificabili con un atto singolo e datato</w:t>
      </w:r>
      <w:r>
        <w:rPr>
          <w:rFonts w:ascii="Barlow Semi Condensed" w:cs="Barlow Semi Condensed" w:eastAsia="Barlow Semi Condensed" w:hAnsi="Barlow Semi Condensed"/>
          <w:sz w:val="24"/>
          <w:szCs w:val="24"/>
        </w:rPr>
        <w:t xml:space="preserve"> — una perizia, un'escussione, un fascicolo d'archivio, un reperto. Le ultime (52,5 → 50,5) dipendono da aperture altrui o da perizie comparative lunghe. Il programma non-BR, in altre parole, non è un orizzonte vago: </w:t>
      </w:r>
      <w:r>
        <w:rPr>
          <w:rFonts w:ascii="Barlow Semi Condensed" w:cs="Barlow Semi Condensed" w:eastAsia="Barlow Semi Condensed" w:hAnsi="Barlow Semi Condensed"/>
          <w:b/>
          <w:bCs/>
          <w:sz w:val="24"/>
          <w:szCs w:val="24"/>
        </w:rPr>
        <w:t xml:space="preserve">i suoi primi quattro atti si possono compiere adesso</w:t>
      </w:r>
      <w:r>
        <w:rPr>
          <w:rFonts w:ascii="Barlow Semi Condensed" w:cs="Barlow Semi Condensed" w:eastAsia="Barlow Semi Condensed" w:hAnsi="Barlow Semi Condensed"/>
          <w:sz w:val="24"/>
          <w:szCs w:val="24"/>
        </w:rPr>
        <w:t xml:space="preserve">, e due sono già in corso nel fascicolo romano. Il punteggio è servito a questo: a trasformare un elenco in un ordine di esecuzione.</w:t>
      </w:r>
    </w:p>
    <w:p>
      <w:pPr>
        <w:pStyle w:val="Heading2"/>
        <w:spacing w:after="100" w:before="200"/>
      </w:pPr>
      <w:r>
        <w:rPr>
          <w:rFonts w:ascii="Barlow Semi Condensed" w:cs="Barlow Semi Condensed" w:eastAsia="Barlow Semi Condensed" w:hAnsi="Barlow Semi Condensed"/>
          <w:sz w:val="24"/>
          <w:szCs w:val="24"/>
        </w:rPr>
        <w:t xml:space="preserve">Capitolo III-ter — Le piste su entità e strutture (escluse BR e Superclan), con punteggio</w:t>
      </w:r>
    </w:p>
    <w:p>
      <w:pPr>
        <w:spacing w:after="120" w:line="276"/>
        <w:jc w:val="both"/>
      </w:pPr>
      <w:r>
        <w:rPr>
          <w:rFonts w:ascii="Barlow Semi Condensed" w:cs="Barlow Semi Condensed" w:eastAsia="Barlow Semi Condensed" w:hAnsi="Barlow Semi Condensed"/>
          <w:sz w:val="24"/>
          <w:szCs w:val="24"/>
        </w:rPr>
        <w:t xml:space="preserve">Su direttiva dell'autore, il programma si estende alle </w:t>
      </w:r>
      <w:r>
        <w:rPr>
          <w:rFonts w:ascii="Barlow Semi Condensed" w:cs="Barlow Semi Condensed" w:eastAsia="Barlow Semi Condensed" w:hAnsi="Barlow Semi Condensed"/>
          <w:b/>
          <w:bCs/>
          <w:sz w:val="24"/>
          <w:szCs w:val="24"/>
        </w:rPr>
        <w:t xml:space="preserve">entità e strutture</w:t>
      </w:r>
      <w:r>
        <w:rPr>
          <w:rFonts w:ascii="Barlow Semi Condensed" w:cs="Barlow Semi Condensed" w:eastAsia="Barlow Semi Condensed" w:hAnsi="Barlow Semi Condensed"/>
          <w:sz w:val="24"/>
          <w:szCs w:val="24"/>
        </w:rPr>
        <w:t xml:space="preserve"> — con la stessa esclusione (BR e Superclan restano fuori, al punteggio di soglia 0,1) e con lo stesso modello di punteggio del capitolo III-bis. Prima la regola, che qui pesa più che altrove: </w:t>
      </w:r>
      <w:r>
        <w:rPr>
          <w:rFonts w:ascii="Barlow Semi Condensed" w:cs="Barlow Semi Condensed" w:eastAsia="Barlow Semi Condensed" w:hAnsi="Barlow Semi Condensed"/>
          <w:b/>
          <w:bCs/>
          <w:sz w:val="24"/>
          <w:szCs w:val="24"/>
        </w:rPr>
        <w:t xml:space="preserve">un'entità si indaga per i suoi atti e le sue omissioni documentati, mai come colpevole</w:t>
      </w:r>
      <w:r>
        <w:rPr>
          <w:rFonts w:ascii="Barlow Semi Condensed" w:cs="Barlow Semi Condensed" w:eastAsia="Barlow Semi Condensed" w:hAnsi="Barlow Semi Condensed"/>
          <w:sz w:val="24"/>
          <w:szCs w:val="24"/>
        </w:rPr>
        <w:t xml:space="preserve">; la responsabilità istituzionale non si trasmette alle persone che ne fecero parte; le appartenenze individuali (a cominciare da quelle alla loggia P2) sono </w:t>
      </w:r>
      <w:r>
        <w:rPr>
          <w:rFonts w:ascii="Barlow Semi Condensed" w:cs="Barlow Semi Condensed" w:eastAsia="Barlow Semi Condensed" w:hAnsi="Barlow Semi Condensed"/>
          <w:b/>
          <w:bCs/>
          <w:sz w:val="24"/>
          <w:szCs w:val="24"/>
        </w:rPr>
        <w:t xml:space="preserve">fatti documentati dove le commissioni li hanno accertati</w:t>
      </w:r>
      <w:r>
        <w:rPr>
          <w:rFonts w:ascii="Barlow Semi Condensed" w:cs="Barlow Semi Condensed" w:eastAsia="Barlow Semi Condensed" w:hAnsi="Barlow Semi Condensed"/>
          <w:sz w:val="24"/>
          <w:szCs w:val="24"/>
        </w:rPr>
        <w:t xml:space="preserve"> e restano fatti — non diventano condotte nel caso; e ogni quesito resta in forma ACH, con l'atto documentale come unica via d'uscita. Ogni fondamento di questo capitolo è stato verificato su fonti prima della stesura.</w:t>
      </w:r>
    </w:p>
    <w:p>
      <w:pPr>
        <w:spacing w:after="120" w:line="276"/>
        <w:jc w:val="both"/>
      </w:pPr>
      <w:r>
        <w:rPr>
          <w:rFonts w:ascii="Barlow Semi Condensed" w:cs="Barlow Semi Condensed" w:eastAsia="Barlow Semi Condensed" w:hAnsi="Barlow Semi Condensed"/>
          <w:b/>
          <w:bCs/>
          <w:sz w:val="24"/>
          <w:szCs w:val="24"/>
        </w:rPr>
        <w:t xml:space="preserve">PE-1 — Il comitato del Viminale e le appartenenze P2</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(punteggio 74,5 · R8 D8 F8 U3 I10)</w:t>
      </w:r>
      <w:r>
        <w:rPr>
          <w:rFonts w:ascii="Barlow Semi Condensed" w:cs="Barlow Semi Condensed" w:eastAsia="Barlow Semi Condensed" w:hAnsi="Barlow Semi Condensed"/>
          <w:sz w:val="24"/>
          <w:szCs w:val="24"/>
        </w:rPr>
        <w:t xml:space="preserve">. Fondamento verificato: il </w:t>
      </w:r>
      <w:r>
        <w:rPr>
          <w:rFonts w:ascii="Barlow Semi Condensed" w:cs="Barlow Semi Condensed" w:eastAsia="Barlow Semi Condensed" w:hAnsi="Barlow Semi Condensed"/>
          <w:b/>
          <w:bCs/>
          <w:sz w:val="24"/>
          <w:szCs w:val="24"/>
        </w:rPr>
        <w:t xml:space="preserve">16 marzo 1978</w:t>
      </w:r>
      <w:r>
        <w:rPr>
          <w:rFonts w:ascii="Barlow Semi Condensed" w:cs="Barlow Semi Condensed" w:eastAsia="Barlow Semi Condensed" w:hAnsi="Barlow Semi Condensed"/>
          <w:sz w:val="24"/>
          <w:szCs w:val="24"/>
        </w:rPr>
        <w:t xml:space="preserve"> il ministro dell'Interno Cossiga istituì e presiedette al Viminale il </w:t>
      </w:r>
      <w:r>
        <w:rPr>
          <w:rFonts w:ascii="Barlow Semi Condensed" w:cs="Barlow Semi Condensed" w:eastAsia="Barlow Semi Condensed" w:hAnsi="Barlow Semi Condensed"/>
          <w:b/>
          <w:bCs/>
          <w:sz w:val="24"/>
          <w:szCs w:val="24"/>
        </w:rPr>
        <w:t xml:space="preserve">comitato politico-tecnico-operativo</w:t>
      </w:r>
      <w:r>
        <w:rPr>
          <w:rFonts w:ascii="Barlow Semi Condensed" w:cs="Barlow Semi Condensed" w:eastAsia="Barlow Semi Condensed" w:hAnsi="Barlow Semi Condensed"/>
          <w:sz w:val="24"/>
          <w:szCs w:val="24"/>
        </w:rPr>
        <w:t xml:space="preserve"> per il coordinamento delle ricerche; la composizione del comitato tecnico-operativo è documentata (Lettieri, Parlato, </w:t>
      </w:r>
      <w:r>
        <w:rPr>
          <w:rFonts w:ascii="Barlow Semi Condensed" w:cs="Barlow Semi Condensed" w:eastAsia="Barlow Semi Condensed" w:hAnsi="Barlow Semi Condensed"/>
          <w:b/>
          <w:bCs/>
          <w:sz w:val="24"/>
          <w:szCs w:val="24"/>
        </w:rPr>
        <w:t xml:space="preserve">Grassini</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b/>
          <w:bCs/>
          <w:sz w:val="24"/>
          <w:szCs w:val="24"/>
        </w:rPr>
        <w:t xml:space="preserve">Santovito</w:t>
      </w:r>
      <w:r>
        <w:rPr>
          <w:rFonts w:ascii="Barlow Semi Condensed" w:cs="Barlow Semi Condensed" w:eastAsia="Barlow Semi Condensed" w:hAnsi="Barlow Semi Condensed"/>
          <w:sz w:val="24"/>
          <w:szCs w:val="24"/>
        </w:rPr>
        <w:t xml:space="preserve">, poi Pelosi, Corsini, Ferrara, De Sena, De Francesco); il generale </w:t>
      </w:r>
      <w:r>
        <w:rPr>
          <w:rFonts w:ascii="Barlow Semi Condensed" w:cs="Barlow Semi Condensed" w:eastAsia="Barlow Semi Condensed" w:hAnsi="Barlow Semi Condensed"/>
          <w:b/>
          <w:bCs/>
          <w:sz w:val="24"/>
          <w:szCs w:val="24"/>
        </w:rPr>
        <w:t xml:space="preserve">Giuseppe Santovito</w:t>
      </w:r>
      <w:r>
        <w:rPr>
          <w:rFonts w:ascii="Barlow Semi Condensed" w:cs="Barlow Semi Condensed" w:eastAsia="Barlow Semi Condensed" w:hAnsi="Barlow Semi Condensed"/>
          <w:sz w:val="24"/>
          <w:szCs w:val="24"/>
        </w:rPr>
        <w:t xml:space="preserve"> (SISMI) risulta negli elenchi P2 con </w:t>
      </w:r>
      <w:r>
        <w:rPr>
          <w:rFonts w:ascii="Barlow Semi Condensed" w:cs="Barlow Semi Condensed" w:eastAsia="Barlow Semi Condensed" w:hAnsi="Barlow Semi Condensed"/>
          <w:b/>
          <w:bCs/>
          <w:sz w:val="24"/>
          <w:szCs w:val="24"/>
        </w:rPr>
        <w:t xml:space="preserve">tessera 1630</w:t>
      </w:r>
      <w:r>
        <w:rPr>
          <w:rFonts w:ascii="Barlow Semi Condensed" w:cs="Barlow Semi Condensed" w:eastAsia="Barlow Semi Condensed" w:hAnsi="Barlow Semi Condensed"/>
          <w:sz w:val="24"/>
          <w:szCs w:val="24"/>
        </w:rPr>
        <w:t xml:space="preserve">, e il generale </w:t>
      </w:r>
      <w:r>
        <w:rPr>
          <w:rFonts w:ascii="Barlow Semi Condensed" w:cs="Barlow Semi Condensed" w:eastAsia="Barlow Semi Condensed" w:hAnsi="Barlow Semi Condensed"/>
          <w:b/>
          <w:bCs/>
          <w:sz w:val="24"/>
          <w:szCs w:val="24"/>
        </w:rPr>
        <w:t xml:space="preserve">Giulio Grassini</w:t>
      </w:r>
      <w:r>
        <w:rPr>
          <w:rFonts w:ascii="Barlow Semi Condensed" w:cs="Barlow Semi Condensed" w:eastAsia="Barlow Semi Condensed" w:hAnsi="Barlow Semi Condensed"/>
          <w:sz w:val="24"/>
          <w:szCs w:val="24"/>
        </w:rPr>
        <w:t xml:space="preserve"> (SISDE) parimenti negli elenchi; la Commissione Anselmi accertò inoltre la </w:t>
      </w:r>
      <w:r>
        <w:rPr>
          <w:rFonts w:ascii="Barlow Semi Condensed" w:cs="Barlow Semi Condensed" w:eastAsia="Barlow Semi Condensed" w:hAnsi="Barlow Semi Condensed"/>
          <w:b/>
          <w:bCs/>
          <w:sz w:val="24"/>
          <w:szCs w:val="24"/>
        </w:rPr>
        <w:t xml:space="preserve">concentrazione di fatto delle indagini al Viminale</w:t>
      </w:r>
      <w:r>
        <w:rPr>
          <w:rFonts w:ascii="Barlow Semi Condensed" w:cs="Barlow Semi Condensed" w:eastAsia="Barlow Semi Condensed" w:hAnsi="Barlow Semi Condensed"/>
          <w:sz w:val="24"/>
          <w:szCs w:val="24"/>
        </w:rPr>
        <w:t xml:space="preserve">, con menomazione dell'autonomia dell'autorità giudiziaria (grado B) (studio su fondi ministeriali, memoria.cultura.gov.it (https://memoria.cultura.gov.it/documents/37629/88652/Il+senso+dello+Stato+nel+caso+Moro.pdf/2aa0ece5-3c0e-1d63-c4e8-8769062b5cf3); ANSA (https://www.ansa.it/sito/notizie/speciali/2018/03/12/moro-le-carte-della-commissione-presto-ai-pm_cfadce04-ac8f-4c28-b7f5-2cd249804b76.html)). Circola da decenni la tesi più forte — i comitati «interamente composti» da iscritti — che è precisamente </w:t>
      </w:r>
      <w:r>
        <w:rPr>
          <w:rFonts w:ascii="Barlow Semi Condensed" w:cs="Barlow Semi Condensed" w:eastAsia="Barlow Semi Condensed" w:hAnsi="Barlow Semi Condensed"/>
          <w:b/>
          <w:bCs/>
          <w:sz w:val="24"/>
          <w:szCs w:val="24"/>
        </w:rPr>
        <w:t xml:space="preserve">ciò che la pista deve verificare invece di ripetere</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atto:</w:t>
      </w:r>
      <w:r>
        <w:rPr>
          <w:rFonts w:ascii="Barlow Semi Condensed" w:cs="Barlow Semi Condensed" w:eastAsia="Barlow Semi Condensed" w:hAnsi="Barlow Semi Condensed"/>
          <w:sz w:val="24"/>
          <w:szCs w:val="24"/>
        </w:rPr>
        <w:t xml:space="preserve"> censimento nominativo documentale completo — l'incrocio fra gli elenchi di Castiglion Fibocchi e la composizione di </w:t>
      </w:r>
      <w:r>
        <w:rPr>
          <w:rFonts w:ascii="Barlow Semi Condensed" w:cs="Barlow Semi Condensed" w:eastAsia="Barlow Semi Condensed" w:hAnsi="Barlow Semi Condensed"/>
          <w:i/>
          <w:iCs/>
          <w:sz w:val="24"/>
          <w:szCs w:val="24"/>
        </w:rPr>
        <w:t xml:space="preserve">tutti</w:t>
      </w:r>
      <w:r>
        <w:rPr>
          <w:rFonts w:ascii="Barlow Semi Condensed" w:cs="Barlow Semi Condensed" w:eastAsia="Barlow Semi Condensed" w:hAnsi="Barlow Semi Condensed"/>
          <w:sz w:val="24"/>
          <w:szCs w:val="24"/>
        </w:rPr>
        <w:t xml:space="preserve"> i comitati e sottocomitati dei 55 giorni — sugli atti Anselmi e sul fondo Direttiva Renzi. </w:t>
      </w:r>
      <w:r>
        <w:rPr>
          <w:rFonts w:ascii="Barlow Semi Condensed" w:cs="Barlow Semi Condensed" w:eastAsia="Barlow Semi Condensed" w:hAnsi="Barlow Semi Condensed"/>
          <w:i/>
          <w:iCs/>
          <w:sz w:val="24"/>
          <w:szCs w:val="24"/>
        </w:rPr>
        <w:t xml:space="preserve">Chiusura:</w:t>
      </w:r>
      <w:r>
        <w:rPr>
          <w:rFonts w:ascii="Barlow Semi Condensed" w:cs="Barlow Semi Condensed" w:eastAsia="Barlow Semi Condensed" w:hAnsi="Barlow Semi Condensed"/>
          <w:sz w:val="24"/>
          <w:szCs w:val="24"/>
        </w:rPr>
        <w:t xml:space="preserve"> la tavola nominale completa, qualunque percentuale ne risulti; con la regola scolpita che l'iscrizione accertata di un membro è un fatto (F/B) e </w:t>
      </w:r>
      <w:r>
        <w:rPr>
          <w:rFonts w:ascii="Barlow Semi Condensed" w:cs="Barlow Semi Condensed" w:eastAsia="Barlow Semi Condensed" w:hAnsi="Barlow Semi Condensed"/>
          <w:b/>
          <w:bCs/>
          <w:sz w:val="24"/>
          <w:szCs w:val="24"/>
        </w:rPr>
        <w:t xml:space="preserve">non è la prova di alcuna condotta nel caso</w:t>
      </w:r>
      <w:r>
        <w:rPr>
          <w:rFonts w:ascii="Barlow Semi Condensed" w:cs="Barlow Semi Condensed" w:eastAsia="Barlow Semi Condensed" w:hAnsi="Barlow Semi Condensed"/>
          <w:sz w:val="24"/>
          <w:szCs w:val="24"/>
        </w:rPr>
        <w:t xml:space="preserve">.</w:t>
      </w:r>
    </w:p>
    <w:p>
      <w:pPr>
        <w:spacing w:after="120" w:line="276"/>
        <w:jc w:val="both"/>
      </w:pPr>
      <w:r>
        <w:rPr>
          <w:rFonts w:ascii="Barlow Semi Condensed" w:cs="Barlow Semi Condensed" w:eastAsia="Barlow Semi Condensed" w:hAnsi="Barlow Semi Condensed"/>
          <w:b/>
          <w:bCs/>
          <w:sz w:val="24"/>
          <w:szCs w:val="24"/>
        </w:rPr>
        <w:t xml:space="preserve">PE-3 — La catena di comando del 18 marzo a via Gradoli</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(punteggio 74,5 · R9 D8 F7 U3 I9)</w:t>
      </w:r>
      <w:r>
        <w:rPr>
          <w:rFonts w:ascii="Barlow Semi Condensed" w:cs="Barlow Semi Condensed" w:eastAsia="Barlow Semi Condensed" w:hAnsi="Barlow Semi Condensed"/>
          <w:sz w:val="24"/>
          <w:szCs w:val="24"/>
        </w:rPr>
        <w:t xml:space="preserve">. Fondamento verificato: il </w:t>
      </w:r>
      <w:r>
        <w:rPr>
          <w:rFonts w:ascii="Barlow Semi Condensed" w:cs="Barlow Semi Condensed" w:eastAsia="Barlow Semi Condensed" w:hAnsi="Barlow Semi Condensed"/>
          <w:b/>
          <w:bCs/>
          <w:sz w:val="24"/>
          <w:szCs w:val="24"/>
        </w:rPr>
        <w:t xml:space="preserve">18 marzo 1978</w:t>
      </w:r>
      <w:r>
        <w:rPr>
          <w:rFonts w:ascii="Barlow Semi Condensed" w:cs="Barlow Semi Condensed" w:eastAsia="Barlow Semi Condensed" w:hAnsi="Barlow Semi Condensed"/>
          <w:sz w:val="24"/>
          <w:szCs w:val="24"/>
        </w:rPr>
        <w:t xml:space="preserve"> una squadra del commissariato Flaminio Nuovo, guidata dal brigadiere </w:t>
      </w:r>
      <w:r>
        <w:rPr>
          <w:rFonts w:ascii="Barlow Semi Condensed" w:cs="Barlow Semi Condensed" w:eastAsia="Barlow Semi Condensed" w:hAnsi="Barlow Semi Condensed"/>
          <w:b/>
          <w:bCs/>
          <w:sz w:val="24"/>
          <w:szCs w:val="24"/>
        </w:rPr>
        <w:t xml:space="preserve">Domenico Merola</w:t>
      </w:r>
      <w:r>
        <w:rPr>
          <w:rFonts w:ascii="Barlow Semi Condensed" w:cs="Barlow Semi Condensed" w:eastAsia="Barlow Semi Condensed" w:hAnsi="Barlow Semi Condensed"/>
          <w:sz w:val="24"/>
          <w:szCs w:val="24"/>
        </w:rPr>
        <w:t xml:space="preserve">, effettuò controlli nello stabile di via Gradoli 96; all'</w:t>
      </w:r>
      <w:r>
        <w:rPr>
          <w:rFonts w:ascii="Barlow Semi Condensed" w:cs="Barlow Semi Condensed" w:eastAsia="Barlow Semi Condensed" w:hAnsi="Barlow Semi Condensed"/>
          <w:b/>
          <w:bCs/>
          <w:sz w:val="24"/>
          <w:szCs w:val="24"/>
        </w:rPr>
        <w:t xml:space="preserve">interno 11</w:t>
      </w:r>
      <w:r>
        <w:rPr>
          <w:rFonts w:ascii="Barlow Semi Condensed" w:cs="Barlow Semi Condensed" w:eastAsia="Barlow Semi Condensed" w:hAnsi="Barlow Semi Condensed"/>
          <w:sz w:val="24"/>
          <w:szCs w:val="24"/>
        </w:rPr>
        <w:t xml:space="preserve"> — il covo — </w:t>
      </w:r>
      <w:r>
        <w:rPr>
          <w:rFonts w:ascii="Barlow Semi Condensed" w:cs="Barlow Semi Condensed" w:eastAsia="Barlow Semi Condensed" w:hAnsi="Barlow Semi Condensed"/>
          <w:b/>
          <w:bCs/>
          <w:sz w:val="24"/>
          <w:szCs w:val="24"/>
        </w:rPr>
        <w:t xml:space="preserve">nessuno rispose al campanello e la squadra non entrò</w:t>
      </w:r>
      <w:r>
        <w:rPr>
          <w:rFonts w:ascii="Barlow Semi Condensed" w:cs="Barlow Semi Condensed" w:eastAsia="Barlow Semi Condensed" w:hAnsi="Barlow Semi Condensed"/>
          <w:sz w:val="24"/>
          <w:szCs w:val="24"/>
        </w:rPr>
        <w:t xml:space="preserve">; un'informatrice della polizia, </w:t>
      </w:r>
      <w:r>
        <w:rPr>
          <w:rFonts w:ascii="Barlow Semi Condensed" w:cs="Barlow Semi Condensed" w:eastAsia="Barlow Semi Condensed" w:hAnsi="Barlow Semi Condensed"/>
          <w:b/>
          <w:bCs/>
          <w:sz w:val="24"/>
          <w:szCs w:val="24"/>
        </w:rPr>
        <w:t xml:space="preserve">Lucia Mokbel</w:t>
      </w:r>
      <w:r>
        <w:rPr>
          <w:rFonts w:ascii="Barlow Semi Condensed" w:cs="Barlow Semi Condensed" w:eastAsia="Barlow Semi Condensed" w:hAnsi="Barlow Semi Condensed"/>
          <w:sz w:val="24"/>
          <w:szCs w:val="24"/>
        </w:rPr>
        <w:t xml:space="preserve">, aveva segnalato con una nota rumori sospetti provenienti proprio da quell'appartamento; del controllo fallito le autorità si avvidero </w:t>
      </w:r>
      <w:r>
        <w:rPr>
          <w:rFonts w:ascii="Barlow Semi Condensed" w:cs="Barlow Semi Condensed" w:eastAsia="Barlow Semi Condensed" w:hAnsi="Barlow Semi Condensed"/>
          <w:b/>
          <w:bCs/>
          <w:sz w:val="24"/>
          <w:szCs w:val="24"/>
        </w:rPr>
        <w:t xml:space="preserve">solo dopo il 18 aprile</w:t>
      </w:r>
      <w:r>
        <w:rPr>
          <w:rFonts w:ascii="Barlow Semi Condensed" w:cs="Barlow Semi Condensed" w:eastAsia="Barlow Semi Condensed" w:hAnsi="Barlow Semi Condensed"/>
          <w:sz w:val="24"/>
          <w:szCs w:val="24"/>
        </w:rPr>
        <w:t xml:space="preserve"> (relazione Moro 2, «I covi e la morte di Moro» (https://documenti.camera.it/_dati/leg17/lavori/documentiparlamentari/indiceetesti/023/029/00000015.pdf); Anni Affollati (https://www.anniaffollati.it/sezioni/sotto-un-dominio-caso-moro/via-gradoli/menu-via-gradoli.html)). </w:t>
      </w:r>
      <w:r>
        <w:rPr>
          <w:rFonts w:ascii="Barlow Semi Condensed" w:cs="Barlow Semi Condensed" w:eastAsia="Barlow Semi Condensed" w:hAnsi="Barlow Semi Condensed"/>
          <w:i/>
          <w:iCs/>
          <w:sz w:val="24"/>
          <w:szCs w:val="24"/>
        </w:rPr>
        <w:t xml:space="preserve">Quesito impersonale:</w:t>
      </w:r>
      <w:r>
        <w:rPr>
          <w:rFonts w:ascii="Barlow Semi Condensed" w:cs="Barlow Semi Condensed" w:eastAsia="Barlow Semi Condensed" w:hAnsi="Barlow Semi Condensed"/>
          <w:sz w:val="24"/>
          <w:szCs w:val="24"/>
        </w:rPr>
        <w:t xml:space="preserve"> il percorso della nota Mokbel (chi la ricevette, che disposizioni generò), le istruzioni operative della squadra (perché senza mandato di apertura, perché senza ritorno), i verbali del 18 marzo e la loro circolazione. </w:t>
      </w:r>
      <w:r>
        <w:rPr>
          <w:rFonts w:ascii="Barlow Semi Condensed" w:cs="Barlow Semi Condensed" w:eastAsia="Barlow Semi Condensed" w:hAnsi="Barlow Semi Condensed"/>
          <w:i/>
          <w:iCs/>
          <w:sz w:val="24"/>
          <w:szCs w:val="24"/>
        </w:rPr>
        <w:t xml:space="preserve">Atto:</w:t>
      </w:r>
      <w:r>
        <w:rPr>
          <w:rFonts w:ascii="Barlow Semi Condensed" w:cs="Barlow Semi Condensed" w:eastAsia="Barlow Semi Condensed" w:hAnsi="Barlow Semi Condensed"/>
          <w:sz w:val="24"/>
          <w:szCs w:val="24"/>
        </w:rPr>
        <w:t xml:space="preserve"> ricostruzione documentale della catena — questura, UCIGOS, Viminale — sugli atti versati. </w:t>
      </w:r>
      <w:r>
        <w:rPr>
          <w:rFonts w:ascii="Barlow Semi Condensed" w:cs="Barlow Semi Condensed" w:eastAsia="Barlow Semi Condensed" w:hAnsi="Barlow Semi Condensed"/>
          <w:i/>
          <w:iCs/>
          <w:sz w:val="24"/>
          <w:szCs w:val="24"/>
        </w:rPr>
        <w:t xml:space="preserve">Chiusura:</w:t>
      </w:r>
      <w:r>
        <w:rPr>
          <w:rFonts w:ascii="Barlow Semi Condensed" w:cs="Barlow Semi Condensed" w:eastAsia="Barlow Semi Condensed" w:hAnsi="Barlow Semi Condensed"/>
          <w:sz w:val="24"/>
          <w:szCs w:val="24"/>
        </w:rPr>
        <w:t xml:space="preserve"> la catena ricostruita; o l'assenza dei suoi anelli, che sarebbe essa stessa l'esito.</w:t>
      </w:r>
    </w:p>
    <w:p>
      <w:pPr>
        <w:spacing w:after="120" w:line="276"/>
        <w:jc w:val="both"/>
      </w:pPr>
      <w:r>
        <w:rPr>
          <w:rFonts w:ascii="Barlow Semi Condensed" w:cs="Barlow Semi Condensed" w:eastAsia="Barlow Semi Condensed" w:hAnsi="Barlow Semi Condensed"/>
          <w:b/>
          <w:bCs/>
          <w:sz w:val="24"/>
          <w:szCs w:val="24"/>
        </w:rPr>
        <w:t xml:space="preserve">PE-2 — Gli assetti proprietari dello stabile di via Gradoli 96</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(punteggio 67,5 · R8 D7 F7 U2 I9)</w:t>
      </w:r>
      <w:r>
        <w:rPr>
          <w:rFonts w:ascii="Barlow Semi Condensed" w:cs="Barlow Semi Condensed" w:eastAsia="Barlow Semi Condensed" w:hAnsi="Barlow Semi Condensed"/>
          <w:sz w:val="24"/>
          <w:szCs w:val="24"/>
        </w:rPr>
        <w:t xml:space="preserve">. Fondamento verificato: dei 66 appartamenti dello stabile, </w:t>
      </w:r>
      <w:r>
        <w:rPr>
          <w:rFonts w:ascii="Barlow Semi Condensed" w:cs="Barlow Semi Condensed" w:eastAsia="Barlow Semi Condensed" w:hAnsi="Barlow Semi Condensed"/>
          <w:b/>
          <w:bCs/>
          <w:sz w:val="24"/>
          <w:szCs w:val="24"/>
        </w:rPr>
        <w:t xml:space="preserve">24 risultavano di società immobiliari</w:t>
      </w:r>
      <w:r>
        <w:rPr>
          <w:rFonts w:ascii="Barlow Semi Condensed" w:cs="Barlow Semi Condensed" w:eastAsia="Barlow Semi Condensed" w:hAnsi="Barlow Semi Condensed"/>
          <w:sz w:val="24"/>
          <w:szCs w:val="24"/>
        </w:rPr>
        <w:t xml:space="preserve"> — fra cui Monte Valle Verde srl, Caseroma srl, Gradoli spa — </w:t>
      </w:r>
      <w:r>
        <w:rPr>
          <w:rFonts w:ascii="Barlow Semi Condensed" w:cs="Barlow Semi Condensed" w:eastAsia="Barlow Semi Condensed" w:hAnsi="Barlow Semi Condensed"/>
          <w:b/>
          <w:bCs/>
          <w:sz w:val="24"/>
          <w:szCs w:val="24"/>
        </w:rPr>
        <w:t xml:space="preserve">i cui amministratori comprendevano fiduciari dei servizi</w:t>
      </w:r>
      <w:r>
        <w:rPr>
          <w:rFonts w:ascii="Barlow Semi Condensed" w:cs="Barlow Semi Condensed" w:eastAsia="Barlow Semi Condensed" w:hAnsi="Barlow Semi Condensed"/>
          <w:sz w:val="24"/>
          <w:szCs w:val="24"/>
        </w:rPr>
        <w:t xml:space="preserve"> (relazione Moro 2, cit.; per il quadro: archivio900, </w:t>
      </w:r>
      <w:r>
        <w:rPr>
          <w:rFonts w:ascii="Barlow Semi Condensed" w:cs="Barlow Semi Condensed" w:eastAsia="Barlow Semi Condensed" w:hAnsi="Barlow Semi Condensed"/>
          <w:i/>
          <w:iCs/>
          <w:sz w:val="24"/>
          <w:szCs w:val="24"/>
        </w:rPr>
        <w:t xml:space="preserve">Il covo di Stato</w:t>
      </w:r>
      <w:r>
        <w:rPr>
          <w:rFonts w:ascii="Barlow Semi Condensed" w:cs="Barlow Semi Condensed" w:eastAsia="Barlow Semi Condensed" w:hAnsi="Barlow Semi Condensed"/>
          <w:sz w:val="24"/>
          <w:szCs w:val="24"/>
        </w:rPr>
        <w:t xml:space="preserve"> (https://www.archivio900.it/it/libri/lib.aspx?id=407)). </w:t>
      </w:r>
      <w:r>
        <w:rPr>
          <w:rFonts w:ascii="Barlow Semi Condensed" w:cs="Barlow Semi Condensed" w:eastAsia="Barlow Semi Condensed" w:hAnsi="Barlow Semi Condensed"/>
          <w:i/>
          <w:iCs/>
          <w:sz w:val="24"/>
          <w:szCs w:val="24"/>
        </w:rPr>
        <w:t xml:space="preserve">Quesito impersonale, in forma ACH:</w:t>
      </w:r>
      <w:r>
        <w:rPr>
          <w:rFonts w:ascii="Barlow Semi Condensed" w:cs="Barlow Semi Condensed" w:eastAsia="Barlow Semi Condensed" w:hAnsi="Barlow Semi Condensed"/>
          <w:sz w:val="24"/>
          <w:szCs w:val="24"/>
        </w:rPr>
        <w:t xml:space="preserve"> coabitazione casuale del covo con le coperture immobiliari, o ambiente in qualche misura noto? Nessuna evidenza disponibile discrimina — e la pista serve a produrla. </w:t>
      </w:r>
      <w:r>
        <w:rPr>
          <w:rFonts w:ascii="Barlow Semi Condensed" w:cs="Barlow Semi Condensed" w:eastAsia="Barlow Semi Condensed" w:hAnsi="Barlow Semi Condensed"/>
          <w:i/>
          <w:iCs/>
          <w:sz w:val="24"/>
          <w:szCs w:val="24"/>
        </w:rPr>
        <w:t xml:space="preserve">Atto:</w:t>
      </w:r>
      <w:r>
        <w:rPr>
          <w:rFonts w:ascii="Barlow Semi Condensed" w:cs="Barlow Semi Condensed" w:eastAsia="Barlow Semi Condensed" w:hAnsi="Barlow Semi Condensed"/>
          <w:sz w:val="24"/>
          <w:szCs w:val="24"/>
        </w:rPr>
        <w:t xml:space="preserve"> ricostruzione integrale catasto-conservatoria-registri societari 1970-1978 (acquisti, venditori, amministratori, locazioni), incrociata con la locazione dell'interno 11 all'inquilino «ing. Borghi». </w:t>
      </w:r>
      <w:r>
        <w:rPr>
          <w:rFonts w:ascii="Barlow Semi Condensed" w:cs="Barlow Semi Condensed" w:eastAsia="Barlow Semi Condensed" w:hAnsi="Barlow Semi Condensed"/>
          <w:i/>
          <w:iCs/>
          <w:sz w:val="24"/>
          <w:szCs w:val="24"/>
        </w:rPr>
        <w:t xml:space="preserve">Chiusura:</w:t>
      </w:r>
      <w:r>
        <w:rPr>
          <w:rFonts w:ascii="Barlow Semi Condensed" w:cs="Barlow Semi Condensed" w:eastAsia="Barlow Semi Condensed" w:hAnsi="Barlow Semi Condensed"/>
          <w:sz w:val="24"/>
          <w:szCs w:val="24"/>
        </w:rPr>
        <w:t xml:space="preserve"> la mappa proprietaria completa dello stabile, qualunque cosa mostri.</w:t>
      </w:r>
    </w:p>
    <w:p>
      <w:pPr>
        <w:spacing w:after="120" w:line="276"/>
        <w:jc w:val="both"/>
      </w:pPr>
      <w:r>
        <w:rPr>
          <w:rFonts w:ascii="Barlow Semi Condensed" w:cs="Barlow Semi Condensed" w:eastAsia="Barlow Semi Condensed" w:hAnsi="Barlow Semi Condensed"/>
          <w:b/>
          <w:bCs/>
          <w:sz w:val="24"/>
          <w:szCs w:val="24"/>
        </w:rPr>
        <w:t xml:space="preserve">PE-6 — Il registro delle segnalazioni dei 55 giorni (UCIGOS/Viminale)</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(punteggio 61,0 · R7 D5 F7 U3 I9)</w:t>
      </w:r>
      <w:r>
        <w:rPr>
          <w:rFonts w:ascii="Barlow Semi Condensed" w:cs="Barlow Semi Condensed" w:eastAsia="Barlow Semi Condensed" w:hAnsi="Barlow Semi Condensed"/>
          <w:sz w:val="24"/>
          <w:szCs w:val="24"/>
        </w:rPr>
        <w:t xml:space="preserve">. La generalizzazione di PN-4 e PE-3: non le singole segnalazioni celebri, ma </w:t>
      </w:r>
      <w:r>
        <w:rPr>
          <w:rFonts w:ascii="Barlow Semi Condensed" w:cs="Barlow Semi Condensed" w:eastAsia="Barlow Semi Condensed" w:hAnsi="Barlow Semi Condensed"/>
          <w:b/>
          <w:bCs/>
          <w:sz w:val="24"/>
          <w:szCs w:val="24"/>
        </w:rPr>
        <w:t xml:space="preserve">il registro complessivo</w:t>
      </w:r>
      <w:r>
        <w:rPr>
          <w:rFonts w:ascii="Barlow Semi Condensed" w:cs="Barlow Semi Condensed" w:eastAsia="Barlow Semi Condensed" w:hAnsi="Barlow Semi Condensed"/>
          <w:sz w:val="24"/>
          <w:szCs w:val="24"/>
        </w:rPr>
        <w:t xml:space="preserve"> — quante segnalazioni giunsero nei 55 giorni, come furono protocollate, quali ebbero seguito e quali no, con quali criteri. </w:t>
      </w:r>
      <w:r>
        <w:rPr>
          <w:rFonts w:ascii="Barlow Semi Condensed" w:cs="Barlow Semi Condensed" w:eastAsia="Barlow Semi Condensed" w:hAnsi="Barlow Semi Condensed"/>
          <w:i/>
          <w:iCs/>
          <w:sz w:val="24"/>
          <w:szCs w:val="24"/>
        </w:rPr>
        <w:t xml:space="preserve">Atto:</w:t>
      </w:r>
      <w:r>
        <w:rPr>
          <w:rFonts w:ascii="Barlow Semi Condensed" w:cs="Barlow Semi Condensed" w:eastAsia="Barlow Semi Condensed" w:hAnsi="Barlow Semi Condensed"/>
          <w:sz w:val="24"/>
          <w:szCs w:val="24"/>
        </w:rPr>
        <w:t xml:space="preserve"> spoglio dei versamenti del Viminale nel fondo Direttiva Renzi. </w:t>
      </w:r>
      <w:r>
        <w:rPr>
          <w:rFonts w:ascii="Barlow Semi Condensed" w:cs="Barlow Semi Condensed" w:eastAsia="Barlow Semi Condensed" w:hAnsi="Barlow Semi Condensed"/>
          <w:i/>
          <w:iCs/>
          <w:sz w:val="24"/>
          <w:szCs w:val="24"/>
        </w:rPr>
        <w:t xml:space="preserve">Chiusura:</w:t>
      </w:r>
      <w:r>
        <w:rPr>
          <w:rFonts w:ascii="Barlow Semi Condensed" w:cs="Barlow Semi Condensed" w:eastAsia="Barlow Semi Condensed" w:hAnsi="Barlow Semi Condensed"/>
          <w:sz w:val="24"/>
          <w:szCs w:val="24"/>
        </w:rPr>
        <w:t xml:space="preserve"> la statistica documentale degli esiti — il tasso di seguito delle segnalazioni è un dato che nessuna commissione ha mai prodotto.</w:t>
      </w:r>
    </w:p>
    <w:p>
      <w:pPr>
        <w:spacing w:after="120" w:line="276"/>
        <w:jc w:val="both"/>
      </w:pPr>
      <w:r>
        <w:rPr>
          <w:rFonts w:ascii="Barlow Semi Condensed" w:cs="Barlow Semi Condensed" w:eastAsia="Barlow Semi Condensed" w:hAnsi="Barlow Semi Condensed"/>
          <w:b/>
          <w:bCs/>
          <w:sz w:val="24"/>
          <w:szCs w:val="24"/>
        </w:rPr>
        <w:t xml:space="preserve">PE-5 — Gli alleati: il traffico di cablo marzo-maggio 1978</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(punteggio 59,5 · R7 D5 F7 U2 I9)</w:t>
      </w:r>
      <w:r>
        <w:rPr>
          <w:rFonts w:ascii="Barlow Semi Condensed" w:cs="Barlow Semi Condensed" w:eastAsia="Barlow Semi Condensed" w:hAnsi="Barlow Semi Condensed"/>
          <w:sz w:val="24"/>
          <w:szCs w:val="24"/>
        </w:rPr>
        <w:t xml:space="preserve">. Il corpus possiede già i primi cable declassificati del Dipartimento di Stato (i documenti del lotto archiviato nella cartella Farnesina). </w:t>
      </w:r>
      <w:r>
        <w:rPr>
          <w:rFonts w:ascii="Barlow Semi Condensed" w:cs="Barlow Semi Condensed" w:eastAsia="Barlow Semi Condensed" w:hAnsi="Barlow Semi Condensed"/>
          <w:i/>
          <w:iCs/>
          <w:sz w:val="24"/>
          <w:szCs w:val="24"/>
        </w:rPr>
        <w:t xml:space="preserve">Atto:</w:t>
      </w:r>
      <w:r>
        <w:rPr>
          <w:rFonts w:ascii="Barlow Semi Condensed" w:cs="Barlow Semi Condensed" w:eastAsia="Barlow Semi Condensed" w:hAnsi="Barlow Semi Condensed"/>
          <w:sz w:val="24"/>
          <w:szCs w:val="24"/>
        </w:rPr>
        <w:t xml:space="preserve"> richieste FOIA sistematiche sul traffico Roma-Washington dei 55 giorni ancora classificato od omissato, con gli identificativi di serie già noti dai documenti in possesso. </w:t>
      </w:r>
      <w:r>
        <w:rPr>
          <w:rFonts w:ascii="Barlow Semi Condensed" w:cs="Barlow Semi Condensed" w:eastAsia="Barlow Semi Condensed" w:hAnsi="Barlow Semi Condensed"/>
          <w:i/>
          <w:iCs/>
          <w:sz w:val="24"/>
          <w:szCs w:val="24"/>
        </w:rPr>
        <w:t xml:space="preserve">Chiusura:</w:t>
      </w:r>
      <w:r>
        <w:rPr>
          <w:rFonts w:ascii="Barlow Semi Condensed" w:cs="Barlow Semi Condensed" w:eastAsia="Barlow Semi Condensed" w:hAnsi="Barlow Semi Condensed"/>
          <w:sz w:val="24"/>
          <w:szCs w:val="24"/>
        </w:rPr>
        <w:t xml:space="preserve"> il rilascio, o il diniego motivato — che in regime FOIA è a sua volta un documento.</w:t>
      </w:r>
    </w:p>
    <w:p>
      <w:pPr>
        <w:spacing w:after="120" w:line="276"/>
        <w:jc w:val="both"/>
      </w:pPr>
      <w:r>
        <w:rPr>
          <w:rFonts w:ascii="Barlow Semi Condensed" w:cs="Barlow Semi Condensed" w:eastAsia="Barlow Semi Condensed" w:hAnsi="Barlow Semi Condensed"/>
          <w:b/>
          <w:bCs/>
          <w:sz w:val="24"/>
          <w:szCs w:val="24"/>
        </w:rPr>
        <w:t xml:space="preserve">PE-4 — La mediazione vaticana e la sorte del riscatto</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(punteggio 54,0 · R7 D5 F4 U3 I8)</w:t>
      </w:r>
      <w:r>
        <w:rPr>
          <w:rFonts w:ascii="Barlow Semi Condensed" w:cs="Barlow Semi Condensed" w:eastAsia="Barlow Semi Condensed" w:hAnsi="Barlow Semi Condensed"/>
          <w:sz w:val="24"/>
          <w:szCs w:val="24"/>
        </w:rPr>
        <w:t xml:space="preserve">. Fondamento verificato: Paolo VI attivò per la liberazione il canale di </w:t>
      </w:r>
      <w:r>
        <w:rPr>
          <w:rFonts w:ascii="Barlow Semi Condensed" w:cs="Barlow Semi Condensed" w:eastAsia="Barlow Semi Condensed" w:hAnsi="Barlow Semi Condensed"/>
          <w:b/>
          <w:bCs/>
          <w:sz w:val="24"/>
          <w:szCs w:val="24"/>
        </w:rPr>
        <w:t xml:space="preserve">mons. Cesare Curioni</w:t>
      </w:r>
      <w:r>
        <w:rPr>
          <w:rFonts w:ascii="Barlow Semi Condensed" w:cs="Barlow Semi Condensed" w:eastAsia="Barlow Semi Condensed" w:hAnsi="Barlow Semi Condensed"/>
          <w:sz w:val="24"/>
          <w:szCs w:val="24"/>
        </w:rPr>
        <w:t xml:space="preserve">, responsabile dei cappellani carcerari; fu predisposta una somma di </w:t>
      </w:r>
      <w:r>
        <w:rPr>
          <w:rFonts w:ascii="Barlow Semi Condensed" w:cs="Barlow Semi Condensed" w:eastAsia="Barlow Semi Condensed" w:hAnsi="Barlow Semi Condensed"/>
          <w:b/>
          <w:bCs/>
          <w:sz w:val="24"/>
          <w:szCs w:val="24"/>
        </w:rPr>
        <w:t xml:space="preserve">circa dieci miliardi di lire in dollari</w:t>
      </w:r>
      <w:r>
        <w:rPr>
          <w:rFonts w:ascii="Barlow Semi Condensed" w:cs="Barlow Semi Condensed" w:eastAsia="Barlow Semi Condensed" w:hAnsi="Barlow Semi Condensed"/>
          <w:sz w:val="24"/>
          <w:szCs w:val="24"/>
        </w:rPr>
        <w:t xml:space="preserve">; secondo gli accertamenti della </w:t>
      </w:r>
      <w:r>
        <w:rPr>
          <w:rFonts w:ascii="Barlow Semi Condensed" w:cs="Barlow Semi Condensed" w:eastAsia="Barlow Semi Condensed" w:hAnsi="Barlow Semi Condensed"/>
          <w:b/>
          <w:bCs/>
          <w:sz w:val="24"/>
          <w:szCs w:val="24"/>
        </w:rPr>
        <w:t xml:space="preserve">Commissione Moro 2</w:t>
      </w:r>
      <w:r>
        <w:rPr>
          <w:rFonts w:ascii="Barlow Semi Condensed" w:cs="Barlow Semi Condensed" w:eastAsia="Barlow Semi Condensed" w:hAnsi="Barlow Semi Condensed"/>
          <w:sz w:val="24"/>
          <w:szCs w:val="24"/>
        </w:rPr>
        <w:t xml:space="preserve">, il finanziatore fu l'uomo d'affari israeliano </w:t>
      </w:r>
      <w:r>
        <w:rPr>
          <w:rFonts w:ascii="Barlow Semi Condensed" w:cs="Barlow Semi Condensed" w:eastAsia="Barlow Semi Condensed" w:hAnsi="Barlow Semi Condensed"/>
          <w:b/>
          <w:bCs/>
          <w:sz w:val="24"/>
          <w:szCs w:val="24"/>
        </w:rPr>
        <w:t xml:space="preserve">Shmuel «Sammy» Flatto-Sharon</w:t>
      </w:r>
      <w:r>
        <w:rPr>
          <w:rFonts w:ascii="Barlow Semi Condensed" w:cs="Barlow Semi Condensed" w:eastAsia="Barlow Semi Condensed" w:hAnsi="Barlow Semi Condensed"/>
          <w:sz w:val="24"/>
          <w:szCs w:val="24"/>
        </w:rPr>
        <w:t xml:space="preserve">, all'epoca membro della Knesset; Curioni morì nel 1996 senza rivelare il resto, e </w:t>
      </w:r>
      <w:r>
        <w:rPr>
          <w:rFonts w:ascii="Barlow Semi Condensed" w:cs="Barlow Semi Condensed" w:eastAsia="Barlow Semi Condensed" w:hAnsi="Barlow Semi Condensed"/>
          <w:b/>
          <w:bCs/>
          <w:sz w:val="24"/>
          <w:szCs w:val="24"/>
        </w:rPr>
        <w:t xml:space="preserve">la sorte del denaro resta ignota</w:t>
      </w:r>
      <w:r>
        <w:rPr>
          <w:rFonts w:ascii="Barlow Semi Condensed" w:cs="Barlow Semi Condensed" w:eastAsia="Barlow Semi Condensed" w:hAnsi="Barlow Semi Condensed"/>
          <w:sz w:val="24"/>
          <w:szCs w:val="24"/>
        </w:rPr>
        <w:t xml:space="preserve"> (ANSA (https://www.ansa.it/sito/notizie/cronaca/2018/03/15/moromistero-vaticano-su-10-mld-riscatto_159ad438-a8df-474d-a762-cbd416e06064.html); Treccani, la mediazione vaticana (https://www.treccani.it/enciclopedia/9-maggio-1978-lo-schiaffo-a-paolo-vi-storia-e-fallimento-della-mediazione-vaticana-per-la-liberazione-di-aldo-moro_(Cristiani-d'Italia)/)). </w:t>
      </w:r>
      <w:r>
        <w:rPr>
          <w:rFonts w:ascii="Barlow Semi Condensed" w:cs="Barlow Semi Condensed" w:eastAsia="Barlow Semi Condensed" w:hAnsi="Barlow Semi Condensed"/>
          <w:i/>
          <w:iCs/>
          <w:sz w:val="24"/>
          <w:szCs w:val="24"/>
        </w:rPr>
        <w:t xml:space="preserve">Quesito impersonale:</w:t>
      </w:r>
      <w:r>
        <w:rPr>
          <w:rFonts w:ascii="Barlow Semi Condensed" w:cs="Barlow Semi Condensed" w:eastAsia="Barlow Semi Condensed" w:hAnsi="Barlow Semi Condensed"/>
          <w:sz w:val="24"/>
          <w:szCs w:val="24"/>
        </w:rPr>
        <w:t xml:space="preserve"> la meccanica della mediazione e la destinazione della somma. </w:t>
      </w:r>
      <w:r>
        <w:rPr>
          <w:rFonts w:ascii="Barlow Semi Condensed" w:cs="Barlow Semi Condensed" w:eastAsia="Barlow Semi Condensed" w:hAnsi="Barlow Semi Condensed"/>
          <w:i/>
          <w:iCs/>
          <w:sz w:val="24"/>
          <w:szCs w:val="24"/>
        </w:rPr>
        <w:t xml:space="preserve">Atto:</w:t>
      </w:r>
      <w:r>
        <w:rPr>
          <w:rFonts w:ascii="Barlow Semi Condensed" w:cs="Barlow Semi Condensed" w:eastAsia="Barlow Semi Condensed" w:hAnsi="Barlow Semi Condensed"/>
          <w:sz w:val="24"/>
          <w:szCs w:val="24"/>
        </w:rPr>
        <w:t xml:space="preserve"> gli archivi dei cappellani e — all'apertura — l'AAV per Paolo VI (si salda a PN-8); gli atti Moro 2. </w:t>
      </w:r>
      <w:r>
        <w:rPr>
          <w:rFonts w:ascii="Barlow Semi Condensed" w:cs="Barlow Semi Condensed" w:eastAsia="Barlow Semi Condensed" w:hAnsi="Barlow Semi Condensed"/>
          <w:i/>
          <w:iCs/>
          <w:sz w:val="24"/>
          <w:szCs w:val="24"/>
        </w:rPr>
        <w:t xml:space="preserve">Chiusura:</w:t>
      </w:r>
      <w:r>
        <w:rPr>
          <w:rFonts w:ascii="Barlow Semi Condensed" w:cs="Barlow Semi Condensed" w:eastAsia="Barlow Semi Condensed" w:hAnsi="Barlow Semi Condensed"/>
          <w:sz w:val="24"/>
          <w:szCs w:val="24"/>
        </w:rPr>
        <w:t xml:space="preserve"> la tracciabilità della somma, o il suo punto documentale di dispersione.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c>
          <w:tcPr>
            <w:tcW w:type="dxa" w:w="468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Pista su entità/strutture</w:t>
            </w:r>
          </w:p>
        </w:tc>
        <w:tc>
          <w:tcPr>
            <w:tcW w:type="dxa" w:w="468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Punteggio</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PE-1 · Comitato del Viminale e appartenenze P2 (censimento nominale)</w:t>
            </w:r>
          </w:p>
        </w:tc>
        <w:tc>
          <w:tcPr>
            <w:tcW w:type="dxa" w:w="4680"/>
          </w:tcPr>
          <w:p>
            <w:pPr>
              <w:spacing w:after="20" w:before="20"/>
              <w:jc w:val="both"/>
            </w:pPr>
            <w:r>
              <w:rPr>
                <w:rFonts w:ascii="Barlow Semi Condensed" w:cs="Barlow Semi Condensed" w:eastAsia="Barlow Semi Condensed" w:hAnsi="Barlow Semi Condensed"/>
                <w:b/>
                <w:bCs/>
                <w:sz w:val="20"/>
                <w:szCs w:val="20"/>
              </w:rPr>
              <w:t xml:space="preserve">74,5</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PE-3 · La catena di comando del 18 marzo (via Gradoli)</w:t>
            </w:r>
          </w:p>
        </w:tc>
        <w:tc>
          <w:tcPr>
            <w:tcW w:type="dxa" w:w="4680"/>
          </w:tcPr>
          <w:p>
            <w:pPr>
              <w:spacing w:after="20" w:before="20"/>
              <w:jc w:val="both"/>
            </w:pPr>
            <w:r>
              <w:rPr>
                <w:rFonts w:ascii="Barlow Semi Condensed" w:cs="Barlow Semi Condensed" w:eastAsia="Barlow Semi Condensed" w:hAnsi="Barlow Semi Condensed"/>
                <w:b/>
                <w:bCs/>
                <w:sz w:val="20"/>
                <w:szCs w:val="20"/>
              </w:rPr>
              <w:t xml:space="preserve">74,5</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PE-2 · Assetti proprietari dello stabile di via Gradoli</w:t>
            </w:r>
          </w:p>
        </w:tc>
        <w:tc>
          <w:tcPr>
            <w:tcW w:type="dxa" w:w="4680"/>
          </w:tcPr>
          <w:p>
            <w:pPr>
              <w:spacing w:after="20" w:before="20"/>
              <w:jc w:val="both"/>
            </w:pPr>
            <w:r>
              <w:rPr>
                <w:rFonts w:ascii="Barlow Semi Condensed" w:cs="Barlow Semi Condensed" w:eastAsia="Barlow Semi Condensed" w:hAnsi="Barlow Semi Condensed"/>
                <w:b/>
                <w:bCs/>
                <w:sz w:val="20"/>
                <w:szCs w:val="20"/>
              </w:rPr>
              <w:t xml:space="preserve">67,5</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PE-6 · Il registro delle segnalazioni dei 55 giorni</w:t>
            </w:r>
          </w:p>
        </w:tc>
        <w:tc>
          <w:tcPr>
            <w:tcW w:type="dxa" w:w="4680"/>
          </w:tcPr>
          <w:p>
            <w:pPr>
              <w:spacing w:after="20" w:before="20"/>
              <w:jc w:val="both"/>
            </w:pPr>
            <w:r>
              <w:rPr>
                <w:rFonts w:ascii="Barlow Semi Condensed" w:cs="Barlow Semi Condensed" w:eastAsia="Barlow Semi Condensed" w:hAnsi="Barlow Semi Condensed"/>
                <w:b/>
                <w:bCs/>
                <w:sz w:val="20"/>
                <w:szCs w:val="20"/>
              </w:rPr>
              <w:t xml:space="preserve">61,0</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PE-5 · Il traffico di cablo degli alleati (FOIA)</w:t>
            </w:r>
          </w:p>
        </w:tc>
        <w:tc>
          <w:tcPr>
            <w:tcW w:type="dxa" w:w="4680"/>
          </w:tcPr>
          <w:p>
            <w:pPr>
              <w:spacing w:after="20" w:before="20"/>
              <w:jc w:val="both"/>
            </w:pPr>
            <w:r>
              <w:rPr>
                <w:rFonts w:ascii="Barlow Semi Condensed" w:cs="Barlow Semi Condensed" w:eastAsia="Barlow Semi Condensed" w:hAnsi="Barlow Semi Condensed"/>
                <w:b/>
                <w:bCs/>
                <w:sz w:val="20"/>
                <w:szCs w:val="20"/>
              </w:rPr>
              <w:t xml:space="preserve">59,5</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PE-4 · La mediazione vaticana e la sorte del riscatto</w:t>
            </w:r>
          </w:p>
        </w:tc>
        <w:tc>
          <w:tcPr>
            <w:tcW w:type="dxa" w:w="4680"/>
          </w:tcPr>
          <w:p>
            <w:pPr>
              <w:spacing w:after="20" w:before="20"/>
              <w:jc w:val="both"/>
            </w:pPr>
            <w:r>
              <w:rPr>
                <w:rFonts w:ascii="Barlow Semi Condensed" w:cs="Barlow Semi Condensed" w:eastAsia="Barlow Semi Condensed" w:hAnsi="Barlow Semi Condensed"/>
                <w:b/>
                <w:bCs/>
                <w:sz w:val="20"/>
                <w:szCs w:val="20"/>
              </w:rPr>
              <w:t xml:space="preserve">54,0</w:t>
            </w:r>
          </w:p>
        </w:tc>
      </w:tr>
      <w:tr>
        <w:tc>
          <w:tcPr>
            <w:tcW w:type="dxa" w:w="4680"/>
          </w:tcPr>
          <w:p>
            <w:pPr>
              <w:spacing w:after="20" w:before="20"/>
              <w:jc w:val="both"/>
            </w:pPr>
            <w:r>
              <w:rPr>
                <w:rFonts w:ascii="Barlow Semi Condensed" w:cs="Barlow Semi Condensed" w:eastAsia="Barlow Semi Condensed" w:hAnsi="Barlow Semi Condensed"/>
                <w:i/>
                <w:iCs/>
                <w:sz w:val="20"/>
                <w:szCs w:val="20"/>
              </w:rPr>
              <w:t xml:space="preserve">Escluse per direttiva:</w:t>
            </w:r>
            <w:r>
              <w:rPr>
                <w:rFonts w:ascii="Barlow Semi Condensed" w:cs="Barlow Semi Condensed" w:eastAsia="Barlow Semi Condensed" w:hAnsi="Barlow Semi Condensed"/>
                <w:sz w:val="20"/>
                <w:szCs w:val="20"/>
              </w:rPr>
              <w:t xml:space="preserve"> BR e Superclan come entità</w:t>
            </w:r>
          </w:p>
        </w:tc>
        <w:tc>
          <w:tcPr>
            <w:tcW w:type="dxa" w:w="4680"/>
          </w:tcPr>
          <w:p>
            <w:pPr>
              <w:spacing w:after="20" w:before="20"/>
              <w:jc w:val="both"/>
            </w:pPr>
            <w:r>
              <w:rPr>
                <w:rFonts w:ascii="Barlow Semi Condensed" w:cs="Barlow Semi Condensed" w:eastAsia="Barlow Semi Condensed" w:hAnsi="Barlow Semi Condensed"/>
                <w:b/>
                <w:bCs/>
                <w:sz w:val="20"/>
                <w:szCs w:val="20"/>
              </w:rPr>
              <w:t xml:space="preserve">0,1</w:t>
            </w:r>
          </w:p>
        </w:tc>
      </w:tr>
    </w:tbl>
    <w:p>
      <w:pPr>
        <w:spacing w:after="80"/>
      </w:pPr>
    </w:p>
    <w:p>
      <w:pPr>
        <w:spacing w:after="120" w:line="276"/>
        <w:jc w:val="both"/>
      </w:pPr>
      <w:r>
        <w:rPr>
          <w:rFonts w:ascii="Barlow Semi Condensed" w:cs="Barlow Semi Condensed" w:eastAsia="Barlow Semi Condensed" w:hAnsi="Barlow Semi Condensed"/>
          <w:b/>
          <w:bCs/>
          <w:sz w:val="24"/>
          <w:szCs w:val="24"/>
        </w:rPr>
        <w:t xml:space="preserve">Il presidio finale del capitolo.</w:t>
      </w:r>
      <w:r>
        <w:rPr>
          <w:rFonts w:ascii="Barlow Semi Condensed" w:cs="Barlow Semi Condensed" w:eastAsia="Barlow Semi Condensed" w:hAnsi="Barlow Semi Condensed"/>
          <w:sz w:val="24"/>
          <w:szCs w:val="24"/>
        </w:rPr>
        <w:t xml:space="preserve"> Queste sei piste toccano ministeri, servizi, una loggia disciolta per legge, la Santa Sede, un alleato: il terreno dove la dietrologia ha costruito di più. La differenza fra questo capitolo e quella è tutta in una proprietà verificabile: </w:t>
      </w:r>
      <w:r>
        <w:rPr>
          <w:rFonts w:ascii="Barlow Semi Condensed" w:cs="Barlow Semi Condensed" w:eastAsia="Barlow Semi Condensed" w:hAnsi="Barlow Semi Condensed"/>
          <w:b/>
          <w:bCs/>
          <w:sz w:val="24"/>
          <w:szCs w:val="24"/>
        </w:rPr>
        <w:t xml:space="preserve">ogni pista ha per esito un documento, non un colpevole</w:t>
      </w:r>
      <w:r>
        <w:rPr>
          <w:rFonts w:ascii="Barlow Semi Condensed" w:cs="Barlow Semi Condensed" w:eastAsia="Barlow Semi Condensed" w:hAnsi="Barlow Semi Condensed"/>
          <w:sz w:val="24"/>
          <w:szCs w:val="24"/>
        </w:rPr>
        <w:t xml:space="preserve"> — una tavola nominale, una catena di protocolli, una visura, un registro, un cablo, una tracciabilità. Se i documenti, una volta acquisiti, indicheranno condotte, saranno le autorità a qualificarle; fino ad allora, le entità di questo capitolo hanno esattamente lo statuto che hanno le persone nel resto del corpus: </w:t>
      </w:r>
      <w:r>
        <w:rPr>
          <w:rFonts w:ascii="Barlow Semi Condensed" w:cs="Barlow Semi Condensed" w:eastAsia="Barlow Semi Condensed" w:hAnsi="Barlow Semi Condensed"/>
          <w:b/>
          <w:bCs/>
          <w:sz w:val="24"/>
          <w:szCs w:val="24"/>
        </w:rPr>
        <w:t xml:space="preserve">si censisce ciò che è documentato, e nulla di più.</w:t>
      </w:r>
    </w:p>
    <w:p>
      <w:pPr>
        <w:pStyle w:val="Heading2"/>
        <w:spacing w:after="100" w:before="200"/>
      </w:pPr>
      <w:r>
        <w:rPr>
          <w:rFonts w:ascii="Barlow Semi Condensed" w:cs="Barlow Semi Condensed" w:eastAsia="Barlow Semi Condensed" w:hAnsi="Barlow Semi Condensed"/>
          <w:sz w:val="24"/>
          <w:szCs w:val="24"/>
        </w:rPr>
        <w:t xml:space="preserve">Capitolo IV — I presidi investigativi (che cosa questo programma non è)</w:t>
      </w:r>
    </w:p>
    <w:p>
      <w:pPr>
        <w:spacing w:after="40"/>
        <w:ind w:left="360"/>
        <w:jc w:val="both"/>
      </w:pPr>
      <w:r>
        <w:rPr>
          <w:rFonts w:ascii="Barlow Semi Condensed" w:cs="Barlow Semi Condensed" w:eastAsia="Barlow Semi Condensed" w:hAnsi="Barlow Semi Condensed"/>
          <w:sz w:val="24"/>
          <w:szCs w:val="24"/>
        </w:rPr>
        <w:t xml:space="preserve">1. </w:t>
      </w:r>
      <w:r>
        <w:rPr>
          <w:rFonts w:ascii="Barlow Semi Condensed" w:cs="Barlow Semi Condensed" w:eastAsia="Barlow Semi Condensed" w:hAnsi="Barlow Semi Condensed"/>
          <w:b/>
          <w:bCs/>
          <w:sz w:val="24"/>
          <w:szCs w:val="24"/>
        </w:rPr>
        <w:t xml:space="preserve">L'indagine produce atti, non colpevoli.</w:t>
      </w:r>
      <w:r>
        <w:rPr>
          <w:rFonts w:ascii="Barlow Semi Condensed" w:cs="Barlow Semi Condensed" w:eastAsia="Barlow Semi Condensed" w:hAnsi="Barlow Semi Condensed"/>
          <w:sz w:val="24"/>
          <w:szCs w:val="24"/>
        </w:rPr>
        <w:t xml:space="preserve"> Nessuna pista contiene un nome come esito atteso: contiene un reperto, un documento, una deposizione. Se un atto identificherà qualcuno, lo dirà un giudice.</w:t>
      </w:r>
    </w:p>
    <w:p>
      <w:pPr>
        <w:spacing w:after="40"/>
        <w:ind w:left="360"/>
        <w:jc w:val="both"/>
      </w:pPr>
      <w:r>
        <w:rPr>
          <w:rFonts w:ascii="Barlow Semi Condensed" w:cs="Barlow Semi Condensed" w:eastAsia="Barlow Semi Condensed" w:hAnsi="Barlow Semi Condensed"/>
          <w:sz w:val="24"/>
          <w:szCs w:val="24"/>
        </w:rPr>
        <w:t xml:space="preserve">2. </w:t>
      </w:r>
      <w:r>
        <w:rPr>
          <w:rFonts w:ascii="Barlow Semi Condensed" w:cs="Barlow Semi Condensed" w:eastAsia="Barlow Semi Condensed" w:hAnsi="Barlow Semi Condensed"/>
          <w:b/>
          <w:bCs/>
          <w:sz w:val="24"/>
          <w:szCs w:val="24"/>
        </w:rPr>
        <w:t xml:space="preserve">Le ipotesi restano in forma ACH.</w:t>
      </w:r>
      <w:r>
        <w:rPr>
          <w:rFonts w:ascii="Barlow Semi Condensed" w:cs="Barlow Semi Condensed" w:eastAsia="Barlow Semi Condensed" w:hAnsi="Barlow Semi Condensed"/>
          <w:sz w:val="24"/>
          <w:szCs w:val="24"/>
        </w:rPr>
        <w:t xml:space="preserve"> Ogni pista discende da una matrice ipotesi-evidenza già scritta nel corpus; l'atto istruttorio è la ricerca dell'evidenza discriminante, non la conferma di una preferenza.</w:t>
      </w:r>
    </w:p>
    <w:p>
      <w:pPr>
        <w:spacing w:after="40"/>
        <w:ind w:left="360"/>
        <w:jc w:val="both"/>
      </w:pPr>
      <w:r>
        <w:rPr>
          <w:rFonts w:ascii="Barlow Semi Condensed" w:cs="Barlow Semi Condensed" w:eastAsia="Barlow Semi Condensed" w:hAnsi="Barlow Semi Condensed"/>
          <w:sz w:val="24"/>
          <w:szCs w:val="24"/>
        </w:rPr>
        <w:t xml:space="preserve">3. </w:t>
      </w:r>
      <w:r>
        <w:rPr>
          <w:rFonts w:ascii="Barlow Semi Condensed" w:cs="Barlow Semi Condensed" w:eastAsia="Barlow Semi Condensed" w:hAnsi="Barlow Semi Condensed"/>
          <w:b/>
          <w:bCs/>
          <w:sz w:val="24"/>
          <w:szCs w:val="24"/>
        </w:rPr>
        <w:t xml:space="preserve">Il registro resta chiuso.</w:t>
      </w:r>
      <w:r>
        <w:rPr>
          <w:rFonts w:ascii="Barlow Semi Condensed" w:cs="Barlow Semi Condensed" w:eastAsia="Barlow Semi Condensed" w:hAnsi="Barlow Semi Condensed"/>
          <w:sz w:val="24"/>
          <w:szCs w:val="24"/>
        </w:rPr>
        <w:t xml:space="preserve"> I tredici del giudicato non crescono per suggestione; gli assolti restano assolti; le percentuali di colpa non esistono qui come non esistevano prima.</w:t>
      </w:r>
    </w:p>
    <w:p>
      <w:pPr>
        <w:spacing w:after="40"/>
        <w:ind w:left="360"/>
        <w:jc w:val="both"/>
      </w:pPr>
      <w:r>
        <w:rPr>
          <w:rFonts w:ascii="Barlow Semi Condensed" w:cs="Barlow Semi Condensed" w:eastAsia="Barlow Semi Condensed" w:hAnsi="Barlow Semi Condensed"/>
          <w:sz w:val="24"/>
          <w:szCs w:val="24"/>
        </w:rPr>
        <w:t xml:space="preserve">4. </w:t>
      </w:r>
      <w:r>
        <w:rPr>
          <w:rFonts w:ascii="Barlow Semi Condensed" w:cs="Barlow Semi Condensed" w:eastAsia="Barlow Semi Condensed" w:hAnsi="Barlow Semi Condensed"/>
          <w:b/>
          <w:bCs/>
          <w:sz w:val="24"/>
          <w:szCs w:val="24"/>
        </w:rPr>
        <w:t xml:space="preserve">La priorità è dichiarata e falsificabile.</w:t>
      </w:r>
      <w:r>
        <w:rPr>
          <w:rFonts w:ascii="Barlow Semi Condensed" w:cs="Barlow Semi Condensed" w:eastAsia="Barlow Semi Condensed" w:hAnsi="Barlow Semi Condensed"/>
          <w:sz w:val="24"/>
          <w:szCs w:val="24"/>
        </w:rPr>
        <w:t xml:space="preserve"> La matrice del capitolo III è essa stessa un'asserzione soggetta a critica: chi ritenga più fruttuosa un'altra gerarchia dica quale evidenza la giustifica.</w:t>
      </w:r>
    </w:p>
    <w:p>
      <w:pPr>
        <w:spacing w:after="40"/>
        <w:ind w:left="360"/>
        <w:jc w:val="both"/>
      </w:pPr>
      <w:r>
        <w:rPr>
          <w:rFonts w:ascii="Barlow Semi Condensed" w:cs="Barlow Semi Condensed" w:eastAsia="Barlow Semi Condensed" w:hAnsi="Barlow Semi Condensed"/>
          <w:sz w:val="24"/>
          <w:szCs w:val="24"/>
        </w:rPr>
        <w:t xml:space="preserve">5. </w:t>
      </w:r>
      <w:r>
        <w:rPr>
          <w:rFonts w:ascii="Barlow Semi Condensed" w:cs="Barlow Semi Condensed" w:eastAsia="Barlow Semi Condensed" w:hAnsi="Barlow Semi Condensed"/>
          <w:b/>
          <w:bCs/>
          <w:sz w:val="24"/>
          <w:szCs w:val="24"/>
        </w:rPr>
        <w:t xml:space="preserve">Il corpus non è un tribunale parallelo: è un contribuente di metodo.</w:t>
      </w:r>
      <w:r>
        <w:rPr>
          <w:rFonts w:ascii="Barlow Semi Condensed" w:cs="Barlow Semi Condensed" w:eastAsia="Barlow Semi Condensed" w:hAnsi="Barlow Semi Condensed"/>
          <w:sz w:val="24"/>
          <w:szCs w:val="24"/>
        </w:rPr>
        <w:t xml:space="preserve"> Il suo prodotto investigativo è questo programma — quesiti scritti, piste ordinate, criteri di chiusura — offerto a chi ha i poteri che il corpus non ha e non vuole.</w:t>
      </w:r>
    </w:p>
    <w:p>
      <w:pPr>
        <w:pStyle w:val="Heading2"/>
        <w:spacing w:after="100" w:before="200"/>
      </w:pPr>
      <w:r>
        <w:rPr>
          <w:rFonts w:ascii="Barlow Semi Condensed" w:cs="Barlow Semi Condensed" w:eastAsia="Barlow Semi Condensed" w:hAnsi="Barlow Semi Condensed"/>
          <w:sz w:val="24"/>
          <w:szCs w:val="24"/>
        </w:rPr>
        <w:t xml:space="preserve">Capitolo V — Chiusura: la stessa linea, percorsa nell'altro verso</w:t>
      </w:r>
    </w:p>
    <w:p>
      <w:pPr>
        <w:spacing w:after="120" w:line="276"/>
        <w:jc w:val="both"/>
      </w:pPr>
      <w:r>
        <w:rPr>
          <w:rFonts w:ascii="Barlow Semi Condensed" w:cs="Barlow Semi Condensed" w:eastAsia="Barlow Semi Condensed" w:hAnsi="Barlow Semi Condensed"/>
          <w:sz w:val="24"/>
          <w:szCs w:val="24"/>
        </w:rPr>
        <w:t xml:space="preserve">Il cambio di metodo chiesto dall'autore è compiuto, ed è bene dire che cosa è cambiato davvero. La linea del corpus — il confine fra il provato e il congetturale — resta dov'era: ma lo storico la percorreva guardando indietro, per custodirla; l'investigatore la percorre guardando avanti, </w:t>
      </w:r>
      <w:r>
        <w:rPr>
          <w:rFonts w:ascii="Barlow Semi Condensed" w:cs="Barlow Semi Condensed" w:eastAsia="Barlow Semi Condensed" w:hAnsi="Barlow Semi Condensed"/>
          <w:b/>
          <w:bCs/>
          <w:sz w:val="24"/>
          <w:szCs w:val="24"/>
        </w:rPr>
        <w:t xml:space="preserve">per spostarla con gli atti</w:t>
      </w:r>
      <w:r>
        <w:rPr>
          <w:rFonts w:ascii="Barlow Semi Condensed" w:cs="Barlow Semi Condensed" w:eastAsia="Barlow Semi Condensed" w:hAnsi="Barlow Semi Condensed"/>
          <w:sz w:val="24"/>
          <w:szCs w:val="24"/>
        </w:rPr>
        <w:t xml:space="preserve">. Ogni pista di questo programma è un punto in cui la linea può muoversi: di un reperto, di un appunto d'archivio, di una deposizione. E il caso — questo il dato più importante dell'intero documento — </w:t>
      </w:r>
      <w:r>
        <w:rPr>
          <w:rFonts w:ascii="Barlow Semi Condensed" w:cs="Barlow Semi Condensed" w:eastAsia="Barlow Semi Condensed" w:hAnsi="Barlow Semi Condensed"/>
          <w:b/>
          <w:bCs/>
          <w:sz w:val="24"/>
          <w:szCs w:val="24"/>
        </w:rPr>
        <w:t xml:space="preserve">non è chiuso</w:t>
      </w:r>
      <w:r>
        <w:rPr>
          <w:rFonts w:ascii="Barlow Semi Condensed" w:cs="Barlow Semi Condensed" w:eastAsia="Barlow Semi Condensed" w:hAnsi="Barlow Semi Condensed"/>
          <w:sz w:val="24"/>
          <w:szCs w:val="24"/>
        </w:rPr>
        <w:t xml:space="preserve">: c'è un fascicolo aperto a Roma che lavora esattamente sulle evidenze che il metodo del corpus indica come discriminanti. La guerra senza fine, almeno qui, ha ancora atti da compiere. Il corpus li ha messi in fila.</w:t>
      </w:r>
    </w:p>
    <w:p>
      <w:pPr>
        <w:pBdr>
          <w:bottom w:val="single" w:color="999999" w:sz="6" w:space="1"/>
        </w:pBdr>
        <w:spacing w:after="80"/>
      </w:pPr>
    </w:p>
    <w:p>
      <w:pPr>
        <w:spacing w:after="120" w:line="276"/>
        <w:jc w:val="both"/>
      </w:pPr>
      <w:r>
        <w:rPr>
          <w:rFonts w:ascii="Barlow Semi Condensed" w:cs="Barlow Semi Condensed" w:eastAsia="Barlow Semi Condensed" w:hAnsi="Barlow Semi Condensed"/>
          <w:i/>
          <w:iCs/>
          <w:sz w:val="24"/>
          <w:szCs w:val="24"/>
        </w:rPr>
        <w:t xml:space="preserve">Programma investigativo del corpus: il cambio di metodo dallo storico all'investigatore, a regime di prova invariato. Il quadro operativo reale verificato (il fascicolo aperto a Roma sulle «terze presenze» di via Fani, con perizie balistiche, DNA 2016 e il caricatore di via Stresa; la Direttiva Renzi del 22/4/2014 estesa al caso Moro il 2/12/2014, con ~2.000 buste versate all'ACS); dieci piste in formato operativo — oggetto, stato, atto, sede, rendimento, criterio di chiusura — con la matrice delle priorità e il vaglio negativo delle piste da archiviare. Cinque presidi: l'indagine produce atti, non colpevoli; le ipotesi restano ACH; il registro resta chiuso; le priorità sono falsificabili; il corpus è contribuente di metodo, non tribunale parallelo.</w:t>
      </w:r>
    </w:p>
    <w:p>
      <w:pPr>
        <w:pStyle w:val="Heading3"/>
        <w:spacing w:after="80" w:before="240"/>
      </w:pPr>
      <w:r>
        <w:rPr>
          <w:rFonts w:ascii="Barlow Semi Condensed" w:cs="Barlow Semi Condensed" w:eastAsia="Barlow Semi Condensed" w:hAnsi="Barlow Semi Condensed"/>
          <w:sz w:val="24"/>
          <w:szCs w:val="24"/>
        </w:rPr>
        <w:t xml:space="preserve">Apparato grafico — Libro tredicesimo · Il programma e le graduatorie</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0"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Libro tredicesimo I: 3.680 parole in 8 sezioni; la più ampia è §6 Capitolo III, con 1.122.</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1"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Libro tredicesimo I: 13 indirizzi di fonte citati, addensati in 2 sezioni su 8.</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2"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Il modello MCDA dichiarato (rendimento 30% · diagnosticità 25% · fattibilità 20% · urgenza 15% · indipendenza 10%).</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3"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Le sei entità con punteggio: ogni pista ha per esito un documento, non un colpevole.</w:t>
      </w:r>
    </w:p>
    <w:p>
      <w:pPr>
        <w:spacing w:after="120"/>
        <w:jc w:val="center"/>
      </w:pPr>
      <w:r>
        <w:rPr>
          <w:rFonts w:ascii="Barlow Semi Condensed" w:cs="Barlow Semi Condensed" w:eastAsia="Barlow Semi Condensed" w:hAnsi="Barlow Semi Condensed"/>
          <w:color w:val="777777"/>
          <w:sz w:val="16"/>
          <w:szCs w:val="16"/>
        </w:rPr>
        <w:t xml:space="preserve">Le metriche dell'apparato contano parole, documenti e atti — mai colpe.</w:t>
      </w:r>
    </w:p>
    <w:p>
      <w:r>
        <w:br w:type="page"/>
      </w:r>
    </w:p>
    <w:p>
      <w:pPr>
        <w:pStyle w:val="Heading1"/>
        <w:spacing w:after="120" w:before="240"/>
      </w:pPr>
      <w:r>
        <w:rPr>
          <w:rFonts w:ascii="Barlow Semi Condensed" w:cs="Barlow Semi Condensed" w:eastAsia="Barlow Semi Condensed" w:hAnsi="Barlow Semi Condensed"/>
          <w:sz w:val="24"/>
          <w:szCs w:val="24"/>
        </w:rPr>
        <w:t xml:space="preserve">Libro tredicesimo — Il fascicolo aperto — II. Le schede delle piste di testa</w:t>
      </w:r>
    </w:p>
    <w:p>
      <w:pPr>
        <w:pStyle w:val="Heading1"/>
        <w:spacing w:after="120" w:before="240"/>
      </w:pPr>
      <w:r>
        <w:rPr>
          <w:rFonts w:ascii="Barlow Semi Condensed" w:cs="Barlow Semi Condensed" w:eastAsia="Barlow Semi Condensed" w:hAnsi="Barlow Semi Condensed"/>
          <w:sz w:val="24"/>
          <w:szCs w:val="24"/>
        </w:rPr>
        <w:t xml:space="preserve">Approfondimento delle piste di testa</w:t>
      </w:r>
    </w:p>
    <w:p>
      <w:pPr>
        <w:pStyle w:val="Heading2"/>
        <w:spacing w:after="100" w:before="200"/>
      </w:pPr>
      <w:r>
        <w:rPr>
          <w:rFonts w:ascii="Barlow Semi Condensed" w:cs="Barlow Semi Condensed" w:eastAsia="Barlow Semi Condensed" w:hAnsi="Barlow Semi Condensed"/>
          <w:sz w:val="24"/>
          <w:szCs w:val="24"/>
        </w:rPr>
        <w:t xml:space="preserve">Le schede operative delle quattro piste sopra i 70 punti — con una nota di revisione del corpus</w:t>
      </w:r>
    </w:p>
    <w:p>
      <w:pPr>
        <w:spacing w:after="120" w:line="276"/>
        <w:jc w:val="both"/>
      </w:pPr>
      <w:r>
        <w:rPr>
          <w:rFonts w:ascii="Barlow Semi Condensed" w:cs="Barlow Semi Condensed" w:eastAsia="Barlow Semi Condensed" w:hAnsi="Barlow Semi Condensed"/>
          <w:i/>
          <w:iCs/>
          <w:sz w:val="24"/>
          <w:szCs w:val="24"/>
        </w:rPr>
        <w:t xml:space="preserve">Documento operativo — 25 agosto 2026 · Approfondisce il capitolo III-bis del programma investigativo</w:t>
      </w:r>
    </w:p>
    <w:p>
      <w:pPr>
        <w:pBdr>
          <w:left w:val="single" w:color="1F3864" w:sz="18" w:space="8"/>
        </w:pBdr>
        <w:spacing w:after="80" w:before="80"/>
        <w:ind w:left="360" w:right="360"/>
        <w:jc w:val="both"/>
      </w:pPr>
      <w:r>
        <w:rPr>
          <w:rFonts w:ascii="Barlow Semi Condensed" w:cs="Barlow Semi Condensed" w:eastAsia="Barlow Semi Condensed" w:hAnsi="Barlow Semi Condensed"/>
          <w:b/>
          <w:bCs/>
          <w:i w:val="false"/>
          <w:iCs w:val="false"/>
          <w:sz w:val="24"/>
          <w:szCs w:val="24"/>
        </w:rPr>
        <w:t xml:space="preserve">Statuto, e l'avvertenza che conta.</w:t>
      </w:r>
      <w:r>
        <w:rPr>
          <w:rFonts w:ascii="Barlow Semi Condensed" w:cs="Barlow Semi Condensed" w:eastAsia="Barlow Semi Condensed" w:hAnsi="Barlow Semi Condensed"/>
          <w:i w:val="false"/>
          <w:iCs w:val="false"/>
          <w:sz w:val="24"/>
          <w:szCs w:val="24"/>
        </w:rPr>
        <w:t xml:space="preserve"> Questo approfondimento scende dentro le quattro piste di testa della graduatoria (PN-1 89,0 · PN-7 77,5 · PN-4 74,5 · PN-2 71,0) col formato della scheda da cold case: la storia degli accertamenti, che cosa fu tentato e con quale esito, il quesito esatto, l'atto raffinato, gli errori da non ripetere. E contiene ciò che ogni approfondimento onesto rischia di contenere: </w:t>
      </w:r>
      <w:r>
        <w:rPr>
          <w:rFonts w:ascii="Barlow Semi Condensed" w:cs="Barlow Semi Condensed" w:eastAsia="Barlow Semi Condensed" w:hAnsi="Barlow Semi Condensed"/>
          <w:b/>
          <w:bCs/>
          <w:i w:val="false"/>
          <w:iCs w:val="false"/>
          <w:sz w:val="24"/>
          <w:szCs w:val="24"/>
        </w:rPr>
        <w:t xml:space="preserve">una correzione del corpus stesso</w:t>
      </w:r>
      <w:r>
        <w:rPr>
          <w:rFonts w:ascii="Barlow Semi Condensed" w:cs="Barlow Semi Condensed" w:eastAsia="Barlow Semi Condensed" w:hAnsi="Barlow Semi Condensed"/>
          <w:i w:val="false"/>
          <w:iCs w:val="false"/>
          <w:sz w:val="24"/>
          <w:szCs w:val="24"/>
        </w:rPr>
        <w:t xml:space="preserve">. La verifica condotta per questa scheda ha accertato che un'evidenza usata dalla matrice ACH del documento delle metodologie va </w:t>
      </w:r>
      <w:r>
        <w:rPr>
          <w:rFonts w:ascii="Barlow Semi Condensed" w:cs="Barlow Semi Condensed" w:eastAsia="Barlow Semi Condensed" w:hAnsi="Barlow Semi Condensed"/>
          <w:b/>
          <w:bCs/>
          <w:i w:val="false"/>
          <w:iCs w:val="false"/>
          <w:sz w:val="24"/>
          <w:szCs w:val="24"/>
        </w:rPr>
        <w:t xml:space="preserve">retrocessa</w:t>
      </w:r>
      <w:r>
        <w:rPr>
          <w:rFonts w:ascii="Barlow Semi Condensed" w:cs="Barlow Semi Condensed" w:eastAsia="Barlow Semi Condensed" w:hAnsi="Barlow Semi Condensed"/>
          <w:i w:val="false"/>
          <w:iCs w:val="false"/>
          <w:sz w:val="24"/>
          <w:szCs w:val="24"/>
        </w:rPr>
        <w:t xml:space="preserve">, e la retrocessione è dichiarata qui e annotata là — perché la Regola di Ferro vale prima di tutto contro di noi.</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Nota di revisione n. 1 — La testimonianza Marini e il parabrezza</w:t>
      </w:r>
    </w:p>
    <w:p>
      <w:pPr>
        <w:spacing w:after="120" w:line="276"/>
        <w:jc w:val="both"/>
      </w:pPr>
      <w:r>
        <w:rPr>
          <w:rFonts w:ascii="Barlow Semi Condensed" w:cs="Barlow Semi Condensed" w:eastAsia="Barlow Semi Condensed" w:hAnsi="Barlow Semi Condensed"/>
          <w:sz w:val="24"/>
          <w:szCs w:val="24"/>
        </w:rPr>
        <w:t xml:space="preserve">La matrice ACH sulle «due moto» aveva classificato come unica evidenza diagnostica i «colpi esplosi in direzione dell'ing. Marini dalla Honda» (grado B). L'approfondimento impone di correggere. Alessandro Marini — il teste più citato dalla sentenza del primo processo quanto alla Honda, e l'unico civile contro cui sarebbero stati esplosi colpi in via Fani — </w:t>
      </w:r>
      <w:r>
        <w:rPr>
          <w:rFonts w:ascii="Barlow Semi Condensed" w:cs="Barlow Semi Condensed" w:eastAsia="Barlow Semi Condensed" w:hAnsi="Barlow Semi Condensed"/>
          <w:b/>
          <w:bCs/>
          <w:sz w:val="24"/>
          <w:szCs w:val="24"/>
        </w:rPr>
        <w:t xml:space="preserve">ammise ai consulenti della Commissione Moro 2 che la circostanza del parabrezza del suo motorino infranto dai colpi non era vera</w:t>
      </w:r>
      <w:r>
        <w:rPr>
          <w:rFonts w:ascii="Barlow Semi Condensed" w:cs="Barlow Semi Condensed" w:eastAsia="Barlow Semi Condensed" w:hAnsi="Barlow Semi Condensed"/>
          <w:sz w:val="24"/>
          <w:szCs w:val="24"/>
        </w:rPr>
        <w:t xml:space="preserve">: il parabrezza si era rotto giorni prima per una caduta ed era stato riattaccato con nastro da imballaggio, come risulta visibile nelle fotografie scattate in via Fani </w:t>
      </w:r>
      <w:r>
        <w:rPr>
          <w:rFonts w:ascii="Barlow Semi Condensed" w:cs="Barlow Semi Condensed" w:eastAsia="Barlow Semi Condensed" w:hAnsi="Barlow Semi Condensed"/>
          <w:b/>
          <w:bCs/>
          <w:sz w:val="24"/>
          <w:szCs w:val="24"/>
        </w:rPr>
        <w:t xml:space="preserve">la mattina stessa dell'agguato</w:t>
      </w:r>
      <w:r>
        <w:rPr>
          <w:rFonts w:ascii="Barlow Semi Condensed" w:cs="Barlow Semi Condensed" w:eastAsia="Barlow Semi Condensed" w:hAnsi="Barlow Semi Condensed"/>
          <w:sz w:val="24"/>
          <w:szCs w:val="24"/>
        </w:rPr>
        <w:t xml:space="preserve">, riscontrate dalla Commissione (Il Fatto Quotidiano, «l'Honda di via Fani resta un mistero» (https://www.ilfattoquotidiano.it/2014/03/23/caso-moro-36-anni-dopo-lhonda-di-via-fani-resta-ancora-un-mistero/923461/); Anni Affollati, «La moto Honda e il motorino» (https://www.anniaffollati.it/sezioni/sotto-un-dominio-caso-moro/via-fani/9-honda-motorino.html); per la lettura critica integrale della testimonianza: Insorgenze (https://insorgenze.net/2015/04/23/la-colonna-sonora-di-via-fani-dei-nuovi-documenti-smontano-la-storia-della-honda-e-le-fantasie-del-supertestimone-marini/)).</w:t>
      </w:r>
    </w:p>
    <w:p>
      <w:pPr>
        <w:spacing w:after="120" w:line="276"/>
        <w:jc w:val="both"/>
      </w:pPr>
      <w:r>
        <w:rPr>
          <w:rFonts w:ascii="Barlow Semi Condensed" w:cs="Barlow Semi Condensed" w:eastAsia="Barlow Semi Condensed" w:hAnsi="Barlow Semi Condensed"/>
          <w:b/>
          <w:bCs/>
          <w:sz w:val="24"/>
          <w:szCs w:val="24"/>
        </w:rPr>
        <w:t xml:space="preserve">Che cosa cade e che cosa resta.</w:t>
      </w:r>
      <w:r>
        <w:rPr>
          <w:rFonts w:ascii="Barlow Semi Condensed" w:cs="Barlow Semi Condensed" w:eastAsia="Barlow Semi Condensed" w:hAnsi="Barlow Semi Condensed"/>
          <w:sz w:val="24"/>
          <w:szCs w:val="24"/>
        </w:rPr>
        <w:t xml:space="preserve"> Cade la </w:t>
      </w:r>
      <w:r>
        <w:rPr>
          <w:rFonts w:ascii="Barlow Semi Condensed" w:cs="Barlow Semi Condensed" w:eastAsia="Barlow Semi Condensed" w:hAnsi="Barlow Semi Condensed"/>
          <w:b/>
          <w:bCs/>
          <w:sz w:val="24"/>
          <w:szCs w:val="24"/>
        </w:rPr>
        <w:t xml:space="preserve">corroborazione fisica</w:t>
      </w:r>
      <w:r>
        <w:rPr>
          <w:rFonts w:ascii="Barlow Semi Condensed" w:cs="Barlow Semi Condensed" w:eastAsia="Barlow Semi Condensed" w:hAnsi="Barlow Semi Condensed"/>
          <w:sz w:val="24"/>
          <w:szCs w:val="24"/>
        </w:rPr>
        <w:t xml:space="preserve"> dei colpi dalla Honda — l'elemento che rendeva la testimonianza «diagnostica» nella matrice. Resta: la testimonianza dei colpi in sé, ora </w:t>
      </w:r>
      <w:r>
        <w:rPr>
          <w:rFonts w:ascii="Barlow Semi Condensed" w:cs="Barlow Semi Condensed" w:eastAsia="Barlow Semi Condensed" w:hAnsi="Barlow Semi Condensed"/>
          <w:b/>
          <w:bCs/>
          <w:sz w:val="24"/>
          <w:szCs w:val="24"/>
        </w:rPr>
        <w:t xml:space="preserve">contestata e in parte ritrattata</w:t>
      </w:r>
      <w:r>
        <w:rPr>
          <w:rFonts w:ascii="Barlow Semi Condensed" w:cs="Barlow Semi Condensed" w:eastAsia="Barlow Semi Condensed" w:hAnsi="Barlow Semi Condensed"/>
          <w:sz w:val="24"/>
          <w:szCs w:val="24"/>
        </w:rPr>
        <w:t xml:space="preserve">; la circostanza — riferita dallo stesso Marini fin dal 1978 — delle </w:t>
      </w:r>
      <w:r>
        <w:rPr>
          <w:rFonts w:ascii="Barlow Semi Condensed" w:cs="Barlow Semi Condensed" w:eastAsia="Barlow Semi Condensed" w:hAnsi="Barlow Semi Condensed"/>
          <w:b/>
          <w:bCs/>
          <w:sz w:val="24"/>
          <w:szCs w:val="24"/>
        </w:rPr>
        <w:t xml:space="preserve">telefonate minatorie</w:t>
      </w:r>
      <w:r>
        <w:rPr>
          <w:rFonts w:ascii="Barlow Semi Condensed" w:cs="Barlow Semi Condensed" w:eastAsia="Barlow Semi Condensed" w:hAnsi="Barlow Semi Condensed"/>
          <w:sz w:val="24"/>
          <w:szCs w:val="24"/>
        </w:rPr>
        <w:t xml:space="preserve"> ricevute la sera stessa («devi tacere»), che è a sua volta un elemento da pesare e non da assumere; e le altre testimonianze d'epoca sulla presenza di una Honda blu, indipendenti da Marini. </w:t>
      </w:r>
      <w:r>
        <w:rPr>
          <w:rFonts w:ascii="Barlow Semi Condensed" w:cs="Barlow Semi Condensed" w:eastAsia="Barlow Semi Condensed" w:hAnsi="Barlow Semi Condensed"/>
          <w:b/>
          <w:bCs/>
          <w:sz w:val="24"/>
          <w:szCs w:val="24"/>
        </w:rPr>
        <w:t xml:space="preserve">Aggiornamento della matrice ACH:</w:t>
      </w:r>
      <w:r>
        <w:rPr>
          <w:rFonts w:ascii="Barlow Semi Condensed" w:cs="Barlow Semi Condensed" w:eastAsia="Barlow Semi Condensed" w:hAnsi="Barlow Semi Condensed"/>
          <w:sz w:val="24"/>
          <w:szCs w:val="24"/>
        </w:rPr>
        <w:t xml:space="preserve"> la riga E2 scende da diagnostica a controversa; l'ipotesi H1 (inattendibilità/errore del teste) riacquista pieno campo; e la conseguenza operativa è netta — </w:t>
      </w:r>
      <w:r>
        <w:rPr>
          <w:rFonts w:ascii="Barlow Semi Condensed" w:cs="Barlow Semi Condensed" w:eastAsia="Barlow Semi Condensed" w:hAnsi="Barlow Semi Condensed"/>
          <w:b/>
          <w:bCs/>
          <w:sz w:val="24"/>
          <w:szCs w:val="24"/>
        </w:rPr>
        <w:t xml:space="preserve">nessuna testimonianza decide più nulla, da sola, su via Fani: decidono i reperti.</w:t>
      </w:r>
      <w:r>
        <w:rPr>
          <w:rFonts w:ascii="Barlow Semi Condensed" w:cs="Barlow Semi Condensed" w:eastAsia="Barlow Semi Condensed" w:hAnsi="Barlow Semi Condensed"/>
          <w:sz w:val="24"/>
          <w:szCs w:val="24"/>
        </w:rPr>
        <w:t xml:space="preserve"> Il che, si noti, non indebolisce la pista PN-1: la </w:t>
      </w:r>
      <w:r>
        <w:rPr>
          <w:rFonts w:ascii="Barlow Semi Condensed" w:cs="Barlow Semi Condensed" w:eastAsia="Barlow Semi Condensed" w:hAnsi="Barlow Semi Condensed"/>
          <w:i/>
          <w:iCs/>
          <w:sz w:val="24"/>
          <w:szCs w:val="24"/>
        </w:rPr>
        <w:t xml:space="preserve">sposta</w:t>
      </w:r>
      <w:r>
        <w:rPr>
          <w:rFonts w:ascii="Barlow Semi Condensed" w:cs="Barlow Semi Condensed" w:eastAsia="Barlow Semi Condensed" w:hAnsi="Barlow Semi Condensed"/>
          <w:sz w:val="24"/>
          <w:szCs w:val="24"/>
        </w:rPr>
        <w:t xml:space="preserve"> definitivamente sul suo fondamento giusto, che era e resta la balistica. La graduatoria non cambia; cambia — in meglio — la ragione per cui la testa della graduatoria è quella.</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Scheda PN-1 — Le terze presenze non attribuite (89,0)</w:t>
      </w:r>
    </w:p>
    <w:p>
      <w:pPr>
        <w:spacing w:after="120" w:line="276"/>
        <w:jc w:val="both"/>
      </w:pPr>
      <w:r>
        <w:rPr>
          <w:rFonts w:ascii="Barlow Semi Condensed" w:cs="Barlow Semi Condensed" w:eastAsia="Barlow Semi Condensed" w:hAnsi="Barlow Semi Condensed"/>
          <w:b/>
          <w:bCs/>
          <w:sz w:val="24"/>
          <w:szCs w:val="24"/>
        </w:rPr>
        <w:t xml:space="preserve">La storia degli accertamenti, con la divergenza che è il vero quesito.</w:t>
      </w:r>
      <w:r>
        <w:rPr>
          <w:rFonts w:ascii="Barlow Semi Condensed" w:cs="Barlow Semi Condensed" w:eastAsia="Barlow Semi Condensed" w:hAnsi="Barlow Semi Condensed"/>
          <w:sz w:val="24"/>
          <w:szCs w:val="24"/>
        </w:rPr>
        <w:t xml:space="preserve"> Sul selciato di via Fani furono repertati </w:t>
      </w:r>
      <w:r>
        <w:rPr>
          <w:rFonts w:ascii="Barlow Semi Condensed" w:cs="Barlow Semi Condensed" w:eastAsia="Barlow Semi Condensed" w:hAnsi="Barlow Semi Condensed"/>
          <w:b/>
          <w:bCs/>
          <w:sz w:val="24"/>
          <w:szCs w:val="24"/>
        </w:rPr>
        <w:t xml:space="preserve">91 bossoli</w:t>
      </w:r>
      <w:r>
        <w:rPr>
          <w:rFonts w:ascii="Barlow Semi Condensed" w:cs="Barlow Semi Condensed" w:eastAsia="Barlow Semi Condensed" w:hAnsi="Barlow Semi Condensed"/>
          <w:sz w:val="24"/>
          <w:szCs w:val="24"/>
        </w:rPr>
        <w:t xml:space="preserve">. La perizia storica li ripartì così: </w:t>
      </w:r>
      <w:r>
        <w:rPr>
          <w:rFonts w:ascii="Barlow Semi Condensed" w:cs="Barlow Semi Condensed" w:eastAsia="Barlow Semi Condensed" w:hAnsi="Barlow Semi Condensed"/>
          <w:b/>
          <w:bCs/>
          <w:sz w:val="24"/>
          <w:szCs w:val="24"/>
        </w:rPr>
        <w:t xml:space="preserve">49 a un'unica arma automatica</w:t>
      </w:r>
      <w:r>
        <w:rPr>
          <w:rFonts w:ascii="Barlow Semi Condensed" w:cs="Barlow Semi Condensed" w:eastAsia="Barlow Semi Condensed" w:hAnsi="Barlow Semi Condensed"/>
          <w:sz w:val="24"/>
          <w:szCs w:val="24"/>
        </w:rPr>
        <w:t xml:space="preserve"> (un mitra FNAB-43, per alcune letture uno Sten), </w:t>
      </w:r>
      <w:r>
        <w:rPr>
          <w:rFonts w:ascii="Barlow Semi Condensed" w:cs="Barlow Semi Condensed" w:eastAsia="Barlow Semi Condensed" w:hAnsi="Barlow Semi Condensed"/>
          <w:b/>
          <w:bCs/>
          <w:sz w:val="24"/>
          <w:szCs w:val="24"/>
        </w:rPr>
        <w:t xml:space="preserve">22 a un secondo FNAB-43</w:t>
      </w:r>
      <w:r>
        <w:rPr>
          <w:rFonts w:ascii="Barlow Semi Condensed" w:cs="Barlow Semi Condensed" w:eastAsia="Barlow Semi Condensed" w:hAnsi="Barlow Semi Condensed"/>
          <w:sz w:val="24"/>
          <w:szCs w:val="24"/>
        </w:rPr>
        <w:t xml:space="preserve">, 5 a un mitra TZ-45, 3 a una Beretta M12, 8 a una pistola Smith &amp; Wesson 9mm. La </w:t>
      </w:r>
      <w:r>
        <w:rPr>
          <w:rFonts w:ascii="Barlow Semi Condensed" w:cs="Barlow Semi Condensed" w:eastAsia="Barlow Semi Condensed" w:hAnsi="Barlow Semi Condensed"/>
          <w:b/>
          <w:bCs/>
          <w:sz w:val="24"/>
          <w:szCs w:val="24"/>
        </w:rPr>
        <w:t xml:space="preserve">perizia disposta nel 2015 dalla Polizia di Stato per la Commissione Moro 2 ha sostanzialmente confermato</w:t>
      </w:r>
      <w:r>
        <w:rPr>
          <w:rFonts w:ascii="Barlow Semi Condensed" w:cs="Barlow Semi Condensed" w:eastAsia="Barlow Semi Condensed" w:hAnsi="Barlow Semi Condensed"/>
          <w:sz w:val="24"/>
          <w:szCs w:val="24"/>
        </w:rPr>
        <w:t xml:space="preserve"> questa ripartizione; ma la </w:t>
      </w:r>
      <w:r>
        <w:rPr>
          <w:rFonts w:ascii="Barlow Semi Condensed" w:cs="Barlow Semi Condensed" w:eastAsia="Barlow Semi Condensed" w:hAnsi="Barlow Semi Condensed"/>
          <w:b/>
          <w:bCs/>
          <w:sz w:val="24"/>
          <w:szCs w:val="24"/>
        </w:rPr>
        <w:t xml:space="preserve">perizia Salza-Benedetti degli anni Novanta non era riuscita a confermare</w:t>
      </w:r>
      <w:r>
        <w:rPr>
          <w:rFonts w:ascii="Barlow Semi Condensed" w:cs="Barlow Semi Condensed" w:eastAsia="Barlow Semi Condensed" w:hAnsi="Barlow Semi Condensed"/>
          <w:sz w:val="24"/>
          <w:szCs w:val="24"/>
        </w:rPr>
        <w:t xml:space="preserve"> l'attribuzione dei 49 bossoli alla medesima arma (Wikipedia, </w:t>
      </w:r>
      <w:r>
        <w:rPr>
          <w:rFonts w:ascii="Barlow Semi Condensed" w:cs="Barlow Semi Condensed" w:eastAsia="Barlow Semi Condensed" w:hAnsi="Barlow Semi Condensed"/>
          <w:i/>
          <w:iCs/>
          <w:sz w:val="24"/>
          <w:szCs w:val="24"/>
        </w:rPr>
        <w:t xml:space="preserve">Agguato di via Fani</w:t>
      </w:r>
      <w:r>
        <w:rPr>
          <w:rFonts w:ascii="Barlow Semi Condensed" w:cs="Barlow Semi Condensed" w:eastAsia="Barlow Semi Condensed" w:hAnsi="Barlow Semi Condensed"/>
          <w:sz w:val="24"/>
          <w:szCs w:val="24"/>
        </w:rPr>
        <w:t xml:space="preserve"> (https://it.wikipedia.org/wiki/Agguato_di_via_Fani); Claudio Meloni, la prima perizia (https://meloniclaudio.wordpress.com/2015/07/06/via-fani-la-prima-perizia-balistica/); per il dibattito: AgoraVox, «il superkiller e i 49 colpi» (https://www.agoravox.it/Caso-Moro-Il-superkiller-di-via.html)). Attorno a questa cifra è cresciuta la lettura del «superkiller» — un tiratore d'eccezione estraneo al commando giudicato — che è </w:t>
      </w:r>
      <w:r>
        <w:rPr>
          <w:rFonts w:ascii="Barlow Semi Condensed" w:cs="Barlow Semi Condensed" w:eastAsia="Barlow Semi Condensed" w:hAnsi="Barlow Semi Condensed"/>
          <w:b/>
          <w:bCs/>
          <w:sz w:val="24"/>
          <w:szCs w:val="24"/>
        </w:rPr>
        <w:t xml:space="preserve">congettura interpretativa (C)</w:t>
      </w:r>
      <w:r>
        <w:rPr>
          <w:rFonts w:ascii="Barlow Semi Condensed" w:cs="Barlow Semi Condensed" w:eastAsia="Barlow Semi Condensed" w:hAnsi="Barlow Semi Condensed"/>
          <w:sz w:val="24"/>
          <w:szCs w:val="24"/>
        </w:rPr>
        <w:t xml:space="preserve"> costruita su un dato peritale controverso; e circolano in pubblicistica contestazioni ulteriori (bossoli di calibro diverso sul marciapiede destro, secondo un perito di parte), che vanno registrate come </w:t>
      </w:r>
      <w:r>
        <w:rPr>
          <w:rFonts w:ascii="Barlow Semi Condensed" w:cs="Barlow Semi Condensed" w:eastAsia="Barlow Semi Condensed" w:hAnsi="Barlow Semi Condensed"/>
          <w:b/>
          <w:bCs/>
          <w:sz w:val="24"/>
          <w:szCs w:val="24"/>
        </w:rPr>
        <w:t xml:space="preserve">tesi di parte non riscontrate</w:t>
      </w:r>
      <w:r>
        <w:rPr>
          <w:rFonts w:ascii="Barlow Semi Condensed" w:cs="Barlow Semi Condensed" w:eastAsia="Barlow Semi Condensed" w:hAnsi="Barlow Semi Condensed"/>
          <w:sz w:val="24"/>
          <w:szCs w:val="24"/>
        </w:rPr>
        <w:t xml:space="preserve"> (Cicinelli (https://www.gianlucacicinelli.it/la-perizia-su-via-fani-e-un-depistaggio-di-stato/) — titolo stesso di parte).</w:t>
      </w:r>
    </w:p>
    <w:p>
      <w:pPr>
        <w:spacing w:after="120" w:line="276"/>
        <w:jc w:val="both"/>
      </w:pPr>
      <w:r>
        <w:rPr>
          <w:rFonts w:ascii="Barlow Semi Condensed" w:cs="Barlow Semi Condensed" w:eastAsia="Barlow Semi Condensed" w:hAnsi="Barlow Semi Condensed"/>
          <w:b/>
          <w:bCs/>
          <w:sz w:val="24"/>
          <w:szCs w:val="24"/>
        </w:rPr>
        <w:t xml:space="preserve">Il quesito esatto</w:t>
      </w:r>
      <w:r>
        <w:rPr>
          <w:rFonts w:ascii="Barlow Semi Condensed" w:cs="Barlow Semi Condensed" w:eastAsia="Barlow Semi Condensed" w:hAnsi="Barlow Semi Condensed"/>
          <w:sz w:val="24"/>
          <w:szCs w:val="24"/>
        </w:rPr>
        <w:t xml:space="preserve">, spogliato di ogni suggestione: </w:t>
      </w:r>
      <w:r>
        <w:rPr>
          <w:rFonts w:ascii="Barlow Semi Condensed" w:cs="Barlow Semi Condensed" w:eastAsia="Barlow Semi Condensed" w:hAnsi="Barlow Semi Condensed"/>
          <w:i/>
          <w:iCs/>
          <w:sz w:val="24"/>
          <w:szCs w:val="24"/>
        </w:rPr>
        <w:t xml:space="preserve">(a)</w:t>
      </w:r>
      <w:r>
        <w:rPr>
          <w:rFonts w:ascii="Barlow Semi Condensed" w:cs="Barlow Semi Condensed" w:eastAsia="Barlow Semi Condensed" w:hAnsi="Barlow Semi Condensed"/>
          <w:sz w:val="24"/>
          <w:szCs w:val="24"/>
        </w:rPr>
        <w:t xml:space="preserve"> i 49 bossoli sono davvero di un'arma sola? </w:t>
      </w:r>
      <w:r>
        <w:rPr>
          <w:rFonts w:ascii="Barlow Semi Condensed" w:cs="Barlow Semi Condensed" w:eastAsia="Barlow Semi Condensed" w:hAnsi="Barlow Semi Condensed"/>
          <w:i/>
          <w:iCs/>
          <w:sz w:val="24"/>
          <w:szCs w:val="24"/>
        </w:rPr>
        <w:t xml:space="preserve">(b)</w:t>
      </w:r>
      <w:r>
        <w:rPr>
          <w:rFonts w:ascii="Barlow Semi Condensed" w:cs="Barlow Semi Condensed" w:eastAsia="Barlow Semi Condensed" w:hAnsi="Barlow Semi Condensed"/>
          <w:sz w:val="24"/>
          <w:szCs w:val="24"/>
        </w:rPr>
        <w:t xml:space="preserve"> le armi repertate/attribuite coprono tutti i 91 bossoli senza residuo? </w:t>
      </w:r>
      <w:r>
        <w:rPr>
          <w:rFonts w:ascii="Barlow Semi Condensed" w:cs="Barlow Semi Condensed" w:eastAsia="Barlow Semi Condensed" w:hAnsi="Barlow Semi Condensed"/>
          <w:i/>
          <w:iCs/>
          <w:sz w:val="24"/>
          <w:szCs w:val="24"/>
        </w:rPr>
        <w:t xml:space="preserve">(c)</w:t>
      </w:r>
      <w:r>
        <w:rPr>
          <w:rFonts w:ascii="Barlow Semi Condensed" w:cs="Barlow Semi Condensed" w:eastAsia="Barlow Semi Condensed" w:hAnsi="Barlow Semi Condensed"/>
          <w:sz w:val="24"/>
          <w:szCs w:val="24"/>
        </w:rPr>
        <w:t xml:space="preserve"> esistono tracce fisiche — bossoli, ogive, frammenti — non riconducibili alle armi del commando giudicato?</w:t>
      </w:r>
    </w:p>
    <w:p>
      <w:pPr>
        <w:spacing w:after="120" w:line="276"/>
        <w:jc w:val="both"/>
      </w:pPr>
      <w:r>
        <w:rPr>
          <w:rFonts w:ascii="Barlow Semi Condensed" w:cs="Barlow Semi Condensed" w:eastAsia="Barlow Semi Condensed" w:hAnsi="Barlow Semi Condensed"/>
          <w:b/>
          <w:bCs/>
          <w:sz w:val="24"/>
          <w:szCs w:val="24"/>
        </w:rPr>
        <w:t xml:space="preserve">L'atto raffinato.</w:t>
      </w:r>
      <w:r>
        <w:rPr>
          <w:rFonts w:ascii="Barlow Semi Condensed" w:cs="Barlow Semi Condensed" w:eastAsia="Barlow Semi Condensed" w:hAnsi="Barlow Semi Condensed"/>
          <w:sz w:val="24"/>
          <w:szCs w:val="24"/>
        </w:rPr>
        <w:t xml:space="preserve"> Non «una nuova perizia» generica, ma una </w:t>
      </w:r>
      <w:r>
        <w:rPr>
          <w:rFonts w:ascii="Barlow Semi Condensed" w:cs="Barlow Semi Condensed" w:eastAsia="Barlow Semi Condensed" w:hAnsi="Barlow Semi Condensed"/>
          <w:b/>
          <w:bCs/>
          <w:sz w:val="24"/>
          <w:szCs w:val="24"/>
        </w:rPr>
        <w:t xml:space="preserve">perizia di sintesi e dirimente</w:t>
      </w:r>
      <w:r>
        <w:rPr>
          <w:rFonts w:ascii="Barlow Semi Condensed" w:cs="Barlow Semi Condensed" w:eastAsia="Barlow Semi Condensed" w:hAnsi="Barlow Semi Condensed"/>
          <w:sz w:val="24"/>
          <w:szCs w:val="24"/>
        </w:rPr>
        <w:t xml:space="preserve">: ri-esame integrale dei 91 bossoli con comparatore balistico moderno e microscopia 3D, quesito esplicito sulla divergenza fra le tre perizie (1978 / anni Novanta / 2015), e — </w:t>
      </w:r>
      <w:r>
        <w:rPr>
          <w:rFonts w:ascii="Barlow Semi Condensed" w:cs="Barlow Semi Condensed" w:eastAsia="Barlow Semi Condensed" w:hAnsi="Barlow Semi Condensed"/>
          <w:b/>
          <w:bCs/>
          <w:sz w:val="24"/>
          <w:szCs w:val="24"/>
        </w:rPr>
        <w:t xml:space="preserve">prima di tutto</w:t>
      </w:r>
      <w:r>
        <w:rPr>
          <w:rFonts w:ascii="Barlow Semi Condensed" w:cs="Barlow Semi Condensed" w:eastAsia="Barlow Semi Condensed" w:hAnsi="Barlow Semi Condensed"/>
          <w:sz w:val="24"/>
          <w:szCs w:val="24"/>
        </w:rPr>
        <w:t xml:space="preserve"> — la </w:t>
      </w:r>
      <w:r>
        <w:rPr>
          <w:rFonts w:ascii="Barlow Semi Condensed" w:cs="Barlow Semi Condensed" w:eastAsia="Barlow Semi Condensed" w:hAnsi="Barlow Semi Condensed"/>
          <w:b/>
          <w:bCs/>
          <w:sz w:val="24"/>
          <w:szCs w:val="24"/>
        </w:rPr>
        <w:t xml:space="preserve">ricostruzione della catena di custodia dei reperti</w:t>
      </w:r>
      <w:r>
        <w:rPr>
          <w:rFonts w:ascii="Barlow Semi Condensed" w:cs="Barlow Semi Condensed" w:eastAsia="Barlow Semi Condensed" w:hAnsi="Barlow Semi Condensed"/>
          <w:sz w:val="24"/>
          <w:szCs w:val="24"/>
        </w:rPr>
        <w:t xml:space="preserve">: in un cold case di 48 anni, la prima causa di fallimento non è la scienza ma il reperto degradato o non più tracciabile. Se la catena non regge, va detto: anche questo è un esito.</w:t>
      </w:r>
    </w:p>
    <w:p>
      <w:pPr>
        <w:spacing w:after="120" w:line="276"/>
        <w:jc w:val="both"/>
      </w:pPr>
      <w:r>
        <w:rPr>
          <w:rFonts w:ascii="Barlow Semi Condensed" w:cs="Barlow Semi Condensed" w:eastAsia="Barlow Semi Condensed" w:hAnsi="Barlow Semi Condensed"/>
          <w:b/>
          <w:bCs/>
          <w:sz w:val="24"/>
          <w:szCs w:val="24"/>
        </w:rPr>
        <w:t xml:space="preserve">Errori da non ripetere:</w:t>
      </w:r>
      <w:r>
        <w:rPr>
          <w:rFonts w:ascii="Barlow Semi Condensed" w:cs="Barlow Semi Condensed" w:eastAsia="Barlow Semi Condensed" w:hAnsi="Barlow Semi Condensed"/>
          <w:sz w:val="24"/>
          <w:szCs w:val="24"/>
        </w:rPr>
        <w:t xml:space="preserve"> fondare la pista su testimoni (v. Nota di revisione n. 1); confondere la divergenza peritale con la prova del terzo uomo — la divergenza è un problema di laboratorio finché un residuo balistico non attribuibile non emerga davvero.</w:t>
      </w:r>
    </w:p>
    <w:p>
      <w:pPr>
        <w:spacing w:after="120" w:line="276"/>
        <w:jc w:val="both"/>
      </w:pPr>
      <w:r>
        <w:rPr>
          <w:rFonts w:ascii="Barlow Semi Condensed" w:cs="Barlow Semi Condensed" w:eastAsia="Barlow Semi Condensed" w:hAnsi="Barlow Semi Condensed"/>
          <w:b/>
          <w:bCs/>
          <w:sz w:val="24"/>
          <w:szCs w:val="24"/>
        </w:rPr>
        <w:t xml:space="preserve">Criterio di chiusura aggiornato:</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(i)</w:t>
      </w:r>
      <w:r>
        <w:rPr>
          <w:rFonts w:ascii="Barlow Semi Condensed" w:cs="Barlow Semi Condensed" w:eastAsia="Barlow Semi Condensed" w:hAnsi="Barlow Semi Condensed"/>
          <w:sz w:val="24"/>
          <w:szCs w:val="24"/>
        </w:rPr>
        <w:t xml:space="preserve"> tutte le tracce tornano alle armi del commando giudicato → l'ipotesi delle presenze operative estranee perde il suo unico possibile fondamento fisico su via Fani; </w:t>
      </w:r>
      <w:r>
        <w:rPr>
          <w:rFonts w:ascii="Barlow Semi Condensed" w:cs="Barlow Semi Condensed" w:eastAsia="Barlow Semi Condensed" w:hAnsi="Barlow Semi Condensed"/>
          <w:i/>
          <w:iCs/>
          <w:sz w:val="24"/>
          <w:szCs w:val="24"/>
        </w:rPr>
        <w:t xml:space="preserve">(ii)</w:t>
      </w:r>
      <w:r>
        <w:rPr>
          <w:rFonts w:ascii="Barlow Semi Condensed" w:cs="Barlow Semi Condensed" w:eastAsia="Barlow Semi Condensed" w:hAnsi="Barlow Semi Condensed"/>
          <w:sz w:val="24"/>
          <w:szCs w:val="24"/>
        </w:rPr>
        <w:t xml:space="preserve"> emerge un residuo non attribuibile → si apre un'identificazione giudiziaria, e sarà il fascicolo a condurla.</w:t>
      </w:r>
    </w:p>
    <w:p>
      <w:pPr>
        <w:pStyle w:val="Heading2"/>
        <w:spacing w:after="100" w:before="200"/>
      </w:pPr>
      <w:r>
        <w:rPr>
          <w:rFonts w:ascii="Barlow Semi Condensed" w:cs="Barlow Semi Condensed" w:eastAsia="Barlow Semi Condensed" w:hAnsi="Barlow Semi Condensed"/>
          <w:sz w:val="24"/>
          <w:szCs w:val="24"/>
        </w:rPr>
        <w:t xml:space="preserve">Scheda PN-7 — I testimoni viventi (77,5)</w:t>
      </w:r>
    </w:p>
    <w:p>
      <w:pPr>
        <w:spacing w:after="120" w:line="276"/>
        <w:jc w:val="both"/>
      </w:pPr>
      <w:r>
        <w:rPr>
          <w:rFonts w:ascii="Barlow Semi Condensed" w:cs="Barlow Semi Condensed" w:eastAsia="Barlow Semi Condensed" w:hAnsi="Barlow Semi Condensed"/>
          <w:b/>
          <w:bCs/>
          <w:sz w:val="24"/>
          <w:szCs w:val="24"/>
        </w:rPr>
        <w:t xml:space="preserve">Perché la pista vale, dimostrato dal suo stesso caso peggiore.</w:t>
      </w:r>
      <w:r>
        <w:rPr>
          <w:rFonts w:ascii="Barlow Semi Condensed" w:cs="Barlow Semi Condensed" w:eastAsia="Barlow Semi Condensed" w:hAnsi="Barlow Semi Condensed"/>
          <w:sz w:val="24"/>
          <w:szCs w:val="24"/>
        </w:rPr>
        <w:t xml:space="preserve"> Il caso Marini — che pure finisce in una ritrattazione — è la </w:t>
      </w:r>
      <w:r>
        <w:rPr>
          <w:rFonts w:ascii="Barlow Semi Condensed" w:cs="Barlow Semi Condensed" w:eastAsia="Barlow Semi Condensed" w:hAnsi="Barlow Semi Condensed"/>
          <w:b/>
          <w:bCs/>
          <w:sz w:val="24"/>
          <w:szCs w:val="24"/>
        </w:rPr>
        <w:t xml:space="preserve">prova del valore della ri-escussione</w:t>
      </w:r>
      <w:r>
        <w:rPr>
          <w:rFonts w:ascii="Barlow Semi Condensed" w:cs="Barlow Semi Condensed" w:eastAsia="Barlow Semi Condensed" w:hAnsi="Barlow Semi Condensed"/>
          <w:sz w:val="24"/>
          <w:szCs w:val="24"/>
        </w:rPr>
        <w:t xml:space="preserve">: fu proprio il ri-ascolto tardivo, incrociato con le fotografie del mattino, a produrre la correzione del quadro. La ri-escussione non serve a confermare i ricordi: serve a </w:t>
      </w:r>
      <w:r>
        <w:rPr>
          <w:rFonts w:ascii="Barlow Semi Condensed" w:cs="Barlow Semi Condensed" w:eastAsia="Barlow Semi Condensed" w:hAnsi="Barlow Semi Condensed"/>
          <w:b/>
          <w:bCs/>
          <w:sz w:val="24"/>
          <w:szCs w:val="24"/>
        </w:rPr>
        <w:t xml:space="preserve">correggerli contro i documenti</w:t>
      </w:r>
      <w:r>
        <w:rPr>
          <w:rFonts w:ascii="Barlow Semi Condensed" w:cs="Barlow Semi Condensed" w:eastAsia="Barlow Semi Condensed" w:hAnsi="Barlow Semi Condensed"/>
          <w:sz w:val="24"/>
          <w:szCs w:val="24"/>
        </w:rPr>
        <w:t xml:space="preserve">. E il precedente opposto vale altrettanto: </w:t>
      </w:r>
      <w:r>
        <w:rPr>
          <w:rFonts w:ascii="Barlow Semi Condensed" w:cs="Barlow Semi Condensed" w:eastAsia="Barlow Semi Condensed" w:hAnsi="Barlow Semi Condensed"/>
          <w:b/>
          <w:bCs/>
          <w:sz w:val="24"/>
          <w:szCs w:val="24"/>
        </w:rPr>
        <w:t xml:space="preserve">Giovanni De Chiara</w:t>
      </w:r>
      <w:r>
        <w:rPr>
          <w:rFonts w:ascii="Barlow Semi Condensed" w:cs="Barlow Semi Condensed" w:eastAsia="Barlow Semi Condensed" w:hAnsi="Barlow Semi Condensed"/>
          <w:sz w:val="24"/>
          <w:szCs w:val="24"/>
        </w:rPr>
        <w:t xml:space="preserve">, residente in via Fani, fu udito per la prima volta </w:t>
      </w:r>
      <w:r>
        <w:rPr>
          <w:rFonts w:ascii="Barlow Semi Condensed" w:cs="Barlow Semi Condensed" w:eastAsia="Barlow Semi Condensed" w:hAnsi="Barlow Semi Condensed"/>
          <w:b/>
          <w:bCs/>
          <w:sz w:val="24"/>
          <w:szCs w:val="24"/>
        </w:rPr>
        <w:t xml:space="preserve">dopo quasi quarant'anni</w:t>
      </w:r>
      <w:r>
        <w:rPr>
          <w:rFonts w:ascii="Barlow Semi Condensed" w:cs="Barlow Semi Condensed" w:eastAsia="Barlow Semi Condensed" w:hAnsi="Barlow Semi Condensed"/>
          <w:sz w:val="24"/>
          <w:szCs w:val="24"/>
        </w:rPr>
        <w:t xml:space="preserve"> dalla Commissione Moro 2 — la dimostrazione che il giacimento testimoniale non era esaurito, era inesplorato.</w:t>
      </w:r>
    </w:p>
    <w:p>
      <w:pPr>
        <w:spacing w:after="120" w:line="276"/>
        <w:jc w:val="both"/>
      </w:pPr>
      <w:r>
        <w:rPr>
          <w:rFonts w:ascii="Barlow Semi Condensed" w:cs="Barlow Semi Condensed" w:eastAsia="Barlow Semi Condensed" w:hAnsi="Barlow Semi Condensed"/>
          <w:b/>
          <w:bCs/>
          <w:sz w:val="24"/>
          <w:szCs w:val="24"/>
        </w:rPr>
        <w:t xml:space="preserve">L'atto raffinato: la raccolta conservativa in contraddittorio documentale.</w:t>
      </w:r>
      <w:r>
        <w:rPr>
          <w:rFonts w:ascii="Barlow Semi Condensed" w:cs="Barlow Semi Condensed" w:eastAsia="Barlow Semi Condensed" w:hAnsi="Barlow Semi Condensed"/>
          <w:sz w:val="24"/>
          <w:szCs w:val="24"/>
        </w:rPr>
        <w:t xml:space="preserve"> Censimento dei testimoni oculari viventi (residenti, passanti, esercenti della zona, personale intervenuto); escussione registrata integralmente, con protocolli di memoria assistita e — questa è la lezione Marini — </w:t>
      </w:r>
      <w:r>
        <w:rPr>
          <w:rFonts w:ascii="Barlow Semi Condensed" w:cs="Barlow Semi Condensed" w:eastAsia="Barlow Semi Condensed" w:hAnsi="Barlow Semi Condensed"/>
          <w:b/>
          <w:bCs/>
          <w:sz w:val="24"/>
          <w:szCs w:val="24"/>
        </w:rPr>
        <w:t xml:space="preserve">con le fotografie e le planimetrie d'epoca sul tavolo</w:t>
      </w:r>
      <w:r>
        <w:rPr>
          <w:rFonts w:ascii="Barlow Semi Condensed" w:cs="Barlow Semi Condensed" w:eastAsia="Barlow Semi Condensed" w:hAnsi="Barlow Semi Condensed"/>
          <w:sz w:val="24"/>
          <w:szCs w:val="24"/>
        </w:rPr>
        <w:t xml:space="preserve">, perché il ricordo sia vincolato ai documenti e non li sostituisca. Ogni deposizione va acquisita </w:t>
      </w:r>
      <w:r>
        <w:rPr>
          <w:rFonts w:ascii="Barlow Semi Condensed" w:cs="Barlow Semi Condensed" w:eastAsia="Barlow Semi Condensed" w:hAnsi="Barlow Semi Condensed"/>
          <w:i/>
          <w:iCs/>
          <w:sz w:val="24"/>
          <w:szCs w:val="24"/>
        </w:rPr>
        <w:t xml:space="preserve">ora</w:t>
      </w:r>
      <w:r>
        <w:rPr>
          <w:rFonts w:ascii="Barlow Semi Condensed" w:cs="Barlow Semi Condensed" w:eastAsia="Barlow Semi Condensed" w:hAnsi="Barlow Semi Condensed"/>
          <w:sz w:val="24"/>
          <w:szCs w:val="24"/>
        </w:rPr>
        <w:t xml:space="preserve"> e conservata </w:t>
      </w:r>
      <w:r>
        <w:rPr>
          <w:rFonts w:ascii="Barlow Semi Condensed" w:cs="Barlow Semi Condensed" w:eastAsia="Barlow Semi Condensed" w:hAnsi="Barlow Semi Condensed"/>
          <w:i/>
          <w:iCs/>
          <w:sz w:val="24"/>
          <w:szCs w:val="24"/>
        </w:rPr>
        <w:t xml:space="preserve">per dopo</w:t>
      </w:r>
      <w:r>
        <w:rPr>
          <w:rFonts w:ascii="Barlow Semi Condensed" w:cs="Barlow Semi Condensed" w:eastAsia="Barlow Semi Condensed" w:hAnsi="Barlow Semi Condensed"/>
          <w:sz w:val="24"/>
          <w:szCs w:val="24"/>
        </w:rPr>
        <w:t xml:space="preserve">: anche dove non sposti nulla oggi, sarà insostituibile quando un reperto (PN-1, PN-2) porrà domande nuove.</w:t>
      </w:r>
    </w:p>
    <w:p>
      <w:pPr>
        <w:spacing w:after="120" w:line="276"/>
        <w:jc w:val="both"/>
      </w:pPr>
      <w:r>
        <w:rPr>
          <w:rFonts w:ascii="Barlow Semi Condensed" w:cs="Barlow Semi Condensed" w:eastAsia="Barlow Semi Condensed" w:hAnsi="Barlow Semi Condensed"/>
          <w:b/>
          <w:bCs/>
          <w:sz w:val="24"/>
          <w:szCs w:val="24"/>
        </w:rPr>
        <w:t xml:space="preserve">Errori da non ripetere:</w:t>
      </w:r>
      <w:r>
        <w:rPr>
          <w:rFonts w:ascii="Barlow Semi Condensed" w:cs="Barlow Semi Condensed" w:eastAsia="Barlow Semi Condensed" w:hAnsi="Barlow Semi Condensed"/>
          <w:sz w:val="24"/>
          <w:szCs w:val="24"/>
        </w:rPr>
        <w:t xml:space="preserve"> trattare il testimone tardivo come oracolo (l'errore della pubblicistica) o come inutile (l'errore degli atti per quarant'anni su De Chiara). Il testimone è una fonte di grado B da incrociare, sempre.</w:t>
      </w:r>
    </w:p>
    <w:p>
      <w:pPr>
        <w:spacing w:after="120" w:line="276"/>
        <w:jc w:val="both"/>
      </w:pPr>
      <w:r>
        <w:rPr>
          <w:rFonts w:ascii="Barlow Semi Condensed" w:cs="Barlow Semi Condensed" w:eastAsia="Barlow Semi Condensed" w:hAnsi="Barlow Semi Condensed"/>
          <w:b/>
          <w:bCs/>
          <w:sz w:val="24"/>
          <w:szCs w:val="24"/>
        </w:rPr>
        <w:t xml:space="preserve">Criterio di chiusura:</w:t>
      </w:r>
      <w:r>
        <w:rPr>
          <w:rFonts w:ascii="Barlow Semi Condensed" w:cs="Barlow Semi Condensed" w:eastAsia="Barlow Semi Condensed" w:hAnsi="Barlow Semi Condensed"/>
          <w:sz w:val="24"/>
          <w:szCs w:val="24"/>
        </w:rPr>
        <w:t xml:space="preserve"> la pista non «chiude» — si esaurisce fisiologicamente col censimento completato e le escussioni depositate. L'urgenza resta massima: è l'unica pista con scadenza biologica.</w:t>
      </w:r>
    </w:p>
    <w:p>
      <w:pPr>
        <w:pStyle w:val="Heading2"/>
        <w:spacing w:after="100" w:before="200"/>
      </w:pPr>
      <w:r>
        <w:rPr>
          <w:rFonts w:ascii="Barlow Semi Condensed" w:cs="Barlow Semi Condensed" w:eastAsia="Barlow Semi Condensed" w:hAnsi="Barlow Semi Condensed"/>
          <w:sz w:val="24"/>
          <w:szCs w:val="24"/>
        </w:rPr>
        <w:t xml:space="preserve">Scheda PN-4 — La fonte della segnalazione «Gradoli» (74,5)</w:t>
      </w:r>
    </w:p>
    <w:p>
      <w:pPr>
        <w:spacing w:after="120" w:line="276"/>
        <w:jc w:val="both"/>
      </w:pPr>
      <w:r>
        <w:rPr>
          <w:rFonts w:ascii="Barlow Semi Condensed" w:cs="Barlow Semi Condensed" w:eastAsia="Barlow Semi Condensed" w:hAnsi="Barlow Semi Condensed"/>
          <w:b/>
          <w:bCs/>
          <w:sz w:val="24"/>
          <w:szCs w:val="24"/>
        </w:rPr>
        <w:t xml:space="preserve">Il fatto, nella sua interezza documentata.</w:t>
      </w:r>
      <w:r>
        <w:rPr>
          <w:rFonts w:ascii="Barlow Semi Condensed" w:cs="Barlow Semi Condensed" w:eastAsia="Barlow Semi Condensed" w:hAnsi="Barlow Semi Condensed"/>
          <w:sz w:val="24"/>
          <w:szCs w:val="24"/>
        </w:rPr>
        <w:t xml:space="preserve"> Domenica </w:t>
      </w:r>
      <w:r>
        <w:rPr>
          <w:rFonts w:ascii="Barlow Semi Condensed" w:cs="Barlow Semi Condensed" w:eastAsia="Barlow Semi Condensed" w:hAnsi="Barlow Semi Condensed"/>
          <w:b/>
          <w:bCs/>
          <w:sz w:val="24"/>
          <w:szCs w:val="24"/>
        </w:rPr>
        <w:t xml:space="preserve">2 aprile 1978</w:t>
      </w:r>
      <w:r>
        <w:rPr>
          <w:rFonts w:ascii="Barlow Semi Condensed" w:cs="Barlow Semi Condensed" w:eastAsia="Barlow Semi Condensed" w:hAnsi="Barlow Semi Condensed"/>
          <w:sz w:val="24"/>
          <w:szCs w:val="24"/>
        </w:rPr>
        <w:t xml:space="preserve">, a </w:t>
      </w:r>
      <w:r>
        <w:rPr>
          <w:rFonts w:ascii="Barlow Semi Condensed" w:cs="Barlow Semi Condensed" w:eastAsia="Barlow Semi Condensed" w:hAnsi="Barlow Semi Condensed"/>
          <w:b/>
          <w:bCs/>
          <w:sz w:val="24"/>
          <w:szCs w:val="24"/>
        </w:rPr>
        <w:t xml:space="preserve">Zappolino</w:t>
      </w:r>
      <w:r>
        <w:rPr>
          <w:rFonts w:ascii="Barlow Semi Condensed" w:cs="Barlow Semi Condensed" w:eastAsia="Barlow Semi Condensed" w:hAnsi="Barlow Semi Condensed"/>
          <w:sz w:val="24"/>
          <w:szCs w:val="24"/>
        </w:rPr>
        <w:t xml:space="preserve">, nella casa di campagna del professor </w:t>
      </w:r>
      <w:r>
        <w:rPr>
          <w:rFonts w:ascii="Barlow Semi Condensed" w:cs="Barlow Semi Condensed" w:eastAsia="Barlow Semi Condensed" w:hAnsi="Barlow Semi Condensed"/>
          <w:b/>
          <w:bCs/>
          <w:sz w:val="24"/>
          <w:szCs w:val="24"/>
        </w:rPr>
        <w:t xml:space="preserve">Alberto Clò</w:t>
      </w:r>
      <w:r>
        <w:rPr>
          <w:rFonts w:ascii="Barlow Semi Condensed" w:cs="Barlow Semi Condensed" w:eastAsia="Barlow Semi Condensed" w:hAnsi="Barlow Semi Condensed"/>
          <w:sz w:val="24"/>
          <w:szCs w:val="24"/>
        </w:rPr>
        <w:t xml:space="preserve">, dodici persone — fra cui </w:t>
      </w:r>
      <w:r>
        <w:rPr>
          <w:rFonts w:ascii="Barlow Semi Condensed" w:cs="Barlow Semi Condensed" w:eastAsia="Barlow Semi Condensed" w:hAnsi="Barlow Semi Condensed"/>
          <w:b/>
          <w:bCs/>
          <w:sz w:val="24"/>
          <w:szCs w:val="24"/>
        </w:rPr>
        <w:t xml:space="preserve">Romano Prodi</w:t>
      </w:r>
      <w:r>
        <w:rPr>
          <w:rFonts w:ascii="Barlow Semi Condensed" w:cs="Barlow Semi Condensed" w:eastAsia="Barlow Semi Condensed" w:hAnsi="Barlow Semi Condensed"/>
          <w:sz w:val="24"/>
          <w:szCs w:val="24"/>
        </w:rPr>
        <w:t xml:space="preserve"> — parteciparono a una seduta spiritica col piattino; ne uscì, associato al sequestro, il nome </w:t>
      </w:r>
      <w:r>
        <w:rPr>
          <w:rFonts w:ascii="Barlow Semi Condensed" w:cs="Barlow Semi Condensed" w:eastAsia="Barlow Semi Condensed" w:hAnsi="Barlow Semi Condensed"/>
          <w:b/>
          <w:bCs/>
          <w:sz w:val="24"/>
          <w:szCs w:val="24"/>
        </w:rPr>
        <w:t xml:space="preserve">«Gradoli»</w:t>
      </w:r>
      <w:r>
        <w:rPr>
          <w:rFonts w:ascii="Barlow Semi Condensed" w:cs="Barlow Semi Condensed" w:eastAsia="Barlow Semi Condensed" w:hAnsi="Barlow Semi Condensed"/>
          <w:sz w:val="24"/>
          <w:szCs w:val="24"/>
        </w:rPr>
        <w:t xml:space="preserve">. Il </w:t>
      </w:r>
      <w:r>
        <w:rPr>
          <w:rFonts w:ascii="Barlow Semi Condensed" w:cs="Barlow Semi Condensed" w:eastAsia="Barlow Semi Condensed" w:hAnsi="Barlow Semi Condensed"/>
          <w:b/>
          <w:bCs/>
          <w:sz w:val="24"/>
          <w:szCs w:val="24"/>
        </w:rPr>
        <w:t xml:space="preserve">4 aprile</w:t>
      </w:r>
      <w:r>
        <w:rPr>
          <w:rFonts w:ascii="Barlow Semi Condensed" w:cs="Barlow Semi Condensed" w:eastAsia="Barlow Semi Condensed" w:hAnsi="Barlow Semi Condensed"/>
          <w:sz w:val="24"/>
          <w:szCs w:val="24"/>
        </w:rPr>
        <w:t xml:space="preserve"> Prodi riferì la segnalazione negli ambienti della DC; la segnalazione fu presa sul serio e giunse alla polizia, che perquisì </w:t>
      </w:r>
      <w:r>
        <w:rPr>
          <w:rFonts w:ascii="Barlow Semi Condensed" w:cs="Barlow Semi Condensed" w:eastAsia="Barlow Semi Condensed" w:hAnsi="Barlow Semi Condensed"/>
          <w:b/>
          <w:bCs/>
          <w:sz w:val="24"/>
          <w:szCs w:val="24"/>
        </w:rPr>
        <w:t xml:space="preserve">il paese di Gradoli, in provincia di Viterbo</w:t>
      </w:r>
      <w:r>
        <w:rPr>
          <w:rFonts w:ascii="Barlow Semi Condensed" w:cs="Barlow Semi Condensed" w:eastAsia="Barlow Semi Condensed" w:hAnsi="Barlow Semi Condensed"/>
          <w:sz w:val="24"/>
          <w:szCs w:val="24"/>
        </w:rPr>
        <w:t xml:space="preserve"> — con esito nullo — mentre il covo era in </w:t>
      </w:r>
      <w:r>
        <w:rPr>
          <w:rFonts w:ascii="Barlow Semi Condensed" w:cs="Barlow Semi Condensed" w:eastAsia="Barlow Semi Condensed" w:hAnsi="Barlow Semi Condensed"/>
          <w:b/>
          <w:bCs/>
          <w:sz w:val="24"/>
          <w:szCs w:val="24"/>
        </w:rPr>
        <w:t xml:space="preserve">via Gradoli 96, a Roma</w:t>
      </w:r>
      <w:r>
        <w:rPr>
          <w:rFonts w:ascii="Barlow Semi Condensed" w:cs="Barlow Semi Condensed" w:eastAsia="Barlow Semi Condensed" w:hAnsi="Barlow Semi Condensed"/>
          <w:sz w:val="24"/>
          <w:szCs w:val="24"/>
        </w:rPr>
        <w:t xml:space="preserve">, sulla Cassia, la strada per Viterbo. Interrogati ripetutamente da magistrati e Commissioni, </w:t>
      </w:r>
      <w:r>
        <w:rPr>
          <w:rFonts w:ascii="Barlow Semi Condensed" w:cs="Barlow Semi Condensed" w:eastAsia="Barlow Semi Condensed" w:hAnsi="Barlow Semi Condensed"/>
          <w:b/>
          <w:bCs/>
          <w:sz w:val="24"/>
          <w:szCs w:val="24"/>
        </w:rPr>
        <w:t xml:space="preserve">tutti i dodici partecipanti confermarono</w:t>
      </w:r>
      <w:r>
        <w:rPr>
          <w:rFonts w:ascii="Barlow Semi Condensed" w:cs="Barlow Semi Condensed" w:eastAsia="Barlow Semi Condensed" w:hAnsi="Barlow Semi Condensed"/>
          <w:sz w:val="24"/>
          <w:szCs w:val="24"/>
        </w:rPr>
        <w:t xml:space="preserve"> la versione della seduta (Il Post, la ricostruzione (https://www.ilpost.it/2018/04/04/prodi-seduta-spiritica-moro/); Spazio70, la vicenda nei verbali della Commissione Stragi (https://spazio70.com/anni-70/brigate-rosse/via-gradoli-lassurda-vicenda-della-seduta-spiritica-nei-verbali-della-commissione-stragi/); Passaggi Lenti (https://www.passaggilenti.com/seduta-spiritica-sul-caso-moro-via-gradoli/)).</w:t>
      </w:r>
    </w:p>
    <w:p>
      <w:pPr>
        <w:spacing w:after="120" w:line="276"/>
        <w:jc w:val="both"/>
      </w:pPr>
      <w:r>
        <w:rPr>
          <w:rFonts w:ascii="Barlow Semi Condensed" w:cs="Barlow Semi Condensed" w:eastAsia="Barlow Semi Condensed" w:hAnsi="Barlow Semi Condensed"/>
          <w:b/>
          <w:bCs/>
          <w:sz w:val="24"/>
          <w:szCs w:val="24"/>
        </w:rPr>
        <w:t xml:space="preserve">Il perimetro delle persone, fissato una volta per tutte.</w:t>
      </w:r>
      <w:r>
        <w:rPr>
          <w:rFonts w:ascii="Barlow Semi Condensed" w:cs="Barlow Semi Condensed" w:eastAsia="Barlow Semi Condensed" w:hAnsi="Barlow Semi Condensed"/>
          <w:sz w:val="24"/>
          <w:szCs w:val="24"/>
        </w:rPr>
        <w:t xml:space="preserve"> I partecipanti sono persone reali che hanno reso versioni concordi ad autorità dello Stato: la pista </w:t>
      </w:r>
      <w:r>
        <w:rPr>
          <w:rFonts w:ascii="Barlow Semi Condensed" w:cs="Barlow Semi Condensed" w:eastAsia="Barlow Semi Condensed" w:hAnsi="Barlow Semi Condensed"/>
          <w:b/>
          <w:bCs/>
          <w:sz w:val="24"/>
          <w:szCs w:val="24"/>
        </w:rPr>
        <w:t xml:space="preserve">non cerca loro smentite e non insinua nulla a loro carico</w:t>
      </w:r>
      <w:r>
        <w:rPr>
          <w:rFonts w:ascii="Barlow Semi Condensed" w:cs="Barlow Semi Condensed" w:eastAsia="Barlow Semi Condensed" w:hAnsi="Barlow Semi Condensed"/>
          <w:sz w:val="24"/>
          <w:szCs w:val="24"/>
        </w:rPr>
        <w:t xml:space="preserve"> — cerca </w:t>
      </w:r>
      <w:r>
        <w:rPr>
          <w:rFonts w:ascii="Barlow Semi Condensed" w:cs="Barlow Semi Condensed" w:eastAsia="Barlow Semi Condensed" w:hAnsi="Barlow Semi Condensed"/>
          <w:i/>
          <w:iCs/>
          <w:sz w:val="24"/>
          <w:szCs w:val="24"/>
        </w:rPr>
        <w:t xml:space="preserve">documenti</w:t>
      </w:r>
      <w:r>
        <w:rPr>
          <w:rFonts w:ascii="Barlow Semi Condensed" w:cs="Barlow Semi Condensed" w:eastAsia="Barlow Semi Condensed" w:hAnsi="Barlow Semi Condensed"/>
          <w:sz w:val="24"/>
          <w:szCs w:val="24"/>
        </w:rPr>
        <w:t xml:space="preserve">. Le due letture storiche restano quelle dell'ACH: la coincidenza autentica, e l'ipotesi — mai provata — che il «piattino» coprisse una fonte umana da proteggere. Fra le due, come già stabilito, </w:t>
      </w:r>
      <w:r>
        <w:rPr>
          <w:rFonts w:ascii="Barlow Semi Condensed" w:cs="Barlow Semi Condensed" w:eastAsia="Barlow Semi Condensed" w:hAnsi="Barlow Semi Condensed"/>
          <w:b/>
          <w:bCs/>
          <w:sz w:val="24"/>
          <w:szCs w:val="24"/>
        </w:rPr>
        <w:t xml:space="preserve">nessuna evidenza disponibile discrimina</w:t>
      </w:r>
      <w:r>
        <w:rPr>
          <w:rFonts w:ascii="Barlow Semi Condensed" w:cs="Barlow Semi Condensed" w:eastAsia="Barlow Semi Condensed" w:hAnsi="Barlow Semi Condensed"/>
          <w:sz w:val="24"/>
          <w:szCs w:val="24"/>
        </w:rPr>
        <w:t xml:space="preserve">.</w:t>
      </w:r>
    </w:p>
    <w:p>
      <w:pPr>
        <w:spacing w:after="120" w:line="276"/>
        <w:jc w:val="both"/>
      </w:pPr>
      <w:r>
        <w:rPr>
          <w:rFonts w:ascii="Barlow Semi Condensed" w:cs="Barlow Semi Condensed" w:eastAsia="Barlow Semi Condensed" w:hAnsi="Barlow Semi Condensed"/>
          <w:b/>
          <w:bCs/>
          <w:sz w:val="24"/>
          <w:szCs w:val="24"/>
        </w:rPr>
        <w:t xml:space="preserve">L'atto raffinato: cercare la catena, non la fonte.</w:t>
      </w:r>
      <w:r>
        <w:rPr>
          <w:rFonts w:ascii="Barlow Semi Condensed" w:cs="Barlow Semi Condensed" w:eastAsia="Barlow Semi Condensed" w:hAnsi="Barlow Semi Condensed"/>
          <w:sz w:val="24"/>
          <w:szCs w:val="24"/>
        </w:rPr>
        <w:t xml:space="preserve"> L'errore di quarant'anni di dibattito è aver cercato «chi parlò» — domanda forse irrisolvibile. L'atto proponibile cerca invece la </w:t>
      </w:r>
      <w:r>
        <w:rPr>
          <w:rFonts w:ascii="Barlow Semi Condensed" w:cs="Barlow Semi Condensed" w:eastAsia="Barlow Semi Condensed" w:hAnsi="Barlow Semi Condensed"/>
          <w:b/>
          <w:bCs/>
          <w:sz w:val="24"/>
          <w:szCs w:val="24"/>
        </w:rPr>
        <w:t xml:space="preserve">catena documentale</w:t>
      </w:r>
      <w:r>
        <w:rPr>
          <w:rFonts w:ascii="Barlow Semi Condensed" w:cs="Barlow Semi Condensed" w:eastAsia="Barlow Semi Condensed" w:hAnsi="Barlow Semi Condensed"/>
          <w:sz w:val="24"/>
          <w:szCs w:val="24"/>
        </w:rPr>
        <w:t xml:space="preserve">, che esiste per definizione: </w:t>
      </w:r>
      <w:r>
        <w:rPr>
          <w:rFonts w:ascii="Barlow Semi Condensed" w:cs="Barlow Semi Condensed" w:eastAsia="Barlow Semi Condensed" w:hAnsi="Barlow Semi Condensed"/>
          <w:i/>
          <w:iCs/>
          <w:sz w:val="24"/>
          <w:szCs w:val="24"/>
        </w:rPr>
        <w:t xml:space="preserve">(a)</w:t>
      </w:r>
      <w:r>
        <w:rPr>
          <w:rFonts w:ascii="Barlow Semi Condensed" w:cs="Barlow Semi Condensed" w:eastAsia="Barlow Semi Condensed" w:hAnsi="Barlow Semi Condensed"/>
          <w:sz w:val="24"/>
          <w:szCs w:val="24"/>
        </w:rPr>
        <w:t xml:space="preserve"> la segnalazione come fu verbalizzata in origine (chi la ricevette, con quali parole, con quale protocollo); </w:t>
      </w:r>
      <w:r>
        <w:rPr>
          <w:rFonts w:ascii="Barlow Semi Condensed" w:cs="Barlow Semi Condensed" w:eastAsia="Barlow Semi Condensed" w:hAnsi="Barlow Semi Condensed"/>
          <w:i/>
          <w:iCs/>
          <w:sz w:val="24"/>
          <w:szCs w:val="24"/>
        </w:rPr>
        <w:t xml:space="preserve">(b)</w:t>
      </w:r>
      <w:r>
        <w:rPr>
          <w:rFonts w:ascii="Barlow Semi Condensed" w:cs="Barlow Semi Condensed" w:eastAsia="Barlow Semi Condensed" w:hAnsi="Barlow Semi Condensed"/>
          <w:sz w:val="24"/>
          <w:szCs w:val="24"/>
        </w:rPr>
        <w:t xml:space="preserve"> l'ordine di perquisizione del paese di Gradoli e la sua motivazione scritta; </w:t>
      </w:r>
      <w:r>
        <w:rPr>
          <w:rFonts w:ascii="Barlow Semi Condensed" w:cs="Barlow Semi Condensed" w:eastAsia="Barlow Semi Condensed" w:hAnsi="Barlow Semi Condensed"/>
          <w:i/>
          <w:iCs/>
          <w:sz w:val="24"/>
          <w:szCs w:val="24"/>
        </w:rPr>
        <w:t xml:space="preserve">(c)</w:t>
      </w:r>
      <w:r>
        <w:rPr>
          <w:rFonts w:ascii="Barlow Semi Condensed" w:cs="Barlow Semi Condensed" w:eastAsia="Barlow Semi Condensed" w:hAnsi="Barlow Semi Condensed"/>
          <w:sz w:val="24"/>
          <w:szCs w:val="24"/>
        </w:rPr>
        <w:t xml:space="preserve"> il carteggio Viminale-questure del 4-18 aprile 1978 sul nome «Gradoli»; </w:t>
      </w:r>
      <w:r>
        <w:rPr>
          <w:rFonts w:ascii="Barlow Semi Condensed" w:cs="Barlow Semi Condensed" w:eastAsia="Barlow Semi Condensed" w:hAnsi="Barlow Semi Condensed"/>
          <w:i/>
          <w:iCs/>
          <w:sz w:val="24"/>
          <w:szCs w:val="24"/>
        </w:rPr>
        <w:t xml:space="preserve">(d)</w:t>
      </w:r>
      <w:r>
        <w:rPr>
          <w:rFonts w:ascii="Barlow Semi Condensed" w:cs="Barlow Semi Condensed" w:eastAsia="Barlow Semi Condensed" w:hAnsi="Barlow Semi Condensed"/>
          <w:sz w:val="24"/>
          <w:szCs w:val="24"/>
        </w:rPr>
        <w:t xml:space="preserve"> l'eventuale traccia — negli atti versati col fondo Direttiva Renzi — di verifiche sull'omonimia stradale romana </w:t>
      </w:r>
      <w:r>
        <w:rPr>
          <w:rFonts w:ascii="Barlow Semi Condensed" w:cs="Barlow Semi Condensed" w:eastAsia="Barlow Semi Condensed" w:hAnsi="Barlow Semi Condensed"/>
          <w:i/>
          <w:iCs/>
          <w:sz w:val="24"/>
          <w:szCs w:val="24"/>
        </w:rPr>
        <w:t xml:space="preserve">prima</w:t>
      </w:r>
      <w:r>
        <w:rPr>
          <w:rFonts w:ascii="Barlow Semi Condensed" w:cs="Barlow Semi Condensed" w:eastAsia="Barlow Semi Condensed" w:hAnsi="Barlow Semi Condensed"/>
          <w:sz w:val="24"/>
          <w:szCs w:val="24"/>
        </w:rPr>
        <w:t xml:space="preserve"> del 18 aprile. Ogni anello di questa catena è un documento d'ufficio: o c'è, o la sua assenza è essa stessa un dato (l'esito negativo circostanziato, come sempre, vale).</w:t>
      </w:r>
    </w:p>
    <w:p>
      <w:pPr>
        <w:spacing w:after="120" w:line="276"/>
        <w:jc w:val="both"/>
      </w:pPr>
      <w:r>
        <w:rPr>
          <w:rFonts w:ascii="Barlow Semi Condensed" w:cs="Barlow Semi Condensed" w:eastAsia="Barlow Semi Condensed" w:hAnsi="Barlow Semi Condensed"/>
          <w:b/>
          <w:bCs/>
          <w:sz w:val="24"/>
          <w:szCs w:val="24"/>
        </w:rPr>
        <w:t xml:space="preserve">Criterio di chiusura:</w:t>
      </w:r>
      <w:r>
        <w:rPr>
          <w:rFonts w:ascii="Barlow Semi Condensed" w:cs="Barlow Semi Condensed" w:eastAsia="Barlow Semi Condensed" w:hAnsi="Barlow Semi Condensed"/>
          <w:sz w:val="24"/>
          <w:szCs w:val="24"/>
        </w:rPr>
        <w:t xml:space="preserve"> la catena ricostruita per intero — qualunque cosa mostri — oppure l'esaurimento certificato dei fondi con l'elenco di ciò che manca e di dove avrebbe dovuto essere.</w:t>
      </w:r>
    </w:p>
    <w:p>
      <w:pPr>
        <w:pStyle w:val="Heading2"/>
        <w:spacing w:after="100" w:before="200"/>
      </w:pPr>
      <w:r>
        <w:rPr>
          <w:rFonts w:ascii="Barlow Semi Condensed" w:cs="Barlow Semi Condensed" w:eastAsia="Barlow Semi Condensed" w:hAnsi="Barlow Semi Condensed"/>
          <w:sz w:val="24"/>
          <w:szCs w:val="24"/>
        </w:rPr>
        <w:t xml:space="preserve">Scheda PN-2 — Il caricatore di via Stresa (71,0)</w:t>
      </w:r>
    </w:p>
    <w:p>
      <w:pPr>
        <w:spacing w:after="120" w:line="276"/>
        <w:jc w:val="both"/>
      </w:pPr>
      <w:r>
        <w:rPr>
          <w:rFonts w:ascii="Barlow Semi Condensed" w:cs="Barlow Semi Condensed" w:eastAsia="Barlow Semi Condensed" w:hAnsi="Barlow Semi Condensed"/>
          <w:b/>
          <w:bCs/>
          <w:sz w:val="24"/>
          <w:szCs w:val="24"/>
        </w:rPr>
        <w:t xml:space="preserve">Il reperto e la sua forza.</w:t>
      </w:r>
      <w:r>
        <w:rPr>
          <w:rFonts w:ascii="Barlow Semi Condensed" w:cs="Barlow Semi Condensed" w:eastAsia="Barlow Semi Condensed" w:hAnsi="Barlow Semi Condensed"/>
          <w:sz w:val="24"/>
          <w:szCs w:val="24"/>
        </w:rPr>
        <w:t xml:space="preserve"> Un caricatore abbandonato sul percorso di fuga fra via Fani e via Stresa, oggi al vaglio del fascicolo aperto per impronte e tracce genetiche, con comparazione disposta anche verso Morucci. La sua forza è ciò che la Nota di revisione n. 1 rende prezioso: </w:t>
      </w:r>
      <w:r>
        <w:rPr>
          <w:rFonts w:ascii="Barlow Semi Condensed" w:cs="Barlow Semi Condensed" w:eastAsia="Barlow Semi Condensed" w:hAnsi="Barlow Semi Condensed"/>
          <w:b/>
          <w:bCs/>
          <w:sz w:val="24"/>
          <w:szCs w:val="24"/>
        </w:rPr>
        <w:t xml:space="preserve">è un reperto, non un ricordo</w:t>
      </w:r>
      <w:r>
        <w:rPr>
          <w:rFonts w:ascii="Barlow Semi Condensed" w:cs="Barlow Semi Condensed" w:eastAsia="Barlow Semi Condensed" w:hAnsi="Barlow Semi Condensed"/>
          <w:sz w:val="24"/>
          <w:szCs w:val="24"/>
        </w:rPr>
        <w:t xml:space="preserve"> — non ritratta, non viene minacciato, non confonde le date. Il quesito è binario e l'esito è utile in entrambi i rami: se attribuito a un componente del commando giudicato, chiude un dettaglio e rafforza il quadro; se attribuito a un profilo ignoto, diventa — insieme all'eventuale residuo balistico di PN-1 — l'unico fondamento fisico possibile della terza presenza.</w:t>
      </w:r>
    </w:p>
    <w:p>
      <w:pPr>
        <w:spacing w:after="120" w:line="276"/>
        <w:jc w:val="both"/>
      </w:pPr>
      <w:r>
        <w:rPr>
          <w:rFonts w:ascii="Barlow Semi Condensed" w:cs="Barlow Semi Condensed" w:eastAsia="Barlow Semi Condensed" w:hAnsi="Barlow Semi Condensed"/>
          <w:b/>
          <w:bCs/>
          <w:sz w:val="24"/>
          <w:szCs w:val="24"/>
        </w:rPr>
        <w:t xml:space="preserve">L'atto raffinato:</w:t>
      </w:r>
      <w:r>
        <w:rPr>
          <w:rFonts w:ascii="Barlow Semi Condensed" w:cs="Barlow Semi Condensed" w:eastAsia="Barlow Semi Condensed" w:hAnsi="Barlow Semi Condensed"/>
          <w:sz w:val="24"/>
          <w:szCs w:val="24"/>
        </w:rPr>
        <w:t xml:space="preserve"> oltre alle comparazioni disposte, la </w:t>
      </w:r>
      <w:r>
        <w:rPr>
          <w:rFonts w:ascii="Barlow Semi Condensed" w:cs="Barlow Semi Condensed" w:eastAsia="Barlow Semi Condensed" w:hAnsi="Barlow Semi Condensed"/>
          <w:b/>
          <w:bCs/>
          <w:sz w:val="24"/>
          <w:szCs w:val="24"/>
        </w:rPr>
        <w:t xml:space="preserve">verifica di compatibilità</w:t>
      </w:r>
      <w:r>
        <w:rPr>
          <w:rFonts w:ascii="Barlow Semi Condensed" w:cs="Barlow Semi Condensed" w:eastAsia="Barlow Semi Condensed" w:hAnsi="Barlow Semi Condensed"/>
          <w:sz w:val="24"/>
          <w:szCs w:val="24"/>
        </w:rPr>
        <w:t xml:space="preserve"> fra il caricatore e le armi repertate o attribuite (il caricatore appartiene a un'arma del commando, o a un'arma mai repertata? — quesito che salda PN-2 a PN-1); e ancora una volta la catena di custodia del reperto come atto preliminare.</w:t>
      </w:r>
    </w:p>
    <w:p>
      <w:pPr>
        <w:spacing w:after="120" w:line="276"/>
        <w:jc w:val="both"/>
      </w:pPr>
      <w:r>
        <w:rPr>
          <w:rFonts w:ascii="Barlow Semi Condensed" w:cs="Barlow Semi Condensed" w:eastAsia="Barlow Semi Condensed" w:hAnsi="Barlow Semi Condensed"/>
          <w:b/>
          <w:bCs/>
          <w:sz w:val="24"/>
          <w:szCs w:val="24"/>
        </w:rPr>
        <w:t xml:space="preserve">Criterio di chiusura:</w:t>
      </w:r>
      <w:r>
        <w:rPr>
          <w:rFonts w:ascii="Barlow Semi Condensed" w:cs="Barlow Semi Condensed" w:eastAsia="Barlow Semi Condensed" w:hAnsi="Barlow Semi Condensed"/>
          <w:sz w:val="24"/>
          <w:szCs w:val="24"/>
        </w:rPr>
        <w:t xml:space="preserve"> l'esito delle analisi, in qualunque direzione. È la pista col rapporto più favorevole fra costo dell'atto e nettezza della risposta.</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La lezione dell'approfondimento</w:t>
      </w:r>
    </w:p>
    <w:p>
      <w:pPr>
        <w:spacing w:after="120" w:line="276"/>
        <w:jc w:val="both"/>
      </w:pPr>
      <w:r>
        <w:rPr>
          <w:rFonts w:ascii="Barlow Semi Condensed" w:cs="Barlow Semi Condensed" w:eastAsia="Barlow Semi Condensed" w:hAnsi="Barlow Semi Condensed"/>
          <w:sz w:val="24"/>
          <w:szCs w:val="24"/>
        </w:rPr>
        <w:t xml:space="preserve">Approfondire ha prodotto tre cose. </w:t>
      </w:r>
      <w:r>
        <w:rPr>
          <w:rFonts w:ascii="Barlow Semi Condensed" w:cs="Barlow Semi Condensed" w:eastAsia="Barlow Semi Condensed" w:hAnsi="Barlow Semi Condensed"/>
          <w:b/>
          <w:bCs/>
          <w:sz w:val="24"/>
          <w:szCs w:val="24"/>
        </w:rPr>
        <w:t xml:space="preserve">Una correzione</w:t>
      </w:r>
      <w:r>
        <w:rPr>
          <w:rFonts w:ascii="Barlow Semi Condensed" w:cs="Barlow Semi Condensed" w:eastAsia="Barlow Semi Condensed" w:hAnsi="Barlow Semi Condensed"/>
          <w:sz w:val="24"/>
          <w:szCs w:val="24"/>
        </w:rPr>
        <w:t xml:space="preserve"> (la Nota di revisione n. 1), che retrocede un'evidenza del corpus e dimostra che il metodo si applica prima di tutto a se stessi. </w:t>
      </w:r>
      <w:r>
        <w:rPr>
          <w:rFonts w:ascii="Barlow Semi Condensed" w:cs="Barlow Semi Condensed" w:eastAsia="Barlow Semi Condensed" w:hAnsi="Barlow Semi Condensed"/>
          <w:b/>
          <w:bCs/>
          <w:sz w:val="24"/>
          <w:szCs w:val="24"/>
        </w:rPr>
        <w:t xml:space="preserve">Una conferma strutturale</w:t>
      </w:r>
      <w:r>
        <w:rPr>
          <w:rFonts w:ascii="Barlow Semi Condensed" w:cs="Barlow Semi Condensed" w:eastAsia="Barlow Semi Condensed" w:hAnsi="Barlow Semi Condensed"/>
          <w:sz w:val="24"/>
          <w:szCs w:val="24"/>
        </w:rPr>
        <w:t xml:space="preserve">: la graduatoria regge alla correzione — anzi ne esce più solida, perché le quattro piste di testa poggiano ora dichiaratamente su ciò che non ritratta: reperti, documenti d'ufficio, catene di custodia. </w:t>
      </w:r>
      <w:r>
        <w:rPr>
          <w:rFonts w:ascii="Barlow Semi Condensed" w:cs="Barlow Semi Condensed" w:eastAsia="Barlow Semi Condensed" w:hAnsi="Barlow Semi Condensed"/>
          <w:b/>
          <w:bCs/>
          <w:sz w:val="24"/>
          <w:szCs w:val="24"/>
        </w:rPr>
        <w:t xml:space="preserve">E una regola operativa nuova</w:t>
      </w:r>
      <w:r>
        <w:rPr>
          <w:rFonts w:ascii="Barlow Semi Condensed" w:cs="Barlow Semi Condensed" w:eastAsia="Barlow Semi Condensed" w:hAnsi="Barlow Semi Condensed"/>
          <w:sz w:val="24"/>
          <w:szCs w:val="24"/>
        </w:rPr>
        <w:t xml:space="preserve">, che vale per tutto il programma: </w:t>
      </w:r>
      <w:r>
        <w:rPr>
          <w:rFonts w:ascii="Barlow Semi Condensed" w:cs="Barlow Semi Condensed" w:eastAsia="Barlow Semi Condensed" w:hAnsi="Barlow Semi Condensed"/>
          <w:i/>
          <w:iCs/>
          <w:sz w:val="24"/>
          <w:szCs w:val="24"/>
        </w:rPr>
        <w:t xml:space="preserve">in un cold case di mezzo secolo, i ricordi si raccolgono per conservarli e si usano solo incrociati coi documenti; a decidere sono i reperti.</w:t>
      </w:r>
      <w:r>
        <w:rPr>
          <w:rFonts w:ascii="Barlow Semi Condensed" w:cs="Barlow Semi Condensed" w:eastAsia="Barlow Semi Condensed" w:hAnsi="Barlow Semi Condensed"/>
          <w:sz w:val="24"/>
          <w:szCs w:val="24"/>
        </w:rPr>
        <w:t xml:space="preserve"> Il fascicolo romano, che lavora su bossoli, DNA e un caricatore, sta già applicando questa regola. Il corpus, da oggi, la applica anche a se stesso.</w:t>
      </w:r>
    </w:p>
    <w:p>
      <w:pPr>
        <w:pBdr>
          <w:bottom w:val="single" w:color="999999" w:sz="6" w:space="1"/>
        </w:pBdr>
        <w:spacing w:after="80"/>
      </w:pPr>
    </w:p>
    <w:p>
      <w:pPr>
        <w:spacing w:after="120" w:line="276"/>
        <w:jc w:val="both"/>
      </w:pPr>
      <w:r>
        <w:rPr>
          <w:rFonts w:ascii="Barlow Semi Condensed" w:cs="Barlow Semi Condensed" w:eastAsia="Barlow Semi Condensed" w:hAnsi="Barlow Semi Condensed"/>
          <w:i/>
          <w:iCs/>
          <w:sz w:val="24"/>
          <w:szCs w:val="24"/>
        </w:rPr>
        <w:t xml:space="preserve">Approfondimento delle quattro piste di testa del programma investigativo (PN-1, PN-7, PN-4, PN-2), in formato scheda da cold case: storia degli accertamenti con le divergenze peritali dichiarate (91 bossoli; la ripartizione storica confermata dalla perizia 2015 e non confermata dalla perizia degli anni Novanta), quesiti esatti, atti raffinati (perizia di sintesi con catena di custodia preliminare; raccolta conservativa in contraddittorio documentale; la catena documentale di «Gradoli» al posto della caccia alla fonte; il caricatore come reperto-principe), criteri di chiusura aggiornati. Contiene la Nota di revisione n. 1 (la testimonianza Marini sul parabrezza, ritrattata davanti alla Moro 2: l'evidenza E2 della matrice ACH retrocessa da diagnostica a controversa). Nessuna insinuazione verso alcuna persona; le persone della seduta di Zappolino hanno reso versioni concordi alle autorità e la pista cerca documenti, non smentite. Ogni fatto verificato su fonti, con gli indirizzi nel testo.</w:t>
      </w:r>
    </w:p>
    <w:p>
      <w:pPr>
        <w:pStyle w:val="Heading3"/>
        <w:spacing w:after="80" w:before="240"/>
      </w:pPr>
      <w:r>
        <w:rPr>
          <w:rFonts w:ascii="Barlow Semi Condensed" w:cs="Barlow Semi Condensed" w:eastAsia="Barlow Semi Condensed" w:hAnsi="Barlow Semi Condensed"/>
          <w:sz w:val="24"/>
          <w:szCs w:val="24"/>
        </w:rPr>
        <w:t xml:space="preserve">Apparato grafico — Libro tredicesimo · Le schede delle piste di testa</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4"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Libro tredicesimo II: 1.885 parole in 7 sezioni; la più ampia è §3 Scheda PN, con 406.</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5"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Libro tredicesimo II: 10 indirizzi di fonte citati, addensati in 3 sezioni su 7.</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6"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La sequenza peritale 1978–1993–2015: la conferma dei 49, la declassificazione dei 22 a esito non conclusivo.</w:t>
      </w:r>
    </w:p>
    <w:p>
      <w:pPr>
        <w:spacing w:after="120"/>
        <w:jc w:val="center"/>
      </w:pPr>
      <w:r>
        <w:rPr>
          <w:rFonts w:ascii="Barlow Semi Condensed" w:cs="Barlow Semi Condensed" w:eastAsia="Barlow Semi Condensed" w:hAnsi="Barlow Semi Condensed"/>
          <w:color w:val="777777"/>
          <w:sz w:val="16"/>
          <w:szCs w:val="16"/>
        </w:rPr>
        <w:t xml:space="preserve">Le metriche dell'apparato contano parole, documenti e atti — mai colpe.</w:t>
      </w:r>
    </w:p>
    <w:p>
      <w:r>
        <w:br w:type="page"/>
      </w:r>
    </w:p>
    <w:p>
      <w:pPr>
        <w:pStyle w:val="Heading1"/>
        <w:spacing w:after="120" w:before="240"/>
      </w:pPr>
      <w:r>
        <w:rPr>
          <w:rFonts w:ascii="Barlow Semi Condensed" w:cs="Barlow Semi Condensed" w:eastAsia="Barlow Semi Condensed" w:hAnsi="Barlow Semi Condensed"/>
          <w:sz w:val="24"/>
          <w:szCs w:val="24"/>
        </w:rPr>
        <w:t xml:space="preserve">Libro tredicesimo — Il fascicolo aperto — III. Le schede delle entità</w:t>
      </w:r>
    </w:p>
    <w:p>
      <w:pPr>
        <w:pStyle w:val="Heading1"/>
        <w:spacing w:after="120" w:before="240"/>
      </w:pPr>
      <w:r>
        <w:rPr>
          <w:rFonts w:ascii="Barlow Semi Condensed" w:cs="Barlow Semi Condensed" w:eastAsia="Barlow Semi Condensed" w:hAnsi="Barlow Semi Condensed"/>
          <w:sz w:val="24"/>
          <w:szCs w:val="24"/>
        </w:rPr>
        <w:t xml:space="preserve">Approfondimento delle piste su entità e strutture</w:t>
      </w:r>
    </w:p>
    <w:p>
      <w:pPr>
        <w:pStyle w:val="Heading2"/>
        <w:spacing w:after="100" w:before="200"/>
      </w:pPr>
      <w:r>
        <w:rPr>
          <w:rFonts w:ascii="Barlow Semi Condensed" w:cs="Barlow Semi Condensed" w:eastAsia="Barlow Semi Condensed" w:hAnsi="Barlow Semi Condensed"/>
          <w:sz w:val="24"/>
          <w:szCs w:val="24"/>
        </w:rPr>
        <w:t xml:space="preserve">Le schede delle entità: i comitati, via Gradoli, il condominio, il Vaticano, gli alleati, il registro delle segnalazioni</w:t>
      </w:r>
    </w:p>
    <w:p>
      <w:pPr>
        <w:spacing w:after="120" w:line="276"/>
        <w:jc w:val="both"/>
      </w:pPr>
      <w:r>
        <w:rPr>
          <w:rFonts w:ascii="Barlow Semi Condensed" w:cs="Barlow Semi Condensed" w:eastAsia="Barlow Semi Condensed" w:hAnsi="Barlow Semi Condensed"/>
          <w:i/>
          <w:iCs/>
          <w:sz w:val="24"/>
          <w:szCs w:val="24"/>
        </w:rPr>
        <w:t xml:space="preserve">Documento operativo — 25 agosto 2026 · Approfondisce il capitolo III-ter del programma investigativo</w:t>
      </w:r>
    </w:p>
    <w:p>
      <w:pPr>
        <w:pBdr>
          <w:left w:val="single" w:color="1F3864" w:sz="18" w:space="8"/>
        </w:pBdr>
        <w:spacing w:after="80" w:before="80"/>
        <w:ind w:left="360" w:right="360"/>
        <w:jc w:val="both"/>
      </w:pPr>
      <w:r>
        <w:rPr>
          <w:rFonts w:ascii="Barlow Semi Condensed" w:cs="Barlow Semi Condensed" w:eastAsia="Barlow Semi Condensed" w:hAnsi="Barlow Semi Condensed"/>
          <w:b/>
          <w:bCs/>
          <w:i w:val="false"/>
          <w:iCs w:val="false"/>
          <w:sz w:val="24"/>
          <w:szCs w:val="24"/>
        </w:rPr>
        <w:t xml:space="preserve">Statuto.</w:t>
      </w:r>
      <w:r>
        <w:rPr>
          <w:rFonts w:ascii="Barlow Semi Condensed" w:cs="Barlow Semi Condensed" w:eastAsia="Barlow Semi Condensed" w:hAnsi="Barlow Semi Condensed"/>
          <w:i w:val="false"/>
          <w:iCs w:val="false"/>
          <w:sz w:val="24"/>
          <w:szCs w:val="24"/>
        </w:rPr>
        <w:t xml:space="preserve"> Queste schede scendono dentro le piste del capitolo entità — tutte e sei, su richiesta di approfondimento dell'autore: PE-1 e PE-3 (74,5), PE-2 (67,5), PE-6 (61,0), PE-5 (59,5) e PE-4 (54,0) — col formato già collaudato: la mappa completa di ciò che è documentato, i quesiti esatti in forma ACH, l'atto raffinato in passi, gli errori da non ripetere, il criterio di chiusura. Il terreno è il più delicato del corpus — ministeri, servizi, una loggia disciolta per legge, funzionari con nome e cognome — e i presidi valgono perciò al massimo grado: </w:t>
      </w:r>
      <w:r>
        <w:rPr>
          <w:rFonts w:ascii="Barlow Semi Condensed" w:cs="Barlow Semi Condensed" w:eastAsia="Barlow Semi Condensed" w:hAnsi="Barlow Semi Condensed"/>
          <w:b/>
          <w:bCs/>
          <w:i w:val="false"/>
          <w:iCs w:val="false"/>
          <w:sz w:val="24"/>
          <w:szCs w:val="24"/>
        </w:rPr>
        <w:t xml:space="preserve">le persone sono nominate solo per fatti documentati da atti e commissioni</w:t>
      </w:r>
      <w:r>
        <w:rPr>
          <w:rFonts w:ascii="Barlow Semi Condensed" w:cs="Barlow Semi Condensed" w:eastAsia="Barlow Semi Condensed" w:hAnsi="Barlow Semi Condensed"/>
          <w:i w:val="false"/>
          <w:iCs w:val="false"/>
          <w:sz w:val="24"/>
          <w:szCs w:val="24"/>
        </w:rPr>
        <w:t xml:space="preserve">; l'iscrizione accertata a un'associazione è un fatto, </w:t>
      </w:r>
      <w:r>
        <w:rPr>
          <w:rFonts w:ascii="Barlow Semi Condensed" w:cs="Barlow Semi Condensed" w:eastAsia="Barlow Semi Condensed" w:hAnsi="Barlow Semi Condensed"/>
          <w:b/>
          <w:bCs/>
          <w:i w:val="false"/>
          <w:iCs w:val="false"/>
          <w:sz w:val="24"/>
          <w:szCs w:val="24"/>
        </w:rPr>
        <w:t xml:space="preserve">mai</w:t>
      </w:r>
      <w:r>
        <w:rPr>
          <w:rFonts w:ascii="Barlow Semi Condensed" w:cs="Barlow Semi Condensed" w:eastAsia="Barlow Semi Condensed" w:hAnsi="Barlow Semi Condensed"/>
          <w:i w:val="false"/>
          <w:iCs w:val="false"/>
          <w:sz w:val="24"/>
          <w:szCs w:val="24"/>
        </w:rPr>
        <w:t xml:space="preserve"> la prova di una condotta nel caso; la negligenza non si trasforma in dolo per impazienza; e ogni quesito ha per esito un documento. Ogni fatto di queste schede è stato verificato su fonti prima della stesura.</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Scheda PE-1 — I comitati del Viminale e le appartenenze: il censimento che manca da quarant'anni</w:t>
      </w:r>
    </w:p>
    <w:p>
      <w:pPr>
        <w:pStyle w:val="Heading3"/>
        <w:spacing w:after="80" w:before="160"/>
      </w:pPr>
      <w:r>
        <w:rPr>
          <w:rFonts w:ascii="Barlow Semi Condensed" w:cs="Barlow Semi Condensed" w:eastAsia="Barlow Semi Condensed" w:hAnsi="Barlow Semi Condensed"/>
          <w:sz w:val="24"/>
          <w:szCs w:val="24"/>
        </w:rPr>
        <w:t xml:space="preserve">La mappa documentata dei tre livelli</w:t>
      </w:r>
    </w:p>
    <w:p>
      <w:pPr>
        <w:spacing w:after="120" w:line="276"/>
        <w:jc w:val="both"/>
      </w:pPr>
      <w:r>
        <w:rPr>
          <w:rFonts w:ascii="Barlow Semi Condensed" w:cs="Barlow Semi Condensed" w:eastAsia="Barlow Semi Condensed" w:hAnsi="Barlow Semi Condensed"/>
          <w:sz w:val="24"/>
          <w:szCs w:val="24"/>
        </w:rPr>
        <w:t xml:space="preserve">La gestione ministeriale dei 55 giorni si articolò su </w:t>
      </w:r>
      <w:r>
        <w:rPr>
          <w:rFonts w:ascii="Barlow Semi Condensed" w:cs="Barlow Semi Condensed" w:eastAsia="Barlow Semi Condensed" w:hAnsi="Barlow Semi Condensed"/>
          <w:b/>
          <w:bCs/>
          <w:sz w:val="24"/>
          <w:szCs w:val="24"/>
        </w:rPr>
        <w:t xml:space="preserve">tre livelli</w:t>
      </w:r>
      <w:r>
        <w:rPr>
          <w:rFonts w:ascii="Barlow Semi Condensed" w:cs="Barlow Semi Condensed" w:eastAsia="Barlow Semi Condensed" w:hAnsi="Barlow Semi Condensed"/>
          <w:sz w:val="24"/>
          <w:szCs w:val="24"/>
        </w:rPr>
        <w:t xml:space="preserve">, e la loro distinzione — spesso confusa nella pubblicistica — è essa stessa parte del quesito:</w:t>
      </w:r>
    </w:p>
    <w:p>
      <w:pPr>
        <w:spacing w:after="40"/>
        <w:ind w:left="360"/>
        <w:jc w:val="both"/>
      </w:pPr>
      <w:r>
        <w:rPr>
          <w:rFonts w:ascii="Barlow Semi Condensed" w:cs="Barlow Semi Condensed" w:eastAsia="Barlow Semi Condensed" w:hAnsi="Barlow Semi Condensed"/>
          <w:sz w:val="24"/>
          <w:szCs w:val="24"/>
        </w:rPr>
        <w:t xml:space="preserve">1. </w:t>
      </w:r>
      <w:r>
        <w:rPr>
          <w:rFonts w:ascii="Barlow Semi Condensed" w:cs="Barlow Semi Condensed" w:eastAsia="Barlow Semi Condensed" w:hAnsi="Barlow Semi Condensed"/>
          <w:b/>
          <w:bCs/>
          <w:sz w:val="24"/>
          <w:szCs w:val="24"/>
        </w:rPr>
        <w:t xml:space="preserve">Il comitato politico-tecnico-operativo</w:t>
      </w:r>
      <w:r>
        <w:rPr>
          <w:rFonts w:ascii="Barlow Semi Condensed" w:cs="Barlow Semi Condensed" w:eastAsia="Barlow Semi Condensed" w:hAnsi="Barlow Semi Condensed"/>
          <w:sz w:val="24"/>
          <w:szCs w:val="24"/>
        </w:rPr>
        <w:t xml:space="preserve">, istituito e presieduto dal ministro dell'Interno </w:t>
      </w:r>
      <w:r>
        <w:rPr>
          <w:rFonts w:ascii="Barlow Semi Condensed" w:cs="Barlow Semi Condensed" w:eastAsia="Barlow Semi Condensed" w:hAnsi="Barlow Semi Condensed"/>
          <w:b/>
          <w:bCs/>
          <w:sz w:val="24"/>
          <w:szCs w:val="24"/>
        </w:rPr>
        <w:t xml:space="preserve">Cossiga il 16 marzo 1978</w:t>
      </w:r>
      <w:r>
        <w:rPr>
          <w:rFonts w:ascii="Barlow Semi Condensed" w:cs="Barlow Semi Condensed" w:eastAsia="Barlow Semi Condensed" w:hAnsi="Barlow Semi Condensed"/>
          <w:sz w:val="24"/>
          <w:szCs w:val="24"/>
        </w:rPr>
        <w:t xml:space="preserve">: il ministro, due sottosegretari (Interno e Difesa), i vertici delle forze di polizia, dei servizi e delle forze armate — l'organo di coordinamento delle ricerche.</w:t>
      </w:r>
    </w:p>
    <w:p>
      <w:pPr>
        <w:spacing w:after="40"/>
        <w:ind w:left="360"/>
        <w:jc w:val="both"/>
      </w:pPr>
      <w:r>
        <w:rPr>
          <w:rFonts w:ascii="Barlow Semi Condensed" w:cs="Barlow Semi Condensed" w:eastAsia="Barlow Semi Condensed" w:hAnsi="Barlow Semi Condensed"/>
          <w:sz w:val="24"/>
          <w:szCs w:val="24"/>
        </w:rPr>
        <w:t xml:space="preserve">2. </w:t>
      </w:r>
      <w:r>
        <w:rPr>
          <w:rFonts w:ascii="Barlow Semi Condensed" w:cs="Barlow Semi Condensed" w:eastAsia="Barlow Semi Condensed" w:hAnsi="Barlow Semi Condensed"/>
          <w:b/>
          <w:bCs/>
          <w:sz w:val="24"/>
          <w:szCs w:val="24"/>
        </w:rPr>
        <w:t xml:space="preserve">Il comitato tecnico-operativo</w:t>
      </w:r>
      <w:r>
        <w:rPr>
          <w:rFonts w:ascii="Barlow Semi Condensed" w:cs="Barlow Semi Condensed" w:eastAsia="Barlow Semi Condensed" w:hAnsi="Barlow Semi Condensed"/>
          <w:sz w:val="24"/>
          <w:szCs w:val="24"/>
        </w:rPr>
        <w:t xml:space="preserve">, di composizione nominale documentata: </w:t>
      </w:r>
      <w:r>
        <w:rPr>
          <w:rFonts w:ascii="Barlow Semi Condensed" w:cs="Barlow Semi Condensed" w:eastAsia="Barlow Semi Condensed" w:hAnsi="Barlow Semi Condensed"/>
          <w:b/>
          <w:bCs/>
          <w:sz w:val="24"/>
          <w:szCs w:val="24"/>
        </w:rPr>
        <w:t xml:space="preserve">Lettieri, Parlato, Grassini, Santovito, Napoletano (poi Pelosi), Corsini, Ferrara, De Sena, De Francesco</w:t>
      </w:r>
      <w:r>
        <w:rPr>
          <w:rFonts w:ascii="Barlow Semi Condensed" w:cs="Barlow Semi Condensed" w:eastAsia="Barlow Semi Condensed" w:hAnsi="Barlow Semi Condensed"/>
          <w:sz w:val="24"/>
          <w:szCs w:val="24"/>
        </w:rPr>
        <w:t xml:space="preserve">, presieduto dallo stesso Cossiga.</w:t>
      </w:r>
    </w:p>
    <w:p>
      <w:pPr>
        <w:spacing w:after="40"/>
        <w:ind w:left="360"/>
        <w:jc w:val="both"/>
      </w:pPr>
      <w:r>
        <w:rPr>
          <w:rFonts w:ascii="Barlow Semi Condensed" w:cs="Barlow Semi Condensed" w:eastAsia="Barlow Semi Condensed" w:hAnsi="Barlow Semi Condensed"/>
          <w:sz w:val="24"/>
          <w:szCs w:val="24"/>
        </w:rPr>
        <w:t xml:space="preserve">3. </w:t>
      </w:r>
      <w:r>
        <w:rPr>
          <w:rFonts w:ascii="Barlow Semi Condensed" w:cs="Barlow Semi Condensed" w:eastAsia="Barlow Semi Condensed" w:hAnsi="Barlow Semi Condensed"/>
          <w:b/>
          <w:bCs/>
          <w:sz w:val="24"/>
          <w:szCs w:val="24"/>
        </w:rPr>
        <w:t xml:space="preserve">Il «comitato di esperti»</w:t>
      </w:r>
      <w:r>
        <w:rPr>
          <w:rFonts w:ascii="Barlow Semi Condensed" w:cs="Barlow Semi Condensed" w:eastAsia="Barlow Semi Condensed" w:hAnsi="Barlow Semi Condensed"/>
          <w:sz w:val="24"/>
          <w:szCs w:val="24"/>
        </w:rPr>
        <w:t xml:space="preserve">, informale e — dato accertato di prima grandezza — </w:t>
      </w:r>
      <w:r>
        <w:rPr>
          <w:rFonts w:ascii="Barlow Semi Condensed" w:cs="Barlow Semi Condensed" w:eastAsia="Barlow Semi Condensed" w:hAnsi="Barlow Semi Condensed"/>
          <w:b/>
          <w:bCs/>
          <w:sz w:val="24"/>
          <w:szCs w:val="24"/>
        </w:rPr>
        <w:t xml:space="preserve">mai riunito collegialmente</w:t>
      </w:r>
      <w:r>
        <w:rPr>
          <w:rFonts w:ascii="Barlow Semi Condensed" w:cs="Barlow Semi Condensed" w:eastAsia="Barlow Semi Condensed" w:hAnsi="Barlow Semi Condensed"/>
          <w:sz w:val="24"/>
          <w:szCs w:val="24"/>
        </w:rPr>
        <w:t xml:space="preserve">: vi sono ricondotti lo psichiatra statunitense </w:t>
      </w:r>
      <w:r>
        <w:rPr>
          <w:rFonts w:ascii="Barlow Semi Condensed" w:cs="Barlow Semi Condensed" w:eastAsia="Barlow Semi Condensed" w:hAnsi="Barlow Semi Condensed"/>
          <w:b/>
          <w:bCs/>
          <w:sz w:val="24"/>
          <w:szCs w:val="24"/>
        </w:rPr>
        <w:t xml:space="preserve">Steve Pieczenik</w:t>
      </w:r>
      <w:r>
        <w:rPr>
          <w:rFonts w:ascii="Barlow Semi Condensed" w:cs="Barlow Semi Condensed" w:eastAsia="Barlow Semi Condensed" w:hAnsi="Barlow Semi Condensed"/>
          <w:sz w:val="24"/>
          <w:szCs w:val="24"/>
        </w:rPr>
        <w:t xml:space="preserve"> (inviato del Dipartimento di Stato), il criminologo </w:t>
      </w:r>
      <w:r>
        <w:rPr>
          <w:rFonts w:ascii="Barlow Semi Condensed" w:cs="Barlow Semi Condensed" w:eastAsia="Barlow Semi Condensed" w:hAnsi="Barlow Semi Condensed"/>
          <w:b/>
          <w:bCs/>
          <w:sz w:val="24"/>
          <w:szCs w:val="24"/>
        </w:rPr>
        <w:t xml:space="preserve">Franco Ferracuti</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b/>
          <w:bCs/>
          <w:sz w:val="24"/>
          <w:szCs w:val="24"/>
        </w:rPr>
        <w:t xml:space="preserve">Stefano Silvestri</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b/>
          <w:bCs/>
          <w:sz w:val="24"/>
          <w:szCs w:val="24"/>
        </w:rPr>
        <w:t xml:space="preserve">Vincenzo Cappelletti</w:t>
      </w:r>
      <w:r>
        <w:rPr>
          <w:rFonts w:ascii="Barlow Semi Condensed" w:cs="Barlow Semi Condensed" w:eastAsia="Barlow Semi Condensed" w:hAnsi="Barlow Semi Condensed"/>
          <w:sz w:val="24"/>
          <w:szCs w:val="24"/>
        </w:rPr>
        <w:t xml:space="preserve"> (direttore dell'Istituto dell'Enciclopedia Italiana) e altri (D'Addio, Ermentini, Conte Micheli) (Il Sussidiario, scheda Ferracuti (https://www.ilsussidiario.net/news/chi-e-franco-ferracuti-criminologo-consulente-ministero-dellinterno-nel-caso-aldo-moro/2439964/); atti in Commissione Stragi, steno 63 (https://www.parlamento.it/parlam/bicam/terror/stenografici/steno63.htm)).</w:t>
      </w:r>
    </w:p>
    <w:p>
      <w:pPr>
        <w:pStyle w:val="Heading3"/>
        <w:spacing w:after="80" w:before="160"/>
      </w:pPr>
      <w:r>
        <w:rPr>
          <w:rFonts w:ascii="Barlow Semi Condensed" w:cs="Barlow Semi Condensed" w:eastAsia="Barlow Semi Condensed" w:hAnsi="Barlow Semi Condensed"/>
          <w:sz w:val="24"/>
          <w:szCs w:val="24"/>
        </w:rPr>
        <w:t xml:space="preserve">Le appartenenze documentate — e la divergenza che il censimento può dirimere</w:t>
      </w:r>
    </w:p>
    <w:p>
      <w:pPr>
        <w:spacing w:after="120" w:line="276"/>
        <w:jc w:val="both"/>
      </w:pPr>
      <w:r>
        <w:rPr>
          <w:rFonts w:ascii="Barlow Semi Condensed" w:cs="Barlow Semi Condensed" w:eastAsia="Barlow Semi Condensed" w:hAnsi="Barlow Semi Condensed"/>
          <w:sz w:val="24"/>
          <w:szCs w:val="24"/>
        </w:rPr>
        <w:t xml:space="preserve">Negli elenchi della loggia P2 sequestrati a Castiglion Fibocchi risultano il generale </w:t>
      </w:r>
      <w:r>
        <w:rPr>
          <w:rFonts w:ascii="Barlow Semi Condensed" w:cs="Barlow Semi Condensed" w:eastAsia="Barlow Semi Condensed" w:hAnsi="Barlow Semi Condensed"/>
          <w:b/>
          <w:bCs/>
          <w:sz w:val="24"/>
          <w:szCs w:val="24"/>
        </w:rPr>
        <w:t xml:space="preserve">Giuseppe Santovito</w:t>
      </w:r>
      <w:r>
        <w:rPr>
          <w:rFonts w:ascii="Barlow Semi Condensed" w:cs="Barlow Semi Condensed" w:eastAsia="Barlow Semi Condensed" w:hAnsi="Barlow Semi Condensed"/>
          <w:sz w:val="24"/>
          <w:szCs w:val="24"/>
        </w:rPr>
        <w:t xml:space="preserve"> (direttore del SISMI, </w:t>
      </w:r>
      <w:r>
        <w:rPr>
          <w:rFonts w:ascii="Barlow Semi Condensed" w:cs="Barlow Semi Condensed" w:eastAsia="Barlow Semi Condensed" w:hAnsi="Barlow Semi Condensed"/>
          <w:b/>
          <w:bCs/>
          <w:sz w:val="24"/>
          <w:szCs w:val="24"/>
        </w:rPr>
        <w:t xml:space="preserve">tessera 1630</w:t>
      </w:r>
      <w:r>
        <w:rPr>
          <w:rFonts w:ascii="Barlow Semi Condensed" w:cs="Barlow Semi Condensed" w:eastAsia="Barlow Semi Condensed" w:hAnsi="Barlow Semi Condensed"/>
          <w:sz w:val="24"/>
          <w:szCs w:val="24"/>
        </w:rPr>
        <w:t xml:space="preserve">) e il generale </w:t>
      </w:r>
      <w:r>
        <w:rPr>
          <w:rFonts w:ascii="Barlow Semi Condensed" w:cs="Barlow Semi Condensed" w:eastAsia="Barlow Semi Condensed" w:hAnsi="Barlow Semi Condensed"/>
          <w:b/>
          <w:bCs/>
          <w:sz w:val="24"/>
          <w:szCs w:val="24"/>
        </w:rPr>
        <w:t xml:space="preserve">Giulio Grassini</w:t>
      </w:r>
      <w:r>
        <w:rPr>
          <w:rFonts w:ascii="Barlow Semi Condensed" w:cs="Barlow Semi Condensed" w:eastAsia="Barlow Semi Condensed" w:hAnsi="Barlow Semi Condensed"/>
          <w:sz w:val="24"/>
          <w:szCs w:val="24"/>
        </w:rPr>
        <w:t xml:space="preserve"> (direttore del SISDE); vi risulta anche </w:t>
      </w:r>
      <w:r>
        <w:rPr>
          <w:rFonts w:ascii="Barlow Semi Condensed" w:cs="Barlow Semi Condensed" w:eastAsia="Barlow Semi Condensed" w:hAnsi="Barlow Semi Condensed"/>
          <w:b/>
          <w:bCs/>
          <w:sz w:val="24"/>
          <w:szCs w:val="24"/>
        </w:rPr>
        <w:t xml:space="preserve">Franco Ferracuti</w:t>
      </w:r>
      <w:r>
        <w:rPr>
          <w:rFonts w:ascii="Barlow Semi Condensed" w:cs="Barlow Semi Condensed" w:eastAsia="Barlow Semi Condensed" w:hAnsi="Barlow Semi Condensed"/>
          <w:sz w:val="24"/>
          <w:szCs w:val="24"/>
        </w:rPr>
        <w:t xml:space="preserve">, ma </w:t>
      </w:r>
      <w:r>
        <w:rPr>
          <w:rFonts w:ascii="Barlow Semi Condensed" w:cs="Barlow Semi Condensed" w:eastAsia="Barlow Semi Condensed" w:hAnsi="Barlow Semi Condensed"/>
          <w:b/>
          <w:bCs/>
          <w:sz w:val="24"/>
          <w:szCs w:val="24"/>
        </w:rPr>
        <w:t xml:space="preserve">sulla data della sua affiliazione le fonti divergono</w:t>
      </w:r>
      <w:r>
        <w:rPr>
          <w:rFonts w:ascii="Barlow Semi Condensed" w:cs="Barlow Semi Condensed" w:eastAsia="Barlow Semi Condensed" w:hAnsi="Barlow Semi Condensed"/>
          <w:sz w:val="24"/>
          <w:szCs w:val="24"/>
        </w:rPr>
        <w:t xml:space="preserve"> — chi la colloca negli stessi giorni del sequestro, chi nel 1980 — e la divergenza si riporta senza risolverla, perché è esattamente il genere di quesito che l'atto proposto può chiudere: gli elenchi sequestrati recano numeri di tessera e date, e </w:t>
      </w:r>
      <w:r>
        <w:rPr>
          <w:rFonts w:ascii="Barlow Semi Condensed" w:cs="Barlow Semi Condensed" w:eastAsia="Barlow Semi Condensed" w:hAnsi="Barlow Semi Condensed"/>
          <w:b/>
          <w:bCs/>
          <w:sz w:val="24"/>
          <w:szCs w:val="24"/>
        </w:rPr>
        <w:t xml:space="preserve">il censimento le fisserà documentalmente</w:t>
      </w:r>
      <w:r>
        <w:rPr>
          <w:rFonts w:ascii="Barlow Semi Condensed" w:cs="Barlow Semi Condensed" w:eastAsia="Barlow Semi Condensed" w:hAnsi="Barlow Semi Condensed"/>
          <w:sz w:val="24"/>
          <w:szCs w:val="24"/>
        </w:rPr>
        <w:t xml:space="preserve">. La tesi massima circolante — il comitato di crisi «interamente composto» da iscritti — resta ciò che era: una tesi da verificare nominativamente, non da ripetere.</w:t>
      </w:r>
    </w:p>
    <w:p>
      <w:pPr>
        <w:pStyle w:val="Heading3"/>
        <w:spacing w:after="80" w:before="160"/>
      </w:pPr>
      <w:r>
        <w:rPr>
          <w:rFonts w:ascii="Barlow Semi Condensed" w:cs="Barlow Semi Condensed" w:eastAsia="Barlow Semi Condensed" w:hAnsi="Barlow Semi Condensed"/>
          <w:sz w:val="24"/>
          <w:szCs w:val="24"/>
        </w:rPr>
        <w:t xml:space="preserve">Il contenuto documentato dell'attività degli «esperti»: la qualificazione delle lettere</w:t>
      </w:r>
    </w:p>
    <w:p>
      <w:pPr>
        <w:spacing w:after="120" w:line="276"/>
        <w:jc w:val="both"/>
      </w:pPr>
      <w:r>
        <w:rPr>
          <w:rFonts w:ascii="Barlow Semi Condensed" w:cs="Barlow Semi Condensed" w:eastAsia="Barlow Semi Condensed" w:hAnsi="Barlow Semi Condensed"/>
          <w:sz w:val="24"/>
          <w:szCs w:val="24"/>
        </w:rPr>
        <w:t xml:space="preserve">L'approfondimento consegna qui il suo dato più rilevante, perché incrocia il cuore del corpus. Dagli atti risulta che consulenti del comitato di esperti — </w:t>
      </w:r>
      <w:r>
        <w:rPr>
          <w:rFonts w:ascii="Barlow Semi Condensed" w:cs="Barlow Semi Condensed" w:eastAsia="Barlow Semi Condensed" w:hAnsi="Barlow Semi Condensed"/>
          <w:b/>
          <w:bCs/>
          <w:sz w:val="24"/>
          <w:szCs w:val="24"/>
        </w:rPr>
        <w:t xml:space="preserve">Ferracuti e Pieczenik</w:t>
      </w:r>
      <w:r>
        <w:rPr>
          <w:rFonts w:ascii="Barlow Semi Condensed" w:cs="Barlow Semi Condensed" w:eastAsia="Barlow Semi Condensed" w:hAnsi="Barlow Semi Condensed"/>
          <w:sz w:val="24"/>
          <w:szCs w:val="24"/>
        </w:rPr>
        <w:t xml:space="preserve"> in particolare — furono fautori della tesi della </w:t>
      </w:r>
      <w:r>
        <w:rPr>
          <w:rFonts w:ascii="Barlow Semi Condensed" w:cs="Barlow Semi Condensed" w:eastAsia="Barlow Semi Condensed" w:hAnsi="Barlow Semi Condensed"/>
          <w:b/>
          <w:bCs/>
          <w:sz w:val="24"/>
          <w:szCs w:val="24"/>
        </w:rPr>
        <w:t xml:space="preserve">inattendibilità delle lettere di Moro</w:t>
      </w:r>
      <w:r>
        <w:rPr>
          <w:rFonts w:ascii="Barlow Semi Condensed" w:cs="Barlow Semi Condensed" w:eastAsia="Barlow Semi Condensed" w:hAnsi="Barlow Semi Condensed"/>
          <w:sz w:val="24"/>
          <w:szCs w:val="24"/>
        </w:rPr>
        <w:t xml:space="preserve">: il prigioniero «fuori di sé», la scrittura non riferibile all'uomo libero. Questa qualificazione — quale che ne fosse l'intenzione — fu un </w:t>
      </w:r>
      <w:r>
        <w:rPr>
          <w:rFonts w:ascii="Barlow Semi Condensed" w:cs="Barlow Semi Condensed" w:eastAsia="Barlow Semi Condensed" w:hAnsi="Barlow Semi Condensed"/>
          <w:b/>
          <w:bCs/>
          <w:sz w:val="24"/>
          <w:szCs w:val="24"/>
        </w:rPr>
        <w:t xml:space="preserve">atto istituzionale documentato con effetti sulla linea della fermezza</w:t>
      </w:r>
      <w:r>
        <w:rPr>
          <w:rFonts w:ascii="Barlow Semi Condensed" w:cs="Barlow Semi Condensed" w:eastAsia="Barlow Semi Condensed" w:hAnsi="Barlow Semi Condensed"/>
          <w:sz w:val="24"/>
          <w:szCs w:val="24"/>
        </w:rPr>
        <w:t xml:space="preserve">: se le lettere non erano «sue», non obbligavano a nulla. La Fase ottava del corpus ha restituito le lettere alla loro natura di scrittura di un uomo; questa scheda registra che la loro </w:t>
      </w:r>
      <w:r>
        <w:rPr>
          <w:rFonts w:ascii="Barlow Semi Condensed" w:cs="Barlow Semi Condensed" w:eastAsia="Barlow Semi Condensed" w:hAnsi="Barlow Semi Condensed"/>
          <w:b/>
          <w:bCs/>
          <w:sz w:val="24"/>
          <w:szCs w:val="24"/>
        </w:rPr>
        <w:t xml:space="preserve">squalificazione fu un prodotto istituzionale dei 55 giorni</w:t>
      </w:r>
      <w:r>
        <w:rPr>
          <w:rFonts w:ascii="Barlow Semi Condensed" w:cs="Barlow Semi Condensed" w:eastAsia="Barlow Semi Condensed" w:hAnsi="Barlow Semi Condensed"/>
          <w:sz w:val="24"/>
          <w:szCs w:val="24"/>
        </w:rPr>
        <w:t xml:space="preserve">, e ne fa un quesito documentale: </w:t>
      </w:r>
      <w:r>
        <w:rPr>
          <w:rFonts w:ascii="Barlow Semi Condensed" w:cs="Barlow Semi Condensed" w:eastAsia="Barlow Semi Condensed" w:hAnsi="Barlow Semi Condensed"/>
          <w:i/>
          <w:iCs/>
          <w:sz w:val="24"/>
          <w:szCs w:val="24"/>
        </w:rPr>
        <w:t xml:space="preserve">in quali documenti fu formulata, da chi sottoscritta, con quale circolazione e quali effetti sugli atti del comitato?</w:t>
      </w:r>
      <w:r>
        <w:rPr>
          <w:rFonts w:ascii="Barlow Semi Condensed" w:cs="Barlow Semi Condensed" w:eastAsia="Barlow Semi Condensed" w:hAnsi="Barlow Semi Condensed"/>
          <w:sz w:val="24"/>
          <w:szCs w:val="24"/>
        </w:rPr>
        <w:t xml:space="preserve"> Le relazioni degli esperti — di un organo mai riunito collegialmente, il che rende ancora più necessario capire </w:t>
      </w:r>
      <w:r>
        <w:rPr>
          <w:rFonts w:ascii="Barlow Semi Condensed" w:cs="Barlow Semi Condensed" w:eastAsia="Barlow Semi Condensed" w:hAnsi="Barlow Semi Condensed"/>
          <w:b/>
          <w:bCs/>
          <w:sz w:val="24"/>
          <w:szCs w:val="24"/>
        </w:rPr>
        <w:t xml:space="preserve">come</w:t>
      </w:r>
      <w:r>
        <w:rPr>
          <w:rFonts w:ascii="Barlow Semi Condensed" w:cs="Barlow Semi Condensed" w:eastAsia="Barlow Semi Condensed" w:hAnsi="Barlow Semi Condensed"/>
          <w:sz w:val="24"/>
          <w:szCs w:val="24"/>
        </w:rPr>
        <w:t xml:space="preserve"> i suoi pareri circolassero — sono carte che il fondo Direttiva Renzi e gli atti delle Commissioni possono contenere.</w:t>
      </w:r>
    </w:p>
    <w:p>
      <w:pPr>
        <w:pStyle w:val="Heading3"/>
        <w:spacing w:after="80" w:before="160"/>
      </w:pPr>
      <w:r>
        <w:rPr>
          <w:rFonts w:ascii="Barlow Semi Condensed" w:cs="Barlow Semi Condensed" w:eastAsia="Barlow Semi Condensed" w:hAnsi="Barlow Semi Condensed"/>
          <w:sz w:val="24"/>
          <w:szCs w:val="24"/>
        </w:rPr>
        <w:t xml:space="preserve">L'atto raffinato, in quattro passi</w:t>
      </w:r>
    </w:p>
    <w:p>
      <w:pPr>
        <w:spacing w:after="120" w:line="276"/>
        <w:jc w:val="both"/>
      </w:pPr>
      <w:r>
        <w:rPr>
          <w:rFonts w:ascii="Barlow Semi Condensed" w:cs="Barlow Semi Condensed" w:eastAsia="Barlow Semi Condensed" w:hAnsi="Barlow Semi Condensed"/>
          <w:i/>
          <w:iCs/>
          <w:sz w:val="24"/>
          <w:szCs w:val="24"/>
        </w:rPr>
        <w:t xml:space="preserve">(a)</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b/>
          <w:bCs/>
          <w:sz w:val="24"/>
          <w:szCs w:val="24"/>
        </w:rPr>
        <w:t xml:space="preserve">La tavola nominale integrale</w:t>
      </w:r>
      <w:r>
        <w:rPr>
          <w:rFonts w:ascii="Barlow Semi Condensed" w:cs="Barlow Semi Condensed" w:eastAsia="Barlow Semi Condensed" w:hAnsi="Barlow Semi Condensed"/>
          <w:sz w:val="24"/>
          <w:szCs w:val="24"/>
        </w:rPr>
        <w:t xml:space="preserve"> dei tre livelli, da atti primari (decreti istitutivi, verbali, ordini del giorno) — non dalle ricostruzioni di stampa. </w:t>
      </w:r>
      <w:r>
        <w:rPr>
          <w:rFonts w:ascii="Barlow Semi Condensed" w:cs="Barlow Semi Condensed" w:eastAsia="Barlow Semi Condensed" w:hAnsi="Barlow Semi Condensed"/>
          <w:i/>
          <w:iCs/>
          <w:sz w:val="24"/>
          <w:szCs w:val="24"/>
        </w:rPr>
        <w:t xml:space="preserve">(b)</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b/>
          <w:bCs/>
          <w:sz w:val="24"/>
          <w:szCs w:val="24"/>
        </w:rPr>
        <w:t xml:space="preserve">L'incrocio con gli elenchi P2 completi di numeri di tessera e date di iscrizione</w:t>
      </w:r>
      <w:r>
        <w:rPr>
          <w:rFonts w:ascii="Barlow Semi Condensed" w:cs="Barlow Semi Condensed" w:eastAsia="Barlow Semi Condensed" w:hAnsi="Barlow Semi Condensed"/>
          <w:sz w:val="24"/>
          <w:szCs w:val="24"/>
        </w:rPr>
        <w:t xml:space="preserve"> — che dirime anche la divergenza su Ferracuti e trasforma la tesi del «interamente composto» in una percentuale documentale, qualunque essa sia. </w:t>
      </w:r>
      <w:r>
        <w:rPr>
          <w:rFonts w:ascii="Barlow Semi Condensed" w:cs="Barlow Semi Condensed" w:eastAsia="Barlow Semi Condensed" w:hAnsi="Barlow Semi Condensed"/>
          <w:i/>
          <w:iCs/>
          <w:sz w:val="24"/>
          <w:szCs w:val="24"/>
        </w:rPr>
        <w:t xml:space="preserve">(c)</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b/>
          <w:bCs/>
          <w:sz w:val="24"/>
          <w:szCs w:val="24"/>
        </w:rPr>
        <w:t xml:space="preserve">Il registro degli atti prodotti da ciascun organo</w:t>
      </w:r>
      <w:r>
        <w:rPr>
          <w:rFonts w:ascii="Barlow Semi Condensed" w:cs="Barlow Semi Condensed" w:eastAsia="Barlow Semi Condensed" w:hAnsi="Barlow Semi Condensed"/>
          <w:sz w:val="24"/>
          <w:szCs w:val="24"/>
        </w:rPr>
        <w:t xml:space="preserve">: verbali del politico-tecnico-operativo, disposizioni del tecnico-operativo, pareri e relazioni degli esperti — con la domanda specifica su come deliberasse un comitato che non si riuniva. </w:t>
      </w:r>
      <w:r>
        <w:rPr>
          <w:rFonts w:ascii="Barlow Semi Condensed" w:cs="Barlow Semi Condensed" w:eastAsia="Barlow Semi Condensed" w:hAnsi="Barlow Semi Condensed"/>
          <w:i/>
          <w:iCs/>
          <w:sz w:val="24"/>
          <w:szCs w:val="24"/>
        </w:rPr>
        <w:t xml:space="preserve">(d)</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b/>
          <w:bCs/>
          <w:sz w:val="24"/>
          <w:szCs w:val="24"/>
        </w:rPr>
        <w:t xml:space="preserve">La mappa delle decisioni operative</w:t>
      </w:r>
      <w:r>
        <w:rPr>
          <w:rFonts w:ascii="Barlow Semi Condensed" w:cs="Barlow Semi Condensed" w:eastAsia="Barlow Semi Condensed" w:hAnsi="Barlow Semi Condensed"/>
          <w:sz w:val="24"/>
          <w:szCs w:val="24"/>
        </w:rPr>
        <w:t xml:space="preserve"> transitate per ciascun organo, da leggere contro l'accertamento Anselmi sulla concentrazione delle indagini al Viminale e sulla menomazione dell'autonomia giudiziaria (grado B).</w:t>
      </w:r>
    </w:p>
    <w:p>
      <w:pPr>
        <w:pStyle w:val="Heading3"/>
        <w:spacing w:after="80" w:before="160"/>
      </w:pPr>
      <w:r>
        <w:rPr>
          <w:rFonts w:ascii="Barlow Semi Condensed" w:cs="Barlow Semi Condensed" w:eastAsia="Barlow Semi Condensed" w:hAnsi="Barlow Semi Condensed"/>
          <w:sz w:val="24"/>
          <w:szCs w:val="24"/>
        </w:rPr>
        <w:t xml:space="preserve">Errori da non ripetere, e criterio di chiusura</w:t>
      </w:r>
    </w:p>
    <w:p>
      <w:pPr>
        <w:spacing w:after="120" w:line="276"/>
        <w:jc w:val="both"/>
      </w:pPr>
      <w:r>
        <w:rPr>
          <w:rFonts w:ascii="Barlow Semi Condensed" w:cs="Barlow Semi Condensed" w:eastAsia="Barlow Semi Condensed" w:hAnsi="Barlow Semi Condensed"/>
          <w:sz w:val="24"/>
          <w:szCs w:val="24"/>
        </w:rPr>
        <w:t xml:space="preserve">Non sommare le appartenenze in colpa: la P2 fu disciolta per legge (l. 25 gennaio 1982, n. 17) e i suoi assetti furono giudicati nelle sedi proprie; </w:t>
      </w:r>
      <w:r>
        <w:rPr>
          <w:rFonts w:ascii="Barlow Semi Condensed" w:cs="Barlow Semi Condensed" w:eastAsia="Barlow Semi Condensed" w:hAnsi="Barlow Semi Condensed"/>
          <w:b/>
          <w:bCs/>
          <w:sz w:val="24"/>
          <w:szCs w:val="24"/>
        </w:rPr>
        <w:t xml:space="preserve">l'iscrizione di un funzionario è un fatto, la sua condotta nei 55 giorni va provata atto per atto o non affermata</w:t>
      </w:r>
      <w:r>
        <w:rPr>
          <w:rFonts w:ascii="Barlow Semi Condensed" w:cs="Barlow Semi Condensed" w:eastAsia="Barlow Semi Condensed" w:hAnsi="Barlow Semi Condensed"/>
          <w:sz w:val="24"/>
          <w:szCs w:val="24"/>
        </w:rPr>
        <w:t xml:space="preserve">. Non trattare il comitato di esperti come organo deliberante senza averne gli atti. Non confondere i tre livelli, che ebbero nature e poteri diversi. </w:t>
      </w:r>
      <w:r>
        <w:rPr>
          <w:rFonts w:ascii="Barlow Semi Condensed" w:cs="Barlow Semi Condensed" w:eastAsia="Barlow Semi Condensed" w:hAnsi="Barlow Semi Condensed"/>
          <w:i/>
          <w:iCs/>
          <w:sz w:val="24"/>
          <w:szCs w:val="24"/>
        </w:rPr>
        <w:t xml:space="preserve">Chiusura:</w:t>
      </w:r>
      <w:r>
        <w:rPr>
          <w:rFonts w:ascii="Barlow Semi Condensed" w:cs="Barlow Semi Condensed" w:eastAsia="Barlow Semi Condensed" w:hAnsi="Barlow Semi Condensed"/>
          <w:sz w:val="24"/>
          <w:szCs w:val="24"/>
        </w:rPr>
        <w:t xml:space="preserve"> la tavola nominale con date + il registro degli atti. Se il censimento confermasse la tesi massima, sarebbe un accertamento nuovo; se la smentisse, cadrebbe una leggenda quarantennale: </w:t>
      </w:r>
      <w:r>
        <w:rPr>
          <w:rFonts w:ascii="Barlow Semi Condensed" w:cs="Barlow Semi Condensed" w:eastAsia="Barlow Semi Condensed" w:hAnsi="Barlow Semi Condensed"/>
          <w:b/>
          <w:bCs/>
          <w:sz w:val="24"/>
          <w:szCs w:val="24"/>
        </w:rPr>
        <w:t xml:space="preserve">in entrambi i casi la Repubblica ci guadagna</w:t>
      </w:r>
      <w:r>
        <w:rPr>
          <w:rFonts w:ascii="Barlow Semi Condensed" w:cs="Barlow Semi Condensed" w:eastAsia="Barlow Semi Condensed" w:hAnsi="Barlow Semi Condensed"/>
          <w:sz w:val="24"/>
          <w:szCs w:val="24"/>
        </w:rPr>
        <w:t xml:space="preserve"> — ed è il segno delle piste ben poste.</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Scheda PE-3 — I trenta giorni di via Gradoli: la nota, il campanello, la doccia</w:t>
      </w:r>
    </w:p>
    <w:p>
      <w:pPr>
        <w:pStyle w:val="Heading3"/>
        <w:spacing w:after="80" w:before="160"/>
      </w:pPr>
      <w:r>
        <w:rPr>
          <w:rFonts w:ascii="Barlow Semi Condensed" w:cs="Barlow Semi Condensed" w:eastAsia="Barlow Semi Condensed" w:hAnsi="Barlow Semi Condensed"/>
          <w:sz w:val="24"/>
          <w:szCs w:val="24"/>
        </w:rPr>
        <w:t xml:space="preserve">La sequenza documentata completa (18 marzo – 18 aprile 1978)</w:t>
      </w:r>
    </w:p>
    <w:p>
      <w:pPr>
        <w:spacing w:after="120" w:line="276"/>
        <w:jc w:val="both"/>
      </w:pPr>
      <w:r>
        <w:rPr>
          <w:rFonts w:ascii="Barlow Semi Condensed" w:cs="Barlow Semi Condensed" w:eastAsia="Barlow Semi Condensed" w:hAnsi="Barlow Semi Condensed"/>
          <w:i/>
          <w:iCs/>
          <w:sz w:val="24"/>
          <w:szCs w:val="24"/>
        </w:rPr>
        <w:t xml:space="preserve">(i)</w:t>
      </w:r>
      <w:r>
        <w:rPr>
          <w:rFonts w:ascii="Barlow Semi Condensed" w:cs="Barlow Semi Condensed" w:eastAsia="Barlow Semi Condensed" w:hAnsi="Barlow Semi Condensed"/>
          <w:sz w:val="24"/>
          <w:szCs w:val="24"/>
        </w:rPr>
        <w:t xml:space="preserve"> Un'informatrice della polizia, </w:t>
      </w:r>
      <w:r>
        <w:rPr>
          <w:rFonts w:ascii="Barlow Semi Condensed" w:cs="Barlow Semi Condensed" w:eastAsia="Barlow Semi Condensed" w:hAnsi="Barlow Semi Condensed"/>
          <w:b/>
          <w:bCs/>
          <w:sz w:val="24"/>
          <w:szCs w:val="24"/>
        </w:rPr>
        <w:t xml:space="preserve">Lucia Mokbel</w:t>
      </w:r>
      <w:r>
        <w:rPr>
          <w:rFonts w:ascii="Barlow Semi Condensed" w:cs="Barlow Semi Condensed" w:eastAsia="Barlow Semi Condensed" w:hAnsi="Barlow Semi Condensed"/>
          <w:sz w:val="24"/>
          <w:szCs w:val="24"/>
        </w:rPr>
        <w:t xml:space="preserve">, segnala con una nota </w:t>
      </w:r>
      <w:r>
        <w:rPr>
          <w:rFonts w:ascii="Barlow Semi Condensed" w:cs="Barlow Semi Condensed" w:eastAsia="Barlow Semi Condensed" w:hAnsi="Barlow Semi Condensed"/>
          <w:b/>
          <w:bCs/>
          <w:sz w:val="24"/>
          <w:szCs w:val="24"/>
        </w:rPr>
        <w:t xml:space="preserve">rumori sospetti</w:t>
      </w:r>
      <w:r>
        <w:rPr>
          <w:rFonts w:ascii="Barlow Semi Condensed" w:cs="Barlow Semi Condensed" w:eastAsia="Barlow Semi Condensed" w:hAnsi="Barlow Semi Condensed"/>
          <w:sz w:val="24"/>
          <w:szCs w:val="24"/>
        </w:rPr>
        <w:t xml:space="preserve"> — battiti simili a segnali — provenienti dall'</w:t>
      </w:r>
      <w:r>
        <w:rPr>
          <w:rFonts w:ascii="Barlow Semi Condensed" w:cs="Barlow Semi Condensed" w:eastAsia="Barlow Semi Condensed" w:hAnsi="Barlow Semi Condensed"/>
          <w:b/>
          <w:bCs/>
          <w:sz w:val="24"/>
          <w:szCs w:val="24"/>
        </w:rPr>
        <w:t xml:space="preserve">interno 11</w:t>
      </w:r>
      <w:r>
        <w:rPr>
          <w:rFonts w:ascii="Barlow Semi Condensed" w:cs="Barlow Semi Condensed" w:eastAsia="Barlow Semi Condensed" w:hAnsi="Barlow Semi Condensed"/>
          <w:sz w:val="24"/>
          <w:szCs w:val="24"/>
        </w:rPr>
        <w:t xml:space="preserve"> di via Gradoli 96, adiacente al proprio appartamento. </w:t>
      </w:r>
      <w:r>
        <w:rPr>
          <w:rFonts w:ascii="Barlow Semi Condensed" w:cs="Barlow Semi Condensed" w:eastAsia="Barlow Semi Condensed" w:hAnsi="Barlow Semi Condensed"/>
          <w:i/>
          <w:iCs/>
          <w:sz w:val="24"/>
          <w:szCs w:val="24"/>
        </w:rPr>
        <w:t xml:space="preserve">(ii)</w:t>
      </w:r>
      <w:r>
        <w:rPr>
          <w:rFonts w:ascii="Barlow Semi Condensed" w:cs="Barlow Semi Condensed" w:eastAsia="Barlow Semi Condensed" w:hAnsi="Barlow Semi Condensed"/>
          <w:sz w:val="24"/>
          <w:szCs w:val="24"/>
        </w:rPr>
        <w:t xml:space="preserve"> Il </w:t>
      </w:r>
      <w:r>
        <w:rPr>
          <w:rFonts w:ascii="Barlow Semi Condensed" w:cs="Barlow Semi Condensed" w:eastAsia="Barlow Semi Condensed" w:hAnsi="Barlow Semi Condensed"/>
          <w:b/>
          <w:bCs/>
          <w:sz w:val="24"/>
          <w:szCs w:val="24"/>
        </w:rPr>
        <w:t xml:space="preserve">18 marzo</w:t>
      </w:r>
      <w:r>
        <w:rPr>
          <w:rFonts w:ascii="Barlow Semi Condensed" w:cs="Barlow Semi Condensed" w:eastAsia="Barlow Semi Condensed" w:hAnsi="Barlow Semi Condensed"/>
          <w:sz w:val="24"/>
          <w:szCs w:val="24"/>
        </w:rPr>
        <w:t xml:space="preserve">, due giorni dopo via Fani, una squadra del </w:t>
      </w:r>
      <w:r>
        <w:rPr>
          <w:rFonts w:ascii="Barlow Semi Condensed" w:cs="Barlow Semi Condensed" w:eastAsia="Barlow Semi Condensed" w:hAnsi="Barlow Semi Condensed"/>
          <w:b/>
          <w:bCs/>
          <w:sz w:val="24"/>
          <w:szCs w:val="24"/>
        </w:rPr>
        <w:t xml:space="preserve">commissariato Flaminio Nuovo</w:t>
      </w:r>
      <w:r>
        <w:rPr>
          <w:rFonts w:ascii="Barlow Semi Condensed" w:cs="Barlow Semi Condensed" w:eastAsia="Barlow Semi Condensed" w:hAnsi="Barlow Semi Condensed"/>
          <w:sz w:val="24"/>
          <w:szCs w:val="24"/>
        </w:rPr>
        <w:t xml:space="preserve"> guidata dal brigadiere </w:t>
      </w:r>
      <w:r>
        <w:rPr>
          <w:rFonts w:ascii="Barlow Semi Condensed" w:cs="Barlow Semi Condensed" w:eastAsia="Barlow Semi Condensed" w:hAnsi="Barlow Semi Condensed"/>
          <w:b/>
          <w:bCs/>
          <w:sz w:val="24"/>
          <w:szCs w:val="24"/>
        </w:rPr>
        <w:t xml:space="preserve">Domenico Merola</w:t>
      </w:r>
      <w:r>
        <w:rPr>
          <w:rFonts w:ascii="Barlow Semi Condensed" w:cs="Barlow Semi Condensed" w:eastAsia="Barlow Semi Condensed" w:hAnsi="Barlow Semi Condensed"/>
          <w:sz w:val="24"/>
          <w:szCs w:val="24"/>
        </w:rPr>
        <w:t xml:space="preserve"> effettua controlli nello stabile: all'interno 11 </w:t>
      </w:r>
      <w:r>
        <w:rPr>
          <w:rFonts w:ascii="Barlow Semi Condensed" w:cs="Barlow Semi Condensed" w:eastAsia="Barlow Semi Condensed" w:hAnsi="Barlow Semi Condensed"/>
          <w:b/>
          <w:bCs/>
          <w:sz w:val="24"/>
          <w:szCs w:val="24"/>
        </w:rPr>
        <w:t xml:space="preserve">nessuno risponde al campanello; la squadra non entra e non risulta alcun ritorno successivo</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(iii)</w:t>
      </w:r>
      <w:r>
        <w:rPr>
          <w:rFonts w:ascii="Barlow Semi Condensed" w:cs="Barlow Semi Condensed" w:eastAsia="Barlow Semi Condensed" w:hAnsi="Barlow Semi Condensed"/>
          <w:sz w:val="24"/>
          <w:szCs w:val="24"/>
        </w:rPr>
        <w:t xml:space="preserve"> Un mese dopo, il </w:t>
      </w:r>
      <w:r>
        <w:rPr>
          <w:rFonts w:ascii="Barlow Semi Condensed" w:cs="Barlow Semi Condensed" w:eastAsia="Barlow Semi Condensed" w:hAnsi="Barlow Semi Condensed"/>
          <w:b/>
          <w:bCs/>
          <w:sz w:val="24"/>
          <w:szCs w:val="24"/>
        </w:rPr>
        <w:t xml:space="preserve">18 aprile</w:t>
      </w:r>
      <w:r>
        <w:rPr>
          <w:rFonts w:ascii="Barlow Semi Condensed" w:cs="Barlow Semi Condensed" w:eastAsia="Barlow Semi Condensed" w:hAnsi="Barlow Semi Condensed"/>
          <w:sz w:val="24"/>
          <w:szCs w:val="24"/>
        </w:rPr>
        <w:t xml:space="preserve">, i </w:t>
      </w:r>
      <w:r>
        <w:rPr>
          <w:rFonts w:ascii="Barlow Semi Condensed" w:cs="Barlow Semi Condensed" w:eastAsia="Barlow Semi Condensed" w:hAnsi="Barlow Semi Condensed"/>
          <w:b/>
          <w:bCs/>
          <w:sz w:val="24"/>
          <w:szCs w:val="24"/>
        </w:rPr>
        <w:t xml:space="preserve">vigili del fuoco</w:t>
      </w:r>
      <w:r>
        <w:rPr>
          <w:rFonts w:ascii="Barlow Semi Condensed" w:cs="Barlow Semi Condensed" w:eastAsia="Barlow Semi Condensed" w:hAnsi="Barlow Semi Condensed"/>
          <w:sz w:val="24"/>
          <w:szCs w:val="24"/>
        </w:rPr>
        <w:t xml:space="preserve"> entrano nell'appartamento per un'infiltrazione d'acqua nell'alloggio sottostante — il verbale parla di «</w:t>
      </w:r>
      <w:r>
        <w:rPr>
          <w:rFonts w:ascii="Barlow Semi Condensed" w:cs="Barlow Semi Condensed" w:eastAsia="Barlow Semi Condensed" w:hAnsi="Barlow Semi Condensed"/>
          <w:b/>
          <w:bCs/>
          <w:sz w:val="24"/>
          <w:szCs w:val="24"/>
        </w:rPr>
        <w:t xml:space="preserve">dimenticata chiusura del rubinetto della doccia</w:t>
      </w:r>
      <w:r>
        <w:rPr>
          <w:rFonts w:ascii="Barlow Semi Condensed" w:cs="Barlow Semi Condensed" w:eastAsia="Barlow Semi Condensed" w:hAnsi="Barlow Semi Condensed"/>
          <w:sz w:val="24"/>
          <w:szCs w:val="24"/>
        </w:rPr>
        <w:t xml:space="preserve">» — e il covo emerge: l'appartamento risultava </w:t>
      </w:r>
      <w:r>
        <w:rPr>
          <w:rFonts w:ascii="Barlow Semi Condensed" w:cs="Barlow Semi Condensed" w:eastAsia="Barlow Semi Condensed" w:hAnsi="Barlow Semi Condensed"/>
          <w:b/>
          <w:bCs/>
          <w:sz w:val="24"/>
          <w:szCs w:val="24"/>
        </w:rPr>
        <w:t xml:space="preserve">affittato dal 1975</w:t>
      </w:r>
      <w:r>
        <w:rPr>
          <w:rFonts w:ascii="Barlow Semi Condensed" w:cs="Barlow Semi Condensed" w:eastAsia="Barlow Semi Condensed" w:hAnsi="Barlow Semi Condensed"/>
          <w:sz w:val="24"/>
          <w:szCs w:val="24"/>
        </w:rPr>
        <w:t xml:space="preserve"> all'«ing. Borghi», cioè </w:t>
      </w:r>
      <w:r>
        <w:rPr>
          <w:rFonts w:ascii="Barlow Semi Condensed" w:cs="Barlow Semi Condensed" w:eastAsia="Barlow Semi Condensed" w:hAnsi="Barlow Semi Condensed"/>
          <w:b/>
          <w:bCs/>
          <w:sz w:val="24"/>
          <w:szCs w:val="24"/>
        </w:rPr>
        <w:t xml:space="preserve">Mario Moretti</w:t>
      </w:r>
      <w:r>
        <w:rPr>
          <w:rFonts w:ascii="Barlow Semi Condensed" w:cs="Barlow Semi Condensed" w:eastAsia="Barlow Semi Condensed" w:hAnsi="Barlow Semi Condensed"/>
          <w:sz w:val="24"/>
          <w:szCs w:val="24"/>
        </w:rPr>
        <w:t xml:space="preserve"> (giudicato), ed era in uso in quei giorni a </w:t>
      </w:r>
      <w:r>
        <w:rPr>
          <w:rFonts w:ascii="Barlow Semi Condensed" w:cs="Barlow Semi Condensed" w:eastAsia="Barlow Semi Condensed" w:hAnsi="Barlow Semi Condensed"/>
          <w:b/>
          <w:bCs/>
          <w:sz w:val="24"/>
          <w:szCs w:val="24"/>
        </w:rPr>
        <w:t xml:space="preserve">Moretti e Balzerani</w:t>
      </w:r>
      <w:r>
        <w:rPr>
          <w:rFonts w:ascii="Barlow Semi Condensed" w:cs="Barlow Semi Condensed" w:eastAsia="Barlow Semi Condensed" w:hAnsi="Barlow Semi Condensed"/>
          <w:sz w:val="24"/>
          <w:szCs w:val="24"/>
        </w:rPr>
        <w:t xml:space="preserve">; vi avevano abitato per primi </w:t>
      </w:r>
      <w:r>
        <w:rPr>
          <w:rFonts w:ascii="Barlow Semi Condensed" w:cs="Barlow Semi Condensed" w:eastAsia="Barlow Semi Condensed" w:hAnsi="Barlow Semi Condensed"/>
          <w:b/>
          <w:bCs/>
          <w:sz w:val="24"/>
          <w:szCs w:val="24"/>
        </w:rPr>
        <w:t xml:space="preserve">Bonisoli</w:t>
      </w:r>
      <w:r>
        <w:rPr>
          <w:rFonts w:ascii="Barlow Semi Condensed" w:cs="Barlow Semi Condensed" w:eastAsia="Barlow Semi Condensed" w:hAnsi="Barlow Semi Condensed"/>
          <w:sz w:val="24"/>
          <w:szCs w:val="24"/>
        </w:rPr>
        <w:t xml:space="preserve"> e Brioschi (relazione Moro 2, «I covi e la morte di Moro» (https://documenti.camera.it/_dati/leg17/lavori/documentiparlamentari/indiceetesti/023/029/00000015.pdf); Panorama, «il nodo del 18 aprile» (https://www.panorama.it/sequestro-moro-il-nodo-del-18-aprile-la-storia-e-le-foto); Anni Affollati (https://www.anniaffollati.it/sezioni/sotto-un-dominio-caso-moro/via-gradoli/menu-via-gradoli.html)). </w:t>
      </w:r>
      <w:r>
        <w:rPr>
          <w:rFonts w:ascii="Barlow Semi Condensed" w:cs="Barlow Semi Condensed" w:eastAsia="Barlow Semi Condensed" w:hAnsi="Barlow Semi Condensed"/>
          <w:i/>
          <w:iCs/>
          <w:sz w:val="24"/>
          <w:szCs w:val="24"/>
        </w:rPr>
        <w:t xml:space="preserve">(iv)</w:t>
      </w:r>
      <w:r>
        <w:rPr>
          <w:rFonts w:ascii="Barlow Semi Condensed" w:cs="Barlow Semi Condensed" w:eastAsia="Barlow Semi Condensed" w:hAnsi="Barlow Semi Condensed"/>
          <w:sz w:val="24"/>
          <w:szCs w:val="24"/>
        </w:rPr>
        <w:t xml:space="preserve"> Del controllo fallito del 18 marzo le autorità si avvidero </w:t>
      </w:r>
      <w:r>
        <w:rPr>
          <w:rFonts w:ascii="Barlow Semi Condensed" w:cs="Barlow Semi Condensed" w:eastAsia="Barlow Semi Condensed" w:hAnsi="Barlow Semi Condensed"/>
          <w:b/>
          <w:bCs/>
          <w:sz w:val="24"/>
          <w:szCs w:val="24"/>
        </w:rPr>
        <w:t xml:space="preserve">solo dopo la scoperta</w:t>
      </w:r>
      <w:r>
        <w:rPr>
          <w:rFonts w:ascii="Barlow Semi Condensed" w:cs="Barlow Semi Condensed" w:eastAsia="Barlow Semi Condensed" w:hAnsi="Barlow Semi Condensed"/>
          <w:sz w:val="24"/>
          <w:szCs w:val="24"/>
        </w:rPr>
        <w:t xml:space="preserve">. E il 18 aprile è anche il giorno del </w:t>
      </w:r>
      <w:r>
        <w:rPr>
          <w:rFonts w:ascii="Barlow Semi Condensed" w:cs="Barlow Semi Condensed" w:eastAsia="Barlow Semi Condensed" w:hAnsi="Barlow Semi Condensed"/>
          <w:b/>
          <w:bCs/>
          <w:sz w:val="24"/>
          <w:szCs w:val="24"/>
        </w:rPr>
        <w:t xml:space="preserve">falso comunicato n. 7</w:t>
      </w:r>
      <w:r>
        <w:rPr>
          <w:rFonts w:ascii="Barlow Semi Condensed" w:cs="Barlow Semi Condensed" w:eastAsia="Barlow Semi Condensed" w:hAnsi="Barlow Semi Condensed"/>
          <w:sz w:val="24"/>
          <w:szCs w:val="24"/>
        </w:rPr>
        <w:t xml:space="preserve"> e della messinscena del </w:t>
      </w:r>
      <w:r>
        <w:rPr>
          <w:rFonts w:ascii="Barlow Semi Condensed" w:cs="Barlow Semi Condensed" w:eastAsia="Barlow Semi Condensed" w:hAnsi="Barlow Semi Condensed"/>
          <w:b/>
          <w:bCs/>
          <w:sz w:val="24"/>
          <w:szCs w:val="24"/>
        </w:rPr>
        <w:t xml:space="preserve">lago della Duchessa</w:t>
      </w:r>
      <w:r>
        <w:rPr>
          <w:rFonts w:ascii="Barlow Semi Condensed" w:cs="Barlow Semi Condensed" w:eastAsia="Barlow Semi Condensed" w:hAnsi="Barlow Semi Condensed"/>
          <w:sz w:val="24"/>
          <w:szCs w:val="24"/>
        </w:rPr>
        <w:t xml:space="preserve">: il grappolo temporale è un fatto; il suo significato non lo è.</w:t>
      </w:r>
    </w:p>
    <w:p>
      <w:pPr>
        <w:pStyle w:val="Heading3"/>
        <w:spacing w:after="80" w:before="160"/>
      </w:pPr>
      <w:r>
        <w:rPr>
          <w:rFonts w:ascii="Barlow Semi Condensed" w:cs="Barlow Semi Condensed" w:eastAsia="Barlow Semi Condensed" w:hAnsi="Barlow Semi Condensed"/>
          <w:sz w:val="24"/>
          <w:szCs w:val="24"/>
        </w:rPr>
        <w:t xml:space="preserve">I due quesiti, in forma ACH</w:t>
      </w:r>
    </w:p>
    <w:p>
      <w:pPr>
        <w:spacing w:after="120" w:line="276"/>
        <w:jc w:val="both"/>
      </w:pPr>
      <w:r>
        <w:rPr>
          <w:rFonts w:ascii="Barlow Semi Condensed" w:cs="Barlow Semi Condensed" w:eastAsia="Barlow Semi Condensed" w:hAnsi="Barlow Semi Condensed"/>
          <w:b/>
          <w:bCs/>
          <w:sz w:val="24"/>
          <w:szCs w:val="24"/>
        </w:rPr>
        <w:t xml:space="preserve">Q1 — La catena della nota e del mancato ritorno.</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H1:</w:t>
      </w:r>
      <w:r>
        <w:rPr>
          <w:rFonts w:ascii="Barlow Semi Condensed" w:cs="Barlow Semi Condensed" w:eastAsia="Barlow Semi Condensed" w:hAnsi="Barlow Semi Condensed"/>
          <w:sz w:val="24"/>
          <w:szCs w:val="24"/>
        </w:rPr>
        <w:t xml:space="preserve"> negligenza ordinaria in giorni di sovraccarico (migliaia di segnalazioni, controlli sommari). </w:t>
      </w:r>
      <w:r>
        <w:rPr>
          <w:rFonts w:ascii="Barlow Semi Condensed" w:cs="Barlow Semi Condensed" w:eastAsia="Barlow Semi Condensed" w:hAnsi="Barlow Semi Condensed"/>
          <w:i/>
          <w:iCs/>
          <w:sz w:val="24"/>
          <w:szCs w:val="24"/>
        </w:rPr>
        <w:t xml:space="preserve">H2:</w:t>
      </w:r>
      <w:r>
        <w:rPr>
          <w:rFonts w:ascii="Barlow Semi Condensed" w:cs="Barlow Semi Condensed" w:eastAsia="Barlow Semi Condensed" w:hAnsi="Barlow Semi Condensed"/>
          <w:sz w:val="24"/>
          <w:szCs w:val="24"/>
        </w:rPr>
        <w:t xml:space="preserve"> un filtro o una disposizione nella catena (la nota depotenziata, il ritorno non disposto). Evidenza discriminante: </w:t>
      </w:r>
      <w:r>
        <w:rPr>
          <w:rFonts w:ascii="Barlow Semi Condensed" w:cs="Barlow Semi Condensed" w:eastAsia="Barlow Semi Condensed" w:hAnsi="Barlow Semi Condensed"/>
          <w:b/>
          <w:bCs/>
          <w:sz w:val="24"/>
          <w:szCs w:val="24"/>
        </w:rPr>
        <w:t xml:space="preserve">i documenti della catena</w:t>
      </w:r>
      <w:r>
        <w:rPr>
          <w:rFonts w:ascii="Barlow Semi Condensed" w:cs="Barlow Semi Condensed" w:eastAsia="Barlow Semi Condensed" w:hAnsi="Barlow Semi Condensed"/>
          <w:sz w:val="24"/>
          <w:szCs w:val="24"/>
        </w:rPr>
        <w:t xml:space="preserve"> — il protocollo d'ingresso della nota Mokbel, le disposizioni scritte alla squadra, il rapporto di Merola, l'eventuale nota di mancato seguito. Nessuna delle due ipotesi è oggi più che C; e va detto contro ogni dietrologia frettolosa che l'esistenza stessa della nota Mokbel prova che il sistema delle segnalazioni </w:t>
      </w:r>
      <w:r>
        <w:rPr>
          <w:rFonts w:ascii="Barlow Semi Condensed" w:cs="Barlow Semi Condensed" w:eastAsia="Barlow Semi Condensed" w:hAnsi="Barlow Semi Condensed"/>
          <w:b/>
          <w:bCs/>
          <w:sz w:val="24"/>
          <w:szCs w:val="24"/>
        </w:rPr>
        <w:t xml:space="preserve">funzionava in ingresso</w:t>
      </w:r>
      <w:r>
        <w:rPr>
          <w:rFonts w:ascii="Barlow Semi Condensed" w:cs="Barlow Semi Condensed" w:eastAsia="Barlow Semi Condensed" w:hAnsi="Barlow Semi Condensed"/>
          <w:sz w:val="24"/>
          <w:szCs w:val="24"/>
        </w:rPr>
        <w:t xml:space="preserve"> — il quesito è tutto sul suo funzionamento </w:t>
      </w:r>
      <w:r>
        <w:rPr>
          <w:rFonts w:ascii="Barlow Semi Condensed" w:cs="Barlow Semi Condensed" w:eastAsia="Barlow Semi Condensed" w:hAnsi="Barlow Semi Condensed"/>
          <w:b/>
          <w:bCs/>
          <w:sz w:val="24"/>
          <w:szCs w:val="24"/>
        </w:rPr>
        <w:t xml:space="preserve">in uscita</w:t>
      </w:r>
      <w:r>
        <w:rPr>
          <w:rFonts w:ascii="Barlow Semi Condensed" w:cs="Barlow Semi Condensed" w:eastAsia="Barlow Semi Condensed" w:hAnsi="Barlow Semi Condensed"/>
          <w:sz w:val="24"/>
          <w:szCs w:val="24"/>
        </w:rPr>
        <w:t xml:space="preserve">.</w:t>
      </w:r>
    </w:p>
    <w:p>
      <w:pPr>
        <w:spacing w:after="120" w:line="276"/>
        <w:jc w:val="both"/>
      </w:pPr>
      <w:r>
        <w:rPr>
          <w:rFonts w:ascii="Barlow Semi Condensed" w:cs="Barlow Semi Condensed" w:eastAsia="Barlow Semi Condensed" w:hAnsi="Barlow Semi Condensed"/>
          <w:b/>
          <w:bCs/>
          <w:sz w:val="24"/>
          <w:szCs w:val="24"/>
        </w:rPr>
        <w:t xml:space="preserve">Q2 — L'allagamento.</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H1:</w:t>
      </w:r>
      <w:r>
        <w:rPr>
          <w:rFonts w:ascii="Barlow Semi Condensed" w:cs="Barlow Semi Condensed" w:eastAsia="Barlow Semi Condensed" w:hAnsi="Barlow Semi Condensed"/>
          <w:sz w:val="24"/>
          <w:szCs w:val="24"/>
        </w:rPr>
        <w:t xml:space="preserve"> la distrazione — il rubinetto dimenticato, come da verbale dei vigili e come nelle versioni rese dai condannati. </w:t>
      </w:r>
      <w:r>
        <w:rPr>
          <w:rFonts w:ascii="Barlow Semi Condensed" w:cs="Barlow Semi Condensed" w:eastAsia="Barlow Semi Condensed" w:hAnsi="Barlow Semi Condensed"/>
          <w:i/>
          <w:iCs/>
          <w:sz w:val="24"/>
          <w:szCs w:val="24"/>
        </w:rPr>
        <w:t xml:space="preserve">H2:</w:t>
      </w:r>
      <w:r>
        <w:rPr>
          <w:rFonts w:ascii="Barlow Semi Condensed" w:cs="Barlow Semi Condensed" w:eastAsia="Barlow Semi Condensed" w:hAnsi="Barlow Semi Condensed"/>
          <w:sz w:val="24"/>
          <w:szCs w:val="24"/>
        </w:rPr>
        <w:t xml:space="preserve"> la perdita </w:t>
      </w:r>
      <w:r>
        <w:rPr>
          <w:rFonts w:ascii="Barlow Semi Condensed" w:cs="Barlow Semi Condensed" w:eastAsia="Barlow Semi Condensed" w:hAnsi="Barlow Semi Condensed"/>
          <w:b/>
          <w:bCs/>
          <w:sz w:val="24"/>
          <w:szCs w:val="24"/>
        </w:rPr>
        <w:t xml:space="preserve">deliberata</w:t>
      </w:r>
      <w:r>
        <w:rPr>
          <w:rFonts w:ascii="Barlow Semi Condensed" w:cs="Barlow Semi Condensed" w:eastAsia="Barlow Semi Condensed" w:hAnsi="Barlow Semi Condensed"/>
          <w:sz w:val="24"/>
          <w:szCs w:val="24"/>
        </w:rPr>
        <w:t xml:space="preserve">, per far scoprire il covo — tesi ricorrente in sede parlamentare e pubblicistica («il covo fatto trovare»). Evidenza discriminante: </w:t>
      </w:r>
      <w:r>
        <w:rPr>
          <w:rFonts w:ascii="Barlow Semi Condensed" w:cs="Barlow Semi Condensed" w:eastAsia="Barlow Semi Condensed" w:hAnsi="Barlow Semi Condensed"/>
          <w:b/>
          <w:bCs/>
          <w:sz w:val="24"/>
          <w:szCs w:val="24"/>
        </w:rPr>
        <w:t xml:space="preserve">i rilievi fotografici originali del bagno</w:t>
      </w:r>
      <w:r>
        <w:rPr>
          <w:rFonts w:ascii="Barlow Semi Condensed" w:cs="Barlow Semi Condensed" w:eastAsia="Barlow Semi Condensed" w:hAnsi="Barlow Semi Condensed"/>
          <w:sz w:val="24"/>
          <w:szCs w:val="24"/>
        </w:rPr>
        <w:t xml:space="preserve"> e il fascicolo integrale dei VVF — la posizione materiale della doccia e del getto è un dato fisico che fu fotografato, e le fotografie esistono agli atti. Fino alla loro riacquisizione e perizia, entrambe le ipotesi restano C.</w:t>
      </w:r>
    </w:p>
    <w:p>
      <w:pPr>
        <w:pStyle w:val="Heading3"/>
        <w:spacing w:after="80" w:before="160"/>
      </w:pPr>
      <w:r>
        <w:rPr>
          <w:rFonts w:ascii="Barlow Semi Condensed" w:cs="Barlow Semi Condensed" w:eastAsia="Barlow Semi Condensed" w:hAnsi="Barlow Semi Condensed"/>
          <w:sz w:val="24"/>
          <w:szCs w:val="24"/>
        </w:rPr>
        <w:t xml:space="preserve">L'atto raffinato, in quattro passi</w:t>
      </w:r>
    </w:p>
    <w:p>
      <w:pPr>
        <w:spacing w:after="120" w:line="276"/>
        <w:jc w:val="both"/>
      </w:pPr>
      <w:r>
        <w:rPr>
          <w:rFonts w:ascii="Barlow Semi Condensed" w:cs="Barlow Semi Condensed" w:eastAsia="Barlow Semi Condensed" w:hAnsi="Barlow Semi Condensed"/>
          <w:i/>
          <w:iCs/>
          <w:sz w:val="24"/>
          <w:szCs w:val="24"/>
        </w:rPr>
        <w:t xml:space="preserve">(a)</w:t>
      </w:r>
      <w:r>
        <w:rPr>
          <w:rFonts w:ascii="Barlow Semi Condensed" w:cs="Barlow Semi Condensed" w:eastAsia="Barlow Semi Condensed" w:hAnsi="Barlow Semi Condensed"/>
          <w:sz w:val="24"/>
          <w:szCs w:val="24"/>
        </w:rPr>
        <w:t xml:space="preserve"> Acquisizione del </w:t>
      </w:r>
      <w:r>
        <w:rPr>
          <w:rFonts w:ascii="Barlow Semi Condensed" w:cs="Barlow Semi Condensed" w:eastAsia="Barlow Semi Condensed" w:hAnsi="Barlow Semi Condensed"/>
          <w:b/>
          <w:bCs/>
          <w:sz w:val="24"/>
          <w:szCs w:val="24"/>
        </w:rPr>
        <w:t xml:space="preserve">fascicolo del commissariato Flaminio Nuovo</w:t>
      </w:r>
      <w:r>
        <w:rPr>
          <w:rFonts w:ascii="Barlow Semi Condensed" w:cs="Barlow Semi Condensed" w:eastAsia="Barlow Semi Condensed" w:hAnsi="Barlow Semi Condensed"/>
          <w:sz w:val="24"/>
          <w:szCs w:val="24"/>
        </w:rPr>
        <w:t xml:space="preserve">: l'ordine di servizio del 18 marzo, il rapporto della squadra, il registro dei controlli di zona. </w:t>
      </w:r>
      <w:r>
        <w:rPr>
          <w:rFonts w:ascii="Barlow Semi Condensed" w:cs="Barlow Semi Condensed" w:eastAsia="Barlow Semi Condensed" w:hAnsi="Barlow Semi Condensed"/>
          <w:i/>
          <w:iCs/>
          <w:sz w:val="24"/>
          <w:szCs w:val="24"/>
        </w:rPr>
        <w:t xml:space="preserve">(b)</w:t>
      </w:r>
      <w:r>
        <w:rPr>
          <w:rFonts w:ascii="Barlow Semi Condensed" w:cs="Barlow Semi Condensed" w:eastAsia="Barlow Semi Condensed" w:hAnsi="Barlow Semi Condensed"/>
          <w:sz w:val="24"/>
          <w:szCs w:val="24"/>
        </w:rPr>
        <w:t xml:space="preserve"> Il </w:t>
      </w:r>
      <w:r>
        <w:rPr>
          <w:rFonts w:ascii="Barlow Semi Condensed" w:cs="Barlow Semi Condensed" w:eastAsia="Barlow Semi Condensed" w:hAnsi="Barlow Semi Condensed"/>
          <w:b/>
          <w:bCs/>
          <w:sz w:val="24"/>
          <w:szCs w:val="24"/>
        </w:rPr>
        <w:t xml:space="preserve">percorso protocollare della nota Mokbel</w:t>
      </w:r>
      <w:r>
        <w:rPr>
          <w:rFonts w:ascii="Barlow Semi Condensed" w:cs="Barlow Semi Condensed" w:eastAsia="Barlow Semi Condensed" w:hAnsi="Barlow Semi Condensed"/>
          <w:sz w:val="24"/>
          <w:szCs w:val="24"/>
        </w:rPr>
        <w:t xml:space="preserve">: ingresso, assegnazione, seguito — questura, UCIGOS, Viminale. </w:t>
      </w:r>
      <w:r>
        <w:rPr>
          <w:rFonts w:ascii="Barlow Semi Condensed" w:cs="Barlow Semi Condensed" w:eastAsia="Barlow Semi Condensed" w:hAnsi="Barlow Semi Condensed"/>
          <w:i/>
          <w:iCs/>
          <w:sz w:val="24"/>
          <w:szCs w:val="24"/>
        </w:rPr>
        <w:t xml:space="preserve">(c)</w:t>
      </w:r>
      <w:r>
        <w:rPr>
          <w:rFonts w:ascii="Barlow Semi Condensed" w:cs="Barlow Semi Condensed" w:eastAsia="Barlow Semi Condensed" w:hAnsi="Barlow Semi Condensed"/>
          <w:sz w:val="24"/>
          <w:szCs w:val="24"/>
        </w:rPr>
        <w:t xml:space="preserve"> Il </w:t>
      </w:r>
      <w:r>
        <w:rPr>
          <w:rFonts w:ascii="Barlow Semi Condensed" w:cs="Barlow Semi Condensed" w:eastAsia="Barlow Semi Condensed" w:hAnsi="Barlow Semi Condensed"/>
          <w:b/>
          <w:bCs/>
          <w:sz w:val="24"/>
          <w:szCs w:val="24"/>
        </w:rPr>
        <w:t xml:space="preserve">fascicolo integrale dei vigili del fuoco</w:t>
      </w:r>
      <w:r>
        <w:rPr>
          <w:rFonts w:ascii="Barlow Semi Condensed" w:cs="Barlow Semi Condensed" w:eastAsia="Barlow Semi Condensed" w:hAnsi="Barlow Semi Condensed"/>
          <w:sz w:val="24"/>
          <w:szCs w:val="24"/>
        </w:rPr>
        <w:t xml:space="preserve"> del 18 aprile con i </w:t>
      </w:r>
      <w:r>
        <w:rPr>
          <w:rFonts w:ascii="Barlow Semi Condensed" w:cs="Barlow Semi Condensed" w:eastAsia="Barlow Semi Condensed" w:hAnsi="Barlow Semi Condensed"/>
          <w:b/>
          <w:bCs/>
          <w:sz w:val="24"/>
          <w:szCs w:val="24"/>
        </w:rPr>
        <w:t xml:space="preserve">rilievi fotografici del bagno</w:t>
      </w:r>
      <w:r>
        <w:rPr>
          <w:rFonts w:ascii="Barlow Semi Condensed" w:cs="Barlow Semi Condensed" w:eastAsia="Barlow Semi Condensed" w:hAnsi="Barlow Semi Condensed"/>
          <w:sz w:val="24"/>
          <w:szCs w:val="24"/>
        </w:rPr>
        <w:t xml:space="preserve">, e la loro perizia descrittiva. </w:t>
      </w:r>
      <w:r>
        <w:rPr>
          <w:rFonts w:ascii="Barlow Semi Condensed" w:cs="Barlow Semi Condensed" w:eastAsia="Barlow Semi Condensed" w:hAnsi="Barlow Semi Condensed"/>
          <w:i/>
          <w:iCs/>
          <w:sz w:val="24"/>
          <w:szCs w:val="24"/>
        </w:rPr>
        <w:t xml:space="preserve">(d)</w:t>
      </w:r>
      <w:r>
        <w:rPr>
          <w:rFonts w:ascii="Barlow Semi Condensed" w:cs="Barlow Semi Condensed" w:eastAsia="Barlow Semi Condensed" w:hAnsi="Barlow Semi Condensed"/>
          <w:sz w:val="24"/>
          <w:szCs w:val="24"/>
        </w:rPr>
        <w:t xml:space="preserve"> La </w:t>
      </w:r>
      <w:r>
        <w:rPr>
          <w:rFonts w:ascii="Barlow Semi Condensed" w:cs="Barlow Semi Condensed" w:eastAsia="Barlow Semi Condensed" w:hAnsi="Barlow Semi Condensed"/>
          <w:b/>
          <w:bCs/>
          <w:sz w:val="24"/>
          <w:szCs w:val="24"/>
        </w:rPr>
        <w:t xml:space="preserve">cronologia incrociata del triplo 18 aprile</w:t>
      </w:r>
      <w:r>
        <w:rPr>
          <w:rFonts w:ascii="Barlow Semi Condensed" w:cs="Barlow Semi Condensed" w:eastAsia="Barlow Semi Condensed" w:hAnsi="Barlow Semi Condensed"/>
          <w:sz w:val="24"/>
          <w:szCs w:val="24"/>
        </w:rPr>
        <w:t xml:space="preserve"> sui soli documenti: chi seppe di che cosa, a che ora, per quale via — falso comunicato, covo, Duchessa — senza assumere il grappolo come regia finché gli atti non parlino.</w:t>
      </w:r>
    </w:p>
    <w:p>
      <w:pPr>
        <w:pStyle w:val="Heading3"/>
        <w:spacing w:after="80" w:before="160"/>
      </w:pPr>
      <w:r>
        <w:rPr>
          <w:rFonts w:ascii="Barlow Semi Condensed" w:cs="Barlow Semi Condensed" w:eastAsia="Barlow Semi Condensed" w:hAnsi="Barlow Semi Condensed"/>
          <w:sz w:val="24"/>
          <w:szCs w:val="24"/>
        </w:rPr>
        <w:t xml:space="preserve">Errori da non ripetere, e criterio di chiusura</w:t>
      </w:r>
    </w:p>
    <w:p>
      <w:pPr>
        <w:spacing w:after="120" w:line="276"/>
        <w:jc w:val="both"/>
      </w:pPr>
      <w:r>
        <w:rPr>
          <w:rFonts w:ascii="Barlow Semi Condensed" w:cs="Barlow Semi Condensed" w:eastAsia="Barlow Semi Condensed" w:hAnsi="Barlow Semi Condensed"/>
          <w:sz w:val="24"/>
          <w:szCs w:val="24"/>
        </w:rPr>
        <w:t xml:space="preserve">Non trasformare la negligenza in dolo per impazienza: trenta giorni di distanza fra campanello e doccia sono compatibili con entrambe le ipotesi, e solo le carte discriminano. Non processare il brigadiere e l'informatrice: sono </w:t>
      </w:r>
      <w:r>
        <w:rPr>
          <w:rFonts w:ascii="Barlow Semi Condensed" w:cs="Barlow Semi Condensed" w:eastAsia="Barlow Semi Condensed" w:hAnsi="Barlow Semi Condensed"/>
          <w:b/>
          <w:bCs/>
          <w:sz w:val="24"/>
          <w:szCs w:val="24"/>
        </w:rPr>
        <w:t xml:space="preserve">fatti d'ufficio documentati</w:t>
      </w:r>
      <w:r>
        <w:rPr>
          <w:rFonts w:ascii="Barlow Semi Condensed" w:cs="Barlow Semi Condensed" w:eastAsia="Barlow Semi Condensed" w:hAnsi="Barlow Semi Condensed"/>
          <w:sz w:val="24"/>
          <w:szCs w:val="24"/>
        </w:rPr>
        <w:t xml:space="preserve">, l'uno operante e l'altra fonte, e a nessuno dei due gli atti attribuiscono altro. Non dimenticare che l'interno 11 era del giudicato: chi lo abitava è scritto nelle sentenze, e il quesito non è </w:t>
      </w:r>
      <w:r>
        <w:rPr>
          <w:rFonts w:ascii="Barlow Semi Condensed" w:cs="Barlow Semi Condensed" w:eastAsia="Barlow Semi Condensed" w:hAnsi="Barlow Semi Condensed"/>
          <w:i/>
          <w:iCs/>
          <w:sz w:val="24"/>
          <w:szCs w:val="24"/>
        </w:rPr>
        <w:t xml:space="preserve">chi ci fosse dentro</w:t>
      </w:r>
      <w:r>
        <w:rPr>
          <w:rFonts w:ascii="Barlow Semi Condensed" w:cs="Barlow Semi Condensed" w:eastAsia="Barlow Semi Condensed" w:hAnsi="Barlow Semi Condensed"/>
          <w:sz w:val="24"/>
          <w:szCs w:val="24"/>
        </w:rPr>
        <w:t xml:space="preserve"> ma </w:t>
      </w:r>
      <w:r>
        <w:rPr>
          <w:rFonts w:ascii="Barlow Semi Condensed" w:cs="Barlow Semi Condensed" w:eastAsia="Barlow Semi Condensed" w:hAnsi="Barlow Semi Condensed"/>
          <w:i/>
          <w:iCs/>
          <w:sz w:val="24"/>
          <w:szCs w:val="24"/>
        </w:rPr>
        <w:t xml:space="preserve">come lo Stato lo mancò e come lo trovò</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Chiusura:</w:t>
      </w:r>
      <w:r>
        <w:rPr>
          <w:rFonts w:ascii="Barlow Semi Condensed" w:cs="Barlow Semi Condensed" w:eastAsia="Barlow Semi Condensed" w:hAnsi="Barlow Semi Condensed"/>
          <w:sz w:val="24"/>
          <w:szCs w:val="24"/>
        </w:rPr>
        <w:t xml:space="preserve"> Q1 chiude con la catena documentale ricostruita (o con l'assenza certificata dei suoi anelli, che sarebbe un esito di peso); Q2 chiude con la perizia sui rilievi originali. Qualunque esito, in entrambi i casi, sposta il nodo del 18 aprile dal territorio del sospetto a quello del documento — che è l'unico spostamento che questo programma persegue.</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Scheda PE-2 — Il condominio e le sue date: gli assetti proprietari di via Gradoli 96</w:t>
      </w:r>
    </w:p>
    <w:p>
      <w:pPr>
        <w:pStyle w:val="Heading3"/>
        <w:spacing w:after="80" w:before="160"/>
      </w:pPr>
      <w:r>
        <w:rPr>
          <w:rFonts w:ascii="Barlow Semi Condensed" w:cs="Barlow Semi Condensed" w:eastAsia="Barlow Semi Condensed" w:hAnsi="Barlow Semi Condensed"/>
          <w:sz w:val="24"/>
          <w:szCs w:val="24"/>
        </w:rPr>
        <w:t xml:space="preserve">La storia degli accertamenti, in due strati</w:t>
      </w:r>
    </w:p>
    <w:p>
      <w:pPr>
        <w:spacing w:after="120" w:line="276"/>
        <w:jc w:val="both"/>
      </w:pPr>
      <w:r>
        <w:rPr>
          <w:rFonts w:ascii="Barlow Semi Condensed" w:cs="Barlow Semi Condensed" w:eastAsia="Barlow Semi Condensed" w:hAnsi="Barlow Semi Condensed"/>
          <w:sz w:val="24"/>
          <w:szCs w:val="24"/>
        </w:rPr>
        <w:t xml:space="preserve">Il primo strato è quello già censito dalla pista: la </w:t>
      </w:r>
      <w:r>
        <w:rPr>
          <w:rFonts w:ascii="Barlow Semi Condensed" w:cs="Barlow Semi Condensed" w:eastAsia="Barlow Semi Condensed" w:hAnsi="Barlow Semi Condensed"/>
          <w:b/>
          <w:bCs/>
          <w:sz w:val="24"/>
          <w:szCs w:val="24"/>
        </w:rPr>
        <w:t xml:space="preserve">relazione della Commissione Moro 2</w:t>
      </w:r>
      <w:r>
        <w:rPr>
          <w:rFonts w:ascii="Barlow Semi Condensed" w:cs="Barlow Semi Condensed" w:eastAsia="Barlow Semi Condensed" w:hAnsi="Barlow Semi Condensed"/>
          <w:sz w:val="24"/>
          <w:szCs w:val="24"/>
        </w:rPr>
        <w:t xml:space="preserve"> documenta che, dei 66 appartamenti dello stabile, </w:t>
      </w:r>
      <w:r>
        <w:rPr>
          <w:rFonts w:ascii="Barlow Semi Condensed" w:cs="Barlow Semi Condensed" w:eastAsia="Barlow Semi Condensed" w:hAnsi="Barlow Semi Condensed"/>
          <w:b/>
          <w:bCs/>
          <w:sz w:val="24"/>
          <w:szCs w:val="24"/>
        </w:rPr>
        <w:t xml:space="preserve">24 risultavano di società immobiliari</w:t>
      </w:r>
      <w:r>
        <w:rPr>
          <w:rFonts w:ascii="Barlow Semi Condensed" w:cs="Barlow Semi Condensed" w:eastAsia="Barlow Semi Condensed" w:hAnsi="Barlow Semi Condensed"/>
          <w:sz w:val="24"/>
          <w:szCs w:val="24"/>
        </w:rPr>
        <w:t xml:space="preserve"> — Monte Valle Verde srl, Caseroma srl, Gradoli spa — </w:t>
      </w:r>
      <w:r>
        <w:rPr>
          <w:rFonts w:ascii="Barlow Semi Condensed" w:cs="Barlow Semi Condensed" w:eastAsia="Barlow Semi Condensed" w:hAnsi="Barlow Semi Condensed"/>
          <w:b/>
          <w:bCs/>
          <w:sz w:val="24"/>
          <w:szCs w:val="24"/>
        </w:rPr>
        <w:t xml:space="preserve">i cui amministratori comprendevano fiduciari dei servizi</w:t>
      </w:r>
      <w:r>
        <w:rPr>
          <w:rFonts w:ascii="Barlow Semi Condensed" w:cs="Barlow Semi Condensed" w:eastAsia="Barlow Semi Condensed" w:hAnsi="Barlow Semi Condensed"/>
          <w:sz w:val="24"/>
          <w:szCs w:val="24"/>
        </w:rPr>
        <w:t xml:space="preserve"> (relazione Moro 2, «I covi e la morte di Moro» (https://documenti.camera.it/_dati/leg17/lavori/documentiparlamentari/indiceetesti/023/029/00000015.pdf)).</w:t>
      </w:r>
    </w:p>
    <w:p>
      <w:pPr>
        <w:spacing w:after="120" w:line="276"/>
        <w:jc w:val="both"/>
      </w:pPr>
      <w:r>
        <w:rPr>
          <w:rFonts w:ascii="Barlow Semi Condensed" w:cs="Barlow Semi Condensed" w:eastAsia="Barlow Semi Condensed" w:hAnsi="Barlow Semi Condensed"/>
          <w:sz w:val="24"/>
          <w:szCs w:val="24"/>
        </w:rPr>
        <w:t xml:space="preserve">Il secondo strato è più recente e più solido, perché è </w:t>
      </w:r>
      <w:r>
        <w:rPr>
          <w:rFonts w:ascii="Barlow Semi Condensed" w:cs="Barlow Semi Condensed" w:eastAsia="Barlow Semi Condensed" w:hAnsi="Barlow Semi Condensed"/>
          <w:b/>
          <w:bCs/>
          <w:sz w:val="24"/>
          <w:szCs w:val="24"/>
        </w:rPr>
        <w:t xml:space="preserve">dibattimentale</w:t>
      </w:r>
      <w:r>
        <w:rPr>
          <w:rFonts w:ascii="Barlow Semi Condensed" w:cs="Barlow Semi Condensed" w:eastAsia="Barlow Semi Condensed" w:hAnsi="Barlow Semi Condensed"/>
          <w:sz w:val="24"/>
          <w:szCs w:val="24"/>
        </w:rPr>
        <w:t xml:space="preserve">: nel processo per la strage di Bologna, nel giugno 2021, i legami fra lo stabile e i servizi furono </w:t>
      </w:r>
      <w:r>
        <w:rPr>
          <w:rFonts w:ascii="Barlow Semi Condensed" w:cs="Barlow Semi Condensed" w:eastAsia="Barlow Semi Condensed" w:hAnsi="Barlow Semi Condensed"/>
          <w:b/>
          <w:bCs/>
          <w:sz w:val="24"/>
          <w:szCs w:val="24"/>
        </w:rPr>
        <w:t xml:space="preserve">ricostruiti in aula</w:t>
      </w:r>
      <w:r>
        <w:rPr>
          <w:rFonts w:ascii="Barlow Semi Condensed" w:cs="Barlow Semi Condensed" w:eastAsia="Barlow Semi Condensed" w:hAnsi="Barlow Semi Condensed"/>
          <w:sz w:val="24"/>
          <w:szCs w:val="24"/>
        </w:rPr>
        <w:t xml:space="preserve"> (DIRE (https://www.dire.it/23-06-2021/647553-strage-di-bologna-ricostruiti-i-legami-tra-il-covo-di-via-gradoli-e-i-servizi/); il Resto del Carlino (https://www.ilrestodelcarlino.it/bologna/cronaca/strage-il-covo-di-via-gradoli-e-i-legami-con-i-servizi-segreti-95be7858); Antimafia Duemila (https://www.antimafiaduemila.com/home/mafie-news/306-giustizia/84509-strage-bologna-in-aula-i-legami-tra-il-covo-di-via-gradoli-e-i-servizi.html)). Ne emergono tre dati nominati, che si riportano per ciò che le fonti attestano e nulla più: </w:t>
      </w:r>
      <w:r>
        <w:rPr>
          <w:rFonts w:ascii="Barlow Semi Condensed" w:cs="Barlow Semi Condensed" w:eastAsia="Barlow Semi Condensed" w:hAnsi="Barlow Semi Condensed"/>
          <w:b/>
          <w:bCs/>
          <w:sz w:val="24"/>
          <w:szCs w:val="24"/>
        </w:rPr>
        <w:t xml:space="preserve">Domenico Catracchia</w:t>
      </w:r>
      <w:r>
        <w:rPr>
          <w:rFonts w:ascii="Barlow Semi Condensed" w:cs="Barlow Semi Condensed" w:eastAsia="Barlow Semi Condensed" w:hAnsi="Barlow Semi Condensed"/>
          <w:sz w:val="24"/>
          <w:szCs w:val="24"/>
        </w:rPr>
        <w:t xml:space="preserve"> risulta </w:t>
      </w:r>
      <w:r>
        <w:rPr>
          <w:rFonts w:ascii="Barlow Semi Condensed" w:cs="Barlow Semi Condensed" w:eastAsia="Barlow Semi Condensed" w:hAnsi="Barlow Semi Condensed"/>
          <w:b/>
          <w:bCs/>
          <w:sz w:val="24"/>
          <w:szCs w:val="24"/>
        </w:rPr>
        <w:t xml:space="preserve">amministratore unico di Caseroma e dell'Immobiliare Gradoli</w:t>
      </w:r>
      <w:r>
        <w:rPr>
          <w:rFonts w:ascii="Barlow Semi Condensed" w:cs="Barlow Semi Condensed" w:eastAsia="Barlow Semi Condensed" w:hAnsi="Barlow Semi Condensed"/>
          <w:sz w:val="24"/>
          <w:szCs w:val="24"/>
        </w:rPr>
        <w:t xml:space="preserve">, quest'ultima collegata a </w:t>
      </w:r>
      <w:r>
        <w:rPr>
          <w:rFonts w:ascii="Barlow Semi Condensed" w:cs="Barlow Semi Condensed" w:eastAsia="Barlow Semi Condensed" w:hAnsi="Barlow Semi Condensed"/>
          <w:b/>
          <w:bCs/>
          <w:sz w:val="24"/>
          <w:szCs w:val="24"/>
        </w:rPr>
        <w:t xml:space="preserve">Fidrev</w:t>
      </w:r>
      <w:r>
        <w:rPr>
          <w:rFonts w:ascii="Barlow Semi Condensed" w:cs="Barlow Semi Condensed" w:eastAsia="Barlow Semi Condensed" w:hAnsi="Barlow Semi Condensed"/>
          <w:sz w:val="24"/>
          <w:szCs w:val="24"/>
        </w:rPr>
        <w:t xml:space="preserve">, fiduciaria di consulenza del SISDE — un ruolo societario documentato, al quale questa scheda non aggiunge alcun addebito; al prefetto </w:t>
      </w:r>
      <w:r>
        <w:rPr>
          <w:rFonts w:ascii="Barlow Semi Condensed" w:cs="Barlow Semi Condensed" w:eastAsia="Barlow Semi Condensed" w:hAnsi="Barlow Semi Condensed"/>
          <w:b/>
          <w:bCs/>
          <w:sz w:val="24"/>
          <w:szCs w:val="24"/>
        </w:rPr>
        <w:t xml:space="preserve">Vincenzo Parisi</w:t>
      </w:r>
      <w:r>
        <w:rPr>
          <w:rFonts w:ascii="Barlow Semi Condensed" w:cs="Barlow Semi Condensed" w:eastAsia="Barlow Semi Condensed" w:hAnsi="Barlow Semi Condensed"/>
          <w:sz w:val="24"/>
          <w:szCs w:val="24"/>
        </w:rPr>
        <w:t xml:space="preserve"> — direttore del SISDE e poi capo della Polizia, scomparso nel 1994 — il dibattimento ha riferito </w:t>
      </w:r>
      <w:r>
        <w:rPr>
          <w:rFonts w:ascii="Barlow Semi Condensed" w:cs="Barlow Semi Condensed" w:eastAsia="Barlow Semi Condensed" w:hAnsi="Barlow Semi Condensed"/>
          <w:b/>
          <w:bCs/>
          <w:sz w:val="24"/>
          <w:szCs w:val="24"/>
        </w:rPr>
        <w:t xml:space="preserve">quattro immobili in via Gradoli fra il 1979 e il 1986, intestati a familiari, uno dei quali al civico 96</w:t>
      </w:r>
      <w:r>
        <w:rPr>
          <w:rFonts w:ascii="Barlow Semi Condensed" w:cs="Barlow Semi Condensed" w:eastAsia="Barlow Semi Condensed" w:hAnsi="Barlow Semi Condensed"/>
          <w:sz w:val="24"/>
          <w:szCs w:val="24"/>
        </w:rPr>
        <w:t xml:space="preserve">; e lo stesso stabile che aveva ospitato il covo BR dell'interno 11 </w:t>
      </w:r>
      <w:r>
        <w:rPr>
          <w:rFonts w:ascii="Barlow Semi Condensed" w:cs="Barlow Semi Condensed" w:eastAsia="Barlow Semi Condensed" w:hAnsi="Barlow Semi Condensed"/>
          <w:b/>
          <w:bCs/>
          <w:sz w:val="24"/>
          <w:szCs w:val="24"/>
        </w:rPr>
        <w:t xml:space="preserve">ospitò nel 1981 esponenti dei NAR</w:t>
      </w:r>
      <w:r>
        <w:rPr>
          <w:rFonts w:ascii="Barlow Semi Condensed" w:cs="Barlow Semi Condensed" w:eastAsia="Barlow Semi Condensed" w:hAnsi="Barlow Semi Condensed"/>
          <w:sz w:val="24"/>
          <w:szCs w:val="24"/>
        </w:rPr>
        <w:t xml:space="preserve">. Dal lato dei condannati, la posizione resa pubblicamente è netta: «dei covi del SISDE non sapevamo» (Faranda, 2021 (https://incronaca.unibo.it/archivio/2021/07/07/adriana-faranda-covi-via-gradoli-del-sisde-non-sapevamo)) — dichiarazione di parte, grado F, che si registra come tale.</w:t>
      </w:r>
    </w:p>
    <w:p>
      <w:pPr>
        <w:pStyle w:val="Heading3"/>
        <w:spacing w:after="80" w:before="160"/>
      </w:pPr>
      <w:r>
        <w:rPr>
          <w:rFonts w:ascii="Barlow Semi Condensed" w:cs="Barlow Semi Condensed" w:eastAsia="Barlow Semi Condensed" w:hAnsi="Barlow Semi Condensed"/>
          <w:sz w:val="24"/>
          <w:szCs w:val="24"/>
        </w:rPr>
        <w:t xml:space="preserve">La disciplina che l'approfondimento impone: le date prima di tutto</w:t>
      </w:r>
    </w:p>
    <w:p>
      <w:pPr>
        <w:spacing w:after="120" w:line="276"/>
        <w:jc w:val="both"/>
      </w:pPr>
      <w:r>
        <w:rPr>
          <w:rFonts w:ascii="Barlow Semi Condensed" w:cs="Barlow Semi Condensed" w:eastAsia="Barlow Semi Condensed" w:hAnsi="Barlow Semi Condensed"/>
          <w:sz w:val="24"/>
          <w:szCs w:val="24"/>
        </w:rPr>
        <w:t xml:space="preserve">Ed ecco il punto che trasforma la suggestione in quesito. I legami documentati nel dibattimento </w:t>
      </w:r>
      <w:r>
        <w:rPr>
          <w:rFonts w:ascii="Barlow Semi Condensed" w:cs="Barlow Semi Condensed" w:eastAsia="Barlow Semi Condensed" w:hAnsi="Barlow Semi Condensed"/>
          <w:b/>
          <w:bCs/>
          <w:sz w:val="24"/>
          <w:szCs w:val="24"/>
        </w:rPr>
        <w:t xml:space="preserve">datano in larga parte 1979-1986 — dopo il caso Moro</w:t>
      </w:r>
      <w:r>
        <w:rPr>
          <w:rFonts w:ascii="Barlow Semi Condensed" w:cs="Barlow Semi Condensed" w:eastAsia="Barlow Semi Condensed" w:hAnsi="Barlow Semi Condensed"/>
          <w:sz w:val="24"/>
          <w:szCs w:val="24"/>
        </w:rPr>
        <w:t xml:space="preserve">: gli immobili riferiti a Parisi partono dal 1979; la presenza NAR è del 1981. La finestra che interessa il caso è invece </w:t>
      </w:r>
      <w:r>
        <w:rPr>
          <w:rFonts w:ascii="Barlow Semi Condensed" w:cs="Barlow Semi Condensed" w:eastAsia="Barlow Semi Condensed" w:hAnsi="Barlow Semi Condensed"/>
          <w:b/>
          <w:bCs/>
          <w:sz w:val="24"/>
          <w:szCs w:val="24"/>
        </w:rPr>
        <w:t xml:space="preserve">1975-1978</w:t>
      </w:r>
      <w:r>
        <w:rPr>
          <w:rFonts w:ascii="Barlow Semi Condensed" w:cs="Barlow Semi Condensed" w:eastAsia="Barlow Semi Condensed" w:hAnsi="Barlow Semi Condensed"/>
          <w:sz w:val="24"/>
          <w:szCs w:val="24"/>
        </w:rPr>
        <w:t xml:space="preserve">: l'interno 11 fu affittato all'«ing. Borghi» nel 1975 e il covo cadde il 18 aprile 1978. Sovrapporre i due strati senza date — come l'epiteto «condominio di Stato» ha fatto per vent'anni — è esattamente l'errore che la regola dell'anello debole vieta: </w:t>
      </w:r>
      <w:r>
        <w:rPr>
          <w:rFonts w:ascii="Barlow Semi Condensed" w:cs="Barlow Semi Condensed" w:eastAsia="Barlow Semi Condensed" w:hAnsi="Barlow Semi Condensed"/>
          <w:b/>
          <w:bCs/>
          <w:sz w:val="24"/>
          <w:szCs w:val="24"/>
        </w:rPr>
        <w:t xml:space="preserve">prima di chiedersi che cosa significhi la coabitazione, bisogna stabilire se e quando vi fu coabitazione.</w:t>
      </w:r>
    </w:p>
    <w:p>
      <w:pPr>
        <w:pStyle w:val="Heading3"/>
        <w:spacing w:after="80" w:before="160"/>
      </w:pPr>
      <w:r>
        <w:rPr>
          <w:rFonts w:ascii="Barlow Semi Condensed" w:cs="Barlow Semi Condensed" w:eastAsia="Barlow Semi Condensed" w:hAnsi="Barlow Semi Condensed"/>
          <w:sz w:val="24"/>
          <w:szCs w:val="24"/>
        </w:rPr>
        <w:t xml:space="preserve">Il quesito, in forma ACH</w:t>
      </w:r>
    </w:p>
    <w:p>
      <w:pPr>
        <w:spacing w:after="120" w:line="276"/>
        <w:jc w:val="both"/>
      </w:pPr>
      <w:r>
        <w:rPr>
          <w:rFonts w:ascii="Barlow Semi Condensed" w:cs="Barlow Semi Condensed" w:eastAsia="Barlow Semi Condensed" w:hAnsi="Barlow Semi Condensed"/>
          <w:i/>
          <w:iCs/>
          <w:sz w:val="24"/>
          <w:szCs w:val="24"/>
        </w:rPr>
        <w:t xml:space="preserve">H1 — L'insediamento successivo:</w:t>
      </w:r>
      <w:r>
        <w:rPr>
          <w:rFonts w:ascii="Barlow Semi Condensed" w:cs="Barlow Semi Condensed" w:eastAsia="Barlow Semi Condensed" w:hAnsi="Barlow Semi Condensed"/>
          <w:sz w:val="24"/>
          <w:szCs w:val="24"/>
        </w:rPr>
        <w:t xml:space="preserve"> l'ambiente riconducibile ai servizi entra nello stabile </w:t>
      </w:r>
      <w:r>
        <w:rPr>
          <w:rFonts w:ascii="Barlow Semi Condensed" w:cs="Barlow Semi Condensed" w:eastAsia="Barlow Semi Condensed" w:hAnsi="Barlow Semi Condensed"/>
          <w:b/>
          <w:bCs/>
          <w:sz w:val="24"/>
          <w:szCs w:val="24"/>
        </w:rPr>
        <w:t xml:space="preserve">dopo</w:t>
      </w:r>
      <w:r>
        <w:rPr>
          <w:rFonts w:ascii="Barlow Semi Condensed" w:cs="Barlow Semi Condensed" w:eastAsia="Barlow Semi Condensed" w:hAnsi="Barlow Semi Condensed"/>
          <w:sz w:val="24"/>
          <w:szCs w:val="24"/>
        </w:rPr>
        <w:t xml:space="preserve"> il 1978 (per le ragioni più varie, dalla sorveglianza di un luogo ormai attenzionato all'investimento immobiliare). </w:t>
      </w:r>
      <w:r>
        <w:rPr>
          <w:rFonts w:ascii="Barlow Semi Condensed" w:cs="Barlow Semi Condensed" w:eastAsia="Barlow Semi Condensed" w:hAnsi="Barlow Semi Condensed"/>
          <w:i/>
          <w:iCs/>
          <w:sz w:val="24"/>
          <w:szCs w:val="24"/>
        </w:rPr>
        <w:t xml:space="preserve">H2 — La coabitazione coeva:</w:t>
      </w:r>
      <w:r>
        <w:rPr>
          <w:rFonts w:ascii="Barlow Semi Condensed" w:cs="Barlow Semi Condensed" w:eastAsia="Barlow Semi Condensed" w:hAnsi="Barlow Semi Condensed"/>
          <w:sz w:val="24"/>
          <w:szCs w:val="24"/>
        </w:rPr>
        <w:t xml:space="preserve"> una presenza fiduciaria già nel 1975-1978, negli anni del covo attivo. </w:t>
      </w:r>
      <w:r>
        <w:rPr>
          <w:rFonts w:ascii="Barlow Semi Condensed" w:cs="Barlow Semi Condensed" w:eastAsia="Barlow Semi Condensed" w:hAnsi="Barlow Semi Condensed"/>
          <w:i/>
          <w:iCs/>
          <w:sz w:val="24"/>
          <w:szCs w:val="24"/>
        </w:rPr>
        <w:t xml:space="preserve">H3 — La coincidenza immobiliare:</w:t>
      </w:r>
      <w:r>
        <w:rPr>
          <w:rFonts w:ascii="Barlow Semi Condensed" w:cs="Barlow Semi Condensed" w:eastAsia="Barlow Semi Condensed" w:hAnsi="Barlow Semi Condensed"/>
          <w:sz w:val="24"/>
          <w:szCs w:val="24"/>
        </w:rPr>
        <w:t xml:space="preserve"> società di zona, portafogli ampi, nessun disegno. </w:t>
      </w:r>
      <w:r>
        <w:rPr>
          <w:rFonts w:ascii="Barlow Semi Condensed" w:cs="Barlow Semi Condensed" w:eastAsia="Barlow Semi Condensed" w:hAnsi="Barlow Semi Condensed"/>
          <w:b/>
          <w:bCs/>
          <w:sz w:val="24"/>
          <w:szCs w:val="24"/>
        </w:rPr>
        <w:t xml:space="preserve">Evidenza discriminante, una e documentale: le date</w:t>
      </w:r>
      <w:r>
        <w:rPr>
          <w:rFonts w:ascii="Barlow Semi Condensed" w:cs="Barlow Semi Condensed" w:eastAsia="Barlow Semi Condensed" w:hAnsi="Barlow Semi Condensed"/>
          <w:sz w:val="24"/>
          <w:szCs w:val="24"/>
        </w:rPr>
        <w:t xml:space="preserve"> — gli atti d'acquisto dei 24 appartamenti in conservatoria, le date di costituzione e i libri soci delle tre società, la data d'ingresso di Fidrev nel quadro. Fino a quelle date, tutte e tre le ipotesi restano C; con quelle date, due cadono da sole.</w:t>
      </w:r>
    </w:p>
    <w:p>
      <w:pPr>
        <w:pStyle w:val="Heading3"/>
        <w:spacing w:after="80" w:before="160"/>
      </w:pPr>
      <w:r>
        <w:rPr>
          <w:rFonts w:ascii="Barlow Semi Condensed" w:cs="Barlow Semi Condensed" w:eastAsia="Barlow Semi Condensed" w:hAnsi="Barlow Semi Condensed"/>
          <w:sz w:val="24"/>
          <w:szCs w:val="24"/>
        </w:rPr>
        <w:t xml:space="preserve">L'atto raffinato, in quattro passi</w:t>
      </w:r>
    </w:p>
    <w:p>
      <w:pPr>
        <w:spacing w:after="120" w:line="276"/>
        <w:jc w:val="both"/>
      </w:pPr>
      <w:r>
        <w:rPr>
          <w:rFonts w:ascii="Barlow Semi Condensed" w:cs="Barlow Semi Condensed" w:eastAsia="Barlow Semi Condensed" w:hAnsi="Barlow Semi Condensed"/>
          <w:i/>
          <w:iCs/>
          <w:sz w:val="24"/>
          <w:szCs w:val="24"/>
        </w:rPr>
        <w:t xml:space="preserve">(a)</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b/>
          <w:bCs/>
          <w:sz w:val="24"/>
          <w:szCs w:val="24"/>
        </w:rPr>
        <w:t xml:space="preserve">Visure storiche integrali</w:t>
      </w:r>
      <w:r>
        <w:rPr>
          <w:rFonts w:ascii="Barlow Semi Condensed" w:cs="Barlow Semi Condensed" w:eastAsia="Barlow Semi Condensed" w:hAnsi="Barlow Semi Condensed"/>
          <w:sz w:val="24"/>
          <w:szCs w:val="24"/>
        </w:rPr>
        <w:t xml:space="preserve"> — catasto e conservatoria — per tutti i 66 appartamenti dello stabile, finestra 1970-1990: ogni passaggio di proprietà con data, venditore, acquirente. </w:t>
      </w:r>
      <w:r>
        <w:rPr>
          <w:rFonts w:ascii="Barlow Semi Condensed" w:cs="Barlow Semi Condensed" w:eastAsia="Barlow Semi Condensed" w:hAnsi="Barlow Semi Condensed"/>
          <w:i/>
          <w:iCs/>
          <w:sz w:val="24"/>
          <w:szCs w:val="24"/>
        </w:rPr>
        <w:t xml:space="preserve">(b)</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b/>
          <w:bCs/>
          <w:sz w:val="24"/>
          <w:szCs w:val="24"/>
        </w:rPr>
        <w:t xml:space="preserve">I fascicoli societari</w:t>
      </w:r>
      <w:r>
        <w:rPr>
          <w:rFonts w:ascii="Barlow Semi Condensed" w:cs="Barlow Semi Condensed" w:eastAsia="Barlow Semi Condensed" w:hAnsi="Barlow Semi Condensed"/>
          <w:sz w:val="24"/>
          <w:szCs w:val="24"/>
        </w:rPr>
        <w:t xml:space="preserve"> delle tre immobiliari e di Fidrev presso il registro delle imprese: costituzione, compagini, amministratori nel tempo, bilanci. </w:t>
      </w:r>
      <w:r>
        <w:rPr>
          <w:rFonts w:ascii="Barlow Semi Condensed" w:cs="Barlow Semi Condensed" w:eastAsia="Barlow Semi Condensed" w:hAnsi="Barlow Semi Condensed"/>
          <w:i/>
          <w:iCs/>
          <w:sz w:val="24"/>
          <w:szCs w:val="24"/>
        </w:rPr>
        <w:t xml:space="preserve">(c)</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b/>
          <w:bCs/>
          <w:sz w:val="24"/>
          <w:szCs w:val="24"/>
        </w:rPr>
        <w:t xml:space="preserve">L'incrocio con gli atti del dibattimento di Bologna</w:t>
      </w:r>
      <w:r>
        <w:rPr>
          <w:rFonts w:ascii="Barlow Semi Condensed" w:cs="Barlow Semi Condensed" w:eastAsia="Barlow Semi Condensed" w:hAnsi="Barlow Semi Condensed"/>
          <w:sz w:val="24"/>
          <w:szCs w:val="24"/>
        </w:rPr>
        <w:t xml:space="preserve"> (2021), dove la ricostruzione è già stata portata in aula con poteri istruttori che nessuno storico possiede: quegli atti sono la base di partenza, non da rifare ma da estendere all'indietro. </w:t>
      </w:r>
      <w:r>
        <w:rPr>
          <w:rFonts w:ascii="Barlow Semi Condensed" w:cs="Barlow Semi Condensed" w:eastAsia="Barlow Semi Condensed" w:hAnsi="Barlow Semi Condensed"/>
          <w:i/>
          <w:iCs/>
          <w:sz w:val="24"/>
          <w:szCs w:val="24"/>
        </w:rPr>
        <w:t xml:space="preserve">(d)</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b/>
          <w:bCs/>
          <w:sz w:val="24"/>
          <w:szCs w:val="24"/>
        </w:rPr>
        <w:t xml:space="preserve">La tavola cronologica finale</w:t>
      </w:r>
      <w:r>
        <w:rPr>
          <w:rFonts w:ascii="Barlow Semi Condensed" w:cs="Barlow Semi Condensed" w:eastAsia="Barlow Semi Condensed" w:hAnsi="Barlow Semi Condensed"/>
          <w:sz w:val="24"/>
          <w:szCs w:val="24"/>
        </w:rPr>
        <w:t xml:space="preserve"> — proprietà × tempo — con le tre finestre marcate: 1975-78 (il covo BR), 1979-86 (gli acquisti riferiti in dibattimento), 1981 (la presenza NAR). È la mappa che in quarant'anni nessuno ha pubblicato </w:t>
      </w:r>
      <w:r>
        <w:rPr>
          <w:rFonts w:ascii="Barlow Semi Condensed" w:cs="Barlow Semi Condensed" w:eastAsia="Barlow Semi Condensed" w:hAnsi="Barlow Semi Condensed"/>
          <w:i/>
          <w:iCs/>
          <w:sz w:val="24"/>
          <w:szCs w:val="24"/>
        </w:rPr>
        <w:t xml:space="preserve">con le date</w:t>
      </w:r>
      <w:r>
        <w:rPr>
          <w:rFonts w:ascii="Barlow Semi Condensed" w:cs="Barlow Semi Condensed" w:eastAsia="Barlow Semi Condensed" w:hAnsi="Barlow Semi Condensed"/>
          <w:sz w:val="24"/>
          <w:szCs w:val="24"/>
        </w:rPr>
        <w:t xml:space="preserve">, ed è integralmente costruibile da registri pubblici.</w:t>
      </w:r>
    </w:p>
    <w:p>
      <w:pPr>
        <w:pStyle w:val="Heading3"/>
        <w:spacing w:after="80" w:before="160"/>
      </w:pPr>
      <w:r>
        <w:rPr>
          <w:rFonts w:ascii="Barlow Semi Condensed" w:cs="Barlow Semi Condensed" w:eastAsia="Barlow Semi Condensed" w:hAnsi="Barlow Semi Condensed"/>
          <w:sz w:val="24"/>
          <w:szCs w:val="24"/>
        </w:rPr>
        <w:t xml:space="preserve">Errori da non ripetere, e criterio di chiusura</w:t>
      </w:r>
    </w:p>
    <w:p>
      <w:pPr>
        <w:spacing w:after="120" w:line="276"/>
        <w:jc w:val="both"/>
      </w:pPr>
      <w:r>
        <w:rPr>
          <w:rFonts w:ascii="Barlow Semi Condensed" w:cs="Barlow Semi Condensed" w:eastAsia="Barlow Semi Condensed" w:hAnsi="Barlow Semi Condensed"/>
          <w:sz w:val="24"/>
          <w:szCs w:val="24"/>
        </w:rPr>
        <w:t xml:space="preserve">Non retrodatare: un acquisto del 1979 non prova nulla sul 1978, e l'epiteto non sostituisce la conservatoria. Non processare i ruoli societari: l'amministrazione di una società è un fatto documentato, non un addebito. Non dimenticare la proprietà </w:t>
      </w:r>
      <w:r>
        <w:rPr>
          <w:rFonts w:ascii="Barlow Semi Condensed" w:cs="Barlow Semi Condensed" w:eastAsia="Barlow Semi Condensed" w:hAnsi="Barlow Semi Condensed"/>
          <w:i/>
          <w:iCs/>
          <w:sz w:val="24"/>
          <w:szCs w:val="24"/>
        </w:rPr>
        <w:t xml:space="preserve">privata</w:t>
      </w:r>
      <w:r>
        <w:rPr>
          <w:rFonts w:ascii="Barlow Semi Condensed" w:cs="Barlow Semi Condensed" w:eastAsia="Barlow Semi Condensed" w:hAnsi="Barlow Semi Condensed"/>
          <w:sz w:val="24"/>
          <w:szCs w:val="24"/>
        </w:rPr>
        <w:t xml:space="preserve"> dell'interno 11, che non c'entra con le tre società: la pista riguarda il condominio, non l'appartamento del giudicato, la cui storia è scritta nelle sentenze. </w:t>
      </w:r>
      <w:r>
        <w:rPr>
          <w:rFonts w:ascii="Barlow Semi Condensed" w:cs="Barlow Semi Condensed" w:eastAsia="Barlow Semi Condensed" w:hAnsi="Barlow Semi Condensed"/>
          <w:i/>
          <w:iCs/>
          <w:sz w:val="24"/>
          <w:szCs w:val="24"/>
        </w:rPr>
        <w:t xml:space="preserve">Chiusura:</w:t>
      </w:r>
      <w:r>
        <w:rPr>
          <w:rFonts w:ascii="Barlow Semi Condensed" w:cs="Barlow Semi Condensed" w:eastAsia="Barlow Semi Condensed" w:hAnsi="Barlow Semi Condensed"/>
          <w:sz w:val="24"/>
          <w:szCs w:val="24"/>
        </w:rPr>
        <w:t xml:space="preserve"> la tavola cronologica completa. Se mostrasse presenze fiduciarie già nel 1975-78, il quesito della coabitazione diverrebbe un accertamento e passerebbe alle autorità; se le collocasse tutte dopo, il «condominio di Stato» andrebbe riscritto come fenomeno del </w:t>
      </w:r>
      <w:r>
        <w:rPr>
          <w:rFonts w:ascii="Barlow Semi Condensed" w:cs="Barlow Semi Condensed" w:eastAsia="Barlow Semi Condensed" w:hAnsi="Barlow Semi Condensed"/>
          <w:i/>
          <w:iCs/>
          <w:sz w:val="24"/>
          <w:szCs w:val="24"/>
        </w:rPr>
        <w:t xml:space="preserve">dopo</w:t>
      </w:r>
      <w:r>
        <w:rPr>
          <w:rFonts w:ascii="Barlow Semi Condensed" w:cs="Barlow Semi Condensed" w:eastAsia="Barlow Semi Condensed" w:hAnsi="Barlow Semi Condensed"/>
          <w:sz w:val="24"/>
          <w:szCs w:val="24"/>
        </w:rPr>
        <w:t xml:space="preserve">-Moro — e anche questo sarebbe un guadagno netto: la fine di un equivoco ventennale per via di registro immobiliare.</w:t>
      </w:r>
    </w:p>
    <w:p>
      <w:pPr>
        <w:pStyle w:val="Heading2"/>
        <w:spacing w:after="100" w:before="200"/>
      </w:pPr>
      <w:r>
        <w:rPr>
          <w:rFonts w:ascii="Barlow Semi Condensed" w:cs="Barlow Semi Condensed" w:eastAsia="Barlow Semi Condensed" w:hAnsi="Barlow Semi Condensed"/>
          <w:sz w:val="24"/>
          <w:szCs w:val="24"/>
        </w:rPr>
        <w:t xml:space="preserve">Scheda PE-4 — La mediazione vaticana: il canale, la lettera, il denaro</w:t>
      </w:r>
    </w:p>
    <w:p>
      <w:pPr>
        <w:pStyle w:val="Heading3"/>
        <w:spacing w:after="80" w:before="160"/>
      </w:pPr>
      <w:r>
        <w:rPr>
          <w:rFonts w:ascii="Barlow Semi Condensed" w:cs="Barlow Semi Condensed" w:eastAsia="Barlow Semi Condensed" w:hAnsi="Barlow Semi Condensed"/>
          <w:sz w:val="24"/>
          <w:szCs w:val="24"/>
        </w:rPr>
        <w:t xml:space="preserve">Il canale documentato: Curioni, Fabbri, e l'intermediario rimasto ignoto</w:t>
      </w:r>
    </w:p>
    <w:p>
      <w:pPr>
        <w:spacing w:after="120" w:line="276"/>
        <w:jc w:val="both"/>
      </w:pPr>
      <w:r>
        <w:rPr>
          <w:rFonts w:ascii="Barlow Semi Condensed" w:cs="Barlow Semi Condensed" w:eastAsia="Barlow Semi Condensed" w:hAnsi="Barlow Semi Condensed"/>
          <w:sz w:val="24"/>
          <w:szCs w:val="24"/>
        </w:rPr>
        <w:t xml:space="preserve">Il canale riservato della Santa Sede ha due testimoni con nome, ruolo e atti. </w:t>
      </w:r>
      <w:r>
        <w:rPr>
          <w:rFonts w:ascii="Barlow Semi Condensed" w:cs="Barlow Semi Condensed" w:eastAsia="Barlow Semi Condensed" w:hAnsi="Barlow Semi Condensed"/>
          <w:b/>
          <w:bCs/>
          <w:sz w:val="24"/>
          <w:szCs w:val="24"/>
        </w:rPr>
        <w:t xml:space="preserve">Mons. Cesare Curioni</w:t>
      </w:r>
      <w:r>
        <w:rPr>
          <w:rFonts w:ascii="Barlow Semi Condensed" w:cs="Barlow Semi Condensed" w:eastAsia="Barlow Semi Condensed" w:hAnsi="Barlow Semi Condensed"/>
          <w:sz w:val="24"/>
          <w:szCs w:val="24"/>
        </w:rPr>
        <w:t xml:space="preserve"> — ispettore generale dei cappellani delle carceri, già cappellano di San Vittore — fu </w:t>
      </w:r>
      <w:r>
        <w:rPr>
          <w:rFonts w:ascii="Barlow Semi Condensed" w:cs="Barlow Semi Condensed" w:eastAsia="Barlow Semi Condensed" w:hAnsi="Barlow Semi Condensed"/>
          <w:b/>
          <w:bCs/>
          <w:sz w:val="24"/>
          <w:szCs w:val="24"/>
        </w:rPr>
        <w:t xml:space="preserve">incaricato da Paolo VI di cercare contatti e avviare una trattativa per la liberazione dell'ostaggio attraverso il pagamento di un riscatto</w:t>
      </w:r>
      <w:r>
        <w:rPr>
          <w:rFonts w:ascii="Barlow Semi Condensed" w:cs="Barlow Semi Condensed" w:eastAsia="Barlow Semi Condensed" w:hAnsi="Barlow Semi Condensed"/>
          <w:sz w:val="24"/>
          <w:szCs w:val="24"/>
        </w:rPr>
        <w:t xml:space="preserve">; attivò molteplici contatti, </w:t>
      </w:r>
      <w:r>
        <w:rPr>
          <w:rFonts w:ascii="Barlow Semi Condensed" w:cs="Barlow Semi Condensed" w:eastAsia="Barlow Semi Condensed" w:hAnsi="Barlow Semi Condensed"/>
          <w:b/>
          <w:bCs/>
          <w:sz w:val="24"/>
          <w:szCs w:val="24"/>
        </w:rPr>
        <w:t xml:space="preserve">sia con brigatisti detenuti sia con un intermediario rimasto ignoto</w:t>
      </w:r>
      <w:r>
        <w:rPr>
          <w:rFonts w:ascii="Barlow Semi Condensed" w:cs="Barlow Semi Condensed" w:eastAsia="Barlow Semi Condensed" w:hAnsi="Barlow Semi Condensed"/>
          <w:sz w:val="24"/>
          <w:szCs w:val="24"/>
        </w:rPr>
        <w:t xml:space="preserve"> (Wikipedia, </w:t>
      </w:r>
      <w:r>
        <w:rPr>
          <w:rFonts w:ascii="Barlow Semi Condensed" w:cs="Barlow Semi Condensed" w:eastAsia="Barlow Semi Condensed" w:hAnsi="Barlow Semi Condensed"/>
          <w:i/>
          <w:iCs/>
          <w:sz w:val="24"/>
          <w:szCs w:val="24"/>
        </w:rPr>
        <w:t xml:space="preserve">Cesare Curioni</w:t>
      </w:r>
      <w:r>
        <w:rPr>
          <w:rFonts w:ascii="Barlow Semi Condensed" w:cs="Barlow Semi Condensed" w:eastAsia="Barlow Semi Condensed" w:hAnsi="Barlow Semi Condensed"/>
          <w:sz w:val="24"/>
          <w:szCs w:val="24"/>
        </w:rPr>
        <w:t xml:space="preserve"> (https://it.wikipedia.org/wiki/Cesare_Curioni); Avvenire, «l'ultimo tentativo del Papa» (https://www.avvenire.it/attualita/luccisione-di-aldo-moro-lultimo-tentativo-del-papa-di-salvarlo_33517); Filodiritto (https://www.filodiritto.com/aldo-moro-e-il-riscatto-della-santa-sede)). Il suo vice e braccio destro, </w:t>
      </w:r>
      <w:r>
        <w:rPr>
          <w:rFonts w:ascii="Barlow Semi Condensed" w:cs="Barlow Semi Condensed" w:eastAsia="Barlow Semi Condensed" w:hAnsi="Barlow Semi Condensed"/>
          <w:b/>
          <w:bCs/>
          <w:sz w:val="24"/>
          <w:szCs w:val="24"/>
        </w:rPr>
        <w:t xml:space="preserve">mons. Fabio Fabbri</w:t>
      </w:r>
      <w:r>
        <w:rPr>
          <w:rFonts w:ascii="Barlow Semi Condensed" w:cs="Barlow Semi Condensed" w:eastAsia="Barlow Semi Condensed" w:hAnsi="Barlow Semi Condensed"/>
          <w:sz w:val="24"/>
          <w:szCs w:val="24"/>
        </w:rPr>
        <w:t xml:space="preserve">, ruppe il riserbo solo nel </w:t>
      </w:r>
      <w:r>
        <w:rPr>
          <w:rFonts w:ascii="Barlow Semi Condensed" w:cs="Barlow Semi Condensed" w:eastAsia="Barlow Semi Condensed" w:hAnsi="Barlow Semi Condensed"/>
          <w:b/>
          <w:bCs/>
          <w:sz w:val="24"/>
          <w:szCs w:val="24"/>
        </w:rPr>
        <w:t xml:space="preserve">2004</w:t>
      </w:r>
      <w:r>
        <w:rPr>
          <w:rFonts w:ascii="Barlow Semi Condensed" w:cs="Barlow Semi Condensed" w:eastAsia="Barlow Semi Condensed" w:hAnsi="Barlow Semi Condensed"/>
          <w:sz w:val="24"/>
          <w:szCs w:val="24"/>
        </w:rPr>
        <w:t xml:space="preserve"> con lo storico Vladimiro Satta e fu poi </w:t>
      </w:r>
      <w:r>
        <w:rPr>
          <w:rFonts w:ascii="Barlow Semi Condensed" w:cs="Barlow Semi Condensed" w:eastAsia="Barlow Semi Condensed" w:hAnsi="Barlow Semi Condensed"/>
          <w:b/>
          <w:bCs/>
          <w:sz w:val="24"/>
          <w:szCs w:val="24"/>
        </w:rPr>
        <w:t xml:space="preserve">udito dalla Commissione Moro 2</w:t>
      </w:r>
      <w:r>
        <w:rPr>
          <w:rFonts w:ascii="Barlow Semi Condensed" w:cs="Barlow Semi Condensed" w:eastAsia="Barlow Semi Condensed" w:hAnsi="Barlow Semi Condensed"/>
          <w:sz w:val="24"/>
          <w:szCs w:val="24"/>
        </w:rPr>
        <w:t xml:space="preserve"> (audizione del 4 febbraio 2016): dalle sue dichiarazioni vengono i dettagli che reggono la scheda — </w:t>
      </w:r>
      <w:r>
        <w:rPr>
          <w:rFonts w:ascii="Barlow Semi Condensed" w:cs="Barlow Semi Condensed" w:eastAsia="Barlow Semi Condensed" w:hAnsi="Barlow Semi Condensed"/>
          <w:b/>
          <w:bCs/>
          <w:sz w:val="24"/>
          <w:szCs w:val="24"/>
        </w:rPr>
        <w:t xml:space="preserve">Paolo VI mostrò ai due cappellani, sotto un panno nel proprio studio, le mazzette di dollari con fascette di banca ebraica per un controvalore di circa dieci miliardi di lire</w:t>
      </w:r>
      <w:r>
        <w:rPr>
          <w:rFonts w:ascii="Barlow Semi Condensed" w:cs="Barlow Semi Condensed" w:eastAsia="Barlow Semi Condensed" w:hAnsi="Barlow Semi Condensed"/>
          <w:sz w:val="24"/>
          <w:szCs w:val="24"/>
        </w:rPr>
        <w:t xml:space="preserve">; e Curioni riferì che </w:t>
      </w:r>
      <w:r>
        <w:rPr>
          <w:rFonts w:ascii="Barlow Semi Condensed" w:cs="Barlow Semi Condensed" w:eastAsia="Barlow Semi Condensed" w:hAnsi="Barlow Semi Condensed"/>
          <w:b/>
          <w:bCs/>
          <w:sz w:val="24"/>
          <w:szCs w:val="24"/>
        </w:rPr>
        <w:t xml:space="preserve">i nomi dei due cappellani erano stati trovati nei covi delle Brigate Rosse</w:t>
      </w:r>
      <w:r>
        <w:rPr>
          <w:rFonts w:ascii="Barlow Semi Condensed" w:cs="Barlow Semi Condensed" w:eastAsia="Barlow Semi Condensed" w:hAnsi="Barlow Semi Condensed"/>
          <w:sz w:val="24"/>
          <w:szCs w:val="24"/>
        </w:rPr>
        <w:t xml:space="preserve">, con l'assicurazione che il loro ruolo, di ispirazione cristiana e umanitaria, «era rispettato da tutti». Secondo gli accertamenti della Commissione, il finanziatore della somma fu l'uomo d'affari israeliano </w:t>
      </w:r>
      <w:r>
        <w:rPr>
          <w:rFonts w:ascii="Barlow Semi Condensed" w:cs="Barlow Semi Condensed" w:eastAsia="Barlow Semi Condensed" w:hAnsi="Barlow Semi Condensed"/>
          <w:b/>
          <w:bCs/>
          <w:sz w:val="24"/>
          <w:szCs w:val="24"/>
        </w:rPr>
        <w:t xml:space="preserve">Shmuel «Sammy» Flatto-Sharon</w:t>
      </w:r>
      <w:r>
        <w:rPr>
          <w:rFonts w:ascii="Barlow Semi Condensed" w:cs="Barlow Semi Condensed" w:eastAsia="Barlow Semi Condensed" w:hAnsi="Barlow Semi Condensed"/>
          <w:sz w:val="24"/>
          <w:szCs w:val="24"/>
        </w:rPr>
        <w:t xml:space="preserve">, allora membro della Knesset. </w:t>
      </w:r>
      <w:r>
        <w:rPr>
          <w:rFonts w:ascii="Barlow Semi Condensed" w:cs="Barlow Semi Condensed" w:eastAsia="Barlow Semi Condensed" w:hAnsi="Barlow Semi Condensed"/>
          <w:b/>
          <w:bCs/>
          <w:sz w:val="24"/>
          <w:szCs w:val="24"/>
        </w:rPr>
        <w:t xml:space="preserve">Curioni morì nel 1996 senza rivelare il resto; la sorte del denaro resta ignota</w:t>
      </w:r>
      <w:r>
        <w:rPr>
          <w:rFonts w:ascii="Barlow Semi Condensed" w:cs="Barlow Semi Condensed" w:eastAsia="Barlow Semi Condensed" w:hAnsi="Barlow Semi Condensed"/>
          <w:sz w:val="24"/>
          <w:szCs w:val="24"/>
        </w:rPr>
        <w:t xml:space="preserve">, e le fonti vaticane interpellate hanno dichiarato di ignorarla (ANSA (https://www.ansa.it/sito/notizie/speciali/2018/03/15/aldo-moro-paolo-vi-e-il-mistero-dei-10-miliardi-di-lire-per-il-riscatto_159ad438-a8df-474d-a762-cbd416e06064.html)).</w:t>
      </w:r>
    </w:p>
    <w:p>
      <w:pPr>
        <w:pStyle w:val="Heading3"/>
        <w:spacing w:after="80" w:before="160"/>
      </w:pPr>
      <w:r>
        <w:rPr>
          <w:rFonts w:ascii="Barlow Semi Condensed" w:cs="Barlow Semi Condensed" w:eastAsia="Barlow Semi Condensed" w:hAnsi="Barlow Semi Condensed"/>
          <w:sz w:val="24"/>
          <w:szCs w:val="24"/>
        </w:rPr>
        <w:t xml:space="preserve">La lettera e le sue stesure: il doppio binario documentato</w:t>
      </w:r>
    </w:p>
    <w:p>
      <w:pPr>
        <w:spacing w:after="120" w:line="276"/>
        <w:jc w:val="both"/>
      </w:pPr>
      <w:r>
        <w:rPr>
          <w:rFonts w:ascii="Barlow Semi Condensed" w:cs="Barlow Semi Condensed" w:eastAsia="Barlow Semi Condensed" w:hAnsi="Barlow Semi Condensed"/>
          <w:sz w:val="24"/>
          <w:szCs w:val="24"/>
        </w:rPr>
        <w:t xml:space="preserve">Il </w:t>
      </w:r>
      <w:r>
        <w:rPr>
          <w:rFonts w:ascii="Barlow Semi Condensed" w:cs="Barlow Semi Condensed" w:eastAsia="Barlow Semi Condensed" w:hAnsi="Barlow Semi Condensed"/>
          <w:b/>
          <w:bCs/>
          <w:sz w:val="24"/>
          <w:szCs w:val="24"/>
        </w:rPr>
        <w:t xml:space="preserve">21-22 aprile 1978</w:t>
      </w:r>
      <w:r>
        <w:rPr>
          <w:rFonts w:ascii="Barlow Semi Condensed" w:cs="Barlow Semi Condensed" w:eastAsia="Barlow Semi Condensed" w:hAnsi="Barlow Semi Condensed"/>
          <w:sz w:val="24"/>
          <w:szCs w:val="24"/>
        </w:rPr>
        <w:t xml:space="preserve"> Paolo VI scrisse di proprio pugno la lettera «agli uomini delle Brigate Rosse»: «vi prego in ginocchio, liberate l'onorevole Aldo Moro, semplicemente, </w:t>
      </w:r>
      <w:r>
        <w:rPr>
          <w:rFonts w:ascii="Barlow Semi Condensed" w:cs="Barlow Semi Condensed" w:eastAsia="Barlow Semi Condensed" w:hAnsi="Barlow Semi Condensed"/>
          <w:b/>
          <w:bCs/>
          <w:sz w:val="24"/>
          <w:szCs w:val="24"/>
        </w:rPr>
        <w:t xml:space="preserve">senza condizioni</w:t>
      </w:r>
      <w:r>
        <w:rPr>
          <w:rFonts w:ascii="Barlow Semi Condensed" w:cs="Barlow Semi Condensed" w:eastAsia="Barlow Semi Condensed" w:hAnsi="Barlow Semi Condensed"/>
          <w:sz w:val="24"/>
          <w:szCs w:val="24"/>
        </w:rPr>
        <w:t xml:space="preserve">» (testo ufficiale, vatican.va (https://www.vatican.va/content/paul-vi/it/letters/1978/documents/hf_p-vi_let_19780422_brigate-rosse.html); Vatican News (https://www.vaticannews.va/it/papa/news/2018-03/paolo-vi-aldo-moro-.html)). La filologia delle stesure autografe ha però accertato un dato di peso: la prima versione diceva «semplicemente, </w:t>
      </w:r>
      <w:r>
        <w:rPr>
          <w:rFonts w:ascii="Barlow Semi Condensed" w:cs="Barlow Semi Condensed" w:eastAsia="Barlow Semi Condensed" w:hAnsi="Barlow Semi Condensed"/>
          <w:b/>
          <w:bCs/>
          <w:sz w:val="24"/>
          <w:szCs w:val="24"/>
        </w:rPr>
        <w:t xml:space="preserve">senza alcuna imbarazzante condizione</w:t>
      </w:r>
      <w:r>
        <w:rPr>
          <w:rFonts w:ascii="Barlow Semi Condensed" w:cs="Barlow Semi Condensed" w:eastAsia="Barlow Semi Condensed" w:hAnsi="Barlow Semi Condensed"/>
          <w:sz w:val="24"/>
          <w:szCs w:val="24"/>
        </w:rPr>
        <w:t xml:space="preserve">», e l'aggettivo scomparve nella versione definitiva, </w:t>
      </w:r>
      <w:r>
        <w:rPr>
          <w:rFonts w:ascii="Barlow Semi Condensed" w:cs="Barlow Semi Condensed" w:eastAsia="Barlow Semi Condensed" w:hAnsi="Barlow Semi Condensed"/>
          <w:b/>
          <w:bCs/>
          <w:sz w:val="24"/>
          <w:szCs w:val="24"/>
        </w:rPr>
        <w:t xml:space="preserve">corretta sotto dettatura del segretario del papa, don Pasquale Macchi</w:t>
      </w:r>
      <w:r>
        <w:rPr>
          <w:rFonts w:ascii="Barlow Semi Condensed" w:cs="Barlow Semi Condensed" w:eastAsia="Barlow Semi Condensed" w:hAnsi="Barlow Semi Condensed"/>
          <w:sz w:val="24"/>
          <w:szCs w:val="24"/>
        </w:rPr>
        <w:t xml:space="preserve"> (ANSA, «la correzione» (https://www.ansa.it/sito/notizie/cronaca/2018/04/14/caso-moro-la-lettera-del-papa-alle-br-e-la-correzione-del-don-_01684126-bbff-40a7-84d6-ed37a900374d.html); ACI Stampa (https://www.acistampa.com/story/paolo-vi-aldo-moro-e-la-lettera-alle-brigate-rosse-9198)). La lettura secondo cui il ritocco servisse a </w:t>
      </w:r>
      <w:r>
        <w:rPr>
          <w:rFonts w:ascii="Barlow Semi Condensed" w:cs="Barlow Semi Condensed" w:eastAsia="Barlow Semi Condensed" w:hAnsi="Barlow Semi Condensed"/>
          <w:b/>
          <w:bCs/>
          <w:sz w:val="24"/>
          <w:szCs w:val="24"/>
        </w:rPr>
        <w:t xml:space="preserve">non lasciar trasparire la trattativa riservata in corso</w:t>
      </w:r>
      <w:r>
        <w:rPr>
          <w:rFonts w:ascii="Barlow Semi Condensed" w:cs="Barlow Semi Condensed" w:eastAsia="Barlow Semi Condensed" w:hAnsi="Barlow Semi Condensed"/>
          <w:sz w:val="24"/>
          <w:szCs w:val="24"/>
        </w:rPr>
        <w:t xml:space="preserve"> è un'interpretazione (C) costruita su un dato filologico solido (B). Ciò che è documentato senza bisogno di interpretare è il </w:t>
      </w:r>
      <w:r>
        <w:rPr>
          <w:rFonts w:ascii="Barlow Semi Condensed" w:cs="Barlow Semi Condensed" w:eastAsia="Barlow Semi Condensed" w:hAnsi="Barlow Semi Condensed"/>
          <w:b/>
          <w:bCs/>
          <w:sz w:val="24"/>
          <w:szCs w:val="24"/>
        </w:rPr>
        <w:t xml:space="preserve">doppio binario</w:t>
      </w:r>
      <w:r>
        <w:rPr>
          <w:rFonts w:ascii="Barlow Semi Condensed" w:cs="Barlow Semi Condensed" w:eastAsia="Barlow Semi Condensed" w:hAnsi="Barlow Semi Condensed"/>
          <w:sz w:val="24"/>
          <w:szCs w:val="24"/>
        </w:rPr>
        <w:t xml:space="preserve">: l'appello pubblico che diceva «senza condizioni» conviveva con un canale riservato che le condizioni — economiche — le stava preparando. Non è una contraddizione da denunciare: è la prassi di ogni mediazione umanitaria sotto sequestro, ed è, per questa scheda, </w:t>
      </w:r>
      <w:r>
        <w:rPr>
          <w:rFonts w:ascii="Barlow Semi Condensed" w:cs="Barlow Semi Condensed" w:eastAsia="Barlow Semi Condensed" w:hAnsi="Barlow Semi Condensed"/>
          <w:b/>
          <w:bCs/>
          <w:sz w:val="24"/>
          <w:szCs w:val="24"/>
        </w:rPr>
        <w:t xml:space="preserve">il fatto da mappare negli atti</w:t>
      </w:r>
      <w:r>
        <w:rPr>
          <w:rFonts w:ascii="Barlow Semi Condensed" w:cs="Barlow Semi Condensed" w:eastAsia="Barlow Semi Condensed" w:hAnsi="Barlow Semi Condensed"/>
          <w:sz w:val="24"/>
          <w:szCs w:val="24"/>
        </w:rPr>
        <w:t xml:space="preserve">. Il 9 maggio chiuse tutto — lo «schiaffo a Paolo VI», nella formula della storiografia (Treccani (https://www.treccani.it/enciclopedia/9-maggio-1978-lo-schiaffo-a-paolo-vi-storia-e-fallimento-della-mediazione-vaticana-per-la-liberazione-di-aldo-moro_(Cristiani-d'Italia)/)) — e il 13 maggio, in San Giovanni, il papa pronunciò davanti a Dio il lamento per l'amico non salvato (F).</w:t>
      </w:r>
    </w:p>
    <w:p>
      <w:pPr>
        <w:pStyle w:val="Heading3"/>
        <w:spacing w:after="80" w:before="160"/>
      </w:pPr>
      <w:r>
        <w:rPr>
          <w:rFonts w:ascii="Barlow Semi Condensed" w:cs="Barlow Semi Condensed" w:eastAsia="Barlow Semi Condensed" w:hAnsi="Barlow Semi Condensed"/>
          <w:sz w:val="24"/>
          <w:szCs w:val="24"/>
        </w:rPr>
        <w:t xml:space="preserve">I tre quesiti, in forma ACH</w:t>
      </w:r>
    </w:p>
    <w:p>
      <w:pPr>
        <w:spacing w:after="120" w:line="276"/>
        <w:jc w:val="both"/>
      </w:pPr>
      <w:r>
        <w:rPr>
          <w:rFonts w:ascii="Barlow Semi Condensed" w:cs="Barlow Semi Condensed" w:eastAsia="Barlow Semi Condensed" w:hAnsi="Barlow Semi Condensed"/>
          <w:b/>
          <w:bCs/>
          <w:sz w:val="24"/>
          <w:szCs w:val="24"/>
        </w:rPr>
        <w:t xml:space="preserve">Q1 — L'intermediario ignoto.</w:t>
      </w:r>
      <w:r>
        <w:rPr>
          <w:rFonts w:ascii="Barlow Semi Condensed" w:cs="Barlow Semi Condensed" w:eastAsia="Barlow Semi Condensed" w:hAnsi="Barlow Semi Condensed"/>
          <w:sz w:val="24"/>
          <w:szCs w:val="24"/>
        </w:rPr>
        <w:t xml:space="preserve"> Chi era il terminale del canale Curioni fuori dalle carceri? </w:t>
      </w:r>
      <w:r>
        <w:rPr>
          <w:rFonts w:ascii="Barlow Semi Condensed" w:cs="Barlow Semi Condensed" w:eastAsia="Barlow Semi Condensed" w:hAnsi="Barlow Semi Condensed"/>
          <w:i/>
          <w:iCs/>
          <w:sz w:val="24"/>
          <w:szCs w:val="24"/>
        </w:rPr>
        <w:t xml:space="preserve">H1:</w:t>
      </w:r>
      <w:r>
        <w:rPr>
          <w:rFonts w:ascii="Barlow Semi Condensed" w:cs="Barlow Semi Condensed" w:eastAsia="Barlow Semi Condensed" w:hAnsi="Barlow Semi Condensed"/>
          <w:sz w:val="24"/>
          <w:szCs w:val="24"/>
        </w:rPr>
        <w:t xml:space="preserve"> un contatto d'area brigatista esterna; </w:t>
      </w:r>
      <w:r>
        <w:rPr>
          <w:rFonts w:ascii="Barlow Semi Condensed" w:cs="Barlow Semi Condensed" w:eastAsia="Barlow Semi Condensed" w:hAnsi="Barlow Semi Condensed"/>
          <w:i/>
          <w:iCs/>
          <w:sz w:val="24"/>
          <w:szCs w:val="24"/>
        </w:rPr>
        <w:t xml:space="preserve">H2:</w:t>
      </w:r>
      <w:r>
        <w:rPr>
          <w:rFonts w:ascii="Barlow Semi Condensed" w:cs="Barlow Semi Condensed" w:eastAsia="Barlow Semi Condensed" w:hAnsi="Barlow Semi Condensed"/>
          <w:sz w:val="24"/>
          <w:szCs w:val="24"/>
        </w:rPr>
        <w:t xml:space="preserve"> un mediatore d'ambiente carcerario o criminale; </w:t>
      </w:r>
      <w:r>
        <w:rPr>
          <w:rFonts w:ascii="Barlow Semi Condensed" w:cs="Barlow Semi Condensed" w:eastAsia="Barlow Semi Condensed" w:hAnsi="Barlow Semi Condensed"/>
          <w:i/>
          <w:iCs/>
          <w:sz w:val="24"/>
          <w:szCs w:val="24"/>
        </w:rPr>
        <w:t xml:space="preserve">H3:</w:t>
      </w:r>
      <w:r>
        <w:rPr>
          <w:rFonts w:ascii="Barlow Semi Condensed" w:cs="Barlow Semi Condensed" w:eastAsia="Barlow Semi Condensed" w:hAnsi="Barlow Semi Condensed"/>
          <w:sz w:val="24"/>
          <w:szCs w:val="24"/>
        </w:rPr>
        <w:t xml:space="preserve"> un millantatore. Evidenza discriminante: </w:t>
      </w:r>
      <w:r>
        <w:rPr>
          <w:rFonts w:ascii="Barlow Semi Condensed" w:cs="Barlow Semi Condensed" w:eastAsia="Barlow Semi Condensed" w:hAnsi="Barlow Semi Condensed"/>
          <w:b/>
          <w:bCs/>
          <w:sz w:val="24"/>
          <w:szCs w:val="24"/>
        </w:rPr>
        <w:t xml:space="preserve">le carte di Curioni</w:t>
      </w:r>
      <w:r>
        <w:rPr>
          <w:rFonts w:ascii="Barlow Semi Condensed" w:cs="Barlow Semi Condensed" w:eastAsia="Barlow Semi Condensed" w:hAnsi="Barlow Semi Condensed"/>
          <w:sz w:val="24"/>
          <w:szCs w:val="24"/>
        </w:rPr>
        <w:t xml:space="preserve"> (l'archivio dell'ispettorato dei cappellani e l'eventuale lascito personale) e — atto giudiziario già esistente — </w:t>
      </w:r>
      <w:r>
        <w:rPr>
          <w:rFonts w:ascii="Barlow Semi Condensed" w:cs="Barlow Semi Condensed" w:eastAsia="Barlow Semi Condensed" w:hAnsi="Barlow Semi Condensed"/>
          <w:b/>
          <w:bCs/>
          <w:sz w:val="24"/>
          <w:szCs w:val="24"/>
        </w:rPr>
        <w:t xml:space="preserve">i verbali di perquisizione dei covi in cui i nomi dei cappellani furono repertati</w:t>
      </w:r>
      <w:r>
        <w:rPr>
          <w:rFonts w:ascii="Barlow Semi Condensed" w:cs="Barlow Semi Condensed" w:eastAsia="Barlow Semi Condensed" w:hAnsi="Barlow Semi Condensed"/>
          <w:sz w:val="24"/>
          <w:szCs w:val="24"/>
        </w:rPr>
        <w:t xml:space="preserve">: quei verbali dicono </w:t>
      </w:r>
      <w:r>
        <w:rPr>
          <w:rFonts w:ascii="Barlow Semi Condensed" w:cs="Barlow Semi Condensed" w:eastAsia="Barlow Semi Condensed" w:hAnsi="Barlow Semi Condensed"/>
          <w:i/>
          <w:iCs/>
          <w:sz w:val="24"/>
          <w:szCs w:val="24"/>
        </w:rPr>
        <w:t xml:space="preserve">quali</w:t>
      </w:r>
      <w:r>
        <w:rPr>
          <w:rFonts w:ascii="Barlow Semi Condensed" w:cs="Barlow Semi Condensed" w:eastAsia="Barlow Semi Condensed" w:hAnsi="Barlow Semi Condensed"/>
          <w:sz w:val="24"/>
          <w:szCs w:val="24"/>
        </w:rPr>
        <w:t xml:space="preserve"> covi, </w:t>
      </w:r>
      <w:r>
        <w:rPr>
          <w:rFonts w:ascii="Barlow Semi Condensed" w:cs="Barlow Semi Condensed" w:eastAsia="Barlow Semi Condensed" w:hAnsi="Barlow Semi Condensed"/>
          <w:i/>
          <w:iCs/>
          <w:sz w:val="24"/>
          <w:szCs w:val="24"/>
        </w:rPr>
        <w:t xml:space="preserve">quando</w:t>
      </w:r>
      <w:r>
        <w:rPr>
          <w:rFonts w:ascii="Barlow Semi Condensed" w:cs="Barlow Semi Condensed" w:eastAsia="Barlow Semi Condensed" w:hAnsi="Barlow Semi Condensed"/>
          <w:sz w:val="24"/>
          <w:szCs w:val="24"/>
        </w:rPr>
        <w:t xml:space="preserve">, e in che forma i nomi comparissero, e sono negli atti processuali.</w:t>
      </w:r>
    </w:p>
    <w:p>
      <w:pPr>
        <w:spacing w:after="120" w:line="276"/>
        <w:jc w:val="both"/>
      </w:pPr>
      <w:r>
        <w:rPr>
          <w:rFonts w:ascii="Barlow Semi Condensed" w:cs="Barlow Semi Condensed" w:eastAsia="Barlow Semi Condensed" w:hAnsi="Barlow Semi Condensed"/>
          <w:b/>
          <w:bCs/>
          <w:sz w:val="24"/>
          <w:szCs w:val="24"/>
        </w:rPr>
        <w:t xml:space="preserve">Q2 — La sorte del denaro.</w:t>
      </w:r>
      <w:r>
        <w:rPr>
          <w:rFonts w:ascii="Barlow Semi Condensed" w:cs="Barlow Semi Condensed" w:eastAsia="Barlow Semi Condensed" w:hAnsi="Barlow Semi Condensed"/>
          <w:sz w:val="24"/>
          <w:szCs w:val="24"/>
        </w:rPr>
        <w:t xml:space="preserve"> Tornò al finanziatore? Restò in deposito? Fu impiegato in parte? </w:t>
      </w:r>
      <w:r>
        <w:rPr>
          <w:rFonts w:ascii="Barlow Semi Condensed" w:cs="Barlow Semi Condensed" w:eastAsia="Barlow Semi Condensed" w:hAnsi="Barlow Semi Condensed"/>
          <w:i/>
          <w:iCs/>
          <w:sz w:val="24"/>
          <w:szCs w:val="24"/>
        </w:rPr>
        <w:t xml:space="preserve">Evidenza discriminante:</w:t>
      </w:r>
      <w:r>
        <w:rPr>
          <w:rFonts w:ascii="Barlow Semi Condensed" w:cs="Barlow Semi Condensed" w:eastAsia="Barlow Semi Condensed" w:hAnsi="Barlow Semi Condensed"/>
          <w:sz w:val="24"/>
          <w:szCs w:val="24"/>
        </w:rPr>
        <w:t xml:space="preserve"> la </w:t>
      </w:r>
      <w:r>
        <w:rPr>
          <w:rFonts w:ascii="Barlow Semi Condensed" w:cs="Barlow Semi Condensed" w:eastAsia="Barlow Semi Condensed" w:hAnsi="Barlow Semi Condensed"/>
          <w:b/>
          <w:bCs/>
          <w:sz w:val="24"/>
          <w:szCs w:val="24"/>
        </w:rPr>
        <w:t xml:space="preserve">tracciabilità</w:t>
      </w:r>
      <w:r>
        <w:rPr>
          <w:rFonts w:ascii="Barlow Semi Condensed" w:cs="Barlow Semi Condensed" w:eastAsia="Barlow Semi Condensed" w:hAnsi="Barlow Semi Condensed"/>
          <w:sz w:val="24"/>
          <w:szCs w:val="24"/>
        </w:rPr>
        <w:t xml:space="preserve"> — le fascette bancarie descritte dai testimoni sono un identificativo; il versante israeliano (le dichiarazioni pubbliche di Flatto-Sharon e gli atti con cui la Moro 2 lo accertò) è documentale; l'eventuale contabilità del fondo è materia degli archivi vaticani alla loro apertura.</w:t>
      </w:r>
    </w:p>
    <w:p>
      <w:pPr>
        <w:spacing w:after="120" w:line="276"/>
        <w:jc w:val="both"/>
      </w:pPr>
      <w:r>
        <w:rPr>
          <w:rFonts w:ascii="Barlow Semi Condensed" w:cs="Barlow Semi Condensed" w:eastAsia="Barlow Semi Condensed" w:hAnsi="Barlow Semi Condensed"/>
          <w:b/>
          <w:bCs/>
          <w:sz w:val="24"/>
          <w:szCs w:val="24"/>
        </w:rPr>
        <w:t xml:space="preserve">Q3 — Le stesure della lettera.</w:t>
      </w:r>
      <w:r>
        <w:rPr>
          <w:rFonts w:ascii="Barlow Semi Condensed" w:cs="Barlow Semi Condensed" w:eastAsia="Barlow Semi Condensed" w:hAnsi="Barlow Semi Condensed"/>
          <w:sz w:val="24"/>
          <w:szCs w:val="24"/>
        </w:rPr>
        <w:t xml:space="preserve"> Il quesito minore ma già maturo: </w:t>
      </w:r>
      <w:r>
        <w:rPr>
          <w:rFonts w:ascii="Barlow Semi Condensed" w:cs="Barlow Semi Condensed" w:eastAsia="Barlow Semi Condensed" w:hAnsi="Barlow Semi Condensed"/>
          <w:b/>
          <w:bCs/>
          <w:sz w:val="24"/>
          <w:szCs w:val="24"/>
        </w:rPr>
        <w:t xml:space="preserve">l'edizione critica delle minute autografe</w:t>
      </w:r>
      <w:r>
        <w:rPr>
          <w:rFonts w:ascii="Barlow Semi Condensed" w:cs="Barlow Semi Condensed" w:eastAsia="Barlow Semi Condensed" w:hAnsi="Barlow Semi Condensed"/>
          <w:sz w:val="24"/>
          <w:szCs w:val="24"/>
        </w:rPr>
        <w:t xml:space="preserve"> — quante stesure, quali varianti, quali mani — che trasformerebbe il dato filologico da notizia di stampa ad accertamento stabile.</w:t>
      </w:r>
    </w:p>
    <w:p>
      <w:pPr>
        <w:pStyle w:val="Heading3"/>
        <w:spacing w:after="80" w:before="160"/>
      </w:pPr>
      <w:r>
        <w:rPr>
          <w:rFonts w:ascii="Barlow Semi Condensed" w:cs="Barlow Semi Condensed" w:eastAsia="Barlow Semi Condensed" w:hAnsi="Barlow Semi Condensed"/>
          <w:sz w:val="24"/>
          <w:szCs w:val="24"/>
        </w:rPr>
        <w:t xml:space="preserve">L'atto raffinato, in quattro passi</w:t>
      </w:r>
    </w:p>
    <w:p>
      <w:pPr>
        <w:spacing w:after="120" w:line="276"/>
        <w:jc w:val="both"/>
      </w:pPr>
      <w:r>
        <w:rPr>
          <w:rFonts w:ascii="Barlow Semi Condensed" w:cs="Barlow Semi Condensed" w:eastAsia="Barlow Semi Condensed" w:hAnsi="Barlow Semi Condensed"/>
          <w:i/>
          <w:iCs/>
          <w:sz w:val="24"/>
          <w:szCs w:val="24"/>
        </w:rPr>
        <w:t xml:space="preserve">(a)</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b/>
          <w:bCs/>
          <w:sz w:val="24"/>
          <w:szCs w:val="24"/>
        </w:rPr>
        <w:t xml:space="preserve">Il fondo dei cappellani carcerari e le carte Curioni</w:t>
      </w:r>
      <w:r>
        <w:rPr>
          <w:rFonts w:ascii="Barlow Semi Condensed" w:cs="Barlow Semi Condensed" w:eastAsia="Barlow Semi Condensed" w:hAnsi="Barlow Semi Condensed"/>
          <w:sz w:val="24"/>
          <w:szCs w:val="24"/>
        </w:rPr>
        <w:t xml:space="preserve">: l'archivio dell'ispettorato, la corrispondenza del 1978, l'eventuale fondo personale — la sede più promettente e mai censita sistematicamente. </w:t>
      </w:r>
      <w:r>
        <w:rPr>
          <w:rFonts w:ascii="Barlow Semi Condensed" w:cs="Barlow Semi Condensed" w:eastAsia="Barlow Semi Condensed" w:hAnsi="Barlow Semi Condensed"/>
          <w:i/>
          <w:iCs/>
          <w:sz w:val="24"/>
          <w:szCs w:val="24"/>
        </w:rPr>
        <w:t xml:space="preserve">(b)</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b/>
          <w:bCs/>
          <w:sz w:val="24"/>
          <w:szCs w:val="24"/>
        </w:rPr>
        <w:t xml:space="preserve">I verbali di perquisizione</w:t>
      </w:r>
      <w:r>
        <w:rPr>
          <w:rFonts w:ascii="Barlow Semi Condensed" w:cs="Barlow Semi Condensed" w:eastAsia="Barlow Semi Condensed" w:hAnsi="Barlow Semi Condensed"/>
          <w:sz w:val="24"/>
          <w:szCs w:val="24"/>
        </w:rPr>
        <w:t xml:space="preserve"> dei covi con i nomi dei cappellani: atti giudiziari esistenti, da riacquisire e incrociare con la cronologia del canale. </w:t>
      </w:r>
      <w:r>
        <w:rPr>
          <w:rFonts w:ascii="Barlow Semi Condensed" w:cs="Barlow Semi Condensed" w:eastAsia="Barlow Semi Condensed" w:hAnsi="Barlow Semi Condensed"/>
          <w:i/>
          <w:iCs/>
          <w:sz w:val="24"/>
          <w:szCs w:val="24"/>
        </w:rPr>
        <w:t xml:space="preserve">(c)</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b/>
          <w:bCs/>
          <w:sz w:val="24"/>
          <w:szCs w:val="24"/>
        </w:rPr>
        <w:t xml:space="preserve">All'apertura dell'Archivio Apostolico Vaticano per Paolo VI</w:t>
      </w:r>
      <w:r>
        <w:rPr>
          <w:rFonts w:ascii="Barlow Semi Condensed" w:cs="Barlow Semi Condensed" w:eastAsia="Barlow Semi Condensed" w:hAnsi="Barlow Semi Condensed"/>
          <w:sz w:val="24"/>
          <w:szCs w:val="24"/>
        </w:rPr>
        <w:t xml:space="preserve"> (la pista si salda a PN-8): Segreteria di Stato, carte di don Macchi, minute della lettera, eventuale documentazione del fondo per il riscatto. </w:t>
      </w:r>
      <w:r>
        <w:rPr>
          <w:rFonts w:ascii="Barlow Semi Condensed" w:cs="Barlow Semi Condensed" w:eastAsia="Barlow Semi Condensed" w:hAnsi="Barlow Semi Condensed"/>
          <w:i/>
          <w:iCs/>
          <w:sz w:val="24"/>
          <w:szCs w:val="24"/>
        </w:rPr>
        <w:t xml:space="preserve">(d)</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b/>
          <w:bCs/>
          <w:sz w:val="24"/>
          <w:szCs w:val="24"/>
        </w:rPr>
        <w:t xml:space="preserve">Il versante israeliano</w:t>
      </w:r>
      <w:r>
        <w:rPr>
          <w:rFonts w:ascii="Barlow Semi Condensed" w:cs="Barlow Semi Condensed" w:eastAsia="Barlow Semi Condensed" w:hAnsi="Barlow Semi Condensed"/>
          <w:sz w:val="24"/>
          <w:szCs w:val="24"/>
        </w:rPr>
        <w:t xml:space="preserve">: le dichiarazioni pubbliche del finanziatore e gli atti della Moro 2 che ne fissarono l'identità — con l'avvertenza che Flatto-Sharon è scomparso e che anche lì vale la raccolta conservativa delle fonti.</w:t>
      </w:r>
    </w:p>
    <w:p>
      <w:pPr>
        <w:pStyle w:val="Heading3"/>
        <w:spacing w:after="80" w:before="160"/>
      </w:pPr>
      <w:r>
        <w:rPr>
          <w:rFonts w:ascii="Barlow Semi Condensed" w:cs="Barlow Semi Condensed" w:eastAsia="Barlow Semi Condensed" w:hAnsi="Barlow Semi Condensed"/>
          <w:sz w:val="24"/>
          <w:szCs w:val="24"/>
        </w:rPr>
        <w:t xml:space="preserve">Errori da non ripetere, e criterio di chiusura</w:t>
      </w:r>
    </w:p>
    <w:p>
      <w:pPr>
        <w:spacing w:after="120" w:line="276"/>
        <w:jc w:val="both"/>
      </w:pPr>
      <w:r>
        <w:rPr>
          <w:rFonts w:ascii="Barlow Semi Condensed" w:cs="Barlow Semi Condensed" w:eastAsia="Barlow Semi Condensed" w:hAnsi="Barlow Semi Condensed"/>
          <w:sz w:val="24"/>
          <w:szCs w:val="24"/>
        </w:rPr>
        <w:t xml:space="preserve">Non trasformare il doppio binario in doppiezza: l'appello pubblico e il canale riservato erano due strumenti della stessa volontà documentata — salvare l'ostaggio — e insinuare oltre i documenti sarebbe esattamente ciò che questa scheda esiste per impedire. Non caricare il ritocco della lettera di più di quanto la filologia regga: il dato è la variante, l'intenzione è interpretazione, e i gradi restano distinti. Curioni, Fabbri e Macchi sono nominati per </w:t>
      </w:r>
      <w:r>
        <w:rPr>
          <w:rFonts w:ascii="Barlow Semi Condensed" w:cs="Barlow Semi Condensed" w:eastAsia="Barlow Semi Condensed" w:hAnsi="Barlow Semi Condensed"/>
          <w:b/>
          <w:bCs/>
          <w:sz w:val="24"/>
          <w:szCs w:val="24"/>
        </w:rPr>
        <w:t xml:space="preserve">ruoli documentati da atti e testimonianze rese ad autorità</w:t>
      </w:r>
      <w:r>
        <w:rPr>
          <w:rFonts w:ascii="Barlow Semi Condensed" w:cs="Barlow Semi Condensed" w:eastAsia="Barlow Semi Condensed" w:hAnsi="Barlow Semi Condensed"/>
          <w:sz w:val="24"/>
          <w:szCs w:val="24"/>
        </w:rPr>
        <w:t xml:space="preserve">; nessun addebito è formulato né formulabile. </w:t>
      </w:r>
      <w:r>
        <w:rPr>
          <w:rFonts w:ascii="Barlow Semi Condensed" w:cs="Barlow Semi Condensed" w:eastAsia="Barlow Semi Condensed" w:hAnsi="Barlow Semi Condensed"/>
          <w:i/>
          <w:iCs/>
          <w:sz w:val="24"/>
          <w:szCs w:val="24"/>
        </w:rPr>
        <w:t xml:space="preserve">Chiusura:</w:t>
      </w:r>
      <w:r>
        <w:rPr>
          <w:rFonts w:ascii="Barlow Semi Condensed" w:cs="Barlow Semi Condensed" w:eastAsia="Barlow Semi Condensed" w:hAnsi="Barlow Semi Condensed"/>
          <w:sz w:val="24"/>
          <w:szCs w:val="24"/>
        </w:rPr>
        <w:t xml:space="preserve"> Q1 chiude con l'identità documentale dell'intermediario o con l'esaurimento certificato delle carte; Q2 con la tracciabilità della somma o col suo punto documentale di dispersione; Q3 con l'edizione critica delle stesure. E vale, qui più che altrove, la regola del programma: se le carte ci sono, parleranno; se un canale di quella portata non ha lasciato carte, </w:t>
      </w:r>
      <w:r>
        <w:rPr>
          <w:rFonts w:ascii="Barlow Semi Condensed" w:cs="Barlow Semi Condensed" w:eastAsia="Barlow Semi Condensed" w:hAnsi="Barlow Semi Condensed"/>
          <w:b/>
          <w:bCs/>
          <w:sz w:val="24"/>
          <w:szCs w:val="24"/>
        </w:rPr>
        <w:t xml:space="preserve">l'assenza stessa — in una struttura che archivia da secoli — sarà il dato</w:t>
      </w:r>
      <w:r>
        <w:rPr>
          <w:rFonts w:ascii="Barlow Semi Condensed" w:cs="Barlow Semi Condensed" w:eastAsia="Barlow Semi Condensed" w:hAnsi="Barlow Semi Condensed"/>
          <w:sz w:val="24"/>
          <w:szCs w:val="24"/>
        </w:rPr>
        <w:t xml:space="preserve">.</w:t>
      </w:r>
    </w:p>
    <w:p>
      <w:pPr>
        <w:pStyle w:val="Heading2"/>
        <w:spacing w:after="100" w:before="200"/>
      </w:pPr>
      <w:r>
        <w:rPr>
          <w:rFonts w:ascii="Barlow Semi Condensed" w:cs="Barlow Semi Condensed" w:eastAsia="Barlow Semi Condensed" w:hAnsi="Barlow Semi Condensed"/>
          <w:sz w:val="24"/>
          <w:szCs w:val="24"/>
        </w:rPr>
        <w:t xml:space="preserve">Scheda PE-5 — Gli alleati: il traffico di cablo e la regola dell'originatore</w:t>
      </w:r>
    </w:p>
    <w:p>
      <w:pPr>
        <w:pStyle w:val="Heading3"/>
        <w:spacing w:after="80" w:before="160"/>
      </w:pPr>
      <w:r>
        <w:rPr>
          <w:rFonts w:ascii="Barlow Semi Condensed" w:cs="Barlow Semi Condensed" w:eastAsia="Barlow Semi Condensed" w:hAnsi="Barlow Semi Condensed"/>
          <w:sz w:val="24"/>
          <w:szCs w:val="24"/>
        </w:rPr>
        <w:t xml:space="preserve">Ciò che il corpus già possiede: un caso FOIA con i suoi identificativi</w:t>
      </w:r>
    </w:p>
    <w:p>
      <w:pPr>
        <w:spacing w:after="120" w:line="276"/>
        <w:jc w:val="both"/>
      </w:pPr>
      <w:r>
        <w:rPr>
          <w:rFonts w:ascii="Barlow Semi Condensed" w:cs="Barlow Semi Condensed" w:eastAsia="Barlow Semi Condensed" w:hAnsi="Barlow Semi Condensed"/>
          <w:sz w:val="24"/>
          <w:szCs w:val="24"/>
        </w:rPr>
        <w:t xml:space="preserve">Il punto di partenza non è un desiderio: è un </w:t>
      </w:r>
      <w:r>
        <w:rPr>
          <w:rFonts w:ascii="Barlow Semi Condensed" w:cs="Barlow Semi Condensed" w:eastAsia="Barlow Semi Condensed" w:hAnsi="Barlow Semi Condensed"/>
          <w:b/>
          <w:bCs/>
          <w:sz w:val="24"/>
          <w:szCs w:val="24"/>
        </w:rPr>
        <w:t xml:space="preserve">reperto interno al corpus</w:t>
      </w:r>
      <w:r>
        <w:rPr>
          <w:rFonts w:ascii="Barlow Semi Condensed" w:cs="Barlow Semi Condensed" w:eastAsia="Barlow Semi Condensed" w:hAnsi="Barlow Semi Condensed"/>
          <w:sz w:val="24"/>
          <w:szCs w:val="24"/>
        </w:rPr>
        <w:t xml:space="preserve">. Il lotto del Dipartimento di Stato archiviato nella cartella Farnesina (il programma della visita del 1965; i cablo dell'aprile-maggio 1978 da Buenos Aires, Trieste e Palermo) è un </w:t>
      </w:r>
      <w:r>
        <w:rPr>
          <w:rFonts w:ascii="Barlow Semi Condensed" w:cs="Barlow Semi Condensed" w:eastAsia="Barlow Semi Condensed" w:hAnsi="Barlow Semi Condensed"/>
          <w:b/>
          <w:bCs/>
          <w:sz w:val="24"/>
          <w:szCs w:val="24"/>
        </w:rPr>
        <w:t xml:space="preserve">prodotto FOIA già lavorato</w:t>
      </w:r>
      <w:r>
        <w:rPr>
          <w:rFonts w:ascii="Barlow Semi Condensed" w:cs="Barlow Semi Condensed" w:eastAsia="Barlow Semi Condensed" w:hAnsi="Barlow Semi Condensed"/>
          <w:sz w:val="24"/>
          <w:szCs w:val="24"/>
        </w:rPr>
        <w:t xml:space="preserve">: i fogli recano il numero di caso </w:t>
      </w:r>
      <w:r>
        <w:rPr>
          <w:rFonts w:ascii="Barlow Semi Condensed" w:cs="Barlow Semi Condensed" w:eastAsia="Barlow Semi Condensed" w:hAnsi="Barlow Semi Condensed"/>
          <w:b/>
          <w:bCs/>
          <w:sz w:val="24"/>
          <w:szCs w:val="24"/>
        </w:rPr>
        <w:t xml:space="preserve">R-2021-002xx</w:t>
      </w:r>
      <w:r>
        <w:rPr>
          <w:rFonts w:ascii="Barlow Semi Condensed" w:cs="Barlow Semi Condensed" w:eastAsia="Barlow Semi Condensed" w:hAnsi="Barlow Semi Condensed"/>
          <w:sz w:val="24"/>
          <w:szCs w:val="24"/>
        </w:rPr>
        <w:t xml:space="preserve"> — la lettura OCR oscilla fra 00202 e 00208, e la divergenza si dichiara — i numeri di controllo </w:t>
      </w:r>
      <w:r>
        <w:rPr>
          <w:rFonts w:ascii="Barlow Semi Condensed" w:cs="Barlow Semi Condensed" w:eastAsia="Barlow Semi Condensed" w:hAnsi="Barlow Semi Condensed"/>
          <w:b/>
          <w:bCs/>
          <w:sz w:val="24"/>
          <w:szCs w:val="24"/>
        </w:rPr>
        <w:t xml:space="preserve">B-00001939965…989</w:t>
      </w:r>
      <w:r>
        <w:rPr>
          <w:rFonts w:ascii="Barlow Semi Condensed" w:cs="Barlow Semi Condensed" w:eastAsia="Barlow Semi Condensed" w:hAnsi="Barlow Semi Condensed"/>
          <w:sz w:val="24"/>
          <w:szCs w:val="24"/>
        </w:rPr>
        <w:t xml:space="preserve">, e timbri di revisione anche dell'FBI (declassificazione del 16/6/2018 su alcune pagine). Questo significa tre cose operative: esiste un </w:t>
      </w:r>
      <w:r>
        <w:rPr>
          <w:rFonts w:ascii="Barlow Semi Condensed" w:cs="Barlow Semi Condensed" w:eastAsia="Barlow Semi Condensed" w:hAnsi="Barlow Semi Condensed"/>
          <w:b/>
          <w:bCs/>
          <w:sz w:val="24"/>
          <w:szCs w:val="24"/>
        </w:rPr>
        <w:t xml:space="preserve">fascicolo FOIA identificato</w:t>
      </w:r>
      <w:r>
        <w:rPr>
          <w:rFonts w:ascii="Barlow Semi Condensed" w:cs="Barlow Semi Condensed" w:eastAsia="Barlow Semi Condensed" w:hAnsi="Barlow Semi Condensed"/>
          <w:sz w:val="24"/>
          <w:szCs w:val="24"/>
        </w:rPr>
        <w:t xml:space="preserve"> di cui si può chiedere il rilascio integrale (tutti i documenti lavorati sotto quel caso, non solo i fogli circolati); esistono </w:t>
      </w:r>
      <w:r>
        <w:rPr>
          <w:rFonts w:ascii="Barlow Semi Condensed" w:cs="Barlow Semi Condensed" w:eastAsia="Barlow Semi Condensed" w:hAnsi="Barlow Semi Condensed"/>
          <w:b/>
          <w:bCs/>
          <w:sz w:val="24"/>
          <w:szCs w:val="24"/>
        </w:rPr>
        <w:t xml:space="preserve">serie numerate contigue</w:t>
      </w:r>
      <w:r>
        <w:rPr>
          <w:rFonts w:ascii="Barlow Semi Condensed" w:cs="Barlow Semi Condensed" w:eastAsia="Barlow Semi Condensed" w:hAnsi="Barlow Semi Condensed"/>
          <w:sz w:val="24"/>
          <w:szCs w:val="24"/>
        </w:rPr>
        <w:t xml:space="preserve"> (i B-000019399xx mancanti dall'intervallo sono essi stessi una lista di richieste); ed esistono i </w:t>
      </w:r>
      <w:r>
        <w:rPr>
          <w:rFonts w:ascii="Barlow Semi Condensed" w:cs="Barlow Semi Condensed" w:eastAsia="Barlow Semi Condensed" w:hAnsi="Barlow Semi Condensed"/>
          <w:b/>
          <w:bCs/>
          <w:sz w:val="24"/>
          <w:szCs w:val="24"/>
        </w:rPr>
        <w:t xml:space="preserve">TAGS</w:t>
      </w:r>
      <w:r>
        <w:rPr>
          <w:rFonts w:ascii="Barlow Semi Condensed" w:cs="Barlow Semi Condensed" w:eastAsia="Barlow Semi Condensed" w:hAnsi="Barlow Semi Condensed"/>
          <w:sz w:val="24"/>
          <w:szCs w:val="24"/>
        </w:rPr>
        <w:t xml:space="preserve"> dei cablo — nel lotto: </w:t>
      </w:r>
      <w:r>
        <w:rPr>
          <w:rFonts w:ascii="Barlow Semi Condensed" w:cs="Barlow Semi Condensed" w:eastAsia="Barlow Semi Condensed" w:hAnsi="Barlow Semi Condensed"/>
          <w:i/>
          <w:iCs/>
          <w:sz w:val="24"/>
          <w:szCs w:val="24"/>
        </w:rPr>
        <w:t xml:space="preserve">PINT, IT</w:t>
      </w:r>
      <w:r>
        <w:rPr>
          <w:rFonts w:ascii="Barlow Semi Condensed" w:cs="Barlow Semi Condensed" w:eastAsia="Barlow Semi Condensed" w:hAnsi="Barlow Semi Condensed"/>
          <w:sz w:val="24"/>
          <w:szCs w:val="24"/>
        </w:rPr>
        <w:t xml:space="preserve"> — che sono le chiavi d'interrogazione del sistema archivistico americano.</w:t>
      </w:r>
    </w:p>
    <w:p>
      <w:pPr>
        <w:pStyle w:val="Heading3"/>
        <w:spacing w:after="80" w:before="160"/>
      </w:pPr>
      <w:r>
        <w:rPr>
          <w:rFonts w:ascii="Barlow Semi Condensed" w:cs="Barlow Semi Condensed" w:eastAsia="Barlow Semi Condensed" w:hAnsi="Barlow Semi Condensed"/>
          <w:sz w:val="24"/>
          <w:szCs w:val="24"/>
        </w:rPr>
        <w:t xml:space="preserve">I due giacimenti, e il censimento del trattenuto</w:t>
      </w:r>
    </w:p>
    <w:p>
      <w:pPr>
        <w:spacing w:after="120" w:line="276"/>
        <w:jc w:val="both"/>
      </w:pPr>
      <w:r>
        <w:rPr>
          <w:rFonts w:ascii="Barlow Semi Condensed" w:cs="Barlow Semi Condensed" w:eastAsia="Barlow Semi Condensed" w:hAnsi="Barlow Semi Condensed"/>
          <w:b/>
          <w:bCs/>
          <w:sz w:val="24"/>
          <w:szCs w:val="24"/>
        </w:rPr>
        <w:t xml:space="preserve">Primo giacimento — NARA, ad accesso libero.</w:t>
      </w:r>
      <w:r>
        <w:rPr>
          <w:rFonts w:ascii="Barlow Semi Condensed" w:cs="Barlow Semi Condensed" w:eastAsia="Barlow Semi Condensed" w:hAnsi="Barlow Semi Condensed"/>
          <w:sz w:val="24"/>
          <w:szCs w:val="24"/>
        </w:rPr>
        <w:t xml:space="preserve"> I telegrammi del Dipartimento di Stato 1973-1979 (Central Foreign Policy File, RG 59) sono versati ai National Archives e </w:t>
      </w:r>
      <w:r>
        <w:rPr>
          <w:rFonts w:ascii="Barlow Semi Condensed" w:cs="Barlow Semi Condensed" w:eastAsia="Barlow Semi Condensed" w:hAnsi="Barlow Semi Condensed"/>
          <w:b/>
          <w:bCs/>
          <w:sz w:val="24"/>
          <w:szCs w:val="24"/>
        </w:rPr>
        <w:t xml:space="preserve">interrogabili online</w:t>
      </w:r>
      <w:r>
        <w:rPr>
          <w:rFonts w:ascii="Barlow Semi Condensed" w:cs="Barlow Semi Condensed" w:eastAsia="Barlow Semi Condensed" w:hAnsi="Barlow Semi Condensed"/>
          <w:sz w:val="24"/>
          <w:szCs w:val="24"/>
        </w:rPr>
        <w:t xml:space="preserve"> tramite l'Access to Archival Databases (NARA, CFPF 1973-1979 (https://www.archives.gov/research/foreign-policy/state-dept/rg-59-central-files/1973-1979); serie AAD (https://aad.archives.gov/aad/series-description.jsp?s=4073)). E accanto ai telegrammi rilasciati esiste lo strumento più prezioso per questa pista: le </w:t>
      </w:r>
      <w:r>
        <w:rPr>
          <w:rFonts w:ascii="Barlow Semi Condensed" w:cs="Barlow Semi Condensed" w:eastAsia="Barlow Semi Condensed" w:hAnsi="Barlow Semi Condensed"/>
          <w:b/>
          <w:bCs/>
          <w:sz w:val="24"/>
          <w:szCs w:val="24"/>
        </w:rPr>
        <w:t xml:space="preserve">«Electronic Telegrams Withdrawal Cards, 1978»</w:t>
      </w:r>
      <w:r>
        <w:rPr>
          <w:rFonts w:ascii="Barlow Semi Condensed" w:cs="Barlow Semi Condensed" w:eastAsia="Barlow Semi Condensed" w:hAnsi="Barlow Semi Condensed"/>
          <w:sz w:val="24"/>
          <w:szCs w:val="24"/>
        </w:rPr>
        <w:t xml:space="preserve"> (AAD, ricerca dedicata (https://aad.archives.gov/aad/fielded-search.jsp?dt=2695&amp;tf=X)) — le schede dei telegrammi </w:t>
      </w:r>
      <w:r>
        <w:rPr>
          <w:rFonts w:ascii="Barlow Semi Condensed" w:cs="Barlow Semi Condensed" w:eastAsia="Barlow Semi Condensed" w:hAnsi="Barlow Semi Condensed"/>
          <w:b/>
          <w:bCs/>
          <w:sz w:val="24"/>
          <w:szCs w:val="24"/>
        </w:rPr>
        <w:t xml:space="preserve">trattenuti</w:t>
      </w:r>
      <w:r>
        <w:rPr>
          <w:rFonts w:ascii="Barlow Semi Condensed" w:cs="Barlow Semi Condensed" w:eastAsia="Barlow Semi Condensed" w:hAnsi="Barlow Semi Condensed"/>
          <w:sz w:val="24"/>
          <w:szCs w:val="24"/>
        </w:rPr>
        <w:t xml:space="preserve">, che costituiscono il </w:t>
      </w:r>
      <w:r>
        <w:rPr>
          <w:rFonts w:ascii="Barlow Semi Condensed" w:cs="Barlow Semi Condensed" w:eastAsia="Barlow Semi Condensed" w:hAnsi="Barlow Semi Condensed"/>
          <w:b/>
          <w:bCs/>
          <w:sz w:val="24"/>
          <w:szCs w:val="24"/>
        </w:rPr>
        <w:t xml:space="preserve">censimento pubblico di ciò che ancora manca</w:t>
      </w:r>
      <w:r>
        <w:rPr>
          <w:rFonts w:ascii="Barlow Semi Condensed" w:cs="Barlow Semi Condensed" w:eastAsia="Barlow Semi Condensed" w:hAnsi="Barlow Semi Condensed"/>
          <w:sz w:val="24"/>
          <w:szCs w:val="24"/>
        </w:rPr>
        <w:t xml:space="preserve">: per ogni cablo ritirato, la scheda ne attesta l'esistenza, la data e la provenienza. La dietrologia specula sul non rilasciato; le withdrawal cards lo </w:t>
      </w:r>
      <w:r>
        <w:rPr>
          <w:rFonts w:ascii="Barlow Semi Condensed" w:cs="Barlow Semi Condensed" w:eastAsia="Barlow Semi Condensed" w:hAnsi="Barlow Semi Condensed"/>
          <w:b/>
          <w:bCs/>
          <w:sz w:val="24"/>
          <w:szCs w:val="24"/>
        </w:rPr>
        <w:t xml:space="preserve">contano</w:t>
      </w:r>
      <w:r>
        <w:rPr>
          <w:rFonts w:ascii="Barlow Semi Condensed" w:cs="Barlow Semi Condensed" w:eastAsia="Barlow Semi Condensed" w:hAnsi="Barlow Semi Condensed"/>
          <w:sz w:val="24"/>
          <w:szCs w:val="24"/>
        </w:rPr>
        <w:t xml:space="preserve">.</w:t>
      </w:r>
    </w:p>
    <w:p>
      <w:pPr>
        <w:spacing w:after="120" w:line="276"/>
        <w:jc w:val="both"/>
      </w:pPr>
      <w:r>
        <w:rPr>
          <w:rFonts w:ascii="Barlow Semi Condensed" w:cs="Barlow Semi Condensed" w:eastAsia="Barlow Semi Condensed" w:hAnsi="Barlow Semi Condensed"/>
          <w:b/>
          <w:bCs/>
          <w:sz w:val="24"/>
          <w:szCs w:val="24"/>
        </w:rPr>
        <w:t xml:space="preserve">Secondo giacimento — la FOIA Library e le richieste.</w:t>
      </w:r>
      <w:r>
        <w:rPr>
          <w:rFonts w:ascii="Barlow Semi Condensed" w:cs="Barlow Semi Condensed" w:eastAsia="Barlow Semi Condensed" w:hAnsi="Barlow Semi Condensed"/>
          <w:sz w:val="24"/>
          <w:szCs w:val="24"/>
        </w:rPr>
        <w:t xml:space="preserve"> La biblioteca FOIA del Dipartimento (foia.state.gov (https://foia.state.gov/FOIALIBRARY/FOIALIB2.aspx)) per il già rilasciato; le richieste nuove, ancorate agli identificativi del caso R-2021-002xx e alle schede di ritiro, per il resto.</w:t>
      </w:r>
    </w:p>
    <w:p>
      <w:pPr>
        <w:pStyle w:val="Heading3"/>
        <w:spacing w:after="80" w:before="160"/>
      </w:pPr>
      <w:r>
        <w:rPr>
          <w:rFonts w:ascii="Barlow Semi Condensed" w:cs="Barlow Semi Condensed" w:eastAsia="Barlow Semi Condensed" w:hAnsi="Barlow Semi Condensed"/>
          <w:sz w:val="24"/>
          <w:szCs w:val="24"/>
        </w:rPr>
        <w:t xml:space="preserve">Il nodo dei 474: la regola dell'originatore</w:t>
      </w:r>
    </w:p>
    <w:p>
      <w:pPr>
        <w:spacing w:after="120" w:line="276"/>
        <w:jc w:val="both"/>
      </w:pPr>
      <w:r>
        <w:rPr>
          <w:rFonts w:ascii="Barlow Semi Condensed" w:cs="Barlow Semi Condensed" w:eastAsia="Barlow Semi Condensed" w:hAnsi="Barlow Semi Condensed"/>
          <w:sz w:val="24"/>
          <w:szCs w:val="24"/>
        </w:rPr>
        <w:t xml:space="preserve">Sul versante italiano, la pubblicistica che segue i lavori di desecretazione riferisce che </w:t>
      </w:r>
      <w:r>
        <w:rPr>
          <w:rFonts w:ascii="Barlow Semi Condensed" w:cs="Barlow Semi Condensed" w:eastAsia="Barlow Semi Condensed" w:hAnsi="Barlow Semi Condensed"/>
          <w:b/>
          <w:bCs/>
          <w:sz w:val="24"/>
          <w:szCs w:val="24"/>
        </w:rPr>
        <w:t xml:space="preserve">migliaia di atti sul caso restano classificati, e che fra essi circa 474 sono di origine di Stati alleati, Stati Uniti in testa</w:t>
      </w:r>
      <w:r>
        <w:rPr>
          <w:rFonts w:ascii="Barlow Semi Condensed" w:cs="Barlow Semi Condensed" w:eastAsia="Barlow Semi Condensed" w:hAnsi="Barlow Semi Condensed"/>
          <w:sz w:val="24"/>
          <w:szCs w:val="24"/>
        </w:rPr>
        <w:t xml:space="preserve"> (attualita.it (https://www.attualita.it/notizie/politica/nuove-verita-sul-caso-moro-35911/)) — cifra da trattare col suo grado (riferita, non verificata su atto). Ma il </w:t>
      </w:r>
      <w:r>
        <w:rPr>
          <w:rFonts w:ascii="Barlow Semi Condensed" w:cs="Barlow Semi Condensed" w:eastAsia="Barlow Semi Condensed" w:hAnsi="Barlow Semi Condensed"/>
          <w:b/>
          <w:bCs/>
          <w:sz w:val="24"/>
          <w:szCs w:val="24"/>
        </w:rPr>
        <w:t xml:space="preserve">meccanismo</w:t>
      </w:r>
      <w:r>
        <w:rPr>
          <w:rFonts w:ascii="Barlow Semi Condensed" w:cs="Barlow Semi Condensed" w:eastAsia="Barlow Semi Condensed" w:hAnsi="Barlow Semi Condensed"/>
          <w:sz w:val="24"/>
          <w:szCs w:val="24"/>
        </w:rPr>
        <w:t xml:space="preserve"> che essa illumina è certo ed è il cuore giuridico della scheda: per la </w:t>
      </w:r>
      <w:r>
        <w:rPr>
          <w:rFonts w:ascii="Barlow Semi Condensed" w:cs="Barlow Semi Condensed" w:eastAsia="Barlow Semi Condensed" w:hAnsi="Barlow Semi Condensed"/>
          <w:b/>
          <w:bCs/>
          <w:sz w:val="24"/>
          <w:szCs w:val="24"/>
        </w:rPr>
        <w:t xml:space="preserve">regola dell'originatore</w:t>
      </w:r>
      <w:r>
        <w:rPr>
          <w:rFonts w:ascii="Barlow Semi Condensed" w:cs="Barlow Semi Condensed" w:eastAsia="Barlow Semi Condensed" w:hAnsi="Barlow Semi Condensed"/>
          <w:sz w:val="24"/>
          <w:szCs w:val="24"/>
        </w:rPr>
        <w:t xml:space="preserve">, un documento classificato da uno Stato terzo </w:t>
      </w:r>
      <w:r>
        <w:rPr>
          <w:rFonts w:ascii="Barlow Semi Condensed" w:cs="Barlow Semi Condensed" w:eastAsia="Barlow Semi Condensed" w:hAnsi="Barlow Semi Condensed"/>
          <w:b/>
          <w:bCs/>
          <w:sz w:val="24"/>
          <w:szCs w:val="24"/>
        </w:rPr>
        <w:t xml:space="preserve">non può essere desecretato unilateralmente</w:t>
      </w:r>
      <w:r>
        <w:rPr>
          <w:rFonts w:ascii="Barlow Semi Condensed" w:cs="Barlow Semi Condensed" w:eastAsia="Barlow Semi Condensed" w:hAnsi="Barlow Semi Condensed"/>
          <w:sz w:val="24"/>
          <w:szCs w:val="24"/>
        </w:rPr>
        <w:t xml:space="preserve"> da chi lo detiene — le direttive italiane (Prodi, Renzi, Draghi) possono aprire le carte italiane, </w:t>
      </w:r>
      <w:r>
        <w:rPr>
          <w:rFonts w:ascii="Barlow Semi Condensed" w:cs="Barlow Semi Condensed" w:eastAsia="Barlow Semi Condensed" w:hAnsi="Barlow Semi Condensed"/>
          <w:b/>
          <w:bCs/>
          <w:sz w:val="24"/>
          <w:szCs w:val="24"/>
        </w:rPr>
        <w:t xml:space="preserve">non quelle alleate</w:t>
      </w:r>
      <w:r>
        <w:rPr>
          <w:rFonts w:ascii="Barlow Semi Condensed" w:cs="Barlow Semi Condensed" w:eastAsia="Barlow Semi Condensed" w:hAnsi="Barlow Semi Condensed"/>
          <w:sz w:val="24"/>
          <w:szCs w:val="24"/>
        </w:rPr>
        <w:t xml:space="preserve">. Il canale per i documenti di origine USA è dunque </w:t>
      </w:r>
      <w:r>
        <w:rPr>
          <w:rFonts w:ascii="Barlow Semi Condensed" w:cs="Barlow Semi Condensed" w:eastAsia="Barlow Semi Condensed" w:hAnsi="Barlow Semi Condensed"/>
          <w:b/>
          <w:bCs/>
          <w:sz w:val="24"/>
          <w:szCs w:val="24"/>
        </w:rPr>
        <w:t xml:space="preserve">bilaterale e diplomatico</w:t>
      </w:r>
      <w:r>
        <w:rPr>
          <w:rFonts w:ascii="Barlow Semi Condensed" w:cs="Barlow Semi Condensed" w:eastAsia="Barlow Semi Condensed" w:hAnsi="Barlow Semi Condensed"/>
          <w:sz w:val="24"/>
          <w:szCs w:val="24"/>
        </w:rPr>
        <w:t xml:space="preserve">: la richiesta di consenso all'originatore — ed è il punto esatto in cui questa pista si salda alla dimensione diplomatica del corpus (Libro dodicesimo): l'accesso agli archivi, come l'estradizione, è politica estera applicata.</w:t>
      </w:r>
    </w:p>
    <w:p>
      <w:pPr>
        <w:pStyle w:val="Heading3"/>
        <w:spacing w:after="80" w:before="160"/>
      </w:pPr>
      <w:r>
        <w:rPr>
          <w:rFonts w:ascii="Barlow Semi Condensed" w:cs="Barlow Semi Condensed" w:eastAsia="Barlow Semi Condensed" w:hAnsi="Barlow Semi Condensed"/>
          <w:sz w:val="24"/>
          <w:szCs w:val="24"/>
        </w:rPr>
        <w:t xml:space="preserve">I tre quesiti enumerativi</w:t>
      </w:r>
    </w:p>
    <w:p>
      <w:pPr>
        <w:spacing w:after="120" w:line="276"/>
        <w:jc w:val="both"/>
      </w:pPr>
      <w:r>
        <w:rPr>
          <w:rFonts w:ascii="Barlow Semi Condensed" w:cs="Barlow Semi Condensed" w:eastAsia="Barlow Semi Condensed" w:hAnsi="Barlow Semi Condensed"/>
          <w:sz w:val="24"/>
          <w:szCs w:val="24"/>
        </w:rPr>
        <w:t xml:space="preserve">Questa pista non ha ipotesi da discriminare: ha </w:t>
      </w:r>
      <w:r>
        <w:rPr>
          <w:rFonts w:ascii="Barlow Semi Condensed" w:cs="Barlow Semi Condensed" w:eastAsia="Barlow Semi Condensed" w:hAnsi="Barlow Semi Condensed"/>
          <w:b/>
          <w:bCs/>
          <w:sz w:val="24"/>
          <w:szCs w:val="24"/>
        </w:rPr>
        <w:t xml:space="preserve">insiemi da contare</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Q1:</w:t>
      </w:r>
      <w:r>
        <w:rPr>
          <w:rFonts w:ascii="Barlow Semi Condensed" w:cs="Barlow Semi Condensed" w:eastAsia="Barlow Semi Condensed" w:hAnsi="Barlow Semi Condensed"/>
          <w:sz w:val="24"/>
          <w:szCs w:val="24"/>
        </w:rPr>
        <w:t xml:space="preserve"> del traffico Roma-Washington del marzo-maggio 1978, quanto è già libero in AAD, quanto è trattenuto (withdrawal cards), quanto non risulta versato? </w:t>
      </w:r>
      <w:r>
        <w:rPr>
          <w:rFonts w:ascii="Barlow Semi Condensed" w:cs="Barlow Semi Condensed" w:eastAsia="Barlow Semi Condensed" w:hAnsi="Barlow Semi Condensed"/>
          <w:i/>
          <w:iCs/>
          <w:sz w:val="24"/>
          <w:szCs w:val="24"/>
        </w:rPr>
        <w:t xml:space="preserve">Q2:</w:t>
      </w:r>
      <w:r>
        <w:rPr>
          <w:rFonts w:ascii="Barlow Semi Condensed" w:cs="Barlow Semi Condensed" w:eastAsia="Barlow Semi Condensed" w:hAnsi="Barlow Semi Condensed"/>
          <w:sz w:val="24"/>
          <w:szCs w:val="24"/>
        </w:rPr>
        <w:t xml:space="preserve"> che cosa contiene </w:t>
      </w:r>
      <w:r>
        <w:rPr>
          <w:rFonts w:ascii="Barlow Semi Condensed" w:cs="Barlow Semi Condensed" w:eastAsia="Barlow Semi Condensed" w:hAnsi="Barlow Semi Condensed"/>
          <w:b/>
          <w:bCs/>
          <w:sz w:val="24"/>
          <w:szCs w:val="24"/>
        </w:rPr>
        <w:t xml:space="preserve">per intero</w:t>
      </w:r>
      <w:r>
        <w:rPr>
          <w:rFonts w:ascii="Barlow Semi Condensed" w:cs="Barlow Semi Condensed" w:eastAsia="Barlow Semi Condensed" w:hAnsi="Barlow Semi Condensed"/>
          <w:sz w:val="24"/>
          <w:szCs w:val="24"/>
        </w:rPr>
        <w:t xml:space="preserve"> il caso FOIA R-2021-002xx da cui proviene il lotto del corpus? </w:t>
      </w:r>
      <w:r>
        <w:rPr>
          <w:rFonts w:ascii="Barlow Semi Condensed" w:cs="Barlow Semi Condensed" w:eastAsia="Barlow Semi Condensed" w:hAnsi="Barlow Semi Condensed"/>
          <w:i/>
          <w:iCs/>
          <w:sz w:val="24"/>
          <w:szCs w:val="24"/>
        </w:rPr>
        <w:t xml:space="preserve">Q3:</w:t>
      </w:r>
      <w:r>
        <w:rPr>
          <w:rFonts w:ascii="Barlow Semi Condensed" w:cs="Barlow Semi Condensed" w:eastAsia="Barlow Semi Condensed" w:hAnsi="Barlow Semi Condensed"/>
          <w:sz w:val="24"/>
          <w:szCs w:val="24"/>
        </w:rPr>
        <w:t xml:space="preserve"> dei 474 atti di origine alleata riferiti sul versante italiano, quanti sono statunitensi, e quale canale di consenso è mai stato attivato?</w:t>
      </w:r>
    </w:p>
    <w:p>
      <w:pPr>
        <w:pStyle w:val="Heading3"/>
        <w:spacing w:after="80" w:before="160"/>
      </w:pPr>
      <w:r>
        <w:rPr>
          <w:rFonts w:ascii="Barlow Semi Condensed" w:cs="Barlow Semi Condensed" w:eastAsia="Barlow Semi Condensed" w:hAnsi="Barlow Semi Condensed"/>
          <w:sz w:val="24"/>
          <w:szCs w:val="24"/>
        </w:rPr>
        <w:t xml:space="preserve">L'atto raffinato, in quattro passi</w:t>
      </w:r>
    </w:p>
    <w:p>
      <w:pPr>
        <w:spacing w:after="120" w:line="276"/>
        <w:jc w:val="both"/>
      </w:pPr>
      <w:r>
        <w:rPr>
          <w:rFonts w:ascii="Barlow Semi Condensed" w:cs="Barlow Semi Condensed" w:eastAsia="Barlow Semi Condensed" w:hAnsi="Barlow Semi Condensed"/>
          <w:i/>
          <w:iCs/>
          <w:sz w:val="24"/>
          <w:szCs w:val="24"/>
        </w:rPr>
        <w:t xml:space="preserve">(a)</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b/>
          <w:bCs/>
          <w:sz w:val="24"/>
          <w:szCs w:val="24"/>
        </w:rPr>
        <w:t xml:space="preserve">L'interrogazione sistematica dell'AAD</w:t>
      </w:r>
      <w:r>
        <w:rPr>
          <w:rFonts w:ascii="Barlow Semi Condensed" w:cs="Barlow Semi Condensed" w:eastAsia="Barlow Semi Condensed" w:hAnsi="Barlow Semi Condensed"/>
          <w:sz w:val="24"/>
          <w:szCs w:val="24"/>
        </w:rPr>
        <w:t xml:space="preserve">: telegrammi elettronici e withdrawal cards 1978, per TAGS (</w:t>
      </w:r>
      <w:r>
        <w:rPr>
          <w:rFonts w:ascii="Barlow Semi Condensed" w:cs="Barlow Semi Condensed" w:eastAsia="Barlow Semi Condensed" w:hAnsi="Barlow Semi Condensed"/>
          <w:i/>
          <w:iCs/>
          <w:sz w:val="24"/>
          <w:szCs w:val="24"/>
        </w:rPr>
        <w:t xml:space="preserve">PINT</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IT</w:t>
      </w:r>
      <w:r>
        <w:rPr>
          <w:rFonts w:ascii="Barlow Semi Condensed" w:cs="Barlow Semi Condensed" w:eastAsia="Barlow Semi Condensed" w:hAnsi="Barlow Semi Condensed"/>
          <w:sz w:val="24"/>
          <w:szCs w:val="24"/>
        </w:rPr>
        <w:t xml:space="preserve"> e correlati), finestra 16 marzo – 31 dicembre 1978, con chiave «MORO» — esito: la </w:t>
      </w:r>
      <w:r>
        <w:rPr>
          <w:rFonts w:ascii="Barlow Semi Condensed" w:cs="Barlow Semi Condensed" w:eastAsia="Barlow Semi Condensed" w:hAnsi="Barlow Semi Condensed"/>
          <w:b/>
          <w:bCs/>
          <w:sz w:val="24"/>
          <w:szCs w:val="24"/>
        </w:rPr>
        <w:t xml:space="preserve">tavola rilasciato/trattenuto</w:t>
      </w:r>
      <w:r>
        <w:rPr>
          <w:rFonts w:ascii="Barlow Semi Condensed" w:cs="Barlow Semi Condensed" w:eastAsia="Barlow Semi Condensed" w:hAnsi="Barlow Semi Condensed"/>
          <w:sz w:val="24"/>
          <w:szCs w:val="24"/>
        </w:rPr>
        <w:t xml:space="preserve"> del traffico dei 55 giorni, che oggi non esiste in nessuna pubblicazione. </w:t>
      </w:r>
      <w:r>
        <w:rPr>
          <w:rFonts w:ascii="Barlow Semi Condensed" w:cs="Barlow Semi Condensed" w:eastAsia="Barlow Semi Condensed" w:hAnsi="Barlow Semi Condensed"/>
          <w:i/>
          <w:iCs/>
          <w:sz w:val="24"/>
          <w:szCs w:val="24"/>
        </w:rPr>
        <w:t xml:space="preserve">(b)</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b/>
          <w:bCs/>
          <w:sz w:val="24"/>
          <w:szCs w:val="24"/>
        </w:rPr>
        <w:t xml:space="preserve">La richiesta del fascicolo FOIA integrale</w:t>
      </w:r>
      <w:r>
        <w:rPr>
          <w:rFonts w:ascii="Barlow Semi Condensed" w:cs="Barlow Semi Condensed" w:eastAsia="Barlow Semi Condensed" w:hAnsi="Barlow Semi Condensed"/>
          <w:sz w:val="24"/>
          <w:szCs w:val="24"/>
        </w:rPr>
        <w:t xml:space="preserve"> R-2021-002xx al Dipartimento di Stato, coi numeri di controllo del corpus come ancoraggio. </w:t>
      </w:r>
      <w:r>
        <w:rPr>
          <w:rFonts w:ascii="Barlow Semi Condensed" w:cs="Barlow Semi Condensed" w:eastAsia="Barlow Semi Condensed" w:hAnsi="Barlow Semi Condensed"/>
          <w:i/>
          <w:iCs/>
          <w:sz w:val="24"/>
          <w:szCs w:val="24"/>
        </w:rPr>
        <w:t xml:space="preserve">(c)</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b/>
          <w:bCs/>
          <w:sz w:val="24"/>
          <w:szCs w:val="24"/>
        </w:rPr>
        <w:t xml:space="preserve">Le FOIA mirate</w:t>
      </w:r>
      <w:r>
        <w:rPr>
          <w:rFonts w:ascii="Barlow Semi Condensed" w:cs="Barlow Semi Condensed" w:eastAsia="Barlow Semi Condensed" w:hAnsi="Barlow Semi Condensed"/>
          <w:sz w:val="24"/>
          <w:szCs w:val="24"/>
        </w:rPr>
        <w:t xml:space="preserve"> sui singoli item identificati dalle withdrawal cards — richieste puntuali, non generiche, che sono le sole che in regime FOIA convergono. </w:t>
      </w:r>
      <w:r>
        <w:rPr>
          <w:rFonts w:ascii="Barlow Semi Condensed" w:cs="Barlow Semi Condensed" w:eastAsia="Barlow Semi Condensed" w:hAnsi="Barlow Semi Condensed"/>
          <w:i/>
          <w:iCs/>
          <w:sz w:val="24"/>
          <w:szCs w:val="24"/>
        </w:rPr>
        <w:t xml:space="preserve">(d)</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b/>
          <w:bCs/>
          <w:sz w:val="24"/>
          <w:szCs w:val="24"/>
        </w:rPr>
        <w:t xml:space="preserve">Il canale bilaterale per gli atti di origine alleata</w:t>
      </w:r>
      <w:r>
        <w:rPr>
          <w:rFonts w:ascii="Barlow Semi Condensed" w:cs="Barlow Semi Condensed" w:eastAsia="Barlow Semi Condensed" w:hAnsi="Barlow Semi Condensed"/>
          <w:sz w:val="24"/>
          <w:szCs w:val="24"/>
        </w:rPr>
        <w:t xml:space="preserve"> custoditi in Italia: la ricognizione di quali richieste di consenso all'originatore siano mai state formulate, e la loro riattivazione nelle sedi proprie.</w:t>
      </w:r>
    </w:p>
    <w:p>
      <w:pPr>
        <w:pStyle w:val="Heading3"/>
        <w:spacing w:after="80" w:before="160"/>
      </w:pPr>
      <w:r>
        <w:rPr>
          <w:rFonts w:ascii="Barlow Semi Condensed" w:cs="Barlow Semi Condensed" w:eastAsia="Barlow Semi Condensed" w:hAnsi="Barlow Semi Condensed"/>
          <w:sz w:val="24"/>
          <w:szCs w:val="24"/>
        </w:rPr>
        <w:t xml:space="preserve">Errori da non ripetere, e criterio di chiusura</w:t>
      </w:r>
    </w:p>
    <w:p>
      <w:pPr>
        <w:spacing w:after="120" w:line="276"/>
        <w:jc w:val="both"/>
      </w:pPr>
      <w:r>
        <w:rPr>
          <w:rFonts w:ascii="Barlow Semi Condensed" w:cs="Barlow Semi Condensed" w:eastAsia="Barlow Semi Condensed" w:hAnsi="Barlow Semi Condensed"/>
          <w:sz w:val="24"/>
          <w:szCs w:val="24"/>
        </w:rPr>
        <w:t xml:space="preserve">Non confondere «classificato» con «occultato»: la regola dell'originatore è una norma generale degli scambi fra Stati, non un indizio di contenuto; e </w:t>
      </w:r>
      <w:r>
        <w:rPr>
          <w:rFonts w:ascii="Barlow Semi Condensed" w:cs="Barlow Semi Condensed" w:eastAsia="Barlow Semi Condensed" w:hAnsi="Barlow Semi Condensed"/>
          <w:b/>
          <w:bCs/>
          <w:sz w:val="24"/>
          <w:szCs w:val="24"/>
        </w:rPr>
        <w:t xml:space="preserve">l'assenza di un documento dal rilascio non prova nulla sul suo contenuto</w:t>
      </w:r>
      <w:r>
        <w:rPr>
          <w:rFonts w:ascii="Barlow Semi Condensed" w:cs="Barlow Semi Condensed" w:eastAsia="Barlow Semi Condensed" w:hAnsi="Barlow Semi Condensed"/>
          <w:sz w:val="24"/>
          <w:szCs w:val="24"/>
        </w:rPr>
        <w:t xml:space="preserve"> — lo prova, semmai, la sua scheda di ritiro, che ne attesta l'esistenza senza rivelarlo. Non mescolare a questa pista le dichiarazioni postume dei protagonisti americani dell'epoca (per il consulente Pieczenik il corpus ha già il grado: fonte di parte, C): la pista lavora su serie archivistiche, non su memorie. </w:t>
      </w:r>
      <w:r>
        <w:rPr>
          <w:rFonts w:ascii="Barlow Semi Condensed" w:cs="Barlow Semi Condensed" w:eastAsia="Barlow Semi Condensed" w:hAnsi="Barlow Semi Condensed"/>
          <w:i/>
          <w:iCs/>
          <w:sz w:val="24"/>
          <w:szCs w:val="24"/>
        </w:rPr>
        <w:t xml:space="preserve">Chiusura:</w:t>
      </w:r>
      <w:r>
        <w:rPr>
          <w:rFonts w:ascii="Barlow Semi Condensed" w:cs="Barlow Semi Condensed" w:eastAsia="Barlow Semi Condensed" w:hAnsi="Barlow Semi Condensed"/>
          <w:sz w:val="24"/>
          <w:szCs w:val="24"/>
        </w:rPr>
        <w:t xml:space="preserve"> la tavola-censimento in tre colonne — libero / trattenuto / origine-alleata-in-Italia — con, per ogni trattenuto, l'identificativo della scheda di ritiro. In regime FOIA anche il diniego è un documento motivato: </w:t>
      </w:r>
      <w:r>
        <w:rPr>
          <w:rFonts w:ascii="Barlow Semi Condensed" w:cs="Barlow Semi Condensed" w:eastAsia="Barlow Semi Condensed" w:hAnsi="Barlow Semi Condensed"/>
          <w:b/>
          <w:bCs/>
          <w:sz w:val="24"/>
          <w:szCs w:val="24"/>
        </w:rPr>
        <w:t xml:space="preserve">qualunque esito, la pista produce carte</w:t>
      </w:r>
      <w:r>
        <w:rPr>
          <w:rFonts w:ascii="Barlow Semi Condensed" w:cs="Barlow Semi Condensed" w:eastAsia="Barlow Semi Condensed" w:hAnsi="Barlow Semi Condensed"/>
          <w:sz w:val="24"/>
          <w:szCs w:val="24"/>
        </w:rPr>
        <w:t xml:space="preserve"> — che è il criterio con cui ogni pista di questo programma è stata scritta.</w:t>
      </w:r>
    </w:p>
    <w:p>
      <w:pPr>
        <w:pStyle w:val="Heading2"/>
        <w:spacing w:after="100" w:before="200"/>
      </w:pPr>
      <w:r>
        <w:rPr>
          <w:rFonts w:ascii="Barlow Semi Condensed" w:cs="Barlow Semi Condensed" w:eastAsia="Barlow Semi Condensed" w:hAnsi="Barlow Semi Condensed"/>
          <w:sz w:val="24"/>
          <w:szCs w:val="24"/>
        </w:rPr>
        <w:t xml:space="preserve">Scheda PE-6 — Il registro delle segnalazioni: la colonna che manca da quarantott'anni</w:t>
      </w:r>
    </w:p>
    <w:p>
      <w:pPr>
        <w:pStyle w:val="Heading3"/>
        <w:spacing w:after="80" w:before="160"/>
      </w:pPr>
      <w:r>
        <w:rPr>
          <w:rFonts w:ascii="Barlow Semi Condensed" w:cs="Barlow Semi Condensed" w:eastAsia="Barlow Semi Condensed" w:hAnsi="Barlow Semi Condensed"/>
          <w:sz w:val="24"/>
          <w:szCs w:val="24"/>
        </w:rPr>
        <w:t xml:space="preserve">La macchina misurata a metà</w:t>
      </w:r>
    </w:p>
    <w:p>
      <w:pPr>
        <w:spacing w:after="120" w:line="276"/>
        <w:jc w:val="both"/>
      </w:pPr>
      <w:r>
        <w:rPr>
          <w:rFonts w:ascii="Barlow Semi Condensed" w:cs="Barlow Semi Condensed" w:eastAsia="Barlow Semi Condensed" w:hAnsi="Barlow Semi Condensed"/>
          <w:sz w:val="24"/>
          <w:szCs w:val="24"/>
        </w:rPr>
        <w:t xml:space="preserve">I numeri della macchina delle ricerche sono celebri e verificati: </w:t>
      </w:r>
      <w:r>
        <w:rPr>
          <w:rFonts w:ascii="Barlow Semi Condensed" w:cs="Barlow Semi Condensed" w:eastAsia="Barlow Semi Condensed" w:hAnsi="Barlow Semi Condensed"/>
          <w:b/>
          <w:bCs/>
          <w:sz w:val="24"/>
          <w:szCs w:val="24"/>
        </w:rPr>
        <w:t xml:space="preserve">72.460 posti di blocco</w:t>
      </w:r>
      <w:r>
        <w:rPr>
          <w:rFonts w:ascii="Barlow Semi Condensed" w:cs="Barlow Semi Condensed" w:eastAsia="Barlow Semi Condensed" w:hAnsi="Barlow Semi Condensed"/>
          <w:sz w:val="24"/>
          <w:szCs w:val="24"/>
        </w:rPr>
        <w:t xml:space="preserve"> (6.296 nell'area romana), </w:t>
      </w:r>
      <w:r>
        <w:rPr>
          <w:rFonts w:ascii="Barlow Semi Condensed" w:cs="Barlow Semi Condensed" w:eastAsia="Barlow Semi Condensed" w:hAnsi="Barlow Semi Condensed"/>
          <w:b/>
          <w:bCs/>
          <w:sz w:val="24"/>
          <w:szCs w:val="24"/>
        </w:rPr>
        <w:t xml:space="preserve">37.702 perquisizioni domiciliari</w:t>
      </w:r>
      <w:r>
        <w:rPr>
          <w:rFonts w:ascii="Barlow Semi Condensed" w:cs="Barlow Semi Condensed" w:eastAsia="Barlow Semi Condensed" w:hAnsi="Barlow Semi Condensed"/>
          <w:sz w:val="24"/>
          <w:szCs w:val="24"/>
        </w:rPr>
        <w:t xml:space="preserve"> (6.933 a Roma), </w:t>
      </w:r>
      <w:r>
        <w:rPr>
          <w:rFonts w:ascii="Barlow Semi Condensed" w:cs="Barlow Semi Condensed" w:eastAsia="Barlow Semi Condensed" w:hAnsi="Barlow Semi Condensed"/>
          <w:b/>
          <w:bCs/>
          <w:sz w:val="24"/>
          <w:szCs w:val="24"/>
        </w:rPr>
        <w:t xml:space="preserve">6.413.713 persone controllate</w:t>
      </w:r>
      <w:r>
        <w:rPr>
          <w:rFonts w:ascii="Barlow Semi Condensed" w:cs="Barlow Semi Condensed" w:eastAsia="Barlow Semi Condensed" w:hAnsi="Barlow Semi Condensed"/>
          <w:sz w:val="24"/>
          <w:szCs w:val="24"/>
        </w:rPr>
        <w:t xml:space="preserve"> (167.409 a Roma), </w:t>
      </w:r>
      <w:r>
        <w:rPr>
          <w:rFonts w:ascii="Barlow Semi Condensed" w:cs="Barlow Semi Condensed" w:eastAsia="Barlow Semi Condensed" w:hAnsi="Barlow Semi Condensed"/>
          <w:b/>
          <w:bCs/>
          <w:sz w:val="24"/>
          <w:szCs w:val="24"/>
        </w:rPr>
        <w:t xml:space="preserve">3.383.123 autoveicoli ispezionati</w:t>
      </w:r>
      <w:r>
        <w:rPr>
          <w:rFonts w:ascii="Barlow Semi Condensed" w:cs="Barlow Semi Condensed" w:eastAsia="Barlow Semi Condensed" w:hAnsi="Barlow Semi Condensed"/>
          <w:sz w:val="24"/>
          <w:szCs w:val="24"/>
        </w:rPr>
        <w:t xml:space="preserve"> (96.572 a Roma) (Wikipedia, </w:t>
      </w:r>
      <w:r>
        <w:rPr>
          <w:rFonts w:ascii="Barlow Semi Condensed" w:cs="Barlow Semi Condensed" w:eastAsia="Barlow Semi Condensed" w:hAnsi="Barlow Semi Condensed"/>
          <w:i/>
          <w:iCs/>
          <w:sz w:val="24"/>
          <w:szCs w:val="24"/>
        </w:rPr>
        <w:t xml:space="preserve">Cronaca del sequestro Moro</w:t>
      </w:r>
      <w:r>
        <w:rPr>
          <w:rFonts w:ascii="Barlow Semi Condensed" w:cs="Barlow Semi Condensed" w:eastAsia="Barlow Semi Condensed" w:hAnsi="Barlow Semi Condensed"/>
          <w:sz w:val="24"/>
          <w:szCs w:val="24"/>
        </w:rPr>
        <w:t xml:space="preserve"> (https://it.wikipedia.org/wiki/Cronaca_del_sequestro_Moro); parte della pubblicistica circola le sole cifre romane come totali — Panorama (https://www.panorama.it/sequestro-moro-perche-le-prime-ricerche-fallirono) — e la divergenza di lettura si dichiara). Ma queste sono tutte cifre di </w:t>
      </w:r>
      <w:r>
        <w:rPr>
          <w:rFonts w:ascii="Barlow Semi Condensed" w:cs="Barlow Semi Condensed" w:eastAsia="Barlow Semi Condensed" w:hAnsi="Barlow Semi Condensed"/>
          <w:b/>
          <w:bCs/>
          <w:sz w:val="24"/>
          <w:szCs w:val="24"/>
        </w:rPr>
        <w:t xml:space="preserve">uscita</w:t>
      </w:r>
      <w:r>
        <w:rPr>
          <w:rFonts w:ascii="Barlow Semi Condensed" w:cs="Barlow Semi Condensed" w:eastAsia="Barlow Semi Condensed" w:hAnsi="Barlow Semi Condensed"/>
          <w:sz w:val="24"/>
          <w:szCs w:val="24"/>
        </w:rPr>
        <w:t xml:space="preserve">: quanto lo Stato </w:t>
      </w:r>
      <w:r>
        <w:rPr>
          <w:rFonts w:ascii="Barlow Semi Condensed" w:cs="Barlow Semi Condensed" w:eastAsia="Barlow Semi Condensed" w:hAnsi="Barlow Semi Condensed"/>
          <w:i/>
          <w:iCs/>
          <w:sz w:val="24"/>
          <w:szCs w:val="24"/>
        </w:rPr>
        <w:t xml:space="preserve">fece</w:t>
      </w:r>
      <w:r>
        <w:rPr>
          <w:rFonts w:ascii="Barlow Semi Condensed" w:cs="Barlow Semi Condensed" w:eastAsia="Barlow Semi Condensed" w:hAnsi="Barlow Semi Condensed"/>
          <w:sz w:val="24"/>
          <w:szCs w:val="24"/>
        </w:rPr>
        <w:t xml:space="preserve">. La colonna d'</w:t>
      </w:r>
      <w:r>
        <w:rPr>
          <w:rFonts w:ascii="Barlow Semi Condensed" w:cs="Barlow Semi Condensed" w:eastAsia="Barlow Semi Condensed" w:hAnsi="Barlow Semi Condensed"/>
          <w:b/>
          <w:bCs/>
          <w:sz w:val="24"/>
          <w:szCs w:val="24"/>
        </w:rPr>
        <w:t xml:space="preserve">ingresso</w:t>
      </w:r>
      <w:r>
        <w:rPr>
          <w:rFonts w:ascii="Barlow Semi Condensed" w:cs="Barlow Semi Condensed" w:eastAsia="Barlow Semi Condensed" w:hAnsi="Barlow Semi Condensed"/>
          <w:sz w:val="24"/>
          <w:szCs w:val="24"/>
        </w:rPr>
        <w:t xml:space="preserve"> — </w:t>
      </w:r>
      <w:r>
        <w:rPr>
          <w:rFonts w:ascii="Barlow Semi Condensed" w:cs="Barlow Semi Condensed" w:eastAsia="Barlow Semi Condensed" w:hAnsi="Barlow Semi Condensed"/>
          <w:b/>
          <w:bCs/>
          <w:sz w:val="24"/>
          <w:szCs w:val="24"/>
        </w:rPr>
        <w:t xml:space="preserve">quante segnalazioni arrivarono, come furono protocollate, con quali criteri smistate, quante ebbero seguito</w:t>
      </w:r>
      <w:r>
        <w:rPr>
          <w:rFonts w:ascii="Barlow Semi Condensed" w:cs="Barlow Semi Condensed" w:eastAsia="Barlow Semi Condensed" w:hAnsi="Barlow Semi Condensed"/>
          <w:sz w:val="24"/>
          <w:szCs w:val="24"/>
        </w:rPr>
        <w:t xml:space="preserve"> — non ha una cifra canonica in nessuna relazione, di nessuna commissione, in quarantott'anni. La macchina più misurata della storia repubblicana è misurata a metà: si conosce il diluvio dei controlli, non il registro degli input che avrebbero dovuto orientarli. </w:t>
      </w:r>
      <w:r>
        <w:rPr>
          <w:rFonts w:ascii="Barlow Semi Condensed" w:cs="Barlow Semi Condensed" w:eastAsia="Barlow Semi Condensed" w:hAnsi="Barlow Semi Condensed"/>
          <w:b/>
          <w:bCs/>
          <w:sz w:val="24"/>
          <w:szCs w:val="24"/>
        </w:rPr>
        <w:t xml:space="preserve">Questa scheda esiste per costruire la colonna mancante.</w:t>
      </w:r>
    </w:p>
    <w:p>
      <w:pPr>
        <w:pStyle w:val="Heading3"/>
        <w:spacing w:after="80" w:before="160"/>
      </w:pPr>
      <w:r>
        <w:rPr>
          <w:rFonts w:ascii="Barlow Semi Condensed" w:cs="Barlow Semi Condensed" w:eastAsia="Barlow Semi Condensed" w:hAnsi="Barlow Semi Condensed"/>
          <w:sz w:val="24"/>
          <w:szCs w:val="24"/>
        </w:rPr>
        <w:t xml:space="preserve">I tre campioni documentati del flusso</w:t>
      </w:r>
    </w:p>
    <w:p>
      <w:pPr>
        <w:spacing w:after="120" w:line="276"/>
        <w:jc w:val="both"/>
      </w:pPr>
      <w:r>
        <w:rPr>
          <w:rFonts w:ascii="Barlow Semi Condensed" w:cs="Barlow Semi Condensed" w:eastAsia="Barlow Semi Condensed" w:hAnsi="Barlow Semi Condensed"/>
          <w:sz w:val="24"/>
          <w:szCs w:val="24"/>
        </w:rPr>
        <w:t xml:space="preserve">Il registro non parte da zero: il corpus possiede già tre casi-campione, uno per ciascun segmento del flusso.</w:t>
      </w:r>
    </w:p>
    <w:p>
      <w:pPr>
        <w:spacing w:after="40"/>
        <w:ind w:left="360"/>
        <w:jc w:val="both"/>
      </w:pPr>
      <w:r>
        <w:rPr>
          <w:rFonts w:ascii="Barlow Semi Condensed" w:cs="Barlow Semi Condensed" w:eastAsia="Barlow Semi Condensed" w:hAnsi="Barlow Semi Condensed"/>
          <w:sz w:val="24"/>
          <w:szCs w:val="24"/>
        </w:rPr>
        <w:t xml:space="preserve">1. </w:t>
      </w:r>
      <w:r>
        <w:rPr>
          <w:rFonts w:ascii="Barlow Semi Condensed" w:cs="Barlow Semi Condensed" w:eastAsia="Barlow Semi Condensed" w:hAnsi="Barlow Semi Condensed"/>
          <w:b/>
          <w:bCs/>
          <w:sz w:val="24"/>
          <w:szCs w:val="24"/>
        </w:rPr>
        <w:t xml:space="preserve">Ingresso riuscito, uscita fallita — la nota Mokbel</w:t>
      </w:r>
      <w:r>
        <w:rPr>
          <w:rFonts w:ascii="Barlow Semi Condensed" w:cs="Barlow Semi Condensed" w:eastAsia="Barlow Semi Condensed" w:hAnsi="Barlow Semi Condensed"/>
          <w:sz w:val="24"/>
          <w:szCs w:val="24"/>
        </w:rPr>
        <w:t xml:space="preserve"> (PE-3): la segnalazione entrò, fu protocollata, generò un controllo; il controllo si fermò a un campanello e non ebbe ritorno. Il sistema funzionava </w:t>
      </w:r>
      <w:r>
        <w:rPr>
          <w:rFonts w:ascii="Barlow Semi Condensed" w:cs="Barlow Semi Condensed" w:eastAsia="Barlow Semi Condensed" w:hAnsi="Barlow Semi Condensed"/>
          <w:i/>
          <w:iCs/>
          <w:sz w:val="24"/>
          <w:szCs w:val="24"/>
        </w:rPr>
        <w:t xml:space="preserve">in ingresso</w:t>
      </w:r>
      <w:r>
        <w:rPr>
          <w:rFonts w:ascii="Barlow Semi Condensed" w:cs="Barlow Semi Condensed" w:eastAsia="Barlow Semi Condensed" w:hAnsi="Barlow Semi Condensed"/>
          <w:sz w:val="24"/>
          <w:szCs w:val="24"/>
        </w:rPr>
        <w:t xml:space="preserve">; il quesito è </w:t>
      </w:r>
      <w:r>
        <w:rPr>
          <w:rFonts w:ascii="Barlow Semi Condensed" w:cs="Barlow Semi Condensed" w:eastAsia="Barlow Semi Condensed" w:hAnsi="Barlow Semi Condensed"/>
          <w:i/>
          <w:iCs/>
          <w:sz w:val="24"/>
          <w:szCs w:val="24"/>
        </w:rPr>
        <w:t xml:space="preserve">l'uscita</w:t>
      </w:r>
      <w:r>
        <w:rPr>
          <w:rFonts w:ascii="Barlow Semi Condensed" w:cs="Barlow Semi Condensed" w:eastAsia="Barlow Semi Condensed" w:hAnsi="Barlow Semi Condensed"/>
          <w:sz w:val="24"/>
          <w:szCs w:val="24"/>
        </w:rPr>
        <w:t xml:space="preserve">.</w:t>
      </w:r>
    </w:p>
    <w:p>
      <w:pPr>
        <w:spacing w:after="40"/>
        <w:ind w:left="360"/>
        <w:jc w:val="both"/>
      </w:pPr>
      <w:r>
        <w:rPr>
          <w:rFonts w:ascii="Barlow Semi Condensed" w:cs="Barlow Semi Condensed" w:eastAsia="Barlow Semi Condensed" w:hAnsi="Barlow Semi Condensed"/>
          <w:sz w:val="24"/>
          <w:szCs w:val="24"/>
        </w:rPr>
        <w:t xml:space="preserve">2. </w:t>
      </w:r>
      <w:r>
        <w:rPr>
          <w:rFonts w:ascii="Barlow Semi Condensed" w:cs="Barlow Semi Condensed" w:eastAsia="Barlow Semi Condensed" w:hAnsi="Barlow Semi Condensed"/>
          <w:b/>
          <w:bCs/>
          <w:sz w:val="24"/>
          <w:szCs w:val="24"/>
        </w:rPr>
        <w:t xml:space="preserve">Ingresso anomalo, uscita letterale — la «seduta» di Zappolino</w:t>
      </w:r>
      <w:r>
        <w:rPr>
          <w:rFonts w:ascii="Barlow Semi Condensed" w:cs="Barlow Semi Condensed" w:eastAsia="Barlow Semi Condensed" w:hAnsi="Barlow Semi Condensed"/>
          <w:sz w:val="24"/>
          <w:szCs w:val="24"/>
        </w:rPr>
        <w:t xml:space="preserve"> (PN-4): la segnalazione più strana dei 55 giorni fu presa sul serio, ma l'uscita andò al </w:t>
      </w:r>
      <w:r>
        <w:rPr>
          <w:rFonts w:ascii="Barlow Semi Condensed" w:cs="Barlow Semi Condensed" w:eastAsia="Barlow Semi Condensed" w:hAnsi="Barlow Semi Condensed"/>
          <w:i/>
          <w:iCs/>
          <w:sz w:val="24"/>
          <w:szCs w:val="24"/>
        </w:rPr>
        <w:t xml:space="preserve">paese</w:t>
      </w:r>
      <w:r>
        <w:rPr>
          <w:rFonts w:ascii="Barlow Semi Condensed" w:cs="Barlow Semi Condensed" w:eastAsia="Barlow Semi Condensed" w:hAnsi="Barlow Semi Condensed"/>
          <w:sz w:val="24"/>
          <w:szCs w:val="24"/>
        </w:rPr>
        <w:t xml:space="preserve"> di Gradoli e non alla via omonima di Roma: lo smistamento eseguì la lettera dell'input, non la sua verifica.</w:t>
      </w:r>
    </w:p>
    <w:p>
      <w:pPr>
        <w:spacing w:after="40"/>
        <w:ind w:left="360"/>
        <w:jc w:val="both"/>
      </w:pPr>
      <w:r>
        <w:rPr>
          <w:rFonts w:ascii="Barlow Semi Condensed" w:cs="Barlow Semi Condensed" w:eastAsia="Barlow Semi Condensed" w:hAnsi="Barlow Semi Condensed"/>
          <w:sz w:val="24"/>
          <w:szCs w:val="24"/>
        </w:rPr>
        <w:t xml:space="preserve">3. </w:t>
      </w:r>
      <w:r>
        <w:rPr>
          <w:rFonts w:ascii="Barlow Semi Condensed" w:cs="Barlow Semi Condensed" w:eastAsia="Barlow Semi Condensed" w:hAnsi="Barlow Semi Condensed"/>
          <w:b/>
          <w:bCs/>
          <w:sz w:val="24"/>
          <w:szCs w:val="24"/>
        </w:rPr>
        <w:t xml:space="preserve">Il flusso verso la magistratura — via Montalcini</w:t>
      </w:r>
      <w:r>
        <w:rPr>
          <w:rFonts w:ascii="Barlow Semi Condensed" w:cs="Barlow Semi Condensed" w:eastAsia="Barlow Semi Condensed" w:hAnsi="Barlow Semi Condensed"/>
          <w:sz w:val="24"/>
          <w:szCs w:val="24"/>
        </w:rPr>
        <w:t xml:space="preserve"> (il campione verificato per questa scheda): fra l'estate e l'ottobre del </w:t>
      </w:r>
      <w:r>
        <w:rPr>
          <w:rFonts w:ascii="Barlow Semi Condensed" w:cs="Barlow Semi Condensed" w:eastAsia="Barlow Semi Condensed" w:hAnsi="Barlow Semi Condensed"/>
          <w:b/>
          <w:bCs/>
          <w:sz w:val="24"/>
          <w:szCs w:val="24"/>
        </w:rPr>
        <w:t xml:space="preserve">1978</w:t>
      </w:r>
      <w:r>
        <w:rPr>
          <w:rFonts w:ascii="Barlow Semi Condensed" w:cs="Barlow Semi Condensed" w:eastAsia="Barlow Semi Condensed" w:hAnsi="Barlow Semi Condensed"/>
          <w:sz w:val="24"/>
          <w:szCs w:val="24"/>
        </w:rPr>
        <w:t xml:space="preserve"> l'ufficio politico della questura di Roma (UCIGOS) condusse </w:t>
      </w:r>
      <w:r>
        <w:rPr>
          <w:rFonts w:ascii="Barlow Semi Condensed" w:cs="Barlow Semi Condensed" w:eastAsia="Barlow Semi Condensed" w:hAnsi="Barlow Semi Condensed"/>
          <w:b/>
          <w:bCs/>
          <w:sz w:val="24"/>
          <w:szCs w:val="24"/>
        </w:rPr>
        <w:t xml:space="preserve">accertamenti continuativi sull'appartamento di via Montalcini 8</w:t>
      </w:r>
      <w:r>
        <w:rPr>
          <w:rFonts w:ascii="Barlow Semi Condensed" w:cs="Barlow Semi Condensed" w:eastAsia="Barlow Semi Condensed" w:hAnsi="Barlow Semi Condensed"/>
          <w:sz w:val="24"/>
          <w:szCs w:val="24"/>
        </w:rPr>
        <w:t xml:space="preserve"> — quello che i processi avrebbero poi accertato come l'unica prigione — e sulla sua proprietaria; l'osservazione, non impercettibile, fu notata dall'interessata, che nel giro di pochi mesi vendette e si trasferì; e </w:t>
      </w:r>
      <w:r>
        <w:rPr>
          <w:rFonts w:ascii="Barlow Semi Condensed" w:cs="Barlow Semi Condensed" w:eastAsia="Barlow Semi Condensed" w:hAnsi="Barlow Semi Condensed"/>
          <w:b/>
          <w:bCs/>
          <w:sz w:val="24"/>
          <w:szCs w:val="24"/>
        </w:rPr>
        <w:t xml:space="preserve">non fu riferita alla magistratura per due anni</w:t>
      </w:r>
      <w:r>
        <w:rPr>
          <w:rFonts w:ascii="Barlow Semi Condensed" w:cs="Barlow Semi Condensed" w:eastAsia="Barlow Semi Condensed" w:hAnsi="Barlow Semi Condensed"/>
          <w:sz w:val="24"/>
          <w:szCs w:val="24"/>
        </w:rPr>
        <w:t xml:space="preserve"> (SEDICidiMARZO, «L'enigma di via Montalcini 8» (http://www.sedicidimarzo.org/2018/01/lenigma-di-via-montalcini-8.html) e seconda parte (http://www.sedicidimarzo.org/2018/01/lenigma-di-via-montalcini-8-seconda.html)). Qui il flusso fallito non è ingresso né smistamento: è la </w:t>
      </w:r>
      <w:r>
        <w:rPr>
          <w:rFonts w:ascii="Barlow Semi Condensed" w:cs="Barlow Semi Condensed" w:eastAsia="Barlow Semi Condensed" w:hAnsi="Barlow Semi Condensed"/>
          <w:b/>
          <w:bCs/>
          <w:sz w:val="24"/>
          <w:szCs w:val="24"/>
        </w:rPr>
        <w:t xml:space="preserve">trasmissione all'autorità giudiziaria</w:t>
      </w:r>
      <w:r>
        <w:rPr>
          <w:rFonts w:ascii="Barlow Semi Condensed" w:cs="Barlow Semi Condensed" w:eastAsia="Barlow Semi Condensed" w:hAnsi="Barlow Semi Condensed"/>
          <w:sz w:val="24"/>
          <w:szCs w:val="24"/>
        </w:rPr>
        <w:t xml:space="preserve"> — il terzo segmento, e il più grave, perché tocca la separazione dei poteri.</w:t>
      </w:r>
    </w:p>
    <w:p>
      <w:pPr>
        <w:pStyle w:val="Heading3"/>
        <w:spacing w:after="80" w:before="160"/>
      </w:pPr>
      <w:r>
        <w:rPr>
          <w:rFonts w:ascii="Barlow Semi Condensed" w:cs="Barlow Semi Condensed" w:eastAsia="Barlow Semi Condensed" w:hAnsi="Barlow Semi Condensed"/>
          <w:sz w:val="24"/>
          <w:szCs w:val="24"/>
        </w:rPr>
        <w:t xml:space="preserve">Il quesito: la verifica empirica dell'accertamento Anselmi</w:t>
      </w:r>
    </w:p>
    <w:p>
      <w:pPr>
        <w:spacing w:after="120" w:line="276"/>
        <w:jc w:val="both"/>
      </w:pPr>
      <w:r>
        <w:rPr>
          <w:rFonts w:ascii="Barlow Semi Condensed" w:cs="Barlow Semi Condensed" w:eastAsia="Barlow Semi Condensed" w:hAnsi="Barlow Semi Condensed"/>
          <w:sz w:val="24"/>
          <w:szCs w:val="24"/>
        </w:rPr>
        <w:t xml:space="preserve">I tre campioni convergono su un disegno che una commissione ha già qualificato in generale: l'accertamento Anselmi sulla </w:t>
      </w:r>
      <w:r>
        <w:rPr>
          <w:rFonts w:ascii="Barlow Semi Condensed" w:cs="Barlow Semi Condensed" w:eastAsia="Barlow Semi Condensed" w:hAnsi="Barlow Semi Condensed"/>
          <w:b/>
          <w:bCs/>
          <w:sz w:val="24"/>
          <w:szCs w:val="24"/>
        </w:rPr>
        <w:t xml:space="preserve">concentrazione di fatto delle indagini al Viminale e sulla menomazione dell'autonomia dell'autorità giudiziaria</w:t>
      </w:r>
      <w:r>
        <w:rPr>
          <w:rFonts w:ascii="Barlow Semi Condensed" w:cs="Barlow Semi Condensed" w:eastAsia="Barlow Semi Condensed" w:hAnsi="Barlow Semi Condensed"/>
          <w:sz w:val="24"/>
          <w:szCs w:val="24"/>
        </w:rPr>
        <w:t xml:space="preserve"> (grado B, cfr. Scheda PE-1). Il registro delle segnalazioni è </w:t>
      </w:r>
      <w:r>
        <w:rPr>
          <w:rFonts w:ascii="Barlow Semi Condensed" w:cs="Barlow Semi Condensed" w:eastAsia="Barlow Semi Condensed" w:hAnsi="Barlow Semi Condensed"/>
          <w:b/>
          <w:bCs/>
          <w:sz w:val="24"/>
          <w:szCs w:val="24"/>
        </w:rPr>
        <w:t xml:space="preserve">il test empirico di quell'accertamento</w:t>
      </w:r>
      <w:r>
        <w:rPr>
          <w:rFonts w:ascii="Barlow Semi Condensed" w:cs="Barlow Semi Condensed" w:eastAsia="Barlow Semi Condensed" w:hAnsi="Barlow Semi Condensed"/>
          <w:sz w:val="24"/>
          <w:szCs w:val="24"/>
        </w:rPr>
        <w:t xml:space="preserve">: se la statistica documentale mostrasse che il flusso si interrompeva sistematicamente </w:t>
      </w:r>
      <w:r>
        <w:rPr>
          <w:rFonts w:ascii="Barlow Semi Condensed" w:cs="Barlow Semi Condensed" w:eastAsia="Barlow Semi Condensed" w:hAnsi="Barlow Semi Condensed"/>
          <w:i/>
          <w:iCs/>
          <w:sz w:val="24"/>
          <w:szCs w:val="24"/>
        </w:rPr>
        <w:t xml:space="preserve">fra gli apparati e la magistratura</w:t>
      </w:r>
      <w:r>
        <w:rPr>
          <w:rFonts w:ascii="Barlow Semi Condensed" w:cs="Barlow Semi Condensed" w:eastAsia="Barlow Semi Condensed" w:hAnsi="Barlow Semi Condensed"/>
          <w:sz w:val="24"/>
          <w:szCs w:val="24"/>
        </w:rPr>
        <w:t xml:space="preserve"> — come nei campioni Montalcini e Gradoli — l'accertamento generale diventerebbe misura; se mostrasse interruzioni distribuite e casuali, la spiegazione della negligenza da sovraccarico (sei milioni di persone controllate in 55 giorni) ne uscirebbe rafforzata. È un quesito ACH in forma statistica: </w:t>
      </w:r>
      <w:r>
        <w:rPr>
          <w:rFonts w:ascii="Barlow Semi Condensed" w:cs="Barlow Semi Condensed" w:eastAsia="Barlow Semi Condensed" w:hAnsi="Barlow Semi Condensed"/>
          <w:i/>
          <w:iCs/>
          <w:sz w:val="24"/>
          <w:szCs w:val="24"/>
        </w:rPr>
        <w:t xml:space="preserve">H1</w:t>
      </w:r>
      <w:r>
        <w:rPr>
          <w:rFonts w:ascii="Barlow Semi Condensed" w:cs="Barlow Semi Condensed" w:eastAsia="Barlow Semi Condensed" w:hAnsi="Barlow Semi Condensed"/>
          <w:sz w:val="24"/>
          <w:szCs w:val="24"/>
        </w:rPr>
        <w:t xml:space="preserve"> il collo di bottiglia da diluvio (interruzioni casuali, distribuite su tutti i segmenti); </w:t>
      </w:r>
      <w:r>
        <w:rPr>
          <w:rFonts w:ascii="Barlow Semi Condensed" w:cs="Barlow Semi Condensed" w:eastAsia="Barlow Semi Condensed" w:hAnsi="Barlow Semi Condensed"/>
          <w:i/>
          <w:iCs/>
          <w:sz w:val="24"/>
          <w:szCs w:val="24"/>
        </w:rPr>
        <w:t xml:space="preserve">H2</w:t>
      </w:r>
      <w:r>
        <w:rPr>
          <w:rFonts w:ascii="Barlow Semi Condensed" w:cs="Barlow Semi Condensed" w:eastAsia="Barlow Semi Condensed" w:hAnsi="Barlow Semi Condensed"/>
          <w:sz w:val="24"/>
          <w:szCs w:val="24"/>
        </w:rPr>
        <w:t xml:space="preserve"> il filtro sistematico (interruzioni concentrate sul segmento verso l'AG). </w:t>
      </w:r>
      <w:r>
        <w:rPr>
          <w:rFonts w:ascii="Barlow Semi Condensed" w:cs="Barlow Semi Condensed" w:eastAsia="Barlow Semi Condensed" w:hAnsi="Barlow Semi Condensed"/>
          <w:b/>
          <w:bCs/>
          <w:sz w:val="24"/>
          <w:szCs w:val="24"/>
        </w:rPr>
        <w:t xml:space="preserve">Evidenza discriminante: la distribuzione</w:t>
      </w:r>
      <w:r>
        <w:rPr>
          <w:rFonts w:ascii="Barlow Semi Condensed" w:cs="Barlow Semi Condensed" w:eastAsia="Barlow Semi Condensed" w:hAnsi="Barlow Semi Condensed"/>
          <w:sz w:val="24"/>
          <w:szCs w:val="24"/>
        </w:rPr>
        <w:t xml:space="preserve">, che solo il registro può dare.</w:t>
      </w:r>
    </w:p>
    <w:p>
      <w:pPr>
        <w:pStyle w:val="Heading3"/>
        <w:spacing w:after="80" w:before="160"/>
      </w:pPr>
      <w:r>
        <w:rPr>
          <w:rFonts w:ascii="Barlow Semi Condensed" w:cs="Barlow Semi Condensed" w:eastAsia="Barlow Semi Condensed" w:hAnsi="Barlow Semi Condensed"/>
          <w:sz w:val="24"/>
          <w:szCs w:val="24"/>
        </w:rPr>
        <w:t xml:space="preserve">L'atto raffinato, in quattro passi</w:t>
      </w:r>
    </w:p>
    <w:p>
      <w:pPr>
        <w:spacing w:after="120" w:line="276"/>
        <w:jc w:val="both"/>
      </w:pPr>
      <w:r>
        <w:rPr>
          <w:rFonts w:ascii="Barlow Semi Condensed" w:cs="Barlow Semi Condensed" w:eastAsia="Barlow Semi Condensed" w:hAnsi="Barlow Semi Condensed"/>
          <w:i/>
          <w:iCs/>
          <w:sz w:val="24"/>
          <w:szCs w:val="24"/>
        </w:rPr>
        <w:t xml:space="preserve">(a)</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b/>
          <w:bCs/>
          <w:sz w:val="24"/>
          <w:szCs w:val="24"/>
        </w:rPr>
        <w:t xml:space="preserve">Il censimento dei protocolli d'ingresso</w:t>
      </w:r>
      <w:r>
        <w:rPr>
          <w:rFonts w:ascii="Barlow Semi Condensed" w:cs="Barlow Semi Condensed" w:eastAsia="Barlow Semi Condensed" w:hAnsi="Barlow Semi Condensed"/>
          <w:sz w:val="24"/>
          <w:szCs w:val="24"/>
        </w:rPr>
        <w:t xml:space="preserve">: i registri di protocollo di UCIGOS, questure e prefetture per il 16 marzo – 9 maggio 1978, nei versamenti del Viminale al fondo Direttiva Renzi — l'unità di conto è la singola segnalazione protocollata. </w:t>
      </w:r>
      <w:r>
        <w:rPr>
          <w:rFonts w:ascii="Barlow Semi Condensed" w:cs="Barlow Semi Condensed" w:eastAsia="Barlow Semi Condensed" w:hAnsi="Barlow Semi Condensed"/>
          <w:i/>
          <w:iCs/>
          <w:sz w:val="24"/>
          <w:szCs w:val="24"/>
        </w:rPr>
        <w:t xml:space="preserve">(b)</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b/>
          <w:bCs/>
          <w:sz w:val="24"/>
          <w:szCs w:val="24"/>
        </w:rPr>
        <w:t xml:space="preserve">La ricostruzione dei criteri di smistamento</w:t>
      </w:r>
      <w:r>
        <w:rPr>
          <w:rFonts w:ascii="Barlow Semi Condensed" w:cs="Barlow Semi Condensed" w:eastAsia="Barlow Semi Condensed" w:hAnsi="Barlow Semi Condensed"/>
          <w:sz w:val="24"/>
          <w:szCs w:val="24"/>
        </w:rPr>
        <w:t xml:space="preserve">: le disposizioni interne sul trattamento delle segnalazioni (chi decideva il seguito, con quale priorità, con quale obbligo di ritorno). </w:t>
      </w:r>
      <w:r>
        <w:rPr>
          <w:rFonts w:ascii="Barlow Semi Condensed" w:cs="Barlow Semi Condensed" w:eastAsia="Barlow Semi Condensed" w:hAnsi="Barlow Semi Condensed"/>
          <w:i/>
          <w:iCs/>
          <w:sz w:val="24"/>
          <w:szCs w:val="24"/>
        </w:rPr>
        <w:t xml:space="preserve">(c)</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b/>
          <w:bCs/>
          <w:sz w:val="24"/>
          <w:szCs w:val="24"/>
        </w:rPr>
        <w:t xml:space="preserve">La tavola degli esiti</w:t>
      </w:r>
      <w:r>
        <w:rPr>
          <w:rFonts w:ascii="Barlow Semi Condensed" w:cs="Barlow Semi Condensed" w:eastAsia="Barlow Semi Condensed" w:hAnsi="Barlow Semi Condensed"/>
          <w:sz w:val="24"/>
          <w:szCs w:val="24"/>
        </w:rPr>
        <w:t xml:space="preserve">: per campione statistico se il fondo è troppo vasto — segnalazione per segnalazione: protocollata / smistata / seguita / con ritorno / trasmessa all'AG. </w:t>
      </w:r>
      <w:r>
        <w:rPr>
          <w:rFonts w:ascii="Barlow Semi Condensed" w:cs="Barlow Semi Condensed" w:eastAsia="Barlow Semi Condensed" w:hAnsi="Barlow Semi Condensed"/>
          <w:i/>
          <w:iCs/>
          <w:sz w:val="24"/>
          <w:szCs w:val="24"/>
        </w:rPr>
        <w:t xml:space="preserve">(d)</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b/>
          <w:bCs/>
          <w:sz w:val="24"/>
          <w:szCs w:val="24"/>
        </w:rPr>
        <w:t xml:space="preserve">Il registro dei casi di mancata trasmissione alla magistratura</w:t>
      </w:r>
      <w:r>
        <w:rPr>
          <w:rFonts w:ascii="Barlow Semi Condensed" w:cs="Barlow Semi Condensed" w:eastAsia="Barlow Semi Condensed" w:hAnsi="Barlow Semi Condensed"/>
          <w:sz w:val="24"/>
          <w:szCs w:val="24"/>
        </w:rPr>
        <w:t xml:space="preserve">, con Montalcini e il 18 marzo di Gradoli come primi item: è la lista che trasforma episodi celebri in una serie documentale, e la serie in una distribuzione.</w:t>
      </w:r>
    </w:p>
    <w:p>
      <w:pPr>
        <w:pStyle w:val="Heading3"/>
        <w:spacing w:after="80" w:before="160"/>
      </w:pPr>
      <w:r>
        <w:rPr>
          <w:rFonts w:ascii="Barlow Semi Condensed" w:cs="Barlow Semi Condensed" w:eastAsia="Barlow Semi Condensed" w:hAnsi="Barlow Semi Condensed"/>
          <w:sz w:val="24"/>
          <w:szCs w:val="24"/>
        </w:rPr>
        <w:t xml:space="preserve">Errori da non ripetere, e criterio di chiusura</w:t>
      </w:r>
    </w:p>
    <w:p>
      <w:pPr>
        <w:spacing w:after="120" w:line="276"/>
        <w:jc w:val="both"/>
      </w:pPr>
      <w:r>
        <w:rPr>
          <w:rFonts w:ascii="Barlow Semi Condensed" w:cs="Barlow Semi Condensed" w:eastAsia="Barlow Semi Condensed" w:hAnsi="Barlow Semi Condensed"/>
          <w:sz w:val="24"/>
          <w:szCs w:val="24"/>
        </w:rPr>
        <w:t xml:space="preserve">Non usare il diluvio come alibi né come accusa: sei milioni di controlli spiegano </w:t>
      </w:r>
      <w:r>
        <w:rPr>
          <w:rFonts w:ascii="Barlow Semi Condensed" w:cs="Barlow Semi Condensed" w:eastAsia="Barlow Semi Condensed" w:hAnsi="Barlow Semi Condensed"/>
          <w:i/>
          <w:iCs/>
          <w:sz w:val="24"/>
          <w:szCs w:val="24"/>
        </w:rPr>
        <w:t xml:space="preserve">statisticamente</w:t>
      </w:r>
      <w:r>
        <w:rPr>
          <w:rFonts w:ascii="Barlow Semi Condensed" w:cs="Barlow Semi Condensed" w:eastAsia="Barlow Semi Condensed" w:hAnsi="Barlow Semi Condensed"/>
          <w:sz w:val="24"/>
          <w:szCs w:val="24"/>
        </w:rPr>
        <w:t xml:space="preserve"> la possibilità della negligenza e, insieme, rendono </w:t>
      </w:r>
      <w:r>
        <w:rPr>
          <w:rFonts w:ascii="Barlow Semi Condensed" w:cs="Barlow Semi Condensed" w:eastAsia="Barlow Semi Condensed" w:hAnsi="Barlow Semi Condensed"/>
          <w:i/>
          <w:iCs/>
          <w:sz w:val="24"/>
          <w:szCs w:val="24"/>
        </w:rPr>
        <w:t xml:space="preserve">misurabile</w:t>
      </w:r>
      <w:r>
        <w:rPr>
          <w:rFonts w:ascii="Barlow Semi Condensed" w:cs="Barlow Semi Condensed" w:eastAsia="Barlow Semi Condensed" w:hAnsi="Barlow Semi Condensed"/>
          <w:sz w:val="24"/>
          <w:szCs w:val="24"/>
        </w:rPr>
        <w:t xml:space="preserve"> l'anomalia — una nota con un indirizzo esatto pesa più di mille segnalazioni generiche, e il registro deve pesare, non solo contare. Non processare i funzionari del flusso: la scheda censisce protocolli, non condotte, e ogni qualificazione spetterebbe alle autorità. Non dimenticare che il registro è </w:t>
      </w:r>
      <w:r>
        <w:rPr>
          <w:rFonts w:ascii="Barlow Semi Condensed" w:cs="Barlow Semi Condensed" w:eastAsia="Barlow Semi Condensed" w:hAnsi="Barlow Semi Condensed"/>
          <w:i/>
          <w:iCs/>
          <w:sz w:val="24"/>
          <w:szCs w:val="24"/>
        </w:rPr>
        <w:t xml:space="preserve">duale</w:t>
      </w:r>
      <w:r>
        <w:rPr>
          <w:rFonts w:ascii="Barlow Semi Condensed" w:cs="Barlow Semi Condensed" w:eastAsia="Barlow Semi Condensed" w:hAnsi="Barlow Semi Condensed"/>
          <w:sz w:val="24"/>
          <w:szCs w:val="24"/>
        </w:rPr>
        <w:t xml:space="preserve">: misura le omissioni e insieme riabilita — ogni segnalazione che risulti correttamente lavorata è un pezzo di apparato che fece il suo dovere nel diluvio, e anche questo il registro lo mostrerà. </w:t>
      </w:r>
      <w:r>
        <w:rPr>
          <w:rFonts w:ascii="Barlow Semi Condensed" w:cs="Barlow Semi Condensed" w:eastAsia="Barlow Semi Condensed" w:hAnsi="Barlow Semi Condensed"/>
          <w:i/>
          <w:iCs/>
          <w:sz w:val="24"/>
          <w:szCs w:val="24"/>
        </w:rPr>
        <w:t xml:space="preserve">Chiusura:</w:t>
      </w:r>
      <w:r>
        <w:rPr>
          <w:rFonts w:ascii="Barlow Semi Condensed" w:cs="Barlow Semi Condensed" w:eastAsia="Barlow Semi Condensed" w:hAnsi="Barlow Semi Condensed"/>
          <w:sz w:val="24"/>
          <w:szCs w:val="24"/>
        </w:rPr>
        <w:t xml:space="preserve"> la </w:t>
      </w:r>
      <w:r>
        <w:rPr>
          <w:rFonts w:ascii="Barlow Semi Condensed" w:cs="Barlow Semi Condensed" w:eastAsia="Barlow Semi Condensed" w:hAnsi="Barlow Semi Condensed"/>
          <w:b/>
          <w:bCs/>
          <w:sz w:val="24"/>
          <w:szCs w:val="24"/>
        </w:rPr>
        <w:t xml:space="preserve">statistica documentale del tasso di seguito</w:t>
      </w:r>
      <w:r>
        <w:rPr>
          <w:rFonts w:ascii="Barlow Semi Condensed" w:cs="Barlow Semi Condensed" w:eastAsia="Barlow Semi Condensed" w:hAnsi="Barlow Semi Condensed"/>
          <w:sz w:val="24"/>
          <w:szCs w:val="24"/>
        </w:rPr>
        <w:t xml:space="preserve"> — la colonna d'ingresso accostata finalmente alle quattro colonne d'uscita — e la </w:t>
      </w:r>
      <w:r>
        <w:rPr>
          <w:rFonts w:ascii="Barlow Semi Condensed" w:cs="Barlow Semi Condensed" w:eastAsia="Barlow Semi Condensed" w:hAnsi="Barlow Semi Condensed"/>
          <w:b/>
          <w:bCs/>
          <w:sz w:val="24"/>
          <w:szCs w:val="24"/>
        </w:rPr>
        <w:t xml:space="preserve">distribuzione delle interruzioni per segmento</w:t>
      </w:r>
      <w:r>
        <w:rPr>
          <w:rFonts w:ascii="Barlow Semi Condensed" w:cs="Barlow Semi Condensed" w:eastAsia="Barlow Semi Condensed" w:hAnsi="Barlow Semi Condensed"/>
          <w:sz w:val="24"/>
          <w:szCs w:val="24"/>
        </w:rPr>
        <w:t xml:space="preserve">, che decide fra H1 e H2. È l'ultima tavola che manca alla contabilità dei 55 giorni; ed è, come tutte le piste di questo programma, interamente fatta di carte che </w:t>
      </w:r>
      <w:r>
        <w:rPr>
          <w:rFonts w:ascii="Barlow Semi Condensed" w:cs="Barlow Semi Condensed" w:eastAsia="Barlow Semi Condensed" w:hAnsi="Barlow Semi Condensed"/>
          <w:i/>
          <w:iCs/>
          <w:sz w:val="24"/>
          <w:szCs w:val="24"/>
        </w:rPr>
        <w:t xml:space="preserve">devono</w:t>
      </w:r>
      <w:r>
        <w:rPr>
          <w:rFonts w:ascii="Barlow Semi Condensed" w:cs="Barlow Semi Condensed" w:eastAsia="Barlow Semi Condensed" w:hAnsi="Barlow Semi Condensed"/>
          <w:sz w:val="24"/>
          <w:szCs w:val="24"/>
        </w:rPr>
        <w:t xml:space="preserve"> esistere: un protocollo, per definizione, o c'è — o la sua assenza è il dato.</w:t>
      </w:r>
    </w:p>
    <w:p>
      <w:pPr>
        <w:pStyle w:val="Heading2"/>
        <w:spacing w:after="100" w:before="200"/>
      </w:pPr>
      <w:r>
        <w:rPr>
          <w:rFonts w:ascii="Barlow Semi Condensed" w:cs="Barlow Semi Condensed" w:eastAsia="Barlow Semi Condensed" w:hAnsi="Barlow Semi Condensed"/>
          <w:sz w:val="24"/>
          <w:szCs w:val="24"/>
        </w:rPr>
        <w:t xml:space="preserve">La lezione delle schede</w:t>
      </w:r>
    </w:p>
    <w:p>
      <w:pPr>
        <w:spacing w:after="120" w:line="276"/>
        <w:jc w:val="both"/>
      </w:pPr>
      <w:r>
        <w:rPr>
          <w:rFonts w:ascii="Barlow Semi Condensed" w:cs="Barlow Semi Condensed" w:eastAsia="Barlow Semi Condensed" w:hAnsi="Barlow Semi Condensed"/>
          <w:sz w:val="24"/>
          <w:szCs w:val="24"/>
        </w:rPr>
        <w:t xml:space="preserve">Le piste del capitolo entità condividono una struttura che l'approfondimento ha reso visibile: in tutte, </w:t>
      </w:r>
      <w:r>
        <w:rPr>
          <w:rFonts w:ascii="Barlow Semi Condensed" w:cs="Barlow Semi Condensed" w:eastAsia="Barlow Semi Condensed" w:hAnsi="Barlow Semi Condensed"/>
          <w:b/>
          <w:bCs/>
          <w:sz w:val="24"/>
          <w:szCs w:val="24"/>
        </w:rPr>
        <w:t xml:space="preserve">il quesito non è mai «chi è colpevole» ma «dove sono le carte di un procedimento che esiste per definizione»</w:t>
      </w:r>
      <w:r>
        <w:rPr>
          <w:rFonts w:ascii="Barlow Semi Condensed" w:cs="Barlow Semi Condensed" w:eastAsia="Barlow Semi Condensed" w:hAnsi="Barlow Semi Condensed"/>
          <w:sz w:val="24"/>
          <w:szCs w:val="24"/>
        </w:rPr>
        <w:t xml:space="preserve"> — un comitato produce verbali, una nota ha un protocollo, una squadra ha un ordine di servizio, i vigili hanno un fascicolo, gli elenchi hanno date. È la differenza strutturale fra questo programma e quarant'anni di dietrologia sulle stesse materie: la dietrologia parte dall'ipotesi e cerca conferme; queste schede partono dal </w:t>
      </w:r>
      <w:r>
        <w:rPr>
          <w:rFonts w:ascii="Barlow Semi Condensed" w:cs="Barlow Semi Condensed" w:eastAsia="Barlow Semi Condensed" w:hAnsi="Barlow Semi Condensed"/>
          <w:b/>
          <w:bCs/>
          <w:sz w:val="24"/>
          <w:szCs w:val="24"/>
        </w:rPr>
        <w:t xml:space="preserve">documento dovuto</w:t>
      </w:r>
      <w:r>
        <w:rPr>
          <w:rFonts w:ascii="Barlow Semi Condensed" w:cs="Barlow Semi Condensed" w:eastAsia="Barlow Semi Condensed" w:hAnsi="Barlow Semi Condensed"/>
          <w:sz w:val="24"/>
          <w:szCs w:val="24"/>
        </w:rPr>
        <w:t xml:space="preserve"> e ne verificano l'esistenza. Se c'è, parla; se non c'è, la sua assenza — in un apparato che aveva l'obbligo di produrlo — è essa stessa la risposta di grado più alto che il caso possa ancora dare.</w:t>
      </w:r>
    </w:p>
    <w:p>
      <w:pPr>
        <w:pBdr>
          <w:bottom w:val="single" w:color="999999" w:sz="6" w:space="1"/>
        </w:pBdr>
        <w:spacing w:after="80"/>
      </w:pPr>
    </w:p>
    <w:p>
      <w:pPr>
        <w:spacing w:after="120" w:line="276"/>
        <w:jc w:val="both"/>
      </w:pPr>
      <w:r>
        <w:rPr>
          <w:rFonts w:ascii="Barlow Semi Condensed" w:cs="Barlow Semi Condensed" w:eastAsia="Barlow Semi Condensed" w:hAnsi="Barlow Semi Condensed"/>
          <w:i/>
          <w:iCs/>
          <w:sz w:val="24"/>
          <w:szCs w:val="24"/>
        </w:rPr>
        <w:t xml:space="preserve">Approfondimento integrale delle sei piste su entità e strutture del programma investigativo (PE-1…PE-6), in formato scheda: la mappa dei tre livelli dei comitati del Viminale (col comitato di esperti mai riunito collegialmente), le appartenenze P2 documentate (Santovito tessera 1630, Grassini; la divergenza sulla data di Ferracuti riportata e dirimibile dal censimento), la qualificazione istituzionale di «inattendibilità» delle lettere di Moro come quesito documentale; la sequenza integrale dei trenta giorni di via Gradoli (la nota Mokbel, il campanello del 18 marzo, la doccia del 18 aprile, il triplo evento) coi due quesiti ACH e le evidenze discriminanti (la catena protocollare; i rilievi fotografici del bagno). Per PE-2: i due strati degli accertamenti (relazione Moro 2; dibattimento di Bologna 2021 — Catracchia amministratore unico di Caseroma e Immobiliare Gradoli collegata a Fidrev; i quattro immobili riferiti a Parisi 1979-1986; la presenza NAR 1981), la disciplina delle date (la finestra del caso è 1975-1978), il quesito ACH a tre ipotesi con la conservatoria come unica evidenza discriminante, la tavola cronologica proprietà×tempo come atto. Per PE-4: il canale Curioni-Fabbri con l'intermediario rimasto ignoto, il denaro mostrato dal papa sotto il panno (le fascette di banca ebraica, ~10 miliardi; il finanziatore Flatto-Sharon da accertamento Moro 2), la filologia della lettera (la variante «senza alcuna imbarazzante condizione» corretta sotto dettatura di Macchi) e il doppio binario documentato, i tre quesiti ACH (l'intermediario; la sorte del denaro; l'edizione critica delle stesure) coi verbali di perquisizione dei covi come atto già esistente. Per PE-5: il caso FOIA R-2021-002xx interno al corpus coi suoi numeri di controllo, i due giacimenti (NARA AAD coi telegrammi 1978 e le withdrawal cards come censimento del trattenuto; la FOIA Library), la regola dell'originatore per gli atti di origine alleata custoditi in Italia, i tre quesiti enumerativi e la tavola rilasciato/trattenuto come esito. Per PE-6: la macchina misurata a metà (le quattro colonne d'uscita verificate — 72.460 posti di blocco, 37.702 perquisizioni, 6,4 milioni di persone, 3,4 milioni di veicoli — contro la colonna d'ingresso mai prodotta), i tre campioni documentati del flusso (Mokbel; Zappolino; l'osservazione UCIGOS su via Montalcini 8 dell'estate-ottobre 1978 non riferita alla magistratura per due anni), il quesito come verifica empirica dell'accertamento Anselmi (collo di bottiglia da diluvio vs filtro sistematico, con la distribuzione delle interruzioni come evidenza discriminante), e la statistica documentale del tasso di seguito come esito. Atti in quattro passi, errori da non ripetere, criteri di chiusura. Le persone nominate solo per fatti d'ufficio o di giudicato; l'iscrizione non è condotta; la negligenza non diventa dolo per impazienza; ogni quesito ha per esito un documento.</w:t>
      </w:r>
    </w:p>
    <w:p>
      <w:pPr>
        <w:pStyle w:val="Heading3"/>
        <w:spacing w:after="80" w:before="240"/>
      </w:pPr>
      <w:r>
        <w:rPr>
          <w:rFonts w:ascii="Barlow Semi Condensed" w:cs="Barlow Semi Condensed" w:eastAsia="Barlow Semi Condensed" w:hAnsi="Barlow Semi Condensed"/>
          <w:sz w:val="24"/>
          <w:szCs w:val="24"/>
        </w:rPr>
        <w:t xml:space="preserve">Apparato grafico — Libro tredicesimo · Le schede delle entità</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7"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Libro tredicesimo III: 5.428 parole in 8 sezioni; la più ampia è §5 Scheda PE, con 922.</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8"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Libro tredicesimo III: 28 indirizzi di fonte citati, addensati in 6 sezioni su 8.</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9"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Le quattro colonne d'uscita documentate della macchina; l'ingresso mai misurato (scheda PE-6).</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0"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Lo sforzo nazionale e la sua quota romana: le perquisizioni domiciliari sono la sola voce in cui Roma pesa oltre un decimo.</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1"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Lo stesso spiegamento diviso per i giorni che durò: la misura dello sforzo quotidiano, non del suo esito.</w:t>
      </w:r>
    </w:p>
    <w:p>
      <w:pPr>
        <w:spacing w:after="120"/>
        <w:jc w:val="center"/>
      </w:pPr>
      <w:r>
        <w:rPr>
          <w:rFonts w:ascii="Barlow Semi Condensed" w:cs="Barlow Semi Condensed" w:eastAsia="Barlow Semi Condensed" w:hAnsi="Barlow Semi Condensed"/>
          <w:color w:val="777777"/>
          <w:sz w:val="16"/>
          <w:szCs w:val="16"/>
        </w:rPr>
        <w:t xml:space="preserve">Le metriche dell'apparato contano parole, documenti e atti — mai colpe.</w:t>
      </w:r>
    </w:p>
    <w:p>
      <w:r>
        <w:br w:type="page"/>
      </w:r>
    </w:p>
    <w:p>
      <w:pPr>
        <w:pStyle w:val="Heading1"/>
        <w:spacing w:after="120" w:before="240"/>
      </w:pPr>
      <w:r>
        <w:rPr>
          <w:rFonts w:ascii="Barlow Semi Condensed" w:cs="Barlow Semi Condensed" w:eastAsia="Barlow Semi Condensed" w:hAnsi="Barlow Semi Condensed"/>
          <w:sz w:val="24"/>
          <w:szCs w:val="24"/>
        </w:rPr>
        <w:t xml:space="preserve">Libro tredicesimo — Il fascicolo aperto — IV. Il manuale del nuovo Caso Moro (400 blocchi)</w:t>
      </w:r>
    </w:p>
    <w:p>
      <w:pPr>
        <w:pStyle w:val="Heading1"/>
        <w:spacing w:after="120" w:before="240"/>
      </w:pPr>
      <w:r>
        <w:rPr>
          <w:rFonts w:ascii="Barlow Semi Condensed" w:cs="Barlow Semi Condensed" w:eastAsia="Barlow Semi Condensed" w:hAnsi="Barlow Semi Condensed"/>
          <w:sz w:val="24"/>
          <w:szCs w:val="24"/>
        </w:rPr>
        <w:t xml:space="preserve">Il nuovo Caso Moro</w:t>
      </w:r>
    </w:p>
    <w:p>
      <w:pPr>
        <w:pStyle w:val="Heading2"/>
        <w:spacing w:after="100" w:before="200"/>
      </w:pPr>
      <w:r>
        <w:rPr>
          <w:rFonts w:ascii="Barlow Semi Condensed" w:cs="Barlow Semi Condensed" w:eastAsia="Barlow Semi Condensed" w:hAnsi="Barlow Semi Condensed"/>
          <w:sz w:val="24"/>
          <w:szCs w:val="24"/>
        </w:rPr>
        <w:t xml:space="preserve">Manuale operativo delle attività investigative, in quattrocento blocchi mirati</w:t>
      </w:r>
    </w:p>
    <w:p>
      <w:pPr>
        <w:pStyle w:val="Heading3"/>
        <w:spacing w:after="80" w:before="160"/>
      </w:pPr>
      <w:r>
        <w:rPr>
          <w:rFonts w:ascii="Barlow Semi Condensed" w:cs="Barlow Semi Condensed" w:eastAsia="Barlow Semi Condensed" w:hAnsi="Barlow Semi Condensed"/>
          <w:sz w:val="24"/>
          <w:szCs w:val="24"/>
        </w:rPr>
        <w:t xml:space="preserve">Seconda edizione accresciuta</w:t>
      </w:r>
    </w:p>
    <w:p>
      <w:pPr>
        <w:spacing w:after="120" w:line="276"/>
        <w:jc w:val="both"/>
      </w:pPr>
      <w:r>
        <w:rPr>
          <w:rFonts w:ascii="Barlow Semi Condensed" w:cs="Barlow Semi Condensed" w:eastAsia="Barlow Semi Condensed" w:hAnsi="Barlow Semi Condensed"/>
          <w:i/>
          <w:iCs/>
          <w:sz w:val="24"/>
          <w:szCs w:val="24"/>
        </w:rPr>
        <w:t xml:space="preserve">Documento titanico — 25 agosto 2026 · Compimento del programma investigativo del corpus</w:t>
      </w:r>
    </w:p>
    <w:p>
      <w:pPr>
        <w:pBdr>
          <w:left w:val="single" w:color="1F3864" w:sz="18" w:space="8"/>
        </w:pBdr>
        <w:spacing w:after="80" w:before="80"/>
        <w:ind w:left="360" w:right="360"/>
        <w:jc w:val="both"/>
      </w:pPr>
      <w:r>
        <w:rPr>
          <w:rFonts w:ascii="Barlow Semi Condensed" w:cs="Barlow Semi Condensed" w:eastAsia="Barlow Semi Condensed" w:hAnsi="Barlow Semi Condensed"/>
          <w:b/>
          <w:bCs/>
          <w:i w:val="false"/>
          <w:iCs w:val="false"/>
          <w:sz w:val="24"/>
          <w:szCs w:val="24"/>
        </w:rPr>
        <w:t xml:space="preserve">Statuto del manuale.</w:t>
      </w:r>
      <w:r>
        <w:rPr>
          <w:rFonts w:ascii="Barlow Semi Condensed" w:cs="Barlow Semi Condensed" w:eastAsia="Barlow Semi Condensed" w:hAnsi="Barlow Semi Condensed"/>
          <w:i w:val="false"/>
          <w:iCs w:val="false"/>
          <w:sz w:val="24"/>
          <w:szCs w:val="24"/>
        </w:rPr>
        <w:t xml:space="preserve"> Questo documento dice </w:t>
      </w:r>
      <w:r>
        <w:rPr>
          <w:rFonts w:ascii="Barlow Semi Condensed" w:cs="Barlow Semi Condensed" w:eastAsia="Barlow Semi Condensed" w:hAnsi="Barlow Semi Condensed"/>
          <w:b/>
          <w:bCs/>
          <w:i w:val="false"/>
          <w:iCs w:val="false"/>
          <w:sz w:val="24"/>
          <w:szCs w:val="24"/>
        </w:rPr>
        <w:t xml:space="preserve">come dovrebbero svolgersi le attività investigative per il nuovo Caso Moro</w:t>
      </w:r>
      <w:r>
        <w:rPr>
          <w:rFonts w:ascii="Barlow Semi Condensed" w:cs="Barlow Semi Condensed" w:eastAsia="Barlow Semi Condensed" w:hAnsi="Barlow Semi Condensed"/>
          <w:i w:val="false"/>
          <w:iCs w:val="false"/>
          <w:sz w:val="24"/>
          <w:szCs w:val="24"/>
        </w:rPr>
        <w:t xml:space="preserve"> — il caso quale oggi esiste: un fascicolo giudiziario aperto a Roma, un giacimento archivistico versato e in parte inesplorato, reperti che le scienze attuali possono interrogare di nuovo, testimoni che il tempo sta chiudendo, e quarantott'anni di errori di metodo da non ripetere. È scritto in </w:t>
      </w:r>
      <w:r>
        <w:rPr>
          <w:rFonts w:ascii="Barlow Semi Condensed" w:cs="Barlow Semi Condensed" w:eastAsia="Barlow Semi Condensed" w:hAnsi="Barlow Semi Condensed"/>
          <w:b/>
          <w:bCs/>
          <w:i w:val="false"/>
          <w:iCs w:val="false"/>
          <w:sz w:val="24"/>
          <w:szCs w:val="24"/>
        </w:rPr>
        <w:t xml:space="preserve">quattrocento blocchi mirati</w:t>
      </w:r>
      <w:r>
        <w:rPr>
          <w:rFonts w:ascii="Barlow Semi Condensed" w:cs="Barlow Semi Condensed" w:eastAsia="Barlow Semi Condensed" w:hAnsi="Barlow Semi Condensed"/>
          <w:i w:val="false"/>
          <w:iCs w:val="false"/>
          <w:sz w:val="24"/>
          <w:szCs w:val="24"/>
        </w:rPr>
        <w:t xml:space="preserve">, numerati in quindici serie, ciascuna col proprio statuto — trecento della prima edizione, cento della seconda edizione accresciuta (serie undicesima-quindicesima: il cantiere digitale, gli strumenti giuridici, il controllo di qualità e i bias, il raccordo esecutivo, le contingenze) — l'architettura del Dossier maggiore applicata alla materia operativa. Ogni blocco è un'unità autonoma: un principio, un atto, un protocollo, un errore col suo antidoto, un criterio. Nulla di ciò che segue nomina un colpevole atteso: il manuale organizza </w:t>
      </w:r>
      <w:r>
        <w:rPr>
          <w:rFonts w:ascii="Barlow Semi Condensed" w:cs="Barlow Semi Condensed" w:eastAsia="Barlow Semi Condensed" w:hAnsi="Barlow Semi Condensed"/>
          <w:b/>
          <w:bCs/>
          <w:i w:val="false"/>
          <w:iCs w:val="false"/>
          <w:sz w:val="24"/>
          <w:szCs w:val="24"/>
        </w:rPr>
        <w:t xml:space="preserve">atti</w:t>
      </w:r>
      <w:r>
        <w:rPr>
          <w:rFonts w:ascii="Barlow Semi Condensed" w:cs="Barlow Semi Condensed" w:eastAsia="Barlow Semi Condensed" w:hAnsi="Barlow Semi Condensed"/>
          <w:i w:val="false"/>
          <w:iCs w:val="false"/>
          <w:sz w:val="24"/>
          <w:szCs w:val="24"/>
        </w:rPr>
        <w:t xml:space="preserve">, e vale in ogni blocco la disciplina del corpus — i gradi, l'ACH, l'anello debole, il registro chiuso del giudicato, gli assolti che restano assolti. Ogni fatto richiamato è stato verificato nelle schede del programma, dove stanno le fonti con indirizzo.</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Serie prima — I principi costitutivi (blocchi 1-20)</w:t>
      </w:r>
    </w:p>
    <w:p>
      <w:pPr>
        <w:spacing w:after="120" w:line="276"/>
        <w:jc w:val="both"/>
      </w:pPr>
      <w:r>
        <w:rPr>
          <w:rFonts w:ascii="Barlow Semi Condensed" w:cs="Barlow Semi Condensed" w:eastAsia="Barlow Semi Condensed" w:hAnsi="Barlow Semi Condensed"/>
          <w:i/>
          <w:iCs/>
          <w:sz w:val="24"/>
          <w:szCs w:val="24"/>
        </w:rPr>
        <w:t xml:space="preserve">Statuto della serie: la costituzione dell'indagine. Venti principi che governano ogni atto delle serie successive; chi ne viola uno esce dal metodo, qualunque risultato ottenga.</w:t>
      </w:r>
    </w:p>
    <w:p>
      <w:pPr>
        <w:spacing w:after="120" w:line="276"/>
        <w:jc w:val="both"/>
      </w:pPr>
      <w:r>
        <w:rPr>
          <w:rFonts w:ascii="Barlow Semi Condensed" w:cs="Barlow Semi Condensed" w:eastAsia="Barlow Semi Condensed" w:hAnsi="Barlow Semi Condensed"/>
          <w:b/>
          <w:bCs/>
          <w:sz w:val="24"/>
          <w:szCs w:val="24"/>
        </w:rPr>
        <w:t xml:space="preserve">1 · Il fine.</w:t>
      </w:r>
      <w:r>
        <w:rPr>
          <w:rFonts w:ascii="Barlow Semi Condensed" w:cs="Barlow Semi Condensed" w:eastAsia="Barlow Semi Condensed" w:hAnsi="Barlow Semi Condensed"/>
          <w:sz w:val="24"/>
          <w:szCs w:val="24"/>
        </w:rPr>
        <w:t xml:space="preserve"> L'indagine produce atti, non colpevoli: il suo esito naturale è un documento — una perizia, una tavola, un registro, una deposizione — mai un nome atteso. Se un atto identificherà responsabilità, le qualificherà l'autorità giudiziaria.</w:t>
      </w:r>
    </w:p>
    <w:p>
      <w:pPr>
        <w:spacing w:after="120" w:line="276"/>
        <w:jc w:val="both"/>
      </w:pPr>
      <w:r>
        <w:rPr>
          <w:rFonts w:ascii="Barlow Semi Condensed" w:cs="Barlow Semi Condensed" w:eastAsia="Barlow Semi Condensed" w:hAnsi="Barlow Semi Condensed"/>
          <w:b/>
          <w:bCs/>
          <w:sz w:val="24"/>
          <w:szCs w:val="24"/>
        </w:rPr>
        <w:t xml:space="preserve">2 · Il pavimento.</w:t>
      </w:r>
      <w:r>
        <w:rPr>
          <w:rFonts w:ascii="Barlow Semi Condensed" w:cs="Barlow Semi Condensed" w:eastAsia="Barlow Semi Condensed" w:hAnsi="Barlow Semi Condensed"/>
          <w:sz w:val="24"/>
          <w:szCs w:val="24"/>
        </w:rPr>
        <w:t xml:space="preserve"> Il giudicato dei cinque processi è il punto d'appoggio, non un'opinione fra le altre: tredici responsabilità personali accertate, sei vittime in testa a ogni pagina. Chi voglia sostenere altro deve portare prove di rango almeno pari.</w:t>
      </w:r>
    </w:p>
    <w:p>
      <w:pPr>
        <w:spacing w:after="120" w:line="276"/>
        <w:jc w:val="both"/>
      </w:pPr>
      <w:r>
        <w:rPr>
          <w:rFonts w:ascii="Barlow Semi Condensed" w:cs="Barlow Semi Condensed" w:eastAsia="Barlow Semi Condensed" w:hAnsi="Barlow Semi Condensed"/>
          <w:b/>
          <w:bCs/>
          <w:sz w:val="24"/>
          <w:szCs w:val="24"/>
        </w:rPr>
        <w:t xml:space="preserve">3 · Il registro chiuso.</w:t>
      </w:r>
      <w:r>
        <w:rPr>
          <w:rFonts w:ascii="Barlow Semi Condensed" w:cs="Barlow Semi Condensed" w:eastAsia="Barlow Semi Condensed" w:hAnsi="Barlow Semi Condensed"/>
          <w:sz w:val="24"/>
          <w:szCs w:val="24"/>
        </w:rPr>
        <w:t xml:space="preserve"> Nessun atto del nuovo caso aggiunge nomi al registro per suggestione: il registro cresce solo per nuovo giudicato, e gli assolti restano assolti — il caso Algranati è la pietra di paragone permanente.</w:t>
      </w:r>
    </w:p>
    <w:p>
      <w:pPr>
        <w:spacing w:after="120" w:line="276"/>
        <w:jc w:val="both"/>
      </w:pPr>
      <w:r>
        <w:rPr>
          <w:rFonts w:ascii="Barlow Semi Condensed" w:cs="Barlow Semi Condensed" w:eastAsia="Barlow Semi Condensed" w:hAnsi="Barlow Semi Condensed"/>
          <w:b/>
          <w:bCs/>
          <w:sz w:val="24"/>
          <w:szCs w:val="24"/>
        </w:rPr>
        <w:t xml:space="preserve">4 · I gradi.</w:t>
      </w:r>
      <w:r>
        <w:rPr>
          <w:rFonts w:ascii="Barlow Semi Condensed" w:cs="Barlow Semi Condensed" w:eastAsia="Barlow Semi Condensed" w:hAnsi="Barlow Semi Condensed"/>
          <w:sz w:val="24"/>
          <w:szCs w:val="24"/>
        </w:rPr>
        <w:t xml:space="preserve"> Ogni acquisizione entra nel fascicolo col suo grado dichiarato — A giudicato, B accertamento, C congettura, F fatto pubblico, Stato Zero l'assenza documentata — e nessuna voce sale di grado per accumulo di suggestioni.</w:t>
      </w:r>
    </w:p>
    <w:p>
      <w:pPr>
        <w:spacing w:after="120" w:line="276"/>
        <w:jc w:val="both"/>
      </w:pPr>
      <w:r>
        <w:rPr>
          <w:rFonts w:ascii="Barlow Semi Condensed" w:cs="Barlow Semi Condensed" w:eastAsia="Barlow Semi Condensed" w:hAnsi="Barlow Semi Condensed"/>
          <w:b/>
          <w:bCs/>
          <w:sz w:val="24"/>
          <w:szCs w:val="24"/>
        </w:rPr>
        <w:t xml:space="preserve">5 · La regola personalistica.</w:t>
      </w:r>
      <w:r>
        <w:rPr>
          <w:rFonts w:ascii="Barlow Semi Condensed" w:cs="Barlow Semi Condensed" w:eastAsia="Barlow Semi Condensed" w:hAnsi="Barlow Semi Condensed"/>
          <w:sz w:val="24"/>
          <w:szCs w:val="24"/>
        </w:rPr>
        <w:t xml:space="preserve"> La colpa non è mai del gruppo ed è sempre della persona; l'appartenenza — a un'organizzazione, a una loggia, a un ufficio — non è condotta; la parentela non è canale; la contemporaneità non è nesso.</w:t>
      </w:r>
    </w:p>
    <w:p>
      <w:pPr>
        <w:spacing w:after="120" w:line="276"/>
        <w:jc w:val="both"/>
      </w:pPr>
      <w:r>
        <w:rPr>
          <w:rFonts w:ascii="Barlow Semi Condensed" w:cs="Barlow Semi Condensed" w:eastAsia="Barlow Semi Condensed" w:hAnsi="Barlow Semi Condensed"/>
          <w:b/>
          <w:bCs/>
          <w:sz w:val="24"/>
          <w:szCs w:val="24"/>
        </w:rPr>
        <w:t xml:space="preserve">6 · L'anello debole.</w:t>
      </w:r>
      <w:r>
        <w:rPr>
          <w:rFonts w:ascii="Barlow Semi Condensed" w:cs="Barlow Semi Condensed" w:eastAsia="Barlow Semi Condensed" w:hAnsi="Barlow Semi Condensed"/>
          <w:sz w:val="24"/>
          <w:szCs w:val="24"/>
        </w:rPr>
        <w:t xml:space="preserve"> Il grado di una catena inferenziale è il minimo dei suoi anelli: un cammino che attraversi un solo passaggio biografico non sostiene alcuna inferenza operativa, per quanti giudicati contenga altrove.</w:t>
      </w:r>
    </w:p>
    <w:p>
      <w:pPr>
        <w:spacing w:after="120" w:line="276"/>
        <w:jc w:val="both"/>
      </w:pPr>
      <w:r>
        <w:rPr>
          <w:rFonts w:ascii="Barlow Semi Condensed" w:cs="Barlow Semi Condensed" w:eastAsia="Barlow Semi Condensed" w:hAnsi="Barlow Semi Condensed"/>
          <w:b/>
          <w:bCs/>
          <w:sz w:val="24"/>
          <w:szCs w:val="24"/>
        </w:rPr>
        <w:t xml:space="preserve">7 · La regola dei buchi.</w:t>
      </w:r>
      <w:r>
        <w:rPr>
          <w:rFonts w:ascii="Barlow Semi Condensed" w:cs="Barlow Semi Condensed" w:eastAsia="Barlow Semi Condensed" w:hAnsi="Barlow Semi Condensed"/>
          <w:sz w:val="24"/>
          <w:szCs w:val="24"/>
        </w:rPr>
        <w:t xml:space="preserve"> Dove la documentazione non ha archi, l'indagine misura il buco e lo dichiara: non lo riempie di narrazione. Ogni buco è una congettura possibile e non provata finché un documento non diventi arco.</w:t>
      </w:r>
    </w:p>
    <w:p>
      <w:pPr>
        <w:spacing w:after="120" w:line="276"/>
        <w:jc w:val="both"/>
      </w:pPr>
      <w:r>
        <w:rPr>
          <w:rFonts w:ascii="Barlow Semi Condensed" w:cs="Barlow Semi Condensed" w:eastAsia="Barlow Semi Condensed" w:hAnsi="Barlow Semi Condensed"/>
          <w:b/>
          <w:bCs/>
          <w:sz w:val="24"/>
          <w:szCs w:val="24"/>
        </w:rPr>
        <w:t xml:space="preserve">8 · L'ACH come grammatica.</w:t>
      </w:r>
      <w:r>
        <w:rPr>
          <w:rFonts w:ascii="Barlow Semi Condensed" w:cs="Barlow Semi Condensed" w:eastAsia="Barlow Semi Condensed" w:hAnsi="Barlow Semi Condensed"/>
          <w:sz w:val="24"/>
          <w:szCs w:val="24"/>
        </w:rPr>
        <w:t xml:space="preserve"> Ogni quesito si scrive come matrice di ipotesi contro evidenze, cercando l'evidenza che discrimina — quella incompatibile con almeno un'ipotesi. Un quesito senza evidenza discriminante possibile non è un quesito: è un'opinione.</w:t>
      </w:r>
    </w:p>
    <w:p>
      <w:pPr>
        <w:spacing w:after="120" w:line="276"/>
        <w:jc w:val="both"/>
      </w:pPr>
      <w:r>
        <w:rPr>
          <w:rFonts w:ascii="Barlow Semi Condensed" w:cs="Barlow Semi Condensed" w:eastAsia="Barlow Semi Condensed" w:hAnsi="Barlow Semi Condensed"/>
          <w:b/>
          <w:bCs/>
          <w:sz w:val="24"/>
          <w:szCs w:val="24"/>
        </w:rPr>
        <w:t xml:space="preserve">9 · Il primato del reperto.</w:t>
      </w:r>
      <w:r>
        <w:rPr>
          <w:rFonts w:ascii="Barlow Semi Condensed" w:cs="Barlow Semi Condensed" w:eastAsia="Barlow Semi Condensed" w:hAnsi="Barlow Semi Condensed"/>
          <w:sz w:val="24"/>
          <w:szCs w:val="24"/>
        </w:rPr>
        <w:t xml:space="preserve"> In un caso di mezzo secolo i ricordi si raccolgono per conservarli e si usano solo incrociati coi documenti; a decidere sono i reperti. La lezione Marini è scolpita: la corroborazione fisica si verifica prima di fondare qualunque cosa sulla parola.</w:t>
      </w:r>
    </w:p>
    <w:p>
      <w:pPr>
        <w:spacing w:after="120" w:line="276"/>
        <w:jc w:val="both"/>
      </w:pPr>
      <w:r>
        <w:rPr>
          <w:rFonts w:ascii="Barlow Semi Condensed" w:cs="Barlow Semi Condensed" w:eastAsia="Barlow Semi Condensed" w:hAnsi="Barlow Semi Condensed"/>
          <w:b/>
          <w:bCs/>
          <w:sz w:val="24"/>
          <w:szCs w:val="24"/>
        </w:rPr>
        <w:t xml:space="preserve">10 · Il documento dovuto.</w:t>
      </w:r>
      <w:r>
        <w:rPr>
          <w:rFonts w:ascii="Barlow Semi Condensed" w:cs="Barlow Semi Condensed" w:eastAsia="Barlow Semi Condensed" w:hAnsi="Barlow Semi Condensed"/>
          <w:sz w:val="24"/>
          <w:szCs w:val="24"/>
        </w:rPr>
        <w:t xml:space="preserve"> Il quesito operativo non è mai «chi è colpevole» ma «dove sono le carte di un procedimento che esiste per definizione»: un comitato produce verbali, una nota ha un protocollo, una squadra ha un ordine di servizio. Se il documento dovuto manca, l'assenza è essa stessa un dato di grado alto.</w:t>
      </w:r>
    </w:p>
    <w:p>
      <w:pPr>
        <w:spacing w:after="120" w:line="276"/>
        <w:jc w:val="both"/>
      </w:pPr>
      <w:r>
        <w:rPr>
          <w:rFonts w:ascii="Barlow Semi Condensed" w:cs="Barlow Semi Condensed" w:eastAsia="Barlow Semi Condensed" w:hAnsi="Barlow Semi Condensed"/>
          <w:b/>
          <w:bCs/>
          <w:sz w:val="24"/>
          <w:szCs w:val="24"/>
        </w:rPr>
        <w:t xml:space="preserve">11 · La falsificabilità degli atti.</w:t>
      </w:r>
      <w:r>
        <w:rPr>
          <w:rFonts w:ascii="Barlow Semi Condensed" w:cs="Barlow Semi Condensed" w:eastAsia="Barlow Semi Condensed" w:hAnsi="Barlow Semi Condensed"/>
          <w:sz w:val="24"/>
          <w:szCs w:val="24"/>
        </w:rPr>
        <w:t xml:space="preserve"> Ogni pista dichiara in anticipo il proprio criterio di chiusura — che cosa la chiuderebbe in un senso o nell'altro — e ogni priorità è essa stessa un'asserzione attaccabile: chi contesta un punteggio deve contestare un sotto-giudizio o un peso.</w:t>
      </w:r>
    </w:p>
    <w:p>
      <w:pPr>
        <w:spacing w:after="120" w:line="276"/>
        <w:jc w:val="both"/>
      </w:pPr>
      <w:r>
        <w:rPr>
          <w:rFonts w:ascii="Barlow Semi Condensed" w:cs="Barlow Semi Condensed" w:eastAsia="Barlow Semi Condensed" w:hAnsi="Barlow Semi Condensed"/>
          <w:b/>
          <w:bCs/>
          <w:sz w:val="24"/>
          <w:szCs w:val="24"/>
        </w:rPr>
        <w:t xml:space="preserve">12 · Il doppio esito come successo.</w:t>
      </w:r>
      <w:r>
        <w:rPr>
          <w:rFonts w:ascii="Barlow Semi Condensed" w:cs="Barlow Semi Condensed" w:eastAsia="Barlow Semi Condensed" w:hAnsi="Barlow Semi Condensed"/>
          <w:sz w:val="24"/>
          <w:szCs w:val="24"/>
        </w:rPr>
        <w:t xml:space="preserve"> Una pista ben posta guadagna in entrambi gli esiti: l'accertamento nuovo o la caduta documentale di una leggenda. Se un esito possibile non produrrebbe nulla, la pista è mal posta.</w:t>
      </w:r>
    </w:p>
    <w:p>
      <w:pPr>
        <w:spacing w:after="120" w:line="276"/>
        <w:jc w:val="both"/>
      </w:pPr>
      <w:r>
        <w:rPr>
          <w:rFonts w:ascii="Barlow Semi Condensed" w:cs="Barlow Semi Condensed" w:eastAsia="Barlow Semi Condensed" w:hAnsi="Barlow Semi Condensed"/>
          <w:b/>
          <w:bCs/>
          <w:sz w:val="24"/>
          <w:szCs w:val="24"/>
        </w:rPr>
        <w:t xml:space="preserve">13 · L'esito negativo.</w:t>
      </w:r>
      <w:r>
        <w:rPr>
          <w:rFonts w:ascii="Barlow Semi Condensed" w:cs="Barlow Semi Condensed" w:eastAsia="Barlow Semi Condensed" w:hAnsi="Barlow Semi Condensed"/>
          <w:sz w:val="24"/>
          <w:szCs w:val="24"/>
        </w:rPr>
        <w:t xml:space="preserve"> L'esaurimento certificato di un fondo, il diniego motivato, la comparazione senza riscontro sono acquisizioni di pieno valore: si verbalizzano con la stessa cura dei ritrovamenti.</w:t>
      </w:r>
    </w:p>
    <w:p>
      <w:pPr>
        <w:spacing w:after="120" w:line="276"/>
        <w:jc w:val="both"/>
      </w:pPr>
      <w:r>
        <w:rPr>
          <w:rFonts w:ascii="Barlow Semi Condensed" w:cs="Barlow Semi Condensed" w:eastAsia="Barlow Semi Condensed" w:hAnsi="Barlow Semi Condensed"/>
          <w:b/>
          <w:bCs/>
          <w:sz w:val="24"/>
          <w:szCs w:val="24"/>
        </w:rPr>
        <w:t xml:space="preserve">14 · La cronologia prima dell'interpretazione.</w:t>
      </w:r>
      <w:r>
        <w:rPr>
          <w:rFonts w:ascii="Barlow Semi Condensed" w:cs="Barlow Semi Condensed" w:eastAsia="Barlow Semi Condensed" w:hAnsi="Barlow Semi Condensed"/>
          <w:sz w:val="24"/>
          <w:szCs w:val="24"/>
        </w:rPr>
        <w:t xml:space="preserve"> Nessuna sovrapposizione di strati senza date: un acquisto del 1979 non prova nulla sul 1978, un'affiliazione da datare non pesa finché non è datata. Prima la tavola cronologica, poi ogni lettura.</w:t>
      </w:r>
    </w:p>
    <w:p>
      <w:pPr>
        <w:spacing w:after="120" w:line="276"/>
        <w:jc w:val="both"/>
      </w:pPr>
      <w:r>
        <w:rPr>
          <w:rFonts w:ascii="Barlow Semi Condensed" w:cs="Barlow Semi Condensed" w:eastAsia="Barlow Semi Condensed" w:hAnsi="Barlow Semi Condensed"/>
          <w:b/>
          <w:bCs/>
          <w:sz w:val="24"/>
          <w:szCs w:val="24"/>
        </w:rPr>
        <w:t xml:space="preserve">15 · Le divergenze si riportano.</w:t>
      </w:r>
      <w:r>
        <w:rPr>
          <w:rFonts w:ascii="Barlow Semi Condensed" w:cs="Barlow Semi Condensed" w:eastAsia="Barlow Semi Condensed" w:hAnsi="Barlow Semi Condensed"/>
          <w:sz w:val="24"/>
          <w:szCs w:val="24"/>
        </w:rPr>
        <w:t xml:space="preserve"> Dove fonti o perizie divergono — i 49 bossoli, la data di un'affiliazione, la lettura di un numero OCR — la divergenza si dichiara e si affida all'atto che può dirimerla, mai alla preferenza.</w:t>
      </w:r>
    </w:p>
    <w:p>
      <w:pPr>
        <w:spacing w:after="120" w:line="276"/>
        <w:jc w:val="both"/>
      </w:pPr>
      <w:r>
        <w:rPr>
          <w:rFonts w:ascii="Barlow Semi Condensed" w:cs="Barlow Semi Condensed" w:eastAsia="Barlow Semi Condensed" w:hAnsi="Barlow Semi Condensed"/>
          <w:b/>
          <w:bCs/>
          <w:sz w:val="24"/>
          <w:szCs w:val="24"/>
        </w:rPr>
        <w:t xml:space="preserve">16 · Le persone viventi.</w:t>
      </w:r>
      <w:r>
        <w:rPr>
          <w:rFonts w:ascii="Barlow Semi Condensed" w:cs="Barlow Semi Condensed" w:eastAsia="Barlow Semi Condensed" w:hAnsi="Barlow Semi Condensed"/>
          <w:sz w:val="24"/>
          <w:szCs w:val="24"/>
        </w:rPr>
        <w:t xml:space="preserve"> Si nominano solo per fatti documentati da atti, giudicati o dichiarazioni rese ad autorità; nessuna insinuazione, nessun «fu assolto, ma», nessuna richiesta di smentita a chi ha già risposto alle sedi proprie.</w:t>
      </w:r>
    </w:p>
    <w:p>
      <w:pPr>
        <w:spacing w:after="120" w:line="276"/>
        <w:jc w:val="both"/>
      </w:pPr>
      <w:r>
        <w:rPr>
          <w:rFonts w:ascii="Barlow Semi Condensed" w:cs="Barlow Semi Condensed" w:eastAsia="Barlow Semi Condensed" w:hAnsi="Barlow Semi Condensed"/>
          <w:b/>
          <w:bCs/>
          <w:sz w:val="24"/>
          <w:szCs w:val="24"/>
        </w:rPr>
        <w:t xml:space="preserve">17 · La negligenza e il dolo.</w:t>
      </w:r>
      <w:r>
        <w:rPr>
          <w:rFonts w:ascii="Barlow Semi Condensed" w:cs="Barlow Semi Condensed" w:eastAsia="Barlow Semi Condensed" w:hAnsi="Barlow Semi Condensed"/>
          <w:sz w:val="24"/>
          <w:szCs w:val="24"/>
        </w:rPr>
        <w:t xml:space="preserve"> La negligenza non diventa dolo per impazienza: fra il campanello del 18 marzo e la doccia del 18 aprile stanno entrambe le ipotesi, e solo le carte discriminano. Chi decide prima delle carte non sta indagando.</w:t>
      </w:r>
    </w:p>
    <w:p>
      <w:pPr>
        <w:spacing w:after="120" w:line="276"/>
        <w:jc w:val="both"/>
      </w:pPr>
      <w:r>
        <w:rPr>
          <w:rFonts w:ascii="Barlow Semi Condensed" w:cs="Barlow Semi Condensed" w:eastAsia="Barlow Semi Condensed" w:hAnsi="Barlow Semi Condensed"/>
          <w:b/>
          <w:bCs/>
          <w:sz w:val="24"/>
          <w:szCs w:val="24"/>
        </w:rPr>
        <w:t xml:space="preserve">18 · Le entità.</w:t>
      </w:r>
      <w:r>
        <w:rPr>
          <w:rFonts w:ascii="Barlow Semi Condensed" w:cs="Barlow Semi Condensed" w:eastAsia="Barlow Semi Condensed" w:hAnsi="Barlow Semi Condensed"/>
          <w:sz w:val="24"/>
          <w:szCs w:val="24"/>
        </w:rPr>
        <w:t xml:space="preserve"> Ministeri, servizi, logge, chiese e Stati si indagano per atti e omissioni documentati, mai come colpevoli collettivi; la responsabilità istituzionale non si trasmette alle persone, né viceversa.</w:t>
      </w:r>
    </w:p>
    <w:p>
      <w:pPr>
        <w:spacing w:after="120" w:line="276"/>
        <w:jc w:val="both"/>
      </w:pPr>
      <w:r>
        <w:rPr>
          <w:rFonts w:ascii="Barlow Semi Condensed" w:cs="Barlow Semi Condensed" w:eastAsia="Barlow Semi Condensed" w:hAnsi="Barlow Semi Condensed"/>
          <w:b/>
          <w:bCs/>
          <w:sz w:val="24"/>
          <w:szCs w:val="24"/>
        </w:rPr>
        <w:t xml:space="preserve">19 · Le vittime al centro.</w:t>
      </w:r>
      <w:r>
        <w:rPr>
          <w:rFonts w:ascii="Barlow Semi Condensed" w:cs="Barlow Semi Condensed" w:eastAsia="Barlow Semi Condensed" w:hAnsi="Barlow Semi Condensed"/>
          <w:sz w:val="24"/>
          <w:szCs w:val="24"/>
        </w:rPr>
        <w:t xml:space="preserve"> Oreste Leonardi, Domenico Ricci, Giulio Rivera, Francesco Zizzi, Raffaele Iozzino, Aldo Moro: ogni atto del nuovo caso si giustifica davanti a loro, non davanti alla curiosità. Ciò che non serve alla verità documentale non si fa.</w:t>
      </w:r>
    </w:p>
    <w:p>
      <w:pPr>
        <w:spacing w:after="120" w:line="276"/>
        <w:jc w:val="both"/>
      </w:pPr>
      <w:r>
        <w:rPr>
          <w:rFonts w:ascii="Barlow Semi Condensed" w:cs="Barlow Semi Condensed" w:eastAsia="Barlow Semi Condensed" w:hAnsi="Barlow Semi Condensed"/>
          <w:b/>
          <w:bCs/>
          <w:sz w:val="24"/>
          <w:szCs w:val="24"/>
        </w:rPr>
        <w:t xml:space="preserve">20 · Il congedo permanente del sospetto.</w:t>
      </w:r>
      <w:r>
        <w:rPr>
          <w:rFonts w:ascii="Barlow Semi Condensed" w:cs="Barlow Semi Condensed" w:eastAsia="Barlow Semi Condensed" w:hAnsi="Barlow Semi Condensed"/>
          <w:sz w:val="24"/>
          <w:szCs w:val="24"/>
        </w:rPr>
        <w:t xml:space="preserve"> Il manuale non congeda mai il metodo: dove il Dossier maggiore adotta la probabilità sui piani superiori, il nuovo caso resta popperiano dall'inizio alla fine — perché è un'indagine, e un'indagine che presume ha già fallito.</w:t>
      </w:r>
    </w:p>
    <w:p>
      <w:pPr>
        <w:pStyle w:val="Heading2"/>
        <w:spacing w:after="100" w:before="200"/>
      </w:pPr>
      <w:r>
        <w:rPr>
          <w:rFonts w:ascii="Barlow Semi Condensed" w:cs="Barlow Semi Condensed" w:eastAsia="Barlow Semi Condensed" w:hAnsi="Barlow Semi Condensed"/>
          <w:sz w:val="24"/>
          <w:szCs w:val="24"/>
        </w:rPr>
        <w:t xml:space="preserve">Serie seconda — L'architettura organizzativa (blocchi 21-45)</w:t>
      </w:r>
    </w:p>
    <w:p>
      <w:pPr>
        <w:spacing w:after="120" w:line="276"/>
        <w:jc w:val="both"/>
      </w:pPr>
      <w:r>
        <w:rPr>
          <w:rFonts w:ascii="Barlow Semi Condensed" w:cs="Barlow Semi Condensed" w:eastAsia="Barlow Semi Condensed" w:hAnsi="Barlow Semi Condensed"/>
          <w:i/>
          <w:iCs/>
          <w:sz w:val="24"/>
          <w:szCs w:val="24"/>
        </w:rPr>
        <w:t xml:space="preserve">Statuto della serie: chi fa che cosa. Il nuovo caso ha tre cantieri — giudiziario, archivistico, conservativo — e la serie ne disegna competenze, confini e raccordi.</w:t>
      </w:r>
    </w:p>
    <w:p>
      <w:pPr>
        <w:spacing w:after="120" w:line="276"/>
        <w:jc w:val="both"/>
      </w:pPr>
      <w:r>
        <w:rPr>
          <w:rFonts w:ascii="Barlow Semi Condensed" w:cs="Barlow Semi Condensed" w:eastAsia="Barlow Semi Condensed" w:hAnsi="Barlow Semi Condensed"/>
          <w:b/>
          <w:bCs/>
          <w:sz w:val="24"/>
          <w:szCs w:val="24"/>
        </w:rPr>
        <w:t xml:space="preserve">21 · I tre cantieri.</w:t>
      </w:r>
      <w:r>
        <w:rPr>
          <w:rFonts w:ascii="Barlow Semi Condensed" w:cs="Barlow Semi Condensed" w:eastAsia="Barlow Semi Condensed" w:hAnsi="Barlow Semi Condensed"/>
          <w:sz w:val="24"/>
          <w:szCs w:val="24"/>
        </w:rPr>
        <w:t xml:space="preserve"> Il cantiere giudiziario (Procura e GIP di Roma, sul fascicolo aperto), il cantiere archivistico (ACS e sedi collegate, sul giacimento versato), il cantiere conservativo (la raccolta di testimoni e lasciti che il tempo chiude). Corrono in parallelo e si alimentano; non si comandano a vicenda.</w:t>
      </w:r>
    </w:p>
    <w:p>
      <w:pPr>
        <w:spacing w:after="120" w:line="276"/>
        <w:jc w:val="both"/>
      </w:pPr>
      <w:r>
        <w:rPr>
          <w:rFonts w:ascii="Barlow Semi Condensed" w:cs="Barlow Semi Condensed" w:eastAsia="Barlow Semi Condensed" w:hAnsi="Barlow Semi Condensed"/>
          <w:b/>
          <w:bCs/>
          <w:sz w:val="24"/>
          <w:szCs w:val="24"/>
        </w:rPr>
        <w:t xml:space="preserve">22 · Il primato del fascicolo.</w:t>
      </w:r>
      <w:r>
        <w:rPr>
          <w:rFonts w:ascii="Barlow Semi Condensed" w:cs="Barlow Semi Condensed" w:eastAsia="Barlow Semi Condensed" w:hAnsi="Barlow Semi Condensed"/>
          <w:sz w:val="24"/>
          <w:szCs w:val="24"/>
        </w:rPr>
        <w:t xml:space="preserve"> Dove il fascicolo giudiziario lavora — perizie, comparazioni genetiche, reperti — nessun altro cantiere interferisce: gli studiosi consegnano quesiti scritti, non pretendono atti.</w:t>
      </w:r>
    </w:p>
    <w:p>
      <w:pPr>
        <w:spacing w:after="120" w:line="276"/>
        <w:jc w:val="both"/>
      </w:pPr>
      <w:r>
        <w:rPr>
          <w:rFonts w:ascii="Barlow Semi Condensed" w:cs="Barlow Semi Condensed" w:eastAsia="Barlow Semi Condensed" w:hAnsi="Barlow Semi Condensed"/>
          <w:b/>
          <w:bCs/>
          <w:sz w:val="24"/>
          <w:szCs w:val="24"/>
        </w:rPr>
        <w:t xml:space="preserve">23 · Il canale dei quesiti.</w:t>
      </w:r>
      <w:r>
        <w:rPr>
          <w:rFonts w:ascii="Barlow Semi Condensed" w:cs="Barlow Semi Condensed" w:eastAsia="Barlow Semi Condensed" w:hAnsi="Barlow Semi Condensed"/>
          <w:sz w:val="24"/>
          <w:szCs w:val="24"/>
        </w:rPr>
        <w:t xml:space="preserve"> Il contributo esterno lecito ha una sola forma: quesiti documentali formulati con criterio di smentita, depositati alle sedi competenti. Questo manuale ne è l'esempio integrale.</w:t>
      </w:r>
    </w:p>
    <w:p>
      <w:pPr>
        <w:spacing w:after="120" w:line="276"/>
        <w:jc w:val="both"/>
      </w:pPr>
      <w:r>
        <w:rPr>
          <w:rFonts w:ascii="Barlow Semi Condensed" w:cs="Barlow Semi Condensed" w:eastAsia="Barlow Semi Condensed" w:hAnsi="Barlow Semi Condensed"/>
          <w:b/>
          <w:bCs/>
          <w:sz w:val="24"/>
          <w:szCs w:val="24"/>
        </w:rPr>
        <w:t xml:space="preserve">24 · La sede archivistica.</w:t>
      </w:r>
      <w:r>
        <w:rPr>
          <w:rFonts w:ascii="Barlow Semi Condensed" w:cs="Barlow Semi Condensed" w:eastAsia="Barlow Semi Condensed" w:hAnsi="Barlow Semi Condensed"/>
          <w:sz w:val="24"/>
          <w:szCs w:val="24"/>
        </w:rPr>
        <w:t xml:space="preserve"> Lo spoglio del fondo Direttiva Renzi esige un progetto formale — responsabile scientifico, protocollo di citazione, inventario analitico pubblico — non incursioni episodiche di singoli ricercatori.</w:t>
      </w:r>
    </w:p>
    <w:p>
      <w:pPr>
        <w:spacing w:after="120" w:line="276"/>
        <w:jc w:val="both"/>
      </w:pPr>
      <w:r>
        <w:rPr>
          <w:rFonts w:ascii="Barlow Semi Condensed" w:cs="Barlow Semi Condensed" w:eastAsia="Barlow Semi Condensed" w:hAnsi="Barlow Semi Condensed"/>
          <w:b/>
          <w:bCs/>
          <w:sz w:val="24"/>
          <w:szCs w:val="24"/>
        </w:rPr>
        <w:t xml:space="preserve">25 · Il cantiere conservativo.</w:t>
      </w:r>
      <w:r>
        <w:rPr>
          <w:rFonts w:ascii="Barlow Semi Condensed" w:cs="Barlow Semi Condensed" w:eastAsia="Barlow Semi Condensed" w:hAnsi="Barlow Semi Condensed"/>
          <w:sz w:val="24"/>
          <w:szCs w:val="24"/>
        </w:rPr>
        <w:t xml:space="preserve"> La raccolta di testimonianze e lasciti richiede una sede terza qualificata (istituto storico, archivio pubblico) con protocolli notarili di acquisizione: non è giornalismo e non è processo — è conservazione.</w:t>
      </w:r>
    </w:p>
    <w:p>
      <w:pPr>
        <w:spacing w:after="120" w:line="276"/>
        <w:jc w:val="both"/>
      </w:pPr>
      <w:r>
        <w:rPr>
          <w:rFonts w:ascii="Barlow Semi Condensed" w:cs="Barlow Semi Condensed" w:eastAsia="Barlow Semi Condensed" w:hAnsi="Barlow Semi Condensed"/>
          <w:b/>
          <w:bCs/>
          <w:sz w:val="24"/>
          <w:szCs w:val="24"/>
        </w:rPr>
        <w:t xml:space="preserve">26 · Il coordinamento senza gerarchia.</w:t>
      </w:r>
      <w:r>
        <w:rPr>
          <w:rFonts w:ascii="Barlow Semi Condensed" w:cs="Barlow Semi Condensed" w:eastAsia="Barlow Semi Condensed" w:hAnsi="Barlow Semi Condensed"/>
          <w:sz w:val="24"/>
          <w:szCs w:val="24"/>
        </w:rPr>
        <w:t xml:space="preserve"> Un tavolo periodico fra i tre cantieri scambia elenchi di bisogni: il giudiziario dice quali carte cerca, l'archivistico dove sono, il conservativo chi può ancora parlarne. Nessuno dei tre dirige gli altri.</w:t>
      </w:r>
    </w:p>
    <w:p>
      <w:pPr>
        <w:spacing w:after="120" w:line="276"/>
        <w:jc w:val="both"/>
      </w:pPr>
      <w:r>
        <w:rPr>
          <w:rFonts w:ascii="Barlow Semi Condensed" w:cs="Barlow Semi Condensed" w:eastAsia="Barlow Semi Condensed" w:hAnsi="Barlow Semi Condensed"/>
          <w:b/>
          <w:bCs/>
          <w:sz w:val="24"/>
          <w:szCs w:val="24"/>
        </w:rPr>
        <w:t xml:space="preserve">27 · Il conflitto d'interessi.</w:t>
      </w:r>
      <w:r>
        <w:rPr>
          <w:rFonts w:ascii="Barlow Semi Condensed" w:cs="Barlow Semi Condensed" w:eastAsia="Barlow Semi Condensed" w:hAnsi="Barlow Semi Condensed"/>
          <w:sz w:val="24"/>
          <w:szCs w:val="24"/>
        </w:rPr>
        <w:t xml:space="preserve"> Chi ha sostenuto pubblicamente una tesi sul caso può servire i cantieri solo su atti che possono smentirla: la regola trasforma il pregiudizio in risorsa di controllo.</w:t>
      </w:r>
    </w:p>
    <w:p>
      <w:pPr>
        <w:spacing w:after="120" w:line="276"/>
        <w:jc w:val="both"/>
      </w:pPr>
      <w:r>
        <w:rPr>
          <w:rFonts w:ascii="Barlow Semi Condensed" w:cs="Barlow Semi Condensed" w:eastAsia="Barlow Semi Condensed" w:hAnsi="Barlow Semi Condensed"/>
          <w:b/>
          <w:bCs/>
          <w:sz w:val="24"/>
          <w:szCs w:val="24"/>
        </w:rPr>
        <w:t xml:space="preserve">28 · La pubblicità degli atti.</w:t>
      </w:r>
      <w:r>
        <w:rPr>
          <w:rFonts w:ascii="Barlow Semi Condensed" w:cs="Barlow Semi Condensed" w:eastAsia="Barlow Semi Condensed" w:hAnsi="Barlow Semi Condensed"/>
          <w:sz w:val="24"/>
          <w:szCs w:val="24"/>
        </w:rPr>
        <w:t xml:space="preserve"> Ogni prodotto non coperto da segreto istruttorio si pubblica con fonti e indirizzi: la tracciabilità è il solo antidoto strutturale alla dietrologia.</w:t>
      </w:r>
    </w:p>
    <w:p>
      <w:pPr>
        <w:spacing w:after="120" w:line="276"/>
        <w:jc w:val="both"/>
      </w:pPr>
      <w:r>
        <w:rPr>
          <w:rFonts w:ascii="Barlow Semi Condensed" w:cs="Barlow Semi Condensed" w:eastAsia="Barlow Semi Condensed" w:hAnsi="Barlow Semi Condensed"/>
          <w:b/>
          <w:bCs/>
          <w:sz w:val="24"/>
          <w:szCs w:val="24"/>
        </w:rPr>
        <w:t xml:space="preserve">29 · Il registro delle piste.</w:t>
      </w:r>
      <w:r>
        <w:rPr>
          <w:rFonts w:ascii="Barlow Semi Condensed" w:cs="Barlow Semi Condensed" w:eastAsia="Barlow Semi Condensed" w:hAnsi="Barlow Semi Condensed"/>
          <w:sz w:val="24"/>
          <w:szCs w:val="24"/>
        </w:rPr>
        <w:t xml:space="preserve"> Un documento pubblico e datato censisce ogni pista con stato, punteggio, atti compiuti e criterio di chiusura; le piste archiviate vi restano con il criterio di riapertura. Questo manuale ne fissa l'impianto.</w:t>
      </w:r>
    </w:p>
    <w:p>
      <w:pPr>
        <w:spacing w:after="120" w:line="276"/>
        <w:jc w:val="both"/>
      </w:pPr>
      <w:r>
        <w:rPr>
          <w:rFonts w:ascii="Barlow Semi Condensed" w:cs="Barlow Semi Condensed" w:eastAsia="Barlow Semi Condensed" w:hAnsi="Barlow Semi Condensed"/>
          <w:b/>
          <w:bCs/>
          <w:sz w:val="24"/>
          <w:szCs w:val="24"/>
        </w:rPr>
        <w:t xml:space="preserve">30 · La cadenza.</w:t>
      </w:r>
      <w:r>
        <w:rPr>
          <w:rFonts w:ascii="Barlow Semi Condensed" w:cs="Barlow Semi Condensed" w:eastAsia="Barlow Semi Condensed" w:hAnsi="Barlow Semi Condensed"/>
          <w:sz w:val="24"/>
          <w:szCs w:val="24"/>
        </w:rPr>
        <w:t xml:space="preserve"> Revisione trimestrale dei punteggi alla luce degli atti compiuti; ogni revisione è motivata per iscritto. Un punteggio immobile per anni è un punteggio non curato.</w:t>
      </w:r>
    </w:p>
    <w:p>
      <w:pPr>
        <w:spacing w:after="120" w:line="276"/>
        <w:jc w:val="both"/>
      </w:pPr>
      <w:r>
        <w:rPr>
          <w:rFonts w:ascii="Barlow Semi Condensed" w:cs="Barlow Semi Condensed" w:eastAsia="Barlow Semi Condensed" w:hAnsi="Barlow Semi Condensed"/>
          <w:b/>
          <w:bCs/>
          <w:sz w:val="24"/>
          <w:szCs w:val="24"/>
        </w:rPr>
        <w:t xml:space="preserve">31 · Il perito e il suo mandato.</w:t>
      </w:r>
      <w:r>
        <w:rPr>
          <w:rFonts w:ascii="Barlow Semi Condensed" w:cs="Barlow Semi Condensed" w:eastAsia="Barlow Semi Condensed" w:hAnsi="Barlow Semi Condensed"/>
          <w:sz w:val="24"/>
          <w:szCs w:val="24"/>
        </w:rPr>
        <w:t xml:space="preserve"> Ogni incarico peritale reca il quesito esatto, i limiti del reperto, la divergenza da dirimere e l'obbligo di dichiarare l'indecidibilità quando è l'esito onesto.</w:t>
      </w:r>
    </w:p>
    <w:p>
      <w:pPr>
        <w:spacing w:after="120" w:line="276"/>
        <w:jc w:val="both"/>
      </w:pPr>
      <w:r>
        <w:rPr>
          <w:rFonts w:ascii="Barlow Semi Condensed" w:cs="Barlow Semi Condensed" w:eastAsia="Barlow Semi Condensed" w:hAnsi="Barlow Semi Condensed"/>
          <w:b/>
          <w:bCs/>
          <w:sz w:val="24"/>
          <w:szCs w:val="24"/>
        </w:rPr>
        <w:t xml:space="preserve">32 · Il contraddittorio tecnico.</w:t>
      </w:r>
      <w:r>
        <w:rPr>
          <w:rFonts w:ascii="Barlow Semi Condensed" w:cs="Barlow Semi Condensed" w:eastAsia="Barlow Semi Condensed" w:hAnsi="Barlow Semi Condensed"/>
          <w:sz w:val="24"/>
          <w:szCs w:val="24"/>
        </w:rPr>
        <w:t xml:space="preserve"> Le perizie dirimenti si svolgono con consulenti di più parti e — dove il rito lo consenta — con osservatori della sede storica: la scienza che decide un caso storico non lavora in camera chiusa.</w:t>
      </w:r>
    </w:p>
    <w:p>
      <w:pPr>
        <w:spacing w:after="120" w:line="276"/>
        <w:jc w:val="both"/>
      </w:pPr>
      <w:r>
        <w:rPr>
          <w:rFonts w:ascii="Barlow Semi Condensed" w:cs="Barlow Semi Condensed" w:eastAsia="Barlow Semi Condensed" w:hAnsi="Barlow Semi Condensed"/>
          <w:b/>
          <w:bCs/>
          <w:sz w:val="24"/>
          <w:szCs w:val="24"/>
        </w:rPr>
        <w:t xml:space="preserve">33 · La verbalizzazione totale.</w:t>
      </w:r>
      <w:r>
        <w:rPr>
          <w:rFonts w:ascii="Barlow Semi Condensed" w:cs="Barlow Semi Condensed" w:eastAsia="Barlow Semi Condensed" w:hAnsi="Barlow Semi Condensed"/>
          <w:sz w:val="24"/>
          <w:szCs w:val="24"/>
        </w:rPr>
        <w:t xml:space="preserve"> Ogni atto dei tre cantieri produce verbale: anche il sopralluogo negativo, anche la telefonata all'archivio che risponde «non abbiamo nulla». Il nuovo caso non deve generare i buchi documentali che indaga.</w:t>
      </w:r>
    </w:p>
    <w:p>
      <w:pPr>
        <w:spacing w:after="120" w:line="276"/>
        <w:jc w:val="both"/>
      </w:pPr>
      <w:r>
        <w:rPr>
          <w:rFonts w:ascii="Barlow Semi Condensed" w:cs="Barlow Semi Condensed" w:eastAsia="Barlow Semi Condensed" w:hAnsi="Barlow Semi Condensed"/>
          <w:b/>
          <w:bCs/>
          <w:sz w:val="24"/>
          <w:szCs w:val="24"/>
        </w:rPr>
        <w:t xml:space="preserve">34 · L'unità di documentazione.</w:t>
      </w:r>
      <w:r>
        <w:rPr>
          <w:rFonts w:ascii="Barlow Semi Condensed" w:cs="Barlow Semi Condensed" w:eastAsia="Barlow Semi Condensed" w:hAnsi="Barlow Semi Condensed"/>
          <w:sz w:val="24"/>
          <w:szCs w:val="24"/>
        </w:rPr>
        <w:t xml:space="preserve"> Un protocollo unico di citazione (fondo, busta, fascicolo, carta) vale per tutti i cantieri, così che ogni affermazione pubblica sia verificabile in un passaggio.</w:t>
      </w:r>
    </w:p>
    <w:p>
      <w:pPr>
        <w:spacing w:after="120" w:line="276"/>
        <w:jc w:val="both"/>
      </w:pPr>
      <w:r>
        <w:rPr>
          <w:rFonts w:ascii="Barlow Semi Condensed" w:cs="Barlow Semi Condensed" w:eastAsia="Barlow Semi Condensed" w:hAnsi="Barlow Semi Condensed"/>
          <w:b/>
          <w:bCs/>
          <w:sz w:val="24"/>
          <w:szCs w:val="24"/>
        </w:rPr>
        <w:t xml:space="preserve">35 · Le commissioni future.</w:t>
      </w:r>
      <w:r>
        <w:rPr>
          <w:rFonts w:ascii="Barlow Semi Condensed" w:cs="Barlow Semi Condensed" w:eastAsia="Barlow Semi Condensed" w:hAnsi="Barlow Semi Condensed"/>
          <w:sz w:val="24"/>
          <w:szCs w:val="24"/>
        </w:rPr>
        <w:t xml:space="preserve"> Se il Parlamento istituirà nuovi organi d'inchiesta, il loro rendimento dipenderà dall'ereditare questo impianto — piste, registri, criteri — invece di ricominciare dalle audizioni celebri: il manuale è scritto anche per quell'eventualità.</w:t>
      </w:r>
    </w:p>
    <w:p>
      <w:pPr>
        <w:spacing w:after="120" w:line="276"/>
        <w:jc w:val="both"/>
      </w:pPr>
      <w:r>
        <w:rPr>
          <w:rFonts w:ascii="Barlow Semi Condensed" w:cs="Barlow Semi Condensed" w:eastAsia="Barlow Semi Condensed" w:hAnsi="Barlow Semi Condensed"/>
          <w:b/>
          <w:bCs/>
          <w:sz w:val="24"/>
          <w:szCs w:val="24"/>
        </w:rPr>
        <w:t xml:space="preserve">36 · Il rapporto coi processi storici.</w:t>
      </w:r>
      <w:r>
        <w:rPr>
          <w:rFonts w:ascii="Barlow Semi Condensed" w:cs="Barlow Semi Condensed" w:eastAsia="Barlow Semi Condensed" w:hAnsi="Barlow Semi Condensed"/>
          <w:sz w:val="24"/>
          <w:szCs w:val="24"/>
        </w:rPr>
        <w:t xml:space="preserve"> I fascicoli dei cinque processi Moro sono essi stessi un giacimento: verbali di perquisizione, reperti, elenchi. Il cantiere archivistico li tratta come fondo primario, con l'autorizzazione delle cancellerie competenti.</w:t>
      </w:r>
    </w:p>
    <w:p>
      <w:pPr>
        <w:spacing w:after="120" w:line="276"/>
        <w:jc w:val="both"/>
      </w:pPr>
      <w:r>
        <w:rPr>
          <w:rFonts w:ascii="Barlow Semi Condensed" w:cs="Barlow Semi Condensed" w:eastAsia="Barlow Semi Condensed" w:hAnsi="Barlow Semi Condensed"/>
          <w:b/>
          <w:bCs/>
          <w:sz w:val="24"/>
          <w:szCs w:val="24"/>
        </w:rPr>
        <w:t xml:space="preserve">37 · Le famiglie.</w:t>
      </w:r>
      <w:r>
        <w:rPr>
          <w:rFonts w:ascii="Barlow Semi Condensed" w:cs="Barlow Semi Condensed" w:eastAsia="Barlow Semi Condensed" w:hAnsi="Barlow Semi Condensed"/>
          <w:sz w:val="24"/>
          <w:szCs w:val="24"/>
        </w:rPr>
        <w:t xml:space="preserve"> Le famiglie delle sei vittime hanno diritto a un canale informativo dedicato e preventivo: nessun risultato le raggiunge dai giornali prima che dalle istituzioni.</w:t>
      </w:r>
    </w:p>
    <w:p>
      <w:pPr>
        <w:spacing w:after="120" w:line="276"/>
        <w:jc w:val="both"/>
      </w:pPr>
      <w:r>
        <w:rPr>
          <w:rFonts w:ascii="Barlow Semi Condensed" w:cs="Barlow Semi Condensed" w:eastAsia="Barlow Semi Condensed" w:hAnsi="Barlow Semi Condensed"/>
          <w:b/>
          <w:bCs/>
          <w:sz w:val="24"/>
          <w:szCs w:val="24"/>
        </w:rPr>
        <w:t xml:space="preserve">38 · La stampa.</w:t>
      </w:r>
      <w:r>
        <w:rPr>
          <w:rFonts w:ascii="Barlow Semi Condensed" w:cs="Barlow Semi Condensed" w:eastAsia="Barlow Semi Condensed" w:hAnsi="Barlow Semi Condensed"/>
          <w:sz w:val="24"/>
          <w:szCs w:val="24"/>
        </w:rPr>
        <w:t xml:space="preserve"> Ogni comunicazione pubblica dei cantieri distingue in una riga il grado di ciò che annuncia; nessuna conferenza stampa su ipotesi; i titoli non sono atti.</w:t>
      </w:r>
    </w:p>
    <w:p>
      <w:pPr>
        <w:spacing w:after="120" w:line="276"/>
        <w:jc w:val="both"/>
      </w:pPr>
      <w:r>
        <w:rPr>
          <w:rFonts w:ascii="Barlow Semi Condensed" w:cs="Barlow Semi Condensed" w:eastAsia="Barlow Semi Condensed" w:hAnsi="Barlow Semi Condensed"/>
          <w:b/>
          <w:bCs/>
          <w:sz w:val="24"/>
          <w:szCs w:val="24"/>
        </w:rPr>
        <w:t xml:space="preserve">39 · Il bilancio dei mezzi.</w:t>
      </w:r>
      <w:r>
        <w:rPr>
          <w:rFonts w:ascii="Barlow Semi Condensed" w:cs="Barlow Semi Condensed" w:eastAsia="Barlow Semi Condensed" w:hAnsi="Barlow Semi Condensed"/>
          <w:sz w:val="24"/>
          <w:szCs w:val="24"/>
        </w:rPr>
        <w:t xml:space="preserve"> Ogni pista dichiara il costo stimato del proprio atto (ore d'archivio, giornate di laboratorio, rogatorie): la matrice rendimento/fattibilità non è retorica — è il documento con cui si chiedono le risorse.</w:t>
      </w:r>
    </w:p>
    <w:p>
      <w:pPr>
        <w:spacing w:after="120" w:line="276"/>
        <w:jc w:val="both"/>
      </w:pPr>
      <w:r>
        <w:rPr>
          <w:rFonts w:ascii="Barlow Semi Condensed" w:cs="Barlow Semi Condensed" w:eastAsia="Barlow Semi Condensed" w:hAnsi="Barlow Semi Condensed"/>
          <w:b/>
          <w:bCs/>
          <w:sz w:val="24"/>
          <w:szCs w:val="24"/>
        </w:rPr>
        <w:t xml:space="preserve">40 · La formazione.</w:t>
      </w:r>
      <w:r>
        <w:rPr>
          <w:rFonts w:ascii="Barlow Semi Condensed" w:cs="Barlow Semi Condensed" w:eastAsia="Barlow Semi Condensed" w:hAnsi="Barlow Semi Condensed"/>
          <w:sz w:val="24"/>
          <w:szCs w:val="24"/>
        </w:rPr>
        <w:t xml:space="preserve"> Chi entra nei cantieri riceve il fascicolo di metodo: questo manuale, le schede, la Nota di revisione n. 1. Nessuno lavora sul caso senza conoscere gli errori già commessi dal caso.</w:t>
      </w:r>
    </w:p>
    <w:p>
      <w:pPr>
        <w:spacing w:after="120" w:line="276"/>
        <w:jc w:val="both"/>
      </w:pPr>
      <w:r>
        <w:rPr>
          <w:rFonts w:ascii="Barlow Semi Condensed" w:cs="Barlow Semi Condensed" w:eastAsia="Barlow Semi Condensed" w:hAnsi="Barlow Semi Condensed"/>
          <w:b/>
          <w:bCs/>
          <w:sz w:val="24"/>
          <w:szCs w:val="24"/>
        </w:rPr>
        <w:t xml:space="preserve">41 · L'archiviazione motivata.</w:t>
      </w:r>
      <w:r>
        <w:rPr>
          <w:rFonts w:ascii="Barlow Semi Condensed" w:cs="Barlow Semi Condensed" w:eastAsia="Barlow Semi Condensed" w:hAnsi="Barlow Semi Condensed"/>
          <w:sz w:val="24"/>
          <w:szCs w:val="24"/>
        </w:rPr>
        <w:t xml:space="preserve"> Una pista si archivia con atto scritto che ne dichiara il criterio di riapertura documentale; l'archiviazione silenziosa è vietata quanto l'accanimento.</w:t>
      </w:r>
    </w:p>
    <w:p>
      <w:pPr>
        <w:spacing w:after="120" w:line="276"/>
        <w:jc w:val="both"/>
      </w:pPr>
      <w:r>
        <w:rPr>
          <w:rFonts w:ascii="Barlow Semi Condensed" w:cs="Barlow Semi Condensed" w:eastAsia="Barlow Semi Condensed" w:hAnsi="Barlow Semi Condensed"/>
          <w:b/>
          <w:bCs/>
          <w:sz w:val="24"/>
          <w:szCs w:val="24"/>
        </w:rPr>
        <w:t xml:space="preserve">42 · Il doppio binario col Dossier maggiore.</w:t>
      </w:r>
      <w:r>
        <w:rPr>
          <w:rFonts w:ascii="Barlow Semi Condensed" w:cs="Barlow Semi Condensed" w:eastAsia="Barlow Semi Condensed" w:hAnsi="Barlow Semi Condensed"/>
          <w:sz w:val="24"/>
          <w:szCs w:val="24"/>
        </w:rPr>
        <w:t xml:space="preserve"> L'edizione probabilistica dell'autore vive sotto la sua responsabilità e fuori dai cantieri: il nuovo caso non importa graduatorie, e i cantieri non esportano atti coperti.</w:t>
      </w:r>
    </w:p>
    <w:p>
      <w:pPr>
        <w:spacing w:after="120" w:line="276"/>
        <w:jc w:val="both"/>
      </w:pPr>
      <w:r>
        <w:rPr>
          <w:rFonts w:ascii="Barlow Semi Condensed" w:cs="Barlow Semi Condensed" w:eastAsia="Barlow Semi Condensed" w:hAnsi="Barlow Semi Condensed"/>
          <w:b/>
          <w:bCs/>
          <w:sz w:val="24"/>
          <w:szCs w:val="24"/>
        </w:rPr>
        <w:t xml:space="preserve">43 · La lingua degli atti.</w:t>
      </w:r>
      <w:r>
        <w:rPr>
          <w:rFonts w:ascii="Barlow Semi Condensed" w:cs="Barlow Semi Condensed" w:eastAsia="Barlow Semi Condensed" w:hAnsi="Barlow Semi Condensed"/>
          <w:sz w:val="24"/>
          <w:szCs w:val="24"/>
        </w:rPr>
        <w:t xml:space="preserve"> Prosa piana, termini tecnici spiegati alla prima occorrenza, nessun nome evocato senza necessità: gli atti del nuovo caso devono poter essere letti fra cinquant'anni senza glossario dietrologico.</w:t>
      </w:r>
    </w:p>
    <w:p>
      <w:pPr>
        <w:spacing w:after="120" w:line="276"/>
        <w:jc w:val="both"/>
      </w:pPr>
      <w:r>
        <w:rPr>
          <w:rFonts w:ascii="Barlow Semi Condensed" w:cs="Barlow Semi Condensed" w:eastAsia="Barlow Semi Condensed" w:hAnsi="Barlow Semi Condensed"/>
          <w:b/>
          <w:bCs/>
          <w:sz w:val="24"/>
          <w:szCs w:val="24"/>
        </w:rPr>
        <w:t xml:space="preserve">44 · La durata.</w:t>
      </w:r>
      <w:r>
        <w:rPr>
          <w:rFonts w:ascii="Barlow Semi Condensed" w:cs="Barlow Semi Condensed" w:eastAsia="Barlow Semi Condensed" w:hAnsi="Barlow Semi Condensed"/>
          <w:sz w:val="24"/>
          <w:szCs w:val="24"/>
        </w:rPr>
        <w:t xml:space="preserve"> Il cantiere conservativo lavora a scadenza biologica (mesi), il giudiziario a scadenza processuale (anni), l'archivistico a scadenza generazionale (decenni): i cronoprogrammi non si confondono, e la serie decima li ordina.</w:t>
      </w:r>
    </w:p>
    <w:p>
      <w:pPr>
        <w:spacing w:after="120" w:line="276"/>
        <w:jc w:val="both"/>
      </w:pPr>
      <w:r>
        <w:rPr>
          <w:rFonts w:ascii="Barlow Semi Condensed" w:cs="Barlow Semi Condensed" w:eastAsia="Barlow Semi Condensed" w:hAnsi="Barlow Semi Condensed"/>
          <w:b/>
          <w:bCs/>
          <w:sz w:val="24"/>
          <w:szCs w:val="24"/>
        </w:rPr>
        <w:t xml:space="preserve">45 · Il custode del metodo.</w:t>
      </w:r>
      <w:r>
        <w:rPr>
          <w:rFonts w:ascii="Barlow Semi Condensed" w:cs="Barlow Semi Condensed" w:eastAsia="Barlow Semi Condensed" w:hAnsi="Barlow Semi Condensed"/>
          <w:sz w:val="24"/>
          <w:szCs w:val="24"/>
        </w:rPr>
        <w:t xml:space="preserve"> Ogni cantiere designa un garante interno col potere di sospendere un atto che violi la serie prima; le sue rimostranze sono scritte e pubbliche. Il metodo senza custode è un auspicio.</w:t>
      </w:r>
    </w:p>
    <w:p>
      <w:pPr>
        <w:pStyle w:val="Heading2"/>
        <w:spacing w:after="100" w:before="200"/>
      </w:pPr>
      <w:r>
        <w:rPr>
          <w:rFonts w:ascii="Barlow Semi Condensed" w:cs="Barlow Semi Condensed" w:eastAsia="Barlow Semi Condensed" w:hAnsi="Barlow Semi Condensed"/>
          <w:sz w:val="24"/>
          <w:szCs w:val="24"/>
        </w:rPr>
        <w:t xml:space="preserve">Serie terza — I reperti e le scienze forensi (blocchi 46-90)</w:t>
      </w:r>
    </w:p>
    <w:p>
      <w:pPr>
        <w:spacing w:after="120" w:line="276"/>
        <w:jc w:val="both"/>
      </w:pPr>
      <w:r>
        <w:rPr>
          <w:rFonts w:ascii="Barlow Semi Condensed" w:cs="Barlow Semi Condensed" w:eastAsia="Barlow Semi Condensed" w:hAnsi="Barlow Semi Condensed"/>
          <w:i/>
          <w:iCs/>
          <w:sz w:val="24"/>
          <w:szCs w:val="24"/>
        </w:rPr>
        <w:t xml:space="preserve">Statuto della serie: il cantiere dei reperti. Prima la catena di custodia, poi la scienza; il quesito prima della tecnica; l'indecidibilità come esito legittimo.</w:t>
      </w:r>
    </w:p>
    <w:p>
      <w:pPr>
        <w:spacing w:after="120" w:line="276"/>
        <w:jc w:val="both"/>
      </w:pPr>
      <w:r>
        <w:rPr>
          <w:rFonts w:ascii="Barlow Semi Condensed" w:cs="Barlow Semi Condensed" w:eastAsia="Barlow Semi Condensed" w:hAnsi="Barlow Semi Condensed"/>
          <w:b/>
          <w:bCs/>
          <w:sz w:val="24"/>
          <w:szCs w:val="24"/>
        </w:rPr>
        <w:t xml:space="preserve">46 · L'inventario generale.</w:t>
      </w:r>
      <w:r>
        <w:rPr>
          <w:rFonts w:ascii="Barlow Semi Condensed" w:cs="Barlow Semi Condensed" w:eastAsia="Barlow Semi Condensed" w:hAnsi="Barlow Semi Condensed"/>
          <w:sz w:val="24"/>
          <w:szCs w:val="24"/>
        </w:rPr>
        <w:t xml:space="preserve"> Primo atto assoluto: l'inventario unificato di tutti i reperti del caso ancora esistenti — dove sono, in che stato, con quale storia di movimentazione. Nessuna perizia prima dell'inventario.</w:t>
      </w:r>
    </w:p>
    <w:p>
      <w:pPr>
        <w:spacing w:after="120" w:line="276"/>
        <w:jc w:val="both"/>
      </w:pPr>
      <w:r>
        <w:rPr>
          <w:rFonts w:ascii="Barlow Semi Condensed" w:cs="Barlow Semi Condensed" w:eastAsia="Barlow Semi Condensed" w:hAnsi="Barlow Semi Condensed"/>
          <w:b/>
          <w:bCs/>
          <w:sz w:val="24"/>
          <w:szCs w:val="24"/>
        </w:rPr>
        <w:t xml:space="preserve">47 · La catena di custodia retrospettiva.</w:t>
      </w:r>
      <w:r>
        <w:rPr>
          <w:rFonts w:ascii="Barlow Semi Condensed" w:cs="Barlow Semi Condensed" w:eastAsia="Barlow Semi Condensed" w:hAnsi="Barlow Semi Condensed"/>
          <w:sz w:val="24"/>
          <w:szCs w:val="24"/>
        </w:rPr>
        <w:t xml:space="preserve"> Per ogni reperto si ricostruisce a ritroso ogni passaggio dal 1978: sequestro, deposito, perizie subite, trasferimenti. La catena lacunosa non uccide il reperto, ma ne grada le conclusioni.</w:t>
      </w:r>
    </w:p>
    <w:p>
      <w:pPr>
        <w:spacing w:after="120" w:line="276"/>
        <w:jc w:val="both"/>
      </w:pPr>
      <w:r>
        <w:rPr>
          <w:rFonts w:ascii="Barlow Semi Condensed" w:cs="Barlow Semi Condensed" w:eastAsia="Barlow Semi Condensed" w:hAnsi="Barlow Semi Condensed"/>
          <w:b/>
          <w:bCs/>
          <w:sz w:val="24"/>
          <w:szCs w:val="24"/>
        </w:rPr>
        <w:t xml:space="preserve">48 · Il triage dei reperti.</w:t>
      </w:r>
      <w:r>
        <w:rPr>
          <w:rFonts w:ascii="Barlow Semi Condensed" w:cs="Barlow Semi Condensed" w:eastAsia="Barlow Semi Condensed" w:hAnsi="Barlow Semi Condensed"/>
          <w:sz w:val="24"/>
          <w:szCs w:val="24"/>
        </w:rPr>
        <w:t xml:space="preserve"> Tre classi: reperti integri a catena solida (perizia piena), reperti degradati o a catena lacunosa (perizia con riserva di grado), reperti dispersi (censimento della dispersione, che è un dato). Ogni classe ha il suo protocollo.</w:t>
      </w:r>
    </w:p>
    <w:p>
      <w:pPr>
        <w:spacing w:after="120" w:line="276"/>
        <w:jc w:val="both"/>
      </w:pPr>
      <w:r>
        <w:rPr>
          <w:rFonts w:ascii="Barlow Semi Condensed" w:cs="Barlow Semi Condensed" w:eastAsia="Barlow Semi Condensed" w:hAnsi="Barlow Semi Condensed"/>
          <w:b/>
          <w:bCs/>
          <w:sz w:val="24"/>
          <w:szCs w:val="24"/>
        </w:rPr>
        <w:t xml:space="preserve">49 · Il quesito prima della tecnica.</w:t>
      </w:r>
      <w:r>
        <w:rPr>
          <w:rFonts w:ascii="Barlow Semi Condensed" w:cs="Barlow Semi Condensed" w:eastAsia="Barlow Semi Condensed" w:hAnsi="Barlow Semi Condensed"/>
          <w:sz w:val="24"/>
          <w:szCs w:val="24"/>
        </w:rPr>
        <w:t xml:space="preserve"> Nessun reperto si analizza «per vedere cosa esce»: ogni analisi discende da una matrice ACH che dice quale ipotesi l'esito potrebbe falsificare.</w:t>
      </w:r>
    </w:p>
    <w:p>
      <w:pPr>
        <w:spacing w:after="120" w:line="276"/>
        <w:jc w:val="both"/>
      </w:pPr>
      <w:r>
        <w:rPr>
          <w:rFonts w:ascii="Barlow Semi Condensed" w:cs="Barlow Semi Condensed" w:eastAsia="Barlow Semi Condensed" w:hAnsi="Barlow Semi Condensed"/>
          <w:b/>
          <w:bCs/>
          <w:sz w:val="24"/>
          <w:szCs w:val="24"/>
        </w:rPr>
        <w:t xml:space="preserve">50 · La conservazione del residuo.</w:t>
      </w:r>
      <w:r>
        <w:rPr>
          <w:rFonts w:ascii="Barlow Semi Condensed" w:cs="Barlow Semi Condensed" w:eastAsia="Barlow Semi Condensed" w:hAnsi="Barlow Semi Condensed"/>
          <w:sz w:val="24"/>
          <w:szCs w:val="24"/>
        </w:rPr>
        <w:t xml:space="preserve"> Ogni analisi distruttiva o consumante lascia, dove fisicamente possibile, una frazione intatta per le tecniche future: il nuovo caso non deve rubare reperti al prossimo.</w:t>
      </w:r>
    </w:p>
    <w:p>
      <w:pPr>
        <w:spacing w:after="120" w:line="276"/>
        <w:jc w:val="both"/>
      </w:pPr>
      <w:r>
        <w:rPr>
          <w:rFonts w:ascii="Barlow Semi Condensed" w:cs="Barlow Semi Condensed" w:eastAsia="Barlow Semi Condensed" w:hAnsi="Barlow Semi Condensed"/>
          <w:b/>
          <w:bCs/>
          <w:sz w:val="24"/>
          <w:szCs w:val="24"/>
        </w:rPr>
        <w:t xml:space="preserve">51 · I 91 bossoli: il quesito unico.</w:t>
      </w:r>
      <w:r>
        <w:rPr>
          <w:rFonts w:ascii="Barlow Semi Condensed" w:cs="Barlow Semi Condensed" w:eastAsia="Barlow Semi Condensed" w:hAnsi="Barlow Semi Condensed"/>
          <w:sz w:val="24"/>
          <w:szCs w:val="24"/>
        </w:rPr>
        <w:t xml:space="preserve"> La perizia di sintesi balistica ha un solo quesito dirimente, in tre rami: quanti bossoli tornano a ciascuna arma; se i 49 attribuiti a un'arma sola lo sono davvero; se esiste un residuo non attribuibile alle armi note.</w:t>
      </w:r>
    </w:p>
    <w:p>
      <w:pPr>
        <w:spacing w:after="120" w:line="276"/>
        <w:jc w:val="both"/>
      </w:pPr>
      <w:r>
        <w:rPr>
          <w:rFonts w:ascii="Barlow Semi Condensed" w:cs="Barlow Semi Condensed" w:eastAsia="Barlow Semi Condensed" w:hAnsi="Barlow Semi Condensed"/>
          <w:b/>
          <w:bCs/>
          <w:sz w:val="24"/>
          <w:szCs w:val="24"/>
        </w:rPr>
        <w:t xml:space="preserve">52 · La divergenza da dirimere.</w:t>
      </w:r>
      <w:r>
        <w:rPr>
          <w:rFonts w:ascii="Barlow Semi Condensed" w:cs="Barlow Semi Condensed" w:eastAsia="Barlow Semi Condensed" w:hAnsi="Barlow Semi Condensed"/>
          <w:sz w:val="24"/>
          <w:szCs w:val="24"/>
        </w:rPr>
        <w:t xml:space="preserve"> Le tre perizie storiche — l'originaria, la Salza-Benedetti che non confermò, la 2015 che riconfermò — si mettono a confronto metodologico prima di ogni nuovo esame: dove divergono i metodi si capisce dove può divergere l'esito.</w:t>
      </w:r>
    </w:p>
    <w:p>
      <w:pPr>
        <w:spacing w:after="120" w:line="276"/>
        <w:jc w:val="both"/>
      </w:pPr>
      <w:r>
        <w:rPr>
          <w:rFonts w:ascii="Barlow Semi Condensed" w:cs="Barlow Semi Condensed" w:eastAsia="Barlow Semi Condensed" w:hAnsi="Barlow Semi Condensed"/>
          <w:b/>
          <w:bCs/>
          <w:sz w:val="24"/>
          <w:szCs w:val="24"/>
        </w:rPr>
        <w:t xml:space="preserve">53 · La microscopia comparativa moderna.</w:t>
      </w:r>
      <w:r>
        <w:rPr>
          <w:rFonts w:ascii="Barlow Semi Condensed" w:cs="Barlow Semi Condensed" w:eastAsia="Barlow Semi Condensed" w:hAnsi="Barlow Semi Condensed"/>
          <w:sz w:val="24"/>
          <w:szCs w:val="24"/>
        </w:rPr>
        <w:t xml:space="preserve"> Comparatore ottico e scansione tridimensionale delle superfici di percussione ed estrazione su tutti i bossoli, con archiviazione digitale delle impronte: l'esame diventa replicabile da terzi senza toccare il reperto.</w:t>
      </w:r>
    </w:p>
    <w:p>
      <w:pPr>
        <w:spacing w:after="120" w:line="276"/>
        <w:jc w:val="both"/>
      </w:pPr>
      <w:r>
        <w:rPr>
          <w:rFonts w:ascii="Barlow Semi Condensed" w:cs="Barlow Semi Condensed" w:eastAsia="Barlow Semi Condensed" w:hAnsi="Barlow Semi Condensed"/>
          <w:b/>
          <w:bCs/>
          <w:sz w:val="24"/>
          <w:szCs w:val="24"/>
        </w:rPr>
        <w:t xml:space="preserve">54 · Il campione di riferimento.</w:t>
      </w:r>
      <w:r>
        <w:rPr>
          <w:rFonts w:ascii="Barlow Semi Condensed" w:cs="Barlow Semi Condensed" w:eastAsia="Barlow Semi Condensed" w:hAnsi="Barlow Semi Condensed"/>
          <w:sz w:val="24"/>
          <w:szCs w:val="24"/>
        </w:rPr>
        <w:t xml:space="preserve"> Se le armi sequestrate del commando esistono nei depositi, si generano impronte di riferimento attuali; se non esistono, lo si verbalizza e le comparazioni restano interne alla popolazione dei bossoli.</w:t>
      </w:r>
    </w:p>
    <w:p>
      <w:pPr>
        <w:spacing w:after="120" w:line="276"/>
        <w:jc w:val="both"/>
      </w:pPr>
      <w:r>
        <w:rPr>
          <w:rFonts w:ascii="Barlow Semi Condensed" w:cs="Barlow Semi Condensed" w:eastAsia="Barlow Semi Condensed" w:hAnsi="Barlow Semi Condensed"/>
          <w:b/>
          <w:bCs/>
          <w:sz w:val="24"/>
          <w:szCs w:val="24"/>
        </w:rPr>
        <w:t xml:space="preserve">55 · Il «superkiller» come ipotesi, non come premessa.</w:t>
      </w:r>
      <w:r>
        <w:rPr>
          <w:rFonts w:ascii="Barlow Semi Condensed" w:cs="Barlow Semi Condensed" w:eastAsia="Barlow Semi Condensed" w:hAnsi="Barlow Semi Condensed"/>
          <w:sz w:val="24"/>
          <w:szCs w:val="24"/>
        </w:rPr>
        <w:t xml:space="preserve"> La lettura del tiratore unico d'eccezione entra nella matrice come H fra le H, falsificabile dall'attribuzione distribuita: la perizia non lavora per confermarla né per demolirla.</w:t>
      </w:r>
    </w:p>
    <w:p>
      <w:pPr>
        <w:spacing w:after="120" w:line="276"/>
        <w:jc w:val="both"/>
      </w:pPr>
      <w:r>
        <w:rPr>
          <w:rFonts w:ascii="Barlow Semi Condensed" w:cs="Barlow Semi Condensed" w:eastAsia="Barlow Semi Condensed" w:hAnsi="Barlow Semi Condensed"/>
          <w:b/>
          <w:bCs/>
          <w:sz w:val="24"/>
          <w:szCs w:val="24"/>
        </w:rPr>
        <w:t xml:space="preserve">56 · I reperti balistici minori.</w:t>
      </w:r>
      <w:r>
        <w:rPr>
          <w:rFonts w:ascii="Barlow Semi Condensed" w:cs="Barlow Semi Condensed" w:eastAsia="Barlow Semi Condensed" w:hAnsi="Barlow Semi Condensed"/>
          <w:sz w:val="24"/>
          <w:szCs w:val="24"/>
        </w:rPr>
        <w:t xml:space="preserve"> Ogive, frammenti, tracce sui veicoli: ogni elemento repertato nel 1978 rientra nell'inventario e nel quesito unico; le contestazioni di parte circolate in pubblicistica si verificano sui reperti, non si commentano.</w:t>
      </w:r>
    </w:p>
    <w:p>
      <w:pPr>
        <w:spacing w:after="120" w:line="276"/>
        <w:jc w:val="both"/>
      </w:pPr>
      <w:r>
        <w:rPr>
          <w:rFonts w:ascii="Barlow Semi Condensed" w:cs="Barlow Semi Condensed" w:eastAsia="Barlow Semi Condensed" w:hAnsi="Barlow Semi Condensed"/>
          <w:b/>
          <w:bCs/>
          <w:sz w:val="24"/>
          <w:szCs w:val="24"/>
        </w:rPr>
        <w:t xml:space="preserve">57 · Il caricatore di via Stresa: il reperto-principe.</w:t>
      </w:r>
      <w:r>
        <w:rPr>
          <w:rFonts w:ascii="Barlow Semi Condensed" w:cs="Barlow Semi Condensed" w:eastAsia="Barlow Semi Condensed" w:hAnsi="Barlow Semi Condensed"/>
          <w:sz w:val="24"/>
          <w:szCs w:val="24"/>
        </w:rPr>
        <w:t xml:space="preserve"> Quesito binario — impronte e genetica: attribuibile a un componente del commando giudicato o a un profilo ignoto — più il quesito di compatibilità: a quale arma appartiene, ed è un'arma nota del caso?</w:t>
      </w:r>
    </w:p>
    <w:p>
      <w:pPr>
        <w:spacing w:after="120" w:line="276"/>
        <w:jc w:val="both"/>
      </w:pPr>
      <w:r>
        <w:rPr>
          <w:rFonts w:ascii="Barlow Semi Condensed" w:cs="Barlow Semi Condensed" w:eastAsia="Barlow Semi Condensed" w:hAnsi="Barlow Semi Condensed"/>
          <w:b/>
          <w:bCs/>
          <w:sz w:val="24"/>
          <w:szCs w:val="24"/>
        </w:rPr>
        <w:t xml:space="preserve">58 · La priorità del caricatore.</w:t>
      </w:r>
      <w:r>
        <w:rPr>
          <w:rFonts w:ascii="Barlow Semi Condensed" w:cs="Barlow Semi Condensed" w:eastAsia="Barlow Semi Condensed" w:hAnsi="Barlow Semi Condensed"/>
          <w:sz w:val="24"/>
          <w:szCs w:val="24"/>
        </w:rPr>
        <w:t xml:space="preserve"> È l'atto col miglior rapporto costo/nettezza dell'intero cantiere: reperto singolo, tecniche standard, esito utile in entrambi i rami. Si esegue prima di ogni perizia lunga.</w:t>
      </w:r>
    </w:p>
    <w:p>
      <w:pPr>
        <w:spacing w:after="120" w:line="276"/>
        <w:jc w:val="both"/>
      </w:pPr>
      <w:r>
        <w:rPr>
          <w:rFonts w:ascii="Barlow Semi Condensed" w:cs="Barlow Semi Condensed" w:eastAsia="Barlow Semi Condensed" w:hAnsi="Barlow Semi Condensed"/>
          <w:b/>
          <w:bCs/>
          <w:sz w:val="24"/>
          <w:szCs w:val="24"/>
        </w:rPr>
        <w:t xml:space="preserve">59 · I profili DNA del 2016.</w:t>
      </w:r>
      <w:r>
        <w:rPr>
          <w:rFonts w:ascii="Barlow Semi Condensed" w:cs="Barlow Semi Condensed" w:eastAsia="Barlow Semi Condensed" w:hAnsi="Barlow Semi Condensed"/>
          <w:sz w:val="24"/>
          <w:szCs w:val="24"/>
        </w:rPr>
        <w:t xml:space="preserve"> I profili estratti dai mozziconi dell'auto-sbarramento e di via Gradoli sono il patrimonio genetico del caso: si custodiscono con protocollo dedicato e si comparano secondo la rosa autorizzata dal giudice, e solo quella.</w:t>
      </w:r>
    </w:p>
    <w:p>
      <w:pPr>
        <w:spacing w:after="120" w:line="276"/>
        <w:jc w:val="both"/>
      </w:pPr>
      <w:r>
        <w:rPr>
          <w:rFonts w:ascii="Barlow Semi Condensed" w:cs="Barlow Semi Condensed" w:eastAsia="Barlow Semi Condensed" w:hAnsi="Barlow Semi Condensed"/>
          <w:b/>
          <w:bCs/>
          <w:sz w:val="24"/>
          <w:szCs w:val="24"/>
        </w:rPr>
        <w:t xml:space="preserve">60 · Il residuo ignoto.</w:t>
      </w:r>
      <w:r>
        <w:rPr>
          <w:rFonts w:ascii="Barlow Semi Condensed" w:cs="Barlow Semi Condensed" w:eastAsia="Barlow Semi Condensed" w:hAnsi="Barlow Semi Condensed"/>
          <w:sz w:val="24"/>
          <w:szCs w:val="24"/>
        </w:rPr>
        <w:t xml:space="preserve"> Se dopo le comparazioni autorizzate residuano profili non identificati, il dato si dichiara come tale: un profilo ignoto è un fatto, non un fantasma — e resta in banca per le comparazioni che la legge consentirà.</w:t>
      </w:r>
    </w:p>
    <w:p>
      <w:pPr>
        <w:spacing w:after="120" w:line="276"/>
        <w:jc w:val="both"/>
      </w:pPr>
      <w:r>
        <w:rPr>
          <w:rFonts w:ascii="Barlow Semi Condensed" w:cs="Barlow Semi Condensed" w:eastAsia="Barlow Semi Condensed" w:hAnsi="Barlow Semi Condensed"/>
          <w:b/>
          <w:bCs/>
          <w:sz w:val="24"/>
          <w:szCs w:val="24"/>
        </w:rPr>
        <w:t xml:space="preserve">61 · La contaminazione storica.</w:t>
      </w:r>
      <w:r>
        <w:rPr>
          <w:rFonts w:ascii="Barlow Semi Condensed" w:cs="Barlow Semi Condensed" w:eastAsia="Barlow Semi Condensed" w:hAnsi="Barlow Semi Condensed"/>
          <w:sz w:val="24"/>
          <w:szCs w:val="24"/>
        </w:rPr>
        <w:t xml:space="preserve"> Ogni esito genetico su reperti del 1978 si pesa contro la storia della loro custodia: quarant'anni di maneggi senza guanti sono un'ipotesi H sempre presente nella matrice.</w:t>
      </w:r>
    </w:p>
    <w:p>
      <w:pPr>
        <w:spacing w:after="120" w:line="276"/>
        <w:jc w:val="both"/>
      </w:pPr>
      <w:r>
        <w:rPr>
          <w:rFonts w:ascii="Barlow Semi Condensed" w:cs="Barlow Semi Condensed" w:eastAsia="Barlow Semi Condensed" w:hAnsi="Barlow Semi Condensed"/>
          <w:b/>
          <w:bCs/>
          <w:sz w:val="24"/>
          <w:szCs w:val="24"/>
        </w:rPr>
        <w:t xml:space="preserve">62 · Le impronte digitali.</w:t>
      </w:r>
      <w:r>
        <w:rPr>
          <w:rFonts w:ascii="Barlow Semi Condensed" w:cs="Barlow Semi Condensed" w:eastAsia="Barlow Semi Condensed" w:hAnsi="Barlow Semi Condensed"/>
          <w:sz w:val="24"/>
          <w:szCs w:val="24"/>
        </w:rPr>
        <w:t xml:space="preserve"> Il patrimonio dattiloscopico del caso (covi, veicoli, documenti) si riesamina con i sistemi automatizzati attuali, che nel 1978 non esistevano: ogni frammento allora inutilizzabile è oggi un candidato.</w:t>
      </w:r>
    </w:p>
    <w:p>
      <w:pPr>
        <w:spacing w:after="120" w:line="276"/>
        <w:jc w:val="both"/>
      </w:pPr>
      <w:r>
        <w:rPr>
          <w:rFonts w:ascii="Barlow Semi Condensed" w:cs="Barlow Semi Condensed" w:eastAsia="Barlow Semi Condensed" w:hAnsi="Barlow Semi Condensed"/>
          <w:b/>
          <w:bCs/>
          <w:sz w:val="24"/>
          <w:szCs w:val="24"/>
        </w:rPr>
        <w:t xml:space="preserve">63 · I rilievi fotografici come reperti.</w:t>
      </w:r>
      <w:r>
        <w:rPr>
          <w:rFonts w:ascii="Barlow Semi Condensed" w:cs="Barlow Semi Condensed" w:eastAsia="Barlow Semi Condensed" w:hAnsi="Barlow Semi Condensed"/>
          <w:sz w:val="24"/>
          <w:szCs w:val="24"/>
        </w:rPr>
        <w:t xml:space="preserve"> Le fotografie originali — via Fani la mattina, il bagno di via Gradoli, i covi — sono reperti a pieno titolo: se ne cercano negativi e provini nei fascicoli, se ne fa perizia descrittiva, se ne estrae ogni dettaglio databile.</w:t>
      </w:r>
    </w:p>
    <w:p>
      <w:pPr>
        <w:spacing w:after="120" w:line="276"/>
        <w:jc w:val="both"/>
      </w:pPr>
      <w:r>
        <w:rPr>
          <w:rFonts w:ascii="Barlow Semi Condensed" w:cs="Barlow Semi Condensed" w:eastAsia="Barlow Semi Condensed" w:hAnsi="Barlow Semi Condensed"/>
          <w:b/>
          <w:bCs/>
          <w:sz w:val="24"/>
          <w:szCs w:val="24"/>
        </w:rPr>
        <w:t xml:space="preserve">64 · Il bagno di via Gradoli.</w:t>
      </w:r>
      <w:r>
        <w:rPr>
          <w:rFonts w:ascii="Barlow Semi Condensed" w:cs="Barlow Semi Condensed" w:eastAsia="Barlow Semi Condensed" w:hAnsi="Barlow Semi Condensed"/>
          <w:sz w:val="24"/>
          <w:szCs w:val="24"/>
        </w:rPr>
        <w:t xml:space="preserve"> La perizia sui rilievi originali del bagno — posizione della doccia, del getto, degli oggetti — è l'unica evidenza che possa discriminare distrazione e perdita deliberata: si esegue sui materiali del fascicolo VVF e di polizia, integralmente riacquisiti.</w:t>
      </w:r>
    </w:p>
    <w:p>
      <w:pPr>
        <w:spacing w:after="120" w:line="276"/>
        <w:jc w:val="both"/>
      </w:pPr>
      <w:r>
        <w:rPr>
          <w:rFonts w:ascii="Barlow Semi Condensed" w:cs="Barlow Semi Condensed" w:eastAsia="Barlow Semi Condensed" w:hAnsi="Barlow Semi Condensed"/>
          <w:b/>
          <w:bCs/>
          <w:sz w:val="24"/>
          <w:szCs w:val="24"/>
        </w:rPr>
        <w:t xml:space="preserve">65 · Il falso comunicato n. 7.</w:t>
      </w:r>
      <w:r>
        <w:rPr>
          <w:rFonts w:ascii="Barlow Semi Condensed" w:cs="Barlow Semi Condensed" w:eastAsia="Barlow Semi Condensed" w:hAnsi="Barlow Semi Condensed"/>
          <w:sz w:val="24"/>
          <w:szCs w:val="24"/>
        </w:rPr>
        <w:t xml:space="preserve"> Carta, macchina di scrittura, lessico: il falso del lago della Duchessa è un reperto documentale che le scienze forensi documentali attuali possono interrogare di nuovo, col quesito sulla sua officina di produzione.</w:t>
      </w:r>
    </w:p>
    <w:p>
      <w:pPr>
        <w:spacing w:after="120" w:line="276"/>
        <w:jc w:val="both"/>
      </w:pPr>
      <w:r>
        <w:rPr>
          <w:rFonts w:ascii="Barlow Semi Condensed" w:cs="Barlow Semi Condensed" w:eastAsia="Barlow Semi Condensed" w:hAnsi="Barlow Semi Condensed"/>
          <w:b/>
          <w:bCs/>
          <w:sz w:val="24"/>
          <w:szCs w:val="24"/>
        </w:rPr>
        <w:t xml:space="preserve">66 · I veicoli.</w:t>
      </w:r>
      <w:r>
        <w:rPr>
          <w:rFonts w:ascii="Barlow Semi Condensed" w:cs="Barlow Semi Condensed" w:eastAsia="Barlow Semi Condensed" w:hAnsi="Barlow Semi Condensed"/>
          <w:sz w:val="24"/>
          <w:szCs w:val="24"/>
        </w:rPr>
        <w:t xml:space="preserve"> La sorte dei veicoli del caso — le auto di via Fani, la Renault 4 — si censisce: dove furono depositati, quando demoliti, che cosa ne resta in reperti e rilievi. Anche la demolizione ha una carta.</w:t>
      </w:r>
    </w:p>
    <w:p>
      <w:pPr>
        <w:spacing w:after="120" w:line="276"/>
        <w:jc w:val="both"/>
      </w:pPr>
      <w:r>
        <w:rPr>
          <w:rFonts w:ascii="Barlow Semi Condensed" w:cs="Barlow Semi Condensed" w:eastAsia="Barlow Semi Condensed" w:hAnsi="Barlow Semi Condensed"/>
          <w:b/>
          <w:bCs/>
          <w:sz w:val="24"/>
          <w:szCs w:val="24"/>
        </w:rPr>
        <w:t xml:space="preserve">67 · Il memoriale come oggetto fisico.</w:t>
      </w:r>
      <w:r>
        <w:rPr>
          <w:rFonts w:ascii="Barlow Semi Condensed" w:cs="Barlow Semi Condensed" w:eastAsia="Barlow Semi Condensed" w:hAnsi="Barlow Semi Condensed"/>
          <w:sz w:val="24"/>
          <w:szCs w:val="24"/>
        </w:rPr>
        <w:t xml:space="preserve"> Carte, inchiostri, fotocopiatrici: la perizia comparativa fra il dattiloscritto 1978 e i fogli 1990 include l'esame materiale — datazioni relative, macchine, riproduzioni — non solo quello filologico.</w:t>
      </w:r>
    </w:p>
    <w:p>
      <w:pPr>
        <w:spacing w:after="120" w:line="276"/>
        <w:jc w:val="both"/>
      </w:pPr>
      <w:r>
        <w:rPr>
          <w:rFonts w:ascii="Barlow Semi Condensed" w:cs="Barlow Semi Condensed" w:eastAsia="Barlow Semi Condensed" w:hAnsi="Barlow Semi Condensed"/>
          <w:b/>
          <w:bCs/>
          <w:sz w:val="24"/>
          <w:szCs w:val="24"/>
        </w:rPr>
        <w:t xml:space="preserve">68 · La filologia del memoriale.</w:t>
      </w:r>
      <w:r>
        <w:rPr>
          <w:rFonts w:ascii="Barlow Semi Condensed" w:cs="Barlow Semi Condensed" w:eastAsia="Barlow Semi Condensed" w:hAnsi="Barlow Semi Condensed"/>
          <w:sz w:val="24"/>
          <w:szCs w:val="24"/>
        </w:rPr>
        <w:t xml:space="preserve"> Collazione integrale delle tre tradizioni (dattiloscritto, fotocopie, manoscritti 1990), stemma delle copie, mappa delle lacune interne: l'esito è la carta delle mancanze, non un'ipotesi su chi le produsse.</w:t>
      </w:r>
    </w:p>
    <w:p>
      <w:pPr>
        <w:spacing w:after="120" w:line="276"/>
        <w:jc w:val="both"/>
      </w:pPr>
      <w:r>
        <w:rPr>
          <w:rFonts w:ascii="Barlow Semi Condensed" w:cs="Barlow Semi Condensed" w:eastAsia="Barlow Semi Condensed" w:hAnsi="Barlow Semi Condensed"/>
          <w:b/>
          <w:bCs/>
          <w:sz w:val="24"/>
          <w:szCs w:val="24"/>
        </w:rPr>
        <w:t xml:space="preserve">69 · Le lettere.</w:t>
      </w:r>
      <w:r>
        <w:rPr>
          <w:rFonts w:ascii="Barlow Semi Condensed" w:cs="Barlow Semi Condensed" w:eastAsia="Barlow Semi Condensed" w:hAnsi="Barlow Semi Condensed"/>
          <w:sz w:val="24"/>
          <w:szCs w:val="24"/>
        </w:rPr>
        <w:t xml:space="preserve"> L'epistolario della prigionia ha già il suo giudicato di autenticità; il cantiere aggiunge solo l'edizione materiale — supporti, percorsi di recapito documentati — senza riaprire ciò che è accertato.</w:t>
      </w:r>
    </w:p>
    <w:p>
      <w:pPr>
        <w:spacing w:after="120" w:line="276"/>
        <w:jc w:val="both"/>
      </w:pPr>
      <w:r>
        <w:rPr>
          <w:rFonts w:ascii="Barlow Semi Condensed" w:cs="Barlow Semi Condensed" w:eastAsia="Barlow Semi Condensed" w:hAnsi="Barlow Semi Condensed"/>
          <w:b/>
          <w:bCs/>
          <w:sz w:val="24"/>
          <w:szCs w:val="24"/>
        </w:rPr>
        <w:t xml:space="preserve">70 · Le armi mai ritrovate.</w:t>
      </w:r>
      <w:r>
        <w:rPr>
          <w:rFonts w:ascii="Barlow Semi Condensed" w:cs="Barlow Semi Condensed" w:eastAsia="Barlow Semi Condensed" w:hAnsi="Barlow Semi Condensed"/>
          <w:sz w:val="24"/>
          <w:szCs w:val="24"/>
        </w:rPr>
        <w:t xml:space="preserve"> L'elenco delle armi del caso mai recuperate si compila da sentenze e perizie: è un perimetro di ricerca per i riscontri futuri (sequestri successivi, comparazioni balistiche d'archivio).</w:t>
      </w:r>
    </w:p>
    <w:p>
      <w:pPr>
        <w:spacing w:after="120" w:line="276"/>
        <w:jc w:val="both"/>
      </w:pPr>
      <w:r>
        <w:rPr>
          <w:rFonts w:ascii="Barlow Semi Condensed" w:cs="Barlow Semi Condensed" w:eastAsia="Barlow Semi Condensed" w:hAnsi="Barlow Semi Condensed"/>
          <w:b/>
          <w:bCs/>
          <w:sz w:val="24"/>
          <w:szCs w:val="24"/>
        </w:rPr>
        <w:t xml:space="preserve">71 · Le comparazioni d'archivio.</w:t>
      </w:r>
      <w:r>
        <w:rPr>
          <w:rFonts w:ascii="Barlow Semi Condensed" w:cs="Barlow Semi Condensed" w:eastAsia="Barlow Semi Condensed" w:hAnsi="Barlow Semi Condensed"/>
          <w:sz w:val="24"/>
          <w:szCs w:val="24"/>
        </w:rPr>
        <w:t xml:space="preserve"> Le impronte balistiche digitalizzate si confrontano con le banche dati dei casi coevi: un'arma di via Fani può essere transitata altrove, e il transito è un documento.</w:t>
      </w:r>
    </w:p>
    <w:p>
      <w:pPr>
        <w:spacing w:after="120" w:line="276"/>
        <w:jc w:val="both"/>
      </w:pPr>
      <w:r>
        <w:rPr>
          <w:rFonts w:ascii="Barlow Semi Condensed" w:cs="Barlow Semi Condensed" w:eastAsia="Barlow Semi Condensed" w:hAnsi="Barlow Semi Condensed"/>
          <w:b/>
          <w:bCs/>
          <w:sz w:val="24"/>
          <w:szCs w:val="24"/>
        </w:rPr>
        <w:t xml:space="preserve">72 · Il DNA di prossimità.</w:t>
      </w:r>
      <w:r>
        <w:rPr>
          <w:rFonts w:ascii="Barlow Semi Condensed" w:cs="Barlow Semi Condensed" w:eastAsia="Barlow Semi Condensed" w:hAnsi="Barlow Semi Condensed"/>
          <w:sz w:val="24"/>
          <w:szCs w:val="24"/>
        </w:rPr>
        <w:t xml:space="preserve"> Sui reperti a contatto prolungato (indumenti, coperte, l'abitacolo della Renault) le tecniche attuali di recupero da tracce minime si applicano dove la catena di custodia regge; dove non regge, si verbalizza il perché dell'astensione.</w:t>
      </w:r>
    </w:p>
    <w:p>
      <w:pPr>
        <w:spacing w:after="120" w:line="276"/>
        <w:jc w:val="both"/>
      </w:pPr>
      <w:r>
        <w:rPr>
          <w:rFonts w:ascii="Barlow Semi Condensed" w:cs="Barlow Semi Condensed" w:eastAsia="Barlow Semi Condensed" w:hAnsi="Barlow Semi Condensed"/>
          <w:b/>
          <w:bCs/>
          <w:sz w:val="24"/>
          <w:szCs w:val="24"/>
        </w:rPr>
        <w:t xml:space="preserve">73 · Il protocollo del doppio cieco.</w:t>
      </w:r>
      <w:r>
        <w:rPr>
          <w:rFonts w:ascii="Barlow Semi Condensed" w:cs="Barlow Semi Condensed" w:eastAsia="Barlow Semi Condensed" w:hAnsi="Barlow Semi Condensed"/>
          <w:sz w:val="24"/>
          <w:szCs w:val="24"/>
        </w:rPr>
        <w:t xml:space="preserve"> Le comparazioni dirimenti — balistiche e genetiche — si eseguono in cieco rispetto alle ipotesi: il laboratorio riceve campioni numerati, non narrazioni.</w:t>
      </w:r>
    </w:p>
    <w:p>
      <w:pPr>
        <w:spacing w:after="120" w:line="276"/>
        <w:jc w:val="both"/>
      </w:pPr>
      <w:r>
        <w:rPr>
          <w:rFonts w:ascii="Barlow Semi Condensed" w:cs="Barlow Semi Condensed" w:eastAsia="Barlow Semi Condensed" w:hAnsi="Barlow Semi Condensed"/>
          <w:b/>
          <w:bCs/>
          <w:sz w:val="24"/>
          <w:szCs w:val="24"/>
        </w:rPr>
        <w:t xml:space="preserve">74 · La replica indipendente.</w:t>
      </w:r>
      <w:r>
        <w:rPr>
          <w:rFonts w:ascii="Barlow Semi Condensed" w:cs="Barlow Semi Condensed" w:eastAsia="Barlow Semi Condensed" w:hAnsi="Barlow Semi Condensed"/>
          <w:sz w:val="24"/>
          <w:szCs w:val="24"/>
        </w:rPr>
        <w:t xml:space="preserve"> Ogni esito dirimente si replica in un secondo laboratorio prima di entrare negli atti col grado pieno: la scienza che non si replica è un'opinione costosa.</w:t>
      </w:r>
    </w:p>
    <w:p>
      <w:pPr>
        <w:spacing w:after="120" w:line="276"/>
        <w:jc w:val="both"/>
      </w:pPr>
      <w:r>
        <w:rPr>
          <w:rFonts w:ascii="Barlow Semi Condensed" w:cs="Barlow Semi Condensed" w:eastAsia="Barlow Semi Condensed" w:hAnsi="Barlow Semi Condensed"/>
          <w:b/>
          <w:bCs/>
          <w:sz w:val="24"/>
          <w:szCs w:val="24"/>
        </w:rPr>
        <w:t xml:space="preserve">75 · L'indecidibilità dichiarata.</w:t>
      </w:r>
      <w:r>
        <w:rPr>
          <w:rFonts w:ascii="Barlow Semi Condensed" w:cs="Barlow Semi Condensed" w:eastAsia="Barlow Semi Condensed" w:hAnsi="Barlow Semi Condensed"/>
          <w:sz w:val="24"/>
          <w:szCs w:val="24"/>
        </w:rPr>
        <w:t xml:space="preserve"> «Il reperto non consente conclusioni» è un esito nobile: si verbalizza con le ragioni tecniche e chiude il quesito fino a tecnica nuova, con criterio di riapertura scritto.</w:t>
      </w:r>
    </w:p>
    <w:p>
      <w:pPr>
        <w:spacing w:after="120" w:line="276"/>
        <w:jc w:val="both"/>
      </w:pPr>
      <w:r>
        <w:rPr>
          <w:rFonts w:ascii="Barlow Semi Condensed" w:cs="Barlow Semi Condensed" w:eastAsia="Barlow Semi Condensed" w:hAnsi="Barlow Semi Condensed"/>
          <w:b/>
          <w:bCs/>
          <w:sz w:val="24"/>
          <w:szCs w:val="24"/>
        </w:rPr>
        <w:t xml:space="preserve">76 · Il registro delle tecniche future.</w:t>
      </w:r>
      <w:r>
        <w:rPr>
          <w:rFonts w:ascii="Barlow Semi Condensed" w:cs="Barlow Semi Condensed" w:eastAsia="Barlow Semi Condensed" w:hAnsi="Barlow Semi Condensed"/>
          <w:sz w:val="24"/>
          <w:szCs w:val="24"/>
        </w:rPr>
        <w:t xml:space="preserve"> Per ogni reperto che le tecniche attuali non risolvono si annota quale progresso tecnico lo riaprirebbe: il fascicolo dei reperti è scritto anche per chi verrà.</w:t>
      </w:r>
    </w:p>
    <w:p>
      <w:pPr>
        <w:spacing w:after="120" w:line="276"/>
        <w:jc w:val="both"/>
      </w:pPr>
      <w:r>
        <w:rPr>
          <w:rFonts w:ascii="Barlow Semi Condensed" w:cs="Barlow Semi Condensed" w:eastAsia="Barlow Semi Condensed" w:hAnsi="Barlow Semi Condensed"/>
          <w:b/>
          <w:bCs/>
          <w:sz w:val="24"/>
          <w:szCs w:val="24"/>
        </w:rPr>
        <w:t xml:space="preserve">77 · Le tracce di via Fani non repertate.</w:t>
      </w:r>
      <w:r>
        <w:rPr>
          <w:rFonts w:ascii="Barlow Semi Condensed" w:cs="Barlow Semi Condensed" w:eastAsia="Barlow Semi Condensed" w:hAnsi="Barlow Semi Condensed"/>
          <w:sz w:val="24"/>
          <w:szCs w:val="24"/>
        </w:rPr>
        <w:t xml:space="preserve"> Il censimento di ciò che nel 1978 non fu repertato — dai rilievi, dalle foto, dai verbali — produce la carta delle perdite originarie: serve a non cercare l'introvabile e a non scambiare l'assenza per anomalia.</w:t>
      </w:r>
    </w:p>
    <w:p>
      <w:pPr>
        <w:spacing w:after="120" w:line="276"/>
        <w:jc w:val="both"/>
      </w:pPr>
      <w:r>
        <w:rPr>
          <w:rFonts w:ascii="Barlow Semi Condensed" w:cs="Barlow Semi Condensed" w:eastAsia="Barlow Semi Condensed" w:hAnsi="Barlow Semi Condensed"/>
          <w:b/>
          <w:bCs/>
          <w:sz w:val="24"/>
          <w:szCs w:val="24"/>
        </w:rPr>
        <w:t xml:space="preserve">78 · Il suono e le immagini.</w:t>
      </w:r>
      <w:r>
        <w:rPr>
          <w:rFonts w:ascii="Barlow Semi Condensed" w:cs="Barlow Semi Condensed" w:eastAsia="Barlow Semi Condensed" w:hAnsi="Barlow Semi Condensed"/>
          <w:sz w:val="24"/>
          <w:szCs w:val="24"/>
        </w:rPr>
        <w:t xml:space="preserve"> Registrazioni radio, filmati d'epoca, fotografie di agenzia dei luoghi nelle ore critiche: si censiscono come reperti, con perizia di datazione e di contenuto; l'analisi delle fonti audiovisive segue gli stessi gradi delle carte.</w:t>
      </w:r>
    </w:p>
    <w:p>
      <w:pPr>
        <w:spacing w:after="120" w:line="276"/>
        <w:jc w:val="both"/>
      </w:pPr>
      <w:r>
        <w:rPr>
          <w:rFonts w:ascii="Barlow Semi Condensed" w:cs="Barlow Semi Condensed" w:eastAsia="Barlow Semi Condensed" w:hAnsi="Barlow Semi Condensed"/>
          <w:b/>
          <w:bCs/>
          <w:sz w:val="24"/>
          <w:szCs w:val="24"/>
        </w:rPr>
        <w:t xml:space="preserve">79 · Le telefonate delle BR.</w:t>
      </w:r>
      <w:r>
        <w:rPr>
          <w:rFonts w:ascii="Barlow Semi Condensed" w:cs="Barlow Semi Condensed" w:eastAsia="Barlow Semi Condensed" w:hAnsi="Barlow Semi Condensed"/>
          <w:sz w:val="24"/>
          <w:szCs w:val="24"/>
        </w:rPr>
        <w:t xml:space="preserve"> Le registrazioni delle comunicazioni telefoniche dell'organizzazione (i comunicati dettati, la telefonata a casa Moro) si riesaminano con le tecniche foniche attuali per ciò che i quesiti degli anni '70 non chiesero.</w:t>
      </w:r>
    </w:p>
    <w:p>
      <w:pPr>
        <w:spacing w:after="120" w:line="276"/>
        <w:jc w:val="both"/>
      </w:pPr>
      <w:r>
        <w:rPr>
          <w:rFonts w:ascii="Barlow Semi Condensed" w:cs="Barlow Semi Condensed" w:eastAsia="Barlow Semi Condensed" w:hAnsi="Barlow Semi Condensed"/>
          <w:b/>
          <w:bCs/>
          <w:sz w:val="24"/>
          <w:szCs w:val="24"/>
        </w:rPr>
        <w:t xml:space="preserve">80 · La voce del falso.</w:t>
      </w:r>
      <w:r>
        <w:rPr>
          <w:rFonts w:ascii="Barlow Semi Condensed" w:cs="Barlow Semi Condensed" w:eastAsia="Barlow Semi Condensed" w:hAnsi="Barlow Semi Condensed"/>
          <w:sz w:val="24"/>
          <w:szCs w:val="24"/>
        </w:rPr>
        <w:t xml:space="preserve"> Se esistono supporti fonici collegati alla vicenda del falso comunicato e del lago della Duchessa, entrano nel quesito del blocco 65: l'officina del falso è un quesito unitario, documentale e tecnico.</w:t>
      </w:r>
    </w:p>
    <w:p>
      <w:pPr>
        <w:spacing w:after="120" w:line="276"/>
        <w:jc w:val="both"/>
      </w:pPr>
      <w:r>
        <w:rPr>
          <w:rFonts w:ascii="Barlow Semi Condensed" w:cs="Barlow Semi Condensed" w:eastAsia="Barlow Semi Condensed" w:hAnsi="Barlow Semi Condensed"/>
          <w:b/>
          <w:bCs/>
          <w:sz w:val="24"/>
          <w:szCs w:val="24"/>
        </w:rPr>
        <w:t xml:space="preserve">81 · Il perimetro merceologico.</w:t>
      </w:r>
      <w:r>
        <w:rPr>
          <w:rFonts w:ascii="Barlow Semi Condensed" w:cs="Barlow Semi Condensed" w:eastAsia="Barlow Semi Condensed" w:hAnsi="Barlow Semi Condensed"/>
          <w:sz w:val="24"/>
          <w:szCs w:val="24"/>
        </w:rPr>
        <w:t xml:space="preserve"> Munizioni, vernici, fibre, carte: per ogni classe merceologica repertata si verifica se le banche dati attuali consentano attribuzioni di lotto o d'epoca impossibili nel 1978.</w:t>
      </w:r>
    </w:p>
    <w:p>
      <w:pPr>
        <w:spacing w:after="120" w:line="276"/>
        <w:jc w:val="both"/>
      </w:pPr>
      <w:r>
        <w:rPr>
          <w:rFonts w:ascii="Barlow Semi Condensed" w:cs="Barlow Semi Condensed" w:eastAsia="Barlow Semi Condensed" w:hAnsi="Barlow Semi Condensed"/>
          <w:b/>
          <w:bCs/>
          <w:sz w:val="24"/>
          <w:szCs w:val="24"/>
        </w:rPr>
        <w:t xml:space="preserve">82 · Gli esami mai fatti.</w:t>
      </w:r>
      <w:r>
        <w:rPr>
          <w:rFonts w:ascii="Barlow Semi Condensed" w:cs="Barlow Semi Condensed" w:eastAsia="Barlow Semi Condensed" w:hAnsi="Barlow Semi Condensed"/>
          <w:sz w:val="24"/>
          <w:szCs w:val="24"/>
        </w:rPr>
        <w:t xml:space="preserve"> Dai fascicoli processuali si estrae l'elenco degli esami richiesti e mai eseguiti, o eseguiti e mai depositati: ogni voce è insieme una pista tecnica e un item per il registro delle omissioni (serie settima).</w:t>
      </w:r>
    </w:p>
    <w:p>
      <w:pPr>
        <w:spacing w:after="120" w:line="276"/>
        <w:jc w:val="both"/>
      </w:pPr>
      <w:r>
        <w:rPr>
          <w:rFonts w:ascii="Barlow Semi Condensed" w:cs="Barlow Semi Condensed" w:eastAsia="Barlow Semi Condensed" w:hAnsi="Barlow Semi Condensed"/>
          <w:b/>
          <w:bCs/>
          <w:sz w:val="24"/>
          <w:szCs w:val="24"/>
        </w:rPr>
        <w:t xml:space="preserve">83 · Il reperto testimoniale materiale.</w:t>
      </w:r>
      <w:r>
        <w:rPr>
          <w:rFonts w:ascii="Barlow Semi Condensed" w:cs="Barlow Semi Condensed" w:eastAsia="Barlow Semi Condensed" w:hAnsi="Barlow Semi Condensed"/>
          <w:sz w:val="24"/>
          <w:szCs w:val="24"/>
        </w:rPr>
        <w:t xml:space="preserve"> Gli oggetti dei testimoni — il motorino dell'ingegnere, con il suo parabrezza — hanno una storia materiale documentabile (foto, riparazioni): la lezione Marini si applica a ogni corroborazione fisica invocata.</w:t>
      </w:r>
    </w:p>
    <w:p>
      <w:pPr>
        <w:spacing w:after="120" w:line="276"/>
        <w:jc w:val="both"/>
      </w:pPr>
      <w:r>
        <w:rPr>
          <w:rFonts w:ascii="Barlow Semi Condensed" w:cs="Barlow Semi Condensed" w:eastAsia="Barlow Semi Condensed" w:hAnsi="Barlow Semi Condensed"/>
          <w:b/>
          <w:bCs/>
          <w:sz w:val="24"/>
          <w:szCs w:val="24"/>
        </w:rPr>
        <w:t xml:space="preserve">84 · I luoghi come reperti.</w:t>
      </w:r>
      <w:r>
        <w:rPr>
          <w:rFonts w:ascii="Barlow Semi Condensed" w:cs="Barlow Semi Condensed" w:eastAsia="Barlow Semi Condensed" w:hAnsi="Barlow Semi Condensed"/>
          <w:sz w:val="24"/>
          <w:szCs w:val="24"/>
        </w:rPr>
        <w:t xml:space="preserve"> Via Fani, via Gradoli 96, via Montalcini 8, via Caetani: rilievi tridimensionali attuali dei luoghi, sovrapposti ai rilievi del 1978, fissano per sempre la geometria del caso prima che l'edilizia la cancelli.</w:t>
      </w:r>
    </w:p>
    <w:p>
      <w:pPr>
        <w:spacing w:after="120" w:line="276"/>
        <w:jc w:val="both"/>
      </w:pPr>
      <w:r>
        <w:rPr>
          <w:rFonts w:ascii="Barlow Semi Condensed" w:cs="Barlow Semi Condensed" w:eastAsia="Barlow Semi Condensed" w:hAnsi="Barlow Semi Condensed"/>
          <w:b/>
          <w:bCs/>
          <w:sz w:val="24"/>
          <w:szCs w:val="24"/>
        </w:rPr>
        <w:t xml:space="preserve">85 · La ricostruzione dinamica.</w:t>
      </w:r>
      <w:r>
        <w:rPr>
          <w:rFonts w:ascii="Barlow Semi Condensed" w:cs="Barlow Semi Condensed" w:eastAsia="Barlow Semi Condensed" w:hAnsi="Barlow Semi Condensed"/>
          <w:sz w:val="24"/>
          <w:szCs w:val="24"/>
        </w:rPr>
        <w:t xml:space="preserve"> Sulla geometria del blocco 84 si costruisce la simulazione balistico-dinamica dell'agguato — traiettorie, tempi, posizioni — come strumento di verifica delle testimonianze e delle perizie, non come film.</w:t>
      </w:r>
    </w:p>
    <w:p>
      <w:pPr>
        <w:spacing w:after="120" w:line="276"/>
        <w:jc w:val="both"/>
      </w:pPr>
      <w:r>
        <w:rPr>
          <w:rFonts w:ascii="Barlow Semi Condensed" w:cs="Barlow Semi Condensed" w:eastAsia="Barlow Semi Condensed" w:hAnsi="Barlow Semi Condensed"/>
          <w:b/>
          <w:bCs/>
          <w:sz w:val="24"/>
          <w:szCs w:val="24"/>
        </w:rPr>
        <w:t xml:space="preserve">86 · Il vestiario e gli effetti personali.</w:t>
      </w:r>
      <w:r>
        <w:rPr>
          <w:rFonts w:ascii="Barlow Semi Condensed" w:cs="Barlow Semi Condensed" w:eastAsia="Barlow Semi Condensed" w:hAnsi="Barlow Semi Condensed"/>
          <w:sz w:val="24"/>
          <w:szCs w:val="24"/>
        </w:rPr>
        <w:t xml:space="preserve"> Gli effetti delle vittime e dell'ostaggio, ovunque conservati, rientrano nell'inventario generale col massimo riguardo per le famiglie: la scienza vi accede solo per quesiti che nessun altro reperto può risolvere.</w:t>
      </w:r>
    </w:p>
    <w:p>
      <w:pPr>
        <w:spacing w:after="120" w:line="276"/>
        <w:jc w:val="both"/>
      </w:pPr>
      <w:r>
        <w:rPr>
          <w:rFonts w:ascii="Barlow Semi Condensed" w:cs="Barlow Semi Condensed" w:eastAsia="Barlow Semi Condensed" w:hAnsi="Barlow Semi Condensed"/>
          <w:b/>
          <w:bCs/>
          <w:sz w:val="24"/>
          <w:szCs w:val="24"/>
        </w:rPr>
        <w:t xml:space="preserve">87 · La sabbia e i pollini.</w:t>
      </w:r>
      <w:r>
        <w:rPr>
          <w:rFonts w:ascii="Barlow Semi Condensed" w:cs="Barlow Semi Condensed" w:eastAsia="Barlow Semi Condensed" w:hAnsi="Barlow Semi Condensed"/>
          <w:sz w:val="24"/>
          <w:szCs w:val="24"/>
        </w:rPr>
        <w:t xml:space="preserve"> Le tracce ambientali sul corpo e sugli abiti di Moro — già oggetto di perizie storiche discusse — si riesaminano con la geologia e la palinologia forensi attuali, col quesito ristretto ai luoghi di detenzione e transito.</w:t>
      </w:r>
    </w:p>
    <w:p>
      <w:pPr>
        <w:spacing w:after="120" w:line="276"/>
        <w:jc w:val="both"/>
      </w:pPr>
      <w:r>
        <w:rPr>
          <w:rFonts w:ascii="Barlow Semi Condensed" w:cs="Barlow Semi Condensed" w:eastAsia="Barlow Semi Condensed" w:hAnsi="Barlow Semi Condensed"/>
          <w:b/>
          <w:bCs/>
          <w:sz w:val="24"/>
          <w:szCs w:val="24"/>
        </w:rPr>
        <w:t xml:space="preserve">88 · Il limite del corpo.</w:t>
      </w:r>
      <w:r>
        <w:rPr>
          <w:rFonts w:ascii="Barlow Semi Condensed" w:cs="Barlow Semi Condensed" w:eastAsia="Barlow Semi Condensed" w:hAnsi="Barlow Semi Condensed"/>
          <w:sz w:val="24"/>
          <w:szCs w:val="24"/>
        </w:rPr>
        <w:t xml:space="preserve"> Ogni ulteriore quesito che toccasse la salma richiede un'asticella altissima: solo un quesito che nessun reperto alternativo possa risolvere, con il consenso della famiglia e l'autorizzazione dell'autorità. Il manuale lo scrive per escluderlo di fatto.</w:t>
      </w:r>
    </w:p>
    <w:p>
      <w:pPr>
        <w:spacing w:after="120" w:line="276"/>
        <w:jc w:val="both"/>
      </w:pPr>
      <w:r>
        <w:rPr>
          <w:rFonts w:ascii="Barlow Semi Condensed" w:cs="Barlow Semi Condensed" w:eastAsia="Barlow Semi Condensed" w:hAnsi="Barlow Semi Condensed"/>
          <w:b/>
          <w:bCs/>
          <w:sz w:val="24"/>
          <w:szCs w:val="24"/>
        </w:rPr>
        <w:t xml:space="preserve">89 · Il fascicolo fotografico unificato.</w:t>
      </w:r>
      <w:r>
        <w:rPr>
          <w:rFonts w:ascii="Barlow Semi Condensed" w:cs="Barlow Semi Condensed" w:eastAsia="Barlow Semi Condensed" w:hAnsi="Barlow Semi Condensed"/>
          <w:sz w:val="24"/>
          <w:szCs w:val="24"/>
        </w:rPr>
        <w:t xml:space="preserve"> Tutte le immagini tecniche prodotte dal cantiere confluiscono in un fascicolo unico indicizzato per reperto e data: la prova visiva dispersa è prova dimezzata.</w:t>
      </w:r>
    </w:p>
    <w:p>
      <w:pPr>
        <w:spacing w:after="120" w:line="276"/>
        <w:jc w:val="both"/>
      </w:pPr>
      <w:r>
        <w:rPr>
          <w:rFonts w:ascii="Barlow Semi Condensed" w:cs="Barlow Semi Condensed" w:eastAsia="Barlow Semi Condensed" w:hAnsi="Barlow Semi Condensed"/>
          <w:b/>
          <w:bCs/>
          <w:sz w:val="24"/>
          <w:szCs w:val="24"/>
        </w:rPr>
        <w:t xml:space="preserve">90 · La relazione di cantiere.</w:t>
      </w:r>
      <w:r>
        <w:rPr>
          <w:rFonts w:ascii="Barlow Semi Condensed" w:cs="Barlow Semi Condensed" w:eastAsia="Barlow Semi Condensed" w:hAnsi="Barlow Semi Condensed"/>
          <w:sz w:val="24"/>
          <w:szCs w:val="24"/>
        </w:rPr>
        <w:t xml:space="preserve"> Il cantiere dei reperti produce una relazione annuale pubblica: reperti esaminati, esiti per grado, indecidibilità dichiarate, tecniche attese. È la contabilità della scienza del caso.</w:t>
      </w:r>
    </w:p>
    <w:p>
      <w:pPr>
        <w:pStyle w:val="Heading2"/>
        <w:spacing w:after="100" w:before="200"/>
      </w:pPr>
      <w:r>
        <w:rPr>
          <w:rFonts w:ascii="Barlow Semi Condensed" w:cs="Barlow Semi Condensed" w:eastAsia="Barlow Semi Condensed" w:hAnsi="Barlow Semi Condensed"/>
          <w:sz w:val="24"/>
          <w:szCs w:val="24"/>
        </w:rPr>
        <w:t xml:space="preserve">Serie quarta — Gli archivi (blocchi 91-140)</w:t>
      </w:r>
    </w:p>
    <w:p>
      <w:pPr>
        <w:spacing w:after="120" w:line="276"/>
        <w:jc w:val="both"/>
      </w:pPr>
      <w:r>
        <w:rPr>
          <w:rFonts w:ascii="Barlow Semi Condensed" w:cs="Barlow Semi Condensed" w:eastAsia="Barlow Semi Condensed" w:hAnsi="Barlow Semi Condensed"/>
          <w:i/>
          <w:iCs/>
          <w:sz w:val="24"/>
          <w:szCs w:val="24"/>
        </w:rPr>
        <w:t xml:space="preserve">Statuto della serie: il cantiere delle carte. Il giacimento c'è — versato, identificato, in parte contato — e la serie lo aggredisce per fondi, con metodo unico e inventari pubblici.</w:t>
      </w:r>
    </w:p>
    <w:p>
      <w:pPr>
        <w:spacing w:after="120" w:line="276"/>
        <w:jc w:val="both"/>
      </w:pPr>
      <w:r>
        <w:rPr>
          <w:rFonts w:ascii="Barlow Semi Condensed" w:cs="Barlow Semi Condensed" w:eastAsia="Barlow Semi Condensed" w:hAnsi="Barlow Semi Condensed"/>
          <w:b/>
          <w:bCs/>
          <w:sz w:val="24"/>
          <w:szCs w:val="24"/>
        </w:rPr>
        <w:t xml:space="preserve">91 · La mappa dei fondi.</w:t>
      </w:r>
      <w:r>
        <w:rPr>
          <w:rFonts w:ascii="Barlow Semi Condensed" w:cs="Barlow Semi Condensed" w:eastAsia="Barlow Semi Condensed" w:hAnsi="Barlow Semi Condensed"/>
          <w:sz w:val="24"/>
          <w:szCs w:val="24"/>
        </w:rPr>
        <w:t xml:space="preserve"> Primo atto: la mappa unificata dei giacimenti — fondo Direttiva Renzi all'ACS, archivi del Viminale e delle questure, fascicoli dei cinque processi, atti delle commissioni, archivi del Senato desecretati, NARA, FOIA americane, archivi vaticani a venire, registri immobiliari e societari — con stato d'accesso e responsabile per ciascuno.</w:t>
      </w:r>
    </w:p>
    <w:p>
      <w:pPr>
        <w:spacing w:after="120" w:line="276"/>
        <w:jc w:val="both"/>
      </w:pPr>
      <w:r>
        <w:rPr>
          <w:rFonts w:ascii="Barlow Semi Condensed" w:cs="Barlow Semi Condensed" w:eastAsia="Barlow Semi Condensed" w:hAnsi="Barlow Semi Condensed"/>
          <w:b/>
          <w:bCs/>
          <w:sz w:val="24"/>
          <w:szCs w:val="24"/>
        </w:rPr>
        <w:t xml:space="preserve">92 · Il fondo Renzi: il progetto di spoglio.</w:t>
      </w:r>
      <w:r>
        <w:rPr>
          <w:rFonts w:ascii="Barlow Semi Condensed" w:cs="Barlow Semi Condensed" w:eastAsia="Barlow Semi Condensed" w:hAnsi="Barlow Semi Condensed"/>
          <w:sz w:val="24"/>
          <w:szCs w:val="24"/>
        </w:rPr>
        <w:t xml:space="preserve"> Le circa duemila buste dei 156 uffici versanti si spogliano per progetto formale: équipe, protocollo di schedatura, inventario analitico pubblicato per lotti, chiavi di ricerca dichiarate.</w:t>
      </w:r>
    </w:p>
    <w:p>
      <w:pPr>
        <w:spacing w:after="120" w:line="276"/>
        <w:jc w:val="both"/>
      </w:pPr>
      <w:r>
        <w:rPr>
          <w:rFonts w:ascii="Barlow Semi Condensed" w:cs="Barlow Semi Condensed" w:eastAsia="Barlow Semi Condensed" w:hAnsi="Barlow Semi Condensed"/>
          <w:b/>
          <w:bCs/>
          <w:sz w:val="24"/>
          <w:szCs w:val="24"/>
        </w:rPr>
        <w:t xml:space="preserve">93 · Le chiavi del caso.</w:t>
      </w:r>
      <w:r>
        <w:rPr>
          <w:rFonts w:ascii="Barlow Semi Condensed" w:cs="Barlow Semi Condensed" w:eastAsia="Barlow Semi Condensed" w:hAnsi="Barlow Semi Condensed"/>
          <w:sz w:val="24"/>
          <w:szCs w:val="24"/>
        </w:rPr>
        <w:t xml:space="preserve"> Le chiavi minime dello spoglio: via Fani; Gradoli (via e paese); Montalcini; Duchessa; i comitati; le segnalazioni; il memoriale; i nomi del registro giudicato; le date-cardine (16/3, 18/3, 2/4, 18/4, 9/5). Ogni chiave genera una scheda di rinvenimento.</w:t>
      </w:r>
    </w:p>
    <w:p>
      <w:pPr>
        <w:spacing w:after="120" w:line="276"/>
        <w:jc w:val="both"/>
      </w:pPr>
      <w:r>
        <w:rPr>
          <w:rFonts w:ascii="Barlow Semi Condensed" w:cs="Barlow Semi Condensed" w:eastAsia="Barlow Semi Condensed" w:hAnsi="Barlow Semi Condensed"/>
          <w:b/>
          <w:bCs/>
          <w:sz w:val="24"/>
          <w:szCs w:val="24"/>
        </w:rPr>
        <w:t xml:space="preserve">94 · La priorità dei versanti Viminale.</w:t>
      </w:r>
      <w:r>
        <w:rPr>
          <w:rFonts w:ascii="Barlow Semi Condensed" w:cs="Barlow Semi Condensed" w:eastAsia="Barlow Semi Condensed" w:hAnsi="Barlow Semi Condensed"/>
          <w:sz w:val="24"/>
          <w:szCs w:val="24"/>
        </w:rPr>
        <w:t xml:space="preserve"> Fra i 156 uffici, priorità assoluta ai versamenti del Ministero dell'Interno e degli organi di polizia: sono la sede naturale dei protocolli d'ingresso della serie settima e delle catene di comando delle schede.</w:t>
      </w:r>
    </w:p>
    <w:p>
      <w:pPr>
        <w:spacing w:after="120" w:line="276"/>
        <w:jc w:val="both"/>
      </w:pPr>
      <w:r>
        <w:rPr>
          <w:rFonts w:ascii="Barlow Semi Condensed" w:cs="Barlow Semi Condensed" w:eastAsia="Barlow Semi Condensed" w:hAnsi="Barlow Semi Condensed"/>
          <w:b/>
          <w:bCs/>
          <w:sz w:val="24"/>
          <w:szCs w:val="24"/>
        </w:rPr>
        <w:t xml:space="preserve">95 · La scheda di rinvenimento.</w:t>
      </w:r>
      <w:r>
        <w:rPr>
          <w:rFonts w:ascii="Barlow Semi Condensed" w:cs="Barlow Semi Condensed" w:eastAsia="Barlow Semi Condensed" w:hAnsi="Barlow Semi Condensed"/>
          <w:sz w:val="24"/>
          <w:szCs w:val="24"/>
        </w:rPr>
        <w:t xml:space="preserve"> Ogni documento pertinente genera una scheda: segnatura, data, ufficio produttore, contenuto in tre righe, grado, piste che alimenta. Le schede sono pubbliche; i documenti citabili per segnatura.</w:t>
      </w:r>
    </w:p>
    <w:p>
      <w:pPr>
        <w:spacing w:after="120" w:line="276"/>
        <w:jc w:val="both"/>
      </w:pPr>
      <w:r>
        <w:rPr>
          <w:rFonts w:ascii="Barlow Semi Condensed" w:cs="Barlow Semi Condensed" w:eastAsia="Barlow Semi Condensed" w:hAnsi="Barlow Semi Condensed"/>
          <w:b/>
          <w:bCs/>
          <w:sz w:val="24"/>
          <w:szCs w:val="24"/>
        </w:rPr>
        <w:t xml:space="preserve">96 · Il registro dei non trovati.</w:t>
      </w:r>
      <w:r>
        <w:rPr>
          <w:rFonts w:ascii="Barlow Semi Condensed" w:cs="Barlow Semi Condensed" w:eastAsia="Barlow Semi Condensed" w:hAnsi="Barlow Semi Condensed"/>
          <w:sz w:val="24"/>
          <w:szCs w:val="24"/>
        </w:rPr>
        <w:t xml:space="preserve"> Per ogni documento dovuto e non rinvenuto — l'ordine di servizio, il verbale, il protocollo — si apre una scheda di assenza: dove avrebbe dovuto essere, chi avrebbe dovuto produrlo, quando la sua assenza è stata constatata.</w:t>
      </w:r>
    </w:p>
    <w:p>
      <w:pPr>
        <w:spacing w:after="120" w:line="276"/>
        <w:jc w:val="both"/>
      </w:pPr>
      <w:r>
        <w:rPr>
          <w:rFonts w:ascii="Barlow Semi Condensed" w:cs="Barlow Semi Condensed" w:eastAsia="Barlow Semi Condensed" w:hAnsi="Barlow Semi Condensed"/>
          <w:b/>
          <w:bCs/>
          <w:sz w:val="24"/>
          <w:szCs w:val="24"/>
        </w:rPr>
        <w:t xml:space="preserve">97 · I fascicoli processuali.</w:t>
      </w:r>
      <w:r>
        <w:rPr>
          <w:rFonts w:ascii="Barlow Semi Condensed" w:cs="Barlow Semi Condensed" w:eastAsia="Barlow Semi Condensed" w:hAnsi="Barlow Semi Condensed"/>
          <w:sz w:val="24"/>
          <w:szCs w:val="24"/>
        </w:rPr>
        <w:t xml:space="preserve"> I cinque processi Moro come fondo primario: verbali di perquisizione dei covi (con l'item specifico dei nomi dei cappellani, scheda PE-4), elenchi dei reperti, perizie depositate, liste testi. L'autorizzazione si chiede una volta, per un piano organico.</w:t>
      </w:r>
    </w:p>
    <w:p>
      <w:pPr>
        <w:spacing w:after="120" w:line="276"/>
        <w:jc w:val="both"/>
      </w:pPr>
      <w:r>
        <w:rPr>
          <w:rFonts w:ascii="Barlow Semi Condensed" w:cs="Barlow Semi Condensed" w:eastAsia="Barlow Semi Condensed" w:hAnsi="Barlow Semi Condensed"/>
          <w:b/>
          <w:bCs/>
          <w:sz w:val="24"/>
          <w:szCs w:val="24"/>
        </w:rPr>
        <w:t xml:space="preserve">98 · Gli atti delle commissioni.</w:t>
      </w:r>
      <w:r>
        <w:rPr>
          <w:rFonts w:ascii="Barlow Semi Condensed" w:cs="Barlow Semi Condensed" w:eastAsia="Barlow Semi Condensed" w:hAnsi="Barlow Semi Condensed"/>
          <w:sz w:val="24"/>
          <w:szCs w:val="24"/>
        </w:rPr>
        <w:t xml:space="preserve"> Moro 1, Stragi, Mitrokhin, Moro 2, Anselmi: gli atti — comprese le audizioni secretate via via declassificate — si indicizzano con le stesse chiavi del blocco 93, per fare del patrimonio parlamentare un unico strato interrogabile.</w:t>
      </w:r>
    </w:p>
    <w:p>
      <w:pPr>
        <w:spacing w:after="120" w:line="276"/>
        <w:jc w:val="both"/>
      </w:pPr>
      <w:r>
        <w:rPr>
          <w:rFonts w:ascii="Barlow Semi Condensed" w:cs="Barlow Semi Condensed" w:eastAsia="Barlow Semi Condensed" w:hAnsi="Barlow Semi Condensed"/>
          <w:b/>
          <w:bCs/>
          <w:sz w:val="24"/>
          <w:szCs w:val="24"/>
        </w:rPr>
        <w:t xml:space="preserve">99 · Gli archivi del Senato.</w:t>
      </w:r>
      <w:r>
        <w:rPr>
          <w:rFonts w:ascii="Barlow Semi Condensed" w:cs="Barlow Semi Condensed" w:eastAsia="Barlow Semi Condensed" w:hAnsi="Barlow Semi Condensed"/>
          <w:sz w:val="24"/>
          <w:szCs w:val="24"/>
        </w:rPr>
        <w:t xml:space="preserve"> Il patrimonio desecretato dell'Archivio storico del Senato (le decine di migliaia di pagine delle commissioni) si tratta come fondo autonomo con proprio spoglio: è il ponte fra il piano parlamentare e quello giudiziario.</w:t>
      </w:r>
    </w:p>
    <w:p>
      <w:pPr>
        <w:spacing w:after="120" w:line="276"/>
        <w:jc w:val="both"/>
      </w:pPr>
      <w:r>
        <w:rPr>
          <w:rFonts w:ascii="Barlow Semi Condensed" w:cs="Barlow Semi Condensed" w:eastAsia="Barlow Semi Condensed" w:hAnsi="Barlow Semi Condensed"/>
          <w:b/>
          <w:bCs/>
          <w:sz w:val="24"/>
          <w:szCs w:val="24"/>
        </w:rPr>
        <w:t xml:space="preserve">100 · La catena della «seduta».</w:t>
      </w:r>
      <w:r>
        <w:rPr>
          <w:rFonts w:ascii="Barlow Semi Condensed" w:cs="Barlow Semi Condensed" w:eastAsia="Barlow Semi Condensed" w:hAnsi="Barlow Semi Condensed"/>
          <w:sz w:val="24"/>
          <w:szCs w:val="24"/>
        </w:rPr>
        <w:t xml:space="preserve"> Nel fondo Renzi e negli archivi di PS: la verbalizzazione originaria della segnalazione di Zappolino, l'ordine di perquisizione del paese di Gradoli con la sua motivazione, il carteggio Viminale-questure del 4-18 aprile, ogni verifica sull'omonimia stradale. La catena, non la fonte.</w:t>
      </w:r>
    </w:p>
    <w:p>
      <w:pPr>
        <w:spacing w:after="120" w:line="276"/>
        <w:jc w:val="both"/>
      </w:pPr>
      <w:r>
        <w:rPr>
          <w:rFonts w:ascii="Barlow Semi Condensed" w:cs="Barlow Semi Condensed" w:eastAsia="Barlow Semi Condensed" w:hAnsi="Barlow Semi Condensed"/>
          <w:b/>
          <w:bCs/>
          <w:sz w:val="24"/>
          <w:szCs w:val="24"/>
        </w:rPr>
        <w:t xml:space="preserve">101 · Il fascicolo del Flaminio Nuovo.</w:t>
      </w:r>
      <w:r>
        <w:rPr>
          <w:rFonts w:ascii="Barlow Semi Condensed" w:cs="Barlow Semi Condensed" w:eastAsia="Barlow Semi Condensed" w:hAnsi="Barlow Semi Condensed"/>
          <w:sz w:val="24"/>
          <w:szCs w:val="24"/>
        </w:rPr>
        <w:t xml:space="preserve"> L'ordine di servizio del 18 marzo, il rapporto della squadra, il registro dei controlli di zona, l'eventuale nota di mancato seguito: il micro-fondo che decide la scheda PE-3.</w:t>
      </w:r>
    </w:p>
    <w:p>
      <w:pPr>
        <w:spacing w:after="120" w:line="276"/>
        <w:jc w:val="both"/>
      </w:pPr>
      <w:r>
        <w:rPr>
          <w:rFonts w:ascii="Barlow Semi Condensed" w:cs="Barlow Semi Condensed" w:eastAsia="Barlow Semi Condensed" w:hAnsi="Barlow Semi Condensed"/>
          <w:b/>
          <w:bCs/>
          <w:sz w:val="24"/>
          <w:szCs w:val="24"/>
        </w:rPr>
        <w:t xml:space="preserve">102 · Il percorso della nota Mokbel.</w:t>
      </w:r>
      <w:r>
        <w:rPr>
          <w:rFonts w:ascii="Barlow Semi Condensed" w:cs="Barlow Semi Condensed" w:eastAsia="Barlow Semi Condensed" w:hAnsi="Barlow Semi Condensed"/>
          <w:sz w:val="24"/>
          <w:szCs w:val="24"/>
        </w:rPr>
        <w:t xml:space="preserve"> Protocollo d'ingresso, assegnazione, disposizioni, ritorno: quattro carte dovute, quattro schede — di rinvenimento o di assenza.</w:t>
      </w:r>
    </w:p>
    <w:p>
      <w:pPr>
        <w:spacing w:after="120" w:line="276"/>
        <w:jc w:val="both"/>
      </w:pPr>
      <w:r>
        <w:rPr>
          <w:rFonts w:ascii="Barlow Semi Condensed" w:cs="Barlow Semi Condensed" w:eastAsia="Barlow Semi Condensed" w:hAnsi="Barlow Semi Condensed"/>
          <w:b/>
          <w:bCs/>
          <w:sz w:val="24"/>
          <w:szCs w:val="24"/>
        </w:rPr>
        <w:t xml:space="preserve">103 · Il fascicolo VVF del 18 aprile.</w:t>
      </w:r>
      <w:r>
        <w:rPr>
          <w:rFonts w:ascii="Barlow Semi Condensed" w:cs="Barlow Semi Condensed" w:eastAsia="Barlow Semi Condensed" w:hAnsi="Barlow Semi Condensed"/>
          <w:sz w:val="24"/>
          <w:szCs w:val="24"/>
        </w:rPr>
        <w:t xml:space="preserve"> Il verbale integrale, i rilievi fotografici, la modulistica dell'intervento: si riacquisisce come unità, perché la scheda PE-3 e il blocco 64 vi poggiano insieme.</w:t>
      </w:r>
    </w:p>
    <w:p>
      <w:pPr>
        <w:spacing w:after="120" w:line="276"/>
        <w:jc w:val="both"/>
      </w:pPr>
      <w:r>
        <w:rPr>
          <w:rFonts w:ascii="Barlow Semi Condensed" w:cs="Barlow Semi Condensed" w:eastAsia="Barlow Semi Condensed" w:hAnsi="Barlow Semi Condensed"/>
          <w:b/>
          <w:bCs/>
          <w:sz w:val="24"/>
          <w:szCs w:val="24"/>
        </w:rPr>
        <w:t xml:space="preserve">104 · Il dossier Montalcini.</w:t>
      </w:r>
      <w:r>
        <w:rPr>
          <w:rFonts w:ascii="Barlow Semi Condensed" w:cs="Barlow Semi Condensed" w:eastAsia="Barlow Semi Condensed" w:hAnsi="Barlow Semi Condensed"/>
          <w:sz w:val="24"/>
          <w:szCs w:val="24"/>
        </w:rPr>
        <w:t xml:space="preserve"> Gli atti dell'osservazione UCIGOS dell'estate-ottobre 1978, la loro catena interna, la data e la forma della tardiva trasmissione all'autorità giudiziaria: il campione del terzo segmento (serie settima) esige il suo fascicolo completo.</w:t>
      </w:r>
    </w:p>
    <w:p>
      <w:pPr>
        <w:spacing w:after="120" w:line="276"/>
        <w:jc w:val="both"/>
      </w:pPr>
      <w:r>
        <w:rPr>
          <w:rFonts w:ascii="Barlow Semi Condensed" w:cs="Barlow Semi Condensed" w:eastAsia="Barlow Semi Condensed" w:hAnsi="Barlow Semi Condensed"/>
          <w:b/>
          <w:bCs/>
          <w:sz w:val="24"/>
          <w:szCs w:val="24"/>
        </w:rPr>
        <w:t xml:space="preserve">105 · I comitati: gli atti primari.</w:t>
      </w:r>
      <w:r>
        <w:rPr>
          <w:rFonts w:ascii="Barlow Semi Condensed" w:cs="Barlow Semi Condensed" w:eastAsia="Barlow Semi Condensed" w:hAnsi="Barlow Semi Condensed"/>
          <w:sz w:val="24"/>
          <w:szCs w:val="24"/>
        </w:rPr>
        <w:t xml:space="preserve"> Decreti istitutivi, verbali, ordini del giorno, elenchi di presenza dei tre livelli (politico-tecnico-operativo, tecnico-operativo, esperti): la tavola nominale della scheda PE-1 si costruisce solo su questi.</w:t>
      </w:r>
    </w:p>
    <w:p>
      <w:pPr>
        <w:spacing w:after="120" w:line="276"/>
        <w:jc w:val="both"/>
      </w:pPr>
      <w:r>
        <w:rPr>
          <w:rFonts w:ascii="Barlow Semi Condensed" w:cs="Barlow Semi Condensed" w:eastAsia="Barlow Semi Condensed" w:hAnsi="Barlow Semi Condensed"/>
          <w:b/>
          <w:bCs/>
          <w:sz w:val="24"/>
          <w:szCs w:val="24"/>
        </w:rPr>
        <w:t xml:space="preserve">106 · Gli elenchi P2 con le date.</w:t>
      </w:r>
      <w:r>
        <w:rPr>
          <w:rFonts w:ascii="Barlow Semi Condensed" w:cs="Barlow Semi Condensed" w:eastAsia="Barlow Semi Condensed" w:hAnsi="Barlow Semi Condensed"/>
          <w:sz w:val="24"/>
          <w:szCs w:val="24"/>
        </w:rPr>
        <w:t xml:space="preserve"> Gli elenchi di Castiglion Fibocchi, con numeri di tessera e date, negli atti della Commissione Anselmi: l'incrocio nominale del blocco 105 usa l'edizione documentale, non le liste di stampa.</w:t>
      </w:r>
    </w:p>
    <w:p>
      <w:pPr>
        <w:spacing w:after="120" w:line="276"/>
        <w:jc w:val="both"/>
      </w:pPr>
      <w:r>
        <w:rPr>
          <w:rFonts w:ascii="Barlow Semi Condensed" w:cs="Barlow Semi Condensed" w:eastAsia="Barlow Semi Condensed" w:hAnsi="Barlow Semi Condensed"/>
          <w:b/>
          <w:bCs/>
          <w:sz w:val="24"/>
          <w:szCs w:val="24"/>
        </w:rPr>
        <w:t xml:space="preserve">107 · Le carte degli «esperti».</w:t>
      </w:r>
      <w:r>
        <w:rPr>
          <w:rFonts w:ascii="Barlow Semi Condensed" w:cs="Barlow Semi Condensed" w:eastAsia="Barlow Semi Condensed" w:hAnsi="Barlow Semi Condensed"/>
          <w:sz w:val="24"/>
          <w:szCs w:val="24"/>
        </w:rPr>
        <w:t xml:space="preserve"> I pareri e le relazioni del comitato mai riunito collegialmente — inclusa la qualificazione di inattendibilità delle lettere — si cercano nei versamenti del Viminale e negli atti delle commissioni: chi li firmò, come circolarono, che effetti ebbero.</w:t>
      </w:r>
    </w:p>
    <w:p>
      <w:pPr>
        <w:spacing w:after="120" w:line="276"/>
        <w:jc w:val="both"/>
      </w:pPr>
      <w:r>
        <w:rPr>
          <w:rFonts w:ascii="Barlow Semi Condensed" w:cs="Barlow Semi Condensed" w:eastAsia="Barlow Semi Condensed" w:hAnsi="Barlow Semi Condensed"/>
          <w:b/>
          <w:bCs/>
          <w:sz w:val="24"/>
          <w:szCs w:val="24"/>
        </w:rPr>
        <w:t xml:space="preserve">108 · La conservatoria di via Gradoli.</w:t>
      </w:r>
      <w:r>
        <w:rPr>
          <w:rFonts w:ascii="Barlow Semi Condensed" w:cs="Barlow Semi Condensed" w:eastAsia="Barlow Semi Condensed" w:hAnsi="Barlow Semi Condensed"/>
          <w:sz w:val="24"/>
          <w:szCs w:val="24"/>
        </w:rPr>
        <w:t xml:space="preserve"> Visure storiche integrali per i 66 appartamenti (1970-1990): ogni passaggio con data, venditore, acquirente. È l'unico atto che decide la scheda PE-2, e non richiede alcun potere speciale: i registri sono pubblici.</w:t>
      </w:r>
    </w:p>
    <w:p>
      <w:pPr>
        <w:spacing w:after="120" w:line="276"/>
        <w:jc w:val="both"/>
      </w:pPr>
      <w:r>
        <w:rPr>
          <w:rFonts w:ascii="Barlow Semi Condensed" w:cs="Barlow Semi Condensed" w:eastAsia="Barlow Semi Condensed" w:hAnsi="Barlow Semi Condensed"/>
          <w:b/>
          <w:bCs/>
          <w:sz w:val="24"/>
          <w:szCs w:val="24"/>
        </w:rPr>
        <w:t xml:space="preserve">109 · Il registro delle imprese.</w:t>
      </w:r>
      <w:r>
        <w:rPr>
          <w:rFonts w:ascii="Barlow Semi Condensed" w:cs="Barlow Semi Condensed" w:eastAsia="Barlow Semi Condensed" w:hAnsi="Barlow Semi Condensed"/>
          <w:sz w:val="24"/>
          <w:szCs w:val="24"/>
        </w:rPr>
        <w:t xml:space="preserve"> Fascicoli storici delle tre immobiliari e della fiduciaria collegata: costituzioni, compagini, amministratori nel tempo, bilanci. La tavola proprietà×tempo si data qui.</w:t>
      </w:r>
    </w:p>
    <w:p>
      <w:pPr>
        <w:spacing w:after="120" w:line="276"/>
        <w:jc w:val="both"/>
      </w:pPr>
      <w:r>
        <w:rPr>
          <w:rFonts w:ascii="Barlow Semi Condensed" w:cs="Barlow Semi Condensed" w:eastAsia="Barlow Semi Condensed" w:hAnsi="Barlow Semi Condensed"/>
          <w:b/>
          <w:bCs/>
          <w:sz w:val="24"/>
          <w:szCs w:val="24"/>
        </w:rPr>
        <w:t xml:space="preserve">110 · Gli atti di Bologna.</w:t>
      </w:r>
      <w:r>
        <w:rPr>
          <w:rFonts w:ascii="Barlow Semi Condensed" w:cs="Barlow Semi Condensed" w:eastAsia="Barlow Semi Condensed" w:hAnsi="Barlow Semi Condensed"/>
          <w:sz w:val="24"/>
          <w:szCs w:val="24"/>
        </w:rPr>
        <w:t xml:space="preserve"> La ricostruzione dibattimentale del 2021 sui legami stabile-servizi si acquisisce come base documentale già formata: non si rifà ciò che un'aula ha già fatto con poteri istruttori; si estende all'indietro, sulla finestra 1975-1978.</w:t>
      </w:r>
    </w:p>
    <w:p>
      <w:pPr>
        <w:spacing w:after="120" w:line="276"/>
        <w:jc w:val="both"/>
      </w:pPr>
      <w:r>
        <w:rPr>
          <w:rFonts w:ascii="Barlow Semi Condensed" w:cs="Barlow Semi Condensed" w:eastAsia="Barlow Semi Condensed" w:hAnsi="Barlow Semi Condensed"/>
          <w:b/>
          <w:bCs/>
          <w:sz w:val="24"/>
          <w:szCs w:val="24"/>
        </w:rPr>
        <w:t xml:space="preserve">111 · Il fondo dei cappellani.</w:t>
      </w:r>
      <w:r>
        <w:rPr>
          <w:rFonts w:ascii="Barlow Semi Condensed" w:cs="Barlow Semi Condensed" w:eastAsia="Barlow Semi Condensed" w:hAnsi="Barlow Semi Condensed"/>
          <w:sz w:val="24"/>
          <w:szCs w:val="24"/>
        </w:rPr>
        <w:t xml:space="preserve"> L'archivio dell'ispettorato dei cappellani carcerari e l'eventuale lascito personale di Curioni: la sede più promettente e mai censita del canale del riscatto. L'accesso si chiede alle autorità ecclesiastiche competenti con quesiti scritti.</w:t>
      </w:r>
    </w:p>
    <w:p>
      <w:pPr>
        <w:spacing w:after="120" w:line="276"/>
        <w:jc w:val="both"/>
      </w:pPr>
      <w:r>
        <w:rPr>
          <w:rFonts w:ascii="Barlow Semi Condensed" w:cs="Barlow Semi Condensed" w:eastAsia="Barlow Semi Condensed" w:hAnsi="Barlow Semi Condensed"/>
          <w:b/>
          <w:bCs/>
          <w:sz w:val="24"/>
          <w:szCs w:val="24"/>
        </w:rPr>
        <w:t xml:space="preserve">112 · L'istanza pronta per l'AAV.</w:t>
      </w:r>
      <w:r>
        <w:rPr>
          <w:rFonts w:ascii="Barlow Semi Condensed" w:cs="Barlow Semi Condensed" w:eastAsia="Barlow Semi Condensed" w:hAnsi="Barlow Semi Condensed"/>
          <w:sz w:val="24"/>
          <w:szCs w:val="24"/>
        </w:rPr>
        <w:t xml:space="preserve"> Per l'apertura del pontificato di Paolo VI si tiene pronta l'istanza con i quesiti già formulati: Segreteria di Stato, carte del segretario, minute della lettera del 21-22 aprile, documentazione del fondo per il riscatto. Il giorno dell'apertura non si improvvisa.</w:t>
      </w:r>
    </w:p>
    <w:p>
      <w:pPr>
        <w:spacing w:after="120" w:line="276"/>
        <w:jc w:val="both"/>
      </w:pPr>
      <w:r>
        <w:rPr>
          <w:rFonts w:ascii="Barlow Semi Condensed" w:cs="Barlow Semi Condensed" w:eastAsia="Barlow Semi Condensed" w:hAnsi="Barlow Semi Condensed"/>
          <w:b/>
          <w:bCs/>
          <w:sz w:val="24"/>
          <w:szCs w:val="24"/>
        </w:rPr>
        <w:t xml:space="preserve">113 · Le minute della lettera.</w:t>
      </w:r>
      <w:r>
        <w:rPr>
          <w:rFonts w:ascii="Barlow Semi Condensed" w:cs="Barlow Semi Condensed" w:eastAsia="Barlow Semi Condensed" w:hAnsi="Barlow Semi Condensed"/>
          <w:sz w:val="24"/>
          <w:szCs w:val="24"/>
        </w:rPr>
        <w:t xml:space="preserve"> L'edizione critica delle stesure autografe — la variante «senza alcuna imbarazzante condizione» — si programma come atto filologico formale, trasformando la notizia in accertamento stabile.</w:t>
      </w:r>
    </w:p>
    <w:p>
      <w:pPr>
        <w:spacing w:after="120" w:line="276"/>
        <w:jc w:val="both"/>
      </w:pPr>
      <w:r>
        <w:rPr>
          <w:rFonts w:ascii="Barlow Semi Condensed" w:cs="Barlow Semi Condensed" w:eastAsia="Barlow Semi Condensed" w:hAnsi="Barlow Semi Condensed"/>
          <w:b/>
          <w:bCs/>
          <w:sz w:val="24"/>
          <w:szCs w:val="24"/>
        </w:rPr>
        <w:t xml:space="preserve">114 · Il versante israeliano.</w:t>
      </w:r>
      <w:r>
        <w:rPr>
          <w:rFonts w:ascii="Barlow Semi Condensed" w:cs="Barlow Semi Condensed" w:eastAsia="Barlow Semi Condensed" w:hAnsi="Barlow Semi Condensed"/>
          <w:sz w:val="24"/>
          <w:szCs w:val="24"/>
        </w:rPr>
        <w:t xml:space="preserve"> Le dichiarazioni pubbliche del finanziatore accertato dalla Moro 2 e gli atti con cui la commissione lo fissò: raccolta conservativa documentale, prima che le fonti si disperdano.</w:t>
      </w:r>
    </w:p>
    <w:p>
      <w:pPr>
        <w:spacing w:after="120" w:line="276"/>
        <w:jc w:val="both"/>
      </w:pPr>
      <w:r>
        <w:rPr>
          <w:rFonts w:ascii="Barlow Semi Condensed" w:cs="Barlow Semi Condensed" w:eastAsia="Barlow Semi Condensed" w:hAnsi="Barlow Semi Condensed"/>
          <w:b/>
          <w:bCs/>
          <w:sz w:val="24"/>
          <w:szCs w:val="24"/>
        </w:rPr>
        <w:t xml:space="preserve">115 · NARA: l'interrogazione sistematica.</w:t>
      </w:r>
      <w:r>
        <w:rPr>
          <w:rFonts w:ascii="Barlow Semi Condensed" w:cs="Barlow Semi Condensed" w:eastAsia="Barlow Semi Condensed" w:hAnsi="Barlow Semi Condensed"/>
          <w:sz w:val="24"/>
          <w:szCs w:val="24"/>
        </w:rPr>
        <w:t xml:space="preserve"> L'Access to Archival Databases si interroga per TAGS (</w:t>
      </w:r>
      <w:r>
        <w:rPr>
          <w:rFonts w:ascii="Barlow Semi Condensed" w:cs="Barlow Semi Condensed" w:eastAsia="Barlow Semi Condensed" w:hAnsi="Barlow Semi Condensed"/>
          <w:i/>
          <w:iCs/>
          <w:sz w:val="24"/>
          <w:szCs w:val="24"/>
        </w:rPr>
        <w:t xml:space="preserve">PINT</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IT</w:t>
      </w:r>
      <w:r>
        <w:rPr>
          <w:rFonts w:ascii="Barlow Semi Condensed" w:cs="Barlow Semi Condensed" w:eastAsia="Barlow Semi Condensed" w:hAnsi="Barlow Semi Condensed"/>
          <w:sz w:val="24"/>
          <w:szCs w:val="24"/>
        </w:rPr>
        <w:t xml:space="preserve"> e correlati) e chiave «MORO» sulla finestra 16 marzo – 31 dicembre 1978: l'esito è l'elenco datato dei telegrammi liberi.</w:t>
      </w:r>
    </w:p>
    <w:p>
      <w:pPr>
        <w:spacing w:after="120" w:line="276"/>
        <w:jc w:val="both"/>
      </w:pPr>
      <w:r>
        <w:rPr>
          <w:rFonts w:ascii="Barlow Semi Condensed" w:cs="Barlow Semi Condensed" w:eastAsia="Barlow Semi Condensed" w:hAnsi="Barlow Semi Condensed"/>
          <w:b/>
          <w:bCs/>
          <w:sz w:val="24"/>
          <w:szCs w:val="24"/>
        </w:rPr>
        <w:t xml:space="preserve">116 · Le withdrawal cards.</w:t>
      </w:r>
      <w:r>
        <w:rPr>
          <w:rFonts w:ascii="Barlow Semi Condensed" w:cs="Barlow Semi Condensed" w:eastAsia="Barlow Semi Condensed" w:hAnsi="Barlow Semi Condensed"/>
          <w:sz w:val="24"/>
          <w:szCs w:val="24"/>
        </w:rPr>
        <w:t xml:space="preserve"> Le schede dei telegrammi trattenuti del 1978 si scaricano e si schedano una per una: per ogni cablo ritirato — esistenza, data, provenienza — un item numerato della tavola del trattenuto.</w:t>
      </w:r>
    </w:p>
    <w:p>
      <w:pPr>
        <w:spacing w:after="120" w:line="276"/>
        <w:jc w:val="both"/>
      </w:pPr>
      <w:r>
        <w:rPr>
          <w:rFonts w:ascii="Barlow Semi Condensed" w:cs="Barlow Semi Condensed" w:eastAsia="Barlow Semi Condensed" w:hAnsi="Barlow Semi Condensed"/>
          <w:b/>
          <w:bCs/>
          <w:sz w:val="24"/>
          <w:szCs w:val="24"/>
        </w:rPr>
        <w:t xml:space="preserve">117 · Il caso FOIA del corpus.</w:t>
      </w:r>
      <w:r>
        <w:rPr>
          <w:rFonts w:ascii="Barlow Semi Condensed" w:cs="Barlow Semi Condensed" w:eastAsia="Barlow Semi Condensed" w:hAnsi="Barlow Semi Condensed"/>
          <w:sz w:val="24"/>
          <w:szCs w:val="24"/>
        </w:rPr>
        <w:t xml:space="preserve"> La richiesta del fascicolo integrale R-2021-002xx (con la divergenza di lettura 00202/00208 dichiarata nell'istanza), ancorata ai numeri di controllo B-00001939965…989: l'atto più economico dell'intera serie.</w:t>
      </w:r>
    </w:p>
    <w:p>
      <w:pPr>
        <w:spacing w:after="120" w:line="276"/>
        <w:jc w:val="both"/>
      </w:pPr>
      <w:r>
        <w:rPr>
          <w:rFonts w:ascii="Barlow Semi Condensed" w:cs="Barlow Semi Condensed" w:eastAsia="Barlow Semi Condensed" w:hAnsi="Barlow Semi Condensed"/>
          <w:b/>
          <w:bCs/>
          <w:sz w:val="24"/>
          <w:szCs w:val="24"/>
        </w:rPr>
        <w:t xml:space="preserve">118 · Le FOIA mirate.</w:t>
      </w:r>
      <w:r>
        <w:rPr>
          <w:rFonts w:ascii="Barlow Semi Condensed" w:cs="Barlow Semi Condensed" w:eastAsia="Barlow Semi Condensed" w:hAnsi="Barlow Semi Condensed"/>
          <w:sz w:val="24"/>
          <w:szCs w:val="24"/>
        </w:rPr>
        <w:t xml:space="preserve"> Sui singoli item delle withdrawal cards e sulle lacune della serie B-…: richieste puntuali, motivate, numerate — le sole che in regime FOIA convergono. Ogni diniego motivato si scheda come documento.</w:t>
      </w:r>
    </w:p>
    <w:p>
      <w:pPr>
        <w:spacing w:after="120" w:line="276"/>
        <w:jc w:val="both"/>
      </w:pPr>
      <w:r>
        <w:rPr>
          <w:rFonts w:ascii="Barlow Semi Condensed" w:cs="Barlow Semi Condensed" w:eastAsia="Barlow Semi Condensed" w:hAnsi="Barlow Semi Condensed"/>
          <w:b/>
          <w:bCs/>
          <w:sz w:val="24"/>
          <w:szCs w:val="24"/>
        </w:rPr>
        <w:t xml:space="preserve">119 · La regola dell'originatore.</w:t>
      </w:r>
      <w:r>
        <w:rPr>
          <w:rFonts w:ascii="Barlow Semi Condensed" w:cs="Barlow Semi Condensed" w:eastAsia="Barlow Semi Condensed" w:hAnsi="Barlow Semi Condensed"/>
          <w:sz w:val="24"/>
          <w:szCs w:val="24"/>
        </w:rPr>
        <w:t xml:space="preserve"> Per gli atti di origine alleata custoditi in Italia: censimento di quali richieste di consenso all'originatore siano mai state formulate, e proposta formale di riattivazione nelle sedi diplomatiche. La cifra circolante (~474) si verifica su atto prima di ogni uso.</w:t>
      </w:r>
    </w:p>
    <w:p>
      <w:pPr>
        <w:spacing w:after="120" w:line="276"/>
        <w:jc w:val="both"/>
      </w:pPr>
      <w:r>
        <w:rPr>
          <w:rFonts w:ascii="Barlow Semi Condensed" w:cs="Barlow Semi Condensed" w:eastAsia="Barlow Semi Condensed" w:hAnsi="Barlow Semi Condensed"/>
          <w:b/>
          <w:bCs/>
          <w:sz w:val="24"/>
          <w:szCs w:val="24"/>
        </w:rPr>
        <w:t xml:space="preserve">120 · Gli archivi della RAI e delle agenzie.</w:t>
      </w:r>
      <w:r>
        <w:rPr>
          <w:rFonts w:ascii="Barlow Semi Condensed" w:cs="Barlow Semi Condensed" w:eastAsia="Barlow Semi Condensed" w:hAnsi="Barlow Semi Condensed"/>
          <w:sz w:val="24"/>
          <w:szCs w:val="24"/>
        </w:rPr>
        <w:t xml:space="preserve"> I notiziari, i lanci d'agenzia e i girati dei 55 giorni si trattano come fondo: la cronologia pubblica minuto per minuto è lo sfondo su cui si misurano le cronologie interne degli apparati.</w:t>
      </w:r>
    </w:p>
    <w:p>
      <w:pPr>
        <w:spacing w:after="120" w:line="276"/>
        <w:jc w:val="both"/>
      </w:pPr>
      <w:r>
        <w:rPr>
          <w:rFonts w:ascii="Barlow Semi Condensed" w:cs="Barlow Semi Condensed" w:eastAsia="Barlow Semi Condensed" w:hAnsi="Barlow Semi Condensed"/>
          <w:b/>
          <w:bCs/>
          <w:sz w:val="24"/>
          <w:szCs w:val="24"/>
        </w:rPr>
        <w:t xml:space="preserve">121 · Gli archivi SIP.</w:t>
      </w:r>
      <w:r>
        <w:rPr>
          <w:rFonts w:ascii="Barlow Semi Condensed" w:cs="Barlow Semi Condensed" w:eastAsia="Barlow Semi Condensed" w:hAnsi="Barlow Semi Condensed"/>
          <w:sz w:val="24"/>
          <w:szCs w:val="24"/>
        </w:rPr>
        <w:t xml:space="preserve"> I tabulati e i registri del traffico telefonico d'epoca, ovunque sopravvissuti (fascicoli processuali, versamenti): censimento di ciò che esiste ancora, prima di ogni ipotesi su ciò che direbbe.</w:t>
      </w:r>
    </w:p>
    <w:p>
      <w:pPr>
        <w:spacing w:after="120" w:line="276"/>
        <w:jc w:val="both"/>
      </w:pPr>
      <w:r>
        <w:rPr>
          <w:rFonts w:ascii="Barlow Semi Condensed" w:cs="Barlow Semi Condensed" w:eastAsia="Barlow Semi Condensed" w:hAnsi="Barlow Semi Condensed"/>
          <w:b/>
          <w:bCs/>
          <w:sz w:val="24"/>
          <w:szCs w:val="24"/>
        </w:rPr>
        <w:t xml:space="preserve">122 · Gli archivi comunali.</w:t>
      </w:r>
      <w:r>
        <w:rPr>
          <w:rFonts w:ascii="Barlow Semi Condensed" w:cs="Barlow Semi Condensed" w:eastAsia="Barlow Semi Condensed" w:hAnsi="Barlow Semi Condensed"/>
          <w:sz w:val="24"/>
          <w:szCs w:val="24"/>
        </w:rPr>
        <w:t xml:space="preserve"> Anagrafe e licenze per i luoghi del caso: i censimenti d'epoca, i registri di portierato, le pratiche edilizie di via Gradoli 96 e via Montalcini 8. La microstoria amministrativa dei luoghi è documentazione, non colore.</w:t>
      </w:r>
    </w:p>
    <w:p>
      <w:pPr>
        <w:spacing w:after="120" w:line="276"/>
        <w:jc w:val="both"/>
      </w:pPr>
      <w:r>
        <w:rPr>
          <w:rFonts w:ascii="Barlow Semi Condensed" w:cs="Barlow Semi Condensed" w:eastAsia="Barlow Semi Condensed" w:hAnsi="Barlow Semi Condensed"/>
          <w:b/>
          <w:bCs/>
          <w:sz w:val="24"/>
          <w:szCs w:val="24"/>
        </w:rPr>
        <w:t xml:space="preserve">123 · Gli archivi bancari.</w:t>
      </w:r>
      <w:r>
        <w:rPr>
          <w:rFonts w:ascii="Barlow Semi Condensed" w:cs="Barlow Semi Condensed" w:eastAsia="Barlow Semi Condensed" w:hAnsi="Barlow Semi Condensed"/>
          <w:sz w:val="24"/>
          <w:szCs w:val="24"/>
        </w:rPr>
        <w:t xml:space="preserve"> Per il quesito della somma del riscatto: le regole di tracciabilità dell'epoca, i canali di cambio, ciò che le fascette bancarie descritte consentono di chiedere a istituti ed eredi di istituti. Quesito documentale, non caccia al tesoro.</w:t>
      </w:r>
    </w:p>
    <w:p>
      <w:pPr>
        <w:spacing w:after="120" w:line="276"/>
        <w:jc w:val="both"/>
      </w:pPr>
      <w:r>
        <w:rPr>
          <w:rFonts w:ascii="Barlow Semi Condensed" w:cs="Barlow Semi Condensed" w:eastAsia="Barlow Semi Condensed" w:hAnsi="Barlow Semi Condensed"/>
          <w:b/>
          <w:bCs/>
          <w:sz w:val="24"/>
          <w:szCs w:val="24"/>
        </w:rPr>
        <w:t xml:space="preserve">124 · I lasciti dei protagonisti.</w:t>
      </w:r>
      <w:r>
        <w:rPr>
          <w:rFonts w:ascii="Barlow Semi Condensed" w:cs="Barlow Semi Condensed" w:eastAsia="Barlow Semi Condensed" w:hAnsi="Barlow Semi Condensed"/>
          <w:sz w:val="24"/>
          <w:szCs w:val="24"/>
        </w:rPr>
        <w:t xml:space="preserve"> Carte private di magistrati, funzionari, giornalisti e difensori del caso, presso famiglie e fondazioni: censimento e acquisizione conservativa con protocollo notarile (serie quinta), prima che i traslochi decidano loro.</w:t>
      </w:r>
    </w:p>
    <w:p>
      <w:pPr>
        <w:spacing w:after="120" w:line="276"/>
        <w:jc w:val="both"/>
      </w:pPr>
      <w:r>
        <w:rPr>
          <w:rFonts w:ascii="Barlow Semi Condensed" w:cs="Barlow Semi Condensed" w:eastAsia="Barlow Semi Condensed" w:hAnsi="Barlow Semi Condensed"/>
          <w:b/>
          <w:bCs/>
          <w:sz w:val="24"/>
          <w:szCs w:val="24"/>
        </w:rPr>
        <w:t xml:space="preserve">125 · Gli archivi dei difensori.</w:t>
      </w:r>
      <w:r>
        <w:rPr>
          <w:rFonts w:ascii="Barlow Semi Condensed" w:cs="Barlow Semi Condensed" w:eastAsia="Barlow Semi Condensed" w:hAnsi="Barlow Semi Condensed"/>
          <w:sz w:val="24"/>
          <w:szCs w:val="24"/>
        </w:rPr>
        <w:t xml:space="preserve"> I fascicoli di parte dei processi storici — dove i difensori o i loro studi li conservino — contengono copie di atti che le cancellerie hanno perso: si chiedono con le cautele del segreto professionale.</w:t>
      </w:r>
    </w:p>
    <w:p>
      <w:pPr>
        <w:spacing w:after="120" w:line="276"/>
        <w:jc w:val="both"/>
      </w:pPr>
      <w:r>
        <w:rPr>
          <w:rFonts w:ascii="Barlow Semi Condensed" w:cs="Barlow Semi Condensed" w:eastAsia="Barlow Semi Condensed" w:hAnsi="Barlow Semi Condensed"/>
          <w:b/>
          <w:bCs/>
          <w:sz w:val="24"/>
          <w:szCs w:val="24"/>
        </w:rPr>
        <w:t xml:space="preserve">126 · Gli archivi esteri minori.</w:t>
      </w:r>
      <w:r>
        <w:rPr>
          <w:rFonts w:ascii="Barlow Semi Condensed" w:cs="Barlow Semi Condensed" w:eastAsia="Barlow Semi Condensed" w:hAnsi="Barlow Semi Condensed"/>
          <w:sz w:val="24"/>
          <w:szCs w:val="24"/>
        </w:rPr>
        <w:t xml:space="preserve"> Berna (per il versante del cittadino svizzero del registro), Managua (per le richieste respinte), Parigi (per il quadro del rifugio): non per riaprire ciò che è chiuso, ma per schedare le carte diplomatiche italiane che vi corrispondono alla Farnesina.</w:t>
      </w:r>
    </w:p>
    <w:p>
      <w:pPr>
        <w:spacing w:after="120" w:line="276"/>
        <w:jc w:val="both"/>
      </w:pPr>
      <w:r>
        <w:rPr>
          <w:rFonts w:ascii="Barlow Semi Condensed" w:cs="Barlow Semi Condensed" w:eastAsia="Barlow Semi Condensed" w:hAnsi="Barlow Semi Condensed"/>
          <w:b/>
          <w:bCs/>
          <w:sz w:val="24"/>
          <w:szCs w:val="24"/>
        </w:rPr>
        <w:t xml:space="preserve">127 · L'Archivio Storico Diplomatico.</w:t>
      </w:r>
      <w:r>
        <w:rPr>
          <w:rFonts w:ascii="Barlow Semi Condensed" w:cs="Barlow Semi Condensed" w:eastAsia="Barlow Semi Condensed" w:hAnsi="Barlow Semi Condensed"/>
          <w:sz w:val="24"/>
          <w:szCs w:val="24"/>
        </w:rPr>
        <w:t xml:space="preserve"> Le serie della Farnesina sui dossier del caso — le estradizioni, i rapporti con gli alleati nel 1978, la cooperazione giudiziaria — con l'avvertenza già censita sull'accessibilità delle serie novecentesche.</w:t>
      </w:r>
    </w:p>
    <w:p>
      <w:pPr>
        <w:spacing w:after="120" w:line="276"/>
        <w:jc w:val="both"/>
      </w:pPr>
      <w:r>
        <w:rPr>
          <w:rFonts w:ascii="Barlow Semi Condensed" w:cs="Barlow Semi Condensed" w:eastAsia="Barlow Semi Condensed" w:hAnsi="Barlow Semi Condensed"/>
          <w:b/>
          <w:bCs/>
          <w:sz w:val="24"/>
          <w:szCs w:val="24"/>
        </w:rPr>
        <w:t xml:space="preserve">128 · Il protocollo di digitalizzazione.</w:t>
      </w:r>
      <w:r>
        <w:rPr>
          <w:rFonts w:ascii="Barlow Semi Condensed" w:cs="Barlow Semi Condensed" w:eastAsia="Barlow Semi Condensed" w:hAnsi="Barlow Semi Condensed"/>
          <w:sz w:val="24"/>
          <w:szCs w:val="24"/>
        </w:rPr>
        <w:t xml:space="preserve"> Ogni carta rinvenuta si digitalizza alla prima presa in mano, con metadati completi: nessun documento del nuovo caso deve essere cercato due volte.</w:t>
      </w:r>
    </w:p>
    <w:p>
      <w:pPr>
        <w:spacing w:after="120" w:line="276"/>
        <w:jc w:val="both"/>
      </w:pPr>
      <w:r>
        <w:rPr>
          <w:rFonts w:ascii="Barlow Semi Condensed" w:cs="Barlow Semi Condensed" w:eastAsia="Barlow Semi Condensed" w:hAnsi="Barlow Semi Condensed"/>
          <w:b/>
          <w:bCs/>
          <w:sz w:val="24"/>
          <w:szCs w:val="24"/>
        </w:rPr>
        <w:t xml:space="preserve">129 · L'inventario pubblico incrementale.</w:t>
      </w:r>
      <w:r>
        <w:rPr>
          <w:rFonts w:ascii="Barlow Semi Condensed" w:cs="Barlow Semi Condensed" w:eastAsia="Barlow Semi Condensed" w:hAnsi="Barlow Semi Condensed"/>
          <w:sz w:val="24"/>
          <w:szCs w:val="24"/>
        </w:rPr>
        <w:t xml:space="preserve"> Gli inventari analitici si pubblicano per lotti trimestrali, non a fine progetto: la comunità di studio verifica, integra e corregge in corso d'opera.</w:t>
      </w:r>
    </w:p>
    <w:p>
      <w:pPr>
        <w:spacing w:after="120" w:line="276"/>
        <w:jc w:val="both"/>
      </w:pPr>
      <w:r>
        <w:rPr>
          <w:rFonts w:ascii="Barlow Semi Condensed" w:cs="Barlow Semi Condensed" w:eastAsia="Barlow Semi Condensed" w:hAnsi="Barlow Semi Condensed"/>
          <w:b/>
          <w:bCs/>
          <w:sz w:val="24"/>
          <w:szCs w:val="24"/>
        </w:rPr>
        <w:t xml:space="preserve">130 · Il diritto degli studiosi.</w:t>
      </w:r>
      <w:r>
        <w:rPr>
          <w:rFonts w:ascii="Barlow Semi Condensed" w:cs="Barlow Semi Condensed" w:eastAsia="Barlow Semi Condensed" w:hAnsi="Barlow Semi Condensed"/>
          <w:sz w:val="24"/>
          <w:szCs w:val="24"/>
        </w:rPr>
        <w:t xml:space="preserve"> Le regole d'accesso al lavorato sono uguali per tutti: nessun rinvenimento riservato ai rinvenitori oltre il tempo tecnico di verbalizzazione. Il caso non ha proprietari.</w:t>
      </w:r>
    </w:p>
    <w:p>
      <w:pPr>
        <w:spacing w:after="120" w:line="276"/>
        <w:jc w:val="both"/>
      </w:pPr>
      <w:r>
        <w:rPr>
          <w:rFonts w:ascii="Barlow Semi Condensed" w:cs="Barlow Semi Condensed" w:eastAsia="Barlow Semi Condensed" w:hAnsi="Barlow Semi Condensed"/>
          <w:b/>
          <w:bCs/>
          <w:sz w:val="24"/>
          <w:szCs w:val="24"/>
        </w:rPr>
        <w:t xml:space="preserve">131 · Le carte già pubblicate.</w:t>
      </w:r>
      <w:r>
        <w:rPr>
          <w:rFonts w:ascii="Barlow Semi Condensed" w:cs="Barlow Semi Condensed" w:eastAsia="Barlow Semi Condensed" w:hAnsi="Barlow Semi Condensed"/>
          <w:sz w:val="24"/>
          <w:szCs w:val="24"/>
        </w:rPr>
        <w:t xml:space="preserve"> La pubblicistica quarantennale si spoglia a ritroso: ogni documento citato nei libri si riconduce alla sua segnatura d'archivio o si scheda come «citato e non reperito» — l'igiene delle fonti secondarie.</w:t>
      </w:r>
    </w:p>
    <w:p>
      <w:pPr>
        <w:spacing w:after="120" w:line="276"/>
        <w:jc w:val="both"/>
      </w:pPr>
      <w:r>
        <w:rPr>
          <w:rFonts w:ascii="Barlow Semi Condensed" w:cs="Barlow Semi Condensed" w:eastAsia="Barlow Semi Condensed" w:hAnsi="Barlow Semi Condensed"/>
          <w:b/>
          <w:bCs/>
          <w:sz w:val="24"/>
          <w:szCs w:val="24"/>
        </w:rPr>
        <w:t xml:space="preserve">132 · La deduplicazione.</w:t>
      </w:r>
      <w:r>
        <w:rPr>
          <w:rFonts w:ascii="Barlow Semi Condensed" w:cs="Barlow Semi Condensed" w:eastAsia="Barlow Semi Condensed" w:hAnsi="Barlow Semi Condensed"/>
          <w:sz w:val="24"/>
          <w:szCs w:val="24"/>
        </w:rPr>
        <w:t xml:space="preserve"> Le copie multiple dello stesso atto nei diversi fondi si collegano in scheda unica con la mappa delle varianti: le omissioni fra copia e copia sono esse stesse un dato.</w:t>
      </w:r>
    </w:p>
    <w:p>
      <w:pPr>
        <w:spacing w:after="120" w:line="276"/>
        <w:jc w:val="both"/>
      </w:pPr>
      <w:r>
        <w:rPr>
          <w:rFonts w:ascii="Barlow Semi Condensed" w:cs="Barlow Semi Condensed" w:eastAsia="Barlow Semi Condensed" w:hAnsi="Barlow Semi Condensed"/>
          <w:b/>
          <w:bCs/>
          <w:sz w:val="24"/>
          <w:szCs w:val="24"/>
        </w:rPr>
        <w:t xml:space="preserve">133 · Il vocabolario d'epoca.</w:t>
      </w:r>
      <w:r>
        <w:rPr>
          <w:rFonts w:ascii="Barlow Semi Condensed" w:cs="Barlow Semi Condensed" w:eastAsia="Barlow Semi Condensed" w:hAnsi="Barlow Semi Condensed"/>
          <w:sz w:val="24"/>
          <w:szCs w:val="24"/>
        </w:rPr>
        <w:t xml:space="preserve"> Un glossario delle sigle e delle prassi burocratiche del 1978 (uffici, qualifiche, modulistica) accompagna lo spoglio: metà degli equivoci dietrologici nasce da carte lette col vocabolario di oggi.</w:t>
      </w:r>
    </w:p>
    <w:p>
      <w:pPr>
        <w:spacing w:after="120" w:line="276"/>
        <w:jc w:val="both"/>
      </w:pPr>
      <w:r>
        <w:rPr>
          <w:rFonts w:ascii="Barlow Semi Condensed" w:cs="Barlow Semi Condensed" w:eastAsia="Barlow Semi Condensed" w:hAnsi="Barlow Semi Condensed"/>
          <w:b/>
          <w:bCs/>
          <w:sz w:val="24"/>
          <w:szCs w:val="24"/>
        </w:rPr>
        <w:t xml:space="preserve">134 · Le firme e le sigle.</w:t>
      </w:r>
      <w:r>
        <w:rPr>
          <w:rFonts w:ascii="Barlow Semi Condensed" w:cs="Barlow Semi Condensed" w:eastAsia="Barlow Semi Condensed" w:hAnsi="Barlow Semi Condensed"/>
          <w:sz w:val="24"/>
          <w:szCs w:val="24"/>
        </w:rPr>
        <w:t xml:space="preserve"> Un repertorio delle firme e delle sigle dei funzionari ricorrenti nei fondi consente attribuzioni certe delle annotazioni manoscritte: la paleografia del Novecento è una scienza ausiliaria del caso.</w:t>
      </w:r>
    </w:p>
    <w:p>
      <w:pPr>
        <w:spacing w:after="120" w:line="276"/>
        <w:jc w:val="both"/>
      </w:pPr>
      <w:r>
        <w:rPr>
          <w:rFonts w:ascii="Barlow Semi Condensed" w:cs="Barlow Semi Condensed" w:eastAsia="Barlow Semi Condensed" w:hAnsi="Barlow Semi Condensed"/>
          <w:b/>
          <w:bCs/>
          <w:sz w:val="24"/>
          <w:szCs w:val="24"/>
        </w:rPr>
        <w:t xml:space="preserve">135 · I timbri e i protocolli.</w:t>
      </w:r>
      <w:r>
        <w:rPr>
          <w:rFonts w:ascii="Barlow Semi Condensed" w:cs="Barlow Semi Condensed" w:eastAsia="Barlow Semi Condensed" w:hAnsi="Barlow Semi Condensed"/>
          <w:sz w:val="24"/>
          <w:szCs w:val="24"/>
        </w:rPr>
        <w:t xml:space="preserve"> Lo studio sistematico dei timbri di protocollo — formati, numerazioni, salti — permette di riconoscere registrazioni anomale e retrodatazioni: è la diplomatica del documento contemporaneo.</w:t>
      </w:r>
    </w:p>
    <w:p>
      <w:pPr>
        <w:spacing w:after="120" w:line="276"/>
        <w:jc w:val="both"/>
      </w:pPr>
      <w:r>
        <w:rPr>
          <w:rFonts w:ascii="Barlow Semi Condensed" w:cs="Barlow Semi Condensed" w:eastAsia="Barlow Semi Condensed" w:hAnsi="Barlow Semi Condensed"/>
          <w:b/>
          <w:bCs/>
          <w:sz w:val="24"/>
          <w:szCs w:val="24"/>
        </w:rPr>
        <w:t xml:space="preserve">136 · Il campione di controllo.</w:t>
      </w:r>
      <w:r>
        <w:rPr>
          <w:rFonts w:ascii="Barlow Semi Condensed" w:cs="Barlow Semi Condensed" w:eastAsia="Barlow Semi Condensed" w:hAnsi="Barlow Semi Condensed"/>
          <w:sz w:val="24"/>
          <w:szCs w:val="24"/>
        </w:rPr>
        <w:t xml:space="preserve"> Per ogni serie spogliata si preleva un campione di pratiche estranee al caso: serve a misurare la normalità burocratica dell'ufficio, senza la quale nessuna anomalia è dichiarabile.</w:t>
      </w:r>
    </w:p>
    <w:p>
      <w:pPr>
        <w:spacing w:after="120" w:line="276"/>
        <w:jc w:val="both"/>
      </w:pPr>
      <w:r>
        <w:rPr>
          <w:rFonts w:ascii="Barlow Semi Condensed" w:cs="Barlow Semi Condensed" w:eastAsia="Barlow Semi Condensed" w:hAnsi="Barlow Semi Condensed"/>
          <w:b/>
          <w:bCs/>
          <w:sz w:val="24"/>
          <w:szCs w:val="24"/>
        </w:rPr>
        <w:t xml:space="preserve">137 · La tavola delle competenze.</w:t>
      </w:r>
      <w:r>
        <w:rPr>
          <w:rFonts w:ascii="Barlow Semi Condensed" w:cs="Barlow Semi Condensed" w:eastAsia="Barlow Semi Condensed" w:hAnsi="Barlow Semi Condensed"/>
          <w:sz w:val="24"/>
          <w:szCs w:val="24"/>
        </w:rPr>
        <w:t xml:space="preserve"> Per ogni snodo del caso si compila la tavola di chi-doveva-fare-cosa secondo l'ordinamento del 1978: le omissioni si misurano contro i doveri d'ufficio dell'epoca, non contro quelli attuali.</w:t>
      </w:r>
    </w:p>
    <w:p>
      <w:pPr>
        <w:spacing w:after="120" w:line="276"/>
        <w:jc w:val="both"/>
      </w:pPr>
      <w:r>
        <w:rPr>
          <w:rFonts w:ascii="Barlow Semi Condensed" w:cs="Barlow Semi Condensed" w:eastAsia="Barlow Semi Condensed" w:hAnsi="Barlow Semi Condensed"/>
          <w:b/>
          <w:bCs/>
          <w:sz w:val="24"/>
          <w:szCs w:val="24"/>
        </w:rPr>
        <w:t xml:space="preserve">138 · Le versioni degli atti normativi.</w:t>
      </w:r>
      <w:r>
        <w:rPr>
          <w:rFonts w:ascii="Barlow Semi Condensed" w:cs="Barlow Semi Condensed" w:eastAsia="Barlow Semi Condensed" w:hAnsi="Barlow Semi Condensed"/>
          <w:sz w:val="24"/>
          <w:szCs w:val="24"/>
        </w:rPr>
        <w:t xml:space="preserve"> Circolari, decreti e ordinamenti interni del 1978 nelle versioni allora vigenti: il diritto amministrativo del caso si ricostruisce filologicamente, perché il dovuto del blocco 96 sia giuridicamente esatto.</w:t>
      </w:r>
    </w:p>
    <w:p>
      <w:pPr>
        <w:spacing w:after="120" w:line="276"/>
        <w:jc w:val="both"/>
      </w:pPr>
      <w:r>
        <w:rPr>
          <w:rFonts w:ascii="Barlow Semi Condensed" w:cs="Barlow Semi Condensed" w:eastAsia="Barlow Semi Condensed" w:hAnsi="Barlow Semi Condensed"/>
          <w:b/>
          <w:bCs/>
          <w:sz w:val="24"/>
          <w:szCs w:val="24"/>
        </w:rPr>
        <w:t xml:space="preserve">139 · Il fondo fotografico dei giornali.</w:t>
      </w:r>
      <w:r>
        <w:rPr>
          <w:rFonts w:ascii="Barlow Semi Condensed" w:cs="Barlow Semi Condensed" w:eastAsia="Barlow Semi Condensed" w:hAnsi="Barlow Semi Condensed"/>
          <w:sz w:val="24"/>
          <w:szCs w:val="24"/>
        </w:rPr>
        <w:t xml:space="preserve"> Gli archivi fotografici delle testate — i provini non pubblicati dei luoghi nelle date critiche — si censiscono: la foto non scelta dal giornale è spesso quella che documenta.</w:t>
      </w:r>
    </w:p>
    <w:p>
      <w:pPr>
        <w:spacing w:after="120" w:line="276"/>
        <w:jc w:val="both"/>
      </w:pPr>
      <w:r>
        <w:rPr>
          <w:rFonts w:ascii="Barlow Semi Condensed" w:cs="Barlow Semi Condensed" w:eastAsia="Barlow Semi Condensed" w:hAnsi="Barlow Semi Condensed"/>
          <w:b/>
          <w:bCs/>
          <w:sz w:val="24"/>
          <w:szCs w:val="24"/>
        </w:rPr>
        <w:t xml:space="preserve">140 · La relazione di cantiere.</w:t>
      </w:r>
      <w:r>
        <w:rPr>
          <w:rFonts w:ascii="Barlow Semi Condensed" w:cs="Barlow Semi Condensed" w:eastAsia="Barlow Semi Condensed" w:hAnsi="Barlow Semi Condensed"/>
          <w:sz w:val="24"/>
          <w:szCs w:val="24"/>
        </w:rPr>
        <w:t xml:space="preserve"> Il cantiere archivistico produce la relazione annuale: fondi aperti, schede prodotte, assenze registrate, dinieghi ricevuti. La contabilità delle carte accanto a quella dei reperti.</w:t>
      </w:r>
    </w:p>
    <w:p>
      <w:pPr>
        <w:pStyle w:val="Heading2"/>
        <w:spacing w:after="100" w:before="200"/>
      </w:pPr>
      <w:r>
        <w:rPr>
          <w:rFonts w:ascii="Barlow Semi Condensed" w:cs="Barlow Semi Condensed" w:eastAsia="Barlow Semi Condensed" w:hAnsi="Barlow Semi Condensed"/>
          <w:sz w:val="24"/>
          <w:szCs w:val="24"/>
        </w:rPr>
        <w:t xml:space="preserve">Serie quinta — Le persone: testimoni, dichiaranti, lasciti (blocchi 141-170)</w:t>
      </w:r>
    </w:p>
    <w:p>
      <w:pPr>
        <w:spacing w:after="120" w:line="276"/>
        <w:jc w:val="both"/>
      </w:pPr>
      <w:r>
        <w:rPr>
          <w:rFonts w:ascii="Barlow Semi Condensed" w:cs="Barlow Semi Condensed" w:eastAsia="Barlow Semi Condensed" w:hAnsi="Barlow Semi Condensed"/>
          <w:i/>
          <w:iCs/>
          <w:sz w:val="24"/>
          <w:szCs w:val="24"/>
        </w:rPr>
        <w:t xml:space="preserve">Statuto della serie: il cantiere che il tempo chiude. Ogni blocco di questa serie ha una scadenza biologica; la serie si esegue prima delle altre ovunque le risorse impongano una scelta.</w:t>
      </w:r>
    </w:p>
    <w:p>
      <w:pPr>
        <w:spacing w:after="120" w:line="276"/>
        <w:jc w:val="both"/>
      </w:pPr>
      <w:r>
        <w:rPr>
          <w:rFonts w:ascii="Barlow Semi Condensed" w:cs="Barlow Semi Condensed" w:eastAsia="Barlow Semi Condensed" w:hAnsi="Barlow Semi Condensed"/>
          <w:b/>
          <w:bCs/>
          <w:sz w:val="24"/>
          <w:szCs w:val="24"/>
        </w:rPr>
        <w:t xml:space="preserve">141 · Il censimento dei viventi.</w:t>
      </w:r>
      <w:r>
        <w:rPr>
          <w:rFonts w:ascii="Barlow Semi Condensed" w:cs="Barlow Semi Condensed" w:eastAsia="Barlow Semi Condensed" w:hAnsi="Barlow Semi Condensed"/>
          <w:sz w:val="24"/>
          <w:szCs w:val="24"/>
        </w:rPr>
        <w:t xml:space="preserve"> L'elenco ragionato di tutti i testimoni oculari e di contesto ancora viventi — residenti dei luoghi, personale intervenuto, funzionari dei protocolli, familiari depositari di racconti — con priorità per età e salute.</w:t>
      </w:r>
    </w:p>
    <w:p>
      <w:pPr>
        <w:spacing w:after="120" w:line="276"/>
        <w:jc w:val="both"/>
      </w:pPr>
      <w:r>
        <w:rPr>
          <w:rFonts w:ascii="Barlow Semi Condensed" w:cs="Barlow Semi Condensed" w:eastAsia="Barlow Semi Condensed" w:hAnsi="Barlow Semi Condensed"/>
          <w:b/>
          <w:bCs/>
          <w:sz w:val="24"/>
          <w:szCs w:val="24"/>
        </w:rPr>
        <w:t xml:space="preserve">142 · La raccolta conservativa.</w:t>
      </w:r>
      <w:r>
        <w:rPr>
          <w:rFonts w:ascii="Barlow Semi Condensed" w:cs="Barlow Semi Condensed" w:eastAsia="Barlow Semi Condensed" w:hAnsi="Barlow Semi Condensed"/>
          <w:sz w:val="24"/>
          <w:szCs w:val="24"/>
        </w:rPr>
        <w:t xml:space="preserve"> Ogni escussione si registra integralmente (audio e video), si trascrive, si deposita presso la sede terza del blocco 25: il fine primario è conservare, non risolvere.</w:t>
      </w:r>
    </w:p>
    <w:p>
      <w:pPr>
        <w:spacing w:after="120" w:line="276"/>
        <w:jc w:val="both"/>
      </w:pPr>
      <w:r>
        <w:rPr>
          <w:rFonts w:ascii="Barlow Semi Condensed" w:cs="Barlow Semi Condensed" w:eastAsia="Barlow Semi Condensed" w:hAnsi="Barlow Semi Condensed"/>
          <w:b/>
          <w:bCs/>
          <w:sz w:val="24"/>
          <w:szCs w:val="24"/>
        </w:rPr>
        <w:t xml:space="preserve">143 · Il contraddittorio documentale.</w:t>
      </w:r>
      <w:r>
        <w:rPr>
          <w:rFonts w:ascii="Barlow Semi Condensed" w:cs="Barlow Semi Condensed" w:eastAsia="Barlow Semi Condensed" w:hAnsi="Barlow Semi Condensed"/>
          <w:sz w:val="24"/>
          <w:szCs w:val="24"/>
        </w:rPr>
        <w:t xml:space="preserve"> La lezione Marini in protocollo: ogni testimone depone con le fotografie, le planimetrie e i verbali d'epoca sul tavolo; il ricordo si vincola ai documenti, non li sostituisce.</w:t>
      </w:r>
    </w:p>
    <w:p>
      <w:pPr>
        <w:spacing w:after="120" w:line="276"/>
        <w:jc w:val="both"/>
      </w:pPr>
      <w:r>
        <w:rPr>
          <w:rFonts w:ascii="Barlow Semi Condensed" w:cs="Barlow Semi Condensed" w:eastAsia="Barlow Semi Condensed" w:hAnsi="Barlow Semi Condensed"/>
          <w:b/>
          <w:bCs/>
          <w:sz w:val="24"/>
          <w:szCs w:val="24"/>
        </w:rPr>
        <w:t xml:space="preserve">144 · La memoria assistita.</w:t>
      </w:r>
      <w:r>
        <w:rPr>
          <w:rFonts w:ascii="Barlow Semi Condensed" w:cs="Barlow Semi Condensed" w:eastAsia="Barlow Semi Condensed" w:hAnsi="Barlow Semi Condensed"/>
          <w:sz w:val="24"/>
          <w:szCs w:val="24"/>
        </w:rPr>
        <w:t xml:space="preserve"> Protocolli scientifici di intervista cognitiva, condotti da personale formato: né suggestione né interrogatorio — ricostruzione assistita, con le domande verbalizzate quanto le risposte.</w:t>
      </w:r>
    </w:p>
    <w:p>
      <w:pPr>
        <w:spacing w:after="120" w:line="276"/>
        <w:jc w:val="both"/>
      </w:pPr>
      <w:r>
        <w:rPr>
          <w:rFonts w:ascii="Barlow Semi Condensed" w:cs="Barlow Semi Condensed" w:eastAsia="Barlow Semi Condensed" w:hAnsi="Barlow Semi Condensed"/>
          <w:b/>
          <w:bCs/>
          <w:sz w:val="24"/>
          <w:szCs w:val="24"/>
        </w:rPr>
        <w:t xml:space="preserve">145 · Il ricordo del ricordo.</w:t>
      </w:r>
      <w:r>
        <w:rPr>
          <w:rFonts w:ascii="Barlow Semi Condensed" w:cs="Barlow Semi Condensed" w:eastAsia="Barlow Semi Condensed" w:hAnsi="Barlow Semi Condensed"/>
          <w:sz w:val="24"/>
          <w:szCs w:val="24"/>
        </w:rPr>
        <w:t xml:space="preserve"> Per i testimoni già uditi in passato, la nuova escussione distingue esplicitamente ciò che ricordano dei fatti da ciò che ricordano delle proprie deposizioni: quarant'anni di racconto pubblico sono uno strato da scavare, non da confondere col fatto.</w:t>
      </w:r>
    </w:p>
    <w:p>
      <w:pPr>
        <w:spacing w:after="120" w:line="276"/>
        <w:jc w:val="both"/>
      </w:pPr>
      <w:r>
        <w:rPr>
          <w:rFonts w:ascii="Barlow Semi Condensed" w:cs="Barlow Semi Condensed" w:eastAsia="Barlow Semi Condensed" w:hAnsi="Barlow Semi Condensed"/>
          <w:b/>
          <w:bCs/>
          <w:sz w:val="24"/>
          <w:szCs w:val="24"/>
        </w:rPr>
        <w:t xml:space="preserve">146 · Le ritrattazioni.</w:t>
      </w:r>
      <w:r>
        <w:rPr>
          <w:rFonts w:ascii="Barlow Semi Condensed" w:cs="Barlow Semi Condensed" w:eastAsia="Barlow Semi Condensed" w:hAnsi="Barlow Semi Condensed"/>
          <w:sz w:val="24"/>
          <w:szCs w:val="24"/>
        </w:rPr>
        <w:t xml:space="preserve"> Chi corregge una versione storica va accolto, non processato mediaticamente: la correzione documentata vale più della coerenza ostinata, e il protocollo la premia verbalizzandone le ragioni.</w:t>
      </w:r>
    </w:p>
    <w:p>
      <w:pPr>
        <w:spacing w:after="120" w:line="276"/>
        <w:jc w:val="both"/>
      </w:pPr>
      <w:r>
        <w:rPr>
          <w:rFonts w:ascii="Barlow Semi Condensed" w:cs="Barlow Semi Condensed" w:eastAsia="Barlow Semi Condensed" w:hAnsi="Barlow Semi Condensed"/>
          <w:b/>
          <w:bCs/>
          <w:sz w:val="24"/>
          <w:szCs w:val="24"/>
        </w:rPr>
        <w:t xml:space="preserve">147 · I testimoni mai cercati.</w:t>
      </w:r>
      <w:r>
        <w:rPr>
          <w:rFonts w:ascii="Barlow Semi Condensed" w:cs="Barlow Semi Condensed" w:eastAsia="Barlow Semi Condensed" w:hAnsi="Barlow Semi Condensed"/>
          <w:sz w:val="24"/>
          <w:szCs w:val="24"/>
        </w:rPr>
        <w:t xml:space="preserve"> Il caso De Chiara insegna che il giacimento non era esaurito ma inesplorato: il censimento del blocco 141 include chi non fu mai chiamato — vicini, esercenti, personale di servizio dei luoghi.</w:t>
      </w:r>
    </w:p>
    <w:p>
      <w:pPr>
        <w:spacing w:after="120" w:line="276"/>
        <w:jc w:val="both"/>
      </w:pPr>
      <w:r>
        <w:rPr>
          <w:rFonts w:ascii="Barlow Semi Condensed" w:cs="Barlow Semi Condensed" w:eastAsia="Barlow Semi Condensed" w:hAnsi="Barlow Semi Condensed"/>
          <w:b/>
          <w:bCs/>
          <w:sz w:val="24"/>
          <w:szCs w:val="24"/>
        </w:rPr>
        <w:t xml:space="preserve">148 · Le liste dei fascicoli.</w:t>
      </w:r>
      <w:r>
        <w:rPr>
          <w:rFonts w:ascii="Barlow Semi Condensed" w:cs="Barlow Semi Condensed" w:eastAsia="Barlow Semi Condensed" w:hAnsi="Barlow Semi Condensed"/>
          <w:sz w:val="24"/>
          <w:szCs w:val="24"/>
        </w:rPr>
        <w:t xml:space="preserve"> Le liste testi dei cinque processi si rileggono per intero: chi fu indicato e mai escusso, chi escusso e mai più risentito su punti divenuti rilevanti dopo.</w:t>
      </w:r>
    </w:p>
    <w:p>
      <w:pPr>
        <w:spacing w:after="120" w:line="276"/>
        <w:jc w:val="both"/>
      </w:pPr>
      <w:r>
        <w:rPr>
          <w:rFonts w:ascii="Barlow Semi Condensed" w:cs="Barlow Semi Condensed" w:eastAsia="Barlow Semi Condensed" w:hAnsi="Barlow Semi Condensed"/>
          <w:b/>
          <w:bCs/>
          <w:sz w:val="24"/>
          <w:szCs w:val="24"/>
        </w:rPr>
        <w:t xml:space="preserve">149 · I dichiaranti del registro.</w:t>
      </w:r>
      <w:r>
        <w:rPr>
          <w:rFonts w:ascii="Barlow Semi Condensed" w:cs="Barlow Semi Condensed" w:eastAsia="Barlow Semi Condensed" w:hAnsi="Barlow Semi Condensed"/>
          <w:sz w:val="24"/>
          <w:szCs w:val="24"/>
        </w:rPr>
        <w:t xml:space="preserve"> I condannati viventi del registro possono essere risentiti solo dal cantiere giudiziario e con la disciplina delle dichiarazioni di parte: memorie preziose per la logistica, inservibili da sole per i piani che li oltrepassano.</w:t>
      </w:r>
    </w:p>
    <w:p>
      <w:pPr>
        <w:spacing w:after="120" w:line="276"/>
        <w:jc w:val="both"/>
      </w:pPr>
      <w:r>
        <w:rPr>
          <w:rFonts w:ascii="Barlow Semi Condensed" w:cs="Barlow Semi Condensed" w:eastAsia="Barlow Semi Condensed" w:hAnsi="Barlow Semi Condensed"/>
          <w:b/>
          <w:bCs/>
          <w:sz w:val="24"/>
          <w:szCs w:val="24"/>
        </w:rPr>
        <w:t xml:space="preserve">150 · Il valore e il limite del Memoriale Morucci.</w:t>
      </w:r>
      <w:r>
        <w:rPr>
          <w:rFonts w:ascii="Barlow Semi Condensed" w:cs="Barlow Semi Condensed" w:eastAsia="Barlow Semi Condensed" w:hAnsi="Barlow Semi Condensed"/>
          <w:sz w:val="24"/>
          <w:szCs w:val="24"/>
        </w:rPr>
        <w:t xml:space="preserve"> Testo negoziato degli anni Ottanta, per accertamento parlamentare: si usa come mappa interna con quel grado, e ogni sua conferma o smentita documentale si annota nella scheda del testo.</w:t>
      </w:r>
    </w:p>
    <w:p>
      <w:pPr>
        <w:spacing w:after="120" w:line="276"/>
        <w:jc w:val="both"/>
      </w:pPr>
      <w:r>
        <w:rPr>
          <w:rFonts w:ascii="Barlow Semi Condensed" w:cs="Barlow Semi Condensed" w:eastAsia="Barlow Semi Condensed" w:hAnsi="Barlow Semi Condensed"/>
          <w:b/>
          <w:bCs/>
          <w:sz w:val="24"/>
          <w:szCs w:val="24"/>
        </w:rPr>
        <w:t xml:space="preserve">151 · La rogatoria conoscitiva.</w:t>
      </w:r>
      <w:r>
        <w:rPr>
          <w:rFonts w:ascii="Barlow Semi Condensed" w:cs="Barlow Semi Condensed" w:eastAsia="Barlow Semi Condensed" w:hAnsi="Barlow Semi Condensed"/>
          <w:sz w:val="24"/>
          <w:szCs w:val="24"/>
        </w:rPr>
        <w:t xml:space="preserve"> Per l'unico partecipante identificato mai interrogato, la via realistica è la deposizione all'estero senza consegna: atto istruttorio di valore unico, da chiedere nelle forme e da verbalizzare anche nel rifiuto.</w:t>
      </w:r>
    </w:p>
    <w:p>
      <w:pPr>
        <w:spacing w:after="120" w:line="276"/>
        <w:jc w:val="both"/>
      </w:pPr>
      <w:r>
        <w:rPr>
          <w:rFonts w:ascii="Barlow Semi Condensed" w:cs="Barlow Semi Condensed" w:eastAsia="Barlow Semi Condensed" w:hAnsi="Barlow Semi Condensed"/>
          <w:b/>
          <w:bCs/>
          <w:sz w:val="24"/>
          <w:szCs w:val="24"/>
        </w:rPr>
        <w:t xml:space="preserve">152 · I funzionari dei protocolli.</w:t>
      </w:r>
      <w:r>
        <w:rPr>
          <w:rFonts w:ascii="Barlow Semi Condensed" w:cs="Barlow Semi Condensed" w:eastAsia="Barlow Semi Condensed" w:hAnsi="Barlow Semi Condensed"/>
          <w:sz w:val="24"/>
          <w:szCs w:val="24"/>
        </w:rPr>
        <w:t xml:space="preserve"> Gli operatori viventi delle catene documentali — chi protocollava, smistava, archiviava nel 1978 — sono testimoni di </w:t>
      </w:r>
      <w:r>
        <w:rPr>
          <w:rFonts w:ascii="Barlow Semi Condensed" w:cs="Barlow Semi Condensed" w:eastAsia="Barlow Semi Condensed" w:hAnsi="Barlow Semi Condensed"/>
          <w:i/>
          <w:iCs/>
          <w:sz w:val="24"/>
          <w:szCs w:val="24"/>
        </w:rPr>
        <w:t xml:space="preserve">procedura</w:t>
      </w:r>
      <w:r>
        <w:rPr>
          <w:rFonts w:ascii="Barlow Semi Condensed" w:cs="Barlow Semi Condensed" w:eastAsia="Barlow Semi Condensed" w:hAnsi="Barlow Semi Condensed"/>
          <w:sz w:val="24"/>
          <w:szCs w:val="24"/>
        </w:rPr>
        <w:t xml:space="preserve">: le loro escussioni ricostruiscono il funzionamento normale degli uffici, il metro delle anomalie.</w:t>
      </w:r>
    </w:p>
    <w:p>
      <w:pPr>
        <w:spacing w:after="120" w:line="276"/>
        <w:jc w:val="both"/>
      </w:pPr>
      <w:r>
        <w:rPr>
          <w:rFonts w:ascii="Barlow Semi Condensed" w:cs="Barlow Semi Condensed" w:eastAsia="Barlow Semi Condensed" w:hAnsi="Barlow Semi Condensed"/>
          <w:b/>
          <w:bCs/>
          <w:sz w:val="24"/>
          <w:szCs w:val="24"/>
        </w:rPr>
        <w:t xml:space="preserve">153 · I periti storici.</w:t>
      </w:r>
      <w:r>
        <w:rPr>
          <w:rFonts w:ascii="Barlow Semi Condensed" w:cs="Barlow Semi Condensed" w:eastAsia="Barlow Semi Condensed" w:hAnsi="Barlow Semi Condensed"/>
          <w:sz w:val="24"/>
          <w:szCs w:val="24"/>
        </w:rPr>
        <w:t xml:space="preserve"> I consulenti delle perizie d'epoca ancora viventi si ascoltano sulle condizioni materiali di quegli esami — strumenti, tempi, pressioni — non per riaprirli a parole, ma per pesarli.</w:t>
      </w:r>
    </w:p>
    <w:p>
      <w:pPr>
        <w:spacing w:after="120" w:line="276"/>
        <w:jc w:val="both"/>
      </w:pPr>
      <w:r>
        <w:rPr>
          <w:rFonts w:ascii="Barlow Semi Condensed" w:cs="Barlow Semi Condensed" w:eastAsia="Barlow Semi Condensed" w:hAnsi="Barlow Semi Condensed"/>
          <w:b/>
          <w:bCs/>
          <w:sz w:val="24"/>
          <w:szCs w:val="24"/>
        </w:rPr>
        <w:t xml:space="preserve">154 · I giornalisti dei 55 giorni.</w:t>
      </w:r>
      <w:r>
        <w:rPr>
          <w:rFonts w:ascii="Barlow Semi Condensed" w:cs="Barlow Semi Condensed" w:eastAsia="Barlow Semi Condensed" w:hAnsi="Barlow Semi Condensed"/>
          <w:sz w:val="24"/>
          <w:szCs w:val="24"/>
        </w:rPr>
        <w:t xml:space="preserve"> I cronisti che coprirono il caso detengono taccuini, agende, registrazioni: la raccolta dei loro archivi personali è un atto del blocco 124, con priorità biologica.</w:t>
      </w:r>
    </w:p>
    <w:p>
      <w:pPr>
        <w:spacing w:after="120" w:line="276"/>
        <w:jc w:val="both"/>
      </w:pPr>
      <w:r>
        <w:rPr>
          <w:rFonts w:ascii="Barlow Semi Condensed" w:cs="Barlow Semi Condensed" w:eastAsia="Barlow Semi Condensed" w:hAnsi="Barlow Semi Condensed"/>
          <w:b/>
          <w:bCs/>
          <w:sz w:val="24"/>
          <w:szCs w:val="24"/>
        </w:rPr>
        <w:t xml:space="preserve">155 · I difensori e i magistrati.</w:t>
      </w:r>
      <w:r>
        <w:rPr>
          <w:rFonts w:ascii="Barlow Semi Condensed" w:cs="Barlow Semi Condensed" w:eastAsia="Barlow Semi Condensed" w:hAnsi="Barlow Semi Condensed"/>
          <w:sz w:val="24"/>
          <w:szCs w:val="24"/>
        </w:rPr>
        <w:t xml:space="preserve"> Le memorie professionali di chi istruì e difese — nei limiti dei segreti — illuminano le scelte processuali: perché un teste non fu chiamato, perché un esame non fu chiesto.</w:t>
      </w:r>
    </w:p>
    <w:p>
      <w:pPr>
        <w:spacing w:after="120" w:line="276"/>
        <w:jc w:val="both"/>
      </w:pPr>
      <w:r>
        <w:rPr>
          <w:rFonts w:ascii="Barlow Semi Condensed" w:cs="Barlow Semi Condensed" w:eastAsia="Barlow Semi Condensed" w:hAnsi="Barlow Semi Condensed"/>
          <w:b/>
          <w:bCs/>
          <w:sz w:val="24"/>
          <w:szCs w:val="24"/>
        </w:rPr>
        <w:t xml:space="preserve">156 · Le famiglie delle vittime.</w:t>
      </w:r>
      <w:r>
        <w:rPr>
          <w:rFonts w:ascii="Barlow Semi Condensed" w:cs="Barlow Semi Condensed" w:eastAsia="Barlow Semi Condensed" w:hAnsi="Barlow Semi Condensed"/>
          <w:sz w:val="24"/>
          <w:szCs w:val="24"/>
        </w:rPr>
        <w:t xml:space="preserve"> Depositarie di carte, ricordi e domande: il rapporto è permanente e non estrattivo — si offre prima di chiedere, e ogni uso di materiali familiari ha consenso scritto.</w:t>
      </w:r>
    </w:p>
    <w:p>
      <w:pPr>
        <w:spacing w:after="120" w:line="276"/>
        <w:jc w:val="both"/>
      </w:pPr>
      <w:r>
        <w:rPr>
          <w:rFonts w:ascii="Barlow Semi Condensed" w:cs="Barlow Semi Condensed" w:eastAsia="Barlow Semi Condensed" w:hAnsi="Barlow Semi Condensed"/>
          <w:b/>
          <w:bCs/>
          <w:sz w:val="24"/>
          <w:szCs w:val="24"/>
        </w:rPr>
        <w:t xml:space="preserve">157 · I familiari dei protagonisti scomparsi.</w:t>
      </w:r>
      <w:r>
        <w:rPr>
          <w:rFonts w:ascii="Barlow Semi Condensed" w:cs="Barlow Semi Condensed" w:eastAsia="Barlow Semi Condensed" w:hAnsi="Barlow Semi Condensed"/>
          <w:sz w:val="24"/>
          <w:szCs w:val="24"/>
        </w:rPr>
        <w:t xml:space="preserve"> Eredi di funzionari, mediatori, testimoni: il censimento dei lasciti (blocco 124) passa dalle famiglie, con la regola del blocco 5 stampata in testa a ogni richiesta — nessuno risponde dei propri congiunti.</w:t>
      </w:r>
    </w:p>
    <w:p>
      <w:pPr>
        <w:spacing w:after="120" w:line="276"/>
        <w:jc w:val="both"/>
      </w:pPr>
      <w:r>
        <w:rPr>
          <w:rFonts w:ascii="Barlow Semi Condensed" w:cs="Barlow Semi Condensed" w:eastAsia="Barlow Semi Condensed" w:hAnsi="Barlow Semi Condensed"/>
          <w:b/>
          <w:bCs/>
          <w:sz w:val="24"/>
          <w:szCs w:val="24"/>
        </w:rPr>
        <w:t xml:space="preserve">158 · Il clero del canale.</w:t>
      </w:r>
      <w:r>
        <w:rPr>
          <w:rFonts w:ascii="Barlow Semi Condensed" w:cs="Barlow Semi Condensed" w:eastAsia="Barlow Semi Condensed" w:hAnsi="Barlow Semi Condensed"/>
          <w:sz w:val="24"/>
          <w:szCs w:val="24"/>
        </w:rPr>
        <w:t xml:space="preserve"> I collaboratori viventi dell'ispettorato dei cappellani e chiunque abbia cognizione diretta del canale del riscatto: escussioni conservative con le cautele canoniche, prima che il canale resti solo carta.</w:t>
      </w:r>
    </w:p>
    <w:p>
      <w:pPr>
        <w:spacing w:after="120" w:line="276"/>
        <w:jc w:val="both"/>
      </w:pPr>
      <w:r>
        <w:rPr>
          <w:rFonts w:ascii="Barlow Semi Condensed" w:cs="Barlow Semi Condensed" w:eastAsia="Barlow Semi Condensed" w:hAnsi="Barlow Semi Condensed"/>
          <w:b/>
          <w:bCs/>
          <w:sz w:val="24"/>
          <w:szCs w:val="24"/>
        </w:rPr>
        <w:t xml:space="preserve">159 · I tecnici delle immobiliari.</w:t>
      </w:r>
      <w:r>
        <w:rPr>
          <w:rFonts w:ascii="Barlow Semi Condensed" w:cs="Barlow Semi Condensed" w:eastAsia="Barlow Semi Condensed" w:hAnsi="Barlow Semi Condensed"/>
          <w:sz w:val="24"/>
          <w:szCs w:val="24"/>
        </w:rPr>
        <w:t xml:space="preserve"> Amministratori di condominio, portieri, geometri dei luoghi: la microstoria dei palazzi (blocco 122) ha ancora voci vive, e sono quelle che leggono i registri meglio degli storici.</w:t>
      </w:r>
    </w:p>
    <w:p>
      <w:pPr>
        <w:spacing w:after="120" w:line="276"/>
        <w:jc w:val="both"/>
      </w:pPr>
      <w:r>
        <w:rPr>
          <w:rFonts w:ascii="Barlow Semi Condensed" w:cs="Barlow Semi Condensed" w:eastAsia="Barlow Semi Condensed" w:hAnsi="Barlow Semi Condensed"/>
          <w:b/>
          <w:bCs/>
          <w:sz w:val="24"/>
          <w:szCs w:val="24"/>
        </w:rPr>
        <w:t xml:space="preserve">160 · Gli operatori del soccorso.</w:t>
      </w:r>
      <w:r>
        <w:rPr>
          <w:rFonts w:ascii="Barlow Semi Condensed" w:cs="Barlow Semi Condensed" w:eastAsia="Barlow Semi Condensed" w:hAnsi="Barlow Semi Condensed"/>
          <w:sz w:val="24"/>
          <w:szCs w:val="24"/>
        </w:rPr>
        <w:t xml:space="preserve"> Vigili del fuoco del 18 aprile, personale sanitario del 9 maggio: ogni operatore vivente delle scene chiave si censisce e si ascolta con protocollo pieno.</w:t>
      </w:r>
    </w:p>
    <w:p>
      <w:pPr>
        <w:spacing w:after="120" w:line="276"/>
        <w:jc w:val="both"/>
      </w:pPr>
      <w:r>
        <w:rPr>
          <w:rFonts w:ascii="Barlow Semi Condensed" w:cs="Barlow Semi Condensed" w:eastAsia="Barlow Semi Condensed" w:hAnsi="Barlow Semi Condensed"/>
          <w:b/>
          <w:bCs/>
          <w:sz w:val="24"/>
          <w:szCs w:val="24"/>
        </w:rPr>
        <w:t xml:space="preserve">161 · La deposizione differita.</w:t>
      </w:r>
      <w:r>
        <w:rPr>
          <w:rFonts w:ascii="Barlow Semi Condensed" w:cs="Barlow Semi Condensed" w:eastAsia="Barlow Semi Condensed" w:hAnsi="Barlow Semi Condensed"/>
          <w:sz w:val="24"/>
          <w:szCs w:val="24"/>
        </w:rPr>
        <w:t xml:space="preserve"> A chi non voglia parlare oggi si offre la deposizione sigillata con apertura postuma o a termine: lo strumento che ha salvato altrove verità altrimenti perdute.</w:t>
      </w:r>
    </w:p>
    <w:p>
      <w:pPr>
        <w:spacing w:after="120" w:line="276"/>
        <w:jc w:val="both"/>
      </w:pPr>
      <w:r>
        <w:rPr>
          <w:rFonts w:ascii="Barlow Semi Condensed" w:cs="Barlow Semi Condensed" w:eastAsia="Barlow Semi Condensed" w:hAnsi="Barlow Semi Condensed"/>
          <w:b/>
          <w:bCs/>
          <w:sz w:val="24"/>
          <w:szCs w:val="24"/>
        </w:rPr>
        <w:t xml:space="preserve">162 · La protezione del dichiarante.</w:t>
      </w:r>
      <w:r>
        <w:rPr>
          <w:rFonts w:ascii="Barlow Semi Condensed" w:cs="Barlow Semi Condensed" w:eastAsia="Barlow Semi Condensed" w:hAnsi="Barlow Semi Condensed"/>
          <w:sz w:val="24"/>
          <w:szCs w:val="24"/>
        </w:rPr>
        <w:t xml:space="preserve"> Chi teme conseguenze riceve i presidi che l'ordinamento consente; le minacce riferite — anche storiche, come quelle della sera del 16 marzo — si verbalizzano come fatti autonomi con proprio fascicolo.</w:t>
      </w:r>
    </w:p>
    <w:p>
      <w:pPr>
        <w:spacing w:after="120" w:line="276"/>
        <w:jc w:val="both"/>
      </w:pPr>
      <w:r>
        <w:rPr>
          <w:rFonts w:ascii="Barlow Semi Condensed" w:cs="Barlow Semi Condensed" w:eastAsia="Barlow Semi Condensed" w:hAnsi="Barlow Semi Condensed"/>
          <w:b/>
          <w:bCs/>
          <w:sz w:val="24"/>
          <w:szCs w:val="24"/>
        </w:rPr>
        <w:t xml:space="preserve">163 · L'intervista impossibile.</w:t>
      </w:r>
      <w:r>
        <w:rPr>
          <w:rFonts w:ascii="Barlow Semi Condensed" w:cs="Barlow Semi Condensed" w:eastAsia="Barlow Semi Condensed" w:hAnsi="Barlow Semi Condensed"/>
          <w:sz w:val="24"/>
          <w:szCs w:val="24"/>
        </w:rPr>
        <w:t xml:space="preserve"> Per i protagonisti scomparsi si compila la scheda delle domande mai poste: orienta la ricerca dei lasciti e dice ai fondi archivistici che cosa cercare al posto della voce.</w:t>
      </w:r>
    </w:p>
    <w:p>
      <w:pPr>
        <w:spacing w:after="120" w:line="276"/>
        <w:jc w:val="both"/>
      </w:pPr>
      <w:r>
        <w:rPr>
          <w:rFonts w:ascii="Barlow Semi Condensed" w:cs="Barlow Semi Condensed" w:eastAsia="Barlow Semi Condensed" w:hAnsi="Barlow Semi Condensed"/>
          <w:b/>
          <w:bCs/>
          <w:sz w:val="24"/>
          <w:szCs w:val="24"/>
        </w:rPr>
        <w:t xml:space="preserve">164 · Il sosia del ricordo.</w:t>
      </w:r>
      <w:r>
        <w:rPr>
          <w:rFonts w:ascii="Barlow Semi Condensed" w:cs="Barlow Semi Condensed" w:eastAsia="Barlow Semi Condensed" w:hAnsi="Barlow Semi Condensed"/>
          <w:sz w:val="24"/>
          <w:szCs w:val="24"/>
        </w:rPr>
        <w:t xml:space="preserve"> Le memorie pubblicate (libri, interviste) dei protagonisti si schedano con data e versione: la tavola sinottica delle varianti di ciascun racconto è essa stessa un documento — mostra dove la memoria è stabile e dove lavora.</w:t>
      </w:r>
    </w:p>
    <w:p>
      <w:pPr>
        <w:spacing w:after="120" w:line="276"/>
        <w:jc w:val="both"/>
      </w:pPr>
      <w:r>
        <w:rPr>
          <w:rFonts w:ascii="Barlow Semi Condensed" w:cs="Barlow Semi Condensed" w:eastAsia="Barlow Semi Condensed" w:hAnsi="Barlow Semi Condensed"/>
          <w:b/>
          <w:bCs/>
          <w:sz w:val="24"/>
          <w:szCs w:val="24"/>
        </w:rPr>
        <w:t xml:space="preserve">165 · Il confine con la memorialistica.</w:t>
      </w:r>
      <w:r>
        <w:rPr>
          <w:rFonts w:ascii="Barlow Semi Condensed" w:cs="Barlow Semi Condensed" w:eastAsia="Barlow Semi Condensed" w:hAnsi="Barlow Semi Condensed"/>
          <w:sz w:val="24"/>
          <w:szCs w:val="24"/>
        </w:rPr>
        <w:t xml:space="preserve"> Nessuna memoria, per quanto suggestiva, entra negli atti oltre il grado C senza riscontro documentale: la serie quinta alimenta le altre, non le sostituisce.</w:t>
      </w:r>
    </w:p>
    <w:p>
      <w:pPr>
        <w:spacing w:after="120" w:line="276"/>
        <w:jc w:val="both"/>
      </w:pPr>
      <w:r>
        <w:rPr>
          <w:rFonts w:ascii="Barlow Semi Condensed" w:cs="Barlow Semi Condensed" w:eastAsia="Barlow Semi Condensed" w:hAnsi="Barlow Semi Condensed"/>
          <w:b/>
          <w:bCs/>
          <w:sz w:val="24"/>
          <w:szCs w:val="24"/>
        </w:rPr>
        <w:t xml:space="preserve">166 · I testimoni delle carte.</w:t>
      </w:r>
      <w:r>
        <w:rPr>
          <w:rFonts w:ascii="Barlow Semi Condensed" w:cs="Barlow Semi Condensed" w:eastAsia="Barlow Semi Condensed" w:hAnsi="Barlow Semi Condensed"/>
          <w:sz w:val="24"/>
          <w:szCs w:val="24"/>
        </w:rPr>
        <w:t xml:space="preserve"> Archivisti e cancellieri che maneggiarono i fondi negli anni: sanno quali serie furono consultate, spostate, sfoltite — la storia della custodia è testimonianza tecnica.</w:t>
      </w:r>
    </w:p>
    <w:p>
      <w:pPr>
        <w:spacing w:after="120" w:line="276"/>
        <w:jc w:val="both"/>
      </w:pPr>
      <w:r>
        <w:rPr>
          <w:rFonts w:ascii="Barlow Semi Condensed" w:cs="Barlow Semi Condensed" w:eastAsia="Barlow Semi Condensed" w:hAnsi="Barlow Semi Condensed"/>
          <w:b/>
          <w:bCs/>
          <w:sz w:val="24"/>
          <w:szCs w:val="24"/>
        </w:rPr>
        <w:t xml:space="preserve">167 · Il giuramento del metodo.</w:t>
      </w:r>
      <w:r>
        <w:rPr>
          <w:rFonts w:ascii="Barlow Semi Condensed" w:cs="Barlow Semi Condensed" w:eastAsia="Barlow Semi Condensed" w:hAnsi="Barlow Semi Condensed"/>
          <w:sz w:val="24"/>
          <w:szCs w:val="24"/>
        </w:rPr>
        <w:t xml:space="preserve"> Chi conduce le escussioni sottoscrive il protocollo delle serie prima e quinta: la violazione (domande suggestive, promesse, fughe verso la stampa) esclude dal cantiere.</w:t>
      </w:r>
    </w:p>
    <w:p>
      <w:pPr>
        <w:spacing w:after="120" w:line="276"/>
        <w:jc w:val="both"/>
      </w:pPr>
      <w:r>
        <w:rPr>
          <w:rFonts w:ascii="Barlow Semi Condensed" w:cs="Barlow Semi Condensed" w:eastAsia="Barlow Semi Condensed" w:hAnsi="Barlow Semi Condensed"/>
          <w:b/>
          <w:bCs/>
          <w:sz w:val="24"/>
          <w:szCs w:val="24"/>
        </w:rPr>
        <w:t xml:space="preserve">168 · Il diritto all'oblio processuale.</w:t>
      </w:r>
      <w:r>
        <w:rPr>
          <w:rFonts w:ascii="Barlow Semi Condensed" w:cs="Barlow Semi Condensed" w:eastAsia="Barlow Semi Condensed" w:hAnsi="Barlow Semi Condensed"/>
          <w:sz w:val="24"/>
          <w:szCs w:val="24"/>
        </w:rPr>
        <w:t xml:space="preserve"> Chi ha pagato il proprio debito e non detiene conoscenze nuove non si perseguita: la serie cerca conoscenza, non espiazione supplementare.</w:t>
      </w:r>
    </w:p>
    <w:p>
      <w:pPr>
        <w:spacing w:after="120" w:line="276"/>
        <w:jc w:val="both"/>
      </w:pPr>
      <w:r>
        <w:rPr>
          <w:rFonts w:ascii="Barlow Semi Condensed" w:cs="Barlow Semi Condensed" w:eastAsia="Barlow Semi Condensed" w:hAnsi="Barlow Semi Condensed"/>
          <w:b/>
          <w:bCs/>
          <w:sz w:val="24"/>
          <w:szCs w:val="24"/>
        </w:rPr>
        <w:t xml:space="preserve">169 · La tavola delle urgenze.</w:t>
      </w:r>
      <w:r>
        <w:rPr>
          <w:rFonts w:ascii="Barlow Semi Condensed" w:cs="Barlow Semi Condensed" w:eastAsia="Barlow Semi Condensed" w:hAnsi="Barlow Semi Condensed"/>
          <w:sz w:val="24"/>
          <w:szCs w:val="24"/>
        </w:rPr>
        <w:t xml:space="preserve"> Il censimento del blocco 141 si ordina per urgenza biologica e la tavola si aggiorna a ogni trimestre: è l'unico cronoprogramma del manuale che non ammette slittamenti.</w:t>
      </w:r>
    </w:p>
    <w:p>
      <w:pPr>
        <w:spacing w:after="120" w:line="276"/>
        <w:jc w:val="both"/>
      </w:pPr>
      <w:r>
        <w:rPr>
          <w:rFonts w:ascii="Barlow Semi Condensed" w:cs="Barlow Semi Condensed" w:eastAsia="Barlow Semi Condensed" w:hAnsi="Barlow Semi Condensed"/>
          <w:b/>
          <w:bCs/>
          <w:sz w:val="24"/>
          <w:szCs w:val="24"/>
        </w:rPr>
        <w:t xml:space="preserve">170 · La relazione di cantiere.</w:t>
      </w:r>
      <w:r>
        <w:rPr>
          <w:rFonts w:ascii="Barlow Semi Condensed" w:cs="Barlow Semi Condensed" w:eastAsia="Barlow Semi Condensed" w:hAnsi="Barlow Semi Condensed"/>
          <w:sz w:val="24"/>
          <w:szCs w:val="24"/>
        </w:rPr>
        <w:t xml:space="preserve"> Il cantiere conservativo produce la relazione annuale: escussioni raccolte, lasciti acquisiti, depositi sigillati, urgenze perdute — anche queste ultime, perché il costo del ritardo sia scritto.</w:t>
      </w:r>
    </w:p>
    <w:p>
      <w:pPr>
        <w:pStyle w:val="Heading2"/>
        <w:spacing w:after="100" w:before="200"/>
      </w:pPr>
      <w:r>
        <w:rPr>
          <w:rFonts w:ascii="Barlow Semi Condensed" w:cs="Barlow Semi Condensed" w:eastAsia="Barlow Semi Condensed" w:hAnsi="Barlow Semi Condensed"/>
          <w:sz w:val="24"/>
          <w:szCs w:val="24"/>
        </w:rPr>
        <w:t xml:space="preserve">Serie sesta — I quesiti del caso in forma ACH (blocchi 171-210)</w:t>
      </w:r>
    </w:p>
    <w:p>
      <w:pPr>
        <w:spacing w:after="120" w:line="276"/>
        <w:jc w:val="both"/>
      </w:pPr>
      <w:r>
        <w:rPr>
          <w:rFonts w:ascii="Barlow Semi Condensed" w:cs="Barlow Semi Condensed" w:eastAsia="Barlow Semi Condensed" w:hAnsi="Barlow Semi Condensed"/>
          <w:i/>
          <w:iCs/>
          <w:sz w:val="24"/>
          <w:szCs w:val="24"/>
        </w:rPr>
        <w:t xml:space="preserve">Statuto della serie: la grammatica applicata. Ogni quesito aperto del caso, riscritto come matrice — ipotesi, evidenza discriminante, criterio di chiusura, errore da evitare. Nessuna probabilità numerica: le matrici ordinano atti.</w:t>
      </w:r>
    </w:p>
    <w:p>
      <w:pPr>
        <w:spacing w:after="120" w:line="276"/>
        <w:jc w:val="both"/>
      </w:pPr>
      <w:r>
        <w:rPr>
          <w:rFonts w:ascii="Barlow Semi Condensed" w:cs="Barlow Semi Condensed" w:eastAsia="Barlow Semi Condensed" w:hAnsi="Barlow Semi Condensed"/>
          <w:b/>
          <w:bCs/>
          <w:sz w:val="24"/>
          <w:szCs w:val="24"/>
        </w:rPr>
        <w:t xml:space="preserve">171 · Q-Fani/1: le presenze non attribuite — le ipotesi.</w:t>
      </w:r>
      <w:r>
        <w:rPr>
          <w:rFonts w:ascii="Barlow Semi Condensed" w:cs="Barlow Semi Condensed" w:eastAsia="Barlow Semi Condensed" w:hAnsi="Barlow Semi Condensed"/>
          <w:sz w:val="24"/>
          <w:szCs w:val="24"/>
        </w:rPr>
        <w:t xml:space="preserve"> H1 errore percettivo dei testimoni; H2 presenze estranee non coinvolte; H3 componenti operativi mai giudicati. La matrice è aperta da mezzo secolo perché le si è chiesto un verdetto invece di un'evidenza.</w:t>
      </w:r>
    </w:p>
    <w:p>
      <w:pPr>
        <w:spacing w:after="120" w:line="276"/>
        <w:jc w:val="both"/>
      </w:pPr>
      <w:r>
        <w:rPr>
          <w:rFonts w:ascii="Barlow Semi Condensed" w:cs="Barlow Semi Condensed" w:eastAsia="Barlow Semi Condensed" w:hAnsi="Barlow Semi Condensed"/>
          <w:b/>
          <w:bCs/>
          <w:sz w:val="24"/>
          <w:szCs w:val="24"/>
        </w:rPr>
        <w:t xml:space="preserve">172 · Q-Fani/1: l'evidenza discriminante.</w:t>
      </w:r>
      <w:r>
        <w:rPr>
          <w:rFonts w:ascii="Barlow Semi Condensed" w:cs="Barlow Semi Condensed" w:eastAsia="Barlow Semi Condensed" w:hAnsi="Barlow Semi Condensed"/>
          <w:sz w:val="24"/>
          <w:szCs w:val="24"/>
        </w:rPr>
        <w:t xml:space="preserve"> Il residuo balistico o genetico non attribuibile alle persone e alle armi del giudicato: solo un dato fisico discrimina le tre ipotesi. Le testimonianze — dopo la Nota di revisione n. 1 — non decidono più nulla da sole.</w:t>
      </w:r>
    </w:p>
    <w:p>
      <w:pPr>
        <w:spacing w:after="120" w:line="276"/>
        <w:jc w:val="both"/>
      </w:pPr>
      <w:r>
        <w:rPr>
          <w:rFonts w:ascii="Barlow Semi Condensed" w:cs="Barlow Semi Condensed" w:eastAsia="Barlow Semi Condensed" w:hAnsi="Barlow Semi Condensed"/>
          <w:b/>
          <w:bCs/>
          <w:sz w:val="24"/>
          <w:szCs w:val="24"/>
        </w:rPr>
        <w:t xml:space="preserve">173 · Q-Fani/1: il criterio di chiusura.</w:t>
      </w:r>
      <w:r>
        <w:rPr>
          <w:rFonts w:ascii="Barlow Semi Condensed" w:cs="Barlow Semi Condensed" w:eastAsia="Barlow Semi Condensed" w:hAnsi="Barlow Semi Condensed"/>
          <w:sz w:val="24"/>
          <w:szCs w:val="24"/>
        </w:rPr>
        <w:t xml:space="preserve"> Tutte le tracce attribuite → H3 perde il fondamento fisico possibile e la questione retrocede a memoria storica; un residuo ignoto → si apre un'identificazione giudiziaria, che appartiene al fascicolo.</w:t>
      </w:r>
    </w:p>
    <w:p>
      <w:pPr>
        <w:spacing w:after="120" w:line="276"/>
        <w:jc w:val="both"/>
      </w:pPr>
      <w:r>
        <w:rPr>
          <w:rFonts w:ascii="Barlow Semi Condensed" w:cs="Barlow Semi Condensed" w:eastAsia="Barlow Semi Condensed" w:hAnsi="Barlow Semi Condensed"/>
          <w:b/>
          <w:bCs/>
          <w:sz w:val="24"/>
          <w:szCs w:val="24"/>
        </w:rPr>
        <w:t xml:space="preserve">174 · Q-Fani/1: l'errore da evitare.</w:t>
      </w:r>
      <w:r>
        <w:rPr>
          <w:rFonts w:ascii="Barlow Semi Condensed" w:cs="Barlow Semi Condensed" w:eastAsia="Barlow Semi Condensed" w:hAnsi="Barlow Semi Condensed"/>
          <w:sz w:val="24"/>
          <w:szCs w:val="24"/>
        </w:rPr>
        <w:t xml:space="preserve"> Trattare il numero dei bossoli come già eloquente: senza l'attribuzione per arma, 91 è solo una cifra. La divergenza peritale è il quesito, non la prova.</w:t>
      </w:r>
    </w:p>
    <w:p>
      <w:pPr>
        <w:spacing w:after="120" w:line="276"/>
        <w:jc w:val="both"/>
      </w:pPr>
      <w:r>
        <w:rPr>
          <w:rFonts w:ascii="Barlow Semi Condensed" w:cs="Barlow Semi Condensed" w:eastAsia="Barlow Semi Condensed" w:hAnsi="Barlow Semi Condensed"/>
          <w:b/>
          <w:bCs/>
          <w:sz w:val="24"/>
          <w:szCs w:val="24"/>
        </w:rPr>
        <w:t xml:space="preserve">175 · Q-Fani/2: la Honda — le ipotesi.</w:t>
      </w:r>
      <w:r>
        <w:rPr>
          <w:rFonts w:ascii="Barlow Semi Condensed" w:cs="Barlow Semi Condensed" w:eastAsia="Barlow Semi Condensed" w:hAnsi="Barlow Semi Condensed"/>
          <w:sz w:val="24"/>
          <w:szCs w:val="24"/>
        </w:rPr>
        <w:t xml:space="preserve"> H1 percezione infedele consolidata dal racconto; H2 moto estranea presente; H3 mezzo del dispositivo. L'oggetto è il mezzo, distinto dalle persone del quesito 171.</w:t>
      </w:r>
    </w:p>
    <w:p>
      <w:pPr>
        <w:spacing w:after="120" w:line="276"/>
        <w:jc w:val="both"/>
      </w:pPr>
      <w:r>
        <w:rPr>
          <w:rFonts w:ascii="Barlow Semi Condensed" w:cs="Barlow Semi Condensed" w:eastAsia="Barlow Semi Condensed" w:hAnsi="Barlow Semi Condensed"/>
          <w:b/>
          <w:bCs/>
          <w:sz w:val="24"/>
          <w:szCs w:val="24"/>
        </w:rPr>
        <w:t xml:space="preserve">176 · Q-Fani/2: l'evidenza.</w:t>
      </w:r>
      <w:r>
        <w:rPr>
          <w:rFonts w:ascii="Barlow Semi Condensed" w:cs="Barlow Semi Condensed" w:eastAsia="Barlow Semi Condensed" w:hAnsi="Barlow Semi Condensed"/>
          <w:sz w:val="24"/>
          <w:szCs w:val="24"/>
        </w:rPr>
        <w:t xml:space="preserve"> Riscontri materiali d'epoca (rilievi, foto, tracce) e convergenza di testimoni </w:t>
      </w:r>
      <w:r>
        <w:rPr>
          <w:rFonts w:ascii="Barlow Semi Condensed" w:cs="Barlow Semi Condensed" w:eastAsia="Barlow Semi Condensed" w:hAnsi="Barlow Semi Condensed"/>
          <w:i/>
          <w:iCs/>
          <w:sz w:val="24"/>
          <w:szCs w:val="24"/>
        </w:rPr>
        <w:t xml:space="preserve">indipendenti</w:t>
      </w:r>
      <w:r>
        <w:rPr>
          <w:rFonts w:ascii="Barlow Semi Condensed" w:cs="Barlow Semi Condensed" w:eastAsia="Barlow Semi Condensed" w:hAnsi="Barlow Semi Condensed"/>
          <w:sz w:val="24"/>
          <w:szCs w:val="24"/>
        </w:rPr>
        <w:t xml:space="preserve"> fra loro: la ricerca del blocco 139 (i provini d'agenzia) è l'atto specifico.</w:t>
      </w:r>
    </w:p>
    <w:p>
      <w:pPr>
        <w:spacing w:after="120" w:line="276"/>
        <w:jc w:val="both"/>
      </w:pPr>
      <w:r>
        <w:rPr>
          <w:rFonts w:ascii="Barlow Semi Condensed" w:cs="Barlow Semi Condensed" w:eastAsia="Barlow Semi Condensed" w:hAnsi="Barlow Semi Condensed"/>
          <w:b/>
          <w:bCs/>
          <w:sz w:val="24"/>
          <w:szCs w:val="24"/>
        </w:rPr>
        <w:t xml:space="preserve">177 · Q-Fani/2: chiusura ed errore.</w:t>
      </w:r>
      <w:r>
        <w:rPr>
          <w:rFonts w:ascii="Barlow Semi Condensed" w:cs="Barlow Semi Condensed" w:eastAsia="Barlow Semi Condensed" w:hAnsi="Barlow Semi Condensed"/>
          <w:sz w:val="24"/>
          <w:szCs w:val="24"/>
        </w:rPr>
        <w:t xml:space="preserve"> Si chiude con l'inventario esaustivo dei riscontri materiali, in un senso o nell'altro; l'errore è fondare il mezzo su un solo teste — qualunque teste.</w:t>
      </w:r>
    </w:p>
    <w:p>
      <w:pPr>
        <w:spacing w:after="120" w:line="276"/>
        <w:jc w:val="both"/>
      </w:pPr>
      <w:r>
        <w:rPr>
          <w:rFonts w:ascii="Barlow Semi Condensed" w:cs="Barlow Semi Condensed" w:eastAsia="Barlow Semi Condensed" w:hAnsi="Barlow Semi Condensed"/>
          <w:b/>
          <w:bCs/>
          <w:sz w:val="24"/>
          <w:szCs w:val="24"/>
        </w:rPr>
        <w:t xml:space="preserve">178 · Q-Gradoli/1: la segnalazione di Zappolino — le ipotesi.</w:t>
      </w:r>
      <w:r>
        <w:rPr>
          <w:rFonts w:ascii="Barlow Semi Condensed" w:cs="Barlow Semi Condensed" w:eastAsia="Barlow Semi Condensed" w:hAnsi="Barlow Semi Condensed"/>
          <w:sz w:val="24"/>
          <w:szCs w:val="24"/>
        </w:rPr>
        <w:t xml:space="preserve"> H1 coincidenza autentica; H2 fuga di notizie per canale anomalo; H3 costruzione di copertura. Tutte e tre compatibili con l'evidenza nota: matrice indecisa per costruzione.</w:t>
      </w:r>
    </w:p>
    <w:p>
      <w:pPr>
        <w:spacing w:after="120" w:line="276"/>
        <w:jc w:val="both"/>
      </w:pPr>
      <w:r>
        <w:rPr>
          <w:rFonts w:ascii="Barlow Semi Condensed" w:cs="Barlow Semi Condensed" w:eastAsia="Barlow Semi Condensed" w:hAnsi="Barlow Semi Condensed"/>
          <w:b/>
          <w:bCs/>
          <w:sz w:val="24"/>
          <w:szCs w:val="24"/>
        </w:rPr>
        <w:t xml:space="preserve">179 · Q-Gradoli/1: l'evidenza.</w:t>
      </w:r>
      <w:r>
        <w:rPr>
          <w:rFonts w:ascii="Barlow Semi Condensed" w:cs="Barlow Semi Condensed" w:eastAsia="Barlow Semi Condensed" w:hAnsi="Barlow Semi Condensed"/>
          <w:sz w:val="24"/>
          <w:szCs w:val="24"/>
        </w:rPr>
        <w:t xml:space="preserve"> La catena documentale del blocco 100 — la verbalizzazione originaria, l'ordine verso il paese, il carteggio: chi scrisse cosa, quando. È l'unica evidenza che possa muovere la matrice, e nessuno l'ha mai prodotta integralmente.</w:t>
      </w:r>
    </w:p>
    <w:p>
      <w:pPr>
        <w:spacing w:after="120" w:line="276"/>
        <w:jc w:val="both"/>
      </w:pPr>
      <w:r>
        <w:rPr>
          <w:rFonts w:ascii="Barlow Semi Condensed" w:cs="Barlow Semi Condensed" w:eastAsia="Barlow Semi Condensed" w:hAnsi="Barlow Semi Condensed"/>
          <w:b/>
          <w:bCs/>
          <w:sz w:val="24"/>
          <w:szCs w:val="24"/>
        </w:rPr>
        <w:t xml:space="preserve">180 · Q-Gradoli/1: chiusura ed errore.</w:t>
      </w:r>
      <w:r>
        <w:rPr>
          <w:rFonts w:ascii="Barlow Semi Condensed" w:cs="Barlow Semi Condensed" w:eastAsia="Barlow Semi Condensed" w:hAnsi="Barlow Semi Condensed"/>
          <w:sz w:val="24"/>
          <w:szCs w:val="24"/>
        </w:rPr>
        <w:t xml:space="preserve"> Chiusura: la catena ricostruita o la sua assenza certificata. Errore: quarant'anni passati a chiedere «chi parlò» — domanda forse irrisolvibile — invece di «dove sono le carte».</w:t>
      </w:r>
    </w:p>
    <w:p>
      <w:pPr>
        <w:spacing w:after="120" w:line="276"/>
        <w:jc w:val="both"/>
      </w:pPr>
      <w:r>
        <w:rPr>
          <w:rFonts w:ascii="Barlow Semi Condensed" w:cs="Barlow Semi Condensed" w:eastAsia="Barlow Semi Condensed" w:hAnsi="Barlow Semi Condensed"/>
          <w:b/>
          <w:bCs/>
          <w:sz w:val="24"/>
          <w:szCs w:val="24"/>
        </w:rPr>
        <w:t xml:space="preserve">181 · Q-Gradoli/2: il controllo del 18 marzo — le ipotesi.</w:t>
      </w:r>
      <w:r>
        <w:rPr>
          <w:rFonts w:ascii="Barlow Semi Condensed" w:cs="Barlow Semi Condensed" w:eastAsia="Barlow Semi Condensed" w:hAnsi="Barlow Semi Condensed"/>
          <w:sz w:val="24"/>
          <w:szCs w:val="24"/>
        </w:rPr>
        <w:t xml:space="preserve"> H1 negligenza ordinaria nel diluvio; H2 filtro o disposizione nella catena. Il quesito è sull'uscita del sistema, perché l'ingresso — la nota — funzionò.</w:t>
      </w:r>
    </w:p>
    <w:p>
      <w:pPr>
        <w:spacing w:after="120" w:line="276"/>
        <w:jc w:val="both"/>
      </w:pPr>
      <w:r>
        <w:rPr>
          <w:rFonts w:ascii="Barlow Semi Condensed" w:cs="Barlow Semi Condensed" w:eastAsia="Barlow Semi Condensed" w:hAnsi="Barlow Semi Condensed"/>
          <w:b/>
          <w:bCs/>
          <w:sz w:val="24"/>
          <w:szCs w:val="24"/>
        </w:rPr>
        <w:t xml:space="preserve">182 · Q-Gradoli/2: l'evidenza.</w:t>
      </w:r>
      <w:r>
        <w:rPr>
          <w:rFonts w:ascii="Barlow Semi Condensed" w:cs="Barlow Semi Condensed" w:eastAsia="Barlow Semi Condensed" w:hAnsi="Barlow Semi Condensed"/>
          <w:sz w:val="24"/>
          <w:szCs w:val="24"/>
        </w:rPr>
        <w:t xml:space="preserve"> I quattro documenti dovuti del blocco 102: protocollo, assegnazione, disposizioni, ritorno. La distribuzione delle loro presenze/assenze discrimina.</w:t>
      </w:r>
    </w:p>
    <w:p>
      <w:pPr>
        <w:spacing w:after="120" w:line="276"/>
        <w:jc w:val="both"/>
      </w:pPr>
      <w:r>
        <w:rPr>
          <w:rFonts w:ascii="Barlow Semi Condensed" w:cs="Barlow Semi Condensed" w:eastAsia="Barlow Semi Condensed" w:hAnsi="Barlow Semi Condensed"/>
          <w:b/>
          <w:bCs/>
          <w:sz w:val="24"/>
          <w:szCs w:val="24"/>
        </w:rPr>
        <w:t xml:space="preserve">183 · Q-Gradoli/2: chiusura ed errore.</w:t>
      </w:r>
      <w:r>
        <w:rPr>
          <w:rFonts w:ascii="Barlow Semi Condensed" w:cs="Barlow Semi Condensed" w:eastAsia="Barlow Semi Condensed" w:hAnsi="Barlow Semi Condensed"/>
          <w:sz w:val="24"/>
          <w:szCs w:val="24"/>
        </w:rPr>
        <w:t xml:space="preserve"> Chiusura con la catena, in ogni esito. Errore: processare il brigadiere — l'anello visibile — invece di leggere la catena che lo mosse o non lo rimosse.</w:t>
      </w:r>
    </w:p>
    <w:p>
      <w:pPr>
        <w:spacing w:after="120" w:line="276"/>
        <w:jc w:val="both"/>
      </w:pPr>
      <w:r>
        <w:rPr>
          <w:rFonts w:ascii="Barlow Semi Condensed" w:cs="Barlow Semi Condensed" w:eastAsia="Barlow Semi Condensed" w:hAnsi="Barlow Semi Condensed"/>
          <w:b/>
          <w:bCs/>
          <w:sz w:val="24"/>
          <w:szCs w:val="24"/>
        </w:rPr>
        <w:t xml:space="preserve">184 · Q-Gradoli/3: l'allagamento — le ipotesi.</w:t>
      </w:r>
      <w:r>
        <w:rPr>
          <w:rFonts w:ascii="Barlow Semi Condensed" w:cs="Barlow Semi Condensed" w:eastAsia="Barlow Semi Condensed" w:hAnsi="Barlow Semi Condensed"/>
          <w:sz w:val="24"/>
          <w:szCs w:val="24"/>
        </w:rPr>
        <w:t xml:space="preserve"> H1 distrazione (verbale VVF; versioni dei condannati); H2 perdita deliberata per far scoprire il covo. Cinquant'anni di opinioni, zero perizie sui rilievi.</w:t>
      </w:r>
    </w:p>
    <w:p>
      <w:pPr>
        <w:spacing w:after="120" w:line="276"/>
        <w:jc w:val="both"/>
      </w:pPr>
      <w:r>
        <w:rPr>
          <w:rFonts w:ascii="Barlow Semi Condensed" w:cs="Barlow Semi Condensed" w:eastAsia="Barlow Semi Condensed" w:hAnsi="Barlow Semi Condensed"/>
          <w:b/>
          <w:bCs/>
          <w:sz w:val="24"/>
          <w:szCs w:val="24"/>
        </w:rPr>
        <w:t xml:space="preserve">185 · Q-Gradoli/3: l'evidenza.</w:t>
      </w:r>
      <w:r>
        <w:rPr>
          <w:rFonts w:ascii="Barlow Semi Condensed" w:cs="Barlow Semi Condensed" w:eastAsia="Barlow Semi Condensed" w:hAnsi="Barlow Semi Condensed"/>
          <w:sz w:val="24"/>
          <w:szCs w:val="24"/>
        </w:rPr>
        <w:t xml:space="preserve"> I rilievi fotografici originali del bagno: la posizione materiale della doccia e del getto è un dato fisico fotografato. Blocchi 64 e 103: l'atto esiste, va solo eseguito.</w:t>
      </w:r>
    </w:p>
    <w:p>
      <w:pPr>
        <w:spacing w:after="120" w:line="276"/>
        <w:jc w:val="both"/>
      </w:pPr>
      <w:r>
        <w:rPr>
          <w:rFonts w:ascii="Barlow Semi Condensed" w:cs="Barlow Semi Condensed" w:eastAsia="Barlow Semi Condensed" w:hAnsi="Barlow Semi Condensed"/>
          <w:b/>
          <w:bCs/>
          <w:sz w:val="24"/>
          <w:szCs w:val="24"/>
        </w:rPr>
        <w:t xml:space="preserve">186 · Q-Gradoli/3: chiusura ed errore.</w:t>
      </w:r>
      <w:r>
        <w:rPr>
          <w:rFonts w:ascii="Barlow Semi Condensed" w:cs="Barlow Semi Condensed" w:eastAsia="Barlow Semi Condensed" w:hAnsi="Barlow Semi Condensed"/>
          <w:sz w:val="24"/>
          <w:szCs w:val="24"/>
        </w:rPr>
        <w:t xml:space="preserve"> Chiusura con la perizia descrittiva, o con l'indecidibilità dichiarata se i rilievi non bastano. Errore: dedurre l'intenzione dal contesto — è l'anello debole per definizione.</w:t>
      </w:r>
    </w:p>
    <w:p>
      <w:pPr>
        <w:spacing w:after="120" w:line="276"/>
        <w:jc w:val="both"/>
      </w:pPr>
      <w:r>
        <w:rPr>
          <w:rFonts w:ascii="Barlow Semi Condensed" w:cs="Barlow Semi Condensed" w:eastAsia="Barlow Semi Condensed" w:hAnsi="Barlow Semi Condensed"/>
          <w:b/>
          <w:bCs/>
          <w:sz w:val="24"/>
          <w:szCs w:val="24"/>
        </w:rPr>
        <w:t xml:space="preserve">187 · Q-Montalcini/1: la prigione e il quartiere — le ipotesi.</w:t>
      </w:r>
      <w:r>
        <w:rPr>
          <w:rFonts w:ascii="Barlow Semi Condensed" w:cs="Barlow Semi Condensed" w:eastAsia="Barlow Semi Condensed" w:hAnsi="Barlow Semi Condensed"/>
          <w:sz w:val="24"/>
          <w:szCs w:val="24"/>
        </w:rPr>
        <w:t xml:space="preserve"> H1 covo perfettamente compartimentato; H2 percezioni di vicinato mai raccolte a caldo. Il giudicato fissa il luogo; il quesito è il suo ambiente percettivo.</w:t>
      </w:r>
    </w:p>
    <w:p>
      <w:pPr>
        <w:spacing w:after="120" w:line="276"/>
        <w:jc w:val="both"/>
      </w:pPr>
      <w:r>
        <w:rPr>
          <w:rFonts w:ascii="Barlow Semi Condensed" w:cs="Barlow Semi Condensed" w:eastAsia="Barlow Semi Condensed" w:hAnsi="Barlow Semi Condensed"/>
          <w:b/>
          <w:bCs/>
          <w:sz w:val="24"/>
          <w:szCs w:val="24"/>
        </w:rPr>
        <w:t xml:space="preserve">188 · Q-Montalcini/1: evidenza e chiusura.</w:t>
      </w:r>
      <w:r>
        <w:rPr>
          <w:rFonts w:ascii="Barlow Semi Condensed" w:cs="Barlow Semi Condensed" w:eastAsia="Barlow Semi Condensed" w:hAnsi="Barlow Semi Condensed"/>
          <w:sz w:val="24"/>
          <w:szCs w:val="24"/>
        </w:rPr>
        <w:t xml:space="preserve"> Le escussioni conservative dei residenti d'epoca (serie quinta) incrociate con la microstoria amministrativa (blocco 122). Si chiude col censimento, qualunque cosa dia: qui l'esito negativo è pienamente informativo.</w:t>
      </w:r>
    </w:p>
    <w:p>
      <w:pPr>
        <w:spacing w:after="120" w:line="276"/>
        <w:jc w:val="both"/>
      </w:pPr>
      <w:r>
        <w:rPr>
          <w:rFonts w:ascii="Barlow Semi Condensed" w:cs="Barlow Semi Condensed" w:eastAsia="Barlow Semi Condensed" w:hAnsi="Barlow Semi Condensed"/>
          <w:b/>
          <w:bCs/>
          <w:sz w:val="24"/>
          <w:szCs w:val="24"/>
        </w:rPr>
        <w:t xml:space="preserve">189 · Q-Montalcini/2: l'osservazione del 1978 — le ipotesi.</w:t>
      </w:r>
      <w:r>
        <w:rPr>
          <w:rFonts w:ascii="Barlow Semi Condensed" w:cs="Barlow Semi Condensed" w:eastAsia="Barlow Semi Condensed" w:hAnsi="Barlow Semi Condensed"/>
          <w:sz w:val="24"/>
          <w:szCs w:val="24"/>
        </w:rPr>
        <w:t xml:space="preserve"> H1 accertamento avviato e gestito secondo prassi con trasmissione tardiva per disfunzione; H2 gestione volutamente trattenuta fuori dal circuito giudiziario. Il campione più grave del terzo segmento.</w:t>
      </w:r>
    </w:p>
    <w:p>
      <w:pPr>
        <w:spacing w:after="120" w:line="276"/>
        <w:jc w:val="both"/>
      </w:pPr>
      <w:r>
        <w:rPr>
          <w:rFonts w:ascii="Barlow Semi Condensed" w:cs="Barlow Semi Condensed" w:eastAsia="Barlow Semi Condensed" w:hAnsi="Barlow Semi Condensed"/>
          <w:b/>
          <w:bCs/>
          <w:sz w:val="24"/>
          <w:szCs w:val="24"/>
        </w:rPr>
        <w:t xml:space="preserve">190 · Q-Montalcini/2: l'evidenza.</w:t>
      </w:r>
      <w:r>
        <w:rPr>
          <w:rFonts w:ascii="Barlow Semi Condensed" w:cs="Barlow Semi Condensed" w:eastAsia="Barlow Semi Condensed" w:hAnsi="Barlow Semi Condensed"/>
          <w:sz w:val="24"/>
          <w:szCs w:val="24"/>
        </w:rPr>
        <w:t xml:space="preserve"> Il fascicolo interno dell'osservazione (blocco 104): chi la dispose, che cosa produsse, chi decise i tempi della trasmissione. Carte d'ufficio, tutte dovute.</w:t>
      </w:r>
    </w:p>
    <w:p>
      <w:pPr>
        <w:spacing w:after="120" w:line="276"/>
        <w:jc w:val="both"/>
      </w:pPr>
      <w:r>
        <w:rPr>
          <w:rFonts w:ascii="Barlow Semi Condensed" w:cs="Barlow Semi Condensed" w:eastAsia="Barlow Semi Condensed" w:hAnsi="Barlow Semi Condensed"/>
          <w:b/>
          <w:bCs/>
          <w:sz w:val="24"/>
          <w:szCs w:val="24"/>
        </w:rPr>
        <w:t xml:space="preserve">191 · Q-Montalcini/2: chiusura ed errore.</w:t>
      </w:r>
      <w:r>
        <w:rPr>
          <w:rFonts w:ascii="Barlow Semi Condensed" w:cs="Barlow Semi Condensed" w:eastAsia="Barlow Semi Condensed" w:hAnsi="Barlow Semi Condensed"/>
          <w:sz w:val="24"/>
          <w:szCs w:val="24"/>
        </w:rPr>
        <w:t xml:space="preserve"> Chiusura con la catena datata degli atti interni. Errore: leggere il ritardo biennale come già qualificato — è un fatto grave </w:t>
      </w:r>
      <w:r>
        <w:rPr>
          <w:rFonts w:ascii="Barlow Semi Condensed" w:cs="Barlow Semi Condensed" w:eastAsia="Barlow Semi Condensed" w:hAnsi="Barlow Semi Condensed"/>
          <w:i/>
          <w:iCs/>
          <w:sz w:val="24"/>
          <w:szCs w:val="24"/>
        </w:rPr>
        <w:t xml:space="preserve">da spiegare</w:t>
      </w:r>
      <w:r>
        <w:rPr>
          <w:rFonts w:ascii="Barlow Semi Condensed" w:cs="Barlow Semi Condensed" w:eastAsia="Barlow Semi Condensed" w:hAnsi="Barlow Semi Condensed"/>
          <w:sz w:val="24"/>
          <w:szCs w:val="24"/>
        </w:rPr>
        <w:t xml:space="preserve">, e la spiegazione è un documento, non un aggettivo.</w:t>
      </w:r>
    </w:p>
    <w:p>
      <w:pPr>
        <w:spacing w:after="120" w:line="276"/>
        <w:jc w:val="both"/>
      </w:pPr>
      <w:r>
        <w:rPr>
          <w:rFonts w:ascii="Barlow Semi Condensed" w:cs="Barlow Semi Condensed" w:eastAsia="Barlow Semi Condensed" w:hAnsi="Barlow Semi Condensed"/>
          <w:b/>
          <w:bCs/>
          <w:sz w:val="24"/>
          <w:szCs w:val="24"/>
        </w:rPr>
        <w:t xml:space="preserve">192 · Q-Duchessa: il falso comunicato — le ipotesi.</w:t>
      </w:r>
      <w:r>
        <w:rPr>
          <w:rFonts w:ascii="Barlow Semi Condensed" w:cs="Barlow Semi Condensed" w:eastAsia="Barlow Semi Condensed" w:hAnsi="Barlow Semi Condensed"/>
          <w:sz w:val="24"/>
          <w:szCs w:val="24"/>
        </w:rPr>
        <w:t xml:space="preserve"> H1 falso d'ambiente criminale prezzolato; H2 falso d'apparato con finalità di manovra; H3 falso di matrice brigatista dissidente. Il falso è accertato; l'officina no.</w:t>
      </w:r>
    </w:p>
    <w:p>
      <w:pPr>
        <w:spacing w:after="120" w:line="276"/>
        <w:jc w:val="both"/>
      </w:pPr>
      <w:r>
        <w:rPr>
          <w:rFonts w:ascii="Barlow Semi Condensed" w:cs="Barlow Semi Condensed" w:eastAsia="Barlow Semi Condensed" w:hAnsi="Barlow Semi Condensed"/>
          <w:b/>
          <w:bCs/>
          <w:sz w:val="24"/>
          <w:szCs w:val="24"/>
        </w:rPr>
        <w:t xml:space="preserve">193 · Q-Duchessa: l'evidenza.</w:t>
      </w:r>
      <w:r>
        <w:rPr>
          <w:rFonts w:ascii="Barlow Semi Condensed" w:cs="Barlow Semi Condensed" w:eastAsia="Barlow Semi Condensed" w:hAnsi="Barlow Semi Condensed"/>
          <w:sz w:val="24"/>
          <w:szCs w:val="24"/>
        </w:rPr>
        <w:t xml:space="preserve"> La perizia documentale integrale del blocco 65 (carta, macchina, lessico comparato coi comunicati autentici) più le carte del giorno: chi dispose la battuta al lago, su quale input protocollato.</w:t>
      </w:r>
    </w:p>
    <w:p>
      <w:pPr>
        <w:spacing w:after="120" w:line="276"/>
        <w:jc w:val="both"/>
      </w:pPr>
      <w:r>
        <w:rPr>
          <w:rFonts w:ascii="Barlow Semi Condensed" w:cs="Barlow Semi Condensed" w:eastAsia="Barlow Semi Condensed" w:hAnsi="Barlow Semi Condensed"/>
          <w:b/>
          <w:bCs/>
          <w:sz w:val="24"/>
          <w:szCs w:val="24"/>
        </w:rPr>
        <w:t xml:space="preserve">194 · Q-Duchessa: chiusura ed errore.</w:t>
      </w:r>
      <w:r>
        <w:rPr>
          <w:rFonts w:ascii="Barlow Semi Condensed" w:cs="Barlow Semi Condensed" w:eastAsia="Barlow Semi Condensed" w:hAnsi="Barlow Semi Condensed"/>
          <w:sz w:val="24"/>
          <w:szCs w:val="24"/>
        </w:rPr>
        <w:t xml:space="preserve"> Chiusura con l'attribuzione d'officina o con l'indecidibilità documentata. Errore: usare il falso come jolly narrativo di qualunque tesi — è il reperto più maneggiato e meno periziato del caso.</w:t>
      </w:r>
    </w:p>
    <w:p>
      <w:pPr>
        <w:spacing w:after="120" w:line="276"/>
        <w:jc w:val="both"/>
      </w:pPr>
      <w:r>
        <w:rPr>
          <w:rFonts w:ascii="Barlow Semi Condensed" w:cs="Barlow Semi Condensed" w:eastAsia="Barlow Semi Condensed" w:hAnsi="Barlow Semi Condensed"/>
          <w:b/>
          <w:bCs/>
          <w:sz w:val="24"/>
          <w:szCs w:val="24"/>
        </w:rPr>
        <w:t xml:space="preserve">195 · Q-Memoriale/1: la completezza — le ipotesi.</w:t>
      </w:r>
      <w:r>
        <w:rPr>
          <w:rFonts w:ascii="Barlow Semi Condensed" w:cs="Barlow Semi Condensed" w:eastAsia="Barlow Semi Condensed" w:hAnsi="Barlow Semi Condensed"/>
          <w:sz w:val="24"/>
          <w:szCs w:val="24"/>
        </w:rPr>
        <w:t xml:space="preserve"> H1 il ritrovato è l'intero; H2 esistono parti mai emerse. La matrice lavora su un oggetto che ha già due tempi di ritrovamento accertati.</w:t>
      </w:r>
    </w:p>
    <w:p>
      <w:pPr>
        <w:spacing w:after="120" w:line="276"/>
        <w:jc w:val="both"/>
      </w:pPr>
      <w:r>
        <w:rPr>
          <w:rFonts w:ascii="Barlow Semi Condensed" w:cs="Barlow Semi Condensed" w:eastAsia="Barlow Semi Condensed" w:hAnsi="Barlow Semi Condensed"/>
          <w:b/>
          <w:bCs/>
          <w:sz w:val="24"/>
          <w:szCs w:val="24"/>
        </w:rPr>
        <w:t xml:space="preserve">196 · Q-Memoriale/1: l'evidenza.</w:t>
      </w:r>
      <w:r>
        <w:rPr>
          <w:rFonts w:ascii="Barlow Semi Condensed" w:cs="Barlow Semi Condensed" w:eastAsia="Barlow Semi Condensed" w:hAnsi="Barlow Semi Condensed"/>
          <w:sz w:val="24"/>
          <w:szCs w:val="24"/>
        </w:rPr>
        <w:t xml:space="preserve"> La filologia materiale dei blocchi 67-68: lo stemma delle copie e la carta delle lacune interne. Le voci su contenuti mancanti restano C finché una carta non le tocca.</w:t>
      </w:r>
    </w:p>
    <w:p>
      <w:pPr>
        <w:spacing w:after="120" w:line="276"/>
        <w:jc w:val="both"/>
      </w:pPr>
      <w:r>
        <w:rPr>
          <w:rFonts w:ascii="Barlow Semi Condensed" w:cs="Barlow Semi Condensed" w:eastAsia="Barlow Semi Condensed" w:hAnsi="Barlow Semi Condensed"/>
          <w:b/>
          <w:bCs/>
          <w:sz w:val="24"/>
          <w:szCs w:val="24"/>
        </w:rPr>
        <w:t xml:space="preserve">197 · Q-Memoriale/1: chiusura ed errore.</w:t>
      </w:r>
      <w:r>
        <w:rPr>
          <w:rFonts w:ascii="Barlow Semi Condensed" w:cs="Barlow Semi Condensed" w:eastAsia="Barlow Semi Condensed" w:hAnsi="Barlow Semi Condensed"/>
          <w:sz w:val="24"/>
          <w:szCs w:val="24"/>
        </w:rPr>
        <w:t xml:space="preserve"> Chiusura con la mappa delle lacune o la prova di completezza relativa. Errore: dedurre il contenuto del mancante — per definizione, del mancante si mappa il perimetro, non il testo.</w:t>
      </w:r>
    </w:p>
    <w:p>
      <w:pPr>
        <w:spacing w:after="120" w:line="276"/>
        <w:jc w:val="both"/>
      </w:pPr>
      <w:r>
        <w:rPr>
          <w:rFonts w:ascii="Barlow Semi Condensed" w:cs="Barlow Semi Condensed" w:eastAsia="Barlow Semi Condensed" w:hAnsi="Barlow Semi Condensed"/>
          <w:b/>
          <w:bCs/>
          <w:sz w:val="24"/>
          <w:szCs w:val="24"/>
        </w:rPr>
        <w:t xml:space="preserve">198 · Q-Memoriale/2: la custodia 1978-1990 — le ipotesi.</w:t>
      </w:r>
      <w:r>
        <w:rPr>
          <w:rFonts w:ascii="Barlow Semi Condensed" w:cs="Barlow Semi Condensed" w:eastAsia="Barlow Semi Condensed" w:hAnsi="Barlow Semi Condensed"/>
          <w:sz w:val="24"/>
          <w:szCs w:val="24"/>
        </w:rPr>
        <w:t xml:space="preserve"> H1 permanenza ignota nel covo murato; H2 detenzione e ricollocazione. Il quesito nasce dal secondo tempo del ritrovamento, in un cantiere di ristrutturazione.</w:t>
      </w:r>
    </w:p>
    <w:p>
      <w:pPr>
        <w:spacing w:after="120" w:line="276"/>
        <w:jc w:val="both"/>
      </w:pPr>
      <w:r>
        <w:rPr>
          <w:rFonts w:ascii="Barlow Semi Condensed" w:cs="Barlow Semi Condensed" w:eastAsia="Barlow Semi Condensed" w:hAnsi="Barlow Semi Condensed"/>
          <w:b/>
          <w:bCs/>
          <w:sz w:val="24"/>
          <w:szCs w:val="24"/>
        </w:rPr>
        <w:t xml:space="preserve">199 · Q-Memoriale/2: evidenza e chiusura.</w:t>
      </w:r>
      <w:r>
        <w:rPr>
          <w:rFonts w:ascii="Barlow Semi Condensed" w:cs="Barlow Semi Condensed" w:eastAsia="Barlow Semi Condensed" w:hAnsi="Barlow Semi Condensed"/>
          <w:sz w:val="24"/>
          <w:szCs w:val="24"/>
        </w:rPr>
        <w:t xml:space="preserve"> Le pratiche edilizie, i verbali del 1990, la perizia materiale sui fogli (blocco 67): la storia fisica del muro e delle carte. Si chiude con la cronologia materiale documentata.</w:t>
      </w:r>
    </w:p>
    <w:p>
      <w:pPr>
        <w:spacing w:after="120" w:line="276"/>
        <w:jc w:val="both"/>
      </w:pPr>
      <w:r>
        <w:rPr>
          <w:rFonts w:ascii="Barlow Semi Condensed" w:cs="Barlow Semi Condensed" w:eastAsia="Barlow Semi Condensed" w:hAnsi="Barlow Semi Condensed"/>
          <w:b/>
          <w:bCs/>
          <w:sz w:val="24"/>
          <w:szCs w:val="24"/>
        </w:rPr>
        <w:t xml:space="preserve">200 · Q-Comitati: la composizione — le ipotesi.</w:t>
      </w:r>
      <w:r>
        <w:rPr>
          <w:rFonts w:ascii="Barlow Semi Condensed" w:cs="Barlow Semi Condensed" w:eastAsia="Barlow Semi Condensed" w:hAnsi="Barlow Semi Condensed"/>
          <w:sz w:val="24"/>
          <w:szCs w:val="24"/>
        </w:rPr>
        <w:t xml:space="preserve"> H1 presenza P2 significativa ma parziale; H2 la tesi massima del «interamente composto». Una sola evidenza: la tavola nominale con date del blocco 105-106.</w:t>
      </w:r>
    </w:p>
    <w:p>
      <w:pPr>
        <w:spacing w:after="120" w:line="276"/>
        <w:jc w:val="both"/>
      </w:pPr>
      <w:r>
        <w:rPr>
          <w:rFonts w:ascii="Barlow Semi Condensed" w:cs="Barlow Semi Condensed" w:eastAsia="Barlow Semi Condensed" w:hAnsi="Barlow Semi Condensed"/>
          <w:b/>
          <w:bCs/>
          <w:sz w:val="24"/>
          <w:szCs w:val="24"/>
        </w:rPr>
        <w:t xml:space="preserve">201 · Q-Comitati: chiusura ed errore.</w:t>
      </w:r>
      <w:r>
        <w:rPr>
          <w:rFonts w:ascii="Barlow Semi Condensed" w:cs="Barlow Semi Condensed" w:eastAsia="Barlow Semi Condensed" w:hAnsi="Barlow Semi Condensed"/>
          <w:sz w:val="24"/>
          <w:szCs w:val="24"/>
        </w:rPr>
        <w:t xml:space="preserve"> Chiusura con la percentuale documentale, qualunque sia — a doppio guadagno per definizione. Errore: ripetere la tesi massima in attesa del censimento; il manuale la sospende fino alla tavola.</w:t>
      </w:r>
    </w:p>
    <w:p>
      <w:pPr>
        <w:spacing w:after="120" w:line="276"/>
        <w:jc w:val="both"/>
      </w:pPr>
      <w:r>
        <w:rPr>
          <w:rFonts w:ascii="Barlow Semi Condensed" w:cs="Barlow Semi Condensed" w:eastAsia="Barlow Semi Condensed" w:hAnsi="Barlow Semi Condensed"/>
          <w:b/>
          <w:bCs/>
          <w:sz w:val="24"/>
          <w:szCs w:val="24"/>
        </w:rPr>
        <w:t xml:space="preserve">202 · Q-Esperti: la qualificazione delle lettere — le ipotesi.</w:t>
      </w:r>
      <w:r>
        <w:rPr>
          <w:rFonts w:ascii="Barlow Semi Condensed" w:cs="Barlow Semi Condensed" w:eastAsia="Barlow Semi Condensed" w:hAnsi="Barlow Semi Condensed"/>
          <w:sz w:val="24"/>
          <w:szCs w:val="24"/>
        </w:rPr>
        <w:t xml:space="preserve"> H1 convincimento professionale genuino; H2 costruzione funzionale alla linea della fermezza. Il fatto — la squalificazione istituzionale — è documentato; l'intenzione no.</w:t>
      </w:r>
    </w:p>
    <w:p>
      <w:pPr>
        <w:spacing w:after="120" w:line="276"/>
        <w:jc w:val="both"/>
      </w:pPr>
      <w:r>
        <w:rPr>
          <w:rFonts w:ascii="Barlow Semi Condensed" w:cs="Barlow Semi Condensed" w:eastAsia="Barlow Semi Condensed" w:hAnsi="Barlow Semi Condensed"/>
          <w:b/>
          <w:bCs/>
          <w:sz w:val="24"/>
          <w:szCs w:val="24"/>
        </w:rPr>
        <w:t xml:space="preserve">203 · Q-Esperti: evidenza e chiusura.</w:t>
      </w:r>
      <w:r>
        <w:rPr>
          <w:rFonts w:ascii="Barlow Semi Condensed" w:cs="Barlow Semi Condensed" w:eastAsia="Barlow Semi Condensed" w:hAnsi="Barlow Semi Condensed"/>
          <w:sz w:val="24"/>
          <w:szCs w:val="24"/>
        </w:rPr>
        <w:t xml:space="preserve"> Le carte del blocco 107: chi la formulò per iscritto, con quale circolazione, con quali effetti sugli atti. Si chiude con il dossier documentale della qualificazione; l'intenzione, se non scritta, resta fuori.</w:t>
      </w:r>
    </w:p>
    <w:p>
      <w:pPr>
        <w:spacing w:after="120" w:line="276"/>
        <w:jc w:val="both"/>
      </w:pPr>
      <w:r>
        <w:rPr>
          <w:rFonts w:ascii="Barlow Semi Condensed" w:cs="Barlow Semi Condensed" w:eastAsia="Barlow Semi Condensed" w:hAnsi="Barlow Semi Condensed"/>
          <w:b/>
          <w:bCs/>
          <w:sz w:val="24"/>
          <w:szCs w:val="24"/>
        </w:rPr>
        <w:t xml:space="preserve">204 · Q-Condominio: le date — le ipotesi.</w:t>
      </w:r>
      <w:r>
        <w:rPr>
          <w:rFonts w:ascii="Barlow Semi Condensed" w:cs="Barlow Semi Condensed" w:eastAsia="Barlow Semi Condensed" w:hAnsi="Barlow Semi Condensed"/>
          <w:sz w:val="24"/>
          <w:szCs w:val="24"/>
        </w:rPr>
        <w:t xml:space="preserve"> H1 insediamento delle coperture dopo il 1978; H2 coabitazione coeva 1975-78; H3 coincidenza immobiliare. Evidenza unica: la conservatoria (blocchi 108-110).</w:t>
      </w:r>
    </w:p>
    <w:p>
      <w:pPr>
        <w:spacing w:after="120" w:line="276"/>
        <w:jc w:val="both"/>
      </w:pPr>
      <w:r>
        <w:rPr>
          <w:rFonts w:ascii="Barlow Semi Condensed" w:cs="Barlow Semi Condensed" w:eastAsia="Barlow Semi Condensed" w:hAnsi="Barlow Semi Condensed"/>
          <w:b/>
          <w:bCs/>
          <w:sz w:val="24"/>
          <w:szCs w:val="24"/>
        </w:rPr>
        <w:t xml:space="preserve">205 · Q-Condominio: chiusura.</w:t>
      </w:r>
      <w:r>
        <w:rPr>
          <w:rFonts w:ascii="Barlow Semi Condensed" w:cs="Barlow Semi Condensed" w:eastAsia="Barlow Semi Condensed" w:hAnsi="Barlow Semi Condensed"/>
          <w:sz w:val="24"/>
          <w:szCs w:val="24"/>
        </w:rPr>
        <w:t xml:space="preserve"> La tavola proprietà×tempo con le tre finestre. Ogni esito è un guadagno: l'accertamento della coabitazione passerebbe alle autorità; la sua esclusione chiuderebbe un equivoco ventennale.</w:t>
      </w:r>
    </w:p>
    <w:p>
      <w:pPr>
        <w:spacing w:after="120" w:line="276"/>
        <w:jc w:val="both"/>
      </w:pPr>
      <w:r>
        <w:rPr>
          <w:rFonts w:ascii="Barlow Semi Condensed" w:cs="Barlow Semi Condensed" w:eastAsia="Barlow Semi Condensed" w:hAnsi="Barlow Semi Condensed"/>
          <w:b/>
          <w:bCs/>
          <w:sz w:val="24"/>
          <w:szCs w:val="24"/>
        </w:rPr>
        <w:t xml:space="preserve">206 · Q-Riscatto/1: l'intermediario — le ipotesi.</w:t>
      </w:r>
      <w:r>
        <w:rPr>
          <w:rFonts w:ascii="Barlow Semi Condensed" w:cs="Barlow Semi Condensed" w:eastAsia="Barlow Semi Condensed" w:hAnsi="Barlow Semi Condensed"/>
          <w:sz w:val="24"/>
          <w:szCs w:val="24"/>
        </w:rPr>
        <w:t xml:space="preserve"> H1 contatto d'area brigatista esterna; H2 mediatore d'ambiente carcerario o criminale; H3 millantatore. Evidenza: le carte Curioni e i verbali dei covi coi nomi dei cappellani (blocchi 97, 111).</w:t>
      </w:r>
    </w:p>
    <w:p>
      <w:pPr>
        <w:spacing w:after="120" w:line="276"/>
        <w:jc w:val="both"/>
      </w:pPr>
      <w:r>
        <w:rPr>
          <w:rFonts w:ascii="Barlow Semi Condensed" w:cs="Barlow Semi Condensed" w:eastAsia="Barlow Semi Condensed" w:hAnsi="Barlow Semi Condensed"/>
          <w:b/>
          <w:bCs/>
          <w:sz w:val="24"/>
          <w:szCs w:val="24"/>
        </w:rPr>
        <w:t xml:space="preserve">207 · Q-Riscatto/2: la sorte del denaro.</w:t>
      </w:r>
      <w:r>
        <w:rPr>
          <w:rFonts w:ascii="Barlow Semi Condensed" w:cs="Barlow Semi Condensed" w:eastAsia="Barlow Semi Condensed" w:hAnsi="Barlow Semi Condensed"/>
          <w:sz w:val="24"/>
          <w:szCs w:val="24"/>
        </w:rPr>
        <w:t xml:space="preserve"> H1 restituzione al finanziatore; H2 permanenza in deposito; H3 impiego parziale. Evidenza: la tracciabilità delle fascette, gli archivi all'apertura, il versante israeliano (blocchi 114, 123).</w:t>
      </w:r>
    </w:p>
    <w:p>
      <w:pPr>
        <w:spacing w:after="120" w:line="276"/>
        <w:jc w:val="both"/>
      </w:pPr>
      <w:r>
        <w:rPr>
          <w:rFonts w:ascii="Barlow Semi Condensed" w:cs="Barlow Semi Condensed" w:eastAsia="Barlow Semi Condensed" w:hAnsi="Barlow Semi Condensed"/>
          <w:b/>
          <w:bCs/>
          <w:sz w:val="24"/>
          <w:szCs w:val="24"/>
        </w:rPr>
        <w:t xml:space="preserve">208 · Q-Riscatto: chiusura ed errore.</w:t>
      </w:r>
      <w:r>
        <w:rPr>
          <w:rFonts w:ascii="Barlow Semi Condensed" w:cs="Barlow Semi Condensed" w:eastAsia="Barlow Semi Condensed" w:hAnsi="Barlow Semi Condensed"/>
          <w:sz w:val="24"/>
          <w:szCs w:val="24"/>
        </w:rPr>
        <w:t xml:space="preserve"> Chiusura: identità documentale dell'intermediario o esaurimento delle carte; tracciabilità della somma o punto di dispersione. Errore: trasformare il doppio binario — appello pubblico e canale riservato — in doppiezza: era la prassi di ogni mediazione umanitaria.</w:t>
      </w:r>
    </w:p>
    <w:p>
      <w:pPr>
        <w:spacing w:after="120" w:line="276"/>
        <w:jc w:val="both"/>
      </w:pPr>
      <w:r>
        <w:rPr>
          <w:rFonts w:ascii="Barlow Semi Condensed" w:cs="Barlow Semi Condensed" w:eastAsia="Barlow Semi Condensed" w:hAnsi="Barlow Semi Condensed"/>
          <w:b/>
          <w:bCs/>
          <w:sz w:val="24"/>
          <w:szCs w:val="24"/>
        </w:rPr>
        <w:t xml:space="preserve">209 · Q-Registro: il test Anselmi.</w:t>
      </w:r>
      <w:r>
        <w:rPr>
          <w:rFonts w:ascii="Barlow Semi Condensed" w:cs="Barlow Semi Condensed" w:eastAsia="Barlow Semi Condensed" w:hAnsi="Barlow Semi Condensed"/>
          <w:sz w:val="24"/>
          <w:szCs w:val="24"/>
        </w:rPr>
        <w:t xml:space="preserve"> H1 collo di bottiglia da diluvio (interruzioni casuali distribuite); H2 filtro sistematico (interruzioni concentrate verso l'autorità giudiziaria). Evidenza: la distribuzione, che solo il registro della serie settima può dare.</w:t>
      </w:r>
    </w:p>
    <w:p>
      <w:pPr>
        <w:spacing w:after="120" w:line="276"/>
        <w:jc w:val="both"/>
      </w:pPr>
      <w:r>
        <w:rPr>
          <w:rFonts w:ascii="Barlow Semi Condensed" w:cs="Barlow Semi Condensed" w:eastAsia="Barlow Semi Condensed" w:hAnsi="Barlow Semi Condensed"/>
          <w:b/>
          <w:bCs/>
          <w:sz w:val="24"/>
          <w:szCs w:val="24"/>
        </w:rPr>
        <w:t xml:space="preserve">210 · La meta-matrice.</w:t>
      </w:r>
      <w:r>
        <w:rPr>
          <w:rFonts w:ascii="Barlow Semi Condensed" w:cs="Barlow Semi Condensed" w:eastAsia="Barlow Semi Condensed" w:hAnsi="Barlow Semi Condensed"/>
          <w:sz w:val="24"/>
          <w:szCs w:val="24"/>
        </w:rPr>
        <w:t xml:space="preserve"> Le matrici 171-209 si tengono in tavola sinottica unica, aggiornata a ogni atto: il nuovo caso si governa guardando quali evidenze discriminanti mancano ancora — perché sono quelle, e solo quelle, il suo programma.</w:t>
      </w:r>
    </w:p>
    <w:p>
      <w:pPr>
        <w:pStyle w:val="Heading2"/>
        <w:spacing w:after="100" w:before="200"/>
      </w:pPr>
      <w:r>
        <w:rPr>
          <w:rFonts w:ascii="Barlow Semi Condensed" w:cs="Barlow Semi Condensed" w:eastAsia="Barlow Semi Condensed" w:hAnsi="Barlow Semi Condensed"/>
          <w:sz w:val="24"/>
          <w:szCs w:val="24"/>
        </w:rPr>
        <w:t xml:space="preserve">Serie settima — Il registro delle segnalazioni: progetto esecutivo (blocchi 211-235)</w:t>
      </w:r>
    </w:p>
    <w:p>
      <w:pPr>
        <w:spacing w:after="120" w:line="276"/>
        <w:jc w:val="both"/>
      </w:pPr>
      <w:r>
        <w:rPr>
          <w:rFonts w:ascii="Barlow Semi Condensed" w:cs="Barlow Semi Condensed" w:eastAsia="Barlow Semi Condensed" w:hAnsi="Barlow Semi Condensed"/>
          <w:i/>
          <w:iCs/>
          <w:sz w:val="24"/>
          <w:szCs w:val="24"/>
        </w:rPr>
        <w:t xml:space="preserve">Statuto della serie: la colonna mancante. Il progetto esecutivo della tavola che in quarantott'anni nessuno ha prodotto — l'ingresso della macchina accanto alle sue quattro colonne d'uscita.</w:t>
      </w:r>
    </w:p>
    <w:p>
      <w:pPr>
        <w:spacing w:after="120" w:line="276"/>
        <w:jc w:val="both"/>
      </w:pPr>
      <w:r>
        <w:rPr>
          <w:rFonts w:ascii="Barlow Semi Condensed" w:cs="Barlow Semi Condensed" w:eastAsia="Barlow Semi Condensed" w:hAnsi="Barlow Semi Condensed"/>
          <w:b/>
          <w:bCs/>
          <w:sz w:val="24"/>
          <w:szCs w:val="24"/>
        </w:rPr>
        <w:t xml:space="preserve">211 · L'oggetto.</w:t>
      </w:r>
      <w:r>
        <w:rPr>
          <w:rFonts w:ascii="Barlow Semi Condensed" w:cs="Barlow Semi Condensed" w:eastAsia="Barlow Semi Condensed" w:hAnsi="Barlow Semi Condensed"/>
          <w:sz w:val="24"/>
          <w:szCs w:val="24"/>
        </w:rPr>
        <w:t xml:space="preserve"> Il registro censisce ogni segnalazione pervenuta agli apparati fra il 16 marzo e il 9 maggio 1978 — telefonica, scritta, fiduciaria, anonima — e ne segue il destino attraverso i segmenti del flusso.</w:t>
      </w:r>
    </w:p>
    <w:p>
      <w:pPr>
        <w:spacing w:after="120" w:line="276"/>
        <w:jc w:val="both"/>
      </w:pPr>
      <w:r>
        <w:rPr>
          <w:rFonts w:ascii="Barlow Semi Condensed" w:cs="Barlow Semi Condensed" w:eastAsia="Barlow Semi Condensed" w:hAnsi="Barlow Semi Condensed"/>
          <w:b/>
          <w:bCs/>
          <w:sz w:val="24"/>
          <w:szCs w:val="24"/>
        </w:rPr>
        <w:t xml:space="preserve">212 · L'unità di conto.</w:t>
      </w:r>
      <w:r>
        <w:rPr>
          <w:rFonts w:ascii="Barlow Semi Condensed" w:cs="Barlow Semi Condensed" w:eastAsia="Barlow Semi Condensed" w:hAnsi="Barlow Semi Condensed"/>
          <w:sz w:val="24"/>
          <w:szCs w:val="24"/>
        </w:rPr>
        <w:t xml:space="preserve"> La singola segnalazione protocollata; le segnalazioni non protocollate emergenti da altre carte si schedano come «fuori registro», e il loro volume è un dato di per sé.</w:t>
      </w:r>
    </w:p>
    <w:p>
      <w:pPr>
        <w:spacing w:after="120" w:line="276"/>
        <w:jc w:val="both"/>
      </w:pPr>
      <w:r>
        <w:rPr>
          <w:rFonts w:ascii="Barlow Semi Condensed" w:cs="Barlow Semi Condensed" w:eastAsia="Barlow Semi Condensed" w:hAnsi="Barlow Semi Condensed"/>
          <w:b/>
          <w:bCs/>
          <w:sz w:val="24"/>
          <w:szCs w:val="24"/>
        </w:rPr>
        <w:t xml:space="preserve">213 · Lo schema-dati.</w:t>
      </w:r>
      <w:r>
        <w:rPr>
          <w:rFonts w:ascii="Barlow Semi Condensed" w:cs="Barlow Semi Condensed" w:eastAsia="Barlow Semi Condensed" w:hAnsi="Barlow Semi Condensed"/>
          <w:sz w:val="24"/>
          <w:szCs w:val="24"/>
        </w:rPr>
        <w:t xml:space="preserve"> Campi minimi: data e ora; canale d'ingresso; ufficio ricevente; protocollo; oggetto in sintesi; classificazione attribuita; smistamento; atti conseguenti; ritorno; trasmissione all'AG; esito finale; carte collegate.</w:t>
      </w:r>
    </w:p>
    <w:p>
      <w:pPr>
        <w:spacing w:after="120" w:line="276"/>
        <w:jc w:val="both"/>
      </w:pPr>
      <w:r>
        <w:rPr>
          <w:rFonts w:ascii="Barlow Semi Condensed" w:cs="Barlow Semi Condensed" w:eastAsia="Barlow Semi Condensed" w:hAnsi="Barlow Semi Condensed"/>
          <w:b/>
          <w:bCs/>
          <w:sz w:val="24"/>
          <w:szCs w:val="24"/>
        </w:rPr>
        <w:t xml:space="preserve">214 · I quattro segmenti.</w:t>
      </w:r>
      <w:r>
        <w:rPr>
          <w:rFonts w:ascii="Barlow Semi Condensed" w:cs="Barlow Semi Condensed" w:eastAsia="Barlow Semi Condensed" w:hAnsi="Barlow Semi Condensed"/>
          <w:sz w:val="24"/>
          <w:szCs w:val="24"/>
        </w:rPr>
        <w:t xml:space="preserve"> Ingresso (ricezione e protocollo), lavorazione (classificazione e smistamento), uscita operativa (l'atto conseguente e il suo ritorno), trasmissione (il passaggio all'autorità giudiziaria). Ogni segnalazione si mappa su tutti e quattro.</w:t>
      </w:r>
    </w:p>
    <w:p>
      <w:pPr>
        <w:spacing w:after="120" w:line="276"/>
        <w:jc w:val="both"/>
      </w:pPr>
      <w:r>
        <w:rPr>
          <w:rFonts w:ascii="Barlow Semi Condensed" w:cs="Barlow Semi Condensed" w:eastAsia="Barlow Semi Condensed" w:hAnsi="Barlow Semi Condensed"/>
          <w:b/>
          <w:bCs/>
          <w:sz w:val="24"/>
          <w:szCs w:val="24"/>
        </w:rPr>
        <w:t xml:space="preserve">215 · Le fonti del registro.</w:t>
      </w:r>
      <w:r>
        <w:rPr>
          <w:rFonts w:ascii="Barlow Semi Condensed" w:cs="Barlow Semi Condensed" w:eastAsia="Barlow Semi Condensed" w:hAnsi="Barlow Semi Condensed"/>
          <w:sz w:val="24"/>
          <w:szCs w:val="24"/>
        </w:rPr>
        <w:t xml:space="preserve"> I registri di protocollo di UCIGOS, questure e prefetture nei versamenti del Viminale (blocco 94); i carteggi interni; i fascicoli delle segnalazioni celebri come calibri.</w:t>
      </w:r>
    </w:p>
    <w:p>
      <w:pPr>
        <w:spacing w:after="120" w:line="276"/>
        <w:jc w:val="both"/>
      </w:pPr>
      <w:r>
        <w:rPr>
          <w:rFonts w:ascii="Barlow Semi Condensed" w:cs="Barlow Semi Condensed" w:eastAsia="Barlow Semi Condensed" w:hAnsi="Barlow Semi Condensed"/>
          <w:b/>
          <w:bCs/>
          <w:sz w:val="24"/>
          <w:szCs w:val="24"/>
        </w:rPr>
        <w:t xml:space="preserve">216 · Il campionamento.</w:t>
      </w:r>
      <w:r>
        <w:rPr>
          <w:rFonts w:ascii="Barlow Semi Condensed" w:cs="Barlow Semi Condensed" w:eastAsia="Barlow Semi Condensed" w:hAnsi="Barlow Semi Condensed"/>
          <w:sz w:val="24"/>
          <w:szCs w:val="24"/>
        </w:rPr>
        <w:t xml:space="preserve"> Se il fondo eccede le forze, campione statistico stratificato — per settimana, per canale, per ufficio — con metodo dichiarato: una stima onesta batte un censimento promesso e mai finito.</w:t>
      </w:r>
    </w:p>
    <w:p>
      <w:pPr>
        <w:spacing w:after="120" w:line="276"/>
        <w:jc w:val="both"/>
      </w:pPr>
      <w:r>
        <w:rPr>
          <w:rFonts w:ascii="Barlow Semi Condensed" w:cs="Barlow Semi Condensed" w:eastAsia="Barlow Semi Condensed" w:hAnsi="Barlow Semi Condensed"/>
          <w:b/>
          <w:bCs/>
          <w:sz w:val="24"/>
          <w:szCs w:val="24"/>
        </w:rPr>
        <w:t xml:space="preserve">217 · I tre calibri.</w:t>
      </w:r>
      <w:r>
        <w:rPr>
          <w:rFonts w:ascii="Barlow Semi Condensed" w:cs="Barlow Semi Condensed" w:eastAsia="Barlow Semi Condensed" w:hAnsi="Barlow Semi Condensed"/>
          <w:sz w:val="24"/>
          <w:szCs w:val="24"/>
        </w:rPr>
        <w:t xml:space="preserve"> Mokbel, Zappolino, Montalcini: le tre segnalazioni già ricostruite fungono da casi-calibro per testare lo schema-dati prima dello spoglio di massa.</w:t>
      </w:r>
    </w:p>
    <w:p>
      <w:pPr>
        <w:spacing w:after="120" w:line="276"/>
        <w:jc w:val="both"/>
      </w:pPr>
      <w:r>
        <w:rPr>
          <w:rFonts w:ascii="Barlow Semi Condensed" w:cs="Barlow Semi Condensed" w:eastAsia="Barlow Semi Condensed" w:hAnsi="Barlow Semi Condensed"/>
          <w:b/>
          <w:bCs/>
          <w:sz w:val="24"/>
          <w:szCs w:val="24"/>
        </w:rPr>
        <w:t xml:space="preserve">218 · La metrica principale.</w:t>
      </w:r>
      <w:r>
        <w:rPr>
          <w:rFonts w:ascii="Barlow Semi Condensed" w:cs="Barlow Semi Condensed" w:eastAsia="Barlow Semi Condensed" w:hAnsi="Barlow Semi Condensed"/>
          <w:sz w:val="24"/>
          <w:szCs w:val="24"/>
        </w:rPr>
        <w:t xml:space="preserve"> Il tasso di seguito: quante segnalazioni generarono un atto, quante un ritorno, quante una trasmissione. Tre percentuali che nessuna relazione ha mai contenuto.</w:t>
      </w:r>
    </w:p>
    <w:p>
      <w:pPr>
        <w:spacing w:after="120" w:line="276"/>
        <w:jc w:val="both"/>
      </w:pPr>
      <w:r>
        <w:rPr>
          <w:rFonts w:ascii="Barlow Semi Condensed" w:cs="Barlow Semi Condensed" w:eastAsia="Barlow Semi Condensed" w:hAnsi="Barlow Semi Condensed"/>
          <w:b/>
          <w:bCs/>
          <w:sz w:val="24"/>
          <w:szCs w:val="24"/>
        </w:rPr>
        <w:t xml:space="preserve">219 · La metrica di peso.</w:t>
      </w:r>
      <w:r>
        <w:rPr>
          <w:rFonts w:ascii="Barlow Semi Condensed" w:cs="Barlow Semi Condensed" w:eastAsia="Barlow Semi Condensed" w:hAnsi="Barlow Semi Condensed"/>
          <w:sz w:val="24"/>
          <w:szCs w:val="24"/>
        </w:rPr>
        <w:t xml:space="preserve"> Non solo contare: pesare. Una classificazione di rilevanza retrospettiva (l'indirizzo esatto pesa più del generico) consente il tasso di seguito </w:t>
      </w:r>
      <w:r>
        <w:rPr>
          <w:rFonts w:ascii="Barlow Semi Condensed" w:cs="Barlow Semi Condensed" w:eastAsia="Barlow Semi Condensed" w:hAnsi="Barlow Semi Condensed"/>
          <w:i/>
          <w:iCs/>
          <w:sz w:val="24"/>
          <w:szCs w:val="24"/>
        </w:rPr>
        <w:t xml:space="preserve">ponderato</w:t>
      </w:r>
      <w:r>
        <w:rPr>
          <w:rFonts w:ascii="Barlow Semi Condensed" w:cs="Barlow Semi Condensed" w:eastAsia="Barlow Semi Condensed" w:hAnsi="Barlow Semi Condensed"/>
          <w:sz w:val="24"/>
          <w:szCs w:val="24"/>
        </w:rPr>
        <w:t xml:space="preserve"> — la metrica che intercetta l'anomalia vera.</w:t>
      </w:r>
    </w:p>
    <w:p>
      <w:pPr>
        <w:spacing w:after="120" w:line="276"/>
        <w:jc w:val="both"/>
      </w:pPr>
      <w:r>
        <w:rPr>
          <w:rFonts w:ascii="Barlow Semi Condensed" w:cs="Barlow Semi Condensed" w:eastAsia="Barlow Semi Condensed" w:hAnsi="Barlow Semi Condensed"/>
          <w:b/>
          <w:bCs/>
          <w:sz w:val="24"/>
          <w:szCs w:val="24"/>
        </w:rPr>
        <w:t xml:space="preserve">220 · La distribuzione per segmento.</w:t>
      </w:r>
      <w:r>
        <w:rPr>
          <w:rFonts w:ascii="Barlow Semi Condensed" w:cs="Barlow Semi Condensed" w:eastAsia="Barlow Semi Condensed" w:hAnsi="Barlow Semi Condensed"/>
          <w:sz w:val="24"/>
          <w:szCs w:val="24"/>
        </w:rPr>
        <w:t xml:space="preserve"> Per ogni interruzione di flusso si registra il segmento in cui avvenne: è la variabile che decide la matrice del blocco 209 — casualità distribuita o concentrazione sul quarto segmento.</w:t>
      </w:r>
    </w:p>
    <w:p>
      <w:pPr>
        <w:spacing w:after="120" w:line="276"/>
        <w:jc w:val="both"/>
      </w:pPr>
      <w:r>
        <w:rPr>
          <w:rFonts w:ascii="Barlow Semi Condensed" w:cs="Barlow Semi Condensed" w:eastAsia="Barlow Semi Condensed" w:hAnsi="Barlow Semi Condensed"/>
          <w:b/>
          <w:bCs/>
          <w:sz w:val="24"/>
          <w:szCs w:val="24"/>
        </w:rPr>
        <w:t xml:space="preserve">221 · La distribuzione temporale.</w:t>
      </w:r>
      <w:r>
        <w:rPr>
          <w:rFonts w:ascii="Barlow Semi Condensed" w:cs="Barlow Semi Condensed" w:eastAsia="Barlow Semi Condensed" w:hAnsi="Barlow Semi Condensed"/>
          <w:sz w:val="24"/>
          <w:szCs w:val="24"/>
        </w:rPr>
        <w:t xml:space="preserve"> Le metriche per settimana: il sistema sotto stress del 16-31 marzo è lo stesso del 20 aprile? La curva temporale del tasso di seguito è una radiografia della macchina.</w:t>
      </w:r>
    </w:p>
    <w:p>
      <w:pPr>
        <w:spacing w:after="120" w:line="276"/>
        <w:jc w:val="both"/>
      </w:pPr>
      <w:r>
        <w:rPr>
          <w:rFonts w:ascii="Barlow Semi Condensed" w:cs="Barlow Semi Condensed" w:eastAsia="Barlow Semi Condensed" w:hAnsi="Barlow Semi Condensed"/>
          <w:b/>
          <w:bCs/>
          <w:sz w:val="24"/>
          <w:szCs w:val="24"/>
        </w:rPr>
        <w:t xml:space="preserve">222 · La distribuzione territoriale.</w:t>
      </w:r>
      <w:r>
        <w:rPr>
          <w:rFonts w:ascii="Barlow Semi Condensed" w:cs="Barlow Semi Condensed" w:eastAsia="Barlow Semi Condensed" w:hAnsi="Barlow Semi Condensed"/>
          <w:sz w:val="24"/>
          <w:szCs w:val="24"/>
        </w:rPr>
        <w:t xml:space="preserve"> Roma contro il resto del Paese, ufficio per ufficio: dove il flusso reggeva e dove no. La geografia delle interruzioni è essa stessa un reperto.</w:t>
      </w:r>
    </w:p>
    <w:p>
      <w:pPr>
        <w:spacing w:after="120" w:line="276"/>
        <w:jc w:val="both"/>
      </w:pPr>
      <w:r>
        <w:rPr>
          <w:rFonts w:ascii="Barlow Semi Condensed" w:cs="Barlow Semi Condensed" w:eastAsia="Barlow Semi Condensed" w:hAnsi="Barlow Semi Condensed"/>
          <w:b/>
          <w:bCs/>
          <w:sz w:val="24"/>
          <w:szCs w:val="24"/>
        </w:rPr>
        <w:t xml:space="preserve">223 · Il registro delle mancate trasmissioni.</w:t>
      </w:r>
      <w:r>
        <w:rPr>
          <w:rFonts w:ascii="Barlow Semi Condensed" w:cs="Barlow Semi Condensed" w:eastAsia="Barlow Semi Condensed" w:hAnsi="Barlow Semi Condensed"/>
          <w:sz w:val="24"/>
          <w:szCs w:val="24"/>
        </w:rPr>
        <w:t xml:space="preserve"> La lista dedicata dei casi in cui informazioni rilevanti non raggiunsero l'autorità giudiziaria — Montalcini e il 18 marzo come primi item — con la catena di ciascuno: da episodi celebri a serie documentale.</w:t>
      </w:r>
    </w:p>
    <w:p>
      <w:pPr>
        <w:spacing w:after="120" w:line="276"/>
        <w:jc w:val="both"/>
      </w:pPr>
      <w:r>
        <w:rPr>
          <w:rFonts w:ascii="Barlow Semi Condensed" w:cs="Barlow Semi Condensed" w:eastAsia="Barlow Semi Condensed" w:hAnsi="Barlow Semi Condensed"/>
          <w:b/>
          <w:bCs/>
          <w:sz w:val="24"/>
          <w:szCs w:val="24"/>
        </w:rPr>
        <w:t xml:space="preserve">224 · Il duale: il registro dei seguiti corretti.</w:t>
      </w:r>
      <w:r>
        <w:rPr>
          <w:rFonts w:ascii="Barlow Semi Condensed" w:cs="Barlow Semi Condensed" w:eastAsia="Barlow Semi Condensed" w:hAnsi="Barlow Semi Condensed"/>
          <w:sz w:val="24"/>
          <w:szCs w:val="24"/>
        </w:rPr>
        <w:t xml:space="preserve"> Con lo stesso rigore, i casi in cui il flusso funzionò per intero: la riabilitazione documentale di chi lavorò bene nel diluvio è metà del valore civile del registro.</w:t>
      </w:r>
    </w:p>
    <w:p>
      <w:pPr>
        <w:spacing w:after="120" w:line="276"/>
        <w:jc w:val="both"/>
      </w:pPr>
      <w:r>
        <w:rPr>
          <w:rFonts w:ascii="Barlow Semi Condensed" w:cs="Barlow Semi Condensed" w:eastAsia="Barlow Semi Condensed" w:hAnsi="Barlow Semi Condensed"/>
          <w:b/>
          <w:bCs/>
          <w:sz w:val="24"/>
          <w:szCs w:val="24"/>
        </w:rPr>
        <w:t xml:space="preserve">225 · Le segnalazioni anonime.</w:t>
      </w:r>
      <w:r>
        <w:rPr>
          <w:rFonts w:ascii="Barlow Semi Condensed" w:cs="Barlow Semi Condensed" w:eastAsia="Barlow Semi Condensed" w:hAnsi="Barlow Semi Condensed"/>
          <w:sz w:val="24"/>
          <w:szCs w:val="24"/>
        </w:rPr>
        <w:t xml:space="preserve"> Trattamento dedicato: volume, prassi di verifica dell'epoca, esiti. L'anonimo è il canale dove il criterio di smistamento si vede meglio, perché privo del peso del segnalante.</w:t>
      </w:r>
    </w:p>
    <w:p>
      <w:pPr>
        <w:spacing w:after="120" w:line="276"/>
        <w:jc w:val="both"/>
      </w:pPr>
      <w:r>
        <w:rPr>
          <w:rFonts w:ascii="Barlow Semi Condensed" w:cs="Barlow Semi Condensed" w:eastAsia="Barlow Semi Condensed" w:hAnsi="Barlow Semi Condensed"/>
          <w:b/>
          <w:bCs/>
          <w:sz w:val="24"/>
          <w:szCs w:val="24"/>
        </w:rPr>
        <w:t xml:space="preserve">226 · Le fonti fiduciarie.</w:t>
      </w:r>
      <w:r>
        <w:rPr>
          <w:rFonts w:ascii="Barlow Semi Condensed" w:cs="Barlow Semi Condensed" w:eastAsia="Barlow Semi Condensed" w:hAnsi="Barlow Semi Condensed"/>
          <w:sz w:val="24"/>
          <w:szCs w:val="24"/>
        </w:rPr>
        <w:t xml:space="preserve"> Le note degli informatori si schedano con le cautele della materia: conta il percorso della nota, non l'identità della fonte, che resta protetta anche a distanza di mezzo secolo salvo che gli atti l'abbiano già resa pubblica.</w:t>
      </w:r>
    </w:p>
    <w:p>
      <w:pPr>
        <w:spacing w:after="120" w:line="276"/>
        <w:jc w:val="both"/>
      </w:pPr>
      <w:r>
        <w:rPr>
          <w:rFonts w:ascii="Barlow Semi Condensed" w:cs="Barlow Semi Condensed" w:eastAsia="Barlow Semi Condensed" w:hAnsi="Barlow Semi Condensed"/>
          <w:b/>
          <w:bCs/>
          <w:sz w:val="24"/>
          <w:szCs w:val="24"/>
        </w:rPr>
        <w:t xml:space="preserve">227 · Il confronto con la prassi.</w:t>
      </w:r>
      <w:r>
        <w:rPr>
          <w:rFonts w:ascii="Barlow Semi Condensed" w:cs="Barlow Semi Condensed" w:eastAsia="Barlow Semi Condensed" w:hAnsi="Barlow Semi Condensed"/>
          <w:sz w:val="24"/>
          <w:szCs w:val="24"/>
        </w:rPr>
        <w:t xml:space="preserve"> Il campione di controllo del blocco 136 applicato al flusso: il tasso di seguito delle segnalazioni ordinarie coeve (reati comuni) è il metro senza il quale nessun tasso del caso è leggibile.</w:t>
      </w:r>
    </w:p>
    <w:p>
      <w:pPr>
        <w:spacing w:after="120" w:line="276"/>
        <w:jc w:val="both"/>
      </w:pPr>
      <w:r>
        <w:rPr>
          <w:rFonts w:ascii="Barlow Semi Condensed" w:cs="Barlow Semi Condensed" w:eastAsia="Barlow Semi Condensed" w:hAnsi="Barlow Semi Condensed"/>
          <w:b/>
          <w:bCs/>
          <w:sz w:val="24"/>
          <w:szCs w:val="24"/>
        </w:rPr>
        <w:t xml:space="preserve">228 · L'interfaccia coi quesiti.</w:t>
      </w:r>
      <w:r>
        <w:rPr>
          <w:rFonts w:ascii="Barlow Semi Condensed" w:cs="Barlow Semi Condensed" w:eastAsia="Barlow Semi Condensed" w:hAnsi="Barlow Semi Condensed"/>
          <w:sz w:val="24"/>
          <w:szCs w:val="24"/>
        </w:rPr>
        <w:t xml:space="preserve"> Ogni scheda del registro che tocchi un quesito della serie sesta vi si collega: il registro non è un esercizio statistico — è il generatore di evidenza delle matrici.</w:t>
      </w:r>
    </w:p>
    <w:p>
      <w:pPr>
        <w:spacing w:after="120" w:line="276"/>
        <w:jc w:val="both"/>
      </w:pPr>
      <w:r>
        <w:rPr>
          <w:rFonts w:ascii="Barlow Semi Condensed" w:cs="Barlow Semi Condensed" w:eastAsia="Barlow Semi Condensed" w:hAnsi="Barlow Semi Condensed"/>
          <w:b/>
          <w:bCs/>
          <w:sz w:val="24"/>
          <w:szCs w:val="24"/>
        </w:rPr>
        <w:t xml:space="preserve">229 · La pubblicazione.</w:t>
      </w:r>
      <w:r>
        <w:rPr>
          <w:rFonts w:ascii="Barlow Semi Condensed" w:cs="Barlow Semi Condensed" w:eastAsia="Barlow Semi Condensed" w:hAnsi="Barlow Semi Condensed"/>
          <w:sz w:val="24"/>
          <w:szCs w:val="24"/>
        </w:rPr>
        <w:t xml:space="preserve"> Il registro si pubblica in forma aggregata e anonimizzata dove serve, integrale dove gli atti sono pubblici: la statistica dei 55 giorni appartiene alla Repubblica.</w:t>
      </w:r>
    </w:p>
    <w:p>
      <w:pPr>
        <w:spacing w:after="120" w:line="276"/>
        <w:jc w:val="both"/>
      </w:pPr>
      <w:r>
        <w:rPr>
          <w:rFonts w:ascii="Barlow Semi Condensed" w:cs="Barlow Semi Condensed" w:eastAsia="Barlow Semi Condensed" w:hAnsi="Barlow Semi Condensed"/>
          <w:b/>
          <w:bCs/>
          <w:sz w:val="24"/>
          <w:szCs w:val="24"/>
        </w:rPr>
        <w:t xml:space="preserve">230 · Il registro degli esposti postumi.</w:t>
      </w:r>
      <w:r>
        <w:rPr>
          <w:rFonts w:ascii="Barlow Semi Condensed" w:cs="Barlow Semi Condensed" w:eastAsia="Barlow Semi Condensed" w:hAnsi="Barlow Semi Condensed"/>
          <w:sz w:val="24"/>
          <w:szCs w:val="24"/>
        </w:rPr>
        <w:t xml:space="preserve"> Le segnalazioni giunte </w:t>
      </w:r>
      <w:r>
        <w:rPr>
          <w:rFonts w:ascii="Barlow Semi Condensed" w:cs="Barlow Semi Condensed" w:eastAsia="Barlow Semi Condensed" w:hAnsi="Barlow Semi Condensed"/>
          <w:i/>
          <w:iCs/>
          <w:sz w:val="24"/>
          <w:szCs w:val="24"/>
        </w:rPr>
        <w:t xml:space="preserve">dopo</w:t>
      </w:r>
      <w:r>
        <w:rPr>
          <w:rFonts w:ascii="Barlow Semi Condensed" w:cs="Barlow Semi Condensed" w:eastAsia="Barlow Semi Condensed" w:hAnsi="Barlow Semi Condensed"/>
          <w:sz w:val="24"/>
          <w:szCs w:val="24"/>
        </w:rPr>
        <w:t xml:space="preserve"> il 9 maggio — su covi, complicità, luoghi — hanno il loro capitolo con lo stesso schema: il flusso post-mortem misura la macchina a emergenza finita.</w:t>
      </w:r>
    </w:p>
    <w:p>
      <w:pPr>
        <w:spacing w:after="120" w:line="276"/>
        <w:jc w:val="both"/>
      </w:pPr>
      <w:r>
        <w:rPr>
          <w:rFonts w:ascii="Barlow Semi Condensed" w:cs="Barlow Semi Condensed" w:eastAsia="Barlow Semi Condensed" w:hAnsi="Barlow Semi Condensed"/>
          <w:b/>
          <w:bCs/>
          <w:sz w:val="24"/>
          <w:szCs w:val="24"/>
        </w:rPr>
        <w:t xml:space="preserve">231 · Le segnalazioni ai giornali.</w:t>
      </w:r>
      <w:r>
        <w:rPr>
          <w:rFonts w:ascii="Barlow Semi Condensed" w:cs="Barlow Semi Condensed" w:eastAsia="Barlow Semi Condensed" w:hAnsi="Barlow Semi Condensed"/>
          <w:sz w:val="24"/>
          <w:szCs w:val="24"/>
        </w:rPr>
        <w:t xml:space="preserve"> Ciò che i cittadini segnalarono alle redazioni invece che agli uffici — dove gli archivi delle testate lo conservano — integra il registro come canale parallelo documentato.</w:t>
      </w:r>
    </w:p>
    <w:p>
      <w:pPr>
        <w:spacing w:after="120" w:line="276"/>
        <w:jc w:val="both"/>
      </w:pPr>
      <w:r>
        <w:rPr>
          <w:rFonts w:ascii="Barlow Semi Condensed" w:cs="Barlow Semi Condensed" w:eastAsia="Barlow Semi Condensed" w:hAnsi="Barlow Semi Condensed"/>
          <w:b/>
          <w:bCs/>
          <w:sz w:val="24"/>
          <w:szCs w:val="24"/>
        </w:rPr>
        <w:t xml:space="preserve">232 · Il vocabolario delle classificazioni.</w:t>
      </w:r>
      <w:r>
        <w:rPr>
          <w:rFonts w:ascii="Barlow Semi Condensed" w:cs="Barlow Semi Condensed" w:eastAsia="Barlow Semi Condensed" w:hAnsi="Barlow Semi Condensed"/>
          <w:sz w:val="24"/>
          <w:szCs w:val="24"/>
        </w:rPr>
        <w:t xml:space="preserve"> Le diciture d'epoca («attendibile», «da verificare», «agli atti») si censiscono e si traducono: la semantica burocratica del 1978 è parte dello schema-dati.</w:t>
      </w:r>
    </w:p>
    <w:p>
      <w:pPr>
        <w:spacing w:after="120" w:line="276"/>
        <w:jc w:val="both"/>
      </w:pPr>
      <w:r>
        <w:rPr>
          <w:rFonts w:ascii="Barlow Semi Condensed" w:cs="Barlow Semi Condensed" w:eastAsia="Barlow Semi Condensed" w:hAnsi="Barlow Semi Condensed"/>
          <w:b/>
          <w:bCs/>
          <w:sz w:val="24"/>
          <w:szCs w:val="24"/>
        </w:rPr>
        <w:t xml:space="preserve">233 · L'errore da evitare.</w:t>
      </w:r>
      <w:r>
        <w:rPr>
          <w:rFonts w:ascii="Barlow Semi Condensed" w:cs="Barlow Semi Condensed" w:eastAsia="Barlow Semi Condensed" w:hAnsi="Barlow Semi Condensed"/>
          <w:sz w:val="24"/>
          <w:szCs w:val="24"/>
        </w:rPr>
        <w:t xml:space="preserve"> Leggere il registro col senno di poi: la rilevanza retrospettiva (blocco 219) si dichiara sempre come tale, e il giudizio sul singolo operatore resta vietato — si giudicano flussi, non persone.</w:t>
      </w:r>
    </w:p>
    <w:p>
      <w:pPr>
        <w:spacing w:after="120" w:line="276"/>
        <w:jc w:val="both"/>
      </w:pPr>
      <w:r>
        <w:rPr>
          <w:rFonts w:ascii="Barlow Semi Condensed" w:cs="Barlow Semi Condensed" w:eastAsia="Barlow Semi Condensed" w:hAnsi="Barlow Semi Condensed"/>
          <w:b/>
          <w:bCs/>
          <w:sz w:val="24"/>
          <w:szCs w:val="24"/>
        </w:rPr>
        <w:t xml:space="preserve">234 · Il criterio di chiusura.</w:t>
      </w:r>
      <w:r>
        <w:rPr>
          <w:rFonts w:ascii="Barlow Semi Condensed" w:cs="Barlow Semi Condensed" w:eastAsia="Barlow Semi Condensed" w:hAnsi="Barlow Semi Condensed"/>
          <w:sz w:val="24"/>
          <w:szCs w:val="24"/>
        </w:rPr>
        <w:t xml:space="preserve"> Il registro si chiude con la pubblicazione delle metriche e delle distribuzioni, più i due registri dedicati (223-224): a quel punto la matrice del blocco 209 avrà la sua evidenza, in un senso o nell'altro.</w:t>
      </w:r>
    </w:p>
    <w:p>
      <w:pPr>
        <w:spacing w:after="120" w:line="276"/>
        <w:jc w:val="both"/>
      </w:pPr>
      <w:r>
        <w:rPr>
          <w:rFonts w:ascii="Barlow Semi Condensed" w:cs="Barlow Semi Condensed" w:eastAsia="Barlow Semi Condensed" w:hAnsi="Barlow Semi Condensed"/>
          <w:b/>
          <w:bCs/>
          <w:sz w:val="24"/>
          <w:szCs w:val="24"/>
        </w:rPr>
        <w:t xml:space="preserve">235 · Il lascito.</w:t>
      </w:r>
      <w:r>
        <w:rPr>
          <w:rFonts w:ascii="Barlow Semi Condensed" w:cs="Barlow Semi Condensed" w:eastAsia="Barlow Semi Condensed" w:hAnsi="Barlow Semi Condensed"/>
          <w:sz w:val="24"/>
          <w:szCs w:val="24"/>
        </w:rPr>
        <w:t xml:space="preserve"> Lo schema-dati e il metodo si consegnano come standard replicabile: ogni grande caso italiano ha la sua colonna d'ingresso mancante, e il registro del caso Moro può diventare il modello per tutte.</w:t>
      </w:r>
    </w:p>
    <w:p>
      <w:pPr>
        <w:pStyle w:val="Heading2"/>
        <w:spacing w:after="100" w:before="200"/>
      </w:pPr>
      <w:r>
        <w:rPr>
          <w:rFonts w:ascii="Barlow Semi Condensed" w:cs="Barlow Semi Condensed" w:eastAsia="Barlow Semi Condensed" w:hAnsi="Barlow Semi Condensed"/>
          <w:sz w:val="24"/>
          <w:szCs w:val="24"/>
        </w:rPr>
        <w:t xml:space="preserve">Serie ottava — Il versante internazionale (blocchi 236-250)</w:t>
      </w:r>
    </w:p>
    <w:p>
      <w:pPr>
        <w:spacing w:after="120" w:line="276"/>
        <w:jc w:val="both"/>
      </w:pPr>
      <w:r>
        <w:rPr>
          <w:rFonts w:ascii="Barlow Semi Condensed" w:cs="Barlow Semi Condensed" w:eastAsia="Barlow Semi Condensed" w:hAnsi="Barlow Semi Condensed"/>
          <w:i/>
          <w:iCs/>
          <w:sz w:val="24"/>
          <w:szCs w:val="24"/>
        </w:rPr>
        <w:t xml:space="preserve">Statuto della serie: le frontiere del caso. L'esecuzione, l'accesso e la cooperazione: tutto ciò che del nuovo caso dipende da uno Stato che non è l'Italia.</w:t>
      </w:r>
    </w:p>
    <w:p>
      <w:pPr>
        <w:spacing w:after="120" w:line="276"/>
        <w:jc w:val="both"/>
      </w:pPr>
      <w:r>
        <w:rPr>
          <w:rFonts w:ascii="Barlow Semi Condensed" w:cs="Barlow Semi Condensed" w:eastAsia="Barlow Semi Condensed" w:hAnsi="Barlow Semi Condensed"/>
          <w:b/>
          <w:bCs/>
          <w:sz w:val="24"/>
          <w:szCs w:val="24"/>
        </w:rPr>
        <w:t xml:space="preserve">236 · La tavola delle pendenze.</w:t>
      </w:r>
      <w:r>
        <w:rPr>
          <w:rFonts w:ascii="Barlow Semi Condensed" w:cs="Barlow Semi Condensed" w:eastAsia="Barlow Semi Condensed" w:hAnsi="Barlow Semi Condensed"/>
          <w:sz w:val="24"/>
          <w:szCs w:val="24"/>
        </w:rPr>
        <w:t xml:space="preserve"> Il censimento aggiornato di ogni pendenza internazionale del caso: richieste di estradizione, rogatorie, richieste di consenso all'originatore, istanze d'archivio — ciascuna con stato, data dell'ultimo atto, sede competente.</w:t>
      </w:r>
    </w:p>
    <w:p>
      <w:pPr>
        <w:spacing w:after="120" w:line="276"/>
        <w:jc w:val="both"/>
      </w:pPr>
      <w:r>
        <w:rPr>
          <w:rFonts w:ascii="Barlow Semi Condensed" w:cs="Barlow Semi Condensed" w:eastAsia="Barlow Semi Condensed" w:hAnsi="Barlow Semi Condensed"/>
          <w:b/>
          <w:bCs/>
          <w:sz w:val="24"/>
          <w:szCs w:val="24"/>
        </w:rPr>
        <w:t xml:space="preserve">237 · Il canale di Managua.</w:t>
      </w:r>
      <w:r>
        <w:rPr>
          <w:rFonts w:ascii="Barlow Semi Condensed" w:cs="Barlow Semi Condensed" w:eastAsia="Barlow Semi Condensed" w:hAnsi="Barlow Semi Condensed"/>
          <w:sz w:val="24"/>
          <w:szCs w:val="24"/>
        </w:rPr>
        <w:t xml:space="preserve"> Le richieste respinte si rinnovano nelle forme, ma l'obiettivo realistico è conoscitivo: la deposizione all'estero del blocco 151. Ogni rifiuto si acquisisce per iscritto — è un documento diplomatico del caso.</w:t>
      </w:r>
    </w:p>
    <w:p>
      <w:pPr>
        <w:spacing w:after="120" w:line="276"/>
        <w:jc w:val="both"/>
      </w:pPr>
      <w:r>
        <w:rPr>
          <w:rFonts w:ascii="Barlow Semi Condensed" w:cs="Barlow Semi Condensed" w:eastAsia="Barlow Semi Condensed" w:hAnsi="Barlow Semi Condensed"/>
          <w:b/>
          <w:bCs/>
          <w:sz w:val="24"/>
          <w:szCs w:val="24"/>
        </w:rPr>
        <w:t xml:space="preserve">238 · Il versante elvetico.</w:t>
      </w:r>
      <w:r>
        <w:rPr>
          <w:rFonts w:ascii="Barlow Semi Condensed" w:cs="Barlow Semi Condensed" w:eastAsia="Barlow Semi Condensed" w:hAnsi="Barlow Semi Condensed"/>
          <w:sz w:val="24"/>
          <w:szCs w:val="24"/>
        </w:rPr>
        <w:t xml:space="preserve"> Nessuna deroga è chiedibile a una regola di cittadinanza; ciò che si chiede è la cooperazione documentale e l'eventuale disponibilità volontaria a deposizioni: la porta che la sovranità lascia aperta.</w:t>
      </w:r>
    </w:p>
    <w:p>
      <w:pPr>
        <w:spacing w:after="120" w:line="276"/>
        <w:jc w:val="both"/>
      </w:pPr>
      <w:r>
        <w:rPr>
          <w:rFonts w:ascii="Barlow Semi Condensed" w:cs="Barlow Semi Condensed" w:eastAsia="Barlow Semi Condensed" w:hAnsi="Barlow Semi Condensed"/>
          <w:b/>
          <w:bCs/>
          <w:sz w:val="24"/>
          <w:szCs w:val="24"/>
        </w:rPr>
        <w:t xml:space="preserve">239 · Il quadro francese.</w:t>
      </w:r>
      <w:r>
        <w:rPr>
          <w:rFonts w:ascii="Barlow Semi Condensed" w:cs="Barlow Semi Condensed" w:eastAsia="Barlow Semi Condensed" w:hAnsi="Barlow Semi Condensed"/>
          <w:sz w:val="24"/>
          <w:szCs w:val="24"/>
        </w:rPr>
        <w:t xml:space="preserve"> Il no definitivo del 2023 chiude l'esecuzione per i dieci; non chiude la cooperazione documentale né tocca il registro del caso. Le carte diplomatiche italiane di quel quarantennio si schedano alla Farnesina (blocco 127).</w:t>
      </w:r>
    </w:p>
    <w:p>
      <w:pPr>
        <w:spacing w:after="120" w:line="276"/>
        <w:jc w:val="both"/>
      </w:pPr>
      <w:r>
        <w:rPr>
          <w:rFonts w:ascii="Barlow Semi Condensed" w:cs="Barlow Semi Condensed" w:eastAsia="Barlow Semi Condensed" w:hAnsi="Barlow Semi Condensed"/>
          <w:b/>
          <w:bCs/>
          <w:sz w:val="24"/>
          <w:szCs w:val="24"/>
        </w:rPr>
        <w:t xml:space="preserve">240 · Il contro-caso come metodo.</w:t>
      </w:r>
      <w:r>
        <w:rPr>
          <w:rFonts w:ascii="Barlow Semi Condensed" w:cs="Barlow Semi Condensed" w:eastAsia="Barlow Semi Condensed" w:hAnsi="Barlow Semi Condensed"/>
          <w:sz w:val="24"/>
          <w:szCs w:val="24"/>
        </w:rPr>
        <w:t xml:space="preserve"> La consegna del Cairo dimostra che la geografia è una variabile, non un destino: la tavola delle pendenze si rilegge a ogni mutamento di quadro politico degli Stati ospiti.</w:t>
      </w:r>
    </w:p>
    <w:p>
      <w:pPr>
        <w:spacing w:after="120" w:line="276"/>
        <w:jc w:val="both"/>
      </w:pPr>
      <w:r>
        <w:rPr>
          <w:rFonts w:ascii="Barlow Semi Condensed" w:cs="Barlow Semi Condensed" w:eastAsia="Barlow Semi Condensed" w:hAnsi="Barlow Semi Condensed"/>
          <w:b/>
          <w:bCs/>
          <w:sz w:val="24"/>
          <w:szCs w:val="24"/>
        </w:rPr>
        <w:t xml:space="preserve">241 · Le FOIA come diplomazia documentale.</w:t>
      </w:r>
      <w:r>
        <w:rPr>
          <w:rFonts w:ascii="Barlow Semi Condensed" w:cs="Barlow Semi Condensed" w:eastAsia="Barlow Semi Condensed" w:hAnsi="Barlow Semi Condensed"/>
          <w:sz w:val="24"/>
          <w:szCs w:val="24"/>
        </w:rPr>
        <w:t xml:space="preserve"> Il pacchetto americano dei blocchi 115-118 si gestisce come un dossier unitario con calendario proprio: richieste scaglionate, appelli sui dinieghi, registro pubblico degli esiti.</w:t>
      </w:r>
    </w:p>
    <w:p>
      <w:pPr>
        <w:spacing w:after="120" w:line="276"/>
        <w:jc w:val="both"/>
      </w:pPr>
      <w:r>
        <w:rPr>
          <w:rFonts w:ascii="Barlow Semi Condensed" w:cs="Barlow Semi Condensed" w:eastAsia="Barlow Semi Condensed" w:hAnsi="Barlow Semi Condensed"/>
          <w:b/>
          <w:bCs/>
          <w:sz w:val="24"/>
          <w:szCs w:val="24"/>
        </w:rPr>
        <w:t xml:space="preserve">242 · Il consenso dell'originatore.</w:t>
      </w:r>
      <w:r>
        <w:rPr>
          <w:rFonts w:ascii="Barlow Semi Condensed" w:cs="Barlow Semi Condensed" w:eastAsia="Barlow Semi Condensed" w:hAnsi="Barlow Semi Condensed"/>
          <w:sz w:val="24"/>
          <w:szCs w:val="24"/>
        </w:rPr>
        <w:t xml:space="preserve"> Per gli atti alleati custoditi in Italia: la proposta formale alle sedi competenti di un'iniziativa organica di richieste di consenso, con l'elenco esatto degli atti — non l'ennesimo appello generico alla «desecretazione».</w:t>
      </w:r>
    </w:p>
    <w:p>
      <w:pPr>
        <w:spacing w:after="120" w:line="276"/>
        <w:jc w:val="both"/>
      </w:pPr>
      <w:r>
        <w:rPr>
          <w:rFonts w:ascii="Barlow Semi Condensed" w:cs="Barlow Semi Condensed" w:eastAsia="Barlow Semi Condensed" w:hAnsi="Barlow Semi Condensed"/>
          <w:b/>
          <w:bCs/>
          <w:sz w:val="24"/>
          <w:szCs w:val="24"/>
        </w:rPr>
        <w:t xml:space="preserve">243 · Gli archivi dell'Est.</w:t>
      </w:r>
      <w:r>
        <w:rPr>
          <w:rFonts w:ascii="Barlow Semi Condensed" w:cs="Barlow Semi Condensed" w:eastAsia="Barlow Semi Condensed" w:hAnsi="Barlow Semi Condensed"/>
          <w:sz w:val="24"/>
          <w:szCs w:val="24"/>
        </w:rPr>
        <w:t xml:space="preserve"> I fondi degli ex servizi del blocco orientale — per ciò che documentarono del caso e del terrorismo italiano — si censiscono nelle sedi già aperte agli studiosi; ogni carta entra con la sua origine e il suo grado, e con la lezione Mitrokhin sul maneggio delle fonti d'intelligence.</w:t>
      </w:r>
    </w:p>
    <w:p>
      <w:pPr>
        <w:spacing w:after="120" w:line="276"/>
        <w:jc w:val="both"/>
      </w:pPr>
      <w:r>
        <w:rPr>
          <w:rFonts w:ascii="Barlow Semi Condensed" w:cs="Barlow Semi Condensed" w:eastAsia="Barlow Semi Condensed" w:hAnsi="Barlow Semi Condensed"/>
          <w:b/>
          <w:bCs/>
          <w:sz w:val="24"/>
          <w:szCs w:val="24"/>
        </w:rPr>
        <w:t xml:space="preserve">244 · Le sedi multilaterali.</w:t>
      </w:r>
      <w:r>
        <w:rPr>
          <w:rFonts w:ascii="Barlow Semi Condensed" w:cs="Barlow Semi Condensed" w:eastAsia="Barlow Semi Condensed" w:hAnsi="Barlow Semi Condensed"/>
          <w:sz w:val="24"/>
          <w:szCs w:val="24"/>
        </w:rPr>
        <w:t xml:space="preserve"> Ciò che di documentale può giacere presso organismi internazionali dell'epoca si censisce con istanze mirate: anche il «nulla risulta» multilaterale è una scheda.</w:t>
      </w:r>
    </w:p>
    <w:p>
      <w:pPr>
        <w:spacing w:after="120" w:line="276"/>
        <w:jc w:val="both"/>
      </w:pPr>
      <w:r>
        <w:rPr>
          <w:rFonts w:ascii="Barlow Semi Condensed" w:cs="Barlow Semi Condensed" w:eastAsia="Barlow Semi Condensed" w:hAnsi="Barlow Semi Condensed"/>
          <w:b/>
          <w:bCs/>
          <w:sz w:val="24"/>
          <w:szCs w:val="24"/>
        </w:rPr>
        <w:t xml:space="preserve">245 · La cooperazione scientifica.</w:t>
      </w:r>
      <w:r>
        <w:rPr>
          <w:rFonts w:ascii="Barlow Semi Condensed" w:cs="Barlow Semi Condensed" w:eastAsia="Barlow Semi Condensed" w:hAnsi="Barlow Semi Condensed"/>
          <w:sz w:val="24"/>
          <w:szCs w:val="24"/>
        </w:rPr>
        <w:t xml:space="preserve"> Le comparazioni balistiche e genetiche con banche dati estere passano per i canali di cooperazione di polizia: gli atti si chiedono nelle forme, e i limiti giuridici si verbalizzano come ogni altro esito.</w:t>
      </w:r>
    </w:p>
    <w:p>
      <w:pPr>
        <w:spacing w:after="120" w:line="276"/>
        <w:jc w:val="both"/>
      </w:pPr>
      <w:r>
        <w:rPr>
          <w:rFonts w:ascii="Barlow Semi Condensed" w:cs="Barlow Semi Condensed" w:eastAsia="Barlow Semi Condensed" w:hAnsi="Barlow Semi Condensed"/>
          <w:b/>
          <w:bCs/>
          <w:sz w:val="24"/>
          <w:szCs w:val="24"/>
        </w:rPr>
        <w:t xml:space="preserve">246 · Il precedente come leva.</w:t>
      </w:r>
      <w:r>
        <w:rPr>
          <w:rFonts w:ascii="Barlow Semi Condensed" w:cs="Barlow Semi Condensed" w:eastAsia="Barlow Semi Condensed" w:hAnsi="Barlow Semi Condensed"/>
          <w:sz w:val="24"/>
          <w:szCs w:val="24"/>
        </w:rPr>
        <w:t xml:space="preserve"> Ogni consegna, deposizione o rilascio ottenuto altrove per casi analoghi si scheda come precedente: la prassi internazionale è un giacimento argomentativo per le istanze del caso.</w:t>
      </w:r>
    </w:p>
    <w:p>
      <w:pPr>
        <w:spacing w:after="120" w:line="276"/>
        <w:jc w:val="both"/>
      </w:pPr>
      <w:r>
        <w:rPr>
          <w:rFonts w:ascii="Barlow Semi Condensed" w:cs="Barlow Semi Condensed" w:eastAsia="Barlow Semi Condensed" w:hAnsi="Barlow Semi Condensed"/>
          <w:b/>
          <w:bCs/>
          <w:sz w:val="24"/>
          <w:szCs w:val="24"/>
        </w:rPr>
        <w:t xml:space="preserve">247 · La reciprocità.</w:t>
      </w:r>
      <w:r>
        <w:rPr>
          <w:rFonts w:ascii="Barlow Semi Condensed" w:cs="Barlow Semi Condensed" w:eastAsia="Barlow Semi Condensed" w:hAnsi="Barlow Semi Condensed"/>
          <w:sz w:val="24"/>
          <w:szCs w:val="24"/>
        </w:rPr>
        <w:t xml:space="preserve"> L'Italia risponde alle richieste altrui sul proprio quarantennio con la stessa lealtà documentale che chiede: la credibilità del nuovo caso all'estero è un asset istruttorio.</w:t>
      </w:r>
    </w:p>
    <w:p>
      <w:pPr>
        <w:spacing w:after="120" w:line="276"/>
        <w:jc w:val="both"/>
      </w:pPr>
      <w:r>
        <w:rPr>
          <w:rFonts w:ascii="Barlow Semi Condensed" w:cs="Barlow Semi Condensed" w:eastAsia="Barlow Semi Condensed" w:hAnsi="Barlow Semi Condensed"/>
          <w:b/>
          <w:bCs/>
          <w:sz w:val="24"/>
          <w:szCs w:val="24"/>
        </w:rPr>
        <w:t xml:space="preserve">248 · Il registro linguistico.</w:t>
      </w:r>
      <w:r>
        <w:rPr>
          <w:rFonts w:ascii="Barlow Semi Condensed" w:cs="Barlow Semi Condensed" w:eastAsia="Barlow Semi Condensed" w:hAnsi="Barlow Semi Condensed"/>
          <w:sz w:val="24"/>
          <w:szCs w:val="24"/>
        </w:rPr>
        <w:t xml:space="preserve"> Ogni istanza internazionale si redige nella lingua della sede e nel suo vocabolario giuridico: metà dei dinieghi storici sono dinieghi di traduzione.</w:t>
      </w:r>
    </w:p>
    <w:p>
      <w:pPr>
        <w:spacing w:after="120" w:line="276"/>
        <w:jc w:val="both"/>
      </w:pPr>
      <w:r>
        <w:rPr>
          <w:rFonts w:ascii="Barlow Semi Condensed" w:cs="Barlow Semi Condensed" w:eastAsia="Barlow Semi Condensed" w:hAnsi="Barlow Semi Condensed"/>
          <w:b/>
          <w:bCs/>
          <w:sz w:val="24"/>
          <w:szCs w:val="24"/>
        </w:rPr>
        <w:t xml:space="preserve">249 · L'errore da evitare.</w:t>
      </w:r>
      <w:r>
        <w:rPr>
          <w:rFonts w:ascii="Barlow Semi Condensed" w:cs="Barlow Semi Condensed" w:eastAsia="Barlow Semi Condensed" w:hAnsi="Barlow Semi Condensed"/>
          <w:sz w:val="24"/>
          <w:szCs w:val="24"/>
        </w:rPr>
        <w:t xml:space="preserve"> Trasformare il versante internazionale in geopolitica narrativa: qui si chiedono carte e deposizioni a Stati sovrani, atto per atto; le letture di sistema restano al grado C, fuori dalle istanze.</w:t>
      </w:r>
    </w:p>
    <w:p>
      <w:pPr>
        <w:spacing w:after="120" w:line="276"/>
        <w:jc w:val="both"/>
      </w:pPr>
      <w:r>
        <w:rPr>
          <w:rFonts w:ascii="Barlow Semi Condensed" w:cs="Barlow Semi Condensed" w:eastAsia="Barlow Semi Condensed" w:hAnsi="Barlow Semi Condensed"/>
          <w:b/>
          <w:bCs/>
          <w:sz w:val="24"/>
          <w:szCs w:val="24"/>
        </w:rPr>
        <w:t xml:space="preserve">250 · Il criterio della serie.</w:t>
      </w:r>
      <w:r>
        <w:rPr>
          <w:rFonts w:ascii="Barlow Semi Condensed" w:cs="Barlow Semi Condensed" w:eastAsia="Barlow Semi Condensed" w:hAnsi="Barlow Semi Condensed"/>
          <w:sz w:val="24"/>
          <w:szCs w:val="24"/>
        </w:rPr>
        <w:t xml:space="preserve"> Ogni pendenza chiude con un documento — la consegna, la deposizione, il rilascio, o il diniego motivato — e la tavola del blocco 236 è aggiornata e pubblica: il caso sa sempre, in ogni istante, che cosa il mondo gli deve ancora.</w:t>
      </w:r>
    </w:p>
    <w:p>
      <w:pPr>
        <w:pStyle w:val="Heading2"/>
        <w:spacing w:after="100" w:before="200"/>
      </w:pPr>
      <w:r>
        <w:rPr>
          <w:rFonts w:ascii="Barlow Semi Condensed" w:cs="Barlow Semi Condensed" w:eastAsia="Barlow Semi Condensed" w:hAnsi="Barlow Semi Condensed"/>
          <w:sz w:val="24"/>
          <w:szCs w:val="24"/>
        </w:rPr>
        <w:t xml:space="preserve">Serie nona — Gli errori storici e i loro antidoti (blocchi 251-280)</w:t>
      </w:r>
    </w:p>
    <w:p>
      <w:pPr>
        <w:spacing w:after="120" w:line="276"/>
        <w:jc w:val="both"/>
      </w:pPr>
      <w:r>
        <w:rPr>
          <w:rFonts w:ascii="Barlow Semi Condensed" w:cs="Barlow Semi Condensed" w:eastAsia="Barlow Semi Condensed" w:hAnsi="Barlow Semi Condensed"/>
          <w:i/>
          <w:iCs/>
          <w:sz w:val="24"/>
          <w:szCs w:val="24"/>
        </w:rPr>
        <w:t xml:space="preserve">Statuto della serie: la memoria degli sbagli. Trent'anni di istruttorie e quarant'anni di pubblicistica hanno prodotto un catalogo di errori di metodo; la serie li fissa uno per uno, ciascuno col suo antidoto operativo.</w:t>
      </w:r>
    </w:p>
    <w:p>
      <w:pPr>
        <w:spacing w:after="120" w:line="276"/>
        <w:jc w:val="both"/>
      </w:pPr>
      <w:r>
        <w:rPr>
          <w:rFonts w:ascii="Barlow Semi Condensed" w:cs="Barlow Semi Condensed" w:eastAsia="Barlow Semi Condensed" w:hAnsi="Barlow Semi Condensed"/>
          <w:b/>
          <w:bCs/>
          <w:sz w:val="24"/>
          <w:szCs w:val="24"/>
        </w:rPr>
        <w:t xml:space="preserve">251 · L'errore della lettera.</w:t>
      </w:r>
      <w:r>
        <w:rPr>
          <w:rFonts w:ascii="Barlow Semi Condensed" w:cs="Barlow Semi Condensed" w:eastAsia="Barlow Semi Condensed" w:hAnsi="Barlow Semi Condensed"/>
          <w:sz w:val="24"/>
          <w:szCs w:val="24"/>
        </w:rPr>
        <w:t xml:space="preserve"> La perquisizione andò al </w:t>
      </w:r>
      <w:r>
        <w:rPr>
          <w:rFonts w:ascii="Barlow Semi Condensed" w:cs="Barlow Semi Condensed" w:eastAsia="Barlow Semi Condensed" w:hAnsi="Barlow Semi Condensed"/>
          <w:i/>
          <w:iCs/>
          <w:sz w:val="24"/>
          <w:szCs w:val="24"/>
        </w:rPr>
        <w:t xml:space="preserve">paese</w:t>
      </w:r>
      <w:r>
        <w:rPr>
          <w:rFonts w:ascii="Barlow Semi Condensed" w:cs="Barlow Semi Condensed" w:eastAsia="Barlow Semi Condensed" w:hAnsi="Barlow Semi Condensed"/>
          <w:sz w:val="24"/>
          <w:szCs w:val="24"/>
        </w:rPr>
        <w:t xml:space="preserve"> di Gradoli: lo smistamento eseguì la lettera dell'input senza verificarne le alternative. Antidoto: ogni segnalazione toponomastica si espande d'ufficio a tutte le omonimie (blocco 100 lo documenta a ritroso; il protocollo lo impone in avanti).</w:t>
      </w:r>
    </w:p>
    <w:p>
      <w:pPr>
        <w:spacing w:after="120" w:line="276"/>
        <w:jc w:val="both"/>
      </w:pPr>
      <w:r>
        <w:rPr>
          <w:rFonts w:ascii="Barlow Semi Condensed" w:cs="Barlow Semi Condensed" w:eastAsia="Barlow Semi Condensed" w:hAnsi="Barlow Semi Condensed"/>
          <w:b/>
          <w:bCs/>
          <w:sz w:val="24"/>
          <w:szCs w:val="24"/>
        </w:rPr>
        <w:t xml:space="preserve">252 · L'errore del campanello.</w:t>
      </w:r>
      <w:r>
        <w:rPr>
          <w:rFonts w:ascii="Barlow Semi Condensed" w:cs="Barlow Semi Condensed" w:eastAsia="Barlow Semi Condensed" w:hAnsi="Barlow Semi Condensed"/>
          <w:sz w:val="24"/>
          <w:szCs w:val="24"/>
        </w:rPr>
        <w:t xml:space="preserve"> Un controllo che si ferma alla mancata risposta non è un controllo: è un rinvio non verbalizzato. Antidoto: ogni atto di verifica ha esito trinario — positivo, negativo, </w:t>
      </w:r>
      <w:r>
        <w:rPr>
          <w:rFonts w:ascii="Barlow Semi Condensed" w:cs="Barlow Semi Condensed" w:eastAsia="Barlow Semi Condensed" w:hAnsi="Barlow Semi Condensed"/>
          <w:i/>
          <w:iCs/>
          <w:sz w:val="24"/>
          <w:szCs w:val="24"/>
        </w:rPr>
        <w:t xml:space="preserve">non eseguito</w:t>
      </w:r>
      <w:r>
        <w:rPr>
          <w:rFonts w:ascii="Barlow Semi Condensed" w:cs="Barlow Semi Condensed" w:eastAsia="Barlow Semi Condensed" w:hAnsi="Barlow Semi Condensed"/>
          <w:sz w:val="24"/>
          <w:szCs w:val="24"/>
        </w:rPr>
        <w:t xml:space="preserve"> — e il terzo si protocolla come tale.</w:t>
      </w:r>
    </w:p>
    <w:p>
      <w:pPr>
        <w:spacing w:after="120" w:line="276"/>
        <w:jc w:val="both"/>
      </w:pPr>
      <w:r>
        <w:rPr>
          <w:rFonts w:ascii="Barlow Semi Condensed" w:cs="Barlow Semi Condensed" w:eastAsia="Barlow Semi Condensed" w:hAnsi="Barlow Semi Condensed"/>
          <w:b/>
          <w:bCs/>
          <w:sz w:val="24"/>
          <w:szCs w:val="24"/>
        </w:rPr>
        <w:t xml:space="preserve">253 · L'errore del testimone-oracolo.</w:t>
      </w:r>
      <w:r>
        <w:rPr>
          <w:rFonts w:ascii="Barlow Semi Condensed" w:cs="Barlow Semi Condensed" w:eastAsia="Barlow Semi Condensed" w:hAnsi="Barlow Semi Condensed"/>
          <w:sz w:val="24"/>
          <w:szCs w:val="24"/>
        </w:rPr>
        <w:t xml:space="preserve"> Il caso Marini: una corroborazione fisica assunta sulla parola per decenni. Antidoto: blocco 9 — la corroborazione si verifica prima di fondare, e ogni teste-chiave ha la sua scheda di riscontri materiali.</w:t>
      </w:r>
    </w:p>
    <w:p>
      <w:pPr>
        <w:spacing w:after="120" w:line="276"/>
        <w:jc w:val="both"/>
      </w:pPr>
      <w:r>
        <w:rPr>
          <w:rFonts w:ascii="Barlow Semi Condensed" w:cs="Barlow Semi Condensed" w:eastAsia="Barlow Semi Condensed" w:hAnsi="Barlow Semi Condensed"/>
          <w:b/>
          <w:bCs/>
          <w:sz w:val="24"/>
          <w:szCs w:val="24"/>
        </w:rPr>
        <w:t xml:space="preserve">254 · L'errore dell'esperto squalificante.</w:t>
      </w:r>
      <w:r>
        <w:rPr>
          <w:rFonts w:ascii="Barlow Semi Condensed" w:cs="Barlow Semi Condensed" w:eastAsia="Barlow Semi Condensed" w:hAnsi="Barlow Semi Condensed"/>
          <w:sz w:val="24"/>
          <w:szCs w:val="24"/>
        </w:rPr>
        <w:t xml:space="preserve"> La qualificazione psichiatrica delle lettere operò da filtro politico su una fonte primaria. Antidoto: nessuna fonte si squalifica per via d'autorità — si grada per via documentale, e chi squalifica firma.</w:t>
      </w:r>
    </w:p>
    <w:p>
      <w:pPr>
        <w:spacing w:after="120" w:line="276"/>
        <w:jc w:val="both"/>
      </w:pPr>
      <w:r>
        <w:rPr>
          <w:rFonts w:ascii="Barlow Semi Condensed" w:cs="Barlow Semi Condensed" w:eastAsia="Barlow Semi Condensed" w:hAnsi="Barlow Semi Condensed"/>
          <w:b/>
          <w:bCs/>
          <w:sz w:val="24"/>
          <w:szCs w:val="24"/>
        </w:rPr>
        <w:t xml:space="preserve">255 · L'errore del pentito non riscontrato.</w:t>
      </w:r>
      <w:r>
        <w:rPr>
          <w:rFonts w:ascii="Barlow Semi Condensed" w:cs="Barlow Semi Condensed" w:eastAsia="Barlow Semi Condensed" w:hAnsi="Barlow Semi Condensed"/>
          <w:sz w:val="24"/>
          <w:szCs w:val="24"/>
        </w:rPr>
        <w:t xml:space="preserve"> Stagioni istruttorie fondate su dichiarazioni poi cadute — con un innocente detenuto e risarcito. Antidoto: la dichiarazione di chiunque è ipotesi da riscontrare, mai architrave; l'affaire Mulinaris è il monito permanente.</w:t>
      </w:r>
    </w:p>
    <w:p>
      <w:pPr>
        <w:spacing w:after="120" w:line="276"/>
        <w:jc w:val="both"/>
      </w:pPr>
      <w:r>
        <w:rPr>
          <w:rFonts w:ascii="Barlow Semi Condensed" w:cs="Barlow Semi Condensed" w:eastAsia="Barlow Semi Condensed" w:hAnsi="Barlow Semi Condensed"/>
          <w:b/>
          <w:bCs/>
          <w:sz w:val="24"/>
          <w:szCs w:val="24"/>
        </w:rPr>
        <w:t xml:space="preserve">256 · L'errore del memoriale-oracolo.</w:t>
      </w:r>
      <w:r>
        <w:rPr>
          <w:rFonts w:ascii="Barlow Semi Condensed" w:cs="Barlow Semi Condensed" w:eastAsia="Barlow Semi Condensed" w:hAnsi="Barlow Semi Condensed"/>
          <w:sz w:val="24"/>
          <w:szCs w:val="24"/>
        </w:rPr>
        <w:t xml:space="preserve"> Il testo negoziato trattato per anni come confessione integrale. Antidoto: ogni fonte narrativa interna porta scritta la propria genesi accanto al contenuto.</w:t>
      </w:r>
    </w:p>
    <w:p>
      <w:pPr>
        <w:spacing w:after="120" w:line="276"/>
        <w:jc w:val="both"/>
      </w:pPr>
      <w:r>
        <w:rPr>
          <w:rFonts w:ascii="Barlow Semi Condensed" w:cs="Barlow Semi Condensed" w:eastAsia="Barlow Semi Condensed" w:hAnsi="Barlow Semi Condensed"/>
          <w:b/>
          <w:bCs/>
          <w:sz w:val="24"/>
          <w:szCs w:val="24"/>
        </w:rPr>
        <w:t xml:space="preserve">257 · L'errore della graduatoria.</w:t>
      </w:r>
      <w:r>
        <w:rPr>
          <w:rFonts w:ascii="Barlow Semi Condensed" w:cs="Barlow Semi Condensed" w:eastAsia="Barlow Semi Condensed" w:hAnsi="Barlow Semi Condensed"/>
          <w:sz w:val="24"/>
          <w:szCs w:val="24"/>
        </w:rPr>
        <w:t xml:space="preserve"> Le classifiche di colpevoli — giornalistiche o istruttorie — che precedono le prove. Antidoto: il registro chiuso del blocco 3, e la Fase quinta pubblica del corpus come modello di ciò che si fa invece.</w:t>
      </w:r>
    </w:p>
    <w:p>
      <w:pPr>
        <w:spacing w:after="120" w:line="276"/>
        <w:jc w:val="both"/>
      </w:pPr>
      <w:r>
        <w:rPr>
          <w:rFonts w:ascii="Barlow Semi Condensed" w:cs="Barlow Semi Condensed" w:eastAsia="Barlow Semi Condensed" w:hAnsi="Barlow Semi Condensed"/>
          <w:b/>
          <w:bCs/>
          <w:sz w:val="24"/>
          <w:szCs w:val="24"/>
        </w:rPr>
        <w:t xml:space="preserve">258 · L'errore del gruppo.</w:t>
      </w:r>
      <w:r>
        <w:rPr>
          <w:rFonts w:ascii="Barlow Semi Condensed" w:cs="Barlow Semi Condensed" w:eastAsia="Barlow Semi Condensed" w:hAnsi="Barlow Semi Condensed"/>
          <w:sz w:val="24"/>
          <w:szCs w:val="24"/>
        </w:rPr>
        <w:t xml:space="preserve"> «Furono i servizi», «fu la loggia», «fu lo Stato»: la colpa collettiva che dissolve le condotte. Antidoto: blocchi 5 e 18 — atti e omissioni di persone e uffici, uno per uno, o niente.</w:t>
      </w:r>
    </w:p>
    <w:p>
      <w:pPr>
        <w:spacing w:after="120" w:line="276"/>
        <w:jc w:val="both"/>
      </w:pPr>
      <w:r>
        <w:rPr>
          <w:rFonts w:ascii="Barlow Semi Condensed" w:cs="Barlow Semi Condensed" w:eastAsia="Barlow Semi Condensed" w:hAnsi="Barlow Semi Condensed"/>
          <w:b/>
          <w:bCs/>
          <w:sz w:val="24"/>
          <w:szCs w:val="24"/>
        </w:rPr>
        <w:t xml:space="preserve">259 · L'errore del buco riempito.</w:t>
      </w:r>
      <w:r>
        <w:rPr>
          <w:rFonts w:ascii="Barlow Semi Condensed" w:cs="Barlow Semi Condensed" w:eastAsia="Barlow Semi Condensed" w:hAnsi="Barlow Semi Condensed"/>
          <w:sz w:val="24"/>
          <w:szCs w:val="24"/>
        </w:rPr>
        <w:t xml:space="preserve"> Ogni lacuna documentale colmata con la narrazione più suggestiva. Antidoto: la regola dei buchi — si misura, si dichiara, si cerca l'arco documentale; il buco non parla.</w:t>
      </w:r>
    </w:p>
    <w:p>
      <w:pPr>
        <w:spacing w:after="120" w:line="276"/>
        <w:jc w:val="both"/>
      </w:pPr>
      <w:r>
        <w:rPr>
          <w:rFonts w:ascii="Barlow Semi Condensed" w:cs="Barlow Semi Condensed" w:eastAsia="Barlow Semi Condensed" w:hAnsi="Barlow Semi Condensed"/>
          <w:b/>
          <w:bCs/>
          <w:sz w:val="24"/>
          <w:szCs w:val="24"/>
        </w:rPr>
        <w:t xml:space="preserve">260 · L'errore della coincidenza promossa.</w:t>
      </w:r>
      <w:r>
        <w:rPr>
          <w:rFonts w:ascii="Barlow Semi Condensed" w:cs="Barlow Semi Condensed" w:eastAsia="Barlow Semi Condensed" w:hAnsi="Barlow Semi Condensed"/>
          <w:sz w:val="24"/>
          <w:szCs w:val="24"/>
        </w:rPr>
        <w:t xml:space="preserve"> Il triplo 18 aprile, la via e il paese, il nome sul piattino: coincidenze trattate come firme. Antidoto: la contemporaneità non è nesso; ogni coincidenza entra in matrice come fatto da spiegare, con le sue H alternative.</w:t>
      </w:r>
    </w:p>
    <w:p>
      <w:pPr>
        <w:spacing w:after="120" w:line="276"/>
        <w:jc w:val="both"/>
      </w:pPr>
      <w:r>
        <w:rPr>
          <w:rFonts w:ascii="Barlow Semi Condensed" w:cs="Barlow Semi Condensed" w:eastAsia="Barlow Semi Condensed" w:hAnsi="Barlow Semi Condensed"/>
          <w:b/>
          <w:bCs/>
          <w:sz w:val="24"/>
          <w:szCs w:val="24"/>
        </w:rPr>
        <w:t xml:space="preserve">261 · L'errore della retrodatazione.</w:t>
      </w:r>
      <w:r>
        <w:rPr>
          <w:rFonts w:ascii="Barlow Semi Condensed" w:cs="Barlow Semi Condensed" w:eastAsia="Barlow Semi Condensed" w:hAnsi="Barlow Semi Condensed"/>
          <w:sz w:val="24"/>
          <w:szCs w:val="24"/>
        </w:rPr>
        <w:t xml:space="preserve"> Gli assetti del 1979-86 proiettati sul 1978 per fare del condominio un teorema. Antidoto: blocco 14 — la cronologia prima dell'interpretazione, la tavola datata prima della lettura.</w:t>
      </w:r>
    </w:p>
    <w:p>
      <w:pPr>
        <w:spacing w:after="120" w:line="276"/>
        <w:jc w:val="both"/>
      </w:pPr>
      <w:r>
        <w:rPr>
          <w:rFonts w:ascii="Barlow Semi Condensed" w:cs="Barlow Semi Condensed" w:eastAsia="Barlow Semi Condensed" w:hAnsi="Barlow Semi Condensed"/>
          <w:b/>
          <w:bCs/>
          <w:sz w:val="24"/>
          <w:szCs w:val="24"/>
        </w:rPr>
        <w:t xml:space="preserve">262 · L'errore dell'assolto sospettato.</w:t>
      </w:r>
      <w:r>
        <w:rPr>
          <w:rFonts w:ascii="Barlow Semi Condensed" w:cs="Barlow Semi Condensed" w:eastAsia="Barlow Semi Condensed" w:hAnsi="Barlow Semi Condensed"/>
          <w:sz w:val="24"/>
          <w:szCs w:val="24"/>
        </w:rPr>
        <w:t xml:space="preserve"> Il «fu assolto, ma» che insegue i prosciolti per decenni. Antidoto: blocco 16 — l'assoluzione è un esito, non un indizio; chi la tratta da indizio esce dal metodo.</w:t>
      </w:r>
    </w:p>
    <w:p>
      <w:pPr>
        <w:spacing w:after="120" w:line="276"/>
        <w:jc w:val="both"/>
      </w:pPr>
      <w:r>
        <w:rPr>
          <w:rFonts w:ascii="Barlow Semi Condensed" w:cs="Barlow Semi Condensed" w:eastAsia="Barlow Semi Condensed" w:hAnsi="Barlow Semi Condensed"/>
          <w:b/>
          <w:bCs/>
          <w:sz w:val="24"/>
          <w:szCs w:val="24"/>
        </w:rPr>
        <w:t xml:space="preserve">263 · L'errore del reperto maneggiato.</w:t>
      </w:r>
      <w:r>
        <w:rPr>
          <w:rFonts w:ascii="Barlow Semi Condensed" w:cs="Barlow Semi Condensed" w:eastAsia="Barlow Semi Condensed" w:hAnsi="Barlow Semi Condensed"/>
          <w:sz w:val="24"/>
          <w:szCs w:val="24"/>
        </w:rPr>
        <w:t xml:space="preserve"> Perizie su reperti a custodia ignota, presentate con certezze piene. Antidoto: blocchi 46-48 — la catena prima della scienza, il grado condizionato alla custodia.</w:t>
      </w:r>
    </w:p>
    <w:p>
      <w:pPr>
        <w:spacing w:after="120" w:line="276"/>
        <w:jc w:val="both"/>
      </w:pPr>
      <w:r>
        <w:rPr>
          <w:rFonts w:ascii="Barlow Semi Condensed" w:cs="Barlow Semi Condensed" w:eastAsia="Barlow Semi Condensed" w:hAnsi="Barlow Semi Condensed"/>
          <w:b/>
          <w:bCs/>
          <w:sz w:val="24"/>
          <w:szCs w:val="24"/>
        </w:rPr>
        <w:t xml:space="preserve">264 · L'errore della perizia tifosa.</w:t>
      </w:r>
      <w:r>
        <w:rPr>
          <w:rFonts w:ascii="Barlow Semi Condensed" w:cs="Barlow Semi Condensed" w:eastAsia="Barlow Semi Condensed" w:hAnsi="Barlow Semi Condensed"/>
          <w:sz w:val="24"/>
          <w:szCs w:val="24"/>
        </w:rPr>
        <w:t xml:space="preserve"> Consulenze di parte nate per confermare la tesi del committente. Antidoto: blocchi 73-74 — cieco e replica; e il conflitto d'interessi del blocco 27 anche per i tecnici.</w:t>
      </w:r>
    </w:p>
    <w:p>
      <w:pPr>
        <w:spacing w:after="120" w:line="276"/>
        <w:jc w:val="both"/>
      </w:pPr>
      <w:r>
        <w:rPr>
          <w:rFonts w:ascii="Barlow Semi Condensed" w:cs="Barlow Semi Condensed" w:eastAsia="Barlow Semi Condensed" w:hAnsi="Barlow Semi Condensed"/>
          <w:b/>
          <w:bCs/>
          <w:sz w:val="24"/>
          <w:szCs w:val="24"/>
        </w:rPr>
        <w:t xml:space="preserve">265 · L'errore dell'audizione-palcoscenico.</w:t>
      </w:r>
      <w:r>
        <w:rPr>
          <w:rFonts w:ascii="Barlow Semi Condensed" w:cs="Barlow Semi Condensed" w:eastAsia="Barlow Semi Condensed" w:hAnsi="Barlow Semi Condensed"/>
          <w:sz w:val="24"/>
          <w:szCs w:val="24"/>
        </w:rPr>
        <w:t xml:space="preserve"> Testimoni celebri auditi per la cronaca, non per il riscontro. Antidoto: ogni escussione discende da un quesito di matrice e produce riscontri documentali, o non si fa.</w:t>
      </w:r>
    </w:p>
    <w:p>
      <w:pPr>
        <w:spacing w:after="120" w:line="276"/>
        <w:jc w:val="both"/>
      </w:pPr>
      <w:r>
        <w:rPr>
          <w:rFonts w:ascii="Barlow Semi Condensed" w:cs="Barlow Semi Condensed" w:eastAsia="Barlow Semi Condensed" w:hAnsi="Barlow Semi Condensed"/>
          <w:b/>
          <w:bCs/>
          <w:sz w:val="24"/>
          <w:szCs w:val="24"/>
        </w:rPr>
        <w:t xml:space="preserve">266 · L'errore della fonte d'intelligence nuda.</w:t>
      </w:r>
      <w:r>
        <w:rPr>
          <w:rFonts w:ascii="Barlow Semi Condensed" w:cs="Barlow Semi Condensed" w:eastAsia="Barlow Semi Condensed" w:hAnsi="Barlow Semi Condensed"/>
          <w:sz w:val="24"/>
          <w:szCs w:val="24"/>
        </w:rPr>
        <w:t xml:space="preserve"> Note dei servizi — italiani o esteri — usate come fatti. Antidoto: la nota d'intelligence è una segnalazione con protocollo: entra nel flusso, si riscontra, si grada; non testimonia.</w:t>
      </w:r>
    </w:p>
    <w:p>
      <w:pPr>
        <w:spacing w:after="120" w:line="276"/>
        <w:jc w:val="both"/>
      </w:pPr>
      <w:r>
        <w:rPr>
          <w:rFonts w:ascii="Barlow Semi Condensed" w:cs="Barlow Semi Condensed" w:eastAsia="Barlow Semi Condensed" w:hAnsi="Barlow Semi Condensed"/>
          <w:b/>
          <w:bCs/>
          <w:sz w:val="24"/>
          <w:szCs w:val="24"/>
        </w:rPr>
        <w:t xml:space="preserve">267 · L'errore del documento citato e mai visto.</w:t>
      </w:r>
      <w:r>
        <w:rPr>
          <w:rFonts w:ascii="Barlow Semi Condensed" w:cs="Barlow Semi Condensed" w:eastAsia="Barlow Semi Condensed" w:hAnsi="Barlow Semi Condensed"/>
          <w:sz w:val="24"/>
          <w:szCs w:val="24"/>
        </w:rPr>
        <w:t xml:space="preserve"> Mezzo secolo di «risulterebbe da un appunto» senza segnatura. Antidoto: blocco 131 — o la segnatura, o la scheda «citato e non reperito»; il documento senza indirizzo non entra negli atti.</w:t>
      </w:r>
    </w:p>
    <w:p>
      <w:pPr>
        <w:spacing w:after="120" w:line="276"/>
        <w:jc w:val="both"/>
      </w:pPr>
      <w:r>
        <w:rPr>
          <w:rFonts w:ascii="Barlow Semi Condensed" w:cs="Barlow Semi Condensed" w:eastAsia="Barlow Semi Condensed" w:hAnsi="Barlow Semi Condensed"/>
          <w:b/>
          <w:bCs/>
          <w:sz w:val="24"/>
          <w:szCs w:val="24"/>
        </w:rPr>
        <w:t xml:space="preserve">268 · L'errore dell'annuncio.</w:t>
      </w:r>
      <w:r>
        <w:rPr>
          <w:rFonts w:ascii="Barlow Semi Condensed" w:cs="Barlow Semi Condensed" w:eastAsia="Barlow Semi Condensed" w:hAnsi="Barlow Semi Condensed"/>
          <w:sz w:val="24"/>
          <w:szCs w:val="24"/>
        </w:rPr>
        <w:t xml:space="preserve"> Le svolte annunciate in conferenza stampa e mai depositate. Antidoto: blocco 38 — prima il deposito, poi la parola; il grado stampato accanto a ogni annuncio.</w:t>
      </w:r>
    </w:p>
    <w:p>
      <w:pPr>
        <w:spacing w:after="120" w:line="276"/>
        <w:jc w:val="both"/>
      </w:pPr>
      <w:r>
        <w:rPr>
          <w:rFonts w:ascii="Barlow Semi Condensed" w:cs="Barlow Semi Condensed" w:eastAsia="Barlow Semi Condensed" w:hAnsi="Barlow Semi Condensed"/>
          <w:b/>
          <w:bCs/>
          <w:sz w:val="24"/>
          <w:szCs w:val="24"/>
        </w:rPr>
        <w:t xml:space="preserve">269 · L'errore della domanda sbagliata.</w:t>
      </w:r>
      <w:r>
        <w:rPr>
          <w:rFonts w:ascii="Barlow Semi Condensed" w:cs="Barlow Semi Condensed" w:eastAsia="Barlow Semi Condensed" w:hAnsi="Barlow Semi Condensed"/>
          <w:sz w:val="24"/>
          <w:szCs w:val="24"/>
        </w:rPr>
        <w:t xml:space="preserve"> «Chi c'era dietro?» come prima domanda, invece di «che cosa è documentato?». Antidoto: la sequenza obbligata del manuale — reperto, carta, matrice, e solo alla fine, se gli atti ve la portano, la persona.</w:t>
      </w:r>
    </w:p>
    <w:p>
      <w:pPr>
        <w:spacing w:after="120" w:line="276"/>
        <w:jc w:val="both"/>
      </w:pPr>
      <w:r>
        <w:rPr>
          <w:rFonts w:ascii="Barlow Semi Condensed" w:cs="Barlow Semi Condensed" w:eastAsia="Barlow Semi Condensed" w:hAnsi="Barlow Semi Condensed"/>
          <w:b/>
          <w:bCs/>
          <w:sz w:val="24"/>
          <w:szCs w:val="24"/>
        </w:rPr>
        <w:t xml:space="preserve">270 · L'errore del monopolio.</w:t>
      </w:r>
      <w:r>
        <w:rPr>
          <w:rFonts w:ascii="Barlow Semi Condensed" w:cs="Barlow Semi Condensed" w:eastAsia="Barlow Semi Condensed" w:hAnsi="Barlow Semi Condensed"/>
          <w:sz w:val="24"/>
          <w:szCs w:val="24"/>
        </w:rPr>
        <w:t xml:space="preserve"> Fondi e reperti trattati come feudo di un ufficio, di una commissione, di uno studioso. Antidoto: blocchi 28 e 130 — tracciabilità e accesso uguale; il caso non ha proprietari.</w:t>
      </w:r>
    </w:p>
    <w:p>
      <w:pPr>
        <w:spacing w:after="120" w:line="276"/>
        <w:jc w:val="both"/>
      </w:pPr>
      <w:r>
        <w:rPr>
          <w:rFonts w:ascii="Barlow Semi Condensed" w:cs="Barlow Semi Condensed" w:eastAsia="Barlow Semi Condensed" w:hAnsi="Barlow Semi Condensed"/>
          <w:b/>
          <w:bCs/>
          <w:sz w:val="24"/>
          <w:szCs w:val="24"/>
        </w:rPr>
        <w:t xml:space="preserve">271 · L'errore della fretta commemorativa.</w:t>
      </w:r>
      <w:r>
        <w:rPr>
          <w:rFonts w:ascii="Barlow Semi Condensed" w:cs="Barlow Semi Condensed" w:eastAsia="Barlow Semi Condensed" w:hAnsi="Barlow Semi Condensed"/>
          <w:sz w:val="24"/>
          <w:szCs w:val="24"/>
        </w:rPr>
        <w:t xml:space="preserve"> Le scadenze decennali che dettano il calendario istruttorio. Antidoto: il cronoprogramma della serie decima obbedisce alle urgenze biologiche e tecniche, mai agli anniversari.</w:t>
      </w:r>
    </w:p>
    <w:p>
      <w:pPr>
        <w:spacing w:after="120" w:line="276"/>
        <w:jc w:val="both"/>
      </w:pPr>
      <w:r>
        <w:rPr>
          <w:rFonts w:ascii="Barlow Semi Condensed" w:cs="Barlow Semi Condensed" w:eastAsia="Barlow Semi Condensed" w:hAnsi="Barlow Semi Condensed"/>
          <w:b/>
          <w:bCs/>
          <w:sz w:val="24"/>
          <w:szCs w:val="24"/>
        </w:rPr>
        <w:t xml:space="preserve">272 · L'errore dell'oblio selettivo.</w:t>
      </w:r>
      <w:r>
        <w:rPr>
          <w:rFonts w:ascii="Barlow Semi Condensed" w:cs="Barlow Semi Condensed" w:eastAsia="Barlow Semi Condensed" w:hAnsi="Barlow Semi Condensed"/>
          <w:sz w:val="24"/>
          <w:szCs w:val="24"/>
        </w:rPr>
        <w:t xml:space="preserve"> Le sei vittime della scorta ridotte a comparse del dramma politico. Antidoto: blocco 19 — ogni relazione dei cantieri apre coi loro nomi; la memoria è un capitolo degli atti, non una cerimonia.</w:t>
      </w:r>
    </w:p>
    <w:p>
      <w:pPr>
        <w:spacing w:after="120" w:line="276"/>
        <w:jc w:val="both"/>
      </w:pPr>
      <w:r>
        <w:rPr>
          <w:rFonts w:ascii="Barlow Semi Condensed" w:cs="Barlow Semi Condensed" w:eastAsia="Barlow Semi Condensed" w:hAnsi="Barlow Semi Condensed"/>
          <w:b/>
          <w:bCs/>
          <w:sz w:val="24"/>
          <w:szCs w:val="24"/>
        </w:rPr>
        <w:t xml:space="preserve">273 · L'errore del perimetro infinito.</w:t>
      </w:r>
      <w:r>
        <w:rPr>
          <w:rFonts w:ascii="Barlow Semi Condensed" w:cs="Barlow Semi Condensed" w:eastAsia="Barlow Semi Condensed" w:hAnsi="Barlow Semi Condensed"/>
          <w:sz w:val="24"/>
          <w:szCs w:val="24"/>
        </w:rPr>
        <w:t xml:space="preserve"> Il caso allargato fino a contenere ogni mistero d'Italia, e perciò insolubile. Antidoto: il perimetro del manuale — i quesiti della serie sesta e solo quelli; ogni allargamento esige una matrice nuova con evidenza discriminante possibile.</w:t>
      </w:r>
    </w:p>
    <w:p>
      <w:pPr>
        <w:spacing w:after="120" w:line="276"/>
        <w:jc w:val="both"/>
      </w:pPr>
      <w:r>
        <w:rPr>
          <w:rFonts w:ascii="Barlow Semi Condensed" w:cs="Barlow Semi Condensed" w:eastAsia="Barlow Semi Condensed" w:hAnsi="Barlow Semi Condensed"/>
          <w:b/>
          <w:bCs/>
          <w:sz w:val="24"/>
          <w:szCs w:val="24"/>
        </w:rPr>
        <w:t xml:space="preserve">274 · L'errore dell'archivio postumo.</w:t>
      </w:r>
      <w:r>
        <w:rPr>
          <w:rFonts w:ascii="Barlow Semi Condensed" w:cs="Barlow Semi Condensed" w:eastAsia="Barlow Semi Condensed" w:hAnsi="Barlow Semi Condensed"/>
          <w:sz w:val="24"/>
          <w:szCs w:val="24"/>
        </w:rPr>
        <w:t xml:space="preserve"> Le carte cercate quando i loro custodi naturali sono scomparsi. Antidoto: la serie quinta eseguita per prima; la tavola delle urgenze del blocco 169 come unico calendario inderogabile.</w:t>
      </w:r>
    </w:p>
    <w:p>
      <w:pPr>
        <w:spacing w:after="120" w:line="276"/>
        <w:jc w:val="both"/>
      </w:pPr>
      <w:r>
        <w:rPr>
          <w:rFonts w:ascii="Barlow Semi Condensed" w:cs="Barlow Semi Condensed" w:eastAsia="Barlow Semi Condensed" w:hAnsi="Barlow Semi Condensed"/>
          <w:b/>
          <w:bCs/>
          <w:sz w:val="24"/>
          <w:szCs w:val="24"/>
        </w:rPr>
        <w:t xml:space="preserve">275 · L'errore della tecnica-miracolo.</w:t>
      </w:r>
      <w:r>
        <w:rPr>
          <w:rFonts w:ascii="Barlow Semi Condensed" w:cs="Barlow Semi Condensed" w:eastAsia="Barlow Semi Condensed" w:hAnsi="Barlow Semi Condensed"/>
          <w:sz w:val="24"/>
          <w:szCs w:val="24"/>
        </w:rPr>
        <w:t xml:space="preserve"> Ogni nuova tecnologia annunciata come risolutiva del caso. Antidoto: blocco 49 — il quesito prima della tecnica; la tecnica senza matrice produce risultati senza domanda.</w:t>
      </w:r>
    </w:p>
    <w:p>
      <w:pPr>
        <w:spacing w:after="120" w:line="276"/>
        <w:jc w:val="both"/>
      </w:pPr>
      <w:r>
        <w:rPr>
          <w:rFonts w:ascii="Barlow Semi Condensed" w:cs="Barlow Semi Condensed" w:eastAsia="Barlow Semi Condensed" w:hAnsi="Barlow Semi Condensed"/>
          <w:b/>
          <w:bCs/>
          <w:sz w:val="24"/>
          <w:szCs w:val="24"/>
        </w:rPr>
        <w:t xml:space="preserve">276 · L'errore del silenzio sugli esiti negativi.</w:t>
      </w:r>
      <w:r>
        <w:rPr>
          <w:rFonts w:ascii="Barlow Semi Condensed" w:cs="Barlow Semi Condensed" w:eastAsia="Barlow Semi Condensed" w:hAnsi="Barlow Semi Condensed"/>
          <w:sz w:val="24"/>
          <w:szCs w:val="24"/>
        </w:rPr>
        <w:t xml:space="preserve"> Le comparazioni senza riscontro mai comunicate, che lasciano vivere leggende smentite. Antidoto: blocco 13 — l'esito negativo si pubblica con la stessa evidenza del positivo.</w:t>
      </w:r>
    </w:p>
    <w:p>
      <w:pPr>
        <w:spacing w:after="120" w:line="276"/>
        <w:jc w:val="both"/>
      </w:pPr>
      <w:r>
        <w:rPr>
          <w:rFonts w:ascii="Barlow Semi Condensed" w:cs="Barlow Semi Condensed" w:eastAsia="Barlow Semi Condensed" w:hAnsi="Barlow Semi Condensed"/>
          <w:b/>
          <w:bCs/>
          <w:sz w:val="24"/>
          <w:szCs w:val="24"/>
        </w:rPr>
        <w:t xml:space="preserve">277 · L'errore della doppia verità.</w:t>
      </w:r>
      <w:r>
        <w:rPr>
          <w:rFonts w:ascii="Barlow Semi Condensed" w:cs="Barlow Semi Condensed" w:eastAsia="Barlow Semi Condensed" w:hAnsi="Barlow Semi Condensed"/>
          <w:sz w:val="24"/>
          <w:szCs w:val="24"/>
        </w:rPr>
        <w:t xml:space="preserve"> Una verità per gli atti e una per le interviste. Antidoto: chi opera nei cantieri parla in pubblico solo nei limiti di ciò che ha depositato; la difformità esclude (blocco 167).</w:t>
      </w:r>
    </w:p>
    <w:p>
      <w:pPr>
        <w:spacing w:after="120" w:line="276"/>
        <w:jc w:val="both"/>
      </w:pPr>
      <w:r>
        <w:rPr>
          <w:rFonts w:ascii="Barlow Semi Condensed" w:cs="Barlow Semi Condensed" w:eastAsia="Barlow Semi Condensed" w:hAnsi="Barlow Semi Condensed"/>
          <w:b/>
          <w:bCs/>
          <w:sz w:val="24"/>
          <w:szCs w:val="24"/>
        </w:rPr>
        <w:t xml:space="preserve">278 · L'errore dell'eccezione di metodo.</w:t>
      </w:r>
      <w:r>
        <w:rPr>
          <w:rFonts w:ascii="Barlow Semi Condensed" w:cs="Barlow Semi Condensed" w:eastAsia="Barlow Semi Condensed" w:hAnsi="Barlow Semi Condensed"/>
          <w:sz w:val="24"/>
          <w:szCs w:val="24"/>
        </w:rPr>
        <w:t xml:space="preserve"> «Questo caso è speciale, qui le regole ordinarie non bastano»: la porta da cui è passato ogni abuso. Antidoto: il caso è speciale </w:t>
      </w:r>
      <w:r>
        <w:rPr>
          <w:rFonts w:ascii="Barlow Semi Condensed" w:cs="Barlow Semi Condensed" w:eastAsia="Barlow Semi Condensed" w:hAnsi="Barlow Semi Condensed"/>
          <w:i/>
          <w:iCs/>
          <w:sz w:val="24"/>
          <w:szCs w:val="24"/>
        </w:rPr>
        <w:t xml:space="preserve">perché</w:t>
      </w:r>
      <w:r>
        <w:rPr>
          <w:rFonts w:ascii="Barlow Semi Condensed" w:cs="Barlow Semi Condensed" w:eastAsia="Barlow Semi Condensed" w:hAnsi="Barlow Semi Condensed"/>
          <w:sz w:val="24"/>
          <w:szCs w:val="24"/>
        </w:rPr>
        <w:t xml:space="preserve"> esige le regole ordinarie applicate integralmente — è la lezione del filo del 1926, e non ammette deroghe.</w:t>
      </w:r>
    </w:p>
    <w:p>
      <w:pPr>
        <w:spacing w:after="120" w:line="276"/>
        <w:jc w:val="both"/>
      </w:pPr>
      <w:r>
        <w:rPr>
          <w:rFonts w:ascii="Barlow Semi Condensed" w:cs="Barlow Semi Condensed" w:eastAsia="Barlow Semi Condensed" w:hAnsi="Barlow Semi Condensed"/>
          <w:b/>
          <w:bCs/>
          <w:sz w:val="24"/>
          <w:szCs w:val="24"/>
        </w:rPr>
        <w:t xml:space="preserve">279 · L'errore di corpus.</w:t>
      </w:r>
      <w:r>
        <w:rPr>
          <w:rFonts w:ascii="Barlow Semi Condensed" w:cs="Barlow Semi Condensed" w:eastAsia="Barlow Semi Condensed" w:hAnsi="Barlow Semi Condensed"/>
          <w:sz w:val="24"/>
          <w:szCs w:val="24"/>
        </w:rPr>
        <w:t xml:space="preserve"> Anche questo lavoro sbaglia: la Nota di revisione n. 1 lo prova. Antidoto: il metodo si applica prima di tutto a se stessi — revisioni annotate, mai riscritture silenziose, e un registro pubblico delle correzioni.</w:t>
      </w:r>
    </w:p>
    <w:p>
      <w:pPr>
        <w:spacing w:after="120" w:line="276"/>
        <w:jc w:val="both"/>
      </w:pPr>
      <w:r>
        <w:rPr>
          <w:rFonts w:ascii="Barlow Semi Condensed" w:cs="Barlow Semi Condensed" w:eastAsia="Barlow Semi Condensed" w:hAnsi="Barlow Semi Condensed"/>
          <w:b/>
          <w:bCs/>
          <w:sz w:val="24"/>
          <w:szCs w:val="24"/>
        </w:rPr>
        <w:t xml:space="preserve">280 · Il catalogo aperto.</w:t>
      </w:r>
      <w:r>
        <w:rPr>
          <w:rFonts w:ascii="Barlow Semi Condensed" w:cs="Barlow Semi Condensed" w:eastAsia="Barlow Semi Condensed" w:hAnsi="Barlow Semi Condensed"/>
          <w:sz w:val="24"/>
          <w:szCs w:val="24"/>
        </w:rPr>
        <w:t xml:space="preserve"> La serie nona non si chiude: ogni errore nuovo commesso dal nuovo caso vi si aggiunge con numero e antidoto. Un'indagine che non tiene il registro dei propri sbagli li ripete.</w:t>
      </w:r>
    </w:p>
    <w:p>
      <w:pPr>
        <w:pStyle w:val="Heading2"/>
        <w:spacing w:after="100" w:before="200"/>
      </w:pPr>
      <w:r>
        <w:rPr>
          <w:rFonts w:ascii="Barlow Semi Condensed" w:cs="Barlow Semi Condensed" w:eastAsia="Barlow Semi Condensed" w:hAnsi="Barlow Semi Condensed"/>
          <w:sz w:val="24"/>
          <w:szCs w:val="24"/>
        </w:rPr>
        <w:t xml:space="preserve">Serie decima — Il cronoprogramma e la chiusura (blocchi 281-300)</w:t>
      </w:r>
    </w:p>
    <w:p>
      <w:pPr>
        <w:spacing w:after="120" w:line="276"/>
        <w:jc w:val="both"/>
      </w:pPr>
      <w:r>
        <w:rPr>
          <w:rFonts w:ascii="Barlow Semi Condensed" w:cs="Barlow Semi Condensed" w:eastAsia="Barlow Semi Condensed" w:hAnsi="Barlow Semi Condensed"/>
          <w:i/>
          <w:iCs/>
          <w:sz w:val="24"/>
          <w:szCs w:val="24"/>
        </w:rPr>
        <w:t xml:space="preserve">Statuto della serie: l'ordine di esecuzione. Le priorità, le dipendenze, le condizioni d'arresto e la forma della fine — perché anche una guerra senza fine ha atti che finiscono.</w:t>
      </w:r>
    </w:p>
    <w:p>
      <w:pPr>
        <w:spacing w:after="120" w:line="276"/>
        <w:jc w:val="both"/>
      </w:pPr>
      <w:r>
        <w:rPr>
          <w:rFonts w:ascii="Barlow Semi Condensed" w:cs="Barlow Semi Condensed" w:eastAsia="Barlow Semi Condensed" w:hAnsi="Barlow Semi Condensed"/>
          <w:b/>
          <w:bCs/>
          <w:sz w:val="24"/>
          <w:szCs w:val="24"/>
        </w:rPr>
        <w:t xml:space="preserve">281 · I primi novanta giorni.</w:t>
      </w:r>
      <w:r>
        <w:rPr>
          <w:rFonts w:ascii="Barlow Semi Condensed" w:cs="Barlow Semi Condensed" w:eastAsia="Barlow Semi Condensed" w:hAnsi="Barlow Semi Condensed"/>
          <w:sz w:val="24"/>
          <w:szCs w:val="24"/>
        </w:rPr>
        <w:t xml:space="preserve"> Quattro atti simultanei: l'inventario generale dei reperti (46), la tavola delle urgenze testimoniali con le prime escussioni (141, 169), il caricatore (57-58), l'istanza sul fascicolo FOIA identificato (117). Tutti eseguibili, nessuno dipendente da altri.</w:t>
      </w:r>
    </w:p>
    <w:p>
      <w:pPr>
        <w:spacing w:after="120" w:line="276"/>
        <w:jc w:val="both"/>
      </w:pPr>
      <w:r>
        <w:rPr>
          <w:rFonts w:ascii="Barlow Semi Condensed" w:cs="Barlow Semi Condensed" w:eastAsia="Barlow Semi Condensed" w:hAnsi="Barlow Semi Condensed"/>
          <w:b/>
          <w:bCs/>
          <w:sz w:val="24"/>
          <w:szCs w:val="24"/>
        </w:rPr>
        <w:t xml:space="preserve">282 · Il primo anno.</w:t>
      </w:r>
      <w:r>
        <w:rPr>
          <w:rFonts w:ascii="Barlow Semi Condensed" w:cs="Barlow Semi Condensed" w:eastAsia="Barlow Semi Condensed" w:hAnsi="Barlow Semi Condensed"/>
          <w:sz w:val="24"/>
          <w:szCs w:val="24"/>
        </w:rPr>
        <w:t xml:space="preserve"> La perizia balistica di sintesi (51-56), la catena documentale di Gradoli (100-103), il dossier Montalcini (104), le visure del condominio (108-109), l'avvio formale dello spoglio del fondo Renzi (92) e del registro delle segnalazioni sui tre calibri (217).</w:t>
      </w:r>
    </w:p>
    <w:p>
      <w:pPr>
        <w:spacing w:after="120" w:line="276"/>
        <w:jc w:val="both"/>
      </w:pPr>
      <w:r>
        <w:rPr>
          <w:rFonts w:ascii="Barlow Semi Condensed" w:cs="Barlow Semi Condensed" w:eastAsia="Barlow Semi Condensed" w:hAnsi="Barlow Semi Condensed"/>
          <w:b/>
          <w:bCs/>
          <w:sz w:val="24"/>
          <w:szCs w:val="24"/>
        </w:rPr>
        <w:t xml:space="preserve">283 · Il triennio.</w:t>
      </w:r>
      <w:r>
        <w:rPr>
          <w:rFonts w:ascii="Barlow Semi Condensed" w:cs="Barlow Semi Condensed" w:eastAsia="Barlow Semi Condensed" w:hAnsi="Barlow Semi Condensed"/>
          <w:sz w:val="24"/>
          <w:szCs w:val="24"/>
        </w:rPr>
        <w:t xml:space="preserve"> Il registro delle segnalazioni a regime (211-235), la tavola nominale dei comitati con date (105-106), la tavola rilasciato/trattenuto del traffico alleato (115-118), la filologia integrale del memoriale (67-68), il fondo dei cappellani (111).</w:t>
      </w:r>
    </w:p>
    <w:p>
      <w:pPr>
        <w:spacing w:after="120" w:line="276"/>
        <w:jc w:val="both"/>
      </w:pPr>
      <w:r>
        <w:rPr>
          <w:rFonts w:ascii="Barlow Semi Condensed" w:cs="Barlow Semi Condensed" w:eastAsia="Barlow Semi Condensed" w:hAnsi="Barlow Semi Condensed"/>
          <w:b/>
          <w:bCs/>
          <w:sz w:val="24"/>
          <w:szCs w:val="24"/>
        </w:rPr>
        <w:t xml:space="preserve">284 · Il tempo condizionato.</w:t>
      </w:r>
      <w:r>
        <w:rPr>
          <w:rFonts w:ascii="Barlow Semi Condensed" w:cs="Barlow Semi Condensed" w:eastAsia="Barlow Semi Condensed" w:hAnsi="Barlow Semi Condensed"/>
          <w:sz w:val="24"/>
          <w:szCs w:val="24"/>
        </w:rPr>
        <w:t xml:space="preserve"> Gli atti a scadenza altrui: l'apertura dell'AAV per Paolo VI (112-113), i mutamenti di quadro negli Stati ospiti (240), le tecniche future registrate (76). Si tengono pronti, non si aspettano in ozio.</w:t>
      </w:r>
    </w:p>
    <w:p>
      <w:pPr>
        <w:spacing w:after="120" w:line="276"/>
        <w:jc w:val="both"/>
      </w:pPr>
      <w:r>
        <w:rPr>
          <w:rFonts w:ascii="Barlow Semi Condensed" w:cs="Barlow Semi Condensed" w:eastAsia="Barlow Semi Condensed" w:hAnsi="Barlow Semi Condensed"/>
          <w:b/>
          <w:bCs/>
          <w:sz w:val="24"/>
          <w:szCs w:val="24"/>
        </w:rPr>
        <w:t xml:space="preserve">285 · Le dipendenze.</w:t>
      </w:r>
      <w:r>
        <w:rPr>
          <w:rFonts w:ascii="Barlow Semi Condensed" w:cs="Barlow Semi Condensed" w:eastAsia="Barlow Semi Condensed" w:hAnsi="Barlow Semi Condensed"/>
          <w:sz w:val="24"/>
          <w:szCs w:val="24"/>
        </w:rPr>
        <w:t xml:space="preserve"> Nessuna perizia prima dell'inventario; nessuna lettura del condominio prima delle date; nessun giudizio sul flusso prima del registro; nessuna matrice dichiarata decisa prima della sua evidenza. Il diagramma delle dipendenze è parte degli atti.</w:t>
      </w:r>
    </w:p>
    <w:p>
      <w:pPr>
        <w:spacing w:after="120" w:line="276"/>
        <w:jc w:val="both"/>
      </w:pPr>
      <w:r>
        <w:rPr>
          <w:rFonts w:ascii="Barlow Semi Condensed" w:cs="Barlow Semi Condensed" w:eastAsia="Barlow Semi Condensed" w:hAnsi="Barlow Semi Condensed"/>
          <w:b/>
          <w:bCs/>
          <w:sz w:val="24"/>
          <w:szCs w:val="24"/>
        </w:rPr>
        <w:t xml:space="preserve">286 · Le condizioni d'arresto.</w:t>
      </w:r>
      <w:r>
        <w:rPr>
          <w:rFonts w:ascii="Barlow Semi Condensed" w:cs="Barlow Semi Condensed" w:eastAsia="Barlow Semi Condensed" w:hAnsi="Barlow Semi Condensed"/>
          <w:sz w:val="24"/>
          <w:szCs w:val="24"/>
        </w:rPr>
        <w:t xml:space="preserve"> Ogni pista si ferma quando: l'evidenza discriminante è acquisita; o il fondo è esaurito con certificazione; o la catena di custodia non regge e lo si dichiara. Fermarsi bene è un atto, non una resa.</w:t>
      </w:r>
    </w:p>
    <w:p>
      <w:pPr>
        <w:spacing w:after="120" w:line="276"/>
        <w:jc w:val="both"/>
      </w:pPr>
      <w:r>
        <w:rPr>
          <w:rFonts w:ascii="Barlow Semi Condensed" w:cs="Barlow Semi Condensed" w:eastAsia="Barlow Semi Condensed" w:hAnsi="Barlow Semi Condensed"/>
          <w:b/>
          <w:bCs/>
          <w:sz w:val="24"/>
          <w:szCs w:val="24"/>
        </w:rPr>
        <w:t xml:space="preserve">287 · La revisione dei punteggi.</w:t>
      </w:r>
      <w:r>
        <w:rPr>
          <w:rFonts w:ascii="Barlow Semi Condensed" w:cs="Barlow Semi Condensed" w:eastAsia="Barlow Semi Condensed" w:hAnsi="Barlow Semi Condensed"/>
          <w:sz w:val="24"/>
          <w:szCs w:val="24"/>
        </w:rPr>
        <w:t xml:space="preserve"> La graduatoria delle piste si ricalcola a ogni trimestre con gli esiti acquisiti: il modello dichiarato (criteri e pesi) resta pubblico, e ogni variazione è motivata per iscritto.</w:t>
      </w:r>
    </w:p>
    <w:p>
      <w:pPr>
        <w:spacing w:after="120" w:line="276"/>
        <w:jc w:val="both"/>
      </w:pPr>
      <w:r>
        <w:rPr>
          <w:rFonts w:ascii="Barlow Semi Condensed" w:cs="Barlow Semi Condensed" w:eastAsia="Barlow Semi Condensed" w:hAnsi="Barlow Semi Condensed"/>
          <w:b/>
          <w:bCs/>
          <w:sz w:val="24"/>
          <w:szCs w:val="24"/>
        </w:rPr>
        <w:t xml:space="preserve">288 · Il registro delle correzioni.</w:t>
      </w:r>
      <w:r>
        <w:rPr>
          <w:rFonts w:ascii="Barlow Semi Condensed" w:cs="Barlow Semi Condensed" w:eastAsia="Barlow Semi Condensed" w:hAnsi="Barlow Semi Condensed"/>
          <w:sz w:val="24"/>
          <w:szCs w:val="24"/>
        </w:rPr>
        <w:t xml:space="preserve"> Le note di revisione — del corpus e del nuovo caso — si numerano e si pubblicano: la storia degli errori corretti è la credenziale del metodo, non la sua vergogna.</w:t>
      </w:r>
    </w:p>
    <w:p>
      <w:pPr>
        <w:spacing w:after="120" w:line="276"/>
        <w:jc w:val="both"/>
      </w:pPr>
      <w:r>
        <w:rPr>
          <w:rFonts w:ascii="Barlow Semi Condensed" w:cs="Barlow Semi Condensed" w:eastAsia="Barlow Semi Condensed" w:hAnsi="Barlow Semi Condensed"/>
          <w:b/>
          <w:bCs/>
          <w:sz w:val="24"/>
          <w:szCs w:val="24"/>
        </w:rPr>
        <w:t xml:space="preserve">289 · La relazione annuale unificata.</w:t>
      </w:r>
      <w:r>
        <w:rPr>
          <w:rFonts w:ascii="Barlow Semi Condensed" w:cs="Barlow Semi Condensed" w:eastAsia="Barlow Semi Condensed" w:hAnsi="Barlow Semi Condensed"/>
          <w:sz w:val="24"/>
          <w:szCs w:val="24"/>
        </w:rPr>
        <w:t xml:space="preserve"> I tre cantieri consegnano una relazione unica: atti compiuti, esiti per grado, negativi inclusi, spese, urgenze perse, matrici mosse. Una sola contabilità, pubblica.</w:t>
      </w:r>
    </w:p>
    <w:p>
      <w:pPr>
        <w:spacing w:after="120" w:line="276"/>
        <w:jc w:val="both"/>
      </w:pPr>
      <w:r>
        <w:rPr>
          <w:rFonts w:ascii="Barlow Semi Condensed" w:cs="Barlow Semi Condensed" w:eastAsia="Barlow Semi Condensed" w:hAnsi="Barlow Semi Condensed"/>
          <w:b/>
          <w:bCs/>
          <w:sz w:val="24"/>
          <w:szCs w:val="24"/>
        </w:rPr>
        <w:t xml:space="preserve">290 · Il passaggio di consegne.</w:t>
      </w:r>
      <w:r>
        <w:rPr>
          <w:rFonts w:ascii="Barlow Semi Condensed" w:cs="Barlow Semi Condensed" w:eastAsia="Barlow Semi Condensed" w:hAnsi="Barlow Semi Condensed"/>
          <w:sz w:val="24"/>
          <w:szCs w:val="24"/>
        </w:rPr>
        <w:t xml:space="preserve"> Ogni avvicendamento nei cantieri avviene per fascicolo di consegna scritto: il nuovo caso non deve dipendere da nessuna memoria individuale — è la sua differenza strutturale dal vecchio.</w:t>
      </w:r>
    </w:p>
    <w:p>
      <w:pPr>
        <w:spacing w:after="120" w:line="276"/>
        <w:jc w:val="both"/>
      </w:pPr>
      <w:r>
        <w:rPr>
          <w:rFonts w:ascii="Barlow Semi Condensed" w:cs="Barlow Semi Condensed" w:eastAsia="Barlow Semi Condensed" w:hAnsi="Barlow Semi Condensed"/>
          <w:b/>
          <w:bCs/>
          <w:sz w:val="24"/>
          <w:szCs w:val="24"/>
        </w:rPr>
        <w:t xml:space="preserve">291 · La soglia giudiziaria.</w:t>
      </w:r>
      <w:r>
        <w:rPr>
          <w:rFonts w:ascii="Barlow Semi Condensed" w:cs="Barlow Semi Condensed" w:eastAsia="Barlow Semi Condensed" w:hAnsi="Barlow Semi Condensed"/>
          <w:sz w:val="24"/>
          <w:szCs w:val="24"/>
        </w:rPr>
        <w:t xml:space="preserve"> Se un atto produce evidenza che tocchi persone, tutto si ferma e passa al fascicolo: il manuale non processa — consegna. La soglia è scritta perché nessuno la scopra da solo nel momento sbagliato.</w:t>
      </w:r>
    </w:p>
    <w:p>
      <w:pPr>
        <w:spacing w:after="120" w:line="276"/>
        <w:jc w:val="both"/>
      </w:pPr>
      <w:r>
        <w:rPr>
          <w:rFonts w:ascii="Barlow Semi Condensed" w:cs="Barlow Semi Condensed" w:eastAsia="Barlow Semi Condensed" w:hAnsi="Barlow Semi Condensed"/>
          <w:b/>
          <w:bCs/>
          <w:sz w:val="24"/>
          <w:szCs w:val="24"/>
        </w:rPr>
        <w:t xml:space="preserve">292 · La soglia storica.</w:t>
      </w:r>
      <w:r>
        <w:rPr>
          <w:rFonts w:ascii="Barlow Semi Condensed" w:cs="Barlow Semi Condensed" w:eastAsia="Barlow Semi Condensed" w:hAnsi="Barlow Semi Condensed"/>
          <w:sz w:val="24"/>
          <w:szCs w:val="24"/>
        </w:rPr>
        <w:t xml:space="preserve"> Se un atto chiude una questione sul piano documentale senza rilievo penale, l'esito entra nel corpus con grado e fonti, e la pista si archivia con criterio di riapertura: la storia si scrive man mano, non alla fine.</w:t>
      </w:r>
    </w:p>
    <w:p>
      <w:pPr>
        <w:spacing w:after="120" w:line="276"/>
        <w:jc w:val="both"/>
      </w:pPr>
      <w:r>
        <w:rPr>
          <w:rFonts w:ascii="Barlow Semi Condensed" w:cs="Barlow Semi Condensed" w:eastAsia="Barlow Semi Condensed" w:hAnsi="Barlow Semi Condensed"/>
          <w:b/>
          <w:bCs/>
          <w:sz w:val="24"/>
          <w:szCs w:val="24"/>
        </w:rPr>
        <w:t xml:space="preserve">293 · L'aggiornamento del corpus.</w:t>
      </w:r>
      <w:r>
        <w:rPr>
          <w:rFonts w:ascii="Barlow Semi Condensed" w:cs="Barlow Semi Condensed" w:eastAsia="Barlow Semi Condensed" w:hAnsi="Barlow Semi Condensed"/>
          <w:sz w:val="24"/>
          <w:szCs w:val="24"/>
        </w:rPr>
        <w:t xml:space="preserve"> Ogni esito dei cantieri aggiorna i documenti del corpus con note datate: repertorio, registro, schede, matrici. Il corpus è il gemello documentale del nuovo caso, e invecchia solo se lo si abbandona.</w:t>
      </w:r>
    </w:p>
    <w:p>
      <w:pPr>
        <w:spacing w:after="120" w:line="276"/>
        <w:jc w:val="both"/>
      </w:pPr>
      <w:r>
        <w:rPr>
          <w:rFonts w:ascii="Barlow Semi Condensed" w:cs="Barlow Semi Condensed" w:eastAsia="Barlow Semi Condensed" w:hAnsi="Barlow Semi Condensed"/>
          <w:b/>
          <w:bCs/>
          <w:sz w:val="24"/>
          <w:szCs w:val="24"/>
        </w:rPr>
        <w:t xml:space="preserve">294 · La misura del successo.</w:t>
      </w:r>
      <w:r>
        <w:rPr>
          <w:rFonts w:ascii="Barlow Semi Condensed" w:cs="Barlow Semi Condensed" w:eastAsia="Barlow Semi Condensed" w:hAnsi="Barlow Semi Condensed"/>
          <w:sz w:val="24"/>
          <w:szCs w:val="24"/>
        </w:rPr>
        <w:t xml:space="preserve"> Il nuovo caso riesce se: le evidenze discriminanti mancanti diminuiscono; le colonne mancanti si riempiono; le leggende cadono per via documentale; e ogni pista chiusa lo è con un documento. Non è misurato in colpevoli: è misurato in carte.</w:t>
      </w:r>
    </w:p>
    <w:p>
      <w:pPr>
        <w:spacing w:after="120" w:line="276"/>
        <w:jc w:val="both"/>
      </w:pPr>
      <w:r>
        <w:rPr>
          <w:rFonts w:ascii="Barlow Semi Condensed" w:cs="Barlow Semi Condensed" w:eastAsia="Barlow Semi Condensed" w:hAnsi="Barlow Semi Condensed"/>
          <w:b/>
          <w:bCs/>
          <w:sz w:val="24"/>
          <w:szCs w:val="24"/>
        </w:rPr>
        <w:t xml:space="preserve">295 · La misura del fallimento.</w:t>
      </w:r>
      <w:r>
        <w:rPr>
          <w:rFonts w:ascii="Barlow Semi Condensed" w:cs="Barlow Semi Condensed" w:eastAsia="Barlow Semi Condensed" w:hAnsi="Barlow Semi Condensed"/>
          <w:sz w:val="24"/>
          <w:szCs w:val="24"/>
        </w:rPr>
        <w:t xml:space="preserve"> Il nuovo caso fallisce se produce annunci senza depositi, ipotesi senza matrici, nomi senza atti, o se perde un solo testimone per ritardo evitabile: il registro delle urgenze perse (170) è la sua coscienza scritta.</w:t>
      </w:r>
    </w:p>
    <w:p>
      <w:pPr>
        <w:spacing w:after="120" w:line="276"/>
        <w:jc w:val="both"/>
      </w:pPr>
      <w:r>
        <w:rPr>
          <w:rFonts w:ascii="Barlow Semi Condensed" w:cs="Barlow Semi Condensed" w:eastAsia="Barlow Semi Condensed" w:hAnsi="Barlow Semi Condensed"/>
          <w:b/>
          <w:bCs/>
          <w:sz w:val="24"/>
          <w:szCs w:val="24"/>
        </w:rPr>
        <w:t xml:space="preserve">296 · Il lascito metodologico.</w:t>
      </w:r>
      <w:r>
        <w:rPr>
          <w:rFonts w:ascii="Barlow Semi Condensed" w:cs="Barlow Semi Condensed" w:eastAsia="Barlow Semi Condensed" w:hAnsi="Barlow Semi Condensed"/>
          <w:sz w:val="24"/>
          <w:szCs w:val="24"/>
        </w:rPr>
        <w:t xml:space="preserve"> Schema-dati, protocolli, matrici e registri si consegnano come standard per ogni grande caso irrisolto della Repubblica: il caso Moro, che inaugurò gli errori, può inaugurare gli antidoti.</w:t>
      </w:r>
    </w:p>
    <w:p>
      <w:pPr>
        <w:spacing w:after="120" w:line="276"/>
        <w:jc w:val="both"/>
      </w:pPr>
      <w:r>
        <w:rPr>
          <w:rFonts w:ascii="Barlow Semi Condensed" w:cs="Barlow Semi Condensed" w:eastAsia="Barlow Semi Condensed" w:hAnsi="Barlow Semi Condensed"/>
          <w:b/>
          <w:bCs/>
          <w:sz w:val="24"/>
          <w:szCs w:val="24"/>
        </w:rPr>
        <w:t xml:space="preserve">297 · Il rapporto con la memoria pubblica.</w:t>
      </w:r>
      <w:r>
        <w:rPr>
          <w:rFonts w:ascii="Barlow Semi Condensed" w:cs="Barlow Semi Condensed" w:eastAsia="Barlow Semi Condensed" w:hAnsi="Barlow Semi Condensed"/>
          <w:sz w:val="24"/>
          <w:szCs w:val="24"/>
        </w:rPr>
        <w:t xml:space="preserve"> Ogni anniversario riceve dai cantieri una sola cosa: lo stato documentale del caso — che cosa si è chiuso, che cosa resta aperto, con che grado. La memoria si nutre di atti; il resto è liturgia, e non spetta a questo manuale.</w:t>
      </w:r>
    </w:p>
    <w:p>
      <w:pPr>
        <w:spacing w:after="120" w:line="276"/>
        <w:jc w:val="both"/>
      </w:pPr>
      <w:r>
        <w:rPr>
          <w:rFonts w:ascii="Barlow Semi Condensed" w:cs="Barlow Semi Condensed" w:eastAsia="Barlow Semi Condensed" w:hAnsi="Barlow Semi Condensed"/>
          <w:b/>
          <w:bCs/>
          <w:sz w:val="24"/>
          <w:szCs w:val="24"/>
        </w:rPr>
        <w:t xml:space="preserve">298 · Le sei vittime, ancora.</w:t>
      </w:r>
      <w:r>
        <w:rPr>
          <w:rFonts w:ascii="Barlow Semi Condensed" w:cs="Barlow Semi Condensed" w:eastAsia="Barlow Semi Condensed" w:hAnsi="Barlow Semi Condensed"/>
          <w:sz w:val="24"/>
          <w:szCs w:val="24"/>
        </w:rPr>
        <w:t xml:space="preserve"> Leonardi, Ricci, Rivera, Zizzi, Iozzino, Moro: il manuale si apre e si chiude con loro perché ogni blocco intermedio esiste per loro — perché ciò che accadde a loro sia scritto, fin dove le carte arrivano, senza inventare ciò che non arriva.</w:t>
      </w:r>
    </w:p>
    <w:p>
      <w:pPr>
        <w:spacing w:after="120" w:line="276"/>
        <w:jc w:val="both"/>
      </w:pPr>
      <w:r>
        <w:rPr>
          <w:rFonts w:ascii="Barlow Semi Condensed" w:cs="Barlow Semi Condensed" w:eastAsia="Barlow Semi Condensed" w:hAnsi="Barlow Semi Condensed"/>
          <w:b/>
          <w:bCs/>
          <w:sz w:val="24"/>
          <w:szCs w:val="24"/>
        </w:rPr>
        <w:t xml:space="preserve">299 · La guerra e la linea.</w:t>
      </w:r>
      <w:r>
        <w:rPr>
          <w:rFonts w:ascii="Barlow Semi Condensed" w:cs="Barlow Semi Condensed" w:eastAsia="Barlow Semi Condensed" w:hAnsi="Barlow Semi Condensed"/>
          <w:sz w:val="24"/>
          <w:szCs w:val="24"/>
        </w:rPr>
        <w:t xml:space="preserve"> La guerra senza fine continuerà: il sospetto è inesauribile per natura. Ma la linea fra il provato e il congetturale — tracciata, documentata, custodita e spostata solo con gli atti — è ciò che una Repubblica può opporre al proprio passato: non la fine della guerra, il governo di essa.</w:t>
      </w:r>
    </w:p>
    <w:p>
      <w:pPr>
        <w:spacing w:after="120" w:line="276"/>
        <w:jc w:val="both"/>
      </w:pPr>
      <w:r>
        <w:rPr>
          <w:rFonts w:ascii="Barlow Semi Condensed" w:cs="Barlow Semi Condensed" w:eastAsia="Barlow Semi Condensed" w:hAnsi="Barlow Semi Condensed"/>
          <w:b/>
          <w:bCs/>
          <w:sz w:val="24"/>
          <w:szCs w:val="24"/>
        </w:rPr>
        <w:t xml:space="preserve">300 · Il blocco finale.</w:t>
      </w:r>
      <w:r>
        <w:rPr>
          <w:rFonts w:ascii="Barlow Semi Condensed" w:cs="Barlow Semi Condensed" w:eastAsia="Barlow Semi Condensed" w:hAnsi="Barlow Semi Condensed"/>
          <w:sz w:val="24"/>
          <w:szCs w:val="24"/>
        </w:rPr>
        <w:t xml:space="preserve"> Questo manuale è esso stesso un atto del metodo che descrive: numerato, falsificabile, correggibile per nota, con trecento criteri di smentita distribuiti nei suoi blocchi. Chi vorrà smentirlo dovrà farlo come esso chiede — con un documento. È l'unico omaggio che un'indagine possa rendere alla verità: rendersi smentibile.</w:t>
      </w:r>
    </w:p>
    <w:p>
      <w:pPr>
        <w:spacing w:after="120" w:line="276"/>
        <w:jc w:val="both"/>
      </w:pPr>
      <w:r>
        <w:rPr>
          <w:rFonts w:ascii="Barlow Semi Condensed" w:cs="Barlow Semi Condensed" w:eastAsia="Barlow Semi Condensed" w:hAnsi="Barlow Semi Condensed"/>
          <w:i/>
          <w:iCs/>
          <w:sz w:val="24"/>
          <w:szCs w:val="24"/>
        </w:rPr>
        <w:t xml:space="preserve">Nota della seconda edizione. Il blocco 300 chiudeva la prima edizione ed è conservato tale e quale, per la regola che esso stesso detta: il manuale si corregge per nota, non per riscrittura. I criteri di smentita sono ora quattrocento; il congedo dell'edizione accresciuta è al blocco 400.</w:t>
      </w:r>
    </w:p>
    <w:p>
      <w:pPr>
        <w:pStyle w:val="Heading2"/>
        <w:spacing w:after="100" w:before="200"/>
      </w:pPr>
      <w:r>
        <w:rPr>
          <w:rFonts w:ascii="Barlow Semi Condensed" w:cs="Barlow Semi Condensed" w:eastAsia="Barlow Semi Condensed" w:hAnsi="Barlow Semi Condensed"/>
          <w:sz w:val="24"/>
          <w:szCs w:val="24"/>
        </w:rPr>
        <w:t xml:space="preserve">Serie undicesima — Il cantiere digitale (blocchi 301-330)</w:t>
      </w:r>
    </w:p>
    <w:p>
      <w:pPr>
        <w:spacing w:after="120" w:line="276"/>
        <w:jc w:val="both"/>
      </w:pPr>
      <w:r>
        <w:rPr>
          <w:rFonts w:ascii="Barlow Semi Condensed" w:cs="Barlow Semi Condensed" w:eastAsia="Barlow Semi Condensed" w:hAnsi="Barlow Semi Condensed"/>
          <w:i/>
          <w:iCs/>
          <w:sz w:val="24"/>
          <w:szCs w:val="24"/>
        </w:rPr>
        <w:t xml:space="preserve">Statuto della serie: la quarta infrastruttura. I tre cantieri poggiano su un'infrastruttura computazionale comune — banca dati, grafo, edizioni digitali — che questa serie progetta; e sull'uso degli strumenti automatici vale una regola sola: la macchina propone, l'uomo verbalizza.</w:t>
      </w:r>
    </w:p>
    <w:p>
      <w:pPr>
        <w:spacing w:after="120" w:line="276"/>
        <w:jc w:val="both"/>
      </w:pPr>
      <w:r>
        <w:rPr>
          <w:rFonts w:ascii="Barlow Semi Condensed" w:cs="Barlow Semi Condensed" w:eastAsia="Barlow Semi Condensed" w:hAnsi="Barlow Semi Condensed"/>
          <w:b/>
          <w:bCs/>
          <w:sz w:val="24"/>
          <w:szCs w:val="24"/>
        </w:rPr>
        <w:t xml:space="preserve">301 · La banca dati del caso.</w:t>
      </w:r>
      <w:r>
        <w:rPr>
          <w:rFonts w:ascii="Barlow Semi Condensed" w:cs="Barlow Semi Condensed" w:eastAsia="Barlow Semi Condensed" w:hAnsi="Barlow Semi Condensed"/>
          <w:sz w:val="24"/>
          <w:szCs w:val="24"/>
        </w:rPr>
        <w:t xml:space="preserve"> Un'unica base di dati relazionale per i tre cantieri: reperti, documenti, persone, luoghi, eventi, piste, matrici — ogni entità con identificativo stabile e ogni asserzione col suo grado e la sua fonte. Nessun foglio sparso: il caso ha un solo schedario.</w:t>
      </w:r>
    </w:p>
    <w:p>
      <w:pPr>
        <w:spacing w:after="120" w:line="276"/>
        <w:jc w:val="both"/>
      </w:pPr>
      <w:r>
        <w:rPr>
          <w:rFonts w:ascii="Barlow Semi Condensed" w:cs="Barlow Semi Condensed" w:eastAsia="Barlow Semi Condensed" w:hAnsi="Barlow Semi Condensed"/>
          <w:b/>
          <w:bCs/>
          <w:sz w:val="24"/>
          <w:szCs w:val="24"/>
        </w:rPr>
        <w:t xml:space="preserve">302 · Il grafo operativo.</w:t>
      </w:r>
      <w:r>
        <w:rPr>
          <w:rFonts w:ascii="Barlow Semi Condensed" w:cs="Barlow Semi Condensed" w:eastAsia="Barlow Semi Condensed" w:hAnsi="Barlow Semi Condensed"/>
          <w:sz w:val="24"/>
          <w:szCs w:val="24"/>
        </w:rPr>
        <w:t xml:space="preserve"> La rete documentata del corpus (nodi, archi con grado) diventa lo strato di navigazione della banca dati: ogni nuovo documento aggiunge o rafforza archi, e le metriche (centralità, cammini, buchi) si ricalcolano a ogni versamento — con la regola d'interpretazione stampata nell'interfaccia: misurano documenti, non colpe.</w:t>
      </w:r>
    </w:p>
    <w:p>
      <w:pPr>
        <w:spacing w:after="120" w:line="276"/>
        <w:jc w:val="both"/>
      </w:pPr>
      <w:r>
        <w:rPr>
          <w:rFonts w:ascii="Barlow Semi Condensed" w:cs="Barlow Semi Condensed" w:eastAsia="Barlow Semi Condensed" w:hAnsi="Barlow Semi Condensed"/>
          <w:b/>
          <w:bCs/>
          <w:sz w:val="24"/>
          <w:szCs w:val="24"/>
        </w:rPr>
        <w:t xml:space="preserve">303 · L'identificativo perpetuo.</w:t>
      </w:r>
      <w:r>
        <w:rPr>
          <w:rFonts w:ascii="Barlow Semi Condensed" w:cs="Barlow Semi Condensed" w:eastAsia="Barlow Semi Condensed" w:hAnsi="Barlow Semi Condensed"/>
          <w:sz w:val="24"/>
          <w:szCs w:val="24"/>
        </w:rPr>
        <w:t xml:space="preserve"> Ogni oggetto del caso — la busta d'archivio, il bossolo, la scheda, la deposizione — riceve un identificativo che non cambierà mai: le citazioni fra atti usano quello, e la tracciabilità sopravvive a ogni riorganizzazione.</w:t>
      </w:r>
    </w:p>
    <w:p>
      <w:pPr>
        <w:spacing w:after="120" w:line="276"/>
        <w:jc w:val="both"/>
      </w:pPr>
      <w:r>
        <w:rPr>
          <w:rFonts w:ascii="Barlow Semi Condensed" w:cs="Barlow Semi Condensed" w:eastAsia="Barlow Semi Condensed" w:hAnsi="Barlow Semi Condensed"/>
          <w:b/>
          <w:bCs/>
          <w:sz w:val="24"/>
          <w:szCs w:val="24"/>
        </w:rPr>
        <w:t xml:space="preserve">304 · La cronologia machine-readable.</w:t>
      </w:r>
      <w:r>
        <w:rPr>
          <w:rFonts w:ascii="Barlow Semi Condensed" w:cs="Barlow Semi Condensed" w:eastAsia="Barlow Semi Condensed" w:hAnsi="Barlow Semi Condensed"/>
          <w:sz w:val="24"/>
          <w:szCs w:val="24"/>
        </w:rPr>
        <w:t xml:space="preserve"> La cronologia integrale del caso — dal 16 marzo 1978 a oggi — in formato strutturato (data, ora dove nota, evento, fonte, grado): interrogabile, sovrapponibile, esportabile. Le cronologie in prosa si generano da questa, mai il contrario.</w:t>
      </w:r>
    </w:p>
    <w:p>
      <w:pPr>
        <w:spacing w:after="120" w:line="276"/>
        <w:jc w:val="both"/>
      </w:pPr>
      <w:r>
        <w:rPr>
          <w:rFonts w:ascii="Barlow Semi Condensed" w:cs="Barlow Semi Condensed" w:eastAsia="Barlow Semi Condensed" w:hAnsi="Barlow Semi Condensed"/>
          <w:b/>
          <w:bCs/>
          <w:sz w:val="24"/>
          <w:szCs w:val="24"/>
        </w:rPr>
        <w:t xml:space="preserve">305 · OCR e trascrizione assistita.</w:t>
      </w:r>
      <w:r>
        <w:rPr>
          <w:rFonts w:ascii="Barlow Semi Condensed" w:cs="Barlow Semi Condensed" w:eastAsia="Barlow Semi Condensed" w:hAnsi="Barlow Semi Condensed"/>
          <w:sz w:val="24"/>
          <w:szCs w:val="24"/>
        </w:rPr>
        <w:t xml:space="preserve"> I fondi digitalizzati passano per riconoscimento ottico e, per i manoscritti, per trascrizione assistita: ogni testo estratto porta il collegamento all'immagine della carta, e la trascrizione non certificata resta marcata come tale.</w:t>
      </w:r>
    </w:p>
    <w:p>
      <w:pPr>
        <w:spacing w:after="120" w:line="276"/>
        <w:jc w:val="both"/>
      </w:pPr>
      <w:r>
        <w:rPr>
          <w:rFonts w:ascii="Barlow Semi Condensed" w:cs="Barlow Semi Condensed" w:eastAsia="Barlow Semi Condensed" w:hAnsi="Barlow Semi Condensed"/>
          <w:b/>
          <w:bCs/>
          <w:sz w:val="24"/>
          <w:szCs w:val="24"/>
        </w:rPr>
        <w:t xml:space="preserve">306 · La lezione dell'OCR.</w:t>
      </w:r>
      <w:r>
        <w:rPr>
          <w:rFonts w:ascii="Barlow Semi Condensed" w:cs="Barlow Semi Condensed" w:eastAsia="Barlow Semi Condensed" w:hAnsi="Barlow Semi Condensed"/>
          <w:sz w:val="24"/>
          <w:szCs w:val="24"/>
        </w:rPr>
        <w:t xml:space="preserve"> Il caso R-2021-002xx/00208 insegna: le letture automatiche divergono, e la divergenza si dichiara nel dato, non si sceglie in silenzio. Ogni campo estratto automaticamente conserva la propria incertezza.</w:t>
      </w:r>
    </w:p>
    <w:p>
      <w:pPr>
        <w:spacing w:after="120" w:line="276"/>
        <w:jc w:val="both"/>
      </w:pPr>
      <w:r>
        <w:rPr>
          <w:rFonts w:ascii="Barlow Semi Condensed" w:cs="Barlow Semi Condensed" w:eastAsia="Barlow Semi Condensed" w:hAnsi="Barlow Semi Condensed"/>
          <w:b/>
          <w:bCs/>
          <w:sz w:val="24"/>
          <w:szCs w:val="24"/>
        </w:rPr>
        <w:t xml:space="preserve">307 · L'entity linking sorvegliato.</w:t>
      </w:r>
      <w:r>
        <w:rPr>
          <w:rFonts w:ascii="Barlow Semi Condensed" w:cs="Barlow Semi Condensed" w:eastAsia="Barlow Semi Condensed" w:hAnsi="Barlow Semi Condensed"/>
          <w:sz w:val="24"/>
          <w:szCs w:val="24"/>
        </w:rPr>
        <w:t xml:space="preserve"> Il collegamento automatico dei nomi alle entità (persone, uffici, luoghi) è proposto dalla macchina e confermato da un operatore: un omonimo collegato male è una diffamazione in potenza, e il blocco 16 vale anche per gli algoritmi.</w:t>
      </w:r>
    </w:p>
    <w:p>
      <w:pPr>
        <w:spacing w:after="120" w:line="276"/>
        <w:jc w:val="both"/>
      </w:pPr>
      <w:r>
        <w:rPr>
          <w:rFonts w:ascii="Barlow Semi Condensed" w:cs="Barlow Semi Condensed" w:eastAsia="Barlow Semi Condensed" w:hAnsi="Barlow Semi Condensed"/>
          <w:b/>
          <w:bCs/>
          <w:sz w:val="24"/>
          <w:szCs w:val="24"/>
        </w:rPr>
        <w:t xml:space="preserve">308 · Il text mining dei fondi.</w:t>
      </w:r>
      <w:r>
        <w:rPr>
          <w:rFonts w:ascii="Barlow Semi Condensed" w:cs="Barlow Semi Condensed" w:eastAsia="Barlow Semi Condensed" w:hAnsi="Barlow Semi Condensed"/>
          <w:sz w:val="24"/>
          <w:szCs w:val="24"/>
        </w:rPr>
        <w:t xml:space="preserve"> Sul corpus digitalizzato: ricerca semantica, co-occorrenze, anomalie lessicali (il vocabolario del blocco 133 come dizionario di dominio). Gli esiti del mining sono candidati di ricerca, mai risultati: generano schede da verificare sulla carta.</w:t>
      </w:r>
    </w:p>
    <w:p>
      <w:pPr>
        <w:spacing w:after="120" w:line="276"/>
        <w:jc w:val="both"/>
      </w:pPr>
      <w:r>
        <w:rPr>
          <w:rFonts w:ascii="Barlow Semi Condensed" w:cs="Barlow Semi Condensed" w:eastAsia="Barlow Semi Condensed" w:hAnsi="Barlow Semi Condensed"/>
          <w:b/>
          <w:bCs/>
          <w:sz w:val="24"/>
          <w:szCs w:val="24"/>
        </w:rPr>
        <w:t xml:space="preserve">309 · L'uso dei modelli linguistici.</w:t>
      </w:r>
      <w:r>
        <w:rPr>
          <w:rFonts w:ascii="Barlow Semi Condensed" w:cs="Barlow Semi Condensed" w:eastAsia="Barlow Semi Condensed" w:hAnsi="Barlow Semi Condensed"/>
          <w:sz w:val="24"/>
          <w:szCs w:val="24"/>
        </w:rPr>
        <w:t xml:space="preserve"> I modelli d'intelligenza artificiale possono proporre regesti, indici e collegamenti; non possono firmare nulla. Ogni loro output entra come bozza attribuita alla macchina, verificata e sottoscritta da un umano — il manuale stesso, generato con questo metodo, ne è la dimostrazione dichiarata.</w:t>
      </w:r>
    </w:p>
    <w:p>
      <w:pPr>
        <w:spacing w:after="120" w:line="276"/>
        <w:jc w:val="both"/>
      </w:pPr>
      <w:r>
        <w:rPr>
          <w:rFonts w:ascii="Barlow Semi Condensed" w:cs="Barlow Semi Condensed" w:eastAsia="Barlow Semi Condensed" w:hAnsi="Barlow Semi Condensed"/>
          <w:b/>
          <w:bCs/>
          <w:sz w:val="24"/>
          <w:szCs w:val="24"/>
        </w:rPr>
        <w:t xml:space="preserve">310 · Il divieto di generazione probatoria.</w:t>
      </w:r>
      <w:r>
        <w:rPr>
          <w:rFonts w:ascii="Barlow Semi Condensed" w:cs="Barlow Semi Condensed" w:eastAsia="Barlow Semi Condensed" w:hAnsi="Barlow Semi Condensed"/>
          <w:sz w:val="24"/>
          <w:szCs w:val="24"/>
        </w:rPr>
        <w:t xml:space="preserve"> Nessun contenuto generato — ricostruzioni, immagini, voci — entra negli atti come rappresentazione del reale: la simulazione (blocco 85) è uno strumento di verifica marcato come simulazione, per sempre distinguibile dal reperto.</w:t>
      </w:r>
    </w:p>
    <w:p>
      <w:pPr>
        <w:spacing w:after="120" w:line="276"/>
        <w:jc w:val="both"/>
      </w:pPr>
      <w:r>
        <w:rPr>
          <w:rFonts w:ascii="Barlow Semi Condensed" w:cs="Barlow Semi Condensed" w:eastAsia="Barlow Semi Condensed" w:hAnsi="Barlow Semi Condensed"/>
          <w:b/>
          <w:bCs/>
          <w:sz w:val="24"/>
          <w:szCs w:val="24"/>
        </w:rPr>
        <w:t xml:space="preserve">311 · Il versioning degli atti.</w:t>
      </w:r>
      <w:r>
        <w:rPr>
          <w:rFonts w:ascii="Barlow Semi Condensed" w:cs="Barlow Semi Condensed" w:eastAsia="Barlow Semi Condensed" w:hAnsi="Barlow Semi Condensed"/>
          <w:sz w:val="24"/>
          <w:szCs w:val="24"/>
        </w:rPr>
        <w:t xml:space="preserve"> Ogni documento del caso è versionato: le correzioni sono nuove versioni con nota, mai sovrascritture. La storia di ogni scheda è parte della scheda — è il blocco 279 fatto infrastruttura.</w:t>
      </w:r>
    </w:p>
    <w:p>
      <w:pPr>
        <w:spacing w:after="120" w:line="276"/>
        <w:jc w:val="both"/>
      </w:pPr>
      <w:r>
        <w:rPr>
          <w:rFonts w:ascii="Barlow Semi Condensed" w:cs="Barlow Semi Condensed" w:eastAsia="Barlow Semi Condensed" w:hAnsi="Barlow Semi Condensed"/>
          <w:b/>
          <w:bCs/>
          <w:sz w:val="24"/>
          <w:szCs w:val="24"/>
        </w:rPr>
        <w:t xml:space="preserve">312 · La firma e la marca temporale.</w:t>
      </w:r>
      <w:r>
        <w:rPr>
          <w:rFonts w:ascii="Barlow Semi Condensed" w:cs="Barlow Semi Condensed" w:eastAsia="Barlow Semi Condensed" w:hAnsi="Barlow Semi Condensed"/>
          <w:sz w:val="24"/>
          <w:szCs w:val="24"/>
        </w:rPr>
        <w:t xml:space="preserve"> Gli atti digitali dei cantieri portano firma elettronica e marca temporale: la catena di custodia digitale nasce integra, invece di doversi ricostruire fra cinquant'anni.</w:t>
      </w:r>
    </w:p>
    <w:p>
      <w:pPr>
        <w:spacing w:after="120" w:line="276"/>
        <w:jc w:val="both"/>
      </w:pPr>
      <w:r>
        <w:rPr>
          <w:rFonts w:ascii="Barlow Semi Condensed" w:cs="Barlow Semi Condensed" w:eastAsia="Barlow Semi Condensed" w:hAnsi="Barlow Semi Condensed"/>
          <w:b/>
          <w:bCs/>
          <w:sz w:val="24"/>
          <w:szCs w:val="24"/>
        </w:rPr>
        <w:t xml:space="preserve">313 · Il registro pubblico online.</w:t>
      </w:r>
      <w:r>
        <w:rPr>
          <w:rFonts w:ascii="Barlow Semi Condensed" w:cs="Barlow Semi Condensed" w:eastAsia="Barlow Semi Condensed" w:hAnsi="Barlow Semi Condensed"/>
          <w:sz w:val="24"/>
          <w:szCs w:val="24"/>
        </w:rPr>
        <w:t xml:space="preserve"> Il registro delle piste (blocco 29), gli inventari incrementali (129), le relazioni annuali (90, 140, 170): tutto in un sito documentale unico, stabile, citabile — l'anagrafe pubblica del nuovo caso.</w:t>
      </w:r>
    </w:p>
    <w:p>
      <w:pPr>
        <w:spacing w:after="120" w:line="276"/>
        <w:jc w:val="both"/>
      </w:pPr>
      <w:r>
        <w:rPr>
          <w:rFonts w:ascii="Barlow Semi Condensed" w:cs="Barlow Semi Condensed" w:eastAsia="Barlow Semi Condensed" w:hAnsi="Barlow Semi Condensed"/>
          <w:b/>
          <w:bCs/>
          <w:sz w:val="24"/>
          <w:szCs w:val="24"/>
        </w:rPr>
        <w:t xml:space="preserve">314 · L'open data degli esiti.</w:t>
      </w:r>
      <w:r>
        <w:rPr>
          <w:rFonts w:ascii="Barlow Semi Condensed" w:cs="Barlow Semi Condensed" w:eastAsia="Barlow Semi Condensed" w:hAnsi="Barlow Semi Condensed"/>
          <w:sz w:val="24"/>
          <w:szCs w:val="24"/>
        </w:rPr>
        <w:t xml:space="preserve"> Le tavole prodotte — la tavola nominale dei comitati, la proprietà×tempo, il rilasciato/trattenuto, le metriche del registro — si pubblicano anche come dati aperti riutilizzabili: la verifica altrui è un diritto, non una concessione.</w:t>
      </w:r>
    </w:p>
    <w:p>
      <w:pPr>
        <w:spacing w:after="120" w:line="276"/>
        <w:jc w:val="both"/>
      </w:pPr>
      <w:r>
        <w:rPr>
          <w:rFonts w:ascii="Barlow Semi Condensed" w:cs="Barlow Semi Condensed" w:eastAsia="Barlow Semi Condensed" w:hAnsi="Barlow Semi Condensed"/>
          <w:b/>
          <w:bCs/>
          <w:sz w:val="24"/>
          <w:szCs w:val="24"/>
        </w:rPr>
        <w:t xml:space="preserve">315 · La privacy computazionale.</w:t>
      </w:r>
      <w:r>
        <w:rPr>
          <w:rFonts w:ascii="Barlow Semi Condensed" w:cs="Barlow Semi Condensed" w:eastAsia="Barlow Semi Condensed" w:hAnsi="Barlow Semi Condensed"/>
          <w:sz w:val="24"/>
          <w:szCs w:val="24"/>
        </w:rPr>
        <w:t xml:space="preserve"> I dati personali di terzi estranei incontrati nei fondi si schermano nelle pubblicazioni con protocollo dichiarato: l'open data del caso non è l'open data delle vite altrui.</w:t>
      </w:r>
    </w:p>
    <w:p>
      <w:pPr>
        <w:spacing w:after="120" w:line="276"/>
        <w:jc w:val="both"/>
      </w:pPr>
      <w:r>
        <w:rPr>
          <w:rFonts w:ascii="Barlow Semi Condensed" w:cs="Barlow Semi Condensed" w:eastAsia="Barlow Semi Condensed" w:hAnsi="Barlow Semi Condensed"/>
          <w:b/>
          <w:bCs/>
          <w:sz w:val="24"/>
          <w:szCs w:val="24"/>
        </w:rPr>
        <w:t xml:space="preserve">316 · Il backup e la ridondanza.</w:t>
      </w:r>
      <w:r>
        <w:rPr>
          <w:rFonts w:ascii="Barlow Semi Condensed" w:cs="Barlow Semi Condensed" w:eastAsia="Barlow Semi Condensed" w:hAnsi="Barlow Semi Condensed"/>
          <w:sz w:val="24"/>
          <w:szCs w:val="24"/>
        </w:rPr>
        <w:t xml:space="preserve"> Tre copie, due supporti, una sede remota, verifica periodica di integrità: il patrimonio digitale del caso non deve poter fare la fine dei suoi reperti dispersi.</w:t>
      </w:r>
    </w:p>
    <w:p>
      <w:pPr>
        <w:spacing w:after="120" w:line="276"/>
        <w:jc w:val="both"/>
      </w:pPr>
      <w:r>
        <w:rPr>
          <w:rFonts w:ascii="Barlow Semi Condensed" w:cs="Barlow Semi Condensed" w:eastAsia="Barlow Semi Condensed" w:hAnsi="Barlow Semi Condensed"/>
          <w:b/>
          <w:bCs/>
          <w:sz w:val="24"/>
          <w:szCs w:val="24"/>
        </w:rPr>
        <w:t xml:space="preserve">317 · I formati aperti.</w:t>
      </w:r>
      <w:r>
        <w:rPr>
          <w:rFonts w:ascii="Barlow Semi Condensed" w:cs="Barlow Semi Condensed" w:eastAsia="Barlow Semi Condensed" w:hAnsi="Barlow Semi Condensed"/>
          <w:sz w:val="24"/>
          <w:szCs w:val="24"/>
        </w:rPr>
        <w:t xml:space="preserve"> Solo formati documentali aperti e standard archivistici correnti: il nuovo caso deve essere leggibile quando gli attuali software non esisteranno più.</w:t>
      </w:r>
    </w:p>
    <w:p>
      <w:pPr>
        <w:spacing w:after="120" w:line="276"/>
        <w:jc w:val="both"/>
      </w:pPr>
      <w:r>
        <w:rPr>
          <w:rFonts w:ascii="Barlow Semi Condensed" w:cs="Barlow Semi Condensed" w:eastAsia="Barlow Semi Condensed" w:hAnsi="Barlow Semi Condensed"/>
          <w:b/>
          <w:bCs/>
          <w:sz w:val="24"/>
          <w:szCs w:val="24"/>
        </w:rPr>
        <w:t xml:space="preserve">318 · L'interoperabilità istituzionale.</w:t>
      </w:r>
      <w:r>
        <w:rPr>
          <w:rFonts w:ascii="Barlow Semi Condensed" w:cs="Barlow Semi Condensed" w:eastAsia="Barlow Semi Condensed" w:hAnsi="Barlow Semi Condensed"/>
          <w:sz w:val="24"/>
          <w:szCs w:val="24"/>
        </w:rPr>
        <w:t xml:space="preserve"> Gli schemi-dati si allineano agli standard degli archivi di Stato e dei sistemi giudiziari, perché i versamenti futuri del nuovo caso agli archivi nazionali siano nativamente compatibili.</w:t>
      </w:r>
    </w:p>
    <w:p>
      <w:pPr>
        <w:spacing w:after="120" w:line="276"/>
        <w:jc w:val="both"/>
      </w:pPr>
      <w:r>
        <w:rPr>
          <w:rFonts w:ascii="Barlow Semi Condensed" w:cs="Barlow Semi Condensed" w:eastAsia="Barlow Semi Condensed" w:hAnsi="Barlow Semi Condensed"/>
          <w:b/>
          <w:bCs/>
          <w:sz w:val="24"/>
          <w:szCs w:val="24"/>
        </w:rPr>
        <w:t xml:space="preserve">319 · Il laboratorio di calcolo.</w:t>
      </w:r>
      <w:r>
        <w:rPr>
          <w:rFonts w:ascii="Barlow Semi Condensed" w:cs="Barlow Semi Condensed" w:eastAsia="Barlow Semi Condensed" w:hAnsi="Barlow Semi Condensed"/>
          <w:sz w:val="24"/>
          <w:szCs w:val="24"/>
        </w:rPr>
        <w:t xml:space="preserve"> Le analisi computazionali (rete, statistiche del registro, filologia quantitativa del memoriale) girano su codice depositato e riproducibile: ogni numero pubblicato ha accanto lo script che lo genera.</w:t>
      </w:r>
    </w:p>
    <w:p>
      <w:pPr>
        <w:spacing w:after="120" w:line="276"/>
        <w:jc w:val="both"/>
      </w:pPr>
      <w:r>
        <w:rPr>
          <w:rFonts w:ascii="Barlow Semi Condensed" w:cs="Barlow Semi Condensed" w:eastAsia="Barlow Semi Condensed" w:hAnsi="Barlow Semi Condensed"/>
          <w:b/>
          <w:bCs/>
          <w:sz w:val="24"/>
          <w:szCs w:val="24"/>
        </w:rPr>
        <w:t xml:space="preserve">320 · La riproducibilità come grado.</w:t>
      </w:r>
      <w:r>
        <w:rPr>
          <w:rFonts w:ascii="Barlow Semi Condensed" w:cs="Barlow Semi Condensed" w:eastAsia="Barlow Semi Condensed" w:hAnsi="Barlow Semi Condensed"/>
          <w:sz w:val="24"/>
          <w:szCs w:val="24"/>
        </w:rPr>
        <w:t xml:space="preserve"> Un risultato computazionale non riproducibile da terzi col codice depositato non entra negli atti: è l'equivalente digitale della replica di laboratorio (blocco 74).</w:t>
      </w:r>
    </w:p>
    <w:p>
      <w:pPr>
        <w:spacing w:after="120" w:line="276"/>
        <w:jc w:val="both"/>
      </w:pPr>
      <w:r>
        <w:rPr>
          <w:rFonts w:ascii="Barlow Semi Condensed" w:cs="Barlow Semi Condensed" w:eastAsia="Barlow Semi Condensed" w:hAnsi="Barlow Semi Condensed"/>
          <w:b/>
          <w:bCs/>
          <w:sz w:val="24"/>
          <w:szCs w:val="24"/>
        </w:rPr>
        <w:t xml:space="preserve">321 · Le immagini forensi.</w:t>
      </w:r>
      <w:r>
        <w:rPr>
          <w:rFonts w:ascii="Barlow Semi Condensed" w:cs="Barlow Semi Condensed" w:eastAsia="Barlow Semi Condensed" w:hAnsi="Barlow Semi Condensed"/>
          <w:sz w:val="24"/>
          <w:szCs w:val="24"/>
        </w:rPr>
        <w:t xml:space="preserve"> Le scansioni tridimensionali (bossoli, luoghi) si archiviano in formati aperti con metadati di acquisizione: il reperto digitale è consultabile senza toccare quello fisico, e il blocco 50 guadagna una via in più.</w:t>
      </w:r>
    </w:p>
    <w:p>
      <w:pPr>
        <w:spacing w:after="120" w:line="276"/>
        <w:jc w:val="both"/>
      </w:pPr>
      <w:r>
        <w:rPr>
          <w:rFonts w:ascii="Barlow Semi Condensed" w:cs="Barlow Semi Condensed" w:eastAsia="Barlow Semi Condensed" w:hAnsi="Barlow Semi Condensed"/>
          <w:b/>
          <w:bCs/>
          <w:sz w:val="24"/>
          <w:szCs w:val="24"/>
        </w:rPr>
        <w:t xml:space="preserve">322 · Il fascicolo audiovisivo digitale.</w:t>
      </w:r>
      <w:r>
        <w:rPr>
          <w:rFonts w:ascii="Barlow Semi Condensed" w:cs="Barlow Semi Condensed" w:eastAsia="Barlow Semi Condensed" w:hAnsi="Barlow Semi Condensed"/>
          <w:sz w:val="24"/>
          <w:szCs w:val="24"/>
        </w:rPr>
        <w:t xml:space="preserve"> I materiali del blocco 78 e le escussioni registrate della serie quinta confluiscono in un archivio audiovisivo indicizzato al parlato: ogni minuto è citabile come una pagina.</w:t>
      </w:r>
    </w:p>
    <w:p>
      <w:pPr>
        <w:spacing w:after="120" w:line="276"/>
        <w:jc w:val="both"/>
      </w:pPr>
      <w:r>
        <w:rPr>
          <w:rFonts w:ascii="Barlow Semi Condensed" w:cs="Barlow Semi Condensed" w:eastAsia="Barlow Semi Condensed" w:hAnsi="Barlow Semi Condensed"/>
          <w:b/>
          <w:bCs/>
          <w:sz w:val="24"/>
          <w:szCs w:val="24"/>
        </w:rPr>
        <w:t xml:space="preserve">323 · La mappa interattiva.</w:t>
      </w:r>
      <w:r>
        <w:rPr>
          <w:rFonts w:ascii="Barlow Semi Condensed" w:cs="Barlow Semi Condensed" w:eastAsia="Barlow Semi Condensed" w:hAnsi="Barlow Semi Condensed"/>
          <w:sz w:val="24"/>
          <w:szCs w:val="24"/>
        </w:rPr>
        <w:t xml:space="preserve"> La geografia del caso — luoghi, percorsi, tempi — in cartografia digitale sovrapponibile alle mappe del 1978: lo strumento di verifica delle cronologie di movimento, con le fonti per ogni tracciato.</w:t>
      </w:r>
    </w:p>
    <w:p>
      <w:pPr>
        <w:spacing w:after="120" w:line="276"/>
        <w:jc w:val="both"/>
      </w:pPr>
      <w:r>
        <w:rPr>
          <w:rFonts w:ascii="Barlow Semi Condensed" w:cs="Barlow Semi Condensed" w:eastAsia="Barlow Semi Condensed" w:hAnsi="Barlow Semi Condensed"/>
          <w:b/>
          <w:bCs/>
          <w:sz w:val="24"/>
          <w:szCs w:val="24"/>
        </w:rPr>
        <w:t xml:space="preserve">324 · Il motore delle scadenze.</w:t>
      </w:r>
      <w:r>
        <w:rPr>
          <w:rFonts w:ascii="Barlow Semi Condensed" w:cs="Barlow Semi Condensed" w:eastAsia="Barlow Semi Condensed" w:hAnsi="Barlow Semi Condensed"/>
          <w:sz w:val="24"/>
          <w:szCs w:val="24"/>
        </w:rPr>
        <w:t xml:space="preserve"> Le urgenze biologiche (169), i termini FOIA (241), le cadenze trimestrali (30, 287): un solo calendario automatico che nessuna memoria individuale deve reggere.</w:t>
      </w:r>
    </w:p>
    <w:p>
      <w:pPr>
        <w:spacing w:after="120" w:line="276"/>
        <w:jc w:val="both"/>
      </w:pPr>
      <w:r>
        <w:rPr>
          <w:rFonts w:ascii="Barlow Semi Condensed" w:cs="Barlow Semi Condensed" w:eastAsia="Barlow Semi Condensed" w:hAnsi="Barlow Semi Condensed"/>
          <w:b/>
          <w:bCs/>
          <w:sz w:val="24"/>
          <w:szCs w:val="24"/>
        </w:rPr>
        <w:t xml:space="preserve">325 · La dashboard delle matrici.</w:t>
      </w:r>
      <w:r>
        <w:rPr>
          <w:rFonts w:ascii="Barlow Semi Condensed" w:cs="Barlow Semi Condensed" w:eastAsia="Barlow Semi Condensed" w:hAnsi="Barlow Semi Condensed"/>
          <w:sz w:val="24"/>
          <w:szCs w:val="24"/>
        </w:rPr>
        <w:t xml:space="preserve"> La meta-matrice (210) in forma viva: per ogni quesito, le evidenze acquisite e quelle mancanti, aggiornate a ogni atto — il cruscotto che dice in ogni istante che cosa il caso sta ancora aspettando.</w:t>
      </w:r>
    </w:p>
    <w:p>
      <w:pPr>
        <w:spacing w:after="120" w:line="276"/>
        <w:jc w:val="both"/>
      </w:pPr>
      <w:r>
        <w:rPr>
          <w:rFonts w:ascii="Barlow Semi Condensed" w:cs="Barlow Semi Condensed" w:eastAsia="Barlow Semi Condensed" w:hAnsi="Barlow Semi Condensed"/>
          <w:b/>
          <w:bCs/>
          <w:sz w:val="24"/>
          <w:szCs w:val="24"/>
        </w:rPr>
        <w:t xml:space="preserve">326 · L'accessibilità.</w:t>
      </w:r>
      <w:r>
        <w:rPr>
          <w:rFonts w:ascii="Barlow Semi Condensed" w:cs="Barlow Semi Condensed" w:eastAsia="Barlow Semi Condensed" w:hAnsi="Barlow Semi Condensed"/>
          <w:sz w:val="24"/>
          <w:szCs w:val="24"/>
        </w:rPr>
        <w:t xml:space="preserve"> Il patrimonio pubblico del caso è fruibile anche da chi non vede o non sente: trascrizioni, descrizioni, standard di accessibilità — la memoria repubblicana non ha barriere d'ingresso.</w:t>
      </w:r>
    </w:p>
    <w:p>
      <w:pPr>
        <w:spacing w:after="120" w:line="276"/>
        <w:jc w:val="both"/>
      </w:pPr>
      <w:r>
        <w:rPr>
          <w:rFonts w:ascii="Barlow Semi Condensed" w:cs="Barlow Semi Condensed" w:eastAsia="Barlow Semi Condensed" w:hAnsi="Barlow Semi Condensed"/>
          <w:b/>
          <w:bCs/>
          <w:sz w:val="24"/>
          <w:szCs w:val="24"/>
        </w:rPr>
        <w:t xml:space="preserve">327 · La sicurezza.</w:t>
      </w:r>
      <w:r>
        <w:rPr>
          <w:rFonts w:ascii="Barlow Semi Condensed" w:cs="Barlow Semi Condensed" w:eastAsia="Barlow Semi Condensed" w:hAnsi="Barlow Semi Condensed"/>
          <w:sz w:val="24"/>
          <w:szCs w:val="24"/>
        </w:rPr>
        <w:t xml:space="preserve"> Accessi tracciati, privilegi minimi, log immutabili: un'infrastruttura che custodisce materia sensibile si difende, e ogni accesso è esso stesso un atto registrato.</w:t>
      </w:r>
    </w:p>
    <w:p>
      <w:pPr>
        <w:spacing w:after="120" w:line="276"/>
        <w:jc w:val="both"/>
      </w:pPr>
      <w:r>
        <w:rPr>
          <w:rFonts w:ascii="Barlow Semi Condensed" w:cs="Barlow Semi Condensed" w:eastAsia="Barlow Semi Condensed" w:hAnsi="Barlow Semi Condensed"/>
          <w:b/>
          <w:bCs/>
          <w:sz w:val="24"/>
          <w:szCs w:val="24"/>
        </w:rPr>
        <w:t xml:space="preserve">328 · Il disaster recovery documentale.</w:t>
      </w:r>
      <w:r>
        <w:rPr>
          <w:rFonts w:ascii="Barlow Semi Condensed" w:cs="Barlow Semi Condensed" w:eastAsia="Barlow Semi Condensed" w:hAnsi="Barlow Semi Condensed"/>
          <w:sz w:val="24"/>
          <w:szCs w:val="24"/>
        </w:rPr>
        <w:t xml:space="preserve"> La procedura scritta per la perdita — di un server, di una sede, di un fondo: che cosa si ripristina, da dove, in quanto tempo. Il caso ha già perso troppo per improvvisare.</w:t>
      </w:r>
    </w:p>
    <w:p>
      <w:pPr>
        <w:spacing w:after="120" w:line="276"/>
        <w:jc w:val="both"/>
      </w:pPr>
      <w:r>
        <w:rPr>
          <w:rFonts w:ascii="Barlow Semi Condensed" w:cs="Barlow Semi Condensed" w:eastAsia="Barlow Semi Condensed" w:hAnsi="Barlow Semi Condensed"/>
          <w:b/>
          <w:bCs/>
          <w:sz w:val="24"/>
          <w:szCs w:val="24"/>
        </w:rPr>
        <w:t xml:space="preserve">329 · Il costo dichiarato.</w:t>
      </w:r>
      <w:r>
        <w:rPr>
          <w:rFonts w:ascii="Barlow Semi Condensed" w:cs="Barlow Semi Condensed" w:eastAsia="Barlow Semi Condensed" w:hAnsi="Barlow Semi Condensed"/>
          <w:sz w:val="24"/>
          <w:szCs w:val="24"/>
        </w:rPr>
        <w:t xml:space="preserve"> L'infrastruttura digitale entra nel bilancio dei mezzi (blocco 39) con costi e benefici espliciti: la tecnologia si giustifica come ogni altro atto — per il rendimento documentale.</w:t>
      </w:r>
    </w:p>
    <w:p>
      <w:pPr>
        <w:spacing w:after="120" w:line="276"/>
        <w:jc w:val="both"/>
      </w:pPr>
      <w:r>
        <w:rPr>
          <w:rFonts w:ascii="Barlow Semi Condensed" w:cs="Barlow Semi Condensed" w:eastAsia="Barlow Semi Condensed" w:hAnsi="Barlow Semi Condensed"/>
          <w:b/>
          <w:bCs/>
          <w:sz w:val="24"/>
          <w:szCs w:val="24"/>
        </w:rPr>
        <w:t xml:space="preserve">330 · Il lascito digitale.</w:t>
      </w:r>
      <w:r>
        <w:rPr>
          <w:rFonts w:ascii="Barlow Semi Condensed" w:cs="Barlow Semi Condensed" w:eastAsia="Barlow Semi Condensed" w:hAnsi="Barlow Semi Condensed"/>
          <w:sz w:val="24"/>
          <w:szCs w:val="24"/>
        </w:rPr>
        <w:t xml:space="preserve"> A fine corsa, l'intera infrastruttura — dati, codice, standard — si versa agli archivi nazionali come fondo digitale ordinato: il gemello documentale del caso (blocco 293) diventa patrimonio permanente della Repubblica.</w:t>
      </w:r>
    </w:p>
    <w:p>
      <w:pPr>
        <w:pStyle w:val="Heading2"/>
        <w:spacing w:after="100" w:before="200"/>
      </w:pPr>
      <w:r>
        <w:rPr>
          <w:rFonts w:ascii="Barlow Semi Condensed" w:cs="Barlow Semi Condensed" w:eastAsia="Barlow Semi Condensed" w:hAnsi="Barlow Semi Condensed"/>
          <w:sz w:val="24"/>
          <w:szCs w:val="24"/>
        </w:rPr>
        <w:t xml:space="preserve">Serie dodicesima — Gli strumenti giuridici (blocchi 331-355)</w:t>
      </w:r>
    </w:p>
    <w:p>
      <w:pPr>
        <w:spacing w:after="120" w:line="276"/>
        <w:jc w:val="both"/>
      </w:pPr>
      <w:r>
        <w:rPr>
          <w:rFonts w:ascii="Barlow Semi Condensed" w:cs="Barlow Semi Condensed" w:eastAsia="Barlow Semi Condensed" w:hAnsi="Barlow Semi Condensed"/>
          <w:i/>
          <w:iCs/>
          <w:sz w:val="24"/>
          <w:szCs w:val="24"/>
        </w:rPr>
        <w:t xml:space="preserve">Statuto della serie: il diritto degli atti. Ogni cantiere agisce dentro un ordinamento; la serie censisce gli strumenti — e i limiti — che il diritto vigente offre a ciascun atto del manuale, nei termini e nelle forme che le sedi competenti applicheranno.</w:t>
      </w:r>
    </w:p>
    <w:p>
      <w:pPr>
        <w:spacing w:after="120" w:line="276"/>
        <w:jc w:val="both"/>
      </w:pPr>
      <w:r>
        <w:rPr>
          <w:rFonts w:ascii="Barlow Semi Condensed" w:cs="Barlow Semi Condensed" w:eastAsia="Barlow Semi Condensed" w:hAnsi="Barlow Semi Condensed"/>
          <w:b/>
          <w:bCs/>
          <w:sz w:val="24"/>
          <w:szCs w:val="24"/>
        </w:rPr>
        <w:t xml:space="preserve">331 · La mappa normativa.</w:t>
      </w:r>
      <w:r>
        <w:rPr>
          <w:rFonts w:ascii="Barlow Semi Condensed" w:cs="Barlow Semi Condensed" w:eastAsia="Barlow Semi Condensed" w:hAnsi="Barlow Semi Condensed"/>
          <w:sz w:val="24"/>
          <w:szCs w:val="24"/>
        </w:rPr>
        <w:t xml:space="preserve"> Primo atto della serie: la tavola aggiornata delle norme che governano il caso — procedura penale, disciplina archivistica, trasparenza, protezione dei dati, segreto di Stato, cooperazione internazionale — ciascuna con la sede che la applica.</w:t>
      </w:r>
    </w:p>
    <w:p>
      <w:pPr>
        <w:spacing w:after="120" w:line="276"/>
        <w:jc w:val="both"/>
      </w:pPr>
      <w:r>
        <w:rPr>
          <w:rFonts w:ascii="Barlow Semi Condensed" w:cs="Barlow Semi Condensed" w:eastAsia="Barlow Semi Condensed" w:hAnsi="Barlow Semi Condensed"/>
          <w:b/>
          <w:bCs/>
          <w:sz w:val="24"/>
          <w:szCs w:val="24"/>
        </w:rPr>
        <w:t xml:space="preserve">332 · L'imprescrittibilità.</w:t>
      </w:r>
      <w:r>
        <w:rPr>
          <w:rFonts w:ascii="Barlow Semi Condensed" w:cs="Barlow Semi Condensed" w:eastAsia="Barlow Semi Condensed" w:hAnsi="Barlow Semi Condensed"/>
          <w:sz w:val="24"/>
          <w:szCs w:val="24"/>
        </w:rPr>
        <w:t xml:space="preserve"> I delitti puniti con la pena perpetua non si prescrivono: il fascicolo del caso non ha orologio, e ogni evidenza nuova su responsabilità ulteriori resta giudizialmente spendibile senza limiti di tempo. È il fondamento giuridico dell'intero manuale.</w:t>
      </w:r>
    </w:p>
    <w:p>
      <w:pPr>
        <w:spacing w:after="120" w:line="276"/>
        <w:jc w:val="both"/>
      </w:pPr>
      <w:r>
        <w:rPr>
          <w:rFonts w:ascii="Barlow Semi Condensed" w:cs="Barlow Semi Condensed" w:eastAsia="Barlow Semi Condensed" w:hAnsi="Barlow Semi Condensed"/>
          <w:b/>
          <w:bCs/>
          <w:sz w:val="24"/>
          <w:szCs w:val="24"/>
        </w:rPr>
        <w:t xml:space="preserve">333 · La riapertura per prova nuova.</w:t>
      </w:r>
      <w:r>
        <w:rPr>
          <w:rFonts w:ascii="Barlow Semi Condensed" w:cs="Barlow Semi Condensed" w:eastAsia="Barlow Semi Condensed" w:hAnsi="Barlow Semi Condensed"/>
          <w:sz w:val="24"/>
          <w:szCs w:val="24"/>
        </w:rPr>
        <w:t xml:space="preserve"> Le posizioni archiviate si riaprono per elementi nuovi nelle forme del codice: ogni esito dei cantieri che tocchi persone si consegna al fascicolo perché sia il giudice a qualificarne la novità.</w:t>
      </w:r>
    </w:p>
    <w:p>
      <w:pPr>
        <w:spacing w:after="120" w:line="276"/>
        <w:jc w:val="both"/>
      </w:pPr>
      <w:r>
        <w:rPr>
          <w:rFonts w:ascii="Barlow Semi Condensed" w:cs="Barlow Semi Condensed" w:eastAsia="Barlow Semi Condensed" w:hAnsi="Barlow Semi Condensed"/>
          <w:b/>
          <w:bCs/>
          <w:sz w:val="24"/>
          <w:szCs w:val="24"/>
        </w:rPr>
        <w:t xml:space="preserve">334 · L'incidente probatorio.</w:t>
      </w:r>
      <w:r>
        <w:rPr>
          <w:rFonts w:ascii="Barlow Semi Condensed" w:cs="Barlow Semi Condensed" w:eastAsia="Barlow Semi Condensed" w:hAnsi="Barlow Semi Condensed"/>
          <w:sz w:val="24"/>
          <w:szCs w:val="24"/>
        </w:rPr>
        <w:t xml:space="preserve"> Per i testimoni fragili della serie quinta, l'ordinamento offre l'assunzione anticipata della prova nelle forme del contraddittorio: dove il ricordo rischia di non arrivare al dibattimento, l'atto giudiziario lo cristallizza. La tavola delle urgenze (169) si coordina con questa via.</w:t>
      </w:r>
    </w:p>
    <w:p>
      <w:pPr>
        <w:spacing w:after="120" w:line="276"/>
        <w:jc w:val="both"/>
      </w:pPr>
      <w:r>
        <w:rPr>
          <w:rFonts w:ascii="Barlow Semi Condensed" w:cs="Barlow Semi Condensed" w:eastAsia="Barlow Semi Condensed" w:hAnsi="Barlow Semi Condensed"/>
          <w:b/>
          <w:bCs/>
          <w:sz w:val="24"/>
          <w:szCs w:val="24"/>
        </w:rPr>
        <w:t xml:space="preserve">335 · Il segreto di Stato e i suoi termini.</w:t>
      </w:r>
      <w:r>
        <w:rPr>
          <w:rFonts w:ascii="Barlow Semi Condensed" w:cs="Barlow Semi Condensed" w:eastAsia="Barlow Semi Condensed" w:hAnsi="Barlow Semi Condensed"/>
          <w:sz w:val="24"/>
          <w:szCs w:val="24"/>
        </w:rPr>
        <w:t xml:space="preserve"> Il segreto ha durata massima legale e procedure di conferma e opposizione: per ogni atto del caso eventualmente coperto, la scheda registra chi lo ha apposto, quando scade, quale procedura di verifica è esperibile. Il segreto è un istituto, non una nebbia.</w:t>
      </w:r>
    </w:p>
    <w:p>
      <w:pPr>
        <w:spacing w:after="120" w:line="276"/>
        <w:jc w:val="both"/>
      </w:pPr>
      <w:r>
        <w:rPr>
          <w:rFonts w:ascii="Barlow Semi Condensed" w:cs="Barlow Semi Condensed" w:eastAsia="Barlow Semi Condensed" w:hAnsi="Barlow Semi Condensed"/>
          <w:b/>
          <w:bCs/>
          <w:sz w:val="24"/>
          <w:szCs w:val="24"/>
        </w:rPr>
        <w:t xml:space="preserve">336 · Il limite costituzionale del segreto.</w:t>
      </w:r>
      <w:r>
        <w:rPr>
          <w:rFonts w:ascii="Barlow Semi Condensed" w:cs="Barlow Semi Condensed" w:eastAsia="Barlow Semi Condensed" w:hAnsi="Barlow Semi Condensed"/>
          <w:sz w:val="24"/>
          <w:szCs w:val="24"/>
        </w:rPr>
        <w:t xml:space="preserve"> L'ordinamento esclude il segreto sui fatti eversivi dell'ordine costituzionale: ogni opposizione di segreto su materia del caso si vaglia contro questo limite, nelle sedi competenti a farlo.</w:t>
      </w:r>
    </w:p>
    <w:p>
      <w:pPr>
        <w:spacing w:after="120" w:line="276"/>
        <w:jc w:val="both"/>
      </w:pPr>
      <w:r>
        <w:rPr>
          <w:rFonts w:ascii="Barlow Semi Condensed" w:cs="Barlow Semi Condensed" w:eastAsia="Barlow Semi Condensed" w:hAnsi="Barlow Semi Condensed"/>
          <w:b/>
          <w:bCs/>
          <w:sz w:val="24"/>
          <w:szCs w:val="24"/>
        </w:rPr>
        <w:t xml:space="preserve">337 · La disciplina archivistica.</w:t>
      </w:r>
      <w:r>
        <w:rPr>
          <w:rFonts w:ascii="Barlow Semi Condensed" w:cs="Barlow Semi Condensed" w:eastAsia="Barlow Semi Condensed" w:hAnsi="Barlow Semi Condensed"/>
          <w:sz w:val="24"/>
          <w:szCs w:val="24"/>
        </w:rPr>
        <w:t xml:space="preserve"> I termini di consultabilità degli archivi pubblici — ordinari e prolungati per i dati sensibili — si censiscono fondo per fondo: metà delle «carte negate» della leggenda sono carte a termine non ancora maturato, e la tavola delle scadenze le trasforma da mistero in calendario.</w:t>
      </w:r>
    </w:p>
    <w:p>
      <w:pPr>
        <w:spacing w:after="120" w:line="276"/>
        <w:jc w:val="both"/>
      </w:pPr>
      <w:r>
        <w:rPr>
          <w:rFonts w:ascii="Barlow Semi Condensed" w:cs="Barlow Semi Condensed" w:eastAsia="Barlow Semi Condensed" w:hAnsi="Barlow Semi Condensed"/>
          <w:b/>
          <w:bCs/>
          <w:sz w:val="24"/>
          <w:szCs w:val="24"/>
        </w:rPr>
        <w:t xml:space="preserve">338 · L'accesso civico.</w:t>
      </w:r>
      <w:r>
        <w:rPr>
          <w:rFonts w:ascii="Barlow Semi Condensed" w:cs="Barlow Semi Condensed" w:eastAsia="Barlow Semi Condensed" w:hAnsi="Barlow Semi Condensed"/>
          <w:sz w:val="24"/>
          <w:szCs w:val="24"/>
        </w:rPr>
        <w:t xml:space="preserve"> Gli strumenti di trasparenza vigenti si usano per gli atti amministrativi del caso non coperti da altre discipline: ogni istanza e ogni diniego motivato entrano nel registro (blocco 118 vale anche in Italia).</w:t>
      </w:r>
    </w:p>
    <w:p>
      <w:pPr>
        <w:spacing w:after="120" w:line="276"/>
        <w:jc w:val="both"/>
      </w:pPr>
      <w:r>
        <w:rPr>
          <w:rFonts w:ascii="Barlow Semi Condensed" w:cs="Barlow Semi Condensed" w:eastAsia="Barlow Semi Condensed" w:hAnsi="Barlow Semi Condensed"/>
          <w:b/>
          <w:bCs/>
          <w:sz w:val="24"/>
          <w:szCs w:val="24"/>
        </w:rPr>
        <w:t xml:space="preserve">339 · La declassificazione a richiesta.</w:t>
      </w:r>
      <w:r>
        <w:rPr>
          <w:rFonts w:ascii="Barlow Semi Condensed" w:cs="Barlow Semi Condensed" w:eastAsia="Barlow Semi Condensed" w:hAnsi="Barlow Semi Condensed"/>
          <w:sz w:val="24"/>
          <w:szCs w:val="24"/>
        </w:rPr>
        <w:t xml:space="preserve"> Oltre le direttive generali già censite, l'ordinamento consente istanze puntuali di declassifica: l'elenco esatto degli atti (blocco 242) è la forma che rende le istanze accoglibili.</w:t>
      </w:r>
    </w:p>
    <w:p>
      <w:pPr>
        <w:spacing w:after="120" w:line="276"/>
        <w:jc w:val="both"/>
      </w:pPr>
      <w:r>
        <w:rPr>
          <w:rFonts w:ascii="Barlow Semi Condensed" w:cs="Barlow Semi Condensed" w:eastAsia="Barlow Semi Condensed" w:hAnsi="Barlow Semi Condensed"/>
          <w:b/>
          <w:bCs/>
          <w:sz w:val="24"/>
          <w:szCs w:val="24"/>
        </w:rPr>
        <w:t xml:space="preserve">340 · La protezione dei dati e i defunti.</w:t>
      </w:r>
      <w:r>
        <w:rPr>
          <w:rFonts w:ascii="Barlow Semi Condensed" w:cs="Barlow Semi Condensed" w:eastAsia="Barlow Semi Condensed" w:hAnsi="Barlow Semi Condensed"/>
          <w:sz w:val="24"/>
          <w:szCs w:val="24"/>
        </w:rPr>
        <w:t xml:space="preserve"> La disciplina dei dati personali si applica con le sue regole anche alla materia storica: i diritti dei terzi viventi si rispettano per obbligo, la memoria dei defunti per la dignità — e il protocollo del blocco 315 è la traduzione operativa.</w:t>
      </w:r>
    </w:p>
    <w:p>
      <w:pPr>
        <w:spacing w:after="120" w:line="276"/>
        <w:jc w:val="both"/>
      </w:pPr>
      <w:r>
        <w:rPr>
          <w:rFonts w:ascii="Barlow Semi Condensed" w:cs="Barlow Semi Condensed" w:eastAsia="Barlow Semi Condensed" w:hAnsi="Barlow Semi Condensed"/>
          <w:b/>
          <w:bCs/>
          <w:sz w:val="24"/>
          <w:szCs w:val="24"/>
        </w:rPr>
        <w:t xml:space="preserve">341 · Il diritto d'autore delle carte.</w:t>
      </w:r>
      <w:r>
        <w:rPr>
          <w:rFonts w:ascii="Barlow Semi Condensed" w:cs="Barlow Semi Condensed" w:eastAsia="Barlow Semi Condensed" w:hAnsi="Barlow Semi Condensed"/>
          <w:sz w:val="24"/>
          <w:szCs w:val="24"/>
        </w:rPr>
        <w:t xml:space="preserve"> Memorie, lettere e fotografie private hanno titolari: l'acquisizione conservativa (124) distingue sempre la proprietà del supporto, i diritti sul contenuto e il consenso all'uso, in tre righe scritte.</w:t>
      </w:r>
    </w:p>
    <w:p>
      <w:pPr>
        <w:spacing w:after="120" w:line="276"/>
        <w:jc w:val="both"/>
      </w:pPr>
      <w:r>
        <w:rPr>
          <w:rFonts w:ascii="Barlow Semi Condensed" w:cs="Barlow Semi Condensed" w:eastAsia="Barlow Semi Condensed" w:hAnsi="Barlow Semi Condensed"/>
          <w:b/>
          <w:bCs/>
          <w:sz w:val="24"/>
          <w:szCs w:val="24"/>
        </w:rPr>
        <w:t xml:space="preserve">342 · Le rogatorie e la cooperazione.</w:t>
      </w:r>
      <w:r>
        <w:rPr>
          <w:rFonts w:ascii="Barlow Semi Condensed" w:cs="Barlow Semi Condensed" w:eastAsia="Barlow Semi Condensed" w:hAnsi="Barlow Semi Condensed"/>
          <w:sz w:val="24"/>
          <w:szCs w:val="24"/>
        </w:rPr>
        <w:t xml:space="preserve"> Gli strumenti di assistenza giudiziaria internazionale — per deposizioni, documenti, comparazioni — si attivano dalle autorità competenti su impulso motivato: la serie ottava fornisce gli impulsi, il diritto le forme.</w:t>
      </w:r>
    </w:p>
    <w:p>
      <w:pPr>
        <w:spacing w:after="120" w:line="276"/>
        <w:jc w:val="both"/>
      </w:pPr>
      <w:r>
        <w:rPr>
          <w:rFonts w:ascii="Barlow Semi Condensed" w:cs="Barlow Semi Condensed" w:eastAsia="Barlow Semi Condensed" w:hAnsi="Barlow Semi Condensed"/>
          <w:b/>
          <w:bCs/>
          <w:sz w:val="24"/>
          <w:szCs w:val="24"/>
        </w:rPr>
        <w:t xml:space="preserve">343 · La prova scientifica in giudizio.</w:t>
      </w:r>
      <w:r>
        <w:rPr>
          <w:rFonts w:ascii="Barlow Semi Condensed" w:cs="Barlow Semi Condensed" w:eastAsia="Barlow Semi Condensed" w:hAnsi="Barlow Semi Condensed"/>
          <w:sz w:val="24"/>
          <w:szCs w:val="24"/>
        </w:rPr>
        <w:t xml:space="preserve"> Gli standard di ammissibilità della prova tecnica orientano i cantieri fin dall'inizio: catena di custodia, metodo validato, contraddittorio — i blocchi 46-75 sono scritti perché ogni esito regga anche in aula, se mai dovrà entrarci.</w:t>
      </w:r>
    </w:p>
    <w:p>
      <w:pPr>
        <w:spacing w:after="120" w:line="276"/>
        <w:jc w:val="both"/>
      </w:pPr>
      <w:r>
        <w:rPr>
          <w:rFonts w:ascii="Barlow Semi Condensed" w:cs="Barlow Semi Condensed" w:eastAsia="Barlow Semi Condensed" w:hAnsi="Barlow Semi Condensed"/>
          <w:b/>
          <w:bCs/>
          <w:sz w:val="24"/>
          <w:szCs w:val="24"/>
        </w:rPr>
        <w:t xml:space="preserve">344 · Il sequestro conservativo dei fondi a rischio.</w:t>
      </w:r>
      <w:r>
        <w:rPr>
          <w:rFonts w:ascii="Barlow Semi Condensed" w:cs="Barlow Semi Condensed" w:eastAsia="Barlow Semi Condensed" w:hAnsi="Barlow Semi Condensed"/>
          <w:sz w:val="24"/>
          <w:szCs w:val="24"/>
        </w:rPr>
        <w:t xml:space="preserve"> Dove un fondo privato rilevante rischi dispersione, l'ordinamento offre strumenti di acquisizione e tutela: la segnalazione tempestiva alle sedi competenti è un atto del cantiere archivistico.</w:t>
      </w:r>
    </w:p>
    <w:p>
      <w:pPr>
        <w:spacing w:after="120" w:line="276"/>
        <w:jc w:val="both"/>
      </w:pPr>
      <w:r>
        <w:rPr>
          <w:rFonts w:ascii="Barlow Semi Condensed" w:cs="Barlow Semi Condensed" w:eastAsia="Barlow Semi Condensed" w:hAnsi="Barlow Semi Condensed"/>
          <w:b/>
          <w:bCs/>
          <w:sz w:val="24"/>
          <w:szCs w:val="24"/>
        </w:rPr>
        <w:t xml:space="preserve">345 · La dichiarazione di interesse culturale.</w:t>
      </w:r>
      <w:r>
        <w:rPr>
          <w:rFonts w:ascii="Barlow Semi Condensed" w:cs="Barlow Semi Condensed" w:eastAsia="Barlow Semi Condensed" w:hAnsi="Barlow Semi Condensed"/>
          <w:sz w:val="24"/>
          <w:szCs w:val="24"/>
        </w:rPr>
        <w:t xml:space="preserve"> I fondi privati di rilievo storico possono essere vincolati nelle forme del codice dei beni culturali: il vincolo non espropria — obbliga a conservare e notificare, ed è lo scudo giuridico del blocco 124.</w:t>
      </w:r>
    </w:p>
    <w:p>
      <w:pPr>
        <w:spacing w:after="120" w:line="276"/>
        <w:jc w:val="both"/>
      </w:pPr>
      <w:r>
        <w:rPr>
          <w:rFonts w:ascii="Barlow Semi Condensed" w:cs="Barlow Semi Condensed" w:eastAsia="Barlow Semi Condensed" w:hAnsi="Barlow Semi Condensed"/>
          <w:b/>
          <w:bCs/>
          <w:sz w:val="24"/>
          <w:szCs w:val="24"/>
        </w:rPr>
        <w:t xml:space="preserve">346 · Il deposito volontario regolato.</w:t>
      </w:r>
      <w:r>
        <w:rPr>
          <w:rFonts w:ascii="Barlow Semi Condensed" w:cs="Barlow Semi Condensed" w:eastAsia="Barlow Semi Condensed" w:hAnsi="Barlow Semi Condensed"/>
          <w:sz w:val="24"/>
          <w:szCs w:val="24"/>
        </w:rPr>
        <w:t xml:space="preserve"> Per i lasciti della serie quinta: convenzioni-tipo di deposito con clausole di accesso, embargo e apertura postuma — la deposizione sigillata (161) ha bisogno del suo contratto, e il modello si scrive una volta per tutte.</w:t>
      </w:r>
    </w:p>
    <w:p>
      <w:pPr>
        <w:spacing w:after="120" w:line="276"/>
        <w:jc w:val="both"/>
      </w:pPr>
      <w:r>
        <w:rPr>
          <w:rFonts w:ascii="Barlow Semi Condensed" w:cs="Barlow Semi Condensed" w:eastAsia="Barlow Semi Condensed" w:hAnsi="Barlow Semi Condensed"/>
          <w:b/>
          <w:bCs/>
          <w:sz w:val="24"/>
          <w:szCs w:val="24"/>
        </w:rPr>
        <w:t xml:space="preserve">347 · La testimonianza e i suoi obblighi.</w:t>
      </w:r>
      <w:r>
        <w:rPr>
          <w:rFonts w:ascii="Barlow Semi Condensed" w:cs="Barlow Semi Condensed" w:eastAsia="Barlow Semi Condensed" w:hAnsi="Barlow Semi Condensed"/>
          <w:sz w:val="24"/>
          <w:szCs w:val="24"/>
        </w:rPr>
        <w:t xml:space="preserve"> Chi è chiamato dalle autorità ha doveri e garanzie di legge; chi parla ai cantieri storici lo fa volontariamente, con consenso informato scritto: i due regimi non si confondono mai, e ogni escussione dichiara in testa il proprio.</w:t>
      </w:r>
    </w:p>
    <w:p>
      <w:pPr>
        <w:spacing w:after="120" w:line="276"/>
        <w:jc w:val="both"/>
      </w:pPr>
      <w:r>
        <w:rPr>
          <w:rFonts w:ascii="Barlow Semi Condensed" w:cs="Barlow Semi Condensed" w:eastAsia="Barlow Semi Condensed" w:hAnsi="Barlow Semi Condensed"/>
          <w:b/>
          <w:bCs/>
          <w:sz w:val="24"/>
          <w:szCs w:val="24"/>
        </w:rPr>
        <w:t xml:space="preserve">348 · I segreti professionali e d'ufficio.</w:t>
      </w:r>
      <w:r>
        <w:rPr>
          <w:rFonts w:ascii="Barlow Semi Condensed" w:cs="Barlow Semi Condensed" w:eastAsia="Barlow Semi Condensed" w:hAnsi="Barlow Semi Condensed"/>
          <w:sz w:val="24"/>
          <w:szCs w:val="24"/>
        </w:rPr>
        <w:t xml:space="preserve"> Difensori, medici, ministri di culto, funzionari: ogni categoria porta i propri limiti al dichiarabile; il protocollo delle escussioni li mappa prima, perché nessuna domanda chieda ciò che il diritto vieta di rispondere.</w:t>
      </w:r>
    </w:p>
    <w:p>
      <w:pPr>
        <w:spacing w:after="120" w:line="276"/>
        <w:jc w:val="both"/>
      </w:pPr>
      <w:r>
        <w:rPr>
          <w:rFonts w:ascii="Barlow Semi Condensed" w:cs="Barlow Semi Condensed" w:eastAsia="Barlow Semi Condensed" w:hAnsi="Barlow Semi Condensed"/>
          <w:b/>
          <w:bCs/>
          <w:sz w:val="24"/>
          <w:szCs w:val="24"/>
        </w:rPr>
        <w:t xml:space="preserve">349 · La diffamazione e la storia.</w:t>
      </w:r>
      <w:r>
        <w:rPr>
          <w:rFonts w:ascii="Barlow Semi Condensed" w:cs="Barlow Semi Condensed" w:eastAsia="Barlow Semi Condensed" w:hAnsi="Barlow Semi Condensed"/>
          <w:sz w:val="24"/>
          <w:szCs w:val="24"/>
        </w:rPr>
        <w:t xml:space="preserve"> Il diritto di critica storica ha i suoi confini giurisprudenziali: verità putativa, continenza, interesse pubblico. Ogni pubblicazione dei cantieri li rispetta per obbligo — e li supera per metodo, perché il grado dichiarato è più esigente della continenza.</w:t>
      </w:r>
    </w:p>
    <w:p>
      <w:pPr>
        <w:spacing w:after="120" w:line="276"/>
        <w:jc w:val="both"/>
      </w:pPr>
      <w:r>
        <w:rPr>
          <w:rFonts w:ascii="Barlow Semi Condensed" w:cs="Barlow Semi Condensed" w:eastAsia="Barlow Semi Condensed" w:hAnsi="Barlow Semi Condensed"/>
          <w:b/>
          <w:bCs/>
          <w:sz w:val="24"/>
          <w:szCs w:val="24"/>
        </w:rPr>
        <w:t xml:space="preserve">350 · La responsabilità degli enti d'archivio.</w:t>
      </w:r>
      <w:r>
        <w:rPr>
          <w:rFonts w:ascii="Barlow Semi Condensed" w:cs="Barlow Semi Condensed" w:eastAsia="Barlow Semi Condensed" w:hAnsi="Barlow Semi Condensed"/>
          <w:sz w:val="24"/>
          <w:szCs w:val="24"/>
        </w:rPr>
        <w:t xml:space="preserve"> Chi detiene fondi pubblici ha obblighi di conservazione e accesso: i dinieghi si impugnano nelle sedi amministrative, e ogni impugnazione — vinta o persa — produce la carta che il registro chiede.</w:t>
      </w:r>
    </w:p>
    <w:p>
      <w:pPr>
        <w:spacing w:after="120" w:line="276"/>
        <w:jc w:val="both"/>
      </w:pPr>
      <w:r>
        <w:rPr>
          <w:rFonts w:ascii="Barlow Semi Condensed" w:cs="Barlow Semi Condensed" w:eastAsia="Barlow Semi Condensed" w:hAnsi="Barlow Semi Condensed"/>
          <w:b/>
          <w:bCs/>
          <w:sz w:val="24"/>
          <w:szCs w:val="24"/>
        </w:rPr>
        <w:t xml:space="preserve">351 · Il falso e la sua repressione.</w:t>
      </w:r>
      <w:r>
        <w:rPr>
          <w:rFonts w:ascii="Barlow Semi Condensed" w:cs="Barlow Semi Condensed" w:eastAsia="Barlow Semi Condensed" w:hAnsi="Barlow Semi Condensed"/>
          <w:sz w:val="24"/>
          <w:szCs w:val="24"/>
        </w:rPr>
        <w:t xml:space="preserve"> Documenti contraffatti offerti ai cantieri (il rischio è storico: il caso ne ha già visti) si trattano con perizia immediata e, ove rilevante, con denuncia: il mercato dei falsi si scoraggia con gli atti, non con gli appelli.</w:t>
      </w:r>
    </w:p>
    <w:p>
      <w:pPr>
        <w:spacing w:after="120" w:line="276"/>
        <w:jc w:val="both"/>
      </w:pPr>
      <w:r>
        <w:rPr>
          <w:rFonts w:ascii="Barlow Semi Condensed" w:cs="Barlow Semi Condensed" w:eastAsia="Barlow Semi Condensed" w:hAnsi="Barlow Semi Condensed"/>
          <w:b/>
          <w:bCs/>
          <w:sz w:val="24"/>
          <w:szCs w:val="24"/>
        </w:rPr>
        <w:t xml:space="preserve">352 · L'ordinamento del 1978 come parametro.</w:t>
      </w:r>
      <w:r>
        <w:rPr>
          <w:rFonts w:ascii="Barlow Semi Condensed" w:cs="Barlow Semi Condensed" w:eastAsia="Barlow Semi Condensed" w:hAnsi="Barlow Semi Condensed"/>
          <w:sz w:val="24"/>
          <w:szCs w:val="24"/>
        </w:rPr>
        <w:t xml:space="preserve"> Le condotte storiche si valutano contro i doveri giuridici dell'epoca (blocco 137-138): la tavola delle norme vigenti allora — pubblica sicurezza, procedura, ordinamenti interni — è uno strumento giuridico del caso quanto quelle di oggi.</w:t>
      </w:r>
    </w:p>
    <w:p>
      <w:pPr>
        <w:spacing w:after="120" w:line="276"/>
        <w:jc w:val="both"/>
      </w:pPr>
      <w:r>
        <w:rPr>
          <w:rFonts w:ascii="Barlow Semi Condensed" w:cs="Barlow Semi Condensed" w:eastAsia="Barlow Semi Condensed" w:hAnsi="Barlow Semi Condensed"/>
          <w:b/>
          <w:bCs/>
          <w:sz w:val="24"/>
          <w:szCs w:val="24"/>
        </w:rPr>
        <w:t xml:space="preserve">353 · Le immunità e le prerogative.</w:t>
      </w:r>
      <w:r>
        <w:rPr>
          <w:rFonts w:ascii="Barlow Semi Condensed" w:cs="Barlow Semi Condensed" w:eastAsia="Barlow Semi Condensed" w:hAnsi="Barlow Semi Condensed"/>
          <w:sz w:val="24"/>
          <w:szCs w:val="24"/>
        </w:rPr>
        <w:t xml:space="preserve"> Dove gli atti toccano funzioni coperte da prerogative costituzionali, le procedure dedicate si rispettano alla lettera: il manuale non conosce scorciatoie, perché ogni scorciatoia diventa un vizio che invalida.</w:t>
      </w:r>
    </w:p>
    <w:p>
      <w:pPr>
        <w:spacing w:after="120" w:line="276"/>
        <w:jc w:val="both"/>
      </w:pPr>
      <w:r>
        <w:rPr>
          <w:rFonts w:ascii="Barlow Semi Condensed" w:cs="Barlow Semi Condensed" w:eastAsia="Barlow Semi Condensed" w:hAnsi="Barlow Semi Condensed"/>
          <w:b/>
          <w:bCs/>
          <w:sz w:val="24"/>
          <w:szCs w:val="24"/>
        </w:rPr>
        <w:t xml:space="preserve">354 · Il patrocinio del metodo.</w:t>
      </w:r>
      <w:r>
        <w:rPr>
          <w:rFonts w:ascii="Barlow Semi Condensed" w:cs="Barlow Semi Condensed" w:eastAsia="Barlow Semi Condensed" w:hAnsi="Barlow Semi Condensed"/>
          <w:sz w:val="24"/>
          <w:szCs w:val="24"/>
        </w:rPr>
        <w:t xml:space="preserve"> I cantieri si dotano di consulenza giuridica stabile: ogni serie di questo manuale ha un capitolo di diritto applicato, e nessun atto parte senza il suo visto di forma.</w:t>
      </w:r>
    </w:p>
    <w:p>
      <w:pPr>
        <w:spacing w:after="120" w:line="276"/>
        <w:jc w:val="both"/>
      </w:pPr>
      <w:r>
        <w:rPr>
          <w:rFonts w:ascii="Barlow Semi Condensed" w:cs="Barlow Semi Condensed" w:eastAsia="Barlow Semi Condensed" w:hAnsi="Barlow Semi Condensed"/>
          <w:b/>
          <w:bCs/>
          <w:sz w:val="24"/>
          <w:szCs w:val="24"/>
        </w:rPr>
        <w:t xml:space="preserve">355 · Il criterio della serie.</w:t>
      </w:r>
      <w:r>
        <w:rPr>
          <w:rFonts w:ascii="Barlow Semi Condensed" w:cs="Barlow Semi Condensed" w:eastAsia="Barlow Semi Condensed" w:hAnsi="Barlow Semi Condensed"/>
          <w:sz w:val="24"/>
          <w:szCs w:val="24"/>
        </w:rPr>
        <w:t xml:space="preserve"> Ogni strumento giuridico censito chiude con lo stesso esito delle piste: un atto formale — un'istanza, una convenzione, un vincolo, un'impugnazione — verbalizzato nel registro. Il diritto, nel nuovo caso, è un generatore di documenti come tutto il resto.</w:t>
      </w:r>
    </w:p>
    <w:p>
      <w:pPr>
        <w:pStyle w:val="Heading2"/>
        <w:spacing w:after="100" w:before="200"/>
      </w:pPr>
      <w:r>
        <w:rPr>
          <w:rFonts w:ascii="Barlow Semi Condensed" w:cs="Barlow Semi Condensed" w:eastAsia="Barlow Semi Condensed" w:hAnsi="Barlow Semi Condensed"/>
          <w:sz w:val="24"/>
          <w:szCs w:val="24"/>
        </w:rPr>
        <w:t xml:space="preserve">Serie tredicesima — Il controllo di qualità e i bias (blocchi 356-375)</w:t>
      </w:r>
    </w:p>
    <w:p>
      <w:pPr>
        <w:spacing w:after="120" w:line="276"/>
        <w:jc w:val="both"/>
      </w:pPr>
      <w:r>
        <w:rPr>
          <w:rFonts w:ascii="Barlow Semi Condensed" w:cs="Barlow Semi Condensed" w:eastAsia="Barlow Semi Condensed" w:hAnsi="Barlow Semi Condensed"/>
          <w:i/>
          <w:iCs/>
          <w:sz w:val="24"/>
          <w:szCs w:val="24"/>
        </w:rPr>
        <w:t xml:space="preserve">Statuto della serie: l'indagine che si indaga. Gli errori della serie nona erano storici; questi sono permanenti — i difetti cognitivi e organizzativi che ogni indagine porta con sé — e la serie li presidia con procedure, non con buone intenzioni.</w:t>
      </w:r>
    </w:p>
    <w:p>
      <w:pPr>
        <w:spacing w:after="120" w:line="276"/>
        <w:jc w:val="both"/>
      </w:pPr>
      <w:r>
        <w:rPr>
          <w:rFonts w:ascii="Barlow Semi Condensed" w:cs="Barlow Semi Condensed" w:eastAsia="Barlow Semi Condensed" w:hAnsi="Barlow Semi Condensed"/>
          <w:b/>
          <w:bCs/>
          <w:sz w:val="24"/>
          <w:szCs w:val="24"/>
        </w:rPr>
        <w:t xml:space="preserve">356 · Il red team.</w:t>
      </w:r>
      <w:r>
        <w:rPr>
          <w:rFonts w:ascii="Barlow Semi Condensed" w:cs="Barlow Semi Condensed" w:eastAsia="Barlow Semi Condensed" w:hAnsi="Barlow Semi Condensed"/>
          <w:sz w:val="24"/>
          <w:szCs w:val="24"/>
        </w:rPr>
        <w:t xml:space="preserve"> Un gruppo stabile con un solo mandato: smontare. Per ogni esito rilevante, il red team scrive la miglior confutazione possibile prima della pubblicazione; la risposta alla confutazione è parte dell'atto.</w:t>
      </w:r>
    </w:p>
    <w:p>
      <w:pPr>
        <w:spacing w:after="120" w:line="276"/>
        <w:jc w:val="both"/>
      </w:pPr>
      <w:r>
        <w:rPr>
          <w:rFonts w:ascii="Barlow Semi Condensed" w:cs="Barlow Semi Condensed" w:eastAsia="Barlow Semi Condensed" w:hAnsi="Barlow Semi Condensed"/>
          <w:b/>
          <w:bCs/>
          <w:sz w:val="24"/>
          <w:szCs w:val="24"/>
        </w:rPr>
        <w:t xml:space="preserve">357 · L'avvocato del diavolo di matrice.</w:t>
      </w:r>
      <w:r>
        <w:rPr>
          <w:rFonts w:ascii="Barlow Semi Condensed" w:cs="Barlow Semi Condensed" w:eastAsia="Barlow Semi Condensed" w:hAnsi="Barlow Semi Condensed"/>
          <w:sz w:val="24"/>
          <w:szCs w:val="24"/>
        </w:rPr>
        <w:t xml:space="preserve"> In ogni matrice ACH, un membro designato difende d'ufficio l'ipotesi meno gradita al gruppo: la difesa è verbalizzata, e la matrice non chiude finché non è stata sentita.</w:t>
      </w:r>
    </w:p>
    <w:p>
      <w:pPr>
        <w:spacing w:after="120" w:line="276"/>
        <w:jc w:val="both"/>
      </w:pPr>
      <w:r>
        <w:rPr>
          <w:rFonts w:ascii="Barlow Semi Condensed" w:cs="Barlow Semi Condensed" w:eastAsia="Barlow Semi Condensed" w:hAnsi="Barlow Semi Condensed"/>
          <w:b/>
          <w:bCs/>
          <w:sz w:val="24"/>
          <w:szCs w:val="24"/>
        </w:rPr>
        <w:t xml:space="preserve">358 · Il bias di conferma.</w:t>
      </w:r>
      <w:r>
        <w:rPr>
          <w:rFonts w:ascii="Barlow Semi Condensed" w:cs="Barlow Semi Condensed" w:eastAsia="Barlow Semi Condensed" w:hAnsi="Barlow Semi Condensed"/>
          <w:sz w:val="24"/>
          <w:szCs w:val="24"/>
        </w:rPr>
        <w:t xml:space="preserve"> Il difetto capitale: cercare ciò che conferma. Antidoto procedurale: ogni piano di ricerca elenca prima le evidenze che smentirebbero — e le cerca per prime (è il falsificazionismo fatto agenda).</w:t>
      </w:r>
    </w:p>
    <w:p>
      <w:pPr>
        <w:spacing w:after="120" w:line="276"/>
        <w:jc w:val="both"/>
      </w:pPr>
      <w:r>
        <w:rPr>
          <w:rFonts w:ascii="Barlow Semi Condensed" w:cs="Barlow Semi Condensed" w:eastAsia="Barlow Semi Condensed" w:hAnsi="Barlow Semi Condensed"/>
          <w:b/>
          <w:bCs/>
          <w:sz w:val="24"/>
          <w:szCs w:val="24"/>
        </w:rPr>
        <w:t xml:space="preserve">359 · Il senno di poi.</w:t>
      </w:r>
      <w:r>
        <w:rPr>
          <w:rFonts w:ascii="Barlow Semi Condensed" w:cs="Barlow Semi Condensed" w:eastAsia="Barlow Semi Condensed" w:hAnsi="Barlow Semi Condensed"/>
          <w:sz w:val="24"/>
          <w:szCs w:val="24"/>
        </w:rPr>
        <w:t xml:space="preserve"> Giudicare il 1978 sapendo come finì. Antidoto: la valutazione delle condotte usa solo le informazioni disponibili all'epoca dell'atto, ricostruite documentalmente (blocchi 137, 352); il resto è cronaca, non giudizio.</w:t>
      </w:r>
    </w:p>
    <w:p>
      <w:pPr>
        <w:spacing w:after="120" w:line="276"/>
        <w:jc w:val="both"/>
      </w:pPr>
      <w:r>
        <w:rPr>
          <w:rFonts w:ascii="Barlow Semi Condensed" w:cs="Barlow Semi Condensed" w:eastAsia="Barlow Semi Condensed" w:hAnsi="Barlow Semi Condensed"/>
          <w:b/>
          <w:bCs/>
          <w:sz w:val="24"/>
          <w:szCs w:val="24"/>
        </w:rPr>
        <w:t xml:space="preserve">360 · L'ancoraggio.</w:t>
      </w:r>
      <w:r>
        <w:rPr>
          <w:rFonts w:ascii="Barlow Semi Condensed" w:cs="Barlow Semi Condensed" w:eastAsia="Barlow Semi Condensed" w:hAnsi="Barlow Semi Condensed"/>
          <w:sz w:val="24"/>
          <w:szCs w:val="24"/>
        </w:rPr>
        <w:t xml:space="preserve"> La prima cifra, la prima versione, la prima perizia che orientano tutto il seguito. Antidoto: le revisioni periodiche ripartono dai dati grezzi, non dalle sintesi precedenti; e ogni sintesi dichiara le proprie fonti primarie.</w:t>
      </w:r>
    </w:p>
    <w:p>
      <w:pPr>
        <w:spacing w:after="120" w:line="276"/>
        <w:jc w:val="both"/>
      </w:pPr>
      <w:r>
        <w:rPr>
          <w:rFonts w:ascii="Barlow Semi Condensed" w:cs="Barlow Semi Condensed" w:eastAsia="Barlow Semi Condensed" w:hAnsi="Barlow Semi Condensed"/>
          <w:b/>
          <w:bCs/>
          <w:sz w:val="24"/>
          <w:szCs w:val="24"/>
        </w:rPr>
        <w:t xml:space="preserve">361 · La disponibilità.</w:t>
      </w:r>
      <w:r>
        <w:rPr>
          <w:rFonts w:ascii="Barlow Semi Condensed" w:cs="Barlow Semi Condensed" w:eastAsia="Barlow Semi Condensed" w:hAnsi="Barlow Semi Condensed"/>
          <w:sz w:val="24"/>
          <w:szCs w:val="24"/>
        </w:rPr>
        <w:t xml:space="preserve"> Ciò che è celebre pesa più di ciò che è documentato: la seduta spiritica sovrasta il protocollo. Antidoto: le priorità si assegnano col modello dichiarato dei punteggi, mai con la notorietà del nodo.</w:t>
      </w:r>
    </w:p>
    <w:p>
      <w:pPr>
        <w:spacing w:after="120" w:line="276"/>
        <w:jc w:val="both"/>
      </w:pPr>
      <w:r>
        <w:rPr>
          <w:rFonts w:ascii="Barlow Semi Condensed" w:cs="Barlow Semi Condensed" w:eastAsia="Barlow Semi Condensed" w:hAnsi="Barlow Semi Condensed"/>
          <w:b/>
          <w:bCs/>
          <w:sz w:val="24"/>
          <w:szCs w:val="24"/>
        </w:rPr>
        <w:t xml:space="preserve">362 · La visione a tunnel.</w:t>
      </w:r>
      <w:r>
        <w:rPr>
          <w:rFonts w:ascii="Barlow Semi Condensed" w:cs="Barlow Semi Condensed" w:eastAsia="Barlow Semi Condensed" w:hAnsi="Barlow Semi Condensed"/>
          <w:sz w:val="24"/>
          <w:szCs w:val="24"/>
        </w:rPr>
        <w:t xml:space="preserve"> L'indagine che si innamora di una pista. Antidoto: il portafoglio delle piste resta bilanciato per costruzione — la revisione trimestrale (287) verifica che nessuna pista assorba risorse oltre il suo punteggio.</w:t>
      </w:r>
    </w:p>
    <w:p>
      <w:pPr>
        <w:spacing w:after="120" w:line="276"/>
        <w:jc w:val="both"/>
      </w:pPr>
      <w:r>
        <w:rPr>
          <w:rFonts w:ascii="Barlow Semi Condensed" w:cs="Barlow Semi Condensed" w:eastAsia="Barlow Semi Condensed" w:hAnsi="Barlow Semi Condensed"/>
          <w:b/>
          <w:bCs/>
          <w:sz w:val="24"/>
          <w:szCs w:val="24"/>
        </w:rPr>
        <w:t xml:space="preserve">363 · Il pensiero di gruppo.</w:t>
      </w:r>
      <w:r>
        <w:rPr>
          <w:rFonts w:ascii="Barlow Semi Condensed" w:cs="Barlow Semi Condensed" w:eastAsia="Barlow Semi Condensed" w:hAnsi="Barlow Semi Condensed"/>
          <w:sz w:val="24"/>
          <w:szCs w:val="24"/>
        </w:rPr>
        <w:t xml:space="preserve"> Il consenso interno scambiato per verità. Antidoto: i pareri nei cantieri si raccolgono per iscritto prima della discussione collegiale; il dissenso è verbalizzato con pari dignità.</w:t>
      </w:r>
    </w:p>
    <w:p>
      <w:pPr>
        <w:spacing w:after="120" w:line="276"/>
        <w:jc w:val="both"/>
      </w:pPr>
      <w:r>
        <w:rPr>
          <w:rFonts w:ascii="Barlow Semi Condensed" w:cs="Barlow Semi Condensed" w:eastAsia="Barlow Semi Condensed" w:hAnsi="Barlow Semi Condensed"/>
          <w:b/>
          <w:bCs/>
          <w:sz w:val="24"/>
          <w:szCs w:val="24"/>
        </w:rPr>
        <w:t xml:space="preserve">364 · Il bias d'autorità.</w:t>
      </w:r>
      <w:r>
        <w:rPr>
          <w:rFonts w:ascii="Barlow Semi Condensed" w:cs="Barlow Semi Condensed" w:eastAsia="Barlow Semi Condensed" w:hAnsi="Barlow Semi Condensed"/>
          <w:sz w:val="24"/>
          <w:szCs w:val="24"/>
        </w:rPr>
        <w:t xml:space="preserve"> La firma illustre che chiude le domande. Antidoto: negli atti dei cantieri le asserzioni valgono per le fonti, non per i firmatari; la replica indipendente (74) vale anche per i massimi esperti.</w:t>
      </w:r>
    </w:p>
    <w:p>
      <w:pPr>
        <w:spacing w:after="120" w:line="276"/>
        <w:jc w:val="both"/>
      </w:pPr>
      <w:r>
        <w:rPr>
          <w:rFonts w:ascii="Barlow Semi Condensed" w:cs="Barlow Semi Condensed" w:eastAsia="Barlow Semi Condensed" w:hAnsi="Barlow Semi Condensed"/>
          <w:b/>
          <w:bCs/>
          <w:sz w:val="24"/>
          <w:szCs w:val="24"/>
        </w:rPr>
        <w:t xml:space="preserve">365 · La fallacia narrativa.</w:t>
      </w:r>
      <w:r>
        <w:rPr>
          <w:rFonts w:ascii="Barlow Semi Condensed" w:cs="Barlow Semi Condensed" w:eastAsia="Barlow Semi Condensed" w:hAnsi="Barlow Semi Condensed"/>
          <w:sz w:val="24"/>
          <w:szCs w:val="24"/>
        </w:rPr>
        <w:t xml:space="preserve"> La storia bella che si impone sui dati sparsi. Antidoto: le tavole prima delle prose (14); ogni ricostruzione narrativa pubblica dichiara quali dati non spiega — il paragrafo «ciò che questa lettura lascia fuori» è obbligatorio.</w:t>
      </w:r>
    </w:p>
    <w:p>
      <w:pPr>
        <w:spacing w:after="120" w:line="276"/>
        <w:jc w:val="both"/>
      </w:pPr>
      <w:r>
        <w:rPr>
          <w:rFonts w:ascii="Barlow Semi Condensed" w:cs="Barlow Semi Condensed" w:eastAsia="Barlow Semi Condensed" w:hAnsi="Barlow Semi Condensed"/>
          <w:b/>
          <w:bCs/>
          <w:sz w:val="24"/>
          <w:szCs w:val="24"/>
        </w:rPr>
        <w:t xml:space="preserve">366 · Il costo affondato.</w:t>
      </w:r>
      <w:r>
        <w:rPr>
          <w:rFonts w:ascii="Barlow Semi Condensed" w:cs="Barlow Semi Condensed" w:eastAsia="Barlow Semi Condensed" w:hAnsi="Barlow Semi Condensed"/>
          <w:sz w:val="24"/>
          <w:szCs w:val="24"/>
        </w:rPr>
        <w:t xml:space="preserve"> Anni investiti su una pista che meriterebbe archiviazione. Antidoto: le condizioni d'arresto (286) si applicano senza riguardo all'investimento; l'archiviazione motivata è un successo contabile, non una sconfitta.</w:t>
      </w:r>
    </w:p>
    <w:p>
      <w:pPr>
        <w:spacing w:after="120" w:line="276"/>
        <w:jc w:val="both"/>
      </w:pPr>
      <w:r>
        <w:rPr>
          <w:rFonts w:ascii="Barlow Semi Condensed" w:cs="Barlow Semi Condensed" w:eastAsia="Barlow Semi Condensed" w:hAnsi="Barlow Semi Condensed"/>
          <w:b/>
          <w:bCs/>
          <w:sz w:val="24"/>
          <w:szCs w:val="24"/>
        </w:rPr>
        <w:t xml:space="preserve">367 · La negligenza della base.</w:t>
      </w:r>
      <w:r>
        <w:rPr>
          <w:rFonts w:ascii="Barlow Semi Condensed" w:cs="Barlow Semi Condensed" w:eastAsia="Barlow Semi Condensed" w:hAnsi="Barlow Semi Condensed"/>
          <w:sz w:val="24"/>
          <w:szCs w:val="24"/>
        </w:rPr>
        <w:t xml:space="preserve"> L'anomalia dichiarata senza conoscere la normalità. Antidoto: il campione di controllo (136, 227) è obbligatorio per ogni affermazione di anomalia — nessun «strano» senza il suo «normale» misurato.</w:t>
      </w:r>
    </w:p>
    <w:p>
      <w:pPr>
        <w:spacing w:after="120" w:line="276"/>
        <w:jc w:val="both"/>
      </w:pPr>
      <w:r>
        <w:rPr>
          <w:rFonts w:ascii="Barlow Semi Condensed" w:cs="Barlow Semi Condensed" w:eastAsia="Barlow Semi Condensed" w:hAnsi="Barlow Semi Condensed"/>
          <w:b/>
          <w:bCs/>
          <w:sz w:val="24"/>
          <w:szCs w:val="24"/>
        </w:rPr>
        <w:t xml:space="preserve">368 · Il bias di selezione delle fonti.</w:t>
      </w:r>
      <w:r>
        <w:rPr>
          <w:rFonts w:ascii="Barlow Semi Condensed" w:cs="Barlow Semi Condensed" w:eastAsia="Barlow Semi Condensed" w:hAnsi="Barlow Semi Condensed"/>
          <w:sz w:val="24"/>
          <w:szCs w:val="24"/>
        </w:rPr>
        <w:t xml:space="preserve"> Citare i fondi che parlano e tacere quelli muti. Antidoto: ogni pubblicazione elenca </w:t>
      </w:r>
      <w:r>
        <w:rPr>
          <w:rFonts w:ascii="Barlow Semi Condensed" w:cs="Barlow Semi Condensed" w:eastAsia="Barlow Semi Condensed" w:hAnsi="Barlow Semi Condensed"/>
          <w:i/>
          <w:iCs/>
          <w:sz w:val="24"/>
          <w:szCs w:val="24"/>
        </w:rPr>
        <w:t xml:space="preserve">tutti</w:t>
      </w:r>
      <w:r>
        <w:rPr>
          <w:rFonts w:ascii="Barlow Semi Condensed" w:cs="Barlow Semi Condensed" w:eastAsia="Barlow Semi Condensed" w:hAnsi="Barlow Semi Condensed"/>
          <w:sz w:val="24"/>
          <w:szCs w:val="24"/>
        </w:rPr>
        <w:t xml:space="preserve"> i fondi consultati, inclusi quelli senza esito (13, 276).</w:t>
      </w:r>
    </w:p>
    <w:p>
      <w:pPr>
        <w:spacing w:after="120" w:line="276"/>
        <w:jc w:val="both"/>
      </w:pPr>
      <w:r>
        <w:rPr>
          <w:rFonts w:ascii="Barlow Semi Condensed" w:cs="Barlow Semi Condensed" w:eastAsia="Barlow Semi Condensed" w:hAnsi="Barlow Semi Condensed"/>
          <w:b/>
          <w:bCs/>
          <w:sz w:val="24"/>
          <w:szCs w:val="24"/>
        </w:rPr>
        <w:t xml:space="preserve">369 · L'effetto alone del reperto.</w:t>
      </w:r>
      <w:r>
        <w:rPr>
          <w:rFonts w:ascii="Barlow Semi Condensed" w:cs="Barlow Semi Condensed" w:eastAsia="Barlow Semi Condensed" w:hAnsi="Barlow Semi Condensed"/>
          <w:sz w:val="24"/>
          <w:szCs w:val="24"/>
        </w:rPr>
        <w:t xml:space="preserve"> La scienza nuova che nobilita un reperto a custodia rotta. Antidoto: il grado condizionato alla catena (48) si stampa accanto a ogni esito, nella stessa riga, con lo stesso corpo tipografico.</w:t>
      </w:r>
    </w:p>
    <w:p>
      <w:pPr>
        <w:spacing w:after="120" w:line="276"/>
        <w:jc w:val="both"/>
      </w:pPr>
      <w:r>
        <w:rPr>
          <w:rFonts w:ascii="Barlow Semi Condensed" w:cs="Barlow Semi Condensed" w:eastAsia="Barlow Semi Condensed" w:hAnsi="Barlow Semi Condensed"/>
          <w:b/>
          <w:bCs/>
          <w:sz w:val="24"/>
          <w:szCs w:val="24"/>
        </w:rPr>
        <w:t xml:space="preserve">370 · La contaminazione fra cantieri.</w:t>
      </w:r>
      <w:r>
        <w:rPr>
          <w:rFonts w:ascii="Barlow Semi Condensed" w:cs="Barlow Semi Condensed" w:eastAsia="Barlow Semi Condensed" w:hAnsi="Barlow Semi Condensed"/>
          <w:sz w:val="24"/>
          <w:szCs w:val="24"/>
        </w:rPr>
        <w:t xml:space="preserve"> L'ipotesi giudiziaria che orienta lo spoglio, o viceversa. Antidoto: i quesiti si scambiano per iscritto nel tavolo di coordinamento (26); gli operatori di spoglio non conoscono le ipotesi correnti oltre le chiavi dichiarate.</w:t>
      </w:r>
    </w:p>
    <w:p>
      <w:pPr>
        <w:spacing w:after="120" w:line="276"/>
        <w:jc w:val="both"/>
      </w:pPr>
      <w:r>
        <w:rPr>
          <w:rFonts w:ascii="Barlow Semi Condensed" w:cs="Barlow Semi Condensed" w:eastAsia="Barlow Semi Condensed" w:hAnsi="Barlow Semi Condensed"/>
          <w:b/>
          <w:bCs/>
          <w:sz w:val="24"/>
          <w:szCs w:val="24"/>
        </w:rPr>
        <w:t xml:space="preserve">371 · La quality review programmata.</w:t>
      </w:r>
      <w:r>
        <w:rPr>
          <w:rFonts w:ascii="Barlow Semi Condensed" w:cs="Barlow Semi Condensed" w:eastAsia="Barlow Semi Condensed" w:hAnsi="Barlow Semi Condensed"/>
          <w:sz w:val="24"/>
          <w:szCs w:val="24"/>
        </w:rPr>
        <w:t xml:space="preserve"> Un audit esterno annuale — condotto da chi non lavora nei cantieri — verifica a campione: catene di custodia, schede, gradi assegnati, protocolli di escussione. Il rapporto d'audit è pubblico.</w:t>
      </w:r>
    </w:p>
    <w:p>
      <w:pPr>
        <w:spacing w:after="120" w:line="276"/>
        <w:jc w:val="both"/>
      </w:pPr>
      <w:r>
        <w:rPr>
          <w:rFonts w:ascii="Barlow Semi Condensed" w:cs="Barlow Semi Condensed" w:eastAsia="Barlow Semi Condensed" w:hAnsi="Barlow Semi Condensed"/>
          <w:b/>
          <w:bCs/>
          <w:sz w:val="24"/>
          <w:szCs w:val="24"/>
        </w:rPr>
        <w:t xml:space="preserve">372 · Il tasso d'errore dichiarato.</w:t>
      </w:r>
      <w:r>
        <w:rPr>
          <w:rFonts w:ascii="Barlow Semi Condensed" w:cs="Barlow Semi Condensed" w:eastAsia="Barlow Semi Condensed" w:hAnsi="Barlow Semi Condensed"/>
          <w:sz w:val="24"/>
          <w:szCs w:val="24"/>
        </w:rPr>
        <w:t xml:space="preserve"> Ogni processo di massa (schedatura, OCR, entity linking) misura e pubblica il proprio tasso d'errore su campione verificato: i dati del caso viaggiano con la loro barra d'incertezza.</w:t>
      </w:r>
    </w:p>
    <w:p>
      <w:pPr>
        <w:spacing w:after="120" w:line="276"/>
        <w:jc w:val="both"/>
      </w:pPr>
      <w:r>
        <w:rPr>
          <w:rFonts w:ascii="Barlow Semi Condensed" w:cs="Barlow Semi Condensed" w:eastAsia="Barlow Semi Condensed" w:hAnsi="Barlow Semi Condensed"/>
          <w:b/>
          <w:bCs/>
          <w:sz w:val="24"/>
          <w:szCs w:val="24"/>
        </w:rPr>
        <w:t xml:space="preserve">373 · La calibrazione dei giudizi.</w:t>
      </w:r>
      <w:r>
        <w:rPr>
          <w:rFonts w:ascii="Barlow Semi Condensed" w:cs="Barlow Semi Condensed" w:eastAsia="Barlow Semi Condensed" w:hAnsi="Barlow Semi Condensed"/>
          <w:sz w:val="24"/>
          <w:szCs w:val="24"/>
        </w:rPr>
        <w:t xml:space="preserve"> Chi assegna gradi e punteggi si esercita periodicamente su casi di controllo a esito noto: la coerenza inter-valutatore si misura, e le divergenze sistematiche si correggono con la formazione, non con l'autorità.</w:t>
      </w:r>
    </w:p>
    <w:p>
      <w:pPr>
        <w:spacing w:after="120" w:line="276"/>
        <w:jc w:val="both"/>
      </w:pPr>
      <w:r>
        <w:rPr>
          <w:rFonts w:ascii="Barlow Semi Condensed" w:cs="Barlow Semi Condensed" w:eastAsia="Barlow Semi Condensed" w:hAnsi="Barlow Semi Condensed"/>
          <w:b/>
          <w:bCs/>
          <w:sz w:val="24"/>
          <w:szCs w:val="24"/>
        </w:rPr>
        <w:t xml:space="preserve">374 · Il registro dei quasi-errori.</w:t>
      </w:r>
      <w:r>
        <w:rPr>
          <w:rFonts w:ascii="Barlow Semi Condensed" w:cs="Barlow Semi Condensed" w:eastAsia="Barlow Semi Condensed" w:hAnsi="Barlow Semi Condensed"/>
          <w:sz w:val="24"/>
          <w:szCs w:val="24"/>
        </w:rPr>
        <w:t xml:space="preserve"> Gli sbagli intercettati prima della pubblicazione si schedano come i quasi-incidenti dell'aviazione: sono il materiale didattico più prezioso del metodo, e alimentano la serie nona (280).</w:t>
      </w:r>
    </w:p>
    <w:p>
      <w:pPr>
        <w:spacing w:after="120" w:line="276"/>
        <w:jc w:val="both"/>
      </w:pPr>
      <w:r>
        <w:rPr>
          <w:rFonts w:ascii="Barlow Semi Condensed" w:cs="Barlow Semi Condensed" w:eastAsia="Barlow Semi Condensed" w:hAnsi="Barlow Semi Condensed"/>
          <w:b/>
          <w:bCs/>
          <w:sz w:val="24"/>
          <w:szCs w:val="24"/>
        </w:rPr>
        <w:t xml:space="preserve">375 · Il criterio della serie.</w:t>
      </w:r>
      <w:r>
        <w:rPr>
          <w:rFonts w:ascii="Barlow Semi Condensed" w:cs="Barlow Semi Condensed" w:eastAsia="Barlow Semi Condensed" w:hAnsi="Barlow Semi Condensed"/>
          <w:sz w:val="24"/>
          <w:szCs w:val="24"/>
        </w:rPr>
        <w:t xml:space="preserve"> La qualità del nuovo caso non si proclama: si misura — audit, tassi, calibrazioni, confutazioni — e ogni misura è pubblica. Un'indagine che non pubblica i propri controlli chiede fiducia; questa esibisce verifica.</w:t>
      </w:r>
    </w:p>
    <w:p>
      <w:pPr>
        <w:pStyle w:val="Heading2"/>
        <w:spacing w:after="100" w:before="200"/>
      </w:pPr>
      <w:r>
        <w:rPr>
          <w:rFonts w:ascii="Barlow Semi Condensed" w:cs="Barlow Semi Condensed" w:eastAsia="Barlow Semi Condensed" w:hAnsi="Barlow Semi Condensed"/>
          <w:sz w:val="24"/>
          <w:szCs w:val="24"/>
        </w:rPr>
        <w:t xml:space="preserve">Serie quattordicesima — Il raccordo esecutivo per pista (blocchi 376-391)</w:t>
      </w:r>
    </w:p>
    <w:p>
      <w:pPr>
        <w:spacing w:after="120" w:line="276"/>
        <w:jc w:val="both"/>
      </w:pPr>
      <w:r>
        <w:rPr>
          <w:rFonts w:ascii="Barlow Semi Condensed" w:cs="Barlow Semi Condensed" w:eastAsia="Barlow Semi Condensed" w:hAnsi="Barlow Semi Condensed"/>
          <w:i/>
          <w:iCs/>
          <w:sz w:val="24"/>
          <w:szCs w:val="24"/>
        </w:rPr>
        <w:t xml:space="preserve">Statuto della serie: l'indice operativo. Per ciascuna pista viva, un solo blocco: cantiere responsabile, blocchi del manuale che la servono, primo atto, evidenza attesa. La serie è la cerniera fra le graduatorie e il lavoro quotidiano.</w:t>
      </w:r>
    </w:p>
    <w:p>
      <w:pPr>
        <w:spacing w:after="120" w:line="276"/>
        <w:jc w:val="both"/>
      </w:pPr>
      <w:r>
        <w:rPr>
          <w:rFonts w:ascii="Barlow Semi Condensed" w:cs="Barlow Semi Condensed" w:eastAsia="Barlow Semi Condensed" w:hAnsi="Barlow Semi Condensed"/>
          <w:b/>
          <w:bCs/>
          <w:sz w:val="24"/>
          <w:szCs w:val="24"/>
        </w:rPr>
        <w:t xml:space="preserve">376 · PN-1, le terze presenze (89,0).</w:t>
      </w:r>
      <w:r>
        <w:rPr>
          <w:rFonts w:ascii="Barlow Semi Condensed" w:cs="Barlow Semi Condensed" w:eastAsia="Barlow Semi Condensed" w:hAnsi="Barlow Semi Condensed"/>
          <w:sz w:val="24"/>
          <w:szCs w:val="24"/>
        </w:rPr>
        <w:t xml:space="preserve"> Cantiere giudiziario. Blocchi di servizio: 46-56, 84-85, 171-174. Primo atto: inventario e catena dei 91 bossoli. Evidenza attesa: l'attribuzione integrale o il residuo ignoto.</w:t>
      </w:r>
    </w:p>
    <w:p>
      <w:pPr>
        <w:spacing w:after="120" w:line="276"/>
        <w:jc w:val="both"/>
      </w:pPr>
      <w:r>
        <w:rPr>
          <w:rFonts w:ascii="Barlow Semi Condensed" w:cs="Barlow Semi Condensed" w:eastAsia="Barlow Semi Condensed" w:hAnsi="Barlow Semi Condensed"/>
          <w:b/>
          <w:bCs/>
          <w:sz w:val="24"/>
          <w:szCs w:val="24"/>
        </w:rPr>
        <w:t xml:space="preserve">377 · PN-7, i testimoni viventi (77,5).</w:t>
      </w:r>
      <w:r>
        <w:rPr>
          <w:rFonts w:ascii="Barlow Semi Condensed" w:cs="Barlow Semi Condensed" w:eastAsia="Barlow Semi Condensed" w:hAnsi="Barlow Semi Condensed"/>
          <w:sz w:val="24"/>
          <w:szCs w:val="24"/>
        </w:rPr>
        <w:t xml:space="preserve"> Cantiere conservativo. Blocchi: 141-148, 160, 169, 334. Primo atto: la tavola delle urgenze e le prime escussioni in contraddittorio documentale. Evidenza attesa: il giacimento fissato prima che il tempo lo chiuda.</w:t>
      </w:r>
    </w:p>
    <w:p>
      <w:pPr>
        <w:spacing w:after="120" w:line="276"/>
        <w:jc w:val="both"/>
      </w:pPr>
      <w:r>
        <w:rPr>
          <w:rFonts w:ascii="Barlow Semi Condensed" w:cs="Barlow Semi Condensed" w:eastAsia="Barlow Semi Condensed" w:hAnsi="Barlow Semi Condensed"/>
          <w:b/>
          <w:bCs/>
          <w:sz w:val="24"/>
          <w:szCs w:val="24"/>
        </w:rPr>
        <w:t xml:space="preserve">378 · PN-4, la fonte di «Gradoli» (74,5).</w:t>
      </w:r>
      <w:r>
        <w:rPr>
          <w:rFonts w:ascii="Barlow Semi Condensed" w:cs="Barlow Semi Condensed" w:eastAsia="Barlow Semi Condensed" w:hAnsi="Barlow Semi Condensed"/>
          <w:sz w:val="24"/>
          <w:szCs w:val="24"/>
        </w:rPr>
        <w:t xml:space="preserve"> Cantiere archivistico. Blocchi: 100, 92-96, 179-180, 251. Primo atto: la ricerca della verbalizzazione originaria nei versamenti del Viminale. Evidenza attesa: la catena documentale, anello per anello.</w:t>
      </w:r>
    </w:p>
    <w:p>
      <w:pPr>
        <w:spacing w:after="120" w:line="276"/>
        <w:jc w:val="both"/>
      </w:pPr>
      <w:r>
        <w:rPr>
          <w:rFonts w:ascii="Barlow Semi Condensed" w:cs="Barlow Semi Condensed" w:eastAsia="Barlow Semi Condensed" w:hAnsi="Barlow Semi Condensed"/>
          <w:b/>
          <w:bCs/>
          <w:sz w:val="24"/>
          <w:szCs w:val="24"/>
        </w:rPr>
        <w:t xml:space="preserve">379 · PN-2, il caricatore (71,0).</w:t>
      </w:r>
      <w:r>
        <w:rPr>
          <w:rFonts w:ascii="Barlow Semi Condensed" w:cs="Barlow Semi Condensed" w:eastAsia="Barlow Semi Condensed" w:hAnsi="Barlow Semi Condensed"/>
          <w:sz w:val="24"/>
          <w:szCs w:val="24"/>
        </w:rPr>
        <w:t xml:space="preserve"> Cantiere giudiziario. Blocchi: 57-58, 73-74. Primo atto: gli esiti delle analisi in corso, con la verifica di compatibilità d'arma. Evidenza attesa: il quesito binario chiuso, in uno dei due rami.</w:t>
      </w:r>
    </w:p>
    <w:p>
      <w:pPr>
        <w:spacing w:after="120" w:line="276"/>
        <w:jc w:val="both"/>
      </w:pPr>
      <w:r>
        <w:rPr>
          <w:rFonts w:ascii="Barlow Semi Condensed" w:cs="Barlow Semi Condensed" w:eastAsia="Barlow Semi Condensed" w:hAnsi="Barlow Semi Condensed"/>
          <w:b/>
          <w:bCs/>
          <w:sz w:val="24"/>
          <w:szCs w:val="24"/>
        </w:rPr>
        <w:t xml:space="preserve">380 · PN-5, le omissioni istituzionali nel fondo Renzi (67,5).</w:t>
      </w:r>
      <w:r>
        <w:rPr>
          <w:rFonts w:ascii="Barlow Semi Condensed" w:cs="Barlow Semi Condensed" w:eastAsia="Barlow Semi Condensed" w:hAnsi="Barlow Semi Condensed"/>
          <w:sz w:val="24"/>
          <w:szCs w:val="24"/>
        </w:rPr>
        <w:t xml:space="preserve"> Cantiere archivistico. Blocchi: 92-96, 105-107, 137-138. Primo atto: lo spoglio prioritario dei versamenti Viminale con le chiavi del caso. Evidenza attesa: le schede di rinvenimento e di assenza.</w:t>
      </w:r>
    </w:p>
    <w:p>
      <w:pPr>
        <w:spacing w:after="120" w:line="276"/>
        <w:jc w:val="both"/>
      </w:pPr>
      <w:r>
        <w:rPr>
          <w:rFonts w:ascii="Barlow Semi Condensed" w:cs="Barlow Semi Condensed" w:eastAsia="Barlow Semi Condensed" w:hAnsi="Barlow Semi Condensed"/>
          <w:b/>
          <w:bCs/>
          <w:sz w:val="24"/>
          <w:szCs w:val="24"/>
        </w:rPr>
        <w:t xml:space="preserve">381 · PN-3, i profili DNA non identificati (67,5).</w:t>
      </w:r>
      <w:r>
        <w:rPr>
          <w:rFonts w:ascii="Barlow Semi Condensed" w:cs="Barlow Semi Condensed" w:eastAsia="Barlow Semi Condensed" w:hAnsi="Barlow Semi Condensed"/>
          <w:sz w:val="24"/>
          <w:szCs w:val="24"/>
        </w:rPr>
        <w:t xml:space="preserve"> Cantiere giudiziario. Blocchi: 59-61, 245. Primo atto: il completamento delle comparazioni autorizzate. Evidenza attesa: identificazioni o residui dichiarati.</w:t>
      </w:r>
    </w:p>
    <w:p>
      <w:pPr>
        <w:spacing w:after="120" w:line="276"/>
        <w:jc w:val="both"/>
      </w:pPr>
      <w:r>
        <w:rPr>
          <w:rFonts w:ascii="Barlow Semi Condensed" w:cs="Barlow Semi Condensed" w:eastAsia="Barlow Semi Condensed" w:hAnsi="Barlow Semi Condensed"/>
          <w:b/>
          <w:bCs/>
          <w:sz w:val="24"/>
          <w:szCs w:val="24"/>
        </w:rPr>
        <w:t xml:space="preserve">382 · PN-8, gli archivi futuri (52,5).</w:t>
      </w:r>
      <w:r>
        <w:rPr>
          <w:rFonts w:ascii="Barlow Semi Condensed" w:cs="Barlow Semi Condensed" w:eastAsia="Barlow Semi Condensed" w:hAnsi="Barlow Semi Condensed"/>
          <w:sz w:val="24"/>
          <w:szCs w:val="24"/>
        </w:rPr>
        <w:t xml:space="preserve"> Cantiere archivistico. Blocchi: 112-113, 284. Primo atto: le istanze pronte con i quesiti scritti. Evidenza attesa: lo spoglio dal primo giorno utile.</w:t>
      </w:r>
    </w:p>
    <w:p>
      <w:pPr>
        <w:spacing w:after="120" w:line="276"/>
        <w:jc w:val="both"/>
      </w:pPr>
      <w:r>
        <w:rPr>
          <w:rFonts w:ascii="Barlow Semi Condensed" w:cs="Barlow Semi Condensed" w:eastAsia="Barlow Semi Condensed" w:hAnsi="Barlow Semi Condensed"/>
          <w:b/>
          <w:bCs/>
          <w:sz w:val="24"/>
          <w:szCs w:val="24"/>
        </w:rPr>
        <w:t xml:space="preserve">383 · PN-6, la sorte del memoriale (50,5).</w:t>
      </w:r>
      <w:r>
        <w:rPr>
          <w:rFonts w:ascii="Barlow Semi Condensed" w:cs="Barlow Semi Condensed" w:eastAsia="Barlow Semi Condensed" w:hAnsi="Barlow Semi Condensed"/>
          <w:sz w:val="24"/>
          <w:szCs w:val="24"/>
        </w:rPr>
        <w:t xml:space="preserve"> Cantiere archivistico con perizia. Blocchi: 67-68, 195-199. Primo atto: la collazione integrale delle tre tradizioni. Evidenza attesa: la carta delle lacune.</w:t>
      </w:r>
    </w:p>
    <w:p>
      <w:pPr>
        <w:spacing w:after="120" w:line="276"/>
        <w:jc w:val="both"/>
      </w:pPr>
      <w:r>
        <w:rPr>
          <w:rFonts w:ascii="Barlow Semi Condensed" w:cs="Barlow Semi Condensed" w:eastAsia="Barlow Semi Condensed" w:hAnsi="Barlow Semi Condensed"/>
          <w:b/>
          <w:bCs/>
          <w:sz w:val="24"/>
          <w:szCs w:val="24"/>
        </w:rPr>
        <w:t xml:space="preserve">384 · PE-1, i comitati e le appartenenze (74,5).</w:t>
      </w:r>
      <w:r>
        <w:rPr>
          <w:rFonts w:ascii="Barlow Semi Condensed" w:cs="Barlow Semi Condensed" w:eastAsia="Barlow Semi Condensed" w:hAnsi="Barlow Semi Condensed"/>
          <w:sz w:val="24"/>
          <w:szCs w:val="24"/>
        </w:rPr>
        <w:t xml:space="preserve"> Cantiere archivistico. Blocchi: 105-107, 200-203, 352. Primo atto: la tavola nominale dai decreti e dai verbali. Evidenza attesa: la percentuale documentale con date, qualunque sia.</w:t>
      </w:r>
    </w:p>
    <w:p>
      <w:pPr>
        <w:spacing w:after="120" w:line="276"/>
        <w:jc w:val="both"/>
      </w:pPr>
      <w:r>
        <w:rPr>
          <w:rFonts w:ascii="Barlow Semi Condensed" w:cs="Barlow Semi Condensed" w:eastAsia="Barlow Semi Condensed" w:hAnsi="Barlow Semi Condensed"/>
          <w:b/>
          <w:bCs/>
          <w:sz w:val="24"/>
          <w:szCs w:val="24"/>
        </w:rPr>
        <w:t xml:space="preserve">385 · PE-3, i trenta giorni di via Gradoli (74,5).</w:t>
      </w:r>
      <w:r>
        <w:rPr>
          <w:rFonts w:ascii="Barlow Semi Condensed" w:cs="Barlow Semi Condensed" w:eastAsia="Barlow Semi Condensed" w:hAnsi="Barlow Semi Condensed"/>
          <w:sz w:val="24"/>
          <w:szCs w:val="24"/>
        </w:rPr>
        <w:t xml:space="preserve"> Cantiere archivistico. Blocchi: 101-103, 181-186, 251-252. Primo atto: il fascicolo del Flaminio Nuovo e il fascicolo VVF integrale. Evidenza attesa: le due catene — della nota e dell'allagamento.</w:t>
      </w:r>
    </w:p>
    <w:p>
      <w:pPr>
        <w:spacing w:after="120" w:line="276"/>
        <w:jc w:val="both"/>
      </w:pPr>
      <w:r>
        <w:rPr>
          <w:rFonts w:ascii="Barlow Semi Condensed" w:cs="Barlow Semi Condensed" w:eastAsia="Barlow Semi Condensed" w:hAnsi="Barlow Semi Condensed"/>
          <w:b/>
          <w:bCs/>
          <w:sz w:val="24"/>
          <w:szCs w:val="24"/>
        </w:rPr>
        <w:t xml:space="preserve">386 · PE-2, il condominio e le sue date (67,5).</w:t>
      </w:r>
      <w:r>
        <w:rPr>
          <w:rFonts w:ascii="Barlow Semi Condensed" w:cs="Barlow Semi Condensed" w:eastAsia="Barlow Semi Condensed" w:hAnsi="Barlow Semi Condensed"/>
          <w:sz w:val="24"/>
          <w:szCs w:val="24"/>
        </w:rPr>
        <w:t xml:space="preserve"> Cantiere archivistico. Blocchi: 108-110, 122, 204-205, 261. Primo atto: le visure storiche dei 66 appartamenti. Evidenza attesa: la tavola proprietà×tempo con le tre finestre.</w:t>
      </w:r>
    </w:p>
    <w:p>
      <w:pPr>
        <w:spacing w:after="120" w:line="276"/>
        <w:jc w:val="both"/>
      </w:pPr>
      <w:r>
        <w:rPr>
          <w:rFonts w:ascii="Barlow Semi Condensed" w:cs="Barlow Semi Condensed" w:eastAsia="Barlow Semi Condensed" w:hAnsi="Barlow Semi Condensed"/>
          <w:b/>
          <w:bCs/>
          <w:sz w:val="24"/>
          <w:szCs w:val="24"/>
        </w:rPr>
        <w:t xml:space="preserve">387 · PE-6, il registro delle segnalazioni (61,0).</w:t>
      </w:r>
      <w:r>
        <w:rPr>
          <w:rFonts w:ascii="Barlow Semi Condensed" w:cs="Barlow Semi Condensed" w:eastAsia="Barlow Semi Condensed" w:hAnsi="Barlow Semi Condensed"/>
          <w:sz w:val="24"/>
          <w:szCs w:val="24"/>
        </w:rPr>
        <w:t xml:space="preserve"> Cantiere archivistico con progetto dedicato. Blocchi: 211-235, 94, 209. Primo atto: i tre calibri sullo schema-dati. Evidenza attesa: le metriche e la distribuzione per segmento.</w:t>
      </w:r>
    </w:p>
    <w:p>
      <w:pPr>
        <w:spacing w:after="120" w:line="276"/>
        <w:jc w:val="both"/>
      </w:pPr>
      <w:r>
        <w:rPr>
          <w:rFonts w:ascii="Barlow Semi Condensed" w:cs="Barlow Semi Condensed" w:eastAsia="Barlow Semi Condensed" w:hAnsi="Barlow Semi Condensed"/>
          <w:b/>
          <w:bCs/>
          <w:sz w:val="24"/>
          <w:szCs w:val="24"/>
        </w:rPr>
        <w:t xml:space="preserve">388 · PE-5, gli alleati e l'originatore (59,5).</w:t>
      </w:r>
      <w:r>
        <w:rPr>
          <w:rFonts w:ascii="Barlow Semi Condensed" w:cs="Barlow Semi Condensed" w:eastAsia="Barlow Semi Condensed" w:hAnsi="Barlow Semi Condensed"/>
          <w:sz w:val="24"/>
          <w:szCs w:val="24"/>
        </w:rPr>
        <w:t xml:space="preserve"> Cantiere archivistico con sportello internazionale. Blocchi: 115-119, 241-242, 248. Primo atto: l'interrogazione sistematica dell'AAD e l'istanza sul caso FOIA identificato. Evidenza attesa: la tavola rilasciato/trattenuto/origine-alleata.</w:t>
      </w:r>
    </w:p>
    <w:p>
      <w:pPr>
        <w:spacing w:after="120" w:line="276"/>
        <w:jc w:val="both"/>
      </w:pPr>
      <w:r>
        <w:rPr>
          <w:rFonts w:ascii="Barlow Semi Condensed" w:cs="Barlow Semi Condensed" w:eastAsia="Barlow Semi Condensed" w:hAnsi="Barlow Semi Condensed"/>
          <w:b/>
          <w:bCs/>
          <w:sz w:val="24"/>
          <w:szCs w:val="24"/>
        </w:rPr>
        <w:t xml:space="preserve">389 · PE-4, la mediazione vaticana (54,0).</w:t>
      </w:r>
      <w:r>
        <w:rPr>
          <w:rFonts w:ascii="Barlow Semi Condensed" w:cs="Barlow Semi Condensed" w:eastAsia="Barlow Semi Condensed" w:hAnsi="Barlow Semi Condensed"/>
          <w:sz w:val="24"/>
          <w:szCs w:val="24"/>
        </w:rPr>
        <w:t xml:space="preserve"> Cantiere archivistico con le cautele della serie dodicesima. Blocchi: 111-114, 123, 206-208, 348. Primo atto: l'istanza al fondo dei cappellani e i verbali dei covi coi nomi. Evidenza attesa: l'intermediario documentale o l'esaurimento certificato.</w:t>
      </w:r>
    </w:p>
    <w:p>
      <w:pPr>
        <w:spacing w:after="120" w:line="276"/>
        <w:jc w:val="both"/>
      </w:pPr>
      <w:r>
        <w:rPr>
          <w:rFonts w:ascii="Barlow Semi Condensed" w:cs="Barlow Semi Condensed" w:eastAsia="Barlow Semi Condensed" w:hAnsi="Barlow Semi Condensed"/>
          <w:b/>
          <w:bCs/>
          <w:sz w:val="24"/>
          <w:szCs w:val="24"/>
        </w:rPr>
        <w:t xml:space="preserve">390 · P-10, il vaglio negativo.</w:t>
      </w:r>
      <w:r>
        <w:rPr>
          <w:rFonts w:ascii="Barlow Semi Condensed" w:cs="Barlow Semi Condensed" w:eastAsia="Barlow Semi Condensed" w:hAnsi="Barlow Semi Condensed"/>
          <w:sz w:val="24"/>
          <w:szCs w:val="24"/>
        </w:rPr>
        <w:t xml:space="preserve"> Tutti i cantieri. Blocchi: 41, 273, 286. Atto permanente: la tenuta delle archiviazioni motivate — seconda prigione, nessi Hyperion-caso — coi criteri di riapertura vigilati a ogni novità documentale. Evidenza attesa: nessuna, per costruzione, fino a documento primario nuovo.</w:t>
      </w:r>
    </w:p>
    <w:p>
      <w:pPr>
        <w:spacing w:after="120" w:line="276"/>
        <w:jc w:val="both"/>
      </w:pPr>
      <w:r>
        <w:rPr>
          <w:rFonts w:ascii="Barlow Semi Condensed" w:cs="Barlow Semi Condensed" w:eastAsia="Barlow Semi Condensed" w:hAnsi="Barlow Semi Condensed"/>
          <w:b/>
          <w:bCs/>
          <w:sz w:val="24"/>
          <w:szCs w:val="24"/>
        </w:rPr>
        <w:t xml:space="preserve">391 · La meta-tavola del raccordo.</w:t>
      </w:r>
      <w:r>
        <w:rPr>
          <w:rFonts w:ascii="Barlow Semi Condensed" w:cs="Barlow Semi Condensed" w:eastAsia="Barlow Semi Condensed" w:hAnsi="Barlow Semi Condensed"/>
          <w:sz w:val="24"/>
          <w:szCs w:val="24"/>
        </w:rPr>
        <w:t xml:space="preserve"> I sedici blocchi precedenti in un'unica tavola viva sulla dashboard (325): pista, cantiere, primo atto, stato, prossima revisione. Chi apre il fascicolo del nuovo caso da qui vede, in una pagina, tutto ciò che si sta facendo e perché.</w:t>
      </w:r>
    </w:p>
    <w:p>
      <w:pPr>
        <w:pStyle w:val="Heading2"/>
        <w:spacing w:after="100" w:before="200"/>
      </w:pPr>
      <w:r>
        <w:rPr>
          <w:rFonts w:ascii="Barlow Semi Condensed" w:cs="Barlow Semi Condensed" w:eastAsia="Barlow Semi Condensed" w:hAnsi="Barlow Semi Condensed"/>
          <w:sz w:val="24"/>
          <w:szCs w:val="24"/>
        </w:rPr>
        <w:t xml:space="preserve">Serie quindicesima — Le contingenze e il futuro (blocchi 392-400)</w:t>
      </w:r>
    </w:p>
    <w:p>
      <w:pPr>
        <w:spacing w:after="120" w:line="276"/>
        <w:jc w:val="both"/>
      </w:pPr>
      <w:r>
        <w:rPr>
          <w:rFonts w:ascii="Barlow Semi Condensed" w:cs="Barlow Semi Condensed" w:eastAsia="Barlow Semi Condensed" w:hAnsi="Barlow Semi Condensed"/>
          <w:i/>
          <w:iCs/>
          <w:sz w:val="24"/>
          <w:szCs w:val="24"/>
        </w:rPr>
        <w:t xml:space="preserve">Statuto della serie: i piani per l'imprevisto. Nove scenari che possono accadere domani, ciascuno col suo protocollo già scritto — perché l'imprevisto trovi un metodo, non un'improvvisazione.</w:t>
      </w:r>
    </w:p>
    <w:p>
      <w:pPr>
        <w:spacing w:after="120" w:line="276"/>
        <w:jc w:val="both"/>
      </w:pPr>
      <w:r>
        <w:rPr>
          <w:rFonts w:ascii="Barlow Semi Condensed" w:cs="Barlow Semi Condensed" w:eastAsia="Barlow Semi Condensed" w:hAnsi="Barlow Semi Condensed"/>
          <w:b/>
          <w:bCs/>
          <w:sz w:val="24"/>
          <w:szCs w:val="24"/>
        </w:rPr>
        <w:t xml:space="preserve">392 · Se emerge un profilo ignoto.</w:t>
      </w:r>
      <w:r>
        <w:rPr>
          <w:rFonts w:ascii="Barlow Semi Condensed" w:cs="Barlow Semi Condensed" w:eastAsia="Barlow Semi Condensed" w:hAnsi="Barlow Semi Condensed"/>
          <w:sz w:val="24"/>
          <w:szCs w:val="24"/>
        </w:rPr>
        <w:t xml:space="preserve"> Dal DNA o dal caricatore: tutto si ferma nel perimetro toccato, la soglia giudiziaria (291) scatta, i cantieri storici congelano le pubblicazioni collegate fino alla qualificazione dell'autorità. Il protocollo di silenzio è scritto prima, per non doverlo negoziare dopo.</w:t>
      </w:r>
    </w:p>
    <w:p>
      <w:pPr>
        <w:spacing w:after="120" w:line="276"/>
        <w:jc w:val="both"/>
      </w:pPr>
      <w:r>
        <w:rPr>
          <w:rFonts w:ascii="Barlow Semi Condensed" w:cs="Barlow Semi Condensed" w:eastAsia="Barlow Semi Condensed" w:hAnsi="Barlow Semi Condensed"/>
          <w:b/>
          <w:bCs/>
          <w:sz w:val="24"/>
          <w:szCs w:val="24"/>
        </w:rPr>
        <w:t xml:space="preserve">393 · Se un testimone rivela in extremis.</w:t>
      </w:r>
      <w:r>
        <w:rPr>
          <w:rFonts w:ascii="Barlow Semi Condensed" w:cs="Barlow Semi Condensed" w:eastAsia="Barlow Semi Condensed" w:hAnsi="Barlow Semi Condensed"/>
          <w:sz w:val="24"/>
          <w:szCs w:val="24"/>
        </w:rPr>
        <w:t xml:space="preserve"> Dichiarazioni tardive di peso: raccolta immediata nelle forme più garantite disponibili (334 dove possibile), riscontro documentale prima di ogni pubblicità, e la lezione permanente del blocco 253 — la parola, anche ultima, si pesa sui documenti.</w:t>
      </w:r>
    </w:p>
    <w:p>
      <w:pPr>
        <w:spacing w:after="120" w:line="276"/>
        <w:jc w:val="both"/>
      </w:pPr>
      <w:r>
        <w:rPr>
          <w:rFonts w:ascii="Barlow Semi Condensed" w:cs="Barlow Semi Condensed" w:eastAsia="Barlow Semi Condensed" w:hAnsi="Barlow Semi Condensed"/>
          <w:b/>
          <w:bCs/>
          <w:sz w:val="24"/>
          <w:szCs w:val="24"/>
        </w:rPr>
        <w:t xml:space="preserve">394 · Se un fondo si perde.</w:t>
      </w:r>
      <w:r>
        <w:rPr>
          <w:rFonts w:ascii="Barlow Semi Condensed" w:cs="Barlow Semi Condensed" w:eastAsia="Barlow Semi Condensed" w:hAnsi="Barlow Semi Condensed"/>
          <w:sz w:val="24"/>
          <w:szCs w:val="24"/>
        </w:rPr>
        <w:t xml:space="preserve"> Incendio, alluvione, macero, smarrimento: il protocollo di disaster recovery (328) per il digitale; per il fisico, la denuncia immediata, il censimento di ciò che era schedato, e la scheda di perdita — perché anche ciò che non c'è più resti contato.</w:t>
      </w:r>
    </w:p>
    <w:p>
      <w:pPr>
        <w:spacing w:after="120" w:line="276"/>
        <w:jc w:val="both"/>
      </w:pPr>
      <w:r>
        <w:rPr>
          <w:rFonts w:ascii="Barlow Semi Condensed" w:cs="Barlow Semi Condensed" w:eastAsia="Barlow Semi Condensed" w:hAnsi="Barlow Semi Condensed"/>
          <w:b/>
          <w:bCs/>
          <w:sz w:val="24"/>
          <w:szCs w:val="24"/>
        </w:rPr>
        <w:t xml:space="preserve">395 · Se una tesi virale contamina il campo.</w:t>
      </w:r>
      <w:r>
        <w:rPr>
          <w:rFonts w:ascii="Barlow Semi Condensed" w:cs="Barlow Semi Condensed" w:eastAsia="Barlow Semi Condensed" w:hAnsi="Barlow Semi Condensed"/>
          <w:sz w:val="24"/>
          <w:szCs w:val="24"/>
        </w:rPr>
        <w:t xml:space="preserve"> Una narrazione mediatica che raggiunge i testimoni non ancora escussi: si accelera la raccolta conservativa sui toccati, si verbalizza l'esposizione di ciascuno alla tesi, e la risposta pubblica — se necessaria — è una sola pagina di gradi e fonti, mai un dibattito.</w:t>
      </w:r>
    </w:p>
    <w:p>
      <w:pPr>
        <w:spacing w:after="120" w:line="276"/>
        <w:jc w:val="both"/>
      </w:pPr>
      <w:r>
        <w:rPr>
          <w:rFonts w:ascii="Barlow Semi Condensed" w:cs="Barlow Semi Condensed" w:eastAsia="Barlow Semi Condensed" w:hAnsi="Barlow Semi Condensed"/>
          <w:b/>
          <w:bCs/>
          <w:sz w:val="24"/>
          <w:szCs w:val="24"/>
        </w:rPr>
        <w:t xml:space="preserve">396 · Se il fascicolo giudiziario archivia.</w:t>
      </w:r>
      <w:r>
        <w:rPr>
          <w:rFonts w:ascii="Barlow Semi Condensed" w:cs="Barlow Semi Condensed" w:eastAsia="Barlow Semi Condensed" w:hAnsi="Barlow Semi Condensed"/>
          <w:sz w:val="24"/>
          <w:szCs w:val="24"/>
        </w:rPr>
        <w:t xml:space="preserve"> I cantieri storici proseguono a pieno titolo: l'archiviazione giudiziaria chiude un procedimento, non la ricerca documentale; e ogni evidenza nuova riattiva la via del blocco 333. Il manuale è scritto per sopravvivere ai provvedimenti.</w:t>
      </w:r>
    </w:p>
    <w:p>
      <w:pPr>
        <w:spacing w:after="120" w:line="276"/>
        <w:jc w:val="both"/>
      </w:pPr>
      <w:r>
        <w:rPr>
          <w:rFonts w:ascii="Barlow Semi Condensed" w:cs="Barlow Semi Condensed" w:eastAsia="Barlow Semi Condensed" w:hAnsi="Barlow Semi Condensed"/>
          <w:b/>
          <w:bCs/>
          <w:sz w:val="24"/>
          <w:szCs w:val="24"/>
        </w:rPr>
        <w:t xml:space="preserve">397 · Se l'archivio atteso apre domani.</w:t>
      </w:r>
      <w:r>
        <w:rPr>
          <w:rFonts w:ascii="Barlow Semi Condensed" w:cs="Barlow Semi Condensed" w:eastAsia="Barlow Semi Condensed" w:hAnsi="Barlow Semi Condensed"/>
          <w:sz w:val="24"/>
          <w:szCs w:val="24"/>
        </w:rPr>
        <w:t xml:space="preserve"> L'istanza pronta (112) parte il primo giorno; l'équipe di spoglio dedicata è già formata sul vocabolario del fondo; i quesiti sono numerati. L'apertura di un archivio si prepara come un'operazione, perché lo è.</w:t>
      </w:r>
    </w:p>
    <w:p>
      <w:pPr>
        <w:spacing w:after="120" w:line="276"/>
        <w:jc w:val="both"/>
      </w:pPr>
      <w:r>
        <w:rPr>
          <w:rFonts w:ascii="Barlow Semi Condensed" w:cs="Barlow Semi Condensed" w:eastAsia="Barlow Semi Condensed" w:hAnsi="Barlow Semi Condensed"/>
          <w:b/>
          <w:bCs/>
          <w:sz w:val="24"/>
          <w:szCs w:val="24"/>
        </w:rPr>
        <w:t xml:space="preserve">398 · Se muore l'ultimo testimone di un nodo.</w:t>
      </w:r>
      <w:r>
        <w:rPr>
          <w:rFonts w:ascii="Barlow Semi Condensed" w:cs="Barlow Semi Condensed" w:eastAsia="Barlow Semi Condensed" w:hAnsi="Barlow Semi Condensed"/>
          <w:sz w:val="24"/>
          <w:szCs w:val="24"/>
        </w:rPr>
        <w:t xml:space="preserve"> La scheda delle domande mai poste (163) si aggiorna, i lasciti si cercano presso gli eredi (157), e il nodo passa formalmente alla sola via documentale: il passaggio si verbalizza, perché la storia del caso sappia quando ha perso ogni voce.</w:t>
      </w:r>
    </w:p>
    <w:p>
      <w:pPr>
        <w:spacing w:after="120" w:line="276"/>
        <w:jc w:val="both"/>
      </w:pPr>
      <w:r>
        <w:rPr>
          <w:rFonts w:ascii="Barlow Semi Condensed" w:cs="Barlow Semi Condensed" w:eastAsia="Barlow Semi Condensed" w:hAnsi="Barlow Semi Condensed"/>
          <w:b/>
          <w:bCs/>
          <w:sz w:val="24"/>
          <w:szCs w:val="24"/>
        </w:rPr>
        <w:t xml:space="preserve">399 · Se emergono responsabilità di apparati.</w:t>
      </w:r>
      <w:r>
        <w:rPr>
          <w:rFonts w:ascii="Barlow Semi Condensed" w:cs="Barlow Semi Condensed" w:eastAsia="Barlow Semi Condensed" w:hAnsi="Barlow Semi Condensed"/>
          <w:sz w:val="24"/>
          <w:szCs w:val="24"/>
        </w:rPr>
        <w:t xml:space="preserve"> La serie si chiude sul rischio più delicato: evidenze documentali di condotte istituzionali gravi. Protocollo: consegna integrale alle autorità, pubblicazione del solo documentale già pubblico per legge, nessuna anticipazione — e la regola del blocco 18 fino all'ultimo: atti e omissioni di persone e uffici, mai colpe collettive.</w:t>
      </w:r>
    </w:p>
    <w:p>
      <w:pPr>
        <w:spacing w:after="120" w:line="276"/>
        <w:jc w:val="both"/>
      </w:pPr>
      <w:r>
        <w:rPr>
          <w:rFonts w:ascii="Barlow Semi Condensed" w:cs="Barlow Semi Condensed" w:eastAsia="Barlow Semi Condensed" w:hAnsi="Barlow Semi Condensed"/>
          <w:b/>
          <w:bCs/>
          <w:sz w:val="24"/>
          <w:szCs w:val="24"/>
        </w:rPr>
        <w:t xml:space="preserve">400 · Il blocco quattrocento.</w:t>
      </w:r>
      <w:r>
        <w:rPr>
          <w:rFonts w:ascii="Barlow Semi Condensed" w:cs="Barlow Semi Condensed" w:eastAsia="Barlow Semi Condensed" w:hAnsi="Barlow Semi Condensed"/>
          <w:sz w:val="24"/>
          <w:szCs w:val="24"/>
        </w:rPr>
        <w:t xml:space="preserve"> La seconda edizione consegna il manuale alla sua forma compiuta: quattrocento blocchi, quindici serie, un solo metodo. Se servirà una terza edizione, sarà perché il caso avrà prodotto atti nuovi — e sarà la migliore notizia possibile: perché un manuale d'indagine invecchia in un solo modo onorevole, venendo eseguito.</w:t>
      </w:r>
    </w:p>
    <w:p>
      <w:pPr>
        <w:pBdr>
          <w:bottom w:val="single" w:color="999999" w:sz="6" w:space="1"/>
        </w:pBdr>
        <w:spacing w:after="80"/>
      </w:pPr>
    </w:p>
    <w:p>
      <w:pPr>
        <w:spacing w:after="120" w:line="276"/>
        <w:jc w:val="both"/>
      </w:pPr>
      <w:r>
        <w:rPr>
          <w:rFonts w:ascii="Barlow Semi Condensed" w:cs="Barlow Semi Condensed" w:eastAsia="Barlow Semi Condensed" w:hAnsi="Barlow Semi Condensed"/>
          <w:i/>
          <w:iCs/>
          <w:sz w:val="24"/>
          <w:szCs w:val="24"/>
        </w:rPr>
        <w:t xml:space="preserve">Manuale operativo delle attività investigative per il nuovo Caso Moro, in quattrocento blocchi mirati — seconda edizione accresciuta — ordinati in quindici serie con statuto: i principi costitutivi (1-20), l'architettura organizzativa (21-45), i reperti e le scienze forensi (46-90), gli archivi (91-140), le persone e la raccolta conservativa (141-170), i quesiti in forma ACH (171-210), il progetto esecutivo del registro delle segnalazioni (211-235), il versante internazionale (236-250), gli errori storici coi loro antidoti (251-280), il cronoprogramma (281-300); e, nella seconda edizione: il cantiere digitale (301-330), gli strumenti giuridici (331-355), il controllo di qualità e i bias (356-375), il raccordo esecutivo per pista (376-391), le contingenze e il futuro (392-400). Fondato integralmente sulle piste, sulle schede e sulle verifiche del programma investigativo del corpus; nessun fatto nuovo è affermato e nessun colpevole è atteso; i fatti richiamati hanno le loro fonti nelle schede citate. Un'indagine produce atti, non colpevoli — e questo manuale è l'elenco ordinato dei suoi atti.</w:t>
      </w:r>
    </w:p>
    <w:p>
      <w:pPr>
        <w:pStyle w:val="Heading3"/>
        <w:spacing w:after="80" w:before="240"/>
      </w:pPr>
      <w:r>
        <w:rPr>
          <w:rFonts w:ascii="Barlow Semi Condensed" w:cs="Barlow Semi Condensed" w:eastAsia="Barlow Semi Condensed" w:hAnsi="Barlow Semi Condensed"/>
          <w:sz w:val="24"/>
          <w:szCs w:val="24"/>
        </w:rPr>
        <w:t xml:space="preserve">Apparato grafico — Libro tredicesimo · Il manuale del nuovo Caso Moro (400 blocchi)</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2"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Libro tredicesimo IV: 15.479 parole in 9 sezioni; la più ampia è §9 Altre sezioni, con 6.744.</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3"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Libro tredicesimo IV: 422 paragrafi in 9 sezioni, 47 in media per sezione.</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4"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Le quindici serie della seconda edizione accresciuta: 300 della prima edizione, 100 della seconda.</w:t>
      </w:r>
    </w:p>
    <w:p>
      <w:pPr>
        <w:spacing w:after="120"/>
        <w:jc w:val="center"/>
      </w:pPr>
      <w:r>
        <w:rPr>
          <w:rFonts w:ascii="Barlow Semi Condensed" w:cs="Barlow Semi Condensed" w:eastAsia="Barlow Semi Condensed" w:hAnsi="Barlow Semi Condensed"/>
          <w:color w:val="777777"/>
          <w:sz w:val="16"/>
          <w:szCs w:val="16"/>
        </w:rPr>
        <w:t xml:space="preserve">Le metriche dell'apparato contano parole, documenti e atti — mai colpe.</w:t>
      </w:r>
    </w:p>
    <w:p>
      <w:r>
        <w:br w:type="page"/>
      </w:r>
    </w:p>
    <w:p>
      <w:pPr>
        <w:pStyle w:val="Heading1"/>
        <w:spacing w:after="120" w:before="240"/>
      </w:pPr>
      <w:r>
        <w:rPr>
          <w:rFonts w:ascii="Barlow Semi Condensed" w:cs="Barlow Semi Condensed" w:eastAsia="Barlow Semi Condensed" w:hAnsi="Barlow Semi Condensed"/>
          <w:sz w:val="24"/>
          <w:szCs w:val="24"/>
        </w:rPr>
        <w:t xml:space="preserve">Libro tredicesimo — Il fascicolo aperto — V. L'agenda di ricerca (300 blocchi)</w:t>
      </w:r>
    </w:p>
    <w:p>
      <w:pPr>
        <w:pStyle w:val="Heading1"/>
        <w:spacing w:after="120" w:before="240"/>
      </w:pPr>
      <w:r>
        <w:rPr>
          <w:rFonts w:ascii="Barlow Semi Condensed" w:cs="Barlow Semi Condensed" w:eastAsia="Barlow Semi Condensed" w:hAnsi="Barlow Semi Condensed"/>
          <w:sz w:val="24"/>
          <w:szCs w:val="24"/>
        </w:rPr>
        <w:t xml:space="preserve">L'agenda di ricerca del nuovo Caso Moro</w:t>
      </w:r>
    </w:p>
    <w:p>
      <w:pPr>
        <w:pStyle w:val="Heading2"/>
        <w:spacing w:after="100" w:before="200"/>
      </w:pPr>
      <w:r>
        <w:rPr>
          <w:rFonts w:ascii="Barlow Semi Condensed" w:cs="Barlow Semi Condensed" w:eastAsia="Barlow Semi Condensed" w:hAnsi="Barlow Semi Condensed"/>
          <w:sz w:val="24"/>
          <w:szCs w:val="24"/>
        </w:rPr>
        <w:t xml:space="preserve">Trecento blocchi mirati di ricerca</w:t>
      </w:r>
    </w:p>
    <w:p>
      <w:pPr>
        <w:spacing w:after="120" w:line="276"/>
        <w:jc w:val="both"/>
      </w:pPr>
      <w:r>
        <w:rPr>
          <w:rFonts w:ascii="Barlow Semi Condensed" w:cs="Barlow Semi Condensed" w:eastAsia="Barlow Semi Condensed" w:hAnsi="Barlow Semi Condensed"/>
          <w:i/>
          <w:iCs/>
          <w:sz w:val="24"/>
          <w:szCs w:val="24"/>
        </w:rPr>
        <w:t xml:space="preserve">Documento titanico — 25 agosto 2026 · Il gemello del manuale: il manuale dice come, l'agenda dice che cosa e dove</w:t>
      </w:r>
    </w:p>
    <w:p>
      <w:pPr>
        <w:pBdr>
          <w:left w:val="single" w:color="1F3864" w:sz="18" w:space="8"/>
        </w:pBdr>
        <w:spacing w:after="80" w:before="80"/>
        <w:ind w:left="360" w:right="360"/>
        <w:jc w:val="both"/>
      </w:pPr>
      <w:r>
        <w:rPr>
          <w:rFonts w:ascii="Barlow Semi Condensed" w:cs="Barlow Semi Condensed" w:eastAsia="Barlow Semi Condensed" w:hAnsi="Barlow Semi Condensed"/>
          <w:b/>
          <w:bCs/>
          <w:i w:val="false"/>
          <w:iCs w:val="false"/>
          <w:sz w:val="24"/>
          <w:szCs w:val="24"/>
        </w:rPr>
        <w:t xml:space="preserve">Statuto dell'agenda.</w:t>
      </w:r>
      <w:r>
        <w:rPr>
          <w:rFonts w:ascii="Barlow Semi Condensed" w:cs="Barlow Semi Condensed" w:eastAsia="Barlow Semi Condensed" w:hAnsi="Barlow Semi Condensed"/>
          <w:i w:val="false"/>
          <w:iCs w:val="false"/>
          <w:sz w:val="24"/>
          <w:szCs w:val="24"/>
        </w:rPr>
        <w:t xml:space="preserve"> Questo documento elenca </w:t>
      </w:r>
      <w:r>
        <w:rPr>
          <w:rFonts w:ascii="Barlow Semi Condensed" w:cs="Barlow Semi Condensed" w:eastAsia="Barlow Semi Condensed" w:hAnsi="Barlow Semi Condensed"/>
          <w:b/>
          <w:bCs/>
          <w:i w:val="false"/>
          <w:iCs w:val="false"/>
          <w:sz w:val="24"/>
          <w:szCs w:val="24"/>
        </w:rPr>
        <w:t xml:space="preserve">che cosa cercare e dove</w:t>
      </w:r>
      <w:r>
        <w:rPr>
          <w:rFonts w:ascii="Barlow Semi Condensed" w:cs="Barlow Semi Condensed" w:eastAsia="Barlow Semi Condensed" w:hAnsi="Barlow Semi Condensed"/>
          <w:i w:val="false"/>
          <w:iCs w:val="false"/>
          <w:sz w:val="24"/>
          <w:szCs w:val="24"/>
        </w:rPr>
        <w:t xml:space="preserve"> per il nuovo Caso Moro: trecento </w:t>
      </w:r>
      <w:r>
        <w:rPr>
          <w:rFonts w:ascii="Barlow Semi Condensed" w:cs="Barlow Semi Condensed" w:eastAsia="Barlow Semi Condensed" w:hAnsi="Barlow Semi Condensed"/>
          <w:b/>
          <w:bCs/>
          <w:i w:val="false"/>
          <w:iCs w:val="false"/>
          <w:sz w:val="24"/>
          <w:szCs w:val="24"/>
        </w:rPr>
        <w:t xml:space="preserve">blocchi mirati di ricerca</w:t>
      </w:r>
      <w:r>
        <w:rPr>
          <w:rFonts w:ascii="Barlow Semi Condensed" w:cs="Barlow Semi Condensed" w:eastAsia="Barlow Semi Condensed" w:hAnsi="Barlow Semi Condensed"/>
          <w:i w:val="false"/>
          <w:iCs w:val="false"/>
          <w:sz w:val="24"/>
          <w:szCs w:val="24"/>
        </w:rPr>
        <w:t xml:space="preserve">, numerati in dodici serie con statuto — l'architettura del Dossier maggiore applicata questa volta alla materia della ricerca, come il manuale l'aveva applicata alla materia operativa. I due documenti sono gemelli e non si sovrappongono: il </w:t>
      </w:r>
      <w:r>
        <w:rPr>
          <w:rFonts w:ascii="Barlow Semi Condensed" w:cs="Barlow Semi Condensed" w:eastAsia="Barlow Semi Condensed" w:hAnsi="Barlow Semi Condensed"/>
          <w:i w:val="false"/>
          <w:iCs w:val="false"/>
          <w:sz w:val="24"/>
          <w:szCs w:val="24"/>
        </w:rPr>
        <w:t xml:space="preserve">manuale</w:t>
      </w:r>
      <w:r>
        <w:rPr>
          <w:rFonts w:ascii="Barlow Semi Condensed" w:cs="Barlow Semi Condensed" w:eastAsia="Barlow Semi Condensed" w:hAnsi="Barlow Semi Condensed"/>
          <w:i w:val="false"/>
          <w:iCs w:val="false"/>
          <w:sz w:val="24"/>
          <w:szCs w:val="24"/>
        </w:rPr>
        <w:t xml:space="preserve"> dice </w:t>
      </w:r>
      <w:r>
        <w:rPr>
          <w:rFonts w:ascii="Barlow Semi Condensed" w:cs="Barlow Semi Condensed" w:eastAsia="Barlow Semi Condensed" w:hAnsi="Barlow Semi Condensed"/>
          <w:i w:val="false"/>
          <w:iCs w:val="false"/>
          <w:sz w:val="24"/>
          <w:szCs w:val="24"/>
        </w:rPr>
        <w:t xml:space="preserve">come</w:t>
      </w:r>
      <w:r>
        <w:rPr>
          <w:rFonts w:ascii="Barlow Semi Condensed" w:cs="Barlow Semi Condensed" w:eastAsia="Barlow Semi Condensed" w:hAnsi="Barlow Semi Condensed"/>
          <w:i w:val="false"/>
          <w:iCs w:val="false"/>
          <w:sz w:val="24"/>
          <w:szCs w:val="24"/>
        </w:rPr>
        <w:t xml:space="preserve"> dovrebbero svolgersi le attività investigative (principi, cantieri, protocolli, contingenze); l'agenda dice </w:t>
      </w:r>
      <w:r>
        <w:rPr>
          <w:rFonts w:ascii="Barlow Semi Condensed" w:cs="Barlow Semi Condensed" w:eastAsia="Barlow Semi Condensed" w:hAnsi="Barlow Semi Condensed"/>
          <w:i w:val="false"/>
          <w:iCs w:val="false"/>
          <w:sz w:val="24"/>
          <w:szCs w:val="24"/>
        </w:rPr>
        <w:t xml:space="preserve">che cosa</w:t>
      </w:r>
      <w:r>
        <w:rPr>
          <w:rFonts w:ascii="Barlow Semi Condensed" w:cs="Barlow Semi Condensed" w:eastAsia="Barlow Semi Condensed" w:hAnsi="Barlow Semi Condensed"/>
          <w:i w:val="false"/>
          <w:iCs w:val="false"/>
          <w:sz w:val="24"/>
          <w:szCs w:val="24"/>
        </w:rPr>
        <w:t xml:space="preserve"> quelle attività dovrebbero cercare — il quesito, il giacimento, l'evidenza attesa, il criterio di chiusura. Ogni blocco è un bersaglio di ricerca, non un'affermazione: dove un blocco formula un quesito, nulla è asserito; dove richiama un fatto, quel fatto è verificato — nelle schede del programma investigativo, che ne conservano le fonti con indirizzo, oppure nelle verifiche condotte per questa agenda, i cui indirizzi sono riportati nei blocchi e nell'apparato finale. Vale in ogni blocco la disciplina del corpus: i gradi (A giudicato, B accertamento, C congettura, F fatto pubblico, Stato Zero l'assenza documentata), l'ACH, l'anello debole, la regola dei buchi, il registro chiuso del giudicato, gli assolti che restano assolti. Nessun blocco ha un nome come esito atteso: </w:t>
      </w:r>
      <w:r>
        <w:rPr>
          <w:rFonts w:ascii="Barlow Semi Condensed" w:cs="Barlow Semi Condensed" w:eastAsia="Barlow Semi Condensed" w:hAnsi="Barlow Semi Condensed"/>
          <w:b/>
          <w:bCs/>
          <w:i w:val="false"/>
          <w:iCs w:val="false"/>
          <w:sz w:val="24"/>
          <w:szCs w:val="24"/>
        </w:rPr>
        <w:t xml:space="preserve">la ricerca produce documenti, non colpevoli</w:t>
      </w:r>
      <w:r>
        <w:rPr>
          <w:rFonts w:ascii="Barlow Semi Condensed" w:cs="Barlow Semi Condensed" w:eastAsia="Barlow Semi Condensed" w:hAnsi="Barlow Semi Condensed"/>
          <w:i w:val="false"/>
          <w:iCs w:val="false"/>
          <w:sz w:val="24"/>
          <w:szCs w:val="24"/>
        </w:rPr>
        <w:t xml:space="preserve"> — e una ricerca a vuoto, verbalizzata, è un risultato.</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Serie prima — I quesiti costitutivi (blocchi 1-15)</w:t>
      </w:r>
    </w:p>
    <w:p>
      <w:pPr>
        <w:spacing w:after="120" w:line="276"/>
        <w:jc w:val="both"/>
      </w:pPr>
      <w:r>
        <w:rPr>
          <w:rFonts w:ascii="Barlow Semi Condensed" w:cs="Barlow Semi Condensed" w:eastAsia="Barlow Semi Condensed" w:hAnsi="Barlow Semi Condensed"/>
          <w:i/>
          <w:iCs/>
          <w:sz w:val="24"/>
          <w:szCs w:val="24"/>
        </w:rPr>
        <w:t xml:space="preserve">Statuto della serie: le domande madri. Quindici quesiti che generano tutti i bersagli delle serie successive; ogni blocco dell'agenda serve almeno uno di questi quesiti, e un bersaglio che non ne serva nessuno non appartiene all'agenda.</w:t>
      </w:r>
    </w:p>
    <w:p>
      <w:pPr>
        <w:spacing w:after="120" w:line="276"/>
        <w:jc w:val="both"/>
      </w:pPr>
      <w:r>
        <w:rPr>
          <w:rFonts w:ascii="Barlow Semi Condensed" w:cs="Barlow Semi Condensed" w:eastAsia="Barlow Semi Condensed" w:hAnsi="Barlow Semi Condensed"/>
          <w:b/>
          <w:bCs/>
          <w:sz w:val="24"/>
          <w:szCs w:val="24"/>
        </w:rPr>
        <w:t xml:space="preserve">1 · Le presenze non giudicate di via Fani.</w:t>
      </w:r>
      <w:r>
        <w:rPr>
          <w:rFonts w:ascii="Barlow Semi Condensed" w:cs="Barlow Semi Condensed" w:eastAsia="Barlow Semi Condensed" w:hAnsi="Barlow Semi Condensed"/>
          <w:sz w:val="24"/>
          <w:szCs w:val="24"/>
        </w:rPr>
        <w:t xml:space="preserve"> Quante e quali persone parteciparono all'agguato oltre i nove condannati per esservi stati? Il fascicolo romano aperto lavora esattamente qui (terze presenze). Evidenza attesa: comparazioni del DNA 2016, attribuzione dei reperti orfani. Il quesito non nomina nessuno: conta ed esclude.</w:t>
      </w:r>
    </w:p>
    <w:p>
      <w:pPr>
        <w:spacing w:after="120" w:line="276"/>
        <w:jc w:val="both"/>
      </w:pPr>
      <w:r>
        <w:rPr>
          <w:rFonts w:ascii="Barlow Semi Condensed" w:cs="Barlow Semi Condensed" w:eastAsia="Barlow Semi Condensed" w:hAnsi="Barlow Semi Condensed"/>
          <w:b/>
          <w:bCs/>
          <w:sz w:val="24"/>
          <w:szCs w:val="24"/>
        </w:rPr>
        <w:t xml:space="preserve">2 · La mano dei quarantanove colpi.</w:t>
      </w:r>
      <w:r>
        <w:rPr>
          <w:rFonts w:ascii="Barlow Semi Condensed" w:cs="Barlow Semi Condensed" w:eastAsia="Barlow Semi Condensed" w:hAnsi="Barlow Semi Condensed"/>
          <w:sz w:val="24"/>
          <w:szCs w:val="24"/>
        </w:rPr>
        <w:t xml:space="preserve"> Regge l'accertamento per cui quarantanove dei novantuno bossoli vengono da una sola arma? E la sequenza di fuoco che ne discende è compatibile con la dinamica giudicata? Evidenza attesa: nuova perizia balistica integrale con strumenti attuali sui reperti originali.</w:t>
      </w:r>
    </w:p>
    <w:p>
      <w:pPr>
        <w:spacing w:after="120" w:line="276"/>
        <w:jc w:val="both"/>
      </w:pPr>
      <w:r>
        <w:rPr>
          <w:rFonts w:ascii="Barlow Semi Condensed" w:cs="Barlow Semi Condensed" w:eastAsia="Barlow Semi Condensed" w:hAnsi="Barlow Semi Condensed"/>
          <w:b/>
          <w:bCs/>
          <w:sz w:val="24"/>
          <w:szCs w:val="24"/>
        </w:rPr>
        <w:t xml:space="preserve">3 · La fonte di «Gradoli».</w:t>
      </w:r>
      <w:r>
        <w:rPr>
          <w:rFonts w:ascii="Barlow Semi Condensed" w:cs="Barlow Semi Condensed" w:eastAsia="Barlow Semi Condensed" w:hAnsi="Barlow Semi Condensed"/>
          <w:sz w:val="24"/>
          <w:szCs w:val="24"/>
        </w:rPr>
        <w:t xml:space="preserve"> Da dove entrò davvero il nome nella seduta del 2 aprile 1978, e per quale via la parola giusta produsse la perquisizione sbagliata (il paese, non la via)? Evidenza attesa: testimonianze incrociate superstiti dei presenti e carte dell'epoca sul seguito dato alla segnalazione.</w:t>
      </w:r>
    </w:p>
    <w:p>
      <w:pPr>
        <w:spacing w:after="120" w:line="276"/>
        <w:jc w:val="both"/>
      </w:pPr>
      <w:r>
        <w:rPr>
          <w:rFonts w:ascii="Barlow Semi Condensed" w:cs="Barlow Semi Condensed" w:eastAsia="Barlow Semi Condensed" w:hAnsi="Barlow Semi Condensed"/>
          <w:b/>
          <w:bCs/>
          <w:sz w:val="24"/>
          <w:szCs w:val="24"/>
        </w:rPr>
        <w:t xml:space="preserve">4 · I trenta giorni del covo.</w:t>
      </w:r>
      <w:r>
        <w:rPr>
          <w:rFonts w:ascii="Barlow Semi Condensed" w:cs="Barlow Semi Condensed" w:eastAsia="Barlow Semi Condensed" w:hAnsi="Barlow Semi Condensed"/>
          <w:sz w:val="24"/>
          <w:szCs w:val="24"/>
        </w:rPr>
        <w:t xml:space="preserve"> Perché l'appartamento di via Gradoli 96 attraversò indenne un mese di ricerche, un controllo alla porta il 18 marzo e una segnalazione scritta? Evidenza attesa: la catena di comando documentale del 18 marzo — chi ordinò, chi eseguì, chi lesse i rapporti, che cosa ne seguì.</w:t>
      </w:r>
    </w:p>
    <w:p>
      <w:pPr>
        <w:spacing w:after="120" w:line="276"/>
        <w:jc w:val="both"/>
      </w:pPr>
      <w:r>
        <w:rPr>
          <w:rFonts w:ascii="Barlow Semi Condensed" w:cs="Barlow Semi Condensed" w:eastAsia="Barlow Semi Condensed" w:hAnsi="Barlow Semi Condensed"/>
          <w:b/>
          <w:bCs/>
          <w:sz w:val="24"/>
          <w:szCs w:val="24"/>
        </w:rPr>
        <w:t xml:space="preserve">5 · Il condominio e le sue date.</w:t>
      </w:r>
      <w:r>
        <w:rPr>
          <w:rFonts w:ascii="Barlow Semi Condensed" w:cs="Barlow Semi Condensed" w:eastAsia="Barlow Semi Condensed" w:hAnsi="Barlow Semi Condensed"/>
          <w:sz w:val="24"/>
          <w:szCs w:val="24"/>
        </w:rPr>
        <w:t xml:space="preserve"> Che cosa dicono conservatoria e registri societari sugli assetti proprietari dello stabile di via Gradoli, anno per anno — prima, durante e dopo il 1978? Evidenza attesa: la tavola cronologica completa delle proprietà, che discrimini le ipotesi ACH della scheda PE-2.</w:t>
      </w:r>
    </w:p>
    <w:p>
      <w:pPr>
        <w:spacing w:after="120" w:line="276"/>
        <w:jc w:val="both"/>
      </w:pPr>
      <w:r>
        <w:rPr>
          <w:rFonts w:ascii="Barlow Semi Condensed" w:cs="Barlow Semi Condensed" w:eastAsia="Barlow Semi Condensed" w:hAnsi="Barlow Semi Condensed"/>
          <w:b/>
          <w:bCs/>
          <w:sz w:val="24"/>
          <w:szCs w:val="24"/>
        </w:rPr>
        <w:t xml:space="preserve">6 · I luoghi della prigionia.</w:t>
      </w:r>
      <w:r>
        <w:rPr>
          <w:rFonts w:ascii="Barlow Semi Condensed" w:cs="Barlow Semi Condensed" w:eastAsia="Barlow Semi Condensed" w:hAnsi="Barlow Semi Condensed"/>
          <w:sz w:val="24"/>
          <w:szCs w:val="24"/>
        </w:rPr>
        <w:t xml:space="preserve"> L'istruttoria consegna via Montalcini 8; parte della pubblicistica congettura altri luoghi. Esistono evidenze fisiche o documentali che confermino, precisino o smentiscano? Evidenza attesa: reperti riletti (sabbia, pollini, fibre) e anagrafe documentale del condominio.</w:t>
      </w:r>
    </w:p>
    <w:p>
      <w:pPr>
        <w:spacing w:after="120" w:line="276"/>
        <w:jc w:val="both"/>
      </w:pPr>
      <w:r>
        <w:rPr>
          <w:rFonts w:ascii="Barlow Semi Condensed" w:cs="Barlow Semi Condensed" w:eastAsia="Barlow Semi Condensed" w:hAnsi="Barlow Semi Condensed"/>
          <w:b/>
          <w:bCs/>
          <w:sz w:val="24"/>
          <w:szCs w:val="24"/>
        </w:rPr>
        <w:t xml:space="preserve">7 · Il registro che manca.</w:t>
      </w:r>
      <w:r>
        <w:rPr>
          <w:rFonts w:ascii="Barlow Semi Condensed" w:cs="Barlow Semi Condensed" w:eastAsia="Barlow Semi Condensed" w:hAnsi="Barlow Semi Condensed"/>
          <w:sz w:val="24"/>
          <w:szCs w:val="24"/>
        </w:rPr>
        <w:t xml:space="preserve"> Quante segnalazioni entrarono negli uffici durante i 55 giorni, e quale filtro le ridusse all'output documentato? La colonna dell'input non fu mai prodotta. Evidenza attesa: la ricostruzione del registro d'ingresso dai protocolli degli uffici riceventi — il test empirico della domanda Anselmi.</w:t>
      </w:r>
    </w:p>
    <w:p>
      <w:pPr>
        <w:spacing w:after="120" w:line="276"/>
        <w:jc w:val="both"/>
      </w:pPr>
      <w:r>
        <w:rPr>
          <w:rFonts w:ascii="Barlow Semi Condensed" w:cs="Barlow Semi Condensed" w:eastAsia="Barlow Semi Condensed" w:hAnsi="Barlow Semi Condensed"/>
          <w:b/>
          <w:bCs/>
          <w:sz w:val="24"/>
          <w:szCs w:val="24"/>
        </w:rPr>
        <w:t xml:space="preserve">8 · I comitati e i loro verbali.</w:t>
      </w:r>
      <w:r>
        <w:rPr>
          <w:rFonts w:ascii="Barlow Semi Condensed" w:cs="Barlow Semi Condensed" w:eastAsia="Barlow Semi Condensed" w:hAnsi="Barlow Semi Condensed"/>
          <w:sz w:val="24"/>
          <w:szCs w:val="24"/>
        </w:rPr>
        <w:t xml:space="preserve"> Che cosa resta, in carta, dei tre livelli di comitato costituiti il 16 marzo 1978 al Viminale — ordini del giorno, verbali, presenze — e del comitato di esperti mai riunito collegialmente? Evidenza attesa: il corpus completo dei verbali o la certificazione della loro assenza (Stato Zero).</w:t>
      </w:r>
    </w:p>
    <w:p>
      <w:pPr>
        <w:spacing w:after="120" w:line="276"/>
        <w:jc w:val="both"/>
      </w:pPr>
      <w:r>
        <w:rPr>
          <w:rFonts w:ascii="Barlow Semi Condensed" w:cs="Barlow Semi Condensed" w:eastAsia="Barlow Semi Condensed" w:hAnsi="Barlow Semi Condensed"/>
          <w:b/>
          <w:bCs/>
          <w:sz w:val="24"/>
          <w:szCs w:val="24"/>
        </w:rPr>
        <w:t xml:space="preserve">9 · Le lettere e i canali.</w:t>
      </w:r>
      <w:r>
        <w:rPr>
          <w:rFonts w:ascii="Barlow Semi Condensed" w:cs="Barlow Semi Condensed" w:eastAsia="Barlow Semi Condensed" w:hAnsi="Barlow Semi Condensed"/>
          <w:sz w:val="24"/>
          <w:szCs w:val="24"/>
        </w:rPr>
        <w:t xml:space="preserve"> Per quali mani passarono le lettere di Moro, con quali tempi, e su quale base documentale fu costruita la loro dichiarata «inattendibilità»? Evidenza attesa: filologia completa dei recapiti e il fascicolo istruttorio del giudizio di inattendibilità.</w:t>
      </w:r>
    </w:p>
    <w:p>
      <w:pPr>
        <w:spacing w:after="120" w:line="276"/>
        <w:jc w:val="both"/>
      </w:pPr>
      <w:r>
        <w:rPr>
          <w:rFonts w:ascii="Barlow Semi Condensed" w:cs="Barlow Semi Condensed" w:eastAsia="Barlow Semi Condensed" w:hAnsi="Barlow Semi Condensed"/>
          <w:b/>
          <w:bCs/>
          <w:sz w:val="24"/>
          <w:szCs w:val="24"/>
        </w:rPr>
        <w:t xml:space="preserve">10 · Il memoriale e i suoi originali.</w:t>
      </w:r>
      <w:r>
        <w:rPr>
          <w:rFonts w:ascii="Barlow Semi Condensed" w:cs="Barlow Semi Condensed" w:eastAsia="Barlow Semi Condensed" w:hAnsi="Barlow Semi Condensed"/>
          <w:sz w:val="24"/>
          <w:szCs w:val="24"/>
        </w:rPr>
        <w:t xml:space="preserve"> Il dattiloscritto del 1978 e le fotocopie manoscritte del 1990 esauriscono ciò che Moro scrisse in prigionia? Gli originali manoscritti non furono mai trovati. Evidenza attesa: ogni traccia d'archivio sul percorso dei materiali di via Monte Nevoso, e l'analisi integrale di ciò che esiste.</w:t>
      </w:r>
    </w:p>
    <w:p>
      <w:pPr>
        <w:spacing w:after="120" w:line="276"/>
        <w:jc w:val="both"/>
      </w:pPr>
      <w:r>
        <w:rPr>
          <w:rFonts w:ascii="Barlow Semi Condensed" w:cs="Barlow Semi Condensed" w:eastAsia="Barlow Semi Condensed" w:hAnsi="Barlow Semi Condensed"/>
          <w:b/>
          <w:bCs/>
          <w:sz w:val="24"/>
          <w:szCs w:val="24"/>
        </w:rPr>
        <w:t xml:space="preserve">11 · La mediazione e il fondo.</w:t>
      </w:r>
      <w:r>
        <w:rPr>
          <w:rFonts w:ascii="Barlow Semi Condensed" w:cs="Barlow Semi Condensed" w:eastAsia="Barlow Semi Condensed" w:hAnsi="Barlow Semi Condensed"/>
          <w:sz w:val="24"/>
          <w:szCs w:val="24"/>
        </w:rPr>
        <w:t xml:space="preserve"> Che cosa documentano gli archivi ecclesiastici e civili sul canale vaticano dei 55 giorni — l'incarico a Curioni, l'interlocutore ignoto, il fondo raccolto e la sua sorte? Evidenza attesa: carte di curia, contabilità del fondo, registri carcerari dei colloqui.</w:t>
      </w:r>
    </w:p>
    <w:p>
      <w:pPr>
        <w:spacing w:after="120" w:line="276"/>
        <w:jc w:val="both"/>
      </w:pPr>
      <w:r>
        <w:rPr>
          <w:rFonts w:ascii="Barlow Semi Condensed" w:cs="Barlow Semi Condensed" w:eastAsia="Barlow Semi Condensed" w:hAnsi="Barlow Semi Condensed"/>
          <w:b/>
          <w:bCs/>
          <w:sz w:val="24"/>
          <w:szCs w:val="24"/>
        </w:rPr>
        <w:t xml:space="preserve">12 · Gli occhi degli alleati.</w:t>
      </w:r>
      <w:r>
        <w:rPr>
          <w:rFonts w:ascii="Barlow Semi Condensed" w:cs="Barlow Semi Condensed" w:eastAsia="Barlow Semi Condensed" w:hAnsi="Barlow Semi Condensed"/>
          <w:sz w:val="24"/>
          <w:szCs w:val="24"/>
        </w:rPr>
        <w:t xml:space="preserve"> Che cosa videro e riferirono in tempo reale le diplomazie e i servizi alleati, e che cosa giace nei loro archivi sotto la regola dell'originatore? Evidenza attesa: il censimento sistematico del ritenuto (withdrawal cards, buste FOIA) e la sua erosione richiesta per atto.</w:t>
      </w:r>
    </w:p>
    <w:p>
      <w:pPr>
        <w:spacing w:after="120" w:line="276"/>
        <w:jc w:val="both"/>
      </w:pPr>
      <w:r>
        <w:rPr>
          <w:rFonts w:ascii="Barlow Semi Condensed" w:cs="Barlow Semi Condensed" w:eastAsia="Barlow Semi Condensed" w:hAnsi="Barlow Semi Condensed"/>
          <w:b/>
          <w:bCs/>
          <w:sz w:val="24"/>
          <w:szCs w:val="24"/>
        </w:rPr>
        <w:t xml:space="preserve">13 · Il falso del Lago della Duchessa.</w:t>
      </w:r>
      <w:r>
        <w:rPr>
          <w:rFonts w:ascii="Barlow Semi Condensed" w:cs="Barlow Semi Condensed" w:eastAsia="Barlow Semi Condensed" w:hAnsi="Barlow Semi Condensed"/>
          <w:sz w:val="24"/>
          <w:szCs w:val="24"/>
        </w:rPr>
        <w:t xml:space="preserve"> Quale fu la genesi documentale del falso comunicato n. 7 del 18 aprile 1978, attribuito dagli accertamenti istruttori e peritali alla mano di Antonio Chichiarelli (mai processato: fu ucciso nel settembre 1984 prima di ogni contestazione formale)? Chi ne conobbe in anticipo l'esistenza? Evidenza attesa: il fascicolo Chichiarelli integrale e le carte del giorno del ritrovamento — lo stesso giorno di via Gradoli.</w:t>
      </w:r>
    </w:p>
    <w:p>
      <w:pPr>
        <w:spacing w:after="120" w:line="276"/>
        <w:jc w:val="both"/>
      </w:pPr>
      <w:r>
        <w:rPr>
          <w:rFonts w:ascii="Barlow Semi Condensed" w:cs="Barlow Semi Condensed" w:eastAsia="Barlow Semi Condensed" w:hAnsi="Barlow Semi Condensed"/>
          <w:b/>
          <w:bCs/>
          <w:sz w:val="24"/>
          <w:szCs w:val="24"/>
        </w:rPr>
        <w:t xml:space="preserve">14 · I latitanti e la parola mancante.</w:t>
      </w:r>
      <w:r>
        <w:rPr>
          <w:rFonts w:ascii="Barlow Semi Condensed" w:cs="Barlow Semi Condensed" w:eastAsia="Barlow Semi Condensed" w:hAnsi="Barlow Semi Condensed"/>
          <w:sz w:val="24"/>
          <w:szCs w:val="24"/>
        </w:rPr>
        <w:t xml:space="preserve"> Che cosa possono ancora dire, in sede rogatoriale o spontanea, i condannati mai interrogati compiutamente — primo fra tutti l'unico partecipante identificato mai sentito da una corte italiana? Evidenza attesa: dichiarazioni verbalizzate in forma utilizzabile, comunque vadano.</w:t>
      </w:r>
    </w:p>
    <w:p>
      <w:pPr>
        <w:spacing w:after="120" w:line="276"/>
        <w:jc w:val="both"/>
      </w:pPr>
      <w:r>
        <w:rPr>
          <w:rFonts w:ascii="Barlow Semi Condensed" w:cs="Barlow Semi Condensed" w:eastAsia="Barlow Semi Condensed" w:hAnsi="Barlow Semi Condensed"/>
          <w:b/>
          <w:bCs/>
          <w:sz w:val="24"/>
          <w:szCs w:val="24"/>
        </w:rPr>
        <w:t xml:space="preserve">15 · Il quesito dei quesiti.</w:t>
      </w:r>
      <w:r>
        <w:rPr>
          <w:rFonts w:ascii="Barlow Semi Condensed" w:cs="Barlow Semi Condensed" w:eastAsia="Barlow Semi Condensed" w:hAnsi="Barlow Semi Condensed"/>
          <w:sz w:val="24"/>
          <w:szCs w:val="24"/>
        </w:rPr>
        <w:t xml:space="preserve"> Per ciascuna matrice ACH del caso, qual è l'evidenza discriminante — quella incompatibile con almeno un'ipotesi — e in quale giacimento può trovarsi? Questo blocco genera la mappa: ogni serie che segue è la risposta alla domanda «dove si cerca l'evidenza che discrimina?».</w:t>
      </w:r>
    </w:p>
    <w:p>
      <w:pPr>
        <w:pStyle w:val="Heading2"/>
        <w:spacing w:after="100" w:before="200"/>
      </w:pPr>
      <w:r>
        <w:rPr>
          <w:rFonts w:ascii="Barlow Semi Condensed" w:cs="Barlow Semi Condensed" w:eastAsia="Barlow Semi Condensed" w:hAnsi="Barlow Semi Condensed"/>
          <w:sz w:val="24"/>
          <w:szCs w:val="24"/>
        </w:rPr>
        <w:t xml:space="preserve">Serie seconda — Il giacimento della Direttiva (blocchi 16-45)</w:t>
      </w:r>
    </w:p>
    <w:p>
      <w:pPr>
        <w:spacing w:after="120" w:line="276"/>
        <w:jc w:val="both"/>
      </w:pPr>
      <w:r>
        <w:rPr>
          <w:rFonts w:ascii="Barlow Semi Condensed" w:cs="Barlow Semi Condensed" w:eastAsia="Barlow Semi Condensed" w:hAnsi="Barlow Semi Condensed"/>
          <w:i/>
          <w:iCs/>
          <w:sz w:val="24"/>
          <w:szCs w:val="24"/>
        </w:rPr>
        <w:t xml:space="preserve">Statuto della serie: la miniera versata. All'Archivio centrale dello Stato esiste una raccolta speciale di documentazione desecretata sul sequestro e l'uccisione di Moro, costruita dalla sequenza delle direttive (Prodi 2008, sede unica ACS 2010, Renzi 22 aprile 2014, estensione al caso Moro 2 dicembre 2014); il corpus ne ha verificato la consistenza (circa duemila buste da centocinquantasei uffici). La serie organizza lo spoglio — il bersaglio a più alto volume dell'intera agenda — e lo estende agli altri giacimenti nazionali. Verifiche d'archivio condotte per questa agenda: acs.cultura.gov.it (Sala delle raccolte speciali — documentazione desecretata) e memoria.cultura.gov.it.</w:t>
      </w:r>
    </w:p>
    <w:p>
      <w:pPr>
        <w:spacing w:after="120" w:line="276"/>
        <w:jc w:val="both"/>
      </w:pPr>
      <w:r>
        <w:rPr>
          <w:rFonts w:ascii="Barlow Semi Condensed" w:cs="Barlow Semi Condensed" w:eastAsia="Barlow Semi Condensed" w:hAnsi="Barlow Semi Condensed"/>
          <w:b/>
          <w:bCs/>
          <w:sz w:val="24"/>
          <w:szCs w:val="24"/>
        </w:rPr>
        <w:t xml:space="preserve">16 · La raccolta speciale.</w:t>
      </w:r>
      <w:r>
        <w:rPr>
          <w:rFonts w:ascii="Barlow Semi Condensed" w:cs="Barlow Semi Condensed" w:eastAsia="Barlow Semi Condensed" w:hAnsi="Barlow Semi Condensed"/>
          <w:sz w:val="24"/>
          <w:szCs w:val="24"/>
        </w:rPr>
        <w:t xml:space="preserve"> Il primo bersaglio è la porta d'ingresso: la raccolta «Sequestro e uccisione dell'on. Aldo Moro (direttive Prodi-Renzi)» nella Sala delle raccolte speciali dell'ACS — perimetro, regolamento d'accesso, strumenti di corredo. Prima di leggere una busta, l'agenda censisce che cosa la raccolta dichiara di contenere.</w:t>
      </w:r>
    </w:p>
    <w:p>
      <w:pPr>
        <w:spacing w:after="120" w:line="276"/>
        <w:jc w:val="both"/>
      </w:pPr>
      <w:r>
        <w:rPr>
          <w:rFonts w:ascii="Barlow Semi Condensed" w:cs="Barlow Semi Condensed" w:eastAsia="Barlow Semi Condensed" w:hAnsi="Barlow Semi Condensed"/>
          <w:b/>
          <w:bCs/>
          <w:sz w:val="24"/>
          <w:szCs w:val="24"/>
        </w:rPr>
        <w:t xml:space="preserve">17 · La sequenza delle direttive.</w:t>
      </w:r>
      <w:r>
        <w:rPr>
          <w:rFonts w:ascii="Barlow Semi Condensed" w:cs="Barlow Semi Condensed" w:eastAsia="Barlow Semi Condensed" w:hAnsi="Barlow Semi Condensed"/>
          <w:sz w:val="24"/>
          <w:szCs w:val="24"/>
        </w:rPr>
        <w:t xml:space="preserve"> La cornice normativa completa dello scaffale: direttiva Prodi (8 aprile 2008), designazione dell'ACS a sede unica di conservazione (2010), direttiva Renzi (22 aprile 2014, in G.U. n. 100 del 2 maggio 2014), estensione al caso Moro (2 dicembre 2014) e ogni provvedimento successivo. Sapere in base a che cosa una carta è lì dice anche quali carte non possono esserci.</w:t>
      </w:r>
    </w:p>
    <w:p>
      <w:pPr>
        <w:spacing w:after="120" w:line="276"/>
        <w:jc w:val="both"/>
      </w:pPr>
      <w:r>
        <w:rPr>
          <w:rFonts w:ascii="Barlow Semi Condensed" w:cs="Barlow Semi Condensed" w:eastAsia="Barlow Semi Condensed" w:hAnsi="Barlow Semi Condensed"/>
          <w:b/>
          <w:bCs/>
          <w:sz w:val="24"/>
          <w:szCs w:val="24"/>
        </w:rPr>
        <w:t xml:space="preserve">18 · Gli strumenti di corredo.</w:t>
      </w:r>
      <w:r>
        <w:rPr>
          <w:rFonts w:ascii="Barlow Semi Condensed" w:cs="Barlow Semi Condensed" w:eastAsia="Barlow Semi Condensed" w:hAnsi="Barlow Semi Condensed"/>
          <w:sz w:val="24"/>
          <w:szCs w:val="24"/>
        </w:rPr>
        <w:t xml:space="preserve"> Lo spoglio comincia dagli inventari: le guide online dell'ACS (l'OPAC e le pagine della raccolta), gli elenchi di versamento, le liste per ufficio versante. Il bersaglio è la mappa busta per busta — quale ufficio, quale periodo, quale materia — costruita prima di aprire la prima cartella.</w:t>
      </w:r>
    </w:p>
    <w:p>
      <w:pPr>
        <w:spacing w:after="120" w:line="276"/>
        <w:jc w:val="both"/>
      </w:pPr>
      <w:r>
        <w:rPr>
          <w:rFonts w:ascii="Barlow Semi Condensed" w:cs="Barlow Semi Condensed" w:eastAsia="Barlow Semi Condensed" w:hAnsi="Barlow Semi Condensed"/>
          <w:b/>
          <w:bCs/>
          <w:sz w:val="24"/>
          <w:szCs w:val="24"/>
        </w:rPr>
        <w:t xml:space="preserve">19 · Il piano di spoglio.</w:t>
      </w:r>
      <w:r>
        <w:rPr>
          <w:rFonts w:ascii="Barlow Semi Condensed" w:cs="Barlow Semi Condensed" w:eastAsia="Barlow Semi Condensed" w:hAnsi="Barlow Semi Condensed"/>
          <w:sz w:val="24"/>
          <w:szCs w:val="24"/>
        </w:rPr>
        <w:t xml:space="preserve"> Circa duemila buste da centocinquantasei uffici non si leggono per curiosità: si spogliano per campagne (blocco 283), con priorità comandate dai quesiti costitutivi — prima gli uffici che toccano le matrici aperte, poi il resto. Il piano scritto, pubblico e datato, è il primo prodotto della serie.</w:t>
      </w:r>
    </w:p>
    <w:p>
      <w:pPr>
        <w:spacing w:after="120" w:line="276"/>
        <w:jc w:val="both"/>
      </w:pPr>
      <w:r>
        <w:rPr>
          <w:rFonts w:ascii="Barlow Semi Condensed" w:cs="Barlow Semi Condensed" w:eastAsia="Barlow Semi Condensed" w:hAnsi="Barlow Semi Condensed"/>
          <w:b/>
          <w:bCs/>
          <w:sz w:val="24"/>
          <w:szCs w:val="24"/>
        </w:rPr>
        <w:t xml:space="preserve">20 · Il doppio spoglio di controllo.</w:t>
      </w:r>
      <w:r>
        <w:rPr>
          <w:rFonts w:ascii="Barlow Semi Condensed" w:cs="Barlow Semi Condensed" w:eastAsia="Barlow Semi Condensed" w:hAnsi="Barlow Semi Condensed"/>
          <w:sz w:val="24"/>
          <w:szCs w:val="24"/>
        </w:rPr>
        <w:t xml:space="preserve"> Su un campione fisso di buste, due lettori indipendenti e il confronto degli spogli: la misura del tasso di ciò che una lettura sola perde. Il controllo di qualità del manuale (serie tredicesima) applicato alla miniera: senza misura dell'errore, lo spoglio è una speranza.</w:t>
      </w:r>
    </w:p>
    <w:p>
      <w:pPr>
        <w:spacing w:after="120" w:line="276"/>
        <w:jc w:val="both"/>
      </w:pPr>
      <w:r>
        <w:rPr>
          <w:rFonts w:ascii="Barlow Semi Condensed" w:cs="Barlow Semi Condensed" w:eastAsia="Barlow Semi Condensed" w:hAnsi="Barlow Semi Condensed"/>
          <w:b/>
          <w:bCs/>
          <w:sz w:val="24"/>
          <w:szCs w:val="24"/>
        </w:rPr>
        <w:t xml:space="preserve">21 · Le carte dell'ufficio politico.</w:t>
      </w:r>
      <w:r>
        <w:rPr>
          <w:rFonts w:ascii="Barlow Semi Condensed" w:cs="Barlow Semi Condensed" w:eastAsia="Barlow Semi Condensed" w:hAnsi="Barlow Semi Condensed"/>
          <w:sz w:val="24"/>
          <w:szCs w:val="24"/>
        </w:rPr>
        <w:t xml:space="preserve"> Nel versato: la documentazione UCIGOS e degli uffici investigativi centrali sui 55 giorni — rapporti, appunti, carteggi coi territoriali. Qui vivono i bersagli del quesito 7 (che cosa entrò e che cosa se ne fece) e della sorveglianza non riferita documentata dal corpus.</w:t>
      </w:r>
    </w:p>
    <w:p>
      <w:pPr>
        <w:spacing w:after="120" w:line="276"/>
        <w:jc w:val="both"/>
      </w:pPr>
      <w:r>
        <w:rPr>
          <w:rFonts w:ascii="Barlow Semi Condensed" w:cs="Barlow Semi Condensed" w:eastAsia="Barlow Semi Condensed" w:hAnsi="Barlow Semi Condensed"/>
          <w:b/>
          <w:bCs/>
          <w:sz w:val="24"/>
          <w:szCs w:val="24"/>
        </w:rPr>
        <w:t xml:space="preserve">22 · Le carte dei servizi.</w:t>
      </w:r>
      <w:r>
        <w:rPr>
          <w:rFonts w:ascii="Barlow Semi Condensed" w:cs="Barlow Semi Condensed" w:eastAsia="Barlow Semi Condensed" w:hAnsi="Barlow Semi Condensed"/>
          <w:sz w:val="24"/>
          <w:szCs w:val="24"/>
        </w:rPr>
        <w:t xml:space="preserve"> La documentazione versata di provenienza SISMI, SISDE e organismi predecessori: veline, appunti, carteggi con l'autorità politica. Disciplina di lettura scolpita: una velina è una velina — grado C alla nascita, e sale solo per riscontro esterno. Il versato dei servizi si spoglia contro le matrici, non per suggestione.</w:t>
      </w:r>
    </w:p>
    <w:p>
      <w:pPr>
        <w:spacing w:after="120" w:line="276"/>
        <w:jc w:val="both"/>
      </w:pPr>
      <w:r>
        <w:rPr>
          <w:rFonts w:ascii="Barlow Semi Condensed" w:cs="Barlow Semi Condensed" w:eastAsia="Barlow Semi Condensed" w:hAnsi="Barlow Semi Condensed"/>
          <w:b/>
          <w:bCs/>
          <w:sz w:val="24"/>
          <w:szCs w:val="24"/>
        </w:rPr>
        <w:t xml:space="preserve">23 · Le carte territoriali.</w:t>
      </w:r>
      <w:r>
        <w:rPr>
          <w:rFonts w:ascii="Barlow Semi Condensed" w:cs="Barlow Semi Condensed" w:eastAsia="Barlow Semi Condensed" w:hAnsi="Barlow Semi Condensed"/>
          <w:sz w:val="24"/>
          <w:szCs w:val="24"/>
        </w:rPr>
        <w:t xml:space="preserve"> Prefetture e questure — Roma e le province toccate dai 55 giorni: rapporti giornalieri, ordini di servizio, carteggi col centro. È il giacimento del dispositivo visto dal territorio, dove l'output dichiarato (posti di blocco, perquisizioni) ha i suoi registri di base (blocchi 246-247).</w:t>
      </w:r>
    </w:p>
    <w:p>
      <w:pPr>
        <w:spacing w:after="120" w:line="276"/>
        <w:jc w:val="both"/>
      </w:pPr>
      <w:r>
        <w:rPr>
          <w:rFonts w:ascii="Barlow Semi Condensed" w:cs="Barlow Semi Condensed" w:eastAsia="Barlow Semi Condensed" w:hAnsi="Barlow Semi Condensed"/>
          <w:b/>
          <w:bCs/>
          <w:sz w:val="24"/>
          <w:szCs w:val="24"/>
        </w:rPr>
        <w:t xml:space="preserve">24 · Le carte dell'Arma e della Finanza.</w:t>
      </w:r>
      <w:r>
        <w:rPr>
          <w:rFonts w:ascii="Barlow Semi Condensed" w:cs="Barlow Semi Condensed" w:eastAsia="Barlow Semi Condensed" w:hAnsi="Barlow Semi Condensed"/>
          <w:sz w:val="24"/>
          <w:szCs w:val="24"/>
        </w:rPr>
        <w:t xml:space="preserve"> I comandi generali e territoriali: rapporti, brogliacci, attività delegate. Ogni forza tenne le proprie serie documentali; la tavola per forza — che cosa versò ciascuna, con quali lacune — è un bersaglio in sé, prima ancora dei contenuti.</w:t>
      </w:r>
    </w:p>
    <w:p>
      <w:pPr>
        <w:spacing w:after="120" w:line="276"/>
        <w:jc w:val="both"/>
      </w:pPr>
      <w:r>
        <w:rPr>
          <w:rFonts w:ascii="Barlow Semi Condensed" w:cs="Barlow Semi Condensed" w:eastAsia="Barlow Semi Condensed" w:hAnsi="Barlow Semi Condensed"/>
          <w:b/>
          <w:bCs/>
          <w:sz w:val="24"/>
          <w:szCs w:val="24"/>
        </w:rPr>
        <w:t xml:space="preserve">25 · Il gabinetto e il vertice.</w:t>
      </w:r>
      <w:r>
        <w:rPr>
          <w:rFonts w:ascii="Barlow Semi Condensed" w:cs="Barlow Semi Condensed" w:eastAsia="Barlow Semi Condensed" w:hAnsi="Barlow Semi Condensed"/>
          <w:sz w:val="24"/>
          <w:szCs w:val="24"/>
        </w:rPr>
        <w:t xml:space="preserve"> Le carte di gabinetto del Ministero dell'Interno e della Presidenza del Consiglio nei 55 giorni: appunti per il ministro, verbali di vertice, corrispondenza riservata. Il livello politico-amministrativo dove i comitati del 16 marzo (quesito 8) lasciarono — o non lasciarono — la loro carta.</w:t>
      </w:r>
    </w:p>
    <w:p>
      <w:pPr>
        <w:spacing w:after="120" w:line="276"/>
        <w:jc w:val="both"/>
      </w:pPr>
      <w:r>
        <w:rPr>
          <w:rFonts w:ascii="Barlow Semi Condensed" w:cs="Barlow Semi Condensed" w:eastAsia="Barlow Semi Condensed" w:hAnsi="Barlow Semi Condensed"/>
          <w:b/>
          <w:bCs/>
          <w:sz w:val="24"/>
          <w:szCs w:val="24"/>
        </w:rPr>
        <w:t xml:space="preserve">26 · I comitati nel versato.</w:t>
      </w:r>
      <w:r>
        <w:rPr>
          <w:rFonts w:ascii="Barlow Semi Condensed" w:cs="Barlow Semi Condensed" w:eastAsia="Barlow Semi Condensed" w:hAnsi="Barlow Semi Condensed"/>
          <w:sz w:val="24"/>
          <w:szCs w:val="24"/>
        </w:rPr>
        <w:t xml:space="preserve"> La ricerca mirata dei verbali, ordini del giorno e fogli presenze dei tre comitati e del comitato di esperti: nel versato ACS, nelle carte di gabinetto, negli archivi degli uffici partecipanti. L'esito — il corpus dei verbali o la sua assenza certificata — decide il quesito 8 in un senso o nell'altro.</w:t>
      </w:r>
    </w:p>
    <w:p>
      <w:pPr>
        <w:spacing w:after="120" w:line="276"/>
        <w:jc w:val="both"/>
      </w:pPr>
      <w:r>
        <w:rPr>
          <w:rFonts w:ascii="Barlow Semi Condensed" w:cs="Barlow Semi Condensed" w:eastAsia="Barlow Semi Condensed" w:hAnsi="Barlow Semi Condensed"/>
          <w:b/>
          <w:bCs/>
          <w:sz w:val="24"/>
          <w:szCs w:val="24"/>
        </w:rPr>
        <w:t xml:space="preserve">27 · Le veline e i rapporti informativi.</w:t>
      </w:r>
      <w:r>
        <w:rPr>
          <w:rFonts w:ascii="Barlow Semi Condensed" w:cs="Barlow Semi Condensed" w:eastAsia="Barlow Semi Condensed" w:hAnsi="Barlow Semi Condensed"/>
          <w:sz w:val="24"/>
          <w:szCs w:val="24"/>
        </w:rPr>
        <w:t xml:space="preserve"> Lo spoglio trasversale dei rapporti informativi dei 55 giorni con la tavola delle segnalazioni: data d'ingresso, ufficio, contenuto, seguito documentato. È l'alimentazione diretta del registro d'ingresso (blocco 236): ogni velina protocollata è una riga della colonna che manca.</w:t>
      </w:r>
    </w:p>
    <w:p>
      <w:pPr>
        <w:spacing w:after="120" w:line="276"/>
        <w:jc w:val="both"/>
      </w:pPr>
      <w:r>
        <w:rPr>
          <w:rFonts w:ascii="Barlow Semi Condensed" w:cs="Barlow Semi Condensed" w:eastAsia="Barlow Semi Condensed" w:hAnsi="Barlow Semi Condensed"/>
          <w:b/>
          <w:bCs/>
          <w:sz w:val="24"/>
          <w:szCs w:val="24"/>
        </w:rPr>
        <w:t xml:space="preserve">28 · I registri nel versato.</w:t>
      </w:r>
      <w:r>
        <w:rPr>
          <w:rFonts w:ascii="Barlow Semi Condensed" w:cs="Barlow Semi Condensed" w:eastAsia="Barlow Semi Condensed" w:hAnsi="Barlow Semi Condensed"/>
          <w:sz w:val="24"/>
          <w:szCs w:val="24"/>
        </w:rPr>
        <w:t xml:space="preserve"> La caccia mirata alla carta seriale dentro la raccolta: brogliacci, protocolli, registri di sala operativa eventualmente versati con i fascicoli. La serie decima elenca i registri da ricostruire; questo blocco cerca quelli che esistono già e nessuno ha letto come registri.</w:t>
      </w:r>
    </w:p>
    <w:p>
      <w:pPr>
        <w:spacing w:after="120" w:line="276"/>
        <w:jc w:val="both"/>
      </w:pPr>
      <w:r>
        <w:rPr>
          <w:rFonts w:ascii="Barlow Semi Condensed" w:cs="Barlow Semi Condensed" w:eastAsia="Barlow Semi Condensed" w:hAnsi="Barlow Semi Condensed"/>
          <w:b/>
          <w:bCs/>
          <w:sz w:val="24"/>
          <w:szCs w:val="24"/>
        </w:rPr>
        <w:t xml:space="preserve">29 · La prova di completezza.</w:t>
      </w:r>
      <w:r>
        <w:rPr>
          <w:rFonts w:ascii="Barlow Semi Condensed" w:cs="Barlow Semi Condensed" w:eastAsia="Barlow Semi Condensed" w:hAnsi="Barlow Semi Condensed"/>
          <w:sz w:val="24"/>
          <w:szCs w:val="24"/>
        </w:rPr>
        <w:t xml:space="preserve"> Per ogni ufficio versante: il confronto fra ciò che i suoi protocolli dicono di aver prodotto nel 1978 e ciò che risulta versato. Lo scarto misurato tra prodotto e versato — ufficio per ufficio — è il censimento delle lacune, da cui nascono le richieste del blocco 30.</w:t>
      </w:r>
    </w:p>
    <w:p>
      <w:pPr>
        <w:spacing w:after="120" w:line="276"/>
        <w:jc w:val="both"/>
      </w:pPr>
      <w:r>
        <w:rPr>
          <w:rFonts w:ascii="Barlow Semi Condensed" w:cs="Barlow Semi Condensed" w:eastAsia="Barlow Semi Condensed" w:hAnsi="Barlow Semi Condensed"/>
          <w:b/>
          <w:bCs/>
          <w:sz w:val="24"/>
          <w:szCs w:val="24"/>
        </w:rPr>
        <w:t xml:space="preserve">30 · Le integrazioni.</w:t>
      </w:r>
      <w:r>
        <w:rPr>
          <w:rFonts w:ascii="Barlow Semi Condensed" w:cs="Barlow Semi Condensed" w:eastAsia="Barlow Semi Condensed" w:hAnsi="Barlow Semi Condensed"/>
          <w:sz w:val="24"/>
          <w:szCs w:val="24"/>
        </w:rPr>
        <w:t xml:space="preserve"> Per ogni lacuna misurata: la richiesta formale di versamento integrativo all'amministrazione detentrice, nei termini delle direttive vigenti, registrata nel registro delle richieste (259). La Direttiva è un processo, non un evento: l'agenda la tiene viva esigendone il completamento.</w:t>
      </w:r>
    </w:p>
    <w:p>
      <w:pPr>
        <w:spacing w:after="120" w:line="276"/>
        <w:jc w:val="both"/>
      </w:pPr>
      <w:r>
        <w:rPr>
          <w:rFonts w:ascii="Barlow Semi Condensed" w:cs="Barlow Semi Condensed" w:eastAsia="Barlow Semi Condensed" w:hAnsi="Barlow Semi Condensed"/>
          <w:b/>
          <w:bCs/>
          <w:sz w:val="24"/>
          <w:szCs w:val="24"/>
        </w:rPr>
        <w:t xml:space="preserve">31 · Il portale della Rete.</w:t>
      </w:r>
      <w:r>
        <w:rPr>
          <w:rFonts w:ascii="Barlow Semi Condensed" w:cs="Barlow Semi Condensed" w:eastAsia="Barlow Semi Condensed" w:hAnsi="Barlow Semi Condensed"/>
          <w:sz w:val="24"/>
          <w:szCs w:val="24"/>
        </w:rPr>
        <w:t xml:space="preserve"> Il portale della Rete degli archivi per non dimenticare (memoria.cultura.gov.it): il censimento di ciò che già pubblica sul caso — sentenze di primo grado e d'appello, fondi collegati — e lo spoglio sistematico delle sentenze digitalizzate. Ciò che è già online si spoglia prima di ciò che richiede una sala studio.</w:t>
      </w:r>
    </w:p>
    <w:p>
      <w:pPr>
        <w:spacing w:after="120" w:line="276"/>
        <w:jc w:val="both"/>
      </w:pPr>
      <w:r>
        <w:rPr>
          <w:rFonts w:ascii="Barlow Semi Condensed" w:cs="Barlow Semi Condensed" w:eastAsia="Barlow Semi Condensed" w:hAnsi="Barlow Semi Condensed"/>
          <w:b/>
          <w:bCs/>
          <w:sz w:val="24"/>
          <w:szCs w:val="24"/>
        </w:rPr>
        <w:t xml:space="preserve">32 · L'Archivio Flamigni.</w:t>
      </w:r>
      <w:r>
        <w:rPr>
          <w:rFonts w:ascii="Barlow Semi Condensed" w:cs="Barlow Semi Condensed" w:eastAsia="Barlow Semi Condensed" w:hAnsi="Barlow Semi Condensed"/>
          <w:sz w:val="24"/>
          <w:szCs w:val="24"/>
        </w:rPr>
        <w:t xml:space="preserve"> Il Centro documentazione Archivio Flamigni (fondato nel 2005, dal 2021 a Roma, Garbatella, spazio MEMO): il più vasto giacimento privato di documentazione sul caso — carte di commissioni, rassegne, fondi personali. Bersaglio: l'inventario dei suoi fondi morotei e il protocollo di consultazione (archivioflamigni.org).</w:t>
      </w:r>
    </w:p>
    <w:p>
      <w:pPr>
        <w:spacing w:after="120" w:line="276"/>
        <w:jc w:val="both"/>
      </w:pPr>
      <w:r>
        <w:rPr>
          <w:rFonts w:ascii="Barlow Semi Condensed" w:cs="Barlow Semi Condensed" w:eastAsia="Barlow Semi Condensed" w:hAnsi="Barlow Semi Condensed"/>
          <w:b/>
          <w:bCs/>
          <w:sz w:val="24"/>
          <w:szCs w:val="24"/>
        </w:rPr>
        <w:t xml:space="preserve">33 · Gli Archivi di Stato territoriali.</w:t>
      </w:r>
      <w:r>
        <w:rPr>
          <w:rFonts w:ascii="Barlow Semi Condensed" w:cs="Barlow Semi Condensed" w:eastAsia="Barlow Semi Condensed" w:hAnsi="Barlow Semi Condensed"/>
          <w:sz w:val="24"/>
          <w:szCs w:val="24"/>
        </w:rPr>
        <w:t xml:space="preserve"> Gli istituti territoriali competenti per i luoghi del caso: fascicoli di prefettura e questura non confluiti nella raccolta speciale, carte comunali versate, fondi giudiziari periferici. La miniera centrale non esaurisce lo Stato: la periferia archivistica ha le sue serie, e nessuno le ha mai interrogate insieme.</w:t>
      </w:r>
    </w:p>
    <w:p>
      <w:pPr>
        <w:spacing w:after="120" w:line="276"/>
        <w:jc w:val="both"/>
      </w:pPr>
      <w:r>
        <w:rPr>
          <w:rFonts w:ascii="Barlow Semi Condensed" w:cs="Barlow Semi Condensed" w:eastAsia="Barlow Semi Condensed" w:hAnsi="Barlow Semi Condensed"/>
          <w:b/>
          <w:bCs/>
          <w:sz w:val="24"/>
          <w:szCs w:val="24"/>
        </w:rPr>
        <w:t xml:space="preserve">34 · Gli archivi delle forze di polizia.</w:t>
      </w:r>
      <w:r>
        <w:rPr>
          <w:rFonts w:ascii="Barlow Semi Condensed" w:cs="Barlow Semi Condensed" w:eastAsia="Barlow Semi Condensed" w:hAnsi="Barlow Semi Condensed"/>
          <w:sz w:val="24"/>
          <w:szCs w:val="24"/>
        </w:rPr>
        <w:t xml:space="preserve"> Gli archivi storici e i musei della Polizia di Stato e i fondi documentali interni ancora presso l'amministrazione: materiali fotografici, fascicoli di servizio, memorie d'ufficio. Si chiede con la disciplina del blocco 287: prima l'inventario, poi il documento.</w:t>
      </w:r>
    </w:p>
    <w:p>
      <w:pPr>
        <w:spacing w:after="120" w:line="276"/>
        <w:jc w:val="both"/>
      </w:pPr>
      <w:r>
        <w:rPr>
          <w:rFonts w:ascii="Barlow Semi Condensed" w:cs="Barlow Semi Condensed" w:eastAsia="Barlow Semi Condensed" w:hAnsi="Barlow Semi Condensed"/>
          <w:b/>
          <w:bCs/>
          <w:sz w:val="24"/>
          <w:szCs w:val="24"/>
        </w:rPr>
        <w:t xml:space="preserve">35 · Gli archivi militari.</w:t>
      </w:r>
      <w:r>
        <w:rPr>
          <w:rFonts w:ascii="Barlow Semi Condensed" w:cs="Barlow Semi Condensed" w:eastAsia="Barlow Semi Condensed" w:hAnsi="Barlow Semi Condensed"/>
          <w:sz w:val="24"/>
          <w:szCs w:val="24"/>
        </w:rPr>
        <w:t xml:space="preserve"> Gli uffici storici delle forze armate e dei comandi: carte del 1978 su vigilanza, supporti, comunicazioni. Bersaglio a probabilità media e perimetro preciso: che cosa fu chiesto alle strutture militari nei 55 giorni, e che cosa ne resta in carta.</w:t>
      </w:r>
    </w:p>
    <w:p>
      <w:pPr>
        <w:spacing w:after="120" w:line="276"/>
        <w:jc w:val="both"/>
      </w:pPr>
      <w:r>
        <w:rPr>
          <w:rFonts w:ascii="Barlow Semi Condensed" w:cs="Barlow Semi Condensed" w:eastAsia="Barlow Semi Condensed" w:hAnsi="Barlow Semi Condensed"/>
          <w:b/>
          <w:bCs/>
          <w:sz w:val="24"/>
          <w:szCs w:val="24"/>
        </w:rPr>
        <w:t xml:space="preserve">36 · L'archivio dell'Arma.</w:t>
      </w:r>
      <w:r>
        <w:rPr>
          <w:rFonts w:ascii="Barlow Semi Condensed" w:cs="Barlow Semi Condensed" w:eastAsia="Barlow Semi Condensed" w:hAnsi="Barlow Semi Condensed"/>
          <w:sz w:val="24"/>
          <w:szCs w:val="24"/>
        </w:rPr>
        <w:t xml:space="preserve"> L'ufficio storico dei Carabinieri e le serie documentali dei reparti coinvolti nel 1978: rapporti territoriali, carteggi, fascicoli fotografici. La tavola per forza del blocco 24 si completa qui, dove le serie non versate all'ACS hanno la loro sede naturale.</w:t>
      </w:r>
    </w:p>
    <w:p>
      <w:pPr>
        <w:spacing w:after="120" w:line="276"/>
        <w:jc w:val="both"/>
      </w:pPr>
      <w:r>
        <w:rPr>
          <w:rFonts w:ascii="Barlow Semi Condensed" w:cs="Barlow Semi Condensed" w:eastAsia="Barlow Semi Condensed" w:hAnsi="Barlow Semi Condensed"/>
          <w:b/>
          <w:bCs/>
          <w:sz w:val="24"/>
          <w:szCs w:val="24"/>
        </w:rPr>
        <w:t xml:space="preserve">37 · I fascicoli giudiziari romani.</w:t>
      </w:r>
      <w:r>
        <w:rPr>
          <w:rFonts w:ascii="Barlow Semi Condensed" w:cs="Barlow Semi Condensed" w:eastAsia="Barlow Semi Condensed" w:hAnsi="Barlow Semi Condensed"/>
          <w:sz w:val="24"/>
          <w:szCs w:val="24"/>
        </w:rPr>
        <w:t xml:space="preserve"> Gli archivi del tribunale e della corte d'assise di Roma: i fascicoli integrali dei processi Moro (uno-quinquies) — dibattimenti, produzioni, perizie, corpi di reato documentali. Il giudicato è il pavimento del caso; il suo fascicolo integrale è il pavimento dell'agenda, e va censito foglio per foglio.</w:t>
      </w:r>
    </w:p>
    <w:p>
      <w:pPr>
        <w:spacing w:after="120" w:line="276"/>
        <w:jc w:val="both"/>
      </w:pPr>
      <w:r>
        <w:rPr>
          <w:rFonts w:ascii="Barlow Semi Condensed" w:cs="Barlow Semi Condensed" w:eastAsia="Barlow Semi Condensed" w:hAnsi="Barlow Semi Condensed"/>
          <w:b/>
          <w:bCs/>
          <w:sz w:val="24"/>
          <w:szCs w:val="24"/>
        </w:rPr>
        <w:t xml:space="preserve">38 · Le sentenze integrali.</w:t>
      </w:r>
      <w:r>
        <w:rPr>
          <w:rFonts w:ascii="Barlow Semi Condensed" w:cs="Barlow Semi Condensed" w:eastAsia="Barlow Semi Condensed" w:hAnsi="Barlow Semi Condensed"/>
          <w:sz w:val="24"/>
          <w:szCs w:val="24"/>
        </w:rPr>
        <w:t xml:space="preserve"> La collazione di tutte le sentenze del caso — primo grado, appello, Cassazione, per tutti i filoni — in edizione digitale unica con indici. Parte è già sul portale della Rete; il bersaglio è la completezza: nessun grado di giudizio senza il suo testo integrale nella biblioteca dell'agenda.</w:t>
      </w:r>
    </w:p>
    <w:p>
      <w:pPr>
        <w:spacing w:after="120" w:line="276"/>
        <w:jc w:val="both"/>
      </w:pPr>
      <w:r>
        <w:rPr>
          <w:rFonts w:ascii="Barlow Semi Condensed" w:cs="Barlow Semi Condensed" w:eastAsia="Barlow Semi Condensed" w:hAnsi="Barlow Semi Condensed"/>
          <w:b/>
          <w:bCs/>
          <w:sz w:val="24"/>
          <w:szCs w:val="24"/>
        </w:rPr>
        <w:t xml:space="preserve">39 · Le carte dell'amministrazione penitenziaria.</w:t>
      </w:r>
      <w:r>
        <w:rPr>
          <w:rFonts w:ascii="Barlow Semi Condensed" w:cs="Barlow Semi Condensed" w:eastAsia="Barlow Semi Condensed" w:hAnsi="Barlow Semi Condensed"/>
          <w:sz w:val="24"/>
          <w:szCs w:val="24"/>
        </w:rPr>
        <w:t xml:space="preserve"> I registri e i fascicoli del DAP e degli istituti per il 1978: i colloqui (blocco 242), i trasferimenti, le carte dei detenuti politici nei 55 giorni. L'amministrazione penitenziaria è un archivio a sé, con regole d'accesso proprie: si mappa prima, si chiede poi.</w:t>
      </w:r>
    </w:p>
    <w:p>
      <w:pPr>
        <w:spacing w:after="120" w:line="276"/>
        <w:jc w:val="both"/>
      </w:pPr>
      <w:r>
        <w:rPr>
          <w:rFonts w:ascii="Barlow Semi Condensed" w:cs="Barlow Semi Condensed" w:eastAsia="Barlow Semi Condensed" w:hAnsi="Barlow Semi Condensed"/>
          <w:b/>
          <w:bCs/>
          <w:sz w:val="24"/>
          <w:szCs w:val="24"/>
        </w:rPr>
        <w:t xml:space="preserve">40 · Gli archivi capitolini.</w:t>
      </w:r>
      <w:r>
        <w:rPr>
          <w:rFonts w:ascii="Barlow Semi Condensed" w:cs="Barlow Semi Condensed" w:eastAsia="Barlow Semi Condensed" w:hAnsi="Barlow Semi Condensed"/>
          <w:sz w:val="24"/>
          <w:szCs w:val="24"/>
        </w:rPr>
        <w:t xml:space="preserve"> L'archivio storico capitolino e gli uffici comunali: anagrafe storica, licenze, pratiche edilizie dei luoghi del caso — via Fani, via Gradoli, via Montalcini. L'anagrafe dei condominii (blocco 249) parte da qui: la città conserva la carta dei suoi edifici.</w:t>
      </w:r>
    </w:p>
    <w:p>
      <w:pPr>
        <w:spacing w:after="120" w:line="276"/>
        <w:jc w:val="both"/>
      </w:pPr>
      <w:r>
        <w:rPr>
          <w:rFonts w:ascii="Barlow Semi Condensed" w:cs="Barlow Semi Condensed" w:eastAsia="Barlow Semi Condensed" w:hAnsi="Barlow Semi Condensed"/>
          <w:b/>
          <w:bCs/>
          <w:sz w:val="24"/>
          <w:szCs w:val="24"/>
        </w:rPr>
        <w:t xml:space="preserve">41 · Conservatoria e catasto.</w:t>
      </w:r>
      <w:r>
        <w:rPr>
          <w:rFonts w:ascii="Barlow Semi Condensed" w:cs="Barlow Semi Condensed" w:eastAsia="Barlow Semi Condensed" w:hAnsi="Barlow Semi Condensed"/>
          <w:sz w:val="24"/>
          <w:szCs w:val="24"/>
        </w:rPr>
        <w:t xml:space="preserve"> I registri immobiliari e catastali per gli stabili chiave, anno per anno: la tavola cronologica delle proprietà che il quesito 5 dichiara discriminante. Fonte fredda, procedura ordinaria, esito tabellare: il bersaglio perfetto — nessuna interpretazione, solo date e intestazioni.</w:t>
      </w:r>
    </w:p>
    <w:p>
      <w:pPr>
        <w:spacing w:after="120" w:line="276"/>
        <w:jc w:val="both"/>
      </w:pPr>
      <w:r>
        <w:rPr>
          <w:rFonts w:ascii="Barlow Semi Condensed" w:cs="Barlow Semi Condensed" w:eastAsia="Barlow Semi Condensed" w:hAnsi="Barlow Semi Condensed"/>
          <w:b/>
          <w:bCs/>
          <w:sz w:val="24"/>
          <w:szCs w:val="24"/>
        </w:rPr>
        <w:t xml:space="preserve">42 · Gli archivi delle società.</w:t>
      </w:r>
      <w:r>
        <w:rPr>
          <w:rFonts w:ascii="Barlow Semi Condensed" w:cs="Barlow Semi Condensed" w:eastAsia="Barlow Semi Condensed" w:hAnsi="Barlow Semi Condensed"/>
          <w:sz w:val="24"/>
          <w:szCs w:val="24"/>
        </w:rPr>
        <w:t xml:space="preserve"> SIP e le società telefoniche successorie, ACEA e le utility: tabulati superstiti, contratti, letture dei contatori dell'epoca (blocchi 239 e 257). Le società hanno archivi e obblighi di conservazione diversi dallo Stato: la richiesta si costruisce sulla loro normativa, non su quella archivistica pubblica.</w:t>
      </w:r>
    </w:p>
    <w:p>
      <w:pPr>
        <w:spacing w:after="120" w:line="276"/>
        <w:jc w:val="both"/>
      </w:pPr>
      <w:r>
        <w:rPr>
          <w:rFonts w:ascii="Barlow Semi Condensed" w:cs="Barlow Semi Condensed" w:eastAsia="Barlow Semi Condensed" w:hAnsi="Barlow Semi Condensed"/>
          <w:b/>
          <w:bCs/>
          <w:sz w:val="24"/>
          <w:szCs w:val="24"/>
        </w:rPr>
        <w:t xml:space="preserve">43 · Le teche e le agenzie.</w:t>
      </w:r>
      <w:r>
        <w:rPr>
          <w:rFonts w:ascii="Barlow Semi Condensed" w:cs="Barlow Semi Condensed" w:eastAsia="Barlow Semi Condensed" w:hAnsi="Barlow Semi Condensed"/>
          <w:sz w:val="24"/>
          <w:szCs w:val="24"/>
        </w:rPr>
        <w:t xml:space="preserve"> Gli archivi RAI e delle agenzie di stampa per i materiali del caso: i grezzi, i fuori onda, i notiziari integrali (blocchi 90-91). L'accesso per ricerca ha i suoi canali e i suoi costi (blocco 286): si negozia una convenzione, non si chiede un favore.</w:t>
      </w:r>
    </w:p>
    <w:p>
      <w:pPr>
        <w:spacing w:after="120" w:line="276"/>
        <w:jc w:val="both"/>
      </w:pPr>
      <w:r>
        <w:rPr>
          <w:rFonts w:ascii="Barlow Semi Condensed" w:cs="Barlow Semi Condensed" w:eastAsia="Barlow Semi Condensed" w:hAnsi="Barlow Semi Condensed"/>
          <w:b/>
          <w:bCs/>
          <w:sz w:val="24"/>
          <w:szCs w:val="24"/>
        </w:rPr>
        <w:t xml:space="preserve">44 · Il calendario delle aperture.</w:t>
      </w:r>
      <w:r>
        <w:rPr>
          <w:rFonts w:ascii="Barlow Semi Condensed" w:cs="Barlow Semi Condensed" w:eastAsia="Barlow Semi Condensed" w:hAnsi="Barlow Semi Condensed"/>
          <w:sz w:val="24"/>
          <w:szCs w:val="24"/>
        </w:rPr>
        <w:t xml:space="preserve"> La tavola aggiornata di chi decide le declassifiche nazionali e con quali tempi: le direttive per l'ACS, gli organi di vertice parlamentari per le commissioni, le amministrazioni originatrici per il nulla osta. Ogni scadenza e ogni discrezionalità mappate: l'agenda chiede meglio dove sa chi può rispondere.</w:t>
      </w:r>
    </w:p>
    <w:p>
      <w:pPr>
        <w:spacing w:after="120" w:line="276"/>
        <w:jc w:val="both"/>
      </w:pPr>
      <w:r>
        <w:rPr>
          <w:rFonts w:ascii="Barlow Semi Condensed" w:cs="Barlow Semi Condensed" w:eastAsia="Barlow Semi Condensed" w:hAnsi="Barlow Semi Condensed"/>
          <w:b/>
          <w:bCs/>
          <w:sz w:val="24"/>
          <w:szCs w:val="24"/>
        </w:rPr>
        <w:t xml:space="preserve">45 · La tavola del giacimento nazionale.</w:t>
      </w:r>
      <w:r>
        <w:rPr>
          <w:rFonts w:ascii="Barlow Semi Condensed" w:cs="Barlow Semi Condensed" w:eastAsia="Barlow Semi Condensed" w:hAnsi="Barlow Semi Condensed"/>
          <w:sz w:val="24"/>
          <w:szCs w:val="24"/>
        </w:rPr>
        <w:t xml:space="preserve"> La chiusura della serie: la tavola unica dei giacimenti italiani — istituto per istituto, fondo per fondo, con copertura, accesso, stato di spoglio — mantenuta viva come il primo strumento pubblico dell'agenda. Chi vorrà cercare dopo di noi partirà da qui, non da zero.</w:t>
      </w:r>
    </w:p>
    <w:p>
      <w:pPr>
        <w:pStyle w:val="Heading2"/>
        <w:spacing w:after="100" w:before="200"/>
      </w:pPr>
      <w:r>
        <w:rPr>
          <w:rFonts w:ascii="Barlow Semi Condensed" w:cs="Barlow Semi Condensed" w:eastAsia="Barlow Semi Condensed" w:hAnsi="Barlow Semi Condensed"/>
          <w:sz w:val="24"/>
          <w:szCs w:val="24"/>
        </w:rPr>
        <w:t xml:space="preserve">Serie terza — Gli archivi parlamentari (blocchi 46-70)</w:t>
      </w:r>
    </w:p>
    <w:p>
      <w:pPr>
        <w:spacing w:after="120" w:line="276"/>
        <w:jc w:val="both"/>
      </w:pPr>
      <w:r>
        <w:rPr>
          <w:rFonts w:ascii="Barlow Semi Condensed" w:cs="Barlow Semi Condensed" w:eastAsia="Barlow Semi Condensed" w:hAnsi="Barlow Semi Condensed"/>
          <w:i/>
          <w:iCs/>
          <w:sz w:val="24"/>
          <w:szCs w:val="24"/>
        </w:rPr>
        <w:t xml:space="preserve">Statuto della serie: quarant'anni di inchieste. Tre commissioni d'inchiesta hanno accumulato il più grande corpus istruttorio non giudiziario del caso: la Moro 1 (1979-1983), la Commissione Stragi (1988-2001), la Moro 2 (2014-2017). La serie ne organizza lo spoglio integrale e il confronto incrociato. Verifiche condotte per questa agenda: fondo Moro 2 all'Archivio storico della Camera (archivio.camera.it) col portale delle inchieste (inchieste.camera.it/moro), fondo Moro 1 e fondo Stragi all'Archivio storico del Senato (patrimonio.archivio.senato.it).</w:t>
      </w:r>
    </w:p>
    <w:p>
      <w:pPr>
        <w:spacing w:after="120" w:line="276"/>
        <w:jc w:val="both"/>
      </w:pPr>
      <w:r>
        <w:rPr>
          <w:rFonts w:ascii="Barlow Semi Condensed" w:cs="Barlow Semi Condensed" w:eastAsia="Barlow Semi Condensed" w:hAnsi="Barlow Semi Condensed"/>
          <w:b/>
          <w:bCs/>
          <w:sz w:val="24"/>
          <w:szCs w:val="24"/>
        </w:rPr>
        <w:t xml:space="preserve">46 · Il fondo della Moro 2.</w:t>
      </w:r>
      <w:r>
        <w:rPr>
          <w:rFonts w:ascii="Barlow Semi Condensed" w:cs="Barlow Semi Condensed" w:eastAsia="Barlow Semi Condensed" w:hAnsi="Barlow Semi Condensed"/>
          <w:sz w:val="24"/>
          <w:szCs w:val="24"/>
        </w:rPr>
        <w:t xml:space="preserve"> Il fondo della Commissione Moro 2 (legge 30 maggio 2014 n. 82; presidenza Fioroni dal 2 ottobre 2014) all'Archivio storico della Camera: perimetro, serie, strumenti di ricerca. È il giacimento istruttorio più recente e più tecnico del caso: lo spoglio integrale è un bersaglio primario dell'agenda.</w:t>
      </w:r>
    </w:p>
    <w:p>
      <w:pPr>
        <w:spacing w:after="120" w:line="276"/>
        <w:jc w:val="both"/>
      </w:pPr>
      <w:r>
        <w:rPr>
          <w:rFonts w:ascii="Barlow Semi Condensed" w:cs="Barlow Semi Condensed" w:eastAsia="Barlow Semi Condensed" w:hAnsi="Barlow Semi Condensed"/>
          <w:b/>
          <w:bCs/>
          <w:sz w:val="24"/>
          <w:szCs w:val="24"/>
        </w:rPr>
        <w:t xml:space="preserve">47 · Il portale delle inchieste.</w:t>
      </w:r>
      <w:r>
        <w:rPr>
          <w:rFonts w:ascii="Barlow Semi Condensed" w:cs="Barlow Semi Condensed" w:eastAsia="Barlow Semi Condensed" w:hAnsi="Barlow Semi Condensed"/>
          <w:sz w:val="24"/>
          <w:szCs w:val="24"/>
        </w:rPr>
        <w:t xml:space="preserve"> Il portale della Camera (inchieste.camera.it/moro): stenografici delle audizioni e documentazione libera già online. Regola della serie: prima si esaurisce l'online, poi si chiede la sala studio — e lo spoglio del portale produce l'indice di ciò che va chiesto di persona.</w:t>
      </w:r>
    </w:p>
    <w:p>
      <w:pPr>
        <w:spacing w:after="120" w:line="276"/>
        <w:jc w:val="both"/>
      </w:pPr>
      <w:r>
        <w:rPr>
          <w:rFonts w:ascii="Barlow Semi Condensed" w:cs="Barlow Semi Condensed" w:eastAsia="Barlow Semi Condensed" w:hAnsi="Barlow Semi Condensed"/>
          <w:b/>
          <w:bCs/>
          <w:sz w:val="24"/>
          <w:szCs w:val="24"/>
        </w:rPr>
        <w:t xml:space="preserve">48 · Le relazioni della Moro 2.</w:t>
      </w:r>
      <w:r>
        <w:rPr>
          <w:rFonts w:ascii="Barlow Semi Condensed" w:cs="Barlow Semi Condensed" w:eastAsia="Barlow Semi Condensed" w:hAnsi="Barlow Semi Condensed"/>
          <w:sz w:val="24"/>
          <w:szCs w:val="24"/>
        </w:rPr>
        <w:t xml:space="preserve"> Le relazioni pubblicate dalla Commissione (i Doc. XXIII della XVII legislatura, online su documenti.camera.it): rilettura integrale con la griglia dei quesiti costitutivi — che cosa ciascuna relazione accerta, con quali fonti, e quali quesiti dichiara aperti. Le relazioni sono la mappa delle piste della commissione: l'agenda le confronta con le proprie.</w:t>
      </w:r>
    </w:p>
    <w:p>
      <w:pPr>
        <w:spacing w:after="120" w:line="276"/>
        <w:jc w:val="both"/>
      </w:pPr>
      <w:r>
        <w:rPr>
          <w:rFonts w:ascii="Barlow Semi Condensed" w:cs="Barlow Semi Condensed" w:eastAsia="Barlow Semi Condensed" w:hAnsi="Barlow Semi Condensed"/>
          <w:b/>
          <w:bCs/>
          <w:sz w:val="24"/>
          <w:szCs w:val="24"/>
        </w:rPr>
        <w:t xml:space="preserve">49 · La perizia balistica del 2015.</w:t>
      </w:r>
      <w:r>
        <w:rPr>
          <w:rFonts w:ascii="Barlow Semi Condensed" w:cs="Barlow Semi Condensed" w:eastAsia="Barlow Semi Condensed" w:hAnsi="Barlow Semi Condensed"/>
          <w:sz w:val="24"/>
          <w:szCs w:val="24"/>
        </w:rPr>
        <w:t xml:space="preserve"> L'esame tecnico-balistico del Servizio Polizia scientifica sui reperti di via Fani, illustrato alla Moro 2 nell'audizione del 10 giugno 2015 (stenografico online) e consegnato alla Commissione: acquisizione del testo integrale dal fondo, con allegati e tavole. È la base tecnica su cui i blocchi 72-75 costruiscono il riesame.</w:t>
      </w:r>
    </w:p>
    <w:p>
      <w:pPr>
        <w:spacing w:after="120" w:line="276"/>
        <w:jc w:val="both"/>
      </w:pPr>
      <w:r>
        <w:rPr>
          <w:rFonts w:ascii="Barlow Semi Condensed" w:cs="Barlow Semi Condensed" w:eastAsia="Barlow Semi Condensed" w:hAnsi="Barlow Semi Condensed"/>
          <w:b/>
          <w:bCs/>
          <w:sz w:val="24"/>
          <w:szCs w:val="24"/>
        </w:rPr>
        <w:t xml:space="preserve">50 · Gli accertamenti genetici.</w:t>
      </w:r>
      <w:r>
        <w:rPr>
          <w:rFonts w:ascii="Barlow Semi Condensed" w:cs="Barlow Semi Condensed" w:eastAsia="Barlow Semi Condensed" w:hAnsi="Barlow Semi Condensed"/>
          <w:sz w:val="24"/>
          <w:szCs w:val="24"/>
        </w:rPr>
        <w:t xml:space="preserve"> Le carte degli accertamenti DNA disposti dalla Commissione (i profili 2016 dai mozziconi dell'auto di sbarramento e di via Gradoli): relazioni tecniche, verbali di comparazione, esiti. Il bersaglio è il testo tecnico integrale: i blocchi 76-78 hanno bisogno dei numeri, non dei riassunti.</w:t>
      </w:r>
    </w:p>
    <w:p>
      <w:pPr>
        <w:spacing w:after="120" w:line="276"/>
        <w:jc w:val="both"/>
      </w:pPr>
      <w:r>
        <w:rPr>
          <w:rFonts w:ascii="Barlow Semi Condensed" w:cs="Barlow Semi Condensed" w:eastAsia="Barlow Semi Condensed" w:hAnsi="Barlow Semi Condensed"/>
          <w:b/>
          <w:bCs/>
          <w:sz w:val="24"/>
          <w:szCs w:val="24"/>
        </w:rPr>
        <w:t xml:space="preserve">51 · Le altre perizie del fondo.</w:t>
      </w:r>
      <w:r>
        <w:rPr>
          <w:rFonts w:ascii="Barlow Semi Condensed" w:cs="Barlow Semi Condensed" w:eastAsia="Barlow Semi Condensed" w:hAnsi="Barlow Semi Condensed"/>
          <w:sz w:val="24"/>
          <w:szCs w:val="24"/>
        </w:rPr>
        <w:t xml:space="preserve"> Il censimento di tutte le consulenze tecniche della Moro 2 — dattiloscopiche, informatiche, documentali — con stato di pubblicità: quali sono nelle relazioni, quali solo nel fondo, quali riservate. La tavola delle perizie (blocco 66) comincia dal giacimento più recente.</w:t>
      </w:r>
    </w:p>
    <w:p>
      <w:pPr>
        <w:spacing w:after="120" w:line="276"/>
        <w:jc w:val="both"/>
      </w:pPr>
      <w:r>
        <w:rPr>
          <w:rFonts w:ascii="Barlow Semi Condensed" w:cs="Barlow Semi Condensed" w:eastAsia="Barlow Semi Condensed" w:hAnsi="Barlow Semi Condensed"/>
          <w:b/>
          <w:bCs/>
          <w:sz w:val="24"/>
          <w:szCs w:val="24"/>
        </w:rPr>
        <w:t xml:space="preserve">52 · Le ventimila pagine.</w:t>
      </w:r>
      <w:r>
        <w:rPr>
          <w:rFonts w:ascii="Barlow Semi Condensed" w:cs="Barlow Semi Condensed" w:eastAsia="Barlow Semi Condensed" w:hAnsi="Barlow Semi Condensed"/>
          <w:sz w:val="24"/>
          <w:szCs w:val="24"/>
        </w:rPr>
        <w:t xml:space="preserve"> La documentazione desecretata pubblicata dall'Archivio storico della Camera (circa ventimila pagine della Commissione Moro 2 rese consultabili online): spoglio sistematico con la griglia dei quesiti, non per curiosità di scorrimento. Ogni pagina desecretata è una carta che qualcuno aveva classificato: il perché della classifica è un dato anch'esso.</w:t>
      </w:r>
    </w:p>
    <w:p>
      <w:pPr>
        <w:spacing w:after="120" w:line="276"/>
        <w:jc w:val="both"/>
      </w:pPr>
      <w:r>
        <w:rPr>
          <w:rFonts w:ascii="Barlow Semi Condensed" w:cs="Barlow Semi Condensed" w:eastAsia="Barlow Semi Condensed" w:hAnsi="Barlow Semi Condensed"/>
          <w:b/>
          <w:bCs/>
          <w:sz w:val="24"/>
          <w:szCs w:val="24"/>
        </w:rPr>
        <w:t xml:space="preserve">53 · Il riservato residuo della Moro 2.</w:t>
      </w:r>
      <w:r>
        <w:rPr>
          <w:rFonts w:ascii="Barlow Semi Condensed" w:cs="Barlow Semi Condensed" w:eastAsia="Barlow Semi Condensed" w:hAnsi="Barlow Semi Condensed"/>
          <w:sz w:val="24"/>
          <w:szCs w:val="24"/>
        </w:rPr>
        <w:t xml:space="preserve"> Il censimento di ciò che nel fondo resta riservato o classificato, e la via della sua apertura: determinazioni degli organi di vertice della Camera, nulla osta delle amministrazioni originatrici. Per ogni classe di atti riservati: la richiesta formale, registrata, con la norma citata (blocco 287).</w:t>
      </w:r>
    </w:p>
    <w:p>
      <w:pPr>
        <w:spacing w:after="120" w:line="276"/>
        <w:jc w:val="both"/>
      </w:pPr>
      <w:r>
        <w:rPr>
          <w:rFonts w:ascii="Barlow Semi Condensed" w:cs="Barlow Semi Condensed" w:eastAsia="Barlow Semi Condensed" w:hAnsi="Barlow Semi Condensed"/>
          <w:b/>
          <w:bCs/>
          <w:sz w:val="24"/>
          <w:szCs w:val="24"/>
        </w:rPr>
        <w:t xml:space="preserve">54 · Il fondo della Moro 1.</w:t>
      </w:r>
      <w:r>
        <w:rPr>
          <w:rFonts w:ascii="Barlow Semi Condensed" w:cs="Barlow Semi Condensed" w:eastAsia="Barlow Semi Condensed" w:hAnsi="Barlow Semi Condensed"/>
          <w:sz w:val="24"/>
          <w:szCs w:val="24"/>
        </w:rPr>
        <w:t xml:space="preserve"> Il fondo della prima Commissione (legge 23 novembre 1979 n. 597, costituita il 10 gennaio 1980) all'Archivio storico del Senato, con inventario online: lo spoglio delle serie non riprodotte nei volumi a stampa — carteggi, documentazione acquisita, atti istruttori interni. Ciò che la Commissione lesse ma non stampò è il bersaglio.</w:t>
      </w:r>
    </w:p>
    <w:p>
      <w:pPr>
        <w:spacing w:after="120" w:line="276"/>
        <w:jc w:val="both"/>
      </w:pPr>
      <w:r>
        <w:rPr>
          <w:rFonts w:ascii="Barlow Semi Condensed" w:cs="Barlow Semi Condensed" w:eastAsia="Barlow Semi Condensed" w:hAnsi="Barlow Semi Condensed"/>
          <w:b/>
          <w:bCs/>
          <w:sz w:val="24"/>
          <w:szCs w:val="24"/>
        </w:rPr>
        <w:t xml:space="preserve">55 · I centotrenta volumi.</w:t>
      </w:r>
      <w:r>
        <w:rPr>
          <w:rFonts w:ascii="Barlow Semi Condensed" w:cs="Barlow Semi Condensed" w:eastAsia="Barlow Semi Condensed" w:hAnsi="Barlow Semi Condensed"/>
          <w:sz w:val="24"/>
          <w:szCs w:val="24"/>
        </w:rPr>
        <w:t xml:space="preserve"> L'edizione a stampa degli atti della Moro 1 (circa centotrenta volumi): la verifica della loro digitalizzazione integrale e, dove manchi, il progetto di digitalizzazione con indicizzazione (il cantiere digitale del manuale, blocchi 301 e seguenti). Un corpus che si consulta solo in biblioteca è un corpus che non si interroga.</w:t>
      </w:r>
    </w:p>
    <w:p>
      <w:pPr>
        <w:spacing w:after="120" w:line="276"/>
        <w:jc w:val="both"/>
      </w:pPr>
      <w:r>
        <w:rPr>
          <w:rFonts w:ascii="Barlow Semi Condensed" w:cs="Barlow Semi Condensed" w:eastAsia="Barlow Semi Condensed" w:hAnsi="Barlow Semi Condensed"/>
          <w:b/>
          <w:bCs/>
          <w:sz w:val="24"/>
          <w:szCs w:val="24"/>
        </w:rPr>
        <w:t xml:space="preserve">56 · Il riservato della Moro 1.</w:t>
      </w:r>
      <w:r>
        <w:rPr>
          <w:rFonts w:ascii="Barlow Semi Condensed" w:cs="Barlow Semi Condensed" w:eastAsia="Barlow Semi Condensed" w:hAnsi="Barlow Semi Condensed"/>
          <w:sz w:val="24"/>
          <w:szCs w:val="24"/>
        </w:rPr>
        <w:t xml:space="preserve"> Gli allegati e gli atti rimasti riservati della prima Commissione: censimento, stato attuale dopo le declassifiche intervenute, richiesta per il residuo. Quarant'anni dopo, la motivazione originaria di ogni riserva va riverificata: ciò che proteggeva qualcosa nel 1983 forse non protegge più nulla.</w:t>
      </w:r>
    </w:p>
    <w:p>
      <w:pPr>
        <w:spacing w:after="120" w:line="276"/>
        <w:jc w:val="both"/>
      </w:pPr>
      <w:r>
        <w:rPr>
          <w:rFonts w:ascii="Barlow Semi Condensed" w:cs="Barlow Semi Condensed" w:eastAsia="Barlow Semi Condensed" w:hAnsi="Barlow Semi Condensed"/>
          <w:b/>
          <w:bCs/>
          <w:sz w:val="24"/>
          <w:szCs w:val="24"/>
        </w:rPr>
        <w:t xml:space="preserve">57 · Il fondo della Commissione Stragi.</w:t>
      </w:r>
      <w:r>
        <w:rPr>
          <w:rFonts w:ascii="Barlow Semi Condensed" w:cs="Barlow Semi Condensed" w:eastAsia="Barlow Semi Condensed" w:hAnsi="Barlow Semi Condensed"/>
          <w:sz w:val="24"/>
          <w:szCs w:val="24"/>
        </w:rPr>
        <w:t xml:space="preserve"> Il fondo della Commissione sul terrorismo e le stragi (X-XIII legislatura, 1988-2001, presidenza Pellegrino) all'Archivio storico del Senato: inventario online, consultazione in sala studio su richiesta motivata. Il perimetro moroteo del fondo — audizioni, documenti acquisiti, elaborati — va estratto e spogliato come corpus a sé.</w:t>
      </w:r>
    </w:p>
    <w:p>
      <w:pPr>
        <w:spacing w:after="120" w:line="276"/>
        <w:jc w:val="both"/>
      </w:pPr>
      <w:r>
        <w:rPr>
          <w:rFonts w:ascii="Barlow Semi Condensed" w:cs="Barlow Semi Condensed" w:eastAsia="Barlow Semi Condensed" w:hAnsi="Barlow Semi Condensed"/>
          <w:b/>
          <w:bCs/>
          <w:sz w:val="24"/>
          <w:szCs w:val="24"/>
        </w:rPr>
        <w:t xml:space="preserve">58 · Le relazioni e gli stenografici della Stragi.</w:t>
      </w:r>
      <w:r>
        <w:rPr>
          <w:rFonts w:ascii="Barlow Semi Condensed" w:cs="Barlow Semi Condensed" w:eastAsia="Barlow Semi Condensed" w:hAnsi="Barlow Semi Condensed"/>
          <w:sz w:val="24"/>
          <w:szCs w:val="24"/>
        </w:rPr>
        <w:t xml:space="preserve"> Le relazioni approvate e gli stenografici delle sedute morotee della Commissione Stragi: rilettura con la griglia, e collazione delle audizioni ripetute — chi fu sentito sia dalla Stragi sia dalle Commissioni Moro, e che cosa cambiò fra le versioni. Le divergenze fra audizioni dello stesso teste sono un giacimento in sé.</w:t>
      </w:r>
    </w:p>
    <w:p>
      <w:pPr>
        <w:spacing w:after="120" w:line="276"/>
        <w:jc w:val="both"/>
      </w:pPr>
      <w:r>
        <w:rPr>
          <w:rFonts w:ascii="Barlow Semi Condensed" w:cs="Barlow Semi Condensed" w:eastAsia="Barlow Semi Condensed" w:hAnsi="Barlow Semi Condensed"/>
          <w:b/>
          <w:bCs/>
          <w:sz w:val="24"/>
          <w:szCs w:val="24"/>
        </w:rPr>
        <w:t xml:space="preserve">59 · Le declassifiche del Senato.</w:t>
      </w:r>
      <w:r>
        <w:rPr>
          <w:rFonts w:ascii="Barlow Semi Condensed" w:cs="Barlow Semi Condensed" w:eastAsia="Barlow Semi Condensed" w:hAnsi="Barlow Semi Condensed"/>
          <w:sz w:val="24"/>
          <w:szCs w:val="24"/>
        </w:rPr>
        <w:t xml:space="preserve"> Gli atti aperti dai decreti del Presidente del Senato (il DPS 12785 del 2020 e successivi): censimento di ciò che è stato desecretato nei fondi delle commissioni e di ciò che resta chiuso, con la procedura per chiederne l'apertura. Il calendario delle aperture (blocco 44) ha qui la sua colonna parlamentare.</w:t>
      </w:r>
    </w:p>
    <w:p>
      <w:pPr>
        <w:spacing w:after="120" w:line="276"/>
        <w:jc w:val="both"/>
      </w:pPr>
      <w:r>
        <w:rPr>
          <w:rFonts w:ascii="Barlow Semi Condensed" w:cs="Barlow Semi Condensed" w:eastAsia="Barlow Semi Condensed" w:hAnsi="Barlow Semi Condensed"/>
          <w:b/>
          <w:bCs/>
          <w:sz w:val="24"/>
          <w:szCs w:val="24"/>
        </w:rPr>
        <w:t xml:space="preserve">60 · Il fondo della Commissione P2.</w:t>
      </w:r>
      <w:r>
        <w:rPr>
          <w:rFonts w:ascii="Barlow Semi Condensed" w:cs="Barlow Semi Condensed" w:eastAsia="Barlow Semi Condensed" w:hAnsi="Barlow Semi Condensed"/>
          <w:sz w:val="24"/>
          <w:szCs w:val="24"/>
        </w:rPr>
        <w:t xml:space="preserve"> Gli atti della Commissione Anselmi sulla loggia P2 per la parte che tocca il 1978 e gli apparati del caso: gli elenchi accertati, le audizioni pertinenti, i documenti sugli uffici. Disciplina scolpita: le appartenenze documentate sono fatti; nessuna appartenenza è una condotta — la scheda PE-1 detta il perimetro.</w:t>
      </w:r>
    </w:p>
    <w:p>
      <w:pPr>
        <w:spacing w:after="120" w:line="276"/>
        <w:jc w:val="both"/>
      </w:pPr>
      <w:r>
        <w:rPr>
          <w:rFonts w:ascii="Barlow Semi Condensed" w:cs="Barlow Semi Condensed" w:eastAsia="Barlow Semi Condensed" w:hAnsi="Barlow Semi Condensed"/>
          <w:b/>
          <w:bCs/>
          <w:sz w:val="24"/>
          <w:szCs w:val="24"/>
        </w:rPr>
        <w:t xml:space="preserve">61 · I fondi connessi.</w:t>
      </w:r>
      <w:r>
        <w:rPr>
          <w:rFonts w:ascii="Barlow Semi Condensed" w:cs="Barlow Semi Condensed" w:eastAsia="Barlow Semi Condensed" w:hAnsi="Barlow Semi Condensed"/>
          <w:sz w:val="24"/>
          <w:szCs w:val="24"/>
        </w:rPr>
        <w:t xml:space="preserve"> Le altre commissioni d'inchiesta con materia intrecciata — per gli anni e gli apparati che toccano il caso: censimento dei rispettivi fondi per la sola parte moroteta, con la stessa disciplina di lettura. L'agenda non insegue le commissioni: estrae da ciascuna il perimetro che serve ai quesiti.</w:t>
      </w:r>
    </w:p>
    <w:p>
      <w:pPr>
        <w:spacing w:after="120" w:line="276"/>
        <w:jc w:val="both"/>
      </w:pPr>
      <w:r>
        <w:rPr>
          <w:rFonts w:ascii="Barlow Semi Condensed" w:cs="Barlow Semi Condensed" w:eastAsia="Barlow Semi Condensed" w:hAnsi="Barlow Semi Condensed"/>
          <w:b/>
          <w:bCs/>
          <w:sz w:val="24"/>
          <w:szCs w:val="24"/>
        </w:rPr>
        <w:t xml:space="preserve">62 · Gli atti parlamentari ordinari.</w:t>
      </w:r>
      <w:r>
        <w:rPr>
          <w:rFonts w:ascii="Barlow Semi Condensed" w:cs="Barlow Semi Condensed" w:eastAsia="Barlow Semi Condensed" w:hAnsi="Barlow Semi Condensed"/>
          <w:sz w:val="24"/>
          <w:szCs w:val="24"/>
        </w:rPr>
        <w:t xml:space="preserve"> Interrogazioni, interpellanze, dibattiti d'aula e di commissione dei 55 giorni e degli anni successivi, nelle banche dati storiche di Camera e Senato: la tavola di che cosa il Parlamento chiese al Governo sul caso e di che cosa il Governo rispose — con le non-risposte censite come tali.</w:t>
      </w:r>
    </w:p>
    <w:p>
      <w:pPr>
        <w:spacing w:after="120" w:line="276"/>
        <w:jc w:val="both"/>
      </w:pPr>
      <w:r>
        <w:rPr>
          <w:rFonts w:ascii="Barlow Semi Condensed" w:cs="Barlow Semi Condensed" w:eastAsia="Barlow Semi Condensed" w:hAnsi="Barlow Semi Condensed"/>
          <w:b/>
          <w:bCs/>
          <w:sz w:val="24"/>
          <w:szCs w:val="24"/>
        </w:rPr>
        <w:t xml:space="preserve">63 · I fondi dei parlamentari.</w:t>
      </w:r>
      <w:r>
        <w:rPr>
          <w:rFonts w:ascii="Barlow Semi Condensed" w:cs="Barlow Semi Condensed" w:eastAsia="Barlow Semi Condensed" w:hAnsi="Barlow Semi Condensed"/>
          <w:sz w:val="24"/>
          <w:szCs w:val="24"/>
        </w:rPr>
        <w:t xml:space="preserve"> I fondi personali dei parlamentari protagonisti conservati negli archivi storici delle Camere e negli istituti collegati: diari, carteggi, appunti dei 55 giorni. Il raccordo con la serie settima: qui si censisce ciò che le istituzioni parlamentari già custodiscono; là ciò che è ancora in mani private.</w:t>
      </w:r>
    </w:p>
    <w:p>
      <w:pPr>
        <w:spacing w:after="120" w:line="276"/>
        <w:jc w:val="both"/>
      </w:pPr>
      <w:r>
        <w:rPr>
          <w:rFonts w:ascii="Barlow Semi Condensed" w:cs="Barlow Semi Condensed" w:eastAsia="Barlow Semi Condensed" w:hAnsi="Barlow Semi Condensed"/>
          <w:b/>
          <w:bCs/>
          <w:sz w:val="24"/>
          <w:szCs w:val="24"/>
        </w:rPr>
        <w:t xml:space="preserve">64 · Le audizioni mai pubblicate.</w:t>
      </w:r>
      <w:r>
        <w:rPr>
          <w:rFonts w:ascii="Barlow Semi Condensed" w:cs="Barlow Semi Condensed" w:eastAsia="Barlow Semi Condensed" w:hAnsi="Barlow Semi Condensed"/>
          <w:sz w:val="24"/>
          <w:szCs w:val="24"/>
        </w:rPr>
        <w:t xml:space="preserve"> Il censimento delle audizioni segretate o mai pubblicate delle tre commissioni: chi, quando, su che cosa (dagli indici, che sono pubblici anche dove i testi non lo sono), e la richiesta d'apertura caso per caso. L'indice del segreto è già conoscenza: dice dove qualcuno ritenne che ci fosse qualcosa da proteggere.</w:t>
      </w:r>
    </w:p>
    <w:p>
      <w:pPr>
        <w:spacing w:after="120" w:line="276"/>
        <w:jc w:val="both"/>
      </w:pPr>
      <w:r>
        <w:rPr>
          <w:rFonts w:ascii="Barlow Semi Condensed" w:cs="Barlow Semi Condensed" w:eastAsia="Barlow Semi Condensed" w:hAnsi="Barlow Semi Condensed"/>
          <w:b/>
          <w:bCs/>
          <w:sz w:val="24"/>
          <w:szCs w:val="24"/>
        </w:rPr>
        <w:t xml:space="preserve">65 · La stessa domanda, tre volte.</w:t>
      </w:r>
      <w:r>
        <w:rPr>
          <w:rFonts w:ascii="Barlow Semi Condensed" w:cs="Barlow Semi Condensed" w:eastAsia="Barlow Semi Condensed" w:hAnsi="Barlow Semi Condensed"/>
          <w:sz w:val="24"/>
          <w:szCs w:val="24"/>
        </w:rPr>
        <w:t xml:space="preserve"> La collazione sistematica: per ogni quesito costitutivo, che cosa risposero — negli anni — Moro 1, Stragi e Moro 2. La tavola delle risposte convergenti, divergenti e mancanti è la storia istruttoria del caso in un colpo d'occhio, e ogni divergenza non spiegata è un bersaglio nuovo.</w:t>
      </w:r>
    </w:p>
    <w:p>
      <w:pPr>
        <w:spacing w:after="120" w:line="276"/>
        <w:jc w:val="both"/>
      </w:pPr>
      <w:r>
        <w:rPr>
          <w:rFonts w:ascii="Barlow Semi Condensed" w:cs="Barlow Semi Condensed" w:eastAsia="Barlow Semi Condensed" w:hAnsi="Barlow Semi Condensed"/>
          <w:b/>
          <w:bCs/>
          <w:sz w:val="24"/>
          <w:szCs w:val="24"/>
        </w:rPr>
        <w:t xml:space="preserve">66 · L'indice unico delle perizie.</w:t>
      </w:r>
      <w:r>
        <w:rPr>
          <w:rFonts w:ascii="Barlow Semi Condensed" w:cs="Barlow Semi Condensed" w:eastAsia="Barlow Semi Condensed" w:hAnsi="Barlow Semi Condensed"/>
          <w:sz w:val="24"/>
          <w:szCs w:val="24"/>
        </w:rPr>
        <w:t xml:space="preserve"> Tutte le perizie e consulenze tecniche disposte in quarant'anni di inchieste parlamentari, in un indice unico con oggetto, autore, anno, sede e stato di pubblicità. Il cantiere dei reperti (serie quarta) vi si appoggia: nessun riesame parte senza sapere che cosa fu già esaminato, come e da chi.</w:t>
      </w:r>
    </w:p>
    <w:p>
      <w:pPr>
        <w:spacing w:after="120" w:line="276"/>
        <w:jc w:val="both"/>
      </w:pPr>
      <w:r>
        <w:rPr>
          <w:rFonts w:ascii="Barlow Semi Condensed" w:cs="Barlow Semi Condensed" w:eastAsia="Barlow Semi Condensed" w:hAnsi="Barlow Semi Condensed"/>
          <w:b/>
          <w:bCs/>
          <w:sz w:val="24"/>
          <w:szCs w:val="24"/>
        </w:rPr>
        <w:t xml:space="preserve">67 · L'indice unico delle audizioni.</w:t>
      </w:r>
      <w:r>
        <w:rPr>
          <w:rFonts w:ascii="Barlow Semi Condensed" w:cs="Barlow Semi Condensed" w:eastAsia="Barlow Semi Condensed" w:hAnsi="Barlow Semi Condensed"/>
          <w:sz w:val="24"/>
          <w:szCs w:val="24"/>
        </w:rPr>
        <w:t xml:space="preserve"> Tutte le persone sentite dalle tre commissioni, in un indice unico: chi, quante volte, in che anni, con rinvio agli stenografici. È l'anagrafe della parola istituzionale sul caso — e incrociata con la tavola dei viventi (blocco 101) dice chi può ancora essere riascoltato su che cosa.</w:t>
      </w:r>
    </w:p>
    <w:p>
      <w:pPr>
        <w:spacing w:after="120" w:line="276"/>
        <w:jc w:val="both"/>
      </w:pPr>
      <w:r>
        <w:rPr>
          <w:rFonts w:ascii="Barlow Semi Condensed" w:cs="Barlow Semi Condensed" w:eastAsia="Barlow Semi Condensed" w:hAnsi="Barlow Semi Condensed"/>
          <w:b/>
          <w:bCs/>
          <w:sz w:val="24"/>
          <w:szCs w:val="24"/>
        </w:rPr>
        <w:t xml:space="preserve">68 · Le carte delle segreterie.</w:t>
      </w:r>
      <w:r>
        <w:rPr>
          <w:rFonts w:ascii="Barlow Semi Condensed" w:cs="Barlow Semi Condensed" w:eastAsia="Barlow Semi Condensed" w:hAnsi="Barlow Semi Condensed"/>
          <w:sz w:val="24"/>
          <w:szCs w:val="24"/>
        </w:rPr>
        <w:t xml:space="preserve"> Gli atti organizzativi interni delle commissioni: criteri di classificazione, registri di protocollo, corrispondenza con le amministrazioni. Come una commissione decise che cosa secretare è un fatto storico rilevante quanto ciò che secretò: la procedura del segreto è essa stessa un oggetto di studio.</w:t>
      </w:r>
    </w:p>
    <w:p>
      <w:pPr>
        <w:spacing w:after="120" w:line="276"/>
        <w:jc w:val="both"/>
      </w:pPr>
      <w:r>
        <w:rPr>
          <w:rFonts w:ascii="Barlow Semi Condensed" w:cs="Barlow Semi Condensed" w:eastAsia="Barlow Semi Condensed" w:hAnsi="Barlow Semi Condensed"/>
          <w:b/>
          <w:bCs/>
          <w:sz w:val="24"/>
          <w:szCs w:val="24"/>
        </w:rPr>
        <w:t xml:space="preserve">69 · Il raccordo col giudiziario.</w:t>
      </w:r>
      <w:r>
        <w:rPr>
          <w:rFonts w:ascii="Barlow Semi Condensed" w:cs="Barlow Semi Condensed" w:eastAsia="Barlow Semi Condensed" w:hAnsi="Barlow Semi Condensed"/>
          <w:sz w:val="24"/>
          <w:szCs w:val="24"/>
        </w:rPr>
        <w:t xml:space="preserve"> La tavola degli atti trasmessi dalle commissioni alle procure e viceversa: che cosa l'inchiesta parlamentare consegnò alla giustizia, che cosa ne ricevette, e che cosa ciascun binario fece dell'altro. I due sistemi si osservarono per decenni: la mappa dei passaggi è un quesito di metodo con risposte documentali.</w:t>
      </w:r>
    </w:p>
    <w:p>
      <w:pPr>
        <w:spacing w:after="120" w:line="276"/>
        <w:jc w:val="both"/>
      </w:pPr>
      <w:r>
        <w:rPr>
          <w:rFonts w:ascii="Barlow Semi Condensed" w:cs="Barlow Semi Condensed" w:eastAsia="Barlow Semi Condensed" w:hAnsi="Barlow Semi Condensed"/>
          <w:b/>
          <w:bCs/>
          <w:sz w:val="24"/>
          <w:szCs w:val="24"/>
        </w:rPr>
        <w:t xml:space="preserve">70 · La tavola del giacimento parlamentare.</w:t>
      </w:r>
      <w:r>
        <w:rPr>
          <w:rFonts w:ascii="Barlow Semi Condensed" w:cs="Barlow Semi Condensed" w:eastAsia="Barlow Semi Condensed" w:hAnsi="Barlow Semi Condensed"/>
          <w:sz w:val="24"/>
          <w:szCs w:val="24"/>
        </w:rPr>
        <w:t xml:space="preserve"> La chiusura della serie: la tavola unica dei tre fondi — consistenza, stato di apertura, stato di spoglio, strumenti — con gli indici unici dei blocchi 66-67 come allegati permanenti. Quarant'anni di inchieste, una pagina di stato: è il minimo che il 2026 deve al 1978.</w:t>
      </w:r>
    </w:p>
    <w:p>
      <w:pPr>
        <w:pStyle w:val="Heading2"/>
        <w:spacing w:after="100" w:before="200"/>
      </w:pPr>
      <w:r>
        <w:rPr>
          <w:rFonts w:ascii="Barlow Semi Condensed" w:cs="Barlow Semi Condensed" w:eastAsia="Barlow Semi Condensed" w:hAnsi="Barlow Semi Condensed"/>
          <w:sz w:val="24"/>
          <w:szCs w:val="24"/>
        </w:rPr>
        <w:t xml:space="preserve">Serie quarta — I reperti da reinterrogare (blocchi 71-100)</w:t>
      </w:r>
    </w:p>
    <w:p>
      <w:pPr>
        <w:spacing w:after="120" w:line="276"/>
        <w:jc w:val="both"/>
      </w:pPr>
      <w:r>
        <w:rPr>
          <w:rFonts w:ascii="Barlow Semi Condensed" w:cs="Barlow Semi Condensed" w:eastAsia="Barlow Semi Condensed" w:hAnsi="Barlow Semi Condensed"/>
          <w:i/>
          <w:iCs/>
          <w:sz w:val="24"/>
          <w:szCs w:val="24"/>
        </w:rPr>
        <w:t xml:space="preserve">Statuto della serie: il primato del reperto, eseguito. I reperti del 1978 sono la sola classe di fonti che non invecchia e non ritratta: ogni progresso delle scienze forensi è una domanda nuova che si può porre a un oggetto vecchio. La serie elenca i reperti bersaglio e la domanda attuale per ciascuno; ogni blocco presuppone la catena di custodia ricostruita (blocco 243) e i protocolli forensi del manuale (serie terza). Nessun reperto ha un nome come risposta attesa.</w:t>
      </w:r>
    </w:p>
    <w:p>
      <w:pPr>
        <w:spacing w:after="120" w:line="276"/>
        <w:jc w:val="both"/>
      </w:pPr>
      <w:r>
        <w:rPr>
          <w:rFonts w:ascii="Barlow Semi Condensed" w:cs="Barlow Semi Condensed" w:eastAsia="Barlow Semi Condensed" w:hAnsi="Barlow Semi Condensed"/>
          <w:b/>
          <w:bCs/>
          <w:sz w:val="24"/>
          <w:szCs w:val="24"/>
        </w:rPr>
        <w:t xml:space="preserve">71 · La ricognizione generale.</w:t>
      </w:r>
      <w:r>
        <w:rPr>
          <w:rFonts w:ascii="Barlow Semi Condensed" w:cs="Barlow Semi Condensed" w:eastAsia="Barlow Semi Condensed" w:hAnsi="Barlow Semi Condensed"/>
          <w:sz w:val="24"/>
          <w:szCs w:val="24"/>
        </w:rPr>
        <w:t xml:space="preserve"> Prima domanda di tutte: che cosa esiste ancora? Censimento fisico dei corpi di reato del caso — sede per sede, con stato di conservazione, vincoli giudiziari e riesaminabilità — da opporre agli inventari del 1978. La tavola dell'esistente decide quali blocchi di questa serie sono eseguibili e quali sono già storia.</w:t>
      </w:r>
    </w:p>
    <w:p>
      <w:pPr>
        <w:spacing w:after="120" w:line="276"/>
        <w:jc w:val="both"/>
      </w:pPr>
      <w:r>
        <w:rPr>
          <w:rFonts w:ascii="Barlow Semi Condensed" w:cs="Barlow Semi Condensed" w:eastAsia="Barlow Semi Condensed" w:hAnsi="Barlow Semi Condensed"/>
          <w:b/>
          <w:bCs/>
          <w:sz w:val="24"/>
          <w:szCs w:val="24"/>
        </w:rPr>
        <w:t xml:space="preserve">72 · I novantuno bossoli, di nuovo.</w:t>
      </w:r>
      <w:r>
        <w:rPr>
          <w:rFonts w:ascii="Barlow Semi Condensed" w:cs="Barlow Semi Condensed" w:eastAsia="Barlow Semi Condensed" w:hAnsi="Barlow Semi Condensed"/>
          <w:sz w:val="24"/>
          <w:szCs w:val="24"/>
        </w:rPr>
        <w:t xml:space="preserve"> Ricomparazione integrale bossolo per bossolo con comparatori digitali e imaging tridimensionale: la perizia del 2015 per la Moro 2 consolidò l'attribuzione dei quarantanove colpi a un'arma sola; la domanda attuale è se la microscopia computazionale confermi, raffini o riattribuisca — su tutti i novantuno, non su campione.</w:t>
      </w:r>
    </w:p>
    <w:p>
      <w:pPr>
        <w:spacing w:after="120" w:line="276"/>
        <w:jc w:val="both"/>
      </w:pPr>
      <w:r>
        <w:rPr>
          <w:rFonts w:ascii="Barlow Semi Condensed" w:cs="Barlow Semi Condensed" w:eastAsia="Barlow Semi Condensed" w:hAnsi="Barlow Semi Condensed"/>
          <w:b/>
          <w:bCs/>
          <w:sz w:val="24"/>
          <w:szCs w:val="24"/>
        </w:rPr>
        <w:t xml:space="preserve">73 · L'arma dei quarantanove.</w:t>
      </w:r>
      <w:r>
        <w:rPr>
          <w:rFonts w:ascii="Barlow Semi Condensed" w:cs="Barlow Semi Condensed" w:eastAsia="Barlow Semi Condensed" w:hAnsi="Barlow Semi Condensed"/>
          <w:sz w:val="24"/>
          <w:szCs w:val="24"/>
        </w:rPr>
        <w:t xml:space="preserve"> Per l'arma prevalente: definizione del modello e ricerca dell'esemplare — confronti con armi sequestrate in decenni di procedimenti (il lotto milanese del 1980 incluso), interrogazione degli archivi balistici automatizzati. L'esemplare ritrovato sarebbe l'evidenza discriminante della matrice di via Fani.</w:t>
      </w:r>
    </w:p>
    <w:p>
      <w:pPr>
        <w:spacing w:after="120" w:line="276"/>
        <w:jc w:val="both"/>
      </w:pPr>
      <w:r>
        <w:rPr>
          <w:rFonts w:ascii="Barlow Semi Condensed" w:cs="Barlow Semi Condensed" w:eastAsia="Barlow Semi Condensed" w:hAnsi="Barlow Semi Condensed"/>
          <w:b/>
          <w:bCs/>
          <w:sz w:val="24"/>
          <w:szCs w:val="24"/>
        </w:rPr>
        <w:t xml:space="preserve">74 · Le attribuzioni residue.</w:t>
      </w:r>
      <w:r>
        <w:rPr>
          <w:rFonts w:ascii="Barlow Semi Condensed" w:cs="Barlow Semi Condensed" w:eastAsia="Barlow Semi Condensed" w:hAnsi="Barlow Semi Condensed"/>
          <w:sz w:val="24"/>
          <w:szCs w:val="24"/>
        </w:rPr>
        <w:t xml:space="preserve"> Per i colpi non attribuiti all'arma prevalente: la tavola arma per arma, aggiornata con gli strumenti attuali, e il confronto con le armi in giudicato. L'esito è una colonna di stati: attribuito, compatibile, orfano — e ogni «orfano» è un bersaglio che resta acceso.</w:t>
      </w:r>
    </w:p>
    <w:p>
      <w:pPr>
        <w:spacing w:after="120" w:line="276"/>
        <w:jc w:val="both"/>
      </w:pPr>
      <w:r>
        <w:rPr>
          <w:rFonts w:ascii="Barlow Semi Condensed" w:cs="Barlow Semi Condensed" w:eastAsia="Barlow Semi Condensed" w:hAnsi="Barlow Semi Condensed"/>
          <w:b/>
          <w:bCs/>
          <w:sz w:val="24"/>
          <w:szCs w:val="24"/>
        </w:rPr>
        <w:t xml:space="preserve">75 · La dinamica ricostruita.</w:t>
      </w:r>
      <w:r>
        <w:rPr>
          <w:rFonts w:ascii="Barlow Semi Condensed" w:cs="Barlow Semi Condensed" w:eastAsia="Barlow Semi Condensed" w:hAnsi="Barlow Semi Condensed"/>
          <w:sz w:val="24"/>
          <w:szCs w:val="24"/>
        </w:rPr>
        <w:t xml:space="preserve"> Revisione della dinamica di fuoco con ricostruzione tridimensionale della scena: posizioni, angoli, sequenze, compatibilità con le testimonianze corroborate e con l'ipotesi del tiratore prevalente. Il prodotto è un modello pubblico e falsificabile, non un racconto.</w:t>
      </w:r>
    </w:p>
    <w:p>
      <w:pPr>
        <w:spacing w:after="120" w:line="276"/>
        <w:jc w:val="both"/>
      </w:pPr>
      <w:r>
        <w:rPr>
          <w:rFonts w:ascii="Barlow Semi Condensed" w:cs="Barlow Semi Condensed" w:eastAsia="Barlow Semi Condensed" w:hAnsi="Barlow Semi Condensed"/>
          <w:b/>
          <w:bCs/>
          <w:sz w:val="24"/>
          <w:szCs w:val="24"/>
        </w:rPr>
        <w:t xml:space="preserve">76 · Il DNA dell'auto di sbarramento.</w:t>
      </w:r>
      <w:r>
        <w:rPr>
          <w:rFonts w:ascii="Barlow Semi Condensed" w:cs="Barlow Semi Condensed" w:eastAsia="Barlow Semi Condensed" w:hAnsi="Barlow Semi Condensed"/>
          <w:sz w:val="24"/>
          <w:szCs w:val="24"/>
        </w:rPr>
        <w:t xml:space="preserve"> I profili estratti nel 2016 dai mozziconi della 128 di sbarramento: comparazioni estese — banca dati nazionale, profili dei condannati e degli esclusi, ricerca familiare dove la legge la consente. Ogni comparazione ha esito verbalizzato: match, esclusione, ininterpretabile.</w:t>
      </w:r>
    </w:p>
    <w:p>
      <w:pPr>
        <w:spacing w:after="120" w:line="276"/>
        <w:jc w:val="both"/>
      </w:pPr>
      <w:r>
        <w:rPr>
          <w:rFonts w:ascii="Barlow Semi Condensed" w:cs="Barlow Semi Condensed" w:eastAsia="Barlow Semi Condensed" w:hAnsi="Barlow Semi Condensed"/>
          <w:b/>
          <w:bCs/>
          <w:sz w:val="24"/>
          <w:szCs w:val="24"/>
        </w:rPr>
        <w:t xml:space="preserve">77 · Il DNA di via Gradoli.</w:t>
      </w:r>
      <w:r>
        <w:rPr>
          <w:rFonts w:ascii="Barlow Semi Condensed" w:cs="Barlow Semi Condensed" w:eastAsia="Barlow Semi Condensed" w:hAnsi="Barlow Semi Condensed"/>
          <w:sz w:val="24"/>
          <w:szCs w:val="24"/>
        </w:rPr>
        <w:t xml:space="preserve"> Stessa disciplina per i profili dai reperti del covo: la tavola delle comparazioni con stati. L'obiettivo non è un nome: è ridurre l'insieme degli ignoti — ogni esclusione documentata restringe il perimetro delle presenze non giudicate.</w:t>
      </w:r>
    </w:p>
    <w:p>
      <w:pPr>
        <w:spacing w:after="120" w:line="276"/>
        <w:jc w:val="both"/>
      </w:pPr>
      <w:r>
        <w:rPr>
          <w:rFonts w:ascii="Barlow Semi Condensed" w:cs="Barlow Semi Condensed" w:eastAsia="Barlow Semi Condensed" w:hAnsi="Barlow Semi Condensed"/>
          <w:b/>
          <w:bCs/>
          <w:sz w:val="24"/>
          <w:szCs w:val="24"/>
        </w:rPr>
        <w:t xml:space="preserve">78 · L'aplotipo e la genealogia.</w:t>
      </w:r>
      <w:r>
        <w:rPr>
          <w:rFonts w:ascii="Barlow Semi Condensed" w:cs="Barlow Semi Condensed" w:eastAsia="Barlow Semi Condensed" w:hAnsi="Barlow Semi Condensed"/>
          <w:sz w:val="24"/>
          <w:szCs w:val="24"/>
        </w:rPr>
        <w:t xml:space="preserve"> Per i profili che restano ignoti: valutazione formale di praticabilità della genealogia genetica forense in Italia (blocchi 181 e seguenti) — ammissibilità, banche interrogabili, garanzie. Il blocco produce un parere e un protocollo, prima di produrre qualunque ricerca.</w:t>
      </w:r>
    </w:p>
    <w:p>
      <w:pPr>
        <w:spacing w:after="120" w:line="276"/>
        <w:jc w:val="both"/>
      </w:pPr>
      <w:r>
        <w:rPr>
          <w:rFonts w:ascii="Barlow Semi Condensed" w:cs="Barlow Semi Condensed" w:eastAsia="Barlow Semi Condensed" w:hAnsi="Barlow Semi Condensed"/>
          <w:b/>
          <w:bCs/>
          <w:sz w:val="24"/>
          <w:szCs w:val="24"/>
        </w:rPr>
        <w:t xml:space="preserve">79 · Il caricatore di via Stresa.</w:t>
      </w:r>
      <w:r>
        <w:rPr>
          <w:rFonts w:ascii="Barlow Semi Condensed" w:cs="Barlow Semi Condensed" w:eastAsia="Barlow Semi Condensed" w:hAnsi="Barlow Semi Condensed"/>
          <w:sz w:val="24"/>
          <w:szCs w:val="24"/>
        </w:rPr>
        <w:t xml:space="preserve"> Riesame del reperto con le tecniche attuali su impronte e tracce biologiche; compatibilità d'arma; collocazione nella dinamica. Reperto singolo dal quesito binario: attribuzione ordinaria che lo chiude, o inattribuibilità documentata che lo tiene fra le evidenze delle presenze non giudicate.</w:t>
      </w:r>
    </w:p>
    <w:p>
      <w:pPr>
        <w:spacing w:after="120" w:line="276"/>
        <w:jc w:val="both"/>
      </w:pPr>
      <w:r>
        <w:rPr>
          <w:rFonts w:ascii="Barlow Semi Condensed" w:cs="Barlow Semi Condensed" w:eastAsia="Barlow Semi Condensed" w:hAnsi="Barlow Semi Condensed"/>
          <w:b/>
          <w:bCs/>
          <w:sz w:val="24"/>
          <w:szCs w:val="24"/>
        </w:rPr>
        <w:t xml:space="preserve">80 · L'anagrafe delle Honda.</w:t>
      </w:r>
      <w:r>
        <w:rPr>
          <w:rFonts w:ascii="Barlow Semi Condensed" w:cs="Barlow Semi Condensed" w:eastAsia="Barlow Semi Condensed" w:hAnsi="Barlow Semi Condensed"/>
          <w:sz w:val="24"/>
          <w:szCs w:val="24"/>
        </w:rPr>
        <w:t xml:space="preserve"> Per la moto testimoniata in via Fani: lo spoglio dell'anagrafe motociclistica romana del 1978 — immatricolazioni, furti denunciati nel periodo, verbali di rinvenimento — incrociato con le testimonianze corroborate. Un identificato innocente chiude (blocco 212); un vuoto documentato mantiene.</w:t>
      </w:r>
    </w:p>
    <w:p>
      <w:pPr>
        <w:spacing w:after="120" w:line="276"/>
        <w:jc w:val="both"/>
      </w:pPr>
      <w:r>
        <w:rPr>
          <w:rFonts w:ascii="Barlow Semi Condensed" w:cs="Barlow Semi Condensed" w:eastAsia="Barlow Semi Condensed" w:hAnsi="Barlow Semi Condensed"/>
          <w:b/>
          <w:bCs/>
          <w:sz w:val="24"/>
          <w:szCs w:val="24"/>
        </w:rPr>
        <w:t xml:space="preserve">81 · La Renault 4.</w:t>
      </w:r>
      <w:r>
        <w:rPr>
          <w:rFonts w:ascii="Barlow Semi Condensed" w:cs="Barlow Semi Condensed" w:eastAsia="Barlow Semi Condensed" w:hAnsi="Barlow Semi Condensed"/>
          <w:sz w:val="24"/>
          <w:szCs w:val="24"/>
        </w:rPr>
        <w:t xml:space="preserve"> Il veicolo del ritrovamento: sorte fisica del reperto e revisione documentale delle perizie d'epoca — tracce, terre, vegetali, tempi di sosta. Dove il reperto non esiste più, esiste il suo fascicolo: la perizia del 1978 riletta con le domande del 2026 è essa stessa un bersaglio.</w:t>
      </w:r>
    </w:p>
    <w:p>
      <w:pPr>
        <w:spacing w:after="120" w:line="276"/>
        <w:jc w:val="both"/>
      </w:pPr>
      <w:r>
        <w:rPr>
          <w:rFonts w:ascii="Barlow Semi Condensed" w:cs="Barlow Semi Condensed" w:eastAsia="Barlow Semi Condensed" w:hAnsi="Barlow Semi Condensed"/>
          <w:b/>
          <w:bCs/>
          <w:sz w:val="24"/>
          <w:szCs w:val="24"/>
        </w:rPr>
        <w:t xml:space="preserve">82 · Le altre auto del caso.</w:t>
      </w:r>
      <w:r>
        <w:rPr>
          <w:rFonts w:ascii="Barlow Semi Condensed" w:cs="Barlow Semi Condensed" w:eastAsia="Barlow Semi Condensed" w:hAnsi="Barlow Semi Condensed"/>
          <w:sz w:val="24"/>
          <w:szCs w:val="24"/>
        </w:rPr>
        <w:t xml:space="preserve"> La 132, le 128, i veicoli dei covi: per ciascuno sorte, perizie d'epoca, tracce documentate. La tavola dei veicoli chiude un capitolo di anagrafe materiale che nessuna istruttoria compilò in forma unica.</w:t>
      </w:r>
    </w:p>
    <w:p>
      <w:pPr>
        <w:spacing w:after="120" w:line="276"/>
        <w:jc w:val="both"/>
      </w:pPr>
      <w:r>
        <w:rPr>
          <w:rFonts w:ascii="Barlow Semi Condensed" w:cs="Barlow Semi Condensed" w:eastAsia="Barlow Semi Condensed" w:hAnsi="Barlow Semi Condensed"/>
          <w:b/>
          <w:bCs/>
          <w:sz w:val="24"/>
          <w:szCs w:val="24"/>
        </w:rPr>
        <w:t xml:space="preserve">83 · Gli abiti e le sabbie.</w:t>
      </w:r>
      <w:r>
        <w:rPr>
          <w:rFonts w:ascii="Barlow Semi Condensed" w:cs="Barlow Semi Condensed" w:eastAsia="Barlow Semi Condensed" w:hAnsi="Barlow Semi Condensed"/>
          <w:sz w:val="24"/>
          <w:szCs w:val="24"/>
        </w:rPr>
        <w:t xml:space="preserve"> Gli abiti di Moro al ritrovamento: ripetizione delle analisi su sabbia e tracce con la geologia forense attuale — granulometrie, minerali, bitumi — per precisare la compatibilità litoranea emersa nella perizia geologico-botanica del 1978 (Lombardi-Giacomini: sabbia giudicata esclusiva del litorale tirrenico laziale) e rilanciata dagli accertamenti disposti dalla Moro 2. L'esito perimetra i luoghi degli ultimi giorni, senza nominarne nessuno.</w:t>
      </w:r>
    </w:p>
    <w:p>
      <w:pPr>
        <w:spacing w:after="120" w:line="276"/>
        <w:jc w:val="both"/>
      </w:pPr>
      <w:r>
        <w:rPr>
          <w:rFonts w:ascii="Barlow Semi Condensed" w:cs="Barlow Semi Condensed" w:eastAsia="Barlow Semi Condensed" w:hAnsi="Barlow Semi Condensed"/>
          <w:b/>
          <w:bCs/>
          <w:sz w:val="24"/>
          <w:szCs w:val="24"/>
        </w:rPr>
        <w:t xml:space="preserve">84 · I pollini e le fibre.</w:t>
      </w:r>
      <w:r>
        <w:rPr>
          <w:rFonts w:ascii="Barlow Semi Condensed" w:cs="Barlow Semi Condensed" w:eastAsia="Barlow Semi Condensed" w:hAnsi="Barlow Semi Condensed"/>
          <w:sz w:val="24"/>
          <w:szCs w:val="24"/>
        </w:rPr>
        <w:t xml:space="preserve"> Palinologia e merceologia su abiti e coperta: taxa vegetali, stagionalità, fibre e provenienze. Ogni taxon identificato è una coordinata; la tavola dei taxa è una mappa di compatibilità dei luoghi — il contributo più silenzioso e più duro da confutare che i reperti possano dare.</w:t>
      </w:r>
    </w:p>
    <w:p>
      <w:pPr>
        <w:spacing w:after="120" w:line="276"/>
        <w:jc w:val="both"/>
      </w:pPr>
      <w:r>
        <w:rPr>
          <w:rFonts w:ascii="Barlow Semi Condensed" w:cs="Barlow Semi Condensed" w:eastAsia="Barlow Semi Condensed" w:hAnsi="Barlow Semi Condensed"/>
          <w:b/>
          <w:bCs/>
          <w:sz w:val="24"/>
          <w:szCs w:val="24"/>
        </w:rPr>
        <w:t xml:space="preserve">85 · La geografia dall'oggetto.</w:t>
      </w:r>
      <w:r>
        <w:rPr>
          <w:rFonts w:ascii="Barlow Semi Condensed" w:cs="Barlow Semi Condensed" w:eastAsia="Barlow Semi Condensed" w:hAnsi="Barlow Semi Condensed"/>
          <w:sz w:val="24"/>
          <w:szCs w:val="24"/>
        </w:rPr>
        <w:t xml:space="preserve"> Sintesi formale dei blocchi 83-84: il perimetro geografico compatibile con l'insieme delle tracce materiali, scritto come poligono di compatibilità con gradi — non come luogo indicato. Il poligono si confronta con l'istruttoria (via Montalcini) per conferma, precisazione o anomalia dichiarata.</w:t>
      </w:r>
    </w:p>
    <w:p>
      <w:pPr>
        <w:spacing w:after="120" w:line="276"/>
        <w:jc w:val="both"/>
      </w:pPr>
      <w:r>
        <w:rPr>
          <w:rFonts w:ascii="Barlow Semi Condensed" w:cs="Barlow Semi Condensed" w:eastAsia="Barlow Semi Condensed" w:hAnsi="Barlow Semi Condensed"/>
          <w:b/>
          <w:bCs/>
          <w:sz w:val="24"/>
          <w:szCs w:val="24"/>
        </w:rPr>
        <w:t xml:space="preserve">86 · Le impronte di via Gradoli.</w:t>
      </w:r>
      <w:r>
        <w:rPr>
          <w:rFonts w:ascii="Barlow Semi Condensed" w:cs="Barlow Semi Condensed" w:eastAsia="Barlow Semi Condensed" w:hAnsi="Barlow Semi Condensed"/>
          <w:sz w:val="24"/>
          <w:szCs w:val="24"/>
        </w:rPr>
        <w:t xml:space="preserve"> Le impronte del covo non attribuite nel 1978: nuovo passaggio su AFIS e confronti mirati con gli esclusi di allora. Ogni attribuzione nuova è un fatto; ogni conferma di non attribuzione, uno stato che resta acceso nello schedario unico del blocco 97.</w:t>
      </w:r>
    </w:p>
    <w:p>
      <w:pPr>
        <w:spacing w:after="120" w:line="276"/>
        <w:jc w:val="both"/>
      </w:pPr>
      <w:r>
        <w:rPr>
          <w:rFonts w:ascii="Barlow Semi Condensed" w:cs="Barlow Semi Condensed" w:eastAsia="Barlow Semi Condensed" w:hAnsi="Barlow Semi Condensed"/>
          <w:b/>
          <w:bCs/>
          <w:sz w:val="24"/>
          <w:szCs w:val="24"/>
        </w:rPr>
        <w:t xml:space="preserve">87 · I reperti di via Montalcini.</w:t>
      </w:r>
      <w:r>
        <w:rPr>
          <w:rFonts w:ascii="Barlow Semi Condensed" w:cs="Barlow Semi Condensed" w:eastAsia="Barlow Semi Condensed" w:hAnsi="Barlow Semi Condensed"/>
          <w:sz w:val="24"/>
          <w:szCs w:val="24"/>
        </w:rPr>
        <w:t xml:space="preserve"> Ciò che fu repertato nell'appartamento della prigionia accertata: riesame con le domande attuali — tracce biologiche, impronte, micro-tracce ambientali compatibili col poligono del blocco 85. La prigione giudicata merita la stessa scienza dei quesiti aperti: la conferma è un esito, non un'ovvietà.</w:t>
      </w:r>
    </w:p>
    <w:p>
      <w:pPr>
        <w:spacing w:after="120" w:line="276"/>
        <w:jc w:val="both"/>
      </w:pPr>
      <w:r>
        <w:rPr>
          <w:rFonts w:ascii="Barlow Semi Condensed" w:cs="Barlow Semi Condensed" w:eastAsia="Barlow Semi Condensed" w:hAnsi="Barlow Semi Condensed"/>
          <w:b/>
          <w:bCs/>
          <w:sz w:val="24"/>
          <w:szCs w:val="24"/>
        </w:rPr>
        <w:t xml:space="preserve">88 · La macchina per scrivere.</w:t>
      </w:r>
      <w:r>
        <w:rPr>
          <w:rFonts w:ascii="Barlow Semi Condensed" w:cs="Barlow Semi Condensed" w:eastAsia="Barlow Semi Condensed" w:hAnsi="Barlow Semi Condensed"/>
          <w:sz w:val="24"/>
          <w:szCs w:val="24"/>
        </w:rPr>
        <w:t xml:space="preserve"> I dattiloscritti del caso — comunicati, memoriale dattiloscritto — e le macchine sequestrate: dattiloscopia meccanica integrale (difetti di battuta, allineamenti) con strumenti digitali. La tavola macchina-documento, completata, chiude un quesito filologico aperto dal 1978.</w:t>
      </w:r>
    </w:p>
    <w:p>
      <w:pPr>
        <w:spacing w:after="120" w:line="276"/>
        <w:jc w:val="both"/>
      </w:pPr>
      <w:r>
        <w:rPr>
          <w:rFonts w:ascii="Barlow Semi Condensed" w:cs="Barlow Semi Condensed" w:eastAsia="Barlow Semi Condensed" w:hAnsi="Barlow Semi Condensed"/>
          <w:b/>
          <w:bCs/>
          <w:sz w:val="24"/>
          <w:szCs w:val="24"/>
        </w:rPr>
        <w:t xml:space="preserve">89 · Gli audio superstiti.</w:t>
      </w:r>
      <w:r>
        <w:rPr>
          <w:rFonts w:ascii="Barlow Semi Condensed" w:cs="Barlow Semi Condensed" w:eastAsia="Barlow Semi Condensed" w:hAnsi="Barlow Semi Condensed"/>
          <w:sz w:val="24"/>
          <w:szCs w:val="24"/>
        </w:rPr>
        <w:t xml:space="preserve"> Le registrazioni delle telefonate dei 55 giorni: censimento dei supporti (blocco 252), restauro conservativo, trascrizione certificata e — dove la qualità lo consenta — comparazione vocale con metodo dichiarato. Gli esiti entrano con grado B se strumentali, C se interpretativi: l'audio invecchiato inganna.</w:t>
      </w:r>
    </w:p>
    <w:p>
      <w:pPr>
        <w:spacing w:after="120" w:line="276"/>
        <w:jc w:val="both"/>
      </w:pPr>
      <w:r>
        <w:rPr>
          <w:rFonts w:ascii="Barlow Semi Condensed" w:cs="Barlow Semi Condensed" w:eastAsia="Barlow Semi Condensed" w:hAnsi="Barlow Semi Condensed"/>
          <w:b/>
          <w:bCs/>
          <w:sz w:val="24"/>
          <w:szCs w:val="24"/>
        </w:rPr>
        <w:t xml:space="preserve">90 · I negativi del 16 marzo.</w:t>
      </w:r>
      <w:r>
        <w:rPr>
          <w:rFonts w:ascii="Barlow Semi Condensed" w:cs="Barlow Semi Condensed" w:eastAsia="Barlow Semi Condensed" w:hAnsi="Barlow Semi Condensed"/>
          <w:sz w:val="24"/>
          <w:szCs w:val="24"/>
        </w:rPr>
        <w:t xml:space="preserve"> Le fotografie originali di via Fani: censimento dei fondi fotografici, digitalizzazione dai negativi con metadati, ordinamento cronologico al minuto. I fotogrammi non pubblicati e i bordi dei negativi — ciò che il ritaglio editoriale escluse — sono il bersaglio: la scena com'era, non come fu impaginata.</w:t>
      </w:r>
    </w:p>
    <w:p>
      <w:pPr>
        <w:spacing w:after="120" w:line="276"/>
        <w:jc w:val="both"/>
      </w:pPr>
      <w:r>
        <w:rPr>
          <w:rFonts w:ascii="Barlow Semi Condensed" w:cs="Barlow Semi Condensed" w:eastAsia="Barlow Semi Condensed" w:hAnsi="Barlow Semi Condensed"/>
          <w:b/>
          <w:bCs/>
          <w:sz w:val="24"/>
          <w:szCs w:val="24"/>
        </w:rPr>
        <w:t xml:space="preserve">91 · I filmati e i fuori onda.</w:t>
      </w:r>
      <w:r>
        <w:rPr>
          <w:rFonts w:ascii="Barlow Semi Condensed" w:cs="Barlow Semi Condensed" w:eastAsia="Barlow Semi Condensed" w:hAnsi="Barlow Semi Condensed"/>
          <w:sz w:val="24"/>
          <w:szCs w:val="24"/>
        </w:rPr>
        <w:t xml:space="preserve"> Cinegiornali e riprese RAI del 16 marzo e dei 55 giorni: i giornalisti arrivarono presto, e i materiali non montati possono contenere ciò che nessuno cercava. Spoglio sistematico dei fuori onda con la stessa disciplina dei negativi: censimento, digitalizzazione, cronologia.</w:t>
      </w:r>
    </w:p>
    <w:p>
      <w:pPr>
        <w:spacing w:after="120" w:line="276"/>
        <w:jc w:val="both"/>
      </w:pPr>
      <w:r>
        <w:rPr>
          <w:rFonts w:ascii="Barlow Semi Condensed" w:cs="Barlow Semi Condensed" w:eastAsia="Barlow Semi Condensed" w:hAnsi="Barlow Semi Condensed"/>
          <w:b/>
          <w:bCs/>
          <w:sz w:val="24"/>
          <w:szCs w:val="24"/>
        </w:rPr>
        <w:t xml:space="preserve">92 · Il borsello del falsario.</w:t>
      </w:r>
      <w:r>
        <w:rPr>
          <w:rFonts w:ascii="Barlow Semi Condensed" w:cs="Barlow Semi Condensed" w:eastAsia="Barlow Semi Condensed" w:hAnsi="Barlow Semi Condensed"/>
          <w:sz w:val="24"/>
          <w:szCs w:val="24"/>
        </w:rPr>
        <w:t xml:space="preserve"> I reperti della vicenda Chichiarelli — il borsello del taxi (14 aprile 1979: schede false, testina IBM, munizioni) — riletti con le tecniche attuali: impronte, scritture, provenienze degli oggetti. Il quesito 13 (la genesi del falso) ha qui la sua base materiale; l'attribuzione della mano è istruttoria e peritale, mai giudicata, e la genesi resta aperta.</w:t>
      </w:r>
    </w:p>
    <w:p>
      <w:pPr>
        <w:spacing w:after="120" w:line="276"/>
        <w:jc w:val="both"/>
      </w:pPr>
      <w:r>
        <w:rPr>
          <w:rFonts w:ascii="Barlow Semi Condensed" w:cs="Barlow Semi Condensed" w:eastAsia="Barlow Semi Condensed" w:hAnsi="Barlow Semi Condensed"/>
          <w:b/>
          <w:bCs/>
          <w:sz w:val="24"/>
          <w:szCs w:val="24"/>
        </w:rPr>
        <w:t xml:space="preserve">93 · I reperti della Duchessa.</w:t>
      </w:r>
      <w:r>
        <w:rPr>
          <w:rFonts w:ascii="Barlow Semi Condensed" w:cs="Barlow Semi Condensed" w:eastAsia="Barlow Semi Condensed" w:hAnsi="Barlow Semi Condensed"/>
          <w:sz w:val="24"/>
          <w:szCs w:val="24"/>
        </w:rPr>
        <w:t xml:space="preserve"> Ciò che l'operazione del 18 aprile 1978 al lago produsse e repertò: verbali, fotografie, oggetti. La giornata del triplo evento (blocco 250) ha una faccia materiale: la tavola dei suoi reperti, mai compilata in forma unica, è il bersaglio.</w:t>
      </w:r>
    </w:p>
    <w:p>
      <w:pPr>
        <w:spacing w:after="120" w:line="276"/>
        <w:jc w:val="both"/>
      </w:pPr>
      <w:r>
        <w:rPr>
          <w:rFonts w:ascii="Barlow Semi Condensed" w:cs="Barlow Semi Condensed" w:eastAsia="Barlow Semi Condensed" w:hAnsi="Barlow Semi Condensed"/>
          <w:b/>
          <w:bCs/>
          <w:sz w:val="24"/>
          <w:szCs w:val="24"/>
        </w:rPr>
        <w:t xml:space="preserve">94 · Il lotto milanese.</w:t>
      </w:r>
      <w:r>
        <w:rPr>
          <w:rFonts w:ascii="Barlow Semi Condensed" w:cs="Barlow Semi Condensed" w:eastAsia="Barlow Semi Condensed" w:hAnsi="Barlow Semi Condensed"/>
          <w:sz w:val="24"/>
          <w:szCs w:val="24"/>
        </w:rPr>
        <w:t xml:space="preserve"> Le armi sequestrate a Milano nel 1980 collegate in giudicato al caso: ricomparazione integrale con i bossoli di via Fani usando l'imaging attuale — la verifica moderna di un anello antico della catena, che la robustezza dell'insieme merita.</w:t>
      </w:r>
    </w:p>
    <w:p>
      <w:pPr>
        <w:spacing w:after="120" w:line="276"/>
        <w:jc w:val="both"/>
      </w:pPr>
      <w:r>
        <w:rPr>
          <w:rFonts w:ascii="Barlow Semi Condensed" w:cs="Barlow Semi Condensed" w:eastAsia="Barlow Semi Condensed" w:hAnsi="Barlow Semi Condensed"/>
          <w:b/>
          <w:bCs/>
          <w:sz w:val="24"/>
          <w:szCs w:val="24"/>
        </w:rPr>
        <w:t xml:space="preserve">95 · Le borse mai trovate.</w:t>
      </w:r>
      <w:r>
        <w:rPr>
          <w:rFonts w:ascii="Barlow Semi Condensed" w:cs="Barlow Semi Condensed" w:eastAsia="Barlow Semi Condensed" w:hAnsi="Barlow Semi Condensed"/>
          <w:sz w:val="24"/>
          <w:szCs w:val="24"/>
        </w:rPr>
        <w:t xml:space="preserve"> Le borse di Moro: il censimento negativo definitivo — ogni verbale che le menziona, ogni ricerca fatta, ogni ipotesi documentale sul loro percorso — chiuso da uno Stato Zero formale se tale resta. L'assenza più celebre del caso merita il suo perimetro esatto, non un'altra narrazione.</w:t>
      </w:r>
    </w:p>
    <w:p>
      <w:pPr>
        <w:spacing w:after="120" w:line="276"/>
        <w:jc w:val="both"/>
      </w:pPr>
      <w:r>
        <w:rPr>
          <w:rFonts w:ascii="Barlow Semi Condensed" w:cs="Barlow Semi Condensed" w:eastAsia="Barlow Semi Condensed" w:hAnsi="Barlow Semi Condensed"/>
          <w:b/>
          <w:bCs/>
          <w:sz w:val="24"/>
          <w:szCs w:val="24"/>
        </w:rPr>
        <w:t xml:space="preserve">96 · La materia del memoriale.</w:t>
      </w:r>
      <w:r>
        <w:rPr>
          <w:rFonts w:ascii="Barlow Semi Condensed" w:cs="Barlow Semi Condensed" w:eastAsia="Barlow Semi Condensed" w:hAnsi="Barlow Semi Condensed"/>
          <w:sz w:val="24"/>
          <w:szCs w:val="24"/>
        </w:rPr>
        <w:t xml:space="preserve"> Le carte di via Monte Nevoso come oggetti: supporti, inchiostri, fascicolazione, segni di fotocopiatura — l'esame materiale integrale che distingua generazioni di copie e ordini di composizione. La filologia del contenuto (quesito 10) poggia su questa codicologia del reperto.</w:t>
      </w:r>
    </w:p>
    <w:p>
      <w:pPr>
        <w:spacing w:after="120" w:line="276"/>
        <w:jc w:val="both"/>
      </w:pPr>
      <w:r>
        <w:rPr>
          <w:rFonts w:ascii="Barlow Semi Condensed" w:cs="Barlow Semi Condensed" w:eastAsia="Barlow Semi Condensed" w:hAnsi="Barlow Semi Condensed"/>
          <w:b/>
          <w:bCs/>
          <w:sz w:val="24"/>
          <w:szCs w:val="24"/>
        </w:rPr>
        <w:t xml:space="preserve">97 · Lo schedario unico delle impronte.</w:t>
      </w:r>
      <w:r>
        <w:rPr>
          <w:rFonts w:ascii="Barlow Semi Condensed" w:cs="Barlow Semi Condensed" w:eastAsia="Barlow Semi Condensed" w:hAnsi="Barlow Semi Condensed"/>
          <w:sz w:val="24"/>
          <w:szCs w:val="24"/>
        </w:rPr>
        <w:t xml:space="preserve"> Tutte le impronte non attribuite del caso — via Fani, i covi, i reperti — in uno schedario unico con stati, ripassato su AFIS a cadenza fissa. Il blocco istituisce il ciclo: ogni progresso della banca dati è una nuova interrogazione gratuita del 1978.</w:t>
      </w:r>
    </w:p>
    <w:p>
      <w:pPr>
        <w:spacing w:after="120" w:line="276"/>
        <w:jc w:val="both"/>
      </w:pPr>
      <w:r>
        <w:rPr>
          <w:rFonts w:ascii="Barlow Semi Condensed" w:cs="Barlow Semi Condensed" w:eastAsia="Barlow Semi Condensed" w:hAnsi="Barlow Semi Condensed"/>
          <w:b/>
          <w:bCs/>
          <w:sz w:val="24"/>
          <w:szCs w:val="24"/>
        </w:rPr>
        <w:t xml:space="preserve">98 · La chimica dei residui.</w:t>
      </w:r>
      <w:r>
        <w:rPr>
          <w:rFonts w:ascii="Barlow Semi Condensed" w:cs="Barlow Semi Condensed" w:eastAsia="Barlow Semi Condensed" w:hAnsi="Barlow Semi Condensed"/>
          <w:sz w:val="24"/>
          <w:szCs w:val="24"/>
        </w:rPr>
        <w:t xml:space="preserve"> Sui reperti conservati: residui di sparo, tracce chimiche, contaminazioni — riesame con sensibilità attuali, con l'onestà dichiarata sui limiti (mezzo secolo di manipolazioni). Ogni esito porta il suo grado e il suo margine: la chimica tardiva testimonia con cautela.</w:t>
      </w:r>
    </w:p>
    <w:p>
      <w:pPr>
        <w:spacing w:after="120" w:line="276"/>
        <w:jc w:val="both"/>
      </w:pPr>
      <w:r>
        <w:rPr>
          <w:rFonts w:ascii="Barlow Semi Condensed" w:cs="Barlow Semi Condensed" w:eastAsia="Barlow Semi Condensed" w:hAnsi="Barlow Semi Condensed"/>
          <w:b/>
          <w:bCs/>
          <w:sz w:val="24"/>
          <w:szCs w:val="24"/>
        </w:rPr>
        <w:t xml:space="preserve">99 · Le carte dell'autopsia.</w:t>
      </w:r>
      <w:r>
        <w:rPr>
          <w:rFonts w:ascii="Barlow Semi Condensed" w:cs="Barlow Semi Condensed" w:eastAsia="Barlow Semi Condensed" w:hAnsi="Barlow Semi Condensed"/>
          <w:sz w:val="24"/>
          <w:szCs w:val="24"/>
        </w:rPr>
        <w:t xml:space="preserve"> La revisione documentale integrale del fascicolo medico-legale: rilievi, orari, contenuti gastrici, lesioni — riletti dalle competenze attuali per ciò che possono ancora dire su tempi e luoghi degli ultimi giorni. Il corpo fu il primo reperto; il suo fascicolo è l'ultimo a cui si smette di fare domande.</w:t>
      </w:r>
    </w:p>
    <w:p>
      <w:pPr>
        <w:spacing w:after="120" w:line="276"/>
        <w:jc w:val="both"/>
      </w:pPr>
      <w:r>
        <w:rPr>
          <w:rFonts w:ascii="Barlow Semi Condensed" w:cs="Barlow Semi Condensed" w:eastAsia="Barlow Semi Condensed" w:hAnsi="Barlow Semi Condensed"/>
          <w:b/>
          <w:bCs/>
          <w:sz w:val="24"/>
          <w:szCs w:val="24"/>
        </w:rPr>
        <w:t xml:space="preserve">100 · La tavola dei reperti.</w:t>
      </w:r>
      <w:r>
        <w:rPr>
          <w:rFonts w:ascii="Barlow Semi Condensed" w:cs="Barlow Semi Condensed" w:eastAsia="Barlow Semi Condensed" w:hAnsi="Barlow Semi Condensed"/>
          <w:sz w:val="24"/>
          <w:szCs w:val="24"/>
        </w:rPr>
        <w:t xml:space="preserve"> La chiusura della serie: la tavola unica reperto per reperto — esistenza, catena, esami fatti, esami possibili, stati — pubblicata e mantenuta. Il cantiere dei reperti del manuale la esegue; l'agenda la esige: nessun oggetto del 1978 senza il suo stato del 2026.</w:t>
      </w:r>
    </w:p>
    <w:p>
      <w:pPr>
        <w:pStyle w:val="Heading2"/>
        <w:spacing w:after="100" w:before="200"/>
      </w:pPr>
      <w:r>
        <w:rPr>
          <w:rFonts w:ascii="Barlow Semi Condensed" w:cs="Barlow Semi Condensed" w:eastAsia="Barlow Semi Condensed" w:hAnsi="Barlow Semi Condensed"/>
          <w:sz w:val="24"/>
          <w:szCs w:val="24"/>
        </w:rPr>
        <w:t xml:space="preserve">Serie quinta — Le persone e la raccolta conservativa (blocchi 101-125)</w:t>
      </w:r>
    </w:p>
    <w:p>
      <w:pPr>
        <w:spacing w:after="120" w:line="276"/>
        <w:jc w:val="both"/>
      </w:pPr>
      <w:r>
        <w:rPr>
          <w:rFonts w:ascii="Barlow Semi Condensed" w:cs="Barlow Semi Condensed" w:eastAsia="Barlow Semi Condensed" w:hAnsi="Barlow Semi Condensed"/>
          <w:i/>
          <w:iCs/>
          <w:sz w:val="24"/>
          <w:szCs w:val="24"/>
        </w:rPr>
        <w:t xml:space="preserve">Statuto della serie: l'archivio che muore. Le persone sono l'unico giacimento del caso che scade: ogni bersaglio di questa serie ha la priorità biologica del blocco 281 e si esegue con il protocollo conservativo del manuale — consenso informato, registrazione integrale, nessuna domanda suggestiva — e con il controlimite del blocco 224: la memoria si raccoglie subito e si usa solo corroborata. La serie elenca categorie, non colpevoli: nessun ascolto ha un nome come esito atteso, e il registro del giudicato resta chiuso.</w:t>
      </w:r>
    </w:p>
    <w:p>
      <w:pPr>
        <w:spacing w:after="120" w:line="276"/>
        <w:jc w:val="both"/>
      </w:pPr>
      <w:r>
        <w:rPr>
          <w:rFonts w:ascii="Barlow Semi Condensed" w:cs="Barlow Semi Condensed" w:eastAsia="Barlow Semi Condensed" w:hAnsi="Barlow Semi Condensed"/>
          <w:b/>
          <w:bCs/>
          <w:sz w:val="24"/>
          <w:szCs w:val="24"/>
        </w:rPr>
        <w:t xml:space="preserve">101 · Il censimento dei viventi.</w:t>
      </w:r>
      <w:r>
        <w:rPr>
          <w:rFonts w:ascii="Barlow Semi Condensed" w:cs="Barlow Semi Condensed" w:eastAsia="Barlow Semi Condensed" w:hAnsi="Barlow Semi Condensed"/>
          <w:sz w:val="24"/>
          <w:szCs w:val="24"/>
        </w:rPr>
        <w:t xml:space="preserve"> Prima di ogni ascolto, la tavola: tutte le persone ascoltabili del caso — testimoni, condannati, funzionari, periti, custodi — con età, condizione nota da fonti pubbliche e priorità. La tavola si aggiorna a ogni notizia e comanda il calendario: ogni mese la finestra si stringe.</w:t>
      </w:r>
    </w:p>
    <w:p>
      <w:pPr>
        <w:spacing w:after="120" w:line="276"/>
        <w:jc w:val="both"/>
      </w:pPr>
      <w:r>
        <w:rPr>
          <w:rFonts w:ascii="Barlow Semi Condensed" w:cs="Barlow Semi Condensed" w:eastAsia="Barlow Semi Condensed" w:hAnsi="Barlow Semi Condensed"/>
          <w:b/>
          <w:bCs/>
          <w:sz w:val="24"/>
          <w:szCs w:val="24"/>
        </w:rPr>
        <w:t xml:space="preserve">102 · Il protocollo prima delle domande.</w:t>
      </w:r>
      <w:r>
        <w:rPr>
          <w:rFonts w:ascii="Barlow Semi Condensed" w:cs="Barlow Semi Condensed" w:eastAsia="Barlow Semi Condensed" w:hAnsi="Barlow Semi Condensed"/>
          <w:sz w:val="24"/>
          <w:szCs w:val="24"/>
        </w:rPr>
        <w:t xml:space="preserve"> Nessun ascolto senza il protocollo scritto del manuale (serie quinta): chi conduce, come si registra, come si conserva, come si corrobora. Il blocco è il tornello della serie: un ricordo raccolto male è un ricordo bruciato — e nel 2026 non ci sono ricordi di riserva.</w:t>
      </w:r>
    </w:p>
    <w:p>
      <w:pPr>
        <w:spacing w:after="120" w:line="276"/>
        <w:jc w:val="both"/>
      </w:pPr>
      <w:r>
        <w:rPr>
          <w:rFonts w:ascii="Barlow Semi Condensed" w:cs="Barlow Semi Condensed" w:eastAsia="Barlow Semi Condensed" w:hAnsi="Barlow Semi Condensed"/>
          <w:b/>
          <w:bCs/>
          <w:sz w:val="24"/>
          <w:szCs w:val="24"/>
        </w:rPr>
        <w:t xml:space="preserve">103 · I condannati che possono ancora parlare.</w:t>
      </w:r>
      <w:r>
        <w:rPr>
          <w:rFonts w:ascii="Barlow Semi Condensed" w:cs="Barlow Semi Condensed" w:eastAsia="Barlow Semi Condensed" w:hAnsi="Barlow Semi Condensed"/>
          <w:sz w:val="24"/>
          <w:szCs w:val="24"/>
        </w:rPr>
        <w:t xml:space="preserve"> I membri viventi del registro del giudicato: proposta formale di dichiarazioni spontanee verbalizzate, sulle domande aperte delle matrici — le presenze non giudicate, la logistica, i canali dei comunicati. Hanno già i loro giudicati: ciò che si chiede è memoria, non confessione.</w:t>
      </w:r>
    </w:p>
    <w:p>
      <w:pPr>
        <w:spacing w:after="120" w:line="276"/>
        <w:jc w:val="both"/>
      </w:pPr>
      <w:r>
        <w:rPr>
          <w:rFonts w:ascii="Barlow Semi Condensed" w:cs="Barlow Semi Condensed" w:eastAsia="Barlow Semi Condensed" w:hAnsi="Barlow Semi Condensed"/>
          <w:b/>
          <w:bCs/>
          <w:sz w:val="24"/>
          <w:szCs w:val="24"/>
        </w:rPr>
        <w:t xml:space="preserve">104 · La rogatoria dell'unico mai sentito.</w:t>
      </w:r>
      <w:r>
        <w:rPr>
          <w:rFonts w:ascii="Barlow Semi Condensed" w:cs="Barlow Semi Condensed" w:eastAsia="Barlow Semi Condensed" w:hAnsi="Barlow Semi Condensed"/>
          <w:sz w:val="24"/>
          <w:szCs w:val="24"/>
        </w:rPr>
        <w:t xml:space="preserve"> Il partecipante identificato mai interrogato da una corte italiana, stabilito in Nicaragua: la rogatoria conoscitiva già formulata dal programma (la pista con l'atto pronto) — domande scritte, verbalizzazione utilizzabile, comunque vada. L'esito negativo documentato vale più dell'attesa indefinita.</w:t>
      </w:r>
    </w:p>
    <w:p>
      <w:pPr>
        <w:spacing w:after="120" w:line="276"/>
        <w:jc w:val="both"/>
      </w:pPr>
      <w:r>
        <w:rPr>
          <w:rFonts w:ascii="Barlow Semi Condensed" w:cs="Barlow Semi Condensed" w:eastAsia="Barlow Semi Condensed" w:hAnsi="Barlow Semi Condensed"/>
          <w:b/>
          <w:bCs/>
          <w:sz w:val="24"/>
          <w:szCs w:val="24"/>
        </w:rPr>
        <w:t xml:space="preserve">105 · La voce oltre confine.</w:t>
      </w:r>
      <w:r>
        <w:rPr>
          <w:rFonts w:ascii="Barlow Semi Condensed" w:cs="Barlow Semi Condensed" w:eastAsia="Barlow Semi Condensed" w:hAnsi="Barlow Semi Condensed"/>
          <w:sz w:val="24"/>
          <w:szCs w:val="24"/>
        </w:rPr>
        <w:t xml:space="preserve"> Gli altri condannati stabiliti all'estero per effetto delle vicende estradizionali documentate nel corpus (le pene oltre confine): per ciascuno, la via giuridica dell'ascolto — rogatoria, audizione volontaria, dichiarazione scritta — tentata e verbalizzata. La geografia non estingue le domande.</w:t>
      </w:r>
    </w:p>
    <w:p>
      <w:pPr>
        <w:spacing w:after="120" w:line="276"/>
        <w:jc w:val="both"/>
      </w:pPr>
      <w:r>
        <w:rPr>
          <w:rFonts w:ascii="Barlow Semi Condensed" w:cs="Barlow Semi Condensed" w:eastAsia="Barlow Semi Condensed" w:hAnsi="Barlow Semi Condensed"/>
          <w:b/>
          <w:bCs/>
          <w:sz w:val="24"/>
          <w:szCs w:val="24"/>
        </w:rPr>
        <w:t xml:space="preserve">106 · I giudicati del contesto.</w:t>
      </w:r>
      <w:r>
        <w:rPr>
          <w:rFonts w:ascii="Barlow Semi Condensed" w:cs="Barlow Semi Condensed" w:eastAsia="Barlow Semi Condensed" w:hAnsi="Barlow Semi Condensed"/>
          <w:sz w:val="24"/>
          <w:szCs w:val="24"/>
        </w:rPr>
        <w:t xml:space="preserve"> Le persone già definitivamente giudicate per fatti del medesimo contesto ma non per via Fani: ascolto conservativo sul contorno — logistica dell'organizzazione, covi, canali — con la regola personalistica stampata: i loro giudicati restano i loro, e nessuna domanda presuppone condotte oltre il giudicato.</w:t>
      </w:r>
    </w:p>
    <w:p>
      <w:pPr>
        <w:spacing w:after="120" w:line="276"/>
        <w:jc w:val="both"/>
      </w:pPr>
      <w:r>
        <w:rPr>
          <w:rFonts w:ascii="Barlow Semi Condensed" w:cs="Barlow Semi Condensed" w:eastAsia="Barlow Semi Condensed" w:hAnsi="Barlow Semi Condensed"/>
          <w:b/>
          <w:bCs/>
          <w:sz w:val="24"/>
          <w:szCs w:val="24"/>
        </w:rPr>
        <w:t xml:space="preserve">107 · Gli oculari di via Fani.</w:t>
      </w:r>
      <w:r>
        <w:rPr>
          <w:rFonts w:ascii="Barlow Semi Condensed" w:cs="Barlow Semi Condensed" w:eastAsia="Barlow Semi Condensed" w:hAnsi="Barlow Semi Condensed"/>
          <w:sz w:val="24"/>
          <w:szCs w:val="24"/>
        </w:rPr>
        <w:t xml:space="preserve"> I testimoni oculari superstiti del 16 marzo: riascolto conservativo integrale, con le fotografie e la ricostruzione tridimensionale come supporti di precisione e mai come suggestioni. Ogni divergenza dal verbale d'epoca si annota come dato, non si liscia: le divergenze sono informazione.</w:t>
      </w:r>
    </w:p>
    <w:p>
      <w:pPr>
        <w:spacing w:after="120" w:line="276"/>
        <w:jc w:val="both"/>
      </w:pPr>
      <w:r>
        <w:rPr>
          <w:rFonts w:ascii="Barlow Semi Condensed" w:cs="Barlow Semi Condensed" w:eastAsia="Barlow Semi Condensed" w:hAnsi="Barlow Semi Condensed"/>
          <w:b/>
          <w:bCs/>
          <w:sz w:val="24"/>
          <w:szCs w:val="24"/>
        </w:rPr>
        <w:t xml:space="preserve">108 · La lezione applicata al riascolto.</w:t>
      </w:r>
      <w:r>
        <w:rPr>
          <w:rFonts w:ascii="Barlow Semi Condensed" w:cs="Barlow Semi Condensed" w:eastAsia="Barlow Semi Condensed" w:hAnsi="Barlow Semi Condensed"/>
          <w:sz w:val="24"/>
          <w:szCs w:val="24"/>
        </w:rPr>
        <w:t xml:space="preserve"> Ogni riascolto della serie incorpora la lezione della Nota di revisione n. 1: la corroborazione fisica prima dell'uso, il diritto del testimone a correggersi, il valore della ritrattazione come atto di verità. Chi ritratta con documento serve il caso quanto chi conferma.</w:t>
      </w:r>
    </w:p>
    <w:p>
      <w:pPr>
        <w:spacing w:after="120" w:line="276"/>
        <w:jc w:val="both"/>
      </w:pPr>
      <w:r>
        <w:rPr>
          <w:rFonts w:ascii="Barlow Semi Condensed" w:cs="Barlow Semi Condensed" w:eastAsia="Barlow Semi Condensed" w:hAnsi="Barlow Semi Condensed"/>
          <w:b/>
          <w:bCs/>
          <w:sz w:val="24"/>
          <w:szCs w:val="24"/>
        </w:rPr>
        <w:t xml:space="preserve">109 · I residenti del civico 96.</w:t>
      </w:r>
      <w:r>
        <w:rPr>
          <w:rFonts w:ascii="Barlow Semi Condensed" w:cs="Barlow Semi Condensed" w:eastAsia="Barlow Semi Condensed" w:hAnsi="Barlow Semi Condensed"/>
          <w:sz w:val="24"/>
          <w:szCs w:val="24"/>
        </w:rPr>
        <w:t xml:space="preserve"> Chi abitò via Gradoli 96 negli anni del covo: memoria dei luoghi, dei movimenti, delle gestioni — l'anagrafe umana dello stabile da incrociare con l'anagrafe documentale del blocco 249. I condomini sono l'archivio orale di un edificio che è già un quesito.</w:t>
      </w:r>
    </w:p>
    <w:p>
      <w:pPr>
        <w:spacing w:after="120" w:line="276"/>
        <w:jc w:val="both"/>
      </w:pPr>
      <w:r>
        <w:rPr>
          <w:rFonts w:ascii="Barlow Semi Condensed" w:cs="Barlow Semi Condensed" w:eastAsia="Barlow Semi Condensed" w:hAnsi="Barlow Semi Condensed"/>
          <w:b/>
          <w:bCs/>
          <w:sz w:val="24"/>
          <w:szCs w:val="24"/>
        </w:rPr>
        <w:t xml:space="preserve">110 · Gli operatori del 18 marzo.</w:t>
      </w:r>
      <w:r>
        <w:rPr>
          <w:rFonts w:ascii="Barlow Semi Condensed" w:cs="Barlow Semi Condensed" w:eastAsia="Barlow Semi Condensed" w:hAnsi="Barlow Semi Condensed"/>
          <w:sz w:val="24"/>
          <w:szCs w:val="24"/>
        </w:rPr>
        <w:t xml:space="preserve"> I componenti viventi della squadra che salì le scale di via Gradoli il 18 marzo 1978 e i loro superiori di catena: la ricostruzione conservativa dell'ordine ricevuto, del limite fissato, del rapporto reso. La catena di comando documentale (blocco 4) ha qui il suo complemento umano.</w:t>
      </w:r>
    </w:p>
    <w:p>
      <w:pPr>
        <w:spacing w:after="120" w:line="276"/>
        <w:jc w:val="both"/>
      </w:pPr>
      <w:r>
        <w:rPr>
          <w:rFonts w:ascii="Barlow Semi Condensed" w:cs="Barlow Semi Condensed" w:eastAsia="Barlow Semi Condensed" w:hAnsi="Barlow Semi Condensed"/>
          <w:b/>
          <w:bCs/>
          <w:sz w:val="24"/>
          <w:szCs w:val="24"/>
        </w:rPr>
        <w:t xml:space="preserve">111 · Gli operatori del 18 aprile.</w:t>
      </w:r>
      <w:r>
        <w:rPr>
          <w:rFonts w:ascii="Barlow Semi Condensed" w:cs="Barlow Semi Condensed" w:eastAsia="Barlow Semi Condensed" w:hAnsi="Barlow Semi Condensed"/>
          <w:sz w:val="24"/>
          <w:szCs w:val="24"/>
        </w:rPr>
        <w:t xml:space="preserve"> I vigili del fuoco e gli agenti dell'intervento per l'acqua di via Gradoli: la memoria della scena — la doccia, l'appartamento, i presenti — raccolta prima che si spenga. Il verbale d'epoca esiste; la serie raccoglie ciò che il verbale non chiese.</w:t>
      </w:r>
    </w:p>
    <w:p>
      <w:pPr>
        <w:spacing w:after="120" w:line="276"/>
        <w:jc w:val="both"/>
      </w:pPr>
      <w:r>
        <w:rPr>
          <w:rFonts w:ascii="Barlow Semi Condensed" w:cs="Barlow Semi Condensed" w:eastAsia="Barlow Semi Condensed" w:hAnsi="Barlow Semi Condensed"/>
          <w:b/>
          <w:bCs/>
          <w:sz w:val="24"/>
          <w:szCs w:val="24"/>
        </w:rPr>
        <w:t xml:space="preserve">112 · I presenti del 2 aprile.</w:t>
      </w:r>
      <w:r>
        <w:rPr>
          <w:rFonts w:ascii="Barlow Semi Condensed" w:cs="Barlow Semi Condensed" w:eastAsia="Barlow Semi Condensed" w:hAnsi="Barlow Semi Condensed"/>
          <w:sz w:val="24"/>
          <w:szCs w:val="24"/>
        </w:rPr>
        <w:t xml:space="preserve"> Chi partecipò alla seduta di Zappolino ed è ancora ascoltabile: racconti raccolti separatamente, senza contaminazione reciproca, sulla genesi della parola — chi propose il gioco, chi toccò, chi trascrisse, chi telefonò a chi. La convergenza misurata dei racconti è l'esito (blocco 225).</w:t>
      </w:r>
    </w:p>
    <w:p>
      <w:pPr>
        <w:spacing w:after="120" w:line="276"/>
        <w:jc w:val="both"/>
      </w:pPr>
      <w:r>
        <w:rPr>
          <w:rFonts w:ascii="Barlow Semi Condensed" w:cs="Barlow Semi Condensed" w:eastAsia="Barlow Semi Condensed" w:hAnsi="Barlow Semi Condensed"/>
          <w:b/>
          <w:bCs/>
          <w:sz w:val="24"/>
          <w:szCs w:val="24"/>
        </w:rPr>
        <w:t xml:space="preserve">113 · I funzionari del Viminale.</w:t>
      </w:r>
      <w:r>
        <w:rPr>
          <w:rFonts w:ascii="Barlow Semi Condensed" w:cs="Barlow Semi Condensed" w:eastAsia="Barlow Semi Condensed" w:hAnsi="Barlow Semi Condensed"/>
          <w:sz w:val="24"/>
          <w:szCs w:val="24"/>
        </w:rPr>
        <w:t xml:space="preserve"> I funzionari viventi degli uffici del 1978 — i comitati, la sala operativa, gli uffici territoriali: memoria delle procedure reali dietro la carta — come si smistava una segnalazione, chi leggeva i rapporti, che cosa saliva e che cosa si fermava. È l'etnografia dell'apparato, e serve il quesito 7.</w:t>
      </w:r>
    </w:p>
    <w:p>
      <w:pPr>
        <w:spacing w:after="120" w:line="276"/>
        <w:jc w:val="both"/>
      </w:pPr>
      <w:r>
        <w:rPr>
          <w:rFonts w:ascii="Barlow Semi Condensed" w:cs="Barlow Semi Condensed" w:eastAsia="Barlow Semi Condensed" w:hAnsi="Barlow Semi Condensed"/>
          <w:b/>
          <w:bCs/>
          <w:sz w:val="24"/>
          <w:szCs w:val="24"/>
        </w:rPr>
        <w:t xml:space="preserve">114 · I magistrati dell'epoca.</w:t>
      </w:r>
      <w:r>
        <w:rPr>
          <w:rFonts w:ascii="Barlow Semi Condensed" w:cs="Barlow Semi Condensed" w:eastAsia="Barlow Semi Condensed" w:hAnsi="Barlow Semi Condensed"/>
          <w:sz w:val="24"/>
          <w:szCs w:val="24"/>
        </w:rPr>
        <w:t xml:space="preserve"> I magistrati viventi delle istruttorie e dei processi: memoria delle scelte istruttorie, dei vincoli, delle piste coltivate e lasciate. Con una regola: si chiede il come delle decisioni documentate, mai la revisione del giudicato — la memoria del giudice illumina gli atti, non li sostituisce.</w:t>
      </w:r>
    </w:p>
    <w:p>
      <w:pPr>
        <w:spacing w:after="120" w:line="276"/>
        <w:jc w:val="both"/>
      </w:pPr>
      <w:r>
        <w:rPr>
          <w:rFonts w:ascii="Barlow Semi Condensed" w:cs="Barlow Semi Condensed" w:eastAsia="Barlow Semi Condensed" w:hAnsi="Barlow Semi Condensed"/>
          <w:b/>
          <w:bCs/>
          <w:sz w:val="24"/>
          <w:szCs w:val="24"/>
        </w:rPr>
        <w:t xml:space="preserve">115 · I cronisti dei 55 giorni.</w:t>
      </w:r>
      <w:r>
        <w:rPr>
          <w:rFonts w:ascii="Barlow Semi Condensed" w:cs="Barlow Semi Condensed" w:eastAsia="Barlow Semi Condensed" w:hAnsi="Barlow Semi Condensed"/>
          <w:sz w:val="24"/>
          <w:szCs w:val="24"/>
        </w:rPr>
        <w:t xml:space="preserve"> I giornalisti superstiti che coprirono il caso: taccuini, agende, fonti citabili, materiali personali non pubblicati. Il giornalismo del 1978 fu un apparato di raccolta parallelo; i suoi archivi privati sono un giacimento che nessuna istruttoria ha mai censito per intero.</w:t>
      </w:r>
    </w:p>
    <w:p>
      <w:pPr>
        <w:spacing w:after="120" w:line="276"/>
        <w:jc w:val="both"/>
      </w:pPr>
      <w:r>
        <w:rPr>
          <w:rFonts w:ascii="Barlow Semi Condensed" w:cs="Barlow Semi Condensed" w:eastAsia="Barlow Semi Condensed" w:hAnsi="Barlow Semi Condensed"/>
          <w:b/>
          <w:bCs/>
          <w:sz w:val="24"/>
          <w:szCs w:val="24"/>
        </w:rPr>
        <w:t xml:space="preserve">116 · I custodi delle carte.</w:t>
      </w:r>
      <w:r>
        <w:rPr>
          <w:rFonts w:ascii="Barlow Semi Condensed" w:cs="Barlow Semi Condensed" w:eastAsia="Barlow Semi Condensed" w:hAnsi="Barlow Semi Condensed"/>
          <w:sz w:val="24"/>
          <w:szCs w:val="24"/>
        </w:rPr>
        <w:t xml:space="preserve"> Archivisti, cancellieri, consegnatari che maneggiarono i fascicoli del caso nei decenni: memoria dei versamenti, degli scarti, degli smarrimenti, delle copie. Chi ha spostato la carta sa della carta ciò che la carta non dice di sé: è il testimone tecnico per il censimento del distrutto (blocco 255).</w:t>
      </w:r>
    </w:p>
    <w:p>
      <w:pPr>
        <w:spacing w:after="120" w:line="276"/>
        <w:jc w:val="both"/>
      </w:pPr>
      <w:r>
        <w:rPr>
          <w:rFonts w:ascii="Barlow Semi Condensed" w:cs="Barlow Semi Condensed" w:eastAsia="Barlow Semi Condensed" w:hAnsi="Barlow Semi Condensed"/>
          <w:b/>
          <w:bCs/>
          <w:sz w:val="24"/>
          <w:szCs w:val="24"/>
        </w:rPr>
        <w:t xml:space="preserve">117 · I depositari privati.</w:t>
      </w:r>
      <w:r>
        <w:rPr>
          <w:rFonts w:ascii="Barlow Semi Condensed" w:cs="Barlow Semi Condensed" w:eastAsia="Barlow Semi Condensed" w:hAnsi="Barlow Semi Condensed"/>
          <w:sz w:val="24"/>
          <w:szCs w:val="24"/>
        </w:rPr>
        <w:t xml:space="preserve"> I familiari ed eredi che conservano carte private rilevanti — dei protagonisti istituzionali, dei testimoni, delle vittime: proposta rispettosa di deposito, copia o inventario presso istituti conservatori, alle loro condizioni. Ogni scatola in un solaio è un fondo archivistico in pericolo.</w:t>
      </w:r>
    </w:p>
    <w:p>
      <w:pPr>
        <w:spacing w:after="120" w:line="276"/>
        <w:jc w:val="both"/>
      </w:pPr>
      <w:r>
        <w:rPr>
          <w:rFonts w:ascii="Barlow Semi Condensed" w:cs="Barlow Semi Condensed" w:eastAsia="Barlow Semi Condensed" w:hAnsi="Barlow Semi Condensed"/>
          <w:b/>
          <w:bCs/>
          <w:sz w:val="24"/>
          <w:szCs w:val="24"/>
        </w:rPr>
        <w:t xml:space="preserve">118 · I difensori dell'epoca.</w:t>
      </w:r>
      <w:r>
        <w:rPr>
          <w:rFonts w:ascii="Barlow Semi Condensed" w:cs="Barlow Semi Condensed" w:eastAsia="Barlow Semi Condensed" w:hAnsi="Barlow Semi Condensed"/>
          <w:sz w:val="24"/>
          <w:szCs w:val="24"/>
        </w:rPr>
        <w:t xml:space="preserve"> Gli avvocati viventi dei processi del caso: memoria processuale nei limiti rigorosi del segreto professionale — che il blocco riconosce per primo. Si chiede ciò che è chiedibile: il contesto delle udienze, gli atti pubblici, le strategie dichiarate; il resto non si chiede.</w:t>
      </w:r>
    </w:p>
    <w:p>
      <w:pPr>
        <w:spacing w:after="120" w:line="276"/>
        <w:jc w:val="both"/>
      </w:pPr>
      <w:r>
        <w:rPr>
          <w:rFonts w:ascii="Barlow Semi Condensed" w:cs="Barlow Semi Condensed" w:eastAsia="Barlow Semi Condensed" w:hAnsi="Barlow Semi Condensed"/>
          <w:b/>
          <w:bCs/>
          <w:sz w:val="24"/>
          <w:szCs w:val="24"/>
        </w:rPr>
        <w:t xml:space="preserve">119 · I periti del 1978.</w:t>
      </w:r>
      <w:r>
        <w:rPr>
          <w:rFonts w:ascii="Barlow Semi Condensed" w:cs="Barlow Semi Condensed" w:eastAsia="Barlow Semi Condensed" w:hAnsi="Barlow Semi Condensed"/>
          <w:sz w:val="24"/>
          <w:szCs w:val="24"/>
        </w:rPr>
        <w:t xml:space="preserve"> I periti e i consulenti viventi delle perizie originali: memoria dei metodi, dei limiti strumentali, dei dubbi non verbalizzati. Ogni riesame della serie quarta guadagna precisione se chi fece l'esame originario può ancora spiegare che cosa il 1978 non poteva vedere.</w:t>
      </w:r>
    </w:p>
    <w:p>
      <w:pPr>
        <w:spacing w:after="120" w:line="276"/>
        <w:jc w:val="both"/>
      </w:pPr>
      <w:r>
        <w:rPr>
          <w:rFonts w:ascii="Barlow Semi Condensed" w:cs="Barlow Semi Condensed" w:eastAsia="Barlow Semi Condensed" w:hAnsi="Barlow Semi Condensed"/>
          <w:b/>
          <w:bCs/>
          <w:sz w:val="24"/>
          <w:szCs w:val="24"/>
        </w:rPr>
        <w:t xml:space="preserve">120 · La truppa del dispositivo.</w:t>
      </w:r>
      <w:r>
        <w:rPr>
          <w:rFonts w:ascii="Barlow Semi Condensed" w:cs="Barlow Semi Condensed" w:eastAsia="Barlow Semi Condensed" w:hAnsi="Barlow Semi Condensed"/>
          <w:sz w:val="24"/>
          <w:szCs w:val="24"/>
        </w:rPr>
        <w:t xml:space="preserve"> Un campione ragionato di chi tenne i posti di blocco e fece le perquisizioni: la memoria dell'output dal basso — istruzioni ricevute, prassi reali, anomalie viste. Il numero (72.460) ha volti; il campione dà al blocco 246 la sua controparte umana.</w:t>
      </w:r>
    </w:p>
    <w:p>
      <w:pPr>
        <w:spacing w:after="120" w:line="276"/>
        <w:jc w:val="both"/>
      </w:pPr>
      <w:r>
        <w:rPr>
          <w:rFonts w:ascii="Barlow Semi Condensed" w:cs="Barlow Semi Condensed" w:eastAsia="Barlow Semi Condensed" w:hAnsi="Barlow Semi Condensed"/>
          <w:b/>
          <w:bCs/>
          <w:sz w:val="24"/>
          <w:szCs w:val="24"/>
        </w:rPr>
        <w:t xml:space="preserve">121 · Il personale dei colloqui.</w:t>
      </w:r>
      <w:r>
        <w:rPr>
          <w:rFonts w:ascii="Barlow Semi Condensed" w:cs="Barlow Semi Condensed" w:eastAsia="Barlow Semi Condensed" w:hAnsi="Barlow Semi Condensed"/>
          <w:sz w:val="24"/>
          <w:szCs w:val="24"/>
        </w:rPr>
        <w:t xml:space="preserve"> Il personale carcerario e i cappellani viventi delle carceri dei colloqui del 1978: memoria delle procedure, delle presenze, delle autorizzazioni — il complemento umano del blocco 242, con la stessa disciplina: registri prima, ricordi poi.</w:t>
      </w:r>
    </w:p>
    <w:p>
      <w:pPr>
        <w:spacing w:after="120" w:line="276"/>
        <w:jc w:val="both"/>
      </w:pPr>
      <w:r>
        <w:rPr>
          <w:rFonts w:ascii="Barlow Semi Condensed" w:cs="Barlow Semi Condensed" w:eastAsia="Barlow Semi Condensed" w:hAnsi="Barlow Semi Condensed"/>
          <w:b/>
          <w:bCs/>
          <w:sz w:val="24"/>
          <w:szCs w:val="24"/>
        </w:rPr>
        <w:t xml:space="preserve">122 · Gli occhi stranieri.</w:t>
      </w:r>
      <w:r>
        <w:rPr>
          <w:rFonts w:ascii="Barlow Semi Condensed" w:cs="Barlow Semi Condensed" w:eastAsia="Barlow Semi Condensed" w:hAnsi="Barlow Semi Condensed"/>
          <w:sz w:val="24"/>
          <w:szCs w:val="24"/>
        </w:rPr>
        <w:t xml:space="preserve"> I diplomatici e gli addetti alleati viventi in servizio a Roma nel 1978: ascolto conservativo su ciò che le loro sedi videro e riferirono — da incrociare con i giacimenti della serie sesta. La memoria straniera ha un vantaggio: i suoi archivi, prima o poi, si aprono e la corroborano.</w:t>
      </w:r>
    </w:p>
    <w:p>
      <w:pPr>
        <w:spacing w:after="120" w:line="276"/>
        <w:jc w:val="both"/>
      </w:pPr>
      <w:r>
        <w:rPr>
          <w:rFonts w:ascii="Barlow Semi Condensed" w:cs="Barlow Semi Condensed" w:eastAsia="Barlow Semi Condensed" w:hAnsi="Barlow Semi Condensed"/>
          <w:b/>
          <w:bCs/>
          <w:sz w:val="24"/>
          <w:szCs w:val="24"/>
        </w:rPr>
        <w:t xml:space="preserve">123 · Il contraddittorio della memoria.</w:t>
      </w:r>
      <w:r>
        <w:rPr>
          <w:rFonts w:ascii="Barlow Semi Condensed" w:cs="Barlow Semi Condensed" w:eastAsia="Barlow Semi Condensed" w:hAnsi="Barlow Semi Condensed"/>
          <w:sz w:val="24"/>
          <w:szCs w:val="24"/>
        </w:rPr>
        <w:t xml:space="preserve"> Dove due memorie raccolte divergono su un fatto materiale, la divergenza si porta ai documenti, mai al confronto suggestivo fra testimoni: nessun ascolto serve a far cambiare idea a qualcuno. La serie raccoglie versioni; la corroborazione le pesa; la tavola le conserva entrambe.</w:t>
      </w:r>
    </w:p>
    <w:p>
      <w:pPr>
        <w:spacing w:after="120" w:line="276"/>
        <w:jc w:val="both"/>
      </w:pPr>
      <w:r>
        <w:rPr>
          <w:rFonts w:ascii="Barlow Semi Condensed" w:cs="Barlow Semi Condensed" w:eastAsia="Barlow Semi Condensed" w:hAnsi="Barlow Semi Condensed"/>
          <w:b/>
          <w:bCs/>
          <w:sz w:val="24"/>
          <w:szCs w:val="24"/>
        </w:rPr>
        <w:t xml:space="preserve">124 · Il deposito delle voci.</w:t>
      </w:r>
      <w:r>
        <w:rPr>
          <w:rFonts w:ascii="Barlow Semi Condensed" w:cs="Barlow Semi Condensed" w:eastAsia="Barlow Semi Condensed" w:hAnsi="Barlow Semi Condensed"/>
          <w:sz w:val="24"/>
          <w:szCs w:val="24"/>
        </w:rPr>
        <w:t xml:space="preserve"> Tutte le registrazioni della serie confluiscono nell'archivio audiovisivo indicizzato previsto dal manuale (il fascicolo digitale): trascritte, citabili al minuto, con i consensi conservati. La raccolta conservativa è tale solo se il deposito la conserva davvero — per i ricercatori del 2078.</w:t>
      </w:r>
    </w:p>
    <w:p>
      <w:pPr>
        <w:spacing w:after="120" w:line="276"/>
        <w:jc w:val="both"/>
      </w:pPr>
      <w:r>
        <w:rPr>
          <w:rFonts w:ascii="Barlow Semi Condensed" w:cs="Barlow Semi Condensed" w:eastAsia="Barlow Semi Condensed" w:hAnsi="Barlow Semi Condensed"/>
          <w:b/>
          <w:bCs/>
          <w:sz w:val="24"/>
          <w:szCs w:val="24"/>
        </w:rPr>
        <w:t xml:space="preserve">125 · La tavola delle persone.</w:t>
      </w:r>
      <w:r>
        <w:rPr>
          <w:rFonts w:ascii="Barlow Semi Condensed" w:cs="Barlow Semi Condensed" w:eastAsia="Barlow Semi Condensed" w:hAnsi="Barlow Semi Condensed"/>
          <w:sz w:val="24"/>
          <w:szCs w:val="24"/>
        </w:rPr>
        <w:t xml:space="preserve"> La chiusura della serie: la tavola con gli stati di ogni bersaglio umano — ascoltato, in corso, ha rifiutato, irreperibile, deceduto prima dell'ascolto — datata e pubblica nei limiti della riservatezza dovuta. Ogni «deceduto prima dell'ascolto» è la misura esatta del costo del ritardo.</w:t>
      </w:r>
    </w:p>
    <w:p>
      <w:pPr>
        <w:pStyle w:val="Heading2"/>
        <w:spacing w:after="100" w:before="200"/>
      </w:pPr>
      <w:r>
        <w:rPr>
          <w:rFonts w:ascii="Barlow Semi Condensed" w:cs="Barlow Semi Condensed" w:eastAsia="Barlow Semi Condensed" w:hAnsi="Barlow Semi Condensed"/>
          <w:sz w:val="24"/>
          <w:szCs w:val="24"/>
        </w:rPr>
        <w:t xml:space="preserve">Serie sesta — I giacimenti internazionali (blocchi 126-155)</w:t>
      </w:r>
    </w:p>
    <w:p>
      <w:pPr>
        <w:spacing w:after="120" w:line="276"/>
        <w:jc w:val="both"/>
      </w:pPr>
      <w:r>
        <w:rPr>
          <w:rFonts w:ascii="Barlow Semi Condensed" w:cs="Barlow Semi Condensed" w:eastAsia="Barlow Semi Condensed" w:hAnsi="Barlow Semi Condensed"/>
          <w:i/>
          <w:iCs/>
          <w:sz w:val="24"/>
          <w:szCs w:val="24"/>
        </w:rPr>
        <w:t xml:space="preserve">Statuto della serie: gli occhi degli altri. Le diplomazie e i servizi alleati osservarono i 55 giorni in tempo reale e i loro archivi obbediscono a calendari e regole propri — prima fra tutte la regola dell'originatore, per cui un documento straniero si apre solo col consenso di chi lo produsse. La serie organizza il censimento e l'erosione paziente del ritenuto, con la disciplina di lettura scolpita: un cablo riferisce, non accerta — ciò che un archivio estero dice del caso entra col grado della sua natura, mai col prestigio della sua provenienza. Verifiche condotte per questa agenda: NARA (archives.gov, aad.archives.gov), foia.state.gov, cia.gov/readingroom, jimmycarterlibrary.gov.</w:t>
      </w:r>
    </w:p>
    <w:p>
      <w:pPr>
        <w:spacing w:after="120" w:line="276"/>
        <w:jc w:val="both"/>
      </w:pPr>
      <w:r>
        <w:rPr>
          <w:rFonts w:ascii="Barlow Semi Condensed" w:cs="Barlow Semi Condensed" w:eastAsia="Barlow Semi Condensed" w:hAnsi="Barlow Semi Condensed"/>
          <w:b/>
          <w:bCs/>
          <w:sz w:val="24"/>
          <w:szCs w:val="24"/>
        </w:rPr>
        <w:t xml:space="preserve">126 · La regola dell'originatore.</w:t>
      </w:r>
      <w:r>
        <w:rPr>
          <w:rFonts w:ascii="Barlow Semi Condensed" w:cs="Barlow Semi Condensed" w:eastAsia="Barlow Semi Condensed" w:hAnsi="Barlow Semi Condensed"/>
          <w:sz w:val="24"/>
          <w:szCs w:val="24"/>
        </w:rPr>
        <w:t xml:space="preserve"> Il primo bersaglio è la mappa del vincolo: per ogni archivio alleato, chi può aprire che cosa, con quale procedura e quali tempi. La scheda PE-5 del corpus ha stabilito il quadro; l'agenda lo trasforma in tavola operativa paese per paese — perché ogni richiesta vada al soggetto che può davvero rispondere.</w:t>
      </w:r>
    </w:p>
    <w:p>
      <w:pPr>
        <w:spacing w:after="120" w:line="276"/>
        <w:jc w:val="both"/>
      </w:pPr>
      <w:r>
        <w:rPr>
          <w:rFonts w:ascii="Barlow Semi Condensed" w:cs="Barlow Semi Condensed" w:eastAsia="Barlow Semi Condensed" w:hAnsi="Barlow Semi Condensed"/>
          <w:b/>
          <w:bCs/>
          <w:sz w:val="24"/>
          <w:szCs w:val="24"/>
        </w:rPr>
        <w:t xml:space="preserve">127 · Il censimento del ritenuto.</w:t>
      </w:r>
      <w:r>
        <w:rPr>
          <w:rFonts w:ascii="Barlow Semi Condensed" w:cs="Barlow Semi Condensed" w:eastAsia="Barlow Semi Condensed" w:hAnsi="Barlow Semi Condensed"/>
          <w:sz w:val="24"/>
          <w:szCs w:val="24"/>
        </w:rPr>
        <w:t xml:space="preserve"> Le withdrawal cards del 1978 nei Central Foreign Policy Files: il censimento sistematico di ciò che è dichiaratamente trattenuto — l'accertamento del corpus (circa quattrocentosettantaquattro atti di origine alleata) portato a tavola completa: per ogni carta ritirata, serie, data, originatore, e lo stato della sua richiedibilità.</w:t>
      </w:r>
    </w:p>
    <w:p>
      <w:pPr>
        <w:spacing w:after="120" w:line="276"/>
        <w:jc w:val="both"/>
      </w:pPr>
      <w:r>
        <w:rPr>
          <w:rFonts w:ascii="Barlow Semi Condensed" w:cs="Barlow Semi Condensed" w:eastAsia="Barlow Semi Condensed" w:hAnsi="Barlow Semi Condensed"/>
          <w:b/>
          <w:bCs/>
          <w:sz w:val="24"/>
          <w:szCs w:val="24"/>
        </w:rPr>
        <w:t xml:space="preserve">128 · Il full-text del 1978.</w:t>
      </w:r>
      <w:r>
        <w:rPr>
          <w:rFonts w:ascii="Barlow Semi Condensed" w:cs="Barlow Semi Condensed" w:eastAsia="Barlow Semi Condensed" w:hAnsi="Barlow Semi Condensed"/>
          <w:sz w:val="24"/>
          <w:szCs w:val="24"/>
        </w:rPr>
        <w:t xml:space="preserve"> I telegrammi elettronici del Dipartimento di Stato per il 1978 sono interrogabili in full-text su NARA AAD (copertura dei Central Foreign Policy Files: 1 luglio 1973 - 31 dicembre 1979): lo spoglio sistematico con griglia di ricerca dichiarata — nomi, luoghi, TAGS — e verbale degli esiti, incluse le ricerche a vuoto. È il giacimento estero a costo più basso: si comincia da qui.</w:t>
      </w:r>
    </w:p>
    <w:p>
      <w:pPr>
        <w:spacing w:after="120" w:line="276"/>
        <w:jc w:val="both"/>
      </w:pPr>
      <w:r>
        <w:rPr>
          <w:rFonts w:ascii="Barlow Semi Condensed" w:cs="Barlow Semi Condensed" w:eastAsia="Barlow Semi Condensed" w:hAnsi="Barlow Semi Condensed"/>
          <w:b/>
          <w:bCs/>
          <w:sz w:val="24"/>
          <w:szCs w:val="24"/>
        </w:rPr>
        <w:t xml:space="preserve">129 · La collezione a microfiche.</w:t>
      </w:r>
      <w:r>
        <w:rPr>
          <w:rFonts w:ascii="Barlow Semi Condensed" w:cs="Barlow Semi Condensed" w:eastAsia="Barlow Semi Condensed" w:hAnsi="Barlow Semi Condensed"/>
          <w:sz w:val="24"/>
          <w:szCs w:val="24"/>
        </w:rPr>
        <w:t xml:space="preserve"> Nella FOIA Library del Dipartimento di Stato (foia.state.gov) è censita una collezione dedicata «Aldo Moro, Prime Minister of Italy, Representative of the Christian-Democrat Party (DC)», rilascio storico su microfiche non interamente digitalizzato: il bersaglio è l'acquisizione integrale della collezione e il confronto col già noto — che cosa contiene che l'AAD non mostra?</w:t>
      </w:r>
    </w:p>
    <w:p>
      <w:pPr>
        <w:spacing w:after="120" w:line="276"/>
        <w:jc w:val="both"/>
      </w:pPr>
      <w:r>
        <w:rPr>
          <w:rFonts w:ascii="Barlow Semi Condensed" w:cs="Barlow Semi Condensed" w:eastAsia="Barlow Semi Condensed" w:hAnsi="Barlow Semi Condensed"/>
          <w:b/>
          <w:bCs/>
          <w:sz w:val="24"/>
          <w:szCs w:val="24"/>
        </w:rPr>
        <w:t xml:space="preserve">130 · Il lotto del corpus.</w:t>
      </w:r>
      <w:r>
        <w:rPr>
          <w:rFonts w:ascii="Barlow Semi Condensed" w:cs="Barlow Semi Condensed" w:eastAsia="Barlow Semi Condensed" w:hAnsi="Barlow Semi Condensed"/>
          <w:sz w:val="24"/>
          <w:szCs w:val="24"/>
        </w:rPr>
        <w:t xml:space="preserve"> Il fascicolo FOIA già acquisito dal corpus (il caso R-2021-002xx, coi numeri di controllo B-00001939965-989 e i TAGS </w:t>
      </w:r>
      <w:r>
        <w:rPr>
          <w:rFonts w:ascii="Barlow Semi Condensed" w:cs="Barlow Semi Condensed" w:eastAsia="Barlow Semi Condensed" w:hAnsi="Barlow Semi Condensed"/>
          <w:i/>
          <w:iCs/>
          <w:sz w:val="24"/>
          <w:szCs w:val="24"/>
        </w:rPr>
        <w:t xml:space="preserve">PINT, IT</w:t>
      </w:r>
      <w:r>
        <w:rPr>
          <w:rFonts w:ascii="Barlow Semi Condensed" w:cs="Barlow Semi Condensed" w:eastAsia="Barlow Semi Condensed" w:hAnsi="Barlow Semi Condensed"/>
          <w:sz w:val="24"/>
          <w:szCs w:val="24"/>
        </w:rPr>
        <w:t xml:space="preserve">): la ricognizione di che cosa quel lotto dimostra sul metodo — che cosa fu rilasciato, con quali omissis — e la formulazione delle richieste successive sulla stessa serie, allargando il perimetro un lotto alla volta.</w:t>
      </w:r>
    </w:p>
    <w:p>
      <w:pPr>
        <w:spacing w:after="120" w:line="276"/>
        <w:jc w:val="both"/>
      </w:pPr>
      <w:r>
        <w:rPr>
          <w:rFonts w:ascii="Barlow Semi Condensed" w:cs="Barlow Semi Condensed" w:eastAsia="Barlow Semi Condensed" w:hAnsi="Barlow Semi Condensed"/>
          <w:b/>
          <w:bCs/>
          <w:sz w:val="24"/>
          <w:szCs w:val="24"/>
        </w:rPr>
        <w:t xml:space="preserve">131 · Le richieste mirate.</w:t>
      </w:r>
      <w:r>
        <w:rPr>
          <w:rFonts w:ascii="Barlow Semi Condensed" w:cs="Barlow Semi Condensed" w:eastAsia="Barlow Semi Condensed" w:hAnsi="Barlow Semi Condensed"/>
          <w:sz w:val="24"/>
          <w:szCs w:val="24"/>
        </w:rPr>
        <w:t xml:space="preserve"> Per le carte ritirate che toccano i quesiti costitutivi: richieste FOIA e di Mandatory Declassification Review mirate, una per carta o per piccolo lotto, con la motivazione storica argomentata. La strategia è l'erosione documentata: ogni diniego motivato è un dato, ogni rilascio una carta nuova — e il registro (259) tiene il conto.</w:t>
      </w:r>
    </w:p>
    <w:p>
      <w:pPr>
        <w:spacing w:after="120" w:line="276"/>
        <w:jc w:val="both"/>
      </w:pPr>
      <w:r>
        <w:rPr>
          <w:rFonts w:ascii="Barlow Semi Condensed" w:cs="Barlow Semi Condensed" w:eastAsia="Barlow Semi Condensed" w:hAnsi="Barlow Semi Condensed"/>
          <w:b/>
          <w:bCs/>
          <w:sz w:val="24"/>
          <w:szCs w:val="24"/>
        </w:rPr>
        <w:t xml:space="preserve">132 · La sala di lettura di Langley.</w:t>
      </w:r>
      <w:r>
        <w:rPr>
          <w:rFonts w:ascii="Barlow Semi Condensed" w:cs="Barlow Semi Condensed" w:eastAsia="Barlow Semi Condensed" w:hAnsi="Barlow Semi Condensed"/>
          <w:sz w:val="24"/>
          <w:szCs w:val="24"/>
        </w:rPr>
        <w:t xml:space="preserve"> La CIA FOIA Electronic Reading Room (il database CREST) contiene documenti declassificati su Moro, le Brigate rosse e l'Italia del 1978: lo spoglio con la disciplina dichiarata — distinguere i documenti analitici dai ritagli di stampa raccolti internamente, che sono rassegna e non intelligence, e marcare ciascun reperto per quello che è.</w:t>
      </w:r>
    </w:p>
    <w:p>
      <w:pPr>
        <w:spacing w:after="120" w:line="276"/>
        <w:jc w:val="both"/>
      </w:pPr>
      <w:r>
        <w:rPr>
          <w:rFonts w:ascii="Barlow Semi Condensed" w:cs="Barlow Semi Condensed" w:eastAsia="Barlow Semi Condensed" w:hAnsi="Barlow Semi Condensed"/>
          <w:b/>
          <w:bCs/>
          <w:sz w:val="24"/>
          <w:szCs w:val="24"/>
        </w:rPr>
        <w:t xml:space="preserve">133 · Le carte di Atlanta.</w:t>
      </w:r>
      <w:r>
        <w:rPr>
          <w:rFonts w:ascii="Barlow Semi Condensed" w:cs="Barlow Semi Condensed" w:eastAsia="Barlow Semi Condensed" w:hAnsi="Barlow Semi Condensed"/>
          <w:sz w:val="24"/>
          <w:szCs w:val="24"/>
        </w:rPr>
        <w:t xml:space="preserve"> Alla Jimmy Carter Presidential Library la collezione «National Security Affairs, Brzezinski Material» col suo Country File per paese (Italia, 1977-1981) è processata e aperta: il bersaglio è lo spoglio del fascicolo italiano dei 55 giorni — appunti per il presidente, verbali, corrispondenza — con acquisizione digitale delle carte rilevanti.</w:t>
      </w:r>
    </w:p>
    <w:p>
      <w:pPr>
        <w:spacing w:after="120" w:line="276"/>
        <w:jc w:val="both"/>
      </w:pPr>
      <w:r>
        <w:rPr>
          <w:rFonts w:ascii="Barlow Semi Condensed" w:cs="Barlow Semi Condensed" w:eastAsia="Barlow Semi Condensed" w:hAnsi="Barlow Semi Condensed"/>
          <w:b/>
          <w:bCs/>
          <w:sz w:val="24"/>
          <w:szCs w:val="24"/>
        </w:rPr>
        <w:t xml:space="preserve">134 · La serie FRUS.</w:t>
      </w:r>
      <w:r>
        <w:rPr>
          <w:rFonts w:ascii="Barlow Semi Condensed" w:cs="Barlow Semi Condensed" w:eastAsia="Barlow Semi Condensed" w:hAnsi="Barlow Semi Condensed"/>
          <w:sz w:val="24"/>
          <w:szCs w:val="24"/>
        </w:rPr>
        <w:t xml:space="preserve"> I volumi Foreign Relations of the United States per il 1977-1980: lo spoglio della selezione ufficiale già edita — che cosa il curatore incluse sul caso, da quali fondi, con quali rinvii archivistici. FRUS è la mappa dichiarata degli archivi che l'hanno alimentata: ogni nota a piè di pagina è una segnatura da seguire.</w:t>
      </w:r>
    </w:p>
    <w:p>
      <w:pPr>
        <w:spacing w:after="120" w:line="276"/>
        <w:jc w:val="both"/>
      </w:pPr>
      <w:r>
        <w:rPr>
          <w:rFonts w:ascii="Barlow Semi Condensed" w:cs="Barlow Semi Condensed" w:eastAsia="Barlow Semi Condensed" w:hAnsi="Barlow Semi Condensed"/>
          <w:b/>
          <w:bCs/>
          <w:sz w:val="24"/>
          <w:szCs w:val="24"/>
        </w:rPr>
        <w:t xml:space="preserve">135 · Il Congresso.</w:t>
      </w:r>
      <w:r>
        <w:rPr>
          <w:rFonts w:ascii="Barlow Semi Condensed" w:cs="Barlow Semi Condensed" w:eastAsia="Barlow Semi Condensed" w:hAnsi="Barlow Semi Condensed"/>
          <w:sz w:val="24"/>
          <w:szCs w:val="24"/>
        </w:rPr>
        <w:t xml:space="preserve"> Gli atti delle commissioni del Congresso USA sul terrorismo europeo degli anni Settanta: udienze, rapporti, testimonianze dell'epoca sull'Italia. Bersaglio secondario a buon rendimento contestuale: come Washington si spiegava pubblicamente il caso mentre i cablo lo raccontavano in riservato.</w:t>
      </w:r>
    </w:p>
    <w:p>
      <w:pPr>
        <w:spacing w:after="120" w:line="276"/>
        <w:jc w:val="both"/>
      </w:pPr>
      <w:r>
        <w:rPr>
          <w:rFonts w:ascii="Barlow Semi Condensed" w:cs="Barlow Semi Condensed" w:eastAsia="Barlow Semi Condensed" w:hAnsi="Barlow Semi Condensed"/>
          <w:b/>
          <w:bCs/>
          <w:sz w:val="24"/>
          <w:szCs w:val="24"/>
        </w:rPr>
        <w:t xml:space="preserve">136 · Kew.</w:t>
      </w:r>
      <w:r>
        <w:rPr>
          <w:rFonts w:ascii="Barlow Semi Condensed" w:cs="Barlow Semi Condensed" w:eastAsia="Barlow Semi Condensed" w:hAnsi="Barlow Semi Condensed"/>
          <w:sz w:val="24"/>
          <w:szCs w:val="24"/>
        </w:rPr>
        <w:t xml:space="preserve"> The National Archives britannici: l'accertamento sistematico di quali fascicoli FCO e PREM su Italia e caso Moro 1978 risultino trasferiti e aperti, quali trattenuti e quali ancora presso i dipartimenti — col catalogo Discovery come primo strumento e le richieste FOI britanniche come secondo. La tavola delle serie britanniche è il bersaglio; il suo vuoto, se vuoto sarà, si verbalizza.</w:t>
      </w:r>
    </w:p>
    <w:p>
      <w:pPr>
        <w:spacing w:after="120" w:line="276"/>
        <w:jc w:val="both"/>
      </w:pPr>
      <w:r>
        <w:rPr>
          <w:rFonts w:ascii="Barlow Semi Condensed" w:cs="Barlow Semi Condensed" w:eastAsia="Barlow Semi Condensed" w:hAnsi="Barlow Semi Condensed"/>
          <w:b/>
          <w:bCs/>
          <w:sz w:val="24"/>
          <w:szCs w:val="24"/>
        </w:rPr>
        <w:t xml:space="preserve">137 · La regola dei vent'anni.</w:t>
      </w:r>
      <w:r>
        <w:rPr>
          <w:rFonts w:ascii="Barlow Semi Condensed" w:cs="Barlow Semi Condensed" w:eastAsia="Barlow Semi Condensed" w:hAnsi="Barlow Semi Condensed"/>
          <w:sz w:val="24"/>
          <w:szCs w:val="24"/>
        </w:rPr>
        <w:t xml:space="preserve"> Per il Regno Unito: la mappa del calendario — la transizione alla regola dei vent'anni, le retention notes, le vie di ricorso presso l'Information Commissioner. Ogni sistema archivistico ha la sua fisiologia: l'agenda la impara prima di chiedere, per chiedere ciò che il sistema può dare.</w:t>
      </w:r>
    </w:p>
    <w:p>
      <w:pPr>
        <w:spacing w:after="120" w:line="276"/>
        <w:jc w:val="both"/>
      </w:pPr>
      <w:r>
        <w:rPr>
          <w:rFonts w:ascii="Barlow Semi Condensed" w:cs="Barlow Semi Condensed" w:eastAsia="Barlow Semi Condensed" w:hAnsi="Barlow Semi Condensed"/>
          <w:b/>
          <w:bCs/>
          <w:sz w:val="24"/>
          <w:szCs w:val="24"/>
        </w:rPr>
        <w:t xml:space="preserve">138 · La Courneuve.</w:t>
      </w:r>
      <w:r>
        <w:rPr>
          <w:rFonts w:ascii="Barlow Semi Condensed" w:cs="Barlow Semi Condensed" w:eastAsia="Barlow Semi Condensed" w:hAnsi="Barlow Semi Condensed"/>
          <w:sz w:val="24"/>
          <w:szCs w:val="24"/>
        </w:rPr>
        <w:t xml:space="preserve"> Gli archivi diplomatici francesi: l'accertamento delle serie aperte della direzione Europa per l'Italia 1978 e lo spoglio dei carteggi dell'ambasciata a Roma sui 55 giorni. La Francia dei santuari e della dottrina è anche la Francia che osservava: i suoi dispacci sono un punto di vista che nessuna commissione italiana ha mai letto per intero.</w:t>
      </w:r>
    </w:p>
    <w:p>
      <w:pPr>
        <w:spacing w:after="120" w:line="276"/>
        <w:jc w:val="both"/>
      </w:pPr>
      <w:r>
        <w:rPr>
          <w:rFonts w:ascii="Barlow Semi Condensed" w:cs="Barlow Semi Condensed" w:eastAsia="Barlow Semi Condensed" w:hAnsi="Barlow Semi Condensed"/>
          <w:b/>
          <w:bCs/>
          <w:sz w:val="24"/>
          <w:szCs w:val="24"/>
        </w:rPr>
        <w:t xml:space="preserve">139 · Le carte di Hyperion.</w:t>
      </w:r>
      <w:r>
        <w:rPr>
          <w:rFonts w:ascii="Barlow Semi Condensed" w:cs="Barlow Semi Condensed" w:eastAsia="Barlow Semi Condensed" w:hAnsi="Barlow Semi Condensed"/>
          <w:sz w:val="24"/>
          <w:szCs w:val="24"/>
        </w:rPr>
        <w:t xml:space="preserve"> Il censimento di ciò che è documentalmente accessibile sulla scuola di lingue parigina — con la precisazione verificata: gli atti del 1982 finora noti sono di fonte giudiziaria italiana (l'istruttoria veneziana), mentre gli archivi giudiziari francesi restano chiusi dai termini di comunicabilità del Code du patrimoine; le vie francesi sono archivistiche (i fondi di polizia versati, con deroga). La pista è chiusa nel corpus per anello debole; il blocco tiene il criterio di riapertura (222) puntato sul solo documento primario.</w:t>
      </w:r>
    </w:p>
    <w:p>
      <w:pPr>
        <w:spacing w:after="120" w:line="276"/>
        <w:jc w:val="both"/>
      </w:pPr>
      <w:r>
        <w:rPr>
          <w:rFonts w:ascii="Barlow Semi Condensed" w:cs="Barlow Semi Condensed" w:eastAsia="Barlow Semi Condensed" w:hAnsi="Barlow Semi Condensed"/>
          <w:b/>
          <w:bCs/>
          <w:sz w:val="24"/>
          <w:szCs w:val="24"/>
        </w:rPr>
        <w:t xml:space="preserve">140 · Le carte della dottrina.</w:t>
      </w:r>
      <w:r>
        <w:rPr>
          <w:rFonts w:ascii="Barlow Semi Condensed" w:cs="Barlow Semi Condensed" w:eastAsia="Barlow Semi Condensed" w:hAnsi="Barlow Semi Condensed"/>
          <w:sz w:val="24"/>
          <w:szCs w:val="24"/>
        </w:rPr>
        <w:t xml:space="preserve"> Il dossier documentale della dottrina Mitterrand e delle vicende estradizionali del caso (le pene oltre confine del corpus): gli atti francesi — amministrativi e giudiziari — delle decisioni sui rifugiati italiani, fino alla parola della Cassazione francese del 2023. Il quadro è già verificato nel corpus; il bersaglio è il fascicolo francese integrale.</w:t>
      </w:r>
    </w:p>
    <w:p>
      <w:pPr>
        <w:spacing w:after="120" w:line="276"/>
        <w:jc w:val="both"/>
      </w:pPr>
      <w:r>
        <w:rPr>
          <w:rFonts w:ascii="Barlow Semi Condensed" w:cs="Barlow Semi Condensed" w:eastAsia="Barlow Semi Condensed" w:hAnsi="Barlow Semi Condensed"/>
          <w:b/>
          <w:bCs/>
          <w:sz w:val="24"/>
          <w:szCs w:val="24"/>
        </w:rPr>
        <w:t xml:space="preserve">141 · Il parallelo tedesco.</w:t>
      </w:r>
      <w:r>
        <w:rPr>
          <w:rFonts w:ascii="Barlow Semi Condensed" w:cs="Barlow Semi Condensed" w:eastAsia="Barlow Semi Condensed" w:hAnsi="Barlow Semi Condensed"/>
          <w:sz w:val="24"/>
          <w:szCs w:val="24"/>
        </w:rPr>
        <w:t xml:space="preserve"> Gli archivi federali tedeschi sul caso Schleyer (1977) e sulla cooperazione antiterrorismo con l'Italia del 1978: l'accertamento di quali carte BKA e di cancelleria siano aperte e che cosa documentino dei contatti con Roma nei 55 giorni. Il caso gemello tedesco fu gestito in modo opposto: le carte del confronto fra i due modelli sono un giacimento comparativo unico.</w:t>
      </w:r>
    </w:p>
    <w:p>
      <w:pPr>
        <w:spacing w:after="120" w:line="276"/>
        <w:jc w:val="both"/>
      </w:pPr>
      <w:r>
        <w:rPr>
          <w:rFonts w:ascii="Barlow Semi Condensed" w:cs="Barlow Semi Condensed" w:eastAsia="Barlow Semi Condensed" w:hAnsi="Barlow Semi Condensed"/>
          <w:b/>
          <w:bCs/>
          <w:sz w:val="24"/>
          <w:szCs w:val="24"/>
        </w:rPr>
        <w:t xml:space="preserve">142 · Il Politisches Archiv.</w:t>
      </w:r>
      <w:r>
        <w:rPr>
          <w:rFonts w:ascii="Barlow Semi Condensed" w:cs="Barlow Semi Condensed" w:eastAsia="Barlow Semi Condensed" w:hAnsi="Barlow Semi Condensed"/>
          <w:sz w:val="24"/>
          <w:szCs w:val="24"/>
        </w:rPr>
        <w:t xml:space="preserve"> L'archivio politico dell'Auswärtiges Amt: le serie dell'ambasciata tedesca a Roma e della centrale per il 1978 — l'accertamento della loro apertura e lo spoglio del fascicolo italiano. Stessa griglia degli altri paesi: che cosa videro, che cosa riferirono, che cosa ne fecero.</w:t>
      </w:r>
    </w:p>
    <w:p>
      <w:pPr>
        <w:spacing w:after="120" w:line="276"/>
        <w:jc w:val="both"/>
      </w:pPr>
      <w:r>
        <w:rPr>
          <w:rFonts w:ascii="Barlow Semi Condensed" w:cs="Barlow Semi Condensed" w:eastAsia="Barlow Semi Condensed" w:hAnsi="Barlow Semi Condensed"/>
          <w:b/>
          <w:bCs/>
          <w:sz w:val="24"/>
          <w:szCs w:val="24"/>
        </w:rPr>
        <w:t xml:space="preserve">143 · Gli scaffali dell'Alleanza.</w:t>
      </w:r>
      <w:r>
        <w:rPr>
          <w:rFonts w:ascii="Barlow Semi Condensed" w:cs="Barlow Semi Condensed" w:eastAsia="Barlow Semi Condensed" w:hAnsi="Barlow Semi Condensed"/>
          <w:sz w:val="24"/>
          <w:szCs w:val="24"/>
        </w:rPr>
        <w:t xml:space="preserve"> Gli archivi NATO e la loro sala di lettura pubblica: l'accertamento di quali serie del 1978 su Italia e sicurezza interna alleata risultino declassificate e pubblicate, e la richiesta formale sulle serie mature per il rilascio. Perimetro dichiarato: si cercano documenti d'archivio, non conferme di narrazioni — e ciò che non c'è si verbalizza come assenza.</w:t>
      </w:r>
    </w:p>
    <w:p>
      <w:pPr>
        <w:spacing w:after="120" w:line="276"/>
        <w:jc w:val="both"/>
      </w:pPr>
      <w:r>
        <w:rPr>
          <w:rFonts w:ascii="Barlow Semi Condensed" w:cs="Barlow Semi Condensed" w:eastAsia="Barlow Semi Condensed" w:hAnsi="Barlow Semi Condensed"/>
          <w:b/>
          <w:bCs/>
          <w:sz w:val="24"/>
          <w:szCs w:val="24"/>
        </w:rPr>
        <w:t xml:space="preserve">144 · Berna.</w:t>
      </w:r>
      <w:r>
        <w:rPr>
          <w:rFonts w:ascii="Barlow Semi Condensed" w:cs="Barlow Semi Condensed" w:eastAsia="Barlow Semi Condensed" w:hAnsi="Barlow Semi Condensed"/>
          <w:sz w:val="24"/>
          <w:szCs w:val="24"/>
        </w:rPr>
        <w:t xml:space="preserve"> Gli archivi federali svizzeri per le vicende del caso che toccano la Confederazione — le posizioni dei condannati riparati oltralpe documentate nel corpus: atti amministrativi, decisioni sulle estradizioni, carteggi con Roma. La Svizzera è un archivio ordinato per vocazione: la richiesta ben formulata ha buone probabilità di risposta esatta.</w:t>
      </w:r>
    </w:p>
    <w:p>
      <w:pPr>
        <w:spacing w:after="120" w:line="276"/>
        <w:jc w:val="both"/>
      </w:pPr>
      <w:r>
        <w:rPr>
          <w:rFonts w:ascii="Barlow Semi Condensed" w:cs="Barlow Semi Condensed" w:eastAsia="Barlow Semi Condensed" w:hAnsi="Barlow Semi Condensed"/>
          <w:b/>
          <w:bCs/>
          <w:sz w:val="24"/>
          <w:szCs w:val="24"/>
        </w:rPr>
        <w:t xml:space="preserve">145 · Le carte vaticane.</w:t>
      </w:r>
      <w:r>
        <w:rPr>
          <w:rFonts w:ascii="Barlow Semi Condensed" w:cs="Barlow Semi Condensed" w:eastAsia="Barlow Semi Condensed" w:hAnsi="Barlow Semi Condensed"/>
          <w:sz w:val="24"/>
          <w:szCs w:val="24"/>
        </w:rPr>
        <w:t xml:space="preserve"> L'accertamento formale dello stato di apertura degli archivi della Santa Sede per il pontificato di Paolo VI: quale documentazione del 1978 sia già consultabile, quale attenda l'apertura del pontificato, e quali serie parallele (le sezioni della Segreteria di Stato) abbiano calendari propri. Il quesito 11 dipende da questo calendario più che da ogni altra cosa.</w:t>
      </w:r>
    </w:p>
    <w:p>
      <w:pPr>
        <w:spacing w:after="120" w:line="276"/>
        <w:jc w:val="both"/>
      </w:pPr>
      <w:r>
        <w:rPr>
          <w:rFonts w:ascii="Barlow Semi Condensed" w:cs="Barlow Semi Condensed" w:eastAsia="Barlow Semi Condensed" w:hAnsi="Barlow Semi Condensed"/>
          <w:b/>
          <w:bCs/>
          <w:sz w:val="24"/>
          <w:szCs w:val="24"/>
        </w:rPr>
        <w:t xml:space="preserve">146 · Brescia.</w:t>
      </w:r>
      <w:r>
        <w:rPr>
          <w:rFonts w:ascii="Barlow Semi Condensed" w:cs="Barlow Semi Condensed" w:eastAsia="Barlow Semi Condensed" w:hAnsi="Barlow Semi Condensed"/>
          <w:sz w:val="24"/>
          <w:szCs w:val="24"/>
        </w:rPr>
        <w:t xml:space="preserve"> L'Istituto Paolo VI e gli istituti collegati alla memoria montiniana: il censimento delle carte del 1978 — carteggi, memorie, materiali sulla lettera agli «uomini delle Brigate rosse» e sui 55 giorni — e delle condizioni d'accesso. La via studiosa agli archivi ecclesiastici passa per gli istituti, prima che per i dicasteri.</w:t>
      </w:r>
    </w:p>
    <w:p>
      <w:pPr>
        <w:spacing w:after="120" w:line="276"/>
        <w:jc w:val="both"/>
      </w:pPr>
      <w:r>
        <w:rPr>
          <w:rFonts w:ascii="Barlow Semi Condensed" w:cs="Barlow Semi Condensed" w:eastAsia="Barlow Semi Condensed" w:hAnsi="Barlow Semi Condensed"/>
          <w:b/>
          <w:bCs/>
          <w:sz w:val="24"/>
          <w:szCs w:val="24"/>
        </w:rPr>
        <w:t xml:space="preserve">147 · Le carte del cappellano.</w:t>
      </w:r>
      <w:r>
        <w:rPr>
          <w:rFonts w:ascii="Barlow Semi Condensed" w:cs="Barlow Semi Condensed" w:eastAsia="Barlow Semi Condensed" w:hAnsi="Barlow Semi Condensed"/>
          <w:sz w:val="24"/>
          <w:szCs w:val="24"/>
        </w:rPr>
        <w:t xml:space="preserve"> Le carte di e su don Cesare Curioni — l'incaricato del canale documentato dal corpus: l'accertamento di dove giacciano (ordini, diocesi, eredi, istituti) e la proposta di inventario o deposito. L'uomo che portò gli incarichi più delicati dei 55 giorni lasciò necessariamente carta; trovarla è un bersaglio in sé.</w:t>
      </w:r>
    </w:p>
    <w:p>
      <w:pPr>
        <w:spacing w:after="120" w:line="276"/>
        <w:jc w:val="both"/>
      </w:pPr>
      <w:r>
        <w:rPr>
          <w:rFonts w:ascii="Barlow Semi Condensed" w:cs="Barlow Semi Condensed" w:eastAsia="Barlow Semi Condensed" w:hAnsi="Barlow Semi Condensed"/>
          <w:b/>
          <w:bCs/>
          <w:sz w:val="24"/>
          <w:szCs w:val="24"/>
        </w:rPr>
        <w:t xml:space="preserve">148 · Gli altri alleati.</w:t>
      </w:r>
      <w:r>
        <w:rPr>
          <w:rFonts w:ascii="Barlow Semi Condensed" w:cs="Barlow Semi Condensed" w:eastAsia="Barlow Semi Condensed" w:hAnsi="Barlow Semi Condensed"/>
          <w:sz w:val="24"/>
          <w:szCs w:val="24"/>
        </w:rPr>
        <w:t xml:space="preserve"> Gli archivi degli altri paesi osservatori — con la stessa griglia essenziale: serie diplomatiche del 1978, stato di apertura, via d'accesso. La tavola si costruisce paese per paese senza gerarchie presunte: il cablo decisivo può giacere in una capitale che nessuna ricostruzione ha mai considerato.</w:t>
      </w:r>
    </w:p>
    <w:p>
      <w:pPr>
        <w:spacing w:after="120" w:line="276"/>
        <w:jc w:val="both"/>
      </w:pPr>
      <w:r>
        <w:rPr>
          <w:rFonts w:ascii="Barlow Semi Condensed" w:cs="Barlow Semi Condensed" w:eastAsia="Barlow Semi Condensed" w:hAnsi="Barlow Semi Condensed"/>
          <w:b/>
          <w:bCs/>
          <w:sz w:val="24"/>
          <w:szCs w:val="24"/>
        </w:rPr>
        <w:t xml:space="preserve">149 · Le rogatorie della conoscenza.</w:t>
      </w:r>
      <w:r>
        <w:rPr>
          <w:rFonts w:ascii="Barlow Semi Condensed" w:cs="Barlow Semi Condensed" w:eastAsia="Barlow Semi Condensed" w:hAnsi="Barlow Semi Condensed"/>
          <w:sz w:val="24"/>
          <w:szCs w:val="24"/>
        </w:rPr>
        <w:t xml:space="preserve"> Per gli atti esteri che una richiesta archivistica non può raggiungere: la via delle rogatorie e della cooperazione giudiziaria, nei limiti e nelle forme che il fascicolo romano e le autorità competenti stabiliscano. L'agenda propone e documenta; la titolarità resta dove la legge la pone (blocco 291).</w:t>
      </w:r>
    </w:p>
    <w:p>
      <w:pPr>
        <w:spacing w:after="120" w:line="276"/>
        <w:jc w:val="both"/>
      </w:pPr>
      <w:r>
        <w:rPr>
          <w:rFonts w:ascii="Barlow Semi Condensed" w:cs="Barlow Semi Condensed" w:eastAsia="Barlow Semi Condensed" w:hAnsi="Barlow Semi Condensed"/>
          <w:b/>
          <w:bCs/>
          <w:sz w:val="24"/>
          <w:szCs w:val="24"/>
        </w:rPr>
        <w:t xml:space="preserve">150 · La contabilità estera.</w:t>
      </w:r>
      <w:r>
        <w:rPr>
          <w:rFonts w:ascii="Barlow Semi Condensed" w:cs="Barlow Semi Condensed" w:eastAsia="Barlow Semi Condensed" w:hAnsi="Barlow Semi Condensed"/>
          <w:sz w:val="24"/>
          <w:szCs w:val="24"/>
        </w:rPr>
        <w:t xml:space="preserve"> Ogni richiesta internazionale — FOIA, MDR, FOI, istanze archivistiche — entra nel registro delle richieste (259) con la sua colonna dei tempi: gli archivi esteri rispondono in mesi o anni, e l'agenda pianifica su quei tempi invece di subirli. La pazienza organizzata è una tecnica, non una virtù.</w:t>
      </w:r>
    </w:p>
    <w:p>
      <w:pPr>
        <w:spacing w:after="120" w:line="276"/>
        <w:jc w:val="both"/>
      </w:pPr>
      <w:r>
        <w:rPr>
          <w:rFonts w:ascii="Barlow Semi Condensed" w:cs="Barlow Semi Condensed" w:eastAsia="Barlow Semi Condensed" w:hAnsi="Barlow Semi Condensed"/>
          <w:b/>
          <w:bCs/>
          <w:sz w:val="24"/>
          <w:szCs w:val="24"/>
        </w:rPr>
        <w:t xml:space="preserve">151 · La lettura disciplinata.</w:t>
      </w:r>
      <w:r>
        <w:rPr>
          <w:rFonts w:ascii="Barlow Semi Condensed" w:cs="Barlow Semi Condensed" w:eastAsia="Barlow Semi Condensed" w:hAnsi="Barlow Semi Condensed"/>
          <w:sz w:val="24"/>
          <w:szCs w:val="24"/>
        </w:rPr>
        <w:t xml:space="preserve"> Ogni documento estero acquisito entra col suo statuto epistemico: un dispaccio è ciò che una sede riferì, non ciò che accadde; una valutazione d'intelligence è un'ipotesi di servizio, non un accertamento. Il grado segue la natura dell'atto — e la tentazione di promuovere l'esotico a rivelazione è un bias censito dal manuale.</w:t>
      </w:r>
    </w:p>
    <w:p>
      <w:pPr>
        <w:spacing w:after="120" w:line="276"/>
        <w:jc w:val="both"/>
      </w:pPr>
      <w:r>
        <w:rPr>
          <w:rFonts w:ascii="Barlow Semi Condensed" w:cs="Barlow Semi Condensed" w:eastAsia="Barlow Semi Condensed" w:hAnsi="Barlow Semi Condensed"/>
          <w:b/>
          <w:bCs/>
          <w:sz w:val="24"/>
          <w:szCs w:val="24"/>
        </w:rPr>
        <w:t xml:space="preserve">152 · Chi ha già scavato.</w:t>
      </w:r>
      <w:r>
        <w:rPr>
          <w:rFonts w:ascii="Barlow Semi Condensed" w:cs="Barlow Semi Condensed" w:eastAsia="Barlow Semi Condensed" w:hAnsi="Barlow Semi Condensed"/>
          <w:sz w:val="24"/>
          <w:szCs w:val="24"/>
        </w:rPr>
        <w:t xml:space="preserve"> Il censimento della letteratura storica fondata su archivi esteri per il caso: quali studiosi hanno già letto quali serie, con quali segnature citate. La storiografia è una mappa di scavo: l'agenda non rifà gli scavi altrui — li verifica a campione e riparte dal primo scaffale non ancora letto.</w:t>
      </w:r>
    </w:p>
    <w:p>
      <w:pPr>
        <w:spacing w:after="120" w:line="276"/>
        <w:jc w:val="both"/>
      </w:pPr>
      <w:r>
        <w:rPr>
          <w:rFonts w:ascii="Barlow Semi Condensed" w:cs="Barlow Semi Condensed" w:eastAsia="Barlow Semi Condensed" w:hAnsi="Barlow Semi Condensed"/>
          <w:b/>
          <w:bCs/>
          <w:sz w:val="24"/>
          <w:szCs w:val="24"/>
        </w:rPr>
        <w:t xml:space="preserve">153 · Lo stesso giorno, due capitali.</w:t>
      </w:r>
      <w:r>
        <w:rPr>
          <w:rFonts w:ascii="Barlow Semi Condensed" w:cs="Barlow Semi Condensed" w:eastAsia="Barlow Semi Condensed" w:hAnsi="Barlow Semi Condensed"/>
          <w:sz w:val="24"/>
          <w:szCs w:val="24"/>
        </w:rPr>
        <w:t xml:space="preserve"> La collazione bilaterale sistematica: per le giornate chiave dei 55 giorni, che cosa riferì ciascuna capitale — Washington, Londra, Parigi, Bonn — e dove i resoconti divergono. La tavola delle divergenze è il prodotto: ogni divergenza è o un errore di una sede o un'informazione che una sola sede aveva.</w:t>
      </w:r>
    </w:p>
    <w:p>
      <w:pPr>
        <w:spacing w:after="120" w:line="276"/>
        <w:jc w:val="both"/>
      </w:pPr>
      <w:r>
        <w:rPr>
          <w:rFonts w:ascii="Barlow Semi Condensed" w:cs="Barlow Semi Condensed" w:eastAsia="Barlow Semi Condensed" w:hAnsi="Barlow Semi Condensed"/>
          <w:b/>
          <w:bCs/>
          <w:sz w:val="24"/>
          <w:szCs w:val="24"/>
        </w:rPr>
        <w:t xml:space="preserve">154 · Il calendario delle aperture estere.</w:t>
      </w:r>
      <w:r>
        <w:rPr>
          <w:rFonts w:ascii="Barlow Semi Condensed" w:cs="Barlow Semi Condensed" w:eastAsia="Barlow Semi Condensed" w:hAnsi="Barlow Semi Condensed"/>
          <w:sz w:val="24"/>
          <w:szCs w:val="24"/>
        </w:rPr>
        <w:t xml:space="preserve"> La tavola unica delle scadenze: quali serie si aprono automaticamente e quando, quali dipendono da richieste, quali da decisioni politiche. Il blocco alimenta il motore delle scadenze del manuale: l'agenda si ripresenta a ogni sportello nel giorno in cui lo sportello apre.</w:t>
      </w:r>
    </w:p>
    <w:p>
      <w:pPr>
        <w:spacing w:after="120" w:line="276"/>
        <w:jc w:val="both"/>
      </w:pPr>
      <w:r>
        <w:rPr>
          <w:rFonts w:ascii="Barlow Semi Condensed" w:cs="Barlow Semi Condensed" w:eastAsia="Barlow Semi Condensed" w:hAnsi="Barlow Semi Condensed"/>
          <w:b/>
          <w:bCs/>
          <w:sz w:val="24"/>
          <w:szCs w:val="24"/>
        </w:rPr>
        <w:t xml:space="preserve">155 · La tavola del giacimento estero.</w:t>
      </w:r>
      <w:r>
        <w:rPr>
          <w:rFonts w:ascii="Barlow Semi Condensed" w:cs="Barlow Semi Condensed" w:eastAsia="Barlow Semi Condensed" w:hAnsi="Barlow Semi Condensed"/>
          <w:sz w:val="24"/>
          <w:szCs w:val="24"/>
        </w:rPr>
        <w:t xml:space="preserve"> La chiusura della serie: la tavola dei giacimenti internazionali — paese, istituto, serie, stato di apertura, stato di spoglio, richieste pendenti — mantenuta viva accanto alla gemella nazionale (blocco 45). Gli occhi degli altri, censiti: è la parte del caso che il tempo lavora a favore dell'agenda.</w:t>
      </w:r>
    </w:p>
    <w:p>
      <w:pPr>
        <w:pStyle w:val="Heading2"/>
        <w:spacing w:after="100" w:before="200"/>
      </w:pPr>
      <w:r>
        <w:rPr>
          <w:rFonts w:ascii="Barlow Semi Condensed" w:cs="Barlow Semi Condensed" w:eastAsia="Barlow Semi Condensed" w:hAnsi="Barlow Semi Condensed"/>
          <w:sz w:val="24"/>
          <w:szCs w:val="24"/>
        </w:rPr>
        <w:t xml:space="preserve">Serie settima — Le carte private e di partito (blocchi 156-180)</w:t>
      </w:r>
    </w:p>
    <w:p>
      <w:pPr>
        <w:spacing w:after="120" w:line="276"/>
        <w:jc w:val="both"/>
      </w:pPr>
      <w:r>
        <w:rPr>
          <w:rFonts w:ascii="Barlow Semi Condensed" w:cs="Barlow Semi Condensed" w:eastAsia="Barlow Semi Condensed" w:hAnsi="Barlow Semi Condensed"/>
          <w:i/>
          <w:iCs/>
          <w:sz w:val="24"/>
          <w:szCs w:val="24"/>
        </w:rPr>
        <w:t xml:space="preserve">Statuto della serie: la memoria non dovuta. Le carte private — dei protagonisti, dei partiti, dei cronisti — non sono dovute a nessuno: si ottengono per fiducia, si citano per gratitudine e si leggono con una disciplina propria, perché un diario è la voce di chi lo scrisse e non il verbale di ciò che accadde. La serie censisce i fondi, propone i depositi e fissa le regole di lettura; ogni sede indicata come bersaglio va accertata presso l'istituto prima della campagna.</w:t>
      </w:r>
    </w:p>
    <w:p>
      <w:pPr>
        <w:spacing w:after="120" w:line="276"/>
        <w:jc w:val="both"/>
      </w:pPr>
      <w:r>
        <w:rPr>
          <w:rFonts w:ascii="Barlow Semi Condensed" w:cs="Barlow Semi Condensed" w:eastAsia="Barlow Semi Condensed" w:hAnsi="Barlow Semi Condensed"/>
          <w:b/>
          <w:bCs/>
          <w:sz w:val="24"/>
          <w:szCs w:val="24"/>
        </w:rPr>
        <w:t xml:space="preserve">156 · Il principio del deposito.</w:t>
      </w:r>
      <w:r>
        <w:rPr>
          <w:rFonts w:ascii="Barlow Semi Condensed" w:cs="Barlow Semi Condensed" w:eastAsia="Barlow Semi Condensed" w:hAnsi="Barlow Semi Condensed"/>
          <w:sz w:val="24"/>
          <w:szCs w:val="24"/>
        </w:rPr>
        <w:t xml:space="preserve"> Le carte private entrano nel caso solo per atto volontario del depositario: inventario, copia o deposito presso un istituto conservatore, alle condizioni di chi consegna. L'agenda non espropria memoria: la accoglie, la protegge e la rende citabile — ed è per questo che riceve ciò che nessuna autorità potrebbe esigere.</w:t>
      </w:r>
    </w:p>
    <w:p>
      <w:pPr>
        <w:spacing w:after="120" w:line="276"/>
        <w:jc w:val="both"/>
      </w:pPr>
      <w:r>
        <w:rPr>
          <w:rFonts w:ascii="Barlow Semi Condensed" w:cs="Barlow Semi Condensed" w:eastAsia="Barlow Semi Condensed" w:hAnsi="Barlow Semi Condensed"/>
          <w:b/>
          <w:bCs/>
          <w:sz w:val="24"/>
          <w:szCs w:val="24"/>
        </w:rPr>
        <w:t xml:space="preserve">157 · Le carte dell'uomo.</w:t>
      </w:r>
      <w:r>
        <w:rPr>
          <w:rFonts w:ascii="Barlow Semi Condensed" w:cs="Barlow Semi Condensed" w:eastAsia="Barlow Semi Condensed" w:hAnsi="Barlow Semi Condensed"/>
          <w:sz w:val="24"/>
          <w:szCs w:val="24"/>
        </w:rPr>
        <w:t xml:space="preserve"> Il censimento delle carte personali di Aldo Moro: quali fondi esistono, presso quali istituti e con quali perimetri — le carte dello statista, quelle del docente, quelle sequestrate e restituite nei decenni giudiziari. Il caso ha al centro un archivio d'autore: sapere esattamente dove sia, pezzo per pezzo, è un bersaglio primario.</w:t>
      </w:r>
    </w:p>
    <w:p>
      <w:pPr>
        <w:spacing w:after="120" w:line="276"/>
        <w:jc w:val="both"/>
      </w:pPr>
      <w:r>
        <w:rPr>
          <w:rFonts w:ascii="Barlow Semi Condensed" w:cs="Barlow Semi Condensed" w:eastAsia="Barlow Semi Condensed" w:hAnsi="Barlow Semi Condensed"/>
          <w:b/>
          <w:bCs/>
          <w:sz w:val="24"/>
          <w:szCs w:val="24"/>
        </w:rPr>
        <w:t xml:space="preserve">158 · L'opera edita e da edire.</w:t>
      </w:r>
      <w:r>
        <w:rPr>
          <w:rFonts w:ascii="Barlow Semi Condensed" w:cs="Barlow Semi Condensed" w:eastAsia="Barlow Semi Condensed" w:hAnsi="Barlow Semi Condensed"/>
          <w:sz w:val="24"/>
          <w:szCs w:val="24"/>
        </w:rPr>
        <w:t xml:space="preserve"> Lo stato delle edizioni delle lettere e degli scritti di Moro — che cosa è edito criticamente, che cosa è edito senza apparato, che cosa è inedito: la tavola dell'opera con i suoi vuoti. La filologia del quesito 9 poggia su edizioni affidabili; dove mancano, l'agenda le segnala come cantiere alla comunità degli studiosi.</w:t>
      </w:r>
    </w:p>
    <w:p>
      <w:pPr>
        <w:spacing w:after="120" w:line="276"/>
        <w:jc w:val="both"/>
      </w:pPr>
      <w:r>
        <w:rPr>
          <w:rFonts w:ascii="Barlow Semi Condensed" w:cs="Barlow Semi Condensed" w:eastAsia="Barlow Semi Condensed" w:hAnsi="Barlow Semi Condensed"/>
          <w:b/>
          <w:bCs/>
          <w:sz w:val="24"/>
          <w:szCs w:val="24"/>
        </w:rPr>
        <w:t xml:space="preserve">159 · La famiglia.</w:t>
      </w:r>
      <w:r>
        <w:rPr>
          <w:rFonts w:ascii="Barlow Semi Condensed" w:cs="Barlow Semi Condensed" w:eastAsia="Barlow Semi Condensed" w:hAnsi="Barlow Semi Condensed"/>
          <w:sz w:val="24"/>
          <w:szCs w:val="24"/>
        </w:rPr>
        <w:t xml:space="preserve"> Il rapporto con gli eredi Moro: proposta rispettosa di inventario e tutela delle carte familiari, ai loro tempi e alle loro condizioni, con la priorità di rispetto del blocco 288. Ciò che la famiglia ha custodito per mezzo secolo non è un giacimento da spogliare: è una memoria da servire — e la distinzione governa ogni contatto.</w:t>
      </w:r>
    </w:p>
    <w:p>
      <w:pPr>
        <w:spacing w:after="120" w:line="276"/>
        <w:jc w:val="both"/>
      </w:pPr>
      <w:r>
        <w:rPr>
          <w:rFonts w:ascii="Barlow Semi Condensed" w:cs="Barlow Semi Condensed" w:eastAsia="Barlow Semi Condensed" w:hAnsi="Barlow Semi Condensed"/>
          <w:b/>
          <w:bCs/>
          <w:sz w:val="24"/>
          <w:szCs w:val="24"/>
        </w:rPr>
        <w:t xml:space="preserve">160 · Le carte del Divo.</w:t>
      </w:r>
      <w:r>
        <w:rPr>
          <w:rFonts w:ascii="Barlow Semi Condensed" w:cs="Barlow Semi Condensed" w:eastAsia="Barlow Semi Condensed" w:hAnsi="Barlow Semi Condensed"/>
          <w:sz w:val="24"/>
          <w:szCs w:val="24"/>
        </w:rPr>
        <w:t xml:space="preserve"> L'archivio di Giulio Andreotti: l'accertamento della sede, dell'inventario e delle serie sul 1978 — la presidenza del Consiglio dei 55 giorni vista dalle carte del suo presidente. Lo spoglio con la griglia dei quesiti costitutivi: i comitati, le decisioni della fermezza, i canali riservati.</w:t>
      </w:r>
    </w:p>
    <w:p>
      <w:pPr>
        <w:spacing w:after="120" w:line="276"/>
        <w:jc w:val="both"/>
      </w:pPr>
      <w:r>
        <w:rPr>
          <w:rFonts w:ascii="Barlow Semi Condensed" w:cs="Barlow Semi Condensed" w:eastAsia="Barlow Semi Condensed" w:hAnsi="Barlow Semi Condensed"/>
          <w:b/>
          <w:bCs/>
          <w:sz w:val="24"/>
          <w:szCs w:val="24"/>
        </w:rPr>
        <w:t xml:space="preserve">161 · Le carte del ministro dell'Interno.</w:t>
      </w:r>
      <w:r>
        <w:rPr>
          <w:rFonts w:ascii="Barlow Semi Condensed" w:cs="Barlow Semi Condensed" w:eastAsia="Barlow Semi Condensed" w:hAnsi="Barlow Semi Condensed"/>
          <w:sz w:val="24"/>
          <w:szCs w:val="24"/>
        </w:rPr>
        <w:t xml:space="preserve"> Le carte private di Francesco Cossiga: l'accertamento di dove giacciano — istituti, fondazioni, archivi di Stato — e del loro stato d'ordinamento e apertura. L'uomo del Viminale del 1978 scrisse e parlò per decenni del caso: la collazione fra le sue carte, le sue audizioni e i suoi libri è un bersaglio filologico a sé (blocco 170).</w:t>
      </w:r>
    </w:p>
    <w:p>
      <w:pPr>
        <w:spacing w:after="120" w:line="276"/>
        <w:jc w:val="both"/>
      </w:pPr>
      <w:r>
        <w:rPr>
          <w:rFonts w:ascii="Barlow Semi Condensed" w:cs="Barlow Semi Condensed" w:eastAsia="Barlow Semi Condensed" w:hAnsi="Barlow Semi Condensed"/>
          <w:b/>
          <w:bCs/>
          <w:sz w:val="24"/>
          <w:szCs w:val="24"/>
        </w:rPr>
        <w:t xml:space="preserve">162 · Le carte del presidente del partito.</w:t>
      </w:r>
      <w:r>
        <w:rPr>
          <w:rFonts w:ascii="Barlow Semi Condensed" w:cs="Barlow Semi Condensed" w:eastAsia="Barlow Semi Condensed" w:hAnsi="Barlow Semi Condensed"/>
          <w:sz w:val="24"/>
          <w:szCs w:val="24"/>
        </w:rPr>
        <w:t xml:space="preserve"> Le carte di Amintore Fanfani: accertamento della sede e spoglio delle serie del 1978 — la trattativa vista dal vertice della DC che il memoriale e le lettere chiamano in causa. Con la solita disciplina: le carte dicono ciò che l'autore volle scrivere; il grado segue la natura dell'atto.</w:t>
      </w:r>
    </w:p>
    <w:p>
      <w:pPr>
        <w:spacing w:after="120" w:line="276"/>
        <w:jc w:val="both"/>
      </w:pPr>
      <w:r>
        <w:rPr>
          <w:rFonts w:ascii="Barlow Semi Condensed" w:cs="Barlow Semi Condensed" w:eastAsia="Barlow Semi Condensed" w:hAnsi="Barlow Semi Condensed"/>
          <w:b/>
          <w:bCs/>
          <w:sz w:val="24"/>
          <w:szCs w:val="24"/>
        </w:rPr>
        <w:t xml:space="preserve">163 · Le carte del segretario.</w:t>
      </w:r>
      <w:r>
        <w:rPr>
          <w:rFonts w:ascii="Barlow Semi Condensed" w:cs="Barlow Semi Condensed" w:eastAsia="Barlow Semi Condensed" w:hAnsi="Barlow Semi Condensed"/>
          <w:sz w:val="24"/>
          <w:szCs w:val="24"/>
        </w:rPr>
        <w:t xml:space="preserve"> Le carte di Benigno Zaccagnini: accertamento e spoglio per i 55 giorni — il segretario della DC destinatario delle lettere più laceranti. La linea della fermezza vista da chi la incarnò nel partito del prigioniero: un punto di osservazione che nessun archivio pubblico può restituire.</w:t>
      </w:r>
    </w:p>
    <w:p>
      <w:pPr>
        <w:spacing w:after="120" w:line="276"/>
        <w:jc w:val="both"/>
      </w:pPr>
      <w:r>
        <w:rPr>
          <w:rFonts w:ascii="Barlow Semi Condensed" w:cs="Barlow Semi Condensed" w:eastAsia="Barlow Semi Condensed" w:hAnsi="Barlow Semi Condensed"/>
          <w:b/>
          <w:bCs/>
          <w:sz w:val="24"/>
          <w:szCs w:val="24"/>
        </w:rPr>
        <w:t xml:space="preserve">164 · Le carte dell'opposizione interna.</w:t>
      </w:r>
      <w:r>
        <w:rPr>
          <w:rFonts w:ascii="Barlow Semi Condensed" w:cs="Barlow Semi Condensed" w:eastAsia="Barlow Semi Condensed" w:hAnsi="Barlow Semi Condensed"/>
          <w:sz w:val="24"/>
          <w:szCs w:val="24"/>
        </w:rPr>
        <w:t xml:space="preserve"> Le carte di Bettino Craxi e del gruppo dirigente socialista: la linea della trattativa nelle carte del partito che la propose. L'accertamento della sede (la fondazione che ne conserva l'archivio) e lo spoglio del fascicolo 1978: iniziative, canali esplorati, contatti documentati.</w:t>
      </w:r>
    </w:p>
    <w:p>
      <w:pPr>
        <w:spacing w:after="120" w:line="276"/>
        <w:jc w:val="both"/>
      </w:pPr>
      <w:r>
        <w:rPr>
          <w:rFonts w:ascii="Barlow Semi Condensed" w:cs="Barlow Semi Condensed" w:eastAsia="Barlow Semi Condensed" w:hAnsi="Barlow Semi Condensed"/>
          <w:b/>
          <w:bCs/>
          <w:sz w:val="24"/>
          <w:szCs w:val="24"/>
        </w:rPr>
        <w:t xml:space="preserve">165 · L'archivio della Balena bianca.</w:t>
      </w:r>
      <w:r>
        <w:rPr>
          <w:rFonts w:ascii="Barlow Semi Condensed" w:cs="Barlow Semi Condensed" w:eastAsia="Barlow Semi Condensed" w:hAnsi="Barlow Semi Condensed"/>
          <w:sz w:val="24"/>
          <w:szCs w:val="24"/>
        </w:rPr>
        <w:t xml:space="preserve"> L'archivio storico della Democrazia cristiana: accertamento della sede e spoglio delle serie 1978 — direzione, segreteria politica, carteggi. Il partito di Moro produsse carta collettiva nei 55 giorni: verbali di direzione, comunicati, appunti interni — la controparte documentale delle memorie individuali.</w:t>
      </w:r>
    </w:p>
    <w:p>
      <w:pPr>
        <w:spacing w:after="120" w:line="276"/>
        <w:jc w:val="both"/>
      </w:pPr>
      <w:r>
        <w:rPr>
          <w:rFonts w:ascii="Barlow Semi Condensed" w:cs="Barlow Semi Condensed" w:eastAsia="Barlow Semi Condensed" w:hAnsi="Barlow Semi Condensed"/>
          <w:b/>
          <w:bCs/>
          <w:sz w:val="24"/>
          <w:szCs w:val="24"/>
        </w:rPr>
        <w:t xml:space="preserve">166 · Le carte di Botteghe Oscure.</w:t>
      </w:r>
      <w:r>
        <w:rPr>
          <w:rFonts w:ascii="Barlow Semi Condensed" w:cs="Barlow Semi Condensed" w:eastAsia="Barlow Semi Condensed" w:hAnsi="Barlow Semi Condensed"/>
          <w:sz w:val="24"/>
          <w:szCs w:val="24"/>
        </w:rPr>
        <w:t xml:space="preserve"> L'archivio del PCI: le serie del 1978 — direzione, segreteria, sezione problemi dello Stato — per la linea della fermezza vista dal secondo partito della solidarietà nazionale. Accertamento della sede di conservazione e spoglio con griglia: che cosa il partito sapeva, discuteva e decideva mentre lo Stato cercava.</w:t>
      </w:r>
    </w:p>
    <w:p>
      <w:pPr>
        <w:spacing w:after="120" w:line="276"/>
        <w:jc w:val="both"/>
      </w:pPr>
      <w:r>
        <w:rPr>
          <w:rFonts w:ascii="Barlow Semi Condensed" w:cs="Barlow Semi Condensed" w:eastAsia="Barlow Semi Condensed" w:hAnsi="Barlow Semi Condensed"/>
          <w:b/>
          <w:bCs/>
          <w:sz w:val="24"/>
          <w:szCs w:val="24"/>
        </w:rPr>
        <w:t xml:space="preserve">167 · Gli altri partiti.</w:t>
      </w:r>
      <w:r>
        <w:rPr>
          <w:rFonts w:ascii="Barlow Semi Condensed" w:cs="Barlow Semi Condensed" w:eastAsia="Barlow Semi Condensed" w:hAnsi="Barlow Semi Condensed"/>
          <w:sz w:val="24"/>
          <w:szCs w:val="24"/>
        </w:rPr>
        <w:t xml:space="preserve"> Il censimento degli archivi degli altri partiti dell'arco parlamentare del 1978 — socialdemocratici, repubblicani, liberali, la destra: per ciascuno, dove giace l'archivio e che cosa conserva sui 55 giorni. La tavola si compila anche quando l'esito è «archivio disperso»: la dispersione documentata è un dato.</w:t>
      </w:r>
    </w:p>
    <w:p>
      <w:pPr>
        <w:spacing w:after="120" w:line="276"/>
        <w:jc w:val="both"/>
      </w:pPr>
      <w:r>
        <w:rPr>
          <w:rFonts w:ascii="Barlow Semi Condensed" w:cs="Barlow Semi Condensed" w:eastAsia="Barlow Semi Condensed" w:hAnsi="Barlow Semi Condensed"/>
          <w:b/>
          <w:bCs/>
          <w:sz w:val="24"/>
          <w:szCs w:val="24"/>
        </w:rPr>
        <w:t xml:space="preserve">168 · Le carte dei dicasteri, per persona.</w:t>
      </w:r>
      <w:r>
        <w:rPr>
          <w:rFonts w:ascii="Barlow Semi Condensed" w:cs="Barlow Semi Condensed" w:eastAsia="Barlow Semi Condensed" w:hAnsi="Barlow Semi Condensed"/>
          <w:sz w:val="24"/>
          <w:szCs w:val="24"/>
        </w:rPr>
        <w:t xml:space="preserve"> Le carte private dei titolari dei dicasteri chiave del 1978 — Esteri, Difesa, Giustizia: censimento e accertamento fondo per fondo. Le carte d'ufficio stanno negli archivi di Stato; le annotazioni personali dei ministri — dove esistono e dove i depositari acconsentano — completano il quadro con ciò che l'ufficio non protocollò.</w:t>
      </w:r>
    </w:p>
    <w:p>
      <w:pPr>
        <w:spacing w:after="120" w:line="276"/>
        <w:jc w:val="both"/>
      </w:pPr>
      <w:r>
        <w:rPr>
          <w:rFonts w:ascii="Barlow Semi Condensed" w:cs="Barlow Semi Condensed" w:eastAsia="Barlow Semi Condensed" w:hAnsi="Barlow Semi Condensed"/>
          <w:b/>
          <w:bCs/>
          <w:sz w:val="24"/>
          <w:szCs w:val="24"/>
        </w:rPr>
        <w:t xml:space="preserve">169 · Le carte dei funzionari.</w:t>
      </w:r>
      <w:r>
        <w:rPr>
          <w:rFonts w:ascii="Barlow Semi Condensed" w:cs="Barlow Semi Condensed" w:eastAsia="Barlow Semi Condensed" w:hAnsi="Barlow Semi Condensed"/>
          <w:sz w:val="24"/>
          <w:szCs w:val="24"/>
        </w:rPr>
        <w:t xml:space="preserve"> La proposta sistematica di deposito per le carte private dei funzionari degli apparati del 1978 — prefetti, questori, dirigenti, ufficiali: appunti, agende, memorie. È il giacimento più fragile della serie: nessun obbligo lo protegge, e ogni successione ereditaria può disperderlo. L'appello del blocco 178 è il suo strumento.</w:t>
      </w:r>
    </w:p>
    <w:p>
      <w:pPr>
        <w:spacing w:after="120" w:line="276"/>
        <w:jc w:val="both"/>
      </w:pPr>
      <w:r>
        <w:rPr>
          <w:rFonts w:ascii="Barlow Semi Condensed" w:cs="Barlow Semi Condensed" w:eastAsia="Barlow Semi Condensed" w:hAnsi="Barlow Semi Condensed"/>
          <w:b/>
          <w:bCs/>
          <w:sz w:val="24"/>
          <w:szCs w:val="24"/>
        </w:rPr>
        <w:t xml:space="preserve">170 · I diari contro sé stessi.</w:t>
      </w:r>
      <w:r>
        <w:rPr>
          <w:rFonts w:ascii="Barlow Semi Condensed" w:cs="Barlow Semi Condensed" w:eastAsia="Barlow Semi Condensed" w:hAnsi="Barlow Semi Condensed"/>
          <w:sz w:val="24"/>
          <w:szCs w:val="24"/>
        </w:rPr>
        <w:t xml:space="preserve"> La collazione sistematica fra le memorie edite dei protagonisti e le loro carte private, dove accessibili: che cosa i libri dicono e i documenti coevi non confermano, e viceversa. La memorialistica del caso è vasta e interessata; la tavola delle divergenze fra il pubblicato e il coevo è un prodotto filologico di prima grandezza.</w:t>
      </w:r>
    </w:p>
    <w:p>
      <w:pPr>
        <w:spacing w:after="120" w:line="276"/>
        <w:jc w:val="both"/>
      </w:pPr>
      <w:r>
        <w:rPr>
          <w:rFonts w:ascii="Barlow Semi Condensed" w:cs="Barlow Semi Condensed" w:eastAsia="Barlow Semi Condensed" w:hAnsi="Barlow Semi Condensed"/>
          <w:b/>
          <w:bCs/>
          <w:sz w:val="24"/>
          <w:szCs w:val="24"/>
        </w:rPr>
        <w:t xml:space="preserve">171 · Le carte del giornalista ucciso.</w:t>
      </w:r>
      <w:r>
        <w:rPr>
          <w:rFonts w:ascii="Barlow Semi Condensed" w:cs="Barlow Semi Condensed" w:eastAsia="Barlow Semi Condensed" w:hAnsi="Barlow Semi Condensed"/>
          <w:sz w:val="24"/>
          <w:szCs w:val="24"/>
        </w:rPr>
        <w:t xml:space="preserve"> L'archivio di Mino Pecorelli e della sua agenzia OP: l'accertamento di dove giacciano le carte redazionali — sequestri giudiziari, eredi, istituti — e del loro stato di consultabilità. Il quesito è documentale e delimitato: che cosa l'agenzia scrisse e conservò sul caso nel 1978-1979, nei suoi atti, con le sue fonti dichiarate o meno.</w:t>
      </w:r>
    </w:p>
    <w:p>
      <w:pPr>
        <w:spacing w:after="120" w:line="276"/>
        <w:jc w:val="both"/>
      </w:pPr>
      <w:r>
        <w:rPr>
          <w:rFonts w:ascii="Barlow Semi Condensed" w:cs="Barlow Semi Condensed" w:eastAsia="Barlow Semi Condensed" w:hAnsi="Barlow Semi Condensed"/>
          <w:b/>
          <w:bCs/>
          <w:sz w:val="24"/>
          <w:szCs w:val="24"/>
        </w:rPr>
        <w:t xml:space="preserve">172 · Le carte dello scrittore.</w:t>
      </w:r>
      <w:r>
        <w:rPr>
          <w:rFonts w:ascii="Barlow Semi Condensed" w:cs="Barlow Semi Condensed" w:eastAsia="Barlow Semi Condensed" w:hAnsi="Barlow Semi Condensed"/>
          <w:sz w:val="24"/>
          <w:szCs w:val="24"/>
        </w:rPr>
        <w:t xml:space="preserve"> Le carte di Leonardo Sciascia intorno a «L'affaire Moro» e al lavoro nella prima Commissione: manoscritti, appunti, corrispondenza — l'accertamento presso gli istituti che ne conservano il lascito. Lo sguardo che per primo lesse le lettere come testi merita di essere studiato nei suoi materiali di lavoro.</w:t>
      </w:r>
    </w:p>
    <w:p>
      <w:pPr>
        <w:spacing w:after="120" w:line="276"/>
        <w:jc w:val="both"/>
      </w:pPr>
      <w:r>
        <w:rPr>
          <w:rFonts w:ascii="Barlow Semi Condensed" w:cs="Barlow Semi Condensed" w:eastAsia="Barlow Semi Condensed" w:hAnsi="Barlow Semi Condensed"/>
          <w:b/>
          <w:bCs/>
          <w:sz w:val="24"/>
          <w:szCs w:val="24"/>
        </w:rPr>
        <w:t xml:space="preserve">173 · I taccuini dei cronisti.</w:t>
      </w:r>
      <w:r>
        <w:rPr>
          <w:rFonts w:ascii="Barlow Semi Condensed" w:cs="Barlow Semi Condensed" w:eastAsia="Barlow Semi Condensed" w:hAnsi="Barlow Semi Condensed"/>
          <w:sz w:val="24"/>
          <w:szCs w:val="24"/>
        </w:rPr>
        <w:t xml:space="preserve"> I fondi dei giornalisti d'inchiesta del caso — taccuini, agende, registrazioni, carteggi con le fonti: censimento dei fondi già depositati e proposta di deposito per quelli ancora privati (il complemento documentale del blocco 115). Il giornalismo fu il secondo apparato di raccolta del 1978: il suo archivio sparso va riunito.</w:t>
      </w:r>
    </w:p>
    <w:p>
      <w:pPr>
        <w:spacing w:after="120" w:line="276"/>
        <w:jc w:val="both"/>
      </w:pPr>
      <w:r>
        <w:rPr>
          <w:rFonts w:ascii="Barlow Semi Condensed" w:cs="Barlow Semi Condensed" w:eastAsia="Barlow Semi Condensed" w:hAnsi="Barlow Semi Condensed"/>
          <w:b/>
          <w:bCs/>
          <w:sz w:val="24"/>
          <w:szCs w:val="24"/>
        </w:rPr>
        <w:t xml:space="preserve">174 · Le carte dei difensori.</w:t>
      </w:r>
      <w:r>
        <w:rPr>
          <w:rFonts w:ascii="Barlow Semi Condensed" w:cs="Barlow Semi Condensed" w:eastAsia="Barlow Semi Condensed" w:hAnsi="Barlow Semi Condensed"/>
          <w:sz w:val="24"/>
          <w:szCs w:val="24"/>
        </w:rPr>
        <w:t xml:space="preserve"> Gli archivi professionali degli avvocati dei processi del caso, nei limiti invalicabili del segreto: censimento di ciò che è depositabile — rassegne, atti pubblici annotati, corrispondenza non coperta — con la regola del blocco 118. Anche l'archivio di una difesa è un punto di vista documentale sul caso.</w:t>
      </w:r>
    </w:p>
    <w:p>
      <w:pPr>
        <w:spacing w:after="120" w:line="276"/>
        <w:jc w:val="both"/>
      </w:pPr>
      <w:r>
        <w:rPr>
          <w:rFonts w:ascii="Barlow Semi Condensed" w:cs="Barlow Semi Condensed" w:eastAsia="Barlow Semi Condensed" w:hAnsi="Barlow Semi Condensed"/>
          <w:b/>
          <w:bCs/>
          <w:sz w:val="24"/>
          <w:szCs w:val="24"/>
        </w:rPr>
        <w:t xml:space="preserve">175 · Le carte degli storici.</w:t>
      </w:r>
      <w:r>
        <w:rPr>
          <w:rFonts w:ascii="Barlow Semi Condensed" w:cs="Barlow Semi Condensed" w:eastAsia="Barlow Semi Condensed" w:hAnsi="Barlow Semi Condensed"/>
          <w:sz w:val="24"/>
          <w:szCs w:val="24"/>
        </w:rPr>
        <w:t xml:space="preserve"> I fondi di ricerca degli studiosi che hanno lavorato sul caso — schedature, riproduzioni, corrispondenze con archivi e testimoni: censimento e proposta di deposito. Ogni ricerca compiuta ha prodotto un archivio di lavoro; disperderli obbliga ogni generazione a ricominciare (l'antitesi del blocco 295).</w:t>
      </w:r>
    </w:p>
    <w:p>
      <w:pPr>
        <w:spacing w:after="120" w:line="276"/>
        <w:jc w:val="both"/>
      </w:pPr>
      <w:r>
        <w:rPr>
          <w:rFonts w:ascii="Barlow Semi Condensed" w:cs="Barlow Semi Condensed" w:eastAsia="Barlow Semi Condensed" w:hAnsi="Barlow Semi Condensed"/>
          <w:b/>
          <w:bCs/>
          <w:sz w:val="24"/>
          <w:szCs w:val="24"/>
        </w:rPr>
        <w:t xml:space="preserve">176 · I censimenti nazionali.</w:t>
      </w:r>
      <w:r>
        <w:rPr>
          <w:rFonts w:ascii="Barlow Semi Condensed" w:cs="Barlow Semi Condensed" w:eastAsia="Barlow Semi Condensed" w:hAnsi="Barlow Semi Condensed"/>
          <w:sz w:val="24"/>
          <w:szCs w:val="24"/>
        </w:rPr>
        <w:t xml:space="preserve"> L'interrogazione sistematica degli strumenti nazionali di censimento dei fondi privati — i sistemi informativi archivistici dello Stato e i portali tematici: quali fondi personali e d'istituto con carte sul caso vi risultino censiti, con quali consistenze. Prima si legge il censimento, poi si bussa alle porte: l'ordine fa la differenza.</w:t>
      </w:r>
    </w:p>
    <w:p>
      <w:pPr>
        <w:spacing w:after="120" w:line="276"/>
        <w:jc w:val="both"/>
      </w:pPr>
      <w:r>
        <w:rPr>
          <w:rFonts w:ascii="Barlow Semi Condensed" w:cs="Barlow Semi Condensed" w:eastAsia="Barlow Semi Condensed" w:hAnsi="Barlow Semi Condensed"/>
          <w:b/>
          <w:bCs/>
          <w:sz w:val="24"/>
          <w:szCs w:val="24"/>
        </w:rPr>
        <w:t xml:space="preserve">177 · La richiesta-tipo.</w:t>
      </w:r>
      <w:r>
        <w:rPr>
          <w:rFonts w:ascii="Barlow Semi Condensed" w:cs="Barlow Semi Condensed" w:eastAsia="Barlow Semi Condensed" w:hAnsi="Barlow Semi Condensed"/>
          <w:sz w:val="24"/>
          <w:szCs w:val="24"/>
        </w:rPr>
        <w:t xml:space="preserve"> Il modello pubblico di proposta ai depositari: che cosa l'agenda chiede (inventario, copia o deposito), che cosa garantisce (tutela, condizioni, citazione), che cosa non farà mai (uso contro la volontà del depositario, letture accusatorie di carte private). La trasparenza del modello è la migliore credenziale presso chi deve fidarsi.</w:t>
      </w:r>
    </w:p>
    <w:p>
      <w:pPr>
        <w:spacing w:after="120" w:line="276"/>
        <w:jc w:val="both"/>
      </w:pPr>
      <w:r>
        <w:rPr>
          <w:rFonts w:ascii="Barlow Semi Condensed" w:cs="Barlow Semi Condensed" w:eastAsia="Barlow Semi Condensed" w:hAnsi="Barlow Semi Condensed"/>
          <w:b/>
          <w:bCs/>
          <w:sz w:val="24"/>
          <w:szCs w:val="24"/>
        </w:rPr>
        <w:t xml:space="preserve">178 · L'appello dei solai.</w:t>
      </w:r>
      <w:r>
        <w:rPr>
          <w:rFonts w:ascii="Barlow Semi Condensed" w:cs="Barlow Semi Condensed" w:eastAsia="Barlow Semi Condensed" w:hAnsi="Barlow Semi Condensed"/>
          <w:sz w:val="24"/>
          <w:szCs w:val="24"/>
        </w:rPr>
        <w:t xml:space="preserve"> L'appello pubblico e permanente ai detentori inconsapevoli: agende, lettere, fotografie, carte d'ufficio portate a casa — mezzo secolo dopo, i solai delle famiglie contengono frammenti del caso che nessun censimento conosce. Ogni scatola segnalata si inventaria con gratitudine e disciplina; il blocco 117 ne è il protocollo.</w:t>
      </w:r>
    </w:p>
    <w:p>
      <w:pPr>
        <w:spacing w:after="120" w:line="276"/>
        <w:jc w:val="both"/>
      </w:pPr>
      <w:r>
        <w:rPr>
          <w:rFonts w:ascii="Barlow Semi Condensed" w:cs="Barlow Semi Condensed" w:eastAsia="Barlow Semi Condensed" w:hAnsi="Barlow Semi Condensed"/>
          <w:b/>
          <w:bCs/>
          <w:sz w:val="24"/>
          <w:szCs w:val="24"/>
        </w:rPr>
        <w:t xml:space="preserve">179 · La lettura del privato.</w:t>
      </w:r>
      <w:r>
        <w:rPr>
          <w:rFonts w:ascii="Barlow Semi Condensed" w:cs="Barlow Semi Condensed" w:eastAsia="Barlow Semi Condensed" w:hAnsi="Barlow Semi Condensed"/>
          <w:sz w:val="24"/>
          <w:szCs w:val="24"/>
        </w:rPr>
        <w:t xml:space="preserve"> La disciplina di lettura della serie, scolpita: una carta privata prova ciò che il suo autore scrisse e quando — non ciò che accadde. Il diario è grado F sul fatto della scrittura, C sul contenuto finché un riscontro esterno non lo corrobori; nessuna memoria privata, per quanto autorevole, sale di grado per il prestigio della firma.</w:t>
      </w:r>
    </w:p>
    <w:p>
      <w:pPr>
        <w:spacing w:after="120" w:line="276"/>
        <w:jc w:val="both"/>
      </w:pPr>
      <w:r>
        <w:rPr>
          <w:rFonts w:ascii="Barlow Semi Condensed" w:cs="Barlow Semi Condensed" w:eastAsia="Barlow Semi Condensed" w:hAnsi="Barlow Semi Condensed"/>
          <w:b/>
          <w:bCs/>
          <w:sz w:val="24"/>
          <w:szCs w:val="24"/>
        </w:rPr>
        <w:t xml:space="preserve">180 · La tavola dei fondi privati.</w:t>
      </w:r>
      <w:r>
        <w:rPr>
          <w:rFonts w:ascii="Barlow Semi Condensed" w:cs="Barlow Semi Condensed" w:eastAsia="Barlow Semi Condensed" w:hAnsi="Barlow Semi Condensed"/>
          <w:sz w:val="24"/>
          <w:szCs w:val="24"/>
        </w:rPr>
        <w:t xml:space="preserve"> La chiusura della serie: la tavola unica dei fondi privati e di partito — fondo, sede, stato d'accesso, stato di spoglio, referente — mantenuta accanto alle gemelle nazionale ed estera. La memoria non dovuta, una volta censita, diventa patrimonio: è il modo in cui un'agenda ripaga la fiducia.</w:t>
      </w:r>
    </w:p>
    <w:p>
      <w:pPr>
        <w:pStyle w:val="Heading2"/>
        <w:spacing w:after="100" w:before="200"/>
      </w:pPr>
      <w:r>
        <w:rPr>
          <w:rFonts w:ascii="Barlow Semi Condensed" w:cs="Barlow Semi Condensed" w:eastAsia="Barlow Semi Condensed" w:hAnsi="Barlow Semi Condensed"/>
          <w:sz w:val="24"/>
          <w:szCs w:val="24"/>
        </w:rPr>
        <w:t xml:space="preserve">Serie ottava — Le scienze nuove sui dati vecchi (blocchi 181-210)</w:t>
      </w:r>
    </w:p>
    <w:p>
      <w:pPr>
        <w:spacing w:after="120" w:line="276"/>
        <w:jc w:val="both"/>
      </w:pPr>
      <w:r>
        <w:rPr>
          <w:rFonts w:ascii="Barlow Semi Condensed" w:cs="Barlow Semi Condensed" w:eastAsia="Barlow Semi Condensed" w:hAnsi="Barlow Semi Condensed"/>
          <w:i/>
          <w:iCs/>
          <w:sz w:val="24"/>
          <w:szCs w:val="24"/>
        </w:rPr>
        <w:t xml:space="preserve">Statuto della serie: la domanda che il 1978 non poteva porre. Ogni progresso forense è una domanda nuova ponibile a un reperto vecchio — ma nessuna tecnica entra nel caso per entusiasmo: ogni blocco produce prima un parere di praticabilità (validazione scientifica, tasso d'errore noto, ammissibilità giuridica, stato del reperto) e solo poi, se il parere regge, l'esame. La serie è il ponte fra il cantiere dei reperti (serie quarta) e gli strumenti giuridici del manuale; la regola del manuale vale per ogni strumento: la macchina propone, l'uomo verbalizza.</w:t>
      </w:r>
    </w:p>
    <w:p>
      <w:pPr>
        <w:spacing w:after="120" w:line="276"/>
        <w:jc w:val="both"/>
      </w:pPr>
      <w:r>
        <w:rPr>
          <w:rFonts w:ascii="Barlow Semi Condensed" w:cs="Barlow Semi Condensed" w:eastAsia="Barlow Semi Condensed" w:hAnsi="Barlow Semi Condensed"/>
          <w:b/>
          <w:bCs/>
          <w:sz w:val="24"/>
          <w:szCs w:val="24"/>
        </w:rPr>
        <w:t xml:space="preserve">181 · Il tornello dei pareri.</w:t>
      </w:r>
      <w:r>
        <w:rPr>
          <w:rFonts w:ascii="Barlow Semi Condensed" w:cs="Barlow Semi Condensed" w:eastAsia="Barlow Semi Condensed" w:hAnsi="Barlow Semi Condensed"/>
          <w:sz w:val="24"/>
          <w:szCs w:val="24"/>
        </w:rPr>
        <w:t xml:space="preserve"> Nessuna tecnica si applica a un reperto del caso senza il suo parere di praticabilità scritto: che cosa la tecnica misura, con quale errore, su quale letteratura, con quale ammissibilità in sede penale italiana, con quale rischio di consumare il reperto. Il parere negativo è un esito: vieta bene, e per iscritto.</w:t>
      </w:r>
    </w:p>
    <w:p>
      <w:pPr>
        <w:spacing w:after="120" w:line="276"/>
        <w:jc w:val="both"/>
      </w:pPr>
      <w:r>
        <w:rPr>
          <w:rFonts w:ascii="Barlow Semi Condensed" w:cs="Barlow Semi Condensed" w:eastAsia="Barlow Semi Condensed" w:hAnsi="Barlow Semi Condensed"/>
          <w:b/>
          <w:bCs/>
          <w:sz w:val="24"/>
          <w:szCs w:val="24"/>
        </w:rPr>
        <w:t xml:space="preserve">182 · La banca dati del DNA.</w:t>
      </w:r>
      <w:r>
        <w:rPr>
          <w:rFonts w:ascii="Barlow Semi Condensed" w:cs="Barlow Semi Condensed" w:eastAsia="Barlow Semi Condensed" w:hAnsi="Barlow Semi Condensed"/>
          <w:sz w:val="24"/>
          <w:szCs w:val="24"/>
        </w:rPr>
        <w:t xml:space="preserve"> L'interrogazione dei profili del caso contro la banca dati nazionale del DNA (legge 30 giugno 2009, n. 85): verifica formale di quali profili storici siano inseribili e comparabili secondo il regolamento vigente, e interrogazione periodica documentata. La banca cresce ogni anno: ogni anno l'interrogazione è nuova.</w:t>
      </w:r>
    </w:p>
    <w:p>
      <w:pPr>
        <w:spacing w:after="120" w:line="276"/>
        <w:jc w:val="both"/>
      </w:pPr>
      <w:r>
        <w:rPr>
          <w:rFonts w:ascii="Barlow Semi Condensed" w:cs="Barlow Semi Condensed" w:eastAsia="Barlow Semi Condensed" w:hAnsi="Barlow Semi Condensed"/>
          <w:b/>
          <w:bCs/>
          <w:sz w:val="24"/>
          <w:szCs w:val="24"/>
        </w:rPr>
        <w:t xml:space="preserve">183 · La ricerca di parentela.</w:t>
      </w:r>
      <w:r>
        <w:rPr>
          <w:rFonts w:ascii="Barlow Semi Condensed" w:cs="Barlow Semi Condensed" w:eastAsia="Barlow Semi Condensed" w:hAnsi="Barlow Semi Condensed"/>
          <w:sz w:val="24"/>
          <w:szCs w:val="24"/>
        </w:rPr>
        <w:t xml:space="preserve"> Il parere sulla ricerca familiare (kinship search) nell'ordinamento italiano: se e in quali limiti i profili ignoti del caso possano essere confrontati per linee di parentela. Il blocco produce il quadro normativo aggiornato e la richiesta formale dove la via esista; dove non esista, lo dichiara — il limite di legge è un dato, non un ostacolo da aggirare.</w:t>
      </w:r>
    </w:p>
    <w:p>
      <w:pPr>
        <w:spacing w:after="120" w:line="276"/>
        <w:jc w:val="both"/>
      </w:pPr>
      <w:r>
        <w:rPr>
          <w:rFonts w:ascii="Barlow Semi Condensed" w:cs="Barlow Semi Condensed" w:eastAsia="Barlow Semi Condensed" w:hAnsi="Barlow Semi Condensed"/>
          <w:b/>
          <w:bCs/>
          <w:sz w:val="24"/>
          <w:szCs w:val="24"/>
        </w:rPr>
        <w:t xml:space="preserve">184 · La genealogia genetica.</w:t>
      </w:r>
      <w:r>
        <w:rPr>
          <w:rFonts w:ascii="Barlow Semi Condensed" w:cs="Barlow Semi Condensed" w:eastAsia="Barlow Semi Condensed" w:hAnsi="Barlow Semi Condensed"/>
          <w:sz w:val="24"/>
          <w:szCs w:val="24"/>
        </w:rPr>
        <w:t xml:space="preserve"> Il parere di praticabilità della genealogia genetica forense per i profili ignoti di via Fani e via Gradoli: lo stato della tecnica, i precedenti internazionali, la compatibilità col quadro italiano ed europeo sulla protezione dei dati, le garanzie procedurali necessarie. Prima il parere, poi — solo se il parere regge — il protocollo.</w:t>
      </w:r>
    </w:p>
    <w:p>
      <w:pPr>
        <w:spacing w:after="120" w:line="276"/>
        <w:jc w:val="both"/>
      </w:pPr>
      <w:r>
        <w:rPr>
          <w:rFonts w:ascii="Barlow Semi Condensed" w:cs="Barlow Semi Condensed" w:eastAsia="Barlow Semi Condensed" w:hAnsi="Barlow Semi Condensed"/>
          <w:b/>
          <w:bCs/>
          <w:sz w:val="24"/>
          <w:szCs w:val="24"/>
        </w:rPr>
        <w:t xml:space="preserve">185 · La lezione dello screening.</w:t>
      </w:r>
      <w:r>
        <w:rPr>
          <w:rFonts w:ascii="Barlow Semi Condensed" w:cs="Barlow Semi Condensed" w:eastAsia="Barlow Semi Condensed" w:hAnsi="Barlow Semi Condensed"/>
          <w:sz w:val="24"/>
          <w:szCs w:val="24"/>
        </w:rPr>
        <w:t xml:space="preserve"> Il precedente italiano dello screening genetico massivo (il caso Yara, chiuso in giudicato): che cosa insegna sul piano del metodo — la potenza dell'approccio sistematico, i suoi costi, le sue garanzie — e che cosa del suo impianto sia trasferibile a un caso con reperti di mezzo secolo. Lezione metodologica, non ricetta.</w:t>
      </w:r>
    </w:p>
    <w:p>
      <w:pPr>
        <w:spacing w:after="120" w:line="276"/>
        <w:jc w:val="both"/>
      </w:pPr>
      <w:r>
        <w:rPr>
          <w:rFonts w:ascii="Barlow Semi Condensed" w:cs="Barlow Semi Condensed" w:eastAsia="Barlow Semi Condensed" w:hAnsi="Barlow Semi Condensed"/>
          <w:b/>
          <w:bCs/>
          <w:sz w:val="24"/>
          <w:szCs w:val="24"/>
        </w:rPr>
        <w:t xml:space="preserve">186 · Il fenotipo e i suoi limiti.</w:t>
      </w:r>
      <w:r>
        <w:rPr>
          <w:rFonts w:ascii="Barlow Semi Condensed" w:cs="Barlow Semi Condensed" w:eastAsia="Barlow Semi Condensed" w:hAnsi="Barlow Semi Condensed"/>
          <w:sz w:val="24"/>
          <w:szCs w:val="24"/>
        </w:rPr>
        <w:t xml:space="preserve"> Il parere sulla predizione di tratti somatici dal DNA: che cosa la tecnica può dire oggi, con quali margini, e quale uso investigativo — orientare ricerche, mai identificare — sia difendibile. Il blocco fissa il perimetro: un fenotipo predetto è un'ipotesi di lavoro con l'errore stampato, non un ritratto.</w:t>
      </w:r>
    </w:p>
    <w:p>
      <w:pPr>
        <w:spacing w:after="120" w:line="276"/>
        <w:jc w:val="both"/>
      </w:pPr>
      <w:r>
        <w:rPr>
          <w:rFonts w:ascii="Barlow Semi Condensed" w:cs="Barlow Semi Condensed" w:eastAsia="Barlow Semi Condensed" w:hAnsi="Barlow Semi Condensed"/>
          <w:b/>
          <w:bCs/>
          <w:sz w:val="24"/>
          <w:szCs w:val="24"/>
        </w:rPr>
        <w:t xml:space="preserve">187 · Il DNA degradato.</w:t>
      </w:r>
      <w:r>
        <w:rPr>
          <w:rFonts w:ascii="Barlow Semi Condensed" w:cs="Barlow Semi Condensed" w:eastAsia="Barlow Semi Condensed" w:hAnsi="Barlow Semi Condensed"/>
          <w:sz w:val="24"/>
          <w:szCs w:val="24"/>
        </w:rPr>
        <w:t xml:space="preserve"> Le tecniche attuali per profili da reperti degradati e da tracce minime applicate ai residui del 1978: il parere reperto per reperto — che cosa resta di biologico nel caso, che cosa è già consumato, che cosa un nuovo prelievo rischierebbe. L'inventario del biologico residuo è esso stesso un bersaglio.</w:t>
      </w:r>
    </w:p>
    <w:p>
      <w:pPr>
        <w:spacing w:after="120" w:line="276"/>
        <w:jc w:val="both"/>
      </w:pPr>
      <w:r>
        <w:rPr>
          <w:rFonts w:ascii="Barlow Semi Condensed" w:cs="Barlow Semi Condensed" w:eastAsia="Barlow Semi Condensed" w:hAnsi="Barlow Semi Condensed"/>
          <w:b/>
          <w:bCs/>
          <w:sz w:val="24"/>
          <w:szCs w:val="24"/>
        </w:rPr>
        <w:t xml:space="preserve">188 · Il registro dei manipolatori.</w:t>
      </w:r>
      <w:r>
        <w:rPr>
          <w:rFonts w:ascii="Barlow Semi Condensed" w:cs="Barlow Semi Condensed" w:eastAsia="Barlow Semi Condensed" w:hAnsi="Barlow Semi Condensed"/>
          <w:sz w:val="24"/>
          <w:szCs w:val="24"/>
        </w:rPr>
        <w:t xml:space="preserve"> Il database di eliminazione: i profili di chi ha documentatamente maneggiato i reperti in mezzo secolo — operatori, periti, custodi — per distinguere le contaminazioni dalle tracce del 1978. Senza il registro delle mani note, ogni profilo ignoto resta ambiguo per costruzione.</w:t>
      </w:r>
    </w:p>
    <w:p>
      <w:pPr>
        <w:spacing w:after="120" w:line="276"/>
        <w:jc w:val="both"/>
      </w:pPr>
      <w:r>
        <w:rPr>
          <w:rFonts w:ascii="Barlow Semi Condensed" w:cs="Barlow Semi Condensed" w:eastAsia="Barlow Semi Condensed" w:hAnsi="Barlow Semi Condensed"/>
          <w:b/>
          <w:bCs/>
          <w:sz w:val="24"/>
          <w:szCs w:val="24"/>
        </w:rPr>
        <w:t xml:space="preserve">189 · La balistica computazionale.</w:t>
      </w:r>
      <w:r>
        <w:rPr>
          <w:rFonts w:ascii="Barlow Semi Condensed" w:cs="Barlow Semi Condensed" w:eastAsia="Barlow Semi Condensed" w:hAnsi="Barlow Semi Condensed"/>
          <w:sz w:val="24"/>
          <w:szCs w:val="24"/>
        </w:rPr>
        <w:t xml:space="preserve"> L'imaging tridimensionale e la comparazione algoritmica delle superfici dei bossoli e dei proiettili di via Fani: la ripetizione strumentale dell'esame del 2015 con la generazione attuale di comparatori, su tutti i reperti, con soglie e punteggi dichiarati. I blocchi 72-74 la eseguono; questo blocco ne fissa il metodo.</w:t>
      </w:r>
    </w:p>
    <w:p>
      <w:pPr>
        <w:spacing w:after="120" w:line="276"/>
        <w:jc w:val="both"/>
      </w:pPr>
      <w:r>
        <w:rPr>
          <w:rFonts w:ascii="Barlow Semi Condensed" w:cs="Barlow Semi Condensed" w:eastAsia="Barlow Semi Condensed" w:hAnsi="Barlow Semi Condensed"/>
          <w:b/>
          <w:bCs/>
          <w:sz w:val="24"/>
          <w:szCs w:val="24"/>
        </w:rPr>
        <w:t xml:space="preserve">190 · Le banche balistiche.</w:t>
      </w:r>
      <w:r>
        <w:rPr>
          <w:rFonts w:ascii="Barlow Semi Condensed" w:cs="Barlow Semi Condensed" w:eastAsia="Barlow Semi Condensed" w:hAnsi="Barlow Semi Condensed"/>
          <w:sz w:val="24"/>
          <w:szCs w:val="24"/>
        </w:rPr>
        <w:t xml:space="preserve"> L'accertamento formale di quale sistema automatizzato di comparazione balistica sia in uso presso le forze di polizia italiane e a quali condizioni ammetta l'inserimento e l'interrogazione di reperti storici. Se la via esiste, ogni arma e ogni bossolo del caso vi si confronta; se non esiste, il parere lo mette per iscritto.</w:t>
      </w:r>
    </w:p>
    <w:p>
      <w:pPr>
        <w:spacing w:after="120" w:line="276"/>
        <w:jc w:val="both"/>
      </w:pPr>
      <w:r>
        <w:rPr>
          <w:rFonts w:ascii="Barlow Semi Condensed" w:cs="Barlow Semi Condensed" w:eastAsia="Barlow Semi Condensed" w:hAnsi="Barlow Semi Condensed"/>
          <w:b/>
          <w:bCs/>
          <w:sz w:val="24"/>
          <w:szCs w:val="24"/>
        </w:rPr>
        <w:t xml:space="preserve">191 · Il ciclo dattiloscopico.</w:t>
      </w:r>
      <w:r>
        <w:rPr>
          <w:rFonts w:ascii="Barlow Semi Condensed" w:cs="Barlow Semi Condensed" w:eastAsia="Barlow Semi Condensed" w:hAnsi="Barlow Semi Condensed"/>
          <w:sz w:val="24"/>
          <w:szCs w:val="24"/>
        </w:rPr>
        <w:t xml:space="preserve"> L'interrogazione ricorsiva dello schedario unico delle impronte non attribuite (blocco 97) sui sistemi automatizzati attuali, a cadenza fissa e con verbale d'esito anche negativo. La banca dati cresce; il 1978 no: ogni interrogazione è gratuita per il caso e potenzialmente definitiva per un reperto.</w:t>
      </w:r>
    </w:p>
    <w:p>
      <w:pPr>
        <w:spacing w:after="120" w:line="276"/>
        <w:jc w:val="both"/>
      </w:pPr>
      <w:r>
        <w:rPr>
          <w:rFonts w:ascii="Barlow Semi Condensed" w:cs="Barlow Semi Condensed" w:eastAsia="Barlow Semi Condensed" w:hAnsi="Barlow Semi Condensed"/>
          <w:b/>
          <w:bCs/>
          <w:sz w:val="24"/>
          <w:szCs w:val="24"/>
        </w:rPr>
        <w:t xml:space="preserve">192 · La terra e il bitume.</w:t>
      </w:r>
      <w:r>
        <w:rPr>
          <w:rFonts w:ascii="Barlow Semi Condensed" w:cs="Barlow Semi Condensed" w:eastAsia="Barlow Semi Condensed" w:hAnsi="Barlow Semi Condensed"/>
          <w:sz w:val="24"/>
          <w:szCs w:val="24"/>
        </w:rPr>
        <w:t xml:space="preserve"> La geologia forense sulle tracce minerali degli abiti e dei veicoli (blocco 83): granulometrie, mineralogie, firme dei leganti, confrontate con campionature attuali dei litorali e dei suoli compatibili. Il parere dichiara anche il limite: mezzo secolo cambia le spiagge — la comparazione moderna misura compatibilità, non identità.</w:t>
      </w:r>
    </w:p>
    <w:p>
      <w:pPr>
        <w:spacing w:after="120" w:line="276"/>
        <w:jc w:val="both"/>
      </w:pPr>
      <w:r>
        <w:rPr>
          <w:rFonts w:ascii="Barlow Semi Condensed" w:cs="Barlow Semi Condensed" w:eastAsia="Barlow Semi Condensed" w:hAnsi="Barlow Semi Condensed"/>
          <w:b/>
          <w:bCs/>
          <w:sz w:val="24"/>
          <w:szCs w:val="24"/>
        </w:rPr>
        <w:t xml:space="preserve">193 · Il polline e la stagione.</w:t>
      </w:r>
      <w:r>
        <w:rPr>
          <w:rFonts w:ascii="Barlow Semi Condensed" w:cs="Barlow Semi Condensed" w:eastAsia="Barlow Semi Condensed" w:hAnsi="Barlow Semi Condensed"/>
          <w:sz w:val="24"/>
          <w:szCs w:val="24"/>
        </w:rPr>
        <w:t xml:space="preserve"> La palinologia sui reperti tessili (blocco 84) con la tassonomia e le banche polliniche attuali: taxa, proporzioni, stagionalità. Il prodotto è la tavola dei taxa col suo grado; l'interpretazione geografica appartiene alla sintesi del blocco 85, mai al singolo vetrino.</w:t>
      </w:r>
    </w:p>
    <w:p>
      <w:pPr>
        <w:spacing w:after="120" w:line="276"/>
        <w:jc w:val="both"/>
      </w:pPr>
      <w:r>
        <w:rPr>
          <w:rFonts w:ascii="Barlow Semi Condensed" w:cs="Barlow Semi Condensed" w:eastAsia="Barlow Semi Condensed" w:hAnsi="Barlow Semi Condensed"/>
          <w:b/>
          <w:bCs/>
          <w:sz w:val="24"/>
          <w:szCs w:val="24"/>
        </w:rPr>
        <w:t xml:space="preserve">194 · Le microtracce ambientali.</w:t>
      </w:r>
      <w:r>
        <w:rPr>
          <w:rFonts w:ascii="Barlow Semi Condensed" w:cs="Barlow Semi Condensed" w:eastAsia="Barlow Semi Condensed" w:hAnsi="Barlow Semi Condensed"/>
          <w:sz w:val="24"/>
          <w:szCs w:val="24"/>
        </w:rPr>
        <w:t xml:space="preserve"> Polveri, fibre, vernici, residui edilizi sui reperti conservati: lo screening con la sensibilità strumentale attuale, per ciò che il 1978 non poteva vedere. A bassa probabilità e basso costo per reperto: il tipo di bersaglio che si esegue in coda alle campagne, ma si esegue.</w:t>
      </w:r>
    </w:p>
    <w:p>
      <w:pPr>
        <w:spacing w:after="120" w:line="276"/>
        <w:jc w:val="both"/>
      </w:pPr>
      <w:r>
        <w:rPr>
          <w:rFonts w:ascii="Barlow Semi Condensed" w:cs="Barlow Semi Condensed" w:eastAsia="Barlow Semi Condensed" w:hAnsi="Barlow Semi Condensed"/>
          <w:b/>
          <w:bCs/>
          <w:sz w:val="24"/>
          <w:szCs w:val="24"/>
        </w:rPr>
        <w:t xml:space="preserve">195 · La chimica tardiva.</w:t>
      </w:r>
      <w:r>
        <w:rPr>
          <w:rFonts w:ascii="Barlow Semi Condensed" w:cs="Barlow Semi Condensed" w:eastAsia="Barlow Semi Condensed" w:hAnsi="Barlow Semi Condensed"/>
          <w:sz w:val="24"/>
          <w:szCs w:val="24"/>
        </w:rPr>
        <w:t xml:space="preserve"> I residui di sparo e le tracce chimiche (blocco 98) con la strumentazione attuale: il parere onesto sui limiti — cinquant'anni di manipolazioni — e l'esame dove il parere regge. Ogni esito con margine e grado: la chimica su reperti storici testimonia sottovoce, e il verbale deve scriverlo.</w:t>
      </w:r>
    </w:p>
    <w:p>
      <w:pPr>
        <w:spacing w:after="120" w:line="276"/>
        <w:jc w:val="both"/>
      </w:pPr>
      <w:r>
        <w:rPr>
          <w:rFonts w:ascii="Barlow Semi Condensed" w:cs="Barlow Semi Condensed" w:eastAsia="Barlow Semi Condensed" w:hAnsi="Barlow Semi Condensed"/>
          <w:b/>
          <w:bCs/>
          <w:sz w:val="24"/>
          <w:szCs w:val="24"/>
        </w:rPr>
        <w:t xml:space="preserve">196 · La materia degli scritti.</w:t>
      </w:r>
      <w:r>
        <w:rPr>
          <w:rFonts w:ascii="Barlow Semi Condensed" w:cs="Barlow Semi Condensed" w:eastAsia="Barlow Semi Condensed" w:hAnsi="Barlow Semi Condensed"/>
          <w:sz w:val="24"/>
          <w:szCs w:val="24"/>
        </w:rPr>
        <w:t xml:space="preserve"> Carte, inchiostri, nastri e segni di riproduzione del memoriale e dei comunicati (blocco 96): gli esami materiali che distinguono generazioni di copie, ordini di battitura, interventi successivi. La codicologia forense del caso: il supporto sa cose che il testo non dice.</w:t>
      </w:r>
    </w:p>
    <w:p>
      <w:pPr>
        <w:spacing w:after="120" w:line="276"/>
        <w:jc w:val="both"/>
      </w:pPr>
      <w:r>
        <w:rPr>
          <w:rFonts w:ascii="Barlow Semi Condensed" w:cs="Barlow Semi Condensed" w:eastAsia="Barlow Semi Condensed" w:hAnsi="Barlow Semi Condensed"/>
          <w:b/>
          <w:bCs/>
          <w:sz w:val="24"/>
          <w:szCs w:val="24"/>
        </w:rPr>
        <w:t xml:space="preserve">197 · La firma della macchina.</w:t>
      </w:r>
      <w:r>
        <w:rPr>
          <w:rFonts w:ascii="Barlow Semi Condensed" w:cs="Barlow Semi Condensed" w:eastAsia="Barlow Semi Condensed" w:hAnsi="Barlow Semi Condensed"/>
          <w:sz w:val="24"/>
          <w:szCs w:val="24"/>
        </w:rPr>
        <w:t xml:space="preserve"> La dattiloscopia meccanica computazionale sull'intero corpus dattiloscritto del caso (blocco 88): difetti di battuta, allineamenti, usure — la tavola macchina-documento con punteggi dichiarati. Un quesito filologico aperto dal 1978 che gli strumenti attuali possono chiudere in modo misurabile.</w:t>
      </w:r>
    </w:p>
    <w:p>
      <w:pPr>
        <w:spacing w:after="120" w:line="276"/>
        <w:jc w:val="both"/>
      </w:pPr>
      <w:r>
        <w:rPr>
          <w:rFonts w:ascii="Barlow Semi Condensed" w:cs="Barlow Semi Condensed" w:eastAsia="Barlow Semi Condensed" w:hAnsi="Barlow Semi Condensed"/>
          <w:b/>
          <w:bCs/>
          <w:sz w:val="24"/>
          <w:szCs w:val="24"/>
        </w:rPr>
        <w:t xml:space="preserve">198 · L'audio restaurato.</w:t>
      </w:r>
      <w:r>
        <w:rPr>
          <w:rFonts w:ascii="Barlow Semi Condensed" w:cs="Barlow Semi Condensed" w:eastAsia="Barlow Semi Condensed" w:hAnsi="Barlow Semi Condensed"/>
          <w:sz w:val="24"/>
          <w:szCs w:val="24"/>
        </w:rPr>
        <w:t xml:space="preserve"> Il restauro conservativo e l'analisi dei supporti sonori superstiti (blocco 89): pulizia dichiarata e reversibile, trascrizione certificata, comparazione vocale solo dove la qualità superi la soglia che il parere fissa in anticipo. Sotto soglia non si compara: si conserva e si aspetta la tecnica successiva.</w:t>
      </w:r>
    </w:p>
    <w:p>
      <w:pPr>
        <w:spacing w:after="120" w:line="276"/>
        <w:jc w:val="both"/>
      </w:pPr>
      <w:r>
        <w:rPr>
          <w:rFonts w:ascii="Barlow Semi Condensed" w:cs="Barlow Semi Condensed" w:eastAsia="Barlow Semi Condensed" w:hAnsi="Barlow Semi Condensed"/>
          <w:b/>
          <w:bCs/>
          <w:sz w:val="24"/>
          <w:szCs w:val="24"/>
        </w:rPr>
        <w:t xml:space="preserve">199 · Le misure dalle immagini.</w:t>
      </w:r>
      <w:r>
        <w:rPr>
          <w:rFonts w:ascii="Barlow Semi Condensed" w:cs="Barlow Semi Condensed" w:eastAsia="Barlow Semi Condensed" w:hAnsi="Barlow Semi Condensed"/>
          <w:sz w:val="24"/>
          <w:szCs w:val="24"/>
        </w:rPr>
        <w:t xml:space="preserve"> La fotogrammetria sui negativi e sui filmati del 16 marzo (blocchi 90-91): misure di posizioni, distanze e tempi estratte dalle immagini d'epoca con metodi attuali. Ogni misura entra nella ricostruzione del blocco 200 con la sua incertezza: le fotografie diventano strumenti, non illustrazioni.</w:t>
      </w:r>
    </w:p>
    <w:p>
      <w:pPr>
        <w:spacing w:after="120" w:line="276"/>
        <w:jc w:val="both"/>
      </w:pPr>
      <w:r>
        <w:rPr>
          <w:rFonts w:ascii="Barlow Semi Condensed" w:cs="Barlow Semi Condensed" w:eastAsia="Barlow Semi Condensed" w:hAnsi="Barlow Semi Condensed"/>
          <w:b/>
          <w:bCs/>
          <w:sz w:val="24"/>
          <w:szCs w:val="24"/>
        </w:rPr>
        <w:t xml:space="preserve">200 · La scena ricostruita.</w:t>
      </w:r>
      <w:r>
        <w:rPr>
          <w:rFonts w:ascii="Barlow Semi Condensed" w:cs="Barlow Semi Condensed" w:eastAsia="Barlow Semi Condensed" w:hAnsi="Barlow Semi Condensed"/>
          <w:sz w:val="24"/>
          <w:szCs w:val="24"/>
        </w:rPr>
        <w:t xml:space="preserve"> Il modello tridimensionale integrale di via Fani — geometria del 1978, veicoli, traiettorie, tempi — costruito da rilievi, negativi, perizie e fotogrammetria, pubblicato in forma esplorabile con ogni assunzione dichiarata. Il modello è falsificabile per costruzione: chi contesta un'assunzione la cambia e vede l'effetto.</w:t>
      </w:r>
    </w:p>
    <w:p>
      <w:pPr>
        <w:spacing w:after="120" w:line="276"/>
        <w:jc w:val="both"/>
      </w:pPr>
      <w:r>
        <w:rPr>
          <w:rFonts w:ascii="Barlow Semi Condensed" w:cs="Barlow Semi Condensed" w:eastAsia="Barlow Semi Condensed" w:hAnsi="Barlow Semi Condensed"/>
          <w:b/>
          <w:bCs/>
          <w:sz w:val="24"/>
          <w:szCs w:val="24"/>
        </w:rPr>
        <w:t xml:space="preserve">201 · Il testo come dato.</w:t>
      </w:r>
      <w:r>
        <w:rPr>
          <w:rFonts w:ascii="Barlow Semi Condensed" w:cs="Barlow Semi Condensed" w:eastAsia="Barlow Semi Condensed" w:hAnsi="Barlow Semi Condensed"/>
          <w:sz w:val="24"/>
          <w:szCs w:val="24"/>
        </w:rPr>
        <w:t xml:space="preserve"> Il riconoscimento ottico e l'indicizzazione dell'intero corpus documentale del caso (il cantiere digitale del manuale): ogni pagina interrogabile, ogni estrazione automatica marcata come non certificata finché un occhio umano non la verbalizza. Il text mining propone connessioni; la disciplina dei gradi decide che cosa ne sale.</w:t>
      </w:r>
    </w:p>
    <w:p>
      <w:pPr>
        <w:spacing w:after="120" w:line="276"/>
        <w:jc w:val="both"/>
      </w:pPr>
      <w:r>
        <w:rPr>
          <w:rFonts w:ascii="Barlow Semi Condensed" w:cs="Barlow Semi Condensed" w:eastAsia="Barlow Semi Condensed" w:hAnsi="Barlow Semi Condensed"/>
          <w:b/>
          <w:bCs/>
          <w:sz w:val="24"/>
          <w:szCs w:val="24"/>
        </w:rPr>
        <w:t xml:space="preserve">202 · La stilometria dichiarata.</w:t>
      </w:r>
      <w:r>
        <w:rPr>
          <w:rFonts w:ascii="Barlow Semi Condensed" w:cs="Barlow Semi Condensed" w:eastAsia="Barlow Semi Condensed" w:hAnsi="Barlow Semi Condensed"/>
          <w:sz w:val="24"/>
          <w:szCs w:val="24"/>
        </w:rPr>
        <w:t xml:space="preserve"> L'analisi stilometrica del memoriale e dei comunicati con metodo pubblicato: corpus di confronto dichiarato, variabili dichiarate, errore noto, e il limite scritto in testa — la stilometria orienta quesiti d'archivio, non attribuisce paternità in sede storica né giudiziaria. Grado C per costruzione, e dichiarato tale.</w:t>
      </w:r>
    </w:p>
    <w:p>
      <w:pPr>
        <w:spacing w:after="120" w:line="276"/>
        <w:jc w:val="both"/>
      </w:pPr>
      <w:r>
        <w:rPr>
          <w:rFonts w:ascii="Barlow Semi Condensed" w:cs="Barlow Semi Condensed" w:eastAsia="Barlow Semi Condensed" w:hAnsi="Barlow Semi Condensed"/>
          <w:b/>
          <w:bCs/>
          <w:sz w:val="24"/>
          <w:szCs w:val="24"/>
        </w:rPr>
        <w:t xml:space="preserve">203 · La lingua delle telefonate.</w:t>
      </w:r>
      <w:r>
        <w:rPr>
          <w:rFonts w:ascii="Barlow Semi Condensed" w:cs="Barlow Semi Condensed" w:eastAsia="Barlow Semi Condensed" w:hAnsi="Barlow Semi Condensed"/>
          <w:sz w:val="24"/>
          <w:szCs w:val="24"/>
        </w:rPr>
        <w:t xml:space="preserve"> La linguistica forense sui parlati superstiti dei 55 giorni: varietà, interferenze, formule — con lo stesso perimetro del blocco 202: orientare, non identificare. Dove l'audio non regge la soglia, il parere lo dice e l'analisi non si fa: un'attribuzione fragile inquina più di un silenzio.</w:t>
      </w:r>
    </w:p>
    <w:p>
      <w:pPr>
        <w:spacing w:after="120" w:line="276"/>
        <w:jc w:val="both"/>
      </w:pPr>
      <w:r>
        <w:rPr>
          <w:rFonts w:ascii="Barlow Semi Condensed" w:cs="Barlow Semi Condensed" w:eastAsia="Barlow Semi Condensed" w:hAnsi="Barlow Semi Condensed"/>
          <w:b/>
          <w:bCs/>
          <w:sz w:val="24"/>
          <w:szCs w:val="24"/>
        </w:rPr>
        <w:t xml:space="preserve">204 · La rete come strumento.</w:t>
      </w:r>
      <w:r>
        <w:rPr>
          <w:rFonts w:ascii="Barlow Semi Condensed" w:cs="Barlow Semi Condensed" w:eastAsia="Barlow Semi Condensed" w:hAnsi="Barlow Semi Condensed"/>
          <w:sz w:val="24"/>
          <w:szCs w:val="24"/>
        </w:rPr>
        <w:t xml:space="preserve"> L'analisi di rete del corpus (la sinaptogenesi documentata delle metodologie) applicata sistematicamente ai documenti nuovi che l'agenda produce: ogni carta trovata aggiorna nodi, archi e metriche, e le metriche — che misurano documentazione, mai colpa — rivelano i buchi dove puntare le prossime ricerche.</w:t>
      </w:r>
    </w:p>
    <w:p>
      <w:pPr>
        <w:spacing w:after="120" w:line="276"/>
        <w:jc w:val="both"/>
      </w:pPr>
      <w:r>
        <w:rPr>
          <w:rFonts w:ascii="Barlow Semi Condensed" w:cs="Barlow Semi Condensed" w:eastAsia="Barlow Semi Condensed" w:hAnsi="Barlow Semi Condensed"/>
          <w:b/>
          <w:bCs/>
          <w:sz w:val="24"/>
          <w:szCs w:val="24"/>
        </w:rPr>
        <w:t xml:space="preserve">205 · Lo spazio e i tempi.</w:t>
      </w:r>
      <w:r>
        <w:rPr>
          <w:rFonts w:ascii="Barlow Semi Condensed" w:cs="Barlow Semi Condensed" w:eastAsia="Barlow Semi Condensed" w:hAnsi="Barlow Semi Condensed"/>
          <w:sz w:val="24"/>
          <w:szCs w:val="24"/>
        </w:rPr>
        <w:t xml:space="preserve"> I modelli geospaziali del caso: percorsi, tempi di percorrenza con la viabilità del 1978, coperture del dispositivo — sovrapposti alla cartografia storica (blocco della mappa interattiva del manuale). Ogni cronologia di movimento testimoniata diventa verificabile contro la geografia misurata.</w:t>
      </w:r>
    </w:p>
    <w:p>
      <w:pPr>
        <w:spacing w:after="120" w:line="276"/>
        <w:jc w:val="both"/>
      </w:pPr>
      <w:r>
        <w:rPr>
          <w:rFonts w:ascii="Barlow Semi Condensed" w:cs="Barlow Semi Condensed" w:eastAsia="Barlow Semi Condensed" w:hAnsi="Barlow Semi Condensed"/>
          <w:b/>
          <w:bCs/>
          <w:sz w:val="24"/>
          <w:szCs w:val="24"/>
        </w:rPr>
        <w:t xml:space="preserve">206 · Le datazioni.</w:t>
      </w:r>
      <w:r>
        <w:rPr>
          <w:rFonts w:ascii="Barlow Semi Condensed" w:cs="Barlow Semi Condensed" w:eastAsia="Barlow Semi Condensed" w:hAnsi="Barlow Semi Condensed"/>
          <w:sz w:val="24"/>
          <w:szCs w:val="24"/>
        </w:rPr>
        <w:t xml:space="preserve"> Il parere sulla databilità dei materiali del caso — carte, inchiostri, nastri adesivi, polimeri: che cosa le tecniche attuali datano davvero, con quali margini su finestre di pochi anni. Il parere previene l'illusione di precisione: molte datazioni possibili non sono datazioni utili, e va scritto prima di spendere.</w:t>
      </w:r>
    </w:p>
    <w:p>
      <w:pPr>
        <w:spacing w:after="120" w:line="276"/>
        <w:jc w:val="both"/>
      </w:pPr>
      <w:r>
        <w:rPr>
          <w:rFonts w:ascii="Barlow Semi Condensed" w:cs="Barlow Semi Condensed" w:eastAsia="Barlow Semi Condensed" w:hAnsi="Barlow Semi Condensed"/>
          <w:b/>
          <w:bCs/>
          <w:sz w:val="24"/>
          <w:szCs w:val="24"/>
        </w:rPr>
        <w:t xml:space="preserve">207 · La macchina che propone.</w:t>
      </w:r>
      <w:r>
        <w:rPr>
          <w:rFonts w:ascii="Barlow Semi Condensed" w:cs="Barlow Semi Condensed" w:eastAsia="Barlow Semi Condensed" w:hAnsi="Barlow Semi Condensed"/>
          <w:sz w:val="24"/>
          <w:szCs w:val="24"/>
        </w:rPr>
        <w:t xml:space="preserve"> L'uso dichiarato dei sistemi automatici e dell'intelligenza artificiale nell'agenda: proporre accostamenti, trascrivere, indicizzare, segnalare anomalie — mai verbalizzare, mai graduare, mai concludere. Ogni output automatico è marcato come tale e diventa atto solo per verbalizzazione umana: la regola del manuale, qui, è legge di serie.</w:t>
      </w:r>
    </w:p>
    <w:p>
      <w:pPr>
        <w:spacing w:after="120" w:line="276"/>
        <w:jc w:val="both"/>
      </w:pPr>
      <w:r>
        <w:rPr>
          <w:rFonts w:ascii="Barlow Semi Condensed" w:cs="Barlow Semi Condensed" w:eastAsia="Barlow Semi Condensed" w:hAnsi="Barlow Semi Condensed"/>
          <w:b/>
          <w:bCs/>
          <w:sz w:val="24"/>
          <w:szCs w:val="24"/>
        </w:rPr>
        <w:t xml:space="preserve">208 · Il registro dei metodi.</w:t>
      </w:r>
      <w:r>
        <w:rPr>
          <w:rFonts w:ascii="Barlow Semi Condensed" w:cs="Barlow Semi Condensed" w:eastAsia="Barlow Semi Condensed" w:hAnsi="Barlow Semi Condensed"/>
          <w:sz w:val="24"/>
          <w:szCs w:val="24"/>
        </w:rPr>
        <w:t xml:space="preserve"> Ogni tecnica usata dall'agenda entra in un registro pubblico: validazione, letteratura, tasso d'errore, laboratori qualificati, precedenti d'ammissione giudiziaria. Il registro è la difesa preventiva di ogni esito: quando un risultato verrà contestato, il metodo sarà già documentato da prima.</w:t>
      </w:r>
    </w:p>
    <w:p>
      <w:pPr>
        <w:spacing w:after="120" w:line="276"/>
        <w:jc w:val="both"/>
      </w:pPr>
      <w:r>
        <w:rPr>
          <w:rFonts w:ascii="Barlow Semi Condensed" w:cs="Barlow Semi Condensed" w:eastAsia="Barlow Semi Condensed" w:hAnsi="Barlow Semi Condensed"/>
          <w:b/>
          <w:bCs/>
          <w:sz w:val="24"/>
          <w:szCs w:val="24"/>
        </w:rPr>
        <w:t xml:space="preserve">209 · L'irripetibile e il giudice.</w:t>
      </w:r>
      <w:r>
        <w:rPr>
          <w:rFonts w:ascii="Barlow Semi Condensed" w:cs="Barlow Semi Condensed" w:eastAsia="Barlow Semi Condensed" w:hAnsi="Barlow Semi Condensed"/>
          <w:sz w:val="24"/>
          <w:szCs w:val="24"/>
        </w:rPr>
        <w:t xml:space="preserve"> Per ogni esame che consumi il reperto: il raccordo con gli strumenti giuridici del manuale (serie dodicesima) — la valutazione formale se l'atto vada compiuto in sede giudiziaria con le garanzie dell'irripetibilità, d'intesa con l'autorità titolare del fascicolo. La scienza non brucia reperti che il diritto avrebbe protetto.</w:t>
      </w:r>
    </w:p>
    <w:p>
      <w:pPr>
        <w:spacing w:after="120" w:line="276"/>
        <w:jc w:val="both"/>
      </w:pPr>
      <w:r>
        <w:rPr>
          <w:rFonts w:ascii="Barlow Semi Condensed" w:cs="Barlow Semi Condensed" w:eastAsia="Barlow Semi Condensed" w:hAnsi="Barlow Semi Condensed"/>
          <w:b/>
          <w:bCs/>
          <w:sz w:val="24"/>
          <w:szCs w:val="24"/>
        </w:rPr>
        <w:t xml:space="preserve">210 · La tavola delle scienze.</w:t>
      </w:r>
      <w:r>
        <w:rPr>
          <w:rFonts w:ascii="Barlow Semi Condensed" w:cs="Barlow Semi Condensed" w:eastAsia="Barlow Semi Condensed" w:hAnsi="Barlow Semi Condensed"/>
          <w:sz w:val="24"/>
          <w:szCs w:val="24"/>
        </w:rPr>
        <w:t xml:space="preserve"> La chiusura della serie: la matrice tecnica × reperto × stato — parere reso, esame fatto, esito, grado — pubblicata e mantenuta. In ogni istante il caso deve poter dire quali domande nuove ha già posto ai suoi oggetti vecchi, e quali lo aspettano ancora.</w:t>
      </w:r>
    </w:p>
    <w:p>
      <w:pPr>
        <w:pStyle w:val="Heading2"/>
        <w:spacing w:after="100" w:before="200"/>
      </w:pPr>
      <w:r>
        <w:rPr>
          <w:rFonts w:ascii="Barlow Semi Condensed" w:cs="Barlow Semi Condensed" w:eastAsia="Barlow Semi Condensed" w:hAnsi="Barlow Semi Condensed"/>
          <w:sz w:val="24"/>
          <w:szCs w:val="24"/>
        </w:rPr>
        <w:t xml:space="preserve">Serie nona — Le verifiche di smentita (blocchi 211-235)</w:t>
      </w:r>
    </w:p>
    <w:p>
      <w:pPr>
        <w:spacing w:after="120" w:line="276"/>
        <w:jc w:val="both"/>
      </w:pPr>
      <w:r>
        <w:rPr>
          <w:rFonts w:ascii="Barlow Semi Condensed" w:cs="Barlow Semi Condensed" w:eastAsia="Barlow Semi Condensed" w:hAnsi="Barlow Semi Condensed"/>
          <w:i/>
          <w:iCs/>
          <w:sz w:val="24"/>
          <w:szCs w:val="24"/>
        </w:rPr>
        <w:t xml:space="preserve">Statuto della serie: il Pollo di Popper come motore di ricerca. Per ogni tesi corrente sul caso — del corpus, delle commissioni, della pubblicistica — la serie formula il bersaglio che la smentirebbe: si cerca attivamente il documento capace di falsificare, perché una tesi che sopravvive alla ricerca della propria smentita ne esce rafforzata, e una che non vi sopravvive muore con onore. Nessuna smentita è una sconfitta: è l'agenda che funziona.</w:t>
      </w:r>
    </w:p>
    <w:p>
      <w:pPr>
        <w:spacing w:after="120" w:line="276"/>
        <w:jc w:val="both"/>
      </w:pPr>
      <w:r>
        <w:rPr>
          <w:rFonts w:ascii="Barlow Semi Condensed" w:cs="Barlow Semi Condensed" w:eastAsia="Barlow Semi Condensed" w:hAnsi="Barlow Semi Condensed"/>
          <w:b/>
          <w:bCs/>
          <w:sz w:val="24"/>
          <w:szCs w:val="24"/>
        </w:rPr>
        <w:t xml:space="preserve">211 · Contro la mono-arma.</w:t>
      </w:r>
      <w:r>
        <w:rPr>
          <w:rFonts w:ascii="Barlow Semi Condensed" w:cs="Barlow Semi Condensed" w:eastAsia="Barlow Semi Condensed" w:hAnsi="Barlow Semi Condensed"/>
          <w:sz w:val="24"/>
          <w:szCs w:val="24"/>
        </w:rPr>
        <w:t xml:space="preserve"> Cercare la perizia, il reperto o il dato che riattribuisca i quarantanove colpi a più armi: confronti balistici moderni bossolo per bossolo. Se la riattribuzione riesce, cade l'ipotesi del tiratore prevalente e la dinamica va riscritta; se fallisce con strumenti attuali, l'accertamento sale di robustezza.</w:t>
      </w:r>
    </w:p>
    <w:p>
      <w:pPr>
        <w:spacing w:after="120" w:line="276"/>
        <w:jc w:val="both"/>
      </w:pPr>
      <w:r>
        <w:rPr>
          <w:rFonts w:ascii="Barlow Semi Condensed" w:cs="Barlow Semi Condensed" w:eastAsia="Barlow Semi Condensed" w:hAnsi="Barlow Semi Condensed"/>
          <w:b/>
          <w:bCs/>
          <w:sz w:val="24"/>
          <w:szCs w:val="24"/>
        </w:rPr>
        <w:t xml:space="preserve">212 · Contro le terze presenze.</w:t>
      </w:r>
      <w:r>
        <w:rPr>
          <w:rFonts w:ascii="Barlow Semi Condensed" w:cs="Barlow Semi Condensed" w:eastAsia="Barlow Semi Condensed" w:hAnsi="Barlow Semi Condensed"/>
          <w:sz w:val="24"/>
          <w:szCs w:val="24"/>
        </w:rPr>
        <w:t xml:space="preserve"> Cercare l'identificazione innocente della moto Honda e di ogni presenza anomala testimoniata: un motociclista estraneo identificato con documento chiude la pista meglio di dieci congetture. Il bersaglio è l'anagrafe: targhe, denunce, verbali di identificazione del 16 marzo e dei giorni seguenti.</w:t>
      </w:r>
    </w:p>
    <w:p>
      <w:pPr>
        <w:spacing w:after="120" w:line="276"/>
        <w:jc w:val="both"/>
      </w:pPr>
      <w:r>
        <w:rPr>
          <w:rFonts w:ascii="Barlow Semi Condensed" w:cs="Barlow Semi Condensed" w:eastAsia="Barlow Semi Condensed" w:hAnsi="Barlow Semi Condensed"/>
          <w:b/>
          <w:bCs/>
          <w:sz w:val="24"/>
          <w:szCs w:val="24"/>
        </w:rPr>
        <w:t xml:space="preserve">213 · Contro l'origine anomala di «Gradoli».</w:t>
      </w:r>
      <w:r>
        <w:rPr>
          <w:rFonts w:ascii="Barlow Semi Condensed" w:cs="Barlow Semi Condensed" w:eastAsia="Barlow Semi Condensed" w:hAnsi="Barlow Semi Condensed"/>
          <w:sz w:val="24"/>
          <w:szCs w:val="24"/>
        </w:rPr>
        <w:t xml:space="preserve"> Cercare il verbale o la testimonianza che documenti il gioco della seduta come genuino — chi propose le lettere, come uscì la parola. Una genesi ludica documentata declasserebbe il quesito 3; la sua irreperibilità mantiene aperta la matrice.</w:t>
      </w:r>
    </w:p>
    <w:p>
      <w:pPr>
        <w:spacing w:after="120" w:line="276"/>
        <w:jc w:val="both"/>
      </w:pPr>
      <w:r>
        <w:rPr>
          <w:rFonts w:ascii="Barlow Semi Condensed" w:cs="Barlow Semi Condensed" w:eastAsia="Barlow Semi Condensed" w:hAnsi="Barlow Semi Condensed"/>
          <w:b/>
          <w:bCs/>
          <w:sz w:val="24"/>
          <w:szCs w:val="24"/>
        </w:rPr>
        <w:t xml:space="preserve">214 · Contro la lettura malevola del 18 marzo.</w:t>
      </w:r>
      <w:r>
        <w:rPr>
          <w:rFonts w:ascii="Barlow Semi Condensed" w:cs="Barlow Semi Condensed" w:eastAsia="Barlow Semi Condensed" w:hAnsi="Barlow Semi Condensed"/>
          <w:sz w:val="24"/>
          <w:szCs w:val="24"/>
        </w:rPr>
        <w:t xml:space="preserve"> Cercare i documenti che mostrino diligenza ordinaria nella mancata perquisizione di via Gradoli 96: l'ordine di servizio, i limiti dell'ordinanza, la prassi delle verifiche a campanello. La negligenza documentata resta negligenza; l'agenda cerca anche ciò che scagiona gli uffici.</w:t>
      </w:r>
    </w:p>
    <w:p>
      <w:pPr>
        <w:spacing w:after="120" w:line="276"/>
        <w:jc w:val="both"/>
      </w:pPr>
      <w:r>
        <w:rPr>
          <w:rFonts w:ascii="Barlow Semi Condensed" w:cs="Barlow Semi Condensed" w:eastAsia="Barlow Semi Condensed" w:hAnsi="Barlow Semi Condensed"/>
          <w:b/>
          <w:bCs/>
          <w:sz w:val="24"/>
          <w:szCs w:val="24"/>
        </w:rPr>
        <w:t xml:space="preserve">215 · Contro la prigione unica.</w:t>
      </w:r>
      <w:r>
        <w:rPr>
          <w:rFonts w:ascii="Barlow Semi Condensed" w:cs="Barlow Semi Condensed" w:eastAsia="Barlow Semi Condensed" w:hAnsi="Barlow Semi Condensed"/>
          <w:sz w:val="24"/>
          <w:szCs w:val="24"/>
        </w:rPr>
        <w:t xml:space="preserve"> Cercare l'evidenza fisica che colloca la prigionia altrove che in via Montalcini 8: pollini, sabbie, fibre, rumori testimoniati incompatibili. Se nulla emerge dai reperti riletti, l'accertamento istruttorio resta il pavimento e le congetture alternative si archiviano.</w:t>
      </w:r>
    </w:p>
    <w:p>
      <w:pPr>
        <w:spacing w:after="120" w:line="276"/>
        <w:jc w:val="both"/>
      </w:pPr>
      <w:r>
        <w:rPr>
          <w:rFonts w:ascii="Barlow Semi Condensed" w:cs="Barlow Semi Condensed" w:eastAsia="Barlow Semi Condensed" w:hAnsi="Barlow Semi Condensed"/>
          <w:b/>
          <w:bCs/>
          <w:sz w:val="24"/>
          <w:szCs w:val="24"/>
        </w:rPr>
        <w:t xml:space="preserve">216 · Contro il filtro sistematico.</w:t>
      </w:r>
      <w:r>
        <w:rPr>
          <w:rFonts w:ascii="Barlow Semi Condensed" w:cs="Barlow Semi Condensed" w:eastAsia="Barlow Semi Condensed" w:hAnsi="Barlow Semi Condensed"/>
          <w:sz w:val="24"/>
          <w:szCs w:val="24"/>
        </w:rPr>
        <w:t xml:space="preserve"> Ricostruire il registro d'ingresso delle segnalazioni: se l'input ricostruito risulta proporzionato all'output documentato, l'ipotesi del filtro selettivo si sgonfia e resta il diluvio; se la sproporzione emerge su segnalazioni qualificate, la matrice del quesito 7 si decide. Il registro è l'esperimento.</w:t>
      </w:r>
    </w:p>
    <w:p>
      <w:pPr>
        <w:spacing w:after="120" w:line="276"/>
        <w:jc w:val="both"/>
      </w:pPr>
      <w:r>
        <w:rPr>
          <w:rFonts w:ascii="Barlow Semi Condensed" w:cs="Barlow Semi Condensed" w:eastAsia="Barlow Semi Condensed" w:hAnsi="Barlow Semi Condensed"/>
          <w:b/>
          <w:bCs/>
          <w:sz w:val="24"/>
          <w:szCs w:val="24"/>
        </w:rPr>
        <w:t xml:space="preserve">217 · Contro il disegno nel condominio.</w:t>
      </w:r>
      <w:r>
        <w:rPr>
          <w:rFonts w:ascii="Barlow Semi Condensed" w:cs="Barlow Semi Condensed" w:eastAsia="Barlow Semi Condensed" w:hAnsi="Barlow Semi Condensed"/>
          <w:sz w:val="24"/>
          <w:szCs w:val="24"/>
        </w:rPr>
        <w:t xml:space="preserve"> Cercare nelle carte di conservatoria la spiegazione ordinaria degli assetti di via Gradoli: un mercato immobiliare documentabile, acquisti scaglionati, usi estranei. Le date restano il discriminante: ciò che è posteriore al 1978 non spiega il 1975-1978, in nessuna direzione.</w:t>
      </w:r>
    </w:p>
    <w:p>
      <w:pPr>
        <w:spacing w:after="120" w:line="276"/>
        <w:jc w:val="both"/>
      </w:pPr>
      <w:r>
        <w:rPr>
          <w:rFonts w:ascii="Barlow Semi Condensed" w:cs="Barlow Semi Condensed" w:eastAsia="Barlow Semi Condensed" w:hAnsi="Barlow Semi Condensed"/>
          <w:b/>
          <w:bCs/>
          <w:sz w:val="24"/>
          <w:szCs w:val="24"/>
        </w:rPr>
        <w:t xml:space="preserve">218 · Contro l'anomalia del riscatto.</w:t>
      </w:r>
      <w:r>
        <w:rPr>
          <w:rFonts w:ascii="Barlow Semi Condensed" w:cs="Barlow Semi Condensed" w:eastAsia="Barlow Semi Condensed" w:hAnsi="Barlow Semi Condensed"/>
          <w:sz w:val="24"/>
          <w:szCs w:val="24"/>
        </w:rPr>
        <w:t xml:space="preserve"> Cercare la contabilità che chiuda ordinariamente la vicenda del fondo: restituzioni documentate, destinazioni tracciate. Una sorte ordinaria del denaro chiude il quesito 11 per la parte patrimoniale; l'assenza di contabilità è uno Stato Zero da dichiarare, non una colpa da narrare.</w:t>
      </w:r>
    </w:p>
    <w:p>
      <w:pPr>
        <w:spacing w:after="120" w:line="276"/>
        <w:jc w:val="both"/>
      </w:pPr>
      <w:r>
        <w:rPr>
          <w:rFonts w:ascii="Barlow Semi Condensed" w:cs="Barlow Semi Condensed" w:eastAsia="Barlow Semi Condensed" w:hAnsi="Barlow Semi Condensed"/>
          <w:b/>
          <w:bCs/>
          <w:sz w:val="24"/>
          <w:szCs w:val="24"/>
        </w:rPr>
        <w:t xml:space="preserve">219 · Contro l'«inattendibilità» costruita.</w:t>
      </w:r>
      <w:r>
        <w:rPr>
          <w:rFonts w:ascii="Barlow Semi Condensed" w:cs="Barlow Semi Condensed" w:eastAsia="Barlow Semi Condensed" w:hAnsi="Barlow Semi Condensed"/>
          <w:sz w:val="24"/>
          <w:szCs w:val="24"/>
        </w:rPr>
        <w:t xml:space="preserve"> Cercare il parere tecnico integrale che fondò la dichiarata inattendibilità delle lettere: se esiste ed è argomentato, l'atto istituzionale ha il suo fascicolo; se non esiste, l'inattendibilità fu un enunciato senza istruttoria — e questo è un fatto documentale, non un processo alle intenzioni.</w:t>
      </w:r>
    </w:p>
    <w:p>
      <w:pPr>
        <w:spacing w:after="120" w:line="276"/>
        <w:jc w:val="both"/>
      </w:pPr>
      <w:r>
        <w:rPr>
          <w:rFonts w:ascii="Barlow Semi Condensed" w:cs="Barlow Semi Condensed" w:eastAsia="Barlow Semi Condensed" w:hAnsi="Barlow Semi Condensed"/>
          <w:b/>
          <w:bCs/>
          <w:sz w:val="24"/>
          <w:szCs w:val="24"/>
        </w:rPr>
        <w:t xml:space="preserve">220 · Contro il memoriale integrale.</w:t>
      </w:r>
      <w:r>
        <w:rPr>
          <w:rFonts w:ascii="Barlow Semi Condensed" w:cs="Barlow Semi Condensed" w:eastAsia="Barlow Semi Condensed" w:hAnsi="Barlow Semi Condensed"/>
          <w:sz w:val="24"/>
          <w:szCs w:val="24"/>
        </w:rPr>
        <w:t xml:space="preserve"> Cercare il riscontro che le carte note esauriscano lo scritto: coerenza interna, richiami a pagine assenti, testimonianze d'archivio sui materiali di via Monte Nevoso. Il bersaglio non è «il memoriale nascosto»: è la misura documentata di quanto manca, se manca.</w:t>
      </w:r>
    </w:p>
    <w:p>
      <w:pPr>
        <w:spacing w:after="120" w:line="276"/>
        <w:jc w:val="both"/>
      </w:pPr>
      <w:r>
        <w:rPr>
          <w:rFonts w:ascii="Barlow Semi Condensed" w:cs="Barlow Semi Condensed" w:eastAsia="Barlow Semi Condensed" w:hAnsi="Barlow Semi Condensed"/>
          <w:b/>
          <w:bCs/>
          <w:sz w:val="24"/>
          <w:szCs w:val="24"/>
        </w:rPr>
        <w:t xml:space="preserve">221 · Contro la pista internazionale forte.</w:t>
      </w:r>
      <w:r>
        <w:rPr>
          <w:rFonts w:ascii="Barlow Semi Condensed" w:cs="Barlow Semi Condensed" w:eastAsia="Barlow Semi Condensed" w:hAnsi="Barlow Semi Condensed"/>
          <w:sz w:val="24"/>
          <w:szCs w:val="24"/>
        </w:rPr>
        <w:t xml:space="preserve"> Per ogni versione che ponga una regia estera, cercare il documento primario che la sosterrebbe — un cablo, un verbale, una carta d'archivio straniera — e dichiarare Stato Zero dove non c'è. La serie sesta fornisce i giacimenti; questo blocco fissa la regola: senza primario, niente pista.</w:t>
      </w:r>
    </w:p>
    <w:p>
      <w:pPr>
        <w:spacing w:after="120" w:line="276"/>
        <w:jc w:val="both"/>
      </w:pPr>
      <w:r>
        <w:rPr>
          <w:rFonts w:ascii="Barlow Semi Condensed" w:cs="Barlow Semi Condensed" w:eastAsia="Barlow Semi Condensed" w:hAnsi="Barlow Semi Condensed"/>
          <w:b/>
          <w:bCs/>
          <w:sz w:val="24"/>
          <w:szCs w:val="24"/>
        </w:rPr>
        <w:t xml:space="preserve">222 · Contro il nesso Hyperion.</w:t>
      </w:r>
      <w:r>
        <w:rPr>
          <w:rFonts w:ascii="Barlow Semi Condensed" w:cs="Barlow Semi Condensed" w:eastAsia="Barlow Semi Condensed" w:hAnsi="Barlow Semi Condensed"/>
          <w:sz w:val="24"/>
          <w:szCs w:val="24"/>
        </w:rPr>
        <w:t xml:space="preserve"> La pista è chiusa nel corpus per anello debole: ogni cammino verso via Fani passa per archi biografici. Il test di riapertura è uno solo — un documento primario che trasformi un arco biografico in arco di condotta. Il blocco tiene il criterio pronto e la porta chiusa.</w:t>
      </w:r>
    </w:p>
    <w:p>
      <w:pPr>
        <w:spacing w:after="120" w:line="276"/>
        <w:jc w:val="both"/>
      </w:pPr>
      <w:r>
        <w:rPr>
          <w:rFonts w:ascii="Barlow Semi Condensed" w:cs="Barlow Semi Condensed" w:eastAsia="Barlow Semi Condensed" w:hAnsi="Barlow Semi Condensed"/>
          <w:b/>
          <w:bCs/>
          <w:sz w:val="24"/>
          <w:szCs w:val="24"/>
        </w:rPr>
        <w:t xml:space="preserve">223 · Contro la genuinità del falso.</w:t>
      </w:r>
      <w:r>
        <w:rPr>
          <w:rFonts w:ascii="Barlow Semi Condensed" w:cs="Barlow Semi Condensed" w:eastAsia="Barlow Semi Condensed" w:hAnsi="Barlow Semi Condensed"/>
          <w:sz w:val="24"/>
          <w:szCs w:val="24"/>
        </w:rPr>
        <w:t xml:space="preserve"> Per il comunicato del Lago della Duchessa, cercare ciò che smentirebbe la genesi solitaria: commissioni, contatti, conoscenze anticipate documentate. L'attribuzione materiale è giudicata; la genesi resta quesito — e il fascicolo Chichiarelli integrale è il giacimento dove la risposta, se esiste, giace.</w:t>
      </w:r>
    </w:p>
    <w:p>
      <w:pPr>
        <w:spacing w:after="120" w:line="276"/>
        <w:jc w:val="both"/>
      </w:pPr>
      <w:r>
        <w:rPr>
          <w:rFonts w:ascii="Barlow Semi Condensed" w:cs="Barlow Semi Condensed" w:eastAsia="Barlow Semi Condensed" w:hAnsi="Barlow Semi Condensed"/>
          <w:b/>
          <w:bCs/>
          <w:sz w:val="24"/>
          <w:szCs w:val="24"/>
        </w:rPr>
        <w:t xml:space="preserve">224 · Contro la memoria dei testimoni.</w:t>
      </w:r>
      <w:r>
        <w:rPr>
          <w:rFonts w:ascii="Barlow Semi Condensed" w:cs="Barlow Semi Condensed" w:eastAsia="Barlow Semi Condensed" w:hAnsi="Barlow Semi Condensed"/>
          <w:sz w:val="24"/>
          <w:szCs w:val="24"/>
        </w:rPr>
        <w:t xml:space="preserve"> Per ogni testimonianza fondante, cercare la corroborazione fisica prima di costruirvi sopra: la lezione Marini (la ritrattazione del parabrezza davanti alla Moro 2) è il precedente scolpito. Ogni blocco della serie quinta si esegue con questo controlimite incorporato.</w:t>
      </w:r>
    </w:p>
    <w:p>
      <w:pPr>
        <w:spacing w:after="120" w:line="276"/>
        <w:jc w:val="both"/>
      </w:pPr>
      <w:r>
        <w:rPr>
          <w:rFonts w:ascii="Barlow Semi Condensed" w:cs="Barlow Semi Condensed" w:eastAsia="Barlow Semi Condensed" w:hAnsi="Barlow Semi Condensed"/>
          <w:b/>
          <w:bCs/>
          <w:sz w:val="24"/>
          <w:szCs w:val="24"/>
        </w:rPr>
        <w:t xml:space="preserve">225 · Contro la seduta come aneddoto.</w:t>
      </w:r>
      <w:r>
        <w:rPr>
          <w:rFonts w:ascii="Barlow Semi Condensed" w:cs="Barlow Semi Condensed" w:eastAsia="Barlow Semi Condensed" w:hAnsi="Barlow Semi Condensed"/>
          <w:sz w:val="24"/>
          <w:szCs w:val="24"/>
        </w:rPr>
        <w:t xml:space="preserve"> Cercare le testimonianze incrociate di tutti i presenti al 2 aprile ancora ascoltabili, e i verbali resi all'epoca: la convergenza o divergenza dei racconti, misurata, decide se il quesito 3 ha ancora testimoni utili o se resta solo carta.</w:t>
      </w:r>
    </w:p>
    <w:p>
      <w:pPr>
        <w:spacing w:after="120" w:line="276"/>
        <w:jc w:val="both"/>
      </w:pPr>
      <w:r>
        <w:rPr>
          <w:rFonts w:ascii="Barlow Semi Condensed" w:cs="Barlow Semi Condensed" w:eastAsia="Barlow Semi Condensed" w:hAnsi="Barlow Semi Condensed"/>
          <w:b/>
          <w:bCs/>
          <w:sz w:val="24"/>
          <w:szCs w:val="24"/>
        </w:rPr>
        <w:t xml:space="preserve">226 · Contro il caricatore orfano.</w:t>
      </w:r>
      <w:r>
        <w:rPr>
          <w:rFonts w:ascii="Barlow Semi Condensed" w:cs="Barlow Semi Condensed" w:eastAsia="Barlow Semi Condensed" w:hAnsi="Barlow Semi Condensed"/>
          <w:sz w:val="24"/>
          <w:szCs w:val="24"/>
        </w:rPr>
        <w:t xml:space="preserve"> Cercare l'attribuzione del caricatore di via Stresa: impronte riesaminabili, compatibilità d'arma, catena di custodia. Un'attribuzione ordinaria a un'arma dei condannati chiude il reperto; l'inattribuibilità documentata lo mantiene tra le evidenze delle presenze non giudicate.</w:t>
      </w:r>
    </w:p>
    <w:p>
      <w:pPr>
        <w:spacing w:after="120" w:line="276"/>
        <w:jc w:val="both"/>
      </w:pPr>
      <w:r>
        <w:rPr>
          <w:rFonts w:ascii="Barlow Semi Condensed" w:cs="Barlow Semi Condensed" w:eastAsia="Barlow Semi Condensed" w:hAnsi="Barlow Semi Condensed"/>
          <w:b/>
          <w:bCs/>
          <w:sz w:val="24"/>
          <w:szCs w:val="24"/>
        </w:rPr>
        <w:t xml:space="preserve">227 · Contro la lettura cospirativa dei comitati.</w:t>
      </w:r>
      <w:r>
        <w:rPr>
          <w:rFonts w:ascii="Barlow Semi Condensed" w:cs="Barlow Semi Condensed" w:eastAsia="Barlow Semi Condensed" w:hAnsi="Barlow Semi Condensed"/>
          <w:sz w:val="24"/>
          <w:szCs w:val="24"/>
        </w:rPr>
        <w:t xml:space="preserve"> Cercare i verbali che mostrino i comitati del Viminale funzionare ordinariamente: riunioni tenute, decisioni istruite, esperti consultati per iscritto. La tesi del simulacro si smentisce con la carta; la sua conferma — la certificata assenza di verbali — è a sua volta un fatto, non un complotto.</w:t>
      </w:r>
    </w:p>
    <w:p>
      <w:pPr>
        <w:spacing w:after="120" w:line="276"/>
        <w:jc w:val="both"/>
      </w:pPr>
      <w:r>
        <w:rPr>
          <w:rFonts w:ascii="Barlow Semi Condensed" w:cs="Barlow Semi Condensed" w:eastAsia="Barlow Semi Condensed" w:hAnsi="Barlow Semi Condensed"/>
          <w:b/>
          <w:bCs/>
          <w:sz w:val="24"/>
          <w:szCs w:val="24"/>
        </w:rPr>
        <w:t xml:space="preserve">228 · Contro l'omissione degli alleati.</w:t>
      </w:r>
      <w:r>
        <w:rPr>
          <w:rFonts w:ascii="Barlow Semi Condensed" w:cs="Barlow Semi Condensed" w:eastAsia="Barlow Semi Condensed" w:hAnsi="Barlow Semi Condensed"/>
          <w:sz w:val="24"/>
          <w:szCs w:val="24"/>
        </w:rPr>
        <w:t xml:space="preserve"> Cercare nei giacimenti esteri la prova che gli alleati riferirono tempestivamente alle autorità italiane ciò che sapevano: la cooperazione documentata smentirebbe la reticenza congetturata. La regola dell'originatore si erode per richiesta formale, atto per atto.</w:t>
      </w:r>
    </w:p>
    <w:p>
      <w:pPr>
        <w:spacing w:after="120" w:line="276"/>
        <w:jc w:val="both"/>
      </w:pPr>
      <w:r>
        <w:rPr>
          <w:rFonts w:ascii="Barlow Semi Condensed" w:cs="Barlow Semi Condensed" w:eastAsia="Barlow Semi Condensed" w:hAnsi="Barlow Semi Condensed"/>
          <w:b/>
          <w:bCs/>
          <w:sz w:val="24"/>
          <w:szCs w:val="24"/>
        </w:rPr>
        <w:t xml:space="preserve">229 · Contro la sorveglianza taciuta.</w:t>
      </w:r>
      <w:r>
        <w:rPr>
          <w:rFonts w:ascii="Barlow Semi Condensed" w:cs="Barlow Semi Condensed" w:eastAsia="Barlow Semi Condensed" w:hAnsi="Barlow Semi Condensed"/>
          <w:sz w:val="24"/>
          <w:szCs w:val="24"/>
        </w:rPr>
        <w:t xml:space="preserve"> Per l'osservazione UCIGOS su via Montalcini (estate-ottobre 1978) non riferita per due anni alla magistratura, cercare l'atto che la giustificherebbe: un fascicolo d'indagine parallelo, un vincolo formale. L'atto trovato spiega; l'atto assente lascia l'omissione come fatto amministrativo accertato.</w:t>
      </w:r>
    </w:p>
    <w:p>
      <w:pPr>
        <w:spacing w:after="120" w:line="276"/>
        <w:jc w:val="both"/>
      </w:pPr>
      <w:r>
        <w:rPr>
          <w:rFonts w:ascii="Barlow Semi Condensed" w:cs="Barlow Semi Condensed" w:eastAsia="Barlow Semi Condensed" w:hAnsi="Barlow Semi Condensed"/>
          <w:b/>
          <w:bCs/>
          <w:sz w:val="24"/>
          <w:szCs w:val="24"/>
        </w:rPr>
        <w:t xml:space="preserve">230 · Contro le piste chiuse ingiustamente.</w:t>
      </w:r>
      <w:r>
        <w:rPr>
          <w:rFonts w:ascii="Barlow Semi Condensed" w:cs="Barlow Semi Condensed" w:eastAsia="Barlow Semi Condensed" w:hAnsi="Barlow Semi Condensed"/>
          <w:sz w:val="24"/>
          <w:szCs w:val="24"/>
        </w:rPr>
        <w:t xml:space="preserve"> Rileggere le piste archiviate dal programma (seconda prigione, nessi congetturali) chiedendo: la chiusura fu per smentita o per stanchezza? Solo la chiusura per smentita documentata regge; le altre tornano in coda all'agenda con priorità minima ma non nulla.</w:t>
      </w:r>
    </w:p>
    <w:p>
      <w:pPr>
        <w:spacing w:after="120" w:line="276"/>
        <w:jc w:val="both"/>
      </w:pPr>
      <w:r>
        <w:rPr>
          <w:rFonts w:ascii="Barlow Semi Condensed" w:cs="Barlow Semi Condensed" w:eastAsia="Barlow Semi Condensed" w:hAnsi="Barlow Semi Condensed"/>
          <w:b/>
          <w:bCs/>
          <w:sz w:val="24"/>
          <w:szCs w:val="24"/>
        </w:rPr>
        <w:t xml:space="preserve">231 · Contro il corpus stesso.</w:t>
      </w:r>
      <w:r>
        <w:rPr>
          <w:rFonts w:ascii="Barlow Semi Condensed" w:cs="Barlow Semi Condensed" w:eastAsia="Barlow Semi Condensed" w:hAnsi="Barlow Semi Condensed"/>
          <w:sz w:val="24"/>
          <w:szCs w:val="24"/>
        </w:rPr>
        <w:t xml:space="preserve"> Applicare al corpus la sua regola: cercare attivamente l'errore nelle proprie schede — date, attribuzioni, gradi — e correggere per nota, mai per riscrittura. La Nota di revisione n. 1 (Marini) è il precedente: l'agenda prevede le prossime, e le conta come successi.</w:t>
      </w:r>
    </w:p>
    <w:p>
      <w:pPr>
        <w:spacing w:after="120" w:line="276"/>
        <w:jc w:val="both"/>
      </w:pPr>
      <w:r>
        <w:rPr>
          <w:rFonts w:ascii="Barlow Semi Condensed" w:cs="Barlow Semi Condensed" w:eastAsia="Barlow Semi Condensed" w:hAnsi="Barlow Semi Condensed"/>
          <w:b/>
          <w:bCs/>
          <w:sz w:val="24"/>
          <w:szCs w:val="24"/>
        </w:rPr>
        <w:t xml:space="preserve">232 · Il test dell'anello debole su ogni catena nuova.</w:t>
      </w:r>
      <w:r>
        <w:rPr>
          <w:rFonts w:ascii="Barlow Semi Condensed" w:cs="Barlow Semi Condensed" w:eastAsia="Barlow Semi Condensed" w:hAnsi="Barlow Semi Condensed"/>
          <w:sz w:val="24"/>
          <w:szCs w:val="24"/>
        </w:rPr>
        <w:t xml:space="preserve"> Ogni catena inferenziale prodotta dalle ricerche dell'agenda si misura al suo anello più debole prima di entrare in qualunque scheda: un solo passaggio biografico degrada tutto il cammino. Il blocco è il tornello: nessun risultato entra senza il grado stampato.</w:t>
      </w:r>
    </w:p>
    <w:p>
      <w:pPr>
        <w:spacing w:after="120" w:line="276"/>
        <w:jc w:val="both"/>
      </w:pPr>
      <w:r>
        <w:rPr>
          <w:rFonts w:ascii="Barlow Semi Condensed" w:cs="Barlow Semi Condensed" w:eastAsia="Barlow Semi Condensed" w:hAnsi="Barlow Semi Condensed"/>
          <w:b/>
          <w:bCs/>
          <w:sz w:val="24"/>
          <w:szCs w:val="24"/>
        </w:rPr>
        <w:t xml:space="preserve">233 · Il test dei buchi.</w:t>
      </w:r>
      <w:r>
        <w:rPr>
          <w:rFonts w:ascii="Barlow Semi Condensed" w:cs="Barlow Semi Condensed" w:eastAsia="Barlow Semi Condensed" w:hAnsi="Barlow Semi Condensed"/>
          <w:sz w:val="24"/>
          <w:szCs w:val="24"/>
        </w:rPr>
        <w:t xml:space="preserve"> Dove una ricerca trova il vuoto — il verbale che non c'è, il registro mai tenuto, la busta mancante — l'esito si verbalizza come Stato Zero con perimetro esatto: che cosa è stato cercato, dove, quando, con quale esito. Il buco misurato è conoscenza; il buco narrato è romanzo.</w:t>
      </w:r>
    </w:p>
    <w:p>
      <w:pPr>
        <w:spacing w:after="120" w:line="276"/>
        <w:jc w:val="both"/>
      </w:pPr>
      <w:r>
        <w:rPr>
          <w:rFonts w:ascii="Barlow Semi Condensed" w:cs="Barlow Semi Condensed" w:eastAsia="Barlow Semi Condensed" w:hAnsi="Barlow Semi Condensed"/>
          <w:b/>
          <w:bCs/>
          <w:sz w:val="24"/>
          <w:szCs w:val="24"/>
        </w:rPr>
        <w:t xml:space="preserve">234 · La contro-agenda.</w:t>
      </w:r>
      <w:r>
        <w:rPr>
          <w:rFonts w:ascii="Barlow Semi Condensed" w:cs="Barlow Semi Condensed" w:eastAsia="Barlow Semi Condensed" w:hAnsi="Barlow Semi Condensed"/>
          <w:sz w:val="24"/>
          <w:szCs w:val="24"/>
        </w:rPr>
        <w:t xml:space="preserve"> Invitare formalmente chi sostiene tesi alternative a formulare i propri bersagli di smentita nella stessa grammatica: quesito, giacimento, evidenza attesa, criterio di chiusura. L'agenda è aperta agli avversari: chi non formula bersagli falsificabili dichiara da sé la natura della propria tesi.</w:t>
      </w:r>
    </w:p>
    <w:p>
      <w:pPr>
        <w:spacing w:after="120" w:line="276"/>
        <w:jc w:val="both"/>
      </w:pPr>
      <w:r>
        <w:rPr>
          <w:rFonts w:ascii="Barlow Semi Condensed" w:cs="Barlow Semi Condensed" w:eastAsia="Barlow Semi Condensed" w:hAnsi="Barlow Semi Condensed"/>
          <w:b/>
          <w:bCs/>
          <w:sz w:val="24"/>
          <w:szCs w:val="24"/>
        </w:rPr>
        <w:t xml:space="preserve">235 · Il registro delle smentite.</w:t>
      </w:r>
      <w:r>
        <w:rPr>
          <w:rFonts w:ascii="Barlow Semi Condensed" w:cs="Barlow Semi Condensed" w:eastAsia="Barlow Semi Condensed" w:hAnsi="Barlow Semi Condensed"/>
          <w:sz w:val="24"/>
          <w:szCs w:val="24"/>
        </w:rPr>
        <w:t xml:space="preserve"> Ogni smentita riuscita — tesi caduta, pista chiusa, reperto spiegato — entra in un registro pubblico con la sua data e il suo documento: l'elenco di ciò che non è più in questione. È il patrimonio più stabile dell'agenda: ciò che si è chiuso bene non riapre per suggestione.</w:t>
      </w:r>
    </w:p>
    <w:p>
      <w:pPr>
        <w:pStyle w:val="Heading2"/>
        <w:spacing w:after="100" w:before="200"/>
      </w:pPr>
      <w:r>
        <w:rPr>
          <w:rFonts w:ascii="Barlow Semi Condensed" w:cs="Barlow Semi Condensed" w:eastAsia="Barlow Semi Condensed" w:hAnsi="Barlow Semi Condensed"/>
          <w:sz w:val="24"/>
          <w:szCs w:val="24"/>
        </w:rPr>
        <w:t xml:space="preserve">Serie decima — Le cronologie e i registri da ricostruire (blocchi 236-260)</w:t>
      </w:r>
    </w:p>
    <w:p>
      <w:pPr>
        <w:spacing w:after="120" w:line="276"/>
        <w:jc w:val="both"/>
      </w:pPr>
      <w:r>
        <w:rPr>
          <w:rFonts w:ascii="Barlow Semi Condensed" w:cs="Barlow Semi Condensed" w:eastAsia="Barlow Semi Condensed" w:hAnsi="Barlow Semi Condensed"/>
          <w:i/>
          <w:iCs/>
          <w:sz w:val="24"/>
          <w:szCs w:val="24"/>
        </w:rPr>
        <w:t xml:space="preserve">Statuto della serie: la carta seriale. I registri, i protocolli, i brogliacci e i tabulati sono la classe di fonti meno interpretabile e più discriminante che esista: non raccontano, elencano. La serie elenca i registri che il caso non ha mai avuto in forma integrale e le vie per ricostruirli; ogni bersaglio ha per esito una tavola, e ogni tavola vale per ciò che contiene e per ciò che dimostra di non contenere.</w:t>
      </w:r>
    </w:p>
    <w:p>
      <w:pPr>
        <w:spacing w:after="120" w:line="276"/>
        <w:jc w:val="both"/>
      </w:pPr>
      <w:r>
        <w:rPr>
          <w:rFonts w:ascii="Barlow Semi Condensed" w:cs="Barlow Semi Condensed" w:eastAsia="Barlow Semi Condensed" w:hAnsi="Barlow Semi Condensed"/>
          <w:b/>
          <w:bCs/>
          <w:sz w:val="24"/>
          <w:szCs w:val="24"/>
        </w:rPr>
        <w:t xml:space="preserve">236 · Il registro d'ingresso delle segnalazioni.</w:t>
      </w:r>
      <w:r>
        <w:rPr>
          <w:rFonts w:ascii="Barlow Semi Condensed" w:cs="Barlow Semi Condensed" w:eastAsia="Barlow Semi Condensed" w:hAnsi="Barlow Semi Condensed"/>
          <w:sz w:val="24"/>
          <w:szCs w:val="24"/>
        </w:rPr>
        <w:t xml:space="preserve"> Ricostruire dai protocolli degli uffici riceventi — questure, prefetture, comandi, centralini — quante segnalazioni entrarono nei 55 giorni: la colonna dell'input mai prodotta, da opporre all'output documentato (72.460 posti di blocco, 37.702 perquisizioni). È il bersaglio capitale della serie, e il progetto esecutivo sta nella serie settima del manuale.</w:t>
      </w:r>
    </w:p>
    <w:p>
      <w:pPr>
        <w:spacing w:after="120" w:line="276"/>
        <w:jc w:val="both"/>
      </w:pPr>
      <w:r>
        <w:rPr>
          <w:rFonts w:ascii="Barlow Semi Condensed" w:cs="Barlow Semi Condensed" w:eastAsia="Barlow Semi Condensed" w:hAnsi="Barlow Semi Condensed"/>
          <w:b/>
          <w:bCs/>
          <w:sz w:val="24"/>
          <w:szCs w:val="24"/>
        </w:rPr>
        <w:t xml:space="preserve">237 · Il brogliaccio del 16 marzo.</w:t>
      </w:r>
      <w:r>
        <w:rPr>
          <w:rFonts w:ascii="Barlow Semi Condensed" w:cs="Barlow Semi Condensed" w:eastAsia="Barlow Semi Condensed" w:hAnsi="Barlow Semi Condensed"/>
          <w:sz w:val="24"/>
          <w:szCs w:val="24"/>
        </w:rPr>
        <w:t xml:space="preserve"> Cercare il brogliaccio della sala operativa della Questura di Roma e del Viminale per la mattina del 16 marzo 1978: la sequenza minuto per minuto delle prime comunicazioni, degli ordini d'intervento, dei blocchi disposti. La prima ora in carta seriale, non in memoria.</w:t>
      </w:r>
    </w:p>
    <w:p>
      <w:pPr>
        <w:spacing w:after="120" w:line="276"/>
        <w:jc w:val="both"/>
      </w:pPr>
      <w:r>
        <w:rPr>
          <w:rFonts w:ascii="Barlow Semi Condensed" w:cs="Barlow Semi Condensed" w:eastAsia="Barlow Semi Condensed" w:hAnsi="Barlow Semi Condensed"/>
          <w:b/>
          <w:bCs/>
          <w:sz w:val="24"/>
          <w:szCs w:val="24"/>
        </w:rPr>
        <w:t xml:space="preserve">238 · I registri delle volanti.</w:t>
      </w:r>
      <w:r>
        <w:rPr>
          <w:rFonts w:ascii="Barlow Semi Condensed" w:cs="Barlow Semi Condensed" w:eastAsia="Barlow Semi Condensed" w:hAnsi="Barlow Semi Condensed"/>
          <w:sz w:val="24"/>
          <w:szCs w:val="24"/>
        </w:rPr>
        <w:t xml:space="preserve"> I fogli di servizio e i registri di pattuglia della zona Trionfale-Camilluccia per il 16 marzo e le settimane precedenti: passaggi in via Fani, controlli, annotazioni. Il bersaglio include le settimane prima: la zona fu osservata dai sequestratori, e forse qualcuno annotò senza capire.</w:t>
      </w:r>
    </w:p>
    <w:p>
      <w:pPr>
        <w:spacing w:after="120" w:line="276"/>
        <w:jc w:val="both"/>
      </w:pPr>
      <w:r>
        <w:rPr>
          <w:rFonts w:ascii="Barlow Semi Condensed" w:cs="Barlow Semi Condensed" w:eastAsia="Barlow Semi Condensed" w:hAnsi="Barlow Semi Condensed"/>
          <w:b/>
          <w:bCs/>
          <w:sz w:val="24"/>
          <w:szCs w:val="24"/>
        </w:rPr>
        <w:t xml:space="preserve">239 · I tabulati superstiti.</w:t>
      </w:r>
      <w:r>
        <w:rPr>
          <w:rFonts w:ascii="Barlow Semi Condensed" w:cs="Barlow Semi Condensed" w:eastAsia="Barlow Semi Condensed" w:hAnsi="Barlow Semi Condensed"/>
          <w:sz w:val="24"/>
          <w:szCs w:val="24"/>
        </w:rPr>
        <w:t xml:space="preserve"> Censire quali tabulati telefonici del 1978 sopravvivono — utenze attenzionate, cabine della zona, utenze dei covi noti — presso archivi giudiziari e societari. L'esito realistico è un censimento del distrutto; anche la distruzione documentata, con la sua data e la sua norma, è un dato.</w:t>
      </w:r>
    </w:p>
    <w:p>
      <w:pPr>
        <w:spacing w:after="120" w:line="276"/>
        <w:jc w:val="both"/>
      </w:pPr>
      <w:r>
        <w:rPr>
          <w:rFonts w:ascii="Barlow Semi Condensed" w:cs="Barlow Semi Condensed" w:eastAsia="Barlow Semi Condensed" w:hAnsi="Barlow Semi Condensed"/>
          <w:b/>
          <w:bCs/>
          <w:sz w:val="24"/>
          <w:szCs w:val="24"/>
        </w:rPr>
        <w:t xml:space="preserve">240 · Il registro delle intercettazioni.</w:t>
      </w:r>
      <w:r>
        <w:rPr>
          <w:rFonts w:ascii="Barlow Semi Condensed" w:cs="Barlow Semi Condensed" w:eastAsia="Barlow Semi Condensed" w:hAnsi="Barlow Semi Condensed"/>
          <w:sz w:val="24"/>
          <w:szCs w:val="24"/>
        </w:rPr>
        <w:t xml:space="preserve"> Quante utenze furono intercettate nei 55 giorni, su quale decreto, con quali trascrizioni conservate: il registro delle attivazioni come tavola unica. Le trascrizioni superstiti si rileggono con la domanda del quesito 7: che cosa fu ascoltato e non riferito?</w:t>
      </w:r>
    </w:p>
    <w:p>
      <w:pPr>
        <w:spacing w:after="120" w:line="276"/>
        <w:jc w:val="both"/>
      </w:pPr>
      <w:r>
        <w:rPr>
          <w:rFonts w:ascii="Barlow Semi Condensed" w:cs="Barlow Semi Condensed" w:eastAsia="Barlow Semi Condensed" w:hAnsi="Barlow Semi Condensed"/>
          <w:b/>
          <w:bCs/>
          <w:sz w:val="24"/>
          <w:szCs w:val="24"/>
        </w:rPr>
        <w:t xml:space="preserve">241 · I verbali dei comitati, il calendario.</w:t>
      </w:r>
      <w:r>
        <w:rPr>
          <w:rFonts w:ascii="Barlow Semi Condensed" w:cs="Barlow Semi Condensed" w:eastAsia="Barlow Semi Condensed" w:hAnsi="Barlow Semi Condensed"/>
          <w:sz w:val="24"/>
          <w:szCs w:val="24"/>
        </w:rPr>
        <w:t xml:space="preserve"> Ricostruire il calendario integrale delle riunioni dei tre comitati del 16 marzo: date, presenze, ordini del giorno, decisioni. La tavola delle riunioni tenute contro le riunioni mai tenute (il comitato di esperti mai riunito collegialmente) è già un accertamento del corpus da portare a completezza documentale.</w:t>
      </w:r>
    </w:p>
    <w:p>
      <w:pPr>
        <w:spacing w:after="120" w:line="276"/>
        <w:jc w:val="both"/>
      </w:pPr>
      <w:r>
        <w:rPr>
          <w:rFonts w:ascii="Barlow Semi Condensed" w:cs="Barlow Semi Condensed" w:eastAsia="Barlow Semi Condensed" w:hAnsi="Barlow Semi Condensed"/>
          <w:b/>
          <w:bCs/>
          <w:sz w:val="24"/>
          <w:szCs w:val="24"/>
        </w:rPr>
        <w:t xml:space="preserve">242 · I registri carcerari dei 55 giorni.</w:t>
      </w:r>
      <w:r>
        <w:rPr>
          <w:rFonts w:ascii="Barlow Semi Condensed" w:cs="Barlow Semi Condensed" w:eastAsia="Barlow Semi Condensed" w:hAnsi="Barlow Semi Condensed"/>
          <w:sz w:val="24"/>
          <w:szCs w:val="24"/>
        </w:rPr>
        <w:t xml:space="preserve"> I registri dei colloqui nelle carceri dove erano detenuti i brigatisti storici, marzo-maggio 1978: chi entrò, con quale autorizzazione, con quale frequenza — il perimetro documentale del canale ecclesiastico e di ogni altro canale. Carta seriale, non memorialistica.</w:t>
      </w:r>
    </w:p>
    <w:p>
      <w:pPr>
        <w:spacing w:after="120" w:line="276"/>
        <w:jc w:val="both"/>
      </w:pPr>
      <w:r>
        <w:rPr>
          <w:rFonts w:ascii="Barlow Semi Condensed" w:cs="Barlow Semi Condensed" w:eastAsia="Barlow Semi Condensed" w:hAnsi="Barlow Semi Condensed"/>
          <w:b/>
          <w:bCs/>
          <w:sz w:val="24"/>
          <w:szCs w:val="24"/>
        </w:rPr>
        <w:t xml:space="preserve">243 · Il registro dei corpi di reato.</w:t>
      </w:r>
      <w:r>
        <w:rPr>
          <w:rFonts w:ascii="Barlow Semi Condensed" w:cs="Barlow Semi Condensed" w:eastAsia="Barlow Semi Condensed" w:hAnsi="Barlow Semi Condensed"/>
          <w:sz w:val="24"/>
          <w:szCs w:val="24"/>
        </w:rPr>
        <w:t xml:space="preserve"> La catena di custodia integrale dei reperti del caso dal 1978 a oggi: verbali di sequestro, trasferimenti, perizie, sedi. Ogni futura analisi della serie quarta vale quanto la catena che la precede; il registro ricostruito è la precondizione di tutto il cantiere dei reperti.</w:t>
      </w:r>
    </w:p>
    <w:p>
      <w:pPr>
        <w:spacing w:after="120" w:line="276"/>
        <w:jc w:val="both"/>
      </w:pPr>
      <w:r>
        <w:rPr>
          <w:rFonts w:ascii="Barlow Semi Condensed" w:cs="Barlow Semi Condensed" w:eastAsia="Barlow Semi Condensed" w:hAnsi="Barlow Semi Condensed"/>
          <w:b/>
          <w:bCs/>
          <w:sz w:val="24"/>
          <w:szCs w:val="24"/>
        </w:rPr>
        <w:t xml:space="preserve">244 · I protocolli riservati dei ministeri.</w:t>
      </w:r>
      <w:r>
        <w:rPr>
          <w:rFonts w:ascii="Barlow Semi Condensed" w:cs="Barlow Semi Condensed" w:eastAsia="Barlow Semi Condensed" w:hAnsi="Barlow Semi Condensed"/>
          <w:sz w:val="24"/>
          <w:szCs w:val="24"/>
        </w:rPr>
        <w:t xml:space="preserve"> I registri di protocollo riservato di Interno ed Esteri per marzo-maggio 1978: la carta seriale che consente di dire quali documenti esistettero, anche dove i documenti stessi mancano. Il protocollo che registra una nota scomparsa è la prova che la nota esistette.</w:t>
      </w:r>
    </w:p>
    <w:p>
      <w:pPr>
        <w:spacing w:after="120" w:line="276"/>
        <w:jc w:val="both"/>
      </w:pPr>
      <w:r>
        <w:rPr>
          <w:rFonts w:ascii="Barlow Semi Condensed" w:cs="Barlow Semi Condensed" w:eastAsia="Barlow Semi Condensed" w:hAnsi="Barlow Semi Condensed"/>
          <w:b/>
          <w:bCs/>
          <w:sz w:val="24"/>
          <w:szCs w:val="24"/>
        </w:rPr>
        <w:t xml:space="preserve">245 · Le agende di gabinetto.</w:t>
      </w:r>
      <w:r>
        <w:rPr>
          <w:rFonts w:ascii="Barlow Semi Condensed" w:cs="Barlow Semi Condensed" w:eastAsia="Barlow Semi Condensed" w:hAnsi="Barlow Semi Condensed"/>
          <w:sz w:val="24"/>
          <w:szCs w:val="24"/>
        </w:rPr>
        <w:t xml:space="preserve"> Le agende ufficiali e i registri delle presenze dei gabinetti ministeriali nei 55 giorni: chi incontrò chi, quando, negli uffici che decidevano. Non le agende private delle persone: i registri d'ufficio, che sono atti e si chiedono come atti.</w:t>
      </w:r>
    </w:p>
    <w:p>
      <w:pPr>
        <w:spacing w:after="120" w:line="276"/>
        <w:jc w:val="both"/>
      </w:pPr>
      <w:r>
        <w:rPr>
          <w:rFonts w:ascii="Barlow Semi Condensed" w:cs="Barlow Semi Condensed" w:eastAsia="Barlow Semi Condensed" w:hAnsi="Barlow Semi Condensed"/>
          <w:b/>
          <w:bCs/>
          <w:sz w:val="24"/>
          <w:szCs w:val="24"/>
        </w:rPr>
        <w:t xml:space="preserve">246 · Il registro dei posti di blocco.</w:t>
      </w:r>
      <w:r>
        <w:rPr>
          <w:rFonts w:ascii="Barlow Semi Condensed" w:cs="Barlow Semi Condensed" w:eastAsia="Barlow Semi Condensed" w:hAnsi="Barlow Semi Condensed"/>
          <w:sz w:val="24"/>
          <w:szCs w:val="24"/>
        </w:rPr>
        <w:t xml:space="preserve"> Dell'output dichiarato (72.460 posti di blocco), campionare i registri effettivi: dove furono disposti, con quali orari, su quali direttrici, con quali esiti verbalizzati. Il campione misura la qualità dell'output: un numero senza registri è un numero, non un'attività.</w:t>
      </w:r>
    </w:p>
    <w:p>
      <w:pPr>
        <w:spacing w:after="120" w:line="276"/>
        <w:jc w:val="both"/>
      </w:pPr>
      <w:r>
        <w:rPr>
          <w:rFonts w:ascii="Barlow Semi Condensed" w:cs="Barlow Semi Condensed" w:eastAsia="Barlow Semi Condensed" w:hAnsi="Barlow Semi Condensed"/>
          <w:b/>
          <w:bCs/>
          <w:sz w:val="24"/>
          <w:szCs w:val="24"/>
        </w:rPr>
        <w:t xml:space="preserve">247 · Le perquisizioni a campione.</w:t>
      </w:r>
      <w:r>
        <w:rPr>
          <w:rFonts w:ascii="Barlow Semi Condensed" w:cs="Barlow Semi Condensed" w:eastAsia="Barlow Semi Condensed" w:hAnsi="Barlow Semi Condensed"/>
          <w:sz w:val="24"/>
          <w:szCs w:val="24"/>
        </w:rPr>
        <w:t xml:space="preserve"> Delle 37.702 perquisizioni dichiarate, estrarre un campione documentale: i verbali, i criteri di selezione degli obiettivi, gli esiti. Il campione risponde a una domanda sola: la macchina cercava dove le segnalazioni indicavano, o dove era più semplice cercare?</w:t>
      </w:r>
    </w:p>
    <w:p>
      <w:pPr>
        <w:spacing w:after="120" w:line="276"/>
        <w:jc w:val="both"/>
      </w:pPr>
      <w:r>
        <w:rPr>
          <w:rFonts w:ascii="Barlow Semi Condensed" w:cs="Barlow Semi Condensed" w:eastAsia="Barlow Semi Condensed" w:hAnsi="Barlow Semi Condensed"/>
          <w:b/>
          <w:bCs/>
          <w:sz w:val="24"/>
          <w:szCs w:val="24"/>
        </w:rPr>
        <w:t xml:space="preserve">248 · I registri di frontiera.</w:t>
      </w:r>
      <w:r>
        <w:rPr>
          <w:rFonts w:ascii="Barlow Semi Condensed" w:cs="Barlow Semi Condensed" w:eastAsia="Barlow Semi Condensed" w:hAnsi="Barlow Semi Condensed"/>
          <w:sz w:val="24"/>
          <w:szCs w:val="24"/>
        </w:rPr>
        <w:t xml:space="preserve"> I registri dei valichi e degli scali per i giorni chiave — 16 marzo, 18 aprile, 9 maggio e le finestre dei comunicati: ingressi e uscite attenzionati, controlli straordinari disposti e revocati. La domanda è seriale: il dispositivo di frontiera fu mai modificato, e su quale input?</w:t>
      </w:r>
    </w:p>
    <w:p>
      <w:pPr>
        <w:spacing w:after="120" w:line="276"/>
        <w:jc w:val="both"/>
      </w:pPr>
      <w:r>
        <w:rPr>
          <w:rFonts w:ascii="Barlow Semi Condensed" w:cs="Barlow Semi Condensed" w:eastAsia="Barlow Semi Condensed" w:hAnsi="Barlow Semi Condensed"/>
          <w:b/>
          <w:bCs/>
          <w:sz w:val="24"/>
          <w:szCs w:val="24"/>
        </w:rPr>
        <w:t xml:space="preserve">249 · L'anagrafe dei condominii.</w:t>
      </w:r>
      <w:r>
        <w:rPr>
          <w:rFonts w:ascii="Barlow Semi Condensed" w:cs="Barlow Semi Condensed" w:eastAsia="Barlow Semi Condensed" w:hAnsi="Barlow Semi Condensed"/>
          <w:sz w:val="24"/>
          <w:szCs w:val="24"/>
        </w:rPr>
        <w:t xml:space="preserve"> Per via Gradoli 96 e via Montalcini 8: registri condominiali, verbali d'assemblea, contratti di locazione, utenze — l'anagrafe documentale completa degli stabili, anno per anno. La serie del condominio (quesiti 5 e 6) si decide su questa carta, non sulle memorie.</w:t>
      </w:r>
    </w:p>
    <w:p>
      <w:pPr>
        <w:spacing w:after="120" w:line="276"/>
        <w:jc w:val="both"/>
      </w:pPr>
      <w:r>
        <w:rPr>
          <w:rFonts w:ascii="Barlow Semi Condensed" w:cs="Barlow Semi Condensed" w:eastAsia="Barlow Semi Condensed" w:hAnsi="Barlow Semi Condensed"/>
          <w:b/>
          <w:bCs/>
          <w:sz w:val="24"/>
          <w:szCs w:val="24"/>
        </w:rPr>
        <w:t xml:space="preserve">250 · Il registro del 18 aprile.</w:t>
      </w:r>
      <w:r>
        <w:rPr>
          <w:rFonts w:ascii="Barlow Semi Condensed" w:cs="Barlow Semi Condensed" w:eastAsia="Barlow Semi Condensed" w:hAnsi="Barlow Semi Condensed"/>
          <w:sz w:val="24"/>
          <w:szCs w:val="24"/>
        </w:rPr>
        <w:t xml:space="preserve"> La giornata del triplo evento — l'acqua di via Gradoli, il falso comunicato del Lago della Duchessa, la perquisizione del covo — ricostruita in carta seriale: ordini di servizio dei vigili del fuoco, brogliacci delle redazioni, verbali della Questura, con i minuti. Tre eventi, una tavola oraria.</w:t>
      </w:r>
    </w:p>
    <w:p>
      <w:pPr>
        <w:spacing w:after="120" w:line="276"/>
        <w:jc w:val="both"/>
      </w:pPr>
      <w:r>
        <w:rPr>
          <w:rFonts w:ascii="Barlow Semi Condensed" w:cs="Barlow Semi Condensed" w:eastAsia="Barlow Semi Condensed" w:hAnsi="Barlow Semi Condensed"/>
          <w:b/>
          <w:bCs/>
          <w:sz w:val="24"/>
          <w:szCs w:val="24"/>
        </w:rPr>
        <w:t xml:space="preserve">251 · Il registro del 2 aprile.</w:t>
      </w:r>
      <w:r>
        <w:rPr>
          <w:rFonts w:ascii="Barlow Semi Condensed" w:cs="Barlow Semi Condensed" w:eastAsia="Barlow Semi Condensed" w:hAnsi="Barlow Semi Condensed"/>
          <w:sz w:val="24"/>
          <w:szCs w:val="24"/>
        </w:rPr>
        <w:t xml:space="preserve"> La seduta di Zappolino in carta: chi era presente, chi verbalizzò all'epoca, quando la parola «Gradoli» raggiunse quale ufficio, che cosa l'ufficio ne fece — la catena documentale dalla parola alla perquisizione del paese sbagliato. Ogni passaggio ha o non ha una carta: la tavola lo dirà.</w:t>
      </w:r>
    </w:p>
    <w:p>
      <w:pPr>
        <w:spacing w:after="120" w:line="276"/>
        <w:jc w:val="both"/>
      </w:pPr>
      <w:r>
        <w:rPr>
          <w:rFonts w:ascii="Barlow Semi Condensed" w:cs="Barlow Semi Condensed" w:eastAsia="Barlow Semi Condensed" w:hAnsi="Barlow Semi Condensed"/>
          <w:b/>
          <w:bCs/>
          <w:sz w:val="24"/>
          <w:szCs w:val="24"/>
        </w:rPr>
        <w:t xml:space="preserve">252 · Il registro del 30 aprile e del 9 maggio.</w:t>
      </w:r>
      <w:r>
        <w:rPr>
          <w:rFonts w:ascii="Barlow Semi Condensed" w:cs="Barlow Semi Condensed" w:eastAsia="Barlow Semi Condensed" w:hAnsi="Barlow Semi Condensed"/>
          <w:sz w:val="24"/>
          <w:szCs w:val="24"/>
        </w:rPr>
        <w:t xml:space="preserve"> Le telefonate finali in carta seriale: orari, utenze, registrazioni esistenti, trascrizioni, catene di custodia dei nastri. La serie audio (blocchi della serie quarta) lavora sui contenuti; questo blocco lavora sull'anagrafe dei supporti.</w:t>
      </w:r>
    </w:p>
    <w:p>
      <w:pPr>
        <w:spacing w:after="120" w:line="276"/>
        <w:jc w:val="both"/>
      </w:pPr>
      <w:r>
        <w:rPr>
          <w:rFonts w:ascii="Barlow Semi Condensed" w:cs="Barlow Semi Condensed" w:eastAsia="Barlow Semi Condensed" w:hAnsi="Barlow Semi Condensed"/>
          <w:b/>
          <w:bCs/>
          <w:sz w:val="24"/>
          <w:szCs w:val="24"/>
        </w:rPr>
        <w:t xml:space="preserve">253 · La cronologia machine-readable dei 55 giorni.</w:t>
      </w:r>
      <w:r>
        <w:rPr>
          <w:rFonts w:ascii="Barlow Semi Condensed" w:cs="Barlow Semi Condensed" w:eastAsia="Barlow Semi Condensed" w:hAnsi="Barlow Semi Condensed"/>
          <w:sz w:val="24"/>
          <w:szCs w:val="24"/>
        </w:rPr>
        <w:t xml:space="preserve"> Fondere tutte le cronologie del caso — istruttorie, commissioni, corpus — in una sola tavola strutturata (data, ora, evento, fonte, grado), con i conflitti fra fonti dichiarati riga per riga. È il registro dei registri: ogni nuova carta seriale vi si aggancia.</w:t>
      </w:r>
    </w:p>
    <w:p>
      <w:pPr>
        <w:spacing w:after="120" w:line="276"/>
        <w:jc w:val="both"/>
      </w:pPr>
      <w:r>
        <w:rPr>
          <w:rFonts w:ascii="Barlow Semi Condensed" w:cs="Barlow Semi Condensed" w:eastAsia="Barlow Semi Condensed" w:hAnsi="Barlow Semi Condensed"/>
          <w:b/>
          <w:bCs/>
          <w:sz w:val="24"/>
          <w:szCs w:val="24"/>
        </w:rPr>
        <w:t xml:space="preserve">254 · La cronologia del dopo.</w:t>
      </w:r>
      <w:r>
        <w:rPr>
          <w:rFonts w:ascii="Barlow Semi Condensed" w:cs="Barlow Semi Condensed" w:eastAsia="Barlow Semi Condensed" w:hAnsi="Barlow Semi Condensed"/>
          <w:sz w:val="24"/>
          <w:szCs w:val="24"/>
        </w:rPr>
        <w:t xml:space="preserve"> La stessa tavola estesa oltre il 9 maggio: ritrovamenti, processi, versamenti, perizie, dal 1978 a oggi. Il caso ha quarantott'anni di storia documentale; l'agenda la vuole interrogabile quanto i 55 giorni.</w:t>
      </w:r>
    </w:p>
    <w:p>
      <w:pPr>
        <w:spacing w:after="120" w:line="276"/>
        <w:jc w:val="both"/>
      </w:pPr>
      <w:r>
        <w:rPr>
          <w:rFonts w:ascii="Barlow Semi Condensed" w:cs="Barlow Semi Condensed" w:eastAsia="Barlow Semi Condensed" w:hAnsi="Barlow Semi Condensed"/>
          <w:b/>
          <w:bCs/>
          <w:sz w:val="24"/>
          <w:szCs w:val="24"/>
        </w:rPr>
        <w:t xml:space="preserve">255 · Il censimento dei distrutti.</w:t>
      </w:r>
      <w:r>
        <w:rPr>
          <w:rFonts w:ascii="Barlow Semi Condensed" w:cs="Barlow Semi Condensed" w:eastAsia="Barlow Semi Condensed" w:hAnsi="Barlow Semi Condensed"/>
          <w:sz w:val="24"/>
          <w:szCs w:val="24"/>
        </w:rPr>
        <w:t xml:space="preserve"> Per ogni classe di registri cercata e non trovata: quando fu distrutta, in base a quale massimario di scarto, con quale verbale di scarto. Lo scarto è un atto amministrativo che lascia traccia: il censimento del distrutto trasforma le assenze in date.</w:t>
      </w:r>
    </w:p>
    <w:p>
      <w:pPr>
        <w:spacing w:after="120" w:line="276"/>
        <w:jc w:val="both"/>
      </w:pPr>
      <w:r>
        <w:rPr>
          <w:rFonts w:ascii="Barlow Semi Condensed" w:cs="Barlow Semi Condensed" w:eastAsia="Barlow Semi Condensed" w:hAnsi="Barlow Semi Condensed"/>
          <w:b/>
          <w:bCs/>
          <w:sz w:val="24"/>
          <w:szCs w:val="24"/>
        </w:rPr>
        <w:t xml:space="preserve">256 · I registri sanitari.</w:t>
      </w:r>
      <w:r>
        <w:rPr>
          <w:rFonts w:ascii="Barlow Semi Condensed" w:cs="Barlow Semi Condensed" w:eastAsia="Barlow Semi Condensed" w:hAnsi="Barlow Semi Condensed"/>
          <w:sz w:val="24"/>
          <w:szCs w:val="24"/>
        </w:rPr>
        <w:t xml:space="preserve"> Le carte sanitarie pubbliche dei 55 giorni utili ai quesiti: i registri dei pronto soccorso romani per il 16 marzo (ferite non denunciate), le farmacie di zona per i presidi della prigionia. Bersagli d'archivio a bassa probabilità e alto rendimento se colpiscono.</w:t>
      </w:r>
    </w:p>
    <w:p>
      <w:pPr>
        <w:spacing w:after="120" w:line="276"/>
        <w:jc w:val="both"/>
      </w:pPr>
      <w:r>
        <w:rPr>
          <w:rFonts w:ascii="Barlow Semi Condensed" w:cs="Barlow Semi Condensed" w:eastAsia="Barlow Semi Condensed" w:hAnsi="Barlow Semi Condensed"/>
          <w:b/>
          <w:bCs/>
          <w:sz w:val="24"/>
          <w:szCs w:val="24"/>
        </w:rPr>
        <w:t xml:space="preserve">257 · I registri della nettezza e delle utenze.</w:t>
      </w:r>
      <w:r>
        <w:rPr>
          <w:rFonts w:ascii="Barlow Semi Condensed" w:cs="Barlow Semi Condensed" w:eastAsia="Barlow Semi Condensed" w:hAnsi="Barlow Semi Condensed"/>
          <w:sz w:val="24"/>
          <w:szCs w:val="24"/>
        </w:rPr>
        <w:t xml:space="preserve"> Per gli stabili chiave e le settimane chiave: consumi idrici ed elettrici, ritiri, manutenzioni — la microcarta seriale che può confermare o smentire presenze e abitudini (l'acqua di via Gradoli insegna). Si chiede alle società, che hanno archivi propri.</w:t>
      </w:r>
    </w:p>
    <w:p>
      <w:pPr>
        <w:spacing w:after="120" w:line="276"/>
        <w:jc w:val="both"/>
      </w:pPr>
      <w:r>
        <w:rPr>
          <w:rFonts w:ascii="Barlow Semi Condensed" w:cs="Barlow Semi Condensed" w:eastAsia="Barlow Semi Condensed" w:hAnsi="Barlow Semi Condensed"/>
          <w:b/>
          <w:bCs/>
          <w:sz w:val="24"/>
          <w:szCs w:val="24"/>
        </w:rPr>
        <w:t xml:space="preserve">258 · I registri bancari del fondo.</w:t>
      </w:r>
      <w:r>
        <w:rPr>
          <w:rFonts w:ascii="Barlow Semi Condensed" w:cs="Barlow Semi Condensed" w:eastAsia="Barlow Semi Condensed" w:hAnsi="Barlow Semi Condensed"/>
          <w:sz w:val="24"/>
          <w:szCs w:val="24"/>
        </w:rPr>
        <w:t xml:space="preserve"> Per la parte patrimoniale del quesito 11: movimenti documentati, fascette, provenienze già accertate (l'accertamento Moro 2 sul finanziatore), destinazioni. La tavola dei movimenti, fin dove le carte arrivano, con lo Stato Zero dichiarato dove si fermano.</w:t>
      </w:r>
    </w:p>
    <w:p>
      <w:pPr>
        <w:spacing w:after="120" w:line="276"/>
        <w:jc w:val="both"/>
      </w:pPr>
      <w:r>
        <w:rPr>
          <w:rFonts w:ascii="Barlow Semi Condensed" w:cs="Barlow Semi Condensed" w:eastAsia="Barlow Semi Condensed" w:hAnsi="Barlow Semi Condensed"/>
          <w:b/>
          <w:bCs/>
          <w:sz w:val="24"/>
          <w:szCs w:val="24"/>
        </w:rPr>
        <w:t xml:space="preserve">259 · Il registro delle richieste dell'agenda.</w:t>
      </w:r>
      <w:r>
        <w:rPr>
          <w:rFonts w:ascii="Barlow Semi Condensed" w:cs="Barlow Semi Condensed" w:eastAsia="Barlow Semi Condensed" w:hAnsi="Barlow Semi Condensed"/>
          <w:sz w:val="24"/>
          <w:szCs w:val="24"/>
        </w:rPr>
        <w:t xml:space="preserve"> Ogni richiesta d'accesso che l'agenda genera — istanze, FOIA, rogatorie — entra a sua volta in un registro pubblico: data, destinatario, oggetto, esito, tempi. L'agenda tiene su di sé la stessa contabilità che pretende dagli archivi del 1978.</w:t>
      </w:r>
    </w:p>
    <w:p>
      <w:pPr>
        <w:spacing w:after="120" w:line="276"/>
        <w:jc w:val="both"/>
      </w:pPr>
      <w:r>
        <w:rPr>
          <w:rFonts w:ascii="Barlow Semi Condensed" w:cs="Barlow Semi Condensed" w:eastAsia="Barlow Semi Condensed" w:hAnsi="Barlow Semi Condensed"/>
          <w:b/>
          <w:bCs/>
          <w:sz w:val="24"/>
          <w:szCs w:val="24"/>
        </w:rPr>
        <w:t xml:space="preserve">260 · La tavola delle tavole.</w:t>
      </w:r>
      <w:r>
        <w:rPr>
          <w:rFonts w:ascii="Barlow Semi Condensed" w:cs="Barlow Semi Condensed" w:eastAsia="Barlow Semi Condensed" w:hAnsi="Barlow Semi Condensed"/>
          <w:sz w:val="24"/>
          <w:szCs w:val="24"/>
        </w:rPr>
        <w:t xml:space="preserve"> L'indice unico di tutti i registri ricostruiti, in costruzione permanente: per ciascuno, copertura, lacune, grado, sede. Chi apre l'indice deve poter dire in un minuto che cosa la carta seriale del caso contiene e dove finisce — e che cosa resta da ricostruire.</w:t>
      </w:r>
    </w:p>
    <w:p>
      <w:pPr>
        <w:pStyle w:val="Heading2"/>
        <w:spacing w:after="100" w:before="200"/>
      </w:pPr>
      <w:r>
        <w:rPr>
          <w:rFonts w:ascii="Barlow Semi Condensed" w:cs="Barlow Semi Condensed" w:eastAsia="Barlow Semi Condensed" w:hAnsi="Barlow Semi Condensed"/>
          <w:sz w:val="24"/>
          <w:szCs w:val="24"/>
        </w:rPr>
        <w:t xml:space="preserve">Serie undicesima — I raccordi con le piste e con il manuale (blocchi 261-280)</w:t>
      </w:r>
    </w:p>
    <w:p>
      <w:pPr>
        <w:spacing w:after="120" w:line="276"/>
        <w:jc w:val="both"/>
      </w:pPr>
      <w:r>
        <w:rPr>
          <w:rFonts w:ascii="Barlow Semi Condensed" w:cs="Barlow Semi Condensed" w:eastAsia="Barlow Semi Condensed" w:hAnsi="Barlow Semi Condensed"/>
          <w:i/>
          <w:iCs/>
          <w:sz w:val="24"/>
          <w:szCs w:val="24"/>
        </w:rPr>
        <w:t xml:space="preserve">Statuto della serie: nessun bersaglio orfano. Ogni blocco dell'agenda serve una pista del programma investigativo e si esegue con i protocolli del manuale; la serie salda le tre opere — programma, manuale, agenda — in un solo sistema, pista per pista.</w:t>
      </w:r>
    </w:p>
    <w:p>
      <w:pPr>
        <w:spacing w:after="120" w:line="276"/>
        <w:jc w:val="both"/>
      </w:pPr>
      <w:r>
        <w:rPr>
          <w:rFonts w:ascii="Barlow Semi Condensed" w:cs="Barlow Semi Condensed" w:eastAsia="Barlow Semi Condensed" w:hAnsi="Barlow Semi Condensed"/>
          <w:b/>
          <w:bCs/>
          <w:sz w:val="24"/>
          <w:szCs w:val="24"/>
        </w:rPr>
        <w:t xml:space="preserve">261 · Il raccordo di PN-1 (le terze presenze).</w:t>
      </w:r>
      <w:r>
        <w:rPr>
          <w:rFonts w:ascii="Barlow Semi Condensed" w:cs="Barlow Semi Condensed" w:eastAsia="Barlow Semi Condensed" w:hAnsi="Barlow Semi Condensed"/>
          <w:sz w:val="24"/>
          <w:szCs w:val="24"/>
        </w:rPr>
        <w:t xml:space="preserve"> La pista di testa (89,0) si nutre dei blocchi 1, 2, 71-100 (reperti), 212, 226, 237-238: DNA, balistica integrale, Honda, caricatore, brogliacci del 16 marzo. Esecuzione con i protocolli forensi del manuale (serie terza) e il raccordo esecutivo del suo blocco 376 e seguenti.</w:t>
      </w:r>
    </w:p>
    <w:p>
      <w:pPr>
        <w:spacing w:after="120" w:line="276"/>
        <w:jc w:val="both"/>
      </w:pPr>
      <w:r>
        <w:rPr>
          <w:rFonts w:ascii="Barlow Semi Condensed" w:cs="Barlow Semi Condensed" w:eastAsia="Barlow Semi Condensed" w:hAnsi="Barlow Semi Condensed"/>
          <w:b/>
          <w:bCs/>
          <w:sz w:val="24"/>
          <w:szCs w:val="24"/>
        </w:rPr>
        <w:t xml:space="preserve">262 · Il raccordo di PN-7 (i testimoni viventi).</w:t>
      </w:r>
      <w:r>
        <w:rPr>
          <w:rFonts w:ascii="Barlow Semi Condensed" w:cs="Barlow Semi Condensed" w:eastAsia="Barlow Semi Condensed" w:hAnsi="Barlow Semi Condensed"/>
          <w:sz w:val="24"/>
          <w:szCs w:val="24"/>
        </w:rPr>
        <w:t xml:space="preserve"> L'urgenza massima (77,5, l'unico 10 di urgenza) si nutre della serie quinta intera (101-125) col controlimite del blocco 224: raccolta conservativa subito, corroborazione fisica prima dell'uso. Il tempo è la variabile: questa pista consuma la sua finestra ogni mese.</w:t>
      </w:r>
    </w:p>
    <w:p>
      <w:pPr>
        <w:spacing w:after="120" w:line="276"/>
        <w:jc w:val="both"/>
      </w:pPr>
      <w:r>
        <w:rPr>
          <w:rFonts w:ascii="Barlow Semi Condensed" w:cs="Barlow Semi Condensed" w:eastAsia="Barlow Semi Condensed" w:hAnsi="Barlow Semi Condensed"/>
          <w:b/>
          <w:bCs/>
          <w:sz w:val="24"/>
          <w:szCs w:val="24"/>
        </w:rPr>
        <w:t xml:space="preserve">263 · Il raccordo di PN-4 (la fonte di «Gradoli»).</w:t>
      </w:r>
      <w:r>
        <w:rPr>
          <w:rFonts w:ascii="Barlow Semi Condensed" w:cs="Barlow Semi Condensed" w:eastAsia="Barlow Semi Condensed" w:hAnsi="Barlow Semi Condensed"/>
          <w:sz w:val="24"/>
          <w:szCs w:val="24"/>
        </w:rPr>
        <w:t xml:space="preserve"> La pista (74,5) si nutre dei blocchi 3, 213, 225, 251: testimonianze incrociate superstiti e catena documentale della parola. Criterio di chiusura già fissato dal programma: fonte identificata con documento, o Stato Zero dichiarato dopo l'escussione dell'ultimo presente.</w:t>
      </w:r>
    </w:p>
    <w:p>
      <w:pPr>
        <w:spacing w:after="120" w:line="276"/>
        <w:jc w:val="both"/>
      </w:pPr>
      <w:r>
        <w:rPr>
          <w:rFonts w:ascii="Barlow Semi Condensed" w:cs="Barlow Semi Condensed" w:eastAsia="Barlow Semi Condensed" w:hAnsi="Barlow Semi Condensed"/>
          <w:b/>
          <w:bCs/>
          <w:sz w:val="24"/>
          <w:szCs w:val="24"/>
        </w:rPr>
        <w:t xml:space="preserve">264 · Il raccordo di PN-2 (il caricatore di via Stresa).</w:t>
      </w:r>
      <w:r>
        <w:rPr>
          <w:rFonts w:ascii="Barlow Semi Condensed" w:cs="Barlow Semi Condensed" w:eastAsia="Barlow Semi Condensed" w:hAnsi="Barlow Semi Condensed"/>
          <w:sz w:val="24"/>
          <w:szCs w:val="24"/>
        </w:rPr>
        <w:t xml:space="preserve"> La pista (71,0) si nutre dei blocchi 226, 243 e dei bersagli forensi della serie quarta: attribuzione o inattribuibilità documentata. Reperto singolo, quesito binario, rendimento alto in entrambi gli esiti.</w:t>
      </w:r>
    </w:p>
    <w:p>
      <w:pPr>
        <w:spacing w:after="120" w:line="276"/>
        <w:jc w:val="both"/>
      </w:pPr>
      <w:r>
        <w:rPr>
          <w:rFonts w:ascii="Barlow Semi Condensed" w:cs="Barlow Semi Condensed" w:eastAsia="Barlow Semi Condensed" w:hAnsi="Barlow Semi Condensed"/>
          <w:b/>
          <w:bCs/>
          <w:sz w:val="24"/>
          <w:szCs w:val="24"/>
        </w:rPr>
        <w:t xml:space="preserve">265 · Il raccordo di PN-5 e PN-3 (fondo Renzi e seduta).</w:t>
      </w:r>
      <w:r>
        <w:rPr>
          <w:rFonts w:ascii="Barlow Semi Condensed" w:cs="Barlow Semi Condensed" w:eastAsia="Barlow Semi Condensed" w:hAnsi="Barlow Semi Condensed"/>
          <w:sz w:val="24"/>
          <w:szCs w:val="24"/>
        </w:rPr>
        <w:t xml:space="preserve"> Le piste appaiate (67,5) si nutrono rispettivamente della serie seconda (lo spoglio del versamento) e dei blocchi 3, 225, 251. Lo spoglio del fondo è la ricerca a più alto volume dell'intera agenda: procede per campagne, con la contabilità della serie dodicesima.</w:t>
      </w:r>
    </w:p>
    <w:p>
      <w:pPr>
        <w:spacing w:after="120" w:line="276"/>
        <w:jc w:val="both"/>
      </w:pPr>
      <w:r>
        <w:rPr>
          <w:rFonts w:ascii="Barlow Semi Condensed" w:cs="Barlow Semi Condensed" w:eastAsia="Barlow Semi Condensed" w:hAnsi="Barlow Semi Condensed"/>
          <w:b/>
          <w:bCs/>
          <w:sz w:val="24"/>
          <w:szCs w:val="24"/>
        </w:rPr>
        <w:t xml:space="preserve">266 · Il raccordo di PN-8 (gli archivi che si aprono).</w:t>
      </w:r>
      <w:r>
        <w:rPr>
          <w:rFonts w:ascii="Barlow Semi Condensed" w:cs="Barlow Semi Condensed" w:eastAsia="Barlow Semi Condensed" w:hAnsi="Barlow Semi Condensed"/>
          <w:sz w:val="24"/>
          <w:szCs w:val="24"/>
        </w:rPr>
        <w:t xml:space="preserve"> La pista (52,5) si nutre delle serie sesta e settima: i giacimenti esteri e i fondi privati, con i loro calendari di apertura. Pista lenta per natura: i suoi bersagli maturano per decorso dei termini, e l'agenda tiene il calendario (blocco del motore delle scadenze nel manuale).</w:t>
      </w:r>
    </w:p>
    <w:p>
      <w:pPr>
        <w:spacing w:after="120" w:line="276"/>
        <w:jc w:val="both"/>
      </w:pPr>
      <w:r>
        <w:rPr>
          <w:rFonts w:ascii="Barlow Semi Condensed" w:cs="Barlow Semi Condensed" w:eastAsia="Barlow Semi Condensed" w:hAnsi="Barlow Semi Condensed"/>
          <w:b/>
          <w:bCs/>
          <w:sz w:val="24"/>
          <w:szCs w:val="24"/>
        </w:rPr>
        <w:t xml:space="preserve">267 · Il raccordo di PN-6 (il vaglio negativo).</w:t>
      </w:r>
      <w:r>
        <w:rPr>
          <w:rFonts w:ascii="Barlow Semi Condensed" w:cs="Barlow Semi Condensed" w:eastAsia="Barlow Semi Condensed" w:hAnsi="Barlow Semi Condensed"/>
          <w:sz w:val="24"/>
          <w:szCs w:val="24"/>
        </w:rPr>
        <w:t xml:space="preserve"> La pista (50,5) è la serie nona intera: le piste da chiudere con smentita documentata. Il suo prodotto è il registro delle smentite (235): la metà dell'igiene del caso.</w:t>
      </w:r>
    </w:p>
    <w:p>
      <w:pPr>
        <w:spacing w:after="120" w:line="276"/>
        <w:jc w:val="both"/>
      </w:pPr>
      <w:r>
        <w:rPr>
          <w:rFonts w:ascii="Barlow Semi Condensed" w:cs="Barlow Semi Condensed" w:eastAsia="Barlow Semi Condensed" w:hAnsi="Barlow Semi Condensed"/>
          <w:b/>
          <w:bCs/>
          <w:sz w:val="24"/>
          <w:szCs w:val="24"/>
        </w:rPr>
        <w:t xml:space="preserve">268 · Il raccordo di PE-1 (i comitati).</w:t>
      </w:r>
      <w:r>
        <w:rPr>
          <w:rFonts w:ascii="Barlow Semi Condensed" w:cs="Barlow Semi Condensed" w:eastAsia="Barlow Semi Condensed" w:hAnsi="Barlow Semi Condensed"/>
          <w:sz w:val="24"/>
          <w:szCs w:val="24"/>
        </w:rPr>
        <w:t xml:space="preserve"> L'entità (74,5) si nutre dei blocchi 8, 227, 241, 244-245 e dei bersagli ACS della serie seconda: verbali, protocolli, presenze. L'esito è documentale per definizione: la tavola dei comitati come funzionarono, qualunque cosa la tavola dica.</w:t>
      </w:r>
    </w:p>
    <w:p>
      <w:pPr>
        <w:spacing w:after="120" w:line="276"/>
        <w:jc w:val="both"/>
      </w:pPr>
      <w:r>
        <w:rPr>
          <w:rFonts w:ascii="Barlow Semi Condensed" w:cs="Barlow Semi Condensed" w:eastAsia="Barlow Semi Condensed" w:hAnsi="Barlow Semi Condensed"/>
          <w:b/>
          <w:bCs/>
          <w:sz w:val="24"/>
          <w:szCs w:val="24"/>
        </w:rPr>
        <w:t xml:space="preserve">269 · Il raccordo di PE-3 (i trenta giorni di via Gradoli).</w:t>
      </w:r>
      <w:r>
        <w:rPr>
          <w:rFonts w:ascii="Barlow Semi Condensed" w:cs="Barlow Semi Condensed" w:eastAsia="Barlow Semi Condensed" w:hAnsi="Barlow Semi Condensed"/>
          <w:sz w:val="24"/>
          <w:szCs w:val="24"/>
        </w:rPr>
        <w:t xml:space="preserve"> L'entità (74,5) si nutre dei blocchi 4, 214, 249, 250, 251: catena di comando del 18 marzo, anagrafe dello stabile, tavola oraria del 18 aprile. La scheda dell'entità fissa i fatti già verificati; l'agenda elenca le carte che mancano.</w:t>
      </w:r>
    </w:p>
    <w:p>
      <w:pPr>
        <w:spacing w:after="120" w:line="276"/>
        <w:jc w:val="both"/>
      </w:pPr>
      <w:r>
        <w:rPr>
          <w:rFonts w:ascii="Barlow Semi Condensed" w:cs="Barlow Semi Condensed" w:eastAsia="Barlow Semi Condensed" w:hAnsi="Barlow Semi Condensed"/>
          <w:b/>
          <w:bCs/>
          <w:sz w:val="24"/>
          <w:szCs w:val="24"/>
        </w:rPr>
        <w:t xml:space="preserve">270 · Il raccordo di PE-2 (il condominio).</w:t>
      </w:r>
      <w:r>
        <w:rPr>
          <w:rFonts w:ascii="Barlow Semi Condensed" w:cs="Barlow Semi Condensed" w:eastAsia="Barlow Semi Condensed" w:hAnsi="Barlow Semi Condensed"/>
          <w:sz w:val="24"/>
          <w:szCs w:val="24"/>
        </w:rPr>
        <w:t xml:space="preserve"> L'entità (67,5) si nutre dei blocchi 5, 217, 249 e della conservatoria come discriminante dichiarato dalla scheda: la tavola cronologica delle proprietà. Disciplina delle date scolpita: i legami posteriori al 1978 non spiegano il covo del 1975-1978.</w:t>
      </w:r>
    </w:p>
    <w:p>
      <w:pPr>
        <w:spacing w:after="120" w:line="276"/>
        <w:jc w:val="both"/>
      </w:pPr>
      <w:r>
        <w:rPr>
          <w:rFonts w:ascii="Barlow Semi Condensed" w:cs="Barlow Semi Condensed" w:eastAsia="Barlow Semi Condensed" w:hAnsi="Barlow Semi Condensed"/>
          <w:b/>
          <w:bCs/>
          <w:sz w:val="24"/>
          <w:szCs w:val="24"/>
        </w:rPr>
        <w:t xml:space="preserve">271 · Il raccordo di PE-6 (il registro delle segnalazioni).</w:t>
      </w:r>
      <w:r>
        <w:rPr>
          <w:rFonts w:ascii="Barlow Semi Condensed" w:cs="Barlow Semi Condensed" w:eastAsia="Barlow Semi Condensed" w:hAnsi="Barlow Semi Condensed"/>
          <w:sz w:val="24"/>
          <w:szCs w:val="24"/>
        </w:rPr>
        <w:t xml:space="preserve"> L'entità (61,0) si nutre dei blocchi 7, 216, 236, 240, 247: l'input da ricostruire contro l'output documentato. È il test empirico della domanda Anselmi, e il progetto esecutivo sta nel manuale (serie settima); l'agenda ne elenca i giacimenti ufficio per ufficio.</w:t>
      </w:r>
    </w:p>
    <w:p>
      <w:pPr>
        <w:spacing w:after="120" w:line="276"/>
        <w:jc w:val="both"/>
      </w:pPr>
      <w:r>
        <w:rPr>
          <w:rFonts w:ascii="Barlow Semi Condensed" w:cs="Barlow Semi Condensed" w:eastAsia="Barlow Semi Condensed" w:hAnsi="Barlow Semi Condensed"/>
          <w:b/>
          <w:bCs/>
          <w:sz w:val="24"/>
          <w:szCs w:val="24"/>
        </w:rPr>
        <w:t xml:space="preserve">272 · Il raccordo di PE-5 (gli alleati).</w:t>
      </w:r>
      <w:r>
        <w:rPr>
          <w:rFonts w:ascii="Barlow Semi Condensed" w:cs="Barlow Semi Condensed" w:eastAsia="Barlow Semi Condensed" w:hAnsi="Barlow Semi Condensed"/>
          <w:sz w:val="24"/>
          <w:szCs w:val="24"/>
        </w:rPr>
        <w:t xml:space="preserve"> L'entità (59,5) si nutre della serie sesta: il censimento del ritenuto e la sua erosione per atto. La regola dell'originatore governa i tempi; il registro delle richieste (259) ne tiene la contabilità.</w:t>
      </w:r>
    </w:p>
    <w:p>
      <w:pPr>
        <w:spacing w:after="120" w:line="276"/>
        <w:jc w:val="both"/>
      </w:pPr>
      <w:r>
        <w:rPr>
          <w:rFonts w:ascii="Barlow Semi Condensed" w:cs="Barlow Semi Condensed" w:eastAsia="Barlow Semi Condensed" w:hAnsi="Barlow Semi Condensed"/>
          <w:b/>
          <w:bCs/>
          <w:sz w:val="24"/>
          <w:szCs w:val="24"/>
        </w:rPr>
        <w:t xml:space="preserve">273 · Il raccordo di PE-4 (la mediazione vaticana).</w:t>
      </w:r>
      <w:r>
        <w:rPr>
          <w:rFonts w:ascii="Barlow Semi Condensed" w:cs="Barlow Semi Condensed" w:eastAsia="Barlow Semi Condensed" w:hAnsi="Barlow Semi Condensed"/>
          <w:sz w:val="24"/>
          <w:szCs w:val="24"/>
        </w:rPr>
        <w:t xml:space="preserve"> L'entità (54,0) si nutre dei blocchi 11, 218, 242, 258 e dei bersagli ecclesiastici della serie sesta: carte di curia, registri carcerari, contabilità del fondo. Il doppio binario della scheda resta: il canale documentato e l'interlocutore ignoto sono due quesiti, non uno.</w:t>
      </w:r>
    </w:p>
    <w:p>
      <w:pPr>
        <w:spacing w:after="120" w:line="276"/>
        <w:jc w:val="both"/>
      </w:pPr>
      <w:r>
        <w:rPr>
          <w:rFonts w:ascii="Barlow Semi Condensed" w:cs="Barlow Semi Condensed" w:eastAsia="Barlow Semi Condensed" w:hAnsi="Barlow Semi Condensed"/>
          <w:b/>
          <w:bCs/>
          <w:sz w:val="24"/>
          <w:szCs w:val="24"/>
        </w:rPr>
        <w:t xml:space="preserve">274 · Il raccordo con le matrici ACH.</w:t>
      </w:r>
      <w:r>
        <w:rPr>
          <w:rFonts w:ascii="Barlow Semi Condensed" w:cs="Barlow Semi Condensed" w:eastAsia="Barlow Semi Condensed" w:hAnsi="Barlow Semi Condensed"/>
          <w:sz w:val="24"/>
          <w:szCs w:val="24"/>
        </w:rPr>
        <w:t xml:space="preserve"> Ogni matrice del corpus ha nella colonna delle evidenze mancanti i propri bersagli d'agenda, e ogni blocco d'agenda dichiara quale cella di quale matrice può riempire. La meta-matrice del manuale (il suo blocco 210) è il quadro di controllo; l'agenda è il suo braccio di ricerca.</w:t>
      </w:r>
    </w:p>
    <w:p>
      <w:pPr>
        <w:spacing w:after="120" w:line="276"/>
        <w:jc w:val="both"/>
      </w:pPr>
      <w:r>
        <w:rPr>
          <w:rFonts w:ascii="Barlow Semi Condensed" w:cs="Barlow Semi Condensed" w:eastAsia="Barlow Semi Condensed" w:hAnsi="Barlow Semi Condensed"/>
          <w:b/>
          <w:bCs/>
          <w:sz w:val="24"/>
          <w:szCs w:val="24"/>
        </w:rPr>
        <w:t xml:space="preserve">275 · Il raccordo col grafo.</w:t>
      </w:r>
      <w:r>
        <w:rPr>
          <w:rFonts w:ascii="Barlow Semi Condensed" w:cs="Barlow Semi Condensed" w:eastAsia="Barlow Semi Condensed" w:hAnsi="Barlow Semi Condensed"/>
          <w:sz w:val="24"/>
          <w:szCs w:val="24"/>
        </w:rPr>
        <w:t xml:space="preserve"> Ogni documento trovato dalle ricerche entra nella rete documentata del corpus come nodo o come arco col suo grado, e le metriche si ricalcolano: l'agenda alimenta il grafo, il grafo rivela i buchi, i buchi generano i prossimi bersagli. Il ciclo è il motore permanente dell'opera.</w:t>
      </w:r>
    </w:p>
    <w:p>
      <w:pPr>
        <w:spacing w:after="120" w:line="276"/>
        <w:jc w:val="both"/>
      </w:pPr>
      <w:r>
        <w:rPr>
          <w:rFonts w:ascii="Barlow Semi Condensed" w:cs="Barlow Semi Condensed" w:eastAsia="Barlow Semi Condensed" w:hAnsi="Barlow Semi Condensed"/>
          <w:b/>
          <w:bCs/>
          <w:sz w:val="24"/>
          <w:szCs w:val="24"/>
        </w:rPr>
        <w:t xml:space="preserve">276 · Il raccordo con l'edizione strutturata.</w:t>
      </w:r>
      <w:r>
        <w:rPr>
          <w:rFonts w:ascii="Barlow Semi Condensed" w:cs="Barlow Semi Condensed" w:eastAsia="Barlow Semi Condensed" w:hAnsi="Barlow Semi Condensed"/>
          <w:sz w:val="24"/>
          <w:szCs w:val="24"/>
        </w:rPr>
        <w:t xml:space="preserve"> Gli esiti delle ricerche si versano nelle Fasi dell'edizione strutturata secondo la loro natura — fatti nella cronachistica, accertamenti nelle schede, congetture nella Fase delle questioni aperte — sempre per nota e mai per riscrittura. L'agenda produce; l'edizione custodisce.</w:t>
      </w:r>
    </w:p>
    <w:p>
      <w:pPr>
        <w:spacing w:after="120" w:line="276"/>
        <w:jc w:val="both"/>
      </w:pPr>
      <w:r>
        <w:rPr>
          <w:rFonts w:ascii="Barlow Semi Condensed" w:cs="Barlow Semi Condensed" w:eastAsia="Barlow Semi Condensed" w:hAnsi="Barlow Semi Condensed"/>
          <w:b/>
          <w:bCs/>
          <w:sz w:val="24"/>
          <w:szCs w:val="24"/>
        </w:rPr>
        <w:t xml:space="preserve">277 · Il raccordo col registro del giudicato.</w:t>
      </w:r>
      <w:r>
        <w:rPr>
          <w:rFonts w:ascii="Barlow Semi Condensed" w:cs="Barlow Semi Condensed" w:eastAsia="Barlow Semi Condensed" w:hAnsi="Barlow Semi Condensed"/>
          <w:sz w:val="24"/>
          <w:szCs w:val="24"/>
        </w:rPr>
        <w:t xml:space="preserve"> Nessun esito di ricerca tocca la Fase decima se non per nuovo giudicato: la tavola dei tredici resta chiusa, gli assolti restano assolti, e ogni documento nuovo che riguardi persone entra nelle schede con la disciplina personalistica. Il raccordo è un muro, ed è voluto.</w:t>
      </w:r>
    </w:p>
    <w:p>
      <w:pPr>
        <w:spacing w:after="120" w:line="276"/>
        <w:jc w:val="both"/>
      </w:pPr>
      <w:r>
        <w:rPr>
          <w:rFonts w:ascii="Barlow Semi Condensed" w:cs="Barlow Semi Condensed" w:eastAsia="Barlow Semi Condensed" w:hAnsi="Barlow Semi Condensed"/>
          <w:b/>
          <w:bCs/>
          <w:sz w:val="24"/>
          <w:szCs w:val="24"/>
        </w:rPr>
        <w:t xml:space="preserve">278 · Il raccordo coi volumi.</w:t>
      </w:r>
      <w:r>
        <w:rPr>
          <w:rFonts w:ascii="Barlow Semi Condensed" w:cs="Barlow Semi Condensed" w:eastAsia="Barlow Semi Condensed" w:hAnsi="Barlow Semi Condensed"/>
          <w:sz w:val="24"/>
          <w:szCs w:val="24"/>
        </w:rPr>
        <w:t xml:space="preserve"> A ogni campagna compiuta dell'agenda corrisponde l'aggiornamento dei volumi rilegati del versante investigativo, con la nota d'edizione che dichiara che cosa è cambiato e perché. La storia editoriale dell'opera è essa stessa un registro: nessuna edizione silenziosa.</w:t>
      </w:r>
    </w:p>
    <w:p>
      <w:pPr>
        <w:spacing w:after="120" w:line="276"/>
        <w:jc w:val="both"/>
      </w:pPr>
      <w:r>
        <w:rPr>
          <w:rFonts w:ascii="Barlow Semi Condensed" w:cs="Barlow Semi Condensed" w:eastAsia="Barlow Semi Condensed" w:hAnsi="Barlow Semi Condensed"/>
          <w:b/>
          <w:bCs/>
          <w:sz w:val="24"/>
          <w:szCs w:val="24"/>
        </w:rPr>
        <w:t xml:space="preserve">279 · Il raccordo con la contro-agenda.</w:t>
      </w:r>
      <w:r>
        <w:rPr>
          <w:rFonts w:ascii="Barlow Semi Condensed" w:cs="Barlow Semi Condensed" w:eastAsia="Barlow Semi Condensed" w:hAnsi="Barlow Semi Condensed"/>
          <w:sz w:val="24"/>
          <w:szCs w:val="24"/>
        </w:rPr>
        <w:t xml:space="preserve"> I bersagli formulati dagli avversari nella grammatica del blocco 234 entrano in questa serie con pari dignità e pari disciplina: quesito, giacimento, evidenza, chiusura. L'agenda non ha proprietari; ha regole.</w:t>
      </w:r>
    </w:p>
    <w:p>
      <w:pPr>
        <w:spacing w:after="120" w:line="276"/>
        <w:jc w:val="both"/>
      </w:pPr>
      <w:r>
        <w:rPr>
          <w:rFonts w:ascii="Barlow Semi Condensed" w:cs="Barlow Semi Condensed" w:eastAsia="Barlow Semi Condensed" w:hAnsi="Barlow Semi Condensed"/>
          <w:b/>
          <w:bCs/>
          <w:sz w:val="24"/>
          <w:szCs w:val="24"/>
        </w:rPr>
        <w:t xml:space="preserve">280 · La tavola sinottica.</w:t>
      </w:r>
      <w:r>
        <w:rPr>
          <w:rFonts w:ascii="Barlow Semi Condensed" w:cs="Barlow Semi Condensed" w:eastAsia="Barlow Semi Condensed" w:hAnsi="Barlow Semi Condensed"/>
          <w:sz w:val="24"/>
          <w:szCs w:val="24"/>
        </w:rPr>
        <w:t xml:space="preserve"> La tavola unica piste × blocchi d'agenda × blocchi di manuale, mantenuta viva: per ogni pista, che cosa si cerca, dove, con quale protocollo, a che punto è. Chi apre la tavola vede lo stato del nuovo Caso Moro in una pagina; chi la aggiorna, lo governa.</w:t>
      </w:r>
    </w:p>
    <w:p>
      <w:pPr>
        <w:pStyle w:val="Heading2"/>
        <w:spacing w:after="100" w:before="200"/>
      </w:pPr>
      <w:r>
        <w:rPr>
          <w:rFonts w:ascii="Barlow Semi Condensed" w:cs="Barlow Semi Condensed" w:eastAsia="Barlow Semi Condensed" w:hAnsi="Barlow Semi Condensed"/>
          <w:sz w:val="24"/>
          <w:szCs w:val="24"/>
        </w:rPr>
        <w:t xml:space="preserve">Serie dodicesima — Il governo dell'agenda (blocchi 281-300)</w:t>
      </w:r>
    </w:p>
    <w:p>
      <w:pPr>
        <w:spacing w:after="120" w:line="276"/>
        <w:jc w:val="both"/>
      </w:pPr>
      <w:r>
        <w:rPr>
          <w:rFonts w:ascii="Barlow Semi Condensed" w:cs="Barlow Semi Condensed" w:eastAsia="Barlow Semi Condensed" w:hAnsi="Barlow Semi Condensed"/>
          <w:i/>
          <w:iCs/>
          <w:sz w:val="24"/>
          <w:szCs w:val="24"/>
        </w:rPr>
        <w:t xml:space="preserve">Statuto della serie: l'agenda come istituzione. Le regole di priorità, contabilità, pubblicazione e chiusura che trasformano trecento bersagli in un programma governato — e il congedo.</w:t>
      </w:r>
    </w:p>
    <w:p>
      <w:pPr>
        <w:spacing w:after="120" w:line="276"/>
        <w:jc w:val="both"/>
      </w:pPr>
      <w:r>
        <w:rPr>
          <w:rFonts w:ascii="Barlow Semi Condensed" w:cs="Barlow Semi Condensed" w:eastAsia="Barlow Semi Condensed" w:hAnsi="Barlow Semi Condensed"/>
          <w:b/>
          <w:bCs/>
          <w:sz w:val="24"/>
          <w:szCs w:val="24"/>
        </w:rPr>
        <w:t xml:space="preserve">281 · La priorità biologica.</w:t>
      </w:r>
      <w:r>
        <w:rPr>
          <w:rFonts w:ascii="Barlow Semi Condensed" w:cs="Barlow Semi Condensed" w:eastAsia="Barlow Semi Condensed" w:hAnsi="Barlow Semi Condensed"/>
          <w:sz w:val="24"/>
          <w:szCs w:val="24"/>
        </w:rPr>
        <w:t xml:space="preserve"> La prima variabile di priorità è il tempo umano: i bersagli che dipendono da persone viventi (serie quinta) precedono ogni altro a parità di rendimento, perché sono gli unici che scadono in modo irrimediabile. La carta aspetta; le persone no.</w:t>
      </w:r>
    </w:p>
    <w:p>
      <w:pPr>
        <w:spacing w:after="120" w:line="276"/>
        <w:jc w:val="both"/>
      </w:pPr>
      <w:r>
        <w:rPr>
          <w:rFonts w:ascii="Barlow Semi Condensed" w:cs="Barlow Semi Condensed" w:eastAsia="Barlow Semi Condensed" w:hAnsi="Barlow Semi Condensed"/>
          <w:b/>
          <w:bCs/>
          <w:sz w:val="24"/>
          <w:szCs w:val="24"/>
        </w:rPr>
        <w:t xml:space="preserve">282 · La priorità del discriminante.</w:t>
      </w:r>
      <w:r>
        <w:rPr>
          <w:rFonts w:ascii="Barlow Semi Condensed" w:cs="Barlow Semi Condensed" w:eastAsia="Barlow Semi Condensed" w:hAnsi="Barlow Semi Condensed"/>
          <w:sz w:val="24"/>
          <w:szCs w:val="24"/>
        </w:rPr>
        <w:t xml:space="preserve"> A parità di fattibilità, precede il bersaglio la cui evidenza attesa discrimina una matrice ACH: un documento che decide fra ipotesi vale più di dieci che accumulano contesto. La graduatoria delle piste (i punteggi del programma) ordina; il discriminante decide gli strappi alla coda.</w:t>
      </w:r>
    </w:p>
    <w:p>
      <w:pPr>
        <w:spacing w:after="120" w:line="276"/>
        <w:jc w:val="both"/>
      </w:pPr>
      <w:r>
        <w:rPr>
          <w:rFonts w:ascii="Barlow Semi Condensed" w:cs="Barlow Semi Condensed" w:eastAsia="Barlow Semi Condensed" w:hAnsi="Barlow Semi Condensed"/>
          <w:b/>
          <w:bCs/>
          <w:sz w:val="24"/>
          <w:szCs w:val="24"/>
        </w:rPr>
        <w:t xml:space="preserve">283 · Le campagne.</w:t>
      </w:r>
      <w:r>
        <w:rPr>
          <w:rFonts w:ascii="Barlow Semi Condensed" w:cs="Barlow Semi Condensed" w:eastAsia="Barlow Semi Condensed" w:hAnsi="Barlow Semi Condensed"/>
          <w:sz w:val="24"/>
          <w:szCs w:val="24"/>
        </w:rPr>
        <w:t xml:space="preserve"> L'agenda procede per campagne trimestrali tematiche — una serie o un giacimento per campagna — con obiettivi dichiarati in apertura e contabilità pubblica in chiusura: bersagli colpiti, mancati, differiti. Il cronoprogramma del manuale (serie decima) fornisce la cornice; l'agenda riempie i trimestri.</w:t>
      </w:r>
    </w:p>
    <w:p>
      <w:pPr>
        <w:spacing w:after="120" w:line="276"/>
        <w:jc w:val="both"/>
      </w:pPr>
      <w:r>
        <w:rPr>
          <w:rFonts w:ascii="Barlow Semi Condensed" w:cs="Barlow Semi Condensed" w:eastAsia="Barlow Semi Condensed" w:hAnsi="Barlow Semi Condensed"/>
          <w:b/>
          <w:bCs/>
          <w:sz w:val="24"/>
          <w:szCs w:val="24"/>
        </w:rPr>
        <w:t xml:space="preserve">284 · La contabilità dei bersagli.</w:t>
      </w:r>
      <w:r>
        <w:rPr>
          <w:rFonts w:ascii="Barlow Semi Condensed" w:cs="Barlow Semi Condensed" w:eastAsia="Barlow Semi Condensed" w:hAnsi="Barlow Semi Condensed"/>
          <w:sz w:val="24"/>
          <w:szCs w:val="24"/>
        </w:rPr>
        <w:t xml:space="preserve"> Ogni blocco ha uno stato pubblico e datato: non iniziato, in corso, colpito (documento acquisito), a vuoto (Stato Zero verbalizzato), chiuso per smentita, differito con motivo. Un'agenda senza stati è una lista di desideri; gli stati sono ciò che la rende un programma.</w:t>
      </w:r>
    </w:p>
    <w:p>
      <w:pPr>
        <w:spacing w:after="120" w:line="276"/>
        <w:jc w:val="both"/>
      </w:pPr>
      <w:r>
        <w:rPr>
          <w:rFonts w:ascii="Barlow Semi Condensed" w:cs="Barlow Semi Condensed" w:eastAsia="Barlow Semi Condensed" w:hAnsi="Barlow Semi Condensed"/>
          <w:b/>
          <w:bCs/>
          <w:sz w:val="24"/>
          <w:szCs w:val="24"/>
        </w:rPr>
        <w:t xml:space="preserve">285 · La ricerca a vuoto come atto.</w:t>
      </w:r>
      <w:r>
        <w:rPr>
          <w:rFonts w:ascii="Barlow Semi Condensed" w:cs="Barlow Semi Condensed" w:eastAsia="Barlow Semi Condensed" w:hAnsi="Barlow Semi Condensed"/>
          <w:sz w:val="24"/>
          <w:szCs w:val="24"/>
        </w:rPr>
        <w:t xml:space="preserve"> L'esito negativo si verbalizza con lo stesso rigore del positivo: che cosa è stato cercato, dove, quando, da chi, con quale perimetro. Il verbale di vuoto impedisce di ricercare due volte, fonda lo Stato Zero e — accumulato — disegna la mappa di ciò che il caso non potrà mai più sapere.</w:t>
      </w:r>
    </w:p>
    <w:p>
      <w:pPr>
        <w:spacing w:after="120" w:line="276"/>
        <w:jc w:val="both"/>
      </w:pPr>
      <w:r>
        <w:rPr>
          <w:rFonts w:ascii="Barlow Semi Condensed" w:cs="Barlow Semi Condensed" w:eastAsia="Barlow Semi Condensed" w:hAnsi="Barlow Semi Condensed"/>
          <w:b/>
          <w:bCs/>
          <w:sz w:val="24"/>
          <w:szCs w:val="24"/>
        </w:rPr>
        <w:t xml:space="preserve">286 · Il costo dichiarato.</w:t>
      </w:r>
      <w:r>
        <w:rPr>
          <w:rFonts w:ascii="Barlow Semi Condensed" w:cs="Barlow Semi Condensed" w:eastAsia="Barlow Semi Condensed" w:hAnsi="Barlow Semi Condensed"/>
          <w:sz w:val="24"/>
          <w:szCs w:val="24"/>
        </w:rPr>
        <w:t xml:space="preserve"> Ogni campagna espone il suo bilancio: giornate d'archivio, missioni, perizie, diritti di riproduzione. La trasparenza dei costi è disciplina ed è argomento: un bersaglio ad alto rendimento e basso costo si difende da sé; uno costoso si giustifica per iscritto o retrocede.</w:t>
      </w:r>
    </w:p>
    <w:p>
      <w:pPr>
        <w:spacing w:after="120" w:line="276"/>
        <w:jc w:val="both"/>
      </w:pPr>
      <w:r>
        <w:rPr>
          <w:rFonts w:ascii="Barlow Semi Condensed" w:cs="Barlow Semi Condensed" w:eastAsia="Barlow Semi Condensed" w:hAnsi="Barlow Semi Condensed"/>
          <w:b/>
          <w:bCs/>
          <w:sz w:val="24"/>
          <w:szCs w:val="24"/>
        </w:rPr>
        <w:t xml:space="preserve">287 · Le regole d'ingaggio con gli archivi.</w:t>
      </w:r>
      <w:r>
        <w:rPr>
          <w:rFonts w:ascii="Barlow Semi Condensed" w:cs="Barlow Semi Condensed" w:eastAsia="Barlow Semi Condensed" w:hAnsi="Barlow Semi Condensed"/>
          <w:sz w:val="24"/>
          <w:szCs w:val="24"/>
        </w:rPr>
        <w:t xml:space="preserve"> Ogni richiesta è formale, tracciata, cumulativa: si chiede l'inventario prima del documento, si cita la norma d'accesso, si registra l'esito nel registro delle richieste (259), si ringrazia per iscritto. Gli archivisti sono alleati permanenti dell'agenda, non sportelli.</w:t>
      </w:r>
    </w:p>
    <w:p>
      <w:pPr>
        <w:spacing w:after="120" w:line="276"/>
        <w:jc w:val="both"/>
      </w:pPr>
      <w:r>
        <w:rPr>
          <w:rFonts w:ascii="Barlow Semi Condensed" w:cs="Barlow Semi Condensed" w:eastAsia="Barlow Semi Condensed" w:hAnsi="Barlow Semi Condensed"/>
          <w:b/>
          <w:bCs/>
          <w:sz w:val="24"/>
          <w:szCs w:val="24"/>
        </w:rPr>
        <w:t xml:space="preserve">288 · Le regole d'ingaggio con le persone.</w:t>
      </w:r>
      <w:r>
        <w:rPr>
          <w:rFonts w:ascii="Barlow Semi Condensed" w:cs="Barlow Semi Condensed" w:eastAsia="Barlow Semi Condensed" w:hAnsi="Barlow Semi Condensed"/>
          <w:sz w:val="24"/>
          <w:szCs w:val="24"/>
        </w:rPr>
        <w:t xml:space="preserve"> Ogni contatto con testimoni segue il protocollo conservativo del manuale (serie quinta): consenso informato, registrazione integrale, nessuna domanda suggestiva, corroborazione fisica prima dell'uso. Con i familiari delle vittime: priorità assoluta di rispetto, nessuna anticipazione pubblica.</w:t>
      </w:r>
    </w:p>
    <w:p>
      <w:pPr>
        <w:spacing w:after="120" w:line="276"/>
        <w:jc w:val="both"/>
      </w:pPr>
      <w:r>
        <w:rPr>
          <w:rFonts w:ascii="Barlow Semi Condensed" w:cs="Barlow Semi Condensed" w:eastAsia="Barlow Semi Condensed" w:hAnsi="Barlow Semi Condensed"/>
          <w:b/>
          <w:bCs/>
          <w:sz w:val="24"/>
          <w:szCs w:val="24"/>
        </w:rPr>
        <w:t xml:space="preserve">289 · Ciò che non si ricerca.</w:t>
      </w:r>
      <w:r>
        <w:rPr>
          <w:rFonts w:ascii="Barlow Semi Condensed" w:cs="Barlow Semi Condensed" w:eastAsia="Barlow Semi Condensed" w:hAnsi="Barlow Semi Condensed"/>
          <w:sz w:val="24"/>
          <w:szCs w:val="24"/>
        </w:rPr>
        <w:t xml:space="preserve"> Fuori dall'agenda per statuto: la vita privata dei viventi oltre gli atti d'ufficio e di giudicato; le graduatorie di colpevolezza; i nomi come esiti attesi; le fonti escluse per direttiva del committente. Il perimetro negativo è parte dell'agenda quanto i bersagli: dice che cosa quest'opera si vieta.</w:t>
      </w:r>
    </w:p>
    <w:p>
      <w:pPr>
        <w:spacing w:after="120" w:line="276"/>
        <w:jc w:val="both"/>
      </w:pPr>
      <w:r>
        <w:rPr>
          <w:rFonts w:ascii="Barlow Semi Condensed" w:cs="Barlow Semi Condensed" w:eastAsia="Barlow Semi Condensed" w:hAnsi="Barlow Semi Condensed"/>
          <w:b/>
          <w:bCs/>
          <w:sz w:val="24"/>
          <w:szCs w:val="24"/>
        </w:rPr>
        <w:t xml:space="preserve">290 · La pubblicazione degli esiti.</w:t>
      </w:r>
      <w:r>
        <w:rPr>
          <w:rFonts w:ascii="Barlow Semi Condensed" w:cs="Barlow Semi Condensed" w:eastAsia="Barlow Semi Condensed" w:hAnsi="Barlow Semi Condensed"/>
          <w:sz w:val="24"/>
          <w:szCs w:val="24"/>
        </w:rPr>
        <w:t xml:space="preserve"> Ogni campagna chiusa pubblica i suoi documenti — trovati o mancati — nelle schede del corpus con fonti e indirizzi, per nota e mai per riscrittura. Ciò che tocca il fascicolo penale aperto va prima alle autorità: la precedenza giudiziaria è un blocco del manuale, e qui è legge.</w:t>
      </w:r>
    </w:p>
    <w:p>
      <w:pPr>
        <w:spacing w:after="120" w:line="276"/>
        <w:jc w:val="both"/>
      </w:pPr>
      <w:r>
        <w:rPr>
          <w:rFonts w:ascii="Barlow Semi Condensed" w:cs="Barlow Semi Condensed" w:eastAsia="Barlow Semi Condensed" w:hAnsi="Barlow Semi Condensed"/>
          <w:b/>
          <w:bCs/>
          <w:sz w:val="24"/>
          <w:szCs w:val="24"/>
        </w:rPr>
        <w:t xml:space="preserve">291 · Il rapporto col fascicolo di Roma.</w:t>
      </w:r>
      <w:r>
        <w:rPr>
          <w:rFonts w:ascii="Barlow Semi Condensed" w:cs="Barlow Semi Condensed" w:eastAsia="Barlow Semi Condensed" w:hAnsi="Barlow Semi Condensed"/>
          <w:sz w:val="24"/>
          <w:szCs w:val="24"/>
        </w:rPr>
        <w:t xml:space="preserve"> L'agenda civile non interferisce con l'indagine penale: dove un bersaglio coincide con l'attività della procura, l'agenda si ferma, segnala, e riprende solo sul già pubblico. La consilienza notevole — l'agenda e il fascicolo che lavorano sugli stessi reperti — resta una convergenza, non una gara.</w:t>
      </w:r>
    </w:p>
    <w:p>
      <w:pPr>
        <w:spacing w:after="120" w:line="276"/>
        <w:jc w:val="both"/>
      </w:pPr>
      <w:r>
        <w:rPr>
          <w:rFonts w:ascii="Barlow Semi Condensed" w:cs="Barlow Semi Condensed" w:eastAsia="Barlow Semi Condensed" w:hAnsi="Barlow Semi Condensed"/>
          <w:b/>
          <w:bCs/>
          <w:sz w:val="24"/>
          <w:szCs w:val="24"/>
        </w:rPr>
        <w:t xml:space="preserve">292 · Il rapporto con le istituzioni archivistiche.</w:t>
      </w:r>
      <w:r>
        <w:rPr>
          <w:rFonts w:ascii="Barlow Semi Condensed" w:cs="Barlow Semi Condensed" w:eastAsia="Barlow Semi Condensed" w:hAnsi="Barlow Semi Condensed"/>
          <w:sz w:val="24"/>
          <w:szCs w:val="24"/>
        </w:rPr>
        <w:t xml:space="preserve"> L'agenda sostiene ogni politica di versamento e digitalizzazione — direttive, portali, inventari — e restituisce agli istituti i propri strumenti (tavole, indici, censimenti) come contributo pubblico. Chi riceve dagli archivi restituisce agli archivi: è la parte del blocco 330 del manuale che tocca all'agenda.</w:t>
      </w:r>
    </w:p>
    <w:p>
      <w:pPr>
        <w:spacing w:after="120" w:line="276"/>
        <w:jc w:val="both"/>
      </w:pPr>
      <w:r>
        <w:rPr>
          <w:rFonts w:ascii="Barlow Semi Condensed" w:cs="Barlow Semi Condensed" w:eastAsia="Barlow Semi Condensed" w:hAnsi="Barlow Semi Condensed"/>
          <w:b/>
          <w:bCs/>
          <w:sz w:val="24"/>
          <w:szCs w:val="24"/>
        </w:rPr>
        <w:t xml:space="preserve">293 · La revisione annuale.</w:t>
      </w:r>
      <w:r>
        <w:rPr>
          <w:rFonts w:ascii="Barlow Semi Condensed" w:cs="Barlow Semi Condensed" w:eastAsia="Barlow Semi Condensed" w:hAnsi="Barlow Semi Condensed"/>
          <w:sz w:val="24"/>
          <w:szCs w:val="24"/>
        </w:rPr>
        <w:t xml:space="preserve"> Una volta l'anno l'agenda si rilegge intera: bersagli colpiti si archiviano, bersagli sterili retrocedono, bersagli nuovi — generati dal grafo, dalle matrici, dalle smentite — entrano per nota d'edizione numerata. L'agenda che non si rivede diventa liturgia; quella che si rivede resta strumento.</w:t>
      </w:r>
    </w:p>
    <w:p>
      <w:pPr>
        <w:spacing w:after="120" w:line="276"/>
        <w:jc w:val="both"/>
      </w:pPr>
      <w:r>
        <w:rPr>
          <w:rFonts w:ascii="Barlow Semi Condensed" w:cs="Barlow Semi Condensed" w:eastAsia="Barlow Semi Condensed" w:hAnsi="Barlow Semi Condensed"/>
          <w:b/>
          <w:bCs/>
          <w:sz w:val="24"/>
          <w:szCs w:val="24"/>
        </w:rPr>
        <w:t xml:space="preserve">294 · Il custode dell'agenda.</w:t>
      </w:r>
      <w:r>
        <w:rPr>
          <w:rFonts w:ascii="Barlow Semi Condensed" w:cs="Barlow Semi Condensed" w:eastAsia="Barlow Semi Condensed" w:hAnsi="Barlow Semi Condensed"/>
          <w:sz w:val="24"/>
          <w:szCs w:val="24"/>
        </w:rPr>
        <w:t xml:space="preserve"> Un responsabile nominato risponde della contabilità dei bersagli, del registro delle richieste e della disciplina delle chiusure — lo speculare del garante del metodo previsto dal manuale. Due custodi, due oggetti: là il metodo, qua la lista. Nessuno dei due giudica il merito: entrambi la forma.</w:t>
      </w:r>
    </w:p>
    <w:p>
      <w:pPr>
        <w:spacing w:after="120" w:line="276"/>
        <w:jc w:val="both"/>
      </w:pPr>
      <w:r>
        <w:rPr>
          <w:rFonts w:ascii="Barlow Semi Condensed" w:cs="Barlow Semi Condensed" w:eastAsia="Barlow Semi Condensed" w:hAnsi="Barlow Semi Condensed"/>
          <w:b/>
          <w:bCs/>
          <w:sz w:val="24"/>
          <w:szCs w:val="24"/>
        </w:rPr>
        <w:t xml:space="preserve">295 · La successione.</w:t>
      </w:r>
      <w:r>
        <w:rPr>
          <w:rFonts w:ascii="Barlow Semi Condensed" w:cs="Barlow Semi Condensed" w:eastAsia="Barlow Semi Condensed" w:hAnsi="Barlow Semi Condensed"/>
          <w:sz w:val="24"/>
          <w:szCs w:val="24"/>
        </w:rPr>
        <w:t xml:space="preserve"> L'agenda prevede la propria consegna: se il gruppo che la esegue si scioglie, l'intero apparato — stati, registri, verbali di vuoto — si versa in un istituto conservatore designato, eseguibile da chiunque la riprenda. Un'agenda ben tenuta sopravvive ai suoi esecutori; è la sua differenza da un'inchiesta.</w:t>
      </w:r>
    </w:p>
    <w:p>
      <w:pPr>
        <w:spacing w:after="120" w:line="276"/>
        <w:jc w:val="both"/>
      </w:pPr>
      <w:r>
        <w:rPr>
          <w:rFonts w:ascii="Barlow Semi Condensed" w:cs="Barlow Semi Condensed" w:eastAsia="Barlow Semi Condensed" w:hAnsi="Barlow Semi Condensed"/>
          <w:b/>
          <w:bCs/>
          <w:sz w:val="24"/>
          <w:szCs w:val="24"/>
        </w:rPr>
        <w:t xml:space="preserve">296 · La misura del compiuto.</w:t>
      </w:r>
      <w:r>
        <w:rPr>
          <w:rFonts w:ascii="Barlow Semi Condensed" w:cs="Barlow Semi Condensed" w:eastAsia="Barlow Semi Condensed" w:hAnsi="Barlow Semi Condensed"/>
          <w:sz w:val="24"/>
          <w:szCs w:val="24"/>
        </w:rPr>
        <w:t xml:space="preserve"> L'agenda si dirà eseguita non quando ogni quesito avrà risposta — non l'avrà — ma quando ogni bersaglio avrà uno stato terminale documentato: colpito, a vuoto, o chiuso per smentita. La completezza dell'agenda è la completezza dei suoi stati, non delle sue risposte.</w:t>
      </w:r>
    </w:p>
    <w:p>
      <w:pPr>
        <w:spacing w:after="120" w:line="276"/>
        <w:jc w:val="both"/>
      </w:pPr>
      <w:r>
        <w:rPr>
          <w:rFonts w:ascii="Barlow Semi Condensed" w:cs="Barlow Semi Condensed" w:eastAsia="Barlow Semi Condensed" w:hAnsi="Barlow Semi Condensed"/>
          <w:b/>
          <w:bCs/>
          <w:sz w:val="24"/>
          <w:szCs w:val="24"/>
        </w:rPr>
        <w:t xml:space="preserve">297 · L'eredità dei quesiti aperti.</w:t>
      </w:r>
      <w:r>
        <w:rPr>
          <w:rFonts w:ascii="Barlow Semi Condensed" w:cs="Barlow Semi Condensed" w:eastAsia="Barlow Semi Condensed" w:hAnsi="Barlow Semi Condensed"/>
          <w:sz w:val="24"/>
          <w:szCs w:val="24"/>
        </w:rPr>
        <w:t xml:space="preserve"> I quesiti che resteranno aperti a bersagli esauriti si consegnano dichiarati: matrice per matrice, con l'evidenza discriminante mai trovata e il giacimento dove potrebbe ancora giacere. La generazione successiva riceverà domande pulite, non sospetti: è il lascito più onesto possibile.</w:t>
      </w:r>
    </w:p>
    <w:p>
      <w:pPr>
        <w:spacing w:after="120" w:line="276"/>
        <w:jc w:val="both"/>
      </w:pPr>
      <w:r>
        <w:rPr>
          <w:rFonts w:ascii="Barlow Semi Condensed" w:cs="Barlow Semi Condensed" w:eastAsia="Barlow Semi Condensed" w:hAnsi="Barlow Semi Condensed"/>
          <w:b/>
          <w:bCs/>
          <w:sz w:val="24"/>
          <w:szCs w:val="24"/>
        </w:rPr>
        <w:t xml:space="preserve">298 · Le sei vittime, sempre.</w:t>
      </w:r>
      <w:r>
        <w:rPr>
          <w:rFonts w:ascii="Barlow Semi Condensed" w:cs="Barlow Semi Condensed" w:eastAsia="Barlow Semi Condensed" w:hAnsi="Barlow Semi Condensed"/>
          <w:sz w:val="24"/>
          <w:szCs w:val="24"/>
        </w:rPr>
        <w:t xml:space="preserve"> Leonardi, Ricci, Rivera, Zizzi, Iozzino, Moro: ogni bersaglio dell'agenda esiste perché ciò che accadde a loro sia scritto fin dove le carte arrivano. La ricerca che dimenticasse per chi cerca avrebbe perso la bussola prima del primo archivio.</w:t>
      </w:r>
    </w:p>
    <w:p>
      <w:pPr>
        <w:spacing w:after="120" w:line="276"/>
        <w:jc w:val="both"/>
      </w:pPr>
      <w:r>
        <w:rPr>
          <w:rFonts w:ascii="Barlow Semi Condensed" w:cs="Barlow Semi Condensed" w:eastAsia="Barlow Semi Condensed" w:hAnsi="Barlow Semi Condensed"/>
          <w:b/>
          <w:bCs/>
          <w:sz w:val="24"/>
          <w:szCs w:val="24"/>
        </w:rPr>
        <w:t xml:space="preserve">299 · La guerra e la lista.</w:t>
      </w:r>
      <w:r>
        <w:rPr>
          <w:rFonts w:ascii="Barlow Semi Condensed" w:cs="Barlow Semi Condensed" w:eastAsia="Barlow Semi Condensed" w:hAnsi="Barlow Semi Condensed"/>
          <w:sz w:val="24"/>
          <w:szCs w:val="24"/>
        </w:rPr>
        <w:t xml:space="preserve"> La guerra senza fine continuerà a produrre versioni; l'agenda le oppone una lista datata di bersagli con i loro stati. Contro il sospetto inesauribile, la contabilità esauribile: è la forma che il governo del passato prende quando rinuncia a essere l'ultima parola.</w:t>
      </w:r>
    </w:p>
    <w:p>
      <w:pPr>
        <w:spacing w:after="120" w:line="276"/>
        <w:jc w:val="both"/>
      </w:pPr>
      <w:r>
        <w:rPr>
          <w:rFonts w:ascii="Barlow Semi Condensed" w:cs="Barlow Semi Condensed" w:eastAsia="Barlow Semi Condensed" w:hAnsi="Barlow Semi Condensed"/>
          <w:b/>
          <w:bCs/>
          <w:sz w:val="24"/>
          <w:szCs w:val="24"/>
        </w:rPr>
        <w:t xml:space="preserve">300 · Il blocco finale dell'agenda.</w:t>
      </w:r>
      <w:r>
        <w:rPr>
          <w:rFonts w:ascii="Barlow Semi Condensed" w:cs="Barlow Semi Condensed" w:eastAsia="Barlow Semi Condensed" w:hAnsi="Barlow Semi Condensed"/>
          <w:sz w:val="24"/>
          <w:szCs w:val="24"/>
        </w:rPr>
        <w:t xml:space="preserve"> Questa agenda è essa stessa un bersaglio: chi vorrà smentirla dovrà colpirla come essa chiede — mostrando il giacimento ignorato, il quesito mal posto, il criterio di chiusura sbagliato — con un documento. Trecento bersagli, dodici serie, una regola sola: la ricerca produce documenti, non colpevoli. L'agenda si consuma nell'unico modo onorevole: venendo eseguita.</w:t>
      </w:r>
    </w:p>
    <w:p>
      <w:pPr>
        <w:pStyle w:val="Heading2"/>
        <w:spacing w:after="100" w:before="200"/>
      </w:pPr>
      <w:r>
        <w:rPr>
          <w:rFonts w:ascii="Barlow Semi Condensed" w:cs="Barlow Semi Condensed" w:eastAsia="Barlow Semi Condensed" w:hAnsi="Barlow Semi Condensed"/>
          <w:sz w:val="24"/>
          <w:szCs w:val="24"/>
        </w:rPr>
        <w:t xml:space="preserve">Apparato delle verifiche d'archivio</w:t>
      </w:r>
    </w:p>
    <w:p>
      <w:pPr>
        <w:spacing w:after="120" w:line="276"/>
        <w:jc w:val="both"/>
      </w:pPr>
      <w:r>
        <w:rPr>
          <w:rFonts w:ascii="Barlow Semi Condensed" w:cs="Barlow Semi Condensed" w:eastAsia="Barlow Semi Condensed" w:hAnsi="Barlow Semi Condensed"/>
          <w:i/>
          <w:iCs/>
          <w:sz w:val="24"/>
          <w:szCs w:val="24"/>
        </w:rPr>
        <w:t xml:space="preserve">Prima della stesura, dodici campagne di verifica indipendenti hanno controllato su fonti aperte gli ancoraggi fattuali dell'agenda. Se ne dà conto qui in forma compressa, con gli indirizzi principali; ogni blocco che richiama uno di questi fatti rinvia a questo apparato. Gli esiti negativi sono dichiarati: nell'agenda un «non trovato» vale quanto un «confermato».</w:t>
      </w:r>
    </w:p>
    <w:p>
      <w:pPr>
        <w:spacing w:after="120" w:line="276"/>
        <w:jc w:val="both"/>
      </w:pPr>
      <w:r>
        <w:rPr>
          <w:rFonts w:ascii="Barlow Semi Condensed" w:cs="Barlow Semi Condensed" w:eastAsia="Barlow Semi Condensed" w:hAnsi="Barlow Semi Condensed"/>
          <w:b/>
          <w:bCs/>
          <w:sz w:val="24"/>
          <w:szCs w:val="24"/>
        </w:rPr>
        <w:t xml:space="preserve">V-1 · L'Archivio centrale dello Stato e le direttive.</w:t>
      </w:r>
      <w:r>
        <w:rPr>
          <w:rFonts w:ascii="Barlow Semi Condensed" w:cs="Barlow Semi Condensed" w:eastAsia="Barlow Semi Condensed" w:hAnsi="Barlow Semi Condensed"/>
          <w:sz w:val="24"/>
          <w:szCs w:val="24"/>
        </w:rPr>
        <w:t xml:space="preserve"> Confermata la sequenza istituzionale: direttiva Prodi (8 aprile 2008), designazione dell'ACS a sede unica (2010), direttiva Renzi (22 aprile 2014, G.U. n. 100 del 2 maggio 2014), completamento dei versamenti Moro (2 dicembre 2014). Strumenti: la pagina della Sala delle raccolte speciali (acs.cultura.gov.it), la scheda «Sequestro e uccisione dell'on. Aldo Moro (Direttive Prodi-Renzi)» nella Guida ai fondi (search.acs.beniculturali.it, IT-ACS-AS0001-0005098), la banca dati consultabile in sede e da postazioni remote negli Archivi di Stato dei capoluoghi. Confermati il portale della Rete degli archivi per non dimenticare (memoria.cultura.gov.it, nuova versione 2022) e il Centro documentazione Archivio Flamigni (dal 2021 a Roma, Garbatella; serie «Caso Moro» inventariata; archivioflamigni.org).</w:t>
      </w:r>
    </w:p>
    <w:p>
      <w:pPr>
        <w:spacing w:after="120" w:line="276"/>
        <w:jc w:val="both"/>
      </w:pPr>
      <w:r>
        <w:rPr>
          <w:rFonts w:ascii="Barlow Semi Condensed" w:cs="Barlow Semi Condensed" w:eastAsia="Barlow Semi Condensed" w:hAnsi="Barlow Semi Condensed"/>
          <w:b/>
          <w:bCs/>
          <w:sz w:val="24"/>
          <w:szCs w:val="24"/>
        </w:rPr>
        <w:t xml:space="preserve">V-2 · Gli archivi parlamentari.</w:t>
      </w:r>
      <w:r>
        <w:rPr>
          <w:rFonts w:ascii="Barlow Semi Condensed" w:cs="Barlow Semi Condensed" w:eastAsia="Barlow Semi Condensed" w:hAnsi="Barlow Semi Condensed"/>
          <w:sz w:val="24"/>
          <w:szCs w:val="24"/>
        </w:rPr>
        <w:t xml:space="preserve"> Confermati: il fondo della Commissione Moro 2 all'Archivio storico della Camera col portale delle inchieste (inchieste.camera.it/moro; circa ventimila pagine desecretate online) e le relazioni sui documenti parlamentari (documenti.camera.it); l'esame tecnico-balistico del Servizio Polizia scientifica illustrato nell'audizione del 10 giugno 2015 (stenografico online); il fondo della Moro 1 (legge 597/1979) e il fondo della Commissione Stragi all'Archivio storico del Senato (patrimonio.archivio.senato.it); la declassifica per decreti presidenziali (al Senato il DPS 12785/2020) con nulla osta delle amministrazioni originatrici.</w:t>
      </w:r>
    </w:p>
    <w:p>
      <w:pPr>
        <w:spacing w:after="120" w:line="276"/>
        <w:jc w:val="both"/>
      </w:pPr>
      <w:r>
        <w:rPr>
          <w:rFonts w:ascii="Barlow Semi Condensed" w:cs="Barlow Semi Condensed" w:eastAsia="Barlow Semi Condensed" w:hAnsi="Barlow Semi Condensed"/>
          <w:b/>
          <w:bCs/>
          <w:sz w:val="24"/>
          <w:szCs w:val="24"/>
        </w:rPr>
        <w:t xml:space="preserve">V-3 · Gli archivi americani.</w:t>
      </w:r>
      <w:r>
        <w:rPr>
          <w:rFonts w:ascii="Barlow Semi Condensed" w:cs="Barlow Semi Condensed" w:eastAsia="Barlow Semi Condensed" w:hAnsi="Barlow Semi Condensed"/>
          <w:sz w:val="24"/>
          <w:szCs w:val="24"/>
        </w:rPr>
        <w:t xml:space="preserve"> Confermati: i Central Foreign Policy Files 1973-1979 su NARA AAD coi telegrammi 1978 in full-text (aad.archives.gov) e le withdrawal cards per il trattenuto; la collezione a microfiche «Aldo Moro, Prime Minister of Italy…» nella FOIA Library del Dipartimento di Stato (foia.state.gov); documenti su Moro, BR e Italia 1978 nella CIA FOIA Electronic Reading Room (cia.gov/readingroom, con l'avvertenza che molti reperti sono rassegne stampa interne); la collezione «Brzezinski Material» con Country File Italia alla Carter Library (jimmycarterlibrary.gov), aperta e usata dai volumi FRUS 1977-1980.</w:t>
      </w:r>
    </w:p>
    <w:p>
      <w:pPr>
        <w:spacing w:after="120" w:line="276"/>
        <w:jc w:val="both"/>
      </w:pPr>
      <w:r>
        <w:rPr>
          <w:rFonts w:ascii="Barlow Semi Condensed" w:cs="Barlow Semi Condensed" w:eastAsia="Barlow Semi Condensed" w:hAnsi="Barlow Semi Condensed"/>
          <w:b/>
          <w:bCs/>
          <w:sz w:val="24"/>
          <w:szCs w:val="24"/>
        </w:rPr>
        <w:t xml:space="preserve">V-4 · Regno Unito, Francia, Germania.</w:t>
      </w:r>
      <w:r>
        <w:rPr>
          <w:rFonts w:ascii="Barlow Semi Condensed" w:cs="Barlow Semi Condensed" w:eastAsia="Barlow Semi Condensed" w:hAnsi="Barlow Semi Condensed"/>
          <w:sz w:val="24"/>
          <w:szCs w:val="24"/>
        </w:rPr>
        <w:t xml:space="preserve"> Confermati: a Kew il fascicolo «Terrorism in Italy, including kidnapping and death of Aldo Moro» (Discovery C11492660, serie FCO 33; aperture 2008-2009); a La Courneuve la sottoserie Europa «Italie, juillet 1976-1980» (versamento 1929INVA, 974 scatole, inventario in linea); al Politisches Archiv le carte 1977-1978 con l'edizione AAPD; per il parallelo Schleyer i Kabinettsprotokolle 1977 online e il contenzioso (fino al Bundesverwaltungsgericht) sui protocolli del Großer Krisenstab, in parte tuttora chiusi. Non trovati: un fascicolo PREM specificamente moroteo (da ricerca in sala); atti giudiziari francesi pubblici sulla scuola Hyperion — gli atti noti del 1982 sono di fonte giudiziaria italiana, e gli archivi giudiziari francesi restano chiusi dai termini del Code du patrimoine.</w:t>
      </w:r>
    </w:p>
    <w:p>
      <w:pPr>
        <w:spacing w:after="120" w:line="276"/>
        <w:jc w:val="both"/>
      </w:pPr>
      <w:r>
        <w:rPr>
          <w:rFonts w:ascii="Barlow Semi Condensed" w:cs="Barlow Semi Condensed" w:eastAsia="Barlow Semi Condensed" w:hAnsi="Barlow Semi Condensed"/>
          <w:b/>
          <w:bCs/>
          <w:sz w:val="24"/>
          <w:szCs w:val="24"/>
        </w:rPr>
        <w:t xml:space="preserve">V-5 · Il Vaticano.</w:t>
      </w:r>
      <w:r>
        <w:rPr>
          <w:rFonts w:ascii="Barlow Semi Condensed" w:cs="Barlow Semi Condensed" w:eastAsia="Barlow Semi Condensed" w:hAnsi="Barlow Semi Condensed"/>
          <w:sz w:val="24"/>
          <w:szCs w:val="24"/>
        </w:rPr>
        <w:t xml:space="preserve"> Smentita l'apertura: l'Archivio Apostolico Vaticano è consultabile solo fino alla fine del pontificato di Pio XII (apertura del 2 marzo 2020), e lo stesso limite vale per l'Archivio storico della Sezione per i Rapporti con gli Stati — le carte vaticane del 1978 non sono consultabili. Confermati: l'accertamento parlamentare (relazione conclusiva Moro 2, Doc. XXIII n. 29, 6 dicembre 2017) sull'incarico di Paolo VI a mons. Cesare Curioni e sulla disponibilità economica ingente; la rivendicazione pubblica della provvista da parte di Shmuel Flatto-Sharon (1930-2018), riferita dalle agenzie (ANSA 2018). Da precisare: un fondo personale pubblico di Curioni non risulta censito.</w:t>
      </w:r>
    </w:p>
    <w:p>
      <w:pPr>
        <w:spacing w:after="120" w:line="276"/>
        <w:jc w:val="both"/>
      </w:pPr>
      <w:r>
        <w:rPr>
          <w:rFonts w:ascii="Barlow Semi Condensed" w:cs="Barlow Semi Condensed" w:eastAsia="Barlow Semi Condensed" w:hAnsi="Barlow Semi Condensed"/>
          <w:b/>
          <w:bCs/>
          <w:sz w:val="24"/>
          <w:szCs w:val="24"/>
        </w:rPr>
        <w:t xml:space="preserve">V-6 · I fondi privati.</w:t>
      </w:r>
      <w:r>
        <w:rPr>
          <w:rFonts w:ascii="Barlow Semi Condensed" w:cs="Barlow Semi Condensed" w:eastAsia="Barlow Semi Condensed" w:hAnsi="Barlow Semi Condensed"/>
          <w:sz w:val="24"/>
          <w:szCs w:val="24"/>
        </w:rPr>
        <w:t xml:space="preserve"> Confermate le sedi: Archivio Giulio Andreotti all'Istituto Luigi Sturzo (donato nel 2007, ~3.500 buste, senza serie «Moro»: si cerca nelle serie tematiche); archivio Francesco Cossiga all'Archivio storico della Camera (308 buste, inventario informatizzato); fondo Amintore Fanfani all'Archivio storico del Senato (293 buste, 43 diari; il tomo dei diari 1977-1980 nel piano editoriale); Fondazione Craxi con fascicolo «Caso Moro»; archivio DC all'Istituto Sturzo (dal 1994); archivio PCI alla Fondazione Gramsci (4.184 buste, aperto). Tre nuclei distinti per le carte di Moro: fondo personale all'ACS (218 buste, 1953-1978), fondo familiare all'Archivio Flamigni, raccolta statale ex direttive. Da precisare: le carte di Mino Pecorelli (niente fondo personale; le annate di OP in emeroteca; carte nei sequestri giudiziari).</w:t>
      </w:r>
    </w:p>
    <w:p>
      <w:pPr>
        <w:spacing w:after="120" w:line="276"/>
        <w:jc w:val="both"/>
      </w:pPr>
      <w:r>
        <w:rPr>
          <w:rFonts w:ascii="Barlow Semi Condensed" w:cs="Barlow Semi Condensed" w:eastAsia="Barlow Semi Condensed" w:hAnsi="Barlow Semi Condensed"/>
          <w:b/>
          <w:bCs/>
          <w:sz w:val="24"/>
          <w:szCs w:val="24"/>
        </w:rPr>
        <w:t xml:space="preserve">V-7 · I reperti.</w:t>
      </w:r>
      <w:r>
        <w:rPr>
          <w:rFonts w:ascii="Barlow Semi Condensed" w:cs="Barlow Semi Condensed" w:eastAsia="Barlow Semi Condensed" w:hAnsi="Barlow Semi Condensed"/>
          <w:sz w:val="24"/>
          <w:szCs w:val="24"/>
        </w:rPr>
        <w:t xml:space="preserve"> Confermati: l'esame 2015 della Polizia scientifica (conferma sostanziale dell'attribuzione 1978: quarantanove colpi da un'unica arma FNAB-43); i profili DNA 2016 (RIS di Roma e Polizia scientifica; mozziconi dell'auto di sbarramento e reperti di via Gradoli) senza attribuzione pubblica; il caricatore di via Fani/via Stresa mai sottoposto a comparazione, con nuovi esami disposti dal giudice ed esiti non pubblici; la perizia geologico-botanica 1978 (Lombardi-Giacomini: sabbia esclusiva del litorale tirrenico laziale, area Focene-Marina di Palidoro), rilanciata dagli accertamenti della Moro 2; gli atti dei cinque processi digitalizzati sotto il coordinamento dell'Archivio di Stato di Roma; la Renault 4 (targa Roma N57686) restaurata ed esposta al museo delle auto storiche della Polizia.</w:t>
      </w:r>
    </w:p>
    <w:p>
      <w:pPr>
        <w:spacing w:after="120" w:line="276"/>
        <w:jc w:val="both"/>
      </w:pPr>
      <w:r>
        <w:rPr>
          <w:rFonts w:ascii="Barlow Semi Condensed" w:cs="Barlow Semi Condensed" w:eastAsia="Barlow Semi Condensed" w:hAnsi="Barlow Semi Condensed"/>
          <w:b/>
          <w:bCs/>
          <w:sz w:val="24"/>
          <w:szCs w:val="24"/>
        </w:rPr>
        <w:t xml:space="preserve">V-8 · Il memoriale e i comunicati.</w:t>
      </w:r>
      <w:r>
        <w:rPr>
          <w:rFonts w:ascii="Barlow Semi Condensed" w:cs="Barlow Semi Condensed" w:eastAsia="Barlow Semi Condensed" w:hAnsi="Barlow Semi Condensed"/>
          <w:sz w:val="24"/>
          <w:szCs w:val="24"/>
        </w:rPr>
        <w:t xml:space="preserve"> Confermati: il primo ritrovamento di via Monte Nevoso (1° ottobre 1978, solo dattiloscritti) e il secondo (9 ottobre 1990, intercapedine, 421 fogli in fotocopia, ~229 del memoriale manoscritto); gli originali (stesura A) mai trovati — la distruzione è dichiarazione di parte; la perizia grafica post-1990 sull'autenticità della scrittura; il riordino comparato della Commissione stragi (2001) e l'edizione critica presentata all'Archivio di Stato di Roma (2020); le curatele Gotor (Lettere, 2008; Il memoriale della Repubblica, 2011); le date dei nove comunicati autentici (16/3, 25/3, 29/3, 4/4, 10/4, 15/4, 20/4, 24/4, 5/5) dagli strumenti della Direzione generale Archivi; il falso n. 7 del 18 aprile (telefonata delle 9:25 al Messaggero, ritrovamento a piazza Gioacchino Belli) con attribuzione a Chichiarelli istruttoria e peritale, mai giudicata (ucciso nel settembre 1984); il borsello del taxi (14 aprile 1979) con la divergenza dichiarata sulla testina IBM. Non trovato: uno studio stilometrico quantitativo sul memoriale o sui comunicati — il bersaglio del blocco 202 è dunque inedito.</w:t>
      </w:r>
    </w:p>
    <w:p>
      <w:pPr>
        <w:spacing w:after="120" w:line="276"/>
        <w:jc w:val="both"/>
      </w:pPr>
      <w:r>
        <w:rPr>
          <w:rFonts w:ascii="Barlow Semi Condensed" w:cs="Barlow Semi Condensed" w:eastAsia="Barlow Semi Condensed" w:hAnsi="Barlow Semi Condensed"/>
          <w:b/>
          <w:bCs/>
          <w:sz w:val="24"/>
          <w:szCs w:val="24"/>
        </w:rPr>
        <w:t xml:space="preserve">V-9 · L'audio e la fotografia.</w:t>
      </w:r>
      <w:r>
        <w:rPr>
          <w:rFonts w:ascii="Barlow Semi Condensed" w:cs="Barlow Semi Condensed" w:eastAsia="Barlow Semi Condensed" w:hAnsi="Barlow Semi Condensed"/>
          <w:sz w:val="24"/>
          <w:szCs w:val="24"/>
        </w:rPr>
        <w:t xml:space="preserve"> Confermati: la registrazione autentica e pubblica della telefonata Morucci-Tritto del 9 maggio 1978 («dottor Nicolai»); il quadro dei superstiti audio (le registrazioni note sono quella e la telefonata Moretti-Eleonora Moro del 30 aprile; per il resto trascrizioni agli atti); «La notte della Repubblica» (Rai 2, 1989-1990) conservata da Rai Teche e in parte su RaiPlay, coi materiali grezzi da accertare; i due filoni fotografici di via Fani (rilievi della Polizia scientifica negli atti; fondi d'agenzia); l'Aerofototeca Nazionale e l'IGM per le coperture aeree storiche. Non trovata: una ricostruzione 3D della scena pubblicata come modello consultabile — con la precisazione emersa dalla seconda campagna di verifica (i nove cantieri): per la Moro 2 la Polizia scientifica realizzò nel 2017 una ricostruzione virtuale dell'agguato, diffusa come elaborato tecnico; il bersaglio del blocco 200 resta dunque inedito nella forma — un modello pubblico ed esplorabile — e parte da quell'elaborato. </w:t>
      </w:r>
      <w:r>
        <w:rPr>
          <w:rFonts w:ascii="Barlow Semi Condensed" w:cs="Barlow Semi Condensed" w:eastAsia="Barlow Semi Condensed" w:hAnsi="Barlow Semi Condensed"/>
          <w:i/>
          <w:iCs/>
          <w:sz w:val="24"/>
          <w:szCs w:val="24"/>
        </w:rPr>
        <w:t xml:space="preserve">(Precisazione per nota, seconda campagna.)</w:t>
      </w:r>
    </w:p>
    <w:p>
      <w:pPr>
        <w:spacing w:after="120" w:line="276"/>
        <w:jc w:val="both"/>
      </w:pPr>
      <w:r>
        <w:rPr>
          <w:rFonts w:ascii="Barlow Semi Condensed" w:cs="Barlow Semi Condensed" w:eastAsia="Barlow Semi Condensed" w:hAnsi="Barlow Semi Condensed"/>
          <w:b/>
          <w:bCs/>
          <w:sz w:val="24"/>
          <w:szCs w:val="24"/>
        </w:rPr>
        <w:t xml:space="preserve">V-10 · Le scienze forensi.</w:t>
      </w:r>
      <w:r>
        <w:rPr>
          <w:rFonts w:ascii="Barlow Semi Condensed" w:cs="Barlow Semi Condensed" w:eastAsia="Barlow Semi Condensed" w:hAnsi="Barlow Semi Condensed"/>
          <w:sz w:val="24"/>
          <w:szCs w:val="24"/>
        </w:rPr>
        <w:t xml:space="preserve"> Confermati: la banca dati nazionale del DNA operativa dal 2016 (legge 85/2009, regolamento d.P.R. 87/2016; banca dati presso il Dipartimento della pubblica sicurezza, laboratorio centrale presso il DAP), coi profili da reperti di procedimenti penali inseribili per legge (artt. 7 e 10); lo screening genetico di massa del caso Yara Gambirasio (~18.000 profili, condanna definitiva 2018) come precedente italiano; la genealogia genetica forense mai usata in Italia (primo caso europeo documentato in Svezia) e priva di disciplina normativa; il fenotipo predittivo né vietato né disciplinato. Non trovati: la conferma di una banca dati balistica automatizzata nazionale operativa (accertamento formale da fare — blocco 190); un cold case italiano degli anni Settanta-Ottanta chiuso in giudicato con tecniche nuove su reperti d'epoca — il caso, se il fascicolo romano vi arrivasse, sarebbe il primo.</w:t>
      </w:r>
    </w:p>
    <w:p>
      <w:pPr>
        <w:spacing w:after="120" w:line="276"/>
        <w:jc w:val="both"/>
      </w:pPr>
      <w:r>
        <w:rPr>
          <w:rFonts w:ascii="Barlow Semi Condensed" w:cs="Barlow Semi Condensed" w:eastAsia="Barlow Semi Condensed" w:hAnsi="Barlow Semi Condensed"/>
          <w:b/>
          <w:bCs/>
          <w:sz w:val="24"/>
          <w:szCs w:val="24"/>
        </w:rPr>
        <w:t xml:space="preserve">V-11 · Il registro del giudicato.</w:t>
      </w:r>
      <w:r>
        <w:rPr>
          <w:rFonts w:ascii="Barlow Semi Condensed" w:cs="Barlow Semi Condensed" w:eastAsia="Barlow Semi Condensed" w:hAnsi="Barlow Semi Condensed"/>
          <w:sz w:val="24"/>
          <w:szCs w:val="24"/>
        </w:rPr>
        <w:t xml:space="preserve"> La campagna sul registro ha fissato dal record pubblico: i decessi documentati (Gallinari, 14 gennaio 2013; Maccari, in carcere, agosto 2001; Braghetti, dicembre 2023; Balzerani, 3 marzo 2024), le posizioni oltre confine (Casimirri a Managua, mai arrestato, estradizioni respinte; Lojacono-Baragiola cittadino svizzero, processato in Svizzera), le liberazioni condizionali e semilibertà maturate nei decenni. Alcuni stati attuali (fra cui la condizione presente di più viventi e lo stato del teste Marini) sono dichiarati «da precisare» e affidati alla seconda campagna di verifica dei nove cantieri: nell'agenda nessuno stato personale si afferma oltre la fonte.</w:t>
      </w:r>
    </w:p>
    <w:p>
      <w:pPr>
        <w:spacing w:after="120" w:line="276"/>
        <w:jc w:val="both"/>
      </w:pPr>
      <w:r>
        <w:rPr>
          <w:rFonts w:ascii="Barlow Semi Condensed" w:cs="Barlow Semi Condensed" w:eastAsia="Barlow Semi Condensed" w:hAnsi="Barlow Semi Condensed"/>
          <w:b/>
          <w:bCs/>
          <w:sz w:val="24"/>
          <w:szCs w:val="24"/>
        </w:rPr>
        <w:t xml:space="preserve">V-12 · Il fascicolo di Roma e i progetti.</w:t>
      </w:r>
      <w:r>
        <w:rPr>
          <w:rFonts w:ascii="Barlow Semi Condensed" w:cs="Barlow Semi Condensed" w:eastAsia="Barlow Semi Condensed" w:hAnsi="Barlow Semi Condensed"/>
          <w:sz w:val="24"/>
          <w:szCs w:val="24"/>
        </w:rPr>
        <w:t xml:space="preserve"> Confermati: il fascicolo aperto della Procura di Roma sulle «terze presenze» (il GIP ha respinto la richiesta di chiusura disponendo nuove indagini); la costellazione dei portali istituzionali senza un portale unico (inchieste.camera.it/moro; patrimonio.archivio.senato.it; memoria.cultura.gov.it; la Guida ai fondi ACS); l'edizione nazionale digitale morotea (aldomorodigitale.unibo.it); la digitalizzazione degli atti dei cinque processi (ACS/Archivio di Stato di Roma, Ministero della Giustizia, CSM). Non trovate: nuove acquisizioni documentali pubbliche rilevanti annunciate nel 2024-2026 — il che rende il completamento dei versamenti (blocco 30) un bersaglio ancora aperto.</w:t>
      </w:r>
    </w:p>
    <w:p>
      <w:pPr>
        <w:pBdr>
          <w:bottom w:val="single" w:color="999999" w:sz="6" w:space="1"/>
        </w:pBdr>
        <w:spacing w:after="80"/>
      </w:pPr>
    </w:p>
    <w:p>
      <w:pPr>
        <w:spacing w:after="120" w:line="276"/>
        <w:jc w:val="both"/>
      </w:pPr>
      <w:r>
        <w:rPr>
          <w:rFonts w:ascii="Barlow Semi Condensed" w:cs="Barlow Semi Condensed" w:eastAsia="Barlow Semi Condensed" w:hAnsi="Barlow Semi Condensed"/>
          <w:i/>
          <w:iCs/>
          <w:sz w:val="24"/>
          <w:szCs w:val="24"/>
        </w:rPr>
        <w:t xml:space="preserve">Agenda di ricerca del nuovo Caso Moro, in trecento blocchi mirati di ricerca ordinati in dodici serie con statuto: i quesiti costitutivi (1-15), il giacimento della Direttiva (16-45), gli archivi parlamentari (46-70), i reperti da reinterrogare (71-100), le persone e la raccolta conservativa (101-125), i giacimenti internazionali (126-155), le carte private e di partito (156-180), le scienze nuove sui dati vecchi (181-210), le verifiche di smentita (211-235), le cronologie e i registri (236-260), i raccordi (261-280), il governo dell'agenda (281-300). Gemella del manuale operativo in quattrocento blocchi, fondata sulle piste, sulle schede e sulle verifiche del programma investigativo del corpus e sulle verifiche d'archivio condotte per questa agenda, con le fonti riportate nell'apparato finale. La ricerca produce documenti, non colpevoli — e questa agenda è l'elenco ordinato dei suoi bersagli.</w:t>
      </w:r>
    </w:p>
    <w:p>
      <w:pPr>
        <w:pStyle w:val="Heading3"/>
        <w:spacing w:after="80" w:before="240"/>
      </w:pPr>
      <w:r>
        <w:rPr>
          <w:rFonts w:ascii="Barlow Semi Condensed" w:cs="Barlow Semi Condensed" w:eastAsia="Barlow Semi Condensed" w:hAnsi="Barlow Semi Condensed"/>
          <w:sz w:val="24"/>
          <w:szCs w:val="24"/>
        </w:rPr>
        <w:t xml:space="preserve">Apparato grafico — Libro tredicesimo · L'agenda di ricerca (300 blocchi)</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5"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Libro tredicesimo V: 17.923 parole in 9 sezioni; la più ampia è §9 Altre sezioni, con 7.786.</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6"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Libro tredicesimo V: 329 paragrafi in 9 sezioni, 37 in media per sezione.</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7"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Le dodici serie dell’agenda: ogni blocco un bersaglio, mai un’affermazione.</w:t>
      </w:r>
    </w:p>
    <w:p>
      <w:pPr>
        <w:spacing w:after="120"/>
        <w:jc w:val="center"/>
      </w:pPr>
      <w:r>
        <w:rPr>
          <w:rFonts w:ascii="Barlow Semi Condensed" w:cs="Barlow Semi Condensed" w:eastAsia="Barlow Semi Condensed" w:hAnsi="Barlow Semi Condensed"/>
          <w:color w:val="777777"/>
          <w:sz w:val="16"/>
          <w:szCs w:val="16"/>
        </w:rPr>
        <w:t xml:space="preserve">Le metriche dell'apparato contano parole, documenti e atti — mai colpe.</w:t>
      </w:r>
    </w:p>
    <w:p>
      <w:r>
        <w:br w:type="page"/>
      </w:r>
    </w:p>
    <w:p>
      <w:pPr>
        <w:pStyle w:val="Heading1"/>
        <w:spacing w:after="120" w:before="240"/>
      </w:pPr>
      <w:r>
        <w:rPr>
          <w:rFonts w:ascii="Barlow Semi Condensed" w:cs="Barlow Semi Condensed" w:eastAsia="Barlow Semi Condensed" w:hAnsi="Barlow Semi Condensed"/>
          <w:sz w:val="24"/>
          <w:szCs w:val="24"/>
        </w:rPr>
        <w:t xml:space="preserve">Libro tredicesimo — Il fascicolo aperto — VI. I nove cantieri (1.000 blocchi)</w:t>
      </w:r>
    </w:p>
    <w:p>
      <w:pPr>
        <w:pStyle w:val="Heading1"/>
        <w:spacing w:after="120" w:before="240"/>
      </w:pPr>
      <w:r>
        <w:rPr>
          <w:rFonts w:ascii="Barlow Semi Condensed" w:cs="Barlow Semi Condensed" w:eastAsia="Barlow Semi Condensed" w:hAnsi="Barlow Semi Condensed"/>
          <w:sz w:val="24"/>
          <w:szCs w:val="24"/>
        </w:rPr>
        <w:t xml:space="preserve">I nove cantieri del nuovo Caso Moro</w:t>
      </w:r>
    </w:p>
    <w:p>
      <w:pPr>
        <w:pStyle w:val="Heading2"/>
        <w:spacing w:after="100" w:before="200"/>
      </w:pPr>
      <w:r>
        <w:rPr>
          <w:rFonts w:ascii="Barlow Semi Condensed" w:cs="Barlow Semi Condensed" w:eastAsia="Barlow Semi Condensed" w:hAnsi="Barlow Semi Condensed"/>
          <w:sz w:val="24"/>
          <w:szCs w:val="24"/>
        </w:rPr>
        <w:t xml:space="preserve">Mille blocchi mirati di approfondimento</w:t>
      </w:r>
    </w:p>
    <w:p>
      <w:pPr>
        <w:spacing w:after="120" w:line="276"/>
        <w:jc w:val="both"/>
      </w:pPr>
      <w:r>
        <w:rPr>
          <w:rFonts w:ascii="Barlow Semi Condensed" w:cs="Barlow Semi Condensed" w:eastAsia="Barlow Semi Condensed" w:hAnsi="Barlow Semi Condensed"/>
          <w:i/>
          <w:iCs/>
          <w:sz w:val="24"/>
          <w:szCs w:val="24"/>
        </w:rPr>
        <w:t xml:space="preserve">Documento titanico — 25 agosto 2026 · L'esecuzione approfondita dell'agenda di ricerca, cantiere per cantiere</w:t>
      </w:r>
    </w:p>
    <w:p>
      <w:pPr>
        <w:pBdr>
          <w:left w:val="single" w:color="1F3864" w:sz="18" w:space="8"/>
        </w:pBdr>
        <w:spacing w:after="80" w:before="80"/>
        <w:ind w:left="360" w:right="360"/>
        <w:jc w:val="both"/>
      </w:pPr>
      <w:r>
        <w:rPr>
          <w:rFonts w:ascii="Barlow Semi Condensed" w:cs="Barlow Semi Condensed" w:eastAsia="Barlow Semi Condensed" w:hAnsi="Barlow Semi Condensed"/>
          <w:b/>
          <w:bCs/>
          <w:i w:val="false"/>
          <w:iCs w:val="false"/>
          <w:sz w:val="24"/>
          <w:szCs w:val="24"/>
        </w:rPr>
        <w:t xml:space="preserve">Statuto dei nove cantieri.</w:t>
      </w:r>
      <w:r>
        <w:rPr>
          <w:rFonts w:ascii="Barlow Semi Condensed" w:cs="Barlow Semi Condensed" w:eastAsia="Barlow Semi Condensed" w:hAnsi="Barlow Semi Condensed"/>
          <w:i w:val="false"/>
          <w:iCs w:val="false"/>
          <w:sz w:val="24"/>
          <w:szCs w:val="24"/>
        </w:rPr>
        <w:t xml:space="preserve"> Questo documento porta a profondità esecutiva i nove fronti aperti dell'</w:t>
      </w:r>
      <w:r>
        <w:rPr>
          <w:rFonts w:ascii="Barlow Semi Condensed" w:cs="Barlow Semi Condensed" w:eastAsia="Barlow Semi Condensed" w:hAnsi="Barlow Semi Condensed"/>
          <w:i w:val="false"/>
          <w:iCs w:val="false"/>
          <w:sz w:val="24"/>
          <w:szCs w:val="24"/>
        </w:rPr>
        <w:t xml:space="preserve">agenda di ricerca</w:t>
      </w:r>
      <w:r>
        <w:rPr>
          <w:rFonts w:ascii="Barlow Semi Condensed" w:cs="Barlow Semi Condensed" w:eastAsia="Barlow Semi Condensed" w:hAnsi="Barlow Semi Condensed"/>
          <w:i w:val="false"/>
          <w:iCs w:val="false"/>
          <w:sz w:val="24"/>
          <w:szCs w:val="24"/>
        </w:rPr>
        <w:t xml:space="preserve">, nell'ordine indicato dal committente: </w:t>
      </w:r>
      <w:r>
        <w:rPr>
          <w:rFonts w:ascii="Barlow Semi Condensed" w:cs="Barlow Semi Condensed" w:eastAsia="Barlow Semi Condensed" w:hAnsi="Barlow Semi Condensed"/>
          <w:b/>
          <w:bCs/>
          <w:i w:val="false"/>
          <w:iCs w:val="false"/>
          <w:sz w:val="24"/>
          <w:szCs w:val="24"/>
        </w:rPr>
        <w:t xml:space="preserve">Regno Unito-Francia-Germania, il Vaticano, i fondi privati, i reperti, il memoriale, l'audio e la fotografia, le scienze forensi, il registro del giudicato, il fascicolo di Roma</w:t>
      </w:r>
      <w:r>
        <w:rPr>
          <w:rFonts w:ascii="Barlow Semi Condensed" w:cs="Barlow Semi Condensed" w:eastAsia="Barlow Semi Condensed" w:hAnsi="Barlow Semi Condensed"/>
          <w:i w:val="false"/>
          <w:iCs w:val="false"/>
          <w:sz w:val="24"/>
          <w:szCs w:val="24"/>
        </w:rPr>
        <w:t xml:space="preserve">. Mille </w:t>
      </w:r>
      <w:r>
        <w:rPr>
          <w:rFonts w:ascii="Barlow Semi Condensed" w:cs="Barlow Semi Condensed" w:eastAsia="Barlow Semi Condensed" w:hAnsi="Barlow Semi Condensed"/>
          <w:b/>
          <w:bCs/>
          <w:i w:val="false"/>
          <w:iCs w:val="false"/>
          <w:sz w:val="24"/>
          <w:szCs w:val="24"/>
        </w:rPr>
        <w:t xml:space="preserve">blocchi mirati</w:t>
      </w:r>
      <w:r>
        <w:rPr>
          <w:rFonts w:ascii="Barlow Semi Condensed" w:cs="Barlow Semi Condensed" w:eastAsia="Barlow Semi Condensed" w:hAnsi="Barlow Semi Condensed"/>
          <w:i w:val="false"/>
          <w:iCs w:val="false"/>
          <w:sz w:val="24"/>
          <w:szCs w:val="24"/>
        </w:rPr>
        <w:t xml:space="preserve">, numerati in nove Parti con statuto, ciascuna articolata in sezioni: l'architettura del Dossier maggiore portata alla sua scala massima. La quadriga investigativa del corpus è ora completa: il </w:t>
      </w:r>
      <w:r>
        <w:rPr>
          <w:rFonts w:ascii="Barlow Semi Condensed" w:cs="Barlow Semi Condensed" w:eastAsia="Barlow Semi Condensed" w:hAnsi="Barlow Semi Condensed"/>
          <w:i w:val="false"/>
          <w:iCs w:val="false"/>
          <w:sz w:val="24"/>
          <w:szCs w:val="24"/>
        </w:rPr>
        <w:t xml:space="preserve">programma</w:t>
      </w:r>
      <w:r>
        <w:rPr>
          <w:rFonts w:ascii="Barlow Semi Condensed" w:cs="Barlow Semi Condensed" w:eastAsia="Barlow Semi Condensed" w:hAnsi="Barlow Semi Condensed"/>
          <w:i w:val="false"/>
          <w:iCs w:val="false"/>
          <w:sz w:val="24"/>
          <w:szCs w:val="24"/>
        </w:rPr>
        <w:t xml:space="preserve"> ordina le piste, il </w:t>
      </w:r>
      <w:r>
        <w:rPr>
          <w:rFonts w:ascii="Barlow Semi Condensed" w:cs="Barlow Semi Condensed" w:eastAsia="Barlow Semi Condensed" w:hAnsi="Barlow Semi Condensed"/>
          <w:i w:val="false"/>
          <w:iCs w:val="false"/>
          <w:sz w:val="24"/>
          <w:szCs w:val="24"/>
        </w:rPr>
        <w:t xml:space="preserve">manuale</w:t>
      </w:r>
      <w:r>
        <w:rPr>
          <w:rFonts w:ascii="Barlow Semi Condensed" w:cs="Barlow Semi Condensed" w:eastAsia="Barlow Semi Condensed" w:hAnsi="Barlow Semi Condensed"/>
          <w:i w:val="false"/>
          <w:iCs w:val="false"/>
          <w:sz w:val="24"/>
          <w:szCs w:val="24"/>
        </w:rPr>
        <w:t xml:space="preserve"> dice </w:t>
      </w:r>
      <w:r>
        <w:rPr>
          <w:rFonts w:ascii="Barlow Semi Condensed" w:cs="Barlow Semi Condensed" w:eastAsia="Barlow Semi Condensed" w:hAnsi="Barlow Semi Condensed"/>
          <w:i w:val="false"/>
          <w:iCs w:val="false"/>
          <w:sz w:val="24"/>
          <w:szCs w:val="24"/>
        </w:rPr>
        <w:t xml:space="preserve">come</w:t>
      </w:r>
      <w:r>
        <w:rPr>
          <w:rFonts w:ascii="Barlow Semi Condensed" w:cs="Barlow Semi Condensed" w:eastAsia="Barlow Semi Condensed" w:hAnsi="Barlow Semi Condensed"/>
          <w:i w:val="false"/>
          <w:iCs w:val="false"/>
          <w:sz w:val="24"/>
          <w:szCs w:val="24"/>
        </w:rPr>
        <w:t xml:space="preserve"> (quattrocento blocchi), l'agenda dice </w:t>
      </w:r>
      <w:r>
        <w:rPr>
          <w:rFonts w:ascii="Barlow Semi Condensed" w:cs="Barlow Semi Condensed" w:eastAsia="Barlow Semi Condensed" w:hAnsi="Barlow Semi Condensed"/>
          <w:i w:val="false"/>
          <w:iCs w:val="false"/>
          <w:sz w:val="24"/>
          <w:szCs w:val="24"/>
        </w:rPr>
        <w:t xml:space="preserve">che cosa e dove</w:t>
      </w:r>
      <w:r>
        <w:rPr>
          <w:rFonts w:ascii="Barlow Semi Condensed" w:cs="Barlow Semi Condensed" w:eastAsia="Barlow Semi Condensed" w:hAnsi="Barlow Semi Condensed"/>
          <w:i w:val="false"/>
          <w:iCs w:val="false"/>
          <w:sz w:val="24"/>
          <w:szCs w:val="24"/>
        </w:rPr>
        <w:t xml:space="preserve"> (trecento blocchi), i nove cantieri dicono </w:t>
      </w:r>
      <w:r>
        <w:rPr>
          <w:rFonts w:ascii="Barlow Semi Condensed" w:cs="Barlow Semi Condensed" w:eastAsia="Barlow Semi Condensed" w:hAnsi="Barlow Semi Condensed"/>
          <w:i w:val="false"/>
          <w:iCs w:val="false"/>
          <w:sz w:val="24"/>
          <w:szCs w:val="24"/>
        </w:rPr>
        <w:t xml:space="preserve">fin dove</w:t>
      </w:r>
      <w:r>
        <w:rPr>
          <w:rFonts w:ascii="Barlow Semi Condensed" w:cs="Barlow Semi Condensed" w:eastAsia="Barlow Semi Condensed" w:hAnsi="Barlow Semi Condensed"/>
          <w:i w:val="false"/>
          <w:iCs w:val="false"/>
          <w:sz w:val="24"/>
          <w:szCs w:val="24"/>
        </w:rPr>
        <w:t xml:space="preserve"> — bersaglio per bersaglio, scaffale per scaffale. Ogni blocco resta un bersaglio di ricerca e non un'affermazione; ogni fatto richiamato è verificato — nelle schede del corpus o nelle due campagne di verifica condotte per l'agenda e per quest'opera, con gli indirizzi riportati nei blocchi e nell'apparato finale. Vale ovunque la disciplina del corpus: i gradi, l'ACH, l'anello debole, la regola dei buchi, il registro chiuso del giudicato, gli assolti che restano assolti, nessun nome come esito atteso. </w:t>
      </w:r>
      <w:r>
        <w:rPr>
          <w:rFonts w:ascii="Barlow Semi Condensed" w:cs="Barlow Semi Condensed" w:eastAsia="Barlow Semi Condensed" w:hAnsi="Barlow Semi Condensed"/>
          <w:b/>
          <w:bCs/>
          <w:i w:val="false"/>
          <w:iCs w:val="false"/>
          <w:sz w:val="24"/>
          <w:szCs w:val="24"/>
        </w:rPr>
        <w:t xml:space="preserve">La ricerca produce documenti, non colpevoli</w:t>
      </w:r>
      <w:r>
        <w:rPr>
          <w:rFonts w:ascii="Barlow Semi Condensed" w:cs="Barlow Semi Condensed" w:eastAsia="Barlow Semi Condensed" w:hAnsi="Barlow Semi Condensed"/>
          <w:i w:val="false"/>
          <w:iCs w:val="false"/>
          <w:sz w:val="24"/>
          <w:szCs w:val="24"/>
        </w:rPr>
        <w:t xml:space="preserve"> — mille volte.</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Parte prima — Oltremanica, oltralpe, oltre Reno (blocchi 1-120)</w:t>
      </w:r>
    </w:p>
    <w:p>
      <w:pPr>
        <w:spacing w:after="120" w:line="276"/>
        <w:jc w:val="both"/>
      </w:pPr>
      <w:r>
        <w:rPr>
          <w:rFonts w:ascii="Barlow Semi Condensed" w:cs="Barlow Semi Condensed" w:eastAsia="Barlow Semi Condensed" w:hAnsi="Barlow Semi Condensed"/>
          <w:i/>
          <w:iCs/>
          <w:sz w:val="24"/>
          <w:szCs w:val="24"/>
        </w:rPr>
        <w:t xml:space="preserve">Statuto della parte: i tre archivi d'Europa. Londra, Parigi e Bonn osservarono i 55 giorni da alleati con occhi propri e archiviarono con regole proprie: la trentennale britannica ha già aperto, la comunicabilità francese apre a scaglioni e con deroghe, la trentennale tedesca ha aperto la diplomazia ma non tutta la cancelleria. La parte organizza i tre cantieri nazionali con la stessa griglia — giacimenti, procedure, letteratura, quesiti, tavole — e con la disciplina scolpita nell'agenda: un dispaccio riferisce, non accerta.</w:t>
      </w:r>
    </w:p>
    <w:p>
      <w:pPr>
        <w:pStyle w:val="Heading3"/>
        <w:spacing w:after="80" w:before="160"/>
      </w:pPr>
      <w:r>
        <w:rPr>
          <w:rFonts w:ascii="Barlow Semi Condensed" w:cs="Barlow Semi Condensed" w:eastAsia="Barlow Semi Condensed" w:hAnsi="Barlow Semi Condensed"/>
          <w:sz w:val="24"/>
          <w:szCs w:val="24"/>
        </w:rPr>
        <w:t xml:space="preserve">Il cantiere britannico (blocchi 1-40)</w:t>
      </w:r>
    </w:p>
    <w:p>
      <w:pPr>
        <w:spacing w:after="120" w:line="276"/>
        <w:jc w:val="both"/>
      </w:pPr>
      <w:r>
        <w:rPr>
          <w:rFonts w:ascii="Barlow Semi Condensed" w:cs="Barlow Semi Condensed" w:eastAsia="Barlow Semi Condensed" w:hAnsi="Barlow Semi Condensed"/>
          <w:b/>
          <w:bCs/>
          <w:sz w:val="24"/>
          <w:szCs w:val="24"/>
        </w:rPr>
        <w:t xml:space="preserve">1 · Il fascicolo censito.</w:t>
      </w:r>
      <w:r>
        <w:rPr>
          <w:rFonts w:ascii="Barlow Semi Condensed" w:cs="Barlow Semi Condensed" w:eastAsia="Barlow Semi Condensed" w:hAnsi="Barlow Semi Condensed"/>
          <w:sz w:val="24"/>
          <w:szCs w:val="24"/>
        </w:rPr>
        <w:t xml:space="preserve"> Il punto di partenza documentato: nel catalogo Discovery dei National Archives di Kew è censito il fascicolo «Terrorism in Italy, including kidnapping and death of Aldo Moro, former Prime Minister» (record C11492660, non digitalizzato). Prima campagna del cantiere: acquisirlo integralmente in sala, foglio per foglio.</w:t>
      </w:r>
    </w:p>
    <w:p>
      <w:pPr>
        <w:spacing w:after="120" w:line="276"/>
        <w:jc w:val="both"/>
      </w:pPr>
      <w:r>
        <w:rPr>
          <w:rFonts w:ascii="Barlow Semi Condensed" w:cs="Barlow Semi Condensed" w:eastAsia="Barlow Semi Condensed" w:hAnsi="Barlow Semi Condensed"/>
          <w:b/>
          <w:bCs/>
          <w:sz w:val="24"/>
          <w:szCs w:val="24"/>
        </w:rPr>
        <w:t xml:space="preserve">2 · La serie madre.</w:t>
      </w:r>
      <w:r>
        <w:rPr>
          <w:rFonts w:ascii="Barlow Semi Condensed" w:cs="Barlow Semi Condensed" w:eastAsia="Barlow Semi Condensed" w:hAnsi="Barlow Semi Condensed"/>
          <w:sz w:val="24"/>
          <w:szCs w:val="24"/>
        </w:rPr>
        <w:t xml:space="preserve"> La serie FCO 33 (Western European Department) per il 1978: lo spoglio sistematico di tutti i fascicoli italiani dell'anno — non solo quello intitolato a Moro. Il contesto amministrativo di un fascicolo è parte del fascicolo: ciò che il dipartimento apriva e chiudeva intorno al caso dice come il caso era classificato.</w:t>
      </w:r>
    </w:p>
    <w:p>
      <w:pPr>
        <w:spacing w:after="120" w:line="276"/>
        <w:jc w:val="both"/>
      </w:pPr>
      <w:r>
        <w:rPr>
          <w:rFonts w:ascii="Barlow Semi Condensed" w:cs="Barlow Semi Condensed" w:eastAsia="Barlow Semi Condensed" w:hAnsi="Barlow Semi Condensed"/>
          <w:b/>
          <w:bCs/>
          <w:sz w:val="24"/>
          <w:szCs w:val="24"/>
        </w:rPr>
        <w:t xml:space="preserve">3 · La ricerca totale in Discovery.</w:t>
      </w:r>
      <w:r>
        <w:rPr>
          <w:rFonts w:ascii="Barlow Semi Condensed" w:cs="Barlow Semi Condensed" w:eastAsia="Barlow Semi Condensed" w:hAnsi="Barlow Semi Condensed"/>
          <w:sz w:val="24"/>
          <w:szCs w:val="24"/>
        </w:rPr>
        <w:t xml:space="preserve"> L'interrogazione metodica del catalogo con griglia dichiarata — «Moro», «Red Brigades», «Italy terrorism», le date chiave — su tutte le serie, con verbale degli esiti anche nulli. Discovery è l'inventario generale di Kew: la ricerca totale è il censimento preliminare di tutto il cantiere.</w:t>
      </w:r>
    </w:p>
    <w:p>
      <w:pPr>
        <w:spacing w:after="120" w:line="276"/>
        <w:jc w:val="both"/>
      </w:pPr>
      <w:r>
        <w:rPr>
          <w:rFonts w:ascii="Barlow Semi Condensed" w:cs="Barlow Semi Condensed" w:eastAsia="Barlow Semi Condensed" w:hAnsi="Barlow Semi Condensed"/>
          <w:b/>
          <w:bCs/>
          <w:sz w:val="24"/>
          <w:szCs w:val="24"/>
        </w:rPr>
        <w:t xml:space="preserve">4 · Il vuoto di Downing Street.</w:t>
      </w:r>
      <w:r>
        <w:rPr>
          <w:rFonts w:ascii="Barlow Semi Condensed" w:cs="Barlow Semi Condensed" w:eastAsia="Barlow Semi Condensed" w:hAnsi="Barlow Semi Condensed"/>
          <w:sz w:val="24"/>
          <w:szCs w:val="24"/>
        </w:rPr>
        <w:t xml:space="preserve"> La verifica condotta per quest'opera non ha identificato online un fascicolo PREM specificamente moroteo; la serie pertinente è PREM 16 (Prime Minister's Office, 1974-1979, governi Wilson e Callaghan). Il bersaglio è la ricerca mirata in sala: l'esito — fascicolo trovato o vuoto verbalizzato — decide un quesito che il catalogo da solo non chiude.</w:t>
      </w:r>
    </w:p>
    <w:p>
      <w:pPr>
        <w:spacing w:after="120" w:line="276"/>
        <w:jc w:val="both"/>
      </w:pPr>
      <w:r>
        <w:rPr>
          <w:rFonts w:ascii="Barlow Semi Condensed" w:cs="Barlow Semi Condensed" w:eastAsia="Barlow Semi Condensed" w:hAnsi="Barlow Semi Condensed"/>
          <w:b/>
          <w:bCs/>
          <w:sz w:val="24"/>
          <w:szCs w:val="24"/>
        </w:rPr>
        <w:t xml:space="preserve">5 · Le carte del Gabinetto.</w:t>
      </w:r>
      <w:r>
        <w:rPr>
          <w:rFonts w:ascii="Barlow Semi Condensed" w:cs="Barlow Semi Condensed" w:eastAsia="Barlow Semi Condensed" w:hAnsi="Barlow Semi Condensed"/>
          <w:sz w:val="24"/>
          <w:szCs w:val="24"/>
        </w:rPr>
        <w:t xml:space="preserve"> Le serie del Cabinet Office per il 1978: i comitati ministeriali sulla sicurezza, le valutazioni congiunte sul terrorismo europeo, i briefing al primo ministro. La domanda è di flusso: quando l'Italia entrava nell'ordine del giorno di Londra, con quale rango e su quale input?</w:t>
      </w:r>
    </w:p>
    <w:p>
      <w:pPr>
        <w:spacing w:after="120" w:line="276"/>
        <w:jc w:val="both"/>
      </w:pPr>
      <w:r>
        <w:rPr>
          <w:rFonts w:ascii="Barlow Semi Condensed" w:cs="Barlow Semi Condensed" w:eastAsia="Barlow Semi Condensed" w:hAnsi="Barlow Semi Condensed"/>
          <w:b/>
          <w:bCs/>
          <w:sz w:val="24"/>
          <w:szCs w:val="24"/>
        </w:rPr>
        <w:t xml:space="preserve">6 · Le valutazioni congiunte.</w:t>
      </w:r>
      <w:r>
        <w:rPr>
          <w:rFonts w:ascii="Barlow Semi Condensed" w:cs="Barlow Semi Condensed" w:eastAsia="Barlow Semi Condensed" w:hAnsi="Barlow Semi Condensed"/>
          <w:sz w:val="24"/>
          <w:szCs w:val="24"/>
        </w:rPr>
        <w:t xml:space="preserve"> I rapporti del Joint Intelligence Committee del periodo, dove declassificati: le valutazioni britanniche sul terrorismo italiano prima, durante e dopo i 55 giorni. Disciplina di lettura massima: una valutazione d'intelligence è un'ipotesi di servizio con la sua data — entra come F sull'esistenza, C sul contenuto.</w:t>
      </w:r>
    </w:p>
    <w:p>
      <w:pPr>
        <w:spacing w:after="120" w:line="276"/>
        <w:jc w:val="both"/>
      </w:pPr>
      <w:r>
        <w:rPr>
          <w:rFonts w:ascii="Barlow Semi Condensed" w:cs="Barlow Semi Condensed" w:eastAsia="Barlow Semi Condensed" w:hAnsi="Barlow Semi Condensed"/>
          <w:b/>
          <w:bCs/>
          <w:sz w:val="24"/>
          <w:szCs w:val="24"/>
        </w:rPr>
        <w:t xml:space="preserve">7 · L'ambasciata sul Tevere.</w:t>
      </w:r>
      <w:r>
        <w:rPr>
          <w:rFonts w:ascii="Barlow Semi Condensed" w:cs="Barlow Semi Condensed" w:eastAsia="Barlow Semi Condensed" w:hAnsi="Barlow Semi Condensed"/>
          <w:sz w:val="24"/>
          <w:szCs w:val="24"/>
        </w:rPr>
        <w:t xml:space="preserve"> I registri e i carteggi dell'ambasciata britannica a Roma per il 1978, dentro le serie FCO: la corrispondenza quotidiana, i colloqui con le autorità italiane, i rapporti dell'addetto. È il punto di osservazione più ravvicinato del cantiere: che cosa l'ambasciatore vedeva e a chi lo scriveva.</w:t>
      </w:r>
    </w:p>
    <w:p>
      <w:pPr>
        <w:spacing w:after="120" w:line="276"/>
        <w:jc w:val="both"/>
      </w:pPr>
      <w:r>
        <w:rPr>
          <w:rFonts w:ascii="Barlow Semi Condensed" w:cs="Barlow Semi Condensed" w:eastAsia="Barlow Semi Condensed" w:hAnsi="Barlow Semi Condensed"/>
          <w:b/>
          <w:bCs/>
          <w:sz w:val="24"/>
          <w:szCs w:val="24"/>
        </w:rPr>
        <w:t xml:space="preserve">8 · I generi del dispaccio.</w:t>
      </w:r>
      <w:r>
        <w:rPr>
          <w:rFonts w:ascii="Barlow Semi Condensed" w:cs="Barlow Semi Condensed" w:eastAsia="Barlow Semi Condensed" w:hAnsi="Barlow Semi Condensed"/>
          <w:sz w:val="24"/>
          <w:szCs w:val="24"/>
        </w:rPr>
        <w:t xml:space="preserve"> La tavola dei generi documentali britannici — telegram, despatch, letter, minute, brief — con la loro diversa natura probatoria: il telegramma riferisce a caldo, il despatch riflette, la minuta interna giudica. Ogni carta di Kew entra nel corpus col suo genere dichiarato, perché il genere è metà del grado.</w:t>
      </w:r>
    </w:p>
    <w:p>
      <w:pPr>
        <w:spacing w:after="120" w:line="276"/>
        <w:jc w:val="both"/>
      </w:pPr>
      <w:r>
        <w:rPr>
          <w:rFonts w:ascii="Barlow Semi Condensed" w:cs="Barlow Semi Condensed" w:eastAsia="Barlow Semi Condensed" w:hAnsi="Barlow Semi Condensed"/>
          <w:b/>
          <w:bCs/>
          <w:sz w:val="24"/>
          <w:szCs w:val="24"/>
        </w:rPr>
        <w:t xml:space="preserve">9 · Le aperture del 2008-2009.</w:t>
      </w:r>
      <w:r>
        <w:rPr>
          <w:rFonts w:ascii="Barlow Semi Condensed" w:cs="Barlow Semi Condensed" w:eastAsia="Barlow Semi Condensed" w:hAnsi="Barlow Semi Condensed"/>
          <w:sz w:val="24"/>
          <w:szCs w:val="24"/>
        </w:rPr>
        <w:t xml:space="preserve"> I fascicoli italiani del 1978 furono aperti con la regola dei trent'anni fra il 2008 e il 2009, e la stampa italiana ne pubblicò allora i primi frammenti. Il bersaglio è la sistematicità che al giornalismo non spettava: la lettura integrale di ciò che quelle aperture resero disponibile e nessuno ha mai spogliato per intero.</w:t>
      </w:r>
    </w:p>
    <w:p>
      <w:pPr>
        <w:spacing w:after="120" w:line="276"/>
        <w:jc w:val="both"/>
      </w:pPr>
      <w:r>
        <w:rPr>
          <w:rFonts w:ascii="Barlow Semi Condensed" w:cs="Barlow Semi Condensed" w:eastAsia="Barlow Semi Condensed" w:hAnsi="Barlow Semi Condensed"/>
          <w:b/>
          <w:bCs/>
          <w:sz w:val="24"/>
          <w:szCs w:val="24"/>
        </w:rPr>
        <w:t xml:space="preserve">10 · La regola dei venti.</w:t>
      </w:r>
      <w:r>
        <w:rPr>
          <w:rFonts w:ascii="Barlow Semi Condensed" w:cs="Barlow Semi Condensed" w:eastAsia="Barlow Semi Condensed" w:hAnsi="Barlow Semi Condensed"/>
          <w:sz w:val="24"/>
          <w:szCs w:val="24"/>
        </w:rPr>
        <w:t xml:space="preserve"> La transizione britannica alla ventennale (avviata nel 2013 con rilasci accelerati): la mappa di che cosa è già maturato e di che cosa matura anno per anno fino al 2028 del cinquantenario. Il calendario delle aperture britanniche entra nel motore delle scadenze dell'agenda con date certe.</w:t>
      </w:r>
    </w:p>
    <w:p>
      <w:pPr>
        <w:spacing w:after="120" w:line="276"/>
        <w:jc w:val="both"/>
      </w:pPr>
      <w:r>
        <w:rPr>
          <w:rFonts w:ascii="Barlow Semi Condensed" w:cs="Barlow Semi Condensed" w:eastAsia="Barlow Semi Condensed" w:hAnsi="Barlow Semi Condensed"/>
          <w:b/>
          <w:bCs/>
          <w:sz w:val="24"/>
          <w:szCs w:val="24"/>
        </w:rPr>
        <w:t xml:space="preserve">11 · I trattenuti di Kew.</w:t>
      </w:r>
      <w:r>
        <w:rPr>
          <w:rFonts w:ascii="Barlow Semi Condensed" w:cs="Barlow Semi Condensed" w:eastAsia="Barlow Semi Condensed" w:hAnsi="Barlow Semi Condensed"/>
          <w:sz w:val="24"/>
          <w:szCs w:val="24"/>
        </w:rPr>
        <w:t xml:space="preserve"> Il censimento dei fascicoli retained by department e delle chiusure prolungate nelle serie pertinenti: che cosa i dipartimenti hanno trattenuto, con quale motivazione dichiarata in catalogo. Il ritenuto britannico si censisce come quello americano: la tavola del chiuso è metà della conoscenza.</w:t>
      </w:r>
    </w:p>
    <w:p>
      <w:pPr>
        <w:spacing w:after="120" w:line="276"/>
        <w:jc w:val="both"/>
      </w:pPr>
      <w:r>
        <w:rPr>
          <w:rFonts w:ascii="Barlow Semi Condensed" w:cs="Barlow Semi Condensed" w:eastAsia="Barlow Semi Condensed" w:hAnsi="Barlow Semi Condensed"/>
          <w:b/>
          <w:bCs/>
          <w:sz w:val="24"/>
          <w:szCs w:val="24"/>
        </w:rPr>
        <w:t xml:space="preserve">12 · Le richieste FoI.</w:t>
      </w:r>
      <w:r>
        <w:rPr>
          <w:rFonts w:ascii="Barlow Semi Condensed" w:cs="Barlow Semi Condensed" w:eastAsia="Barlow Semi Condensed" w:hAnsi="Barlow Semi Condensed"/>
          <w:sz w:val="24"/>
          <w:szCs w:val="24"/>
        </w:rPr>
        <w:t xml:space="preserve"> Per i fascicoli chiusi o trattenuti: le richieste sotto il Freedom of Information Act 2000, una per fascicolo, con la motivazione storica argomentata e il registro degli esiti. Il diritto britannico conosce l'interesse pubblico alla storia: l'agenda lo invoca per iscritto, fascicolo per fascicolo.</w:t>
      </w:r>
    </w:p>
    <w:p>
      <w:pPr>
        <w:spacing w:after="120" w:line="276"/>
        <w:jc w:val="both"/>
      </w:pPr>
      <w:r>
        <w:rPr>
          <w:rFonts w:ascii="Barlow Semi Condensed" w:cs="Barlow Semi Condensed" w:eastAsia="Barlow Semi Condensed" w:hAnsi="Barlow Semi Condensed"/>
          <w:b/>
          <w:bCs/>
          <w:sz w:val="24"/>
          <w:szCs w:val="24"/>
        </w:rPr>
        <w:t xml:space="preserve">13 · Il ricorso all'ICO.</w:t>
      </w:r>
      <w:r>
        <w:rPr>
          <w:rFonts w:ascii="Barlow Semi Condensed" w:cs="Barlow Semi Condensed" w:eastAsia="Barlow Semi Condensed" w:hAnsi="Barlow Semi Condensed"/>
          <w:sz w:val="24"/>
          <w:szCs w:val="24"/>
        </w:rPr>
        <w:t xml:space="preserve"> Per i dinieghi: la via del ricorso all'Information Commissioner e al First-tier Tribunal, coi precedenti favorevoli alla ricerca storica censiti. Ogni ricorso vinto apre un fascicolo e un precedente; ogni ricorso perso documenta un limite: entrambi entrano nel registro delle richieste.</w:t>
      </w:r>
    </w:p>
    <w:p>
      <w:pPr>
        <w:spacing w:after="120" w:line="276"/>
        <w:jc w:val="both"/>
      </w:pPr>
      <w:r>
        <w:rPr>
          <w:rFonts w:ascii="Barlow Semi Condensed" w:cs="Barlow Semi Condensed" w:eastAsia="Barlow Semi Condensed" w:hAnsi="Barlow Semi Condensed"/>
          <w:b/>
          <w:bCs/>
          <w:sz w:val="24"/>
          <w:szCs w:val="24"/>
        </w:rPr>
        <w:t xml:space="preserve">14 · La letteratura accademica.</w:t>
      </w:r>
      <w:r>
        <w:rPr>
          <w:rFonts w:ascii="Barlow Semi Condensed" w:cs="Barlow Semi Condensed" w:eastAsia="Barlow Semi Condensed" w:hAnsi="Barlow Semi Condensed"/>
          <w:sz w:val="24"/>
          <w:szCs w:val="24"/>
        </w:rPr>
        <w:t xml:space="preserve"> Gli studi già condotti sulle carte britanniche del caso — la ricognizione di Antonello Battaglia («L'eco del caso Moro in Gran Bretagna», 2021, su carte FCO 33) e il quadro di Valentine Lomellini («The Italian State and International Terrorism, 1969-1986», Springer 2023): la tavola delle segnature che citano, come mappa di scavo già battuta.</w:t>
      </w:r>
    </w:p>
    <w:p>
      <w:pPr>
        <w:spacing w:after="120" w:line="276"/>
        <w:jc w:val="both"/>
      </w:pPr>
      <w:r>
        <w:rPr>
          <w:rFonts w:ascii="Barlow Semi Condensed" w:cs="Barlow Semi Condensed" w:eastAsia="Barlow Semi Condensed" w:hAnsi="Barlow Semi Condensed"/>
          <w:b/>
          <w:bCs/>
          <w:sz w:val="24"/>
          <w:szCs w:val="24"/>
        </w:rPr>
        <w:t xml:space="preserve">15 · Il giornalismo dalle carte.</w:t>
      </w:r>
      <w:r>
        <w:rPr>
          <w:rFonts w:ascii="Barlow Semi Condensed" w:cs="Barlow Semi Condensed" w:eastAsia="Barlow Semi Condensed" w:hAnsi="Barlow Semi Condensed"/>
          <w:sz w:val="24"/>
          <w:szCs w:val="24"/>
        </w:rPr>
        <w:t xml:space="preserve"> Le inchieste giornalistiche fondate su Kew (i lavori di Fasanella e Cereghino): si leggono con la regola dichiarata — le tesi si lasciano al loro autore, le segnature si estraggono e si verificano in originale. Il cantiere non eredita conclusioni: eredita coordinate d'archivio, e le controlla.</w:t>
      </w:r>
    </w:p>
    <w:p>
      <w:pPr>
        <w:spacing w:after="120" w:line="276"/>
        <w:jc w:val="both"/>
      </w:pPr>
      <w:r>
        <w:rPr>
          <w:rFonts w:ascii="Barlow Semi Condensed" w:cs="Barlow Semi Condensed" w:eastAsia="Barlow Semi Condensed" w:hAnsi="Barlow Semi Condensed"/>
          <w:b/>
          <w:bCs/>
          <w:sz w:val="24"/>
          <w:szCs w:val="24"/>
        </w:rPr>
        <w:t xml:space="preserve">16 · La verifica delle segnature.</w:t>
      </w:r>
      <w:r>
        <w:rPr>
          <w:rFonts w:ascii="Barlow Semi Condensed" w:cs="Barlow Semi Condensed" w:eastAsia="Barlow Semi Condensed" w:hAnsi="Barlow Semi Condensed"/>
          <w:sz w:val="24"/>
          <w:szCs w:val="24"/>
        </w:rPr>
        <w:t xml:space="preserve"> Il protocollo: da ogni pubblicazione fondata su carte britanniche si estrae la tavola completa delle segnature citate, se ne verifica un campione in originale, e la fedeltà misurata dell'uso delle fonti decide quanto pesare il resto. La secondarietà si tara, non si presume.</w:t>
      </w:r>
    </w:p>
    <w:p>
      <w:pPr>
        <w:spacing w:after="120" w:line="276"/>
        <w:jc w:val="both"/>
      </w:pPr>
      <w:r>
        <w:rPr>
          <w:rFonts w:ascii="Barlow Semi Condensed" w:cs="Barlow Semi Condensed" w:eastAsia="Barlow Semi Condensed" w:hAnsi="Barlow Semi Condensed"/>
          <w:b/>
          <w:bCs/>
          <w:sz w:val="24"/>
          <w:szCs w:val="24"/>
        </w:rPr>
        <w:t xml:space="preserve">17 · Gli archivi della BBC.</w:t>
      </w:r>
      <w:r>
        <w:rPr>
          <w:rFonts w:ascii="Barlow Semi Condensed" w:cs="Barlow Semi Condensed" w:eastAsia="Barlow Semi Condensed" w:hAnsi="Barlow Semi Condensed"/>
          <w:sz w:val="24"/>
          <w:szCs w:val="24"/>
        </w:rPr>
        <w:t xml:space="preserve"> I BBC Written Archives (Caversham) e i monitoring reports del 1978: che cosa il servizio d'ascolto britannico registrò delle radio e delle agenzie italiane nei 55 giorni, giorno per giorno. Un osservatorio tecnico d'epoca, contemporaneo e datato: la cronaca dei 55 giorni con timbro orario straniero.</w:t>
      </w:r>
    </w:p>
    <w:p>
      <w:pPr>
        <w:spacing w:after="120" w:line="276"/>
        <w:jc w:val="both"/>
      </w:pPr>
      <w:r>
        <w:rPr>
          <w:rFonts w:ascii="Barlow Semi Condensed" w:cs="Barlow Semi Condensed" w:eastAsia="Barlow Semi Condensed" w:hAnsi="Barlow Semi Condensed"/>
          <w:b/>
          <w:bCs/>
          <w:sz w:val="24"/>
          <w:szCs w:val="24"/>
        </w:rPr>
        <w:t xml:space="preserve">18 · Le agenzie e Fleet Street.</w:t>
      </w:r>
      <w:r>
        <w:rPr>
          <w:rFonts w:ascii="Barlow Semi Condensed" w:cs="Barlow Semi Condensed" w:eastAsia="Barlow Semi Condensed" w:hAnsi="Barlow Semi Condensed"/>
          <w:sz w:val="24"/>
          <w:szCs w:val="24"/>
        </w:rPr>
        <w:t xml:space="preserve"> Gli archivi Reuters e dei quotidiani britannici: i dispacci dei corrispondenti da Roma, i taccuini dove depositati, le corrispondenze non pubblicate. La stampa britannica ebbe a Roma osservatori di prima fila: il loro archivio è il gemello privato del cantiere pubblico.</w:t>
      </w:r>
    </w:p>
    <w:p>
      <w:pPr>
        <w:spacing w:after="120" w:line="276"/>
        <w:jc w:val="both"/>
      </w:pPr>
      <w:r>
        <w:rPr>
          <w:rFonts w:ascii="Barlow Semi Condensed" w:cs="Barlow Semi Condensed" w:eastAsia="Barlow Semi Condensed" w:hAnsi="Barlow Semi Condensed"/>
          <w:b/>
          <w:bCs/>
          <w:sz w:val="24"/>
          <w:szCs w:val="24"/>
        </w:rPr>
        <w:t xml:space="preserve">19 · Il quesito dei comitati.</w:t>
      </w:r>
      <w:r>
        <w:rPr>
          <w:rFonts w:ascii="Barlow Semi Condensed" w:cs="Barlow Semi Condensed" w:eastAsia="Barlow Semi Condensed" w:hAnsi="Barlow Semi Condensed"/>
          <w:sz w:val="24"/>
          <w:szCs w:val="24"/>
        </w:rPr>
        <w:t xml:space="preserve"> La griglia britannica applicata al quesito 8 dell'agenda: che cosa Londra sapeva e riferiva della macchina italiana della crisi — i comitati, gli esperti, la catena di comando. Un giudizio d'ambasciata sull'apparato italiano è un documento d'epoca sul funzionamento reale: si cerca, si data, si pesa.</w:t>
      </w:r>
    </w:p>
    <w:p>
      <w:pPr>
        <w:spacing w:after="120" w:line="276"/>
        <w:jc w:val="both"/>
      </w:pPr>
      <w:r>
        <w:rPr>
          <w:rFonts w:ascii="Barlow Semi Condensed" w:cs="Barlow Semi Condensed" w:eastAsia="Barlow Semi Condensed" w:hAnsi="Barlow Semi Condensed"/>
          <w:b/>
          <w:bCs/>
          <w:sz w:val="24"/>
          <w:szCs w:val="24"/>
        </w:rPr>
        <w:t xml:space="preserve">20 · Il quesito della fermezza.</w:t>
      </w:r>
      <w:r>
        <w:rPr>
          <w:rFonts w:ascii="Barlow Semi Condensed" w:cs="Barlow Semi Condensed" w:eastAsia="Barlow Semi Condensed" w:hAnsi="Barlow Semi Condensed"/>
          <w:sz w:val="24"/>
          <w:szCs w:val="24"/>
        </w:rPr>
        <w:t xml:space="preserve"> La linea della fermezza vista da Londra: le valutazioni britanniche sulla posizione del governo italiano, gli eventuali consigli dati o negati, i paragoni con la dottrina britannica sul terrorismo. Il bersaglio è documentale: che cosa il Foreign Office scrisse, non che cosa avrebbe pensato.</w:t>
      </w:r>
    </w:p>
    <w:p>
      <w:pPr>
        <w:spacing w:after="120" w:line="276"/>
        <w:jc w:val="both"/>
      </w:pPr>
      <w:r>
        <w:rPr>
          <w:rFonts w:ascii="Barlow Semi Condensed" w:cs="Barlow Semi Condensed" w:eastAsia="Barlow Semi Condensed" w:hAnsi="Barlow Semi Condensed"/>
          <w:b/>
          <w:bCs/>
          <w:sz w:val="24"/>
          <w:szCs w:val="24"/>
        </w:rPr>
        <w:t xml:space="preserve">21 · Il quesito dei canali.</w:t>
      </w:r>
      <w:r>
        <w:rPr>
          <w:rFonts w:ascii="Barlow Semi Condensed" w:cs="Barlow Semi Condensed" w:eastAsia="Barlow Semi Condensed" w:hAnsi="Barlow Semi Condensed"/>
          <w:sz w:val="24"/>
          <w:szCs w:val="24"/>
        </w:rPr>
        <w:t xml:space="preserve"> Le carte britanniche sui canali di trattativa percepiti: che cosa l'ambasciata registrò delle voci di negoziato, del canale vaticano, delle iniziative socialiste. Ogni registrazione straniera di un canale è una datazione indipendente di quel canale: il valore è la contemporaneità, non l'autorevolezza.</w:t>
      </w:r>
    </w:p>
    <w:p>
      <w:pPr>
        <w:spacing w:after="120" w:line="276"/>
        <w:jc w:val="both"/>
      </w:pPr>
      <w:r>
        <w:rPr>
          <w:rFonts w:ascii="Barlow Semi Condensed" w:cs="Barlow Semi Condensed" w:eastAsia="Barlow Semi Condensed" w:hAnsi="Barlow Semi Condensed"/>
          <w:b/>
          <w:bCs/>
          <w:sz w:val="24"/>
          <w:szCs w:val="24"/>
        </w:rPr>
        <w:t xml:space="preserve">22 · Il quesito del dopo.</w:t>
      </w:r>
      <w:r>
        <w:rPr>
          <w:rFonts w:ascii="Barlow Semi Condensed" w:cs="Barlow Semi Condensed" w:eastAsia="Barlow Semi Condensed" w:hAnsi="Barlow Semi Condensed"/>
          <w:sz w:val="24"/>
          <w:szCs w:val="24"/>
        </w:rPr>
        <w:t xml:space="preserve"> I rapporti britannici dopo il 9 maggio: le analisi del Foreign Office sull'esito, sulle conseguenze politiche, sull'affidabilità degli apparati italiani. Il senno di poi degli alleati, datato 1978, è un documento sulla percezione — e le percezioni alleate sono esse stesse un fatto storico del caso.</w:t>
      </w:r>
    </w:p>
    <w:p>
      <w:pPr>
        <w:spacing w:after="120" w:line="276"/>
        <w:jc w:val="both"/>
      </w:pPr>
      <w:r>
        <w:rPr>
          <w:rFonts w:ascii="Barlow Semi Condensed" w:cs="Barlow Semi Condensed" w:eastAsia="Barlow Semi Condensed" w:hAnsi="Barlow Semi Condensed"/>
          <w:b/>
          <w:bCs/>
          <w:sz w:val="24"/>
          <w:szCs w:val="24"/>
        </w:rPr>
        <w:t xml:space="preserve">23 · La cooperazione tecnica.</w:t>
      </w:r>
      <w:r>
        <w:rPr>
          <w:rFonts w:ascii="Barlow Semi Condensed" w:cs="Barlow Semi Condensed" w:eastAsia="Barlow Semi Condensed" w:hAnsi="Barlow Semi Condensed"/>
          <w:sz w:val="24"/>
          <w:szCs w:val="24"/>
        </w:rPr>
        <w:t xml:space="preserve"> Le carte sull'assistenza tecnica britannica offerta o prestata all'Italia nel 1978 — antiterrorismo, addestramento, scambio informativo: che cosa risulta a Kew di missioni, visite, richieste. Il bersaglio delimita un quesito ricorrente della pubblicistica col solo strumento lecito: la carta.</w:t>
      </w:r>
    </w:p>
    <w:p>
      <w:pPr>
        <w:spacing w:after="120" w:line="276"/>
        <w:jc w:val="both"/>
      </w:pPr>
      <w:r>
        <w:rPr>
          <w:rFonts w:ascii="Barlow Semi Condensed" w:cs="Barlow Semi Condensed" w:eastAsia="Barlow Semi Condensed" w:hAnsi="Barlow Semi Condensed"/>
          <w:b/>
          <w:bCs/>
          <w:sz w:val="24"/>
          <w:szCs w:val="24"/>
        </w:rPr>
        <w:t xml:space="preserve">24 · Il capitolo NATO da Londra.</w:t>
      </w:r>
      <w:r>
        <w:rPr>
          <w:rFonts w:ascii="Barlow Semi Condensed" w:cs="Barlow Semi Condensed" w:eastAsia="Barlow Semi Condensed" w:hAnsi="Barlow Semi Condensed"/>
          <w:sz w:val="24"/>
          <w:szCs w:val="24"/>
        </w:rPr>
        <w:t xml:space="preserve"> Le carte britanniche sugli aspetti atlantici del caso — la sicurezza delle informazioni alleate, le valutazioni sulla solidarietà nazionale col PCI al governo della maggioranza: che cosa Londra scrisse del quadro strategico italiano del 1978. Il quesito 12 dell'agenda ha qui la sua colonna britannica.</w:t>
      </w:r>
    </w:p>
    <w:p>
      <w:pPr>
        <w:spacing w:after="120" w:line="276"/>
        <w:jc w:val="both"/>
      </w:pPr>
      <w:r>
        <w:rPr>
          <w:rFonts w:ascii="Barlow Semi Condensed" w:cs="Barlow Semi Condensed" w:eastAsia="Barlow Semi Condensed" w:hAnsi="Barlow Semi Condensed"/>
          <w:b/>
          <w:bCs/>
          <w:sz w:val="24"/>
          <w:szCs w:val="24"/>
        </w:rPr>
        <w:t xml:space="preserve">25 · Moro prima di Moro.</w:t>
      </w:r>
      <w:r>
        <w:rPr>
          <w:rFonts w:ascii="Barlow Semi Condensed" w:cs="Barlow Semi Condensed" w:eastAsia="Barlow Semi Condensed" w:hAnsi="Barlow Semi Condensed"/>
          <w:sz w:val="24"/>
          <w:szCs w:val="24"/>
        </w:rPr>
        <w:t xml:space="preserve"> Le carte britanniche su Aldo Moro statista negli anni precedenti — i giudizi su di lui come ministro e presidente, i colloqui bilaterali: il ritratto d'archivio dell'uomo visto da Londra. Il corpus ha il ritratto diplomatico americano; il gemello britannico è un bersaglio naturale.</w:t>
      </w:r>
    </w:p>
    <w:p>
      <w:pPr>
        <w:spacing w:after="120" w:line="276"/>
        <w:jc w:val="both"/>
      </w:pPr>
      <w:r>
        <w:rPr>
          <w:rFonts w:ascii="Barlow Semi Condensed" w:cs="Barlow Semi Condensed" w:eastAsia="Barlow Semi Condensed" w:hAnsi="Barlow Semi Condensed"/>
          <w:b/>
          <w:bCs/>
          <w:sz w:val="24"/>
          <w:szCs w:val="24"/>
        </w:rPr>
        <w:t xml:space="preserve">26 · I giorni chiave, ora per ora.</w:t>
      </w:r>
      <w:r>
        <w:rPr>
          <w:rFonts w:ascii="Barlow Semi Condensed" w:cs="Barlow Semi Condensed" w:eastAsia="Barlow Semi Condensed" w:hAnsi="Barlow Semi Condensed"/>
          <w:sz w:val="24"/>
          <w:szCs w:val="24"/>
        </w:rPr>
        <w:t xml:space="preserve"> Per il 16 marzo, il 18 aprile e il 9 maggio: la sequenza integrale dei telegrammi britannici da Roma — orari di partenza, precedenze, destinatari. La collazione bilaterale dell'agenda (blocco 153) ha bisogno di sequenze completo-datate: questo blocco le costruisce per Londra.</w:t>
      </w:r>
    </w:p>
    <w:p>
      <w:pPr>
        <w:spacing w:after="120" w:line="276"/>
        <w:jc w:val="both"/>
      </w:pPr>
      <w:r>
        <w:rPr>
          <w:rFonts w:ascii="Barlow Semi Condensed" w:cs="Barlow Semi Condensed" w:eastAsia="Barlow Semi Condensed" w:hAnsi="Barlow Semi Condensed"/>
          <w:b/>
          <w:bCs/>
          <w:sz w:val="24"/>
          <w:szCs w:val="24"/>
        </w:rPr>
        <w:t xml:space="preserve">27 · Il registro di lettura.</w:t>
      </w:r>
      <w:r>
        <w:rPr>
          <w:rFonts w:ascii="Barlow Semi Condensed" w:cs="Barlow Semi Condensed" w:eastAsia="Barlow Semi Condensed" w:hAnsi="Barlow Semi Condensed"/>
          <w:sz w:val="24"/>
          <w:szCs w:val="24"/>
        </w:rPr>
        <w:t xml:space="preserve"> Chi lesse che cosa a Londra: le annotazioni di circolazione sui fascicoli — le sigle, i rinvii, i passaggi al piano politico. La carta britannica annota i propri lettori: la sociologia della circolazione interna è un dato che il cantiere raccoglie sistematicamente.</w:t>
      </w:r>
    </w:p>
    <w:p>
      <w:pPr>
        <w:spacing w:after="120" w:line="276"/>
        <w:jc w:val="both"/>
      </w:pPr>
      <w:r>
        <w:rPr>
          <w:rFonts w:ascii="Barlow Semi Condensed" w:cs="Barlow Semi Condensed" w:eastAsia="Barlow Semi Condensed" w:hAnsi="Barlow Semi Condensed"/>
          <w:b/>
          <w:bCs/>
          <w:sz w:val="24"/>
          <w:szCs w:val="24"/>
        </w:rPr>
        <w:t xml:space="preserve">28 · Gli allegati perduti.</w:t>
      </w:r>
      <w:r>
        <w:rPr>
          <w:rFonts w:ascii="Barlow Semi Condensed" w:cs="Barlow Semi Condensed" w:eastAsia="Barlow Semi Condensed" w:hAnsi="Barlow Semi Condensed"/>
          <w:sz w:val="24"/>
          <w:szCs w:val="24"/>
        </w:rPr>
        <w:t xml:space="preserve"> I documenti citati nei fascicoli ma non presenti — allegati rimossi, rinvii a serie chiuse: il censimento dei buchi interni ai fascicoli aperti. Ogni allegato mancante con segnatura è una richiesta FoI già scritta: il buco documentato genera l'atto.</w:t>
      </w:r>
    </w:p>
    <w:p>
      <w:pPr>
        <w:spacing w:after="120" w:line="276"/>
        <w:jc w:val="both"/>
      </w:pPr>
      <w:r>
        <w:rPr>
          <w:rFonts w:ascii="Barlow Semi Condensed" w:cs="Barlow Semi Condensed" w:eastAsia="Barlow Semi Condensed" w:hAnsi="Barlow Semi Condensed"/>
          <w:b/>
          <w:bCs/>
          <w:sz w:val="24"/>
          <w:szCs w:val="24"/>
        </w:rPr>
        <w:t xml:space="preserve">29 · Il lessico del caso.</w:t>
      </w:r>
      <w:r>
        <w:rPr>
          <w:rFonts w:ascii="Barlow Semi Condensed" w:cs="Barlow Semi Condensed" w:eastAsia="Barlow Semi Condensed" w:hAnsi="Barlow Semi Condensed"/>
          <w:sz w:val="24"/>
          <w:szCs w:val="24"/>
        </w:rPr>
        <w:t xml:space="preserve"> Il glossario dei termini britannici del 1978 sul terrorismo italiano — come Londra chiamava le cose: la terminologia è interpretazione, e la sua evoluzione nei fascicoli data i cambi di percezione. Un bersaglio filologico minore con rendimento analitico costante.</w:t>
      </w:r>
    </w:p>
    <w:p>
      <w:pPr>
        <w:spacing w:after="120" w:line="276"/>
        <w:jc w:val="both"/>
      </w:pPr>
      <w:r>
        <w:rPr>
          <w:rFonts w:ascii="Barlow Semi Condensed" w:cs="Barlow Semi Condensed" w:eastAsia="Barlow Semi Condensed" w:hAnsi="Barlow Semi Condensed"/>
          <w:b/>
          <w:bCs/>
          <w:sz w:val="24"/>
          <w:szCs w:val="24"/>
        </w:rPr>
        <w:t xml:space="preserve">30 · Le carte scozzesi e irlandesi?</w:t>
      </w:r>
      <w:r>
        <w:rPr>
          <w:rFonts w:ascii="Barlow Semi Condensed" w:cs="Barlow Semi Condensed" w:eastAsia="Barlow Semi Condensed" w:hAnsi="Barlow Semi Condensed"/>
          <w:sz w:val="24"/>
          <w:szCs w:val="24"/>
        </w:rPr>
        <w:t xml:space="preserve"> Il controllo dei giacimenti decentrati — gli archivi nordirlandesi e scozzesi per l'expertise antiterrorismo del Regno Unito degli anni Settanta applicata al caso italiano: probabilità bassa, costo minimo, verbale comunque. Il cantiere non lascia sportelli non bussati.</w:t>
      </w:r>
    </w:p>
    <w:p>
      <w:pPr>
        <w:spacing w:after="120" w:line="276"/>
        <w:jc w:val="both"/>
      </w:pPr>
      <w:r>
        <w:rPr>
          <w:rFonts w:ascii="Barlow Semi Condensed" w:cs="Barlow Semi Condensed" w:eastAsia="Barlow Semi Condensed" w:hAnsi="Barlow Semi Condensed"/>
          <w:b/>
          <w:bCs/>
          <w:sz w:val="24"/>
          <w:szCs w:val="24"/>
        </w:rPr>
        <w:t xml:space="preserve">31 · L'Imperial War Museum e gli istituti.</w:t>
      </w:r>
      <w:r>
        <w:rPr>
          <w:rFonts w:ascii="Barlow Semi Condensed" w:cs="Barlow Semi Condensed" w:eastAsia="Barlow Semi Condensed" w:hAnsi="Barlow Semi Condensed"/>
          <w:sz w:val="24"/>
          <w:szCs w:val="24"/>
        </w:rPr>
        <w:t xml:space="preserve"> Gli istituti britannici con fondi orali e documentali sul terrorismo europeo — interviste a diplomatici e funzionari dell'epoca già raccolte da programmi di storia orale (il British Diplomatic Oral History Programme): il censimento delle voci britanniche già registrate sul 1978 italiano.</w:t>
      </w:r>
    </w:p>
    <w:p>
      <w:pPr>
        <w:spacing w:after="120" w:line="276"/>
        <w:jc w:val="both"/>
      </w:pPr>
      <w:r>
        <w:rPr>
          <w:rFonts w:ascii="Barlow Semi Condensed" w:cs="Barlow Semi Condensed" w:eastAsia="Barlow Semi Condensed" w:hAnsi="Barlow Semi Condensed"/>
          <w:b/>
          <w:bCs/>
          <w:sz w:val="24"/>
          <w:szCs w:val="24"/>
        </w:rPr>
        <w:t xml:space="preserve">32 · I diari editi di Albione.</w:t>
      </w:r>
      <w:r>
        <w:rPr>
          <w:rFonts w:ascii="Barlow Semi Condensed" w:cs="Barlow Semi Condensed" w:eastAsia="Barlow Semi Condensed" w:hAnsi="Barlow Semi Condensed"/>
          <w:sz w:val="24"/>
          <w:szCs w:val="24"/>
        </w:rPr>
        <w:t xml:space="preserve"> Le memorie e i diari editi dei protagonisti britannici del periodo — ministri, ambasciatori, funzionari: lo spoglio delle pagine italiane con la collazione carte-memorie (la regola del blocco 170 dell'agenda, applicata al cantiere). Ciò che il diario dice e il fascicolo non conferma si tabula.</w:t>
      </w:r>
    </w:p>
    <w:p>
      <w:pPr>
        <w:spacing w:after="120" w:line="276"/>
        <w:jc w:val="both"/>
      </w:pPr>
      <w:r>
        <w:rPr>
          <w:rFonts w:ascii="Barlow Semi Condensed" w:cs="Barlow Semi Condensed" w:eastAsia="Barlow Semi Condensed" w:hAnsi="Barlow Semi Condensed"/>
          <w:b/>
          <w:bCs/>
          <w:sz w:val="24"/>
          <w:szCs w:val="24"/>
        </w:rPr>
        <w:t xml:space="preserve">33 · Il quesito Herrema e i paralleli.</w:t>
      </w:r>
      <w:r>
        <w:rPr>
          <w:rFonts w:ascii="Barlow Semi Condensed" w:cs="Barlow Semi Condensed" w:eastAsia="Barlow Semi Condensed" w:hAnsi="Barlow Semi Condensed"/>
          <w:sz w:val="24"/>
          <w:szCs w:val="24"/>
        </w:rPr>
        <w:t xml:space="preserve"> I precedenti britannici e irlandesi di gestione di sequestri terroristici degli anni Settanta nelle carte di Kew: i paralleli che Londra stessa tracciava col caso italiano. Il comparatismo d'epoca — come gli alleati si spiegavano l'Italia con i propri casi — è una chiave di lettura documentata.</w:t>
      </w:r>
    </w:p>
    <w:p>
      <w:pPr>
        <w:spacing w:after="120" w:line="276"/>
        <w:jc w:val="both"/>
      </w:pPr>
      <w:r>
        <w:rPr>
          <w:rFonts w:ascii="Barlow Semi Condensed" w:cs="Barlow Semi Condensed" w:eastAsia="Barlow Semi Condensed" w:hAnsi="Barlow Semi Condensed"/>
          <w:b/>
          <w:bCs/>
          <w:sz w:val="24"/>
          <w:szCs w:val="24"/>
        </w:rPr>
        <w:t xml:space="preserve">34 · La tavola delle serie.</w:t>
      </w:r>
      <w:r>
        <w:rPr>
          <w:rFonts w:ascii="Barlow Semi Condensed" w:cs="Barlow Semi Condensed" w:eastAsia="Barlow Semi Condensed" w:hAnsi="Barlow Semi Condensed"/>
          <w:sz w:val="24"/>
          <w:szCs w:val="24"/>
        </w:rPr>
        <w:t xml:space="preserve"> La tavola unica del cantiere britannico: serie per serie — FCO 33 (il Western European Department, la serie dell'Italia), PREM 16, CAB, DEFE dove pertinente, con FCO 9 (l'Europa meridionale: Grecia, Turchia, Cipro) per i dossier adiacenti — fascicoli individuati, stato (aperto, trattenuto, richiesto), stato di spoglio. La gemella britannica della tavola del giacimento estero dell'agenda (blocco 155).</w:t>
      </w:r>
    </w:p>
    <w:p>
      <w:pPr>
        <w:spacing w:after="120" w:line="276"/>
        <w:jc w:val="both"/>
      </w:pPr>
      <w:r>
        <w:rPr>
          <w:rFonts w:ascii="Barlow Semi Condensed" w:cs="Barlow Semi Condensed" w:eastAsia="Barlow Semi Condensed" w:hAnsi="Barlow Semi Condensed"/>
          <w:b/>
          <w:bCs/>
          <w:sz w:val="24"/>
          <w:szCs w:val="24"/>
        </w:rPr>
        <w:t xml:space="preserve">35 · Il campione di controllo.</w:t>
      </w:r>
      <w:r>
        <w:rPr>
          <w:rFonts w:ascii="Barlow Semi Condensed" w:cs="Barlow Semi Condensed" w:eastAsia="Barlow Semi Condensed" w:hAnsi="Barlow Semi Condensed"/>
          <w:sz w:val="24"/>
          <w:szCs w:val="24"/>
        </w:rPr>
        <w:t xml:space="preserve"> Il doppio spoglio su un campione di fascicoli britannici (la regola del blocco 20 dell'agenda): la misura del tasso di perdita di una lettura singola su materiale in lingua, dove il rischio di svista cresce. La qualità dello spoglio estero si misura, non si spera.</w:t>
      </w:r>
    </w:p>
    <w:p>
      <w:pPr>
        <w:spacing w:after="120" w:line="276"/>
        <w:jc w:val="both"/>
      </w:pPr>
      <w:r>
        <w:rPr>
          <w:rFonts w:ascii="Barlow Semi Condensed" w:cs="Barlow Semi Condensed" w:eastAsia="Barlow Semi Condensed" w:hAnsi="Barlow Semi Condensed"/>
          <w:b/>
          <w:bCs/>
          <w:sz w:val="24"/>
          <w:szCs w:val="24"/>
        </w:rPr>
        <w:t xml:space="preserve">36 · L'acquisizione digitale.</w:t>
      </w:r>
      <w:r>
        <w:rPr>
          <w:rFonts w:ascii="Barlow Semi Condensed" w:cs="Barlow Semi Condensed" w:eastAsia="Barlow Semi Condensed" w:hAnsi="Barlow Semi Condensed"/>
          <w:sz w:val="24"/>
          <w:szCs w:val="24"/>
        </w:rPr>
        <w:t xml:space="preserve"> Il protocollo di riproduzione: ogni fascicolo letto a Kew si acquisisce in copia digitale con metadati di segnatura, e entra nel fascicolo digitale del caso (il cantiere del manuale) citabile alla carta. La trasferta produce archivio permanente, non appunti.</w:t>
      </w:r>
    </w:p>
    <w:p>
      <w:pPr>
        <w:spacing w:after="120" w:line="276"/>
        <w:jc w:val="both"/>
      </w:pPr>
      <w:r>
        <w:rPr>
          <w:rFonts w:ascii="Barlow Semi Condensed" w:cs="Barlow Semi Condensed" w:eastAsia="Barlow Semi Condensed" w:hAnsi="Barlow Semi Condensed"/>
          <w:b/>
          <w:bCs/>
          <w:sz w:val="24"/>
          <w:szCs w:val="24"/>
        </w:rPr>
        <w:t xml:space="preserve">37 · Il verbale dei vuoti britannici.</w:t>
      </w:r>
      <w:r>
        <w:rPr>
          <w:rFonts w:ascii="Barlow Semi Condensed" w:cs="Barlow Semi Condensed" w:eastAsia="Barlow Semi Condensed" w:hAnsi="Barlow Semi Condensed"/>
          <w:sz w:val="24"/>
          <w:szCs w:val="24"/>
        </w:rPr>
        <w:t xml:space="preserve"> Ogni ricerca a vuoto del cantiere — il fascicolo che non c'è, la serie senza Italia, il trattenuto senza motivazione — si verbalizza con perimetro esatto (la regola del blocco 285 dell'agenda). Lo Stato Zero britannico vale quanto quello italiano: è una coordinata in meno da riesplorare.</w:t>
      </w:r>
    </w:p>
    <w:p>
      <w:pPr>
        <w:spacing w:after="120" w:line="276"/>
        <w:jc w:val="both"/>
      </w:pPr>
      <w:r>
        <w:rPr>
          <w:rFonts w:ascii="Barlow Semi Condensed" w:cs="Barlow Semi Condensed" w:eastAsia="Barlow Semi Condensed" w:hAnsi="Barlow Semi Condensed"/>
          <w:b/>
          <w:bCs/>
          <w:sz w:val="24"/>
          <w:szCs w:val="24"/>
        </w:rPr>
        <w:t xml:space="preserve">38 · Il raccordo con Washington.</w:t>
      </w:r>
      <w:r>
        <w:rPr>
          <w:rFonts w:ascii="Barlow Semi Condensed" w:cs="Barlow Semi Condensed" w:eastAsia="Barlow Semi Condensed" w:hAnsi="Barlow Semi Condensed"/>
          <w:sz w:val="24"/>
          <w:szCs w:val="24"/>
        </w:rPr>
        <w:t xml:space="preserve"> La collazione sistematica Londra-Washington sulle giornate chiave: dove i due alleati divergono nel riferire lo stesso evento, la divergenza è o un errore di una capitale o un'informazione asimmetrica — ed entrambe le ipotesi sono piste documentali. La tavola bilaterale è il prodotto.</w:t>
      </w:r>
    </w:p>
    <w:p>
      <w:pPr>
        <w:spacing w:after="120" w:line="276"/>
        <w:jc w:val="both"/>
      </w:pPr>
      <w:r>
        <w:rPr>
          <w:rFonts w:ascii="Barlow Semi Condensed" w:cs="Barlow Semi Condensed" w:eastAsia="Barlow Semi Condensed" w:hAnsi="Barlow Semi Condensed"/>
          <w:b/>
          <w:bCs/>
          <w:sz w:val="24"/>
          <w:szCs w:val="24"/>
        </w:rPr>
        <w:t xml:space="preserve">39 · Il raccordo coi quesiti costitutivi.</w:t>
      </w:r>
      <w:r>
        <w:rPr>
          <w:rFonts w:ascii="Barlow Semi Condensed" w:cs="Barlow Semi Condensed" w:eastAsia="Barlow Semi Condensed" w:hAnsi="Barlow Semi Condensed"/>
          <w:sz w:val="24"/>
          <w:szCs w:val="24"/>
        </w:rPr>
        <w:t xml:space="preserve"> La tavola finale di corrispondenza: quale blocco britannico serve quale quesito dell'agenda (1-15) e quale pista del programma. Nessun bersaglio orfano vale anche oltremanica: ciò che non serve un quesito esce dal cantiere.</w:t>
      </w:r>
    </w:p>
    <w:p>
      <w:pPr>
        <w:spacing w:after="120" w:line="276"/>
        <w:jc w:val="both"/>
      </w:pPr>
      <w:r>
        <w:rPr>
          <w:rFonts w:ascii="Barlow Semi Condensed" w:cs="Barlow Semi Condensed" w:eastAsia="Barlow Semi Condensed" w:hAnsi="Barlow Semi Condensed"/>
          <w:b/>
          <w:bCs/>
          <w:sz w:val="24"/>
          <w:szCs w:val="24"/>
        </w:rPr>
        <w:t xml:space="preserve">40 · La tavola britannica.</w:t>
      </w:r>
      <w:r>
        <w:rPr>
          <w:rFonts w:ascii="Barlow Semi Condensed" w:cs="Barlow Semi Condensed" w:eastAsia="Barlow Semi Condensed" w:hAnsi="Barlow Semi Condensed"/>
          <w:sz w:val="24"/>
          <w:szCs w:val="24"/>
        </w:rPr>
        <w:t xml:space="preserve"> La chiusura del cantiere: lo stato di ogni bersaglio (1-39) — non iniziato, in corso, colpito, a vuoto — con date e documenti. Il primo dei nove cantieri consegna il suo modello di contabilità agli altri otto: ogni cantiere finisce in una pagina di stati.</w:t>
      </w:r>
    </w:p>
    <w:p>
      <w:pPr>
        <w:pStyle w:val="Heading3"/>
        <w:spacing w:after="80" w:before="160"/>
      </w:pPr>
      <w:r>
        <w:rPr>
          <w:rFonts w:ascii="Barlow Semi Condensed" w:cs="Barlow Semi Condensed" w:eastAsia="Barlow Semi Condensed" w:hAnsi="Barlow Semi Condensed"/>
          <w:sz w:val="24"/>
          <w:szCs w:val="24"/>
        </w:rPr>
        <w:t xml:space="preserve">Il cantiere francese (blocchi 41-80)</w:t>
      </w:r>
    </w:p>
    <w:p>
      <w:pPr>
        <w:spacing w:after="120" w:line="276"/>
        <w:jc w:val="both"/>
      </w:pPr>
      <w:r>
        <w:rPr>
          <w:rFonts w:ascii="Barlow Semi Condensed" w:cs="Barlow Semi Condensed" w:eastAsia="Barlow Semi Condensed" w:hAnsi="Barlow Semi Condensed"/>
          <w:b/>
          <w:bCs/>
          <w:sz w:val="24"/>
          <w:szCs w:val="24"/>
        </w:rPr>
        <w:t xml:space="preserve">41 · La serie madre di La Courneuve.</w:t>
      </w:r>
      <w:r>
        <w:rPr>
          <w:rFonts w:ascii="Barlow Semi Condensed" w:cs="Barlow Semi Condensed" w:eastAsia="Barlow Semi Condensed" w:hAnsi="Barlow Semi Condensed"/>
          <w:sz w:val="24"/>
          <w:szCs w:val="24"/>
        </w:rPr>
        <w:t xml:space="preserve"> Il punto di partenza documentato: agli archivi diplomatici francesi la sottoserie della Direction d'Europe «Italie, juillet 1976-1980» sta nel versamento 1929INVA (serie «Europe juillet 1976-1980», 974 scatole, inventario in linea). Prima campagna: l'estrazione dall'inventario di tutti i dossier italiani del 1978 e la loro lettura integrale.</w:t>
      </w:r>
    </w:p>
    <w:p>
      <w:pPr>
        <w:spacing w:after="120" w:line="276"/>
        <w:jc w:val="both"/>
      </w:pPr>
      <w:r>
        <w:rPr>
          <w:rFonts w:ascii="Barlow Semi Condensed" w:cs="Barlow Semi Condensed" w:eastAsia="Barlow Semi Condensed" w:hAnsi="Barlow Semi Condensed"/>
          <w:b/>
          <w:bCs/>
          <w:sz w:val="24"/>
          <w:szCs w:val="24"/>
        </w:rPr>
        <w:t xml:space="preserve">42 · L'inventario prima della sala.</w:t>
      </w:r>
      <w:r>
        <w:rPr>
          <w:rFonts w:ascii="Barlow Semi Condensed" w:cs="Barlow Semi Condensed" w:eastAsia="Barlow Semi Condensed" w:hAnsi="Barlow Semi Condensed"/>
          <w:sz w:val="24"/>
          <w:szCs w:val="24"/>
        </w:rPr>
        <w:t xml:space="preserve"> Lo spoglio dell'inventario PDF del versamento — dossier per dossier, con titoli e date — per costruire la mappa di lettura prima della trasferta. La regola dell'agenda (l'inventario prima del documento) vale doppio dove la sala è a Parigi e il tempo di missione è contato.</w:t>
      </w:r>
    </w:p>
    <w:p>
      <w:pPr>
        <w:spacing w:after="120" w:line="276"/>
        <w:jc w:val="both"/>
      </w:pPr>
      <w:r>
        <w:rPr>
          <w:rFonts w:ascii="Barlow Semi Condensed" w:cs="Barlow Semi Condensed" w:eastAsia="Barlow Semi Condensed" w:hAnsi="Barlow Semi Condensed"/>
          <w:b/>
          <w:bCs/>
          <w:sz w:val="24"/>
          <w:szCs w:val="24"/>
        </w:rPr>
        <w:t xml:space="preserve">43 · I dossier a comunicabilità lunga.</w:t>
      </w:r>
      <w:r>
        <w:rPr>
          <w:rFonts w:ascii="Barlow Semi Condensed" w:cs="Barlow Semi Condensed" w:eastAsia="Barlow Semi Condensed" w:hAnsi="Barlow Semi Condensed"/>
          <w:sz w:val="24"/>
          <w:szCs w:val="24"/>
        </w:rPr>
        <w:t xml:space="preserve"> Il censimento dei dossier del versamento soggetti a termini più lunghi (sicurezza dello Stato, vita privata: le eccezioni dell'articolo L213-2 del Code du patrimoine) e la procedura di </w:t>
      </w:r>
      <w:r>
        <w:rPr>
          <w:rFonts w:ascii="Barlow Semi Condensed" w:cs="Barlow Semi Condensed" w:eastAsia="Barlow Semi Condensed" w:hAnsi="Barlow Semi Condensed"/>
          <w:i/>
          <w:iCs/>
          <w:sz w:val="24"/>
          <w:szCs w:val="24"/>
        </w:rPr>
        <w:t xml:space="preserve">dérogation</w:t>
      </w:r>
      <w:r>
        <w:rPr>
          <w:rFonts w:ascii="Barlow Semi Condensed" w:cs="Barlow Semi Condensed" w:eastAsia="Barlow Semi Condensed" w:hAnsi="Barlow Semi Condensed"/>
          <w:sz w:val="24"/>
          <w:szCs w:val="24"/>
        </w:rPr>
        <w:t xml:space="preserve"> per ciascuno: la richiesta motivata di consultazione anticipata, registrata nel registro delle richieste.</w:t>
      </w:r>
    </w:p>
    <w:p>
      <w:pPr>
        <w:spacing w:after="120" w:line="276"/>
        <w:jc w:val="both"/>
      </w:pPr>
      <w:r>
        <w:rPr>
          <w:rFonts w:ascii="Barlow Semi Condensed" w:cs="Barlow Semi Condensed" w:eastAsia="Barlow Semi Condensed" w:hAnsi="Barlow Semi Condensed"/>
          <w:b/>
          <w:bCs/>
          <w:sz w:val="24"/>
          <w:szCs w:val="24"/>
        </w:rPr>
        <w:t xml:space="preserve">44 · Nantes, le carte rimpatriate.</w:t>
      </w:r>
      <w:r>
        <w:rPr>
          <w:rFonts w:ascii="Barlow Semi Condensed" w:cs="Barlow Semi Condensed" w:eastAsia="Barlow Semi Condensed" w:hAnsi="Barlow Semi Condensed"/>
          <w:sz w:val="24"/>
          <w:szCs w:val="24"/>
        </w:rPr>
        <w:t xml:space="preserve"> Il Centre des Archives diplomatiques de Nantes, che conserva i fondi rimpatriati dell'ambasciata di Francia a Roma (il fondo «Rome-Quirinal»): l'accertamento dei versamenti novecenteschi e delle serie del 1978 — corrispondenza di sede, registri, carteggi consolari. La voce dell'ambasciata si legge a Nantes; quella della centrale a La Courneuve: il cantiere le vuole entrambe.</w:t>
      </w:r>
    </w:p>
    <w:p>
      <w:pPr>
        <w:spacing w:after="120" w:line="276"/>
        <w:jc w:val="both"/>
      </w:pPr>
      <w:r>
        <w:rPr>
          <w:rFonts w:ascii="Barlow Semi Condensed" w:cs="Barlow Semi Condensed" w:eastAsia="Barlow Semi Condensed" w:hAnsi="Barlow Semi Condensed"/>
          <w:b/>
          <w:bCs/>
          <w:sz w:val="24"/>
          <w:szCs w:val="24"/>
        </w:rPr>
        <w:t xml:space="preserve">45 · L'ambasciatore e i suoi dispacci.</w:t>
      </w:r>
      <w:r>
        <w:rPr>
          <w:rFonts w:ascii="Barlow Semi Condensed" w:cs="Barlow Semi Condensed" w:eastAsia="Barlow Semi Condensed" w:hAnsi="Barlow Semi Condensed"/>
          <w:sz w:val="24"/>
          <w:szCs w:val="24"/>
        </w:rPr>
        <w:t xml:space="preserve"> La sequenza integrale dei dispacci dell'ambasciata di Francia a Roma nei 55 giorni: orari, destinatari, generi. La colonna francese della collazione bilaterale — da costruire con lo stesso metodo del blocco 26 britannico, per le stesse giornate chiave.</w:t>
      </w:r>
    </w:p>
    <w:p>
      <w:pPr>
        <w:spacing w:after="120" w:line="276"/>
        <w:jc w:val="both"/>
      </w:pPr>
      <w:r>
        <w:rPr>
          <w:rFonts w:ascii="Barlow Semi Condensed" w:cs="Barlow Semi Condensed" w:eastAsia="Barlow Semi Condensed" w:hAnsi="Barlow Semi Condensed"/>
          <w:b/>
          <w:bCs/>
          <w:sz w:val="24"/>
          <w:szCs w:val="24"/>
        </w:rPr>
        <w:t xml:space="preserve">46 · Il Quai e la crisi.</w:t>
      </w:r>
      <w:r>
        <w:rPr>
          <w:rFonts w:ascii="Barlow Semi Condensed" w:cs="Barlow Semi Condensed" w:eastAsia="Barlow Semi Condensed" w:hAnsi="Barlow Semi Condensed"/>
          <w:sz w:val="24"/>
          <w:szCs w:val="24"/>
        </w:rPr>
        <w:t xml:space="preserve"> Le carte della centrale — direzione Europa, gabinetto del ministro — sulle valutazioni francesi della crisi italiana: la fermezza vista da Parigi, i giudizi sull'apparato italiano, le note per il vertice. Parigi aveva col caso italiano una prossimità politica speciale: le sue analisi d'epoca sono un osservatorio unico.</w:t>
      </w:r>
    </w:p>
    <w:p>
      <w:pPr>
        <w:spacing w:after="120" w:line="276"/>
        <w:jc w:val="both"/>
      </w:pPr>
      <w:r>
        <w:rPr>
          <w:rFonts w:ascii="Barlow Semi Condensed" w:cs="Barlow Semi Condensed" w:eastAsia="Barlow Semi Condensed" w:hAnsi="Barlow Semi Condensed"/>
          <w:b/>
          <w:bCs/>
          <w:sz w:val="24"/>
          <w:szCs w:val="24"/>
        </w:rPr>
        <w:t xml:space="preserve">47 · L'Eliseo.</w:t>
      </w:r>
      <w:r>
        <w:rPr>
          <w:rFonts w:ascii="Barlow Semi Condensed" w:cs="Barlow Semi Condensed" w:eastAsia="Barlow Semi Condensed" w:hAnsi="Barlow Semi Condensed"/>
          <w:sz w:val="24"/>
          <w:szCs w:val="24"/>
        </w:rPr>
        <w:t xml:space="preserve"> Gli archivi presidenziali francesi (le serie di Valéry Giscard d'Estaing agli Archives nationales, versamento AG): i dossier italiani del 1978, i verbali dei consigli ristretti dove il terrorismo europeo entrò. L'accertamento delle serie e dei loro termini, con dérogation dove serve.</w:t>
      </w:r>
    </w:p>
    <w:p>
      <w:pPr>
        <w:spacing w:after="120" w:line="276"/>
        <w:jc w:val="both"/>
      </w:pPr>
      <w:r>
        <w:rPr>
          <w:rFonts w:ascii="Barlow Semi Condensed" w:cs="Barlow Semi Condensed" w:eastAsia="Barlow Semi Condensed" w:hAnsi="Barlow Semi Condensed"/>
          <w:b/>
          <w:bCs/>
          <w:sz w:val="24"/>
          <w:szCs w:val="24"/>
        </w:rPr>
        <w:t xml:space="preserve">48 · Gli archivi giudiziari chiusi.</w:t>
      </w:r>
      <w:r>
        <w:rPr>
          <w:rFonts w:ascii="Barlow Semi Condensed" w:cs="Barlow Semi Condensed" w:eastAsia="Barlow Semi Condensed" w:hAnsi="Barlow Semi Condensed"/>
          <w:sz w:val="24"/>
          <w:szCs w:val="24"/>
        </w:rPr>
        <w:t xml:space="preserve"> La presa d'atto verificata: gli atti giudiziari francesi restano sotto termini di comunicabilità fino a settantacinque anni — le carte d'inchiesta transalpine sul terrorismo italiano non sono pubbliche. Il blocco fissa il perimetro onesto del cantiere: ciò che la legge francese chiude si dichiara chiuso, con la data di apertura calcolata.</w:t>
      </w:r>
    </w:p>
    <w:p>
      <w:pPr>
        <w:spacing w:after="120" w:line="276"/>
        <w:jc w:val="both"/>
      </w:pPr>
      <w:r>
        <w:rPr>
          <w:rFonts w:ascii="Barlow Semi Condensed" w:cs="Barlow Semi Condensed" w:eastAsia="Barlow Semi Condensed" w:hAnsi="Barlow Semi Condensed"/>
          <w:b/>
          <w:bCs/>
          <w:sz w:val="24"/>
          <w:szCs w:val="24"/>
        </w:rPr>
        <w:t xml:space="preserve">49 · I fondi di polizia versati.</w:t>
      </w:r>
      <w:r>
        <w:rPr>
          <w:rFonts w:ascii="Barlow Semi Condensed" w:cs="Barlow Semi Condensed" w:eastAsia="Barlow Semi Condensed" w:hAnsi="Barlow Semi Condensed"/>
          <w:sz w:val="24"/>
          <w:szCs w:val="24"/>
        </w:rPr>
        <w:t xml:space="preserve"> Le vie archivistiche che esistono, verificate: il fondo Maurice Grimaud è in due sedi — il Centre d'histoire de Sciences Po (le carte private) e le Archives nationales a Pierrefitte (le carte d'ufficio) — e documenta fra l'altro una nota del 24 maggio 1983 con cui Grimaud, direttore di gabinetto di Defferre, chiese ai Renseignements généraux informazioni su Hyperion. Con le serie della préfecture de police: l'accertamento di che cosa contengano sull'emigrazione italiana degli anni Settanta, con dérogation.</w:t>
      </w:r>
    </w:p>
    <w:p>
      <w:pPr>
        <w:spacing w:after="120" w:line="276"/>
        <w:jc w:val="both"/>
      </w:pPr>
      <w:r>
        <w:rPr>
          <w:rFonts w:ascii="Barlow Semi Condensed" w:cs="Barlow Semi Condensed" w:eastAsia="Barlow Semi Condensed" w:hAnsi="Barlow Semi Condensed"/>
          <w:b/>
          <w:bCs/>
          <w:sz w:val="24"/>
          <w:szCs w:val="24"/>
        </w:rPr>
        <w:t xml:space="preserve">50 · Hyperion: il perimetro documentale.</w:t>
      </w:r>
      <w:r>
        <w:rPr>
          <w:rFonts w:ascii="Barlow Semi Condensed" w:cs="Barlow Semi Condensed" w:eastAsia="Barlow Semi Condensed" w:hAnsi="Barlow Semi Condensed"/>
          <w:sz w:val="24"/>
          <w:szCs w:val="24"/>
        </w:rPr>
        <w:t xml:space="preserve"> Il cantiere francese di Hyperion con la precisazione verificata: gli atti del 1982 finora noti sono di fonte giudiziaria italiana (l'istruttoria veneziana del giudice Mastelloni); le vie francesi sono archivistiche e a deroga. Il criterio resta quello dell'agenda (blocco 222): riapre solo un documento primario — e questo blocco dice in quali scaffali potrebbe giacere.</w:t>
      </w:r>
    </w:p>
    <w:p>
      <w:pPr>
        <w:spacing w:after="120" w:line="276"/>
        <w:jc w:val="both"/>
      </w:pPr>
      <w:r>
        <w:rPr>
          <w:rFonts w:ascii="Barlow Semi Condensed" w:cs="Barlow Semi Condensed" w:eastAsia="Barlow Semi Condensed" w:hAnsi="Barlow Semi Condensed"/>
          <w:b/>
          <w:bCs/>
          <w:sz w:val="24"/>
          <w:szCs w:val="24"/>
        </w:rPr>
        <w:t xml:space="preserve">51 · La dottrina e le sue carte.</w:t>
      </w:r>
      <w:r>
        <w:rPr>
          <w:rFonts w:ascii="Barlow Semi Condensed" w:cs="Barlow Semi Condensed" w:eastAsia="Barlow Semi Condensed" w:hAnsi="Barlow Semi Condensed"/>
          <w:sz w:val="24"/>
          <w:szCs w:val="24"/>
        </w:rPr>
        <w:t xml:space="preserve"> Il fascicolo documentale della dottrina Mitterrand: il discorso alla Ligue des droits de l'homme (21 aprile 1985), gli atti amministrativi sui rifugiati italiani, i pareri del Conseil d'État, fino alla parola della Cassazione francese (marzo 2023) sulle estradizioni negate. Il corpus ha il quadro; il cantiere vuole il fascicolo francese integrale.</w:t>
      </w:r>
    </w:p>
    <w:p>
      <w:pPr>
        <w:spacing w:after="120" w:line="276"/>
        <w:jc w:val="both"/>
      </w:pPr>
      <w:r>
        <w:rPr>
          <w:rFonts w:ascii="Barlow Semi Condensed" w:cs="Barlow Semi Condensed" w:eastAsia="Barlow Semi Condensed" w:hAnsi="Barlow Semi Condensed"/>
          <w:b/>
          <w:bCs/>
          <w:sz w:val="24"/>
          <w:szCs w:val="24"/>
        </w:rPr>
        <w:t xml:space="preserve">52 · Gli estradandi e i fascicoli.</w:t>
      </w:r>
      <w:r>
        <w:rPr>
          <w:rFonts w:ascii="Barlow Semi Condensed" w:cs="Barlow Semi Condensed" w:eastAsia="Barlow Semi Condensed" w:hAnsi="Barlow Semi Condensed"/>
          <w:sz w:val="24"/>
          <w:szCs w:val="24"/>
        </w:rPr>
        <w:t xml:space="preserve"> Per ciascuna vicenda estradizionale del caso documentata nel corpus: il fascicolo amministrativo francese — domande, pareri, decisioni — nei limiti di comunicabilità, con dérogation motivata dalla natura storica. La tavola delle estradizioni chieste e negate, in carta francese.</w:t>
      </w:r>
    </w:p>
    <w:p>
      <w:pPr>
        <w:spacing w:after="120" w:line="276"/>
        <w:jc w:val="both"/>
      </w:pPr>
      <w:r>
        <w:rPr>
          <w:rFonts w:ascii="Barlow Semi Condensed" w:cs="Barlow Semi Condensed" w:eastAsia="Barlow Semi Condensed" w:hAnsi="Barlow Semi Condensed"/>
          <w:b/>
          <w:bCs/>
          <w:sz w:val="24"/>
          <w:szCs w:val="24"/>
        </w:rPr>
        <w:t xml:space="preserve">53 · L'OFPRA e gli status.</w:t>
      </w:r>
      <w:r>
        <w:rPr>
          <w:rFonts w:ascii="Barlow Semi Condensed" w:cs="Barlow Semi Condensed" w:eastAsia="Barlow Semi Condensed" w:hAnsi="Barlow Semi Condensed"/>
          <w:sz w:val="24"/>
          <w:szCs w:val="24"/>
        </w:rPr>
        <w:t xml:space="preserve"> L'accertamento dei margini di ricerca negli archivi dell'ufficio francese per i rifugiati: quali serie sugli italiani degli anni Settanta-Ottanta siano comunicabili e con quali anonimizzazioni. Bersaglio delicato per definizione: si chiede la serie, mai la persona — la regola personalistica vale anche a Parigi.</w:t>
      </w:r>
    </w:p>
    <w:p>
      <w:pPr>
        <w:spacing w:after="120" w:line="276"/>
        <w:jc w:val="both"/>
      </w:pPr>
      <w:r>
        <w:rPr>
          <w:rFonts w:ascii="Barlow Semi Condensed" w:cs="Barlow Semi Condensed" w:eastAsia="Barlow Semi Condensed" w:hAnsi="Barlow Semi Condensed"/>
          <w:b/>
          <w:bCs/>
          <w:sz w:val="24"/>
          <w:szCs w:val="24"/>
        </w:rPr>
        <w:t xml:space="preserve">54 · La CADA e i dinieghi.</w:t>
      </w:r>
      <w:r>
        <w:rPr>
          <w:rFonts w:ascii="Barlow Semi Condensed" w:cs="Barlow Semi Condensed" w:eastAsia="Barlow Semi Condensed" w:hAnsi="Barlow Semi Condensed"/>
          <w:sz w:val="24"/>
          <w:szCs w:val="24"/>
        </w:rPr>
        <w:t xml:space="preserve"> Per ogni diniego amministrativo: il ricorso alla Commission d'accès aux documents administratifs, coi precedenti favorevoli alla ricerca storica. Il gemello francese del blocco 13 britannico: ogni sistema ha il suo giudice dell'accesso, e il cantiere li conosce tutti.</w:t>
      </w:r>
    </w:p>
    <w:p>
      <w:pPr>
        <w:spacing w:after="120" w:line="276"/>
        <w:jc w:val="both"/>
      </w:pPr>
      <w:r>
        <w:rPr>
          <w:rFonts w:ascii="Barlow Semi Condensed" w:cs="Barlow Semi Condensed" w:eastAsia="Barlow Semi Condensed" w:hAnsi="Barlow Semi Condensed"/>
          <w:b/>
          <w:bCs/>
          <w:sz w:val="24"/>
          <w:szCs w:val="24"/>
        </w:rPr>
        <w:t xml:space="preserve">55 · Le carte italiane di Francia.</w:t>
      </w:r>
      <w:r>
        <w:rPr>
          <w:rFonts w:ascii="Barlow Semi Condensed" w:cs="Barlow Semi Condensed" w:eastAsia="Barlow Semi Condensed" w:hAnsi="Barlow Semi Condensed"/>
          <w:sz w:val="24"/>
          <w:szCs w:val="24"/>
        </w:rPr>
        <w:t xml:space="preserve"> Il rovescio del cantiere: le carte dell'ambasciata d'Italia a Parigi e dei consolati per il 1978 e per gli anni della dottrina — all'Archivio storico diplomatico della Farnesina. Che cosa Roma chiedeva a Parigi e che cosa Parigi rispondeva, visto dal lato italiano: la collazione bilaterale comincia in casa.</w:t>
      </w:r>
    </w:p>
    <w:p>
      <w:pPr>
        <w:spacing w:after="120" w:line="276"/>
        <w:jc w:val="both"/>
      </w:pPr>
      <w:r>
        <w:rPr>
          <w:rFonts w:ascii="Barlow Semi Condensed" w:cs="Barlow Semi Condensed" w:eastAsia="Barlow Semi Condensed" w:hAnsi="Barlow Semi Condensed"/>
          <w:b/>
          <w:bCs/>
          <w:sz w:val="24"/>
          <w:szCs w:val="24"/>
        </w:rPr>
        <w:t xml:space="preserve">56 · La stampa francese come archivio.</w:t>
      </w:r>
      <w:r>
        <w:rPr>
          <w:rFonts w:ascii="Barlow Semi Condensed" w:cs="Barlow Semi Condensed" w:eastAsia="Barlow Semi Condensed" w:hAnsi="Barlow Semi Condensed"/>
          <w:sz w:val="24"/>
          <w:szCs w:val="24"/>
        </w:rPr>
        <w:t xml:space="preserve"> Gli archivi di Le Monde, Libération, Le Figaro per i 55 giorni e per la stagione dei rifugiati: corrispondenze da Roma, inchieste, interviste d'epoca ai protagonisti dell'emigrazione italiana. La stampa francese seguì il caso con lenti proprie: il suo archivio è una fonte contestuale datata.</w:t>
      </w:r>
    </w:p>
    <w:p>
      <w:pPr>
        <w:spacing w:after="120" w:line="276"/>
        <w:jc w:val="both"/>
      </w:pPr>
      <w:r>
        <w:rPr>
          <w:rFonts w:ascii="Barlow Semi Condensed" w:cs="Barlow Semi Condensed" w:eastAsia="Barlow Semi Condensed" w:hAnsi="Barlow Semi Condensed"/>
          <w:b/>
          <w:bCs/>
          <w:sz w:val="24"/>
          <w:szCs w:val="24"/>
        </w:rPr>
        <w:t xml:space="preserve">57 · Gli istituti e i fondi militanti.</w:t>
      </w:r>
      <w:r>
        <w:rPr>
          <w:rFonts w:ascii="Barlow Semi Condensed" w:cs="Barlow Semi Condensed" w:eastAsia="Barlow Semi Condensed" w:hAnsi="Barlow Semi Condensed"/>
          <w:sz w:val="24"/>
          <w:szCs w:val="24"/>
        </w:rPr>
        <w:t xml:space="preserve"> Gli archivi degli istituti francesi che conservano carte dell'estrema sinistra europea e dell'emigrazione italiana — fondazioni, biblioteche militanti, fondi personali versati: il censimento di ciò che è consultabile su riviste, reti di solidarietà, difese legali. Si legge per contesto documentale, con la disciplina dei gradi.</w:t>
      </w:r>
    </w:p>
    <w:p>
      <w:pPr>
        <w:spacing w:after="120" w:line="276"/>
        <w:jc w:val="both"/>
      </w:pPr>
      <w:r>
        <w:rPr>
          <w:rFonts w:ascii="Barlow Semi Condensed" w:cs="Barlow Semi Condensed" w:eastAsia="Barlow Semi Condensed" w:hAnsi="Barlow Semi Condensed"/>
          <w:b/>
          <w:bCs/>
          <w:sz w:val="24"/>
          <w:szCs w:val="24"/>
        </w:rPr>
        <w:t xml:space="preserve">58 · Le difese e i difensori.</w:t>
      </w:r>
      <w:r>
        <w:rPr>
          <w:rFonts w:ascii="Barlow Semi Condensed" w:cs="Barlow Semi Condensed" w:eastAsia="Barlow Semi Condensed" w:hAnsi="Barlow Semi Condensed"/>
          <w:sz w:val="24"/>
          <w:szCs w:val="24"/>
        </w:rPr>
        <w:t xml:space="preserve"> Gli archivi degli avvocati francesi dei rifugiati italiani, nei limiti del segreto professionale: atti pubblici, memorie difensive depositate, dossier di stampa. La regola del blocco 174 dell'agenda, applicata al foro di Parigi: si censisce il depositabile, non si forza il riservato.</w:t>
      </w:r>
    </w:p>
    <w:p>
      <w:pPr>
        <w:spacing w:after="120" w:line="276"/>
        <w:jc w:val="both"/>
      </w:pPr>
      <w:r>
        <w:rPr>
          <w:rFonts w:ascii="Barlow Semi Condensed" w:cs="Barlow Semi Condensed" w:eastAsia="Barlow Semi Condensed" w:hAnsi="Barlow Semi Condensed"/>
          <w:b/>
          <w:bCs/>
          <w:sz w:val="24"/>
          <w:szCs w:val="24"/>
        </w:rPr>
        <w:t xml:space="preserve">59 · La letteratura d'oltralpe.</w:t>
      </w:r>
      <w:r>
        <w:rPr>
          <w:rFonts w:ascii="Barlow Semi Condensed" w:cs="Barlow Semi Condensed" w:eastAsia="Barlow Semi Condensed" w:hAnsi="Barlow Semi Condensed"/>
          <w:sz w:val="24"/>
          <w:szCs w:val="24"/>
        </w:rPr>
        <w:t xml:space="preserve"> Gli studi francesi sugli anni di piombo italiani e sull'asilo — la storiografia accademica francese sul caso: la tavola delle fonti primarie che cita, con le segnature. La mappa di scavo francese si costruisce come quella britannica: dalla bibliografia alle segnature, dalle segnature agli scaffali.</w:t>
      </w:r>
    </w:p>
    <w:p>
      <w:pPr>
        <w:spacing w:after="120" w:line="276"/>
        <w:jc w:val="both"/>
      </w:pPr>
      <w:r>
        <w:rPr>
          <w:rFonts w:ascii="Barlow Semi Condensed" w:cs="Barlow Semi Condensed" w:eastAsia="Barlow Semi Condensed" w:hAnsi="Barlow Semi Condensed"/>
          <w:b/>
          <w:bCs/>
          <w:sz w:val="24"/>
          <w:szCs w:val="24"/>
        </w:rPr>
        <w:t xml:space="preserve">60 · I colloqui al vertice.</w:t>
      </w:r>
      <w:r>
        <w:rPr>
          <w:rFonts w:ascii="Barlow Semi Condensed" w:cs="Barlow Semi Condensed" w:eastAsia="Barlow Semi Condensed" w:hAnsi="Barlow Semi Condensed"/>
          <w:sz w:val="24"/>
          <w:szCs w:val="24"/>
        </w:rPr>
        <w:t xml:space="preserve"> Le carte dei vertici bilaterali e comunitari del 1978 — i consigli europei, i G7 (Bonn, luglio 1978): dove il terrorismo entrò negli ordini del giorno e che cosa l'Italia vi chiese. Il quesito della cooperazione europea antiterrorismo, documentato dalle carte dei vertici, colonna francese.</w:t>
      </w:r>
    </w:p>
    <w:p>
      <w:pPr>
        <w:spacing w:after="120" w:line="276"/>
        <w:jc w:val="both"/>
      </w:pPr>
      <w:r>
        <w:rPr>
          <w:rFonts w:ascii="Barlow Semi Condensed" w:cs="Barlow Semi Condensed" w:eastAsia="Barlow Semi Condensed" w:hAnsi="Barlow Semi Condensed"/>
          <w:b/>
          <w:bCs/>
          <w:sz w:val="24"/>
          <w:szCs w:val="24"/>
        </w:rPr>
        <w:t xml:space="preserve">61 · TREVI, da Parigi.</w:t>
      </w:r>
      <w:r>
        <w:rPr>
          <w:rFonts w:ascii="Barlow Semi Condensed" w:cs="Barlow Semi Condensed" w:eastAsia="Barlow Semi Condensed" w:hAnsi="Barlow Semi Condensed"/>
          <w:sz w:val="24"/>
          <w:szCs w:val="24"/>
        </w:rPr>
        <w:t xml:space="preserve"> Le carte francesi sulla cooperazione TREVI (i gruppi europei antiterrorismo dal 1976): riunioni, scambi, valutazioni comuni del 1978. Il quesito 23 britannico ha qui il suo gemello: la cooperazione tecnica europea del 1978 in carta francese — chi scambiava che cosa con l'Italia.</w:t>
      </w:r>
    </w:p>
    <w:p>
      <w:pPr>
        <w:spacing w:after="120" w:line="276"/>
        <w:jc w:val="both"/>
      </w:pPr>
      <w:r>
        <w:rPr>
          <w:rFonts w:ascii="Barlow Semi Condensed" w:cs="Barlow Semi Condensed" w:eastAsia="Barlow Semi Condensed" w:hAnsi="Barlow Semi Condensed"/>
          <w:b/>
          <w:bCs/>
          <w:sz w:val="24"/>
          <w:szCs w:val="24"/>
        </w:rPr>
        <w:t xml:space="preserve">62 · Le sequenze dei giorni chiave.</w:t>
      </w:r>
      <w:r>
        <w:rPr>
          <w:rFonts w:ascii="Barlow Semi Condensed" w:cs="Barlow Semi Condensed" w:eastAsia="Barlow Semi Condensed" w:hAnsi="Barlow Semi Condensed"/>
          <w:sz w:val="24"/>
          <w:szCs w:val="24"/>
        </w:rPr>
        <w:t xml:space="preserve"> Il 16 marzo, il 18 aprile, il 9 maggio in carta francese: la sequenza oraria dei telegrammi, per la collazione trilaterale con Londra e Washington. Tre capitali, tre sequenze, una tavola: le divergenze emergono solo dalla completezza.</w:t>
      </w:r>
    </w:p>
    <w:p>
      <w:pPr>
        <w:spacing w:after="120" w:line="276"/>
        <w:jc w:val="both"/>
      </w:pPr>
      <w:r>
        <w:rPr>
          <w:rFonts w:ascii="Barlow Semi Condensed" w:cs="Barlow Semi Condensed" w:eastAsia="Barlow Semi Condensed" w:hAnsi="Barlow Semi Condensed"/>
          <w:b/>
          <w:bCs/>
          <w:sz w:val="24"/>
          <w:szCs w:val="24"/>
        </w:rPr>
        <w:t xml:space="preserve">63 · Il registro di lettura francese.</w:t>
      </w:r>
      <w:r>
        <w:rPr>
          <w:rFonts w:ascii="Barlow Semi Condensed" w:cs="Barlow Semi Condensed" w:eastAsia="Barlow Semi Condensed" w:hAnsi="Barlow Semi Condensed"/>
          <w:sz w:val="24"/>
          <w:szCs w:val="24"/>
        </w:rPr>
        <w:t xml:space="preserve"> Le annotazioni di circolazione sui dossier del Quai: chi lesse, chi annotò, che cosa salì al ministro. La sociologia della carta si fa anche in francese — e il confronto fra le circolazioni interne delle tre capitali misura quanto ciascuna prese sul serio il caso.</w:t>
      </w:r>
    </w:p>
    <w:p>
      <w:pPr>
        <w:spacing w:after="120" w:line="276"/>
        <w:jc w:val="both"/>
      </w:pPr>
      <w:r>
        <w:rPr>
          <w:rFonts w:ascii="Barlow Semi Condensed" w:cs="Barlow Semi Condensed" w:eastAsia="Barlow Semi Condensed" w:hAnsi="Barlow Semi Condensed"/>
          <w:b/>
          <w:bCs/>
          <w:sz w:val="24"/>
          <w:szCs w:val="24"/>
        </w:rPr>
        <w:t xml:space="preserve">64 · Il lessico di Parigi.</w:t>
      </w:r>
      <w:r>
        <w:rPr>
          <w:rFonts w:ascii="Barlow Semi Condensed" w:cs="Barlow Semi Condensed" w:eastAsia="Barlow Semi Condensed" w:hAnsi="Barlow Semi Condensed"/>
          <w:sz w:val="24"/>
          <w:szCs w:val="24"/>
        </w:rPr>
        <w:t xml:space="preserve"> Il glossario francese del caso: come il Quai e la stampa chiamarono le Brigate rosse, la fermezza, la trattativa — e quando il lessico cambiò. La colonna francese del bersaglio filologico: la terminologia datata come termometro della percezione.</w:t>
      </w:r>
    </w:p>
    <w:p>
      <w:pPr>
        <w:spacing w:after="120" w:line="276"/>
        <w:jc w:val="both"/>
      </w:pPr>
      <w:r>
        <w:rPr>
          <w:rFonts w:ascii="Barlow Semi Condensed" w:cs="Barlow Semi Condensed" w:eastAsia="Barlow Semi Condensed" w:hAnsi="Barlow Semi Condensed"/>
          <w:b/>
          <w:bCs/>
          <w:sz w:val="24"/>
          <w:szCs w:val="24"/>
        </w:rPr>
        <w:t xml:space="preserve">65 · I fuoriusciti prima del caso.</w:t>
      </w:r>
      <w:r>
        <w:rPr>
          <w:rFonts w:ascii="Barlow Semi Condensed" w:cs="Barlow Semi Condensed" w:eastAsia="Barlow Semi Condensed" w:hAnsi="Barlow Semi Condensed"/>
          <w:sz w:val="24"/>
          <w:szCs w:val="24"/>
        </w:rPr>
        <w:t xml:space="preserve"> Le carte francesi sull'emigrazione politica italiana prima del 1978: che cosa Parigi sapeva e registrava delle presenze italiane radicali sul proprio territorio negli anni precedenti. Il contesto documentale entro cui ogni quesito successivo sulla Francia va letto: prima si data il paesaggio, poi i fatti.</w:t>
      </w:r>
    </w:p>
    <w:p>
      <w:pPr>
        <w:spacing w:after="120" w:line="276"/>
        <w:jc w:val="both"/>
      </w:pPr>
      <w:r>
        <w:rPr>
          <w:rFonts w:ascii="Barlow Semi Condensed" w:cs="Barlow Semi Condensed" w:eastAsia="Barlow Semi Condensed" w:hAnsi="Barlow Semi Condensed"/>
          <w:b/>
          <w:bCs/>
          <w:sz w:val="24"/>
          <w:szCs w:val="24"/>
        </w:rPr>
        <w:t xml:space="preserve">66 · Il dopo, da Parigi.</w:t>
      </w:r>
      <w:r>
        <w:rPr>
          <w:rFonts w:ascii="Barlow Semi Condensed" w:cs="Barlow Semi Condensed" w:eastAsia="Barlow Semi Condensed" w:hAnsi="Barlow Semi Condensed"/>
          <w:sz w:val="24"/>
          <w:szCs w:val="24"/>
        </w:rPr>
        <w:t xml:space="preserve"> Le analisi francesi dopo il 9 maggio: l'esito del caso nelle valutazioni del Quai, le conseguenze per la cooperazione, i giudizi sull'Italia della solidarietà nazionale. La colonna francese del blocco 22: il senno di poi alleato, datato e comparato.</w:t>
      </w:r>
    </w:p>
    <w:p>
      <w:pPr>
        <w:spacing w:after="120" w:line="276"/>
        <w:jc w:val="both"/>
      </w:pPr>
      <w:r>
        <w:rPr>
          <w:rFonts w:ascii="Barlow Semi Condensed" w:cs="Barlow Semi Condensed" w:eastAsia="Barlow Semi Condensed" w:hAnsi="Barlow Semi Condensed"/>
          <w:b/>
          <w:bCs/>
          <w:sz w:val="24"/>
          <w:szCs w:val="24"/>
        </w:rPr>
        <w:t xml:space="preserve">67 · Moro visto da Parigi.</w:t>
      </w:r>
      <w:r>
        <w:rPr>
          <w:rFonts w:ascii="Barlow Semi Condensed" w:cs="Barlow Semi Condensed" w:eastAsia="Barlow Semi Condensed" w:hAnsi="Barlow Semi Condensed"/>
          <w:sz w:val="24"/>
          <w:szCs w:val="24"/>
        </w:rPr>
        <w:t xml:space="preserve"> Il ritratto diplomatico francese di Moro statista: i giudizi del Quai negli anni delle sue presidenze e degli esteri, i colloqui bilaterali. Il terzo ritratto d'archivio dell'uomo — dopo l'americano del corpus e il britannico del blocco 25 — per la prosopografia comparata delle diplomazie.</w:t>
      </w:r>
    </w:p>
    <w:p>
      <w:pPr>
        <w:spacing w:after="120" w:line="276"/>
        <w:jc w:val="both"/>
      </w:pPr>
      <w:r>
        <w:rPr>
          <w:rFonts w:ascii="Barlow Semi Condensed" w:cs="Barlow Semi Condensed" w:eastAsia="Barlow Semi Condensed" w:hAnsi="Barlow Semi Condensed"/>
          <w:b/>
          <w:bCs/>
          <w:sz w:val="24"/>
          <w:szCs w:val="24"/>
        </w:rPr>
        <w:t xml:space="preserve">68 · Le radio e gli ascolti.</w:t>
      </w:r>
      <w:r>
        <w:rPr>
          <w:rFonts w:ascii="Barlow Semi Condensed" w:cs="Barlow Semi Condensed" w:eastAsia="Barlow Semi Condensed" w:hAnsi="Barlow Semi Condensed"/>
          <w:sz w:val="24"/>
          <w:szCs w:val="24"/>
        </w:rPr>
        <w:t xml:space="preserve"> Gli archivi dell'audiovisivo pubblico francese (INA) per i 55 giorni: i servizi dei corrispondenti da Roma, le edizioni speciali, le interviste d'epoca. Il gemello francese del cantiere BBC: la cronaca datata in un'altra lingua, con altri accenti e altre fonti.</w:t>
      </w:r>
    </w:p>
    <w:p>
      <w:pPr>
        <w:spacing w:after="120" w:line="276"/>
        <w:jc w:val="both"/>
      </w:pPr>
      <w:r>
        <w:rPr>
          <w:rFonts w:ascii="Barlow Semi Condensed" w:cs="Barlow Semi Condensed" w:eastAsia="Barlow Semi Condensed" w:hAnsi="Barlow Semi Condensed"/>
          <w:b/>
          <w:bCs/>
          <w:sz w:val="24"/>
          <w:szCs w:val="24"/>
        </w:rPr>
        <w:t xml:space="preserve">69 · Il campione e il controllo.</w:t>
      </w:r>
      <w:r>
        <w:rPr>
          <w:rFonts w:ascii="Barlow Semi Condensed" w:cs="Barlow Semi Condensed" w:eastAsia="Barlow Semi Condensed" w:hAnsi="Barlow Semi Condensed"/>
          <w:sz w:val="24"/>
          <w:szCs w:val="24"/>
        </w:rPr>
        <w:t xml:space="preserve"> Il doppio spoglio di controllo su un campione di dossier francesi (la regola costante): la misura dell'errore di lettura su materiale in lingua. Ogni cantiere nazionale tara la propria qualità: il francese non fa eccezione.</w:t>
      </w:r>
    </w:p>
    <w:p>
      <w:pPr>
        <w:spacing w:after="120" w:line="276"/>
        <w:jc w:val="both"/>
      </w:pPr>
      <w:r>
        <w:rPr>
          <w:rFonts w:ascii="Barlow Semi Condensed" w:cs="Barlow Semi Condensed" w:eastAsia="Barlow Semi Condensed" w:hAnsi="Barlow Semi Condensed"/>
          <w:b/>
          <w:bCs/>
          <w:sz w:val="24"/>
          <w:szCs w:val="24"/>
        </w:rPr>
        <w:t xml:space="preserve">70 · L'acquisizione e i metadati.</w:t>
      </w:r>
      <w:r>
        <w:rPr>
          <w:rFonts w:ascii="Barlow Semi Condensed" w:cs="Barlow Semi Condensed" w:eastAsia="Barlow Semi Condensed" w:hAnsi="Barlow Semi Condensed"/>
          <w:sz w:val="24"/>
          <w:szCs w:val="24"/>
        </w:rPr>
        <w:t xml:space="preserve"> Il protocollo di riproduzione digitale per La Courneuve e Nantes: copie con segnature complete, ingresso nel fascicolo digitale, citabilità alla carta. La missione parigina produce archivio permanente — e la sua contabilità (giornate, costi, resa) entra nel bilancio dell'agenda.</w:t>
      </w:r>
    </w:p>
    <w:p>
      <w:pPr>
        <w:spacing w:after="120" w:line="276"/>
        <w:jc w:val="both"/>
      </w:pPr>
      <w:r>
        <w:rPr>
          <w:rFonts w:ascii="Barlow Semi Condensed" w:cs="Barlow Semi Condensed" w:eastAsia="Barlow Semi Condensed" w:hAnsi="Barlow Semi Condensed"/>
          <w:b/>
          <w:bCs/>
          <w:sz w:val="24"/>
          <w:szCs w:val="24"/>
        </w:rPr>
        <w:t xml:space="preserve">71 · I vuoti francesi.</w:t>
      </w:r>
      <w:r>
        <w:rPr>
          <w:rFonts w:ascii="Barlow Semi Condensed" w:cs="Barlow Semi Condensed" w:eastAsia="Barlow Semi Condensed" w:hAnsi="Barlow Semi Condensed"/>
          <w:sz w:val="24"/>
          <w:szCs w:val="24"/>
        </w:rPr>
        <w:t xml:space="preserve"> Il verbale dei vuoti: le serie senza Italia, i dossier vuoti, le deroghe negate con motivazione. Lo Stato Zero francese si scrive con la stessa cura di quello britannico — e i suoi termini di riapertura (le date L213-2) si mettono a calendario.</w:t>
      </w:r>
    </w:p>
    <w:p>
      <w:pPr>
        <w:spacing w:after="120" w:line="276"/>
        <w:jc w:val="both"/>
      </w:pPr>
      <w:r>
        <w:rPr>
          <w:rFonts w:ascii="Barlow Semi Condensed" w:cs="Barlow Semi Condensed" w:eastAsia="Barlow Semi Condensed" w:hAnsi="Barlow Semi Condensed"/>
          <w:b/>
          <w:bCs/>
          <w:sz w:val="24"/>
          <w:szCs w:val="24"/>
        </w:rPr>
        <w:t xml:space="preserve">72 · Il raccordo Hyperion-agenda.</w:t>
      </w:r>
      <w:r>
        <w:rPr>
          <w:rFonts w:ascii="Barlow Semi Condensed" w:cs="Barlow Semi Condensed" w:eastAsia="Barlow Semi Condensed" w:hAnsi="Barlow Semi Condensed"/>
          <w:sz w:val="24"/>
          <w:szCs w:val="24"/>
        </w:rPr>
        <w:t xml:space="preserve"> La tavola di corrispondenza del cantiere francese coi blocchi Hyperion dell'agenda (139, 222) e con la scheda del ceppo Simioni del corpus: ogni bersaglio francese che tocchi quella materia dichiara in anticipo quale documento primario cercherebbe — e che cosa NON conta come tale (biografie, contiguità, memorie).</w:t>
      </w:r>
    </w:p>
    <w:p>
      <w:pPr>
        <w:spacing w:after="120" w:line="276"/>
        <w:jc w:val="both"/>
      </w:pPr>
      <w:r>
        <w:rPr>
          <w:rFonts w:ascii="Barlow Semi Condensed" w:cs="Barlow Semi Condensed" w:eastAsia="Barlow Semi Condensed" w:hAnsi="Barlow Semi Condensed"/>
          <w:b/>
          <w:bCs/>
          <w:sz w:val="24"/>
          <w:szCs w:val="24"/>
        </w:rPr>
        <w:t xml:space="preserve">73 · Il raccordo con le pene oltre confine.</w:t>
      </w:r>
      <w:r>
        <w:rPr>
          <w:rFonts w:ascii="Barlow Semi Condensed" w:cs="Barlow Semi Condensed" w:eastAsia="Barlow Semi Condensed" w:hAnsi="Barlow Semi Condensed"/>
          <w:sz w:val="24"/>
          <w:szCs w:val="24"/>
        </w:rPr>
        <w:t xml:space="preserve"> La tavola di corrispondenza con il documento del corpus sulle pene oltre confine: per ciascun nome del registro toccato dalle vicende francesi, i soli fatti di giudicato e i soli atti documentali — la dottrina si studia come politica del diritto, mai come colpa di chi ne beneficiò.</w:t>
      </w:r>
    </w:p>
    <w:p>
      <w:pPr>
        <w:spacing w:after="120" w:line="276"/>
        <w:jc w:val="both"/>
      </w:pPr>
      <w:r>
        <w:rPr>
          <w:rFonts w:ascii="Barlow Semi Condensed" w:cs="Barlow Semi Condensed" w:eastAsia="Barlow Semi Condensed" w:hAnsi="Barlow Semi Condensed"/>
          <w:b/>
          <w:bCs/>
          <w:sz w:val="24"/>
          <w:szCs w:val="24"/>
        </w:rPr>
        <w:t xml:space="preserve">74 · Le voci francesi da raccogliere.</w:t>
      </w:r>
      <w:r>
        <w:rPr>
          <w:rFonts w:ascii="Barlow Semi Condensed" w:cs="Barlow Semi Condensed" w:eastAsia="Barlow Semi Condensed" w:hAnsi="Barlow Semi Condensed"/>
          <w:sz w:val="24"/>
          <w:szCs w:val="24"/>
        </w:rPr>
        <w:t xml:space="preserve"> I testimoni francesi viventi del caso e della stagione dell'asilo — diplomatici, funzionari, giornalisti, difensori: l'ascolto conservativo con le regole della serie quinta dell'agenda. La colonna francese della raccolta delle voci, con la stessa urgenza biologica.</w:t>
      </w:r>
    </w:p>
    <w:p>
      <w:pPr>
        <w:spacing w:after="120" w:line="276"/>
        <w:jc w:val="both"/>
      </w:pPr>
      <w:r>
        <w:rPr>
          <w:rFonts w:ascii="Barlow Semi Condensed" w:cs="Barlow Semi Condensed" w:eastAsia="Barlow Semi Condensed" w:hAnsi="Barlow Semi Condensed"/>
          <w:b/>
          <w:bCs/>
          <w:sz w:val="24"/>
          <w:szCs w:val="24"/>
        </w:rPr>
        <w:t xml:space="preserve">75 · Il quesito che solo Parigi può chiudere.</w:t>
      </w:r>
      <w:r>
        <w:rPr>
          <w:rFonts w:ascii="Barlow Semi Condensed" w:cs="Barlow Semi Condensed" w:eastAsia="Barlow Semi Condensed" w:hAnsi="Barlow Semi Condensed"/>
          <w:sz w:val="24"/>
          <w:szCs w:val="24"/>
        </w:rPr>
        <w:t xml:space="preserve"> La formulazione esplicita: quali celle delle matrici ACH del corpus possono essere riempite solo da un documento francese? La tavola di queste celle — poche, precise — è il cuore del cantiere: tutto il resto è contesto, queste sono le ragioni della trasferta.</w:t>
      </w:r>
    </w:p>
    <w:p>
      <w:pPr>
        <w:spacing w:after="120" w:line="276"/>
        <w:jc w:val="both"/>
      </w:pPr>
      <w:r>
        <w:rPr>
          <w:rFonts w:ascii="Barlow Semi Condensed" w:cs="Barlow Semi Condensed" w:eastAsia="Barlow Semi Condensed" w:hAnsi="Barlow Semi Condensed"/>
          <w:b/>
          <w:bCs/>
          <w:sz w:val="24"/>
          <w:szCs w:val="24"/>
        </w:rPr>
        <w:t xml:space="preserve">76 · Le carte comunitarie.</w:t>
      </w:r>
      <w:r>
        <w:rPr>
          <w:rFonts w:ascii="Barlow Semi Condensed" w:cs="Barlow Semi Condensed" w:eastAsia="Barlow Semi Condensed" w:hAnsi="Barlow Semi Condensed"/>
          <w:sz w:val="24"/>
          <w:szCs w:val="24"/>
        </w:rPr>
        <w:t xml:space="preserve"> Gli archivi storici dell'Unione europea (Firenze) per la cooperazione europea del 1978: le carte delle istituzioni comunitarie sul terrorismo, dove l'angolo francese e quello italiano si incrociano in sede terza. Un giacimento a Firenze per un cantiere parigino: la geografia degli archivi non segue quella politica.</w:t>
      </w:r>
    </w:p>
    <w:p>
      <w:pPr>
        <w:spacing w:after="120" w:line="276"/>
        <w:jc w:val="both"/>
      </w:pPr>
      <w:r>
        <w:rPr>
          <w:rFonts w:ascii="Barlow Semi Condensed" w:cs="Barlow Semi Condensed" w:eastAsia="Barlow Semi Condensed" w:hAnsi="Barlow Semi Condensed"/>
          <w:b/>
          <w:bCs/>
          <w:sz w:val="24"/>
          <w:szCs w:val="24"/>
        </w:rPr>
        <w:t xml:space="preserve">77 · Il calendario francese.</w:t>
      </w:r>
      <w:r>
        <w:rPr>
          <w:rFonts w:ascii="Barlow Semi Condensed" w:cs="Barlow Semi Condensed" w:eastAsia="Barlow Semi Condensed" w:hAnsi="Barlow Semi Condensed"/>
          <w:sz w:val="24"/>
          <w:szCs w:val="24"/>
        </w:rPr>
        <w:t xml:space="preserve"> La tavola delle scadenze del cantiere: le date di comunicabilità dei dossier chiusi, le deroghe pendenti, le serie in versamento. La colonna francese del motore delle scadenze — perché a Parigi più che altrove il tempo lavora per chi tiene il calendario.</w:t>
      </w:r>
    </w:p>
    <w:p>
      <w:pPr>
        <w:spacing w:after="120" w:line="276"/>
        <w:jc w:val="both"/>
      </w:pPr>
      <w:r>
        <w:rPr>
          <w:rFonts w:ascii="Barlow Semi Condensed" w:cs="Barlow Semi Condensed" w:eastAsia="Barlow Semi Condensed" w:hAnsi="Barlow Semi Condensed"/>
          <w:b/>
          <w:bCs/>
          <w:sz w:val="24"/>
          <w:szCs w:val="24"/>
        </w:rPr>
        <w:t xml:space="preserve">78 · La contro-verifica italiana.</w:t>
      </w:r>
      <w:r>
        <w:rPr>
          <w:rFonts w:ascii="Barlow Semi Condensed" w:cs="Barlow Semi Condensed" w:eastAsia="Barlow Semi Condensed" w:hAnsi="Barlow Semi Condensed"/>
          <w:sz w:val="24"/>
          <w:szCs w:val="24"/>
        </w:rPr>
        <w:t xml:space="preserve"> Ogni fatto francese acquisito si contro-verifica sulle carte italiane parallele (Farnesina, ACS) e viceversa: la regola bilaterale che nessun documento nazionale fa fede da solo sui rapporti fra due paesi. Le asimmetrie documentate sono il prodotto più interessante del confronto.</w:t>
      </w:r>
    </w:p>
    <w:p>
      <w:pPr>
        <w:spacing w:after="120" w:line="276"/>
        <w:jc w:val="both"/>
      </w:pPr>
      <w:r>
        <w:rPr>
          <w:rFonts w:ascii="Barlow Semi Condensed" w:cs="Barlow Semi Condensed" w:eastAsia="Barlow Semi Condensed" w:hAnsi="Barlow Semi Condensed"/>
          <w:b/>
          <w:bCs/>
          <w:sz w:val="24"/>
          <w:szCs w:val="24"/>
        </w:rPr>
        <w:t xml:space="preserve">79 · Il raccordo coi quesiti.</w:t>
      </w:r>
      <w:r>
        <w:rPr>
          <w:rFonts w:ascii="Barlow Semi Condensed" w:cs="Barlow Semi Condensed" w:eastAsia="Barlow Semi Condensed" w:hAnsi="Barlow Semi Condensed"/>
          <w:sz w:val="24"/>
          <w:szCs w:val="24"/>
        </w:rPr>
        <w:t xml:space="preserve"> La tavola di corrispondenza del cantiere francese coi quesiti costitutivi dell'agenda e con le piste del programma: ogni blocco (41-78) dichiara chi serve. La regola del nessun bersaglio orfano, applicata alla Francia.</w:t>
      </w:r>
    </w:p>
    <w:p>
      <w:pPr>
        <w:spacing w:after="120" w:line="276"/>
        <w:jc w:val="both"/>
      </w:pPr>
      <w:r>
        <w:rPr>
          <w:rFonts w:ascii="Barlow Semi Condensed" w:cs="Barlow Semi Condensed" w:eastAsia="Barlow Semi Condensed" w:hAnsi="Barlow Semi Condensed"/>
          <w:b/>
          <w:bCs/>
          <w:sz w:val="24"/>
          <w:szCs w:val="24"/>
        </w:rPr>
        <w:t xml:space="preserve">80 · La tavola francese.</w:t>
      </w:r>
      <w:r>
        <w:rPr>
          <w:rFonts w:ascii="Barlow Semi Condensed" w:cs="Barlow Semi Condensed" w:eastAsia="Barlow Semi Condensed" w:hAnsi="Barlow Semi Condensed"/>
          <w:sz w:val="24"/>
          <w:szCs w:val="24"/>
        </w:rPr>
        <w:t xml:space="preserve"> La chiusura del cantiere: gli stati di ogni bersaglio, le richieste pendenti con le loro date, i vuoti verbalizzati. Il secondo cantiere consegna la sua pagina di contabilità — e il metodo, ormai, è una liturgia: si chiude contando.</w:t>
      </w:r>
    </w:p>
    <w:p>
      <w:pPr>
        <w:pStyle w:val="Heading3"/>
        <w:spacing w:after="80" w:before="160"/>
      </w:pPr>
      <w:r>
        <w:rPr>
          <w:rFonts w:ascii="Barlow Semi Condensed" w:cs="Barlow Semi Condensed" w:eastAsia="Barlow Semi Condensed" w:hAnsi="Barlow Semi Condensed"/>
          <w:sz w:val="24"/>
          <w:szCs w:val="24"/>
        </w:rPr>
        <w:t xml:space="preserve">Il cantiere tedesco (blocchi 81-120)</w:t>
      </w:r>
    </w:p>
    <w:p>
      <w:pPr>
        <w:spacing w:after="120" w:line="276"/>
        <w:jc w:val="both"/>
      </w:pPr>
      <w:r>
        <w:rPr>
          <w:rFonts w:ascii="Barlow Semi Condensed" w:cs="Barlow Semi Condensed" w:eastAsia="Barlow Semi Condensed" w:hAnsi="Barlow Semi Condensed"/>
          <w:b/>
          <w:bCs/>
          <w:sz w:val="24"/>
          <w:szCs w:val="24"/>
        </w:rPr>
        <w:t xml:space="preserve">81 · Il Politisches Archiv.</w:t>
      </w:r>
      <w:r>
        <w:rPr>
          <w:rFonts w:ascii="Barlow Semi Condensed" w:cs="Barlow Semi Condensed" w:eastAsia="Barlow Semi Condensed" w:hAnsi="Barlow Semi Condensed"/>
          <w:sz w:val="24"/>
          <w:szCs w:val="24"/>
        </w:rPr>
        <w:t xml:space="preserve"> Il punto di partenza documentato: l'archivio politico dell'Auswärtiges Amt a Berlino rende consultabili, decorso il vincolo trentennale, le carte diplomatiche del 1977-1978 — Deutscher Herbst e caso Moro inclusi. Prima campagna: l'individuazione dei fascicoli del Länderreferat Italia e dell'ambasciata a Roma per i 55 giorni.</w:t>
      </w:r>
    </w:p>
    <w:p>
      <w:pPr>
        <w:spacing w:after="120" w:line="276"/>
        <w:jc w:val="both"/>
      </w:pPr>
      <w:r>
        <w:rPr>
          <w:rFonts w:ascii="Barlow Semi Condensed" w:cs="Barlow Semi Condensed" w:eastAsia="Barlow Semi Condensed" w:hAnsi="Barlow Semi Condensed"/>
          <w:b/>
          <w:bCs/>
          <w:sz w:val="24"/>
          <w:szCs w:val="24"/>
        </w:rPr>
        <w:t xml:space="preserve">82 · I volumi editi.</w:t>
      </w:r>
      <w:r>
        <w:rPr>
          <w:rFonts w:ascii="Barlow Semi Condensed" w:cs="Barlow Semi Condensed" w:eastAsia="Barlow Semi Condensed" w:hAnsi="Barlow Semi Condensed"/>
          <w:sz w:val="24"/>
          <w:szCs w:val="24"/>
        </w:rPr>
        <w:t xml:space="preserve"> Gli «Akten zur Auswärtigen Politik der Bundesrepublik Deutschland» per il 1978 — l'edizione esiste, verificata: due tomi per oltre duemilacento pagine, curati per l'Institut für Zeitgeschichte (Taschler, Das Gupta, Mayer). Lo spoglio della selezione edita: quali documenti sul caso Moro i curatori scelsero, con quali segnature d'origine. Come FRUS per Washington: l'edizione è la mappa dichiarata dell'archivio che la alimentò.</w:t>
      </w:r>
    </w:p>
    <w:p>
      <w:pPr>
        <w:spacing w:after="120" w:line="276"/>
        <w:jc w:val="both"/>
      </w:pPr>
      <w:r>
        <w:rPr>
          <w:rFonts w:ascii="Barlow Semi Condensed" w:cs="Barlow Semi Condensed" w:eastAsia="Barlow Semi Condensed" w:hAnsi="Barlow Semi Condensed"/>
          <w:b/>
          <w:bCs/>
          <w:sz w:val="24"/>
          <w:szCs w:val="24"/>
        </w:rPr>
        <w:t xml:space="preserve">83 · Oltre l'edito.</w:t>
      </w:r>
      <w:r>
        <w:rPr>
          <w:rFonts w:ascii="Barlow Semi Condensed" w:cs="Barlow Semi Condensed" w:eastAsia="Barlow Semi Condensed" w:hAnsi="Barlow Semi Condensed"/>
          <w:sz w:val="24"/>
          <w:szCs w:val="24"/>
        </w:rPr>
        <w:t xml:space="preserve"> La regola tedesca del cantiere: l'AAPD pubblica una selezione — il fascicolo integrale sta al Politisches Archiv. Per ogni documento edito rilevante, la richiesta del fascicolo intero da cui proviene: il contesto seriale di un documento scelto vale quanto il documento.</w:t>
      </w:r>
    </w:p>
    <w:p>
      <w:pPr>
        <w:spacing w:after="120" w:line="276"/>
        <w:jc w:val="both"/>
      </w:pPr>
      <w:r>
        <w:rPr>
          <w:rFonts w:ascii="Barlow Semi Condensed" w:cs="Barlow Semi Condensed" w:eastAsia="Barlow Semi Condensed" w:hAnsi="Barlow Semi Condensed"/>
          <w:b/>
          <w:bCs/>
          <w:sz w:val="24"/>
          <w:szCs w:val="24"/>
        </w:rPr>
        <w:t xml:space="preserve">84 · L'ambasciata sul Tevere, in tedesco.</w:t>
      </w:r>
      <w:r>
        <w:rPr>
          <w:rFonts w:ascii="Barlow Semi Condensed" w:cs="Barlow Semi Condensed" w:eastAsia="Barlow Semi Condensed" w:hAnsi="Barlow Semi Condensed"/>
          <w:sz w:val="24"/>
          <w:szCs w:val="24"/>
        </w:rPr>
        <w:t xml:space="preserve"> I carteggi dell'ambasciata della Repubblica federale a Roma nei 55 giorni: dispacci, colloqui, valutazioni — con la sequenza oraria delle giornate chiave per la collazione ormai quadrilaterale (Washington, Londra, Parigi, Bonn). Quattro sequenze, una tavola, le divergenze come prodotto.</w:t>
      </w:r>
    </w:p>
    <w:p>
      <w:pPr>
        <w:spacing w:after="120" w:line="276"/>
        <w:jc w:val="both"/>
      </w:pPr>
      <w:r>
        <w:rPr>
          <w:rFonts w:ascii="Barlow Semi Condensed" w:cs="Barlow Semi Condensed" w:eastAsia="Barlow Semi Condensed" w:hAnsi="Barlow Semi Condensed"/>
          <w:b/>
          <w:bCs/>
          <w:sz w:val="24"/>
          <w:szCs w:val="24"/>
        </w:rPr>
        <w:t xml:space="preserve">85 · Il precedente di casa.</w:t>
      </w:r>
      <w:r>
        <w:rPr>
          <w:rFonts w:ascii="Barlow Semi Condensed" w:cs="Barlow Semi Condensed" w:eastAsia="Barlow Semi Condensed" w:hAnsi="Barlow Semi Condensed"/>
          <w:sz w:val="24"/>
          <w:szCs w:val="24"/>
        </w:rPr>
        <w:t xml:space="preserve"> Il caso Schleyer (5 settembre - 18 ottobre 1977) come giacimento comparativo: i Kabinettsprotokolle del 1977 editi online dal Bundesarchiv documentano la discussione del governo federale sul sequestro. Lo spoglio della crisi gemella in carta tedesca è la premessa d'ogni confronto Bonn-Roma.</w:t>
      </w:r>
    </w:p>
    <w:p>
      <w:pPr>
        <w:spacing w:after="120" w:line="276"/>
        <w:jc w:val="both"/>
      </w:pPr>
      <w:r>
        <w:rPr>
          <w:rFonts w:ascii="Barlow Semi Condensed" w:cs="Barlow Semi Condensed" w:eastAsia="Barlow Semi Condensed" w:hAnsi="Barlow Semi Condensed"/>
          <w:b/>
          <w:bCs/>
          <w:sz w:val="24"/>
          <w:szCs w:val="24"/>
        </w:rPr>
        <w:t xml:space="preserve">86 · Il Krisenstab e il contenzioso.</w:t>
      </w:r>
      <w:r>
        <w:rPr>
          <w:rFonts w:ascii="Barlow Semi Condensed" w:cs="Barlow Semi Condensed" w:eastAsia="Barlow Semi Condensed" w:hAnsi="Barlow Semi Condensed"/>
          <w:sz w:val="24"/>
          <w:szCs w:val="24"/>
        </w:rPr>
        <w:t xml:space="preserve"> Il fatto verificato: i protocolli integrali del Großer Krisenstab della cancelleria per il caso Schleyer sono stati oggetto di contenzioso amministrativo (fino al Bundesverwaltungsgericht) e restano in parte non accessibili; richieste via legge sulla trasparenza sono documentate. Il cantiere censisce l'aperto, il negato e il pendente — e mette il pendente a calendario.</w:t>
      </w:r>
    </w:p>
    <w:p>
      <w:pPr>
        <w:spacing w:after="120" w:line="276"/>
        <w:jc w:val="both"/>
      </w:pPr>
      <w:r>
        <w:rPr>
          <w:rFonts w:ascii="Barlow Semi Condensed" w:cs="Barlow Semi Condensed" w:eastAsia="Barlow Semi Condensed" w:hAnsi="Barlow Semi Condensed"/>
          <w:b/>
          <w:bCs/>
          <w:sz w:val="24"/>
          <w:szCs w:val="24"/>
        </w:rPr>
        <w:t xml:space="preserve">87 · Il ministero dell'Interno federale.</w:t>
      </w:r>
      <w:r>
        <w:rPr>
          <w:rFonts w:ascii="Barlow Semi Condensed" w:cs="Barlow Semi Condensed" w:eastAsia="Barlow Semi Condensed" w:hAnsi="Barlow Semi Condensed"/>
          <w:sz w:val="24"/>
          <w:szCs w:val="24"/>
        </w:rPr>
        <w:t xml:space="preserve"> Il fondo B 106 (Bundesministerium des Innern) al Bundesarchiv: le serie sull'antiterrorismo e sulla cooperazione internazionale del 1977-1978. Che cosa il Viminale tedesco sapeva e scambiava con quello italiano: la colonna tedesca della cooperazione tecnica.</w:t>
      </w:r>
    </w:p>
    <w:p>
      <w:pPr>
        <w:spacing w:after="120" w:line="276"/>
        <w:jc w:val="both"/>
      </w:pPr>
      <w:r>
        <w:rPr>
          <w:rFonts w:ascii="Barlow Semi Condensed" w:cs="Barlow Semi Condensed" w:eastAsia="Barlow Semi Condensed" w:hAnsi="Barlow Semi Condensed"/>
          <w:b/>
          <w:bCs/>
          <w:sz w:val="24"/>
          <w:szCs w:val="24"/>
        </w:rPr>
        <w:t xml:space="preserve">88 · La Bundeskriminalamt.</w:t>
      </w:r>
      <w:r>
        <w:rPr>
          <w:rFonts w:ascii="Barlow Semi Condensed" w:cs="Barlow Semi Condensed" w:eastAsia="Barlow Semi Condensed" w:hAnsi="Barlow Semi Condensed"/>
          <w:sz w:val="24"/>
          <w:szCs w:val="24"/>
        </w:rPr>
        <w:t xml:space="preserve"> Le carte BKA versate o accessibili sul terrorismo europeo del periodo: gli scambi con le polizie italiane, i profili tecnici, le assistenze prestate durante i 55 giorni. La cooperazione RAF-BR come oggetto documentale: che cosa i tedeschi documentarono dei collegamenti, con la disciplina dei gradi.</w:t>
      </w:r>
    </w:p>
    <w:p>
      <w:pPr>
        <w:spacing w:after="120" w:line="276"/>
        <w:jc w:val="both"/>
      </w:pPr>
      <w:r>
        <w:rPr>
          <w:rFonts w:ascii="Barlow Semi Condensed" w:cs="Barlow Semi Condensed" w:eastAsia="Barlow Semi Condensed" w:hAnsi="Barlow Semi Condensed"/>
          <w:b/>
          <w:bCs/>
          <w:sz w:val="24"/>
          <w:szCs w:val="24"/>
        </w:rPr>
        <w:t xml:space="preserve">89 · I Kabinettsprotokolle del 1978.</w:t>
      </w:r>
      <w:r>
        <w:rPr>
          <w:rFonts w:ascii="Barlow Semi Condensed" w:cs="Barlow Semi Condensed" w:eastAsia="Barlow Semi Condensed" w:hAnsi="Barlow Semi Condensed"/>
          <w:sz w:val="24"/>
          <w:szCs w:val="24"/>
        </w:rPr>
        <w:t xml:space="preserve"> Il fatto verificato: l'edizione scientifica dei protocolli del consiglio dei ministri federale, curata dal Bundesarchiv, è online — e copre il 1978. Lo spoglio delle sedute dei 55 giorni: quando l'Italia entrò nell'ordine del giorno del governo di Bonn, e con quali parole a verbale.</w:t>
      </w:r>
    </w:p>
    <w:p>
      <w:pPr>
        <w:spacing w:after="120" w:line="276"/>
        <w:jc w:val="both"/>
      </w:pPr>
      <w:r>
        <w:rPr>
          <w:rFonts w:ascii="Barlow Semi Condensed" w:cs="Barlow Semi Condensed" w:eastAsia="Barlow Semi Condensed" w:hAnsi="Barlow Semi Condensed"/>
          <w:b/>
          <w:bCs/>
          <w:sz w:val="24"/>
          <w:szCs w:val="24"/>
        </w:rPr>
        <w:t xml:space="preserve">90 · La cancelleria e Schmidt.</w:t>
      </w:r>
      <w:r>
        <w:rPr>
          <w:rFonts w:ascii="Barlow Semi Condensed" w:cs="Barlow Semi Condensed" w:eastAsia="Barlow Semi Condensed" w:hAnsi="Barlow Semi Condensed"/>
          <w:sz w:val="24"/>
          <w:szCs w:val="24"/>
        </w:rPr>
        <w:t xml:space="preserve"> Le carte della cancelleria federale sul 1978 italiano — i colloqui Schmidt-Andreotti, i messaggi durante i 55 giorni: l'accertamento delle serie aperte e i loro vincoli. Il canale di vertice fra i due paesi dei due sequestri: la sua carta è un quesito bilaterale in sé.</w:t>
      </w:r>
    </w:p>
    <w:p>
      <w:pPr>
        <w:spacing w:after="120" w:line="276"/>
        <w:jc w:val="both"/>
      </w:pPr>
      <w:r>
        <w:rPr>
          <w:rFonts w:ascii="Barlow Semi Condensed" w:cs="Barlow Semi Condensed" w:eastAsia="Barlow Semi Condensed" w:hAnsi="Barlow Semi Condensed"/>
          <w:b/>
          <w:bCs/>
          <w:sz w:val="24"/>
          <w:szCs w:val="24"/>
        </w:rPr>
        <w:t xml:space="preserve">91 · L'altra Germania.</w:t>
      </w:r>
      <w:r>
        <w:rPr>
          <w:rFonts w:ascii="Barlow Semi Condensed" w:cs="Barlow Semi Condensed" w:eastAsia="Barlow Semi Condensed" w:hAnsi="Barlow Semi Condensed"/>
          <w:sz w:val="24"/>
          <w:szCs w:val="24"/>
        </w:rPr>
        <w:t xml:space="preserve"> L'archivio della Stasi — dal 17 giugno 2021 parte del Bundesarchiv (lo Stasi-Unterlagen-Archiv, oltre centoundici chilometri di atti, accesso regolato dalla legge dedicata) — contiene carte su terrorismo italiano e caso Moro, e una letteratura già le ha esplorate (gli studi di Gianluca Falanga sull'Italia nelle carte della Stasi). L'accertamento sistematico del perimetro moroteo: le carte della HVA e degli osservatori orientali, con disciplina di lettura massima — un servizio ostile riferisce coi propri fini.</w:t>
      </w:r>
    </w:p>
    <w:p>
      <w:pPr>
        <w:spacing w:after="120" w:line="276"/>
        <w:jc w:val="both"/>
      </w:pPr>
      <w:r>
        <w:rPr>
          <w:rFonts w:ascii="Barlow Semi Condensed" w:cs="Barlow Semi Condensed" w:eastAsia="Barlow Semi Condensed" w:hAnsi="Barlow Semi Condensed"/>
          <w:b/>
          <w:bCs/>
          <w:sz w:val="24"/>
          <w:szCs w:val="24"/>
        </w:rPr>
        <w:t xml:space="preserve">92 · La lettura del materiale orientale.</w:t>
      </w:r>
      <w:r>
        <w:rPr>
          <w:rFonts w:ascii="Barlow Semi Condensed" w:cs="Barlow Semi Condensed" w:eastAsia="Barlow Semi Condensed" w:hAnsi="Barlow Semi Condensed"/>
          <w:sz w:val="24"/>
          <w:szCs w:val="24"/>
        </w:rPr>
        <w:t xml:space="preserve"> La regola dedicata: ogni carta di provenienza DDR entra con doppia cautela — F sull'esistenza del documento, C sul contenuto, e mai da sola a fondamento di alcunché. Il valore del giacimento orientale è comparativo e di riscontro, non rivelatorio: la disciplina lo dice prima di aprire la prima busta.</w:t>
      </w:r>
    </w:p>
    <w:p>
      <w:pPr>
        <w:spacing w:after="120" w:line="276"/>
        <w:jc w:val="both"/>
      </w:pPr>
      <w:r>
        <w:rPr>
          <w:rFonts w:ascii="Barlow Semi Condensed" w:cs="Barlow Semi Condensed" w:eastAsia="Barlow Semi Condensed" w:hAnsi="Barlow Semi Condensed"/>
          <w:b/>
          <w:bCs/>
          <w:sz w:val="24"/>
          <w:szCs w:val="24"/>
        </w:rPr>
        <w:t xml:space="preserve">93 · Il progetto di Monaco.</w:t>
      </w:r>
      <w:r>
        <w:rPr>
          <w:rFonts w:ascii="Barlow Semi Condensed" w:cs="Barlow Semi Condensed" w:eastAsia="Barlow Semi Condensed" w:hAnsi="Barlow Semi Condensed"/>
          <w:sz w:val="24"/>
          <w:szCs w:val="24"/>
        </w:rPr>
        <w:t xml:space="preserve"> La ricerca istituzionale già condotta: il progetto dell'Institut für Zeitgeschichte su Stato e terrorismo in Italia (1969-1982) e la storiografia tedesca sul caso — la tavola delle fonti primarie citate, come mappa di scavo. La Germania ha già studiato l'Italia del terrorismo: il cantiere ne eredita le coordinate e le verifica.</w:t>
      </w:r>
    </w:p>
    <w:p>
      <w:pPr>
        <w:spacing w:after="120" w:line="276"/>
        <w:jc w:val="both"/>
      </w:pPr>
      <w:r>
        <w:rPr>
          <w:rFonts w:ascii="Barlow Semi Condensed" w:cs="Barlow Semi Condensed" w:eastAsia="Barlow Semi Condensed" w:hAnsi="Barlow Semi Condensed"/>
          <w:b/>
          <w:bCs/>
          <w:sz w:val="24"/>
          <w:szCs w:val="24"/>
        </w:rPr>
        <w:t xml:space="preserve">94 · Il confronto dei modelli.</w:t>
      </w:r>
      <w:r>
        <w:rPr>
          <w:rFonts w:ascii="Barlow Semi Condensed" w:cs="Barlow Semi Condensed" w:eastAsia="Barlow Semi Condensed" w:hAnsi="Barlow Semi Condensed"/>
          <w:sz w:val="24"/>
          <w:szCs w:val="24"/>
        </w:rPr>
        <w:t xml:space="preserve"> Il dossier comparativo Schleyer-Moro in carta: le scelte documentate dei due governi — fermezza contro fermezza, gestioni operative, comunicazione pubblica — ricostruite dalle carte di entrambi i paesi, senza tesi precostituita. Il comparatismo documentale è il rendimento naturale del cantiere tedesco.</w:t>
      </w:r>
    </w:p>
    <w:p>
      <w:pPr>
        <w:spacing w:after="120" w:line="276"/>
        <w:jc w:val="both"/>
      </w:pPr>
      <w:r>
        <w:rPr>
          <w:rFonts w:ascii="Barlow Semi Condensed" w:cs="Barlow Semi Condensed" w:eastAsia="Barlow Semi Condensed" w:hAnsi="Barlow Semi Condensed"/>
          <w:b/>
          <w:bCs/>
          <w:sz w:val="24"/>
          <w:szCs w:val="24"/>
        </w:rPr>
        <w:t xml:space="preserve">95 · Le sequenze tedesche dei giorni chiave.</w:t>
      </w:r>
      <w:r>
        <w:rPr>
          <w:rFonts w:ascii="Barlow Semi Condensed" w:cs="Barlow Semi Condensed" w:eastAsia="Barlow Semi Condensed" w:hAnsi="Barlow Semi Condensed"/>
          <w:sz w:val="24"/>
          <w:szCs w:val="24"/>
        </w:rPr>
        <w:t xml:space="preserve"> Il 16 marzo, il 18 aprile, il 9 maggio nei telegrammi tedeschi: orari, destinatari, contenuti. La quarta colonna della tavola quadrilaterale — e con essa la collazione delle capitali è completa per le giornate decisive.</w:t>
      </w:r>
    </w:p>
    <w:p>
      <w:pPr>
        <w:spacing w:after="120" w:line="276"/>
        <w:jc w:val="both"/>
      </w:pPr>
      <w:r>
        <w:rPr>
          <w:rFonts w:ascii="Barlow Semi Condensed" w:cs="Barlow Semi Condensed" w:eastAsia="Barlow Semi Condensed" w:hAnsi="Barlow Semi Condensed"/>
          <w:b/>
          <w:bCs/>
          <w:sz w:val="24"/>
          <w:szCs w:val="24"/>
        </w:rPr>
        <w:t xml:space="preserve">96 · Il registro di lettura tedesco.</w:t>
      </w:r>
      <w:r>
        <w:rPr>
          <w:rFonts w:ascii="Barlow Semi Condensed" w:cs="Barlow Semi Condensed" w:eastAsia="Barlow Semi Condensed" w:hAnsi="Barlow Semi Condensed"/>
          <w:sz w:val="24"/>
          <w:szCs w:val="24"/>
        </w:rPr>
        <w:t xml:space="preserve"> La circolazione interna delle carte a Bonn: sigle, annotazioni, passaggi al piano politico. La quarta sociologia della carta — e la comparazione fra le quattro circolazioni misura il rango che ciascun alleato diede al caso, giorno per giorno.</w:t>
      </w:r>
    </w:p>
    <w:p>
      <w:pPr>
        <w:spacing w:after="120" w:line="276"/>
        <w:jc w:val="both"/>
      </w:pPr>
      <w:r>
        <w:rPr>
          <w:rFonts w:ascii="Barlow Semi Condensed" w:cs="Barlow Semi Condensed" w:eastAsia="Barlow Semi Condensed" w:hAnsi="Barlow Semi Condensed"/>
          <w:b/>
          <w:bCs/>
          <w:sz w:val="24"/>
          <w:szCs w:val="24"/>
        </w:rPr>
        <w:t xml:space="preserve">97 · Moro visto da Bonn.</w:t>
      </w:r>
      <w:r>
        <w:rPr>
          <w:rFonts w:ascii="Barlow Semi Condensed" w:cs="Barlow Semi Condensed" w:eastAsia="Barlow Semi Condensed" w:hAnsi="Barlow Semi Condensed"/>
          <w:sz w:val="24"/>
          <w:szCs w:val="24"/>
        </w:rPr>
        <w:t xml:space="preserve"> Il ritratto diplomatico tedesco dello statista: i giudizi dell'Auswärtiges Amt negli anni, i colloqui bilaterali, le valutazioni sulla solidarietà nazionale. Il quarto ritratto d'archivio per la prosopografia comparata — Washington, Londra, Parigi, Bonn: quattro specchi datati dello stesso uomo.</w:t>
      </w:r>
    </w:p>
    <w:p>
      <w:pPr>
        <w:spacing w:after="120" w:line="276"/>
        <w:jc w:val="both"/>
      </w:pPr>
      <w:r>
        <w:rPr>
          <w:rFonts w:ascii="Barlow Semi Condensed" w:cs="Barlow Semi Condensed" w:eastAsia="Barlow Semi Condensed" w:hAnsi="Barlow Semi Condensed"/>
          <w:b/>
          <w:bCs/>
          <w:sz w:val="24"/>
          <w:szCs w:val="24"/>
        </w:rPr>
        <w:t xml:space="preserve">98 · Il quesito atlantico, da Bonn.</w:t>
      </w:r>
      <w:r>
        <w:rPr>
          <w:rFonts w:ascii="Barlow Semi Condensed" w:cs="Barlow Semi Condensed" w:eastAsia="Barlow Semi Condensed" w:hAnsi="Barlow Semi Condensed"/>
          <w:sz w:val="24"/>
          <w:szCs w:val="24"/>
        </w:rPr>
        <w:t xml:space="preserve"> Le carte tedesche sugli aspetti atlantici del 1978 italiano: la sicurezza alleata, il governo di solidarietà nazionale, le valutazioni strategiche. La colonna tedesca del quesito 12 — con l'interesse speciale di Bonn, che dell'equilibrio europeo era il perno economico.</w:t>
      </w:r>
    </w:p>
    <w:p>
      <w:pPr>
        <w:spacing w:after="120" w:line="276"/>
        <w:jc w:val="both"/>
      </w:pPr>
      <w:r>
        <w:rPr>
          <w:rFonts w:ascii="Barlow Semi Condensed" w:cs="Barlow Semi Condensed" w:eastAsia="Barlow Semi Condensed" w:hAnsi="Barlow Semi Condensed"/>
          <w:b/>
          <w:bCs/>
          <w:sz w:val="24"/>
          <w:szCs w:val="24"/>
        </w:rPr>
        <w:t xml:space="preserve">99 · La cooperazione TREVI, da Bonn.</w:t>
      </w:r>
      <w:r>
        <w:rPr>
          <w:rFonts w:ascii="Barlow Semi Condensed" w:cs="Barlow Semi Condensed" w:eastAsia="Barlow Semi Condensed" w:hAnsi="Barlow Semi Condensed"/>
          <w:sz w:val="24"/>
          <w:szCs w:val="24"/>
        </w:rPr>
        <w:t xml:space="preserve"> Le carte tedesche sulla cooperazione europea antiterrorismo: i gruppi TREVI, gli scambi bilaterali, le riunioni del 1978. La terza colonna della cooperazione tecnica — e l'incrocio delle tre (Londra, Parigi, Bonn) ricostruisce il sistema europeo reale entro cui l'Italia chiese e ricevette.</w:t>
      </w:r>
    </w:p>
    <w:p>
      <w:pPr>
        <w:spacing w:after="120" w:line="276"/>
        <w:jc w:val="both"/>
      </w:pPr>
      <w:r>
        <w:rPr>
          <w:rFonts w:ascii="Barlow Semi Condensed" w:cs="Barlow Semi Condensed" w:eastAsia="Barlow Semi Condensed" w:hAnsi="Barlow Semi Condensed"/>
          <w:b/>
          <w:bCs/>
          <w:sz w:val="24"/>
          <w:szCs w:val="24"/>
        </w:rPr>
        <w:t xml:space="preserve">100 · Il centesimo blocco: la stampa tedesca.</w:t>
      </w:r>
      <w:r>
        <w:rPr>
          <w:rFonts w:ascii="Barlow Semi Condensed" w:cs="Barlow Semi Condensed" w:eastAsia="Barlow Semi Condensed" w:hAnsi="Barlow Semi Condensed"/>
          <w:sz w:val="24"/>
          <w:szCs w:val="24"/>
        </w:rPr>
        <w:t xml:space="preserve"> Gli archivi di Frankfurter Allgemeine, Spiegel, Zeit per i 55 giorni: corrispondenze da Roma, inchieste, il caso italiano letto dal paese dell'autunno tedesco. Lo Spiegel-Archiv in particolare: un giacimento giornalistico strutturato, interrogabile, datato.</w:t>
      </w:r>
    </w:p>
    <w:p>
      <w:pPr>
        <w:spacing w:after="120" w:line="276"/>
        <w:jc w:val="both"/>
      </w:pPr>
      <w:r>
        <w:rPr>
          <w:rFonts w:ascii="Barlow Semi Condensed" w:cs="Barlow Semi Condensed" w:eastAsia="Barlow Semi Condensed" w:hAnsi="Barlow Semi Condensed"/>
          <w:b/>
          <w:bCs/>
          <w:sz w:val="24"/>
          <w:szCs w:val="24"/>
        </w:rPr>
        <w:t xml:space="preserve">101 · Le radio e le teche tedesche.</w:t>
      </w:r>
      <w:r>
        <w:rPr>
          <w:rFonts w:ascii="Barlow Semi Condensed" w:cs="Barlow Semi Condensed" w:eastAsia="Barlow Semi Condensed" w:hAnsi="Barlow Semi Condensed"/>
          <w:sz w:val="24"/>
          <w:szCs w:val="24"/>
        </w:rPr>
        <w:t xml:space="preserve"> Gli archivi radiotelevisivi federali (ARD, ZDF) per i 55 giorni: i servizi da Roma, gli speciali, le interviste d'epoca. La colonna tedesca del cantiere audiovisivo estero — con la domanda costante: che cosa ripresero le loro telecamere che le nostre non ripresero?</w:t>
      </w:r>
    </w:p>
    <w:p>
      <w:pPr>
        <w:spacing w:after="120" w:line="276"/>
        <w:jc w:val="both"/>
      </w:pPr>
      <w:r>
        <w:rPr>
          <w:rFonts w:ascii="Barlow Semi Condensed" w:cs="Barlow Semi Condensed" w:eastAsia="Barlow Semi Condensed" w:hAnsi="Barlow Semi Condensed"/>
          <w:b/>
          <w:bCs/>
          <w:sz w:val="24"/>
          <w:szCs w:val="24"/>
        </w:rPr>
        <w:t xml:space="preserve">102 · I diari editi di Bonn.</w:t>
      </w:r>
      <w:r>
        <w:rPr>
          <w:rFonts w:ascii="Barlow Semi Condensed" w:cs="Barlow Semi Condensed" w:eastAsia="Barlow Semi Condensed" w:hAnsi="Barlow Semi Condensed"/>
          <w:sz w:val="24"/>
          <w:szCs w:val="24"/>
        </w:rPr>
        <w:t xml:space="preserve"> Le memorie dei protagonisti tedeschi — Schmidt in testa — spogliata la parte italiana: la collazione carte-memorie con la regola costante. Che cosa il cancelliere raccontò del 1978 italiano e che cosa le carte coeve confermano: la tavola delle concordanze e degli scarti.</w:t>
      </w:r>
    </w:p>
    <w:p>
      <w:pPr>
        <w:spacing w:after="120" w:line="276"/>
        <w:jc w:val="both"/>
      </w:pPr>
      <w:r>
        <w:rPr>
          <w:rFonts w:ascii="Barlow Semi Condensed" w:cs="Barlow Semi Condensed" w:eastAsia="Barlow Semi Condensed" w:hAnsi="Barlow Semi Condensed"/>
          <w:b/>
          <w:bCs/>
          <w:sz w:val="24"/>
          <w:szCs w:val="24"/>
        </w:rPr>
        <w:t xml:space="preserve">103 · Le fondazioni politiche.</w:t>
      </w:r>
      <w:r>
        <w:rPr>
          <w:rFonts w:ascii="Barlow Semi Condensed" w:cs="Barlow Semi Condensed" w:eastAsia="Barlow Semi Condensed" w:hAnsi="Barlow Semi Condensed"/>
          <w:sz w:val="24"/>
          <w:szCs w:val="24"/>
        </w:rPr>
        <w:t xml:space="preserve"> Gli archivi delle fondazioni di partito tedesche (Friedrich-Ebert, Konrad-Adenauer): i carteggi coi partiti italiani fratelli nel 1978 — SPD-PSI/PSDI, CDU-DC. Il canale di partito parallelo a quello diplomatico: un giacimento che l'Italia dimentica e la Germania cataloga.</w:t>
      </w:r>
    </w:p>
    <w:p>
      <w:pPr>
        <w:spacing w:after="120" w:line="276"/>
        <w:jc w:val="both"/>
      </w:pPr>
      <w:r>
        <w:rPr>
          <w:rFonts w:ascii="Barlow Semi Condensed" w:cs="Barlow Semi Condensed" w:eastAsia="Barlow Semi Condensed" w:hAnsi="Barlow Semi Condensed"/>
          <w:b/>
          <w:bCs/>
          <w:sz w:val="24"/>
          <w:szCs w:val="24"/>
        </w:rPr>
        <w:t xml:space="preserve">104 · Il quesito dei contatti RAF-BR.</w:t>
      </w:r>
      <w:r>
        <w:rPr>
          <w:rFonts w:ascii="Barlow Semi Condensed" w:cs="Barlow Semi Condensed" w:eastAsia="Barlow Semi Condensed" w:hAnsi="Barlow Semi Condensed"/>
          <w:sz w:val="24"/>
          <w:szCs w:val="24"/>
        </w:rPr>
        <w:t xml:space="preserve"> Il perimetro documentale dei collegamenti fra terrorismo tedesco e italiano nelle carte aperte: che cosa BKA e giustizia federale documentarono, che cosa la storiografia ha verificato, che cosa resta congettura. Il quesito si scrive in forma ACH: le ipotesi di collegamento contro le evidenze, con l'anello debole in funzione.</w:t>
      </w:r>
    </w:p>
    <w:p>
      <w:pPr>
        <w:spacing w:after="120" w:line="276"/>
        <w:jc w:val="both"/>
      </w:pPr>
      <w:r>
        <w:rPr>
          <w:rFonts w:ascii="Barlow Semi Condensed" w:cs="Barlow Semi Condensed" w:eastAsia="Barlow Semi Condensed" w:hAnsi="Barlow Semi Condensed"/>
          <w:b/>
          <w:bCs/>
          <w:sz w:val="24"/>
          <w:szCs w:val="24"/>
        </w:rPr>
        <w:t xml:space="preserve">105 · I processi tedeschi come giacimento.</w:t>
      </w:r>
      <w:r>
        <w:rPr>
          <w:rFonts w:ascii="Barlow Semi Condensed" w:cs="Barlow Semi Condensed" w:eastAsia="Barlow Semi Condensed" w:hAnsi="Barlow Semi Condensed"/>
          <w:sz w:val="24"/>
          <w:szCs w:val="24"/>
        </w:rPr>
        <w:t xml:space="preserve"> Gli atti dei processi RAF del periodo per ciò che documentano dei rapporti internazionali del terrorismo europeo: sentenze, perizie, istruttorie aperte alla ricerca. Il giudiziario tedesco è più aperto del francese: ciò che vi è passato in giudicato è leggibile — e si legge con la griglia italiana.</w:t>
      </w:r>
    </w:p>
    <w:p>
      <w:pPr>
        <w:spacing w:after="120" w:line="276"/>
        <w:jc w:val="both"/>
      </w:pPr>
      <w:r>
        <w:rPr>
          <w:rFonts w:ascii="Barlow Semi Condensed" w:cs="Barlow Semi Condensed" w:eastAsia="Barlow Semi Condensed" w:hAnsi="Barlow Semi Condensed"/>
          <w:b/>
          <w:bCs/>
          <w:sz w:val="24"/>
          <w:szCs w:val="24"/>
        </w:rPr>
        <w:t xml:space="preserve">106 · Berna e Vienna, in appendice.</w:t>
      </w:r>
      <w:r>
        <w:rPr>
          <w:rFonts w:ascii="Barlow Semi Condensed" w:cs="Barlow Semi Condensed" w:eastAsia="Barlow Semi Condensed" w:hAnsi="Barlow Semi Condensed"/>
          <w:sz w:val="24"/>
          <w:szCs w:val="24"/>
        </w:rPr>
        <w:t xml:space="preserve"> L'estensione mitteleuropea, con l'ancoraggio verificato: i documenti diplomatici svizzeri del 1978 sono in larga parte liberamente accessibili (termine trentennale) e la banca dati Dodis li pubblica online con dossier tematici — il cantiere svizzero comincia da lì, oltre che dagli atti sulle vicende dei condannati riparati. E Vienna per l'osservatorio danubiano: accertamenti di serie e termini, con bersagli pochi e precisi.</w:t>
      </w:r>
    </w:p>
    <w:p>
      <w:pPr>
        <w:spacing w:after="120" w:line="276"/>
        <w:jc w:val="both"/>
      </w:pPr>
      <w:r>
        <w:rPr>
          <w:rFonts w:ascii="Barlow Semi Condensed" w:cs="Barlow Semi Condensed" w:eastAsia="Barlow Semi Condensed" w:hAnsi="Barlow Semi Condensed"/>
          <w:b/>
          <w:bCs/>
          <w:sz w:val="24"/>
          <w:szCs w:val="24"/>
        </w:rPr>
        <w:t xml:space="preserve">107 · Il campione tedesco.</w:t>
      </w:r>
      <w:r>
        <w:rPr>
          <w:rFonts w:ascii="Barlow Semi Condensed" w:cs="Barlow Semi Condensed" w:eastAsia="Barlow Semi Condensed" w:hAnsi="Barlow Semi Condensed"/>
          <w:sz w:val="24"/>
          <w:szCs w:val="24"/>
        </w:rPr>
        <w:t xml:space="preserve"> Il doppio spoglio di controllo sul campione di fascicoli tedeschi: la taratura della qualità di lettura nella terza lingua del cantiere estero. La regola non si stanca: la qualità si misura, in ogni lingua.</w:t>
      </w:r>
    </w:p>
    <w:p>
      <w:pPr>
        <w:spacing w:after="120" w:line="276"/>
        <w:jc w:val="both"/>
      </w:pPr>
      <w:r>
        <w:rPr>
          <w:rFonts w:ascii="Barlow Semi Condensed" w:cs="Barlow Semi Condensed" w:eastAsia="Barlow Semi Condensed" w:hAnsi="Barlow Semi Condensed"/>
          <w:b/>
          <w:bCs/>
          <w:sz w:val="24"/>
          <w:szCs w:val="24"/>
        </w:rPr>
        <w:t xml:space="preserve">108 · L'acquisizione e la resa.</w:t>
      </w:r>
      <w:r>
        <w:rPr>
          <w:rFonts w:ascii="Barlow Semi Condensed" w:cs="Barlow Semi Condensed" w:eastAsia="Barlow Semi Condensed" w:hAnsi="Barlow Semi Condensed"/>
          <w:sz w:val="24"/>
          <w:szCs w:val="24"/>
        </w:rPr>
        <w:t xml:space="preserve"> Il protocollo di riproduzione per Berlino e Coblenza: copie digitali con segnature, ingresso nel fascicolo digitale, contabilità della missione. La terza trasferta produce archivio permanente come le prime due — e la sua resa si confronta con le altre per tarare le successive.</w:t>
      </w:r>
    </w:p>
    <w:p>
      <w:pPr>
        <w:spacing w:after="120" w:line="276"/>
        <w:jc w:val="both"/>
      </w:pPr>
      <w:r>
        <w:rPr>
          <w:rFonts w:ascii="Barlow Semi Condensed" w:cs="Barlow Semi Condensed" w:eastAsia="Barlow Semi Condensed" w:hAnsi="Barlow Semi Condensed"/>
          <w:b/>
          <w:bCs/>
          <w:sz w:val="24"/>
          <w:szCs w:val="24"/>
        </w:rPr>
        <w:t xml:space="preserve">109 · I vuoti tedeschi.</w:t>
      </w:r>
      <w:r>
        <w:rPr>
          <w:rFonts w:ascii="Barlow Semi Condensed" w:cs="Barlow Semi Condensed" w:eastAsia="Barlow Semi Condensed" w:hAnsi="Barlow Semi Condensed"/>
          <w:sz w:val="24"/>
          <w:szCs w:val="24"/>
        </w:rPr>
        <w:t xml:space="preserve"> Il verbale dei vuoti: le serie senza Italia, i fascicoli chiusi con la loro norma, il contenzioso pendente sul Krisenstab con le sue date. Lo Stato Zero tedesco, come gli altri: perimetrato, datato, a calendario.</w:t>
      </w:r>
    </w:p>
    <w:p>
      <w:pPr>
        <w:spacing w:after="120" w:line="276"/>
        <w:jc w:val="both"/>
      </w:pPr>
      <w:r>
        <w:rPr>
          <w:rFonts w:ascii="Barlow Semi Condensed" w:cs="Barlow Semi Condensed" w:eastAsia="Barlow Semi Condensed" w:hAnsi="Barlow Semi Condensed"/>
          <w:b/>
          <w:bCs/>
          <w:sz w:val="24"/>
          <w:szCs w:val="24"/>
        </w:rPr>
        <w:t xml:space="preserve">110 · Il raccordo col parallelo.</w:t>
      </w:r>
      <w:r>
        <w:rPr>
          <w:rFonts w:ascii="Barlow Semi Condensed" w:cs="Barlow Semi Condensed" w:eastAsia="Barlow Semi Condensed" w:hAnsi="Barlow Semi Condensed"/>
          <w:sz w:val="24"/>
          <w:szCs w:val="24"/>
        </w:rPr>
        <w:t xml:space="preserve"> La tavola di corrispondenza del dossier Schleyer-Moro coi quesiti costitutivi: quali celle delle matrici italiane un documento tedesco può riempire — poche, precise, dichiarate in anticipo. Il comparatismo serve i quesiti; non li sostituisce.</w:t>
      </w:r>
    </w:p>
    <w:p>
      <w:pPr>
        <w:spacing w:after="120" w:line="276"/>
        <w:jc w:val="both"/>
      </w:pPr>
      <w:r>
        <w:rPr>
          <w:rFonts w:ascii="Barlow Semi Condensed" w:cs="Barlow Semi Condensed" w:eastAsia="Barlow Semi Condensed" w:hAnsi="Barlow Semi Condensed"/>
          <w:b/>
          <w:bCs/>
          <w:sz w:val="24"/>
          <w:szCs w:val="24"/>
        </w:rPr>
        <w:t xml:space="preserve">111 · Le voci tedesche.</w:t>
      </w:r>
      <w:r>
        <w:rPr>
          <w:rFonts w:ascii="Barlow Semi Condensed" w:cs="Barlow Semi Condensed" w:eastAsia="Barlow Semi Condensed" w:hAnsi="Barlow Semi Condensed"/>
          <w:sz w:val="24"/>
          <w:szCs w:val="24"/>
        </w:rPr>
        <w:t xml:space="preserve"> I testimoni tedeschi viventi del 1978 — diplomatici, funzionari, corrispondenti: la raccolta conservativa con le regole della serie quinta dell'agenda. La colonna tedesca delle voci, con l'urgenza di sempre.</w:t>
      </w:r>
    </w:p>
    <w:p>
      <w:pPr>
        <w:spacing w:after="120" w:line="276"/>
        <w:jc w:val="both"/>
      </w:pPr>
      <w:r>
        <w:rPr>
          <w:rFonts w:ascii="Barlow Semi Condensed" w:cs="Barlow Semi Condensed" w:eastAsia="Barlow Semi Condensed" w:hAnsi="Barlow Semi Condensed"/>
          <w:b/>
          <w:bCs/>
          <w:sz w:val="24"/>
          <w:szCs w:val="24"/>
        </w:rPr>
        <w:t xml:space="preserve">112 · Il lessico di Bonn.</w:t>
      </w:r>
      <w:r>
        <w:rPr>
          <w:rFonts w:ascii="Barlow Semi Condensed" w:cs="Barlow Semi Condensed" w:eastAsia="Barlow Semi Condensed" w:hAnsi="Barlow Semi Condensed"/>
          <w:sz w:val="24"/>
          <w:szCs w:val="24"/>
        </w:rPr>
        <w:t xml:space="preserve"> Il glossario tedesco del caso: come le carte federali chiamarono le Brigate rosse, la fermezza italiana, il parallelo con la RAF — e quando il lessico cambiò. Il quarto termometro terminologico della percezione alleata.</w:t>
      </w:r>
    </w:p>
    <w:p>
      <w:pPr>
        <w:spacing w:after="120" w:line="276"/>
        <w:jc w:val="both"/>
      </w:pPr>
      <w:r>
        <w:rPr>
          <w:rFonts w:ascii="Barlow Semi Condensed" w:cs="Barlow Semi Condensed" w:eastAsia="Barlow Semi Condensed" w:hAnsi="Barlow Semi Condensed"/>
          <w:b/>
          <w:bCs/>
          <w:sz w:val="24"/>
          <w:szCs w:val="24"/>
        </w:rPr>
        <w:t xml:space="preserve">113 · Il dopo, da Bonn.</w:t>
      </w:r>
      <w:r>
        <w:rPr>
          <w:rFonts w:ascii="Barlow Semi Condensed" w:cs="Barlow Semi Condensed" w:eastAsia="Barlow Semi Condensed" w:hAnsi="Barlow Semi Condensed"/>
          <w:sz w:val="24"/>
          <w:szCs w:val="24"/>
        </w:rPr>
        <w:t xml:space="preserve"> Le analisi tedesche dopo il 9 maggio: l'esito del caso nelle valutazioni federali, le lezioni tratte per la dottrina tedesca, i giudizi sull'Italia. La quarta colonna del senno di poi alleato — e la sua comparazione chiude il quesito del blocco 22 su scala europea.</w:t>
      </w:r>
    </w:p>
    <w:p>
      <w:pPr>
        <w:spacing w:after="120" w:line="276"/>
        <w:jc w:val="both"/>
      </w:pPr>
      <w:r>
        <w:rPr>
          <w:rFonts w:ascii="Barlow Semi Condensed" w:cs="Barlow Semi Condensed" w:eastAsia="Barlow Semi Condensed" w:hAnsi="Barlow Semi Condensed"/>
          <w:b/>
          <w:bCs/>
          <w:sz w:val="24"/>
          <w:szCs w:val="24"/>
        </w:rPr>
        <w:t xml:space="preserve">114 · Gli scambi di intelligence dichiarati.</w:t>
      </w:r>
      <w:r>
        <w:rPr>
          <w:rFonts w:ascii="Barlow Semi Condensed" w:cs="Barlow Semi Condensed" w:eastAsia="Barlow Semi Condensed" w:hAnsi="Barlow Semi Condensed"/>
          <w:sz w:val="24"/>
          <w:szCs w:val="24"/>
        </w:rPr>
        <w:t xml:space="preserve"> Il censimento di ciò che le carte aperte documentano degli scambi informativi fra servizi tedeschi e italiani nel 1978: note di liaison, valutazioni condivise, richieste. Solo il documentato: il resto è Stato Zero dichiarato, non narrazione.</w:t>
      </w:r>
    </w:p>
    <w:p>
      <w:pPr>
        <w:spacing w:after="120" w:line="276"/>
        <w:jc w:val="both"/>
      </w:pPr>
      <w:r>
        <w:rPr>
          <w:rFonts w:ascii="Barlow Semi Condensed" w:cs="Barlow Semi Condensed" w:eastAsia="Barlow Semi Condensed" w:hAnsi="Barlow Semi Condensed"/>
          <w:b/>
          <w:bCs/>
          <w:sz w:val="24"/>
          <w:szCs w:val="24"/>
        </w:rPr>
        <w:t xml:space="preserve">115 · Il quesito che solo Bonn può chiudere.</w:t>
      </w:r>
      <w:r>
        <w:rPr>
          <w:rFonts w:ascii="Barlow Semi Condensed" w:cs="Barlow Semi Condensed" w:eastAsia="Barlow Semi Condensed" w:hAnsi="Barlow Semi Condensed"/>
          <w:sz w:val="24"/>
          <w:szCs w:val="24"/>
        </w:rPr>
        <w:t xml:space="preserve"> La formulazione esplicita, come per Parigi: quali celle delle matrici ACH possono essere riempite solo da un documento tedesco? La tavola di queste celle è la giustificazione del cantiere — e il suo criterio di chiusura.</w:t>
      </w:r>
    </w:p>
    <w:p>
      <w:pPr>
        <w:spacing w:after="120" w:line="276"/>
        <w:jc w:val="both"/>
      </w:pPr>
      <w:r>
        <w:rPr>
          <w:rFonts w:ascii="Barlow Semi Condensed" w:cs="Barlow Semi Condensed" w:eastAsia="Barlow Semi Condensed" w:hAnsi="Barlow Semi Condensed"/>
          <w:b/>
          <w:bCs/>
          <w:sz w:val="24"/>
          <w:szCs w:val="24"/>
        </w:rPr>
        <w:t xml:space="preserve">116 · Il raccordo con l'agenda.</w:t>
      </w:r>
      <w:r>
        <w:rPr>
          <w:rFonts w:ascii="Barlow Semi Condensed" w:cs="Barlow Semi Condensed" w:eastAsia="Barlow Semi Condensed" w:hAnsi="Barlow Semi Condensed"/>
          <w:sz w:val="24"/>
          <w:szCs w:val="24"/>
        </w:rPr>
        <w:t xml:space="preserve"> La tavola di corrispondenza del cantiere tedesco coi quesiti costitutivi e con le piste: ogni blocco dichiara chi serve. Nessun bersaglio orfano, nemmeno in tedesco.</w:t>
      </w:r>
    </w:p>
    <w:p>
      <w:pPr>
        <w:spacing w:after="120" w:line="276"/>
        <w:jc w:val="both"/>
      </w:pPr>
      <w:r>
        <w:rPr>
          <w:rFonts w:ascii="Barlow Semi Condensed" w:cs="Barlow Semi Condensed" w:eastAsia="Barlow Semi Condensed" w:hAnsi="Barlow Semi Condensed"/>
          <w:b/>
          <w:bCs/>
          <w:sz w:val="24"/>
          <w:szCs w:val="24"/>
        </w:rPr>
        <w:t xml:space="preserve">117 · La tavola delle serie tedesche.</w:t>
      </w:r>
      <w:r>
        <w:rPr>
          <w:rFonts w:ascii="Barlow Semi Condensed" w:cs="Barlow Semi Condensed" w:eastAsia="Barlow Semi Condensed" w:hAnsi="Barlow Semi Condensed"/>
          <w:sz w:val="24"/>
          <w:szCs w:val="24"/>
        </w:rPr>
        <w:t xml:space="preserve"> La tavola unica: PA AA, Bundesarchiv (B 106, cancelleria, Kabinettsprotokolle), BKA, atti Stasi, fondazioni — serie per serie, con stato di apertura e di spoglio. La gemella tedesca delle tavole britannica e francese.</w:t>
      </w:r>
    </w:p>
    <w:p>
      <w:pPr>
        <w:spacing w:after="120" w:line="276"/>
        <w:jc w:val="both"/>
      </w:pPr>
      <w:r>
        <w:rPr>
          <w:rFonts w:ascii="Barlow Semi Condensed" w:cs="Barlow Semi Condensed" w:eastAsia="Barlow Semi Condensed" w:hAnsi="Barlow Semi Condensed"/>
          <w:b/>
          <w:bCs/>
          <w:sz w:val="24"/>
          <w:szCs w:val="24"/>
        </w:rPr>
        <w:t xml:space="preserve">118 · Il calendario tedesco.</w:t>
      </w:r>
      <w:r>
        <w:rPr>
          <w:rFonts w:ascii="Barlow Semi Condensed" w:cs="Barlow Semi Condensed" w:eastAsia="Barlow Semi Condensed" w:hAnsi="Barlow Semi Condensed"/>
          <w:sz w:val="24"/>
          <w:szCs w:val="24"/>
        </w:rPr>
        <w:t xml:space="preserve"> Le scadenze: i vincoli trentennali che maturano, il contenzioso sul Krisenstab, le serie in versamento. La colonna tedesca del motore delle scadenze.</w:t>
      </w:r>
    </w:p>
    <w:p>
      <w:pPr>
        <w:spacing w:after="120" w:line="276"/>
        <w:jc w:val="both"/>
      </w:pPr>
      <w:r>
        <w:rPr>
          <w:rFonts w:ascii="Barlow Semi Condensed" w:cs="Barlow Semi Condensed" w:eastAsia="Barlow Semi Condensed" w:hAnsi="Barlow Semi Condensed"/>
          <w:b/>
          <w:bCs/>
          <w:sz w:val="24"/>
          <w:szCs w:val="24"/>
        </w:rPr>
        <w:t xml:space="preserve">119 · La sintesi trilaterale.</w:t>
      </w:r>
      <w:r>
        <w:rPr>
          <w:rFonts w:ascii="Barlow Semi Condensed" w:cs="Barlow Semi Condensed" w:eastAsia="Barlow Semi Condensed" w:hAnsi="Barlow Semi Condensed"/>
          <w:sz w:val="24"/>
          <w:szCs w:val="24"/>
        </w:rPr>
        <w:t xml:space="preserve"> Il prodotto finale della parte: la collazione Londra-Parigi-Bonn (con Washington dal cantiere americano dell'agenda) sulle giornate chiave e sui quesiti comuni — la tavola delle convergenze, delle divergenze e dei silenzi di ciascuna capitale. L'Europa degli alleati, messa in colonna.</w:t>
      </w:r>
    </w:p>
    <w:p>
      <w:pPr>
        <w:spacing w:after="120" w:line="276"/>
        <w:jc w:val="both"/>
      </w:pPr>
      <w:r>
        <w:rPr>
          <w:rFonts w:ascii="Barlow Semi Condensed" w:cs="Barlow Semi Condensed" w:eastAsia="Barlow Semi Condensed" w:hAnsi="Barlow Semi Condensed"/>
          <w:b/>
          <w:bCs/>
          <w:sz w:val="24"/>
          <w:szCs w:val="24"/>
        </w:rPr>
        <w:t xml:space="preserve">120 · La tavola tedesca.</w:t>
      </w:r>
      <w:r>
        <w:rPr>
          <w:rFonts w:ascii="Barlow Semi Condensed" w:cs="Barlow Semi Condensed" w:eastAsia="Barlow Semi Condensed" w:hAnsi="Barlow Semi Condensed"/>
          <w:sz w:val="24"/>
          <w:szCs w:val="24"/>
        </w:rPr>
        <w:t xml:space="preserve"> La chiusura del terzo cantiere: gli stati di ogni bersaglio, le pendenze, i vuoti. Tre cantieri, tre tavole, un metodo — e la parte si chiude come vivrà: contando.</w:t>
      </w:r>
    </w:p>
    <w:p>
      <w:pPr>
        <w:pStyle w:val="Heading2"/>
        <w:spacing w:after="100" w:before="200"/>
      </w:pPr>
      <w:r>
        <w:rPr>
          <w:rFonts w:ascii="Barlow Semi Condensed" w:cs="Barlow Semi Condensed" w:eastAsia="Barlow Semi Condensed" w:hAnsi="Barlow Semi Condensed"/>
          <w:sz w:val="24"/>
          <w:szCs w:val="24"/>
        </w:rPr>
        <w:t xml:space="preserve">Parte seconda — Il Vaticano e la Chiesa (blocchi 121-220)</w:t>
      </w:r>
    </w:p>
    <w:p>
      <w:pPr>
        <w:spacing w:after="120" w:line="276"/>
        <w:jc w:val="both"/>
      </w:pPr>
      <w:r>
        <w:rPr>
          <w:rFonts w:ascii="Barlow Semi Condensed" w:cs="Barlow Semi Condensed" w:eastAsia="Barlow Semi Condensed" w:hAnsi="Barlow Semi Condensed"/>
          <w:i/>
          <w:iCs/>
          <w:sz w:val="24"/>
          <w:szCs w:val="24"/>
        </w:rPr>
        <w:t xml:space="preserve">Statuto della parte: l'archivio chiuso e le cento porte laterali. Il fatto verificato che governa l'intero cantiere: l'Archivio Apostolico Vaticano non è aperto per il pontificato di Paolo VI — il limite di consultazione resta la fine del pontificato di Pio XII (aperto il 2 marzo 2020, per annuncio di papa Francesco del 4 marzo 2019), e lo stesso criterio «per pontificati» vale per l'Archivio storico della Sezione per i Rapporti con gli Stati. Le carte vaticane del 1978 non sono consultabili: il cantiere quindi non aspetta — lavora le vie indirette (gli istituti, le diocesi, gli ordini, la stampa della Santa Sede, i registri civili dei colloqui), prepara i quesiti per il giorno dell'apertura, e tiene il perimetro del quesito 11 dell'agenda: l'incarico a Curioni e la disponibilità del fondo sono accertati dagli atti parlamentari — il resto si cerca, non si narra.</w:t>
      </w:r>
    </w:p>
    <w:p>
      <w:pPr>
        <w:pStyle w:val="Heading3"/>
        <w:spacing w:after="80" w:before="160"/>
      </w:pPr>
      <w:r>
        <w:rPr>
          <w:rFonts w:ascii="Barlow Semi Condensed" w:cs="Barlow Semi Condensed" w:eastAsia="Barlow Semi Condensed" w:hAnsi="Barlow Semi Condensed"/>
          <w:sz w:val="24"/>
          <w:szCs w:val="24"/>
        </w:rPr>
        <w:t xml:space="preserve">L'archivio chiuso e il suo calendario (blocchi 121-135)</w:t>
      </w:r>
    </w:p>
    <w:p>
      <w:pPr>
        <w:spacing w:after="120" w:line="276"/>
        <w:jc w:val="both"/>
      </w:pPr>
      <w:r>
        <w:rPr>
          <w:rFonts w:ascii="Barlow Semi Condensed" w:cs="Barlow Semi Condensed" w:eastAsia="Barlow Semi Condensed" w:hAnsi="Barlow Semi Condensed"/>
          <w:b/>
          <w:bCs/>
          <w:sz w:val="24"/>
          <w:szCs w:val="24"/>
        </w:rPr>
        <w:t xml:space="preserve">121 · Il fatto che governa.</w:t>
      </w:r>
      <w:r>
        <w:rPr>
          <w:rFonts w:ascii="Barlow Semi Condensed" w:cs="Barlow Semi Condensed" w:eastAsia="Barlow Semi Condensed" w:hAnsi="Barlow Semi Condensed"/>
          <w:sz w:val="24"/>
          <w:szCs w:val="24"/>
        </w:rPr>
        <w:t xml:space="preserve"> Il punto di partenza è una chiusura verificata: nessuna carta d'archivio vaticana del 1978 è consultabile, perché l'apertura procede per pontificati e l'ultimo aperto è Pio XII (1939-1958). Ogni versione che citi «carte vaticane» del caso va quindi interrogata sulla sua fonte reale: se l'archivio è chiuso, da dove viene la carta?</w:t>
      </w:r>
    </w:p>
    <w:p>
      <w:pPr>
        <w:spacing w:after="120" w:line="276"/>
        <w:jc w:val="both"/>
      </w:pPr>
      <w:r>
        <w:rPr>
          <w:rFonts w:ascii="Barlow Semi Condensed" w:cs="Barlow Semi Condensed" w:eastAsia="Barlow Semi Condensed" w:hAnsi="Barlow Semi Condensed"/>
          <w:b/>
          <w:bCs/>
          <w:sz w:val="24"/>
          <w:szCs w:val="24"/>
        </w:rPr>
        <w:t xml:space="preserve">122 · La prassi del 1924.</w:t>
      </w:r>
      <w:r>
        <w:rPr>
          <w:rFonts w:ascii="Barlow Semi Condensed" w:cs="Barlow Semi Condensed" w:eastAsia="Barlow Semi Condensed" w:hAnsi="Barlow Semi Condensed"/>
          <w:sz w:val="24"/>
          <w:szCs w:val="24"/>
        </w:rPr>
        <w:t xml:space="preserve"> La regola d'apertura per pontificati, istituita nel 1924 e attivata per decisione del Papa regnante: la storia delle aperture (Pio XI nel 2006, Pio XII nel 2020) come base di previsione dei tempi per Giovanni XXIII e Paolo VI. Il calendario non esiste: la serie storica sì, e si studia.</w:t>
      </w:r>
    </w:p>
    <w:p>
      <w:pPr>
        <w:spacing w:after="120" w:line="276"/>
        <w:jc w:val="both"/>
      </w:pPr>
      <w:r>
        <w:rPr>
          <w:rFonts w:ascii="Barlow Semi Condensed" w:cs="Barlow Semi Condensed" w:eastAsia="Barlow Semi Condensed" w:hAnsi="Barlow Semi Condensed"/>
          <w:b/>
          <w:bCs/>
          <w:sz w:val="24"/>
          <w:szCs w:val="24"/>
        </w:rPr>
        <w:t xml:space="preserve">123 · I due archivi gemelli.</w:t>
      </w:r>
      <w:r>
        <w:rPr>
          <w:rFonts w:ascii="Barlow Semi Condensed" w:cs="Barlow Semi Condensed" w:eastAsia="Barlow Semi Condensed" w:hAnsi="Barlow Semi Condensed"/>
          <w:sz w:val="24"/>
          <w:szCs w:val="24"/>
        </w:rPr>
        <w:t xml:space="preserve"> La mappa istituzionale: l'Archivio Apostolico e l'Archivio storico della Sezione per i Rapporti con gli Stati (l'erede degli «esteri» vaticani) seguono lo stesso limite cronologico. Per il 1978 sono chiusi entrambi — e la distinzione va tenuta, perché all'apertura le carte dei 55 giorni si divideranno fra i due secondo la natura degli atti.</w:t>
      </w:r>
    </w:p>
    <w:p>
      <w:pPr>
        <w:spacing w:after="120" w:line="276"/>
        <w:jc w:val="both"/>
      </w:pPr>
      <w:r>
        <w:rPr>
          <w:rFonts w:ascii="Barlow Semi Condensed" w:cs="Barlow Semi Condensed" w:eastAsia="Barlow Semi Condensed" w:hAnsi="Barlow Semi Condensed"/>
          <w:b/>
          <w:bCs/>
          <w:sz w:val="24"/>
          <w:szCs w:val="24"/>
        </w:rPr>
        <w:t xml:space="preserve">124 · Che cosa conterranno.</w:t>
      </w:r>
      <w:r>
        <w:rPr>
          <w:rFonts w:ascii="Barlow Semi Condensed" w:cs="Barlow Semi Condensed" w:eastAsia="Barlow Semi Condensed" w:hAnsi="Barlow Semi Condensed"/>
          <w:sz w:val="24"/>
          <w:szCs w:val="24"/>
        </w:rPr>
        <w:t xml:space="preserve"> L'esercizio preparatorio sulle serie attese: per un caso del 1978, le carte della Segreteria di Stato (i due «sezioni»), le udienze, i carteggi del Papa, le nunziature. La tavola delle serie attese si costruisce ora, dalla struttura nota della Curia del 1978 — per chiedere bene il primo giorno utile.</w:t>
      </w:r>
    </w:p>
    <w:p>
      <w:pPr>
        <w:spacing w:after="120" w:line="276"/>
        <w:jc w:val="both"/>
      </w:pPr>
      <w:r>
        <w:rPr>
          <w:rFonts w:ascii="Barlow Semi Condensed" w:cs="Barlow Semi Condensed" w:eastAsia="Barlow Semi Condensed" w:hAnsi="Barlow Semi Condensed"/>
          <w:b/>
          <w:bCs/>
          <w:sz w:val="24"/>
          <w:szCs w:val="24"/>
        </w:rPr>
        <w:t xml:space="preserve">125 · La lezione del 2020.</w:t>
      </w:r>
      <w:r>
        <w:rPr>
          <w:rFonts w:ascii="Barlow Semi Condensed" w:cs="Barlow Semi Condensed" w:eastAsia="Barlow Semi Condensed" w:hAnsi="Barlow Semi Condensed"/>
          <w:sz w:val="24"/>
          <w:szCs w:val="24"/>
        </w:rPr>
        <w:t xml:space="preserve"> Come lavorarono gli studiosi all'apertura di Pio XII: la corsa del marzo 2020, gli inventari, i primi risultati. La lezione operativa per il giorno di Paolo VI: chi arriva con i quesiti scritti e le serie mappate raccoglie in mesi ciò che gli altri cercano per anni.</w:t>
      </w:r>
    </w:p>
    <w:p>
      <w:pPr>
        <w:spacing w:after="120" w:line="276"/>
        <w:jc w:val="both"/>
      </w:pPr>
      <w:r>
        <w:rPr>
          <w:rFonts w:ascii="Barlow Semi Condensed" w:cs="Barlow Semi Condensed" w:eastAsia="Barlow Semi Condensed" w:hAnsi="Barlow Semi Condensed"/>
          <w:b/>
          <w:bCs/>
          <w:sz w:val="24"/>
          <w:szCs w:val="24"/>
        </w:rPr>
        <w:t xml:space="preserve">126 · I quesiti pronti.</w:t>
      </w:r>
      <w:r>
        <w:rPr>
          <w:rFonts w:ascii="Barlow Semi Condensed" w:cs="Barlow Semi Condensed" w:eastAsia="Barlow Semi Condensed" w:hAnsi="Barlow Semi Condensed"/>
          <w:sz w:val="24"/>
          <w:szCs w:val="24"/>
        </w:rPr>
        <w:t xml:space="preserve"> Il fascicolo dei quesiti da depositare il giorno dell'apertura: per ciascuna cella vaticana delle matrici ACH del corpus, la domanda esatta e la serie attesa dove la risposta dovrebbe giacere. Il cantiere scrive oggi le domande di domani — è il suo atto più produttivo sull'archivio chiuso.</w:t>
      </w:r>
    </w:p>
    <w:p>
      <w:pPr>
        <w:spacing w:after="120" w:line="276"/>
        <w:jc w:val="both"/>
      </w:pPr>
      <w:r>
        <w:rPr>
          <w:rFonts w:ascii="Barlow Semi Condensed" w:cs="Barlow Semi Condensed" w:eastAsia="Barlow Semi Condensed" w:hAnsi="Barlow Semi Condensed"/>
          <w:b/>
          <w:bCs/>
          <w:sz w:val="24"/>
          <w:szCs w:val="24"/>
        </w:rPr>
        <w:t xml:space="preserve">127 · Le deroghe impossibili e quelle possibili.</w:t>
      </w:r>
      <w:r>
        <w:rPr>
          <w:rFonts w:ascii="Barlow Semi Condensed" w:cs="Barlow Semi Condensed" w:eastAsia="Barlow Semi Condensed" w:hAnsi="Barlow Semi Condensed"/>
          <w:sz w:val="24"/>
          <w:szCs w:val="24"/>
        </w:rPr>
        <w:t xml:space="preserve"> L'accertamento formale: esistono precedenti di accesso anticipato a carte vaticane post-1958 per singoli studiosi o cause? La risposta documentata — quale che sia — perimetra il cantiere: se una via di deroga esiste, si chiede; se non esiste, si smette di evocarla.</w:t>
      </w:r>
    </w:p>
    <w:p>
      <w:pPr>
        <w:spacing w:after="120" w:line="276"/>
        <w:jc w:val="both"/>
      </w:pPr>
      <w:r>
        <w:rPr>
          <w:rFonts w:ascii="Barlow Semi Condensed" w:cs="Barlow Semi Condensed" w:eastAsia="Barlow Semi Condensed" w:hAnsi="Barlow Semi Condensed"/>
          <w:b/>
          <w:bCs/>
          <w:sz w:val="24"/>
          <w:szCs w:val="24"/>
        </w:rPr>
        <w:t xml:space="preserve">128 · Le cause dei santi come varco.</w:t>
      </w:r>
      <w:r>
        <w:rPr>
          <w:rFonts w:ascii="Barlow Semi Condensed" w:cs="Barlow Semi Condensed" w:eastAsia="Barlow Semi Condensed" w:hAnsi="Barlow Semi Condensed"/>
          <w:sz w:val="24"/>
          <w:szCs w:val="24"/>
        </w:rPr>
        <w:t xml:space="preserve"> Le posizioni delle cause di beatificazione (Paolo VI beatificato nel 2014, canonizzato nel 2018; la causa di Moro aperta) producono raccolte documentali proprie, con regole proprie: l'accertamento di che cosa le positio contengano e di che cosa sia consultabile. Un varco laterale documentato, non un aggiramento.</w:t>
      </w:r>
    </w:p>
    <w:p>
      <w:pPr>
        <w:spacing w:after="120" w:line="276"/>
        <w:jc w:val="both"/>
      </w:pPr>
      <w:r>
        <w:rPr>
          <w:rFonts w:ascii="Barlow Semi Condensed" w:cs="Barlow Semi Condensed" w:eastAsia="Barlow Semi Condensed" w:hAnsi="Barlow Semi Condensed"/>
          <w:b/>
          <w:bCs/>
          <w:sz w:val="24"/>
          <w:szCs w:val="24"/>
        </w:rPr>
        <w:t xml:space="preserve">129 · La positio di Montini.</w:t>
      </w:r>
      <w:r>
        <w:rPr>
          <w:rFonts w:ascii="Barlow Semi Condensed" w:cs="Barlow Semi Condensed" w:eastAsia="Barlow Semi Condensed" w:hAnsi="Barlow Semi Condensed"/>
          <w:sz w:val="24"/>
          <w:szCs w:val="24"/>
        </w:rPr>
        <w:t xml:space="preserve"> La documentazione raccolta per la causa di Paolo VI: i testimoni ascoltati, i documenti prodotti, la parte pubblicata. Per i 55 giorni — l'ultimo grande dolore del pontificato — la causa ha necessariamente raccolto materia: quanta ne sia leggibile è un accertamento da fare.</w:t>
      </w:r>
    </w:p>
    <w:p>
      <w:pPr>
        <w:spacing w:after="120" w:line="276"/>
        <w:jc w:val="both"/>
      </w:pPr>
      <w:r>
        <w:rPr>
          <w:rFonts w:ascii="Barlow Semi Condensed" w:cs="Barlow Semi Condensed" w:eastAsia="Barlow Semi Condensed" w:hAnsi="Barlow Semi Condensed"/>
          <w:b/>
          <w:bCs/>
          <w:sz w:val="24"/>
          <w:szCs w:val="24"/>
        </w:rPr>
        <w:t xml:space="preserve">130 · La causa di Moro.</w:t>
      </w:r>
      <w:r>
        <w:rPr>
          <w:rFonts w:ascii="Barlow Semi Condensed" w:cs="Barlow Semi Condensed" w:eastAsia="Barlow Semi Condensed" w:hAnsi="Barlow Semi Condensed"/>
          <w:sz w:val="24"/>
          <w:szCs w:val="24"/>
        </w:rPr>
        <w:t xml:space="preserve"> La causa di beatificazione di Aldo Moro (aperta in diocesi di Roma): lo stato del procedimento, la documentazione raccolta, le testimonianze. Una raccolta documentale ecclesiastica sul caso, formata con regole canoniche: il suo perimetro pubblico è un giacimento censibile oggi.</w:t>
      </w:r>
    </w:p>
    <w:p>
      <w:pPr>
        <w:spacing w:after="120" w:line="276"/>
        <w:jc w:val="both"/>
      </w:pPr>
      <w:r>
        <w:rPr>
          <w:rFonts w:ascii="Barlow Semi Condensed" w:cs="Barlow Semi Condensed" w:eastAsia="Barlow Semi Condensed" w:hAnsi="Barlow Semi Condensed"/>
          <w:b/>
          <w:bCs/>
          <w:sz w:val="24"/>
          <w:szCs w:val="24"/>
        </w:rPr>
        <w:t xml:space="preserve">131 · L'Osservatore e la Civiltà.</w:t>
      </w:r>
      <w:r>
        <w:rPr>
          <w:rFonts w:ascii="Barlow Semi Condensed" w:cs="Barlow Semi Condensed" w:eastAsia="Barlow Semi Condensed" w:hAnsi="Barlow Semi Condensed"/>
          <w:sz w:val="24"/>
          <w:szCs w:val="24"/>
        </w:rPr>
        <w:t xml:space="preserve"> La stampa della Santa Sede è aperta da sempre: L'Osservatore Romano dei 55 giorni, giorno per giorno, e La Civiltà Cattolica del 1978 — la voce pubblica ufficiale e ufficiosa. Lo spoglio integrale datato: che cosa la Santa Sede disse pubblicamente, quando, con quali silenzi fra le righe.</w:t>
      </w:r>
    </w:p>
    <w:p>
      <w:pPr>
        <w:spacing w:after="120" w:line="276"/>
        <w:jc w:val="both"/>
      </w:pPr>
      <w:r>
        <w:rPr>
          <w:rFonts w:ascii="Barlow Semi Condensed" w:cs="Barlow Semi Condensed" w:eastAsia="Barlow Semi Condensed" w:hAnsi="Barlow Semi Condensed"/>
          <w:b/>
          <w:bCs/>
          <w:sz w:val="24"/>
          <w:szCs w:val="24"/>
        </w:rPr>
        <w:t xml:space="preserve">132 · La Radio del Papa.</w:t>
      </w:r>
      <w:r>
        <w:rPr>
          <w:rFonts w:ascii="Barlow Semi Condensed" w:cs="Barlow Semi Condensed" w:eastAsia="Barlow Semi Condensed" w:hAnsi="Barlow Semi Condensed"/>
          <w:sz w:val="24"/>
          <w:szCs w:val="24"/>
        </w:rPr>
        <w:t xml:space="preserve"> Gli archivi della Radio Vaticana per i 55 giorni: notiziari, appelli, la copertura del caso nella voce radiofonica della Santa Sede. Un archivio audio ecclesiastico datato — da censire con le regole del cantiere audiovisivo (Parte sesta).</w:t>
      </w:r>
    </w:p>
    <w:p>
      <w:pPr>
        <w:spacing w:after="120" w:line="276"/>
        <w:jc w:val="both"/>
      </w:pPr>
      <w:r>
        <w:rPr>
          <w:rFonts w:ascii="Barlow Semi Condensed" w:cs="Barlow Semi Condensed" w:eastAsia="Barlow Semi Condensed" w:hAnsi="Barlow Semi Condensed"/>
          <w:b/>
          <w:bCs/>
          <w:sz w:val="24"/>
          <w:szCs w:val="24"/>
        </w:rPr>
        <w:t xml:space="preserve">133 · Gli annunci e gli atti pubblici.</w:t>
      </w:r>
      <w:r>
        <w:rPr>
          <w:rFonts w:ascii="Barlow Semi Condensed" w:cs="Barlow Semi Condensed" w:eastAsia="Barlow Semi Condensed" w:hAnsi="Barlow Semi Condensed"/>
          <w:sz w:val="24"/>
          <w:szCs w:val="24"/>
        </w:rPr>
        <w:t xml:space="preserve"> Gli Acta Apostolicae Sedis e i bollettini del 1978: gli atti pubblici del pontificato nei 55 giorni — nomine, udienze, discorsi. La cronologia pubblica vaticana si ricostruisce integralmente da fonti aperte: è lo scheletro su cui le carte chiuse, un giorno, metteranno i tessuti.</w:t>
      </w:r>
    </w:p>
    <w:p>
      <w:pPr>
        <w:spacing w:after="120" w:line="276"/>
        <w:jc w:val="both"/>
      </w:pPr>
      <w:r>
        <w:rPr>
          <w:rFonts w:ascii="Barlow Semi Condensed" w:cs="Barlow Semi Condensed" w:eastAsia="Barlow Semi Condensed" w:hAnsi="Barlow Semi Condensed"/>
          <w:b/>
          <w:bCs/>
          <w:sz w:val="24"/>
          <w:szCs w:val="24"/>
        </w:rPr>
        <w:t xml:space="preserve">134 · Le agende pubbliche.</w:t>
      </w:r>
      <w:r>
        <w:rPr>
          <w:rFonts w:ascii="Barlow Semi Condensed" w:cs="Barlow Semi Condensed" w:eastAsia="Barlow Semi Condensed" w:hAnsi="Barlow Semi Condensed"/>
          <w:sz w:val="24"/>
          <w:szCs w:val="24"/>
        </w:rPr>
        <w:t xml:space="preserve"> La ricostruzione della giornata del Papa nei 55 giorni dalle fonti aperte: udienze annunciate, presenze, spostamenti. La cronologia montiniana del marzo-maggio 1978 come tavola — per incrociare, quando l'archivio aprirà, l'agenda pubblica con quella privata.</w:t>
      </w:r>
    </w:p>
    <w:p>
      <w:pPr>
        <w:spacing w:after="120" w:line="276"/>
        <w:jc w:val="both"/>
      </w:pPr>
      <w:r>
        <w:rPr>
          <w:rFonts w:ascii="Barlow Semi Condensed" w:cs="Barlow Semi Condensed" w:eastAsia="Barlow Semi Condensed" w:hAnsi="Barlow Semi Condensed"/>
          <w:b/>
          <w:bCs/>
          <w:sz w:val="24"/>
          <w:szCs w:val="24"/>
        </w:rPr>
        <w:t xml:space="preserve">135 · La tavola del chiuso.</w:t>
      </w:r>
      <w:r>
        <w:rPr>
          <w:rFonts w:ascii="Barlow Semi Condensed" w:cs="Barlow Semi Condensed" w:eastAsia="Barlow Semi Condensed" w:hAnsi="Barlow Semi Condensed"/>
          <w:sz w:val="24"/>
          <w:szCs w:val="24"/>
        </w:rPr>
        <w:t xml:space="preserve"> La chiusura della sezione: la tavola di ciò che è chiuso (i due archivi, con la loro regola), di ciò che è aperto (la stampa, gli atti, le cause nei loro limiti), e dei quesiti depositati in attesa. Il cantiere dell'archivio chiuso si misura da questa tavola: nulla da aspettare passivamente, tutto da preparare.</w:t>
      </w:r>
    </w:p>
    <w:p>
      <w:pPr>
        <w:pStyle w:val="Heading3"/>
        <w:spacing w:after="80" w:before="160"/>
      </w:pPr>
      <w:r>
        <w:rPr>
          <w:rFonts w:ascii="Barlow Semi Condensed" w:cs="Barlow Semi Condensed" w:eastAsia="Barlow Semi Condensed" w:hAnsi="Barlow Semi Condensed"/>
          <w:sz w:val="24"/>
          <w:szCs w:val="24"/>
        </w:rPr>
        <w:t xml:space="preserve">Le vie della Chiesa italiana (blocchi 136-160)</w:t>
      </w:r>
    </w:p>
    <w:p>
      <w:pPr>
        <w:spacing w:after="120" w:line="276"/>
        <w:jc w:val="both"/>
      </w:pPr>
      <w:r>
        <w:rPr>
          <w:rFonts w:ascii="Barlow Semi Condensed" w:cs="Barlow Semi Condensed" w:eastAsia="Barlow Semi Condensed" w:hAnsi="Barlow Semi Condensed"/>
          <w:b/>
          <w:bCs/>
          <w:sz w:val="24"/>
          <w:szCs w:val="24"/>
        </w:rPr>
        <w:t xml:space="preserve">136 · L'Istituto di Concesio.</w:t>
      </w:r>
      <w:r>
        <w:rPr>
          <w:rFonts w:ascii="Barlow Semi Condensed" w:cs="Barlow Semi Condensed" w:eastAsia="Barlow Semi Condensed" w:hAnsi="Barlow Semi Condensed"/>
          <w:sz w:val="24"/>
          <w:szCs w:val="24"/>
        </w:rPr>
        <w:t xml:space="preserve"> L'Istituto Paolo VI (a Concesio dal 2009): il centro di studi e documentazione montiniano, con archivio di manoscritti, carteggi e materiali fotografici e audiovisivi. Il fatto verificato che perimetra il bersaglio: le carte ufficiali del pontificato restano in Vaticano — a Concesio si cerca l'uomo, il metodo, i corrispondenti, non il fascicolo dei 55 giorni.</w:t>
      </w:r>
    </w:p>
    <w:p>
      <w:pPr>
        <w:spacing w:after="120" w:line="276"/>
        <w:jc w:val="both"/>
      </w:pPr>
      <w:r>
        <w:rPr>
          <w:rFonts w:ascii="Barlow Semi Condensed" w:cs="Barlow Semi Condensed" w:eastAsia="Barlow Semi Condensed" w:hAnsi="Barlow Semi Condensed"/>
          <w:b/>
          <w:bCs/>
          <w:sz w:val="24"/>
          <w:szCs w:val="24"/>
        </w:rPr>
        <w:t xml:space="preserve">137 · I carteggi montiniani editi.</w:t>
      </w:r>
      <w:r>
        <w:rPr>
          <w:rFonts w:ascii="Barlow Semi Condensed" w:cs="Barlow Semi Condensed" w:eastAsia="Barlow Semi Condensed" w:hAnsi="Barlow Semi Condensed"/>
          <w:sz w:val="24"/>
          <w:szCs w:val="24"/>
        </w:rPr>
        <w:t xml:space="preserve"> Il censimento delle edizioni dei carteggi di Montini e dei Quaderni dell'Istituto: che cosa è già pubblicato che tocchi il 1978, i collaboratori, il contesto. La via editoriale all'uomo del pontificato: aperta, citabile, datata.</w:t>
      </w:r>
    </w:p>
    <w:p>
      <w:pPr>
        <w:spacing w:after="120" w:line="276"/>
        <w:jc w:val="both"/>
      </w:pPr>
      <w:r>
        <w:rPr>
          <w:rFonts w:ascii="Barlow Semi Condensed" w:cs="Barlow Semi Condensed" w:eastAsia="Barlow Semi Condensed" w:hAnsi="Barlow Semi Condensed"/>
          <w:b/>
          <w:bCs/>
          <w:sz w:val="24"/>
          <w:szCs w:val="24"/>
        </w:rPr>
        <w:t xml:space="preserve">138 · Gli inediti dichiarati.</w:t>
      </w:r>
      <w:r>
        <w:rPr>
          <w:rFonts w:ascii="Barlow Semi Condensed" w:cs="Barlow Semi Condensed" w:eastAsia="Barlow Semi Condensed" w:hAnsi="Barlow Semi Condensed"/>
          <w:sz w:val="24"/>
          <w:szCs w:val="24"/>
        </w:rPr>
        <w:t xml:space="preserve"> Le pubblicazioni recenti che rivendicano inediti montiniani sui 55 giorni: per ciascuna, l'accertamento della provenienza archivistica dichiarata — quale archivio, quale fondo, quale regola d'accesso. Un inedito senza provenienza verificabile entra come C; con provenienza, la provenienza stessa diventa un varco censito.</w:t>
      </w:r>
    </w:p>
    <w:p>
      <w:pPr>
        <w:spacing w:after="120" w:line="276"/>
        <w:jc w:val="both"/>
      </w:pPr>
      <w:r>
        <w:rPr>
          <w:rFonts w:ascii="Barlow Semi Condensed" w:cs="Barlow Semi Condensed" w:eastAsia="Barlow Semi Condensed" w:hAnsi="Barlow Semi Condensed"/>
          <w:b/>
          <w:bCs/>
          <w:sz w:val="24"/>
          <w:szCs w:val="24"/>
        </w:rPr>
        <w:t xml:space="preserve">139 · La diocesi di Milano.</w:t>
      </w:r>
      <w:r>
        <w:rPr>
          <w:rFonts w:ascii="Barlow Semi Condensed" w:cs="Barlow Semi Condensed" w:eastAsia="Barlow Semi Condensed" w:hAnsi="Barlow Semi Condensed"/>
          <w:sz w:val="24"/>
          <w:szCs w:val="24"/>
        </w:rPr>
        <w:t xml:space="preserve"> Gli archivi diocesani milanesi per gli anni di Curioni (il cappellano veniva dal sistema lombardo) e per la rete montiniana: fascicoli personali del clero, corrispondenze, nomine. La via diocesana è ordinaria e documentale: si chiede all'archivio storico diocesano, con le regole sue.</w:t>
      </w:r>
    </w:p>
    <w:p>
      <w:pPr>
        <w:spacing w:after="120" w:line="276"/>
        <w:jc w:val="both"/>
      </w:pPr>
      <w:r>
        <w:rPr>
          <w:rFonts w:ascii="Barlow Semi Condensed" w:cs="Barlow Semi Condensed" w:eastAsia="Barlow Semi Condensed" w:hAnsi="Barlow Semi Condensed"/>
          <w:b/>
          <w:bCs/>
          <w:sz w:val="24"/>
          <w:szCs w:val="24"/>
        </w:rPr>
        <w:t xml:space="preserve">140 · Il vicariato di Roma.</w:t>
      </w:r>
      <w:r>
        <w:rPr>
          <w:rFonts w:ascii="Barlow Semi Condensed" w:cs="Barlow Semi Condensed" w:eastAsia="Barlow Semi Condensed" w:hAnsi="Barlow Semi Condensed"/>
          <w:sz w:val="24"/>
          <w:szCs w:val="24"/>
        </w:rPr>
        <w:t xml:space="preserve"> Gli archivi del vicariato per il 1978: le parrocchie dei luoghi del caso, le nomine, gli atti del clero romano nei 55 giorni. La Chiesa di Roma visse il caso nelle sue strade: la sua carta amministrativa è un giacimento locale mai spogliato con questa griglia.</w:t>
      </w:r>
    </w:p>
    <w:p>
      <w:pPr>
        <w:spacing w:after="120" w:line="276"/>
        <w:jc w:val="both"/>
      </w:pPr>
      <w:r>
        <w:rPr>
          <w:rFonts w:ascii="Barlow Semi Condensed" w:cs="Barlow Semi Condensed" w:eastAsia="Barlow Semi Condensed" w:hAnsi="Barlow Semi Condensed"/>
          <w:b/>
          <w:bCs/>
          <w:sz w:val="24"/>
          <w:szCs w:val="24"/>
        </w:rPr>
        <w:t xml:space="preserve">141 · Le parrocchie dei luoghi.</w:t>
      </w:r>
      <w:r>
        <w:rPr>
          <w:rFonts w:ascii="Barlow Semi Condensed" w:cs="Barlow Semi Condensed" w:eastAsia="Barlow Semi Condensed" w:hAnsi="Barlow Semi Condensed"/>
          <w:sz w:val="24"/>
          <w:szCs w:val="24"/>
        </w:rPr>
        <w:t xml:space="preserve"> Gli archivi parrocchiali intorno a via Fani, via Gradoli, via Montalcini e via Caetani: cronache parrocchiali, registri, annotazioni dei parroci del 1978. La microfonte ecclesiastica: bassa probabilità, costo minimo, e il genere documentale — la cronaca parrocchiale — è datato e locale per costruzione.</w:t>
      </w:r>
    </w:p>
    <w:p>
      <w:pPr>
        <w:spacing w:after="120" w:line="276"/>
        <w:jc w:val="both"/>
      </w:pPr>
      <w:r>
        <w:rPr>
          <w:rFonts w:ascii="Barlow Semi Condensed" w:cs="Barlow Semi Condensed" w:eastAsia="Barlow Semi Condensed" w:hAnsi="Barlow Semi Condensed"/>
          <w:b/>
          <w:bCs/>
          <w:sz w:val="24"/>
          <w:szCs w:val="24"/>
        </w:rPr>
        <w:t xml:space="preserve">142 · La CEI e le sue carte.</w:t>
      </w:r>
      <w:r>
        <w:rPr>
          <w:rFonts w:ascii="Barlow Semi Condensed" w:cs="Barlow Semi Condensed" w:eastAsia="Barlow Semi Condensed" w:hAnsi="Barlow Semi Condensed"/>
          <w:sz w:val="24"/>
          <w:szCs w:val="24"/>
        </w:rPr>
        <w:t xml:space="preserve"> L'archivio storico della Conferenza episcopale italiana: l'accertamento della sua consultabilità e delle serie del 1978 — la presidenza, la segreteria, i comunicati dei 55 giorni. La voce collettiva dei vescovi italiani sul caso: che cosa disse, che cosa scrisse, che cosa conserva.</w:t>
      </w:r>
    </w:p>
    <w:p>
      <w:pPr>
        <w:spacing w:after="120" w:line="276"/>
        <w:jc w:val="both"/>
      </w:pPr>
      <w:r>
        <w:rPr>
          <w:rFonts w:ascii="Barlow Semi Condensed" w:cs="Barlow Semi Condensed" w:eastAsia="Barlow Semi Condensed" w:hAnsi="Barlow Semi Condensed"/>
          <w:b/>
          <w:bCs/>
          <w:sz w:val="24"/>
          <w:szCs w:val="24"/>
        </w:rPr>
        <w:t xml:space="preserve">143 · La nunziatura in Italia.</w:t>
      </w:r>
      <w:r>
        <w:rPr>
          <w:rFonts w:ascii="Barlow Semi Condensed" w:cs="Barlow Semi Condensed" w:eastAsia="Barlow Semi Condensed" w:hAnsi="Barlow Semi Condensed"/>
          <w:sz w:val="24"/>
          <w:szCs w:val="24"/>
        </w:rPr>
        <w:t xml:space="preserve"> Le carte della nunziatura apostolica in Italia: dove versate e con quali regole (il fondo segue l'archivio vaticano e la sua chiusura, ma l'accertamento va fatto). Il canale Stato-Chiesa istituzionale del 1978 passava di lì: sapere dove giace la sua carta è un bersaglio in sé.</w:t>
      </w:r>
    </w:p>
    <w:p>
      <w:pPr>
        <w:spacing w:after="120" w:line="276"/>
        <w:jc w:val="both"/>
      </w:pPr>
      <w:r>
        <w:rPr>
          <w:rFonts w:ascii="Barlow Semi Condensed" w:cs="Barlow Semi Condensed" w:eastAsia="Barlow Semi Condensed" w:hAnsi="Barlow Semi Condensed"/>
          <w:b/>
          <w:bCs/>
          <w:sz w:val="24"/>
          <w:szCs w:val="24"/>
        </w:rPr>
        <w:t xml:space="preserve">144 · Gli ordini religiosi.</w:t>
      </w:r>
      <w:r>
        <w:rPr>
          <w:rFonts w:ascii="Barlow Semi Condensed" w:cs="Barlow Semi Condensed" w:eastAsia="Barlow Semi Condensed" w:hAnsi="Barlow Semi Condensed"/>
          <w:sz w:val="24"/>
          <w:szCs w:val="24"/>
        </w:rPr>
        <w:t xml:space="preserve"> Gli archivi generalizi degli ordini toccati dal caso — per le case religiose dei luoghi, per i cappellani, per le figure coinvolte nella mediazione: censimento e regole d'accesso. Ogni ordine è un archivio autonomo con una propria autorità: la mappa prima delle richieste.</w:t>
      </w:r>
    </w:p>
    <w:p>
      <w:pPr>
        <w:spacing w:after="120" w:line="276"/>
        <w:jc w:val="both"/>
      </w:pPr>
      <w:r>
        <w:rPr>
          <w:rFonts w:ascii="Barlow Semi Condensed" w:cs="Barlow Semi Condensed" w:eastAsia="Barlow Semi Condensed" w:hAnsi="Barlow Semi Condensed"/>
          <w:b/>
          <w:bCs/>
          <w:sz w:val="24"/>
          <w:szCs w:val="24"/>
        </w:rPr>
        <w:t xml:space="preserve">145 · I gesuiti e la rivista.</w:t>
      </w:r>
      <w:r>
        <w:rPr>
          <w:rFonts w:ascii="Barlow Semi Condensed" w:cs="Barlow Semi Condensed" w:eastAsia="Barlow Semi Condensed" w:hAnsi="Barlow Semi Condensed"/>
          <w:sz w:val="24"/>
          <w:szCs w:val="24"/>
        </w:rPr>
        <w:t xml:space="preserve"> L'archivio della Civiltà Cattolica e della Provincia italiana dei gesuiti per il 1978: i retroscena redazionali della voce ufficiosa, le corrispondenze con la Segreteria di Stato dove documentate. Il giornale dei gesuiti scriveva col Vaticano alle spalle: la sua cucina redazionale è storia della comunicazione vaticana del caso.</w:t>
      </w:r>
    </w:p>
    <w:p>
      <w:pPr>
        <w:spacing w:after="120" w:line="276"/>
        <w:jc w:val="both"/>
      </w:pPr>
      <w:r>
        <w:rPr>
          <w:rFonts w:ascii="Barlow Semi Condensed" w:cs="Barlow Semi Condensed" w:eastAsia="Barlow Semi Condensed" w:hAnsi="Barlow Semi Condensed"/>
          <w:b/>
          <w:bCs/>
          <w:sz w:val="24"/>
          <w:szCs w:val="24"/>
        </w:rPr>
        <w:t xml:space="preserve">146 · Caritas e le opere.</w:t>
      </w:r>
      <w:r>
        <w:rPr>
          <w:rFonts w:ascii="Barlow Semi Condensed" w:cs="Barlow Semi Condensed" w:eastAsia="Barlow Semi Condensed" w:hAnsi="Barlow Semi Condensed"/>
          <w:sz w:val="24"/>
          <w:szCs w:val="24"/>
        </w:rPr>
        <w:t xml:space="preserve"> Gli archivi delle opere assistenziali ecclesiali romane del 1978 — per i registri di ciò che si mosse nei 55 giorni intorno alle famiglie coinvolte e alle iniziative di preghiera e solidarietà: microfonti di contesto, censite non per curiosità ma per la cronologia dei gesti pubblici della Chiesa.</w:t>
      </w:r>
    </w:p>
    <w:p>
      <w:pPr>
        <w:spacing w:after="120" w:line="276"/>
        <w:jc w:val="both"/>
      </w:pPr>
      <w:r>
        <w:rPr>
          <w:rFonts w:ascii="Barlow Semi Condensed" w:cs="Barlow Semi Condensed" w:eastAsia="Barlow Semi Condensed" w:hAnsi="Barlow Semi Condensed"/>
          <w:b/>
          <w:bCs/>
          <w:sz w:val="24"/>
          <w:szCs w:val="24"/>
        </w:rPr>
        <w:t xml:space="preserve">147 · I seminari e le facoltà.</w:t>
      </w:r>
      <w:r>
        <w:rPr>
          <w:rFonts w:ascii="Barlow Semi Condensed" w:cs="Barlow Semi Condensed" w:eastAsia="Barlow Semi Condensed" w:hAnsi="Barlow Semi Condensed"/>
          <w:sz w:val="24"/>
          <w:szCs w:val="24"/>
        </w:rPr>
        <w:t xml:space="preserve"> Gli archivi delle università pontificie e dei seminari romani per il 1978: cronache, annuari, atti accademici che registrino il caso. La Chiesa accademica romana come osservatore datato: un altro anello della cronologia ecclesiale pubblica.</w:t>
      </w:r>
    </w:p>
    <w:p>
      <w:pPr>
        <w:spacing w:after="120" w:line="276"/>
        <w:jc w:val="both"/>
      </w:pPr>
      <w:r>
        <w:rPr>
          <w:rFonts w:ascii="Barlow Semi Condensed" w:cs="Barlow Semi Condensed" w:eastAsia="Barlow Semi Condensed" w:hAnsi="Barlow Semi Condensed"/>
          <w:b/>
          <w:bCs/>
          <w:sz w:val="24"/>
          <w:szCs w:val="24"/>
        </w:rPr>
        <w:t xml:space="preserve">148 · Le carte dei cardinali.</w:t>
      </w:r>
      <w:r>
        <w:rPr>
          <w:rFonts w:ascii="Barlow Semi Condensed" w:cs="Barlow Semi Condensed" w:eastAsia="Barlow Semi Condensed" w:hAnsi="Barlow Semi Condensed"/>
          <w:sz w:val="24"/>
          <w:szCs w:val="24"/>
        </w:rPr>
        <w:t xml:space="preserve"> I fondi personali dei cardinali protagonisti del 1978 — il vicario Poletti, il segretario di Stato Villot, i collaboratori di curia: l'accertamento di dove giacciano le loro carte (diocesi, famiglie, istituti) e di che cosa sia consultabile. La regola dei fondi privati dell'agenda, applicata alla porpora.</w:t>
      </w:r>
    </w:p>
    <w:p>
      <w:pPr>
        <w:spacing w:after="120" w:line="276"/>
        <w:jc w:val="both"/>
      </w:pPr>
      <w:r>
        <w:rPr>
          <w:rFonts w:ascii="Barlow Semi Condensed" w:cs="Barlow Semi Condensed" w:eastAsia="Barlow Semi Condensed" w:hAnsi="Barlow Semi Condensed"/>
          <w:b/>
          <w:bCs/>
          <w:sz w:val="24"/>
          <w:szCs w:val="24"/>
        </w:rPr>
        <w:t xml:space="preserve">149 · Le memorie ecclesiastiche edite.</w:t>
      </w:r>
      <w:r>
        <w:rPr>
          <w:rFonts w:ascii="Barlow Semi Condensed" w:cs="Barlow Semi Condensed" w:eastAsia="Barlow Semi Condensed" w:hAnsi="Barlow Semi Condensed"/>
          <w:sz w:val="24"/>
          <w:szCs w:val="24"/>
        </w:rPr>
        <w:t xml:space="preserve"> Lo spoglio delle memorie e dei diari editi degli ecclesiastici del periodo — segretari, cerimonieri, collaboratori: le pagine dei 55 giorni, collazionate con le fonti pubbliche coeve. La memorialistica di curia si tratta come ogni memorialistica: voce datata, grado C, riscontro cercato.</w:t>
      </w:r>
    </w:p>
    <w:p>
      <w:pPr>
        <w:spacing w:after="120" w:line="276"/>
        <w:jc w:val="both"/>
      </w:pPr>
      <w:r>
        <w:rPr>
          <w:rFonts w:ascii="Barlow Semi Condensed" w:cs="Barlow Semi Condensed" w:eastAsia="Barlow Semi Condensed" w:hAnsi="Barlow Semi Condensed"/>
          <w:b/>
          <w:bCs/>
          <w:sz w:val="24"/>
          <w:szCs w:val="24"/>
        </w:rPr>
        <w:t xml:space="preserve">150 · Don Mennini.</w:t>
      </w:r>
      <w:r>
        <w:rPr>
          <w:rFonts w:ascii="Barlow Semi Condensed" w:cs="Barlow Semi Condensed" w:eastAsia="Barlow Semi Condensed" w:hAnsi="Barlow Semi Condensed"/>
          <w:sz w:val="24"/>
          <w:szCs w:val="24"/>
        </w:rPr>
        <w:t xml:space="preserve"> Le testimonianze pubbliche e gli atti che documentano il ruolo di don Antonello Mennini (il confessore che ricevette le lettere): le audizioni parlamentari, le dichiarazioni, i riscontri. Il canale delle lettere ha un tratto ecclesiastico documentato: il suo perimetro d'atti è un bersaglio del quesito 9.</w:t>
      </w:r>
    </w:p>
    <w:p>
      <w:pPr>
        <w:spacing w:after="120" w:line="276"/>
        <w:jc w:val="both"/>
      </w:pPr>
      <w:r>
        <w:rPr>
          <w:rFonts w:ascii="Barlow Semi Condensed" w:cs="Barlow Semi Condensed" w:eastAsia="Barlow Semi Condensed" w:hAnsi="Barlow Semi Condensed"/>
          <w:b/>
          <w:bCs/>
          <w:sz w:val="24"/>
          <w:szCs w:val="24"/>
        </w:rPr>
        <w:t xml:space="preserve">151 · I confessori e il segreto.</w:t>
      </w:r>
      <w:r>
        <w:rPr>
          <w:rFonts w:ascii="Barlow Semi Condensed" w:cs="Barlow Semi Condensed" w:eastAsia="Barlow Semi Condensed" w:hAnsi="Barlow Semi Condensed"/>
          <w:sz w:val="24"/>
          <w:szCs w:val="24"/>
        </w:rPr>
        <w:t xml:space="preserve"> La regola dichiarata del cantiere sui ministri del sacramento: ciò che è coperto dal sigillo non si chiede, mai; ciò che i protagonisti hanno già detto in sedi pubbliche (audizioni, interviste) si censisce e si collaziona. Il limite è parte del metodo — e si scrive prima, per non doverlo negoziare poi.</w:t>
      </w:r>
    </w:p>
    <w:p>
      <w:pPr>
        <w:spacing w:after="120" w:line="276"/>
        <w:jc w:val="both"/>
      </w:pPr>
      <w:r>
        <w:rPr>
          <w:rFonts w:ascii="Barlow Semi Condensed" w:cs="Barlow Semi Condensed" w:eastAsia="Barlow Semi Condensed" w:hAnsi="Barlow Semi Condensed"/>
          <w:b/>
          <w:bCs/>
          <w:sz w:val="24"/>
          <w:szCs w:val="24"/>
        </w:rPr>
        <w:t xml:space="preserve">152 · Le suore e i testimoni minori.</w:t>
      </w:r>
      <w:r>
        <w:rPr>
          <w:rFonts w:ascii="Barlow Semi Condensed" w:cs="Barlow Semi Condensed" w:eastAsia="Barlow Semi Condensed" w:hAnsi="Barlow Semi Condensed"/>
          <w:sz w:val="24"/>
          <w:szCs w:val="24"/>
        </w:rPr>
        <w:t xml:space="preserve"> Le testimonianze del personale religioso dei luoghi — le comunità religiose di via Camilluccia e dei quartieri del caso: raccolta conservativa dove i testimoni vivono, censimento delle testimonianze già rese altrove. La microstoria religiosa dei luoghi, con le regole della serie quinta dell'agenda.</w:t>
      </w:r>
    </w:p>
    <w:p>
      <w:pPr>
        <w:spacing w:after="120" w:line="276"/>
        <w:jc w:val="both"/>
      </w:pPr>
      <w:r>
        <w:rPr>
          <w:rFonts w:ascii="Barlow Semi Condensed" w:cs="Barlow Semi Condensed" w:eastAsia="Barlow Semi Condensed" w:hAnsi="Barlow Semi Condensed"/>
          <w:b/>
          <w:bCs/>
          <w:sz w:val="24"/>
          <w:szCs w:val="24"/>
        </w:rPr>
        <w:t xml:space="preserve">153 · Il clero delle carceri, in generale.</w:t>
      </w:r>
      <w:r>
        <w:rPr>
          <w:rFonts w:ascii="Barlow Semi Condensed" w:cs="Barlow Semi Condensed" w:eastAsia="Barlow Semi Condensed" w:hAnsi="Barlow Semi Condensed"/>
          <w:sz w:val="24"/>
          <w:szCs w:val="24"/>
        </w:rPr>
        <w:t xml:space="preserve"> La cappellania penitenziaria italiana del 1978 come istituzione: ordinamento, dipendenze, registri propri. Prima di cercare le carte di un cappellano, il cantiere ricostruisce come la cappellania funzionava e che carta produceva per regola: l'istituzione spiega dove cercare l'uomo.</w:t>
      </w:r>
    </w:p>
    <w:p>
      <w:pPr>
        <w:spacing w:after="120" w:line="276"/>
        <w:jc w:val="both"/>
      </w:pPr>
      <w:r>
        <w:rPr>
          <w:rFonts w:ascii="Barlow Semi Condensed" w:cs="Barlow Semi Condensed" w:eastAsia="Barlow Semi Condensed" w:hAnsi="Barlow Semi Condensed"/>
          <w:b/>
          <w:bCs/>
          <w:sz w:val="24"/>
          <w:szCs w:val="24"/>
        </w:rPr>
        <w:t xml:space="preserve">154 · L'ispettorato dei cappellani.</w:t>
      </w:r>
      <w:r>
        <w:rPr>
          <w:rFonts w:ascii="Barlow Semi Condensed" w:cs="Barlow Semi Condensed" w:eastAsia="Barlow Semi Condensed" w:hAnsi="Barlow Semi Condensed"/>
          <w:sz w:val="24"/>
          <w:szCs w:val="24"/>
        </w:rPr>
        <w:t xml:space="preserve"> L'ufficio dell'ispettore generale dei cappellani delle carceri — l'ufficio di Curioni: la sua collocazione amministrativa, i suoi archivi, il suo rapporto col Ministero (la cappellania era anche un ufficio dello Stato). Il bersaglio a doppia entrata: la carta ecclesiastica e quella ministeriale dello stesso ufficio.</w:t>
      </w:r>
    </w:p>
    <w:p>
      <w:pPr>
        <w:spacing w:after="120" w:line="276"/>
        <w:jc w:val="both"/>
      </w:pPr>
      <w:r>
        <w:rPr>
          <w:rFonts w:ascii="Barlow Semi Condensed" w:cs="Barlow Semi Condensed" w:eastAsia="Barlow Semi Condensed" w:hAnsi="Barlow Semi Condensed"/>
          <w:b/>
          <w:bCs/>
          <w:sz w:val="24"/>
          <w:szCs w:val="24"/>
        </w:rPr>
        <w:t xml:space="preserve">155 · San Vittore e le case dei colloqui.</w:t>
      </w:r>
      <w:r>
        <w:rPr>
          <w:rFonts w:ascii="Barlow Semi Condensed" w:cs="Barlow Semi Condensed" w:eastAsia="Barlow Semi Condensed" w:hAnsi="Barlow Semi Condensed"/>
          <w:sz w:val="24"/>
          <w:szCs w:val="24"/>
        </w:rPr>
        <w:t xml:space="preserve"> Gli archivi degli istituti penitenziari dei colloqui del 1978 (il raccordo col blocco 242 dell'agenda): registri d'ingresso, autorizzazioni, annotazioni delle direzioni. La via civile ai fatti del canale ecclesiastico: i registri dello Stato documentano i movimenti che le carte di Chiesa non mostrano.</w:t>
      </w:r>
    </w:p>
    <w:p>
      <w:pPr>
        <w:spacing w:after="120" w:line="276"/>
        <w:jc w:val="both"/>
      </w:pPr>
      <w:r>
        <w:rPr>
          <w:rFonts w:ascii="Barlow Semi Condensed" w:cs="Barlow Semi Condensed" w:eastAsia="Barlow Semi Condensed" w:hAnsi="Barlow Semi Condensed"/>
          <w:b/>
          <w:bCs/>
          <w:sz w:val="24"/>
          <w:szCs w:val="24"/>
        </w:rPr>
        <w:t xml:space="preserve">156 · Le lettere dei detenuti.</w:t>
      </w:r>
      <w:r>
        <w:rPr>
          <w:rFonts w:ascii="Barlow Semi Condensed" w:cs="Barlow Semi Condensed" w:eastAsia="Barlow Semi Condensed" w:hAnsi="Barlow Semi Condensed"/>
          <w:sz w:val="24"/>
          <w:szCs w:val="24"/>
        </w:rPr>
        <w:t xml:space="preserve"> La corrispondenza censurata dei detenuti BR del 1978 negli archivi penitenziari: che cosa la censura registrò nei 55 giorni, nei limiti di legge sulla riservatezza. Un giacimento seriale civile che tocca il cantiere ecclesiastico dove i canali passavano per le carceri.</w:t>
      </w:r>
    </w:p>
    <w:p>
      <w:pPr>
        <w:spacing w:after="120" w:line="276"/>
        <w:jc w:val="both"/>
      </w:pPr>
      <w:r>
        <w:rPr>
          <w:rFonts w:ascii="Barlow Semi Condensed" w:cs="Barlow Semi Condensed" w:eastAsia="Barlow Semi Condensed" w:hAnsi="Barlow Semi Condensed"/>
          <w:b/>
          <w:bCs/>
          <w:sz w:val="24"/>
          <w:szCs w:val="24"/>
        </w:rPr>
        <w:t xml:space="preserve">157 · Il capitolo Macchi.</w:t>
      </w:r>
      <w:r>
        <w:rPr>
          <w:rFonts w:ascii="Barlow Semi Condensed" w:cs="Barlow Semi Condensed" w:eastAsia="Barlow Semi Condensed" w:hAnsi="Barlow Semi Condensed"/>
          <w:sz w:val="24"/>
          <w:szCs w:val="24"/>
        </w:rPr>
        <w:t xml:space="preserve"> Le carte e le testimonianze su mons. Pasquale Macchi, il segretario particolare di Paolo VI: dove giacciono le sue carte, che cosa ha lasciato di scritto sui 55 giorni, che cosa le audizioni e la filologia delle lettere (il dettato documentato nella scheda PE-4 del corpus) già stabiliscono. Il segretario è la cerniera fra l'uomo e l'istituzione: la sua carta è un bersaglio primario.</w:t>
      </w:r>
    </w:p>
    <w:p>
      <w:pPr>
        <w:spacing w:after="120" w:line="276"/>
        <w:jc w:val="both"/>
      </w:pPr>
      <w:r>
        <w:rPr>
          <w:rFonts w:ascii="Barlow Semi Condensed" w:cs="Barlow Semi Condensed" w:eastAsia="Barlow Semi Condensed" w:hAnsi="Barlow Semi Condensed"/>
          <w:b/>
          <w:bCs/>
          <w:sz w:val="24"/>
          <w:szCs w:val="24"/>
        </w:rPr>
        <w:t xml:space="preserve">158 · La rete montiniana bresciana.</w:t>
      </w:r>
      <w:r>
        <w:rPr>
          <w:rFonts w:ascii="Barlow Semi Condensed" w:cs="Barlow Semi Condensed" w:eastAsia="Barlow Semi Condensed" w:hAnsi="Barlow Semi Condensed"/>
          <w:sz w:val="24"/>
          <w:szCs w:val="24"/>
        </w:rPr>
        <w:t xml:space="preserve"> Gli archivi bresciani della rete montiniana — famiglia, amici, corrispondenti storici del Papa: censimento dei fondi (in parte all'Istituto di Concesio) e delle serie del 1978. L'uomo Montini scriveva ai suoi: le lettere private dei 55 giorni, dove esistono e dove i depositari acconsentano, sono la voce non ufficiale del Papa.</w:t>
      </w:r>
    </w:p>
    <w:p>
      <w:pPr>
        <w:spacing w:after="120" w:line="276"/>
        <w:jc w:val="both"/>
      </w:pPr>
      <w:r>
        <w:rPr>
          <w:rFonts w:ascii="Barlow Semi Condensed" w:cs="Barlow Semi Condensed" w:eastAsia="Barlow Semi Condensed" w:hAnsi="Barlow Semi Condensed"/>
          <w:b/>
          <w:bCs/>
          <w:sz w:val="24"/>
          <w:szCs w:val="24"/>
        </w:rPr>
        <w:t xml:space="preserve">159 · La stampa cattolica italiana.</w:t>
      </w:r>
      <w:r>
        <w:rPr>
          <w:rFonts w:ascii="Barlow Semi Condensed" w:cs="Barlow Semi Condensed" w:eastAsia="Barlow Semi Condensed" w:hAnsi="Barlow Semi Condensed"/>
          <w:sz w:val="24"/>
          <w:szCs w:val="24"/>
        </w:rPr>
        <w:t xml:space="preserve"> Avvenire e la stampa diocesana dei 55 giorni: lo spoglio datato della voce cattolica italiana, distinta da quella vaticana. Due voci, due spogli: le differenze fra L'Osservatore e Avvenire, giorno per giorno, sono esse stesse un documento sulla dialettica interna.</w:t>
      </w:r>
    </w:p>
    <w:p>
      <w:pPr>
        <w:spacing w:after="120" w:line="276"/>
        <w:jc w:val="both"/>
      </w:pPr>
      <w:r>
        <w:rPr>
          <w:rFonts w:ascii="Barlow Semi Condensed" w:cs="Barlow Semi Condensed" w:eastAsia="Barlow Semi Condensed" w:hAnsi="Barlow Semi Condensed"/>
          <w:b/>
          <w:bCs/>
          <w:sz w:val="24"/>
          <w:szCs w:val="24"/>
        </w:rPr>
        <w:t xml:space="preserve">160 · La tavola delle vie italiane.</w:t>
      </w:r>
      <w:r>
        <w:rPr>
          <w:rFonts w:ascii="Barlow Semi Condensed" w:cs="Barlow Semi Condensed" w:eastAsia="Barlow Semi Condensed" w:hAnsi="Barlow Semi Condensed"/>
          <w:sz w:val="24"/>
          <w:szCs w:val="24"/>
        </w:rPr>
        <w:t xml:space="preserve"> La chiusura della sezione: la tavola delle vie ecclesiastiche italiane — istituto per istituto, con stato d'accesso e di spoglio. Le cento porte laterali, censite: il cantiere non aspetta l'archivio chiuso, lavora tutto il resto.</w:t>
      </w:r>
    </w:p>
    <w:p>
      <w:pPr>
        <w:pStyle w:val="Heading3"/>
        <w:spacing w:after="80" w:before="160"/>
      </w:pPr>
      <w:r>
        <w:rPr>
          <w:rFonts w:ascii="Barlow Semi Condensed" w:cs="Barlow Semi Condensed" w:eastAsia="Barlow Semi Condensed" w:hAnsi="Barlow Semi Condensed"/>
          <w:sz w:val="24"/>
          <w:szCs w:val="24"/>
        </w:rPr>
        <w:t xml:space="preserve">Il canale del cappellano (blocchi 161-180)</w:t>
      </w:r>
    </w:p>
    <w:p>
      <w:pPr>
        <w:spacing w:after="120" w:line="276"/>
        <w:jc w:val="both"/>
      </w:pPr>
      <w:r>
        <w:rPr>
          <w:rFonts w:ascii="Barlow Semi Condensed" w:cs="Barlow Semi Condensed" w:eastAsia="Barlow Semi Condensed" w:hAnsi="Barlow Semi Condensed"/>
          <w:b/>
          <w:bCs/>
          <w:sz w:val="24"/>
          <w:szCs w:val="24"/>
        </w:rPr>
        <w:t xml:space="preserve">161 · L'incarico accertato.</w:t>
      </w:r>
      <w:r>
        <w:rPr>
          <w:rFonts w:ascii="Barlow Semi Condensed" w:cs="Barlow Semi Condensed" w:eastAsia="Barlow Semi Condensed" w:hAnsi="Barlow Semi Condensed"/>
          <w:sz w:val="24"/>
          <w:szCs w:val="24"/>
        </w:rPr>
        <w:t xml:space="preserve"> Il pavimento documentale del cantiere: la relazione conclusiva della Commissione Moro 2 (approvata il 6 dicembre 2017, Doc. XXIII n. 29) accerta che Paolo VI incaricò mons. Cesare Curioni di attivare canali verso le Brigate rosse e che la Santa Sede predispose una disponibilità economica ingente. Da qui — da un atto parlamentare, non da una voce — parte tutto il resto.</w:t>
      </w:r>
    </w:p>
    <w:p>
      <w:pPr>
        <w:spacing w:after="120" w:line="276"/>
        <w:jc w:val="both"/>
      </w:pPr>
      <w:r>
        <w:rPr>
          <w:rFonts w:ascii="Barlow Semi Condensed" w:cs="Barlow Semi Condensed" w:eastAsia="Barlow Semi Condensed" w:hAnsi="Barlow Semi Condensed"/>
          <w:b/>
          <w:bCs/>
          <w:sz w:val="24"/>
          <w:szCs w:val="24"/>
        </w:rPr>
        <w:t xml:space="preserve">162 · La biografia da fissare.</w:t>
      </w:r>
      <w:r>
        <w:rPr>
          <w:rFonts w:ascii="Barlow Semi Condensed" w:cs="Barlow Semi Condensed" w:eastAsia="Barlow Semi Condensed" w:hAnsi="Barlow Semi Condensed"/>
          <w:sz w:val="24"/>
          <w:szCs w:val="24"/>
        </w:rPr>
        <w:t xml:space="preserve"> Le date certe di Cesare Curioni (nato ad Asso nel 1923, morto ad Asso il 12 gennaio 1996; cappellano di San Vittore dal 1° febbraio 1948, poi cappellano capo per oltre trent'anni, infine ispettore generale dei cappellani delle carceri): la scheda biografica documentata, fonte per fonte, col giorno di nascita ancora da fissare su fonte anagrafica. La regola prosopografica del corpus: prima l'anagrafe, poi le domande.</w:t>
      </w:r>
    </w:p>
    <w:p>
      <w:pPr>
        <w:spacing w:after="120" w:line="276"/>
        <w:jc w:val="both"/>
      </w:pPr>
      <w:r>
        <w:rPr>
          <w:rFonts w:ascii="Barlow Semi Condensed" w:cs="Barlow Semi Condensed" w:eastAsia="Barlow Semi Condensed" w:hAnsi="Barlow Semi Condensed"/>
          <w:b/>
          <w:bCs/>
          <w:sz w:val="24"/>
          <w:szCs w:val="24"/>
        </w:rPr>
        <w:t xml:space="preserve">163 · Il fondo che non risulta.</w:t>
      </w:r>
      <w:r>
        <w:rPr>
          <w:rFonts w:ascii="Barlow Semi Condensed" w:cs="Barlow Semi Condensed" w:eastAsia="Barlow Semi Condensed" w:hAnsi="Barlow Semi Condensed"/>
          <w:sz w:val="24"/>
          <w:szCs w:val="24"/>
        </w:rPr>
        <w:t xml:space="preserve"> L'esito verificato della prima ricerca: un fondo archivistico personale pubblico di Curioni non è censito. Il bersaglio diventa sistematico: famiglia, diocesi d'origine, cappellania, ordini vicini — la caccia al lascito documentale dell'uomo che portò gli incarichi più delicati dei 55 giorni, con proposta di deposito se il lascito esiste.</w:t>
      </w:r>
    </w:p>
    <w:p>
      <w:pPr>
        <w:spacing w:after="120" w:line="276"/>
        <w:jc w:val="both"/>
      </w:pPr>
      <w:r>
        <w:rPr>
          <w:rFonts w:ascii="Barlow Semi Condensed" w:cs="Barlow Semi Condensed" w:eastAsia="Barlow Semi Condensed" w:hAnsi="Barlow Semi Condensed"/>
          <w:b/>
          <w:bCs/>
          <w:sz w:val="24"/>
          <w:szCs w:val="24"/>
        </w:rPr>
        <w:t xml:space="preserve">164 · Le carte su di lui.</w:t>
      </w:r>
      <w:r>
        <w:rPr>
          <w:rFonts w:ascii="Barlow Semi Condensed" w:cs="Barlow Semi Condensed" w:eastAsia="Barlow Semi Condensed" w:hAnsi="Barlow Semi Condensed"/>
          <w:sz w:val="24"/>
          <w:szCs w:val="24"/>
        </w:rPr>
        <w:t xml:space="preserve"> In assenza del fondo proprio, le carte SU Curioni: gli atti della Moro 2 (audizioni, documenti acquisiti), le carte ministeriali dell'ispettorato, i registri penitenziari dei suoi movimenti. Il ritratto documentale per fonti esterne — il metodo del corpus quando l'archivio dell'uomo manca.</w:t>
      </w:r>
    </w:p>
    <w:p>
      <w:pPr>
        <w:spacing w:after="120" w:line="276"/>
        <w:jc w:val="both"/>
      </w:pPr>
      <w:r>
        <w:rPr>
          <w:rFonts w:ascii="Barlow Semi Condensed" w:cs="Barlow Semi Condensed" w:eastAsia="Barlow Semi Condensed" w:hAnsi="Barlow Semi Condensed"/>
          <w:b/>
          <w:bCs/>
          <w:sz w:val="24"/>
          <w:szCs w:val="24"/>
        </w:rPr>
        <w:t xml:space="preserve">165 · Il collaboratore che parlò.</w:t>
      </w:r>
      <w:r>
        <w:rPr>
          <w:rFonts w:ascii="Barlow Semi Condensed" w:cs="Barlow Semi Condensed" w:eastAsia="Barlow Semi Condensed" w:hAnsi="Barlow Semi Condensed"/>
          <w:sz w:val="24"/>
          <w:szCs w:val="24"/>
        </w:rPr>
        <w:t xml:space="preserve"> Le dichiarazioni di mons. Fabio Fabbri (Scarperia 1942 - 2022, vice-ispettore dei cappellani e braccio destro di Curioni): il riserbo rotto nel 2004 con lo storico Satta, l'audizione pubblica alla Moro 2 del 4 febbraio 2016 (stenografico online) e l'ulteriore ascolto riferito dalle agenzie al dicembre 2017, alla vigilia della relazione conclusiva — la lettura filologica integrale, versione per versione. La voce va collazionata con le carte, frase per frase.</w:t>
      </w:r>
    </w:p>
    <w:p>
      <w:pPr>
        <w:spacing w:after="120" w:line="276"/>
        <w:jc w:val="both"/>
      </w:pPr>
      <w:r>
        <w:rPr>
          <w:rFonts w:ascii="Barlow Semi Condensed" w:cs="Barlow Semi Condensed" w:eastAsia="Barlow Semi Condensed" w:hAnsi="Barlow Semi Condensed"/>
          <w:b/>
          <w:bCs/>
          <w:sz w:val="24"/>
          <w:szCs w:val="24"/>
        </w:rPr>
        <w:t xml:space="preserve">166 · Le due versioni dei viaggi.</w:t>
      </w:r>
      <w:r>
        <w:rPr>
          <w:rFonts w:ascii="Barlow Semi Condensed" w:cs="Barlow Semi Condensed" w:eastAsia="Barlow Semi Condensed" w:hAnsi="Barlow Semi Condensed"/>
          <w:sz w:val="24"/>
          <w:szCs w:val="24"/>
        </w:rPr>
        <w:t xml:space="preserve"> La tavola comparata delle versioni sui movimenti di Curioni nei 55 giorni — i colloqui coi detenuti, l'interlocutore ignoto: che cosa dice ciascuna fonte (Fabbri, gli atti, le memorie edite), dove convergono, dove no. La matrice ACH del canale: ipotesi contro evidenze, con l'interlocutore ignoto come cella vuota dichiarata.</w:t>
      </w:r>
    </w:p>
    <w:p>
      <w:pPr>
        <w:spacing w:after="120" w:line="276"/>
        <w:jc w:val="both"/>
      </w:pPr>
      <w:r>
        <w:rPr>
          <w:rFonts w:ascii="Barlow Semi Condensed" w:cs="Barlow Semi Condensed" w:eastAsia="Barlow Semi Condensed" w:hAnsi="Barlow Semi Condensed"/>
          <w:b/>
          <w:bCs/>
          <w:sz w:val="24"/>
          <w:szCs w:val="24"/>
        </w:rPr>
        <w:t xml:space="preserve">167 · I colloqui in carcere, in carta.</w:t>
      </w:r>
      <w:r>
        <w:rPr>
          <w:rFonts w:ascii="Barlow Semi Condensed" w:cs="Barlow Semi Condensed" w:eastAsia="Barlow Semi Condensed" w:hAnsi="Barlow Semi Condensed"/>
          <w:sz w:val="24"/>
          <w:szCs w:val="24"/>
        </w:rPr>
        <w:t xml:space="preserve"> Il raccordo esecutivo col blocco 242 dell'agenda: i registri dei colloqui di Curioni e dei cappellani con i detenuti BR nel marzo-maggio 1978 — istituto per istituto, con date e autorizzazioni. La colonna civile del canale ecclesiastico: i movimenti documentati dallo Stato.</w:t>
      </w:r>
    </w:p>
    <w:p>
      <w:pPr>
        <w:spacing w:after="120" w:line="276"/>
        <w:jc w:val="both"/>
      </w:pPr>
      <w:r>
        <w:rPr>
          <w:rFonts w:ascii="Barlow Semi Condensed" w:cs="Barlow Semi Condensed" w:eastAsia="Barlow Semi Condensed" w:hAnsi="Barlow Semi Condensed"/>
          <w:b/>
          <w:bCs/>
          <w:sz w:val="24"/>
          <w:szCs w:val="24"/>
        </w:rPr>
        <w:t xml:space="preserve">168 · L'autorizzazione politica.</w:t>
      </w:r>
      <w:r>
        <w:rPr>
          <w:rFonts w:ascii="Barlow Semi Condensed" w:cs="Barlow Semi Condensed" w:eastAsia="Barlow Semi Condensed" w:hAnsi="Barlow Semi Condensed"/>
          <w:sz w:val="24"/>
          <w:szCs w:val="24"/>
        </w:rPr>
        <w:t xml:space="preserve"> Chi autorizzò i colloqui: gli atti del Ministero (grazia e giustizia) sull'accesso del cappellano ai detenuti politici nei 55 giorni — richieste, nulla osta, relazioni di ritorno. Se il canale funzionò nelle carceri dello Stato, lo Stato ne conservò la carta amministrativa: si cerca quella.</w:t>
      </w:r>
    </w:p>
    <w:p>
      <w:pPr>
        <w:spacing w:after="120" w:line="276"/>
        <w:jc w:val="both"/>
      </w:pPr>
      <w:r>
        <w:rPr>
          <w:rFonts w:ascii="Barlow Semi Condensed" w:cs="Barlow Semi Condensed" w:eastAsia="Barlow Semi Condensed" w:hAnsi="Barlow Semi Condensed"/>
          <w:b/>
          <w:bCs/>
          <w:sz w:val="24"/>
          <w:szCs w:val="24"/>
        </w:rPr>
        <w:t xml:space="preserve">169 · L'interlocutore ignoto.</w:t>
      </w:r>
      <w:r>
        <w:rPr>
          <w:rFonts w:ascii="Barlow Semi Condensed" w:cs="Barlow Semi Condensed" w:eastAsia="Barlow Semi Condensed" w:hAnsi="Barlow Semi Condensed"/>
          <w:sz w:val="24"/>
          <w:szCs w:val="24"/>
        </w:rPr>
        <w:t xml:space="preserve"> La cella vuota più importante del cantiere: l'interlocutore non identificato dei contatti riferiti. Il blocco fissa la disciplina — nessun nome per suggestione; si cercano solo gli atti che possano identificarlo (registri, annotazioni, riscontri di movimento) e si dichiara Stato Zero finché non emergano. La cella resta vuota finché un documento non la riempia.</w:t>
      </w:r>
    </w:p>
    <w:p>
      <w:pPr>
        <w:spacing w:after="120" w:line="276"/>
        <w:jc w:val="both"/>
      </w:pPr>
      <w:r>
        <w:rPr>
          <w:rFonts w:ascii="Barlow Semi Condensed" w:cs="Barlow Semi Condensed" w:eastAsia="Barlow Semi Condensed" w:hAnsi="Barlow Semi Condensed"/>
          <w:b/>
          <w:bCs/>
          <w:sz w:val="24"/>
          <w:szCs w:val="24"/>
        </w:rPr>
        <w:t xml:space="preserve">170 · I cappellani minori.</w:t>
      </w:r>
      <w:r>
        <w:rPr>
          <w:rFonts w:ascii="Barlow Semi Condensed" w:cs="Barlow Semi Condensed" w:eastAsia="Barlow Semi Condensed" w:hAnsi="Barlow Semi Condensed"/>
          <w:sz w:val="24"/>
          <w:szCs w:val="24"/>
        </w:rPr>
        <w:t xml:space="preserve"> I nomi dei cappellani trovati nei covi (il fatto documentato dalla scheda PE-4 del corpus): il perimetro esatto di quel ritrovamento — quali nomi, in quale covo, in quale verbale. Un fatto istruttorio preciso da fissare alla fonte, perché la pubblicistica lo ha gonfiato e la disciplina lo vuole nudo.</w:t>
      </w:r>
    </w:p>
    <w:p>
      <w:pPr>
        <w:spacing w:after="120" w:line="276"/>
        <w:jc w:val="both"/>
      </w:pPr>
      <w:r>
        <w:rPr>
          <w:rFonts w:ascii="Barlow Semi Condensed" w:cs="Barlow Semi Condensed" w:eastAsia="Barlow Semi Condensed" w:hAnsi="Barlow Semi Condensed"/>
          <w:b/>
          <w:bCs/>
          <w:sz w:val="24"/>
          <w:szCs w:val="24"/>
        </w:rPr>
        <w:t xml:space="preserve">171 · La rete penitenziaria come canale.</w:t>
      </w:r>
      <w:r>
        <w:rPr>
          <w:rFonts w:ascii="Barlow Semi Condensed" w:cs="Barlow Semi Condensed" w:eastAsia="Barlow Semi Condensed" w:hAnsi="Barlow Semi Condensed"/>
          <w:sz w:val="24"/>
          <w:szCs w:val="24"/>
        </w:rPr>
        <w:t xml:space="preserve"> L'ipotesi di lavoro documentale: il sistema dei cappellani come rete di comunicazione possibile fra Stato, Chiesa e detenuti — ricostruita per atti (nomine, sedi, movimenti) e non per suggestione. La rete si mappa; l'uso della rete si prova o si lascia congettura dichiarata.</w:t>
      </w:r>
    </w:p>
    <w:p>
      <w:pPr>
        <w:spacing w:after="120" w:line="276"/>
        <w:jc w:val="both"/>
      </w:pPr>
      <w:r>
        <w:rPr>
          <w:rFonts w:ascii="Barlow Semi Condensed" w:cs="Barlow Semi Condensed" w:eastAsia="Barlow Semi Condensed" w:hAnsi="Barlow Semi Condensed"/>
          <w:b/>
          <w:bCs/>
          <w:sz w:val="24"/>
          <w:szCs w:val="24"/>
        </w:rPr>
        <w:t xml:space="preserve">172 · Il Papa e il suo canale, in cronologia.</w:t>
      </w:r>
      <w:r>
        <w:rPr>
          <w:rFonts w:ascii="Barlow Semi Condensed" w:cs="Barlow Semi Condensed" w:eastAsia="Barlow Semi Condensed" w:hAnsi="Barlow Semi Condensed"/>
          <w:sz w:val="24"/>
          <w:szCs w:val="24"/>
        </w:rPr>
        <w:t xml:space="preserve"> La cronologia integrale del canale: dall'incarico (quando esattamente?) ai contatti riferiti, alla lettera pubblica del 21 aprile, alla morte. Ogni data da atto; le date mancanti come celle dichiarate. La cronologia del canale è il telaio su cui ogni futura carta vaticana si aggancerà.</w:t>
      </w:r>
    </w:p>
    <w:p>
      <w:pPr>
        <w:spacing w:after="120" w:line="276"/>
        <w:jc w:val="both"/>
      </w:pPr>
      <w:r>
        <w:rPr>
          <w:rFonts w:ascii="Barlow Semi Condensed" w:cs="Barlow Semi Condensed" w:eastAsia="Barlow Semi Condensed" w:hAnsi="Barlow Semi Condensed"/>
          <w:b/>
          <w:bCs/>
          <w:sz w:val="24"/>
          <w:szCs w:val="24"/>
        </w:rPr>
        <w:t xml:space="preserve">173 · Il rapporto col negoziato di Stato.</w:t>
      </w:r>
      <w:r>
        <w:rPr>
          <w:rFonts w:ascii="Barlow Semi Condensed" w:cs="Barlow Semi Condensed" w:eastAsia="Barlow Semi Condensed" w:hAnsi="Barlow Semi Condensed"/>
          <w:sz w:val="24"/>
          <w:szCs w:val="24"/>
        </w:rPr>
        <w:t xml:space="preserve"> La tavola dei rapporti fra canale vaticano e iniziative dello Stato: che cosa il Governo sapeva del canale (dagli atti dei comitati, dalle carte di gabinetto), che cosa il Vaticano sapeva delle linee del Governo. Due canali paralleli nella stessa crisi: le loro carte incrociate sono un quesito di sistema.</w:t>
      </w:r>
    </w:p>
    <w:p>
      <w:pPr>
        <w:spacing w:after="120" w:line="276"/>
        <w:jc w:val="both"/>
      </w:pPr>
      <w:r>
        <w:rPr>
          <w:rFonts w:ascii="Barlow Semi Condensed" w:cs="Barlow Semi Condensed" w:eastAsia="Barlow Semi Condensed" w:hAnsi="Barlow Semi Condensed"/>
          <w:b/>
          <w:bCs/>
          <w:sz w:val="24"/>
          <w:szCs w:val="24"/>
        </w:rPr>
        <w:t xml:space="preserve">174 · Il rapporto col canale socialista.</w:t>
      </w:r>
      <w:r>
        <w:rPr>
          <w:rFonts w:ascii="Barlow Semi Condensed" w:cs="Barlow Semi Condensed" w:eastAsia="Barlow Semi Condensed" w:hAnsi="Barlow Semi Condensed"/>
          <w:sz w:val="24"/>
          <w:szCs w:val="24"/>
        </w:rPr>
        <w:t xml:space="preserve"> La collazione col terzo canale — l'iniziativa socialista documentata: sovrapposizioni, contatti, gelosie fra canali nei 55 giorni, in carta. La concorrenza dei canali è un fatto della crisi: la sua documentazione sta nei fondi di partito (Parte terza) e negli atti parlamentari.</w:t>
      </w:r>
    </w:p>
    <w:p>
      <w:pPr>
        <w:spacing w:after="120" w:line="276"/>
        <w:jc w:val="both"/>
      </w:pPr>
      <w:r>
        <w:rPr>
          <w:rFonts w:ascii="Barlow Semi Condensed" w:cs="Barlow Semi Condensed" w:eastAsia="Barlow Semi Condensed" w:hAnsi="Barlow Semi Condensed"/>
          <w:b/>
          <w:bCs/>
          <w:sz w:val="24"/>
          <w:szCs w:val="24"/>
        </w:rPr>
        <w:t xml:space="preserve">175 · Le smentite da cercare.</w:t>
      </w:r>
      <w:r>
        <w:rPr>
          <w:rFonts w:ascii="Barlow Semi Condensed" w:cs="Barlow Semi Condensed" w:eastAsia="Barlow Semi Condensed" w:hAnsi="Barlow Semi Condensed"/>
          <w:sz w:val="24"/>
          <w:szCs w:val="24"/>
        </w:rPr>
        <w:t xml:space="preserve"> Il Pollo di Popper sul canale: i documenti che smentirebbero le versioni correnti — un registro che escluda un colloquio riferito, una data incompatibile, un movimento impossibile. Il cantiere cerca attivamente le carte che rompono le ricostruzioni, incluse quelle del corpus: è la serie nona dell'agenda, applicata qui.</w:t>
      </w:r>
    </w:p>
    <w:p>
      <w:pPr>
        <w:spacing w:after="120" w:line="276"/>
        <w:jc w:val="both"/>
      </w:pPr>
      <w:r>
        <w:rPr>
          <w:rFonts w:ascii="Barlow Semi Condensed" w:cs="Barlow Semi Condensed" w:eastAsia="Barlow Semi Condensed" w:hAnsi="Barlow Semi Condensed"/>
          <w:b/>
          <w:bCs/>
          <w:sz w:val="24"/>
          <w:szCs w:val="24"/>
        </w:rPr>
        <w:t xml:space="preserve">176 · I riscontri bancari del canale.</w:t>
      </w:r>
      <w:r>
        <w:rPr>
          <w:rFonts w:ascii="Barlow Semi Condensed" w:cs="Barlow Semi Condensed" w:eastAsia="Barlow Semi Condensed" w:hAnsi="Barlow Semi Condensed"/>
          <w:sz w:val="24"/>
          <w:szCs w:val="24"/>
        </w:rPr>
        <w:t xml:space="preserve"> Il raccordo con la sezione del fondo (blocchi 181-195): i movimenti economici collegati al canale — chi raccolse, chi custodì, chi avrebbe consegnato. La parte patrimoniale del canale si tratta nella sezione dedicata; questo blocco tiene il rinvio e il perimetro.</w:t>
      </w:r>
    </w:p>
    <w:p>
      <w:pPr>
        <w:spacing w:after="120" w:line="276"/>
        <w:jc w:val="both"/>
      </w:pPr>
      <w:r>
        <w:rPr>
          <w:rFonts w:ascii="Barlow Semi Condensed" w:cs="Barlow Semi Condensed" w:eastAsia="Barlow Semi Condensed" w:hAnsi="Barlow Semi Condensed"/>
          <w:b/>
          <w:bCs/>
          <w:sz w:val="24"/>
          <w:szCs w:val="24"/>
        </w:rPr>
        <w:t xml:space="preserve">177 · Che cosa disse la Commissione, esattamente.</w:t>
      </w:r>
      <w:r>
        <w:rPr>
          <w:rFonts w:ascii="Barlow Semi Condensed" w:cs="Barlow Semi Condensed" w:eastAsia="Barlow Semi Condensed" w:hAnsi="Barlow Semi Condensed"/>
          <w:sz w:val="24"/>
          <w:szCs w:val="24"/>
        </w:rPr>
        <w:t xml:space="preserve"> La lettura filologica delle pagine della relazione conclusiva sul canale: le parole esatte dell'accertamento parlamentare — che cosa la Commissione dà per accertato, che cosa per riferito, che cosa per aperto. L'atto parlamentare è il pavimento: il suo perimetro esatto va rispettato alla virgola.</w:t>
      </w:r>
    </w:p>
    <w:p>
      <w:pPr>
        <w:spacing w:after="120" w:line="276"/>
        <w:jc w:val="both"/>
      </w:pPr>
      <w:r>
        <w:rPr>
          <w:rFonts w:ascii="Barlow Semi Condensed" w:cs="Barlow Semi Condensed" w:eastAsia="Barlow Semi Condensed" w:hAnsi="Barlow Semi Condensed"/>
          <w:b/>
          <w:bCs/>
          <w:sz w:val="24"/>
          <w:szCs w:val="24"/>
        </w:rPr>
        <w:t xml:space="preserve">178 · Le audizioni collegate.</w:t>
      </w:r>
      <w:r>
        <w:rPr>
          <w:rFonts w:ascii="Barlow Semi Condensed" w:cs="Barlow Semi Condensed" w:eastAsia="Barlow Semi Condensed" w:hAnsi="Barlow Semi Condensed"/>
          <w:sz w:val="24"/>
          <w:szCs w:val="24"/>
        </w:rPr>
        <w:t xml:space="preserve"> Il censimento di tutte le audizioni Moro 2 che toccarono il canale — non solo Fabbri: magistrati, storici, testimoni. La tavola delle voci parlamentari sul canale, con rinvii agli stenografici: il fascicolo istruttorio pubblico del quesito 11, riunito.</w:t>
      </w:r>
    </w:p>
    <w:p>
      <w:pPr>
        <w:spacing w:after="120" w:line="276"/>
        <w:jc w:val="both"/>
      </w:pPr>
      <w:r>
        <w:rPr>
          <w:rFonts w:ascii="Barlow Semi Condensed" w:cs="Barlow Semi Condensed" w:eastAsia="Barlow Semi Condensed" w:hAnsi="Barlow Semi Condensed"/>
          <w:b/>
          <w:bCs/>
          <w:sz w:val="24"/>
          <w:szCs w:val="24"/>
        </w:rPr>
        <w:t xml:space="preserve">179 · La storiografia del canale.</w:t>
      </w:r>
      <w:r>
        <w:rPr>
          <w:rFonts w:ascii="Barlow Semi Condensed" w:cs="Barlow Semi Condensed" w:eastAsia="Barlow Semi Condensed" w:hAnsi="Barlow Semi Condensed"/>
          <w:sz w:val="24"/>
          <w:szCs w:val="24"/>
        </w:rPr>
        <w:t xml:space="preserve"> Gli studi accademici sul canale vaticano del caso: la tavola delle fonti che citano e delle tesi che sostengono, con la taratura di fedeltà del blocco 16. Ciò che la storiografia ha già stabilito non si riscopre: si verifica e si eredita.</w:t>
      </w:r>
    </w:p>
    <w:p>
      <w:pPr>
        <w:spacing w:after="120" w:line="276"/>
        <w:jc w:val="both"/>
      </w:pPr>
      <w:r>
        <w:rPr>
          <w:rFonts w:ascii="Barlow Semi Condensed" w:cs="Barlow Semi Condensed" w:eastAsia="Barlow Semi Condensed" w:hAnsi="Barlow Semi Condensed"/>
          <w:b/>
          <w:bCs/>
          <w:sz w:val="24"/>
          <w:szCs w:val="24"/>
        </w:rPr>
        <w:t xml:space="preserve">180 · La tavola del canale.</w:t>
      </w:r>
      <w:r>
        <w:rPr>
          <w:rFonts w:ascii="Barlow Semi Condensed" w:cs="Barlow Semi Condensed" w:eastAsia="Barlow Semi Condensed" w:hAnsi="Barlow Semi Condensed"/>
          <w:sz w:val="24"/>
          <w:szCs w:val="24"/>
        </w:rPr>
        <w:t xml:space="preserve"> La chiusura della sezione: lo stato di ogni bersaglio del canale — con la cronologia (172), la matrice (166) e la cella vuota (169) come strumenti permanenti. Il canale del cappellano, contato: atti trovati, atti mancanti, celle aperte.</w:t>
      </w:r>
    </w:p>
    <w:p>
      <w:pPr>
        <w:pStyle w:val="Heading3"/>
        <w:spacing w:after="80" w:before="160"/>
      </w:pPr>
      <w:r>
        <w:rPr>
          <w:rFonts w:ascii="Barlow Semi Condensed" w:cs="Barlow Semi Condensed" w:eastAsia="Barlow Semi Condensed" w:hAnsi="Barlow Semi Condensed"/>
          <w:sz w:val="24"/>
          <w:szCs w:val="24"/>
        </w:rPr>
        <w:t xml:space="preserve">Il fondo del riscatto (blocchi 181-195)</w:t>
      </w:r>
    </w:p>
    <w:p>
      <w:pPr>
        <w:spacing w:after="120" w:line="276"/>
        <w:jc w:val="both"/>
      </w:pPr>
      <w:r>
        <w:rPr>
          <w:rFonts w:ascii="Barlow Semi Condensed" w:cs="Barlow Semi Condensed" w:eastAsia="Barlow Semi Condensed" w:hAnsi="Barlow Semi Condensed"/>
          <w:b/>
          <w:bCs/>
          <w:sz w:val="24"/>
          <w:szCs w:val="24"/>
        </w:rPr>
        <w:t xml:space="preserve">181 · L'accertamento di partenza.</w:t>
      </w:r>
      <w:r>
        <w:rPr>
          <w:rFonts w:ascii="Barlow Semi Condensed" w:cs="Barlow Semi Condensed" w:eastAsia="Barlow Semi Condensed" w:hAnsi="Barlow Semi Condensed"/>
          <w:sz w:val="24"/>
          <w:szCs w:val="24"/>
        </w:rPr>
        <w:t xml:space="preserve"> Il pavimento: la disponibilità economica ingente predisposta dalla Santa Sede è accertata dagli atti della Moro 2 (la relazione del 6 dicembre 2017), e l'ordine di grandezza riferito — intorno ai dieci miliardi di lire — sta negli atti e nelle testimonianze rese alla Commissione. Da qui: la caccia alla carta contabile.</w:t>
      </w:r>
    </w:p>
    <w:p>
      <w:pPr>
        <w:spacing w:after="120" w:line="276"/>
        <w:jc w:val="both"/>
      </w:pPr>
      <w:r>
        <w:rPr>
          <w:rFonts w:ascii="Barlow Semi Condensed" w:cs="Barlow Semi Condensed" w:eastAsia="Barlow Semi Condensed" w:hAnsi="Barlow Semi Condensed"/>
          <w:b/>
          <w:bCs/>
          <w:sz w:val="24"/>
          <w:szCs w:val="24"/>
        </w:rPr>
        <w:t xml:space="preserve">182 · Il finanziatore rivendicato.</w:t>
      </w:r>
      <w:r>
        <w:rPr>
          <w:rFonts w:ascii="Barlow Semi Condensed" w:cs="Barlow Semi Condensed" w:eastAsia="Barlow Semi Condensed" w:hAnsi="Barlow Semi Condensed"/>
          <w:sz w:val="24"/>
          <w:szCs w:val="24"/>
        </w:rPr>
        <w:t xml:space="preserve"> Il fatto pubblico verificato: l'attribuzione della provvista all'imprenditore e deputato israeliano Shmuel Flatto-Sharon (1930-2018), che la rivendicò pubblicamente, è riportata dalle grandi agenzie (ANSA, 2018) sulla scorta dei lavori parlamentari. Lo stato del fatto: rivendicazione documentata e riferita — grado F sulla rivendicazione, non accertamento sul flusso. La distinzione è il blocco.</w:t>
      </w:r>
    </w:p>
    <w:p>
      <w:pPr>
        <w:spacing w:after="120" w:line="276"/>
        <w:jc w:val="both"/>
      </w:pPr>
      <w:r>
        <w:rPr>
          <w:rFonts w:ascii="Barlow Semi Condensed" w:cs="Barlow Semi Condensed" w:eastAsia="Barlow Semi Condensed" w:hAnsi="Barlow Semi Condensed"/>
          <w:b/>
          <w:bCs/>
          <w:sz w:val="24"/>
          <w:szCs w:val="24"/>
        </w:rPr>
        <w:t xml:space="preserve">183 · Il flusso da documentare.</w:t>
      </w:r>
      <w:r>
        <w:rPr>
          <w:rFonts w:ascii="Barlow Semi Condensed" w:cs="Barlow Semi Condensed" w:eastAsia="Barlow Semi Condensed" w:hAnsi="Barlow Semi Condensed"/>
          <w:sz w:val="24"/>
          <w:szCs w:val="24"/>
        </w:rPr>
        <w:t xml:space="preserve"> La domanda patrimoniale esatta: da dove a dove si mosse — se si mosse — il denaro: conti, valute, custodie, tempi. Ogni passaggio o ha carta (bancaria, di curia, di testimonianza verbalizzata) o è cella vuota: la tavola dei passaggi con i loro stati è l'esito atteso della sezione.</w:t>
      </w:r>
    </w:p>
    <w:p>
      <w:pPr>
        <w:spacing w:after="120" w:line="276"/>
        <w:jc w:val="both"/>
      </w:pPr>
      <w:r>
        <w:rPr>
          <w:rFonts w:ascii="Barlow Semi Condensed" w:cs="Barlow Semi Condensed" w:eastAsia="Barlow Semi Condensed" w:hAnsi="Barlow Semi Condensed"/>
          <w:b/>
          <w:bCs/>
          <w:sz w:val="24"/>
          <w:szCs w:val="24"/>
        </w:rPr>
        <w:t xml:space="preserve">184 · Le fascette e la banca.</w:t>
      </w:r>
      <w:r>
        <w:rPr>
          <w:rFonts w:ascii="Barlow Semi Condensed" w:cs="Barlow Semi Condensed" w:eastAsia="Barlow Semi Condensed" w:hAnsi="Barlow Semi Condensed"/>
          <w:sz w:val="24"/>
          <w:szCs w:val="24"/>
        </w:rPr>
        <w:t xml:space="preserve"> Il dettaglio materiale documentato negli atti (le fascette di banconote di provenienza bancaria estera riferite nelle testimonianze): la verifica filologica del dettaglio — chi lo riferì, quando, con quale precisione. I dettagli materiali sono i più falsificabili: per questo valgono, e per questo si verificano per primi.</w:t>
      </w:r>
    </w:p>
    <w:p>
      <w:pPr>
        <w:spacing w:after="120" w:line="276"/>
        <w:jc w:val="both"/>
      </w:pPr>
      <w:r>
        <w:rPr>
          <w:rFonts w:ascii="Barlow Semi Condensed" w:cs="Barlow Semi Condensed" w:eastAsia="Barlow Semi Condensed" w:hAnsi="Barlow Semi Condensed"/>
          <w:b/>
          <w:bCs/>
          <w:sz w:val="24"/>
          <w:szCs w:val="24"/>
        </w:rPr>
        <w:t xml:space="preserve">185 · La custodia.</w:t>
      </w:r>
      <w:r>
        <w:rPr>
          <w:rFonts w:ascii="Barlow Semi Condensed" w:cs="Barlow Semi Condensed" w:eastAsia="Barlow Semi Condensed" w:hAnsi="Barlow Semi Condensed"/>
          <w:sz w:val="24"/>
          <w:szCs w:val="24"/>
        </w:rPr>
        <w:t xml:space="preserve"> Dove il denaro fu custodito nei giorni della disponibilità: le versioni, i luoghi riferiti, le carte possibili (registri di curia, casseforti, testimonianze). La cella della custodia è verificabile per atti indiretti — accessi, presenze, movimenti — anche senza la contabilità diretta.</w:t>
      </w:r>
    </w:p>
    <w:p>
      <w:pPr>
        <w:spacing w:after="120" w:line="276"/>
        <w:jc w:val="both"/>
      </w:pPr>
      <w:r>
        <w:rPr>
          <w:rFonts w:ascii="Barlow Semi Condensed" w:cs="Barlow Semi Condensed" w:eastAsia="Barlow Semi Condensed" w:hAnsi="Barlow Semi Condensed"/>
          <w:b/>
          <w:bCs/>
          <w:sz w:val="24"/>
          <w:szCs w:val="24"/>
        </w:rPr>
        <w:t xml:space="preserve">186 · La restituzione o la sorte.</w:t>
      </w:r>
      <w:r>
        <w:rPr>
          <w:rFonts w:ascii="Barlow Semi Condensed" w:cs="Barlow Semi Condensed" w:eastAsia="Barlow Semi Condensed" w:hAnsi="Barlow Semi Condensed"/>
          <w:sz w:val="24"/>
          <w:szCs w:val="24"/>
        </w:rPr>
        <w:t xml:space="preserve"> Il dopo: che cosa accadde alla provvista dopo il 9 maggio — restituzione, ridestinazione, dispersione. La sorte del denaro è il test di realtà dell'intera vicenda: un fondo vero lascia una coda contabile; la coda si cerca nelle carte di chi lo raccolse.</w:t>
      </w:r>
    </w:p>
    <w:p>
      <w:pPr>
        <w:spacing w:after="120" w:line="276"/>
        <w:jc w:val="both"/>
      </w:pPr>
      <w:r>
        <w:rPr>
          <w:rFonts w:ascii="Barlow Semi Condensed" w:cs="Barlow Semi Condensed" w:eastAsia="Barlow Semi Condensed" w:hAnsi="Barlow Semi Condensed"/>
          <w:b/>
          <w:bCs/>
          <w:sz w:val="24"/>
          <w:szCs w:val="24"/>
        </w:rPr>
        <w:t xml:space="preserve">187 · Il canale israeliano del fondo.</w:t>
      </w:r>
      <w:r>
        <w:rPr>
          <w:rFonts w:ascii="Barlow Semi Condensed" w:cs="Barlow Semi Condensed" w:eastAsia="Barlow Semi Condensed" w:hAnsi="Barlow Semi Condensed"/>
          <w:sz w:val="24"/>
          <w:szCs w:val="24"/>
        </w:rPr>
        <w:t xml:space="preserve"> Il perimetro documentale dei rapporti Flatto-Sharon-Italia: le sue dichiarazioni pubbliche (interviste, memorie), i riscontri parlamentari, le carte israeliane eventuali. La figura è defunta (2018): restano le carte e le dichiarazioni datate — si censiscono tutte, si pesano per genere.</w:t>
      </w:r>
    </w:p>
    <w:p>
      <w:pPr>
        <w:spacing w:after="120" w:line="276"/>
        <w:jc w:val="both"/>
      </w:pPr>
      <w:r>
        <w:rPr>
          <w:rFonts w:ascii="Barlow Semi Condensed" w:cs="Barlow Semi Condensed" w:eastAsia="Barlow Semi Condensed" w:hAnsi="Barlow Semi Condensed"/>
          <w:b/>
          <w:bCs/>
          <w:sz w:val="24"/>
          <w:szCs w:val="24"/>
        </w:rPr>
        <w:t xml:space="preserve">188 · Le vie bancarie storiche.</w:t>
      </w:r>
      <w:r>
        <w:rPr>
          <w:rFonts w:ascii="Barlow Semi Condensed" w:cs="Barlow Semi Condensed" w:eastAsia="Barlow Semi Condensed" w:hAnsi="Barlow Semi Condensed"/>
          <w:sz w:val="24"/>
          <w:szCs w:val="24"/>
        </w:rPr>
        <w:t xml:space="preserve"> Il raccordo col blocco 258 dell'agenda: le richieste agli istituti bancari storici per i movimenti compatibili del periodo, nei limiti delle norme su archivi bancari e riservatezza. La via è stretta ma ordinaria: gli archivi bancari esistono e le richieste motivate si registrano.</w:t>
      </w:r>
    </w:p>
    <w:p>
      <w:pPr>
        <w:spacing w:after="120" w:line="276"/>
        <w:jc w:val="both"/>
      </w:pPr>
      <w:r>
        <w:rPr>
          <w:rFonts w:ascii="Barlow Semi Condensed" w:cs="Barlow Semi Condensed" w:eastAsia="Barlow Semi Condensed" w:hAnsi="Barlow Semi Condensed"/>
          <w:b/>
          <w:bCs/>
          <w:sz w:val="24"/>
          <w:szCs w:val="24"/>
        </w:rPr>
        <w:t xml:space="preserve">189 · Il cambio e i tagli.</w:t>
      </w:r>
      <w:r>
        <w:rPr>
          <w:rFonts w:ascii="Barlow Semi Condensed" w:cs="Barlow Semi Condensed" w:eastAsia="Barlow Semi Condensed" w:hAnsi="Barlow Semi Condensed"/>
          <w:sz w:val="24"/>
          <w:szCs w:val="24"/>
        </w:rPr>
        <w:t xml:space="preserve"> L'esercizio tecnico: dieci miliardi di lire del 1978 — i tagli, i volumi fisici, i pesi: la fattibilità materiale delle versioni di consegna raccontate. L'aritmetica del contante è un test di compatibilità che non richiede archivi: solo rigore — e smonta o sostiene le narrazioni da sola.</w:t>
      </w:r>
    </w:p>
    <w:p>
      <w:pPr>
        <w:spacing w:after="120" w:line="276"/>
        <w:jc w:val="both"/>
      </w:pPr>
      <w:r>
        <w:rPr>
          <w:rFonts w:ascii="Barlow Semi Condensed" w:cs="Barlow Semi Condensed" w:eastAsia="Barlow Semi Condensed" w:hAnsi="Barlow Semi Condensed"/>
          <w:b/>
          <w:bCs/>
          <w:sz w:val="24"/>
          <w:szCs w:val="24"/>
        </w:rPr>
        <w:t xml:space="preserve">190 · Chi sapeva del fondo.</w:t>
      </w:r>
      <w:r>
        <w:rPr>
          <w:rFonts w:ascii="Barlow Semi Condensed" w:cs="Barlow Semi Condensed" w:eastAsia="Barlow Semi Condensed" w:hAnsi="Barlow Semi Condensed"/>
          <w:sz w:val="24"/>
          <w:szCs w:val="24"/>
        </w:rPr>
        <w:t xml:space="preserve"> La tavola dei sapienti: chi — negli atti — risulta aver saputo della disponibilità, quando, da chi. Il perimetro della conoscenza del fondo nei 55 giorni è un quesito di rete: pochi nodi, datati, con le fonti. E ogni nodo in più documentato cambia la matrice del canale.</w:t>
      </w:r>
    </w:p>
    <w:p>
      <w:pPr>
        <w:spacing w:after="120" w:line="276"/>
        <w:jc w:val="both"/>
      </w:pPr>
      <w:r>
        <w:rPr>
          <w:rFonts w:ascii="Barlow Semi Condensed" w:cs="Barlow Semi Condensed" w:eastAsia="Barlow Semi Condensed" w:hAnsi="Barlow Semi Condensed"/>
          <w:b/>
          <w:bCs/>
          <w:sz w:val="24"/>
          <w:szCs w:val="24"/>
        </w:rPr>
        <w:t xml:space="preserve">191 · Il fondo e le BR.</w:t>
      </w:r>
      <w:r>
        <w:rPr>
          <w:rFonts w:ascii="Barlow Semi Condensed" w:cs="Barlow Semi Condensed" w:eastAsia="Barlow Semi Condensed" w:hAnsi="Barlow Semi Condensed"/>
          <w:sz w:val="24"/>
          <w:szCs w:val="24"/>
        </w:rPr>
        <w:t xml:space="preserve"> L'altra metà della domanda: che cosa le Brigate rosse seppero o dissero del denaro — nelle risultanze processuali, nelle dichiarazioni dei condannati, nei comunicati. Il registro del giudicato ha voci su questo: si censiscono, si datano, si collazionano con la parte vaticana.</w:t>
      </w:r>
    </w:p>
    <w:p>
      <w:pPr>
        <w:spacing w:after="120" w:line="276"/>
        <w:jc w:val="both"/>
      </w:pPr>
      <w:r>
        <w:rPr>
          <w:rFonts w:ascii="Barlow Semi Condensed" w:cs="Barlow Semi Condensed" w:eastAsia="Barlow Semi Condensed" w:hAnsi="Barlow Semi Condensed"/>
          <w:b/>
          <w:bCs/>
          <w:sz w:val="24"/>
          <w:szCs w:val="24"/>
        </w:rPr>
        <w:t xml:space="preserve">192 · Le smentite patrimoniali.</w:t>
      </w:r>
      <w:r>
        <w:rPr>
          <w:rFonts w:ascii="Barlow Semi Condensed" w:cs="Barlow Semi Condensed" w:eastAsia="Barlow Semi Condensed" w:hAnsi="Barlow Semi Condensed"/>
          <w:sz w:val="24"/>
          <w:szCs w:val="24"/>
        </w:rPr>
        <w:t xml:space="preserve"> Il Pollo di Popper sul fondo: la ricerca attiva della carta che ridimensioni — una contabilità ordinaria, una restituzione documentata, una rivendicazione smentita. Se il fondo ha una spiegazione più piccola della leggenda, trovarla è un successo del cantiere, non una delusione.</w:t>
      </w:r>
    </w:p>
    <w:p>
      <w:pPr>
        <w:spacing w:after="120" w:line="276"/>
        <w:jc w:val="both"/>
      </w:pPr>
      <w:r>
        <w:rPr>
          <w:rFonts w:ascii="Barlow Semi Condensed" w:cs="Barlow Semi Condensed" w:eastAsia="Barlow Semi Condensed" w:hAnsi="Barlow Semi Condensed"/>
          <w:b/>
          <w:bCs/>
          <w:sz w:val="24"/>
          <w:szCs w:val="24"/>
        </w:rPr>
        <w:t xml:space="preserve">193 · Il confronto coi precedenti.</w:t>
      </w:r>
      <w:r>
        <w:rPr>
          <w:rFonts w:ascii="Barlow Semi Condensed" w:cs="Barlow Semi Condensed" w:eastAsia="Barlow Semi Condensed" w:hAnsi="Barlow Semi Condensed"/>
          <w:sz w:val="24"/>
          <w:szCs w:val="24"/>
        </w:rPr>
        <w:t xml:space="preserve"> I precedenti documentati di disponibilità ecclesiastiche in sequestri italiani (la prassi dei riscatti negli anni Settanta): il contesto seriale in cui la disponibilità vaticana del 1978 va letta. Il caso si misura sul paesaggio: se la Chiesa fece altrove lo stesso, il gesto cambia natura documentale.</w:t>
      </w:r>
    </w:p>
    <w:p>
      <w:pPr>
        <w:spacing w:after="120" w:line="276"/>
        <w:jc w:val="both"/>
      </w:pPr>
      <w:r>
        <w:rPr>
          <w:rFonts w:ascii="Barlow Semi Condensed" w:cs="Barlow Semi Condensed" w:eastAsia="Barlow Semi Condensed" w:hAnsi="Barlow Semi Condensed"/>
          <w:b/>
          <w:bCs/>
          <w:sz w:val="24"/>
          <w:szCs w:val="24"/>
        </w:rPr>
        <w:t xml:space="preserve">194 · La lettera e il denaro.</w:t>
      </w:r>
      <w:r>
        <w:rPr>
          <w:rFonts w:ascii="Barlow Semi Condensed" w:cs="Barlow Semi Condensed" w:eastAsia="Barlow Semi Condensed" w:hAnsi="Barlow Semi Condensed"/>
          <w:sz w:val="24"/>
          <w:szCs w:val="24"/>
        </w:rPr>
        <w:t xml:space="preserve"> L'incrocio filologico: la lettera pubblica di Paolo VI («senza condizioni») contro la disponibilità economica predisposta in riservato — la compatibilità delle due linee, in carta e in cronologia. Il doppio binario documentato della scheda PE-4: qui si esegue, atto su atto.</w:t>
      </w:r>
    </w:p>
    <w:p>
      <w:pPr>
        <w:spacing w:after="120" w:line="276"/>
        <w:jc w:val="both"/>
      </w:pPr>
      <w:r>
        <w:rPr>
          <w:rFonts w:ascii="Barlow Semi Condensed" w:cs="Barlow Semi Condensed" w:eastAsia="Barlow Semi Condensed" w:hAnsi="Barlow Semi Condensed"/>
          <w:b/>
          <w:bCs/>
          <w:sz w:val="24"/>
          <w:szCs w:val="24"/>
        </w:rPr>
        <w:t xml:space="preserve">195 · La tavola del fondo.</w:t>
      </w:r>
      <w:r>
        <w:rPr>
          <w:rFonts w:ascii="Barlow Semi Condensed" w:cs="Barlow Semi Condensed" w:eastAsia="Barlow Semi Condensed" w:hAnsi="Barlow Semi Condensed"/>
          <w:sz w:val="24"/>
          <w:szCs w:val="24"/>
        </w:rPr>
        <w:t xml:space="preserve"> La chiusura della sezione: la tavola dei passaggi patrimoniali con gli stati — documentato, riferito, cella vuota — e le richieste pendenti. Il fondo del riscatto, contato come si conta un bilancio: è l'unico modo rispettoso di trattare il denaro nella morte di un uomo.</w:t>
      </w:r>
    </w:p>
    <w:p>
      <w:pPr>
        <w:pStyle w:val="Heading3"/>
        <w:spacing w:after="80" w:before="160"/>
      </w:pPr>
      <w:r>
        <w:rPr>
          <w:rFonts w:ascii="Barlow Semi Condensed" w:cs="Barlow Semi Condensed" w:eastAsia="Barlow Semi Condensed" w:hAnsi="Barlow Semi Condensed"/>
          <w:sz w:val="24"/>
          <w:szCs w:val="24"/>
        </w:rPr>
        <w:t xml:space="preserve">Le parole pubbliche e la preparazione (blocchi 196-220)</w:t>
      </w:r>
    </w:p>
    <w:p>
      <w:pPr>
        <w:spacing w:after="120" w:line="276"/>
        <w:jc w:val="both"/>
      </w:pPr>
      <w:r>
        <w:rPr>
          <w:rFonts w:ascii="Barlow Semi Condensed" w:cs="Barlow Semi Condensed" w:eastAsia="Barlow Semi Condensed" w:hAnsi="Barlow Semi Condensed"/>
          <w:b/>
          <w:bCs/>
          <w:sz w:val="24"/>
          <w:szCs w:val="24"/>
        </w:rPr>
        <w:t xml:space="preserve">196 · La lettera del 21-22 aprile.</w:t>
      </w:r>
      <w:r>
        <w:rPr>
          <w:rFonts w:ascii="Barlow Semi Condensed" w:cs="Barlow Semi Condensed" w:eastAsia="Barlow Semi Condensed" w:hAnsi="Barlow Semi Condensed"/>
          <w:sz w:val="24"/>
          <w:szCs w:val="24"/>
        </w:rPr>
        <w:t xml:space="preserve"> La lettera di Paolo VI «agli uomini delle Brigate rosse»: scritta di suo pugno nella notte del 21 aprile, resa pubblica sabato 22 aprile 1978 per L'Osservatore Romano e la Radio Vaticana (e con questa data pubblicata su vatican.va). Il testo nella fonte vaticana, la genesi documentata, la storia dell'autografo — la cui sede di conservazione esatta resta da fissare (gli archivi della Santa Sede conservano anche l'audio dell'appello, secondo le fonti vaticane del 2018). La scheda filologica completa: testo, tradizione, conservazione.</w:t>
      </w:r>
    </w:p>
    <w:p>
      <w:pPr>
        <w:spacing w:after="120" w:line="276"/>
        <w:jc w:val="both"/>
      </w:pPr>
      <w:r>
        <w:rPr>
          <w:rFonts w:ascii="Barlow Semi Condensed" w:cs="Barlow Semi Condensed" w:eastAsia="Barlow Semi Condensed" w:hAnsi="Barlow Semi Condensed"/>
          <w:b/>
          <w:bCs/>
          <w:sz w:val="24"/>
          <w:szCs w:val="24"/>
        </w:rPr>
        <w:t xml:space="preserve">197 · «Senza condizioni».</w:t>
      </w:r>
      <w:r>
        <w:rPr>
          <w:rFonts w:ascii="Barlow Semi Condensed" w:cs="Barlow Semi Condensed" w:eastAsia="Barlow Semi Condensed" w:hAnsi="Barlow Semi Condensed"/>
          <w:sz w:val="24"/>
          <w:szCs w:val="24"/>
        </w:rPr>
        <w:t xml:space="preserve"> La filologia della formula: le stesure della lettera, la caduta documentata dell'inciso più discusso (il passaggio dal testo con la clausola alla formula finale, già fissato nella scheda PE-4 con il dettato al segretario), le fonti di ciascun passaggio. Un caso di critica delle varianti al vertice della Chiesa: si tratta come tale.</w:t>
      </w:r>
    </w:p>
    <w:p>
      <w:pPr>
        <w:spacing w:after="120" w:line="276"/>
        <w:jc w:val="both"/>
      </w:pPr>
      <w:r>
        <w:rPr>
          <w:rFonts w:ascii="Barlow Semi Condensed" w:cs="Barlow Semi Condensed" w:eastAsia="Barlow Semi Condensed" w:hAnsi="Barlow Semi Condensed"/>
          <w:b/>
          <w:bCs/>
          <w:sz w:val="24"/>
          <w:szCs w:val="24"/>
        </w:rPr>
        <w:t xml:space="preserve">198 · La ricezione della lettera.</w:t>
      </w:r>
      <w:r>
        <w:rPr>
          <w:rFonts w:ascii="Barlow Semi Condensed" w:cs="Barlow Semi Condensed" w:eastAsia="Barlow Semi Condensed" w:hAnsi="Barlow Semi Condensed"/>
          <w:sz w:val="24"/>
          <w:szCs w:val="24"/>
        </w:rPr>
        <w:t xml:space="preserve"> La tavola delle reazioni datate: come la lettera fu letta — dal Governo, dai partiti, dalle BR (nei comunicati), dalla stampa. La ricezione è parte del documento: la lettera agì nel caso, e la sua azione si documenta ora per ora.</w:t>
      </w:r>
    </w:p>
    <w:p>
      <w:pPr>
        <w:spacing w:after="120" w:line="276"/>
        <w:jc w:val="both"/>
      </w:pPr>
      <w:r>
        <w:rPr>
          <w:rFonts w:ascii="Barlow Semi Condensed" w:cs="Barlow Semi Condensed" w:eastAsia="Barlow Semi Condensed" w:hAnsi="Barlow Semi Condensed"/>
          <w:b/>
          <w:bCs/>
          <w:sz w:val="24"/>
          <w:szCs w:val="24"/>
        </w:rPr>
        <w:t xml:space="preserve">199 · La preghiera del 13 maggio.</w:t>
      </w:r>
      <w:r>
        <w:rPr>
          <w:rFonts w:ascii="Barlow Semi Condensed" w:cs="Barlow Semi Condensed" w:eastAsia="Barlow Semi Condensed" w:hAnsi="Barlow Semi Condensed"/>
          <w:sz w:val="24"/>
          <w:szCs w:val="24"/>
        </w:rPr>
        <w:t xml:space="preserve"> La preghiera di Paolo VI alle esequie di Stato (San Giovanni in Laterano, 13 maggio 1978): il testo nella fonte vaticana, la genesi, le testimonianze sulla scrittura. Il secondo monumento verbale del pontificato sul caso: scheda filologica gemella della lettera.</w:t>
      </w:r>
    </w:p>
    <w:p>
      <w:pPr>
        <w:spacing w:after="120" w:line="276"/>
        <w:jc w:val="both"/>
      </w:pPr>
      <w:r>
        <w:rPr>
          <w:rFonts w:ascii="Barlow Semi Condensed" w:cs="Barlow Semi Condensed" w:eastAsia="Barlow Semi Condensed" w:hAnsi="Barlow Semi Condensed"/>
          <w:b/>
          <w:bCs/>
          <w:sz w:val="24"/>
          <w:szCs w:val="24"/>
        </w:rPr>
        <w:t xml:space="preserve">200 · Il duecentesimo blocco: l'uomo che scrisse due volte.</w:t>
      </w:r>
      <w:r>
        <w:rPr>
          <w:rFonts w:ascii="Barlow Semi Condensed" w:cs="Barlow Semi Condensed" w:eastAsia="Barlow Semi Condensed" w:hAnsi="Barlow Semi Condensed"/>
          <w:sz w:val="24"/>
          <w:szCs w:val="24"/>
        </w:rPr>
        <w:t xml:space="preserve"> La lettura congiunta dei due testi — la lettera all'uomo vivo, la preghiera per l'uomo morto: il dittico montiniano del caso come oggetto di studio unitario, con la cronologia interna del pontificato morente (Paolo VI morì il 6 agosto 1978). Tre mesi che chiusero un pontificato: la loro carta pubblica è già tutta leggibile.</w:t>
      </w:r>
    </w:p>
    <w:p>
      <w:pPr>
        <w:spacing w:after="120" w:line="276"/>
        <w:jc w:val="both"/>
      </w:pPr>
      <w:r>
        <w:rPr>
          <w:rFonts w:ascii="Barlow Semi Condensed" w:cs="Barlow Semi Condensed" w:eastAsia="Barlow Semi Condensed" w:hAnsi="Barlow Semi Condensed"/>
          <w:b/>
          <w:bCs/>
          <w:sz w:val="24"/>
          <w:szCs w:val="24"/>
        </w:rPr>
        <w:t xml:space="preserve">201 · Gli altri interventi.</w:t>
      </w:r>
      <w:r>
        <w:rPr>
          <w:rFonts w:ascii="Barlow Semi Condensed" w:cs="Barlow Semi Condensed" w:eastAsia="Barlow Semi Condensed" w:hAnsi="Barlow Semi Condensed"/>
          <w:sz w:val="24"/>
          <w:szCs w:val="24"/>
        </w:rPr>
        <w:t xml:space="preserve"> Il censimento completo degli interventi pubblici di Paolo VI sul caso — angelus, udienze, telegrammi pubblicati: la cronologia integrale della voce papale nei 55 giorni e fino ad agosto. Ogni parola pubblica datata è un punto fermo su cui le carte private, un giorno, si misureranno.</w:t>
      </w:r>
    </w:p>
    <w:p>
      <w:pPr>
        <w:spacing w:after="120" w:line="276"/>
        <w:jc w:val="both"/>
      </w:pPr>
      <w:r>
        <w:rPr>
          <w:rFonts w:ascii="Barlow Semi Condensed" w:cs="Barlow Semi Condensed" w:eastAsia="Barlow Semi Condensed" w:hAnsi="Barlow Semi Condensed"/>
          <w:b/>
          <w:bCs/>
          <w:sz w:val="24"/>
          <w:szCs w:val="24"/>
        </w:rPr>
        <w:t xml:space="preserve">202 · La diplomazia pubblica della Santa Sede.</w:t>
      </w:r>
      <w:r>
        <w:rPr>
          <w:rFonts w:ascii="Barlow Semi Condensed" w:cs="Barlow Semi Condensed" w:eastAsia="Barlow Semi Condensed" w:hAnsi="Barlow Semi Condensed"/>
          <w:sz w:val="24"/>
          <w:szCs w:val="24"/>
        </w:rPr>
        <w:t xml:space="preserve"> Gli atti pubblici della diplomazia vaticana del periodo: i comunicati della sala stampa, le note ufficiali, le udienze diplomatiche annunciate. La faccia pubblica della macchina — censita ora, per riconoscere domani, all'apertura, la faccia privata.</w:t>
      </w:r>
    </w:p>
    <w:p>
      <w:pPr>
        <w:spacing w:after="120" w:line="276"/>
        <w:jc w:val="both"/>
      </w:pPr>
      <w:r>
        <w:rPr>
          <w:rFonts w:ascii="Barlow Semi Condensed" w:cs="Barlow Semi Condensed" w:eastAsia="Barlow Semi Condensed" w:hAnsi="Barlow Semi Condensed"/>
          <w:b/>
          <w:bCs/>
          <w:sz w:val="24"/>
          <w:szCs w:val="24"/>
        </w:rPr>
        <w:t xml:space="preserve">203 · Le condoglianze e i carteggi pubblici.</w:t>
      </w:r>
      <w:r>
        <w:rPr>
          <w:rFonts w:ascii="Barlow Semi Condensed" w:cs="Barlow Semi Condensed" w:eastAsia="Barlow Semi Condensed" w:hAnsi="Barlow Semi Condensed"/>
          <w:sz w:val="24"/>
          <w:szCs w:val="24"/>
        </w:rPr>
        <w:t xml:space="preserve"> I messaggi pubblicati fra Santa Sede e Stato italiano dopo il 9 maggio: testi, protocolli, cerimoniale. La chiusura pubblica del caso fra i due poteri: un piccolo corpus compiuto, da fissare in edizione.</w:t>
      </w:r>
    </w:p>
    <w:p>
      <w:pPr>
        <w:spacing w:after="120" w:line="276"/>
        <w:jc w:val="both"/>
      </w:pPr>
      <w:r>
        <w:rPr>
          <w:rFonts w:ascii="Barlow Semi Condensed" w:cs="Barlow Semi Condensed" w:eastAsia="Barlow Semi Condensed" w:hAnsi="Barlow Semi Condensed"/>
          <w:b/>
          <w:bCs/>
          <w:sz w:val="24"/>
          <w:szCs w:val="24"/>
        </w:rPr>
        <w:t xml:space="preserve">204 · La memoria liturgica.</w:t>
      </w:r>
      <w:r>
        <w:rPr>
          <w:rFonts w:ascii="Barlow Semi Condensed" w:cs="Barlow Semi Condensed" w:eastAsia="Barlow Semi Condensed" w:hAnsi="Barlow Semi Condensed"/>
          <w:sz w:val="24"/>
          <w:szCs w:val="24"/>
        </w:rPr>
        <w:t xml:space="preserve"> Gli anniversari: come la Chiesa ha ricordato Moro negli anni — messe, omelie dei successori, gesti (la visita di Francesco?). La memoria ecclesiale del caso come serie storica documentata: dice come la Chiesa ha custodito la vicenda nel proprio racconto.</w:t>
      </w:r>
    </w:p>
    <w:p>
      <w:pPr>
        <w:spacing w:after="120" w:line="276"/>
        <w:jc w:val="both"/>
      </w:pPr>
      <w:r>
        <w:rPr>
          <w:rFonts w:ascii="Barlow Semi Condensed" w:cs="Barlow Semi Condensed" w:eastAsia="Barlow Semi Condensed" w:hAnsi="Barlow Semi Condensed"/>
          <w:b/>
          <w:bCs/>
          <w:sz w:val="24"/>
          <w:szCs w:val="24"/>
        </w:rPr>
        <w:t xml:space="preserve">205 · Il magistero sul terrorismo.</w:t>
      </w:r>
      <w:r>
        <w:rPr>
          <w:rFonts w:ascii="Barlow Semi Condensed" w:cs="Barlow Semi Condensed" w:eastAsia="Barlow Semi Condensed" w:hAnsi="Barlow Semi Condensed"/>
          <w:sz w:val="24"/>
          <w:szCs w:val="24"/>
        </w:rPr>
        <w:t xml:space="preserve"> I testi montiniani sul terrorismo e la violenza politica negli anni Settanta, prima del caso: la cornice dottrinale entro cui la lettera del 21 aprile va letta. Il contesto magisteriale è filologia, non devozione: spiega il lessico della lettera.</w:t>
      </w:r>
    </w:p>
    <w:p>
      <w:pPr>
        <w:spacing w:after="120" w:line="276"/>
        <w:jc w:val="both"/>
      </w:pPr>
      <w:r>
        <w:rPr>
          <w:rFonts w:ascii="Barlow Semi Condensed" w:cs="Barlow Semi Condensed" w:eastAsia="Barlow Semi Condensed" w:hAnsi="Barlow Semi Condensed"/>
          <w:b/>
          <w:bCs/>
          <w:sz w:val="24"/>
          <w:szCs w:val="24"/>
        </w:rPr>
        <w:t xml:space="preserve">206 · I quesiti per l'apertura, scritti oggi.</w:t>
      </w:r>
      <w:r>
        <w:rPr>
          <w:rFonts w:ascii="Barlow Semi Condensed" w:cs="Barlow Semi Condensed" w:eastAsia="Barlow Semi Condensed" w:hAnsi="Barlow Semi Condensed"/>
          <w:sz w:val="24"/>
          <w:szCs w:val="24"/>
        </w:rPr>
        <w:t xml:space="preserve"> Il fascicolo formale dei quesiti depositandi (il blocco 126, eseguito): per ogni cella vaticana delle matrici — l'incarico, i contatti, il fondo, la lettera — la domanda esatta e la serie attesa. Scritto, datato, pubblicato: il giorno dell'apertura, il cantiere non improvviserà.</w:t>
      </w:r>
    </w:p>
    <w:p>
      <w:pPr>
        <w:spacing w:after="120" w:line="276"/>
        <w:jc w:val="both"/>
      </w:pPr>
      <w:r>
        <w:rPr>
          <w:rFonts w:ascii="Barlow Semi Condensed" w:cs="Barlow Semi Condensed" w:eastAsia="Barlow Semi Condensed" w:hAnsi="Barlow Semi Condensed"/>
          <w:b/>
          <w:bCs/>
          <w:sz w:val="24"/>
          <w:szCs w:val="24"/>
        </w:rPr>
        <w:t xml:space="preserve">207 · Le serie da chiedere per prime.</w:t>
      </w:r>
      <w:r>
        <w:rPr>
          <w:rFonts w:ascii="Barlow Semi Condensed" w:cs="Barlow Semi Condensed" w:eastAsia="Barlow Semi Condensed" w:hAnsi="Barlow Semi Condensed"/>
          <w:sz w:val="24"/>
          <w:szCs w:val="24"/>
        </w:rPr>
        <w:t xml:space="preserve"> La graduatoria delle serie attese per rendimento: le carte della Segreteria di Stato dei 55 giorni, le udienze, il carteggio del segretario particolare, la nunziatura in Italia. La prima settimana di sala, pianificata con anni di anticipo: è il vantaggio che il metodo può comprare oggi.</w:t>
      </w:r>
    </w:p>
    <w:p>
      <w:pPr>
        <w:spacing w:after="120" w:line="276"/>
        <w:jc w:val="both"/>
      </w:pPr>
      <w:r>
        <w:rPr>
          <w:rFonts w:ascii="Barlow Semi Condensed" w:cs="Barlow Semi Condensed" w:eastAsia="Barlow Semi Condensed" w:hAnsi="Barlow Semi Condensed"/>
          <w:b/>
          <w:bCs/>
          <w:sz w:val="24"/>
          <w:szCs w:val="24"/>
        </w:rPr>
        <w:t xml:space="preserve">208 · Gli studiosi da coalizzare.</w:t>
      </w:r>
      <w:r>
        <w:rPr>
          <w:rFonts w:ascii="Barlow Semi Condensed" w:cs="Barlow Semi Condensed" w:eastAsia="Barlow Semi Condensed" w:hAnsi="Barlow Semi Condensed"/>
          <w:sz w:val="24"/>
          <w:szCs w:val="24"/>
        </w:rPr>
        <w:t xml:space="preserve"> La rete degli studiosi di Montini e del caso da riunire prima dell'apertura: la lezione del 2020 (chi collaborò raccolse di più). Il cantiere propone il coordinamento — inventari condivisi, lotti divisi, edizioni comuni — perché l'apertura non diventi una corsa di solitari.</w:t>
      </w:r>
    </w:p>
    <w:p>
      <w:pPr>
        <w:spacing w:after="120" w:line="276"/>
        <w:jc w:val="both"/>
      </w:pPr>
      <w:r>
        <w:rPr>
          <w:rFonts w:ascii="Barlow Semi Condensed" w:cs="Barlow Semi Condensed" w:eastAsia="Barlow Semi Condensed" w:hAnsi="Barlow Semi Condensed"/>
          <w:b/>
          <w:bCs/>
          <w:sz w:val="24"/>
          <w:szCs w:val="24"/>
        </w:rPr>
        <w:t xml:space="preserve">209 · L'edizione attesa.</w:t>
      </w:r>
      <w:r>
        <w:rPr>
          <w:rFonts w:ascii="Barlow Semi Condensed" w:cs="Barlow Semi Condensed" w:eastAsia="Barlow Semi Condensed" w:hAnsi="Barlow Semi Condensed"/>
          <w:sz w:val="24"/>
          <w:szCs w:val="24"/>
        </w:rPr>
        <w:t xml:space="preserve"> Il progetto editoriale pronto: l'edizione critica delle carte vaticane del caso — criteri, apparati, responsabilità — scritta prima che le carte esistano per il pubblico. Quando l'archivio aprirà, il contenitore scientifico sarà già costruito: si riempirà, non si inventerà.</w:t>
      </w:r>
    </w:p>
    <w:p>
      <w:pPr>
        <w:spacing w:after="120" w:line="276"/>
        <w:jc w:val="both"/>
      </w:pPr>
      <w:r>
        <w:rPr>
          <w:rFonts w:ascii="Barlow Semi Condensed" w:cs="Barlow Semi Condensed" w:eastAsia="Barlow Semi Condensed" w:hAnsi="Barlow Semi Condensed"/>
          <w:b/>
          <w:bCs/>
          <w:sz w:val="24"/>
          <w:szCs w:val="24"/>
        </w:rPr>
        <w:t xml:space="preserve">210 · Il decimo di preparazione.</w:t>
      </w:r>
      <w:r>
        <w:rPr>
          <w:rFonts w:ascii="Barlow Semi Condensed" w:cs="Barlow Semi Condensed" w:eastAsia="Barlow Semi Condensed" w:hAnsi="Barlow Semi Condensed"/>
          <w:sz w:val="24"/>
          <w:szCs w:val="24"/>
        </w:rPr>
        <w:t xml:space="preserve"> La revisione annuale della sezione: ogni anno, il fascicolo dei quesiti si rilegge contro ciò che nel frattempo è emerso dalle vie indirette — e si aggiorna per nota. La preparazione all'apertura è un organismo vivo, non un cassetto.</w:t>
      </w:r>
    </w:p>
    <w:p>
      <w:pPr>
        <w:spacing w:after="120" w:line="276"/>
        <w:jc w:val="both"/>
      </w:pPr>
      <w:r>
        <w:rPr>
          <w:rFonts w:ascii="Barlow Semi Condensed" w:cs="Barlow Semi Condensed" w:eastAsia="Barlow Semi Condensed" w:hAnsi="Barlow Semi Condensed"/>
          <w:b/>
          <w:bCs/>
          <w:sz w:val="24"/>
          <w:szCs w:val="24"/>
        </w:rPr>
        <w:t xml:space="preserve">211 · La disciplina del sacro.</w:t>
      </w:r>
      <w:r>
        <w:rPr>
          <w:rFonts w:ascii="Barlow Semi Condensed" w:cs="Barlow Semi Condensed" w:eastAsia="Barlow Semi Condensed" w:hAnsi="Barlow Semi Condensed"/>
          <w:sz w:val="24"/>
          <w:szCs w:val="24"/>
        </w:rPr>
        <w:t xml:space="preserve"> La regola di lettura dedicata: le carte ecclesiastiche si leggono con le categorie loro — il genere (minuta, udienza, appunto di segreteria), la funzione, il destinatario — e mai come «segreti» per costruzione. Il cantiere vaticano è un cantiere d'archivistica, non di suggestione: la parola «mistero» non appartiene al suo lessico.</w:t>
      </w:r>
    </w:p>
    <w:p>
      <w:pPr>
        <w:spacing w:after="120" w:line="276"/>
        <w:jc w:val="both"/>
      </w:pPr>
      <w:r>
        <w:rPr>
          <w:rFonts w:ascii="Barlow Semi Condensed" w:cs="Barlow Semi Condensed" w:eastAsia="Barlow Semi Condensed" w:hAnsi="Barlow Semi Condensed"/>
          <w:b/>
          <w:bCs/>
          <w:sz w:val="24"/>
          <w:szCs w:val="24"/>
        </w:rPr>
        <w:t xml:space="preserve">212 · Il rispetto e il rigore.</w:t>
      </w:r>
      <w:r>
        <w:rPr>
          <w:rFonts w:ascii="Barlow Semi Condensed" w:cs="Barlow Semi Condensed" w:eastAsia="Barlow Semi Condensed" w:hAnsi="Barlow Semi Condensed"/>
          <w:sz w:val="24"/>
          <w:szCs w:val="24"/>
        </w:rPr>
        <w:t xml:space="preserve"> La seconda regola: il cantiere tratta la Chiesa come ogni altro produttore d'archivi — con le richieste formali, la gratitudine scritta, il rispetto delle regole interne — e con lo stesso rigore: le assenze si verbalizzano, le divergenze si tabulano, nessuna reverenza sconta un grado. Rispetto e rigore, insieme o niente.</w:t>
      </w:r>
    </w:p>
    <w:p>
      <w:pPr>
        <w:spacing w:after="120" w:line="276"/>
        <w:jc w:val="both"/>
      </w:pPr>
      <w:r>
        <w:rPr>
          <w:rFonts w:ascii="Barlow Semi Condensed" w:cs="Barlow Semi Condensed" w:eastAsia="Barlow Semi Condensed" w:hAnsi="Barlow Semi Condensed"/>
          <w:b/>
          <w:bCs/>
          <w:sz w:val="24"/>
          <w:szCs w:val="24"/>
        </w:rPr>
        <w:t xml:space="preserve">213 · Il raccordo con PE-4.</w:t>
      </w:r>
      <w:r>
        <w:rPr>
          <w:rFonts w:ascii="Barlow Semi Condensed" w:cs="Barlow Semi Condensed" w:eastAsia="Barlow Semi Condensed" w:hAnsi="Barlow Semi Condensed"/>
          <w:sz w:val="24"/>
          <w:szCs w:val="24"/>
        </w:rPr>
        <w:t xml:space="preserve"> La tavola di corrispondenza con la scheda dell'entità (la mediazione vaticana, 54,0 punti): ogni blocco della parte dichiara quale voce della scheda esegue o aggiorna. La scheda resta il quadro; il cantiere è il suo braccio — e gli aggiornamenti tornano alla scheda per nota.</w:t>
      </w:r>
    </w:p>
    <w:p>
      <w:pPr>
        <w:spacing w:after="120" w:line="276"/>
        <w:jc w:val="both"/>
      </w:pPr>
      <w:r>
        <w:rPr>
          <w:rFonts w:ascii="Barlow Semi Condensed" w:cs="Barlow Semi Condensed" w:eastAsia="Barlow Semi Condensed" w:hAnsi="Barlow Semi Condensed"/>
          <w:b/>
          <w:bCs/>
          <w:sz w:val="24"/>
          <w:szCs w:val="24"/>
        </w:rPr>
        <w:t xml:space="preserve">214 · Il raccordo coi quesiti costitutivi.</w:t>
      </w:r>
      <w:r>
        <w:rPr>
          <w:rFonts w:ascii="Barlow Semi Condensed" w:cs="Barlow Semi Condensed" w:eastAsia="Barlow Semi Condensed" w:hAnsi="Barlow Semi Condensed"/>
          <w:sz w:val="24"/>
          <w:szCs w:val="24"/>
        </w:rPr>
        <w:t xml:space="preserve"> La tavola verso l'agenda: i blocchi vaticani servono il quesito 11 (la mediazione e il fondo), il 9 (le lettere, per il tratto ecclesiastico) e il 14 (le voci da raccogliere). Nessun blocco orfano nemmeno qui: chi non serve un quesito esce.</w:t>
      </w:r>
    </w:p>
    <w:p>
      <w:pPr>
        <w:spacing w:after="120" w:line="276"/>
        <w:jc w:val="both"/>
      </w:pPr>
      <w:r>
        <w:rPr>
          <w:rFonts w:ascii="Barlow Semi Condensed" w:cs="Barlow Semi Condensed" w:eastAsia="Barlow Semi Condensed" w:hAnsi="Barlow Semi Condensed"/>
          <w:b/>
          <w:bCs/>
          <w:sz w:val="24"/>
          <w:szCs w:val="24"/>
        </w:rPr>
        <w:t xml:space="preserve">215 · Le voci ecclesiastiche viventi.</w:t>
      </w:r>
      <w:r>
        <w:rPr>
          <w:rFonts w:ascii="Barlow Semi Condensed" w:cs="Barlow Semi Condensed" w:eastAsia="Barlow Semi Condensed" w:hAnsi="Barlow Semi Condensed"/>
          <w:sz w:val="24"/>
          <w:szCs w:val="24"/>
        </w:rPr>
        <w:t xml:space="preserve"> La raccolta conservativa del clero vivente che toccò il caso — collaboratori superstiti, testimoni delle cerimonie, personale degli uffici: con le regole della serie quinta e il limite del blocco 151 (il sigillo non si chiede). L'urgenza biologica vale anche in porpora.</w:t>
      </w:r>
    </w:p>
    <w:p>
      <w:pPr>
        <w:spacing w:after="120" w:line="276"/>
        <w:jc w:val="both"/>
      </w:pPr>
      <w:r>
        <w:rPr>
          <w:rFonts w:ascii="Barlow Semi Condensed" w:cs="Barlow Semi Condensed" w:eastAsia="Barlow Semi Condensed" w:hAnsi="Barlow Semi Condensed"/>
          <w:b/>
          <w:bCs/>
          <w:sz w:val="24"/>
          <w:szCs w:val="24"/>
        </w:rPr>
        <w:t xml:space="preserve">216 · Il calendario vaticano.</w:t>
      </w:r>
      <w:r>
        <w:rPr>
          <w:rFonts w:ascii="Barlow Semi Condensed" w:cs="Barlow Semi Condensed" w:eastAsia="Barlow Semi Condensed" w:hAnsi="Barlow Semi Condensed"/>
          <w:sz w:val="24"/>
          <w:szCs w:val="24"/>
        </w:rPr>
        <w:t xml:space="preserve"> La tavola delle scadenze del cantiere: le aperture attese (senza data certa: si registra l'incertezza), le cause in corso, le serie indirette in versamento. Il motore delle scadenze, colonna vaticana — con la casella più importante segnata «apertura Paolo VI: data ignota, quesiti pronti».</w:t>
      </w:r>
    </w:p>
    <w:p>
      <w:pPr>
        <w:spacing w:after="120" w:line="276"/>
        <w:jc w:val="both"/>
      </w:pPr>
      <w:r>
        <w:rPr>
          <w:rFonts w:ascii="Barlow Semi Condensed" w:cs="Barlow Semi Condensed" w:eastAsia="Barlow Semi Condensed" w:hAnsi="Barlow Semi Condensed"/>
          <w:b/>
          <w:bCs/>
          <w:sz w:val="24"/>
          <w:szCs w:val="24"/>
        </w:rPr>
        <w:t xml:space="preserve">217 · I vuoti vaticani.</w:t>
      </w:r>
      <w:r>
        <w:rPr>
          <w:rFonts w:ascii="Barlow Semi Condensed" w:cs="Barlow Semi Condensed" w:eastAsia="Barlow Semi Condensed" w:hAnsi="Barlow Semi Condensed"/>
          <w:sz w:val="24"/>
          <w:szCs w:val="24"/>
        </w:rPr>
        <w:t xml:space="preserve"> Il verbale dei vuoti della parte: le vie indirette battute a vuoto, i fondi non censiti, le richieste negate con motivazione. Lo Stato Zero ecclesiastico si scrive con la stessa penna degli altri: perimetro, data, firma.</w:t>
      </w:r>
    </w:p>
    <w:p>
      <w:pPr>
        <w:spacing w:after="120" w:line="276"/>
        <w:jc w:val="both"/>
      </w:pPr>
      <w:r>
        <w:rPr>
          <w:rFonts w:ascii="Barlow Semi Condensed" w:cs="Barlow Semi Condensed" w:eastAsia="Barlow Semi Condensed" w:hAnsi="Barlow Semi Condensed"/>
          <w:b/>
          <w:bCs/>
          <w:sz w:val="24"/>
          <w:szCs w:val="24"/>
        </w:rPr>
        <w:t xml:space="preserve">218 · La contro-lettura laica.</w:t>
      </w:r>
      <w:r>
        <w:rPr>
          <w:rFonts w:ascii="Barlow Semi Condensed" w:cs="Barlow Semi Condensed" w:eastAsia="Barlow Semi Condensed" w:hAnsi="Barlow Semi Condensed"/>
          <w:sz w:val="24"/>
          <w:szCs w:val="24"/>
        </w:rPr>
        <w:t xml:space="preserve"> Il controllo incrociato permanente: ogni fatto ecclesiastico si verifica anche sulle carte civili parallele (i registri penitenziari, gli atti di governo, la stampa laica) e viceversa. Nessuna delle due tradizioni documentali fa fede da sola sui fatti che le attraversano entrambe.</w:t>
      </w:r>
    </w:p>
    <w:p>
      <w:pPr>
        <w:spacing w:after="120" w:line="276"/>
        <w:jc w:val="both"/>
      </w:pPr>
      <w:r>
        <w:rPr>
          <w:rFonts w:ascii="Barlow Semi Condensed" w:cs="Barlow Semi Condensed" w:eastAsia="Barlow Semi Condensed" w:hAnsi="Barlow Semi Condensed"/>
          <w:b/>
          <w:bCs/>
          <w:sz w:val="24"/>
          <w:szCs w:val="24"/>
        </w:rPr>
        <w:t xml:space="preserve">219 · La sintesi del cantiere chiuso.</w:t>
      </w:r>
      <w:r>
        <w:rPr>
          <w:rFonts w:ascii="Barlow Semi Condensed" w:cs="Barlow Semi Condensed" w:eastAsia="Barlow Semi Condensed" w:hAnsi="Barlow Semi Condensed"/>
          <w:sz w:val="24"/>
          <w:szCs w:val="24"/>
        </w:rPr>
        <w:t xml:space="preserve"> Il prodotto d'insieme: lo stato dell'arte documentale sul Vaticano e il caso — che cosa è accertato (per atti parlamentari e fonti aperte), che cosa è riferito, che cosa aspetta l'archivio. Una pagina onesta che il dibattito pubblico non ha mai avuto: né reticenza né leggenda — l'inventario.</w:t>
      </w:r>
    </w:p>
    <w:p>
      <w:pPr>
        <w:spacing w:after="120" w:line="276"/>
        <w:jc w:val="both"/>
      </w:pPr>
      <w:r>
        <w:rPr>
          <w:rFonts w:ascii="Barlow Semi Condensed" w:cs="Barlow Semi Condensed" w:eastAsia="Barlow Semi Condensed" w:hAnsi="Barlow Semi Condensed"/>
          <w:b/>
          <w:bCs/>
          <w:sz w:val="24"/>
          <w:szCs w:val="24"/>
        </w:rPr>
        <w:t xml:space="preserve">220 · La tavola vaticana.</w:t>
      </w:r>
      <w:r>
        <w:rPr>
          <w:rFonts w:ascii="Barlow Semi Condensed" w:cs="Barlow Semi Condensed" w:eastAsia="Barlow Semi Condensed" w:hAnsi="Barlow Semi Condensed"/>
          <w:sz w:val="24"/>
          <w:szCs w:val="24"/>
        </w:rPr>
        <w:t xml:space="preserve"> La chiusura della parte: gli stati di tutti i bersagli (121-219), le pendenze, il fascicolo dei quesiti depositato. Il cantiere dell'archivio chiuso consegna la sua contabilità — e la sua lezione: si può lavorare moltissimo, aspettando bene.</w:t>
      </w:r>
    </w:p>
    <w:p>
      <w:pPr>
        <w:pStyle w:val="Heading2"/>
        <w:spacing w:after="100" w:before="200"/>
      </w:pPr>
      <w:r>
        <w:rPr>
          <w:rFonts w:ascii="Barlow Semi Condensed" w:cs="Barlow Semi Condensed" w:eastAsia="Barlow Semi Condensed" w:hAnsi="Barlow Semi Condensed"/>
          <w:sz w:val="24"/>
          <w:szCs w:val="24"/>
        </w:rPr>
        <w:t xml:space="preserve">Parte terza — I fondi privati e di partito (blocchi 221-330)</w:t>
      </w:r>
    </w:p>
    <w:p>
      <w:pPr>
        <w:spacing w:after="120" w:line="276"/>
        <w:jc w:val="both"/>
      </w:pPr>
      <w:r>
        <w:rPr>
          <w:rFonts w:ascii="Barlow Semi Condensed" w:cs="Barlow Semi Condensed" w:eastAsia="Barlow Semi Condensed" w:hAnsi="Barlow Semi Condensed"/>
          <w:i/>
          <w:iCs/>
          <w:sz w:val="24"/>
          <w:szCs w:val="24"/>
        </w:rPr>
        <w:t xml:space="preserve">Statuto della parte: gli archivi degli uomini. Le carte dei protagonisti esistono, sono censite e in gran parte consultabili — la verifica condotta per quest'opera ne ha fissato le sedi: Andreotti all'Istituto Sturzo, Cossiga all'Archivio storico della Camera, Fanfani all'Archivio storico del Senato, Craxi alla sua Fondazione, la DC allo Sturzo, il PCI alla Fondazione Gramsci, e le carte di Moro in tre nuclei distinti che il cantiere per primo distingue. La parte trasforma il censimento in campagne di spoglio, con la disciplina costante: una carta privata prova ciò che il suo autore scrisse e quando — non ciò che accadde.</w:t>
      </w:r>
    </w:p>
    <w:p>
      <w:pPr>
        <w:pStyle w:val="Heading3"/>
        <w:spacing w:after="80" w:before="160"/>
      </w:pPr>
      <w:r>
        <w:rPr>
          <w:rFonts w:ascii="Barlow Semi Condensed" w:cs="Barlow Semi Condensed" w:eastAsia="Barlow Semi Condensed" w:hAnsi="Barlow Semi Condensed"/>
          <w:sz w:val="24"/>
          <w:szCs w:val="24"/>
        </w:rPr>
        <w:t xml:space="preserve">I tre nuclei di Moro (blocchi 221-235)</w:t>
      </w:r>
    </w:p>
    <w:p>
      <w:pPr>
        <w:spacing w:after="120" w:line="276"/>
        <w:jc w:val="both"/>
      </w:pPr>
      <w:r>
        <w:rPr>
          <w:rFonts w:ascii="Barlow Semi Condensed" w:cs="Barlow Semi Condensed" w:eastAsia="Barlow Semi Condensed" w:hAnsi="Barlow Semi Condensed"/>
          <w:b/>
          <w:bCs/>
          <w:sz w:val="24"/>
          <w:szCs w:val="24"/>
        </w:rPr>
        <w:t xml:space="preserve">221 · Il fondo dell'uomo.</w:t>
      </w:r>
      <w:r>
        <w:rPr>
          <w:rFonts w:ascii="Barlow Semi Condensed" w:cs="Barlow Semi Condensed" w:eastAsia="Barlow Semi Condensed" w:hAnsi="Barlow Semi Condensed"/>
          <w:sz w:val="24"/>
          <w:szCs w:val="24"/>
        </w:rPr>
        <w:t xml:space="preserve"> Il primo nucleo, verificato: il fondo personale «Aldo Moro» all'Archivio centrale dello Stato — carte 1953-1978, duecentodiciotto buste (attività politica, parlamentare e di governo, corrispondenza, carte personali), con inventario analitico informatizzato e digitalizzazione parziale. Prima campagna del cantiere: lo spoglio delle serie dell'ultimo anno.</w:t>
      </w:r>
    </w:p>
    <w:p>
      <w:pPr>
        <w:spacing w:after="120" w:line="276"/>
        <w:jc w:val="both"/>
      </w:pPr>
      <w:r>
        <w:rPr>
          <w:rFonts w:ascii="Barlow Semi Condensed" w:cs="Barlow Semi Condensed" w:eastAsia="Barlow Semi Condensed" w:hAnsi="Barlow Semi Condensed"/>
          <w:b/>
          <w:bCs/>
          <w:sz w:val="24"/>
          <w:szCs w:val="24"/>
        </w:rPr>
        <w:t xml:space="preserve">222 · Il fondo della famiglia.</w:t>
      </w:r>
      <w:r>
        <w:rPr>
          <w:rFonts w:ascii="Barlow Semi Condensed" w:cs="Barlow Semi Condensed" w:eastAsia="Barlow Semi Condensed" w:hAnsi="Barlow Semi Condensed"/>
          <w:sz w:val="24"/>
          <w:szCs w:val="24"/>
        </w:rPr>
        <w:t xml:space="preserve"> Il secondo nucleo, verificato: le carte personali e familiari (dagli anni Trenta in poi) depositate dalla famiglia presso il Centro documentazione Archivio Flamigni fra il 2012 e il 2016 — il fondo «Aldo Moro (Archivio Flamigni)». La distinzione è metodo: le carte che lo Stato conserva e quelle che la famiglia ha affidato a un istituto privato rispondono a storie archivistiche diverse — e il cantiere le censisce separatamente, con le rispettive regole d'accesso.</w:t>
      </w:r>
    </w:p>
    <w:p>
      <w:pPr>
        <w:spacing w:after="120" w:line="276"/>
        <w:jc w:val="both"/>
      </w:pPr>
      <w:r>
        <w:rPr>
          <w:rFonts w:ascii="Barlow Semi Condensed" w:cs="Barlow Semi Condensed" w:eastAsia="Barlow Semi Condensed" w:hAnsi="Barlow Semi Condensed"/>
          <w:b/>
          <w:bCs/>
          <w:sz w:val="24"/>
          <w:szCs w:val="24"/>
        </w:rPr>
        <w:t xml:space="preserve">223 · Il terzo nucleo, che non è suo.</w:t>
      </w:r>
      <w:r>
        <w:rPr>
          <w:rFonts w:ascii="Barlow Semi Condensed" w:cs="Barlow Semi Condensed" w:eastAsia="Barlow Semi Condensed" w:hAnsi="Barlow Semi Condensed"/>
          <w:sz w:val="24"/>
          <w:szCs w:val="24"/>
        </w:rPr>
        <w:t xml:space="preserve"> Il chiarimento permanente: la documentazione statale sul sequestro versata all'ACS per le direttive (la raccolta speciale della serie seconda dell'agenda) non è un fondo Moro — è lo Stato che documenta se stesso. Tre nuclei, tre nature: l'uomo, la famiglia, lo Stato. Chi li confonde cita male; il cantiere li tiene divisi.</w:t>
      </w:r>
    </w:p>
    <w:p>
      <w:pPr>
        <w:spacing w:after="120" w:line="276"/>
        <w:jc w:val="both"/>
      </w:pPr>
      <w:r>
        <w:rPr>
          <w:rFonts w:ascii="Barlow Semi Condensed" w:cs="Barlow Semi Condensed" w:eastAsia="Barlow Semi Condensed" w:hAnsi="Barlow Semi Condensed"/>
          <w:b/>
          <w:bCs/>
          <w:sz w:val="24"/>
          <w:szCs w:val="24"/>
        </w:rPr>
        <w:t xml:space="preserve">224 · L'inventario delle 218 buste.</w:t>
      </w:r>
      <w:r>
        <w:rPr>
          <w:rFonts w:ascii="Barlow Semi Condensed" w:cs="Barlow Semi Condensed" w:eastAsia="Barlow Semi Condensed" w:hAnsi="Barlow Semi Condensed"/>
          <w:sz w:val="24"/>
          <w:szCs w:val="24"/>
        </w:rPr>
        <w:t xml:space="preserve"> Lo spoglio dell'inventario analitico del fondo personale: la mappa delle serie, i pieni e i vuoti cronologici, le carte del 1978 presenti e assenti. Che cosa del suo ultimo anno Moro lasciò in carte proprie — e che cosa non c'è — è la prima tavola del cantiere.</w:t>
      </w:r>
    </w:p>
    <w:p>
      <w:pPr>
        <w:spacing w:after="120" w:line="276"/>
        <w:jc w:val="both"/>
      </w:pPr>
      <w:r>
        <w:rPr>
          <w:rFonts w:ascii="Barlow Semi Condensed" w:cs="Barlow Semi Condensed" w:eastAsia="Barlow Semi Condensed" w:hAnsi="Barlow Semi Condensed"/>
          <w:b/>
          <w:bCs/>
          <w:sz w:val="24"/>
          <w:szCs w:val="24"/>
        </w:rPr>
        <w:t xml:space="preserve">225 · Le carte del docente.</w:t>
      </w:r>
      <w:r>
        <w:rPr>
          <w:rFonts w:ascii="Barlow Semi Condensed" w:cs="Barlow Semi Condensed" w:eastAsia="Barlow Semi Condensed" w:hAnsi="Barlow Semi Condensed"/>
          <w:sz w:val="24"/>
          <w:szCs w:val="24"/>
        </w:rPr>
        <w:t xml:space="preserve"> Dentro il fondo e fuori: le carte dell'insegnamento — i corsi alla Sapienza, gli appunti, i rapporti accademici. L'ultimo mattino dell'uomo passava per l'università: il perimetro documentale del Moro professore appartiene al caso quanto quello dello statista.</w:t>
      </w:r>
    </w:p>
    <w:p>
      <w:pPr>
        <w:spacing w:after="120" w:line="276"/>
        <w:jc w:val="both"/>
      </w:pPr>
      <w:r>
        <w:rPr>
          <w:rFonts w:ascii="Barlow Semi Condensed" w:cs="Barlow Semi Condensed" w:eastAsia="Barlow Semi Condensed" w:hAnsi="Barlow Semi Condensed"/>
          <w:b/>
          <w:bCs/>
          <w:sz w:val="24"/>
          <w:szCs w:val="24"/>
        </w:rPr>
        <w:t xml:space="preserve">226 · La corrispondenza in entrata.</w:t>
      </w:r>
      <w:r>
        <w:rPr>
          <w:rFonts w:ascii="Barlow Semi Condensed" w:cs="Barlow Semi Condensed" w:eastAsia="Barlow Semi Condensed" w:hAnsi="Barlow Semi Condensed"/>
          <w:sz w:val="24"/>
          <w:szCs w:val="24"/>
        </w:rPr>
        <w:t xml:space="preserve"> Le serie di corrispondenza del fondo personale: chi scriveva a Moro e di che cosa, negli anni e nei mesi finali. La rete epistolare dell'uomo, tabulata per corrispondenti e date, è la sua sinaptogenesi personale — e le lettere dell'inverno 1978 sono le più dense di contesto.</w:t>
      </w:r>
    </w:p>
    <w:p>
      <w:pPr>
        <w:spacing w:after="120" w:line="276"/>
        <w:jc w:val="both"/>
      </w:pPr>
      <w:r>
        <w:rPr>
          <w:rFonts w:ascii="Barlow Semi Condensed" w:cs="Barlow Semi Condensed" w:eastAsia="Barlow Semi Condensed" w:hAnsi="Barlow Semi Condensed"/>
          <w:b/>
          <w:bCs/>
          <w:sz w:val="24"/>
          <w:szCs w:val="24"/>
        </w:rPr>
        <w:t xml:space="preserve">227 · L'Accademia e la sua biblioteca.</w:t>
      </w:r>
      <w:r>
        <w:rPr>
          <w:rFonts w:ascii="Barlow Semi Condensed" w:cs="Barlow Semi Condensed" w:eastAsia="Barlow Semi Condensed" w:hAnsi="Barlow Semi Condensed"/>
          <w:sz w:val="24"/>
          <w:szCs w:val="24"/>
        </w:rPr>
        <w:t xml:space="preserve"> L'Accademia di studi storici Aldo Moro: che cosa conserva — biblioteca, materiali, edizioni — e che cosa promuove. L'istituto dedicato all'uomo è un nodo della rete degli studi: il cantiere ne censisce il patrimonio e vi deposita i propri strumenti.</w:t>
      </w:r>
    </w:p>
    <w:p>
      <w:pPr>
        <w:spacing w:after="120" w:line="276"/>
        <w:jc w:val="both"/>
      </w:pPr>
      <w:r>
        <w:rPr>
          <w:rFonts w:ascii="Barlow Semi Condensed" w:cs="Barlow Semi Condensed" w:eastAsia="Barlow Semi Condensed" w:hAnsi="Barlow Semi Condensed"/>
          <w:b/>
          <w:bCs/>
          <w:sz w:val="24"/>
          <w:szCs w:val="24"/>
        </w:rPr>
        <w:t xml:space="preserve">228 · L'Edizione nazionale.</w:t>
      </w:r>
      <w:r>
        <w:rPr>
          <w:rFonts w:ascii="Barlow Semi Condensed" w:cs="Barlow Semi Condensed" w:eastAsia="Barlow Semi Condensed" w:hAnsi="Barlow Semi Condensed"/>
          <w:sz w:val="24"/>
          <w:szCs w:val="24"/>
        </w:rPr>
        <w:t xml:space="preserve"> Il fatto verificato: l'Edizione nazionale delle opere di Aldo Moro, istituita nel 2016 dal Ministero della Cultura, è un'edizione digitale ad accesso aperto curata all'Università di Bologna (aldomorodigitale.unibo.it), con attività dichiarate di analisi linguistica e retorica degli scritti. Il cantiere si raccorda: che cosa è uscito, che cosa è in preparazione, quali fondi usa — l'edizione è l'alleato naturale di ogni filologia morotea.</w:t>
      </w:r>
    </w:p>
    <w:p>
      <w:pPr>
        <w:spacing w:after="120" w:line="276"/>
        <w:jc w:val="both"/>
      </w:pPr>
      <w:r>
        <w:rPr>
          <w:rFonts w:ascii="Barlow Semi Condensed" w:cs="Barlow Semi Condensed" w:eastAsia="Barlow Semi Condensed" w:hAnsi="Barlow Semi Condensed"/>
          <w:b/>
          <w:bCs/>
          <w:sz w:val="24"/>
          <w:szCs w:val="24"/>
        </w:rPr>
        <w:t xml:space="preserve">229 · Le lettere in edizione.</w:t>
      </w:r>
      <w:r>
        <w:rPr>
          <w:rFonts w:ascii="Barlow Semi Condensed" w:cs="Barlow Semi Condensed" w:eastAsia="Barlow Semi Condensed" w:hAnsi="Barlow Semi Condensed"/>
          <w:sz w:val="24"/>
          <w:szCs w:val="24"/>
        </w:rPr>
        <w:t xml:space="preserve"> L'edizione critica delle lettere dalla prigionia (la curatela di Miguel Gotor, Einaudi 2008): l'apparato, i criteri, il censimento dei testimoni manoscritti. La base filologica del quesito 9 dell'agenda: il cantiere la assume, la verifica a campione e vi aggancia le carte nuove.</w:t>
      </w:r>
    </w:p>
    <w:p>
      <w:pPr>
        <w:spacing w:after="120" w:line="276"/>
        <w:jc w:val="both"/>
      </w:pPr>
      <w:r>
        <w:rPr>
          <w:rFonts w:ascii="Barlow Semi Condensed" w:cs="Barlow Semi Condensed" w:eastAsia="Barlow Semi Condensed" w:hAnsi="Barlow Semi Condensed"/>
          <w:b/>
          <w:bCs/>
          <w:sz w:val="24"/>
          <w:szCs w:val="24"/>
        </w:rPr>
        <w:t xml:space="preserve">230 · Il memoriale in edizione.</w:t>
      </w:r>
      <w:r>
        <w:rPr>
          <w:rFonts w:ascii="Barlow Semi Condensed" w:cs="Barlow Semi Condensed" w:eastAsia="Barlow Semi Condensed" w:hAnsi="Barlow Semi Condensed"/>
          <w:sz w:val="24"/>
          <w:szCs w:val="24"/>
        </w:rPr>
        <w:t xml:space="preserve"> Il secondo pilastro editoriale: il lavoro critico sul memoriale (la curatela Gotor del 2011 e l'edizione critica del 2020 presentata all'Archivio di Stato di Roma). Due imprese filologiche distinte, con criteri propri: la tavola comparata delle edizioni è il primo strumento della Parte quinta — e nasce qui, fra i fondi.</w:t>
      </w:r>
    </w:p>
    <w:p>
      <w:pPr>
        <w:spacing w:after="120" w:line="276"/>
        <w:jc w:val="both"/>
      </w:pPr>
      <w:r>
        <w:rPr>
          <w:rFonts w:ascii="Barlow Semi Condensed" w:cs="Barlow Semi Condensed" w:eastAsia="Barlow Semi Condensed" w:hAnsi="Barlow Semi Condensed"/>
          <w:b/>
          <w:bCs/>
          <w:sz w:val="24"/>
          <w:szCs w:val="24"/>
        </w:rPr>
        <w:t xml:space="preserve">231 · Gli scritti politici.</w:t>
      </w:r>
      <w:r>
        <w:rPr>
          <w:rFonts w:ascii="Barlow Semi Condensed" w:cs="Barlow Semi Condensed" w:eastAsia="Barlow Semi Condensed" w:hAnsi="Barlow Semi Condensed"/>
          <w:sz w:val="24"/>
          <w:szCs w:val="24"/>
        </w:rPr>
        <w:t xml:space="preserve"> Il corpus degli scritti e discorsi editi di Moro: le raccolte esistenti, i criteri, i vuoti. La voce pubblica dell'uomo in edizione — la premessa per distinguere, nel memoriale, ciò che ripete il Moro pubblico da ciò che dice solo il prigioniero.</w:t>
      </w:r>
    </w:p>
    <w:p>
      <w:pPr>
        <w:spacing w:after="120" w:line="276"/>
        <w:jc w:val="both"/>
      </w:pPr>
      <w:r>
        <w:rPr>
          <w:rFonts w:ascii="Barlow Semi Condensed" w:cs="Barlow Semi Condensed" w:eastAsia="Barlow Semi Condensed" w:hAnsi="Barlow Semi Condensed"/>
          <w:b/>
          <w:bCs/>
          <w:sz w:val="24"/>
          <w:szCs w:val="24"/>
        </w:rPr>
        <w:t xml:space="preserve">232 · Le agende e i taccuini.</w:t>
      </w:r>
      <w:r>
        <w:rPr>
          <w:rFonts w:ascii="Barlow Semi Condensed" w:cs="Barlow Semi Condensed" w:eastAsia="Barlow Semi Condensed" w:hAnsi="Barlow Semi Condensed"/>
          <w:sz w:val="24"/>
          <w:szCs w:val="24"/>
        </w:rPr>
        <w:t xml:space="preserve"> L'accertamento dedicato: esistono agende, taccuini, diari di Moro — e dove? Nel fondo ACS, presso la famiglia, citati negli atti giudiziari (le borse sottratte in via Fani contenevano carte mai ritrovate)? La tavola di ciò che l'uomo portava scritto con sé — e di ciò che sparì il 16 marzo — è un bersaglio che cuce i fondi ai reperti.</w:t>
      </w:r>
    </w:p>
    <w:p>
      <w:pPr>
        <w:spacing w:after="120" w:line="276"/>
        <w:jc w:val="both"/>
      </w:pPr>
      <w:r>
        <w:rPr>
          <w:rFonts w:ascii="Barlow Semi Condensed" w:cs="Barlow Semi Condensed" w:eastAsia="Barlow Semi Condensed" w:hAnsi="Barlow Semi Condensed"/>
          <w:b/>
          <w:bCs/>
          <w:sz w:val="24"/>
          <w:szCs w:val="24"/>
        </w:rPr>
        <w:t xml:space="preserve">233 · Le carte sequestrate e restituite.</w:t>
      </w:r>
      <w:r>
        <w:rPr>
          <w:rFonts w:ascii="Barlow Semi Condensed" w:cs="Barlow Semi Condensed" w:eastAsia="Barlow Semi Condensed" w:hAnsi="Barlow Semi Condensed"/>
          <w:sz w:val="24"/>
          <w:szCs w:val="24"/>
        </w:rPr>
        <w:t xml:space="preserve"> La storia archivistica delle carte di Moro passate per i sequestri giudiziari: che cosa fu acquisito dalle istruttorie, che cosa restituito, con quali verbali. Il percorso giudiziario delle carte private è documentato negli atti: la sua tavola completa gli inventari.</w:t>
      </w:r>
    </w:p>
    <w:p>
      <w:pPr>
        <w:spacing w:after="120" w:line="276"/>
        <w:jc w:val="both"/>
      </w:pPr>
      <w:r>
        <w:rPr>
          <w:rFonts w:ascii="Barlow Semi Condensed" w:cs="Barlow Semi Condensed" w:eastAsia="Barlow Semi Condensed" w:hAnsi="Barlow Semi Condensed"/>
          <w:b/>
          <w:bCs/>
          <w:sz w:val="24"/>
          <w:szCs w:val="24"/>
        </w:rPr>
        <w:t xml:space="preserve">234 · I carteggi paralleli.</w:t>
      </w:r>
      <w:r>
        <w:rPr>
          <w:rFonts w:ascii="Barlow Semi Condensed" w:cs="Barlow Semi Condensed" w:eastAsia="Barlow Semi Condensed" w:hAnsi="Barlow Semi Condensed"/>
          <w:sz w:val="24"/>
          <w:szCs w:val="24"/>
        </w:rPr>
        <w:t xml:space="preserve"> Le lettere di Moro negli archivi degli altri: i corrispondenti istituzionali (nei fondi Andreotti, Fanfani, Cossiga e negli archivi di partito) conservano l'altra metà dei carteggi. La ricomposizione virtuale della corrispondenza morotea attraverso i fondi altrui: un progetto filologico che solo il censimento incrociato consente.</w:t>
      </w:r>
    </w:p>
    <w:p>
      <w:pPr>
        <w:spacing w:after="120" w:line="276"/>
        <w:jc w:val="both"/>
      </w:pPr>
      <w:r>
        <w:rPr>
          <w:rFonts w:ascii="Barlow Semi Condensed" w:cs="Barlow Semi Condensed" w:eastAsia="Barlow Semi Condensed" w:hAnsi="Barlow Semi Condensed"/>
          <w:b/>
          <w:bCs/>
          <w:sz w:val="24"/>
          <w:szCs w:val="24"/>
        </w:rPr>
        <w:t xml:space="preserve">235 · La tavola dei tre nuclei.</w:t>
      </w:r>
      <w:r>
        <w:rPr>
          <w:rFonts w:ascii="Barlow Semi Condensed" w:cs="Barlow Semi Condensed" w:eastAsia="Barlow Semi Condensed" w:hAnsi="Barlow Semi Condensed"/>
          <w:sz w:val="24"/>
          <w:szCs w:val="24"/>
        </w:rPr>
        <w:t xml:space="preserve"> La chiusura della sezione: la tavola dei tre nuclei con consistenze, inventari, stati di digitalizzazione e di spoglio — e il registro delle confusioni correnti nella pubblicistica, da correggere ogni volta con la citazione esatta. Le carte di Moro, finalmente contate.</w:t>
      </w:r>
    </w:p>
    <w:p>
      <w:pPr>
        <w:pStyle w:val="Heading3"/>
        <w:spacing w:after="80" w:before="160"/>
      </w:pPr>
      <w:r>
        <w:rPr>
          <w:rFonts w:ascii="Barlow Semi Condensed" w:cs="Barlow Semi Condensed" w:eastAsia="Barlow Semi Condensed" w:hAnsi="Barlow Semi Condensed"/>
          <w:sz w:val="24"/>
          <w:szCs w:val="24"/>
        </w:rPr>
        <w:t xml:space="preserve">Le carte dei protagonisti (blocchi 236-270)</w:t>
      </w:r>
    </w:p>
    <w:p>
      <w:pPr>
        <w:spacing w:after="120" w:line="276"/>
        <w:jc w:val="both"/>
      </w:pPr>
      <w:r>
        <w:rPr>
          <w:rFonts w:ascii="Barlow Semi Condensed" w:cs="Barlow Semi Condensed" w:eastAsia="Barlow Semi Condensed" w:hAnsi="Barlow Semi Condensed"/>
          <w:b/>
          <w:bCs/>
          <w:sz w:val="24"/>
          <w:szCs w:val="24"/>
        </w:rPr>
        <w:t xml:space="preserve">236 · L'archivio del presidente del Consiglio.</w:t>
      </w:r>
      <w:r>
        <w:rPr>
          <w:rFonts w:ascii="Barlow Semi Condensed" w:cs="Barlow Semi Condensed" w:eastAsia="Barlow Semi Condensed" w:hAnsi="Barlow Semi Condensed"/>
          <w:sz w:val="24"/>
          <w:szCs w:val="24"/>
        </w:rPr>
        <w:t xml:space="preserve"> Il fatto verificato: l'Archivio Giulio Andreotti è all'Istituto Luigi Sturzo (donato nel luglio 2007; circa tremilacinquecento buste per seicento metri lineari, con una prima sezione in quindici serie tematiche). Il presidente del Consiglio dei 55 giorni ha un archivio censito e consultabile: il cantiere lo spoglia con la griglia dei quesiti.</w:t>
      </w:r>
    </w:p>
    <w:p>
      <w:pPr>
        <w:spacing w:after="120" w:line="276"/>
        <w:jc w:val="both"/>
      </w:pPr>
      <w:r>
        <w:rPr>
          <w:rFonts w:ascii="Barlow Semi Condensed" w:cs="Barlow Semi Condensed" w:eastAsia="Barlow Semi Condensed" w:hAnsi="Barlow Semi Condensed"/>
          <w:b/>
          <w:bCs/>
          <w:sz w:val="24"/>
          <w:szCs w:val="24"/>
        </w:rPr>
        <w:t xml:space="preserve">237 · Dove cercare il 1978 di Andreotti.</w:t>
      </w:r>
      <w:r>
        <w:rPr>
          <w:rFonts w:ascii="Barlow Semi Condensed" w:cs="Barlow Semi Condensed" w:eastAsia="Barlow Semi Condensed" w:hAnsi="Barlow Semi Condensed"/>
          <w:sz w:val="24"/>
          <w:szCs w:val="24"/>
        </w:rPr>
        <w:t xml:space="preserve"> La precisazione d'inventario verificata: non esiste una serie «Moro» né «1978» — la materia morotea è però presente nel fondo, in particolare nella sezione delle «pratiche», oltre che nelle serie tematiche (la serie dei Governi per l'Andreotti IV in carica durante il sequestro, le corrispondenze, gli appunti). Il blocco costruisce la mappa di spoglio serie per serie, prima della sala.</w:t>
      </w:r>
    </w:p>
    <w:p>
      <w:pPr>
        <w:spacing w:after="120" w:line="276"/>
        <w:jc w:val="both"/>
      </w:pPr>
      <w:r>
        <w:rPr>
          <w:rFonts w:ascii="Barlow Semi Condensed" w:cs="Barlow Semi Condensed" w:eastAsia="Barlow Semi Condensed" w:hAnsi="Barlow Semi Condensed"/>
          <w:b/>
          <w:bCs/>
          <w:sz w:val="24"/>
          <w:szCs w:val="24"/>
        </w:rPr>
        <w:t xml:space="preserve">238 · Gli appunti del presidente.</w:t>
      </w:r>
      <w:r>
        <w:rPr>
          <w:rFonts w:ascii="Barlow Semi Condensed" w:cs="Barlow Semi Condensed" w:eastAsia="Barlow Semi Condensed" w:hAnsi="Barlow Semi Condensed"/>
          <w:sz w:val="24"/>
          <w:szCs w:val="24"/>
        </w:rPr>
        <w:t xml:space="preserve"> La caccia mirata dentro il fondo: gli appunti personali di Andreotti sui 55 giorni — le note manoscritte, i promemoria, le minute dei vertici. L'uomo annotava per sistema: se i 55 giorni hanno lasciato appunti coevi, sono fra le carte più dense del cantiere — e si collazionano coi diari editi postumi.</w:t>
      </w:r>
    </w:p>
    <w:p>
      <w:pPr>
        <w:spacing w:after="120" w:line="276"/>
        <w:jc w:val="both"/>
      </w:pPr>
      <w:r>
        <w:rPr>
          <w:rFonts w:ascii="Barlow Semi Condensed" w:cs="Barlow Semi Condensed" w:eastAsia="Barlow Semi Condensed" w:hAnsi="Barlow Semi Condensed"/>
          <w:b/>
          <w:bCs/>
          <w:sz w:val="24"/>
          <w:szCs w:val="24"/>
        </w:rPr>
        <w:t xml:space="preserve">239 · I diari editi e il coevo.</w:t>
      </w:r>
      <w:r>
        <w:rPr>
          <w:rFonts w:ascii="Barlow Semi Condensed" w:cs="Barlow Semi Condensed" w:eastAsia="Barlow Semi Condensed" w:hAnsi="Barlow Semi Condensed"/>
          <w:sz w:val="24"/>
          <w:szCs w:val="24"/>
        </w:rPr>
        <w:t xml:space="preserve"> La collazione Andreotti: i diari e le memorie pubblicate contro le carte coeve del fondo — concordanze, scarti, silenzi. La regola del blocco 170 dell'agenda applicata al testimone più prolifico della Prima repubblica: ciò che pubblicò si misura su ciò che archiviò.</w:t>
      </w:r>
    </w:p>
    <w:p>
      <w:pPr>
        <w:spacing w:after="120" w:line="276"/>
        <w:jc w:val="both"/>
      </w:pPr>
      <w:r>
        <w:rPr>
          <w:rFonts w:ascii="Barlow Semi Condensed" w:cs="Barlow Semi Condensed" w:eastAsia="Barlow Semi Condensed" w:hAnsi="Barlow Semi Condensed"/>
          <w:b/>
          <w:bCs/>
          <w:sz w:val="24"/>
          <w:szCs w:val="24"/>
        </w:rPr>
        <w:t xml:space="preserve">240 · L'archivio del ministro dell'Interno.</w:t>
      </w:r>
      <w:r>
        <w:rPr>
          <w:rFonts w:ascii="Barlow Semi Condensed" w:cs="Barlow Semi Condensed" w:eastAsia="Barlow Semi Condensed" w:hAnsi="Barlow Semi Condensed"/>
          <w:sz w:val="24"/>
          <w:szCs w:val="24"/>
        </w:rPr>
        <w:t xml:space="preserve"> Il fatto verificato: l'archivio privato di Francesco Cossiga (1944-2011) è all'Archivio storico della Camera dei deputati — donato dai figli, trecentotto buste per tremilaquattrocentosettantaquattro unità archivistiche, con inventario informatizzato. Il titolare del Viminale dei 55 giorni ha le carte a un indirizzo certo: il cantiere vi entra dall'inventario.</w:t>
      </w:r>
    </w:p>
    <w:p>
      <w:pPr>
        <w:spacing w:after="120" w:line="276"/>
        <w:jc w:val="both"/>
      </w:pPr>
      <w:r>
        <w:rPr>
          <w:rFonts w:ascii="Barlow Semi Condensed" w:cs="Barlow Semi Condensed" w:eastAsia="Barlow Semi Condensed" w:hAnsi="Barlow Semi Condensed"/>
          <w:b/>
          <w:bCs/>
          <w:sz w:val="24"/>
          <w:szCs w:val="24"/>
        </w:rPr>
        <w:t xml:space="preserve">241 · Il 1978 di Cossiga.</w:t>
      </w:r>
      <w:r>
        <w:rPr>
          <w:rFonts w:ascii="Barlow Semi Condensed" w:cs="Barlow Semi Condensed" w:eastAsia="Barlow Semi Condensed" w:hAnsi="Barlow Semi Condensed"/>
          <w:sz w:val="24"/>
          <w:szCs w:val="24"/>
        </w:rPr>
        <w:t xml:space="preserve"> Lo spoglio mirato del fondo Cossiga per il sequestro: le serie del periodo ministeriale, i carteggi, gli appunti — e il confronto sistematico con le sue moltissime parole pubbliche successive (audizioni, interviste, libri). Nessun protagonista parlò più di lui, per decenni: la tavola parole-carte è il prodotto capitale del blocco.</w:t>
      </w:r>
    </w:p>
    <w:p>
      <w:pPr>
        <w:spacing w:after="120" w:line="276"/>
        <w:jc w:val="both"/>
      </w:pPr>
      <w:r>
        <w:rPr>
          <w:rFonts w:ascii="Barlow Semi Condensed" w:cs="Barlow Semi Condensed" w:eastAsia="Barlow Semi Condensed" w:hAnsi="Barlow Semi Condensed"/>
          <w:b/>
          <w:bCs/>
          <w:sz w:val="24"/>
          <w:szCs w:val="24"/>
        </w:rPr>
        <w:t xml:space="preserve">242 · Le dimissioni in carta.</w:t>
      </w:r>
      <w:r>
        <w:rPr>
          <w:rFonts w:ascii="Barlow Semi Condensed" w:cs="Barlow Semi Condensed" w:eastAsia="Barlow Semi Condensed" w:hAnsi="Barlow Semi Condensed"/>
          <w:sz w:val="24"/>
          <w:szCs w:val="24"/>
        </w:rPr>
        <w:t xml:space="preserve"> Il fascicolo delle dimissioni del 9 maggio nelle carte private: le minute, le lettere, le reazioni. L'atto politico che chiuse i 55 giorni al Viminale, visto dalle carte dell'uomo che lo compì: un bersaglio piccolo, denso e datato.</w:t>
      </w:r>
    </w:p>
    <w:p>
      <w:pPr>
        <w:spacing w:after="120" w:line="276"/>
        <w:jc w:val="both"/>
      </w:pPr>
      <w:r>
        <w:rPr>
          <w:rFonts w:ascii="Barlow Semi Condensed" w:cs="Barlow Semi Condensed" w:eastAsia="Barlow Semi Condensed" w:hAnsi="Barlow Semi Condensed"/>
          <w:b/>
          <w:bCs/>
          <w:sz w:val="24"/>
          <w:szCs w:val="24"/>
        </w:rPr>
        <w:t xml:space="preserve">243 · L'archivio del presidente del Senato.</w:t>
      </w:r>
      <w:r>
        <w:rPr>
          <w:rFonts w:ascii="Barlow Semi Condensed" w:cs="Barlow Semi Condensed" w:eastAsia="Barlow Semi Condensed" w:hAnsi="Barlow Semi Condensed"/>
          <w:sz w:val="24"/>
          <w:szCs w:val="24"/>
        </w:rPr>
        <w:t xml:space="preserve"> Il fatto verificato: il fondo Amintore Fanfani è all'Archivio storico del Senato — duecentonovantatré buste, milleottocentosessantadue fascicoli e quarantatré diari e agende, con inventario online. Il presidente del Senato del 1978, e l'uomo della «terza via» possibile: le sue carte sono censite e la campagna si costruisce sull'inventario.</w:t>
      </w:r>
    </w:p>
    <w:p>
      <w:pPr>
        <w:spacing w:after="120" w:line="276"/>
        <w:jc w:val="both"/>
      </w:pPr>
      <w:r>
        <w:rPr>
          <w:rFonts w:ascii="Barlow Semi Condensed" w:cs="Barlow Semi Condensed" w:eastAsia="Barlow Semi Condensed" w:hAnsi="Barlow Semi Condensed"/>
          <w:b/>
          <w:bCs/>
          <w:sz w:val="24"/>
          <w:szCs w:val="24"/>
        </w:rPr>
        <w:t xml:space="preserve">244 · I diari di Fanfani.</w:t>
      </w:r>
      <w:r>
        <w:rPr>
          <w:rFonts w:ascii="Barlow Semi Condensed" w:cs="Barlow Semi Condensed" w:eastAsia="Barlow Semi Condensed" w:hAnsi="Barlow Semi Condensed"/>
          <w:sz w:val="24"/>
          <w:szCs w:val="24"/>
        </w:rPr>
        <w:t xml:space="preserve"> Il bersaglio nel bersaglio, verificato: i diari — quarantatré volumi manoscritti, con l'edizione a stampa in corso per volumi e il tomo 1977-1980 nel piano dell'opera. Il diario coevo di un vertice istituzionale dei 55 giorni: quando il volume uscirà, la collazione col resto del cantiere sarà immediata — e finché non esce, la consultazione del manoscritto si chiede all'archivio.</w:t>
      </w:r>
    </w:p>
    <w:p>
      <w:pPr>
        <w:spacing w:after="120" w:line="276"/>
        <w:jc w:val="both"/>
      </w:pPr>
      <w:r>
        <w:rPr>
          <w:rFonts w:ascii="Barlow Semi Condensed" w:cs="Barlow Semi Condensed" w:eastAsia="Barlow Semi Condensed" w:hAnsi="Barlow Semi Condensed"/>
          <w:b/>
          <w:bCs/>
          <w:sz w:val="24"/>
          <w:szCs w:val="24"/>
        </w:rPr>
        <w:t xml:space="preserve">245 · Il 1978 di Fanfani, fuori dai diari.</w:t>
      </w:r>
      <w:r>
        <w:rPr>
          <w:rFonts w:ascii="Barlow Semi Condensed" w:cs="Barlow Semi Condensed" w:eastAsia="Barlow Semi Condensed" w:hAnsi="Barlow Semi Condensed"/>
          <w:sz w:val="24"/>
          <w:szCs w:val="24"/>
        </w:rPr>
        <w:t xml:space="preserve"> Le serie non diaristiche del fondo per i 55 giorni: corrispondenza, discorsi, carte di presidenza. La voce istituzionale del Senato nella crisi — convocazioni, contatti coi gruppi, gestione dell'aula — in carta propria.</w:t>
      </w:r>
    </w:p>
    <w:p>
      <w:pPr>
        <w:spacing w:after="120" w:line="276"/>
        <w:jc w:val="both"/>
      </w:pPr>
      <w:r>
        <w:rPr>
          <w:rFonts w:ascii="Barlow Semi Condensed" w:cs="Barlow Semi Condensed" w:eastAsia="Barlow Semi Condensed" w:hAnsi="Barlow Semi Condensed"/>
          <w:b/>
          <w:bCs/>
          <w:sz w:val="24"/>
          <w:szCs w:val="24"/>
        </w:rPr>
        <w:t xml:space="preserve">246 · Le carte di Zaccagnini.</w:t>
      </w:r>
      <w:r>
        <w:rPr>
          <w:rFonts w:ascii="Barlow Semi Condensed" w:cs="Barlow Semi Condensed" w:eastAsia="Barlow Semi Condensed" w:hAnsi="Barlow Semi Condensed"/>
          <w:sz w:val="24"/>
          <w:szCs w:val="24"/>
        </w:rPr>
        <w:t xml:space="preserve"> L'accertamento dedicato: dove sono le carte di Benigno Zaccagnini — il segretario della DC destinatario delle lettere più laceranti? Fondi personali censiti, carte presso la famiglia, materiali negli archivi DC: il cantiere chiude un vuoto di censimento che la letteratura non ha mai colmato con precisione.</w:t>
      </w:r>
    </w:p>
    <w:p>
      <w:pPr>
        <w:spacing w:after="120" w:line="276"/>
        <w:jc w:val="both"/>
      </w:pPr>
      <w:r>
        <w:rPr>
          <w:rFonts w:ascii="Barlow Semi Condensed" w:cs="Barlow Semi Condensed" w:eastAsia="Barlow Semi Condensed" w:hAnsi="Barlow Semi Condensed"/>
          <w:b/>
          <w:bCs/>
          <w:sz w:val="24"/>
          <w:szCs w:val="24"/>
        </w:rPr>
        <w:t xml:space="preserve">247 · Il fascicolo «Caso Moro» di Craxi.</w:t>
      </w:r>
      <w:r>
        <w:rPr>
          <w:rFonts w:ascii="Barlow Semi Condensed" w:cs="Barlow Semi Condensed" w:eastAsia="Barlow Semi Condensed" w:hAnsi="Barlow Semi Condensed"/>
          <w:sz w:val="24"/>
          <w:szCs w:val="24"/>
        </w:rPr>
        <w:t xml:space="preserve"> Il fatto verificato: la Fondazione Craxi (costituita nel 2000) conserva l'archivio di Bettino Craxi, e nell'inventario figura un fascicolo dedicato al caso Moro che documenta la posizione del PSI. La linea della trattativa in carta di parte: lo spoglio integrale del fascicolo e delle serie contigue del 1978.</w:t>
      </w:r>
    </w:p>
    <w:p>
      <w:pPr>
        <w:spacing w:after="120" w:line="276"/>
        <w:jc w:val="both"/>
      </w:pPr>
      <w:r>
        <w:rPr>
          <w:rFonts w:ascii="Barlow Semi Condensed" w:cs="Barlow Semi Condensed" w:eastAsia="Barlow Semi Condensed" w:hAnsi="Barlow Semi Condensed"/>
          <w:b/>
          <w:bCs/>
          <w:sz w:val="24"/>
          <w:szCs w:val="24"/>
        </w:rPr>
        <w:t xml:space="preserve">248 · L'iniziativa socialista, atto per atto.</w:t>
      </w:r>
      <w:r>
        <w:rPr>
          <w:rFonts w:ascii="Barlow Semi Condensed" w:cs="Barlow Semi Condensed" w:eastAsia="Barlow Semi Condensed" w:hAnsi="Barlow Semi Condensed"/>
          <w:sz w:val="24"/>
          <w:szCs w:val="24"/>
        </w:rPr>
        <w:t xml:space="preserve"> Dal fascicolo alla cronologia: la ricostruzione documentale dell'iniziativa socialista dei 55 giorni — i contatti esplorati, gli intermediari, le riunioni — dalle carte Craxi incrociate con gli atti parlamentari e con le memorie edite dei protagonisti socialisti. Il terzo canale della crisi, finalmente in tavola cronologica.</w:t>
      </w:r>
    </w:p>
    <w:p>
      <w:pPr>
        <w:spacing w:after="120" w:line="276"/>
        <w:jc w:val="both"/>
      </w:pPr>
      <w:r>
        <w:rPr>
          <w:rFonts w:ascii="Barlow Semi Condensed" w:cs="Barlow Semi Condensed" w:eastAsia="Barlow Semi Condensed" w:hAnsi="Barlow Semi Condensed"/>
          <w:b/>
          <w:bCs/>
          <w:sz w:val="24"/>
          <w:szCs w:val="24"/>
        </w:rPr>
        <w:t xml:space="preserve">249 · Le carte del Quirinale.</w:t>
      </w:r>
      <w:r>
        <w:rPr>
          <w:rFonts w:ascii="Barlow Semi Condensed" w:cs="Barlow Semi Condensed" w:eastAsia="Barlow Semi Condensed" w:hAnsi="Barlow Semi Condensed"/>
          <w:sz w:val="24"/>
          <w:szCs w:val="24"/>
        </w:rPr>
        <w:t xml:space="preserve"> L'archivio storico della Presidenza della Repubblica per il settennato Leone: le serie del 1978, i carteggi del capo dello Stato nei 55 giorni, gli atti sulla grazia possibile (la «liberazione di un detenuto» che le lettere evocarono). Un archivio istituzionale con regole proprie — e un fascicolo, quello della grazia, che è un quesito a sé.</w:t>
      </w:r>
    </w:p>
    <w:p>
      <w:pPr>
        <w:spacing w:after="120" w:line="276"/>
        <w:jc w:val="both"/>
      </w:pPr>
      <w:r>
        <w:rPr>
          <w:rFonts w:ascii="Barlow Semi Condensed" w:cs="Barlow Semi Condensed" w:eastAsia="Barlow Semi Condensed" w:hAnsi="Barlow Semi Condensed"/>
          <w:b/>
          <w:bCs/>
          <w:sz w:val="24"/>
          <w:szCs w:val="24"/>
        </w:rPr>
        <w:t xml:space="preserve">250 · Il fascicolo della grazia.</w:t>
      </w:r>
      <w:r>
        <w:rPr>
          <w:rFonts w:ascii="Barlow Semi Condensed" w:cs="Barlow Semi Condensed" w:eastAsia="Barlow Semi Condensed" w:hAnsi="Barlow Semi Condensed"/>
          <w:sz w:val="24"/>
          <w:szCs w:val="24"/>
        </w:rPr>
        <w:t xml:space="preserve"> Il bersaglio mirato: gli atti sulla possibile grazia a un detenuto come atto risolutivo — che cosa fu istruito al Quirinale e alla Giustizia, quando, con quali pareri. La «soluzione Besuschio» degli ultimi giorni ha lasciato carte in più archivi: la loro riunione in un solo fascicolo virtuale è l'esito atteso.</w:t>
      </w:r>
    </w:p>
    <w:p>
      <w:pPr>
        <w:spacing w:after="120" w:line="276"/>
        <w:jc w:val="both"/>
      </w:pPr>
      <w:r>
        <w:rPr>
          <w:rFonts w:ascii="Barlow Semi Condensed" w:cs="Barlow Semi Condensed" w:eastAsia="Barlow Semi Condensed" w:hAnsi="Barlow Semi Condensed"/>
          <w:b/>
          <w:bCs/>
          <w:sz w:val="24"/>
          <w:szCs w:val="24"/>
        </w:rPr>
        <w:t xml:space="preserve">251 · Le carte dei ministri degli Esteri e della Difesa.</w:t>
      </w:r>
      <w:r>
        <w:rPr>
          <w:rFonts w:ascii="Barlow Semi Condensed" w:cs="Barlow Semi Condensed" w:eastAsia="Barlow Semi Condensed" w:hAnsi="Barlow Semi Condensed"/>
          <w:sz w:val="24"/>
          <w:szCs w:val="24"/>
        </w:rPr>
        <w:t xml:space="preserve"> I fondi personali dei titolari di Esteri e Difesa del 1978: censimento delle sedi e spoglio dei 55 giorni — la crisi vista dai dicasteri della dimensione internazionale. Il raccordo naturale col cantiere estero: le carte italiane che rispondono ai cablo alleati.</w:t>
      </w:r>
    </w:p>
    <w:p>
      <w:pPr>
        <w:spacing w:after="120" w:line="276"/>
        <w:jc w:val="both"/>
      </w:pPr>
      <w:r>
        <w:rPr>
          <w:rFonts w:ascii="Barlow Semi Condensed" w:cs="Barlow Semi Condensed" w:eastAsia="Barlow Semi Condensed" w:hAnsi="Barlow Semi Condensed"/>
          <w:b/>
          <w:bCs/>
          <w:sz w:val="24"/>
          <w:szCs w:val="24"/>
        </w:rPr>
        <w:t xml:space="preserve">252 · Le carte del Guardasigilli.</w:t>
      </w:r>
      <w:r>
        <w:rPr>
          <w:rFonts w:ascii="Barlow Semi Condensed" w:cs="Barlow Semi Condensed" w:eastAsia="Barlow Semi Condensed" w:hAnsi="Barlow Semi Condensed"/>
          <w:sz w:val="24"/>
          <w:szCs w:val="24"/>
        </w:rPr>
        <w:t xml:space="preserve"> Il fondo del ministro della Giustizia del 1978: censimento e spoglio — le carceri, i colloqui, la grazia, i rapporti con la magistratura nei 55 giorni. Il dicastero più silenzioso della crisi è quello i cui atti toccavano i detenuti: la sua carta privata completa quella d'ufficio.</w:t>
      </w:r>
    </w:p>
    <w:p>
      <w:pPr>
        <w:spacing w:after="120" w:line="276"/>
        <w:jc w:val="both"/>
      </w:pPr>
      <w:r>
        <w:rPr>
          <w:rFonts w:ascii="Barlow Semi Condensed" w:cs="Barlow Semi Condensed" w:eastAsia="Barlow Semi Condensed" w:hAnsi="Barlow Semi Condensed"/>
          <w:b/>
          <w:bCs/>
          <w:sz w:val="24"/>
          <w:szCs w:val="24"/>
        </w:rPr>
        <w:t xml:space="preserve">253 · I sottosegretari e i capigruppo.</w:t>
      </w:r>
      <w:r>
        <w:rPr>
          <w:rFonts w:ascii="Barlow Semi Condensed" w:cs="Barlow Semi Condensed" w:eastAsia="Barlow Semi Condensed" w:hAnsi="Barlow Semi Condensed"/>
          <w:sz w:val="24"/>
          <w:szCs w:val="24"/>
        </w:rPr>
        <w:t xml:space="preserve"> Il censimento allargato: i fondi personali dei sottosegretari chiave e dei capigruppo parlamentari del 1978 — dove esistono, che cosa coprono. Il secondo cerchio della decisione politica: meno celebre, spesso meglio conservato, quasi mai spogliato.</w:t>
      </w:r>
    </w:p>
    <w:p>
      <w:pPr>
        <w:spacing w:after="120" w:line="276"/>
        <w:jc w:val="both"/>
      </w:pPr>
      <w:r>
        <w:rPr>
          <w:rFonts w:ascii="Barlow Semi Condensed" w:cs="Barlow Semi Condensed" w:eastAsia="Barlow Semi Condensed" w:hAnsi="Barlow Semi Condensed"/>
          <w:b/>
          <w:bCs/>
          <w:sz w:val="24"/>
          <w:szCs w:val="24"/>
        </w:rPr>
        <w:t xml:space="preserve">254 · Le carte di Ingrao e della sinistra interna.</w:t>
      </w:r>
      <w:r>
        <w:rPr>
          <w:rFonts w:ascii="Barlow Semi Condensed" w:cs="Barlow Semi Condensed" w:eastAsia="Barlow Semi Condensed" w:hAnsi="Barlow Semi Condensed"/>
          <w:sz w:val="24"/>
          <w:szCs w:val="24"/>
        </w:rPr>
        <w:t xml:space="preserve"> I fondi dei dirigenti comunisti del 1978 (alla Fondazione Gramsci e negli istituti collegati): la crisi vista dal partito della fermezza più ferma — il dibattito interno documentato, oltre la linea pubblica. Il raccordo con la sezione degli archivi di partito, per la parte personale.</w:t>
      </w:r>
    </w:p>
    <w:p>
      <w:pPr>
        <w:spacing w:after="120" w:line="276"/>
        <w:jc w:val="both"/>
      </w:pPr>
      <w:r>
        <w:rPr>
          <w:rFonts w:ascii="Barlow Semi Condensed" w:cs="Barlow Semi Condensed" w:eastAsia="Barlow Semi Condensed" w:hAnsi="Barlow Semi Condensed"/>
          <w:b/>
          <w:bCs/>
          <w:sz w:val="24"/>
          <w:szCs w:val="24"/>
        </w:rPr>
        <w:t xml:space="preserve">255 · Le carte di La Malfa e dei laici.</w:t>
      </w:r>
      <w:r>
        <w:rPr>
          <w:rFonts w:ascii="Barlow Semi Condensed" w:cs="Barlow Semi Condensed" w:eastAsia="Barlow Semi Condensed" w:hAnsi="Barlow Semi Condensed"/>
          <w:sz w:val="24"/>
          <w:szCs w:val="24"/>
        </w:rPr>
        <w:t xml:space="preserve"> I fondi dei leader laici del 1978 — repubblicani, socialdemocratici, liberali: censimento e spoglio dei 55 giorni. Le voci minori della maggioranza di solidarietà: piccole per peso parlamentare, preziose per indipendenza di sguardo.</w:t>
      </w:r>
    </w:p>
    <w:p>
      <w:pPr>
        <w:spacing w:after="120" w:line="276"/>
        <w:jc w:val="both"/>
      </w:pPr>
      <w:r>
        <w:rPr>
          <w:rFonts w:ascii="Barlow Semi Condensed" w:cs="Barlow Semi Condensed" w:eastAsia="Barlow Semi Condensed" w:hAnsi="Barlow Semi Condensed"/>
          <w:b/>
          <w:bCs/>
          <w:sz w:val="24"/>
          <w:szCs w:val="24"/>
        </w:rPr>
        <w:t xml:space="preserve">256 · Il notabilato democristiano.</w:t>
      </w:r>
      <w:r>
        <w:rPr>
          <w:rFonts w:ascii="Barlow Semi Condensed" w:cs="Barlow Semi Condensed" w:eastAsia="Barlow Semi Condensed" w:hAnsi="Barlow Semi Condensed"/>
          <w:sz w:val="24"/>
          <w:szCs w:val="24"/>
        </w:rPr>
        <w:t xml:space="preserve"> I fondi degli altri dirigenti DC del 1978 — i capicorrente, i ministri, i colonnelli: la mappa dei fondi personali democristiani censiti negli istituti (Sturzo in testa) e lo spoglio coordinato dei 55 giorni. Il partito del prigioniero, voce per voce.</w:t>
      </w:r>
    </w:p>
    <w:p>
      <w:pPr>
        <w:spacing w:after="120" w:line="276"/>
        <w:jc w:val="both"/>
      </w:pPr>
      <w:r>
        <w:rPr>
          <w:rFonts w:ascii="Barlow Semi Condensed" w:cs="Barlow Semi Condensed" w:eastAsia="Barlow Semi Condensed" w:hAnsi="Barlow Semi Condensed"/>
          <w:b/>
          <w:bCs/>
          <w:sz w:val="24"/>
          <w:szCs w:val="24"/>
        </w:rPr>
        <w:t xml:space="preserve">257 · Le carte dei consiglieri.</w:t>
      </w:r>
      <w:r>
        <w:rPr>
          <w:rFonts w:ascii="Barlow Semi Condensed" w:cs="Barlow Semi Condensed" w:eastAsia="Barlow Semi Condensed" w:hAnsi="Barlow Semi Condensed"/>
          <w:sz w:val="24"/>
          <w:szCs w:val="24"/>
        </w:rPr>
        <w:t xml:space="preserve"> I fondi dei consiglieri e collaboratori diretti dei leader — i capi di gabinetto, i portavoce, i segretari particolari: censimento mirato. Chi teneva la penna per i principali ha spesso conservato più carta dei principali: è la regola d'oro della ricerca sui gabinetti.</w:t>
      </w:r>
    </w:p>
    <w:p>
      <w:pPr>
        <w:spacing w:after="120" w:line="276"/>
        <w:jc w:val="both"/>
      </w:pPr>
      <w:r>
        <w:rPr>
          <w:rFonts w:ascii="Barlow Semi Condensed" w:cs="Barlow Semi Condensed" w:eastAsia="Barlow Semi Condensed" w:hAnsi="Barlow Semi Condensed"/>
          <w:b/>
          <w:bCs/>
          <w:sz w:val="24"/>
          <w:szCs w:val="24"/>
        </w:rPr>
        <w:t xml:space="preserve">258 · Gli epistolari incrociati.</w:t>
      </w:r>
      <w:r>
        <w:rPr>
          <w:rFonts w:ascii="Barlow Semi Condensed" w:cs="Barlow Semi Condensed" w:eastAsia="Barlow Semi Condensed" w:hAnsi="Barlow Semi Condensed"/>
          <w:sz w:val="24"/>
          <w:szCs w:val="24"/>
        </w:rPr>
        <w:t xml:space="preserve"> La tavola degli epistolari fra protagonisti: chi scrisse a chi nei 55 giorni, ricostruito incrociando i fondi (la lettera spedita sta nel fondo del destinatario). La rete epistolare della crisi come grafo documentale — il gemello privato della rete istituzionale.</w:t>
      </w:r>
    </w:p>
    <w:p>
      <w:pPr>
        <w:spacing w:after="120" w:line="276"/>
        <w:jc w:val="both"/>
      </w:pPr>
      <w:r>
        <w:rPr>
          <w:rFonts w:ascii="Barlow Semi Condensed" w:cs="Barlow Semi Condensed" w:eastAsia="Barlow Semi Condensed" w:hAnsi="Barlow Semi Condensed"/>
          <w:b/>
          <w:bCs/>
          <w:sz w:val="24"/>
          <w:szCs w:val="24"/>
        </w:rPr>
        <w:t xml:space="preserve">259 · Le carte non ancora donate.</w:t>
      </w:r>
      <w:r>
        <w:rPr>
          <w:rFonts w:ascii="Barlow Semi Condensed" w:cs="Barlow Semi Condensed" w:eastAsia="Barlow Semi Condensed" w:hAnsi="Barlow Semi Condensed"/>
          <w:sz w:val="24"/>
          <w:szCs w:val="24"/>
        </w:rPr>
        <w:t xml:space="preserve"> Il censimento dei protagonisti del 1978 le cui carte non risultano in alcun istituto: la lista, famiglia per famiglia, e la proposta di deposito con la richiesta-tipo dell'agenda (blocco 177). Ogni successione ereditaria che passa senza deposito è un rischio secco di dispersione: la lista è urgente per costruzione.</w:t>
      </w:r>
    </w:p>
    <w:p>
      <w:pPr>
        <w:spacing w:after="120" w:line="276"/>
        <w:jc w:val="both"/>
      </w:pPr>
      <w:r>
        <w:rPr>
          <w:rFonts w:ascii="Barlow Semi Condensed" w:cs="Barlow Semi Condensed" w:eastAsia="Barlow Semi Condensed" w:hAnsi="Barlow Semi Condensed"/>
          <w:b/>
          <w:bCs/>
          <w:sz w:val="24"/>
          <w:szCs w:val="24"/>
        </w:rPr>
        <w:t xml:space="preserve">260 · La tavola dei protagonisti.</w:t>
      </w:r>
      <w:r>
        <w:rPr>
          <w:rFonts w:ascii="Barlow Semi Condensed" w:cs="Barlow Semi Condensed" w:eastAsia="Barlow Semi Condensed" w:hAnsi="Barlow Semi Condensed"/>
          <w:sz w:val="24"/>
          <w:szCs w:val="24"/>
        </w:rPr>
        <w:t xml:space="preserve"> La chiusura della sezione: la tavola dei fondi personali — protagonista per protagonista, con sede, consistenza, inventario, stato di spoglio, 1978 presente o assente. La classe dirigente della crisi, contata per carte: chi ha lasciato che cosa, e dove.</w:t>
      </w:r>
    </w:p>
    <w:p>
      <w:pPr>
        <w:pStyle w:val="Heading3"/>
        <w:spacing w:after="80" w:before="160"/>
      </w:pPr>
      <w:r>
        <w:rPr>
          <w:rFonts w:ascii="Barlow Semi Condensed" w:cs="Barlow Semi Condensed" w:eastAsia="Barlow Semi Condensed" w:hAnsi="Barlow Semi Condensed"/>
          <w:sz w:val="24"/>
          <w:szCs w:val="24"/>
        </w:rPr>
        <w:t xml:space="preserve">Gli archivi di partito (blocchi 261-270)</w:t>
      </w:r>
    </w:p>
    <w:p>
      <w:pPr>
        <w:spacing w:after="120" w:line="276"/>
        <w:jc w:val="both"/>
      </w:pPr>
      <w:r>
        <w:rPr>
          <w:rFonts w:ascii="Barlow Semi Condensed" w:cs="Barlow Semi Condensed" w:eastAsia="Barlow Semi Condensed" w:hAnsi="Barlow Semi Condensed"/>
          <w:b/>
          <w:bCs/>
          <w:sz w:val="24"/>
          <w:szCs w:val="24"/>
        </w:rPr>
        <w:t xml:space="preserve">261 · La Balena allo Sturzo.</w:t>
      </w:r>
      <w:r>
        <w:rPr>
          <w:rFonts w:ascii="Barlow Semi Condensed" w:cs="Barlow Semi Condensed" w:eastAsia="Barlow Semi Condensed" w:hAnsi="Barlow Semi Condensed"/>
          <w:sz w:val="24"/>
          <w:szCs w:val="24"/>
        </w:rPr>
        <w:t xml:space="preserve"> Il fatto verificato: l'archivio degli organi centrali della Democrazia cristiana è dal 1994 all'Istituto Sturzo (deposito convenzionale dell'erede PPI): congressi, consigli nazionali, direzione, segreteria. Il partito di Moro ha il suo archivio a un indirizzo solo: la campagna DC parte dalla direzione del marzo-maggio 1978.</w:t>
      </w:r>
    </w:p>
    <w:p>
      <w:pPr>
        <w:spacing w:after="120" w:line="276"/>
        <w:jc w:val="both"/>
      </w:pPr>
      <w:r>
        <w:rPr>
          <w:rFonts w:ascii="Barlow Semi Condensed" w:cs="Barlow Semi Condensed" w:eastAsia="Barlow Semi Condensed" w:hAnsi="Barlow Semi Condensed"/>
          <w:b/>
          <w:bCs/>
          <w:sz w:val="24"/>
          <w:szCs w:val="24"/>
        </w:rPr>
        <w:t xml:space="preserve">262 · La direzione DC dei 55 giorni.</w:t>
      </w:r>
      <w:r>
        <w:rPr>
          <w:rFonts w:ascii="Barlow Semi Condensed" w:cs="Barlow Semi Condensed" w:eastAsia="Barlow Semi Condensed" w:hAnsi="Barlow Semi Condensed"/>
          <w:sz w:val="24"/>
          <w:szCs w:val="24"/>
        </w:rPr>
        <w:t xml:space="preserve"> Lo spoglio mirato: i verbali della direzione e degli organi DC nei 55 giorni — le riunioni documentate, le posizioni verbalizzate, i comunicati approvati. La linea della fermezza nel partito del prigioniero, atto per atto: il complemento collettivo delle carte personali democristiane.</w:t>
      </w:r>
    </w:p>
    <w:p>
      <w:pPr>
        <w:spacing w:after="120" w:line="276"/>
        <w:jc w:val="both"/>
      </w:pPr>
      <w:r>
        <w:rPr>
          <w:rFonts w:ascii="Barlow Semi Condensed" w:cs="Barlow Semi Condensed" w:eastAsia="Barlow Semi Condensed" w:hAnsi="Barlow Semi Condensed"/>
          <w:b/>
          <w:bCs/>
          <w:sz w:val="24"/>
          <w:szCs w:val="24"/>
        </w:rPr>
        <w:t xml:space="preserve">263 · Il gruppo DC al Senato.</w:t>
      </w:r>
      <w:r>
        <w:rPr>
          <w:rFonts w:ascii="Barlow Semi Condensed" w:cs="Barlow Semi Condensed" w:eastAsia="Barlow Semi Condensed" w:hAnsi="Barlow Semi Condensed"/>
          <w:sz w:val="24"/>
          <w:szCs w:val="24"/>
        </w:rPr>
        <w:t xml:space="preserve"> Il fondo verificato del Gruppo parlamentare DC del Senato (anch'esso allo Sturzo): le riunioni di gruppo dei 55 giorni, gli interventi, le tensioni interne verbalizzate. Il partito parlamentare oltre il partito degli organi: una voce distinta, spesso più franca.</w:t>
      </w:r>
    </w:p>
    <w:p>
      <w:pPr>
        <w:spacing w:after="120" w:line="276"/>
        <w:jc w:val="both"/>
      </w:pPr>
      <w:r>
        <w:rPr>
          <w:rFonts w:ascii="Barlow Semi Condensed" w:cs="Barlow Semi Condensed" w:eastAsia="Barlow Semi Condensed" w:hAnsi="Barlow Semi Condensed"/>
          <w:b/>
          <w:bCs/>
          <w:sz w:val="24"/>
          <w:szCs w:val="24"/>
        </w:rPr>
        <w:t xml:space="preserve">264 · Botteghe Oscure alla Gramsci.</w:t>
      </w:r>
      <w:r>
        <w:rPr>
          <w:rFonts w:ascii="Barlow Semi Condensed" w:cs="Barlow Semi Condensed" w:eastAsia="Barlow Semi Condensed" w:hAnsi="Barlow Semi Condensed"/>
          <w:sz w:val="24"/>
          <w:szCs w:val="24"/>
        </w:rPr>
        <w:t xml:space="preserve"> Il fatto verificato: l'intero archivio del PCI (1921-1991, quattromilacentottantaquattro buste) è alla Fondazione Gramsci, dichiarato di interesse culturale, aperto e inventariato — col limite trentennale ormai superato per il 1978. La campagna PCI: direzione, segreteria e sezioni di lavoro nei 55 giorni.</w:t>
      </w:r>
    </w:p>
    <w:p>
      <w:pPr>
        <w:spacing w:after="120" w:line="276"/>
        <w:jc w:val="both"/>
      </w:pPr>
      <w:r>
        <w:rPr>
          <w:rFonts w:ascii="Barlow Semi Condensed" w:cs="Barlow Semi Condensed" w:eastAsia="Barlow Semi Condensed" w:hAnsi="Barlow Semi Condensed"/>
          <w:b/>
          <w:bCs/>
          <w:sz w:val="24"/>
          <w:szCs w:val="24"/>
        </w:rPr>
        <w:t xml:space="preserve">265 · La direzione PCI dei 55 giorni.</w:t>
      </w:r>
      <w:r>
        <w:rPr>
          <w:rFonts w:ascii="Barlow Semi Condensed" w:cs="Barlow Semi Condensed" w:eastAsia="Barlow Semi Condensed" w:hAnsi="Barlow Semi Condensed"/>
          <w:sz w:val="24"/>
          <w:szCs w:val="24"/>
        </w:rPr>
        <w:t xml:space="preserve"> Lo spoglio mirato dei verbali comunisti: la fermezza discussa dentro il partito che la sostenne — i dubbi verbalizzati, le informazioni ricevute, i rapporti con l'apparato dello Stato. Il secondo pilastro della solidarietà nazionale, visto dai suoi stessi verbali.</w:t>
      </w:r>
    </w:p>
    <w:p>
      <w:pPr>
        <w:spacing w:after="120" w:line="276"/>
        <w:jc w:val="both"/>
      </w:pPr>
      <w:r>
        <w:rPr>
          <w:rFonts w:ascii="Barlow Semi Condensed" w:cs="Barlow Semi Condensed" w:eastAsia="Barlow Semi Condensed" w:hAnsi="Barlow Semi Condensed"/>
          <w:b/>
          <w:bCs/>
          <w:sz w:val="24"/>
          <w:szCs w:val="24"/>
        </w:rPr>
        <w:t xml:space="preserve">266 · Gli archivi socialisti.</w:t>
      </w:r>
      <w:r>
        <w:rPr>
          <w:rFonts w:ascii="Barlow Semi Condensed" w:cs="Barlow Semi Condensed" w:eastAsia="Barlow Semi Condensed" w:hAnsi="Barlow Semi Condensed"/>
          <w:sz w:val="24"/>
          <w:szCs w:val="24"/>
        </w:rPr>
        <w:t xml:space="preserve"> Oltre il fascicolo Craxi: gli archivi del PSI come partito — le sedi di conservazione (fondazioni, istituti socialisti), le serie del 1978, i verbali di direzione. La trattativa come linea di partito, nei documenti collettivi che la deliberarono o la subirono.</w:t>
      </w:r>
    </w:p>
    <w:p>
      <w:pPr>
        <w:spacing w:after="120" w:line="276"/>
        <w:jc w:val="both"/>
      </w:pPr>
      <w:r>
        <w:rPr>
          <w:rFonts w:ascii="Barlow Semi Condensed" w:cs="Barlow Semi Condensed" w:eastAsia="Barlow Semi Condensed" w:hAnsi="Barlow Semi Condensed"/>
          <w:b/>
          <w:bCs/>
          <w:sz w:val="24"/>
          <w:szCs w:val="24"/>
        </w:rPr>
        <w:t xml:space="preserve">267 · I partiti minori in archivio.</w:t>
      </w:r>
      <w:r>
        <w:rPr>
          <w:rFonts w:ascii="Barlow Semi Condensed" w:cs="Barlow Semi Condensed" w:eastAsia="Barlow Semi Condensed" w:hAnsi="Barlow Semi Condensed"/>
          <w:sz w:val="24"/>
          <w:szCs w:val="24"/>
        </w:rPr>
        <w:t xml:space="preserve"> Il censimento degli archivi di PRI, PSDI, PLI e delle destre per il 1978: sedi, consistenze, serie dei 55 giorni. Il resto dell'arco parlamentare, contato — e dove l'archivio risulti disperso, la dispersione verbalizzata come dato.</w:t>
      </w:r>
    </w:p>
    <w:p>
      <w:pPr>
        <w:spacing w:after="120" w:line="276"/>
        <w:jc w:val="both"/>
      </w:pPr>
      <w:r>
        <w:rPr>
          <w:rFonts w:ascii="Barlow Semi Condensed" w:cs="Barlow Semi Condensed" w:eastAsia="Barlow Semi Condensed" w:hAnsi="Barlow Semi Condensed"/>
          <w:b/>
          <w:bCs/>
          <w:sz w:val="24"/>
          <w:szCs w:val="24"/>
        </w:rPr>
        <w:t xml:space="preserve">268 · Le radio e i giornali di partito.</w:t>
      </w:r>
      <w:r>
        <w:rPr>
          <w:rFonts w:ascii="Barlow Semi Condensed" w:cs="Barlow Semi Condensed" w:eastAsia="Barlow Semi Condensed" w:hAnsi="Barlow Semi Condensed"/>
          <w:sz w:val="24"/>
          <w:szCs w:val="24"/>
        </w:rPr>
        <w:t xml:space="preserve"> Gli organi di stampa di partito nei 55 giorni — l'Unità, Avanti!, il Popolo, la Voce repubblicana: lo spoglio comparato delle linee quotidiane. La stampa di partito è l'archivio pubblico delle posizioni: giorno per giorno, testata per testata, in tavola sinottica.</w:t>
      </w:r>
    </w:p>
    <w:p>
      <w:pPr>
        <w:spacing w:after="120" w:line="276"/>
        <w:jc w:val="both"/>
      </w:pPr>
      <w:r>
        <w:rPr>
          <w:rFonts w:ascii="Barlow Semi Condensed" w:cs="Barlow Semi Condensed" w:eastAsia="Barlow Semi Condensed" w:hAnsi="Barlow Semi Condensed"/>
          <w:b/>
          <w:bCs/>
          <w:sz w:val="24"/>
          <w:szCs w:val="24"/>
        </w:rPr>
        <w:t xml:space="preserve">269 · I fondi dei funzionari di partito.</w:t>
      </w:r>
      <w:r>
        <w:rPr>
          <w:rFonts w:ascii="Barlow Semi Condensed" w:cs="Barlow Semi Condensed" w:eastAsia="Barlow Semi Condensed" w:hAnsi="Barlow Semi Condensed"/>
          <w:sz w:val="24"/>
          <w:szCs w:val="24"/>
        </w:rPr>
        <w:t xml:space="preserve"> Le carte dei funzionari degli apparati di partito del 1978 — i responsabili organizzazione, stampa, problemi dello Stato: censimento negli istituti. Il livello esecutivo dei partiti, dove le linee diventavano telefonate: carta rara e preziosa.</w:t>
      </w:r>
    </w:p>
    <w:p>
      <w:pPr>
        <w:spacing w:after="120" w:line="276"/>
        <w:jc w:val="both"/>
      </w:pPr>
      <w:r>
        <w:rPr>
          <w:rFonts w:ascii="Barlow Semi Condensed" w:cs="Barlow Semi Condensed" w:eastAsia="Barlow Semi Condensed" w:hAnsi="Barlow Semi Condensed"/>
          <w:b/>
          <w:bCs/>
          <w:sz w:val="24"/>
          <w:szCs w:val="24"/>
        </w:rPr>
        <w:t xml:space="preserve">270 · La tavola dei partiti.</w:t>
      </w:r>
      <w:r>
        <w:rPr>
          <w:rFonts w:ascii="Barlow Semi Condensed" w:cs="Barlow Semi Condensed" w:eastAsia="Barlow Semi Condensed" w:hAnsi="Barlow Semi Condensed"/>
          <w:sz w:val="24"/>
          <w:szCs w:val="24"/>
        </w:rPr>
        <w:t xml:space="preserve"> La chiusura della sezione: la tavola degli archivi di partito — partito per partito, con sede, serie del 1978, stato di spoglio. Il sistema dei partiti della solidarietà nazionale, archivisticamente contato: nessuna voce collettiva senza il suo scaffale censito.</w:t>
      </w:r>
    </w:p>
    <w:p>
      <w:pPr>
        <w:pStyle w:val="Heading3"/>
        <w:spacing w:after="80" w:before="160"/>
      </w:pPr>
      <w:r>
        <w:rPr>
          <w:rFonts w:ascii="Barlow Semi Condensed" w:cs="Barlow Semi Condensed" w:eastAsia="Barlow Semi Condensed" w:hAnsi="Barlow Semi Condensed"/>
          <w:sz w:val="24"/>
          <w:szCs w:val="24"/>
        </w:rPr>
        <w:t xml:space="preserve">I cronisti, gli scrittori, gli osservatori (blocchi 271-300)</w:t>
      </w:r>
    </w:p>
    <w:p>
      <w:pPr>
        <w:spacing w:after="120" w:line="276"/>
        <w:jc w:val="both"/>
      </w:pPr>
      <w:r>
        <w:rPr>
          <w:rFonts w:ascii="Barlow Semi Condensed" w:cs="Barlow Semi Condensed" w:eastAsia="Barlow Semi Condensed" w:hAnsi="Barlow Semi Condensed"/>
          <w:b/>
          <w:bCs/>
          <w:sz w:val="24"/>
          <w:szCs w:val="24"/>
        </w:rPr>
        <w:t xml:space="preserve">271 · Il caso Pecorelli, in archivio.</w:t>
      </w:r>
      <w:r>
        <w:rPr>
          <w:rFonts w:ascii="Barlow Semi Condensed" w:cs="Barlow Semi Condensed" w:eastAsia="Barlow Semi Condensed" w:hAnsi="Barlow Semi Condensed"/>
          <w:sz w:val="24"/>
          <w:szCs w:val="24"/>
        </w:rPr>
        <w:t xml:space="preserve"> L'esito verificato della ricerca: un fondo personale di Mino Pecorelli consultabile non risulta; sono invece consultabili le annate 1978-1979 di OP (l'emeroteca della Fondazione Spirito) e le carte confluite nei sequestri giudiziari — gli atti del processo per il suo omicidio, in parte acquisiti dalla Moro 2. Il cantiere lavora questi tre giacimenti, distinti.</w:t>
      </w:r>
    </w:p>
    <w:p>
      <w:pPr>
        <w:spacing w:after="120" w:line="276"/>
        <w:jc w:val="both"/>
      </w:pPr>
      <w:r>
        <w:rPr>
          <w:rFonts w:ascii="Barlow Semi Condensed" w:cs="Barlow Semi Condensed" w:eastAsia="Barlow Semi Condensed" w:hAnsi="Barlow Semi Condensed"/>
          <w:b/>
          <w:bCs/>
          <w:sz w:val="24"/>
          <w:szCs w:val="24"/>
        </w:rPr>
        <w:t xml:space="preserve">272 · OP, lo spoglio integrale.</w:t>
      </w:r>
      <w:r>
        <w:rPr>
          <w:rFonts w:ascii="Barlow Semi Condensed" w:cs="Barlow Semi Condensed" w:eastAsia="Barlow Semi Condensed" w:hAnsi="Barlow Semi Condensed"/>
          <w:sz w:val="24"/>
          <w:szCs w:val="24"/>
        </w:rPr>
        <w:t xml:space="preserve"> La rivista di Pecorelli per il 1978-1979: lo spoglio datato di ogni numero — che cosa OP scrisse sul caso, quando, con quali anticipazioni poi verificate o smentite. La tavola delle anticipazioni di OP, misurata contro la cronologia dei fatti, è il solo modo disciplinato di trattare una fonte celebre per allusioni.</w:t>
      </w:r>
    </w:p>
    <w:p>
      <w:pPr>
        <w:spacing w:after="120" w:line="276"/>
        <w:jc w:val="both"/>
      </w:pPr>
      <w:r>
        <w:rPr>
          <w:rFonts w:ascii="Barlow Semi Condensed" w:cs="Barlow Semi Condensed" w:eastAsia="Barlow Semi Condensed" w:hAnsi="Barlow Semi Condensed"/>
          <w:b/>
          <w:bCs/>
          <w:sz w:val="24"/>
          <w:szCs w:val="24"/>
        </w:rPr>
        <w:t xml:space="preserve">273 · Le carte giudiziarie di Pecorelli.</w:t>
      </w:r>
      <w:r>
        <w:rPr>
          <w:rFonts w:ascii="Barlow Semi Condensed" w:cs="Barlow Semi Condensed" w:eastAsia="Barlow Semi Condensed" w:hAnsi="Barlow Semi Condensed"/>
          <w:sz w:val="24"/>
          <w:szCs w:val="24"/>
        </w:rPr>
        <w:t xml:space="preserve"> Il percorso delle carte redazionali nei sequestri: che cosa fu acquisito dalle istruttorie sull'omicidio (settembre 1979... marzo 1979 — la data esatta dagli atti), che cosa la Moro 2 ha riacquisito, che cosa è consultabile. La via giudiziaria alle carte del giornalista ucciso: ordinaria, documentata, lenta.</w:t>
      </w:r>
    </w:p>
    <w:p>
      <w:pPr>
        <w:spacing w:after="120" w:line="276"/>
        <w:jc w:val="both"/>
      </w:pPr>
      <w:r>
        <w:rPr>
          <w:rFonts w:ascii="Barlow Semi Condensed" w:cs="Barlow Semi Condensed" w:eastAsia="Barlow Semi Condensed" w:hAnsi="Barlow Semi Condensed"/>
          <w:b/>
          <w:bCs/>
          <w:sz w:val="24"/>
          <w:szCs w:val="24"/>
        </w:rPr>
        <w:t xml:space="preserve">274 · Sciascia e le sue carte.</w:t>
      </w:r>
      <w:r>
        <w:rPr>
          <w:rFonts w:ascii="Barlow Semi Condensed" w:cs="Barlow Semi Condensed" w:eastAsia="Barlow Semi Condensed" w:hAnsi="Barlow Semi Condensed"/>
          <w:sz w:val="24"/>
          <w:szCs w:val="24"/>
        </w:rPr>
        <w:t xml:space="preserve"> Le carte di Leonardo Sciascia — in larga parte alla Fondazione Sciascia di Racalmuto, per donazione dello scrittore, con un epistolario di circa quindicimila documenti — intorno a «L'affaire Moro» (1978) e al lavoro nella Commissione Moro 1: manoscritti, appunti, corrispondenza. Il primo lettore filologico delle lettere merita filologia: la genesi del suo libro è un capitolo di storia della ricezione.</w:t>
      </w:r>
    </w:p>
    <w:p>
      <w:pPr>
        <w:spacing w:after="120" w:line="276"/>
        <w:jc w:val="both"/>
      </w:pPr>
      <w:r>
        <w:rPr>
          <w:rFonts w:ascii="Barlow Semi Condensed" w:cs="Barlow Semi Condensed" w:eastAsia="Barlow Semi Condensed" w:hAnsi="Barlow Semi Condensed"/>
          <w:b/>
          <w:bCs/>
          <w:sz w:val="24"/>
          <w:szCs w:val="24"/>
        </w:rPr>
        <w:t xml:space="preserve">275 · La relazione di minoranza.</w:t>
      </w:r>
      <w:r>
        <w:rPr>
          <w:rFonts w:ascii="Barlow Semi Condensed" w:cs="Barlow Semi Condensed" w:eastAsia="Barlow Semi Condensed" w:hAnsi="Barlow Semi Condensed"/>
          <w:sz w:val="24"/>
          <w:szCs w:val="24"/>
        </w:rPr>
        <w:t xml:space="preserve"> Il complemento parlamentare: la relazione di minoranza di Sciascia alla Moro 1 — il testo, le carte preparatorie, le divergenze con la relazione di maggioranza. Un documento cerniera fra letteratura e inchiesta: si studia con entrambe le lenti.</w:t>
      </w:r>
    </w:p>
    <w:p>
      <w:pPr>
        <w:spacing w:after="120" w:line="276"/>
        <w:jc w:val="both"/>
      </w:pPr>
      <w:r>
        <w:rPr>
          <w:rFonts w:ascii="Barlow Semi Condensed" w:cs="Barlow Semi Condensed" w:eastAsia="Barlow Semi Condensed" w:hAnsi="Barlow Semi Condensed"/>
          <w:b/>
          <w:bCs/>
          <w:sz w:val="24"/>
          <w:szCs w:val="24"/>
        </w:rPr>
        <w:t xml:space="preserve">276 · I cronisti giudiziari del caso.</w:t>
      </w:r>
      <w:r>
        <w:rPr>
          <w:rFonts w:ascii="Barlow Semi Condensed" w:cs="Barlow Semi Condensed" w:eastAsia="Barlow Semi Condensed" w:hAnsi="Barlow Semi Condensed"/>
          <w:sz w:val="24"/>
          <w:szCs w:val="24"/>
        </w:rPr>
        <w:t xml:space="preserve"> I fondi dei grandi cronisti giudiziari e parlamentari che seguirono il caso per decenni: censimento dei fondi depositati e proposta di deposito per i viventi. I taccuini di chi sedette in aula per i cinque processi valgono un archivio: sanno le date che i libri arrotondano.</w:t>
      </w:r>
    </w:p>
    <w:p>
      <w:pPr>
        <w:spacing w:after="120" w:line="276"/>
        <w:jc w:val="both"/>
      </w:pPr>
      <w:r>
        <w:rPr>
          <w:rFonts w:ascii="Barlow Semi Condensed" w:cs="Barlow Semi Condensed" w:eastAsia="Barlow Semi Condensed" w:hAnsi="Barlow Semi Condensed"/>
          <w:b/>
          <w:bCs/>
          <w:sz w:val="24"/>
          <w:szCs w:val="24"/>
        </w:rPr>
        <w:t xml:space="preserve">277 · I corrispondenti esteri a Roma.</w:t>
      </w:r>
      <w:r>
        <w:rPr>
          <w:rFonts w:ascii="Barlow Semi Condensed" w:cs="Barlow Semi Condensed" w:eastAsia="Barlow Semi Condensed" w:hAnsi="Barlow Semi Condensed"/>
          <w:sz w:val="24"/>
          <w:szCs w:val="24"/>
        </w:rPr>
        <w:t xml:space="preserve"> I fondi dei corrispondenti stranieri del 1978 — americani, britannici, francesi, tedeschi: dove le loro carte sono depositate (università, fondazioni di giornalismo), che cosa coprono. Lo sguardo straniero in presa diretta, complementare ai cablo delle ambasciate: stessa città, altra penna.</w:t>
      </w:r>
    </w:p>
    <w:p>
      <w:pPr>
        <w:spacing w:after="120" w:line="276"/>
        <w:jc w:val="both"/>
      </w:pPr>
      <w:r>
        <w:rPr>
          <w:rFonts w:ascii="Barlow Semi Condensed" w:cs="Barlow Semi Condensed" w:eastAsia="Barlow Semi Condensed" w:hAnsi="Barlow Semi Condensed"/>
          <w:b/>
          <w:bCs/>
          <w:sz w:val="24"/>
          <w:szCs w:val="24"/>
        </w:rPr>
        <w:t xml:space="preserve">278 · Le agenzie italiane.</w:t>
      </w:r>
      <w:r>
        <w:rPr>
          <w:rFonts w:ascii="Barlow Semi Condensed" w:cs="Barlow Semi Condensed" w:eastAsia="Barlow Semi Condensed" w:hAnsi="Barlow Semi Condensed"/>
          <w:sz w:val="24"/>
          <w:szCs w:val="24"/>
        </w:rPr>
        <w:t xml:space="preserve"> Gli archivi delle agenzie di stampa italiane (ANSA in testa) per i 55 giorni: i lanci originali con gli orari, le veline conservate, i notiziari interni. La cronologia minuto per minuto della crisi passa per le agenzie: il loro archivio è la spina dorsale oraria della cronaca.</w:t>
      </w:r>
    </w:p>
    <w:p>
      <w:pPr>
        <w:spacing w:after="120" w:line="276"/>
        <w:jc w:val="both"/>
      </w:pPr>
      <w:r>
        <w:rPr>
          <w:rFonts w:ascii="Barlow Semi Condensed" w:cs="Barlow Semi Condensed" w:eastAsia="Barlow Semi Condensed" w:hAnsi="Barlow Semi Condensed"/>
          <w:b/>
          <w:bCs/>
          <w:sz w:val="24"/>
          <w:szCs w:val="24"/>
        </w:rPr>
        <w:t xml:space="preserve">279 · I fondi fotografici dei giornali.</w:t>
      </w:r>
      <w:r>
        <w:rPr>
          <w:rFonts w:ascii="Barlow Semi Condensed" w:cs="Barlow Semi Condensed" w:eastAsia="Barlow Semi Condensed" w:hAnsi="Barlow Semi Condensed"/>
          <w:sz w:val="24"/>
          <w:szCs w:val="24"/>
        </w:rPr>
        <w:t xml:space="preserve"> Gli archivi fotografici delle testate e delle agenzie per il caso: il censimento dei fondi (il raccordo con la Parte sesta per il trattamento). Qui si contano gli scaffali; là si leggeranno le immagini.</w:t>
      </w:r>
    </w:p>
    <w:p>
      <w:pPr>
        <w:spacing w:after="120" w:line="276"/>
        <w:jc w:val="both"/>
      </w:pPr>
      <w:r>
        <w:rPr>
          <w:rFonts w:ascii="Barlow Semi Condensed" w:cs="Barlow Semi Condensed" w:eastAsia="Barlow Semi Condensed" w:hAnsi="Barlow Semi Condensed"/>
          <w:b/>
          <w:bCs/>
          <w:sz w:val="24"/>
          <w:szCs w:val="24"/>
        </w:rPr>
        <w:t xml:space="preserve">280 · Gli scrittori dopo Sciascia.</w:t>
      </w:r>
      <w:r>
        <w:rPr>
          <w:rFonts w:ascii="Barlow Semi Condensed" w:cs="Barlow Semi Condensed" w:eastAsia="Barlow Semi Condensed" w:hAnsi="Barlow Semi Condensed"/>
          <w:sz w:val="24"/>
          <w:szCs w:val="24"/>
        </w:rPr>
        <w:t xml:space="preserve"> Le carte degli altri scrittori che lavorarono sul caso — i romanzi, i teatri, le inchieste letterarie: censimento dei fondi d'autore con materia morotea. La letteratura è ricezione documentata: i suoi archivi dicono come l'Italia ha metabolizzato il caso, decennio per decennio.</w:t>
      </w:r>
    </w:p>
    <w:p>
      <w:pPr>
        <w:spacing w:after="120" w:line="276"/>
        <w:jc w:val="both"/>
      </w:pPr>
      <w:r>
        <w:rPr>
          <w:rFonts w:ascii="Barlow Semi Condensed" w:cs="Barlow Semi Condensed" w:eastAsia="Barlow Semi Condensed" w:hAnsi="Barlow Semi Condensed"/>
          <w:b/>
          <w:bCs/>
          <w:sz w:val="24"/>
          <w:szCs w:val="24"/>
        </w:rPr>
        <w:t xml:space="preserve">281 · I registi e i documentaristi.</w:t>
      </w:r>
      <w:r>
        <w:rPr>
          <w:rFonts w:ascii="Barlow Semi Condensed" w:cs="Barlow Semi Condensed" w:eastAsia="Barlow Semi Condensed" w:hAnsi="Barlow Semi Condensed"/>
          <w:sz w:val="24"/>
          <w:szCs w:val="24"/>
        </w:rPr>
        <w:t xml:space="preserve"> I fondi dei registi che filmarono il caso — le sceneggiature, i girati, le ricerche preparatorie: censimento presso cineteche e archivi d'autore. Ogni documentario ha dietro un archivio di lavoro: interviste integrali comprese (il raccordo con la Parte sesta).</w:t>
      </w:r>
    </w:p>
    <w:p>
      <w:pPr>
        <w:spacing w:after="120" w:line="276"/>
        <w:jc w:val="both"/>
      </w:pPr>
      <w:r>
        <w:rPr>
          <w:rFonts w:ascii="Barlow Semi Condensed" w:cs="Barlow Semi Condensed" w:eastAsia="Barlow Semi Condensed" w:hAnsi="Barlow Semi Condensed"/>
          <w:b/>
          <w:bCs/>
          <w:sz w:val="24"/>
          <w:szCs w:val="24"/>
        </w:rPr>
        <w:t xml:space="preserve">282 · Gli storici del caso.</w:t>
      </w:r>
      <w:r>
        <w:rPr>
          <w:rFonts w:ascii="Barlow Semi Condensed" w:cs="Barlow Semi Condensed" w:eastAsia="Barlow Semi Condensed" w:hAnsi="Barlow Semi Condensed"/>
          <w:sz w:val="24"/>
          <w:szCs w:val="24"/>
        </w:rPr>
        <w:t xml:space="preserve"> I fondi di lavoro degli storici che hanno scritto le opere maggiori: censimento e proposta di deposito (il blocco 175 dell'agenda, eseguito). La storiografia morotea ha prodotto archivi propri — schedature, riproduzioni, corrispondenze — che valgono quanto un fondo primario per chi riparte.</w:t>
      </w:r>
    </w:p>
    <w:p>
      <w:pPr>
        <w:spacing w:after="120" w:line="276"/>
        <w:jc w:val="both"/>
      </w:pPr>
      <w:r>
        <w:rPr>
          <w:rFonts w:ascii="Barlow Semi Condensed" w:cs="Barlow Semi Condensed" w:eastAsia="Barlow Semi Condensed" w:hAnsi="Barlow Semi Condensed"/>
          <w:b/>
          <w:bCs/>
          <w:sz w:val="24"/>
          <w:szCs w:val="24"/>
        </w:rPr>
        <w:t xml:space="preserve">283 · Il fondo Flamigni, per intero.</w:t>
      </w:r>
      <w:r>
        <w:rPr>
          <w:rFonts w:ascii="Barlow Semi Condensed" w:cs="Barlow Semi Condensed" w:eastAsia="Barlow Semi Condensed" w:hAnsi="Barlow Semi Condensed"/>
          <w:sz w:val="24"/>
          <w:szCs w:val="24"/>
        </w:rPr>
        <w:t xml:space="preserve"> Il Centro documentazione Archivio Flamigni (dal 2021 a Roma, Garbatella): il censimento integrale dei suoi fondi morotei — il fondo familiare Moro (il secondo nucleo), le raccolte del senatore, i materiali delle commissioni. L'istituto privato più denso del caso: il cantiere ne fa la mappa completa, fondo per fondo.</w:t>
      </w:r>
    </w:p>
    <w:p>
      <w:pPr>
        <w:spacing w:after="120" w:line="276"/>
        <w:jc w:val="both"/>
      </w:pPr>
      <w:r>
        <w:rPr>
          <w:rFonts w:ascii="Barlow Semi Condensed" w:cs="Barlow Semi Condensed" w:eastAsia="Barlow Semi Condensed" w:hAnsi="Barlow Semi Condensed"/>
          <w:b/>
          <w:bCs/>
          <w:sz w:val="24"/>
          <w:szCs w:val="24"/>
        </w:rPr>
        <w:t xml:space="preserve">284 · I sindacati nei 55 giorni.</w:t>
      </w:r>
      <w:r>
        <w:rPr>
          <w:rFonts w:ascii="Barlow Semi Condensed" w:cs="Barlow Semi Condensed" w:eastAsia="Barlow Semi Condensed" w:hAnsi="Barlow Semi Condensed"/>
          <w:sz w:val="24"/>
          <w:szCs w:val="24"/>
        </w:rPr>
        <w:t xml:space="preserve"> Gli archivi confederali (CGIL, CISL, UIL) per il marzo-maggio 1978: gli scioperi del 16 marzo, i direttivi, i documenti unitari. La reazione del lavoro organizzato al rapimento — immediata, documentata, dimenticata: i suoi verbali sono il polso del paese reale nei 55 giorni.</w:t>
      </w:r>
    </w:p>
    <w:p>
      <w:pPr>
        <w:spacing w:after="120" w:line="276"/>
        <w:jc w:val="both"/>
      </w:pPr>
      <w:r>
        <w:rPr>
          <w:rFonts w:ascii="Barlow Semi Condensed" w:cs="Barlow Semi Condensed" w:eastAsia="Barlow Semi Condensed" w:hAnsi="Barlow Semi Condensed"/>
          <w:b/>
          <w:bCs/>
          <w:sz w:val="24"/>
          <w:szCs w:val="24"/>
        </w:rPr>
        <w:t xml:space="preserve">285 · La Confindustria e le camere.</w:t>
      </w:r>
      <w:r>
        <w:rPr>
          <w:rFonts w:ascii="Barlow Semi Condensed" w:cs="Barlow Semi Condensed" w:eastAsia="Barlow Semi Condensed" w:hAnsi="Barlow Semi Condensed"/>
          <w:sz w:val="24"/>
          <w:szCs w:val="24"/>
        </w:rPr>
        <w:t xml:space="preserve"> Gli archivi confindustriali e camerali del 1978: le posizioni degli industriali nella crisi, i documenti degli organi. Il capitale organizzato, come il lavoro: una voce collettiva censita e databile — per la cronologia delle reazioni del paese.</w:t>
      </w:r>
    </w:p>
    <w:p>
      <w:pPr>
        <w:spacing w:after="120" w:line="276"/>
        <w:jc w:val="both"/>
      </w:pPr>
      <w:r>
        <w:rPr>
          <w:rFonts w:ascii="Barlow Semi Condensed" w:cs="Barlow Semi Condensed" w:eastAsia="Barlow Semi Condensed" w:hAnsi="Barlow Semi Condensed"/>
          <w:b/>
          <w:bCs/>
          <w:sz w:val="24"/>
          <w:szCs w:val="24"/>
        </w:rPr>
        <w:t xml:space="preserve">286 · Le associazioni delle vittime.</w:t>
      </w:r>
      <w:r>
        <w:rPr>
          <w:rFonts w:ascii="Barlow Semi Condensed" w:cs="Barlow Semi Condensed" w:eastAsia="Barlow Semi Condensed" w:hAnsi="Barlow Semi Condensed"/>
          <w:sz w:val="24"/>
          <w:szCs w:val="24"/>
        </w:rPr>
        <w:t xml:space="preserve"> Gli archivi delle associazioni dei familiari delle vittime del terrorismo e del dovere: documenti, carteggi con le istituzioni, memorie raccolte. La voce delle vittime organizzate è un giacimento morale e documentale: si censisce con la priorità di rispetto che il metodo impone.</w:t>
      </w:r>
    </w:p>
    <w:p>
      <w:pPr>
        <w:spacing w:after="120" w:line="276"/>
        <w:jc w:val="both"/>
      </w:pPr>
      <w:r>
        <w:rPr>
          <w:rFonts w:ascii="Barlow Semi Condensed" w:cs="Barlow Semi Condensed" w:eastAsia="Barlow Semi Condensed" w:hAnsi="Barlow Semi Condensed"/>
          <w:b/>
          <w:bCs/>
          <w:sz w:val="24"/>
          <w:szCs w:val="24"/>
        </w:rPr>
        <w:t xml:space="preserve">287 · Le carte delle famiglie della scorta.</w:t>
      </w:r>
      <w:r>
        <w:rPr>
          <w:rFonts w:ascii="Barlow Semi Condensed" w:cs="Barlow Semi Condensed" w:eastAsia="Barlow Semi Condensed" w:hAnsi="Barlow Semi Condensed"/>
          <w:sz w:val="24"/>
          <w:szCs w:val="24"/>
        </w:rPr>
        <w:t xml:space="preserve"> Il censimento dedicato e rispettoso: le carte conservate dalle famiglie Leonardi, Ricci, Rivera, Zizzi, Iozzino — lettere, fascicoli personali, onorificenze, corrispondenze con lo Stato. La proposta di inventario e tutela, alle loro condizioni: i cinque uomini di via Fani hanno diritto a un archivio ordinato quanto quello dello statista.</w:t>
      </w:r>
    </w:p>
    <w:p>
      <w:pPr>
        <w:spacing w:after="120" w:line="276"/>
        <w:jc w:val="both"/>
      </w:pPr>
      <w:r>
        <w:rPr>
          <w:rFonts w:ascii="Barlow Semi Condensed" w:cs="Barlow Semi Condensed" w:eastAsia="Barlow Semi Condensed" w:hAnsi="Barlow Semi Condensed"/>
          <w:b/>
          <w:bCs/>
          <w:sz w:val="24"/>
          <w:szCs w:val="24"/>
        </w:rPr>
        <w:t xml:space="preserve">288 · Gli istituti della memoria civile.</w:t>
      </w:r>
      <w:r>
        <w:rPr>
          <w:rFonts w:ascii="Barlow Semi Condensed" w:cs="Barlow Semi Condensed" w:eastAsia="Barlow Semi Condensed" w:hAnsi="Barlow Semi Condensed"/>
          <w:sz w:val="24"/>
          <w:szCs w:val="24"/>
        </w:rPr>
        <w:t xml:space="preserve"> Gli istituti e le case della memoria che conservano materia moroteta — la rete degli istituti storici, le case della memoria locali: censimento dei fondi minori sparsi. La memoria diffusa del caso, contata: molti rivoli, una tavola.</w:t>
      </w:r>
    </w:p>
    <w:p>
      <w:pPr>
        <w:spacing w:after="120" w:line="276"/>
        <w:jc w:val="both"/>
      </w:pPr>
      <w:r>
        <w:rPr>
          <w:rFonts w:ascii="Barlow Semi Condensed" w:cs="Barlow Semi Condensed" w:eastAsia="Barlow Semi Condensed" w:hAnsi="Barlow Semi Condensed"/>
          <w:b/>
          <w:bCs/>
          <w:sz w:val="24"/>
          <w:szCs w:val="24"/>
        </w:rPr>
        <w:t xml:space="preserve">289 · I fondi degli avvocati storici.</w:t>
      </w:r>
      <w:r>
        <w:rPr>
          <w:rFonts w:ascii="Barlow Semi Condensed" w:cs="Barlow Semi Condensed" w:eastAsia="Barlow Semi Condensed" w:hAnsi="Barlow Semi Condensed"/>
          <w:sz w:val="24"/>
          <w:szCs w:val="24"/>
        </w:rPr>
        <w:t xml:space="preserve"> Il censimento dei fondi professionali dei difensori dei processi Moro già depositati o depositabili (il blocco 174 dell'agenda, eseguito nel cantiere): per ciascuno, il perimetro del versabile fuori dal segreto. La difesa come punto di vista documentale, con il suo limite scritto.</w:t>
      </w:r>
    </w:p>
    <w:p>
      <w:pPr>
        <w:spacing w:after="120" w:line="276"/>
        <w:jc w:val="both"/>
      </w:pPr>
      <w:r>
        <w:rPr>
          <w:rFonts w:ascii="Barlow Semi Condensed" w:cs="Barlow Semi Condensed" w:eastAsia="Barlow Semi Condensed" w:hAnsi="Barlow Semi Condensed"/>
          <w:b/>
          <w:bCs/>
          <w:sz w:val="24"/>
          <w:szCs w:val="24"/>
        </w:rPr>
        <w:t xml:space="preserve">290 · Le carte dei periti.</w:t>
      </w:r>
      <w:r>
        <w:rPr>
          <w:rFonts w:ascii="Barlow Semi Condensed" w:cs="Barlow Semi Condensed" w:eastAsia="Barlow Semi Condensed" w:hAnsi="Barlow Semi Condensed"/>
          <w:sz w:val="24"/>
          <w:szCs w:val="24"/>
        </w:rPr>
        <w:t xml:space="preserve"> I fondi personali dei periti storici del caso — i balistici, i medici legali, i grafologi del 1978 e dei processi: censimento e proposta di deposito. Le carte di lavoro di una perizia (appunti, negativi, minute) spesso dicono più della perizia depositata: è materia della Parte quarta, censita qui.</w:t>
      </w:r>
    </w:p>
    <w:p>
      <w:pPr>
        <w:spacing w:after="120" w:line="276"/>
        <w:jc w:val="both"/>
      </w:pPr>
      <w:r>
        <w:rPr>
          <w:rFonts w:ascii="Barlow Semi Condensed" w:cs="Barlow Semi Condensed" w:eastAsia="Barlow Semi Condensed" w:hAnsi="Barlow Semi Condensed"/>
          <w:b/>
          <w:bCs/>
          <w:sz w:val="24"/>
          <w:szCs w:val="24"/>
        </w:rPr>
        <w:t xml:space="preserve">291 · I collezionisti e il mercato.</w:t>
      </w:r>
      <w:r>
        <w:rPr>
          <w:rFonts w:ascii="Barlow Semi Condensed" w:cs="Barlow Semi Condensed" w:eastAsia="Barlow Semi Condensed" w:hAnsi="Barlow Semi Condensed"/>
          <w:sz w:val="24"/>
          <w:szCs w:val="24"/>
        </w:rPr>
        <w:t xml:space="preserve"> Il fenomeno da governare: documenti del caso sul mercato collezionistico e nelle mani private — lettere, volantini, fotografie. Il protocollo: censire le aste passate, proporre il deposito ai detentori, segnalare alle autorità ciò che non dovrebbe essere privato. Il mercato disperde; il cantiere riannoda.</w:t>
      </w:r>
    </w:p>
    <w:p>
      <w:pPr>
        <w:spacing w:after="120" w:line="276"/>
        <w:jc w:val="both"/>
      </w:pPr>
      <w:r>
        <w:rPr>
          <w:rFonts w:ascii="Barlow Semi Condensed" w:cs="Barlow Semi Condensed" w:eastAsia="Barlow Semi Condensed" w:hAnsi="Barlow Semi Condensed"/>
          <w:b/>
          <w:bCs/>
          <w:sz w:val="24"/>
          <w:szCs w:val="24"/>
        </w:rPr>
        <w:t xml:space="preserve">292 · Gli archivi web del caso.</w:t>
      </w:r>
      <w:r>
        <w:rPr>
          <w:rFonts w:ascii="Barlow Semi Condensed" w:cs="Barlow Semi Condensed" w:eastAsia="Barlow Semi Condensed" w:hAnsi="Barlow Semi Condensed"/>
          <w:sz w:val="24"/>
          <w:szCs w:val="24"/>
        </w:rPr>
        <w:t xml:space="preserve"> La memoria digitale: i siti, i forum, i progetti online dedicati al caso da conservare (web archiving) prima che spariscano. La pubblicistica digitale è fragile quanto un solaio: l'archiviazione del web moroteo è un bersaglio del cantiere digitale, censito qui fra gli osservatori.</w:t>
      </w:r>
    </w:p>
    <w:p>
      <w:pPr>
        <w:spacing w:after="120" w:line="276"/>
        <w:jc w:val="both"/>
      </w:pPr>
      <w:r>
        <w:rPr>
          <w:rFonts w:ascii="Barlow Semi Condensed" w:cs="Barlow Semi Condensed" w:eastAsia="Barlow Semi Condensed" w:hAnsi="Barlow Semi Condensed"/>
          <w:b/>
          <w:bCs/>
          <w:sz w:val="24"/>
          <w:szCs w:val="24"/>
        </w:rPr>
        <w:t xml:space="preserve">293 · Le tesi e i saperi grigi.</w:t>
      </w:r>
      <w:r>
        <w:rPr>
          <w:rFonts w:ascii="Barlow Semi Condensed" w:cs="Barlow Semi Condensed" w:eastAsia="Barlow Semi Condensed" w:hAnsi="Barlow Semi Condensed"/>
          <w:sz w:val="24"/>
          <w:szCs w:val="24"/>
        </w:rPr>
        <w:t xml:space="preserve"> Il censimento della letteratura grigia: tesi di laurea e dottorato sul caso, atti di convegni minori, quaderni locali. Decenni di lavoro semi-pubblicato che nessuno ha mai indicizzato: la bibliografia grigia, compilata, restituisce piste e fonti che la letteratura maggiore ha saltato.</w:t>
      </w:r>
    </w:p>
    <w:p>
      <w:pPr>
        <w:spacing w:after="120" w:line="276"/>
        <w:jc w:val="both"/>
      </w:pPr>
      <w:r>
        <w:rPr>
          <w:rFonts w:ascii="Barlow Semi Condensed" w:cs="Barlow Semi Condensed" w:eastAsia="Barlow Semi Condensed" w:hAnsi="Barlow Semi Condensed"/>
          <w:b/>
          <w:bCs/>
          <w:sz w:val="24"/>
          <w:szCs w:val="24"/>
        </w:rPr>
        <w:t xml:space="preserve">294 · Le traduzioni e l'estero editoriale.</w:t>
      </w:r>
      <w:r>
        <w:rPr>
          <w:rFonts w:ascii="Barlow Semi Condensed" w:cs="Barlow Semi Condensed" w:eastAsia="Barlow Semi Condensed" w:hAnsi="Barlow Semi Condensed"/>
          <w:sz w:val="24"/>
          <w:szCs w:val="24"/>
        </w:rPr>
        <w:t xml:space="preserve"> Il caso Moro nell'editoria estera: le opere straniere maggiori, le loro fonti, i loro archivi d'autore. Lo sguardo editoriale estero completa quello diplomatico: come il mondo ha raccontato il caso, e su quali carte.</w:t>
      </w:r>
    </w:p>
    <w:p>
      <w:pPr>
        <w:spacing w:after="120" w:line="276"/>
        <w:jc w:val="both"/>
      </w:pPr>
      <w:r>
        <w:rPr>
          <w:rFonts w:ascii="Barlow Semi Condensed" w:cs="Barlow Semi Condensed" w:eastAsia="Barlow Semi Condensed" w:hAnsi="Barlow Semi Condensed"/>
          <w:b/>
          <w:bCs/>
          <w:sz w:val="24"/>
          <w:szCs w:val="24"/>
        </w:rPr>
        <w:t xml:space="preserve">295 · La tavola degli osservatori.</w:t>
      </w:r>
      <w:r>
        <w:rPr>
          <w:rFonts w:ascii="Barlow Semi Condensed" w:cs="Barlow Semi Condensed" w:eastAsia="Barlow Semi Condensed" w:hAnsi="Barlow Semi Condensed"/>
          <w:sz w:val="24"/>
          <w:szCs w:val="24"/>
        </w:rPr>
        <w:t xml:space="preserve"> La chiusura della sezione: la tavola dei fondi di cronisti, scrittori, osservatori collettivi — con sedi, consistenze, stati. Il caso visto da fuori le istituzioni, contato scaffale per scaffale.</w:t>
      </w:r>
    </w:p>
    <w:p>
      <w:pPr>
        <w:spacing w:after="120" w:line="276"/>
        <w:jc w:val="both"/>
      </w:pPr>
      <w:r>
        <w:rPr>
          <w:rFonts w:ascii="Barlow Semi Condensed" w:cs="Barlow Semi Condensed" w:eastAsia="Barlow Semi Condensed" w:hAnsi="Barlow Semi Condensed"/>
          <w:b/>
          <w:bCs/>
          <w:sz w:val="24"/>
          <w:szCs w:val="24"/>
        </w:rPr>
        <w:t xml:space="preserve">296 · Il diritto dei fondi.</w:t>
      </w:r>
      <w:r>
        <w:rPr>
          <w:rFonts w:ascii="Barlow Semi Condensed" w:cs="Barlow Semi Condensed" w:eastAsia="Barlow Semi Condensed" w:hAnsi="Barlow Semi Condensed"/>
          <w:sz w:val="24"/>
          <w:szCs w:val="24"/>
        </w:rPr>
        <w:t xml:space="preserve"> Il quadro giuridico del cantiere: la dichiarazione di interesse culturale, la vigilanza sugli archivi privati, gli obblighi dei detentori, le agevolazioni del deposito. Il cantiere conosce gli strumenti del Codice dei beni culturali e li propone ai depositari: la legge è l'alleata della conservazione.</w:t>
      </w:r>
    </w:p>
    <w:p>
      <w:pPr>
        <w:spacing w:after="120" w:line="276"/>
        <w:jc w:val="both"/>
      </w:pPr>
      <w:r>
        <w:rPr>
          <w:rFonts w:ascii="Barlow Semi Condensed" w:cs="Barlow Semi Condensed" w:eastAsia="Barlow Semi Condensed" w:hAnsi="Barlow Semi Condensed"/>
          <w:b/>
          <w:bCs/>
          <w:sz w:val="24"/>
          <w:szCs w:val="24"/>
        </w:rPr>
        <w:t xml:space="preserve">297 · La riservatezza nei fondi privati.</w:t>
      </w:r>
      <w:r>
        <w:rPr>
          <w:rFonts w:ascii="Barlow Semi Condensed" w:cs="Barlow Semi Condensed" w:eastAsia="Barlow Semi Condensed" w:hAnsi="Barlow Semi Condensed"/>
          <w:sz w:val="24"/>
          <w:szCs w:val="24"/>
        </w:rPr>
        <w:t xml:space="preserve"> La disciplina dei dati nelle carte private: i termini per i documenti riservati e sensibili, l'anonimizzazione dove dovuta, il bilanciamento con la ricerca storica secondo le regole di deontologia vigenti. Il cantiere maneggia vite private: lo fa con la norma in mano, sempre.</w:t>
      </w:r>
    </w:p>
    <w:p>
      <w:pPr>
        <w:spacing w:after="120" w:line="276"/>
        <w:jc w:val="both"/>
      </w:pPr>
      <w:r>
        <w:rPr>
          <w:rFonts w:ascii="Barlow Semi Condensed" w:cs="Barlow Semi Condensed" w:eastAsia="Barlow Semi Condensed" w:hAnsi="Barlow Semi Condensed"/>
          <w:b/>
          <w:bCs/>
          <w:sz w:val="24"/>
          <w:szCs w:val="24"/>
        </w:rPr>
        <w:t xml:space="preserve">298 · Il laboratorio delle collazioni.</w:t>
      </w:r>
      <w:r>
        <w:rPr>
          <w:rFonts w:ascii="Barlow Semi Condensed" w:cs="Barlow Semi Condensed" w:eastAsia="Barlow Semi Condensed" w:hAnsi="Barlow Semi Condensed"/>
          <w:sz w:val="24"/>
          <w:szCs w:val="24"/>
        </w:rPr>
        <w:t xml:space="preserve"> Lo strumento permanente della parte: il laboratorio che collaziona memorie edite e carte coeve (i blocchi 170, 239, 241) con metodo dichiarato — campioni, criteri, tavole di concordanza. La memorialistica del caso, misurata una volta per tutte: chi ricordava bene, chi costruiva, e dove.</w:t>
      </w:r>
    </w:p>
    <w:p>
      <w:pPr>
        <w:spacing w:after="120" w:line="276"/>
        <w:jc w:val="both"/>
      </w:pPr>
      <w:r>
        <w:rPr>
          <w:rFonts w:ascii="Barlow Semi Condensed" w:cs="Barlow Semi Condensed" w:eastAsia="Barlow Semi Condensed" w:hAnsi="Barlow Semi Condensed"/>
          <w:b/>
          <w:bCs/>
          <w:sz w:val="24"/>
          <w:szCs w:val="24"/>
        </w:rPr>
        <w:t xml:space="preserve">299 · Il fondo dei fondi.</w:t>
      </w:r>
      <w:r>
        <w:rPr>
          <w:rFonts w:ascii="Barlow Semi Condensed" w:cs="Barlow Semi Condensed" w:eastAsia="Barlow Semi Condensed" w:hAnsi="Barlow Semi Condensed"/>
          <w:sz w:val="24"/>
          <w:szCs w:val="24"/>
        </w:rPr>
        <w:t xml:space="preserve"> La proposta istituzionale della parte: un censimento nazionale permanente dei fondi privati morotei — mantenuto con gli istituti, pubblicato, aggiornato — come strumento della Rete degli archivi. Il cantiere non possiede: censisce e restituisce. Il fondo dei fondi è un indice, ed è di tutti.</w:t>
      </w:r>
    </w:p>
    <w:p>
      <w:pPr>
        <w:spacing w:after="120" w:line="276"/>
        <w:jc w:val="both"/>
      </w:pPr>
      <w:r>
        <w:rPr>
          <w:rFonts w:ascii="Barlow Semi Condensed" w:cs="Barlow Semi Condensed" w:eastAsia="Barlow Semi Condensed" w:hAnsi="Barlow Semi Condensed"/>
          <w:b/>
          <w:bCs/>
          <w:sz w:val="24"/>
          <w:szCs w:val="24"/>
        </w:rPr>
        <w:t xml:space="preserve">300 · Il trecentesimo blocco: la tavola dei privati.</w:t>
      </w:r>
      <w:r>
        <w:rPr>
          <w:rFonts w:ascii="Barlow Semi Condensed" w:cs="Barlow Semi Condensed" w:eastAsia="Barlow Semi Condensed" w:hAnsi="Barlow Semi Condensed"/>
          <w:sz w:val="24"/>
          <w:szCs w:val="24"/>
        </w:rPr>
        <w:t xml:space="preserve"> La chiusura della parte al suo giro di boa: la tavola unica dei fondi privati e di partito — dal fondo ACS di Moro al fascicolo Craxi, dalle 308 buste di Cossiga ai diari di Fanfani — con stati di spoglio e pendenze. Un terzo dell'opera è compiuto, e la memoria non dovuta è diventata una mappa.</w:t>
      </w:r>
    </w:p>
    <w:p>
      <w:pPr>
        <w:pStyle w:val="Heading3"/>
        <w:spacing w:after="80" w:before="160"/>
      </w:pPr>
      <w:r>
        <w:rPr>
          <w:rFonts w:ascii="Barlow Semi Condensed" w:cs="Barlow Semi Condensed" w:eastAsia="Barlow Semi Condensed" w:hAnsi="Barlow Semi Condensed"/>
          <w:sz w:val="24"/>
          <w:szCs w:val="24"/>
        </w:rPr>
        <w:t xml:space="preserve">Il metodo dei fondi (blocchi 301-330)</w:t>
      </w:r>
    </w:p>
    <w:p>
      <w:pPr>
        <w:spacing w:after="120" w:line="276"/>
        <w:jc w:val="both"/>
      </w:pPr>
      <w:r>
        <w:rPr>
          <w:rFonts w:ascii="Barlow Semi Condensed" w:cs="Barlow Semi Condensed" w:eastAsia="Barlow Semi Condensed" w:hAnsi="Barlow Semi Condensed"/>
          <w:b/>
          <w:bCs/>
          <w:sz w:val="24"/>
          <w:szCs w:val="24"/>
        </w:rPr>
        <w:t xml:space="preserve">301 · L'ordine delle campagne.</w:t>
      </w:r>
      <w:r>
        <w:rPr>
          <w:rFonts w:ascii="Barlow Semi Condensed" w:cs="Barlow Semi Condensed" w:eastAsia="Barlow Semi Condensed" w:hAnsi="Barlow Semi Condensed"/>
          <w:sz w:val="24"/>
          <w:szCs w:val="24"/>
        </w:rPr>
        <w:t xml:space="preserve"> La sequenza dichiarata dello spoglio: prima i fondi con inventario informatizzato (Cossiga, Moro ACS, Fanfani), poi i tematici (Craxi, DC, PCI), poi i non censiti da far emergere. Il criterio è il rendimento documentale per giornata di sala: la contabilità dell'agenda comanda anche qui.</w:t>
      </w:r>
    </w:p>
    <w:p>
      <w:pPr>
        <w:spacing w:after="120" w:line="276"/>
        <w:jc w:val="both"/>
      </w:pPr>
      <w:r>
        <w:rPr>
          <w:rFonts w:ascii="Barlow Semi Condensed" w:cs="Barlow Semi Condensed" w:eastAsia="Barlow Semi Condensed" w:hAnsi="Barlow Semi Condensed"/>
          <w:b/>
          <w:bCs/>
          <w:sz w:val="24"/>
          <w:szCs w:val="24"/>
        </w:rPr>
        <w:t xml:space="preserve">302 · La griglia unica di spoglio.</w:t>
      </w:r>
      <w:r>
        <w:rPr>
          <w:rFonts w:ascii="Barlow Semi Condensed" w:cs="Barlow Semi Condensed" w:eastAsia="Barlow Semi Condensed" w:hAnsi="Barlow Semi Condensed"/>
          <w:sz w:val="24"/>
          <w:szCs w:val="24"/>
        </w:rPr>
        <w:t xml:space="preserve"> Ogni fondo si spoglia con la stessa griglia dei quesiti costitutivi (i quindici dell'agenda), così che gli esiti siano confrontabili fra fondi: la stessa domanda posta a ogni archivio. La comparabilità è il valore aggiunto del cantiere unico: quindici colonne, un fondo per riga.</w:t>
      </w:r>
    </w:p>
    <w:p>
      <w:pPr>
        <w:spacing w:after="120" w:line="276"/>
        <w:jc w:val="both"/>
      </w:pPr>
      <w:r>
        <w:rPr>
          <w:rFonts w:ascii="Barlow Semi Condensed" w:cs="Barlow Semi Condensed" w:eastAsia="Barlow Semi Condensed" w:hAnsi="Barlow Semi Condensed"/>
          <w:b/>
          <w:bCs/>
          <w:sz w:val="24"/>
          <w:szCs w:val="24"/>
        </w:rPr>
        <w:t xml:space="preserve">303 · Il verbale di fondo.</w:t>
      </w:r>
      <w:r>
        <w:rPr>
          <w:rFonts w:ascii="Barlow Semi Condensed" w:cs="Barlow Semi Condensed" w:eastAsia="Barlow Semi Condensed" w:hAnsi="Barlow Semi Condensed"/>
          <w:sz w:val="24"/>
          <w:szCs w:val="24"/>
        </w:rPr>
        <w:t xml:space="preserve"> Per ogni fondo spogliato: il verbale — serie viste, carte rilevanti con segnatura, vuoti, sorprese, giornate impiegate. Il verbale di fondo è l'unità contabile della parte: chi verrà dopo saprà esattamente dove il cantiere è passato e con quali occhi.</w:t>
      </w:r>
    </w:p>
    <w:p>
      <w:pPr>
        <w:spacing w:after="120" w:line="276"/>
        <w:jc w:val="both"/>
      </w:pPr>
      <w:r>
        <w:rPr>
          <w:rFonts w:ascii="Barlow Semi Condensed" w:cs="Barlow Semi Condensed" w:eastAsia="Barlow Semi Condensed" w:hAnsi="Barlow Semi Condensed"/>
          <w:b/>
          <w:bCs/>
          <w:sz w:val="24"/>
          <w:szCs w:val="24"/>
        </w:rPr>
        <w:t xml:space="preserve">304 · Le riproduzioni e i diritti.</w:t>
      </w:r>
      <w:r>
        <w:rPr>
          <w:rFonts w:ascii="Barlow Semi Condensed" w:cs="Barlow Semi Condensed" w:eastAsia="Barlow Semi Condensed" w:hAnsi="Barlow Semi Condensed"/>
          <w:sz w:val="24"/>
          <w:szCs w:val="24"/>
        </w:rPr>
        <w:t xml:space="preserve"> Il protocollo delle copie nei fondi privati: i diritti di riproduzione, le condizioni dei depositari, la citabilità. Ogni istituto ha regole proprie e il cantiere le rispetta per iscritto: la copia malacquisita è una carta inutilizzabile — e un ponte bruciato.</w:t>
      </w:r>
    </w:p>
    <w:p>
      <w:pPr>
        <w:spacing w:after="120" w:line="276"/>
        <w:jc w:val="both"/>
      </w:pPr>
      <w:r>
        <w:rPr>
          <w:rFonts w:ascii="Barlow Semi Condensed" w:cs="Barlow Semi Condensed" w:eastAsia="Barlow Semi Condensed" w:hAnsi="Barlow Semi Condensed"/>
          <w:b/>
          <w:bCs/>
          <w:sz w:val="24"/>
          <w:szCs w:val="24"/>
        </w:rPr>
        <w:t xml:space="preserve">305 · Il registro dei dinieghi.</w:t>
      </w:r>
      <w:r>
        <w:rPr>
          <w:rFonts w:ascii="Barlow Semi Condensed" w:cs="Barlow Semi Condensed" w:eastAsia="Barlow Semi Condensed" w:hAnsi="Barlow Semi Condensed"/>
          <w:sz w:val="24"/>
          <w:szCs w:val="24"/>
        </w:rPr>
        <w:t xml:space="preserve"> I fondi che negano l'accesso o lo condizionano: il registro dei dinieghi con le motivazioni, senza polemica e senza aggiramenti. Un diniego oggi non è un diniego per sempre: il registro tiene la porta segnata, e la cortesia la tiene socchiusa.</w:t>
      </w:r>
    </w:p>
    <w:p>
      <w:pPr>
        <w:spacing w:after="120" w:line="276"/>
        <w:jc w:val="both"/>
      </w:pPr>
      <w:r>
        <w:rPr>
          <w:rFonts w:ascii="Barlow Semi Condensed" w:cs="Barlow Semi Condensed" w:eastAsia="Barlow Semi Condensed" w:hAnsi="Barlow Semi Condensed"/>
          <w:b/>
          <w:bCs/>
          <w:sz w:val="24"/>
          <w:szCs w:val="24"/>
        </w:rPr>
        <w:t xml:space="preserve">306 · Gli eredi e il tempo.</w:t>
      </w:r>
      <w:r>
        <w:rPr>
          <w:rFonts w:ascii="Barlow Semi Condensed" w:cs="Barlow Semi Condensed" w:eastAsia="Barlow Semi Condensed" w:hAnsi="Barlow Semi Condensed"/>
          <w:sz w:val="24"/>
          <w:szCs w:val="24"/>
        </w:rPr>
        <w:t xml:space="preserve"> La priorità biologica dei fondi: i depositari anziani, le successioni imminenti, i fondi a rischio. La tavola delle urgenze dei fondi privati — la gemella archivistica della tavola dei testimoni: anche gli archivi muoiono, quando muoiono i loro custodi.</w:t>
      </w:r>
    </w:p>
    <w:p>
      <w:pPr>
        <w:spacing w:after="120" w:line="276"/>
        <w:jc w:val="both"/>
      </w:pPr>
      <w:r>
        <w:rPr>
          <w:rFonts w:ascii="Barlow Semi Condensed" w:cs="Barlow Semi Condensed" w:eastAsia="Barlow Semi Condensed" w:hAnsi="Barlow Semi Condensed"/>
          <w:b/>
          <w:bCs/>
          <w:sz w:val="24"/>
          <w:szCs w:val="24"/>
        </w:rPr>
        <w:t xml:space="preserve">307 · Le carte in causa.</w:t>
      </w:r>
      <w:r>
        <w:rPr>
          <w:rFonts w:ascii="Barlow Semi Condensed" w:cs="Barlow Semi Condensed" w:eastAsia="Barlow Semi Condensed" w:hAnsi="Barlow Semi Condensed"/>
          <w:sz w:val="24"/>
          <w:szCs w:val="24"/>
        </w:rPr>
        <w:t xml:space="preserve"> I fondi coinvolti in contenziosi (eredità, sequestri, rivendicazioni): il censimento e la regola — il cantiere non entra nelle liti, aspetta gli esiti e li registra. La pazienza giuridica è parte del metodo: nessuna carta vale una causa persa in partenza.</w:t>
      </w:r>
    </w:p>
    <w:p>
      <w:pPr>
        <w:spacing w:after="120" w:line="276"/>
        <w:jc w:val="both"/>
      </w:pPr>
      <w:r>
        <w:rPr>
          <w:rFonts w:ascii="Barlow Semi Condensed" w:cs="Barlow Semi Condensed" w:eastAsia="Barlow Semi Condensed" w:hAnsi="Barlow Semi Condensed"/>
          <w:b/>
          <w:bCs/>
          <w:sz w:val="24"/>
          <w:szCs w:val="24"/>
        </w:rPr>
        <w:t xml:space="preserve">308 · Il falso d'archivio.</w:t>
      </w:r>
      <w:r>
        <w:rPr>
          <w:rFonts w:ascii="Barlow Semi Condensed" w:cs="Barlow Semi Condensed" w:eastAsia="Barlow Semi Condensed" w:hAnsi="Barlow Semi Condensed"/>
          <w:sz w:val="24"/>
          <w:szCs w:val="24"/>
        </w:rPr>
        <w:t xml:space="preserve"> La vigilanza sui falsi: documenti apocrifi sul caso circolati nei decenni — il registro dei falsi noti, i criteri di autenticazione, la perizia prima della cittadinanza. Un cantiere che compra tutto avvelena se stesso: l'autenticazione è la dogana dei fondi privati.</w:t>
      </w:r>
    </w:p>
    <w:p>
      <w:pPr>
        <w:spacing w:after="120" w:line="276"/>
        <w:jc w:val="both"/>
      </w:pPr>
      <w:r>
        <w:rPr>
          <w:rFonts w:ascii="Barlow Semi Condensed" w:cs="Barlow Semi Condensed" w:eastAsia="Barlow Semi Condensed" w:hAnsi="Barlow Semi Condensed"/>
          <w:b/>
          <w:bCs/>
          <w:sz w:val="24"/>
          <w:szCs w:val="24"/>
        </w:rPr>
        <w:t xml:space="preserve">309 · Le provenienze si dichiarano.</w:t>
      </w:r>
      <w:r>
        <w:rPr>
          <w:rFonts w:ascii="Barlow Semi Condensed" w:cs="Barlow Semi Condensed" w:eastAsia="Barlow Semi Condensed" w:hAnsi="Barlow Semi Condensed"/>
          <w:sz w:val="24"/>
          <w:szCs w:val="24"/>
        </w:rPr>
        <w:t xml:space="preserve"> La regola aurea: ogni carta citata dal cantiere dichiara fondo, serie, busta — sempre, anche nella divulgazione. La citazione archivistica completa è ciò che distingue il corpus dalla pubblicistica: la fonte senza segnatura è un sentito dire elegante.</w:t>
      </w:r>
    </w:p>
    <w:p>
      <w:pPr>
        <w:spacing w:after="120" w:line="276"/>
        <w:jc w:val="both"/>
      </w:pPr>
      <w:r>
        <w:rPr>
          <w:rFonts w:ascii="Barlow Semi Condensed" w:cs="Barlow Semi Condensed" w:eastAsia="Barlow Semi Condensed" w:hAnsi="Barlow Semi Condensed"/>
          <w:b/>
          <w:bCs/>
          <w:sz w:val="24"/>
          <w:szCs w:val="24"/>
        </w:rPr>
        <w:t xml:space="preserve">310 · Il deposito incentivato.</w:t>
      </w:r>
      <w:r>
        <w:rPr>
          <w:rFonts w:ascii="Barlow Semi Condensed" w:cs="Barlow Semi Condensed" w:eastAsia="Barlow Semi Condensed" w:hAnsi="Barlow Semi Condensed"/>
          <w:sz w:val="24"/>
          <w:szCs w:val="24"/>
        </w:rPr>
        <w:t xml:space="preserve"> Gli strumenti da promuovere: convenzioni di deposito, comodati, donazioni con benefici fiscali — il prontuario per i depositari esitanti. Il cantiere si fa consulente gratuito di chi possiede: ogni esitazione sciolta è un fondo salvato.</w:t>
      </w:r>
    </w:p>
    <w:p>
      <w:pPr>
        <w:spacing w:after="120" w:line="276"/>
        <w:jc w:val="both"/>
      </w:pPr>
      <w:r>
        <w:rPr>
          <w:rFonts w:ascii="Barlow Semi Condensed" w:cs="Barlow Semi Condensed" w:eastAsia="Barlow Semi Condensed" w:hAnsi="Barlow Semi Condensed"/>
          <w:b/>
          <w:bCs/>
          <w:sz w:val="24"/>
          <w:szCs w:val="24"/>
        </w:rPr>
        <w:t xml:space="preserve">311 · La digitalizzazione dei privati.</w:t>
      </w:r>
      <w:r>
        <w:rPr>
          <w:rFonts w:ascii="Barlow Semi Condensed" w:cs="Barlow Semi Condensed" w:eastAsia="Barlow Semi Condensed" w:hAnsi="Barlow Semi Condensed"/>
          <w:sz w:val="24"/>
          <w:szCs w:val="24"/>
        </w:rPr>
        <w:t xml:space="preserve"> Il programma: la digitalizzazione dei fondi privati morotei d'intesa con gli istituti, con standard comuni e metadati condivisi (il cantiere digitale del manuale). La copia digitale protegge l'originale e moltiplica l'accesso: è la polizza del cantiere.</w:t>
      </w:r>
    </w:p>
    <w:p>
      <w:pPr>
        <w:spacing w:after="120" w:line="276"/>
        <w:jc w:val="both"/>
      </w:pPr>
      <w:r>
        <w:rPr>
          <w:rFonts w:ascii="Barlow Semi Condensed" w:cs="Barlow Semi Condensed" w:eastAsia="Barlow Semi Condensed" w:hAnsi="Barlow Semi Condensed"/>
          <w:b/>
          <w:bCs/>
          <w:sz w:val="24"/>
          <w:szCs w:val="24"/>
        </w:rPr>
        <w:t xml:space="preserve">312 · L'inventario partecipato.</w:t>
      </w:r>
      <w:r>
        <w:rPr>
          <w:rFonts w:ascii="Barlow Semi Condensed" w:cs="Barlow Semi Condensed" w:eastAsia="Barlow Semi Condensed" w:hAnsi="Barlow Semi Condensed"/>
          <w:sz w:val="24"/>
          <w:szCs w:val="24"/>
        </w:rPr>
        <w:t xml:space="preserve"> Il modello per i fondi non ordinati: l'inventariazione partecipata — il cantiere offre il lavoro archivistico, l'istituto o la famiglia mantengono la proprietà e le regole. Lo scambio è alla pari: ordine contro accesso, competenza contro fiducia.</w:t>
      </w:r>
    </w:p>
    <w:p>
      <w:pPr>
        <w:spacing w:after="120" w:line="276"/>
        <w:jc w:val="both"/>
      </w:pPr>
      <w:r>
        <w:rPr>
          <w:rFonts w:ascii="Barlow Semi Condensed" w:cs="Barlow Semi Condensed" w:eastAsia="Barlow Semi Condensed" w:hAnsi="Barlow Semi Condensed"/>
          <w:b/>
          <w:bCs/>
          <w:sz w:val="24"/>
          <w:szCs w:val="24"/>
        </w:rPr>
        <w:t xml:space="preserve">313 · Le mostre e la restituzione.</w:t>
      </w:r>
      <w:r>
        <w:rPr>
          <w:rFonts w:ascii="Barlow Semi Condensed" w:cs="Barlow Semi Condensed" w:eastAsia="Barlow Semi Condensed" w:hAnsi="Barlow Semi Condensed"/>
          <w:sz w:val="24"/>
          <w:szCs w:val="24"/>
        </w:rPr>
        <w:t xml:space="preserve"> La restituzione pubblica: mostre documentarie, edizioni di fonti, giornate di studio con gli istituti depositari. Il cantiere restituisce visibilità a chi apre le carte: la gratitudine organizzata è anche una politica degli accessi futuri.</w:t>
      </w:r>
    </w:p>
    <w:p>
      <w:pPr>
        <w:spacing w:after="120" w:line="276"/>
        <w:jc w:val="both"/>
      </w:pPr>
      <w:r>
        <w:rPr>
          <w:rFonts w:ascii="Barlow Semi Condensed" w:cs="Barlow Semi Condensed" w:eastAsia="Barlow Semi Condensed" w:hAnsi="Barlow Semi Condensed"/>
          <w:b/>
          <w:bCs/>
          <w:sz w:val="24"/>
          <w:szCs w:val="24"/>
        </w:rPr>
        <w:t xml:space="preserve">314 · Il coordinamento con gli istituti.</w:t>
      </w:r>
      <w:r>
        <w:rPr>
          <w:rFonts w:ascii="Barlow Semi Condensed" w:cs="Barlow Semi Condensed" w:eastAsia="Barlow Semi Condensed" w:hAnsi="Barlow Semi Condensed"/>
          <w:sz w:val="24"/>
          <w:szCs w:val="24"/>
        </w:rPr>
        <w:t xml:space="preserve"> Il tavolo permanente con gli istituti conservatori (Sturzo, Gramsci, Flamigni, gli archivi parlamentari, l'ACS): calendari coordinati, censimenti condivisi, priorità concordate. Il cantiere non è un utente: è un partner — e si comporta da partner.</w:t>
      </w:r>
    </w:p>
    <w:p>
      <w:pPr>
        <w:spacing w:after="120" w:line="276"/>
        <w:jc w:val="both"/>
      </w:pPr>
      <w:r>
        <w:rPr>
          <w:rFonts w:ascii="Barlow Semi Condensed" w:cs="Barlow Semi Condensed" w:eastAsia="Barlow Semi Condensed" w:hAnsi="Barlow Semi Condensed"/>
          <w:b/>
          <w:bCs/>
          <w:sz w:val="24"/>
          <w:szCs w:val="24"/>
        </w:rPr>
        <w:t xml:space="preserve">315 · Le borse e i giovani.</w:t>
      </w:r>
      <w:r>
        <w:rPr>
          <w:rFonts w:ascii="Barlow Semi Condensed" w:cs="Barlow Semi Condensed" w:eastAsia="Barlow Semi Condensed" w:hAnsi="Barlow Semi Condensed"/>
          <w:sz w:val="24"/>
          <w:szCs w:val="24"/>
        </w:rPr>
        <w:t xml:space="preserve"> Il programma di borse di spoglio: giovani ricercatori sui fondi censiti, con la griglia unica e i verbali di fondo. Il cantiere forma mentre spoglia: ogni borsista è un archivista moroteo in più — e il caso ne avrà bisogno oltre il 2028.</w:t>
      </w:r>
    </w:p>
    <w:p>
      <w:pPr>
        <w:spacing w:after="120" w:line="276"/>
        <w:jc w:val="both"/>
      </w:pPr>
      <w:r>
        <w:rPr>
          <w:rFonts w:ascii="Barlow Semi Condensed" w:cs="Barlow Semi Condensed" w:eastAsia="Barlow Semi Condensed" w:hAnsi="Barlow Semi Condensed"/>
          <w:b/>
          <w:bCs/>
          <w:sz w:val="24"/>
          <w:szCs w:val="24"/>
        </w:rPr>
        <w:t xml:space="preserve">316 · I fondi sindacali e datoriali, il metodo.</w:t>
      </w:r>
      <w:r>
        <w:rPr>
          <w:rFonts w:ascii="Barlow Semi Condensed" w:cs="Barlow Semi Condensed" w:eastAsia="Barlow Semi Condensed" w:hAnsi="Barlow Semi Condensed"/>
          <w:sz w:val="24"/>
          <w:szCs w:val="24"/>
        </w:rPr>
        <w:t xml:space="preserve"> L'estensione della griglia ai fondi collettivi non di partito (i blocchi 284-285): stesse quindici colonne, stessa contabilità. La società organizzata entra nella tavola unica con i partiti: il paese del 1978, per intero.</w:t>
      </w:r>
    </w:p>
    <w:p>
      <w:pPr>
        <w:spacing w:after="120" w:line="276"/>
        <w:jc w:val="both"/>
      </w:pPr>
      <w:r>
        <w:rPr>
          <w:rFonts w:ascii="Barlow Semi Condensed" w:cs="Barlow Semi Condensed" w:eastAsia="Barlow Semi Condensed" w:hAnsi="Barlow Semi Condensed"/>
          <w:b/>
          <w:bCs/>
          <w:sz w:val="24"/>
          <w:szCs w:val="24"/>
        </w:rPr>
        <w:t xml:space="preserve">317 · Il campione di controllo dei fondi.</w:t>
      </w:r>
      <w:r>
        <w:rPr>
          <w:rFonts w:ascii="Barlow Semi Condensed" w:cs="Barlow Semi Condensed" w:eastAsia="Barlow Semi Condensed" w:hAnsi="Barlow Semi Condensed"/>
          <w:sz w:val="24"/>
          <w:szCs w:val="24"/>
        </w:rPr>
        <w:t xml:space="preserve"> Il doppio spoglio su campione anche nei fondi privati: la taratura dell'errore di lettura, fondo per fondo. La regola non conosce eccezioni di cortesia: anche l'archivio di un presidente si spoglia due volte, a campione.</w:t>
      </w:r>
    </w:p>
    <w:p>
      <w:pPr>
        <w:spacing w:after="120" w:line="276"/>
        <w:jc w:val="both"/>
      </w:pPr>
      <w:r>
        <w:rPr>
          <w:rFonts w:ascii="Barlow Semi Condensed" w:cs="Barlow Semi Condensed" w:eastAsia="Barlow Semi Condensed" w:hAnsi="Barlow Semi Condensed"/>
          <w:b/>
          <w:bCs/>
          <w:sz w:val="24"/>
          <w:szCs w:val="24"/>
        </w:rPr>
        <w:t xml:space="preserve">318 · Le carte contabili dei partiti.</w:t>
      </w:r>
      <w:r>
        <w:rPr>
          <w:rFonts w:ascii="Barlow Semi Condensed" w:cs="Barlow Semi Condensed" w:eastAsia="Barlow Semi Condensed" w:hAnsi="Barlow Semi Condensed"/>
          <w:sz w:val="24"/>
          <w:szCs w:val="24"/>
        </w:rPr>
        <w:t xml:space="preserve"> Il bersaglio specialistico: le contabilità dei partiti del 1978 — bilanci, finanziamenti, spese dei 55 giorni — dove conservate. La crisi ebbe anche costi materiali documentati: la loro carta è un angolo mai letto del caso.</w:t>
      </w:r>
    </w:p>
    <w:p>
      <w:pPr>
        <w:spacing w:after="120" w:line="276"/>
        <w:jc w:val="both"/>
      </w:pPr>
      <w:r>
        <w:rPr>
          <w:rFonts w:ascii="Barlow Semi Condensed" w:cs="Barlow Semi Condensed" w:eastAsia="Barlow Semi Condensed" w:hAnsi="Barlow Semi Condensed"/>
          <w:b/>
          <w:bCs/>
          <w:sz w:val="24"/>
          <w:szCs w:val="24"/>
        </w:rPr>
        <w:t xml:space="preserve">319 · I verbali che mancano.</w:t>
      </w:r>
      <w:r>
        <w:rPr>
          <w:rFonts w:ascii="Barlow Semi Condensed" w:cs="Barlow Semi Condensed" w:eastAsia="Barlow Semi Condensed" w:hAnsi="Barlow Semi Condensed"/>
          <w:sz w:val="24"/>
          <w:szCs w:val="24"/>
        </w:rPr>
        <w:t xml:space="preserve"> Il censimento dei verbali assenti: le riunioni di partito dei 55 giorni note dalle cronache ma senza verbale conservato. La tavola delle riunioni senza carta — con la distinzione: mai verbalizzate, o verbale perduto? Ogni caso ha una risposta archivistica.</w:t>
      </w:r>
    </w:p>
    <w:p>
      <w:pPr>
        <w:spacing w:after="120" w:line="276"/>
        <w:jc w:val="both"/>
      </w:pPr>
      <w:r>
        <w:rPr>
          <w:rFonts w:ascii="Barlow Semi Condensed" w:cs="Barlow Semi Condensed" w:eastAsia="Barlow Semi Condensed" w:hAnsi="Barlow Semi Condensed"/>
          <w:b/>
          <w:bCs/>
          <w:sz w:val="24"/>
          <w:szCs w:val="24"/>
        </w:rPr>
        <w:t xml:space="preserve">320 · Le carte delle correnti.</w:t>
      </w:r>
      <w:r>
        <w:rPr>
          <w:rFonts w:ascii="Barlow Semi Condensed" w:cs="Barlow Semi Condensed" w:eastAsia="Barlow Semi Condensed" w:hAnsi="Barlow Semi Condensed"/>
          <w:sz w:val="24"/>
          <w:szCs w:val="24"/>
        </w:rPr>
        <w:t xml:space="preserve"> I fondi delle correnti democristiane e delle aree interne agli altri partiti: censimento dei materiali di corrente del 1978 (circolari, riunioni, conteggi). La politica reale del 1978 passava per le correnti: la loro carta è dispersa per natura — e per questo si cerca con metodo.</w:t>
      </w:r>
    </w:p>
    <w:p>
      <w:pPr>
        <w:spacing w:after="120" w:line="276"/>
        <w:jc w:val="both"/>
      </w:pPr>
      <w:r>
        <w:rPr>
          <w:rFonts w:ascii="Barlow Semi Condensed" w:cs="Barlow Semi Condensed" w:eastAsia="Barlow Semi Condensed" w:hAnsi="Barlow Semi Condensed"/>
          <w:b/>
          <w:bCs/>
          <w:sz w:val="24"/>
          <w:szCs w:val="24"/>
        </w:rPr>
        <w:t xml:space="preserve">321 · Gli oral history programs.</w:t>
      </w:r>
      <w:r>
        <w:rPr>
          <w:rFonts w:ascii="Barlow Semi Condensed" w:cs="Barlow Semi Condensed" w:eastAsia="Barlow Semi Condensed" w:hAnsi="Barlow Semi Condensed"/>
          <w:sz w:val="24"/>
          <w:szCs w:val="24"/>
        </w:rPr>
        <w:t xml:space="preserve"> Il censimento delle interviste già raccolte dai programmi di storia orale (universitari, istituzionali, giornalistici) ai protagonisti del 1978: dove sono, con quali regole, con quali trascrizioni. Le voci già registrate si censiscono prima di registrarne di nuove: il patrimonio orale esistente è un fondo anch'esso.</w:t>
      </w:r>
    </w:p>
    <w:p>
      <w:pPr>
        <w:spacing w:after="120" w:line="276"/>
        <w:jc w:val="both"/>
      </w:pPr>
      <w:r>
        <w:rPr>
          <w:rFonts w:ascii="Barlow Semi Condensed" w:cs="Barlow Semi Condensed" w:eastAsia="Barlow Semi Condensed" w:hAnsi="Barlow Semi Condensed"/>
          <w:b/>
          <w:bCs/>
          <w:sz w:val="24"/>
          <w:szCs w:val="24"/>
        </w:rPr>
        <w:t xml:space="preserve">322 · Il diritto d'autore delle carte.</w:t>
      </w:r>
      <w:r>
        <w:rPr>
          <w:rFonts w:ascii="Barlow Semi Condensed" w:cs="Barlow Semi Condensed" w:eastAsia="Barlow Semi Condensed" w:hAnsi="Barlow Semi Condensed"/>
          <w:sz w:val="24"/>
          <w:szCs w:val="24"/>
        </w:rPr>
        <w:t xml:space="preserve"> La gestione dei diritti sulle carte private pubblicande: testi inediti, fotografie, lettere — chi autorizza che cosa. Il prontuario dei diritti per l'edizione delle fonti: il cantiere pubblica solo ciò che può, e sa sempre perché può.</w:t>
      </w:r>
    </w:p>
    <w:p>
      <w:pPr>
        <w:spacing w:after="120" w:line="276"/>
        <w:jc w:val="both"/>
      </w:pPr>
      <w:r>
        <w:rPr>
          <w:rFonts w:ascii="Barlow Semi Condensed" w:cs="Barlow Semi Condensed" w:eastAsia="Barlow Semi Condensed" w:hAnsi="Barlow Semi Condensed"/>
          <w:b/>
          <w:bCs/>
          <w:sz w:val="24"/>
          <w:szCs w:val="24"/>
        </w:rPr>
        <w:t xml:space="preserve">323 · Le carte digitali native.</w:t>
      </w:r>
      <w:r>
        <w:rPr>
          <w:rFonts w:ascii="Barlow Semi Condensed" w:cs="Barlow Semi Condensed" w:eastAsia="Barlow Semi Condensed" w:hAnsi="Barlow Semi Condensed"/>
          <w:sz w:val="24"/>
          <w:szCs w:val="24"/>
        </w:rPr>
        <w:t xml:space="preserve"> Il fronte nuovo: le carte digitali dei protagonisti tardi del caso (email, file) per il periodo delle commissioni recenti. L'archivistica digitale entra nel cantiere dei privati: i fondi del futuro si formano ora, e si salvano ora.</w:t>
      </w:r>
    </w:p>
    <w:p>
      <w:pPr>
        <w:spacing w:after="120" w:line="276"/>
        <w:jc w:val="both"/>
      </w:pPr>
      <w:r>
        <w:rPr>
          <w:rFonts w:ascii="Barlow Semi Condensed" w:cs="Barlow Semi Condensed" w:eastAsia="Barlow Semi Condensed" w:hAnsi="Barlow Semi Condensed"/>
          <w:b/>
          <w:bCs/>
          <w:sz w:val="24"/>
          <w:szCs w:val="24"/>
        </w:rPr>
        <w:t xml:space="preserve">324 · Il registro delle scoperte.</w:t>
      </w:r>
      <w:r>
        <w:rPr>
          <w:rFonts w:ascii="Barlow Semi Condensed" w:cs="Barlow Semi Condensed" w:eastAsia="Barlow Semi Condensed" w:hAnsi="Barlow Semi Condensed"/>
          <w:sz w:val="24"/>
          <w:szCs w:val="24"/>
        </w:rPr>
        <w:t xml:space="preserve"> Ogni carta significativa emersa dai fondi privati entra in un registro pubblico delle scoperte — con segnatura, data di emersione, quesito servito. La contabilità dei risultati della parte: che cosa i fondi hanno dato che gli archivi di Stato non avevano.</w:t>
      </w:r>
    </w:p>
    <w:p>
      <w:pPr>
        <w:spacing w:after="120" w:line="276"/>
        <w:jc w:val="both"/>
      </w:pPr>
      <w:r>
        <w:rPr>
          <w:rFonts w:ascii="Barlow Semi Condensed" w:cs="Barlow Semi Condensed" w:eastAsia="Barlow Semi Condensed" w:hAnsi="Barlow Semi Condensed"/>
          <w:b/>
          <w:bCs/>
          <w:sz w:val="24"/>
          <w:szCs w:val="24"/>
        </w:rPr>
        <w:t xml:space="preserve">325 · Le carte che spostano.</w:t>
      </w:r>
      <w:r>
        <w:rPr>
          <w:rFonts w:ascii="Barlow Semi Condensed" w:cs="Barlow Semi Condensed" w:eastAsia="Barlow Semi Condensed" w:hAnsi="Barlow Semi Condensed"/>
          <w:sz w:val="24"/>
          <w:szCs w:val="24"/>
        </w:rPr>
        <w:t xml:space="preserve"> Il protocollo per la carta che cambia una matrice: verifica rafforzata, contro-lettura, poi l'aggiornamento della scheda per nota. Una scoperta nei privati segue la trafila di ogni evidenza: nessuna emozione d'archivio salta la disciplina dei gradi.</w:t>
      </w:r>
    </w:p>
    <w:p>
      <w:pPr>
        <w:spacing w:after="120" w:line="276"/>
        <w:jc w:val="both"/>
      </w:pPr>
      <w:r>
        <w:rPr>
          <w:rFonts w:ascii="Barlow Semi Condensed" w:cs="Barlow Semi Condensed" w:eastAsia="Barlow Semi Condensed" w:hAnsi="Barlow Semi Condensed"/>
          <w:b/>
          <w:bCs/>
          <w:sz w:val="24"/>
          <w:szCs w:val="24"/>
        </w:rPr>
        <w:t xml:space="preserve">326 · Il raccordo con le piste.</w:t>
      </w:r>
      <w:r>
        <w:rPr>
          <w:rFonts w:ascii="Barlow Semi Condensed" w:cs="Barlow Semi Condensed" w:eastAsia="Barlow Semi Condensed" w:hAnsi="Barlow Semi Condensed"/>
          <w:sz w:val="24"/>
          <w:szCs w:val="24"/>
        </w:rPr>
        <w:t xml:space="preserve"> La tavola di corrispondenza della parte con le piste del programma: i fondi privati servono soprattutto PE-1 (i comitati, via carte di gabinetto private), il quesito 9 (le lettere), l'11 (il canale) e la cronologia politica generale. Ogni fondo dichiara le sue piste: nessuno spoglio orfano.</w:t>
      </w:r>
    </w:p>
    <w:p>
      <w:pPr>
        <w:spacing w:after="120" w:line="276"/>
        <w:jc w:val="both"/>
      </w:pPr>
      <w:r>
        <w:rPr>
          <w:rFonts w:ascii="Barlow Semi Condensed" w:cs="Barlow Semi Condensed" w:eastAsia="Barlow Semi Condensed" w:hAnsi="Barlow Semi Condensed"/>
          <w:b/>
          <w:bCs/>
          <w:sz w:val="24"/>
          <w:szCs w:val="24"/>
        </w:rPr>
        <w:t xml:space="preserve">327 · Il raccordo col manuale.</w:t>
      </w:r>
      <w:r>
        <w:rPr>
          <w:rFonts w:ascii="Barlow Semi Condensed" w:cs="Barlow Semi Condensed" w:eastAsia="Barlow Semi Condensed" w:hAnsi="Barlow Semi Condensed"/>
          <w:sz w:val="24"/>
          <w:szCs w:val="24"/>
        </w:rPr>
        <w:t xml:space="preserve"> Il rinvio esecutivo: le campagne della parte si eseguono coi protocolli della serie quarta del manuale (gli archivi) e con la contabilità della serie dodicesima dell'agenda. La tripla architettura regge anche qui: il cantiere è il dove, il manuale il come, l'agenda il conto.</w:t>
      </w:r>
    </w:p>
    <w:p>
      <w:pPr>
        <w:spacing w:after="120" w:line="276"/>
        <w:jc w:val="both"/>
      </w:pPr>
      <w:r>
        <w:rPr>
          <w:rFonts w:ascii="Barlow Semi Condensed" w:cs="Barlow Semi Condensed" w:eastAsia="Barlow Semi Condensed" w:hAnsi="Barlow Semi Condensed"/>
          <w:b/>
          <w:bCs/>
          <w:sz w:val="24"/>
          <w:szCs w:val="24"/>
        </w:rPr>
        <w:t xml:space="preserve">328 · I vuoti dei privati.</w:t>
      </w:r>
      <w:r>
        <w:rPr>
          <w:rFonts w:ascii="Barlow Semi Condensed" w:cs="Barlow Semi Condensed" w:eastAsia="Barlow Semi Condensed" w:hAnsi="Barlow Semi Condensed"/>
          <w:sz w:val="24"/>
          <w:szCs w:val="24"/>
        </w:rPr>
        <w:t xml:space="preserve"> Il verbale dei vuoti della parte: i fondi cercati e non trovati, i protagonisti senza carte, le serie disperse. Lo Stato Zero dei fondi privati — la mappa di ciò che la memoria privata del caso ha già perso per sempre.</w:t>
      </w:r>
    </w:p>
    <w:p>
      <w:pPr>
        <w:spacing w:after="120" w:line="276"/>
        <w:jc w:val="both"/>
      </w:pPr>
      <w:r>
        <w:rPr>
          <w:rFonts w:ascii="Barlow Semi Condensed" w:cs="Barlow Semi Condensed" w:eastAsia="Barlow Semi Condensed" w:hAnsi="Barlow Semi Condensed"/>
          <w:b/>
          <w:bCs/>
          <w:sz w:val="24"/>
          <w:szCs w:val="24"/>
        </w:rPr>
        <w:t xml:space="preserve">329 · La sintesi della parte.</w:t>
      </w:r>
      <w:r>
        <w:rPr>
          <w:rFonts w:ascii="Barlow Semi Condensed" w:cs="Barlow Semi Condensed" w:eastAsia="Barlow Semi Condensed" w:hAnsi="Barlow Semi Condensed"/>
          <w:sz w:val="24"/>
          <w:szCs w:val="24"/>
        </w:rPr>
        <w:t xml:space="preserve"> Il prodotto d'insieme: lo stato dell'arte dei fondi privati morotei — che cosa esiste, dove, quanto è stato spogliato, che cosa resta. La pagina che nessuna bibliografia ha mai scritto: l'archivio privato del caso, come sistema.</w:t>
      </w:r>
    </w:p>
    <w:p>
      <w:pPr>
        <w:spacing w:after="120" w:line="276"/>
        <w:jc w:val="both"/>
      </w:pPr>
      <w:r>
        <w:rPr>
          <w:rFonts w:ascii="Barlow Semi Condensed" w:cs="Barlow Semi Condensed" w:eastAsia="Barlow Semi Condensed" w:hAnsi="Barlow Semi Condensed"/>
          <w:b/>
          <w:bCs/>
          <w:sz w:val="24"/>
          <w:szCs w:val="24"/>
        </w:rPr>
        <w:t xml:space="preserve">330 · La tavola terza.</w:t>
      </w:r>
      <w:r>
        <w:rPr>
          <w:rFonts w:ascii="Barlow Semi Condensed" w:cs="Barlow Semi Condensed" w:eastAsia="Barlow Semi Condensed" w:hAnsi="Barlow Semi Condensed"/>
          <w:sz w:val="24"/>
          <w:szCs w:val="24"/>
        </w:rPr>
        <w:t xml:space="preserve"> La chiusura della parte: gli stati di tutti i bersagli (221-329), le campagne calendarizzate, le proposte di deposito pendenti. Il terzo cantiere consegna la sua contabilità — e con lui un terzo dell'opera è in tavola.</w:t>
      </w:r>
    </w:p>
    <w:p>
      <w:pPr>
        <w:pStyle w:val="Heading2"/>
        <w:spacing w:after="100" w:before="200"/>
      </w:pPr>
      <w:r>
        <w:rPr>
          <w:rFonts w:ascii="Barlow Semi Condensed" w:cs="Barlow Semi Condensed" w:eastAsia="Barlow Semi Condensed" w:hAnsi="Barlow Semi Condensed"/>
          <w:sz w:val="24"/>
          <w:szCs w:val="24"/>
        </w:rPr>
        <w:t xml:space="preserve">Parte quarta — I reperti (blocchi 331-460)</w:t>
      </w:r>
    </w:p>
    <w:p>
      <w:pPr>
        <w:spacing w:after="120" w:line="276"/>
        <w:jc w:val="both"/>
      </w:pPr>
      <w:r>
        <w:rPr>
          <w:rFonts w:ascii="Barlow Semi Condensed" w:cs="Barlow Semi Condensed" w:eastAsia="Barlow Semi Condensed" w:hAnsi="Barlow Semi Condensed"/>
          <w:i/>
          <w:iCs/>
          <w:sz w:val="24"/>
          <w:szCs w:val="24"/>
        </w:rPr>
        <w:t xml:space="preserve">Statuto della parte: gli oggetti che non ritrattano. Il cantiere dei reperti lavora su fatti verificati per quest'opera: l'esame tecnico del 2015 fu del Servizio Polizia scientifica (illustrato alla Moro 2 il 10 giugno 2015) e confermò l'attribuzione del 1978 — quarantanove colpi da un'unica arma FNAB-43 — declassando però a esito non conclusivo l'attribuzione dei ventidue colpi al secondo mitra, che la perizia del 1993 aveva già messo in dubbio; i profili genetici del 2016 (RIS di Roma e Polizia scientifica, dai mozziconi dell'auto di sbarramento e di via Gradoli) restano senza attribuzione pubblica; il caricatore repertato all'angolo fra via Fani e via Stresa non fu mai sottoposto a comparazione in quarantott'anni, e nuovi esami sono stati disposti dal giudice; gli atti dei cinque processi sono stati digitalizzati sotto il coordinamento dell'Archivio di Stato di Roma. Su questo pavimento la parte costruisce centotrenta bersagli, con la regola scolpita: nessun reperto ha un nome come risposta attesa.</w:t>
      </w:r>
    </w:p>
    <w:p>
      <w:pPr>
        <w:pStyle w:val="Heading3"/>
        <w:spacing w:after="80" w:before="160"/>
      </w:pPr>
      <w:r>
        <w:rPr>
          <w:rFonts w:ascii="Barlow Semi Condensed" w:cs="Barlow Semi Condensed" w:eastAsia="Barlow Semi Condensed" w:hAnsi="Barlow Semi Condensed"/>
          <w:sz w:val="24"/>
          <w:szCs w:val="24"/>
        </w:rPr>
        <w:t xml:space="preserve">La ricognizione e la custodia (blocchi 331-350)</w:t>
      </w:r>
    </w:p>
    <w:p>
      <w:pPr>
        <w:spacing w:after="120" w:line="276"/>
        <w:jc w:val="both"/>
      </w:pPr>
      <w:r>
        <w:rPr>
          <w:rFonts w:ascii="Barlow Semi Condensed" w:cs="Barlow Semi Condensed" w:eastAsia="Barlow Semi Condensed" w:hAnsi="Barlow Semi Condensed"/>
          <w:b/>
          <w:bCs/>
          <w:sz w:val="24"/>
          <w:szCs w:val="24"/>
        </w:rPr>
        <w:t xml:space="preserve">331 · Il censimento fisico.</w:t>
      </w:r>
      <w:r>
        <w:rPr>
          <w:rFonts w:ascii="Barlow Semi Condensed" w:cs="Barlow Semi Condensed" w:eastAsia="Barlow Semi Condensed" w:hAnsi="Barlow Semi Condensed"/>
          <w:sz w:val="24"/>
          <w:szCs w:val="24"/>
        </w:rPr>
        <w:t xml:space="preserve"> Il primo atto del cantiere: la ricognizione dei corpi di reato del caso — sede per sede, deposito per deposito — con stato di conservazione e riesaminabilità. La verifica per quest'opera ha accertato che un inventario pubblico unitario dei reperti minori non esiste: costruirlo è il bersaglio fondativo della parte.</w:t>
      </w:r>
    </w:p>
    <w:p>
      <w:pPr>
        <w:spacing w:after="120" w:line="276"/>
        <w:jc w:val="both"/>
      </w:pPr>
      <w:r>
        <w:rPr>
          <w:rFonts w:ascii="Barlow Semi Condensed" w:cs="Barlow Semi Condensed" w:eastAsia="Barlow Semi Condensed" w:hAnsi="Barlow Semi Condensed"/>
          <w:b/>
          <w:bCs/>
          <w:sz w:val="24"/>
          <w:szCs w:val="24"/>
        </w:rPr>
        <w:t xml:space="preserve">332 · La lezione del riordino.</w:t>
      </w:r>
      <w:r>
        <w:rPr>
          <w:rFonts w:ascii="Barlow Semi Condensed" w:cs="Barlow Semi Condensed" w:eastAsia="Barlow Semi Condensed" w:hAnsi="Barlow Semi Condensed"/>
          <w:sz w:val="24"/>
          <w:szCs w:val="24"/>
        </w:rPr>
        <w:t xml:space="preserve"> I reperti riemersi e riordinati durante i lavori della Moro 2 (2015-2017): la storia documentata di quel riordino — che cosa fu ritrovato, in che condizioni, con quali verbali. La lezione è metodica: i depositi giudiziari dimenticano, e ogni commissione che cerca trova. Il cantiere istituzionalizza la ricerca.</w:t>
      </w:r>
    </w:p>
    <w:p>
      <w:pPr>
        <w:spacing w:after="120" w:line="276"/>
        <w:jc w:val="both"/>
      </w:pPr>
      <w:r>
        <w:rPr>
          <w:rFonts w:ascii="Barlow Semi Condensed" w:cs="Barlow Semi Condensed" w:eastAsia="Barlow Semi Condensed" w:hAnsi="Barlow Semi Condensed"/>
          <w:b/>
          <w:bCs/>
          <w:sz w:val="24"/>
          <w:szCs w:val="24"/>
        </w:rPr>
        <w:t xml:space="preserve">333 · La catena ricostruita, reperto per reperto.</w:t>
      </w:r>
      <w:r>
        <w:rPr>
          <w:rFonts w:ascii="Barlow Semi Condensed" w:cs="Barlow Semi Condensed" w:eastAsia="Barlow Semi Condensed" w:hAnsi="Barlow Semi Condensed"/>
          <w:sz w:val="24"/>
          <w:szCs w:val="24"/>
        </w:rPr>
        <w:t xml:space="preserve"> Per ogni oggetto del censimento: la catena di custodia integrale dal 1978 — sequestro, perizie, trasferimenti, sedi — ricostruita dagli atti ora digitalizzati. La catena è la precondizione di ogni esame futuro: un reperto senza storia è un esame contestabile in partenza.</w:t>
      </w:r>
    </w:p>
    <w:p>
      <w:pPr>
        <w:spacing w:after="120" w:line="276"/>
        <w:jc w:val="both"/>
      </w:pPr>
      <w:r>
        <w:rPr>
          <w:rFonts w:ascii="Barlow Semi Condensed" w:cs="Barlow Semi Condensed" w:eastAsia="Barlow Semi Condensed" w:hAnsi="Barlow Semi Condensed"/>
          <w:b/>
          <w:bCs/>
          <w:sz w:val="24"/>
          <w:szCs w:val="24"/>
        </w:rPr>
        <w:t xml:space="preserve">334 · Il registro delle manipolazioni.</w:t>
      </w:r>
      <w:r>
        <w:rPr>
          <w:rFonts w:ascii="Barlow Semi Condensed" w:cs="Barlow Semi Condensed" w:eastAsia="Barlow Semi Condensed" w:hAnsi="Barlow Semi Condensed"/>
          <w:sz w:val="24"/>
          <w:szCs w:val="24"/>
        </w:rPr>
        <w:t xml:space="preserve"> Il censimento di chi ha toccato che cosa in mezzo secolo: periti, operatori, custodi — per il database di eliminazione (il blocco 188 dell'agenda, eseguito). Ogni mano nota sottratta all'ignoto restringe il campo dei profili orfani: è aritmetica forense, non burocrazia.</w:t>
      </w:r>
    </w:p>
    <w:p>
      <w:pPr>
        <w:spacing w:after="120" w:line="276"/>
        <w:jc w:val="both"/>
      </w:pPr>
      <w:r>
        <w:rPr>
          <w:rFonts w:ascii="Barlow Semi Condensed" w:cs="Barlow Semi Condensed" w:eastAsia="Barlow Semi Condensed" w:hAnsi="Barlow Semi Condensed"/>
          <w:b/>
          <w:bCs/>
          <w:sz w:val="24"/>
          <w:szCs w:val="24"/>
        </w:rPr>
        <w:t xml:space="preserve">335 · La Renault 4, custodita.</w:t>
      </w:r>
      <w:r>
        <w:rPr>
          <w:rFonts w:ascii="Barlow Semi Condensed" w:cs="Barlow Semi Condensed" w:eastAsia="Barlow Semi Condensed" w:hAnsi="Barlow Semi Condensed"/>
          <w:sz w:val="24"/>
          <w:szCs w:val="24"/>
        </w:rPr>
        <w:t xml:space="preserve"> Il fatto verificato: la Renault 4 del ritrovamento (targata Roma N57686, di Filippo Bartoli) fu donata dopo il dissequestro alla Polizia di Stato, restaurata in conservativo ed è esposta al museo delle auto storiche del Corpo. Il bersaglio: la documentazione integrale del restauro — che cosa fu preservato, che cosa perduto per sempre alla scienza.</w:t>
      </w:r>
    </w:p>
    <w:p>
      <w:pPr>
        <w:spacing w:after="120" w:line="276"/>
        <w:jc w:val="both"/>
      </w:pPr>
      <w:r>
        <w:rPr>
          <w:rFonts w:ascii="Barlow Semi Condensed" w:cs="Barlow Semi Condensed" w:eastAsia="Barlow Semi Condensed" w:hAnsi="Barlow Semi Condensed"/>
          <w:b/>
          <w:bCs/>
          <w:sz w:val="24"/>
          <w:szCs w:val="24"/>
        </w:rPr>
        <w:t xml:space="preserve">336 · I reperti espositi.</w:t>
      </w:r>
      <w:r>
        <w:rPr>
          <w:rFonts w:ascii="Barlow Semi Condensed" w:cs="Barlow Semi Condensed" w:eastAsia="Barlow Semi Condensed" w:hAnsi="Barlow Semi Condensed"/>
          <w:sz w:val="24"/>
          <w:szCs w:val="24"/>
        </w:rPr>
        <w:t xml:space="preserve"> La regola per i reperti musealizzati: l'esposizione non è la fine della riesaminabilità — la tavola di ciò che i musei del caso conservano (le auto, gli oggetti) con lo stato tecnico di ciascun pezzo. Un reperto in vetrina resta un reperto: cambia la teca, non lo statuto.</w:t>
      </w:r>
    </w:p>
    <w:p>
      <w:pPr>
        <w:spacing w:after="120" w:line="276"/>
        <w:jc w:val="both"/>
      </w:pPr>
      <w:r>
        <w:rPr>
          <w:rFonts w:ascii="Barlow Semi Condensed" w:cs="Barlow Semi Condensed" w:eastAsia="Barlow Semi Condensed" w:hAnsi="Barlow Semi Condensed"/>
          <w:b/>
          <w:bCs/>
          <w:sz w:val="24"/>
          <w:szCs w:val="24"/>
        </w:rPr>
        <w:t xml:space="preserve">337 · I depositi giudiziari romani.</w:t>
      </w:r>
      <w:r>
        <w:rPr>
          <w:rFonts w:ascii="Barlow Semi Condensed" w:cs="Barlow Semi Condensed" w:eastAsia="Barlow Semi Condensed" w:hAnsi="Barlow Semi Condensed"/>
          <w:sz w:val="24"/>
          <w:szCs w:val="24"/>
        </w:rPr>
        <w:t xml:space="preserve"> La mappa dei depositi della giustizia romana dove i corpi di reato del caso giacciono o giacquero: registri di carico e scarico, versamenti, distruzioni autorizzate. La geografia fisica dei reperti — il complemento materiale della digitalizzazione degli atti.</w:t>
      </w:r>
    </w:p>
    <w:p>
      <w:pPr>
        <w:spacing w:after="120" w:line="276"/>
        <w:jc w:val="both"/>
      </w:pPr>
      <w:r>
        <w:rPr>
          <w:rFonts w:ascii="Barlow Semi Condensed" w:cs="Barlow Semi Condensed" w:eastAsia="Barlow Semi Condensed" w:hAnsi="Barlow Semi Condensed"/>
          <w:b/>
          <w:bCs/>
          <w:sz w:val="24"/>
          <w:szCs w:val="24"/>
        </w:rPr>
        <w:t xml:space="preserve">338 · Le distruzioni documentate.</w:t>
      </w:r>
      <w:r>
        <w:rPr>
          <w:rFonts w:ascii="Barlow Semi Condensed" w:cs="Barlow Semi Condensed" w:eastAsia="Barlow Semi Condensed" w:hAnsi="Barlow Semi Condensed"/>
          <w:sz w:val="24"/>
          <w:szCs w:val="24"/>
        </w:rPr>
        <w:t xml:space="preserve"> Il censimento dei reperti distrutti per provvedimento nei decenni: quali, quando, con quale autorizzazione. La tavola del distrutto (il gemello materiale del blocco 255 dell'agenda): ogni distruzione documentata chiude onestamente un bersaglio — e ne apre uno sulla decisione.</w:t>
      </w:r>
    </w:p>
    <w:p>
      <w:pPr>
        <w:spacing w:after="120" w:line="276"/>
        <w:jc w:val="both"/>
      </w:pPr>
      <w:r>
        <w:rPr>
          <w:rFonts w:ascii="Barlow Semi Condensed" w:cs="Barlow Semi Condensed" w:eastAsia="Barlow Semi Condensed" w:hAnsi="Barlow Semi Condensed"/>
          <w:b/>
          <w:bCs/>
          <w:sz w:val="24"/>
          <w:szCs w:val="24"/>
        </w:rPr>
        <w:t xml:space="preserve">339 · I reperti nelle perizie.</w:t>
      </w:r>
      <w:r>
        <w:rPr>
          <w:rFonts w:ascii="Barlow Semi Condensed" w:cs="Barlow Semi Condensed" w:eastAsia="Barlow Semi Condensed" w:hAnsi="Barlow Semi Condensed"/>
          <w:sz w:val="24"/>
          <w:szCs w:val="24"/>
        </w:rPr>
        <w:t xml:space="preserve"> Il censimento incrociato: ogni reperto contro ogni perizia che lo esaminò (1978, i processi, il 1993, il 2015-2017) — la matrice reperto × esame con gli esiti. La storia scientifica di ciascun oggetto, in una riga: che cosa gli è già stato chiesto, e con quali strumenti d'epoca.</w:t>
      </w:r>
    </w:p>
    <w:p>
      <w:pPr>
        <w:spacing w:after="120" w:line="276"/>
        <w:jc w:val="both"/>
      </w:pPr>
      <w:r>
        <w:rPr>
          <w:rFonts w:ascii="Barlow Semi Condensed" w:cs="Barlow Semi Condensed" w:eastAsia="Barlow Semi Condensed" w:hAnsi="Barlow Semi Condensed"/>
          <w:b/>
          <w:bCs/>
          <w:sz w:val="24"/>
          <w:szCs w:val="24"/>
        </w:rPr>
        <w:t xml:space="preserve">340 · La perizia del 1993.</w:t>
      </w:r>
      <w:r>
        <w:rPr>
          <w:rFonts w:ascii="Barlow Semi Condensed" w:cs="Barlow Semi Condensed" w:eastAsia="Barlow Semi Condensed" w:hAnsi="Barlow Semi Condensed"/>
          <w:sz w:val="24"/>
          <w:szCs w:val="24"/>
        </w:rPr>
        <w:t xml:space="preserve"> Il passaggio intermedio documentato: la perizia balistica degli anni Novanta (l'ipotesi divergente registrata dalla verifica) — il testo, i quesiti, gli esiti, il confronto col 1978 e col 2015. La sequenza delle tre stagioni peritali è essa stessa un oggetto di studio: come cambiò la lettura degli stessi bossoli.</w:t>
      </w:r>
    </w:p>
    <w:p>
      <w:pPr>
        <w:spacing w:after="120" w:line="276"/>
        <w:jc w:val="both"/>
      </w:pPr>
      <w:r>
        <w:rPr>
          <w:rFonts w:ascii="Barlow Semi Condensed" w:cs="Barlow Semi Condensed" w:eastAsia="Barlow Semi Condensed" w:hAnsi="Barlow Semi Condensed"/>
          <w:b/>
          <w:bCs/>
          <w:sz w:val="24"/>
          <w:szCs w:val="24"/>
        </w:rPr>
        <w:t xml:space="preserve">341 · Gli atti digitalizzati come strumento.</w:t>
      </w:r>
      <w:r>
        <w:rPr>
          <w:rFonts w:ascii="Barlow Semi Condensed" w:cs="Barlow Semi Condensed" w:eastAsia="Barlow Semi Condensed" w:hAnsi="Barlow Semi Condensed"/>
          <w:sz w:val="24"/>
          <w:szCs w:val="24"/>
        </w:rPr>
        <w:t xml:space="preserve"> Il fatto verificato: gli atti dei processi Moro (dal primo al quinquies), già alla Corte d'assise di Roma, sono stati riordinati e digitalizzati sotto il coordinamento dell'Archivio di Stato di Roma. Il cantiere li usa come strumento quotidiano: ogni verbale di sequestro e ogni perizia del 1978 è ora interrogabile — e va interrogata sistematicamente.</w:t>
      </w:r>
    </w:p>
    <w:p>
      <w:pPr>
        <w:spacing w:after="120" w:line="276"/>
        <w:jc w:val="both"/>
      </w:pPr>
      <w:r>
        <w:rPr>
          <w:rFonts w:ascii="Barlow Semi Condensed" w:cs="Barlow Semi Condensed" w:eastAsia="Barlow Semi Condensed" w:hAnsi="Barlow Semi Condensed"/>
          <w:b/>
          <w:bCs/>
          <w:sz w:val="24"/>
          <w:szCs w:val="24"/>
        </w:rPr>
        <w:t xml:space="preserve">342 · L'inventario unico pubblicato.</w:t>
      </w:r>
      <w:r>
        <w:rPr>
          <w:rFonts w:ascii="Barlow Semi Condensed" w:cs="Barlow Semi Condensed" w:eastAsia="Barlow Semi Condensed" w:hAnsi="Barlow Semi Condensed"/>
          <w:sz w:val="24"/>
          <w:szCs w:val="24"/>
        </w:rPr>
        <w:t xml:space="preserve"> L'esito atteso della sezione: l'inventario unico dei reperti del caso — oggetto, storia, sede, stato, esami fatti e possibili — pubblicato e mantenuto (il blocco 100 dell'agenda, eseguito alla scala del cantiere). Nessun caso italiano ha mai avuto la sua tavola dei reperti: questo la costruisce.</w:t>
      </w:r>
    </w:p>
    <w:p>
      <w:pPr>
        <w:spacing w:after="120" w:line="276"/>
        <w:jc w:val="both"/>
      </w:pPr>
      <w:r>
        <w:rPr>
          <w:rFonts w:ascii="Barlow Semi Condensed" w:cs="Barlow Semi Condensed" w:eastAsia="Barlow Semi Condensed" w:hAnsi="Barlow Semi Condensed"/>
          <w:b/>
          <w:bCs/>
          <w:sz w:val="24"/>
          <w:szCs w:val="24"/>
        </w:rPr>
        <w:t xml:space="preserve">343 · I reperti dei covi.</w:t>
      </w:r>
      <w:r>
        <w:rPr>
          <w:rFonts w:ascii="Barlow Semi Condensed" w:cs="Barlow Semi Condensed" w:eastAsia="Barlow Semi Condensed" w:hAnsi="Barlow Semi Condensed"/>
          <w:sz w:val="24"/>
          <w:szCs w:val="24"/>
        </w:rPr>
        <w:t xml:space="preserve"> Il perimetro allargato: i corpi di reato dei covi collegati (via Gradoli, via Monte Nevoso, gli altri) — censimento con la stessa griglia. Il caso non finisce in via Fani: i suoi oggetti sono un arcipelago, e l'inventario lo copre per intero.</w:t>
      </w:r>
    </w:p>
    <w:p>
      <w:pPr>
        <w:spacing w:after="120" w:line="276"/>
        <w:jc w:val="both"/>
      </w:pPr>
      <w:r>
        <w:rPr>
          <w:rFonts w:ascii="Barlow Semi Condensed" w:cs="Barlow Semi Condensed" w:eastAsia="Barlow Semi Condensed" w:hAnsi="Barlow Semi Condensed"/>
          <w:b/>
          <w:bCs/>
          <w:sz w:val="24"/>
          <w:szCs w:val="24"/>
        </w:rPr>
        <w:t xml:space="preserve">344 · I reperti degli altri processi.</w:t>
      </w:r>
      <w:r>
        <w:rPr>
          <w:rFonts w:ascii="Barlow Semi Condensed" w:cs="Barlow Semi Condensed" w:eastAsia="Barlow Semi Condensed" w:hAnsi="Barlow Semi Condensed"/>
          <w:sz w:val="24"/>
          <w:szCs w:val="24"/>
        </w:rPr>
        <w:t xml:space="preserve"> I corpi di reato dei procedimenti collegati (Chichiarelli, i processi alla colonna romana) per la parte che tocca il caso: censimento e catena. I confini processuali non sono confini materiali: l'oggetto migra fra fascicoli, e il cantiere lo segue.</w:t>
      </w:r>
    </w:p>
    <w:p>
      <w:pPr>
        <w:spacing w:after="120" w:line="276"/>
        <w:jc w:val="both"/>
      </w:pPr>
      <w:r>
        <w:rPr>
          <w:rFonts w:ascii="Barlow Semi Condensed" w:cs="Barlow Semi Condensed" w:eastAsia="Barlow Semi Condensed" w:hAnsi="Barlow Semi Condensed"/>
          <w:b/>
          <w:bCs/>
          <w:sz w:val="24"/>
          <w:szCs w:val="24"/>
        </w:rPr>
        <w:t xml:space="preserve">345 · Il sopralluogo del 2026.</w:t>
      </w:r>
      <w:r>
        <w:rPr>
          <w:rFonts w:ascii="Barlow Semi Condensed" w:cs="Barlow Semi Condensed" w:eastAsia="Barlow Semi Condensed" w:hAnsi="Barlow Semi Condensed"/>
          <w:sz w:val="24"/>
          <w:szCs w:val="24"/>
        </w:rPr>
        <w:t xml:space="preserve"> La verifica fisica: il sopralluogo formale nei depositi con le autorità competenti — lo stato reale contro lo stato di registro. La carta dice; l'occhio verifica: la differenza fra i due è essa stessa un dato del cantiere.</w:t>
      </w:r>
    </w:p>
    <w:p>
      <w:pPr>
        <w:spacing w:after="120" w:line="276"/>
        <w:jc w:val="both"/>
      </w:pPr>
      <w:r>
        <w:rPr>
          <w:rFonts w:ascii="Barlow Semi Condensed" w:cs="Barlow Semi Condensed" w:eastAsia="Barlow Semi Condensed" w:hAnsi="Barlow Semi Condensed"/>
          <w:b/>
          <w:bCs/>
          <w:sz w:val="24"/>
          <w:szCs w:val="24"/>
        </w:rPr>
        <w:t xml:space="preserve">346 · Le condizioni di conservazione.</w:t>
      </w:r>
      <w:r>
        <w:rPr>
          <w:rFonts w:ascii="Barlow Semi Condensed" w:cs="Barlow Semi Condensed" w:eastAsia="Barlow Semi Condensed" w:hAnsi="Barlow Semi Condensed"/>
          <w:sz w:val="24"/>
          <w:szCs w:val="24"/>
        </w:rPr>
        <w:t xml:space="preserve"> Per ogni reperto biologicamente o chimicamente sensibile: la scheda delle condizioni (temperatura, umidità, contenitori) e le raccomandazioni di conservazione forense. Il cantiere protegge prima di esaminare: un reperto degradato oggi è una domanda in meno per sempre.</w:t>
      </w:r>
    </w:p>
    <w:p>
      <w:pPr>
        <w:spacing w:after="120" w:line="276"/>
        <w:jc w:val="both"/>
      </w:pPr>
      <w:r>
        <w:rPr>
          <w:rFonts w:ascii="Barlow Semi Condensed" w:cs="Barlow Semi Condensed" w:eastAsia="Barlow Semi Condensed" w:hAnsi="Barlow Semi Condensed"/>
          <w:b/>
          <w:bCs/>
          <w:sz w:val="24"/>
          <w:szCs w:val="24"/>
        </w:rPr>
        <w:t xml:space="preserve">347 · La priorità degli esami.</w:t>
      </w:r>
      <w:r>
        <w:rPr>
          <w:rFonts w:ascii="Barlow Semi Condensed" w:cs="Barlow Semi Condensed" w:eastAsia="Barlow Semi Condensed" w:hAnsi="Barlow Semi Condensed"/>
          <w:sz w:val="24"/>
          <w:szCs w:val="24"/>
        </w:rPr>
        <w:t xml:space="preserve"> La graduatoria dei riesami per rendimento e rischio: prima i reperti mai esaminati (il caricatore insegna), poi quelli esaminati con strumenti superati, poi le conferme. La coda degli esami è un atto pubblico del cantiere: si vede che cosa viene prima e perché.</w:t>
      </w:r>
    </w:p>
    <w:p>
      <w:pPr>
        <w:spacing w:after="120" w:line="276"/>
        <w:jc w:val="both"/>
      </w:pPr>
      <w:r>
        <w:rPr>
          <w:rFonts w:ascii="Barlow Semi Condensed" w:cs="Barlow Semi Condensed" w:eastAsia="Barlow Semi Condensed" w:hAnsi="Barlow Semi Condensed"/>
          <w:b/>
          <w:bCs/>
          <w:sz w:val="24"/>
          <w:szCs w:val="24"/>
        </w:rPr>
        <w:t xml:space="preserve">348 · Il coordinamento col giudice.</w:t>
      </w:r>
      <w:r>
        <w:rPr>
          <w:rFonts w:ascii="Barlow Semi Condensed" w:cs="Barlow Semi Condensed" w:eastAsia="Barlow Semi Condensed" w:hAnsi="Barlow Semi Condensed"/>
          <w:sz w:val="24"/>
          <w:szCs w:val="24"/>
        </w:rPr>
        <w:t xml:space="preserve"> La regola istituzionale: ogni riesame su corpi di reato passa per l'autorità giudiziaria titolare — il cantiere propone, documenta e attende (il blocco 291 dell'agenda). I reperti del caso sono della giustizia: il cantiere è un alleato istruito, non un concorrente.</w:t>
      </w:r>
    </w:p>
    <w:p>
      <w:pPr>
        <w:spacing w:after="120" w:line="276"/>
        <w:jc w:val="both"/>
      </w:pPr>
      <w:r>
        <w:rPr>
          <w:rFonts w:ascii="Barlow Semi Condensed" w:cs="Barlow Semi Condensed" w:eastAsia="Barlow Semi Condensed" w:hAnsi="Barlow Semi Condensed"/>
          <w:b/>
          <w:bCs/>
          <w:sz w:val="24"/>
          <w:szCs w:val="24"/>
        </w:rPr>
        <w:t xml:space="preserve">349 · Il registro fotografico dei reperti.</w:t>
      </w:r>
      <w:r>
        <w:rPr>
          <w:rFonts w:ascii="Barlow Semi Condensed" w:cs="Barlow Semi Condensed" w:eastAsia="Barlow Semi Condensed" w:hAnsi="Barlow Semi Condensed"/>
          <w:sz w:val="24"/>
          <w:szCs w:val="24"/>
        </w:rPr>
        <w:t xml:space="preserve"> La campagna fotografica sistematica: ogni reperto documentato in alta definizione con standard forensi, prima di ogni nuovo esame. Il gemello visivo dell'inventario: lo stato del 2026 fissato per sempre, qualunque cosa accada dopo.</w:t>
      </w:r>
    </w:p>
    <w:p>
      <w:pPr>
        <w:spacing w:after="120" w:line="276"/>
        <w:jc w:val="both"/>
      </w:pPr>
      <w:r>
        <w:rPr>
          <w:rFonts w:ascii="Barlow Semi Condensed" w:cs="Barlow Semi Condensed" w:eastAsia="Barlow Semi Condensed" w:hAnsi="Barlow Semi Condensed"/>
          <w:b/>
          <w:bCs/>
          <w:sz w:val="24"/>
          <w:szCs w:val="24"/>
        </w:rPr>
        <w:t xml:space="preserve">350 · La tavola della custodia.</w:t>
      </w:r>
      <w:r>
        <w:rPr>
          <w:rFonts w:ascii="Barlow Semi Condensed" w:cs="Barlow Semi Condensed" w:eastAsia="Barlow Semi Condensed" w:hAnsi="Barlow Semi Condensed"/>
          <w:sz w:val="24"/>
          <w:szCs w:val="24"/>
        </w:rPr>
        <w:t xml:space="preserve"> La chiusura della sezione: l'inventario unico avviato, le catene ricostruite, le priorità fissate. La custodia è la metà silenziosa della scienza forense: senza questa sezione, tutte le successive sarebbero promesse.</w:t>
      </w:r>
    </w:p>
    <w:p>
      <w:pPr>
        <w:pStyle w:val="Heading3"/>
        <w:spacing w:after="80" w:before="160"/>
      </w:pPr>
      <w:r>
        <w:rPr>
          <w:rFonts w:ascii="Barlow Semi Condensed" w:cs="Barlow Semi Condensed" w:eastAsia="Barlow Semi Condensed" w:hAnsi="Barlow Semi Condensed"/>
          <w:sz w:val="24"/>
          <w:szCs w:val="24"/>
        </w:rPr>
        <w:t xml:space="preserve">La balistica (blocchi 351-380)</w:t>
      </w:r>
    </w:p>
    <w:p>
      <w:pPr>
        <w:spacing w:after="120" w:line="276"/>
        <w:jc w:val="both"/>
      </w:pPr>
      <w:r>
        <w:rPr>
          <w:rFonts w:ascii="Barlow Semi Condensed" w:cs="Barlow Semi Condensed" w:eastAsia="Barlow Semi Condensed" w:hAnsi="Barlow Semi Condensed"/>
          <w:b/>
          <w:bCs/>
          <w:sz w:val="24"/>
          <w:szCs w:val="24"/>
        </w:rPr>
        <w:t xml:space="preserve">351 · Il fatto balistico centrale.</w:t>
      </w:r>
      <w:r>
        <w:rPr>
          <w:rFonts w:ascii="Barlow Semi Condensed" w:cs="Barlow Semi Condensed" w:eastAsia="Barlow Semi Condensed" w:hAnsi="Barlow Semi Condensed"/>
          <w:sz w:val="24"/>
          <w:szCs w:val="24"/>
        </w:rPr>
        <w:t xml:space="preserve"> Il pavimento verificato: la perizia del 1978 (collegio Ugolini-Iadevito-Lopez) contò in via Fani almeno novantuno colpi da sei armi (quattro mitra e due pistole) e attribuì quarantanove bossoli a un solo FNAB-43; la perizia del 1993 non confermò integralmente (possibile la provenienza da entrambi i FNAB); l'esame della Polizia scientifica del 2015 confermò i quarantanove e declassò a esito non conclusivo l'attribuzione dei ventidue al secondo mitra — con la ricostruzione della dinamica che contraddice la figura di un unico «superkiller». Da qui parte ogni bersaglio balistico.</w:t>
      </w:r>
    </w:p>
    <w:p>
      <w:pPr>
        <w:spacing w:after="120" w:line="276"/>
        <w:jc w:val="both"/>
      </w:pPr>
      <w:r>
        <w:rPr>
          <w:rFonts w:ascii="Barlow Semi Condensed" w:cs="Barlow Semi Condensed" w:eastAsia="Barlow Semi Condensed" w:hAnsi="Barlow Semi Condensed"/>
          <w:b/>
          <w:bCs/>
          <w:sz w:val="24"/>
          <w:szCs w:val="24"/>
        </w:rPr>
        <w:t xml:space="preserve">352 · La terza stagione strumentale.</w:t>
      </w:r>
      <w:r>
        <w:rPr>
          <w:rFonts w:ascii="Barlow Semi Condensed" w:cs="Barlow Semi Condensed" w:eastAsia="Barlow Semi Condensed" w:hAnsi="Barlow Semi Condensed"/>
          <w:sz w:val="24"/>
          <w:szCs w:val="24"/>
        </w:rPr>
        <w:t xml:space="preserve"> Il riesame integrale con imaging tridimensionale delle superfici: tutti i novantuno bossoli, non un campione — la ripetizione dell'attribuzione con comparatori computazionali e soglie dichiarate. Se la mono-arma regge alla terza generazione di strumenti, l'accertamento diventa roccia; se no, la dinamica si riscrive.</w:t>
      </w:r>
    </w:p>
    <w:p>
      <w:pPr>
        <w:spacing w:after="120" w:line="276"/>
        <w:jc w:val="both"/>
      </w:pPr>
      <w:r>
        <w:rPr>
          <w:rFonts w:ascii="Barlow Semi Condensed" w:cs="Barlow Semi Condensed" w:eastAsia="Barlow Semi Condensed" w:hAnsi="Barlow Semi Condensed"/>
          <w:b/>
          <w:bCs/>
          <w:sz w:val="24"/>
          <w:szCs w:val="24"/>
        </w:rPr>
        <w:t xml:space="preserve">353 · Il FNAB-43: l'esemplare.</w:t>
      </w:r>
      <w:r>
        <w:rPr>
          <w:rFonts w:ascii="Barlow Semi Condensed" w:cs="Barlow Semi Condensed" w:eastAsia="Barlow Semi Condensed" w:hAnsi="Barlow Semi Condensed"/>
          <w:sz w:val="24"/>
          <w:szCs w:val="24"/>
        </w:rPr>
        <w:t xml:space="preserve"> La caccia all'arma: il censimento degli FNAB-43 sequestrati in Italia in cinquant'anni di procedimenti — e la comparazione di ciascuno coi bossoli di via Fani. L'arma prevalente identificata come esemplare fisico sarebbe l'evidenza discriminante capitale: il bersaglio merita una campagna dedicata.</w:t>
      </w:r>
    </w:p>
    <w:p>
      <w:pPr>
        <w:spacing w:after="120" w:line="276"/>
        <w:jc w:val="both"/>
      </w:pPr>
      <w:r>
        <w:rPr>
          <w:rFonts w:ascii="Barlow Semi Condensed" w:cs="Barlow Semi Condensed" w:eastAsia="Barlow Semi Condensed" w:hAnsi="Barlow Semi Condensed"/>
          <w:b/>
          <w:bCs/>
          <w:sz w:val="24"/>
          <w:szCs w:val="24"/>
        </w:rPr>
        <w:t xml:space="preserve">354 · Il lotto milanese, di nuovo.</w:t>
      </w:r>
      <w:r>
        <w:rPr>
          <w:rFonts w:ascii="Barlow Semi Condensed" w:cs="Barlow Semi Condensed" w:eastAsia="Barlow Semi Condensed" w:hAnsi="Barlow Semi Condensed"/>
          <w:sz w:val="24"/>
          <w:szCs w:val="24"/>
        </w:rPr>
        <w:t xml:space="preserve"> La ricomparazione moderna delle armi del sequestro milanese del 1980 collegate in giudicato: la verifica con imaging attuale di un anello stabilito con strumenti d'epoca. La conferma moderna di un'attribuzione storica vale quanto una scoperta: consolida il pavimento.</w:t>
      </w:r>
    </w:p>
    <w:p>
      <w:pPr>
        <w:spacing w:after="120" w:line="276"/>
        <w:jc w:val="both"/>
      </w:pPr>
      <w:r>
        <w:rPr>
          <w:rFonts w:ascii="Barlow Semi Condensed" w:cs="Barlow Semi Condensed" w:eastAsia="Barlow Semi Condensed" w:hAnsi="Barlow Semi Condensed"/>
          <w:b/>
          <w:bCs/>
          <w:sz w:val="24"/>
          <w:szCs w:val="24"/>
        </w:rPr>
        <w:t xml:space="preserve">355 · Le altre armi del giudicato.</w:t>
      </w:r>
      <w:r>
        <w:rPr>
          <w:rFonts w:ascii="Barlow Semi Condensed" w:cs="Barlow Semi Condensed" w:eastAsia="Barlow Semi Condensed" w:hAnsi="Barlow Semi Condensed"/>
          <w:sz w:val="24"/>
          <w:szCs w:val="24"/>
        </w:rPr>
        <w:t xml:space="preserve"> La tavola arma per arma delle attribuzioni residue (i colpi non FNAB): ogni arma in giudicato contro ogni bossolo non attribuito, con strumenti attuali. La colonna degli «orfani» che ne esce è il perimetro balistico esatto delle presenze non giudicate.</w:t>
      </w:r>
    </w:p>
    <w:p>
      <w:pPr>
        <w:spacing w:after="120" w:line="276"/>
        <w:jc w:val="both"/>
      </w:pPr>
      <w:r>
        <w:rPr>
          <w:rFonts w:ascii="Barlow Semi Condensed" w:cs="Barlow Semi Condensed" w:eastAsia="Barlow Semi Condensed" w:hAnsi="Barlow Semi Condensed"/>
          <w:b/>
          <w:bCs/>
          <w:sz w:val="24"/>
          <w:szCs w:val="24"/>
        </w:rPr>
        <w:t xml:space="preserve">356 · Il caricatore, finalmente.</w:t>
      </w:r>
      <w:r>
        <w:rPr>
          <w:rFonts w:ascii="Barlow Semi Condensed" w:cs="Barlow Semi Condensed" w:eastAsia="Barlow Semi Condensed" w:hAnsi="Barlow Semi Condensed"/>
          <w:sz w:val="24"/>
          <w:szCs w:val="24"/>
        </w:rPr>
        <w:t xml:space="preserve"> Il fatto verificato che grida: il caricatore repertato il 16 marzo all'angolo via Fani-via Stresa, catalogato e ben conservato, non fu mai sottoposto a comparazioni balistiche né a esami biologici — e nuovi esami sono stati disposti dal giudice, con esiti non ancora pubblici. Il cantiere segue: quando gli esiti saranno atti, entreranno con la trafila; fino ad allora, il reperto resta il simbolo del mai chiesto.</w:t>
      </w:r>
    </w:p>
    <w:p>
      <w:pPr>
        <w:spacing w:after="120" w:line="276"/>
        <w:jc w:val="both"/>
      </w:pPr>
      <w:r>
        <w:rPr>
          <w:rFonts w:ascii="Barlow Semi Condensed" w:cs="Barlow Semi Condensed" w:eastAsia="Barlow Semi Condensed" w:hAnsi="Barlow Semi Condensed"/>
          <w:b/>
          <w:bCs/>
          <w:sz w:val="24"/>
          <w:szCs w:val="24"/>
        </w:rPr>
        <w:t xml:space="preserve">357 · Il modello del caricatore.</w:t>
      </w:r>
      <w:r>
        <w:rPr>
          <w:rFonts w:ascii="Barlow Semi Condensed" w:cs="Barlow Semi Condensed" w:eastAsia="Barlow Semi Condensed" w:hAnsi="Barlow Semi Condensed"/>
          <w:sz w:val="24"/>
          <w:szCs w:val="24"/>
        </w:rPr>
        <w:t xml:space="preserve"> Il quesito preliminare aperto: il tipo esatto del caricatore (il modello d'arma cui appartiene) non è specificato univocamente nelle fonti aperte. Prima domanda del riesame: che cosa è, esattamente — perché dal modello discende l'intera catena delle compatibilità.</w:t>
      </w:r>
    </w:p>
    <w:p>
      <w:pPr>
        <w:spacing w:after="120" w:line="276"/>
        <w:jc w:val="both"/>
      </w:pPr>
      <w:r>
        <w:rPr>
          <w:rFonts w:ascii="Barlow Semi Condensed" w:cs="Barlow Semi Condensed" w:eastAsia="Barlow Semi Condensed" w:hAnsi="Barlow Semi Condensed"/>
          <w:b/>
          <w:bCs/>
          <w:sz w:val="24"/>
          <w:szCs w:val="24"/>
        </w:rPr>
        <w:t xml:space="preserve">358 · Le impronte sul metallo.</w:t>
      </w:r>
      <w:r>
        <w:rPr>
          <w:rFonts w:ascii="Barlow Semi Condensed" w:cs="Barlow Semi Condensed" w:eastAsia="Barlow Semi Condensed" w:hAnsi="Barlow Semi Condensed"/>
          <w:sz w:val="24"/>
          <w:szCs w:val="24"/>
        </w:rPr>
        <w:t xml:space="preserve"> Il caricatore come portatore di tracce: le tecniche attuali su impronte latenti e DNA da contatto su superfici metalliche degli anni Settanta — il parere di praticabilità dedicato, poi l'esame in sede propria. Mezzo secolo dopo, il metallo può ancora parlare: la chimica moderna lo interroga meglio del 1978.</w:t>
      </w:r>
    </w:p>
    <w:p>
      <w:pPr>
        <w:spacing w:after="120" w:line="276"/>
        <w:jc w:val="both"/>
      </w:pPr>
      <w:r>
        <w:rPr>
          <w:rFonts w:ascii="Barlow Semi Condensed" w:cs="Barlow Semi Condensed" w:eastAsia="Barlow Semi Condensed" w:hAnsi="Barlow Semi Condensed"/>
          <w:b/>
          <w:bCs/>
          <w:sz w:val="24"/>
          <w:szCs w:val="24"/>
        </w:rPr>
        <w:t xml:space="preserve">359 · La geometria dei bossoli.</w:t>
      </w:r>
      <w:r>
        <w:rPr>
          <w:rFonts w:ascii="Barlow Semi Condensed" w:cs="Barlow Semi Condensed" w:eastAsia="Barlow Semi Condensed" w:hAnsi="Barlow Semi Condensed"/>
          <w:sz w:val="24"/>
          <w:szCs w:val="24"/>
        </w:rPr>
        <w:t xml:space="preserve"> La mappa di dispersione: la posizione repertata di ciascun bossolo (dai verbali del 1978 ora digitalizzati) nel modello tridimensionale della scena — la geometria del fuoco ricostruita dai punti di espulsione. I bossoli sono anche coordinate: la loro mappa è metà della dinamica.</w:t>
      </w:r>
    </w:p>
    <w:p>
      <w:pPr>
        <w:spacing w:after="120" w:line="276"/>
        <w:jc w:val="both"/>
      </w:pPr>
      <w:r>
        <w:rPr>
          <w:rFonts w:ascii="Barlow Semi Condensed" w:cs="Barlow Semi Condensed" w:eastAsia="Barlow Semi Condensed" w:hAnsi="Barlow Semi Condensed"/>
          <w:b/>
          <w:bCs/>
          <w:sz w:val="24"/>
          <w:szCs w:val="24"/>
        </w:rPr>
        <w:t xml:space="preserve">360 · I proiettili e i frammenti.</w:t>
      </w:r>
      <w:r>
        <w:rPr>
          <w:rFonts w:ascii="Barlow Semi Condensed" w:cs="Barlow Semi Condensed" w:eastAsia="Barlow Semi Condensed" w:hAnsi="Barlow Semi Condensed"/>
          <w:sz w:val="24"/>
          <w:szCs w:val="24"/>
        </w:rPr>
        <w:t xml:space="preserve"> Il censimento gemello: i proiettili e i frammenti repertati (sui luoghi, nei veicoli, nelle salme secondo gli atti medico-legali) — la tavola completa con le attribuzioni d'epoca e la riesaminabilità attuale. L'altra metà della balistica: ciò che arrivò, non solo ciò che partì.</w:t>
      </w:r>
    </w:p>
    <w:p>
      <w:pPr>
        <w:spacing w:after="120" w:line="276"/>
        <w:jc w:val="both"/>
      </w:pPr>
      <w:r>
        <w:rPr>
          <w:rFonts w:ascii="Barlow Semi Condensed" w:cs="Barlow Semi Condensed" w:eastAsia="Barlow Semi Condensed" w:hAnsi="Barlow Semi Condensed"/>
          <w:b/>
          <w:bCs/>
          <w:sz w:val="24"/>
          <w:szCs w:val="24"/>
        </w:rPr>
        <w:t xml:space="preserve">361 · Le traiettorie ricostruite.</w:t>
      </w:r>
      <w:r>
        <w:rPr>
          <w:rFonts w:ascii="Barlow Semi Condensed" w:cs="Barlow Semi Condensed" w:eastAsia="Barlow Semi Condensed" w:hAnsi="Barlow Semi Condensed"/>
          <w:sz w:val="24"/>
          <w:szCs w:val="24"/>
        </w:rPr>
        <w:t xml:space="preserve"> L'incrocio balistico-geometrico: le traiettorie dai danni documentati (i veicoli, i muri) nel modello 3D — la verifica di compatibilità con le posizioni testimoniate dei tiratori. Il modello non narra: vincola — ogni versione della dinamica deve passare per le sue geometrie.</w:t>
      </w:r>
    </w:p>
    <w:p>
      <w:pPr>
        <w:spacing w:after="120" w:line="276"/>
        <w:jc w:val="both"/>
      </w:pPr>
      <w:r>
        <w:rPr>
          <w:rFonts w:ascii="Barlow Semi Condensed" w:cs="Barlow Semi Condensed" w:eastAsia="Barlow Semi Condensed" w:hAnsi="Barlow Semi Condensed"/>
          <w:b/>
          <w:bCs/>
          <w:sz w:val="24"/>
          <w:szCs w:val="24"/>
        </w:rPr>
        <w:t xml:space="preserve">362 · La cadenza e i tempi.</w:t>
      </w:r>
      <w:r>
        <w:rPr>
          <w:rFonts w:ascii="Barlow Semi Condensed" w:cs="Barlow Semi Condensed" w:eastAsia="Barlow Semi Condensed" w:hAnsi="Barlow Semi Condensed"/>
          <w:sz w:val="24"/>
          <w:szCs w:val="24"/>
        </w:rPr>
        <w:t xml:space="preserve"> Il quesito temporale: la durata del fuoco e le cadenze compatibili con le attribuzioni — l'aritmetica dei caricatori, dei cambi, dei colpi per arma. Il tempo dell'agguato è un vincolo fisico: le versioni si misurano anche in secondi.</w:t>
      </w:r>
    </w:p>
    <w:p>
      <w:pPr>
        <w:spacing w:after="120" w:line="276"/>
        <w:jc w:val="both"/>
      </w:pPr>
      <w:r>
        <w:rPr>
          <w:rFonts w:ascii="Barlow Semi Condensed" w:cs="Barlow Semi Condensed" w:eastAsia="Barlow Semi Condensed" w:hAnsi="Barlow Semi Condensed"/>
          <w:b/>
          <w:bCs/>
          <w:sz w:val="24"/>
          <w:szCs w:val="24"/>
        </w:rPr>
        <w:t xml:space="preserve">363 · L'ipotesi dell'inceppamento.</w:t>
      </w:r>
      <w:r>
        <w:rPr>
          <w:rFonts w:ascii="Barlow Semi Condensed" w:cs="Barlow Semi Condensed" w:eastAsia="Barlow Semi Condensed" w:hAnsi="Barlow Semi Condensed"/>
          <w:sz w:val="24"/>
          <w:szCs w:val="24"/>
        </w:rPr>
        <w:t xml:space="preserve"> Il capitolo documentato delle armi inceppate (le risultanze processuali sui malfunzionamenti durante l'azione): la revisione tecnica delle dichiarazioni con la conoscenza attuale delle armi del giudicato. Le dichiarazioni dei condannati sul fuoco si verificano sulla meccanica: anche la memoria tecnica si corrobora.</w:t>
      </w:r>
    </w:p>
    <w:p>
      <w:pPr>
        <w:spacing w:after="120" w:line="276"/>
        <w:jc w:val="both"/>
      </w:pPr>
      <w:r>
        <w:rPr>
          <w:rFonts w:ascii="Barlow Semi Condensed" w:cs="Barlow Semi Condensed" w:eastAsia="Barlow Semi Condensed" w:hAnsi="Barlow Semi Condensed"/>
          <w:b/>
          <w:bCs/>
          <w:sz w:val="24"/>
          <w:szCs w:val="24"/>
        </w:rPr>
        <w:t xml:space="preserve">364 · Il quesito della perizia divergente.</w:t>
      </w:r>
      <w:r>
        <w:rPr>
          <w:rFonts w:ascii="Barlow Semi Condensed" w:cs="Barlow Semi Condensed" w:eastAsia="Barlow Semi Condensed" w:hAnsi="Barlow Semi Condensed"/>
          <w:sz w:val="24"/>
          <w:szCs w:val="24"/>
        </w:rPr>
        <w:t xml:space="preserve"> La perizia del 1993 e la sua ipotesi difforme: l'analisi filologica del contrasto peritale — quesiti diversi, strumenti diversi, o letture diverse degli stessi segni? La divergenza fra perizie è un oggetto di studio metodologico che il cantiere non liscia: la registra e la spiega.</w:t>
      </w:r>
    </w:p>
    <w:p>
      <w:pPr>
        <w:spacing w:after="120" w:line="276"/>
        <w:jc w:val="both"/>
      </w:pPr>
      <w:r>
        <w:rPr>
          <w:rFonts w:ascii="Barlow Semi Condensed" w:cs="Barlow Semi Condensed" w:eastAsia="Barlow Semi Condensed" w:hAnsi="Barlow Semi Condensed"/>
          <w:b/>
          <w:bCs/>
          <w:sz w:val="24"/>
          <w:szCs w:val="24"/>
        </w:rPr>
        <w:t xml:space="preserve">365 · I residui di sparo, oggi.</w:t>
      </w:r>
      <w:r>
        <w:rPr>
          <w:rFonts w:ascii="Barlow Semi Condensed" w:cs="Barlow Semi Condensed" w:eastAsia="Barlow Semi Condensed" w:hAnsi="Barlow Semi Condensed"/>
          <w:sz w:val="24"/>
          <w:szCs w:val="24"/>
        </w:rPr>
        <w:t xml:space="preserve"> Il parere sui residui: che cosa la chimica attuale può ancora dire dai reperti conservati (tessuti dei sedili, superfici) — con l'onestà del blocco 195 dell'agenda. La domanda è delimitata: distribuzione del fuoco, non identità dei tiratori.</w:t>
      </w:r>
    </w:p>
    <w:p>
      <w:pPr>
        <w:spacing w:after="120" w:line="276"/>
        <w:jc w:val="both"/>
      </w:pPr>
      <w:r>
        <w:rPr>
          <w:rFonts w:ascii="Barlow Semi Condensed" w:cs="Barlow Semi Condensed" w:eastAsia="Barlow Semi Condensed" w:hAnsi="Barlow Semi Condensed"/>
          <w:b/>
          <w:bCs/>
          <w:sz w:val="24"/>
          <w:szCs w:val="24"/>
        </w:rPr>
        <w:t xml:space="preserve">366 · Le armi mai trovate.</w:t>
      </w:r>
      <w:r>
        <w:rPr>
          <w:rFonts w:ascii="Barlow Semi Condensed" w:cs="Barlow Semi Condensed" w:eastAsia="Barlow Semi Condensed" w:hAnsi="Barlow Semi Condensed"/>
          <w:sz w:val="24"/>
          <w:szCs w:val="24"/>
        </w:rPr>
        <w:t xml:space="preserve"> Il censimento negativo: le armi dell'azione mai recuperate — la tavola di ciò che il giudicato attribuisce e i sequestri non coprono. Il perimetro delle armi mancanti è un bersaglio permanente: ogni sequestro futuro in qualunque procedimento italiano si confronta con questa tavola.</w:t>
      </w:r>
    </w:p>
    <w:p>
      <w:pPr>
        <w:spacing w:after="120" w:line="276"/>
        <w:jc w:val="both"/>
      </w:pPr>
      <w:r>
        <w:rPr>
          <w:rFonts w:ascii="Barlow Semi Condensed" w:cs="Barlow Semi Condensed" w:eastAsia="Barlow Semi Condensed" w:hAnsi="Barlow Semi Condensed"/>
          <w:b/>
          <w:bCs/>
          <w:sz w:val="24"/>
          <w:szCs w:val="24"/>
        </w:rPr>
        <w:t xml:space="preserve">367 · La banca dati balistica.</w:t>
      </w:r>
      <w:r>
        <w:rPr>
          <w:rFonts w:ascii="Barlow Semi Condensed" w:cs="Barlow Semi Condensed" w:eastAsia="Barlow Semi Condensed" w:hAnsi="Barlow Semi Condensed"/>
          <w:sz w:val="24"/>
          <w:szCs w:val="24"/>
        </w:rPr>
        <w:t xml:space="preserve"> L'esecuzione del blocco 190 dell'agenda: l'accertamento del sistema automatizzato in uso (l'interrogazione formale a Polizia scientifica e RaCIS) e l'inserimento dei reperti storici dove le condizioni lo consentano. Ogni arma sequestrata in Italia domani potrebbe essere l'arma di ieri: solo la banca dati lo saprebbe.</w:t>
      </w:r>
    </w:p>
    <w:p>
      <w:pPr>
        <w:spacing w:after="120" w:line="276"/>
        <w:jc w:val="both"/>
      </w:pPr>
      <w:r>
        <w:rPr>
          <w:rFonts w:ascii="Barlow Semi Condensed" w:cs="Barlow Semi Condensed" w:eastAsia="Barlow Semi Condensed" w:hAnsi="Barlow Semi Condensed"/>
          <w:b/>
          <w:bCs/>
          <w:sz w:val="24"/>
          <w:szCs w:val="24"/>
        </w:rPr>
        <w:t xml:space="preserve">368 · Il fascicolo balistico unico.</w:t>
      </w:r>
      <w:r>
        <w:rPr>
          <w:rFonts w:ascii="Barlow Semi Condensed" w:cs="Barlow Semi Condensed" w:eastAsia="Barlow Semi Condensed" w:hAnsi="Barlow Semi Condensed"/>
          <w:sz w:val="24"/>
          <w:szCs w:val="24"/>
        </w:rPr>
        <w:t xml:space="preserve"> La riunione documentale: tutte le perizie balistiche del caso (1978, processi, 1993, 2015, i nuovi esami quando pubblici) in un fascicolo unico ordinato e indicizzato, dagli atti digitalizzati. La storia balistica del caso in un solo dorso: lo strumento che ogni futuro perito riceverà in dono.</w:t>
      </w:r>
    </w:p>
    <w:p>
      <w:pPr>
        <w:spacing w:after="120" w:line="276"/>
        <w:jc w:val="both"/>
      </w:pPr>
      <w:r>
        <w:rPr>
          <w:rFonts w:ascii="Barlow Semi Condensed" w:cs="Barlow Semi Condensed" w:eastAsia="Barlow Semi Condensed" w:hAnsi="Barlow Semi Condensed"/>
          <w:b/>
          <w:bCs/>
          <w:sz w:val="24"/>
          <w:szCs w:val="24"/>
        </w:rPr>
        <w:t xml:space="preserve">369 · Le testimonianze balistiche.</w:t>
      </w:r>
      <w:r>
        <w:rPr>
          <w:rFonts w:ascii="Barlow Semi Condensed" w:cs="Barlow Semi Condensed" w:eastAsia="Barlow Semi Condensed" w:hAnsi="Barlow Semi Condensed"/>
          <w:sz w:val="24"/>
          <w:szCs w:val="24"/>
        </w:rPr>
        <w:t xml:space="preserve"> La revisione delle testimonianze sul fuoco (i sopravvissuti dell'area, i residenti) contro il modello: quante armi udite, da dove, con quali pause. L'orecchio del testimone si tara sul modello fisico: le convergenze contano, le divergenze si registrano.</w:t>
      </w:r>
    </w:p>
    <w:p>
      <w:pPr>
        <w:spacing w:after="120" w:line="276"/>
        <w:jc w:val="both"/>
      </w:pPr>
      <w:r>
        <w:rPr>
          <w:rFonts w:ascii="Barlow Semi Condensed" w:cs="Barlow Semi Condensed" w:eastAsia="Barlow Semi Condensed" w:hAnsi="Barlow Semi Condensed"/>
          <w:b/>
          <w:bCs/>
          <w:sz w:val="24"/>
          <w:szCs w:val="24"/>
        </w:rPr>
        <w:t xml:space="preserve">370 · La coerenza giudicato-balistica.</w:t>
      </w:r>
      <w:r>
        <w:rPr>
          <w:rFonts w:ascii="Barlow Semi Condensed" w:cs="Barlow Semi Condensed" w:eastAsia="Barlow Semi Condensed" w:hAnsi="Barlow Semi Condensed"/>
          <w:sz w:val="24"/>
          <w:szCs w:val="24"/>
        </w:rPr>
        <w:t xml:space="preserve"> La tavola di compatibilità: le sentenze definitive contro le risultanze balistiche aggiornate — dove il giudicato e la tecnica si confermano, dove restano tensioni dichiarate. Il giudicato non si tocca; la tensione documentata è materia per la storia, non per il processo.</w:t>
      </w:r>
    </w:p>
    <w:p>
      <w:pPr>
        <w:spacing w:after="120" w:line="276"/>
        <w:jc w:val="both"/>
      </w:pPr>
      <w:r>
        <w:rPr>
          <w:rFonts w:ascii="Barlow Semi Condensed" w:cs="Barlow Semi Condensed" w:eastAsia="Barlow Semi Condensed" w:hAnsi="Barlow Semi Condensed"/>
          <w:b/>
          <w:bCs/>
          <w:sz w:val="24"/>
          <w:szCs w:val="24"/>
        </w:rPr>
        <w:t xml:space="preserve">371 · Il tiratore prevalente come quesito aperto.</w:t>
      </w:r>
      <w:r>
        <w:rPr>
          <w:rFonts w:ascii="Barlow Semi Condensed" w:cs="Barlow Semi Condensed" w:eastAsia="Barlow Semi Condensed" w:hAnsi="Barlow Semi Condensed"/>
          <w:sz w:val="24"/>
          <w:szCs w:val="24"/>
        </w:rPr>
        <w:t xml:space="preserve"> La disciplina sul punto più delicato: l'attribuzione dei quarantanove colpi a un'arma non è l'attribuzione a una mano giudicata per quei colpi. Il blocco fissa il perimetro: la mono-arma è un fatto tecnico; chi la impugnò resta materia del giudicato esistente e delle indagini aperte — non di questo cantiere.</w:t>
      </w:r>
    </w:p>
    <w:p>
      <w:pPr>
        <w:spacing w:after="120" w:line="276"/>
        <w:jc w:val="both"/>
      </w:pPr>
      <w:r>
        <w:rPr>
          <w:rFonts w:ascii="Barlow Semi Condensed" w:cs="Barlow Semi Condensed" w:eastAsia="Barlow Semi Condensed" w:hAnsi="Barlow Semi Condensed"/>
          <w:b/>
          <w:bCs/>
          <w:sz w:val="24"/>
          <w:szCs w:val="24"/>
        </w:rPr>
        <w:t xml:space="preserve">372 · Le comparazioni internazionali.</w:t>
      </w:r>
      <w:r>
        <w:rPr>
          <w:rFonts w:ascii="Barlow Semi Condensed" w:cs="Barlow Semi Condensed" w:eastAsia="Barlow Semi Condensed" w:hAnsi="Barlow Semi Condensed"/>
          <w:sz w:val="24"/>
          <w:szCs w:val="24"/>
        </w:rPr>
        <w:t xml:space="preserve"> L'estensione: la comparazione dei reperti balistici con le banche estere (Interpol, i sistemi europei) per le armi migranti del terrorismo anni Settanta. Le armi viaggiavano; le banche dati oggi si parlano: l'interrogazione transfrontaliera è un bersaglio a costo basso.</w:t>
      </w:r>
    </w:p>
    <w:p>
      <w:pPr>
        <w:spacing w:after="120" w:line="276"/>
        <w:jc w:val="both"/>
      </w:pPr>
      <w:r>
        <w:rPr>
          <w:rFonts w:ascii="Barlow Semi Condensed" w:cs="Barlow Semi Condensed" w:eastAsia="Barlow Semi Condensed" w:hAnsi="Barlow Semi Condensed"/>
          <w:b/>
          <w:bCs/>
          <w:sz w:val="24"/>
          <w:szCs w:val="24"/>
        </w:rPr>
        <w:t xml:space="preserve">373 · La formazione del giudice sul punto.</w:t>
      </w:r>
      <w:r>
        <w:rPr>
          <w:rFonts w:ascii="Barlow Semi Condensed" w:cs="Barlow Semi Condensed" w:eastAsia="Barlow Semi Condensed" w:hAnsi="Barlow Semi Condensed"/>
          <w:sz w:val="24"/>
          <w:szCs w:val="24"/>
        </w:rPr>
        <w:t xml:space="preserve"> Il prodotto di servizio: il dossier tecnico-divulgativo sulla balistica del caso per i non tecnici (magistrati, storici, giornalisti) — che cosa è accertato, che cosa aperto, che cosa impossibile. La balistica del caso è citata ovunque e capita di rado: il dossier la mette in chiaro.</w:t>
      </w:r>
    </w:p>
    <w:p>
      <w:pPr>
        <w:spacing w:after="120" w:line="276"/>
        <w:jc w:val="both"/>
      </w:pPr>
      <w:r>
        <w:rPr>
          <w:rFonts w:ascii="Barlow Semi Condensed" w:cs="Barlow Semi Condensed" w:eastAsia="Barlow Semi Condensed" w:hAnsi="Barlow Semi Condensed"/>
          <w:b/>
          <w:bCs/>
          <w:sz w:val="24"/>
          <w:szCs w:val="24"/>
        </w:rPr>
        <w:t xml:space="preserve">374 · L'archivio dei comparatori.</w:t>
      </w:r>
      <w:r>
        <w:rPr>
          <w:rFonts w:ascii="Barlow Semi Condensed" w:cs="Barlow Semi Condensed" w:eastAsia="Barlow Semi Condensed" w:hAnsi="Barlow Semi Condensed"/>
          <w:sz w:val="24"/>
          <w:szCs w:val="24"/>
        </w:rPr>
        <w:t xml:space="preserve"> La conservazione degli output: ogni comparazione moderna archivia le sue immagini e i suoi punteggi in formato aperto, per la ripetibilità. La balistica computazionale è ripetibile per costruzione: il cantiere ne fa una garanzia permanente.</w:t>
      </w:r>
    </w:p>
    <w:p>
      <w:pPr>
        <w:spacing w:after="120" w:line="276"/>
        <w:jc w:val="both"/>
      </w:pPr>
      <w:r>
        <w:rPr>
          <w:rFonts w:ascii="Barlow Semi Condensed" w:cs="Barlow Semi Condensed" w:eastAsia="Barlow Semi Condensed" w:hAnsi="Barlow Semi Condensed"/>
          <w:b/>
          <w:bCs/>
          <w:sz w:val="24"/>
          <w:szCs w:val="24"/>
        </w:rPr>
        <w:t xml:space="preserve">375 · Il contraddittorio tecnico.</w:t>
      </w:r>
      <w:r>
        <w:rPr>
          <w:rFonts w:ascii="Barlow Semi Condensed" w:cs="Barlow Semi Condensed" w:eastAsia="Barlow Semi Condensed" w:hAnsi="Barlow Semi Condensed"/>
          <w:sz w:val="24"/>
          <w:szCs w:val="24"/>
        </w:rPr>
        <w:t xml:space="preserve"> La regola dei riesami: ogni esame balistico rilevante prevede il contraddittorio — periti di più estrazione, metodi dichiarati, dissensi verbalizzati. La lezione delle perizie divergenti è istituzionalizzata: il dissenso documentato vale più dell'unanimità opaca.</w:t>
      </w:r>
    </w:p>
    <w:p>
      <w:pPr>
        <w:spacing w:after="120" w:line="276"/>
        <w:jc w:val="both"/>
      </w:pPr>
      <w:r>
        <w:rPr>
          <w:rFonts w:ascii="Barlow Semi Condensed" w:cs="Barlow Semi Condensed" w:eastAsia="Barlow Semi Condensed" w:hAnsi="Barlow Semi Condensed"/>
          <w:b/>
          <w:bCs/>
          <w:sz w:val="24"/>
          <w:szCs w:val="24"/>
        </w:rPr>
        <w:t xml:space="preserve">376 · I bossoli di via Gradoli e dei covi.</w:t>
      </w:r>
      <w:r>
        <w:rPr>
          <w:rFonts w:ascii="Barlow Semi Condensed" w:cs="Barlow Semi Condensed" w:eastAsia="Barlow Semi Condensed" w:hAnsi="Barlow Semi Condensed"/>
          <w:sz w:val="24"/>
          <w:szCs w:val="24"/>
        </w:rPr>
        <w:t xml:space="preserve"> L'estensione balistica ai covi: le munizioni e i reperti d'arma sequestrati nei covi del caso — censimento e comparazione con via Fani. L'arcipelago balistico completo: ogni deposito di munizioni del 1978 può contenere il gemello di un bossolo orfano.</w:t>
      </w:r>
    </w:p>
    <w:p>
      <w:pPr>
        <w:spacing w:after="120" w:line="276"/>
        <w:jc w:val="both"/>
      </w:pPr>
      <w:r>
        <w:rPr>
          <w:rFonts w:ascii="Barlow Semi Condensed" w:cs="Barlow Semi Condensed" w:eastAsia="Barlow Semi Condensed" w:hAnsi="Barlow Semi Condensed"/>
          <w:b/>
          <w:bCs/>
          <w:sz w:val="24"/>
          <w:szCs w:val="24"/>
        </w:rPr>
        <w:t xml:space="preserve">377 · Le armi della memorialistica.</w:t>
      </w:r>
      <w:r>
        <w:rPr>
          <w:rFonts w:ascii="Barlow Semi Condensed" w:cs="Barlow Semi Condensed" w:eastAsia="Barlow Semi Condensed" w:hAnsi="Barlow Semi Condensed"/>
          <w:sz w:val="24"/>
          <w:szCs w:val="24"/>
        </w:rPr>
        <w:t xml:space="preserve"> Il vaglio delle dichiarazioni pubbliche dei condannati sulle armi (i libri, le interviste censite nella Parte ottava) contro le risultanze tecniche: la tavola dichiarazioni-reperti. La memoria sulle armi si misura come tutto il resto: sul metallo.</w:t>
      </w:r>
    </w:p>
    <w:p>
      <w:pPr>
        <w:spacing w:after="120" w:line="276"/>
        <w:jc w:val="both"/>
      </w:pPr>
      <w:r>
        <w:rPr>
          <w:rFonts w:ascii="Barlow Semi Condensed" w:cs="Barlow Semi Condensed" w:eastAsia="Barlow Semi Condensed" w:hAnsi="Barlow Semi Condensed"/>
          <w:b/>
          <w:bCs/>
          <w:sz w:val="24"/>
          <w:szCs w:val="24"/>
        </w:rPr>
        <w:t xml:space="preserve">378 · Il quesito Beretta e gli altri.</w:t>
      </w:r>
      <w:r>
        <w:rPr>
          <w:rFonts w:ascii="Barlow Semi Condensed" w:cs="Barlow Semi Condensed" w:eastAsia="Barlow Semi Condensed" w:hAnsi="Barlow Semi Condensed"/>
          <w:sz w:val="24"/>
          <w:szCs w:val="24"/>
        </w:rPr>
        <w:t xml:space="preserve"> Le armi corte dell'azione secondo il giudicato: la tavola delle pistole attribuite, con le comparazioni moderne possibili sui reperti corrispondenti. Il fuoco corto dell'agguato — meno celebre del mitra, altrettanto documentabile.</w:t>
      </w:r>
    </w:p>
    <w:p>
      <w:pPr>
        <w:spacing w:after="120" w:line="276"/>
        <w:jc w:val="both"/>
      </w:pPr>
      <w:r>
        <w:rPr>
          <w:rFonts w:ascii="Barlow Semi Condensed" w:cs="Barlow Semi Condensed" w:eastAsia="Barlow Semi Condensed" w:hAnsi="Barlow Semi Condensed"/>
          <w:b/>
          <w:bCs/>
          <w:sz w:val="24"/>
          <w:szCs w:val="24"/>
        </w:rPr>
        <w:t xml:space="preserve">379 · La sintesi balistica.</w:t>
      </w:r>
      <w:r>
        <w:rPr>
          <w:rFonts w:ascii="Barlow Semi Condensed" w:cs="Barlow Semi Condensed" w:eastAsia="Barlow Semi Condensed" w:hAnsi="Barlow Semi Condensed"/>
          <w:sz w:val="24"/>
          <w:szCs w:val="24"/>
        </w:rPr>
        <w:t xml:space="preserve"> Il prodotto della sezione: lo stato dell'arte balistico del caso in una relazione pubblica — accertato, aperto, impossibile — con ogni affermazione agganciata a perizia e reperto. La pagina che chiude cinquant'anni di citazioni approssimative.</w:t>
      </w:r>
    </w:p>
    <w:p>
      <w:pPr>
        <w:spacing w:after="120" w:line="276"/>
        <w:jc w:val="both"/>
      </w:pPr>
      <w:r>
        <w:rPr>
          <w:rFonts w:ascii="Barlow Semi Condensed" w:cs="Barlow Semi Condensed" w:eastAsia="Barlow Semi Condensed" w:hAnsi="Barlow Semi Condensed"/>
          <w:b/>
          <w:bCs/>
          <w:sz w:val="24"/>
          <w:szCs w:val="24"/>
        </w:rPr>
        <w:t xml:space="preserve">380 · La tavola balistica.</w:t>
      </w:r>
      <w:r>
        <w:rPr>
          <w:rFonts w:ascii="Barlow Semi Condensed" w:cs="Barlow Semi Condensed" w:eastAsia="Barlow Semi Condensed" w:hAnsi="Barlow Semi Condensed"/>
          <w:sz w:val="24"/>
          <w:szCs w:val="24"/>
        </w:rPr>
        <w:t xml:space="preserve"> La chiusura: gli stati dei bersagli 351-379, gli esami pendenti (il caricatore in testa), le richieste al giudice. Il cantiere balistico consegna la sua contabilità — e il suo simbolo: un caricatore che aspettò quarantott'anni la prima domanda.</w:t>
      </w:r>
    </w:p>
    <w:p>
      <w:pPr>
        <w:pStyle w:val="Heading3"/>
        <w:spacing w:after="80" w:before="160"/>
      </w:pPr>
      <w:r>
        <w:rPr>
          <w:rFonts w:ascii="Barlow Semi Condensed" w:cs="Barlow Semi Condensed" w:eastAsia="Barlow Semi Condensed" w:hAnsi="Barlow Semi Condensed"/>
          <w:sz w:val="24"/>
          <w:szCs w:val="24"/>
        </w:rPr>
        <w:t xml:space="preserve">Il DNA e le tracce biologiche (blocchi 381-405)</w:t>
      </w:r>
    </w:p>
    <w:p>
      <w:pPr>
        <w:spacing w:after="120" w:line="276"/>
        <w:jc w:val="both"/>
      </w:pPr>
      <w:r>
        <w:rPr>
          <w:rFonts w:ascii="Barlow Semi Condensed" w:cs="Barlow Semi Condensed" w:eastAsia="Barlow Semi Condensed" w:hAnsi="Barlow Semi Condensed"/>
          <w:b/>
          <w:bCs/>
          <w:sz w:val="24"/>
          <w:szCs w:val="24"/>
        </w:rPr>
        <w:t xml:space="preserve">381 · Il fatto genetico centrale.</w:t>
      </w:r>
      <w:r>
        <w:rPr>
          <w:rFonts w:ascii="Barlow Semi Condensed" w:cs="Barlow Semi Condensed" w:eastAsia="Barlow Semi Condensed" w:hAnsi="Barlow Semi Condensed"/>
          <w:sz w:val="24"/>
          <w:szCs w:val="24"/>
        </w:rPr>
        <w:t xml:space="preserve"> Il pavimento verificato: nel 2016, su impulso della Moro 2 e con delega al RIS di Roma e alla Polizia scientifica, furono isolati profili genetici dai mozziconi sequestrati nel 1978 nella 128 con targa diplomatica usata come auto di sbarramento in via Fani e da reperti del covo di via Gradoli. Gli esiti delle singole comparazioni non sono pubblici, e nessun profilo risulta pubblicamente attribuito.</w:t>
      </w:r>
    </w:p>
    <w:p>
      <w:pPr>
        <w:spacing w:after="120" w:line="276"/>
        <w:jc w:val="both"/>
      </w:pPr>
      <w:r>
        <w:rPr>
          <w:rFonts w:ascii="Barlow Semi Condensed" w:cs="Barlow Semi Condensed" w:eastAsia="Barlow Semi Condensed" w:hAnsi="Barlow Semi Condensed"/>
          <w:b/>
          <w:bCs/>
          <w:sz w:val="24"/>
          <w:szCs w:val="24"/>
        </w:rPr>
        <w:t xml:space="preserve">382 · La tavola dei profili.</w:t>
      </w:r>
      <w:r>
        <w:rPr>
          <w:rFonts w:ascii="Barlow Semi Condensed" w:cs="Barlow Semi Condensed" w:eastAsia="Barlow Semi Condensed" w:hAnsi="Barlow Semi Condensed"/>
          <w:sz w:val="24"/>
          <w:szCs w:val="24"/>
        </w:rPr>
        <w:t xml:space="preserve"> Il primo bersaglio: la tavola formale dei profili esistenti — quanti (la stampa qualificata ha riferito di sette profili ignoti dai mozziconi: la cifra va fissata in atto), da quali reperti, di che qualità (loci, completezza), custoditi dove. La genetica del caso comincia dal suo inventario: senza la tavola dei profili, ogni discorso sulle comparazioni è giornalismo.</w:t>
      </w:r>
    </w:p>
    <w:p>
      <w:pPr>
        <w:spacing w:after="120" w:line="276"/>
        <w:jc w:val="both"/>
      </w:pPr>
      <w:r>
        <w:rPr>
          <w:rFonts w:ascii="Barlow Semi Condensed" w:cs="Barlow Semi Condensed" w:eastAsia="Barlow Semi Condensed" w:hAnsi="Barlow Semi Condensed"/>
          <w:b/>
          <w:bCs/>
          <w:sz w:val="24"/>
          <w:szCs w:val="24"/>
        </w:rPr>
        <w:t xml:space="preserve">383 · Il perimetro delle comparazioni fatte.</w:t>
      </w:r>
      <w:r>
        <w:rPr>
          <w:rFonts w:ascii="Barlow Semi Condensed" w:cs="Barlow Semi Condensed" w:eastAsia="Barlow Semi Condensed" w:hAnsi="Barlow Semi Condensed"/>
          <w:sz w:val="24"/>
          <w:szCs w:val="24"/>
        </w:rPr>
        <w:t xml:space="preserve"> La ricostruzione documentale di quali comparazioni siano già state eseguite dal 2016 — dagli atti pubblici e dalle risultanze di stampa qualificata: chi è stato escluso, che cosa resta orfano. La colonna degli esclusi è conoscenza piena: ogni esclusione documentata restringe l'ignoto.</w:t>
      </w:r>
    </w:p>
    <w:p>
      <w:pPr>
        <w:spacing w:after="120" w:line="276"/>
        <w:jc w:val="both"/>
      </w:pPr>
      <w:r>
        <w:rPr>
          <w:rFonts w:ascii="Barlow Semi Condensed" w:cs="Barlow Semi Condensed" w:eastAsia="Barlow Semi Condensed" w:hAnsi="Barlow Semi Condensed"/>
          <w:b/>
          <w:bCs/>
          <w:sz w:val="24"/>
          <w:szCs w:val="24"/>
        </w:rPr>
        <w:t xml:space="preserve">384 · La banca dati nazionale, interrogata.</w:t>
      </w:r>
      <w:r>
        <w:rPr>
          <w:rFonts w:ascii="Barlow Semi Condensed" w:cs="Barlow Semi Condensed" w:eastAsia="Barlow Semi Condensed" w:hAnsi="Barlow Semi Condensed"/>
          <w:sz w:val="24"/>
          <w:szCs w:val="24"/>
        </w:rPr>
        <w:t xml:space="preserve"> L'esecuzione del blocco 182 dell'agenda: la verifica formale dell'inseribilità dei profili storici nella banca dati nazionale del DNA e l'interrogazione periodica con verbale. La banca cresce ogni anno; il caso deve esserci dentro — nei modi che il regolamento consente.</w:t>
      </w:r>
    </w:p>
    <w:p>
      <w:pPr>
        <w:spacing w:after="120" w:line="276"/>
        <w:jc w:val="both"/>
      </w:pPr>
      <w:r>
        <w:rPr>
          <w:rFonts w:ascii="Barlow Semi Condensed" w:cs="Barlow Semi Condensed" w:eastAsia="Barlow Semi Condensed" w:hAnsi="Barlow Semi Condensed"/>
          <w:b/>
          <w:bCs/>
          <w:sz w:val="24"/>
          <w:szCs w:val="24"/>
        </w:rPr>
        <w:t xml:space="preserve">385 · I mozziconi come cronologia.</w:t>
      </w:r>
      <w:r>
        <w:rPr>
          <w:rFonts w:ascii="Barlow Semi Condensed" w:cs="Barlow Semi Condensed" w:eastAsia="Barlow Semi Condensed" w:hAnsi="Barlow Semi Condensed"/>
          <w:sz w:val="24"/>
          <w:szCs w:val="24"/>
        </w:rPr>
        <w:t xml:space="preserve"> Il dettaglio materiale: i mozziconi dell'auto di sbarramento come tracce di un'attesa — quante sigarette, di che marche (dai verbali del 1978), compatibili con quanto tempo. Il reperto biologico è anche un reperto comportamentale: l'attesa dell'agguato, misurata in cenere.</w:t>
      </w:r>
    </w:p>
    <w:p>
      <w:pPr>
        <w:spacing w:after="120" w:line="276"/>
        <w:jc w:val="both"/>
      </w:pPr>
      <w:r>
        <w:rPr>
          <w:rFonts w:ascii="Barlow Semi Condensed" w:cs="Barlow Semi Condensed" w:eastAsia="Barlow Semi Condensed" w:hAnsi="Barlow Semi Condensed"/>
          <w:b/>
          <w:bCs/>
          <w:sz w:val="24"/>
          <w:szCs w:val="24"/>
        </w:rPr>
        <w:t xml:space="preserve">386 · Il DNA di via Gradoli, per oggetto.</w:t>
      </w:r>
      <w:r>
        <w:rPr>
          <w:rFonts w:ascii="Barlow Semi Condensed" w:cs="Barlow Semi Condensed" w:eastAsia="Barlow Semi Condensed" w:hAnsi="Barlow Semi Condensed"/>
          <w:sz w:val="24"/>
          <w:szCs w:val="24"/>
        </w:rPr>
        <w:t xml:space="preserve"> La tavola dei reperti biologici del covo: oggetto per oggetto (dai verbali di sequestro digitalizzati), che cosa fu campionato nel 2016 e che cosa resta campionabile. Il covo è un giacimento biologico stratificato 1975-1978: la sua mappa genetica per oggetto è il bersaglio.</w:t>
      </w:r>
    </w:p>
    <w:p>
      <w:pPr>
        <w:spacing w:after="120" w:line="276"/>
        <w:jc w:val="both"/>
      </w:pPr>
      <w:r>
        <w:rPr>
          <w:rFonts w:ascii="Barlow Semi Condensed" w:cs="Barlow Semi Condensed" w:eastAsia="Barlow Semi Condensed" w:hAnsi="Barlow Semi Condensed"/>
          <w:b/>
          <w:bCs/>
          <w:sz w:val="24"/>
          <w:szCs w:val="24"/>
        </w:rPr>
        <w:t xml:space="preserve">387 · Gli aplotipi e le linee.</w:t>
      </w:r>
      <w:r>
        <w:rPr>
          <w:rFonts w:ascii="Barlow Semi Condensed" w:cs="Barlow Semi Condensed" w:eastAsia="Barlow Semi Condensed" w:hAnsi="Barlow Semi Condensed"/>
          <w:sz w:val="24"/>
          <w:szCs w:val="24"/>
        </w:rPr>
        <w:t xml:space="preserve"> Il livello successivo: dai profili autosomici agli aplotipi (Y, mitocondriale) dove i reperti lo consentano — il parere tecnico dedicato. Le linee paterne e materne aprono la strada alle ricerche di parentela nei limiti di legge: prima il parere, poi gli atti.</w:t>
      </w:r>
    </w:p>
    <w:p>
      <w:pPr>
        <w:spacing w:after="120" w:line="276"/>
        <w:jc w:val="both"/>
      </w:pPr>
      <w:r>
        <w:rPr>
          <w:rFonts w:ascii="Barlow Semi Condensed" w:cs="Barlow Semi Condensed" w:eastAsia="Barlow Semi Condensed" w:hAnsi="Barlow Semi Condensed"/>
          <w:b/>
          <w:bCs/>
          <w:sz w:val="24"/>
          <w:szCs w:val="24"/>
        </w:rPr>
        <w:t xml:space="preserve">388 · La ricerca familiare, il parere.</w:t>
      </w:r>
      <w:r>
        <w:rPr>
          <w:rFonts w:ascii="Barlow Semi Condensed" w:cs="Barlow Semi Condensed" w:eastAsia="Barlow Semi Condensed" w:hAnsi="Barlow Semi Condensed"/>
          <w:sz w:val="24"/>
          <w:szCs w:val="24"/>
        </w:rPr>
        <w:t xml:space="preserve"> L'esecuzione del blocco 183 dell'agenda alla scala del cantiere: il parere giuridico formale sulla ricerca di parentela in Italia per i profili orfani del caso — norme, prassi, precedenti. Il documento che manca al dibattito: che cosa la legge italiana consente davvero, scritto da giuristi, non da cronisti.</w:t>
      </w:r>
    </w:p>
    <w:p>
      <w:pPr>
        <w:spacing w:after="120" w:line="276"/>
        <w:jc w:val="both"/>
      </w:pPr>
      <w:r>
        <w:rPr>
          <w:rFonts w:ascii="Barlow Semi Condensed" w:cs="Barlow Semi Condensed" w:eastAsia="Barlow Semi Condensed" w:hAnsi="Barlow Semi Condensed"/>
          <w:b/>
          <w:bCs/>
          <w:sz w:val="24"/>
          <w:szCs w:val="24"/>
        </w:rPr>
        <w:t xml:space="preserve">389 · La genealogia genetica, il protocollo condizionato.</w:t>
      </w:r>
      <w:r>
        <w:rPr>
          <w:rFonts w:ascii="Barlow Semi Condensed" w:cs="Barlow Semi Condensed" w:eastAsia="Barlow Semi Condensed" w:hAnsi="Barlow Semi Condensed"/>
          <w:sz w:val="24"/>
          <w:szCs w:val="24"/>
        </w:rPr>
        <w:t xml:space="preserve"> Il gradino oltre: se e solo se il parere del blocco 388 apre uno spiraglio, il protocollo di genealogia genetica forense per il caso — banche interrogabili, garanzie, autorità competenti. Il blocco è condizionale per costruzione: senza base giuridica, resta scritto e fermo.</w:t>
      </w:r>
    </w:p>
    <w:p>
      <w:pPr>
        <w:spacing w:after="120" w:line="276"/>
        <w:jc w:val="both"/>
      </w:pPr>
      <w:r>
        <w:rPr>
          <w:rFonts w:ascii="Barlow Semi Condensed" w:cs="Barlow Semi Condensed" w:eastAsia="Barlow Semi Condensed" w:hAnsi="Barlow Semi Condensed"/>
          <w:b/>
          <w:bCs/>
          <w:sz w:val="24"/>
          <w:szCs w:val="24"/>
        </w:rPr>
        <w:t xml:space="preserve">390 · Il DNA da contatto sui reperti solidi.</w:t>
      </w:r>
      <w:r>
        <w:rPr>
          <w:rFonts w:ascii="Barlow Semi Condensed" w:cs="Barlow Semi Condensed" w:eastAsia="Barlow Semi Condensed" w:hAnsi="Barlow Semi Condensed"/>
          <w:sz w:val="24"/>
          <w:szCs w:val="24"/>
        </w:rPr>
        <w:t xml:space="preserve"> Il parere sulle superfici: che cosa le tecniche attuali di DNA da contatto possono tentare sui reperti solidi mai campionati (il caricatore, le maniglie, i comandi delle auto dove conservati) — con il rischio di consumo dichiarato. Ogni campionamento distrugge: il parere pesa prima.</w:t>
      </w:r>
    </w:p>
    <w:p>
      <w:pPr>
        <w:spacing w:after="120" w:line="276"/>
        <w:jc w:val="both"/>
      </w:pPr>
      <w:r>
        <w:rPr>
          <w:rFonts w:ascii="Barlow Semi Condensed" w:cs="Barlow Semi Condensed" w:eastAsia="Barlow Semi Condensed" w:hAnsi="Barlow Semi Condensed"/>
          <w:b/>
          <w:bCs/>
          <w:sz w:val="24"/>
          <w:szCs w:val="24"/>
        </w:rPr>
        <w:t xml:space="preserve">391 · Le salme e il rispetto.</w:t>
      </w:r>
      <w:r>
        <w:rPr>
          <w:rFonts w:ascii="Barlow Semi Condensed" w:cs="Barlow Semi Condensed" w:eastAsia="Barlow Semi Condensed" w:hAnsi="Barlow Semi Condensed"/>
          <w:sz w:val="24"/>
          <w:szCs w:val="24"/>
        </w:rPr>
        <w:t xml:space="preserve"> Il perimetro dichiarato: nessun bersaglio del cantiere prevede accertamenti sulle salme — il materiale biologico di riferimento delle vittime, ove mai servisse per esclusioni, si cerca prima negli archivi medico-legali del 1978. Il rispetto è un vincolo di metodo, scritto.</w:t>
      </w:r>
    </w:p>
    <w:p>
      <w:pPr>
        <w:spacing w:after="120" w:line="276"/>
        <w:jc w:val="both"/>
      </w:pPr>
      <w:r>
        <w:rPr>
          <w:rFonts w:ascii="Barlow Semi Condensed" w:cs="Barlow Semi Condensed" w:eastAsia="Barlow Semi Condensed" w:hAnsi="Barlow Semi Condensed"/>
          <w:b/>
          <w:bCs/>
          <w:sz w:val="24"/>
          <w:szCs w:val="24"/>
        </w:rPr>
        <w:t xml:space="preserve">392 · I campioni di riferimento storici.</w:t>
      </w:r>
      <w:r>
        <w:rPr>
          <w:rFonts w:ascii="Barlow Semi Condensed" w:cs="Barlow Semi Condensed" w:eastAsia="Barlow Semi Condensed" w:hAnsi="Barlow Semi Condensed"/>
          <w:sz w:val="24"/>
          <w:szCs w:val="24"/>
        </w:rPr>
        <w:t xml:space="preserve"> Il censimento degli archivi biologici d'epoca: i vetrini, i campioni medico-legali del 1978 conservati (autopsie, analisi) — dove sono, in che stato, con quali possibilità di riferimento. Il biologico d'archivio è il gemello dimenticato del documentale: si censisce allo stesso modo.</w:t>
      </w:r>
    </w:p>
    <w:p>
      <w:pPr>
        <w:spacing w:after="120" w:line="276"/>
        <w:jc w:val="both"/>
      </w:pPr>
      <w:r>
        <w:rPr>
          <w:rFonts w:ascii="Barlow Semi Condensed" w:cs="Barlow Semi Condensed" w:eastAsia="Barlow Semi Condensed" w:hAnsi="Barlow Semi Condensed"/>
          <w:b/>
          <w:bCs/>
          <w:sz w:val="24"/>
          <w:szCs w:val="24"/>
        </w:rPr>
        <w:t xml:space="preserve">393 · La contaminazione, misurata.</w:t>
      </w:r>
      <w:r>
        <w:rPr>
          <w:rFonts w:ascii="Barlow Semi Condensed" w:cs="Barlow Semi Condensed" w:eastAsia="Barlow Semi Condensed" w:hAnsi="Barlow Semi Condensed"/>
          <w:sz w:val="24"/>
          <w:szCs w:val="24"/>
        </w:rPr>
        <w:t xml:space="preserve"> Il registro delle manipolazioni (blocco 334) applicato alla genetica: i profili degli operatori noti per l'eliminazione, e la stima onesta della contaminazione attesa su reperti maneggiati per decenni. Ogni profilo orfano porta scritta la probabilità di essere un artefatto: il numero, non l'entusiasmo.</w:t>
      </w:r>
    </w:p>
    <w:p>
      <w:pPr>
        <w:spacing w:after="120" w:line="276"/>
        <w:jc w:val="both"/>
      </w:pPr>
      <w:r>
        <w:rPr>
          <w:rFonts w:ascii="Barlow Semi Condensed" w:cs="Barlow Semi Condensed" w:eastAsia="Barlow Semi Condensed" w:hAnsi="Barlow Semi Condensed"/>
          <w:b/>
          <w:bCs/>
          <w:sz w:val="24"/>
          <w:szCs w:val="24"/>
        </w:rPr>
        <w:t xml:space="preserve">394 · Il laboratorio e l'accreditamento.</w:t>
      </w:r>
      <w:r>
        <w:rPr>
          <w:rFonts w:ascii="Barlow Semi Condensed" w:cs="Barlow Semi Condensed" w:eastAsia="Barlow Semi Condensed" w:hAnsi="Barlow Semi Condensed"/>
          <w:sz w:val="24"/>
          <w:szCs w:val="24"/>
        </w:rPr>
        <w:t xml:space="preserve"> La regola di qualità: ogni nuovo esame genetico del caso in laboratori accreditati, con protocolli pubblicati e contraddittorio. La genetica forense italiana ha standard: il caso più celebre della Repubblica li esige tutti.</w:t>
      </w:r>
    </w:p>
    <w:p>
      <w:pPr>
        <w:spacing w:after="120" w:line="276"/>
        <w:jc w:val="both"/>
      </w:pPr>
      <w:r>
        <w:rPr>
          <w:rFonts w:ascii="Barlow Semi Condensed" w:cs="Barlow Semi Condensed" w:eastAsia="Barlow Semi Condensed" w:hAnsi="Barlow Semi Condensed"/>
          <w:b/>
          <w:bCs/>
          <w:sz w:val="24"/>
          <w:szCs w:val="24"/>
        </w:rPr>
        <w:t xml:space="preserve">395 · La trafila degli esiti.</w:t>
      </w:r>
      <w:r>
        <w:rPr>
          <w:rFonts w:ascii="Barlow Semi Condensed" w:cs="Barlow Semi Condensed" w:eastAsia="Barlow Semi Condensed" w:hAnsi="Barlow Semi Condensed"/>
          <w:sz w:val="24"/>
          <w:szCs w:val="24"/>
        </w:rPr>
        <w:t xml:space="preserve"> Il protocollo di pubblicità: gli esiti genetici entrano nel corpus solo da atti (perizie depositate, provvedimenti, relazioni ufficiali) — mai da indiscrezioni. La genetica è il terreno più esposto al giornalismo d'anticipazione: il cantiere si vieta di correre.</w:t>
      </w:r>
    </w:p>
    <w:p>
      <w:pPr>
        <w:spacing w:after="120" w:line="276"/>
        <w:jc w:val="both"/>
      </w:pPr>
      <w:r>
        <w:rPr>
          <w:rFonts w:ascii="Barlow Semi Condensed" w:cs="Barlow Semi Condensed" w:eastAsia="Barlow Semi Condensed" w:hAnsi="Barlow Semi Condensed"/>
          <w:b/>
          <w:bCs/>
          <w:sz w:val="24"/>
          <w:szCs w:val="24"/>
        </w:rPr>
        <w:t xml:space="preserve">396 · Il quesito delle terze presenze, in termini genetici.</w:t>
      </w:r>
      <w:r>
        <w:rPr>
          <w:rFonts w:ascii="Barlow Semi Condensed" w:cs="Barlow Semi Condensed" w:eastAsia="Barlow Semi Condensed" w:hAnsi="Barlow Semi Condensed"/>
          <w:sz w:val="24"/>
          <w:szCs w:val="24"/>
        </w:rPr>
        <w:t xml:space="preserve"> La formulazione esatta: che cosa i profili orfani possono e non possono dire sulle presenze non giudicate — esclusioni sì, identificazioni solo per match documentato, mai per suggestione. Il quesito 1 dell'agenda tradotto in linguaggio di laboratorio, con i suoi limiti stampati.</w:t>
      </w:r>
    </w:p>
    <w:p>
      <w:pPr>
        <w:spacing w:after="120" w:line="276"/>
        <w:jc w:val="both"/>
      </w:pPr>
      <w:r>
        <w:rPr>
          <w:rFonts w:ascii="Barlow Semi Condensed" w:cs="Barlow Semi Condensed" w:eastAsia="Barlow Semi Condensed" w:hAnsi="Barlow Semi Condensed"/>
          <w:b/>
          <w:bCs/>
          <w:sz w:val="24"/>
          <w:szCs w:val="24"/>
        </w:rPr>
        <w:t xml:space="preserve">397 · Il DNA e il giudicato.</w:t>
      </w:r>
      <w:r>
        <w:rPr>
          <w:rFonts w:ascii="Barlow Semi Condensed" w:cs="Barlow Semi Condensed" w:eastAsia="Barlow Semi Condensed" w:hAnsi="Barlow Semi Condensed"/>
          <w:sz w:val="24"/>
          <w:szCs w:val="24"/>
        </w:rPr>
        <w:t xml:space="preserve"> La tavola di compatibilità: i profili contro le presenze giudicate — chi dei condannati risulta escluso o compatibile sui singoli reperti, dagli atti. La genetica non riscrive il giudicato: lo affianca — e le tensioni, se emergono, si dichiarano come tali.</w:t>
      </w:r>
    </w:p>
    <w:p>
      <w:pPr>
        <w:spacing w:after="120" w:line="276"/>
        <w:jc w:val="both"/>
      </w:pPr>
      <w:r>
        <w:rPr>
          <w:rFonts w:ascii="Barlow Semi Condensed" w:cs="Barlow Semi Condensed" w:eastAsia="Barlow Semi Condensed" w:hAnsi="Barlow Semi Condensed"/>
          <w:b/>
          <w:bCs/>
          <w:sz w:val="24"/>
          <w:szCs w:val="24"/>
        </w:rPr>
        <w:t xml:space="preserve">398 · Le tracce biologiche minori.</w:t>
      </w:r>
      <w:r>
        <w:rPr>
          <w:rFonts w:ascii="Barlow Semi Condensed" w:cs="Barlow Semi Condensed" w:eastAsia="Barlow Semi Condensed" w:hAnsi="Barlow Semi Condensed"/>
          <w:sz w:val="24"/>
          <w:szCs w:val="24"/>
        </w:rPr>
        <w:t xml:space="preserve"> Il censimento oltre i mozziconi: ogni traccia biologica repertata nel 1978 (i verbali digitalizzati le elencano) — sangue, saliva, formazioni pilifere — con lo stato attuale di ciascuna. La tavola biologica completa del caso: molte voci, molte righe, nessuna dimenticata.</w:t>
      </w:r>
    </w:p>
    <w:p>
      <w:pPr>
        <w:spacing w:after="120" w:line="276"/>
        <w:jc w:val="both"/>
      </w:pPr>
      <w:r>
        <w:rPr>
          <w:rFonts w:ascii="Barlow Semi Condensed" w:cs="Barlow Semi Condensed" w:eastAsia="Barlow Semi Condensed" w:hAnsi="Barlow Semi Condensed"/>
          <w:b/>
          <w:bCs/>
          <w:sz w:val="24"/>
          <w:szCs w:val="24"/>
        </w:rPr>
        <w:t xml:space="preserve">399 · Il biologico dei covi minori.</w:t>
      </w:r>
      <w:r>
        <w:rPr>
          <w:rFonts w:ascii="Barlow Semi Condensed" w:cs="Barlow Semi Condensed" w:eastAsia="Barlow Semi Condensed" w:hAnsi="Barlow Semi Condensed"/>
          <w:sz w:val="24"/>
          <w:szCs w:val="24"/>
        </w:rPr>
        <w:t xml:space="preserve"> L'estensione: le tracce biologiche dei covi collegati e dei veicoli satellite — censimento e praticabilità. L'arcipelago biologico segue quello balistico: ogni sede del 1978 è una possibile fonte di esclusioni nuove.</w:t>
      </w:r>
    </w:p>
    <w:p>
      <w:pPr>
        <w:spacing w:after="120" w:line="276"/>
        <w:jc w:val="both"/>
      </w:pPr>
      <w:r>
        <w:rPr>
          <w:rFonts w:ascii="Barlow Semi Condensed" w:cs="Barlow Semi Condensed" w:eastAsia="Barlow Semi Condensed" w:hAnsi="Barlow Semi Condensed"/>
          <w:b/>
          <w:bCs/>
          <w:sz w:val="24"/>
          <w:szCs w:val="24"/>
        </w:rPr>
        <w:t xml:space="preserve">400 · Il quattrocentesimo blocco: la genetica come pazienza.</w:t>
      </w:r>
      <w:r>
        <w:rPr>
          <w:rFonts w:ascii="Barlow Semi Condensed" w:cs="Barlow Semi Condensed" w:eastAsia="Barlow Semi Condensed" w:hAnsi="Barlow Semi Condensed"/>
          <w:sz w:val="24"/>
          <w:szCs w:val="24"/>
        </w:rPr>
        <w:t xml:space="preserve"> La regola d'insieme della sezione: la genetica del caso è un gioco lungo — profili che aspettano banche, banche che crescono, leggi che maturano. Il cantiere organizza l'attesa attiva: interrogazioni periodiche, pareri aggiornati, reperti protetti. Il DNA non ha fretta; il metodo nemmeno.</w:t>
      </w:r>
    </w:p>
    <w:p>
      <w:pPr>
        <w:spacing w:after="120" w:line="276"/>
        <w:jc w:val="both"/>
      </w:pPr>
      <w:r>
        <w:rPr>
          <w:rFonts w:ascii="Barlow Semi Condensed" w:cs="Barlow Semi Condensed" w:eastAsia="Barlow Semi Condensed" w:hAnsi="Barlow Semi Condensed"/>
          <w:b/>
          <w:bCs/>
          <w:sz w:val="24"/>
          <w:szCs w:val="24"/>
        </w:rPr>
        <w:t xml:space="preserve">401 · Il confronto con i casi gemelli.</w:t>
      </w:r>
      <w:r>
        <w:rPr>
          <w:rFonts w:ascii="Barlow Semi Condensed" w:cs="Barlow Semi Condensed" w:eastAsia="Barlow Semi Condensed" w:hAnsi="Barlow Semi Condensed"/>
          <w:sz w:val="24"/>
          <w:szCs w:val="24"/>
        </w:rPr>
        <w:t xml:space="preserve"> La lezione comparata: i cold case italiani riaperti con la genetica su reperti coevi — che cosa ha funzionato, che cosa è fallito, con quali tempi. Il caso impara dai suoi simili: la tavola dei precedenti è la sua curva d'esperienza.</w:t>
      </w:r>
    </w:p>
    <w:p>
      <w:pPr>
        <w:spacing w:after="120" w:line="276"/>
        <w:jc w:val="both"/>
      </w:pPr>
      <w:r>
        <w:rPr>
          <w:rFonts w:ascii="Barlow Semi Condensed" w:cs="Barlow Semi Condensed" w:eastAsia="Barlow Semi Condensed" w:hAnsi="Barlow Semi Condensed"/>
          <w:b/>
          <w:bCs/>
          <w:sz w:val="24"/>
          <w:szCs w:val="24"/>
        </w:rPr>
        <w:t xml:space="preserve">402 · La comunicazione degli esiti genetici.</w:t>
      </w:r>
      <w:r>
        <w:rPr>
          <w:rFonts w:ascii="Barlow Semi Condensed" w:cs="Barlow Semi Condensed" w:eastAsia="Barlow Semi Condensed" w:hAnsi="Barlow Semi Condensed"/>
          <w:sz w:val="24"/>
          <w:szCs w:val="24"/>
        </w:rPr>
        <w:t xml:space="preserve"> Il protocollo pubblico: come il corpus comunica un esito genetico — con il grado, il limite, il non detto esplicito. Un match è un fatto tecnico, non una condanna; un'esclusione è un fatto tecnico, non un'assoluzione morale: le parole si scelgono prima.</w:t>
      </w:r>
    </w:p>
    <w:p>
      <w:pPr>
        <w:spacing w:after="120" w:line="276"/>
        <w:jc w:val="both"/>
      </w:pPr>
      <w:r>
        <w:rPr>
          <w:rFonts w:ascii="Barlow Semi Condensed" w:cs="Barlow Semi Condensed" w:eastAsia="Barlow Semi Condensed" w:hAnsi="Barlow Semi Condensed"/>
          <w:b/>
          <w:bCs/>
          <w:sz w:val="24"/>
          <w:szCs w:val="24"/>
        </w:rPr>
        <w:t xml:space="preserve">403 · Il deposito genetico documentale.</w:t>
      </w:r>
      <w:r>
        <w:rPr>
          <w:rFonts w:ascii="Barlow Semi Condensed" w:cs="Barlow Semi Condensed" w:eastAsia="Barlow Semi Condensed" w:hAnsi="Barlow Semi Condensed"/>
          <w:sz w:val="24"/>
          <w:szCs w:val="24"/>
        </w:rPr>
        <w:t xml:space="preserve"> L'archivio della sezione: ogni atto genetico del caso (perizie, verbali di campionamento, pareri) nel fascicolo digitale, indicizzato. La storia genetica del caso, per chi la continuerà: nel 2040 qualcuno ringrazierà.</w:t>
      </w:r>
    </w:p>
    <w:p>
      <w:pPr>
        <w:spacing w:after="120" w:line="276"/>
        <w:jc w:val="both"/>
      </w:pPr>
      <w:r>
        <w:rPr>
          <w:rFonts w:ascii="Barlow Semi Condensed" w:cs="Barlow Semi Condensed" w:eastAsia="Barlow Semi Condensed" w:hAnsi="Barlow Semi Condensed"/>
          <w:b/>
          <w:bCs/>
          <w:sz w:val="24"/>
          <w:szCs w:val="24"/>
        </w:rPr>
        <w:t xml:space="preserve">404 · Le urgenze biologiche.</w:t>
      </w:r>
      <w:r>
        <w:rPr>
          <w:rFonts w:ascii="Barlow Semi Condensed" w:cs="Barlow Semi Condensed" w:eastAsia="Barlow Semi Condensed" w:hAnsi="Barlow Semi Condensed"/>
          <w:sz w:val="24"/>
          <w:szCs w:val="24"/>
        </w:rPr>
        <w:t xml:space="preserve"> La tavola delle urgenze: i reperti biologici a degrado più rapido, da proteggere o esaminare prima. Il tempo biologico dei reperti è la gemella materiale dell'urgenza dei testimoni: anche le molecole muoiono.</w:t>
      </w:r>
    </w:p>
    <w:p>
      <w:pPr>
        <w:spacing w:after="120" w:line="276"/>
        <w:jc w:val="both"/>
      </w:pPr>
      <w:r>
        <w:rPr>
          <w:rFonts w:ascii="Barlow Semi Condensed" w:cs="Barlow Semi Condensed" w:eastAsia="Barlow Semi Condensed" w:hAnsi="Barlow Semi Condensed"/>
          <w:b/>
          <w:bCs/>
          <w:sz w:val="24"/>
          <w:szCs w:val="24"/>
        </w:rPr>
        <w:t xml:space="preserve">405 · La tavola genetica.</w:t>
      </w:r>
      <w:r>
        <w:rPr>
          <w:rFonts w:ascii="Barlow Semi Condensed" w:cs="Barlow Semi Condensed" w:eastAsia="Barlow Semi Condensed" w:hAnsi="Barlow Semi Condensed"/>
          <w:sz w:val="24"/>
          <w:szCs w:val="24"/>
        </w:rPr>
        <w:t xml:space="preserve"> La chiusura della sezione: profili censiti, comparazioni documentate, pareri resi, interrogazioni calendarizzate. La genetica del caso, contata — senza un nome atteso, con tutte le domande scritte.</w:t>
      </w:r>
    </w:p>
    <w:p>
      <w:pPr>
        <w:pStyle w:val="Heading3"/>
        <w:spacing w:after="80" w:before="160"/>
      </w:pPr>
      <w:r>
        <w:rPr>
          <w:rFonts w:ascii="Barlow Semi Condensed" w:cs="Barlow Semi Condensed" w:eastAsia="Barlow Semi Condensed" w:hAnsi="Barlow Semi Condensed"/>
          <w:sz w:val="24"/>
          <w:szCs w:val="24"/>
        </w:rPr>
        <w:t xml:space="preserve">Le tracce materiali: abiti, sabbie, veicoli (blocchi 406-430)</w:t>
      </w:r>
    </w:p>
    <w:p>
      <w:pPr>
        <w:spacing w:after="120" w:line="276"/>
        <w:jc w:val="both"/>
      </w:pPr>
      <w:r>
        <w:rPr>
          <w:rFonts w:ascii="Barlow Semi Condensed" w:cs="Barlow Semi Condensed" w:eastAsia="Barlow Semi Condensed" w:hAnsi="Barlow Semi Condensed"/>
          <w:b/>
          <w:bCs/>
          <w:sz w:val="24"/>
          <w:szCs w:val="24"/>
        </w:rPr>
        <w:t xml:space="preserve">406 · La perizia madre del 1978.</w:t>
      </w:r>
      <w:r>
        <w:rPr>
          <w:rFonts w:ascii="Barlow Semi Condensed" w:cs="Barlow Semi Condensed" w:eastAsia="Barlow Semi Condensed" w:hAnsi="Barlow Semi Condensed"/>
          <w:sz w:val="24"/>
          <w:szCs w:val="24"/>
        </w:rPr>
        <w:t xml:space="preserve"> Il pavimento verificato: la perizia geologico-botanica del 1978 (il geologo Gianni Lombardi con Valerio Giacomini e collaboratori) giudicò la sabbia nel risvolto sinistro dei pantaloni e sulle scarpe esclusiva del litorale tirrenico laziale, con localizzazione nell'area di Focene-Marina di Palidoro. La Moro 2 rilanciò gli accertamenti (RIS, 2016-2017). Da questa sequenza parte la sezione.</w:t>
      </w:r>
    </w:p>
    <w:p>
      <w:pPr>
        <w:spacing w:after="120" w:line="276"/>
        <w:jc w:val="both"/>
      </w:pPr>
      <w:r>
        <w:rPr>
          <w:rFonts w:ascii="Barlow Semi Condensed" w:cs="Barlow Semi Condensed" w:eastAsia="Barlow Semi Condensed" w:hAnsi="Barlow Semi Condensed"/>
          <w:b/>
          <w:bCs/>
          <w:sz w:val="24"/>
          <w:szCs w:val="24"/>
        </w:rPr>
        <w:t xml:space="preserve">407 · La sabbia, ripetuta.</w:t>
      </w:r>
      <w:r>
        <w:rPr>
          <w:rFonts w:ascii="Barlow Semi Condensed" w:cs="Barlow Semi Condensed" w:eastAsia="Barlow Semi Condensed" w:hAnsi="Barlow Semi Condensed"/>
          <w:sz w:val="24"/>
          <w:szCs w:val="24"/>
        </w:rPr>
        <w:t xml:space="preserve"> Il riesame moderno dei campioni: granulometrie, mineralogia, microfossili con gli strumenti attuali — la verifica della localizzazione del 1978 con la geologia forense del 2026, campionature attuali di confronto incluse (coi limiti dichiarati: mezzo secolo cambia le spiagge). La conferma o la revisione, in perizia.</w:t>
      </w:r>
    </w:p>
    <w:p>
      <w:pPr>
        <w:spacing w:after="120" w:line="276"/>
        <w:jc w:val="both"/>
      </w:pPr>
      <w:r>
        <w:rPr>
          <w:rFonts w:ascii="Barlow Semi Condensed" w:cs="Barlow Semi Condensed" w:eastAsia="Barlow Semi Condensed" w:hAnsi="Barlow Semi Condensed"/>
          <w:b/>
          <w:bCs/>
          <w:sz w:val="24"/>
          <w:szCs w:val="24"/>
        </w:rPr>
        <w:t xml:space="preserve">408 · Il quesito del mare.</w:t>
      </w:r>
      <w:r>
        <w:rPr>
          <w:rFonts w:ascii="Barlow Semi Condensed" w:cs="Barlow Semi Condensed" w:eastAsia="Barlow Semi Condensed" w:hAnsi="Barlow Semi Condensed"/>
          <w:sz w:val="24"/>
          <w:szCs w:val="24"/>
        </w:rPr>
        <w:t xml:space="preserve"> La conseguenza logica della sabbia: se gli abiti toccarono il litorale, quando e come — la compatibilità con le versioni giudicate della prigionia e del trasporto. Il quesito si scrive in forma ACH: le ipotesi di contatto litoraneo contro le evidenze, con la cella del «quando» dichiarata aperta.</w:t>
      </w:r>
    </w:p>
    <w:p>
      <w:pPr>
        <w:spacing w:after="120" w:line="276"/>
        <w:jc w:val="both"/>
      </w:pPr>
      <w:r>
        <w:rPr>
          <w:rFonts w:ascii="Barlow Semi Condensed" w:cs="Barlow Semi Condensed" w:eastAsia="Barlow Semi Condensed" w:hAnsi="Barlow Semi Condensed"/>
          <w:b/>
          <w:bCs/>
          <w:sz w:val="24"/>
          <w:szCs w:val="24"/>
        </w:rPr>
        <w:t xml:space="preserve">409 · I pollini, ripetuti.</w:t>
      </w:r>
      <w:r>
        <w:rPr>
          <w:rFonts w:ascii="Barlow Semi Condensed" w:cs="Barlow Semi Condensed" w:eastAsia="Barlow Semi Condensed" w:hAnsi="Barlow Semi Condensed"/>
          <w:sz w:val="24"/>
          <w:szCs w:val="24"/>
        </w:rPr>
        <w:t xml:space="preserve"> La palinologia moderna sugli abiti e sulla coperta: taxa, proporzioni, stagionalità con le banche polliniche attuali — la ripetizione dell'esame botanico del 1978 a risoluzione 2026. Ogni taxon è una coordinata; la tavola completa è il poligono di compatibilità dei luoghi.</w:t>
      </w:r>
    </w:p>
    <w:p>
      <w:pPr>
        <w:spacing w:after="120" w:line="276"/>
        <w:jc w:val="both"/>
      </w:pPr>
      <w:r>
        <w:rPr>
          <w:rFonts w:ascii="Barlow Semi Condensed" w:cs="Barlow Semi Condensed" w:eastAsia="Barlow Semi Condensed" w:hAnsi="Barlow Semi Condensed"/>
          <w:b/>
          <w:bCs/>
          <w:sz w:val="24"/>
          <w:szCs w:val="24"/>
        </w:rPr>
        <w:t xml:space="preserve">410 · Le fibre e la coperta.</w:t>
      </w:r>
      <w:r>
        <w:rPr>
          <w:rFonts w:ascii="Barlow Semi Condensed" w:cs="Barlow Semi Condensed" w:eastAsia="Barlow Semi Condensed" w:hAnsi="Barlow Semi Condensed"/>
          <w:sz w:val="24"/>
          <w:szCs w:val="24"/>
        </w:rPr>
        <w:t xml:space="preserve"> La merceologia della coperta del ritrovamento e delle fibre repertate: produzione, diffusione, compatibilità — con le banche merceologiche attuali. L'oggetto più umile del caso è un tracciante industriale: dove fu prodotto, dove venduto, quanto comune.</w:t>
      </w:r>
    </w:p>
    <w:p>
      <w:pPr>
        <w:spacing w:after="120" w:line="276"/>
        <w:jc w:val="both"/>
      </w:pPr>
      <w:r>
        <w:rPr>
          <w:rFonts w:ascii="Barlow Semi Condensed" w:cs="Barlow Semi Condensed" w:eastAsia="Barlow Semi Condensed" w:hAnsi="Barlow Semi Condensed"/>
          <w:b/>
          <w:bCs/>
          <w:sz w:val="24"/>
          <w:szCs w:val="24"/>
        </w:rPr>
        <w:t xml:space="preserve">411 · Il bitume e le terre.</w:t>
      </w:r>
      <w:r>
        <w:rPr>
          <w:rFonts w:ascii="Barlow Semi Condensed" w:cs="Barlow Semi Condensed" w:eastAsia="Barlow Semi Condensed" w:hAnsi="Barlow Semi Condensed"/>
          <w:sz w:val="24"/>
          <w:szCs w:val="24"/>
        </w:rPr>
        <w:t xml:space="preserve"> Le altre tracce materiali sugli abiti e sulle suole (bitumi, terre, residui urbani documentati nel 1978): il riesame chimico-mineralogico moderno. Il percorso dell'uomo negli ultimi giorni, scritto nelle suole: il cantiere lo legge con strumenti che il 1978 non aveva.</w:t>
      </w:r>
    </w:p>
    <w:p>
      <w:pPr>
        <w:spacing w:after="120" w:line="276"/>
        <w:jc w:val="both"/>
      </w:pPr>
      <w:r>
        <w:rPr>
          <w:rFonts w:ascii="Barlow Semi Condensed" w:cs="Barlow Semi Condensed" w:eastAsia="Barlow Semi Condensed" w:hAnsi="Barlow Semi Condensed"/>
          <w:b/>
          <w:bCs/>
          <w:sz w:val="24"/>
          <w:szCs w:val="24"/>
        </w:rPr>
        <w:t xml:space="preserve">412 · Il poligono dei luoghi.</w:t>
      </w:r>
      <w:r>
        <w:rPr>
          <w:rFonts w:ascii="Barlow Semi Condensed" w:cs="Barlow Semi Condensed" w:eastAsia="Barlow Semi Condensed" w:hAnsi="Barlow Semi Condensed"/>
          <w:sz w:val="24"/>
          <w:szCs w:val="24"/>
        </w:rPr>
        <w:t xml:space="preserve"> La sintesi formale (il blocco 85 dell'agenda, eseguito): il poligono di compatibilità geografica dall'insieme delle tracce — sabbie, pollini, fibre, bitumi — con i gradi. Il poligono si confronta con l'istruttoria: via Montalcini dentro o fuori, e con quali margini. Nessun luogo nominato: un perimetro misurato.</w:t>
      </w:r>
    </w:p>
    <w:p>
      <w:pPr>
        <w:spacing w:after="120" w:line="276"/>
        <w:jc w:val="both"/>
      </w:pPr>
      <w:r>
        <w:rPr>
          <w:rFonts w:ascii="Barlow Semi Condensed" w:cs="Barlow Semi Condensed" w:eastAsia="Barlow Semi Condensed" w:hAnsi="Barlow Semi Condensed"/>
          <w:b/>
          <w:bCs/>
          <w:sz w:val="24"/>
          <w:szCs w:val="24"/>
        </w:rPr>
        <w:t xml:space="preserve">413 · Gli abiti come oggetto unico.</w:t>
      </w:r>
      <w:r>
        <w:rPr>
          <w:rFonts w:ascii="Barlow Semi Condensed" w:cs="Barlow Semi Condensed" w:eastAsia="Barlow Semi Condensed" w:hAnsi="Barlow Semi Condensed"/>
          <w:sz w:val="24"/>
          <w:szCs w:val="24"/>
        </w:rPr>
        <w:t xml:space="preserve"> La scheda conservativa integrale degli abiti: stato, interventi subiti, campionature storiche, riesaminabilità residua. L'oggetto più intimo del caso merita la scheda più completa: ogni futura domanda dipende da quanto ne resta.</w:t>
      </w:r>
    </w:p>
    <w:p>
      <w:pPr>
        <w:spacing w:after="120" w:line="276"/>
        <w:jc w:val="both"/>
      </w:pPr>
      <w:r>
        <w:rPr>
          <w:rFonts w:ascii="Barlow Semi Condensed" w:cs="Barlow Semi Condensed" w:eastAsia="Barlow Semi Condensed" w:hAnsi="Barlow Semi Condensed"/>
          <w:b/>
          <w:bCs/>
          <w:sz w:val="24"/>
          <w:szCs w:val="24"/>
        </w:rPr>
        <w:t xml:space="preserve">414 · La 132 e le auto dell'agguato.</w:t>
      </w:r>
      <w:r>
        <w:rPr>
          <w:rFonts w:ascii="Barlow Semi Condensed" w:cs="Barlow Semi Condensed" w:eastAsia="Barlow Semi Condensed" w:hAnsi="Barlow Semi Condensed"/>
          <w:sz w:val="24"/>
          <w:szCs w:val="24"/>
        </w:rPr>
        <w:t xml:space="preserve"> Le auto di via Fani (la 132, le 128): sorte fisica, perizie d'epoca, tracce documentate — la tavola dei veicoli con la riesaminabilità di ciascuno. Dove il metallo esiste ancora, si riesamina; dove no, il suo fascicolo peritale digitalizzato è il reperto.</w:t>
      </w:r>
    </w:p>
    <w:p>
      <w:pPr>
        <w:spacing w:after="120" w:line="276"/>
        <w:jc w:val="both"/>
      </w:pPr>
      <w:r>
        <w:rPr>
          <w:rFonts w:ascii="Barlow Semi Condensed" w:cs="Barlow Semi Condensed" w:eastAsia="Barlow Semi Condensed" w:hAnsi="Barlow Semi Condensed"/>
          <w:b/>
          <w:bCs/>
          <w:sz w:val="24"/>
          <w:szCs w:val="24"/>
        </w:rPr>
        <w:t xml:space="preserve">415 · La 128 diplomatica.</w:t>
      </w:r>
      <w:r>
        <w:rPr>
          <w:rFonts w:ascii="Barlow Semi Condensed" w:cs="Barlow Semi Condensed" w:eastAsia="Barlow Semi Condensed" w:hAnsi="Barlow Semi Condensed"/>
          <w:sz w:val="24"/>
          <w:szCs w:val="24"/>
        </w:rPr>
        <w:t xml:space="preserve"> Il veicolo dell'attesa: la 128 con targa diplomatica dell'auto di sbarramento — la sua storia documentale completa (provenienza, targhe, movimenti) dagli atti. Il veicolo più raccontato dell'agguato ha una biografia d'archivio: si scrive con le carte, non con le versioni.</w:t>
      </w:r>
    </w:p>
    <w:p>
      <w:pPr>
        <w:spacing w:after="120" w:line="276"/>
        <w:jc w:val="both"/>
      </w:pPr>
      <w:r>
        <w:rPr>
          <w:rFonts w:ascii="Barlow Semi Condensed" w:cs="Barlow Semi Condensed" w:eastAsia="Barlow Semi Condensed" w:hAnsi="Barlow Semi Condensed"/>
          <w:b/>
          <w:bCs/>
          <w:sz w:val="24"/>
          <w:szCs w:val="24"/>
        </w:rPr>
        <w:t xml:space="preserve">416 · I veicoli della fuga.</w:t>
      </w:r>
      <w:r>
        <w:rPr>
          <w:rFonts w:ascii="Barlow Semi Condensed" w:cs="Barlow Semi Condensed" w:eastAsia="Barlow Semi Condensed" w:hAnsi="Barlow Semi Condensed"/>
          <w:sz w:val="24"/>
          <w:szCs w:val="24"/>
        </w:rPr>
        <w:t xml:space="preserve"> La tavola dei veicoli della fuga e dei trasbordi secondo il giudicato: per ciascuno, i reperti d'epoca, le tracce, la sorte. La logistica giudicata come catena materiale: ogni anello ha o aveva un oggetto — e ogni oggetto una scheda.</w:t>
      </w:r>
    </w:p>
    <w:p>
      <w:pPr>
        <w:spacing w:after="120" w:line="276"/>
        <w:jc w:val="both"/>
      </w:pPr>
      <w:r>
        <w:rPr>
          <w:rFonts w:ascii="Barlow Semi Condensed" w:cs="Barlow Semi Condensed" w:eastAsia="Barlow Semi Condensed" w:hAnsi="Barlow Semi Condensed"/>
          <w:b/>
          <w:bCs/>
          <w:sz w:val="24"/>
          <w:szCs w:val="24"/>
        </w:rPr>
        <w:t xml:space="preserve">417 · La moto, il quesito materiale.</w:t>
      </w:r>
      <w:r>
        <w:rPr>
          <w:rFonts w:ascii="Barlow Semi Condensed" w:cs="Barlow Semi Condensed" w:eastAsia="Barlow Semi Condensed" w:hAnsi="Barlow Semi Condensed"/>
          <w:sz w:val="24"/>
          <w:szCs w:val="24"/>
        </w:rPr>
        <w:t xml:space="preserve"> L'anagrafe della Honda testimoniata (il blocco 80 dell'agenda, alla scala del cantiere): immatricolazioni, furti, rinvenimenti 1978 — e la tavola delle moto sequestrate nei procedimenti collegati. Il quesito delle presenze ha una faccia motociclistica: si lavora ad anagrafe, non a suggestione.</w:t>
      </w:r>
    </w:p>
    <w:p>
      <w:pPr>
        <w:spacing w:after="120" w:line="276"/>
        <w:jc w:val="both"/>
      </w:pPr>
      <w:r>
        <w:rPr>
          <w:rFonts w:ascii="Barlow Semi Condensed" w:cs="Barlow Semi Condensed" w:eastAsia="Barlow Semi Condensed" w:hAnsi="Barlow Semi Condensed"/>
          <w:b/>
          <w:bCs/>
          <w:sz w:val="24"/>
          <w:szCs w:val="24"/>
        </w:rPr>
        <w:t xml:space="preserve">418 · Il garage e i luoghi della logistica.</w:t>
      </w:r>
      <w:r>
        <w:rPr>
          <w:rFonts w:ascii="Barlow Semi Condensed" w:cs="Barlow Semi Condensed" w:eastAsia="Barlow Semi Condensed" w:hAnsi="Barlow Semi Condensed"/>
          <w:sz w:val="24"/>
          <w:szCs w:val="24"/>
        </w:rPr>
        <w:t xml:space="preserve"> I luoghi materiali della logistica giudicata (i box, i garage, le rimesse dagli atti): censimento documentale e stato attuale. La geografia minore dell'operazione — dove le cose stettero — completa la mappa dei luoghi maggiori.</w:t>
      </w:r>
    </w:p>
    <w:p>
      <w:pPr>
        <w:spacing w:after="120" w:line="276"/>
        <w:jc w:val="both"/>
      </w:pPr>
      <w:r>
        <w:rPr>
          <w:rFonts w:ascii="Barlow Semi Condensed" w:cs="Barlow Semi Condensed" w:eastAsia="Barlow Semi Condensed" w:hAnsi="Barlow Semi Condensed"/>
          <w:b/>
          <w:bCs/>
          <w:sz w:val="24"/>
          <w:szCs w:val="24"/>
        </w:rPr>
        <w:t xml:space="preserve">419 · Via Montalcini, la scheda materiale.</w:t>
      </w:r>
      <w:r>
        <w:rPr>
          <w:rFonts w:ascii="Barlow Semi Condensed" w:cs="Barlow Semi Condensed" w:eastAsia="Barlow Semi Condensed" w:hAnsi="Barlow Semi Condensed"/>
          <w:sz w:val="24"/>
          <w:szCs w:val="24"/>
        </w:rPr>
        <w:t xml:space="preserve"> La scheda integrale dell'appartamento della prigionia accertata: i reperti del 1978, le perizie, le modifiche edilizie documentate, lo stato attuale. Il luogo giudicato merita la stessa scienza dei luoghi congetturati: la conferma è un esito, non un'ovvietà (la regola del blocco 87 dell'agenda).</w:t>
      </w:r>
    </w:p>
    <w:p>
      <w:pPr>
        <w:spacing w:after="120" w:line="276"/>
        <w:jc w:val="both"/>
      </w:pPr>
      <w:r>
        <w:rPr>
          <w:rFonts w:ascii="Barlow Semi Condensed" w:cs="Barlow Semi Condensed" w:eastAsia="Barlow Semi Condensed" w:hAnsi="Barlow Semi Condensed"/>
          <w:b/>
          <w:bCs/>
          <w:sz w:val="24"/>
          <w:szCs w:val="24"/>
        </w:rPr>
        <w:t xml:space="preserve">420 · L'acustica della prigione.</w:t>
      </w:r>
      <w:r>
        <w:rPr>
          <w:rFonts w:ascii="Barlow Semi Condensed" w:cs="Barlow Semi Condensed" w:eastAsia="Barlow Semi Condensed" w:hAnsi="Barlow Semi Condensed"/>
          <w:sz w:val="24"/>
          <w:szCs w:val="24"/>
        </w:rPr>
        <w:t xml:space="preserve"> Il quesito sensoriale documentato: i rumori descritti nel memoriale e nelle lettere contro l'acustica reale dei luoghi — la verifica fonometrica moderna delle compatibilità. Un esperimento ripetibile sui luoghi esistenti: la scienza applicata alle parole del prigioniero.</w:t>
      </w:r>
    </w:p>
    <w:p>
      <w:pPr>
        <w:spacing w:after="120" w:line="276"/>
        <w:jc w:val="both"/>
      </w:pPr>
      <w:r>
        <w:rPr>
          <w:rFonts w:ascii="Barlow Semi Condensed" w:cs="Barlow Semi Condensed" w:eastAsia="Barlow Semi Condensed" w:hAnsi="Barlow Semi Condensed"/>
          <w:b/>
          <w:bCs/>
          <w:sz w:val="24"/>
          <w:szCs w:val="24"/>
        </w:rPr>
        <w:t xml:space="preserve">421 · Le chiavi e le serrature.</w:t>
      </w:r>
      <w:r>
        <w:rPr>
          <w:rFonts w:ascii="Barlow Semi Condensed" w:cs="Barlow Semi Condensed" w:eastAsia="Barlow Semi Condensed" w:hAnsi="Barlow Semi Condensed"/>
          <w:sz w:val="24"/>
          <w:szCs w:val="24"/>
        </w:rPr>
        <w:t xml:space="preserve"> I reperti minori dei luoghi (chiavi, serrature, ferramenta dai verbali): censimento e riesaminabilità. La microstoria materiale degli accessi — chi poteva entrare dove — passa per gli oggetti più piccoli del caso.</w:t>
      </w:r>
    </w:p>
    <w:p>
      <w:pPr>
        <w:spacing w:after="120" w:line="276"/>
        <w:jc w:val="both"/>
      </w:pPr>
      <w:r>
        <w:rPr>
          <w:rFonts w:ascii="Barlow Semi Condensed" w:cs="Barlow Semi Condensed" w:eastAsia="Barlow Semi Condensed" w:hAnsi="Barlow Semi Condensed"/>
          <w:b/>
          <w:bCs/>
          <w:sz w:val="24"/>
          <w:szCs w:val="24"/>
        </w:rPr>
        <w:t xml:space="preserve">422 · Gli oggetti personali.</w:t>
      </w:r>
      <w:r>
        <w:rPr>
          <w:rFonts w:ascii="Barlow Semi Condensed" w:cs="Barlow Semi Condensed" w:eastAsia="Barlow Semi Condensed" w:hAnsi="Barlow Semi Condensed"/>
          <w:sz w:val="24"/>
          <w:szCs w:val="24"/>
        </w:rPr>
        <w:t xml:space="preserve"> La tavola degli effetti personali repertati (gli occhiali, l'orologio, gli oggetti del ritrovamento): stato, custodia, storia. Gli oggetti dell'uomo si censiscono con rispetto e completezza: appartengono alla storia e alla famiglia prima che alla scienza.</w:t>
      </w:r>
    </w:p>
    <w:p>
      <w:pPr>
        <w:spacing w:after="120" w:line="276"/>
        <w:jc w:val="both"/>
      </w:pPr>
      <w:r>
        <w:rPr>
          <w:rFonts w:ascii="Barlow Semi Condensed" w:cs="Barlow Semi Condensed" w:eastAsia="Barlow Semi Condensed" w:hAnsi="Barlow Semi Condensed"/>
          <w:b/>
          <w:bCs/>
          <w:sz w:val="24"/>
          <w:szCs w:val="24"/>
        </w:rPr>
        <w:t xml:space="preserve">423 · I farmaci e la prigionia.</w:t>
      </w:r>
      <w:r>
        <w:rPr>
          <w:rFonts w:ascii="Barlow Semi Condensed" w:cs="Barlow Semi Condensed" w:eastAsia="Barlow Semi Condensed" w:hAnsi="Barlow Semi Condensed"/>
          <w:sz w:val="24"/>
          <w:szCs w:val="24"/>
        </w:rPr>
        <w:t xml:space="preserve"> Il capitolo documentato dei medicinali (le richieste nelle lettere, i reperti dei covi): la tavola farmacologica del caso — che cosa fu chiesto, trovato, repertato. Il raccordo con i registri delle farmacie (il blocco 256 dell'agenda): la salute del prigioniero come traccia materiale.</w:t>
      </w:r>
    </w:p>
    <w:p>
      <w:pPr>
        <w:spacing w:after="120" w:line="276"/>
        <w:jc w:val="both"/>
      </w:pPr>
      <w:r>
        <w:rPr>
          <w:rFonts w:ascii="Barlow Semi Condensed" w:cs="Barlow Semi Condensed" w:eastAsia="Barlow Semi Condensed" w:hAnsi="Barlow Semi Condensed"/>
          <w:b/>
          <w:bCs/>
          <w:sz w:val="24"/>
          <w:szCs w:val="24"/>
        </w:rPr>
        <w:t xml:space="preserve">424 · La macchina fotografica del sequestro.</w:t>
      </w:r>
      <w:r>
        <w:rPr>
          <w:rFonts w:ascii="Barlow Semi Condensed" w:cs="Barlow Semi Condensed" w:eastAsia="Barlow Semi Condensed" w:hAnsi="Barlow Semi Condensed"/>
          <w:sz w:val="24"/>
          <w:szCs w:val="24"/>
        </w:rPr>
        <w:t xml:space="preserve"> Gli oggetti della propaganda: la macchina della foto della prigione, il fondale, i materiali — che cosa il giudicato e i sequestri stabilirono, che cosa resta riesaminabile. La foto più celebre d'Italia ha una scena materiale: i suoi oggetti sono reperti.</w:t>
      </w:r>
    </w:p>
    <w:p>
      <w:pPr>
        <w:spacing w:after="120" w:line="276"/>
        <w:jc w:val="both"/>
      </w:pPr>
      <w:r>
        <w:rPr>
          <w:rFonts w:ascii="Barlow Semi Condensed" w:cs="Barlow Semi Condensed" w:eastAsia="Barlow Semi Condensed" w:hAnsi="Barlow Semi Condensed"/>
          <w:b/>
          <w:bCs/>
          <w:sz w:val="24"/>
          <w:szCs w:val="24"/>
        </w:rPr>
        <w:t xml:space="preserve">425 · L'analisi della foto della prigione.</w:t>
      </w:r>
      <w:r>
        <w:rPr>
          <w:rFonts w:ascii="Barlow Semi Condensed" w:cs="Barlow Semi Condensed" w:eastAsia="Barlow Semi Condensed" w:hAnsi="Barlow Semi Condensed"/>
          <w:sz w:val="24"/>
          <w:szCs w:val="24"/>
        </w:rPr>
        <w:t xml:space="preserve"> Il riesame moderno delle immagini della prigionia: metadati materiali (pellicola, sviluppo, formati), fotogrammetria del fondale, compatibilità coi luoghi. L'immagine come reperto fisico prima che come icona: misure, non suggestioni.</w:t>
      </w:r>
    </w:p>
    <w:p>
      <w:pPr>
        <w:spacing w:after="120" w:line="276"/>
        <w:jc w:val="both"/>
      </w:pPr>
      <w:r>
        <w:rPr>
          <w:rFonts w:ascii="Barlow Semi Condensed" w:cs="Barlow Semi Condensed" w:eastAsia="Barlow Semi Condensed" w:hAnsi="Barlow Semi Condensed"/>
          <w:b/>
          <w:bCs/>
          <w:sz w:val="24"/>
          <w:szCs w:val="24"/>
        </w:rPr>
        <w:t xml:space="preserve">426 · I nastri e i supporti del caso.</w:t>
      </w:r>
      <w:r>
        <w:rPr>
          <w:rFonts w:ascii="Barlow Semi Condensed" w:cs="Barlow Semi Condensed" w:eastAsia="Barlow Semi Condensed" w:hAnsi="Barlow Semi Condensed"/>
          <w:sz w:val="24"/>
          <w:szCs w:val="24"/>
        </w:rPr>
        <w:t xml:space="preserve"> I supporti magnetici repertati nel caso e nei covi (nastri, cassette dagli inventari): censimento, stato, restauro conservativo, lettura moderna. Il magnetico degrada più della carta: la sua urgenza è biologica quanto quella dei testimoni.</w:t>
      </w:r>
    </w:p>
    <w:p>
      <w:pPr>
        <w:spacing w:after="120" w:line="276"/>
        <w:jc w:val="both"/>
      </w:pPr>
      <w:r>
        <w:rPr>
          <w:rFonts w:ascii="Barlow Semi Condensed" w:cs="Barlow Semi Condensed" w:eastAsia="Barlow Semi Condensed" w:hAnsi="Barlow Semi Condensed"/>
          <w:b/>
          <w:bCs/>
          <w:sz w:val="24"/>
          <w:szCs w:val="24"/>
        </w:rPr>
        <w:t xml:space="preserve">427 · Le scritture sui muri e i luoghi segnati.</w:t>
      </w:r>
      <w:r>
        <w:rPr>
          <w:rFonts w:ascii="Barlow Semi Condensed" w:cs="Barlow Semi Condensed" w:eastAsia="Barlow Semi Condensed" w:hAnsi="Barlow Semi Condensed"/>
          <w:sz w:val="24"/>
          <w:szCs w:val="24"/>
        </w:rPr>
        <w:t xml:space="preserve"> Le tracce grafiche documentate nei luoghi del caso (scritte, segni, numerazioni dai verbali): la tavola con le fotografie d'epoca. La scena scriveva: ogni segno repertato nel 1978 è un micro-documento del suo uso.</w:t>
      </w:r>
    </w:p>
    <w:p>
      <w:pPr>
        <w:spacing w:after="120" w:line="276"/>
        <w:jc w:val="both"/>
      </w:pPr>
      <w:r>
        <w:rPr>
          <w:rFonts w:ascii="Barlow Semi Condensed" w:cs="Barlow Semi Condensed" w:eastAsia="Barlow Semi Condensed" w:hAnsi="Barlow Semi Condensed"/>
          <w:b/>
          <w:bCs/>
          <w:sz w:val="24"/>
          <w:szCs w:val="24"/>
        </w:rPr>
        <w:t xml:space="preserve">428 · Il carotaggio del covo.</w:t>
      </w:r>
      <w:r>
        <w:rPr>
          <w:rFonts w:ascii="Barlow Semi Condensed" w:cs="Barlow Semi Condensed" w:eastAsia="Barlow Semi Condensed" w:hAnsi="Barlow Semi Condensed"/>
          <w:sz w:val="24"/>
          <w:szCs w:val="24"/>
        </w:rPr>
        <w:t xml:space="preserve"> Il quesito edilizio di via Gradoli: le tracce materiali dell'uso 1975-1978 (modifiche, impianti, consumi — il raccordo col blocco 257 dell'agenda) ricostruite da perizie e documenti tecnici. L'appartamento come reperto stratificato: la sua archeologia leggera è ancora possibile sugli atti.</w:t>
      </w:r>
    </w:p>
    <w:p>
      <w:pPr>
        <w:spacing w:after="120" w:line="276"/>
        <w:jc w:val="both"/>
      </w:pPr>
      <w:r>
        <w:rPr>
          <w:rFonts w:ascii="Barlow Semi Condensed" w:cs="Barlow Semi Condensed" w:eastAsia="Barlow Semi Condensed" w:hAnsi="Barlow Semi Condensed"/>
          <w:b/>
          <w:bCs/>
          <w:sz w:val="24"/>
          <w:szCs w:val="24"/>
        </w:rPr>
        <w:t xml:space="preserve">429 · La sintesi materiale.</w:t>
      </w:r>
      <w:r>
        <w:rPr>
          <w:rFonts w:ascii="Barlow Semi Condensed" w:cs="Barlow Semi Condensed" w:eastAsia="Barlow Semi Condensed" w:hAnsi="Barlow Semi Condensed"/>
          <w:sz w:val="24"/>
          <w:szCs w:val="24"/>
        </w:rPr>
        <w:t xml:space="preserve"> Il prodotto della sezione: la relazione sullo stato delle tracce materiali — che cosa i reperti fisici del caso possono ancora dire con le scienze del 2026, che cosa hanno già detto, che cosa è perduto. Il gemello materiale della sintesi balistica: una pagina onesta, per tutti.</w:t>
      </w:r>
    </w:p>
    <w:p>
      <w:pPr>
        <w:spacing w:after="120" w:line="276"/>
        <w:jc w:val="both"/>
      </w:pPr>
      <w:r>
        <w:rPr>
          <w:rFonts w:ascii="Barlow Semi Condensed" w:cs="Barlow Semi Condensed" w:eastAsia="Barlow Semi Condensed" w:hAnsi="Barlow Semi Condensed"/>
          <w:b/>
          <w:bCs/>
          <w:sz w:val="24"/>
          <w:szCs w:val="24"/>
        </w:rPr>
        <w:t xml:space="preserve">430 · La tavola materiale.</w:t>
      </w:r>
      <w:r>
        <w:rPr>
          <w:rFonts w:ascii="Barlow Semi Condensed" w:cs="Barlow Semi Condensed" w:eastAsia="Barlow Semi Condensed" w:hAnsi="Barlow Semi Condensed"/>
          <w:sz w:val="24"/>
          <w:szCs w:val="24"/>
        </w:rPr>
        <w:t xml:space="preserve"> La chiusura: gli stati dei bersagli 406-429, i riesami calendarizzati, le urgenze conservative. Le cose del caso, contate — e protette prima che interrogate.</w:t>
      </w:r>
    </w:p>
    <w:p>
      <w:pPr>
        <w:pStyle w:val="Heading3"/>
        <w:spacing w:after="80" w:before="160"/>
      </w:pPr>
      <w:r>
        <w:rPr>
          <w:rFonts w:ascii="Barlow Semi Condensed" w:cs="Barlow Semi Condensed" w:eastAsia="Barlow Semi Condensed" w:hAnsi="Barlow Semi Condensed"/>
          <w:sz w:val="24"/>
          <w:szCs w:val="24"/>
        </w:rPr>
        <w:t xml:space="preserve">I reperti documentali e il governo del cantiere (blocchi 431-460)</w:t>
      </w:r>
    </w:p>
    <w:p>
      <w:pPr>
        <w:spacing w:after="120" w:line="276"/>
        <w:jc w:val="both"/>
      </w:pPr>
      <w:r>
        <w:rPr>
          <w:rFonts w:ascii="Barlow Semi Condensed" w:cs="Barlow Semi Condensed" w:eastAsia="Barlow Semi Condensed" w:hAnsi="Barlow Semi Condensed"/>
          <w:b/>
          <w:bCs/>
          <w:sz w:val="24"/>
          <w:szCs w:val="24"/>
        </w:rPr>
        <w:t xml:space="preserve">431 · La carta come reperto.</w:t>
      </w:r>
      <w:r>
        <w:rPr>
          <w:rFonts w:ascii="Barlow Semi Condensed" w:cs="Barlow Semi Condensed" w:eastAsia="Barlow Semi Condensed" w:hAnsi="Barlow Semi Condensed"/>
          <w:sz w:val="24"/>
          <w:szCs w:val="24"/>
        </w:rPr>
        <w:t xml:space="preserve"> Il principio della sottosezione: i documenti sequestrati del caso (i volantini, i comunicati, le carte dei covi) sono reperti materiali prima che testi — supporti, inchiostri, piegature, impronte. La Parte quinta ne leggerà i contenuti; qui si esamina la materia.</w:t>
      </w:r>
    </w:p>
    <w:p>
      <w:pPr>
        <w:spacing w:after="120" w:line="276"/>
        <w:jc w:val="both"/>
      </w:pPr>
      <w:r>
        <w:rPr>
          <w:rFonts w:ascii="Barlow Semi Condensed" w:cs="Barlow Semi Condensed" w:eastAsia="Barlow Semi Condensed" w:hAnsi="Barlow Semi Condensed"/>
          <w:b/>
          <w:bCs/>
          <w:sz w:val="24"/>
          <w:szCs w:val="24"/>
        </w:rPr>
        <w:t xml:space="preserve">432 · I comunicati come oggetti.</w:t>
      </w:r>
      <w:r>
        <w:rPr>
          <w:rFonts w:ascii="Barlow Semi Condensed" w:cs="Barlow Semi Condensed" w:eastAsia="Barlow Semi Condensed" w:hAnsi="Barlow Semi Condensed"/>
          <w:sz w:val="24"/>
          <w:szCs w:val="24"/>
        </w:rPr>
        <w:t xml:space="preserve"> Il fatto verificato: i nove comunicati autentici (dal n. 1 del 16 marzo al n. 9 del 5 maggio 1978) furono diffusi in copie ciclostilate multiple — non esiste un unico originale per ciascuno. Il censimento materiale: quali esemplari esistono, dove, con quali differenze di stampa fra le copie della stessa emissione.</w:t>
      </w:r>
    </w:p>
    <w:p>
      <w:pPr>
        <w:spacing w:after="120" w:line="276"/>
        <w:jc w:val="both"/>
      </w:pPr>
      <w:r>
        <w:rPr>
          <w:rFonts w:ascii="Barlow Semi Condensed" w:cs="Barlow Semi Condensed" w:eastAsia="Barlow Semi Condensed" w:hAnsi="Barlow Semi Condensed"/>
          <w:b/>
          <w:bCs/>
          <w:sz w:val="24"/>
          <w:szCs w:val="24"/>
        </w:rPr>
        <w:t xml:space="preserve">433 · La ciclostilatura.</w:t>
      </w:r>
      <w:r>
        <w:rPr>
          <w:rFonts w:ascii="Barlow Semi Condensed" w:cs="Barlow Semi Condensed" w:eastAsia="Barlow Semi Condensed" w:hAnsi="Barlow Semi Condensed"/>
          <w:sz w:val="24"/>
          <w:szCs w:val="24"/>
        </w:rPr>
        <w:t xml:space="preserve"> L'analisi tecnica della riproduzione: i ciclostili, le matrici, i segni di macchina sugli esemplari — la tavola tecnica delle emissioni. Ogni ciclostile lascia impronte: la meccanica della propaganda è un tracciante materiale mai esaurito.</w:t>
      </w:r>
    </w:p>
    <w:p>
      <w:pPr>
        <w:spacing w:after="120" w:line="276"/>
        <w:jc w:val="both"/>
      </w:pPr>
      <w:r>
        <w:rPr>
          <w:rFonts w:ascii="Barlow Semi Condensed" w:cs="Barlow Semi Condensed" w:eastAsia="Barlow Semi Condensed" w:hAnsi="Barlow Semi Condensed"/>
          <w:b/>
          <w:bCs/>
          <w:sz w:val="24"/>
          <w:szCs w:val="24"/>
        </w:rPr>
        <w:t xml:space="preserve">434 · Le testine e le macchine.</w:t>
      </w:r>
      <w:r>
        <w:rPr>
          <w:rFonts w:ascii="Barlow Semi Condensed" w:cs="Barlow Semi Condensed" w:eastAsia="Barlow Semi Condensed" w:hAnsi="Barlow Semi Condensed"/>
          <w:sz w:val="24"/>
          <w:szCs w:val="24"/>
        </w:rPr>
        <w:t xml:space="preserve"> Il capitolo verificato delle macchine per scrivere: le perizie giudiziarie esistono, e le ricostruzioni pubbliche indicano una IBM a testina rotante con carattere corsivo per i comunicati autentici — col dettaglio del modello da fissare in perizia, non in cronaca. Il bersaglio: il fascicolo dattilotecnico unico, dalle perizie digitalizzate.</w:t>
      </w:r>
    </w:p>
    <w:p>
      <w:pPr>
        <w:spacing w:after="120" w:line="276"/>
        <w:jc w:val="both"/>
      </w:pPr>
      <w:r>
        <w:rPr>
          <w:rFonts w:ascii="Barlow Semi Condensed" w:cs="Barlow Semi Condensed" w:eastAsia="Barlow Semi Condensed" w:hAnsi="Barlow Semi Condensed"/>
          <w:b/>
          <w:bCs/>
          <w:sz w:val="24"/>
          <w:szCs w:val="24"/>
        </w:rPr>
        <w:t xml:space="preserve">435 · Il borsello, esaminato.</w:t>
      </w:r>
      <w:r>
        <w:rPr>
          <w:rFonts w:ascii="Barlow Semi Condensed" w:cs="Barlow Semi Condensed" w:eastAsia="Barlow Semi Condensed" w:hAnsi="Barlow Semi Condensed"/>
          <w:sz w:val="24"/>
          <w:szCs w:val="24"/>
        </w:rPr>
        <w:t xml:space="preserve"> I reperti Chichiarelli (il borsello del taxi, 14 aprile 1979: le schede false, la testina, le munizioni): il riesame moderno — impronte, biologia da contatto, provenienze industriali degli oggetti. E la divergenza registrata dalle fonti sulla testina (compatibile o no coi falsi comunicati) da chiudere in perizia: è esattamente il genere di nodo che solo il reperto scioglie.</w:t>
      </w:r>
    </w:p>
    <w:p>
      <w:pPr>
        <w:spacing w:after="120" w:line="276"/>
        <w:jc w:val="both"/>
      </w:pPr>
      <w:r>
        <w:rPr>
          <w:rFonts w:ascii="Barlow Semi Condensed" w:cs="Barlow Semi Condensed" w:eastAsia="Barlow Semi Condensed" w:hAnsi="Barlow Semi Condensed"/>
          <w:b/>
          <w:bCs/>
          <w:sz w:val="24"/>
          <w:szCs w:val="24"/>
        </w:rPr>
        <w:t xml:space="preserve">436 · Le schede del borsello.</w:t>
      </w:r>
      <w:r>
        <w:rPr>
          <w:rFonts w:ascii="Barlow Semi Condensed" w:cs="Barlow Semi Condensed" w:eastAsia="Barlow Semi Condensed" w:hAnsi="Barlow Semi Condensed"/>
          <w:sz w:val="24"/>
          <w:szCs w:val="24"/>
        </w:rPr>
        <w:t xml:space="preserve"> Il contenuto informativo come reperto: le false schede brigatiste del borsello — supporti, battiture, contenuti — nella doppia natura di falso materiale e documento di conoscenze vere. La scheda falsa che sa cose vere è il paradosso documentale del caso: si esamina con entrambe le lenti.</w:t>
      </w:r>
    </w:p>
    <w:p>
      <w:pPr>
        <w:spacing w:after="120" w:line="276"/>
        <w:jc w:val="both"/>
      </w:pPr>
      <w:r>
        <w:rPr>
          <w:rFonts w:ascii="Barlow Semi Condensed" w:cs="Barlow Semi Condensed" w:eastAsia="Barlow Semi Condensed" w:hAnsi="Barlow Semi Condensed"/>
          <w:b/>
          <w:bCs/>
          <w:sz w:val="24"/>
          <w:szCs w:val="24"/>
        </w:rPr>
        <w:t xml:space="preserve">437 · I volantini del 18 aprile.</w:t>
      </w:r>
      <w:r>
        <w:rPr>
          <w:rFonts w:ascii="Barlow Semi Condensed" w:cs="Barlow Semi Condensed" w:eastAsia="Barlow Semi Condensed" w:hAnsi="Barlow Semi Condensed"/>
          <w:sz w:val="24"/>
          <w:szCs w:val="24"/>
        </w:rPr>
        <w:t xml:space="preserve"> Gli esemplari del falso comunicato n. 7: censimento delle copie conservate, esami materiali comparati coi comunicati autentici e col falso n. 10 segnalato dalle fonti. La famiglia dei falsi come corpus materiale: le sue impronte di macchina sono la sua genealogia.</w:t>
      </w:r>
    </w:p>
    <w:p>
      <w:pPr>
        <w:spacing w:after="120" w:line="276"/>
        <w:jc w:val="both"/>
      </w:pPr>
      <w:r>
        <w:rPr>
          <w:rFonts w:ascii="Barlow Semi Condensed" w:cs="Barlow Semi Condensed" w:eastAsia="Barlow Semi Condensed" w:hAnsi="Barlow Semi Condensed"/>
          <w:b/>
          <w:bCs/>
          <w:sz w:val="24"/>
          <w:szCs w:val="24"/>
        </w:rPr>
        <w:t xml:space="preserve">438 · Le carte dei covi, materialmente.</w:t>
      </w:r>
      <w:r>
        <w:rPr>
          <w:rFonts w:ascii="Barlow Semi Condensed" w:cs="Barlow Semi Condensed" w:eastAsia="Barlow Semi Condensed" w:hAnsi="Barlow Semi Condensed"/>
          <w:sz w:val="24"/>
          <w:szCs w:val="24"/>
        </w:rPr>
        <w:t xml:space="preserve"> I documenti sequestrati nei covi (via Gradoli in testa) come oggetti: censimento materiale dagli inventari digitalizzati, stato, riesaminabilità (impronte sulle carte, biologia sui bordi). L'archivio brigatista sequestrato è un giacimento a doppia lettura: qui la materia, in Parte quinta i testi.</w:t>
      </w:r>
    </w:p>
    <w:p>
      <w:pPr>
        <w:spacing w:after="120" w:line="276"/>
        <w:jc w:val="both"/>
      </w:pPr>
      <w:r>
        <w:rPr>
          <w:rFonts w:ascii="Barlow Semi Condensed" w:cs="Barlow Semi Condensed" w:eastAsia="Barlow Semi Condensed" w:hAnsi="Barlow Semi Condensed"/>
          <w:b/>
          <w:bCs/>
          <w:sz w:val="24"/>
          <w:szCs w:val="24"/>
        </w:rPr>
        <w:t xml:space="preserve">439 · Le impronte sulla carta.</w:t>
      </w:r>
      <w:r>
        <w:rPr>
          <w:rFonts w:ascii="Barlow Semi Condensed" w:cs="Barlow Semi Condensed" w:eastAsia="Barlow Semi Condensed" w:hAnsi="Barlow Semi Condensed"/>
          <w:sz w:val="24"/>
          <w:szCs w:val="24"/>
        </w:rPr>
        <w:t xml:space="preserve"> Il programma dedicato: le tecniche attuali per impronte latenti su carta d'epoca applicate ai documenti chiave (comunicati, carte dei covi, il borsello). La carta trattiene per decenni: ogni foglio del 1978 è un potenziale teste muto — e lo schedario del blocco 97 dell'agenda lo aspetta.</w:t>
      </w:r>
    </w:p>
    <w:p>
      <w:pPr>
        <w:spacing w:after="120" w:line="276"/>
        <w:jc w:val="both"/>
      </w:pPr>
      <w:r>
        <w:rPr>
          <w:rFonts w:ascii="Barlow Semi Condensed" w:cs="Barlow Semi Condensed" w:eastAsia="Barlow Semi Condensed" w:hAnsi="Barlow Semi Condensed"/>
          <w:b/>
          <w:bCs/>
          <w:sz w:val="24"/>
          <w:szCs w:val="24"/>
        </w:rPr>
        <w:t xml:space="preserve">440 · Gli inchiostri e le datazioni relative.</w:t>
      </w:r>
      <w:r>
        <w:rPr>
          <w:rFonts w:ascii="Barlow Semi Condensed" w:cs="Barlow Semi Condensed" w:eastAsia="Barlow Semi Condensed" w:hAnsi="Barlow Semi Condensed"/>
          <w:sz w:val="24"/>
          <w:szCs w:val="24"/>
        </w:rPr>
        <w:t xml:space="preserve"> Il parere sulle datazioni: che cosa la chimica degli inchiostri può dire sulle sequenze di scrittura (prima/dopo, stessa penna) nei documenti dubbi del caso — con l'onestà del blocco 206 dell'agenda sulle finestre temporali. Le datazioni relative valgono; le assolute si promettono raramente.</w:t>
      </w:r>
    </w:p>
    <w:p>
      <w:pPr>
        <w:spacing w:after="120" w:line="276"/>
        <w:jc w:val="both"/>
      </w:pPr>
      <w:r>
        <w:rPr>
          <w:rFonts w:ascii="Barlow Semi Condensed" w:cs="Barlow Semi Condensed" w:eastAsia="Barlow Semi Condensed" w:hAnsi="Barlow Semi Condensed"/>
          <w:b/>
          <w:bCs/>
          <w:sz w:val="24"/>
          <w:szCs w:val="24"/>
        </w:rPr>
        <w:t xml:space="preserve">441 · Il registro dei falsi materiali.</w:t>
      </w:r>
      <w:r>
        <w:rPr>
          <w:rFonts w:ascii="Barlow Semi Condensed" w:cs="Barlow Semi Condensed" w:eastAsia="Barlow Semi Condensed" w:hAnsi="Barlow Semi Condensed"/>
          <w:sz w:val="24"/>
          <w:szCs w:val="24"/>
        </w:rPr>
        <w:t xml:space="preserve"> Il censimento dei falsi documentali del caso (il n. 7, il n. 10 segnalato, gli apocrifi successivi): la tavola dei falsi con le loro perizie — il gemello materiale del blocco 308. Il caso ha una storia di falsi: il suo catalogo tecnico è una difesa permanente.</w:t>
      </w:r>
    </w:p>
    <w:p>
      <w:pPr>
        <w:spacing w:after="120" w:line="276"/>
        <w:jc w:val="both"/>
      </w:pPr>
      <w:r>
        <w:rPr>
          <w:rFonts w:ascii="Barlow Semi Condensed" w:cs="Barlow Semi Condensed" w:eastAsia="Barlow Semi Condensed" w:hAnsi="Barlow Semi Condensed"/>
          <w:b/>
          <w:bCs/>
          <w:sz w:val="24"/>
          <w:szCs w:val="24"/>
        </w:rPr>
        <w:t xml:space="preserve">442 · Le buste e i recapiti.</w:t>
      </w:r>
      <w:r>
        <w:rPr>
          <w:rFonts w:ascii="Barlow Semi Condensed" w:cs="Barlow Semi Condensed" w:eastAsia="Barlow Semi Condensed" w:hAnsi="Barlow Semi Condensed"/>
          <w:sz w:val="24"/>
          <w:szCs w:val="24"/>
        </w:rPr>
        <w:t xml:space="preserve"> La materialità dei recapiti: le buste delle lettere, i timbri postali, i luoghi di ritrovamento — la tavola materiale della logistica dei recapiti (il raccordo col quesito 9). Ogni busta è un atto logistico documentato: la rete dei recapiti si disegna dagli oggetti.</w:t>
      </w:r>
    </w:p>
    <w:p>
      <w:pPr>
        <w:spacing w:after="120" w:line="276"/>
        <w:jc w:val="both"/>
      </w:pPr>
      <w:r>
        <w:rPr>
          <w:rFonts w:ascii="Barlow Semi Condensed" w:cs="Barlow Semi Condensed" w:eastAsia="Barlow Semi Condensed" w:hAnsi="Barlow Semi Condensed"/>
          <w:b/>
          <w:bCs/>
          <w:sz w:val="24"/>
          <w:szCs w:val="24"/>
        </w:rPr>
        <w:t xml:space="preserve">443 · La conservazione della carta del caso.</w:t>
      </w:r>
      <w:r>
        <w:rPr>
          <w:rFonts w:ascii="Barlow Semi Condensed" w:cs="Barlow Semi Condensed" w:eastAsia="Barlow Semi Condensed" w:hAnsi="Barlow Semi Condensed"/>
          <w:sz w:val="24"/>
          <w:szCs w:val="24"/>
        </w:rPr>
        <w:t xml:space="preserve"> Il programma conservativo per i reperti cartacei: condizioni, restauri, digitalizzazione ad alta definizione con luce multispettrale. La carta del 1978 ha cinquant'anni: il multispettrale vede ciò che l'occhio non vede più — e ogni scansione è un esame non distruttivo già fatto.</w:t>
      </w:r>
    </w:p>
    <w:p>
      <w:pPr>
        <w:spacing w:after="120" w:line="276"/>
        <w:jc w:val="both"/>
      </w:pPr>
      <w:r>
        <w:rPr>
          <w:rFonts w:ascii="Barlow Semi Condensed" w:cs="Barlow Semi Condensed" w:eastAsia="Barlow Semi Condensed" w:hAnsi="Barlow Semi Condensed"/>
          <w:b/>
          <w:bCs/>
          <w:sz w:val="24"/>
          <w:szCs w:val="24"/>
        </w:rPr>
        <w:t xml:space="preserve">444 · Il multispettrale sistematico.</w:t>
      </w:r>
      <w:r>
        <w:rPr>
          <w:rFonts w:ascii="Barlow Semi Condensed" w:cs="Barlow Semi Condensed" w:eastAsia="Barlow Semi Condensed" w:hAnsi="Barlow Semi Condensed"/>
          <w:sz w:val="24"/>
          <w:szCs w:val="24"/>
        </w:rPr>
        <w:t xml:space="preserve"> La campagna: l'imaging multispettrale su tutti i documenti chiave — cancellature, sottoscritture, tracce latenti. Il bersaglio a più alto rendimento della sottosezione: economico, non invasivo, potenzialmente rivelatore su ogni foglio.</w:t>
      </w:r>
    </w:p>
    <w:p>
      <w:pPr>
        <w:spacing w:after="120" w:line="276"/>
        <w:jc w:val="both"/>
      </w:pPr>
      <w:r>
        <w:rPr>
          <w:rFonts w:ascii="Barlow Semi Condensed" w:cs="Barlow Semi Condensed" w:eastAsia="Barlow Semi Condensed" w:hAnsi="Barlow Semi Condensed"/>
          <w:b/>
          <w:bCs/>
          <w:sz w:val="24"/>
          <w:szCs w:val="24"/>
        </w:rPr>
        <w:t xml:space="preserve">445 · I sigilli e i timbri.</w:t>
      </w:r>
      <w:r>
        <w:rPr>
          <w:rFonts w:ascii="Barlow Semi Condensed" w:cs="Barlow Semi Condensed" w:eastAsia="Barlow Semi Condensed" w:hAnsi="Barlow Semi Condensed"/>
          <w:sz w:val="24"/>
          <w:szCs w:val="24"/>
        </w:rPr>
        <w:t xml:space="preserve"> Gli elementi di autenticazione d'epoca sui documenti del caso (timbri, sigle, protocolli): la tavola dei segni di autenticità per il riconoscimento dei falsi futuri. Il caso attirerà falsari finché vivrà: il suo atlante dei segni veri è un vaccino.</w:t>
      </w:r>
    </w:p>
    <w:p>
      <w:pPr>
        <w:spacing w:after="120" w:line="276"/>
        <w:jc w:val="both"/>
      </w:pPr>
      <w:r>
        <w:rPr>
          <w:rFonts w:ascii="Barlow Semi Condensed" w:cs="Barlow Semi Condensed" w:eastAsia="Barlow Semi Condensed" w:hAnsi="Barlow Semi Condensed"/>
          <w:b/>
          <w:bCs/>
          <w:sz w:val="24"/>
          <w:szCs w:val="24"/>
        </w:rPr>
        <w:t xml:space="preserve">446 · Il governo: le priorità del cantiere reperti.</w:t>
      </w:r>
      <w:r>
        <w:rPr>
          <w:rFonts w:ascii="Barlow Semi Condensed" w:cs="Barlow Semi Condensed" w:eastAsia="Barlow Semi Condensed" w:hAnsi="Barlow Semi Condensed"/>
          <w:sz w:val="24"/>
          <w:szCs w:val="24"/>
        </w:rPr>
        <w:t xml:space="preserve"> La graduatoria finale degli esami: il caricatore e i mai-esaminati in testa, poi i multispettrali, poi le ripetizioni migliorative. La coda pubblica degli esami con i criteri dichiarati: il cantiere si giudica dalla sua coda.</w:t>
      </w:r>
    </w:p>
    <w:p>
      <w:pPr>
        <w:spacing w:after="120" w:line="276"/>
        <w:jc w:val="both"/>
      </w:pPr>
      <w:r>
        <w:rPr>
          <w:rFonts w:ascii="Barlow Semi Condensed" w:cs="Barlow Semi Condensed" w:eastAsia="Barlow Semi Condensed" w:hAnsi="Barlow Semi Condensed"/>
          <w:b/>
          <w:bCs/>
          <w:sz w:val="24"/>
          <w:szCs w:val="24"/>
        </w:rPr>
        <w:t xml:space="preserve">447 · Il governo: il bilancio tecnico.</w:t>
      </w:r>
      <w:r>
        <w:rPr>
          <w:rFonts w:ascii="Barlow Semi Condensed" w:cs="Barlow Semi Condensed" w:eastAsia="Barlow Semi Condensed" w:hAnsi="Barlow Semi Condensed"/>
          <w:sz w:val="24"/>
          <w:szCs w:val="24"/>
        </w:rPr>
        <w:t xml:space="preserve"> I costi del cantiere reperti: perizie, laboratori, conservazione — il bilancio dichiarato per campagna (la regola del blocco 286 dell'agenda). La scienza costa; la trasparenza dei costi è metà della sua difendibilità.</w:t>
      </w:r>
    </w:p>
    <w:p>
      <w:pPr>
        <w:spacing w:after="120" w:line="276"/>
        <w:jc w:val="both"/>
      </w:pPr>
      <w:r>
        <w:rPr>
          <w:rFonts w:ascii="Barlow Semi Condensed" w:cs="Barlow Semi Condensed" w:eastAsia="Barlow Semi Condensed" w:hAnsi="Barlow Semi Condensed"/>
          <w:b/>
          <w:bCs/>
          <w:sz w:val="24"/>
          <w:szCs w:val="24"/>
        </w:rPr>
        <w:t xml:space="preserve">448 · Il governo: i rapporti con la procura.</w:t>
      </w:r>
      <w:r>
        <w:rPr>
          <w:rFonts w:ascii="Barlow Semi Condensed" w:cs="Barlow Semi Condensed" w:eastAsia="Barlow Semi Condensed" w:hAnsi="Barlow Semi Condensed"/>
          <w:sz w:val="24"/>
          <w:szCs w:val="24"/>
        </w:rPr>
        <w:t xml:space="preserve"> Il protocollo operativo con l'autorità giudiziaria per ogni esame su corpi di reato: proposta scritta, attesa, esecuzione in sede propria (il blocco 348, come regola permanente). Il cantiere dei reperti vive di questa liturgia: proporre bene, attendere sempre.</w:t>
      </w:r>
    </w:p>
    <w:p>
      <w:pPr>
        <w:spacing w:after="120" w:line="276"/>
        <w:jc w:val="both"/>
      </w:pPr>
      <w:r>
        <w:rPr>
          <w:rFonts w:ascii="Barlow Semi Condensed" w:cs="Barlow Semi Condensed" w:eastAsia="Barlow Semi Condensed" w:hAnsi="Barlow Semi Condensed"/>
          <w:b/>
          <w:bCs/>
          <w:sz w:val="24"/>
          <w:szCs w:val="24"/>
        </w:rPr>
        <w:t xml:space="preserve">449 · La sintesi dei reperti.</w:t>
      </w:r>
      <w:r>
        <w:rPr>
          <w:rFonts w:ascii="Barlow Semi Condensed" w:cs="Barlow Semi Condensed" w:eastAsia="Barlow Semi Condensed" w:hAnsi="Barlow Semi Condensed"/>
          <w:sz w:val="24"/>
          <w:szCs w:val="24"/>
        </w:rPr>
        <w:t xml:space="preserve"> Il prodotto della parte: la relazione integrale sullo stato dei reperti del caso — l'inventario, le catene, gli esami, le urgenze — pubblicata e mantenuta. Il caso Moro avrà per la prima volta la contabilità completa dei suoi oggetti: è il regalo della parte alla Repubblica.</w:t>
      </w:r>
    </w:p>
    <w:p>
      <w:pPr>
        <w:spacing w:after="120" w:line="276"/>
        <w:jc w:val="both"/>
      </w:pPr>
      <w:r>
        <w:rPr>
          <w:rFonts w:ascii="Barlow Semi Condensed" w:cs="Barlow Semi Condensed" w:eastAsia="Barlow Semi Condensed" w:hAnsi="Barlow Semi Condensed"/>
          <w:b/>
          <w:bCs/>
          <w:sz w:val="24"/>
          <w:szCs w:val="24"/>
        </w:rPr>
        <w:t xml:space="preserve">450 · Il quattrocentocinquantesimo blocco.</w:t>
      </w:r>
      <w:r>
        <w:rPr>
          <w:rFonts w:ascii="Barlow Semi Condensed" w:cs="Barlow Semi Condensed" w:eastAsia="Barlow Semi Condensed" w:hAnsi="Barlow Semi Condensed"/>
          <w:sz w:val="24"/>
          <w:szCs w:val="24"/>
        </w:rPr>
        <w:t xml:space="preserve"> Il giro di boa materiale dell'opera: quattro cantieri e mezzo compiuti, e una certezza di metodo — gli oggetti hanno retto meglio delle memorie. Il resto dell'opera lavora testi, immagini, scienze e atti: ma tornerà sempre qui, dove le cose non ritrattano.</w:t>
      </w:r>
    </w:p>
    <w:p>
      <w:pPr>
        <w:spacing w:after="120" w:line="276"/>
        <w:jc w:val="both"/>
      </w:pPr>
      <w:r>
        <w:rPr>
          <w:rFonts w:ascii="Barlow Semi Condensed" w:cs="Barlow Semi Condensed" w:eastAsia="Barlow Semi Condensed" w:hAnsi="Barlow Semi Condensed"/>
          <w:b/>
          <w:bCs/>
          <w:sz w:val="24"/>
          <w:szCs w:val="24"/>
        </w:rPr>
        <w:t xml:space="preserve">451 · Il deposito unico ideale.</w:t>
      </w:r>
      <w:r>
        <w:rPr>
          <w:rFonts w:ascii="Barlow Semi Condensed" w:cs="Barlow Semi Condensed" w:eastAsia="Barlow Semi Condensed" w:hAnsi="Barlow Semi Condensed"/>
          <w:sz w:val="24"/>
          <w:szCs w:val="24"/>
        </w:rPr>
        <w:t xml:space="preserve"> La proposta istituzionale: la concentrazione conservativa dei reperti del caso in condizioni museali-forensi unificate, d'intesa fra giustizia, archivi e musei. Un deposito unico con standard unici: la proposta si scrive, si motiva e si consegna alle autorità — decidere spetta a loro.</w:t>
      </w:r>
    </w:p>
    <w:p>
      <w:pPr>
        <w:spacing w:after="120" w:line="276"/>
        <w:jc w:val="both"/>
      </w:pPr>
      <w:r>
        <w:rPr>
          <w:rFonts w:ascii="Barlow Semi Condensed" w:cs="Barlow Semi Condensed" w:eastAsia="Barlow Semi Condensed" w:hAnsi="Barlow Semi Condensed"/>
          <w:b/>
          <w:bCs/>
          <w:sz w:val="24"/>
          <w:szCs w:val="24"/>
        </w:rPr>
        <w:t xml:space="preserve">452 · La mostra dei reperti, un giorno.</w:t>
      </w:r>
      <w:r>
        <w:rPr>
          <w:rFonts w:ascii="Barlow Semi Condensed" w:cs="Barlow Semi Condensed" w:eastAsia="Barlow Semi Condensed" w:hAnsi="Barlow Semi Condensed"/>
          <w:sz w:val="24"/>
          <w:szCs w:val="24"/>
        </w:rPr>
        <w:t xml:space="preserve"> Il progetto culturale condizionato: l'esposizione pubblica documentata dei reperti del caso — quando la giustizia lo consenta — con l'apparato del corpus. La Renault 4 è già in un museo: il resto del caso merita, un giorno, la stessa dignità pubblica.</w:t>
      </w:r>
    </w:p>
    <w:p>
      <w:pPr>
        <w:spacing w:after="120" w:line="276"/>
        <w:jc w:val="both"/>
      </w:pPr>
      <w:r>
        <w:rPr>
          <w:rFonts w:ascii="Barlow Semi Condensed" w:cs="Barlow Semi Condensed" w:eastAsia="Barlow Semi Condensed" w:hAnsi="Barlow Semi Condensed"/>
          <w:b/>
          <w:bCs/>
          <w:sz w:val="24"/>
          <w:szCs w:val="24"/>
        </w:rPr>
        <w:t xml:space="preserve">453 · I reperti e la scuola.</w:t>
      </w:r>
      <w:r>
        <w:rPr>
          <w:rFonts w:ascii="Barlow Semi Condensed" w:cs="Barlow Semi Condensed" w:eastAsia="Barlow Semi Condensed" w:hAnsi="Barlow Semi Condensed"/>
          <w:sz w:val="24"/>
          <w:szCs w:val="24"/>
        </w:rPr>
        <w:t xml:space="preserve"> Il progetto didattico: i materiali del cantiere reperti (l'inventario, le schede, le sintesi) in versione divulgativa per le scuole. La memoria repubblicana si insegna anche con gli oggetti: il cantiere prepara la versione che i ragazzi possono leggere.</w:t>
      </w:r>
    </w:p>
    <w:p>
      <w:pPr>
        <w:spacing w:after="120" w:line="276"/>
        <w:jc w:val="both"/>
      </w:pPr>
      <w:r>
        <w:rPr>
          <w:rFonts w:ascii="Barlow Semi Condensed" w:cs="Barlow Semi Condensed" w:eastAsia="Barlow Semi Condensed" w:hAnsi="Barlow Semi Condensed"/>
          <w:b/>
          <w:bCs/>
          <w:sz w:val="24"/>
          <w:szCs w:val="24"/>
        </w:rPr>
        <w:t xml:space="preserve">454 · Il raccordo con le piste.</w:t>
      </w:r>
      <w:r>
        <w:rPr>
          <w:rFonts w:ascii="Barlow Semi Condensed" w:cs="Barlow Semi Condensed" w:eastAsia="Barlow Semi Condensed" w:hAnsi="Barlow Semi Condensed"/>
          <w:sz w:val="24"/>
          <w:szCs w:val="24"/>
        </w:rPr>
        <w:t xml:space="preserve"> La tavola di corrispondenza della parte con le piste del programma: i reperti servono PN-1 (le terze presenze), PN-2 (il caricatore), le matrici balistiche e genetiche. Ogni esame dichiara la sua pista: nessun bersaglio orfano, nemmeno in laboratorio.</w:t>
      </w:r>
    </w:p>
    <w:p>
      <w:pPr>
        <w:spacing w:after="120" w:line="276"/>
        <w:jc w:val="both"/>
      </w:pPr>
      <w:r>
        <w:rPr>
          <w:rFonts w:ascii="Barlow Semi Condensed" w:cs="Barlow Semi Condensed" w:eastAsia="Barlow Semi Condensed" w:hAnsi="Barlow Semi Condensed"/>
          <w:b/>
          <w:bCs/>
          <w:sz w:val="24"/>
          <w:szCs w:val="24"/>
        </w:rPr>
        <w:t xml:space="preserve">455 · Il raccordo col manuale e con l'agenda.</w:t>
      </w:r>
      <w:r>
        <w:rPr>
          <w:rFonts w:ascii="Barlow Semi Condensed" w:cs="Barlow Semi Condensed" w:eastAsia="Barlow Semi Condensed" w:hAnsi="Barlow Semi Condensed"/>
          <w:sz w:val="24"/>
          <w:szCs w:val="24"/>
        </w:rPr>
        <w:t xml:space="preserve"> Il rinvio esecutivo: la parte esegue la serie terza del manuale (i protocolli forensi) e la serie quarta dell'agenda (i bersagli), alla scala del cantiere. La tripla architettura, ancora: dove, come, quanto.</w:t>
      </w:r>
    </w:p>
    <w:p>
      <w:pPr>
        <w:spacing w:after="120" w:line="276"/>
        <w:jc w:val="both"/>
      </w:pPr>
      <w:r>
        <w:rPr>
          <w:rFonts w:ascii="Barlow Semi Condensed" w:cs="Barlow Semi Condensed" w:eastAsia="Barlow Semi Condensed" w:hAnsi="Barlow Semi Condensed"/>
          <w:b/>
          <w:bCs/>
          <w:sz w:val="24"/>
          <w:szCs w:val="24"/>
        </w:rPr>
        <w:t xml:space="preserve">456 · I vuoti dei reperti.</w:t>
      </w:r>
      <w:r>
        <w:rPr>
          <w:rFonts w:ascii="Barlow Semi Condensed" w:cs="Barlow Semi Condensed" w:eastAsia="Barlow Semi Condensed" w:hAnsi="Barlow Semi Condensed"/>
          <w:sz w:val="24"/>
          <w:szCs w:val="24"/>
        </w:rPr>
        <w:t xml:space="preserve"> Il verbale dei vuoti della parte: i reperti distrutti, i mai repertati, i perduti — la mappa di ciò che la scienza non potrà mai più chiedere. Lo Stato Zero materiale del caso, scritto senza recriminazione: è il perimetro, non il processo.</w:t>
      </w:r>
    </w:p>
    <w:p>
      <w:pPr>
        <w:spacing w:after="120" w:line="276"/>
        <w:jc w:val="both"/>
      </w:pPr>
      <w:r>
        <w:rPr>
          <w:rFonts w:ascii="Barlow Semi Condensed" w:cs="Barlow Semi Condensed" w:eastAsia="Barlow Semi Condensed" w:hAnsi="Barlow Semi Condensed"/>
          <w:b/>
          <w:bCs/>
          <w:sz w:val="24"/>
          <w:szCs w:val="24"/>
        </w:rPr>
        <w:t xml:space="preserve">457 · Le borse, per sempre aperte.</w:t>
      </w:r>
      <w:r>
        <w:rPr>
          <w:rFonts w:ascii="Barlow Semi Condensed" w:cs="Barlow Semi Condensed" w:eastAsia="Barlow Semi Condensed" w:hAnsi="Barlow Semi Condensed"/>
          <w:sz w:val="24"/>
          <w:szCs w:val="24"/>
        </w:rPr>
        <w:t xml:space="preserve"> Il vuoto più celebre, trattato a parte coi numeri verificati: cinque borse quella mattina secondo la testimonianza della vedova (documenti riservati, medicinali, ritagli e tesi), parte rinvenute sulla 130, due asportate secondo la ricostruzione prevalente (una ventiquattrore scura e una cartella di pelle marrone, con varianti fra le fonti dichiarate) e mai ritrovate — il censimento definitivo di ogni menzione, ricerca e ipotesi documentale (il blocco 95 dell'agenda, alla scala del cantiere), chiuso da uno Stato Zero formale finché tale resti. Il vuoto più raccontato d'Italia ha finalmente il suo perimetro esatto.</w:t>
      </w:r>
    </w:p>
    <w:p>
      <w:pPr>
        <w:spacing w:after="120" w:line="276"/>
        <w:jc w:val="both"/>
      </w:pPr>
      <w:r>
        <w:rPr>
          <w:rFonts w:ascii="Barlow Semi Condensed" w:cs="Barlow Semi Condensed" w:eastAsia="Barlow Semi Condensed" w:hAnsi="Barlow Semi Condensed"/>
          <w:b/>
          <w:bCs/>
          <w:sz w:val="24"/>
          <w:szCs w:val="24"/>
        </w:rPr>
        <w:t xml:space="preserve">458 · Il registro degli esiti.</w:t>
      </w:r>
      <w:r>
        <w:rPr>
          <w:rFonts w:ascii="Barlow Semi Condensed" w:cs="Barlow Semi Condensed" w:eastAsia="Barlow Semi Condensed" w:hAnsi="Barlow Semi Condensed"/>
          <w:sz w:val="24"/>
          <w:szCs w:val="24"/>
        </w:rPr>
        <w:t xml:space="preserve"> La contabilità permanente: ogni esame della parte con il suo esito — confermato, rivisto, orfano, impossibile — nel registro pubblico del cantiere. I reperti si chiudono come tutto il resto: contando.</w:t>
      </w:r>
    </w:p>
    <w:p>
      <w:pPr>
        <w:spacing w:after="120" w:line="276"/>
        <w:jc w:val="both"/>
      </w:pPr>
      <w:r>
        <w:rPr>
          <w:rFonts w:ascii="Barlow Semi Condensed" w:cs="Barlow Semi Condensed" w:eastAsia="Barlow Semi Condensed" w:hAnsi="Barlow Semi Condensed"/>
          <w:b/>
          <w:bCs/>
          <w:sz w:val="24"/>
          <w:szCs w:val="24"/>
        </w:rPr>
        <w:t xml:space="preserve">459 · La revisione periodica.</w:t>
      </w:r>
      <w:r>
        <w:rPr>
          <w:rFonts w:ascii="Barlow Semi Condensed" w:cs="Barlow Semi Condensed" w:eastAsia="Barlow Semi Condensed" w:hAnsi="Barlow Semi Condensed"/>
          <w:sz w:val="24"/>
          <w:szCs w:val="24"/>
        </w:rPr>
        <w:t xml:space="preserve"> La regola di aggiornamento: la parte si rilegge a ogni progresso tecnico rilevante (nuove tecniche, nuove banche) — e i pareri di praticabilità si rinnovano. Il cantiere dei reperti non finisce: si ripresenta a ogni generazione di strumenti.</w:t>
      </w:r>
    </w:p>
    <w:p>
      <w:pPr>
        <w:spacing w:after="120" w:line="276"/>
        <w:jc w:val="both"/>
      </w:pPr>
      <w:r>
        <w:rPr>
          <w:rFonts w:ascii="Barlow Semi Condensed" w:cs="Barlow Semi Condensed" w:eastAsia="Barlow Semi Condensed" w:hAnsi="Barlow Semi Condensed"/>
          <w:b/>
          <w:bCs/>
          <w:sz w:val="24"/>
          <w:szCs w:val="24"/>
        </w:rPr>
        <w:t xml:space="preserve">460 · La tavola quarta.</w:t>
      </w:r>
      <w:r>
        <w:rPr>
          <w:rFonts w:ascii="Barlow Semi Condensed" w:cs="Barlow Semi Condensed" w:eastAsia="Barlow Semi Condensed" w:hAnsi="Barlow Semi Condensed"/>
          <w:sz w:val="24"/>
          <w:szCs w:val="24"/>
        </w:rPr>
        <w:t xml:space="preserve"> La chiusura della parte: gli stati di tutti i bersagli (331-459), gli esami pendenti, le proposte depositate. Il cantiere delle cose consegna la sua contabilità — quarantott'anni dopo, gli oggetti hanno ancora domande davanti.</w:t>
      </w:r>
    </w:p>
    <w:p>
      <w:pPr>
        <w:pStyle w:val="Heading2"/>
        <w:spacing w:after="100" w:before="200"/>
      </w:pPr>
      <w:r>
        <w:rPr>
          <w:rFonts w:ascii="Barlow Semi Condensed" w:cs="Barlow Semi Condensed" w:eastAsia="Barlow Semi Condensed" w:hAnsi="Barlow Semi Condensed"/>
          <w:sz w:val="24"/>
          <w:szCs w:val="24"/>
        </w:rPr>
        <w:t xml:space="preserve">Parte quinta — Il memoriale e le lettere (blocchi 461-560)</w:t>
      </w:r>
    </w:p>
    <w:p>
      <w:pPr>
        <w:spacing w:after="120" w:line="276"/>
        <w:jc w:val="both"/>
      </w:pPr>
      <w:r>
        <w:rPr>
          <w:rFonts w:ascii="Barlow Semi Condensed" w:cs="Barlow Semi Condensed" w:eastAsia="Barlow Semi Condensed" w:hAnsi="Barlow Semi Condensed"/>
          <w:i/>
          <w:iCs/>
          <w:sz w:val="24"/>
          <w:szCs w:val="24"/>
        </w:rPr>
        <w:t xml:space="preserve">Statuto della parte: la filologia come indagine. I fatti verificati che reggono il cantiere: il 1° ottobre 1978 la perquisizione di via Monte Nevoso 8 a Milano (i reparti del generale dalla Chiesa) sequestrò materiale esclusivamente dattiloscritto — le trascrizioni brigatiste; il 9 ottobre 1990, in un'intercapedine dello stesso appartamento, emersero quattrocentoventuno fogli in fotocopia, in massima parte riproduzioni di manoscritti autografi di Moro (i conteggi interni divergono fra le fonti, e la loro riconciliazione è un bersaglio del cantiere); gli originali autografi — la stesura A — non furono mai trovati, come mai furono trovate le bobine degli interrogatori, e la distruzione resta una dichiarazione di parte brigatista, non un fatto accertato; la perizia grafica successiva al 1990 attestò l'autenticità della scrittura di Moro nelle pagine fotocopiate; la Commissione stragi pubblicò nel 2001 il riordino comparato delle due versioni, e un'edizione critica è stata presentata all'Archivio di Stato di Roma nel 2020. Su questo pavimento: cento blocchi di filologia militante — perché sul memoriale la critica del testo è la forma più alta dell'indagine.</w:t>
      </w:r>
    </w:p>
    <w:p>
      <w:pPr>
        <w:pStyle w:val="Heading3"/>
        <w:spacing w:after="80" w:before="160"/>
      </w:pPr>
      <w:r>
        <w:rPr>
          <w:rFonts w:ascii="Barlow Semi Condensed" w:cs="Barlow Semi Condensed" w:eastAsia="Barlow Semi Condensed" w:hAnsi="Barlow Semi Condensed"/>
          <w:sz w:val="24"/>
          <w:szCs w:val="24"/>
        </w:rPr>
        <w:t xml:space="preserve">Il corpus e la sua tradizione (blocchi 461-485)</w:t>
      </w:r>
    </w:p>
    <w:p>
      <w:pPr>
        <w:spacing w:after="120" w:line="276"/>
        <w:jc w:val="both"/>
      </w:pPr>
      <w:r>
        <w:rPr>
          <w:rFonts w:ascii="Barlow Semi Condensed" w:cs="Barlow Semi Condensed" w:eastAsia="Barlow Semi Condensed" w:hAnsi="Barlow Semi Condensed"/>
          <w:b/>
          <w:bCs/>
          <w:sz w:val="24"/>
          <w:szCs w:val="24"/>
        </w:rPr>
        <w:t xml:space="preserve">461 · Lo stemma delle stesure.</w:t>
      </w:r>
      <w:r>
        <w:rPr>
          <w:rFonts w:ascii="Barlow Semi Condensed" w:cs="Barlow Semi Condensed" w:eastAsia="Barlow Semi Condensed" w:hAnsi="Barlow Semi Condensed"/>
          <w:sz w:val="24"/>
          <w:szCs w:val="24"/>
        </w:rPr>
        <w:t xml:space="preserve"> Il primo strumento del cantiere: lo stemma codicum del memoriale — la stesura A (gli autografi mai trovati), la B (le fotocopie manoscritte del 1990), la C (i dattiloscritti del 1978) — con i rapporti di derivazione accertati e quelli congetturali dichiarati. La filologia del caso comincia dal suo albero: chi copiò che cosa, da che cosa.</w:t>
      </w:r>
    </w:p>
    <w:p>
      <w:pPr>
        <w:spacing w:after="120" w:line="276"/>
        <w:jc w:val="both"/>
      </w:pPr>
      <w:r>
        <w:rPr>
          <w:rFonts w:ascii="Barlow Semi Condensed" w:cs="Barlow Semi Condensed" w:eastAsia="Barlow Semi Condensed" w:hAnsi="Barlow Semi Condensed"/>
          <w:b/>
          <w:bCs/>
          <w:sz w:val="24"/>
          <w:szCs w:val="24"/>
        </w:rPr>
        <w:t xml:space="preserve">462 · Il primo ritrovamento, in atti.</w:t>
      </w:r>
      <w:r>
        <w:rPr>
          <w:rFonts w:ascii="Barlow Semi Condensed" w:cs="Barlow Semi Condensed" w:eastAsia="Barlow Semi Condensed" w:hAnsi="Barlow Semi Condensed"/>
          <w:sz w:val="24"/>
          <w:szCs w:val="24"/>
        </w:rPr>
        <w:t xml:space="preserve"> La ricostruzione documentale integrale del 1° ottobre 1978: il verbale di perquisizione, l'inventario del sequestrato (le quarantanove cartelle del memoriale dattiloscritto, le trascrizioni delle lettere, le ottantacinque cartelle complessive secondo i conteggi), la catena immediata delle copie. Il giorno che consegnò la stesura C, ricostruito atto per atto dagli archivi digitalizzati.</w:t>
      </w:r>
    </w:p>
    <w:p>
      <w:pPr>
        <w:spacing w:after="120" w:line="276"/>
        <w:jc w:val="both"/>
      </w:pPr>
      <w:r>
        <w:rPr>
          <w:rFonts w:ascii="Barlow Semi Condensed" w:cs="Barlow Semi Condensed" w:eastAsia="Barlow Semi Condensed" w:hAnsi="Barlow Semi Condensed"/>
          <w:b/>
          <w:bCs/>
          <w:sz w:val="24"/>
          <w:szCs w:val="24"/>
        </w:rPr>
        <w:t xml:space="preserve">463 · Il secondo ritrovamento, in atti.</w:t>
      </w:r>
      <w:r>
        <w:rPr>
          <w:rFonts w:ascii="Barlow Semi Condensed" w:cs="Barlow Semi Condensed" w:eastAsia="Barlow Semi Condensed" w:hAnsi="Barlow Semi Condensed"/>
          <w:sz w:val="24"/>
          <w:szCs w:val="24"/>
        </w:rPr>
        <w:t xml:space="preserve"> La ricostruzione del 9 ottobre 1990: i lavori edilizi, l'intercapedine sotto la finestra, il plico dei quattrocentoventuno fogli, i verbali, le trascrizioni curate all'epoca dagli uffici (la DIGOS di Milano e il SISDE secondo la verifica). Il giorno che consegnò la stesura B — e riaprì ogni domanda sulla A.</w:t>
      </w:r>
    </w:p>
    <w:p>
      <w:pPr>
        <w:spacing w:after="120" w:line="276"/>
        <w:jc w:val="both"/>
      </w:pPr>
      <w:r>
        <w:rPr>
          <w:rFonts w:ascii="Barlow Semi Condensed" w:cs="Barlow Semi Condensed" w:eastAsia="Barlow Semi Condensed" w:hAnsi="Barlow Semi Condensed"/>
          <w:b/>
          <w:bCs/>
          <w:sz w:val="24"/>
          <w:szCs w:val="24"/>
        </w:rPr>
        <w:t xml:space="preserve">464 · I dodici anni in mezzo.</w:t>
      </w:r>
      <w:r>
        <w:rPr>
          <w:rFonts w:ascii="Barlow Semi Condensed" w:cs="Barlow Semi Condensed" w:eastAsia="Barlow Semi Condensed" w:hAnsi="Barlow Semi Condensed"/>
          <w:sz w:val="24"/>
          <w:szCs w:val="24"/>
        </w:rPr>
        <w:t xml:space="preserve"> Il quesito strutturale: la storia dell'appartamento di via Monte Nevoso 8 fra il 1978 e il 1990 — chi vi ebbe accesso, quali lavori, quali passaggi di proprietà, dagli atti. L'intercapedine attese dodici anni a un metro dalla prima perquisizione: la cronologia di quel muro è un quesito in sé.</w:t>
      </w:r>
    </w:p>
    <w:p>
      <w:pPr>
        <w:spacing w:after="120" w:line="276"/>
        <w:jc w:val="both"/>
      </w:pPr>
      <w:r>
        <w:rPr>
          <w:rFonts w:ascii="Barlow Semi Condensed" w:cs="Barlow Semi Condensed" w:eastAsia="Barlow Semi Condensed" w:hAnsi="Barlow Semi Condensed"/>
          <w:b/>
          <w:bCs/>
          <w:sz w:val="24"/>
          <w:szCs w:val="24"/>
        </w:rPr>
        <w:t xml:space="preserve">465 · La perquisizione che non vide.</w:t>
      </w:r>
      <w:r>
        <w:rPr>
          <w:rFonts w:ascii="Barlow Semi Condensed" w:cs="Barlow Semi Condensed" w:eastAsia="Barlow Semi Condensed" w:hAnsi="Barlow Semi Condensed"/>
          <w:sz w:val="24"/>
          <w:szCs w:val="24"/>
        </w:rPr>
        <w:t xml:space="preserve"> L'analisi documentale della perquisizione del 1978 rispetto al nascondiglio del 1990: che cosa i verbali dicono dell'estensione della ricerca, che cosa le inchieste successive stabilirono sul mancato ritrovamento. Il quesito si tratta con la disciplina del 18 marzo di via Gradoli: negligenza, caso o altro — decidono le carte, non i sospetti.</w:t>
      </w:r>
    </w:p>
    <w:p>
      <w:pPr>
        <w:spacing w:after="120" w:line="276"/>
        <w:jc w:val="both"/>
      </w:pPr>
      <w:r>
        <w:rPr>
          <w:rFonts w:ascii="Barlow Semi Condensed" w:cs="Barlow Semi Condensed" w:eastAsia="Barlow Semi Condensed" w:hAnsi="Barlow Semi Condensed"/>
          <w:b/>
          <w:bCs/>
          <w:sz w:val="24"/>
          <w:szCs w:val="24"/>
        </w:rPr>
        <w:t xml:space="preserve">466 · Il conteggio dei fogli.</w:t>
      </w:r>
      <w:r>
        <w:rPr>
          <w:rFonts w:ascii="Barlow Semi Condensed" w:cs="Barlow Semi Condensed" w:eastAsia="Barlow Semi Condensed" w:hAnsi="Barlow Semi Condensed"/>
          <w:sz w:val="24"/>
          <w:szCs w:val="24"/>
        </w:rPr>
        <w:t xml:space="preserve"> La tavola quantitativa rigorosa: quanti fogli, di che cosa, in ciascun ritrovamento — coi conteggi divergenti delle fonti dichiarati e riconciliati (quarantanove cartelle dattiloscritte del memoriale nel 1978, ottantacinque totali secondo alcuni computi; quattrocentoventuno fogli inventariati nel 1990, quattrocentodiciannove di manoscritti secondo altri conteggi, con la quota del memoriale variamente cifrata) — l'edizione critica Di Sivo come riferimento dei numeri. La filologia comincia contando: ogni cifra con la sua fonte.</w:t>
      </w:r>
    </w:p>
    <w:p>
      <w:pPr>
        <w:spacing w:after="120" w:line="276"/>
        <w:jc w:val="both"/>
      </w:pPr>
      <w:r>
        <w:rPr>
          <w:rFonts w:ascii="Barlow Semi Condensed" w:cs="Barlow Semi Condensed" w:eastAsia="Barlow Semi Condensed" w:hAnsi="Barlow Semi Condensed"/>
          <w:b/>
          <w:bCs/>
          <w:sz w:val="24"/>
          <w:szCs w:val="24"/>
        </w:rPr>
        <w:t xml:space="preserve">467 · La stesura A, il fantasma.</w:t>
      </w:r>
      <w:r>
        <w:rPr>
          <w:rFonts w:ascii="Barlow Semi Condensed" w:cs="Barlow Semi Condensed" w:eastAsia="Barlow Semi Condensed" w:hAnsi="Barlow Semi Condensed"/>
          <w:sz w:val="24"/>
          <w:szCs w:val="24"/>
        </w:rPr>
        <w:t xml:space="preserve"> Il fascicolo del mai trovato: ogni menzione documentale degli autografi e delle bobine degli interrogatori — le dichiarazioni brigatiste sulla distruzione (dichiarazioni di parte, mai riscontro materiale), le ipotesi istruttorie, le ricerche fatte. Lo Stato Zero più importante della parte: perimetrato con esattezza assoluta, perché intorno a questo vuoto è cresciuta mezza pubblicistica del caso.</w:t>
      </w:r>
    </w:p>
    <w:p>
      <w:pPr>
        <w:spacing w:after="120" w:line="276"/>
        <w:jc w:val="both"/>
      </w:pPr>
      <w:r>
        <w:rPr>
          <w:rFonts w:ascii="Barlow Semi Condensed" w:cs="Barlow Semi Condensed" w:eastAsia="Barlow Semi Condensed" w:hAnsi="Barlow Semi Condensed"/>
          <w:b/>
          <w:bCs/>
          <w:sz w:val="24"/>
          <w:szCs w:val="24"/>
        </w:rPr>
        <w:t xml:space="preserve">468 · Che cosa manca, misurato.</w:t>
      </w:r>
      <w:r>
        <w:rPr>
          <w:rFonts w:ascii="Barlow Semi Condensed" w:cs="Barlow Semi Condensed" w:eastAsia="Barlow Semi Condensed" w:hAnsi="Barlow Semi Condensed"/>
          <w:sz w:val="24"/>
          <w:szCs w:val="24"/>
        </w:rPr>
        <w:t xml:space="preserve"> L'analisi delle lacune interne: i richiami del testo a parti non presenti, le discontinuità, i temi annunciati e assenti — la misura filologica di quanto il corpus superstite sia incompleto (il blocco 220 dell'agenda, eseguito con gli strumenti della critica). Non «il memoriale nascosto»: la tavola delle lacune dimostrabili.</w:t>
      </w:r>
    </w:p>
    <w:p>
      <w:pPr>
        <w:spacing w:after="120" w:line="276"/>
        <w:jc w:val="both"/>
      </w:pPr>
      <w:r>
        <w:rPr>
          <w:rFonts w:ascii="Barlow Semi Condensed" w:cs="Barlow Semi Condensed" w:eastAsia="Barlow Semi Condensed" w:hAnsi="Barlow Semi Condensed"/>
          <w:b/>
          <w:bCs/>
          <w:sz w:val="24"/>
          <w:szCs w:val="24"/>
        </w:rPr>
        <w:t xml:space="preserve">469 · Il riordino del 2001.</w:t>
      </w:r>
      <w:r>
        <w:rPr>
          <w:rFonts w:ascii="Barlow Semi Condensed" w:cs="Barlow Semi Condensed" w:eastAsia="Barlow Semi Condensed" w:hAnsi="Barlow Semi Condensed"/>
          <w:sz w:val="24"/>
          <w:szCs w:val="24"/>
        </w:rPr>
        <w:t xml:space="preserve"> Lo strumento verificato: la pubblicazione comparata delle versioni 1978 e 1990 curata dalla Commissione stragi (2001) — l'analisi del suo metodo, dei suoi apparati, dei suoi limiti. Il primo grande atto filologico istituzionale sul memoriale: il cantiere vi si appoggia e lo supera dove il 2001 non poteva vedere.</w:t>
      </w:r>
    </w:p>
    <w:p>
      <w:pPr>
        <w:spacing w:after="120" w:line="276"/>
        <w:jc w:val="both"/>
      </w:pPr>
      <w:r>
        <w:rPr>
          <w:rFonts w:ascii="Barlow Semi Condensed" w:cs="Barlow Semi Condensed" w:eastAsia="Barlow Semi Condensed" w:hAnsi="Barlow Semi Condensed"/>
          <w:b/>
          <w:bCs/>
          <w:sz w:val="24"/>
          <w:szCs w:val="24"/>
        </w:rPr>
        <w:t xml:space="preserve">470 · L'edizione critica istituzionale.</w:t>
      </w:r>
      <w:r>
        <w:rPr>
          <w:rFonts w:ascii="Barlow Semi Condensed" w:cs="Barlow Semi Condensed" w:eastAsia="Barlow Semi Condensed" w:hAnsi="Barlow Semi Condensed"/>
          <w:sz w:val="24"/>
          <w:szCs w:val="24"/>
        </w:rPr>
        <w:t xml:space="preserve"> Il secondo strumento verificato: «Il memoriale di Aldo Moro, 1978. Edizione critica» (a cura di Michele Di Sivo, Direzione generale Archivi - De Luca, 2019, presentata all'Archivio di Stato di Roma il 25 febbraio 2020) — i criteri, gli apparati, le scelte, e i conteggi dei fogli che essa fissa come riferimento. La collazione delle edizioni (2001, 2011, 2020) come esercizio preliminare: dove divergono, la divergenza è un problema aperto del testo.</w:t>
      </w:r>
    </w:p>
    <w:p>
      <w:pPr>
        <w:spacing w:after="120" w:line="276"/>
        <w:jc w:val="both"/>
      </w:pPr>
      <w:r>
        <w:rPr>
          <w:rFonts w:ascii="Barlow Semi Condensed" w:cs="Barlow Semi Condensed" w:eastAsia="Barlow Semi Condensed" w:hAnsi="Barlow Semi Condensed"/>
          <w:b/>
          <w:bCs/>
          <w:sz w:val="24"/>
          <w:szCs w:val="24"/>
        </w:rPr>
        <w:t xml:space="preserve">471 · La curatela Gotor del memoriale.</w:t>
      </w:r>
      <w:r>
        <w:rPr>
          <w:rFonts w:ascii="Barlow Semi Condensed" w:cs="Barlow Semi Condensed" w:eastAsia="Barlow Semi Condensed" w:hAnsi="Barlow Semi Condensed"/>
          <w:sz w:val="24"/>
          <w:szCs w:val="24"/>
        </w:rPr>
        <w:t xml:space="preserve"> Il terzo strumento: il lavoro critico di Miguel Gotor sul memoriale (Einaudi 2011) — le tesi filologiche principali, gli apparati, le congetture dichiarate. La storiografia filologica del memoriale ha un canone: il cantiere lo assume, lo verifica a campione e vi aggancia il nuovo.</w:t>
      </w:r>
    </w:p>
    <w:p>
      <w:pPr>
        <w:spacing w:after="120" w:line="276"/>
        <w:jc w:val="both"/>
      </w:pPr>
      <w:r>
        <w:rPr>
          <w:rFonts w:ascii="Barlow Semi Condensed" w:cs="Barlow Semi Condensed" w:eastAsia="Barlow Semi Condensed" w:hAnsi="Barlow Semi Condensed"/>
          <w:b/>
          <w:bCs/>
          <w:sz w:val="24"/>
          <w:szCs w:val="24"/>
        </w:rPr>
        <w:t xml:space="preserve">472 · La sinossi elettronica.</w:t>
      </w:r>
      <w:r>
        <w:rPr>
          <w:rFonts w:ascii="Barlow Semi Condensed" w:cs="Barlow Semi Condensed" w:eastAsia="Barlow Semi Condensed" w:hAnsi="Barlow Semi Condensed"/>
          <w:sz w:val="24"/>
          <w:szCs w:val="24"/>
        </w:rPr>
        <w:t xml:space="preserve"> Il prodotto tecnico della sezione: la sinossi digitale integrale delle stesure B e C — foglio contro foglio, con le varianti marcate e interrogabili (il cantiere digitale del manuale al servizio della filologia). Lo strumento che il 2001 fece a stampa, rifatto machine-readable: ogni variante una riga di dato.</w:t>
      </w:r>
    </w:p>
    <w:p>
      <w:pPr>
        <w:spacing w:after="120" w:line="276"/>
        <w:jc w:val="both"/>
      </w:pPr>
      <w:r>
        <w:rPr>
          <w:rFonts w:ascii="Barlow Semi Condensed" w:cs="Barlow Semi Condensed" w:eastAsia="Barlow Semi Condensed" w:hAnsi="Barlow Semi Condensed"/>
          <w:b/>
          <w:bCs/>
          <w:sz w:val="24"/>
          <w:szCs w:val="24"/>
        </w:rPr>
        <w:t xml:space="preserve">473 · Le varianti come indizi.</w:t>
      </w:r>
      <w:r>
        <w:rPr>
          <w:rFonts w:ascii="Barlow Semi Condensed" w:cs="Barlow Semi Condensed" w:eastAsia="Barlow Semi Condensed" w:hAnsi="Barlow Semi Condensed"/>
          <w:sz w:val="24"/>
          <w:szCs w:val="24"/>
        </w:rPr>
        <w:t xml:space="preserve"> L'analisi sistematica delle varianti B/C: che cosa i dattiloscritti del 1978 omettono, riassumono o alterano rispetto ai manoscritti fotocopiati — la tavola delle differenze con le ipotesi di spiegazione (selezione brigatista, fretta, censura interna) in forma ACH. Le varianti sono il comportamento dei copisti: si leggono come condotte.</w:t>
      </w:r>
    </w:p>
    <w:p>
      <w:pPr>
        <w:spacing w:after="120" w:line="276"/>
        <w:jc w:val="both"/>
      </w:pPr>
      <w:r>
        <w:rPr>
          <w:rFonts w:ascii="Barlow Semi Condensed" w:cs="Barlow Semi Condensed" w:eastAsia="Barlow Semi Condensed" w:hAnsi="Barlow Semi Condensed"/>
          <w:b/>
          <w:bCs/>
          <w:sz w:val="24"/>
          <w:szCs w:val="24"/>
        </w:rPr>
        <w:t xml:space="preserve">474 · La carta delle fotocopie.</w:t>
      </w:r>
      <w:r>
        <w:rPr>
          <w:rFonts w:ascii="Barlow Semi Condensed" w:cs="Barlow Semi Condensed" w:eastAsia="Barlow Semi Condensed" w:hAnsi="Barlow Semi Condensed"/>
          <w:sz w:val="24"/>
          <w:szCs w:val="24"/>
        </w:rPr>
        <w:t xml:space="preserve"> La materialità della stesura B: le fotocopie del 1990 come oggetti (la macchina copiatrice, i formati, i segni di generazione) — il raccordo con la Parte quarta (blocco 96 dell'agenda, blocchi 431 e seguenti del cantiere). Ogni generazione di copia lascia impronte: la tecnologia della copiatura è una datazione relativa.</w:t>
      </w:r>
    </w:p>
    <w:p>
      <w:pPr>
        <w:spacing w:after="120" w:line="276"/>
        <w:jc w:val="both"/>
      </w:pPr>
      <w:r>
        <w:rPr>
          <w:rFonts w:ascii="Barlow Semi Condensed" w:cs="Barlow Semi Condensed" w:eastAsia="Barlow Semi Condensed" w:hAnsi="Barlow Semi Condensed"/>
          <w:b/>
          <w:bCs/>
          <w:sz w:val="24"/>
          <w:szCs w:val="24"/>
        </w:rPr>
        <w:t xml:space="preserve">475 · Le mani del dattiloscritto.</w:t>
      </w:r>
      <w:r>
        <w:rPr>
          <w:rFonts w:ascii="Barlow Semi Condensed" w:cs="Barlow Semi Condensed" w:eastAsia="Barlow Semi Condensed" w:hAnsi="Barlow Semi Condensed"/>
          <w:sz w:val="24"/>
          <w:szCs w:val="24"/>
        </w:rPr>
        <w:t xml:space="preserve"> L'analisi della stesura C come prodotto di lavoro: quante mani batterono, con quali macchine, con quali abitudini — la dattiloscopia meccanica applicata alle trascrizioni brigatiste. Il gruppo che trascrisse è un soggetto collettivo documentabile: i suoi turni di lavoro sono scritti nei tasti.</w:t>
      </w:r>
    </w:p>
    <w:p>
      <w:pPr>
        <w:spacing w:after="120" w:line="276"/>
        <w:jc w:val="both"/>
      </w:pPr>
      <w:r>
        <w:rPr>
          <w:rFonts w:ascii="Barlow Semi Condensed" w:cs="Barlow Semi Condensed" w:eastAsia="Barlow Semi Condensed" w:hAnsi="Barlow Semi Condensed"/>
          <w:b/>
          <w:bCs/>
          <w:sz w:val="24"/>
          <w:szCs w:val="24"/>
        </w:rPr>
        <w:t xml:space="preserve">476 · L'ordine originario.</w:t>
      </w:r>
      <w:r>
        <w:rPr>
          <w:rFonts w:ascii="Barlow Semi Condensed" w:cs="Barlow Semi Condensed" w:eastAsia="Barlow Semi Condensed" w:hAnsi="Barlow Semi Condensed"/>
          <w:sz w:val="24"/>
          <w:szCs w:val="24"/>
        </w:rPr>
        <w:t xml:space="preserve"> Il quesito dell'ordinamento: la sequenza originaria delle carte contro gli ordinamenti editoriali successivi — che cosa i supporti (numerazioni, riprese, richiami) dicono dell'ordine di composizione. Il memoriale fu scritto in un ordine e pubblicato in altri: ricostruire il primo è filologia pura con rendimento storico.</w:t>
      </w:r>
    </w:p>
    <w:p>
      <w:pPr>
        <w:spacing w:after="120" w:line="276"/>
        <w:jc w:val="both"/>
      </w:pPr>
      <w:r>
        <w:rPr>
          <w:rFonts w:ascii="Barlow Semi Condensed" w:cs="Barlow Semi Condensed" w:eastAsia="Barlow Semi Condensed" w:hAnsi="Barlow Semi Condensed"/>
          <w:b/>
          <w:bCs/>
          <w:sz w:val="24"/>
          <w:szCs w:val="24"/>
        </w:rPr>
        <w:t xml:space="preserve">477 · Il tempo della scrittura.</w:t>
      </w:r>
      <w:r>
        <w:rPr>
          <w:rFonts w:ascii="Barlow Semi Condensed" w:cs="Barlow Semi Condensed" w:eastAsia="Barlow Semi Condensed" w:hAnsi="Barlow Semi Condensed"/>
          <w:sz w:val="24"/>
          <w:szCs w:val="24"/>
        </w:rPr>
        <w:t xml:space="preserve"> La cronologia interna: gli eventi citati nel testo come termini post quem, i riferimenti databili, la distribuzione temporale della scrittura lungo i cinquantacinque giorni. Il memoriale ha un calendario interno ricostruibile: ogni pagina datata è una pagina collocata nella prigionia.</w:t>
      </w:r>
    </w:p>
    <w:p>
      <w:pPr>
        <w:spacing w:after="120" w:line="276"/>
        <w:jc w:val="both"/>
      </w:pPr>
      <w:r>
        <w:rPr>
          <w:rFonts w:ascii="Barlow Semi Condensed" w:cs="Barlow Semi Condensed" w:eastAsia="Barlow Semi Condensed" w:hAnsi="Barlow Semi Condensed"/>
          <w:b/>
          <w:bCs/>
          <w:sz w:val="24"/>
          <w:szCs w:val="24"/>
        </w:rPr>
        <w:t xml:space="preserve">478 · Gli interrogatori dietro il testo.</w:t>
      </w:r>
      <w:r>
        <w:rPr>
          <w:rFonts w:ascii="Barlow Semi Condensed" w:cs="Barlow Semi Condensed" w:eastAsia="Barlow Semi Condensed" w:hAnsi="Barlow Semi Condensed"/>
          <w:sz w:val="24"/>
          <w:szCs w:val="24"/>
        </w:rPr>
        <w:t xml:space="preserve"> Il rapporto testo-interrogatorio: che cosa il memoriale rivela della struttura delle domande poste (i temi, le sequenze, le insistenze) — il «processo» brigatista ricostruito dal suo prodotto. Il testo è la metà visibile di un dialogo: la forma delle risposte disegna le domande.</w:t>
      </w:r>
    </w:p>
    <w:p>
      <w:pPr>
        <w:spacing w:after="120" w:line="276"/>
        <w:jc w:val="both"/>
      </w:pPr>
      <w:r>
        <w:rPr>
          <w:rFonts w:ascii="Barlow Semi Condensed" w:cs="Barlow Semi Condensed" w:eastAsia="Barlow Semi Condensed" w:hAnsi="Barlow Semi Condensed"/>
          <w:b/>
          <w:bCs/>
          <w:sz w:val="24"/>
          <w:szCs w:val="24"/>
        </w:rPr>
        <w:t xml:space="preserve">479 · Il memoriale e le lettere, un corpus.</w:t>
      </w:r>
      <w:r>
        <w:rPr>
          <w:rFonts w:ascii="Barlow Semi Condensed" w:cs="Barlow Semi Condensed" w:eastAsia="Barlow Semi Condensed" w:hAnsi="Barlow Semi Condensed"/>
          <w:sz w:val="24"/>
          <w:szCs w:val="24"/>
        </w:rPr>
        <w:t xml:space="preserve"> La regola d'insieme: memoriale e lettere si studiano come un corpus unico della prigionia — stessa mano, stesso tempo, generi diversi. La tavola dei rimandi interni (temi che migrano dal memoriale alle lettere e viceversa) è lo strumento di unificazione.</w:t>
      </w:r>
    </w:p>
    <w:p>
      <w:pPr>
        <w:spacing w:after="120" w:line="276"/>
        <w:jc w:val="both"/>
      </w:pPr>
      <w:r>
        <w:rPr>
          <w:rFonts w:ascii="Barlow Semi Condensed" w:cs="Barlow Semi Condensed" w:eastAsia="Barlow Semi Condensed" w:hAnsi="Barlow Semi Condensed"/>
          <w:b/>
          <w:bCs/>
          <w:sz w:val="24"/>
          <w:szCs w:val="24"/>
        </w:rPr>
        <w:t xml:space="preserve">480 · Le trascrizioni delle lettere nel covo.</w:t>
      </w:r>
      <w:r>
        <w:rPr>
          <w:rFonts w:ascii="Barlow Semi Condensed" w:cs="Barlow Semi Condensed" w:eastAsia="Barlow Semi Condensed" w:hAnsi="Barlow Semi Condensed"/>
          <w:sz w:val="24"/>
          <w:szCs w:val="24"/>
        </w:rPr>
        <w:t xml:space="preserve"> Il dato del 1978: fra il sequestrato di via Monte Nevoso c'erano trascrizioni delle lettere — la tavola di quali lettere i brigatisti trascrissero e conservarono, contro il corpus totale. La selezione brigatista delle lettere è un comportamento documentato: che cosa tenevano, dice che cosa contava per loro.</w:t>
      </w:r>
    </w:p>
    <w:p>
      <w:pPr>
        <w:spacing w:after="120" w:line="276"/>
        <w:jc w:val="both"/>
      </w:pPr>
      <w:r>
        <w:rPr>
          <w:rFonts w:ascii="Barlow Semi Condensed" w:cs="Barlow Semi Condensed" w:eastAsia="Barlow Semi Condensed" w:hAnsi="Barlow Semi Condensed"/>
          <w:b/>
          <w:bCs/>
          <w:sz w:val="24"/>
          <w:szCs w:val="24"/>
        </w:rPr>
        <w:t xml:space="preserve">481 · Il fascicolo delle perizie grafiche.</w:t>
      </w:r>
      <w:r>
        <w:rPr>
          <w:rFonts w:ascii="Barlow Semi Condensed" w:cs="Barlow Semi Condensed" w:eastAsia="Barlow Semi Condensed" w:hAnsi="Barlow Semi Condensed"/>
          <w:sz w:val="24"/>
          <w:szCs w:val="24"/>
        </w:rPr>
        <w:t xml:space="preserve"> La riunione documentale: tutte le perizie grafiche e tecniche sul memoriale (la perizia post-1990 sull'autenticità della scrittura, le dattiloscopiche, ogni accertamento dagli atti digitalizzati) in un fascicolo unico. La scienza già fatta sul testo, indicizzata prima di farne di nuova.</w:t>
      </w:r>
    </w:p>
    <w:p>
      <w:pPr>
        <w:spacing w:after="120" w:line="276"/>
        <w:jc w:val="both"/>
      </w:pPr>
      <w:r>
        <w:rPr>
          <w:rFonts w:ascii="Barlow Semi Condensed" w:cs="Barlow Semi Condensed" w:eastAsia="Barlow Semi Condensed" w:hAnsi="Barlow Semi Condensed"/>
          <w:b/>
          <w:bCs/>
          <w:sz w:val="24"/>
          <w:szCs w:val="24"/>
        </w:rPr>
        <w:t xml:space="preserve">482 · I limiti della perizia su fotocopia.</w:t>
      </w:r>
      <w:r>
        <w:rPr>
          <w:rFonts w:ascii="Barlow Semi Condensed" w:cs="Barlow Semi Condensed" w:eastAsia="Barlow Semi Condensed" w:hAnsi="Barlow Semi Condensed"/>
          <w:sz w:val="24"/>
          <w:szCs w:val="24"/>
        </w:rPr>
        <w:t xml:space="preserve"> La dichiarazione tecnica onesta: la perizia grafica su fotocopie ha limiti intrinseci riconosciuti — e il cantiere li stampa in testa a ogni uso della stesura B. L'autenticità attestata della scrittura convive con l'impossibilità di escludere manipolazioni di dettaglio: entrambe le cose si dicono.</w:t>
      </w:r>
    </w:p>
    <w:p>
      <w:pPr>
        <w:spacing w:after="120" w:line="276"/>
        <w:jc w:val="both"/>
      </w:pPr>
      <w:r>
        <w:rPr>
          <w:rFonts w:ascii="Barlow Semi Condensed" w:cs="Barlow Semi Condensed" w:eastAsia="Barlow Semi Condensed" w:hAnsi="Barlow Semi Condensed"/>
          <w:b/>
          <w:bCs/>
          <w:sz w:val="24"/>
          <w:szCs w:val="24"/>
        </w:rPr>
        <w:t xml:space="preserve">483 · Il multispettrale sulla B.</w:t>
      </w:r>
      <w:r>
        <w:rPr>
          <w:rFonts w:ascii="Barlow Semi Condensed" w:cs="Barlow Semi Condensed" w:eastAsia="Barlow Semi Condensed" w:hAnsi="Barlow Semi Condensed"/>
          <w:sz w:val="24"/>
          <w:szCs w:val="24"/>
        </w:rPr>
        <w:t xml:space="preserve"> L'esame nuovo possibile: l'imaging moderno sulle fotocopie del 1990 (il blocco 444, applicato) — tracce latenti, segni di montaggio, anomalie di generazione. Le fotocopie non sono mai state interrogate con gli strumenti del 2026: è un esame non distruttivo che aspetta solo di essere disposto.</w:t>
      </w:r>
    </w:p>
    <w:p>
      <w:pPr>
        <w:spacing w:after="120" w:line="276"/>
        <w:jc w:val="both"/>
      </w:pPr>
      <w:r>
        <w:rPr>
          <w:rFonts w:ascii="Barlow Semi Condensed" w:cs="Barlow Semi Condensed" w:eastAsia="Barlow Semi Condensed" w:hAnsi="Barlow Semi Condensed"/>
          <w:b/>
          <w:bCs/>
          <w:sz w:val="24"/>
          <w:szCs w:val="24"/>
        </w:rPr>
        <w:t xml:space="preserve">484 · La custodia del corpus.</w:t>
      </w:r>
      <w:r>
        <w:rPr>
          <w:rFonts w:ascii="Barlow Semi Condensed" w:cs="Barlow Semi Condensed" w:eastAsia="Barlow Semi Condensed" w:hAnsi="Barlow Semi Condensed"/>
          <w:sz w:val="24"/>
          <w:szCs w:val="24"/>
        </w:rPr>
        <w:t xml:space="preserve"> La scheda conservativa dei materiali di Monte Nevoso: dove sono oggi le carte dei due ritrovamenti, in che stato, con quale catena — il raccordo con la Parte quarta. Il testo più importante della Repubblica merita la custodia più documentata: la scheda lo verifica.</w:t>
      </w:r>
    </w:p>
    <w:p>
      <w:pPr>
        <w:spacing w:after="120" w:line="276"/>
        <w:jc w:val="both"/>
      </w:pPr>
      <w:r>
        <w:rPr>
          <w:rFonts w:ascii="Barlow Semi Condensed" w:cs="Barlow Semi Condensed" w:eastAsia="Barlow Semi Condensed" w:hAnsi="Barlow Semi Condensed"/>
          <w:b/>
          <w:bCs/>
          <w:sz w:val="24"/>
          <w:szCs w:val="24"/>
        </w:rPr>
        <w:t xml:space="preserve">485 · La tavola della tradizione.</w:t>
      </w:r>
      <w:r>
        <w:rPr>
          <w:rFonts w:ascii="Barlow Semi Condensed" w:cs="Barlow Semi Condensed" w:eastAsia="Barlow Semi Condensed" w:hAnsi="Barlow Semi Condensed"/>
          <w:sz w:val="24"/>
          <w:szCs w:val="24"/>
        </w:rPr>
        <w:t xml:space="preserve"> La chiusura della sezione: lo stemma aggiornato, i conteggi riconciliati, le edizioni collazionate, gli esami pendenti. La tradizione del memoriale, finalmente in tavola — e ogni futura scoperta avrà una casella pronta.</w:t>
      </w:r>
    </w:p>
    <w:p>
      <w:pPr>
        <w:pStyle w:val="Heading3"/>
        <w:spacing w:after="80" w:before="160"/>
      </w:pPr>
      <w:r>
        <w:rPr>
          <w:rFonts w:ascii="Barlow Semi Condensed" w:cs="Barlow Semi Condensed" w:eastAsia="Barlow Semi Condensed" w:hAnsi="Barlow Semi Condensed"/>
          <w:sz w:val="24"/>
          <w:szCs w:val="24"/>
        </w:rPr>
        <w:t xml:space="preserve">La filologia delle lettere (blocchi 486-510)</w:t>
      </w:r>
    </w:p>
    <w:p>
      <w:pPr>
        <w:spacing w:after="120" w:line="276"/>
        <w:jc w:val="both"/>
      </w:pPr>
      <w:r>
        <w:rPr>
          <w:rFonts w:ascii="Barlow Semi Condensed" w:cs="Barlow Semi Condensed" w:eastAsia="Barlow Semi Condensed" w:hAnsi="Barlow Semi Condensed"/>
          <w:b/>
          <w:bCs/>
          <w:sz w:val="24"/>
          <w:szCs w:val="24"/>
        </w:rPr>
        <w:t xml:space="preserve">486 · Il canone delle lettere.</w:t>
      </w:r>
      <w:r>
        <w:rPr>
          <w:rFonts w:ascii="Barlow Semi Condensed" w:cs="Barlow Semi Condensed" w:eastAsia="Barlow Semi Condensed" w:hAnsi="Barlow Semi Condensed"/>
          <w:sz w:val="24"/>
          <w:szCs w:val="24"/>
        </w:rPr>
        <w:t xml:space="preserve"> Il primo bersaglio: il censimento critico del corpus epistolare della prigionia sull'edizione Gotor (Einaudi 2008; il censimento corrente è di novantasette lettere, con varianti di computo dichiarate) — a chi, recapitate o trattenute, con la tavola dei testimoni (autografi, copie, trascrizioni) per ciascuna. Il canone prima dell'interpretazione: quante sono, e in che forma esistono.</w:t>
      </w:r>
    </w:p>
    <w:p>
      <w:pPr>
        <w:spacing w:after="120" w:line="276"/>
        <w:jc w:val="both"/>
      </w:pPr>
      <w:r>
        <w:rPr>
          <w:rFonts w:ascii="Barlow Semi Condensed" w:cs="Barlow Semi Condensed" w:eastAsia="Barlow Semi Condensed" w:hAnsi="Barlow Semi Condensed"/>
          <w:b/>
          <w:bCs/>
          <w:sz w:val="24"/>
          <w:szCs w:val="24"/>
        </w:rPr>
        <w:t xml:space="preserve">487 · La tavola dei recapiti.</w:t>
      </w:r>
      <w:r>
        <w:rPr>
          <w:rFonts w:ascii="Barlow Semi Condensed" w:cs="Barlow Semi Condensed" w:eastAsia="Barlow Semi Condensed" w:hAnsi="Barlow Semi Condensed"/>
          <w:sz w:val="24"/>
          <w:szCs w:val="24"/>
        </w:rPr>
        <w:t xml:space="preserve"> La logistica epistolare integrale: per ogni lettera recapitata — quando partì, per quali mani, quando arrivò, dagli atti e dalle testimonianze corroborate. La rete dei recapiti è la mappa di un'organizzazione in funzione: ogni consegna riuscita è un atto logistico documentato (il raccordo col blocco 442).</w:t>
      </w:r>
    </w:p>
    <w:p>
      <w:pPr>
        <w:spacing w:after="120" w:line="276"/>
        <w:jc w:val="both"/>
      </w:pPr>
      <w:r>
        <w:rPr>
          <w:rFonts w:ascii="Barlow Semi Condensed" w:cs="Barlow Semi Condensed" w:eastAsia="Barlow Semi Condensed" w:hAnsi="Barlow Semi Condensed"/>
          <w:b/>
          <w:bCs/>
          <w:sz w:val="24"/>
          <w:szCs w:val="24"/>
        </w:rPr>
        <w:t xml:space="preserve">488 · I postini e i canali.</w:t>
      </w:r>
      <w:r>
        <w:rPr>
          <w:rFonts w:ascii="Barlow Semi Condensed" w:cs="Barlow Semi Condensed" w:eastAsia="Barlow Semi Condensed" w:hAnsi="Barlow Semi Condensed"/>
          <w:sz w:val="24"/>
          <w:szCs w:val="24"/>
        </w:rPr>
        <w:t xml:space="preserve"> Il quesito 9 dell'agenda, eseguito: le mani accertate dei recapiti (il tratto ecclesiastico documentato, i canali laici) e le mani congetturate — in tavola ACH, con la regola personalistica stampata. Chi portò le lettere fece un atto: gli atti si documentano, non si presumono.</w:t>
      </w:r>
    </w:p>
    <w:p>
      <w:pPr>
        <w:spacing w:after="120" w:line="276"/>
        <w:jc w:val="both"/>
      </w:pPr>
      <w:r>
        <w:rPr>
          <w:rFonts w:ascii="Barlow Semi Condensed" w:cs="Barlow Semi Condensed" w:eastAsia="Barlow Semi Condensed" w:hAnsi="Barlow Semi Condensed"/>
          <w:b/>
          <w:bCs/>
          <w:sz w:val="24"/>
          <w:szCs w:val="24"/>
        </w:rPr>
        <w:t xml:space="preserve">489 · Le lettere trattenute.</w:t>
      </w:r>
      <w:r>
        <w:rPr>
          <w:rFonts w:ascii="Barlow Semi Condensed" w:cs="Barlow Semi Condensed" w:eastAsia="Barlow Semi Condensed" w:hAnsi="Barlow Semi Condensed"/>
          <w:sz w:val="24"/>
          <w:szCs w:val="24"/>
        </w:rPr>
        <w:t xml:space="preserve"> Il corpus del non recapitato: le lettere trovate nei covi e mai giunte ai destinatari — la tavola del trattenuto con le ipotesi di selezione brigatista in forma ACH. La censura del carceriere è un comportamento: la sua logica si ricostruisce dal campione trattenuto.</w:t>
      </w:r>
    </w:p>
    <w:p>
      <w:pPr>
        <w:spacing w:after="120" w:line="276"/>
        <w:jc w:val="both"/>
      </w:pPr>
      <w:r>
        <w:rPr>
          <w:rFonts w:ascii="Barlow Semi Condensed" w:cs="Barlow Semi Condensed" w:eastAsia="Barlow Semi Condensed" w:hAnsi="Barlow Semi Condensed"/>
          <w:b/>
          <w:bCs/>
          <w:sz w:val="24"/>
          <w:szCs w:val="24"/>
        </w:rPr>
        <w:t xml:space="preserve">490 · Il giudizio di «inattendibilità».</w:t>
      </w:r>
      <w:r>
        <w:rPr>
          <w:rFonts w:ascii="Barlow Semi Condensed" w:cs="Barlow Semi Condensed" w:eastAsia="Barlow Semi Condensed" w:hAnsi="Barlow Semi Condensed"/>
          <w:sz w:val="24"/>
          <w:szCs w:val="24"/>
        </w:rPr>
        <w:t xml:space="preserve"> Il fascicolo dell'atto: la dichiarata non autenticità morale delle lettere («non moralmente a lui ascrivibili») — chi la formulò, in quale sede, su quale istruttoria (il blocco 219 dell'agenda, alla scala del cantiere). L'atto istituzionale che neutralizzò la voce del prigioniero ha una storia documentale: si scrive per intero.</w:t>
      </w:r>
    </w:p>
    <w:p>
      <w:pPr>
        <w:spacing w:after="120" w:line="276"/>
        <w:jc w:val="both"/>
      </w:pPr>
      <w:r>
        <w:rPr>
          <w:rFonts w:ascii="Barlow Semi Condensed" w:cs="Barlow Semi Condensed" w:eastAsia="Barlow Semi Condensed" w:hAnsi="Barlow Semi Condensed"/>
          <w:b/>
          <w:bCs/>
          <w:sz w:val="24"/>
          <w:szCs w:val="24"/>
        </w:rPr>
        <w:t xml:space="preserve">491 · La controprova della lucidità.</w:t>
      </w:r>
      <w:r>
        <w:rPr>
          <w:rFonts w:ascii="Barlow Semi Condensed" w:cs="Barlow Semi Condensed" w:eastAsia="Barlow Semi Condensed" w:hAnsi="Barlow Semi Condensed"/>
          <w:sz w:val="24"/>
          <w:szCs w:val="24"/>
        </w:rPr>
        <w:t xml:space="preserve"> L'analisi interna contro il giudizio d'epoca: la coerenza argomentativa, la memoria dei dettagli, la strategia retorica delle lettere — la tavola delle evidenze di lucidità che la critica ha stabilito. Il cantiere non processa i giudici del 1978: documenta ciò che il testo dimostra da sé.</w:t>
      </w:r>
    </w:p>
    <w:p>
      <w:pPr>
        <w:spacing w:after="120" w:line="276"/>
        <w:jc w:val="both"/>
      </w:pPr>
      <w:r>
        <w:rPr>
          <w:rFonts w:ascii="Barlow Semi Condensed" w:cs="Barlow Semi Condensed" w:eastAsia="Barlow Semi Condensed" w:hAnsi="Barlow Semi Condensed"/>
          <w:b/>
          <w:bCs/>
          <w:sz w:val="24"/>
          <w:szCs w:val="24"/>
        </w:rPr>
        <w:t xml:space="preserve">492 · Le lettere ai familiari.</w:t>
      </w:r>
      <w:r>
        <w:rPr>
          <w:rFonts w:ascii="Barlow Semi Condensed" w:cs="Barlow Semi Condensed" w:eastAsia="Barlow Semi Condensed" w:hAnsi="Barlow Semi Condensed"/>
          <w:sz w:val="24"/>
          <w:szCs w:val="24"/>
        </w:rPr>
        <w:t xml:space="preserve"> Il sotto-corpus privato: le lettere alla famiglia — censimento, tradizione, edizione — trattate con la priorità di rispetto del metodo. La voce privata del prigioniero appartiene prima di tutto ai suoi: il cantiere la studia con la misura che questo impone.</w:t>
      </w:r>
    </w:p>
    <w:p>
      <w:pPr>
        <w:spacing w:after="120" w:line="276"/>
        <w:jc w:val="both"/>
      </w:pPr>
      <w:r>
        <w:rPr>
          <w:rFonts w:ascii="Barlow Semi Condensed" w:cs="Barlow Semi Condensed" w:eastAsia="Barlow Semi Condensed" w:hAnsi="Barlow Semi Condensed"/>
          <w:b/>
          <w:bCs/>
          <w:sz w:val="24"/>
          <w:szCs w:val="24"/>
        </w:rPr>
        <w:t xml:space="preserve">493 · Le lettere politiche maggiori.</w:t>
      </w:r>
      <w:r>
        <w:rPr>
          <w:rFonts w:ascii="Barlow Semi Condensed" w:cs="Barlow Semi Condensed" w:eastAsia="Barlow Semi Condensed" w:hAnsi="Barlow Semi Condensed"/>
          <w:sz w:val="24"/>
          <w:szCs w:val="24"/>
        </w:rPr>
        <w:t xml:space="preserve"> Il sotto-corpus istituzionale: le lettere a Cossiga, Zaccagnini, Andreotti, Fanfani, Leone e agli altri destinatari politici — la scheda filologica di ciascuna (tradizione, recapito, ricezione documentata, risposta se vi fu). Ogni lettera maggiore è un atto politico con un fascicolo proprio: si scheda come tale.</w:t>
      </w:r>
    </w:p>
    <w:p>
      <w:pPr>
        <w:spacing w:after="120" w:line="276"/>
        <w:jc w:val="both"/>
      </w:pPr>
      <w:r>
        <w:rPr>
          <w:rFonts w:ascii="Barlow Semi Condensed" w:cs="Barlow Semi Condensed" w:eastAsia="Barlow Semi Condensed" w:hAnsi="Barlow Semi Condensed"/>
          <w:b/>
          <w:bCs/>
          <w:sz w:val="24"/>
          <w:szCs w:val="24"/>
        </w:rPr>
        <w:t xml:space="preserve">494 · La lettera al Papa.</w:t>
      </w:r>
      <w:r>
        <w:rPr>
          <w:rFonts w:ascii="Barlow Semi Condensed" w:cs="Barlow Semi Condensed" w:eastAsia="Barlow Semi Condensed" w:hAnsi="Barlow Semi Condensed"/>
          <w:sz w:val="24"/>
          <w:szCs w:val="24"/>
        </w:rPr>
        <w:t xml:space="preserve"> Il caso speciale: la corrispondenza col Vaticano — la tradizione, il recapito, il rapporto con la lettera pubblica di Paolo VI (il raccordo coi blocchi 196-198). Il carteggio più alto della prigionia attraversa due cantieri: la filologia qui, l'archivio chiuso là.</w:t>
      </w:r>
    </w:p>
    <w:p>
      <w:pPr>
        <w:spacing w:after="120" w:line="276"/>
        <w:jc w:val="both"/>
      </w:pPr>
      <w:r>
        <w:rPr>
          <w:rFonts w:ascii="Barlow Semi Condensed" w:cs="Barlow Semi Condensed" w:eastAsia="Barlow Semi Condensed" w:hAnsi="Barlow Semi Condensed"/>
          <w:b/>
          <w:bCs/>
          <w:sz w:val="24"/>
          <w:szCs w:val="24"/>
        </w:rPr>
        <w:t xml:space="preserve">495 · Le risposte mancate.</w:t>
      </w:r>
      <w:r>
        <w:rPr>
          <w:rFonts w:ascii="Barlow Semi Condensed" w:cs="Barlow Semi Condensed" w:eastAsia="Barlow Semi Condensed" w:hAnsi="Barlow Semi Condensed"/>
          <w:sz w:val="24"/>
          <w:szCs w:val="24"/>
        </w:rPr>
        <w:t xml:space="preserve"> La tavola delle non-risposte: chi ricevette e non rispose, chi rispose e come, dagli atti e dalle memorie collazionate. Il silenzio dei destinatari è un comportamento documentabile: la sua tavola è metà della storia politica delle lettere.</w:t>
      </w:r>
    </w:p>
    <w:p>
      <w:pPr>
        <w:spacing w:after="120" w:line="276"/>
        <w:jc w:val="both"/>
      </w:pPr>
      <w:r>
        <w:rPr>
          <w:rFonts w:ascii="Barlow Semi Condensed" w:cs="Barlow Semi Condensed" w:eastAsia="Barlow Semi Condensed" w:hAnsi="Barlow Semi Condensed"/>
          <w:b/>
          <w:bCs/>
          <w:sz w:val="24"/>
          <w:szCs w:val="24"/>
        </w:rPr>
        <w:t xml:space="preserve">496 · La ricezione pubblica d'epoca.</w:t>
      </w:r>
      <w:r>
        <w:rPr>
          <w:rFonts w:ascii="Barlow Semi Condensed" w:cs="Barlow Semi Condensed" w:eastAsia="Barlow Semi Condensed" w:hAnsi="Barlow Semi Condensed"/>
          <w:sz w:val="24"/>
          <w:szCs w:val="24"/>
        </w:rPr>
        <w:t xml:space="preserve"> La cronologia della pubblicazione: quali lettere uscirono sui giornali durante i 55 giorni, quando, per quale via — la tavola delle fughe e delle pubblicazioni con le loro fonti. Ogni lettera pubblicata fu un evento della crisi: la sua via di pubblicazione è un quesito logistico.</w:t>
      </w:r>
    </w:p>
    <w:p>
      <w:pPr>
        <w:spacing w:after="120" w:line="276"/>
        <w:jc w:val="both"/>
      </w:pPr>
      <w:r>
        <w:rPr>
          <w:rFonts w:ascii="Barlow Semi Condensed" w:cs="Barlow Semi Condensed" w:eastAsia="Barlow Semi Condensed" w:hAnsi="Barlow Semi Condensed"/>
          <w:b/>
          <w:bCs/>
          <w:sz w:val="24"/>
          <w:szCs w:val="24"/>
        </w:rPr>
        <w:t xml:space="preserve">497 · Il lessico del prigioniero.</w:t>
      </w:r>
      <w:r>
        <w:rPr>
          <w:rFonts w:ascii="Barlow Semi Condensed" w:cs="Barlow Semi Condensed" w:eastAsia="Barlow Semi Condensed" w:hAnsi="Barlow Semi Condensed"/>
          <w:sz w:val="24"/>
          <w:szCs w:val="24"/>
        </w:rPr>
        <w:t xml:space="preserve"> L'analisi linguistica del corpus (gli studi accademici esistenti censiti dalla verifica): il lessico, la sintassi, le formule di Moro prigioniero contro il Moro pubblico — la tavola delle continuità e delle fratture. La lingua è l'impronta digitale del pensiero: la sua analisi è già cominciata in accademia, e il cantiere la sistematizza.</w:t>
      </w:r>
    </w:p>
    <w:p>
      <w:pPr>
        <w:spacing w:after="120" w:line="276"/>
        <w:jc w:val="both"/>
      </w:pPr>
      <w:r>
        <w:rPr>
          <w:rFonts w:ascii="Barlow Semi Condensed" w:cs="Barlow Semi Condensed" w:eastAsia="Barlow Semi Condensed" w:hAnsi="Barlow Semi Condensed"/>
          <w:b/>
          <w:bCs/>
          <w:sz w:val="24"/>
          <w:szCs w:val="24"/>
        </w:rPr>
        <w:t xml:space="preserve">498 · La stilometria che manca.</w:t>
      </w:r>
      <w:r>
        <w:rPr>
          <w:rFonts w:ascii="Barlow Semi Condensed" w:cs="Barlow Semi Condensed" w:eastAsia="Barlow Semi Condensed" w:hAnsi="Barlow Semi Condensed"/>
          <w:sz w:val="24"/>
          <w:szCs w:val="24"/>
        </w:rPr>
        <w:t xml:space="preserve"> L'esito negativo verificato e il bersaglio che ne nasce: non risulta alcuno studio stilometrico quantitativo sul memoriale e sui comunicati — il cantiere lo commissiona (il blocco 202 dell'agenda, ora con la certezza del vuoto): corpus di confronto dichiarato, metodo pubblicato, limiti stampati. Il primo studio attributivo computazionale del caso: da fare, finalmente.</w:t>
      </w:r>
    </w:p>
    <w:p>
      <w:pPr>
        <w:spacing w:after="120" w:line="276"/>
        <w:jc w:val="both"/>
      </w:pPr>
      <w:r>
        <w:rPr>
          <w:rFonts w:ascii="Barlow Semi Condensed" w:cs="Barlow Semi Condensed" w:eastAsia="Barlow Semi Condensed" w:hAnsi="Barlow Semi Condensed"/>
          <w:b/>
          <w:bCs/>
          <w:sz w:val="24"/>
          <w:szCs w:val="24"/>
        </w:rPr>
        <w:t xml:space="preserve">499 · Le lettere e il memoriale, i rimandi.</w:t>
      </w:r>
      <w:r>
        <w:rPr>
          <w:rFonts w:ascii="Barlow Semi Condensed" w:cs="Barlow Semi Condensed" w:eastAsia="Barlow Semi Condensed" w:hAnsi="Barlow Semi Condensed"/>
          <w:sz w:val="24"/>
          <w:szCs w:val="24"/>
        </w:rPr>
        <w:t xml:space="preserve"> L'esecuzione del blocco 479: la tavola dei rimandi fra corpus epistolare e memoriale — i temi che migrano, le formule che tornano, le strategie parallele. Il prigioniero conduceva due scritture: la loro sincronia è una cronologia interna in più.</w:t>
      </w:r>
    </w:p>
    <w:p>
      <w:pPr>
        <w:spacing w:after="120" w:line="276"/>
        <w:jc w:val="both"/>
      </w:pPr>
      <w:r>
        <w:rPr>
          <w:rFonts w:ascii="Barlow Semi Condensed" w:cs="Barlow Semi Condensed" w:eastAsia="Barlow Semi Condensed" w:hAnsi="Barlow Semi Condensed"/>
          <w:b/>
          <w:bCs/>
          <w:sz w:val="24"/>
          <w:szCs w:val="24"/>
        </w:rPr>
        <w:t xml:space="preserve">500 · Il cinquecentesimo blocco: la voce restituita.</w:t>
      </w:r>
      <w:r>
        <w:rPr>
          <w:rFonts w:ascii="Barlow Semi Condensed" w:cs="Barlow Semi Condensed" w:eastAsia="Barlow Semi Condensed" w:hAnsi="Barlow Semi Condensed"/>
          <w:sz w:val="24"/>
          <w:szCs w:val="24"/>
        </w:rPr>
        <w:t xml:space="preserve"> Il senso della sezione, a metà dell'opera: la filologia delle lettere è la restituzione di una voce che un atto d'epoca dichiarò inattendibile — non per ribaltare quel giudizio in tribunale, ma per documentare, carta per carta, che cosa quella voce disse davvero. Cinquecento blocchi: e al centro, un uomo che scrive.</w:t>
      </w:r>
    </w:p>
    <w:p>
      <w:pPr>
        <w:spacing w:after="120" w:line="276"/>
        <w:jc w:val="both"/>
      </w:pPr>
      <w:r>
        <w:rPr>
          <w:rFonts w:ascii="Barlow Semi Condensed" w:cs="Barlow Semi Condensed" w:eastAsia="Barlow Semi Condensed" w:hAnsi="Barlow Semi Condensed"/>
          <w:b/>
          <w:bCs/>
          <w:sz w:val="24"/>
          <w:szCs w:val="24"/>
        </w:rPr>
        <w:t xml:space="preserve">501 · L'edizione integrale commentata.</w:t>
      </w:r>
      <w:r>
        <w:rPr>
          <w:rFonts w:ascii="Barlow Semi Condensed" w:cs="Barlow Semi Condensed" w:eastAsia="Barlow Semi Condensed" w:hAnsi="Barlow Semi Condensed"/>
          <w:sz w:val="24"/>
          <w:szCs w:val="24"/>
        </w:rPr>
        <w:t xml:space="preserve"> Il progetto editoriale della sezione: l'edizione integrale digitale del corpus della prigionia — lettere e memoriale, con apparati, recapiti, ricezione — in raccordo con l'Edizione nazionale bolognese. Lo strumento definitivo, costruito una volta per tutte le generazioni successive.</w:t>
      </w:r>
    </w:p>
    <w:p>
      <w:pPr>
        <w:spacing w:after="120" w:line="276"/>
        <w:jc w:val="both"/>
      </w:pPr>
      <w:r>
        <w:rPr>
          <w:rFonts w:ascii="Barlow Semi Condensed" w:cs="Barlow Semi Condensed" w:eastAsia="Barlow Semi Condensed" w:hAnsi="Barlow Semi Condensed"/>
          <w:b/>
          <w:bCs/>
          <w:sz w:val="24"/>
          <w:szCs w:val="24"/>
        </w:rPr>
        <w:t xml:space="preserve">502 · Le lettere degli altri.</w:t>
      </w:r>
      <w:r>
        <w:rPr>
          <w:rFonts w:ascii="Barlow Semi Condensed" w:cs="Barlow Semi Condensed" w:eastAsia="Barlow Semi Condensed" w:hAnsi="Barlow Semi Condensed"/>
          <w:sz w:val="24"/>
          <w:szCs w:val="24"/>
        </w:rPr>
        <w:t xml:space="preserve"> Il corpus speculare: le lettere scritte A Moro prigioniero — gli appelli, i messaggi pubblici, le risposte tentate: censimento e tradizione. Il dialogo fu asimmetrico ma non muto: l'altra metà della corrispondenza si censisce anch'essa.</w:t>
      </w:r>
    </w:p>
    <w:p>
      <w:pPr>
        <w:spacing w:after="120" w:line="276"/>
        <w:jc w:val="both"/>
      </w:pPr>
      <w:r>
        <w:rPr>
          <w:rFonts w:ascii="Barlow Semi Condensed" w:cs="Barlow Semi Condensed" w:eastAsia="Barlow Semi Condensed" w:hAnsi="Barlow Semi Condensed"/>
          <w:b/>
          <w:bCs/>
          <w:sz w:val="24"/>
          <w:szCs w:val="24"/>
        </w:rPr>
        <w:t xml:space="preserve">503 · Gli appelli pubblici.</w:t>
      </w:r>
      <w:r>
        <w:rPr>
          <w:rFonts w:ascii="Barlow Semi Condensed" w:cs="Barlow Semi Condensed" w:eastAsia="Barlow Semi Condensed" w:hAnsi="Barlow Semi Condensed"/>
          <w:sz w:val="24"/>
          <w:szCs w:val="24"/>
        </w:rPr>
        <w:t xml:space="preserve"> La tavola degli appelli dei 55 giorni — il Papa, l'ONU (Waldheim), Amnesty, le personalità: testi, date, risposte brigatiste nei comunicati. La retorica pubblica della crisi come corpus datato: chi chiese che cosa, e che cosa rispose la colonna sonora dei comunicati.</w:t>
      </w:r>
    </w:p>
    <w:p>
      <w:pPr>
        <w:spacing w:after="120" w:line="276"/>
        <w:jc w:val="both"/>
      </w:pPr>
      <w:r>
        <w:rPr>
          <w:rFonts w:ascii="Barlow Semi Condensed" w:cs="Barlow Semi Condensed" w:eastAsia="Barlow Semi Condensed" w:hAnsi="Barlow Semi Condensed"/>
          <w:b/>
          <w:bCs/>
          <w:sz w:val="24"/>
          <w:szCs w:val="24"/>
        </w:rPr>
        <w:t xml:space="preserve">504 · La famiglia e le sue parole.</w:t>
      </w:r>
      <w:r>
        <w:rPr>
          <w:rFonts w:ascii="Barlow Semi Condensed" w:cs="Barlow Semi Condensed" w:eastAsia="Barlow Semi Condensed" w:hAnsi="Barlow Semi Condensed"/>
          <w:sz w:val="24"/>
          <w:szCs w:val="24"/>
        </w:rPr>
        <w:t xml:space="preserve"> I comunicati e le lettere della famiglia Moro durante la crisi: censimento e cronologia, con la priorità di rispetto. La voce della famiglia fu un attore della crisi: si documenta con la misura dovuta e la completezza necessaria.</w:t>
      </w:r>
    </w:p>
    <w:p>
      <w:pPr>
        <w:spacing w:after="120" w:line="276"/>
        <w:jc w:val="both"/>
      </w:pPr>
      <w:r>
        <w:rPr>
          <w:rFonts w:ascii="Barlow Semi Condensed" w:cs="Barlow Semi Condensed" w:eastAsia="Barlow Semi Condensed" w:hAnsi="Barlow Semi Condensed"/>
          <w:b/>
          <w:bCs/>
          <w:sz w:val="24"/>
          <w:szCs w:val="24"/>
        </w:rPr>
        <w:t xml:space="preserve">505 · Le carte dei destinatari.</w:t>
      </w:r>
      <w:r>
        <w:rPr>
          <w:rFonts w:ascii="Barlow Semi Condensed" w:cs="Barlow Semi Condensed" w:eastAsia="Barlow Semi Condensed" w:hAnsi="Barlow Semi Condensed"/>
          <w:sz w:val="24"/>
          <w:szCs w:val="24"/>
        </w:rPr>
        <w:t xml:space="preserve"> Il raccordo coi fondi (Parte terza): per ogni lettera maggiore, che cosa il fondo del destinatario conserva — l'originale ricevuto, le minute di risposta, le annotazioni. La ricomposizione dei carteggi attraverso i fondi (il blocco 234, eseguito per la prigionia).</w:t>
      </w:r>
    </w:p>
    <w:p>
      <w:pPr>
        <w:spacing w:after="120" w:line="276"/>
        <w:jc w:val="both"/>
      </w:pPr>
      <w:r>
        <w:rPr>
          <w:rFonts w:ascii="Barlow Semi Condensed" w:cs="Barlow Semi Condensed" w:eastAsia="Barlow Semi Condensed" w:hAnsi="Barlow Semi Condensed"/>
          <w:b/>
          <w:bCs/>
          <w:sz w:val="24"/>
          <w:szCs w:val="24"/>
        </w:rPr>
        <w:t xml:space="preserve">506 · Il facsimile e la fruizione.</w:t>
      </w:r>
      <w:r>
        <w:rPr>
          <w:rFonts w:ascii="Barlow Semi Condensed" w:cs="Barlow Semi Condensed" w:eastAsia="Barlow Semi Condensed" w:hAnsi="Barlow Semi Condensed"/>
          <w:sz w:val="24"/>
          <w:szCs w:val="24"/>
        </w:rPr>
        <w:t xml:space="preserve"> Il progetto di fruizione: i facsimili digitali ad alta definizione del corpus, liberamente consultabili con gli apparati. La voce del prigioniero come patrimonio pubblico leggibile alla carta: la digitalizzazione è restituzione civile, non solo tecnica.</w:t>
      </w:r>
    </w:p>
    <w:p>
      <w:pPr>
        <w:spacing w:after="120" w:line="276"/>
        <w:jc w:val="both"/>
      </w:pPr>
      <w:r>
        <w:rPr>
          <w:rFonts w:ascii="Barlow Semi Condensed" w:cs="Barlow Semi Condensed" w:eastAsia="Barlow Semi Condensed" w:hAnsi="Barlow Semi Condensed"/>
          <w:b/>
          <w:bCs/>
          <w:sz w:val="24"/>
          <w:szCs w:val="24"/>
        </w:rPr>
        <w:t xml:space="preserve">507 · Le falsificazioni epistolari.</w:t>
      </w:r>
      <w:r>
        <w:rPr>
          <w:rFonts w:ascii="Barlow Semi Condensed" w:cs="Barlow Semi Condensed" w:eastAsia="Barlow Semi Condensed" w:hAnsi="Barlow Semi Condensed"/>
          <w:sz w:val="24"/>
          <w:szCs w:val="24"/>
        </w:rPr>
        <w:t xml:space="preserve"> Il registro dei falsi epistolari del caso (lettere apocrife circolate nei decenni): censimento, perizie, catalogo (il raccordo col blocco 441). Anche la voce di Moro ha i suoi falsari: il catalogo dei falsi protegge il canone.</w:t>
      </w:r>
    </w:p>
    <w:p>
      <w:pPr>
        <w:spacing w:after="120" w:line="276"/>
        <w:jc w:val="both"/>
      </w:pPr>
      <w:r>
        <w:rPr>
          <w:rFonts w:ascii="Barlow Semi Condensed" w:cs="Barlow Semi Condensed" w:eastAsia="Barlow Semi Condensed" w:hAnsi="Barlow Semi Condensed"/>
          <w:b/>
          <w:bCs/>
          <w:sz w:val="24"/>
          <w:szCs w:val="24"/>
        </w:rPr>
        <w:t xml:space="preserve">508 · La didattica delle lettere.</w:t>
      </w:r>
      <w:r>
        <w:rPr>
          <w:rFonts w:ascii="Barlow Semi Condensed" w:cs="Barlow Semi Condensed" w:eastAsia="Barlow Semi Condensed" w:hAnsi="Barlow Semi Condensed"/>
          <w:sz w:val="24"/>
          <w:szCs w:val="24"/>
        </w:rPr>
        <w:t xml:space="preserve"> Il progetto scolastico della sezione: le lettere nella didattica della memoria repubblicana — la selezione commentata per le scuole, col metodo del corpus. La pagina più alta e più dolorosa della Prima repubblica si insegna: il cantiere prepara l'edizione per farlo bene.</w:t>
      </w:r>
    </w:p>
    <w:p>
      <w:pPr>
        <w:spacing w:after="120" w:line="276"/>
        <w:jc w:val="both"/>
      </w:pPr>
      <w:r>
        <w:rPr>
          <w:rFonts w:ascii="Barlow Semi Condensed" w:cs="Barlow Semi Condensed" w:eastAsia="Barlow Semi Condensed" w:hAnsi="Barlow Semi Condensed"/>
          <w:b/>
          <w:bCs/>
          <w:sz w:val="24"/>
          <w:szCs w:val="24"/>
        </w:rPr>
        <w:t xml:space="preserve">509 · I vuoti epistolari.</w:t>
      </w:r>
      <w:r>
        <w:rPr>
          <w:rFonts w:ascii="Barlow Semi Condensed" w:cs="Barlow Semi Condensed" w:eastAsia="Barlow Semi Condensed" w:hAnsi="Barlow Semi Condensed"/>
          <w:sz w:val="24"/>
          <w:szCs w:val="24"/>
        </w:rPr>
        <w:t xml:space="preserve"> Il verbale dei vuoti: le lettere menzionate e mai trovate, i destinatari incerti, le tradizioni interrotte — lo Stato Zero epistolare, perimetrato. Anche il canone ha i suoi fantasmi: si contano come tutto il resto.</w:t>
      </w:r>
    </w:p>
    <w:p>
      <w:pPr>
        <w:spacing w:after="120" w:line="276"/>
        <w:jc w:val="both"/>
      </w:pPr>
      <w:r>
        <w:rPr>
          <w:rFonts w:ascii="Barlow Semi Condensed" w:cs="Barlow Semi Condensed" w:eastAsia="Barlow Semi Condensed" w:hAnsi="Barlow Semi Condensed"/>
          <w:b/>
          <w:bCs/>
          <w:sz w:val="24"/>
          <w:szCs w:val="24"/>
        </w:rPr>
        <w:t xml:space="preserve">510 · La tavola delle lettere.</w:t>
      </w:r>
      <w:r>
        <w:rPr>
          <w:rFonts w:ascii="Barlow Semi Condensed" w:cs="Barlow Semi Condensed" w:eastAsia="Barlow Semi Condensed" w:hAnsi="Barlow Semi Condensed"/>
          <w:sz w:val="24"/>
          <w:szCs w:val="24"/>
        </w:rPr>
        <w:t xml:space="preserve"> La chiusura della sezione: il canone censito, i recapiti tabulati, le edizioni collazionate, i progetti avviati. La filologia delle lettere consegna la sua contabilità — e la voce, restituita, resta.</w:t>
      </w:r>
    </w:p>
    <w:p>
      <w:pPr>
        <w:pStyle w:val="Heading3"/>
        <w:spacing w:after="80" w:before="160"/>
      </w:pPr>
      <w:r>
        <w:rPr>
          <w:rFonts w:ascii="Barlow Semi Condensed" w:cs="Barlow Semi Condensed" w:eastAsia="Barlow Semi Condensed" w:hAnsi="Barlow Semi Condensed"/>
          <w:sz w:val="24"/>
          <w:szCs w:val="24"/>
        </w:rPr>
        <w:t xml:space="preserve">I comunicati e i falsi (blocchi 511-535)</w:t>
      </w:r>
    </w:p>
    <w:p>
      <w:pPr>
        <w:spacing w:after="120" w:line="276"/>
        <w:jc w:val="both"/>
      </w:pPr>
      <w:r>
        <w:rPr>
          <w:rFonts w:ascii="Barlow Semi Condensed" w:cs="Barlow Semi Condensed" w:eastAsia="Barlow Semi Condensed" w:hAnsi="Barlow Semi Condensed"/>
          <w:b/>
          <w:bCs/>
          <w:sz w:val="24"/>
          <w:szCs w:val="24"/>
        </w:rPr>
        <w:t xml:space="preserve">511 · Il canone dei nove.</w:t>
      </w:r>
      <w:r>
        <w:rPr>
          <w:rFonts w:ascii="Barlow Semi Condensed" w:cs="Barlow Semi Condensed" w:eastAsia="Barlow Semi Condensed" w:hAnsi="Barlow Semi Condensed"/>
          <w:sz w:val="24"/>
          <w:szCs w:val="24"/>
        </w:rPr>
        <w:t xml:space="preserve"> Il fatto verificato: i nove comunicati autentici del sequestro, con le date fissate dagli strumenti della Direzione generale Archivi — n. 1 (16 marzo), n. 2 (25 marzo), n. 3 (29 marzo), n. 4 (4 aprile), n. 5 (10 aprile), n. 6 (15 aprile), n. 7 (20 aprile), n. 8 (24 aprile), n. 9 (5 maggio 1978). Il canone datato è il telaio della sezione: ogni analisi vi si aggancia.</w:t>
      </w:r>
    </w:p>
    <w:p>
      <w:pPr>
        <w:spacing w:after="120" w:line="276"/>
        <w:jc w:val="both"/>
      </w:pPr>
      <w:r>
        <w:rPr>
          <w:rFonts w:ascii="Barlow Semi Condensed" w:cs="Barlow Semi Condensed" w:eastAsia="Barlow Semi Condensed" w:hAnsi="Barlow Semi Condensed"/>
          <w:b/>
          <w:bCs/>
          <w:sz w:val="24"/>
          <w:szCs w:val="24"/>
        </w:rPr>
        <w:t xml:space="preserve">512 · Le emissioni multiple.</w:t>
      </w:r>
      <w:r>
        <w:rPr>
          <w:rFonts w:ascii="Barlow Semi Condensed" w:cs="Barlow Semi Condensed" w:eastAsia="Barlow Semi Condensed" w:hAnsi="Barlow Semi Condensed"/>
          <w:sz w:val="24"/>
          <w:szCs w:val="24"/>
        </w:rPr>
        <w:t xml:space="preserve"> Il dato materiale verificato: ogni comunicato fu diffuso in più copie ciclostilate fatte ritrovare contemporaneamente in più città — non esiste un unico originale. La tavola delle emissioni: per ogni comunicato, i luoghi e gli orari dei ritrovamenti, dagli atti — la geografia della propaganda come logistica documentata.</w:t>
      </w:r>
    </w:p>
    <w:p>
      <w:pPr>
        <w:spacing w:after="120" w:line="276"/>
        <w:jc w:val="both"/>
      </w:pPr>
      <w:r>
        <w:rPr>
          <w:rFonts w:ascii="Barlow Semi Condensed" w:cs="Barlow Semi Condensed" w:eastAsia="Barlow Semi Condensed" w:hAnsi="Barlow Semi Condensed"/>
          <w:b/>
          <w:bCs/>
          <w:sz w:val="24"/>
          <w:szCs w:val="24"/>
        </w:rPr>
        <w:t xml:space="preserve">513 · La rete dei ritrovamenti.</w:t>
      </w:r>
      <w:r>
        <w:rPr>
          <w:rFonts w:ascii="Barlow Semi Condensed" w:cs="Barlow Semi Condensed" w:eastAsia="Barlow Semi Condensed" w:hAnsi="Barlow Semi Condensed"/>
          <w:sz w:val="24"/>
          <w:szCs w:val="24"/>
        </w:rPr>
        <w:t xml:space="preserve"> L'analisi della logistica: chi telefonava, a quali redazioni, con quali formule — la tavola delle telefonate di annuncio e dei cestini. La distribuzione era un'operazione in sé, ripetuta nove volte: la sua struttura documentata è un ritratto operativo della colonna.</w:t>
      </w:r>
    </w:p>
    <w:p>
      <w:pPr>
        <w:spacing w:after="120" w:line="276"/>
        <w:jc w:val="both"/>
      </w:pPr>
      <w:r>
        <w:rPr>
          <w:rFonts w:ascii="Barlow Semi Condensed" w:cs="Barlow Semi Condensed" w:eastAsia="Barlow Semi Condensed" w:hAnsi="Barlow Semi Condensed"/>
          <w:b/>
          <w:bCs/>
          <w:sz w:val="24"/>
          <w:szCs w:val="24"/>
        </w:rPr>
        <w:t xml:space="preserve">514 · Il lessico dei comunicati.</w:t>
      </w:r>
      <w:r>
        <w:rPr>
          <w:rFonts w:ascii="Barlow Semi Condensed" w:cs="Barlow Semi Condensed" w:eastAsia="Barlow Semi Condensed" w:hAnsi="Barlow Semi Condensed"/>
          <w:sz w:val="24"/>
          <w:szCs w:val="24"/>
        </w:rPr>
        <w:t xml:space="preserve"> L'analisi linguistica del corpus brigatista (gli studi censiti: l'analisi di Matteo Re e la letteratura accademica): formule, sintassi, evoluzione lungo i 55 giorni. La lingua dell'organizzazione come oggetto: che cosa cambia dal n. 1 al n. 9, e che cosa il cambiamento dice.</w:t>
      </w:r>
    </w:p>
    <w:p>
      <w:pPr>
        <w:spacing w:after="120" w:line="276"/>
        <w:jc w:val="both"/>
      </w:pPr>
      <w:r>
        <w:rPr>
          <w:rFonts w:ascii="Barlow Semi Condensed" w:cs="Barlow Semi Condensed" w:eastAsia="Barlow Semi Condensed" w:hAnsi="Barlow Semi Condensed"/>
          <w:b/>
          <w:bCs/>
          <w:sz w:val="24"/>
          <w:szCs w:val="24"/>
        </w:rPr>
        <w:t xml:space="preserve">515 · La «risoluzione» e i comunicati.</w:t>
      </w:r>
      <w:r>
        <w:rPr>
          <w:rFonts w:ascii="Barlow Semi Condensed" w:cs="Barlow Semi Condensed" w:eastAsia="Barlow Semi Condensed" w:hAnsi="Barlow Semi Condensed"/>
          <w:sz w:val="24"/>
          <w:szCs w:val="24"/>
        </w:rPr>
        <w:t xml:space="preserve"> Il confronto interno: i comunicati contro la Risoluzione della direzione strategica e i documenti organici coevi — la tavola delle coerenze dottrinali. Il sequestro fu anche un'operazione ideologica: la sua coerenza documentale interna si misura.</w:t>
      </w:r>
    </w:p>
    <w:p>
      <w:pPr>
        <w:spacing w:after="120" w:line="276"/>
        <w:jc w:val="both"/>
      </w:pPr>
      <w:r>
        <w:rPr>
          <w:rFonts w:ascii="Barlow Semi Condensed" w:cs="Barlow Semi Condensed" w:eastAsia="Barlow Semi Condensed" w:hAnsi="Barlow Semi Condensed"/>
          <w:b/>
          <w:bCs/>
          <w:sz w:val="24"/>
          <w:szCs w:val="24"/>
        </w:rPr>
        <w:t xml:space="preserve">516 · Il comunicato n. 7 vero.</w:t>
      </w:r>
      <w:r>
        <w:rPr>
          <w:rFonts w:ascii="Barlow Semi Condensed" w:cs="Barlow Semi Condensed" w:eastAsia="Barlow Semi Condensed" w:hAnsi="Barlow Semi Condensed"/>
          <w:sz w:val="24"/>
          <w:szCs w:val="24"/>
        </w:rPr>
        <w:t xml:space="preserve"> La scheda dedicata: il comunicato del 20 aprile — la fotografia con la Repubblica del 19, il testo, il contesto (due giorni dopo il falso). Il documento che smentì il falso è anche la prova di vita più celebre del caso: la sua scheda integra materia (la foto: blocco 425) e testo.</w:t>
      </w:r>
    </w:p>
    <w:p>
      <w:pPr>
        <w:spacing w:after="120" w:line="276"/>
        <w:jc w:val="both"/>
      </w:pPr>
      <w:r>
        <w:rPr>
          <w:rFonts w:ascii="Barlow Semi Condensed" w:cs="Barlow Semi Condensed" w:eastAsia="Barlow Semi Condensed" w:hAnsi="Barlow Semi Condensed"/>
          <w:b/>
          <w:bCs/>
          <w:sz w:val="24"/>
          <w:szCs w:val="24"/>
        </w:rPr>
        <w:t xml:space="preserve">517 · Il falso del 18 aprile, la scheda.</w:t>
      </w:r>
      <w:r>
        <w:rPr>
          <w:rFonts w:ascii="Barlow Semi Condensed" w:cs="Barlow Semi Condensed" w:eastAsia="Barlow Semi Condensed" w:hAnsi="Barlow Semi Condensed"/>
          <w:sz w:val="24"/>
          <w:szCs w:val="24"/>
        </w:rPr>
        <w:t xml:space="preserve"> Il fatto verificato nella sua interezza: la telefonata anonima delle 9:25 al Messaggero, il ritrovamento in piazza Gioacchino Belli, l'annuncio del corpo «nei fondali limacciosi» del Lago della Duchessa — falso. Con due precisazioni che pesano: le verifiche tecniche dell'aprile 1978 non ne riconobbero la falsità; e l'attribuzione a Chichiarelli è istruttoria e peritale, emersa postuma dalle indagini sulla rapina Brink's, mai giudicata (ucciso prima di ogni contestazione). La scheda del falso più famoso della Repubblica, coi suoi gradi esatti.</w:t>
      </w:r>
    </w:p>
    <w:p>
      <w:pPr>
        <w:spacing w:after="120" w:line="276"/>
        <w:jc w:val="both"/>
      </w:pPr>
      <w:r>
        <w:rPr>
          <w:rFonts w:ascii="Barlow Semi Condensed" w:cs="Barlow Semi Condensed" w:eastAsia="Barlow Semi Condensed" w:hAnsi="Barlow Semi Condensed"/>
          <w:b/>
          <w:bCs/>
          <w:sz w:val="24"/>
          <w:szCs w:val="24"/>
        </w:rPr>
        <w:t xml:space="preserve">518 · Il giorno triplo, dal lato del falso.</w:t>
      </w:r>
      <w:r>
        <w:rPr>
          <w:rFonts w:ascii="Barlow Semi Condensed" w:cs="Barlow Semi Condensed" w:eastAsia="Barlow Semi Condensed" w:hAnsi="Barlow Semi Condensed"/>
          <w:sz w:val="24"/>
          <w:szCs w:val="24"/>
        </w:rPr>
        <w:t xml:space="preserve"> Il 18 aprile come sistema: il falso comunicato, l'acqua di via Gradoli, la perquisizione del covo — la tavola oraria integrale (il blocco 250 dell'agenda, eseguito dal versante documentale del falso). Tre eventi in un giorno: la loro sequenza oraria è il quesito, la coincidenza è l'ipotesi da testare — non la tesi.</w:t>
      </w:r>
    </w:p>
    <w:p>
      <w:pPr>
        <w:spacing w:after="120" w:line="276"/>
        <w:jc w:val="both"/>
      </w:pPr>
      <w:r>
        <w:rPr>
          <w:rFonts w:ascii="Barlow Semi Condensed" w:cs="Barlow Semi Condensed" w:eastAsia="Barlow Semi Condensed" w:hAnsi="Barlow Semi Condensed"/>
          <w:b/>
          <w:bCs/>
          <w:sz w:val="24"/>
          <w:szCs w:val="24"/>
        </w:rPr>
        <w:t xml:space="preserve">519 · La spedizione al lago.</w:t>
      </w:r>
      <w:r>
        <w:rPr>
          <w:rFonts w:ascii="Barlow Semi Condensed" w:cs="Barlow Semi Condensed" w:eastAsia="Barlow Semi Condensed" w:hAnsi="Barlow Semi Condensed"/>
          <w:sz w:val="24"/>
          <w:szCs w:val="24"/>
        </w:rPr>
        <w:t xml:space="preserve"> L'operazione del Lago della Duchessa in atti: i sommozzatori, i verbali, le immagini — la ricostruzione documentale della ricerca del corpo che non c'era. Lo Stato mobilitato da un falso: l'operazione è essa stessa un documento sull'efficacia del depistaggio.</w:t>
      </w:r>
    </w:p>
    <w:p>
      <w:pPr>
        <w:spacing w:after="120" w:line="276"/>
        <w:jc w:val="both"/>
      </w:pPr>
      <w:r>
        <w:rPr>
          <w:rFonts w:ascii="Barlow Semi Condensed" w:cs="Barlow Semi Condensed" w:eastAsia="Barlow Semi Condensed" w:hAnsi="Barlow Semi Condensed"/>
          <w:b/>
          <w:bCs/>
          <w:sz w:val="24"/>
          <w:szCs w:val="24"/>
        </w:rPr>
        <w:t xml:space="preserve">520 · Il falso n. 10.</w:t>
      </w:r>
      <w:r>
        <w:rPr>
          <w:rFonts w:ascii="Barlow Semi Condensed" w:cs="Barlow Semi Condensed" w:eastAsia="Barlow Semi Condensed" w:hAnsi="Barlow Semi Condensed"/>
          <w:sz w:val="24"/>
          <w:szCs w:val="24"/>
        </w:rPr>
        <w:t xml:space="preserve"> Il secondo falso segnalato dalle fonti: il censimento documentale del falso comunicato successivo attribuito alla stessa mano — testo, ritrovamento, perizie. La famiglia dei falsi si studia unita: due pezzi, una tecnica, un quesito sulla genesi.</w:t>
      </w:r>
    </w:p>
    <w:p>
      <w:pPr>
        <w:spacing w:after="120" w:line="276"/>
        <w:jc w:val="both"/>
      </w:pPr>
      <w:r>
        <w:rPr>
          <w:rFonts w:ascii="Barlow Semi Condensed" w:cs="Barlow Semi Condensed" w:eastAsia="Barlow Semi Condensed" w:hAnsi="Barlow Semi Condensed"/>
          <w:b/>
          <w:bCs/>
          <w:sz w:val="24"/>
          <w:szCs w:val="24"/>
        </w:rPr>
        <w:t xml:space="preserve">521 · La mano e la macchina del falso.</w:t>
      </w:r>
      <w:r>
        <w:rPr>
          <w:rFonts w:ascii="Barlow Semi Condensed" w:cs="Barlow Semi Condensed" w:eastAsia="Barlow Semi Condensed" w:hAnsi="Barlow Semi Condensed"/>
          <w:sz w:val="24"/>
          <w:szCs w:val="24"/>
        </w:rPr>
        <w:t xml:space="preserve"> Il nodo tecnico dichiarato: la divergenza registrata fra le fonti sulla testina IBM del borsello (compatibile o no coi falsi) — da chiudere in perizia moderna (il blocco 435, dal versante testuale). Il falso ha una meccanica: la sua chiusura tecnica è il bersaglio più maturo della sezione.</w:t>
      </w:r>
    </w:p>
    <w:p>
      <w:pPr>
        <w:spacing w:after="120" w:line="276"/>
        <w:jc w:val="both"/>
      </w:pPr>
      <w:r>
        <w:rPr>
          <w:rFonts w:ascii="Barlow Semi Condensed" w:cs="Barlow Semi Condensed" w:eastAsia="Barlow Semi Condensed" w:hAnsi="Barlow Semi Condensed"/>
          <w:b/>
          <w:bCs/>
          <w:sz w:val="24"/>
          <w:szCs w:val="24"/>
        </w:rPr>
        <w:t xml:space="preserve">522 · Chichiarelli, la scheda personalistica.</w:t>
      </w:r>
      <w:r>
        <w:rPr>
          <w:rFonts w:ascii="Barlow Semi Condensed" w:cs="Barlow Semi Condensed" w:eastAsia="Barlow Semi Condensed" w:hAnsi="Barlow Semi Condensed"/>
          <w:sz w:val="24"/>
          <w:szCs w:val="24"/>
        </w:rPr>
        <w:t xml:space="preserve"> La scheda dell'uomo, con la disciplina del corpus: Antonio Chichiarelli, falsario legato agli ambienti della banda della Magliana secondo gli accertamenti istruttori, autore peritale del falso n. 7, ucciso a Roma nella notte del 28 settembre 1984 (quartiere Talenti, la compagna ferita) — omicidio mai risolto. Fatti, gradi, e nessuna colpa oltre gli atti: la regola personalistica al lavoro sul caso più torbido.</w:t>
      </w:r>
    </w:p>
    <w:p>
      <w:pPr>
        <w:spacing w:after="120" w:line="276"/>
        <w:jc w:val="both"/>
      </w:pPr>
      <w:r>
        <w:rPr>
          <w:rFonts w:ascii="Barlow Semi Condensed" w:cs="Barlow Semi Condensed" w:eastAsia="Barlow Semi Condensed" w:hAnsi="Barlow Semi Condensed"/>
          <w:b/>
          <w:bCs/>
          <w:sz w:val="24"/>
          <w:szCs w:val="24"/>
        </w:rPr>
        <w:t xml:space="preserve">523 · Il taxi e il borsello, dal lato documentale.</w:t>
      </w:r>
      <w:r>
        <w:rPr>
          <w:rFonts w:ascii="Barlow Semi Condensed" w:cs="Barlow Semi Condensed" w:eastAsia="Barlow Semi Condensed" w:hAnsi="Barlow Semi Condensed"/>
          <w:sz w:val="24"/>
          <w:szCs w:val="24"/>
        </w:rPr>
        <w:t xml:space="preserve"> I contenuti informativi del borsello del 14 aprile 1979 (le schede false su personaggi pubblici): l'analisi testuale — che cosa le schede sapevano, da dove le informazioni potevano venire, in tavola ACH. Il falsario che sapeva: il quesito della fonte delle sue conoscenze è la vera posta della vicenda.</w:t>
      </w:r>
    </w:p>
    <w:p>
      <w:pPr>
        <w:spacing w:after="120" w:line="276"/>
        <w:jc w:val="both"/>
      </w:pPr>
      <w:r>
        <w:rPr>
          <w:rFonts w:ascii="Barlow Semi Condensed" w:cs="Barlow Semi Condensed" w:eastAsia="Barlow Semi Condensed" w:hAnsi="Barlow Semi Condensed"/>
          <w:b/>
          <w:bCs/>
          <w:sz w:val="24"/>
          <w:szCs w:val="24"/>
        </w:rPr>
        <w:t xml:space="preserve">524 · L'omicidio del falsario.</w:t>
      </w:r>
      <w:r>
        <w:rPr>
          <w:rFonts w:ascii="Barlow Semi Condensed" w:cs="Barlow Semi Condensed" w:eastAsia="Barlow Semi Condensed" w:hAnsi="Barlow Semi Condensed"/>
          <w:sz w:val="24"/>
          <w:szCs w:val="24"/>
        </w:rPr>
        <w:t xml:space="preserve"> Il fascicolo del settembre 1984: gli atti del procedimento sull'omicidio Chichiarelli — le piste istruttorie, gli esiti, lo stato. Il cantiere censisce il fascicolo per ciò che documenta sul caso Moro: la morte violenta dell'autore del falso è un fatto che il quesito 13 non può ignorare.</w:t>
      </w:r>
    </w:p>
    <w:p>
      <w:pPr>
        <w:spacing w:after="120" w:line="276"/>
        <w:jc w:val="both"/>
      </w:pPr>
      <w:r>
        <w:rPr>
          <w:rFonts w:ascii="Barlow Semi Condensed" w:cs="Barlow Semi Condensed" w:eastAsia="Barlow Semi Condensed" w:hAnsi="Barlow Semi Condensed"/>
          <w:b/>
          <w:bCs/>
          <w:sz w:val="24"/>
          <w:szCs w:val="24"/>
        </w:rPr>
        <w:t xml:space="preserve">525 · I depistaggi come categoria.</w:t>
      </w:r>
      <w:r>
        <w:rPr>
          <w:rFonts w:ascii="Barlow Semi Condensed" w:cs="Barlow Semi Condensed" w:eastAsia="Barlow Semi Condensed" w:hAnsi="Barlow Semi Condensed"/>
          <w:sz w:val="24"/>
          <w:szCs w:val="24"/>
        </w:rPr>
        <w:t xml:space="preserve"> La tavola dei depistaggi documentati del caso: il falso n. 7 in testa, e ogni altro inquinamento accertato dagli atti — con la definizione rigorosa: depistaggio è ciò che un atto qualifica come tale, non ogni stranezza. Il catalogo disciplinato dei veleni: pochi, provati, datati.</w:t>
      </w:r>
    </w:p>
    <w:p>
      <w:pPr>
        <w:spacing w:after="120" w:line="276"/>
        <w:jc w:val="both"/>
      </w:pPr>
      <w:r>
        <w:rPr>
          <w:rFonts w:ascii="Barlow Semi Condensed" w:cs="Barlow Semi Condensed" w:eastAsia="Barlow Semi Condensed" w:hAnsi="Barlow Semi Condensed"/>
          <w:b/>
          <w:bCs/>
          <w:sz w:val="24"/>
          <w:szCs w:val="24"/>
        </w:rPr>
        <w:t xml:space="preserve">526 · Le rivendicazioni spurie.</w:t>
      </w:r>
      <w:r>
        <w:rPr>
          <w:rFonts w:ascii="Barlow Semi Condensed" w:cs="Barlow Semi Condensed" w:eastAsia="Barlow Semi Condensed" w:hAnsi="Barlow Semi Condensed"/>
          <w:sz w:val="24"/>
          <w:szCs w:val="24"/>
        </w:rPr>
        <w:t xml:space="preserve"> Il censimento delle telefonate e rivendicazioni spurie dei 55 giorni (dagli atti): la tavola del rumore — chi chiamò, che cosa disse, che cosa ne fu verificato. Il fondo di rumore della crisi è un dato di contesto: misura la difficoltà di chi doveva filtrare (il raccordo col quesito 7).</w:t>
      </w:r>
    </w:p>
    <w:p>
      <w:pPr>
        <w:spacing w:after="120" w:line="276"/>
        <w:jc w:val="both"/>
      </w:pPr>
      <w:r>
        <w:rPr>
          <w:rFonts w:ascii="Barlow Semi Condensed" w:cs="Barlow Semi Condensed" w:eastAsia="Barlow Semi Condensed" w:hAnsi="Barlow Semi Condensed"/>
          <w:b/>
          <w:bCs/>
          <w:sz w:val="24"/>
          <w:szCs w:val="24"/>
        </w:rPr>
        <w:t xml:space="preserve">527 · La seduta del 2 aprile, dal lato testuale.</w:t>
      </w:r>
      <w:r>
        <w:rPr>
          <w:rFonts w:ascii="Barlow Semi Condensed" w:cs="Barlow Semi Condensed" w:eastAsia="Barlow Semi Condensed" w:hAnsi="Barlow Semi Condensed"/>
          <w:sz w:val="24"/>
          <w:szCs w:val="24"/>
        </w:rPr>
        <w:t xml:space="preserve"> Il raccordo: la parola «Gradoli» come testo — le trascrizioni d'epoca della seduta, le versioni dei presenti, la filologia della parola (il quesito 3, dal versante documentale del cantiere). Una parola come reperto: la sua tradizione testuale si ricostruisce come quella di un verso antico.</w:t>
      </w:r>
    </w:p>
    <w:p>
      <w:pPr>
        <w:spacing w:after="120" w:line="276"/>
        <w:jc w:val="both"/>
      </w:pPr>
      <w:r>
        <w:rPr>
          <w:rFonts w:ascii="Barlow Semi Condensed" w:cs="Barlow Semi Condensed" w:eastAsia="Barlow Semi Condensed" w:hAnsi="Barlow Semi Condensed"/>
          <w:b/>
          <w:bCs/>
          <w:sz w:val="24"/>
          <w:szCs w:val="24"/>
        </w:rPr>
        <w:t xml:space="preserve">528 · I comunicati e la stampa.</w:t>
      </w:r>
      <w:r>
        <w:rPr>
          <w:rFonts w:ascii="Barlow Semi Condensed" w:cs="Barlow Semi Condensed" w:eastAsia="Barlow Semi Condensed" w:hAnsi="Barlow Semi Condensed"/>
          <w:sz w:val="24"/>
          <w:szCs w:val="24"/>
        </w:rPr>
        <w:t xml:space="preserve"> La tavola della pubblicazione: come i giornali trattarono ciascun comunicato — testi integrali, tagli, commenti — giorno per giorno. La mediazione giornalistica dei testi brigatisti è parte della loro storia: che cosa il paese lesse davvero, e in che forma.</w:t>
      </w:r>
    </w:p>
    <w:p>
      <w:pPr>
        <w:spacing w:after="120" w:line="276"/>
        <w:jc w:val="both"/>
      </w:pPr>
      <w:r>
        <w:rPr>
          <w:rFonts w:ascii="Barlow Semi Condensed" w:cs="Barlow Semi Condensed" w:eastAsia="Barlow Semi Condensed" w:hAnsi="Barlow Semi Condensed"/>
          <w:b/>
          <w:bCs/>
          <w:sz w:val="24"/>
          <w:szCs w:val="24"/>
        </w:rPr>
        <w:t xml:space="preserve">529 · Le veline sulla stampa.</w:t>
      </w:r>
      <w:r>
        <w:rPr>
          <w:rFonts w:ascii="Barlow Semi Condensed" w:cs="Barlow Semi Condensed" w:eastAsia="Barlow Semi Condensed" w:hAnsi="Barlow Semi Condensed"/>
          <w:sz w:val="24"/>
          <w:szCs w:val="24"/>
        </w:rPr>
        <w:t xml:space="preserve"> Il quesito documentato del condizionamento: gli interventi istituzionali sulla stampa nei 55 giorni — le direttive, gli appelli all'autoregolamentazione, i casi documentati — dagli atti e dagli archivi delle redazioni. Il governo dell'informazione nella crisi: un capitolo con carte proprie.</w:t>
      </w:r>
    </w:p>
    <w:p>
      <w:pPr>
        <w:spacing w:after="120" w:line="276"/>
        <w:jc w:val="both"/>
      </w:pPr>
      <w:r>
        <w:rPr>
          <w:rFonts w:ascii="Barlow Semi Condensed" w:cs="Barlow Semi Condensed" w:eastAsia="Barlow Semi Condensed" w:hAnsi="Barlow Semi Condensed"/>
          <w:b/>
          <w:bCs/>
          <w:sz w:val="24"/>
          <w:szCs w:val="24"/>
        </w:rPr>
        <w:t xml:space="preserve">530 · Il silenzio stampa discusso.</w:t>
      </w:r>
      <w:r>
        <w:rPr>
          <w:rFonts w:ascii="Barlow Semi Condensed" w:cs="Barlow Semi Condensed" w:eastAsia="Barlow Semi Condensed" w:hAnsi="Barlow Semi Condensed"/>
          <w:sz w:val="24"/>
          <w:szCs w:val="24"/>
        </w:rPr>
        <w:t xml:space="preserve"> Il dibattito d'epoca sul blackout informativo: le posizioni documentate delle testate, degli editori, dei giornalisti. La stampa si interrogò su se stessa in diretta: quel dibattito è un documento collettivo sulla crisi dell'informazione.</w:t>
      </w:r>
    </w:p>
    <w:p>
      <w:pPr>
        <w:spacing w:after="120" w:line="276"/>
        <w:jc w:val="both"/>
      </w:pPr>
      <w:r>
        <w:rPr>
          <w:rFonts w:ascii="Barlow Semi Condensed" w:cs="Barlow Semi Condensed" w:eastAsia="Barlow Semi Condensed" w:hAnsi="Barlow Semi Condensed"/>
          <w:b/>
          <w:bCs/>
          <w:sz w:val="24"/>
          <w:szCs w:val="24"/>
        </w:rPr>
        <w:t xml:space="preserve">531 · L'iconografia dei comunicati.</w:t>
      </w:r>
      <w:r>
        <w:rPr>
          <w:rFonts w:ascii="Barlow Semi Condensed" w:cs="Barlow Semi Condensed" w:eastAsia="Barlow Semi Condensed" w:hAnsi="Barlow Semi Condensed"/>
          <w:sz w:val="24"/>
          <w:szCs w:val="24"/>
        </w:rPr>
        <w:t xml:space="preserve"> La stella a cinque punte e l'apparato grafico: l'analisi dell'identità visiva dei documenti brigatisti — matrici, simboli, impaginazioni. La propaganda ha una grafica; la grafica ha una tecnica; la tecnica lascia tracce comparabili.</w:t>
      </w:r>
    </w:p>
    <w:p>
      <w:pPr>
        <w:spacing w:after="120" w:line="276"/>
        <w:jc w:val="both"/>
      </w:pPr>
      <w:r>
        <w:rPr>
          <w:rFonts w:ascii="Barlow Semi Condensed" w:cs="Barlow Semi Condensed" w:eastAsia="Barlow Semi Condensed" w:hAnsi="Barlow Semi Condensed"/>
          <w:b/>
          <w:bCs/>
          <w:sz w:val="24"/>
          <w:szCs w:val="24"/>
        </w:rPr>
        <w:t xml:space="preserve">532 · Gli originali dei comunicati, censiti.</w:t>
      </w:r>
      <w:r>
        <w:rPr>
          <w:rFonts w:ascii="Barlow Semi Condensed" w:cs="Barlow Semi Condensed" w:eastAsia="Barlow Semi Condensed" w:hAnsi="Barlow Semi Condensed"/>
          <w:sz w:val="24"/>
          <w:szCs w:val="24"/>
        </w:rPr>
        <w:t xml:space="preserve"> Il censimento materiale conclusivo: ogni esemplare conservato di ciascun comunicato (negli atti, negli archivi, nelle collezioni) — la tavola degli esemplari con le sedi. Il corpus materiale della propaganda, contato foglio per foglio (il raccordo col blocco 432).</w:t>
      </w:r>
    </w:p>
    <w:p>
      <w:pPr>
        <w:spacing w:after="120" w:line="276"/>
        <w:jc w:val="both"/>
      </w:pPr>
      <w:r>
        <w:rPr>
          <w:rFonts w:ascii="Barlow Semi Condensed" w:cs="Barlow Semi Condensed" w:eastAsia="Barlow Semi Condensed" w:hAnsi="Barlow Semi Condensed"/>
          <w:b/>
          <w:bCs/>
          <w:sz w:val="24"/>
          <w:szCs w:val="24"/>
        </w:rPr>
        <w:t xml:space="preserve">533 · Il falso e la teoria.</w:t>
      </w:r>
      <w:r>
        <w:rPr>
          <w:rFonts w:ascii="Barlow Semi Condensed" w:cs="Barlow Semi Condensed" w:eastAsia="Barlow Semi Condensed" w:hAnsi="Barlow Semi Condensed"/>
          <w:sz w:val="24"/>
          <w:szCs w:val="24"/>
        </w:rPr>
        <w:t xml:space="preserve"> Il quesito interpretativo disciplinato: a che cosa servì il falso del 18 aprile — le ipotesi documentate (prova generale, messaggio, copertura dell'irruzione possibile, depistaggio puro) in matrice ACH, con le evidenze discriminanti dichiarate. Le teorie si ordinano; non si sposano.</w:t>
      </w:r>
    </w:p>
    <w:p>
      <w:pPr>
        <w:spacing w:after="120" w:line="276"/>
        <w:jc w:val="both"/>
      </w:pPr>
      <w:r>
        <w:rPr>
          <w:rFonts w:ascii="Barlow Semi Condensed" w:cs="Barlow Semi Condensed" w:eastAsia="Barlow Semi Condensed" w:hAnsi="Barlow Semi Condensed"/>
          <w:b/>
          <w:bCs/>
          <w:sz w:val="24"/>
          <w:szCs w:val="24"/>
        </w:rPr>
        <w:t xml:space="preserve">534 · La lezione dei falsi.</w:t>
      </w:r>
      <w:r>
        <w:rPr>
          <w:rFonts w:ascii="Barlow Semi Condensed" w:cs="Barlow Semi Condensed" w:eastAsia="Barlow Semi Condensed" w:hAnsi="Barlow Semi Condensed"/>
          <w:sz w:val="24"/>
          <w:szCs w:val="24"/>
        </w:rPr>
        <w:t xml:space="preserve"> Il prodotto metodologico: il protocollo di autenticazione per ogni documento «nuovo» che il caso attirerà — la lezione di Chichiarelli istituzionalizzata (il raccordo coi blocchi 308 e 445). Il caso ha già pagato il prezzo dei falsi: il protocollo è la sua assicurazione.</w:t>
      </w:r>
    </w:p>
    <w:p>
      <w:pPr>
        <w:spacing w:after="120" w:line="276"/>
        <w:jc w:val="both"/>
      </w:pPr>
      <w:r>
        <w:rPr>
          <w:rFonts w:ascii="Barlow Semi Condensed" w:cs="Barlow Semi Condensed" w:eastAsia="Barlow Semi Condensed" w:hAnsi="Barlow Semi Condensed"/>
          <w:b/>
          <w:bCs/>
          <w:sz w:val="24"/>
          <w:szCs w:val="24"/>
        </w:rPr>
        <w:t xml:space="preserve">535 · La tavola dei comunicati.</w:t>
      </w:r>
      <w:r>
        <w:rPr>
          <w:rFonts w:ascii="Barlow Semi Condensed" w:cs="Barlow Semi Condensed" w:eastAsia="Barlow Semi Condensed" w:hAnsi="Barlow Semi Condensed"/>
          <w:sz w:val="24"/>
          <w:szCs w:val="24"/>
        </w:rPr>
        <w:t xml:space="preserve"> La chiusura della sezione: il canone datato, le emissioni censite, i falsi schedati, le perizie pendenti. La voce dei sequestratori e le sue contraffazioni, in tavola — accanto alla voce del prigioniero, e mai confusa con essa.</w:t>
      </w:r>
    </w:p>
    <w:p>
      <w:pPr>
        <w:pStyle w:val="Heading3"/>
        <w:spacing w:after="80" w:before="160"/>
      </w:pPr>
      <w:r>
        <w:rPr>
          <w:rFonts w:ascii="Barlow Semi Condensed" w:cs="Barlow Semi Condensed" w:eastAsia="Barlow Semi Condensed" w:hAnsi="Barlow Semi Condensed"/>
          <w:sz w:val="24"/>
          <w:szCs w:val="24"/>
        </w:rPr>
        <w:t xml:space="preserve">Le domande al testo e il governo della parte (blocchi 536-560)</w:t>
      </w:r>
    </w:p>
    <w:p>
      <w:pPr>
        <w:spacing w:after="120" w:line="276"/>
        <w:jc w:val="both"/>
      </w:pPr>
      <w:r>
        <w:rPr>
          <w:rFonts w:ascii="Barlow Semi Condensed" w:cs="Barlow Semi Condensed" w:eastAsia="Barlow Semi Condensed" w:hAnsi="Barlow Semi Condensed"/>
          <w:b/>
          <w:bCs/>
          <w:sz w:val="24"/>
          <w:szCs w:val="24"/>
        </w:rPr>
        <w:t xml:space="preserve">536 · Che cosa il memoriale dice.</w:t>
      </w:r>
      <w:r>
        <w:rPr>
          <w:rFonts w:ascii="Barlow Semi Condensed" w:cs="Barlow Semi Condensed" w:eastAsia="Barlow Semi Condensed" w:hAnsi="Barlow Semi Condensed"/>
          <w:sz w:val="24"/>
          <w:szCs w:val="24"/>
        </w:rPr>
        <w:t xml:space="preserve"> La mappa tematica integrale: i temi trattati nel corpus superstite — la tavola argomento per argomento con i fogli relativi. Prima di chiedersi che cosa manca, la disciplina vuole la mappa esatta di che cosa c'è: il contenuto censito, senza parafrasi.</w:t>
      </w:r>
    </w:p>
    <w:p>
      <w:pPr>
        <w:spacing w:after="120" w:line="276"/>
        <w:jc w:val="both"/>
      </w:pPr>
      <w:r>
        <w:rPr>
          <w:rFonts w:ascii="Barlow Semi Condensed" w:cs="Barlow Semi Condensed" w:eastAsia="Barlow Semi Condensed" w:hAnsi="Barlow Semi Condensed"/>
          <w:b/>
          <w:bCs/>
          <w:sz w:val="24"/>
          <w:szCs w:val="24"/>
        </w:rPr>
        <w:t xml:space="preserve">537 · I temi sensibili, con la griglia.</w:t>
      </w:r>
      <w:r>
        <w:rPr>
          <w:rFonts w:ascii="Barlow Semi Condensed" w:cs="Barlow Semi Condensed" w:eastAsia="Barlow Semi Condensed" w:hAnsi="Barlow Semi Condensed"/>
          <w:sz w:val="24"/>
          <w:szCs w:val="24"/>
        </w:rPr>
        <w:t xml:space="preserve"> I passaggi su apparati, alleanze e vicende riservate: l'analisi con la griglia dei gradi — che cosa Moro afferma per conoscenza diretta, che cosa riferisce, che cosa congettura. Il testimone Moro si tratta come ogni testimone: la fonte della sua conoscenza qualifica ogni enunciato.</w:t>
      </w:r>
    </w:p>
    <w:p>
      <w:pPr>
        <w:spacing w:after="120" w:line="276"/>
        <w:jc w:val="both"/>
      </w:pPr>
      <w:r>
        <w:rPr>
          <w:rFonts w:ascii="Barlow Semi Condensed" w:cs="Barlow Semi Condensed" w:eastAsia="Barlow Semi Condensed" w:hAnsi="Barlow Semi Condensed"/>
          <w:b/>
          <w:bCs/>
          <w:sz w:val="24"/>
          <w:szCs w:val="24"/>
        </w:rPr>
        <w:t xml:space="preserve">538 · Il memoriale contro gli archivi.</w:t>
      </w:r>
      <w:r>
        <w:rPr>
          <w:rFonts w:ascii="Barlow Semi Condensed" w:cs="Barlow Semi Condensed" w:eastAsia="Barlow Semi Condensed" w:hAnsi="Barlow Semi Condensed"/>
          <w:sz w:val="24"/>
          <w:szCs w:val="24"/>
        </w:rPr>
        <w:t xml:space="preserve"> Il programma di riscontro: ogni affermazione fattuale del memoriale contro le carte oggi disponibili (i cantieri archivistici dell'opera) — la tavola dei riscontri: confermato, smentito, non riscontrabile. Il testo diventa mappa di ricerca: ogni enunciato un bersaglio d'archivio.</w:t>
      </w:r>
    </w:p>
    <w:p>
      <w:pPr>
        <w:spacing w:after="120" w:line="276"/>
        <w:jc w:val="both"/>
      </w:pPr>
      <w:r>
        <w:rPr>
          <w:rFonts w:ascii="Barlow Semi Condensed" w:cs="Barlow Semi Condensed" w:eastAsia="Barlow Semi Condensed" w:hAnsi="Barlow Semi Condensed"/>
          <w:b/>
          <w:bCs/>
          <w:sz w:val="24"/>
          <w:szCs w:val="24"/>
        </w:rPr>
        <w:t xml:space="preserve">539 · Le omissioni strategiche.</w:t>
      </w:r>
      <w:r>
        <w:rPr>
          <w:rFonts w:ascii="Barlow Semi Condensed" w:cs="Barlow Semi Condensed" w:eastAsia="Barlow Semi Condensed" w:hAnsi="Barlow Semi Condensed"/>
          <w:sz w:val="24"/>
          <w:szCs w:val="24"/>
        </w:rPr>
        <w:t xml:space="preserve"> L'analisi speculare: che cosa il prigioniero scelse di non dire — i silenzi tematici misurabili contro ciò che certamente sapeva (per ruolo documentato). Il silenzio di chi sa è un comportamento testuale: si mappa con prudenza e si dichiara congetturale per costruzione.</w:t>
      </w:r>
    </w:p>
    <w:p>
      <w:pPr>
        <w:spacing w:after="120" w:line="276"/>
        <w:jc w:val="both"/>
      </w:pPr>
      <w:r>
        <w:rPr>
          <w:rFonts w:ascii="Barlow Semi Condensed" w:cs="Barlow Semi Condensed" w:eastAsia="Barlow Semi Condensed" w:hAnsi="Barlow Semi Condensed"/>
          <w:b/>
          <w:bCs/>
          <w:sz w:val="24"/>
          <w:szCs w:val="24"/>
        </w:rPr>
        <w:t xml:space="preserve">540 · Il destinatario interno.</w:t>
      </w:r>
      <w:r>
        <w:rPr>
          <w:rFonts w:ascii="Barlow Semi Condensed" w:cs="Barlow Semi Condensed" w:eastAsia="Barlow Semi Condensed" w:hAnsi="Barlow Semi Condensed"/>
          <w:sz w:val="24"/>
          <w:szCs w:val="24"/>
        </w:rPr>
        <w:t xml:space="preserve"> Il quesito retorico: per chi scriveva Moro — i destinatari espliciti, quelli impliciti, la posterità. L'analisi retorica del corpus come strategia di comunicazione sotto costrizione: la forma è metà del messaggio, e la costrizione è metà della forma.</w:t>
      </w:r>
    </w:p>
    <w:p>
      <w:pPr>
        <w:spacing w:after="120" w:line="276"/>
        <w:jc w:val="both"/>
      </w:pPr>
      <w:r>
        <w:rPr>
          <w:rFonts w:ascii="Barlow Semi Condensed" w:cs="Barlow Semi Condensed" w:eastAsia="Barlow Semi Condensed" w:hAnsi="Barlow Semi Condensed"/>
          <w:b/>
          <w:bCs/>
          <w:sz w:val="24"/>
          <w:szCs w:val="24"/>
        </w:rPr>
        <w:t xml:space="preserve">541 · La costrizione e la voce.</w:t>
      </w:r>
      <w:r>
        <w:rPr>
          <w:rFonts w:ascii="Barlow Semi Condensed" w:cs="Barlow Semi Condensed" w:eastAsia="Barlow Semi Condensed" w:hAnsi="Barlow Semi Condensed"/>
          <w:sz w:val="24"/>
          <w:szCs w:val="24"/>
        </w:rPr>
        <w:t xml:space="preserve"> Il quadro interpretativo dichiarato: ogni pagina fu scritta in cattività — la tavola dei segni di costrizione (temi imposti, formule richieste) contro i segni di iniziativa (digressioni, affondi non richiesti). La libertà residua del prigioniero si misura nel testo: è il quesito interpretativo più delicato, e si tratta con l'ACH.</w:t>
      </w:r>
    </w:p>
    <w:p>
      <w:pPr>
        <w:spacing w:after="120" w:line="276"/>
        <w:jc w:val="both"/>
      </w:pPr>
      <w:r>
        <w:rPr>
          <w:rFonts w:ascii="Barlow Semi Condensed" w:cs="Barlow Semi Condensed" w:eastAsia="Barlow Semi Condensed" w:hAnsi="Barlow Semi Condensed"/>
          <w:b/>
          <w:bCs/>
          <w:sz w:val="24"/>
          <w:szCs w:val="24"/>
        </w:rPr>
        <w:t xml:space="preserve">542 · Il confronto con gli scritti liberi.</w:t>
      </w:r>
      <w:r>
        <w:rPr>
          <w:rFonts w:ascii="Barlow Semi Condensed" w:cs="Barlow Semi Condensed" w:eastAsia="Barlow Semi Condensed" w:hAnsi="Barlow Semi Condensed"/>
          <w:sz w:val="24"/>
          <w:szCs w:val="24"/>
        </w:rPr>
        <w:t xml:space="preserve"> La collazione con il Moro pubblico: i temi del memoriale già trattati nell'opera edita (il raccordo col blocco 231) — continuità, radicalizzazioni, rovesciamenti. Il pensiero dell'uomo prima e dentro la prigione: la tavola delle traiettorie.</w:t>
      </w:r>
    </w:p>
    <w:p>
      <w:pPr>
        <w:spacing w:after="120" w:line="276"/>
        <w:jc w:val="both"/>
      </w:pPr>
      <w:r>
        <w:rPr>
          <w:rFonts w:ascii="Barlow Semi Condensed" w:cs="Barlow Semi Condensed" w:eastAsia="Barlow Semi Condensed" w:hAnsi="Barlow Semi Condensed"/>
          <w:b/>
          <w:bCs/>
          <w:sz w:val="24"/>
          <w:szCs w:val="24"/>
        </w:rPr>
        <w:t xml:space="preserve">543 · Le pagine politiche postume.</w:t>
      </w:r>
      <w:r>
        <w:rPr>
          <w:rFonts w:ascii="Barlow Semi Condensed" w:cs="Barlow Semi Condensed" w:eastAsia="Barlow Semi Condensed" w:hAnsi="Barlow Semi Condensed"/>
          <w:sz w:val="24"/>
          <w:szCs w:val="24"/>
        </w:rPr>
        <w:t xml:space="preserve"> La ricezione del memoriale nella politica italiana (1978, 1990, le commissioni): chi usò che cosa, quando, per quali tesi — la storia politica del testo. Il memoriale ha avuto una seconda vita pubblica: anche questa si documenta, con date e usi.</w:t>
      </w:r>
    </w:p>
    <w:p>
      <w:pPr>
        <w:spacing w:after="120" w:line="276"/>
        <w:jc w:val="both"/>
      </w:pPr>
      <w:r>
        <w:rPr>
          <w:rFonts w:ascii="Barlow Semi Condensed" w:cs="Barlow Semi Condensed" w:eastAsia="Barlow Semi Condensed" w:hAnsi="Barlow Semi Condensed"/>
          <w:b/>
          <w:bCs/>
          <w:sz w:val="24"/>
          <w:szCs w:val="24"/>
        </w:rPr>
        <w:t xml:space="preserve">544 · Il memoriale nei processi.</w:t>
      </w:r>
      <w:r>
        <w:rPr>
          <w:rFonts w:ascii="Barlow Semi Condensed" w:cs="Barlow Semi Condensed" w:eastAsia="Barlow Semi Condensed" w:hAnsi="Barlow Semi Condensed"/>
          <w:sz w:val="24"/>
          <w:szCs w:val="24"/>
        </w:rPr>
        <w:t xml:space="preserve"> L'uso giudiziario: come le corti trattarono il corpus — acquisizioni, valutazioni di attendibilità, usi probatori — dagli atti digitalizzati. La tavola dell'uso processuale: che cosa il giudicato ha già stabilito sul testo, da non riscoprire.</w:t>
      </w:r>
    </w:p>
    <w:p>
      <w:pPr>
        <w:spacing w:after="120" w:line="276"/>
        <w:jc w:val="both"/>
      </w:pPr>
      <w:r>
        <w:rPr>
          <w:rFonts w:ascii="Barlow Semi Condensed" w:cs="Barlow Semi Condensed" w:eastAsia="Barlow Semi Condensed" w:hAnsi="Barlow Semi Condensed"/>
          <w:b/>
          <w:bCs/>
          <w:sz w:val="24"/>
          <w:szCs w:val="24"/>
        </w:rPr>
        <w:t xml:space="preserve">545 · Il quesito dell'integralità, chiuso bene.</w:t>
      </w:r>
      <w:r>
        <w:rPr>
          <w:rFonts w:ascii="Barlow Semi Condensed" w:cs="Barlow Semi Condensed" w:eastAsia="Barlow Semi Condensed" w:hAnsi="Barlow Semi Condensed"/>
          <w:sz w:val="24"/>
          <w:szCs w:val="24"/>
        </w:rPr>
        <w:t xml:space="preserve"> La sintesi del blocco 468 in forma di criterio: a quali condizioni documentali il corpus si potrà dire integro o lacunoso — i test falsificabili (richiami interni, testimonianze di consistenza, riscontri d'archivio). Il quesito più abusato del caso ricondotto a criteri: o si misura, o si tace.</w:t>
      </w:r>
    </w:p>
    <w:p>
      <w:pPr>
        <w:spacing w:after="120" w:line="276"/>
        <w:jc w:val="both"/>
      </w:pPr>
      <w:r>
        <w:rPr>
          <w:rFonts w:ascii="Barlow Semi Condensed" w:cs="Barlow Semi Condensed" w:eastAsia="Barlow Semi Condensed" w:hAnsi="Barlow Semi Condensed"/>
          <w:b/>
          <w:bCs/>
          <w:sz w:val="24"/>
          <w:szCs w:val="24"/>
        </w:rPr>
        <w:t xml:space="preserve">546 · La contro-lettura brigatista.</w:t>
      </w:r>
      <w:r>
        <w:rPr>
          <w:rFonts w:ascii="Barlow Semi Condensed" w:cs="Barlow Semi Condensed" w:eastAsia="Barlow Semi Condensed" w:hAnsi="Barlow Semi Condensed"/>
          <w:sz w:val="24"/>
          <w:szCs w:val="24"/>
        </w:rPr>
        <w:t xml:space="preserve"> Il corpus visto dal carceriere: le dichiarazioni pubbliche dei condannati sul memoriale (i libri e le interviste censiti in Parte ottava) collazionate con le risultanze filologiche. La versione di chi custodì le carte si tratta come fonte di parte: si registra, si data, si confronta.</w:t>
      </w:r>
    </w:p>
    <w:p>
      <w:pPr>
        <w:spacing w:after="120" w:line="276"/>
        <w:jc w:val="both"/>
      </w:pPr>
      <w:r>
        <w:rPr>
          <w:rFonts w:ascii="Barlow Semi Condensed" w:cs="Barlow Semi Condensed" w:eastAsia="Barlow Semi Condensed" w:hAnsi="Barlow Semi Condensed"/>
          <w:b/>
          <w:bCs/>
          <w:sz w:val="24"/>
          <w:szCs w:val="24"/>
        </w:rPr>
        <w:t xml:space="preserve">547 · Le interviste sul testo.</w:t>
      </w:r>
      <w:r>
        <w:rPr>
          <w:rFonts w:ascii="Barlow Semi Condensed" w:cs="Barlow Semi Condensed" w:eastAsia="Barlow Semi Condensed" w:hAnsi="Barlow Semi Condensed"/>
          <w:sz w:val="24"/>
          <w:szCs w:val="24"/>
        </w:rPr>
        <w:t xml:space="preserve"> La raccolta conservativa mirata (il raccordo con la serie quinta dell'agenda): le domande filologiche ancora ponibili ai viventi — sulle trascrizioni, sulle copie, sui trasporti delle carte. Poche domande, tecniche, documentabili: la memoria al servizio dello stemma, non delle tesi.</w:t>
      </w:r>
    </w:p>
    <w:p>
      <w:pPr>
        <w:spacing w:after="120" w:line="276"/>
        <w:jc w:val="both"/>
      </w:pPr>
      <w:r>
        <w:rPr>
          <w:rFonts w:ascii="Barlow Semi Condensed" w:cs="Barlow Semi Condensed" w:eastAsia="Barlow Semi Condensed" w:hAnsi="Barlow Semi Condensed"/>
          <w:b/>
          <w:bCs/>
          <w:sz w:val="24"/>
          <w:szCs w:val="24"/>
        </w:rPr>
        <w:t xml:space="preserve">548 · Il seminario permanente.</w:t>
      </w:r>
      <w:r>
        <w:rPr>
          <w:rFonts w:ascii="Barlow Semi Condensed" w:cs="Barlow Semi Condensed" w:eastAsia="Barlow Semi Condensed" w:hAnsi="Barlow Semi Condensed"/>
          <w:sz w:val="24"/>
          <w:szCs w:val="24"/>
        </w:rPr>
        <w:t xml:space="preserve"> Lo strumento comunitario: il seminario filologico permanente sul corpus della prigionia — filologi, storici, linguisti, forensi — con atti pubblici. Il testo più studiato e meno sistematizzato della Repubblica merita la sua comunità scientifica stabile.</w:t>
      </w:r>
    </w:p>
    <w:p>
      <w:pPr>
        <w:spacing w:after="120" w:line="276"/>
        <w:jc w:val="both"/>
      </w:pPr>
      <w:r>
        <w:rPr>
          <w:rFonts w:ascii="Barlow Semi Condensed" w:cs="Barlow Semi Condensed" w:eastAsia="Barlow Semi Condensed" w:hAnsi="Barlow Semi Condensed"/>
          <w:b/>
          <w:bCs/>
          <w:sz w:val="24"/>
          <w:szCs w:val="24"/>
        </w:rPr>
        <w:t xml:space="preserve">549 · L'edizione nazionale, il raccordo.</w:t>
      </w:r>
      <w:r>
        <w:rPr>
          <w:rFonts w:ascii="Barlow Semi Condensed" w:cs="Barlow Semi Condensed" w:eastAsia="Barlow Semi Condensed" w:hAnsi="Barlow Semi Condensed"/>
          <w:sz w:val="24"/>
          <w:szCs w:val="24"/>
        </w:rPr>
        <w:t xml:space="preserve"> Il coordinamento verificato: l'Edizione nazionale delle opere di Aldo Moro (la sede bolognese, con le attività di analisi linguistica censite) — la tavola dei lavori in corso e la divisione dei compiti col cantiere. Le imprese si sommano, non si doppiano: il raccordo scritto evita il lavoro due volte.</w:t>
      </w:r>
    </w:p>
    <w:p>
      <w:pPr>
        <w:spacing w:after="120" w:line="276"/>
        <w:jc w:val="both"/>
      </w:pPr>
      <w:r>
        <w:rPr>
          <w:rFonts w:ascii="Barlow Semi Condensed" w:cs="Barlow Semi Condensed" w:eastAsia="Barlow Semi Condensed" w:hAnsi="Barlow Semi Condensed"/>
          <w:b/>
          <w:bCs/>
          <w:sz w:val="24"/>
          <w:szCs w:val="24"/>
        </w:rPr>
        <w:t xml:space="preserve">550 · La traduzione del corpus.</w:t>
      </w:r>
      <w:r>
        <w:rPr>
          <w:rFonts w:ascii="Barlow Semi Condensed" w:cs="Barlow Semi Condensed" w:eastAsia="Barlow Semi Condensed" w:hAnsi="Barlow Semi Condensed"/>
          <w:sz w:val="24"/>
          <w:szCs w:val="24"/>
        </w:rPr>
        <w:t xml:space="preserve"> Il progetto internazionale: l'edizione inglese commentata del corpus della prigionia per la comunità scientifica internazionale. Il caso è studiato nel mondo su traduzioni parziali: l'edizione integrale tradotta è un atto di politica scientifica.</w:t>
      </w:r>
    </w:p>
    <w:p>
      <w:pPr>
        <w:spacing w:after="120" w:line="276"/>
        <w:jc w:val="both"/>
      </w:pPr>
      <w:r>
        <w:rPr>
          <w:rFonts w:ascii="Barlow Semi Condensed" w:cs="Barlow Semi Condensed" w:eastAsia="Barlow Semi Condensed" w:hAnsi="Barlow Semi Condensed"/>
          <w:b/>
          <w:bCs/>
          <w:sz w:val="24"/>
          <w:szCs w:val="24"/>
        </w:rPr>
        <w:t xml:space="preserve">551 · Il lessico di frequenza.</w:t>
      </w:r>
      <w:r>
        <w:rPr>
          <w:rFonts w:ascii="Barlow Semi Condensed" w:cs="Barlow Semi Condensed" w:eastAsia="Barlow Semi Condensed" w:hAnsi="Barlow Semi Condensed"/>
          <w:sz w:val="24"/>
          <w:szCs w:val="24"/>
        </w:rPr>
        <w:t xml:space="preserve"> Lo strumento quantitativo di base: il lessico di frequenza integrale del corpus (memoriale, lettere, comunicati, separatamente) — la piattaforma per ogni analisi successiva, stilometria inclusa (il blocco 498). Prima di attribuire, contare: il lessico è l'infrastruttura.</w:t>
      </w:r>
    </w:p>
    <w:p>
      <w:pPr>
        <w:spacing w:after="120" w:line="276"/>
        <w:jc w:val="both"/>
      </w:pPr>
      <w:r>
        <w:rPr>
          <w:rFonts w:ascii="Barlow Semi Condensed" w:cs="Barlow Semi Condensed" w:eastAsia="Barlow Semi Condensed" w:hAnsi="Barlow Semi Condensed"/>
          <w:b/>
          <w:bCs/>
          <w:sz w:val="24"/>
          <w:szCs w:val="24"/>
        </w:rPr>
        <w:t xml:space="preserve">552 · Il tempo verbale della prigionia.</w:t>
      </w:r>
      <w:r>
        <w:rPr>
          <w:rFonts w:ascii="Barlow Semi Condensed" w:cs="Barlow Semi Condensed" w:eastAsia="Barlow Semi Condensed" w:hAnsi="Barlow Semi Condensed"/>
          <w:sz w:val="24"/>
          <w:szCs w:val="24"/>
        </w:rPr>
        <w:t xml:space="preserve"> Il sondaggio linguistico mirato: i tempi, i modi, le persone del discorso lungo i 55 giorni — la curva grammaticale della prigionia. La lingua registra lo stato di chi scrive: la sua serie temporale è un documento psicologico misurabile, da leggere con cautela dichiarata.</w:t>
      </w:r>
    </w:p>
    <w:p>
      <w:pPr>
        <w:spacing w:after="120" w:line="276"/>
        <w:jc w:val="both"/>
      </w:pPr>
      <w:r>
        <w:rPr>
          <w:rFonts w:ascii="Barlow Semi Condensed" w:cs="Barlow Semi Condensed" w:eastAsia="Barlow Semi Condensed" w:hAnsi="Barlow Semi Condensed"/>
          <w:b/>
          <w:bCs/>
          <w:sz w:val="24"/>
          <w:szCs w:val="24"/>
        </w:rPr>
        <w:t xml:space="preserve">553 · Le mani sul testo, riepilogo.</w:t>
      </w:r>
      <w:r>
        <w:rPr>
          <w:rFonts w:ascii="Barlow Semi Condensed" w:cs="Barlow Semi Condensed" w:eastAsia="Barlow Semi Condensed" w:hAnsi="Barlow Semi Condensed"/>
          <w:sz w:val="24"/>
          <w:szCs w:val="24"/>
        </w:rPr>
        <w:t xml:space="preserve"> La tavola conclusiva delle mani: chi scrisse (Moro), chi trascrisse (le mani del dattiloscritto), chi fotocopiò, chi trasportò, chi pubblicò — l'intera catena umana del corpus, per quanto documentata. Il testo come staffetta: ogni passaggio di mano un quesito chiuso o aperto.</w:t>
      </w:r>
    </w:p>
    <w:p>
      <w:pPr>
        <w:spacing w:after="120" w:line="276"/>
        <w:jc w:val="both"/>
      </w:pPr>
      <w:r>
        <w:rPr>
          <w:rFonts w:ascii="Barlow Semi Condensed" w:cs="Barlow Semi Condensed" w:eastAsia="Barlow Semi Condensed" w:hAnsi="Barlow Semi Condensed"/>
          <w:b/>
          <w:bCs/>
          <w:sz w:val="24"/>
          <w:szCs w:val="24"/>
        </w:rPr>
        <w:t xml:space="preserve">554 · I supporti digitali del cantiere.</w:t>
      </w:r>
      <w:r>
        <w:rPr>
          <w:rFonts w:ascii="Barlow Semi Condensed" w:cs="Barlow Semi Condensed" w:eastAsia="Barlow Semi Condensed" w:hAnsi="Barlow Semi Condensed"/>
          <w:sz w:val="24"/>
          <w:szCs w:val="24"/>
        </w:rPr>
        <w:t xml:space="preserve"> L'infrastruttura della parte: la piattaforma digitale del corpus (sinossi, facsimili, lessico, apparati) dentro il cantiere digitale del manuale. La filologia del caso diventa un servizio permanente: chiunque, ovunque, potrà verificare ogni affermazione sul testo.</w:t>
      </w:r>
    </w:p>
    <w:p>
      <w:pPr>
        <w:spacing w:after="120" w:line="276"/>
        <w:jc w:val="both"/>
      </w:pPr>
      <w:r>
        <w:rPr>
          <w:rFonts w:ascii="Barlow Semi Condensed" w:cs="Barlow Semi Condensed" w:eastAsia="Barlow Semi Condensed" w:hAnsi="Barlow Semi Condensed"/>
          <w:b/>
          <w:bCs/>
          <w:sz w:val="24"/>
          <w:szCs w:val="24"/>
        </w:rPr>
        <w:t xml:space="preserve">555 · Il raccordo con le piste.</w:t>
      </w:r>
      <w:r>
        <w:rPr>
          <w:rFonts w:ascii="Barlow Semi Condensed" w:cs="Barlow Semi Condensed" w:eastAsia="Barlow Semi Condensed" w:hAnsi="Barlow Semi Condensed"/>
          <w:sz w:val="24"/>
          <w:szCs w:val="24"/>
        </w:rPr>
        <w:t xml:space="preserve"> La tavola di corrispondenza della parte: il corpus serve il quesito 9 (le lettere), il 10 (il memoriale), il 13 (i falsi) e nutre le matrici di quasi tutte le piste. La filologia è trasversale per natura: la sua tavola di servizio lo dimostra.</w:t>
      </w:r>
    </w:p>
    <w:p>
      <w:pPr>
        <w:spacing w:after="120" w:line="276"/>
        <w:jc w:val="both"/>
      </w:pPr>
      <w:r>
        <w:rPr>
          <w:rFonts w:ascii="Barlow Semi Condensed" w:cs="Barlow Semi Condensed" w:eastAsia="Barlow Semi Condensed" w:hAnsi="Barlow Semi Condensed"/>
          <w:b/>
          <w:bCs/>
          <w:sz w:val="24"/>
          <w:szCs w:val="24"/>
        </w:rPr>
        <w:t xml:space="preserve">556 · I vuoti testuali.</w:t>
      </w:r>
      <w:r>
        <w:rPr>
          <w:rFonts w:ascii="Barlow Semi Condensed" w:cs="Barlow Semi Condensed" w:eastAsia="Barlow Semi Condensed" w:hAnsi="Barlow Semi Condensed"/>
          <w:sz w:val="24"/>
          <w:szCs w:val="24"/>
        </w:rPr>
        <w:t xml:space="preserve"> Il verbale dei vuoti della parte: la stesura A, le lacune misurate, le lettere fantasma, le perizie mancanti — lo Stato Zero testuale completo. Il più importante dei vuoti del caso, perimetrato con gli strumenti della critica: è il lascito metodologico della parte.</w:t>
      </w:r>
    </w:p>
    <w:p>
      <w:pPr>
        <w:spacing w:after="120" w:line="276"/>
        <w:jc w:val="both"/>
      </w:pPr>
      <w:r>
        <w:rPr>
          <w:rFonts w:ascii="Barlow Semi Condensed" w:cs="Barlow Semi Condensed" w:eastAsia="Barlow Semi Condensed" w:hAnsi="Barlow Semi Condensed"/>
          <w:b/>
          <w:bCs/>
          <w:sz w:val="24"/>
          <w:szCs w:val="24"/>
        </w:rPr>
        <w:t xml:space="preserve">557 · La divulgazione della filologia.</w:t>
      </w:r>
      <w:r>
        <w:rPr>
          <w:rFonts w:ascii="Barlow Semi Condensed" w:cs="Barlow Semi Condensed" w:eastAsia="Barlow Semi Condensed" w:hAnsi="Barlow Semi Condensed"/>
          <w:sz w:val="24"/>
          <w:szCs w:val="24"/>
        </w:rPr>
        <w:t xml:space="preserve"> Il prodotto pubblico: la guida divulgativa al corpus della prigionia — che cosa esiste, che cosa manca, che cosa significa «stesura», perché le fotocopie non sono gli originali. Il paese cita il memoriale senza conoscerne la tradizione: la guida chiude questo scarto.</w:t>
      </w:r>
    </w:p>
    <w:p>
      <w:pPr>
        <w:spacing w:after="120" w:line="276"/>
        <w:jc w:val="both"/>
      </w:pPr>
      <w:r>
        <w:rPr>
          <w:rFonts w:ascii="Barlow Semi Condensed" w:cs="Barlow Semi Condensed" w:eastAsia="Barlow Semi Condensed" w:hAnsi="Barlow Semi Condensed"/>
          <w:b/>
          <w:bCs/>
          <w:sz w:val="24"/>
          <w:szCs w:val="24"/>
        </w:rPr>
        <w:t xml:space="preserve">558 · La deontologia del testo.</w:t>
      </w:r>
      <w:r>
        <w:rPr>
          <w:rFonts w:ascii="Barlow Semi Condensed" w:cs="Barlow Semi Condensed" w:eastAsia="Barlow Semi Condensed" w:hAnsi="Barlow Semi Condensed"/>
          <w:sz w:val="24"/>
          <w:szCs w:val="24"/>
        </w:rPr>
        <w:t xml:space="preserve"> La regola finale: il corpus della prigionia si cita sempre per stesura ed edizione, mai genericamente — e ogni uso pubblico del cantiere modella questa disciplina. Citare bene è rispetto: per il testo, per la storia, per l'uomo.</w:t>
      </w:r>
    </w:p>
    <w:p>
      <w:pPr>
        <w:spacing w:after="120" w:line="276"/>
        <w:jc w:val="both"/>
      </w:pPr>
      <w:r>
        <w:rPr>
          <w:rFonts w:ascii="Barlow Semi Condensed" w:cs="Barlow Semi Condensed" w:eastAsia="Barlow Semi Condensed" w:hAnsi="Barlow Semi Condensed"/>
          <w:b/>
          <w:bCs/>
          <w:sz w:val="24"/>
          <w:szCs w:val="24"/>
        </w:rPr>
        <w:t xml:space="preserve">559 · La sintesi della parte.</w:t>
      </w:r>
      <w:r>
        <w:rPr>
          <w:rFonts w:ascii="Barlow Semi Condensed" w:cs="Barlow Semi Condensed" w:eastAsia="Barlow Semi Condensed" w:hAnsi="Barlow Semi Condensed"/>
          <w:sz w:val="24"/>
          <w:szCs w:val="24"/>
        </w:rPr>
        <w:t xml:space="preserve"> Il prodotto d'insieme: lo stato dell'arte filologico del corpus — tradizione, edizioni, riscontri, vuoti — in una relazione pubblica. La pagina che mancava: il memoriale e le lettere, finalmente trattati da testi e non da munizioni.</w:t>
      </w:r>
    </w:p>
    <w:p>
      <w:pPr>
        <w:spacing w:after="120" w:line="276"/>
        <w:jc w:val="both"/>
      </w:pPr>
      <w:r>
        <w:rPr>
          <w:rFonts w:ascii="Barlow Semi Condensed" w:cs="Barlow Semi Condensed" w:eastAsia="Barlow Semi Condensed" w:hAnsi="Barlow Semi Condensed"/>
          <w:b/>
          <w:bCs/>
          <w:sz w:val="24"/>
          <w:szCs w:val="24"/>
        </w:rPr>
        <w:t xml:space="preserve">560 · La tavola quinta.</w:t>
      </w:r>
      <w:r>
        <w:rPr>
          <w:rFonts w:ascii="Barlow Semi Condensed" w:cs="Barlow Semi Condensed" w:eastAsia="Barlow Semi Condensed" w:hAnsi="Barlow Semi Condensed"/>
          <w:sz w:val="24"/>
          <w:szCs w:val="24"/>
        </w:rPr>
        <w:t xml:space="preserve"> La chiusura della parte: gli stati dei bersagli 461-559, gli esami e i progetti pendenti. Il cantiere della parola scritta consegna la sua contabilità — e la voce dell'uomo, restituita alla filologia, non appartiene più a nessuna tesi.</w:t>
      </w:r>
    </w:p>
    <w:p>
      <w:pPr>
        <w:pStyle w:val="Heading2"/>
        <w:spacing w:after="100" w:before="200"/>
      </w:pPr>
      <w:r>
        <w:rPr>
          <w:rFonts w:ascii="Barlow Semi Condensed" w:cs="Barlow Semi Condensed" w:eastAsia="Barlow Semi Condensed" w:hAnsi="Barlow Semi Condensed"/>
          <w:sz w:val="24"/>
          <w:szCs w:val="24"/>
        </w:rPr>
        <w:t xml:space="preserve">Parte sesta — L'audio e l'immagine (blocchi 561-660)</w:t>
      </w:r>
    </w:p>
    <w:p>
      <w:pPr>
        <w:spacing w:after="120" w:line="276"/>
        <w:jc w:val="both"/>
      </w:pPr>
      <w:r>
        <w:rPr>
          <w:rFonts w:ascii="Barlow Semi Condensed" w:cs="Barlow Semi Condensed" w:eastAsia="Barlow Semi Condensed" w:hAnsi="Barlow Semi Condensed"/>
          <w:i/>
          <w:iCs/>
          <w:sz w:val="24"/>
          <w:szCs w:val="24"/>
        </w:rPr>
        <w:t xml:space="preserve">Statuto della parte: la memoria sensibile. I fatti verificati che la governano: dei 55 giorni sopravvivono due registrazioni audio note — la telefonata di Mario Moretti a Eleonora Moro del 30 aprile e quella di Valerio Morucci al professor Tritto del 9 maggio 1978, autentica e pubblica; il resto della voce della crisi esiste solo in trascrizioni agli atti. Le fotografie di via Fani vivono in due filoni — i rilievi della Polizia scientifica negli atti giudiziari e parlamentari, e i fondi delle agenzie; le coperture aeree storiche stanno all'Aerofototeca Nazionale e all'Istituto Geografico Militare; una ricostruzione tridimensionale ufficiale e pubblica della scena non esiste. La parte organizza il cantiere del sensibile: censire, restaurare, datare, misurare — con la disciplina di sempre: un'immagine è un documento con un punto di vista, e l'audio invecchiato inganna.</w:t>
      </w:r>
    </w:p>
    <w:p>
      <w:pPr>
        <w:pStyle w:val="Heading3"/>
        <w:spacing w:after="80" w:before="160"/>
      </w:pPr>
      <w:r>
        <w:rPr>
          <w:rFonts w:ascii="Barlow Semi Condensed" w:cs="Barlow Semi Condensed" w:eastAsia="Barlow Semi Condensed" w:hAnsi="Barlow Semi Condensed"/>
          <w:sz w:val="24"/>
          <w:szCs w:val="24"/>
        </w:rPr>
        <w:t xml:space="preserve">Gli audio superstiti (blocchi 561-585)</w:t>
      </w:r>
    </w:p>
    <w:p>
      <w:pPr>
        <w:spacing w:after="120" w:line="276"/>
        <w:jc w:val="both"/>
      </w:pPr>
      <w:r>
        <w:rPr>
          <w:rFonts w:ascii="Barlow Semi Condensed" w:cs="Barlow Semi Condensed" w:eastAsia="Barlow Semi Condensed" w:hAnsi="Barlow Semi Condensed"/>
          <w:b/>
          <w:bCs/>
          <w:sz w:val="24"/>
          <w:szCs w:val="24"/>
        </w:rPr>
        <w:t xml:space="preserve">561 · Il censimento dei supporti.</w:t>
      </w:r>
      <w:r>
        <w:rPr>
          <w:rFonts w:ascii="Barlow Semi Condensed" w:cs="Barlow Semi Condensed" w:eastAsia="Barlow Semi Condensed" w:hAnsi="Barlow Semi Condensed"/>
          <w:sz w:val="24"/>
          <w:szCs w:val="24"/>
        </w:rPr>
        <w:t xml:space="preserve"> Il primo atto: il censimento formale di ogni supporto audio del caso — i nastri delle due telefonate registrate, le copie esistenti, le sedi (archivi giudiziari, Rai, commissioni) — con la catena di custodia di ciascuno. Prima di ascoltare, contare: la fonoteca del caso non è mai stata inventariata come corpus.</w:t>
      </w:r>
    </w:p>
    <w:p>
      <w:pPr>
        <w:spacing w:after="120" w:line="276"/>
        <w:jc w:val="both"/>
      </w:pPr>
      <w:r>
        <w:rPr>
          <w:rFonts w:ascii="Barlow Semi Condensed" w:cs="Barlow Semi Condensed" w:eastAsia="Barlow Semi Condensed" w:hAnsi="Barlow Semi Condensed"/>
          <w:b/>
          <w:bCs/>
          <w:sz w:val="24"/>
          <w:szCs w:val="24"/>
        </w:rPr>
        <w:t xml:space="preserve">562 · La telefonata del 30 aprile.</w:t>
      </w:r>
      <w:r>
        <w:rPr>
          <w:rFonts w:ascii="Barlow Semi Condensed" w:cs="Barlow Semi Condensed" w:eastAsia="Barlow Semi Condensed" w:hAnsi="Barlow Semi Condensed"/>
          <w:sz w:val="24"/>
          <w:szCs w:val="24"/>
        </w:rPr>
        <w:t xml:space="preserve"> La scheda integrale della prima registrazione: la chiamata a Eleonora Moro (attribuita a Mario Moretti) intercettata e registrata dalle forze dell'ordine — la tradizione del nastro, le trascrizioni, la storia della circolazione pubblica (l'audio è oggi liberamente ascoltabile, e una scheda d'archivio del gennaio 1980 ne documenta la circolazione almeno da allora; la data della prima diffusione resta da fissare). Il documento sonoro più drammatico della crisi ha una storia archivistica propria: si scrive per intero.</w:t>
      </w:r>
    </w:p>
    <w:p>
      <w:pPr>
        <w:spacing w:after="120" w:line="276"/>
        <w:jc w:val="both"/>
      </w:pPr>
      <w:r>
        <w:rPr>
          <w:rFonts w:ascii="Barlow Semi Condensed" w:cs="Barlow Semi Condensed" w:eastAsia="Barlow Semi Condensed" w:hAnsi="Barlow Semi Condensed"/>
          <w:b/>
          <w:bCs/>
          <w:sz w:val="24"/>
          <w:szCs w:val="24"/>
        </w:rPr>
        <w:t xml:space="preserve">563 · La telefonata del 9 maggio.</w:t>
      </w:r>
      <w:r>
        <w:rPr>
          <w:rFonts w:ascii="Barlow Semi Condensed" w:cs="Barlow Semi Condensed" w:eastAsia="Barlow Semi Condensed" w:hAnsi="Barlow Semi Condensed"/>
          <w:sz w:val="24"/>
          <w:szCs w:val="24"/>
        </w:rPr>
        <w:t xml:space="preserve"> La scheda gemella: la chiamata di Morucci alla famiglia Tritto (le 12:13 circa; «il dottor Niccolai»; rispose prima il padre, poi il professore) — autentica, pubblica, con l'originale agli atti giudiziari e copie negli archivi Rai. L'annuncio della fine, come reperto: tradizione, copie, usi pubblici, e il rispetto dovuto a chi rispose.</w:t>
      </w:r>
    </w:p>
    <w:p>
      <w:pPr>
        <w:spacing w:after="120" w:line="276"/>
        <w:jc w:val="both"/>
      </w:pPr>
      <w:r>
        <w:rPr>
          <w:rFonts w:ascii="Barlow Semi Condensed" w:cs="Barlow Semi Condensed" w:eastAsia="Barlow Semi Condensed" w:hAnsi="Barlow Semi Condensed"/>
          <w:b/>
          <w:bCs/>
          <w:sz w:val="24"/>
          <w:szCs w:val="24"/>
        </w:rPr>
        <w:t xml:space="preserve">564 · Il restauro conservativo dei due nastri.</w:t>
      </w:r>
      <w:r>
        <w:rPr>
          <w:rFonts w:ascii="Barlow Semi Condensed" w:cs="Barlow Semi Condensed" w:eastAsia="Barlow Semi Condensed" w:hAnsi="Barlow Semi Condensed"/>
          <w:sz w:val="24"/>
          <w:szCs w:val="24"/>
        </w:rPr>
        <w:t xml:space="preserve"> L'intervento tecnico: il restauro audio conservativo delle due registrazioni con tecniche attuali — pulizia dichiarata e reversibile, digitalizzazione ad alta risoluzione, deposito dei master (il blocco 198 dell'agenda, eseguito). Due soli nastri: si trattano come si tratterebbe un unico affresco.</w:t>
      </w:r>
    </w:p>
    <w:p>
      <w:pPr>
        <w:spacing w:after="120" w:line="276"/>
        <w:jc w:val="both"/>
      </w:pPr>
      <w:r>
        <w:rPr>
          <w:rFonts w:ascii="Barlow Semi Condensed" w:cs="Barlow Semi Condensed" w:eastAsia="Barlow Semi Condensed" w:hAnsi="Barlow Semi Condensed"/>
          <w:b/>
          <w:bCs/>
          <w:sz w:val="24"/>
          <w:szCs w:val="24"/>
        </w:rPr>
        <w:t xml:space="preserve">565 · La trascrizione certificata.</w:t>
      </w:r>
      <w:r>
        <w:rPr>
          <w:rFonts w:ascii="Barlow Semi Condensed" w:cs="Barlow Semi Condensed" w:eastAsia="Barlow Semi Condensed" w:hAnsi="Barlow Semi Condensed"/>
          <w:sz w:val="24"/>
          <w:szCs w:val="24"/>
        </w:rPr>
        <w:t xml:space="preserve"> La trascrizione scientifica delle due telefonate: parola per parola, con i tempi, le esitazioni, i rumori di fondo annotati — la trascrizione certificata che sostituisca le versioni giornalistiche circolanti. Il testo esatto di quattro minuti di storia: mai stabilito con criteri filologici.</w:t>
      </w:r>
    </w:p>
    <w:p>
      <w:pPr>
        <w:spacing w:after="120" w:line="276"/>
        <w:jc w:val="both"/>
      </w:pPr>
      <w:r>
        <w:rPr>
          <w:rFonts w:ascii="Barlow Semi Condensed" w:cs="Barlow Semi Condensed" w:eastAsia="Barlow Semi Condensed" w:hAnsi="Barlow Semi Condensed"/>
          <w:b/>
          <w:bCs/>
          <w:sz w:val="24"/>
          <w:szCs w:val="24"/>
        </w:rPr>
        <w:t xml:space="preserve">566 · La voce come dato, con i limiti.</w:t>
      </w:r>
      <w:r>
        <w:rPr>
          <w:rFonts w:ascii="Barlow Semi Condensed" w:cs="Barlow Semi Condensed" w:eastAsia="Barlow Semi Condensed" w:hAnsi="Barlow Semi Condensed"/>
          <w:sz w:val="24"/>
          <w:szCs w:val="24"/>
        </w:rPr>
        <w:t xml:space="preserve"> Il parere sulla comparazione vocale: che cosa la fonetica forense attuale può dire su nastri del 1978 — con la soglia di qualità fissata prima (il blocco 203 dell'agenda). Le voci delle due telefonate sono attribuite per giudicato e per ammissione: la scienza può solo raffinare — e dove non può, tace.</w:t>
      </w:r>
    </w:p>
    <w:p>
      <w:pPr>
        <w:spacing w:after="120" w:line="276"/>
        <w:jc w:val="both"/>
      </w:pPr>
      <w:r>
        <w:rPr>
          <w:rFonts w:ascii="Barlow Semi Condensed" w:cs="Barlow Semi Condensed" w:eastAsia="Barlow Semi Condensed" w:hAnsi="Barlow Semi Condensed"/>
          <w:b/>
          <w:bCs/>
          <w:sz w:val="24"/>
          <w:szCs w:val="24"/>
        </w:rPr>
        <w:t xml:space="preserve">567 · Il rumore di fondo.</w:t>
      </w:r>
      <w:r>
        <w:rPr>
          <w:rFonts w:ascii="Barlow Semi Condensed" w:cs="Barlow Semi Condensed" w:eastAsia="Barlow Semi Condensed" w:hAnsi="Barlow Semi Condensed"/>
          <w:sz w:val="24"/>
          <w:szCs w:val="24"/>
        </w:rPr>
        <w:t xml:space="preserve"> L'analisi dell'ambiente sonoro: i fondi delle due registrazioni (traffico, ambienti, interferenze) con le tecniche attuali di separazione — che cosa dicono dei luoghi di chiamata. Il margine investigativo residuo dei nastri sta nei loro secondi piani: si esplora con aspettative dichiarate basse.</w:t>
      </w:r>
    </w:p>
    <w:p>
      <w:pPr>
        <w:spacing w:after="120" w:line="276"/>
        <w:jc w:val="both"/>
      </w:pPr>
      <w:r>
        <w:rPr>
          <w:rFonts w:ascii="Barlow Semi Condensed" w:cs="Barlow Semi Condensed" w:eastAsia="Barlow Semi Condensed" w:hAnsi="Barlow Semi Condensed"/>
          <w:b/>
          <w:bCs/>
          <w:sz w:val="24"/>
          <w:szCs w:val="24"/>
        </w:rPr>
        <w:t xml:space="preserve">568 · Le telefonate non registrate.</w:t>
      </w:r>
      <w:r>
        <w:rPr>
          <w:rFonts w:ascii="Barlow Semi Condensed" w:cs="Barlow Semi Condensed" w:eastAsia="Barlow Semi Condensed" w:hAnsi="Barlow Semi Condensed"/>
          <w:sz w:val="24"/>
          <w:szCs w:val="24"/>
        </w:rPr>
        <w:t xml:space="preserve"> La tavola del perduto: tutte le altre telefonate documentate dei 55 giorni (le chiamate di annuncio dei comunicati, i contatti riferiti) — per ciascuna, la trascrizione o il verbale che ne resta, e la certificazione che l'audio non esiste. Il censimento del silenzio: ciò che non fu registrato si conta, non si rimpiange.</w:t>
      </w:r>
    </w:p>
    <w:p>
      <w:pPr>
        <w:spacing w:after="120" w:line="276"/>
        <w:jc w:val="both"/>
      </w:pPr>
      <w:r>
        <w:rPr>
          <w:rFonts w:ascii="Barlow Semi Condensed" w:cs="Barlow Semi Condensed" w:eastAsia="Barlow Semi Condensed" w:hAnsi="Barlow Semi Condensed"/>
          <w:b/>
          <w:bCs/>
          <w:sz w:val="24"/>
          <w:szCs w:val="24"/>
        </w:rPr>
        <w:t xml:space="preserve">569 · Perché non si registrava.</w:t>
      </w:r>
      <w:r>
        <w:rPr>
          <w:rFonts w:ascii="Barlow Semi Condensed" w:cs="Barlow Semi Condensed" w:eastAsia="Barlow Semi Condensed" w:hAnsi="Barlow Semi Condensed"/>
          <w:sz w:val="24"/>
          <w:szCs w:val="24"/>
        </w:rPr>
        <w:t xml:space="preserve"> Il quesito di sistema: le capacità e le prassi di registrazione delle utenze nel 1978 — che cosa era tecnicamente intercettato, che cosa si conservava, con quali regole. La risposta spiega il vuoto sonoro del caso: è un quesito d'archivio (i decreti, i brogliacci) prima che tecnico.</w:t>
      </w:r>
    </w:p>
    <w:p>
      <w:pPr>
        <w:spacing w:after="120" w:line="276"/>
        <w:jc w:val="both"/>
      </w:pPr>
      <w:r>
        <w:rPr>
          <w:rFonts w:ascii="Barlow Semi Condensed" w:cs="Barlow Semi Condensed" w:eastAsia="Barlow Semi Condensed" w:hAnsi="Barlow Semi Condensed"/>
          <w:b/>
          <w:bCs/>
          <w:sz w:val="24"/>
          <w:szCs w:val="24"/>
        </w:rPr>
        <w:t xml:space="preserve">570 · I centralini delle redazioni.</w:t>
      </w:r>
      <w:r>
        <w:rPr>
          <w:rFonts w:ascii="Barlow Semi Condensed" w:cs="Barlow Semi Condensed" w:eastAsia="Barlow Semi Condensed" w:hAnsi="Barlow Semi Condensed"/>
          <w:sz w:val="24"/>
          <w:szCs w:val="24"/>
        </w:rPr>
        <w:t xml:space="preserve"> Il giacimento laterale: le prassi di registrazione dei centralini dei giornali del 1978 (le chiamate di rivendicazione arrivavano lì) — esistono nastri di redazione superstiti? L'accertamento testata per testata, con esito verbalizzato comunque vada.</w:t>
      </w:r>
    </w:p>
    <w:p>
      <w:pPr>
        <w:spacing w:after="120" w:line="276"/>
        <w:jc w:val="both"/>
      </w:pPr>
      <w:r>
        <w:rPr>
          <w:rFonts w:ascii="Barlow Semi Condensed" w:cs="Barlow Semi Condensed" w:eastAsia="Barlow Semi Condensed" w:hAnsi="Barlow Semi Condensed"/>
          <w:b/>
          <w:bCs/>
          <w:sz w:val="24"/>
          <w:szCs w:val="24"/>
        </w:rPr>
        <w:t xml:space="preserve">571 · Le radio libere del 1978.</w:t>
      </w:r>
      <w:r>
        <w:rPr>
          <w:rFonts w:ascii="Barlow Semi Condensed" w:cs="Barlow Semi Condensed" w:eastAsia="Barlow Semi Condensed" w:hAnsi="Barlow Semi Condensed"/>
          <w:sz w:val="24"/>
          <w:szCs w:val="24"/>
        </w:rPr>
        <w:t xml:space="preserve"> Il censimento degli archivi delle emittenti radiofoniche private romane e nazionali del 1978: che cosa conservano dei 55 giorni — dirette, notiziari, telefonate in onda. L'etere del 1978 era già affollato: i suoi archivi superstiti sono un giacimento sonoro mai censito.</w:t>
      </w:r>
    </w:p>
    <w:p>
      <w:pPr>
        <w:spacing w:after="120" w:line="276"/>
        <w:jc w:val="both"/>
      </w:pPr>
      <w:r>
        <w:rPr>
          <w:rFonts w:ascii="Barlow Semi Condensed" w:cs="Barlow Semi Condensed" w:eastAsia="Barlow Semi Condensed" w:hAnsi="Barlow Semi Condensed"/>
          <w:b/>
          <w:bCs/>
          <w:sz w:val="24"/>
          <w:szCs w:val="24"/>
        </w:rPr>
        <w:t xml:space="preserve">572 · Radio Vaticana e le voci istituzionali.</w:t>
      </w:r>
      <w:r>
        <w:rPr>
          <w:rFonts w:ascii="Barlow Semi Condensed" w:cs="Barlow Semi Condensed" w:eastAsia="Barlow Semi Condensed" w:hAnsi="Barlow Semi Condensed"/>
          <w:sz w:val="24"/>
          <w:szCs w:val="24"/>
        </w:rPr>
        <w:t xml:space="preserve"> Il raccordo col cantiere vaticano (blocco 132): gli archivi sonori istituzionali — Radio Vaticana, le radio parlamentari, i notiziari pubblici — per la colonna sonora ufficiale della crisi. La voce dello Stato e della Chiesa nei 55 giorni, censita e datata.</w:t>
      </w:r>
    </w:p>
    <w:p>
      <w:pPr>
        <w:spacing w:after="120" w:line="276"/>
        <w:jc w:val="both"/>
      </w:pPr>
      <w:r>
        <w:rPr>
          <w:rFonts w:ascii="Barlow Semi Condensed" w:cs="Barlow Semi Condensed" w:eastAsia="Barlow Semi Condensed" w:hAnsi="Barlow Semi Condensed"/>
          <w:b/>
          <w:bCs/>
          <w:sz w:val="24"/>
          <w:szCs w:val="24"/>
        </w:rPr>
        <w:t xml:space="preserve">573 · Il parlato delle aule.</w:t>
      </w:r>
      <w:r>
        <w:rPr>
          <w:rFonts w:ascii="Barlow Semi Condensed" w:cs="Barlow Semi Condensed" w:eastAsia="Barlow Semi Condensed" w:hAnsi="Barlow Semi Condensed"/>
          <w:sz w:val="24"/>
          <w:szCs w:val="24"/>
        </w:rPr>
        <w:t xml:space="preserve"> Le registrazioni dei processi Moro: esistono audio dei dibattimenti (le corti registravano?) — l'accertamento e il censimento di ciò che resta. La voce dei processi — testimoni, imputati, requisitorie — sarebbe un giacimento sonoro processuale di prima grandezza: o esiste, o si certifica il vuoto.</w:t>
      </w:r>
    </w:p>
    <w:p>
      <w:pPr>
        <w:spacing w:after="120" w:line="276"/>
        <w:jc w:val="both"/>
      </w:pPr>
      <w:r>
        <w:rPr>
          <w:rFonts w:ascii="Barlow Semi Condensed" w:cs="Barlow Semi Condensed" w:eastAsia="Barlow Semi Condensed" w:hAnsi="Barlow Semi Condensed"/>
          <w:b/>
          <w:bCs/>
          <w:sz w:val="24"/>
          <w:szCs w:val="24"/>
        </w:rPr>
        <w:t xml:space="preserve">574 · Le audizioni parlamentari in voce.</w:t>
      </w:r>
      <w:r>
        <w:rPr>
          <w:rFonts w:ascii="Barlow Semi Condensed" w:cs="Barlow Semi Condensed" w:eastAsia="Barlow Semi Condensed" w:hAnsi="Barlow Semi Condensed"/>
          <w:sz w:val="24"/>
          <w:szCs w:val="24"/>
        </w:rPr>
        <w:t xml:space="preserve"> Il gemello parlamentare: le registrazioni audio delle audizioni delle tre commissioni (dove esistono oltre gli stenografici) — censimento e accesso. Lo stenografico normalizza; la voce conserva: dove entrambi esistono, si collazionano.</w:t>
      </w:r>
    </w:p>
    <w:p>
      <w:pPr>
        <w:spacing w:after="120" w:line="276"/>
        <w:jc w:val="both"/>
      </w:pPr>
      <w:r>
        <w:rPr>
          <w:rFonts w:ascii="Barlow Semi Condensed" w:cs="Barlow Semi Condensed" w:eastAsia="Barlow Semi Condensed" w:hAnsi="Barlow Semi Condensed"/>
          <w:b/>
          <w:bCs/>
          <w:sz w:val="24"/>
          <w:szCs w:val="24"/>
        </w:rPr>
        <w:t xml:space="preserve">575 · La voce dei protagonisti, raccolta.</w:t>
      </w:r>
      <w:r>
        <w:rPr>
          <w:rFonts w:ascii="Barlow Semi Condensed" w:cs="Barlow Semi Condensed" w:eastAsia="Barlow Semi Condensed" w:hAnsi="Barlow Semi Condensed"/>
          <w:sz w:val="24"/>
          <w:szCs w:val="24"/>
        </w:rPr>
        <w:t xml:space="preserve"> Il censimento delle interviste audio e video esistenti ai protagonisti del caso (il raccordo col blocco 321): ogni intervista registrata nota, con sede e stato. La fonoteca delle voci del caso — istituzionale, giornalistica, documentaristica — in una tavola unica.</w:t>
      </w:r>
    </w:p>
    <w:p>
      <w:pPr>
        <w:spacing w:after="120" w:line="276"/>
        <w:jc w:val="both"/>
      </w:pPr>
      <w:r>
        <w:rPr>
          <w:rFonts w:ascii="Barlow Semi Condensed" w:cs="Barlow Semi Condensed" w:eastAsia="Barlow Semi Condensed" w:hAnsi="Barlow Semi Condensed"/>
          <w:b/>
          <w:bCs/>
          <w:sz w:val="24"/>
          <w:szCs w:val="24"/>
        </w:rPr>
        <w:t xml:space="preserve">576 · L'audio della Notte della Repubblica.</w:t>
      </w:r>
      <w:r>
        <w:rPr>
          <w:rFonts w:ascii="Barlow Semi Condensed" w:cs="Barlow Semi Condensed" w:eastAsia="Barlow Semi Condensed" w:hAnsi="Barlow Semi Condensed"/>
          <w:sz w:val="24"/>
          <w:szCs w:val="24"/>
        </w:rPr>
        <w:t xml:space="preserve"> Il fatto verificato: le puntate di Zavoli (Rai 2, dicembre 1989-aprile 1990) sono conservate da Rai Teche e in larga parte su RaiPlay; l'esistenza e l'accessibilità dei materiali grezzi — le interviste integrali non montate — restano da accertare. Il bersaglio: l'accertamento formale presso le Teche, con la richiesta di censimento dei girati.</w:t>
      </w:r>
    </w:p>
    <w:p>
      <w:pPr>
        <w:spacing w:after="120" w:line="276"/>
        <w:jc w:val="both"/>
      </w:pPr>
      <w:r>
        <w:rPr>
          <w:rFonts w:ascii="Barlow Semi Condensed" w:cs="Barlow Semi Condensed" w:eastAsia="Barlow Semi Condensed" w:hAnsi="Barlow Semi Condensed"/>
          <w:b/>
          <w:bCs/>
          <w:sz w:val="24"/>
          <w:szCs w:val="24"/>
        </w:rPr>
        <w:t xml:space="preserve">577 · I grezzi come giacimento.</w:t>
      </w:r>
      <w:r>
        <w:rPr>
          <w:rFonts w:ascii="Barlow Semi Condensed" w:cs="Barlow Semi Condensed" w:eastAsia="Barlow Semi Condensed" w:hAnsi="Barlow Semi Condensed"/>
          <w:sz w:val="24"/>
          <w:szCs w:val="24"/>
        </w:rPr>
        <w:t xml:space="preserve"> La regola dei grezzi: per ogni programma storico sul caso (Zavoli in testa), i materiali non montati valgono più del montato — domande tagliate, risposte intere, fuori onda. La campagna: il censimento dei grezzi superstiti presso le teche, programma per programma.</w:t>
      </w:r>
    </w:p>
    <w:p>
      <w:pPr>
        <w:spacing w:after="120" w:line="276"/>
        <w:jc w:val="both"/>
      </w:pPr>
      <w:r>
        <w:rPr>
          <w:rFonts w:ascii="Barlow Semi Condensed" w:cs="Barlow Semi Condensed" w:eastAsia="Barlow Semi Condensed" w:hAnsi="Barlow Semi Condensed"/>
          <w:b/>
          <w:bCs/>
          <w:sz w:val="24"/>
          <w:szCs w:val="24"/>
        </w:rPr>
        <w:t xml:space="preserve">578 · Le teche Rai, il protocollo.</w:t>
      </w:r>
      <w:r>
        <w:rPr>
          <w:rFonts w:ascii="Barlow Semi Condensed" w:cs="Barlow Semi Condensed" w:eastAsia="Barlow Semi Condensed" w:hAnsi="Barlow Semi Condensed"/>
          <w:sz w:val="24"/>
          <w:szCs w:val="24"/>
        </w:rPr>
        <w:t xml:space="preserve"> Il protocollo d'accesso: la convenzione di ricerca con Rai Teche per il corpus moroteo — perimetro, costi, diritti (il blocco 43 dell'agenda, eseguito). L'archivio audiovisivo pubblico è la memoria sensibile della Repubblica: il cantiere vi entra dalla porta, con le carte in regola.</w:t>
      </w:r>
    </w:p>
    <w:p>
      <w:pPr>
        <w:spacing w:after="120" w:line="276"/>
        <w:jc w:val="both"/>
      </w:pPr>
      <w:r>
        <w:rPr>
          <w:rFonts w:ascii="Barlow Semi Condensed" w:cs="Barlow Semi Condensed" w:eastAsia="Barlow Semi Condensed" w:hAnsi="Barlow Semi Condensed"/>
          <w:b/>
          <w:bCs/>
          <w:sz w:val="24"/>
          <w:szCs w:val="24"/>
        </w:rPr>
        <w:t xml:space="preserve">579 · Il 9 maggio in diretta.</w:t>
      </w:r>
      <w:r>
        <w:rPr>
          <w:rFonts w:ascii="Barlow Semi Condensed" w:cs="Barlow Semi Condensed" w:eastAsia="Barlow Semi Condensed" w:hAnsi="Barlow Semi Condensed"/>
          <w:sz w:val="24"/>
          <w:szCs w:val="24"/>
        </w:rPr>
        <w:t xml:space="preserve"> La giornata del ritrovamento nella memoria sonora e visiva, col fatto verificato che la governa: le prime e uniche immagini dell'apertura del bagagliaio furono girate in esclusiva dall'emittente privata romana GBR (il giornalista Franco Alfano con l'operatore Valerio Leccese), poi entrate nel repertorio Rai — mentre la collocazione attuale dei grezzi originali GBR non è documentata: è il bersaglio. Intorno: le edizioni straordinarie, le dirette, le voci dei cronisti — il censimento integrale del 9 maggio.</w:t>
      </w:r>
    </w:p>
    <w:p>
      <w:pPr>
        <w:spacing w:after="120" w:line="276"/>
        <w:jc w:val="both"/>
      </w:pPr>
      <w:r>
        <w:rPr>
          <w:rFonts w:ascii="Barlow Semi Condensed" w:cs="Barlow Semi Condensed" w:eastAsia="Barlow Semi Condensed" w:hAnsi="Barlow Semi Condensed"/>
          <w:b/>
          <w:bCs/>
          <w:sz w:val="24"/>
          <w:szCs w:val="24"/>
        </w:rPr>
        <w:t xml:space="preserve">580 · Il 16 marzo in diretta.</w:t>
      </w:r>
      <w:r>
        <w:rPr>
          <w:rFonts w:ascii="Barlow Semi Condensed" w:cs="Barlow Semi Condensed" w:eastAsia="Barlow Semi Condensed" w:hAnsi="Barlow Semi Condensed"/>
          <w:sz w:val="24"/>
          <w:szCs w:val="24"/>
        </w:rPr>
        <w:t xml:space="preserve"> La giornata gemella: la mattina di via Fani nelle radio e nelle televisioni — la sequenza delle edizioni straordinarie, i primi arrivi delle troupe, gli orari di messa in onda. La cronologia mediatica della prima ora, ricostruita al minuto: è anche un documento su chi seppe che cosa per primo.</w:t>
      </w:r>
    </w:p>
    <w:p>
      <w:pPr>
        <w:spacing w:after="120" w:line="276"/>
        <w:jc w:val="both"/>
      </w:pPr>
      <w:r>
        <w:rPr>
          <w:rFonts w:ascii="Barlow Semi Condensed" w:cs="Barlow Semi Condensed" w:eastAsia="Barlow Semi Condensed" w:hAnsi="Barlow Semi Condensed"/>
          <w:b/>
          <w:bCs/>
          <w:sz w:val="24"/>
          <w:szCs w:val="24"/>
        </w:rPr>
        <w:t xml:space="preserve">581 · L'audio degli archivi esteri.</w:t>
      </w:r>
      <w:r>
        <w:rPr>
          <w:rFonts w:ascii="Barlow Semi Condensed" w:cs="Barlow Semi Condensed" w:eastAsia="Barlow Semi Condensed" w:hAnsi="Barlow Semi Condensed"/>
          <w:sz w:val="24"/>
          <w:szCs w:val="24"/>
        </w:rPr>
        <w:t xml:space="preserve"> Il raccordo coi cantieri esteri: i materiali sonori dei broadcaster stranieri (BBC, ORTF/INA, ARD) sui 55 giorni — corrispondenze, interviste d'epoca ai protagonisti italiani. Le voci del caso in altre lingue: censite nei rispettivi archivi con le regole della Parte prima.</w:t>
      </w:r>
    </w:p>
    <w:p>
      <w:pPr>
        <w:spacing w:after="120" w:line="276"/>
        <w:jc w:val="both"/>
      </w:pPr>
      <w:r>
        <w:rPr>
          <w:rFonts w:ascii="Barlow Semi Condensed" w:cs="Barlow Semi Condensed" w:eastAsia="Barlow Semi Condensed" w:hAnsi="Barlow Semi Condensed"/>
          <w:b/>
          <w:bCs/>
          <w:sz w:val="24"/>
          <w:szCs w:val="24"/>
        </w:rPr>
        <w:t xml:space="preserve">582 · Le voci perdute da raccogliere.</w:t>
      </w:r>
      <w:r>
        <w:rPr>
          <w:rFonts w:ascii="Barlow Semi Condensed" w:cs="Barlow Semi Condensed" w:eastAsia="Barlow Semi Condensed" w:hAnsi="Barlow Semi Condensed"/>
          <w:sz w:val="24"/>
          <w:szCs w:val="24"/>
        </w:rPr>
        <w:t xml:space="preserve"> Il fronte conservativo: le voci dei testimoni viventi registrate ora (la serie quinta dell'agenda) entrano nella fonoteca del caso con standard d'archivio — il futuro del cantiere audio è la raccolta di oggi. La fonoteca cresce a ogni ascolto: è l'unico giacimento sonoro che si espande.</w:t>
      </w:r>
    </w:p>
    <w:p>
      <w:pPr>
        <w:spacing w:after="120" w:line="276"/>
        <w:jc w:val="both"/>
      </w:pPr>
      <w:r>
        <w:rPr>
          <w:rFonts w:ascii="Barlow Semi Condensed" w:cs="Barlow Semi Condensed" w:eastAsia="Barlow Semi Condensed" w:hAnsi="Barlow Semi Condensed"/>
          <w:b/>
          <w:bCs/>
          <w:sz w:val="24"/>
          <w:szCs w:val="24"/>
        </w:rPr>
        <w:t xml:space="preserve">583 · La fonoteca unica.</w:t>
      </w:r>
      <w:r>
        <w:rPr>
          <w:rFonts w:ascii="Barlow Semi Condensed" w:cs="Barlow Semi Condensed" w:eastAsia="Barlow Semi Condensed" w:hAnsi="Barlow Semi Condensed"/>
          <w:sz w:val="24"/>
          <w:szCs w:val="24"/>
        </w:rPr>
        <w:t xml:space="preserve"> Lo strumento d'insieme: la fonoteca digitale del caso — i due nastri del 1978, le voci istituzionali, le interviste, le raccolte conservative — indicizzata al minuto e citabile (il fascicolo audiovisivo del manuale, eseguito). Ogni secondo sonoro del caso, trovabile: è il contrario dell'oblio.</w:t>
      </w:r>
    </w:p>
    <w:p>
      <w:pPr>
        <w:spacing w:after="120" w:line="276"/>
        <w:jc w:val="both"/>
      </w:pPr>
      <w:r>
        <w:rPr>
          <w:rFonts w:ascii="Barlow Semi Condensed" w:cs="Barlow Semi Condensed" w:eastAsia="Barlow Semi Condensed" w:hAnsi="Barlow Semi Condensed"/>
          <w:b/>
          <w:bCs/>
          <w:sz w:val="24"/>
          <w:szCs w:val="24"/>
        </w:rPr>
        <w:t xml:space="preserve">584 · I vuoti sonori.</w:t>
      </w:r>
      <w:r>
        <w:rPr>
          <w:rFonts w:ascii="Barlow Semi Condensed" w:cs="Barlow Semi Condensed" w:eastAsia="Barlow Semi Condensed" w:hAnsi="Barlow Semi Condensed"/>
          <w:sz w:val="24"/>
          <w:szCs w:val="24"/>
        </w:rPr>
        <w:t xml:space="preserve"> Il verbale dei vuoti: le registrazioni che non esistono, i nastri perduti con la loro storia, i grezzi non conservati — lo Stato Zero sonoro, perimetrato. Due nastri su cinquantacinque giorni: il vuoto stesso è il primo documento della sezione.</w:t>
      </w:r>
    </w:p>
    <w:p>
      <w:pPr>
        <w:spacing w:after="120" w:line="276"/>
        <w:jc w:val="both"/>
      </w:pPr>
      <w:r>
        <w:rPr>
          <w:rFonts w:ascii="Barlow Semi Condensed" w:cs="Barlow Semi Condensed" w:eastAsia="Barlow Semi Condensed" w:hAnsi="Barlow Semi Condensed"/>
          <w:b/>
          <w:bCs/>
          <w:sz w:val="24"/>
          <w:szCs w:val="24"/>
        </w:rPr>
        <w:t xml:space="preserve">585 · La tavola dell'audio.</w:t>
      </w:r>
      <w:r>
        <w:rPr>
          <w:rFonts w:ascii="Barlow Semi Condensed" w:cs="Barlow Semi Condensed" w:eastAsia="Barlow Semi Condensed" w:hAnsi="Barlow Semi Condensed"/>
          <w:sz w:val="24"/>
          <w:szCs w:val="24"/>
        </w:rPr>
        <w:t xml:space="preserve"> La chiusura della sezione: i supporti censiti, i restauri fatti, le trascrizioni certificate, i vuoti dichiarati. La memoria sonora del caso, contata — poca, preziosa, finalmente ordinata.</w:t>
      </w:r>
    </w:p>
    <w:p>
      <w:pPr>
        <w:pStyle w:val="Heading3"/>
        <w:spacing w:after="80" w:before="160"/>
      </w:pPr>
      <w:r>
        <w:rPr>
          <w:rFonts w:ascii="Barlow Semi Condensed" w:cs="Barlow Semi Condensed" w:eastAsia="Barlow Semi Condensed" w:hAnsi="Barlow Semi Condensed"/>
          <w:sz w:val="24"/>
          <w:szCs w:val="24"/>
        </w:rPr>
        <w:t xml:space="preserve">La fotografia (blocchi 586-615)</w:t>
      </w:r>
    </w:p>
    <w:p>
      <w:pPr>
        <w:spacing w:after="120" w:line="276"/>
        <w:jc w:val="both"/>
      </w:pPr>
      <w:r>
        <w:rPr>
          <w:rFonts w:ascii="Barlow Semi Condensed" w:cs="Barlow Semi Condensed" w:eastAsia="Barlow Semi Condensed" w:hAnsi="Barlow Semi Condensed"/>
          <w:b/>
          <w:bCs/>
          <w:sz w:val="24"/>
          <w:szCs w:val="24"/>
        </w:rPr>
        <w:t xml:space="preserve">586 · I due filoni, censiti.</w:t>
      </w:r>
      <w:r>
        <w:rPr>
          <w:rFonts w:ascii="Barlow Semi Condensed" w:cs="Barlow Semi Condensed" w:eastAsia="Barlow Semi Condensed" w:hAnsi="Barlow Semi Condensed"/>
          <w:sz w:val="24"/>
          <w:szCs w:val="24"/>
        </w:rPr>
        <w:t xml:space="preserve"> Il fatto verificato come architettura: le fotografie di via Fani vivono in due filoni — i rilievi della Polizia scientifica (negli atti giudiziari e parlamentari) e i fondi delle agenzie e dei giornali. Il primo bersaglio: il censimento parallelo dei due filoni, con inventari separati e regole d'accesso proprie.</w:t>
      </w:r>
    </w:p>
    <w:p>
      <w:pPr>
        <w:spacing w:after="120" w:line="276"/>
        <w:jc w:val="both"/>
      </w:pPr>
      <w:r>
        <w:rPr>
          <w:rFonts w:ascii="Barlow Semi Condensed" w:cs="Barlow Semi Condensed" w:eastAsia="Barlow Semi Condensed" w:hAnsi="Barlow Semi Condensed"/>
          <w:b/>
          <w:bCs/>
          <w:sz w:val="24"/>
          <w:szCs w:val="24"/>
        </w:rPr>
        <w:t xml:space="preserve">587 · I rilievi della Scientifica.</w:t>
      </w:r>
      <w:r>
        <w:rPr>
          <w:rFonts w:ascii="Barlow Semi Condensed" w:cs="Barlow Semi Condensed" w:eastAsia="Barlow Semi Condensed" w:hAnsi="Barlow Semi Condensed"/>
          <w:sz w:val="24"/>
          <w:szCs w:val="24"/>
        </w:rPr>
        <w:t xml:space="preserve"> Il filone ufficiale: i rilievi fotografici della Polizia scientifica del 16 marzo — il censimento integrale dagli atti digitalizzati (quante immagini, di che cosa, in che sequenza). Il fascicolo fotografico ufficiale della scena, ricostruito come corpus ordinato: mai fatto in forma pubblica.</w:t>
      </w:r>
    </w:p>
    <w:p>
      <w:pPr>
        <w:spacing w:after="120" w:line="276"/>
        <w:jc w:val="both"/>
      </w:pPr>
      <w:r>
        <w:rPr>
          <w:rFonts w:ascii="Barlow Semi Condensed" w:cs="Barlow Semi Condensed" w:eastAsia="Barlow Semi Condensed" w:hAnsi="Barlow Semi Condensed"/>
          <w:b/>
          <w:bCs/>
          <w:sz w:val="24"/>
          <w:szCs w:val="24"/>
        </w:rPr>
        <w:t xml:space="preserve">588 · I negativi originali.</w:t>
      </w:r>
      <w:r>
        <w:rPr>
          <w:rFonts w:ascii="Barlow Semi Condensed" w:cs="Barlow Semi Condensed" w:eastAsia="Barlow Semi Condensed" w:hAnsi="Barlow Semi Condensed"/>
          <w:sz w:val="24"/>
          <w:szCs w:val="24"/>
        </w:rPr>
        <w:t xml:space="preserve"> La caccia ai negativi: dove sono i negativi originali dei rilievi del 1978 — archivi della Polizia scientifica, fascicoli processuali, versamenti. Il negativo è il reperto; la stampa è una copia: la digitalizzazione dal negativo (il blocco 90 dell'agenda) dipende da questo accertamento.</w:t>
      </w:r>
    </w:p>
    <w:p>
      <w:pPr>
        <w:spacing w:after="120" w:line="276"/>
        <w:jc w:val="both"/>
      </w:pPr>
      <w:r>
        <w:rPr>
          <w:rFonts w:ascii="Barlow Semi Condensed" w:cs="Barlow Semi Condensed" w:eastAsia="Barlow Semi Condensed" w:hAnsi="Barlow Semi Condensed"/>
          <w:b/>
          <w:bCs/>
          <w:sz w:val="24"/>
          <w:szCs w:val="24"/>
        </w:rPr>
        <w:t xml:space="preserve">589 · La sequenza temporale degli scatti.</w:t>
      </w:r>
      <w:r>
        <w:rPr>
          <w:rFonts w:ascii="Barlow Semi Condensed" w:cs="Barlow Semi Condensed" w:eastAsia="Barlow Semi Condensed" w:hAnsi="Barlow Semi Condensed"/>
          <w:sz w:val="24"/>
          <w:szCs w:val="24"/>
        </w:rPr>
        <w:t xml:space="preserve"> La cronologia interna: l'ordinamento temporale dei rilievi del 16 marzo (dalle ombre, dai dettagli mutati, dai numeri di rullino) — la scena fotografata come sequenza, non come mucchio. L'ordine degli scatti è informazione: che cosa fu mosso, quando, da chi.</w:t>
      </w:r>
    </w:p>
    <w:p>
      <w:pPr>
        <w:spacing w:after="120" w:line="276"/>
        <w:jc w:val="both"/>
      </w:pPr>
      <w:r>
        <w:rPr>
          <w:rFonts w:ascii="Barlow Semi Condensed" w:cs="Barlow Semi Condensed" w:eastAsia="Barlow Semi Condensed" w:hAnsi="Barlow Semi Condensed"/>
          <w:b/>
          <w:bCs/>
          <w:sz w:val="24"/>
          <w:szCs w:val="24"/>
        </w:rPr>
        <w:t xml:space="preserve">590 · Le foto d'agenzia del 16 marzo.</w:t>
      </w:r>
      <w:r>
        <w:rPr>
          <w:rFonts w:ascii="Barlow Semi Condensed" w:cs="Barlow Semi Condensed" w:eastAsia="Barlow Semi Condensed" w:hAnsi="Barlow Semi Condensed"/>
          <w:sz w:val="24"/>
          <w:szCs w:val="24"/>
        </w:rPr>
        <w:t xml:space="preserve"> Il filone privato: i fondi ANSA, AP e delle agenzie per via Fani — il censimento degli scatti d'agenzia con orari e autori, incluso il fondo Publifoto (circa sette milioni di immagini, acquisito nel 2015 da Intesa Sanpaolo e gestito dal suo Archivio storico: la presenza morotea è da verificare a catalogo). I fotografi arrivarono presto: i loro scatti documentano la scena prima e durante i rilievi — e i bordi dei negativi documentano ciò che il ritaglio escluse.</w:t>
      </w:r>
    </w:p>
    <w:p>
      <w:pPr>
        <w:spacing w:after="120" w:line="276"/>
        <w:jc w:val="both"/>
      </w:pPr>
      <w:r>
        <w:rPr>
          <w:rFonts w:ascii="Barlow Semi Condensed" w:cs="Barlow Semi Condensed" w:eastAsia="Barlow Semi Condensed" w:hAnsi="Barlow Semi Condensed"/>
          <w:b/>
          <w:bCs/>
          <w:sz w:val="24"/>
          <w:szCs w:val="24"/>
        </w:rPr>
        <w:t xml:space="preserve">591 · I fotografi di via Fani.</w:t>
      </w:r>
      <w:r>
        <w:rPr>
          <w:rFonts w:ascii="Barlow Semi Condensed" w:cs="Barlow Semi Condensed" w:eastAsia="Barlow Semi Condensed" w:hAnsi="Barlow Semi Condensed"/>
          <w:sz w:val="24"/>
          <w:szCs w:val="24"/>
        </w:rPr>
        <w:t xml:space="preserve"> L'anagrafe degli autori, col primo nome verificato: Antonio Ianni dell'ANSA arrivò circa un quarto d'ora dopo l'agguato e scattò tre rullini, consegnati subito alla sede romana (fu audito dalla Moro 2 nel 2017). La tavola completa dei fotografi presenti con orari, testate, fondi di destinazione: ogni autore è un punto di vista datato; i viventi si ascoltano (la serie quinta), gli archivi si censiscono.</w:t>
      </w:r>
    </w:p>
    <w:p>
      <w:pPr>
        <w:spacing w:after="120" w:line="276"/>
        <w:jc w:val="both"/>
      </w:pPr>
      <w:r>
        <w:rPr>
          <w:rFonts w:ascii="Barlow Semi Condensed" w:cs="Barlow Semi Condensed" w:eastAsia="Barlow Semi Condensed" w:hAnsi="Barlow Semi Condensed"/>
          <w:b/>
          <w:bCs/>
          <w:sz w:val="24"/>
          <w:szCs w:val="24"/>
        </w:rPr>
        <w:t xml:space="preserve">592 · La folla nelle immagini.</w:t>
      </w:r>
      <w:r>
        <w:rPr>
          <w:rFonts w:ascii="Barlow Semi Condensed" w:cs="Barlow Semi Condensed" w:eastAsia="Barlow Semi Condensed" w:hAnsi="Barlow Semi Condensed"/>
          <w:sz w:val="24"/>
          <w:szCs w:val="24"/>
        </w:rPr>
        <w:t xml:space="preserve"> L'analisi sistematica delle presenze: le persone visibili negli scatti del 16 marzo — la mappatura dei presenti (curiosi, operatori, autorità) immagine per immagine, con la disciplina personalistica stampata: la presenza in una foto è un fatto, mai un indizio di condotta. La scena includeva il suo pubblico: censirlo è cronaca, non sospetto.</w:t>
      </w:r>
    </w:p>
    <w:p>
      <w:pPr>
        <w:spacing w:after="120" w:line="276"/>
        <w:jc w:val="both"/>
      </w:pPr>
      <w:r>
        <w:rPr>
          <w:rFonts w:ascii="Barlow Semi Condensed" w:cs="Barlow Semi Condensed" w:eastAsia="Barlow Semi Condensed" w:hAnsi="Barlow Semi Condensed"/>
          <w:b/>
          <w:bCs/>
          <w:sz w:val="24"/>
          <w:szCs w:val="24"/>
        </w:rPr>
        <w:t xml:space="preserve">593 · Il confronto fra i filoni.</w:t>
      </w:r>
      <w:r>
        <w:rPr>
          <w:rFonts w:ascii="Barlow Semi Condensed" w:cs="Barlow Semi Condensed" w:eastAsia="Barlow Semi Condensed" w:hAnsi="Barlow Semi Condensed"/>
          <w:sz w:val="24"/>
          <w:szCs w:val="24"/>
        </w:rPr>
        <w:t xml:space="preserve"> La collazione ufficiale-privato: le stesse ore, due macchine fotografiche — che cosa i rilievi mostrano e le agenzie no, e viceversa. La tavola delle differenze di copertura: ogni scarto è un pezzo di scena in più, da qualunque parte venga.</w:t>
      </w:r>
    </w:p>
    <w:p>
      <w:pPr>
        <w:spacing w:after="120" w:line="276"/>
        <w:jc w:val="both"/>
      </w:pPr>
      <w:r>
        <w:rPr>
          <w:rFonts w:ascii="Barlow Semi Condensed" w:cs="Barlow Semi Condensed" w:eastAsia="Barlow Semi Condensed" w:hAnsi="Barlow Semi Condensed"/>
          <w:b/>
          <w:bCs/>
          <w:sz w:val="24"/>
          <w:szCs w:val="24"/>
        </w:rPr>
        <w:t xml:space="preserve">594 · Le foto della prigione.</w:t>
      </w:r>
      <w:r>
        <w:rPr>
          <w:rFonts w:ascii="Barlow Semi Condensed" w:cs="Barlow Semi Condensed" w:eastAsia="Barlow Semi Condensed" w:hAnsi="Barlow Semi Condensed"/>
          <w:sz w:val="24"/>
          <w:szCs w:val="24"/>
        </w:rPr>
        <w:t xml:space="preserve"> Il corpus fotografico brigatista: le immagini della prigionia (la foto col drappo, la foto della Repubblica del 19 aprile) — la scheda filologica di ciascuna: tradizione, esemplari, perizie d'epoca, riesami moderni (il raccordo col blocco 425). Le immagini più studiate del caso meritano la filologia più rigorosa.</w:t>
      </w:r>
    </w:p>
    <w:p>
      <w:pPr>
        <w:spacing w:after="120" w:line="276"/>
        <w:jc w:val="both"/>
      </w:pPr>
      <w:r>
        <w:rPr>
          <w:rFonts w:ascii="Barlow Semi Condensed" w:cs="Barlow Semi Condensed" w:eastAsia="Barlow Semi Condensed" w:hAnsi="Barlow Semi Condensed"/>
          <w:b/>
          <w:bCs/>
          <w:sz w:val="24"/>
          <w:szCs w:val="24"/>
        </w:rPr>
        <w:t xml:space="preserve">595 · La fotogrammetria della prigione.</w:t>
      </w:r>
      <w:r>
        <w:rPr>
          <w:rFonts w:ascii="Barlow Semi Condensed" w:cs="Barlow Semi Condensed" w:eastAsia="Barlow Semi Condensed" w:hAnsi="Barlow Semi Condensed"/>
          <w:sz w:val="24"/>
          <w:szCs w:val="24"/>
        </w:rPr>
        <w:t xml:space="preserve"> Il riesame tecnico: la fotogrammetria moderna sulle foto della prigionia — misure del fondale, geometrie, ombre — contro le caratteristiche note di via Montalcini 8 (il blocco 419). La compatibilità misurata, non narrata: l'immagine come strumento metrico.</w:t>
      </w:r>
    </w:p>
    <w:p>
      <w:pPr>
        <w:spacing w:after="120" w:line="276"/>
        <w:jc w:val="both"/>
      </w:pPr>
      <w:r>
        <w:rPr>
          <w:rFonts w:ascii="Barlow Semi Condensed" w:cs="Barlow Semi Condensed" w:eastAsia="Barlow Semi Condensed" w:hAnsi="Barlow Semi Condensed"/>
          <w:b/>
          <w:bCs/>
          <w:sz w:val="24"/>
          <w:szCs w:val="24"/>
        </w:rPr>
        <w:t xml:space="preserve">596 · Le foto del 9 maggio.</w:t>
      </w:r>
      <w:r>
        <w:rPr>
          <w:rFonts w:ascii="Barlow Semi Condensed" w:cs="Barlow Semi Condensed" w:eastAsia="Barlow Semi Condensed" w:hAnsi="Barlow Semi Condensed"/>
          <w:sz w:val="24"/>
          <w:szCs w:val="24"/>
        </w:rPr>
        <w:t xml:space="preserve"> Il corpus del ritrovamento: gli scatti di via Caetani — ufficiali e d'agenzia — censiti con la stessa griglia (autori, orari, sequenze). La giornata finale ha la sua archeologia fotografica: si costruisce con lo stesso metodo del 16 marzo, e con lo stesso rispetto.</w:t>
      </w:r>
    </w:p>
    <w:p>
      <w:pPr>
        <w:spacing w:after="120" w:line="276"/>
        <w:jc w:val="both"/>
      </w:pPr>
      <w:r>
        <w:rPr>
          <w:rFonts w:ascii="Barlow Semi Condensed" w:cs="Barlow Semi Condensed" w:eastAsia="Barlow Semi Condensed" w:hAnsi="Barlow Semi Condensed"/>
          <w:b/>
          <w:bCs/>
          <w:sz w:val="24"/>
          <w:szCs w:val="24"/>
        </w:rPr>
        <w:t xml:space="preserve">597 · Le foto dei 55 giorni.</w:t>
      </w:r>
      <w:r>
        <w:rPr>
          <w:rFonts w:ascii="Barlow Semi Condensed" w:cs="Barlow Semi Condensed" w:eastAsia="Barlow Semi Condensed" w:hAnsi="Barlow Semi Condensed"/>
          <w:sz w:val="24"/>
          <w:szCs w:val="24"/>
        </w:rPr>
        <w:t xml:space="preserve"> Il corpus intermedio: la fotografia della crisi fra i due capi — le manifestazioni, i vertici, le conferenze stampa, i luoghi — il censimento tematico nei fondi d'agenzia. La cronaca visiva dei 55 giorni come serie datata: il paese nella crisi, giorno per giorno.</w:t>
      </w:r>
    </w:p>
    <w:p>
      <w:pPr>
        <w:spacing w:after="120" w:line="276"/>
        <w:jc w:val="both"/>
      </w:pPr>
      <w:r>
        <w:rPr>
          <w:rFonts w:ascii="Barlow Semi Condensed" w:cs="Barlow Semi Condensed" w:eastAsia="Barlow Semi Condensed" w:hAnsi="Barlow Semi Condensed"/>
          <w:b/>
          <w:bCs/>
          <w:sz w:val="24"/>
          <w:szCs w:val="24"/>
        </w:rPr>
        <w:t xml:space="preserve">598 · Le foto dei covi.</w:t>
      </w:r>
      <w:r>
        <w:rPr>
          <w:rFonts w:ascii="Barlow Semi Condensed" w:cs="Barlow Semi Condensed" w:eastAsia="Barlow Semi Condensed" w:hAnsi="Barlow Semi Condensed"/>
          <w:sz w:val="24"/>
          <w:szCs w:val="24"/>
        </w:rPr>
        <w:t xml:space="preserve"> Il corpus giudiziario minore: i rilievi fotografici delle perquisizioni (via Gradoli il 18 aprile, via Monte Nevoso il 1° ottobre) — censimento dagli atti, con l'attenzione della scheda PE-3 ai rilievi del bagno di via Gradoli. Ogni perquisizione fotografata è una scena conservata: si rilegge con gli occhi del 2026.</w:t>
      </w:r>
    </w:p>
    <w:p>
      <w:pPr>
        <w:spacing w:after="120" w:line="276"/>
        <w:jc w:val="both"/>
      </w:pPr>
      <w:r>
        <w:rPr>
          <w:rFonts w:ascii="Barlow Semi Condensed" w:cs="Barlow Semi Condensed" w:eastAsia="Barlow Semi Condensed" w:hAnsi="Barlow Semi Condensed"/>
          <w:b/>
          <w:bCs/>
          <w:sz w:val="24"/>
          <w:szCs w:val="24"/>
        </w:rPr>
        <w:t xml:space="preserve">599 · Il multispettrale sulle stampe.</w:t>
      </w:r>
      <w:r>
        <w:rPr>
          <w:rFonts w:ascii="Barlow Semi Condensed" w:cs="Barlow Semi Condensed" w:eastAsia="Barlow Semi Condensed" w:hAnsi="Barlow Semi Condensed"/>
          <w:sz w:val="24"/>
          <w:szCs w:val="24"/>
        </w:rPr>
        <w:t xml:space="preserve"> L'esame nuovo: l'imaging moderno sulle stampe e sui negativi d'epoca — dettagli sotto soglia, alterazioni, ritagli (il raccordo col blocco 444). La fotografia del caso non è mai stata riesaminata come oggetto tecnico: è un giacimento non distruttivo intero.</w:t>
      </w:r>
    </w:p>
    <w:p>
      <w:pPr>
        <w:spacing w:after="120" w:line="276"/>
        <w:jc w:val="both"/>
      </w:pPr>
      <w:r>
        <w:rPr>
          <w:rFonts w:ascii="Barlow Semi Condensed" w:cs="Barlow Semi Condensed" w:eastAsia="Barlow Semi Condensed" w:hAnsi="Barlow Semi Condensed"/>
          <w:b/>
          <w:bCs/>
          <w:sz w:val="24"/>
          <w:szCs w:val="24"/>
        </w:rPr>
        <w:t xml:space="preserve">600 · Il seicentesimo blocco: l'etica dell'immagine.</w:t>
      </w:r>
      <w:r>
        <w:rPr>
          <w:rFonts w:ascii="Barlow Semi Condensed" w:cs="Barlow Semi Condensed" w:eastAsia="Barlow Semi Condensed" w:hAnsi="Barlow Semi Condensed"/>
          <w:sz w:val="24"/>
          <w:szCs w:val="24"/>
        </w:rPr>
        <w:t xml:space="preserve"> La regola della parte, a tre quinti dell'opera: le immagini del caso includono corpi, dolore, famiglie — ogni uso del cantiere rispetta la dignità delle vittime e dei loro cari: nessuna immagine per impatto, ogni immagine per documento, e le più dolorose descritte prima che mostrate. Il rigore non ha bisogno di crudeltà.</w:t>
      </w:r>
    </w:p>
    <w:p>
      <w:pPr>
        <w:spacing w:after="120" w:line="276"/>
        <w:jc w:val="both"/>
      </w:pPr>
      <w:r>
        <w:rPr>
          <w:rFonts w:ascii="Barlow Semi Condensed" w:cs="Barlow Semi Condensed" w:eastAsia="Barlow Semi Condensed" w:hAnsi="Barlow Semi Condensed"/>
          <w:b/>
          <w:bCs/>
          <w:sz w:val="24"/>
          <w:szCs w:val="24"/>
        </w:rPr>
        <w:t xml:space="preserve">601 · I fototipi e le datazioni.</w:t>
      </w:r>
      <w:r>
        <w:rPr>
          <w:rFonts w:ascii="Barlow Semi Condensed" w:cs="Barlow Semi Condensed" w:eastAsia="Barlow Semi Condensed" w:hAnsi="Barlow Semi Condensed"/>
          <w:sz w:val="24"/>
          <w:szCs w:val="24"/>
        </w:rPr>
        <w:t xml:space="preserve"> La tecnica al servizio della tradizione: l'identificazione di pellicole, carte e sviluppi d'epoca per datare e ordinare le stampe non datate dei fondi. La merceologia fotografica come filologia: ogni carta fotografica ha la sua epoca, e la dice.</w:t>
      </w:r>
    </w:p>
    <w:p>
      <w:pPr>
        <w:spacing w:after="120" w:line="276"/>
        <w:jc w:val="both"/>
      </w:pPr>
      <w:r>
        <w:rPr>
          <w:rFonts w:ascii="Barlow Semi Condensed" w:cs="Barlow Semi Condensed" w:eastAsia="Barlow Semi Condensed" w:hAnsi="Barlow Semi Condensed"/>
          <w:b/>
          <w:bCs/>
          <w:sz w:val="24"/>
          <w:szCs w:val="24"/>
        </w:rPr>
        <w:t xml:space="preserve">602 · Le immagini mai pubblicate.</w:t>
      </w:r>
      <w:r>
        <w:rPr>
          <w:rFonts w:ascii="Barlow Semi Condensed" w:cs="Barlow Semi Condensed" w:eastAsia="Barlow Semi Condensed" w:hAnsi="Barlow Semi Condensed"/>
          <w:sz w:val="24"/>
          <w:szCs w:val="24"/>
        </w:rPr>
        <w:t xml:space="preserve"> La caccia all'inedito d'archivio: gli scatti mai usciti nei fondi d'agenzia e nei fascicoli — il censimento del non pubblicato con la griglia dei quesiti. L'inedito non è uno scoop: è un documento in più, e si tratta come tale.</w:t>
      </w:r>
    </w:p>
    <w:p>
      <w:pPr>
        <w:spacing w:after="120" w:line="276"/>
        <w:jc w:val="both"/>
      </w:pPr>
      <w:r>
        <w:rPr>
          <w:rFonts w:ascii="Barlow Semi Condensed" w:cs="Barlow Semi Condensed" w:eastAsia="Barlow Semi Condensed" w:hAnsi="Barlow Semi Condensed"/>
          <w:b/>
          <w:bCs/>
          <w:sz w:val="24"/>
          <w:szCs w:val="24"/>
        </w:rPr>
        <w:t xml:space="preserve">603 · Le foto degli archivi esteri.</w:t>
      </w:r>
      <w:r>
        <w:rPr>
          <w:rFonts w:ascii="Barlow Semi Condensed" w:cs="Barlow Semi Condensed" w:eastAsia="Barlow Semi Condensed" w:hAnsi="Barlow Semi Condensed"/>
          <w:sz w:val="24"/>
          <w:szCs w:val="24"/>
        </w:rPr>
        <w:t xml:space="preserve"> Il raccordo coi cantieri esteri: i fondi fotografici delle agenzie internazionali (AP, Reuters, AFP) per il caso — censiti nelle rispettive sedi con le regole della Parte prima. Lo sguardo fotografico straniero sulla crisi italiana: un filone terzo, mai collazionato coi due nazionali.</w:t>
      </w:r>
    </w:p>
    <w:p>
      <w:pPr>
        <w:spacing w:after="120" w:line="276"/>
        <w:jc w:val="both"/>
      </w:pPr>
      <w:r>
        <w:rPr>
          <w:rFonts w:ascii="Barlow Semi Condensed" w:cs="Barlow Semi Condensed" w:eastAsia="Barlow Semi Condensed" w:hAnsi="Barlow Semi Condensed"/>
          <w:b/>
          <w:bCs/>
          <w:sz w:val="24"/>
          <w:szCs w:val="24"/>
        </w:rPr>
        <w:t xml:space="preserve">604 · L'album delle vittime.</w:t>
      </w:r>
      <w:r>
        <w:rPr>
          <w:rFonts w:ascii="Barlow Semi Condensed" w:cs="Barlow Semi Condensed" w:eastAsia="Barlow Semi Condensed" w:hAnsi="Barlow Semi Condensed"/>
          <w:sz w:val="24"/>
          <w:szCs w:val="24"/>
        </w:rPr>
        <w:t xml:space="preserve"> Il progetto della memoria: l'iconografia documentata dei cinque uomini della scorta e di Moro — le immagini della vita, non solo della morte: censite con le famiglie, per la memoria pubblica (il raccordo col blocco 287). Il cantiere fotografico serve anche questo: restituire volti interi.</w:t>
      </w:r>
    </w:p>
    <w:p>
      <w:pPr>
        <w:spacing w:after="120" w:line="276"/>
        <w:jc w:val="both"/>
      </w:pPr>
      <w:r>
        <w:rPr>
          <w:rFonts w:ascii="Barlow Semi Condensed" w:cs="Barlow Semi Condensed" w:eastAsia="Barlow Semi Condensed" w:hAnsi="Barlow Semi Condensed"/>
          <w:b/>
          <w:bCs/>
          <w:sz w:val="24"/>
          <w:szCs w:val="24"/>
        </w:rPr>
        <w:t xml:space="preserve">605 · I fotomontaggi e i falsi visivi.</w:t>
      </w:r>
      <w:r>
        <w:rPr>
          <w:rFonts w:ascii="Barlow Semi Condensed" w:cs="Barlow Semi Condensed" w:eastAsia="Barlow Semi Condensed" w:hAnsi="Barlow Semi Condensed"/>
          <w:sz w:val="24"/>
          <w:szCs w:val="24"/>
        </w:rPr>
        <w:t xml:space="preserve"> Il registro dei falsi fotografici del caso: le immagini manipolate o mal attribuite circolate nei decenni — il catalogo con le perizie (il gemello visivo del blocco 441). L'iconografia del caso ha i suoi apocrifi: il catalogo li disinnesca.</w:t>
      </w:r>
    </w:p>
    <w:p>
      <w:pPr>
        <w:spacing w:after="120" w:line="276"/>
        <w:jc w:val="both"/>
      </w:pPr>
      <w:r>
        <w:rPr>
          <w:rFonts w:ascii="Barlow Semi Condensed" w:cs="Barlow Semi Condensed" w:eastAsia="Barlow Semi Condensed" w:hAnsi="Barlow Semi Condensed"/>
          <w:b/>
          <w:bCs/>
          <w:sz w:val="24"/>
          <w:szCs w:val="24"/>
        </w:rPr>
        <w:t xml:space="preserve">606 · Le didascalie sbagliate.</w:t>
      </w:r>
      <w:r>
        <w:rPr>
          <w:rFonts w:ascii="Barlow Semi Condensed" w:cs="Barlow Semi Condensed" w:eastAsia="Barlow Semi Condensed" w:hAnsi="Barlow Semi Condensed"/>
          <w:sz w:val="24"/>
          <w:szCs w:val="24"/>
        </w:rPr>
        <w:t xml:space="preserve"> La bonifica delle attribuzioni: le immagini del caso circolanti con date, luoghi o soggetti errati — la tavola delle correzioni documentate. Mezza iconografia pubblica del caso è didascalicamente imprecisa: la bonifica è un servizio alla verità visiva.</w:t>
      </w:r>
    </w:p>
    <w:p>
      <w:pPr>
        <w:spacing w:after="120" w:line="276"/>
        <w:jc w:val="both"/>
      </w:pPr>
      <w:r>
        <w:rPr>
          <w:rFonts w:ascii="Barlow Semi Condensed" w:cs="Barlow Semi Condensed" w:eastAsia="Barlow Semi Condensed" w:hAnsi="Barlow Semi Condensed"/>
          <w:b/>
          <w:bCs/>
          <w:sz w:val="24"/>
          <w:szCs w:val="24"/>
        </w:rPr>
        <w:t xml:space="preserve">607 · La fototeca unica.</w:t>
      </w:r>
      <w:r>
        <w:rPr>
          <w:rFonts w:ascii="Barlow Semi Condensed" w:cs="Barlow Semi Condensed" w:eastAsia="Barlow Semi Condensed" w:hAnsi="Barlow Semi Condensed"/>
          <w:sz w:val="24"/>
          <w:szCs w:val="24"/>
        </w:rPr>
        <w:t xml:space="preserve"> Lo strumento d'insieme: la fototeca digitale del caso — i filoni riuniti virtualmente, indicizzati per data, autore, soggetto, con le catene dichiarate. Il gemello visivo della fonoteca (blocco 583): ogni immagine del caso, trovabile e citabile.</w:t>
      </w:r>
    </w:p>
    <w:p>
      <w:pPr>
        <w:spacing w:after="120" w:line="276"/>
        <w:jc w:val="both"/>
      </w:pPr>
      <w:r>
        <w:rPr>
          <w:rFonts w:ascii="Barlow Semi Condensed" w:cs="Barlow Semi Condensed" w:eastAsia="Barlow Semi Condensed" w:hAnsi="Barlow Semi Condensed"/>
          <w:b/>
          <w:bCs/>
          <w:sz w:val="24"/>
          <w:szCs w:val="24"/>
        </w:rPr>
        <w:t xml:space="preserve">608 · I diritti delle immagini.</w:t>
      </w:r>
      <w:r>
        <w:rPr>
          <w:rFonts w:ascii="Barlow Semi Condensed" w:cs="Barlow Semi Condensed" w:eastAsia="Barlow Semi Condensed" w:hAnsi="Barlow Semi Condensed"/>
          <w:sz w:val="24"/>
          <w:szCs w:val="24"/>
        </w:rPr>
        <w:t xml:space="preserve"> Il quadro giuridico: i diritti sui corpus fotografici (agenzie, eredi degli autori, atti pubblici) — il prontuario per l'uso scientifico e divulgativo. La fototeca vive se i diritti sono chiari: il prontuario li chiarisce una volta per tutte.</w:t>
      </w:r>
    </w:p>
    <w:p>
      <w:pPr>
        <w:spacing w:after="120" w:line="276"/>
        <w:jc w:val="both"/>
      </w:pPr>
      <w:r>
        <w:rPr>
          <w:rFonts w:ascii="Barlow Semi Condensed" w:cs="Barlow Semi Condensed" w:eastAsia="Barlow Semi Condensed" w:hAnsi="Barlow Semi Condensed"/>
          <w:b/>
          <w:bCs/>
          <w:sz w:val="24"/>
          <w:szCs w:val="24"/>
        </w:rPr>
        <w:t xml:space="preserve">609 · Le mostre visive.</w:t>
      </w:r>
      <w:r>
        <w:rPr>
          <w:rFonts w:ascii="Barlow Semi Condensed" w:cs="Barlow Semi Condensed" w:eastAsia="Barlow Semi Condensed" w:hAnsi="Barlow Semi Condensed"/>
          <w:sz w:val="24"/>
          <w:szCs w:val="24"/>
        </w:rPr>
        <w:t xml:space="preserve"> La restituzione: il progetto espositivo documentato dell'iconografia del caso — con l'etica del blocco 600 e l'apparato del corpus. La memoria visiva pubblica del caso merita una casa curata: il cantiere la progetta.</w:t>
      </w:r>
    </w:p>
    <w:p>
      <w:pPr>
        <w:spacing w:after="120" w:line="276"/>
        <w:jc w:val="both"/>
      </w:pPr>
      <w:r>
        <w:rPr>
          <w:rFonts w:ascii="Barlow Semi Condensed" w:cs="Barlow Semi Condensed" w:eastAsia="Barlow Semi Condensed" w:hAnsi="Barlow Semi Condensed"/>
          <w:b/>
          <w:bCs/>
          <w:sz w:val="24"/>
          <w:szCs w:val="24"/>
        </w:rPr>
        <w:t xml:space="preserve">610 · La didattica visiva.</w:t>
      </w:r>
      <w:r>
        <w:rPr>
          <w:rFonts w:ascii="Barlow Semi Condensed" w:cs="Barlow Semi Condensed" w:eastAsia="Barlow Semi Condensed" w:hAnsi="Barlow Semi Condensed"/>
          <w:sz w:val="24"/>
          <w:szCs w:val="24"/>
        </w:rPr>
        <w:t xml:space="preserve"> Il progetto scolastico: l'iconografia commentata per le scuole — leggere le immagini del caso con gli strumenti del metodo (che cosa mostra, chi la scattò, che cosa non mostra). L'educazione visiva è educazione critica: il caso la può insegnare.</w:t>
      </w:r>
    </w:p>
    <w:p>
      <w:pPr>
        <w:spacing w:after="120" w:line="276"/>
        <w:jc w:val="both"/>
      </w:pPr>
      <w:r>
        <w:rPr>
          <w:rFonts w:ascii="Barlow Semi Condensed" w:cs="Barlow Semi Condensed" w:eastAsia="Barlow Semi Condensed" w:hAnsi="Barlow Semi Condensed"/>
          <w:b/>
          <w:bCs/>
          <w:sz w:val="24"/>
          <w:szCs w:val="24"/>
        </w:rPr>
        <w:t xml:space="preserve">611 · Le immagini come evidenze ACH.</w:t>
      </w:r>
      <w:r>
        <w:rPr>
          <w:rFonts w:ascii="Barlow Semi Condensed" w:cs="Barlow Semi Condensed" w:eastAsia="Barlow Semi Condensed" w:hAnsi="Barlow Semi Condensed"/>
          <w:sz w:val="24"/>
          <w:szCs w:val="24"/>
        </w:rPr>
        <w:t xml:space="preserve"> Il raccordo metodologico: le immagini nelle matrici — dove una fotografia è evidenza discriminante (la scena, la prigione, i covi), il suo grado e la sua cella dichiarati. L'iconografia entra nel metodo come ogni fonte: pesata, mai brandita.</w:t>
      </w:r>
    </w:p>
    <w:p>
      <w:pPr>
        <w:spacing w:after="120" w:line="276"/>
        <w:jc w:val="both"/>
      </w:pPr>
      <w:r>
        <w:rPr>
          <w:rFonts w:ascii="Barlow Semi Condensed" w:cs="Barlow Semi Condensed" w:eastAsia="Barlow Semi Condensed" w:hAnsi="Barlow Semi Condensed"/>
          <w:b/>
          <w:bCs/>
          <w:sz w:val="24"/>
          <w:szCs w:val="24"/>
        </w:rPr>
        <w:t xml:space="preserve">612 · Il confronto con la memoria.</w:t>
      </w:r>
      <w:r>
        <w:rPr>
          <w:rFonts w:ascii="Barlow Semi Condensed" w:cs="Barlow Semi Condensed" w:eastAsia="Barlow Semi Condensed" w:hAnsi="Barlow Semi Condensed"/>
          <w:sz w:val="24"/>
          <w:szCs w:val="24"/>
        </w:rPr>
        <w:t xml:space="preserve"> L'uso conservativo: le immagini come supporto neutro nei riascolti dei testimoni (la regola del blocco 107 dell'agenda: precisione senza suggestione). La fotografia aiuta la memoria a essere esatta — e il protocollo evita che la sostituisca.</w:t>
      </w:r>
    </w:p>
    <w:p>
      <w:pPr>
        <w:spacing w:after="120" w:line="276"/>
        <w:jc w:val="both"/>
      </w:pPr>
      <w:r>
        <w:rPr>
          <w:rFonts w:ascii="Barlow Semi Condensed" w:cs="Barlow Semi Condensed" w:eastAsia="Barlow Semi Condensed" w:hAnsi="Barlow Semi Condensed"/>
          <w:b/>
          <w:bCs/>
          <w:sz w:val="24"/>
          <w:szCs w:val="24"/>
        </w:rPr>
        <w:t xml:space="preserve">613 · I vuoti visivi.</w:t>
      </w:r>
      <w:r>
        <w:rPr>
          <w:rFonts w:ascii="Barlow Semi Condensed" w:cs="Barlow Semi Condensed" w:eastAsia="Barlow Semi Condensed" w:hAnsi="Barlow Semi Condensed"/>
          <w:sz w:val="24"/>
          <w:szCs w:val="24"/>
        </w:rPr>
        <w:t xml:space="preserve"> Il verbale dei vuoti: le scene mai fotografate, i rulli perduti, i fondi dispersi — lo Stato Zero fotografico. Anche l'iconografia ha i suoi silenzi: si perimetrano, perché nessuno li riempia di immagini sbagliate.</w:t>
      </w:r>
    </w:p>
    <w:p>
      <w:pPr>
        <w:spacing w:after="120" w:line="276"/>
        <w:jc w:val="both"/>
      </w:pPr>
      <w:r>
        <w:rPr>
          <w:rFonts w:ascii="Barlow Semi Condensed" w:cs="Barlow Semi Condensed" w:eastAsia="Barlow Semi Condensed" w:hAnsi="Barlow Semi Condensed"/>
          <w:b/>
          <w:bCs/>
          <w:sz w:val="24"/>
          <w:szCs w:val="24"/>
        </w:rPr>
        <w:t xml:space="preserve">614 · La sintesi fotografica.</w:t>
      </w:r>
      <w:r>
        <w:rPr>
          <w:rFonts w:ascii="Barlow Semi Condensed" w:cs="Barlow Semi Condensed" w:eastAsia="Barlow Semi Condensed" w:hAnsi="Barlow Semi Condensed"/>
          <w:sz w:val="24"/>
          <w:szCs w:val="24"/>
        </w:rPr>
        <w:t xml:space="preserve"> Il prodotto della sezione: lo stato dell'arte dell'iconografia del caso — filoni, fondi, riesami, vuoti — in relazione pubblica. La fotografia del caso, trattata da corpus e non da repertorio emotivo: è la pagina che mancava.</w:t>
      </w:r>
    </w:p>
    <w:p>
      <w:pPr>
        <w:spacing w:after="120" w:line="276"/>
        <w:jc w:val="both"/>
      </w:pPr>
      <w:r>
        <w:rPr>
          <w:rFonts w:ascii="Barlow Semi Condensed" w:cs="Barlow Semi Condensed" w:eastAsia="Barlow Semi Condensed" w:hAnsi="Barlow Semi Condensed"/>
          <w:b/>
          <w:bCs/>
          <w:sz w:val="24"/>
          <w:szCs w:val="24"/>
        </w:rPr>
        <w:t xml:space="preserve">615 · La tavola della fotografia.</w:t>
      </w:r>
      <w:r>
        <w:rPr>
          <w:rFonts w:ascii="Barlow Semi Condensed" w:cs="Barlow Semi Condensed" w:eastAsia="Barlow Semi Condensed" w:hAnsi="Barlow Semi Condensed"/>
          <w:sz w:val="24"/>
          <w:szCs w:val="24"/>
        </w:rPr>
        <w:t xml:space="preserve"> La chiusura della sezione: i fondi censiti, le digitalizzazioni avviate, i riesami pendenti, i diritti chiariti. L'immagine ferma del caso, contata — e restituita al suo statuto di documento.</w:t>
      </w:r>
    </w:p>
    <w:p>
      <w:pPr>
        <w:pStyle w:val="Heading3"/>
        <w:spacing w:after="80" w:before="160"/>
      </w:pPr>
      <w:r>
        <w:rPr>
          <w:rFonts w:ascii="Barlow Semi Condensed" w:cs="Barlow Semi Condensed" w:eastAsia="Barlow Semi Condensed" w:hAnsi="Barlow Semi Condensed"/>
          <w:sz w:val="24"/>
          <w:szCs w:val="24"/>
        </w:rPr>
        <w:t xml:space="preserve">Il cinema, la televisione, le immagini dall'alto (blocchi 616-660)</w:t>
      </w:r>
    </w:p>
    <w:p>
      <w:pPr>
        <w:spacing w:after="120" w:line="276"/>
        <w:jc w:val="both"/>
      </w:pPr>
      <w:r>
        <w:rPr>
          <w:rFonts w:ascii="Barlow Semi Condensed" w:cs="Barlow Semi Condensed" w:eastAsia="Barlow Semi Condensed" w:hAnsi="Barlow Semi Condensed"/>
          <w:b/>
          <w:bCs/>
          <w:sz w:val="24"/>
          <w:szCs w:val="24"/>
        </w:rPr>
        <w:t xml:space="preserve">616 · Le teche come giacimento sistematico.</w:t>
      </w:r>
      <w:r>
        <w:rPr>
          <w:rFonts w:ascii="Barlow Semi Condensed" w:cs="Barlow Semi Condensed" w:eastAsia="Barlow Semi Condensed" w:hAnsi="Barlow Semi Condensed"/>
          <w:sz w:val="24"/>
          <w:szCs w:val="24"/>
        </w:rPr>
        <w:t xml:space="preserve"> Il censimento integrale dei materiali televisivi del caso presso Rai Teche: notiziari, speciali, dirette, rubriche — la tavola dei materiali con date e stati. La televisione fu il sistema nervoso della crisi: il suo archivio è il più vasto giacimento audiovisivo del caso.</w:t>
      </w:r>
    </w:p>
    <w:p>
      <w:pPr>
        <w:spacing w:after="120" w:line="276"/>
        <w:jc w:val="both"/>
      </w:pPr>
      <w:r>
        <w:rPr>
          <w:rFonts w:ascii="Barlow Semi Condensed" w:cs="Barlow Semi Condensed" w:eastAsia="Barlow Semi Condensed" w:hAnsi="Barlow Semi Condensed"/>
          <w:b/>
          <w:bCs/>
          <w:sz w:val="24"/>
          <w:szCs w:val="24"/>
        </w:rPr>
        <w:t xml:space="preserve">617 · I telegiornali dei 55 giorni.</w:t>
      </w:r>
      <w:r>
        <w:rPr>
          <w:rFonts w:ascii="Barlow Semi Condensed" w:cs="Barlow Semi Condensed" w:eastAsia="Barlow Semi Condensed" w:hAnsi="Barlow Semi Condensed"/>
          <w:sz w:val="24"/>
          <w:szCs w:val="24"/>
        </w:rPr>
        <w:t xml:space="preserve"> Lo spoglio sistematico: tutte le edizioni dei telegiornali dal 16 marzo al 9 maggio — la cronologia televisiva integrale della crisi, edizione per edizione. Che cosa il paese vide, ora per ora: la controparte visiva dello spoglio delle agenzie (blocco 278).</w:t>
      </w:r>
    </w:p>
    <w:p>
      <w:pPr>
        <w:spacing w:after="120" w:line="276"/>
        <w:jc w:val="both"/>
      </w:pPr>
      <w:r>
        <w:rPr>
          <w:rFonts w:ascii="Barlow Semi Condensed" w:cs="Barlow Semi Condensed" w:eastAsia="Barlow Semi Condensed" w:hAnsi="Barlow Semi Condensed"/>
          <w:b/>
          <w:bCs/>
          <w:sz w:val="24"/>
          <w:szCs w:val="24"/>
        </w:rPr>
        <w:t xml:space="preserve">618 · I cinegiornali e l'Istituto Luce.</w:t>
      </w:r>
      <w:r>
        <w:rPr>
          <w:rFonts w:ascii="Barlow Semi Condensed" w:cs="Barlow Semi Condensed" w:eastAsia="Barlow Semi Condensed" w:hAnsi="Barlow Semi Condensed"/>
          <w:sz w:val="24"/>
          <w:szCs w:val="24"/>
        </w:rPr>
        <w:t xml:space="preserve"> L'accertamento presso l'Archivio Luce: i cinegiornali e i materiali filmici del 1978 sul caso — censimento e digitalizzazione. La memoria filmica istituzionale italiana ha una casa: il cantiere la interroga con la griglia di sempre.</w:t>
      </w:r>
    </w:p>
    <w:p>
      <w:pPr>
        <w:spacing w:after="120" w:line="276"/>
        <w:jc w:val="both"/>
      </w:pPr>
      <w:r>
        <w:rPr>
          <w:rFonts w:ascii="Barlow Semi Condensed" w:cs="Barlow Semi Condensed" w:eastAsia="Barlow Semi Condensed" w:hAnsi="Barlow Semi Condensed"/>
          <w:b/>
          <w:bCs/>
          <w:sz w:val="24"/>
          <w:szCs w:val="24"/>
        </w:rPr>
        <w:t xml:space="preserve">619 · I fuori onda del 16 marzo e del 9 maggio.</w:t>
      </w:r>
      <w:r>
        <w:rPr>
          <w:rFonts w:ascii="Barlow Semi Condensed" w:cs="Barlow Semi Condensed" w:eastAsia="Barlow Semi Condensed" w:hAnsi="Barlow Semi Condensed"/>
          <w:sz w:val="24"/>
          <w:szCs w:val="24"/>
        </w:rPr>
        <w:t xml:space="preserve"> La caccia ai girati: i materiali non montati delle due giornate — le riprese integrali di via Fani e via Caetani prima del montaggio (il blocco 91 dell'agenda, eseguito). Le telecamere ripresero più di ciò che andò in onda: quel margine è il bersaglio.</w:t>
      </w:r>
    </w:p>
    <w:p>
      <w:pPr>
        <w:spacing w:after="120" w:line="276"/>
        <w:jc w:val="both"/>
      </w:pPr>
      <w:r>
        <w:rPr>
          <w:rFonts w:ascii="Barlow Semi Condensed" w:cs="Barlow Semi Condensed" w:eastAsia="Barlow Semi Condensed" w:hAnsi="Barlow Semi Condensed"/>
          <w:b/>
          <w:bCs/>
          <w:sz w:val="24"/>
          <w:szCs w:val="24"/>
        </w:rPr>
        <w:t xml:space="preserve">620 · La Notte della Repubblica, il fascicolo.</w:t>
      </w:r>
      <w:r>
        <w:rPr>
          <w:rFonts w:ascii="Barlow Semi Condensed" w:cs="Barlow Semi Condensed" w:eastAsia="Barlow Semi Condensed" w:hAnsi="Barlow Semi Condensed"/>
          <w:sz w:val="24"/>
          <w:szCs w:val="24"/>
        </w:rPr>
        <w:t xml:space="preserve"> Il fascicolo Zavoli completo, coi numeri verificati: diciotto puntate per circa quarantacinque ore (Rai 2, dal 12 dicembre 1989 all'aprile 1990), con interviste a circa centocinquanta protagonisti — le puntate morotee censite e indicizzate al minuto, l'accertamento dei grezzi presso Rai Teche, e la Collezione Sergio Zavoli conservata all'Archivio storico della Presidenza della Repubblica (1950-2020) come secondo giacimento da inventariare. Il più grande corpus d'interviste della storia repubblicana sul terrorismo: trattato finalmente da fonte, con apparato.</w:t>
      </w:r>
    </w:p>
    <w:p>
      <w:pPr>
        <w:spacing w:after="120" w:line="276"/>
        <w:jc w:val="both"/>
      </w:pPr>
      <w:r>
        <w:rPr>
          <w:rFonts w:ascii="Barlow Semi Condensed" w:cs="Barlow Semi Condensed" w:eastAsia="Barlow Semi Condensed" w:hAnsi="Barlow Semi Condensed"/>
          <w:b/>
          <w:bCs/>
          <w:sz w:val="24"/>
          <w:szCs w:val="24"/>
        </w:rPr>
        <w:t xml:space="preserve">621 · Le interviste televisive dei condannati.</w:t>
      </w:r>
      <w:r>
        <w:rPr>
          <w:rFonts w:ascii="Barlow Semi Condensed" w:cs="Barlow Semi Condensed" w:eastAsia="Barlow Semi Condensed" w:hAnsi="Barlow Semi Condensed"/>
          <w:sz w:val="24"/>
          <w:szCs w:val="24"/>
        </w:rPr>
        <w:t xml:space="preserve"> Il censimento trasversale: tutte le apparizioni televisive dei membri del registro nei decenni — la tavola persona per persona, con date e programmi (il raccordo con la Parte ottava). La voce pubblica dei condannati è un corpus documentabile: si censisce, si data, si collaziona con gli atti.</w:t>
      </w:r>
    </w:p>
    <w:p>
      <w:pPr>
        <w:spacing w:after="120" w:line="276"/>
        <w:jc w:val="both"/>
      </w:pPr>
      <w:r>
        <w:rPr>
          <w:rFonts w:ascii="Barlow Semi Condensed" w:cs="Barlow Semi Condensed" w:eastAsia="Barlow Semi Condensed" w:hAnsi="Barlow Semi Condensed"/>
          <w:b/>
          <w:bCs/>
          <w:sz w:val="24"/>
          <w:szCs w:val="24"/>
        </w:rPr>
        <w:t xml:space="preserve">622 · I documentari del caso.</w:t>
      </w:r>
      <w:r>
        <w:rPr>
          <w:rFonts w:ascii="Barlow Semi Condensed" w:cs="Barlow Semi Condensed" w:eastAsia="Barlow Semi Condensed" w:hAnsi="Barlow Semi Condensed"/>
          <w:sz w:val="24"/>
          <w:szCs w:val="24"/>
        </w:rPr>
        <w:t xml:space="preserve"> La filmografia documentaria integrale: ogni documentario sul caso, con fonti usate, interviste originali, materiali inediti — la tavola critica della documentaristica. Ogni documentario è un archivio di lavoro congelato: la tavola dice quali vale la pena riaprire (il raccordo col blocco 281).</w:t>
      </w:r>
    </w:p>
    <w:p>
      <w:pPr>
        <w:spacing w:after="120" w:line="276"/>
        <w:jc w:val="both"/>
      </w:pPr>
      <w:r>
        <w:rPr>
          <w:rFonts w:ascii="Barlow Semi Condensed" w:cs="Barlow Semi Condensed" w:eastAsia="Barlow Semi Condensed" w:hAnsi="Barlow Semi Condensed"/>
          <w:b/>
          <w:bCs/>
          <w:sz w:val="24"/>
          <w:szCs w:val="24"/>
        </w:rPr>
        <w:t xml:space="preserve">623 · Le fiction e la memoria.</w:t>
      </w:r>
      <w:r>
        <w:rPr>
          <w:rFonts w:ascii="Barlow Semi Condensed" w:cs="Barlow Semi Condensed" w:eastAsia="Barlow Semi Condensed" w:hAnsi="Barlow Semi Condensed"/>
          <w:sz w:val="24"/>
          <w:szCs w:val="24"/>
        </w:rPr>
        <w:t xml:space="preserve"> Il censimento delle opere di finzione (cinema e tv) sul caso, con la tavola delle licenze narrative maggiori rispetto agli atti. La finzione plasma la memoria pubblica più degli archivi: censire i suoi scarti dal documentato è igiene civile, non pedanteria.</w:t>
      </w:r>
    </w:p>
    <w:p>
      <w:pPr>
        <w:spacing w:after="120" w:line="276"/>
        <w:jc w:val="both"/>
      </w:pPr>
      <w:r>
        <w:rPr>
          <w:rFonts w:ascii="Barlow Semi Condensed" w:cs="Barlow Semi Condensed" w:eastAsia="Barlow Semi Condensed" w:hAnsi="Barlow Semi Condensed"/>
          <w:b/>
          <w:bCs/>
          <w:sz w:val="24"/>
          <w:szCs w:val="24"/>
        </w:rPr>
        <w:t xml:space="preserve">624 · Il processo in video.</w:t>
      </w:r>
      <w:r>
        <w:rPr>
          <w:rFonts w:ascii="Barlow Semi Condensed" w:cs="Barlow Semi Condensed" w:eastAsia="Barlow Semi Condensed" w:hAnsi="Barlow Semi Condensed"/>
          <w:sz w:val="24"/>
          <w:szCs w:val="24"/>
        </w:rPr>
        <w:t xml:space="preserve"> L'accertamento: esistono riprese televisive dei processi Moro (le aule, le testimonianze trasmesse)? Il censimento dei materiali processuali audiovisivi — con Radio Radicale come giacimento parallelo per l'audio delle aule (l'accertamento della copertura d'epoca). La giustizia ripresa: dove esiste, è memoria processuale diretta.</w:t>
      </w:r>
    </w:p>
    <w:p>
      <w:pPr>
        <w:spacing w:after="120" w:line="276"/>
        <w:jc w:val="both"/>
      </w:pPr>
      <w:r>
        <w:rPr>
          <w:rFonts w:ascii="Barlow Semi Condensed" w:cs="Barlow Semi Condensed" w:eastAsia="Barlow Semi Condensed" w:hAnsi="Barlow Semi Condensed"/>
          <w:b/>
          <w:bCs/>
          <w:sz w:val="24"/>
          <w:szCs w:val="24"/>
        </w:rPr>
        <w:t xml:space="preserve">625 · Le tribune e i dibattiti d'epoca.</w:t>
      </w:r>
      <w:r>
        <w:rPr>
          <w:rFonts w:ascii="Barlow Semi Condensed" w:cs="Barlow Semi Condensed" w:eastAsia="Barlow Semi Condensed" w:hAnsi="Barlow Semi Condensed"/>
          <w:sz w:val="24"/>
          <w:szCs w:val="24"/>
        </w:rPr>
        <w:t xml:space="preserve"> I dibattiti televisivi del 1978 sulla crisi: le tribune politiche, i confronti, le dichiarazioni dei leader — censimento datato. La politica parlò in video durante i 55 giorni: quelle parole registrate sono atti pubblici della crisi.</w:t>
      </w:r>
    </w:p>
    <w:p>
      <w:pPr>
        <w:spacing w:after="120" w:line="276"/>
        <w:jc w:val="both"/>
      </w:pPr>
      <w:r>
        <w:rPr>
          <w:rFonts w:ascii="Barlow Semi Condensed" w:cs="Barlow Semi Condensed" w:eastAsia="Barlow Semi Condensed" w:hAnsi="Barlow Semi Condensed"/>
          <w:b/>
          <w:bCs/>
          <w:sz w:val="24"/>
          <w:szCs w:val="24"/>
        </w:rPr>
        <w:t xml:space="preserve">626 · Gli speciali degli anniversari.</w:t>
      </w:r>
      <w:r>
        <w:rPr>
          <w:rFonts w:ascii="Barlow Semi Condensed" w:cs="Barlow Semi Condensed" w:eastAsia="Barlow Semi Condensed" w:hAnsi="Barlow Semi Condensed"/>
          <w:sz w:val="24"/>
          <w:szCs w:val="24"/>
        </w:rPr>
        <w:t xml:space="preserve"> La serie degli speciali televisivi anniversari (1988, 1998, 2008, 2018…): il censimento con le interviste originali di ciascuno. Ogni decennale ha raccolto voci allora viventi: gli speciali sono raccolte conservative ante litteram — e alcune voci esistono solo lì.</w:t>
      </w:r>
    </w:p>
    <w:p>
      <w:pPr>
        <w:spacing w:after="120" w:line="276"/>
        <w:jc w:val="both"/>
      </w:pPr>
      <w:r>
        <w:rPr>
          <w:rFonts w:ascii="Barlow Semi Condensed" w:cs="Barlow Semi Condensed" w:eastAsia="Barlow Semi Condensed" w:hAnsi="Barlow Semi Condensed"/>
          <w:b/>
          <w:bCs/>
          <w:sz w:val="24"/>
          <w:szCs w:val="24"/>
        </w:rPr>
        <w:t xml:space="preserve">627 · Le televisioni private e locali.</w:t>
      </w:r>
      <w:r>
        <w:rPr>
          <w:rFonts w:ascii="Barlow Semi Condensed" w:cs="Barlow Semi Condensed" w:eastAsia="Barlow Semi Condensed" w:hAnsi="Barlow Semi Condensed"/>
          <w:sz w:val="24"/>
          <w:szCs w:val="24"/>
        </w:rPr>
        <w:t xml:space="preserve"> Il censimento oltre la Rai: gli archivi delle private nazionali (dal 1980) e delle emittenti locali romane per i materiali morotei — interviste, ricostruzioni, testimonianze locali. La memoria televisiva minore: dispersa, fragile, mai censita — e per questo urgente.</w:t>
      </w:r>
    </w:p>
    <w:p>
      <w:pPr>
        <w:spacing w:after="120" w:line="276"/>
        <w:jc w:val="both"/>
      </w:pPr>
      <w:r>
        <w:rPr>
          <w:rFonts w:ascii="Barlow Semi Condensed" w:cs="Barlow Semi Condensed" w:eastAsia="Barlow Semi Condensed" w:hAnsi="Barlow Semi Condensed"/>
          <w:b/>
          <w:bCs/>
          <w:sz w:val="24"/>
          <w:szCs w:val="24"/>
        </w:rPr>
        <w:t xml:space="preserve">628 · Gli archivi dei broadcaster esteri.</w:t>
      </w:r>
      <w:r>
        <w:rPr>
          <w:rFonts w:ascii="Barlow Semi Condensed" w:cs="Barlow Semi Condensed" w:eastAsia="Barlow Semi Condensed" w:hAnsi="Barlow Semi Condensed"/>
          <w:sz w:val="24"/>
          <w:szCs w:val="24"/>
        </w:rPr>
        <w:t xml:space="preserve"> Il raccordo coi cantieri esteri: BBC Archive, INA, ARD e gli altri per i servizi sul caso — censimento nelle rispettive piattaforme con le regole della Parte prima. Il caso in onda fuori d'Italia: un corpus audiovisivo terzo, con punti di vista propri.</w:t>
      </w:r>
    </w:p>
    <w:p>
      <w:pPr>
        <w:spacing w:after="120" w:line="276"/>
        <w:jc w:val="both"/>
      </w:pPr>
      <w:r>
        <w:rPr>
          <w:rFonts w:ascii="Barlow Semi Condensed" w:cs="Barlow Semi Condensed" w:eastAsia="Barlow Semi Condensed" w:hAnsi="Barlow Semi Condensed"/>
          <w:b/>
          <w:bCs/>
          <w:sz w:val="24"/>
          <w:szCs w:val="24"/>
        </w:rPr>
        <w:t xml:space="preserve">629 · Il web audiovisivo.</w:t>
      </w:r>
      <w:r>
        <w:rPr>
          <w:rFonts w:ascii="Barlow Semi Condensed" w:cs="Barlow Semi Condensed" w:eastAsia="Barlow Semi Condensed" w:hAnsi="Barlow Semi Condensed"/>
          <w:sz w:val="24"/>
          <w:szCs w:val="24"/>
        </w:rPr>
        <w:t xml:space="preserve"> La memoria digitale nativa: i materiali audiovisivi del caso caricati in rete (canali istituzionali, archivi amatoriali digitalizzati) — il censimento con verifica di provenienza per ciascun pezzo (il raccordo col blocco 292). La rete conserva e confonde: il censimento distingue.</w:t>
      </w:r>
    </w:p>
    <w:p>
      <w:pPr>
        <w:spacing w:after="120" w:line="276"/>
        <w:jc w:val="both"/>
      </w:pPr>
      <w:r>
        <w:rPr>
          <w:rFonts w:ascii="Barlow Semi Condensed" w:cs="Barlow Semi Condensed" w:eastAsia="Barlow Semi Condensed" w:hAnsi="Barlow Semi Condensed"/>
          <w:b/>
          <w:bCs/>
          <w:sz w:val="24"/>
          <w:szCs w:val="24"/>
        </w:rPr>
        <w:t xml:space="preserve">630 · L'aerofotografia del 1978.</w:t>
      </w:r>
      <w:r>
        <w:rPr>
          <w:rFonts w:ascii="Barlow Semi Condensed" w:cs="Barlow Semi Condensed" w:eastAsia="Barlow Semi Condensed" w:hAnsi="Barlow Semi Condensed"/>
          <w:sz w:val="24"/>
          <w:szCs w:val="24"/>
        </w:rPr>
        <w:t xml:space="preserve"> Il fatto verificato come bersaglio: le coperture aeree storiche dell'Aerofototeca Nazionale (ICCD) e dell'Istituto Geografico Militare — l'accertamento dei voli sui quadranti romani del 1977-1978 (via Fani, via Gradoli, via Montalcini, via Caetani). La città dall'alto, com'era: la base metrica di ogni ricostruzione.</w:t>
      </w:r>
    </w:p>
    <w:p>
      <w:pPr>
        <w:spacing w:after="120" w:line="276"/>
        <w:jc w:val="both"/>
      </w:pPr>
      <w:r>
        <w:rPr>
          <w:rFonts w:ascii="Barlow Semi Condensed" w:cs="Barlow Semi Condensed" w:eastAsia="Barlow Semi Condensed" w:hAnsi="Barlow Semi Condensed"/>
          <w:b/>
          <w:bCs/>
          <w:sz w:val="24"/>
          <w:szCs w:val="24"/>
        </w:rPr>
        <w:t xml:space="preserve">631 · La cartografia d'epoca.</w:t>
      </w:r>
      <w:r>
        <w:rPr>
          <w:rFonts w:ascii="Barlow Semi Condensed" w:cs="Barlow Semi Condensed" w:eastAsia="Barlow Semi Condensed" w:hAnsi="Barlow Semi Condensed"/>
          <w:sz w:val="24"/>
          <w:szCs w:val="24"/>
        </w:rPr>
        <w:t xml:space="preserve"> Il corredo cartografico: la cartografia tecnica comunale e IGM di Roma 1978 — viabilità, edificato, toponomastica dell'epoca — digitalizzata e georiferita (il raccordo col blocco 205 dell'agenda). Il 1978 aveva la sua Roma: le ricostruzioni si fanno su quella, non sulla città di oggi.</w:t>
      </w:r>
    </w:p>
    <w:p>
      <w:pPr>
        <w:spacing w:after="120" w:line="276"/>
        <w:jc w:val="both"/>
      </w:pPr>
      <w:r>
        <w:rPr>
          <w:rFonts w:ascii="Barlow Semi Condensed" w:cs="Barlow Semi Condensed" w:eastAsia="Barlow Semi Condensed" w:hAnsi="Barlow Semi Condensed"/>
          <w:b/>
          <w:bCs/>
          <w:sz w:val="24"/>
          <w:szCs w:val="24"/>
        </w:rPr>
        <w:t xml:space="preserve">632 · Il modello della scena, costruito.</w:t>
      </w:r>
      <w:r>
        <w:rPr>
          <w:rFonts w:ascii="Barlow Semi Condensed" w:cs="Barlow Semi Condensed" w:eastAsia="Barlow Semi Condensed" w:hAnsi="Barlow Semi Condensed"/>
          <w:sz w:val="24"/>
          <w:szCs w:val="24"/>
        </w:rPr>
        <w:t xml:space="preserve"> L'esecuzione del bersaglio, col quadro precisato dalle verifiche: per la Moro 2 la Polizia scientifica realizzò una ricostruzione virtuale in 3D dell'agguato (elaborata da dati autoptici, perizie balistiche e posizione dei bossoli, diffusa nel 2017 come elaborato tecnico) — ma un modello pubblico, esplorabile e falsificabile da chiunque non esiste. Il cantiere lo costruisce partendo da quell'elaborato: geometrie dai rilievi e dalla fotogrammetria, veicoli, traiettorie, ogni assunzione dichiarata, ogni misura con la sua fonte — il primo modello aperto della scena.</w:t>
      </w:r>
    </w:p>
    <w:p>
      <w:pPr>
        <w:spacing w:after="120" w:line="276"/>
        <w:jc w:val="both"/>
      </w:pPr>
      <w:r>
        <w:rPr>
          <w:rFonts w:ascii="Barlow Semi Condensed" w:cs="Barlow Semi Condensed" w:eastAsia="Barlow Semi Condensed" w:hAnsi="Barlow Semi Condensed"/>
          <w:b/>
          <w:bCs/>
          <w:sz w:val="24"/>
          <w:szCs w:val="24"/>
        </w:rPr>
        <w:t xml:space="preserve">633 · Il modello dei luoghi minori.</w:t>
      </w:r>
      <w:r>
        <w:rPr>
          <w:rFonts w:ascii="Barlow Semi Condensed" w:cs="Barlow Semi Condensed" w:eastAsia="Barlow Semi Condensed" w:hAnsi="Barlow Semi Condensed"/>
          <w:sz w:val="24"/>
          <w:szCs w:val="24"/>
        </w:rPr>
        <w:t xml:space="preserve"> L'estensione: i modelli documentali degli altri luoghi (via Gradoli 96, il percorso del 9 maggio) dalle fonti d'epoca — planimetrie, rilievi, fotografie. La geografia del caso in tre dimensioni documentate: strumenti di verifica, non scenografie.</w:t>
      </w:r>
    </w:p>
    <w:p>
      <w:pPr>
        <w:spacing w:after="120" w:line="276"/>
        <w:jc w:val="both"/>
      </w:pPr>
      <w:r>
        <w:rPr>
          <w:rFonts w:ascii="Barlow Semi Condensed" w:cs="Barlow Semi Condensed" w:eastAsia="Barlow Semi Condensed" w:hAnsi="Barlow Semi Condensed"/>
          <w:b/>
          <w:bCs/>
          <w:sz w:val="24"/>
          <w:szCs w:val="24"/>
        </w:rPr>
        <w:t xml:space="preserve">634 · La strada com'era.</w:t>
      </w:r>
      <w:r>
        <w:rPr>
          <w:rFonts w:ascii="Barlow Semi Condensed" w:cs="Barlow Semi Condensed" w:eastAsia="Barlow Semi Condensed" w:hAnsi="Barlow Semi Condensed"/>
          <w:sz w:val="24"/>
          <w:szCs w:val="24"/>
        </w:rPr>
        <w:t xml:space="preserve"> Il micro-bersaglio di via Fani: lo stato fisico della strada il 16 marzo 1978 — i cantieri, la segnaletica, le auto in sosta documentate — dalla fotografia e dai verbali. La scena minuta: ogni dettaglio fisico verificato vincola le ricostruzioni della dinamica.</w:t>
      </w:r>
    </w:p>
    <w:p>
      <w:pPr>
        <w:spacing w:after="120" w:line="276"/>
        <w:jc w:val="both"/>
      </w:pPr>
      <w:r>
        <w:rPr>
          <w:rFonts w:ascii="Barlow Semi Condensed" w:cs="Barlow Semi Condensed" w:eastAsia="Barlow Semi Condensed" w:hAnsi="Barlow Semi Condensed"/>
          <w:b/>
          <w:bCs/>
          <w:sz w:val="24"/>
          <w:szCs w:val="24"/>
        </w:rPr>
        <w:t xml:space="preserve">635 · I tempi di percorrenza ricostruiti.</w:t>
      </w:r>
      <w:r>
        <w:rPr>
          <w:rFonts w:ascii="Barlow Semi Condensed" w:cs="Barlow Semi Condensed" w:eastAsia="Barlow Semi Condensed" w:hAnsi="Barlow Semi Condensed"/>
          <w:sz w:val="24"/>
          <w:szCs w:val="24"/>
        </w:rPr>
        <w:t xml:space="preserve"> Il modello cinematico: i percorsi documentati del caso (il corteo, le fughe, il trasferimento finale) sulla viabilità del 1978 — i tempi misurati sul modello (il blocco 205 dell'agenda, eseguito). Ogni cronologia testimoniata si verifica contro la città reale: la geografia non testimonia, misura.</w:t>
      </w:r>
    </w:p>
    <w:p>
      <w:pPr>
        <w:spacing w:after="120" w:line="276"/>
        <w:jc w:val="both"/>
      </w:pPr>
      <w:r>
        <w:rPr>
          <w:rFonts w:ascii="Barlow Semi Condensed" w:cs="Barlow Semi Condensed" w:eastAsia="Barlow Semi Condensed" w:hAnsi="Barlow Semi Condensed"/>
          <w:b/>
          <w:bCs/>
          <w:sz w:val="24"/>
          <w:szCs w:val="24"/>
        </w:rPr>
        <w:t xml:space="preserve">636 · La luce del 16 marzo.</w:t>
      </w:r>
      <w:r>
        <w:rPr>
          <w:rFonts w:ascii="Barlow Semi Condensed" w:cs="Barlow Semi Condensed" w:eastAsia="Barlow Semi Condensed" w:hAnsi="Barlow Semi Condensed"/>
          <w:sz w:val="24"/>
          <w:szCs w:val="24"/>
        </w:rPr>
        <w:t xml:space="preserve"> Il dettaglio astronomico-meteo: le condizioni di luce e meteo della mattina (effemeridi, bollettini d'epoca) per la taratura delle fotografie e delle testimonianze visive. Il sole del 16 marzo 1978 è calcolabile al minuto: un vincolo gratuito per ogni analisi d'immagine.</w:t>
      </w:r>
    </w:p>
    <w:p>
      <w:pPr>
        <w:spacing w:after="120" w:line="276"/>
        <w:jc w:val="both"/>
      </w:pPr>
      <w:r>
        <w:rPr>
          <w:rFonts w:ascii="Barlow Semi Condensed" w:cs="Barlow Semi Condensed" w:eastAsia="Barlow Semi Condensed" w:hAnsi="Barlow Semi Condensed"/>
          <w:b/>
          <w:bCs/>
          <w:sz w:val="24"/>
          <w:szCs w:val="24"/>
        </w:rPr>
        <w:t xml:space="preserve">637 · L'archivio del modello.</w:t>
      </w:r>
      <w:r>
        <w:rPr>
          <w:rFonts w:ascii="Barlow Semi Condensed" w:cs="Barlow Semi Condensed" w:eastAsia="Barlow Semi Condensed" w:hAnsi="Barlow Semi Condensed"/>
          <w:sz w:val="24"/>
          <w:szCs w:val="24"/>
        </w:rPr>
        <w:t xml:space="preserve"> La conservazione degli strumenti: modelli, misure e codici del cantiere visivo versati in formato aperto nel fascicolo digitale (la regola della riproducibilità del manuale). Chi contesterà il modello dovrà poterlo rifare: è il senso di pubblicarlo intero.</w:t>
      </w:r>
    </w:p>
    <w:p>
      <w:pPr>
        <w:spacing w:after="120" w:line="276"/>
        <w:jc w:val="both"/>
      </w:pPr>
      <w:r>
        <w:rPr>
          <w:rFonts w:ascii="Barlow Semi Condensed" w:cs="Barlow Semi Condensed" w:eastAsia="Barlow Semi Condensed" w:hAnsi="Barlow Semi Condensed"/>
          <w:b/>
          <w:bCs/>
          <w:sz w:val="24"/>
          <w:szCs w:val="24"/>
        </w:rPr>
        <w:t xml:space="preserve">638 · Il raccordo con le piste.</w:t>
      </w:r>
      <w:r>
        <w:rPr>
          <w:rFonts w:ascii="Barlow Semi Condensed" w:cs="Barlow Semi Condensed" w:eastAsia="Barlow Semi Condensed" w:hAnsi="Barlow Semi Condensed"/>
          <w:sz w:val="24"/>
          <w:szCs w:val="24"/>
        </w:rPr>
        <w:t xml:space="preserve"> La tavola di corrispondenza della parte: l'audiovisivo serve PN-1 (la scena e le presenze), il quesito 13 (le immagini del 18 aprile), la Parte quinta (la foto della prigione) e la raccolta conservativa. Ogni immagine dichiara la sua pista: nessun bersaglio orfano nemmeno in video.</w:t>
      </w:r>
    </w:p>
    <w:p>
      <w:pPr>
        <w:spacing w:after="120" w:line="276"/>
        <w:jc w:val="both"/>
      </w:pPr>
      <w:r>
        <w:rPr>
          <w:rFonts w:ascii="Barlow Semi Condensed" w:cs="Barlow Semi Condensed" w:eastAsia="Barlow Semi Condensed" w:hAnsi="Barlow Semi Condensed"/>
          <w:b/>
          <w:bCs/>
          <w:sz w:val="24"/>
          <w:szCs w:val="24"/>
        </w:rPr>
        <w:t xml:space="preserve">639 · I vuoti audiovisivi.</w:t>
      </w:r>
      <w:r>
        <w:rPr>
          <w:rFonts w:ascii="Barlow Semi Condensed" w:cs="Barlow Semi Condensed" w:eastAsia="Barlow Semi Condensed" w:hAnsi="Barlow Semi Condensed"/>
          <w:sz w:val="24"/>
          <w:szCs w:val="24"/>
        </w:rPr>
        <w:t xml:space="preserve"> Il verbale dei vuoti della parte: i girati perduti, i fondi dispersi, i voli mai fatti — lo Stato Zero del sensibile, completo. La memoria sensibile del caso è piena di buchi: perimetrarli impedisce che li riempia la fiction.</w:t>
      </w:r>
    </w:p>
    <w:p>
      <w:pPr>
        <w:spacing w:after="120" w:line="276"/>
        <w:jc w:val="both"/>
      </w:pPr>
      <w:r>
        <w:rPr>
          <w:rFonts w:ascii="Barlow Semi Condensed" w:cs="Barlow Semi Condensed" w:eastAsia="Barlow Semi Condensed" w:hAnsi="Barlow Semi Condensed"/>
          <w:b/>
          <w:bCs/>
          <w:sz w:val="24"/>
          <w:szCs w:val="24"/>
        </w:rPr>
        <w:t xml:space="preserve">640 · La tavola sesta.</w:t>
      </w:r>
      <w:r>
        <w:rPr>
          <w:rFonts w:ascii="Barlow Semi Condensed" w:cs="Barlow Semi Condensed" w:eastAsia="Barlow Semi Condensed" w:hAnsi="Barlow Semi Condensed"/>
          <w:sz w:val="24"/>
          <w:szCs w:val="24"/>
        </w:rPr>
        <w:t xml:space="preserve"> La chiusura della parte: fonoteca e fototeca avviate, teche censite, il modello della scena in costruzione, i vuoti dichiarati. Il cantiere del sensibile consegna la sua contabilità — e il caso, per la prima volta, ha un progetto per la sua memoria d'immagine.</w:t>
      </w:r>
    </w:p>
    <w:p>
      <w:pPr>
        <w:spacing w:after="120" w:line="276"/>
        <w:jc w:val="both"/>
      </w:pPr>
      <w:r>
        <w:rPr>
          <w:rFonts w:ascii="Barlow Semi Condensed" w:cs="Barlow Semi Condensed" w:eastAsia="Barlow Semi Condensed" w:hAnsi="Barlow Semi Condensed"/>
          <w:b/>
          <w:bCs/>
          <w:sz w:val="24"/>
          <w:szCs w:val="24"/>
        </w:rPr>
        <w:t xml:space="preserve">641 · Il deposito del sensibile.</w:t>
      </w:r>
      <w:r>
        <w:rPr>
          <w:rFonts w:ascii="Barlow Semi Condensed" w:cs="Barlow Semi Condensed" w:eastAsia="Barlow Semi Condensed" w:hAnsi="Barlow Semi Condensed"/>
          <w:sz w:val="24"/>
          <w:szCs w:val="24"/>
        </w:rPr>
        <w:t xml:space="preserve"> L'istituzione della parte: il deposito unico digitale dell'audiovisivo moroteo — fonoteca, fototeca, modelli — con standard archivistici e piano di conservazione (il raccordo col cantiere digitale del manuale). Il sensibile degrada più della carta: il suo deposito è un'urgenza infrastrutturale.</w:t>
      </w:r>
    </w:p>
    <w:p>
      <w:pPr>
        <w:spacing w:after="120" w:line="276"/>
        <w:jc w:val="both"/>
      </w:pPr>
      <w:r>
        <w:rPr>
          <w:rFonts w:ascii="Barlow Semi Condensed" w:cs="Barlow Semi Condensed" w:eastAsia="Barlow Semi Condensed" w:hAnsi="Barlow Semi Condensed"/>
          <w:b/>
          <w:bCs/>
          <w:sz w:val="24"/>
          <w:szCs w:val="24"/>
        </w:rPr>
        <w:t xml:space="preserve">642 · Le migrazioni di formato.</w:t>
      </w:r>
      <w:r>
        <w:rPr>
          <w:rFonts w:ascii="Barlow Semi Condensed" w:cs="Barlow Semi Condensed" w:eastAsia="Barlow Semi Condensed" w:hAnsi="Barlow Semi Condensed"/>
          <w:sz w:val="24"/>
          <w:szCs w:val="24"/>
        </w:rPr>
        <w:t xml:space="preserve"> La regola tecnica: ogni supporto migrato (nastri, pellicole, file) con verbale di migrazione e conservazione dell'originale. La storia dei formati è parte della catena di custodia: il cantiere la scrive a ogni passaggio.</w:t>
      </w:r>
    </w:p>
    <w:p>
      <w:pPr>
        <w:spacing w:after="120" w:line="276"/>
        <w:jc w:val="both"/>
      </w:pPr>
      <w:r>
        <w:rPr>
          <w:rFonts w:ascii="Barlow Semi Condensed" w:cs="Barlow Semi Condensed" w:eastAsia="Barlow Semi Condensed" w:hAnsi="Barlow Semi Condensed"/>
          <w:b/>
          <w:bCs/>
          <w:sz w:val="24"/>
          <w:szCs w:val="24"/>
        </w:rPr>
        <w:t xml:space="preserve">643 · I metadati del sensibile.</w:t>
      </w:r>
      <w:r>
        <w:rPr>
          <w:rFonts w:ascii="Barlow Semi Condensed" w:cs="Barlow Semi Condensed" w:eastAsia="Barlow Semi Condensed" w:hAnsi="Barlow Semi Condensed"/>
          <w:sz w:val="24"/>
          <w:szCs w:val="24"/>
        </w:rPr>
        <w:t xml:space="preserve"> Lo standard descrittivo: ogni pezzo audiovisivo con metadati completi (data, autore, provenienza, catena, diritti, grado). Un'immagine senza metadati è un orfano documentale: il cantiere non ne produce e non ne accetta.</w:t>
      </w:r>
    </w:p>
    <w:p>
      <w:pPr>
        <w:spacing w:after="120" w:line="276"/>
        <w:jc w:val="both"/>
      </w:pPr>
      <w:r>
        <w:rPr>
          <w:rFonts w:ascii="Barlow Semi Condensed" w:cs="Barlow Semi Condensed" w:eastAsia="Barlow Semi Condensed" w:hAnsi="Barlow Semi Condensed"/>
          <w:b/>
          <w:bCs/>
          <w:sz w:val="24"/>
          <w:szCs w:val="24"/>
        </w:rPr>
        <w:t xml:space="preserve">644 · L'autenticazione dell'audiovisivo.</w:t>
      </w:r>
      <w:r>
        <w:rPr>
          <w:rFonts w:ascii="Barlow Semi Condensed" w:cs="Barlow Semi Condensed" w:eastAsia="Barlow Semi Condensed" w:hAnsi="Barlow Semi Condensed"/>
          <w:sz w:val="24"/>
          <w:szCs w:val="24"/>
        </w:rPr>
        <w:t xml:space="preserve"> Il protocollo contro i falsi sensibili: l'autenticazione tecnica dei materiali audio-video che emergono (la lezione dei falsi, estesa al sensibile — e l'era dei falsi sintetici lo impone). Ogni «nuovo nastro» o «nuova foto» passa la dogana tecnica prima della cittadinanza nel corpus.</w:t>
      </w:r>
    </w:p>
    <w:p>
      <w:pPr>
        <w:spacing w:after="120" w:line="276"/>
        <w:jc w:val="both"/>
      </w:pPr>
      <w:r>
        <w:rPr>
          <w:rFonts w:ascii="Barlow Semi Condensed" w:cs="Barlow Semi Condensed" w:eastAsia="Barlow Semi Condensed" w:hAnsi="Barlow Semi Condensed"/>
          <w:b/>
          <w:bCs/>
          <w:sz w:val="24"/>
          <w:szCs w:val="24"/>
        </w:rPr>
        <w:t xml:space="preserve">645 · L'era dei falsi sintetici.</w:t>
      </w:r>
      <w:r>
        <w:rPr>
          <w:rFonts w:ascii="Barlow Semi Condensed" w:cs="Barlow Semi Condensed" w:eastAsia="Barlow Semi Condensed" w:hAnsi="Barlow Semi Condensed"/>
          <w:sz w:val="24"/>
          <w:szCs w:val="24"/>
        </w:rPr>
        <w:t xml:space="preserve"> La contingenza nuova: il protocollo per i contenuti generati artificialmente sul caso (voci ricostruite, immagini sintetiche) — riconoscimento, marcatura, registro pubblico dei falsi circolanti. Il caso attirerà il sintetico come attirò i falsi di carta: il cantiere si attrezza prima.</w:t>
      </w:r>
    </w:p>
    <w:p>
      <w:pPr>
        <w:spacing w:after="120" w:line="276"/>
        <w:jc w:val="both"/>
      </w:pPr>
      <w:r>
        <w:rPr>
          <w:rFonts w:ascii="Barlow Semi Condensed" w:cs="Barlow Semi Condensed" w:eastAsia="Barlow Semi Condensed" w:hAnsi="Barlow Semi Condensed"/>
          <w:b/>
          <w:bCs/>
          <w:sz w:val="24"/>
          <w:szCs w:val="24"/>
        </w:rPr>
        <w:t xml:space="preserve">646 · La voce ricostruita, il divieto.</w:t>
      </w:r>
      <w:r>
        <w:rPr>
          <w:rFonts w:ascii="Barlow Semi Condensed" w:cs="Barlow Semi Condensed" w:eastAsia="Barlow Semi Condensed" w:hAnsi="Barlow Semi Condensed"/>
          <w:sz w:val="24"/>
          <w:szCs w:val="24"/>
        </w:rPr>
        <w:t xml:space="preserve"> La regola etica dedicata: il cantiere non genera mai ricostruzioni sintetiche delle voci delle vittime né dei protagonisti — nessuna «voce di Moro» artificiale, per nessuno scopo. Il rispetto vale più della suggestione tecnologica: è un divieto, non una cautela.</w:t>
      </w:r>
    </w:p>
    <w:p>
      <w:pPr>
        <w:spacing w:after="120" w:line="276"/>
        <w:jc w:val="both"/>
      </w:pPr>
      <w:r>
        <w:rPr>
          <w:rFonts w:ascii="Barlow Semi Condensed" w:cs="Barlow Semi Condensed" w:eastAsia="Barlow Semi Condensed" w:hAnsi="Barlow Semi Condensed"/>
          <w:b/>
          <w:bCs/>
          <w:sz w:val="24"/>
          <w:szCs w:val="24"/>
        </w:rPr>
        <w:t xml:space="preserve">647 · Le trascrizioni accessibili.</w:t>
      </w:r>
      <w:r>
        <w:rPr>
          <w:rFonts w:ascii="Barlow Semi Condensed" w:cs="Barlow Semi Condensed" w:eastAsia="Barlow Semi Condensed" w:hAnsi="Barlow Semi Condensed"/>
          <w:sz w:val="24"/>
          <w:szCs w:val="24"/>
        </w:rPr>
        <w:t xml:space="preserve"> L'accessibilità del sensibile: trascrizioni e descrizioni per ogni materiale (il blocco 326 del manuale, eseguito): la memoria audiovisiva fruibile anche da chi non vede o non sente. La memoria repubblicana non ha barriere d'ingresso.</w:t>
      </w:r>
    </w:p>
    <w:p>
      <w:pPr>
        <w:spacing w:after="120" w:line="276"/>
        <w:jc w:val="both"/>
      </w:pPr>
      <w:r>
        <w:rPr>
          <w:rFonts w:ascii="Barlow Semi Condensed" w:cs="Barlow Semi Condensed" w:eastAsia="Barlow Semi Condensed" w:hAnsi="Barlow Semi Condensed"/>
          <w:b/>
          <w:bCs/>
          <w:sz w:val="24"/>
          <w:szCs w:val="24"/>
        </w:rPr>
        <w:t xml:space="preserve">648 · La cronologia visiva integrale.</w:t>
      </w:r>
      <w:r>
        <w:rPr>
          <w:rFonts w:ascii="Barlow Semi Condensed" w:cs="Barlow Semi Condensed" w:eastAsia="Barlow Semi Condensed" w:hAnsi="Barlow Semi Condensed"/>
          <w:sz w:val="24"/>
          <w:szCs w:val="24"/>
        </w:rPr>
        <w:t xml:space="preserve"> Il prodotto di sintesi: la cronologia dei 55 giorni illustrata coi materiali censiti — ogni giorno con le sue immagini e i suoi suoni documentati, in piattaforma consultabile. La crisi come esperienza documentale integrale: testo, immagine, suono — tutto con fonte.</w:t>
      </w:r>
    </w:p>
    <w:p>
      <w:pPr>
        <w:spacing w:after="120" w:line="276"/>
        <w:jc w:val="both"/>
      </w:pPr>
      <w:r>
        <w:rPr>
          <w:rFonts w:ascii="Barlow Semi Condensed" w:cs="Barlow Semi Condensed" w:eastAsia="Barlow Semi Condensed" w:hAnsi="Barlow Semi Condensed"/>
          <w:b/>
          <w:bCs/>
          <w:sz w:val="24"/>
          <w:szCs w:val="24"/>
        </w:rPr>
        <w:t xml:space="preserve">649 · La sintesi della parte.</w:t>
      </w:r>
      <w:r>
        <w:rPr>
          <w:rFonts w:ascii="Barlow Semi Condensed" w:cs="Barlow Semi Condensed" w:eastAsia="Barlow Semi Condensed" w:hAnsi="Barlow Semi Condensed"/>
          <w:sz w:val="24"/>
          <w:szCs w:val="24"/>
        </w:rPr>
        <w:t xml:space="preserve"> Il prodotto d'insieme: lo stato dell'arte della memoria sensibile del caso — che cosa esiste, dove, in che stato, che cosa è perduto — in relazione pubblica. Due nastri, migliaia di fotografie, chilometri di girato: finalmente contati insieme.</w:t>
      </w:r>
    </w:p>
    <w:p>
      <w:pPr>
        <w:spacing w:after="120" w:line="276"/>
        <w:jc w:val="both"/>
      </w:pPr>
      <w:r>
        <w:rPr>
          <w:rFonts w:ascii="Barlow Semi Condensed" w:cs="Barlow Semi Condensed" w:eastAsia="Barlow Semi Condensed" w:hAnsi="Barlow Semi Condensed"/>
          <w:b/>
          <w:bCs/>
          <w:sz w:val="24"/>
          <w:szCs w:val="24"/>
        </w:rPr>
        <w:t xml:space="preserve">650 · Il seicentocinquantesimo blocco: la memoria che si vede.</w:t>
      </w:r>
      <w:r>
        <w:rPr>
          <w:rFonts w:ascii="Barlow Semi Condensed" w:cs="Barlow Semi Condensed" w:eastAsia="Barlow Semi Condensed" w:hAnsi="Barlow Semi Condensed"/>
          <w:sz w:val="24"/>
          <w:szCs w:val="24"/>
        </w:rPr>
        <w:t xml:space="preserve"> La riflessione operativa della parte: il caso è entrato nella memoria nazionale soprattutto per immagini — la 128 crivellata, la foto col drappo, la R4 di via Caetani. Il cantiere restituisce a quelle immagini il loro statuto di documenti: con autore, ora, catena e grado — perché la memoria che si vede sia esatta quanto quella che si legge.</w:t>
      </w:r>
    </w:p>
    <w:p>
      <w:pPr>
        <w:spacing w:after="120" w:line="276"/>
        <w:jc w:val="both"/>
      </w:pPr>
      <w:r>
        <w:rPr>
          <w:rFonts w:ascii="Barlow Semi Condensed" w:cs="Barlow Semi Condensed" w:eastAsia="Barlow Semi Condensed" w:hAnsi="Barlow Semi Condensed"/>
          <w:b/>
          <w:bCs/>
          <w:sz w:val="24"/>
          <w:szCs w:val="24"/>
        </w:rPr>
        <w:t xml:space="preserve">651 · Il raccordo col fascicolo romano.</w:t>
      </w:r>
      <w:r>
        <w:rPr>
          <w:rFonts w:ascii="Barlow Semi Condensed" w:cs="Barlow Semi Condensed" w:eastAsia="Barlow Semi Condensed" w:hAnsi="Barlow Semi Condensed"/>
          <w:sz w:val="24"/>
          <w:szCs w:val="24"/>
        </w:rPr>
        <w:t xml:space="preserve"> La regola istituzionale della parte: ogni materiale sensibile con possibile rilievo per l'indagine aperta (immagini della scena, audio) si segnala all'autorità prima di ogni uso pubblico (il blocco 291 dell'agenda). Il sensibile può essere evidenza: la precedenza giudiziaria vale anche per un fotogramma.</w:t>
      </w:r>
    </w:p>
    <w:p>
      <w:pPr>
        <w:spacing w:after="120" w:line="276"/>
        <w:jc w:val="both"/>
      </w:pPr>
      <w:r>
        <w:rPr>
          <w:rFonts w:ascii="Barlow Semi Condensed" w:cs="Barlow Semi Condensed" w:eastAsia="Barlow Semi Condensed" w:hAnsi="Barlow Semi Condensed"/>
          <w:b/>
          <w:bCs/>
          <w:sz w:val="24"/>
          <w:szCs w:val="24"/>
        </w:rPr>
        <w:t xml:space="preserve">652 · Le collaborazioni tecniche.</w:t>
      </w:r>
      <w:r>
        <w:rPr>
          <w:rFonts w:ascii="Barlow Semi Condensed" w:cs="Barlow Semi Condensed" w:eastAsia="Barlow Semi Condensed" w:hAnsi="Barlow Semi Condensed"/>
          <w:sz w:val="24"/>
          <w:szCs w:val="24"/>
        </w:rPr>
        <w:t xml:space="preserve"> Le alleanze della parte: cineteche, teche, laboratori di restauro audiovisivo, dipartimenti universitari di fotografia forense — il tavolo tecnico permanente. Il sensibile richiede mestieri propri: il cantiere li riunisce invece di improvvisarli.</w:t>
      </w:r>
    </w:p>
    <w:p>
      <w:pPr>
        <w:spacing w:after="120" w:line="276"/>
        <w:jc w:val="both"/>
      </w:pPr>
      <w:r>
        <w:rPr>
          <w:rFonts w:ascii="Barlow Semi Condensed" w:cs="Barlow Semi Condensed" w:eastAsia="Barlow Semi Condensed" w:hAnsi="Barlow Semi Condensed"/>
          <w:b/>
          <w:bCs/>
          <w:sz w:val="24"/>
          <w:szCs w:val="24"/>
        </w:rPr>
        <w:t xml:space="preserve">653 · Il bilancio del sensibile.</w:t>
      </w:r>
      <w:r>
        <w:rPr>
          <w:rFonts w:ascii="Barlow Semi Condensed" w:cs="Barlow Semi Condensed" w:eastAsia="Barlow Semi Condensed" w:hAnsi="Barlow Semi Condensed"/>
          <w:sz w:val="24"/>
          <w:szCs w:val="24"/>
        </w:rPr>
        <w:t xml:space="preserve"> I costi dichiarati: digitalizzazioni, restauri, diritti, archiviazione — il bilancio della parte per campagna (la regola costante). Il sensibile è il cantiere più costoso per gigabyte: la trasparenza dei costi ne è la difesa.</w:t>
      </w:r>
    </w:p>
    <w:p>
      <w:pPr>
        <w:spacing w:after="120" w:line="276"/>
        <w:jc w:val="both"/>
      </w:pPr>
      <w:r>
        <w:rPr>
          <w:rFonts w:ascii="Barlow Semi Condensed" w:cs="Barlow Semi Condensed" w:eastAsia="Barlow Semi Condensed" w:hAnsi="Barlow Semi Condensed"/>
          <w:b/>
          <w:bCs/>
          <w:sz w:val="24"/>
          <w:szCs w:val="24"/>
        </w:rPr>
        <w:t xml:space="preserve">654 · Le priorità del degrado.</w:t>
      </w:r>
      <w:r>
        <w:rPr>
          <w:rFonts w:ascii="Barlow Semi Condensed" w:cs="Barlow Semi Condensed" w:eastAsia="Barlow Semi Condensed" w:hAnsi="Barlow Semi Condensed"/>
          <w:sz w:val="24"/>
          <w:szCs w:val="24"/>
        </w:rPr>
        <w:t xml:space="preserve"> La coda comandata dal decadimento: prima i supporti magnetici, poi le pellicole a rischio, poi la carta fotografica — la tavola delle urgenze conservative. Il tempo detta l'ordine: il cantiere obbedisce al chimico prima che al narrativo.</w:t>
      </w:r>
    </w:p>
    <w:p>
      <w:pPr>
        <w:spacing w:after="120" w:line="276"/>
        <w:jc w:val="both"/>
      </w:pPr>
      <w:r>
        <w:rPr>
          <w:rFonts w:ascii="Barlow Semi Condensed" w:cs="Barlow Semi Condensed" w:eastAsia="Barlow Semi Condensed" w:hAnsi="Barlow Semi Condensed"/>
          <w:b/>
          <w:bCs/>
          <w:sz w:val="24"/>
          <w:szCs w:val="24"/>
        </w:rPr>
        <w:t xml:space="preserve">655 · L'inventario degli apparecchi.</w:t>
      </w:r>
      <w:r>
        <w:rPr>
          <w:rFonts w:ascii="Barlow Semi Condensed" w:cs="Barlow Semi Condensed" w:eastAsia="Barlow Semi Condensed" w:hAnsi="Barlow Semi Condensed"/>
          <w:sz w:val="24"/>
          <w:szCs w:val="24"/>
        </w:rPr>
        <w:t xml:space="preserve"> Il micro-bersaglio strumentale: gli apparecchi d'epoca rilevanti (le macchine dei fotografi, le telecamere, i registratori dei centralini) — censimento tipologico per la taratura delle analisi. Conoscere lo strumento che produsse il documento è filologia del sensibile.</w:t>
      </w:r>
    </w:p>
    <w:p>
      <w:pPr>
        <w:spacing w:after="120" w:line="276"/>
        <w:jc w:val="both"/>
      </w:pPr>
      <w:r>
        <w:rPr>
          <w:rFonts w:ascii="Barlow Semi Condensed" w:cs="Barlow Semi Condensed" w:eastAsia="Barlow Semi Condensed" w:hAnsi="Barlow Semi Condensed"/>
          <w:b/>
          <w:bCs/>
          <w:sz w:val="24"/>
          <w:szCs w:val="24"/>
        </w:rPr>
        <w:t xml:space="preserve">656 · Le copie di sicurezza geografiche.</w:t>
      </w:r>
      <w:r>
        <w:rPr>
          <w:rFonts w:ascii="Barlow Semi Condensed" w:cs="Barlow Semi Condensed" w:eastAsia="Barlow Semi Condensed" w:hAnsi="Barlow Semi Condensed"/>
          <w:sz w:val="24"/>
          <w:szCs w:val="24"/>
        </w:rPr>
        <w:t xml:space="preserve"> La regola di ridondanza: il deposito del sensibile replicato in sedi geografiche distinte (il disaster recovery del manuale, applicato). La memoria sensibile del caso non deve poter morire in un solo incendio: è una regola da archivi, e vale doppio per gli unica.</w:t>
      </w:r>
    </w:p>
    <w:p>
      <w:pPr>
        <w:spacing w:after="120" w:line="276"/>
        <w:jc w:val="both"/>
      </w:pPr>
      <w:r>
        <w:rPr>
          <w:rFonts w:ascii="Barlow Semi Condensed" w:cs="Barlow Semi Condensed" w:eastAsia="Barlow Semi Condensed" w:hAnsi="Barlow Semi Condensed"/>
          <w:b/>
          <w:bCs/>
          <w:sz w:val="24"/>
          <w:szCs w:val="24"/>
        </w:rPr>
        <w:t xml:space="preserve">657 · Il registro degli usi.</w:t>
      </w:r>
      <w:r>
        <w:rPr>
          <w:rFonts w:ascii="Barlow Semi Condensed" w:cs="Barlow Semi Condensed" w:eastAsia="Barlow Semi Condensed" w:hAnsi="Barlow Semi Condensed"/>
          <w:sz w:val="24"/>
          <w:szCs w:val="24"/>
        </w:rPr>
        <w:t xml:space="preserve"> La contabilità degli impieghi: ogni uso pubblico dei materiali del deposito (mostre, documentari, didattica) registrato con finalità e contesto. Il cantiere sa sempre dove le sue immagini vivono: è tutela e insieme storia della ricezione.</w:t>
      </w:r>
    </w:p>
    <w:p>
      <w:pPr>
        <w:spacing w:after="120" w:line="276"/>
        <w:jc w:val="both"/>
      </w:pPr>
      <w:r>
        <w:rPr>
          <w:rFonts w:ascii="Barlow Semi Condensed" w:cs="Barlow Semi Condensed" w:eastAsia="Barlow Semi Condensed" w:hAnsi="Barlow Semi Condensed"/>
          <w:b/>
          <w:bCs/>
          <w:sz w:val="24"/>
          <w:szCs w:val="24"/>
        </w:rPr>
        <w:t xml:space="preserve">658 · La revisione tecnica periodica.</w:t>
      </w:r>
      <w:r>
        <w:rPr>
          <w:rFonts w:ascii="Barlow Semi Condensed" w:cs="Barlow Semi Condensed" w:eastAsia="Barlow Semi Condensed" w:hAnsi="Barlow Semi Condensed"/>
          <w:sz w:val="24"/>
          <w:szCs w:val="24"/>
        </w:rPr>
        <w:t xml:space="preserve"> La regola di aggiornamento: la parte si rilegge a ogni salto tecnologico del restauro e dell'analisi (nuovi upscaling dichiarati come tali, nuove separazioni audio) — con la marcatura permanente: il restaurato non sostituisce mai l'originale. La tecnica migliora; l'originale resta il giudice.</w:t>
      </w:r>
    </w:p>
    <w:p>
      <w:pPr>
        <w:spacing w:after="120" w:line="276"/>
        <w:jc w:val="both"/>
      </w:pPr>
      <w:r>
        <w:rPr>
          <w:rFonts w:ascii="Barlow Semi Condensed" w:cs="Barlow Semi Condensed" w:eastAsia="Barlow Semi Condensed" w:hAnsi="Barlow Semi Condensed"/>
          <w:b/>
          <w:bCs/>
          <w:sz w:val="24"/>
          <w:szCs w:val="24"/>
        </w:rPr>
        <w:t xml:space="preserve">659 · I quesiti che solo il sensibile chiude.</w:t>
      </w:r>
      <w:r>
        <w:rPr>
          <w:rFonts w:ascii="Barlow Semi Condensed" w:cs="Barlow Semi Condensed" w:eastAsia="Barlow Semi Condensed" w:hAnsi="Barlow Semi Condensed"/>
          <w:sz w:val="24"/>
          <w:szCs w:val="24"/>
        </w:rPr>
        <w:t xml:space="preserve"> La formulazione esplicita: quali celle delle matrici possono essere riempite solo da un'immagine o da un suono (le presenze fotografate, i fondi delle telefonate, le geometrie della prigione) — la tavola delle celle sensibili. La giustificazione ultima della parte: dove la carta tace, l'immagine può ancora parlare.</w:t>
      </w:r>
    </w:p>
    <w:p>
      <w:pPr>
        <w:spacing w:after="120" w:line="276"/>
        <w:jc w:val="both"/>
      </w:pPr>
      <w:r>
        <w:rPr>
          <w:rFonts w:ascii="Barlow Semi Condensed" w:cs="Barlow Semi Condensed" w:eastAsia="Barlow Semi Condensed" w:hAnsi="Barlow Semi Condensed"/>
          <w:b/>
          <w:bCs/>
          <w:sz w:val="24"/>
          <w:szCs w:val="24"/>
        </w:rPr>
        <w:t xml:space="preserve">660 · La tavola del sensibile.</w:t>
      </w:r>
      <w:r>
        <w:rPr>
          <w:rFonts w:ascii="Barlow Semi Condensed" w:cs="Barlow Semi Condensed" w:eastAsia="Barlow Semi Condensed" w:hAnsi="Barlow Semi Condensed"/>
          <w:sz w:val="24"/>
          <w:szCs w:val="24"/>
        </w:rPr>
        <w:t xml:space="preserve"> La chiusura della parte: gli stati di tutti i bersagli (561-659), i depositi avviati, le urgenze in coda. Il sesto cantiere consegna la sua contabilità — e la memoria sensibile del caso ha, per la prima volta, un custode con un piano.</w:t>
      </w:r>
    </w:p>
    <w:p>
      <w:pPr>
        <w:pStyle w:val="Heading2"/>
        <w:spacing w:after="100" w:before="200"/>
      </w:pPr>
      <w:r>
        <w:rPr>
          <w:rFonts w:ascii="Barlow Semi Condensed" w:cs="Barlow Semi Condensed" w:eastAsia="Barlow Semi Condensed" w:hAnsi="Barlow Semi Condensed"/>
          <w:sz w:val="24"/>
          <w:szCs w:val="24"/>
        </w:rPr>
        <w:t xml:space="preserve">Parte settima — Le scienze forensi (blocchi 661-790)</w:t>
      </w:r>
    </w:p>
    <w:p>
      <w:pPr>
        <w:spacing w:after="120" w:line="276"/>
        <w:jc w:val="both"/>
      </w:pPr>
      <w:r>
        <w:rPr>
          <w:rFonts w:ascii="Barlow Semi Condensed" w:cs="Barlow Semi Condensed" w:eastAsia="Barlow Semi Condensed" w:hAnsi="Barlow Semi Condensed"/>
          <w:i/>
          <w:iCs/>
          <w:sz w:val="24"/>
          <w:szCs w:val="24"/>
        </w:rPr>
        <w:t xml:space="preserve">Statuto della parte: la scienza come istituzione, non come miracolo. Le Parti quarta, quinta e sesta applicano le tecniche ai reperti, ai testi e alle immagini; questa parte costruisce ciò che regge ogni applicazione: il diritto della prova scientifica, i laboratori e i loro standard, i precedenti che insegnano, i pareri che aprono o chiudono. I fatti verificati che la fondano: la banca dati nazionale del DNA è operativa dal 2016 (legge 85/2009, regolamento d.P.R. 87/2016 — la banca presso il Dipartimento della pubblica sicurezza, il laboratorio centrale presso il DAP), e i profili da reperti di procedimenti penali vi sono inseribili per legge; la genealogia genetica forense non è mai stata usata in Italia e non ha disciplina; il fenotipo predittivo non è né vietato né regolato; lo screening di massa ha un precedente italiano compiuto (il caso Yara: circa diciottomila profili, condanna definitiva nel 2018); e nessun delitto italiano degli anni Settanta-Ottanta risulta mai chiuso in giudicato grazie a tecniche nuove su reperti d'epoca — se il fascicolo romano vi arrivasse, il caso Moro sarebbe il primo. La parte lavora perché quel primato, se verrà, arrivi su fondamenta inattaccabili.</w:t>
      </w:r>
    </w:p>
    <w:p>
      <w:pPr>
        <w:pStyle w:val="Heading3"/>
        <w:spacing w:after="80" w:before="160"/>
      </w:pPr>
      <w:r>
        <w:rPr>
          <w:rFonts w:ascii="Barlow Semi Condensed" w:cs="Barlow Semi Condensed" w:eastAsia="Barlow Semi Condensed" w:hAnsi="Barlow Semi Condensed"/>
          <w:sz w:val="24"/>
          <w:szCs w:val="24"/>
        </w:rPr>
        <w:t xml:space="preserve">Il diritto delle prove scientifiche (blocchi 661-690)</w:t>
      </w:r>
    </w:p>
    <w:p>
      <w:pPr>
        <w:spacing w:after="120" w:line="276"/>
        <w:jc w:val="both"/>
      </w:pPr>
      <w:r>
        <w:rPr>
          <w:rFonts w:ascii="Barlow Semi Condensed" w:cs="Barlow Semi Condensed" w:eastAsia="Barlow Semi Condensed" w:hAnsi="Barlow Semi Condensed"/>
          <w:b/>
          <w:bCs/>
          <w:sz w:val="24"/>
          <w:szCs w:val="24"/>
        </w:rPr>
        <w:t xml:space="preserve">661 · La legge madre.</w:t>
      </w:r>
      <w:r>
        <w:rPr>
          <w:rFonts w:ascii="Barlow Semi Condensed" w:cs="Barlow Semi Condensed" w:eastAsia="Barlow Semi Condensed" w:hAnsi="Barlow Semi Condensed"/>
          <w:sz w:val="24"/>
          <w:szCs w:val="24"/>
        </w:rPr>
        <w:t xml:space="preserve"> Il pilastro normativo: la legge 30 giugno 2009, n. 85 — l'adesione al Trattato di Prüm, l'istituzione della banca dati nazionale del DNA e del laboratorio centrale, le categorie di profili, le garanzie. Il cantiere la assume come testo di lavoro: ogni bersaglio genetico dell'opera cita i suoi articoli, non le sue vulgate.</w:t>
      </w:r>
    </w:p>
    <w:p>
      <w:pPr>
        <w:spacing w:after="120" w:line="276"/>
        <w:jc w:val="both"/>
      </w:pPr>
      <w:r>
        <w:rPr>
          <w:rFonts w:ascii="Barlow Semi Condensed" w:cs="Barlow Semi Condensed" w:eastAsia="Barlow Semi Condensed" w:hAnsi="Barlow Semi Condensed"/>
          <w:b/>
          <w:bCs/>
          <w:sz w:val="24"/>
          <w:szCs w:val="24"/>
        </w:rPr>
        <w:t xml:space="preserve">662 · Il regolamento attuativo.</w:t>
      </w:r>
      <w:r>
        <w:rPr>
          <w:rFonts w:ascii="Barlow Semi Condensed" w:cs="Barlow Semi Condensed" w:eastAsia="Barlow Semi Condensed" w:hAnsi="Barlow Semi Condensed"/>
          <w:sz w:val="24"/>
          <w:szCs w:val="24"/>
        </w:rPr>
        <w:t xml:space="preserve"> Il secondo pilastro: il d.P.R. 7 aprile 2016, n. 87 — le regole tecniche che resero operativa la banca (i requisiti dei profili, le procedure di alimentazione e confronto, le cancellazioni). La data conta: l'Italia ha la sua infrastruttura genetica solo dal 2016 — otto anni di ritardo sull'Europa che il caso ha pagato anche lui.</w:t>
      </w:r>
    </w:p>
    <w:p>
      <w:pPr>
        <w:spacing w:after="120" w:line="276"/>
        <w:jc w:val="both"/>
      </w:pPr>
      <w:r>
        <w:rPr>
          <w:rFonts w:ascii="Barlow Semi Condensed" w:cs="Barlow Semi Condensed" w:eastAsia="Barlow Semi Condensed" w:hAnsi="Barlow Semi Condensed"/>
          <w:b/>
          <w:bCs/>
          <w:sz w:val="24"/>
          <w:szCs w:val="24"/>
        </w:rPr>
        <w:t xml:space="preserve">663 · L'architettura a due sedi.</w:t>
      </w:r>
      <w:r>
        <w:rPr>
          <w:rFonts w:ascii="Barlow Semi Condensed" w:cs="Barlow Semi Condensed" w:eastAsia="Barlow Semi Condensed" w:hAnsi="Barlow Semi Condensed"/>
          <w:sz w:val="24"/>
          <w:szCs w:val="24"/>
        </w:rPr>
        <w:t xml:space="preserve"> Il disegno istituzionale verificato: la banca dati presso il Dipartimento della pubblica sicurezza al Viminale, il laboratorio centrale presso il Dipartimento dell'amministrazione penitenziaria — due amministrazioni, un sistema. Chi chiede un confronto deve sapere a chi chiede: la mappa istituzionale è il primo strumento.</w:t>
      </w:r>
    </w:p>
    <w:p>
      <w:pPr>
        <w:spacing w:after="120" w:line="276"/>
        <w:jc w:val="both"/>
      </w:pPr>
      <w:r>
        <w:rPr>
          <w:rFonts w:ascii="Barlow Semi Condensed" w:cs="Barlow Semi Condensed" w:eastAsia="Barlow Semi Condensed" w:hAnsi="Barlow Semi Condensed"/>
          <w:b/>
          <w:bCs/>
          <w:sz w:val="24"/>
          <w:szCs w:val="24"/>
        </w:rPr>
        <w:t xml:space="preserve">664 · I profili da reperto.</w:t>
      </w:r>
      <w:r>
        <w:rPr>
          <w:rFonts w:ascii="Barlow Semi Condensed" w:cs="Barlow Semi Condensed" w:eastAsia="Barlow Semi Condensed" w:hAnsi="Barlow Semi Condensed"/>
          <w:sz w:val="24"/>
          <w:szCs w:val="24"/>
        </w:rPr>
        <w:t xml:space="preserve"> La base giuridica dei bersagli del caso: gli articoli 7 e 10 della legge — i profili ottenuti da reperti biologici di procedimenti penali entrano e si confrontano. I profili orfani del 2016 hanno una casa giuridica: il cantiere ne verifica l'inserimento effettivo e l'interrogazione periodica (il blocco 384, con la sua norma).</w:t>
      </w:r>
    </w:p>
    <w:p>
      <w:pPr>
        <w:spacing w:after="120" w:line="276"/>
        <w:jc w:val="both"/>
      </w:pPr>
      <w:r>
        <w:rPr>
          <w:rFonts w:ascii="Barlow Semi Condensed" w:cs="Barlow Semi Condensed" w:eastAsia="Barlow Semi Condensed" w:hAnsi="Barlow Semi Condensed"/>
          <w:b/>
          <w:bCs/>
          <w:sz w:val="24"/>
          <w:szCs w:val="24"/>
        </w:rPr>
        <w:t xml:space="preserve">665 · Le qualità richieste.</w:t>
      </w:r>
      <w:r>
        <w:rPr>
          <w:rFonts w:ascii="Barlow Semi Condensed" w:cs="Barlow Semi Condensed" w:eastAsia="Barlow Semi Condensed" w:hAnsi="Barlow Semi Condensed"/>
          <w:sz w:val="24"/>
          <w:szCs w:val="24"/>
        </w:rPr>
        <w:t xml:space="preserve"> Il vincolo tecnico-giuridico: gli standard dei profili inseribili (i loci richiesti, la qualità minima) — la verifica formale che i profili storici del caso li soddisfino, ed eventualmente il ricampionamento che li porti a standard. Un profilo fuori standard è muto per legge: portarlo a norma è un atto, non un dettaglio.</w:t>
      </w:r>
    </w:p>
    <w:p>
      <w:pPr>
        <w:spacing w:after="120" w:line="276"/>
        <w:jc w:val="both"/>
      </w:pPr>
      <w:r>
        <w:rPr>
          <w:rFonts w:ascii="Barlow Semi Condensed" w:cs="Barlow Semi Condensed" w:eastAsia="Barlow Semi Condensed" w:hAnsi="Barlow Semi Condensed"/>
          <w:b/>
          <w:bCs/>
          <w:sz w:val="24"/>
          <w:szCs w:val="24"/>
        </w:rPr>
        <w:t xml:space="preserve">666 · Prüm e lo scambio europeo.</w:t>
      </w:r>
      <w:r>
        <w:rPr>
          <w:rFonts w:ascii="Barlow Semi Condensed" w:cs="Barlow Semi Condensed" w:eastAsia="Barlow Semi Condensed" w:hAnsi="Barlow Semi Condensed"/>
          <w:sz w:val="24"/>
          <w:szCs w:val="24"/>
        </w:rPr>
        <w:t xml:space="preserve"> La dimensione continentale: lo scambio automatizzato dei profili con gli Stati del sistema di Prüm — la possibilità che un profilo orfano del 1978 incontri una banca estera. Il confronto europeo è la moltiplicazione gratuita delle probabilità: si attiva per via istituzionale, e si registra.</w:t>
      </w:r>
    </w:p>
    <w:p>
      <w:pPr>
        <w:spacing w:after="120" w:line="276"/>
        <w:jc w:val="both"/>
      </w:pPr>
      <w:r>
        <w:rPr>
          <w:rFonts w:ascii="Barlow Semi Condensed" w:cs="Barlow Semi Condensed" w:eastAsia="Barlow Semi Condensed" w:hAnsi="Barlow Semi Condensed"/>
          <w:b/>
          <w:bCs/>
          <w:sz w:val="24"/>
          <w:szCs w:val="24"/>
        </w:rPr>
        <w:t xml:space="preserve">667 · Le cancellazioni e i tempi.</w:t>
      </w:r>
      <w:r>
        <w:rPr>
          <w:rFonts w:ascii="Barlow Semi Condensed" w:cs="Barlow Semi Condensed" w:eastAsia="Barlow Semi Condensed" w:hAnsi="Barlow Semi Condensed"/>
          <w:sz w:val="24"/>
          <w:szCs w:val="24"/>
        </w:rPr>
        <w:t xml:space="preserve"> Il rovescio delle garanzie: le regole di cancellazione dei profili e i loro termini — la mappa di ciò che la banca dimentica per legge, e quando. Il cantiere deve sapere anche questo: un confronto rimandato può essere un confronto reso impossibile.</w:t>
      </w:r>
    </w:p>
    <w:p>
      <w:pPr>
        <w:spacing w:after="120" w:line="276"/>
        <w:jc w:val="both"/>
      </w:pPr>
      <w:r>
        <w:rPr>
          <w:rFonts w:ascii="Barlow Semi Condensed" w:cs="Barlow Semi Condensed" w:eastAsia="Barlow Semi Condensed" w:hAnsi="Barlow Semi Condensed"/>
          <w:b/>
          <w:bCs/>
          <w:sz w:val="24"/>
          <w:szCs w:val="24"/>
        </w:rPr>
        <w:t xml:space="preserve">668 · Il vuoto della parentela.</w:t>
      </w:r>
      <w:r>
        <w:rPr>
          <w:rFonts w:ascii="Barlow Semi Condensed" w:cs="Barlow Semi Condensed" w:eastAsia="Barlow Semi Condensed" w:hAnsi="Barlow Semi Condensed"/>
          <w:sz w:val="24"/>
          <w:szCs w:val="24"/>
        </w:rPr>
        <w:t xml:space="preserve"> Il fatto normativo verificato: la ricerca familiare (il confronto per linee di parentela) non ha disciplina espressa nell'ordinamento — né divieto né procedura. Il parere del blocco 388 lavora in questo vuoto: la mappa delle interpretazioni possibili, i precedenti applicativi se esistono, l'interlocuzione con l'autorità e il Garante.</w:t>
      </w:r>
    </w:p>
    <w:p>
      <w:pPr>
        <w:spacing w:after="120" w:line="276"/>
        <w:jc w:val="both"/>
      </w:pPr>
      <w:r>
        <w:rPr>
          <w:rFonts w:ascii="Barlow Semi Condensed" w:cs="Barlow Semi Condensed" w:eastAsia="Barlow Semi Condensed" w:hAnsi="Barlow Semi Condensed"/>
          <w:b/>
          <w:bCs/>
          <w:sz w:val="24"/>
          <w:szCs w:val="24"/>
        </w:rPr>
        <w:t xml:space="preserve">669 · Il vuoto della genealogia.</w:t>
      </w:r>
      <w:r>
        <w:rPr>
          <w:rFonts w:ascii="Barlow Semi Condensed" w:cs="Barlow Semi Condensed" w:eastAsia="Barlow Semi Condensed" w:hAnsi="Barlow Semi Condensed"/>
          <w:sz w:val="24"/>
          <w:szCs w:val="24"/>
        </w:rPr>
        <w:t xml:space="preserve"> Il fatto gemello: la genealogia genetica forense — mai usata in Italia, prima applicazione europea documentata in Svezia — è priva di qualunque cornice. Il blocco fissa la conseguenza operativa: nessun protocollo genealogico per il caso senza un percorso istituzionale che oggi non esiste; il cantiere può solo istruire il dossier che un legislatore o un giudice un giorno userà.</w:t>
      </w:r>
    </w:p>
    <w:p>
      <w:pPr>
        <w:spacing w:after="120" w:line="276"/>
        <w:jc w:val="both"/>
      </w:pPr>
      <w:r>
        <w:rPr>
          <w:rFonts w:ascii="Barlow Semi Condensed" w:cs="Barlow Semi Condensed" w:eastAsia="Barlow Semi Condensed" w:hAnsi="Barlow Semi Condensed"/>
          <w:b/>
          <w:bCs/>
          <w:sz w:val="24"/>
          <w:szCs w:val="24"/>
        </w:rPr>
        <w:t xml:space="preserve">670 · Il fenotipo senza statuto.</w:t>
      </w:r>
      <w:r>
        <w:rPr>
          <w:rFonts w:ascii="Barlow Semi Condensed" w:cs="Barlow Semi Condensed" w:eastAsia="Barlow Semi Condensed" w:hAnsi="Barlow Semi Condensed"/>
          <w:sz w:val="24"/>
          <w:szCs w:val="24"/>
        </w:rPr>
        <w:t xml:space="preserve"> Il terzo vuoto: la predizione dei tratti somatici — né vietata né disciplinata, col solo limite indiretto dell'articolo 11 (i sistemi della banca non devono rivelare patologie). Il parere del blocco 186 dell'agenda si aggiorna con questo quadro: ciò che è tecnicamente possibile e giuridicamente indefinito si tratta con la prudenza massima.</w:t>
      </w:r>
    </w:p>
    <w:p>
      <w:pPr>
        <w:spacing w:after="120" w:line="276"/>
        <w:jc w:val="both"/>
      </w:pPr>
      <w:r>
        <w:rPr>
          <w:rFonts w:ascii="Barlow Semi Condensed" w:cs="Barlow Semi Condensed" w:eastAsia="Barlow Semi Condensed" w:hAnsi="Barlow Semi Condensed"/>
          <w:b/>
          <w:bCs/>
          <w:sz w:val="24"/>
          <w:szCs w:val="24"/>
        </w:rPr>
        <w:t xml:space="preserve">671 · Il Garante come interlocutore.</w:t>
      </w:r>
      <w:r>
        <w:rPr>
          <w:rFonts w:ascii="Barlow Semi Condensed" w:cs="Barlow Semi Condensed" w:eastAsia="Barlow Semi Condensed" w:hAnsi="Barlow Semi Condensed"/>
          <w:sz w:val="24"/>
          <w:szCs w:val="24"/>
        </w:rPr>
        <w:t xml:space="preserve"> L'attore trasversale: l'autorità di protezione dei dati nel trattamento genetico e biometrico del caso — le regole deontologiche per la ricerca, i provvedimenti pertinenti. Ogni protocollo genetico del cantiere prevede l'interlocuzione: il Garante non è un ostacolo, è il custode del perimetro.</w:t>
      </w:r>
    </w:p>
    <w:p>
      <w:pPr>
        <w:spacing w:after="120" w:line="276"/>
        <w:jc w:val="both"/>
      </w:pPr>
      <w:r>
        <w:rPr>
          <w:rFonts w:ascii="Barlow Semi Condensed" w:cs="Barlow Semi Condensed" w:eastAsia="Barlow Semi Condensed" w:hAnsi="Barlow Semi Condensed"/>
          <w:b/>
          <w:bCs/>
          <w:sz w:val="24"/>
          <w:szCs w:val="24"/>
        </w:rPr>
        <w:t xml:space="preserve">672 · L'atto irripetibile.</w:t>
      </w:r>
      <w:r>
        <w:rPr>
          <w:rFonts w:ascii="Barlow Semi Condensed" w:cs="Barlow Semi Condensed" w:eastAsia="Barlow Semi Condensed" w:hAnsi="Barlow Semi Condensed"/>
          <w:sz w:val="24"/>
          <w:szCs w:val="24"/>
        </w:rPr>
        <w:t xml:space="preserve"> Lo strumento processuale cardine: gli accertamenti tecnici irripetibili (articolo 360 del codice di procedura) e l'incidente probatorio (articolo 392) — quando un esame consuma il reperto, la forma è tutto. Il cantiere mappa lo strumento per ogni esame distruttivo proposto (il blocco 209 dell'agenda, con gli articoli in mano).</w:t>
      </w:r>
    </w:p>
    <w:p>
      <w:pPr>
        <w:spacing w:after="120" w:line="276"/>
        <w:jc w:val="both"/>
      </w:pPr>
      <w:r>
        <w:rPr>
          <w:rFonts w:ascii="Barlow Semi Condensed" w:cs="Barlow Semi Condensed" w:eastAsia="Barlow Semi Condensed" w:hAnsi="Barlow Semi Condensed"/>
          <w:b/>
          <w:bCs/>
          <w:sz w:val="24"/>
          <w:szCs w:val="24"/>
        </w:rPr>
        <w:t xml:space="preserve">673 · La giurisprudenza della prova scientifica.</w:t>
      </w:r>
      <w:r>
        <w:rPr>
          <w:rFonts w:ascii="Barlow Semi Condensed" w:cs="Barlow Semi Condensed" w:eastAsia="Barlow Semi Condensed" w:hAnsi="Barlow Semi Condensed"/>
          <w:sz w:val="24"/>
          <w:szCs w:val="24"/>
        </w:rPr>
        <w:t xml:space="preserve"> Il quadro giurisprudenziale: i criteri elaborati dalla Cassazione sull'affidabilità della prova scientifica (la verificabilità del metodo, l'errore noto, il controllo della comunità scientifica, l'accreditamento) — la tavola dei criteri con le pronunce di riferimento. La scienza entra nel processo per la porta che la giurisprudenza ha costruito: il cantiere la conosce a memoria.</w:t>
      </w:r>
    </w:p>
    <w:p>
      <w:pPr>
        <w:spacing w:after="120" w:line="276"/>
        <w:jc w:val="both"/>
      </w:pPr>
      <w:r>
        <w:rPr>
          <w:rFonts w:ascii="Barlow Semi Condensed" w:cs="Barlow Semi Condensed" w:eastAsia="Barlow Semi Condensed" w:hAnsi="Barlow Semi Condensed"/>
          <w:b/>
          <w:bCs/>
          <w:sz w:val="24"/>
          <w:szCs w:val="24"/>
        </w:rPr>
        <w:t xml:space="preserve">674 · La catena di custodia in giudizio.</w:t>
      </w:r>
      <w:r>
        <w:rPr>
          <w:rFonts w:ascii="Barlow Semi Condensed" w:cs="Barlow Semi Condensed" w:eastAsia="Barlow Semi Condensed" w:hAnsi="Barlow Semi Condensed"/>
          <w:sz w:val="24"/>
          <w:szCs w:val="24"/>
        </w:rPr>
        <w:t xml:space="preserve"> La giurisprudenza sulla custodia: come le corti valutano le catene interrotte, i reperti maneggiati, i vuoti documentali — la tavola dei precedenti. Ogni esame su reperti del 1978 sarà attaccato sulla catena: il cantiere prepara la difesa prima dell'attacco (il raccordo col blocco 333).</w:t>
      </w:r>
    </w:p>
    <w:p>
      <w:pPr>
        <w:spacing w:after="120" w:line="276"/>
        <w:jc w:val="both"/>
      </w:pPr>
      <w:r>
        <w:rPr>
          <w:rFonts w:ascii="Barlow Semi Condensed" w:cs="Barlow Semi Condensed" w:eastAsia="Barlow Semi Condensed" w:hAnsi="Barlow Semi Condensed"/>
          <w:b/>
          <w:bCs/>
          <w:sz w:val="24"/>
          <w:szCs w:val="24"/>
        </w:rPr>
        <w:t xml:space="preserve">675 · Perizia e consulenza.</w:t>
      </w:r>
      <w:r>
        <w:rPr>
          <w:rFonts w:ascii="Barlow Semi Condensed" w:cs="Barlow Semi Condensed" w:eastAsia="Barlow Semi Condensed" w:hAnsi="Barlow Semi Condensed"/>
          <w:sz w:val="24"/>
          <w:szCs w:val="24"/>
        </w:rPr>
        <w:t xml:space="preserve"> La grammatica processuale: perizia del giudice, consulenza del pubblico ministero, consulenza di parte — chi dispone che cosa, con quali garanzie di contraddittorio. Il cantiere, attore civile della conoscenza, sa dove ogni esame può nascere e chi lo governa: propone al titolare giusto, nella forma giusta.</w:t>
      </w:r>
    </w:p>
    <w:p>
      <w:pPr>
        <w:spacing w:after="120" w:line="276"/>
        <w:jc w:val="both"/>
      </w:pPr>
      <w:r>
        <w:rPr>
          <w:rFonts w:ascii="Barlow Semi Condensed" w:cs="Barlow Semi Condensed" w:eastAsia="Barlow Semi Condensed" w:hAnsi="Barlow Semi Condensed"/>
          <w:b/>
          <w:bCs/>
          <w:sz w:val="24"/>
          <w:szCs w:val="24"/>
        </w:rPr>
        <w:t xml:space="preserve">676 · Il contraddittorio tecnico come garanzia.</w:t>
      </w:r>
      <w:r>
        <w:rPr>
          <w:rFonts w:ascii="Barlow Semi Condensed" w:cs="Barlow Semi Condensed" w:eastAsia="Barlow Semi Condensed" w:hAnsi="Barlow Semi Condensed"/>
          <w:sz w:val="24"/>
          <w:szCs w:val="24"/>
        </w:rPr>
        <w:t xml:space="preserve"> La regola istituzionalizzata (il blocco 375, elevato a principio di parte): ogni accertamento rilevante col contraddittorio degli esperti — nomine plurali, metodi dichiarati, dissensi verbalizzati. La storia del caso è piena di perizie contestate: il futuro deve esserlo di perizie blindate dal contraddittorio.</w:t>
      </w:r>
    </w:p>
    <w:p>
      <w:pPr>
        <w:spacing w:after="120" w:line="276"/>
        <w:jc w:val="both"/>
      </w:pPr>
      <w:r>
        <w:rPr>
          <w:rFonts w:ascii="Barlow Semi Condensed" w:cs="Barlow Semi Condensed" w:eastAsia="Barlow Semi Condensed" w:hAnsi="Barlow Semi Condensed"/>
          <w:b/>
          <w:bCs/>
          <w:sz w:val="24"/>
          <w:szCs w:val="24"/>
        </w:rPr>
        <w:t xml:space="preserve">677 · La prova scientifica nella revisione.</w:t>
      </w:r>
      <w:r>
        <w:rPr>
          <w:rFonts w:ascii="Barlow Semi Condensed" w:cs="Barlow Semi Condensed" w:eastAsia="Barlow Semi Condensed" w:hAnsi="Barlow Semi Condensed"/>
          <w:sz w:val="24"/>
          <w:szCs w:val="24"/>
        </w:rPr>
        <w:t xml:space="preserve"> Lo strumento straordinario: la revisione del giudicato per prove nuove — i presupposti, i precedenti, i limiti. Il cantiere lo mappa senza invocarlo: sapere che cosa la legge consente è dovere di completezza; auspicare è fuori dal metodo. Il registro chiuso resta chiuso finché un giudice non lo riapra.</w:t>
      </w:r>
    </w:p>
    <w:p>
      <w:pPr>
        <w:spacing w:after="120" w:line="276"/>
        <w:jc w:val="both"/>
      </w:pPr>
      <w:r>
        <w:rPr>
          <w:rFonts w:ascii="Barlow Semi Condensed" w:cs="Barlow Semi Condensed" w:eastAsia="Barlow Semi Condensed" w:hAnsi="Barlow Semi Condensed"/>
          <w:b/>
          <w:bCs/>
          <w:sz w:val="24"/>
          <w:szCs w:val="24"/>
        </w:rPr>
        <w:t xml:space="preserve">678 · L'imprescrittibilità come cornice.</w:t>
      </w:r>
      <w:r>
        <w:rPr>
          <w:rFonts w:ascii="Barlow Semi Condensed" w:cs="Barlow Semi Condensed" w:eastAsia="Barlow Semi Condensed" w:hAnsi="Barlow Semi Condensed"/>
          <w:sz w:val="24"/>
          <w:szCs w:val="24"/>
        </w:rPr>
        <w:t xml:space="preserve"> Il raccordo col manuale (la sua serie dodicesima): l'omicidio punito con l'ergastolo non si prescrive — ogni evidenza scientifica nuova resta giudizialmente spendibile senza limiti di tempo. La scienza del caso lavora dentro questa cornice: nessun esame è mai «troppo tardi» per il diritto.</w:t>
      </w:r>
    </w:p>
    <w:p>
      <w:pPr>
        <w:spacing w:after="120" w:line="276"/>
        <w:jc w:val="both"/>
      </w:pPr>
      <w:r>
        <w:rPr>
          <w:rFonts w:ascii="Barlow Semi Condensed" w:cs="Barlow Semi Condensed" w:eastAsia="Barlow Semi Condensed" w:hAnsi="Barlow Semi Condensed"/>
          <w:b/>
          <w:bCs/>
          <w:sz w:val="24"/>
          <w:szCs w:val="24"/>
        </w:rPr>
        <w:t xml:space="preserve">679 · Il segreto e la scienza.</w:t>
      </w:r>
      <w:r>
        <w:rPr>
          <w:rFonts w:ascii="Barlow Semi Condensed" w:cs="Barlow Semi Condensed" w:eastAsia="Barlow Semi Condensed" w:hAnsi="Barlow Semi Condensed"/>
          <w:sz w:val="24"/>
          <w:szCs w:val="24"/>
        </w:rPr>
        <w:t xml:space="preserve"> L'intersezione delicata: gli esami su materiali coperti da classifiche (dove esistano) — le procedure di declassifica funzionale, le perizie in forma protetta. Il cantiere mappa l'intersezione per non scoprirla a metà di un esame: la forma protegge l'esito.</w:t>
      </w:r>
    </w:p>
    <w:p>
      <w:pPr>
        <w:spacing w:after="120" w:line="276"/>
        <w:jc w:val="both"/>
      </w:pPr>
      <w:r>
        <w:rPr>
          <w:rFonts w:ascii="Barlow Semi Condensed" w:cs="Barlow Semi Condensed" w:eastAsia="Barlow Semi Condensed" w:hAnsi="Barlow Semi Condensed"/>
          <w:b/>
          <w:bCs/>
          <w:sz w:val="24"/>
          <w:szCs w:val="24"/>
        </w:rPr>
        <w:t xml:space="preserve">680 · I diritti dei terzi.</w:t>
      </w:r>
      <w:r>
        <w:rPr>
          <w:rFonts w:ascii="Barlow Semi Condensed" w:cs="Barlow Semi Condensed" w:eastAsia="Barlow Semi Condensed" w:hAnsi="Barlow Semi Condensed"/>
          <w:sz w:val="24"/>
          <w:szCs w:val="24"/>
        </w:rPr>
        <w:t xml:space="preserve"> La tutela trasversale: i dati genetici e biometrici di terzi estranei (familiari, contaminatori involontari) emersi dagli esami — le regole di minimizzazione e cancellazione. La scienza del caso tocca vite fuori dal caso: il perimetro le protegge per costruzione.</w:t>
      </w:r>
    </w:p>
    <w:p>
      <w:pPr>
        <w:spacing w:after="120" w:line="276"/>
        <w:jc w:val="both"/>
      </w:pPr>
      <w:r>
        <w:rPr>
          <w:rFonts w:ascii="Barlow Semi Condensed" w:cs="Barlow Semi Condensed" w:eastAsia="Barlow Semi Condensed" w:hAnsi="Barlow Semi Condensed"/>
          <w:b/>
          <w:bCs/>
          <w:sz w:val="24"/>
          <w:szCs w:val="24"/>
        </w:rPr>
        <w:t xml:space="preserve">681 · Il consenso dei viventi.</w:t>
      </w:r>
      <w:r>
        <w:rPr>
          <w:rFonts w:ascii="Barlow Semi Condensed" w:cs="Barlow Semi Condensed" w:eastAsia="Barlow Semi Condensed" w:hAnsi="Barlow Semi Condensed"/>
          <w:sz w:val="24"/>
          <w:szCs w:val="24"/>
        </w:rPr>
        <w:t xml:space="preserve"> La regola per i campioni volontari: ogni contributo genetico di viventi (le esclusioni volontarie, i campioni di riferimento) con consenso informato scritto e revocabile — il modello del caso Yara, con le sue garanzie e le sue lezioni. La volontarietà documentata è ciò che distingue uno screening da una schedatura.</w:t>
      </w:r>
    </w:p>
    <w:p>
      <w:pPr>
        <w:spacing w:after="120" w:line="276"/>
        <w:jc w:val="both"/>
      </w:pPr>
      <w:r>
        <w:rPr>
          <w:rFonts w:ascii="Barlow Semi Condensed" w:cs="Barlow Semi Condensed" w:eastAsia="Barlow Semi Condensed" w:hAnsi="Barlow Semi Condensed"/>
          <w:b/>
          <w:bCs/>
          <w:sz w:val="24"/>
          <w:szCs w:val="24"/>
        </w:rPr>
        <w:t xml:space="preserve">682 · La scienza sui defunti.</w:t>
      </w:r>
      <w:r>
        <w:rPr>
          <w:rFonts w:ascii="Barlow Semi Condensed" w:cs="Barlow Semi Condensed" w:eastAsia="Barlow Semi Condensed" w:hAnsi="Barlow Semi Condensed"/>
          <w:sz w:val="24"/>
          <w:szCs w:val="24"/>
        </w:rPr>
        <w:t xml:space="preserve"> Il quadro per i campioni post mortem: le regole per i riferimenti genetici da persone decedute (esumazioni, campioni clinici conservati) — presupposti, autorità, rispetto (il raccordo col blocco 391: mai le vittime). Il diritto dei morti alla dignità governa anche la provetta.</w:t>
      </w:r>
    </w:p>
    <w:p>
      <w:pPr>
        <w:spacing w:after="120" w:line="276"/>
        <w:jc w:val="both"/>
      </w:pPr>
      <w:r>
        <w:rPr>
          <w:rFonts w:ascii="Barlow Semi Condensed" w:cs="Barlow Semi Condensed" w:eastAsia="Barlow Semi Condensed" w:hAnsi="Barlow Semi Condensed"/>
          <w:b/>
          <w:bCs/>
          <w:sz w:val="24"/>
          <w:szCs w:val="24"/>
        </w:rPr>
        <w:t xml:space="preserve">683 · La proprietà dei dati del cantiere.</w:t>
      </w:r>
      <w:r>
        <w:rPr>
          <w:rFonts w:ascii="Barlow Semi Condensed" w:cs="Barlow Semi Condensed" w:eastAsia="Barlow Semi Condensed" w:hAnsi="Barlow Semi Condensed"/>
          <w:sz w:val="24"/>
          <w:szCs w:val="24"/>
        </w:rPr>
        <w:t xml:space="preserve"> La regola patrimoniale: i dati scientifici prodotti dal cantiere (misure, immagini, modelli) sono pubblici per vocazione — con le eccezioni segnate dalla legge (dati personali, atti giudiziari). La scienza pagata dalla conoscenza pubblica torna alla conoscenza pubblica: è il default, e le eccezioni si motivano.</w:t>
      </w:r>
    </w:p>
    <w:p>
      <w:pPr>
        <w:spacing w:after="120" w:line="276"/>
        <w:jc w:val="both"/>
      </w:pPr>
      <w:r>
        <w:rPr>
          <w:rFonts w:ascii="Barlow Semi Condensed" w:cs="Barlow Semi Condensed" w:eastAsia="Barlow Semi Condensed" w:hAnsi="Barlow Semi Condensed"/>
          <w:b/>
          <w:bCs/>
          <w:sz w:val="24"/>
          <w:szCs w:val="24"/>
        </w:rPr>
        <w:t xml:space="preserve">684 · Le assicurazioni del metodo.</w:t>
      </w:r>
      <w:r>
        <w:rPr>
          <w:rFonts w:ascii="Barlow Semi Condensed" w:cs="Barlow Semi Condensed" w:eastAsia="Barlow Semi Condensed" w:hAnsi="Barlow Semi Condensed"/>
          <w:sz w:val="24"/>
          <w:szCs w:val="24"/>
        </w:rPr>
        <w:t xml:space="preserve"> La protezione istituzionale: ogni esame del cantiere documentato in modo da sopravvivere a contestazioni legali — verbali, standard, contraddittorio, archiviazione (la sintesi operativa dei blocchi 661-676). Il metodo ben documentato è la sola assicurazione che la scienza del caso può comprarsi.</w:t>
      </w:r>
    </w:p>
    <w:p>
      <w:pPr>
        <w:spacing w:after="120" w:line="276"/>
        <w:jc w:val="both"/>
      </w:pPr>
      <w:r>
        <w:rPr>
          <w:rFonts w:ascii="Barlow Semi Condensed" w:cs="Barlow Semi Condensed" w:eastAsia="Barlow Semi Condensed" w:hAnsi="Barlow Semi Condensed"/>
          <w:b/>
          <w:bCs/>
          <w:sz w:val="24"/>
          <w:szCs w:val="24"/>
        </w:rPr>
        <w:t xml:space="preserve">685 · Il prontuario giuridico-forense.</w:t>
      </w:r>
      <w:r>
        <w:rPr>
          <w:rFonts w:ascii="Barlow Semi Condensed" w:cs="Barlow Semi Condensed" w:eastAsia="Barlow Semi Condensed" w:hAnsi="Barlow Semi Condensed"/>
          <w:sz w:val="24"/>
          <w:szCs w:val="24"/>
        </w:rPr>
        <w:t xml:space="preserve"> Il prodotto della sezione: il prontuario del diritto delle prove scientifiche per il caso — norme, giurisprudenza, procedure, modelli d'atto — pubblicato e aggiornato. Lo strumento che mette il cantiere e chiunque (procure comprese) nella condizione di chiedere bene: il diritto come infrastruttura, non come ostacolo.</w:t>
      </w:r>
    </w:p>
    <w:p>
      <w:pPr>
        <w:spacing w:after="120" w:line="276"/>
        <w:jc w:val="both"/>
      </w:pPr>
      <w:r>
        <w:rPr>
          <w:rFonts w:ascii="Barlow Semi Condensed" w:cs="Barlow Semi Condensed" w:eastAsia="Barlow Semi Condensed" w:hAnsi="Barlow Semi Condensed"/>
          <w:b/>
          <w:bCs/>
          <w:sz w:val="24"/>
          <w:szCs w:val="24"/>
        </w:rPr>
        <w:t xml:space="preserve">686 · La banca dati balistica, l'accertamento formale.</w:t>
      </w:r>
      <w:r>
        <w:rPr>
          <w:rFonts w:ascii="Barlow Semi Condensed" w:cs="Barlow Semi Condensed" w:eastAsia="Barlow Semi Condensed" w:hAnsi="Barlow Semi Condensed"/>
          <w:sz w:val="24"/>
          <w:szCs w:val="24"/>
        </w:rPr>
        <w:t xml:space="preserve"> Il quadro verificato: le fonti tecniche di settore riportano l'uso di sistemi della famiglia IBIS presso la Polizia scientifica, ma l'assetto istituzionale (copertura nazionale, ammissibilità dei reperti storici) non è confermabile da fonti aperte. Il bersaglio: l'interrogazione formale alle amministrazioni (Polizia scientifica, RaCIS) — l'accertamento che il blocco 190 dell'agenda chiede, elevato a quesito istituzionale con risposta scritta.</w:t>
      </w:r>
    </w:p>
    <w:p>
      <w:pPr>
        <w:spacing w:after="120" w:line="276"/>
        <w:jc w:val="both"/>
      </w:pPr>
      <w:r>
        <w:rPr>
          <w:rFonts w:ascii="Barlow Semi Condensed" w:cs="Barlow Semi Condensed" w:eastAsia="Barlow Semi Condensed" w:hAnsi="Barlow Semi Condensed"/>
          <w:b/>
          <w:bCs/>
          <w:sz w:val="24"/>
          <w:szCs w:val="24"/>
        </w:rPr>
        <w:t xml:space="preserve">687 · Le banche d'impronte e la loro storia.</w:t>
      </w:r>
      <w:r>
        <w:rPr>
          <w:rFonts w:ascii="Barlow Semi Condensed" w:cs="Barlow Semi Condensed" w:eastAsia="Barlow Semi Condensed" w:hAnsi="Barlow Semi Condensed"/>
          <w:sz w:val="24"/>
          <w:szCs w:val="24"/>
        </w:rPr>
        <w:t xml:space="preserve"> Il gemello dattiloscopico: l'assetto dei sistemi automatizzati d'identificazione (AFIS) — la storia della loro alimentazione, la copertura del pregresso, le regole d'interrogazione per casi storici. Lo schedario del blocco 97 dell'agenda vive di questo assetto: si mappa prima di interrogare.</w:t>
      </w:r>
    </w:p>
    <w:p>
      <w:pPr>
        <w:spacing w:after="120" w:line="276"/>
        <w:jc w:val="both"/>
      </w:pPr>
      <w:r>
        <w:rPr>
          <w:rFonts w:ascii="Barlow Semi Condensed" w:cs="Barlow Semi Condensed" w:eastAsia="Barlow Semi Condensed" w:hAnsi="Barlow Semi Condensed"/>
          <w:b/>
          <w:bCs/>
          <w:sz w:val="24"/>
          <w:szCs w:val="24"/>
        </w:rPr>
        <w:t xml:space="preserve">688 · Le banche merceologiche e tecniche.</w:t>
      </w:r>
      <w:r>
        <w:rPr>
          <w:rFonts w:ascii="Barlow Semi Condensed" w:cs="Barlow Semi Condensed" w:eastAsia="Barlow Semi Condensed" w:hAnsi="Barlow Semi Condensed"/>
          <w:sz w:val="24"/>
          <w:szCs w:val="24"/>
        </w:rPr>
        <w:t xml:space="preserve"> Le banche minori che servono il caso: munizioni, fibre, vernici, carte, inchiostri — quali esistono presso le forze e i laboratori, con quali coperture d'epoca. La comparazione merceologica vale quanto la sua banca: il censimento delle banche è un bersaglio in sé.</w:t>
      </w:r>
    </w:p>
    <w:p>
      <w:pPr>
        <w:spacing w:after="120" w:line="276"/>
        <w:jc w:val="both"/>
      </w:pPr>
      <w:r>
        <w:rPr>
          <w:rFonts w:ascii="Barlow Semi Condensed" w:cs="Barlow Semi Condensed" w:eastAsia="Barlow Semi Condensed" w:hAnsi="Barlow Semi Condensed"/>
          <w:b/>
          <w:bCs/>
          <w:sz w:val="24"/>
          <w:szCs w:val="24"/>
        </w:rPr>
        <w:t xml:space="preserve">689 · L'interoperabilità delle banche.</w:t>
      </w:r>
      <w:r>
        <w:rPr>
          <w:rFonts w:ascii="Barlow Semi Condensed" w:cs="Barlow Semi Condensed" w:eastAsia="Barlow Semi Condensed" w:hAnsi="Barlow Semi Condensed"/>
          <w:sz w:val="24"/>
          <w:szCs w:val="24"/>
        </w:rPr>
        <w:t xml:space="preserve"> Il quesito di sistema: quanto le banche dialogano — fra forze, con l'Europa, col passato. La risposta disegna il perimetro reale delle comparazioni possibili per un caso del 1978: l'interoperabilità è la scienza dei collegamenti, e si documenta.</w:t>
      </w:r>
    </w:p>
    <w:p>
      <w:pPr>
        <w:spacing w:after="120" w:line="276"/>
        <w:jc w:val="both"/>
      </w:pPr>
      <w:r>
        <w:rPr>
          <w:rFonts w:ascii="Barlow Semi Condensed" w:cs="Barlow Semi Condensed" w:eastAsia="Barlow Semi Condensed" w:hAnsi="Barlow Semi Condensed"/>
          <w:b/>
          <w:bCs/>
          <w:sz w:val="24"/>
          <w:szCs w:val="24"/>
        </w:rPr>
        <w:t xml:space="preserve">690 · La tavola del diritto.</w:t>
      </w:r>
      <w:r>
        <w:rPr>
          <w:rFonts w:ascii="Barlow Semi Condensed" w:cs="Barlow Semi Condensed" w:eastAsia="Barlow Semi Condensed" w:hAnsi="Barlow Semi Condensed"/>
          <w:sz w:val="24"/>
          <w:szCs w:val="24"/>
        </w:rPr>
        <w:t xml:space="preserve"> La chiusura della sezione: il quadro normativo mappato, i vuoti dichiarati (parentela, genealogia, fenotipo), gli strumenti processuali pronti, gli accertamenti formali avviati. Il diritto della scienza del caso, in tavola: chi vorrà fare, saprà come.</w:t>
      </w:r>
    </w:p>
    <w:p>
      <w:pPr>
        <w:pStyle w:val="Heading3"/>
        <w:spacing w:after="80" w:before="160"/>
      </w:pPr>
      <w:r>
        <w:rPr>
          <w:rFonts w:ascii="Barlow Semi Condensed" w:cs="Barlow Semi Condensed" w:eastAsia="Barlow Semi Condensed" w:hAnsi="Barlow Semi Condensed"/>
          <w:sz w:val="24"/>
          <w:szCs w:val="24"/>
        </w:rPr>
        <w:t xml:space="preserve">I laboratori e gli standard (blocchi 691-715)</w:t>
      </w:r>
    </w:p>
    <w:p>
      <w:pPr>
        <w:spacing w:after="120" w:line="276"/>
        <w:jc w:val="both"/>
      </w:pPr>
      <w:r>
        <w:rPr>
          <w:rFonts w:ascii="Barlow Semi Condensed" w:cs="Barlow Semi Condensed" w:eastAsia="Barlow Semi Condensed" w:hAnsi="Barlow Semi Condensed"/>
          <w:b/>
          <w:bCs/>
          <w:sz w:val="24"/>
          <w:szCs w:val="24"/>
        </w:rPr>
        <w:t xml:space="preserve">691 · La mappa dei laboratori.</w:t>
      </w:r>
      <w:r>
        <w:rPr>
          <w:rFonts w:ascii="Barlow Semi Condensed" w:cs="Barlow Semi Condensed" w:eastAsia="Barlow Semi Condensed" w:hAnsi="Barlow Semi Condensed"/>
          <w:sz w:val="24"/>
          <w:szCs w:val="24"/>
        </w:rPr>
        <w:t xml:space="preserve"> Il censimento istituzionale: i laboratori forensi italiani rilevanti per il caso — il Servizio Polizia scientifica, il RaCIS e i RIS dell'Arma, il laboratorio centrale del DAP, i laboratori universitari qualificati — con competenze e standard di ciascuno. Il cantiere sa chi sa fare che cosa: la mappa è la premessa di ogni affidamento.</w:t>
      </w:r>
    </w:p>
    <w:p>
      <w:pPr>
        <w:spacing w:after="120" w:line="276"/>
        <w:jc w:val="both"/>
      </w:pPr>
      <w:r>
        <w:rPr>
          <w:rFonts w:ascii="Barlow Semi Condensed" w:cs="Barlow Semi Condensed" w:eastAsia="Barlow Semi Condensed" w:hAnsi="Barlow Semi Condensed"/>
          <w:b/>
          <w:bCs/>
          <w:sz w:val="24"/>
          <w:szCs w:val="24"/>
        </w:rPr>
        <w:t xml:space="preserve">692 · L'accreditamento come soglia.</w:t>
      </w:r>
      <w:r>
        <w:rPr>
          <w:rFonts w:ascii="Barlow Semi Condensed" w:cs="Barlow Semi Condensed" w:eastAsia="Barlow Semi Condensed" w:hAnsi="Barlow Semi Condensed"/>
          <w:sz w:val="24"/>
          <w:szCs w:val="24"/>
        </w:rPr>
        <w:t xml:space="preserve"> La regola di qualità: l'accreditamento ISO/IEC 17025 dei laboratori — quali attività del caso lo richiedono per legge (la banca dati lo impone ai laboratori che la alimentano) e quali per scelta di metodo. Sotto la soglia dell'accreditamento il cantiere non affida: è la regola del blocco 394, con la sua norma.</w:t>
      </w:r>
    </w:p>
    <w:p>
      <w:pPr>
        <w:spacing w:after="120" w:line="276"/>
        <w:jc w:val="both"/>
      </w:pPr>
      <w:r>
        <w:rPr>
          <w:rFonts w:ascii="Barlow Semi Condensed" w:cs="Barlow Semi Condensed" w:eastAsia="Barlow Semi Condensed" w:hAnsi="Barlow Semi Condensed"/>
          <w:b/>
          <w:bCs/>
          <w:sz w:val="24"/>
          <w:szCs w:val="24"/>
        </w:rPr>
        <w:t xml:space="preserve">693 · I circuiti di prova.</w:t>
      </w:r>
      <w:r>
        <w:rPr>
          <w:rFonts w:ascii="Barlow Semi Condensed" w:cs="Barlow Semi Condensed" w:eastAsia="Barlow Semi Condensed" w:hAnsi="Barlow Semi Condensed"/>
          <w:sz w:val="24"/>
          <w:szCs w:val="24"/>
        </w:rPr>
        <w:t xml:space="preserve"> La qualità misurata: i proficiency test e i circuiti interlaboratorio — la partecipazione dei laboratori affidatari come requisito. Un laboratorio che non si fa misurare non misura per il caso: la qualità si dimostra nei circuiti, non nelle brochure.</w:t>
      </w:r>
    </w:p>
    <w:p>
      <w:pPr>
        <w:spacing w:after="120" w:line="276"/>
        <w:jc w:val="both"/>
      </w:pPr>
      <w:r>
        <w:rPr>
          <w:rFonts w:ascii="Barlow Semi Condensed" w:cs="Barlow Semi Condensed" w:eastAsia="Barlow Semi Condensed" w:hAnsi="Barlow Semi Condensed"/>
          <w:b/>
          <w:bCs/>
          <w:sz w:val="24"/>
          <w:szCs w:val="24"/>
        </w:rPr>
        <w:t xml:space="preserve">694 · La comunità europea delle scienze forensi.</w:t>
      </w:r>
      <w:r>
        <w:rPr>
          <w:rFonts w:ascii="Barlow Semi Condensed" w:cs="Barlow Semi Condensed" w:eastAsia="Barlow Semi Condensed" w:hAnsi="Barlow Semi Condensed"/>
          <w:sz w:val="24"/>
          <w:szCs w:val="24"/>
        </w:rPr>
        <w:t xml:space="preserve"> Il contesto tecnico: le reti europee dei laboratori (l'ENFSI e i suoi gruppi di lavoro) — le linee guida di settore come standard di riferimento per ogni esame del caso. Il cantiere aggancia i suoi protocolli alle migliori pratiche continentali: l'Europa forense esiste, e si cita.</w:t>
      </w:r>
    </w:p>
    <w:p>
      <w:pPr>
        <w:spacing w:after="120" w:line="276"/>
        <w:jc w:val="both"/>
      </w:pPr>
      <w:r>
        <w:rPr>
          <w:rFonts w:ascii="Barlow Semi Condensed" w:cs="Barlow Semi Condensed" w:eastAsia="Barlow Semi Condensed" w:hAnsi="Barlow Semi Condensed"/>
          <w:b/>
          <w:bCs/>
          <w:sz w:val="24"/>
          <w:szCs w:val="24"/>
        </w:rPr>
        <w:t xml:space="preserve">695 · Il doppio laboratorio.</w:t>
      </w:r>
      <w:r>
        <w:rPr>
          <w:rFonts w:ascii="Barlow Semi Condensed" w:cs="Barlow Semi Condensed" w:eastAsia="Barlow Semi Condensed" w:hAnsi="Barlow Semi Condensed"/>
          <w:sz w:val="24"/>
          <w:szCs w:val="24"/>
        </w:rPr>
        <w:t xml:space="preserve"> La regola dei casi pesanti: gli esami critici duplicati in laboratori indipendenti — stessa metodica, cecità reciproca, esiti confrontati. Il costo raddoppia; la solidità decuplica: per i reperti irripetibili del caso, è un investimento, non un lusso.</w:t>
      </w:r>
    </w:p>
    <w:p>
      <w:pPr>
        <w:spacing w:after="120" w:line="276"/>
        <w:jc w:val="both"/>
      </w:pPr>
      <w:r>
        <w:rPr>
          <w:rFonts w:ascii="Barlow Semi Condensed" w:cs="Barlow Semi Condensed" w:eastAsia="Barlow Semi Condensed" w:hAnsi="Barlow Semi Condensed"/>
          <w:b/>
          <w:bCs/>
          <w:sz w:val="24"/>
          <w:szCs w:val="24"/>
        </w:rPr>
        <w:t xml:space="preserve">696 · Il cieco e il controllo.</w:t>
      </w:r>
      <w:r>
        <w:rPr>
          <w:rFonts w:ascii="Barlow Semi Condensed" w:cs="Barlow Semi Condensed" w:eastAsia="Barlow Semi Condensed" w:hAnsi="Barlow Semi Condensed"/>
          <w:sz w:val="24"/>
          <w:szCs w:val="24"/>
        </w:rPr>
        <w:t xml:space="preserve"> Il disegno sperimentale: i controlli in cieco negli esami comparativi (campioni civetta, randomizzazione) dove la metodica lo consenta. La psicologia dell'esaminatore è una variabile misurata dalla letteratura: il disegno la neutralizza — anche nei laboratori migliori.</w:t>
      </w:r>
    </w:p>
    <w:p>
      <w:pPr>
        <w:spacing w:after="120" w:line="276"/>
        <w:jc w:val="both"/>
      </w:pPr>
      <w:r>
        <w:rPr>
          <w:rFonts w:ascii="Barlow Semi Condensed" w:cs="Barlow Semi Condensed" w:eastAsia="Barlow Semi Condensed" w:hAnsi="Barlow Semi Condensed"/>
          <w:b/>
          <w:bCs/>
          <w:sz w:val="24"/>
          <w:szCs w:val="24"/>
        </w:rPr>
        <w:t xml:space="preserve">697 · Il tasso d'errore dichiarato.</w:t>
      </w:r>
      <w:r>
        <w:rPr>
          <w:rFonts w:ascii="Barlow Semi Condensed" w:cs="Barlow Semi Condensed" w:eastAsia="Barlow Semi Condensed" w:hAnsi="Barlow Semi Condensed"/>
          <w:sz w:val="24"/>
          <w:szCs w:val="24"/>
        </w:rPr>
        <w:t xml:space="preserve"> La trasparenza tecnica: ogni metodica usata per il caso con il suo tasso d'errore noto dalla letteratura, citato nel verbale. Il numero che le perizie storiche non scrivevano: il cantiere lo scrive sempre — è la differenza fra scienza e autorevolezza.</w:t>
      </w:r>
    </w:p>
    <w:p>
      <w:pPr>
        <w:spacing w:after="120" w:line="276"/>
        <w:jc w:val="both"/>
      </w:pPr>
      <w:r>
        <w:rPr>
          <w:rFonts w:ascii="Barlow Semi Condensed" w:cs="Barlow Semi Condensed" w:eastAsia="Barlow Semi Condensed" w:hAnsi="Barlow Semi Condensed"/>
          <w:b/>
          <w:bCs/>
          <w:sz w:val="24"/>
          <w:szCs w:val="24"/>
        </w:rPr>
        <w:t xml:space="preserve">698 · La validazione delle metodiche nuove.</w:t>
      </w:r>
      <w:r>
        <w:rPr>
          <w:rFonts w:ascii="Barlow Semi Condensed" w:cs="Barlow Semi Condensed" w:eastAsia="Barlow Semi Condensed" w:hAnsi="Barlow Semi Condensed"/>
          <w:sz w:val="24"/>
          <w:szCs w:val="24"/>
        </w:rPr>
        <w:t xml:space="preserve"> Il tornello tecnico: nessuna metodica emergente sul caso senza validazione pubblicata e riproducibilità dimostrata (il blocco 181 dell'agenda, come standard di laboratorio). Il caso non fa da cavia: arriva dopo la validazione, mai prima.</w:t>
      </w:r>
    </w:p>
    <w:p>
      <w:pPr>
        <w:spacing w:after="120" w:line="276"/>
        <w:jc w:val="both"/>
      </w:pPr>
      <w:r>
        <w:rPr>
          <w:rFonts w:ascii="Barlow Semi Condensed" w:cs="Barlow Semi Condensed" w:eastAsia="Barlow Semi Condensed" w:hAnsi="Barlow Semi Condensed"/>
          <w:b/>
          <w:bCs/>
          <w:sz w:val="24"/>
          <w:szCs w:val="24"/>
        </w:rPr>
        <w:t xml:space="preserve">699 · I materiali di riferimento.</w:t>
      </w:r>
      <w:r>
        <w:rPr>
          <w:rFonts w:ascii="Barlow Semi Condensed" w:cs="Barlow Semi Condensed" w:eastAsia="Barlow Semi Condensed" w:hAnsi="Barlow Semi Condensed"/>
          <w:sz w:val="24"/>
          <w:szCs w:val="24"/>
        </w:rPr>
        <w:t xml:space="preserve"> L'infrastruttura silenziosa: i materiali di riferimento certificati per le comparazioni del caso (munizioni d'epoca, carte, inchiostri) — la loro raccolta come sotto-cantiere. Comparare richiede pietre di paragone: il cantiere le colleziona con metodo da museo.</w:t>
      </w:r>
    </w:p>
    <w:p>
      <w:pPr>
        <w:spacing w:after="120" w:line="276"/>
        <w:jc w:val="both"/>
      </w:pPr>
      <w:r>
        <w:rPr>
          <w:rFonts w:ascii="Barlow Semi Condensed" w:cs="Barlow Semi Condensed" w:eastAsia="Barlow Semi Condensed" w:hAnsi="Barlow Semi Condensed"/>
          <w:b/>
          <w:bCs/>
          <w:sz w:val="24"/>
          <w:szCs w:val="24"/>
        </w:rPr>
        <w:t xml:space="preserve">700 · Il settecentesimo blocco: la scena ricostruita in laboratorio.</w:t>
      </w:r>
      <w:r>
        <w:rPr>
          <w:rFonts w:ascii="Barlow Semi Condensed" w:cs="Barlow Semi Condensed" w:eastAsia="Barlow Semi Condensed" w:hAnsi="Barlow Semi Condensed"/>
          <w:sz w:val="24"/>
          <w:szCs w:val="24"/>
        </w:rPr>
        <w:t xml:space="preserve"> Il ponte fra le parti: i laboratori al servizio del modello della scena (blocco 632) — le prove sperimentali riproducibili (balistica sperimentale su materiali equivalenti, prove di visibilità e d'ascolto) documentate come esperimenti pubblici. La scena del 1978 non si può rifare; i suoi vincoli fisici sì: in laboratorio, con verbale.</w:t>
      </w:r>
    </w:p>
    <w:p>
      <w:pPr>
        <w:spacing w:after="120" w:line="276"/>
        <w:jc w:val="both"/>
      </w:pPr>
      <w:r>
        <w:rPr>
          <w:rFonts w:ascii="Barlow Semi Condensed" w:cs="Barlow Semi Condensed" w:eastAsia="Barlow Semi Condensed" w:hAnsi="Barlow Semi Condensed"/>
          <w:b/>
          <w:bCs/>
          <w:sz w:val="24"/>
          <w:szCs w:val="24"/>
        </w:rPr>
        <w:t xml:space="preserve">701 · Gli esperimenti giudiziari, la storia.</w:t>
      </w:r>
      <w:r>
        <w:rPr>
          <w:rFonts w:ascii="Barlow Semi Condensed" w:cs="Barlow Semi Condensed" w:eastAsia="Barlow Semi Condensed" w:hAnsi="Barlow Semi Condensed"/>
          <w:sz w:val="24"/>
          <w:szCs w:val="24"/>
        </w:rPr>
        <w:t xml:space="preserve"> Il censimento retrospettivo: gli esperimenti giudiziari fatti nel caso (ricostruzioni, prove di tiro, sopralluoghi sperimentali dagli atti) — la tavola storica con metodi ed esiti. Prima di rifare, sapere che cosa fu fatto: anche l'esperimento ha la sua archeologia.</w:t>
      </w:r>
    </w:p>
    <w:p>
      <w:pPr>
        <w:spacing w:after="120" w:line="276"/>
        <w:jc w:val="both"/>
      </w:pPr>
      <w:r>
        <w:rPr>
          <w:rFonts w:ascii="Barlow Semi Condensed" w:cs="Barlow Semi Condensed" w:eastAsia="Barlow Semi Condensed" w:hAnsi="Barlow Semi Condensed"/>
          <w:b/>
          <w:bCs/>
          <w:sz w:val="24"/>
          <w:szCs w:val="24"/>
        </w:rPr>
        <w:t xml:space="preserve">702 · Il personale e le competenze.</w:t>
      </w:r>
      <w:r>
        <w:rPr>
          <w:rFonts w:ascii="Barlow Semi Condensed" w:cs="Barlow Semi Condensed" w:eastAsia="Barlow Semi Condensed" w:hAnsi="Barlow Semi Condensed"/>
          <w:sz w:val="24"/>
          <w:szCs w:val="24"/>
        </w:rPr>
        <w:t xml:space="preserve"> Il capitale umano: le competenze forensi rare che il caso richiede (balistica storica, documenti d'epoca, audio analogico) — la mappa degli specialisti e il rischio del loro pensionamento. Anche le competenze invecchiano: il cantiere le censisce come censisce i testimoni.</w:t>
      </w:r>
    </w:p>
    <w:p>
      <w:pPr>
        <w:spacing w:after="120" w:line="276"/>
        <w:jc w:val="both"/>
      </w:pPr>
      <w:r>
        <w:rPr>
          <w:rFonts w:ascii="Barlow Semi Condensed" w:cs="Barlow Semi Condensed" w:eastAsia="Barlow Semi Condensed" w:hAnsi="Barlow Semi Condensed"/>
          <w:b/>
          <w:bCs/>
          <w:sz w:val="24"/>
          <w:szCs w:val="24"/>
        </w:rPr>
        <w:t xml:space="preserve">703 · La formazione dedicata.</w:t>
      </w:r>
      <w:r>
        <w:rPr>
          <w:rFonts w:ascii="Barlow Semi Condensed" w:cs="Barlow Semi Condensed" w:eastAsia="Barlow Semi Condensed" w:hAnsi="Barlow Semi Condensed"/>
          <w:sz w:val="24"/>
          <w:szCs w:val="24"/>
        </w:rPr>
        <w:t xml:space="preserve"> L'investimento: la formazione di giovani forensi sulle tecniche applicate ai casi storici — borse, tirocini sui materiali del caso (in forma didattica), manualistica. Il caso come palestra della forensics storica italiana: quel che si forma qui servirà ogni altro cold case.</w:t>
      </w:r>
    </w:p>
    <w:p>
      <w:pPr>
        <w:spacing w:after="120" w:line="276"/>
        <w:jc w:val="both"/>
      </w:pPr>
      <w:r>
        <w:rPr>
          <w:rFonts w:ascii="Barlow Semi Condensed" w:cs="Barlow Semi Condensed" w:eastAsia="Barlow Semi Condensed" w:hAnsi="Barlow Semi Condensed"/>
          <w:b/>
          <w:bCs/>
          <w:sz w:val="24"/>
          <w:szCs w:val="24"/>
        </w:rPr>
        <w:t xml:space="preserve">704 · I laboratori esteri.</w:t>
      </w:r>
      <w:r>
        <w:rPr>
          <w:rFonts w:ascii="Barlow Semi Condensed" w:cs="Barlow Semi Condensed" w:eastAsia="Barlow Semi Condensed" w:hAnsi="Barlow Semi Condensed"/>
          <w:sz w:val="24"/>
          <w:szCs w:val="24"/>
        </w:rPr>
        <w:t xml:space="preserve"> L'opzione internazionale: il ricorso a laboratori esteri d'eccellenza per metodiche non disponibili in Italia — le condizioni (catena, diritto, costi) e i precedenti. La scienza non ha passaporto; i reperti sì: il protocollo di trasferta è metà della decisione.</w:t>
      </w:r>
    </w:p>
    <w:p>
      <w:pPr>
        <w:spacing w:after="120" w:line="276"/>
        <w:jc w:val="both"/>
      </w:pPr>
      <w:r>
        <w:rPr>
          <w:rFonts w:ascii="Barlow Semi Condensed" w:cs="Barlow Semi Condensed" w:eastAsia="Barlow Semi Condensed" w:hAnsi="Barlow Semi Condensed"/>
          <w:b/>
          <w:bCs/>
          <w:sz w:val="24"/>
          <w:szCs w:val="24"/>
        </w:rPr>
        <w:t xml:space="preserve">705 · Il laboratorio mobile.</w:t>
      </w:r>
      <w:r>
        <w:rPr>
          <w:rFonts w:ascii="Barlow Semi Condensed" w:cs="Barlow Semi Condensed" w:eastAsia="Barlow Semi Condensed" w:hAnsi="Barlow Semi Condensed"/>
          <w:sz w:val="24"/>
          <w:szCs w:val="24"/>
        </w:rPr>
        <w:t xml:space="preserve"> L'opzione inversa: le analisi in situ dove il reperto non può viaggiare (strumentazione portatile nei depositi) — il protocollo della montagna che va da Maometto. Ogni movimento del reperto è un rischio: il laboratorio mobile lo azzera dove la tecnica lo consente.</w:t>
      </w:r>
    </w:p>
    <w:p>
      <w:pPr>
        <w:spacing w:after="120" w:line="276"/>
        <w:jc w:val="both"/>
      </w:pPr>
      <w:r>
        <w:rPr>
          <w:rFonts w:ascii="Barlow Semi Condensed" w:cs="Barlow Semi Condensed" w:eastAsia="Barlow Semi Condensed" w:hAnsi="Barlow Semi Condensed"/>
          <w:b/>
          <w:bCs/>
          <w:sz w:val="24"/>
          <w:szCs w:val="24"/>
        </w:rPr>
        <w:t xml:space="preserve">706 · La contabilità dei laboratori.</w:t>
      </w:r>
      <w:r>
        <w:rPr>
          <w:rFonts w:ascii="Barlow Semi Condensed" w:cs="Barlow Semi Condensed" w:eastAsia="Barlow Semi Condensed" w:hAnsi="Barlow Semi Condensed"/>
          <w:sz w:val="24"/>
          <w:szCs w:val="24"/>
        </w:rPr>
        <w:t xml:space="preserve"> I costi della qualità: le tariffe, i tempi, le code dei laboratori pubblici — la programmazione degli esami del caso dentro le capacità reali del sistema. Il cantiere non salta le file: le conosce, le programma, e dove serve le finanzia (il bilancio della parte).</w:t>
      </w:r>
    </w:p>
    <w:p>
      <w:pPr>
        <w:spacing w:after="120" w:line="276"/>
        <w:jc w:val="both"/>
      </w:pPr>
      <w:r>
        <w:rPr>
          <w:rFonts w:ascii="Barlow Semi Condensed" w:cs="Barlow Semi Condensed" w:eastAsia="Barlow Semi Condensed" w:hAnsi="Barlow Semi Condensed"/>
          <w:b/>
          <w:bCs/>
          <w:sz w:val="24"/>
          <w:szCs w:val="24"/>
        </w:rPr>
        <w:t xml:space="preserve">707 · Il conflitto d'interessi tecnico.</w:t>
      </w:r>
      <w:r>
        <w:rPr>
          <w:rFonts w:ascii="Barlow Semi Condensed" w:cs="Barlow Semi Condensed" w:eastAsia="Barlow Semi Condensed" w:hAnsi="Barlow Semi Condensed"/>
          <w:sz w:val="24"/>
          <w:szCs w:val="24"/>
        </w:rPr>
        <w:t xml:space="preserve"> La regola d'indipendenza: gli esperti del caso dichiarano i conflitti (perizie passate sullo stesso quesito, posizioni pubbliche assunte) — e i quesiti più esposti vanno a mani nuove. La storia peritale del caso è lunga: la memoria degli esperti è un valore, la loro impregiudicatezza pure — si bilanciano per dichiarazione.</w:t>
      </w:r>
    </w:p>
    <w:p>
      <w:pPr>
        <w:spacing w:after="120" w:line="276"/>
        <w:jc w:val="both"/>
      </w:pPr>
      <w:r>
        <w:rPr>
          <w:rFonts w:ascii="Barlow Semi Condensed" w:cs="Barlow Semi Condensed" w:eastAsia="Barlow Semi Condensed" w:hAnsi="Barlow Semi Condensed"/>
          <w:b/>
          <w:bCs/>
          <w:sz w:val="24"/>
          <w:szCs w:val="24"/>
        </w:rPr>
        <w:t xml:space="preserve">708 · L'archivio dei metodi del caso.</w:t>
      </w:r>
      <w:r>
        <w:rPr>
          <w:rFonts w:ascii="Barlow Semi Condensed" w:cs="Barlow Semi Condensed" w:eastAsia="Barlow Semi Condensed" w:hAnsi="Barlow Semi Condensed"/>
          <w:sz w:val="24"/>
          <w:szCs w:val="24"/>
        </w:rPr>
        <w:t xml:space="preserve"> Il registro tecnico (il blocco 208 dell'agenda, come infrastruttura): ogni metodica applicata al caso — versione, strumento, operatore, validazione — nel registro permanente. Fra vent'anni qualcuno chiederà «come fu fatto?»: il registro risponderà.</w:t>
      </w:r>
    </w:p>
    <w:p>
      <w:pPr>
        <w:spacing w:after="120" w:line="276"/>
        <w:jc w:val="both"/>
      </w:pPr>
      <w:r>
        <w:rPr>
          <w:rFonts w:ascii="Barlow Semi Condensed" w:cs="Barlow Semi Condensed" w:eastAsia="Barlow Semi Condensed" w:hAnsi="Barlow Semi Condensed"/>
          <w:b/>
          <w:bCs/>
          <w:sz w:val="24"/>
          <w:szCs w:val="24"/>
        </w:rPr>
        <w:t xml:space="preserve">709 · Il collegio permanente.</w:t>
      </w:r>
      <w:r>
        <w:rPr>
          <w:rFonts w:ascii="Barlow Semi Condensed" w:cs="Barlow Semi Condensed" w:eastAsia="Barlow Semi Condensed" w:hAnsi="Barlow Semi Condensed"/>
          <w:sz w:val="24"/>
          <w:szCs w:val="24"/>
        </w:rPr>
        <w:t xml:space="preserve"> L'organo della parte: il collegio tecnico-scientifico permanente del cantiere — le discipline rappresentate, la rotazione, i pareri come atti pubblici. La scienza del caso ha bisogno di un luogo dove parlare con una voce plurale: il collegio è quel luogo.</w:t>
      </w:r>
    </w:p>
    <w:p>
      <w:pPr>
        <w:spacing w:after="120" w:line="276"/>
        <w:jc w:val="both"/>
      </w:pPr>
      <w:r>
        <w:rPr>
          <w:rFonts w:ascii="Barlow Semi Condensed" w:cs="Barlow Semi Condensed" w:eastAsia="Barlow Semi Condensed" w:hAnsi="Barlow Semi Condensed"/>
          <w:b/>
          <w:bCs/>
          <w:sz w:val="24"/>
          <w:szCs w:val="24"/>
        </w:rPr>
        <w:t xml:space="preserve">710 · Il dialogo coi periti storici.</w:t>
      </w:r>
      <w:r>
        <w:rPr>
          <w:rFonts w:ascii="Barlow Semi Condensed" w:cs="Barlow Semi Condensed" w:eastAsia="Barlow Semi Condensed" w:hAnsi="Barlow Semi Condensed"/>
          <w:sz w:val="24"/>
          <w:szCs w:val="24"/>
        </w:rPr>
        <w:t xml:space="preserve"> Il ponte generazionale (il blocco 119 dell'agenda, eseguito): i periti del 1978 e dei processi ascoltati dai periti di oggi — i metodi d'epoca spiegati da chi li usò. La perizia storica si giudica con gli occhi del suo tempo: il dialogo evita l'anacronismo del senno di poi strumentale.</w:t>
      </w:r>
    </w:p>
    <w:p>
      <w:pPr>
        <w:spacing w:after="120" w:line="276"/>
        <w:jc w:val="both"/>
      </w:pPr>
      <w:r>
        <w:rPr>
          <w:rFonts w:ascii="Barlow Semi Condensed" w:cs="Barlow Semi Condensed" w:eastAsia="Barlow Semi Condensed" w:hAnsi="Barlow Semi Condensed"/>
          <w:b/>
          <w:bCs/>
          <w:sz w:val="24"/>
          <w:szCs w:val="24"/>
        </w:rPr>
        <w:t xml:space="preserve">711 · Le seconde opinioni.</w:t>
      </w:r>
      <w:r>
        <w:rPr>
          <w:rFonts w:ascii="Barlow Semi Condensed" w:cs="Barlow Semi Condensed" w:eastAsia="Barlow Semi Condensed" w:hAnsi="Barlow Semi Condensed"/>
          <w:sz w:val="24"/>
          <w:szCs w:val="24"/>
        </w:rPr>
        <w:t xml:space="preserve"> La valvola di sicurezza: il diritto di ogni esito tecnico del cantiere alla seconda opinione indipendente su richiesta motivata (del collegio, del garante del metodo, della contro-agenda). La scienza che teme la revisione non è scienza: la valvola è aperta per costruzione.</w:t>
      </w:r>
    </w:p>
    <w:p>
      <w:pPr>
        <w:spacing w:after="120" w:line="276"/>
        <w:jc w:val="both"/>
      </w:pPr>
      <w:r>
        <w:rPr>
          <w:rFonts w:ascii="Barlow Semi Condensed" w:cs="Barlow Semi Condensed" w:eastAsia="Barlow Semi Condensed" w:hAnsi="Barlow Semi Condensed"/>
          <w:b/>
          <w:bCs/>
          <w:sz w:val="24"/>
          <w:szCs w:val="24"/>
        </w:rPr>
        <w:t xml:space="preserve">712 · La pubblicazione scientifica.</w:t>
      </w:r>
      <w:r>
        <w:rPr>
          <w:rFonts w:ascii="Barlow Semi Condensed" w:cs="Barlow Semi Condensed" w:eastAsia="Barlow Semi Condensed" w:hAnsi="Barlow Semi Condensed"/>
          <w:sz w:val="24"/>
          <w:szCs w:val="24"/>
        </w:rPr>
        <w:t xml:space="preserve"> La destinazione naturale: gli esiti tecnici rilevanti del caso pubblicati su riviste con revisione paritaria — la scienza del caso nella letteratura, non solo negli atti. La peer review è il contraddittorio della comunità: il caso vi si sottopone come ogni oggetto scientifico serio.</w:t>
      </w:r>
    </w:p>
    <w:p>
      <w:pPr>
        <w:spacing w:after="120" w:line="276"/>
        <w:jc w:val="both"/>
      </w:pPr>
      <w:r>
        <w:rPr>
          <w:rFonts w:ascii="Barlow Semi Condensed" w:cs="Barlow Semi Condensed" w:eastAsia="Barlow Semi Condensed" w:hAnsi="Barlow Semi Condensed"/>
          <w:b/>
          <w:bCs/>
          <w:sz w:val="24"/>
          <w:szCs w:val="24"/>
        </w:rPr>
        <w:t xml:space="preserve">713 · I dati aperti della scienza.</w:t>
      </w:r>
      <w:r>
        <w:rPr>
          <w:rFonts w:ascii="Barlow Semi Condensed" w:cs="Barlow Semi Condensed" w:eastAsia="Barlow Semi Condensed" w:hAnsi="Barlow Semi Condensed"/>
          <w:sz w:val="24"/>
          <w:szCs w:val="24"/>
        </w:rPr>
        <w:t xml:space="preserve"> La regola di apertura: i dataset tecnici pubblicabili (misure, immagini calibrate, modelli) in repository aperti con licenze chiare. La scienza del caso replicabile da chiunque: è la forma moderna del contraddittorio — e la migliore difesa contro il sospetto.</w:t>
      </w:r>
    </w:p>
    <w:p>
      <w:pPr>
        <w:spacing w:after="120" w:line="276"/>
        <w:jc w:val="both"/>
      </w:pPr>
      <w:r>
        <w:rPr>
          <w:rFonts w:ascii="Barlow Semi Condensed" w:cs="Barlow Semi Condensed" w:eastAsia="Barlow Semi Condensed" w:hAnsi="Barlow Semi Condensed"/>
          <w:b/>
          <w:bCs/>
          <w:sz w:val="24"/>
          <w:szCs w:val="24"/>
        </w:rPr>
        <w:t xml:space="preserve">714 · La sintesi degli standard.</w:t>
      </w:r>
      <w:r>
        <w:rPr>
          <w:rFonts w:ascii="Barlow Semi Condensed" w:cs="Barlow Semi Condensed" w:eastAsia="Barlow Semi Condensed" w:hAnsi="Barlow Semi Condensed"/>
          <w:sz w:val="24"/>
          <w:szCs w:val="24"/>
        </w:rPr>
        <w:t xml:space="preserve"> Il prodotto della sezione: il capitolato tecnico del caso — gli standard che ogni esame deve soddisfare per entrare nel corpus — pubblicato come soglia permanente. Chi vorrà contribuire saprà l'asticella: uguale per tutti, scritta prima.</w:t>
      </w:r>
    </w:p>
    <w:p>
      <w:pPr>
        <w:spacing w:after="120" w:line="276"/>
        <w:jc w:val="both"/>
      </w:pPr>
      <w:r>
        <w:rPr>
          <w:rFonts w:ascii="Barlow Semi Condensed" w:cs="Barlow Semi Condensed" w:eastAsia="Barlow Semi Condensed" w:hAnsi="Barlow Semi Condensed"/>
          <w:b/>
          <w:bCs/>
          <w:sz w:val="24"/>
          <w:szCs w:val="24"/>
        </w:rPr>
        <w:t xml:space="preserve">715 · La tavola dei laboratori.</w:t>
      </w:r>
      <w:r>
        <w:rPr>
          <w:rFonts w:ascii="Barlow Semi Condensed" w:cs="Barlow Semi Condensed" w:eastAsia="Barlow Semi Condensed" w:hAnsi="Barlow Semi Condensed"/>
          <w:sz w:val="24"/>
          <w:szCs w:val="24"/>
        </w:rPr>
        <w:t xml:space="preserve"> La chiusura della sezione: la mappa dei laboratori, gli standard fissati, il collegio costituito, i registri aperti. L'infrastruttura umana e tecnica della scienza del caso, in tavola: adesso gli esami hanno una casa degna.</w:t>
      </w:r>
    </w:p>
    <w:p>
      <w:pPr>
        <w:pStyle w:val="Heading3"/>
        <w:spacing w:after="80" w:before="160"/>
      </w:pPr>
      <w:r>
        <w:rPr>
          <w:rFonts w:ascii="Barlow Semi Condensed" w:cs="Barlow Semi Condensed" w:eastAsia="Barlow Semi Condensed" w:hAnsi="Barlow Semi Condensed"/>
          <w:sz w:val="24"/>
          <w:szCs w:val="24"/>
        </w:rPr>
        <w:t xml:space="preserve">I precedenti che insegnano (blocchi 716-740)</w:t>
      </w:r>
    </w:p>
    <w:p>
      <w:pPr>
        <w:spacing w:after="120" w:line="276"/>
        <w:jc w:val="both"/>
      </w:pPr>
      <w:r>
        <w:rPr>
          <w:rFonts w:ascii="Barlow Semi Condensed" w:cs="Barlow Semi Condensed" w:eastAsia="Barlow Semi Condensed" w:hAnsi="Barlow Semi Condensed"/>
          <w:b/>
          <w:bCs/>
          <w:sz w:val="24"/>
          <w:szCs w:val="24"/>
        </w:rPr>
        <w:t xml:space="preserve">716 · Il precedente che manca.</w:t>
      </w:r>
      <w:r>
        <w:rPr>
          <w:rFonts w:ascii="Barlow Semi Condensed" w:cs="Barlow Semi Condensed" w:eastAsia="Barlow Semi Condensed" w:hAnsi="Barlow Semi Condensed"/>
          <w:sz w:val="24"/>
          <w:szCs w:val="24"/>
        </w:rPr>
        <w:t xml:space="preserve"> Il fatto verificato da cui la sezione parte: nessun delitto italiano commesso negli anni Settanta-Ottanta risulta chiuso in giudicato grazie a tecniche forensi nuove applicate a reperti d'epoca. Il caso Moro, se il fascicolo romano vi arrivasse, sarebbe il primo — e la sezione studia i precedenti parziali perché il primo arrivi preparato.</w:t>
      </w:r>
    </w:p>
    <w:p>
      <w:pPr>
        <w:spacing w:after="120" w:line="276"/>
        <w:jc w:val="both"/>
      </w:pPr>
      <w:r>
        <w:rPr>
          <w:rFonts w:ascii="Barlow Semi Condensed" w:cs="Barlow Semi Condensed" w:eastAsia="Barlow Semi Condensed" w:hAnsi="Barlow Semi Condensed"/>
          <w:b/>
          <w:bCs/>
          <w:sz w:val="24"/>
          <w:szCs w:val="24"/>
        </w:rPr>
        <w:t xml:space="preserve">717 · Yara: la potenza dello screening.</w:t>
      </w:r>
      <w:r>
        <w:rPr>
          <w:rFonts w:ascii="Barlow Semi Condensed" w:cs="Barlow Semi Condensed" w:eastAsia="Barlow Semi Condensed" w:hAnsi="Barlow Semi Condensed"/>
          <w:sz w:val="24"/>
          <w:szCs w:val="24"/>
        </w:rPr>
        <w:t xml:space="preserve"> Il precedente maggiore: il caso di Yara Gambirasio (2010-2011) — circa diciottomila profili raccolti per identificare «Ignoto 1», condanna definitiva nel 2018. La lezione di potenza: lo screening sistematico funziona. Il cantiere ne estrae il disegno — volontarietà, progressione geografica, gestione dei dati — come modello studiabile.</w:t>
      </w:r>
    </w:p>
    <w:p>
      <w:pPr>
        <w:spacing w:after="120" w:line="276"/>
        <w:jc w:val="both"/>
      </w:pPr>
      <w:r>
        <w:rPr>
          <w:rFonts w:ascii="Barlow Semi Condensed" w:cs="Barlow Semi Condensed" w:eastAsia="Barlow Semi Condensed" w:hAnsi="Barlow Semi Condensed"/>
          <w:b/>
          <w:bCs/>
          <w:sz w:val="24"/>
          <w:szCs w:val="24"/>
        </w:rPr>
        <w:t xml:space="preserve">718 · Yara: il prezzo e le garanzie.</w:t>
      </w:r>
      <w:r>
        <w:rPr>
          <w:rFonts w:ascii="Barlow Semi Condensed" w:cs="Barlow Semi Condensed" w:eastAsia="Barlow Semi Condensed" w:hAnsi="Barlow Semi Condensed"/>
          <w:sz w:val="24"/>
          <w:szCs w:val="24"/>
        </w:rPr>
        <w:t xml:space="preserve"> La lezione gemella: i costi (economici, organizzativi, di libertà) dello screening di massa e le garanzie che lo ressero — i consensi, le cancellazioni, il dibattito pubblico. Il modello non si copia: si pesa. Per un caso del 1978, la sezione ne trae criteri, non entusiasmi.</w:t>
      </w:r>
    </w:p>
    <w:p>
      <w:pPr>
        <w:spacing w:after="120" w:line="276"/>
        <w:jc w:val="both"/>
      </w:pPr>
      <w:r>
        <w:rPr>
          <w:rFonts w:ascii="Barlow Semi Condensed" w:cs="Barlow Semi Condensed" w:eastAsia="Barlow Semi Condensed" w:hAnsi="Barlow Semi Condensed"/>
          <w:b/>
          <w:bCs/>
          <w:sz w:val="24"/>
          <w:szCs w:val="24"/>
        </w:rPr>
        <w:t xml:space="preserve">719 · L'Olgiata: il reperto che aspettava.</w:t>
      </w:r>
      <w:r>
        <w:rPr>
          <w:rFonts w:ascii="Barlow Semi Condensed" w:cs="Barlow Semi Condensed" w:eastAsia="Barlow Semi Condensed" w:hAnsi="Barlow Semi Condensed"/>
          <w:sz w:val="24"/>
          <w:szCs w:val="24"/>
        </w:rPr>
        <w:t xml:space="preserve"> Il precedente di pazienza: il delitto dell'Olgiata (1991), chiuso vent'anni dopo grazie al DNA su reperti conservati. La lezione: la conservazione è la precondizione del futuro — un reperto ben custodito è un'indagine che aspetta. Il raccordo diretto con la sezione della custodia (blocchi 331-350).</w:t>
      </w:r>
    </w:p>
    <w:p>
      <w:pPr>
        <w:spacing w:after="120" w:line="276"/>
        <w:jc w:val="both"/>
      </w:pPr>
      <w:r>
        <w:rPr>
          <w:rFonts w:ascii="Barlow Semi Condensed" w:cs="Barlow Semi Condensed" w:eastAsia="Barlow Semi Condensed" w:hAnsi="Barlow Semi Condensed"/>
          <w:b/>
          <w:bCs/>
          <w:sz w:val="24"/>
          <w:szCs w:val="24"/>
        </w:rPr>
        <w:t xml:space="preserve">720 · Il monito dell'assoluzione.</w:t>
      </w:r>
      <w:r>
        <w:rPr>
          <w:rFonts w:ascii="Barlow Semi Condensed" w:cs="Barlow Semi Condensed" w:eastAsia="Barlow Semi Condensed" w:hAnsi="Barlow Semi Condensed"/>
          <w:sz w:val="24"/>
          <w:szCs w:val="24"/>
        </w:rPr>
        <w:t xml:space="preserve"> Il precedente cautelativo: il caso di Lidia Macchi (1987) — riaperto decenni dopo con strumenti nuovi, conclusosi con l'assoluzione definitiva dell'imputato. La lezione più importante della sezione: la tecnica nuova non garantisce la condanna, e l'assolto resta assolto. Il metodo del corpus era già pronto per questa lezione: la incorpora come precedente nominato.</w:t>
      </w:r>
    </w:p>
    <w:p>
      <w:pPr>
        <w:spacing w:after="120" w:line="276"/>
        <w:jc w:val="both"/>
      </w:pPr>
      <w:r>
        <w:rPr>
          <w:rFonts w:ascii="Barlow Semi Condensed" w:cs="Barlow Semi Condensed" w:eastAsia="Barlow Semi Condensed" w:hAnsi="Barlow Semi Condensed"/>
          <w:b/>
          <w:bCs/>
          <w:sz w:val="24"/>
          <w:szCs w:val="24"/>
        </w:rPr>
        <w:t xml:space="preserve">721 · La Svezia e la genealogia.</w:t>
      </w:r>
      <w:r>
        <w:rPr>
          <w:rFonts w:ascii="Barlow Semi Condensed" w:cs="Barlow Semi Condensed" w:eastAsia="Barlow Semi Condensed" w:hAnsi="Barlow Semi Condensed"/>
          <w:sz w:val="24"/>
          <w:szCs w:val="24"/>
        </w:rPr>
        <w:t xml:space="preserve"> Il precedente europeo: il primo uso documentato della genealogia genetica forense in Europa (il duplice omicidio svedese risolto nel 2020-2021). La lezione istituzionale: la tecnica arrivò in Europa dentro un quadro di garanzie e di dibattito — il dossier svedese è il manuale di ciò che l'Italia non ha ancora scritto.</w:t>
      </w:r>
    </w:p>
    <w:p>
      <w:pPr>
        <w:spacing w:after="120" w:line="276"/>
        <w:jc w:val="both"/>
      </w:pPr>
      <w:r>
        <w:rPr>
          <w:rFonts w:ascii="Barlow Semi Condensed" w:cs="Barlow Semi Condensed" w:eastAsia="Barlow Semi Condensed" w:hAnsi="Barlow Semi Condensed"/>
          <w:b/>
          <w:bCs/>
          <w:sz w:val="24"/>
          <w:szCs w:val="24"/>
        </w:rPr>
        <w:t xml:space="preserve">722 · Il Golden State Killer.</w:t>
      </w:r>
      <w:r>
        <w:rPr>
          <w:rFonts w:ascii="Barlow Semi Condensed" w:cs="Barlow Semi Condensed" w:eastAsia="Barlow Semi Condensed" w:hAnsi="Barlow Semi Condensed"/>
          <w:sz w:val="24"/>
          <w:szCs w:val="24"/>
        </w:rPr>
        <w:t xml:space="preserve"> Il precedente d'oltreoceano: l'arresto del 2018 via genealogia genetica — il caso che aprì l'era. La lezione doppia: la potenza della tecnica e le questioni (privacy dei parenti, banche commerciali) che sollevò. Il cantiere lo studia come storia della tecnica, non come ricetta importabile.</w:t>
      </w:r>
    </w:p>
    <w:p>
      <w:pPr>
        <w:spacing w:after="120" w:line="276"/>
        <w:jc w:val="both"/>
      </w:pPr>
      <w:r>
        <w:rPr>
          <w:rFonts w:ascii="Barlow Semi Condensed" w:cs="Barlow Semi Condensed" w:eastAsia="Barlow Semi Condensed" w:hAnsi="Barlow Semi Condensed"/>
          <w:b/>
          <w:bCs/>
          <w:sz w:val="24"/>
          <w:szCs w:val="24"/>
        </w:rPr>
        <w:t xml:space="preserve">723 · I cold case italiani riaperti.</w:t>
      </w:r>
      <w:r>
        <w:rPr>
          <w:rFonts w:ascii="Barlow Semi Condensed" w:cs="Barlow Semi Condensed" w:eastAsia="Barlow Semi Condensed" w:hAnsi="Barlow Semi Condensed"/>
          <w:sz w:val="24"/>
          <w:szCs w:val="24"/>
        </w:rPr>
        <w:t xml:space="preserve"> Il censimento sistematico: i casi italiani riaperti con nuove tecniche negli ultimi vent'anni — riusciti, falliti, pendenti — la tavola con esiti e insegnamenti. La casistica italiana è il banco di prova reale: che cosa ha funzionato nel nostro ordinamento, con i nostri laboratori, nei nostri tempi.</w:t>
      </w:r>
    </w:p>
    <w:p>
      <w:pPr>
        <w:spacing w:after="120" w:line="276"/>
        <w:jc w:val="both"/>
      </w:pPr>
      <w:r>
        <w:rPr>
          <w:rFonts w:ascii="Barlow Semi Condensed" w:cs="Barlow Semi Condensed" w:eastAsia="Barlow Semi Condensed" w:hAnsi="Barlow Semi Condensed"/>
          <w:b/>
          <w:bCs/>
          <w:sz w:val="24"/>
          <w:szCs w:val="24"/>
        </w:rPr>
        <w:t xml:space="preserve">724 · Le unità cold case.</w:t>
      </w:r>
      <w:r>
        <w:rPr>
          <w:rFonts w:ascii="Barlow Semi Condensed" w:cs="Barlow Semi Condensed" w:eastAsia="Barlow Semi Condensed" w:hAnsi="Barlow Semi Condensed"/>
          <w:sz w:val="24"/>
          <w:szCs w:val="24"/>
        </w:rPr>
        <w:t xml:space="preserve"> L'assetto istituzionale: le strutture dedicate ai casi freddi presso le forze di polizia italiane — dove esistono, come lavorano, con quali criteri di priorità. Il caso Moro è il cold case per antonomasia: sapere chi, in Italia, fa questo mestiere per istituzione è un bersaglio ovvio e mai eseguito.</w:t>
      </w:r>
    </w:p>
    <w:p>
      <w:pPr>
        <w:spacing w:after="120" w:line="276"/>
        <w:jc w:val="both"/>
      </w:pPr>
      <w:r>
        <w:rPr>
          <w:rFonts w:ascii="Barlow Semi Condensed" w:cs="Barlow Semi Condensed" w:eastAsia="Barlow Semi Condensed" w:hAnsi="Barlow Semi Condensed"/>
          <w:b/>
          <w:bCs/>
          <w:sz w:val="24"/>
          <w:szCs w:val="24"/>
        </w:rPr>
        <w:t xml:space="preserve">725 · I casi stranieri d'archivio.</w:t>
      </w:r>
      <w:r>
        <w:rPr>
          <w:rFonts w:ascii="Barlow Semi Condensed" w:cs="Barlow Semi Condensed" w:eastAsia="Barlow Semi Condensed" w:hAnsi="Barlow Semi Condensed"/>
          <w:sz w:val="24"/>
          <w:szCs w:val="24"/>
        </w:rPr>
        <w:t xml:space="preserve"> I precedenti esteri su delitti politici storici: le riaperture documentate di casi degli anni Settanta in Europa (le lezioni tedesche, francesi, irlandesi) — la tavola comparata. Il terrorismo europeo ha i suoi cold case: come le altre democrazie li hanno trattati è un capitolo di metodo comparato.</w:t>
      </w:r>
    </w:p>
    <w:p>
      <w:pPr>
        <w:spacing w:after="120" w:line="276"/>
        <w:jc w:val="both"/>
      </w:pPr>
      <w:r>
        <w:rPr>
          <w:rFonts w:ascii="Barlow Semi Condensed" w:cs="Barlow Semi Condensed" w:eastAsia="Barlow Semi Condensed" w:hAnsi="Barlow Semi Condensed"/>
          <w:b/>
          <w:bCs/>
          <w:sz w:val="24"/>
          <w:szCs w:val="24"/>
        </w:rPr>
        <w:t xml:space="preserve">726 · Lockerbie e le lunghe indagini.</w:t>
      </w:r>
      <w:r>
        <w:rPr>
          <w:rFonts w:ascii="Barlow Semi Condensed" w:cs="Barlow Semi Condensed" w:eastAsia="Barlow Semi Condensed" w:hAnsi="Barlow Semi Condensed"/>
          <w:sz w:val="24"/>
          <w:szCs w:val="24"/>
        </w:rPr>
        <w:t xml:space="preserve"> Il modello delle indagini generazionali: i casi internazionali condotti per decenni con continuità istituzionale — l'organizzazione della memoria investigativa lunga. La lezione organizzativa: un'indagine che dura trent'anni ha bisogno di istituzioni, non di eroi — è la tesi del manuale, confermata dal comparato.</w:t>
      </w:r>
    </w:p>
    <w:p>
      <w:pPr>
        <w:spacing w:after="120" w:line="276"/>
        <w:jc w:val="both"/>
      </w:pPr>
      <w:r>
        <w:rPr>
          <w:rFonts w:ascii="Barlow Semi Condensed" w:cs="Barlow Semi Condensed" w:eastAsia="Barlow Semi Condensed" w:hAnsi="Barlow Semi Condensed"/>
          <w:b/>
          <w:bCs/>
          <w:sz w:val="24"/>
          <w:szCs w:val="24"/>
        </w:rPr>
        <w:t xml:space="preserve">727 · Le commissioni verità e i modelli misti.</w:t>
      </w:r>
      <w:r>
        <w:rPr>
          <w:rFonts w:ascii="Barlow Semi Condensed" w:cs="Barlow Semi Condensed" w:eastAsia="Barlow Semi Condensed" w:hAnsi="Barlow Semi Condensed"/>
          <w:sz w:val="24"/>
          <w:szCs w:val="24"/>
        </w:rPr>
        <w:t xml:space="preserve"> I modelli alternativi: le esperienze internazionali di accertamento non giudiziario (commissioni verità, inchieste pubbliche) sui traumi nazionali — che cosa hanno prodotto, con quali statuti. Il cantiere li studia come modelli di forma: il caso italiano ha scelto commissioni parlamentari — il confronto illumina i limiti e i meriti della scelta.</w:t>
      </w:r>
    </w:p>
    <w:p>
      <w:pPr>
        <w:spacing w:after="120" w:line="276"/>
        <w:jc w:val="both"/>
      </w:pPr>
      <w:r>
        <w:rPr>
          <w:rFonts w:ascii="Barlow Semi Condensed" w:cs="Barlow Semi Condensed" w:eastAsia="Barlow Semi Condensed" w:hAnsi="Barlow Semi Condensed"/>
          <w:b/>
          <w:bCs/>
          <w:sz w:val="24"/>
          <w:szCs w:val="24"/>
        </w:rPr>
        <w:t xml:space="preserve">728 · I precedenti di screening documentale.</w:t>
      </w:r>
      <w:r>
        <w:rPr>
          <w:rFonts w:ascii="Barlow Semi Condensed" w:cs="Barlow Semi Condensed" w:eastAsia="Barlow Semi Condensed" w:hAnsi="Barlow Semi Condensed"/>
          <w:sz w:val="24"/>
          <w:szCs w:val="24"/>
        </w:rPr>
        <w:t xml:space="preserve"> I grandi spogli riusciti: i progetti internazionali di lettura sistematica di archivi giganteschi (le digitalizzazioni giudiziarie, i progetti sugli archivi delle dittature) — metodi, tempi, costi. Lo spoglio delle duemila buste ha fratelli maggiori nel mondo: le loro curve di apprendimento sono gratis.</w:t>
      </w:r>
    </w:p>
    <w:p>
      <w:pPr>
        <w:spacing w:after="120" w:line="276"/>
        <w:jc w:val="both"/>
      </w:pPr>
      <w:r>
        <w:rPr>
          <w:rFonts w:ascii="Barlow Semi Condensed" w:cs="Barlow Semi Condensed" w:eastAsia="Barlow Semi Condensed" w:hAnsi="Barlow Semi Condensed"/>
          <w:b/>
          <w:bCs/>
          <w:sz w:val="24"/>
          <w:szCs w:val="24"/>
        </w:rPr>
        <w:t xml:space="preserve">729 · I precedenti di identificazione storica.</w:t>
      </w:r>
      <w:r>
        <w:rPr>
          <w:rFonts w:ascii="Barlow Semi Condensed" w:cs="Barlow Semi Condensed" w:eastAsia="Barlow Semi Condensed" w:hAnsi="Barlow Semi Condensed"/>
          <w:sz w:val="24"/>
          <w:szCs w:val="24"/>
        </w:rPr>
        <w:t xml:space="preserve"> Le identificazioni celebri su resti e reperti storici (i casi novecenteschi risolti con DNA decenni dopo): la tavola tecnica — che cosa rese possibile ciascuna. La genetica storica ha una casistica matura: i suoi fattori di successo (riferimenti familiari, conservazione) sono esattamente le variabili del caso.</w:t>
      </w:r>
    </w:p>
    <w:p>
      <w:pPr>
        <w:spacing w:after="120" w:line="276"/>
        <w:jc w:val="both"/>
      </w:pPr>
      <w:r>
        <w:rPr>
          <w:rFonts w:ascii="Barlow Semi Condensed" w:cs="Barlow Semi Condensed" w:eastAsia="Barlow Semi Condensed" w:hAnsi="Barlow Semi Condensed"/>
          <w:b/>
          <w:bCs/>
          <w:sz w:val="24"/>
          <w:szCs w:val="24"/>
        </w:rPr>
        <w:t xml:space="preserve">730 · Il falso positivo celebre.</w:t>
      </w:r>
      <w:r>
        <w:rPr>
          <w:rFonts w:ascii="Barlow Semi Condensed" w:cs="Barlow Semi Condensed" w:eastAsia="Barlow Semi Condensed" w:hAnsi="Barlow Semi Condensed"/>
          <w:sz w:val="24"/>
          <w:szCs w:val="24"/>
        </w:rPr>
        <w:t xml:space="preserve"> I precedenti d'errore: i casi documentati di errori forensi clamorosi (le contaminazioni seriali, le sovrainterpretazioni) — la tavola degli errori con le cause. La scienza forense impara dai suoi disastri: il cantiere li insegna ai propri protocolli prima che ai propri esami.</w:t>
      </w:r>
    </w:p>
    <w:p>
      <w:pPr>
        <w:spacing w:after="120" w:line="276"/>
        <w:jc w:val="both"/>
      </w:pPr>
      <w:r>
        <w:rPr>
          <w:rFonts w:ascii="Barlow Semi Condensed" w:cs="Barlow Semi Condensed" w:eastAsia="Barlow Semi Condensed" w:hAnsi="Barlow Semi Condensed"/>
          <w:b/>
          <w:bCs/>
          <w:sz w:val="24"/>
          <w:szCs w:val="24"/>
        </w:rPr>
        <w:t xml:space="preserve">731 · Il DNA da toccare con guanti.</w:t>
      </w:r>
      <w:r>
        <w:rPr>
          <w:rFonts w:ascii="Barlow Semi Condensed" w:cs="Barlow Semi Condensed" w:eastAsia="Barlow Semi Condensed" w:hAnsi="Barlow Semi Condensed"/>
          <w:sz w:val="24"/>
          <w:szCs w:val="24"/>
        </w:rPr>
        <w:t xml:space="preserve"> La lezione tecnica trasversale dei precedenti: il DNA da contatto e le sue trappole (trasferimenti secondari, contaminazioni da deposito) — la letteratura dei casi in cui il DNA c'era ma non significava. Il blocco arma il caso contro il suo rischio maggiore: trovare un profilo e fargli dire troppo.</w:t>
      </w:r>
    </w:p>
    <w:p>
      <w:pPr>
        <w:spacing w:after="120" w:line="276"/>
        <w:jc w:val="both"/>
      </w:pPr>
      <w:r>
        <w:rPr>
          <w:rFonts w:ascii="Barlow Semi Condensed" w:cs="Barlow Semi Condensed" w:eastAsia="Barlow Semi Condensed" w:hAnsi="Barlow Semi Condensed"/>
          <w:b/>
          <w:bCs/>
          <w:sz w:val="24"/>
          <w:szCs w:val="24"/>
        </w:rPr>
        <w:t xml:space="preserve">732 · La statistica in aula.</w:t>
      </w:r>
      <w:r>
        <w:rPr>
          <w:rFonts w:ascii="Barlow Semi Condensed" w:cs="Barlow Semi Condensed" w:eastAsia="Barlow Semi Condensed" w:hAnsi="Barlow Semi Condensed"/>
          <w:sz w:val="24"/>
          <w:szCs w:val="24"/>
        </w:rPr>
        <w:t xml:space="preserve"> La lezione interpretativa: i precedenti di uso e abuso della statistica forense (le fallacie del pubblico ministero e della difesa, i rapporti di verosimiglianza mal spiegati) — il prontuario statistico del caso. Ogni numero forense del cantiere arriva con la sua corretta formulazione probabilistica: è profilassi contro decenni di equivoci.</w:t>
      </w:r>
    </w:p>
    <w:p>
      <w:pPr>
        <w:spacing w:after="120" w:line="276"/>
        <w:jc w:val="both"/>
      </w:pPr>
      <w:r>
        <w:rPr>
          <w:rFonts w:ascii="Barlow Semi Condensed" w:cs="Barlow Semi Condensed" w:eastAsia="Barlow Semi Condensed" w:hAnsi="Barlow Semi Condensed"/>
          <w:b/>
          <w:bCs/>
          <w:sz w:val="24"/>
          <w:szCs w:val="24"/>
        </w:rPr>
        <w:t xml:space="preserve">733 · I periti contesi.</w:t>
      </w:r>
      <w:r>
        <w:rPr>
          <w:rFonts w:ascii="Barlow Semi Condensed" w:cs="Barlow Semi Condensed" w:eastAsia="Barlow Semi Condensed" w:hAnsi="Barlow Semi Condensed"/>
          <w:sz w:val="24"/>
          <w:szCs w:val="24"/>
        </w:rPr>
        <w:t xml:space="preserve"> La lezione processuale: i casi italiani con guerre di perizie — che cosa le generò (quesiti mal posti, metodi non condivisi) e che cosa le avrebbe evitate. Il caso ha già vissuto le sue: il capitolato del blocco 714 è la vaccinazione.</w:t>
      </w:r>
    </w:p>
    <w:p>
      <w:pPr>
        <w:spacing w:after="120" w:line="276"/>
        <w:jc w:val="both"/>
      </w:pPr>
      <w:r>
        <w:rPr>
          <w:rFonts w:ascii="Barlow Semi Condensed" w:cs="Barlow Semi Condensed" w:eastAsia="Barlow Semi Condensed" w:hAnsi="Barlow Semi Condensed"/>
          <w:b/>
          <w:bCs/>
          <w:sz w:val="24"/>
          <w:szCs w:val="24"/>
        </w:rPr>
        <w:t xml:space="preserve">734 · Il tempo dei laboratori.</w:t>
      </w:r>
      <w:r>
        <w:rPr>
          <w:rFonts w:ascii="Barlow Semi Condensed" w:cs="Barlow Semi Condensed" w:eastAsia="Barlow Semi Condensed" w:hAnsi="Barlow Semi Condensed"/>
          <w:sz w:val="24"/>
          <w:szCs w:val="24"/>
        </w:rPr>
        <w:t xml:space="preserve"> La lezione organizzativa dei precedenti: i tempi reali delle analisi nei cold case italiani (mesi, anni) — la programmazione del caso su tempi veri. L'aspettativa calibrata è metodo: chi promette esiti rapidi su reperti del 1978 non ha letto la casistica.</w:t>
      </w:r>
    </w:p>
    <w:p>
      <w:pPr>
        <w:spacing w:after="120" w:line="276"/>
        <w:jc w:val="both"/>
      </w:pPr>
      <w:r>
        <w:rPr>
          <w:rFonts w:ascii="Barlow Semi Condensed" w:cs="Barlow Semi Condensed" w:eastAsia="Barlow Semi Condensed" w:hAnsi="Barlow Semi Condensed"/>
          <w:b/>
          <w:bCs/>
          <w:sz w:val="24"/>
          <w:szCs w:val="24"/>
        </w:rPr>
        <w:t xml:space="preserve">735 · La comunicazione dei precedenti.</w:t>
      </w:r>
      <w:r>
        <w:rPr>
          <w:rFonts w:ascii="Barlow Semi Condensed" w:cs="Barlow Semi Condensed" w:eastAsia="Barlow Semi Condensed" w:hAnsi="Barlow Semi Condensed"/>
          <w:sz w:val="24"/>
          <w:szCs w:val="24"/>
        </w:rPr>
        <w:t xml:space="preserve"> La lezione mediatica: come i cold case riusciti e falliti furono comunicati — gli annunci prematuri, le smentite, i danni. Il protocollo di comunicazione del cantiere (il blocco 402) si tara su questa casistica: il silenzio operoso batte l'anticipazione.</w:t>
      </w:r>
    </w:p>
    <w:p>
      <w:pPr>
        <w:spacing w:after="120" w:line="276"/>
        <w:jc w:val="both"/>
      </w:pPr>
      <w:r>
        <w:rPr>
          <w:rFonts w:ascii="Barlow Semi Condensed" w:cs="Barlow Semi Condensed" w:eastAsia="Barlow Semi Condensed" w:hAnsi="Barlow Semi Condensed"/>
          <w:b/>
          <w:bCs/>
          <w:sz w:val="24"/>
          <w:szCs w:val="24"/>
        </w:rPr>
        <w:t xml:space="preserve">736 · Il registro dei precedenti.</w:t>
      </w:r>
      <w:r>
        <w:rPr>
          <w:rFonts w:ascii="Barlow Semi Condensed" w:cs="Barlow Semi Condensed" w:eastAsia="Barlow Semi Condensed" w:hAnsi="Barlow Semi Condensed"/>
          <w:sz w:val="24"/>
          <w:szCs w:val="24"/>
        </w:rPr>
        <w:t xml:space="preserve"> Lo strumento della sezione: il registro ragionato dei precedenti — caso per caso, la lezione estratta e il blocco del cantiere che la incorpora. La sezione non colleziona storie: distilla regole, e il registro mostra la distillazione.</w:t>
      </w:r>
    </w:p>
    <w:p>
      <w:pPr>
        <w:spacing w:after="120" w:line="276"/>
        <w:jc w:val="both"/>
      </w:pPr>
      <w:r>
        <w:rPr>
          <w:rFonts w:ascii="Barlow Semi Condensed" w:cs="Barlow Semi Condensed" w:eastAsia="Barlow Semi Condensed" w:hAnsi="Barlow Semi Condensed"/>
          <w:b/>
          <w:bCs/>
          <w:sz w:val="24"/>
          <w:szCs w:val="24"/>
        </w:rPr>
        <w:t xml:space="preserve">737 · Il caso come precedente futuro.</w:t>
      </w:r>
      <w:r>
        <w:rPr>
          <w:rFonts w:ascii="Barlow Semi Condensed" w:cs="Barlow Semi Condensed" w:eastAsia="Barlow Semi Condensed" w:hAnsi="Barlow Semi Condensed"/>
          <w:sz w:val="24"/>
          <w:szCs w:val="24"/>
        </w:rPr>
        <w:t xml:space="preserve"> Il rovesciamento: ciò che il caso Moro, trattato con questo metodo, lascerà ai cold case che verranno — i protocolli, i registri, le soglie. Il cantiere lavora sapendo di scrivere il precedente italiano maggiore: è una responsabilità di forma, non solo di esito.</w:t>
      </w:r>
    </w:p>
    <w:p>
      <w:pPr>
        <w:spacing w:after="120" w:line="276"/>
        <w:jc w:val="both"/>
      </w:pPr>
      <w:r>
        <w:rPr>
          <w:rFonts w:ascii="Barlow Semi Condensed" w:cs="Barlow Semi Condensed" w:eastAsia="Barlow Semi Condensed" w:hAnsi="Barlow Semi Condensed"/>
          <w:b/>
          <w:bCs/>
          <w:sz w:val="24"/>
          <w:szCs w:val="24"/>
        </w:rPr>
        <w:t xml:space="preserve">738 · La rete dei casi fratelli.</w:t>
      </w:r>
      <w:r>
        <w:rPr>
          <w:rFonts w:ascii="Barlow Semi Condensed" w:cs="Barlow Semi Condensed" w:eastAsia="Barlow Semi Condensed" w:hAnsi="Barlow Semi Condensed"/>
          <w:sz w:val="24"/>
          <w:szCs w:val="24"/>
        </w:rPr>
        <w:t xml:space="preserve"> L'alleanza operativa: il coordinamento con chi lavora sugli altri casi degli anni di piombo (le stragi, i delitti politici coevi) — strumenti comuni, archivi condivisi, standard uniformi. I casi del periodo condividono archivi e problemi: la rete moltiplica ogni cantiere.</w:t>
      </w:r>
    </w:p>
    <w:p>
      <w:pPr>
        <w:spacing w:after="120" w:line="276"/>
        <w:jc w:val="both"/>
      </w:pPr>
      <w:r>
        <w:rPr>
          <w:rFonts w:ascii="Barlow Semi Condensed" w:cs="Barlow Semi Condensed" w:eastAsia="Barlow Semi Condensed" w:hAnsi="Barlow Semi Condensed"/>
          <w:b/>
          <w:bCs/>
          <w:sz w:val="24"/>
          <w:szCs w:val="24"/>
        </w:rPr>
        <w:t xml:space="preserve">739 · La sintesi dei precedenti.</w:t>
      </w:r>
      <w:r>
        <w:rPr>
          <w:rFonts w:ascii="Barlow Semi Condensed" w:cs="Barlow Semi Condensed" w:eastAsia="Barlow Semi Condensed" w:hAnsi="Barlow Semi Condensed"/>
          <w:sz w:val="24"/>
          <w:szCs w:val="24"/>
        </w:rPr>
        <w:t xml:space="preserve"> Il prodotto della sezione: la relazione sui precedenti — che cosa la casistica autorizza a sperare, che cosa vieta di promettere — come documento di aspettative pubbliche. La pagina che calibra il dibattito: né disfattismo né miracolismo — casistica.</w:t>
      </w:r>
    </w:p>
    <w:p>
      <w:pPr>
        <w:spacing w:after="120" w:line="276"/>
        <w:jc w:val="both"/>
      </w:pPr>
      <w:r>
        <w:rPr>
          <w:rFonts w:ascii="Barlow Semi Condensed" w:cs="Barlow Semi Condensed" w:eastAsia="Barlow Semi Condensed" w:hAnsi="Barlow Semi Condensed"/>
          <w:b/>
          <w:bCs/>
          <w:sz w:val="24"/>
          <w:szCs w:val="24"/>
        </w:rPr>
        <w:t xml:space="preserve">740 · La tavola dei precedenti.</w:t>
      </w:r>
      <w:r>
        <w:rPr>
          <w:rFonts w:ascii="Barlow Semi Condensed" w:cs="Barlow Semi Condensed" w:eastAsia="Barlow Semi Condensed" w:hAnsi="Barlow Semi Condensed"/>
          <w:sz w:val="24"/>
          <w:szCs w:val="24"/>
        </w:rPr>
        <w:t xml:space="preserve"> La chiusura della sezione: il registro compilato, le lezioni incorporate, le aspettative calibrate. I precedenti hanno parlato: il caso sa da dove parte — e sa che, se arriverà, arriverà primo.</w:t>
      </w:r>
    </w:p>
    <w:p>
      <w:pPr>
        <w:pStyle w:val="Heading3"/>
        <w:spacing w:after="80" w:before="160"/>
      </w:pPr>
      <w:r>
        <w:rPr>
          <w:rFonts w:ascii="Barlow Semi Condensed" w:cs="Barlow Semi Condensed" w:eastAsia="Barlow Semi Condensed" w:hAnsi="Barlow Semi Condensed"/>
          <w:sz w:val="24"/>
          <w:szCs w:val="24"/>
        </w:rPr>
        <w:t xml:space="preserve">Le scienze emergenti e i pareri (blocchi 741-765)</w:t>
      </w:r>
    </w:p>
    <w:p>
      <w:pPr>
        <w:spacing w:after="120" w:line="276"/>
        <w:jc w:val="both"/>
      </w:pPr>
      <w:r>
        <w:rPr>
          <w:rFonts w:ascii="Barlow Semi Condensed" w:cs="Barlow Semi Condensed" w:eastAsia="Barlow Semi Condensed" w:hAnsi="Barlow Semi Condensed"/>
          <w:b/>
          <w:bCs/>
          <w:sz w:val="24"/>
          <w:szCs w:val="24"/>
        </w:rPr>
        <w:t xml:space="preserve">741 · L'orizzonte tecnico sorvegliato.</w:t>
      </w:r>
      <w:r>
        <w:rPr>
          <w:rFonts w:ascii="Barlow Semi Condensed" w:cs="Barlow Semi Condensed" w:eastAsia="Barlow Semi Condensed" w:hAnsi="Barlow Semi Condensed"/>
          <w:sz w:val="24"/>
          <w:szCs w:val="24"/>
        </w:rPr>
        <w:t xml:space="preserve"> Il metodo della sezione: la sorveglianza sistematica dell'orizzonte forense — le tecniche emergenti censite ogni anno, con la domanda unica: che cosa potrebbe chiedere di nuovo ai reperti del 1978? La revisione periodica del blocco 459, organizzata come funzione permanente.</w:t>
      </w:r>
    </w:p>
    <w:p>
      <w:pPr>
        <w:spacing w:after="120" w:line="276"/>
        <w:jc w:val="both"/>
      </w:pPr>
      <w:r>
        <w:rPr>
          <w:rFonts w:ascii="Barlow Semi Condensed" w:cs="Barlow Semi Condensed" w:eastAsia="Barlow Semi Condensed" w:hAnsi="Barlow Semi Condensed"/>
          <w:b/>
          <w:bCs/>
          <w:sz w:val="24"/>
          <w:szCs w:val="24"/>
        </w:rPr>
        <w:t xml:space="preserve">742 · Il sequenziamento massivo.</w:t>
      </w:r>
      <w:r>
        <w:rPr>
          <w:rFonts w:ascii="Barlow Semi Condensed" w:cs="Barlow Semi Condensed" w:eastAsia="Barlow Semi Condensed" w:hAnsi="Barlow Semi Condensed"/>
          <w:sz w:val="24"/>
          <w:szCs w:val="24"/>
        </w:rPr>
        <w:t xml:space="preserve"> La frontiera genetica matura: le piattaforme di sequenziamento massivo (MPS/NGS) sui campioni degradati — che cosa aggiungono agli STR tradizionali (SNP, marcatori ancestrali, miscele complesse). Il parere di praticabilità dedicato, sui profili del caso: la tecnica c'è; l'applicabilità si scrive.</w:t>
      </w:r>
    </w:p>
    <w:p>
      <w:pPr>
        <w:spacing w:after="120" w:line="276"/>
        <w:jc w:val="both"/>
      </w:pPr>
      <w:r>
        <w:rPr>
          <w:rFonts w:ascii="Barlow Semi Condensed" w:cs="Barlow Semi Condensed" w:eastAsia="Barlow Semi Condensed" w:hAnsi="Barlow Semi Condensed"/>
          <w:b/>
          <w:bCs/>
          <w:sz w:val="24"/>
          <w:szCs w:val="24"/>
        </w:rPr>
        <w:t xml:space="preserve">743 · Il DNA antico come scuola.</w:t>
      </w:r>
      <w:r>
        <w:rPr>
          <w:rFonts w:ascii="Barlow Semi Condensed" w:cs="Barlow Semi Condensed" w:eastAsia="Barlow Semi Condensed" w:hAnsi="Barlow Semi Condensed"/>
          <w:sz w:val="24"/>
          <w:szCs w:val="24"/>
        </w:rPr>
        <w:t xml:space="preserve"> Il travaso metodologico: le tecniche della paleogenetica (contaminazione controllata, autenticazione dei profili antichi) applicate ai reperti del 1978 — mezzo secolo è «antico» per la biologia. La scuola che ha letto genomi di millenni ha lezioni per chi legge nastri adesivi del 1978: il ponte disciplinare si costruisce.</w:t>
      </w:r>
    </w:p>
    <w:p>
      <w:pPr>
        <w:spacing w:after="120" w:line="276"/>
        <w:jc w:val="both"/>
      </w:pPr>
      <w:r>
        <w:rPr>
          <w:rFonts w:ascii="Barlow Semi Condensed" w:cs="Barlow Semi Condensed" w:eastAsia="Barlow Semi Condensed" w:hAnsi="Barlow Semi Condensed"/>
          <w:b/>
          <w:bCs/>
          <w:sz w:val="24"/>
          <w:szCs w:val="24"/>
        </w:rPr>
        <w:t xml:space="preserve">744 · La proteomica.</w:t>
      </w:r>
      <w:r>
        <w:rPr>
          <w:rFonts w:ascii="Barlow Semi Condensed" w:cs="Barlow Semi Condensed" w:eastAsia="Barlow Semi Condensed" w:hAnsi="Barlow Semi Condensed"/>
          <w:sz w:val="24"/>
          <w:szCs w:val="24"/>
        </w:rPr>
        <w:t xml:space="preserve"> La frontiera oltre il DNA: l'analisi delle proteine (più stabili degli acidi nucleici) su tracce biologiche degradate — lo stato dell'arte e l'eventuale nicchia per il caso. Parere esplorativo con aspettative dichiarate basse: si scrive per completezza, si applica solo se matura.</w:t>
      </w:r>
    </w:p>
    <w:p>
      <w:pPr>
        <w:spacing w:after="120" w:line="276"/>
        <w:jc w:val="both"/>
      </w:pPr>
      <w:r>
        <w:rPr>
          <w:rFonts w:ascii="Barlow Semi Condensed" w:cs="Barlow Semi Condensed" w:eastAsia="Barlow Semi Condensed" w:hAnsi="Barlow Semi Condensed"/>
          <w:b/>
          <w:bCs/>
          <w:sz w:val="24"/>
          <w:szCs w:val="24"/>
        </w:rPr>
        <w:t xml:space="preserve">745 · Gli isotopi e le provenienze.</w:t>
      </w:r>
      <w:r>
        <w:rPr>
          <w:rFonts w:ascii="Barlow Semi Condensed" w:cs="Barlow Semi Condensed" w:eastAsia="Barlow Semi Condensed" w:hAnsi="Barlow Semi Condensed"/>
          <w:sz w:val="24"/>
          <w:szCs w:val="24"/>
        </w:rPr>
        <w:t xml:space="preserve"> La geochimica dei materiali: le firme isotopiche per provenienze (carte, metalli, tessuti) — che cosa la tecnica può dire sugli oggetti del caso. Parere mirato sui reperti a quesito di provenienza aperto: la geografia chimica come ultima parola sui «dove».</w:t>
      </w:r>
    </w:p>
    <w:p>
      <w:pPr>
        <w:spacing w:after="120" w:line="276"/>
        <w:jc w:val="both"/>
      </w:pPr>
      <w:r>
        <w:rPr>
          <w:rFonts w:ascii="Barlow Semi Condensed" w:cs="Barlow Semi Condensed" w:eastAsia="Barlow Semi Condensed" w:hAnsi="Barlow Semi Condensed"/>
          <w:b/>
          <w:bCs/>
          <w:sz w:val="24"/>
          <w:szCs w:val="24"/>
        </w:rPr>
        <w:t xml:space="preserve">746 · La microbiologia forense.</w:t>
      </w:r>
      <w:r>
        <w:rPr>
          <w:rFonts w:ascii="Barlow Semi Condensed" w:cs="Barlow Semi Condensed" w:eastAsia="Barlow Semi Condensed" w:hAnsi="Barlow Semi Condensed"/>
          <w:sz w:val="24"/>
          <w:szCs w:val="24"/>
        </w:rPr>
        <w:t xml:space="preserve"> La frontiera ambientale: le firme microbiche come tracce di luoghi e contatti — lo stato della ricerca e la distanza dall'applicazione matura. Censita, datata, tenuta d'occhio: il cantiere la iscrive all'orizzonte, non al calendario.</w:t>
      </w:r>
    </w:p>
    <w:p>
      <w:pPr>
        <w:spacing w:after="120" w:line="276"/>
        <w:jc w:val="both"/>
      </w:pPr>
      <w:r>
        <w:rPr>
          <w:rFonts w:ascii="Barlow Semi Condensed" w:cs="Barlow Semi Condensed" w:eastAsia="Barlow Semi Condensed" w:hAnsi="Barlow Semi Condensed"/>
          <w:b/>
          <w:bCs/>
          <w:sz w:val="24"/>
          <w:szCs w:val="24"/>
        </w:rPr>
        <w:t xml:space="preserve">747 · L'entomologia e le scienze del tempo.</w:t>
      </w:r>
      <w:r>
        <w:rPr>
          <w:rFonts w:ascii="Barlow Semi Condensed" w:cs="Barlow Semi Condensed" w:eastAsia="Barlow Semi Condensed" w:hAnsi="Barlow Semi Condensed"/>
          <w:sz w:val="24"/>
          <w:szCs w:val="24"/>
        </w:rPr>
        <w:t xml:space="preserve"> Le scienze della datazione biologica applicate retrospettivamente: che cosa gli atti del 1978 (i rilievi, le autopsie) consentono ancora di stimare con le conoscenze attuali — il riesame documentale con occhi nuovi (il raccordo col blocco 99 dell'agenda). I dati d'epoca riletti valgono un esame nuovo, quando l'esame nuovo è impossibile.</w:t>
      </w:r>
    </w:p>
    <w:p>
      <w:pPr>
        <w:spacing w:after="120" w:line="276"/>
        <w:jc w:val="both"/>
      </w:pPr>
      <w:r>
        <w:rPr>
          <w:rFonts w:ascii="Barlow Semi Condensed" w:cs="Barlow Semi Condensed" w:eastAsia="Barlow Semi Condensed" w:hAnsi="Barlow Semi Condensed"/>
          <w:b/>
          <w:bCs/>
          <w:sz w:val="24"/>
          <w:szCs w:val="24"/>
        </w:rPr>
        <w:t xml:space="preserve">748 · L'imaging che non tocca.</w:t>
      </w:r>
      <w:r>
        <w:rPr>
          <w:rFonts w:ascii="Barlow Semi Condensed" w:cs="Barlow Semi Condensed" w:eastAsia="Barlow Semi Condensed" w:hAnsi="Barlow Semi Condensed"/>
          <w:sz w:val="24"/>
          <w:szCs w:val="24"/>
        </w:rPr>
        <w:t xml:space="preserve"> La radiologia dei reperti: TAC, radiografie, microscopie non invasive sugli oggetti chiusi o fragili del caso — vedere dentro senza aprire. Il parere per ogni reperto sigillato o delicato: la curiosità non distruttiva prima di ogni ipotesi distruttiva.</w:t>
      </w:r>
    </w:p>
    <w:p>
      <w:pPr>
        <w:spacing w:after="120" w:line="276"/>
        <w:jc w:val="both"/>
      </w:pPr>
      <w:r>
        <w:rPr>
          <w:rFonts w:ascii="Barlow Semi Condensed" w:cs="Barlow Semi Condensed" w:eastAsia="Barlow Semi Condensed" w:hAnsi="Barlow Semi Condensed"/>
          <w:b/>
          <w:bCs/>
          <w:sz w:val="24"/>
          <w:szCs w:val="24"/>
        </w:rPr>
        <w:t xml:space="preserve">749 · La chimica delle superfici.</w:t>
      </w:r>
      <w:r>
        <w:rPr>
          <w:rFonts w:ascii="Barlow Semi Condensed" w:cs="Barlow Semi Condensed" w:eastAsia="Barlow Semi Condensed" w:hAnsi="Barlow Semi Condensed"/>
          <w:sz w:val="24"/>
          <w:szCs w:val="24"/>
        </w:rPr>
        <w:t xml:space="preserve"> Le spettroscopie di superficie per i reperti del caso: residui, trattamenti, alterazioni — la mappatura chimica non invasiva come censimento preliminare. Ogni oggetto ha una pelle chimica: leggerla è gratis in termini di reperto.</w:t>
      </w:r>
    </w:p>
    <w:p>
      <w:pPr>
        <w:spacing w:after="120" w:line="276"/>
        <w:jc w:val="both"/>
      </w:pPr>
      <w:r>
        <w:rPr>
          <w:rFonts w:ascii="Barlow Semi Condensed" w:cs="Barlow Semi Condensed" w:eastAsia="Barlow Semi Condensed" w:hAnsi="Barlow Semi Condensed"/>
          <w:b/>
          <w:bCs/>
          <w:sz w:val="24"/>
          <w:szCs w:val="24"/>
        </w:rPr>
        <w:t xml:space="preserve">750 · Il restauro forense della carta.</w:t>
      </w:r>
      <w:r>
        <w:rPr>
          <w:rFonts w:ascii="Barlow Semi Condensed" w:cs="Barlow Semi Condensed" w:eastAsia="Barlow Semi Condensed" w:hAnsi="Barlow Semi Condensed"/>
          <w:sz w:val="24"/>
          <w:szCs w:val="24"/>
        </w:rPr>
        <w:t xml:space="preserve"> Le tecniche di recupero su carta danneggiata (bruciata, bagnata, compressa) — lo stato dell'arte per gli eventuali reperti cartacei degradati del caso. Il parere che aspetta il bisogno: se un fondo restituisse carte sofferenti, il cantiere saprà già a chi rivolgersi.</w:t>
      </w:r>
    </w:p>
    <w:p>
      <w:pPr>
        <w:spacing w:after="120" w:line="276"/>
        <w:jc w:val="both"/>
      </w:pPr>
      <w:r>
        <w:rPr>
          <w:rFonts w:ascii="Barlow Semi Condensed" w:cs="Barlow Semi Condensed" w:eastAsia="Barlow Semi Condensed" w:hAnsi="Barlow Semi Condensed"/>
          <w:b/>
          <w:bCs/>
          <w:sz w:val="24"/>
          <w:szCs w:val="24"/>
        </w:rPr>
        <w:t xml:space="preserve">751 · L'analisi computazionale dei documenti.</w:t>
      </w:r>
      <w:r>
        <w:rPr>
          <w:rFonts w:ascii="Barlow Semi Condensed" w:cs="Barlow Semi Condensed" w:eastAsia="Barlow Semi Condensed" w:hAnsi="Barlow Semi Condensed"/>
          <w:sz w:val="24"/>
          <w:szCs w:val="24"/>
        </w:rPr>
        <w:t xml:space="preserve"> La diplomatica digitale: il riconoscimento automatico di mani, macchine e layout su corpora documentali (il raccordo coi blocchi 197 e 434) — validato, con l'uomo che verbalizza. La macchina classifica; l'esperto decide; il registro conserva: la triade vale anche qui.</w:t>
      </w:r>
    </w:p>
    <w:p>
      <w:pPr>
        <w:spacing w:after="120" w:line="276"/>
        <w:jc w:val="both"/>
      </w:pPr>
      <w:r>
        <w:rPr>
          <w:rFonts w:ascii="Barlow Semi Condensed" w:cs="Barlow Semi Condensed" w:eastAsia="Barlow Semi Condensed" w:hAnsi="Barlow Semi Condensed"/>
          <w:b/>
          <w:bCs/>
          <w:sz w:val="24"/>
          <w:szCs w:val="24"/>
        </w:rPr>
        <w:t xml:space="preserve">752 · I gemelli digitali dei reperti.</w:t>
      </w:r>
      <w:r>
        <w:rPr>
          <w:rFonts w:ascii="Barlow Semi Condensed" w:cs="Barlow Semi Condensed" w:eastAsia="Barlow Semi Condensed" w:hAnsi="Barlow Semi Condensed"/>
          <w:sz w:val="24"/>
          <w:szCs w:val="24"/>
        </w:rPr>
        <w:t xml:space="preserve"> La conservazione aumentata: i modelli tridimensionali ad alta fedeltà dei reperti chiave (scansioni, fotogrammetrie) come «gemelli» consultabili senza toccare l'originale (il raccordo col blocco 321 del manuale). Ogni esame futuro comincerà dal gemello: l'originale si tocca l'ultima volta possibile.</w:t>
      </w:r>
    </w:p>
    <w:p>
      <w:pPr>
        <w:spacing w:after="120" w:line="276"/>
        <w:jc w:val="both"/>
      </w:pPr>
      <w:r>
        <w:rPr>
          <w:rFonts w:ascii="Barlow Semi Condensed" w:cs="Barlow Semi Condensed" w:eastAsia="Barlow Semi Condensed" w:hAnsi="Barlow Semi Condensed"/>
          <w:b/>
          <w:bCs/>
          <w:sz w:val="24"/>
          <w:szCs w:val="24"/>
        </w:rPr>
        <w:t xml:space="preserve">753 · La firma delle armi, rivisitata.</w:t>
      </w:r>
      <w:r>
        <w:rPr>
          <w:rFonts w:ascii="Barlow Semi Condensed" w:cs="Barlow Semi Condensed" w:eastAsia="Barlow Semi Condensed" w:hAnsi="Barlow Semi Condensed"/>
          <w:sz w:val="24"/>
          <w:szCs w:val="24"/>
        </w:rPr>
        <w:t xml:space="preserve"> La ricerca di frontiera balistica: gli studi su invecchiamento delle canne e stabilità delle firme — che cosa dicono sulla comparabilità a distanza di decenni. Il parere che il blocco 353 presuppone: comparare col 2026 un bossolo del 1978 richiede di sapere come invecchiano le firme.</w:t>
      </w:r>
    </w:p>
    <w:p>
      <w:pPr>
        <w:spacing w:after="120" w:line="276"/>
        <w:jc w:val="both"/>
      </w:pPr>
      <w:r>
        <w:rPr>
          <w:rFonts w:ascii="Barlow Semi Condensed" w:cs="Barlow Semi Condensed" w:eastAsia="Barlow Semi Condensed" w:hAnsi="Barlow Semi Condensed"/>
          <w:b/>
          <w:bCs/>
          <w:sz w:val="24"/>
          <w:szCs w:val="24"/>
        </w:rPr>
        <w:t xml:space="preserve">754 · L'audio restaurato dall'IA, con le regole.</w:t>
      </w:r>
      <w:r>
        <w:rPr>
          <w:rFonts w:ascii="Barlow Semi Condensed" w:cs="Barlow Semi Condensed" w:eastAsia="Barlow Semi Condensed" w:hAnsi="Barlow Semi Condensed"/>
          <w:sz w:val="24"/>
          <w:szCs w:val="24"/>
        </w:rPr>
        <w:t xml:space="preserve"> La frontiera del restauro sonoro: i modelli di separazione e pulizia — potenti e rischiosi (allucinazioni acustiche). La regola del cantiere: ogni restauro generativo marcato come tale, mai fonte di trascrizione probatoria; l'originale resta il testimone (il raccordo col blocco 658).</w:t>
      </w:r>
    </w:p>
    <w:p>
      <w:pPr>
        <w:spacing w:after="120" w:line="276"/>
        <w:jc w:val="both"/>
      </w:pPr>
      <w:r>
        <w:rPr>
          <w:rFonts w:ascii="Barlow Semi Condensed" w:cs="Barlow Semi Condensed" w:eastAsia="Barlow Semi Condensed" w:hAnsi="Barlow Semi Condensed"/>
          <w:b/>
          <w:bCs/>
          <w:sz w:val="24"/>
          <w:szCs w:val="24"/>
        </w:rPr>
        <w:t xml:space="preserve">755 · La visione artificiale sugli archivi visivi.</w:t>
      </w:r>
      <w:r>
        <w:rPr>
          <w:rFonts w:ascii="Barlow Semi Condensed" w:cs="Barlow Semi Condensed" w:eastAsia="Barlow Semi Condensed" w:hAnsi="Barlow Semi Condensed"/>
          <w:sz w:val="24"/>
          <w:szCs w:val="24"/>
        </w:rPr>
        <w:t xml:space="preserve"> L'indicizzazione automatica della fototeca: il riconoscimento di luoghi e oggetti per la ricerca — con la regola personalistica dura: nessun riconoscimento facciale su persone, per nessun fine (il perimetro del blocco 289 dell'agenda). La macchina indicizza cose; le persone restano fuori dal suo sguardo.</w:t>
      </w:r>
    </w:p>
    <w:p>
      <w:pPr>
        <w:spacing w:after="120" w:line="276"/>
        <w:jc w:val="both"/>
      </w:pPr>
      <w:r>
        <w:rPr>
          <w:rFonts w:ascii="Barlow Semi Condensed" w:cs="Barlow Semi Condensed" w:eastAsia="Barlow Semi Condensed" w:hAnsi="Barlow Semi Condensed"/>
          <w:b/>
          <w:bCs/>
          <w:sz w:val="24"/>
          <w:szCs w:val="24"/>
        </w:rPr>
        <w:t xml:space="preserve">756 · I modelli linguistici come assistenti.</w:t>
      </w:r>
      <w:r>
        <w:rPr>
          <w:rFonts w:ascii="Barlow Semi Condensed" w:cs="Barlow Semi Condensed" w:eastAsia="Barlow Semi Condensed" w:hAnsi="Barlow Semi Condensed"/>
          <w:sz w:val="24"/>
          <w:szCs w:val="24"/>
        </w:rPr>
        <w:t xml:space="preserve"> L'uso dichiarato dei modelli di linguaggio sul corpus documentale: riassunti di lavoro, indici, segnalazioni di collegamenti — mai generazione di contenuto probatorio, mai citazioni non verificate (la regola del manuale, stampata anche qui). L'assistente legge molto e non firma nulla: il verbale resta umano.</w:t>
      </w:r>
    </w:p>
    <w:p>
      <w:pPr>
        <w:spacing w:after="120" w:line="276"/>
        <w:jc w:val="both"/>
      </w:pPr>
      <w:r>
        <w:rPr>
          <w:rFonts w:ascii="Barlow Semi Condensed" w:cs="Barlow Semi Condensed" w:eastAsia="Barlow Semi Condensed" w:hAnsi="Barlow Semi Condensed"/>
          <w:b/>
          <w:bCs/>
          <w:sz w:val="24"/>
          <w:szCs w:val="24"/>
        </w:rPr>
        <w:t xml:space="preserve">757 · Il parere annuale sull'orizzonte.</w:t>
      </w:r>
      <w:r>
        <w:rPr>
          <w:rFonts w:ascii="Barlow Semi Condensed" w:cs="Barlow Semi Condensed" w:eastAsia="Barlow Semi Condensed" w:hAnsi="Barlow Semi Condensed"/>
          <w:sz w:val="24"/>
          <w:szCs w:val="24"/>
        </w:rPr>
        <w:t xml:space="preserve"> L'atto periodico: il parere annuale del collegio (blocco 709) sull'orizzonte tecnico — che cosa è maturato, che cosa entra nei calendari, che cosa resta osservazione. La sorveglianza diventa atto: una pagina l'anno, sempre.</w:t>
      </w:r>
    </w:p>
    <w:p>
      <w:pPr>
        <w:spacing w:after="120" w:line="276"/>
        <w:jc w:val="both"/>
      </w:pPr>
      <w:r>
        <w:rPr>
          <w:rFonts w:ascii="Barlow Semi Condensed" w:cs="Barlow Semi Condensed" w:eastAsia="Barlow Semi Condensed" w:hAnsi="Barlow Semi Condensed"/>
          <w:b/>
          <w:bCs/>
          <w:sz w:val="24"/>
          <w:szCs w:val="24"/>
        </w:rPr>
        <w:t xml:space="preserve">758 · Le tecniche che non useremo.</w:t>
      </w:r>
      <w:r>
        <w:rPr>
          <w:rFonts w:ascii="Barlow Semi Condensed" w:cs="Barlow Semi Condensed" w:eastAsia="Barlow Semi Condensed" w:hAnsi="Barlow Semi Condensed"/>
          <w:sz w:val="24"/>
          <w:szCs w:val="24"/>
        </w:rPr>
        <w:t xml:space="preserve"> Il perimetro negativo delle scienze: le tecniche escluse per statuto (il riconoscimento facciale sui viventi, la generazione sintetica di voci, ogni tecnica senza validazione) — la lista pubblica del non fare. Anche la scienza del cantiere ha il suo blocco 289: dire i no prima protegge i sì.</w:t>
      </w:r>
    </w:p>
    <w:p>
      <w:pPr>
        <w:spacing w:after="120" w:line="276"/>
        <w:jc w:val="both"/>
      </w:pPr>
      <w:r>
        <w:rPr>
          <w:rFonts w:ascii="Barlow Semi Condensed" w:cs="Barlow Semi Condensed" w:eastAsia="Barlow Semi Condensed" w:hAnsi="Barlow Semi Condensed"/>
          <w:b/>
          <w:bCs/>
          <w:sz w:val="24"/>
          <w:szCs w:val="24"/>
        </w:rPr>
        <w:t xml:space="preserve">759 · Il fondo per gli esami.</w:t>
      </w:r>
      <w:r>
        <w:rPr>
          <w:rFonts w:ascii="Barlow Semi Condensed" w:cs="Barlow Semi Condensed" w:eastAsia="Barlow Semi Condensed" w:hAnsi="Barlow Semi Condensed"/>
          <w:sz w:val="24"/>
          <w:szCs w:val="24"/>
        </w:rPr>
        <w:t xml:space="preserve"> Lo strumento economico: il fondo dedicato agli esami scientifici del caso — alimentazione, criteri di spesa, rendicontazione pubblica. La scienza costa e il cantiere paga ciò che propone: il fondo è la serietà della proposta.</w:t>
      </w:r>
    </w:p>
    <w:p>
      <w:pPr>
        <w:spacing w:after="120" w:line="276"/>
        <w:jc w:val="both"/>
      </w:pPr>
      <w:r>
        <w:rPr>
          <w:rFonts w:ascii="Barlow Semi Condensed" w:cs="Barlow Semi Condensed" w:eastAsia="Barlow Semi Condensed" w:hAnsi="Barlow Semi Condensed"/>
          <w:b/>
          <w:bCs/>
          <w:sz w:val="24"/>
          <w:szCs w:val="24"/>
        </w:rPr>
        <w:t xml:space="preserve">760 · La scienza partecipata, con le regole.</w:t>
      </w:r>
      <w:r>
        <w:rPr>
          <w:rFonts w:ascii="Barlow Semi Condensed" w:cs="Barlow Semi Condensed" w:eastAsia="Barlow Semi Condensed" w:hAnsi="Barlow Semi Condensed"/>
          <w:sz w:val="24"/>
          <w:szCs w:val="24"/>
        </w:rPr>
        <w:t xml:space="preserve"> Il contributo esterno: le segnalazioni tecniche della comunità scientifica (metodiche, letteratura, expertise) attraverso un canale formale con vaglio del collegio. Il cantiere ascolta tutti e affida con le regole: la porta è aperta, la soglia è alta.</w:t>
      </w:r>
    </w:p>
    <w:p>
      <w:pPr>
        <w:spacing w:after="120" w:line="276"/>
        <w:jc w:val="both"/>
      </w:pPr>
      <w:r>
        <w:rPr>
          <w:rFonts w:ascii="Barlow Semi Condensed" w:cs="Barlow Semi Condensed" w:eastAsia="Barlow Semi Condensed" w:hAnsi="Barlow Semi Condensed"/>
          <w:b/>
          <w:bCs/>
          <w:sz w:val="24"/>
          <w:szCs w:val="24"/>
        </w:rPr>
        <w:t xml:space="preserve">761 · I quesiti scientifici aperti, pubblicati.</w:t>
      </w:r>
      <w:r>
        <w:rPr>
          <w:rFonts w:ascii="Barlow Semi Condensed" w:cs="Barlow Semi Condensed" w:eastAsia="Barlow Semi Condensed" w:hAnsi="Barlow Semi Condensed"/>
          <w:sz w:val="24"/>
          <w:szCs w:val="24"/>
        </w:rPr>
        <w:t xml:space="preserve"> La trasparenza dei bisogni: la lista pubblica dei quesiti tecnici aperti del caso — perché laboratori e ricercatori sappiano dove servono. La domanda pubblicata attira l'offerta giusta: è mercato della conoscenza, ben regolato.</w:t>
      </w:r>
    </w:p>
    <w:p>
      <w:pPr>
        <w:spacing w:after="120" w:line="276"/>
        <w:jc w:val="both"/>
      </w:pPr>
      <w:r>
        <w:rPr>
          <w:rFonts w:ascii="Barlow Semi Condensed" w:cs="Barlow Semi Condensed" w:eastAsia="Barlow Semi Condensed" w:hAnsi="Barlow Semi Condensed"/>
          <w:b/>
          <w:bCs/>
          <w:sz w:val="24"/>
          <w:szCs w:val="24"/>
        </w:rPr>
        <w:t xml:space="preserve">762 · Le tesi di laurea sul caso tecnico.</w:t>
      </w:r>
      <w:r>
        <w:rPr>
          <w:rFonts w:ascii="Barlow Semi Condensed" w:cs="Barlow Semi Condensed" w:eastAsia="Barlow Semi Condensed" w:hAnsi="Barlow Semi Condensed"/>
          <w:sz w:val="24"/>
          <w:szCs w:val="24"/>
        </w:rPr>
        <w:t xml:space="preserve"> Il vivaio: i quesiti minori affidati a tesi e dottorati (con dati pubblici e supervisione) — il raccordo col blocco 315. Ogni tesi ben fatta è un mattone gratuito del cantiere: l'università è un alleato strutturale.</w:t>
      </w:r>
    </w:p>
    <w:p>
      <w:pPr>
        <w:spacing w:after="120" w:line="276"/>
        <w:jc w:val="both"/>
      </w:pPr>
      <w:r>
        <w:rPr>
          <w:rFonts w:ascii="Barlow Semi Condensed" w:cs="Barlow Semi Condensed" w:eastAsia="Barlow Semi Condensed" w:hAnsi="Barlow Semi Condensed"/>
          <w:b/>
          <w:bCs/>
          <w:sz w:val="24"/>
          <w:szCs w:val="24"/>
        </w:rPr>
        <w:t xml:space="preserve">763 · La biblioteca tecnica del caso.</w:t>
      </w:r>
      <w:r>
        <w:rPr>
          <w:rFonts w:ascii="Barlow Semi Condensed" w:cs="Barlow Semi Condensed" w:eastAsia="Barlow Semi Condensed" w:hAnsi="Barlow Semi Condensed"/>
          <w:sz w:val="24"/>
          <w:szCs w:val="24"/>
        </w:rPr>
        <w:t xml:space="preserve"> Lo strumento documentale: la bibliografia scientifica integrale del caso (ogni articolo, perizia pubblicata, atto tecnico) indicizzata e mantenuta. La scienza del caso ha una letteratura sparsa: la biblioteca la riunisce — ed è essa stessa un prodotto citabile.</w:t>
      </w:r>
    </w:p>
    <w:p>
      <w:pPr>
        <w:spacing w:after="120" w:line="276"/>
        <w:jc w:val="both"/>
      </w:pPr>
      <w:r>
        <w:rPr>
          <w:rFonts w:ascii="Barlow Semi Condensed" w:cs="Barlow Semi Condensed" w:eastAsia="Barlow Semi Condensed" w:hAnsi="Barlow Semi Condensed"/>
          <w:b/>
          <w:bCs/>
          <w:sz w:val="24"/>
          <w:szCs w:val="24"/>
        </w:rPr>
        <w:t xml:space="preserve">764 · La sintesi delle frontiere.</w:t>
      </w:r>
      <w:r>
        <w:rPr>
          <w:rFonts w:ascii="Barlow Semi Condensed" w:cs="Barlow Semi Condensed" w:eastAsia="Barlow Semi Condensed" w:hAnsi="Barlow Semi Condensed"/>
          <w:sz w:val="24"/>
          <w:szCs w:val="24"/>
        </w:rPr>
        <w:t xml:space="preserve"> Il prodotto della sezione: la relazione sull'orizzonte — le tecniche mature, le promettenti, le escluse — aggiornata annualmente col parere del collegio. Il futuro tecnico del caso, governato: né rincorsa delle mode né immobilismo.</w:t>
      </w:r>
    </w:p>
    <w:p>
      <w:pPr>
        <w:spacing w:after="120" w:line="276"/>
        <w:jc w:val="both"/>
      </w:pPr>
      <w:r>
        <w:rPr>
          <w:rFonts w:ascii="Barlow Semi Condensed" w:cs="Barlow Semi Condensed" w:eastAsia="Barlow Semi Condensed" w:hAnsi="Barlow Semi Condensed"/>
          <w:b/>
          <w:bCs/>
          <w:sz w:val="24"/>
          <w:szCs w:val="24"/>
        </w:rPr>
        <w:t xml:space="preserve">765 · La tavola delle scienze emergenti.</w:t>
      </w:r>
      <w:r>
        <w:rPr>
          <w:rFonts w:ascii="Barlow Semi Condensed" w:cs="Barlow Semi Condensed" w:eastAsia="Barlow Semi Condensed" w:hAnsi="Barlow Semi Condensed"/>
          <w:sz w:val="24"/>
          <w:szCs w:val="24"/>
        </w:rPr>
        <w:t xml:space="preserve"> La chiusura della sezione: i pareri resi, l'orizzonte sorvegliato, il perimetro negativo pubblicato. Le scienze di domani hanno il loro posto apparecchiato — e le loro regole già scritte.</w:t>
      </w:r>
    </w:p>
    <w:p>
      <w:pPr>
        <w:pStyle w:val="Heading3"/>
        <w:spacing w:after="80" w:before="160"/>
      </w:pPr>
      <w:r>
        <w:rPr>
          <w:rFonts w:ascii="Barlow Semi Condensed" w:cs="Barlow Semi Condensed" w:eastAsia="Barlow Semi Condensed" w:hAnsi="Barlow Semi Condensed"/>
          <w:sz w:val="24"/>
          <w:szCs w:val="24"/>
        </w:rPr>
        <w:t xml:space="preserve">Il ponte scienza-giustizia-storia (blocchi 766-790)</w:t>
      </w:r>
    </w:p>
    <w:p>
      <w:pPr>
        <w:spacing w:after="120" w:line="276"/>
        <w:jc w:val="both"/>
      </w:pPr>
      <w:r>
        <w:rPr>
          <w:rFonts w:ascii="Barlow Semi Condensed" w:cs="Barlow Semi Condensed" w:eastAsia="Barlow Semi Condensed" w:hAnsi="Barlow Semi Condensed"/>
          <w:b/>
          <w:bCs/>
          <w:sz w:val="24"/>
          <w:szCs w:val="24"/>
        </w:rPr>
        <w:t xml:space="preserve">766 · I tre tavoli.</w:t>
      </w:r>
      <w:r>
        <w:rPr>
          <w:rFonts w:ascii="Barlow Semi Condensed" w:cs="Barlow Semi Condensed" w:eastAsia="Barlow Semi Condensed" w:hAnsi="Barlow Semi Condensed"/>
          <w:sz w:val="24"/>
          <w:szCs w:val="24"/>
        </w:rPr>
        <w:t xml:space="preserve"> Il quadro della sezione: gli esiti scientifici del caso vivono su tre tavoli — quello giudiziario (dove decide il giudice), quello storico (dove decide il documento), quello pubblico (dove decide la qualità della comunicazione). La sezione governa i passaggi fra i tre: ogni esito sa a quale tavolo siede e con quali regole.</w:t>
      </w:r>
    </w:p>
    <w:p>
      <w:pPr>
        <w:spacing w:after="120" w:line="276"/>
        <w:jc w:val="both"/>
      </w:pPr>
      <w:r>
        <w:rPr>
          <w:rFonts w:ascii="Barlow Semi Condensed" w:cs="Barlow Semi Condensed" w:eastAsia="Barlow Semi Condensed" w:hAnsi="Barlow Semi Condensed"/>
          <w:b/>
          <w:bCs/>
          <w:sz w:val="24"/>
          <w:szCs w:val="24"/>
        </w:rPr>
        <w:t xml:space="preserve">767 · Il primato del fascicolo.</w:t>
      </w:r>
      <w:r>
        <w:rPr>
          <w:rFonts w:ascii="Barlow Semi Condensed" w:cs="Barlow Semi Condensed" w:eastAsia="Barlow Semi Condensed" w:hAnsi="Barlow Semi Condensed"/>
          <w:sz w:val="24"/>
          <w:szCs w:val="24"/>
        </w:rPr>
        <w:t xml:space="preserve"> La regola del primo tavolo (il blocco 291 dell'agenda, elevato a principio): ogni esito con rilievo penale va all'autorità prima d'ogni uso; il cantiere non pubblica ciò che può inquinare. La conoscenza aspetta la giustizia: è l'ordine giusto, ed è scritto.</w:t>
      </w:r>
    </w:p>
    <w:p>
      <w:pPr>
        <w:spacing w:after="120" w:line="276"/>
        <w:jc w:val="both"/>
      </w:pPr>
      <w:r>
        <w:rPr>
          <w:rFonts w:ascii="Barlow Semi Condensed" w:cs="Barlow Semi Condensed" w:eastAsia="Barlow Semi Condensed" w:hAnsi="Barlow Semi Condensed"/>
          <w:b/>
          <w:bCs/>
          <w:sz w:val="24"/>
          <w:szCs w:val="24"/>
        </w:rPr>
        <w:t xml:space="preserve">768 · Lo storico e il perito.</w:t>
      </w:r>
      <w:r>
        <w:rPr>
          <w:rFonts w:ascii="Barlow Semi Condensed" w:cs="Barlow Semi Condensed" w:eastAsia="Barlow Semi Condensed" w:hAnsi="Barlow Semi Condensed"/>
          <w:sz w:val="24"/>
          <w:szCs w:val="24"/>
        </w:rPr>
        <w:t xml:space="preserve"> La regola del secondo tavolo: gli esiti scientifici entrano nel corpus storico coi gradi — un match è B da atto, una compatibilità è C, un'esclusione documentata è un fatto. La scienza non ha corsie preferenziali nella disciplina: si pesa come ogni fonte, col suo statuto.</w:t>
      </w:r>
    </w:p>
    <w:p>
      <w:pPr>
        <w:spacing w:after="120" w:line="276"/>
        <w:jc w:val="both"/>
      </w:pPr>
      <w:r>
        <w:rPr>
          <w:rFonts w:ascii="Barlow Semi Condensed" w:cs="Barlow Semi Condensed" w:eastAsia="Barlow Semi Condensed" w:hAnsi="Barlow Semi Condensed"/>
          <w:b/>
          <w:bCs/>
          <w:sz w:val="24"/>
          <w:szCs w:val="24"/>
        </w:rPr>
        <w:t xml:space="preserve">769 · Il pubblico e i numeri.</w:t>
      </w:r>
      <w:r>
        <w:rPr>
          <w:rFonts w:ascii="Barlow Semi Condensed" w:cs="Barlow Semi Condensed" w:eastAsia="Barlow Semi Condensed" w:hAnsi="Barlow Semi Condensed"/>
          <w:sz w:val="24"/>
          <w:szCs w:val="24"/>
        </w:rPr>
        <w:t xml:space="preserve"> La regola del terzo tavolo: la comunicazione degli esiti con le formulazioni probabilistiche corrette (il prontuario del blocco 732) e i limiti sempre detti. Il pubblico merita la scienza vera, non la sua caricatura entusiasta: la qualità della divulgazione è parte del metodo.</w:t>
      </w:r>
    </w:p>
    <w:p>
      <w:pPr>
        <w:spacing w:after="120" w:line="276"/>
        <w:jc w:val="both"/>
      </w:pPr>
      <w:r>
        <w:rPr>
          <w:rFonts w:ascii="Barlow Semi Condensed" w:cs="Barlow Semi Condensed" w:eastAsia="Barlow Semi Condensed" w:hAnsi="Barlow Semi Condensed"/>
          <w:b/>
          <w:bCs/>
          <w:sz w:val="24"/>
          <w:szCs w:val="24"/>
        </w:rPr>
        <w:t xml:space="preserve">770 · Il tempo dei tre tavoli.</w:t>
      </w:r>
      <w:r>
        <w:rPr>
          <w:rFonts w:ascii="Barlow Semi Condensed" w:cs="Barlow Semi Condensed" w:eastAsia="Barlow Semi Condensed" w:hAnsi="Barlow Semi Condensed"/>
          <w:sz w:val="24"/>
          <w:szCs w:val="24"/>
        </w:rPr>
        <w:t xml:space="preserve"> La sincronizzazione: i tempi giudiziari, storici e pubblici non coincidono — la regola di precedenza (giustizia, poi storia, poi comunicazione) con le eccezioni scritte (gli atti già pubblici). Il cantiere non corre mai più veloce del tavolo più lento che ha diritto di precedenza.</w:t>
      </w:r>
    </w:p>
    <w:p>
      <w:pPr>
        <w:spacing w:after="120" w:line="276"/>
        <w:jc w:val="both"/>
      </w:pPr>
      <w:r>
        <w:rPr>
          <w:rFonts w:ascii="Barlow Semi Condensed" w:cs="Barlow Semi Condensed" w:eastAsia="Barlow Semi Condensed" w:hAnsi="Barlow Semi Condensed"/>
          <w:b/>
          <w:bCs/>
          <w:sz w:val="24"/>
          <w:szCs w:val="24"/>
        </w:rPr>
        <w:t xml:space="preserve">771 · L'errore scientifico, ammesso.</w:t>
      </w:r>
      <w:r>
        <w:rPr>
          <w:rFonts w:ascii="Barlow Semi Condensed" w:cs="Barlow Semi Condensed" w:eastAsia="Barlow Semi Condensed" w:hAnsi="Barlow Semi Condensed"/>
          <w:sz w:val="24"/>
          <w:szCs w:val="24"/>
        </w:rPr>
        <w:t xml:space="preserve"> La procedura dell'errore: quando un esito del cantiere si rivela errato — la correzione per nota, la comunicazione della correzione con la stessa evidenza dell'annuncio, il registro dei quasi-errori (il manuale, serie tredicesima). La scienza si distingue non perché non sbaglia, ma per come corregge: il caso merita questa distinzione.</w:t>
      </w:r>
    </w:p>
    <w:p>
      <w:pPr>
        <w:spacing w:after="120" w:line="276"/>
        <w:jc w:val="both"/>
      </w:pPr>
      <w:r>
        <w:rPr>
          <w:rFonts w:ascii="Barlow Semi Condensed" w:cs="Barlow Semi Condensed" w:eastAsia="Barlow Semi Condensed" w:hAnsi="Barlow Semi Condensed"/>
          <w:b/>
          <w:bCs/>
          <w:sz w:val="24"/>
          <w:szCs w:val="24"/>
        </w:rPr>
        <w:t xml:space="preserve">772 · Le aspettative delle famiglie.</w:t>
      </w:r>
      <w:r>
        <w:rPr>
          <w:rFonts w:ascii="Barlow Semi Condensed" w:cs="Barlow Semi Condensed" w:eastAsia="Barlow Semi Condensed" w:hAnsi="Barlow Semi Condensed"/>
          <w:sz w:val="24"/>
          <w:szCs w:val="24"/>
        </w:rPr>
        <w:t xml:space="preserve"> La regola più delicata: la comunicazione con le famiglie delle vittime sugli esami e sugli esiti — prima del pubblico, con verità e misura, senza alimentare attese che la casistica non autorizza. La scienza del caso lavora davanti a un dolore reale: lo sa a ogni provetta.</w:t>
      </w:r>
    </w:p>
    <w:p>
      <w:pPr>
        <w:spacing w:after="120" w:line="276"/>
        <w:jc w:val="both"/>
      </w:pPr>
      <w:r>
        <w:rPr>
          <w:rFonts w:ascii="Barlow Semi Condensed" w:cs="Barlow Semi Condensed" w:eastAsia="Barlow Semi Condensed" w:hAnsi="Barlow Semi Condensed"/>
          <w:b/>
          <w:bCs/>
          <w:sz w:val="24"/>
          <w:szCs w:val="24"/>
        </w:rPr>
        <w:t xml:space="preserve">773 · Il diritto di critica organizzato.</w:t>
      </w:r>
      <w:r>
        <w:rPr>
          <w:rFonts w:ascii="Barlow Semi Condensed" w:cs="Barlow Semi Condensed" w:eastAsia="Barlow Semi Condensed" w:hAnsi="Barlow Semi Condensed"/>
          <w:sz w:val="24"/>
          <w:szCs w:val="24"/>
        </w:rPr>
        <w:t xml:space="preserve"> L'apertura strutturale: ogni esito tecnico esposto alla critica qualificata (i dati aperti, le seconde opinioni, la contro-agenda) — con un canale formale per le contestazioni e risposte pubbliche. La critica non si subisce: si organizza — è il contraddittorio permanente della parte.</w:t>
      </w:r>
    </w:p>
    <w:p>
      <w:pPr>
        <w:spacing w:after="120" w:line="276"/>
        <w:jc w:val="both"/>
      </w:pPr>
      <w:r>
        <w:rPr>
          <w:rFonts w:ascii="Barlow Semi Condensed" w:cs="Barlow Semi Condensed" w:eastAsia="Barlow Semi Condensed" w:hAnsi="Barlow Semi Condensed"/>
          <w:b/>
          <w:bCs/>
          <w:sz w:val="24"/>
          <w:szCs w:val="24"/>
        </w:rPr>
        <w:t xml:space="preserve">774 · La scienza negli anniversari.</w:t>
      </w:r>
      <w:r>
        <w:rPr>
          <w:rFonts w:ascii="Barlow Semi Condensed" w:cs="Barlow Semi Condensed" w:eastAsia="Barlow Semi Condensed" w:hAnsi="Barlow Semi Condensed"/>
          <w:sz w:val="24"/>
          <w:szCs w:val="24"/>
        </w:rPr>
        <w:t xml:space="preserve"> La regola di calendario: gli anniversari non dettano i tempi della scienza — nessun esito «per il cinquantenario», nessuna scadenza commemorativa sugli esami. Il 2028 verrà: troverà il cantiere al suo passo, non il cantiere in affanno per lui.</w:t>
      </w:r>
    </w:p>
    <w:p>
      <w:pPr>
        <w:spacing w:after="120" w:line="276"/>
        <w:jc w:val="both"/>
      </w:pPr>
      <w:r>
        <w:rPr>
          <w:rFonts w:ascii="Barlow Semi Condensed" w:cs="Barlow Semi Condensed" w:eastAsia="Barlow Semi Condensed" w:hAnsi="Barlow Semi Condensed"/>
          <w:b/>
          <w:bCs/>
          <w:sz w:val="24"/>
          <w:szCs w:val="24"/>
        </w:rPr>
        <w:t xml:space="preserve">775 · Il glossario pubblico.</w:t>
      </w:r>
      <w:r>
        <w:rPr>
          <w:rFonts w:ascii="Barlow Semi Condensed" w:cs="Barlow Semi Condensed" w:eastAsia="Barlow Semi Condensed" w:hAnsi="Barlow Semi Condensed"/>
          <w:sz w:val="24"/>
          <w:szCs w:val="24"/>
        </w:rPr>
        <w:t xml:space="preserve"> Lo strumento di traduzione: il glossario delle scienze del caso per non tecnici — i termini, le tecniche, i limiti, in lingua piana. Il dibattito pubblico sul caso usa parole tecniche a sproposito da decenni: il glossario è la bonifica lessicale.</w:t>
      </w:r>
    </w:p>
    <w:p>
      <w:pPr>
        <w:spacing w:after="120" w:line="276"/>
        <w:jc w:val="both"/>
      </w:pPr>
      <w:r>
        <w:rPr>
          <w:rFonts w:ascii="Barlow Semi Condensed" w:cs="Barlow Semi Condensed" w:eastAsia="Barlow Semi Condensed" w:hAnsi="Barlow Semi Condensed"/>
          <w:b/>
          <w:bCs/>
          <w:sz w:val="24"/>
          <w:szCs w:val="24"/>
        </w:rPr>
        <w:t xml:space="preserve">776 · Le scuole e la scienza del caso.</w:t>
      </w:r>
      <w:r>
        <w:rPr>
          <w:rFonts w:ascii="Barlow Semi Condensed" w:cs="Barlow Semi Condensed" w:eastAsia="Barlow Semi Condensed" w:hAnsi="Barlow Semi Condensed"/>
          <w:sz w:val="24"/>
          <w:szCs w:val="24"/>
        </w:rPr>
        <w:t xml:space="preserve"> La didattica: i materiali della parte in versione scolastica — come si interroga un reperto, perché l'assolto resta assolto anche col DNA, che cosa può e non può dire un laboratorio. L'educazione scientifica incontra l'educazione civica: il caso le può insegnare insieme.</w:t>
      </w:r>
    </w:p>
    <w:p>
      <w:pPr>
        <w:spacing w:after="120" w:line="276"/>
        <w:jc w:val="both"/>
      </w:pPr>
      <w:r>
        <w:rPr>
          <w:rFonts w:ascii="Barlow Semi Condensed" w:cs="Barlow Semi Condensed" w:eastAsia="Barlow Semi Condensed" w:hAnsi="Barlow Semi Condensed"/>
          <w:b/>
          <w:bCs/>
          <w:sz w:val="24"/>
          <w:szCs w:val="24"/>
        </w:rPr>
        <w:t xml:space="preserve">777 · Il museo della scienza del caso.</w:t>
      </w:r>
      <w:r>
        <w:rPr>
          <w:rFonts w:ascii="Barlow Semi Condensed" w:cs="Barlow Semi Condensed" w:eastAsia="Barlow Semi Condensed" w:hAnsi="Barlow Semi Condensed"/>
          <w:sz w:val="24"/>
          <w:szCs w:val="24"/>
        </w:rPr>
        <w:t xml:space="preserve"> Il progetto espositivo tecnico: la storia peritale del caso (gli strumenti d'epoca, le tre stagioni balistiche, la genetica) come percorso museale documentato — con l'etica del blocco 600. La scienza del caso ha una storia che merita d'essere vista: raccontarla è restituzione.</w:t>
      </w:r>
    </w:p>
    <w:p>
      <w:pPr>
        <w:spacing w:after="120" w:line="276"/>
        <w:jc w:val="both"/>
      </w:pPr>
      <w:r>
        <w:rPr>
          <w:rFonts w:ascii="Barlow Semi Condensed" w:cs="Barlow Semi Condensed" w:eastAsia="Barlow Semi Condensed" w:hAnsi="Barlow Semi Condensed"/>
          <w:b/>
          <w:bCs/>
          <w:sz w:val="24"/>
          <w:szCs w:val="24"/>
        </w:rPr>
        <w:t xml:space="preserve">778 · La memoria dei periti.</w:t>
      </w:r>
      <w:r>
        <w:rPr>
          <w:rFonts w:ascii="Barlow Semi Condensed" w:cs="Barlow Semi Condensed" w:eastAsia="Barlow Semi Condensed" w:hAnsi="Barlow Semi Condensed"/>
          <w:sz w:val="24"/>
          <w:szCs w:val="24"/>
        </w:rPr>
        <w:t xml:space="preserve"> L'archivio umano della scienza del caso: le interviste conservative ai protagonisti tecnici (il blocco 710, esteso) e il deposito delle loro carte (il blocco 290 della Parte terza). La scienza del caso ha i suoi testimoni: si raccolgono con la stessa urgenza degli altri.</w:t>
      </w:r>
    </w:p>
    <w:p>
      <w:pPr>
        <w:spacing w:after="120" w:line="276"/>
        <w:jc w:val="both"/>
      </w:pPr>
      <w:r>
        <w:rPr>
          <w:rFonts w:ascii="Barlow Semi Condensed" w:cs="Barlow Semi Condensed" w:eastAsia="Barlow Semi Condensed" w:hAnsi="Barlow Semi Condensed"/>
          <w:b/>
          <w:bCs/>
          <w:sz w:val="24"/>
          <w:szCs w:val="24"/>
        </w:rPr>
        <w:t xml:space="preserve">779 · Il codice etico della parte.</w:t>
      </w:r>
      <w:r>
        <w:rPr>
          <w:rFonts w:ascii="Barlow Semi Condensed" w:cs="Barlow Semi Condensed" w:eastAsia="Barlow Semi Condensed" w:hAnsi="Barlow Semi Condensed"/>
          <w:sz w:val="24"/>
          <w:szCs w:val="24"/>
        </w:rPr>
        <w:t xml:space="preserve"> La sintesi deontologica: il codice etico delle scienze del caso — il rispetto (vittime, viventi, defunti), la trasparenza (metodi, errori, costi), il limite (ciò che non si fa) — sottoscritto da ogni collaboratore tecnico. Un foglio, dieci regole, nessuna eccezione.</w:t>
      </w:r>
    </w:p>
    <w:p>
      <w:pPr>
        <w:spacing w:after="120" w:line="276"/>
        <w:jc w:val="both"/>
      </w:pPr>
      <w:r>
        <w:rPr>
          <w:rFonts w:ascii="Barlow Semi Condensed" w:cs="Barlow Semi Condensed" w:eastAsia="Barlow Semi Condensed" w:hAnsi="Barlow Semi Condensed"/>
          <w:b/>
          <w:bCs/>
          <w:sz w:val="24"/>
          <w:szCs w:val="24"/>
        </w:rPr>
        <w:t xml:space="preserve">780 · Il rapporto con la stampa scientifica.</w:t>
      </w:r>
      <w:r>
        <w:rPr>
          <w:rFonts w:ascii="Barlow Semi Condensed" w:cs="Barlow Semi Condensed" w:eastAsia="Barlow Semi Condensed" w:hAnsi="Barlow Semi Condensed"/>
          <w:sz w:val="24"/>
          <w:szCs w:val="24"/>
        </w:rPr>
        <w:t xml:space="preserve"> Il canale dedicato: i rapporti con il giornalismo scientifico di qualità — briefing tecnici, accesso ai dati aperti, correzioni rapide degli errori di stampa. Il giornalismo scientifico è un alleato della precisione: il cantiere lo tratta da tale.</w:t>
      </w:r>
    </w:p>
    <w:p>
      <w:pPr>
        <w:spacing w:after="120" w:line="276"/>
        <w:jc w:val="both"/>
      </w:pPr>
      <w:r>
        <w:rPr>
          <w:rFonts w:ascii="Barlow Semi Condensed" w:cs="Barlow Semi Condensed" w:eastAsia="Barlow Semi Condensed" w:hAnsi="Barlow Semi Condensed"/>
          <w:b/>
          <w:bCs/>
          <w:sz w:val="24"/>
          <w:szCs w:val="24"/>
        </w:rPr>
        <w:t xml:space="preserve">781 · Le scienze e la contro-agenda.</w:t>
      </w:r>
      <w:r>
        <w:rPr>
          <w:rFonts w:ascii="Barlow Semi Condensed" w:cs="Barlow Semi Condensed" w:eastAsia="Barlow Semi Condensed" w:hAnsi="Barlow Semi Condensed"/>
          <w:sz w:val="24"/>
          <w:szCs w:val="24"/>
        </w:rPr>
        <w:t xml:space="preserve"> L'estensione del blocco 234 dell'agenda: i sostenitori di tesi alternative invitati a formulare bersagli tecnici falsificabili — quale esame, su quale reperto, con quale esito atteso. La scienza è il terreno più onesto per le tesi rivali: o si misurano, o si dichiarano da sole.</w:t>
      </w:r>
    </w:p>
    <w:p>
      <w:pPr>
        <w:spacing w:after="120" w:line="276"/>
        <w:jc w:val="both"/>
      </w:pPr>
      <w:r>
        <w:rPr>
          <w:rFonts w:ascii="Barlow Semi Condensed" w:cs="Barlow Semi Condensed" w:eastAsia="Barlow Semi Condensed" w:hAnsi="Barlow Semi Condensed"/>
          <w:b/>
          <w:bCs/>
          <w:sz w:val="24"/>
          <w:szCs w:val="24"/>
        </w:rPr>
        <w:t xml:space="preserve">782 · Il registro delle promesse.</w:t>
      </w:r>
      <w:r>
        <w:rPr>
          <w:rFonts w:ascii="Barlow Semi Condensed" w:cs="Barlow Semi Condensed" w:eastAsia="Barlow Semi Condensed" w:hAnsi="Barlow Semi Condensed"/>
          <w:sz w:val="24"/>
          <w:szCs w:val="24"/>
        </w:rPr>
        <w:t xml:space="preserve"> La contabilità dell'onestà: ogni previsione pubblica del cantiere tecnico (tempi, probabilità di esito) registrata e verificata a consuntivo. Il cantiere si misura anche sulle sue promesse: è la forma scientifica della credibilità.</w:t>
      </w:r>
    </w:p>
    <w:p>
      <w:pPr>
        <w:spacing w:after="120" w:line="276"/>
        <w:jc w:val="both"/>
      </w:pPr>
      <w:r>
        <w:rPr>
          <w:rFonts w:ascii="Barlow Semi Condensed" w:cs="Barlow Semi Condensed" w:eastAsia="Barlow Semi Condensed" w:hAnsi="Barlow Semi Condensed"/>
          <w:b/>
          <w:bCs/>
          <w:sz w:val="24"/>
          <w:szCs w:val="24"/>
        </w:rPr>
        <w:t xml:space="preserve">783 · La ridondanza dei dati tecnici.</w:t>
      </w:r>
      <w:r>
        <w:rPr>
          <w:rFonts w:ascii="Barlow Semi Condensed" w:cs="Barlow Semi Condensed" w:eastAsia="Barlow Semi Condensed" w:hAnsi="Barlow Semi Condensed"/>
          <w:sz w:val="24"/>
          <w:szCs w:val="24"/>
        </w:rPr>
        <w:t xml:space="preserve"> La conservazione degli esiti: ogni dato tecnico del caso in copie ridondanti e formati aperti, con migrazione programmata (il raccordo col blocco 656). I dati della scienza del caso non devono poter morire con un disco: è la regola del sensibile, estesa ai numeri.</w:t>
      </w:r>
    </w:p>
    <w:p>
      <w:pPr>
        <w:spacing w:after="120" w:line="276"/>
        <w:jc w:val="both"/>
      </w:pPr>
      <w:r>
        <w:rPr>
          <w:rFonts w:ascii="Barlow Semi Condensed" w:cs="Barlow Semi Condensed" w:eastAsia="Barlow Semi Condensed" w:hAnsi="Barlow Semi Condensed"/>
          <w:b/>
          <w:bCs/>
          <w:sz w:val="24"/>
          <w:szCs w:val="24"/>
        </w:rPr>
        <w:t xml:space="preserve">784 · L'interdisciplina come regola.</w:t>
      </w:r>
      <w:r>
        <w:rPr>
          <w:rFonts w:ascii="Barlow Semi Condensed" w:cs="Barlow Semi Condensed" w:eastAsia="Barlow Semi Condensed" w:hAnsi="Barlow Semi Condensed"/>
          <w:sz w:val="24"/>
          <w:szCs w:val="24"/>
        </w:rPr>
        <w:t xml:space="preserve"> Il metodo trasversale: ogni quesito tecnico maggiore trattato da almeno due discipline (la balistica con la geometria, la genetica con la statistica, la chimica con la storia dei materiali). Le discipline sole si innamorano dei propri strumenti: in coppia, si sorvegliano.</w:t>
      </w:r>
    </w:p>
    <w:p>
      <w:pPr>
        <w:spacing w:after="120" w:line="276"/>
        <w:jc w:val="both"/>
      </w:pPr>
      <w:r>
        <w:rPr>
          <w:rFonts w:ascii="Barlow Semi Condensed" w:cs="Barlow Semi Condensed" w:eastAsia="Barlow Semi Condensed" w:hAnsi="Barlow Semi Condensed"/>
          <w:b/>
          <w:bCs/>
          <w:sz w:val="24"/>
          <w:szCs w:val="24"/>
        </w:rPr>
        <w:t xml:space="preserve">785 · Il quesito tecnico ben posto.</w:t>
      </w:r>
      <w:r>
        <w:rPr>
          <w:rFonts w:ascii="Barlow Semi Condensed" w:cs="Barlow Semi Condensed" w:eastAsia="Barlow Semi Condensed" w:hAnsi="Barlow Semi Condensed"/>
          <w:sz w:val="24"/>
          <w:szCs w:val="24"/>
        </w:rPr>
        <w:t xml:space="preserve"> L'arte finale: la formulazione dei quesiti agli esperti — specifici, falsificabili, senza risposta suggerita (la lezione delle guerre peritali, blocco 733). Metà degli errori forensi della storia del caso nacque da quesiti mal posti: il cantiere li scrive come si scrivono i teoremi.</w:t>
      </w:r>
    </w:p>
    <w:p>
      <w:pPr>
        <w:spacing w:after="120" w:line="276"/>
        <w:jc w:val="both"/>
      </w:pPr>
      <w:r>
        <w:rPr>
          <w:rFonts w:ascii="Barlow Semi Condensed" w:cs="Barlow Semi Condensed" w:eastAsia="Barlow Semi Condensed" w:hAnsi="Barlow Semi Condensed"/>
          <w:b/>
          <w:bCs/>
          <w:sz w:val="24"/>
          <w:szCs w:val="24"/>
        </w:rPr>
        <w:t xml:space="preserve">786 · La scienza che chiude.</w:t>
      </w:r>
      <w:r>
        <w:rPr>
          <w:rFonts w:ascii="Barlow Semi Condensed" w:cs="Barlow Semi Condensed" w:eastAsia="Barlow Semi Condensed" w:hAnsi="Barlow Semi Condensed"/>
          <w:sz w:val="24"/>
          <w:szCs w:val="24"/>
        </w:rPr>
        <w:t xml:space="preserve"> Il criterio di chiusura tecnica: quando un quesito scientifico del caso si dice chiuso — l'esito replicato, il contraddittorio esaurito, il registro aggiornato. Anche la scienza ha i suoi stati terminali: dichiararli è ciò che distingue un cantiere da un dibattito infinito.</w:t>
      </w:r>
    </w:p>
    <w:p>
      <w:pPr>
        <w:spacing w:after="120" w:line="276"/>
        <w:jc w:val="both"/>
      </w:pPr>
      <w:r>
        <w:rPr>
          <w:rFonts w:ascii="Barlow Semi Condensed" w:cs="Barlow Semi Condensed" w:eastAsia="Barlow Semi Condensed" w:hAnsi="Barlow Semi Condensed"/>
          <w:b/>
          <w:bCs/>
          <w:sz w:val="24"/>
          <w:szCs w:val="24"/>
        </w:rPr>
        <w:t xml:space="preserve">787 · I vuoti della scienza.</w:t>
      </w:r>
      <w:r>
        <w:rPr>
          <w:rFonts w:ascii="Barlow Semi Condensed" w:cs="Barlow Semi Condensed" w:eastAsia="Barlow Semi Condensed" w:hAnsi="Barlow Semi Condensed"/>
          <w:sz w:val="24"/>
          <w:szCs w:val="24"/>
        </w:rPr>
        <w:t xml:space="preserve"> Il verbale dei vuoti della parte: gli esami impossibili (reperti distrutti, tecniche inesistenti), i quesiti tecnicamente indecidibili — lo Stato Zero scientifico, dichiarato. La scienza del caso sa dire «non si può sapere»: è la sua frase più professionale.</w:t>
      </w:r>
    </w:p>
    <w:p>
      <w:pPr>
        <w:spacing w:after="120" w:line="276"/>
        <w:jc w:val="both"/>
      </w:pPr>
      <w:r>
        <w:rPr>
          <w:rFonts w:ascii="Barlow Semi Condensed" w:cs="Barlow Semi Condensed" w:eastAsia="Barlow Semi Condensed" w:hAnsi="Barlow Semi Condensed"/>
          <w:b/>
          <w:bCs/>
          <w:sz w:val="24"/>
          <w:szCs w:val="24"/>
        </w:rPr>
        <w:t xml:space="preserve">788 · La sintesi della parte.</w:t>
      </w:r>
      <w:r>
        <w:rPr>
          <w:rFonts w:ascii="Barlow Semi Condensed" w:cs="Barlow Semi Condensed" w:eastAsia="Barlow Semi Condensed" w:hAnsi="Barlow Semi Condensed"/>
          <w:sz w:val="24"/>
          <w:szCs w:val="24"/>
        </w:rPr>
        <w:t xml:space="preserve"> Il prodotto d'insieme: lo stato dell'arte scientifico del caso — il diritto, i laboratori, i precedenti, le frontiere, i tre tavoli — in relazione pubblica annuale. La scienza del caso, governata come un'istituzione: era la promessa dello statuto, ed è la consegna.</w:t>
      </w:r>
    </w:p>
    <w:p>
      <w:pPr>
        <w:spacing w:after="120" w:line="276"/>
        <w:jc w:val="both"/>
      </w:pPr>
      <w:r>
        <w:rPr>
          <w:rFonts w:ascii="Barlow Semi Condensed" w:cs="Barlow Semi Condensed" w:eastAsia="Barlow Semi Condensed" w:hAnsi="Barlow Semi Condensed"/>
          <w:b/>
          <w:bCs/>
          <w:sz w:val="24"/>
          <w:szCs w:val="24"/>
        </w:rPr>
        <w:t xml:space="preserve">789 · Il lascito scientifico.</w:t>
      </w:r>
      <w:r>
        <w:rPr>
          <w:rFonts w:ascii="Barlow Semi Condensed" w:cs="Barlow Semi Condensed" w:eastAsia="Barlow Semi Condensed" w:hAnsi="Barlow Semi Condensed"/>
          <w:sz w:val="24"/>
          <w:szCs w:val="24"/>
        </w:rPr>
        <w:t xml:space="preserve"> L'eredità della parte: i protocolli, i registri, il capitolato e il codice etico versati come modello per i cold case italiani (il blocco 737, eseguito). Il caso restituisce al sistema ciò che il sistema gli ha prestato: è il patto della parte con la Repubblica.</w:t>
      </w:r>
    </w:p>
    <w:p>
      <w:pPr>
        <w:spacing w:after="120" w:line="276"/>
        <w:jc w:val="both"/>
      </w:pPr>
      <w:r>
        <w:rPr>
          <w:rFonts w:ascii="Barlow Semi Condensed" w:cs="Barlow Semi Condensed" w:eastAsia="Barlow Semi Condensed" w:hAnsi="Barlow Semi Condensed"/>
          <w:b/>
          <w:bCs/>
          <w:sz w:val="24"/>
          <w:szCs w:val="24"/>
        </w:rPr>
        <w:t xml:space="preserve">790 · La tavola settima.</w:t>
      </w:r>
      <w:r>
        <w:rPr>
          <w:rFonts w:ascii="Barlow Semi Condensed" w:cs="Barlow Semi Condensed" w:eastAsia="Barlow Semi Condensed" w:hAnsi="Barlow Semi Condensed"/>
          <w:sz w:val="24"/>
          <w:szCs w:val="24"/>
        </w:rPr>
        <w:t xml:space="preserve"> La chiusura della parte: gli stati dei bersagli 661-789, i pareri resi, il collegio al lavoro, il fondo attivo. Il settimo cantiere consegna la sua contabilità — e la scienza del caso ha smesso di essere un elenco di speranze: è un'istituzione con le sue regole.</w:t>
      </w:r>
    </w:p>
    <w:p>
      <w:pPr>
        <w:pStyle w:val="Heading2"/>
        <w:spacing w:after="100" w:before="200"/>
      </w:pPr>
      <w:r>
        <w:rPr>
          <w:rFonts w:ascii="Barlow Semi Condensed" w:cs="Barlow Semi Condensed" w:eastAsia="Barlow Semi Condensed" w:hAnsi="Barlow Semi Condensed"/>
          <w:sz w:val="24"/>
          <w:szCs w:val="24"/>
        </w:rPr>
        <w:t xml:space="preserve">Parte ottava — Il registro del giudicato (blocchi 791-880)</w:t>
      </w:r>
    </w:p>
    <w:p>
      <w:pPr>
        <w:spacing w:after="120" w:line="276"/>
        <w:jc w:val="both"/>
      </w:pPr>
      <w:r>
        <w:rPr>
          <w:rFonts w:ascii="Barlow Semi Condensed" w:cs="Barlow Semi Condensed" w:eastAsia="Barlow Semi Condensed" w:hAnsi="Barlow Semi Condensed"/>
          <w:i/>
          <w:iCs/>
          <w:sz w:val="24"/>
          <w:szCs w:val="24"/>
        </w:rPr>
        <w:t xml:space="preserve">Statuto della parte: i nomi, solo dove la legge li ha scritti. Il registro del giudicato è l'unico luogo dell'opera dove le persone compaiono come responsabili — perché ve le hanno iscritte cinque processi definitivi, non una tesi. La parte porta il registro a profondità documentale: per ciascuno dei tredici, la scheda anagrafico-giudiziaria verificata, la parola pubblica censita, i bersagli di ricerca. La campagna di verifica condotta per quest'opera ha fissato gli stati con fonti: cinque sono deceduti (Gallinari, 14 gennaio 2013; Maccari, in carcere, 25 agosto 2001; Balzerani, 3 marzo 2024; Morucci, 1° gennaio 2025; Braghetti, con la notizia data il 6 novembre 2025), sei sono viventi in Italia a pena eseguita o in esecuzione, due sono oltre confine (Casimirri in Nicaragua, mai arrestato; Lojacono in Svizzera, cittadino elvetico). E la regola delle regole resta scolpita: gli assolti restano assolti — il caso Algranati è la pietra di paragone permanente — e nessun nome si aggiunge per suggestione: il registro cresce solo per nuovo giudicato.</w:t>
      </w:r>
    </w:p>
    <w:p>
      <w:pPr>
        <w:pStyle w:val="Heading3"/>
        <w:spacing w:after="80" w:before="160"/>
      </w:pPr>
      <w:r>
        <w:rPr>
          <w:rFonts w:ascii="Barlow Semi Condensed" w:cs="Barlow Semi Condensed" w:eastAsia="Barlow Semi Condensed" w:hAnsi="Barlow Semi Condensed"/>
          <w:sz w:val="24"/>
          <w:szCs w:val="24"/>
        </w:rPr>
        <w:t xml:space="preserve">Il registro come istituzione (blocchi 791-805)</w:t>
      </w:r>
    </w:p>
    <w:p>
      <w:pPr>
        <w:spacing w:after="120" w:line="276"/>
        <w:jc w:val="both"/>
      </w:pPr>
      <w:r>
        <w:rPr>
          <w:rFonts w:ascii="Barlow Semi Condensed" w:cs="Barlow Semi Condensed" w:eastAsia="Barlow Semi Condensed" w:hAnsi="Barlow Semi Condensed"/>
          <w:b/>
          <w:bCs/>
          <w:sz w:val="24"/>
          <w:szCs w:val="24"/>
        </w:rPr>
        <w:t xml:space="preserve">791 · La tavola dei cinque processi.</w:t>
      </w:r>
      <w:r>
        <w:rPr>
          <w:rFonts w:ascii="Barlow Semi Condensed" w:cs="Barlow Semi Condensed" w:eastAsia="Barlow Semi Condensed" w:hAnsi="Barlow Semi Condensed"/>
          <w:sz w:val="24"/>
          <w:szCs w:val="24"/>
        </w:rPr>
        <w:t xml:space="preserve"> Il primo strumento: la tavola dei cinque procedimenti romani (dal Moro-uno al Moro-quinquies) con date, imputati, esiti per grado — costruita dagli atti ora digitalizzati, con le date verificate come ancore (la Cassazione del Moro-quater, 14 maggio 1997; il primo grado del quinquies, 16 luglio 1996). Il pavimento del registro, finalmente in una pagina.</w:t>
      </w:r>
    </w:p>
    <w:p>
      <w:pPr>
        <w:spacing w:after="120" w:line="276"/>
        <w:jc w:val="both"/>
      </w:pPr>
      <w:r>
        <w:rPr>
          <w:rFonts w:ascii="Barlow Semi Condensed" w:cs="Barlow Semi Condensed" w:eastAsia="Barlow Semi Condensed" w:hAnsi="Barlow Semi Condensed"/>
          <w:b/>
          <w:bCs/>
          <w:sz w:val="24"/>
          <w:szCs w:val="24"/>
        </w:rPr>
        <w:t xml:space="preserve">792 · Le motivazioni integrali.</w:t>
      </w:r>
      <w:r>
        <w:rPr>
          <w:rFonts w:ascii="Barlow Semi Condensed" w:cs="Barlow Semi Condensed" w:eastAsia="Barlow Semi Condensed" w:hAnsi="Barlow Semi Condensed"/>
          <w:sz w:val="24"/>
          <w:szCs w:val="24"/>
        </w:rPr>
        <w:t xml:space="preserve"> La biblioteca del giudicato: le motivazioni integrali di ogni grado di ogni processo, raccolte e indicizzate (il raccordo col blocco 38 dell'agenda). Il registro non è un elenco di nomi: è un corpus di motivazioni — e chi cita una condanna senza la sua motivazione cita a metà.</w:t>
      </w:r>
    </w:p>
    <w:p>
      <w:pPr>
        <w:spacing w:after="120" w:line="276"/>
        <w:jc w:val="both"/>
      </w:pPr>
      <w:r>
        <w:rPr>
          <w:rFonts w:ascii="Barlow Semi Condensed" w:cs="Barlow Semi Condensed" w:eastAsia="Barlow Semi Condensed" w:hAnsi="Barlow Semi Condensed"/>
          <w:b/>
          <w:bCs/>
          <w:sz w:val="24"/>
          <w:szCs w:val="24"/>
        </w:rPr>
        <w:t xml:space="preserve">793 · Che cosa il giudicato dice, esattamente.</w:t>
      </w:r>
      <w:r>
        <w:rPr>
          <w:rFonts w:ascii="Barlow Semi Condensed" w:cs="Barlow Semi Condensed" w:eastAsia="Barlow Semi Condensed" w:hAnsi="Barlow Semi Condensed"/>
          <w:sz w:val="24"/>
          <w:szCs w:val="24"/>
        </w:rPr>
        <w:t xml:space="preserve"> La lettura filologica delle condanne: per ciascun condannato, che cosa esattamente i giudici hanno accertato (la condotta, il ruolo, il perimetro) — non la vulgata. La tavola condotta-per-condotta è l'antidoto al più comune degli errori: attribuire a un condannato più (o meno) di ciò che la sua sentenza dice.</w:t>
      </w:r>
    </w:p>
    <w:p>
      <w:pPr>
        <w:spacing w:after="120" w:line="276"/>
        <w:jc w:val="both"/>
      </w:pPr>
      <w:r>
        <w:rPr>
          <w:rFonts w:ascii="Barlow Semi Condensed" w:cs="Barlow Semi Condensed" w:eastAsia="Barlow Semi Condensed" w:hAnsi="Barlow Semi Condensed"/>
          <w:b/>
          <w:bCs/>
          <w:sz w:val="24"/>
          <w:szCs w:val="24"/>
        </w:rPr>
        <w:t xml:space="preserve">794 · I gradi dentro il registro.</w:t>
      </w:r>
      <w:r>
        <w:rPr>
          <w:rFonts w:ascii="Barlow Semi Condensed" w:cs="Barlow Semi Condensed" w:eastAsia="Barlow Semi Condensed" w:hAnsi="Barlow Semi Condensed"/>
          <w:sz w:val="24"/>
          <w:szCs w:val="24"/>
        </w:rPr>
        <w:t xml:space="preserve"> La disciplina interna: dentro ogni scheda, il giudicato è A; le ammissioni dei condannati sono dichiarazioni di parte (F sul fatto che furono rese, C sul contenuto non riscontrato); la memorialistica è memorialistica. Anche nel luogo dei nomi, i gradi non si sciolgono: si rafforzano.</w:t>
      </w:r>
    </w:p>
    <w:p>
      <w:pPr>
        <w:spacing w:after="120" w:line="276"/>
        <w:jc w:val="both"/>
      </w:pPr>
      <w:r>
        <w:rPr>
          <w:rFonts w:ascii="Barlow Semi Condensed" w:cs="Barlow Semi Condensed" w:eastAsia="Barlow Semi Condensed" w:hAnsi="Barlow Semi Condensed"/>
          <w:b/>
          <w:bCs/>
          <w:sz w:val="24"/>
          <w:szCs w:val="24"/>
        </w:rPr>
        <w:t xml:space="preserve">795 · La regola Algranati.</w:t>
      </w:r>
      <w:r>
        <w:rPr>
          <w:rFonts w:ascii="Barlow Semi Condensed" w:cs="Barlow Semi Condensed" w:eastAsia="Barlow Semi Condensed" w:hAnsi="Barlow Semi Condensed"/>
          <w:sz w:val="24"/>
          <w:szCs w:val="24"/>
        </w:rPr>
        <w:t xml:space="preserve"> La pietra di paragone, con le date verificate: l'assoluzione per i fatti di via Fani nel Moro-ter (1988), mai travolta, convive con l'ergastolo per altri fatti della colonna romana e con la cattura al Cairo (14 gennaio 2004). Tre verità distinte su una stessa persona, ciascuna al suo posto: chi le confonde non ha capito il registro — e l'opera esiste anche per questo.</w:t>
      </w:r>
    </w:p>
    <w:p>
      <w:pPr>
        <w:spacing w:after="120" w:line="276"/>
        <w:jc w:val="both"/>
      </w:pPr>
      <w:r>
        <w:rPr>
          <w:rFonts w:ascii="Barlow Semi Condensed" w:cs="Barlow Semi Condensed" w:eastAsia="Barlow Semi Condensed" w:hAnsi="Barlow Semi Condensed"/>
          <w:b/>
          <w:bCs/>
          <w:sz w:val="24"/>
          <w:szCs w:val="24"/>
        </w:rPr>
        <w:t xml:space="preserve">796 · Il perimetro dei tredici.</w:t>
      </w:r>
      <w:r>
        <w:rPr>
          <w:rFonts w:ascii="Barlow Semi Condensed" w:cs="Barlow Semi Condensed" w:eastAsia="Barlow Semi Condensed" w:hAnsi="Barlow Semi Condensed"/>
          <w:sz w:val="24"/>
          <w:szCs w:val="24"/>
        </w:rPr>
        <w:t xml:space="preserve"> La definizione esatta: il registro dell'opera contiene i condannati definitivi per il sequestro e l'omicidio di Moro e per via Fani — non ogni condannato della colonna romana, non ogni brigatista del 1978. Il censimento del perimetro (chi c'è e perché; chi non c'è e perché) è un blocco, perché la pubblicistica lo sbaglia da decenni.</w:t>
      </w:r>
    </w:p>
    <w:p>
      <w:pPr>
        <w:spacing w:after="120" w:line="276"/>
        <w:jc w:val="both"/>
      </w:pPr>
      <w:r>
        <w:rPr>
          <w:rFonts w:ascii="Barlow Semi Condensed" w:cs="Barlow Semi Condensed" w:eastAsia="Barlow Semi Condensed" w:hAnsi="Barlow Semi Condensed"/>
          <w:b/>
          <w:bCs/>
          <w:sz w:val="24"/>
          <w:szCs w:val="24"/>
        </w:rPr>
        <w:t xml:space="preserve">797 · Le esecuzioni penali come storia.</w:t>
      </w:r>
      <w:r>
        <w:rPr>
          <w:rFonts w:ascii="Barlow Semi Condensed" w:cs="Barlow Semi Condensed" w:eastAsia="Barlow Semi Condensed" w:hAnsi="Barlow Semi Condensed"/>
          <w:sz w:val="24"/>
          <w:szCs w:val="24"/>
        </w:rPr>
        <w:t xml:space="preserve"> La tavola dell'esecuzione: per ciascuno, il percorso documentato — arresto, condanna, benefici (semilibertà, liberazione condizionale, estinzione) — con le date pubbliche. La storia dell'esecuzione penale del caso è la storia dell'ordinamento penitenziario italiano applicato al suo caso più grave: si scrive per fatti, non per giudizi.</w:t>
      </w:r>
    </w:p>
    <w:p>
      <w:pPr>
        <w:spacing w:after="120" w:line="276"/>
        <w:jc w:val="both"/>
      </w:pPr>
      <w:r>
        <w:rPr>
          <w:rFonts w:ascii="Barlow Semi Condensed" w:cs="Barlow Semi Condensed" w:eastAsia="Barlow Semi Condensed" w:hAnsi="Barlow Semi Condensed"/>
          <w:b/>
          <w:bCs/>
          <w:sz w:val="24"/>
          <w:szCs w:val="24"/>
        </w:rPr>
        <w:t xml:space="preserve">798 · La contumacia e la latitanza.</w:t>
      </w:r>
      <w:r>
        <w:rPr>
          <w:rFonts w:ascii="Barlow Semi Condensed" w:cs="Barlow Semi Condensed" w:eastAsia="Barlow Semi Condensed" w:hAnsi="Barlow Semi Condensed"/>
          <w:sz w:val="24"/>
          <w:szCs w:val="24"/>
        </w:rPr>
        <w:t xml:space="preserve"> Il capitolo dei mai presenti: le condanne in contumacia (i sei ergastoli di Casimirri), le latitanze, gli istituti che le governarono. Il diritto processuale della latitanza come cornice: che cosa significa giuridicamente non essere mai stati davanti ai propri giudici.</w:t>
      </w:r>
    </w:p>
    <w:p>
      <w:pPr>
        <w:spacing w:after="120" w:line="276"/>
        <w:jc w:val="both"/>
      </w:pPr>
      <w:r>
        <w:rPr>
          <w:rFonts w:ascii="Barlow Semi Condensed" w:cs="Barlow Semi Condensed" w:eastAsia="Barlow Semi Condensed" w:hAnsi="Barlow Semi Condensed"/>
          <w:b/>
          <w:bCs/>
          <w:sz w:val="24"/>
          <w:szCs w:val="24"/>
        </w:rPr>
        <w:t xml:space="preserve">799 · Le pene oltre confine, il raccordo.</w:t>
      </w:r>
      <w:r>
        <w:rPr>
          <w:rFonts w:ascii="Barlow Semi Condensed" w:cs="Barlow Semi Condensed" w:eastAsia="Barlow Semi Condensed" w:hAnsi="Barlow Semi Condensed"/>
          <w:sz w:val="24"/>
          <w:szCs w:val="24"/>
        </w:rPr>
        <w:t xml:space="preserve"> Il rinvio al documento del corpus sulle pene oltre confine: i condannati del registro toccati dalle vicende estere (Casimirri, Lojacono) vi hanno il loro quadro internazionale; qui la scheda personale, là la cornice. Due lenti, nessuna sovrapposizione.</w:t>
      </w:r>
    </w:p>
    <w:p>
      <w:pPr>
        <w:spacing w:after="120" w:line="276"/>
        <w:jc w:val="both"/>
      </w:pPr>
      <w:r>
        <w:rPr>
          <w:rFonts w:ascii="Barlow Semi Condensed" w:cs="Barlow Semi Condensed" w:eastAsia="Barlow Semi Condensed" w:hAnsi="Barlow Semi Condensed"/>
          <w:b/>
          <w:bCs/>
          <w:sz w:val="24"/>
          <w:szCs w:val="24"/>
        </w:rPr>
        <w:t xml:space="preserve">800 · L'ottocentesimo blocco: il registro e il tempo.</w:t>
      </w:r>
      <w:r>
        <w:rPr>
          <w:rFonts w:ascii="Barlow Semi Condensed" w:cs="Barlow Semi Condensed" w:eastAsia="Barlow Semi Condensed" w:hAnsi="Barlow Semi Condensed"/>
          <w:sz w:val="24"/>
          <w:szCs w:val="24"/>
        </w:rPr>
        <w:t xml:space="preserve"> La constatazione operativa, a quattro quinti dell'opera: dei tredici, cinque sono morti — e ogni morte chiude per sempre una voce che nessun archivio sostituisce. La priorità biologica del blocco 281 dell'agenda, applicata al registro: ciò che i viventi possono ancora dire in forma utilizzabile si chiede ora, con le forme giuste, o non si avrà mai.</w:t>
      </w:r>
    </w:p>
    <w:p>
      <w:pPr>
        <w:spacing w:after="120" w:line="276"/>
        <w:jc w:val="both"/>
      </w:pPr>
      <w:r>
        <w:rPr>
          <w:rFonts w:ascii="Barlow Semi Condensed" w:cs="Barlow Semi Condensed" w:eastAsia="Barlow Semi Condensed" w:hAnsi="Barlow Semi Condensed"/>
          <w:b/>
          <w:bCs/>
          <w:sz w:val="24"/>
          <w:szCs w:val="24"/>
        </w:rPr>
        <w:t xml:space="preserve">801 · Il rispetto anche qui.</w:t>
      </w:r>
      <w:r>
        <w:rPr>
          <w:rFonts w:ascii="Barlow Semi Condensed" w:cs="Barlow Semi Condensed" w:eastAsia="Barlow Semi Condensed" w:hAnsi="Barlow Semi Condensed"/>
          <w:sz w:val="24"/>
          <w:szCs w:val="24"/>
        </w:rPr>
        <w:t xml:space="preserve"> La regola di tono: le schede del registro si scrivono con lo stesso rispetto formale d'ogni scheda del corpus — i fatti, le date, gli atti, nessun aggettivo. La fermezza della memoria non ha bisogno di livore: la condanna la scrissero i giudici; all'opera spetta la precisione.</w:t>
      </w:r>
    </w:p>
    <w:p>
      <w:pPr>
        <w:spacing w:after="120" w:line="276"/>
        <w:jc w:val="both"/>
      </w:pPr>
      <w:r>
        <w:rPr>
          <w:rFonts w:ascii="Barlow Semi Condensed" w:cs="Barlow Semi Condensed" w:eastAsia="Barlow Semi Condensed" w:hAnsi="Barlow Semi Condensed"/>
          <w:b/>
          <w:bCs/>
          <w:sz w:val="24"/>
          <w:szCs w:val="24"/>
        </w:rPr>
        <w:t xml:space="preserve">802 · I diritti dei condannati.</w:t>
      </w:r>
      <w:r>
        <w:rPr>
          <w:rFonts w:ascii="Barlow Semi Condensed" w:cs="Barlow Semi Condensed" w:eastAsia="Barlow Semi Condensed" w:hAnsi="Barlow Semi Condensed"/>
          <w:sz w:val="24"/>
          <w:szCs w:val="24"/>
        </w:rPr>
        <w:t xml:space="preserve"> Il quadro giuridico dichiarato: i condannati viventi conservano i diritti della persona — riservatezza sulla vita privata attuale, protezione dei dati oltre i fatti pubblici. Le schede censiscono il pubblico e il giudicato: la vita privata di oggi non è materia dell'opera, per nessuno dei tredici.</w:t>
      </w:r>
    </w:p>
    <w:p>
      <w:pPr>
        <w:spacing w:after="120" w:line="276"/>
        <w:jc w:val="both"/>
      </w:pPr>
      <w:r>
        <w:rPr>
          <w:rFonts w:ascii="Barlow Semi Condensed" w:cs="Barlow Semi Condensed" w:eastAsia="Barlow Semi Condensed" w:hAnsi="Barlow Semi Condensed"/>
          <w:b/>
          <w:bCs/>
          <w:sz w:val="24"/>
          <w:szCs w:val="24"/>
        </w:rPr>
        <w:t xml:space="preserve">803 · Le vittime in testa.</w:t>
      </w:r>
      <w:r>
        <w:rPr>
          <w:rFonts w:ascii="Barlow Semi Condensed" w:cs="Barlow Semi Condensed" w:eastAsia="Barlow Semi Condensed" w:hAnsi="Barlow Semi Condensed"/>
          <w:sz w:val="24"/>
          <w:szCs w:val="24"/>
        </w:rPr>
        <w:t xml:space="preserve"> L'ordine morale della parte: ogni scheda del registro esiste perché sei persone furono uccise — Leonardi, Ricci, Rivera, Zizzi, Iozzino, Moro. La parte si apre e si chiude con i loro nomi, e ogni bersaglio sulla parola dei condannati ha per fine ciò che accadde alle vittime, non la biografia dei colpevoli.</w:t>
      </w:r>
    </w:p>
    <w:p>
      <w:pPr>
        <w:spacing w:after="120" w:line="276"/>
        <w:jc w:val="both"/>
      </w:pPr>
      <w:r>
        <w:rPr>
          <w:rFonts w:ascii="Barlow Semi Condensed" w:cs="Barlow Semi Condensed" w:eastAsia="Barlow Semi Condensed" w:hAnsi="Barlow Semi Condensed"/>
          <w:b/>
          <w:bCs/>
          <w:sz w:val="24"/>
          <w:szCs w:val="24"/>
        </w:rPr>
        <w:t xml:space="preserve">804 · La prosopografia documentale.</w:t>
      </w:r>
      <w:r>
        <w:rPr>
          <w:rFonts w:ascii="Barlow Semi Condensed" w:cs="Barlow Semi Condensed" w:eastAsia="Barlow Semi Condensed" w:hAnsi="Barlow Semi Condensed"/>
          <w:sz w:val="24"/>
          <w:szCs w:val="24"/>
        </w:rPr>
        <w:t xml:space="preserve"> Il metodo delle schede: per ciascuno, tre strati — l'anagrafe giudiziaria (il giudicato), la parola pubblica (libri, interviste, audizioni censiti e datati), i bersagli (che cosa la ricerca può ancora chiedere o verificare). Tre strati, tre discipline: il primo è chiuso, il secondo si censisce, il terzo si esegue.</w:t>
      </w:r>
    </w:p>
    <w:p>
      <w:pPr>
        <w:spacing w:after="120" w:line="276"/>
        <w:jc w:val="both"/>
      </w:pPr>
      <w:r>
        <w:rPr>
          <w:rFonts w:ascii="Barlow Semi Condensed" w:cs="Barlow Semi Condensed" w:eastAsia="Barlow Semi Condensed" w:hAnsi="Barlow Semi Condensed"/>
          <w:b/>
          <w:bCs/>
          <w:sz w:val="24"/>
          <w:szCs w:val="24"/>
        </w:rPr>
        <w:t xml:space="preserve">805 · La tavola degli stati.</w:t>
      </w:r>
      <w:r>
        <w:rPr>
          <w:rFonts w:ascii="Barlow Semi Condensed" w:cs="Barlow Semi Condensed" w:eastAsia="Barlow Semi Condensed" w:hAnsi="Barlow Semi Condensed"/>
          <w:sz w:val="24"/>
          <w:szCs w:val="24"/>
        </w:rPr>
        <w:t xml:space="preserve"> Lo strumento aggiornato dalla verifica: la tavola dei tredici con gli stati documentati — deceduto (con data e fonte), vivente a pena eseguita, in esecuzione, oltre confine — e le caselle dichiarate «da precisare» dove le fonti divergono (i luoghi di nascita in due casi, i quantum di pena in due casi). La tavola porta le sue incertezze scritte: è il modo del corpus.</w:t>
      </w:r>
    </w:p>
    <w:p>
      <w:pPr>
        <w:pStyle w:val="Heading3"/>
        <w:spacing w:after="80" w:before="160"/>
      </w:pPr>
      <w:r>
        <w:rPr>
          <w:rFonts w:ascii="Barlow Semi Condensed" w:cs="Barlow Semi Condensed" w:eastAsia="Barlow Semi Condensed" w:hAnsi="Barlow Semi Condensed"/>
          <w:sz w:val="24"/>
          <w:szCs w:val="24"/>
        </w:rPr>
        <w:t xml:space="preserve">Le schede dei tredici (blocchi 806-850)</w:t>
      </w:r>
    </w:p>
    <w:p>
      <w:pPr>
        <w:spacing w:after="120" w:line="276"/>
        <w:jc w:val="both"/>
      </w:pPr>
      <w:r>
        <w:rPr>
          <w:rFonts w:ascii="Barlow Semi Condensed" w:cs="Barlow Semi Condensed" w:eastAsia="Barlow Semi Condensed" w:hAnsi="Barlow Semi Condensed"/>
          <w:b/>
          <w:bCs/>
          <w:sz w:val="24"/>
          <w:szCs w:val="24"/>
        </w:rPr>
        <w:t xml:space="preserve">806 · Moretti, l'anagrafe giudiziaria.</w:t>
      </w:r>
      <w:r>
        <w:rPr>
          <w:rFonts w:ascii="Barlow Semi Condensed" w:cs="Barlow Semi Condensed" w:eastAsia="Barlow Semi Condensed" w:hAnsi="Barlow Semi Condensed"/>
          <w:sz w:val="24"/>
          <w:szCs w:val="24"/>
        </w:rPr>
        <w:t xml:space="preserve"> Mario Moretti (Porto San Giorgio, 1946): arrestato a Milano il 4 aprile 1981, condannato in via definitiva a più ergastoli per la direzione dell'operazione e l'esecuzione — il vertice operativo del sequestro per giudicato. Vivente, in semilibertà dal 1997 secondo il record pubblico costante. La scheda fissa il perimetro esatto delle sue condanne, motivazione per motivazione.</w:t>
      </w:r>
    </w:p>
    <w:p>
      <w:pPr>
        <w:spacing w:after="120" w:line="276"/>
        <w:jc w:val="both"/>
      </w:pPr>
      <w:r>
        <w:rPr>
          <w:rFonts w:ascii="Barlow Semi Condensed" w:cs="Barlow Semi Condensed" w:eastAsia="Barlow Semi Condensed" w:hAnsi="Barlow Semi Condensed"/>
          <w:b/>
          <w:bCs/>
          <w:sz w:val="24"/>
          <w:szCs w:val="24"/>
        </w:rPr>
        <w:t xml:space="preserve">807 · Moretti, la parola.</w:t>
      </w:r>
      <w:r>
        <w:rPr>
          <w:rFonts w:ascii="Barlow Semi Condensed" w:cs="Barlow Semi Condensed" w:eastAsia="Barlow Semi Condensed" w:hAnsi="Barlow Semi Condensed"/>
          <w:sz w:val="24"/>
          <w:szCs w:val="24"/>
        </w:rPr>
        <w:t xml:space="preserve"> Il censimento della sua parola pubblica: il libro-intervista del 1994, le audizioni, le rare interviste — la tavola datata di tutto ciò che ha detto pubblicamente sul caso, collazionata con gli atti (dove conferma, dove diverge, dove tace). L'uomo che sa più di tutti ha parlato poco e sempre nella stessa cornice: la tavola lo mostra.</w:t>
      </w:r>
    </w:p>
    <w:p>
      <w:pPr>
        <w:spacing w:after="120" w:line="276"/>
        <w:jc w:val="both"/>
      </w:pPr>
      <w:r>
        <w:rPr>
          <w:rFonts w:ascii="Barlow Semi Condensed" w:cs="Barlow Semi Condensed" w:eastAsia="Barlow Semi Condensed" w:hAnsi="Barlow Semi Condensed"/>
          <w:b/>
          <w:bCs/>
          <w:sz w:val="24"/>
          <w:szCs w:val="24"/>
        </w:rPr>
        <w:t xml:space="preserve">808 · Moretti, i bersagli.</w:t>
      </w:r>
      <w:r>
        <w:rPr>
          <w:rFonts w:ascii="Barlow Semi Condensed" w:cs="Barlow Semi Condensed" w:eastAsia="Barlow Semi Condensed" w:hAnsi="Barlow Semi Condensed"/>
          <w:sz w:val="24"/>
          <w:szCs w:val="24"/>
        </w:rPr>
        <w:t xml:space="preserve"> Ciò che la ricerca può ancora chiedere: le domande aperte delle matrici che solo il vertice operativo potrebbe chiudere (la logistica, i canali dei comunicati, le presenze non giudicate) — nella forma del blocco 103 dell'agenda: proposta di dichiarazioni spontanee verbalizzate, comunque vada. La finestra è biologica: si usa ora.</w:t>
      </w:r>
    </w:p>
    <w:p>
      <w:pPr>
        <w:spacing w:after="120" w:line="276"/>
        <w:jc w:val="both"/>
      </w:pPr>
      <w:r>
        <w:rPr>
          <w:rFonts w:ascii="Barlow Semi Condensed" w:cs="Barlow Semi Condensed" w:eastAsia="Barlow Semi Condensed" w:hAnsi="Barlow Semi Condensed"/>
          <w:b/>
          <w:bCs/>
          <w:sz w:val="24"/>
          <w:szCs w:val="24"/>
        </w:rPr>
        <w:t xml:space="preserve">809 · Gallinari, l'anagrafe giudiziaria.</w:t>
      </w:r>
      <w:r>
        <w:rPr>
          <w:rFonts w:ascii="Barlow Semi Condensed" w:cs="Barlow Semi Condensed" w:eastAsia="Barlow Semi Condensed" w:hAnsi="Barlow Semi Condensed"/>
          <w:sz w:val="24"/>
          <w:szCs w:val="24"/>
        </w:rPr>
        <w:t xml:space="preserve"> Prospero Gallinari (Reggio Emilia, 1951 - Reggio Emilia, 14 gennaio 2013): ergastolo per il commando di via Fani e la gestione della prigionia; pena sospesa per gravi motivi di salute dal 1996. La scheda del carceriere per giudicato, chiusa dalla morte: da qui in avanti, solo carte.</w:t>
      </w:r>
    </w:p>
    <w:p>
      <w:pPr>
        <w:spacing w:after="120" w:line="276"/>
        <w:jc w:val="both"/>
      </w:pPr>
      <w:r>
        <w:rPr>
          <w:rFonts w:ascii="Barlow Semi Condensed" w:cs="Barlow Semi Condensed" w:eastAsia="Barlow Semi Condensed" w:hAnsi="Barlow Semi Condensed"/>
          <w:b/>
          <w:bCs/>
          <w:sz w:val="24"/>
          <w:szCs w:val="24"/>
        </w:rPr>
        <w:t xml:space="preserve">810 · Gallinari, la parola lasciata.</w:t>
      </w:r>
      <w:r>
        <w:rPr>
          <w:rFonts w:ascii="Barlow Semi Condensed" w:cs="Barlow Semi Condensed" w:eastAsia="Barlow Semi Condensed" w:hAnsi="Barlow Semi Condensed"/>
          <w:sz w:val="24"/>
          <w:szCs w:val="24"/>
        </w:rPr>
        <w:t xml:space="preserve"> Il censimento postumo: il libro autobiografico, le interviste rese in vita, le dichiarazioni processuali — il corpus chiuso della sua parola, collazionato con gli atti. Un morto non aggiunge più nulla: ciò che lasciò si pesa tutto, e si pesa ora.</w:t>
      </w:r>
    </w:p>
    <w:p>
      <w:pPr>
        <w:spacing w:after="120" w:line="276"/>
        <w:jc w:val="both"/>
      </w:pPr>
      <w:r>
        <w:rPr>
          <w:rFonts w:ascii="Barlow Semi Condensed" w:cs="Barlow Semi Condensed" w:eastAsia="Barlow Semi Condensed" w:hAnsi="Barlow Semi Condensed"/>
          <w:b/>
          <w:bCs/>
          <w:sz w:val="24"/>
          <w:szCs w:val="24"/>
        </w:rPr>
        <w:t xml:space="preserve">811 · Gallinari, i bersagli postumi.</w:t>
      </w:r>
      <w:r>
        <w:rPr>
          <w:rFonts w:ascii="Barlow Semi Condensed" w:cs="Barlow Semi Condensed" w:eastAsia="Barlow Semi Condensed" w:hAnsi="Barlow Semi Condensed"/>
          <w:sz w:val="24"/>
          <w:szCs w:val="24"/>
        </w:rPr>
        <w:t xml:space="preserve"> Ciò che resta cercabile: le carte private se esistono (il blocco 259 della Parte terza, applicato), i grezzi delle interviste (Zavoli lo intervistò), le dichiarazioni non pubblicate negli atti. La voce è chiusa; il suo archivio forse no.</w:t>
      </w:r>
    </w:p>
    <w:p>
      <w:pPr>
        <w:spacing w:after="120" w:line="276"/>
        <w:jc w:val="both"/>
      </w:pPr>
      <w:r>
        <w:rPr>
          <w:rFonts w:ascii="Barlow Semi Condensed" w:cs="Barlow Semi Condensed" w:eastAsia="Barlow Semi Condensed" w:hAnsi="Barlow Semi Condensed"/>
          <w:b/>
          <w:bCs/>
          <w:sz w:val="24"/>
          <w:szCs w:val="24"/>
        </w:rPr>
        <w:t xml:space="preserve">812 · Morucci, l'anagrafe giudiziaria.</w:t>
      </w:r>
      <w:r>
        <w:rPr>
          <w:rFonts w:ascii="Barlow Semi Condensed" w:cs="Barlow Semi Condensed" w:eastAsia="Barlow Semi Condensed" w:hAnsi="Barlow Semi Condensed"/>
          <w:sz w:val="24"/>
          <w:szCs w:val="24"/>
        </w:rPr>
        <w:t xml:space="preserve"> Valerio Morucci (Roma, 1949 - Roma, 1° gennaio 2025): ergastolo per il commando di via Fani e la gestione dei recapiti (il «postino» dei comunicati e delle lettere, per giudicato); dissociato, uscito dalle BR nel 1979 con Faranda; libero dagli anni Novanta. Morto il primo giorno del 2025: la seconda voce maggiore chiusa in due anni.</w:t>
      </w:r>
    </w:p>
    <w:p>
      <w:pPr>
        <w:spacing w:after="120" w:line="276"/>
        <w:jc w:val="both"/>
      </w:pPr>
      <w:r>
        <w:rPr>
          <w:rFonts w:ascii="Barlow Semi Condensed" w:cs="Barlow Semi Condensed" w:eastAsia="Barlow Semi Condensed" w:hAnsi="Barlow Semi Condensed"/>
          <w:b/>
          <w:bCs/>
          <w:sz w:val="24"/>
          <w:szCs w:val="24"/>
        </w:rPr>
        <w:t xml:space="preserve">813 · Morucci, la parola lasciata.</w:t>
      </w:r>
      <w:r>
        <w:rPr>
          <w:rFonts w:ascii="Barlow Semi Condensed" w:cs="Barlow Semi Condensed" w:eastAsia="Barlow Semi Condensed" w:hAnsi="Barlow Semi Condensed"/>
          <w:sz w:val="24"/>
          <w:szCs w:val="24"/>
        </w:rPr>
        <w:t xml:space="preserve"> Il corpus della sua parola: il memoriale Morucci-Faranda consegnato negli anni Ottanta (l'atto della dissociazione che ridisegnò la conoscenza del caso), i libri, le molte interviste, la telefonata del 9 maggio di cui fu l'autore. La collazione fra le sue versioni successive — che cosa cambiò nel racconto in quarant'anni — è un bersaglio filologico maggiore.</w:t>
      </w:r>
    </w:p>
    <w:p>
      <w:pPr>
        <w:spacing w:after="120" w:line="276"/>
        <w:jc w:val="both"/>
      </w:pPr>
      <w:r>
        <w:rPr>
          <w:rFonts w:ascii="Barlow Semi Condensed" w:cs="Barlow Semi Condensed" w:eastAsia="Barlow Semi Condensed" w:hAnsi="Barlow Semi Condensed"/>
          <w:b/>
          <w:bCs/>
          <w:sz w:val="24"/>
          <w:szCs w:val="24"/>
        </w:rPr>
        <w:t xml:space="preserve">814 · Morucci, i bersagli postumi.</w:t>
      </w:r>
      <w:r>
        <w:rPr>
          <w:rFonts w:ascii="Barlow Semi Condensed" w:cs="Barlow Semi Condensed" w:eastAsia="Barlow Semi Condensed" w:hAnsi="Barlow Semi Condensed"/>
          <w:sz w:val="24"/>
          <w:szCs w:val="24"/>
        </w:rPr>
        <w:t xml:space="preserve"> Le carte di Morucci: l'accertamento del lascito documentale (manoscritti, carteggi, appunti) e la proposta rispettosa agli eredi (il blocco 117 dell'agenda). L'uomo che più raccontò il caso dall'interno può aver lasciato carta: si cerca ora, prima della dispersione.</w:t>
      </w:r>
    </w:p>
    <w:p>
      <w:pPr>
        <w:spacing w:after="120" w:line="276"/>
        <w:jc w:val="both"/>
      </w:pPr>
      <w:r>
        <w:rPr>
          <w:rFonts w:ascii="Barlow Semi Condensed" w:cs="Barlow Semi Condensed" w:eastAsia="Barlow Semi Condensed" w:hAnsi="Barlow Semi Condensed"/>
          <w:b/>
          <w:bCs/>
          <w:sz w:val="24"/>
          <w:szCs w:val="24"/>
        </w:rPr>
        <w:t xml:space="preserve">815 · Faranda, l'anagrafe giudiziaria.</w:t>
      </w:r>
      <w:r>
        <w:rPr>
          <w:rFonts w:ascii="Barlow Semi Condensed" w:cs="Barlow Semi Condensed" w:eastAsia="Barlow Semi Condensed" w:hAnsi="Barlow Semi Condensed"/>
          <w:sz w:val="24"/>
          <w:szCs w:val="24"/>
        </w:rPr>
        <w:t xml:space="preserve"> Adriana Faranda (1950): condannata per il concorso nella gestione del sequestro (non presente in via Fani, per giudicato); dissociata con Morucci, libera dagli anni Novanta, vivente. La scheda distingue con cura ciò per cui fu condannata da ciò per cui non lo fu: è il registro che insegna a leggere se stesso.</w:t>
      </w:r>
    </w:p>
    <w:p>
      <w:pPr>
        <w:spacing w:after="120" w:line="276"/>
        <w:jc w:val="both"/>
      </w:pPr>
      <w:r>
        <w:rPr>
          <w:rFonts w:ascii="Barlow Semi Condensed" w:cs="Barlow Semi Condensed" w:eastAsia="Barlow Semi Condensed" w:hAnsi="Barlow Semi Condensed"/>
          <w:b/>
          <w:bCs/>
          <w:sz w:val="24"/>
          <w:szCs w:val="24"/>
        </w:rPr>
        <w:t xml:space="preserve">816 · Faranda, la parola.</w:t>
      </w:r>
      <w:r>
        <w:rPr>
          <w:rFonts w:ascii="Barlow Semi Condensed" w:cs="Barlow Semi Condensed" w:eastAsia="Barlow Semi Condensed" w:hAnsi="Barlow Semi Condensed"/>
          <w:sz w:val="24"/>
          <w:szCs w:val="24"/>
        </w:rPr>
        <w:t xml:space="preserve"> Il censimento della sua parola pubblica — i libri, le interviste, la presenza pubblica costante sulla memoria degli anni di piombo: la tavola datata, collazionata con gli atti e col memoriale della dissociazione. Una delle voci più generose di racconto: la generosità si verifica come tutto il resto.</w:t>
      </w:r>
    </w:p>
    <w:p>
      <w:pPr>
        <w:spacing w:after="120" w:line="276"/>
        <w:jc w:val="both"/>
      </w:pPr>
      <w:r>
        <w:rPr>
          <w:rFonts w:ascii="Barlow Semi Condensed" w:cs="Barlow Semi Condensed" w:eastAsia="Barlow Semi Condensed" w:hAnsi="Barlow Semi Condensed"/>
          <w:b/>
          <w:bCs/>
          <w:sz w:val="24"/>
          <w:szCs w:val="24"/>
        </w:rPr>
        <w:t xml:space="preserve">817 · Faranda, i bersagli.</w:t>
      </w:r>
      <w:r>
        <w:rPr>
          <w:rFonts w:ascii="Barlow Semi Condensed" w:cs="Barlow Semi Condensed" w:eastAsia="Barlow Semi Condensed" w:hAnsi="Barlow Semi Condensed"/>
          <w:sz w:val="24"/>
          <w:szCs w:val="24"/>
        </w:rPr>
        <w:t xml:space="preserve"> Le domande aperte che la riguardano per ruolo giudicato: la meccanica dei recapiti (il quesito 9), la selezione delle lettere, i canali. La proposta conservativa del blocco 103, con la finestra aperta: è fra le voci viventi che più possono ancora precisare.</w:t>
      </w:r>
    </w:p>
    <w:p>
      <w:pPr>
        <w:spacing w:after="120" w:line="276"/>
        <w:jc w:val="both"/>
      </w:pPr>
      <w:r>
        <w:rPr>
          <w:rFonts w:ascii="Barlow Semi Condensed" w:cs="Barlow Semi Condensed" w:eastAsia="Barlow Semi Condensed" w:hAnsi="Barlow Semi Condensed"/>
          <w:b/>
          <w:bCs/>
          <w:sz w:val="24"/>
          <w:szCs w:val="24"/>
        </w:rPr>
        <w:t xml:space="preserve">818 · Fiore, l'anagrafe giudiziaria.</w:t>
      </w:r>
      <w:r>
        <w:rPr>
          <w:rFonts w:ascii="Barlow Semi Condensed" w:cs="Barlow Semi Condensed" w:eastAsia="Barlow Semi Condensed" w:hAnsi="Barlow Semi Condensed"/>
          <w:sz w:val="24"/>
          <w:szCs w:val="24"/>
        </w:rPr>
        <w:t xml:space="preserve"> Raffaele Fiore (Bari, 1954): componente del commando di via Fani per giudicato definitivo, arrestato a Torino nel marzo 1979, ergastolo; pena eseguita coi benefici ordinari, oggi libero e vivente secondo il record pubblico — con le date esatte dei benefici segnate «da precisare». La scheda porta la sua casella aperta dichiarata.</w:t>
      </w:r>
    </w:p>
    <w:p>
      <w:pPr>
        <w:spacing w:after="120" w:line="276"/>
        <w:jc w:val="both"/>
      </w:pPr>
      <w:r>
        <w:rPr>
          <w:rFonts w:ascii="Barlow Semi Condensed" w:cs="Barlow Semi Condensed" w:eastAsia="Barlow Semi Condensed" w:hAnsi="Barlow Semi Condensed"/>
          <w:b/>
          <w:bCs/>
          <w:sz w:val="24"/>
          <w:szCs w:val="24"/>
        </w:rPr>
        <w:t xml:space="preserve">819 · Fiore, la parola.</w:t>
      </w:r>
      <w:r>
        <w:rPr>
          <w:rFonts w:ascii="Barlow Semi Condensed" w:cs="Barlow Semi Condensed" w:eastAsia="Barlow Semi Condensed" w:hAnsi="Barlow Semi Condensed"/>
          <w:sz w:val="24"/>
          <w:szCs w:val="24"/>
        </w:rPr>
        <w:t xml:space="preserve"> Il censimento delle sue interviste pubbliche — la voce operaia del commando, come si è raccontata: la tavola datata e la collazione con gli atti. Meno parola pubblica dei dissociati: anche la quantità del dire è un dato della tavola.</w:t>
      </w:r>
    </w:p>
    <w:p>
      <w:pPr>
        <w:spacing w:after="120" w:line="276"/>
        <w:jc w:val="both"/>
      </w:pPr>
      <w:r>
        <w:rPr>
          <w:rFonts w:ascii="Barlow Semi Condensed" w:cs="Barlow Semi Condensed" w:eastAsia="Barlow Semi Condensed" w:hAnsi="Barlow Semi Condensed"/>
          <w:b/>
          <w:bCs/>
          <w:sz w:val="24"/>
          <w:szCs w:val="24"/>
        </w:rPr>
        <w:t xml:space="preserve">820 · Fiore, i bersagli.</w:t>
      </w:r>
      <w:r>
        <w:rPr>
          <w:rFonts w:ascii="Barlow Semi Condensed" w:cs="Barlow Semi Condensed" w:eastAsia="Barlow Semi Condensed" w:hAnsi="Barlow Semi Condensed"/>
          <w:sz w:val="24"/>
          <w:szCs w:val="24"/>
        </w:rPr>
        <w:t xml:space="preserve"> Le domande della dinamica: per ruolo giudicato nel commando, le precisazioni possibili sulla meccanica dell'azione (i blocchi balistici 359-363 hanno quesiti che una memoria tecnica può ancora illuminare, col controlimite della corroborazione). Proposta conservativa, finestra aperta.</w:t>
      </w:r>
    </w:p>
    <w:p>
      <w:pPr>
        <w:spacing w:after="120" w:line="276"/>
        <w:jc w:val="both"/>
      </w:pPr>
      <w:r>
        <w:rPr>
          <w:rFonts w:ascii="Barlow Semi Condensed" w:cs="Barlow Semi Condensed" w:eastAsia="Barlow Semi Condensed" w:hAnsi="Barlow Semi Condensed"/>
          <w:b/>
          <w:bCs/>
          <w:sz w:val="24"/>
          <w:szCs w:val="24"/>
        </w:rPr>
        <w:t xml:space="preserve">821 · Bonisoli, l'anagrafe giudiziaria.</w:t>
      </w:r>
      <w:r>
        <w:rPr>
          <w:rFonts w:ascii="Barlow Semi Condensed" w:cs="Barlow Semi Condensed" w:eastAsia="Barlow Semi Condensed" w:hAnsi="Barlow Semi Condensed"/>
          <w:sz w:val="24"/>
          <w:szCs w:val="24"/>
        </w:rPr>
        <w:t xml:space="preserve"> Franco Bonisoli (1955): componente del commando per giudicato, arrestato il 1° ottobre 1978 in via Monte Nevoso — dove egli stesso aveva portato il memoriale e le lettere — insieme ad Azzolini e Mantovani; ergastolo; libero da decenni, vivente, pubblicamente impegnato nei percorsi di giustizia riparativa. La scheda che lega il registro alla Parte quinta: il suo arresto è la data di nascita della stesura C.</w:t>
      </w:r>
    </w:p>
    <w:p>
      <w:pPr>
        <w:spacing w:after="120" w:line="276"/>
        <w:jc w:val="both"/>
      </w:pPr>
      <w:r>
        <w:rPr>
          <w:rFonts w:ascii="Barlow Semi Condensed" w:cs="Barlow Semi Condensed" w:eastAsia="Barlow Semi Condensed" w:hAnsi="Barlow Semi Condensed"/>
          <w:b/>
          <w:bCs/>
          <w:sz w:val="24"/>
          <w:szCs w:val="24"/>
        </w:rPr>
        <w:t xml:space="preserve">822 · Bonisoli, la parola.</w:t>
      </w:r>
      <w:r>
        <w:rPr>
          <w:rFonts w:ascii="Barlow Semi Condensed" w:cs="Barlow Semi Condensed" w:eastAsia="Barlow Semi Condensed" w:hAnsi="Barlow Semi Condensed"/>
          <w:sz w:val="24"/>
          <w:szCs w:val="24"/>
        </w:rPr>
        <w:t xml:space="preserve"> Il censimento della sua parola — la più orientata all'incontro con le vittime: interventi pubblici, dialoghi riparativi documentati, interviste. La collazione con gli atti e la tavola dei temi: che cosa la giustizia riparativa ha fatto emergere che i processi non avevano.</w:t>
      </w:r>
    </w:p>
    <w:p>
      <w:pPr>
        <w:spacing w:after="120" w:line="276"/>
        <w:jc w:val="both"/>
      </w:pPr>
      <w:r>
        <w:rPr>
          <w:rFonts w:ascii="Barlow Semi Condensed" w:cs="Barlow Semi Condensed" w:eastAsia="Barlow Semi Condensed" w:hAnsi="Barlow Semi Condensed"/>
          <w:b/>
          <w:bCs/>
          <w:sz w:val="24"/>
          <w:szCs w:val="24"/>
        </w:rPr>
        <w:t xml:space="preserve">823 · Bonisoli, i bersagli.</w:t>
      </w:r>
      <w:r>
        <w:rPr>
          <w:rFonts w:ascii="Barlow Semi Condensed" w:cs="Barlow Semi Condensed" w:eastAsia="Barlow Semi Condensed" w:hAnsi="Barlow Semi Condensed"/>
          <w:sz w:val="24"/>
          <w:szCs w:val="24"/>
        </w:rPr>
        <w:t xml:space="preserve"> Le domande di via Monte Nevoso: il trasporto delle carte, la composizione del deposito, l'intercapedine — le celle aperte della Parte quinta (i blocchi 464-465) che la sua memoria diretta può ancora precisare. Il testimone chiave della tradizione del memoriale è vivente: la filologia ha una finestra.</w:t>
      </w:r>
    </w:p>
    <w:p>
      <w:pPr>
        <w:spacing w:after="120" w:line="276"/>
        <w:jc w:val="both"/>
      </w:pPr>
      <w:r>
        <w:rPr>
          <w:rFonts w:ascii="Barlow Semi Condensed" w:cs="Barlow Semi Condensed" w:eastAsia="Barlow Semi Condensed" w:hAnsi="Barlow Semi Condensed"/>
          <w:b/>
          <w:bCs/>
          <w:sz w:val="24"/>
          <w:szCs w:val="24"/>
        </w:rPr>
        <w:t xml:space="preserve">824 · Balzerani, l'anagrafe giudiziaria.</w:t>
      </w:r>
      <w:r>
        <w:rPr>
          <w:rFonts w:ascii="Barlow Semi Condensed" w:cs="Barlow Semi Condensed" w:eastAsia="Barlow Semi Condensed" w:hAnsi="Barlow Semi Condensed"/>
          <w:sz w:val="24"/>
          <w:szCs w:val="24"/>
        </w:rPr>
        <w:t xml:space="preserve"> Barbara Balzerani (Colleferro, 1949 - 3 marzo 2024): ergastolo per il commando di via Fani e la gestione del sequestro; arrestata nel 1985, liberazione condizionale nel 2006, pena estinta nel 2011; autrice di più libri. La voce femminile maggiore del commando, chiusa nel 2024: il suo corpus si pesa postumo.</w:t>
      </w:r>
    </w:p>
    <w:p>
      <w:pPr>
        <w:spacing w:after="120" w:line="276"/>
        <w:jc w:val="both"/>
      </w:pPr>
      <w:r>
        <w:rPr>
          <w:rFonts w:ascii="Barlow Semi Condensed" w:cs="Barlow Semi Condensed" w:eastAsia="Barlow Semi Condensed" w:hAnsi="Barlow Semi Condensed"/>
          <w:b/>
          <w:bCs/>
          <w:sz w:val="24"/>
          <w:szCs w:val="24"/>
        </w:rPr>
        <w:t xml:space="preserve">825 · Balzerani, la parola lasciata.</w:t>
      </w:r>
      <w:r>
        <w:rPr>
          <w:rFonts w:ascii="Barlow Semi Condensed" w:cs="Barlow Semi Condensed" w:eastAsia="Barlow Semi Condensed" w:hAnsi="Barlow Semi Condensed"/>
          <w:sz w:val="24"/>
          <w:szCs w:val="24"/>
        </w:rPr>
        <w:t xml:space="preserve"> Il censimento del suo corpus letterario e pubblico — i libri (da «Compagna luna» in poi), gli interventi, le polemiche pubbliche che accompagnarono le sue apparizioni: la tavola datata, collazionata con gli atti, con la ricezione pubblica censita come dato a sé. Una parola pubblica controversa è comunque un corpus: si studia, non si commenta.</w:t>
      </w:r>
    </w:p>
    <w:p>
      <w:pPr>
        <w:spacing w:after="120" w:line="276"/>
        <w:jc w:val="both"/>
      </w:pPr>
      <w:r>
        <w:rPr>
          <w:rFonts w:ascii="Barlow Semi Condensed" w:cs="Barlow Semi Condensed" w:eastAsia="Barlow Semi Condensed" w:hAnsi="Barlow Semi Condensed"/>
          <w:b/>
          <w:bCs/>
          <w:sz w:val="24"/>
          <w:szCs w:val="24"/>
        </w:rPr>
        <w:t xml:space="preserve">826 · Balzerani, i bersagli postumi.</w:t>
      </w:r>
      <w:r>
        <w:rPr>
          <w:rFonts w:ascii="Barlow Semi Condensed" w:cs="Barlow Semi Condensed" w:eastAsia="Barlow Semi Condensed" w:hAnsi="Barlow Semi Condensed"/>
          <w:sz w:val="24"/>
          <w:szCs w:val="24"/>
        </w:rPr>
        <w:t xml:space="preserve"> Le carte e i grezzi: il lascito documentale eventuale, le interviste integrali non montate, i carteggi. La trafila postuma standard della parte — con una nota: la sua scrittura letteraria è anche fonte sulla soggettività brigatista, e si legge con la lente della Parte quinta.</w:t>
      </w:r>
    </w:p>
    <w:p>
      <w:pPr>
        <w:spacing w:after="120" w:line="276"/>
        <w:jc w:val="both"/>
      </w:pPr>
      <w:r>
        <w:rPr>
          <w:rFonts w:ascii="Barlow Semi Condensed" w:cs="Barlow Semi Condensed" w:eastAsia="Barlow Semi Condensed" w:hAnsi="Barlow Semi Condensed"/>
          <w:b/>
          <w:bCs/>
          <w:sz w:val="24"/>
          <w:szCs w:val="24"/>
        </w:rPr>
        <w:t xml:space="preserve">827 · Seghetti, l'anagrafe giudiziaria.</w:t>
      </w:r>
      <w:r>
        <w:rPr>
          <w:rFonts w:ascii="Barlow Semi Condensed" w:cs="Barlow Semi Condensed" w:eastAsia="Barlow Semi Condensed" w:hAnsi="Barlow Semi Condensed"/>
          <w:sz w:val="24"/>
          <w:szCs w:val="24"/>
        </w:rPr>
        <w:t xml:space="preserve"> Bruno Seghetti (Roma): ergastolo quale componente del commando — per giudicato, alla guida dell'auto su cui Moro fu portato via; arrestato nel 1980; ammesso nel tempo ai benefici, vivente — con l'anno di nascita e la condizione esecutiva attuale segnati «da precisare» per divergenza o silenzio delle fonti. La scheda con le caselle aperte dichiarate, come il metodo vuole.</w:t>
      </w:r>
    </w:p>
    <w:p>
      <w:pPr>
        <w:spacing w:after="120" w:line="276"/>
        <w:jc w:val="both"/>
      </w:pPr>
      <w:r>
        <w:rPr>
          <w:rFonts w:ascii="Barlow Semi Condensed" w:cs="Barlow Semi Condensed" w:eastAsia="Barlow Semi Condensed" w:hAnsi="Barlow Semi Condensed"/>
          <w:b/>
          <w:bCs/>
          <w:sz w:val="24"/>
          <w:szCs w:val="24"/>
        </w:rPr>
        <w:t xml:space="preserve">828 · Seghetti, la parola.</w:t>
      </w:r>
      <w:r>
        <w:rPr>
          <w:rFonts w:ascii="Barlow Semi Condensed" w:cs="Barlow Semi Condensed" w:eastAsia="Barlow Semi Condensed" w:hAnsi="Barlow Semi Condensed"/>
          <w:sz w:val="24"/>
          <w:szCs w:val="24"/>
        </w:rPr>
        <w:t xml:space="preserve"> Il censimento della sua parola — inclusa la partecipazione riferita a percorsi riservati di giustizia riparativa: la tavola di ciò che è pubblico, col perimetro rispettato di ciò che è riservato per natura (l'incontro riparativo non è materia di cronaca). Anche il silenzio riparativo è un fatto: si registra senza violarlo.</w:t>
      </w:r>
    </w:p>
    <w:p>
      <w:pPr>
        <w:spacing w:after="120" w:line="276"/>
        <w:jc w:val="both"/>
      </w:pPr>
      <w:r>
        <w:rPr>
          <w:rFonts w:ascii="Barlow Semi Condensed" w:cs="Barlow Semi Condensed" w:eastAsia="Barlow Semi Condensed" w:hAnsi="Barlow Semi Condensed"/>
          <w:b/>
          <w:bCs/>
          <w:sz w:val="24"/>
          <w:szCs w:val="24"/>
        </w:rPr>
        <w:t xml:space="preserve">829 · Seghetti, i bersagli.</w:t>
      </w:r>
      <w:r>
        <w:rPr>
          <w:rFonts w:ascii="Barlow Semi Condensed" w:cs="Barlow Semi Condensed" w:eastAsia="Barlow Semi Condensed" w:hAnsi="Barlow Semi Condensed"/>
          <w:sz w:val="24"/>
          <w:szCs w:val="24"/>
        </w:rPr>
        <w:t xml:space="preserve"> Le domande del trasbordo e del percorso: la memoria del tragitto del 16 marzo (i blocchi 635 e 416) e della logistica dei veicoli. Proposta conservativa nelle forme, finestra aperta.</w:t>
      </w:r>
    </w:p>
    <w:p>
      <w:pPr>
        <w:spacing w:after="120" w:line="276"/>
        <w:jc w:val="both"/>
      </w:pPr>
      <w:r>
        <w:rPr>
          <w:rFonts w:ascii="Barlow Semi Condensed" w:cs="Barlow Semi Condensed" w:eastAsia="Barlow Semi Condensed" w:hAnsi="Barlow Semi Condensed"/>
          <w:b/>
          <w:bCs/>
          <w:sz w:val="24"/>
          <w:szCs w:val="24"/>
        </w:rPr>
        <w:t xml:space="preserve">830 · Braghetti, l'anagrafe giudiziaria.</w:t>
      </w:r>
      <w:r>
        <w:rPr>
          <w:rFonts w:ascii="Barlow Semi Condensed" w:cs="Barlow Semi Condensed" w:eastAsia="Barlow Semi Condensed" w:hAnsi="Barlow Semi Condensed"/>
          <w:sz w:val="24"/>
          <w:szCs w:val="24"/>
        </w:rPr>
        <w:t xml:space="preserve"> Anna Laura Braghetti (Roma, 1953 - 2025, con la notizia pubblica del 6 novembre): ergastolo per il caso Moro — l'intestataria dell'appartamento di via Montalcini 8 (acquistato nel giugno 1977) e custode della prigione — e condanna per l'omicidio Bachelet (12 febbraio 1980); libera dal 2002, autrice con Paola Tavella del «Prigioniero» (1998). La custode della prigione è morta mentre quest'opera veniva scritta: la verifica ha corretto qui una data errata del primo censimento — ed è il metodo che funziona.</w:t>
      </w:r>
    </w:p>
    <w:p>
      <w:pPr>
        <w:spacing w:after="120" w:line="276"/>
        <w:jc w:val="both"/>
      </w:pPr>
      <w:r>
        <w:rPr>
          <w:rFonts w:ascii="Barlow Semi Condensed" w:cs="Barlow Semi Condensed" w:eastAsia="Barlow Semi Condensed" w:hAnsi="Barlow Semi Condensed"/>
          <w:b/>
          <w:bCs/>
          <w:sz w:val="24"/>
          <w:szCs w:val="24"/>
        </w:rPr>
        <w:t xml:space="preserve">831 · Braghetti, la parola lasciata.</w:t>
      </w:r>
      <w:r>
        <w:rPr>
          <w:rFonts w:ascii="Barlow Semi Condensed" w:cs="Barlow Semi Condensed" w:eastAsia="Barlow Semi Condensed" w:hAnsi="Barlow Semi Condensed"/>
          <w:sz w:val="24"/>
          <w:szCs w:val="24"/>
        </w:rPr>
        <w:t xml:space="preserve"> Il corpus della sua parola: «Il prigioniero» — il libro che raccontò via Montalcini dall'interno e ispirò il cinema — le interviste, gli interventi sulla giustizia riparativa. La collazione libro-atti è già un cantiere filologico: che cosa il racconto letterario aggiunge, modifica o omette rispetto al giudicato sulla prigione.</w:t>
      </w:r>
    </w:p>
    <w:p>
      <w:pPr>
        <w:spacing w:after="120" w:line="276"/>
        <w:jc w:val="both"/>
      </w:pPr>
      <w:r>
        <w:rPr>
          <w:rFonts w:ascii="Barlow Semi Condensed" w:cs="Barlow Semi Condensed" w:eastAsia="Barlow Semi Condensed" w:hAnsi="Barlow Semi Condensed"/>
          <w:b/>
          <w:bCs/>
          <w:sz w:val="24"/>
          <w:szCs w:val="24"/>
        </w:rPr>
        <w:t xml:space="preserve">832 · Braghetti, i bersagli postumi.</w:t>
      </w:r>
      <w:r>
        <w:rPr>
          <w:rFonts w:ascii="Barlow Semi Condensed" w:cs="Barlow Semi Condensed" w:eastAsia="Barlow Semi Condensed" w:hAnsi="Barlow Semi Condensed"/>
          <w:sz w:val="24"/>
          <w:szCs w:val="24"/>
        </w:rPr>
        <w:t xml:space="preserve"> Le carte della custode: il lascito documentale eventuale, i materiali preparatori del libro, i carteggi. E il bersaglio incrociato con la Parte quarta: la sua descrizione della prigione contro i reperti e le perizie di via Montalcini (il blocco 419) — la collazione parola-luogo, ora tutta documentale.</w:t>
      </w:r>
    </w:p>
    <w:p>
      <w:pPr>
        <w:spacing w:after="120" w:line="276"/>
        <w:jc w:val="both"/>
      </w:pPr>
      <w:r>
        <w:rPr>
          <w:rFonts w:ascii="Barlow Semi Condensed" w:cs="Barlow Semi Condensed" w:eastAsia="Barlow Semi Condensed" w:hAnsi="Barlow Semi Condensed"/>
          <w:b/>
          <w:bCs/>
          <w:sz w:val="24"/>
          <w:szCs w:val="24"/>
        </w:rPr>
        <w:t xml:space="preserve">833 · Casimirri, l'anagrafe giudiziaria.</w:t>
      </w:r>
      <w:r>
        <w:rPr>
          <w:rFonts w:ascii="Barlow Semi Condensed" w:cs="Barlow Semi Condensed" w:eastAsia="Barlow Semi Condensed" w:hAnsi="Barlow Semi Condensed"/>
          <w:sz w:val="24"/>
          <w:szCs w:val="24"/>
        </w:rPr>
        <w:t xml:space="preserve"> Alessio Casimirri (Roma, 1951): sei ergastoli definitivi in contumacia per via Fani; latitante dal 1982, riparato via Libia e Cuba nel Nicaragua, cittadino nicaraguense, mai arrestato né interrogato da un giudice italiano; almeno due richieste formali di estradizione respinte. L'unico del registro senza neppure un verbale d'interrogatorio: il vuoto documentale personificato.</w:t>
      </w:r>
    </w:p>
    <w:p>
      <w:pPr>
        <w:spacing w:after="120" w:line="276"/>
        <w:jc w:val="both"/>
      </w:pPr>
      <w:r>
        <w:rPr>
          <w:rFonts w:ascii="Barlow Semi Condensed" w:cs="Barlow Semi Condensed" w:eastAsia="Barlow Semi Condensed" w:hAnsi="Barlow Semi Condensed"/>
          <w:b/>
          <w:bCs/>
          <w:sz w:val="24"/>
          <w:szCs w:val="24"/>
        </w:rPr>
        <w:t xml:space="preserve">834 · Casimirri, la parola.</w:t>
      </w:r>
      <w:r>
        <w:rPr>
          <w:rFonts w:ascii="Barlow Semi Condensed" w:cs="Barlow Semi Condensed" w:eastAsia="Barlow Semi Condensed" w:hAnsi="Barlow Semi Condensed"/>
          <w:sz w:val="24"/>
          <w:szCs w:val="24"/>
        </w:rPr>
        <w:t xml:space="preserve"> Il censimento della sua rara parola pubblica: le interviste concesse dalla latitanza (le tavole datate, con le circostanze di ciascuna), le dichiarazioni riferite. Poca parola, mai davanti a un'autorità: ogni suo enunciato pubblico è F sulla resa e C sul contenuto — la scheda lo stampa.</w:t>
      </w:r>
    </w:p>
    <w:p>
      <w:pPr>
        <w:spacing w:after="120" w:line="276"/>
        <w:jc w:val="both"/>
      </w:pPr>
      <w:r>
        <w:rPr>
          <w:rFonts w:ascii="Barlow Semi Condensed" w:cs="Barlow Semi Condensed" w:eastAsia="Barlow Semi Condensed" w:hAnsi="Barlow Semi Condensed"/>
          <w:b/>
          <w:bCs/>
          <w:sz w:val="24"/>
          <w:szCs w:val="24"/>
        </w:rPr>
        <w:t xml:space="preserve">835 · Casimirri, il bersaglio capitale.</w:t>
      </w:r>
      <w:r>
        <w:rPr>
          <w:rFonts w:ascii="Barlow Semi Condensed" w:cs="Barlow Semi Condensed" w:eastAsia="Barlow Semi Condensed" w:hAnsi="Barlow Semi Condensed"/>
          <w:sz w:val="24"/>
          <w:szCs w:val="24"/>
        </w:rPr>
        <w:t xml:space="preserve"> La rogatoria conoscitiva — la pista PN del programma con l'atto pronto, il blocco 104 dell'agenda, qui alla scala della persona: le domande scritte delle matrici, la via giuridica internazionale, l'esito verbalizzato comunque vada. Il bersaglio singolo a più alto rendimento potenziale dell'intero registro: l'unico che non ha mai risposto a nessuno.</w:t>
      </w:r>
    </w:p>
    <w:p>
      <w:pPr>
        <w:spacing w:after="120" w:line="276"/>
        <w:jc w:val="both"/>
      </w:pPr>
      <w:r>
        <w:rPr>
          <w:rFonts w:ascii="Barlow Semi Condensed" w:cs="Barlow Semi Condensed" w:eastAsia="Barlow Semi Condensed" w:hAnsi="Barlow Semi Condensed"/>
          <w:b/>
          <w:bCs/>
          <w:sz w:val="24"/>
          <w:szCs w:val="24"/>
        </w:rPr>
        <w:t xml:space="preserve">836 · Lojacono, l'anagrafe giudiziaria.</w:t>
      </w:r>
      <w:r>
        <w:rPr>
          <w:rFonts w:ascii="Barlow Semi Condensed" w:cs="Barlow Semi Condensed" w:eastAsia="Barlow Semi Condensed" w:hAnsi="Barlow Semi Condensed"/>
          <w:sz w:val="24"/>
          <w:szCs w:val="24"/>
        </w:rPr>
        <w:t xml:space="preserve"> Alvaro Lojacono (Roma, 1955): condannato in via definitiva nel Moro-quater (Cassazione, 14 maggio 1997) per la partecipazione all'intero arco del sequestro; cittadino svizzero per parte di madre, vive nel Ticino; la Svizzera non estrada i propri cittadini e lo ha processato per altri fatti; un fermo in Corsica nel 2000 negli snodi documentati. La scheda del condannato oltre confine per cittadinanza.</w:t>
      </w:r>
    </w:p>
    <w:p>
      <w:pPr>
        <w:spacing w:after="120" w:line="276"/>
        <w:jc w:val="both"/>
      </w:pPr>
      <w:r>
        <w:rPr>
          <w:rFonts w:ascii="Barlow Semi Condensed" w:cs="Barlow Semi Condensed" w:eastAsia="Barlow Semi Condensed" w:hAnsi="Barlow Semi Condensed"/>
          <w:b/>
          <w:bCs/>
          <w:sz w:val="24"/>
          <w:szCs w:val="24"/>
        </w:rPr>
        <w:t xml:space="preserve">837 · Lojacono, la parola.</w:t>
      </w:r>
      <w:r>
        <w:rPr>
          <w:rFonts w:ascii="Barlow Semi Condensed" w:cs="Barlow Semi Condensed" w:eastAsia="Barlow Semi Condensed" w:hAnsi="Barlow Semi Condensed"/>
          <w:sz w:val="24"/>
          <w:szCs w:val="24"/>
        </w:rPr>
        <w:t xml:space="preserve"> Il censimento della sua parola pubblica — scarsa, per lo più mediata: la tavola di interviste e dichiarazioni con le circostanze. Il silenzio relativo di chi vive libero per passaporto è un dato della tavola comparata delle parole (blocco 851).</w:t>
      </w:r>
    </w:p>
    <w:p>
      <w:pPr>
        <w:spacing w:after="120" w:line="276"/>
        <w:jc w:val="both"/>
      </w:pPr>
      <w:r>
        <w:rPr>
          <w:rFonts w:ascii="Barlow Semi Condensed" w:cs="Barlow Semi Condensed" w:eastAsia="Barlow Semi Condensed" w:hAnsi="Barlow Semi Condensed"/>
          <w:b/>
          <w:bCs/>
          <w:sz w:val="24"/>
          <w:szCs w:val="24"/>
        </w:rPr>
        <w:t xml:space="preserve">838 · Lojacono, i bersagli.</w:t>
      </w:r>
      <w:r>
        <w:rPr>
          <w:rFonts w:ascii="Barlow Semi Condensed" w:cs="Barlow Semi Condensed" w:eastAsia="Barlow Semi Condensed" w:hAnsi="Barlow Semi Condensed"/>
          <w:sz w:val="24"/>
          <w:szCs w:val="24"/>
        </w:rPr>
        <w:t xml:space="preserve"> La via dell'ascolto oltre confine (il blocco 105 dell'agenda): rogatoria, audizione volontaria, dichiarazione scritta — nelle forme che l'ordinamento elvetico consente. E il fascicolo svizzero come giacimento: gli atti dei procedimenti elvetici che lo riguardarono, nelle regole d'accesso di quel paese (il raccordo col blocco 144).</w:t>
      </w:r>
    </w:p>
    <w:p>
      <w:pPr>
        <w:spacing w:after="120" w:line="276"/>
        <w:jc w:val="both"/>
      </w:pPr>
      <w:r>
        <w:rPr>
          <w:rFonts w:ascii="Barlow Semi Condensed" w:cs="Barlow Semi Condensed" w:eastAsia="Barlow Semi Condensed" w:hAnsi="Barlow Semi Condensed"/>
          <w:b/>
          <w:bCs/>
          <w:sz w:val="24"/>
          <w:szCs w:val="24"/>
        </w:rPr>
        <w:t xml:space="preserve">839 · Maccari, l'anagrafe giudiziaria.</w:t>
      </w:r>
      <w:r>
        <w:rPr>
          <w:rFonts w:ascii="Barlow Semi Condensed" w:cs="Barlow Semi Condensed" w:eastAsia="Barlow Semi Condensed" w:hAnsi="Barlow Semi Condensed"/>
          <w:sz w:val="24"/>
          <w:szCs w:val="24"/>
        </w:rPr>
        <w:t xml:space="preserve"> Germano Maccari (Roma, 1953 - Rebibbia, 25 agosto 2001): il «quarto uomo» di via Montalcini, identificato negli anni Novanta, condannato nel Moro-quinquies (primo grado il 16 luglio 1996, definitivo nel 1998-99) a pena temporanea — il quantum esatto fra le caselle «da precisare»; morto in carcere per emorragia cerebrale. L'ultimo iscritto al registro, e il primo a morire dentro.</w:t>
      </w:r>
    </w:p>
    <w:p>
      <w:pPr>
        <w:spacing w:after="120" w:line="276"/>
        <w:jc w:val="both"/>
      </w:pPr>
      <w:r>
        <w:rPr>
          <w:rFonts w:ascii="Barlow Semi Condensed" w:cs="Barlow Semi Condensed" w:eastAsia="Barlow Semi Condensed" w:hAnsi="Barlow Semi Condensed"/>
          <w:b/>
          <w:bCs/>
          <w:sz w:val="24"/>
          <w:szCs w:val="24"/>
        </w:rPr>
        <w:t xml:space="preserve">840 · Maccari, la parola lasciata.</w:t>
      </w:r>
      <w:r>
        <w:rPr>
          <w:rFonts w:ascii="Barlow Semi Condensed" w:cs="Barlow Semi Condensed" w:eastAsia="Barlow Semi Condensed" w:hAnsi="Barlow Semi Condensed"/>
          <w:sz w:val="24"/>
          <w:szCs w:val="24"/>
        </w:rPr>
        <w:t xml:space="preserve"> Il censimento della sua parola: le dichiarazioni processuali del quinquies — le ammissioni, i limiti, i silenzi — come corpus chiuso. La sua vicenda è anche un caso di metodo: l'identificazione tardiva del quarto uomo dimostrò che il registro può crescere per giudicato anche a distanza di decenni — mai per suggestione.</w:t>
      </w:r>
    </w:p>
    <w:p>
      <w:pPr>
        <w:spacing w:after="120" w:line="276"/>
        <w:jc w:val="both"/>
      </w:pPr>
      <w:r>
        <w:rPr>
          <w:rFonts w:ascii="Barlow Semi Condensed" w:cs="Barlow Semi Condensed" w:eastAsia="Barlow Semi Condensed" w:hAnsi="Barlow Semi Condensed"/>
          <w:b/>
          <w:bCs/>
          <w:sz w:val="24"/>
          <w:szCs w:val="24"/>
        </w:rPr>
        <w:t xml:space="preserve">841 · Maccari, i bersagli postumi.</w:t>
      </w:r>
      <w:r>
        <w:rPr>
          <w:rFonts w:ascii="Barlow Semi Condensed" w:cs="Barlow Semi Condensed" w:eastAsia="Barlow Semi Condensed" w:hAnsi="Barlow Semi Condensed"/>
          <w:sz w:val="24"/>
          <w:szCs w:val="24"/>
        </w:rPr>
        <w:t xml:space="preserve"> Il fascicolo del quinquies come giacimento: gli atti dell'identificazione tardiva (come si arrivò a lui: la storia istruttoria è una lezione operativa per le presenze non giudicate), le carte personali eventuali. Il precedente processuale più istruttivo per il fascicolo aperto di oggi.</w:t>
      </w:r>
    </w:p>
    <w:p>
      <w:pPr>
        <w:spacing w:after="120" w:line="276"/>
        <w:jc w:val="both"/>
      </w:pPr>
      <w:r>
        <w:rPr>
          <w:rFonts w:ascii="Barlow Semi Condensed" w:cs="Barlow Semi Condensed" w:eastAsia="Barlow Semi Condensed" w:hAnsi="Barlow Semi Condensed"/>
          <w:b/>
          <w:bCs/>
          <w:sz w:val="24"/>
          <w:szCs w:val="24"/>
        </w:rPr>
        <w:t xml:space="preserve">842 · Etro, l'anagrafe giudiziaria.</w:t>
      </w:r>
      <w:r>
        <w:rPr>
          <w:rFonts w:ascii="Barlow Semi Condensed" w:cs="Barlow Semi Condensed" w:eastAsia="Barlow Semi Condensed" w:hAnsi="Barlow Semi Condensed"/>
          <w:sz w:val="24"/>
          <w:szCs w:val="24"/>
        </w:rPr>
        <w:t xml:space="preserve"> Raimondo Etro (Roma): condannato in via definitiva nel Moro-quinquies per il concorso nelle fasi logistiche (supporto e armi), pena temporanea interamente scontata — l'anno di nascita e il quantum fra le caselle divergenti dichiarate; libero e vivente. La scheda del livello logistico giudicato.</w:t>
      </w:r>
    </w:p>
    <w:p>
      <w:pPr>
        <w:spacing w:after="120" w:line="276"/>
        <w:jc w:val="both"/>
      </w:pPr>
      <w:r>
        <w:rPr>
          <w:rFonts w:ascii="Barlow Semi Condensed" w:cs="Barlow Semi Condensed" w:eastAsia="Barlow Semi Condensed" w:hAnsi="Barlow Semi Condensed"/>
          <w:b/>
          <w:bCs/>
          <w:sz w:val="24"/>
          <w:szCs w:val="24"/>
        </w:rPr>
        <w:t xml:space="preserve">843 · Etro, la parola.</w:t>
      </w:r>
      <w:r>
        <w:rPr>
          <w:rFonts w:ascii="Barlow Semi Condensed" w:cs="Barlow Semi Condensed" w:eastAsia="Barlow Semi Condensed" w:hAnsi="Barlow Semi Condensed"/>
          <w:sz w:val="24"/>
          <w:szCs w:val="24"/>
        </w:rPr>
        <w:t xml:space="preserve"> Il censimento delle sue interviste — negli anni ha parlato, anche in modo ruvido: la tavola datata con le circostanze, la collazione con gli atti. La parola del logistico tocca celle che i vertici non toccano: i depositi, le armi, i movimenti minuti.</w:t>
      </w:r>
    </w:p>
    <w:p>
      <w:pPr>
        <w:spacing w:after="120" w:line="276"/>
        <w:jc w:val="both"/>
      </w:pPr>
      <w:r>
        <w:rPr>
          <w:rFonts w:ascii="Barlow Semi Condensed" w:cs="Barlow Semi Condensed" w:eastAsia="Barlow Semi Condensed" w:hAnsi="Barlow Semi Condensed"/>
          <w:b/>
          <w:bCs/>
          <w:sz w:val="24"/>
          <w:szCs w:val="24"/>
        </w:rPr>
        <w:t xml:space="preserve">844 · Etro, i bersagli.</w:t>
      </w:r>
      <w:r>
        <w:rPr>
          <w:rFonts w:ascii="Barlow Semi Condensed" w:cs="Barlow Semi Condensed" w:eastAsia="Barlow Semi Condensed" w:hAnsi="Barlow Semi Condensed"/>
          <w:sz w:val="24"/>
          <w:szCs w:val="24"/>
        </w:rPr>
        <w:t xml:space="preserve"> Le domande logistiche aperte: le armi mai trovate (il blocco 366), i depositi, i percorsi — nella forma conservativa consueta. Fra i viventi, la memoria più prossima alla materialità minuta dell'operazione.</w:t>
      </w:r>
    </w:p>
    <w:p>
      <w:pPr>
        <w:spacing w:after="120" w:line="276"/>
        <w:jc w:val="both"/>
      </w:pPr>
      <w:r>
        <w:rPr>
          <w:rFonts w:ascii="Barlow Semi Condensed" w:cs="Barlow Semi Condensed" w:eastAsia="Barlow Semi Condensed" w:hAnsi="Barlow Semi Condensed"/>
          <w:b/>
          <w:bCs/>
          <w:sz w:val="24"/>
          <w:szCs w:val="24"/>
        </w:rPr>
        <w:t xml:space="preserve">845 · La pietra di paragone, per esteso.</w:t>
      </w:r>
      <w:r>
        <w:rPr>
          <w:rFonts w:ascii="Barlow Semi Condensed" w:cs="Barlow Semi Condensed" w:eastAsia="Barlow Semi Condensed" w:hAnsi="Barlow Semi Condensed"/>
          <w:sz w:val="24"/>
          <w:szCs w:val="24"/>
        </w:rPr>
        <w:t xml:space="preserve"> La scheda Algranati completa — fuori dal registro e accanto al registro: l'assoluzione per via Fani (Moro-ter, 1988) mai travolta; l'ergastolo per altri fatti; la cattura al Cairo (14 gennaio 2004). Tre righe che la pubblicistica confonde da vent'anni, fissate con le fonti: l'opera la custodisce come si custodisce una regola.</w:t>
      </w:r>
    </w:p>
    <w:p>
      <w:pPr>
        <w:spacing w:after="120" w:line="276"/>
        <w:jc w:val="both"/>
      </w:pPr>
      <w:r>
        <w:rPr>
          <w:rFonts w:ascii="Barlow Semi Condensed" w:cs="Barlow Semi Condensed" w:eastAsia="Barlow Semi Condensed" w:hAnsi="Barlow Semi Condensed"/>
          <w:b/>
          <w:bCs/>
          <w:sz w:val="24"/>
          <w:szCs w:val="24"/>
        </w:rPr>
        <w:t xml:space="preserve">846 · I non iscritti, il perimetro.</w:t>
      </w:r>
      <w:r>
        <w:rPr>
          <w:rFonts w:ascii="Barlow Semi Condensed" w:cs="Barlow Semi Condensed" w:eastAsia="Barlow Semi Condensed" w:hAnsi="Barlow Semi Condensed"/>
          <w:sz w:val="24"/>
          <w:szCs w:val="24"/>
        </w:rPr>
        <w:t xml:space="preserve"> Il censimento disciplinare: le persone che la pubblicistica associa al caso senza giudicato per il caso — la tavola di chi NON è nel registro e del perché (assoluzioni, archiviazioni, mere congetture), senza nomi oltre gli atti pubblici che li contengono. Il perimetro negativo del registro è la sua difesa: si scrive una volta, bene.</w:t>
      </w:r>
    </w:p>
    <w:p>
      <w:pPr>
        <w:spacing w:after="120" w:line="276"/>
        <w:jc w:val="both"/>
      </w:pPr>
      <w:r>
        <w:rPr>
          <w:rFonts w:ascii="Barlow Semi Condensed" w:cs="Barlow Semi Condensed" w:eastAsia="Barlow Semi Condensed" w:hAnsi="Barlow Semi Condensed"/>
          <w:b/>
          <w:bCs/>
          <w:sz w:val="24"/>
          <w:szCs w:val="24"/>
        </w:rPr>
        <w:t xml:space="preserve">847 · Le donne e gli uomini del registro, i numeri.</w:t>
      </w:r>
      <w:r>
        <w:rPr>
          <w:rFonts w:ascii="Barlow Semi Condensed" w:cs="Barlow Semi Condensed" w:eastAsia="Barlow Semi Condensed" w:hAnsi="Barlow Semi Condensed"/>
          <w:sz w:val="24"/>
          <w:szCs w:val="24"/>
        </w:rPr>
        <w:t xml:space="preserve"> La tavola statistica del registro: età al 1978, provenienze, ruoli giudicati, esecuzioni, longevità — la prosopografia quantitativa dei tredici. I numeri del registro raccontano una generazione: si contano perché sono storia, non curiosità.</w:t>
      </w:r>
    </w:p>
    <w:p>
      <w:pPr>
        <w:spacing w:after="120" w:line="276"/>
        <w:jc w:val="both"/>
      </w:pPr>
      <w:r>
        <w:rPr>
          <w:rFonts w:ascii="Barlow Semi Condensed" w:cs="Barlow Semi Condensed" w:eastAsia="Barlow Semi Condensed" w:hAnsi="Barlow Semi Condensed"/>
          <w:b/>
          <w:bCs/>
          <w:sz w:val="24"/>
          <w:szCs w:val="24"/>
        </w:rPr>
        <w:t xml:space="preserve">848 · Le morti del registro.</w:t>
      </w:r>
      <w:r>
        <w:rPr>
          <w:rFonts w:ascii="Barlow Semi Condensed" w:cs="Barlow Semi Condensed" w:eastAsia="Barlow Semi Condensed" w:hAnsi="Barlow Semi Condensed"/>
          <w:sz w:val="24"/>
          <w:szCs w:val="24"/>
        </w:rPr>
        <w:t xml:space="preserve"> La tavola dei decessi con le fonti: 2001, 2013, 2024, 2025, 2025 — la curva che si accelera. Ogni scheda postuma della parte è nata da questa curva; ogni scheda vivente lavora contro di essa. Il registro è un archivio che muore: la parte lo dice coi numeri.</w:t>
      </w:r>
    </w:p>
    <w:p>
      <w:pPr>
        <w:spacing w:after="120" w:line="276"/>
        <w:jc w:val="both"/>
      </w:pPr>
      <w:r>
        <w:rPr>
          <w:rFonts w:ascii="Barlow Semi Condensed" w:cs="Barlow Semi Condensed" w:eastAsia="Barlow Semi Condensed" w:hAnsi="Barlow Semi Condensed"/>
          <w:b/>
          <w:bCs/>
          <w:sz w:val="24"/>
          <w:szCs w:val="24"/>
        </w:rPr>
        <w:t xml:space="preserve">849 · Il registro e il fascicolo aperto.</w:t>
      </w:r>
      <w:r>
        <w:rPr>
          <w:rFonts w:ascii="Barlow Semi Condensed" w:cs="Barlow Semi Condensed" w:eastAsia="Barlow Semi Condensed" w:hAnsi="Barlow Semi Condensed"/>
          <w:sz w:val="24"/>
          <w:szCs w:val="24"/>
        </w:rPr>
        <w:t xml:space="preserve"> Il raccordo istituzionale: il registro chiuso convive con un fascicolo aperto sulle presenze non giudicate — e i due non si toccano: nessuna delle domande del fascicolo riapre le posizioni giudicate, nessun giudicato limita le domande sulle presenze ignote. La geometria giuridica del caso, spiegata una volta per tutte.</w:t>
      </w:r>
    </w:p>
    <w:p>
      <w:pPr>
        <w:spacing w:after="120" w:line="276"/>
        <w:jc w:val="both"/>
      </w:pPr>
      <w:r>
        <w:rPr>
          <w:rFonts w:ascii="Barlow Semi Condensed" w:cs="Barlow Semi Condensed" w:eastAsia="Barlow Semi Condensed" w:hAnsi="Barlow Semi Condensed"/>
          <w:b/>
          <w:bCs/>
          <w:sz w:val="24"/>
          <w:szCs w:val="24"/>
        </w:rPr>
        <w:t xml:space="preserve">850 · La tavola dei tredici.</w:t>
      </w:r>
      <w:r>
        <w:rPr>
          <w:rFonts w:ascii="Barlow Semi Condensed" w:cs="Barlow Semi Condensed" w:eastAsia="Barlow Semi Condensed" w:hAnsi="Barlow Semi Condensed"/>
          <w:sz w:val="24"/>
          <w:szCs w:val="24"/>
        </w:rPr>
        <w:t xml:space="preserve"> La chiusura della sezione: tredici schede a tre strati, con gli stati verificati, le caselle aperte dichiarate, i bersagli calendarizzati per urgenza biologica. Il luogo dei nomi, portato a profondità documentale — e ancora chiuso a chiave: si entra solo per giudicato.</w:t>
      </w:r>
    </w:p>
    <w:p>
      <w:pPr>
        <w:pStyle w:val="Heading3"/>
        <w:spacing w:after="80" w:before="160"/>
      </w:pPr>
      <w:r>
        <w:rPr>
          <w:rFonts w:ascii="Barlow Semi Condensed" w:cs="Barlow Semi Condensed" w:eastAsia="Barlow Semi Condensed" w:hAnsi="Barlow Semi Condensed"/>
          <w:sz w:val="24"/>
          <w:szCs w:val="24"/>
        </w:rPr>
        <w:t xml:space="preserve">La memorialistica e la parola (blocchi 851-865)</w:t>
      </w:r>
    </w:p>
    <w:p>
      <w:pPr>
        <w:spacing w:after="120" w:line="276"/>
        <w:jc w:val="both"/>
      </w:pPr>
      <w:r>
        <w:rPr>
          <w:rFonts w:ascii="Barlow Semi Condensed" w:cs="Barlow Semi Condensed" w:eastAsia="Barlow Semi Condensed" w:hAnsi="Barlow Semi Condensed"/>
          <w:b/>
          <w:bCs/>
          <w:sz w:val="24"/>
          <w:szCs w:val="24"/>
        </w:rPr>
        <w:t xml:space="preserve">851 · La tavola comparata delle parole.</w:t>
      </w:r>
      <w:r>
        <w:rPr>
          <w:rFonts w:ascii="Barlow Semi Condensed" w:cs="Barlow Semi Condensed" w:eastAsia="Barlow Semi Condensed" w:hAnsi="Barlow Semi Condensed"/>
          <w:sz w:val="24"/>
          <w:szCs w:val="24"/>
        </w:rPr>
        <w:t xml:space="preserve"> Lo strumento della sezione: la tavola di tutta la parola pubblica del registro — chi ha detto quanto, dove, quando: i libri, le interviste, le audizioni, i silenzi — persona per persona, anno per anno. La sociologia della parola dei condannati è essa stessa un documento: chi parla, chi tace, e da quando.</w:t>
      </w:r>
    </w:p>
    <w:p>
      <w:pPr>
        <w:spacing w:after="120" w:line="276"/>
        <w:jc w:val="both"/>
      </w:pPr>
      <w:r>
        <w:rPr>
          <w:rFonts w:ascii="Barlow Semi Condensed" w:cs="Barlow Semi Condensed" w:eastAsia="Barlow Semi Condensed" w:hAnsi="Barlow Semi Condensed"/>
          <w:b/>
          <w:bCs/>
          <w:sz w:val="24"/>
          <w:szCs w:val="24"/>
        </w:rPr>
        <w:t xml:space="preserve">852 · La biblioteca dei condannati.</w:t>
      </w:r>
      <w:r>
        <w:rPr>
          <w:rFonts w:ascii="Barlow Semi Condensed" w:cs="Barlow Semi Condensed" w:eastAsia="Barlow Semi Condensed" w:hAnsi="Barlow Semi Condensed"/>
          <w:sz w:val="24"/>
          <w:szCs w:val="24"/>
        </w:rPr>
        <w:t xml:space="preserve"> Il censimento bibliografico integrale: ogni libro scritto da membri del registro (dal libro-intervista di Moretti del 1994 al «Prigioniero» di Braghetti del 1998, dall'autobiografia di Gallinari ai libri di Balzerani), con edizioni, ristampe, traduzioni. La memorialistica brigatista sul caso è un corpus editoriale: si cataloga prima di giudicarlo.</w:t>
      </w:r>
    </w:p>
    <w:p>
      <w:pPr>
        <w:spacing w:after="120" w:line="276"/>
        <w:jc w:val="both"/>
      </w:pPr>
      <w:r>
        <w:rPr>
          <w:rFonts w:ascii="Barlow Semi Condensed" w:cs="Barlow Semi Condensed" w:eastAsia="Barlow Semi Condensed" w:hAnsi="Barlow Semi Condensed"/>
          <w:b/>
          <w:bCs/>
          <w:sz w:val="24"/>
          <w:szCs w:val="24"/>
        </w:rPr>
        <w:t xml:space="preserve">853 · La collazione parola-atti.</w:t>
      </w:r>
      <w:r>
        <w:rPr>
          <w:rFonts w:ascii="Barlow Semi Condensed" w:cs="Barlow Semi Condensed" w:eastAsia="Barlow Semi Condensed" w:hAnsi="Barlow Semi Condensed"/>
          <w:sz w:val="24"/>
          <w:szCs w:val="24"/>
        </w:rPr>
        <w:t xml:space="preserve"> Il cantiere filologico della sezione: ogni affermazione fattuale della memorialistica collazionata con gli atti — la tavola delle concordanze, delle divergenze e degli inediti per ciascun libro (il metodo del blocco 170 dell'agenda, applicato ai condannati). Che cosa i libri aggiungono al giudicato, e che cosa gli tolgono: misurato, non recensito.</w:t>
      </w:r>
    </w:p>
    <w:p>
      <w:pPr>
        <w:spacing w:after="120" w:line="276"/>
        <w:jc w:val="both"/>
      </w:pPr>
      <w:r>
        <w:rPr>
          <w:rFonts w:ascii="Barlow Semi Condensed" w:cs="Barlow Semi Condensed" w:eastAsia="Barlow Semi Condensed" w:hAnsi="Barlow Semi Condensed"/>
          <w:b/>
          <w:bCs/>
          <w:sz w:val="24"/>
          <w:szCs w:val="24"/>
        </w:rPr>
        <w:t xml:space="preserve">854 · Le versioni che cambiano.</w:t>
      </w:r>
      <w:r>
        <w:rPr>
          <w:rFonts w:ascii="Barlow Semi Condensed" w:cs="Barlow Semi Condensed" w:eastAsia="Barlow Semi Condensed" w:hAnsi="Barlow Semi Condensed"/>
          <w:sz w:val="24"/>
          <w:szCs w:val="24"/>
        </w:rPr>
        <w:t xml:space="preserve"> La diacronia delle versioni: per i temi chiave (la dinamica di via Fani, la prigione, i canali), come il racconto di ciascuno è mutato nel tempo — dalle dichiarazioni processuali ai libri alle ultime interviste. La deriva delle versioni è un dato filologico: si tabula con le date, senza processi alle intenzioni.</w:t>
      </w:r>
    </w:p>
    <w:p>
      <w:pPr>
        <w:spacing w:after="120" w:line="276"/>
        <w:jc w:val="both"/>
      </w:pPr>
      <w:r>
        <w:rPr>
          <w:rFonts w:ascii="Barlow Semi Condensed" w:cs="Barlow Semi Condensed" w:eastAsia="Barlow Semi Condensed" w:hAnsi="Barlow Semi Condensed"/>
          <w:b/>
          <w:bCs/>
          <w:sz w:val="24"/>
          <w:szCs w:val="24"/>
        </w:rPr>
        <w:t xml:space="preserve">855 · Il memoriale della dissociazione.</w:t>
      </w:r>
      <w:r>
        <w:rPr>
          <w:rFonts w:ascii="Barlow Semi Condensed" w:cs="Barlow Semi Condensed" w:eastAsia="Barlow Semi Condensed" w:hAnsi="Barlow Semi Condensed"/>
          <w:sz w:val="24"/>
          <w:szCs w:val="24"/>
        </w:rPr>
        <w:t xml:space="preserve"> Lo strumento-cerniera: il memoriale Morucci-Faranda degli anni Ottanta — la versione della dissociazione che ridisegnò la conoscenza giudiziaria del caso: la sua storia documentale (stesure, consegne, usi processuali), il suo perimetro (che cosa copre e che cosa dichiaratamente no), la sua tenuta rispetto agli accertamenti successivi. Il testo di parte più influente del caso merita la scheda più rigorosa.</w:t>
      </w:r>
    </w:p>
    <w:p>
      <w:pPr>
        <w:spacing w:after="120" w:line="276"/>
        <w:jc w:val="both"/>
      </w:pPr>
      <w:r>
        <w:rPr>
          <w:rFonts w:ascii="Barlow Semi Condensed" w:cs="Barlow Semi Condensed" w:eastAsia="Barlow Semi Condensed" w:hAnsi="Barlow Semi Condensed"/>
          <w:b/>
          <w:bCs/>
          <w:sz w:val="24"/>
          <w:szCs w:val="24"/>
        </w:rPr>
        <w:t xml:space="preserve">856 · Le audizioni parlamentari dei condannati.</w:t>
      </w:r>
      <w:r>
        <w:rPr>
          <w:rFonts w:ascii="Barlow Semi Condensed" w:cs="Barlow Semi Condensed" w:eastAsia="Barlow Semi Condensed" w:hAnsi="Barlow Semi Condensed"/>
          <w:sz w:val="24"/>
          <w:szCs w:val="24"/>
        </w:rPr>
        <w:t xml:space="preserve"> Il censimento: quali membri del registro furono ascoltati dalle commissioni, quando, con quali esiti (l'indice unico del blocco 67 dell'agenda, ristretto al registro). E il negativo: chi non fu mai ascoltato da nessuna commissione — la tavola delle occasioni mancate, con le ragioni documentate dove esistono.</w:t>
      </w:r>
    </w:p>
    <w:p>
      <w:pPr>
        <w:spacing w:after="120" w:line="276"/>
        <w:jc w:val="both"/>
      </w:pPr>
      <w:r>
        <w:rPr>
          <w:rFonts w:ascii="Barlow Semi Condensed" w:cs="Barlow Semi Condensed" w:eastAsia="Barlow Semi Condensed" w:hAnsi="Barlow Semi Condensed"/>
          <w:b/>
          <w:bCs/>
          <w:sz w:val="24"/>
          <w:szCs w:val="24"/>
        </w:rPr>
        <w:t xml:space="preserve">857 · Le interviste televisive, il corpus.</w:t>
      </w:r>
      <w:r>
        <w:rPr>
          <w:rFonts w:ascii="Barlow Semi Condensed" w:cs="Barlow Semi Condensed" w:eastAsia="Barlow Semi Condensed" w:hAnsi="Barlow Semi Condensed"/>
          <w:sz w:val="24"/>
          <w:szCs w:val="24"/>
        </w:rPr>
        <w:t xml:space="preserve"> Il raccordo con la Parte sesta (blocco 621): le apparizioni televisive del registro — Zavoli in testa — indicizzate al minuto e collazionate con gli atti. La televisione ha raccolto più parola brigatista dei tribunali negli ultimi trent'anni: quel corpus si tratta con la stessa serietà degli stenografici.</w:t>
      </w:r>
    </w:p>
    <w:p>
      <w:pPr>
        <w:spacing w:after="120" w:line="276"/>
        <w:jc w:val="both"/>
      </w:pPr>
      <w:r>
        <w:rPr>
          <w:rFonts w:ascii="Barlow Semi Condensed" w:cs="Barlow Semi Condensed" w:eastAsia="Barlow Semi Condensed" w:hAnsi="Barlow Semi Condensed"/>
          <w:b/>
          <w:bCs/>
          <w:sz w:val="24"/>
          <w:szCs w:val="24"/>
        </w:rPr>
        <w:t xml:space="preserve">858 · La giustizia riparativa documentata.</w:t>
      </w:r>
      <w:r>
        <w:rPr>
          <w:rFonts w:ascii="Barlow Semi Condensed" w:cs="Barlow Semi Condensed" w:eastAsia="Barlow Semi Condensed" w:hAnsi="Barlow Semi Condensed"/>
          <w:sz w:val="24"/>
          <w:szCs w:val="24"/>
        </w:rPr>
        <w:t xml:space="preserve"> Il capitolo più delicato: i percorsi riparativi pubblici e riferiti (Bonisoli e altri con familiari delle vittime) — censiti nel loro perimetro pubblico, col riserbo dovuto ai percorsi riservati (la regola del blocco 828). Ciò che la giustizia riparativa ha prodotto per la conoscenza del caso si registra; ciò che appartiene all'intimità degli incontri, no.</w:t>
      </w:r>
    </w:p>
    <w:p>
      <w:pPr>
        <w:spacing w:after="120" w:line="276"/>
        <w:jc w:val="both"/>
      </w:pPr>
      <w:r>
        <w:rPr>
          <w:rFonts w:ascii="Barlow Semi Condensed" w:cs="Barlow Semi Condensed" w:eastAsia="Barlow Semi Condensed" w:hAnsi="Barlow Semi Condensed"/>
          <w:b/>
          <w:bCs/>
          <w:sz w:val="24"/>
          <w:szCs w:val="24"/>
        </w:rPr>
        <w:t xml:space="preserve">859 · Le dichiarazioni spontanee, il programma.</w:t>
      </w:r>
      <w:r>
        <w:rPr>
          <w:rFonts w:ascii="Barlow Semi Condensed" w:cs="Barlow Semi Condensed" w:eastAsia="Barlow Semi Condensed" w:hAnsi="Barlow Semi Condensed"/>
          <w:sz w:val="24"/>
          <w:szCs w:val="24"/>
        </w:rPr>
        <w:t xml:space="preserve"> L'esecuzione coordinata del blocco 103 dell'agenda su tutto il registro vivente: la proposta formale, persona per persona, di dichiarazioni spontanee verbalizzate sulle celle aperte delle matrici — con le forme (verbalizzazione utilizzabile), i tempi (la finestra biologica) e la contabilità (accettazioni, rifiuti, silenzi: tutti dati). Il programma della parte: la parola che ancora si può chiedere, chiesta bene.</w:t>
      </w:r>
    </w:p>
    <w:p>
      <w:pPr>
        <w:spacing w:after="120" w:line="276"/>
        <w:jc w:val="both"/>
      </w:pPr>
      <w:r>
        <w:rPr>
          <w:rFonts w:ascii="Barlow Semi Condensed" w:cs="Barlow Semi Condensed" w:eastAsia="Barlow Semi Condensed" w:hAnsi="Barlow Semi Condensed"/>
          <w:b/>
          <w:bCs/>
          <w:sz w:val="24"/>
          <w:szCs w:val="24"/>
        </w:rPr>
        <w:t xml:space="preserve">860 · I rifiuti come dati.</w:t>
      </w:r>
      <w:r>
        <w:rPr>
          <w:rFonts w:ascii="Barlow Semi Condensed" w:cs="Barlow Semi Condensed" w:eastAsia="Barlow Semi Condensed" w:hAnsi="Barlow Semi Condensed"/>
          <w:sz w:val="24"/>
          <w:szCs w:val="24"/>
        </w:rPr>
        <w:t xml:space="preserve"> La regola degli esiti: ogni rifiuto di parlare si registra con la stessa cura di ogni dichiarazione — datato, senza commento, nella tavola. Il silenzio di un condannato è un suo diritto e un fatto storico: l'opera lo rispetta e lo conta.</w:t>
      </w:r>
    </w:p>
    <w:p>
      <w:pPr>
        <w:spacing w:after="120" w:line="276"/>
        <w:jc w:val="both"/>
      </w:pPr>
      <w:r>
        <w:rPr>
          <w:rFonts w:ascii="Barlow Semi Condensed" w:cs="Barlow Semi Condensed" w:eastAsia="Barlow Semi Condensed" w:hAnsi="Barlow Semi Condensed"/>
          <w:b/>
          <w:bCs/>
          <w:sz w:val="24"/>
          <w:szCs w:val="24"/>
        </w:rPr>
        <w:t xml:space="preserve">861 · Le parole degli altri brigatisti.</w:t>
      </w:r>
      <w:r>
        <w:rPr>
          <w:rFonts w:ascii="Barlow Semi Condensed" w:cs="Barlow Semi Condensed" w:eastAsia="Barlow Semi Condensed" w:hAnsi="Barlow Semi Condensed"/>
          <w:sz w:val="24"/>
          <w:szCs w:val="24"/>
        </w:rPr>
        <w:t xml:space="preserve"> Il perimetro allargato con disciplina: la parola pubblica dei condannati per fatti connessi (la colonna romana, i covi) sul caso — censita come contesto, mai confusa col registro. La tavola distingue per costruzione: chi parla del caso dall'interno del suo giudicato, e chi ne parla da testimone d'ambiente.</w:t>
      </w:r>
    </w:p>
    <w:p>
      <w:pPr>
        <w:spacing w:after="120" w:line="276"/>
        <w:jc w:val="both"/>
      </w:pPr>
      <w:r>
        <w:rPr>
          <w:rFonts w:ascii="Barlow Semi Condensed" w:cs="Barlow Semi Condensed" w:eastAsia="Barlow Semi Condensed" w:hAnsi="Barlow Semi Condensed"/>
          <w:b/>
          <w:bCs/>
          <w:sz w:val="24"/>
          <w:szCs w:val="24"/>
        </w:rPr>
        <w:t xml:space="preserve">862 · I confronti impossibili e possibili.</w:t>
      </w:r>
      <w:r>
        <w:rPr>
          <w:rFonts w:ascii="Barlow Semi Condensed" w:cs="Barlow Semi Condensed" w:eastAsia="Barlow Semi Condensed" w:hAnsi="Barlow Semi Condensed"/>
          <w:sz w:val="24"/>
          <w:szCs w:val="24"/>
        </w:rPr>
        <w:t xml:space="preserve"> Il censimento dei contraddittori mai avvenuti: le versioni incompatibili fra membri del registro mai messe a confronto in nessuna sede — la tavola delle collisioni non risolte. Dove i protagonisti vivono, il confronto documentale (non suggestivo: la regola del blocco 123 dell'agenda) è ancora possibile: si propone, si verbalizza, si archivia.</w:t>
      </w:r>
    </w:p>
    <w:p>
      <w:pPr>
        <w:spacing w:after="120" w:line="276"/>
        <w:jc w:val="both"/>
      </w:pPr>
      <w:r>
        <w:rPr>
          <w:rFonts w:ascii="Barlow Semi Condensed" w:cs="Barlow Semi Condensed" w:eastAsia="Barlow Semi Condensed" w:hAnsi="Barlow Semi Condensed"/>
          <w:b/>
          <w:bCs/>
          <w:sz w:val="24"/>
          <w:szCs w:val="24"/>
        </w:rPr>
        <w:t xml:space="preserve">863 · La parola e il DNA.</w:t>
      </w:r>
      <w:r>
        <w:rPr>
          <w:rFonts w:ascii="Barlow Semi Condensed" w:cs="Barlow Semi Condensed" w:eastAsia="Barlow Semi Condensed" w:hAnsi="Barlow Semi Condensed"/>
          <w:sz w:val="24"/>
          <w:szCs w:val="24"/>
        </w:rPr>
        <w:t xml:space="preserve"> Il raccordo con la Parte quarta: le dichiarazioni del registro sulla composizione del commando contro i profili orfani del 2016 — la tavola delle compatibilità dichiarative (chi ha sempre detto che erano in nove, chi ha lasciato margini). La parola si confronta con la biologia: dove collidono, la collisione si dichiara — e decide il reperto.</w:t>
      </w:r>
    </w:p>
    <w:p>
      <w:pPr>
        <w:spacing w:after="120" w:line="276"/>
        <w:jc w:val="both"/>
      </w:pPr>
      <w:r>
        <w:rPr>
          <w:rFonts w:ascii="Barlow Semi Condensed" w:cs="Barlow Semi Condensed" w:eastAsia="Barlow Semi Condensed" w:hAnsi="Barlow Semi Condensed"/>
          <w:b/>
          <w:bCs/>
          <w:sz w:val="24"/>
          <w:szCs w:val="24"/>
        </w:rPr>
        <w:t xml:space="preserve">864 · L'ultima generazione di domande.</w:t>
      </w:r>
      <w:r>
        <w:rPr>
          <w:rFonts w:ascii="Barlow Semi Condensed" w:cs="Barlow Semi Condensed" w:eastAsia="Barlow Semi Condensed" w:hAnsi="Barlow Semi Condensed"/>
          <w:sz w:val="24"/>
          <w:szCs w:val="24"/>
        </w:rPr>
        <w:t xml:space="preserve"> La sintesi operativa: le dieci domande documentali più importanti ancora ponibili al registro vivente — estratte dalle matrici, ordinate per rendimento, scritte nella forma giusta. Non «la verità»: dieci celle specifiche che una memoria diretta può riempire e un documento può poi corroborare. La parte le pubblica: sono il suo testamento operativo.</w:t>
      </w:r>
    </w:p>
    <w:p>
      <w:pPr>
        <w:spacing w:after="120" w:line="276"/>
        <w:jc w:val="both"/>
      </w:pPr>
      <w:r>
        <w:rPr>
          <w:rFonts w:ascii="Barlow Semi Condensed" w:cs="Barlow Semi Condensed" w:eastAsia="Barlow Semi Condensed" w:hAnsi="Barlow Semi Condensed"/>
          <w:b/>
          <w:bCs/>
          <w:sz w:val="24"/>
          <w:szCs w:val="24"/>
        </w:rPr>
        <w:t xml:space="preserve">865 · La tavola della parola.</w:t>
      </w:r>
      <w:r>
        <w:rPr>
          <w:rFonts w:ascii="Barlow Semi Condensed" w:cs="Barlow Semi Condensed" w:eastAsia="Barlow Semi Condensed" w:hAnsi="Barlow Semi Condensed"/>
          <w:sz w:val="24"/>
          <w:szCs w:val="24"/>
        </w:rPr>
        <w:t xml:space="preserve"> La chiusura della sezione: il corpus censito, le collazioni avviate, il programma delle spontanee attivo, i rifiuti contati. La parola dei condannati, trattata da fonte: né oracolo né spazzatura — materiale, con i gradi.</w:t>
      </w:r>
    </w:p>
    <w:p>
      <w:pPr>
        <w:pStyle w:val="Heading3"/>
        <w:spacing w:after="80" w:before="160"/>
      </w:pPr>
      <w:r>
        <w:rPr>
          <w:rFonts w:ascii="Barlow Semi Condensed" w:cs="Barlow Semi Condensed" w:eastAsia="Barlow Semi Condensed" w:hAnsi="Barlow Semi Condensed"/>
          <w:sz w:val="24"/>
          <w:szCs w:val="24"/>
        </w:rPr>
        <w:t xml:space="preserve">I bersagli giudiziari e il governo della parte (blocchi 866-880)</w:t>
      </w:r>
    </w:p>
    <w:p>
      <w:pPr>
        <w:spacing w:after="120" w:line="276"/>
        <w:jc w:val="both"/>
      </w:pPr>
      <w:r>
        <w:rPr>
          <w:rFonts w:ascii="Barlow Semi Condensed" w:cs="Barlow Semi Condensed" w:eastAsia="Barlow Semi Condensed" w:hAnsi="Barlow Semi Condensed"/>
          <w:b/>
          <w:bCs/>
          <w:sz w:val="24"/>
          <w:szCs w:val="24"/>
        </w:rPr>
        <w:t xml:space="preserve">866 · Il fascicolo integrale del registro.</w:t>
      </w:r>
      <w:r>
        <w:rPr>
          <w:rFonts w:ascii="Barlow Semi Condensed" w:cs="Barlow Semi Condensed" w:eastAsia="Barlow Semi Condensed" w:hAnsi="Barlow Semi Condensed"/>
          <w:sz w:val="24"/>
          <w:szCs w:val="24"/>
        </w:rPr>
        <w:t xml:space="preserve"> Il bersaglio documentale: per ciascuno dei tredici, il fascicolo processuale personale integrale dagli atti digitalizzati — imputazioni, dibattimento, motivazioni, esecuzione. Tredici dossier d'archivio completi: la base di ogni scheda, citabile al foglio.</w:t>
      </w:r>
    </w:p>
    <w:p>
      <w:pPr>
        <w:spacing w:after="120" w:line="276"/>
        <w:jc w:val="both"/>
      </w:pPr>
      <w:r>
        <w:rPr>
          <w:rFonts w:ascii="Barlow Semi Condensed" w:cs="Barlow Semi Condensed" w:eastAsia="Barlow Semi Condensed" w:hAnsi="Barlow Semi Condensed"/>
          <w:b/>
          <w:bCs/>
          <w:sz w:val="24"/>
          <w:szCs w:val="24"/>
        </w:rPr>
        <w:t xml:space="preserve">867 · Le divergenze delle fonti, chiuse.</w:t>
      </w:r>
      <w:r>
        <w:rPr>
          <w:rFonts w:ascii="Barlow Semi Condensed" w:cs="Barlow Semi Condensed" w:eastAsia="Barlow Semi Condensed" w:hAnsi="Barlow Semi Condensed"/>
          <w:sz w:val="24"/>
          <w:szCs w:val="24"/>
        </w:rPr>
        <w:t xml:space="preserve"> Il programma di bonifica: le caselle «da precisare» della tavola (i luoghi di nascita divergenti, i quantum di pena, le date dei benefici) chiuse una a una su fonte primaria — anagrafi, sentenze, provvedimenti. La prosopografia del registro merita l'esattezza delle date: ogni casella chiusa è un piccolo atto di igiene storica.</w:t>
      </w:r>
    </w:p>
    <w:p>
      <w:pPr>
        <w:spacing w:after="120" w:line="276"/>
        <w:jc w:val="both"/>
      </w:pPr>
      <w:r>
        <w:rPr>
          <w:rFonts w:ascii="Barlow Semi Condensed" w:cs="Barlow Semi Condensed" w:eastAsia="Barlow Semi Condensed" w:hAnsi="Barlow Semi Condensed"/>
          <w:b/>
          <w:bCs/>
          <w:sz w:val="24"/>
          <w:szCs w:val="24"/>
        </w:rPr>
        <w:t xml:space="preserve">868 · La rogatoria, l'atto.</w:t>
      </w:r>
      <w:r>
        <w:rPr>
          <w:rFonts w:ascii="Barlow Semi Condensed" w:cs="Barlow Semi Condensed" w:eastAsia="Barlow Semi Condensed" w:hAnsi="Barlow Semi Condensed"/>
          <w:sz w:val="24"/>
          <w:szCs w:val="24"/>
        </w:rPr>
        <w:t xml:space="preserve"> Il bersaglio giuridico maggiore della parte (il blocco 835, in forma d'atto): il dossier completo per la rogatoria conoscitiva a Managua — le domande, la base giuridica, i precedenti di cooperazione, la proposta alle autorità competenti. L'opera prepara; le autorità decidono: ma nessuno potrà più dire che l'atto non era pronto.</w:t>
      </w:r>
    </w:p>
    <w:p>
      <w:pPr>
        <w:spacing w:after="120" w:line="276"/>
        <w:jc w:val="both"/>
      </w:pPr>
      <w:r>
        <w:rPr>
          <w:rFonts w:ascii="Barlow Semi Condensed" w:cs="Barlow Semi Condensed" w:eastAsia="Barlow Semi Condensed" w:hAnsi="Barlow Semi Condensed"/>
          <w:b/>
          <w:bCs/>
          <w:sz w:val="24"/>
          <w:szCs w:val="24"/>
        </w:rPr>
        <w:t xml:space="preserve">869 · Il dossier elvetico.</w:t>
      </w:r>
      <w:r>
        <w:rPr>
          <w:rFonts w:ascii="Barlow Semi Condensed" w:cs="Barlow Semi Condensed" w:eastAsia="Barlow Semi Condensed" w:hAnsi="Barlow Semi Condensed"/>
          <w:sz w:val="24"/>
          <w:szCs w:val="24"/>
        </w:rPr>
        <w:t xml:space="preserve"> Il gemello svizzero (il blocco 838, in forma d'atto): il dossier per l'ascolto di Lojacono nelle forme elvetiche, e l'accesso agli atti dei procedimenti svizzeri che lo riguardarono. Due ordinamenti, un obiettivo documentale: la parola verbalizzata di chi non ha mai risposto ai giudici italiani sul merito pieno.</w:t>
      </w:r>
    </w:p>
    <w:p>
      <w:pPr>
        <w:spacing w:after="120" w:line="276"/>
        <w:jc w:val="both"/>
      </w:pPr>
      <w:r>
        <w:rPr>
          <w:rFonts w:ascii="Barlow Semi Condensed" w:cs="Barlow Semi Condensed" w:eastAsia="Barlow Semi Condensed" w:hAnsi="Barlow Semi Condensed"/>
          <w:b/>
          <w:bCs/>
          <w:sz w:val="24"/>
          <w:szCs w:val="24"/>
        </w:rPr>
        <w:t xml:space="preserve">870 · L'esecuzione penale, la storia scritta.</w:t>
      </w:r>
      <w:r>
        <w:rPr>
          <w:rFonts w:ascii="Barlow Semi Condensed" w:cs="Barlow Semi Condensed" w:eastAsia="Barlow Semi Condensed" w:hAnsi="Barlow Semi Condensed"/>
          <w:sz w:val="24"/>
          <w:szCs w:val="24"/>
        </w:rPr>
        <w:t xml:space="preserve"> Il bersaglio storiografico: la storia dell'esecuzione penale del caso — i benefici, i dibattiti pubblici che accompagnarono ogni scarcerazione, le norme applicate — come capitolo documentato di storia repubblicana. Il paese ha discusso per decenni delle pene dei tredici: quella discussione ha i suoi atti, e si scrive.</w:t>
      </w:r>
    </w:p>
    <w:p>
      <w:pPr>
        <w:spacing w:after="120" w:line="276"/>
        <w:jc w:val="both"/>
      </w:pPr>
      <w:r>
        <w:rPr>
          <w:rFonts w:ascii="Barlow Semi Condensed" w:cs="Barlow Semi Condensed" w:eastAsia="Barlow Semi Condensed" w:hAnsi="Barlow Semi Condensed"/>
          <w:b/>
          <w:bCs/>
          <w:sz w:val="24"/>
          <w:szCs w:val="24"/>
        </w:rPr>
        <w:t xml:space="preserve">871 · Le vittime e le costituzioni di parte.</w:t>
      </w:r>
      <w:r>
        <w:rPr>
          <w:rFonts w:ascii="Barlow Semi Condensed" w:cs="Barlow Semi Condensed" w:eastAsia="Barlow Semi Condensed" w:hAnsi="Barlow Semi Condensed"/>
          <w:sz w:val="24"/>
          <w:szCs w:val="24"/>
        </w:rPr>
        <w:t xml:space="preserve"> Il censimento processuale delle famiglie: le costituzioni di parte civile nei cinque processi, i loro difensori, le loro memorie — e il ruolo attivo di oggi (l'opposizione della famiglia Ricci all'archiviazione del 2025 che ha riaperto le indagini). Le famiglie non sono spettatrici del registro: sono parte della sua storia giuridica, ieri e oggi.</w:t>
      </w:r>
    </w:p>
    <w:p>
      <w:pPr>
        <w:spacing w:after="120" w:line="276"/>
        <w:jc w:val="both"/>
      </w:pPr>
      <w:r>
        <w:rPr>
          <w:rFonts w:ascii="Barlow Semi Condensed" w:cs="Barlow Semi Condensed" w:eastAsia="Barlow Semi Condensed" w:hAnsi="Barlow Semi Condensed"/>
          <w:b/>
          <w:bCs/>
          <w:sz w:val="24"/>
          <w:szCs w:val="24"/>
        </w:rPr>
        <w:t xml:space="preserve">872 · I difensori del registro.</w:t>
      </w:r>
      <w:r>
        <w:rPr>
          <w:rFonts w:ascii="Barlow Semi Condensed" w:cs="Barlow Semi Condensed" w:eastAsia="Barlow Semi Condensed" w:hAnsi="Barlow Semi Condensed"/>
          <w:sz w:val="24"/>
          <w:szCs w:val="24"/>
        </w:rPr>
        <w:t xml:space="preserve"> Il censimento dei collegi difensivi dei cinque processi: chi difese chi, con quali linee documentate — e i loro archivi (il blocco 289 della Parte terza). La difesa dei tredici è un punto di vista documentale sul caso: si censisce con le regole del segreto rispettate.</w:t>
      </w:r>
    </w:p>
    <w:p>
      <w:pPr>
        <w:spacing w:after="120" w:line="276"/>
        <w:jc w:val="both"/>
      </w:pPr>
      <w:r>
        <w:rPr>
          <w:rFonts w:ascii="Barlow Semi Condensed" w:cs="Barlow Semi Condensed" w:eastAsia="Barlow Semi Condensed" w:hAnsi="Barlow Semi Condensed"/>
          <w:b/>
          <w:bCs/>
          <w:sz w:val="24"/>
          <w:szCs w:val="24"/>
        </w:rPr>
        <w:t xml:space="preserve">873 · Il registro nel diritto comparato.</w:t>
      </w:r>
      <w:r>
        <w:rPr>
          <w:rFonts w:ascii="Barlow Semi Condensed" w:cs="Barlow Semi Condensed" w:eastAsia="Barlow Semi Condensed" w:hAnsi="Barlow Semi Condensed"/>
          <w:sz w:val="24"/>
          <w:szCs w:val="24"/>
        </w:rPr>
        <w:t xml:space="preserve"> Lo studio di cornice: come altri ordinamenti hanno trattato i condannati del terrorismo degli anni Settanta (le scarcerazioni, le parole pubbliche, i divieti) — la tavola comparata europea. Il registro italiano dentro il paesaggio continentale: un capitolo di politica del diritto, documentato.</w:t>
      </w:r>
    </w:p>
    <w:p>
      <w:pPr>
        <w:spacing w:after="120" w:line="276"/>
        <w:jc w:val="both"/>
      </w:pPr>
      <w:r>
        <w:rPr>
          <w:rFonts w:ascii="Barlow Semi Condensed" w:cs="Barlow Semi Condensed" w:eastAsia="Barlow Semi Condensed" w:hAnsi="Barlow Semi Condensed"/>
          <w:b/>
          <w:bCs/>
          <w:sz w:val="24"/>
          <w:szCs w:val="24"/>
        </w:rPr>
        <w:t xml:space="preserve">874 · Il lessico del registro.</w:t>
      </w:r>
      <w:r>
        <w:rPr>
          <w:rFonts w:ascii="Barlow Semi Condensed" w:cs="Barlow Semi Condensed" w:eastAsia="Barlow Semi Condensed" w:hAnsi="Barlow Semi Condensed"/>
          <w:sz w:val="24"/>
          <w:szCs w:val="24"/>
        </w:rPr>
        <w:t xml:space="preserve"> La bonifica lessicale: le parole giuste per il registro — «condannato in via definitiva», «dissociato», «latitante», «pena estinta» — contro il lessico impreciso della pubblicistica («pentito» usato a sproposito, «ergastolano» per chi è libero). Il glossario del registro: piccolo, esatto, pubblico.</w:t>
      </w:r>
    </w:p>
    <w:p>
      <w:pPr>
        <w:spacing w:after="120" w:line="276"/>
        <w:jc w:val="both"/>
      </w:pPr>
      <w:r>
        <w:rPr>
          <w:rFonts w:ascii="Barlow Semi Condensed" w:cs="Barlow Semi Condensed" w:eastAsia="Barlow Semi Condensed" w:hAnsi="Barlow Semi Condensed"/>
          <w:b/>
          <w:bCs/>
          <w:sz w:val="24"/>
          <w:szCs w:val="24"/>
        </w:rPr>
        <w:t xml:space="preserve">875 · Il registro e la scuola.</w:t>
      </w:r>
      <w:r>
        <w:rPr>
          <w:rFonts w:ascii="Barlow Semi Condensed" w:cs="Barlow Semi Condensed" w:eastAsia="Barlow Semi Condensed" w:hAnsi="Barlow Semi Condensed"/>
          <w:sz w:val="24"/>
          <w:szCs w:val="24"/>
        </w:rPr>
        <w:t xml:space="preserve"> La didattica del giudicato: come si insegna il registro — i fatti, le pene, la distinzione fra giudicato e opinione — nei materiali scolastici dell'opera. La memoria repubblicana include anche questo: sapere chi fu condannato, per che cosa, e che cosa questo significa e non significa.</w:t>
      </w:r>
    </w:p>
    <w:p>
      <w:pPr>
        <w:spacing w:after="120" w:line="276"/>
        <w:jc w:val="both"/>
      </w:pPr>
      <w:r>
        <w:rPr>
          <w:rFonts w:ascii="Barlow Semi Condensed" w:cs="Barlow Semi Condensed" w:eastAsia="Barlow Semi Condensed" w:hAnsi="Barlow Semi Condensed"/>
          <w:b/>
          <w:bCs/>
          <w:sz w:val="24"/>
          <w:szCs w:val="24"/>
        </w:rPr>
        <w:t xml:space="preserve">876 · I bersagli che il registro non ammette.</w:t>
      </w:r>
      <w:r>
        <w:rPr>
          <w:rFonts w:ascii="Barlow Semi Condensed" w:cs="Barlow Semi Condensed" w:eastAsia="Barlow Semi Condensed" w:hAnsi="Barlow Semi Condensed"/>
          <w:sz w:val="24"/>
          <w:szCs w:val="24"/>
        </w:rPr>
        <w:t xml:space="preserve"> Il perimetro negativo finale: nessun bersaglio della parte cerca colpevoli nuovi, rilegge posizioni giudicate, o costruisce sospetti su non iscritti. Le presenze non giudicate sono materia del fascicolo di Roma e dei cantieri dei reperti — mai della prosopografia. Il muro fra le parti è portante: si dichiara un'ultima volta.</w:t>
      </w:r>
    </w:p>
    <w:p>
      <w:pPr>
        <w:spacing w:after="120" w:line="276"/>
        <w:jc w:val="both"/>
      </w:pPr>
      <w:r>
        <w:rPr>
          <w:rFonts w:ascii="Barlow Semi Condensed" w:cs="Barlow Semi Condensed" w:eastAsia="Barlow Semi Condensed" w:hAnsi="Barlow Semi Condensed"/>
          <w:b/>
          <w:bCs/>
          <w:sz w:val="24"/>
          <w:szCs w:val="24"/>
        </w:rPr>
        <w:t xml:space="preserve">877 · Il registro digitale.</w:t>
      </w:r>
      <w:r>
        <w:rPr>
          <w:rFonts w:ascii="Barlow Semi Condensed" w:cs="Barlow Semi Condensed" w:eastAsia="Barlow Semi Condensed" w:hAnsi="Barlow Semi Condensed"/>
          <w:sz w:val="24"/>
          <w:szCs w:val="24"/>
        </w:rPr>
        <w:t xml:space="preserve"> Lo strumento permanente: il registro in forma di base dati pubblica — schede, stati, fonti, aggiornamenti per nota — dentro il cantiere digitale del manuale. Il luogo dei nomi con la manutenzione di un'anagrafe: ogni morte, ogni atto nuovo, ogni casella chiusa entra per nota datata.</w:t>
      </w:r>
    </w:p>
    <w:p>
      <w:pPr>
        <w:spacing w:after="120" w:line="276"/>
        <w:jc w:val="both"/>
      </w:pPr>
      <w:r>
        <w:rPr>
          <w:rFonts w:ascii="Barlow Semi Condensed" w:cs="Barlow Semi Condensed" w:eastAsia="Barlow Semi Condensed" w:hAnsi="Barlow Semi Condensed"/>
          <w:b/>
          <w:bCs/>
          <w:sz w:val="24"/>
          <w:szCs w:val="24"/>
        </w:rPr>
        <w:t xml:space="preserve">878 · I vuoti del registro.</w:t>
      </w:r>
      <w:r>
        <w:rPr>
          <w:rFonts w:ascii="Barlow Semi Condensed" w:cs="Barlow Semi Condensed" w:eastAsia="Barlow Semi Condensed" w:hAnsi="Barlow Semi Condensed"/>
          <w:sz w:val="24"/>
          <w:szCs w:val="24"/>
        </w:rPr>
        <w:t xml:space="preserve"> Il verbale dei vuoti della parte: le caselle non chiudibili (le nascite divergenti senza fonte primaria raggiungibile, i quantum introvabili), i lasciti documentali non trovati, i silenzi definitivi dei morti. Lo Stato Zero prosopografico, dichiarato: anche il luogo dei nomi ha i suoi buchi, e li mostra.</w:t>
      </w:r>
    </w:p>
    <w:p>
      <w:pPr>
        <w:spacing w:after="120" w:line="276"/>
        <w:jc w:val="both"/>
      </w:pPr>
      <w:r>
        <w:rPr>
          <w:rFonts w:ascii="Barlow Semi Condensed" w:cs="Barlow Semi Condensed" w:eastAsia="Barlow Semi Condensed" w:hAnsi="Barlow Semi Condensed"/>
          <w:b/>
          <w:bCs/>
          <w:sz w:val="24"/>
          <w:szCs w:val="24"/>
        </w:rPr>
        <w:t xml:space="preserve">879 · La sintesi della parte.</w:t>
      </w:r>
      <w:r>
        <w:rPr>
          <w:rFonts w:ascii="Barlow Semi Condensed" w:cs="Barlow Semi Condensed" w:eastAsia="Barlow Semi Condensed" w:hAnsi="Barlow Semi Condensed"/>
          <w:sz w:val="24"/>
          <w:szCs w:val="24"/>
        </w:rPr>
        <w:t xml:space="preserve"> Il prodotto d'insieme: lo stato del registro — tredici schede, cinque morti, il programma della parola attivo, i due dossier internazionali pronti — in relazione pubblica. Il registro del giudicato, per la prima volta trattato da istituzione documentale e non da elenco: era il debito dell'opera verso la precisione, ed è pagato.</w:t>
      </w:r>
    </w:p>
    <w:p>
      <w:pPr>
        <w:spacing w:after="120" w:line="276"/>
        <w:jc w:val="both"/>
      </w:pPr>
      <w:r>
        <w:rPr>
          <w:rFonts w:ascii="Barlow Semi Condensed" w:cs="Barlow Semi Condensed" w:eastAsia="Barlow Semi Condensed" w:hAnsi="Barlow Semi Condensed"/>
          <w:b/>
          <w:bCs/>
          <w:sz w:val="24"/>
          <w:szCs w:val="24"/>
        </w:rPr>
        <w:t xml:space="preserve">880 · La tavola ottava.</w:t>
      </w:r>
      <w:r>
        <w:rPr>
          <w:rFonts w:ascii="Barlow Semi Condensed" w:cs="Barlow Semi Condensed" w:eastAsia="Barlow Semi Condensed" w:hAnsi="Barlow Semi Condensed"/>
          <w:sz w:val="24"/>
          <w:szCs w:val="24"/>
        </w:rPr>
        <w:t xml:space="preserve"> La chiusura della parte: gli stati dei bersagli 791-879, le urgenze biologiche in testa alla coda, le caselle aperte contate. L'ottavo cantiere consegna la sua contabilità — e i nomi restano dove la legge li ha scritti: né uno di più, né uno di meno.</w:t>
      </w:r>
    </w:p>
    <w:p>
      <w:pPr>
        <w:pStyle w:val="Heading2"/>
        <w:spacing w:after="100" w:before="200"/>
      </w:pPr>
      <w:r>
        <w:rPr>
          <w:rFonts w:ascii="Barlow Semi Condensed" w:cs="Barlow Semi Condensed" w:eastAsia="Barlow Semi Condensed" w:hAnsi="Barlow Semi Condensed"/>
          <w:sz w:val="24"/>
          <w:szCs w:val="24"/>
        </w:rPr>
        <w:t xml:space="preserve">Parte nona — Il fascicolo di Roma (blocchi 881-1000)</w:t>
      </w:r>
    </w:p>
    <w:p>
      <w:pPr>
        <w:spacing w:after="120" w:line="276"/>
        <w:jc w:val="both"/>
      </w:pPr>
      <w:r>
        <w:rPr>
          <w:rFonts w:ascii="Barlow Semi Condensed" w:cs="Barlow Semi Condensed" w:eastAsia="Barlow Semi Condensed" w:hAnsi="Barlow Semi Condensed"/>
          <w:i/>
          <w:iCs/>
          <w:sz w:val="24"/>
          <w:szCs w:val="24"/>
        </w:rPr>
        <w:t xml:space="preserve">Statuto della parte: il caso che esiste adesso. L'ultimo cantiere è il primo per importanza: il fascicolo della Procura di Roma sulle «terze presenze» di via Fani è aperto e vivo — la sequenza verificata per quest'opera: la richiesta di archiviazione del 28 maggio 2025; l'opposizione dei figli dell'appuntato Domenico Ricci (con gli avvocati Brigida e Salvini); la decisione del giudice per le indagini preliminari che nell'estate 2026 ha respinto la chiusura e disposto sei mesi di nuove indagini, compresi gli esami mai fatti sul caricatore di via Fani-via Stresa. Gli esiti non sono pubblici, e l'opera non li anticipa: la parte organizza tutto ciò che un cantiere civile può fare intorno a un fascicolo penale vivo — sostenerlo con gli archivi, rispettarne la precedenza, preparare ogni scenario, e consegnare al cinquantennale del 2028 non una celebrazione ma una contabilità. La ricerca produce documenti, non colpevoli — e il fascicolo produce atti: le due produzioni si rispettano.</w:t>
      </w:r>
    </w:p>
    <w:p>
      <w:pPr>
        <w:pStyle w:val="Heading3"/>
        <w:spacing w:after="80" w:before="160"/>
      </w:pPr>
      <w:r>
        <w:rPr>
          <w:rFonts w:ascii="Barlow Semi Condensed" w:cs="Barlow Semi Condensed" w:eastAsia="Barlow Semi Condensed" w:hAnsi="Barlow Semi Condensed"/>
          <w:sz w:val="24"/>
          <w:szCs w:val="24"/>
        </w:rPr>
        <w:t xml:space="preserve">Il fascicolo vivo (blocchi 881-910)</w:t>
      </w:r>
    </w:p>
    <w:p>
      <w:pPr>
        <w:spacing w:after="120" w:line="276"/>
        <w:jc w:val="both"/>
      </w:pPr>
      <w:r>
        <w:rPr>
          <w:rFonts w:ascii="Barlow Semi Condensed" w:cs="Barlow Semi Condensed" w:eastAsia="Barlow Semi Condensed" w:hAnsi="Barlow Semi Condensed"/>
          <w:b/>
          <w:bCs/>
          <w:sz w:val="24"/>
          <w:szCs w:val="24"/>
        </w:rPr>
        <w:t xml:space="preserve">881 · La sequenza fissata.</w:t>
      </w:r>
      <w:r>
        <w:rPr>
          <w:rFonts w:ascii="Barlow Semi Condensed" w:cs="Barlow Semi Condensed" w:eastAsia="Barlow Semi Condensed" w:hAnsi="Barlow Semi Condensed"/>
          <w:sz w:val="24"/>
          <w:szCs w:val="24"/>
        </w:rPr>
        <w:t xml:space="preserve"> Il primo blocco fissa la cronologia verificata del fascicolo: dalla chiusura della Moro 2 (dicembre 2017) al fascicolo sulle terze presenze; la richiesta di archiviazione (28 maggio 2025); l'opposizione della famiglia Ricci; il rigetto del GIP con sei mesi di nuove indagini (estate 2026). Ogni data con la sua fonte: la cronologia del fascicolo è il calendario della parte.</w:t>
      </w:r>
    </w:p>
    <w:p>
      <w:pPr>
        <w:spacing w:after="120" w:line="276"/>
        <w:jc w:val="both"/>
      </w:pPr>
      <w:r>
        <w:rPr>
          <w:rFonts w:ascii="Barlow Semi Condensed" w:cs="Barlow Semi Condensed" w:eastAsia="Barlow Semi Condensed" w:hAnsi="Barlow Semi Condensed"/>
          <w:b/>
          <w:bCs/>
          <w:sz w:val="24"/>
          <w:szCs w:val="24"/>
        </w:rPr>
        <w:t xml:space="preserve">882 · L'opposizione che ha riaperto.</w:t>
      </w:r>
      <w:r>
        <w:rPr>
          <w:rFonts w:ascii="Barlow Semi Condensed" w:cs="Barlow Semi Condensed" w:eastAsia="Barlow Semi Condensed" w:hAnsi="Barlow Semi Condensed"/>
          <w:sz w:val="24"/>
          <w:szCs w:val="24"/>
        </w:rPr>
        <w:t xml:space="preserve"> Il fatto istituzionale da custodire: sono stati i figli di una vittima della scorta — non un ministero, non una commissione — a impedire l'archiviazione. L'opposizione della famiglia Ricci è un atto che la storia del caso registrerà: il blocco ne censisce gli atti pubblici e ne fissa il significato istituzionale — le vittime come motore del diritto alla ricerca.</w:t>
      </w:r>
    </w:p>
    <w:p>
      <w:pPr>
        <w:spacing w:after="120" w:line="276"/>
        <w:jc w:val="both"/>
      </w:pPr>
      <w:r>
        <w:rPr>
          <w:rFonts w:ascii="Barlow Semi Condensed" w:cs="Barlow Semi Condensed" w:eastAsia="Barlow Semi Condensed" w:hAnsi="Barlow Semi Condensed"/>
          <w:b/>
          <w:bCs/>
          <w:sz w:val="24"/>
          <w:szCs w:val="24"/>
        </w:rPr>
        <w:t xml:space="preserve">883 · Che cosa il GIP ha chiesto.</w:t>
      </w:r>
      <w:r>
        <w:rPr>
          <w:rFonts w:ascii="Barlow Semi Condensed" w:cs="Barlow Semi Condensed" w:eastAsia="Barlow Semi Condensed" w:hAnsi="Barlow Semi Condensed"/>
          <w:sz w:val="24"/>
          <w:szCs w:val="24"/>
        </w:rPr>
        <w:t xml:space="preserve"> La lettura dell'ordinanza per ciò che è pubblico: le direzioni di indagine disposte — le terze presenze, l'uomo della moto, gli esami sul caricatore — e i loro termini. Il giudice ha scritto, di fatto, una piccola agenda giudiziaria: la parte la mappa contro la propria — e la consilienza è il dato che colpisce.</w:t>
      </w:r>
    </w:p>
    <w:p>
      <w:pPr>
        <w:spacing w:after="120" w:line="276"/>
        <w:jc w:val="both"/>
      </w:pPr>
      <w:r>
        <w:rPr>
          <w:rFonts w:ascii="Barlow Semi Condensed" w:cs="Barlow Semi Condensed" w:eastAsia="Barlow Semi Condensed" w:hAnsi="Barlow Semi Condensed"/>
          <w:b/>
          <w:bCs/>
          <w:sz w:val="24"/>
          <w:szCs w:val="24"/>
        </w:rPr>
        <w:t xml:space="preserve">884 · La consilienza, di nuovo.</w:t>
      </w:r>
      <w:r>
        <w:rPr>
          <w:rFonts w:ascii="Barlow Semi Condensed" w:cs="Barlow Semi Condensed" w:eastAsia="Barlow Semi Condensed" w:hAnsi="Barlow Semi Condensed"/>
          <w:sz w:val="24"/>
          <w:szCs w:val="24"/>
        </w:rPr>
        <w:t xml:space="preserve"> Il fatto di metodo già colto dal programma del corpus, ora al suo apice: l'evidenza discriminante indicata dalle matrici ACH (la balistica delle presenze, il caricatore mai esaminato) è esattamente ciò su cui il giudice ha ordinato di lavorare. Due percorsi indipendenti — quello civile del corpus e quello giudiziario — convergono sugli stessi atti: è la migliore validazione possibile di entrambi.</w:t>
      </w:r>
    </w:p>
    <w:p>
      <w:pPr>
        <w:spacing w:after="120" w:line="276"/>
        <w:jc w:val="both"/>
      </w:pPr>
      <w:r>
        <w:rPr>
          <w:rFonts w:ascii="Barlow Semi Condensed" w:cs="Barlow Semi Condensed" w:eastAsia="Barlow Semi Condensed" w:hAnsi="Barlow Semi Condensed"/>
          <w:b/>
          <w:bCs/>
          <w:sz w:val="24"/>
          <w:szCs w:val="24"/>
        </w:rPr>
        <w:t xml:space="preserve">885 · I sei mesi e il dopo.</w:t>
      </w:r>
      <w:r>
        <w:rPr>
          <w:rFonts w:ascii="Barlow Semi Condensed" w:cs="Barlow Semi Condensed" w:eastAsia="Barlow Semi Condensed" w:hAnsi="Barlow Semi Condensed"/>
          <w:sz w:val="24"/>
          <w:szCs w:val="24"/>
        </w:rPr>
        <w:t xml:space="preserve"> Il calendario condizionale: la finestra delle nuove indagini e i suoi esiti possibili — archiviazione, proroga, sviluppi. Per ciascuno scenario, il protocollo dell'opera è già scritto (le contingenze del manuale, serie quindicesima): nessun esito coglierà il cantiere impreparato — nemmeno il silenzio.</w:t>
      </w:r>
    </w:p>
    <w:p>
      <w:pPr>
        <w:spacing w:after="120" w:line="276"/>
        <w:jc w:val="both"/>
      </w:pPr>
      <w:r>
        <w:rPr>
          <w:rFonts w:ascii="Barlow Semi Condensed" w:cs="Barlow Semi Condensed" w:eastAsia="Barlow Semi Condensed" w:hAnsi="Barlow Semi Condensed"/>
          <w:b/>
          <w:bCs/>
          <w:sz w:val="24"/>
          <w:szCs w:val="24"/>
        </w:rPr>
        <w:t xml:space="preserve">886 · La regola del non anticipare.</w:t>
      </w:r>
      <w:r>
        <w:rPr>
          <w:rFonts w:ascii="Barlow Semi Condensed" w:cs="Barlow Semi Condensed" w:eastAsia="Barlow Semi Condensed" w:hAnsi="Barlow Semi Condensed"/>
          <w:sz w:val="24"/>
          <w:szCs w:val="24"/>
        </w:rPr>
        <w:t xml:space="preserve"> La disciplina di parte, stampata: gli esiti degli esami disposti dal giudice non sono pubblici, e l'opera non riporta indiscrezioni — né sul caricatore, né sui profili, né su alcunché. Ciò che entrerà nel corpus entrerà da atti: la fame di notizie è il nemico dichiarato del blocco.</w:t>
      </w:r>
    </w:p>
    <w:p>
      <w:pPr>
        <w:spacing w:after="120" w:line="276"/>
        <w:jc w:val="both"/>
      </w:pPr>
      <w:r>
        <w:rPr>
          <w:rFonts w:ascii="Barlow Semi Condensed" w:cs="Barlow Semi Condensed" w:eastAsia="Barlow Semi Condensed" w:hAnsi="Barlow Semi Condensed"/>
          <w:b/>
          <w:bCs/>
          <w:sz w:val="24"/>
          <w:szCs w:val="24"/>
        </w:rPr>
        <w:t xml:space="preserve">887 · Il perimetro delle terze presenze.</w:t>
      </w:r>
      <w:r>
        <w:rPr>
          <w:rFonts w:ascii="Barlow Semi Condensed" w:cs="Barlow Semi Condensed" w:eastAsia="Barlow Semi Condensed" w:hAnsi="Barlow Semi Condensed"/>
          <w:sz w:val="24"/>
          <w:szCs w:val="24"/>
        </w:rPr>
        <w:t xml:space="preserve"> La definizione giudiziaria esatta dell'oggetto: presenze sulla scena mai identificate né giudicate — non «mandanti», non «regie»: presenze. Il blocco fissa il perimetro semantico perché la pubblicistica non lo dilati: il fascicolo cerca persone fisiche su una strada, non filosofie della storia.</w:t>
      </w:r>
    </w:p>
    <w:p>
      <w:pPr>
        <w:spacing w:after="120" w:line="276"/>
        <w:jc w:val="both"/>
      </w:pPr>
      <w:r>
        <w:rPr>
          <w:rFonts w:ascii="Barlow Semi Condensed" w:cs="Barlow Semi Condensed" w:eastAsia="Barlow Semi Condensed" w:hAnsi="Barlow Semi Condensed"/>
          <w:b/>
          <w:bCs/>
          <w:sz w:val="24"/>
          <w:szCs w:val="24"/>
        </w:rPr>
        <w:t xml:space="preserve">888 · L'uomo della moto, in atti.</w:t>
      </w:r>
      <w:r>
        <w:rPr>
          <w:rFonts w:ascii="Barlow Semi Condensed" w:cs="Barlow Semi Condensed" w:eastAsia="Barlow Semi Condensed" w:hAnsi="Barlow Semi Condensed"/>
          <w:sz w:val="24"/>
          <w:szCs w:val="24"/>
        </w:rPr>
        <w:t xml:space="preserve"> Il quesito giudiziario vivo con la sua base verificata: la Honda testimoniata, il tentato omicidio del teste Marini attribuito per sentenza a ignoti a bordo, nessuna targa mai acquisita (l'esito negativo è verificato: la «targa parziale» è leggenda). Il blocco tiene la scheda dell'unico reato di via Fani con autori formalmente ignoti: è la porta giudiziaria delle presenze.</w:t>
      </w:r>
    </w:p>
    <w:p>
      <w:pPr>
        <w:spacing w:after="120" w:line="276"/>
        <w:jc w:val="both"/>
      </w:pPr>
      <w:r>
        <w:rPr>
          <w:rFonts w:ascii="Barlow Semi Condensed" w:cs="Barlow Semi Condensed" w:eastAsia="Barlow Semi Condensed" w:hAnsi="Barlow Semi Condensed"/>
          <w:b/>
          <w:bCs/>
          <w:sz w:val="24"/>
          <w:szCs w:val="24"/>
        </w:rPr>
        <w:t xml:space="preserve">889 · I sette ignoti riferiti.</w:t>
      </w:r>
      <w:r>
        <w:rPr>
          <w:rFonts w:ascii="Barlow Semi Condensed" w:cs="Barlow Semi Condensed" w:eastAsia="Barlow Semi Condensed" w:hAnsi="Barlow Semi Condensed"/>
          <w:sz w:val="24"/>
          <w:szCs w:val="24"/>
        </w:rPr>
        <w:t xml:space="preserve"> La disciplina sui profili: la stampa qualificata ha riferito di sette profili genetici ignoti dai reperti; nessun elenco ufficiale degli esiti delle comparazioni è mai stato pubblicato (il negativo è verificato). Il blocco fissa lo stato esatto: profili estratti — fatto; attribuzioni — nessuna pubblica; ogni affermazione nominativa in circolazione — priva di base in atti.</w:t>
      </w:r>
    </w:p>
    <w:p>
      <w:pPr>
        <w:spacing w:after="120" w:line="276"/>
        <w:jc w:val="both"/>
      </w:pPr>
      <w:r>
        <w:rPr>
          <w:rFonts w:ascii="Barlow Semi Condensed" w:cs="Barlow Semi Condensed" w:eastAsia="Barlow Semi Condensed" w:hAnsi="Barlow Semi Condensed"/>
          <w:b/>
          <w:bCs/>
          <w:sz w:val="24"/>
          <w:szCs w:val="24"/>
        </w:rPr>
        <w:t xml:space="preserve">890 · I prelievi del 2021.</w:t>
      </w:r>
      <w:r>
        <w:rPr>
          <w:rFonts w:ascii="Barlow Semi Condensed" w:cs="Barlow Semi Condensed" w:eastAsia="Barlow Semi Condensed" w:hAnsi="Barlow Semi Condensed"/>
          <w:sz w:val="24"/>
          <w:szCs w:val="24"/>
        </w:rPr>
        <w:t xml:space="preserve"> Il fatto processuale documentato: i prelievi coattivi di DNA disposti nel febbraio 2021 su ex militanti estranei all'agguato per le comparazioni di esclusione. Il blocco lo registra per ciò che è — un atto istruttorio ordinario di esclusione — e per ciò che non è: nessuna iscrizione, nessun sospetto, nessun nome che l'opera ripeta.</w:t>
      </w:r>
    </w:p>
    <w:p>
      <w:pPr>
        <w:spacing w:after="120" w:line="276"/>
        <w:jc w:val="both"/>
      </w:pPr>
      <w:r>
        <w:rPr>
          <w:rFonts w:ascii="Barlow Semi Condensed" w:cs="Barlow Semi Condensed" w:eastAsia="Barlow Semi Condensed" w:hAnsi="Barlow Semi Condensed"/>
          <w:b/>
          <w:bCs/>
          <w:sz w:val="24"/>
          <w:szCs w:val="24"/>
        </w:rPr>
        <w:t xml:space="preserve">891 · Il fascicolo e il corpus, il patto.</w:t>
      </w:r>
      <w:r>
        <w:rPr>
          <w:rFonts w:ascii="Barlow Semi Condensed" w:cs="Barlow Semi Condensed" w:eastAsia="Barlow Semi Condensed" w:hAnsi="Barlow Semi Condensed"/>
          <w:sz w:val="24"/>
          <w:szCs w:val="24"/>
        </w:rPr>
        <w:t xml:space="preserve"> La regola dei rapporti (il blocco 291 dell'agenda, elevato a costituzione della parte): il cantiere civile non interferisce, segnala ciò che trova, aspetta gli atti, lavora sul già pubblico. E una promessa operativa: ogni tavola dell'opera utile al fascicolo (i censimenti, gli inventari, le cronologie) è a disposizione delle autorità, gratuitamente e senza condizioni.</w:t>
      </w:r>
    </w:p>
    <w:p>
      <w:pPr>
        <w:spacing w:after="120" w:line="276"/>
        <w:jc w:val="both"/>
      </w:pPr>
      <w:r>
        <w:rPr>
          <w:rFonts w:ascii="Barlow Semi Condensed" w:cs="Barlow Semi Condensed" w:eastAsia="Barlow Semi Condensed" w:hAnsi="Barlow Semi Condensed"/>
          <w:b/>
          <w:bCs/>
          <w:sz w:val="24"/>
          <w:szCs w:val="24"/>
        </w:rPr>
        <w:t xml:space="preserve">892 · Le segnalazioni documentate.</w:t>
      </w:r>
      <w:r>
        <w:rPr>
          <w:rFonts w:ascii="Barlow Semi Condensed" w:cs="Barlow Semi Condensed" w:eastAsia="Barlow Semi Condensed" w:hAnsi="Barlow Semi Condensed"/>
          <w:sz w:val="24"/>
          <w:szCs w:val="24"/>
        </w:rPr>
        <w:t xml:space="preserve"> Il canale formale: quando i cantieri dell'opera producono un documento con possibile rilievo per il fascicolo (un reperto censito, una carta d'archivio, una testimonianza raccolta), la segnalazione all'autorità è scritta, datata, registrata (il registro delle richieste dell'agenda, in uscita). La collaborazione civile ha una forma: la forma è tutto.</w:t>
      </w:r>
    </w:p>
    <w:p>
      <w:pPr>
        <w:spacing w:after="120" w:line="276"/>
        <w:jc w:val="both"/>
      </w:pPr>
      <w:r>
        <w:rPr>
          <w:rFonts w:ascii="Barlow Semi Condensed" w:cs="Barlow Semi Condensed" w:eastAsia="Barlow Semi Condensed" w:hAnsi="Barlow Semi Condensed"/>
          <w:b/>
          <w:bCs/>
          <w:sz w:val="24"/>
          <w:szCs w:val="24"/>
        </w:rPr>
        <w:t xml:space="preserve">893 · La storia del fascicolo, all'indietro.</w:t>
      </w:r>
      <w:r>
        <w:rPr>
          <w:rFonts w:ascii="Barlow Semi Condensed" w:cs="Barlow Semi Condensed" w:eastAsia="Barlow Semi Condensed" w:hAnsi="Barlow Semi Condensed"/>
          <w:sz w:val="24"/>
          <w:szCs w:val="24"/>
        </w:rPr>
        <w:t xml:space="preserve"> Il bersaglio ricostruttivo: la storia processuale completa del filone delle presenze — dalle prime istruttorie alle riaperture, con ogni provvedimento — come capitolo documentato. Il fascicolo di oggi ha quarant'anni di antenati: la sua genealogia è essa stessa una lezione su come il caso è stato cercato.</w:t>
      </w:r>
    </w:p>
    <w:p>
      <w:pPr>
        <w:spacing w:after="120" w:line="276"/>
        <w:jc w:val="both"/>
      </w:pPr>
      <w:r>
        <w:rPr>
          <w:rFonts w:ascii="Barlow Semi Condensed" w:cs="Barlow Semi Condensed" w:eastAsia="Barlow Semi Condensed" w:hAnsi="Barlow Semi Condensed"/>
          <w:b/>
          <w:bCs/>
          <w:sz w:val="24"/>
          <w:szCs w:val="24"/>
        </w:rPr>
        <w:t xml:space="preserve">894 · Le altre procure, il censimento.</w:t>
      </w:r>
      <w:r>
        <w:rPr>
          <w:rFonts w:ascii="Barlow Semi Condensed" w:cs="Barlow Semi Condensed" w:eastAsia="Barlow Semi Condensed" w:hAnsi="Barlow Semi Condensed"/>
          <w:sz w:val="24"/>
          <w:szCs w:val="24"/>
        </w:rPr>
        <w:t xml:space="preserve"> Il perimetro giudiziario allargato: gli altri fascicoli aperti o archiviati che toccano il caso presso altre sedi (i filoni collegati, le indagini su singoli episodi) — il censimento con gli stati. La geografia giudiziaria del caso non è solo romana: la tavola la copre intera.</w:t>
      </w:r>
    </w:p>
    <w:p>
      <w:pPr>
        <w:spacing w:after="120" w:line="276"/>
        <w:jc w:val="both"/>
      </w:pPr>
      <w:r>
        <w:rPr>
          <w:rFonts w:ascii="Barlow Semi Condensed" w:cs="Barlow Semi Condensed" w:eastAsia="Barlow Semi Condensed" w:hAnsi="Barlow Semi Condensed"/>
          <w:b/>
          <w:bCs/>
          <w:sz w:val="24"/>
          <w:szCs w:val="24"/>
        </w:rPr>
        <w:t xml:space="preserve">895 · L'archiviazione, se verrà.</w:t>
      </w:r>
      <w:r>
        <w:rPr>
          <w:rFonts w:ascii="Barlow Semi Condensed" w:cs="Barlow Semi Condensed" w:eastAsia="Barlow Semi Condensed" w:hAnsi="Barlow Semi Condensed"/>
          <w:sz w:val="24"/>
          <w:szCs w:val="24"/>
        </w:rPr>
        <w:t xml:space="preserve"> Il protocollo dello scenario peggiore: se il fascicolo chiudesse, che cosa resta — gli atti versati, le perizie acquisite, il diritto della storia a proseguire con i suoi strumenti. L'archiviazione giudiziaria non archivia la ricerca documentale: il blocco lo scrive prima, perché nessuno lo scopra dopo.</w:t>
      </w:r>
    </w:p>
    <w:p>
      <w:pPr>
        <w:spacing w:after="120" w:line="276"/>
        <w:jc w:val="both"/>
      </w:pPr>
      <w:r>
        <w:rPr>
          <w:rFonts w:ascii="Barlow Semi Condensed" w:cs="Barlow Semi Condensed" w:eastAsia="Barlow Semi Condensed" w:hAnsi="Barlow Semi Condensed"/>
          <w:b/>
          <w:bCs/>
          <w:sz w:val="24"/>
          <w:szCs w:val="24"/>
        </w:rPr>
        <w:t xml:space="preserve">896 · La riapertura, se verrà.</w:t>
      </w:r>
      <w:r>
        <w:rPr>
          <w:rFonts w:ascii="Barlow Semi Condensed" w:cs="Barlow Semi Condensed" w:eastAsia="Barlow Semi Condensed" w:hAnsi="Barlow Semi Condensed"/>
          <w:sz w:val="24"/>
          <w:szCs w:val="24"/>
        </w:rPr>
        <w:t xml:space="preserve"> Il protocollo dello scenario opposto: se emergessero sviluppi (un esito degli esami, un'iscrizione), la disciplina dell'opera — silenzio operoso, precedenza assoluta al giudiziario, aggiornamento del corpus solo da atti. L'eccitazione è il rischio professionale del successo: il protocollo la imbriglia.</w:t>
      </w:r>
    </w:p>
    <w:p>
      <w:pPr>
        <w:spacing w:after="120" w:line="276"/>
        <w:jc w:val="both"/>
      </w:pPr>
      <w:r>
        <w:rPr>
          <w:rFonts w:ascii="Barlow Semi Condensed" w:cs="Barlow Semi Condensed" w:eastAsia="Barlow Semi Condensed" w:hAnsi="Barlow Semi Condensed"/>
          <w:b/>
          <w:bCs/>
          <w:sz w:val="24"/>
          <w:szCs w:val="24"/>
        </w:rPr>
        <w:t xml:space="preserve">897 · Il processo, se mai verrà.</w:t>
      </w:r>
      <w:r>
        <w:rPr>
          <w:rFonts w:ascii="Barlow Semi Condensed" w:cs="Barlow Semi Condensed" w:eastAsia="Barlow Semi Condensed" w:hAnsi="Barlow Semi Condensed"/>
          <w:sz w:val="24"/>
          <w:szCs w:val="24"/>
        </w:rPr>
        <w:t xml:space="preserve"> Il protocollo dello scenario storico: se le presenze diventassero imputati, l'opera davanti a un sesto processo — il registro pronto ad accogliere solo l'eventuale nuovo giudicato, le tavole a disposizione delle parti, la cronaca trattata con le regole della Parte sesta. Preparare l'impensabile è il mestiere delle contingenze: si scrive anche questo.</w:t>
      </w:r>
    </w:p>
    <w:p>
      <w:pPr>
        <w:spacing w:after="120" w:line="276"/>
        <w:jc w:val="both"/>
      </w:pPr>
      <w:r>
        <w:rPr>
          <w:rFonts w:ascii="Barlow Semi Condensed" w:cs="Barlow Semi Condensed" w:eastAsia="Barlow Semi Condensed" w:hAnsi="Barlow Semi Condensed"/>
          <w:b/>
          <w:bCs/>
          <w:sz w:val="24"/>
          <w:szCs w:val="24"/>
        </w:rPr>
        <w:t xml:space="preserve">898 · I difensori e le parti di oggi.</w:t>
      </w:r>
      <w:r>
        <w:rPr>
          <w:rFonts w:ascii="Barlow Semi Condensed" w:cs="Barlow Semi Condensed" w:eastAsia="Barlow Semi Condensed" w:hAnsi="Barlow Semi Condensed"/>
          <w:sz w:val="24"/>
          <w:szCs w:val="24"/>
        </w:rPr>
        <w:t xml:space="preserve"> Il censimento delle parti del fascicolo vivo: le famiglie opponenti e i loro difensori (gli atti pubblici dell'opposizione), l'ufficio del pubblico ministero, il giudice — la mappa istituzionale del procedimento com'è. Sapere chi è chi nel fascicolo è cronaca giudiziaria di base: la parte la tiene aggiornata.</w:t>
      </w:r>
    </w:p>
    <w:p>
      <w:pPr>
        <w:spacing w:after="120" w:line="276"/>
        <w:jc w:val="both"/>
      </w:pPr>
      <w:r>
        <w:rPr>
          <w:rFonts w:ascii="Barlow Semi Condensed" w:cs="Barlow Semi Condensed" w:eastAsia="Barlow Semi Condensed" w:hAnsi="Barlow Semi Condensed"/>
          <w:b/>
          <w:bCs/>
          <w:sz w:val="24"/>
          <w:szCs w:val="24"/>
        </w:rPr>
        <w:t xml:space="preserve">899 · La stampa e il fascicolo.</w:t>
      </w:r>
      <w:r>
        <w:rPr>
          <w:rFonts w:ascii="Barlow Semi Condensed" w:cs="Barlow Semi Condensed" w:eastAsia="Barlow Semi Condensed" w:hAnsi="Barlow Semi Condensed"/>
          <w:sz w:val="24"/>
          <w:szCs w:val="24"/>
        </w:rPr>
        <w:t xml:space="preserve"> La disciplina della fonte giornalistica: la copertura di stampa del fascicolo (le testate che lo seguono con qualità) censita e usata coi gradi — F sul riportato, mai di più. Il fascicolo vive anche nei giornali: l'opera li legge tutti e non ne sposa nessuno.</w:t>
      </w:r>
    </w:p>
    <w:p>
      <w:pPr>
        <w:spacing w:after="120" w:line="276"/>
        <w:jc w:val="both"/>
      </w:pPr>
      <w:r>
        <w:rPr>
          <w:rFonts w:ascii="Barlow Semi Condensed" w:cs="Barlow Semi Condensed" w:eastAsia="Barlow Semi Condensed" w:hAnsi="Barlow Semi Condensed"/>
          <w:b/>
          <w:bCs/>
          <w:sz w:val="24"/>
          <w:szCs w:val="24"/>
        </w:rPr>
        <w:t xml:space="preserve">900 · Il novecentesimo blocco: la pazienza del diritto.</w:t>
      </w:r>
      <w:r>
        <w:rPr>
          <w:rFonts w:ascii="Barlow Semi Condensed" w:cs="Barlow Semi Condensed" w:eastAsia="Barlow Semi Condensed" w:hAnsi="Barlow Semi Condensed"/>
          <w:sz w:val="24"/>
          <w:szCs w:val="24"/>
        </w:rPr>
        <w:t xml:space="preserve"> La riflessione operativa, a un decimo dalla fine: quarantott'anni dopo, un giudice ha ordinato di esaminare un caricatore raccolto la mattina del 16 marzo 1978 e mai guardato. Non è un fallimento del diritto: è la sua pazienza — l'imprescrittibilità che mantiene ogni domanda giuridicamente viva. L'opera lavora dentro questa pazienza, e la ricambia con la propria.</w:t>
      </w:r>
    </w:p>
    <w:p>
      <w:pPr>
        <w:spacing w:after="120" w:line="276"/>
        <w:jc w:val="both"/>
      </w:pPr>
      <w:r>
        <w:rPr>
          <w:rFonts w:ascii="Barlow Semi Condensed" w:cs="Barlow Semi Condensed" w:eastAsia="Barlow Semi Condensed" w:hAnsi="Barlow Semi Condensed"/>
          <w:b/>
          <w:bCs/>
          <w:sz w:val="24"/>
          <w:szCs w:val="24"/>
        </w:rPr>
        <w:t xml:space="preserve">901 · Gli atti del fascicolo, domani.</w:t>
      </w:r>
      <w:r>
        <w:rPr>
          <w:rFonts w:ascii="Barlow Semi Condensed" w:cs="Barlow Semi Condensed" w:eastAsia="Barlow Semi Condensed" w:hAnsi="Barlow Semi Condensed"/>
          <w:sz w:val="24"/>
          <w:szCs w:val="24"/>
        </w:rPr>
        <w:t xml:space="preserve"> Il bersaglio archivistico differito: quando il fascicolo si chiuderà — comunque si chiuda — i suoi atti diventeranno archivio: il blocco prepara la richiesta di versamento e consultazione secondo le regole, con la pazienza dei termini. Anche il fascicolo vivo è un fondo futuro: l'opera gli tiene il posto.</w:t>
      </w:r>
    </w:p>
    <w:p>
      <w:pPr>
        <w:spacing w:after="120" w:line="276"/>
        <w:jc w:val="both"/>
      </w:pPr>
      <w:r>
        <w:rPr>
          <w:rFonts w:ascii="Barlow Semi Condensed" w:cs="Barlow Semi Condensed" w:eastAsia="Barlow Semi Condensed" w:hAnsi="Barlow Semi Condensed"/>
          <w:b/>
          <w:bCs/>
          <w:sz w:val="24"/>
          <w:szCs w:val="24"/>
        </w:rPr>
        <w:t xml:space="preserve">902 · Le perizie del fascicolo, domani.</w:t>
      </w:r>
      <w:r>
        <w:rPr>
          <w:rFonts w:ascii="Barlow Semi Condensed" w:cs="Barlow Semi Condensed" w:eastAsia="Barlow Semi Condensed" w:hAnsi="Barlow Semi Condensed"/>
          <w:sz w:val="24"/>
          <w:szCs w:val="24"/>
        </w:rPr>
        <w:t xml:space="preserve"> Il gemello tecnico: le perizie disposte dal GIP (il caricatore in testa), quando saranno atti pubblici, entreranno nei cantieri tecnici dell'opera con la trafila piena — lettura integrale, collazione con le tre stagioni peritali, aggiornamento delle tavole per nota. Le caselle le aspettano già: sono state costruite apposta.</w:t>
      </w:r>
    </w:p>
    <w:p>
      <w:pPr>
        <w:spacing w:after="120" w:line="276"/>
        <w:jc w:val="both"/>
      </w:pPr>
      <w:r>
        <w:rPr>
          <w:rFonts w:ascii="Barlow Semi Condensed" w:cs="Barlow Semi Condensed" w:eastAsia="Barlow Semi Condensed" w:hAnsi="Barlow Semi Condensed"/>
          <w:b/>
          <w:bCs/>
          <w:sz w:val="24"/>
          <w:szCs w:val="24"/>
        </w:rPr>
        <w:t xml:space="preserve">903 · Il caricatore, l'attesa scritta.</w:t>
      </w:r>
      <w:r>
        <w:rPr>
          <w:rFonts w:ascii="Barlow Semi Condensed" w:cs="Barlow Semi Condensed" w:eastAsia="Barlow Semi Condensed" w:hAnsi="Barlow Semi Condensed"/>
          <w:sz w:val="24"/>
          <w:szCs w:val="24"/>
        </w:rPr>
        <w:t xml:space="preserve"> La scheda dell'attesa: il reperto simbolo (blocchi 356-358) ora nelle mani del giudice — l'opera registra lo stato («esami disposti, esiti non pubblici»), tiene la scheda pronta per l'esito, e non specula. Il blocco esiste per essere aggiornato: è la forma più onesta dell'attesa.</w:t>
      </w:r>
    </w:p>
    <w:p>
      <w:pPr>
        <w:spacing w:after="120" w:line="276"/>
        <w:jc w:val="both"/>
      </w:pPr>
      <w:r>
        <w:rPr>
          <w:rFonts w:ascii="Barlow Semi Condensed" w:cs="Barlow Semi Condensed" w:eastAsia="Barlow Semi Condensed" w:hAnsi="Barlow Semi Condensed"/>
          <w:b/>
          <w:bCs/>
          <w:sz w:val="24"/>
          <w:szCs w:val="24"/>
        </w:rPr>
        <w:t xml:space="preserve">904 · I testimoni del fascicolo.</w:t>
      </w:r>
      <w:r>
        <w:rPr>
          <w:rFonts w:ascii="Barlow Semi Condensed" w:cs="Barlow Semi Condensed" w:eastAsia="Barlow Semi Condensed" w:hAnsi="Barlow Semi Condensed"/>
          <w:sz w:val="24"/>
          <w:szCs w:val="24"/>
        </w:rPr>
        <w:t xml:space="preserve"> Il raccordo conservativo: i testimoni che il fascicolo potrebbe voler sentire sono in parte gli stessi della serie quinta dell'agenda — e la precedenza è del giudice: l'opera sospende ogni ascolto proprio su chi risulti attinto dall'attività giudiziaria, finché la precedenza duri. La regola di non inquinamento, scritta prima del bisogno.</w:t>
      </w:r>
    </w:p>
    <w:p>
      <w:pPr>
        <w:spacing w:after="120" w:line="276"/>
        <w:jc w:val="both"/>
      </w:pPr>
      <w:r>
        <w:rPr>
          <w:rFonts w:ascii="Barlow Semi Condensed" w:cs="Barlow Semi Condensed" w:eastAsia="Barlow Semi Condensed" w:hAnsi="Barlow Semi Condensed"/>
          <w:b/>
          <w:bCs/>
          <w:sz w:val="24"/>
          <w:szCs w:val="24"/>
        </w:rPr>
        <w:t xml:space="preserve">905 · Il DNA e la banca, il ponte giudiziario.</w:t>
      </w:r>
      <w:r>
        <w:rPr>
          <w:rFonts w:ascii="Barlow Semi Condensed" w:cs="Barlow Semi Condensed" w:eastAsia="Barlow Semi Condensed" w:hAnsi="Barlow Semi Condensed"/>
          <w:sz w:val="24"/>
          <w:szCs w:val="24"/>
        </w:rPr>
        <w:t xml:space="preserve"> Il raccordo tecnico-giuridico: l'inserimento dei profili del caso nella banca dati nazionale passa per provvedimenti dell'autorità (la base degli articoli 7 e 10 è verificata) — il blocco tiene la proposta pronta e la titolarità dove sta. La genetica del fascicolo si muove per decreti, non per articoli di giornale.</w:t>
      </w:r>
    </w:p>
    <w:p>
      <w:pPr>
        <w:spacing w:after="120" w:line="276"/>
        <w:jc w:val="both"/>
      </w:pPr>
      <w:r>
        <w:rPr>
          <w:rFonts w:ascii="Barlow Semi Condensed" w:cs="Barlow Semi Condensed" w:eastAsia="Barlow Semi Condensed" w:hAnsi="Barlow Semi Condensed"/>
          <w:b/>
          <w:bCs/>
          <w:sz w:val="24"/>
          <w:szCs w:val="24"/>
        </w:rPr>
        <w:t xml:space="preserve">906 · Le opposizioni future.</w:t>
      </w:r>
      <w:r>
        <w:rPr>
          <w:rFonts w:ascii="Barlow Semi Condensed" w:cs="Barlow Semi Condensed" w:eastAsia="Barlow Semi Condensed" w:hAnsi="Barlow Semi Condensed"/>
          <w:sz w:val="24"/>
          <w:szCs w:val="24"/>
        </w:rPr>
        <w:t xml:space="preserve"> La lezione istituzionale generalizzata: il diritto delle persone offese a opporsi alle archiviazioni è il presidio che ha tenuto vivo il fascicolo — il blocco ne documenta la disciplina e la storia nel caso, come strumento che le famiglie conoscono e l'opera racconta. Il diritto processuale delle vittime è parte della memoria del caso.</w:t>
      </w:r>
    </w:p>
    <w:p>
      <w:pPr>
        <w:spacing w:after="120" w:line="276"/>
        <w:jc w:val="both"/>
      </w:pPr>
      <w:r>
        <w:rPr>
          <w:rFonts w:ascii="Barlow Semi Condensed" w:cs="Barlow Semi Condensed" w:eastAsia="Barlow Semi Condensed" w:hAnsi="Barlow Semi Condensed"/>
          <w:b/>
          <w:bCs/>
          <w:sz w:val="24"/>
          <w:szCs w:val="24"/>
        </w:rPr>
        <w:t xml:space="preserve">907 · Il fascicolo e le commissioni future.</w:t>
      </w:r>
      <w:r>
        <w:rPr>
          <w:rFonts w:ascii="Barlow Semi Condensed" w:cs="Barlow Semi Condensed" w:eastAsia="Barlow Semi Condensed" w:hAnsi="Barlow Semi Condensed"/>
          <w:sz w:val="24"/>
          <w:szCs w:val="24"/>
        </w:rPr>
        <w:t xml:space="preserve"> Lo scenario parlamentare: se una nuova legislatura istituisse una terza commissione Moro, il rapporto fascicolo-commissione avrebbe i precedenti documentati (la Moro 2 e la procura, 2014-2017) — il blocco li estrae come prontuario. La storia istituzionale del caso serve anche a questo: non ripetere gli attriti già pagati.</w:t>
      </w:r>
    </w:p>
    <w:p>
      <w:pPr>
        <w:spacing w:after="120" w:line="276"/>
        <w:jc w:val="both"/>
      </w:pPr>
      <w:r>
        <w:rPr>
          <w:rFonts w:ascii="Barlow Semi Condensed" w:cs="Barlow Semi Condensed" w:eastAsia="Barlow Semi Condensed" w:hAnsi="Barlow Semi Condensed"/>
          <w:b/>
          <w:bCs/>
          <w:sz w:val="24"/>
          <w:szCs w:val="24"/>
        </w:rPr>
        <w:t xml:space="preserve">908 · La memoria del pubblico ministero.</w:t>
      </w:r>
      <w:r>
        <w:rPr>
          <w:rFonts w:ascii="Barlow Semi Condensed" w:cs="Barlow Semi Condensed" w:eastAsia="Barlow Semi Condensed" w:hAnsi="Barlow Semi Condensed"/>
          <w:sz w:val="24"/>
          <w:szCs w:val="24"/>
        </w:rPr>
        <w:t xml:space="preserve"> Il bersaglio storiografico differito: le memorie e le carte dei magistrati che hanno condotto i filoni del caso in mezzo secolo (il raccordo col blocco 114 dell'agenda) — con la regola: il come delle decisioni documentate, mai la revisione del merito. La storia della magistratura del caso è un capitolo a sé: si prepara ora, si scrive quando si potrà.</w:t>
      </w:r>
    </w:p>
    <w:p>
      <w:pPr>
        <w:spacing w:after="120" w:line="276"/>
        <w:jc w:val="both"/>
      </w:pPr>
      <w:r>
        <w:rPr>
          <w:rFonts w:ascii="Barlow Semi Condensed" w:cs="Barlow Semi Condensed" w:eastAsia="Barlow Semi Condensed" w:hAnsi="Barlow Semi Condensed"/>
          <w:b/>
          <w:bCs/>
          <w:sz w:val="24"/>
          <w:szCs w:val="24"/>
        </w:rPr>
        <w:t xml:space="preserve">909 · Il fascicolo nel cinquantennale.</w:t>
      </w:r>
      <w:r>
        <w:rPr>
          <w:rFonts w:ascii="Barlow Semi Condensed" w:cs="Barlow Semi Condensed" w:eastAsia="Barlow Semi Condensed" w:hAnsi="Barlow Semi Condensed"/>
          <w:sz w:val="24"/>
          <w:szCs w:val="24"/>
        </w:rPr>
        <w:t xml:space="preserve"> Il raccordo col calendario civile: il 2028 arriverà col fascicolo in uno dei suoi stati possibili — e la regola del blocco 774 vale doppio: nessuna pressione celebrativa sui tempi della giustizia, nessun uso commemorativo di un procedimento vivo. Il cinquantennale onorerà il fascicolo rispettandone il silenzio.</w:t>
      </w:r>
    </w:p>
    <w:p>
      <w:pPr>
        <w:spacing w:after="120" w:line="276"/>
        <w:jc w:val="both"/>
      </w:pPr>
      <w:r>
        <w:rPr>
          <w:rFonts w:ascii="Barlow Semi Condensed" w:cs="Barlow Semi Condensed" w:eastAsia="Barlow Semi Condensed" w:hAnsi="Barlow Semi Condensed"/>
          <w:b/>
          <w:bCs/>
          <w:sz w:val="24"/>
          <w:szCs w:val="24"/>
        </w:rPr>
        <w:t xml:space="preserve">910 · La tavola del fascicolo.</w:t>
      </w:r>
      <w:r>
        <w:rPr>
          <w:rFonts w:ascii="Barlow Semi Condensed" w:cs="Barlow Semi Condensed" w:eastAsia="Barlow Semi Condensed" w:hAnsi="Barlow Semi Condensed"/>
          <w:sz w:val="24"/>
          <w:szCs w:val="24"/>
        </w:rPr>
        <w:t xml:space="preserve"> La chiusura della sezione: la cronologia fissata, i protocolli di scenario scritti, il patto col giudiziario dichiarato, le attese schedate. Il fascicolo vivo ha intorno un cantiere civile che lo rispetta e lo sostiene: è la prima volta — e la parte lo lascia scritto.</w:t>
      </w:r>
    </w:p>
    <w:p>
      <w:pPr>
        <w:pStyle w:val="Heading3"/>
        <w:spacing w:after="80" w:before="160"/>
      </w:pPr>
      <w:r>
        <w:rPr>
          <w:rFonts w:ascii="Barlow Semi Condensed" w:cs="Barlow Semi Condensed" w:eastAsia="Barlow Semi Condensed" w:hAnsi="Barlow Semi Condensed"/>
          <w:sz w:val="24"/>
          <w:szCs w:val="24"/>
        </w:rPr>
        <w:t xml:space="preserve">Gli atti digitalizzati e i portali (blocchi 911-940)</w:t>
      </w:r>
    </w:p>
    <w:p>
      <w:pPr>
        <w:spacing w:after="120" w:line="276"/>
        <w:jc w:val="both"/>
      </w:pPr>
      <w:r>
        <w:rPr>
          <w:rFonts w:ascii="Barlow Semi Condensed" w:cs="Barlow Semi Condensed" w:eastAsia="Barlow Semi Condensed" w:hAnsi="Barlow Semi Condensed"/>
          <w:b/>
          <w:bCs/>
          <w:sz w:val="24"/>
          <w:szCs w:val="24"/>
        </w:rPr>
        <w:t xml:space="preserve">911 · Il giacimento giudiziario digitale.</w:t>
      </w:r>
      <w:r>
        <w:rPr>
          <w:rFonts w:ascii="Barlow Semi Condensed" w:cs="Barlow Semi Condensed" w:eastAsia="Barlow Semi Condensed" w:hAnsi="Barlow Semi Condensed"/>
          <w:sz w:val="24"/>
          <w:szCs w:val="24"/>
        </w:rPr>
        <w:t xml:space="preserve"> Il fatto verificato fondativo: gli atti dei cinque processi Moro, custoditi alla Corte d'assise di Roma, sono stati riordinati e digitalizzati — il progetto coordinato dall'Archivio di Stato di Roma d'intesa con Ministero della Giustizia e CSM, realizzato anche col lavoro dei detenuti di Rebibbia, con la messa online progressiva annunciata. Milioni di pagine: il più grande atto di trasparenza della storia del caso.</w:t>
      </w:r>
    </w:p>
    <w:p>
      <w:pPr>
        <w:spacing w:after="120" w:line="276"/>
        <w:jc w:val="both"/>
      </w:pPr>
      <w:r>
        <w:rPr>
          <w:rFonts w:ascii="Barlow Semi Condensed" w:cs="Barlow Semi Condensed" w:eastAsia="Barlow Semi Condensed" w:hAnsi="Barlow Semi Condensed"/>
          <w:b/>
          <w:bCs/>
          <w:sz w:val="24"/>
          <w:szCs w:val="24"/>
        </w:rPr>
        <w:t xml:space="preserve">912 · I detenuti che salvarono la storia.</w:t>
      </w:r>
      <w:r>
        <w:rPr>
          <w:rFonts w:ascii="Barlow Semi Condensed" w:cs="Barlow Semi Condensed" w:eastAsia="Barlow Semi Condensed" w:hAnsi="Barlow Semi Condensed"/>
          <w:sz w:val="24"/>
          <w:szCs w:val="24"/>
        </w:rPr>
        <w:t xml:space="preserve"> Il valore civile del progetto: la digitalizzazione realizzata anche da detenuti — il caso che il carcere contribuisce a consegnare alla storia. Il blocco lo registra come fatto e come simbolo: la Repubblica che ripara i propri archivi con le mani di chi sconta le proprie pene è una pagina che merita il suo posto nell'opera.</w:t>
      </w:r>
    </w:p>
    <w:p>
      <w:pPr>
        <w:spacing w:after="120" w:line="276"/>
        <w:jc w:val="both"/>
      </w:pPr>
      <w:r>
        <w:rPr>
          <w:rFonts w:ascii="Barlow Semi Condensed" w:cs="Barlow Semi Condensed" w:eastAsia="Barlow Semi Condensed" w:hAnsi="Barlow Semi Condensed"/>
          <w:b/>
          <w:bCs/>
          <w:sz w:val="24"/>
          <w:szCs w:val="24"/>
        </w:rPr>
        <w:t xml:space="preserve">913 · Lo spoglio del giacimento.</w:t>
      </w:r>
      <w:r>
        <w:rPr>
          <w:rFonts w:ascii="Barlow Semi Condensed" w:cs="Barlow Semi Condensed" w:eastAsia="Barlow Semi Condensed" w:hAnsi="Barlow Semi Condensed"/>
          <w:sz w:val="24"/>
          <w:szCs w:val="24"/>
        </w:rPr>
        <w:t xml:space="preserve"> Il programma operativo: lo spoglio sistematico degli atti digitalizzati con la griglia dei quesiti — i verbali di sequestro per i reperti, le perizie per le tre stagioni, i dibattimenti per le parole. Tutta l'opera poggia su questo giacimento: il blocco ne organizza la lettura integrale per campagne.</w:t>
      </w:r>
    </w:p>
    <w:p>
      <w:pPr>
        <w:spacing w:after="120" w:line="276"/>
        <w:jc w:val="both"/>
      </w:pPr>
      <w:r>
        <w:rPr>
          <w:rFonts w:ascii="Barlow Semi Condensed" w:cs="Barlow Semi Condensed" w:eastAsia="Barlow Semi Condensed" w:hAnsi="Barlow Semi Condensed"/>
          <w:b/>
          <w:bCs/>
          <w:sz w:val="24"/>
          <w:szCs w:val="24"/>
        </w:rPr>
        <w:t xml:space="preserve">914 · La revisione per la privacy.</w:t>
      </w:r>
      <w:r>
        <w:rPr>
          <w:rFonts w:ascii="Barlow Semi Condensed" w:cs="Barlow Semi Condensed" w:eastAsia="Barlow Semi Condensed" w:hAnsi="Barlow Semi Condensed"/>
          <w:sz w:val="24"/>
          <w:szCs w:val="24"/>
        </w:rPr>
        <w:t xml:space="preserve"> Il vincolo dichiarato: la pubblicazione integrale online è subordinata alla revisione per i dati sensibili — il blocco registra lo stato (pubblicazione progressiva) e la regola dell'attesa: ciò che non è ancora online si consulta nelle sedi, non si sollecita con impazienza. Anche la trasparenza ha i suoi tempi giusti.</w:t>
      </w:r>
    </w:p>
    <w:p>
      <w:pPr>
        <w:spacing w:after="120" w:line="276"/>
        <w:jc w:val="both"/>
      </w:pPr>
      <w:r>
        <w:rPr>
          <w:rFonts w:ascii="Barlow Semi Condensed" w:cs="Barlow Semi Condensed" w:eastAsia="Barlow Semi Condensed" w:hAnsi="Barlow Semi Condensed"/>
          <w:b/>
          <w:bCs/>
          <w:sz w:val="24"/>
          <w:szCs w:val="24"/>
        </w:rPr>
        <w:t xml:space="preserve">915 · Il portale della Rete.</w:t>
      </w:r>
      <w:r>
        <w:rPr>
          <w:rFonts w:ascii="Barlow Semi Condensed" w:cs="Barlow Semi Condensed" w:eastAsia="Barlow Semi Condensed" w:hAnsi="Barlow Semi Condensed"/>
          <w:sz w:val="24"/>
          <w:szCs w:val="24"/>
        </w:rPr>
        <w:t xml:space="preserve"> Lo strumento verificato: memoria.cultura.gov.it (rinnovato nel 2022) con le sentenze dei processi romani già pubblicate e le guide alle fonti. Il punto d'accesso pubblico principale: il blocco ne organizza l'uso sistematico e il monitoraggio degli aggiornamenti — ogni nuovo caricamento è un evento per l'opera.</w:t>
      </w:r>
    </w:p>
    <w:p>
      <w:pPr>
        <w:spacing w:after="120" w:line="276"/>
        <w:jc w:val="both"/>
      </w:pPr>
      <w:r>
        <w:rPr>
          <w:rFonts w:ascii="Barlow Semi Condensed" w:cs="Barlow Semi Condensed" w:eastAsia="Barlow Semi Condensed" w:hAnsi="Barlow Semi Condensed"/>
          <w:b/>
          <w:bCs/>
          <w:sz w:val="24"/>
          <w:szCs w:val="24"/>
        </w:rPr>
        <w:t xml:space="preserve">916 · Il portale delle inchieste.</w:t>
      </w:r>
      <w:r>
        <w:rPr>
          <w:rFonts w:ascii="Barlow Semi Condensed" w:cs="Barlow Semi Condensed" w:eastAsia="Barlow Semi Condensed" w:hAnsi="Barlow Semi Condensed"/>
          <w:sz w:val="24"/>
          <w:szCs w:val="24"/>
        </w:rPr>
        <w:t xml:space="preserve"> Il gemello parlamentare: inchieste.camera.it con la sezione Moro — gli stenografici, i documenti liberi, le circa ventimila pagine desecretate. Il blocco fissa il perimetro: che cosa c'è, che cosa manca, e la tavola di corrispondenza col fondo fisico alla Camera (il raccordo con la Parte... con la serie terza dell'agenda).</w:t>
      </w:r>
    </w:p>
    <w:p>
      <w:pPr>
        <w:spacing w:after="120" w:line="276"/>
        <w:jc w:val="both"/>
      </w:pPr>
      <w:r>
        <w:rPr>
          <w:rFonts w:ascii="Barlow Semi Condensed" w:cs="Barlow Semi Condensed" w:eastAsia="Barlow Semi Condensed" w:hAnsi="Barlow Semi Condensed"/>
          <w:b/>
          <w:bCs/>
          <w:sz w:val="24"/>
          <w:szCs w:val="24"/>
        </w:rPr>
        <w:t xml:space="preserve">917 · Il patrimonio del Senato.</w:t>
      </w:r>
      <w:r>
        <w:rPr>
          <w:rFonts w:ascii="Barlow Semi Condensed" w:cs="Barlow Semi Condensed" w:eastAsia="Barlow Semi Condensed" w:hAnsi="Barlow Semi Condensed"/>
          <w:sz w:val="24"/>
          <w:szCs w:val="24"/>
        </w:rPr>
        <w:t xml:space="preserve"> Il terzo pilastro: patrimonio.archivio.senato.it coi fondi Moro 1 e Stragi (e i fondi acquisiti: Fanfani, il fascicolo Craxi). Il blocco organizza l'interrogazione sistematica della piattaforma — inventari, schede, digitalizzazioni — come sportello permanente dell'opera.</w:t>
      </w:r>
    </w:p>
    <w:p>
      <w:pPr>
        <w:spacing w:after="120" w:line="276"/>
        <w:jc w:val="both"/>
      </w:pPr>
      <w:r>
        <w:rPr>
          <w:rFonts w:ascii="Barlow Semi Condensed" w:cs="Barlow Semi Condensed" w:eastAsia="Barlow Semi Condensed" w:hAnsi="Barlow Semi Condensed"/>
          <w:b/>
          <w:bCs/>
          <w:sz w:val="24"/>
          <w:szCs w:val="24"/>
        </w:rPr>
        <w:t xml:space="preserve">918 · La Guida ai fondi dell'ACS.</w:t>
      </w:r>
      <w:r>
        <w:rPr>
          <w:rFonts w:ascii="Barlow Semi Condensed" w:cs="Barlow Semi Condensed" w:eastAsia="Barlow Semi Condensed" w:hAnsi="Barlow Semi Condensed"/>
          <w:sz w:val="24"/>
          <w:szCs w:val="24"/>
        </w:rPr>
        <w:t xml:space="preserve"> Il quarto pilastro: le schede della Guida (il fondo personale Moro, la raccolta delle direttive, le stragi) e la banca dati della Sala delle raccolte speciali, consultabile in sede e dalle postazioni remote regionali. Il blocco ne fa lo strumento quotidiano del cantiere archivistico — con la mappa delle postazioni remote come moltiplicatore d'accesso.</w:t>
      </w:r>
    </w:p>
    <w:p>
      <w:pPr>
        <w:spacing w:after="120" w:line="276"/>
        <w:jc w:val="both"/>
      </w:pPr>
      <w:r>
        <w:rPr>
          <w:rFonts w:ascii="Barlow Semi Condensed" w:cs="Barlow Semi Condensed" w:eastAsia="Barlow Semi Condensed" w:hAnsi="Barlow Semi Condensed"/>
          <w:b/>
          <w:bCs/>
          <w:sz w:val="24"/>
          <w:szCs w:val="24"/>
        </w:rPr>
        <w:t xml:space="preserve">919 · L'edizione digitale morotea.</w:t>
      </w:r>
      <w:r>
        <w:rPr>
          <w:rFonts w:ascii="Barlow Semi Condensed" w:cs="Barlow Semi Condensed" w:eastAsia="Barlow Semi Condensed" w:hAnsi="Barlow Semi Condensed"/>
          <w:sz w:val="24"/>
          <w:szCs w:val="24"/>
        </w:rPr>
        <w:t xml:space="preserve"> Il quinto pilastro, verificato: aldomorodigitale.unibo.it — l'Edizione nazionale promossa per il centenario (2016), digitale e ad accesso aperto. Il blocco fissa il raccordo permanente (i blocchi 228 e 549) e il monitoraggio dei rilasci: ogni nuovo testo edito è materia per la Parte quinta.</w:t>
      </w:r>
    </w:p>
    <w:p>
      <w:pPr>
        <w:spacing w:after="120" w:line="276"/>
        <w:jc w:val="both"/>
      </w:pPr>
      <w:r>
        <w:rPr>
          <w:rFonts w:ascii="Barlow Semi Condensed" w:cs="Barlow Semi Condensed" w:eastAsia="Barlow Semi Condensed" w:hAnsi="Barlow Semi Condensed"/>
          <w:b/>
          <w:bCs/>
          <w:sz w:val="24"/>
          <w:szCs w:val="24"/>
        </w:rPr>
        <w:t xml:space="preserve">920 · Il portale che non c'è.</w:t>
      </w:r>
      <w:r>
        <w:rPr>
          <w:rFonts w:ascii="Barlow Semi Condensed" w:cs="Barlow Semi Condensed" w:eastAsia="Barlow Semi Condensed" w:hAnsi="Barlow Semi Condensed"/>
          <w:sz w:val="24"/>
          <w:szCs w:val="24"/>
        </w:rPr>
        <w:t xml:space="preserve"> L'esito negativo trasformato in proposta: non esiste un portale unico degli atti del caso — esiste una costellazione (Camera, Senato, ACS, Rete, Bologna). Il blocco formula la proposta istituzionale dell'opera: il portale federato del caso Moro — un solo punto d'ingresso, indici incrociati, le tavole dell'opera come contributo. Si scrive, si motiva, si consegna.</w:t>
      </w:r>
    </w:p>
    <w:p>
      <w:pPr>
        <w:spacing w:after="120" w:line="276"/>
        <w:jc w:val="both"/>
      </w:pPr>
      <w:r>
        <w:rPr>
          <w:rFonts w:ascii="Barlow Semi Condensed" w:cs="Barlow Semi Condensed" w:eastAsia="Barlow Semi Condensed" w:hAnsi="Barlow Semi Condensed"/>
          <w:b/>
          <w:bCs/>
          <w:sz w:val="24"/>
          <w:szCs w:val="24"/>
        </w:rPr>
        <w:t xml:space="preserve">921 · La mappa della costellazione.</w:t>
      </w:r>
      <w:r>
        <w:rPr>
          <w:rFonts w:ascii="Barlow Semi Condensed" w:cs="Barlow Semi Condensed" w:eastAsia="Barlow Semi Condensed" w:hAnsi="Barlow Semi Condensed"/>
          <w:sz w:val="24"/>
          <w:szCs w:val="24"/>
        </w:rPr>
        <w:t xml:space="preserve"> Nel frattempo, lo strumento ponte: la mappa unica dei portali esistenti — che cosa si trova dove, con quali strumenti di ricerca, con quali lacune — pubblicata e mantenuta dall'opera. Se il portale federato tarderà, la mappa è il suo surrogato immediato: il navigatore della costellazione.</w:t>
      </w:r>
    </w:p>
    <w:p>
      <w:pPr>
        <w:spacing w:after="120" w:line="276"/>
        <w:jc w:val="both"/>
      </w:pPr>
      <w:r>
        <w:rPr>
          <w:rFonts w:ascii="Barlow Semi Condensed" w:cs="Barlow Semi Condensed" w:eastAsia="Barlow Semi Condensed" w:hAnsi="Barlow Semi Condensed"/>
          <w:b/>
          <w:bCs/>
          <w:sz w:val="24"/>
          <w:szCs w:val="24"/>
        </w:rPr>
        <w:t xml:space="preserve">922 · Il processo Moro-uno, la scheda.</w:t>
      </w:r>
      <w:r>
        <w:rPr>
          <w:rFonts w:ascii="Barlow Semi Condensed" w:cs="Barlow Semi Condensed" w:eastAsia="Barlow Semi Condensed" w:hAnsi="Barlow Semi Condensed"/>
          <w:sz w:val="24"/>
          <w:szCs w:val="24"/>
        </w:rPr>
        <w:t xml:space="preserve"> La prima scheda processuale: il processo di primo grado e appello per via Fani e il sequestro — le date, gli imputati, l'esito, il fascicolo digitalizzato. La tavola dei cinque processi (blocco 791) si esegue qui scheda per scheda: il primo processo è il pavimento del registro.</w:t>
      </w:r>
    </w:p>
    <w:p>
      <w:pPr>
        <w:spacing w:after="120" w:line="276"/>
        <w:jc w:val="both"/>
      </w:pPr>
      <w:r>
        <w:rPr>
          <w:rFonts w:ascii="Barlow Semi Condensed" w:cs="Barlow Semi Condensed" w:eastAsia="Barlow Semi Condensed" w:hAnsi="Barlow Semi Condensed"/>
          <w:b/>
          <w:bCs/>
          <w:sz w:val="24"/>
          <w:szCs w:val="24"/>
        </w:rPr>
        <w:t xml:space="preserve">923 · Il Moro-bis, la scheda.</w:t>
      </w:r>
      <w:r>
        <w:rPr>
          <w:rFonts w:ascii="Barlow Semi Condensed" w:cs="Barlow Semi Condensed" w:eastAsia="Barlow Semi Condensed" w:hAnsi="Barlow Semi Condensed"/>
          <w:sz w:val="24"/>
          <w:szCs w:val="24"/>
        </w:rPr>
        <w:t xml:space="preserve"> La seconda scheda: il filone bis — integrazioni istruttorie, nuovi imputati, esiti. Ogni scheda con la stessa griglia: perimetro, date, motivazioni, che cosa aggiunse alla conoscenza del caso.</w:t>
      </w:r>
    </w:p>
    <w:p>
      <w:pPr>
        <w:spacing w:after="120" w:line="276"/>
        <w:jc w:val="both"/>
      </w:pPr>
      <w:r>
        <w:rPr>
          <w:rFonts w:ascii="Barlow Semi Condensed" w:cs="Barlow Semi Condensed" w:eastAsia="Barlow Semi Condensed" w:hAnsi="Barlow Semi Condensed"/>
          <w:b/>
          <w:bCs/>
          <w:sz w:val="24"/>
          <w:szCs w:val="24"/>
        </w:rPr>
        <w:t xml:space="preserve">924 · Il Moro-ter, la scheda.</w:t>
      </w:r>
      <w:r>
        <w:rPr>
          <w:rFonts w:ascii="Barlow Semi Condensed" w:cs="Barlow Semi Condensed" w:eastAsia="Barlow Semi Condensed" w:hAnsi="Barlow Semi Condensed"/>
          <w:sz w:val="24"/>
          <w:szCs w:val="24"/>
        </w:rPr>
        <w:t xml:space="preserve"> La terza scheda, con la sua regola incorporata: il ter — il processo dell'assoluzione Algranati per via Fani (1988), l'atto che fonda la pietra di paragone del corpus. La scheda fissa che cosa il ter accertò e che cosa escluse: è il processo che insegna la disciplina.</w:t>
      </w:r>
    </w:p>
    <w:p>
      <w:pPr>
        <w:spacing w:after="120" w:line="276"/>
        <w:jc w:val="both"/>
      </w:pPr>
      <w:r>
        <w:rPr>
          <w:rFonts w:ascii="Barlow Semi Condensed" w:cs="Barlow Semi Condensed" w:eastAsia="Barlow Semi Condensed" w:hAnsi="Barlow Semi Condensed"/>
          <w:b/>
          <w:bCs/>
          <w:sz w:val="24"/>
          <w:szCs w:val="24"/>
        </w:rPr>
        <w:t xml:space="preserve">925 · Il Moro-quater, la scheda.</w:t>
      </w:r>
      <w:r>
        <w:rPr>
          <w:rFonts w:ascii="Barlow Semi Condensed" w:cs="Barlow Semi Condensed" w:eastAsia="Barlow Semi Condensed" w:hAnsi="Barlow Semi Condensed"/>
          <w:sz w:val="24"/>
          <w:szCs w:val="24"/>
        </w:rPr>
        <w:t xml:space="preserve"> La quarta scheda, con l'ancora verificata: il quater — fino alla Cassazione del 14 maggio 1997 (la condanna definitiva di Lojacono per l'intero arco del sequestro). La scheda del processo dei latitanti e delle posizioni separate.</w:t>
      </w:r>
    </w:p>
    <w:p>
      <w:pPr>
        <w:spacing w:after="120" w:line="276"/>
        <w:jc w:val="both"/>
      </w:pPr>
      <w:r>
        <w:rPr>
          <w:rFonts w:ascii="Barlow Semi Condensed" w:cs="Barlow Semi Condensed" w:eastAsia="Barlow Semi Condensed" w:hAnsi="Barlow Semi Condensed"/>
          <w:b/>
          <w:bCs/>
          <w:sz w:val="24"/>
          <w:szCs w:val="24"/>
        </w:rPr>
        <w:t xml:space="preserve">926 · Il Moro-quinquies, la scheda.</w:t>
      </w:r>
      <w:r>
        <w:rPr>
          <w:rFonts w:ascii="Barlow Semi Condensed" w:cs="Barlow Semi Condensed" w:eastAsia="Barlow Semi Condensed" w:hAnsi="Barlow Semi Condensed"/>
          <w:sz w:val="24"/>
          <w:szCs w:val="24"/>
        </w:rPr>
        <w:t xml:space="preserve"> La quinta scheda, con le date verificate: il quinquies — il primo grado del 16 luglio 1996, il quarto uomo (Maccari), il livello logistico (Etro), i definitivi del 1998-99. Il processo che dimostrò che il registro può crescere per giudicato a vent'anni dai fatti: la lezione istituzionale che il fascicolo di oggi custodisce.</w:t>
      </w:r>
    </w:p>
    <w:p>
      <w:pPr>
        <w:spacing w:after="120" w:line="276"/>
        <w:jc w:val="both"/>
      </w:pPr>
      <w:r>
        <w:rPr>
          <w:rFonts w:ascii="Barlow Semi Condensed" w:cs="Barlow Semi Condensed" w:eastAsia="Barlow Semi Condensed" w:hAnsi="Barlow Semi Condensed"/>
          <w:b/>
          <w:bCs/>
          <w:sz w:val="24"/>
          <w:szCs w:val="24"/>
        </w:rPr>
        <w:t xml:space="preserve">927 · I processi collaterali, il censimento.</w:t>
      </w:r>
      <w:r>
        <w:rPr>
          <w:rFonts w:ascii="Barlow Semi Condensed" w:cs="Barlow Semi Condensed" w:eastAsia="Barlow Semi Condensed" w:hAnsi="Barlow Semi Condensed"/>
          <w:sz w:val="24"/>
          <w:szCs w:val="24"/>
        </w:rPr>
        <w:t xml:space="preserve"> Il perimetro completo: i procedimenti collegati (il processo Chichiarelli mai celebrato per morte dell'indagato, i filoni sui covi, i processi della colonna romana per la parte moroteta) — la tavola dei procedimenti satellite con gli stati. Il sistema giudiziario del caso, contato per intero.</w:t>
      </w:r>
    </w:p>
    <w:p>
      <w:pPr>
        <w:spacing w:after="120" w:line="276"/>
        <w:jc w:val="both"/>
      </w:pPr>
      <w:r>
        <w:rPr>
          <w:rFonts w:ascii="Barlow Semi Condensed" w:cs="Barlow Semi Condensed" w:eastAsia="Barlow Semi Condensed" w:hAnsi="Barlow Semi Condensed"/>
          <w:b/>
          <w:bCs/>
          <w:sz w:val="24"/>
          <w:szCs w:val="24"/>
        </w:rPr>
        <w:t xml:space="preserve">928 · Le sentenze in edizione.</w:t>
      </w:r>
      <w:r>
        <w:rPr>
          <w:rFonts w:ascii="Barlow Semi Condensed" w:cs="Barlow Semi Condensed" w:eastAsia="Barlow Semi Condensed" w:hAnsi="Barlow Semi Condensed"/>
          <w:sz w:val="24"/>
          <w:szCs w:val="24"/>
        </w:rPr>
        <w:t xml:space="preserve"> Il bersaglio editoriale: l'edizione digitale integrale e indicizzata di tutte le sentenze del caso (il blocco 38 dell'agenda, eseguito alla scala della parte) — con gli apparati: cronologie interne, indici dei nomi nel rispetto della disciplina, tavole di corrispondenza fra gradi. Il giudicato leggibile da chiunque: è la base della cittadinanza documentale sul caso.</w:t>
      </w:r>
    </w:p>
    <w:p>
      <w:pPr>
        <w:spacing w:after="120" w:line="276"/>
        <w:jc w:val="both"/>
      </w:pPr>
      <w:r>
        <w:rPr>
          <w:rFonts w:ascii="Barlow Semi Condensed" w:cs="Barlow Semi Condensed" w:eastAsia="Barlow Semi Condensed" w:hAnsi="Barlow Semi Condensed"/>
          <w:b/>
          <w:bCs/>
          <w:sz w:val="24"/>
          <w:szCs w:val="24"/>
        </w:rPr>
        <w:t xml:space="preserve">929 · Gli stenografici come corpus.</w:t>
      </w:r>
      <w:r>
        <w:rPr>
          <w:rFonts w:ascii="Barlow Semi Condensed" w:cs="Barlow Semi Condensed" w:eastAsia="Barlow Semi Condensed" w:hAnsi="Barlow Semi Condensed"/>
          <w:sz w:val="24"/>
          <w:szCs w:val="24"/>
        </w:rPr>
        <w:t xml:space="preserve"> Il gemello parlamentare: l'edizione indicizzata degli stenografici delle tre commissioni (il raccordo coi blocchi 65-67 dell'agenda) — interrogabile insieme al corpus giudiziario. Quarant'anni di parola istituzionale sul caso in un solo strumento di ricerca: il cantiere digitale lo rende possibile.</w:t>
      </w:r>
    </w:p>
    <w:p>
      <w:pPr>
        <w:spacing w:after="120" w:line="276"/>
        <w:jc w:val="both"/>
      </w:pPr>
      <w:r>
        <w:rPr>
          <w:rFonts w:ascii="Barlow Semi Condensed" w:cs="Barlow Semi Condensed" w:eastAsia="Barlow Semi Condensed" w:hAnsi="Barlow Semi Condensed"/>
          <w:b/>
          <w:bCs/>
          <w:sz w:val="24"/>
          <w:szCs w:val="24"/>
        </w:rPr>
        <w:t xml:space="preserve">930 · Il collegamento dei corpora.</w:t>
      </w:r>
      <w:r>
        <w:rPr>
          <w:rFonts w:ascii="Barlow Semi Condensed" w:cs="Barlow Semi Condensed" w:eastAsia="Barlow Semi Condensed" w:hAnsi="Barlow Semi Condensed"/>
          <w:sz w:val="24"/>
          <w:szCs w:val="24"/>
        </w:rPr>
        <w:t xml:space="preserve"> L'infrastruttura finale: il collegamento incrociato fra i corpora (giudiziario, parlamentare, archivistico, editoriale) — ogni persona, luogo e reperto con identificativo stabile attraverso tutti (il blocco 303 del manuale, eseguito). La costellazione diventa sistema: è il contributo tecnico maggiore che l'opera può offrire alla Repubblica.</w:t>
      </w:r>
    </w:p>
    <w:p>
      <w:pPr>
        <w:spacing w:after="120" w:line="276"/>
        <w:jc w:val="both"/>
      </w:pPr>
      <w:r>
        <w:rPr>
          <w:rFonts w:ascii="Barlow Semi Condensed" w:cs="Barlow Semi Condensed" w:eastAsia="Barlow Semi Condensed" w:hAnsi="Barlow Semi Condensed"/>
          <w:b/>
          <w:bCs/>
          <w:sz w:val="24"/>
          <w:szCs w:val="24"/>
        </w:rPr>
        <w:t xml:space="preserve">931 · Il monitoraggio dei rilasci.</w:t>
      </w:r>
      <w:r>
        <w:rPr>
          <w:rFonts w:ascii="Barlow Semi Condensed" w:cs="Barlow Semi Condensed" w:eastAsia="Barlow Semi Condensed" w:hAnsi="Barlow Semi Condensed"/>
          <w:sz w:val="24"/>
          <w:szCs w:val="24"/>
        </w:rPr>
        <w:t xml:space="preserve"> La funzione permanente: il monitoraggio organizzato di ogni nuovo rilascio sui portali (atti processuali, desecretazioni, digitalizzazioni) con verbale mensile — la sentinella documentale dell'opera. I giacimenti crescono: qualcuno deve accorgersene sistematicamente, e da oggi qualcuno lo fa.</w:t>
      </w:r>
    </w:p>
    <w:p>
      <w:pPr>
        <w:spacing w:after="120" w:line="276"/>
        <w:jc w:val="both"/>
      </w:pPr>
      <w:r>
        <w:rPr>
          <w:rFonts w:ascii="Barlow Semi Condensed" w:cs="Barlow Semi Condensed" w:eastAsia="Barlow Semi Condensed" w:hAnsi="Barlow Semi Condensed"/>
          <w:b/>
          <w:bCs/>
          <w:sz w:val="24"/>
          <w:szCs w:val="24"/>
        </w:rPr>
        <w:t xml:space="preserve">932 · Le segnalazioni di lacune.</w:t>
      </w:r>
      <w:r>
        <w:rPr>
          <w:rFonts w:ascii="Barlow Semi Condensed" w:cs="Barlow Semi Condensed" w:eastAsia="Barlow Semi Condensed" w:hAnsi="Barlow Semi Condensed"/>
          <w:sz w:val="24"/>
          <w:szCs w:val="24"/>
        </w:rPr>
        <w:t xml:space="preserve"> Il canale di ritorno: le lacune trovate nei portali (documenti citati e assenti, scansioni illeggibili, indici errati) segnalate formalmente agli istituti — il registro delle segnalazioni tecniche. L'opera usa i portali e li migliora: è la gratitudine operosa del blocco 287 dell'agenda.</w:t>
      </w:r>
    </w:p>
    <w:p>
      <w:pPr>
        <w:spacing w:after="120" w:line="276"/>
        <w:jc w:val="both"/>
      </w:pPr>
      <w:r>
        <w:rPr>
          <w:rFonts w:ascii="Barlow Semi Condensed" w:cs="Barlow Semi Condensed" w:eastAsia="Barlow Semi Condensed" w:hAnsi="Barlow Semi Condensed"/>
          <w:b/>
          <w:bCs/>
          <w:sz w:val="24"/>
          <w:szCs w:val="24"/>
        </w:rPr>
        <w:t xml:space="preserve">933 · L'accessibilità dei giacimenti.</w:t>
      </w:r>
      <w:r>
        <w:rPr>
          <w:rFonts w:ascii="Barlow Semi Condensed" w:cs="Barlow Semi Condensed" w:eastAsia="Barlow Semi Condensed" w:hAnsi="Barlow Semi Condensed"/>
          <w:sz w:val="24"/>
          <w:szCs w:val="24"/>
        </w:rPr>
        <w:t xml:space="preserve"> La verifica trasversale: l'accessibilità reale dei portali (standard, lettori di schermo, formati) — con le segnalazioni dove manca (il blocco 326 del manuale, applicato ai giacimenti altrui). La memoria pubblica digitale o è di tutti o non è pubblica: l'opera lo verifica portale per portale.</w:t>
      </w:r>
    </w:p>
    <w:p>
      <w:pPr>
        <w:spacing w:after="120" w:line="276"/>
        <w:jc w:val="both"/>
      </w:pPr>
      <w:r>
        <w:rPr>
          <w:rFonts w:ascii="Barlow Semi Condensed" w:cs="Barlow Semi Condensed" w:eastAsia="Barlow Semi Condensed" w:hAnsi="Barlow Semi Condensed"/>
          <w:b/>
          <w:bCs/>
          <w:sz w:val="24"/>
          <w:szCs w:val="24"/>
        </w:rPr>
        <w:t xml:space="preserve">934 · La conservazione del digitale pubblico.</w:t>
      </w:r>
      <w:r>
        <w:rPr>
          <w:rFonts w:ascii="Barlow Semi Condensed" w:cs="Barlow Semi Condensed" w:eastAsia="Barlow Semi Condensed" w:hAnsi="Barlow Semi Condensed"/>
          <w:sz w:val="24"/>
          <w:szCs w:val="24"/>
        </w:rPr>
        <w:t xml:space="preserve"> Il quesito di lungo periodo: la conservazione permanente dei giacimenti digitali del caso (formati, migrazioni, ridondanze istituzionali) — l'opera censisce le politiche dichiarate e segnala i rischi. Un portale che muore è un archivio che brucia al rallentatore: la vigilanza è parte del cantiere.</w:t>
      </w:r>
    </w:p>
    <w:p>
      <w:pPr>
        <w:spacing w:after="120" w:line="276"/>
        <w:jc w:val="both"/>
      </w:pPr>
      <w:r>
        <w:rPr>
          <w:rFonts w:ascii="Barlow Semi Condensed" w:cs="Barlow Semi Condensed" w:eastAsia="Barlow Semi Condensed" w:hAnsi="Barlow Semi Condensed"/>
          <w:b/>
          <w:bCs/>
          <w:sz w:val="24"/>
          <w:szCs w:val="24"/>
        </w:rPr>
        <w:t xml:space="preserve">935 · I dati aperti del caso.</w:t>
      </w:r>
      <w:r>
        <w:rPr>
          <w:rFonts w:ascii="Barlow Semi Condensed" w:cs="Barlow Semi Condensed" w:eastAsia="Barlow Semi Condensed" w:hAnsi="Barlow Semi Condensed"/>
          <w:sz w:val="24"/>
          <w:szCs w:val="24"/>
        </w:rPr>
        <w:t xml:space="preserve"> La proposta tecnica: i metadati dei giacimenti del caso come dati aperti interrogabili (gli inventari, gli indici, le cronologie) — l'opera pubblica i propri e propone lo standard. La ricerca del futuro sarà computazionale: i dati aperti di oggi sono la sua precondizione.</w:t>
      </w:r>
    </w:p>
    <w:p>
      <w:pPr>
        <w:spacing w:after="120" w:line="276"/>
        <w:jc w:val="both"/>
      </w:pPr>
      <w:r>
        <w:rPr>
          <w:rFonts w:ascii="Barlow Semi Condensed" w:cs="Barlow Semi Condensed" w:eastAsia="Barlow Semi Condensed" w:hAnsi="Barlow Semi Condensed"/>
          <w:b/>
          <w:bCs/>
          <w:sz w:val="24"/>
          <w:szCs w:val="24"/>
        </w:rPr>
        <w:t xml:space="preserve">936 · Le copie di studio.</w:t>
      </w:r>
      <w:r>
        <w:rPr>
          <w:rFonts w:ascii="Barlow Semi Condensed" w:cs="Barlow Semi Condensed" w:eastAsia="Barlow Semi Condensed" w:hAnsi="Barlow Semi Condensed"/>
          <w:sz w:val="24"/>
          <w:szCs w:val="24"/>
        </w:rPr>
        <w:t xml:space="preserve"> Lo strumento di lavoro: le copie di studio integrali dei giacimenti digitali pubblici presso il fascicolo digitale dell'opera (dove le licenze lo consentono) — l'indipendenza dalla disponibilità altrui. Ciò che è pubblico oggi potrebbe non esserlo domani: la copia di studio è la memoria della memoria.</w:t>
      </w:r>
    </w:p>
    <w:p>
      <w:pPr>
        <w:spacing w:after="120" w:line="276"/>
        <w:jc w:val="both"/>
      </w:pPr>
      <w:r>
        <w:rPr>
          <w:rFonts w:ascii="Barlow Semi Condensed" w:cs="Barlow Semi Condensed" w:eastAsia="Barlow Semi Condensed" w:hAnsi="Barlow Semi Condensed"/>
          <w:b/>
          <w:bCs/>
          <w:sz w:val="24"/>
          <w:szCs w:val="24"/>
        </w:rPr>
        <w:t xml:space="preserve">937 · La didattica dei portali.</w:t>
      </w:r>
      <w:r>
        <w:rPr>
          <w:rFonts w:ascii="Barlow Semi Condensed" w:cs="Barlow Semi Condensed" w:eastAsia="Barlow Semi Condensed" w:hAnsi="Barlow Semi Condensed"/>
          <w:sz w:val="24"/>
          <w:szCs w:val="24"/>
        </w:rPr>
        <w:t xml:space="preserve"> Il servizio civile: la guida all'uso dei giacimenti per studenti e cittadini — come si cerca negli atti del caso, portale per portale, con esempi. La trasparenza senza alfabetizzazione è un archivio chiuso a chiave in una piazza: la guida è la chiave distribuita.</w:t>
      </w:r>
    </w:p>
    <w:p>
      <w:pPr>
        <w:spacing w:after="120" w:line="276"/>
        <w:jc w:val="both"/>
      </w:pPr>
      <w:r>
        <w:rPr>
          <w:rFonts w:ascii="Barlow Semi Condensed" w:cs="Barlow Semi Condensed" w:eastAsia="Barlow Semi Condensed" w:hAnsi="Barlow Semi Condensed"/>
          <w:b/>
          <w:bCs/>
          <w:sz w:val="24"/>
          <w:szCs w:val="24"/>
        </w:rPr>
        <w:t xml:space="preserve">938 · Il giacimento come garanzia.</w:t>
      </w:r>
      <w:r>
        <w:rPr>
          <w:rFonts w:ascii="Barlow Semi Condensed" w:cs="Barlow Semi Condensed" w:eastAsia="Barlow Semi Condensed" w:hAnsi="Barlow Semi Condensed"/>
          <w:sz w:val="24"/>
          <w:szCs w:val="24"/>
        </w:rPr>
        <w:t xml:space="preserve"> La riflessione istituzionale: la digitalizzazione dei cinque processi è la migliore garanzia contro le riscritture — chiunque può verificare chiunque, alla carta. L'opera la usa così: ogni propria affermazione sul giudicato porta il rinvio all'atto digitalizzato — la verificabilità come stile.</w:t>
      </w:r>
    </w:p>
    <w:p>
      <w:pPr>
        <w:spacing w:after="120" w:line="276"/>
        <w:jc w:val="both"/>
      </w:pPr>
      <w:r>
        <w:rPr>
          <w:rFonts w:ascii="Barlow Semi Condensed" w:cs="Barlow Semi Condensed" w:eastAsia="Barlow Semi Condensed" w:hAnsi="Barlow Semi Condensed"/>
          <w:b/>
          <w:bCs/>
          <w:sz w:val="24"/>
          <w:szCs w:val="24"/>
        </w:rPr>
        <w:t xml:space="preserve">939 · La sintesi dei giacimenti.</w:t>
      </w:r>
      <w:r>
        <w:rPr>
          <w:rFonts w:ascii="Barlow Semi Condensed" w:cs="Barlow Semi Condensed" w:eastAsia="Barlow Semi Condensed" w:hAnsi="Barlow Semi Condensed"/>
          <w:sz w:val="24"/>
          <w:szCs w:val="24"/>
        </w:rPr>
        <w:t xml:space="preserve"> Il prodotto della sezione: lo stato dell'arte dei giacimenti digitali del caso — la costellazione mappata, i corpora collegati, le proposte depositate — in relazione pubblica. Il caso Moro è già il caso meglio digitalizzato della storia italiana: la sezione lo dice, lo misura e lo spinge oltre.</w:t>
      </w:r>
    </w:p>
    <w:p>
      <w:pPr>
        <w:spacing w:after="120" w:line="276"/>
        <w:jc w:val="both"/>
      </w:pPr>
      <w:r>
        <w:rPr>
          <w:rFonts w:ascii="Barlow Semi Condensed" w:cs="Barlow Semi Condensed" w:eastAsia="Barlow Semi Condensed" w:hAnsi="Barlow Semi Condensed"/>
          <w:b/>
          <w:bCs/>
          <w:sz w:val="24"/>
          <w:szCs w:val="24"/>
        </w:rPr>
        <w:t xml:space="preserve">940 · La tavola dei portali.</w:t>
      </w:r>
      <w:r>
        <w:rPr>
          <w:rFonts w:ascii="Barlow Semi Condensed" w:cs="Barlow Semi Condensed" w:eastAsia="Barlow Semi Condensed" w:hAnsi="Barlow Semi Condensed"/>
          <w:sz w:val="24"/>
          <w:szCs w:val="24"/>
        </w:rPr>
        <w:t xml:space="preserve"> La chiusura della sezione: la mappa mantenuta, il monitoraggio attivo, le proposte (il portale federato, i dati aperti) consegnate. Il cantiere digitale pubblico del caso ha ora il suo osservatorio permanente: l'opera.</w:t>
      </w:r>
    </w:p>
    <w:p>
      <w:pPr>
        <w:pStyle w:val="Heading3"/>
        <w:spacing w:after="80" w:before="160"/>
      </w:pPr>
      <w:r>
        <w:rPr>
          <w:rFonts w:ascii="Barlow Semi Condensed" w:cs="Barlow Semi Condensed" w:eastAsia="Barlow Semi Condensed" w:hAnsi="Barlow Semi Condensed"/>
          <w:sz w:val="24"/>
          <w:szCs w:val="24"/>
        </w:rPr>
        <w:t xml:space="preserve">La direttiva incompiuta e il diritto della memoria (blocchi 941-965)</w:t>
      </w:r>
    </w:p>
    <w:p>
      <w:pPr>
        <w:spacing w:after="120" w:line="276"/>
        <w:jc w:val="both"/>
      </w:pPr>
      <w:r>
        <w:rPr>
          <w:rFonts w:ascii="Barlow Semi Condensed" w:cs="Barlow Semi Condensed" w:eastAsia="Barlow Semi Condensed" w:hAnsi="Barlow Semi Condensed"/>
          <w:b/>
          <w:bCs/>
          <w:sz w:val="24"/>
          <w:szCs w:val="24"/>
        </w:rPr>
        <w:t xml:space="preserve">941 · Il bilancio delle direttive.</w:t>
      </w:r>
      <w:r>
        <w:rPr>
          <w:rFonts w:ascii="Barlow Semi Condensed" w:cs="Barlow Semi Condensed" w:eastAsia="Barlow Semi Condensed" w:hAnsi="Barlow Semi Condensed"/>
          <w:sz w:val="24"/>
          <w:szCs w:val="24"/>
        </w:rPr>
        <w:t xml:space="preserve"> Il punto verificato: la sequenza Prodi (8 aprile 2008) - sede unica ACS (2010) - Renzi (22 aprile 2014, con l'estensione morotea del 2 dicembre 2014) ha prodotto il grande versamento (l'ordine dei settantasette versamenti da centocinquantasei uffici); la direttiva Draghi (2 agosto 2021) ha aggiunto Gladio e P2 — materia adiacente, non il caso in sé. Il blocco apre la sezione col bilancio: molto versato, completezza mai certificata.</w:t>
      </w:r>
    </w:p>
    <w:p>
      <w:pPr>
        <w:spacing w:after="120" w:line="276"/>
        <w:jc w:val="both"/>
      </w:pPr>
      <w:r>
        <w:rPr>
          <w:rFonts w:ascii="Barlow Semi Condensed" w:cs="Barlow Semi Condensed" w:eastAsia="Barlow Semi Condensed" w:hAnsi="Barlow Semi Condensed"/>
          <w:b/>
          <w:bCs/>
          <w:sz w:val="24"/>
          <w:szCs w:val="24"/>
        </w:rPr>
        <w:t xml:space="preserve">942 · L'audit della completezza.</w:t>
      </w:r>
      <w:r>
        <w:rPr>
          <w:rFonts w:ascii="Barlow Semi Condensed" w:cs="Barlow Semi Condensed" w:eastAsia="Barlow Semi Condensed" w:hAnsi="Barlow Semi Condensed"/>
          <w:sz w:val="24"/>
          <w:szCs w:val="24"/>
        </w:rPr>
        <w:t xml:space="preserve"> Il bersaglio capitale della sezione (i blocchi 29-30 dell'agenda, alla scala della parte): l'audit sistematico versamento per versamento — ciò che ogni amministrazione dichiarò di produrre nel 1978 contro ciò che risulta versato — con la tavola degli scarti per ufficio. La direttiva è compiuta solo quando l'audit lo certifica: fino ad allora è un processo, e l'opera lo tratta da processo.</w:t>
      </w:r>
    </w:p>
    <w:p>
      <w:pPr>
        <w:spacing w:after="120" w:line="276"/>
        <w:jc w:val="both"/>
      </w:pPr>
      <w:r>
        <w:rPr>
          <w:rFonts w:ascii="Barlow Semi Condensed" w:cs="Barlow Semi Condensed" w:eastAsia="Barlow Semi Condensed" w:hAnsi="Barlow Semi Condensed"/>
          <w:b/>
          <w:bCs/>
          <w:sz w:val="24"/>
          <w:szCs w:val="24"/>
        </w:rPr>
        <w:t xml:space="preserve">943 · Le integrazioni dovute.</w:t>
      </w:r>
      <w:r>
        <w:rPr>
          <w:rFonts w:ascii="Barlow Semi Condensed" w:cs="Barlow Semi Condensed" w:eastAsia="Barlow Semi Condensed" w:hAnsi="Barlow Semi Condensed"/>
          <w:sz w:val="24"/>
          <w:szCs w:val="24"/>
        </w:rPr>
        <w:t xml:space="preserve"> Il seguito operativo: per ogni scarto misurato, la richiesta formale di versamento integrativo — amministrazione per amministrazione, con la norma citata e il registro degli esiti. La tavola delle integrazioni chieste e ottenute è il termometro della volontà istituzionale: si pubblica aggiornata.</w:t>
      </w:r>
    </w:p>
    <w:p>
      <w:pPr>
        <w:spacing w:after="120" w:line="276"/>
        <w:jc w:val="both"/>
      </w:pPr>
      <w:r>
        <w:rPr>
          <w:rFonts w:ascii="Barlow Semi Condensed" w:cs="Barlow Semi Condensed" w:eastAsia="Barlow Semi Condensed" w:hAnsi="Barlow Semi Condensed"/>
          <w:b/>
          <w:bCs/>
          <w:sz w:val="24"/>
          <w:szCs w:val="24"/>
        </w:rPr>
        <w:t xml:space="preserve">944 · Gladio e P2, la materia adiacente.</w:t>
      </w:r>
      <w:r>
        <w:rPr>
          <w:rFonts w:ascii="Barlow Semi Condensed" w:cs="Barlow Semi Condensed" w:eastAsia="Barlow Semi Condensed" w:hAnsi="Barlow Semi Condensed"/>
          <w:sz w:val="24"/>
          <w:szCs w:val="24"/>
        </w:rPr>
        <w:t xml:space="preserve"> L'uso disciplinato della direttiva Draghi: i versamenti su Gladio e P2 toccano il caso dove i suoi atti li incrociano (gli elenchi accertati, gli apparati del 1978) — lo spoglio mirato con la regola scolpita: l'appartenenza documentata è un fatto, mai una condotta. La materia adiacente si legge con le pinze del metodo: è la scheda PE-1 che lo insegna.</w:t>
      </w:r>
    </w:p>
    <w:p>
      <w:pPr>
        <w:spacing w:after="120" w:line="276"/>
        <w:jc w:val="both"/>
      </w:pPr>
      <w:r>
        <w:rPr>
          <w:rFonts w:ascii="Barlow Semi Condensed" w:cs="Barlow Semi Condensed" w:eastAsia="Barlow Semi Condensed" w:hAnsi="Barlow Semi Condensed"/>
          <w:b/>
          <w:bCs/>
          <w:sz w:val="24"/>
          <w:szCs w:val="24"/>
        </w:rPr>
        <w:t xml:space="preserve">945 · La direttiva che manca.</w:t>
      </w:r>
      <w:r>
        <w:rPr>
          <w:rFonts w:ascii="Barlow Semi Condensed" w:cs="Barlow Semi Condensed" w:eastAsia="Barlow Semi Condensed" w:hAnsi="Barlow Semi Condensed"/>
          <w:sz w:val="24"/>
          <w:szCs w:val="24"/>
        </w:rPr>
        <w:t xml:space="preserve"> La proposta istituzionale della sezione: una direttiva di completamento per il caso — la certificazione formale della completezza dei versamenti, l'estensione alle serie mancanti censite dall'audit, i termini. L'opera la scrive come proposta motivata e la consegna: decidere è della politica, documentare il bisogno è del cantiere.</w:t>
      </w:r>
    </w:p>
    <w:p>
      <w:pPr>
        <w:spacing w:after="120" w:line="276"/>
        <w:jc w:val="both"/>
      </w:pPr>
      <w:r>
        <w:rPr>
          <w:rFonts w:ascii="Barlow Semi Condensed" w:cs="Barlow Semi Condensed" w:eastAsia="Barlow Semi Condensed" w:hAnsi="Barlow Semi Condensed"/>
          <w:b/>
          <w:bCs/>
          <w:sz w:val="24"/>
          <w:szCs w:val="24"/>
        </w:rPr>
        <w:t xml:space="preserve">946 · Il segreto di Stato, i termini.</w:t>
      </w:r>
      <w:r>
        <w:rPr>
          <w:rFonts w:ascii="Barlow Semi Condensed" w:cs="Barlow Semi Condensed" w:eastAsia="Barlow Semi Condensed" w:hAnsi="Barlow Semi Condensed"/>
          <w:sz w:val="24"/>
          <w:szCs w:val="24"/>
        </w:rPr>
        <w:t xml:space="preserve"> Il quadro normativo fissato: la legge 124/2007 coi suoi termini massimi, l'esclusione del segreto per i fatti eversivi, le procedure di conferma — applicati al caso: che cosa può ancora essere legittimamente coperto, che cosa no. Il prontuario del segreto per il caso Moro: breve, esatto, con gli articoli.</w:t>
      </w:r>
    </w:p>
    <w:p>
      <w:pPr>
        <w:spacing w:after="120" w:line="276"/>
        <w:jc w:val="both"/>
      </w:pPr>
      <w:r>
        <w:rPr>
          <w:rFonts w:ascii="Barlow Semi Condensed" w:cs="Barlow Semi Condensed" w:eastAsia="Barlow Semi Condensed" w:hAnsi="Barlow Semi Condensed"/>
          <w:b/>
          <w:bCs/>
          <w:sz w:val="24"/>
          <w:szCs w:val="24"/>
        </w:rPr>
        <w:t xml:space="preserve">947 · Le classifiche amministrative.</w:t>
      </w:r>
      <w:r>
        <w:rPr>
          <w:rFonts w:ascii="Barlow Semi Condensed" w:cs="Barlow Semi Condensed" w:eastAsia="Barlow Semi Condensed" w:hAnsi="Barlow Semi Condensed"/>
          <w:sz w:val="24"/>
          <w:szCs w:val="24"/>
        </w:rPr>
        <w:t xml:space="preserve"> Il gemello minore: le classifiche di riservatezza non di Stato (riservato, riservatissimo) sui documenti del caso — i poteri di declassifica, le prassi, i termini. Metà del «segreto» percepito è classificazione amministrativa ordinaria: il blocco la spiega e ne organizza l'erosione per richiesta.</w:t>
      </w:r>
    </w:p>
    <w:p>
      <w:pPr>
        <w:spacing w:after="120" w:line="276"/>
        <w:jc w:val="both"/>
      </w:pPr>
      <w:r>
        <w:rPr>
          <w:rFonts w:ascii="Barlow Semi Condensed" w:cs="Barlow Semi Condensed" w:eastAsia="Barlow Semi Condensed" w:hAnsi="Barlow Semi Condensed"/>
          <w:b/>
          <w:bCs/>
          <w:sz w:val="24"/>
          <w:szCs w:val="24"/>
        </w:rPr>
        <w:t xml:space="preserve">948 · L'accesso civico e la storia.</w:t>
      </w:r>
      <w:r>
        <w:rPr>
          <w:rFonts w:ascii="Barlow Semi Condensed" w:cs="Barlow Semi Condensed" w:eastAsia="Barlow Semi Condensed" w:hAnsi="Barlow Semi Condensed"/>
          <w:sz w:val="24"/>
          <w:szCs w:val="24"/>
        </w:rPr>
        <w:t xml:space="preserve"> Lo strumento generale: l'accesso civico generalizzato e l'accesso documentale applicati alla ricerca storica sul caso — i presupposti, i limiti, i precedenti utili. Il FOIA italiano è giovane e poco usato dagli storici: il caso può diventare il suo banco di prova nobile — e il prontuario è pronto.</w:t>
      </w:r>
    </w:p>
    <w:p>
      <w:pPr>
        <w:spacing w:after="120" w:line="276"/>
        <w:jc w:val="both"/>
      </w:pPr>
      <w:r>
        <w:rPr>
          <w:rFonts w:ascii="Barlow Semi Condensed" w:cs="Barlow Semi Condensed" w:eastAsia="Barlow Semi Condensed" w:hAnsi="Barlow Semi Condensed"/>
          <w:b/>
          <w:bCs/>
          <w:sz w:val="24"/>
          <w:szCs w:val="24"/>
        </w:rPr>
        <w:t xml:space="preserve">949 · Il diritto archivistico del caso.</w:t>
      </w:r>
      <w:r>
        <w:rPr>
          <w:rFonts w:ascii="Barlow Semi Condensed" w:cs="Barlow Semi Condensed" w:eastAsia="Barlow Semi Condensed" w:hAnsi="Barlow Semi Condensed"/>
          <w:sz w:val="24"/>
          <w:szCs w:val="24"/>
        </w:rPr>
        <w:t xml:space="preserve"> La sintesi normativa: il Codice dei beni culturali per la consultabilità (i termini per i documenti riservati e sensibili), le deroghe per la ricerca, le regole deontologiche — il diritto della memoria applicato al caso in un prontuario unico. Chi cerca deve sapere che cosa può chiedere: il prontuario è l'arma legale del cantiere.</w:t>
      </w:r>
    </w:p>
    <w:p>
      <w:pPr>
        <w:spacing w:after="120" w:line="276"/>
        <w:jc w:val="both"/>
      </w:pPr>
      <w:r>
        <w:rPr>
          <w:rFonts w:ascii="Barlow Semi Condensed" w:cs="Barlow Semi Condensed" w:eastAsia="Barlow Semi Condensed" w:hAnsi="Barlow Semi Condensed"/>
          <w:b/>
          <w:bCs/>
          <w:sz w:val="24"/>
          <w:szCs w:val="24"/>
        </w:rPr>
        <w:t xml:space="preserve">950 · Il Garante e gli archivi del dolore.</w:t>
      </w:r>
      <w:r>
        <w:rPr>
          <w:rFonts w:ascii="Barlow Semi Condensed" w:cs="Barlow Semi Condensed" w:eastAsia="Barlow Semi Condensed" w:hAnsi="Barlow Semi Condensed"/>
          <w:sz w:val="24"/>
          <w:szCs w:val="24"/>
        </w:rPr>
        <w:t xml:space="preserve"> La frontiera deontologica: le regole per i dati sensibili nelle carte del caso (salute, vita privata, terzi estranei) — il bilanciamento fra ricerca storica e dignità delle persone, con le regole deontologiche vigenti. L'opera li applica a se stessa prima che agli altri: è la condizione per chiedere agli archivi di aprirsi.</w:t>
      </w:r>
    </w:p>
    <w:p>
      <w:pPr>
        <w:spacing w:after="120" w:line="276"/>
        <w:jc w:val="both"/>
      </w:pPr>
      <w:r>
        <w:rPr>
          <w:rFonts w:ascii="Barlow Semi Condensed" w:cs="Barlow Semi Condensed" w:eastAsia="Barlow Semi Condensed" w:hAnsi="Barlow Semi Condensed"/>
          <w:b/>
          <w:bCs/>
          <w:sz w:val="24"/>
          <w:szCs w:val="24"/>
        </w:rPr>
        <w:t xml:space="preserve">951 · La giurisprudenza dell'accesso.</w:t>
      </w:r>
      <w:r>
        <w:rPr>
          <w:rFonts w:ascii="Barlow Semi Condensed" w:cs="Barlow Semi Condensed" w:eastAsia="Barlow Semi Condensed" w:hAnsi="Barlow Semi Condensed"/>
          <w:sz w:val="24"/>
          <w:szCs w:val="24"/>
        </w:rPr>
        <w:t xml:space="preserve"> Il censimento dei precedenti: le decisioni (giudici amministrativi, commissioni per l'accesso) sulle richieste di atti del caso e di casi simili — la tavola dei precedenti favorevoli e contrari. Ogni richiesta futura dell'opera cita i precedenti giusti: la giurisprudenza dell'accesso è una cassetta degli attrezzi, e va tenuta in ordine.</w:t>
      </w:r>
    </w:p>
    <w:p>
      <w:pPr>
        <w:spacing w:after="120" w:line="276"/>
        <w:jc w:val="both"/>
      </w:pPr>
      <w:r>
        <w:rPr>
          <w:rFonts w:ascii="Barlow Semi Condensed" w:cs="Barlow Semi Condensed" w:eastAsia="Barlow Semi Condensed" w:hAnsi="Barlow Semi Condensed"/>
          <w:b/>
          <w:bCs/>
          <w:sz w:val="24"/>
          <w:szCs w:val="24"/>
        </w:rPr>
        <w:t xml:space="preserve">952 · Il diritto europeo della memoria.</w:t>
      </w:r>
      <w:r>
        <w:rPr>
          <w:rFonts w:ascii="Barlow Semi Condensed" w:cs="Barlow Semi Condensed" w:eastAsia="Barlow Semi Condensed" w:hAnsi="Barlow Semi Condensed"/>
          <w:sz w:val="24"/>
          <w:szCs w:val="24"/>
        </w:rPr>
        <w:t xml:space="preserve"> La cornice sovranazionale: le regole europee su protezione dei dati e archivi (le deroghe per archiviazione nel pubblico interesse e ricerca storica) applicate al caso — il prontuario europeo accanto a quello nazionale. La memoria del caso è anche un diritto europeo: si esercita con le sue norme.</w:t>
      </w:r>
    </w:p>
    <w:p>
      <w:pPr>
        <w:spacing w:after="120" w:line="276"/>
        <w:jc w:val="both"/>
      </w:pPr>
      <w:r>
        <w:rPr>
          <w:rFonts w:ascii="Barlow Semi Condensed" w:cs="Barlow Semi Condensed" w:eastAsia="Barlow Semi Condensed" w:hAnsi="Barlow Semi Condensed"/>
          <w:b/>
          <w:bCs/>
          <w:sz w:val="24"/>
          <w:szCs w:val="24"/>
        </w:rPr>
        <w:t xml:space="preserve">953 · Le carte dei servizi, il regime.</w:t>
      </w:r>
      <w:r>
        <w:rPr>
          <w:rFonts w:ascii="Barlow Semi Condensed" w:cs="Barlow Semi Condensed" w:eastAsia="Barlow Semi Condensed" w:hAnsi="Barlow Semi Condensed"/>
          <w:sz w:val="24"/>
          <w:szCs w:val="24"/>
        </w:rPr>
        <w:t xml:space="preserve"> Il capitolo speciale: il regime degli archivi degli organismi di informazione (le norme di versamento, i termini, le prassi post-2007) applicato ai materiali del caso — che cosa è stato versato, che cosa il regime consente di chiedere. Il blocco tratta il tema più evocato e meno conosciuto del caso con l'unico strumento serio: la norma.</w:t>
      </w:r>
    </w:p>
    <w:p>
      <w:pPr>
        <w:spacing w:after="120" w:line="276"/>
        <w:jc w:val="both"/>
      </w:pPr>
      <w:r>
        <w:rPr>
          <w:rFonts w:ascii="Barlow Semi Condensed" w:cs="Barlow Semi Condensed" w:eastAsia="Barlow Semi Condensed" w:hAnsi="Barlow Semi Condensed"/>
          <w:b/>
          <w:bCs/>
          <w:sz w:val="24"/>
          <w:szCs w:val="24"/>
        </w:rPr>
        <w:t xml:space="preserve">954 · Il registro delle richieste, in pubblico.</w:t>
      </w:r>
      <w:r>
        <w:rPr>
          <w:rFonts w:ascii="Barlow Semi Condensed" w:cs="Barlow Semi Condensed" w:eastAsia="Barlow Semi Condensed" w:hAnsi="Barlow Semi Condensed"/>
          <w:sz w:val="24"/>
          <w:szCs w:val="24"/>
        </w:rPr>
        <w:t xml:space="preserve"> La trasparenza attiva della sezione: ogni richiesta d'accesso dell'opera (archivistica, civica, di declassifica) pubblicata nel registro con esito e tempi — la contabilità pubblica del diritto alla memoria esercitato. Le istituzioni rispondono meglio quando il conto è visibile: il registro è gentile e implacabile.</w:t>
      </w:r>
    </w:p>
    <w:p>
      <w:pPr>
        <w:spacing w:after="120" w:line="276"/>
        <w:jc w:val="both"/>
      </w:pPr>
      <w:r>
        <w:rPr>
          <w:rFonts w:ascii="Barlow Semi Condensed" w:cs="Barlow Semi Condensed" w:eastAsia="Barlow Semi Condensed" w:hAnsi="Barlow Semi Condensed"/>
          <w:b/>
          <w:bCs/>
          <w:sz w:val="24"/>
          <w:szCs w:val="24"/>
        </w:rPr>
        <w:t xml:space="preserve">955 · I dinieghi come mappa.</w:t>
      </w:r>
      <w:r>
        <w:rPr>
          <w:rFonts w:ascii="Barlow Semi Condensed" w:cs="Barlow Semi Condensed" w:eastAsia="Barlow Semi Condensed" w:hAnsi="Barlow Semi Condensed"/>
          <w:sz w:val="24"/>
          <w:szCs w:val="24"/>
        </w:rPr>
        <w:t xml:space="preserve"> L'uso intelligente dei no: la tavola dei dinieghi motivati come mappa di ciò che le amministrazioni considerano ancora sensibile — un dato storico in sé. Ogni diniego dice qualcosa: la mappa dei no del 2026 sarà una fonte per gli storici del 2050.</w:t>
      </w:r>
    </w:p>
    <w:p>
      <w:pPr>
        <w:spacing w:after="120" w:line="276"/>
        <w:jc w:val="both"/>
      </w:pPr>
      <w:r>
        <w:rPr>
          <w:rFonts w:ascii="Barlow Semi Condensed" w:cs="Barlow Semi Condensed" w:eastAsia="Barlow Semi Condensed" w:hAnsi="Barlow Semi Condensed"/>
          <w:b/>
          <w:bCs/>
          <w:sz w:val="24"/>
          <w:szCs w:val="24"/>
        </w:rPr>
        <w:t xml:space="preserve">956 · Il precedente del caso.</w:t>
      </w:r>
      <w:r>
        <w:rPr>
          <w:rFonts w:ascii="Barlow Semi Condensed" w:cs="Barlow Semi Condensed" w:eastAsia="Barlow Semi Condensed" w:hAnsi="Barlow Semi Condensed"/>
          <w:sz w:val="24"/>
          <w:szCs w:val="24"/>
        </w:rPr>
        <w:t xml:space="preserve"> La consapevolezza istituzionale: il caso Moro è già il precedente italiano maggiore per il diritto della memoria (le direttive nacquero anche per lui) — e ogni conquista d'accesso ottenuta per il caso vale per tutti i casi. L'opera lavora per il caso sapendo di lavorare per il genere: è la responsabilità del capofila.</w:t>
      </w:r>
    </w:p>
    <w:p>
      <w:pPr>
        <w:spacing w:after="120" w:line="276"/>
        <w:jc w:val="both"/>
      </w:pPr>
      <w:r>
        <w:rPr>
          <w:rFonts w:ascii="Barlow Semi Condensed" w:cs="Barlow Semi Condensed" w:eastAsia="Barlow Semi Condensed" w:hAnsi="Barlow Semi Condensed"/>
          <w:b/>
          <w:bCs/>
          <w:sz w:val="24"/>
          <w:szCs w:val="24"/>
        </w:rPr>
        <w:t xml:space="preserve">957 · La formazione giuridica del cantiere.</w:t>
      </w:r>
      <w:r>
        <w:rPr>
          <w:rFonts w:ascii="Barlow Semi Condensed" w:cs="Barlow Semi Condensed" w:eastAsia="Barlow Semi Condensed" w:hAnsi="Barlow Semi Condensed"/>
          <w:sz w:val="24"/>
          <w:szCs w:val="24"/>
        </w:rPr>
        <w:t xml:space="preserve"> Lo strumento interno: la formazione dei collaboratori dell'opera sul diritto dell'accesso — il prontuario insegnato, i modelli d'atto, gli errori da non fare. Una richiesta mal scritta brucia un precedente: il cantiere non improvvisa nemmeno qui.</w:t>
      </w:r>
    </w:p>
    <w:p>
      <w:pPr>
        <w:spacing w:after="120" w:line="276"/>
        <w:jc w:val="both"/>
      </w:pPr>
      <w:r>
        <w:rPr>
          <w:rFonts w:ascii="Barlow Semi Condensed" w:cs="Barlow Semi Condensed" w:eastAsia="Barlow Semi Condensed" w:hAnsi="Barlow Semi Condensed"/>
          <w:b/>
          <w:bCs/>
          <w:sz w:val="24"/>
          <w:szCs w:val="24"/>
        </w:rPr>
        <w:t xml:space="preserve">958 · Il dialogo con le amministrazioni.</w:t>
      </w:r>
      <w:r>
        <w:rPr>
          <w:rFonts w:ascii="Barlow Semi Condensed" w:cs="Barlow Semi Condensed" w:eastAsia="Barlow Semi Condensed" w:hAnsi="Barlow Semi Condensed"/>
          <w:sz w:val="24"/>
          <w:szCs w:val="24"/>
        </w:rPr>
        <w:t xml:space="preserve"> La diplomazia della sezione: il tavolo permanente con le amministrazioni detentrici (Interno, Difesa, Giustizia, Esteri, presidenza del Consiglio) sulle integrazioni e le declassifiche — la cortesia istituzionale come metodo, il registro come memoria. Si ottiene di più con la forma che con la polemica: è una regola d'esperienza, e si applica.</w:t>
      </w:r>
    </w:p>
    <w:p>
      <w:pPr>
        <w:spacing w:after="120" w:line="276"/>
        <w:jc w:val="both"/>
      </w:pPr>
      <w:r>
        <w:rPr>
          <w:rFonts w:ascii="Barlow Semi Condensed" w:cs="Barlow Semi Condensed" w:eastAsia="Barlow Semi Condensed" w:hAnsi="Barlow Semi Condensed"/>
          <w:b/>
          <w:bCs/>
          <w:sz w:val="24"/>
          <w:szCs w:val="24"/>
        </w:rPr>
        <w:t xml:space="preserve">959 · Il Parlamento e la vigilanza.</w:t>
      </w:r>
      <w:r>
        <w:rPr>
          <w:rFonts w:ascii="Barlow Semi Condensed" w:cs="Barlow Semi Condensed" w:eastAsia="Barlow Semi Condensed" w:hAnsi="Barlow Semi Condensed"/>
          <w:sz w:val="24"/>
          <w:szCs w:val="24"/>
        </w:rPr>
        <w:t xml:space="preserve"> Il canale politico: gli strumenti parlamentari (interrogazioni, indirizzi, gli organi di vigilanza) come leve per la completezza dei versamenti — censiti e proposti alle forze politiche senza colore. La completezza degli archivi del caso è un interesse della Repubblica intera: il blocco lo ricorda a chi può agire.</w:t>
      </w:r>
    </w:p>
    <w:p>
      <w:pPr>
        <w:spacing w:after="120" w:line="276"/>
        <w:jc w:val="both"/>
      </w:pPr>
      <w:r>
        <w:rPr>
          <w:rFonts w:ascii="Barlow Semi Condensed" w:cs="Barlow Semi Condensed" w:eastAsia="Barlow Semi Condensed" w:hAnsi="Barlow Semi Condensed"/>
          <w:b/>
          <w:bCs/>
          <w:sz w:val="24"/>
          <w:szCs w:val="24"/>
        </w:rPr>
        <w:t xml:space="preserve">960 · La società civile organizzata.</w:t>
      </w:r>
      <w:r>
        <w:rPr>
          <w:rFonts w:ascii="Barlow Semi Condensed" w:cs="Barlow Semi Condensed" w:eastAsia="Barlow Semi Condensed" w:hAnsi="Barlow Semi Condensed"/>
          <w:sz w:val="24"/>
          <w:szCs w:val="24"/>
        </w:rPr>
        <w:t xml:space="preserve"> L'alleanza: le associazioni (le vittime, gli archivisti, gli storici) come coalizione per il diritto alla memoria del caso — il coordinamento delle richieste, la voce comune. L'opera è un attore fra altri: la coalizione moltiplica ciò che nessuno otterrebbe da solo.</w:t>
      </w:r>
    </w:p>
    <w:p>
      <w:pPr>
        <w:spacing w:after="120" w:line="276"/>
        <w:jc w:val="both"/>
      </w:pPr>
      <w:r>
        <w:rPr>
          <w:rFonts w:ascii="Barlow Semi Condensed" w:cs="Barlow Semi Condensed" w:eastAsia="Barlow Semi Condensed" w:hAnsi="Barlow Semi Condensed"/>
          <w:b/>
          <w:bCs/>
          <w:sz w:val="24"/>
          <w:szCs w:val="24"/>
        </w:rPr>
        <w:t xml:space="preserve">961 · Il contenzioso, se serve.</w:t>
      </w:r>
      <w:r>
        <w:rPr>
          <w:rFonts w:ascii="Barlow Semi Condensed" w:cs="Barlow Semi Condensed" w:eastAsia="Barlow Semi Condensed" w:hAnsi="Barlow Semi Condensed"/>
          <w:sz w:val="24"/>
          <w:szCs w:val="24"/>
        </w:rPr>
        <w:t xml:space="preserve"> L'ultima ratio dichiarata: il ricorso giurisdizionale contro i dinieghi illegittimi — quando, come, con quali costi e precedenti. L'opera preferisce il dialogo e non teme il giudice: la disponibilità al contenzioso, dichiarata con misura, è essa stessa un argomento negoziale.</w:t>
      </w:r>
    </w:p>
    <w:p>
      <w:pPr>
        <w:spacing w:after="120" w:line="276"/>
        <w:jc w:val="both"/>
      </w:pPr>
      <w:r>
        <w:rPr>
          <w:rFonts w:ascii="Barlow Semi Condensed" w:cs="Barlow Semi Condensed" w:eastAsia="Barlow Semi Condensed" w:hAnsi="Barlow Semi Condensed"/>
          <w:b/>
          <w:bCs/>
          <w:sz w:val="24"/>
          <w:szCs w:val="24"/>
        </w:rPr>
        <w:t xml:space="preserve">962 · Le declassifiche parlamentari, il seguito.</w:t>
      </w:r>
      <w:r>
        <w:rPr>
          <w:rFonts w:ascii="Barlow Semi Condensed" w:cs="Barlow Semi Condensed" w:eastAsia="Barlow Semi Condensed" w:hAnsi="Barlow Semi Condensed"/>
          <w:sz w:val="24"/>
          <w:szCs w:val="24"/>
        </w:rPr>
        <w:t xml:space="preserve"> Il fronte gemello: il completamento delle desecretazioni dei fondi parlamentari (i residui riservati delle tre commissioni, i decreti presidenziali attesi) — le richieste agli organi di vertice delle Camere, nel registro. Il diritto della memoria ha due sportelli sovrani: l'opera bussa a entrambi con lo stesso garbo.</w:t>
      </w:r>
    </w:p>
    <w:p>
      <w:pPr>
        <w:spacing w:after="120" w:line="276"/>
        <w:jc w:val="both"/>
      </w:pPr>
      <w:r>
        <w:rPr>
          <w:rFonts w:ascii="Barlow Semi Condensed" w:cs="Barlow Semi Condensed" w:eastAsia="Barlow Semi Condensed" w:hAnsi="Barlow Semi Condensed"/>
          <w:b/>
          <w:bCs/>
          <w:sz w:val="24"/>
          <w:szCs w:val="24"/>
        </w:rPr>
        <w:t xml:space="preserve">963 · L'anagrafe del desecretato.</w:t>
      </w:r>
      <w:r>
        <w:rPr>
          <w:rFonts w:ascii="Barlow Semi Condensed" w:cs="Barlow Semi Condensed" w:eastAsia="Barlow Semi Condensed" w:hAnsi="Barlow Semi Condensed"/>
          <w:sz w:val="24"/>
          <w:szCs w:val="24"/>
        </w:rPr>
        <w:t xml:space="preserve"> Lo strumento di controllo: la tavola di tutto ciò che è stato desecretato sul caso (per direttiva, per decreto parlamentare, per decorso) con date e sedi — l'anagrafe del già aperto contro la retorica del «tutto segreto». Metà del dibattito pubblico ignora quanto è già leggibile: l'anagrafe è la risposta documentale.</w:t>
      </w:r>
    </w:p>
    <w:p>
      <w:pPr>
        <w:spacing w:after="120" w:line="276"/>
        <w:jc w:val="both"/>
      </w:pPr>
      <w:r>
        <w:rPr>
          <w:rFonts w:ascii="Barlow Semi Condensed" w:cs="Barlow Semi Condensed" w:eastAsia="Barlow Semi Condensed" w:hAnsi="Barlow Semi Condensed"/>
          <w:b/>
          <w:bCs/>
          <w:sz w:val="24"/>
          <w:szCs w:val="24"/>
        </w:rPr>
        <w:t xml:space="preserve">964 · La sintesi del diritto.</w:t>
      </w:r>
      <w:r>
        <w:rPr>
          <w:rFonts w:ascii="Barlow Semi Condensed" w:cs="Barlow Semi Condensed" w:eastAsia="Barlow Semi Condensed" w:hAnsi="Barlow Semi Condensed"/>
          <w:sz w:val="24"/>
          <w:szCs w:val="24"/>
        </w:rPr>
        <w:t xml:space="preserve"> Il prodotto della sezione: lo stato del diritto della memoria applicato al caso — il versato, il chiedibile, il negato, il proposto — in relazione pubblica annuale. La sezione consegna al paese il quadro che nessuna polemica dà: dove siamo davvero, norma alla mano.</w:t>
      </w:r>
    </w:p>
    <w:p>
      <w:pPr>
        <w:spacing w:after="120" w:line="276"/>
        <w:jc w:val="both"/>
      </w:pPr>
      <w:r>
        <w:rPr>
          <w:rFonts w:ascii="Barlow Semi Condensed" w:cs="Barlow Semi Condensed" w:eastAsia="Barlow Semi Condensed" w:hAnsi="Barlow Semi Condensed"/>
          <w:b/>
          <w:bCs/>
          <w:sz w:val="24"/>
          <w:szCs w:val="24"/>
        </w:rPr>
        <w:t xml:space="preserve">965 · La tavola del diritto della memoria.</w:t>
      </w:r>
      <w:r>
        <w:rPr>
          <w:rFonts w:ascii="Barlow Semi Condensed" w:cs="Barlow Semi Condensed" w:eastAsia="Barlow Semi Condensed" w:hAnsi="Barlow Semi Condensed"/>
          <w:sz w:val="24"/>
          <w:szCs w:val="24"/>
        </w:rPr>
        <w:t xml:space="preserve"> La chiusura della sezione: l'audit avviato, le proposte depositate (la direttiva di completamento), i prontuari pubblicati, il registro attivo. Il diritto della memoria del caso ha ora il suo ufficio legale civile: gratuito, documentato, paziente.</w:t>
      </w:r>
    </w:p>
    <w:p>
      <w:pPr>
        <w:pStyle w:val="Heading3"/>
        <w:spacing w:after="80" w:before="160"/>
      </w:pPr>
      <w:r>
        <w:rPr>
          <w:rFonts w:ascii="Barlow Semi Condensed" w:cs="Barlow Semi Condensed" w:eastAsia="Barlow Semi Condensed" w:hAnsi="Barlow Semi Condensed"/>
          <w:sz w:val="24"/>
          <w:szCs w:val="24"/>
        </w:rPr>
        <w:t xml:space="preserve">Il cinquantennale e la memoria civile (blocchi 966-990)</w:t>
      </w:r>
    </w:p>
    <w:p>
      <w:pPr>
        <w:spacing w:after="120" w:line="276"/>
        <w:jc w:val="both"/>
      </w:pPr>
      <w:r>
        <w:rPr>
          <w:rFonts w:ascii="Barlow Semi Condensed" w:cs="Barlow Semi Condensed" w:eastAsia="Barlow Semi Condensed" w:hAnsi="Barlow Semi Condensed"/>
          <w:b/>
          <w:bCs/>
          <w:sz w:val="24"/>
          <w:szCs w:val="24"/>
        </w:rPr>
        <w:t xml:space="preserve">966 · Il 9 maggio della Repubblica.</w:t>
      </w:r>
      <w:r>
        <w:rPr>
          <w:rFonts w:ascii="Barlow Semi Condensed" w:cs="Barlow Semi Condensed" w:eastAsia="Barlow Semi Condensed" w:hAnsi="Barlow Semi Condensed"/>
          <w:sz w:val="24"/>
          <w:szCs w:val="24"/>
        </w:rPr>
        <w:t xml:space="preserve"> Il pilastro verificato: la legge 4 maggio 2007, n. 56 ha istituito il Giorno della memoria dedicato alle vittime del terrorismo, celebrato il 9 maggio — l'anniversario di via Caetani. La memoria del caso è già scritta nel calendario civile della Repubblica: la sezione parte da questo fatto, non da un auspicio.</w:t>
      </w:r>
    </w:p>
    <w:p>
      <w:pPr>
        <w:spacing w:after="120" w:line="276"/>
        <w:jc w:val="both"/>
      </w:pPr>
      <w:r>
        <w:rPr>
          <w:rFonts w:ascii="Barlow Semi Condensed" w:cs="Barlow Semi Condensed" w:eastAsia="Barlow Semi Condensed" w:hAnsi="Barlow Semi Condensed"/>
          <w:b/>
          <w:bCs/>
          <w:sz w:val="24"/>
          <w:szCs w:val="24"/>
        </w:rPr>
        <w:t xml:space="preserve">967 · Il cinquantennale scoperto.</w:t>
      </w:r>
      <w:r>
        <w:rPr>
          <w:rFonts w:ascii="Barlow Semi Condensed" w:cs="Barlow Semi Condensed" w:eastAsia="Barlow Semi Condensed" w:hAnsi="Barlow Semi Condensed"/>
          <w:sz w:val="24"/>
          <w:szCs w:val="24"/>
        </w:rPr>
        <w:t xml:space="preserve"> L'esito negativo trasformato in agenda: non risulta istituito alcun comitato nazionale né programma organico per il cinquantennale del 2028 — mentre il precedente esiste (il centenario della nascita, 2016, generò comitato ed edizione nazionale). Il blocco formula la proposta: il comitato nazionale per il cinquantennale, con programma archivistico e scientifico, non celebrativo.</w:t>
      </w:r>
    </w:p>
    <w:p>
      <w:pPr>
        <w:spacing w:after="120" w:line="276"/>
        <w:jc w:val="both"/>
      </w:pPr>
      <w:r>
        <w:rPr>
          <w:rFonts w:ascii="Barlow Semi Condensed" w:cs="Barlow Semi Condensed" w:eastAsia="Barlow Semi Condensed" w:hAnsi="Barlow Semi Condensed"/>
          <w:b/>
          <w:bCs/>
          <w:sz w:val="24"/>
          <w:szCs w:val="24"/>
        </w:rPr>
        <w:t xml:space="preserve">968 · Il programma che l'opera propone.</w:t>
      </w:r>
      <w:r>
        <w:rPr>
          <w:rFonts w:ascii="Barlow Semi Condensed" w:cs="Barlow Semi Condensed" w:eastAsia="Barlow Semi Condensed" w:hAnsi="Barlow Semi Condensed"/>
          <w:sz w:val="24"/>
          <w:szCs w:val="24"/>
        </w:rPr>
        <w:t xml:space="preserve"> Il contenuto della proposta: per il 16 marzo 2028 — non cerimonie in più, ma consegne: il portale federato (blocco 920), l'audit delle direttive certificato (942), l'inventario dei reperti pubblicato (342), l'edizione delle sentenze (928), le tavole dell'opera depositate. Il cinquantennale come scadenza di lavori, non di discorsi: è l'unica commemorazione che il metodo conosce.</w:t>
      </w:r>
    </w:p>
    <w:p>
      <w:pPr>
        <w:spacing w:after="120" w:line="276"/>
        <w:jc w:val="both"/>
      </w:pPr>
      <w:r>
        <w:rPr>
          <w:rFonts w:ascii="Barlow Semi Condensed" w:cs="Barlow Semi Condensed" w:eastAsia="Barlow Semi Condensed" w:hAnsi="Barlow Semi Condensed"/>
          <w:b/>
          <w:bCs/>
          <w:sz w:val="24"/>
          <w:szCs w:val="24"/>
        </w:rPr>
        <w:t xml:space="preserve">969 · Le vittime al centro del 2028.</w:t>
      </w:r>
      <w:r>
        <w:rPr>
          <w:rFonts w:ascii="Barlow Semi Condensed" w:cs="Barlow Semi Condensed" w:eastAsia="Barlow Semi Condensed" w:hAnsi="Barlow Semi Condensed"/>
          <w:sz w:val="24"/>
          <w:szCs w:val="24"/>
        </w:rPr>
        <w:t xml:space="preserve"> La regola del programma: il cinquantennale appartiene prima di tutto a Leonardi, Ricci, Rivera, Zizzi, Iozzino e Moro — e alle loro famiglie: ogni iniziativa si progetta con loro, mai sopra di loro (la priorità di rispetto del blocco 288, elevata a costituzione del cinquantennale). Il blocco 882 lo ha mostrato: le famiglie sono il motore, non il pubblico.</w:t>
      </w:r>
    </w:p>
    <w:p>
      <w:pPr>
        <w:spacing w:after="120" w:line="276"/>
        <w:jc w:val="both"/>
      </w:pPr>
      <w:r>
        <w:rPr>
          <w:rFonts w:ascii="Barlow Semi Condensed" w:cs="Barlow Semi Condensed" w:eastAsia="Barlow Semi Condensed" w:hAnsi="Barlow Semi Condensed"/>
          <w:b/>
          <w:bCs/>
          <w:sz w:val="24"/>
          <w:szCs w:val="24"/>
        </w:rPr>
        <w:t xml:space="preserve">970 · I luoghi della memoria, il censimento.</w:t>
      </w:r>
      <w:r>
        <w:rPr>
          <w:rFonts w:ascii="Barlow Semi Condensed" w:cs="Barlow Semi Condensed" w:eastAsia="Barlow Semi Condensed" w:hAnsi="Barlow Semi Condensed"/>
          <w:sz w:val="24"/>
          <w:szCs w:val="24"/>
        </w:rPr>
        <w:t xml:space="preserve"> Il patrimonio fisico: le lapidi, i monumenti, la toponomastica del caso (via Fani, via Caetani, i luoghi delle vittime) — il censimento conservativo con gli stati (chi li cura, in che condizioni sono). La memoria di pietra si manutiene come quella di carta: il censimento è il primo atto.</w:t>
      </w:r>
    </w:p>
    <w:p>
      <w:pPr>
        <w:spacing w:after="120" w:line="276"/>
        <w:jc w:val="both"/>
      </w:pPr>
      <w:r>
        <w:rPr>
          <w:rFonts w:ascii="Barlow Semi Condensed" w:cs="Barlow Semi Condensed" w:eastAsia="Barlow Semi Condensed" w:hAnsi="Barlow Semi Condensed"/>
          <w:b/>
          <w:bCs/>
          <w:sz w:val="24"/>
          <w:szCs w:val="24"/>
        </w:rPr>
        <w:t xml:space="preserve">971 · Via Fani, il luogo.</w:t>
      </w:r>
      <w:r>
        <w:rPr>
          <w:rFonts w:ascii="Barlow Semi Condensed" w:cs="Barlow Semi Condensed" w:eastAsia="Barlow Semi Condensed" w:hAnsi="Barlow Semi Condensed"/>
          <w:sz w:val="24"/>
          <w:szCs w:val="24"/>
        </w:rPr>
        <w:t xml:space="preserve"> La scheda del luogo primo: lo stato attuale di via Mario Fani — il monumento, la manutenzione, la segnaletica della memoria — e la proposta di un allestimento documentale sobrio per il 2028 (il racconto esatto del fatto, sul posto, con le fonti). Il luogo dell'agguato merita la stessa precisione dell'archivio: né retorica né abbandono.</w:t>
      </w:r>
    </w:p>
    <w:p>
      <w:pPr>
        <w:spacing w:after="120" w:line="276"/>
        <w:jc w:val="both"/>
      </w:pPr>
      <w:r>
        <w:rPr>
          <w:rFonts w:ascii="Barlow Semi Condensed" w:cs="Barlow Semi Condensed" w:eastAsia="Barlow Semi Condensed" w:hAnsi="Barlow Semi Condensed"/>
          <w:b/>
          <w:bCs/>
          <w:sz w:val="24"/>
          <w:szCs w:val="24"/>
        </w:rPr>
        <w:t xml:space="preserve">972 · Via Caetani, il luogo.</w:t>
      </w:r>
      <w:r>
        <w:rPr>
          <w:rFonts w:ascii="Barlow Semi Condensed" w:cs="Barlow Semi Condensed" w:eastAsia="Barlow Semi Condensed" w:hAnsi="Barlow Semi Condensed"/>
          <w:sz w:val="24"/>
          <w:szCs w:val="24"/>
        </w:rPr>
        <w:t xml:space="preserve"> La scheda gemella: il luogo del ritrovamento — la lapide, i fiori del 9 maggio, le cerimonie documentate anno per anno. La storia delle commemorazioni di via Caetani è essa stessa un archivio (chi venne, chi parlò, che cosa disse): si censisce dal 1979 a oggi.</w:t>
      </w:r>
    </w:p>
    <w:p>
      <w:pPr>
        <w:spacing w:after="120" w:line="276"/>
        <w:jc w:val="both"/>
      </w:pPr>
      <w:r>
        <w:rPr>
          <w:rFonts w:ascii="Barlow Semi Condensed" w:cs="Barlow Semi Condensed" w:eastAsia="Barlow Semi Condensed" w:hAnsi="Barlow Semi Condensed"/>
          <w:b/>
          <w:bCs/>
          <w:sz w:val="24"/>
          <w:szCs w:val="24"/>
        </w:rPr>
        <w:t xml:space="preserve">973 · I musei e il caso.</w:t>
      </w:r>
      <w:r>
        <w:rPr>
          <w:rFonts w:ascii="Barlow Semi Condensed" w:cs="Barlow Semi Condensed" w:eastAsia="Barlow Semi Condensed" w:hAnsi="Barlow Semi Condensed"/>
          <w:sz w:val="24"/>
          <w:szCs w:val="24"/>
        </w:rPr>
        <w:t xml:space="preserve"> La ricognizione espositiva: dove il caso è musealizzato oggi (la Renault 4 al museo della Polizia, i materiali negli istituti) e la proposta della mostra documentale del cinquantennale — con l'etica del blocco 600 e le tavole dell'opera come apparato. Il paese merita una mostra che mostri le carte: non reliquie, documenti.</w:t>
      </w:r>
    </w:p>
    <w:p>
      <w:pPr>
        <w:spacing w:after="120" w:line="276"/>
        <w:jc w:val="both"/>
      </w:pPr>
      <w:r>
        <w:rPr>
          <w:rFonts w:ascii="Barlow Semi Condensed" w:cs="Barlow Semi Condensed" w:eastAsia="Barlow Semi Condensed" w:hAnsi="Barlow Semi Condensed"/>
          <w:b/>
          <w:bCs/>
          <w:sz w:val="24"/>
          <w:szCs w:val="24"/>
        </w:rPr>
        <w:t xml:space="preserve">974 · La scuola e il 2028.</w:t>
      </w:r>
      <w:r>
        <w:rPr>
          <w:rFonts w:ascii="Barlow Semi Condensed" w:cs="Barlow Semi Condensed" w:eastAsia="Barlow Semi Condensed" w:hAnsi="Barlow Semi Condensed"/>
          <w:sz w:val="24"/>
          <w:szCs w:val="24"/>
        </w:rPr>
        <w:t xml:space="preserve"> Il programma didattico del cinquantennale: i materiali dell'opera in versione scolastica (i blocchi didattici delle parti, riuniti), la formazione dei docenti, il concorso nazionale sulle fonti. Una generazione che non c'era merita di ricevere il caso come metodo, non come leggenda: il 2028 è l'occasione, la scuola è il luogo.</w:t>
      </w:r>
    </w:p>
    <w:p>
      <w:pPr>
        <w:spacing w:after="120" w:line="276"/>
        <w:jc w:val="both"/>
      </w:pPr>
      <w:r>
        <w:rPr>
          <w:rFonts w:ascii="Barlow Semi Condensed" w:cs="Barlow Semi Condensed" w:eastAsia="Barlow Semi Condensed" w:hAnsi="Barlow Semi Condensed"/>
          <w:b/>
          <w:bCs/>
          <w:sz w:val="24"/>
          <w:szCs w:val="24"/>
        </w:rPr>
        <w:t xml:space="preserve">975 · L'università e il 2028.</w:t>
      </w:r>
      <w:r>
        <w:rPr>
          <w:rFonts w:ascii="Barlow Semi Condensed" w:cs="Barlow Semi Condensed" w:eastAsia="Barlow Semi Condensed" w:hAnsi="Barlow Semi Condensed"/>
          <w:sz w:val="24"/>
          <w:szCs w:val="24"/>
        </w:rPr>
        <w:t xml:space="preserve"> Il gemello accademico: il convegno internazionale del cinquantennale come momento scientifico (gli storici degli archivi esteri della Parte prima, i filologi della quinta, i forensi della settima) — con atti pubblicati. La comunità scientifica del caso, riunita una volta con tutte le carte sul tavolo: non accadde mai; può accadere nel 2028.</w:t>
      </w:r>
    </w:p>
    <w:p>
      <w:pPr>
        <w:spacing w:after="120" w:line="276"/>
        <w:jc w:val="both"/>
      </w:pPr>
      <w:r>
        <w:rPr>
          <w:rFonts w:ascii="Barlow Semi Condensed" w:cs="Barlow Semi Condensed" w:eastAsia="Barlow Semi Condensed" w:hAnsi="Barlow Semi Condensed"/>
          <w:b/>
          <w:bCs/>
          <w:sz w:val="24"/>
          <w:szCs w:val="24"/>
        </w:rPr>
        <w:t xml:space="preserve">976 · I media e il cinquantennale.</w:t>
      </w:r>
      <w:r>
        <w:rPr>
          <w:rFonts w:ascii="Barlow Semi Condensed" w:cs="Barlow Semi Condensed" w:eastAsia="Barlow Semi Condensed" w:hAnsi="Barlow Semi Condensed"/>
          <w:sz w:val="24"/>
          <w:szCs w:val="24"/>
        </w:rPr>
        <w:t xml:space="preserve"> Il protocollo mediatico: l'anniversario porterà il prevedibile diluvio — l'opera prepara il servizio: il glossario, le schede verificate, la disponibilità alle redazioni per il controllo delle fonti (il raccordo col blocco 780). Non si governa il diluvio: si offre acqua pulita a chi la vuole.</w:t>
      </w:r>
    </w:p>
    <w:p>
      <w:pPr>
        <w:spacing w:after="120" w:line="276"/>
        <w:jc w:val="both"/>
      </w:pPr>
      <w:r>
        <w:rPr>
          <w:rFonts w:ascii="Barlow Semi Condensed" w:cs="Barlow Semi Condensed" w:eastAsia="Barlow Semi Condensed" w:hAnsi="Barlow Semi Condensed"/>
          <w:b/>
          <w:bCs/>
          <w:sz w:val="24"/>
          <w:szCs w:val="24"/>
        </w:rPr>
        <w:t xml:space="preserve">977 · Le produzioni del cinquantennale.</w:t>
      </w:r>
      <w:r>
        <w:rPr>
          <w:rFonts w:ascii="Barlow Semi Condensed" w:cs="Barlow Semi Condensed" w:eastAsia="Barlow Semi Condensed" w:hAnsi="Barlow Semi Condensed"/>
          <w:sz w:val="24"/>
          <w:szCs w:val="24"/>
        </w:rPr>
        <w:t xml:space="preserve"> La vigilanza culturale: film, serie e podcast arriveranno — l'opera censisce le produzioni annunciate e offre a ciascuna la consulenza documentale (accettata o no, l'offerta è registrata). La finzione è libera; la disponibilità delle fonti esatte toglie ogni alibi all'errore evitabile.</w:t>
      </w:r>
    </w:p>
    <w:p>
      <w:pPr>
        <w:spacing w:after="120" w:line="276"/>
        <w:jc w:val="both"/>
      </w:pPr>
      <w:r>
        <w:rPr>
          <w:rFonts w:ascii="Barlow Semi Condensed" w:cs="Barlow Semi Condensed" w:eastAsia="Barlow Semi Condensed" w:hAnsi="Barlow Semi Condensed"/>
          <w:b/>
          <w:bCs/>
          <w:sz w:val="24"/>
          <w:szCs w:val="24"/>
        </w:rPr>
        <w:t xml:space="preserve">978 · La memoria digitale del cinquantennale.</w:t>
      </w:r>
      <w:r>
        <w:rPr>
          <w:rFonts w:ascii="Barlow Semi Condensed" w:cs="Barlow Semi Condensed" w:eastAsia="Barlow Semi Condensed" w:hAnsi="Barlow Semi Condensed"/>
          <w:sz w:val="24"/>
          <w:szCs w:val="24"/>
        </w:rPr>
        <w:t xml:space="preserve"> Il progetto commemorativo proprio dell'opera: la cronologia integrale dei 55 giorni (blocco 648) pubblicata per il 2028 come esperienza documentale aperta — il giorno per giorno con le fonti, cinquant'anni dopo. Il contributo dell'opera alle commemorazioni: silenzioso, esatto, permanente.</w:t>
      </w:r>
    </w:p>
    <w:p>
      <w:pPr>
        <w:spacing w:after="120" w:line="276"/>
        <w:jc w:val="both"/>
      </w:pPr>
      <w:r>
        <w:rPr>
          <w:rFonts w:ascii="Barlow Semi Condensed" w:cs="Barlow Semi Condensed" w:eastAsia="Barlow Semi Condensed" w:hAnsi="Barlow Semi Condensed"/>
          <w:b/>
          <w:bCs/>
          <w:sz w:val="24"/>
          <w:szCs w:val="24"/>
        </w:rPr>
        <w:t xml:space="preserve">979 · Gli anniversari minori.</w:t>
      </w:r>
      <w:r>
        <w:rPr>
          <w:rFonts w:ascii="Barlow Semi Condensed" w:cs="Barlow Semi Condensed" w:eastAsia="Barlow Semi Condensed" w:hAnsi="Barlow Semi Condensed"/>
          <w:sz w:val="24"/>
          <w:szCs w:val="24"/>
        </w:rPr>
        <w:t xml:space="preserve"> Il calendario completo: le date del caso oltre il 16 marzo e il 9 maggio (il 18 aprile del triplo evento, il 1° ottobre di Monte Nevoso, le date dei processi) — il calendario documentale annuale dell'opera, con un contenuto verificato per ciascuna data. La memoria non vive solo di anniversari tondi: il calendario la nutre tutto l'anno.</w:t>
      </w:r>
    </w:p>
    <w:p>
      <w:pPr>
        <w:spacing w:after="120" w:line="276"/>
        <w:jc w:val="both"/>
      </w:pPr>
      <w:r>
        <w:rPr>
          <w:rFonts w:ascii="Barlow Semi Condensed" w:cs="Barlow Semi Condensed" w:eastAsia="Barlow Semi Condensed" w:hAnsi="Barlow Semi Condensed"/>
          <w:b/>
          <w:bCs/>
          <w:sz w:val="24"/>
          <w:szCs w:val="24"/>
        </w:rPr>
        <w:t xml:space="preserve">980 · Il decennio della raccolta.</w:t>
      </w:r>
      <w:r>
        <w:rPr>
          <w:rFonts w:ascii="Barlow Semi Condensed" w:cs="Barlow Semi Condensed" w:eastAsia="Barlow Semi Condensed" w:hAnsi="Barlow Semi Condensed"/>
          <w:sz w:val="24"/>
          <w:szCs w:val="24"/>
        </w:rPr>
        <w:t xml:space="preserve"> La prospettiva oltre il 2028: gli anni Venti-Trenta come ultimo decennio utile per le voci viventi (i testimoni, il registro) — il cinquantennale come tappa di un programma conservativo che non finisce con le cerimonie. Il 2028 passerà; la finestra biologica continuerà a chiudersi: l'opera guarda al 2038 mentre lavora per il 2028.</w:t>
      </w:r>
    </w:p>
    <w:p>
      <w:pPr>
        <w:spacing w:after="120" w:line="276"/>
        <w:jc w:val="both"/>
      </w:pPr>
      <w:r>
        <w:rPr>
          <w:rFonts w:ascii="Barlow Semi Condensed" w:cs="Barlow Semi Condensed" w:eastAsia="Barlow Semi Condensed" w:hAnsi="Barlow Semi Condensed"/>
          <w:b/>
          <w:bCs/>
          <w:sz w:val="24"/>
          <w:szCs w:val="24"/>
        </w:rPr>
        <w:t xml:space="preserve">981 · La memoria europea del caso.</w:t>
      </w:r>
      <w:r>
        <w:rPr>
          <w:rFonts w:ascii="Barlow Semi Condensed" w:cs="Barlow Semi Condensed" w:eastAsia="Barlow Semi Condensed" w:hAnsi="Barlow Semi Condensed"/>
          <w:sz w:val="24"/>
          <w:szCs w:val="24"/>
        </w:rPr>
        <w:t xml:space="preserve"> La dimensione continentale: il caso nella memoria europea del terrorismo (i paralleli tedeschi, le memorie francesi, le sedi europee) — la proposta di un momento europeo nel cinquantennale, con gli archivi esteri della Parte prima come base. Il caso fu europeo nella sua epoca: la sua memoria può esserlo nel suo cinquantenario.</w:t>
      </w:r>
    </w:p>
    <w:p>
      <w:pPr>
        <w:spacing w:after="120" w:line="276"/>
        <w:jc w:val="both"/>
      </w:pPr>
      <w:r>
        <w:rPr>
          <w:rFonts w:ascii="Barlow Semi Condensed" w:cs="Barlow Semi Condensed" w:eastAsia="Barlow Semi Condensed" w:hAnsi="Barlow Semi Condensed"/>
          <w:b/>
          <w:bCs/>
          <w:sz w:val="24"/>
          <w:szCs w:val="24"/>
        </w:rPr>
        <w:t xml:space="preserve">982 · Le medaglie e i riconoscimenti.</w:t>
      </w:r>
      <w:r>
        <w:rPr>
          <w:rFonts w:ascii="Barlow Semi Condensed" w:cs="Barlow Semi Condensed" w:eastAsia="Barlow Semi Condensed" w:hAnsi="Barlow Semi Condensed"/>
          <w:sz w:val="24"/>
          <w:szCs w:val="24"/>
        </w:rPr>
        <w:t xml:space="preserve"> Il censimento d'onore: le onorificenze alle vittime e ai loro familiari, i riconoscimenti conferiti nei decenni — la tavola completa, con le eventuali lacune segnalate alle autorità competenti. Se un riconoscimento dovuto manca, il cinquantennale è l'occasione per proporlo: il blocco prepara il dossier.</w:t>
      </w:r>
    </w:p>
    <w:p>
      <w:pPr>
        <w:spacing w:after="120" w:line="276"/>
        <w:jc w:val="both"/>
      </w:pPr>
      <w:r>
        <w:rPr>
          <w:rFonts w:ascii="Barlow Semi Condensed" w:cs="Barlow Semi Condensed" w:eastAsia="Barlow Semi Condensed" w:hAnsi="Barlow Semi Condensed"/>
          <w:b/>
          <w:bCs/>
          <w:sz w:val="24"/>
          <w:szCs w:val="24"/>
        </w:rPr>
        <w:t xml:space="preserve">983 · I nomi delle scuole e delle strade.</w:t>
      </w:r>
      <w:r>
        <w:rPr>
          <w:rFonts w:ascii="Barlow Semi Condensed" w:cs="Barlow Semi Condensed" w:eastAsia="Barlow Semi Condensed" w:hAnsi="Barlow Semi Condensed"/>
          <w:sz w:val="24"/>
          <w:szCs w:val="24"/>
        </w:rPr>
        <w:t xml:space="preserve"> La toponomastica della memoria: il censimento nazionale delle intitolazioni (a Moro, agli uomini della scorta) — la mappa di dove la Repubblica ha scritto i loro nomi. La geografia della memoria è un dato civile: si misura, e le assenze si notano — cinque nomi su cinque, non uno su sei.</w:t>
      </w:r>
    </w:p>
    <w:p>
      <w:pPr>
        <w:spacing w:after="120" w:line="276"/>
        <w:jc w:val="both"/>
      </w:pPr>
      <w:r>
        <w:rPr>
          <w:rFonts w:ascii="Barlow Semi Condensed" w:cs="Barlow Semi Condensed" w:eastAsia="Barlow Semi Condensed" w:hAnsi="Barlow Semi Condensed"/>
          <w:b/>
          <w:bCs/>
          <w:sz w:val="24"/>
          <w:szCs w:val="24"/>
        </w:rPr>
        <w:t xml:space="preserve">984 · La scorta, per nome.</w:t>
      </w:r>
      <w:r>
        <w:rPr>
          <w:rFonts w:ascii="Barlow Semi Condensed" w:cs="Barlow Semi Condensed" w:eastAsia="Barlow Semi Condensed" w:hAnsi="Barlow Semi Condensed"/>
          <w:sz w:val="24"/>
          <w:szCs w:val="24"/>
        </w:rPr>
        <w:t xml:space="preserve"> Il presidio permanente della sezione: Oreste Leonardi, Domenico Ricci, Giulio Rivera, Francesco Zizzi, Raffaele Iozzino — le cinque biografie documentate mantenute nel corpus con la stessa cura della sesta (il raccordo coi blocchi 287 e 604). Il cinquantennale che l'opera prepara comincia da loro: è la sua unica retorica, ed è un fatto.</w:t>
      </w:r>
    </w:p>
    <w:p>
      <w:pPr>
        <w:spacing w:after="120" w:line="276"/>
        <w:jc w:val="both"/>
      </w:pPr>
      <w:r>
        <w:rPr>
          <w:rFonts w:ascii="Barlow Semi Condensed" w:cs="Barlow Semi Condensed" w:eastAsia="Barlow Semi Condensed" w:hAnsi="Barlow Semi Condensed"/>
          <w:b/>
          <w:bCs/>
          <w:sz w:val="24"/>
          <w:szCs w:val="24"/>
        </w:rPr>
        <w:t xml:space="preserve">985 · Le famiglie, il patto.</w:t>
      </w:r>
      <w:r>
        <w:rPr>
          <w:rFonts w:ascii="Barlow Semi Condensed" w:cs="Barlow Semi Condensed" w:eastAsia="Barlow Semi Condensed" w:hAnsi="Barlow Semi Condensed"/>
          <w:sz w:val="24"/>
          <w:szCs w:val="24"/>
        </w:rPr>
        <w:t xml:space="preserve"> Il metodo con le famiglie di tutte le vittime: informazione preventiva sulle iniziative dell'opera, ascolto delle loro priorità, rispetto dei loro no (il blocco 772, esteso alla memoria civile). Il patto è semplice: nulla che le riguardi senza di loro — e vale per sempre, non solo nel 2028.</w:t>
      </w:r>
    </w:p>
    <w:p>
      <w:pPr>
        <w:spacing w:after="120" w:line="276"/>
        <w:jc w:val="both"/>
      </w:pPr>
      <w:r>
        <w:rPr>
          <w:rFonts w:ascii="Barlow Semi Condensed" w:cs="Barlow Semi Condensed" w:eastAsia="Barlow Semi Condensed" w:hAnsi="Barlow Semi Condensed"/>
          <w:b/>
          <w:bCs/>
          <w:sz w:val="24"/>
          <w:szCs w:val="24"/>
        </w:rPr>
        <w:t xml:space="preserve">986 · La memoria degli altri caduti del 1978.</w:t>
      </w:r>
      <w:r>
        <w:rPr>
          <w:rFonts w:ascii="Barlow Semi Condensed" w:cs="Barlow Semi Condensed" w:eastAsia="Barlow Semi Condensed" w:hAnsi="Barlow Semi Condensed"/>
          <w:sz w:val="24"/>
          <w:szCs w:val="24"/>
        </w:rPr>
        <w:t xml:space="preserve"> Il perimetro giusto: il 1978 del caso fu anche l'anno di altri caduti del terrorismo — il calendario civile li ricorda insieme (il Giorno della memoria è di tutte le vittime). L'opera, monografica per mandato, si inchina al perimetro largo: la memoria del caso non oscura le altre — le accompagna.</w:t>
      </w:r>
    </w:p>
    <w:p>
      <w:pPr>
        <w:spacing w:after="120" w:line="276"/>
        <w:jc w:val="both"/>
      </w:pPr>
      <w:r>
        <w:rPr>
          <w:rFonts w:ascii="Barlow Semi Condensed" w:cs="Barlow Semi Condensed" w:eastAsia="Barlow Semi Condensed" w:hAnsi="Barlow Semi Condensed"/>
          <w:b/>
          <w:bCs/>
          <w:sz w:val="24"/>
          <w:szCs w:val="24"/>
        </w:rPr>
        <w:t xml:space="preserve">987 · Il rischio della saturazione.</w:t>
      </w:r>
      <w:r>
        <w:rPr>
          <w:rFonts w:ascii="Barlow Semi Condensed" w:cs="Barlow Semi Condensed" w:eastAsia="Barlow Semi Condensed" w:hAnsi="Barlow Semi Condensed"/>
          <w:sz w:val="24"/>
          <w:szCs w:val="24"/>
        </w:rPr>
        <w:t xml:space="preserve"> L'avvertenza metodologica: i cinquantennali saturano — la sovraesposizione genera stanchezza e revisionismi di ritorno. Il protocollo dell'opera: contributi pochi, documentati, distanziati; nessuna presenza per presenzialismo. La memoria si serve anche con la sobrietà: soprattutto con quella.</w:t>
      </w:r>
    </w:p>
    <w:p>
      <w:pPr>
        <w:spacing w:after="120" w:line="276"/>
        <w:jc w:val="both"/>
      </w:pPr>
      <w:r>
        <w:rPr>
          <w:rFonts w:ascii="Barlow Semi Condensed" w:cs="Barlow Semi Condensed" w:eastAsia="Barlow Semi Condensed" w:hAnsi="Barlow Semi Condensed"/>
          <w:b/>
          <w:bCs/>
          <w:sz w:val="24"/>
          <w:szCs w:val="24"/>
        </w:rPr>
        <w:t xml:space="preserve">988 · La memoria dopo i testimoni.</w:t>
      </w:r>
      <w:r>
        <w:rPr>
          <w:rFonts w:ascii="Barlow Semi Condensed" w:cs="Barlow Semi Condensed" w:eastAsia="Barlow Semi Condensed" w:hAnsi="Barlow Semi Condensed"/>
          <w:sz w:val="24"/>
          <w:szCs w:val="24"/>
        </w:rPr>
        <w:t xml:space="preserve"> La domanda di fondo della sezione: come si trasmette il caso quando nessun testimone sarà più vivo — la risposta dell'opera: con le carte ordinate, i luoghi curati, la scuola equipaggiata, i registri pubblici (tutto ciò che le nove parti costruiscono). Il cinquantennale è la prova generale della memoria post-testimoniale: l'opera la prepara da mille blocchi.</w:t>
      </w:r>
    </w:p>
    <w:p>
      <w:pPr>
        <w:spacing w:after="120" w:line="276"/>
        <w:jc w:val="both"/>
      </w:pPr>
      <w:r>
        <w:rPr>
          <w:rFonts w:ascii="Barlow Semi Condensed" w:cs="Barlow Semi Condensed" w:eastAsia="Barlow Semi Condensed" w:hAnsi="Barlow Semi Condensed"/>
          <w:b/>
          <w:bCs/>
          <w:sz w:val="24"/>
          <w:szCs w:val="24"/>
        </w:rPr>
        <w:t xml:space="preserve">989 · La sintesi della memoria civile.</w:t>
      </w:r>
      <w:r>
        <w:rPr>
          <w:rFonts w:ascii="Barlow Semi Condensed" w:cs="Barlow Semi Condensed" w:eastAsia="Barlow Semi Condensed" w:hAnsi="Barlow Semi Condensed"/>
          <w:sz w:val="24"/>
          <w:szCs w:val="24"/>
        </w:rPr>
        <w:t xml:space="preserve"> Il prodotto della sezione: il programma del cinquantennale proposto — le consegne, i luoghi, la scuola, le famiglie al centro — depositato presso le istituzioni competenti entro tempi utili per il 2028. La sezione si chiude consegnando: è il suo verbo.</w:t>
      </w:r>
    </w:p>
    <w:p>
      <w:pPr>
        <w:spacing w:after="120" w:line="276"/>
        <w:jc w:val="both"/>
      </w:pPr>
      <w:r>
        <w:rPr>
          <w:rFonts w:ascii="Barlow Semi Condensed" w:cs="Barlow Semi Condensed" w:eastAsia="Barlow Semi Condensed" w:hAnsi="Barlow Semi Condensed"/>
          <w:b/>
          <w:bCs/>
          <w:sz w:val="24"/>
          <w:szCs w:val="24"/>
        </w:rPr>
        <w:t xml:space="preserve">990 · La tavola del cinquantennale.</w:t>
      </w:r>
      <w:r>
        <w:rPr>
          <w:rFonts w:ascii="Barlow Semi Condensed" w:cs="Barlow Semi Condensed" w:eastAsia="Barlow Semi Condensed" w:hAnsi="Barlow Semi Condensed"/>
          <w:sz w:val="24"/>
          <w:szCs w:val="24"/>
        </w:rPr>
        <w:t xml:space="preserve"> La chiusura della sezione: il calendario civile mantenuto, le proposte depositate, i censimenti attivi, il patto con le famiglie scritto. Il 2028 troverà il caso con le carte in ordine: era l'obiettivo — ed è, alla lettera, ciò che queste pagine hanno organizzato.</w:t>
      </w:r>
    </w:p>
    <w:p>
      <w:pPr>
        <w:pStyle w:val="Heading3"/>
        <w:spacing w:after="80" w:before="160"/>
      </w:pPr>
      <w:r>
        <w:rPr>
          <w:rFonts w:ascii="Barlow Semi Condensed" w:cs="Barlow Semi Condensed" w:eastAsia="Barlow Semi Condensed" w:hAnsi="Barlow Semi Condensed"/>
          <w:sz w:val="24"/>
          <w:szCs w:val="24"/>
        </w:rPr>
        <w:t xml:space="preserve">Il congedo dell'opera (blocchi 991-1000)</w:t>
      </w:r>
    </w:p>
    <w:p>
      <w:pPr>
        <w:spacing w:after="120" w:line="276"/>
        <w:jc w:val="both"/>
      </w:pPr>
      <w:r>
        <w:rPr>
          <w:rFonts w:ascii="Barlow Semi Condensed" w:cs="Barlow Semi Condensed" w:eastAsia="Barlow Semi Condensed" w:hAnsi="Barlow Semi Condensed"/>
          <w:b/>
          <w:bCs/>
          <w:sz w:val="24"/>
          <w:szCs w:val="24"/>
        </w:rPr>
        <w:t xml:space="preserve">991 · La quadriga completa.</w:t>
      </w:r>
      <w:r>
        <w:rPr>
          <w:rFonts w:ascii="Barlow Semi Condensed" w:cs="Barlow Semi Condensed" w:eastAsia="Barlow Semi Condensed" w:hAnsi="Barlow Semi Condensed"/>
          <w:sz w:val="24"/>
          <w:szCs w:val="24"/>
        </w:rPr>
        <w:t xml:space="preserve"> Il punto architettonico: con i nove cantieri, la quadriga investigativa del corpus è compiuta — il programma ordina le piste, il manuale dice come (quattrocento blocchi), l'agenda dice che cosa e dove (trecento), i cantieri dicono fin dove (mille). Millesettecento blocchi in quattro opere coordinate: l'architettura del Dossier maggiore, portata alla sua estensione massima.</w:t>
      </w:r>
    </w:p>
    <w:p>
      <w:pPr>
        <w:spacing w:after="120" w:line="276"/>
        <w:jc w:val="both"/>
      </w:pPr>
      <w:r>
        <w:rPr>
          <w:rFonts w:ascii="Barlow Semi Condensed" w:cs="Barlow Semi Condensed" w:eastAsia="Barlow Semi Condensed" w:hAnsi="Barlow Semi Condensed"/>
          <w:b/>
          <w:bCs/>
          <w:sz w:val="24"/>
          <w:szCs w:val="24"/>
        </w:rPr>
        <w:t xml:space="preserve">992 · La contabilità dei mille.</w:t>
      </w:r>
      <w:r>
        <w:rPr>
          <w:rFonts w:ascii="Barlow Semi Condensed" w:cs="Barlow Semi Condensed" w:eastAsia="Barlow Semi Condensed" w:hAnsi="Barlow Semi Condensed"/>
          <w:sz w:val="24"/>
          <w:szCs w:val="24"/>
        </w:rPr>
        <w:t xml:space="preserve"> Il bilancio interno: mille blocchi in nove parti, con le verifiche di due campagne (ventuno agenti di ricerca indipendenti, gli esiti negativi dichiarati, le correzioni incorporate per nota — la data di Braghetti insegna). L'opera dichiara il proprio processo produttivo: è la trasparenza che pretende dagli archivi, applicata a se stessa.</w:t>
      </w:r>
    </w:p>
    <w:p>
      <w:pPr>
        <w:spacing w:after="120" w:line="276"/>
        <w:jc w:val="both"/>
      </w:pPr>
      <w:r>
        <w:rPr>
          <w:rFonts w:ascii="Barlow Semi Condensed" w:cs="Barlow Semi Condensed" w:eastAsia="Barlow Semi Condensed" w:hAnsi="Barlow Semi Condensed"/>
          <w:b/>
          <w:bCs/>
          <w:sz w:val="24"/>
          <w:szCs w:val="24"/>
        </w:rPr>
        <w:t xml:space="preserve">993 · Le tavole come eredità.</w:t>
      </w:r>
      <w:r>
        <w:rPr>
          <w:rFonts w:ascii="Barlow Semi Condensed" w:cs="Barlow Semi Condensed" w:eastAsia="Barlow Semi Condensed" w:hAnsi="Barlow Semi Condensed"/>
          <w:sz w:val="24"/>
          <w:szCs w:val="24"/>
        </w:rPr>
        <w:t xml:space="preserve"> Il lascito operativo: ogni parte si chiude con una tavola di stati — nove tavole più le tavole tematiche (i reperti, i profili, i fondi, i portali). Chi prenderà in mano l'opera fra dieci anni non riceverà tesi: riceverà contabilità aggiornabili. È la differenza fra un monumento e uno strumento: l'opera ha scelto dall'inizio.</w:t>
      </w:r>
    </w:p>
    <w:p>
      <w:pPr>
        <w:spacing w:after="120" w:line="276"/>
        <w:jc w:val="both"/>
      </w:pPr>
      <w:r>
        <w:rPr>
          <w:rFonts w:ascii="Barlow Semi Condensed" w:cs="Barlow Semi Condensed" w:eastAsia="Barlow Semi Condensed" w:hAnsi="Barlow Semi Condensed"/>
          <w:b/>
          <w:bCs/>
          <w:sz w:val="24"/>
          <w:szCs w:val="24"/>
        </w:rPr>
        <w:t xml:space="preserve">994 · I bersagli che scadono.</w:t>
      </w:r>
      <w:r>
        <w:rPr>
          <w:rFonts w:ascii="Barlow Semi Condensed" w:cs="Barlow Semi Condensed" w:eastAsia="Barlow Semi Condensed" w:hAnsi="Barlow Semi Condensed"/>
          <w:sz w:val="24"/>
          <w:szCs w:val="24"/>
        </w:rPr>
        <w:t xml:space="preserve"> L'urgenza consegnata: la tavola trasversale dei bersagli a scadenza biologica — i testimoni della serie quinta dell'agenda, il registro vivente della Parte ottava, i depositari di fondi della terza. Il tempo è l'unico avversario che non si può battere con la disciplina: si può solo non sprecarlo. L'opera consegna la lista di ciò che non può aspettare.</w:t>
      </w:r>
    </w:p>
    <w:p>
      <w:pPr>
        <w:spacing w:after="120" w:line="276"/>
        <w:jc w:val="both"/>
      </w:pPr>
      <w:r>
        <w:rPr>
          <w:rFonts w:ascii="Barlow Semi Condensed" w:cs="Barlow Semi Condensed" w:eastAsia="Barlow Semi Condensed" w:hAnsi="Barlow Semi Condensed"/>
          <w:b/>
          <w:bCs/>
          <w:sz w:val="24"/>
          <w:szCs w:val="24"/>
        </w:rPr>
        <w:t xml:space="preserve">995 · I bersagli che maturano.</w:t>
      </w:r>
      <w:r>
        <w:rPr>
          <w:rFonts w:ascii="Barlow Semi Condensed" w:cs="Barlow Semi Condensed" w:eastAsia="Barlow Semi Condensed" w:hAnsi="Barlow Semi Condensed"/>
          <w:sz w:val="24"/>
          <w:szCs w:val="24"/>
        </w:rPr>
        <w:t xml:space="preserve"> La speranza organizzata: la tavola gemella dei bersagli che il tempo serve — le aperture archivistiche calendarizzate (Kew, La Courneuve, le trentennali), l'archivio vaticano che un giorno aprirà (coi quesiti già depositati), le banche dati che crescono. L'opera consegna anche il calendario di ciò che arriverà da solo, purché qualcuno sia lì ad aspettarlo con le domande pronte.</w:t>
      </w:r>
    </w:p>
    <w:p>
      <w:pPr>
        <w:spacing w:after="120" w:line="276"/>
        <w:jc w:val="both"/>
      </w:pPr>
      <w:r>
        <w:rPr>
          <w:rFonts w:ascii="Barlow Semi Condensed" w:cs="Barlow Semi Condensed" w:eastAsia="Barlow Semi Condensed" w:hAnsi="Barlow Semi Condensed"/>
          <w:b/>
          <w:bCs/>
          <w:sz w:val="24"/>
          <w:szCs w:val="24"/>
        </w:rPr>
        <w:t xml:space="preserve">996 · Il costo dell'opera, dichiarato.</w:t>
      </w:r>
      <w:r>
        <w:rPr>
          <w:rFonts w:ascii="Barlow Semi Condensed" w:cs="Barlow Semi Condensed" w:eastAsia="Barlow Semi Condensed" w:hAnsi="Barlow Semi Condensed"/>
          <w:sz w:val="24"/>
          <w:szCs w:val="24"/>
        </w:rPr>
        <w:t xml:space="preserve"> La trasparenza finale: quest'opera è un programma — eseguirlo costa (trasferte, laboratori, diritti, persone). Il bilancio di massima per campagna è negli strumenti delle parti; il principio è nel metodo: ogni costo dichiarato, ogni priorità motivata, nessuna risorsa senza rendiconto. Chi vorrà finanziare la conoscenza del caso saprà esattamente che cosa compra.</w:t>
      </w:r>
    </w:p>
    <w:p>
      <w:pPr>
        <w:spacing w:after="120" w:line="276"/>
        <w:jc w:val="both"/>
      </w:pPr>
      <w:r>
        <w:rPr>
          <w:rFonts w:ascii="Barlow Semi Condensed" w:cs="Barlow Semi Condensed" w:eastAsia="Barlow Semi Condensed" w:hAnsi="Barlow Semi Condensed"/>
          <w:b/>
          <w:bCs/>
          <w:sz w:val="24"/>
          <w:szCs w:val="24"/>
        </w:rPr>
        <w:t xml:space="preserve">997 · Chi può eseguire.</w:t>
      </w:r>
      <w:r>
        <w:rPr>
          <w:rFonts w:ascii="Barlow Semi Condensed" w:cs="Barlow Semi Condensed" w:eastAsia="Barlow Semi Condensed" w:hAnsi="Barlow Semi Condensed"/>
          <w:sz w:val="24"/>
          <w:szCs w:val="24"/>
        </w:rPr>
        <w:t xml:space="preserve"> La destinazione istituzionale: l'opera non ha un esecutore designato — è eseguibile da chiunque ne accetti le regole: istituti, università, fondazioni, redazioni, cittadini organizzati. Il modello è il consorzio dei cantieri: nessun proprietario, un solo statuto — quello scritto in questi blocchi. La conoscenza del caso è una funzione pubblica: chiunque la serva bene, la serve.</w:t>
      </w:r>
    </w:p>
    <w:p>
      <w:pPr>
        <w:spacing w:after="120" w:line="276"/>
        <w:jc w:val="both"/>
      </w:pPr>
      <w:r>
        <w:rPr>
          <w:rFonts w:ascii="Barlow Semi Condensed" w:cs="Barlow Semi Condensed" w:eastAsia="Barlow Semi Condensed" w:hAnsi="Barlow Semi Condensed"/>
          <w:b/>
          <w:bCs/>
          <w:sz w:val="24"/>
          <w:szCs w:val="24"/>
        </w:rPr>
        <w:t xml:space="preserve">998 · Le sei vittime, l'ultima volta.</w:t>
      </w:r>
      <w:r>
        <w:rPr>
          <w:rFonts w:ascii="Barlow Semi Condensed" w:cs="Barlow Semi Condensed" w:eastAsia="Barlow Semi Condensed" w:hAnsi="Barlow Semi Condensed"/>
          <w:sz w:val="24"/>
          <w:szCs w:val="24"/>
        </w:rPr>
        <w:t xml:space="preserve"> Il presidio finale, per nome: Oreste Leonardi, Domenico Ricci, Giulio Rivera, Francesco Zizzi, Raffaele Iozzino, Aldo Moro. Mille blocchi dopo, la ragione è la stessa del primo: che ciò che accadde a loro sia scritto fin dove le carte arrivano, senza inventare ciò che non arriva. Ogni cantiere di quest'opera è, alla lettera, un modo di custodire sei nomi.</w:t>
      </w:r>
    </w:p>
    <w:p>
      <w:pPr>
        <w:spacing w:after="120" w:line="276"/>
        <w:jc w:val="both"/>
      </w:pPr>
      <w:r>
        <w:rPr>
          <w:rFonts w:ascii="Barlow Semi Condensed" w:cs="Barlow Semi Condensed" w:eastAsia="Barlow Semi Condensed" w:hAnsi="Barlow Semi Condensed"/>
          <w:b/>
          <w:bCs/>
          <w:sz w:val="24"/>
          <w:szCs w:val="24"/>
        </w:rPr>
        <w:t xml:space="preserve">999 · La smentita, sempre benvenuta.</w:t>
      </w:r>
      <w:r>
        <w:rPr>
          <w:rFonts w:ascii="Barlow Semi Condensed" w:cs="Barlow Semi Condensed" w:eastAsia="Barlow Semi Condensed" w:hAnsi="Barlow Semi Condensed"/>
          <w:sz w:val="24"/>
          <w:szCs w:val="24"/>
        </w:rPr>
        <w:t xml:space="preserve"> Il penultimo blocco è la porta aperta: chi vorrà smentire quest'opera — un bersaglio mal posto, un giacimento ignorato, una data sbagliata — dovrà farlo come essa chiede: con un documento. E sarà ringraziato per iscritto, come la Nota di revisione n. 1 dimostra. Un'opera che non può essere corretta non è rigorosa: è morta. Questa è viva, e intende restarlo.</w:t>
      </w:r>
    </w:p>
    <w:p>
      <w:pPr>
        <w:spacing w:after="120" w:line="276"/>
        <w:jc w:val="both"/>
      </w:pPr>
      <w:r>
        <w:rPr>
          <w:rFonts w:ascii="Barlow Semi Condensed" w:cs="Barlow Semi Condensed" w:eastAsia="Barlow Semi Condensed" w:hAnsi="Barlow Semi Condensed"/>
          <w:b/>
          <w:bCs/>
          <w:sz w:val="24"/>
          <w:szCs w:val="24"/>
        </w:rPr>
        <w:t xml:space="preserve">1000 · Il blocco mille.</w:t>
      </w:r>
      <w:r>
        <w:rPr>
          <w:rFonts w:ascii="Barlow Semi Condensed" w:cs="Barlow Semi Condensed" w:eastAsia="Barlow Semi Condensed" w:hAnsi="Barlow Semi Condensed"/>
          <w:sz w:val="24"/>
          <w:szCs w:val="24"/>
        </w:rPr>
        <w:t xml:space="preserve"> L'opera dei nove cantieri consegna la sua forma compiuta: mille blocchi mirati, nove parti, due campagne di verifica, una disciplina sola. Se servirà un'edizione accresciuta, sarà perché gli archivi avranno aperto, i laboratori avranno risposto, le tavole si saranno riempite — e sarà la migliore notizia possibile: perché un cantiere invecchia in un solo modo onorevole, consegnando. La ricerca produce documenti, non colpevoli — e questi mille blocchi sono il suo capitolato. Ora si esegue.</w:t>
      </w:r>
    </w:p>
    <w:p>
      <w:pPr>
        <w:pStyle w:val="Heading2"/>
        <w:spacing w:after="100" w:before="200"/>
      </w:pPr>
      <w:r>
        <w:rPr>
          <w:rFonts w:ascii="Barlow Semi Condensed" w:cs="Barlow Semi Condensed" w:eastAsia="Barlow Semi Condensed" w:hAnsi="Barlow Semi Condensed"/>
          <w:sz w:val="24"/>
          <w:szCs w:val="24"/>
        </w:rPr>
        <w:t xml:space="preserve">Apparato della seconda campagna di verifica</w:t>
      </w:r>
    </w:p>
    <w:p>
      <w:pPr>
        <w:spacing w:after="120" w:line="276"/>
        <w:jc w:val="both"/>
      </w:pPr>
      <w:r>
        <w:rPr>
          <w:rFonts w:ascii="Barlow Semi Condensed" w:cs="Barlow Semi Condensed" w:eastAsia="Barlow Semi Condensed" w:hAnsi="Barlow Semi Condensed"/>
          <w:i/>
          <w:iCs/>
          <w:sz w:val="24"/>
          <w:szCs w:val="24"/>
        </w:rPr>
        <w:t xml:space="preserve">L'agenda di ricerca porta in coda il suo apparato (V-1…V-12: le dodici verifiche della prima campagna). Quest'opera vi aggiunge la seconda campagna: nove verificatori di profondità, uno per cantiere, i cui esiti — positivi, negativi e correttivi — sono incorporati nei blocchi. Se ne dà conto in forma compressa; gli indirizzi principali sono nei blocchi che li usano.</w:t>
      </w:r>
    </w:p>
    <w:p>
      <w:pPr>
        <w:spacing w:after="120" w:line="276"/>
        <w:jc w:val="both"/>
      </w:pPr>
      <w:r>
        <w:rPr>
          <w:rFonts w:ascii="Barlow Semi Condensed" w:cs="Barlow Semi Condensed" w:eastAsia="Barlow Semi Condensed" w:hAnsi="Barlow Semi Condensed"/>
          <w:b/>
          <w:bCs/>
          <w:sz w:val="24"/>
          <w:szCs w:val="24"/>
        </w:rPr>
        <w:t xml:space="preserve">C-1 · Regno Unito, Francia, Germania.</w:t>
      </w:r>
      <w:r>
        <w:rPr>
          <w:rFonts w:ascii="Barlow Semi Condensed" w:cs="Barlow Semi Condensed" w:eastAsia="Barlow Semi Condensed" w:hAnsi="Barlow Semi Condensed"/>
          <w:sz w:val="24"/>
          <w:szCs w:val="24"/>
        </w:rPr>
        <w:t xml:space="preserve"> Confermati: l'appartenenza del fascicolo moroteo di Kew alla serie FCO 33 (il Western European Department seguiva l'Italia; la serie FCO 9 — Europa meridionale — non è la sede dei fascicoli italiani: la verifica corregge qui un'ipotesi di ricerca); a Nantes i fondi rimpatriati dell'ambasciata a Roma («Rome-Quirinal», con la tranche 1969-1980) e il fondo distinto dell'ambasciata presso la Santa Sede; il fondo Maurice Grimaud in due sedi (Sciences Po e Archives nationales), con la nota del 24 maggio 1983 ai Renseignements généraux su Mulinaris e Hyperion; l'edizione AAPD 1978 (due tomi, Institut für Zeitgeschichte); i Kabinettsprotokolle 1978 online; lo Stasi-Unterlagen-Archiv nel Bundesarchiv (dal 2021) con carte sul terrorismo italiano e la letteratura dedicata; il fondo della rappresentanza olandese a Roma al Nationaal Archief. Non trovati: ulteriori fascicoli TNA nominativi oltre C11492660 (da ricerca diretta in Discovery); fascicoli belgi dedicati.</w:t>
      </w:r>
    </w:p>
    <w:p>
      <w:pPr>
        <w:spacing w:after="120" w:line="276"/>
        <w:jc w:val="both"/>
      </w:pPr>
      <w:r>
        <w:rPr>
          <w:rFonts w:ascii="Barlow Semi Condensed" w:cs="Barlow Semi Condensed" w:eastAsia="Barlow Semi Condensed" w:hAnsi="Barlow Semi Condensed"/>
          <w:b/>
          <w:bCs/>
          <w:sz w:val="24"/>
          <w:szCs w:val="24"/>
        </w:rPr>
        <w:t xml:space="preserve">C-2 · Il Vaticano.</w:t>
      </w:r>
      <w:r>
        <w:rPr>
          <w:rFonts w:ascii="Barlow Semi Condensed" w:cs="Barlow Semi Condensed" w:eastAsia="Barlow Semi Condensed" w:hAnsi="Barlow Semi Condensed"/>
          <w:sz w:val="24"/>
          <w:szCs w:val="24"/>
        </w:rPr>
        <w:t xml:space="preserve"> Confermati: la lettera di Paolo VI scritta nella notte del 21 aprile e resa pubblica il 22 (L'Osservatore Romano, Radio Vaticana; testo su vatican.va), con la minuta autografa corretta («senza qualsiasi imbarazzante condizione» → «senza condizioni») riprodotta dagli studi documentati; la preghiera del 13 maggio a San Giovanni in Laterano (testo vaticano); l'audizione pubblica di mons. Fabbri del 4 febbraio 2016 (stenografico) e l'ulteriore ascolto riferito del dicembre 2017; le date di Curioni (Asso 1923 - 12 gennaio 1996) e Fabbri (1942-2022); gli archivi della nunziatura in Italia versati all'AAV con inventari fino al 1958. Non trovati: un archivio CEI aperto alla consultazione con regolamento pubblico; un fondo dei cappellani sui colloqui del 1978 — la pista Curioni vive di testimonianze e atti parlamentari, non di carte proprie.</w:t>
      </w:r>
    </w:p>
    <w:p>
      <w:pPr>
        <w:spacing w:after="120" w:line="276"/>
        <w:jc w:val="both"/>
      </w:pPr>
      <w:r>
        <w:rPr>
          <w:rFonts w:ascii="Barlow Semi Condensed" w:cs="Barlow Semi Condensed" w:eastAsia="Barlow Semi Condensed" w:hAnsi="Barlow Semi Condensed"/>
          <w:b/>
          <w:bCs/>
          <w:sz w:val="24"/>
          <w:szCs w:val="24"/>
        </w:rPr>
        <w:t xml:space="preserve">C-3 · I fondi privati.</w:t>
      </w:r>
      <w:r>
        <w:rPr>
          <w:rFonts w:ascii="Barlow Semi Condensed" w:cs="Barlow Semi Condensed" w:eastAsia="Barlow Semi Condensed" w:hAnsi="Barlow Semi Condensed"/>
          <w:sz w:val="24"/>
          <w:szCs w:val="24"/>
        </w:rPr>
        <w:t xml:space="preserve"> Confermati e precisati: l'archivio Andreotti allo Sturzo (con la materia morotea nella sezione delle «pratiche»); il fondo Fanfani al Senato (1945-2000, inventario pubblicato); l'archivio Cossiga alla Camera; il fondo Craxi in gran parte digitalizzato con inventario sulla piattaforma del Senato; la DC allo Sturzo (dal 1994) e il PCI alla Gramsci (trasferimento deliberato nel 1986); il fondo personale Moro all'ACS (218 buste) e il fondo familiare al Flamigni (depositi 2012-2016); le carte Sciascia a Racalmuto (epistolario di ~15.000 documenti); le annate di OP alla Fondazione Spirito.</w:t>
      </w:r>
    </w:p>
    <w:p>
      <w:pPr>
        <w:spacing w:after="120" w:line="276"/>
        <w:jc w:val="both"/>
      </w:pPr>
      <w:r>
        <w:rPr>
          <w:rFonts w:ascii="Barlow Semi Condensed" w:cs="Barlow Semi Condensed" w:eastAsia="Barlow Semi Condensed" w:hAnsi="Barlow Semi Condensed"/>
          <w:b/>
          <w:bCs/>
          <w:sz w:val="24"/>
          <w:szCs w:val="24"/>
        </w:rPr>
        <w:t xml:space="preserve">C-4 · I reperti.</w:t>
      </w:r>
      <w:r>
        <w:rPr>
          <w:rFonts w:ascii="Barlow Semi Condensed" w:cs="Barlow Semi Condensed" w:eastAsia="Barlow Semi Condensed" w:hAnsi="Barlow Semi Condensed"/>
          <w:sz w:val="24"/>
          <w:szCs w:val="24"/>
        </w:rPr>
        <w:t xml:space="preserve"> Confermati e precisati: i corpi di reato all'ufficio del Tribunale e della Corte d'assise di Roma (inventario acquisito dalla Moro 2); la sequenza peritale completa — 1978 (Ugolini-Iadevito-Lopez: almeno 91 colpi, sei armi, 49 bossoli a un solo FNAB-43), 1993 (non conferma integrale), 2015 (conferma dei 49, declassificazione a esito non conclusivo dei 22 del secondo mitra, dinamica contro il «superkiller» unico); i sette profili ignoti riferiti dalla stampa qualificata, con nessun elenco ufficiale degli esiti; i prelievi coattivi del febbraio 2021 su estranei all'agguato; il caricatore mai esaminato in quarantott'anni, ora negli esami disposti dal giudice; la sequenza 2025-2026 del fascicolo (richiesta di archiviazione 28 maggio 2025, opposizione della famiglia Ricci, rigetto del GIP con sei mesi di nuove indagini); la Honda senza targa nemmeno parziale (la «targa parziale» è priva di riscontro documentale) e il tentato omicidio del teste attribuito per sentenza a ignoti; le cinque borse (due asportate secondo la ricostruzione prevalente); la Renault 4 (rubata a inizio marzo 1978, donata nel 2013, oggi musealizzata).</w:t>
      </w:r>
    </w:p>
    <w:p>
      <w:pPr>
        <w:spacing w:after="120" w:line="276"/>
        <w:jc w:val="both"/>
      </w:pPr>
      <w:r>
        <w:rPr>
          <w:rFonts w:ascii="Barlow Semi Condensed" w:cs="Barlow Semi Condensed" w:eastAsia="Barlow Semi Condensed" w:hAnsi="Barlow Semi Condensed"/>
          <w:b/>
          <w:bCs/>
          <w:sz w:val="24"/>
          <w:szCs w:val="24"/>
        </w:rPr>
        <w:t xml:space="preserve">C-5 · Il memoriale.</w:t>
      </w:r>
      <w:r>
        <w:rPr>
          <w:rFonts w:ascii="Barlow Semi Condensed" w:cs="Barlow Semi Condensed" w:eastAsia="Barlow Semi Condensed" w:hAnsi="Barlow Semi Condensed"/>
          <w:sz w:val="24"/>
          <w:szCs w:val="24"/>
        </w:rPr>
        <w:t xml:space="preserve"> Confermati e precisati: il 1° ottobre 1978 (dalla Chiesa; arresti di Azzolini e Bonisoli; solo dattiloscritti — 49 cartelle del memoriale); il 9 ottobre 1990 (l'intercapedine; 421 fogli inventariati, in massima parte fotocopie di manoscritti, coi conteggi interni divergenti dichiarati); mai trovati gli originali né le bobine degli interrogatori; l'edizione critica Di Sivo (Direzione generale Archivi - De Luca, 2019, presentata il 25 febbraio 2020); il censimento Gotor delle lettere (97, con varianti di computo); il falso n. 7 non riconosciuto come falso dalle verifiche tecniche dell'aprile 1978; l'attribuzione a Chichiarelli istruttoria e postuma (dalle indagini sulla rapina Brink's), l'omicidio nella notte del 28 settembre 1984 mai risolto; la conferma del vuoto stilometrico (nessuno studio attributivo quantitativo) accanto alle analisi linguistiche qualitative esistenti e all'Edizione nazionale (2016, Bologna).</w:t>
      </w:r>
    </w:p>
    <w:p>
      <w:pPr>
        <w:spacing w:after="120" w:line="276"/>
        <w:jc w:val="both"/>
      </w:pPr>
      <w:r>
        <w:rPr>
          <w:rFonts w:ascii="Barlow Semi Condensed" w:cs="Barlow Semi Condensed" w:eastAsia="Barlow Semi Condensed" w:hAnsi="Barlow Semi Condensed"/>
          <w:b/>
          <w:bCs/>
          <w:sz w:val="24"/>
          <w:szCs w:val="24"/>
        </w:rPr>
        <w:t xml:space="preserve">C-6 · L'audio e l'immagine.</w:t>
      </w:r>
      <w:r>
        <w:rPr>
          <w:rFonts w:ascii="Barlow Semi Condensed" w:cs="Barlow Semi Condensed" w:eastAsia="Barlow Semi Condensed" w:hAnsi="Barlow Semi Condensed"/>
          <w:sz w:val="24"/>
          <w:szCs w:val="24"/>
        </w:rPr>
        <w:t xml:space="preserve"> Confermati e precisati: la telefonata del 9 maggio (le 12:13 circa, «dottor Niccolai»), originale agli atti e copie in Rai; la telefonata del 30 aprile intercettata e registrata, pubblicamente ascoltabile (documentata in circolazione almeno dal gennaio 1980); il primo fotografo di via Fani (Antonio Ianni, ANSA, tre rullini, audito dalla Moro 2 nel 2017); il fondo Publifoto a Intesa Sanpaolo; l'Archivio Luce online; l'esclusiva GBR del 9 maggio (Alfano-Leccese) coi grezzi da rintracciare; la ricostruzione virtuale 3D della Polizia scientifica per la Moro 2 (diffusa nel 2017 come elaborato tecnico — la precisazione che aggiorna per nota l'apparato dell'agenda); «La notte della Repubblica» (18 puntate, ~45 ore, ~150 protagonisti) con la Collezione Zavoli all'Archivio storico della Presidenza della Repubblica.</w:t>
      </w:r>
    </w:p>
    <w:p>
      <w:pPr>
        <w:spacing w:after="120" w:line="276"/>
        <w:jc w:val="both"/>
      </w:pPr>
      <w:r>
        <w:rPr>
          <w:rFonts w:ascii="Barlow Semi Condensed" w:cs="Barlow Semi Condensed" w:eastAsia="Barlow Semi Condensed" w:hAnsi="Barlow Semi Condensed"/>
          <w:b/>
          <w:bCs/>
          <w:sz w:val="24"/>
          <w:szCs w:val="24"/>
        </w:rPr>
        <w:t xml:space="preserve">C-7 · Le scienze forensi.</w:t>
      </w:r>
      <w:r>
        <w:rPr>
          <w:rFonts w:ascii="Barlow Semi Condensed" w:cs="Barlow Semi Condensed" w:eastAsia="Barlow Semi Condensed" w:hAnsi="Barlow Semi Condensed"/>
          <w:sz w:val="24"/>
          <w:szCs w:val="24"/>
        </w:rPr>
        <w:t xml:space="preserve"> Confermati: la banca dati del DNA (legge 85/2009, d.P.R. 87/2016; la banca al Dipartimento della pubblica sicurezza, il laboratorio centrale presso il DAP; l'accreditamento ISO/IEC 17025 richiesto ai laboratori alimentanti per la decisione quadro europea); gli articoli 360 e 392 del codice di rito per gli atti irripetibili; la genealogia genetica mai usata in Italia (il precedente europeo svedese; il Golden State Killer del 2018 oltreoceano) e il vuoto normativo su di essa, sulla ricerca familiare e sul fenotipo; lo screening Yara (~18.000 profili, condanna definitiva 2018); il monito del caso Macchi (riaperto nel 2014, assoluzione definitiva); l'uso di sistemi della famiglia IBIS riportato dalle fonti tecniche, con l'assetto istituzionale da accertare formalmente.</w:t>
      </w:r>
    </w:p>
    <w:p>
      <w:pPr>
        <w:spacing w:after="120" w:line="276"/>
        <w:jc w:val="both"/>
      </w:pPr>
      <w:r>
        <w:rPr>
          <w:rFonts w:ascii="Barlow Semi Condensed" w:cs="Barlow Semi Condensed" w:eastAsia="Barlow Semi Condensed" w:hAnsi="Barlow Semi Condensed"/>
          <w:b/>
          <w:bCs/>
          <w:sz w:val="24"/>
          <w:szCs w:val="24"/>
        </w:rPr>
        <w:t xml:space="preserve">C-8 · Il registro del giudicato.</w:t>
      </w:r>
      <w:r>
        <w:rPr>
          <w:rFonts w:ascii="Barlow Semi Condensed" w:cs="Barlow Semi Condensed" w:eastAsia="Barlow Semi Condensed" w:hAnsi="Barlow Semi Condensed"/>
          <w:sz w:val="24"/>
          <w:szCs w:val="24"/>
        </w:rPr>
        <w:t xml:space="preserve"> Fissati con fonti: i decessi (Gallinari, 14 gennaio 2013; Maccari, Rebibbia, 25 agosto 2001; Balzerani, 3 marzo 2024; Morucci, 1° gennaio 2025; Braghetti, notizia del 6 novembre 2025 — la verifica ha qui corretto una data errata della prima campagna); i viventi coi loro stati documentati (Moretti in semilibertà dal 1997; i dissociati e i liberi a pena eseguita); le posizioni oltre confine (Casimirri: sei ergastoli in contumacia, Managua, mai arrestato, estradizioni respinte; Lojacono: definitivo nel Moro-quater — Cassazione 14 maggio 1997 — cittadino svizzero, mai estradato); le ancore processuali (quinquies: primo grado 16 luglio 1996); la regola Algranati con le date (assoluzione per via Fani nel ter, 1988; cattura al Cairo il 14 gennaio 2004). Le caselle divergenti (due luoghi di nascita, due quantum) sono dichiarate «da precisare». Non determinabile con fonti: lo stato in vita del teste Marini.</w:t>
      </w:r>
    </w:p>
    <w:p>
      <w:pPr>
        <w:spacing w:after="120" w:line="276"/>
        <w:jc w:val="both"/>
      </w:pPr>
      <w:r>
        <w:rPr>
          <w:rFonts w:ascii="Barlow Semi Condensed" w:cs="Barlow Semi Condensed" w:eastAsia="Barlow Semi Condensed" w:hAnsi="Barlow Semi Condensed"/>
          <w:b/>
          <w:bCs/>
          <w:sz w:val="24"/>
          <w:szCs w:val="24"/>
        </w:rPr>
        <w:t xml:space="preserve">C-9 · Il fascicolo di Roma e i progetti.</w:t>
      </w:r>
      <w:r>
        <w:rPr>
          <w:rFonts w:ascii="Barlow Semi Condensed" w:cs="Barlow Semi Condensed" w:eastAsia="Barlow Semi Condensed" w:hAnsi="Barlow Semi Condensed"/>
          <w:sz w:val="24"/>
          <w:szCs w:val="24"/>
        </w:rPr>
        <w:t xml:space="preserve"> Confermati: la sequenza 2017-2026 del fascicolo sulle terze presenze (fino al rigetto dell'archiviazione con sei mesi di nuove indagini); nessun elenco pubblico degli esiti genetici (il negativo che smonta ogni vulgata nominativa); la direttiva Draghi del 2 agosto 2021 su Gladio e P2 (non sul caso in sé); l'Edizione nazionale del centenario con aldomorodigitale.unibo.it; la digitalizzazione dei cinque processi (Archivio di Stato di Roma, Ministero della Giustizia, CSM — col lavoro dei detenuti di Rebibbia) e la messa online progressiva; la costellazione dei portali senza portale unico; la legge 56/2007 sul Giorno della memoria del 9 maggio. Non trovati: un comitato nazionale per il cinquantennale del 2028 (l'assenza che la Parte nona trasforma in proposta); nuove acquisizioni documentali pubbliche rilevanti annunciate nel 2024-2026.</w:t>
      </w:r>
    </w:p>
    <w:p>
      <w:pPr>
        <w:pBdr>
          <w:bottom w:val="single" w:color="999999" w:sz="6" w:space="1"/>
        </w:pBdr>
        <w:spacing w:after="80"/>
      </w:pPr>
    </w:p>
    <w:p>
      <w:pPr>
        <w:spacing w:after="120" w:line="276"/>
        <w:jc w:val="both"/>
      </w:pPr>
      <w:r>
        <w:rPr>
          <w:rFonts w:ascii="Barlow Semi Condensed" w:cs="Barlow Semi Condensed" w:eastAsia="Barlow Semi Condensed" w:hAnsi="Barlow Semi Condensed"/>
          <w:i/>
          <w:iCs/>
          <w:sz w:val="24"/>
          <w:szCs w:val="24"/>
        </w:rPr>
        <w:t xml:space="preserve">I nove cantieri del nuovo Caso Moro, in mille blocchi mirati ordinati in nove Parti con statuto: Oltremanica, oltralpe, oltre Reno (1-120); il Vaticano e la Chiesa (121-220); i fondi privati e di partito (221-330); i reperti (331-460); il memoriale e le lettere (461-560); l'audio e l'immagine (561-660); le scienze forensi (661-790); il registro del giudicato (791-880); il fascicolo di Roma (881-1000). Quarta opera della quadriga investigativa del corpus — dopo il programma, il manuale in quattrocento blocchi e l'agenda in trecento — fondata sulle piste, sulle schede e sulle verifiche del corpus e su due campagne di verifica dedicate (dodici più nove agenti di ricerca indipendenti, con gli esiti negativi dichiarati e le fonti nell'apparato). Nessun fatto è affermato oltre la sua fonte; nessun colpevole è atteso; gli assolti restano assolti; il registro del giudicato resta l'unico luogo dei nomi. La ricerca produce documenti, non colpevoli — mille volte.</w:t>
      </w:r>
    </w:p>
    <w:p>
      <w:pPr>
        <w:pStyle w:val="Heading3"/>
        <w:spacing w:after="80" w:before="240"/>
      </w:pPr>
      <w:r>
        <w:rPr>
          <w:rFonts w:ascii="Barlow Semi Condensed" w:cs="Barlow Semi Condensed" w:eastAsia="Barlow Semi Condensed" w:hAnsi="Barlow Semi Condensed"/>
          <w:sz w:val="24"/>
          <w:szCs w:val="24"/>
        </w:rPr>
        <w:t xml:space="preserve">Apparato grafico — Libro tredicesimo · I nove cantieri (1.000 blocchi)</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8"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Libro tredicesimo VI: 54.152 parole in 9 sezioni; la più ampia è §9 Altre sezioni, con 13.404.</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9"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Libro tredicesimo VI: 1.062 paragrafi in 9 sezioni, 118 in media per sezione.</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0"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I nove fronti dell’opera monumentale, con le due campagne di verifica (V-1…V-12, C-1…C-9).</w:t>
      </w:r>
    </w:p>
    <w:p>
      <w:pPr>
        <w:spacing w:after="120"/>
        <w:jc w:val="center"/>
      </w:pPr>
      <w:r>
        <w:rPr>
          <w:rFonts w:ascii="Barlow Semi Condensed" w:cs="Barlow Semi Condensed" w:eastAsia="Barlow Semi Condensed" w:hAnsi="Barlow Semi Condensed"/>
          <w:color w:val="777777"/>
          <w:sz w:val="16"/>
          <w:szCs w:val="16"/>
        </w:rPr>
        <w:t xml:space="preserve">Le metriche dell'apparato contano parole, documenti e atti — mai colpe.</w:t>
      </w:r>
    </w:p>
    <w:p>
      <w:r>
        <w:br w:type="page"/>
      </w:r>
    </w:p>
    <w:p>
      <w:pPr>
        <w:pStyle w:val="Heading1"/>
        <w:spacing w:after="120" w:before="240"/>
      </w:pPr>
      <w:r>
        <w:rPr>
          <w:rFonts w:ascii="Barlow Semi Condensed" w:cs="Barlow Semi Condensed" w:eastAsia="Barlow Semi Condensed" w:hAnsi="Barlow Semi Condensed"/>
          <w:sz w:val="24"/>
          <w:szCs w:val="24"/>
        </w:rPr>
        <w:t xml:space="preserve">Libro tredicesimo — Il fascicolo aperto — VII. Il codice e la sua trasmissione (4.999 blocchi)</w:t>
      </w:r>
    </w:p>
    <w:p>
      <w:pPr>
        <w:pStyle w:val="Heading1"/>
        <w:spacing w:after="120" w:before="240"/>
      </w:pPr>
      <w:r>
        <w:rPr>
          <w:rFonts w:ascii="Barlow Semi Condensed" w:cs="Barlow Semi Condensed" w:eastAsia="Barlow Semi Condensed" w:hAnsi="Barlow Semi Condensed"/>
          <w:sz w:val="24"/>
          <w:szCs w:val="24"/>
        </w:rPr>
        <w:t xml:space="preserve">Il codice e la sua trasmissione</w:t>
      </w:r>
    </w:p>
    <w:p>
      <w:pPr>
        <w:pStyle w:val="Heading2"/>
        <w:spacing w:after="100" w:before="200"/>
      </w:pPr>
      <w:r>
        <w:rPr>
          <w:rFonts w:ascii="Barlow Semi Condensed" w:cs="Barlow Semi Condensed" w:eastAsia="Barlow Semi Condensed" w:hAnsi="Barlow Semi Condensed"/>
          <w:sz w:val="24"/>
          <w:szCs w:val="24"/>
        </w:rPr>
        <w:t xml:space="preserve">Henry Kissinger triangolato col corpus in 4.999 blocchi mirati — sessantacinque serie in due campagne</w:t>
      </w:r>
    </w:p>
    <w:p>
      <w:pPr>
        <w:pBdr>
          <w:left w:val="single" w:color="1F3864" w:sz="18" w:space="8"/>
        </w:pBdr>
        <w:spacing w:after="80" w:before="80"/>
        <w:ind w:left="360" w:right="360"/>
        <w:jc w:val="both"/>
      </w:pPr>
      <w:r>
        <w:rPr>
          <w:rFonts w:ascii="Barlow Semi Condensed" w:cs="Barlow Semi Condensed" w:eastAsia="Barlow Semi Condensed" w:hAnsi="Barlow Semi Condensed"/>
          <w:b/>
          <w:bCs/>
          <w:i w:val="false"/>
          <w:iCs w:val="false"/>
          <w:sz w:val="24"/>
          <w:szCs w:val="24"/>
        </w:rPr>
        <w:t xml:space="preserve">La chiave, dichiarata in apertura.</w:t>
      </w:r>
      <w:r>
        <w:rPr>
          <w:rFonts w:ascii="Barlow Semi Condensed" w:cs="Barlow Semi Condensed" w:eastAsia="Barlow Semi Condensed" w:hAnsi="Barlow Semi Condensed"/>
          <w:i w:val="false"/>
          <w:iCs w:val="false"/>
          <w:sz w:val="24"/>
          <w:szCs w:val="24"/>
        </w:rPr>
        <w:t xml:space="preserve"> Il committente ha chiesto di triangolare questo nome con tutto ciò che l'opera contiene, e ha indicato la lente: </w:t>
      </w:r>
      <w:r>
        <w:rPr>
          <w:rFonts w:ascii="Barlow Semi Condensed" w:cs="Barlow Semi Condensed" w:eastAsia="Barlow Semi Condensed" w:hAnsi="Barlow Semi Condensed"/>
          <w:b/>
          <w:bCs/>
          <w:i w:val="false"/>
          <w:iCs w:val="false"/>
          <w:sz w:val="24"/>
          <w:szCs w:val="24"/>
        </w:rPr>
        <w:t xml:space="preserve">«Kissinger rappresenta metaforicamente la genetica»</w:t>
      </w:r>
      <w:r>
        <w:rPr>
          <w:rFonts w:ascii="Barlow Semi Condensed" w:cs="Barlow Semi Condensed" w:eastAsia="Barlow Semi Condensed" w:hAnsi="Barlow Semi Condensed"/>
          <w:i w:val="false"/>
          <w:iCs w:val="false"/>
          <w:sz w:val="24"/>
          <w:szCs w:val="24"/>
        </w:rPr>
        <w:t xml:space="preserve">. La chiave è accolta e dichiarata qui, come il corpus fa con ogni sua chiave: </w:t>
      </w:r>
      <w:r>
        <w:rPr>
          <w:rFonts w:ascii="Barlow Semi Condensed" w:cs="Barlow Semi Condensed" w:eastAsia="Barlow Semi Condensed" w:hAnsi="Barlow Semi Condensed"/>
          <w:b/>
          <w:bCs/>
          <w:i w:val="false"/>
          <w:iCs w:val="false"/>
          <w:sz w:val="24"/>
          <w:szCs w:val="24"/>
        </w:rPr>
        <w:t xml:space="preserve">è una lente, non una sentenza</w:t>
      </w:r>
      <w:r>
        <w:rPr>
          <w:rFonts w:ascii="Barlow Semi Condensed" w:cs="Barlow Semi Condensed" w:eastAsia="Barlow Semi Condensed" w:hAnsi="Barlow Semi Condensed"/>
          <w:i w:val="false"/>
          <w:iCs w:val="false"/>
          <w:sz w:val="24"/>
          <w:szCs w:val="24"/>
        </w:rPr>
        <w:t xml:space="preserve">. Serve a porre domande più precise — che cosa è codice e che cosa è trascrizione, che cosa si eredita e che cosa converge, che cosa l'ambiente esprime e che cosa tace — e non a insinuare che una persona sia il portatore di un carattere, né che una condotta si trasmetta come un tratto. Dove la metafora spinge verso il determinismo, la tredicesima serie la ferma: </w:t>
      </w:r>
      <w:r>
        <w:rPr>
          <w:rFonts w:ascii="Barlow Semi Condensed" w:cs="Barlow Semi Condensed" w:eastAsia="Barlow Semi Condensed" w:hAnsi="Barlow Semi Condensed"/>
          <w:b/>
          <w:bCs/>
          <w:i w:val="false"/>
          <w:iCs w:val="false"/>
          <w:sz w:val="24"/>
          <w:szCs w:val="24"/>
        </w:rPr>
        <w:t xml:space="preserve">in biologia il carattere si eredita; in storia la responsabilità no</w:t>
      </w:r>
      <w:r>
        <w:rPr>
          <w:rFonts w:ascii="Barlow Semi Condensed" w:cs="Barlow Semi Condensed" w:eastAsia="Barlow Semi Condensed" w:hAnsi="Barlow Semi Condensed"/>
          <w:i w:val="false"/>
          <w:iCs w:val="false"/>
          <w:sz w:val="24"/>
          <w:szCs w:val="24"/>
        </w:rPr>
        <w:t xml:space="preserve">.</w:t>
      </w:r>
    </w:p>
    <w:p>
      <w:pPr>
        <w:pBdr>
          <w:left w:val="single" w:color="1F3864" w:sz="18" w:space="8"/>
        </w:pBdr>
        <w:spacing w:after="80" w:before="80"/>
        <w:ind w:left="360" w:right="360"/>
        <w:jc w:val="both"/>
      </w:pPr>
      <w:r>
        <w:rPr>
          <w:rFonts w:ascii="Barlow Semi Condensed" w:cs="Barlow Semi Condensed" w:eastAsia="Barlow Semi Condensed" w:hAnsi="Barlow Semi Condensed"/>
          <w:b/>
          <w:bCs/>
          <w:i w:val="false"/>
          <w:iCs w:val="false"/>
          <w:sz w:val="24"/>
          <w:szCs w:val="24"/>
        </w:rPr>
        <w:t xml:space="preserve">Le due campagne, e perché sono due.</w:t>
      </w:r>
      <w:r>
        <w:rPr>
          <w:rFonts w:ascii="Barlow Semi Condensed" w:cs="Barlow Semi Condensed" w:eastAsia="Barlow Semi Condensed" w:hAnsi="Barlow Semi Condensed"/>
          <w:i w:val="false"/>
          <w:iCs w:val="false"/>
          <w:sz w:val="24"/>
          <w:szCs w:val="24"/>
        </w:rPr>
        <w:t xml:space="preserve"> La </w:t>
      </w:r>
      <w:r>
        <w:rPr>
          <w:rFonts w:ascii="Barlow Semi Condensed" w:cs="Barlow Semi Condensed" w:eastAsia="Barlow Semi Condensed" w:hAnsi="Barlow Semi Condensed"/>
          <w:b/>
          <w:bCs/>
          <w:i w:val="false"/>
          <w:iCs w:val="false"/>
          <w:sz w:val="24"/>
          <w:szCs w:val="24"/>
        </w:rPr>
        <w:t xml:space="preserve">prima</w:t>
      </w:r>
      <w:r>
        <w:rPr>
          <w:rFonts w:ascii="Barlow Semi Condensed" w:cs="Barlow Semi Condensed" w:eastAsia="Barlow Semi Condensed" w:hAnsi="Barlow Semi Condensed"/>
          <w:i w:val="false"/>
          <w:iCs w:val="false"/>
          <w:sz w:val="24"/>
          <w:szCs w:val="24"/>
        </w:rPr>
        <w:t xml:space="preserve"> (serie I-XIII, blocchi 1-1.000) è </w:t>
      </w:r>
      <w:r>
        <w:rPr>
          <w:rFonts w:ascii="Barlow Semi Condensed" w:cs="Barlow Semi Condensed" w:eastAsia="Barlow Semi Condensed" w:hAnsi="Barlow Semi Condensed"/>
          <w:b/>
          <w:bCs/>
          <w:i w:val="false"/>
          <w:iCs w:val="false"/>
          <w:sz w:val="24"/>
          <w:szCs w:val="24"/>
        </w:rPr>
        <w:t xml:space="preserve">concettuale</w:t>
      </w:r>
      <w:r>
        <w:rPr>
          <w:rFonts w:ascii="Barlow Semi Condensed" w:cs="Barlow Semi Condensed" w:eastAsia="Barlow Semi Condensed" w:hAnsi="Barlow Semi Condensed"/>
          <w:i w:val="false"/>
          <w:iCs w:val="false"/>
          <w:sz w:val="24"/>
          <w:szCs w:val="24"/>
        </w:rPr>
        <w:t xml:space="preserve">: applica la lente al nome e ne misura la resa, chiudendo con la serie che la ferma. La </w:t>
      </w:r>
      <w:r>
        <w:rPr>
          <w:rFonts w:ascii="Barlow Semi Condensed" w:cs="Barlow Semi Condensed" w:eastAsia="Barlow Semi Condensed" w:hAnsi="Barlow Semi Condensed"/>
          <w:b/>
          <w:bCs/>
          <w:i w:val="false"/>
          <w:iCs w:val="false"/>
          <w:sz w:val="24"/>
          <w:szCs w:val="24"/>
        </w:rPr>
        <w:t xml:space="preserve">seconda</w:t>
      </w:r>
      <w:r>
        <w:rPr>
          <w:rFonts w:ascii="Barlow Semi Condensed" w:cs="Barlow Semi Condensed" w:eastAsia="Barlow Semi Condensed" w:hAnsi="Barlow Semi Condensed"/>
          <w:i w:val="false"/>
          <w:iCs w:val="false"/>
          <w:sz w:val="24"/>
          <w:szCs w:val="24"/>
        </w:rPr>
        <w:t xml:space="preserve"> (serie XIV-LXV, blocchi 1.001-4.999) è </w:t>
      </w:r>
      <w:r>
        <w:rPr>
          <w:rFonts w:ascii="Barlow Semi Condensed" w:cs="Barlow Semi Condensed" w:eastAsia="Barlow Semi Condensed" w:hAnsi="Barlow Semi Condensed"/>
          <w:b/>
          <w:bCs/>
          <w:i w:val="false"/>
          <w:iCs w:val="false"/>
          <w:sz w:val="24"/>
          <w:szCs w:val="24"/>
        </w:rPr>
        <w:t xml:space="preserve">territoriale</w:t>
      </w:r>
      <w:r>
        <w:rPr>
          <w:rFonts w:ascii="Barlow Semi Condensed" w:cs="Barlow Semi Condensed" w:eastAsia="Barlow Semi Condensed" w:hAnsi="Barlow Semi Condensed"/>
          <w:i w:val="false"/>
          <w:iCs w:val="false"/>
          <w:sz w:val="24"/>
          <w:szCs w:val="24"/>
        </w:rPr>
        <w:t xml:space="preserve">: porta lo stesso nome contro </w:t>
      </w:r>
      <w:r>
        <w:rPr>
          <w:rFonts w:ascii="Barlow Semi Condensed" w:cs="Barlow Semi Condensed" w:eastAsia="Barlow Semi Condensed" w:hAnsi="Barlow Semi Condensed"/>
          <w:b/>
          <w:bCs/>
          <w:i w:val="false"/>
          <w:iCs w:val="false"/>
          <w:sz w:val="24"/>
          <w:szCs w:val="24"/>
        </w:rPr>
        <w:t xml:space="preserve">ogni territorio del corpus</w:t>
      </w:r>
      <w:r>
        <w:rPr>
          <w:rFonts w:ascii="Barlow Semi Condensed" w:cs="Barlow Semi Condensed" w:eastAsia="Barlow Semi Condensed" w:hAnsi="Barlow Semi Condensed"/>
          <w:i w:val="false"/>
          <w:iCs w:val="false"/>
          <w:sz w:val="24"/>
          <w:szCs w:val="24"/>
        </w:rPr>
        <w:t xml:space="preserve">, uno per serie — un documento, una cartella, una Parte — con l'obbligo di leggerlo prima di scriverne. Ogni serie territoriale tiene distinte quattro domande: dove il nome compare e con quale piano; dove il territorio tocca la cornice senza toccare il nome; dove circola un'affermazione terziaria che quel territorio non sostiene; e </w:t>
      </w:r>
      <w:r>
        <w:rPr>
          <w:rFonts w:ascii="Barlow Semi Condensed" w:cs="Barlow Semi Condensed" w:eastAsia="Barlow Semi Condensed" w:hAnsi="Barlow Semi Condensed"/>
          <w:b/>
          <w:bCs/>
          <w:i w:val="false"/>
          <w:iCs w:val="false"/>
          <w:sz w:val="24"/>
          <w:szCs w:val="24"/>
        </w:rPr>
        <w:t xml:space="preserve">dove si dovrebbe cercare e nessuno ha cercato</w:t>
      </w:r>
      <w:r>
        <w:rPr>
          <w:rFonts w:ascii="Barlow Semi Condensed" w:cs="Barlow Semi Condensed" w:eastAsia="Barlow Semi Condensed" w:hAnsi="Barlow Semi Condensed"/>
          <w:i w:val="false"/>
          <w:iCs w:val="false"/>
          <w:sz w:val="24"/>
          <w:szCs w:val="24"/>
        </w:rPr>
        <w:t xml:space="preserve">. Solo la quarta consegna a un terzo qualcosa da fare, ed è la ragione per cui la seconda campagna esiste.</w:t>
      </w:r>
    </w:p>
    <w:p>
      <w:pPr>
        <w:pBdr>
          <w:left w:val="single" w:color="1F3864" w:sz="18" w:space="8"/>
        </w:pBdr>
        <w:spacing w:after="80" w:before="80"/>
        <w:ind w:left="360" w:right="360"/>
        <w:jc w:val="both"/>
      </w:pPr>
      <w:r>
        <w:rPr>
          <w:rFonts w:ascii="Barlow Semi Condensed" w:cs="Barlow Semi Condensed" w:eastAsia="Barlow Semi Condensed" w:hAnsi="Barlow Semi Condensed"/>
          <w:b/>
          <w:bCs/>
          <w:i w:val="false"/>
          <w:iCs w:val="false"/>
          <w:sz w:val="24"/>
          <w:szCs w:val="24"/>
        </w:rPr>
        <w:t xml:space="preserve">L'esito, dichiarato prima del testo e non dopo.</w:t>
      </w:r>
      <w:r>
        <w:rPr>
          <w:rFonts w:ascii="Barlow Semi Condensed" w:cs="Barlow Semi Condensed" w:eastAsia="Barlow Semi Condensed" w:hAnsi="Barlow Semi Condensed"/>
          <w:i w:val="false"/>
          <w:iCs w:val="false"/>
          <w:sz w:val="24"/>
          <w:szCs w:val="24"/>
        </w:rPr>
        <w:t xml:space="preserve"> Cinquantadue territori interrogati, quasi quattromila bersagli posti, e il numero dei </w:t>
      </w:r>
      <w:r>
        <w:rPr>
          <w:rFonts w:ascii="Barlow Semi Condensed" w:cs="Barlow Semi Condensed" w:eastAsia="Barlow Semi Condensed" w:hAnsi="Barlow Semi Condensed"/>
          <w:b/>
          <w:bCs/>
          <w:i w:val="false"/>
          <w:iCs w:val="false"/>
          <w:sz w:val="24"/>
          <w:szCs w:val="24"/>
        </w:rPr>
        <w:t xml:space="preserve">ponti di piano 1</w:t>
      </w:r>
      <w:r>
        <w:rPr>
          <w:rFonts w:ascii="Barlow Semi Condensed" w:cs="Barlow Semi Condensed" w:eastAsia="Barlow Semi Condensed" w:hAnsi="Barlow Semi Condensed"/>
          <w:i w:val="false"/>
          <w:iCs w:val="false"/>
          <w:sz w:val="24"/>
          <w:szCs w:val="24"/>
        </w:rPr>
        <w:t xml:space="preserve"> fra questo nome e il caso Moro resta </w:t>
      </w:r>
      <w:r>
        <w:rPr>
          <w:rFonts w:ascii="Barlow Semi Condensed" w:cs="Barlow Semi Condensed" w:eastAsia="Barlow Semi Condensed" w:hAnsi="Barlow Semi Condensed"/>
          <w:b/>
          <w:bCs/>
          <w:i w:val="false"/>
          <w:iCs w:val="false"/>
          <w:sz w:val="24"/>
          <w:szCs w:val="24"/>
        </w:rPr>
        <w:t xml:space="preserve">uno</w:t>
      </w:r>
      <w:r>
        <w:rPr>
          <w:rFonts w:ascii="Barlow Semi Condensed" w:cs="Barlow Semi Condensed" w:eastAsia="Barlow Semi Condensed" w:hAnsi="Barlow Semi Condensed"/>
          <w:i w:val="false"/>
          <w:iCs w:val="false"/>
          <w:sz w:val="24"/>
          <w:szCs w:val="24"/>
        </w:rPr>
        <w:t xml:space="preserve">: il verbale dello Studio Ovale del 25 settembre 1974, che attesta una posizione di politica dichiarata e </w:t>
      </w:r>
      <w:r>
        <w:rPr>
          <w:rFonts w:ascii="Barlow Semi Condensed" w:cs="Barlow Semi Condensed" w:eastAsia="Barlow Semi Condensed" w:hAnsi="Barlow Semi Condensed"/>
          <w:b/>
          <w:bCs/>
          <w:i w:val="false"/>
          <w:iCs w:val="false"/>
          <w:sz w:val="24"/>
          <w:szCs w:val="24"/>
        </w:rPr>
        <w:t xml:space="preserve">non contiene alcun ultimatum personale</w:t>
      </w:r>
      <w:r>
        <w:rPr>
          <w:rFonts w:ascii="Barlow Semi Condensed" w:cs="Barlow Semi Condensed" w:eastAsia="Barlow Semi Condensed" w:hAnsi="Barlow Semi Condensed"/>
          <w:i w:val="false"/>
          <w:iCs w:val="false"/>
          <w:sz w:val="24"/>
          <w:szCs w:val="24"/>
        </w:rPr>
        <w:t xml:space="preserve">. Nessun territorio ne ha aggiunto un secondo. La seconda campagna ha aggiunto sedi, quesiti e vuoti verbalizzati; </w:t>
      </w:r>
      <w:r>
        <w:rPr>
          <w:rFonts w:ascii="Barlow Semi Condensed" w:cs="Barlow Semi Condensed" w:eastAsia="Barlow Semi Condensed" w:hAnsi="Barlow Semi Condensed"/>
          <w:b/>
          <w:bCs/>
          <w:i w:val="false"/>
          <w:iCs w:val="false"/>
          <w:sz w:val="24"/>
          <w:szCs w:val="24"/>
        </w:rPr>
        <w:t xml:space="preserve">non ha aggiunto fatti</w:t>
      </w:r>
      <w:r>
        <w:rPr>
          <w:rFonts w:ascii="Barlow Semi Condensed" w:cs="Barlow Semi Condensed" w:eastAsia="Barlow Semi Condensed" w:hAnsi="Barlow Semi Condensed"/>
          <w:i w:val="false"/>
          <w:iCs w:val="false"/>
          <w:sz w:val="24"/>
          <w:szCs w:val="24"/>
        </w:rPr>
        <w:t xml:space="preserve">. Chi cerchi qui una rivelazione ha sbagliato opera; chi cerchi un elenco di cose da fare in archivio la trova, ed è tutto ciò che 4.999 blocchi possono onestamente consegnare.</w:t>
      </w:r>
    </w:p>
    <w:p>
      <w:pPr>
        <w:pBdr>
          <w:left w:val="single" w:color="1F3864" w:sz="18" w:space="8"/>
        </w:pBdr>
        <w:spacing w:after="80" w:before="80"/>
        <w:ind w:left="360" w:right="360"/>
        <w:jc w:val="both"/>
      </w:pPr>
      <w:r>
        <w:rPr>
          <w:rFonts w:ascii="Barlow Semi Condensed" w:cs="Barlow Semi Condensed" w:eastAsia="Barlow Semi Condensed" w:hAnsi="Barlow Semi Condensed"/>
          <w:b/>
          <w:bCs/>
          <w:i w:val="false"/>
          <w:iCs w:val="false"/>
          <w:sz w:val="24"/>
          <w:szCs w:val="24"/>
        </w:rPr>
        <w:t xml:space="preserve">Una correzione per nota, che è già il primo caso della metafora.</w:t>
      </w:r>
      <w:r>
        <w:rPr>
          <w:rFonts w:ascii="Barlow Semi Condensed" w:cs="Barlow Semi Condensed" w:eastAsia="Barlow Semi Condensed" w:hAnsi="Barlow Semi Condensed"/>
          <w:i w:val="false"/>
          <w:iCs w:val="false"/>
          <w:sz w:val="24"/>
          <w:szCs w:val="24"/>
        </w:rPr>
        <w:t xml:space="preserve"> La richiesta scrive «Harry». Il nome è </w:t>
      </w:r>
      <w:r>
        <w:rPr>
          <w:rFonts w:ascii="Barlow Semi Condensed" w:cs="Barlow Semi Condensed" w:eastAsia="Barlow Semi Condensed" w:hAnsi="Barlow Semi Condensed"/>
          <w:b/>
          <w:bCs/>
          <w:i w:val="false"/>
          <w:iCs w:val="false"/>
          <w:sz w:val="24"/>
          <w:szCs w:val="24"/>
        </w:rPr>
        <w:t xml:space="preserve">Henry Alfred Kissinger</w:t>
      </w:r>
      <w:r>
        <w:rPr>
          <w:rFonts w:ascii="Barlow Semi Condensed" w:cs="Barlow Semi Condensed" w:eastAsia="Barlow Semi Condensed" w:hAnsi="Barlow Semi Condensed"/>
          <w:i w:val="false"/>
          <w:iCs w:val="false"/>
          <w:sz w:val="24"/>
          <w:szCs w:val="24"/>
        </w:rPr>
        <w:t xml:space="preserve">, e l'uomo nacque </w:t>
      </w:r>
      <w:r>
        <w:rPr>
          <w:rFonts w:ascii="Barlow Semi Condensed" w:cs="Barlow Semi Condensed" w:eastAsia="Barlow Semi Condensed" w:hAnsi="Barlow Semi Condensed"/>
          <w:b/>
          <w:bCs/>
          <w:i w:val="false"/>
          <w:iCs w:val="false"/>
          <w:sz w:val="24"/>
          <w:szCs w:val="24"/>
        </w:rPr>
        <w:t xml:space="preserve">Heinz Alfred Kissinger a Fürth il 27 maggio 1923</w:t>
      </w:r>
      <w:r>
        <w:rPr>
          <w:rFonts w:ascii="Barlow Semi Condensed" w:cs="Barlow Semi Condensed" w:eastAsia="Barlow Semi Condensed" w:hAnsi="Barlow Semi Condensed"/>
          <w:i w:val="false"/>
          <w:iCs w:val="false"/>
          <w:sz w:val="24"/>
          <w:szCs w:val="24"/>
        </w:rPr>
        <w:t xml:space="preserve"> e morì nella sua casa di Kent, nel Connecticut, il </w:t>
      </w:r>
      <w:r>
        <w:rPr>
          <w:rFonts w:ascii="Barlow Semi Condensed" w:cs="Barlow Semi Condensed" w:eastAsia="Barlow Semi Condensed" w:hAnsi="Barlow Semi Condensed"/>
          <w:b/>
          <w:bCs/>
          <w:i w:val="false"/>
          <w:iCs w:val="false"/>
          <w:sz w:val="24"/>
          <w:szCs w:val="24"/>
        </w:rPr>
        <w:t xml:space="preserve">29 novembre 2023</w:t>
      </w:r>
      <w:r>
        <w:rPr>
          <w:rFonts w:ascii="Barlow Semi Condensed" w:cs="Barlow Semi Condensed" w:eastAsia="Barlow Semi Condensed" w:hAnsi="Barlow Semi Condensed"/>
          <w:i w:val="false"/>
          <w:iCs w:val="false"/>
          <w:sz w:val="24"/>
          <w:szCs w:val="24"/>
        </w:rPr>
        <w:t xml:space="preserve">. Il corpus </w:t>
      </w:r>
      <w:r>
        <w:rPr>
          <w:rFonts w:ascii="Barlow Semi Condensed" w:cs="Barlow Semi Condensed" w:eastAsia="Barlow Semi Condensed" w:hAnsi="Barlow Semi Condensed"/>
          <w:b/>
          <w:bCs/>
          <w:i w:val="false"/>
          <w:iCs w:val="false"/>
          <w:sz w:val="24"/>
          <w:szCs w:val="24"/>
        </w:rPr>
        <w:t xml:space="preserve">corregge per nota e non riscrive in silenzio</w:t>
      </w:r>
      <w:r>
        <w:rPr>
          <w:rFonts w:ascii="Barlow Semi Condensed" w:cs="Barlow Semi Condensed" w:eastAsia="Barlow Semi Condensed" w:hAnsi="Barlow Semi Condensed"/>
          <w:i w:val="false"/>
          <w:iCs w:val="false"/>
          <w:sz w:val="24"/>
          <w:szCs w:val="24"/>
        </w:rPr>
        <w:t xml:space="preserve">: la forma errata resta registrata qui, la forma esatta è usata ovunque nel testo. E il primo esempio della lente si rivela subito un caso di trasmissione imprecisa: l'emigrazione è datata con esattezza — partenza dalla Germania il </w:t>
      </w:r>
      <w:r>
        <w:rPr>
          <w:rFonts w:ascii="Barlow Semi Condensed" w:cs="Barlow Semi Condensed" w:eastAsia="Barlow Semi Condensed" w:hAnsi="Barlow Semi Condensed"/>
          <w:b/>
          <w:bCs/>
          <w:i w:val="false"/>
          <w:iCs w:val="false"/>
          <w:sz w:val="24"/>
          <w:szCs w:val="24"/>
        </w:rPr>
        <w:t xml:space="preserve">20 agosto 1938</w:t>
      </w:r>
      <w:r>
        <w:rPr>
          <w:rFonts w:ascii="Barlow Semi Condensed" w:cs="Barlow Semi Condensed" w:eastAsia="Barlow Semi Condensed" w:hAnsi="Barlow Semi Condensed"/>
          <w:i w:val="false"/>
          <w:iCs w:val="false"/>
          <w:sz w:val="24"/>
          <w:szCs w:val="24"/>
        </w:rPr>
        <w:t xml:space="preserve">, sbarco a New York il </w:t>
      </w:r>
      <w:r>
        <w:rPr>
          <w:rFonts w:ascii="Barlow Semi Condensed" w:cs="Barlow Semi Condensed" w:eastAsia="Barlow Semi Condensed" w:hAnsi="Barlow Semi Condensed"/>
          <w:b/>
          <w:bCs/>
          <w:i w:val="false"/>
          <w:iCs w:val="false"/>
          <w:sz w:val="24"/>
          <w:szCs w:val="24"/>
        </w:rPr>
        <w:t xml:space="preserve">5 settembre</w:t>
      </w:r>
      <w:r>
        <w:rPr>
          <w:rFonts w:ascii="Barlow Semi Condensed" w:cs="Barlow Semi Condensed" w:eastAsia="Barlow Semi Condensed" w:hAnsi="Barlow Semi Condensed"/>
          <w:i w:val="false"/>
          <w:iCs w:val="false"/>
          <w:sz w:val="24"/>
          <w:szCs w:val="24"/>
        </w:rPr>
        <w:t xml:space="preserve"> — ma </w:t>
      </w:r>
      <w:r>
        <w:rPr>
          <w:rFonts w:ascii="Barlow Semi Condensed" w:cs="Barlow Semi Condensed" w:eastAsia="Barlow Semi Condensed" w:hAnsi="Barlow Semi Condensed"/>
          <w:b/>
          <w:bCs/>
          <w:i w:val="false"/>
          <w:iCs w:val="false"/>
          <w:sz w:val="24"/>
          <w:szCs w:val="24"/>
        </w:rPr>
        <w:t xml:space="preserve">il passaggio da Heinz a Henry non è documentato come atto compiuto all'arrivo</w:t>
      </w:r>
      <w:r>
        <w:rPr>
          <w:rFonts w:ascii="Barlow Semi Condensed" w:cs="Barlow Semi Condensed" w:eastAsia="Barlow Semi Condensed" w:hAnsi="Barlow Semi Condensed"/>
          <w:i w:val="false"/>
          <w:iCs w:val="false"/>
          <w:sz w:val="24"/>
          <w:szCs w:val="24"/>
        </w:rPr>
        <w:t xml:space="preserve">. Le opere di consultazione lo collocano genericamente nel 1938 senza citare documenti; il fascicolo d'immigrazione e naturalizzazione, ottenuto per accesso agli atti, lo colloca </w:t>
      </w:r>
      <w:r>
        <w:rPr>
          <w:rFonts w:ascii="Barlow Semi Condensed" w:cs="Barlow Semi Condensed" w:eastAsia="Barlow Semi Condensed" w:hAnsi="Barlow Semi Condensed"/>
          <w:b/>
          <w:bCs/>
          <w:i w:val="false"/>
          <w:iCs w:val="false"/>
          <w:sz w:val="24"/>
          <w:szCs w:val="24"/>
        </w:rPr>
        <w:t xml:space="preserve">durante il servizio militare, intorno al 1942-1943</w:t>
      </w:r>
      <w:r>
        <w:rPr>
          <w:rFonts w:ascii="Barlow Semi Condensed" w:cs="Barlow Semi Condensed" w:eastAsia="Barlow Semi Condensed" w:hAnsi="Barlow Semi Condensed"/>
          <w:i w:val="false"/>
          <w:iCs w:val="false"/>
          <w:sz w:val="24"/>
          <w:szCs w:val="24"/>
        </w:rPr>
        <w:t xml:space="preserve">, con naturalizzazione il </w:t>
      </w:r>
      <w:r>
        <w:rPr>
          <w:rFonts w:ascii="Barlow Semi Condensed" w:cs="Barlow Semi Condensed" w:eastAsia="Barlow Semi Condensed" w:hAnsi="Barlow Semi Condensed"/>
          <w:b/>
          <w:bCs/>
          <w:i w:val="false"/>
          <w:iCs w:val="false"/>
          <w:sz w:val="24"/>
          <w:szCs w:val="24"/>
        </w:rPr>
        <w:t xml:space="preserve">19 giugno 1943</w:t>
      </w:r>
      <w:r>
        <w:rPr>
          <w:rFonts w:ascii="Barlow Semi Condensed" w:cs="Barlow Semi Condensed" w:eastAsia="Barlow Semi Condensed" w:hAnsi="Barlow Semi Condensed"/>
          <w:i w:val="false"/>
          <w:iCs w:val="false"/>
          <w:sz w:val="24"/>
          <w:szCs w:val="24"/>
        </w:rPr>
        <w:t xml:space="preserve"> a Camp Croft. </w:t>
      </w:r>
      <w:r>
        <w:rPr>
          <w:rFonts w:ascii="Barlow Semi Condensed" w:cs="Barlow Semi Condensed" w:eastAsia="Barlow Semi Condensed" w:hAnsi="Barlow Semi Condensed"/>
          <w:b/>
          <w:bCs/>
          <w:i w:val="false"/>
          <w:iCs w:val="false"/>
          <w:sz w:val="24"/>
          <w:szCs w:val="24"/>
        </w:rPr>
        <w:t xml:space="preserve">La mutazione che tutti collocano alla frontiera, l'archivio la sposta di cinque anni</w:t>
      </w:r>
      <w:r>
        <w:rPr>
          <w:rFonts w:ascii="Barlow Semi Condensed" w:cs="Barlow Semi Condensed" w:eastAsia="Barlow Semi Condensed" w:hAnsi="Barlow Semi Condensed"/>
          <w:i w:val="false"/>
          <w:iCs w:val="false"/>
          <w:sz w:val="24"/>
          <w:szCs w:val="24"/>
        </w:rPr>
        <w:t xml:space="preserve">: la divergenza si riporta e non si scioglie.</w:t>
      </w:r>
    </w:p>
    <w:p>
      <w:pPr>
        <w:pBdr>
          <w:left w:val="single" w:color="1F3864" w:sz="18" w:space="8"/>
        </w:pBdr>
        <w:spacing w:after="80" w:before="80"/>
        <w:ind w:left="360" w:right="360"/>
        <w:jc w:val="both"/>
      </w:pPr>
      <w:r>
        <w:rPr>
          <w:rFonts w:ascii="Barlow Semi Condensed" w:cs="Barlow Semi Condensed" w:eastAsia="Barlow Semi Condensed" w:hAnsi="Barlow Semi Condensed"/>
          <w:b/>
          <w:bCs/>
          <w:i w:val="false"/>
          <w:iCs w:val="false"/>
          <w:sz w:val="24"/>
          <w:szCs w:val="24"/>
        </w:rPr>
        <w:t xml:space="preserve">Statuto probatorio.</w:t>
      </w:r>
      <w:r>
        <w:rPr>
          <w:rFonts w:ascii="Barlow Semi Condensed" w:cs="Barlow Semi Condensed" w:eastAsia="Barlow Semi Condensed" w:hAnsi="Barlow Semi Condensed"/>
          <w:i w:val="false"/>
          <w:iCs w:val="false"/>
          <w:sz w:val="24"/>
          <w:szCs w:val="24"/>
        </w:rPr>
        <w:t xml:space="preserve"> Nessun blocco di quest'opera indica Henry Kissinger — né alcun altro — come responsabile di reato: </w:t>
      </w:r>
      <w:r>
        <w:rPr>
          <w:rFonts w:ascii="Barlow Semi Condensed" w:cs="Barlow Semi Condensed" w:eastAsia="Barlow Semi Condensed" w:hAnsi="Barlow Semi Condensed"/>
          <w:b/>
          <w:bCs/>
          <w:i w:val="false"/>
          <w:iCs w:val="false"/>
          <w:sz w:val="24"/>
          <w:szCs w:val="24"/>
        </w:rPr>
        <w:t xml:space="preserve">non fu condannato in alcun processo, non fu mai imputato né processato in alcun Paese</w:t>
      </w:r>
      <w:r>
        <w:rPr>
          <w:rFonts w:ascii="Barlow Semi Condensed" w:cs="Barlow Semi Condensed" w:eastAsia="Barlow Semi Condensed" w:hAnsi="Barlow Semi Condensed"/>
          <w:i w:val="false"/>
          <w:iCs w:val="false"/>
          <w:sz w:val="24"/>
          <w:szCs w:val="24"/>
        </w:rPr>
        <w:t xml:space="preserve">, e il corpus si ferma al giudicato. Vale in ogni pagina la regola dei </w:t>
      </w:r>
      <w:r>
        <w:rPr>
          <w:rFonts w:ascii="Barlow Semi Condensed" w:cs="Barlow Semi Condensed" w:eastAsia="Barlow Semi Condensed" w:hAnsi="Barlow Semi Condensed"/>
          <w:b/>
          <w:bCs/>
          <w:i w:val="false"/>
          <w:iCs w:val="false"/>
          <w:sz w:val="24"/>
          <w:szCs w:val="24"/>
        </w:rPr>
        <w:t xml:space="preserve">tre piani</w:t>
      </w:r>
      <w:r>
        <w:rPr>
          <w:rFonts w:ascii="Barlow Semi Condensed" w:cs="Barlow Semi Condensed" w:eastAsia="Barlow Semi Condensed" w:hAnsi="Barlow Semi Condensed"/>
          <w:i w:val="false"/>
          <w:iCs w:val="false"/>
          <w:sz w:val="24"/>
          <w:szCs w:val="24"/>
        </w:rPr>
        <w:t xml:space="preserve">: </w:t>
      </w:r>
      <w:r>
        <w:rPr>
          <w:rFonts w:ascii="Barlow Semi Condensed" w:cs="Barlow Semi Condensed" w:eastAsia="Barlow Semi Condensed" w:hAnsi="Barlow Semi Condensed"/>
          <w:b/>
          <w:bCs/>
          <w:i w:val="false"/>
          <w:iCs w:val="false"/>
          <w:sz w:val="24"/>
          <w:szCs w:val="24"/>
        </w:rPr>
        <w:t xml:space="preserve">piano 1</w:t>
      </w:r>
      <w:r>
        <w:rPr>
          <w:rFonts w:ascii="Barlow Semi Condensed" w:cs="Barlow Semi Condensed" w:eastAsia="Barlow Semi Condensed" w:hAnsi="Barlow Semi Condensed"/>
          <w:i w:val="false"/>
          <w:iCs w:val="false"/>
          <w:sz w:val="24"/>
          <w:szCs w:val="24"/>
        </w:rPr>
        <w:t xml:space="preserve">, rapporto diretto documentato; </w:t>
      </w:r>
      <w:r>
        <w:rPr>
          <w:rFonts w:ascii="Barlow Semi Condensed" w:cs="Barlow Semi Condensed" w:eastAsia="Barlow Semi Condensed" w:hAnsi="Barlow Semi Condensed"/>
          <w:b/>
          <w:bCs/>
          <w:i w:val="false"/>
          <w:iCs w:val="false"/>
          <w:sz w:val="24"/>
          <w:szCs w:val="24"/>
        </w:rPr>
        <w:t xml:space="preserve">piano 2</w:t>
      </w:r>
      <w:r>
        <w:rPr>
          <w:rFonts w:ascii="Barlow Semi Condensed" w:cs="Barlow Semi Condensed" w:eastAsia="Barlow Semi Condensed" w:hAnsi="Barlow Semi Condensed"/>
          <w:i w:val="false"/>
          <w:iCs w:val="false"/>
          <w:sz w:val="24"/>
          <w:szCs w:val="24"/>
        </w:rPr>
        <w:t xml:space="preserve">, convergenza strutturale entro la stessa cornice; </w:t>
      </w:r>
      <w:r>
        <w:rPr>
          <w:rFonts w:ascii="Barlow Semi Condensed" w:cs="Barlow Semi Condensed" w:eastAsia="Barlow Semi Condensed" w:hAnsi="Barlow Semi Condensed"/>
          <w:b/>
          <w:bCs/>
          <w:i w:val="false"/>
          <w:iCs w:val="false"/>
          <w:sz w:val="24"/>
          <w:szCs w:val="24"/>
        </w:rPr>
        <w:t xml:space="preserve">piano 3</w:t>
      </w:r>
      <w:r>
        <w:rPr>
          <w:rFonts w:ascii="Barlow Semi Condensed" w:cs="Barlow Semi Condensed" w:eastAsia="Barlow Semi Condensed" w:hAnsi="Barlow Semi Condensed"/>
          <w:i w:val="false"/>
          <w:iCs w:val="false"/>
          <w:sz w:val="24"/>
          <w:szCs w:val="24"/>
        </w:rPr>
        <w:t xml:space="preserve">, affermazione terziaria priva di riscontro. </w:t>
      </w:r>
      <w:r>
        <w:rPr>
          <w:rFonts w:ascii="Barlow Semi Condensed" w:cs="Barlow Semi Condensed" w:eastAsia="Barlow Semi Condensed" w:hAnsi="Barlow Semi Condensed"/>
          <w:i w:val="false"/>
          <w:iCs w:val="false"/>
          <w:sz w:val="24"/>
          <w:szCs w:val="24"/>
        </w:rPr>
        <w:t xml:space="preserve">Un ponte è reale solo al piano 1</w:t>
      </w:r>
      <w:r>
        <w:rPr>
          <w:rFonts w:ascii="Barlow Semi Condensed" w:cs="Barlow Semi Condensed" w:eastAsia="Barlow Semi Condensed" w:hAnsi="Barlow Semi Condensed"/>
          <w:i w:val="false"/>
          <w:iCs w:val="false"/>
          <w:sz w:val="24"/>
          <w:szCs w:val="24"/>
        </w:rPr>
        <w:t xml:space="preserve">; i piani 2 e 3 si registrano come tali e non si promuovono mai a nesso causale. Valgono inoltre: l'appartenenza a un'organizzazione, a una scuola o a un lignaggio dottrinale non è prova di condotta; la contemporaneità non è prova di nesso; le divergenze si riportano e non si scelgono in silenzio; l'esito negativo — lo </w:t>
      </w:r>
      <w:r>
        <w:rPr>
          <w:rFonts w:ascii="Barlow Semi Condensed" w:cs="Barlow Semi Condensed" w:eastAsia="Barlow Semi Condensed" w:hAnsi="Barlow Semi Condensed"/>
          <w:b/>
          <w:bCs/>
          <w:i w:val="false"/>
          <w:iCs w:val="false"/>
          <w:sz w:val="24"/>
          <w:szCs w:val="24"/>
        </w:rPr>
        <w:t xml:space="preserve">Stato Zero</w:t>
      </w:r>
      <w:r>
        <w:rPr>
          <w:rFonts w:ascii="Barlow Semi Condensed" w:cs="Barlow Semi Condensed" w:eastAsia="Barlow Semi Condensed" w:hAnsi="Barlow Semi Condensed"/>
          <w:i w:val="false"/>
          <w:iCs w:val="false"/>
          <w:sz w:val="24"/>
          <w:szCs w:val="24"/>
        </w:rPr>
        <w:t xml:space="preserve"> — è un'acquisizione di pieno valore e si scrive con la sede d'archivio che lo chiuderebbe.</w:t>
      </w:r>
    </w:p>
    <w:p>
      <w:pPr>
        <w:pBdr>
          <w:left w:val="single" w:color="1F3864" w:sz="18" w:space="8"/>
        </w:pBdr>
        <w:spacing w:after="80" w:before="80"/>
        <w:ind w:left="360" w:right="360"/>
        <w:jc w:val="both"/>
      </w:pPr>
      <w:r>
        <w:rPr>
          <w:rFonts w:ascii="Barlow Semi Condensed" w:cs="Barlow Semi Condensed" w:eastAsia="Barlow Semi Condensed" w:hAnsi="Barlow Semi Condensed"/>
          <w:b/>
          <w:bCs/>
          <w:i w:val="false"/>
          <w:iCs w:val="false"/>
          <w:sz w:val="24"/>
          <w:szCs w:val="24"/>
        </w:rPr>
        <w:t xml:space="preserve">Un accertamento che va messo in copertina, perché è quello che impedisce l'abuso peggiore.</w:t>
      </w:r>
      <w:r>
        <w:rPr>
          <w:rFonts w:ascii="Barlow Semi Condensed" w:cs="Barlow Semi Condensed" w:eastAsia="Barlow Semi Condensed" w:hAnsi="Barlow Semi Condensed"/>
          <w:i w:val="false"/>
          <w:iCs w:val="false"/>
          <w:sz w:val="24"/>
          <w:szCs w:val="24"/>
        </w:rPr>
        <w:t xml:space="preserve"> Nella circolazione pubblica il verbale del </w:t>
      </w:r>
      <w:r>
        <w:rPr>
          <w:rFonts w:ascii="Barlow Semi Condensed" w:cs="Barlow Semi Condensed" w:eastAsia="Barlow Semi Condensed" w:hAnsi="Barlow Semi Condensed"/>
          <w:b/>
          <w:bCs/>
          <w:i w:val="false"/>
          <w:iCs w:val="false"/>
          <w:sz w:val="24"/>
          <w:szCs w:val="24"/>
        </w:rPr>
        <w:t xml:space="preserve">25 settembre 1974</w:t>
      </w:r>
      <w:r>
        <w:rPr>
          <w:rFonts w:ascii="Barlow Semi Condensed" w:cs="Barlow Semi Condensed" w:eastAsia="Barlow Semi Condensed" w:hAnsi="Barlow Semi Condensed"/>
          <w:i w:val="false"/>
          <w:iCs w:val="false"/>
          <w:sz w:val="24"/>
          <w:szCs w:val="24"/>
        </w:rPr>
        <w:t xml:space="preserve"> — il colloquio dello Studio Ovale con Leone, Moro, Ford e Kissinger, documento 350 del volume FRUS 1969-1976 E-15 parte 2, </w:t>
      </w:r>
      <w:r>
        <w:rPr>
          <w:rFonts w:ascii="Barlow Semi Condensed" w:cs="Barlow Semi Condensed" w:eastAsia="Barlow Semi Condensed" w:hAnsi="Barlow Semi Condensed"/>
          <w:i w:val="false"/>
          <w:iCs w:val="false"/>
          <w:sz w:val="24"/>
          <w:szCs w:val="24"/>
        </w:rPr>
        <w:t xml:space="preserve">seconda edizione riveduta</w:t>
      </w:r>
      <w:r>
        <w:rPr>
          <w:rFonts w:ascii="Barlow Semi Condensed" w:cs="Barlow Semi Condensed" w:eastAsia="Barlow Semi Condensed" w:hAnsi="Barlow Semi Condensed"/>
          <w:i w:val="false"/>
          <w:iCs w:val="false"/>
          <w:sz w:val="24"/>
          <w:szCs w:val="24"/>
        </w:rPr>
        <w:t xml:space="preserve">, e file 1552802 della Ford Library — viene spesso presentato come il documento che conterrebbe la frase di minaccia ad Aldo Moro. </w:t>
      </w:r>
      <w:r>
        <w:rPr>
          <w:rFonts w:ascii="Barlow Semi Condensed" w:cs="Barlow Semi Condensed" w:eastAsia="Barlow Semi Condensed" w:hAnsi="Barlow Semi Condensed"/>
          <w:b/>
          <w:bCs/>
          <w:i w:val="false"/>
          <w:iCs w:val="false"/>
          <w:sz w:val="24"/>
          <w:szCs w:val="24"/>
        </w:rPr>
        <w:t xml:space="preserve">Non la contiene.</w:t>
      </w:r>
      <w:r>
        <w:rPr>
          <w:rFonts w:ascii="Barlow Semi Condensed" w:cs="Barlow Semi Condensed" w:eastAsia="Barlow Semi Condensed" w:hAnsi="Barlow Semi Condensed"/>
          <w:i w:val="false"/>
          <w:iCs w:val="false"/>
          <w:sz w:val="24"/>
          <w:szCs w:val="24"/>
        </w:rPr>
        <w:t xml:space="preserve"> Ciò che vi è attestato è altro: la posizione statunitense sul non poter scambiare informazioni militari nel caso di un ingresso comunista al governo, col precedente portoghese richiamato. La frase è stata </w:t>
      </w:r>
      <w:r>
        <w:rPr>
          <w:rFonts w:ascii="Barlow Semi Condensed" w:cs="Barlow Semi Condensed" w:eastAsia="Barlow Semi Condensed" w:hAnsi="Barlow Semi Condensed"/>
          <w:b/>
          <w:bCs/>
          <w:i w:val="false"/>
          <w:iCs w:val="false"/>
          <w:sz w:val="24"/>
          <w:szCs w:val="24"/>
        </w:rPr>
        <w:t xml:space="preserve">riferita da un testimone in sede giudiziaria</w:t>
      </w:r>
      <w:r>
        <w:rPr>
          <w:rFonts w:ascii="Barlow Semi Condensed" w:cs="Barlow Semi Condensed" w:eastAsia="Barlow Semi Condensed" w:hAnsi="Barlow Semi Condensed"/>
          <w:i w:val="false"/>
          <w:iCs w:val="false"/>
          <w:sz w:val="24"/>
          <w:szCs w:val="24"/>
        </w:rPr>
        <w:t xml:space="preserve"> — </w:t>
      </w:r>
      <w:r>
        <w:rPr>
          <w:rFonts w:ascii="Barlow Semi Condensed" w:cs="Barlow Semi Condensed" w:eastAsia="Barlow Semi Condensed" w:hAnsi="Barlow Semi Condensed"/>
          <w:i w:val="false"/>
          <w:iCs w:val="false"/>
          <w:sz w:val="24"/>
          <w:szCs w:val="24"/>
        </w:rPr>
        <w:t xml:space="preserve">de relato</w:t>
      </w:r>
      <w:r>
        <w:rPr>
          <w:rFonts w:ascii="Barlow Semi Condensed" w:cs="Barlow Semi Condensed" w:eastAsia="Barlow Semi Condensed" w:hAnsi="Barlow Semi Condensed"/>
          <w:i w:val="false"/>
          <w:iCs w:val="false"/>
          <w:sz w:val="24"/>
          <w:szCs w:val="24"/>
        </w:rPr>
        <w:t xml:space="preserve">, nel novembre 1982 — e </w:t>
      </w:r>
      <w:r>
        <w:rPr>
          <w:rFonts w:ascii="Barlow Semi Condensed" w:cs="Barlow Semi Condensed" w:eastAsia="Barlow Semi Condensed" w:hAnsi="Barlow Semi Condensed"/>
          <w:b/>
          <w:bCs/>
          <w:i w:val="false"/>
          <w:iCs w:val="false"/>
          <w:sz w:val="24"/>
          <w:szCs w:val="24"/>
        </w:rPr>
        <w:t xml:space="preserve">sempre negata dall'interessato</w:t>
      </w:r>
      <w:r>
        <w:rPr>
          <w:rFonts w:ascii="Barlow Semi Condensed" w:cs="Barlow Semi Condensed" w:eastAsia="Barlow Semi Condensed" w:hAnsi="Barlow Semi Condensed"/>
          <w:i w:val="false"/>
          <w:iCs w:val="false"/>
          <w:sz w:val="24"/>
          <w:szCs w:val="24"/>
        </w:rPr>
        <w:t xml:space="preserve">: è una testimonianza contestata, e va tenuta rigorosamente distinta dal documento. </w:t>
      </w:r>
      <w:r>
        <w:rPr>
          <w:rFonts w:ascii="Barlow Semi Condensed" w:cs="Barlow Semi Condensed" w:eastAsia="Barlow Semi Condensed" w:hAnsi="Barlow Semi Condensed"/>
          <w:b/>
          <w:bCs/>
          <w:i w:val="false"/>
          <w:iCs w:val="false"/>
          <w:sz w:val="24"/>
          <w:szCs w:val="24"/>
        </w:rPr>
        <w:t xml:space="preserve">Confondere i due piani è l'errore che quest'opera esiste per rendere impossibile.</w:t>
      </w:r>
    </w:p>
    <w:p>
      <w:pPr>
        <w:pBdr>
          <w:left w:val="single" w:color="1F3864" w:sz="18" w:space="8"/>
        </w:pBdr>
        <w:spacing w:after="80" w:before="80"/>
        <w:ind w:left="360" w:right="360"/>
        <w:jc w:val="both"/>
      </w:pPr>
      <w:r>
        <w:rPr>
          <w:rFonts w:ascii="Barlow Semi Condensed" w:cs="Barlow Semi Condensed" w:eastAsia="Barlow Semi Condensed" w:hAnsi="Barlow Semi Condensed"/>
          <w:b/>
          <w:bCs/>
          <w:i w:val="false"/>
          <w:iCs w:val="false"/>
          <w:sz w:val="24"/>
          <w:szCs w:val="24"/>
        </w:rPr>
        <w:t xml:space="preserve">Che cosa sono i blocchi, e come si legge un'opera che non si legge.</w:t>
      </w:r>
      <w:r>
        <w:rPr>
          <w:rFonts w:ascii="Barlow Semi Condensed" w:cs="Barlow Semi Condensed" w:eastAsia="Barlow Semi Condensed" w:hAnsi="Barlow Semi Condensed"/>
          <w:i w:val="false"/>
          <w:iCs w:val="false"/>
          <w:sz w:val="24"/>
          <w:szCs w:val="24"/>
        </w:rPr>
        <w:t xml:space="preserve"> Non sono affermazioni: sono </w:t>
      </w:r>
      <w:r>
        <w:rPr>
          <w:rFonts w:ascii="Barlow Semi Condensed" w:cs="Barlow Semi Condensed" w:eastAsia="Barlow Semi Condensed" w:hAnsi="Barlow Semi Condensed"/>
          <w:b/>
          <w:bCs/>
          <w:i w:val="false"/>
          <w:iCs w:val="false"/>
          <w:sz w:val="24"/>
          <w:szCs w:val="24"/>
        </w:rPr>
        <w:t xml:space="preserve">bersagli</w:t>
      </w:r>
      <w:r>
        <w:rPr>
          <w:rFonts w:ascii="Barlow Semi Condensed" w:cs="Barlow Semi Condensed" w:eastAsia="Barlow Semi Condensed" w:hAnsi="Barlow Semi Condensed"/>
          <w:i w:val="false"/>
          <w:iCs w:val="false"/>
          <w:sz w:val="24"/>
          <w:szCs w:val="24"/>
        </w:rPr>
        <w:t xml:space="preserve">. Ciascuno è un quesito da portare in archivio, una regola di lettura, un accertamento con grado dichiarato o una lacuna verbalizzata con la sede che la chiuderebbe. Quattromilanovecentonovantanove blocchi non si leggono in fila e non sono stati scritti per essere letti in fila: </w:t>
      </w:r>
      <w:r>
        <w:rPr>
          <w:rFonts w:ascii="Barlow Semi Condensed" w:cs="Barlow Semi Condensed" w:eastAsia="Barlow Semi Condensed" w:hAnsi="Barlow Semi Condensed"/>
          <w:b/>
          <w:bCs/>
          <w:i w:val="false"/>
          <w:iCs w:val="false"/>
          <w:sz w:val="24"/>
          <w:szCs w:val="24"/>
        </w:rPr>
        <w:t xml:space="preserve">si interrogano</w:t>
      </w:r>
      <w:r>
        <w:rPr>
          <w:rFonts w:ascii="Barlow Semi Condensed" w:cs="Barlow Semi Condensed" w:eastAsia="Barlow Semi Condensed" w:hAnsi="Barlow Semi Condensed"/>
          <w:i w:val="false"/>
          <w:iCs w:val="false"/>
          <w:sz w:val="24"/>
          <w:szCs w:val="24"/>
        </w:rPr>
        <w:t xml:space="preserve">. Chi voglia il metodo legga la prima serie e l'</w:t>
      </w:r>
      <w:r>
        <w:rPr>
          <w:rFonts w:ascii="Barlow Semi Condensed" w:cs="Barlow Semi Condensed" w:eastAsia="Barlow Semi Condensed" w:hAnsi="Barlow Semi Condensed"/>
          <w:b/>
          <w:bCs/>
          <w:i w:val="false"/>
          <w:iCs w:val="false"/>
          <w:sz w:val="24"/>
          <w:szCs w:val="24"/>
        </w:rPr>
        <w:t xml:space="preserve">Apparato L</w:t>
      </w:r>
      <w:r>
        <w:rPr>
          <w:rFonts w:ascii="Barlow Semi Condensed" w:cs="Barlow Semi Condensed" w:eastAsia="Barlow Semi Condensed" w:hAnsi="Barlow Semi Condensed"/>
          <w:i w:val="false"/>
          <w:iCs w:val="false"/>
          <w:sz w:val="24"/>
          <w:szCs w:val="24"/>
        </w:rPr>
        <w:t xml:space="preserve">; chi voglia sapere che cosa fare domani legga la sezione </w:t>
      </w:r>
      <w:r>
        <w:rPr>
          <w:rFonts w:ascii="Barlow Semi Condensed" w:cs="Barlow Semi Condensed" w:eastAsia="Barlow Semi Condensed" w:hAnsi="Barlow Semi Condensed"/>
          <w:b/>
          <w:bCs/>
          <w:i w:val="false"/>
          <w:iCs w:val="false"/>
          <w:sz w:val="24"/>
          <w:szCs w:val="24"/>
        </w:rPr>
        <w:t xml:space="preserve">L-6</w:t>
      </w:r>
      <w:r>
        <w:rPr>
          <w:rFonts w:ascii="Barlow Semi Condensed" w:cs="Barlow Semi Condensed" w:eastAsia="Barlow Semi Condensed" w:hAnsi="Barlow Semi Condensed"/>
          <w:i w:val="false"/>
          <w:iCs w:val="false"/>
          <w:sz w:val="24"/>
          <w:szCs w:val="24"/>
        </w:rPr>
        <w:t xml:space="preserve">, che elenca cinque atti eseguibili; chi voglia attaccare l'opera legga i bersagli di smentita, che ogni serie porta con sé e che sono stati scritti perché qualcuno li colpisca. Chi cerchi un nome da mettere in fondo a una storia non lo troverà, e la tredicesima serie spiega perché.</w:t>
      </w:r>
    </w:p>
    <w:p>
      <w:pPr>
        <w:pBdr>
          <w:left w:val="single" w:color="1F3864" w:sz="18" w:space="8"/>
        </w:pBdr>
        <w:spacing w:after="80" w:before="80"/>
        <w:ind w:left="360" w:right="360"/>
        <w:jc w:val="both"/>
      </w:pPr>
      <w:r>
        <w:rPr>
          <w:rFonts w:ascii="Barlow Semi Condensed" w:cs="Barlow Semi Condensed" w:eastAsia="Barlow Semi Condensed" w:hAnsi="Barlow Semi Condensed"/>
          <w:b/>
          <w:bCs/>
          <w:i w:val="false"/>
          <w:iCs w:val="false"/>
          <w:sz w:val="24"/>
          <w:szCs w:val="24"/>
        </w:rPr>
        <w:t xml:space="preserve">Perché proprio questo nome.</w:t>
      </w:r>
      <w:r>
        <w:rPr>
          <w:rFonts w:ascii="Barlow Semi Condensed" w:cs="Barlow Semi Condensed" w:eastAsia="Barlow Semi Condensed" w:hAnsi="Barlow Semi Condensed"/>
          <w:i w:val="false"/>
          <w:iCs w:val="false"/>
          <w:sz w:val="24"/>
          <w:szCs w:val="24"/>
        </w:rPr>
        <w:t xml:space="preserve"> Perché è il nodo su cui la tentazione combinatoria è massima. Chi voglia costruire una storia unica del Novecento con un solo centro trova qui il candidato perfetto: un uomo presente, per carica e per anni, in quasi tutti i teatri che questo corpus attraversa. È esattamente per questo che il nodo va trattato col metodo più severo, e non col più suggestivo. </w:t>
      </w:r>
      <w:r>
        <w:rPr>
          <w:rFonts w:ascii="Barlow Semi Condensed" w:cs="Barlow Semi Condensed" w:eastAsia="Barlow Semi Condensed" w:hAnsi="Barlow Semi Condensed"/>
          <w:b/>
          <w:bCs/>
          <w:i w:val="false"/>
          <w:iCs w:val="false"/>
          <w:sz w:val="24"/>
          <w:szCs w:val="24"/>
        </w:rPr>
        <w:t xml:space="preserve">Questa opera non aggiunge un nesso: mappa dove il ponte esiste, dove c'è solo convergenza e dove non c'è nulla.</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Serie prima — Il nome e la mutazione: lo statuto della metafora</w:t>
      </w:r>
    </w:p>
    <w:p>
      <w:pPr>
        <w:spacing w:after="120" w:line="276"/>
        <w:jc w:val="both"/>
      </w:pPr>
      <w:r>
        <w:rPr>
          <w:rFonts w:ascii="Barlow Semi Condensed" w:cs="Barlow Semi Condensed" w:eastAsia="Barlow Semi Condensed" w:hAnsi="Barlow Semi Condensed"/>
          <w:i/>
          <w:iCs/>
          <w:sz w:val="24"/>
          <w:szCs w:val="24"/>
        </w:rPr>
        <w:t xml:space="preserve">Blocchi 1-60.</w:t>
      </w:r>
    </w:p>
    <w:p>
      <w:pPr>
        <w:spacing w:after="120" w:line="276"/>
        <w:jc w:val="both"/>
      </w:pPr>
      <w:r>
        <w:rPr>
          <w:rFonts w:ascii="Barlow Semi Condensed" w:cs="Barlow Semi Condensed" w:eastAsia="Barlow Semi Condensed" w:hAnsi="Barlow Semi Condensed"/>
          <w:b/>
          <w:bCs/>
          <w:sz w:val="24"/>
          <w:szCs w:val="24"/>
        </w:rPr>
        <w:t xml:space="preserve">1 · Il nome scritto dal committente.</w:t>
      </w:r>
      <w:r>
        <w:rPr>
          <w:rFonts w:ascii="Barlow Semi Condensed" w:cs="Barlow Semi Condensed" w:eastAsia="Barlow Semi Condensed" w:hAnsi="Barlow Semi Condensed"/>
          <w:sz w:val="24"/>
          <w:szCs w:val="24"/>
        </w:rPr>
        <w:t xml:space="preserve"> Il mandato che apre quest'opera reca scritto «Harry Kissinger». Il nome è Henry. L'errore si registra qui, in apertura e per intero, perché è il primo dato del cantiere e non un incidente da nascondere: il corpus si corregge per nota e non per riscrittura silenziosa, secondo la regola che il manuale investigativo fissa al blocco 279 e ribadisce nella nota della sua seconda edizione. La correzione entra nel testo; l'errore resta leggibile accanto.</w:t>
      </w:r>
    </w:p>
    <w:p>
      <w:pPr>
        <w:spacing w:after="120" w:line="276"/>
        <w:jc w:val="both"/>
      </w:pPr>
      <w:r>
        <w:rPr>
          <w:rFonts w:ascii="Barlow Semi Condensed" w:cs="Barlow Semi Condensed" w:eastAsia="Barlow Semi Condensed" w:hAnsi="Barlow Semi Condensed"/>
          <w:b/>
          <w:bCs/>
          <w:sz w:val="24"/>
          <w:szCs w:val="24"/>
        </w:rPr>
        <w:t xml:space="preserve">2 · Heinz Alfred, Fürth 1923.</w:t>
      </w:r>
      <w:r>
        <w:rPr>
          <w:rFonts w:ascii="Barlow Semi Condensed" w:cs="Barlow Semi Condensed" w:eastAsia="Barlow Semi Condensed" w:hAnsi="Barlow Semi Condensed"/>
          <w:sz w:val="24"/>
          <w:szCs w:val="24"/>
        </w:rPr>
        <w:t xml:space="preserve"> Henry Alfred Kissinger nacque Heinz Alfred Kissinger a Fürth, in Baviera, il 27 maggio 1923, e morì a Kent, nel Connecticut, il 29 novembre 2023. Sono fatti pubblici, grado F: anagrafe e atti ufficiali. Il corpus li assume come tali e non ne ricava altro. La biografia serve qui a una sola funzione, fissare che l'oggetto della serie è un nome documentato e non un'entità evocata.</w:t>
      </w:r>
    </w:p>
    <w:p>
      <w:pPr>
        <w:spacing w:after="120" w:line="276"/>
        <w:jc w:val="both"/>
      </w:pPr>
      <w:r>
        <w:rPr>
          <w:rFonts w:ascii="Barlow Semi Condensed" w:cs="Barlow Semi Condensed" w:eastAsia="Barlow Semi Condensed" w:hAnsi="Barlow Semi Condensed"/>
          <w:b/>
          <w:bCs/>
          <w:sz w:val="24"/>
          <w:szCs w:val="24"/>
        </w:rPr>
        <w:t xml:space="preserve">3 · La mutazione onomastica, e la sua data contesa.</w:t>
      </w:r>
      <w:r>
        <w:rPr>
          <w:rFonts w:ascii="Barlow Semi Condensed" w:cs="Barlow Semi Condensed" w:eastAsia="Barlow Semi Condensed" w:hAnsi="Barlow Semi Condensed"/>
          <w:sz w:val="24"/>
          <w:szCs w:val="24"/>
        </w:rPr>
        <w:t xml:space="preserve"> Con l'emigrazione dalla Germania — partenza il 20 agosto 1938, sbarco a New York il 5 settembre — Heinz divenne Henry. Ma quando, esattamente, la verifica non lo concede: le opere di consultazione dicono 1938 senza citare documenti, il fascicolo d'immigrazione ottenuto per accesso agli atti colloca l'abbandono di «Heinz» durante il servizio militare, intorno al 1942-1943. La divergenza si riporta e non si scioglie. Il primo caso concreto della lente è già un caso di trasmissione imprecisa.</w:t>
      </w:r>
    </w:p>
    <w:p>
      <w:pPr>
        <w:spacing w:after="120" w:line="276"/>
        <w:jc w:val="both"/>
      </w:pPr>
      <w:r>
        <w:rPr>
          <w:rFonts w:ascii="Barlow Semi Condensed" w:cs="Barlow Semi Condensed" w:eastAsia="Barlow Semi Condensed" w:hAnsi="Barlow Semi Condensed"/>
          <w:b/>
          <w:bCs/>
          <w:sz w:val="24"/>
          <w:szCs w:val="24"/>
        </w:rPr>
        <w:t xml:space="preserve">4 · Dove la metafora già si rompe.</w:t>
      </w:r>
      <w:r>
        <w:rPr>
          <w:rFonts w:ascii="Barlow Semi Condensed" w:cs="Barlow Semi Condensed" w:eastAsia="Barlow Semi Condensed" w:hAnsi="Barlow Semi Condensed"/>
          <w:sz w:val="24"/>
          <w:szCs w:val="24"/>
        </w:rPr>
        <w:t xml:space="preserve"> La genetica chiama mutazione un evento non diretto, che avviene prima e indipendentemente dall'ambiente che poi lo seleziona. L'anglicizzazione di un nome all'emigrazione non è questo: è un atto intenzionale, orientato allo scopo. Il primo caso concreto della lente è dunque anche la sua prima falla, e va dichiarata subito. La metafora regge sulla forma dell'evento, variante che entra in un ambiente nuovo, non sul suo meccanismo.</w:t>
      </w:r>
    </w:p>
    <w:p>
      <w:pPr>
        <w:spacing w:after="120" w:line="276"/>
        <w:jc w:val="both"/>
      </w:pPr>
      <w:r>
        <w:rPr>
          <w:rFonts w:ascii="Barlow Semi Condensed" w:cs="Barlow Semi Condensed" w:eastAsia="Barlow Semi Condensed" w:hAnsi="Barlow Semi Condensed"/>
          <w:b/>
          <w:bCs/>
          <w:sz w:val="24"/>
          <w:szCs w:val="24"/>
        </w:rPr>
        <w:t xml:space="preserve">5 · Henry non è Harry.</w:t>
      </w:r>
      <w:r>
        <w:rPr>
          <w:rFonts w:ascii="Barlow Semi Condensed" w:cs="Barlow Semi Condensed" w:eastAsia="Barlow Semi Condensed" w:hAnsi="Barlow Semi Condensed"/>
          <w:sz w:val="24"/>
          <w:szCs w:val="24"/>
        </w:rPr>
        <w:t xml:space="preserve"> Harry è ipocoristico inglese corrente di Henry: la sostituzione non è casuale, è fonologicamente plausibile. Proprio per questo è pericolosa. In trascrizione gli errori che sopravvivono alle riletture sono quelli verosimili, non quelli assurdi, e la verosimiglianza è ciò che li rende invisibili al correttore. La serie assume questo come primo criterio di lettura: il rischio maggiore non è la variante grossolana, è quella che suona giusta.</w:t>
      </w:r>
    </w:p>
    <w:p>
      <w:pPr>
        <w:spacing w:after="120" w:line="276"/>
        <w:jc w:val="both"/>
      </w:pPr>
      <w:r>
        <w:rPr>
          <w:rFonts w:ascii="Barlow Semi Condensed" w:cs="Barlow Semi Condensed" w:eastAsia="Barlow Semi Condensed" w:hAnsi="Barlow Semi Condensed"/>
          <w:b/>
          <w:bCs/>
          <w:sz w:val="24"/>
          <w:szCs w:val="24"/>
        </w:rPr>
        <w:t xml:space="preserve">6 · Due varianti, due statuti diversi.</w:t>
      </w:r>
      <w:r>
        <w:rPr>
          <w:rFonts w:ascii="Barlow Semi Condensed" w:cs="Barlow Semi Condensed" w:eastAsia="Barlow Semi Condensed" w:hAnsi="Barlow Semi Condensed"/>
          <w:sz w:val="24"/>
          <w:szCs w:val="24"/>
        </w:rPr>
        <w:t xml:space="preserve"> Le due variazioni del nome non hanno lo stesso statuto e vanno tenute separate. Heinz in Henry è un mutamento nella fonte, portato dal soggetto stesso, la cui data è contesa fra il 1938 della vulgata e il 1942-1943 dell'archivio. Henry in Harry è un errore introdotto a valle, nel 2026, dal copista. La genetica distingue la variante trasmessa dall'errore di replicazione; la storiografia deve fare lo stesso, perché il secondo si corregge collazionando e il primo no.</w:t>
      </w:r>
    </w:p>
    <w:p>
      <w:pPr>
        <w:spacing w:after="120" w:line="276"/>
        <w:jc w:val="both"/>
      </w:pPr>
      <w:r>
        <w:rPr>
          <w:rFonts w:ascii="Barlow Semi Condensed" w:cs="Barlow Semi Condensed" w:eastAsia="Barlow Semi Condensed" w:hAnsi="Barlow Semi Condensed"/>
          <w:b/>
          <w:bCs/>
          <w:sz w:val="24"/>
          <w:szCs w:val="24"/>
        </w:rPr>
        <w:t xml:space="preserve">7 · Il corpus ha già i suoi precedenti.</w:t>
      </w:r>
      <w:r>
        <w:rPr>
          <w:rFonts w:ascii="Barlow Semi Condensed" w:cs="Barlow Semi Condensed" w:eastAsia="Barlow Semi Condensed" w:hAnsi="Barlow Semi Condensed"/>
          <w:sz w:val="24"/>
          <w:szCs w:val="24"/>
        </w:rPr>
        <w:t xml:space="preserve"> La disciplina onomastica non nasce qui. La triangolazione Guevara registra al nodo E-3 che «Alejandro Orfila» era in realtà Arnaldo Orfila Reynal, e che la confusione fra due persone distinte aveva generato un'affermazione da espungere. Il verbale della seconda campagna della Farnesina avverte che Jorge Jardim e Jorge Jardim Gonçalves sono persone diverse. Un nome sbagliato non produce un dettaglio sbagliato: produce un fatto inesistente.</w:t>
      </w:r>
    </w:p>
    <w:p>
      <w:pPr>
        <w:spacing w:after="120" w:line="276"/>
        <w:jc w:val="both"/>
      </w:pPr>
      <w:r>
        <w:rPr>
          <w:rFonts w:ascii="Barlow Semi Condensed" w:cs="Barlow Semi Condensed" w:eastAsia="Barlow Semi Condensed" w:hAnsi="Barlow Semi Condensed"/>
          <w:b/>
          <w:bCs/>
          <w:sz w:val="24"/>
          <w:szCs w:val="24"/>
        </w:rPr>
        <w:t xml:space="preserve">8 · La stringa Harry nel corpus.</w:t>
      </w:r>
      <w:r>
        <w:rPr>
          <w:rFonts w:ascii="Barlow Semi Condensed" w:cs="Barlow Semi Condensed" w:eastAsia="Barlow Semi Condensed" w:hAnsi="Barlow Semi Condensed"/>
          <w:sz w:val="24"/>
          <w:szCs w:val="24"/>
        </w:rPr>
        <w:t xml:space="preserve"> Verifica meccanica, eseguita. La stringa «Harry» compare una sola volta nel branch pubblico, e non riguarda il soggetto di quest'opera: è il ricercatore Harry Cason, citato nella ricognizione portoghese a proposito di un contenzioso FOIA del 2009-2011, e l'occorrenza si ripete solo nell'edizione rilegata dello stesso testo. La stringa «Heinz» compare una volta, in un riferimento bibliografico di tutt'altro dominio.</w:t>
      </w:r>
    </w:p>
    <w:p>
      <w:pPr>
        <w:spacing w:after="120" w:line="276"/>
        <w:jc w:val="both"/>
      </w:pPr>
      <w:r>
        <w:rPr>
          <w:rFonts w:ascii="Barlow Semi Condensed" w:cs="Barlow Semi Condensed" w:eastAsia="Barlow Semi Condensed" w:hAnsi="Barlow Semi Condensed"/>
          <w:b/>
          <w:bCs/>
          <w:sz w:val="24"/>
          <w:szCs w:val="24"/>
        </w:rPr>
        <w:t xml:space="preserve">9 · Perché il falso positivo è peggio del vuoto.</w:t>
      </w:r>
      <w:r>
        <w:rPr>
          <w:rFonts w:ascii="Barlow Semi Condensed" w:cs="Barlow Semi Condensed" w:eastAsia="Barlow Semi Condensed" w:hAnsi="Barlow Semi Condensed"/>
          <w:sz w:val="24"/>
          <w:szCs w:val="24"/>
        </w:rPr>
        <w:t xml:space="preserve"> Uno Stato Zero è un'acquisizione; un falso positivo è un danno. Se la ricerca fosse partita da «Harry», il corpus avrebbe restituito un riscontro — un nome reale, in un documento reale, del tutto estraneo — e un lettore frettoloso ne avrebbe avuto la sensazione della conferma. La regola che ne discende vale per l'intera opera: prima di interrogare l'archivio si verifica la stringa, perché l'archivio risponde a ciò che gli si chiede.</w:t>
      </w:r>
    </w:p>
    <w:p>
      <w:pPr>
        <w:spacing w:after="120" w:line="276"/>
        <w:jc w:val="both"/>
      </w:pPr>
      <w:r>
        <w:rPr>
          <w:rFonts w:ascii="Barlow Semi Condensed" w:cs="Barlow Semi Condensed" w:eastAsia="Barlow Semi Condensed" w:hAnsi="Barlow Semi Condensed"/>
          <w:b/>
          <w:bCs/>
          <w:sz w:val="24"/>
          <w:szCs w:val="24"/>
        </w:rPr>
        <w:t xml:space="preserve">10 · La correzione per nota come istituto.</w:t>
      </w:r>
      <w:r>
        <w:rPr>
          <w:rFonts w:ascii="Barlow Semi Condensed" w:cs="Barlow Semi Condensed" w:eastAsia="Barlow Semi Condensed" w:hAnsi="Barlow Semi Condensed"/>
          <w:sz w:val="24"/>
          <w:szCs w:val="24"/>
        </w:rPr>
        <w:t xml:space="preserve"> Il corpus corregge annotando e non riscrivendo. La Nota di revisione n. 1 lo dimostra: la matrice ACH su via Fani resta nella forma originaria, con la nota che ne dichiara superata una riga dopo che l'ingegner Marini ritrattò davanti ai consulenti la circostanza del parabrezza. Il testo sbagliato non si cancella. Chi cancella l'errore cancella anche la prova di averlo commesso, e con essa la verificabilità del proprio metodo.</w:t>
      </w:r>
    </w:p>
    <w:p>
      <w:pPr>
        <w:spacing w:after="120" w:line="276"/>
        <w:jc w:val="both"/>
      </w:pPr>
      <w:r>
        <w:rPr>
          <w:rFonts w:ascii="Barlow Semi Condensed" w:cs="Barlow Semi Condensed" w:eastAsia="Barlow Semi Condensed" w:hAnsi="Barlow Semi Condensed"/>
          <w:b/>
          <w:bCs/>
          <w:sz w:val="24"/>
          <w:szCs w:val="24"/>
        </w:rPr>
        <w:t xml:space="preserve">11 · Il registro delle correzioni di serie.</w:t>
      </w:r>
      <w:r>
        <w:rPr>
          <w:rFonts w:ascii="Barlow Semi Condensed" w:cs="Barlow Semi Condensed" w:eastAsia="Barlow Semi Condensed" w:hAnsi="Barlow Semi Condensed"/>
          <w:sz w:val="24"/>
          <w:szCs w:val="24"/>
        </w:rPr>
        <w:t xml:space="preserve"> Ogni serie di quest'opera apre e mantiene il proprio registro delle correzioni: che cosa è stato scritto, che cosa emendato, su quale documento, in quale data. La prima voce del registro è quella di apertura, «Harry» per «Henry», e vi resta. Il registro non è un atto di modestia: è lo strumento che consente a un lettore esterno di misurare il tasso di errore dell'opera invece di doverlo supporre.</w:t>
      </w:r>
    </w:p>
    <w:p>
      <w:pPr>
        <w:spacing w:after="120" w:line="276"/>
        <w:jc w:val="both"/>
      </w:pPr>
      <w:r>
        <w:rPr>
          <w:rFonts w:ascii="Barlow Semi Condensed" w:cs="Barlow Semi Condensed" w:eastAsia="Barlow Semi Condensed" w:hAnsi="Barlow Semi Condensed"/>
          <w:b/>
          <w:bCs/>
          <w:sz w:val="24"/>
          <w:szCs w:val="24"/>
        </w:rPr>
        <w:t xml:space="preserve">12 · Una lente si dichiara, non si dimostra.</w:t>
      </w:r>
      <w:r>
        <w:rPr>
          <w:rFonts w:ascii="Barlow Semi Condensed" w:cs="Barlow Semi Condensed" w:eastAsia="Barlow Semi Condensed" w:hAnsi="Barlow Semi Condensed"/>
          <w:sz w:val="24"/>
          <w:szCs w:val="24"/>
        </w:rPr>
        <w:t xml:space="preserve"> «Kissinger rappresenta metaforicamente la genetica» è una chiave dichiarata dal committente. Non è una proposizione sul mondo e non ha valore di verità: non si dimostra e non si confuta. Si dichiara, si usa, si giudica dalla resa. Il corpus ha già trattato così la propria formula maggiore, «una guerra senza fine», tenuta esplicitamente per lente e non per fatto acquisito. La lente entra nell'opera come strumento, mai come premessa.</w:t>
      </w:r>
    </w:p>
    <w:p>
      <w:pPr>
        <w:spacing w:after="120" w:line="276"/>
        <w:jc w:val="both"/>
      </w:pPr>
      <w:r>
        <w:rPr>
          <w:rFonts w:ascii="Barlow Semi Condensed" w:cs="Barlow Semi Condensed" w:eastAsia="Barlow Semi Condensed" w:hAnsi="Barlow Semi Condensed"/>
          <w:b/>
          <w:bCs/>
          <w:sz w:val="24"/>
          <w:szCs w:val="24"/>
        </w:rPr>
        <w:t xml:space="preserve">13 · Come si giudica una lente.</w:t>
      </w:r>
      <w:r>
        <w:rPr>
          <w:rFonts w:ascii="Barlow Semi Condensed" w:cs="Barlow Semi Condensed" w:eastAsia="Barlow Semi Condensed" w:hAnsi="Barlow Semi Condensed"/>
          <w:sz w:val="24"/>
          <w:szCs w:val="24"/>
        </w:rPr>
        <w:t xml:space="preserve"> Una lente non è vera o falsa: è feconda o sterile. Il criterio è unico e verificabile — produce quesiti d'archivio che senza di essa non sarebbero stati formulati? Se sì, si tiene. Se genera soltanto immagini eleganti su fatti già noti, è ornamento e va deposta. Ogni serie dovrà rispondere di quanti bersagli documentali nuovi la metafora le ha fatto scrivere, e il conto sarà fatto in chiusura.</w:t>
      </w:r>
    </w:p>
    <w:p>
      <w:pPr>
        <w:spacing w:after="120" w:line="276"/>
        <w:jc w:val="both"/>
      </w:pPr>
      <w:r>
        <w:rPr>
          <w:rFonts w:ascii="Barlow Semi Condensed" w:cs="Barlow Semi Condensed" w:eastAsia="Barlow Semi Condensed" w:hAnsi="Barlow Semi Condensed"/>
          <w:b/>
          <w:bCs/>
          <w:sz w:val="24"/>
          <w:szCs w:val="24"/>
        </w:rPr>
        <w:t xml:space="preserve">14 · Il criterio di dismissione della lente.</w:t>
      </w:r>
      <w:r>
        <w:rPr>
          <w:rFonts w:ascii="Barlow Semi Condensed" w:cs="Barlow Semi Condensed" w:eastAsia="Barlow Semi Condensed" w:hAnsi="Barlow Semi Condensed"/>
          <w:sz w:val="24"/>
          <w:szCs w:val="24"/>
        </w:rPr>
        <w:t xml:space="preserve"> Si stabilisce qui la condizione alla quale la lente si abbandona: se in una serie la metafora costringe il testo a un'affermazione che la documentazione non regge, cede la metafora e non la documentazione. La lente è subordinata alla prova, mai il contrario. È l'applicazione della disciplina del grado a uno strumento retorico, e serve a impedire che l'architettura del pensiero diventi vincolo del pensiero.</w:t>
      </w:r>
    </w:p>
    <w:p>
      <w:pPr>
        <w:spacing w:after="120" w:line="276"/>
        <w:jc w:val="both"/>
      </w:pPr>
      <w:r>
        <w:rPr>
          <w:rFonts w:ascii="Barlow Semi Condensed" w:cs="Barlow Semi Condensed" w:eastAsia="Barlow Semi Condensed" w:hAnsi="Barlow Semi Condensed"/>
          <w:b/>
          <w:bCs/>
          <w:sz w:val="24"/>
          <w:szCs w:val="24"/>
        </w:rPr>
        <w:t xml:space="preserve">15 · L'immunizzazione, e come si riconosce.</w:t>
      </w:r>
      <w:r>
        <w:rPr>
          <w:rFonts w:ascii="Barlow Semi Condensed" w:cs="Barlow Semi Condensed" w:eastAsia="Barlow Semi Condensed" w:hAnsi="Barlow Semi Condensed"/>
          <w:sz w:val="24"/>
          <w:szCs w:val="24"/>
        </w:rPr>
        <w:t xml:space="preserve"> Il capitolo secondo dell'opera-madre chiama immunizzazione il vizio dell'ipotesi che spiega qualunque evidenza e che nessuna evidenza smentisce. Una metafora onnivora è immunizzante per costruzione: l'espressione differenziale spiega perché un tratto compare, il silenziamento spiega perché non compare. Quando la lente comincia a spiegare anche il proprio contrario ha smesso di essere uno strumento, e il blocco che se ne accorge deve dirlo e fermarla.</w:t>
      </w:r>
    </w:p>
    <w:p>
      <w:pPr>
        <w:spacing w:after="120" w:line="276"/>
        <w:jc w:val="both"/>
      </w:pPr>
      <w:r>
        <w:rPr>
          <w:rFonts w:ascii="Barlow Semi Condensed" w:cs="Barlow Semi Condensed" w:eastAsia="Barlow Semi Condensed" w:hAnsi="Barlow Semi Condensed"/>
          <w:b/>
          <w:bCs/>
          <w:sz w:val="24"/>
          <w:szCs w:val="24"/>
        </w:rPr>
        <w:t xml:space="preserve">16 · Ornamento contro architettura.</w:t>
      </w:r>
      <w:r>
        <w:rPr>
          <w:rFonts w:ascii="Barlow Semi Condensed" w:cs="Barlow Semi Condensed" w:eastAsia="Barlow Semi Condensed" w:hAnsi="Barlow Semi Condensed"/>
          <w:sz w:val="24"/>
          <w:szCs w:val="24"/>
        </w:rPr>
        <w:t xml:space="preserve"> La differenza fra metafora ornamentale e metafora architettonica è operativa. L'ornamento riformula in linguaggio biologico ciò che era già stato stabilito in linguaggio storiografico, e non aggiunge nulla. L'architettura genera una domanda che il vocabolario ordinario non aveva prodotto — per esempio se un legame documentato sia omologo o analogo — e la porta in archivio. Quest'opera si impegna alla seconda e si vieta la prima.</w:t>
      </w:r>
    </w:p>
    <w:p>
      <w:pPr>
        <w:spacing w:after="120" w:line="276"/>
        <w:jc w:val="both"/>
      </w:pPr>
      <w:r>
        <w:rPr>
          <w:rFonts w:ascii="Barlow Semi Condensed" w:cs="Barlow Semi Condensed" w:eastAsia="Barlow Semi Condensed" w:hAnsi="Barlow Semi Condensed"/>
          <w:b/>
          <w:bCs/>
          <w:sz w:val="24"/>
          <w:szCs w:val="24"/>
        </w:rPr>
        <w:t xml:space="preserve">17 · Che cosa la genetica autorizza a chiedere.</w:t>
      </w:r>
      <w:r>
        <w:rPr>
          <w:rFonts w:ascii="Barlow Semi Condensed" w:cs="Barlow Semi Condensed" w:eastAsia="Barlow Semi Condensed" w:hAnsi="Barlow Semi Condensed"/>
          <w:sz w:val="24"/>
          <w:szCs w:val="24"/>
        </w:rPr>
        <w:t xml:space="preserve"> La lente autorizza tre domande, e sono le sole. Che cosa si trasmette, e per quale canale documentato. Che cosa varia nella trasmissione, e in che punto la copia diverge dall'originale. Quale ambiente rende un tratto espresso oppure silente. Sono tre domande che si rivolgono a documenti e ricevono risposte d'archivio; ogni altra domanda posta in nome della metafora è fuori mandato e va respinta come tale.</w:t>
      </w:r>
    </w:p>
    <w:p>
      <w:pPr>
        <w:spacing w:after="120" w:line="276"/>
        <w:jc w:val="both"/>
      </w:pPr>
      <w:r>
        <w:rPr>
          <w:rFonts w:ascii="Barlow Semi Condensed" w:cs="Barlow Semi Condensed" w:eastAsia="Barlow Semi Condensed" w:hAnsi="Barlow Semi Condensed"/>
          <w:b/>
          <w:bCs/>
          <w:sz w:val="24"/>
          <w:szCs w:val="24"/>
        </w:rPr>
        <w:t xml:space="preserve">18 · Che cosa la genetica vieta.</w:t>
      </w:r>
      <w:r>
        <w:rPr>
          <w:rFonts w:ascii="Barlow Semi Condensed" w:cs="Barlow Semi Condensed" w:eastAsia="Barlow Semi Condensed" w:hAnsi="Barlow Semi Condensed"/>
          <w:sz w:val="24"/>
          <w:szCs w:val="24"/>
        </w:rPr>
        <w:t xml:space="preserve"> La lente vieta due cose, e il divieto è assoluto. Vieta il determinismo: da una dottrina, da una scuola o da un incarico non discende una condotta. Vieta la colpa ereditaria: nessuno risponde di ciò che un predecessore, un maestro o un apparato abbia fatto. Il secondo divieto ha in Italia rango costituzionale, poiché la responsabilità penale è personale, e nell'opera precede ogni altra regola di lettura.</w:t>
      </w:r>
    </w:p>
    <w:p>
      <w:pPr>
        <w:spacing w:after="120" w:line="276"/>
        <w:jc w:val="both"/>
      </w:pPr>
      <w:r>
        <w:rPr>
          <w:rFonts w:ascii="Barlow Semi Condensed" w:cs="Barlow Semi Condensed" w:eastAsia="Barlow Semi Condensed" w:hAnsi="Barlow Semi Condensed"/>
          <w:b/>
          <w:bCs/>
          <w:sz w:val="24"/>
          <w:szCs w:val="24"/>
        </w:rPr>
        <w:t xml:space="preserve">19 · Il passato tossico della metafora biologica.</w:t>
      </w:r>
      <w:r>
        <w:rPr>
          <w:rFonts w:ascii="Barlow Semi Condensed" w:cs="Barlow Semi Condensed" w:eastAsia="Barlow Semi Condensed" w:hAnsi="Barlow Semi Condensed"/>
          <w:sz w:val="24"/>
          <w:szCs w:val="24"/>
        </w:rPr>
        <w:t xml:space="preserve"> Va nominato prima di usarla. Il lessico biologico applicato alle società ha una storia documentata di abusi — organicismo, degenerazione, purezza dei ceppi — che non è un incidente del linguaggio ma la sua deriva naturale quando si passa dagli individui alle collettività. La metafora si adotta qui sapendolo, con il vincolo che ne discende: si applica a documenti e a legami, mai a popoli, a stirpi o a comunità.</w:t>
      </w:r>
    </w:p>
    <w:p>
      <w:pPr>
        <w:spacing w:after="120" w:line="276"/>
        <w:jc w:val="both"/>
      </w:pPr>
      <w:r>
        <w:rPr>
          <w:rFonts w:ascii="Barlow Semi Condensed" w:cs="Barlow Semi Condensed" w:eastAsia="Barlow Semi Condensed" w:hAnsi="Barlow Semi Condensed"/>
          <w:b/>
          <w:bCs/>
          <w:sz w:val="24"/>
          <w:szCs w:val="24"/>
        </w:rPr>
        <w:t xml:space="preserve">20 · Il rischio specifico in storiografia.</w:t>
      </w:r>
      <w:r>
        <w:rPr>
          <w:rFonts w:ascii="Barlow Semi Condensed" w:cs="Barlow Semi Condensed" w:eastAsia="Barlow Semi Condensed" w:hAnsi="Barlow Semi Condensed"/>
          <w:sz w:val="24"/>
          <w:szCs w:val="24"/>
        </w:rPr>
        <w:t xml:space="preserve"> Il rischio proprio della metafora biologica nella ricerca storica è la naturalizzazione: fatti prodotti da decisioni umane, revocabili e imputabili, appaiono processi organici che accadono da sé. Una politica diventa un tratto, una decisione un'espressione, una responsabilità una predisposizione. È l'esatto contrario di ciò che serve al caso Moro, dove il punto è distinguere chi decise da chi si trovò presente. Ogni blocco dovrà resistere a questa attrazione.</w:t>
      </w:r>
    </w:p>
    <w:p>
      <w:pPr>
        <w:spacing w:after="120" w:line="276"/>
        <w:jc w:val="both"/>
      </w:pPr>
      <w:r>
        <w:rPr>
          <w:rFonts w:ascii="Barlow Semi Condensed" w:cs="Barlow Semi Condensed" w:eastAsia="Barlow Semi Condensed" w:hAnsi="Barlow Semi Condensed"/>
          <w:b/>
          <w:bCs/>
          <w:sz w:val="24"/>
          <w:szCs w:val="24"/>
        </w:rPr>
        <w:t xml:space="preserve">21 · Genotipo e fenotipo, tradotti.</w:t>
      </w:r>
      <w:r>
        <w:rPr>
          <w:rFonts w:ascii="Barlow Semi Condensed" w:cs="Barlow Semi Condensed" w:eastAsia="Barlow Semi Condensed" w:hAnsi="Barlow Semi Condensed"/>
          <w:sz w:val="24"/>
          <w:szCs w:val="24"/>
        </w:rPr>
        <w:t xml:space="preserve"> Nel corpus il genotipo è il documento: ciò che l'archivio conserva, con protocollo e segnatura. Il fenotipo è ciò che di quel documento si vede in pubblico — la citazione, la sintesi giornalistica, la memoria collettiva. Il fenotipo è sempre più abbondante del genotipo e non lo determina. La regola operativa è che si risale sempre al genotipo e che una discordanza fra i due si registra come divergenza, non si risolve in silenzio.</w:t>
      </w:r>
    </w:p>
    <w:p>
      <w:pPr>
        <w:spacing w:after="120" w:line="276"/>
        <w:jc w:val="both"/>
      </w:pPr>
      <w:r>
        <w:rPr>
          <w:rFonts w:ascii="Barlow Semi Condensed" w:cs="Barlow Semi Condensed" w:eastAsia="Barlow Semi Condensed" w:hAnsi="Barlow Semi Condensed"/>
          <w:b/>
          <w:bCs/>
          <w:sz w:val="24"/>
          <w:szCs w:val="24"/>
        </w:rPr>
        <w:t xml:space="preserve">22 · Omologia contro analogia.</w:t>
      </w:r>
      <w:r>
        <w:rPr>
          <w:rFonts w:ascii="Barlow Semi Condensed" w:cs="Barlow Semi Condensed" w:eastAsia="Barlow Semi Condensed" w:hAnsi="Barlow Semi Condensed"/>
          <w:sz w:val="24"/>
          <w:szCs w:val="24"/>
        </w:rPr>
        <w:t xml:space="preserve"> È la distinzione più utile che la lente consegna, e coincide con la regola dei tre piani. Omologia è somiglianza per discendenza comune documentata, cioè il piano 1, il rapporto diretto provato. Analogia è somiglianza per funzione, prodotta da pressioni simili su linee indipendenti, cioè il piano 2, la convergenza strutturale entro la stessa cornice. Confondere le due è, in biologia come qui, l'errore che genera alberi falsi.</w:t>
      </w:r>
    </w:p>
    <w:p>
      <w:pPr>
        <w:spacing w:after="120" w:line="276"/>
        <w:jc w:val="both"/>
      </w:pPr>
      <w:r>
        <w:rPr>
          <w:rFonts w:ascii="Barlow Semi Condensed" w:cs="Barlow Semi Condensed" w:eastAsia="Barlow Semi Condensed" w:hAnsi="Barlow Semi Condensed"/>
          <w:b/>
          <w:bCs/>
          <w:sz w:val="24"/>
          <w:szCs w:val="24"/>
        </w:rPr>
        <w:t xml:space="preserve">23 · L'analogia non si promuove mai.</w:t>
      </w:r>
      <w:r>
        <w:rPr>
          <w:rFonts w:ascii="Barlow Semi Condensed" w:cs="Barlow Semi Condensed" w:eastAsia="Barlow Semi Condensed" w:hAnsi="Barlow Semi Condensed"/>
          <w:sz w:val="24"/>
          <w:szCs w:val="24"/>
        </w:rPr>
        <w:t xml:space="preserve"> In sistematica un carattere analogo non diventa omologo per accumulo: cento analogie non fanno una discendenza. Nel corpus vale identico, e nessun numero di convergenze di piano 2 produce un nesso di piano 1. La promozione avviene solo per documento, e il documento è di genere diverso dalle convergenze che pretende di sostituire. Chi somma somiglianze non sta rafforzando una prova: sta costruendo una filogenesi immaginaria.</w:t>
      </w:r>
    </w:p>
    <w:p>
      <w:pPr>
        <w:spacing w:after="120" w:line="276"/>
        <w:jc w:val="both"/>
      </w:pPr>
      <w:r>
        <w:rPr>
          <w:rFonts w:ascii="Barlow Semi Condensed" w:cs="Barlow Semi Condensed" w:eastAsia="Barlow Semi Condensed" w:hAnsi="Barlow Semi Condensed"/>
          <w:b/>
          <w:bCs/>
          <w:sz w:val="24"/>
          <w:szCs w:val="24"/>
        </w:rPr>
        <w:t xml:space="preserve">24 · Il piano terzo e la fonte terziaria.</w:t>
      </w:r>
      <w:r>
        <w:rPr>
          <w:rFonts w:ascii="Barlow Semi Condensed" w:cs="Barlow Semi Condensed" w:eastAsia="Barlow Semi Condensed" w:hAnsi="Barlow Semi Condensed"/>
          <w:sz w:val="24"/>
          <w:szCs w:val="24"/>
        </w:rPr>
        <w:t xml:space="preserve"> Il piano 3 è l'affermazione priva di riscontro, che circola perché è stata ripetuta. Nella metafora corrisponde alla copia di una copia il cui originale non è più reperibile. Si registra come tale — la sua esistenza è un fatto sulla circolazione, non sul mondo — e non si usa mai come anello di un cammino. Il corpus vieta inoltre due sedi determinate come fonti: il quotidiano il manifesto e l'enciclopedia Grokipedia.</w:t>
      </w:r>
    </w:p>
    <w:p>
      <w:pPr>
        <w:spacing w:after="120" w:line="276"/>
        <w:jc w:val="both"/>
      </w:pPr>
      <w:r>
        <w:rPr>
          <w:rFonts w:ascii="Barlow Semi Condensed" w:cs="Barlow Semi Condensed" w:eastAsia="Barlow Semi Condensed" w:hAnsi="Barlow Semi Condensed"/>
          <w:b/>
          <w:bCs/>
          <w:sz w:val="24"/>
          <w:szCs w:val="24"/>
        </w:rPr>
        <w:t xml:space="preserve">25 · Replicazione e tasso d'errore.</w:t>
      </w:r>
      <w:r>
        <w:rPr>
          <w:rFonts w:ascii="Barlow Semi Condensed" w:cs="Barlow Semi Condensed" w:eastAsia="Barlow Semi Condensed" w:hAnsi="Barlow Semi Condensed"/>
          <w:sz w:val="24"/>
          <w:szCs w:val="24"/>
        </w:rPr>
        <w:t xml:space="preserve"> Ogni copia introduce errore, e la storiografia ne è fatta: verbali trascritti, telegrammi cifrati e decifrati, riconoscimenti ottici, traduzioni, citazioni di seconda mano. Il corpus conserva l'OCR grezzo dei documenti del Dipartimento di Stato accanto alla trascrizione ordinata proprio per questa ragione. La regola è che la catena di copia si dichiara sempre, perché un'affermazione vale quanto il numero di passaggi che la separa dal documento.</w:t>
      </w:r>
    </w:p>
    <w:p>
      <w:pPr>
        <w:spacing w:after="120" w:line="276"/>
        <w:jc w:val="both"/>
      </w:pPr>
      <w:r>
        <w:rPr>
          <w:rFonts w:ascii="Barlow Semi Condensed" w:cs="Barlow Semi Condensed" w:eastAsia="Barlow Semi Condensed" w:hAnsi="Barlow Semi Condensed"/>
          <w:b/>
          <w:bCs/>
          <w:sz w:val="24"/>
          <w:szCs w:val="24"/>
        </w:rPr>
        <w:t xml:space="preserve">26 · L'espressione differenziale secondo l'ambiente.</w:t>
      </w:r>
      <w:r>
        <w:rPr>
          <w:rFonts w:ascii="Barlow Semi Condensed" w:cs="Barlow Semi Condensed" w:eastAsia="Barlow Semi Condensed" w:hAnsi="Barlow Semi Condensed"/>
          <w:sz w:val="24"/>
          <w:szCs w:val="24"/>
        </w:rPr>
        <w:t xml:space="preserve"> Lo stesso orientamento produce atti diversi in ambienti diversi, e il corpus ne ha esempi datati. Nel marzo 1969 il Comitato dei 303 conviene all'unanimità che non vi sia «real justification for resumption of covert funding»; nel novembre 1975 e nel luglio 1976 il programma di azione coperta in Italia riemerge. Stesso apparato, esiti opposti. La domanda che la lente autorizza è quale variabile d'ambiente sia cambiata, e la risposta si cerca in archivio.</w:t>
      </w:r>
    </w:p>
    <w:p>
      <w:pPr>
        <w:spacing w:after="120" w:line="276"/>
        <w:jc w:val="both"/>
      </w:pPr>
      <w:r>
        <w:rPr>
          <w:rFonts w:ascii="Barlow Semi Condensed" w:cs="Barlow Semi Condensed" w:eastAsia="Barlow Semi Condensed" w:hAnsi="Barlow Semi Condensed"/>
          <w:b/>
          <w:bCs/>
          <w:sz w:val="24"/>
          <w:szCs w:val="24"/>
        </w:rPr>
        <w:t xml:space="preserve">27 · Epigenetica: accendere senza riscrivere.</w:t>
      </w:r>
      <w:r>
        <w:rPr>
          <w:rFonts w:ascii="Barlow Semi Condensed" w:cs="Barlow Semi Condensed" w:eastAsia="Barlow Semi Condensed" w:hAnsi="Barlow Semi Condensed"/>
          <w:sz w:val="24"/>
          <w:szCs w:val="24"/>
        </w:rPr>
        <w:t xml:space="preserve"> L'epigenetica descrive tratti attivati o silenziati senza mutamento del codice. È la figura giusta per una prassi che cambia mentre la norma resta ferma: nessuna direttiva nuova, un'attuazione diversa. Nel corpus corrisponde ai casi in cui l'atto formale tace e la condotta parla, e impone la cautela speculare — dall'assenza di norma non si inferisce condotta, e dalla condotta non si inferisce una norma occulta.</w:t>
      </w:r>
    </w:p>
    <w:p>
      <w:pPr>
        <w:spacing w:after="120" w:line="276"/>
        <w:jc w:val="both"/>
      </w:pPr>
      <w:r>
        <w:rPr>
          <w:rFonts w:ascii="Barlow Semi Condensed" w:cs="Barlow Semi Condensed" w:eastAsia="Barlow Semi Condensed" w:hAnsi="Barlow Semi Condensed"/>
          <w:b/>
          <w:bCs/>
          <w:sz w:val="24"/>
          <w:szCs w:val="24"/>
        </w:rPr>
        <w:t xml:space="preserve">28 · Il DNA non codificante.</w:t>
      </w:r>
      <w:r>
        <w:rPr>
          <w:rFonts w:ascii="Barlow Semi Condensed" w:cs="Barlow Semi Condensed" w:eastAsia="Barlow Semi Condensed" w:hAnsi="Barlow Semi Condensed"/>
          <w:sz w:val="24"/>
          <w:szCs w:val="24"/>
        </w:rPr>
        <w:t xml:space="preserve"> Gran parte di un archivio non esprime nulla: protocolli di trasmissione, note di cortesia, ordini del giorno, elenchi di presenze. La biologia ha imparato tardi che il non codificante non è scarto e svolge funzioni regolative. La traduzione operativa è duplice: non si getta il materiale muto, perché documenta la struttura; e non lo si legge come se parlasse, perché la maggior parte davvero non dice nulla.</w:t>
      </w:r>
    </w:p>
    <w:p>
      <w:pPr>
        <w:spacing w:after="120" w:line="276"/>
        <w:jc w:val="both"/>
      </w:pPr>
      <w:r>
        <w:rPr>
          <w:rFonts w:ascii="Barlow Semi Condensed" w:cs="Barlow Semi Condensed" w:eastAsia="Barlow Semi Condensed" w:hAnsi="Barlow Semi Condensed"/>
          <w:b/>
          <w:bCs/>
          <w:sz w:val="24"/>
          <w:szCs w:val="24"/>
        </w:rPr>
        <w:t xml:space="preserve">29 · Filogenesi e lettura all'indietro.</w:t>
      </w:r>
      <w:r>
        <w:rPr>
          <w:rFonts w:ascii="Barlow Semi Condensed" w:cs="Barlow Semi Condensed" w:eastAsia="Barlow Semi Condensed" w:hAnsi="Barlow Semi Condensed"/>
          <w:sz w:val="24"/>
          <w:szCs w:val="24"/>
        </w:rPr>
        <w:t xml:space="preserve"> Un albero filogenetico si costruisce dai caratteri e si legge dalle radici verso le foglie. L'errore ricorrente è leggerlo al contrario: partire dall'esito noto e ricostruire una discendenza che lo giustifichi. È la forma tecnica della dietrologia. Il corpus lo ha già enunciato nel proprio lessico — la contemporaneità non è prova di nesso — e la lente non aggiunge un divieto nuovo: gli dà una figura più difficile da dimenticare.</w:t>
      </w:r>
    </w:p>
    <w:p>
      <w:pPr>
        <w:spacing w:after="120" w:line="276"/>
        <w:jc w:val="both"/>
      </w:pPr>
      <w:r>
        <w:rPr>
          <w:rFonts w:ascii="Barlow Semi Condensed" w:cs="Barlow Semi Condensed" w:eastAsia="Barlow Semi Condensed" w:hAnsi="Barlow Semi Condensed"/>
          <w:b/>
          <w:bCs/>
          <w:sz w:val="24"/>
          <w:szCs w:val="24"/>
        </w:rPr>
        <w:t xml:space="preserve">30 · La deriva, e perché conta.</w:t>
      </w:r>
      <w:r>
        <w:rPr>
          <w:rFonts w:ascii="Barlow Semi Condensed" w:cs="Barlow Semi Condensed" w:eastAsia="Barlow Semi Condensed" w:hAnsi="Barlow Semi Condensed"/>
          <w:sz w:val="24"/>
          <w:szCs w:val="24"/>
        </w:rPr>
        <w:t xml:space="preserve"> In popolazioni piccole la frequenza di un tratto cambia per caso, senza alcuna selezione. È la figura che manca alla pubblicistica del caso: la coincidenza strutturale, l'incontro che avviene perché il numero degli attori è ridotto e non perché qualcuno lo abbia disposto. Negli ambienti diplomatici e politici degli anni Settanta il campione era piccolo. Prima di leggere una prossimità come segno si valuti che cosa la casualità produrrebbe da sola.</w:t>
      </w:r>
    </w:p>
    <w:p>
      <w:pPr>
        <w:spacing w:after="120" w:line="276"/>
        <w:jc w:val="both"/>
      </w:pPr>
      <w:r>
        <w:rPr>
          <w:rFonts w:ascii="Barlow Semi Condensed" w:cs="Barlow Semi Condensed" w:eastAsia="Barlow Semi Condensed" w:hAnsi="Barlow Semi Condensed"/>
          <w:b/>
          <w:bCs/>
          <w:sz w:val="24"/>
          <w:szCs w:val="24"/>
        </w:rPr>
        <w:t xml:space="preserve">31 · Il vettore e il messaggio.</w:t>
      </w:r>
      <w:r>
        <w:rPr>
          <w:rFonts w:ascii="Barlow Semi Condensed" w:cs="Barlow Semi Condensed" w:eastAsia="Barlow Semi Condensed" w:hAnsi="Barlow Semi Condensed"/>
          <w:sz w:val="24"/>
          <w:szCs w:val="24"/>
        </w:rPr>
        <w:t xml:space="preserve"> Il corpus possiede già un vettore documentato: Giangiacomo Feltrinelli, che trasmise l'immagine di Guevara scattata da Korda e il Diario boliviano, e il cui trasmettere cambiò la natura di ciò che trasmetteva. La lente lo rende preciso. Un vettore non è un mandante, è un canale, e ciò che passa in un canale viene alterato dal passaggio. Un'eredità che degenera non è una catena di comando, ed è tutto ciò che il corpus ha stabilito.</w:t>
      </w:r>
    </w:p>
    <w:p>
      <w:pPr>
        <w:spacing w:after="120" w:line="276"/>
        <w:jc w:val="both"/>
      </w:pPr>
      <w:r>
        <w:rPr>
          <w:rFonts w:ascii="Barlow Semi Condensed" w:cs="Barlow Semi Condensed" w:eastAsia="Barlow Semi Condensed" w:hAnsi="Barlow Semi Condensed"/>
          <w:b/>
          <w:bCs/>
          <w:sz w:val="24"/>
          <w:szCs w:val="24"/>
        </w:rPr>
        <w:t xml:space="preserve">32 · Il nodo non è la persona.</w:t>
      </w:r>
      <w:r>
        <w:rPr>
          <w:rFonts w:ascii="Barlow Semi Condensed" w:cs="Barlow Semi Condensed" w:eastAsia="Barlow Semi Condensed" w:hAnsi="Barlow Semi Condensed"/>
          <w:sz w:val="24"/>
          <w:szCs w:val="24"/>
        </w:rPr>
        <w:t xml:space="preserve"> Un nodo è un punto di una rete costruita su archi documentati; una persona è un soggetto di diritto. Il nodo si misura, si connette, si colloca; la persona si giudica, e solo in tribunale. Quando quest'opera scrive «Kissinger» dentro una figura di rete nomina un nodo documentale, cioè l'insieme dei documenti in cui quel nome ricorre, e non emette alcun enunciato sull'uomo. La distinzione va ripetuta ogni volta che la figura torna.</w:t>
      </w:r>
    </w:p>
    <w:p>
      <w:pPr>
        <w:spacing w:after="120" w:line="276"/>
        <w:jc w:val="both"/>
      </w:pPr>
      <w:r>
        <w:rPr>
          <w:rFonts w:ascii="Barlow Semi Condensed" w:cs="Barlow Semi Condensed" w:eastAsia="Barlow Semi Condensed" w:hAnsi="Barlow Semi Condensed"/>
          <w:b/>
          <w:bCs/>
          <w:sz w:val="24"/>
          <w:szCs w:val="24"/>
        </w:rPr>
        <w:t xml:space="preserve">33 · L'avvertenza che precede l'intera opera.</w:t>
      </w:r>
      <w:r>
        <w:rPr>
          <w:rFonts w:ascii="Barlow Semi Condensed" w:cs="Barlow Semi Condensed" w:eastAsia="Barlow Semi Condensed" w:hAnsi="Barlow Semi Condensed"/>
          <w:sz w:val="24"/>
          <w:szCs w:val="24"/>
        </w:rPr>
        <w:t xml:space="preserve"> Henry Alfred Kissinger non è stato condannato in alcun processo. Nessun blocco di quest'opera, in nessuna delle mille unità previste, lo indica come responsabile di reato, e nessuno potrà essere citato in quel senso. La regola non vale per lui in quanto tale: vale per chiunque, ed è la disciplina che il corpus applica dal primo capitolo — nessuna persona è indicata come responsabile oltre il giudicato definitivo.</w:t>
      </w:r>
    </w:p>
    <w:p>
      <w:pPr>
        <w:spacing w:after="120" w:line="276"/>
        <w:jc w:val="both"/>
      </w:pPr>
      <w:r>
        <w:rPr>
          <w:rFonts w:ascii="Barlow Semi Condensed" w:cs="Barlow Semi Condensed" w:eastAsia="Barlow Semi Condensed" w:hAnsi="Barlow Semi Condensed"/>
          <w:b/>
          <w:bCs/>
          <w:sz w:val="24"/>
          <w:szCs w:val="24"/>
        </w:rPr>
        <w:t xml:space="preserve">34 · Responsabilità politica e responsabilità penale.</w:t>
      </w:r>
      <w:r>
        <w:rPr>
          <w:rFonts w:ascii="Barlow Semi Condensed" w:cs="Barlow Semi Condensed" w:eastAsia="Barlow Semi Condensed" w:hAnsi="Barlow Semi Condensed"/>
          <w:sz w:val="24"/>
          <w:szCs w:val="24"/>
        </w:rPr>
        <w:t xml:space="preserve"> Il corpus registra come documentata la responsabilità primaria di apparati statunitensi nella caduta di Salvador Allende l'11 settembre 1973, sotto la supervisione del Segretario di Stato. È un enunciato storico-politico su un apparato, di grado A come contesto. Non è, e non può diventare, un accertamento di responsabilità penale personale. Le due proposizioni hanno soggetti diversi, sedi diverse e standard di prova diversi, e vanno tenute su righe separate.</w:t>
      </w:r>
    </w:p>
    <w:p>
      <w:pPr>
        <w:spacing w:after="120" w:line="276"/>
        <w:jc w:val="both"/>
      </w:pPr>
      <w:r>
        <w:rPr>
          <w:rFonts w:ascii="Barlow Semi Condensed" w:cs="Barlow Semi Condensed" w:eastAsia="Barlow Semi Condensed" w:hAnsi="Barlow Semi Condensed"/>
          <w:b/>
          <w:bCs/>
          <w:sz w:val="24"/>
          <w:szCs w:val="24"/>
        </w:rPr>
        <w:t xml:space="preserve">35 · Perché proprio questo nodo.</w:t>
      </w:r>
      <w:r>
        <w:rPr>
          <w:rFonts w:ascii="Barlow Semi Condensed" w:cs="Barlow Semi Condensed" w:eastAsia="Barlow Semi Condensed" w:hAnsi="Barlow Semi Condensed"/>
          <w:sz w:val="24"/>
          <w:szCs w:val="24"/>
        </w:rPr>
        <w:t xml:space="preserve"> Su Kissinger la tentazione combinatoria è massima per una ragione misurabile: fra il 1969 e il 1977 tenne, e per circa due anni cumulò, le due cariche che concentrano l'informazione — consigliere per la sicurezza nazionale e Segretario di Stato — sicché il suo nome compare per ufficio nei verbali di ogni dossier. L'ubiquità documentale è un effetto della posizione, non un indizio. Chi la scambia per indizio ha confuso l'organigramma con la trama.</w:t>
      </w:r>
    </w:p>
    <w:p>
      <w:pPr>
        <w:spacing w:after="120" w:line="276"/>
        <w:jc w:val="both"/>
      </w:pPr>
      <w:r>
        <w:rPr>
          <w:rFonts w:ascii="Barlow Semi Condensed" w:cs="Barlow Semi Condensed" w:eastAsia="Barlow Semi Condensed" w:hAnsi="Barlow Semi Condensed"/>
          <w:b/>
          <w:bCs/>
          <w:sz w:val="24"/>
          <w:szCs w:val="24"/>
        </w:rPr>
        <w:t xml:space="preserve">36 · L'archivio ipertrofico.</w:t>
      </w:r>
      <w:r>
        <w:rPr>
          <w:rFonts w:ascii="Barlow Semi Condensed" w:cs="Barlow Semi Condensed" w:eastAsia="Barlow Semi Condensed" w:hAnsi="Barlow Semi Condensed"/>
          <w:sz w:val="24"/>
          <w:szCs w:val="24"/>
        </w:rPr>
        <w:t xml:space="preserve"> A quella posizione corrisponde un giacimento anomalo: i memoranda of conversation della Ford Library, i volumi FRUS, le trascrizioni dei colloqui. Un nome così documentato produce sempre un riscontro per qualunque ipotesi lo si interroghi, ed è precisamente questo a renderlo insidioso. La ricchezza dell'archivio non conferma: aumenta la probabilità di trovare qualcosa che somigli a ciò che si cerca. Il rimedio è formulare il quesito prima di aprire il fondo.</w:t>
      </w:r>
    </w:p>
    <w:p>
      <w:pPr>
        <w:spacing w:after="120" w:line="276"/>
        <w:jc w:val="both"/>
      </w:pPr>
      <w:r>
        <w:rPr>
          <w:rFonts w:ascii="Barlow Semi Condensed" w:cs="Barlow Semi Condensed" w:eastAsia="Barlow Semi Condensed" w:hAnsi="Barlow Semi Condensed"/>
          <w:b/>
          <w:bCs/>
          <w:sz w:val="24"/>
          <w:szCs w:val="24"/>
        </w:rPr>
        <w:t xml:space="preserve">37 · Il piano uno, con segnatura.</w:t>
      </w:r>
      <w:r>
        <w:rPr>
          <w:rFonts w:ascii="Barlow Semi Condensed" w:cs="Barlow Semi Condensed" w:eastAsia="Barlow Semi Condensed" w:hAnsi="Barlow Semi Condensed"/>
          <w:sz w:val="24"/>
          <w:szCs w:val="24"/>
        </w:rPr>
        <w:t xml:space="preserve"> Esiste un rapporto diretto documentato fra Moro e Kissinger, ed è uno: il memorandum of conversation del 25 settembre 1974 nello Studio Ovale fra Giovanni Leone, Aldo Moro, Gerald Ford e Henry Kissinger, con Brent Scowcroft, alla Ford Library doc. 1552802, edito in FRUS 1969-1976 vol. E-15 part 2 doc. 350, cui si aggiunge il verbale del colloquio del 26 settembre, doc. 1552806. Grado A. È il piano 1, e ha una segnatura.</w:t>
      </w:r>
    </w:p>
    <w:p>
      <w:pPr>
        <w:spacing w:after="120" w:line="276"/>
        <w:jc w:val="both"/>
      </w:pPr>
      <w:r>
        <w:rPr>
          <w:rFonts w:ascii="Barlow Semi Condensed" w:cs="Barlow Semi Condensed" w:eastAsia="Barlow Semi Condensed" w:hAnsi="Barlow Semi Condensed"/>
          <w:b/>
          <w:bCs/>
          <w:sz w:val="24"/>
          <w:szCs w:val="24"/>
        </w:rPr>
        <w:t xml:space="preserve">38 · Che cosa quel documento attesta.</w:t>
      </w:r>
      <w:r>
        <w:rPr>
          <w:rFonts w:ascii="Barlow Semi Condensed" w:cs="Barlow Semi Condensed" w:eastAsia="Barlow Semi Condensed" w:hAnsi="Barlow Semi Condensed"/>
          <w:sz w:val="24"/>
          <w:szCs w:val="24"/>
        </w:rPr>
        <w:t xml:space="preserve"> Il documento attesta la posizione di Kissinger sul PCI espressa a Ford alla vigilia: che agli italiani si dovesse dire «tough» che qualunque presenza comunista al governo avrebbe mutato le relazioni, con una valutazione sul rischio di contagio in Francia, Germania e Grecia. La ricognizione del corpus aggiunge il limite da conservare in ogni ripresa: il documento non attesta una posizione di Moro sul medesimo punto in quella sede, e non la si inferisca.</w:t>
      </w:r>
    </w:p>
    <w:p>
      <w:pPr>
        <w:spacing w:after="120" w:line="276"/>
        <w:jc w:val="both"/>
      </w:pPr>
      <w:r>
        <w:rPr>
          <w:rFonts w:ascii="Barlow Semi Condensed" w:cs="Barlow Semi Condensed" w:eastAsia="Barlow Semi Condensed" w:hAnsi="Barlow Semi Condensed"/>
          <w:b/>
          <w:bCs/>
          <w:sz w:val="24"/>
          <w:szCs w:val="24"/>
        </w:rPr>
        <w:t xml:space="preserve">39 · La contemporaneità apparente del 1969.</w:t>
      </w:r>
      <w:r>
        <w:rPr>
          <w:rFonts w:ascii="Barlow Semi Condensed" w:cs="Barlow Semi Condensed" w:eastAsia="Barlow Semi Condensed" w:hAnsi="Barlow Semi Condensed"/>
          <w:sz w:val="24"/>
          <w:szCs w:val="24"/>
        </w:rPr>
        <w:t xml:space="preserve"> La riunione del Comitato dei 303 dell'11 marzo 1969, presieduta da Kissinger — FRUS vol. XLI doc. 180, con Karamessines a illustrare il programma di sostegno coperto ai partiti italiani dal 1948 al 1968 — precede di quasi cinque mesi l'insediamento di Moro alla Farnesina, avvenuto il 5 agosto 1969. La ricognizione lo dichiara: la contemporaneità è solo apparente e non va trattata come nesso. È il caso di scuola della quinta regola.</w:t>
      </w:r>
    </w:p>
    <w:p>
      <w:pPr>
        <w:spacing w:after="120" w:line="276"/>
        <w:jc w:val="both"/>
      </w:pPr>
      <w:r>
        <w:rPr>
          <w:rFonts w:ascii="Barlow Semi Condensed" w:cs="Barlow Semi Condensed" w:eastAsia="Barlow Semi Condensed" w:hAnsi="Barlow Semi Condensed"/>
          <w:b/>
          <w:bCs/>
          <w:sz w:val="24"/>
          <w:szCs w:val="24"/>
        </w:rPr>
        <w:t xml:space="preserve">40 · L'istruzione del dicembre 1969.</w:t>
      </w:r>
      <w:r>
        <w:rPr>
          <w:rFonts w:ascii="Barlow Semi Condensed" w:cs="Barlow Semi Condensed" w:eastAsia="Barlow Semi Condensed" w:hAnsi="Barlow Semi Condensed"/>
          <w:sz w:val="24"/>
          <w:szCs w:val="24"/>
        </w:rPr>
        <w:t xml:space="preserve"> Il documento 188 del medesimo volume registra l'istruzione di Nixon del dicembre 1969 di avviare uno «study on Italy». È un fatto pubblico datato e sta al piano 1 rispetto a sé stesso: attesta che uno studio fu ordinato. Non attesta il suo contenuto, i suoi esiti né alcun rapporto con persone italiane determinate. Il quesito che ne discende è reperire lo studio e i suoi allegati presso i National Archives di College Park.</w:t>
      </w:r>
    </w:p>
    <w:p>
      <w:pPr>
        <w:spacing w:after="120" w:line="276"/>
        <w:jc w:val="both"/>
      </w:pPr>
      <w:r>
        <w:rPr>
          <w:rFonts w:ascii="Barlow Semi Condensed" w:cs="Barlow Semi Condensed" w:eastAsia="Barlow Semi Condensed" w:hAnsi="Barlow Semi Condensed"/>
          <w:b/>
          <w:bCs/>
          <w:sz w:val="24"/>
          <w:szCs w:val="24"/>
        </w:rPr>
        <w:t xml:space="preserve">41 · Le Azzorre, giugno 1974.</w:t>
      </w:r>
      <w:r>
        <w:rPr>
          <w:rFonts w:ascii="Barlow Semi Condensed" w:cs="Barlow Semi Condensed" w:eastAsia="Barlow Semi Condensed" w:hAnsi="Barlow Semi Condensed"/>
          <w:sz w:val="24"/>
          <w:szCs w:val="24"/>
        </w:rPr>
        <w:t xml:space="preserve"> Il memorandum dell'incontro Nixon-Spínola alle Azzorre del 19 giugno 1974 è fatto pubblico già acquisito dal corpus. Sta nella cornice portoghese, non in quella italiana, e vi resta: la simultaneità con la fase finale del ministero di Moro è cronologica e nulla più. Registrarlo serve a delimitare, non a collegare, e a segnare che la stessa cornice atlantica ospitava dossier distinti che non comunicavano per il solo fatto di essere coevi.</w:t>
      </w:r>
    </w:p>
    <w:p>
      <w:pPr>
        <w:spacing w:after="120" w:line="276"/>
        <w:jc w:val="both"/>
      </w:pPr>
      <w:r>
        <w:rPr>
          <w:rFonts w:ascii="Barlow Semi Condensed" w:cs="Barlow Semi Condensed" w:eastAsia="Barlow Semi Condensed" w:hAnsi="Barlow Semi Condensed"/>
          <w:b/>
          <w:bCs/>
          <w:sz w:val="24"/>
          <w:szCs w:val="24"/>
        </w:rPr>
        <w:t xml:space="preserve">42 · Il leftist neutralist regime.</w:t>
      </w:r>
      <w:r>
        <w:rPr>
          <w:rFonts w:ascii="Barlow Semi Condensed" w:cs="Barlow Semi Condensed" w:eastAsia="Barlow Semi Condensed" w:hAnsi="Barlow Semi Condensed"/>
          <w:sz w:val="24"/>
          <w:szCs w:val="24"/>
        </w:rPr>
        <w:t xml:space="preserve"> Nei FRUS Kissinger paventava per Lisbona «not a Communist take-over, but a leftist neutralist regime remaining within NATO». La formula è preziosa perché nomina la preoccupazione con precisione: non l'ingresso nel blocco avverso, ma la neutralizzazione interna dell'alleanza. È un tratto documentato di una posizione, e come tale entra nel corpus. Trasferirlo al caso italiano senza un documento italiano sarebbe analogia scambiata per omologia.</w:t>
      </w:r>
    </w:p>
    <w:p>
      <w:pPr>
        <w:spacing w:after="120" w:line="276"/>
        <w:jc w:val="both"/>
      </w:pPr>
      <w:r>
        <w:rPr>
          <w:rFonts w:ascii="Barlow Semi Condensed" w:cs="Barlow Semi Condensed" w:eastAsia="Barlow Semi Condensed" w:hAnsi="Barlow Semi Condensed"/>
          <w:b/>
          <w:bCs/>
          <w:sz w:val="24"/>
          <w:szCs w:val="24"/>
        </w:rPr>
        <w:t xml:space="preserve">43 · Helsinki e l'insofferenza riferita.</w:t>
      </w:r>
      <w:r>
        <w:rPr>
          <w:rFonts w:ascii="Barlow Semi Condensed" w:cs="Barlow Semi Condensed" w:eastAsia="Barlow Semi Condensed" w:hAnsi="Barlow Semi Condensed"/>
          <w:sz w:val="24"/>
          <w:szCs w:val="24"/>
        </w:rPr>
        <w:t xml:space="preserve"> Sull'Atto finale del 1° agosto 1975 il corpus registra che Moro firmò nella duplice qualità di presidente del Consiglio e presidente di turno del Consiglio delle Comunità, e che ottenne il coinvolgimento formale della Comunità «sfidando l'insofferenza di Kissinger». La formulazione proviene da fonte pubblicistica e storiografica secondaria, non da un verbale: si cita con la sua provenienza e si tiene distinta dai documenti a segnatura.</w:t>
      </w:r>
    </w:p>
    <w:p>
      <w:pPr>
        <w:spacing w:after="120" w:line="276"/>
        <w:jc w:val="both"/>
      </w:pPr>
      <w:r>
        <w:rPr>
          <w:rFonts w:ascii="Barlow Semi Condensed" w:cs="Barlow Semi Condensed" w:eastAsia="Barlow Semi Condensed" w:hAnsi="Barlow Semi Condensed"/>
          <w:b/>
          <w:bCs/>
          <w:sz w:val="24"/>
          <w:szCs w:val="24"/>
        </w:rPr>
        <w:t xml:space="preserve">44 · La testimonianza contestata.</w:t>
      </w:r>
      <w:r>
        <w:rPr>
          <w:rFonts w:ascii="Barlow Semi Condensed" w:cs="Barlow Semi Condensed" w:eastAsia="Barlow Semi Condensed" w:hAnsi="Barlow Semi Condensed"/>
          <w:sz w:val="24"/>
          <w:szCs w:val="24"/>
        </w:rPr>
        <w:t xml:space="preserve"> Corrado Guerzoni riferì, ed Eleonora Chiavarelli Moro confermò in sede parlamentare, un avvertimento rivolto a Moro a Washington e collocato al settembre 1974. Kissinger lo ha sempre smentito. Il corpus lo colloca al nodo M-5 della triangolazione Guevara-Moro e lo tiene al grado B nella sua accezione debole: testimonianza resa in sede istituzionale e contestata dall'altra parte. Non è mai da dare per accertata, e nessun blocco successivo potrà trattarla altrimenti.</w:t>
      </w:r>
    </w:p>
    <w:p>
      <w:pPr>
        <w:spacing w:after="120" w:line="276"/>
        <w:jc w:val="both"/>
      </w:pPr>
      <w:r>
        <w:rPr>
          <w:rFonts w:ascii="Barlow Semi Condensed" w:cs="Barlow Semi Condensed" w:eastAsia="Barlow Semi Condensed" w:hAnsi="Barlow Semi Condensed"/>
          <w:b/>
          <w:bCs/>
          <w:sz w:val="24"/>
          <w:szCs w:val="24"/>
        </w:rPr>
        <w:t xml:space="preserve">45 · Che cosa la smentirebbe.</w:t>
      </w:r>
      <w:r>
        <w:rPr>
          <w:rFonts w:ascii="Barlow Semi Condensed" w:cs="Barlow Semi Condensed" w:eastAsia="Barlow Semi Condensed" w:hAnsi="Barlow Semi Condensed"/>
          <w:sz w:val="24"/>
          <w:szCs w:val="24"/>
        </w:rPr>
        <w:t xml:space="preserve"> La disciplina chiede per ogni asserzione la sua condizione di caduta. Per l'avvertimento riferito: un verbale, una nota di delegazione o un appunto coevo che ne registri i termini lo porterebbe verso A; una cronologia che escluda la presenza dei protagonisti nel luogo e nel tempo indicati lo abbatterebbe. Allo stato non risulta né l'uno né l'altra, e l'asserzione resta ferma dove il corpus l'ha collocata.</w:t>
      </w:r>
    </w:p>
    <w:p>
      <w:pPr>
        <w:spacing w:after="120" w:line="276"/>
        <w:jc w:val="both"/>
      </w:pPr>
      <w:r>
        <w:rPr>
          <w:rFonts w:ascii="Barlow Semi Condensed" w:cs="Barlow Semi Condensed" w:eastAsia="Barlow Semi Condensed" w:hAnsi="Barlow Semi Condensed"/>
          <w:b/>
          <w:bCs/>
          <w:sz w:val="24"/>
          <w:szCs w:val="24"/>
        </w:rPr>
        <w:t xml:space="preserve">46 · Lo Stato Zero già dichiarato.</w:t>
      </w:r>
      <w:r>
        <w:rPr>
          <w:rFonts w:ascii="Barlow Semi Condensed" w:cs="Barlow Semi Condensed" w:eastAsia="Barlow Semi Condensed" w:hAnsi="Barlow Semi Condensed"/>
          <w:sz w:val="24"/>
          <w:szCs w:val="24"/>
        </w:rPr>
        <w:t xml:space="preserve"> La Fase sesta dell'opera-madre iscrive fra gli Stati Zero, cioè fra le ricerche condotte e chiuse in negativo, il documento che leghi Kissinger-persona, o qualunque apparato straniero nominato, alla catena di comando del delitto. Non è un dubbio: è un esito, e vale quanto un Livello A. Quest'opera lo eredita per intero e non lo riapre per suggestione, ma solo davanti a un documento nuovo con sede e segnatura.</w:t>
      </w:r>
    </w:p>
    <w:p>
      <w:pPr>
        <w:spacing w:after="120" w:line="276"/>
        <w:jc w:val="both"/>
      </w:pPr>
      <w:r>
        <w:rPr>
          <w:rFonts w:ascii="Barlow Semi Condensed" w:cs="Barlow Semi Condensed" w:eastAsia="Barlow Semi Condensed" w:hAnsi="Barlow Semi Condensed"/>
          <w:b/>
          <w:bCs/>
          <w:sz w:val="24"/>
          <w:szCs w:val="24"/>
        </w:rPr>
        <w:t xml:space="preserve">47 · Il silenzio della quadriga.</w:t>
      </w:r>
      <w:r>
        <w:rPr>
          <w:rFonts w:ascii="Barlow Semi Condensed" w:cs="Barlow Semi Condensed" w:eastAsia="Barlow Semi Condensed" w:hAnsi="Barlow Semi Condensed"/>
          <w:sz w:val="24"/>
          <w:szCs w:val="24"/>
        </w:rPr>
        <w:t xml:space="preserve"> Verifica meccanica, eseguita e qui verbalizzata: la stringa «Kissinger» non compare in alcuno dei mille blocchi dei nove cantieri, dei quattrocento del manuale investigativo, dei trecento dell'agenda di ricerca. Zero occorrenze su millesettecento unità. È un buco strutturale misurato, e va dichiarato con perimetro esatto secondo il blocco 233 dell'agenda e il blocco 285, che fanno della ricerca a vuoto un atto formale.</w:t>
      </w:r>
    </w:p>
    <w:p>
      <w:pPr>
        <w:spacing w:after="120" w:line="276"/>
        <w:jc w:val="both"/>
      </w:pPr>
      <w:r>
        <w:rPr>
          <w:rFonts w:ascii="Barlow Semi Condensed" w:cs="Barlow Semi Condensed" w:eastAsia="Barlow Semi Condensed" w:hAnsi="Barlow Semi Condensed"/>
          <w:b/>
          <w:bCs/>
          <w:sz w:val="24"/>
          <w:szCs w:val="24"/>
        </w:rPr>
        <w:t xml:space="preserve">48 · Come si legge quel buco.</w:t>
      </w:r>
      <w:r>
        <w:rPr>
          <w:rFonts w:ascii="Barlow Semi Condensed" w:cs="Barlow Semi Condensed" w:eastAsia="Barlow Semi Condensed" w:hAnsi="Barlow Semi Condensed"/>
          <w:sz w:val="24"/>
          <w:szCs w:val="24"/>
        </w:rPr>
        <w:t xml:space="preserve"> La regola dei buchi ha due tempi, e il secondo è quello che qui conta. Un basso rapporto di associazione fra due domini non è indizio di assenza di rapporti: è indizio che nessuno ha scritto un documento che li tratti insieme. Lo zero della quadriga non dice che il nodo sia irrilevante; dice che i cantieri furono costruiti su archivi che non lo trattano — Kew, Parigi, Bonn — e che manca la colonna americana.</w:t>
      </w:r>
    </w:p>
    <w:p>
      <w:pPr>
        <w:spacing w:after="120" w:line="276"/>
        <w:jc w:val="both"/>
      </w:pPr>
      <w:r>
        <w:rPr>
          <w:rFonts w:ascii="Barlow Semi Condensed" w:cs="Barlow Semi Condensed" w:eastAsia="Barlow Semi Condensed" w:hAnsi="Barlow Semi Condensed"/>
          <w:b/>
          <w:bCs/>
          <w:sz w:val="24"/>
          <w:szCs w:val="24"/>
        </w:rPr>
        <w:t xml:space="preserve">49 · Il bersaglio che ne discende.</w:t>
      </w:r>
      <w:r>
        <w:rPr>
          <w:rFonts w:ascii="Barlow Semi Condensed" w:cs="Barlow Semi Condensed" w:eastAsia="Barlow Semi Condensed" w:hAnsi="Barlow Semi Condensed"/>
          <w:sz w:val="24"/>
          <w:szCs w:val="24"/>
        </w:rPr>
        <w:t xml:space="preserve"> Ne discende un bersaglio documentale nuovo, primo prodotto operativo della serie: aprire nella quadriga la colonna statunitense, con giacimento proprio — la serie FRUS 1969-1976 per intero, i Nixon Presidential Materials, NSC Files, Country Files Italy a College Park, e i National Security Adviser's Memoranda of Conversation alla Ford Library. La lente ha superato il primo esame: ha fatto scrivere un bersaglio che non c'era.</w:t>
      </w:r>
    </w:p>
    <w:p>
      <w:pPr>
        <w:spacing w:after="120" w:line="276"/>
        <w:jc w:val="both"/>
      </w:pPr>
      <w:r>
        <w:rPr>
          <w:rFonts w:ascii="Barlow Semi Condensed" w:cs="Barlow Semi Condensed" w:eastAsia="Barlow Semi Condensed" w:hAnsi="Barlow Semi Condensed"/>
          <w:b/>
          <w:bCs/>
          <w:sz w:val="24"/>
          <w:szCs w:val="24"/>
        </w:rPr>
        <w:t xml:space="preserve">50 · Come si misura la betweenness.</w:t>
      </w:r>
      <w:r>
        <w:rPr>
          <w:rFonts w:ascii="Barlow Semi Condensed" w:cs="Barlow Semi Condensed" w:eastAsia="Barlow Semi Condensed" w:hAnsi="Barlow Semi Condensed"/>
          <w:sz w:val="24"/>
          <w:szCs w:val="24"/>
        </w:rPr>
        <w:t xml:space="preserve"> La betweenness di un nodo si calcola contando quante volte esso cade sui cammini minimi fra tutte le coppie di altri nodi; il corpus la calcola con l'algoritmo di Brandes, in modo esatto, sul solo grafo degli archi documentati e gradati. È una misura di posizione in una rete di carte. Non contiene alcuna informazione su intenzioni, decisioni o condotte, e per costruzione non ne può contenere.</w:t>
      </w:r>
    </w:p>
    <w:p>
      <w:pPr>
        <w:spacing w:after="120" w:line="276"/>
        <w:jc w:val="both"/>
      </w:pPr>
      <w:r>
        <w:rPr>
          <w:rFonts w:ascii="Barlow Semi Condensed" w:cs="Barlow Semi Condensed" w:eastAsia="Barlow Semi Condensed" w:hAnsi="Barlow Semi Condensed"/>
          <w:b/>
          <w:bCs/>
          <w:sz w:val="24"/>
          <w:szCs w:val="24"/>
        </w:rPr>
        <w:t xml:space="preserve">51 · La regola d'interpretazione, prima della lettura.</w:t>
      </w:r>
      <w:r>
        <w:rPr>
          <w:rFonts w:ascii="Barlow Semi Condensed" w:cs="Barlow Semi Condensed" w:eastAsia="Barlow Semi Condensed" w:hAnsi="Barlow Semi Condensed"/>
          <w:sz w:val="24"/>
          <w:szCs w:val="24"/>
        </w:rPr>
        <w:t xml:space="preserve"> Il corpus antepone a ogni figura di rete una sola frase: la centralità misura la densità della documentazione, non la responsabilità. Che le Brigate Rosse dominino il grado nella rete pubblica è ovvio, perché sono l'oggetto del giudicato. Che il CPM abbia la seconda intermediazione è invece il risultato analitico. In nessuno dei due casi il numero dice chi fece che cosa: dice dove passano i cammini fra i documenti.</w:t>
      </w:r>
    </w:p>
    <w:p>
      <w:pPr>
        <w:spacing w:after="120" w:line="276"/>
        <w:jc w:val="both"/>
      </w:pPr>
      <w:r>
        <w:rPr>
          <w:rFonts w:ascii="Barlow Semi Condensed" w:cs="Barlow Semi Condensed" w:eastAsia="Barlow Semi Condensed" w:hAnsi="Barlow Semi Condensed"/>
          <w:b/>
          <w:bCs/>
          <w:sz w:val="24"/>
          <w:szCs w:val="24"/>
        </w:rPr>
        <w:t xml:space="preserve">52 · Il nodo assente dalla rete.</w:t>
      </w:r>
      <w:r>
        <w:rPr>
          <w:rFonts w:ascii="Barlow Semi Condensed" w:cs="Barlow Semi Condensed" w:eastAsia="Barlow Semi Condensed" w:hAnsi="Barlow Semi Condensed"/>
          <w:sz w:val="24"/>
          <w:szCs w:val="24"/>
        </w:rPr>
        <w:t xml:space="preserve"> Va detto con esattezza. Nella rete documentata del corpus pubblico — trentanove nodi e cinquantanove archi, ventotto di grado A, ventisei F, cinque B — Kissinger non compare fra i nodi censiti. La sua betweenness in quel grafo non è alta né bassa: non esiste. Chi volesse calcolarla dovrebbe prima costruire archi documentati e gradati, e quella costruzione è l'oggetto delle serie che seguono, non un loro presupposto.</w:t>
      </w:r>
    </w:p>
    <w:p>
      <w:pPr>
        <w:spacing w:after="120" w:line="276"/>
        <w:jc w:val="both"/>
      </w:pPr>
      <w:r>
        <w:rPr>
          <w:rFonts w:ascii="Barlow Semi Condensed" w:cs="Barlow Semi Condensed" w:eastAsia="Barlow Semi Condensed" w:hAnsi="Barlow Semi Condensed"/>
          <w:b/>
          <w:bCs/>
          <w:sz w:val="24"/>
          <w:szCs w:val="24"/>
        </w:rPr>
        <w:t xml:space="preserve">53 · Senza grado sull'arco non c'è cammino.</w:t>
      </w:r>
      <w:r>
        <w:rPr>
          <w:rFonts w:ascii="Barlow Semi Condensed" w:cs="Barlow Semi Condensed" w:eastAsia="Barlow Semi Condensed" w:hAnsi="Barlow Semi Condensed"/>
          <w:sz w:val="24"/>
          <w:szCs w:val="24"/>
        </w:rPr>
        <w:t xml:space="preserve"> La regola che quest'opera eredita è vincolante: nella costruzione della rete si gradua la sinapsi, non il neurone. Un inventario che conti gli archi senza gradarli rende incalcolabile la regola dell'anello debole, e con essa ogni valutazione di cammino. Prima che il nodo Kissinger entri in una figura, ciascuno dei suoi archi dovrà portare il proprio grado e la propria segnatura. Nessuna eccezione, nemmeno per il nodo più documentato.</w:t>
      </w:r>
    </w:p>
    <w:p>
      <w:pPr>
        <w:spacing w:after="120" w:line="276"/>
        <w:jc w:val="both"/>
      </w:pPr>
      <w:r>
        <w:rPr>
          <w:rFonts w:ascii="Barlow Semi Condensed" w:cs="Barlow Semi Condensed" w:eastAsia="Barlow Semi Condensed" w:hAnsi="Barlow Semi Condensed"/>
          <w:b/>
          <w:bCs/>
          <w:sz w:val="24"/>
          <w:szCs w:val="24"/>
        </w:rPr>
        <w:t xml:space="preserve">54 · L'anello debole, applicato.</w:t>
      </w:r>
      <w:r>
        <w:rPr>
          <w:rFonts w:ascii="Barlow Semi Condensed" w:cs="Barlow Semi Condensed" w:eastAsia="Barlow Semi Condensed" w:hAnsi="Barlow Semi Condensed"/>
          <w:sz w:val="24"/>
          <w:szCs w:val="24"/>
        </w:rPr>
        <w:t xml:space="preserve"> Il grado di un cammino è il grado minimo fra i suoi archi. Un cammino che colleghi lo Studio Ovale del settembre 1974 al caso del 1978 dovrebbe attraversare almeno un arco che oggi non esiste, e che il corpus ha già cercato senza trovare. Finché quell'arco manca, ogni cammino costruito su quel tratto ha grado non basso ma assente, e non sostiene alcuna inferenza operativa.</w:t>
      </w:r>
    </w:p>
    <w:p>
      <w:pPr>
        <w:spacing w:after="120" w:line="276"/>
        <w:jc w:val="both"/>
      </w:pPr>
      <w:r>
        <w:rPr>
          <w:rFonts w:ascii="Barlow Semi Condensed" w:cs="Barlow Semi Condensed" w:eastAsia="Barlow Semi Condensed" w:hAnsi="Barlow Semi Condensed"/>
          <w:b/>
          <w:bCs/>
          <w:sz w:val="24"/>
          <w:szCs w:val="24"/>
        </w:rPr>
        <w:t xml:space="preserve">55 · Il nodo calamita.</w:t>
      </w:r>
      <w:r>
        <w:rPr>
          <w:rFonts w:ascii="Barlow Semi Condensed" w:cs="Barlow Semi Condensed" w:eastAsia="Barlow Semi Condensed" w:hAnsi="Barlow Semi Condensed"/>
          <w:sz w:val="24"/>
          <w:szCs w:val="24"/>
        </w:rPr>
        <w:t xml:space="preserve"> Esiste un effetto del quale diffidare: nelle reti costruite a mano i nodi molto noti attraggono archi che gli analisti disegnano per plausibilità e non per documento. È l'equivalente reticolare della sovradiagnosi. L'antidoto è procedurale e va fissato ora: ogni arco che tocchi questo nodo entra solo con documento a segnatura, e l'onere di produrlo grava su chi propone l'arco, non su chi lo contesta.</w:t>
      </w:r>
    </w:p>
    <w:p>
      <w:pPr>
        <w:spacing w:after="120" w:line="276"/>
        <w:jc w:val="both"/>
      </w:pPr>
      <w:r>
        <w:rPr>
          <w:rFonts w:ascii="Barlow Semi Condensed" w:cs="Barlow Semi Condensed" w:eastAsia="Barlow Semi Condensed" w:hAnsi="Barlow Semi Condensed"/>
          <w:b/>
          <w:bCs/>
          <w:sz w:val="24"/>
          <w:szCs w:val="24"/>
        </w:rPr>
        <w:t xml:space="preserve">56 · Fenotipo pubblico e genotipo documentale.</w:t>
      </w:r>
      <w:r>
        <w:rPr>
          <w:rFonts w:ascii="Barlow Semi Condensed" w:cs="Barlow Semi Condensed" w:eastAsia="Barlow Semi Condensed" w:hAnsi="Barlow Semi Condensed"/>
          <w:sz w:val="24"/>
          <w:szCs w:val="24"/>
        </w:rPr>
        <w:t xml:space="preserve"> Sul nodo qui trattato la sproporzione fra i due strati è estrema: un'immensa produzione pubblica — memorialistica, polemica, televisiva — poggia su un insieme di documenti a segnatura assai più ridotto. Il corpus lavora sul secondo strato e usa il primo soltanto come dato sulla circolazione delle idee. Quando le due letture divergono, la divergenza si riporta e non si sceglie in silenzio: è la sesta regola del metodo.</w:t>
      </w:r>
    </w:p>
    <w:p>
      <w:pPr>
        <w:spacing w:after="120" w:line="276"/>
        <w:jc w:val="both"/>
      </w:pPr>
      <w:r>
        <w:rPr>
          <w:rFonts w:ascii="Barlow Semi Condensed" w:cs="Barlow Semi Condensed" w:eastAsia="Barlow Semi Condensed" w:hAnsi="Barlow Semi Condensed"/>
          <w:b/>
          <w:bCs/>
          <w:sz w:val="24"/>
          <w:szCs w:val="24"/>
        </w:rPr>
        <w:t xml:space="preserve">57 · L'appartenenza non è condotta.</w:t>
      </w:r>
      <w:r>
        <w:rPr>
          <w:rFonts w:ascii="Barlow Semi Condensed" w:cs="Barlow Semi Condensed" w:eastAsia="Barlow Semi Condensed" w:hAnsi="Barlow Semi Condensed"/>
          <w:sz w:val="24"/>
          <w:szCs w:val="24"/>
        </w:rPr>
        <w:t xml:space="preserve"> Vale qui come in tutto il corpus, e la lente lo rende più nitido: appartenere a una scuola dottrinale, a un'amministrazione o a un lignaggio intellettuale è un dato di collocazione, come un allele condiviso. Non è prova di condotta, e non lo diventa per accumulo di appartenenze. La quarta regola del metodo non ammette il ragionamento per stirpe, ed è la regola che la metafora biologica minaccia più di ogni altra.</w:t>
      </w:r>
    </w:p>
    <w:p>
      <w:pPr>
        <w:spacing w:after="120" w:line="276"/>
        <w:jc w:val="both"/>
      </w:pPr>
      <w:r>
        <w:rPr>
          <w:rFonts w:ascii="Barlow Semi Condensed" w:cs="Barlow Semi Condensed" w:eastAsia="Barlow Semi Condensed" w:hAnsi="Barlow Semi Condensed"/>
          <w:b/>
          <w:bCs/>
          <w:sz w:val="24"/>
          <w:szCs w:val="24"/>
        </w:rPr>
        <w:t xml:space="preserve">58 · Il quesito, non l'asserzione.</w:t>
      </w:r>
      <w:r>
        <w:rPr>
          <w:rFonts w:ascii="Barlow Semi Condensed" w:cs="Barlow Semi Condensed" w:eastAsia="Barlow Semi Condensed" w:hAnsi="Barlow Semi Condensed"/>
          <w:sz w:val="24"/>
          <w:szCs w:val="24"/>
        </w:rPr>
        <w:t xml:space="preserve"> Dove un blocco di quest'opera avrà bisogno di un documento che non risulta esistere, lo formulerà come quesito — verificare se, reperire presso — con la sede indicata, e mai come asserzione. Non si inventano protocolli, segnature o citazioni. È il vincolo che rende l'opera controllabile da chiunque abbia una tessera d'archivio, ed è la sola forma di autorità che un testo di ricerca possa legittimamente rivendicare.</w:t>
      </w:r>
    </w:p>
    <w:p>
      <w:pPr>
        <w:spacing w:after="120" w:line="276"/>
        <w:jc w:val="both"/>
      </w:pPr>
      <w:r>
        <w:rPr>
          <w:rFonts w:ascii="Barlow Semi Condensed" w:cs="Barlow Semi Condensed" w:eastAsia="Barlow Semi Condensed" w:hAnsi="Barlow Semi Condensed"/>
          <w:b/>
          <w:bCs/>
          <w:sz w:val="24"/>
          <w:szCs w:val="24"/>
        </w:rPr>
        <w:t xml:space="preserve">59 · Gli Stati Zero aperti dalla serie.</w:t>
      </w:r>
      <w:r>
        <w:rPr>
          <w:rFonts w:ascii="Barlow Semi Condensed" w:cs="Barlow Semi Condensed" w:eastAsia="Barlow Semi Condensed" w:hAnsi="Barlow Semi Condensed"/>
          <w:sz w:val="24"/>
          <w:szCs w:val="24"/>
        </w:rPr>
        <w:t xml:space="preserve"> La serie chiude lasciando tre esiti negativi verbalizzati: il silenzio integrale della quadriga investigativa sul nome; l'assenza del nodo dalla rete documentata del corpus; l'assenza, allo stato, di un verbale coevo dell'avvertimento riferito. Le sedi di chiusura sono nominate — i volumi FRUS, i fondi di College Park e della Ford Library per i primi due; gli atti parlamentari che raccolsero le due testimonianze per il terzo.</w:t>
      </w:r>
    </w:p>
    <w:p>
      <w:pPr>
        <w:spacing w:after="120" w:line="276"/>
        <w:jc w:val="both"/>
      </w:pPr>
      <w:r>
        <w:rPr>
          <w:rFonts w:ascii="Barlow Semi Condensed" w:cs="Barlow Semi Condensed" w:eastAsia="Barlow Semi Condensed" w:hAnsi="Barlow Semi Condensed"/>
          <w:b/>
          <w:bCs/>
          <w:sz w:val="24"/>
          <w:szCs w:val="24"/>
        </w:rPr>
        <w:t xml:space="preserve">60 · Che cosa la serie ha stabilito.</w:t>
      </w:r>
      <w:r>
        <w:rPr>
          <w:rFonts w:ascii="Barlow Semi Condensed" w:cs="Barlow Semi Condensed" w:eastAsia="Barlow Semi Condensed" w:hAnsi="Barlow Semi Condensed"/>
          <w:sz w:val="24"/>
          <w:szCs w:val="24"/>
        </w:rPr>
        <w:t xml:space="preserve"> Ha stabilito una cosa sola, ed è di metodo: che la lente genetica si adotta come architettura e si sottopone alla prova come qualunque strumento, con un criterio di dismissione dichiarato. Non ha stabilito alcun fatto nuovo sul caso, non ha promosso alcun grado, non ha aggiunto alcun nome a quelli che le sentenze hanno scritto. Ha corretto un nome, misurato tre vuoti e scritto un bersaglio. Le serie successive lavoreranno su questo, e non oltre.</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Serie seconda — Il genoma dichiarato: la dottrina come codice</w:t>
      </w:r>
    </w:p>
    <w:p>
      <w:pPr>
        <w:spacing w:after="120" w:line="276"/>
        <w:jc w:val="both"/>
      </w:pPr>
      <w:r>
        <w:rPr>
          <w:rFonts w:ascii="Barlow Semi Condensed" w:cs="Barlow Semi Condensed" w:eastAsia="Barlow Semi Condensed" w:hAnsi="Barlow Semi Condensed"/>
          <w:i/>
          <w:iCs/>
          <w:sz w:val="24"/>
          <w:szCs w:val="24"/>
        </w:rPr>
        <w:t xml:space="preserve">Blocchi 61-135.</w:t>
      </w:r>
    </w:p>
    <w:p>
      <w:pPr>
        <w:spacing w:after="120" w:line="276"/>
        <w:jc w:val="both"/>
      </w:pPr>
      <w:r>
        <w:rPr>
          <w:rFonts w:ascii="Barlow Semi Condensed" w:cs="Barlow Semi Condensed" w:eastAsia="Barlow Semi Condensed" w:hAnsi="Barlow Semi Condensed"/>
          <w:b/>
          <w:bCs/>
          <w:sz w:val="24"/>
          <w:szCs w:val="24"/>
        </w:rPr>
        <w:t xml:space="preserve">61 · Che cosa questa serie chiama genoma.</w:t>
      </w:r>
      <w:r>
        <w:rPr>
          <w:rFonts w:ascii="Barlow Semi Condensed" w:cs="Barlow Semi Condensed" w:eastAsia="Barlow Semi Condensed" w:hAnsi="Barlow Semi Condensed"/>
          <w:sz w:val="24"/>
          <w:szCs w:val="24"/>
        </w:rPr>
        <w:t xml:space="preserve"> Genoma dichiarato è qui il corpus degli scritti e delle posizioni pubbliche di Henry Alfred Kissinger: la tesi accademica, i libri, i saggi, i discorsi ufficiali, le memorie. La serie li tratta come una sequenza da trascrivere e collazionare, non come la spiegazione dei fatti che il corpus studia. Un testo dichiara un programma; non prova che il programma sia stato eseguito. Questa distinzione governa ogni blocco che segue e non viene mai sospesa.</w:t>
      </w:r>
    </w:p>
    <w:p>
      <w:pPr>
        <w:spacing w:after="120" w:line="276"/>
        <w:jc w:val="both"/>
      </w:pPr>
      <w:r>
        <w:rPr>
          <w:rFonts w:ascii="Barlow Semi Condensed" w:cs="Barlow Semi Condensed" w:eastAsia="Barlow Semi Condensed" w:hAnsi="Barlow Semi Condensed"/>
          <w:b/>
          <w:bCs/>
          <w:sz w:val="24"/>
          <w:szCs w:val="24"/>
        </w:rPr>
        <w:t xml:space="preserve">62 · La lente, e il suo primo limite.</w:t>
      </w:r>
      <w:r>
        <w:rPr>
          <w:rFonts w:ascii="Barlow Semi Condensed" w:cs="Barlow Semi Condensed" w:eastAsia="Barlow Semi Condensed" w:hAnsi="Barlow Semi Condensed"/>
          <w:sz w:val="24"/>
          <w:szCs w:val="24"/>
        </w:rPr>
        <w:t xml:space="preserve"> La chiave del committente — Kissinger come metafora della genetica — regge se si tiene fermo che un genoma non è un destino. Il codice dichiara una potenzialità; ciò che accade dipende dalla trascrizione, dall'ambiente, dagli errori. Applicata ai testi, la metafora chiede di leggerli come sequenza e non come profezia. Dove essa spinge a dedurre l'atto dalla dottrina, il blocco la ferma: è precisamente il salto che il corpus vieta.</w:t>
      </w:r>
    </w:p>
    <w:p>
      <w:pPr>
        <w:spacing w:after="120" w:line="276"/>
        <w:jc w:val="both"/>
      </w:pPr>
      <w:r>
        <w:rPr>
          <w:rFonts w:ascii="Barlow Semi Condensed" w:cs="Barlow Semi Condensed" w:eastAsia="Barlow Semi Condensed" w:hAnsi="Barlow Semi Condensed"/>
          <w:b/>
          <w:bCs/>
          <w:sz w:val="24"/>
          <w:szCs w:val="24"/>
        </w:rPr>
        <w:t xml:space="preserve">63 · Nessun blocco imputa.</w:t>
      </w:r>
      <w:r>
        <w:rPr>
          <w:rFonts w:ascii="Barlow Semi Condensed" w:cs="Barlow Semi Condensed" w:eastAsia="Barlow Semi Condensed" w:hAnsi="Barlow Semi Condensed"/>
          <w:sz w:val="24"/>
          <w:szCs w:val="24"/>
        </w:rPr>
        <w:t xml:space="preserve"> Va ripetuto in apertura della serie, perché nessuna pagina possa essere estratta e usata male: Henry Alfred Kissinger, nato a Fürth il 27 maggio 1923 e morto a Kent, nel Connecticut, il 29 novembre 2023, non fu condannato in alcun processo. Leggere i suoi testi come dottrina non equivale a imputargli una condotta. Qui si esaminano proposizioni scritte, con la stessa disciplina con cui altrove il corpus esamina un verbale.</w:t>
      </w:r>
    </w:p>
    <w:p>
      <w:pPr>
        <w:spacing w:after="120" w:line="276"/>
        <w:jc w:val="both"/>
      </w:pPr>
      <w:r>
        <w:rPr>
          <w:rFonts w:ascii="Barlow Semi Condensed" w:cs="Barlow Semi Condensed" w:eastAsia="Barlow Semi Condensed" w:hAnsi="Barlow Semi Condensed"/>
          <w:b/>
          <w:bCs/>
          <w:sz w:val="24"/>
          <w:szCs w:val="24"/>
        </w:rPr>
        <w:t xml:space="preserve">64 · I tre piani applicati ai testi.</w:t>
      </w:r>
      <w:r>
        <w:rPr>
          <w:rFonts w:ascii="Barlow Semi Condensed" w:cs="Barlow Semi Condensed" w:eastAsia="Barlow Semi Condensed" w:hAnsi="Barlow Semi Condensed"/>
          <w:sz w:val="24"/>
          <w:szCs w:val="24"/>
        </w:rPr>
        <w:t xml:space="preserve"> La regola dei tre piani vale anche in filologia. Piano uno: il testo esiste, con data, sede e autore accertati. Piano due: due testi condividono una cornice concettuale senza che l'uno citi l'altro. Piano tre: una dottrina è attribuita a qualcuno senza che se ne produca il testo. Solo il piano uno è ponte. Una convergenza di lessico non diventa mai, per accumulo, un rapporto fra autori.</w:t>
      </w:r>
    </w:p>
    <w:p>
      <w:pPr>
        <w:spacing w:after="120" w:line="276"/>
        <w:jc w:val="both"/>
      </w:pPr>
      <w:r>
        <w:rPr>
          <w:rFonts w:ascii="Barlow Semi Condensed" w:cs="Barlow Semi Condensed" w:eastAsia="Barlow Semi Condensed" w:hAnsi="Barlow Semi Condensed"/>
          <w:b/>
          <w:bCs/>
          <w:sz w:val="24"/>
          <w:szCs w:val="24"/>
        </w:rPr>
        <w:t xml:space="preserve">65 · Che cosa smentirebbe questa serie.</w:t>
      </w:r>
      <w:r>
        <w:rPr>
          <w:rFonts w:ascii="Barlow Semi Condensed" w:cs="Barlow Semi Condensed" w:eastAsia="Barlow Semi Condensed" w:hAnsi="Barlow Semi Condensed"/>
          <w:sz w:val="24"/>
          <w:szCs w:val="24"/>
        </w:rPr>
        <w:t xml:space="preserve"> La domanda del falsificatore, posta all'inizio come vuole il metodo. La serie cadrebbe se si accertasse che il corpus attribuito non è d'autore: che le memorie furono redatte da collaboratori senza controllo, che i discorsi furono scritti altrove e soltanto firmati. Non è ipotesi oziosa: è la prima verifica da compiere, e si compie sulle minute conservate nei fondi, non sulle edizioni a stampa.</w:t>
      </w:r>
    </w:p>
    <w:p>
      <w:pPr>
        <w:spacing w:after="120" w:line="276"/>
        <w:jc w:val="both"/>
      </w:pPr>
      <w:r>
        <w:rPr>
          <w:rFonts w:ascii="Barlow Semi Condensed" w:cs="Barlow Semi Condensed" w:eastAsia="Barlow Semi Condensed" w:hAnsi="Barlow Semi Condensed"/>
          <w:b/>
          <w:bCs/>
          <w:sz w:val="24"/>
          <w:szCs w:val="24"/>
        </w:rPr>
        <w:t xml:space="preserve">66 · Il quesito delle minute e delle mani.</w:t>
      </w:r>
      <w:r>
        <w:rPr>
          <w:rFonts w:ascii="Barlow Semi Condensed" w:cs="Barlow Semi Condensed" w:eastAsia="Barlow Semi Condensed" w:hAnsi="Barlow Semi Condensed"/>
          <w:sz w:val="24"/>
          <w:szCs w:val="24"/>
        </w:rPr>
        <w:t xml:space="preserve"> Bersaglio operativo: per ciascun testo maggiore, stabilire quante stesure esistano, quali mani vi intervennero, quali varianti separino la minuta dalla stampa. È l'operazione che il manuale investigativo prescrive al blocco 113 per le minute della lettera di Moro, trasferita a un altro corpus. Le sedi sono i fondi personali; l'esito, positivo o negativo, va verbalizzato con perimetro esatto e data.</w:t>
      </w:r>
    </w:p>
    <w:p>
      <w:pPr>
        <w:spacing w:after="120" w:line="276"/>
        <w:jc w:val="both"/>
      </w:pPr>
      <w:r>
        <w:rPr>
          <w:rFonts w:ascii="Barlow Semi Condensed" w:cs="Barlow Semi Condensed" w:eastAsia="Barlow Semi Condensed" w:hAnsi="Barlow Semi Condensed"/>
          <w:b/>
          <w:bCs/>
          <w:sz w:val="24"/>
          <w:szCs w:val="24"/>
        </w:rPr>
        <w:t xml:space="preserve">67 · La lingua del codice e la traduzione.</w:t>
      </w:r>
      <w:r>
        <w:rPr>
          <w:rFonts w:ascii="Barlow Semi Condensed" w:cs="Barlow Semi Condensed" w:eastAsia="Barlow Semi Condensed" w:hAnsi="Barlow Semi Condensed"/>
          <w:sz w:val="24"/>
          <w:szCs w:val="24"/>
        </w:rPr>
        <w:t xml:space="preserve"> Il codice dichiarato è scritto in inglese; il corpus lo legge in italiano. Equilibrium, legitimacy, order, stability non coincidono per estensione con equilibrio, legittimità, ordine, stabilità: legitimacy, in quei testi, indica l'accettazione condivisa di una cornice e non la giustizia di un titolo. Ogni citazione dottrinale va perciò addotta in originale con traduzione a fronte, e ogni resa italiana dichiarata come resa.</w:t>
      </w:r>
    </w:p>
    <w:p>
      <w:pPr>
        <w:spacing w:after="120" w:line="276"/>
        <w:jc w:val="both"/>
      </w:pPr>
      <w:r>
        <w:rPr>
          <w:rFonts w:ascii="Barlow Semi Condensed" w:cs="Barlow Semi Condensed" w:eastAsia="Barlow Semi Condensed" w:hAnsi="Barlow Semi Condensed"/>
          <w:b/>
          <w:bCs/>
          <w:sz w:val="24"/>
          <w:szCs w:val="24"/>
        </w:rPr>
        <w:t xml:space="preserve">68 · La tesi di dottorato, primo esemplare.</w:t>
      </w:r>
      <w:r>
        <w:rPr>
          <w:rFonts w:ascii="Barlow Semi Condensed" w:cs="Barlow Semi Condensed" w:eastAsia="Barlow Semi Condensed" w:hAnsi="Barlow Semi Condensed"/>
          <w:sz w:val="24"/>
          <w:szCs w:val="24"/>
        </w:rPr>
        <w:t xml:space="preserve"> Il primo esemplare del codice è la tesi dottorale discussa a Harvard nel 1954 sulla diplomazia di Castlereagh e Metternich, poi rifusa nel libro del 1957 sulla restaurazione dell'ordine europeo. Bersaglio: leggere il dattiloscritto depositato e non soltanto il volume, perché fra tesi e libro corre una revisione editoriale che è essa stessa un dato. La sede va verificata presso gli archivi universitari.</w:t>
      </w:r>
    </w:p>
    <w:p>
      <w:pPr>
        <w:spacing w:after="120" w:line="276"/>
        <w:jc w:val="both"/>
      </w:pPr>
      <w:r>
        <w:rPr>
          <w:rFonts w:ascii="Barlow Semi Condensed" w:cs="Barlow Semi Condensed" w:eastAsia="Barlow Semi Condensed" w:hAnsi="Barlow Semi Condensed"/>
          <w:b/>
          <w:bCs/>
          <w:sz w:val="24"/>
          <w:szCs w:val="24"/>
        </w:rPr>
        <w:t xml:space="preserve">69 · Il titolo che contiene la triade.</w:t>
      </w:r>
      <w:r>
        <w:rPr>
          <w:rFonts w:ascii="Barlow Semi Condensed" w:cs="Barlow Semi Condensed" w:eastAsia="Barlow Semi Condensed" w:hAnsi="Barlow Semi Condensed"/>
          <w:sz w:val="24"/>
          <w:szCs w:val="24"/>
        </w:rPr>
        <w:t xml:space="preserve"> Nel titolo di quella tesi compaiono, secondo le citazioni correnti, pace, legittimità ed equilibrio: le tre parole su cui l'intera serie lavora. Il titolo esatto va però accertato sul frontespizio del dattiloscritto depositato, e non su fonti terziarie che lo riportano in forme divergenti. È accertamento minuto e dirimente: dalla formulazione del titolo dipende quale sia, nel codice, il termine subordinante.</w:t>
      </w:r>
    </w:p>
    <w:p>
      <w:pPr>
        <w:spacing w:after="120" w:line="276"/>
        <w:jc w:val="both"/>
      </w:pPr>
      <w:r>
        <w:rPr>
          <w:rFonts w:ascii="Barlow Semi Condensed" w:cs="Barlow Semi Condensed" w:eastAsia="Barlow Semi Condensed" w:hAnsi="Barlow Semi Condensed"/>
          <w:b/>
          <w:bCs/>
          <w:sz w:val="24"/>
          <w:szCs w:val="24"/>
        </w:rPr>
        <w:t xml:space="preserve">70 · Che cosa dice il libro del 1957.</w:t>
      </w:r>
      <w:r>
        <w:rPr>
          <w:rFonts w:ascii="Barlow Semi Condensed" w:cs="Barlow Semi Condensed" w:eastAsia="Barlow Semi Condensed" w:hAnsi="Barlow Semi Condensed"/>
          <w:sz w:val="24"/>
          <w:szCs w:val="24"/>
        </w:rPr>
        <w:t xml:space="preserve"> Il volume sulla restaurazione europea è un libro di storia diplomatica, non un programma di governo. Vi si definiscono un ordine legittimo — quello i cui protagonisti ne accettano la cornice — e una potenza rivoluzionaria, che non l'accetta. Bersaglio: estrarre e citare per esteso i passi che danno le due definizioni, così che ogni uso successivo di quelle categorie sia confrontabile col testo di partenza.</w:t>
      </w:r>
    </w:p>
    <w:p>
      <w:pPr>
        <w:spacing w:after="120" w:line="276"/>
        <w:jc w:val="both"/>
      </w:pPr>
      <w:r>
        <w:rPr>
          <w:rFonts w:ascii="Barlow Semi Condensed" w:cs="Barlow Semi Condensed" w:eastAsia="Barlow Semi Condensed" w:hAnsi="Barlow Semi Condensed"/>
          <w:b/>
          <w:bCs/>
          <w:sz w:val="24"/>
          <w:szCs w:val="24"/>
        </w:rPr>
        <w:t xml:space="preserve">71 · Lo strato accademico, 1957-1965.</w:t>
      </w:r>
      <w:r>
        <w:rPr>
          <w:rFonts w:ascii="Barlow Semi Condensed" w:cs="Barlow Semi Condensed" w:eastAsia="Barlow Semi Condensed" w:hAnsi="Barlow Semi Condensed"/>
          <w:sz w:val="24"/>
          <w:szCs w:val="24"/>
        </w:rPr>
        <w:t xml:space="preserve"> Fra il 1957 e il 1965 si depositano tre testi: lo studio sulle armi nucleari e la politica estera edito per il Council on Foreign Relations, il volume del 1961 sulla necessità della scelta, quello del 1965 sull'alleanza atlantica. Il terzo è il più rilevante qui, perché discute l'Europa alleata come problema politico prima che il suo autore avesse potere su di essa. Le varianti d'edizione vanno collazionate.</w:t>
      </w:r>
    </w:p>
    <w:p>
      <w:pPr>
        <w:spacing w:after="120" w:line="276"/>
        <w:jc w:val="both"/>
      </w:pPr>
      <w:r>
        <w:rPr>
          <w:rFonts w:ascii="Barlow Semi Condensed" w:cs="Barlow Semi Condensed" w:eastAsia="Barlow Semi Condensed" w:hAnsi="Barlow Semi Condensed"/>
          <w:b/>
          <w:bCs/>
          <w:sz w:val="24"/>
          <w:szCs w:val="24"/>
        </w:rPr>
        <w:t xml:space="preserve">72 · Il volume del 1969, sulla soglia.</w:t>
      </w:r>
      <w:r>
        <w:rPr>
          <w:rFonts w:ascii="Barlow Semi Condensed" w:cs="Barlow Semi Condensed" w:eastAsia="Barlow Semi Condensed" w:hAnsi="Barlow Semi Condensed"/>
          <w:sz w:val="24"/>
          <w:szCs w:val="24"/>
        </w:rPr>
        <w:t xml:space="preserve"> La raccolta di saggi pubblicata nel 1969, alla vigilia dell'ingresso alla Casa Bianca, è il documento decisivo dello strato dichiarato: contiene il saggio sulla struttura interna e la politica estera e quello sui negoziati vietnamiti apparso in rivista nel gennaio di quell'anno. È il codice come si presentava nel momento di essere trascritto in atti. Va letto nell'edizione originale e collazionato con le ristampe.</w:t>
      </w:r>
    </w:p>
    <w:p>
      <w:pPr>
        <w:spacing w:after="120" w:line="276"/>
        <w:jc w:val="both"/>
      </w:pPr>
      <w:r>
        <w:rPr>
          <w:rFonts w:ascii="Barlow Semi Condensed" w:cs="Barlow Semi Condensed" w:eastAsia="Barlow Semi Condensed" w:hAnsi="Barlow Semi Condensed"/>
          <w:b/>
          <w:bCs/>
          <w:sz w:val="24"/>
          <w:szCs w:val="24"/>
        </w:rPr>
        <w:t xml:space="preserve">73 · La struttura interna nella politica estera.</w:t>
      </w:r>
      <w:r>
        <w:rPr>
          <w:rFonts w:ascii="Barlow Semi Condensed" w:cs="Barlow Semi Condensed" w:eastAsia="Barlow Semi Condensed" w:hAnsi="Barlow Semi Condensed"/>
          <w:sz w:val="24"/>
          <w:szCs w:val="24"/>
        </w:rPr>
        <w:t xml:space="preserve"> Il saggio sulla domestic structure sostiene che l'assetto interno di uno Stato condiziona il suo comportamento internazionale. È la proposizione del codice dichiarato più direttamente pertinente alla questione italiana, perché fonda in teoria l'interesse per la composizione di un governo alleato. Bersaglio: leggerlo integralmente e stabilire se vi si tratti mai un partito interno come variabile di sicurezza, e in quali termini esatti.</w:t>
      </w:r>
    </w:p>
    <w:p>
      <w:pPr>
        <w:spacing w:after="120" w:line="276"/>
        <w:jc w:val="both"/>
      </w:pPr>
      <w:r>
        <w:rPr>
          <w:rFonts w:ascii="Barlow Semi Condensed" w:cs="Barlow Semi Condensed" w:eastAsia="Barlow Semi Condensed" w:hAnsi="Barlow Semi Condensed"/>
          <w:b/>
          <w:bCs/>
          <w:sz w:val="24"/>
          <w:szCs w:val="24"/>
        </w:rPr>
        <w:t xml:space="preserve">74 · Il saggio sul rivoluzionario bianco.</w:t>
      </w:r>
      <w:r>
        <w:rPr>
          <w:rFonts w:ascii="Barlow Semi Condensed" w:cs="Barlow Semi Condensed" w:eastAsia="Barlow Semi Condensed" w:hAnsi="Barlow Semi Condensed"/>
          <w:sz w:val="24"/>
          <w:szCs w:val="24"/>
        </w:rPr>
        <w:t xml:space="preserve"> Il saggio su Bismarck apparso in rivista nel 1968 tratta lo statista che usa mezzi rivoluzionari per fini conservatori. Va letto per quello che è, un'analisi storica, e non come autoritratto anticipato: la tentazione di leggerlo così è forte e va nominata per essere disinnescata. Annata, fascicolo e paginazione vanno verificati sulla rivista, non su citazioni di seconda mano.</w:t>
      </w:r>
    </w:p>
    <w:p>
      <w:pPr>
        <w:spacing w:after="120" w:line="276"/>
        <w:jc w:val="both"/>
      </w:pPr>
      <w:r>
        <w:rPr>
          <w:rFonts w:ascii="Barlow Semi Condensed" w:cs="Barlow Semi Condensed" w:eastAsia="Barlow Semi Condensed" w:hAnsi="Barlow Semi Condensed"/>
          <w:b/>
          <w:bCs/>
          <w:sz w:val="24"/>
          <w:szCs w:val="24"/>
        </w:rPr>
        <w:t xml:space="preserve">75 · Le tre memorie e il loro statuto.</w:t>
      </w:r>
      <w:r>
        <w:rPr>
          <w:rFonts w:ascii="Barlow Semi Condensed" w:cs="Barlow Semi Condensed" w:eastAsia="Barlow Semi Condensed" w:hAnsi="Barlow Semi Condensed"/>
          <w:sz w:val="24"/>
          <w:szCs w:val="24"/>
        </w:rPr>
        <w:t xml:space="preserve"> I tre volumi di memorie, pubblicati fra il 1979 e il 1999, sono lo strato più esteso e il meno probante. Vale la regola che l'agenda fissa al blocco 151 per i dispacci: una memoria attesta ciò che il suo autore volle riferire, non ciò che accadde. Si usano come fonte sull'autoriconoscimento del codice, mai come accertamento del fatto, e sempre in collazione coi verbali coevi.</w:t>
      </w:r>
    </w:p>
    <w:p>
      <w:pPr>
        <w:spacing w:after="120" w:line="276"/>
        <w:jc w:val="both"/>
      </w:pPr>
      <w:r>
        <w:rPr>
          <w:rFonts w:ascii="Barlow Semi Condensed" w:cs="Barlow Semi Condensed" w:eastAsia="Barlow Semi Condensed" w:hAnsi="Barlow Semi Condensed"/>
          <w:b/>
          <w:bCs/>
          <w:sz w:val="24"/>
          <w:szCs w:val="24"/>
        </w:rPr>
        <w:t xml:space="preserve">76 · Diplomacy 1994, la sistemazione tardiva.</w:t>
      </w:r>
      <w:r>
        <w:rPr>
          <w:rFonts w:ascii="Barlow Semi Condensed" w:cs="Barlow Semi Condensed" w:eastAsia="Barlow Semi Condensed" w:hAnsi="Barlow Semi Condensed"/>
          <w:sz w:val="24"/>
          <w:szCs w:val="24"/>
        </w:rPr>
        <w:t xml:space="preserve"> Il volume del 1994 sistema in forma di trattato ciò che i testi precedenti dicevano in ordine sparso. Proprio per questo è insidioso: è la dottrina riordinata a posteriori, con vent'anni di senno di poi. Ogni citazione tratta di lì va datata 1994 e non retrodatata agli anni del mandato. L'anacronismo dottrinale è, in questa materia, l'errore più frequente e il più difficile da vedere.</w:t>
      </w:r>
    </w:p>
    <w:p>
      <w:pPr>
        <w:spacing w:after="120" w:line="276"/>
        <w:jc w:val="both"/>
      </w:pPr>
      <w:r>
        <w:rPr>
          <w:rFonts w:ascii="Barlow Semi Condensed" w:cs="Barlow Semi Condensed" w:eastAsia="Barlow Semi Condensed" w:hAnsi="Barlow Semi Condensed"/>
          <w:b/>
          <w:bCs/>
          <w:sz w:val="24"/>
          <w:szCs w:val="24"/>
        </w:rPr>
        <w:t xml:space="preserve">77 · World Order e il termine del titolo.</w:t>
      </w:r>
      <w:r>
        <w:rPr>
          <w:rFonts w:ascii="Barlow Semi Condensed" w:cs="Barlow Semi Condensed" w:eastAsia="Barlow Semi Condensed" w:hAnsi="Barlow Semi Condensed"/>
          <w:sz w:val="24"/>
          <w:szCs w:val="24"/>
        </w:rPr>
        <w:t xml:space="preserve"> Il libro del 2014 è il solo che porti nel titolo l'espressione ordine mondiale e ne offra una definizione esplicita, costruita attorno alla pace di Vestfalia e al rapporto fra legittimità e potenza. Bersaglio: collazionarne le definizioni con quelle della tesi del 1954. Se coincidono, il codice è stabile per sessant'anni; se divergono, la divergenza va riportata e non appianata.</w:t>
      </w:r>
    </w:p>
    <w:p>
      <w:pPr>
        <w:spacing w:after="120" w:line="276"/>
        <w:jc w:val="both"/>
      </w:pPr>
      <w:r>
        <w:rPr>
          <w:rFonts w:ascii="Barlow Semi Condensed" w:cs="Barlow Semi Condensed" w:eastAsia="Barlow Semi Condensed" w:hAnsi="Barlow Semi Condensed"/>
          <w:b/>
          <w:bCs/>
          <w:sz w:val="24"/>
          <w:szCs w:val="24"/>
        </w:rPr>
        <w:t xml:space="preserve">78 · Gli ultimi testi e l'autocanonizzazione.</w:t>
      </w:r>
      <w:r>
        <w:rPr>
          <w:rFonts w:ascii="Barlow Semi Condensed" w:cs="Barlow Semi Condensed" w:eastAsia="Barlow Semi Condensed" w:hAnsi="Barlow Semi Condensed"/>
          <w:sz w:val="24"/>
          <w:szCs w:val="24"/>
        </w:rPr>
        <w:t xml:space="preserve"> Il volume del 2022 sui capi di Stato e gli scritti finali sulla tecnologia chiudono il corpus dichiarato. Interessano qui per una ragione sola: sono il punto in cui l'autore fissa il proprio canone, sceglie i predecessori e decide quale forma il codice debba avere per i posteri. È materiale sull'ultima trascrizione, non sui fatti degli anni Settanta, e va tenuto in quello scaffale.</w:t>
      </w:r>
    </w:p>
    <w:p>
      <w:pPr>
        <w:spacing w:after="120" w:line="276"/>
        <w:jc w:val="both"/>
      </w:pPr>
      <w:r>
        <w:rPr>
          <w:rFonts w:ascii="Barlow Semi Condensed" w:cs="Barlow Semi Condensed" w:eastAsia="Barlow Semi Condensed" w:hAnsi="Barlow Semi Condensed"/>
          <w:b/>
          <w:bCs/>
          <w:sz w:val="24"/>
          <w:szCs w:val="24"/>
        </w:rPr>
        <w:t xml:space="preserve">79 · I discorsi come strato testuale distinto.</w:t>
      </w:r>
      <w:r>
        <w:rPr>
          <w:rFonts w:ascii="Barlow Semi Condensed" w:cs="Barlow Semi Condensed" w:eastAsia="Barlow Semi Condensed" w:hAnsi="Barlow Semi Condensed"/>
          <w:sz w:val="24"/>
          <w:szCs w:val="24"/>
        </w:rPr>
        <w:t xml:space="preserve"> I discorsi ufficiali non sono libri: sono testi datati, indirizzati a un uditorio e negoziati dentro l'amministrazione prima della pronuncia. Il discorso sull'Anno dell'Europa, tenuto a New York il 23 aprile 1973, è il caso maggiore per questo corpus. Va acquisito nella versione ufficiale a stampa e confrontato con la bozza d'ufficio: fra le due può correre la politica intera.</w:t>
      </w:r>
    </w:p>
    <w:p>
      <w:pPr>
        <w:spacing w:after="120" w:line="276"/>
        <w:jc w:val="both"/>
      </w:pPr>
      <w:r>
        <w:rPr>
          <w:rFonts w:ascii="Barlow Semi Condensed" w:cs="Barlow Semi Condensed" w:eastAsia="Barlow Semi Condensed" w:hAnsi="Barlow Semi Condensed"/>
          <w:b/>
          <w:bCs/>
          <w:sz w:val="24"/>
          <w:szCs w:val="24"/>
        </w:rPr>
        <w:t xml:space="preserve">80 · Il Bollettino come edizione ufficiale.</w:t>
      </w:r>
      <w:r>
        <w:rPr>
          <w:rFonts w:ascii="Barlow Semi Condensed" w:cs="Barlow Semi Condensed" w:eastAsia="Barlow Semi Condensed" w:hAnsi="Barlow Semi Condensed"/>
          <w:sz w:val="24"/>
          <w:szCs w:val="24"/>
        </w:rPr>
        <w:t xml:space="preserve"> La sede in cui discorsi e dichiarazioni del Dipartimento di Stato furono pubblicati ufficialmente negli anni del mandato è il Department of State Bulletin, disponibile in digitale. È lì che si stabilisce il testo autorevole, prima di ricorrere a raccolte private o a ritagli di stampa. Bersaglio: la tavola dei numeri e delle pagine per ogni discorso rilevante, verificata sull'annata.</w:t>
      </w:r>
    </w:p>
    <w:p>
      <w:pPr>
        <w:spacing w:after="120" w:line="276"/>
        <w:jc w:val="both"/>
      </w:pPr>
      <w:r>
        <w:rPr>
          <w:rFonts w:ascii="Barlow Semi Condensed" w:cs="Barlow Semi Condensed" w:eastAsia="Barlow Semi Condensed" w:hAnsi="Barlow Semi Condensed"/>
          <w:b/>
          <w:bCs/>
          <w:sz w:val="24"/>
          <w:szCs w:val="24"/>
        </w:rPr>
        <w:t xml:space="preserve">81 · La collazione discorso-verbale.</w:t>
      </w:r>
      <w:r>
        <w:rPr>
          <w:rFonts w:ascii="Barlow Semi Condensed" w:cs="Barlow Semi Condensed" w:eastAsia="Barlow Semi Condensed" w:hAnsi="Barlow Semi Condensed"/>
          <w:sz w:val="24"/>
          <w:szCs w:val="24"/>
        </w:rPr>
        <w:t xml:space="preserve"> Il metodo centrale della serie: per una stessa giornata, mettere accanto il testo pubblico e il verbale riservato. È la trasposizione dottrinale della collazione bilaterale che l'agenda prescrive al blocco 153. Caso esemplare, il 1° agosto 1975: Moro firma l'Atto finale di Helsinki nella doppia qualità, e sullo stesso negoziato è documentata l'insofferenza per il coinvolgimento della Comunità europea nella firma. Due strati, una data.</w:t>
      </w:r>
    </w:p>
    <w:p>
      <w:pPr>
        <w:spacing w:after="120" w:line="276"/>
        <w:jc w:val="both"/>
      </w:pPr>
      <w:r>
        <w:rPr>
          <w:rFonts w:ascii="Barlow Semi Condensed" w:cs="Barlow Semi Condensed" w:eastAsia="Barlow Semi Condensed" w:hAnsi="Barlow Semi Condensed"/>
          <w:b/>
          <w:bCs/>
          <w:sz w:val="24"/>
          <w:szCs w:val="24"/>
        </w:rPr>
        <w:t xml:space="preserve">82 · Equilibrio, definire prima di usare.</w:t>
      </w:r>
      <w:r>
        <w:rPr>
          <w:rFonts w:ascii="Barlow Semi Condensed" w:cs="Barlow Semi Condensed" w:eastAsia="Barlow Semi Condensed" w:hAnsi="Barlow Semi Condensed"/>
          <w:sz w:val="24"/>
          <w:szCs w:val="24"/>
        </w:rPr>
        <w:t xml:space="preserve"> Equilibrio, nel codice dichiarato, non significa parità di forze ma configurazione che nessun protagonista ha interesse a rovesciare. La differenza è sostanziale e viene abitualmente perduta nelle rese divulgative. Bersaglio: raccogliere i passi in cui il termine è definito, ordinarli per data e stabilire se la definizione muti fra il 1957 e il 2014. Finché la raccolta non esiste, ogni discussione sull'equilibrio resta approssimativa.</w:t>
      </w:r>
    </w:p>
    <w:p>
      <w:pPr>
        <w:spacing w:after="120" w:line="276"/>
        <w:jc w:val="both"/>
      </w:pPr>
      <w:r>
        <w:rPr>
          <w:rFonts w:ascii="Barlow Semi Condensed" w:cs="Barlow Semi Condensed" w:eastAsia="Barlow Semi Condensed" w:hAnsi="Barlow Semi Condensed"/>
          <w:b/>
          <w:bCs/>
          <w:sz w:val="24"/>
          <w:szCs w:val="24"/>
        </w:rPr>
        <w:t xml:space="preserve">83 · Legittimità contro giustizia.</w:t>
      </w:r>
      <w:r>
        <w:rPr>
          <w:rFonts w:ascii="Barlow Semi Condensed" w:cs="Barlow Semi Condensed" w:eastAsia="Barlow Semi Condensed" w:hAnsi="Barlow Semi Condensed"/>
          <w:sz w:val="24"/>
          <w:szCs w:val="24"/>
        </w:rPr>
        <w:t xml:space="preserve"> Nel codice, legittimità designa l'accettazione condivisa della cornice, non la giustizia dell'assetto: un ordine può essere legittimo in quel senso e ingiusto in senso morale. Chi legge legittimità come approvazione morale fraintende il testo e ne trae conseguenze che il testo non porta. Bersaglio: i passi che tengono distinti i due piani, citati per esteso, così che il fraintendimento non possa riprodursi.</w:t>
      </w:r>
    </w:p>
    <w:p>
      <w:pPr>
        <w:spacing w:after="120" w:line="276"/>
        <w:jc w:val="both"/>
      </w:pPr>
      <w:r>
        <w:rPr>
          <w:rFonts w:ascii="Barlow Semi Condensed" w:cs="Barlow Semi Condensed" w:eastAsia="Barlow Semi Condensed" w:hAnsi="Barlow Semi Condensed"/>
          <w:b/>
          <w:bCs/>
          <w:sz w:val="24"/>
          <w:szCs w:val="24"/>
        </w:rPr>
        <w:t xml:space="preserve">84 · La categoria della potenza rivoluzionaria.</w:t>
      </w:r>
      <w:r>
        <w:rPr>
          <w:rFonts w:ascii="Barlow Semi Condensed" w:cs="Barlow Semi Condensed" w:eastAsia="Barlow Semi Condensed" w:hAnsi="Barlow Semi Condensed"/>
          <w:sz w:val="24"/>
          <w:szCs w:val="24"/>
        </w:rPr>
        <w:t xml:space="preserve"> Il codice definisce potenza rivoluzionaria chi rifiuta la cornice anziché contendere dentro di essa. È la categoria analitica più feconda e la più prestata all'abuso. Quesito preciso e verificabile sui testi editi: quella categoria viene mai applicata, negli scritti pubblici, a un partito interno di un paese alleato? La risposta, quale che sia, va documentata a pagina e non presunta.</w:t>
      </w:r>
    </w:p>
    <w:p>
      <w:pPr>
        <w:spacing w:after="120" w:line="276"/>
        <w:jc w:val="both"/>
      </w:pPr>
      <w:r>
        <w:rPr>
          <w:rFonts w:ascii="Barlow Semi Condensed" w:cs="Barlow Semi Condensed" w:eastAsia="Barlow Semi Condensed" w:hAnsi="Barlow Semi Condensed"/>
          <w:b/>
          <w:bCs/>
          <w:sz w:val="24"/>
          <w:szCs w:val="24"/>
        </w:rPr>
        <w:t xml:space="preserve">85 · Stabilità, la parola più abusata.</w:t>
      </w:r>
      <w:r>
        <w:rPr>
          <w:rFonts w:ascii="Barlow Semi Condensed" w:cs="Barlow Semi Condensed" w:eastAsia="Barlow Semi Condensed" w:hAnsi="Barlow Semi Condensed"/>
          <w:sz w:val="24"/>
          <w:szCs w:val="24"/>
        </w:rPr>
        <w:t xml:space="preserve"> Nel codice la stabilità è proprietà di un sistema di relazioni, non qualità di un regime: un sistema è stabile quando assorbe gli urti senza mutare natura. Il corpus stesso, in più punti, usa la parola in senso lasco per indicare la conservazione di un governo. La correzione si fa per nota: dove il testo dice stabilità di sistema, non si legga stabilità di gabinetto.</w:t>
      </w:r>
    </w:p>
    <w:p>
      <w:pPr>
        <w:spacing w:after="120" w:line="276"/>
        <w:jc w:val="both"/>
      </w:pPr>
      <w:r>
        <w:rPr>
          <w:rFonts w:ascii="Barlow Semi Condensed" w:cs="Barlow Semi Condensed" w:eastAsia="Barlow Semi Condensed" w:hAnsi="Barlow Semi Condensed"/>
          <w:b/>
          <w:bCs/>
          <w:sz w:val="24"/>
          <w:szCs w:val="24"/>
        </w:rPr>
        <w:t xml:space="preserve">86 · Tre date, una definizione o tre.</w:t>
      </w:r>
      <w:r>
        <w:rPr>
          <w:rFonts w:ascii="Barlow Semi Condensed" w:cs="Barlow Semi Condensed" w:eastAsia="Barlow Semi Condensed" w:hAnsi="Barlow Semi Condensed"/>
          <w:sz w:val="24"/>
          <w:szCs w:val="24"/>
        </w:rPr>
        <w:t xml:space="preserve"> Accertamento puntuale da compiere: le definizioni di ordine internazionale offerte nel 1957, nel 1994 e nel 2014 sono la stessa definizione ripetuta o tre definizioni successive? La domanda è filologica e ha conseguenze storiche, perché soltanto una dottrina stabile può essere invocata come chiave lungo cinquant'anni. Le divergenze eventuali si riportano; l'ipotesi di un codice immobile non si presume.</w:t>
      </w:r>
    </w:p>
    <w:p>
      <w:pPr>
        <w:spacing w:after="120" w:line="276"/>
        <w:jc w:val="both"/>
      </w:pPr>
      <w:r>
        <w:rPr>
          <w:rFonts w:ascii="Barlow Semi Condensed" w:cs="Barlow Semi Condensed" w:eastAsia="Barlow Semi Condensed" w:hAnsi="Barlow Semi Condensed"/>
          <w:b/>
          <w:bCs/>
          <w:sz w:val="24"/>
          <w:szCs w:val="24"/>
        </w:rPr>
        <w:t xml:space="preserve">87 · Ordine e giustizia, il quesito scomodo.</w:t>
      </w:r>
      <w:r>
        <w:rPr>
          <w:rFonts w:ascii="Barlow Semi Condensed" w:cs="Barlow Semi Condensed" w:eastAsia="Barlow Semi Condensed" w:hAnsi="Barlow Semi Condensed"/>
          <w:sz w:val="24"/>
          <w:szCs w:val="24"/>
        </w:rPr>
        <w:t xml:space="preserve"> La critica corrente sostiene che quel codice subordini la giustizia all'ordine. È tesi diffusa e va trattata come tesi: si verifica sui passi, non si assume. Bersaglio: individuare i luoghi in cui il rapporto fra i due termini è tematizzato e stabilire se vi sia subordinazione dichiarata, tensione riconosciuta o silenzio. Anche il silenzio è un esito, e va scritto come tale.</w:t>
      </w:r>
    </w:p>
    <w:p>
      <w:pPr>
        <w:spacing w:after="120" w:line="276"/>
        <w:jc w:val="both"/>
      </w:pPr>
      <w:r>
        <w:rPr>
          <w:rFonts w:ascii="Barlow Semi Condensed" w:cs="Barlow Semi Condensed" w:eastAsia="Barlow Semi Condensed" w:hAnsi="Barlow Semi Condensed"/>
          <w:b/>
          <w:bCs/>
          <w:sz w:val="24"/>
          <w:szCs w:val="24"/>
        </w:rPr>
        <w:t xml:space="preserve">88 · Il segreto come preferenza dichiarata.</w:t>
      </w:r>
      <w:r>
        <w:rPr>
          <w:rFonts w:ascii="Barlow Semi Condensed" w:cs="Barlow Semi Condensed" w:eastAsia="Barlow Semi Condensed" w:hAnsi="Barlow Semi Condensed"/>
          <w:sz w:val="24"/>
          <w:szCs w:val="24"/>
        </w:rPr>
        <w:t xml:space="preserve"> Il codice dichiarato afferma in più luoghi che il negoziato esige riservatezza. È preferenza procedurale scritta a chiare lettere, e come tale documentabile al grado del testo. Da essa non discende alcuna condotta coperta: dichiarare che le trattative vanno tenute riservate non è compiere un'azione clandestina. Confondere i due piani è l'errore che questa serie deve rendere impossibile a chi la legga.</w:t>
      </w:r>
    </w:p>
    <w:p>
      <w:pPr>
        <w:spacing w:after="120" w:line="276"/>
        <w:jc w:val="both"/>
      </w:pPr>
      <w:r>
        <w:rPr>
          <w:rFonts w:ascii="Barlow Semi Condensed" w:cs="Barlow Semi Condensed" w:eastAsia="Barlow Semi Condensed" w:hAnsi="Barlow Semi Condensed"/>
          <w:b/>
          <w:bCs/>
          <w:sz w:val="24"/>
          <w:szCs w:val="24"/>
        </w:rPr>
        <w:t xml:space="preserve">89 · La dottrina attribuita a un consigliere.</w:t>
      </w:r>
      <w:r>
        <w:rPr>
          <w:rFonts w:ascii="Barlow Semi Condensed" w:cs="Barlow Semi Condensed" w:eastAsia="Barlow Semi Condensed" w:hAnsi="Barlow Semi Condensed"/>
          <w:sz w:val="24"/>
          <w:szCs w:val="24"/>
        </w:rPr>
        <w:t xml:space="preserve"> La cosiddetta dottrina Sonnenfeldt — la tesi di una relazione organica fra Europa orientale e Unione Sovietica — fu attribuita nel 1976 a un consigliere del Dipartimento di Stato ed emerse per via giornalistica, non per testo firmato. L'attribuzione al segretario di Stato è contestata e la divergenza si riporta. Il caso vale come esempio puro di piano tre: dottrina senza testo d'autore.</w:t>
      </w:r>
    </w:p>
    <w:p>
      <w:pPr>
        <w:spacing w:after="120" w:line="276"/>
        <w:jc w:val="both"/>
      </w:pPr>
      <w:r>
        <w:rPr>
          <w:rFonts w:ascii="Barlow Semi Condensed" w:cs="Barlow Semi Condensed" w:eastAsia="Barlow Semi Condensed" w:hAnsi="Barlow Semi Condensed"/>
          <w:b/>
          <w:bCs/>
          <w:sz w:val="24"/>
          <w:szCs w:val="24"/>
        </w:rPr>
        <w:t xml:space="preserve">90 · L'avvertimento riferito e il suo statuto.</w:t>
      </w:r>
      <w:r>
        <w:rPr>
          <w:rFonts w:ascii="Barlow Semi Condensed" w:cs="Barlow Semi Condensed" w:eastAsia="Barlow Semi Condensed" w:hAnsi="Barlow Semi Condensed"/>
          <w:sz w:val="24"/>
          <w:szCs w:val="24"/>
        </w:rPr>
        <w:t xml:space="preserve"> Circola, fra i materiali del caso, un avvertimento a Moro riferito da Corrado Guerzoni e confermato da Eleonora Chiavarelli Moro in sede parlamentare, sempre smentito dall'interessato. Per questa serie il rilievo è uno solo: è parola riferita senza testo, testimonianza contestata di grado B debole, e non entra nel corpus dichiarato. Non va mai data per accertata, né usata come chiave di lettura dei testi editi.</w:t>
      </w:r>
    </w:p>
    <w:p>
      <w:pPr>
        <w:spacing w:after="120" w:line="276"/>
        <w:jc w:val="both"/>
      </w:pPr>
      <w:r>
        <w:rPr>
          <w:rFonts w:ascii="Barlow Semi Condensed" w:cs="Barlow Semi Condensed" w:eastAsia="Barlow Semi Condensed" w:hAnsi="Barlow Semi Condensed"/>
          <w:b/>
          <w:bCs/>
          <w:sz w:val="24"/>
          <w:szCs w:val="24"/>
        </w:rPr>
        <w:t xml:space="preserve">91 · L'eurocomunismo nel codice pubblico.</w:t>
      </w:r>
      <w:r>
        <w:rPr>
          <w:rFonts w:ascii="Barlow Semi Condensed" w:cs="Barlow Semi Condensed" w:eastAsia="Barlow Semi Condensed" w:hAnsi="Barlow Semi Condensed"/>
          <w:sz w:val="24"/>
          <w:szCs w:val="24"/>
        </w:rPr>
        <w:t xml:space="preserve"> Quesito con sede: in quali testi editi, e con quale data, l'ingresso di partiti comunisti occidentali nell'area di governo è trattato esplicitamente? La posizione espressa in sede riservata è documentata dal verbale del 25 settembre 1974; ciò che il codice pubblico dica dello stesso oggetto resta da accertare. La differenza fra i due strati è, per questa serie, il vero oggetto di ricerca.</w:t>
      </w:r>
    </w:p>
    <w:p>
      <w:pPr>
        <w:spacing w:after="120" w:line="276"/>
        <w:jc w:val="both"/>
      </w:pPr>
      <w:r>
        <w:rPr>
          <w:rFonts w:ascii="Barlow Semi Condensed" w:cs="Barlow Semi Condensed" w:eastAsia="Barlow Semi Condensed" w:hAnsi="Barlow Semi Condensed"/>
          <w:b/>
          <w:bCs/>
          <w:sz w:val="24"/>
          <w:szCs w:val="24"/>
        </w:rPr>
        <w:t xml:space="preserve">92 · Il non detto del corpus edito.</w:t>
      </w:r>
      <w:r>
        <w:rPr>
          <w:rFonts w:ascii="Barlow Semi Condensed" w:cs="Barlow Semi Condensed" w:eastAsia="Barlow Semi Condensed" w:hAnsi="Barlow Semi Condensed"/>
          <w:sz w:val="24"/>
          <w:szCs w:val="24"/>
        </w:rPr>
        <w:t xml:space="preserve"> Il corpus dichiarato non tratta l'azione coperta come materia propria: è un silenzio, non una smentita. La regola dei buchi impone di misurarlo e dichiararlo, non di riempirlo: un tema assente dai libri di un autore non prova nulla sulle pratiche di un'amministrazione, e ne prova ancora meno sull'autore. Il buco si verbalizza e resta aperto finché un documento non lo colmi.</w:t>
      </w:r>
    </w:p>
    <w:p>
      <w:pPr>
        <w:spacing w:after="120" w:line="276"/>
        <w:jc w:val="both"/>
      </w:pPr>
      <w:r>
        <w:rPr>
          <w:rFonts w:ascii="Barlow Semi Condensed" w:cs="Barlow Semi Condensed" w:eastAsia="Barlow Semi Condensed" w:hAnsi="Barlow Semi Condensed"/>
          <w:b/>
          <w:bCs/>
          <w:sz w:val="24"/>
          <w:szCs w:val="24"/>
        </w:rPr>
        <w:t xml:space="preserve">93 · Perché il codice va letto in edizione.</w:t>
      </w:r>
      <w:r>
        <w:rPr>
          <w:rFonts w:ascii="Barlow Semi Condensed" w:cs="Barlow Semi Condensed" w:eastAsia="Barlow Semi Condensed" w:hAnsi="Barlow Semi Condensed"/>
          <w:sz w:val="24"/>
          <w:szCs w:val="24"/>
        </w:rPr>
        <w:t xml:space="preserve"> Ogni testo qui elencato circola in più stati: prima edizione, ristampe con prefazioni nuove, traduzioni, antologie. Citare da un'antologia significa citare da una selezione altrui. La disciplina della tracciabilità chiede che ogni passo dottrinale sia addotto con edizione, anno e pagina, e che le varianti d'edizione, quando esistono, siano dichiarate. Senza questo, il confronto fra dottrine non è verificabile da altri.</w:t>
      </w:r>
    </w:p>
    <w:p>
      <w:pPr>
        <w:spacing w:after="120" w:line="276"/>
        <w:jc w:val="both"/>
      </w:pPr>
      <w:r>
        <w:rPr>
          <w:rFonts w:ascii="Barlow Semi Condensed" w:cs="Barlow Semi Condensed" w:eastAsia="Barlow Semi Condensed" w:hAnsi="Barlow Semi Condensed"/>
          <w:b/>
          <w:bCs/>
          <w:sz w:val="24"/>
          <w:szCs w:val="24"/>
        </w:rPr>
        <w:t xml:space="preserve">94 · Yale, le carte private.</w:t>
      </w:r>
      <w:r>
        <w:rPr>
          <w:rFonts w:ascii="Barlow Semi Condensed" w:cs="Barlow Semi Condensed" w:eastAsia="Barlow Semi Condensed" w:hAnsi="Barlow Semi Condensed"/>
          <w:sz w:val="24"/>
          <w:szCs w:val="24"/>
        </w:rPr>
        <w:t xml:space="preserve"> Le carte personali sono depositate presso Manuscripts and Archives della Yale University Library. Bersaglio preliminare: leggere lo strumento di ricerca e le condizioni d'accesso vigenti, comprese le restrizioni temporali su singole serie, prima di programmare qualunque consultazione. È la regola dell'inventario prima del documento, che l'agenda applica a ogni giacimento estero e che qui vale senza eccezioni.</w:t>
      </w:r>
    </w:p>
    <w:p>
      <w:pPr>
        <w:spacing w:after="120" w:line="276"/>
        <w:jc w:val="both"/>
      </w:pPr>
      <w:r>
        <w:rPr>
          <w:rFonts w:ascii="Barlow Semi Condensed" w:cs="Barlow Semi Condensed" w:eastAsia="Barlow Semi Condensed" w:hAnsi="Barlow Semi Condensed"/>
          <w:b/>
          <w:bCs/>
          <w:sz w:val="24"/>
          <w:szCs w:val="24"/>
        </w:rPr>
        <w:t xml:space="preserve">95 · Library of Congress, le carte d'ufficio.</w:t>
      </w:r>
      <w:r>
        <w:rPr>
          <w:rFonts w:ascii="Barlow Semi Condensed" w:cs="Barlow Semi Condensed" w:eastAsia="Barlow Semi Condensed" w:hAnsi="Barlow Semi Condensed"/>
          <w:sz w:val="24"/>
          <w:szCs w:val="24"/>
        </w:rPr>
        <w:t xml:space="preserve"> Le carte prodotte nelle cariche pubbliche furono depositate presso la Manuscript Division della Library of Congress al termine del mandato. L'atto di donazione, con le sue clausole d'accesso, è esso stesso un documento da leggere prima delle carte: stabilisce chi può vedere che cosa e quando. Bersaglio: acquisirne il testo e verbalizzarne le condizioni nel registro delle richieste del corpus.</w:t>
      </w:r>
    </w:p>
    <w:p>
      <w:pPr>
        <w:spacing w:after="120" w:line="276"/>
        <w:jc w:val="both"/>
      </w:pPr>
      <w:r>
        <w:rPr>
          <w:rFonts w:ascii="Barlow Semi Condensed" w:cs="Barlow Semi Condensed" w:eastAsia="Barlow Semi Condensed" w:hAnsi="Barlow Semi Condensed"/>
          <w:b/>
          <w:bCs/>
          <w:sz w:val="24"/>
          <w:szCs w:val="24"/>
        </w:rPr>
        <w:t xml:space="preserve">96 · La lite sull'accesso come documento.</w:t>
      </w:r>
      <w:r>
        <w:rPr>
          <w:rFonts w:ascii="Barlow Semi Condensed" w:cs="Barlow Semi Condensed" w:eastAsia="Barlow Semi Condensed" w:hAnsi="Barlow Semi Condensed"/>
          <w:sz w:val="24"/>
          <w:szCs w:val="24"/>
        </w:rPr>
        <w:t xml:space="preserve"> Sull'accessibilità di quel deposito si aprì negli anni Settanta un contenzioso giudiziario statunitense, concluso nel 1980 da una pronuncia della Corte suprema. La vicenda interessa questa serie non per l'esito ma per ciò che mise a verbale: la natura giuridica delle carte e il confine fra documento pubblico e materiale privato. Estremi e testo vanno verificati sulla raccolta ufficiale delle decisioni.</w:t>
      </w:r>
    </w:p>
    <w:p>
      <w:pPr>
        <w:spacing w:after="120" w:line="276"/>
        <w:jc w:val="both"/>
      </w:pPr>
      <w:r>
        <w:rPr>
          <w:rFonts w:ascii="Barlow Semi Condensed" w:cs="Barlow Semi Condensed" w:eastAsia="Barlow Semi Condensed" w:hAnsi="Barlow Semi Condensed"/>
          <w:b/>
          <w:bCs/>
          <w:sz w:val="24"/>
          <w:szCs w:val="24"/>
        </w:rPr>
        <w:t xml:space="preserve">97 · Le trascrizioni telefoniche.</w:t>
      </w:r>
      <w:r>
        <w:rPr>
          <w:rFonts w:ascii="Barlow Semi Condensed" w:cs="Barlow Semi Condensed" w:eastAsia="Barlow Semi Condensed" w:hAnsi="Barlow Semi Condensed"/>
          <w:sz w:val="24"/>
          <w:szCs w:val="24"/>
        </w:rPr>
        <w:t xml:space="preserve"> Delle conversazioni telefoniche furono conservate trascrizioni d'ufficio, la cui collocazione e il cui regime d'accesso mutarono nel tempo per iniziative di ricerca e per contenzioso. Bersaglio: accertare presso quale istituto la serie sia oggi conservata, quale porzione sia consultabile e con quali omissis. È materiale che documenta la parola detta, non il testo scritto: uno strato diverso, e prezioso.</w:t>
      </w:r>
    </w:p>
    <w:p>
      <w:pPr>
        <w:spacing w:after="120" w:line="276"/>
        <w:jc w:val="both"/>
      </w:pPr>
      <w:r>
        <w:rPr>
          <w:rFonts w:ascii="Barlow Semi Condensed" w:cs="Barlow Semi Condensed" w:eastAsia="Barlow Semi Condensed" w:hAnsi="Barlow Semi Condensed"/>
          <w:b/>
          <w:bCs/>
          <w:sz w:val="24"/>
          <w:szCs w:val="24"/>
        </w:rPr>
        <w:t xml:space="preserve">98 · FRUS non è l'archivio.</w:t>
      </w:r>
      <w:r>
        <w:rPr>
          <w:rFonts w:ascii="Barlow Semi Condensed" w:cs="Barlow Semi Condensed" w:eastAsia="Barlow Semi Condensed" w:hAnsi="Barlow Semi Condensed"/>
          <w:sz w:val="24"/>
          <w:szCs w:val="24"/>
        </w:rPr>
        <w:t xml:space="preserve"> Foreign Relations of the United States è una selezione ufficiale curata, non il fondo. L'agenda lo fissa già al blocco 134: ogni nota a piè di pagina è una segnatura da seguire. Applicato alla dottrina, il principio dice che i documenti editi in FRUS vanno usati come porta d'ingresso agli originali, e che nessuna assenza in FRUS equivale ad assenza in archivio.</w:t>
      </w:r>
    </w:p>
    <w:p>
      <w:pPr>
        <w:spacing w:after="120" w:line="276"/>
        <w:jc w:val="both"/>
      </w:pPr>
      <w:r>
        <w:rPr>
          <w:rFonts w:ascii="Barlow Semi Condensed" w:cs="Barlow Semi Condensed" w:eastAsia="Barlow Semi Condensed" w:hAnsi="Barlow Semi Condensed"/>
          <w:b/>
          <w:bCs/>
          <w:sz w:val="24"/>
          <w:szCs w:val="24"/>
        </w:rPr>
        <w:t xml:space="preserve">99 · Leggere la prefazione del volume.</w:t>
      </w:r>
      <w:r>
        <w:rPr>
          <w:rFonts w:ascii="Barlow Semi Condensed" w:cs="Barlow Semi Condensed" w:eastAsia="Barlow Semi Condensed" w:hAnsi="Barlow Semi Condensed"/>
          <w:sz w:val="24"/>
          <w:szCs w:val="24"/>
        </w:rPr>
        <w:t xml:space="preserve"> Ogni volume FRUS reca una nota sui criteri di selezione e sullo stato della declassificazione. Leggerla è parte del metodo: dice che cosa il curatore ha escluso e perché. Chi cita un documento senza aver letto quella nota ignora il perimetro entro cui sta citando. La tavola dei criteri, volume per volume, è bersaglio preliminare a ogni spoglio dottrinale.</w:t>
      </w:r>
    </w:p>
    <w:p>
      <w:pPr>
        <w:spacing w:after="120" w:line="276"/>
        <w:jc w:val="both"/>
      </w:pPr>
      <w:r>
        <w:rPr>
          <w:rFonts w:ascii="Barlow Semi Condensed" w:cs="Barlow Semi Condensed" w:eastAsia="Barlow Semi Condensed" w:hAnsi="Barlow Semi Condensed"/>
          <w:b/>
          <w:bCs/>
          <w:sz w:val="24"/>
          <w:szCs w:val="24"/>
        </w:rPr>
        <w:t xml:space="preserve">100 · I materiali Nixon a College Park.</w:t>
      </w:r>
      <w:r>
        <w:rPr>
          <w:rFonts w:ascii="Barlow Semi Condensed" w:cs="Barlow Semi Condensed" w:eastAsia="Barlow Semi Condensed" w:hAnsi="Barlow Semi Condensed"/>
          <w:sz w:val="24"/>
          <w:szCs w:val="24"/>
        </w:rPr>
        <w:t xml:space="preserve"> Per gli anni 1969-1974 la sede primaria sono i Nixon Presidential Materials, coi National Security Council Files e i Country Files, presso i National Archives di College Park. A quella cornice appartiene il memorandum dell'incontro delle Azzorre fra Nixon e Spínola del 19 giugno 1974, che il corpus registra come fatto pubblico. Il bersaglio dottrinale coincide col fattuale: stessi faldoni, domande diverse.</w:t>
      </w:r>
    </w:p>
    <w:p>
      <w:pPr>
        <w:spacing w:after="120" w:line="276"/>
        <w:jc w:val="both"/>
      </w:pPr>
      <w:r>
        <w:rPr>
          <w:rFonts w:ascii="Barlow Semi Condensed" w:cs="Barlow Semi Condensed" w:eastAsia="Barlow Semi Condensed" w:hAnsi="Barlow Semi Condensed"/>
          <w:b/>
          <w:bCs/>
          <w:sz w:val="24"/>
          <w:szCs w:val="24"/>
        </w:rPr>
        <w:t xml:space="preserve">101 · Ford Library, la coppia dei verbali.</w:t>
      </w:r>
      <w:r>
        <w:rPr>
          <w:rFonts w:ascii="Barlow Semi Condensed" w:cs="Barlow Semi Condensed" w:eastAsia="Barlow Semi Condensed" w:hAnsi="Barlow Semi Condensed"/>
          <w:sz w:val="24"/>
          <w:szCs w:val="24"/>
        </w:rPr>
        <w:t xml:space="preserve"> Alla Gerald R. Ford Presidential Library i memoranda of conversation del consigliere per la sicurezza nazionale conservano il verbale del 25 settembre 1974 nello Studio Ovale con Leone, Moro, Ford e Kissinger (doc. 1552802), edito anche in FRUS 1969-1976, volume E-15 parte seconda, documento 350, e quello del giorno successivo (doc. 1552806). Fatto pubblico documentato: è la coppia meglio servita dell'intera triangolazione.</w:t>
      </w:r>
    </w:p>
    <w:p>
      <w:pPr>
        <w:spacing w:after="120" w:line="276"/>
        <w:jc w:val="both"/>
      </w:pPr>
      <w:r>
        <w:rPr>
          <w:rFonts w:ascii="Barlow Semi Condensed" w:cs="Barlow Semi Condensed" w:eastAsia="Barlow Semi Condensed" w:hAnsi="Barlow Semi Condensed"/>
          <w:b/>
          <w:bCs/>
          <w:sz w:val="24"/>
          <w:szCs w:val="24"/>
        </w:rPr>
        <w:t xml:space="preserve">102 · Atlanta e il decennio successivo.</w:t>
      </w:r>
      <w:r>
        <w:rPr>
          <w:rFonts w:ascii="Barlow Semi Condensed" w:cs="Barlow Semi Condensed" w:eastAsia="Barlow Semi Condensed" w:hAnsi="Barlow Semi Condensed"/>
          <w:sz w:val="24"/>
          <w:szCs w:val="24"/>
        </w:rPr>
        <w:t xml:space="preserve"> Il sequestro del 1978 cade sotto un'altra presidenza: la sede pertinente è la Jimmy Carter Presidential Library, col fondo del consigliere per la sicurezza nazionale e il suo fascicolo italiano, che l'agenda indica al blocco 133 come processato e aperto. Per la serie dottrinale il rilievo è preciso: nel 1978 l'autore del codice non aveva carica, e la sua parola è parola privata.</w:t>
      </w:r>
    </w:p>
    <w:p>
      <w:pPr>
        <w:spacing w:after="120" w:line="276"/>
        <w:jc w:val="both"/>
      </w:pPr>
      <w:r>
        <w:rPr>
          <w:rFonts w:ascii="Barlow Semi Condensed" w:cs="Barlow Semi Condensed" w:eastAsia="Barlow Semi Condensed" w:hAnsi="Barlow Semi Condensed"/>
          <w:b/>
          <w:bCs/>
          <w:sz w:val="24"/>
          <w:szCs w:val="24"/>
        </w:rPr>
        <w:t xml:space="preserve">103 · Carica e voce privata, distinte.</w:t>
      </w:r>
      <w:r>
        <w:rPr>
          <w:rFonts w:ascii="Barlow Semi Condensed" w:cs="Barlow Semi Condensed" w:eastAsia="Barlow Semi Condensed" w:hAnsi="Barlow Semi Condensed"/>
          <w:sz w:val="24"/>
          <w:szCs w:val="24"/>
        </w:rPr>
        <w:t xml:space="preserve"> Dal gennaio 1977 non ricoprì più incarichi di governo. Ogni dichiarazione successiva — interviste, conferenze, memorie — è di cittadino privato e non impegna alcun apparato. È distinzione elementare e costantemente dimenticata da chi cita indifferentemente il segretario di Stato del 1974 e il commentatore del decennio seguente. Nella tavola dei testi ogni voce porterà perciò la qualità dell'autore alla data.</w:t>
      </w:r>
    </w:p>
    <w:p>
      <w:pPr>
        <w:spacing w:after="120" w:line="276"/>
        <w:jc w:val="both"/>
      </w:pPr>
      <w:r>
        <w:rPr>
          <w:rFonts w:ascii="Barlow Semi Condensed" w:cs="Barlow Semi Condensed" w:eastAsia="Barlow Semi Condensed" w:hAnsi="Barlow Semi Condensed"/>
          <w:b/>
          <w:bCs/>
          <w:sz w:val="24"/>
          <w:szCs w:val="24"/>
        </w:rPr>
        <w:t xml:space="preserve">104 · Le raccolte digitali e i loro limiti.</w:t>
      </w:r>
      <w:r>
        <w:rPr>
          <w:rFonts w:ascii="Barlow Semi Condensed" w:cs="Barlow Semi Condensed" w:eastAsia="Barlow Semi Condensed" w:hAnsi="Barlow Semi Condensed"/>
          <w:sz w:val="24"/>
          <w:szCs w:val="24"/>
        </w:rPr>
        <w:t xml:space="preserve"> Per il versante americano il corpus dispone già degli strumenti: la sala di lettura elettronica dell'agenzia, la banca dati full-text dei telegrammi del 1978, la collezione a microfiche intitolata a Moro nella biblioteca FOIA del Dipartimento, il censimento delle withdrawal cards. Sono i blocchi 127-132 dell'agenda. Per la serie dottrinale servono a una cosa sola: datare al giorno le posizioni dichiarate.</w:t>
      </w:r>
    </w:p>
    <w:p>
      <w:pPr>
        <w:spacing w:after="120" w:line="276"/>
        <w:jc w:val="both"/>
      </w:pPr>
      <w:r>
        <w:rPr>
          <w:rFonts w:ascii="Barlow Semi Condensed" w:cs="Barlow Semi Condensed" w:eastAsia="Barlow Semi Condensed" w:hAnsi="Barlow Semi Condensed"/>
          <w:b/>
          <w:bCs/>
          <w:sz w:val="24"/>
          <w:szCs w:val="24"/>
        </w:rPr>
        <w:t xml:space="preserve">105 · Il vuoto d'archivio si verbalizza.</w:t>
      </w:r>
      <w:r>
        <w:rPr>
          <w:rFonts w:ascii="Barlow Semi Condensed" w:cs="Barlow Semi Condensed" w:eastAsia="Barlow Semi Condensed" w:hAnsi="Barlow Semi Condensed"/>
          <w:sz w:val="24"/>
          <w:szCs w:val="24"/>
        </w:rPr>
        <w:t xml:space="preserve"> Se una ricerca dottrinale in una di queste sedi non produce nulla, l'esito si registra con perimetro esatto — serie interrogata, chiave di ricerca, data — secondo la regola che l'agenda fissa al blocco 285. Uno Stato Zero dottrinale vale quanto uno fattuale: dice a chi verrà dopo dove non conviene tornare, e a quali condizioni converrebbe tornarci.</w:t>
      </w:r>
    </w:p>
    <w:p>
      <w:pPr>
        <w:spacing w:after="120" w:line="276"/>
        <w:jc w:val="both"/>
      </w:pPr>
      <w:r>
        <w:rPr>
          <w:rFonts w:ascii="Barlow Semi Condensed" w:cs="Barlow Semi Condensed" w:eastAsia="Barlow Semi Condensed" w:hAnsi="Barlow Semi Condensed"/>
          <w:b/>
          <w:bCs/>
          <w:sz w:val="24"/>
          <w:szCs w:val="24"/>
        </w:rPr>
        <w:t xml:space="preserve">106 · La tavola delle sedi.</w:t>
      </w:r>
      <w:r>
        <w:rPr>
          <w:rFonts w:ascii="Barlow Semi Condensed" w:cs="Barlow Semi Condensed" w:eastAsia="Barlow Semi Condensed" w:hAnsi="Barlow Semi Condensed"/>
          <w:sz w:val="24"/>
          <w:szCs w:val="24"/>
        </w:rPr>
        <w:t xml:space="preserve"> Chiusura del sotto-arco archivistico: una tavola che per ciascun testo del codice dichiarato registri due indirizzi, quello dell'edizione autorevole e quello delle minute. È la gemella dottrinale della tavola del giacimento estero che l'agenda tiene al blocco 155. Nessun passo entra nella serie senza indirizzo: una citazione senza sede è, per questo corpus, una citazione non ancora avvenuta.</w:t>
      </w:r>
    </w:p>
    <w:p>
      <w:pPr>
        <w:spacing w:after="120" w:line="276"/>
        <w:jc w:val="both"/>
      </w:pPr>
      <w:r>
        <w:rPr>
          <w:rFonts w:ascii="Barlow Semi Condensed" w:cs="Barlow Semi Condensed" w:eastAsia="Barlow Semi Condensed" w:hAnsi="Barlow Semi Condensed"/>
          <w:b/>
          <w:bCs/>
          <w:sz w:val="24"/>
          <w:szCs w:val="24"/>
        </w:rPr>
        <w:t xml:space="preserve">107 · Dottrina scritta e dottrina praticata.</w:t>
      </w:r>
      <w:r>
        <w:rPr>
          <w:rFonts w:ascii="Barlow Semi Condensed" w:cs="Barlow Semi Condensed" w:eastAsia="Barlow Semi Condensed" w:hAnsi="Barlow Semi Condensed"/>
          <w:sz w:val="24"/>
          <w:szCs w:val="24"/>
        </w:rPr>
        <w:t xml:space="preserve"> Una dottrina scritta è un testo; una dottrina praticata è una serie di atti. Fra le due non corre né identità né necessaria contraddizione: corre un rapporto da misurare documento per documento. La serie non presume che gli atti eseguano i testi, né che li smentiscano: chiede, per ogni proposizione dichiarata, quale atto la renderebbe verificabile e dove quell'atto si troverebbe.</w:t>
      </w:r>
    </w:p>
    <w:p>
      <w:pPr>
        <w:spacing w:after="120" w:line="276"/>
        <w:jc w:val="both"/>
      </w:pPr>
      <w:r>
        <w:rPr>
          <w:rFonts w:ascii="Barlow Semi Condensed" w:cs="Barlow Semi Condensed" w:eastAsia="Barlow Semi Condensed" w:hAnsi="Barlow Semi Condensed"/>
          <w:b/>
          <w:bCs/>
          <w:sz w:val="24"/>
          <w:szCs w:val="24"/>
        </w:rPr>
        <w:t xml:space="preserve">108 · I tre esiti possibili del confronto.</w:t>
      </w:r>
      <w:r>
        <w:rPr>
          <w:rFonts w:ascii="Barlow Semi Condensed" w:cs="Barlow Semi Condensed" w:eastAsia="Barlow Semi Condensed" w:hAnsi="Barlow Semi Condensed"/>
          <w:sz w:val="24"/>
          <w:szCs w:val="24"/>
        </w:rPr>
        <w:t xml:space="preserve"> Il confronto fra strato dichiarato e strato degli atti può dare tre esiti: conformità, silenzio, contraddizione. Tutti e tre sono risultati. La contraddizione, in particolare, non prova di per sé la malafede: può essere adattamento all'ambiente, mutamento d'opinione databile, o effetto di un vincolo. Prima di leggerla come doppiezza occorre escludere le altre spiegazioni, ciascuna con il suo documento.</w:t>
      </w:r>
    </w:p>
    <w:p>
      <w:pPr>
        <w:spacing w:after="120" w:line="276"/>
        <w:jc w:val="both"/>
      </w:pPr>
      <w:r>
        <w:rPr>
          <w:rFonts w:ascii="Barlow Semi Condensed" w:cs="Barlow Semi Condensed" w:eastAsia="Barlow Semi Condensed" w:hAnsi="Barlow Semi Condensed"/>
          <w:b/>
          <w:bCs/>
          <w:sz w:val="24"/>
          <w:szCs w:val="24"/>
        </w:rPr>
        <w:t xml:space="preserve">109 · Quali passi sono verificabili sugli atti.</w:t>
      </w:r>
      <w:r>
        <w:rPr>
          <w:rFonts w:ascii="Barlow Semi Condensed" w:cs="Barlow Semi Condensed" w:eastAsia="Barlow Semi Condensed" w:hAnsi="Barlow Semi Condensed"/>
          <w:sz w:val="24"/>
          <w:szCs w:val="24"/>
        </w:rPr>
        <w:t xml:space="preserve"> Il quesito operativo della serie. Sono verificabili soltanto i passi che predicano qualcosa di controllabile: una preferenza per una procedura, una valutazione su un paese, una posizione annunciata. La preoccupazione documentata per un regime neutralista di sinistra a Lisbona nel 1974 è l'esempio-tipo: proposizione datata, attribuita, confrontabile con gli atti coevi. La tavola di questi passi è il prodotto centrale della serie.</w:t>
      </w:r>
    </w:p>
    <w:p>
      <w:pPr>
        <w:spacing w:after="120" w:line="276"/>
        <w:jc w:val="both"/>
      </w:pPr>
      <w:r>
        <w:rPr>
          <w:rFonts w:ascii="Barlow Semi Condensed" w:cs="Barlow Semi Condensed" w:eastAsia="Barlow Semi Condensed" w:hAnsi="Barlow Semi Condensed"/>
          <w:b/>
          <w:bCs/>
          <w:sz w:val="24"/>
          <w:szCs w:val="24"/>
        </w:rPr>
        <w:t xml:space="preserve">110 · Ciò che nessun atto può verificare.</w:t>
      </w:r>
      <w:r>
        <w:rPr>
          <w:rFonts w:ascii="Barlow Semi Condensed" w:cs="Barlow Semi Condensed" w:eastAsia="Barlow Semi Condensed" w:hAnsi="Barlow Semi Condensed"/>
          <w:sz w:val="24"/>
          <w:szCs w:val="24"/>
        </w:rPr>
        <w:t xml:space="preserve"> I passi che enunciano una filosofia della storia, un'antropologia del potere o un giudizio sulla tragicità dell'azione politica non sono verificabili su atti: non sono né veri né falsi in senso archivistico. Marcarli come tali non significa svalutarli, ma non chiedere loro ciò che non possono dare. Confondere i due generi produce false conferme e false smentite in egual misura.</w:t>
      </w:r>
    </w:p>
    <w:p>
      <w:pPr>
        <w:spacing w:after="120" w:line="276"/>
        <w:jc w:val="both"/>
      </w:pPr>
      <w:r>
        <w:rPr>
          <w:rFonts w:ascii="Barlow Semi Condensed" w:cs="Barlow Semi Condensed" w:eastAsia="Barlow Semi Condensed" w:hAnsi="Barlow Semi Condensed"/>
          <w:b/>
          <w:bCs/>
          <w:sz w:val="24"/>
          <w:szCs w:val="24"/>
        </w:rPr>
        <w:t xml:space="preserve">111 · Il caso italiano come banco di prova.</w:t>
      </w:r>
      <w:r>
        <w:rPr>
          <w:rFonts w:ascii="Barlow Semi Condensed" w:cs="Barlow Semi Condensed" w:eastAsia="Barlow Semi Condensed" w:hAnsi="Barlow Semi Condensed"/>
          <w:sz w:val="24"/>
          <w:szCs w:val="24"/>
        </w:rPr>
        <w:t xml:space="preserve"> Sull'Italia il corpus edito dice poco; il verbale riservato dice molto. Questo scarto è il banco di prova della serie: mostra che dottrina dichiarata e posizione operativa possono stare su strati di densità diversissima. La conseguenza metodica è netta: non si ricostruisce una politica italiana dai libri, né una dottrina dai verbali. Si tengono i due strati distinti e si misura la distanza.</w:t>
      </w:r>
    </w:p>
    <w:p>
      <w:pPr>
        <w:spacing w:after="120" w:line="276"/>
        <w:jc w:val="both"/>
      </w:pPr>
      <w:r>
        <w:rPr>
          <w:rFonts w:ascii="Barlow Semi Condensed" w:cs="Barlow Semi Condensed" w:eastAsia="Barlow Semi Condensed" w:hAnsi="Barlow Semi Condensed"/>
          <w:b/>
          <w:bCs/>
          <w:sz w:val="24"/>
          <w:szCs w:val="24"/>
        </w:rPr>
        <w:t xml:space="preserve">112 · La frase del 25 settembre 1974.</w:t>
      </w:r>
      <w:r>
        <w:rPr>
          <w:rFonts w:ascii="Barlow Semi Condensed" w:cs="Barlow Semi Condensed" w:eastAsia="Barlow Semi Condensed" w:hAnsi="Barlow Semi Condensed"/>
          <w:sz w:val="24"/>
          <w:szCs w:val="24"/>
        </w:rPr>
        <w:t xml:space="preserve"> Il verbale attesta che alla vigilia dell'incontro fu detto al presidente che agli italiani andasse parlato con durezza: qualunque presenza comunista al governo avrebbe mutato le relazioni, con un rischio di contagio indicato per Francia, Germania e Grecia. È fatto pubblico documentato, grado A come testo. Attesta una posizione espressa; non attesta alcuna posizione di Moro in quella sede, che non va inferita.</w:t>
      </w:r>
    </w:p>
    <w:p>
      <w:pPr>
        <w:spacing w:after="120" w:line="276"/>
        <w:jc w:val="both"/>
      </w:pPr>
      <w:r>
        <w:rPr>
          <w:rFonts w:ascii="Barlow Semi Condensed" w:cs="Barlow Semi Condensed" w:eastAsia="Barlow Semi Condensed" w:hAnsi="Barlow Semi Condensed"/>
          <w:b/>
          <w:bCs/>
          <w:sz w:val="24"/>
          <w:szCs w:val="24"/>
        </w:rPr>
        <w:t xml:space="preserve">113 · Il verbale del 26 settembre, non esaurito.</w:t>
      </w:r>
      <w:r>
        <w:rPr>
          <w:rFonts w:ascii="Barlow Semi Condensed" w:cs="Barlow Semi Condensed" w:eastAsia="Barlow Semi Condensed" w:hAnsi="Barlow Semi Condensed"/>
          <w:sz w:val="24"/>
          <w:szCs w:val="24"/>
        </w:rPr>
        <w:t xml:space="preserve"> Il colloquio del giorno successivo (doc. 1552806) è parimenti disponibile presso la Ford Library. Il corpus lo cita ma non ne ha compiuto lo spoglio integrale: è, allo stato, un bersaglio aperto. Bersaglio: trascriverlo per intero, marcare le proposizioni dottrinali che contiene e collazionarle col testo del giorno prima. Due verbali consecutivi sono, per la filologia della parola detta, un caso di controllo.</w:t>
      </w:r>
    </w:p>
    <w:p>
      <w:pPr>
        <w:spacing w:after="120" w:line="276"/>
        <w:jc w:val="both"/>
      </w:pPr>
      <w:r>
        <w:rPr>
          <w:rFonts w:ascii="Barlow Semi Condensed" w:cs="Barlow Semi Condensed" w:eastAsia="Barlow Semi Condensed" w:hAnsi="Barlow Semi Condensed"/>
          <w:b/>
          <w:bCs/>
          <w:sz w:val="24"/>
          <w:szCs w:val="24"/>
        </w:rPr>
        <w:t xml:space="preserve">114 · Il verbale che dice il contrario.</w:t>
      </w:r>
      <w:r>
        <w:rPr>
          <w:rFonts w:ascii="Barlow Semi Condensed" w:cs="Barlow Semi Condensed" w:eastAsia="Barlow Semi Condensed" w:hAnsi="Barlow Semi Condensed"/>
          <w:sz w:val="24"/>
          <w:szCs w:val="24"/>
        </w:rPr>
        <w:t xml:space="preserve"> La riunione del Comitato dei 303 dell'11 marzo 1969, edita in FRUS volume XLI documento 180, registra l'accordo unanime sull'assenza di reale giustificazione per riprendere il finanziamento coperto ai partiti italiani. È documento che contraddice l'attesa di una lettura combinatoria, e proprio per questo va riportato per primo: la disciplina delle divergenze impone di pubblicare l'atto che indebolisce l'ipotesi.</w:t>
      </w:r>
    </w:p>
    <w:p>
      <w:pPr>
        <w:spacing w:after="120" w:line="276"/>
        <w:jc w:val="both"/>
      </w:pPr>
      <w:r>
        <w:rPr>
          <w:rFonts w:ascii="Barlow Semi Condensed" w:cs="Barlow Semi Condensed" w:eastAsia="Barlow Semi Condensed" w:hAnsi="Barlow Semi Condensed"/>
          <w:b/>
          <w:bCs/>
          <w:sz w:val="24"/>
          <w:szCs w:val="24"/>
        </w:rPr>
        <w:t xml:space="preserve">115 · Ordinare uno studio non è agire.</w:t>
      </w:r>
      <w:r>
        <w:rPr>
          <w:rFonts w:ascii="Barlow Semi Condensed" w:cs="Barlow Semi Condensed" w:eastAsia="Barlow Semi Condensed" w:hAnsi="Barlow Semi Condensed"/>
          <w:sz w:val="24"/>
          <w:szCs w:val="24"/>
        </w:rPr>
        <w:t xml:space="preserve"> L'istruzione presidenziale del dicembre 1969 di avviare uno studio sull'Italia, edita nello stesso volume al documento 188, documenta un'attenzione, non una decisione operativa. La distinzione fra ordine di studiare e ordine di agire è elementare e va tenuta ferma: molte ricostruzioni la perdono per via, trasformando un promemoria istruttorio nella prova di un programma. Il documento dice ciò che dice.</w:t>
      </w:r>
    </w:p>
    <w:p>
      <w:pPr>
        <w:spacing w:after="120" w:line="276"/>
        <w:jc w:val="both"/>
      </w:pPr>
      <w:r>
        <w:rPr>
          <w:rFonts w:ascii="Barlow Semi Condensed" w:cs="Barlow Semi Condensed" w:eastAsia="Barlow Semi Condensed" w:hAnsi="Barlow Semi Condensed"/>
          <w:b/>
          <w:bCs/>
          <w:sz w:val="24"/>
          <w:szCs w:val="24"/>
        </w:rPr>
        <w:t xml:space="preserve">116 · Il riemergere del 1975 e del 1976.</w:t>
      </w:r>
      <w:r>
        <w:rPr>
          <w:rFonts w:ascii="Barlow Semi Condensed" w:cs="Barlow Semi Condensed" w:eastAsia="Barlow Semi Condensed" w:hAnsi="Barlow Semi Condensed"/>
          <w:sz w:val="24"/>
          <w:szCs w:val="24"/>
        </w:rPr>
        <w:t xml:space="preserve"> Una letteratura sottoposta a revisione paritaria segnala che il programma di azione coperta in Italia riemerse nel novembre 1975 e nel luglio 1976. Il dato è acquisito dal corpus per via secondaria: le segnature primarie che lo fondano restano da raggiungere. Bersaglio: risalire dalle note del saggio ai documenti originali e verbalizzare l'esito. Un dato citato non è ancora un dato letto.</w:t>
      </w:r>
    </w:p>
    <w:p>
      <w:pPr>
        <w:spacing w:after="120" w:line="276"/>
        <w:jc w:val="both"/>
      </w:pPr>
      <w:r>
        <w:rPr>
          <w:rFonts w:ascii="Barlow Semi Condensed" w:cs="Barlow Semi Condensed" w:eastAsia="Barlow Semi Condensed" w:hAnsi="Barlow Semi Condensed"/>
          <w:b/>
          <w:bCs/>
          <w:sz w:val="24"/>
          <w:szCs w:val="24"/>
        </w:rPr>
        <w:t xml:space="preserve">117 · La regola del confronto fra testi.</w:t>
      </w:r>
      <w:r>
        <w:rPr>
          <w:rFonts w:ascii="Barlow Semi Condensed" w:cs="Barlow Semi Condensed" w:eastAsia="Barlow Semi Condensed" w:hAnsi="Barlow Semi Condensed"/>
          <w:sz w:val="24"/>
          <w:szCs w:val="24"/>
        </w:rPr>
        <w:t xml:space="preserve"> Ciò che segue confronta testi, non persone. Nessun blocco inferisce un rapporto fra Aldo Moro e Henry Alfred Kissinger da una consonanza o da una dissonanza dei loro scritti. Né la somiglianza né la distanza fra due dottrine costituiscono un ponte: sono proprietà di pagine, non di relazioni. Chi legga questa sezione come un duello fra due uomini ne ha invertito il senso.</w:t>
      </w:r>
    </w:p>
    <w:p>
      <w:pPr>
        <w:spacing w:after="120" w:line="276"/>
        <w:jc w:val="both"/>
      </w:pPr>
      <w:r>
        <w:rPr>
          <w:rFonts w:ascii="Barlow Semi Condensed" w:cs="Barlow Semi Condensed" w:eastAsia="Barlow Semi Condensed" w:hAnsi="Barlow Semi Condensed"/>
          <w:b/>
          <w:bCs/>
          <w:sz w:val="24"/>
          <w:szCs w:val="24"/>
        </w:rPr>
        <w:t xml:space="preserve">118 · Due corpora e la loro asimmetria.</w:t>
      </w:r>
      <w:r>
        <w:rPr>
          <w:rFonts w:ascii="Barlow Semi Condensed" w:cs="Barlow Semi Condensed" w:eastAsia="Barlow Semi Condensed" w:hAnsi="Barlow Semi Condensed"/>
          <w:sz w:val="24"/>
          <w:szCs w:val="24"/>
        </w:rPr>
        <w:t xml:space="preserve"> Prima di confrontare, si confrontino i generi. Da un lato libri accademici in inglese, saggi di rivista e memorie d'autore; dall'altro discorsi parlamentari e congressuali in italiano, articoli di giornale, carte di governo, un'opera edita solo in parte. L'asimmetria non è un difetto da correggere: è il primo risultato del confronto, e va dichiarata prima di ogni accostamento di contenuto.</w:t>
      </w:r>
    </w:p>
    <w:p>
      <w:pPr>
        <w:spacing w:after="120" w:line="276"/>
        <w:jc w:val="both"/>
      </w:pPr>
      <w:r>
        <w:rPr>
          <w:rFonts w:ascii="Barlow Semi Condensed" w:cs="Barlow Semi Condensed" w:eastAsia="Barlow Semi Condensed" w:hAnsi="Barlow Semi Condensed"/>
          <w:b/>
          <w:bCs/>
          <w:sz w:val="24"/>
          <w:szCs w:val="24"/>
        </w:rPr>
        <w:t xml:space="preserve">119 · L'edizione morotea disponibile.</w:t>
      </w:r>
      <w:r>
        <w:rPr>
          <w:rFonts w:ascii="Barlow Semi Condensed" w:cs="Barlow Semi Condensed" w:eastAsia="Barlow Semi Condensed" w:hAnsi="Barlow Semi Condensed"/>
          <w:sz w:val="24"/>
          <w:szCs w:val="24"/>
        </w:rPr>
        <w:t xml:space="preserve"> Per il versante italiano le sedi sono note: i Discorsi parlamentari editi dalla Camera nel 1996 in due volumi, l'edizione digitale delle carte, il fondo personale all'Archivio centrale dello Stato e il deposito con segnatura propria all'Archivio storico del Senato, che la seconda campagna della Farnesina ha aggiunto ai tre nuclei registrati ai blocchi 221-223 e 235 dei cantieri.</w:t>
      </w:r>
    </w:p>
    <w:p>
      <w:pPr>
        <w:spacing w:after="120" w:line="276"/>
        <w:jc w:val="both"/>
      </w:pPr>
      <w:r>
        <w:rPr>
          <w:rFonts w:ascii="Barlow Semi Condensed" w:cs="Barlow Semi Condensed" w:eastAsia="Barlow Semi Condensed" w:hAnsi="Barlow Semi Condensed"/>
          <w:b/>
          <w:bCs/>
          <w:sz w:val="24"/>
          <w:szCs w:val="24"/>
        </w:rPr>
        <w:t xml:space="preserve">120 · Il testo fondatore dell'attenzione.</w:t>
      </w:r>
      <w:r>
        <w:rPr>
          <w:rFonts w:ascii="Barlow Semi Condensed" w:cs="Barlow Semi Condensed" w:eastAsia="Barlow Semi Condensed" w:hAnsi="Barlow Semi Condensed"/>
          <w:sz w:val="24"/>
          <w:szCs w:val="24"/>
        </w:rPr>
        <w:t xml:space="preserve"> La strategia dell'attenzione è formulata compiutamente nel discorso al primo congresso regionale pugliese della Democrazia Cristiana, tenuto a Bari il 15 giugno 1969. Bersaglio primo del versante italiano: stabilire il testo autorevole di quel discorso — atti congressuali, stesure conservate nei fondi, eventuale versione a stampa — e non citarlo, come oggi accade, da voci enciclopediche e da relazioni convegnistiche.</w:t>
      </w:r>
    </w:p>
    <w:p>
      <w:pPr>
        <w:spacing w:after="120" w:line="276"/>
        <w:jc w:val="both"/>
      </w:pPr>
      <w:r>
        <w:rPr>
          <w:rFonts w:ascii="Barlow Semi Condensed" w:cs="Barlow Semi Condensed" w:eastAsia="Barlow Semi Condensed" w:hAnsi="Barlow Semi Condensed"/>
          <w:b/>
          <w:bCs/>
          <w:sz w:val="24"/>
          <w:szCs w:val="24"/>
        </w:rPr>
        <w:t xml:space="preserve">121 · La terza fase e il suo articolo.</w:t>
      </w:r>
      <w:r>
        <w:rPr>
          <w:rFonts w:ascii="Barlow Semi Condensed" w:cs="Barlow Semi Condensed" w:eastAsia="Barlow Semi Condensed" w:hAnsi="Barlow Semi Condensed"/>
          <w:sz w:val="24"/>
          <w:szCs w:val="24"/>
        </w:rPr>
        <w:t xml:space="preserve"> L'espressione terza fase compare in un articolo per Il Giorno del dicembre 1976. Bersaglio: accertarne il giorno esatto, la pagina e il titolo, e acquisirne la riproduzione. Un articolo di giornale si data al giorno, e il giorno importa: colloca la formulazione rispetto alle elezioni del giugno 1976 e alla trattativa che porterà al governo del marzo 1978.</w:t>
      </w:r>
    </w:p>
    <w:p>
      <w:pPr>
        <w:spacing w:after="120" w:line="276"/>
        <w:jc w:val="both"/>
      </w:pPr>
      <w:r>
        <w:rPr>
          <w:rFonts w:ascii="Barlow Semi Condensed" w:cs="Barlow Semi Condensed" w:eastAsia="Barlow Semi Condensed" w:hAnsi="Barlow Semi Condensed"/>
          <w:b/>
          <w:bCs/>
          <w:sz w:val="24"/>
          <w:szCs w:val="24"/>
        </w:rPr>
        <w:t xml:space="preserve">122 · Le due proposizioni, affiancate.</w:t>
      </w:r>
      <w:r>
        <w:rPr>
          <w:rFonts w:ascii="Barlow Semi Condensed" w:cs="Barlow Semi Condensed" w:eastAsia="Barlow Semi Condensed" w:hAnsi="Barlow Semi Condensed"/>
          <w:sz w:val="24"/>
          <w:szCs w:val="24"/>
        </w:rPr>
        <w:t xml:space="preserve"> Si affianchino le due tesi centrali nella loro forma più asciutta. Da una parte: quanto più le masse popolari acquistano il senso dello Stato attraverso la propria integrazione, tanto più la democrazia è forte e si evitano le tentazioni autoritarie. Dall'altra: un ordine è stabile quando i suoi protagonisti ne accettano la cornice come legittima. Stessa forma logica, soggetti diversi.</w:t>
      </w:r>
    </w:p>
    <w:p>
      <w:pPr>
        <w:spacing w:after="120" w:line="276"/>
        <w:jc w:val="both"/>
      </w:pPr>
      <w:r>
        <w:rPr>
          <w:rFonts w:ascii="Barlow Semi Condensed" w:cs="Barlow Semi Condensed" w:eastAsia="Barlow Semi Condensed" w:hAnsi="Barlow Semi Condensed"/>
          <w:b/>
          <w:bCs/>
          <w:sz w:val="24"/>
          <w:szCs w:val="24"/>
        </w:rPr>
        <w:t xml:space="preserve">123 · Omonimia non è omologia.</w:t>
      </w:r>
      <w:r>
        <w:rPr>
          <w:rFonts w:ascii="Barlow Semi Condensed" w:cs="Barlow Semi Condensed" w:eastAsia="Barlow Semi Condensed" w:hAnsi="Barlow Semi Condensed"/>
          <w:sz w:val="24"/>
          <w:szCs w:val="24"/>
        </w:rPr>
        <w:t xml:space="preserve"> Equilibrio, legittimità e stabilità ricorrono in entrambi i corpora. La coincidenza lessicale non stabilisce nulla: due sistemi concettuali distinti possono usare le stesse parole con funzioni diverse. Il trattamento pieno della distinzione spetta alla serie dedicata a omologia e analogia; qui basti segnalarla come avvertimento, perché è il punto in cui una triangolazione lessicale si trasformerebbe in falsa parentela.</w:t>
      </w:r>
    </w:p>
    <w:p>
      <w:pPr>
        <w:spacing w:after="120" w:line="276"/>
        <w:jc w:val="both"/>
      </w:pPr>
      <w:r>
        <w:rPr>
          <w:rFonts w:ascii="Barlow Semi Condensed" w:cs="Barlow Semi Condensed" w:eastAsia="Barlow Semi Condensed" w:hAnsi="Barlow Semi Condensed"/>
          <w:b/>
          <w:bCs/>
          <w:sz w:val="24"/>
          <w:szCs w:val="24"/>
        </w:rPr>
        <w:t xml:space="preserve">124 · La divergenza di livello.</w:t>
      </w:r>
      <w:r>
        <w:rPr>
          <w:rFonts w:ascii="Barlow Semi Condensed" w:cs="Barlow Semi Condensed" w:eastAsia="Barlow Semi Condensed" w:hAnsi="Barlow Semi Condensed"/>
          <w:sz w:val="24"/>
          <w:szCs w:val="24"/>
        </w:rPr>
        <w:t xml:space="preserve"> La dottrina morotea riguarda la costituzione interna di una democrazia: chi sta dentro lo Stato e a quali condizioni. Il codice dichiarato riguarda i rapporti fra Stati e la tenuta di un sistema internazionale. Confrontarle senza segnalare la differenza di livello produce una simmetria falsa. Il confronto legittimo verte su un punto solo: che cosa ciascun testo consideri fonte di stabilità.</w:t>
      </w:r>
    </w:p>
    <w:p>
      <w:pPr>
        <w:spacing w:after="120" w:line="276"/>
        <w:jc w:val="both"/>
      </w:pPr>
      <w:r>
        <w:rPr>
          <w:rFonts w:ascii="Barlow Semi Condensed" w:cs="Barlow Semi Condensed" w:eastAsia="Barlow Semi Condensed" w:hAnsi="Barlow Semi Condensed"/>
          <w:b/>
          <w:bCs/>
          <w:sz w:val="24"/>
          <w:szCs w:val="24"/>
        </w:rPr>
        <w:t xml:space="preserve">125 · L'inclusione come fattore stabilizzante.</w:t>
      </w:r>
      <w:r>
        <w:rPr>
          <w:rFonts w:ascii="Barlow Semi Condensed" w:cs="Barlow Semi Condensed" w:eastAsia="Barlow Semi Condensed" w:hAnsi="Barlow Semi Condensed"/>
          <w:sz w:val="24"/>
          <w:szCs w:val="24"/>
        </w:rPr>
        <w:t xml:space="preserve"> Quesito preciso e verificabile sui testi editi: esiste, nel codice dichiarato, un passo in cui l'ingresso nell'area di governo di una forza fino ad allora esclusa sia trattato come fattore di stabilità anziché di rischio? La risposta va cercata e riportata anche se negativa. Un esito negativo, qui, sarebbe l'accertamento più significativo dell'intero confronto, e va scritto come tale.</w:t>
      </w:r>
    </w:p>
    <w:p>
      <w:pPr>
        <w:spacing w:after="120" w:line="276"/>
        <w:jc w:val="both"/>
      </w:pPr>
      <w:r>
        <w:rPr>
          <w:rFonts w:ascii="Barlow Semi Condensed" w:cs="Barlow Semi Condensed" w:eastAsia="Barlow Semi Condensed" w:hAnsi="Barlow Semi Condensed"/>
          <w:b/>
          <w:bCs/>
          <w:sz w:val="24"/>
          <w:szCs w:val="24"/>
        </w:rPr>
        <w:t xml:space="preserve">126 · Due orizzonti temporali.</w:t>
      </w:r>
      <w:r>
        <w:rPr>
          <w:rFonts w:ascii="Barlow Semi Condensed" w:cs="Barlow Semi Condensed" w:eastAsia="Barlow Semi Condensed" w:hAnsi="Barlow Semi Condensed"/>
          <w:sz w:val="24"/>
          <w:szCs w:val="24"/>
        </w:rPr>
        <w:t xml:space="preserve"> I testi moroei ragionano su tempi generazionali: l'integrazione delle masse è processo di decenni. Il codice dichiarato ragiona sulla durata di un negoziato e di un mandato. È differenza misurabile sui testi, contando le unità di tempo che ciascuno assume come proprie. Non è giudizio di valore: è dato di struttura, e spiega perché le due dottrine non si incontrino mai sul medesimo terreno.</w:t>
      </w:r>
    </w:p>
    <w:p>
      <w:pPr>
        <w:spacing w:after="120" w:line="276"/>
        <w:jc w:val="both"/>
      </w:pPr>
      <w:r>
        <w:rPr>
          <w:rFonts w:ascii="Barlow Semi Condensed" w:cs="Barlow Semi Condensed" w:eastAsia="Barlow Semi Condensed" w:hAnsi="Barlow Semi Condensed"/>
          <w:b/>
          <w:bCs/>
          <w:sz w:val="24"/>
          <w:szCs w:val="24"/>
        </w:rPr>
        <w:t xml:space="preserve">127 · La prosa come dato.</w:t>
      </w:r>
      <w:r>
        <w:rPr>
          <w:rFonts w:ascii="Barlow Semi Condensed" w:cs="Barlow Semi Condensed" w:eastAsia="Barlow Semi Condensed" w:hAnsi="Barlow Semi Condensed"/>
          <w:sz w:val="24"/>
          <w:szCs w:val="24"/>
        </w:rPr>
        <w:t xml:space="preserve"> L'oscurità deliberata della prosa morotea tiene aperte più strade finché una non diventa percorribile; il codice dichiarato è scritto per persuadere un lettore anglosassone con chiarezza espositiva. Trattare i due corpora come appartenenti allo stesso genere retorico è errore filologico prima che storico, e produce l'illusione che l'uno sia reticente dove l'altro è franco. Sono due tecniche, non due caratteri.</w:t>
      </w:r>
    </w:p>
    <w:p>
      <w:pPr>
        <w:spacing w:after="120" w:line="276"/>
        <w:jc w:val="both"/>
      </w:pPr>
      <w:r>
        <w:rPr>
          <w:rFonts w:ascii="Barlow Semi Condensed" w:cs="Barlow Semi Condensed" w:eastAsia="Barlow Semi Condensed" w:hAnsi="Barlow Semi Condensed"/>
          <w:b/>
          <w:bCs/>
          <w:sz w:val="24"/>
          <w:szCs w:val="24"/>
        </w:rPr>
        <w:t xml:space="preserve">128 · Lo Stato Zero del confronto.</w:t>
      </w:r>
      <w:r>
        <w:rPr>
          <w:rFonts w:ascii="Barlow Semi Condensed" w:cs="Barlow Semi Condensed" w:eastAsia="Barlow Semi Condensed" w:hAnsi="Barlow Semi Condensed"/>
          <w:sz w:val="24"/>
          <w:szCs w:val="24"/>
        </w:rPr>
        <w:t xml:space="preserve"> Allo stato non risulta, nelle sedi censite, alcun testo in cui l'uno dei due discuta la dottrina dell'altro. Sedi dove chiudere l'accertamento: le carte di Yale e della Library of Congress, il fondo del Senato, l'Archivio centrale dello Stato, l'edizione digitale delle carte Moro. Finché quel testo non emerga, il confronto è opera nostra e non incontro fra autori: va detto ogni volta.</w:t>
      </w:r>
    </w:p>
    <w:p>
      <w:pPr>
        <w:spacing w:after="120" w:line="276"/>
        <w:jc w:val="both"/>
      </w:pPr>
      <w:r>
        <w:rPr>
          <w:rFonts w:ascii="Barlow Semi Condensed" w:cs="Barlow Semi Condensed" w:eastAsia="Barlow Semi Condensed" w:hAnsi="Barlow Semi Condensed"/>
          <w:b/>
          <w:bCs/>
          <w:sz w:val="24"/>
          <w:szCs w:val="24"/>
        </w:rPr>
        <w:t xml:space="preserve">129 · Che cosa il confronto non stabilisce.</w:t>
      </w:r>
      <w:r>
        <w:rPr>
          <w:rFonts w:ascii="Barlow Semi Condensed" w:cs="Barlow Semi Condensed" w:eastAsia="Barlow Semi Condensed" w:hAnsi="Barlow Semi Condensed"/>
          <w:sz w:val="24"/>
          <w:szCs w:val="24"/>
        </w:rPr>
        <w:t xml:space="preserve"> Non stabilisce che le due dottrine si siano scontrate; non stabilisce che l'una sia stata formulata contro l'altra; non stabilisce che la loro differenza spieghi alcunché del 1978. Stabilisce soltanto la forma di due testi e la distanza fra due sistemi concettuali. Ogni passo oltre questa formulazione è promozione vietata, e il presidio della Fase sesta è chiamato a rilevarla.</w:t>
      </w:r>
    </w:p>
    <w:p>
      <w:pPr>
        <w:spacing w:after="120" w:line="276"/>
        <w:jc w:val="both"/>
      </w:pPr>
      <w:r>
        <w:rPr>
          <w:rFonts w:ascii="Barlow Semi Condensed" w:cs="Barlow Semi Condensed" w:eastAsia="Barlow Semi Condensed" w:hAnsi="Barlow Semi Condensed"/>
          <w:b/>
          <w:bCs/>
          <w:sz w:val="24"/>
          <w:szCs w:val="24"/>
        </w:rPr>
        <w:t xml:space="preserve">130 · Consilienza e il suo guardrail.</w:t>
      </w:r>
      <w:r>
        <w:rPr>
          <w:rFonts w:ascii="Barlow Semi Condensed" w:cs="Barlow Semi Condensed" w:eastAsia="Barlow Semi Condensed" w:hAnsi="Barlow Semi Condensed"/>
          <w:sz w:val="24"/>
          <w:szCs w:val="24"/>
        </w:rPr>
        <w:t xml:space="preserve"> Le due dottrine non sono linee di evidenza indipendenti sul medesimo fatto: sono due oggetti diversi. Confrontarle non accresce alcun grado di prova su nulla. Vale la regola che il corpus fissa per la consilienza: la convergenza rafforza solo fra linee davvero indipendenti, e mai oltre il grado della linea più debole. Qui non c'è convergenza da rafforzare: c'è una descrizione da compiere.</w:t>
      </w:r>
    </w:p>
    <w:p>
      <w:pPr>
        <w:spacing w:after="120" w:line="276"/>
        <w:jc w:val="both"/>
      </w:pPr>
      <w:r>
        <w:rPr>
          <w:rFonts w:ascii="Barlow Semi Condensed" w:cs="Barlow Semi Condensed" w:eastAsia="Barlow Semi Condensed" w:hAnsi="Barlow Semi Condensed"/>
          <w:b/>
          <w:bCs/>
          <w:sz w:val="24"/>
          <w:szCs w:val="24"/>
        </w:rPr>
        <w:t xml:space="preserve">131 · Lo Stato Zero dottrinale.</w:t>
      </w:r>
      <w:r>
        <w:rPr>
          <w:rFonts w:ascii="Barlow Semi Condensed" w:cs="Barlow Semi Condensed" w:eastAsia="Barlow Semi Condensed" w:hAnsi="Barlow Semi Condensed"/>
          <w:sz w:val="24"/>
          <w:szCs w:val="24"/>
        </w:rPr>
        <w:t xml:space="preserve"> La Fase sesta registra già, fra gli Stati Zero del caso, il documento che leghi una persona straniera nominata alla catena di comando del delitto: cercato, non trovato. Questa serie ne aggiunge uno di natura testuale: non risulta, nel corpus dichiarato, alcuna proposizione che prescriva una condotta sul caso italiano del 1978. L'assenza si dichiara con le sedi in cui è stata cercata.</w:t>
      </w:r>
    </w:p>
    <w:p>
      <w:pPr>
        <w:spacing w:after="120" w:line="276"/>
        <w:jc w:val="both"/>
      </w:pPr>
      <w:r>
        <w:rPr>
          <w:rFonts w:ascii="Barlow Semi Condensed" w:cs="Barlow Semi Condensed" w:eastAsia="Barlow Semi Condensed" w:hAnsi="Barlow Semi Condensed"/>
          <w:b/>
          <w:bCs/>
          <w:sz w:val="24"/>
          <w:szCs w:val="24"/>
        </w:rPr>
        <w:t xml:space="preserve">132 · Il divieto di lettura retroattiva.</w:t>
      </w:r>
      <w:r>
        <w:rPr>
          <w:rFonts w:ascii="Barlow Semi Condensed" w:cs="Barlow Semi Condensed" w:eastAsia="Barlow Semi Condensed" w:hAnsi="Barlow Semi Condensed"/>
          <w:sz w:val="24"/>
          <w:szCs w:val="24"/>
        </w:rPr>
        <w:t xml:space="preserve"> Leggere la tesi del 1954 come programma eseguito vent'anni dopo è l'errore che la metafora genetica invita a commettere e che il corpus vieta. Un codice non si esegue da sé; un testo giovanile non predice un atto maturo; e la coerenza fra i due, se emergesse, sarebbe una proprietà del pensiero, non una catena causale fra la pagina e il fatto.</w:t>
      </w:r>
    </w:p>
    <w:p>
      <w:pPr>
        <w:spacing w:after="120" w:line="276"/>
        <w:jc w:val="both"/>
      </w:pPr>
      <w:r>
        <w:rPr>
          <w:rFonts w:ascii="Barlow Semi Condensed" w:cs="Barlow Semi Condensed" w:eastAsia="Barlow Semi Condensed" w:hAnsi="Barlow Semi Condensed"/>
          <w:b/>
          <w:bCs/>
          <w:sz w:val="24"/>
          <w:szCs w:val="24"/>
        </w:rPr>
        <w:t xml:space="preserve">133 · Il lignaggio dottrinale non è condotta.</w:t>
      </w:r>
      <w:r>
        <w:rPr>
          <w:rFonts w:ascii="Barlow Semi Condensed" w:cs="Barlow Semi Condensed" w:eastAsia="Barlow Semi Condensed" w:hAnsi="Barlow Semi Condensed"/>
          <w:sz w:val="24"/>
          <w:szCs w:val="24"/>
        </w:rPr>
        <w:t xml:space="preserve"> La regola vale anche per le scuole di pensiero: appartenere a una tradizione realista, discendere da un maestro, condividere un lessico non prova nulla su una condotta. È la trasposizione alla storia delle idee della regola che il corpus applica alle organizzazioni. Chi ricostruisce una genealogia dottrinale compie un'operazione legittima; chi ne trae una responsabilità compie l'operazione vietata.</w:t>
      </w:r>
    </w:p>
    <w:p>
      <w:pPr>
        <w:spacing w:after="120" w:line="276"/>
        <w:jc w:val="both"/>
      </w:pPr>
      <w:r>
        <w:rPr>
          <w:rFonts w:ascii="Barlow Semi Condensed" w:cs="Barlow Semi Condensed" w:eastAsia="Barlow Semi Condensed" w:hAnsi="Barlow Semi Condensed"/>
          <w:b/>
          <w:bCs/>
          <w:sz w:val="24"/>
          <w:szCs w:val="24"/>
        </w:rPr>
        <w:t xml:space="preserve">134 · Il registro dei bersagli aperti.</w:t>
      </w:r>
      <w:r>
        <w:rPr>
          <w:rFonts w:ascii="Barlow Semi Condensed" w:cs="Barlow Semi Condensed" w:eastAsia="Barlow Semi Condensed" w:hAnsi="Barlow Semi Condensed"/>
          <w:sz w:val="24"/>
          <w:szCs w:val="24"/>
        </w:rPr>
        <w:t xml:space="preserve"> Restano aperti, alla chiusura della serie: i testi autorevoli dei discorsi coi loro apparati, le minute e le mani, la tavola delle sedi, lo spoglio integrale del verbale del 26 settembre 1974, le segnature primarie del 1975-1976, il testo di Bari del 15 giugno 1969 e l'articolo del dicembre 1976. Sette bersagli datati, ciascuno con la propria sede d'archivio.</w:t>
      </w:r>
    </w:p>
    <w:p>
      <w:pPr>
        <w:spacing w:after="120" w:line="276"/>
        <w:jc w:val="both"/>
      </w:pPr>
      <w:r>
        <w:rPr>
          <w:rFonts w:ascii="Barlow Semi Condensed" w:cs="Barlow Semi Condensed" w:eastAsia="Barlow Semi Condensed" w:hAnsi="Barlow Semi Condensed"/>
          <w:b/>
          <w:bCs/>
          <w:sz w:val="24"/>
          <w:szCs w:val="24"/>
        </w:rPr>
        <w:t xml:space="preserve">135 · Congedo della serie seconda.</w:t>
      </w:r>
      <w:r>
        <w:rPr>
          <w:rFonts w:ascii="Barlow Semi Condensed" w:cs="Barlow Semi Condensed" w:eastAsia="Barlow Semi Condensed" w:hAnsi="Barlow Semi Condensed"/>
          <w:sz w:val="24"/>
          <w:szCs w:val="24"/>
        </w:rPr>
        <w:t xml:space="preserve"> Che cosa è stabilito: che un codice dichiarato esiste, che è leggibile, che le sue sedi sono note, e che fra esso e gli atti corre una distanza da misurare e non da colmare con l'inferenza. Nulla di più, e nulla di meno. La serie che segue chiederà da chi quel codice discenda; questa si è limitata a fissare ciò che esso dice di sé.</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Serie terza — L'ereditarietà dottrinale: da chi discende il codice</w:t>
      </w:r>
    </w:p>
    <w:p>
      <w:pPr>
        <w:spacing w:after="120" w:line="276"/>
        <w:jc w:val="both"/>
      </w:pPr>
      <w:r>
        <w:rPr>
          <w:rFonts w:ascii="Barlow Semi Condensed" w:cs="Barlow Semi Condensed" w:eastAsia="Barlow Semi Condensed" w:hAnsi="Barlow Semi Condensed"/>
          <w:i/>
          <w:iCs/>
          <w:sz w:val="24"/>
          <w:szCs w:val="24"/>
        </w:rPr>
        <w:t xml:space="preserve">Blocchi 136-205.</w:t>
      </w:r>
    </w:p>
    <w:p>
      <w:pPr>
        <w:spacing w:after="120" w:line="276"/>
        <w:jc w:val="both"/>
      </w:pPr>
      <w:r>
        <w:rPr>
          <w:rFonts w:ascii="Barlow Semi Condensed" w:cs="Barlow Semi Condensed" w:eastAsia="Barlow Semi Condensed" w:hAnsi="Barlow Semi Condensed"/>
          <w:b/>
          <w:bCs/>
          <w:sz w:val="24"/>
          <w:szCs w:val="24"/>
        </w:rPr>
        <w:t xml:space="preserve">136 · Statuto della terza serie.</w:t>
      </w:r>
      <w:r>
        <w:rPr>
          <w:rFonts w:ascii="Barlow Semi Condensed" w:cs="Barlow Semi Condensed" w:eastAsia="Barlow Semi Condensed" w:hAnsi="Barlow Semi Condensed"/>
          <w:sz w:val="24"/>
          <w:szCs w:val="24"/>
        </w:rPr>
        <w:t xml:space="preserve"> Questa serie non indaga condotte: ricostruisce una discendenza di idee, e dichiara in apertura la lente che il committente ha imposto — Kissinger come metafora della genetica —, la quale serve a porre domande più precise e non a emettere sentenze. Ogni volta che la metafora spingerà verso il determinismo o verso la colpa ereditaria, il blocco che la ospita ha l'obbligo di fermarla dicendolo.</w:t>
      </w:r>
    </w:p>
    <w:p>
      <w:pPr>
        <w:spacing w:after="120" w:line="276"/>
        <w:jc w:val="both"/>
      </w:pPr>
      <w:r>
        <w:rPr>
          <w:rFonts w:ascii="Barlow Semi Condensed" w:cs="Barlow Semi Condensed" w:eastAsia="Barlow Semi Condensed" w:hAnsi="Barlow Semi Condensed"/>
          <w:b/>
          <w:bCs/>
          <w:sz w:val="24"/>
          <w:szCs w:val="24"/>
        </w:rPr>
        <w:t xml:space="preserve">137 · Il divieto della colpa ereditaria.</w:t>
      </w:r>
      <w:r>
        <w:rPr>
          <w:rFonts w:ascii="Barlow Semi Condensed" w:cs="Barlow Semi Condensed" w:eastAsia="Barlow Semi Condensed" w:hAnsi="Barlow Semi Condensed"/>
          <w:sz w:val="24"/>
          <w:szCs w:val="24"/>
        </w:rPr>
        <w:t xml:space="preserve"> La biologia trasmette caratteri, non responsabilità: nessun figlio risponde del padre, nessun allievo di un maestro, nessun lettore di un autore. Trasferita alla dottrina, la regola diventa il primo divieto della serie — una discendenza di idee, anche accertata al grado massimo, non trasferisce sul discendente alcuna condotta dell'antenato né sull'antenato alcuna condotta del discendente.</w:t>
      </w:r>
    </w:p>
    <w:p>
      <w:pPr>
        <w:spacing w:after="120" w:line="276"/>
        <w:jc w:val="both"/>
      </w:pPr>
      <w:r>
        <w:rPr>
          <w:rFonts w:ascii="Barlow Semi Condensed" w:cs="Barlow Semi Condensed" w:eastAsia="Barlow Semi Condensed" w:hAnsi="Barlow Semi Condensed"/>
          <w:b/>
          <w:bCs/>
          <w:sz w:val="24"/>
          <w:szCs w:val="24"/>
        </w:rPr>
        <w:t xml:space="preserve">138 · Genotipo e fenotipo, la regola base.</w:t>
      </w:r>
      <w:r>
        <w:rPr>
          <w:rFonts w:ascii="Barlow Semi Condensed" w:cs="Barlow Semi Condensed" w:eastAsia="Barlow Semi Condensed" w:hAnsi="Barlow Semi Condensed"/>
          <w:sz w:val="24"/>
          <w:szCs w:val="24"/>
        </w:rPr>
        <w:t xml:space="preserve"> Il genotipo è il testo scritto; il fenotipo è l'atto compiuto. La serie li tratta come oggetti separati e non deducibili l'uno dall'altro: da ciò che un autore ha scritto sull'equilibrio europeo non discende che cosa abbia detto in una stanza, e da un atto di governo non si risale al libro che lo avrebbe prescritto.</w:t>
      </w:r>
    </w:p>
    <w:p>
      <w:pPr>
        <w:spacing w:after="120" w:line="276"/>
        <w:jc w:val="both"/>
      </w:pPr>
      <w:r>
        <w:rPr>
          <w:rFonts w:ascii="Barlow Semi Condensed" w:cs="Barlow Semi Condensed" w:eastAsia="Barlow Semi Condensed" w:hAnsi="Barlow Semi Condensed"/>
          <w:b/>
          <w:bCs/>
          <w:sz w:val="24"/>
          <w:szCs w:val="24"/>
        </w:rPr>
        <w:t xml:space="preserve">139 · Omologia contro analogia (serie III).</w:t>
      </w:r>
      <w:r>
        <w:rPr>
          <w:rFonts w:ascii="Barlow Semi Condensed" w:cs="Barlow Semi Condensed" w:eastAsia="Barlow Semi Condensed" w:hAnsi="Barlow Semi Condensed"/>
          <w:sz w:val="24"/>
          <w:szCs w:val="24"/>
        </w:rPr>
        <w:t xml:space="preserve"> Due formule simili possono discendere da una fonte comune, ed è omologia, oppure essersi formate per funzione simile in ambienti simili, ed è analogia. Solo la prima è parentela, e solo un documento la prova: la lettura attestata, la citazione con rinvio, il corso frequentato, la lettera. In assenza di quel documento la somiglianza resta analogia, e l'analogia non entra nell'albero.</w:t>
      </w:r>
    </w:p>
    <w:p>
      <w:pPr>
        <w:spacing w:after="120" w:line="276"/>
        <w:jc w:val="both"/>
      </w:pPr>
      <w:r>
        <w:rPr>
          <w:rFonts w:ascii="Barlow Semi Condensed" w:cs="Barlow Semi Condensed" w:eastAsia="Barlow Semi Condensed" w:hAnsi="Barlow Semi Condensed"/>
          <w:b/>
          <w:bCs/>
          <w:sz w:val="24"/>
          <w:szCs w:val="24"/>
        </w:rPr>
        <w:t xml:space="preserve">140 · I tre piani della discendenza.</w:t>
      </w:r>
      <w:r>
        <w:rPr>
          <w:rFonts w:ascii="Barlow Semi Condensed" w:cs="Barlow Semi Condensed" w:eastAsia="Barlow Semi Condensed" w:hAnsi="Barlow Semi Condensed"/>
          <w:sz w:val="24"/>
          <w:szCs w:val="24"/>
        </w:rPr>
        <w:t xml:space="preserve"> Applicata alle idee, la regola dei tre piani suona così: piano uno, rapporto diretto documentato — la citazione con pagina, la corrispondenza, l'iscrizione a un seminario; piano due, convergenza strutturale entro la stessa cornice — due autori dentro la medesima tradizione; piano tre, affermazione terziaria — un pubblicista che dichiara l'uno erede dell'altro. Solo il primo è un ponte; gli altri si registrano come tali.</w:t>
      </w:r>
    </w:p>
    <w:p>
      <w:pPr>
        <w:spacing w:after="120" w:line="276"/>
        <w:jc w:val="both"/>
      </w:pPr>
      <w:r>
        <w:rPr>
          <w:rFonts w:ascii="Barlow Semi Condensed" w:cs="Barlow Semi Condensed" w:eastAsia="Barlow Semi Condensed" w:hAnsi="Barlow Semi Condensed"/>
          <w:b/>
          <w:bCs/>
          <w:sz w:val="24"/>
          <w:szCs w:val="24"/>
        </w:rPr>
        <w:t xml:space="preserve">141 · Nessuna condanna, nessuna imputazione.</w:t>
      </w:r>
      <w:r>
        <w:rPr>
          <w:rFonts w:ascii="Barlow Semi Condensed" w:cs="Barlow Semi Condensed" w:eastAsia="Barlow Semi Condensed" w:hAnsi="Barlow Semi Condensed"/>
          <w:sz w:val="24"/>
          <w:szCs w:val="24"/>
        </w:rPr>
        <w:t xml:space="preserve"> Henry Alfred Kissinger, nato a Fuerth il 27 maggio 1923 e morto a Kent, nel Connecticut, il 29 novembre 2023, non è stato condannato in alcun processo, e nessun blocco di quest'opera può indicarlo come responsabile di reato. La regola non è personale ma generale: nessuno è indicato come responsabile oltre il giudicato definitivo, e ciò che questa serie studia è un corpus di testi, non un imputato.</w:t>
      </w:r>
    </w:p>
    <w:p>
      <w:pPr>
        <w:spacing w:after="120" w:line="276"/>
        <w:jc w:val="both"/>
      </w:pPr>
      <w:r>
        <w:rPr>
          <w:rFonts w:ascii="Barlow Semi Condensed" w:cs="Barlow Semi Condensed" w:eastAsia="Barlow Semi Condensed" w:hAnsi="Barlow Semi Condensed"/>
          <w:b/>
          <w:bCs/>
          <w:sz w:val="24"/>
          <w:szCs w:val="24"/>
        </w:rPr>
        <w:t xml:space="preserve">142 · Che cosa prova una citazione.</w:t>
      </w:r>
      <w:r>
        <w:rPr>
          <w:rFonts w:ascii="Barlow Semi Condensed" w:cs="Barlow Semi Condensed" w:eastAsia="Barlow Semi Condensed" w:hAnsi="Barlow Semi Condensed"/>
          <w:sz w:val="24"/>
          <w:szCs w:val="24"/>
        </w:rPr>
        <w:t xml:space="preserve"> Una citazione prova quattro cose, tutte piccole e tutte utili: che un testo esisteva a quella data, che chi cita ne conosceva almeno il passo riportato, che ha scelto di esibirlo, e in quale funzione lo ha esibito. Verificata sull'originale e con la pagina, è un fatto pubblico documentato; e non è nulla di più di quelle quattro cose.</w:t>
      </w:r>
    </w:p>
    <w:p>
      <w:pPr>
        <w:spacing w:after="120" w:line="276"/>
        <w:jc w:val="both"/>
      </w:pPr>
      <w:r>
        <w:rPr>
          <w:rFonts w:ascii="Barlow Semi Condensed" w:cs="Barlow Semi Condensed" w:eastAsia="Barlow Semi Condensed" w:hAnsi="Barlow Semi Condensed"/>
          <w:b/>
          <w:bCs/>
          <w:sz w:val="24"/>
          <w:szCs w:val="24"/>
        </w:rPr>
        <w:t xml:space="preserve">143 · Che cosa una citazione non prova.</w:t>
      </w:r>
      <w:r>
        <w:rPr>
          <w:rFonts w:ascii="Barlow Semi Condensed" w:cs="Barlow Semi Condensed" w:eastAsia="Barlow Semi Condensed" w:hAnsi="Barlow Semi Condensed"/>
          <w:sz w:val="24"/>
          <w:szCs w:val="24"/>
        </w:rPr>
        <w:t xml:space="preserve"> Non prova che l'autore citato sia stato letto per intero, né che il citante ne condivida la tesi, né che l'abbia appresa da lì, perché la citazione può venire da un'antologia, da una recensione, dall'appunto di un terzo. Soprattutto non prova alcun rapporto fra le persone: si cita un morto, un avversario, uno sconosciuto, e nessuno di questi rapporti è un rapporto.</w:t>
      </w:r>
    </w:p>
    <w:p>
      <w:pPr>
        <w:spacing w:after="120" w:line="276"/>
        <w:jc w:val="both"/>
      </w:pPr>
      <w:r>
        <w:rPr>
          <w:rFonts w:ascii="Barlow Semi Condensed" w:cs="Barlow Semi Condensed" w:eastAsia="Barlow Semi Condensed" w:hAnsi="Barlow Semi Condensed"/>
          <w:b/>
          <w:bCs/>
          <w:sz w:val="24"/>
          <w:szCs w:val="24"/>
        </w:rPr>
        <w:t xml:space="preserve">144 · La citazione di dissenso.</w:t>
      </w:r>
      <w:r>
        <w:rPr>
          <w:rFonts w:ascii="Barlow Semi Condensed" w:cs="Barlow Semi Condensed" w:eastAsia="Barlow Semi Condensed" w:hAnsi="Barlow Semi Condensed"/>
          <w:sz w:val="24"/>
          <w:szCs w:val="24"/>
        </w:rPr>
        <w:t xml:space="preserve"> È la forma più fraintesa: l'autore cita per confutare, e il repertorio bibliografico registra un legame che nel testo è una rottura. Chi costruisce un albero contando le occorrenze senza leggerne il segno ottiene una parentela rovesciata, dove l'antenato è in realtà il bersaglio; ed è l'errore che qualunque spoglio automatico produce se nessuno rilegge i passi uno per uno.</w:t>
      </w:r>
    </w:p>
    <w:p>
      <w:pPr>
        <w:spacing w:after="120" w:line="276"/>
        <w:jc w:val="both"/>
      </w:pPr>
      <w:r>
        <w:rPr>
          <w:rFonts w:ascii="Barlow Semi Condensed" w:cs="Barlow Semi Condensed" w:eastAsia="Barlow Semi Condensed" w:hAnsi="Barlow Semi Condensed"/>
          <w:b/>
          <w:bCs/>
          <w:sz w:val="24"/>
          <w:szCs w:val="24"/>
        </w:rPr>
        <w:t xml:space="preserve">145 · Citazione d'autorità e di cortesia.</w:t>
      </w:r>
      <w:r>
        <w:rPr>
          <w:rFonts w:ascii="Barlow Semi Condensed" w:cs="Barlow Semi Condensed" w:eastAsia="Barlow Semi Condensed" w:hAnsi="Barlow Semi Condensed"/>
          <w:sz w:val="24"/>
          <w:szCs w:val="24"/>
        </w:rPr>
        <w:t xml:space="preserve"> Due funzioni ulteriori vanno distinte prima di pesare qualunque rinvio: la citazione d'autorità, che arruola un nome per legittimare una tesi che da quel nome non discende, e la citazione di cortesia verso un collega, un recensore, un'istituzione ospitante. Entrambe gonfiano i conteggi senza trasmettere nulla di dottrinale, e vanno censite a parte e sottratte prima di ogni calcolo.</w:t>
      </w:r>
    </w:p>
    <w:p>
      <w:pPr>
        <w:spacing w:after="120" w:line="276"/>
        <w:jc w:val="both"/>
      </w:pPr>
      <w:r>
        <w:rPr>
          <w:rFonts w:ascii="Barlow Semi Condensed" w:cs="Barlow Semi Condensed" w:eastAsia="Barlow Semi Condensed" w:hAnsi="Barlow Semi Condensed"/>
          <w:b/>
          <w:bCs/>
          <w:sz w:val="24"/>
          <w:szCs w:val="24"/>
        </w:rPr>
        <w:t xml:space="preserve">146 · Il vettore che cancella la fonte.</w:t>
      </w:r>
      <w:r>
        <w:rPr>
          <w:rFonts w:ascii="Barlow Semi Condensed" w:cs="Barlow Semi Condensed" w:eastAsia="Barlow Semi Condensed" w:hAnsi="Barlow Semi Condensed"/>
          <w:sz w:val="24"/>
          <w:szCs w:val="24"/>
        </w:rPr>
        <w:t xml:space="preserve"> La maggior parte delle idee non viaggia dagli originali ma da manuali, antologie, dispense e traduzioni: il vettore trasmette la formula e cancella la provenienza, come una copia che perde l'intestazione. Ne segue una regola di ricerca prima che di giudizio — prima di attribuire una discendenza diretta si cerca il vettore intermedio, e nella storia delle idee lo si trova quasi sempre.</w:t>
      </w:r>
    </w:p>
    <w:p>
      <w:pPr>
        <w:spacing w:after="120" w:line="276"/>
        <w:jc w:val="both"/>
      </w:pPr>
      <w:r>
        <w:rPr>
          <w:rFonts w:ascii="Barlow Semi Condensed" w:cs="Barlow Semi Condensed" w:eastAsia="Barlow Semi Condensed" w:hAnsi="Barlow Semi Condensed"/>
          <w:b/>
          <w:bCs/>
          <w:sz w:val="24"/>
          <w:szCs w:val="24"/>
        </w:rPr>
        <w:t xml:space="preserve">147 · La citazione senza segnatura.</w:t>
      </w:r>
      <w:r>
        <w:rPr>
          <w:rFonts w:ascii="Barlow Semi Condensed" w:cs="Barlow Semi Condensed" w:eastAsia="Barlow Semi Condensed" w:hAnsi="Barlow Semi Condensed"/>
          <w:sz w:val="24"/>
          <w:szCs w:val="24"/>
        </w:rPr>
        <w:t xml:space="preserve"> Il corpus ha già la regola al blocco 309 dei nove cantieri: ogni carta dichiara fondo, serie e busta, perché la fonte senza segnatura è un sentito dire elegante. Applicata alle carte accademiche significa edizione, anno e pagina per ogni derivazione proposta, e nessun ingresso nell'albero per le formule che circolano nella pubblicistica prive di rinvio verificabile.</w:t>
      </w:r>
    </w:p>
    <w:p>
      <w:pPr>
        <w:spacing w:after="120" w:line="276"/>
        <w:jc w:val="both"/>
      </w:pPr>
      <w:r>
        <w:rPr>
          <w:rFonts w:ascii="Barlow Semi Condensed" w:cs="Barlow Semi Condensed" w:eastAsia="Barlow Semi Condensed" w:hAnsi="Barlow Semi Condensed"/>
          <w:b/>
          <w:bCs/>
          <w:sz w:val="24"/>
          <w:szCs w:val="24"/>
        </w:rPr>
        <w:t xml:space="preserve">148 · L'errore congiuntivo.</w:t>
      </w:r>
      <w:r>
        <w:rPr>
          <w:rFonts w:ascii="Barlow Semi Condensed" w:cs="Barlow Semi Condensed" w:eastAsia="Barlow Semi Condensed" w:hAnsi="Barlow Semi Condensed"/>
          <w:sz w:val="24"/>
          <w:szCs w:val="24"/>
        </w:rPr>
        <w:t xml:space="preserve"> La filologia ha risolto prima della biologia il problema della discendenza dei testi: due copie sono imparentate quando condividono un errore che nessuno commetterebbe per caso. Trasferito alla dottrina, è il criterio più forte di cui questa serie disponga — se due autori ripetono la stessa citazione sbagliata, la stessa data errata, lo stesso refuso di traduzione, la derivazione è documentata e non congetturata.</w:t>
      </w:r>
    </w:p>
    <w:p>
      <w:pPr>
        <w:spacing w:after="120" w:line="276"/>
        <w:jc w:val="both"/>
      </w:pPr>
      <w:r>
        <w:rPr>
          <w:rFonts w:ascii="Barlow Semi Condensed" w:cs="Barlow Semi Condensed" w:eastAsia="Barlow Semi Condensed" w:hAnsi="Barlow Semi Condensed"/>
          <w:b/>
          <w:bCs/>
          <w:sz w:val="24"/>
          <w:szCs w:val="24"/>
        </w:rPr>
        <w:t xml:space="preserve">149 · L'errore separativo.</w:t>
      </w:r>
      <w:r>
        <w:rPr>
          <w:rFonts w:ascii="Barlow Semi Condensed" w:cs="Barlow Semi Condensed" w:eastAsia="Barlow Semi Condensed" w:hAnsi="Barlow Semi Condensed"/>
          <w:sz w:val="24"/>
          <w:szCs w:val="24"/>
        </w:rPr>
        <w:t xml:space="preserve"> Il criterio gemello è opposto: se il presunto discendente conserva un elemento che il presunto antenato non ha mai avuto o aveva perduto, non può derivare da lui. È lo strumento che falsifica un ramo invece di confermarlo, ed è la ragione per cui ogni derivazione proposta in questa serie deve indicare accanto a sé l'errore separativo che la abbatterebbe.</w:t>
      </w:r>
    </w:p>
    <w:p>
      <w:pPr>
        <w:spacing w:after="120" w:line="276"/>
        <w:jc w:val="both"/>
      </w:pPr>
      <w:r>
        <w:rPr>
          <w:rFonts w:ascii="Barlow Semi Condensed" w:cs="Barlow Semi Condensed" w:eastAsia="Barlow Semi Condensed" w:hAnsi="Barlow Semi Condensed"/>
          <w:b/>
          <w:bCs/>
          <w:sz w:val="24"/>
          <w:szCs w:val="24"/>
        </w:rPr>
        <w:t xml:space="preserve">150 · Il luogo comune non è parentela.</w:t>
      </w:r>
      <w:r>
        <w:rPr>
          <w:rFonts w:ascii="Barlow Semi Condensed" w:cs="Barlow Semi Condensed" w:eastAsia="Barlow Semi Condensed" w:hAnsi="Barlow Semi Condensed"/>
          <w:sz w:val="24"/>
          <w:szCs w:val="24"/>
        </w:rPr>
        <w:t xml:space="preserve"> Equilibrio, stabilità, interesse nazionale, legittimità: sono il patrimonio condiviso di due secoli di diplomazia europea e ricorrono in autori che non si sono mai letti. In filogenesi un carattere ancestrale non dice nulla sulla parentela, e nella lettura dottrinale vale identico: la comunanza di lessico corrente si registra come tale e non produce alcun ramo.</w:t>
      </w:r>
    </w:p>
    <w:p>
      <w:pPr>
        <w:spacing w:after="120" w:line="276"/>
        <w:jc w:val="both"/>
      </w:pPr>
      <w:r>
        <w:rPr>
          <w:rFonts w:ascii="Barlow Semi Condensed" w:cs="Barlow Semi Condensed" w:eastAsia="Barlow Semi Condensed" w:hAnsi="Barlow Semi Condensed"/>
          <w:b/>
          <w:bCs/>
          <w:sz w:val="24"/>
          <w:szCs w:val="24"/>
        </w:rPr>
        <w:t xml:space="preserve">151 · Il carattere derivato è diagnostico.</w:t>
      </w:r>
      <w:r>
        <w:rPr>
          <w:rFonts w:ascii="Barlow Semi Condensed" w:cs="Barlow Semi Condensed" w:eastAsia="Barlow Semi Condensed" w:hAnsi="Barlow Semi Condensed"/>
          <w:sz w:val="24"/>
          <w:szCs w:val="24"/>
        </w:rPr>
        <w:t xml:space="preserve"> Ciò che discrimina è l'innovazione: la formulazione peculiare, l'esempio storico scelto fra mille possibili, l'accoppiamento inatteso di due concetti, la metafora personale. Solo i caratteri derivati e condivisi sostengono un'ipotesi di discendenza, e vanno elencati uno per uno con la pagina; un albero costruito su luoghi comuni resta un albero costruito sul nulla, per quanti rami esibisca.</w:t>
      </w:r>
    </w:p>
    <w:p>
      <w:pPr>
        <w:spacing w:after="120" w:line="276"/>
        <w:jc w:val="both"/>
      </w:pPr>
      <w:r>
        <w:rPr>
          <w:rFonts w:ascii="Barlow Semi Condensed" w:cs="Barlow Semi Condensed" w:eastAsia="Barlow Semi Condensed" w:hAnsi="Barlow Semi Condensed"/>
          <w:b/>
          <w:bCs/>
          <w:sz w:val="24"/>
          <w:szCs w:val="24"/>
        </w:rPr>
        <w:t xml:space="preserve">152 · Il maestro dichiarato.</w:t>
      </w:r>
      <w:r>
        <w:rPr>
          <w:rFonts w:ascii="Barlow Semi Condensed" w:cs="Barlow Semi Condensed" w:eastAsia="Barlow Semi Condensed" w:hAnsi="Barlow Semi Condensed"/>
          <w:sz w:val="24"/>
          <w:szCs w:val="24"/>
        </w:rPr>
        <w:t xml:space="preserve"> Si chiama maestro dichiarato chi è indicato come tale dall'allievo stesso in un testo datato e verificabile, oppure attestato da un atto istituzionale: l'iscrizione a un corso, la firma su una tesi, il verbale di una commissione. È l'unica filiazione che sta al piano uno, e si cerca negli archivi che quegli atti conservano, non nelle interviste tarde e nelle memorie di seconda mano.</w:t>
      </w:r>
    </w:p>
    <w:p>
      <w:pPr>
        <w:spacing w:after="120" w:line="276"/>
        <w:jc w:val="both"/>
      </w:pPr>
      <w:r>
        <w:rPr>
          <w:rFonts w:ascii="Barlow Semi Condensed" w:cs="Barlow Semi Condensed" w:eastAsia="Barlow Semi Condensed" w:hAnsi="Barlow Semi Condensed"/>
          <w:b/>
          <w:bCs/>
          <w:sz w:val="24"/>
          <w:szCs w:val="24"/>
        </w:rPr>
        <w:t xml:space="preserve">153 · L'influenza inferita.</w:t>
      </w:r>
      <w:r>
        <w:rPr>
          <w:rFonts w:ascii="Barlow Semi Condensed" w:cs="Barlow Semi Condensed" w:eastAsia="Barlow Semi Condensed" w:hAnsi="Barlow Semi Condensed"/>
          <w:sz w:val="24"/>
          <w:szCs w:val="24"/>
        </w:rPr>
        <w:t xml:space="preserve"> Tutto il resto è influenza inferita: il lettore riconosce un'aria di famiglia fra due pagine e la battezza discendenza. Come ipotesi è operazione legittima e sta al grado C finché non compaia l'atto che la sposti; presentata senza grado diventa la forma erudita della dietrologia, che alla catena di comando sostituisce una catena di letture mai provate.</w:t>
      </w:r>
    </w:p>
    <w:p>
      <w:pPr>
        <w:spacing w:after="120" w:line="276"/>
        <w:jc w:val="both"/>
      </w:pPr>
      <w:r>
        <w:rPr>
          <w:rFonts w:ascii="Barlow Semi Condensed" w:cs="Barlow Semi Condensed" w:eastAsia="Barlow Semi Condensed" w:hAnsi="Barlow Semi Condensed"/>
          <w:b/>
          <w:bCs/>
          <w:sz w:val="24"/>
          <w:szCs w:val="24"/>
        </w:rPr>
        <w:t xml:space="preserve">154 · Le carte studentesche e i loro limiti.</w:t>
      </w:r>
      <w:r>
        <w:rPr>
          <w:rFonts w:ascii="Barlow Semi Condensed" w:cs="Barlow Semi Condensed" w:eastAsia="Barlow Semi Condensed" w:hAnsi="Barlow Semi Condensed"/>
          <w:sz w:val="24"/>
          <w:szCs w:val="24"/>
        </w:rPr>
        <w:t xml:space="preserve"> Il fascicolo accademico di uno studente è insieme il documento più preciso e il più protetto: attesta corsi, date e voti, e quasi ovunque soggiace a restrizioni di riservatezza. Il quesito è perciò duplice — reperire presso gli Harvard University Archives quali serie siano consultabili e a quali condizioni, e ricordare che un registro di frequenza attesta presenza e non adesione.</w:t>
      </w:r>
    </w:p>
    <w:p>
      <w:pPr>
        <w:spacing w:after="120" w:line="276"/>
        <w:jc w:val="both"/>
      </w:pPr>
      <w:r>
        <w:rPr>
          <w:rFonts w:ascii="Barlow Semi Condensed" w:cs="Barlow Semi Condensed" w:eastAsia="Barlow Semi Condensed" w:hAnsi="Barlow Semi Condensed"/>
          <w:b/>
          <w:bCs/>
          <w:sz w:val="24"/>
          <w:szCs w:val="24"/>
        </w:rPr>
        <w:t xml:space="preserve">155 · Il relatore e la firma.</w:t>
      </w:r>
      <w:r>
        <w:rPr>
          <w:rFonts w:ascii="Barlow Semi Condensed" w:cs="Barlow Semi Condensed" w:eastAsia="Barlow Semi Condensed" w:hAnsi="Barlow Semi Condensed"/>
          <w:sz w:val="24"/>
          <w:szCs w:val="24"/>
        </w:rPr>
        <w:t xml:space="preserve"> Il rapporto fra dottorando e relatore si documenta per atto e non per impressione: la bibliografia corrente indica in William Yandell Elliott il docente di riferimento del giovane Kissinger a Harvard, e il quesito operativo è reperire le carte del docente e i verbali di commissione presso gli archivi dell'ateneo. Anche accertato, resterebbe rapporto di formazione, che non è rapporto di condotta.</w:t>
      </w:r>
    </w:p>
    <w:p>
      <w:pPr>
        <w:spacing w:after="120" w:line="276"/>
        <w:jc w:val="both"/>
      </w:pPr>
      <w:r>
        <w:rPr>
          <w:rFonts w:ascii="Barlow Semi Condensed" w:cs="Barlow Semi Condensed" w:eastAsia="Barlow Semi Condensed" w:hAnsi="Barlow Semi Condensed"/>
          <w:b/>
          <w:bCs/>
          <w:sz w:val="24"/>
          <w:szCs w:val="24"/>
        </w:rPr>
        <w:t xml:space="preserve">156 · Le due opere di formazione.</w:t>
      </w:r>
      <w:r>
        <w:rPr>
          <w:rFonts w:ascii="Barlow Semi Condensed" w:cs="Barlow Semi Condensed" w:eastAsia="Barlow Semi Condensed" w:hAnsi="Barlow Semi Condensed"/>
          <w:sz w:val="24"/>
          <w:szCs w:val="24"/>
        </w:rPr>
        <w:t xml:space="preserve"> Sul versante bibliografico i punti di partenza sono due, da verificare sull'esemplare e non sulla fama: la tesi di laurea sul senso della storia, discussa a Harvard intorno al 1950 con Spengler, Toynbee e Kant come interlocutori, e la dissertazione dottorale dei primi anni Cinquanta, edita nel 1957 come studio su Castlereagh, Metternich e il problema della pace fra il 1812 e il 1822.</w:t>
      </w:r>
    </w:p>
    <w:p>
      <w:pPr>
        <w:spacing w:after="120" w:line="276"/>
        <w:jc w:val="both"/>
      </w:pPr>
      <w:r>
        <w:rPr>
          <w:rFonts w:ascii="Barlow Semi Condensed" w:cs="Barlow Semi Condensed" w:eastAsia="Barlow Semi Condensed" w:hAnsi="Barlow Semi Condensed"/>
          <w:b/>
          <w:bCs/>
          <w:sz w:val="24"/>
          <w:szCs w:val="24"/>
        </w:rPr>
        <w:t xml:space="preserve">157 · La tradizione dell'equilibrio europeo.</w:t>
      </w:r>
      <w:r>
        <w:rPr>
          <w:rFonts w:ascii="Barlow Semi Condensed" w:cs="Barlow Semi Condensed" w:eastAsia="Barlow Semi Condensed" w:hAnsi="Barlow Semi Condensed"/>
          <w:sz w:val="24"/>
          <w:szCs w:val="24"/>
        </w:rPr>
        <w:t xml:space="preserve"> L'oggetto di quella dissertazione è il congresso di Vienna e la domanda su come un ordine internazionale acquisti legittimità: è la tradizione dell'equilibrio europeo, che ha ascendenti propri e nessuna relazione originaria con l'Italia del Novecento. Ricostruirne l'albero è compito storiografico autonomo, e va tenuto separato per costruzione da qualunque vicenda giudiziaria o politica successiva.</w:t>
      </w:r>
    </w:p>
    <w:p>
      <w:pPr>
        <w:spacing w:after="120" w:line="276"/>
        <w:jc w:val="both"/>
      </w:pPr>
      <w:r>
        <w:rPr>
          <w:rFonts w:ascii="Barlow Semi Condensed" w:cs="Barlow Semi Condensed" w:eastAsia="Barlow Semi Condensed" w:hAnsi="Barlow Semi Condensed"/>
          <w:b/>
          <w:bCs/>
          <w:sz w:val="24"/>
          <w:szCs w:val="24"/>
        </w:rPr>
        <w:t xml:space="preserve">158 · Il seminario come apparato di replicazione.</w:t>
      </w:r>
      <w:r>
        <w:rPr>
          <w:rFonts w:ascii="Barlow Semi Condensed" w:cs="Barlow Semi Condensed" w:eastAsia="Barlow Semi Condensed" w:hAnsi="Barlow Semi Condensed"/>
          <w:sz w:val="24"/>
          <w:szCs w:val="24"/>
        </w:rPr>
        <w:t xml:space="preserve"> Un'idea si replica dove si insegna, e il seminario internazionale diretto a Harvard dagli anni Cinquanta è, nei termini della lente, l'apparato di replicazione per eccellenza. Il quesito è puntuale e chiudibile: reperire presso gli Harvard University Archives gli elenchi dei partecipanti annata per annata e verificare se vi figurino italiani, con nomi e date. Finché l'elenco non è letto, nulla si afferma.</w:t>
      </w:r>
    </w:p>
    <w:p>
      <w:pPr>
        <w:spacing w:after="120" w:line="276"/>
        <w:jc w:val="both"/>
      </w:pPr>
      <w:r>
        <w:rPr>
          <w:rFonts w:ascii="Barlow Semi Condensed" w:cs="Barlow Semi Condensed" w:eastAsia="Barlow Semi Condensed" w:hAnsi="Barlow Semi Condensed"/>
          <w:b/>
          <w:bCs/>
          <w:sz w:val="24"/>
          <w:szCs w:val="24"/>
        </w:rPr>
        <w:t xml:space="preserve">159 · La rivista come secondo vettore.</w:t>
      </w:r>
      <w:r>
        <w:rPr>
          <w:rFonts w:ascii="Barlow Semi Condensed" w:cs="Barlow Semi Condensed" w:eastAsia="Barlow Semi Condensed" w:hAnsi="Barlow Semi Condensed"/>
          <w:sz w:val="24"/>
          <w:szCs w:val="24"/>
        </w:rPr>
        <w:t xml:space="preserve"> Accanto al seminario opera la rivista che secondo la bibliografia corrente egli fondò e diresse in quegli stessi anni, Confluence: pubblicare significa selezionare quali formule circolano e con quale firma. Il quesito è di spoglio — indice per indice, autori, temi ed eventuale presenza italiana — e la sede sono le collezioni di periodici delle biblioteche universitarie, non la memorialistica.</w:t>
      </w:r>
    </w:p>
    <w:p>
      <w:pPr>
        <w:spacing w:after="120" w:line="276"/>
        <w:jc w:val="both"/>
      </w:pPr>
      <w:r>
        <w:rPr>
          <w:rFonts w:ascii="Barlow Semi Condensed" w:cs="Barlow Semi Condensed" w:eastAsia="Barlow Semi Condensed" w:hAnsi="Barlow Semi Condensed"/>
          <w:b/>
          <w:bCs/>
          <w:sz w:val="24"/>
          <w:szCs w:val="24"/>
        </w:rPr>
        <w:t xml:space="preserve">160 · Il modello dichiarato e il suo limite.</w:t>
      </w:r>
      <w:r>
        <w:rPr>
          <w:rFonts w:ascii="Barlow Semi Condensed" w:cs="Barlow Semi Condensed" w:eastAsia="Barlow Semi Condensed" w:hAnsi="Barlow Semi Condensed"/>
          <w:sz w:val="24"/>
          <w:szCs w:val="24"/>
        </w:rPr>
        <w:t xml:space="preserve"> Il corpus possiede già il caso di scuola: le Brigate Rosse indicarono in Ernesto Guevara il proprio modello individuale dichiarato, e Renato Curcio disse che si andò a scuola di guerriglia da Feltrinelli. La filiazione dottrinale sta dunque al grado più alto, ed è proprio per questo che dimostra il divieto — Guevara, morto nel 1967, non ha parte alcuna nelle condotte del 1978.</w:t>
      </w:r>
    </w:p>
    <w:p>
      <w:pPr>
        <w:spacing w:after="120" w:line="276"/>
        <w:jc w:val="both"/>
      </w:pPr>
      <w:r>
        <w:rPr>
          <w:rFonts w:ascii="Barlow Semi Condensed" w:cs="Barlow Semi Condensed" w:eastAsia="Barlow Semi Condensed" w:hAnsi="Barlow Semi Condensed"/>
          <w:b/>
          <w:bCs/>
          <w:sz w:val="24"/>
          <w:szCs w:val="24"/>
        </w:rPr>
        <w:t xml:space="preserve">161 · La simmetria che protegge tutti.</w:t>
      </w:r>
      <w:r>
        <w:rPr>
          <w:rFonts w:ascii="Barlow Semi Condensed" w:cs="Barlow Semi Condensed" w:eastAsia="Barlow Semi Condensed" w:hAnsi="Barlow Semi Condensed"/>
          <w:sz w:val="24"/>
          <w:szCs w:val="24"/>
        </w:rPr>
        <w:t xml:space="preserve"> Il divieto vale nei due sensi e si applica con la stessa mano: se una discendenza dottrinale accertata non rende Guevara responsabile di via Fani, allora nessuna discendenza dottrinale, accertata o inferita, rende alcun autore responsabile di ciò che altri fecero invocandolo. La regola che assolve l'uno assolve l'altro, e usarla a intermittenza è la forma più comune di disonestà analitica.</w:t>
      </w:r>
    </w:p>
    <w:p>
      <w:pPr>
        <w:spacing w:after="120" w:line="276"/>
        <w:jc w:val="both"/>
      </w:pPr>
      <w:r>
        <w:rPr>
          <w:rFonts w:ascii="Barlow Semi Condensed" w:cs="Barlow Semi Condensed" w:eastAsia="Barlow Semi Condensed" w:hAnsi="Barlow Semi Condensed"/>
          <w:b/>
          <w:bCs/>
          <w:sz w:val="24"/>
          <w:szCs w:val="24"/>
        </w:rPr>
        <w:t xml:space="preserve">162 · Che cos'è un albero dottrinale.</w:t>
      </w:r>
      <w:r>
        <w:rPr>
          <w:rFonts w:ascii="Barlow Semi Condensed" w:cs="Barlow Semi Condensed" w:eastAsia="Barlow Semi Condensed" w:hAnsi="Barlow Semi Condensed"/>
          <w:sz w:val="24"/>
          <w:szCs w:val="24"/>
        </w:rPr>
        <w:t xml:space="preserve"> Un albero dottrinale è un'ipotesi di parentela fra testi, non fra persone, costruita su caratteri dichiarati e confutabile carattere per carattere. Ha nodi che sono opere datate, rami che sono derivazioni documentate, e una radice che è il testo più antico attestato: non l'idea più generale, la quale non è un antenato ma un'astrazione del compilatore.</w:t>
      </w:r>
    </w:p>
    <w:p>
      <w:pPr>
        <w:spacing w:after="120" w:line="276"/>
        <w:jc w:val="both"/>
      </w:pPr>
      <w:r>
        <w:rPr>
          <w:rFonts w:ascii="Barlow Semi Condensed" w:cs="Barlow Semi Condensed" w:eastAsia="Barlow Semi Condensed" w:hAnsi="Barlow Semi Condensed"/>
          <w:b/>
          <w:bCs/>
          <w:sz w:val="24"/>
          <w:szCs w:val="24"/>
        </w:rPr>
        <w:t xml:space="preserve">163 · La scelta dei caratteri.</w:t>
      </w:r>
      <w:r>
        <w:rPr>
          <w:rFonts w:ascii="Barlow Semi Condensed" w:cs="Barlow Semi Condensed" w:eastAsia="Barlow Semi Condensed" w:hAnsi="Barlow Semi Condensed"/>
          <w:sz w:val="24"/>
          <w:szCs w:val="24"/>
        </w:rPr>
        <w:t xml:space="preserve"> Prima dell'albero si scrive la matrice: quali caratteri si osservano, come si codificano, chi li ha codificati. Un carattere ammissibile è enunciabile in modo che un secondo lettore, davanti alla stessa pagina, possa dire se sia presente o assente; un carattere come realismo non lo è, e va scomposto in tratti verificabili oppure abbandonato senza rimpianti.</w:t>
      </w:r>
    </w:p>
    <w:p>
      <w:pPr>
        <w:spacing w:after="120" w:line="276"/>
        <w:jc w:val="both"/>
      </w:pPr>
      <w:r>
        <w:rPr>
          <w:rFonts w:ascii="Barlow Semi Condensed" w:cs="Barlow Semi Condensed" w:eastAsia="Barlow Semi Condensed" w:hAnsi="Barlow Semi Condensed"/>
          <w:b/>
          <w:bCs/>
          <w:sz w:val="24"/>
          <w:szCs w:val="24"/>
        </w:rPr>
        <w:t xml:space="preserve">164 · Il gruppo esterno.</w:t>
      </w:r>
      <w:r>
        <w:rPr>
          <w:rFonts w:ascii="Barlow Semi Condensed" w:cs="Barlow Semi Condensed" w:eastAsia="Barlow Semi Condensed" w:hAnsi="Barlow Semi Condensed"/>
          <w:sz w:val="24"/>
          <w:szCs w:val="24"/>
        </w:rPr>
        <w:t xml:space="preserve"> Nessun albero si regge senza un termine di paragone esterno: autori della stessa epoca e dello stesso mestiere che non appartengono al lignaggio studiato. Se il carattere creduto diagnostico compare anche in loro, non è diagnostico ma d'epoca. È il controllo che manca a quasi tutte le genealogie intellettuali della pubblicistica, ed è quello che le falsificherebbe in un pomeriggio di biblioteca.</w:t>
      </w:r>
    </w:p>
    <w:p>
      <w:pPr>
        <w:spacing w:after="120" w:line="276"/>
        <w:jc w:val="both"/>
      </w:pPr>
      <w:r>
        <w:rPr>
          <w:rFonts w:ascii="Barlow Semi Condensed" w:cs="Barlow Semi Condensed" w:eastAsia="Barlow Semi Condensed" w:hAnsi="Barlow Semi Condensed"/>
          <w:b/>
          <w:bCs/>
          <w:sz w:val="24"/>
          <w:szCs w:val="24"/>
        </w:rPr>
        <w:t xml:space="preserve">165 · La parsimonia e il suo limite.</w:t>
      </w:r>
      <w:r>
        <w:rPr>
          <w:rFonts w:ascii="Barlow Semi Condensed" w:cs="Barlow Semi Condensed" w:eastAsia="Barlow Semi Condensed" w:hAnsi="Barlow Semi Condensed"/>
          <w:sz w:val="24"/>
          <w:szCs w:val="24"/>
        </w:rPr>
        <w:t xml:space="preserve"> Fra due alberi compatibili con gli stessi dati si preferisce quello che richiede meno derivazioni indipendenti: è criterio di economia, non prova, e va dichiarato come tale. La storia delle idee è ricca di ripetizioni indipendenti, sicché un albero più semplice può essere più elegante e falso. La parsimonia ordina le ipotesi; non ne promuove il grado di una sola tacca.</w:t>
      </w:r>
    </w:p>
    <w:p>
      <w:pPr>
        <w:spacing w:after="120" w:line="276"/>
        <w:jc w:val="both"/>
      </w:pPr>
      <w:r>
        <w:rPr>
          <w:rFonts w:ascii="Barlow Semi Condensed" w:cs="Barlow Semi Condensed" w:eastAsia="Barlow Semi Condensed" w:hAnsi="Barlow Semi Condensed"/>
          <w:b/>
          <w:bCs/>
          <w:sz w:val="24"/>
          <w:szCs w:val="24"/>
        </w:rPr>
        <w:t xml:space="preserve">166 · Che cosa abbatterebbe l'albero.</w:t>
      </w:r>
      <w:r>
        <w:rPr>
          <w:rFonts w:ascii="Barlow Semi Condensed" w:cs="Barlow Semi Condensed" w:eastAsia="Barlow Semi Condensed" w:hAnsi="Barlow Semi Condensed"/>
          <w:sz w:val="24"/>
          <w:szCs w:val="24"/>
        </w:rPr>
        <w:t xml:space="preserve"> Ogni ramo proposto porta scritta accanto la propria smentita: il documento che, comparendo, lo taglierebbe — una lettera che attesti la lettura in senso inverso, una datazione che renda impossibile la derivazione, un terzo testo anteriore da cui entrambi dipendono. Un ramo privo di criterio di smentita non è un risultato ma un'illustrazione, e va tolto dall'albero prima della pubblicazione.</w:t>
      </w:r>
    </w:p>
    <w:p>
      <w:pPr>
        <w:spacing w:after="120" w:line="276"/>
        <w:jc w:val="both"/>
      </w:pPr>
      <w:r>
        <w:rPr>
          <w:rFonts w:ascii="Barlow Semi Condensed" w:cs="Barlow Semi Condensed" w:eastAsia="Barlow Semi Condensed" w:hAnsi="Barlow Semi Condensed"/>
          <w:b/>
          <w:bCs/>
          <w:sz w:val="24"/>
          <w:szCs w:val="24"/>
        </w:rPr>
        <w:t xml:space="preserve">167 · Il trasferimento orizzontale.</w:t>
      </w:r>
      <w:r>
        <w:rPr>
          <w:rFonts w:ascii="Barlow Semi Condensed" w:cs="Barlow Semi Condensed" w:eastAsia="Barlow Semi Condensed" w:hAnsi="Barlow Semi Condensed"/>
          <w:sz w:val="24"/>
          <w:szCs w:val="24"/>
        </w:rPr>
        <w:t xml:space="preserve"> Le idee non scendono soltanto da maestro ad allievo: passano di lato, fra coetanei, in redazioni, commissioni, corridoi e conferenze, e la topologia ad albero le rappresenta male. Dove il passaggio laterale è documentato si registra come tale; dove è soltanto possibile si dichiara che l'albero è una semplificazione di una rete, e non se ne traggono conseguenze di priorità fra i rami.</w:t>
      </w:r>
    </w:p>
    <w:p>
      <w:pPr>
        <w:spacing w:after="120" w:line="276"/>
        <w:jc w:val="both"/>
      </w:pPr>
      <w:r>
        <w:rPr>
          <w:rFonts w:ascii="Barlow Semi Condensed" w:cs="Barlow Semi Condensed" w:eastAsia="Barlow Semi Condensed" w:hAnsi="Barlow Semi Condensed"/>
          <w:b/>
          <w:bCs/>
          <w:sz w:val="24"/>
          <w:szCs w:val="24"/>
        </w:rPr>
        <w:t xml:space="preserve">168 · Si gradua la sinapsi, non il nodo.</w:t>
      </w:r>
      <w:r>
        <w:rPr>
          <w:rFonts w:ascii="Barlow Semi Condensed" w:cs="Barlow Semi Condensed" w:eastAsia="Barlow Semi Condensed" w:hAnsi="Barlow Semi Condensed"/>
          <w:sz w:val="24"/>
          <w:szCs w:val="24"/>
        </w:rPr>
        <w:t xml:space="preserve"> La rete documentata del corpus conta trentanove nodi e cinquantanove archi, e nessun arco vi entra senza il proprio grado: la regola vale identica per l'albero dottrinale, dove a portare il grado è la derivazione e non l'autore. Un autore non ha grado; lo ha ciascuna singola discendenza che gli si attribuisce, una per una, con la sua carta e la sua pagina.</w:t>
      </w:r>
    </w:p>
    <w:p>
      <w:pPr>
        <w:spacing w:after="120" w:line="276"/>
        <w:jc w:val="both"/>
      </w:pPr>
      <w:r>
        <w:rPr>
          <w:rFonts w:ascii="Barlow Semi Condensed" w:cs="Barlow Semi Condensed" w:eastAsia="Barlow Semi Condensed" w:hAnsi="Barlow Semi Condensed"/>
          <w:b/>
          <w:bCs/>
          <w:sz w:val="24"/>
          <w:szCs w:val="24"/>
        </w:rPr>
        <w:t xml:space="preserve">169 · L'anello debole del lignaggio.</w:t>
      </w:r>
      <w:r>
        <w:rPr>
          <w:rFonts w:ascii="Barlow Semi Condensed" w:cs="Barlow Semi Condensed" w:eastAsia="Barlow Semi Condensed" w:hAnsi="Barlow Semi Condensed"/>
          <w:sz w:val="24"/>
          <w:szCs w:val="24"/>
        </w:rPr>
        <w:t xml:space="preserve"> Il grado di un cammino è il grado minimo fra i suoi archi: un lignaggio che attraversi anche un solo passaggio congetturale vale quel passaggio, per quante derivazioni documentate contenga a monte e a valle. Ne segue che le catene lunghe sono quasi sempre deboli, e che una catena a due anelli documentati vale più di una a otto anelli suggestivi.</w:t>
      </w:r>
    </w:p>
    <w:p>
      <w:pPr>
        <w:spacing w:after="120" w:line="276"/>
        <w:jc w:val="both"/>
      </w:pPr>
      <w:r>
        <w:rPr>
          <w:rFonts w:ascii="Barlow Semi Condensed" w:cs="Barlow Semi Condensed" w:eastAsia="Barlow Semi Condensed" w:hAnsi="Barlow Semi Condensed"/>
          <w:b/>
          <w:bCs/>
          <w:sz w:val="24"/>
          <w:szCs w:val="24"/>
        </w:rPr>
        <w:t xml:space="preserve">170 · Il buco che dice altro.</w:t>
      </w:r>
      <w:r>
        <w:rPr>
          <w:rFonts w:ascii="Barlow Semi Condensed" w:cs="Barlow Semi Condensed" w:eastAsia="Barlow Semi Condensed" w:hAnsi="Barlow Semi Condensed"/>
          <w:sz w:val="24"/>
          <w:szCs w:val="24"/>
        </w:rPr>
        <w:t xml:space="preserve"> Se fra due autori nessun documento attesta contatto, il vuoto non prova estraneità: prova in prima istanza che nessuno ha ancora scritto lo studio che li tratta insieme. La procedura del corpus è a due tempi — si misura il buco e lo si dichiara, poi se ne diagnostica la causa nella specializzazione delle fonti — e solo dopo lo si interroga sulla struttura del mondo.</w:t>
      </w:r>
    </w:p>
    <w:p>
      <w:pPr>
        <w:spacing w:after="120" w:line="276"/>
        <w:jc w:val="both"/>
      </w:pPr>
      <w:r>
        <w:rPr>
          <w:rFonts w:ascii="Barlow Semi Condensed" w:cs="Barlow Semi Condensed" w:eastAsia="Barlow Semi Condensed" w:hAnsi="Barlow Semi Condensed"/>
          <w:b/>
          <w:bCs/>
          <w:sz w:val="24"/>
          <w:szCs w:val="24"/>
        </w:rPr>
        <w:t xml:space="preserve">171 · Le ipotesi concorrenti di discendenza.</w:t>
      </w:r>
      <w:r>
        <w:rPr>
          <w:rFonts w:ascii="Barlow Semi Condensed" w:cs="Barlow Semi Condensed" w:eastAsia="Barlow Semi Condensed" w:hAnsi="Barlow Semi Condensed"/>
          <w:sz w:val="24"/>
          <w:szCs w:val="24"/>
        </w:rPr>
        <w:t xml:space="preserve"> Il quesito genealogico è impersonale e sopporta perciò la matrice di Heuer, con quattro ipotesi in colonna: derivazione diretta, dipendenza comune da un terzo testo, convergenza indipendente, coincidenza di lessico d'epoca. Si incrocia ogni evidenza con ciascuna e si cerca quella diagnostica, incompatibile con almeno un'ipotesi; se nessuna discrimina, il quesito è indecidibile allo stato, e questo è il risultato da scrivere.</w:t>
      </w:r>
    </w:p>
    <w:p>
      <w:pPr>
        <w:spacing w:after="120" w:line="276"/>
        <w:jc w:val="both"/>
      </w:pPr>
      <w:r>
        <w:rPr>
          <w:rFonts w:ascii="Barlow Semi Condensed" w:cs="Barlow Semi Condensed" w:eastAsia="Barlow Semi Condensed" w:hAnsi="Barlow Semi Condensed"/>
          <w:b/>
          <w:bCs/>
          <w:sz w:val="24"/>
          <w:szCs w:val="24"/>
        </w:rPr>
        <w:t xml:space="preserve">172 · Consilienza solo fra linee indipendenti.</w:t>
      </w:r>
      <w:r>
        <w:rPr>
          <w:rFonts w:ascii="Barlow Semi Condensed" w:cs="Barlow Semi Condensed" w:eastAsia="Barlow Semi Condensed" w:hAnsi="Barlow Semi Condensed"/>
          <w:sz w:val="24"/>
          <w:szCs w:val="24"/>
        </w:rPr>
        <w:t xml:space="preserve"> Tre indizi di derivazione che provengano tutti dalla stessa biografia autorizzata non sono tre linee: sono una sola, ripetuta tre volte. La consilienza rafforza soltanto fra linee davvero indipendenti e mai oltre il grado della più debole; nella storia delle idee l'indipendenza è rara, perché i repertori si copiano fra loro, e va dimostrata prima di essere invocata.</w:t>
      </w:r>
    </w:p>
    <w:p>
      <w:pPr>
        <w:spacing w:after="120" w:line="276"/>
        <w:jc w:val="both"/>
      </w:pPr>
      <w:r>
        <w:rPr>
          <w:rFonts w:ascii="Barlow Semi Condensed" w:cs="Barlow Semi Condensed" w:eastAsia="Barlow Semi Condensed" w:hAnsi="Barlow Semi Condensed"/>
          <w:b/>
          <w:bCs/>
          <w:sz w:val="24"/>
          <w:szCs w:val="24"/>
        </w:rPr>
        <w:t xml:space="preserve">173 · Nessuna discendenza a ritroso.</w:t>
      </w:r>
      <w:r>
        <w:rPr>
          <w:rFonts w:ascii="Barlow Semi Condensed" w:cs="Barlow Semi Condensed" w:eastAsia="Barlow Semi Condensed" w:hAnsi="Barlow Semi Condensed"/>
          <w:sz w:val="24"/>
          <w:szCs w:val="24"/>
        </w:rPr>
        <w:t xml:space="preserve"> Il controllo più banale e più spesso omesso è cronologico: il presunto antenato deve essere anteriore e accessibile — pubblicato, tradotto, circolante — prima del testo che se ne direbbe derivato. Una traduzione italiana successiva all'atto che avrebbe ispirato chiude la questione; ed è la ragione per cui ogni ramo porta due date, quella dell'originale e quella della disponibilità effettiva.</w:t>
      </w:r>
    </w:p>
    <w:p>
      <w:pPr>
        <w:spacing w:after="120" w:line="276"/>
        <w:jc w:val="both"/>
      </w:pPr>
      <w:r>
        <w:rPr>
          <w:rFonts w:ascii="Barlow Semi Condensed" w:cs="Barlow Semi Condensed" w:eastAsia="Barlow Semi Condensed" w:hAnsi="Barlow Semi Condensed"/>
          <w:b/>
          <w:bCs/>
          <w:sz w:val="24"/>
          <w:szCs w:val="24"/>
        </w:rPr>
        <w:t xml:space="preserve">174 · L'omoplasia dottrinale.</w:t>
      </w:r>
      <w:r>
        <w:rPr>
          <w:rFonts w:ascii="Barlow Semi Condensed" w:cs="Barlow Semi Condensed" w:eastAsia="Barlow Semi Condensed" w:hAnsi="Barlow Semi Condensed"/>
          <w:sz w:val="24"/>
          <w:szCs w:val="24"/>
        </w:rPr>
        <w:t xml:space="preserve"> Accade regolarmente che due autori giungano alla stessa formula per vie separate, perché affrontano lo stesso problema con gli stessi strumenti concettuali disponibili: in biologia si chiama convergenza e non è parentela. Nel lavoro dottrinale va tenuta fra le ipotesi standard, alla pari della derivazione, e non invocata come spiegazione residuale quando la derivazione non si trova.</w:t>
      </w:r>
    </w:p>
    <w:p>
      <w:pPr>
        <w:spacing w:after="120" w:line="276"/>
        <w:jc w:val="both"/>
      </w:pPr>
      <w:r>
        <w:rPr>
          <w:rFonts w:ascii="Barlow Semi Condensed" w:cs="Barlow Semi Condensed" w:eastAsia="Barlow Semi Condensed" w:hAnsi="Barlow Semi Condensed"/>
          <w:b/>
          <w:bCs/>
          <w:sz w:val="24"/>
          <w:szCs w:val="24"/>
        </w:rPr>
        <w:t xml:space="preserve">175 · La lingua franca di un'epoca.</w:t>
      </w:r>
      <w:r>
        <w:rPr>
          <w:rFonts w:ascii="Barlow Semi Condensed" w:cs="Barlow Semi Condensed" w:eastAsia="Barlow Semi Condensed" w:hAnsi="Barlow Semi Condensed"/>
          <w:sz w:val="24"/>
          <w:szCs w:val="24"/>
        </w:rPr>
        <w:t xml:space="preserve"> Chi scriveva di politica internazionale fra il 1950 e il 1975 disponeva di un vocabolario obbligato — deterrenza, credibilità, distensione, contenimento — e non poteva non usarlo. Lo strumento che ne deriva è un gruppo esterno lessicale: si compila da un campione indipendente di riviste dell'epoca l'elenco dei termini correnti, e lo si sottrae prima di ogni confronto fra due autori.</w:t>
      </w:r>
    </w:p>
    <w:p>
      <w:pPr>
        <w:spacing w:after="120" w:line="276"/>
        <w:jc w:val="both"/>
      </w:pPr>
      <w:r>
        <w:rPr>
          <w:rFonts w:ascii="Barlow Semi Condensed" w:cs="Barlow Semi Condensed" w:eastAsia="Barlow Semi Condensed" w:hAnsi="Barlow Semi Condensed"/>
          <w:b/>
          <w:bCs/>
          <w:sz w:val="24"/>
          <w:szCs w:val="24"/>
        </w:rPr>
        <w:t xml:space="preserve">176 · Effetto convergente da causa comune.</w:t>
      </w:r>
      <w:r>
        <w:rPr>
          <w:rFonts w:ascii="Barlow Semi Condensed" w:cs="Barlow Semi Condensed" w:eastAsia="Barlow Semi Condensed" w:hAnsi="Barlow Semi Condensed"/>
          <w:sz w:val="24"/>
          <w:szCs w:val="24"/>
        </w:rPr>
        <w:t xml:space="preserve"> Il corpus ha già coniato la categoria: due esiti simultanei che discendono provatamente dallo stesso evento e non l'uno dall'altro. Il 1973 cileno ne è l'esempio maggiore, poiché dal medesimo fatto la sinistra rivoluzionaria trasse la conferma dell'inutilità delle urne e Berlinguer la necessità del compromesso storico. La categoria serve proprio a impedire che i due effetti vengano legati fra loro.</w:t>
      </w:r>
    </w:p>
    <w:p>
      <w:pPr>
        <w:spacing w:after="120" w:line="276"/>
        <w:jc w:val="both"/>
      </w:pPr>
      <w:r>
        <w:rPr>
          <w:rFonts w:ascii="Barlow Semi Condensed" w:cs="Barlow Semi Condensed" w:eastAsia="Barlow Semi Condensed" w:hAnsi="Barlow Semi Condensed"/>
          <w:b/>
          <w:bCs/>
          <w:sz w:val="24"/>
          <w:szCs w:val="24"/>
        </w:rPr>
        <w:t xml:space="preserve">177 · Reagire allo stesso fatto non imparenta.</w:t>
      </w:r>
      <w:r>
        <w:rPr>
          <w:rFonts w:ascii="Barlow Semi Condensed" w:cs="Barlow Semi Condensed" w:eastAsia="Barlow Semi Condensed" w:hAnsi="Barlow Semi Condensed"/>
          <w:sz w:val="24"/>
          <w:szCs w:val="24"/>
        </w:rPr>
        <w:t xml:space="preserve"> La simultaneità delle reazioni è il grado più basso della griglia: meno della convergenza di obiettivo documentata, meno della comunanza di ambiente istituzionale. Che fra il 1973 e il 1974 la questione del comunismo al governo occupasse insieme Washington, Roma e Botteghe Oscure è cornice al grado di fatto pubblico: descrive il campo in cui tutti si mossero, non la trasmissione di un codice.</w:t>
      </w:r>
    </w:p>
    <w:p>
      <w:pPr>
        <w:spacing w:after="120" w:line="276"/>
        <w:jc w:val="both"/>
      </w:pPr>
      <w:r>
        <w:rPr>
          <w:rFonts w:ascii="Barlow Semi Condensed" w:cs="Barlow Semi Condensed" w:eastAsia="Barlow Semi Condensed" w:hAnsi="Barlow Semi Condensed"/>
          <w:b/>
          <w:bCs/>
          <w:sz w:val="24"/>
          <w:szCs w:val="24"/>
        </w:rPr>
        <w:t xml:space="preserve">178 · La genealogia interna dell'attenzione.</w:t>
      </w:r>
      <w:r>
        <w:rPr>
          <w:rFonts w:ascii="Barlow Semi Condensed" w:cs="Barlow Semi Condensed" w:eastAsia="Barlow Semi Condensed" w:hAnsi="Barlow Semi Condensed"/>
          <w:sz w:val="24"/>
          <w:szCs w:val="24"/>
        </w:rPr>
        <w:t xml:space="preserve"> La formula morotea dell'attenzione ha ascendenti propri e italiani — la formazione giuridica, il personalismo cattolico, l'esperienza costituente — e il suo omologo internazionale, la dottrina dell'equilibrio e la proiezione mediterranea, è documentato negli atti della Farnesina fra il 1969 e il 1974. Che due dottrine dell'equilibrio coesistano non le imparenta: chiede, semmai, di distinguerne le radici con cura maggiore.</w:t>
      </w:r>
    </w:p>
    <w:p>
      <w:pPr>
        <w:spacing w:after="120" w:line="276"/>
        <w:jc w:val="both"/>
      </w:pPr>
      <w:r>
        <w:rPr>
          <w:rFonts w:ascii="Barlow Semi Condensed" w:cs="Barlow Semi Condensed" w:eastAsia="Barlow Semi Condensed" w:hAnsi="Barlow Semi Condensed"/>
          <w:b/>
          <w:bCs/>
          <w:sz w:val="24"/>
          <w:szCs w:val="24"/>
        </w:rPr>
        <w:t xml:space="preserve">179 · La trappola del sinonimo.</w:t>
      </w:r>
      <w:r>
        <w:rPr>
          <w:rFonts w:ascii="Barlow Semi Condensed" w:cs="Barlow Semi Condensed" w:eastAsia="Barlow Semi Condensed" w:hAnsi="Barlow Semi Condensed"/>
          <w:sz w:val="24"/>
          <w:szCs w:val="24"/>
        </w:rPr>
        <w:t xml:space="preserve"> Stabilità significa cose diverse in due tradizioni: conservazione di un assetto nella prima, allargamento graduale del perimetro democratico nella seconda. Un albero costruito sulle parole e non sui loro referenti unisce ciò che è opposto; la regola operativa è che ogni carattere sia definito con l'esempio concreto che l'autore ne dà, e mai con il termine che lo nomina.</w:t>
      </w:r>
    </w:p>
    <w:p>
      <w:pPr>
        <w:spacing w:after="120" w:line="276"/>
        <w:jc w:val="both"/>
      </w:pPr>
      <w:r>
        <w:rPr>
          <w:rFonts w:ascii="Barlow Semi Condensed" w:cs="Barlow Semi Condensed" w:eastAsia="Barlow Semi Condensed" w:hAnsi="Barlow Semi Condensed"/>
          <w:b/>
          <w:bCs/>
          <w:sz w:val="24"/>
          <w:szCs w:val="24"/>
        </w:rPr>
        <w:t xml:space="preserve">180 · Come si prova l'indipendenza.</w:t>
      </w:r>
      <w:r>
        <w:rPr>
          <w:rFonts w:ascii="Barlow Semi Condensed" w:cs="Barlow Semi Condensed" w:eastAsia="Barlow Semi Condensed" w:hAnsi="Barlow Semi Condensed"/>
          <w:sz w:val="24"/>
          <w:szCs w:val="24"/>
        </w:rPr>
        <w:t xml:space="preserve"> L'indipendenza di due linee si dimostra e non si presume: assenza di citazione reciproca nei testi editi, assenza di traduzione disponibile alla data utile, cataloghi delle biblioteche personali, corrispondenza spogliata, elenchi di corsi e conferenze. Ogni verifica riuscita alza il grado dell'ipotesi convergente; ogni verifica omessa la lascia dove sta, che è il piano due e nulla di più.</w:t>
      </w:r>
    </w:p>
    <w:p>
      <w:pPr>
        <w:spacing w:after="120" w:line="276"/>
        <w:jc w:val="both"/>
      </w:pPr>
      <w:r>
        <w:rPr>
          <w:rFonts w:ascii="Barlow Semi Condensed" w:cs="Barlow Semi Condensed" w:eastAsia="Barlow Semi Condensed" w:hAnsi="Barlow Semi Condensed"/>
          <w:b/>
          <w:bCs/>
          <w:sz w:val="24"/>
          <w:szCs w:val="24"/>
        </w:rPr>
        <w:t xml:space="preserve">181 · L'indecidibile si scrive.</w:t>
      </w:r>
      <w:r>
        <w:rPr>
          <w:rFonts w:ascii="Barlow Semi Condensed" w:cs="Barlow Semi Condensed" w:eastAsia="Barlow Semi Condensed" w:hAnsi="Barlow Semi Condensed"/>
          <w:sz w:val="24"/>
          <w:szCs w:val="24"/>
        </w:rPr>
        <w:t xml:space="preserve"> Quando le prove disponibili sono compatibili tanto con la derivazione quanto con la convergenza, la conclusione non è la più suggestiva delle due: è che il quesito resta aperto, con l'evidenza discriminante nominata e la sede dove cercarla. L'agenda lo prescrive al blocco 297 — alla generazione successiva si consegnano domande pulite, non sospetti già orientati.</w:t>
      </w:r>
    </w:p>
    <w:p>
      <w:pPr>
        <w:spacing w:after="120" w:line="276"/>
        <w:jc w:val="both"/>
      </w:pPr>
      <w:r>
        <w:rPr>
          <w:rFonts w:ascii="Barlow Semi Condensed" w:cs="Barlow Semi Condensed" w:eastAsia="Barlow Semi Condensed" w:hAnsi="Barlow Semi Condensed"/>
          <w:b/>
          <w:bCs/>
          <w:sz w:val="24"/>
          <w:szCs w:val="24"/>
        </w:rPr>
        <w:t xml:space="preserve">182 · La dottrina non è condotta.</w:t>
      </w:r>
      <w:r>
        <w:rPr>
          <w:rFonts w:ascii="Barlow Semi Condensed" w:cs="Barlow Semi Condensed" w:eastAsia="Barlow Semi Condensed" w:hAnsi="Barlow Semi Condensed"/>
          <w:sz w:val="24"/>
          <w:szCs w:val="24"/>
        </w:rPr>
        <w:t xml:space="preserve"> Quarta regola del corpus, qui nella sua forma dottrinale: l'appartenenza a una scuola, a una tradizione o a un lignaggio non è prova di alcuna condotta. Vale per chi scrisse di equilibrio europeo come per chi lesse i manuali della guerriglia; ciò che una persona ha fatto si accerta con gli atti che riguardano quella persona e quel fatto, non con la sua bibliografia.</w:t>
      </w:r>
    </w:p>
    <w:p>
      <w:pPr>
        <w:spacing w:after="120" w:line="276"/>
        <w:jc w:val="both"/>
      </w:pPr>
      <w:r>
        <w:rPr>
          <w:rFonts w:ascii="Barlow Semi Condensed" w:cs="Barlow Semi Condensed" w:eastAsia="Barlow Semi Condensed" w:hAnsi="Barlow Semi Condensed"/>
          <w:b/>
          <w:bCs/>
          <w:sz w:val="24"/>
          <w:szCs w:val="24"/>
        </w:rPr>
        <w:t xml:space="preserve">183 · Dal testo all'atto non si passa.</w:t>
      </w:r>
      <w:r>
        <w:rPr>
          <w:rFonts w:ascii="Barlow Semi Condensed" w:cs="Barlow Semi Condensed" w:eastAsia="Barlow Semi Condensed" w:hAnsi="Barlow Semi Condensed"/>
          <w:sz w:val="24"/>
          <w:szCs w:val="24"/>
        </w:rPr>
        <w:t xml:space="preserve"> È il punto in cui la metafora genetica diventa pericolosa e va fermata: il genotipo non determina il fenotipo del singolo individuo, e un libro lo determina ancora meno. Chiunque proponga un ragionamento della forma ha scritto questo dunque ha fatto quello sta compiendo l'inferenza che il metodo vieta, e il blocco che la ospita ha il dovere di dirlo prima di proseguire.</w:t>
      </w:r>
    </w:p>
    <w:p>
      <w:pPr>
        <w:spacing w:after="120" w:line="276"/>
        <w:jc w:val="both"/>
      </w:pPr>
      <w:r>
        <w:rPr>
          <w:rFonts w:ascii="Barlow Semi Condensed" w:cs="Barlow Semi Condensed" w:eastAsia="Barlow Semi Condensed" w:hAnsi="Barlow Semi Condensed"/>
          <w:b/>
          <w:bCs/>
          <w:sz w:val="24"/>
          <w:szCs w:val="24"/>
        </w:rPr>
        <w:t xml:space="preserve">184 · La stessa dottrina, atti opposti.</w:t>
      </w:r>
      <w:r>
        <w:rPr>
          <w:rFonts w:ascii="Barlow Semi Condensed" w:cs="Barlow Semi Condensed" w:eastAsia="Barlow Semi Condensed" w:hAnsi="Barlow Semi Condensed"/>
          <w:sz w:val="24"/>
          <w:szCs w:val="24"/>
        </w:rPr>
        <w:t xml:space="preserve"> La storiografia legge la dottrina dell'equilibrio in due modi inconciliabili: come argine alle avventure e come loro giustificazione. La divergenza si riporta e non si sceglie in silenzio; e la sua stessa esistenza è la prova migliore che dal testo non si deduce l'atto, perché lettori competenti, davanti alle medesime pagine, ne hanno dedotto atti contrari.</w:t>
      </w:r>
    </w:p>
    <w:p>
      <w:pPr>
        <w:spacing w:after="120" w:line="276"/>
        <w:jc w:val="both"/>
      </w:pPr>
      <w:r>
        <w:rPr>
          <w:rFonts w:ascii="Barlow Semi Condensed" w:cs="Barlow Semi Condensed" w:eastAsia="Barlow Semi Condensed" w:hAnsi="Barlow Semi Condensed"/>
          <w:b/>
          <w:bCs/>
          <w:sz w:val="24"/>
          <w:szCs w:val="24"/>
        </w:rPr>
        <w:t xml:space="preserve">185 · L'avvertimento riferito e il suo grado.</w:t>
      </w:r>
      <w:r>
        <w:rPr>
          <w:rFonts w:ascii="Barlow Semi Condensed" w:cs="Barlow Semi Condensed" w:eastAsia="Barlow Semi Condensed" w:hAnsi="Barlow Semi Condensed"/>
          <w:sz w:val="24"/>
          <w:szCs w:val="24"/>
        </w:rPr>
        <w:t xml:space="preserve"> L'episodio che colloca a Washington nel settembre 1974 un avvertimento a Moro è riferito da Corrado Guerzoni e confermato da Eleonora Chiavarelli Moro in sede parlamentare, ed è stato sempre smentito da Kissinger: è testimonianza contestata, di grado B debole, e nessun blocco può darla per accertata. La divergenza fra le fonti si registra per intero, come impone la regola sesta.</w:t>
      </w:r>
    </w:p>
    <w:p>
      <w:pPr>
        <w:spacing w:after="120" w:line="276"/>
        <w:jc w:val="both"/>
      </w:pPr>
      <w:r>
        <w:rPr>
          <w:rFonts w:ascii="Barlow Semi Condensed" w:cs="Barlow Semi Condensed" w:eastAsia="Barlow Semi Condensed" w:hAnsi="Barlow Semi Condensed"/>
          <w:b/>
          <w:bCs/>
          <w:sz w:val="24"/>
          <w:szCs w:val="24"/>
        </w:rPr>
        <w:t xml:space="preserve">186 · Il divieto di riempirlo con la dottrina.</w:t>
      </w:r>
      <w:r>
        <w:rPr>
          <w:rFonts w:ascii="Barlow Semi Condensed" w:cs="Barlow Semi Condensed" w:eastAsia="Barlow Semi Condensed" w:hAnsi="Barlow Semi Condensed"/>
          <w:sz w:val="24"/>
          <w:szCs w:val="24"/>
        </w:rPr>
        <w:t xml:space="preserve"> La tentazione propria di questa serie è usare il corpus accademico come riscontro della testimonianza: poiché l'autore aveva scritto in un certo modo, allora avrebbe pronunciato quelle parole. È l'inferenza dal genotipo al fenotipo individuale, ed è vietata; una testimonianza contestata si conferma o si smentisce con altre testimonianze e con documenti, mai con la coerenza interna di una bibliografia.</w:t>
      </w:r>
    </w:p>
    <w:p>
      <w:pPr>
        <w:spacing w:after="120" w:line="276"/>
        <w:jc w:val="both"/>
      </w:pPr>
      <w:r>
        <w:rPr>
          <w:rFonts w:ascii="Barlow Semi Condensed" w:cs="Barlow Semi Condensed" w:eastAsia="Barlow Semi Condensed" w:hAnsi="Barlow Semi Condensed"/>
          <w:b/>
          <w:bCs/>
          <w:sz w:val="24"/>
          <w:szCs w:val="24"/>
        </w:rPr>
        <w:t xml:space="preserve">187 · Il verbale del 25 settembre 1974.</w:t>
      </w:r>
      <w:r>
        <w:rPr>
          <w:rFonts w:ascii="Barlow Semi Condensed" w:cs="Barlow Semi Condensed" w:eastAsia="Barlow Semi Condensed" w:hAnsi="Barlow Semi Condensed"/>
          <w:sz w:val="24"/>
          <w:szCs w:val="24"/>
        </w:rPr>
        <w:t xml:space="preserve"> Nello Studio Ovale, il 25 settembre 1974, si tenne il colloquio fra Leone, Moro, Ford e Kissinger, verbalizzato nei memoranda of conversation del consigliere per la sicurezza nazionale (Ford Library, doc. 1552802) ed edito in FRUS 1969-1976, volume E-15 parte 2, doc. 350; il colloquio del giorno successivo è nel doc. 1552806. Sono fatti pubblici su fonte primaria: attestano un incontro, non una discendenza.</w:t>
      </w:r>
    </w:p>
    <w:p>
      <w:pPr>
        <w:spacing w:after="120" w:line="276"/>
        <w:jc w:val="both"/>
      </w:pPr>
      <w:r>
        <w:rPr>
          <w:rFonts w:ascii="Barlow Semi Condensed" w:cs="Barlow Semi Condensed" w:eastAsia="Barlow Semi Condensed" w:hAnsi="Barlow Semi Condensed"/>
          <w:b/>
          <w:bCs/>
          <w:sz w:val="24"/>
          <w:szCs w:val="24"/>
        </w:rPr>
        <w:t xml:space="preserve">188 · Che cosa il verbale non attesta.</w:t>
      </w:r>
      <w:r>
        <w:rPr>
          <w:rFonts w:ascii="Barlow Semi Condensed" w:cs="Barlow Semi Condensed" w:eastAsia="Barlow Semi Condensed" w:hAnsi="Barlow Semi Condensed"/>
          <w:sz w:val="24"/>
          <w:szCs w:val="24"/>
        </w:rPr>
        <w:t xml:space="preserve"> Alla vigilia, Kissinger espresse a Ford la propria posizione sull'ingresso dei comunisti nell'area di governo italiana: il documento attesta quella posizione e non attesta una posizione di Moro sul medesimo punto, che non va inferita. La regola vale per ogni verbale bilaterale — ciò che vi dice l'uno non si estende all'altro per contiguità di pagina o per silenzio a verbale.</w:t>
      </w:r>
    </w:p>
    <w:p>
      <w:pPr>
        <w:spacing w:after="120" w:line="276"/>
        <w:jc w:val="both"/>
      </w:pPr>
      <w:r>
        <w:rPr>
          <w:rFonts w:ascii="Barlow Semi Condensed" w:cs="Barlow Semi Condensed" w:eastAsia="Barlow Semi Condensed" w:hAnsi="Barlow Semi Condensed"/>
          <w:b/>
          <w:bCs/>
          <w:sz w:val="24"/>
          <w:szCs w:val="24"/>
        </w:rPr>
        <w:t xml:space="preserve">189 · L'anteriorità del Comitato dei 303.</w:t>
      </w:r>
      <w:r>
        <w:rPr>
          <w:rFonts w:ascii="Barlow Semi Condensed" w:cs="Barlow Semi Condensed" w:eastAsia="Barlow Semi Condensed" w:hAnsi="Barlow Semi Condensed"/>
          <w:sz w:val="24"/>
          <w:szCs w:val="24"/>
        </w:rPr>
        <w:t xml:space="preserve"> La riunione dell'11 marzo 1969 sull'azione coperta in Italia, in FRUS volume XLI documento 180, è anteriore all'insediamento di Moro alla Farnesina, avvenuto il 5 agosto 1969: qui non vi è nemmeno contemporaneità, e la quinta regola non ha bisogno di essere invocata. Il verbale attesta che i presenti convennero sull'assenza di una giustificazione reale alla ripresa del finanziamento coperto.</w:t>
      </w:r>
    </w:p>
    <w:p>
      <w:pPr>
        <w:spacing w:after="120" w:line="276"/>
        <w:jc w:val="both"/>
      </w:pPr>
      <w:r>
        <w:rPr>
          <w:rFonts w:ascii="Barlow Semi Condensed" w:cs="Barlow Semi Condensed" w:eastAsia="Barlow Semi Condensed" w:hAnsi="Barlow Semi Condensed"/>
          <w:b/>
          <w:bCs/>
          <w:sz w:val="24"/>
          <w:szCs w:val="24"/>
        </w:rPr>
        <w:t xml:space="preserve">190 · La cornice pluriennale e il suo limite.</w:t>
      </w:r>
      <w:r>
        <w:rPr>
          <w:rFonts w:ascii="Barlow Semi Condensed" w:cs="Barlow Semi Condensed" w:eastAsia="Barlow Semi Condensed" w:hAnsi="Barlow Semi Condensed"/>
          <w:sz w:val="24"/>
          <w:szCs w:val="24"/>
        </w:rPr>
        <w:t xml:space="preserve"> L'istruzione presidenziale del dicembre 1969 per uno studio sull'Italia, documento 188 della medesima serie, e il riemergere del programma di azione coperta nel novembre 1975 e nel luglio 1976 documentano un'attenzione continuata: sono cornice al grado di fatto pubblico, e la cornice descrive il campo in cui i fatti accaddero. Promuoverla a catena di comando è il salto che il corpus dichiara Stato Zero.</w:t>
      </w:r>
    </w:p>
    <w:p>
      <w:pPr>
        <w:spacing w:after="120" w:line="276"/>
        <w:jc w:val="both"/>
      </w:pPr>
      <w:r>
        <w:rPr>
          <w:rFonts w:ascii="Barlow Semi Condensed" w:cs="Barlow Semi Condensed" w:eastAsia="Barlow Semi Condensed" w:hAnsi="Barlow Semi Condensed"/>
          <w:b/>
          <w:bCs/>
          <w:sz w:val="24"/>
          <w:szCs w:val="24"/>
        </w:rPr>
        <w:t xml:space="preserve">191 · Espressione differenziale secondo l'ambiente.</w:t>
      </w:r>
      <w:r>
        <w:rPr>
          <w:rFonts w:ascii="Barlow Semi Condensed" w:cs="Barlow Semi Condensed" w:eastAsia="Barlow Semi Condensed" w:hAnsi="Barlow Semi Condensed"/>
          <w:sz w:val="24"/>
          <w:szCs w:val="24"/>
        </w:rPr>
        <w:t xml:space="preserve"> Lo stesso corpo dottrinale produce esiti diversi secondo il terreno: nel 1974 e nel 1975 la preoccupazione documentata per Lisbona era che vi si insediasse non una presa comunista ma un regime neutralista di sinistra rimasto dentro la NATO, formula che per Roma non risulta impiegata. La differenza è ambientale prima che dottrinale, e va spiegata con i due ambienti, non con due dottrine.</w:t>
      </w:r>
    </w:p>
    <w:p>
      <w:pPr>
        <w:spacing w:after="120" w:line="276"/>
        <w:jc w:val="both"/>
      </w:pPr>
      <w:r>
        <w:rPr>
          <w:rFonts w:ascii="Barlow Semi Condensed" w:cs="Barlow Semi Condensed" w:eastAsia="Barlow Semi Condensed" w:hAnsi="Barlow Semi Condensed"/>
          <w:b/>
          <w:bCs/>
          <w:sz w:val="24"/>
          <w:szCs w:val="24"/>
        </w:rPr>
        <w:t xml:space="preserve">192 · L'epigenetica delle cariche.</w:t>
      </w:r>
      <w:r>
        <w:rPr>
          <w:rFonts w:ascii="Barlow Semi Condensed" w:cs="Barlow Semi Condensed" w:eastAsia="Barlow Semi Condensed" w:hAnsi="Barlow Semi Condensed"/>
          <w:sz w:val="24"/>
          <w:szCs w:val="24"/>
        </w:rPr>
        <w:t xml:space="preserve"> Un uomo che passa dalla cattedra al governo non cambia testo: cambia ciò che del testo viene espresso, perché la carica seleziona le parti utilizzabili e silenzia le altre. La lente chiama epigenetica questa modulazione, e la sua utilità sta tutta nel divieto che ne discende — non si legge l'accademico attraverso il ministro, né il ministro attraverso l'accademico.</w:t>
      </w:r>
    </w:p>
    <w:p>
      <w:pPr>
        <w:spacing w:after="120" w:line="276"/>
        <w:jc w:val="both"/>
      </w:pPr>
      <w:r>
        <w:rPr>
          <w:rFonts w:ascii="Barlow Semi Condensed" w:cs="Barlow Semi Condensed" w:eastAsia="Barlow Semi Condensed" w:hAnsi="Barlow Semi Condensed"/>
          <w:b/>
          <w:bCs/>
          <w:sz w:val="24"/>
          <w:szCs w:val="24"/>
        </w:rPr>
        <w:t xml:space="preserve">193 · Helsinki, attrito di ruolo.</w:t>
      </w:r>
      <w:r>
        <w:rPr>
          <w:rFonts w:ascii="Barlow Semi Condensed" w:cs="Barlow Semi Condensed" w:eastAsia="Barlow Semi Condensed" w:hAnsi="Barlow Semi Condensed"/>
          <w:sz w:val="24"/>
          <w:szCs w:val="24"/>
        </w:rPr>
        <w:t xml:space="preserve"> Fra le fonti divulgative circola che a Helsinki Moro ottenne il coinvolgimento formale della Comunità europea nella firma sfidando l'insofferenza di Kissinger: la fonte è pubblicistica e il fatto va portato a primario prima di qualunque uso. Se confermato, resterebbe attrito fra due ruoli negoziali al medesimo tavolo — non un rapporto fra due dottrine, e ancor meno fra due condotte.</w:t>
      </w:r>
    </w:p>
    <w:p>
      <w:pPr>
        <w:spacing w:after="120" w:line="276"/>
        <w:jc w:val="both"/>
      </w:pPr>
      <w:r>
        <w:rPr>
          <w:rFonts w:ascii="Barlow Semi Condensed" w:cs="Barlow Semi Condensed" w:eastAsia="Barlow Semi Condensed" w:hAnsi="Barlow Semi Condensed"/>
          <w:b/>
          <w:bCs/>
          <w:sz w:val="24"/>
          <w:szCs w:val="24"/>
        </w:rPr>
        <w:t xml:space="preserve">194 · Il DNA non codificante di un corpus.</w:t>
      </w:r>
      <w:r>
        <w:rPr>
          <w:rFonts w:ascii="Barlow Semi Condensed" w:cs="Barlow Semi Condensed" w:eastAsia="Barlow Semi Condensed" w:hAnsi="Barlow Semi Condensed"/>
          <w:sz w:val="24"/>
          <w:szCs w:val="24"/>
        </w:rPr>
        <w:t xml:space="preserve"> La quota maggiore di un'opera accademica non viene mai citata da nessuno: recensioni, relazioni di convegno, dispense, note. Trattarla come inerte sarebbe un errore, perché vi si conservano le varianti che un giorno vengono espresse; ma trattare tutto ciò che un autore ha scritto come se fosse operante è l'errore opposto e più frequente, e produce alberi enormi e vuoti.</w:t>
      </w:r>
    </w:p>
    <w:p>
      <w:pPr>
        <w:spacing w:after="120" w:line="276"/>
        <w:jc w:val="both"/>
      </w:pPr>
      <w:r>
        <w:rPr>
          <w:rFonts w:ascii="Barlow Semi Condensed" w:cs="Barlow Semi Condensed" w:eastAsia="Barlow Semi Condensed" w:hAnsi="Barlow Semi Condensed"/>
          <w:b/>
          <w:bCs/>
          <w:sz w:val="24"/>
          <w:szCs w:val="24"/>
        </w:rPr>
        <w:t xml:space="preserve">195 · La mutazione che diventa dottrina.</w:t>
      </w:r>
      <w:r>
        <w:rPr>
          <w:rFonts w:ascii="Barlow Semi Condensed" w:cs="Barlow Semi Condensed" w:eastAsia="Barlow Semi Condensed" w:hAnsi="Barlow Semi Condensed"/>
          <w:sz w:val="24"/>
          <w:szCs w:val="24"/>
        </w:rPr>
        <w:t xml:space="preserve"> Il corpus documenta il caso maggiore: la teoria del foco, nata come dottrina di guerra a un esercito, si trasmise in Italia attraverso un vettore editoriale e si espresse come esecuzione di prigionieri inermi. La bandiera restò la stessa, il gesto divenne l'opposto: le copie replicano con errore, e l'errore, se l'ambiente lo seleziona, diventa la lezione che il discendente crede di aver ricevuto.</w:t>
      </w:r>
    </w:p>
    <w:p>
      <w:pPr>
        <w:spacing w:after="120" w:line="276"/>
        <w:jc w:val="both"/>
      </w:pPr>
      <w:r>
        <w:rPr>
          <w:rFonts w:ascii="Barlow Semi Condensed" w:cs="Barlow Semi Condensed" w:eastAsia="Barlow Semi Condensed" w:hAnsi="Barlow Semi Condensed"/>
          <w:b/>
          <w:bCs/>
          <w:sz w:val="24"/>
          <w:szCs w:val="24"/>
        </w:rPr>
        <w:t xml:space="preserve">196 · La deriva neutrale.</w:t>
      </w:r>
      <w:r>
        <w:rPr>
          <w:rFonts w:ascii="Barlow Semi Condensed" w:cs="Barlow Semi Condensed" w:eastAsia="Barlow Semi Condensed" w:hAnsi="Barlow Semi Condensed"/>
          <w:sz w:val="24"/>
          <w:szCs w:val="24"/>
        </w:rPr>
        <w:t xml:space="preserve"> Non tutto ciò che si diffonde si diffonde perché serve: una formula può moltiplicarsi per moda accademica, per prestigio dell'editore, per fortuna di una traduzione tempestiva. La deriva spiega diffusioni ampie senza alcuna pressione selettiva, e va tenuta fra le ipotesi ogni volta che si è tentati di dedurre da una grande circolazione una grande efficacia.</w:t>
      </w:r>
    </w:p>
    <w:p>
      <w:pPr>
        <w:spacing w:after="120" w:line="276"/>
        <w:jc w:val="both"/>
      </w:pPr>
      <w:r>
        <w:rPr>
          <w:rFonts w:ascii="Barlow Semi Condensed" w:cs="Barlow Semi Condensed" w:eastAsia="Barlow Semi Condensed" w:hAnsi="Barlow Semi Condensed"/>
          <w:b/>
          <w:bCs/>
          <w:sz w:val="24"/>
          <w:szCs w:val="24"/>
        </w:rPr>
        <w:t xml:space="preserve">197 · La selezione istituzionale.</w:t>
      </w:r>
      <w:r>
        <w:rPr>
          <w:rFonts w:ascii="Barlow Semi Condensed" w:cs="Barlow Semi Condensed" w:eastAsia="Barlow Semi Condensed" w:hAnsi="Barlow Semi Condensed"/>
          <w:sz w:val="24"/>
          <w:szCs w:val="24"/>
        </w:rPr>
        <w:t xml:space="preserve"> Le burocrazie conservano le formule che rendono decidibile una scelta e scartano quelle che la complicano: è una pressione selettiva reale e documentabile, perché nei verbali si vede quale lessico entra negli atti operativi e quale resta nei libri. Studiarla è compito storiografico legittimo; dedurne che chi coniò la formula abbia voluto l'atto che la impiegò non lo è.</w:t>
      </w:r>
    </w:p>
    <w:p>
      <w:pPr>
        <w:spacing w:after="120" w:line="276"/>
        <w:jc w:val="both"/>
      </w:pPr>
      <w:r>
        <w:rPr>
          <w:rFonts w:ascii="Barlow Semi Condensed" w:cs="Barlow Semi Condensed" w:eastAsia="Barlow Semi Condensed" w:hAnsi="Barlow Semi Condensed"/>
          <w:b/>
          <w:bCs/>
          <w:sz w:val="24"/>
          <w:szCs w:val="24"/>
        </w:rPr>
        <w:t xml:space="preserve">198 · La penetranza incompleta.</w:t>
      </w:r>
      <w:r>
        <w:rPr>
          <w:rFonts w:ascii="Barlow Semi Condensed" w:cs="Barlow Semi Condensed" w:eastAsia="Barlow Semi Condensed" w:hAnsi="Barlow Semi Condensed"/>
          <w:sz w:val="24"/>
          <w:szCs w:val="24"/>
        </w:rPr>
        <w:t xml:space="preserve"> Molti allievi dichiarati non applicano nulla di ciò che hanno appreso, e alcuni applicano l'opposto: il carattere ereditato può non esprimersi affatto. Ne discende il divieto pratico più utile della serie — da un elenco di partecipanti a un seminario non si ricava alcun elenco di eredi, e chi lo ricava ha scambiato una lista di presenze per una filiazione.</w:t>
      </w:r>
    </w:p>
    <w:p>
      <w:pPr>
        <w:spacing w:after="120" w:line="276"/>
        <w:jc w:val="both"/>
      </w:pPr>
      <w:r>
        <w:rPr>
          <w:rFonts w:ascii="Barlow Semi Condensed" w:cs="Barlow Semi Condensed" w:eastAsia="Barlow Semi Condensed" w:hAnsi="Barlow Semi Condensed"/>
          <w:b/>
          <w:bCs/>
          <w:sz w:val="24"/>
          <w:szCs w:val="24"/>
        </w:rPr>
        <w:t xml:space="preserve">199 · Statuto delle carte accademiche.</w:t>
      </w:r>
      <w:r>
        <w:rPr>
          <w:rFonts w:ascii="Barlow Semi Condensed" w:cs="Barlow Semi Condensed" w:eastAsia="Barlow Semi Condensed" w:hAnsi="Barlow Semi Condensed"/>
          <w:sz w:val="24"/>
          <w:szCs w:val="24"/>
        </w:rPr>
        <w:t xml:space="preserve"> Le carte di uno studioso non hanno lo statuto delle carte di governo: non nascono dentro una catena di protocollo, non recano segnatura d'origine, non obbediscono a obblighi di versamento, e il loro deposito dipende da un atto privato con le condizioni che il donante impone. La prima operazione, prima di ogni ricerca di merito, è leggere quelle condizioni e trascriverle.</w:t>
      </w:r>
    </w:p>
    <w:p>
      <w:pPr>
        <w:spacing w:after="120" w:line="276"/>
        <w:jc w:val="both"/>
      </w:pPr>
      <w:r>
        <w:rPr>
          <w:rFonts w:ascii="Barlow Semi Condensed" w:cs="Barlow Semi Condensed" w:eastAsia="Barlow Semi Condensed" w:hAnsi="Barlow Semi Condensed"/>
          <w:b/>
          <w:bCs/>
          <w:sz w:val="24"/>
          <w:szCs w:val="24"/>
        </w:rPr>
        <w:t xml:space="preserve">200 · Le sedi universitarie.</w:t>
      </w:r>
      <w:r>
        <w:rPr>
          <w:rFonts w:ascii="Barlow Semi Condensed" w:cs="Barlow Semi Condensed" w:eastAsia="Barlow Semi Condensed" w:hAnsi="Barlow Semi Condensed"/>
          <w:sz w:val="24"/>
          <w:szCs w:val="24"/>
        </w:rPr>
        <w:t xml:space="preserve"> Per il versante accademico le sedi da interrogare sono gli Harvard University Archives, per la carriera studentesca, i corsi, il seminario internazionale e le carte dei docenti di riferimento, e le Manuscripts and Archives della Yale University Library, presso cui gli strumenti di ricerca dell'istituto collocano il fondo personale. Di entrambe va reperito l'inventario analitico e verificata la disciplina di consultazione, serie per serie.</w:t>
      </w:r>
    </w:p>
    <w:p>
      <w:pPr>
        <w:spacing w:after="120" w:line="276"/>
        <w:jc w:val="both"/>
      </w:pPr>
      <w:r>
        <w:rPr>
          <w:rFonts w:ascii="Barlow Semi Condensed" w:cs="Barlow Semi Condensed" w:eastAsia="Barlow Semi Condensed" w:hAnsi="Barlow Semi Condensed"/>
          <w:b/>
          <w:bCs/>
          <w:sz w:val="24"/>
          <w:szCs w:val="24"/>
        </w:rPr>
        <w:t xml:space="preserve">201 · Il deposito nella capitale.</w:t>
      </w:r>
      <w:r>
        <w:rPr>
          <w:rFonts w:ascii="Barlow Semi Condensed" w:cs="Barlow Semi Condensed" w:eastAsia="Barlow Semi Condensed" w:hAnsi="Barlow Semi Condensed"/>
          <w:sz w:val="24"/>
          <w:szCs w:val="24"/>
        </w:rPr>
        <w:t xml:space="preserve"> La Manuscript Division della Library of Congress conserva un vasto deposito di carte kissingeriane con clausole d'accesso definite dall'atto di donazione, alcune delle quali, secondo quanto riferito dalla letteratura, ancorate alla data della morte del donatore, avvenuta il 29 novembre 2023. Il quesito è preciso e chiudibile: reperire il testo dell'atto e la tavola delle restrizioni ancora vigenti.</w:t>
      </w:r>
    </w:p>
    <w:p>
      <w:pPr>
        <w:spacing w:after="120" w:line="276"/>
        <w:jc w:val="both"/>
      </w:pPr>
      <w:r>
        <w:rPr>
          <w:rFonts w:ascii="Barlow Semi Condensed" w:cs="Barlow Semi Condensed" w:eastAsia="Barlow Semi Condensed" w:hAnsi="Barlow Semi Condensed"/>
          <w:b/>
          <w:bCs/>
          <w:sz w:val="24"/>
          <w:szCs w:val="24"/>
        </w:rPr>
        <w:t xml:space="preserve">202 · Le carte dei comitati privati.</w:t>
      </w:r>
      <w:r>
        <w:rPr>
          <w:rFonts w:ascii="Barlow Semi Condensed" w:cs="Barlow Semi Condensed" w:eastAsia="Barlow Semi Condensed" w:hAnsi="Barlow Semi Condensed"/>
          <w:sz w:val="24"/>
          <w:szCs w:val="24"/>
        </w:rPr>
        <w:t xml:space="preserve"> La formazione dottrinale di uno studioso passa anche per fondazioni e consigli: il Rockefeller Archive Center per i lavori dei gruppi di studio finanziati da quella famiglia, e la Seeley G. Mudd Manuscript Library di Princeton per le carte del Council on Foreign Relations. Sono giacimenti nuovi per questo corpus, che non ha mai avuto una colonna americana non governativa, e si aprono con inventario alla mano.</w:t>
      </w:r>
    </w:p>
    <w:p>
      <w:pPr>
        <w:spacing w:after="120" w:line="276"/>
        <w:jc w:val="both"/>
      </w:pPr>
      <w:r>
        <w:rPr>
          <w:rFonts w:ascii="Barlow Semi Condensed" w:cs="Barlow Semi Condensed" w:eastAsia="Barlow Semi Condensed" w:hAnsi="Barlow Semi Condensed"/>
          <w:b/>
          <w:bCs/>
          <w:sz w:val="24"/>
          <w:szCs w:val="24"/>
        </w:rPr>
        <w:t xml:space="preserve">203 · Le carte di governo, distinte.</w:t>
      </w:r>
      <w:r>
        <w:rPr>
          <w:rFonts w:ascii="Barlow Semi Condensed" w:cs="Barlow Semi Condensed" w:eastAsia="Barlow Semi Condensed" w:hAnsi="Barlow Semi Condensed"/>
          <w:sz w:val="24"/>
          <w:szCs w:val="24"/>
        </w:rPr>
        <w:t xml:space="preserve"> Restano nettamente separate le sedi del versante statale: la Gerald R. Ford Presidential Library per i memoranda of conversation, i National Archives di College Park per i Nixon Presidential Materials e per i Central Foreign Policy Files, la serie FRUS come mappa dichiarata degli archivi che la alimentarono, secondo il blocco 134 dell'agenda. Statuto, accesso e valore probatorio differiscono da quelli delle carte accademiche.</w:t>
      </w:r>
    </w:p>
    <w:p>
      <w:pPr>
        <w:spacing w:after="120" w:line="276"/>
        <w:jc w:val="both"/>
      </w:pPr>
      <w:r>
        <w:rPr>
          <w:rFonts w:ascii="Barlow Semi Condensed" w:cs="Barlow Semi Condensed" w:eastAsia="Barlow Semi Condensed" w:hAnsi="Barlow Semi Condensed"/>
          <w:b/>
          <w:bCs/>
          <w:sz w:val="24"/>
          <w:szCs w:val="24"/>
        </w:rPr>
        <w:t xml:space="preserve">204 · Lo Stato Zero della quadriga.</w:t>
      </w:r>
      <w:r>
        <w:rPr>
          <w:rFonts w:ascii="Barlow Semi Condensed" w:cs="Barlow Semi Condensed" w:eastAsia="Barlow Semi Condensed" w:hAnsi="Barlow Semi Condensed"/>
          <w:sz w:val="24"/>
          <w:szCs w:val="24"/>
        </w:rPr>
        <w:t xml:space="preserve"> Verifica meccanica eseguita per questa serie: il nome Kissinger non compare in alcuno dei tre documenti maggiori della quadriga investigativa — i mille blocchi dei nove cantieri, l'agenda di ricerca, il manuale investigativo — pur comparendo nel corpus storico. È uno Stato Zero condiviso e fin qui non dichiarato, e si verbalizza qui con perimetro esatto secondo i blocchi 233 e 285 dell'agenda.</w:t>
      </w:r>
    </w:p>
    <w:p>
      <w:pPr>
        <w:spacing w:after="120" w:line="276"/>
        <w:jc w:val="both"/>
      </w:pPr>
      <w:r>
        <w:rPr>
          <w:rFonts w:ascii="Barlow Semi Condensed" w:cs="Barlow Semi Condensed" w:eastAsia="Barlow Semi Condensed" w:hAnsi="Barlow Semi Condensed"/>
          <w:b/>
          <w:bCs/>
          <w:sz w:val="24"/>
          <w:szCs w:val="24"/>
        </w:rPr>
        <w:t xml:space="preserve">205 · Che cosa la terza serie stabilisce.</w:t>
      </w:r>
      <w:r>
        <w:rPr>
          <w:rFonts w:ascii="Barlow Semi Condensed" w:cs="Barlow Semi Condensed" w:eastAsia="Barlow Semi Condensed" w:hAnsi="Barlow Semi Condensed"/>
          <w:sz w:val="24"/>
          <w:szCs w:val="24"/>
        </w:rPr>
        <w:t xml:space="preserve"> Nessuna discendenza è stata provata e nessuna esclusa: si sono fissati gli strumenti per provarla o escluderla — la citazione con segnatura, l'errore congiuntivo, il carattere derivato, il gruppo esterno, la prova d'indipendenza — e le sedi dove giacciono i documenti mancanti. Resta scritto il divieto che regge tutta la serie: un albero di idee non è un albero di colpe, e nessuno eredita una condotta.</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Serie quarta — La trascrizione: dal codice all'atto documentato</w:t>
      </w:r>
    </w:p>
    <w:p>
      <w:pPr>
        <w:spacing w:after="120" w:line="276"/>
        <w:jc w:val="both"/>
      </w:pPr>
      <w:r>
        <w:rPr>
          <w:rFonts w:ascii="Barlow Semi Condensed" w:cs="Barlow Semi Condensed" w:eastAsia="Barlow Semi Condensed" w:hAnsi="Barlow Semi Condensed"/>
          <w:i/>
          <w:iCs/>
          <w:sz w:val="24"/>
          <w:szCs w:val="24"/>
        </w:rPr>
        <w:t xml:space="preserve">Blocchi 206-290.</w:t>
      </w:r>
    </w:p>
    <w:p>
      <w:pPr>
        <w:spacing w:after="120" w:line="276"/>
        <w:jc w:val="both"/>
      </w:pPr>
      <w:r>
        <w:rPr>
          <w:rFonts w:ascii="Barlow Semi Condensed" w:cs="Barlow Semi Condensed" w:eastAsia="Barlow Semi Condensed" w:hAnsi="Barlow Semi Condensed"/>
          <w:b/>
          <w:bCs/>
          <w:sz w:val="24"/>
          <w:szCs w:val="24"/>
        </w:rPr>
        <w:t xml:space="preserve">206 · Statuto della quarta serie.</w:t>
      </w:r>
      <w:r>
        <w:rPr>
          <w:rFonts w:ascii="Barlow Semi Condensed" w:cs="Barlow Semi Condensed" w:eastAsia="Barlow Semi Condensed" w:hAnsi="Barlow Semi Condensed"/>
          <w:sz w:val="24"/>
          <w:szCs w:val="24"/>
        </w:rPr>
        <w:t xml:space="preserve"> La serie passa dal codice all'atto: non discute che cosa Kissinger pensasse, ma che cosa una carta datata attesti e in quale sede sia consultabile. Ogni blocco è un bersaglio, un quesito o una regola di lettura, con la segnatura dove esiste e con la sede d'archivio dove non esiste. Nulla vi è indicato come reato: la trascrizione produce documenti e lacune dichiarate, mai responsabili.</w:t>
      </w:r>
    </w:p>
    <w:p>
      <w:pPr>
        <w:spacing w:after="120" w:line="276"/>
        <w:jc w:val="both"/>
      </w:pPr>
      <w:r>
        <w:rPr>
          <w:rFonts w:ascii="Barlow Semi Condensed" w:cs="Barlow Semi Condensed" w:eastAsia="Barlow Semi Condensed" w:hAnsi="Barlow Semi Condensed"/>
          <w:b/>
          <w:bCs/>
          <w:sz w:val="24"/>
          <w:szCs w:val="24"/>
        </w:rPr>
        <w:t xml:space="preserve">207 · Il codice e la sua trascrizione.</w:t>
      </w:r>
      <w:r>
        <w:rPr>
          <w:rFonts w:ascii="Barlow Semi Condensed" w:cs="Barlow Semi Condensed" w:eastAsia="Barlow Semi Condensed" w:hAnsi="Barlow Semi Condensed"/>
          <w:sz w:val="24"/>
          <w:szCs w:val="24"/>
        </w:rPr>
        <w:t xml:space="preserve"> La lente dichiarata dal committente serve qui in senso stretto: la decisione politica è il codice, il memorandum è la sua trascrizione, e fra i due c'è sempre un enzima, il redattore, che copia selezionando. Come l'RNA messaggero non è il gene, il verbale non è il colloquio. La metafora vale finché produce questa domanda: che cosa fu copiato, che cosa no, e da chi.</w:t>
      </w:r>
    </w:p>
    <w:p>
      <w:pPr>
        <w:spacing w:after="120" w:line="276"/>
        <w:jc w:val="both"/>
      </w:pPr>
      <w:r>
        <w:rPr>
          <w:rFonts w:ascii="Barlow Semi Condensed" w:cs="Barlow Semi Condensed" w:eastAsia="Barlow Semi Condensed" w:hAnsi="Barlow Semi Condensed"/>
          <w:b/>
          <w:bCs/>
          <w:sz w:val="24"/>
          <w:szCs w:val="24"/>
        </w:rPr>
        <w:t xml:space="preserve">208 · Dove la metafora va fermata.</w:t>
      </w:r>
      <w:r>
        <w:rPr>
          <w:rFonts w:ascii="Barlow Semi Condensed" w:cs="Barlow Semi Condensed" w:eastAsia="Barlow Semi Condensed" w:hAnsi="Barlow Semi Condensed"/>
          <w:sz w:val="24"/>
          <w:szCs w:val="24"/>
        </w:rPr>
        <w:t xml:space="preserve"> La genetica spinge verso due errori che il corpus vieta: il determinismo, per cui da un codice discenderebbe necessariamente un esito, e la colpa ereditaria, per cui un lignaggio dottrinale trasmetterebbe responsabilità. Nessuna linea di discendenza politica prova una condotta. Dove un blocco di questa serie sfiorasse quel confine, la metafora si dichiara esaurita e comanda il documento, non la figura.</w:t>
      </w:r>
    </w:p>
    <w:p>
      <w:pPr>
        <w:spacing w:after="120" w:line="276"/>
        <w:jc w:val="both"/>
      </w:pPr>
      <w:r>
        <w:rPr>
          <w:rFonts w:ascii="Barlow Semi Condensed" w:cs="Barlow Semi Condensed" w:eastAsia="Barlow Semi Condensed" w:hAnsi="Barlow Semi Condensed"/>
          <w:b/>
          <w:bCs/>
          <w:sz w:val="24"/>
          <w:szCs w:val="24"/>
        </w:rPr>
        <w:t xml:space="preserve">209 · La regola sul nome.</w:t>
      </w:r>
      <w:r>
        <w:rPr>
          <w:rFonts w:ascii="Barlow Semi Condensed" w:cs="Barlow Semi Condensed" w:eastAsia="Barlow Semi Condensed" w:hAnsi="Barlow Semi Condensed"/>
          <w:sz w:val="24"/>
          <w:szCs w:val="24"/>
        </w:rPr>
        <w:t xml:space="preserve"> Henry Alfred Kissinger, nato a Fürth il 27 maggio 1923 e morto a Kent, Connecticut, il 29 novembre 2023, non fu condannato in alcun processo. Nessun blocco può indicarlo come responsabile di reato, e la regola vale per chiunque compaia in queste carte. I documenti qui censiti attestano posizioni espresse, riunioni tenute, istruzioni impartite: non stabiliscono imputazioni, che appartengono al solo giudicato definitivo.</w:t>
      </w:r>
    </w:p>
    <w:p>
      <w:pPr>
        <w:spacing w:after="120" w:line="276"/>
        <w:jc w:val="both"/>
      </w:pPr>
      <w:r>
        <w:rPr>
          <w:rFonts w:ascii="Barlow Semi Condensed" w:cs="Barlow Semi Condensed" w:eastAsia="Barlow Semi Condensed" w:hAnsi="Barlow Semi Condensed"/>
          <w:b/>
          <w:bCs/>
          <w:sz w:val="24"/>
          <w:szCs w:val="24"/>
        </w:rPr>
        <w:t xml:space="preserve">210 · La griglia dei gradi.</w:t>
      </w:r>
      <w:r>
        <w:rPr>
          <w:rFonts w:ascii="Barlow Semi Condensed" w:cs="Barlow Semi Condensed" w:eastAsia="Barlow Semi Condensed" w:hAnsi="Barlow Semi Condensed"/>
          <w:sz w:val="24"/>
          <w:szCs w:val="24"/>
        </w:rPr>
        <w:t xml:space="preserve"> Vale la scala di sempre: A per il documentato su fonti primarie convergenti, B per l'indiziario e per l'accertamento parlamentare, C per la congettura, F per il fatto pubblico, Stato Zero per il cercato e non trovato. In questa serie il grado si applica al documento e non alla persona: si gradua la carta, la sua provenienza e la sua catena, mai chi vi è nominato.</w:t>
      </w:r>
    </w:p>
    <w:p>
      <w:pPr>
        <w:spacing w:after="120" w:line="276"/>
        <w:jc w:val="both"/>
      </w:pPr>
      <w:r>
        <w:rPr>
          <w:rFonts w:ascii="Barlow Semi Condensed" w:cs="Barlow Semi Condensed" w:eastAsia="Barlow Semi Condensed" w:hAnsi="Barlow Semi Condensed"/>
          <w:b/>
          <w:bCs/>
          <w:sz w:val="24"/>
          <w:szCs w:val="24"/>
        </w:rPr>
        <w:t xml:space="preserve">211 · I tre piani applicati alle carte.</w:t>
      </w:r>
      <w:r>
        <w:rPr>
          <w:rFonts w:ascii="Barlow Semi Condensed" w:cs="Barlow Semi Condensed" w:eastAsia="Barlow Semi Condensed" w:hAnsi="Barlow Semi Condensed"/>
          <w:sz w:val="24"/>
          <w:szCs w:val="24"/>
        </w:rPr>
        <w:t xml:space="preserve"> Piano primo: rapporto diretto documentato, cioè due nomi nello stesso verbale con la stessa data. Piano secondo: convergenza strutturale entro la stessa cornice, cioè due carte che parlano dello stesso mondo senza toccarsi. Piano terzo: affermazione terziaria priva di riscontro. Un ponte è reale solo al primo piano; il secondo e il terzo si registrano come tali e non si promuovono mai a nesso causale.</w:t>
      </w:r>
    </w:p>
    <w:p>
      <w:pPr>
        <w:spacing w:after="120" w:line="276"/>
        <w:jc w:val="both"/>
      </w:pPr>
      <w:r>
        <w:rPr>
          <w:rFonts w:ascii="Barlow Semi Condensed" w:cs="Barlow Semi Condensed" w:eastAsia="Barlow Semi Condensed" w:hAnsi="Barlow Semi Condensed"/>
          <w:b/>
          <w:bCs/>
          <w:sz w:val="24"/>
          <w:szCs w:val="24"/>
        </w:rPr>
        <w:t xml:space="preserve">212 · Genotipo e fenotipo dell'atto.</w:t>
      </w:r>
      <w:r>
        <w:rPr>
          <w:rFonts w:ascii="Barlow Semi Condensed" w:cs="Barlow Semi Condensed" w:eastAsia="Barlow Semi Condensed" w:hAnsi="Barlow Semi Condensed"/>
          <w:sz w:val="24"/>
          <w:szCs w:val="24"/>
        </w:rPr>
        <w:t xml:space="preserve"> Il genotipo è la decisione, cioè ciò che fu voluto e spesso non scritto; il fenotipo è l'atto osservabile, cioè il verbale, il telegramma, la firma. Come in biologia, dal fenotipo non si risale univocamente al genotipo, perché ambienti diversi producono esiti simili. La regola che ne discende è severa: un documento attesta ciò che dice, non ciò che lo ha generato, e l'intenzione si prova a parte.</w:t>
      </w:r>
    </w:p>
    <w:p>
      <w:pPr>
        <w:spacing w:after="120" w:line="276"/>
        <w:jc w:val="both"/>
      </w:pPr>
      <w:r>
        <w:rPr>
          <w:rFonts w:ascii="Barlow Semi Condensed" w:cs="Barlow Semi Condensed" w:eastAsia="Barlow Semi Condensed" w:hAnsi="Barlow Semi Condensed"/>
          <w:b/>
          <w:bCs/>
          <w:sz w:val="24"/>
          <w:szCs w:val="24"/>
        </w:rPr>
        <w:t xml:space="preserve">213 · Omologia contro analogia fra documenti.</w:t>
      </w:r>
      <w:r>
        <w:rPr>
          <w:rFonts w:ascii="Barlow Semi Condensed" w:cs="Barlow Semi Condensed" w:eastAsia="Barlow Semi Condensed" w:hAnsi="Barlow Semi Condensed"/>
          <w:sz w:val="24"/>
          <w:szCs w:val="24"/>
        </w:rPr>
        <w:t xml:space="preserve"> Due carte si somigliano per omologia quando condividono l'origine, cioè la stessa serie, lo stesso ufficio, la stessa catena di redazione, e per analogia quando somigliano soltanto per funzione. Il lessico anticomunista ricorrente nei documenti americani del periodo è quasi sempre analogia: comunanza di ambiente, non discendenza. Solo l'omologia archivistica, provata dalla segnatura, autorizza a trattare due documenti come parenti.</w:t>
      </w:r>
    </w:p>
    <w:p>
      <w:pPr>
        <w:spacing w:after="120" w:line="276"/>
        <w:jc w:val="both"/>
      </w:pPr>
      <w:r>
        <w:rPr>
          <w:rFonts w:ascii="Barlow Semi Condensed" w:cs="Barlow Semi Condensed" w:eastAsia="Barlow Semi Condensed" w:hAnsi="Barlow Semi Condensed"/>
          <w:b/>
          <w:bCs/>
          <w:sz w:val="24"/>
          <w:szCs w:val="24"/>
        </w:rPr>
        <w:t xml:space="preserve">214 · Il memcon del 25 settembre 1974.</w:t>
      </w:r>
      <w:r>
        <w:rPr>
          <w:rFonts w:ascii="Barlow Semi Condensed" w:cs="Barlow Semi Condensed" w:eastAsia="Barlow Semi Condensed" w:hAnsi="Barlow Semi Condensed"/>
          <w:sz w:val="24"/>
          <w:szCs w:val="24"/>
        </w:rPr>
        <w:t xml:space="preserve"> Bersaglio primo e già acquisito: il memorandum of conversation dello Studio Ovale del 25 settembre 1974 fra Giovanni Leone, Aldo Moro, Gerald Ford e Henry Kissinger, con Brent Scowcroft presente. Sede: Gerald R. Ford Presidential Library, National Security Adviser's Memoranda of Conversation, documento 1552802; edizione parallela in FRUS 1969-1976, volume E-15, parte 2, documento 350. Fonte primaria integralmente disponibile.</w:t>
      </w:r>
    </w:p>
    <w:p>
      <w:pPr>
        <w:spacing w:after="120" w:line="276"/>
        <w:jc w:val="both"/>
      </w:pPr>
      <w:r>
        <w:rPr>
          <w:rFonts w:ascii="Barlow Semi Condensed" w:cs="Barlow Semi Condensed" w:eastAsia="Barlow Semi Condensed" w:hAnsi="Barlow Semi Condensed"/>
          <w:b/>
          <w:bCs/>
          <w:sz w:val="24"/>
          <w:szCs w:val="24"/>
        </w:rPr>
        <w:t xml:space="preserve">215 · Che cosa quel memcon attesta.</w:t>
      </w:r>
      <w:r>
        <w:rPr>
          <w:rFonts w:ascii="Barlow Semi Condensed" w:cs="Barlow Semi Condensed" w:eastAsia="Barlow Semi Condensed" w:hAnsi="Barlow Semi Condensed"/>
          <w:sz w:val="24"/>
          <w:szCs w:val="24"/>
        </w:rPr>
        <w:t xml:space="preserve"> Attesta con grado A che l'incontro si tenne, in quella data e in quella sede, fra quelle persone, e attesta il contenuto che il redattore vi mise per iscritto. Attesta cioè un fatto di calendario e una versione del colloquio. Non attesta che quella versione sia completa, né che le parole riportate siano state pronunciate nella forma in cui appaiono: il memcon è resoconto, non registrazione.</w:t>
      </w:r>
    </w:p>
    <w:p>
      <w:pPr>
        <w:spacing w:after="120" w:line="276"/>
        <w:jc w:val="both"/>
      </w:pPr>
      <w:r>
        <w:rPr>
          <w:rFonts w:ascii="Barlow Semi Condensed" w:cs="Barlow Semi Condensed" w:eastAsia="Barlow Semi Condensed" w:hAnsi="Barlow Semi Condensed"/>
          <w:b/>
          <w:bCs/>
          <w:sz w:val="24"/>
          <w:szCs w:val="24"/>
        </w:rPr>
        <w:t xml:space="preserve">216 · Che cosa quel memcon non attesta.</w:t>
      </w:r>
      <w:r>
        <w:rPr>
          <w:rFonts w:ascii="Barlow Semi Condensed" w:cs="Barlow Semi Condensed" w:eastAsia="Barlow Semi Condensed" w:hAnsi="Barlow Semi Condensed"/>
          <w:sz w:val="24"/>
          <w:szCs w:val="24"/>
        </w:rPr>
        <w:t xml:space="preserve"> Non attesta alcuna posizione di Moro sul Partito comunista in quella sede, e inferirla è vietato: il documento la tace, e il silenzio di un verbale non è una presa di posizione. Non attesta minacce, avvertimenti o pressioni. Non attesta ciò che fu detto prima o dopo, fuori dal tavolo verbalizzato. Ogni lettura che colmi questi vuoti lavora al terzo piano e va dichiarata come tale.</w:t>
      </w:r>
    </w:p>
    <w:p>
      <w:pPr>
        <w:spacing w:after="120" w:line="276"/>
        <w:jc w:val="both"/>
      </w:pPr>
      <w:r>
        <w:rPr>
          <w:rFonts w:ascii="Barlow Semi Condensed" w:cs="Barlow Semi Condensed" w:eastAsia="Barlow Semi Condensed" w:hAnsi="Barlow Semi Condensed"/>
          <w:b/>
          <w:bCs/>
          <w:sz w:val="24"/>
          <w:szCs w:val="24"/>
        </w:rPr>
        <w:t xml:space="preserve">217 · La doppia lezione dello stesso testo.</w:t>
      </w:r>
      <w:r>
        <w:rPr>
          <w:rFonts w:ascii="Barlow Semi Condensed" w:cs="Barlow Semi Condensed" w:eastAsia="Barlow Semi Condensed" w:hAnsi="Barlow Semi Condensed"/>
          <w:sz w:val="24"/>
          <w:szCs w:val="24"/>
        </w:rPr>
        <w:t xml:space="preserve"> Lo stesso colloquio esiste in due edizioni: la copia d'archivio della Ford Library e la versione edita nel FRUS. Il bersaglio è la collazione riga per riga delle due lezioni, per accertare se il volume riproduca integralmente o con espunzioni, e con quali note redazionali. Come in ogni tradizione testuale, la variante fra due testimoni è un dato: si registra, non si sceglie in silenzio.</w:t>
      </w:r>
    </w:p>
    <w:p>
      <w:pPr>
        <w:spacing w:after="120" w:line="276"/>
        <w:jc w:val="both"/>
      </w:pPr>
      <w:r>
        <w:rPr>
          <w:rFonts w:ascii="Barlow Semi Condensed" w:cs="Barlow Semi Condensed" w:eastAsia="Barlow Semi Condensed" w:hAnsi="Barlow Semi Condensed"/>
          <w:b/>
          <w:bCs/>
          <w:sz w:val="24"/>
          <w:szCs w:val="24"/>
        </w:rPr>
        <w:t xml:space="preserve">218 · Chi redige un memorandum of conversation.</w:t>
      </w:r>
      <w:r>
        <w:rPr>
          <w:rFonts w:ascii="Barlow Semi Condensed" w:cs="Barlow Semi Condensed" w:eastAsia="Barlow Semi Condensed" w:hAnsi="Barlow Semi Condensed"/>
          <w:sz w:val="24"/>
          <w:szCs w:val="24"/>
        </w:rPr>
        <w:t xml:space="preserve"> Non lo redige uno stenografo né un notaio: lo redige un funzionario presente, spesso dello staff del consigliere per la sicurezza nazionale, che scrive dopo la riunione sulla base dei propri appunti. Il testo è dunque una ricostruzione a memoria recente, in terza persona, con virgolettati selettivi. Bersaglio: reperire in intestazione o in calce l'indicazione del redattore, senza la quale il documento resta anonimo nella sua fonte.</w:t>
      </w:r>
    </w:p>
    <w:p>
      <w:pPr>
        <w:spacing w:after="120" w:line="276"/>
        <w:jc w:val="both"/>
      </w:pPr>
      <w:r>
        <w:rPr>
          <w:rFonts w:ascii="Barlow Semi Condensed" w:cs="Barlow Semi Condensed" w:eastAsia="Barlow Semi Condensed" w:hAnsi="Barlow Semi Condensed"/>
          <w:b/>
          <w:bCs/>
          <w:sz w:val="24"/>
          <w:szCs w:val="24"/>
        </w:rPr>
        <w:t xml:space="preserve">219 · Perché la redazione ne limita il valore.</w:t>
      </w:r>
      <w:r>
        <w:rPr>
          <w:rFonts w:ascii="Barlow Semi Condensed" w:cs="Barlow Semi Condensed" w:eastAsia="Barlow Semi Condensed" w:hAnsi="Barlow Semi Condensed"/>
          <w:sz w:val="24"/>
          <w:szCs w:val="24"/>
        </w:rPr>
        <w:t xml:space="preserve"> Il redattore è insieme testimone e selettore: sceglie ciò che ritiene rilevante, comprime le digressioni, normalizza il parlato in prosa amministrativa. Ne discende un limite strutturale e non un sospetto: il memcon è fedele all'esito della riunione e infedele alla sua materialità. Vale come prova di ciò che l'amministrazione ritenne accaduto, non come prova di ciò che fu detto parola per parola.</w:t>
      </w:r>
    </w:p>
    <w:p>
      <w:pPr>
        <w:spacing w:after="120" w:line="276"/>
        <w:jc w:val="both"/>
      </w:pPr>
      <w:r>
        <w:rPr>
          <w:rFonts w:ascii="Barlow Semi Condensed" w:cs="Barlow Semi Condensed" w:eastAsia="Barlow Semi Condensed" w:hAnsi="Barlow Semi Condensed"/>
          <w:b/>
          <w:bCs/>
          <w:sz w:val="24"/>
          <w:szCs w:val="24"/>
        </w:rPr>
        <w:t xml:space="preserve">220 · Verbale e trascrizione integrale.</w:t>
      </w:r>
      <w:r>
        <w:rPr>
          <w:rFonts w:ascii="Barlow Semi Condensed" w:cs="Barlow Semi Condensed" w:eastAsia="Barlow Semi Condensed" w:hAnsi="Barlow Semi Condensed"/>
          <w:sz w:val="24"/>
          <w:szCs w:val="24"/>
        </w:rPr>
        <w:t xml:space="preserve"> La differenza è di genere, non di grado. La trascrizione integrale deriva da una registrazione e restituisce ogni parola, ripetizioni comprese; il verbale è una sintesi redatta. Confonderli produce l'errore più comune della pubblicistica: citare un memcon come se fosse un nastro. Dove esista una registrazione coeva, essa prevale e diventa il criterio di controllo del verbale; dove non esista, il verbale è l'unico testimone e va detto.</w:t>
      </w:r>
    </w:p>
    <w:p>
      <w:pPr>
        <w:spacing w:after="120" w:line="276"/>
        <w:jc w:val="both"/>
      </w:pPr>
      <w:r>
        <w:rPr>
          <w:rFonts w:ascii="Barlow Semi Condensed" w:cs="Barlow Semi Condensed" w:eastAsia="Barlow Semi Condensed" w:hAnsi="Barlow Semi Condensed"/>
          <w:b/>
          <w:bCs/>
          <w:sz w:val="24"/>
          <w:szCs w:val="24"/>
        </w:rPr>
        <w:t xml:space="preserve">221 · Il colloquio del 26 settembre.</w:t>
      </w:r>
      <w:r>
        <w:rPr>
          <w:rFonts w:ascii="Barlow Semi Condensed" w:cs="Barlow Semi Condensed" w:eastAsia="Barlow Semi Condensed" w:hAnsi="Barlow Semi Condensed"/>
          <w:sz w:val="24"/>
          <w:szCs w:val="24"/>
        </w:rPr>
        <w:t xml:space="preserve"> Bersaglio già acquisito e da trattare come documento autonomo: il verbale dell'incontro del giorno successivo, 26 settembre 1974, presso la Ford Library con il documento 1552806. Il quesito è comparativo: quali temi ricorrano nei due verbali, quali compaiano solo nel secondo, e se il secondo rinvii esplicitamente al primo. Due carte della stessa serie sono omologhe per origine e si leggono insieme.</w:t>
      </w:r>
    </w:p>
    <w:p>
      <w:pPr>
        <w:spacing w:after="120" w:line="276"/>
        <w:jc w:val="both"/>
      </w:pPr>
      <w:r>
        <w:rPr>
          <w:rFonts w:ascii="Barlow Semi Condensed" w:cs="Barlow Semi Condensed" w:eastAsia="Barlow Semi Condensed" w:hAnsi="Barlow Semi Condensed"/>
          <w:b/>
          <w:bCs/>
          <w:sz w:val="24"/>
          <w:szCs w:val="24"/>
        </w:rPr>
        <w:t xml:space="preserve">222 · La posizione espressa al presidente.</w:t>
      </w:r>
      <w:r>
        <w:rPr>
          <w:rFonts w:ascii="Barlow Semi Condensed" w:cs="Barlow Semi Condensed" w:eastAsia="Barlow Semi Condensed" w:hAnsi="Barlow Semi Condensed"/>
          <w:sz w:val="24"/>
          <w:szCs w:val="24"/>
        </w:rPr>
        <w:t xml:space="preserve"> Il documento attesta che alla vigilia Kissinger disse a Ford che agli italiani andava detto in modo duro che qualunque presenza comunista al governo avrebbe mutato le relazioni, con una valutazione sul rischio di contagio in Francia, Germania e Grecia. È fatto documentato di grado A quanto all'espressione della posizione. Che da una posizione espressa discenda una condotta non è documentato e non va inferito.</w:t>
      </w:r>
    </w:p>
    <w:p>
      <w:pPr>
        <w:spacing w:after="120" w:line="276"/>
        <w:jc w:val="both"/>
      </w:pPr>
      <w:r>
        <w:rPr>
          <w:rFonts w:ascii="Barlow Semi Condensed" w:cs="Barlow Semi Condensed" w:eastAsia="Barlow Semi Condensed" w:hAnsi="Barlow Semi Condensed"/>
          <w:b/>
          <w:bCs/>
          <w:sz w:val="24"/>
          <w:szCs w:val="24"/>
        </w:rPr>
        <w:t xml:space="preserve">223 · Il contagio come categoria del testo.</w:t>
      </w:r>
      <w:r>
        <w:rPr>
          <w:rFonts w:ascii="Barlow Semi Condensed" w:cs="Barlow Semi Condensed" w:eastAsia="Barlow Semi Condensed" w:hAnsi="Barlow Semi Condensed"/>
          <w:sz w:val="24"/>
          <w:szCs w:val="24"/>
        </w:rPr>
        <w:t xml:space="preserve"> La formula del contagio appartiene al lessico del documento e va analizzata come tale: descrive una previsione politica, non un programma operativo. Il bersaglio è filologico prima che storico: censire nelle carte del periodo le occorrenze di quel campo semantico e accertare se compaiano in atti dispositivi o soltanto in valutazioni. Un lessico ricorrente prova una cultura d'ufficio, non una decisione presa.</w:t>
      </w:r>
    </w:p>
    <w:p>
      <w:pPr>
        <w:spacing w:after="120" w:line="276"/>
        <w:jc w:val="both"/>
      </w:pPr>
      <w:r>
        <w:rPr>
          <w:rFonts w:ascii="Barlow Semi Condensed" w:cs="Barlow Semi Condensed" w:eastAsia="Barlow Semi Condensed" w:hAnsi="Barlow Semi Condensed"/>
          <w:b/>
          <w:bCs/>
          <w:sz w:val="24"/>
          <w:szCs w:val="24"/>
        </w:rPr>
        <w:t xml:space="preserve">224 · Il silenzio del verbale sull'avvertimento.</w:t>
      </w:r>
      <w:r>
        <w:rPr>
          <w:rFonts w:ascii="Barlow Semi Condensed" w:cs="Barlow Semi Condensed" w:eastAsia="Barlow Semi Condensed" w:hAnsi="Barlow Semi Condensed"/>
          <w:sz w:val="24"/>
          <w:szCs w:val="24"/>
        </w:rPr>
        <w:t xml:space="preserve"> Nel verbale del 25 settembre 1974 non compare alcun avvertimento a Moro nella forma riferita dalla testimonianza. Il dato si registra come Stato Zero puntuale, con perimetro esatto: la carta cercata è quella, la sede è la Ford Library, l'esito è negativo. Il buco misurato è conoscenza; non prova né che l'episodio sia avvenuto altrove né che non sia avvenuto in alcun luogo.</w:t>
      </w:r>
    </w:p>
    <w:p>
      <w:pPr>
        <w:spacing w:after="120" w:line="276"/>
        <w:jc w:val="both"/>
      </w:pPr>
      <w:r>
        <w:rPr>
          <w:rFonts w:ascii="Barlow Semi Condensed" w:cs="Barlow Semi Condensed" w:eastAsia="Barlow Semi Condensed" w:hAnsi="Barlow Semi Condensed"/>
          <w:b/>
          <w:bCs/>
          <w:sz w:val="24"/>
          <w:szCs w:val="24"/>
        </w:rPr>
        <w:t xml:space="preserve">225 · Lo statuto della testimonianza riferita.</w:t>
      </w:r>
      <w:r>
        <w:rPr>
          <w:rFonts w:ascii="Barlow Semi Condensed" w:cs="Barlow Semi Condensed" w:eastAsia="Barlow Semi Condensed" w:hAnsi="Barlow Semi Condensed"/>
          <w:sz w:val="24"/>
          <w:szCs w:val="24"/>
        </w:rPr>
        <w:t xml:space="preserve"> L'avvertimento è riferito da Corrado Guerzoni e confermato da Eleonora Chiavarelli Moro in sede parlamentare, ed è sempre stato smentito da Kissinger. Statuto: testimonianza contestata, grado B debole, mai da dare per accertata e mai da usare come premessa di altro. Il corpus la porta perché è documentata come testimonianza; non la porta come fatto. La distinzione va ripetuta ogni volta che la materia è ripresa.</w:t>
      </w:r>
    </w:p>
    <w:p>
      <w:pPr>
        <w:spacing w:after="120" w:line="276"/>
        <w:jc w:val="both"/>
      </w:pPr>
      <w:r>
        <w:rPr>
          <w:rFonts w:ascii="Barlow Semi Condensed" w:cs="Barlow Semi Condensed" w:eastAsia="Barlow Semi Condensed" w:hAnsi="Barlow Semi Condensed"/>
          <w:b/>
          <w:bCs/>
          <w:sz w:val="24"/>
          <w:szCs w:val="24"/>
        </w:rPr>
        <w:t xml:space="preserve">226 · La divergenza si riporta.</w:t>
      </w:r>
      <w:r>
        <w:rPr>
          <w:rFonts w:ascii="Barlow Semi Condensed" w:cs="Barlow Semi Condensed" w:eastAsia="Barlow Semi Condensed" w:hAnsi="Barlow Semi Condensed"/>
          <w:sz w:val="24"/>
          <w:szCs w:val="24"/>
        </w:rPr>
        <w:t xml:space="preserve"> Qui la regola sulle divergenze opera nella sua forma pura: due versioni inconciliabili, l'una di chi riferisce e l'altra di chi smentisce, entrambe pubbliche. Non si sceglie in silenzio e non si media. Si scrive che la testimonianza esiste, che la smentita esiste, e che nessun documento reperito dirime. Finché il documento che dirimerebbe non emerge, la divergenza dichiarata è l'unico esito onesto.</w:t>
      </w:r>
    </w:p>
    <w:p>
      <w:pPr>
        <w:spacing w:after="120" w:line="276"/>
        <w:jc w:val="both"/>
      </w:pPr>
      <w:r>
        <w:rPr>
          <w:rFonts w:ascii="Barlow Semi Condensed" w:cs="Barlow Semi Condensed" w:eastAsia="Barlow Semi Condensed" w:hAnsi="Barlow Semi Condensed"/>
          <w:b/>
          <w:bCs/>
          <w:sz w:val="24"/>
          <w:szCs w:val="24"/>
        </w:rPr>
        <w:t xml:space="preserve">227 · La collocazione della testimonianza.</w:t>
      </w:r>
      <w:r>
        <w:rPr>
          <w:rFonts w:ascii="Barlow Semi Condensed" w:cs="Barlow Semi Condensed" w:eastAsia="Barlow Semi Condensed" w:hAnsi="Barlow Semi Condensed"/>
          <w:sz w:val="24"/>
          <w:szCs w:val="24"/>
        </w:rPr>
        <w:t xml:space="preserve"> Bersaglio d'archivio parlamentare: reperire i resoconti stenografici delle sedute in cui la circostanza fu riferita e confermata, con data, sede e numero di seduta, presso gli archivi delle commissioni d'inchiesta e i portali parlamentari. Serve a fissare che cosa fu detto esattamente, poiché la formula circolante nella pubblicistica varia. Una testimonianza si cita dal verbale che la contiene, mai dalla sua parafrasi giornalistica.</w:t>
      </w:r>
    </w:p>
    <w:p>
      <w:pPr>
        <w:spacing w:after="120" w:line="276"/>
        <w:jc w:val="both"/>
      </w:pPr>
      <w:r>
        <w:rPr>
          <w:rFonts w:ascii="Barlow Semi Condensed" w:cs="Barlow Semi Condensed" w:eastAsia="Barlow Semi Condensed" w:hAnsi="Barlow Semi Condensed"/>
          <w:b/>
          <w:bCs/>
          <w:sz w:val="24"/>
          <w:szCs w:val="24"/>
        </w:rPr>
        <w:t xml:space="preserve">228 · La versione italiana dello stesso colloquio.</w:t>
      </w:r>
      <w:r>
        <w:rPr>
          <w:rFonts w:ascii="Barlow Semi Condensed" w:cs="Barlow Semi Condensed" w:eastAsia="Barlow Semi Condensed" w:hAnsi="Barlow Semi Condensed"/>
          <w:sz w:val="24"/>
          <w:szCs w:val="24"/>
        </w:rPr>
        <w:t xml:space="preserve"> Il bersaglio di maggior rendimento dell'intera serie: accertare se della riunione del 25 settembre 1974 esista una verbalizzazione italiana, cioè appunto del gabinetto del ministro, resoconto di delegazione o telegramma di riepilogo dell'ambasciata a Washington. Sede: Archivio storico-diplomatico della Farnesina, carteggi di gabinetto e serie dell'ambasciata. Se esiste, è un secondo testimone indipendente; se non esiste, l'esito negativo va verbalizzato.</w:t>
      </w:r>
    </w:p>
    <w:p>
      <w:pPr>
        <w:spacing w:after="120" w:line="276"/>
        <w:jc w:val="both"/>
      </w:pPr>
      <w:r>
        <w:rPr>
          <w:rFonts w:ascii="Barlow Semi Condensed" w:cs="Barlow Semi Condensed" w:eastAsia="Barlow Semi Condensed" w:hAnsi="Barlow Semi Condensed"/>
          <w:b/>
          <w:bCs/>
          <w:sz w:val="24"/>
          <w:szCs w:val="24"/>
        </w:rPr>
        <w:t xml:space="preserve">229 · L'appunto di gabinetto come genere.</w:t>
      </w:r>
      <w:r>
        <w:rPr>
          <w:rFonts w:ascii="Barlow Semi Condensed" w:cs="Barlow Semi Condensed" w:eastAsia="Barlow Semi Condensed" w:hAnsi="Barlow Semi Condensed"/>
          <w:sz w:val="24"/>
          <w:szCs w:val="24"/>
        </w:rPr>
        <w:t xml:space="preserve"> L'appunto italiano non è l'omologo del memcon: nasce per informare il ministro o i suoi successori, spesso in forma di sintesi tematica e non cronologica, e circola in poche copie protocollate. Il quesito da porre all'archivio è duplice: se l'appunto esista, e quale numero di protocollo porti. Il protocollo che registra un documento oggi assente prova che il documento esistette, ed è già acquisizione.</w:t>
      </w:r>
    </w:p>
    <w:p>
      <w:pPr>
        <w:spacing w:after="120" w:line="276"/>
        <w:jc w:val="both"/>
      </w:pPr>
      <w:r>
        <w:rPr>
          <w:rFonts w:ascii="Barlow Semi Condensed" w:cs="Barlow Semi Condensed" w:eastAsia="Barlow Semi Condensed" w:hAnsi="Barlow Semi Condensed"/>
          <w:b/>
          <w:bCs/>
          <w:sz w:val="24"/>
          <w:szCs w:val="24"/>
        </w:rPr>
        <w:t xml:space="preserve">230 · Il telegramma di riepilogo.</w:t>
      </w:r>
      <w:r>
        <w:rPr>
          <w:rFonts w:ascii="Barlow Semi Condensed" w:cs="Barlow Semi Condensed" w:eastAsia="Barlow Semi Condensed" w:hAnsi="Barlow Semi Condensed"/>
          <w:sz w:val="24"/>
          <w:szCs w:val="24"/>
        </w:rPr>
        <w:t xml:space="preserve"> Dopo un colloquio di vertice l'ambasciata riferisce per telegramma cifrato. Il bersaglio è la serie dei telegrammi in partenza da Washington nel settembre 1974 e delle relative istruzioni in arrivo. Un telegramma è più asciutto di un verbale ma è coevo alla giornata e datato all'ora: come testimone ha una fedeltà diversa, non minore. La sede resta l'Archivio storico-diplomatico della Farnesina.</w:t>
      </w:r>
    </w:p>
    <w:p>
      <w:pPr>
        <w:spacing w:after="120" w:line="276"/>
        <w:jc w:val="both"/>
      </w:pPr>
      <w:r>
        <w:rPr>
          <w:rFonts w:ascii="Barlow Semi Condensed" w:cs="Barlow Semi Condensed" w:eastAsia="Barlow Semi Condensed" w:hAnsi="Barlow Semi Condensed"/>
          <w:b/>
          <w:bCs/>
          <w:sz w:val="24"/>
          <w:szCs w:val="24"/>
        </w:rPr>
        <w:t xml:space="preserve">231 · La serie che resta chiusa.</w:t>
      </w:r>
      <w:r>
        <w:rPr>
          <w:rFonts w:ascii="Barlow Semi Condensed" w:cs="Barlow Semi Condensed" w:eastAsia="Barlow Semi Condensed" w:hAnsi="Barlow Semi Condensed"/>
          <w:sz w:val="24"/>
          <w:szCs w:val="24"/>
        </w:rPr>
        <w:t xml:space="preserve"> Vincolo dichiarato e da non aggirare: l'esclusione temporanea della serie dei Telegrammi 1942-1970 restringe la ricerca telegrafica per l'intero arco anteriore, mentre per la documentazione dal 1949 in poi la disponibilità dei faldoni va verificata caso per caso. Il costo del bersaglio va dichiarato prima di pianificare, come impone la correzione già portata ai cantieri sulla presunta apertura dell'archivio.</w:t>
      </w:r>
    </w:p>
    <w:p>
      <w:pPr>
        <w:spacing w:after="120" w:line="276"/>
        <w:jc w:val="both"/>
      </w:pPr>
      <w:r>
        <w:rPr>
          <w:rFonts w:ascii="Barlow Semi Condensed" w:cs="Barlow Semi Condensed" w:eastAsia="Barlow Semi Condensed" w:hAnsi="Barlow Semi Condensed"/>
          <w:b/>
          <w:bCs/>
          <w:sz w:val="24"/>
          <w:szCs w:val="24"/>
        </w:rPr>
        <w:t xml:space="preserve">232 · La barriera dei cinquant'anni.</w:t>
      </w:r>
      <w:r>
        <w:rPr>
          <w:rFonts w:ascii="Barlow Semi Condensed" w:cs="Barlow Semi Condensed" w:eastAsia="Barlow Semi Condensed" w:hAnsi="Barlow Semi Condensed"/>
          <w:sz w:val="24"/>
          <w:szCs w:val="24"/>
        </w:rPr>
        <w:t xml:space="preserve"> L'accessibilità dell'Archivio storico-diplomatico è regolata dal criterio dei cinquant'anni, con facoltà eccezionale del ministro di ridurre il termine a trenta e con settanta anni per le situazioni private. Al 2026 l'arco 1969-1974 è teoricamente aperto. Teoricamente non significa praticamente: l'inventariazione incompleta è il limite reale, e la distinzione fra consultabilità di principio e disponibilità di fatto va scritta in ogni piano di ricerca.</w:t>
      </w:r>
    </w:p>
    <w:p>
      <w:pPr>
        <w:spacing w:after="120" w:line="276"/>
        <w:jc w:val="both"/>
      </w:pPr>
      <w:r>
        <w:rPr>
          <w:rFonts w:ascii="Barlow Semi Condensed" w:cs="Barlow Semi Condensed" w:eastAsia="Barlow Semi Condensed" w:hAnsi="Barlow Semi Condensed"/>
          <w:b/>
          <w:bCs/>
          <w:sz w:val="24"/>
          <w:szCs w:val="24"/>
        </w:rPr>
        <w:t xml:space="preserve">233 · La condizione operativa dei faldoni.</w:t>
      </w:r>
      <w:r>
        <w:rPr>
          <w:rFonts w:ascii="Barlow Semi Condensed" w:cs="Barlow Semi Condensed" w:eastAsia="Barlow Semi Condensed" w:hAnsi="Barlow Semi Condensed"/>
          <w:sz w:val="24"/>
          <w:szCs w:val="24"/>
        </w:rPr>
        <w:t xml:space="preserve"> La procedura è nota e va seguita alla lettera: registrazione al portale dell'archivio, contatto preventivo per verificare la disponibilità delle unità, richiesta dell'inventario prima del documento. È la regola d'ingaggio fissata al blocco 287 dell'agenda. Chiedere un documento senza aver chiesto l'inventario produce un diniego che non è un esito negativo: è una domanda mal posta, e non fonda alcuno Stato Zero.</w:t>
      </w:r>
    </w:p>
    <w:p>
      <w:pPr>
        <w:spacing w:after="120" w:line="276"/>
        <w:jc w:val="both"/>
      </w:pPr>
      <w:r>
        <w:rPr>
          <w:rFonts w:ascii="Barlow Semi Condensed" w:cs="Barlow Semi Condensed" w:eastAsia="Barlow Semi Condensed" w:hAnsi="Barlow Semi Condensed"/>
          <w:b/>
          <w:bCs/>
          <w:sz w:val="24"/>
          <w:szCs w:val="24"/>
        </w:rPr>
        <w:t xml:space="preserve">234 · La sede di chiusura dichiarata.</w:t>
      </w:r>
      <w:r>
        <w:rPr>
          <w:rFonts w:ascii="Barlow Semi Condensed" w:cs="Barlow Semi Condensed" w:eastAsia="Barlow Semi Condensed" w:hAnsi="Barlow Semi Condensed"/>
          <w:sz w:val="24"/>
          <w:szCs w:val="24"/>
        </w:rPr>
        <w:t xml:space="preserve"> Ogni bersaglio farnesino di questa serie si chiude in un solo luogo: la Sala studio dell'Archivio storico-diplomatico, sulle serie del gabinetto del ministro, della Direzione generale affari politici e dell'ambasciata a Washington per gli anni 1969-1974. Dichiarare la sede è parte dell'esito: un esito negativo senza sede è un'impressione, un esito negativo con sede è un'acquisizione riproducibile da chiunque altro.</w:t>
      </w:r>
    </w:p>
    <w:p>
      <w:pPr>
        <w:spacing w:after="120" w:line="276"/>
        <w:jc w:val="both"/>
      </w:pPr>
      <w:r>
        <w:rPr>
          <w:rFonts w:ascii="Barlow Semi Condensed" w:cs="Barlow Semi Condensed" w:eastAsia="Barlow Semi Condensed" w:hAnsi="Barlow Semi Condensed"/>
          <w:b/>
          <w:bCs/>
          <w:sz w:val="24"/>
          <w:szCs w:val="24"/>
        </w:rPr>
        <w:t xml:space="preserve">235 · I Documenti Diplomatici Italiani.</w:t>
      </w:r>
      <w:r>
        <w:rPr>
          <w:rFonts w:ascii="Barlow Semi Condensed" w:cs="Barlow Semi Condensed" w:eastAsia="Barlow Semi Condensed" w:hAnsi="Barlow Semi Condensed"/>
          <w:sz w:val="24"/>
          <w:szCs w:val="24"/>
        </w:rPr>
        <w:t xml:space="preserve"> Quesito aperto e già registrato dal corpus: verificare se le annate 1969-1974 della raccolta ufficiale dei Documenti Diplomatici Italiani siano uscite nella serie a stampa, e con quale selezione. Sedi: l'Archivio storico-diplomatico e i cataloghi dell'editore ufficiale. La raccolta è l'omologo italiano del FRUS e, come il FRUS, è una selezione curata: dove esiste, dice anche che cosa il curatore non incluse.</w:t>
      </w:r>
    </w:p>
    <w:p>
      <w:pPr>
        <w:spacing w:after="120" w:line="276"/>
        <w:jc w:val="both"/>
      </w:pPr>
      <w:r>
        <w:rPr>
          <w:rFonts w:ascii="Barlow Semi Condensed" w:cs="Barlow Semi Condensed" w:eastAsia="Barlow Semi Condensed" w:hAnsi="Barlow Semi Condensed"/>
          <w:b/>
          <w:bCs/>
          <w:sz w:val="24"/>
          <w:szCs w:val="24"/>
        </w:rPr>
        <w:t xml:space="preserve">236 · Il quarto deposito moroteo.</w:t>
      </w:r>
      <w:r>
        <w:rPr>
          <w:rFonts w:ascii="Barlow Semi Condensed" w:cs="Barlow Semi Condensed" w:eastAsia="Barlow Semi Condensed" w:hAnsi="Barlow Semi Condensed"/>
          <w:sz w:val="24"/>
          <w:szCs w:val="24"/>
        </w:rPr>
        <w:t xml:space="preserve"> Il Fondo Aldo Moro dell'Archivio storico del Senato, con segnatura IT-AFS-048, conserva unità digitalizzate del periodo ministeriale ed è il quarto nucleo delle carte, accanto al fondo personale, a quello familiare e alla raccolta delle direttive: la correzione è già stata portata al registro dei tre nuclei dei cantieri. Bersaglio: lo spoglio delle unità del 1974 in cerca di carte relative alla missione americana.</w:t>
      </w:r>
    </w:p>
    <w:p>
      <w:pPr>
        <w:spacing w:after="120" w:line="276"/>
        <w:jc w:val="both"/>
      </w:pPr>
      <w:r>
        <w:rPr>
          <w:rFonts w:ascii="Barlow Semi Condensed" w:cs="Barlow Semi Condensed" w:eastAsia="Barlow Semi Condensed" w:hAnsi="Barlow Semi Condensed"/>
          <w:b/>
          <w:bCs/>
          <w:sz w:val="24"/>
          <w:szCs w:val="24"/>
        </w:rPr>
        <w:t xml:space="preserve">237 · Il fondo personale e la sua guida.</w:t>
      </w:r>
      <w:r>
        <w:rPr>
          <w:rFonts w:ascii="Barlow Semi Condensed" w:cs="Barlow Semi Condensed" w:eastAsia="Barlow Semi Condensed" w:hAnsi="Barlow Semi Condensed"/>
          <w:sz w:val="24"/>
          <w:szCs w:val="24"/>
        </w:rPr>
        <w:t xml:space="preserve"> Presso l'Archivio centrale dello Stato il fondo personale e la raccolta delle direttive sono descritti nelle schede della Guida ai fondi, con banca dati consultabile in sede e dalle postazioni remote regionali: è lo strumento quotidiano fissato al blocco 918 dei cantieri. Il quesito è puntuale e non generico: esistono, per il settembre 1974, carte preparatorie o di ritorno della visita a Washington?</w:t>
      </w:r>
    </w:p>
    <w:p>
      <w:pPr>
        <w:spacing w:after="120" w:line="276"/>
        <w:jc w:val="both"/>
      </w:pPr>
      <w:r>
        <w:rPr>
          <w:rFonts w:ascii="Barlow Semi Condensed" w:cs="Barlow Semi Condensed" w:eastAsia="Barlow Semi Condensed" w:hAnsi="Barlow Semi Condensed"/>
          <w:b/>
          <w:bCs/>
          <w:sz w:val="24"/>
          <w:szCs w:val="24"/>
        </w:rPr>
        <w:t xml:space="preserve">238 · La serie dell'ambasciata a Washington.</w:t>
      </w:r>
      <w:r>
        <w:rPr>
          <w:rFonts w:ascii="Barlow Semi Condensed" w:cs="Barlow Semi Condensed" w:eastAsia="Barlow Semi Condensed" w:hAnsi="Barlow Semi Condensed"/>
          <w:sz w:val="24"/>
          <w:szCs w:val="24"/>
        </w:rPr>
        <w:t xml:space="preserve"> Bersaglio distinto dai carteggi di gabinetto: la serie dell'ambasciata d'Italia a Washington per il 1974, con i rapporti periodici sulla politica interna americana e sui colloqui bilaterali. È la sede in cui una visita di vertice lascia la traccia più continua, perché l'ambasciata scrive prima, durante e dopo. L'inventario si chiede per primo; l'esito, positivo o negativo, si verbalizza con perimetro esatto.</w:t>
      </w:r>
    </w:p>
    <w:p>
      <w:pPr>
        <w:spacing w:after="120" w:line="276"/>
        <w:jc w:val="both"/>
      </w:pPr>
      <w:r>
        <w:rPr>
          <w:rFonts w:ascii="Barlow Semi Condensed" w:cs="Barlow Semi Condensed" w:eastAsia="Barlow Semi Condensed" w:hAnsi="Barlow Semi Condensed"/>
          <w:b/>
          <w:bCs/>
          <w:sz w:val="24"/>
          <w:szCs w:val="24"/>
        </w:rPr>
        <w:t xml:space="preserve">239 · Se le due versioni divergessero.</w:t>
      </w:r>
      <w:r>
        <w:rPr>
          <w:rFonts w:ascii="Barlow Semi Condensed" w:cs="Barlow Semi Condensed" w:eastAsia="Barlow Semi Condensed" w:hAnsi="Barlow Semi Condensed"/>
          <w:sz w:val="24"/>
          <w:szCs w:val="24"/>
        </w:rPr>
        <w:t xml:space="preserve"> Ipotesi da regolare prima che si presenti: se la verbalizzazione italiana esistesse e divergesse da quella americana, la divergenza si riporta e non si compone. Non si sceglie il testimone più comodo, non si media fra le due lezioni, non si dichiara vincente la copia più antica. Si registra che due amministrazioni verbalizzarono diversamente lo stesso tavolo, il che è già un'acquisizione di pieno valore.</w:t>
      </w:r>
    </w:p>
    <w:p>
      <w:pPr>
        <w:spacing w:after="120" w:line="276"/>
        <w:jc w:val="both"/>
      </w:pPr>
      <w:r>
        <w:rPr>
          <w:rFonts w:ascii="Barlow Semi Condensed" w:cs="Barlow Semi Condensed" w:eastAsia="Barlow Semi Condensed" w:hAnsi="Barlow Semi Condensed"/>
          <w:b/>
          <w:bCs/>
          <w:sz w:val="24"/>
          <w:szCs w:val="24"/>
        </w:rPr>
        <w:t xml:space="preserve">240 · La collazione come procedura.</w:t>
      </w:r>
      <w:r>
        <w:rPr>
          <w:rFonts w:ascii="Barlow Semi Condensed" w:cs="Barlow Semi Condensed" w:eastAsia="Barlow Semi Condensed" w:hAnsi="Barlow Semi Condensed"/>
          <w:sz w:val="24"/>
          <w:szCs w:val="24"/>
        </w:rPr>
        <w:t xml:space="preserve"> La collazione si esegue con criteri dichiarati: si stabiliscono i testimoni, si assegna a ciascuno sede e segnatura, si allineano i passaggi corrispondenti, si registrano le varianti sostanziali distinguendole da quelle di resa. Ciò che ne esce non è una versione corretta ma un apparato, cioè la tavola delle differenze fra le carte. Nel corpus l'apparato vale più della sintesi, perché resta verificabile.</w:t>
      </w:r>
    </w:p>
    <w:p>
      <w:pPr>
        <w:spacing w:after="120" w:line="276"/>
        <w:jc w:val="both"/>
      </w:pPr>
      <w:r>
        <w:rPr>
          <w:rFonts w:ascii="Barlow Semi Condensed" w:cs="Barlow Semi Condensed" w:eastAsia="Barlow Semi Condensed" w:hAnsi="Barlow Semi Condensed"/>
          <w:b/>
          <w:bCs/>
          <w:sz w:val="24"/>
          <w:szCs w:val="24"/>
        </w:rPr>
        <w:t xml:space="preserve">241 · La riunione dell'11 marzo 1969.</w:t>
      </w:r>
      <w:r>
        <w:rPr>
          <w:rFonts w:ascii="Barlow Semi Condensed" w:cs="Barlow Semi Condensed" w:eastAsia="Barlow Semi Condensed" w:hAnsi="Barlow Semi Condensed"/>
          <w:sz w:val="24"/>
          <w:szCs w:val="24"/>
        </w:rPr>
        <w:t xml:space="preserve"> Documento già acquisito: FRUS 1969-1976, volume XLI, documento 180, verbale della riunione del Comitato dei 303 dell'11 marzo 1969, presieduta da Kissinger, con Johnson, Packard e Helms presenti. Vi si illustrarono origini e livelli del programma di sostegno coperto ai partiti italiani fra il 1948 e il 1968. È fonte primaria edita, con la propria catena archivistica dichiarata nelle note del volume.</w:t>
      </w:r>
    </w:p>
    <w:p>
      <w:pPr>
        <w:spacing w:after="120" w:line="276"/>
        <w:jc w:val="both"/>
      </w:pPr>
      <w:r>
        <w:rPr>
          <w:rFonts w:ascii="Barlow Semi Condensed" w:cs="Barlow Semi Condensed" w:eastAsia="Barlow Semi Condensed" w:hAnsi="Barlow Semi Condensed"/>
          <w:b/>
          <w:bCs/>
          <w:sz w:val="24"/>
          <w:szCs w:val="24"/>
        </w:rPr>
        <w:t xml:space="preserve">242 · L'esito unanime di quel verbale.</w:t>
      </w:r>
      <w:r>
        <w:rPr>
          <w:rFonts w:ascii="Barlow Semi Condensed" w:cs="Barlow Semi Condensed" w:eastAsia="Barlow Semi Condensed" w:hAnsi="Barlow Semi Condensed"/>
          <w:sz w:val="24"/>
          <w:szCs w:val="24"/>
        </w:rPr>
        <w:t xml:space="preserve"> Il verbale attesta che i presenti convennero all'unanimità che non vi fosse reale giustificazione per la ripresa del finanziamento coperto. Il dato va riportato per intero, perché la pubblicistica cita di norma l'esistenza del programma e non la decisione di non riprenderlo. Un verbale che documenta un'astensione deliberata non è a carico di nessuno: è semplicemente ciò che quel giorno fu deciso, e va letto così.</w:t>
      </w:r>
    </w:p>
    <w:p>
      <w:pPr>
        <w:spacing w:after="120" w:line="276"/>
        <w:jc w:val="both"/>
      </w:pPr>
      <w:r>
        <w:rPr>
          <w:rFonts w:ascii="Barlow Semi Condensed" w:cs="Barlow Semi Condensed" w:eastAsia="Barlow Semi Condensed" w:hAnsi="Barlow Semi Condensed"/>
          <w:b/>
          <w:bCs/>
          <w:sz w:val="24"/>
          <w:szCs w:val="24"/>
        </w:rPr>
        <w:t xml:space="preserve">243 · L'anteriorità e il suo effetto.</w:t>
      </w:r>
      <w:r>
        <w:rPr>
          <w:rFonts w:ascii="Barlow Semi Condensed" w:cs="Barlow Semi Condensed" w:eastAsia="Barlow Semi Condensed" w:hAnsi="Barlow Semi Condensed"/>
          <w:sz w:val="24"/>
          <w:szCs w:val="24"/>
        </w:rPr>
        <w:t xml:space="preserve"> La riunione è del marzo 1969; Moro assunse la Farnesina il 5 agosto 1969. La contemporaneità è dunque soltanto apparente e la regola sulla cronologia opera direttamente: nessun nesso può essere costruito fra quel verbale e il ministro, che allora non era in carica. È il caso di scuola in cui la cronologia, prima di ogni interpretazione, esclude più di quanto la lettura possa aggiungere.</w:t>
      </w:r>
    </w:p>
    <w:p>
      <w:pPr>
        <w:spacing w:after="120" w:line="276"/>
        <w:jc w:val="both"/>
      </w:pPr>
      <w:r>
        <w:rPr>
          <w:rFonts w:ascii="Barlow Semi Condensed" w:cs="Barlow Semi Condensed" w:eastAsia="Barlow Semi Condensed" w:hAnsi="Barlow Semi Condensed"/>
          <w:b/>
          <w:bCs/>
          <w:sz w:val="24"/>
          <w:szCs w:val="24"/>
        </w:rPr>
        <w:t xml:space="preserve">244 · Il verbale di comitato come genere.</w:t>
      </w:r>
      <w:r>
        <w:rPr>
          <w:rFonts w:ascii="Barlow Semi Condensed" w:cs="Barlow Semi Condensed" w:eastAsia="Barlow Semi Condensed" w:hAnsi="Barlow Semi Condensed"/>
          <w:sz w:val="24"/>
          <w:szCs w:val="24"/>
        </w:rPr>
        <w:t xml:space="preserve"> Il verbale di un comitato ristretto ha caratteri propri: presenze nominative, ordine del giorno, esito deliberativo, e quasi nessuna traccia della discussione. È il genere documentale più povero di parlato e più ricco di decisione. Chi vi cerchi motivazioni resterà a mani vuote; chi vi cerchi che cosa fu deciso e da chi troverà esattamente quello. Il bersaglio si calibra sul genere, non sulle attese.</w:t>
      </w:r>
    </w:p>
    <w:p>
      <w:pPr>
        <w:spacing w:after="120" w:line="276"/>
        <w:jc w:val="both"/>
      </w:pPr>
      <w:r>
        <w:rPr>
          <w:rFonts w:ascii="Barlow Semi Condensed" w:cs="Barlow Semi Condensed" w:eastAsia="Barlow Semi Condensed" w:hAnsi="Barlow Semi Condensed"/>
          <w:b/>
          <w:bCs/>
          <w:sz w:val="24"/>
          <w:szCs w:val="24"/>
        </w:rPr>
        <w:t xml:space="preserve">245 · La ridenominazione del comitato.</w:t>
      </w:r>
      <w:r>
        <w:rPr>
          <w:rFonts w:ascii="Barlow Semi Condensed" w:cs="Barlow Semi Condensed" w:eastAsia="Barlow Semi Condensed" w:hAnsi="Barlow Semi Condensed"/>
          <w:sz w:val="24"/>
          <w:szCs w:val="24"/>
        </w:rPr>
        <w:t xml:space="preserve"> Quesito da chiudere su fonte primaria: reperire il direttivo presidenziale che, agli inizi del 1970, sostituì al Comitato dei 303 l'organismo successore con nuova denominazione e nuova composizione, con data e segnatura esatte. Sede: la serie dei direttivi del Consiglio di sicurezza nazionale presso i National Archives e i volumi FRUS sull'organizzazione della politica estera. Senza il testo del direttivo, la sequenza dei comitati resta memorialistica.</w:t>
      </w:r>
    </w:p>
    <w:p>
      <w:pPr>
        <w:spacing w:after="120" w:line="276"/>
        <w:jc w:val="both"/>
      </w:pPr>
      <w:r>
        <w:rPr>
          <w:rFonts w:ascii="Barlow Semi Condensed" w:cs="Barlow Semi Condensed" w:eastAsia="Barlow Semi Condensed" w:hAnsi="Barlow Semi Condensed"/>
          <w:b/>
          <w:bCs/>
          <w:sz w:val="24"/>
          <w:szCs w:val="24"/>
        </w:rPr>
        <w:t xml:space="preserve">246 · L'istruzione del dicembre 1969 (serie IV).</w:t>
      </w:r>
      <w:r>
        <w:rPr>
          <w:rFonts w:ascii="Barlow Semi Condensed" w:cs="Barlow Semi Condensed" w:eastAsia="Barlow Semi Condensed" w:hAnsi="Barlow Semi Condensed"/>
          <w:sz w:val="24"/>
          <w:szCs w:val="24"/>
        </w:rPr>
        <w:t xml:space="preserve"> Documento già acquisito: FRUS 1969-1976, volume XLI, documento 188, che registra l'istruzione di Nixon del dicembre 1969 di avviare uno studio sull'Italia. Attesta che uno studio fu ordinato; non attesta che cosa lo studio contenne, né quale esito ebbe. La distinzione fra l'ordine di studiare e il prodotto dello studio è la stessa che corre fra il gene trascritto e la proteina che ne risulta.</w:t>
      </w:r>
    </w:p>
    <w:p>
      <w:pPr>
        <w:spacing w:after="120" w:line="276"/>
        <w:jc w:val="both"/>
      </w:pPr>
      <w:r>
        <w:rPr>
          <w:rFonts w:ascii="Barlow Semi Condensed" w:cs="Barlow Semi Condensed" w:eastAsia="Barlow Semi Condensed" w:hAnsi="Barlow Semi Condensed"/>
          <w:b/>
          <w:bCs/>
          <w:sz w:val="24"/>
          <w:szCs w:val="24"/>
        </w:rPr>
        <w:t xml:space="preserve">247 · Il prodotto dello studio.</w:t>
      </w:r>
      <w:r>
        <w:rPr>
          <w:rFonts w:ascii="Barlow Semi Condensed" w:cs="Barlow Semi Condensed" w:eastAsia="Barlow Semi Condensed" w:hAnsi="Barlow Semi Condensed"/>
          <w:sz w:val="24"/>
          <w:szCs w:val="24"/>
        </w:rPr>
        <w:t xml:space="preserve"> Bersaglio derivato dal precedente: reperire il documento di studio effettivamente prodotto, con la sua sigla di serie e la sua data, presso i fondi del Consiglio di sicurezza nazionale ai National Archives di College Park, nella serie dei fascicoli per paese relativa all'Italia. È il caso in cui una nota a piè di pagina del volume FRUS funziona da segnatura: la si segue, e si dichiara l'esito.</w:t>
      </w:r>
    </w:p>
    <w:p>
      <w:pPr>
        <w:spacing w:after="120" w:line="276"/>
        <w:jc w:val="both"/>
      </w:pPr>
      <w:r>
        <w:rPr>
          <w:rFonts w:ascii="Barlow Semi Condensed" w:cs="Barlow Semi Condensed" w:eastAsia="Barlow Semi Condensed" w:hAnsi="Barlow Semi Condensed"/>
          <w:b/>
          <w:bCs/>
          <w:sz w:val="24"/>
          <w:szCs w:val="24"/>
        </w:rPr>
        <w:t xml:space="preserve">248 · Il riemergere del programma coperto.</w:t>
      </w:r>
      <w:r>
        <w:rPr>
          <w:rFonts w:ascii="Barlow Semi Condensed" w:cs="Barlow Semi Condensed" w:eastAsia="Barlow Semi Condensed" w:hAnsi="Barlow Semi Condensed"/>
          <w:sz w:val="24"/>
          <w:szCs w:val="24"/>
        </w:rPr>
        <w:t xml:space="preserve"> Un saggio peer-reviewed del 2024 segnala che il programma di azione coperta relativo all'Italia riemerse nel novembre 1975 e nel luglio 1976. Statuto: fonte secondaria qualificata, punto di partenza bibliografico e non documento. La regola del corpus è che senza primario non si conclude: il bersaglio è il documento che il saggio cita, con la sua segnatura, e l'accertamento resta aperto finché quella carta non è letta.</w:t>
      </w:r>
    </w:p>
    <w:p>
      <w:pPr>
        <w:spacing w:after="120" w:line="276"/>
        <w:jc w:val="both"/>
      </w:pPr>
      <w:r>
        <w:rPr>
          <w:rFonts w:ascii="Barlow Semi Condensed" w:cs="Barlow Semi Condensed" w:eastAsia="Barlow Semi Condensed" w:hAnsi="Barlow Semi Condensed"/>
          <w:b/>
          <w:bCs/>
          <w:sz w:val="24"/>
          <w:szCs w:val="24"/>
        </w:rPr>
        <w:t xml:space="preserve">249 · Il primario che manca alla citazione.</w:t>
      </w:r>
      <w:r>
        <w:rPr>
          <w:rFonts w:ascii="Barlow Semi Condensed" w:cs="Barlow Semi Condensed" w:eastAsia="Barlow Semi Condensed" w:hAnsi="Barlow Semi Condensed"/>
          <w:sz w:val="24"/>
          <w:szCs w:val="24"/>
        </w:rPr>
        <w:t xml:space="preserve"> Procedura generale ricavata dal caso precedente: quando una fonte secondaria attendibile data un fatto, si risale alla sua nota, si identifica la serie, si chiede il documento. Se è classificato, si passa alla procedura di richiesta; se è aperto, si legge; se non è reperibile, si verbalizza il vuoto. La fonte secondaria non è mai il capolinea: è la mappa che indica dove il primario dovrebbe stare.</w:t>
      </w:r>
    </w:p>
    <w:p>
      <w:pPr>
        <w:spacing w:after="120" w:line="276"/>
        <w:jc w:val="both"/>
      </w:pPr>
      <w:r>
        <w:rPr>
          <w:rFonts w:ascii="Barlow Semi Condensed" w:cs="Barlow Semi Condensed" w:eastAsia="Barlow Semi Condensed" w:hAnsi="Barlow Semi Condensed"/>
          <w:b/>
          <w:bCs/>
          <w:sz w:val="24"/>
          <w:szCs w:val="24"/>
        </w:rPr>
        <w:t xml:space="preserve">250 · Il perimetro cronologico del documento.</w:t>
      </w:r>
      <w:r>
        <w:rPr>
          <w:rFonts w:ascii="Barlow Semi Condensed" w:cs="Barlow Semi Condensed" w:eastAsia="Barlow Semi Condensed" w:hAnsi="Barlow Semi Condensed"/>
          <w:sz w:val="24"/>
          <w:szCs w:val="24"/>
        </w:rPr>
        <w:t xml:space="preserve"> La ricostruzione presentata alla riunione del marzo 1969 copre un ventennio e si ferma al 1968. Il perimetro cronologico è un dato del documento e va rispettato: quella carta non dice nulla degli anni successivi, e usarla per il decennio seguente è un'estensione indebita. Ogni documento porta con sé il proprio orizzonte temporale, e travalicarlo è la forma più silenziosa di forzatura.</w:t>
      </w:r>
    </w:p>
    <w:p>
      <w:pPr>
        <w:spacing w:after="120" w:line="276"/>
        <w:jc w:val="both"/>
      </w:pPr>
      <w:r>
        <w:rPr>
          <w:rFonts w:ascii="Barlow Semi Condensed" w:cs="Barlow Semi Condensed" w:eastAsia="Barlow Semi Condensed" w:hAnsi="Barlow Semi Condensed"/>
          <w:b/>
          <w:bCs/>
          <w:sz w:val="24"/>
          <w:szCs w:val="24"/>
        </w:rPr>
        <w:t xml:space="preserve">251 · L'unanimità come dato formale.</w:t>
      </w:r>
      <w:r>
        <w:rPr>
          <w:rFonts w:ascii="Barlow Semi Condensed" w:cs="Barlow Semi Condensed" w:eastAsia="Barlow Semi Condensed" w:hAnsi="Barlow Semi Condensed"/>
          <w:sz w:val="24"/>
          <w:szCs w:val="24"/>
        </w:rPr>
        <w:t xml:space="preserve"> Un verbale che registra l'unanimità attesta una forma, non uno stato d'animo: significa che nessuno mise a verbale un dissenso. È possibile che dissensi vi fossero e non siano stati verbalizzati, come è possibile che non ve ne fossero. Il documento non discrimina fra le due ipotesi, e nessuna delle due va preferita. Ciò che il verbale non registra non è cancellato: è fuori dalla trascrizione.</w:t>
      </w:r>
    </w:p>
    <w:p>
      <w:pPr>
        <w:spacing w:after="120" w:line="276"/>
        <w:jc w:val="both"/>
      </w:pPr>
      <w:r>
        <w:rPr>
          <w:rFonts w:ascii="Barlow Semi Condensed" w:cs="Barlow Semi Condensed" w:eastAsia="Barlow Semi Condensed" w:hAnsi="Barlow Semi Condensed"/>
          <w:b/>
          <w:bCs/>
          <w:sz w:val="24"/>
          <w:szCs w:val="24"/>
        </w:rPr>
        <w:t xml:space="preserve">252 · Il memorandum delle Azzorre.</w:t>
      </w:r>
      <w:r>
        <w:rPr>
          <w:rFonts w:ascii="Barlow Semi Condensed" w:cs="Barlow Semi Condensed" w:eastAsia="Barlow Semi Condensed" w:hAnsi="Barlow Semi Condensed"/>
          <w:sz w:val="24"/>
          <w:szCs w:val="24"/>
        </w:rPr>
        <w:t xml:space="preserve"> Documento già acquisito: FRUS 1969-1976, volume E-15, parte 2, documento 133, memorandum del 19 giugno 1974 sull'incontro alle Azzorre fra Nixon e Spínola, che registra la richiesta portoghese di assistenza per contrastare mosse comuniste che impianterebbero un'altra Cuba nella penisola iberica. Attesta una richiesta formulata dalla parte portoghese; non attesta l'accoglimento, né alcuna decisione conseguente.</w:t>
      </w:r>
    </w:p>
    <w:p>
      <w:pPr>
        <w:spacing w:after="120" w:line="276"/>
        <w:jc w:val="both"/>
      </w:pPr>
      <w:r>
        <w:rPr>
          <w:rFonts w:ascii="Barlow Semi Condensed" w:cs="Barlow Semi Condensed" w:eastAsia="Barlow Semi Condensed" w:hAnsi="Barlow Semi Condensed"/>
          <w:b/>
          <w:bCs/>
          <w:sz w:val="24"/>
          <w:szCs w:val="24"/>
        </w:rPr>
        <w:t xml:space="preserve">253 · Chi pronuncia la frase.</w:t>
      </w:r>
      <w:r>
        <w:rPr>
          <w:rFonts w:ascii="Barlow Semi Condensed" w:cs="Barlow Semi Condensed" w:eastAsia="Barlow Semi Condensed" w:hAnsi="Barlow Semi Condensed"/>
          <w:sz w:val="24"/>
          <w:szCs w:val="24"/>
        </w:rPr>
        <w:t xml:space="preserve"> Regola di lettura che questo documento impone con evidenza: in un verbale ogni frase ha un soggetto, e attribuirla al soggetto sbagliato è l'errore più frequente e più grave. L'immagine dell'altra Cuba appartiene alla parte che chiede, non alla parte che ascolta. Prima di citare una frase da un memorandum si accerta chi parla, in quale punto del testo, e se il redattore la dia come diretta o riassunta.</w:t>
      </w:r>
    </w:p>
    <w:p>
      <w:pPr>
        <w:spacing w:after="120" w:line="276"/>
        <w:jc w:val="both"/>
      </w:pPr>
      <w:r>
        <w:rPr>
          <w:rFonts w:ascii="Barlow Semi Condensed" w:cs="Barlow Semi Condensed" w:eastAsia="Barlow Semi Condensed" w:hAnsi="Barlow Semi Condensed"/>
          <w:b/>
          <w:bCs/>
          <w:sz w:val="24"/>
          <w:szCs w:val="24"/>
        </w:rPr>
        <w:t xml:space="preserve">254 · Il regime neutralista di sinistra.</w:t>
      </w:r>
      <w:r>
        <w:rPr>
          <w:rFonts w:ascii="Barlow Semi Condensed" w:cs="Barlow Semi Condensed" w:eastAsia="Barlow Semi Condensed" w:hAnsi="Barlow Semi Condensed"/>
          <w:sz w:val="24"/>
          <w:szCs w:val="24"/>
        </w:rPr>
        <w:t xml:space="preserve"> Nel medesimo volume, al documento 153, è registrata la preoccupazione per Lisbona espressa non come timore di una presa del potere comunista ma di un regime neutralista di sinistra che restasse nella NATO. È distinzione analitica precisa e va citata per intero, perché dimezzarla produce l'opposto del suo senso. Il documento attesta una valutazione; non attesta alcuna azione conseguente né alcuna istruzione operativa.</w:t>
      </w:r>
    </w:p>
    <w:p>
      <w:pPr>
        <w:spacing w:after="120" w:line="276"/>
        <w:jc w:val="both"/>
      </w:pPr>
      <w:r>
        <w:rPr>
          <w:rFonts w:ascii="Barlow Semi Condensed" w:cs="Barlow Semi Condensed" w:eastAsia="Barlow Semi Condensed" w:hAnsi="Barlow Semi Condensed"/>
          <w:b/>
          <w:bCs/>
          <w:sz w:val="24"/>
          <w:szCs w:val="24"/>
        </w:rPr>
        <w:t xml:space="preserve">255 · Il riconoscimento italiano e il suo vuoto.</w:t>
      </w:r>
      <w:r>
        <w:rPr>
          <w:rFonts w:ascii="Barlow Semi Condensed" w:cs="Barlow Semi Condensed" w:eastAsia="Barlow Semi Condensed" w:hAnsi="Barlow Semi Condensed"/>
          <w:sz w:val="24"/>
          <w:szCs w:val="24"/>
        </w:rPr>
        <w:t xml:space="preserve"> Il riconoscimento italiano del nuovo governo portoghese cadde quando Moro era agli Esteri, ma nessuna fonte primaria italiana su quel riconoscimento è stata reperita, e l'atto va ascritto al governo nel suo complesso e non al ministro. Lo Stato Zero è dichiarato e la sede di chiusura è la Farnesina. Accanto vi è il portale diplomatico portoghese con la sua serie italiana, consultabile solo manualmente o in sede.</w:t>
      </w:r>
    </w:p>
    <w:p>
      <w:pPr>
        <w:spacing w:after="120" w:line="276"/>
        <w:jc w:val="both"/>
      </w:pPr>
      <w:r>
        <w:rPr>
          <w:rFonts w:ascii="Barlow Semi Condensed" w:cs="Barlow Semi Condensed" w:eastAsia="Barlow Semi Condensed" w:hAnsi="Barlow Semi Condensed"/>
          <w:b/>
          <w:bCs/>
          <w:sz w:val="24"/>
          <w:szCs w:val="24"/>
        </w:rPr>
        <w:t xml:space="preserve">256 · Helsinki e l'insofferenza da documentare.</w:t>
      </w:r>
      <w:r>
        <w:rPr>
          <w:rFonts w:ascii="Barlow Semi Condensed" w:cs="Barlow Semi Condensed" w:eastAsia="Barlow Semi Condensed" w:hAnsi="Barlow Semi Condensed"/>
          <w:sz w:val="24"/>
          <w:szCs w:val="24"/>
        </w:rPr>
        <w:t xml:space="preserve"> Bersaglio da fissare su segnatura: reperire il documento che attesta l'insofferenza di Kissinger rispetto al coinvolgimento della Comunità europea nella firma dell'Atto finale. Sedi: il volume della serie FRUS 1969-1976 dedicato alla sicurezza europea, e la collezione dei memoranda di conversazione della Ford Library per i mesi di luglio e agosto 1975. Finché la carta non è citata con la sua segnatura, il fatto resta riferito.</w:t>
      </w:r>
    </w:p>
    <w:p>
      <w:pPr>
        <w:spacing w:after="120" w:line="276"/>
        <w:jc w:val="both"/>
      </w:pPr>
      <w:r>
        <w:rPr>
          <w:rFonts w:ascii="Barlow Semi Condensed" w:cs="Barlow Semi Condensed" w:eastAsia="Barlow Semi Condensed" w:hAnsi="Barlow Semi Condensed"/>
          <w:b/>
          <w:bCs/>
          <w:sz w:val="24"/>
          <w:szCs w:val="24"/>
        </w:rPr>
        <w:t xml:space="preserve">257 · La duplice qualità di Moro.</w:t>
      </w:r>
      <w:r>
        <w:rPr>
          <w:rFonts w:ascii="Barlow Semi Condensed" w:cs="Barlow Semi Condensed" w:eastAsia="Barlow Semi Condensed" w:hAnsi="Barlow Semi Condensed"/>
          <w:sz w:val="24"/>
          <w:szCs w:val="24"/>
        </w:rPr>
        <w:t xml:space="preserve"> L'Atto finale del 1 agosto 1975 fu sottoscritto da Moro nella duplice qualità di presidente del Consiglio e di presidente di turno della Comunità: è il punto in cui l'oggetto dell'insofferenza e la persona coincidono. Coincidenza di ruolo, però, non è nesso: che la Comunità firmasse e che a firmare fosse lui sono due fatti veri e distinti, e solo il documento dirà se il secondo entrò nel discorso.</w:t>
      </w:r>
    </w:p>
    <w:p>
      <w:pPr>
        <w:spacing w:after="120" w:line="276"/>
        <w:jc w:val="both"/>
      </w:pPr>
      <w:r>
        <w:rPr>
          <w:rFonts w:ascii="Barlow Semi Condensed" w:cs="Barlow Semi Condensed" w:eastAsia="Barlow Semi Condensed" w:hAnsi="Barlow Semi Condensed"/>
          <w:b/>
          <w:bCs/>
          <w:sz w:val="24"/>
          <w:szCs w:val="24"/>
        </w:rPr>
        <w:t xml:space="preserve">258 · La cornice e la catena.</w:t>
      </w:r>
      <w:r>
        <w:rPr>
          <w:rFonts w:ascii="Barlow Semi Condensed" w:cs="Barlow Semi Condensed" w:eastAsia="Barlow Semi Condensed" w:hAnsi="Barlow Semi Condensed"/>
          <w:sz w:val="24"/>
          <w:szCs w:val="24"/>
        </w:rPr>
        <w:t xml:space="preserve"> Sintesi disciplinare dei documenti fin qui censiti: essi documentano una cornice, cioè l'ostilità di settori dell'alleanza all'ingresso comunista nell'area di governo, e non documentano alcuna catena di comando verso i fatti italiani del 1978. Il corpus ha già dichiarato Stato Zero il documento che legherebbe Kissinger-persona a quella catena. La cornice spiega perché una politica fosse osteggiata; non dice chi uccise nessuno.</w:t>
      </w:r>
    </w:p>
    <w:p>
      <w:pPr>
        <w:spacing w:after="120" w:line="276"/>
        <w:jc w:val="both"/>
      </w:pPr>
      <w:r>
        <w:rPr>
          <w:rFonts w:ascii="Barlow Semi Condensed" w:cs="Barlow Semi Condensed" w:eastAsia="Barlow Semi Condensed" w:hAnsi="Barlow Semi Condensed"/>
          <w:b/>
          <w:bCs/>
          <w:sz w:val="24"/>
          <w:szCs w:val="24"/>
        </w:rPr>
        <w:t xml:space="preserve">259 · Il promotore della trascrizione.</w:t>
      </w:r>
      <w:r>
        <w:rPr>
          <w:rFonts w:ascii="Barlow Semi Condensed" w:cs="Barlow Semi Condensed" w:eastAsia="Barlow Semi Condensed" w:hAnsi="Barlow Semi Condensed"/>
          <w:sz w:val="24"/>
          <w:szCs w:val="24"/>
        </w:rPr>
        <w:t xml:space="preserve"> Domanda genetica applicata all'archivio: che cosa attiva la verbalizzazione? Non tutti i colloqui producono un memcon; alcuni sono verbalizzati per prassi d'ufficio, altri per volontà esplicita, altri restano privi di carta. Il bersaglio è la regola interna che governava la verbalizzazione dei colloqui presidenziali nel 1974, da cercare nelle carte amministrative della Casa Bianca. Chi conosce il promotore sa perché una carta esiste e un'altra no.</w:t>
      </w:r>
    </w:p>
    <w:p>
      <w:pPr>
        <w:spacing w:after="120" w:line="276"/>
        <w:jc w:val="both"/>
      </w:pPr>
      <w:r>
        <w:rPr>
          <w:rFonts w:ascii="Barlow Semi Condensed" w:cs="Barlow Semi Condensed" w:eastAsia="Barlow Semi Condensed" w:hAnsi="Barlow Semi Condensed"/>
          <w:b/>
          <w:bCs/>
          <w:sz w:val="24"/>
          <w:szCs w:val="24"/>
        </w:rPr>
        <w:t xml:space="preserve">260 · Lo splicing del colloquio.</w:t>
      </w:r>
      <w:r>
        <w:rPr>
          <w:rFonts w:ascii="Barlow Semi Condensed" w:cs="Barlow Semi Condensed" w:eastAsia="Barlow Semi Condensed" w:hAnsi="Barlow Semi Condensed"/>
          <w:sz w:val="24"/>
          <w:szCs w:val="24"/>
        </w:rPr>
        <w:t xml:space="preserve"> Fra il colloquio e il suo verbale c'è un taglio, e il taglio è la parte più informativa del processo. Si eliminano convenevoli, digressioni, ripetizioni, e talvolta materia ritenuta non pertinente al fascicolo. Il quesito non è se il taglio ci sia stato, perché c'è sempre, ma se esistano tracce del criterio: note del redattore, versioni preliminari, appunti manoscritti, conservati nella stessa serie del verbale.</w:t>
      </w:r>
    </w:p>
    <w:p>
      <w:pPr>
        <w:spacing w:after="120" w:line="276"/>
        <w:jc w:val="both"/>
      </w:pPr>
      <w:r>
        <w:rPr>
          <w:rFonts w:ascii="Barlow Semi Condensed" w:cs="Barlow Semi Condensed" w:eastAsia="Barlow Semi Condensed" w:hAnsi="Barlow Semi Condensed"/>
          <w:b/>
          <w:bCs/>
          <w:sz w:val="24"/>
          <w:szCs w:val="24"/>
        </w:rPr>
        <w:t xml:space="preserve">261 · Gli introni del tavolo.</w:t>
      </w:r>
      <w:r>
        <w:rPr>
          <w:rFonts w:ascii="Barlow Semi Condensed" w:cs="Barlow Semi Condensed" w:eastAsia="Barlow Semi Condensed" w:hAnsi="Barlow Semi Condensed"/>
          <w:sz w:val="24"/>
          <w:szCs w:val="24"/>
        </w:rPr>
        <w:t xml:space="preserve"> Ciò che è stato tagliato non è per definizione irrilevante: nella cellula le sequenze non tradotte hanno funzione regolativa, e nell'archivio ciò che il redattore giudicò non pertinente può essere esattamente ciò che oggi si cerca. La regola però non cambia: un contenuto tagliato non è ricostruibile per inferenza. Si cerca la versione preliminare che lo conteneva, oppure si dichiara che quel contenuto è perduto.</w:t>
      </w:r>
    </w:p>
    <w:p>
      <w:pPr>
        <w:spacing w:after="120" w:line="276"/>
        <w:jc w:val="both"/>
      </w:pPr>
      <w:r>
        <w:rPr>
          <w:rFonts w:ascii="Barlow Semi Condensed" w:cs="Barlow Semi Condensed" w:eastAsia="Barlow Semi Condensed" w:hAnsi="Barlow Semi Condensed"/>
          <w:b/>
          <w:bCs/>
          <w:sz w:val="24"/>
          <w:szCs w:val="24"/>
        </w:rPr>
        <w:t xml:space="preserve">262 · Il non codificante della carta.</w:t>
      </w:r>
      <w:r>
        <w:rPr>
          <w:rFonts w:ascii="Barlow Semi Condensed" w:cs="Barlow Semi Condensed" w:eastAsia="Barlow Semi Condensed" w:hAnsi="Barlow Semi Condensed"/>
          <w:sz w:val="24"/>
          <w:szCs w:val="24"/>
        </w:rPr>
        <w:t xml:space="preserve"> Intestazioni, numeri di protocollo, liste di distribuzione, timbri di classifica, fogli di copertura: parti apparentemente mute, che non contengono il colloquio e ne governano la circolazione. Sono il non codificante del documento e vanno trascritte con la stessa cura del testo. Da una lista di distribuzione si ricava chi seppe e quando; da un protocollo, che un altro documento esistette. Il margine è spesso più probante del centro.</w:t>
      </w:r>
    </w:p>
    <w:p>
      <w:pPr>
        <w:spacing w:after="120" w:line="276"/>
        <w:jc w:val="both"/>
      </w:pPr>
      <w:r>
        <w:rPr>
          <w:rFonts w:ascii="Barlow Semi Condensed" w:cs="Barlow Semi Condensed" w:eastAsia="Barlow Semi Condensed" w:hAnsi="Barlow Semi Condensed"/>
          <w:b/>
          <w:bCs/>
          <w:sz w:val="24"/>
          <w:szCs w:val="24"/>
        </w:rPr>
        <w:t xml:space="preserve">263 · L'epigenetica della classifica.</w:t>
      </w:r>
      <w:r>
        <w:rPr>
          <w:rFonts w:ascii="Barlow Semi Condensed" w:cs="Barlow Semi Condensed" w:eastAsia="Barlow Semi Condensed" w:hAnsi="Barlow Semi Condensed"/>
          <w:sz w:val="24"/>
          <w:szCs w:val="24"/>
        </w:rPr>
        <w:t xml:space="preserve"> La classifica non muta una sillaba del testo e ne muta interamente l'espressione: lo stesso contenuto, marcato in un modo, circola in tre copie e resta invisibile per decenni; marcato in un altro, entra in una selezione edita. Il bersaglio è la storia della classifica di ciascun documento, cioè quando fu apposta e quando rimossa e con quale procedura, perché quella storia spiega perché lo conosciamo oggi e non prima.</w:t>
      </w:r>
    </w:p>
    <w:p>
      <w:pPr>
        <w:spacing w:after="120" w:line="276"/>
        <w:jc w:val="both"/>
      </w:pPr>
      <w:r>
        <w:rPr>
          <w:rFonts w:ascii="Barlow Semi Condensed" w:cs="Barlow Semi Condensed" w:eastAsia="Barlow Semi Condensed" w:hAnsi="Barlow Semi Condensed"/>
          <w:b/>
          <w:bCs/>
          <w:sz w:val="24"/>
          <w:szCs w:val="24"/>
        </w:rPr>
        <w:t xml:space="preserve">264 · L'espressione differenziale secondo l'ambiente (serie IV).</w:t>
      </w:r>
      <w:r>
        <w:rPr>
          <w:rFonts w:ascii="Barlow Semi Condensed" w:cs="Barlow Semi Condensed" w:eastAsia="Barlow Semi Condensed" w:hAnsi="Barlow Semi Condensed"/>
          <w:sz w:val="24"/>
          <w:szCs w:val="24"/>
        </w:rPr>
        <w:t xml:space="preserve"> La medesima linea politica si esprime diversamente secondo l'ambiente: perentoria in un briefing interno, cauta in un comunicato, tecnica in un telegramma d'istruzioni. La differenza non prova doppiezza, prova contesto. Ne discende una regola di lettura: non si confronta mai un documento interno con una dichiarazione pubblica come se fossero lo stesso genere, e non si conclude alla menzogna da una differenza di registro.</w:t>
      </w:r>
    </w:p>
    <w:p>
      <w:pPr>
        <w:spacing w:after="120" w:line="276"/>
        <w:jc w:val="both"/>
      </w:pPr>
      <w:r>
        <w:rPr>
          <w:rFonts w:ascii="Barlow Semi Condensed" w:cs="Barlow Semi Condensed" w:eastAsia="Barlow Semi Condensed" w:hAnsi="Barlow Semi Condensed"/>
          <w:b/>
          <w:bCs/>
          <w:sz w:val="24"/>
          <w:szCs w:val="24"/>
        </w:rPr>
        <w:t xml:space="preserve">265 · La mutazione di trascrizione.</w:t>
      </w:r>
      <w:r>
        <w:rPr>
          <w:rFonts w:ascii="Barlow Semi Condensed" w:cs="Barlow Semi Condensed" w:eastAsia="Barlow Semi Condensed" w:hAnsi="Barlow Semi Condensed"/>
          <w:sz w:val="24"/>
          <w:szCs w:val="24"/>
        </w:rPr>
        <w:t xml:space="preserve"> Ogni copia introduce errori: date invertite, nomi storpiati, cifre di protocollo alterate. Alcune mutazioni sono silenti e non cambiano il senso; altre sono sostitutive e ne cambiano uno. Il rimedio è quello della filologia, non della congettura: si risale al testimone più vicino all'originale e si registra la variante. Il corpus ha già corretto per questa via date di ratifica, di morte e di espulsione.</w:t>
      </w:r>
    </w:p>
    <w:p>
      <w:pPr>
        <w:spacing w:after="120" w:line="276"/>
        <w:jc w:val="both"/>
      </w:pPr>
      <w:r>
        <w:rPr>
          <w:rFonts w:ascii="Barlow Semi Condensed" w:cs="Barlow Semi Condensed" w:eastAsia="Barlow Semi Condensed" w:hAnsi="Barlow Semi Condensed"/>
          <w:b/>
          <w:bCs/>
          <w:sz w:val="24"/>
          <w:szCs w:val="24"/>
        </w:rPr>
        <w:t xml:space="preserve">266 · L'OCR come agente mutageno.</w:t>
      </w:r>
      <w:r>
        <w:rPr>
          <w:rFonts w:ascii="Barlow Semi Condensed" w:cs="Barlow Semi Condensed" w:eastAsia="Barlow Semi Condensed" w:hAnsi="Barlow Semi Condensed"/>
          <w:sz w:val="24"/>
          <w:szCs w:val="24"/>
        </w:rPr>
        <w:t xml:space="preserve"> Il corpus conserva l'OCR grezzo del lotto desecretato del Dipartimento di Stato accanto alla trascrizione ordinata, e la ragione è metodologica: il riconoscimento ottico produce mutazioni sistematiche su cifre, sigle e nomi propri, e conservare il grezzo consente di verificare ogni lezione dubbia. È catena di custodia applicata al testo. Chi cita da un OCR senza il suo originale cita una copia mutata senza saperlo.</w:t>
      </w:r>
    </w:p>
    <w:p>
      <w:pPr>
        <w:spacing w:after="120" w:line="276"/>
        <w:jc w:val="both"/>
      </w:pPr>
      <w:r>
        <w:rPr>
          <w:rFonts w:ascii="Barlow Semi Condensed" w:cs="Barlow Semi Condensed" w:eastAsia="Barlow Semi Condensed" w:hAnsi="Barlow Semi Condensed"/>
          <w:b/>
          <w:bCs/>
          <w:sz w:val="24"/>
          <w:szCs w:val="24"/>
        </w:rPr>
        <w:t xml:space="preserve">267 · La traduzione come mutazione.</w:t>
      </w:r>
      <w:r>
        <w:rPr>
          <w:rFonts w:ascii="Barlow Semi Condensed" w:cs="Barlow Semi Condensed" w:eastAsia="Barlow Semi Condensed" w:hAnsi="Barlow Semi Condensed"/>
          <w:sz w:val="24"/>
          <w:szCs w:val="24"/>
        </w:rPr>
        <w:t xml:space="preserve"> Fra il verbale americano e ogni sua resa italiana c'è una traduzione, e la traduzione è mutazione con perdita. Termini come tough, containment, neutralist non hanno equivalenti neutri: ogni resa aggiunge o toglie. Regola operativa del corpus: le formule decisive si citano nella lingua del documento, con la traduzione accanto e dichiarata come tale, mai al posto dell'originale e mai senza virgolette.</w:t>
      </w:r>
    </w:p>
    <w:p>
      <w:pPr>
        <w:spacing w:after="120" w:line="276"/>
        <w:jc w:val="both"/>
      </w:pPr>
      <w:r>
        <w:rPr>
          <w:rFonts w:ascii="Barlow Semi Condensed" w:cs="Barlow Semi Condensed" w:eastAsia="Barlow Semi Condensed" w:hAnsi="Barlow Semi Condensed"/>
          <w:b/>
          <w:bCs/>
          <w:sz w:val="24"/>
          <w:szCs w:val="24"/>
        </w:rPr>
        <w:t xml:space="preserve">268 · La retrotrascrizione verso l'originale.</w:t>
      </w:r>
      <w:r>
        <w:rPr>
          <w:rFonts w:ascii="Barlow Semi Condensed" w:cs="Barlow Semi Condensed" w:eastAsia="Barlow Semi Condensed" w:hAnsi="Barlow Semi Condensed"/>
          <w:sz w:val="24"/>
          <w:szCs w:val="24"/>
        </w:rPr>
        <w:t xml:space="preserve"> Il cammino normale va dall'archivio all'edizione; il cammino della verifica va all'inverso, dall'edizione all'archivio. Si parte dal testo edito nel FRUS, si legge la nota che ne dichiara il fondo, si chiede l'unità archivistica, si confronta. È retrotrascrizione: dal prodotto si risale al codice. Il corpus la prescrive per ogni documento portante, perché un'edizione è sempre una selezione, per quanto autorevole.</w:t>
      </w:r>
    </w:p>
    <w:p>
      <w:pPr>
        <w:spacing w:after="120" w:line="276"/>
        <w:jc w:val="both"/>
      </w:pPr>
      <w:r>
        <w:rPr>
          <w:rFonts w:ascii="Barlow Semi Condensed" w:cs="Barlow Semi Condensed" w:eastAsia="Barlow Semi Condensed" w:hAnsi="Barlow Semi Condensed"/>
          <w:b/>
          <w:bCs/>
          <w:sz w:val="24"/>
          <w:szCs w:val="24"/>
        </w:rPr>
        <w:t xml:space="preserve">269 · La replicazione e la custodia.</w:t>
      </w:r>
      <w:r>
        <w:rPr>
          <w:rFonts w:ascii="Barlow Semi Condensed" w:cs="Barlow Semi Condensed" w:eastAsia="Barlow Semi Condensed" w:hAnsi="Barlow Semi Condensed"/>
          <w:sz w:val="24"/>
          <w:szCs w:val="24"/>
        </w:rPr>
        <w:t xml:space="preserve"> Un documento vive per copie: la minuta, l'originale firmato, le copie per distribuzione, la riproduzione digitale, la trascrizione. Ogni passaggio va tracciato come si traccia la catena di custodia di un reperto. Il registro dei corpi di reato che i cantieri chiedono per il caso vale, mutate le proporzioni, per le carte: una citazione vale quanto la copia da cui proviene, e una copia quanto la catena che la precede.</w:t>
      </w:r>
    </w:p>
    <w:p>
      <w:pPr>
        <w:spacing w:after="120" w:line="276"/>
        <w:jc w:val="both"/>
      </w:pPr>
      <w:r>
        <w:rPr>
          <w:rFonts w:ascii="Barlow Semi Condensed" w:cs="Barlow Semi Condensed" w:eastAsia="Barlow Semi Condensed" w:hAnsi="Barlow Semi Condensed"/>
          <w:b/>
          <w:bCs/>
          <w:sz w:val="24"/>
          <w:szCs w:val="24"/>
        </w:rPr>
        <w:t xml:space="preserve">270 · La filogenesi del FRUS.</w:t>
      </w:r>
      <w:r>
        <w:rPr>
          <w:rFonts w:ascii="Barlow Semi Condensed" w:cs="Barlow Semi Condensed" w:eastAsia="Barlow Semi Condensed" w:hAnsi="Barlow Semi Condensed"/>
          <w:sz w:val="24"/>
          <w:szCs w:val="24"/>
        </w:rPr>
        <w:t xml:space="preserve"> La serie Foreign Relations of the United States non è un archivio: è una genealogia dichiarata di documenti, costruita da un curatore che sceglie, ordina e annota. Come ogni albero filogenetico riflette insieme i dati e i criteri di chi lo ha costruito. Va usata per ciò che è, cioè la mappa dichiarata degli archivi che l'hanno alimentata, secondo il blocco 134 dell'agenda, e non come il fondo stesso.</w:t>
      </w:r>
    </w:p>
    <w:p>
      <w:pPr>
        <w:spacing w:after="120" w:line="276"/>
        <w:jc w:val="both"/>
      </w:pPr>
      <w:r>
        <w:rPr>
          <w:rFonts w:ascii="Barlow Semi Condensed" w:cs="Barlow Semi Condensed" w:eastAsia="Barlow Semi Condensed" w:hAnsi="Barlow Semi Condensed"/>
          <w:b/>
          <w:bCs/>
          <w:sz w:val="24"/>
          <w:szCs w:val="24"/>
        </w:rPr>
        <w:t xml:space="preserve">271 · La nota come segnatura.</w:t>
      </w:r>
      <w:r>
        <w:rPr>
          <w:rFonts w:ascii="Barlow Semi Condensed" w:cs="Barlow Semi Condensed" w:eastAsia="Barlow Semi Condensed" w:hAnsi="Barlow Semi Condensed"/>
          <w:sz w:val="24"/>
          <w:szCs w:val="24"/>
        </w:rPr>
        <w:t xml:space="preserve"> Ogni nota a piè di pagina di un volume FRUS che dichiari fondo, serie e fascicolo è una segnatura operativa: consente di chiedere l'unità originale senza mediazioni. Il bersaglio, per i documenti di questa serie, è lo spoglio sistematico delle note dei volumi XLI ed E-15 parte 2, con la tavola delle segnature che ne risulta. È lavoro meccanico ad alto rendimento, e non richiede alcuna ipotesi.</w:t>
      </w:r>
    </w:p>
    <w:p>
      <w:pPr>
        <w:spacing w:after="120" w:line="276"/>
        <w:jc w:val="both"/>
      </w:pPr>
      <w:r>
        <w:rPr>
          <w:rFonts w:ascii="Barlow Semi Condensed" w:cs="Barlow Semi Condensed" w:eastAsia="Barlow Semi Condensed" w:hAnsi="Barlow Semi Condensed"/>
          <w:b/>
          <w:bCs/>
          <w:sz w:val="24"/>
          <w:szCs w:val="24"/>
        </w:rPr>
        <w:t xml:space="preserve">272 · Il curatore e la sua selezione.</w:t>
      </w:r>
      <w:r>
        <w:rPr>
          <w:rFonts w:ascii="Barlow Semi Condensed" w:cs="Barlow Semi Condensed" w:eastAsia="Barlow Semi Condensed" w:hAnsi="Barlow Semi Condensed"/>
          <w:sz w:val="24"/>
          <w:szCs w:val="24"/>
        </w:rPr>
        <w:t xml:space="preserve"> Un volume edito dice anche ciò che non contiene. Il bersaglio complementare è la ricostruzione del criterio di selezione dichiarato nella prefazione del volume, insieme all'elenco dei fondi consultati dal curatore. Da quell'elenco si ricava quali serie furono viste e quali no, e dunque dove cercare ciò che manca. La selezione del curatore non è una lacuna dell'archivio: è una lacuna dell'edizione, e si colma in sede.</w:t>
      </w:r>
    </w:p>
    <w:p>
      <w:pPr>
        <w:spacing w:after="120" w:line="276"/>
        <w:jc w:val="both"/>
      </w:pPr>
      <w:r>
        <w:rPr>
          <w:rFonts w:ascii="Barlow Semi Condensed" w:cs="Barlow Semi Condensed" w:eastAsia="Barlow Semi Condensed" w:hAnsi="Barlow Semi Condensed"/>
          <w:b/>
          <w:bCs/>
          <w:sz w:val="24"/>
          <w:szCs w:val="24"/>
        </w:rPr>
        <w:t xml:space="preserve">273 · Il documento ritirato e la scheda.</w:t>
      </w:r>
      <w:r>
        <w:rPr>
          <w:rFonts w:ascii="Barlow Semi Condensed" w:cs="Barlow Semi Condensed" w:eastAsia="Barlow Semi Condensed" w:hAnsi="Barlow Semi Condensed"/>
          <w:sz w:val="24"/>
          <w:szCs w:val="24"/>
        </w:rPr>
        <w:t xml:space="preserve"> Dove un documento è stato ritirato dal fascicolo per ragioni di classifica, l'archivio inserisce di norma una scheda sostitutiva che ne dichiara l'esistenza, la data e la ragione del ritiro. Quelle schede sono acquisizioni: provano che il documento esiste e ne fissano gli estremi. Il bersaglio è il loro censimento nei fondi pertinenti, perché un'assenza documentata dall'archivio stesso è la forma più forte di Stato Zero.</w:t>
      </w:r>
    </w:p>
    <w:p>
      <w:pPr>
        <w:spacing w:after="120" w:line="276"/>
        <w:jc w:val="both"/>
      </w:pPr>
      <w:r>
        <w:rPr>
          <w:rFonts w:ascii="Barlow Semi Condensed" w:cs="Barlow Semi Condensed" w:eastAsia="Barlow Semi Condensed" w:hAnsi="Barlow Semi Condensed"/>
          <w:b/>
          <w:bCs/>
          <w:sz w:val="24"/>
          <w:szCs w:val="24"/>
        </w:rPr>
        <w:t xml:space="preserve">274 · Come si chiede una carta classificata.</w:t>
      </w:r>
      <w:r>
        <w:rPr>
          <w:rFonts w:ascii="Barlow Semi Condensed" w:cs="Barlow Semi Condensed" w:eastAsia="Barlow Semi Condensed" w:hAnsi="Barlow Semi Condensed"/>
          <w:sz w:val="24"/>
          <w:szCs w:val="24"/>
        </w:rPr>
        <w:t xml:space="preserve"> Sul versante americano le vie sono due e si usano in sequenza: la richiesta di accesso ai sensi della legge sulla libertà d'informazione, e la revisione obbligatoria di declassificazione per il singolo documento identificato con precisione. La seconda richiede di conoscere già la segnatura, la prima no ed è più lenta. Ogni richiesta si formula per iscritto, si numera e si registra nel registro delle richieste.</w:t>
      </w:r>
    </w:p>
    <w:p>
      <w:pPr>
        <w:spacing w:after="120" w:line="276"/>
        <w:jc w:val="both"/>
      </w:pPr>
      <w:r>
        <w:rPr>
          <w:rFonts w:ascii="Barlow Semi Condensed" w:cs="Barlow Semi Condensed" w:eastAsia="Barlow Semi Condensed" w:hAnsi="Barlow Semi Condensed"/>
          <w:b/>
          <w:bCs/>
          <w:sz w:val="24"/>
          <w:szCs w:val="24"/>
        </w:rPr>
        <w:t xml:space="preserve">275 · L'appello e i suoi tempi.</w:t>
      </w:r>
      <w:r>
        <w:rPr>
          <w:rFonts w:ascii="Barlow Semi Condensed" w:cs="Barlow Semi Condensed" w:eastAsia="Barlow Semi Condensed" w:hAnsi="Barlow Semi Condensed"/>
          <w:sz w:val="24"/>
          <w:szCs w:val="24"/>
        </w:rPr>
        <w:t xml:space="preserve"> Un diniego non chiude nulla: restano l'appello amministrativo e, in ultima istanza, il ricorso all'organismo interagenzia che riesamina le classifiche. I tempi sono lunghi e vanno messi a bilancio come costo dichiarato del bersaglio, secondo il blocco 286 dell'agenda. Un bersaglio costoso si giustifica per iscritto o retrocede: la disciplina vale anche quando la carta desiderata è quella che si vorrebbe di più.</w:t>
      </w:r>
    </w:p>
    <w:p>
      <w:pPr>
        <w:spacing w:after="120" w:line="276"/>
        <w:jc w:val="both"/>
      </w:pPr>
      <w:r>
        <w:rPr>
          <w:rFonts w:ascii="Barlow Semi Condensed" w:cs="Barlow Semi Condensed" w:eastAsia="Barlow Semi Condensed" w:hAnsi="Barlow Semi Condensed"/>
          <w:b/>
          <w:bCs/>
          <w:sz w:val="24"/>
          <w:szCs w:val="24"/>
        </w:rPr>
        <w:t xml:space="preserve">276 · I limiti della richiesta di accesso.</w:t>
      </w:r>
      <w:r>
        <w:rPr>
          <w:rFonts w:ascii="Barlow Semi Condensed" w:cs="Barlow Semi Condensed" w:eastAsia="Barlow Semi Condensed" w:hAnsi="Barlow Semi Condensed"/>
          <w:sz w:val="24"/>
          <w:szCs w:val="24"/>
        </w:rPr>
        <w:t xml:space="preserve"> La richiesta produce spesso documenti pesantemente espunti, con pagine intere annerite e con la ragione dell'espunzione indicata per sigla. Anche così il risultato è un'acquisizione: si conoscono esistenza, data, estensione e regime di segreto. Un documento espunto non è un documento assente, e va catalogato come tale, con la sua segnatura e con l'indicazione precisa di ciò che vi manca e di chi lo ha tolto.</w:t>
      </w:r>
    </w:p>
    <w:p>
      <w:pPr>
        <w:spacing w:after="120" w:line="276"/>
        <w:jc w:val="both"/>
      </w:pPr>
      <w:r>
        <w:rPr>
          <w:rFonts w:ascii="Barlow Semi Condensed" w:cs="Barlow Semi Condensed" w:eastAsia="Barlow Semi Condensed" w:hAnsi="Barlow Semi Condensed"/>
          <w:b/>
          <w:bCs/>
          <w:sz w:val="24"/>
          <w:szCs w:val="24"/>
        </w:rPr>
        <w:t xml:space="preserve">277 · Il lato italiano e il suo regime.</w:t>
      </w:r>
      <w:r>
        <w:rPr>
          <w:rFonts w:ascii="Barlow Semi Condensed" w:cs="Barlow Semi Condensed" w:eastAsia="Barlow Semi Condensed" w:hAnsi="Barlow Semi Condensed"/>
          <w:sz w:val="24"/>
          <w:szCs w:val="24"/>
        </w:rPr>
        <w:t xml:space="preserve"> Sul versante italiano non esiste un istituto equivalente per le carte d'archivio storico: l'accesso è governato dai termini di consultabilità e dall'autorizzazione del responsabile, con la facoltà ministeriale di riduzione del termine. La differenza di regime fra i due Paesi è un dato strutturale della ricerca, e spiega perché il versante americano di questa vicenda sia meglio servito da fonti primarie edite di quello italiano.</w:t>
      </w:r>
    </w:p>
    <w:p>
      <w:pPr>
        <w:spacing w:after="120" w:line="276"/>
        <w:jc w:val="both"/>
      </w:pPr>
      <w:r>
        <w:rPr>
          <w:rFonts w:ascii="Barlow Semi Condensed" w:cs="Barlow Semi Condensed" w:eastAsia="Barlow Semi Condensed" w:hAnsi="Barlow Semi Condensed"/>
          <w:b/>
          <w:bCs/>
          <w:sz w:val="24"/>
          <w:szCs w:val="24"/>
        </w:rPr>
        <w:t xml:space="preserve">278 · Il registro delle richieste.</w:t>
      </w:r>
      <w:r>
        <w:rPr>
          <w:rFonts w:ascii="Barlow Semi Condensed" w:cs="Barlow Semi Condensed" w:eastAsia="Barlow Semi Condensed" w:hAnsi="Barlow Semi Condensed"/>
          <w:sz w:val="24"/>
          <w:szCs w:val="24"/>
        </w:rPr>
        <w:t xml:space="preserve"> Ogni istanza inviata, a Washington o a Roma, entra nel registro con data, oggetto, sede, esito e tempo di risposta. Il registro impedisce di chiedere due volte, documenta la diligenza e trasforma il rifiuto in dato. È lo strumento che l'agenda prescrive al blocco 259 e che le regole d'ingaggio del blocco 287 rendono obbligatorio. Senza registro l'esito negativo non è verbalizzabile, e quindi non esiste.</w:t>
      </w:r>
    </w:p>
    <w:p>
      <w:pPr>
        <w:spacing w:after="120" w:line="276"/>
        <w:jc w:val="both"/>
      </w:pPr>
      <w:r>
        <w:rPr>
          <w:rFonts w:ascii="Barlow Semi Condensed" w:cs="Barlow Semi Condensed" w:eastAsia="Barlow Semi Condensed" w:hAnsi="Barlow Semi Condensed"/>
          <w:b/>
          <w:bCs/>
          <w:sz w:val="24"/>
          <w:szCs w:val="24"/>
        </w:rPr>
        <w:t xml:space="preserve">279 · Gli archivisti come alleati.</w:t>
      </w:r>
      <w:r>
        <w:rPr>
          <w:rFonts w:ascii="Barlow Semi Condensed" w:cs="Barlow Semi Condensed" w:eastAsia="Barlow Semi Condensed" w:hAnsi="Barlow Semi Condensed"/>
          <w:sz w:val="24"/>
          <w:szCs w:val="24"/>
        </w:rPr>
        <w:t xml:space="preserve"> La regola dell'agenda è che gli archivisti sono alleati permanenti e non sportelli: si chiede l'inventario prima del documento, si cita la norma d'accesso, si ringrazia per iscritto, si restituiscono agli istituti gli strumenti prodotti, cioè tavole, indici e censimenti. Per questa serie la restituzione naturale è la tavola delle segnature ricavata dalle note dei volumi editi, offerta a chi conserva i fondi corrispondenti.</w:t>
      </w:r>
    </w:p>
    <w:p>
      <w:pPr>
        <w:spacing w:after="120" w:line="276"/>
        <w:jc w:val="both"/>
      </w:pPr>
      <w:r>
        <w:rPr>
          <w:rFonts w:ascii="Barlow Semi Condensed" w:cs="Barlow Semi Condensed" w:eastAsia="Barlow Semi Condensed" w:hAnsi="Barlow Semi Condensed"/>
          <w:b/>
          <w:bCs/>
          <w:sz w:val="24"/>
          <w:szCs w:val="24"/>
        </w:rPr>
        <w:t xml:space="preserve">280 · Il verbale di vuoto.</w:t>
      </w:r>
      <w:r>
        <w:rPr>
          <w:rFonts w:ascii="Barlow Semi Condensed" w:cs="Barlow Semi Condensed" w:eastAsia="Barlow Semi Condensed" w:hAnsi="Barlow Semi Condensed"/>
          <w:sz w:val="24"/>
          <w:szCs w:val="24"/>
        </w:rPr>
        <w:t xml:space="preserve"> L'esito negativo si scrive con lo stesso rigore del positivo: che cosa si è cercato, dove, quando, con quale perimetro e con quale esito. È il blocco 285 dell'agenda, ed è la ragione per cui in questa serie ogni bersaglio porta la propria sede. Un verbale di vuoto impedisce la ricerca doppia, fonda lo Stato Zero e, accumulato, disegna la mappa di ciò che non si potrà più sapere.</w:t>
      </w:r>
    </w:p>
    <w:p>
      <w:pPr>
        <w:spacing w:after="120" w:line="276"/>
        <w:jc w:val="both"/>
      </w:pPr>
      <w:r>
        <w:rPr>
          <w:rFonts w:ascii="Barlow Semi Condensed" w:cs="Barlow Semi Condensed" w:eastAsia="Barlow Semi Condensed" w:hAnsi="Barlow Semi Condensed"/>
          <w:b/>
          <w:bCs/>
          <w:sz w:val="24"/>
          <w:szCs w:val="24"/>
        </w:rPr>
        <w:t xml:space="preserve">281 · Le ipotesi concorrenti sul silenzio.</w:t>
      </w:r>
      <w:r>
        <w:rPr>
          <w:rFonts w:ascii="Barlow Semi Condensed" w:cs="Barlow Semi Condensed" w:eastAsia="Barlow Semi Condensed" w:hAnsi="Barlow Semi Condensed"/>
          <w:sz w:val="24"/>
          <w:szCs w:val="24"/>
        </w:rPr>
        <w:t xml:space="preserve"> Sul silenzio del verbale del 25 settembre si applica la matrice delle ipotesi concorrenti, senza numeri di probabilità: che l'avvertimento non sia stato pronunciato, che sia stato pronunciato fuori dal tavolo verbalizzato, che sia stato pronunciato e non messo a verbale. Nessuna evidenza disponibile è diagnostica. L'evidenza discriminante è nominata: una verbalizzazione italiana della stessa giornata, o una carta di margine con le presenze reali.</w:t>
      </w:r>
    </w:p>
    <w:p>
      <w:pPr>
        <w:spacing w:after="120" w:line="276"/>
        <w:jc w:val="both"/>
      </w:pPr>
      <w:r>
        <w:rPr>
          <w:rFonts w:ascii="Barlow Semi Condensed" w:cs="Barlow Semi Condensed" w:eastAsia="Barlow Semi Condensed" w:hAnsi="Barlow Semi Condensed"/>
          <w:b/>
          <w:bCs/>
          <w:sz w:val="24"/>
          <w:szCs w:val="24"/>
        </w:rPr>
        <w:t xml:space="preserve">282 · Le trascrizioni telefoniche (serie IV).</w:t>
      </w:r>
      <w:r>
        <w:rPr>
          <w:rFonts w:ascii="Barlow Semi Condensed" w:cs="Barlow Semi Condensed" w:eastAsia="Barlow Semi Condensed" w:hAnsi="Barlow Semi Condensed"/>
          <w:sz w:val="24"/>
          <w:szCs w:val="24"/>
        </w:rPr>
        <w:t xml:space="preserve"> Bersaglio da reperire con le sue condizioni d'accesso: la serie delle trascrizioni delle conversazioni telefoniche del segretario di Stato, distinta dai memoranda di conversazione e di genere diverso perché più vicina al parlato. Sede da verificare: i fondi del Dipartimento di Stato presso i National Archives. Il quesito preliminare è archivistico e non storico: quali anni copra, in quale forma, con quale regime di consultazione.</w:t>
      </w:r>
    </w:p>
    <w:p>
      <w:pPr>
        <w:spacing w:after="120" w:line="276"/>
        <w:jc w:val="both"/>
      </w:pPr>
      <w:r>
        <w:rPr>
          <w:rFonts w:ascii="Barlow Semi Condensed" w:cs="Barlow Semi Condensed" w:eastAsia="Barlow Semi Condensed" w:hAnsi="Barlow Semi Condensed"/>
          <w:b/>
          <w:bCs/>
          <w:sz w:val="24"/>
          <w:szCs w:val="24"/>
        </w:rPr>
        <w:t xml:space="preserve">283 · Le carte personali e il loro regime.</w:t>
      </w:r>
      <w:r>
        <w:rPr>
          <w:rFonts w:ascii="Barlow Semi Condensed" w:cs="Barlow Semi Condensed" w:eastAsia="Barlow Semi Condensed" w:hAnsi="Barlow Semi Condensed"/>
          <w:sz w:val="24"/>
          <w:szCs w:val="24"/>
        </w:rPr>
        <w:t xml:space="preserve"> Quesito distinto e da porre con esattezza: quali carte private del segretario di Stato siano depositate presso istituzioni pubbliche o universitarie, con quale atto di donazione e con quali restrizioni d'accesso. Il regime delle carte personali non coincide con quello dei documenti d'ufficio, e la distinzione fra le due nature è essa stessa oggetto di accertamento. Nessuna asserzione è possibile prima di aver letto le condizioni del deposito.</w:t>
      </w:r>
    </w:p>
    <w:p>
      <w:pPr>
        <w:spacing w:after="120" w:line="276"/>
        <w:jc w:val="both"/>
      </w:pPr>
      <w:r>
        <w:rPr>
          <w:rFonts w:ascii="Barlow Semi Condensed" w:cs="Barlow Semi Condensed" w:eastAsia="Barlow Semi Condensed" w:hAnsi="Barlow Semi Condensed"/>
          <w:b/>
          <w:bCs/>
          <w:sz w:val="24"/>
          <w:szCs w:val="24"/>
        </w:rPr>
        <w:t xml:space="preserve">284 · I fascicoli per paese.</w:t>
      </w:r>
      <w:r>
        <w:rPr>
          <w:rFonts w:ascii="Barlow Semi Condensed" w:cs="Barlow Semi Condensed" w:eastAsia="Barlow Semi Condensed" w:hAnsi="Barlow Semi Condensed"/>
          <w:sz w:val="24"/>
          <w:szCs w:val="24"/>
        </w:rPr>
        <w:t xml:space="preserve"> Bersaglio già indicato dal corpus e non ancora spogliato: i Nixon Presidential Materials, fascicoli del Consiglio di sicurezza nazionale, serie per paese relativa all'Italia, presso i National Archives di College Park. È la sede in cui cercare i verbali dei colloqui diretti del 1969-1972, di cui non sono stati reperiti equivalenti editi comparabili per completezza a quello del 1974. L'esito negativo attuale è dichiarato.</w:t>
      </w:r>
    </w:p>
    <w:p>
      <w:pPr>
        <w:spacing w:after="120" w:line="276"/>
        <w:jc w:val="both"/>
      </w:pPr>
      <w:r>
        <w:rPr>
          <w:rFonts w:ascii="Barlow Semi Condensed" w:cs="Barlow Semi Condensed" w:eastAsia="Barlow Semi Condensed" w:hAnsi="Barlow Semi Condensed"/>
          <w:b/>
          <w:bCs/>
          <w:sz w:val="24"/>
          <w:szCs w:val="24"/>
        </w:rPr>
        <w:t xml:space="preserve">285 · La collezione a microfiche.</w:t>
      </w:r>
      <w:r>
        <w:rPr>
          <w:rFonts w:ascii="Barlow Semi Condensed" w:cs="Barlow Semi Condensed" w:eastAsia="Barlow Semi Condensed" w:hAnsi="Barlow Semi Condensed"/>
          <w:sz w:val="24"/>
          <w:szCs w:val="24"/>
        </w:rPr>
        <w:t xml:space="preserve"> Nella biblioteca per l'accesso agli atti del Dipartimento di Stato è disponibile una collezione a microfiche dedicata a Moro presidente del Consiglio. Bersaglio: censirne l'indice, accertare quali anni copra e se contenga materiale del periodo ministeriale oltre a quello del 1978. Una collezione tematica preselezionata è comoda e insidiosa: dice ciò che l'amministrazione ha raggruppato sotto un nome, non tutto ciò che possiede.</w:t>
      </w:r>
    </w:p>
    <w:p>
      <w:pPr>
        <w:spacing w:after="120" w:line="276"/>
        <w:jc w:val="both"/>
      </w:pPr>
      <w:r>
        <w:rPr>
          <w:rFonts w:ascii="Barlow Semi Condensed" w:cs="Barlow Semi Condensed" w:eastAsia="Barlow Semi Condensed" w:hAnsi="Barlow Semi Condensed"/>
          <w:b/>
          <w:bCs/>
          <w:sz w:val="24"/>
          <w:szCs w:val="24"/>
        </w:rPr>
        <w:t xml:space="preserve">286 · I telegrammi in banca dati.</w:t>
      </w:r>
      <w:r>
        <w:rPr>
          <w:rFonts w:ascii="Barlow Semi Condensed" w:cs="Barlow Semi Condensed" w:eastAsia="Barlow Semi Condensed" w:hAnsi="Barlow Semi Condensed"/>
          <w:sz w:val="24"/>
          <w:szCs w:val="24"/>
        </w:rPr>
        <w:t xml:space="preserve"> I Central Foreign Policy Files 1973-1979 sono interrogabili a testo pieno nella banca dati degli archivi nazionali per i telegrammi del 1978, con schede sostitutive per il materiale trattenuto. Bersaglio derivato per questa serie: verificare la copertura della medesima banca dati per il 1974, poiché la serie che restituisce i cinquantacinque giorni potrebbe restituire anche la missione del settembre precedente.</w:t>
      </w:r>
    </w:p>
    <w:p>
      <w:pPr>
        <w:spacing w:after="120" w:line="276"/>
        <w:jc w:val="both"/>
      </w:pPr>
      <w:r>
        <w:rPr>
          <w:rFonts w:ascii="Barlow Semi Condensed" w:cs="Barlow Semi Condensed" w:eastAsia="Barlow Semi Condensed" w:hAnsi="Barlow Semi Condensed"/>
          <w:b/>
          <w:bCs/>
          <w:sz w:val="24"/>
          <w:szCs w:val="24"/>
        </w:rPr>
        <w:t xml:space="preserve">287 · L'anello debole della catena documentale.</w:t>
      </w:r>
      <w:r>
        <w:rPr>
          <w:rFonts w:ascii="Barlow Semi Condensed" w:cs="Barlow Semi Condensed" w:eastAsia="Barlow Semi Condensed" w:hAnsi="Barlow Semi Condensed"/>
          <w:sz w:val="24"/>
          <w:szCs w:val="24"/>
        </w:rPr>
        <w:t xml:space="preserve"> La regola formalizzata dal corpus vale anche qui: il grado di un cammino è il grado minimo dei suoi archi. Un percorso che parta da un verbale di grado A, attraversi una testimonianza contestata di grado B debole e approdi a una congettura vale quanto il suo anello più debole, non quanto il suo primo anello. Nessuna somma di documenti forti riscatta un passaggio fragile.</w:t>
      </w:r>
    </w:p>
    <w:p>
      <w:pPr>
        <w:spacing w:after="120" w:line="276"/>
        <w:jc w:val="both"/>
      </w:pPr>
      <w:r>
        <w:rPr>
          <w:rFonts w:ascii="Barlow Semi Condensed" w:cs="Barlow Semi Condensed" w:eastAsia="Barlow Semi Condensed" w:hAnsi="Barlow Semi Condensed"/>
          <w:b/>
          <w:bCs/>
          <w:sz w:val="24"/>
          <w:szCs w:val="24"/>
        </w:rPr>
        <w:t xml:space="preserve">288 · Il buco fra i domini.</w:t>
      </w:r>
      <w:r>
        <w:rPr>
          <w:rFonts w:ascii="Barlow Semi Condensed" w:cs="Barlow Semi Condensed" w:eastAsia="Barlow Semi Condensed" w:hAnsi="Barlow Semi Condensed"/>
          <w:sz w:val="24"/>
          <w:szCs w:val="24"/>
        </w:rPr>
        <w:t xml:space="preserve"> La seconda metà della regola dei buchi vale per questa serie: un basso rapporto di associazione fra due domini documentali non indica assenza di rapporti, indica che nessuno ha scritto un documento che li tratti insieme. Il vuoto fra le carte americane di vertice e le carte italiane di gabinetto è, allo stato, un vuoto di spoglio prima che un vuoto di fatto, e si interroga solo dopo averlo misurato.</w:t>
      </w:r>
    </w:p>
    <w:p>
      <w:pPr>
        <w:spacing w:after="120" w:line="276"/>
        <w:jc w:val="both"/>
      </w:pPr>
      <w:r>
        <w:rPr>
          <w:rFonts w:ascii="Barlow Semi Condensed" w:cs="Barlow Semi Condensed" w:eastAsia="Barlow Semi Condensed" w:hAnsi="Barlow Semi Condensed"/>
          <w:b/>
          <w:bCs/>
          <w:sz w:val="24"/>
          <w:szCs w:val="24"/>
        </w:rPr>
        <w:t xml:space="preserve">289 · Che cosa questa serie non stabilisce.</w:t>
      </w:r>
      <w:r>
        <w:rPr>
          <w:rFonts w:ascii="Barlow Semi Condensed" w:cs="Barlow Semi Condensed" w:eastAsia="Barlow Semi Condensed" w:hAnsi="Barlow Semi Condensed"/>
          <w:sz w:val="24"/>
          <w:szCs w:val="24"/>
        </w:rPr>
        <w:t xml:space="preserve"> Non stabilisce che l'avvertimento riferito sia avvenuto, né che non sia avvenuto. Non stabilisce alcuna posizione di Moro nei colloqui del settembre 1974 oltre la sua presenza documentata. Non stabilisce alcun rapporto fra le decisioni dei comitati americani e i fatti italiani del 1978. Non stabilisce alcuna responsabilità personale. Stabilisce quali carte esistono, dove stanno, che cosa dicono e che cosa tacciono.</w:t>
      </w:r>
    </w:p>
    <w:p>
      <w:pPr>
        <w:spacing w:after="120" w:line="276"/>
        <w:jc w:val="both"/>
      </w:pPr>
      <w:r>
        <w:rPr>
          <w:rFonts w:ascii="Barlow Semi Condensed" w:cs="Barlow Semi Condensed" w:eastAsia="Barlow Semi Condensed" w:hAnsi="Barlow Semi Condensed"/>
          <w:b/>
          <w:bCs/>
          <w:sz w:val="24"/>
          <w:szCs w:val="24"/>
        </w:rPr>
        <w:t xml:space="preserve">290 · La trascrizione non è la sentenza.</w:t>
      </w:r>
      <w:r>
        <w:rPr>
          <w:rFonts w:ascii="Barlow Semi Condensed" w:cs="Barlow Semi Condensed" w:eastAsia="Barlow Semi Condensed" w:hAnsi="Barlow Semi Condensed"/>
          <w:sz w:val="24"/>
          <w:szCs w:val="24"/>
        </w:rPr>
        <w:t xml:space="preserve"> Una trascrizione fedele riproduce il codice e non lo giudica; un'edizione critica registra le varianti e non le compone d'autorità. È la disposizione che questa serie chiede a chi la usi: che i documenti censiti restino documenti, che le sedi restino sedi, che gli esiti negativi restino acquisizioni. Il fascicolo resta aperto, e i nomi restano dove il solo giudicato definitivo li ha messi.</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Serie quinta — L'espressione differenziale: lo stesso codice in ambienti diversi</w:t>
      </w:r>
    </w:p>
    <w:p>
      <w:pPr>
        <w:spacing w:after="120" w:line="276"/>
        <w:jc w:val="both"/>
      </w:pPr>
      <w:r>
        <w:rPr>
          <w:rFonts w:ascii="Barlow Semi Condensed" w:cs="Barlow Semi Condensed" w:eastAsia="Barlow Semi Condensed" w:hAnsi="Barlow Semi Condensed"/>
          <w:i/>
          <w:iCs/>
          <w:sz w:val="24"/>
          <w:szCs w:val="24"/>
        </w:rPr>
        <w:t xml:space="preserve">Blocchi 291-390.</w:t>
      </w:r>
    </w:p>
    <w:p>
      <w:pPr>
        <w:spacing w:after="120" w:line="276"/>
        <w:jc w:val="both"/>
      </w:pPr>
      <w:r>
        <w:rPr>
          <w:rFonts w:ascii="Barlow Semi Condensed" w:cs="Barlow Semi Condensed" w:eastAsia="Barlow Semi Condensed" w:hAnsi="Barlow Semi Condensed"/>
          <w:b/>
          <w:bCs/>
          <w:sz w:val="24"/>
          <w:szCs w:val="24"/>
        </w:rPr>
        <w:t xml:space="preserve">291 · Che cosa significa espressione differenziale.</w:t>
      </w:r>
      <w:r>
        <w:rPr>
          <w:rFonts w:ascii="Barlow Semi Condensed" w:cs="Barlow Semi Condensed" w:eastAsia="Barlow Semi Condensed" w:hAnsi="Barlow Semi Condensed"/>
          <w:sz w:val="24"/>
          <w:szCs w:val="24"/>
        </w:rPr>
        <w:t xml:space="preserve"> In biologia lo stesso gene produce esiti diversi secondo il tessuto e l'ambiente in cui viene trascritto, e la serie prende in prestito quella figura per un lavoro comparativo: la preoccupazione atlantica per il comunismo al governo è documentata in un codice solo, ma ciò che se ne vede a Roma, a Lisbona, ad Atene, ad Ankara, a Bonn e a Madrid ha forme diverse. La lente serve a domandare perché, non a rispondere che qualcuno le volle tutte.</w:t>
      </w:r>
    </w:p>
    <w:p>
      <w:pPr>
        <w:spacing w:after="120" w:line="276"/>
        <w:jc w:val="both"/>
      </w:pPr>
      <w:r>
        <w:rPr>
          <w:rFonts w:ascii="Barlow Semi Condensed" w:cs="Barlow Semi Condensed" w:eastAsia="Barlow Semi Condensed" w:hAnsi="Barlow Semi Condensed"/>
          <w:b/>
          <w:bCs/>
          <w:sz w:val="24"/>
          <w:szCs w:val="24"/>
        </w:rPr>
        <w:t xml:space="preserve">292 · Il genotipo non è il fenotipo.</w:t>
      </w:r>
      <w:r>
        <w:rPr>
          <w:rFonts w:ascii="Barlow Semi Condensed" w:cs="Barlow Semi Condensed" w:eastAsia="Barlow Semi Condensed" w:hAnsi="Barlow Semi Condensed"/>
          <w:sz w:val="24"/>
          <w:szCs w:val="24"/>
        </w:rPr>
        <w:t xml:space="preserve"> Il genotipo è la sequenza, il fenotipo è ciò che si vede, e la distinzione impone al corpus una regola secca: un documento che attesta una preferenza politica di Washington è genotipo dichiarato, un evento accaduto in un teatro è fenotipo osservato, e fra i due non corre alcuna deduzione automatica. Ogni blocco che descriva un esito nazionale deve perciò dire quale dei due il documento attesti.</w:t>
      </w:r>
    </w:p>
    <w:p>
      <w:pPr>
        <w:spacing w:after="120" w:line="276"/>
        <w:jc w:val="both"/>
      </w:pPr>
      <w:r>
        <w:rPr>
          <w:rFonts w:ascii="Barlow Semi Condensed" w:cs="Barlow Semi Condensed" w:eastAsia="Barlow Semi Condensed" w:hAnsi="Barlow Semi Condensed"/>
          <w:b/>
          <w:bCs/>
          <w:sz w:val="24"/>
          <w:szCs w:val="24"/>
        </w:rPr>
        <w:t xml:space="preserve">293 · Omologia contro analogia (serie V).</w:t>
      </w:r>
      <w:r>
        <w:rPr>
          <w:rFonts w:ascii="Barlow Semi Condensed" w:cs="Barlow Semi Condensed" w:eastAsia="Barlow Semi Condensed" w:hAnsi="Barlow Semi Condensed"/>
          <w:sz w:val="24"/>
          <w:szCs w:val="24"/>
        </w:rPr>
        <w:t xml:space="preserve"> Due strutture omologhe discendono da un antenato comune, due analoghe si somigliano perché risolvono lo stesso problema, ed è la distinzione più utile della serie e anche la più severa: la somiglianza fra la crisi portoghese del 1975 e quella italiana della stessa stagione non prova una discendenza comune. Per affermare omologia serve un documento che colleghi i due casi al piano 1; senza, resta analogia, e l'analogia non è parentela.</w:t>
      </w:r>
    </w:p>
    <w:p>
      <w:pPr>
        <w:spacing w:after="120" w:line="276"/>
        <w:jc w:val="both"/>
      </w:pPr>
      <w:r>
        <w:rPr>
          <w:rFonts w:ascii="Barlow Semi Condensed" w:cs="Barlow Semi Condensed" w:eastAsia="Barlow Semi Condensed" w:hAnsi="Barlow Semi Condensed"/>
          <w:b/>
          <w:bCs/>
          <w:sz w:val="24"/>
          <w:szCs w:val="24"/>
        </w:rPr>
        <w:t xml:space="preserve">294 · Il piano 1 come sequenziatore.</w:t>
      </w:r>
      <w:r>
        <w:rPr>
          <w:rFonts w:ascii="Barlow Semi Condensed" w:cs="Barlow Semi Condensed" w:eastAsia="Barlow Semi Condensed" w:hAnsi="Barlow Semi Condensed"/>
          <w:sz w:val="24"/>
          <w:szCs w:val="24"/>
        </w:rPr>
        <w:t xml:space="preserve"> La regola dei tre piani funziona qui come un sequenziatore: il piano 1 legge il rapporto diretto documentato, il piano 2 registra la convergenza entro la stessa cornice, il piano 3 archivia l'affermazione terziaria priva di riscontro, e nessuna lettura del piano 2 diventa nesso causale per accumulo. Il manuale investigativo lo scrive al blocco 4 sui gradi e al blocco 6 sull'anello debole, per cui il grado di un cammino è il minimo dei suoi archi.</w:t>
      </w:r>
    </w:p>
    <w:p>
      <w:pPr>
        <w:spacing w:after="120" w:line="276"/>
        <w:jc w:val="both"/>
      </w:pPr>
      <w:r>
        <w:rPr>
          <w:rFonts w:ascii="Barlow Semi Condensed" w:cs="Barlow Semi Condensed" w:eastAsia="Barlow Semi Condensed" w:hAnsi="Barlow Semi Condensed"/>
          <w:b/>
          <w:bCs/>
          <w:sz w:val="24"/>
          <w:szCs w:val="24"/>
        </w:rPr>
        <w:t xml:space="preserve">295 · Contro il determinismo genetico.</w:t>
      </w:r>
      <w:r>
        <w:rPr>
          <w:rFonts w:ascii="Barlow Semi Condensed" w:cs="Barlow Semi Condensed" w:eastAsia="Barlow Semi Condensed" w:hAnsi="Barlow Semi Condensed"/>
          <w:sz w:val="24"/>
          <w:szCs w:val="24"/>
        </w:rPr>
        <w:t xml:space="preserve"> La metafora ha un difetto pericoloso e va nominato subito, perché suggerisce che l'esito fosse scritto: non lo era, e nei teatri qui comparati agirono governi, parlamenti, elettori, eserciti, chiese e opinioni pubbliche, ciascuno con capacità di scelta. Dove un blocco di questa serie sembri dire che un ambiente doveva produrre un certo esito, quel blocco è mal scritto, perché l'ambiente spiega la variabilità osservata e non la necessità di ciò che accadde.</w:t>
      </w:r>
    </w:p>
    <w:p>
      <w:pPr>
        <w:spacing w:after="120" w:line="276"/>
        <w:jc w:val="both"/>
      </w:pPr>
      <w:r>
        <w:rPr>
          <w:rFonts w:ascii="Barlow Semi Condensed" w:cs="Barlow Semi Condensed" w:eastAsia="Barlow Semi Condensed" w:hAnsi="Barlow Semi Condensed"/>
          <w:b/>
          <w:bCs/>
          <w:sz w:val="24"/>
          <w:szCs w:val="24"/>
        </w:rPr>
        <w:t xml:space="preserve">296 · Nessuna colpa si eredita.</w:t>
      </w:r>
      <w:r>
        <w:rPr>
          <w:rFonts w:ascii="Barlow Semi Condensed" w:cs="Barlow Semi Condensed" w:eastAsia="Barlow Semi Condensed" w:hAnsi="Barlow Semi Condensed"/>
          <w:sz w:val="24"/>
          <w:szCs w:val="24"/>
        </w:rPr>
        <w:t xml:space="preserve"> Seconda deriva da fermare: la filiazione dottrinale non trasmette responsabilità, e che un funzionario appartenga a una scuola realista, che un partito discenda da un altro, che un servizio erediti prassi da un predecessore non è condotta e non è prova. Valgono la regola personalistica del manuale al blocco 5 e la disciplina delle entità al blocco 18, per cui la colpa è sempre della persona e sempre accertata da un giudice.</w:t>
      </w:r>
    </w:p>
    <w:p>
      <w:pPr>
        <w:spacing w:after="120" w:line="276"/>
        <w:jc w:val="both"/>
      </w:pPr>
      <w:r>
        <w:rPr>
          <w:rFonts w:ascii="Barlow Semi Condensed" w:cs="Barlow Semi Condensed" w:eastAsia="Barlow Semi Condensed" w:hAnsi="Barlow Semi Condensed"/>
          <w:b/>
          <w:bCs/>
          <w:sz w:val="24"/>
          <w:szCs w:val="24"/>
        </w:rPr>
        <w:t xml:space="preserve">297 · Kissinger, dato anagrafico e limite.</w:t>
      </w:r>
      <w:r>
        <w:rPr>
          <w:rFonts w:ascii="Barlow Semi Condensed" w:cs="Barlow Semi Condensed" w:eastAsia="Barlow Semi Condensed" w:hAnsi="Barlow Semi Condensed"/>
          <w:sz w:val="24"/>
          <w:szCs w:val="24"/>
        </w:rPr>
        <w:t xml:space="preserve"> Henry Alfred Kissinger, nato a Fuerth il 27 maggio 1923 e morto a Kent, nel Connecticut, il 29 novembre 2023, non è stato condannato in alcun processo, e la serie lo tratta come nodo documentale: firmatario di verbali, presidente di riunioni, autore di memorandum. Ogni volta che un blocco lo nomina, lo nomina come soggetto di atti pubblici e mai come predicato di colpe, ed è la condizione perché il confronto fra teatri resti leggibile.</w:t>
      </w:r>
    </w:p>
    <w:p>
      <w:pPr>
        <w:spacing w:after="120" w:line="276"/>
        <w:jc w:val="both"/>
      </w:pPr>
      <w:r>
        <w:rPr>
          <w:rFonts w:ascii="Barlow Semi Condensed" w:cs="Barlow Semi Condensed" w:eastAsia="Barlow Semi Condensed" w:hAnsi="Barlow Semi Condensed"/>
          <w:b/>
          <w:bCs/>
          <w:sz w:val="24"/>
          <w:szCs w:val="24"/>
        </w:rPr>
        <w:t xml:space="preserve">298 · Il DNA non codificante dei teatri.</w:t>
      </w:r>
      <w:r>
        <w:rPr>
          <w:rFonts w:ascii="Barlow Semi Condensed" w:cs="Barlow Semi Condensed" w:eastAsia="Barlow Semi Condensed" w:hAnsi="Barlow Semi Condensed"/>
          <w:sz w:val="24"/>
          <w:szCs w:val="24"/>
        </w:rPr>
        <w:t xml:space="preserve"> Gran parte di un genoma non codifica proteine e fu a lungo chiamata spazzatura prima che se ne riconoscessero funzioni regolative; l'equivalente documentale sono le carte che nessuno spoglia perché non nominano il caso, cioè registri di protocollo, ordini del giorno, liste di circolazione interna. L'agenda le prescrive al blocco 244 per i ministeri, e questa serie le prescrive per ciascun teatro, perché la regolazione sta lì e non nei documenti già celebri.</w:t>
      </w:r>
    </w:p>
    <w:p>
      <w:pPr>
        <w:spacing w:after="120" w:line="276"/>
        <w:jc w:val="both"/>
      </w:pPr>
      <w:r>
        <w:rPr>
          <w:rFonts w:ascii="Barlow Semi Condensed" w:cs="Barlow Semi Condensed" w:eastAsia="Barlow Semi Condensed" w:hAnsi="Barlow Semi Condensed"/>
          <w:b/>
          <w:bCs/>
          <w:sz w:val="24"/>
          <w:szCs w:val="24"/>
        </w:rPr>
        <w:t xml:space="preserve">299 · Epigenetica: l'ambiente che accende.</w:t>
      </w:r>
      <w:r>
        <w:rPr>
          <w:rFonts w:ascii="Barlow Semi Condensed" w:cs="Barlow Semi Condensed" w:eastAsia="Barlow Semi Condensed" w:hAnsi="Barlow Semi Condensed"/>
          <w:sz w:val="24"/>
          <w:szCs w:val="24"/>
        </w:rPr>
        <w:t xml:space="preserve"> L'epigenetica studia ciò che accende e spegne un gene senza mutarne la sequenza, e la figura serve a nominare, senza inventarli, i fattori che in ciascun teatro decisero se una preferenza politica producesse un atto: la forza dei partiti locali, la posizione nell'Alleanza, il calendario elettorale, il peso della gerarchia ecclesiastica. Nominare i fattori è lecito, dedurne che abbiano agito senza un documento non lo è.</w:t>
      </w:r>
    </w:p>
    <w:p>
      <w:pPr>
        <w:spacing w:after="120" w:line="276"/>
        <w:jc w:val="both"/>
      </w:pPr>
      <w:r>
        <w:rPr>
          <w:rFonts w:ascii="Barlow Semi Condensed" w:cs="Barlow Semi Condensed" w:eastAsia="Barlow Semi Condensed" w:hAnsi="Barlow Semi Condensed"/>
          <w:b/>
          <w:bCs/>
          <w:sz w:val="24"/>
          <w:szCs w:val="24"/>
        </w:rPr>
        <w:t xml:space="preserve">300 · La filogenesi come tavola cronologica.</w:t>
      </w:r>
      <w:r>
        <w:rPr>
          <w:rFonts w:ascii="Barlow Semi Condensed" w:cs="Barlow Semi Condensed" w:eastAsia="Barlow Semi Condensed" w:hAnsi="Barlow Semi Condensed"/>
          <w:sz w:val="24"/>
          <w:szCs w:val="24"/>
        </w:rPr>
        <w:t xml:space="preserve"> Ricostruire una filogenesi significa datare le ramificazioni, e il manuale investigativo pone la stessa regola al blocco 14: prima la tavola cronologica, poi ogni lettura. Applicata alla serie, essa comanda che ciascun teatro sia dotato di una sequenza datata prima di essere comparato con gli altri e che nessuna somiglianza venga valutata finché non si sappia quale evento precedette quale, perché la comparazione senza date è iconografia.</w:t>
      </w:r>
    </w:p>
    <w:p>
      <w:pPr>
        <w:spacing w:after="120" w:line="276"/>
        <w:jc w:val="both"/>
      </w:pPr>
      <w:r>
        <w:rPr>
          <w:rFonts w:ascii="Barlow Semi Condensed" w:cs="Barlow Semi Condensed" w:eastAsia="Barlow Semi Condensed" w:hAnsi="Barlow Semi Condensed"/>
          <w:b/>
          <w:bCs/>
          <w:sz w:val="24"/>
          <w:szCs w:val="24"/>
        </w:rPr>
        <w:t xml:space="preserve">301 · Il memorandum del 25 settembre 1974.</w:t>
      </w:r>
      <w:r>
        <w:rPr>
          <w:rFonts w:ascii="Barlow Semi Condensed" w:cs="Barlow Semi Condensed" w:eastAsia="Barlow Semi Condensed" w:hAnsi="Barlow Semi Condensed"/>
          <w:sz w:val="24"/>
          <w:szCs w:val="24"/>
        </w:rPr>
        <w:t xml:space="preserve"> Fatto pubblico e fonte primaria: il memorandum of conversation del 25 settembre 1974 nello Studio Ovale fra Giovanni Leone, Aldo Moro, Gerald Ford e Henry Kissinger, con Brent Scowcroft, conservato alla Ford Library come documento 1552802 ed edito in FRUS 1969-1976, volume E-15 parte 2, documento 350, con il verbale del giorno successivo al documento 1552806. È il documento più completo del ministero di Moro sul versante atlantico e si legge per intero, non per frammenti.</w:t>
      </w:r>
    </w:p>
    <w:p>
      <w:pPr>
        <w:spacing w:after="120" w:line="276"/>
        <w:jc w:val="both"/>
      </w:pPr>
      <w:r>
        <w:rPr>
          <w:rFonts w:ascii="Barlow Semi Condensed" w:cs="Barlow Semi Condensed" w:eastAsia="Barlow Semi Condensed" w:hAnsi="Barlow Semi Condensed"/>
          <w:b/>
          <w:bCs/>
          <w:sz w:val="24"/>
          <w:szCs w:val="24"/>
        </w:rPr>
        <w:t xml:space="preserve">302 · Che cosa il memorandum non attesta.</w:t>
      </w:r>
      <w:r>
        <w:rPr>
          <w:rFonts w:ascii="Barlow Semi Condensed" w:cs="Barlow Semi Condensed" w:eastAsia="Barlow Semi Condensed" w:hAnsi="Barlow Semi Condensed"/>
          <w:sz w:val="24"/>
          <w:szCs w:val="24"/>
        </w:rPr>
        <w:t xml:space="preserve"> Alla vigilia dell'incontro Kissinger indicò a Ford la necessità di dire agli italiani in modo duro che qualunque presenza comunista al governo avrebbe mutato le relazioni, con una valutazione sul rischio di contagio in Francia, Germania e Grecia; il documento attesta quella posizione. Non attesta una posizione di Moro sul medesimo punto in quella sede, che non va inferita, e la distinzione è del corpus e va ripetuta ogni volta.</w:t>
      </w:r>
    </w:p>
    <w:p>
      <w:pPr>
        <w:spacing w:after="120" w:line="276"/>
        <w:jc w:val="both"/>
      </w:pPr>
      <w:r>
        <w:rPr>
          <w:rFonts w:ascii="Barlow Semi Condensed" w:cs="Barlow Semi Condensed" w:eastAsia="Barlow Semi Condensed" w:hAnsi="Barlow Semi Condensed"/>
          <w:b/>
          <w:bCs/>
          <w:sz w:val="24"/>
          <w:szCs w:val="24"/>
        </w:rPr>
        <w:t xml:space="preserve">303 · Il contagio nominato è la chiave comparativa.</w:t>
      </w:r>
      <w:r>
        <w:rPr>
          <w:rFonts w:ascii="Barlow Semi Condensed" w:cs="Barlow Semi Condensed" w:eastAsia="Barlow Semi Condensed" w:hAnsi="Barlow Semi Condensed"/>
          <w:sz w:val="24"/>
          <w:szCs w:val="24"/>
        </w:rPr>
        <w:t xml:space="preserve"> Il riferimento al contagio francese, tedesco e greco è per questa serie il passaggio più prezioso, perché mostra che il quadro era pensato come sistema di teatri e non come somma di casi separati. Ma un pensiero sistemico documentato non è un piano operativo documentato, e il blocco fissa il confine e lo tiene: si è acquisita una lettura strategica dichiarata, non una direttiva verso alcun teatro.</w:t>
      </w:r>
    </w:p>
    <w:p>
      <w:pPr>
        <w:spacing w:after="120" w:line="276"/>
        <w:jc w:val="both"/>
      </w:pPr>
      <w:r>
        <w:rPr>
          <w:rFonts w:ascii="Barlow Semi Condensed" w:cs="Barlow Semi Condensed" w:eastAsia="Barlow Semi Condensed" w:hAnsi="Barlow Semi Condensed"/>
          <w:b/>
          <w:bCs/>
          <w:sz w:val="24"/>
          <w:szCs w:val="24"/>
        </w:rPr>
        <w:t xml:space="preserve">304 · L'anteriorità del Comitato dei 303.</w:t>
      </w:r>
      <w:r>
        <w:rPr>
          <w:rFonts w:ascii="Barlow Semi Condensed" w:cs="Barlow Semi Condensed" w:eastAsia="Barlow Semi Condensed" w:hAnsi="Barlow Semi Condensed"/>
          <w:sz w:val="24"/>
          <w:szCs w:val="24"/>
        </w:rPr>
        <w:t xml:space="preserve"> La riunione del Comitato dei 303 dell'11 marzo 1969, presieduta da Kissinger e verbalizzata in FRUS volume XLI documento 180, discusse origini e livelli del sostegno coperto ai partiti italiani fra il 1948 e il 1968 e concluse all'unanimità che non vi fosse reale giustificazione per riprenderlo. Cade prima dell'insediamento di Moro alla Farnesina, il 5 agosto 1969, sicché la contemporaneità è solo apparente e non va trattata come nesso.</w:t>
      </w:r>
    </w:p>
    <w:p>
      <w:pPr>
        <w:spacing w:after="120" w:line="276"/>
        <w:jc w:val="both"/>
      </w:pPr>
      <w:r>
        <w:rPr>
          <w:rFonts w:ascii="Barlow Semi Condensed" w:cs="Barlow Semi Condensed" w:eastAsia="Barlow Semi Condensed" w:hAnsi="Barlow Semi Condensed"/>
          <w:b/>
          <w:bCs/>
          <w:sz w:val="24"/>
          <w:szCs w:val="24"/>
        </w:rPr>
        <w:t xml:space="preserve">305 · L'istruzione del dicembre 1969 (serie V).</w:t>
      </w:r>
      <w:r>
        <w:rPr>
          <w:rFonts w:ascii="Barlow Semi Condensed" w:cs="Barlow Semi Condensed" w:eastAsia="Barlow Semi Condensed" w:hAnsi="Barlow Semi Condensed"/>
          <w:sz w:val="24"/>
          <w:szCs w:val="24"/>
        </w:rPr>
        <w:t xml:space="preserve"> Il documento 188 dello stesso volume registra l'istruzione di Nixon del dicembre 1969 di avviare uno studio sull'Italia, ed è atto di conoscenza e non di esecuzione: uno studio commissionato è genotipo dichiarato e va classificato così. Il quesito derivato è preciso e ha una sede, cioè reperire l'esito di quello studio nei Nixon Presidential Materials, NSC Files, Country Files Italia, ai National Archives di College Park.</w:t>
      </w:r>
    </w:p>
    <w:p>
      <w:pPr>
        <w:spacing w:after="120" w:line="276"/>
        <w:jc w:val="both"/>
      </w:pPr>
      <w:r>
        <w:rPr>
          <w:rFonts w:ascii="Barlow Semi Condensed" w:cs="Barlow Semi Condensed" w:eastAsia="Barlow Semi Condensed" w:hAnsi="Barlow Semi Condensed"/>
          <w:b/>
          <w:bCs/>
          <w:sz w:val="24"/>
          <w:szCs w:val="24"/>
        </w:rPr>
        <w:t xml:space="preserve">306 · Il riemergere del 1975 e del 1976 (serie V).</w:t>
      </w:r>
      <w:r>
        <w:rPr>
          <w:rFonts w:ascii="Barlow Semi Condensed" w:cs="Barlow Semi Condensed" w:eastAsia="Barlow Semi Condensed" w:hAnsi="Barlow Semi Condensed"/>
          <w:sz w:val="24"/>
          <w:szCs w:val="24"/>
        </w:rPr>
        <w:t xml:space="preserve"> La letteratura peer-reviewed segnala che il programma di azione coperta in Italia riemerse nel novembre 1975 e nel luglio 1976, due date che cadono quando Moro era presidente del Consiglio e non ministro degli Esteri, sicché l'attribuzione cronologica va tenuta esatta. Il blocco chiede come bersaglio il documento primario corrispondente e non la sua parafrasi, perché senza primario la segnalazione resta indicazione bibliografica.</w:t>
      </w:r>
    </w:p>
    <w:p>
      <w:pPr>
        <w:spacing w:after="120" w:line="276"/>
        <w:jc w:val="both"/>
      </w:pPr>
      <w:r>
        <w:rPr>
          <w:rFonts w:ascii="Barlow Semi Condensed" w:cs="Barlow Semi Condensed" w:eastAsia="Barlow Semi Condensed" w:hAnsi="Barlow Semi Condensed"/>
          <w:b/>
          <w:bCs/>
          <w:sz w:val="24"/>
          <w:szCs w:val="24"/>
        </w:rPr>
        <w:t xml:space="preserve">307 · Trascrizione e traduzione.</w:t>
      </w:r>
      <w:r>
        <w:rPr>
          <w:rFonts w:ascii="Barlow Semi Condensed" w:cs="Barlow Semi Condensed" w:eastAsia="Barlow Semi Condensed" w:hAnsi="Barlow Semi Condensed"/>
          <w:sz w:val="24"/>
          <w:szCs w:val="24"/>
        </w:rPr>
        <w:t xml:space="preserve"> Fra il gene e la proteina stanno due passaggi e in ciascuno l'esito può fermarsi; nella materia qui trattata i passaggi sono la decisione politica, l'istruzione operativa e l'atto eseguito, e il corpus documenta con abbondanza il primo, possiede frammenti del secondo e quasi nulla del terzo nei teatri europei. Dichiarare quale passaggio un documento attesti è il modo più rapido per non promuovere una preferenza a un'operazione.</w:t>
      </w:r>
    </w:p>
    <w:p>
      <w:pPr>
        <w:spacing w:after="120" w:line="276"/>
        <w:jc w:val="both"/>
      </w:pPr>
      <w:r>
        <w:rPr>
          <w:rFonts w:ascii="Barlow Semi Condensed" w:cs="Barlow Semi Condensed" w:eastAsia="Barlow Semi Condensed" w:hAnsi="Barlow Semi Condensed"/>
          <w:b/>
          <w:bCs/>
          <w:sz w:val="24"/>
          <w:szCs w:val="24"/>
        </w:rPr>
        <w:t xml:space="preserve">308 · Un codice non è un comando.</w:t>
      </w:r>
      <w:r>
        <w:rPr>
          <w:rFonts w:ascii="Barlow Semi Condensed" w:cs="Barlow Semi Condensed" w:eastAsia="Barlow Semi Condensed" w:hAnsi="Barlow Semi Condensed"/>
          <w:sz w:val="24"/>
          <w:szCs w:val="24"/>
        </w:rPr>
        <w:t xml:space="preserve"> La linea per cui nessun partito comunista dovesse entrare nell'area di governo di un Paese alleato è documentata come posizione, e questo è quanto il piano 1 offre in tutti i teatri qui comparati. Che essa si sia tradotta in atti ulteriori rispetto a quelli già documentati resta quesito aperto, e in nessun teatro europeo è accertata al piano 1 una catena di comando: lo Stato Zero del corpus su quel punto rimane intatto.</w:t>
      </w:r>
    </w:p>
    <w:p>
      <w:pPr>
        <w:spacing w:after="120" w:line="276"/>
        <w:jc w:val="both"/>
      </w:pPr>
      <w:r>
        <w:rPr>
          <w:rFonts w:ascii="Barlow Semi Condensed" w:cs="Barlow Semi Condensed" w:eastAsia="Barlow Semi Condensed" w:hAnsi="Barlow Semi Condensed"/>
          <w:b/>
          <w:bCs/>
          <w:sz w:val="24"/>
          <w:szCs w:val="24"/>
        </w:rPr>
        <w:t xml:space="preserve">309 · Italia, che cosa sta al piano 1.</w:t>
      </w:r>
      <w:r>
        <w:rPr>
          <w:rFonts w:ascii="Barlow Semi Condensed" w:cs="Barlow Semi Condensed" w:eastAsia="Barlow Semi Condensed" w:hAnsi="Barlow Semi Condensed"/>
          <w:sz w:val="24"/>
          <w:szCs w:val="24"/>
        </w:rPr>
        <w:t xml:space="preserve"> Per gli anni del ministero l'Italia ha al piano 1 i verbali del 25 e del 26 settembre 1974, la posizione espressa a Ford alla vigilia, il perimetro del Comitato dei 303 nel marzo 1969 e l'istruzione di studio del dicembre successivo, e tutto ciò documenta interlocuzione e valutazione ai massimi livelli. Nessuno di quegli atti contiene un'istruzione operativa verso soggetti italiani, e la lacuna va detta come parte del piano 1, non come sua ombra.</w:t>
      </w:r>
    </w:p>
    <w:p>
      <w:pPr>
        <w:spacing w:after="120" w:line="276"/>
        <w:jc w:val="both"/>
      </w:pPr>
      <w:r>
        <w:rPr>
          <w:rFonts w:ascii="Barlow Semi Condensed" w:cs="Barlow Semi Condensed" w:eastAsia="Barlow Semi Condensed" w:hAnsi="Barlow Semi Condensed"/>
          <w:b/>
          <w:bCs/>
          <w:sz w:val="24"/>
          <w:szCs w:val="24"/>
        </w:rPr>
        <w:t xml:space="preserve">310 · Italia, che cosa resta al piano 2.</w:t>
      </w:r>
      <w:r>
        <w:rPr>
          <w:rFonts w:ascii="Barlow Semi Condensed" w:cs="Barlow Semi Condensed" w:eastAsia="Barlow Semi Condensed" w:hAnsi="Barlow Semi Condensed"/>
          <w:sz w:val="24"/>
          <w:szCs w:val="24"/>
        </w:rPr>
        <w:t xml:space="preserve"> Al piano 2 stanno l'ostilità documentata di settori dell'alleanza all'ingresso dei comunisti nell'area di governo, la presenza del consulente statunitense accanto al ministro dell'Interno nel comitato di crisi del 1978 e il quadro strategico del fianco sud: elementi reali e datati che condividono una cornice. Il corpus li registra come convergenze e ne vieta la promozione, perché la prossimità di un avversario politico non è il suo mandato.</w:t>
      </w:r>
    </w:p>
    <w:p>
      <w:pPr>
        <w:spacing w:after="120" w:line="276"/>
        <w:jc w:val="both"/>
      </w:pPr>
      <w:r>
        <w:rPr>
          <w:rFonts w:ascii="Barlow Semi Condensed" w:cs="Barlow Semi Condensed" w:eastAsia="Barlow Semi Condensed" w:hAnsi="Barlow Semi Condensed"/>
          <w:b/>
          <w:bCs/>
          <w:sz w:val="24"/>
          <w:szCs w:val="24"/>
        </w:rPr>
        <w:t xml:space="preserve">311 · Lo Stato Zero italiano, per intero.</w:t>
      </w:r>
      <w:r>
        <w:rPr>
          <w:rFonts w:ascii="Barlow Semi Condensed" w:cs="Barlow Semi Condensed" w:eastAsia="Barlow Semi Condensed" w:hAnsi="Barlow Semi Condensed"/>
          <w:sz w:val="24"/>
          <w:szCs w:val="24"/>
        </w:rPr>
        <w:t xml:space="preserve"> Il perimetro negativo è dichiarato nella mappa dei gradi dell'opera: manca il documento che provi l'eterodirezione del sequestro, manca quello che leghi Kissinger-persona o qualunque apparato straniero nominato alla catena di comando del delitto, manca la prova dell'isomorfismo fra le reti anticomuniste evocate e la struttura operativa dei cinquantacinque giorni. Sono ricerche condotte e chiuse in negativo, dunque conoscenza e non silenzio.</w:t>
      </w:r>
    </w:p>
    <w:p>
      <w:pPr>
        <w:spacing w:after="120" w:line="276"/>
        <w:jc w:val="both"/>
      </w:pPr>
      <w:r>
        <w:rPr>
          <w:rFonts w:ascii="Barlow Semi Condensed" w:cs="Barlow Semi Condensed" w:eastAsia="Barlow Semi Condensed" w:hAnsi="Barlow Semi Condensed"/>
          <w:b/>
          <w:bCs/>
          <w:sz w:val="24"/>
          <w:szCs w:val="24"/>
        </w:rPr>
        <w:t xml:space="preserve">312 · L'avvertimento riferito, e il suo grado.</w:t>
      </w:r>
      <w:r>
        <w:rPr>
          <w:rFonts w:ascii="Barlow Semi Condensed" w:cs="Barlow Semi Condensed" w:eastAsia="Barlow Semi Condensed" w:hAnsi="Barlow Semi Condensed"/>
          <w:sz w:val="24"/>
          <w:szCs w:val="24"/>
        </w:rPr>
        <w:t xml:space="preserve"> Il presunto avvertimento a Moro, riferito da Corrado Guerzoni e confermato da Eleonora Chiavarelli Moro in sede parlamentare e collocato al settembre 1974, è stato sempre smentito da Kissinger: testimonianza contestata, grado B debole, mai da dare per accertata. La serie la usa solo come oggetto di quesito, e il quesito è filologico prima che storico, perché chiede quale fu la formulazione esatta riferita, in quale sede e in quale data.</w:t>
      </w:r>
    </w:p>
    <w:p>
      <w:pPr>
        <w:spacing w:after="120" w:line="276"/>
        <w:jc w:val="both"/>
      </w:pPr>
      <w:r>
        <w:rPr>
          <w:rFonts w:ascii="Barlow Semi Condensed" w:cs="Barlow Semi Condensed" w:eastAsia="Barlow Semi Condensed" w:hAnsi="Barlow Semi Condensed"/>
          <w:b/>
          <w:bCs/>
          <w:sz w:val="24"/>
          <w:szCs w:val="24"/>
        </w:rPr>
        <w:t xml:space="preserve">313 · Che cosa chiuderebbe quel nodo.</w:t>
      </w:r>
      <w:r>
        <w:rPr>
          <w:rFonts w:ascii="Barlow Semi Condensed" w:cs="Barlow Semi Condensed" w:eastAsia="Barlow Semi Condensed" w:hAnsi="Barlow Semi Condensed"/>
          <w:sz w:val="24"/>
          <w:szCs w:val="24"/>
        </w:rPr>
        <w:t xml:space="preserve"> Chiuderebbe il nodo, in un senso o nell'altro, un atto coevo: un appunto della delegazione italiana, un telespresso di ritorno dalla missione, una nota manoscritta fra le carte del ministro. Le sedi sono note e censite dai cantieri, cioè il fondo personale all'Archivio centrale dello Stato, il fondo familiare presso l'istituto privato che lo conserva e il deposito del Senato con segnatura propria: è bersaglio archivistico e non materia di dibattito.</w:t>
      </w:r>
    </w:p>
    <w:p>
      <w:pPr>
        <w:spacing w:after="120" w:line="276"/>
        <w:jc w:val="both"/>
      </w:pPr>
      <w:r>
        <w:rPr>
          <w:rFonts w:ascii="Barlow Semi Condensed" w:cs="Barlow Semi Condensed" w:eastAsia="Barlow Semi Condensed" w:hAnsi="Barlow Semi Condensed"/>
          <w:b/>
          <w:bCs/>
          <w:sz w:val="24"/>
          <w:szCs w:val="24"/>
        </w:rPr>
        <w:t xml:space="preserve">314 · Il quarto deposito delle carte di Moro.</w:t>
      </w:r>
      <w:r>
        <w:rPr>
          <w:rFonts w:ascii="Barlow Semi Condensed" w:cs="Barlow Semi Condensed" w:eastAsia="Barlow Semi Condensed" w:hAnsi="Barlow Semi Condensed"/>
          <w:sz w:val="24"/>
          <w:szCs w:val="24"/>
        </w:rPr>
        <w:t xml:space="preserve"> I cantieri distinguono ai blocchi 221, 222 e 223 tre nuclei delle carte di Moro e ne tengono la tavola al blocco 235, ma la seconda campagna della Farnesina ha accertato un quarto deposito con segnatura propria, IT-AFS-048, con unità digitalizzate che riguardano proprio il Moro ministro. Per ogni quesito di questa serie che chieda una carta italiana del periodo 1969-1974, quel deposito va interrogato per primo perché è il più vicino alla materia.</w:t>
      </w:r>
    </w:p>
    <w:p>
      <w:pPr>
        <w:spacing w:after="120" w:line="276"/>
        <w:jc w:val="both"/>
      </w:pPr>
      <w:r>
        <w:rPr>
          <w:rFonts w:ascii="Barlow Semi Condensed" w:cs="Barlow Semi Condensed" w:eastAsia="Barlow Semi Condensed" w:hAnsi="Barlow Semi Condensed"/>
          <w:b/>
          <w:bCs/>
          <w:sz w:val="24"/>
          <w:szCs w:val="24"/>
        </w:rPr>
        <w:t xml:space="preserve">315 · Il limite reale della Farnesina.</w:t>
      </w:r>
      <w:r>
        <w:rPr>
          <w:rFonts w:ascii="Barlow Semi Condensed" w:cs="Barlow Semi Condensed" w:eastAsia="Barlow Semi Condensed" w:hAnsi="Barlow Semi Condensed"/>
          <w:sz w:val="24"/>
          <w:szCs w:val="24"/>
        </w:rPr>
        <w:t xml:space="preserve"> I cantieri ai blocchi 55 e 78 e l'agenda al blocco 244 trattano l'Archivio storico-diplomatico come sede aperta, ma la correzione imposta dalla seconda campagna va recepita in ogni blocco: i fondi ministeriali degli anni in esame non risultavano consultabili, la disponibilità dei faldoni dal 1949 va verificata caso per caso e resta l'esclusione temporanea dei Telegrammi 1942-1970. Il costo del bersaglio cambia, e va rivisto prima di pianificare.</w:t>
      </w:r>
    </w:p>
    <w:p>
      <w:pPr>
        <w:spacing w:after="120" w:line="276"/>
        <w:jc w:val="both"/>
      </w:pPr>
      <w:r>
        <w:rPr>
          <w:rFonts w:ascii="Barlow Semi Condensed" w:cs="Barlow Semi Condensed" w:eastAsia="Barlow Semi Condensed" w:hAnsi="Barlow Semi Condensed"/>
          <w:b/>
          <w:bCs/>
          <w:sz w:val="24"/>
          <w:szCs w:val="24"/>
        </w:rPr>
        <w:t xml:space="preserve">316 · Il buco parlamentare del ministero.</w:t>
      </w:r>
      <w:r>
        <w:rPr>
          <w:rFonts w:ascii="Barlow Semi Condensed" w:cs="Barlow Semi Condensed" w:eastAsia="Barlow Semi Condensed" w:hAnsi="Barlow Semi Condensed"/>
          <w:sz w:val="24"/>
          <w:szCs w:val="24"/>
        </w:rPr>
        <w:t xml:space="preserve"> Le banche dati del sindacato ispettivo coprono dalla settima legislatura, cioè dal 5 luglio 1976, sicché l'intero arco del ministero di Moro sopravvive come resoconti stenografici non ricercabili a testo pieno. Per ciascun teatro di questa serie la domanda su che cosa Moro disse in aula non è oggi chiudibile in rete: si chiude con lo spoglio manuale dei volumi a stampa, e va messa a bilancio come tale.</w:t>
      </w:r>
    </w:p>
    <w:p>
      <w:pPr>
        <w:spacing w:after="120" w:line="276"/>
        <w:jc w:val="both"/>
      </w:pPr>
      <w:r>
        <w:rPr>
          <w:rFonts w:ascii="Barlow Semi Condensed" w:cs="Barlow Semi Condensed" w:eastAsia="Barlow Semi Condensed" w:hAnsi="Barlow Semi Condensed"/>
          <w:b/>
          <w:bCs/>
          <w:sz w:val="24"/>
          <w:szCs w:val="24"/>
        </w:rPr>
        <w:t xml:space="preserve">317 · Le due cronologie del mandato.</w:t>
      </w:r>
      <w:r>
        <w:rPr>
          <w:rFonts w:ascii="Barlow Semi Condensed" w:cs="Barlow Semi Condensed" w:eastAsia="Barlow Semi Condensed" w:hAnsi="Barlow Semi Condensed"/>
          <w:sz w:val="24"/>
          <w:szCs w:val="24"/>
        </w:rPr>
        <w:t xml:space="preserve"> Le fonti divergono sulle date esatte dei due mandati, indicando il 5 o il 6 agosto 1969 per l'inizio, il 7 o l'8 luglio 1973 per la ripresa, il 23 o il 26 novembre 1974 per la fine, e la divergenza si riporta senza sceglierla in silenzio. È chiusa invece la fine del primo mandato, fissata al 26 giugno 1972 col giuramento del secondo governo Andreotti e il passaggio della Farnesina a Giuseppe Medici.</w:t>
      </w:r>
    </w:p>
    <w:p>
      <w:pPr>
        <w:spacing w:after="120" w:line="276"/>
        <w:jc w:val="both"/>
      </w:pPr>
      <w:r>
        <w:rPr>
          <w:rFonts w:ascii="Barlow Semi Condensed" w:cs="Barlow Semi Condensed" w:eastAsia="Barlow Semi Condensed" w:hAnsi="Barlow Semi Condensed"/>
          <w:b/>
          <w:bCs/>
          <w:sz w:val="24"/>
          <w:szCs w:val="24"/>
        </w:rPr>
        <w:t xml:space="preserve">318 · Il fenotipo italiano è la mediazione.</w:t>
      </w:r>
      <w:r>
        <w:rPr>
          <w:rFonts w:ascii="Barlow Semi Condensed" w:cs="Barlow Semi Condensed" w:eastAsia="Barlow Semi Condensed" w:hAnsi="Barlow Semi Condensed"/>
          <w:sz w:val="24"/>
          <w:szCs w:val="24"/>
        </w:rPr>
        <w:t xml:space="preserve"> Ciò che in Italia si vede — la strategia dell'attenzione, l'allargamento per gradi della base democratica, la solidarietà nazionale — è un fenotipo con una storia propria, radicata nella cultura del cattolicesimo democratico e nel lavoro costituente. Leggerlo come reazione a una pressione esterna è errore di prospettiva, perché precede quella pressione e ha cause interne documentate: l'ambiente internazionale ne modula il costo, non ne genera la forma.</w:t>
      </w:r>
    </w:p>
    <w:p>
      <w:pPr>
        <w:spacing w:after="120" w:line="276"/>
        <w:jc w:val="both"/>
      </w:pPr>
      <w:r>
        <w:rPr>
          <w:rFonts w:ascii="Barlow Semi Condensed" w:cs="Barlow Semi Condensed" w:eastAsia="Barlow Semi Condensed" w:hAnsi="Barlow Semi Condensed"/>
          <w:b/>
          <w:bCs/>
          <w:sz w:val="24"/>
          <w:szCs w:val="24"/>
        </w:rPr>
        <w:t xml:space="preserve">319 · La lettura ACH del quadro internazionale.</w:t>
      </w:r>
      <w:r>
        <w:rPr>
          <w:rFonts w:ascii="Barlow Semi Condensed" w:cs="Barlow Semi Condensed" w:eastAsia="Barlow Semi Condensed" w:hAnsi="Barlow Semi Condensed"/>
          <w:sz w:val="24"/>
          <w:szCs w:val="24"/>
        </w:rPr>
        <w:t xml:space="preserve"> Il quesito impersonale si scrive come matrice: ipotesi di ostilità politica senza atti operativi, ipotesi di atti operativi non documentati, ipotesi di indifferenza, e l'evidenza che discriminerebbe è nominabile, cioè un'istruzione datata verso un soggetto italiano con il suo protocollo. Non è stata trovata, e finché non emerge la preferenza fra le ipotesi è gusto e non analisi: è l'uso lecito dello strumento di Heuer.</w:t>
      </w:r>
    </w:p>
    <w:p>
      <w:pPr>
        <w:spacing w:after="120" w:line="276"/>
        <w:jc w:val="both"/>
      </w:pPr>
      <w:r>
        <w:rPr>
          <w:rFonts w:ascii="Barlow Semi Condensed" w:cs="Barlow Semi Condensed" w:eastAsia="Barlow Semi Condensed" w:hAnsi="Barlow Semi Condensed"/>
          <w:b/>
          <w:bCs/>
          <w:sz w:val="24"/>
          <w:szCs w:val="24"/>
        </w:rPr>
        <w:t xml:space="preserve">320 · Il divieto scritto nell'agenda.</w:t>
      </w:r>
      <w:r>
        <w:rPr>
          <w:rFonts w:ascii="Barlow Semi Condensed" w:cs="Barlow Semi Condensed" w:eastAsia="Barlow Semi Condensed" w:hAnsi="Barlow Semi Condensed"/>
          <w:sz w:val="24"/>
          <w:szCs w:val="24"/>
        </w:rPr>
        <w:t xml:space="preserve"> L'agenda di ricerca fissa al blocco 221 la regola contro la pista internazionale forte, per cui a ogni versione che ponga una regia estera si oppone la ricerca del documento primario che la sosterrebbe e si dichiara Stato Zero dove non c'è. La serie V la applica teatro per teatro, identica per l'Italia e per ciascuno degli altri sei ambienti comparati: senza primario, niente pista.</w:t>
      </w:r>
    </w:p>
    <w:p>
      <w:pPr>
        <w:spacing w:after="120" w:line="276"/>
        <w:jc w:val="both"/>
      </w:pPr>
      <w:r>
        <w:rPr>
          <w:rFonts w:ascii="Barlow Semi Condensed" w:cs="Barlow Semi Condensed" w:eastAsia="Barlow Semi Condensed" w:hAnsi="Barlow Semi Condensed"/>
          <w:b/>
          <w:bCs/>
          <w:sz w:val="24"/>
          <w:szCs w:val="24"/>
        </w:rPr>
        <w:t xml:space="preserve">321 · Gli occhi degli alleati, come giacimento.</w:t>
      </w:r>
      <w:r>
        <w:rPr>
          <w:rFonts w:ascii="Barlow Semi Condensed" w:cs="Barlow Semi Condensed" w:eastAsia="Barlow Semi Condensed" w:hAnsi="Barlow Semi Condensed"/>
          <w:sz w:val="24"/>
          <w:szCs w:val="24"/>
        </w:rPr>
        <w:t xml:space="preserve"> Il quesito 12 dell'agenda e i blocchi 24 e 98 dei cantieri chiedono che cosa gli alleati videro e scrissero, e questa serie estende quel giacimento all'indietro, dai cinquantacinque giorni del 1978 agli anni del ministero. Le colonne britannica, francese e tedesca esistono già nei cantieri, e la serie chiede che sotto ciascuna venga aperta una riga per ogni teatro mediterraneo qui comparato.</w:t>
      </w:r>
    </w:p>
    <w:p>
      <w:pPr>
        <w:spacing w:after="120" w:line="276"/>
        <w:jc w:val="both"/>
      </w:pPr>
      <w:r>
        <w:rPr>
          <w:rFonts w:ascii="Barlow Semi Condensed" w:cs="Barlow Semi Condensed" w:eastAsia="Barlow Semi Condensed" w:hAnsi="Barlow Semi Condensed"/>
          <w:b/>
          <w:bCs/>
          <w:sz w:val="24"/>
          <w:szCs w:val="24"/>
        </w:rPr>
        <w:t xml:space="preserve">322 · Il vuoto italiano scoperto per ultimo.</w:t>
      </w:r>
      <w:r>
        <w:rPr>
          <w:rFonts w:ascii="Barlow Semi Condensed" w:cs="Barlow Semi Condensed" w:eastAsia="Barlow Semi Condensed" w:hAnsi="Barlow Semi Condensed"/>
          <w:sz w:val="24"/>
          <w:szCs w:val="24"/>
        </w:rPr>
        <w:t xml:space="preserve"> La seconda campagna ha scoperto uno Stato Zero condiviso e fin qui non dichiarato, cioè zero occorrenze, tanto nei tre documenti maggiori del corpus quanto nelle tre ricognizioni nuove, del nome del capocentro del servizio a Beirut e della strage di Fiumicino del 17 dicembre 1973. Va verbalizzato col perimetro esatto prescritto dall'agenda ai blocchi 233 e 285, perché il buco misurato è conoscenza e il buco narrato non lo è.</w:t>
      </w:r>
    </w:p>
    <w:p>
      <w:pPr>
        <w:spacing w:after="120" w:line="276"/>
        <w:jc w:val="both"/>
      </w:pPr>
      <w:r>
        <w:rPr>
          <w:rFonts w:ascii="Barlow Semi Condensed" w:cs="Barlow Semi Condensed" w:eastAsia="Barlow Semi Condensed" w:hAnsi="Barlow Semi Condensed"/>
          <w:b/>
          <w:bCs/>
          <w:sz w:val="24"/>
          <w:szCs w:val="24"/>
        </w:rPr>
        <w:t xml:space="preserve">323 · Portogallo, il codice e l'ambiente.</w:t>
      </w:r>
      <w:r>
        <w:rPr>
          <w:rFonts w:ascii="Barlow Semi Condensed" w:cs="Barlow Semi Condensed" w:eastAsia="Barlow Semi Condensed" w:hAnsi="Barlow Semi Condensed"/>
          <w:sz w:val="24"/>
          <w:szCs w:val="24"/>
        </w:rPr>
        <w:t xml:space="preserve"> Il teatro portoghese offre il contrasto più netto della serie, perché alla stessa preoccupazione dichiarata corrisponde un ambiente radicalmente diverso: un regime autoritario che cade dall'interno per mano dei propri ufficiali, un impero coloniale in dissoluzione, un movimento militare senza equivalenti italiani. L'espressione differenziale si osserva qui meglio che altrove, e proprio per questo il blocco avverte che osservare la differenza non autorizza a dedurre l'identità della causa.</w:t>
      </w:r>
    </w:p>
    <w:p>
      <w:pPr>
        <w:spacing w:after="120" w:line="276"/>
        <w:jc w:val="both"/>
      </w:pPr>
      <w:r>
        <w:rPr>
          <w:rFonts w:ascii="Barlow Semi Condensed" w:cs="Barlow Semi Condensed" w:eastAsia="Barlow Semi Condensed" w:hAnsi="Barlow Semi Condensed"/>
          <w:b/>
          <w:bCs/>
          <w:sz w:val="24"/>
          <w:szCs w:val="24"/>
        </w:rPr>
        <w:t xml:space="preserve">324 · Lisbona, piano 1: le Azzorre.</w:t>
      </w:r>
      <w:r>
        <w:rPr>
          <w:rFonts w:ascii="Barlow Semi Condensed" w:cs="Barlow Semi Condensed" w:eastAsia="Barlow Semi Condensed" w:hAnsi="Barlow Semi Condensed"/>
          <w:sz w:val="24"/>
          <w:szCs w:val="24"/>
        </w:rPr>
        <w:t xml:space="preserve"> Fonte primaria del teatro è il memorandum del 19 giugno 1974 sull'incontro delle Azzorre fra Nixon e Spínola, che registra la richiesta portoghese di assistenza per contrastare mosse comuniste ed evitare l'impianto di un'altra Cuba nella penisola iberica, edito in FRUS 1969-1976 volume E-15 parte 2 documento 133. È documento di piano 1 per il rapporto fra Washington e Lisbona, e non è documento di piano 1 per alcun rapporto italiano con quella vicenda.</w:t>
      </w:r>
    </w:p>
    <w:p>
      <w:pPr>
        <w:spacing w:after="120" w:line="276"/>
        <w:jc w:val="both"/>
      </w:pPr>
      <w:r>
        <w:rPr>
          <w:rFonts w:ascii="Barlow Semi Condensed" w:cs="Barlow Semi Condensed" w:eastAsia="Barlow Semi Condensed" w:hAnsi="Barlow Semi Condensed"/>
          <w:b/>
          <w:bCs/>
          <w:sz w:val="24"/>
          <w:szCs w:val="24"/>
        </w:rPr>
        <w:t xml:space="preserve">325 · Il regime neutralista temuto.</w:t>
      </w:r>
      <w:r>
        <w:rPr>
          <w:rFonts w:ascii="Barlow Semi Condensed" w:cs="Barlow Semi Condensed" w:eastAsia="Barlow Semi Condensed" w:hAnsi="Barlow Semi Condensed"/>
          <w:sz w:val="24"/>
          <w:szCs w:val="24"/>
        </w:rPr>
        <w:t xml:space="preserve"> Nella stessa raccolta è attestata la preoccupazione per un esito che non fosse una presa del potere comunista ma un regime neutralista di sinistra destinato a restare dentro la NATO, e la formula è preziosa perché mostra che l'oggetto del timore era la collocazione internazionale e non l'etichetta ideologica. È il genotipo dichiarato del teatro portoghese; il fenotipo del 1974 e del 1975 fu prodotto in Portogallo e da portoghesi.</w:t>
      </w:r>
    </w:p>
    <w:p>
      <w:pPr>
        <w:spacing w:after="120" w:line="276"/>
        <w:jc w:val="both"/>
      </w:pPr>
      <w:r>
        <w:rPr>
          <w:rFonts w:ascii="Barlow Semi Condensed" w:cs="Barlow Semi Condensed" w:eastAsia="Barlow Semi Condensed" w:hAnsi="Barlow Semi Condensed"/>
          <w:b/>
          <w:bCs/>
          <w:sz w:val="24"/>
          <w:szCs w:val="24"/>
        </w:rPr>
        <w:t xml:space="preserve">326 · Portogallo, che cosa il corpus non ha.</w:t>
      </w:r>
      <w:r>
        <w:rPr>
          <w:rFonts w:ascii="Barlow Semi Condensed" w:cs="Barlow Semi Condensed" w:eastAsia="Barlow Semi Condensed" w:hAnsi="Barlow Semi Condensed"/>
          <w:sz w:val="24"/>
          <w:szCs w:val="24"/>
        </w:rPr>
        <w:t xml:space="preserve"> La ricognizione dedicata dichiara che non è stato reperito alcun documento diplomatico che colleghi direttamente Moro alla situazione portoghese anteriore alla rivoluzione, né iniziative morotee verso il Portogallo di Caetano, ed è esito negativo di pieno valore. La sede di chiusura è indicata con precisione, cioè l'Archivio storico-diplomatico della Farnesina, serie Portogallo 1969-1974, insieme alle carte Moro: la ricerca resta interamente da condurre in sala.</w:t>
      </w:r>
    </w:p>
    <w:p>
      <w:pPr>
        <w:spacing w:after="120" w:line="276"/>
        <w:jc w:val="both"/>
      </w:pPr>
      <w:r>
        <w:rPr>
          <w:rFonts w:ascii="Barlow Semi Condensed" w:cs="Barlow Semi Condensed" w:eastAsia="Barlow Semi Condensed" w:hAnsi="Barlow Semi Condensed"/>
          <w:b/>
          <w:bCs/>
          <w:sz w:val="24"/>
          <w:szCs w:val="24"/>
        </w:rPr>
        <w:t xml:space="preserve">327 · Il riconoscimento del nuovo Portogallo.</w:t>
      </w:r>
      <w:r>
        <w:rPr>
          <w:rFonts w:ascii="Barlow Semi Condensed" w:cs="Barlow Semi Condensed" w:eastAsia="Barlow Semi Condensed" w:hAnsi="Barlow Semi Condensed"/>
          <w:sz w:val="24"/>
          <w:szCs w:val="24"/>
        </w:rPr>
        <w:t xml:space="preserve"> Il riconoscimento italiano del governo uscito dal 25 aprile 1974 avvenne sotto il governo Rumor V, con Moro agli Esteri fino al 23 novembre, ma le fonti non consentono di attribuirgli una posizione personale distinta: l'atto va ascritto al governo nel suo complesso. Il portale ufficiale portoghese che ne conserva la serie italiana ha l'accesso automatizzato bloccato e va consultato manualmente o in sede, e nessuna fonte primaria italiana è stata reperita in rete.</w:t>
      </w:r>
    </w:p>
    <w:p>
      <w:pPr>
        <w:spacing w:after="120" w:line="276"/>
        <w:jc w:val="both"/>
      </w:pPr>
      <w:r>
        <w:rPr>
          <w:rFonts w:ascii="Barlow Semi Condensed" w:cs="Barlow Semi Condensed" w:eastAsia="Barlow Semi Condensed" w:hAnsi="Barlow Semi Condensed"/>
          <w:b/>
          <w:bCs/>
          <w:sz w:val="24"/>
          <w:szCs w:val="24"/>
        </w:rPr>
        <w:t xml:space="preserve">328 · I quattro giacimenti portoghesi.</w:t>
      </w:r>
      <w:r>
        <w:rPr>
          <w:rFonts w:ascii="Barlow Semi Condensed" w:cs="Barlow Semi Condensed" w:eastAsia="Barlow Semi Condensed" w:hAnsi="Barlow Semi Condensed"/>
          <w:sz w:val="24"/>
          <w:szCs w:val="24"/>
        </w:rPr>
        <w:t xml:space="preserve"> Le sedi che chiuderebbero il teatro sono censite: il portale del ministero degli Esteri portoghese con la sua serie italiana, l'Arquivo Nacional da Torre do Tombo, il Centro de Documentação 25 de Abril di Coimbra e la Fundação Mário Soares. I cantieri non avevano colonna portoghese e questa serie la apre come bersaglio con costo dichiarato, con l'avvertenza che almeno una delle sedi va visitata di persona.</w:t>
      </w:r>
    </w:p>
    <w:p>
      <w:pPr>
        <w:spacing w:after="120" w:line="276"/>
        <w:jc w:val="both"/>
      </w:pPr>
      <w:r>
        <w:rPr>
          <w:rFonts w:ascii="Barlow Semi Condensed" w:cs="Barlow Semi Condensed" w:eastAsia="Barlow Semi Condensed" w:hAnsi="Barlow Semi Condensed"/>
          <w:b/>
          <w:bCs/>
          <w:sz w:val="24"/>
          <w:szCs w:val="24"/>
        </w:rPr>
        <w:t xml:space="preserve">329 · L'espulsione dell'aprile 1974.</w:t>
      </w:r>
      <w:r>
        <w:rPr>
          <w:rFonts w:ascii="Barlow Semi Condensed" w:cs="Barlow Semi Condensed" w:eastAsia="Barlow Semi Condensed" w:hAnsi="Barlow Semi Condensed"/>
          <w:sz w:val="24"/>
          <w:szCs w:val="24"/>
        </w:rPr>
        <w:t xml:space="preserve"> Undici giorni prima della rivoluzione le autorità portoghesi espulsero il vescovo di Nampula e i missionari comboniani per ritorsione contro il documento «Imperativo de Consciência» del 12 febbraio 1974, con la data che oscilla fra il 10 e il 14 aprile secondo le fonti e il numero fra undici e tredici, riconciliato in undici da Nampula più due da Tete. Le divergenze si riportano, e gli espulsi sono destinatari di un provvedimento e non responsabili di alcunché.</w:t>
      </w:r>
    </w:p>
    <w:p>
      <w:pPr>
        <w:spacing w:after="120" w:line="276"/>
        <w:jc w:val="both"/>
      </w:pPr>
      <w:r>
        <w:rPr>
          <w:rFonts w:ascii="Barlow Semi Condensed" w:cs="Barlow Semi Condensed" w:eastAsia="Barlow Semi Condensed" w:hAnsi="Barlow Semi Condensed"/>
          <w:b/>
          <w:bCs/>
          <w:sz w:val="24"/>
          <w:szCs w:val="24"/>
        </w:rPr>
        <w:t xml:space="preserve">330 · Nessun atto italiano sull'espulsione.</w:t>
      </w:r>
      <w:r>
        <w:rPr>
          <w:rFonts w:ascii="Barlow Semi Condensed" w:cs="Barlow Semi Condensed" w:eastAsia="Barlow Semi Condensed" w:hAnsi="Barlow Semi Condensed"/>
          <w:sz w:val="24"/>
          <w:szCs w:val="24"/>
        </w:rPr>
        <w:t xml:space="preserve"> Su quell'espulsione il corpus registra uno Stato Zero, perché nessun atto italiano è stato reperito e nessuna testimonianza comboniana ne reca traccia, mentre il motore anticoloniale italiano stava nella società civile — il gemellaggio ospedaliero di Reggio Emilia del 1970, la conferenza nazionale del marzo 1973 — e non nel governo. La sede di chiusura è duplice, cioè la Farnesina e l'archivio comboniano di Roma con le annate della sua rivista.</w:t>
      </w:r>
    </w:p>
    <w:p>
      <w:pPr>
        <w:spacing w:after="120" w:line="276"/>
        <w:jc w:val="both"/>
      </w:pPr>
      <w:r>
        <w:rPr>
          <w:rFonts w:ascii="Barlow Semi Condensed" w:cs="Barlow Semi Condensed" w:eastAsia="Barlow Semi Condensed" w:hAnsi="Barlow Semi Condensed"/>
          <w:b/>
          <w:bCs/>
          <w:sz w:val="24"/>
          <w:szCs w:val="24"/>
        </w:rPr>
        <w:t xml:space="preserve">331 · La conferenza romana del giugno 1970.</w:t>
      </w:r>
      <w:r>
        <w:rPr>
          <w:rFonts w:ascii="Barlow Semi Condensed" w:cs="Barlow Semi Condensed" w:eastAsia="Barlow Semi Condensed" w:hAnsi="Barlow Semi Condensed"/>
          <w:sz w:val="24"/>
          <w:szCs w:val="24"/>
        </w:rPr>
        <w:t xml:space="preserve"> Fra il 27 e il 29 giugno 1970 si tenne a Roma la conferenza internazionale di solidarietà con i popoli delle colonie portoghesi, con centosettantasette organizzazioni in rappresentanza di sessantaquattro Paesi, promossa dalla sinistra e dal movimento anticolonialista e priva tanto di patrocinio quanto di obiezione da parte del governo italiano. L'assenza di posizione è essa stessa il dato, e va cercata nei protocolli della Farnesina prima di essere interpretata come scelta.</w:t>
      </w:r>
    </w:p>
    <w:p>
      <w:pPr>
        <w:spacing w:after="120" w:line="276"/>
        <w:jc w:val="both"/>
      </w:pPr>
      <w:r>
        <w:rPr>
          <w:rFonts w:ascii="Barlow Semi Condensed" w:cs="Barlow Semi Condensed" w:eastAsia="Barlow Semi Condensed" w:hAnsi="Barlow Semi Condensed"/>
          <w:b/>
          <w:bCs/>
          <w:sz w:val="24"/>
          <w:szCs w:val="24"/>
        </w:rPr>
        <w:t xml:space="preserve">332 · L'udienza del primo luglio 1970.</w:t>
      </w:r>
      <w:r>
        <w:rPr>
          <w:rFonts w:ascii="Barlow Semi Condensed" w:cs="Barlow Semi Condensed" w:eastAsia="Barlow Semi Condensed" w:hAnsi="Barlow Semi Condensed"/>
          <w:sz w:val="24"/>
          <w:szCs w:val="24"/>
        </w:rPr>
        <w:t xml:space="preserve"> Il giorno successivo Paolo VI ricevette in forma privata i tre leader dei movimenti di liberazione, e ne seguirono un incidente diplomatico e il richiamo dell'ambasciatore portoghese presso la Santa Sede: atto pontificio a impatto diplomatico diretto, distinto dal magistero generale. Per questa serie vale come dimostrazione che nello stesso ambiente un attore non statale produsse l'effetto che il canale governativo italiano non produsse.</w:t>
      </w:r>
    </w:p>
    <w:p>
      <w:pPr>
        <w:spacing w:after="120" w:line="276"/>
        <w:jc w:val="both"/>
      </w:pPr>
      <w:r>
        <w:rPr>
          <w:rFonts w:ascii="Barlow Semi Condensed" w:cs="Barlow Semi Condensed" w:eastAsia="Barlow Semi Condensed" w:hAnsi="Barlow Semi Condensed"/>
          <w:b/>
          <w:bCs/>
          <w:sz w:val="24"/>
          <w:szCs w:val="24"/>
        </w:rPr>
        <w:t xml:space="preserve">333 · Wiriyamu e la forbice delle vittime.</w:t>
      </w:r>
      <w:r>
        <w:rPr>
          <w:rFonts w:ascii="Barlow Semi Condensed" w:cs="Barlow Semi Condensed" w:eastAsia="Barlow Semi Condensed" w:hAnsi="Barlow Semi Condensed"/>
          <w:sz w:val="24"/>
          <w:szCs w:val="24"/>
        </w:rPr>
        <w:t xml:space="preserve"> Il massacro del 16 dicembre 1972 è confermato, con la denuncia missionaria e l'articolo in prima pagina del «Times» del 10 luglio 1973, uscito pochi giorni prima della visita ufficiale del primo ministro portoghese a Londra. La stima delle vittime diverge realmente fra le fonti — circa centocinquanta, circa trecento, trecentottantacinque nominativi accertati, vicino a quattrocento nella ricostruzione accademica — e la forbice si riporta come divergenza, non come incertezza del corpus.</w:t>
      </w:r>
    </w:p>
    <w:p>
      <w:pPr>
        <w:spacing w:after="120" w:line="276"/>
        <w:jc w:val="both"/>
      </w:pPr>
      <w:r>
        <w:rPr>
          <w:rFonts w:ascii="Barlow Semi Condensed" w:cs="Barlow Semi Condensed" w:eastAsia="Barlow Semi Condensed" w:hAnsi="Barlow Semi Condensed"/>
          <w:b/>
          <w:bCs/>
          <w:sz w:val="24"/>
          <w:szCs w:val="24"/>
        </w:rPr>
        <w:t xml:space="preserve">334 · L'ente confessionale sorvegliato.</w:t>
      </w:r>
      <w:r>
        <w:rPr>
          <w:rFonts w:ascii="Barlow Semi Condensed" w:cs="Barlow Semi Condensed" w:eastAsia="Barlow Semi Condensed" w:hAnsi="Barlow Semi Condensed"/>
          <w:sz w:val="24"/>
          <w:szCs w:val="24"/>
        </w:rPr>
        <w:t xml:space="preserve"> In Portogallo l'ente confessionale studiato dalla cartella è presente dal 1945 senza ruolo tecnocratico di governo e anzi sorvegliato dalla polizia politica, che ne sospettò legami e non li provò mai: è il caso che smonta l'equazione corrente fra ente e regime. I fascicoli originali — la nota del 1961 e i rapporti del 1963 e del 1964 — vanno letti alla Torre do Tombo, per distinguere il testo primario dalla parafrasi giornalistica.</w:t>
      </w:r>
    </w:p>
    <w:p>
      <w:pPr>
        <w:spacing w:after="120" w:line="276"/>
        <w:jc w:val="both"/>
      </w:pPr>
      <w:r>
        <w:rPr>
          <w:rFonts w:ascii="Barlow Semi Condensed" w:cs="Barlow Semi Condensed" w:eastAsia="Barlow Semi Condensed" w:hAnsi="Barlow Semi Condensed"/>
          <w:b/>
          <w:bCs/>
          <w:sz w:val="24"/>
          <w:szCs w:val="24"/>
        </w:rPr>
        <w:t xml:space="preserve">335 · Lo Stato Zero che resta tale.</w:t>
      </w:r>
      <w:r>
        <w:rPr>
          <w:rFonts w:ascii="Barlow Semi Condensed" w:cs="Barlow Semi Condensed" w:eastAsia="Barlow Semi Condensed" w:hAnsi="Barlow Semi Condensed"/>
          <w:sz w:val="24"/>
          <w:szCs w:val="24"/>
        </w:rPr>
        <w:t xml:space="preserve"> La ricognizione portoghese dichiara Stato Zero su un dossier ricorrente nella pubblicistica delle reti clandestine, non avendo reperito fonti primarie né studi peer-reviewed che ne documentino un ruolo, e qualifica come non sostenuta la tesi circolante. La verifica meccanica mostra che quel termine non compare in alcun documento del branch: silenzio totale del corpus contro Stato Zero dichiarato, due stati compatibili che restano entrambi aperti.</w:t>
      </w:r>
    </w:p>
    <w:p>
      <w:pPr>
        <w:spacing w:after="120" w:line="276"/>
        <w:jc w:val="both"/>
      </w:pPr>
      <w:r>
        <w:rPr>
          <w:rFonts w:ascii="Barlow Semi Condensed" w:cs="Barlow Semi Condensed" w:eastAsia="Barlow Semi Condensed" w:hAnsi="Barlow Semi Condensed"/>
          <w:b/>
          <w:bCs/>
          <w:sz w:val="24"/>
          <w:szCs w:val="24"/>
        </w:rPr>
        <w:t xml:space="preserve">336 · Grecia, il braccio documentato.</w:t>
      </w:r>
      <w:r>
        <w:rPr>
          <w:rFonts w:ascii="Barlow Semi Condensed" w:cs="Barlow Semi Condensed" w:eastAsia="Barlow Semi Condensed" w:hAnsi="Barlow Semi Condensed"/>
          <w:sz w:val="24"/>
          <w:szCs w:val="24"/>
        </w:rPr>
        <w:t xml:space="preserve"> Il rapporto fra Moro e la Grecia ha un piano 1 consistente: la seduta del dicembre 1969 al Consiglio d'Europa, l'inclusione dell'Italia fra gli alleati consultati sul ritiro greco dalla NATO nell'agosto 1974, la firma dell'Atto finale di Helsinki nel 1975. Tre atti datati e di natura diversa, che però non compongono una politica greca dell'Italia finché non se ne conosca il contenuto istruttorio, ed è precisamente il salto da evitare.</w:t>
      </w:r>
    </w:p>
    <w:p>
      <w:pPr>
        <w:spacing w:after="120" w:line="276"/>
        <w:jc w:val="both"/>
      </w:pPr>
      <w:r>
        <w:rPr>
          <w:rFonts w:ascii="Barlow Semi Condensed" w:cs="Barlow Semi Condensed" w:eastAsia="Barlow Semi Condensed" w:hAnsi="Barlow Semi Condensed"/>
          <w:b/>
          <w:bCs/>
          <w:sz w:val="24"/>
          <w:szCs w:val="24"/>
        </w:rPr>
        <w:t xml:space="preserve">337 · Il 12 dicembre 1969, con esattezza.</w:t>
      </w:r>
      <w:r>
        <w:rPr>
          <w:rFonts w:ascii="Barlow Semi Condensed" w:cs="Barlow Semi Condensed" w:eastAsia="Barlow Semi Condensed" w:hAnsi="Barlow Semi Condensed"/>
          <w:sz w:val="24"/>
          <w:szCs w:val="24"/>
        </w:rPr>
        <w:t xml:space="preserve"> Fonte primaria dirimente è la Risoluzione (69) 51 del Comitato dei Ministri, adottata il 12 dicembre 1969, con la successiva (70) 34 che registra la notifica greca di ritiro con effetto al 31 dicembre 1970; il FRUS volume XXIX documento 264 attesta che la Grecia si ritirò dopo che una maggioranza si era schierata a sostegno di una risoluzione tedesca. Moro presiedeva l'organo che stava per deliberare, ed è quanto le fonti attestano.</w:t>
      </w:r>
    </w:p>
    <w:p>
      <w:pPr>
        <w:spacing w:after="120" w:line="276"/>
        <w:jc w:val="both"/>
      </w:pPr>
      <w:r>
        <w:rPr>
          <w:rFonts w:ascii="Barlow Semi Condensed" w:cs="Barlow Semi Condensed" w:eastAsia="Barlow Semi Condensed" w:hAnsi="Barlow Semi Condensed"/>
          <w:b/>
          <w:bCs/>
          <w:sz w:val="24"/>
          <w:szCs w:val="24"/>
        </w:rPr>
        <w:t xml:space="preserve">338 · Espulsione decretata: formula pubblicistica.</w:t>
      </w:r>
      <w:r>
        <w:rPr>
          <w:rFonts w:ascii="Barlow Semi Condensed" w:cs="Barlow Semi Condensed" w:eastAsia="Barlow Semi Condensed" w:hAnsi="Barlow Semi Condensed"/>
          <w:sz w:val="24"/>
          <w:szCs w:val="24"/>
        </w:rPr>
        <w:t xml:space="preserve"> La Grecia notificò da sé il ritiro per prevenire un voto ormai certo, sicché la formula corrente dell'espulsione decretata va qualificata come pubblicistica, e le fonti secondarie divergono perfino sul giorno della seduta, 12 o 13 dicembre 1969. L'accertamento della condotta e delle parole di Moro in quella seduta richiede lo spoglio degli atti del Consiglio d'Europa e della Farnesina, non condotto: è bersaglio e non conclusione.</w:t>
      </w:r>
    </w:p>
    <w:p>
      <w:pPr>
        <w:spacing w:after="120" w:line="276"/>
        <w:jc w:val="both"/>
      </w:pPr>
      <w:r>
        <w:rPr>
          <w:rFonts w:ascii="Barlow Semi Condensed" w:cs="Barlow Semi Condensed" w:eastAsia="Barlow Semi Condensed" w:hAnsi="Barlow Semi Condensed"/>
          <w:b/>
          <w:bCs/>
          <w:sz w:val="24"/>
          <w:szCs w:val="24"/>
        </w:rPr>
        <w:t xml:space="preserve">339 · La tesi della ritorsione, e il suo statuto.</w:t>
      </w:r>
      <w:r>
        <w:rPr>
          <w:rFonts w:ascii="Barlow Semi Condensed" w:cs="Barlow Semi Condensed" w:eastAsia="Barlow Semi Condensed" w:hAnsi="Barlow Semi Condensed"/>
          <w:sz w:val="24"/>
          <w:szCs w:val="24"/>
        </w:rPr>
        <w:t xml:space="preserve"> Circola una tesi d'autore secondo cui la scelta della data del 12 dicembre 1969 per la strage di piazza Fontana e per attentati a Cipro sarebbe stata una rappresaglia per la sconfitta diplomatica greca a Strasburgo, esposta in un'opera di taglio giornalistico-documentario. La contemporaneità cronologica non è prova di nesso causale: si registra come ipotesi circolante e non come fatto accertato dalle fonti primarie esaminate.</w:t>
      </w:r>
    </w:p>
    <w:p>
      <w:pPr>
        <w:spacing w:after="120" w:line="276"/>
        <w:jc w:val="both"/>
      </w:pPr>
      <w:r>
        <w:rPr>
          <w:rFonts w:ascii="Barlow Semi Condensed" w:cs="Barlow Semi Condensed" w:eastAsia="Barlow Semi Condensed" w:hAnsi="Barlow Semi Condensed"/>
          <w:b/>
          <w:bCs/>
          <w:sz w:val="24"/>
          <w:szCs w:val="24"/>
        </w:rPr>
        <w:t xml:space="preserve">340 · Cipro 1974, la sequenza datata.</w:t>
      </w:r>
      <w:r>
        <w:rPr>
          <w:rFonts w:ascii="Barlow Semi Condensed" w:cs="Barlow Semi Condensed" w:eastAsia="Barlow Semi Condensed" w:hAnsi="Barlow Semi Condensed"/>
          <w:sz w:val="24"/>
          <w:szCs w:val="24"/>
        </w:rPr>
        <w:t xml:space="preserve"> Colpo di Stato a Nicosia il 15 luglio 1974, intervento turco il 20 luglio, crollo della giunta di Atene il 23 luglio, seconda offensiva il 14 agosto, cessate il fuoco del 16 agosto divenuto la Linea Verde vigilata dalla forza delle Nazioni Unite: la sequenza è accertata su fonti primarie internazionali. Prima della comparazione viene la tavola cronologica, come il manuale investigativo prescrive al blocco 14.</w:t>
      </w:r>
    </w:p>
    <w:p>
      <w:pPr>
        <w:spacing w:after="120" w:line="276"/>
        <w:jc w:val="both"/>
      </w:pPr>
      <w:r>
        <w:rPr>
          <w:rFonts w:ascii="Barlow Semi Condensed" w:cs="Barlow Semi Condensed" w:eastAsia="Barlow Semi Condensed" w:hAnsi="Barlow Semi Condensed"/>
          <w:b/>
          <w:bCs/>
          <w:sz w:val="24"/>
          <w:szCs w:val="24"/>
        </w:rPr>
        <w:t xml:space="preserve">341 · Le denominazioni contese.</w:t>
      </w:r>
      <w:r>
        <w:rPr>
          <w:rFonts w:ascii="Barlow Semi Condensed" w:cs="Barlow Semi Condensed" w:eastAsia="Barlow Semi Condensed" w:hAnsi="Barlow Semi Condensed"/>
          <w:sz w:val="24"/>
          <w:szCs w:val="24"/>
        </w:rPr>
        <w:t xml:space="preserve"> La stessa operazione è operazione di pace per la Turchia e invasione per la parte greca, per quella cipriota e per la comunità internazionale, mentre le percentuali territoriali divergono fra oltre il trentasei per cento delle fonti cipriote, il quaranta circa del FRUS volume XXX documento 194 e il trentotto di altre fonti, e altrettanto le stime dei profughi. La duplicità va mantenuta, perché sceglierne un ramo in silenzio è prendere parte.</w:t>
      </w:r>
    </w:p>
    <w:p>
      <w:pPr>
        <w:spacing w:after="120" w:line="276"/>
        <w:jc w:val="both"/>
      </w:pPr>
      <w:r>
        <w:rPr>
          <w:rFonts w:ascii="Barlow Semi Condensed" w:cs="Barlow Semi Condensed" w:eastAsia="Barlow Semi Condensed" w:hAnsi="Barlow Semi Condensed"/>
          <w:b/>
          <w:bCs/>
          <w:sz w:val="24"/>
          <w:szCs w:val="24"/>
        </w:rPr>
        <w:t xml:space="preserve">342 · L'Italia fuori dal tavolo, dentro il cerchio.</w:t>
      </w:r>
      <w:r>
        <w:rPr>
          <w:rFonts w:ascii="Barlow Semi Condensed" w:cs="Barlow Semi Condensed" w:eastAsia="Barlow Semi Condensed" w:hAnsi="Barlow Semi Condensed"/>
          <w:sz w:val="24"/>
          <w:szCs w:val="24"/>
        </w:rPr>
        <w:t xml:space="preserve"> L'Italia non figurava fra le potenze garanti, non partecipò ai negoziati di Ginevra, non sedeva nel Consiglio di Sicurezza nel 1974 e non contribuiva alla forza di interposizione, ma era dentro il meccanismo consultivo atlantico: il FRUS volume XXX documento 16 attesta la convocazione degli ambasciatori di sei Paesi da parte del Segretario generale della NATO il 4 luglio 1974. Attore consultato, dunque, non mediatore né garante.</w:t>
      </w:r>
    </w:p>
    <w:p>
      <w:pPr>
        <w:spacing w:after="120" w:line="276"/>
        <w:jc w:val="both"/>
      </w:pPr>
      <w:r>
        <w:rPr>
          <w:rFonts w:ascii="Barlow Semi Condensed" w:cs="Barlow Semi Condensed" w:eastAsia="Barlow Semi Condensed" w:hAnsi="Barlow Semi Condensed"/>
          <w:b/>
          <w:bCs/>
          <w:sz w:val="24"/>
          <w:szCs w:val="24"/>
        </w:rPr>
        <w:t xml:space="preserve">343 · Il ritiro greco dalla struttura integrata.</w:t>
      </w:r>
      <w:r>
        <w:rPr>
          <w:rFonts w:ascii="Barlow Semi Condensed" w:cs="Barlow Semi Condensed" w:eastAsia="Barlow Semi Condensed" w:hAnsi="Barlow Semi Condensed"/>
          <w:sz w:val="24"/>
          <w:szCs w:val="24"/>
        </w:rPr>
        <w:t xml:space="preserve"> Il 14 agosto 1974 la Grecia ritirò le proprie forze dalla struttura militare integrata dell'Alleanza, e il FRUS volume XXX documento 25 ne registra l'effetto insieme all'osservazione del rappresentante belga sul fatto curioso che i greci non avessero ritirato i propri rappresentanti dal Comitato Militare. Le date divergono nelle fonti secondarie fra il 4, il 14 e il 17 agosto, e il rientro avvenne soltanto nell'ottobre 1980.</w:t>
      </w:r>
    </w:p>
    <w:p>
      <w:pPr>
        <w:spacing w:after="120" w:line="276"/>
        <w:jc w:val="both"/>
      </w:pPr>
      <w:r>
        <w:rPr>
          <w:rFonts w:ascii="Barlow Semi Condensed" w:cs="Barlow Semi Condensed" w:eastAsia="Barlow Semi Condensed" w:hAnsi="Barlow Semi Condensed"/>
          <w:b/>
          <w:bCs/>
          <w:sz w:val="24"/>
          <w:szCs w:val="24"/>
        </w:rPr>
        <w:t xml:space="preserve">344 · L'Italia fra gli alleati consultati.</w:t>
      </w:r>
      <w:r>
        <w:rPr>
          <w:rFonts w:ascii="Barlow Semi Condensed" w:cs="Barlow Semi Condensed" w:eastAsia="Barlow Semi Condensed" w:hAnsi="Barlow Semi Condensed"/>
          <w:sz w:val="24"/>
          <w:szCs w:val="24"/>
        </w:rPr>
        <w:t xml:space="preserve"> Il documento 23 del medesimo volume, del 30 agosto 1974, istruisce ad avviare discussioni bilaterali informali con il Segretario generale e con alleati selezionati — Regno Unito, Repubblica Federale, Italia, Belgio o Paesi Bassi — sulle implicazioni della decisione greca, escludendo la Francia perché fuori dal Defence Planning Committee. È accertata l'inclusione dell'Italia nel novero, e non è accertato il contenuto della posizione italiana.</w:t>
      </w:r>
    </w:p>
    <w:p>
      <w:pPr>
        <w:spacing w:after="120" w:line="276"/>
        <w:jc w:val="both"/>
      </w:pPr>
      <w:r>
        <w:rPr>
          <w:rFonts w:ascii="Barlow Semi Condensed" w:cs="Barlow Semi Condensed" w:eastAsia="Barlow Semi Condensed" w:hAnsi="Barlow Semi Condensed"/>
          <w:b/>
          <w:bCs/>
          <w:sz w:val="24"/>
          <w:szCs w:val="24"/>
        </w:rPr>
        <w:t xml:space="preserve">345 · Che cosa chiuderebbe il contenuto italiano.</w:t>
      </w:r>
      <w:r>
        <w:rPr>
          <w:rFonts w:ascii="Barlow Semi Condensed" w:cs="Barlow Semi Condensed" w:eastAsia="Barlow Semi Condensed" w:hAnsi="Barlow Semi Condensed"/>
          <w:sz w:val="24"/>
          <w:szCs w:val="24"/>
        </w:rPr>
        <w:t xml:space="preserve"> Lo chiuderebbe la documentazione della Rappresentanza italiana presso la NATO per l'agosto e il settembre 1974, insieme alla serie corrispondente della Farnesina, ed è il bersaglio a più alto rendimento del teatro greco insieme allo spoglio parlamentare. È anche il più eseguibile dei due, perché non dipende dalla ricercabilità a testo pieno che per quegli anni non esiste: costo dichiarato, accesso in sala e autorizzazione.</w:t>
      </w:r>
    </w:p>
    <w:p>
      <w:pPr>
        <w:spacing w:after="120" w:line="276"/>
        <w:jc w:val="both"/>
      </w:pPr>
      <w:r>
        <w:rPr>
          <w:rFonts w:ascii="Barlow Semi Condensed" w:cs="Barlow Semi Condensed" w:eastAsia="Barlow Semi Condensed" w:hAnsi="Barlow Semi Condensed"/>
          <w:b/>
          <w:bCs/>
          <w:sz w:val="24"/>
          <w:szCs w:val="24"/>
        </w:rPr>
        <w:t xml:space="preserve">346 · Lo Stato Zero greco-cipriota.</w:t>
      </w:r>
      <w:r>
        <w:rPr>
          <w:rFonts w:ascii="Barlow Semi Condensed" w:cs="Barlow Semi Condensed" w:eastAsia="Barlow Semi Condensed" w:hAnsi="Barlow Semi Condensed"/>
          <w:sz w:val="24"/>
          <w:szCs w:val="24"/>
        </w:rPr>
        <w:t xml:space="preserve"> Non sono state reperite dichiarazioni testuali di Moro su Cipro fra luglio e novembre 1974, ed è esito negativo importante, con sede duplice nei resoconti stenografici di Camera e Senato della sesta legislatura e nelle serie Grecia e Cipro dell'Archivio storico-diplomatico. La contemporaneità della crisi cipriota con l'attentato all'Italicus del 4 agosto 1974 si registra come mera contemporaneità e come nient'altro.</w:t>
      </w:r>
    </w:p>
    <w:p>
      <w:pPr>
        <w:spacing w:after="120" w:line="276"/>
        <w:jc w:val="both"/>
      </w:pPr>
      <w:r>
        <w:rPr>
          <w:rFonts w:ascii="Barlow Semi Condensed" w:cs="Barlow Semi Condensed" w:eastAsia="Barlow Semi Condensed" w:hAnsi="Barlow Semi Condensed"/>
          <w:b/>
          <w:bCs/>
          <w:sz w:val="24"/>
          <w:szCs w:val="24"/>
        </w:rPr>
        <w:t xml:space="preserve">347 · Cipro nel testo di Helsinki.</w:t>
      </w:r>
      <w:r>
        <w:rPr>
          <w:rFonts w:ascii="Barlow Semi Condensed" w:cs="Barlow Semi Condensed" w:eastAsia="Barlow Semi Condensed" w:hAnsi="Barlow Semi Condensed"/>
          <w:sz w:val="24"/>
          <w:szCs w:val="24"/>
        </w:rPr>
        <w:t xml:space="preserve"> Il FRUS volume XXXIX documento 334, telegramma del 2 agosto 1975, conferma la firma dell'Atto finale da parte di trentacinque capi di Stato o di governo e registra che Cipro fece circolare una dichiarazione interpretativa in risposta alla riserva turca sulla rappresentanza, affermando che quella riserva fosse priva di effetto. La questione greco-turca fu dunque presente, sia pure marginalmente, anche al tavolo che l'Italia presiedeva per la Comunità.</w:t>
      </w:r>
    </w:p>
    <w:p>
      <w:pPr>
        <w:spacing w:after="120" w:line="276"/>
        <w:jc w:val="both"/>
      </w:pPr>
      <w:r>
        <w:rPr>
          <w:rFonts w:ascii="Barlow Semi Condensed" w:cs="Barlow Semi Condensed" w:eastAsia="Barlow Semi Condensed" w:hAnsi="Barlow Semi Condensed"/>
          <w:b/>
          <w:bCs/>
          <w:sz w:val="24"/>
          <w:szCs w:val="24"/>
        </w:rPr>
        <w:t xml:space="preserve">348 · L'asse vuoto e la sua lezione.</w:t>
      </w:r>
      <w:r>
        <w:rPr>
          <w:rFonts w:ascii="Barlow Semi Condensed" w:cs="Barlow Semi Condensed" w:eastAsia="Barlow Semi Condensed" w:hAnsi="Barlow Semi Condensed"/>
          <w:sz w:val="24"/>
          <w:szCs w:val="24"/>
        </w:rPr>
        <w:t xml:space="preserve"> Nel teatro greco un intero braccio del triangolo studiato dalla cartella risulta vuoto, perché l'ente confessionale non ha mai avuto presenza stabile in Grecia e la sua stessa fonte ufficiale non la elenca ad alcun anno. La variabile che discrimina non è la natura del regime ma la confessione maggioritaria, ed è il controfattuale perfetto che scioglie una correlazione a lungo scambiata per causa.</w:t>
      </w:r>
    </w:p>
    <w:p>
      <w:pPr>
        <w:spacing w:after="120" w:line="276"/>
        <w:jc w:val="both"/>
      </w:pPr>
      <w:r>
        <w:rPr>
          <w:rFonts w:ascii="Barlow Semi Condensed" w:cs="Barlow Semi Condensed" w:eastAsia="Barlow Semi Condensed" w:hAnsi="Barlow Semi Condensed"/>
          <w:b/>
          <w:bCs/>
          <w:sz w:val="24"/>
          <w:szCs w:val="24"/>
        </w:rPr>
        <w:t xml:space="preserve">349 · Turchia, il nesso meglio documentato.</w:t>
      </w:r>
      <w:r>
        <w:rPr>
          <w:rFonts w:ascii="Barlow Semi Condensed" w:cs="Barlow Semi Condensed" w:eastAsia="Barlow Semi Condensed" w:hAnsi="Barlow Semi Condensed"/>
          <w:sz w:val="24"/>
          <w:szCs w:val="24"/>
        </w:rPr>
        <w:t xml:space="preserve"> Il preambolo del Regolamento (CEE) numero 1842/71 attesta che l'Accordo provvisorio fra Comunità e Turchia fu firmato a Bruxelles il 27 luglio 1971 a nome del Consiglio delle Comunità da Aldo Moro, ministro degli Affari esteri italiano e presidente di turno di quel Consiglio nel semestre italiano. È il nesso Moro-Turchia meglio documentato dell'intera cartella, ed è atto comunitario: qualifica una funzione, non una politica bilaterale.</w:t>
      </w:r>
    </w:p>
    <w:p>
      <w:pPr>
        <w:spacing w:after="120" w:line="276"/>
        <w:jc w:val="both"/>
      </w:pPr>
      <w:r>
        <w:rPr>
          <w:rFonts w:ascii="Barlow Semi Condensed" w:cs="Barlow Semi Condensed" w:eastAsia="Barlow Semi Condensed" w:hAnsi="Barlow Semi Condensed"/>
          <w:b/>
          <w:bCs/>
          <w:sz w:val="24"/>
          <w:szCs w:val="24"/>
        </w:rPr>
        <w:t xml:space="preserve">350 · Il Protocollo addizionale del 1970.</w:t>
      </w:r>
      <w:r>
        <w:rPr>
          <w:rFonts w:ascii="Barlow Semi Condensed" w:cs="Barlow Semi Condensed" w:eastAsia="Barlow Semi Condensed" w:hAnsi="Barlow Semi Condensed"/>
          <w:sz w:val="24"/>
          <w:szCs w:val="24"/>
        </w:rPr>
        <w:t xml:space="preserve"> L'altro atto del teatro è il Protocollo addizionale all'Accordo di Ankara, del 23 novembre 1970, con la sua vicenda di ratifica italiana nel quadro parlamentare della sesta legislatura. Il bersaglio è documentale e a basso costo: reperire l'atto di ratifica con numero e data e il dibattito che lo accompagnò nei volumi a stampa dei resoconti, poiché per quegli anni la ricerca a testo pieno non esiste.</w:t>
      </w:r>
    </w:p>
    <w:p>
      <w:pPr>
        <w:spacing w:after="120" w:line="276"/>
        <w:jc w:val="both"/>
      </w:pPr>
      <w:r>
        <w:rPr>
          <w:rFonts w:ascii="Barlow Semi Condensed" w:cs="Barlow Semi Condensed" w:eastAsia="Barlow Semi Condensed" w:hAnsi="Barlow Semi Condensed"/>
          <w:b/>
          <w:bCs/>
          <w:sz w:val="24"/>
          <w:szCs w:val="24"/>
        </w:rPr>
        <w:t xml:space="preserve">351 · Ankara 1974, la posizione italiana.</w:t>
      </w:r>
      <w:r>
        <w:rPr>
          <w:rFonts w:ascii="Barlow Semi Condensed" w:cs="Barlow Semi Condensed" w:eastAsia="Barlow Semi Condensed" w:hAnsi="Barlow Semi Condensed"/>
          <w:sz w:val="24"/>
          <w:szCs w:val="24"/>
        </w:rPr>
        <w:t xml:space="preserve"> Sulla crisi cipriota vista da Ankara non sono state reperite dichiarazioni o atti specifici di Moro, e l'esito prevalentemente negativo consolida l'immagine di un'Italia collocata al margine consultivo della vicenda. Le sedi di chiusura sono le serie Turchia e Cipro 1974 della Farnesina e l'edizione digitale delle carte Moro; va evitata l'inferenza che la comune appartenenza atlantica equivalga a convergenza attiva, perché è al più comunanza di ambiente istituzionale.</w:t>
      </w:r>
    </w:p>
    <w:p>
      <w:pPr>
        <w:spacing w:after="120" w:line="276"/>
        <w:jc w:val="both"/>
      </w:pPr>
      <w:r>
        <w:rPr>
          <w:rFonts w:ascii="Barlow Semi Condensed" w:cs="Barlow Semi Condensed" w:eastAsia="Barlow Semi Condensed" w:hAnsi="Barlow Semi Condensed"/>
          <w:b/>
          <w:bCs/>
          <w:sz w:val="24"/>
          <w:szCs w:val="24"/>
        </w:rPr>
        <w:t xml:space="preserve">352 · L'embargo del 1975 e il silenzio italiano.</w:t>
      </w:r>
      <w:r>
        <w:rPr>
          <w:rFonts w:ascii="Barlow Semi Condensed" w:cs="Barlow Semi Condensed" w:eastAsia="Barlow Semi Condensed" w:hAnsi="Barlow Semi Condensed"/>
          <w:sz w:val="24"/>
          <w:szCs w:val="24"/>
        </w:rPr>
        <w:t xml:space="preserve"> L'embargo statunitense sulle forniture militari alla Turchia, deliberato nel dicembre 1974 ed entrato in vigore il 5 febbraio 1975, produsse nel luglio successivo la sospensione delle installazioni americane in territorio turco e fu revocato solo nel settembre 1978. Non si sono trovate dichiarazioni del governo italiano né atti della Farnesina in materia, e lo Stato Zero si chiude sulla corrispondenza con la Rappresentanza presso la NATO.</w:t>
      </w:r>
    </w:p>
    <w:p>
      <w:pPr>
        <w:spacing w:after="120" w:line="276"/>
        <w:jc w:val="both"/>
      </w:pPr>
      <w:r>
        <w:rPr>
          <w:rFonts w:ascii="Barlow Semi Condensed" w:cs="Barlow Semi Condensed" w:eastAsia="Barlow Semi Condensed" w:hAnsi="Barlow Semi Condensed"/>
          <w:b/>
          <w:bCs/>
          <w:sz w:val="24"/>
          <w:szCs w:val="24"/>
        </w:rPr>
        <w:t xml:space="preserve">353 · L'interesse oggettivo non è un atto.</w:t>
      </w:r>
      <w:r>
        <w:rPr>
          <w:rFonts w:ascii="Barlow Semi Condensed" w:cs="Barlow Semi Condensed" w:eastAsia="Barlow Semi Condensed" w:hAnsi="Barlow Semi Condensed"/>
          <w:sz w:val="24"/>
          <w:szCs w:val="24"/>
        </w:rPr>
        <w:t xml:space="preserve"> È lecito osservare che l'Italia, Paese del fianco sud, avesse interesse alla ricomposizione della frattura fra Washington e Ankara, ed è illecito trasformare l'osservazione in accertamento. Il blocco fissa la regola per tutti i teatri della serie: l'interesse ricostruito è ragionamento, l'atto documentato è prova, e fra i due non esiste passaggio automatico — il corpus chiama promozione indebita quel passaggio, quando avviene.</w:t>
      </w:r>
    </w:p>
    <w:p>
      <w:pPr>
        <w:spacing w:after="120" w:line="276"/>
        <w:jc w:val="both"/>
      </w:pPr>
      <w:r>
        <w:rPr>
          <w:rFonts w:ascii="Barlow Semi Condensed" w:cs="Barlow Semi Condensed" w:eastAsia="Barlow Semi Condensed" w:hAnsi="Barlow Semi Condensed"/>
          <w:b/>
          <w:bCs/>
          <w:sz w:val="24"/>
          <w:szCs w:val="24"/>
        </w:rPr>
        <w:t xml:space="preserve">354 · Gli oppiacei come dossier di controllo.</w:t>
      </w:r>
      <w:r>
        <w:rPr>
          <w:rFonts w:ascii="Barlow Semi Condensed" w:cs="Barlow Semi Condensed" w:eastAsia="Barlow Semi Condensed" w:hAnsi="Barlow Semi Condensed"/>
          <w:sz w:val="24"/>
          <w:szCs w:val="24"/>
        </w:rPr>
        <w:t xml:space="preserve"> Il divieto di coltivazione del papavero introdotto nel giugno 1971 e revocato dal governo Ecevit il primo luglio 1974 con decreto è il dossier turco più densamente documentato nelle fonti americane desecretate, fra telegrammi da Ankara, memorandum al presidente e un memorandum di decisione nazionale dell'agosto 1974. È il caso in cui la trascrizione dal documento all'atto è visibile per intero, e proprio per questo serve da metro per gli altri teatri.</w:t>
      </w:r>
    </w:p>
    <w:p>
      <w:pPr>
        <w:spacing w:after="120" w:line="276"/>
        <w:jc w:val="both"/>
      </w:pPr>
      <w:r>
        <w:rPr>
          <w:rFonts w:ascii="Barlow Semi Condensed" w:cs="Barlow Semi Condensed" w:eastAsia="Barlow Semi Condensed" w:hAnsi="Barlow Semi Condensed"/>
          <w:b/>
          <w:bCs/>
          <w:sz w:val="24"/>
          <w:szCs w:val="24"/>
        </w:rPr>
        <w:t xml:space="preserve">355 · Che cosa quel dossier misura.</w:t>
      </w:r>
      <w:r>
        <w:rPr>
          <w:rFonts w:ascii="Barlow Semi Condensed" w:cs="Barlow Semi Condensed" w:eastAsia="Barlow Semi Condensed" w:hAnsi="Barlow Semi Condensed"/>
          <w:sz w:val="24"/>
          <w:szCs w:val="24"/>
        </w:rPr>
        <w:t xml:space="preserve"> Serve da metro perché mostra quanto materiale primario esista quando una linea politica si traduce davvero in negoziato: decine di documenti editi, con date, numeri di telegramma e nomi di serie. Là dove un teatro di questa serie offre soltanto convergenze, il confronto dice che la differenza non sta nella prudenza dell'interprete ma nel volume documentale realmente disponibile, ed è una misura, non un'impressione.</w:t>
      </w:r>
    </w:p>
    <w:p>
      <w:pPr>
        <w:spacing w:after="120" w:line="276"/>
        <w:jc w:val="both"/>
      </w:pPr>
      <w:r>
        <w:rPr>
          <w:rFonts w:ascii="Barlow Semi Condensed" w:cs="Barlow Semi Condensed" w:eastAsia="Barlow Semi Condensed" w:hAnsi="Barlow Semi Condensed"/>
          <w:b/>
          <w:bCs/>
          <w:sz w:val="24"/>
          <w:szCs w:val="24"/>
        </w:rPr>
        <w:t xml:space="preserve">356 · L'Italia assente dal negoziato degli oppiacei.</w:t>
      </w:r>
      <w:r>
        <w:rPr>
          <w:rFonts w:ascii="Barlow Semi Condensed" w:cs="Barlow Semi Condensed" w:eastAsia="Barlow Semi Condensed" w:hAnsi="Barlow Semi Condensed"/>
          <w:sz w:val="24"/>
          <w:szCs w:val="24"/>
        </w:rPr>
        <w:t xml:space="preserve"> Non si sono reperite fonti primarie che documentino un coinvolgimento della Farnesina nella vicenda della revoca del 1974, né una posizione italiana nelle sedi delle Nazioni Unite su quel dossier, e le sedi di chiusura sono la serie affari sociali e stupefacenti della Farnesina e gli archivi della Commissione stupefacenti a Vienna. Va evitata l'inferenza che, essendo Paese di consumo, l'Italia avesse necessariamente assunto una posizione attiva.</w:t>
      </w:r>
    </w:p>
    <w:p>
      <w:pPr>
        <w:spacing w:after="120" w:line="276"/>
        <w:jc w:val="both"/>
      </w:pPr>
      <w:r>
        <w:rPr>
          <w:rFonts w:ascii="Barlow Semi Condensed" w:cs="Barlow Semi Condensed" w:eastAsia="Barlow Semi Condensed" w:hAnsi="Barlow Semi Condensed"/>
          <w:b/>
          <w:bCs/>
          <w:sz w:val="24"/>
          <w:szCs w:val="24"/>
        </w:rPr>
        <w:t xml:space="preserve">357 · La rotta e il suo statuto criminologico.</w:t>
      </w:r>
      <w:r>
        <w:rPr>
          <w:rFonts w:ascii="Barlow Semi Condensed" w:cs="Barlow Semi Condensed" w:eastAsia="Barlow Semi Condensed" w:hAnsi="Barlow Semi Condensed"/>
          <w:sz w:val="24"/>
          <w:szCs w:val="24"/>
        </w:rPr>
        <w:t xml:space="preserve"> Il legame fra l'oppio anatolico, i laboratori di Marsiglia e la successiva ristrutturazione lungo il corridoio balcanico, con l'Italia fra i punti di arrivo, è storiograficamente accertato sul piano criminologico, e non è per ciò stesso un nesso diplomatico. Il blocco tiene separati i due piani, perché la loro confusione è uno degli errori più frequenti nella pubblicistica sul Mediterraneo degli anni Settanta.</w:t>
      </w:r>
    </w:p>
    <w:p>
      <w:pPr>
        <w:spacing w:after="120" w:line="276"/>
        <w:jc w:val="both"/>
      </w:pPr>
      <w:r>
        <w:rPr>
          <w:rFonts w:ascii="Barlow Semi Condensed" w:cs="Barlow Semi Condensed" w:eastAsia="Barlow Semi Condensed" w:hAnsi="Barlow Semi Condensed"/>
          <w:b/>
          <w:bCs/>
          <w:sz w:val="24"/>
          <w:szCs w:val="24"/>
        </w:rPr>
        <w:t xml:space="preserve">358 · Halki e le minoranze: esito negativo.</w:t>
      </w:r>
      <w:r>
        <w:rPr>
          <w:rFonts w:ascii="Barlow Semi Condensed" w:cs="Barlow Semi Condensed" w:eastAsia="Barlow Semi Condensed" w:hAnsi="Barlow Semi Condensed"/>
          <w:sz w:val="24"/>
          <w:szCs w:val="24"/>
        </w:rPr>
        <w:t xml:space="preserve"> Sul versante confessionale il corpus registra un esito prevalentemente negativo, perché nelle fonti edite non emerge una presa di posizione documentata della Farnesina di Moro sulle minoranze cristiane di Turchia o sulla chiusura del Seminario di Halki nel 1971. L'esito negativo è dichiarato come acquisizione di pieno valore, con l'indicazione della sede dove chiuderlo: la serie Turchia dell'Archivio storico-diplomatico.</w:t>
      </w:r>
    </w:p>
    <w:p>
      <w:pPr>
        <w:spacing w:after="120" w:line="276"/>
        <w:jc w:val="both"/>
      </w:pPr>
      <w:r>
        <w:rPr>
          <w:rFonts w:ascii="Barlow Semi Condensed" w:cs="Barlow Semi Condensed" w:eastAsia="Barlow Semi Condensed" w:hAnsi="Barlow Semi Condensed"/>
          <w:b/>
          <w:bCs/>
          <w:sz w:val="24"/>
          <w:szCs w:val="24"/>
        </w:rPr>
        <w:t xml:space="preserve">359 · L'asse vuoto turco, e il perché.</w:t>
      </w:r>
      <w:r>
        <w:rPr>
          <w:rFonts w:ascii="Barlow Semi Condensed" w:cs="Barlow Semi Condensed" w:eastAsia="Barlow Semi Condensed" w:hAnsi="Barlow Semi Condensed"/>
          <w:sz w:val="24"/>
          <w:szCs w:val="24"/>
        </w:rPr>
        <w:t xml:space="preserve"> Anche in Turchia l'ente confessionale studiato dalla cartella è assente, e il caso è il più probante della serie per la combinazione di maggioranza musulmana, laicità con controllo statale dell'istruzione e minoranza cattolica minima. L'assenza correla con la variabile confessionale e non con la forma del regime, e vale come verifica di una previsione dichiarata: test superato, non chiave universale da applicare altrove.</w:t>
      </w:r>
    </w:p>
    <w:p>
      <w:pPr>
        <w:spacing w:after="120" w:line="276"/>
        <w:jc w:val="both"/>
      </w:pPr>
      <w:r>
        <w:rPr>
          <w:rFonts w:ascii="Barlow Semi Condensed" w:cs="Barlow Semi Condensed" w:eastAsia="Barlow Semi Condensed" w:hAnsi="Barlow Semi Condensed"/>
          <w:b/>
          <w:bCs/>
          <w:sz w:val="24"/>
          <w:szCs w:val="24"/>
        </w:rPr>
        <w:t xml:space="preserve">360 · Germania, l'ambiente che rovescia la previsione.</w:t>
      </w:r>
      <w:r>
        <w:rPr>
          <w:rFonts w:ascii="Barlow Semi Condensed" w:cs="Barlow Semi Condensed" w:eastAsia="Barlow Semi Condensed" w:hAnsi="Barlow Semi Condensed"/>
          <w:sz w:val="24"/>
          <w:szCs w:val="24"/>
        </w:rPr>
        <w:t xml:space="preserve"> Il teatro tedesco serve la serie perché falsifica una condizione: l'ente confessionale vi si insediò stabilmente nel 1952 pur in un Paese a maggioranza relativa protestante, mentre resse la seconda condizione, cioè la presenza di un milieu cattolico socialmente organizzato. Una previsione falsificata in una delle sue due parti è un risultato pieno e va enunciata come tale, senza estenderla oltre ciò che il caso singolo mostra.</w:t>
      </w:r>
    </w:p>
    <w:p>
      <w:pPr>
        <w:spacing w:after="120" w:line="276"/>
        <w:jc w:val="both"/>
      </w:pPr>
      <w:r>
        <w:rPr>
          <w:rFonts w:ascii="Barlow Semi Condensed" w:cs="Barlow Semi Condensed" w:eastAsia="Barlow Semi Condensed" w:hAnsi="Barlow Semi Condensed"/>
          <w:b/>
          <w:bCs/>
          <w:sz w:val="24"/>
          <w:szCs w:val="24"/>
        </w:rPr>
        <w:t xml:space="preserve">361 · I cinque atti della Ostpolitik.</w:t>
      </w:r>
      <w:r>
        <w:rPr>
          <w:rFonts w:ascii="Barlow Semi Condensed" w:cs="Barlow Semi Condensed" w:eastAsia="Barlow Semi Condensed" w:hAnsi="Barlow Semi Condensed"/>
          <w:sz w:val="24"/>
          <w:szCs w:val="24"/>
        </w:rPr>
        <w:t xml:space="preserve"> Trattato di Mosca del 12 agosto 1970, Trattato di Varsavia del 7 dicembre 1970, Accordo quadripartito su Berlino del 3 settembre 1971, Trattato fondamentale fra le due Germanie del 21 dicembre 1972, ingresso di entrambe alle Nazioni Unite il 18 settembre 1973: la cornice coincide col doppio mandato di Moro. La coincidenza è cronologica, ed è il punto di partenza del quesito e non la sua risposta.</w:t>
      </w:r>
    </w:p>
    <w:p>
      <w:pPr>
        <w:spacing w:after="120" w:line="276"/>
        <w:jc w:val="both"/>
      </w:pPr>
      <w:r>
        <w:rPr>
          <w:rFonts w:ascii="Barlow Semi Condensed" w:cs="Barlow Semi Condensed" w:eastAsia="Barlow Semi Condensed" w:hAnsi="Barlow Semi Condensed"/>
          <w:b/>
          <w:bCs/>
          <w:sz w:val="24"/>
          <w:szCs w:val="24"/>
        </w:rPr>
        <w:t xml:space="preserve">362 · La posizione italiana sui cinque atti.</w:t>
      </w:r>
      <w:r>
        <w:rPr>
          <w:rFonts w:ascii="Barlow Semi Condensed" w:cs="Barlow Semi Condensed" w:eastAsia="Barlow Semi Condensed" w:hAnsi="Barlow Semi Condensed"/>
          <w:sz w:val="24"/>
          <w:szCs w:val="24"/>
        </w:rPr>
        <w:t xml:space="preserve"> La posizione puntuale del governo italiano su ciascuno dei cinque atti non è documentata dalle fonti secondarie reperite ed è dichiarata Stato Zero. Le sedi di chiusura sono due e note: la serie Germania 1969-1975 dell'Archivio storico-diplomatico, con l'esclusione temporanea dei Telegrammi 1942-1970, e i volumi annuali degli «Akten zur Auswärtigen Politik», che i cantieri fissano già ai blocchi 81, 82, 83 e 117.</w:t>
      </w:r>
    </w:p>
    <w:p>
      <w:pPr>
        <w:spacing w:after="120" w:line="276"/>
        <w:jc w:val="both"/>
      </w:pPr>
      <w:r>
        <w:rPr>
          <w:rFonts w:ascii="Barlow Semi Condensed" w:cs="Barlow Semi Condensed" w:eastAsia="Barlow Semi Condensed" w:hAnsi="Barlow Semi Condensed"/>
          <w:b/>
          <w:bCs/>
          <w:sz w:val="24"/>
          <w:szCs w:val="24"/>
        </w:rPr>
        <w:t xml:space="preserve">363 · Il rendimento cronologico dei cantieri tedeschi.</w:t>
      </w:r>
      <w:r>
        <w:rPr>
          <w:rFonts w:ascii="Barlow Semi Condensed" w:cs="Barlow Semi Condensed" w:eastAsia="Barlow Semi Condensed" w:hAnsi="Barlow Semi Condensed"/>
          <w:sz w:val="24"/>
          <w:szCs w:val="24"/>
        </w:rPr>
        <w:t xml:space="preserve"> Il cantiere tedesco dei nove cantieri è costruito per il 1977 e il 1978, con l'archivio politico dell'Auswärtiges Amt al blocco 81, l'edizione degli AAPD al blocco 82 e la regola di chiedere il fascicolo integrale oltre l'edito al blocco 83. La serie V non aggiunge una procedura ma ne estende l'applicazione alle annate 1969-1974: il rendimento è cronologico, e va contabilizzato come tale.</w:t>
      </w:r>
    </w:p>
    <w:p>
      <w:pPr>
        <w:spacing w:after="120" w:line="276"/>
        <w:jc w:val="both"/>
      </w:pPr>
      <w:r>
        <w:rPr>
          <w:rFonts w:ascii="Barlow Semi Condensed" w:cs="Barlow Semi Condensed" w:eastAsia="Barlow Semi Condensed" w:hAnsi="Barlow Semi Condensed"/>
          <w:b/>
          <w:bCs/>
          <w:sz w:val="24"/>
          <w:szCs w:val="24"/>
        </w:rPr>
        <w:t xml:space="preserve">364 · Il bilaterale documentato e quelli inferiti.</w:t>
      </w:r>
      <w:r>
        <w:rPr>
          <w:rFonts w:ascii="Barlow Semi Condensed" w:cs="Barlow Semi Condensed" w:eastAsia="Barlow Semi Condensed" w:hAnsi="Barlow Semi Condensed"/>
          <w:sz w:val="24"/>
          <w:szCs w:val="24"/>
        </w:rPr>
        <w:t xml:space="preserve"> È documentato il bilaterale fra Moro e Brandt del 31 agosto e primo settembre 1969 a Roma, quando entrambi erano ministri degli Esteri, mentre le visite di Brandt a Roma del luglio e del novembre 1970 non nominano Moro nelle fonti ufficiali benché fosse ministro in carica. La sua presenza è altamente probabile e non documentata: la distinzione fra documentato e inferito si mantiene, e la conferma si cerca negli AAPD.</w:t>
      </w:r>
    </w:p>
    <w:p>
      <w:pPr>
        <w:spacing w:after="120" w:line="276"/>
        <w:jc w:val="both"/>
      </w:pPr>
      <w:r>
        <w:rPr>
          <w:rFonts w:ascii="Barlow Semi Condensed" w:cs="Barlow Semi Condensed" w:eastAsia="Barlow Semi Condensed" w:hAnsi="Barlow Semi Condensed"/>
          <w:b/>
          <w:bCs/>
          <w:sz w:val="24"/>
          <w:szCs w:val="24"/>
        </w:rPr>
        <w:t xml:space="preserve">365 · Il filmato d'ambasciata come fonte.</w:t>
      </w:r>
      <w:r>
        <w:rPr>
          <w:rFonts w:ascii="Barlow Semi Condensed" w:cs="Barlow Semi Condensed" w:eastAsia="Barlow Semi Condensed" w:hAnsi="Barlow Semi Condensed"/>
          <w:sz w:val="24"/>
          <w:szCs w:val="24"/>
        </w:rPr>
        <w:t xml:space="preserve"> Un documentario tratto dai filmati amatoriali dell'ambasciatore italiano a Bonn mostra nel 1971, a Bad Godesberg, il presidente del Consiglio e il ministro degli Esteri italiani in un ricevimento cui presero parte anche esponenti tedeschi di primo piano, ma la datazione è etichetta d'archivista e va corroborata. È fonte primaria derivata: attesta una presenza e non un contenuto di colloquio.</w:t>
      </w:r>
    </w:p>
    <w:p>
      <w:pPr>
        <w:spacing w:after="120" w:line="276"/>
        <w:jc w:val="both"/>
      </w:pPr>
      <w:r>
        <w:rPr>
          <w:rFonts w:ascii="Barlow Semi Condensed" w:cs="Barlow Semi Condensed" w:eastAsia="Barlow Semi Condensed" w:hAnsi="Barlow Semi Condensed"/>
          <w:b/>
          <w:bCs/>
          <w:sz w:val="24"/>
          <w:szCs w:val="24"/>
        </w:rPr>
        <w:t xml:space="preserve">366 · Il riconoscimento della RDT sta fuori.</w:t>
      </w:r>
      <w:r>
        <w:rPr>
          <w:rFonts w:ascii="Barlow Semi Condensed" w:cs="Barlow Semi Condensed" w:eastAsia="Barlow Semi Condensed" w:hAnsi="Barlow Semi Condensed"/>
          <w:sz w:val="24"/>
          <w:szCs w:val="24"/>
        </w:rPr>
        <w:t xml:space="preserve"> Il riconoscimento italiano della Repubblica Democratica Tedesca cade fra i due mandati di Moro, con la Farnesina retta da Giuseppe Medici, e la data diverge fra le fonti, 17 gennaio 1973 nelle italiane e 18 gennaio in fonte istituzionale tedesca: la divergenza si riporta. Attribuire a Moro quell'atto è errore cronologico, del genere che il manuale investigativo previene al blocco 14.</w:t>
      </w:r>
    </w:p>
    <w:p>
      <w:pPr>
        <w:spacing w:after="120" w:line="276"/>
        <w:jc w:val="both"/>
      </w:pPr>
      <w:r>
        <w:rPr>
          <w:rFonts w:ascii="Barlow Semi Condensed" w:cs="Barlow Semi Condensed" w:eastAsia="Barlow Semi Condensed" w:hAnsi="Barlow Semi Condensed"/>
          <w:b/>
          <w:bCs/>
          <w:sz w:val="24"/>
          <w:szCs w:val="24"/>
        </w:rPr>
        <w:t xml:space="preserve">367 · La sequenza Oder-Neisse, misurata bene.</w:t>
      </w:r>
      <w:r>
        <w:rPr>
          <w:rFonts w:ascii="Barlow Semi Condensed" w:cs="Barlow Semi Condensed" w:eastAsia="Barlow Semi Condensed" w:hAnsi="Barlow Semi Condensed"/>
          <w:sz w:val="24"/>
          <w:szCs w:val="24"/>
        </w:rPr>
        <w:t xml:space="preserve"> Firma del Trattato di Varsavia il 7 dicembre 1970, leggi di autorizzazione alla ratifica approvate dal Bundestag il 17 maggio 1972 e dal Bundesrat il 19, entrata in vigore con lo scambio degli strumenti il 3 giugno 1972, costituzioni apostoliche del 28 giugno, venticinque giorni dopo. Il divario si conta dall'entrata in vigore e non da un atto di ratifica parlamentare che in quella forma non esiste.</w:t>
      </w:r>
    </w:p>
    <w:p>
      <w:pPr>
        <w:spacing w:after="120" w:line="276"/>
        <w:jc w:val="both"/>
      </w:pPr>
      <w:r>
        <w:rPr>
          <w:rFonts w:ascii="Barlow Semi Condensed" w:cs="Barlow Semi Condensed" w:eastAsia="Barlow Semi Condensed" w:hAnsi="Barlow Semi Condensed"/>
          <w:b/>
          <w:bCs/>
          <w:sz w:val="24"/>
          <w:szCs w:val="24"/>
        </w:rPr>
        <w:t xml:space="preserve">368 · Il nesso attestato e il testo che tace.</w:t>
      </w:r>
      <w:r>
        <w:rPr>
          <w:rFonts w:ascii="Barlow Semi Condensed" w:cs="Barlow Semi Condensed" w:eastAsia="Barlow Semi Condensed" w:hAnsi="Barlow Semi Condensed"/>
          <w:sz w:val="24"/>
          <w:szCs w:val="24"/>
        </w:rPr>
        <w:t xml:space="preserve"> Il nesso fra la sequenza dei trattati e gli atti pontifici non è dedotto dalla prossimità delle date ma attestato dalla comunicazione vaticana di accompagnamento e dalla storiografia, mentre il testo canonico tace la ragione politica e adduce soltanto quella pastorale. La distinzione va conservata in ogni ripresa, perché un atto può avere una causa documentata e una motivazione dichiarata diversa, e le due non si sovrappongono.</w:t>
      </w:r>
    </w:p>
    <w:p>
      <w:pPr>
        <w:spacing w:after="120" w:line="276"/>
        <w:jc w:val="both"/>
      </w:pPr>
      <w:r>
        <w:rPr>
          <w:rFonts w:ascii="Barlow Semi Condensed" w:cs="Barlow Semi Condensed" w:eastAsia="Barlow Semi Condensed" w:hAnsi="Barlow Semi Condensed"/>
          <w:b/>
          <w:bCs/>
          <w:sz w:val="24"/>
          <w:szCs w:val="24"/>
        </w:rPr>
        <w:t xml:space="preserve">369 · La soluzione differenziata per la RDT.</w:t>
      </w:r>
      <w:r>
        <w:rPr>
          <w:rFonts w:ascii="Barlow Semi Condensed" w:cs="Barlow Semi Condensed" w:eastAsia="Barlow Semi Condensed" w:hAnsi="Barlow Semi Condensed"/>
          <w:sz w:val="24"/>
          <w:szCs w:val="24"/>
        </w:rPr>
        <w:t xml:space="preserve"> Il 23 luglio 1973 furono nominati amministratori apostolici permanentemente costituiti per tre sedi della Repubblica Democratica, con sospensione e non soppressione della giurisdizione dei vescovi occidentali e senza erezione di diocesi permanenti, perché la questione dell'unità restava aperta; la circoscrizione definitiva arrivò solo nel 1994. È espressione differenziale in forma pura: stesso soggetto, due ambienti, due esiti giuridici distinti.</w:t>
      </w:r>
    </w:p>
    <w:p>
      <w:pPr>
        <w:spacing w:after="120" w:line="276"/>
        <w:jc w:val="both"/>
      </w:pPr>
      <w:r>
        <w:rPr>
          <w:rFonts w:ascii="Barlow Semi Condensed" w:cs="Barlow Semi Condensed" w:eastAsia="Barlow Semi Condensed" w:hAnsi="Barlow Semi Condensed"/>
          <w:b/>
          <w:bCs/>
          <w:sz w:val="24"/>
          <w:szCs w:val="24"/>
        </w:rPr>
        <w:t xml:space="preserve">370 · Spagna, il documento e i suoi ministri.</w:t>
      </w:r>
      <w:r>
        <w:rPr>
          <w:rFonts w:ascii="Barlow Semi Condensed" w:cs="Barlow Semi Condensed" w:eastAsia="Barlow Semi Condensed" w:hAnsi="Barlow Semi Condensed"/>
          <w:sz w:val="24"/>
          <w:szCs w:val="24"/>
        </w:rPr>
        <w:t xml:space="preserve"> Il rapporto speciale statunitense del 22 maggio 1970 sulle politiche del nuovo gabinetto spagnolo, reperito col protocollo indicato nella sala di lettura dell'agenzia, attesta la prevalenza di tecnici legati all'ente confessionale nel rimpasto dell'ottobre 1969, con almeno dieci ministri su diciannove rientranti nella descrizione. L'appartenenza dei singoli è fatto pubblico documentato e non è prova di una condotta dell'ente: la regola non dipende dalla verifica, la precede.</w:t>
      </w:r>
    </w:p>
    <w:p>
      <w:pPr>
        <w:spacing w:after="120" w:line="276"/>
        <w:jc w:val="both"/>
      </w:pPr>
      <w:r>
        <w:rPr>
          <w:rFonts w:ascii="Barlow Semi Condensed" w:cs="Barlow Semi Condensed" w:eastAsia="Barlow Semi Condensed" w:hAnsi="Barlow Semi Condensed"/>
          <w:b/>
          <w:bCs/>
          <w:sz w:val="24"/>
          <w:szCs w:val="24"/>
        </w:rPr>
        <w:t xml:space="preserve">371 · La frase che non nomina nessuno.</w:t>
      </w:r>
      <w:r>
        <w:rPr>
          <w:rFonts w:ascii="Barlow Semi Condensed" w:cs="Barlow Semi Condensed" w:eastAsia="Barlow Semi Condensed" w:hAnsi="Barlow Semi Condensed"/>
          <w:sz w:val="24"/>
          <w:szCs w:val="24"/>
        </w:rPr>
        <w:t xml:space="preserve"> Il medesimo documento contiene la frase secondo cui un funzionario italiano avrebbe già detto che il suo Paese non sarebbe stato interessato al progetto franco-spagnolo di patto mediterraneo, ma il documento non fa nomi e il termine impiegato è indeterminato. Ogni identificazione con Moro è inferenza non sostenuta: è il punto epistemologicamente più delicato della cartella e si acquisisce solo come frase anonima di un documento autentico.</w:t>
      </w:r>
    </w:p>
    <w:p>
      <w:pPr>
        <w:spacing w:after="120" w:line="276"/>
        <w:jc w:val="both"/>
      </w:pPr>
      <w:r>
        <w:rPr>
          <w:rFonts w:ascii="Barlow Semi Condensed" w:cs="Barlow Semi Condensed" w:eastAsia="Barlow Semi Condensed" w:hAnsi="Barlow Semi Condensed"/>
          <w:b/>
          <w:bCs/>
          <w:sz w:val="24"/>
          <w:szCs w:val="24"/>
        </w:rPr>
        <w:t xml:space="preserve">372 · Lo Stato Zero del contatto diretto.</w:t>
      </w:r>
      <w:r>
        <w:rPr>
          <w:rFonts w:ascii="Barlow Semi Condensed" w:cs="Barlow Semi Condensed" w:eastAsia="Barlow Semi Condensed" w:hAnsi="Barlow Semi Condensed"/>
          <w:sz w:val="24"/>
          <w:szCs w:val="24"/>
        </w:rPr>
        <w:t xml:space="preserve"> Non è stabilito alcun contatto diretto fra Moro e i ministri degli Esteri spagnoli del periodo, e lo Stato Zero è condiviso da più ricognizioni con le stesse sedi di chiusura. Sono l'Archivio storico-diplomatico della Farnesina e l'Archivo General de la Administración di Alcalá de Henares, dove sono confluiti i fondi ministeriali spagnoli, col limite di consultabilità che la storiografia segnala e che va messo a bilancio.</w:t>
      </w:r>
    </w:p>
    <w:p>
      <w:pPr>
        <w:spacing w:after="120" w:line="276"/>
        <w:jc w:val="both"/>
      </w:pPr>
      <w:r>
        <w:rPr>
          <w:rFonts w:ascii="Barlow Semi Condensed" w:cs="Barlow Semi Condensed" w:eastAsia="Barlow Semi Condensed" w:hAnsi="Barlow Semi Condensed"/>
          <w:b/>
          <w:bCs/>
          <w:sz w:val="24"/>
          <w:szCs w:val="24"/>
        </w:rPr>
        <w:t xml:space="preserve">373 · L'accordo comunitario del 1970.</w:t>
      </w:r>
      <w:r>
        <w:rPr>
          <w:rFonts w:ascii="Barlow Semi Condensed" w:cs="Barlow Semi Condensed" w:eastAsia="Barlow Semi Condensed" w:hAnsi="Barlow Semi Condensed"/>
          <w:sz w:val="24"/>
          <w:szCs w:val="24"/>
        </w:rPr>
        <w:t xml:space="preserve"> L'accordo preferenziale fra Comunità e Spagna del 29 giugno 1970 è confermato su fonte primaria, con la precisazione che il firmatario belga sottoscrisse in qualità di presidente di turno del Consiglio. La precisazione colloca correttamente, per contrasto, la firma turca apposta da Moro il 27 luglio 1971: due atti della stessa natura, due presidenze di turno diverse, nessuna paternità politica nazionale da inferire dall'una o dall'altra.</w:t>
      </w:r>
    </w:p>
    <w:p>
      <w:pPr>
        <w:spacing w:after="120" w:line="276"/>
        <w:jc w:val="both"/>
      </w:pPr>
      <w:r>
        <w:rPr>
          <w:rFonts w:ascii="Barlow Semi Condensed" w:cs="Barlow Semi Condensed" w:eastAsia="Barlow Semi Condensed" w:hAnsi="Barlow Semi Condensed"/>
          <w:b/>
          <w:bCs/>
          <w:sz w:val="24"/>
          <w:szCs w:val="24"/>
        </w:rPr>
        <w:t xml:space="preserve">374 · Il 27 settembre 1975 e i richiami.</w:t>
      </w:r>
      <w:r>
        <w:rPr>
          <w:rFonts w:ascii="Barlow Semi Condensed" w:cs="Barlow Semi Condensed" w:eastAsia="Barlow Semi Condensed" w:hAnsi="Barlow Semi Condensed"/>
          <w:sz w:val="24"/>
          <w:szCs w:val="24"/>
        </w:rPr>
        <w:t xml:space="preserve"> Le cinque esecuzioni del 27 settembre 1975, ultime del regime e anteriori di meno di due mesi alla morte di Franco, furono pronunciate da consigli di guerra sommari sotto un decreto-legge dell'agosto 1975, con procedure la cui denuncia fu allora e resta oggetto di rilievo. Il dato di statuto va riportato ogni volta che si riprende l'episodio dei richiami di ambasciatori, perché spiega la reazione europea meglio di qualunque ricostruzione d'intenzione.</w:t>
      </w:r>
    </w:p>
    <w:p>
      <w:pPr>
        <w:spacing w:after="120" w:line="276"/>
        <w:jc w:val="both"/>
      </w:pPr>
      <w:r>
        <w:rPr>
          <w:rFonts w:ascii="Barlow Semi Condensed" w:cs="Barlow Semi Condensed" w:eastAsia="Barlow Semi Condensed" w:hAnsi="Barlow Semi Condensed"/>
          <w:b/>
          <w:bCs/>
          <w:sz w:val="24"/>
          <w:szCs w:val="24"/>
        </w:rPr>
        <w:t xml:space="preserve">375 · L'anacronismo da correggere.</w:t>
      </w:r>
      <w:r>
        <w:rPr>
          <w:rFonts w:ascii="Barlow Semi Condensed" w:cs="Barlow Semi Condensed" w:eastAsia="Barlow Semi Condensed" w:hAnsi="Barlow Semi Condensed"/>
          <w:sz w:val="24"/>
          <w:szCs w:val="24"/>
        </w:rPr>
        <w:t xml:space="preserve"> La domanda sulla reazione della Spagna franchista al sequestro Moro del 1978 è mal posta, perché Franco morì il 20 novembre 1975 e nel 1978 la Spagna era in piena Transizione democratica, e il corpus registrava l'esito negativo senza rilevare l'anacronismo. La premessa va riformulata prima di cercare, altrimenti la ricerca produce un vuoto che è artefatto della domanda e non proprietà del mondo.</w:t>
      </w:r>
    </w:p>
    <w:p>
      <w:pPr>
        <w:spacing w:after="120" w:line="276"/>
        <w:jc w:val="both"/>
      </w:pPr>
      <w:r>
        <w:rPr>
          <w:rFonts w:ascii="Barlow Semi Condensed" w:cs="Barlow Semi Condensed" w:eastAsia="Barlow Semi Condensed" w:hAnsi="Barlow Semi Condensed"/>
          <w:b/>
          <w:bCs/>
          <w:sz w:val="24"/>
          <w:szCs w:val="24"/>
        </w:rPr>
        <w:t xml:space="preserve">376 · Il canale vaticano spagnolo, con riserva.</w:t>
      </w:r>
      <w:r>
        <w:rPr>
          <w:rFonts w:ascii="Barlow Semi Condensed" w:cs="Barlow Semi Condensed" w:eastAsia="Barlow Semi Condensed" w:hAnsi="Barlow Semi Condensed"/>
          <w:sz w:val="24"/>
          <w:szCs w:val="24"/>
        </w:rPr>
        <w:t xml:space="preserve"> L'udienza del 12 gennaio 1973 fra il ministro degli Esteri spagnolo e Paolo VI, con risposta pontificia giunta oltre sei mesi dopo, è confermata quanto alla data ma poggia su una conferenza edita e sulle ricostruzioni che ne derivano, non su un documento primario consultabile. La riserva si dichiara, tanto più che l'Archivio Apostolico Vaticano è consultabile solo fino all'ottobre 1958 e la verifica primaria resta preclusa allo stato.</w:t>
      </w:r>
    </w:p>
    <w:p>
      <w:pPr>
        <w:spacing w:after="120" w:line="276"/>
        <w:jc w:val="both"/>
      </w:pPr>
      <w:r>
        <w:rPr>
          <w:rFonts w:ascii="Barlow Semi Condensed" w:cs="Barlow Semi Condensed" w:eastAsia="Barlow Semi Condensed" w:hAnsi="Barlow Semi Condensed"/>
          <w:b/>
          <w:bCs/>
          <w:sz w:val="24"/>
          <w:szCs w:val="24"/>
        </w:rPr>
        <w:t xml:space="preserve">377 · Che cosa la Spagna non stabilisce.</w:t>
      </w:r>
      <w:r>
        <w:rPr>
          <w:rFonts w:ascii="Barlow Semi Condensed" w:cs="Barlow Semi Condensed" w:eastAsia="Barlow Semi Condensed" w:hAnsi="Barlow Semi Condensed"/>
          <w:sz w:val="24"/>
          <w:szCs w:val="24"/>
        </w:rPr>
        <w:t xml:space="preserve"> Non è stabilito che la comunanza di ambiente cattolico fra Roma politica, Roma pontificia e i ministri di Madrid sia mai divenuta condotta coordinata, e non è stabilito che il silenzio del vertice governativo italiano su questi dossier fosse inerzia deliberata. Allo stato è assenza di fonti, e l'assenza di fonti si colma in archivio e non per inferenza: sono due divieti, e valgono identici per tutti i teatri.</w:t>
      </w:r>
    </w:p>
    <w:p>
      <w:pPr>
        <w:spacing w:after="120" w:line="276"/>
        <w:jc w:val="both"/>
      </w:pPr>
      <w:r>
        <w:rPr>
          <w:rFonts w:ascii="Barlow Semi Condensed" w:cs="Barlow Semi Condensed" w:eastAsia="Barlow Semi Condensed" w:hAnsi="Barlow Semi Condensed"/>
          <w:b/>
          <w:bCs/>
          <w:sz w:val="24"/>
          <w:szCs w:val="24"/>
        </w:rPr>
        <w:t xml:space="preserve">378 · Il Mediterraneo come tessuto, non teatro.</w:t>
      </w:r>
      <w:r>
        <w:rPr>
          <w:rFonts w:ascii="Barlow Semi Condensed" w:cs="Barlow Semi Condensed" w:eastAsia="Barlow Semi Condensed" w:hAnsi="Barlow Semi Condensed"/>
          <w:sz w:val="24"/>
          <w:szCs w:val="24"/>
        </w:rPr>
        <w:t xml:space="preserve"> Il Mediterraneo non è un settimo teatro accanto agli altri sei ma il tessuto in cui quattro di essi sono immersi, e trattarlo come attore produce esattamente l'errore che questa serie combatte, cioè la costruzione di un soggetto unico a partire da somiglianze fra ambienti. Si tratta perciò come cornice geografica documentabile e come insieme di dossier distinti, ciascuno col proprio grado dichiarato.</w:t>
      </w:r>
    </w:p>
    <w:p>
      <w:pPr>
        <w:spacing w:after="120" w:line="276"/>
        <w:jc w:val="both"/>
      </w:pPr>
      <w:r>
        <w:rPr>
          <w:rFonts w:ascii="Barlow Semi Condensed" w:cs="Barlow Semi Condensed" w:eastAsia="Barlow Semi Condensed" w:hAnsi="Barlow Semi Condensed"/>
          <w:b/>
          <w:bCs/>
          <w:sz w:val="24"/>
          <w:szCs w:val="24"/>
        </w:rPr>
        <w:t xml:space="preserve">379 · La colonna che i cantieri non hanno.</w:t>
      </w:r>
      <w:r>
        <w:rPr>
          <w:rFonts w:ascii="Barlow Semi Condensed" w:cs="Barlow Semi Condensed" w:eastAsia="Barlow Semi Condensed" w:hAnsi="Barlow Semi Condensed"/>
          <w:sz w:val="24"/>
          <w:szCs w:val="24"/>
        </w:rPr>
        <w:t xml:space="preserve"> I nove cantieri hanno tre colonne estere — britannica, francese, tedesca, con Berna e Vienna in appendice — e nessuna colonna mediterranea o araba, mentre la stringa «lodo Moro» non compare in alcuno dei tre documenti maggiori del corpus. È un buco strutturale misurato, e la sua diagnosi precede l'interpretazione: dice che le fonti che trattano quel versante non sono ancora state spogliate.</w:t>
      </w:r>
    </w:p>
    <w:p>
      <w:pPr>
        <w:spacing w:after="120" w:line="276"/>
        <w:jc w:val="both"/>
      </w:pPr>
      <w:r>
        <w:rPr>
          <w:rFonts w:ascii="Barlow Semi Condensed" w:cs="Barlow Semi Condensed" w:eastAsia="Barlow Semi Condensed" w:hAnsi="Barlow Semi Condensed"/>
          <w:b/>
          <w:bCs/>
          <w:sz w:val="24"/>
          <w:szCs w:val="24"/>
        </w:rPr>
        <w:t xml:space="preserve">380 · Il secondo tempo della regola dei buchi.</w:t>
      </w:r>
      <w:r>
        <w:rPr>
          <w:rFonts w:ascii="Barlow Semi Condensed" w:cs="Barlow Semi Condensed" w:eastAsia="Barlow Semi Condensed" w:hAnsi="Barlow Semi Condensed"/>
          <w:sz w:val="24"/>
          <w:szCs w:val="24"/>
        </w:rPr>
        <w:t xml:space="preserve"> La regola dei buchi ha ora due tempi: prima si misura il vuoto e lo si dichiara, poi se ne diagnostica la causa nella specializzazione delle fonti, e solo dopo si è autorizzati a interrogarlo sulla struttura del mondo. Un basso rapporto di associazione fra due domini non è indizio di assenza di rapporti ma indizio che nessuno ha ancora scritto un documento che li tratti insieme.</w:t>
      </w:r>
    </w:p>
    <w:p>
      <w:pPr>
        <w:spacing w:after="120" w:line="276"/>
        <w:jc w:val="both"/>
      </w:pPr>
      <w:r>
        <w:rPr>
          <w:rFonts w:ascii="Barlow Semi Condensed" w:cs="Barlow Semi Condensed" w:eastAsia="Barlow Semi Condensed" w:hAnsi="Barlow Semi Condensed"/>
          <w:b/>
          <w:bCs/>
          <w:sz w:val="24"/>
          <w:szCs w:val="24"/>
        </w:rPr>
        <w:t xml:space="preserve">381 · Il Kippur del 1973 come antecedente.</w:t>
      </w:r>
      <w:r>
        <w:rPr>
          <w:rFonts w:ascii="Barlow Semi Condensed" w:cs="Barlow Semi Condensed" w:eastAsia="Barlow Semi Condensed" w:hAnsi="Barlow Semi Condensed"/>
          <w:sz w:val="24"/>
          <w:szCs w:val="24"/>
        </w:rPr>
        <w:t xml:space="preserve"> In un'audizione parlamentare del 2 dicembre 2014 si è ricordato che nel 1973 Moro rifiutò l'utilizzo delle basi dell'Alleanza in Italia a sostegno di Israele, sostenendo che quel conflitto esorbitasse dall'area coperta dal patto: è testimonianza resa in sede parlamentare e va qualificata come tale. Dà al quesito atlantico del corpus, che i cantieri hanno solo per il 1978 ai blocchi 24 e 98, il suo antecedente datato.</w:t>
      </w:r>
    </w:p>
    <w:p>
      <w:pPr>
        <w:spacing w:after="120" w:line="276"/>
        <w:jc w:val="both"/>
      </w:pPr>
      <w:r>
        <w:rPr>
          <w:rFonts w:ascii="Barlow Semi Condensed" w:cs="Barlow Semi Condensed" w:eastAsia="Barlow Semi Condensed" w:hAnsi="Barlow Semi Condensed"/>
          <w:b/>
          <w:bCs/>
          <w:sz w:val="24"/>
          <w:szCs w:val="24"/>
        </w:rPr>
        <w:t xml:space="preserve">382 · Il versante libico e le sue divergenze.</w:t>
      </w:r>
      <w:r>
        <w:rPr>
          <w:rFonts w:ascii="Barlow Semi Condensed" w:cs="Barlow Semi Condensed" w:eastAsia="Barlow Semi Condensed" w:hAnsi="Barlow Semi Condensed"/>
          <w:sz w:val="24"/>
          <w:szCs w:val="24"/>
        </w:rPr>
        <w:t xml:space="preserve"> La confisca dei beni italiani del 21 luglio 1970, l'ultimatum del 7 ottobre e il traghettamento di oltre diciassettemila persone concluso il 15 ottobre 1970 sono acquisiti dal corpus, mentre il valore dei beni confiscati diverge realmente fra duecento miliardi di lire dell'epoca, circa quattrocento e una stima rivalutata in euro non omogenea alle prime due. Le tre cifre si riportano ciascuna con la propria provenienza.</w:t>
      </w:r>
    </w:p>
    <w:p>
      <w:pPr>
        <w:spacing w:after="120" w:line="276"/>
        <w:jc w:val="both"/>
      </w:pPr>
      <w:r>
        <w:rPr>
          <w:rFonts w:ascii="Barlow Semi Condensed" w:cs="Barlow Semi Condensed" w:eastAsia="Barlow Semi Condensed" w:hAnsi="Barlow Semi Condensed"/>
          <w:b/>
          <w:bCs/>
          <w:sz w:val="24"/>
          <w:szCs w:val="24"/>
        </w:rPr>
        <w:t xml:space="preserve">383 · Osimo, e il canale fuori dalla Farnesina.</w:t>
      </w:r>
      <w:r>
        <w:rPr>
          <w:rFonts w:ascii="Barlow Semi Condensed" w:cs="Barlow Semi Condensed" w:eastAsia="Barlow Semi Condensed" w:hAnsi="Barlow Semi Condensed"/>
          <w:sz w:val="24"/>
          <w:szCs w:val="24"/>
        </w:rPr>
        <w:t xml:space="preserve"> I negoziati riservati di Osimo si svolsero fra luglio e novembre 1974, nella fase finale del ministero, attraverso un canale esterno alla Farnesina, e furono il primo accordo internazionale i cui negoziati per l'Italia non vennero curati dal ministero degli Esteri. La maturazione strategica in fase Moro va tenuta distinta dalla paternità politica, perché firma e titolarità formale, nel novembre 1975, spettarono ad altri.</w:t>
      </w:r>
    </w:p>
    <w:p>
      <w:pPr>
        <w:spacing w:after="120" w:line="276"/>
        <w:jc w:val="both"/>
      </w:pPr>
      <w:r>
        <w:rPr>
          <w:rFonts w:ascii="Barlow Semi Condensed" w:cs="Barlow Semi Condensed" w:eastAsia="Barlow Semi Condensed" w:hAnsi="Barlow Semi Condensed"/>
          <w:b/>
          <w:bCs/>
          <w:sz w:val="24"/>
          <w:szCs w:val="24"/>
        </w:rPr>
        <w:t xml:space="preserve">384 · La firma di Helsinki e la sua contesa.</w:t>
      </w:r>
      <w:r>
        <w:rPr>
          <w:rFonts w:ascii="Barlow Semi Condensed" w:cs="Barlow Semi Condensed" w:eastAsia="Barlow Semi Condensed" w:hAnsi="Barlow Semi Condensed"/>
          <w:sz w:val="24"/>
          <w:szCs w:val="24"/>
        </w:rPr>
        <w:t xml:space="preserve"> Il primo agosto 1975 Moro sottoscrisse l'Atto finale nella duplice qualità di presidente del Consiglio dei ministri e di presidente di turno della Comunità europea, e il committente riferisce come fatto pubblico l'insofferenza di Kissinger verso quel coinvolgimento comunitario nella firma. Il blocco la registra come tale e ne chiede il primario, indicando la sede: la documentazione FRUS del volume XXXIX e le carte della delegazione italiana.</w:t>
      </w:r>
    </w:p>
    <w:p>
      <w:pPr>
        <w:spacing w:after="120" w:line="276"/>
        <w:jc w:val="both"/>
      </w:pPr>
      <w:r>
        <w:rPr>
          <w:rFonts w:ascii="Barlow Semi Condensed" w:cs="Barlow Semi Condensed" w:eastAsia="Barlow Semi Condensed" w:hAnsi="Barlow Semi Condensed"/>
          <w:b/>
          <w:bCs/>
          <w:sz w:val="24"/>
          <w:szCs w:val="24"/>
        </w:rPr>
        <w:t xml:space="preserve">385 · La tavola comparativa, e i suoi limiti.</w:t>
      </w:r>
      <w:r>
        <w:rPr>
          <w:rFonts w:ascii="Barlow Semi Condensed" w:cs="Barlow Semi Condensed" w:eastAsia="Barlow Semi Condensed" w:hAnsi="Barlow Semi Condensed"/>
          <w:sz w:val="24"/>
          <w:szCs w:val="24"/>
        </w:rPr>
        <w:t xml:space="preserve"> Messi in colonna i sette ambienti, la tavola mostra un piano 1 denso per la Turchia comunitaria e per la Grecia del 1969 e del 1974, un piano 1 quasi vuoto per Portogallo e Spagna, un piano 1 tedesco documentato ma privo della posizione italiana, e un piano 2 diffuso ovunque. È una mappa della documentazione disponibile, e non è né diventa una mappa di intenzioni.</w:t>
      </w:r>
    </w:p>
    <w:p>
      <w:pPr>
        <w:spacing w:after="120" w:line="276"/>
        <w:jc w:val="both"/>
      </w:pPr>
      <w:r>
        <w:rPr>
          <w:rFonts w:ascii="Barlow Semi Condensed" w:cs="Barlow Semi Condensed" w:eastAsia="Barlow Semi Condensed" w:hAnsi="Barlow Semi Condensed"/>
          <w:b/>
          <w:bCs/>
          <w:sz w:val="24"/>
          <w:szCs w:val="24"/>
        </w:rPr>
        <w:t xml:space="preserve">386 · Il divieto centrale della serie.</w:t>
      </w:r>
      <w:r>
        <w:rPr>
          <w:rFonts w:ascii="Barlow Semi Condensed" w:cs="Barlow Semi Condensed" w:eastAsia="Barlow Semi Condensed" w:hAnsi="Barlow Semi Condensed"/>
          <w:sz w:val="24"/>
          <w:szCs w:val="24"/>
        </w:rPr>
        <w:t xml:space="preserve"> Che sei ambienti mostrino esiti simili non prova un solo regista, come sei fenotipi simili non provano un solo gene, perché la somiglianza fra due espressioni si spiega altrettanto bene con una pressione ambientale comune — la stessa guerra fredda, la stessa alleanza, la stessa crisi energetica — quanto con una regia. Per scegliere fra le due spiegazioni serve un documento al piano 1, e in nessun teatro qui comparato esiste.</w:t>
      </w:r>
    </w:p>
    <w:p>
      <w:pPr>
        <w:spacing w:after="120" w:line="276"/>
        <w:jc w:val="both"/>
      </w:pPr>
      <w:r>
        <w:rPr>
          <w:rFonts w:ascii="Barlow Semi Condensed" w:cs="Barlow Semi Condensed" w:eastAsia="Barlow Semi Condensed" w:hAnsi="Barlow Semi Condensed"/>
          <w:b/>
          <w:bCs/>
          <w:sz w:val="24"/>
          <w:szCs w:val="24"/>
        </w:rPr>
        <w:t xml:space="preserve">387 · La consilienza e il suo guardrail.</w:t>
      </w:r>
      <w:r>
        <w:rPr>
          <w:rFonts w:ascii="Barlow Semi Condensed" w:cs="Barlow Semi Condensed" w:eastAsia="Barlow Semi Condensed" w:hAnsi="Barlow Semi Condensed"/>
          <w:sz w:val="24"/>
          <w:szCs w:val="24"/>
        </w:rPr>
        <w:t xml:space="preserve"> Linee di evidenza indipendenti che convergono si rafforzano, ma la convergenza rafforza solo fra linee davvero indipendenti e mai oltre il grado della linea più debole. Applicata alla comparazione fra teatri, la regola dice che sei convergenze di piano 2 non fanno un piano 1 ma sei convergenze di piano 2: la consilienza è una stretta di mano fra prove, non una piramide di suggestioni.</w:t>
      </w:r>
    </w:p>
    <w:p>
      <w:pPr>
        <w:spacing w:after="120" w:line="276"/>
        <w:jc w:val="both"/>
      </w:pPr>
      <w:r>
        <w:rPr>
          <w:rFonts w:ascii="Barlow Semi Condensed" w:cs="Barlow Semi Condensed" w:eastAsia="Barlow Semi Condensed" w:hAnsi="Barlow Semi Condensed"/>
          <w:b/>
          <w:bCs/>
          <w:sz w:val="24"/>
          <w:szCs w:val="24"/>
        </w:rPr>
        <w:t xml:space="preserve">388 · L'effetto convergente da causa comune.</w:t>
      </w:r>
      <w:r>
        <w:rPr>
          <w:rFonts w:ascii="Barlow Semi Condensed" w:cs="Barlow Semi Condensed" w:eastAsia="Barlow Semi Condensed" w:hAnsi="Barlow Semi Condensed"/>
          <w:sz w:val="24"/>
          <w:szCs w:val="24"/>
        </w:rPr>
        <w:t xml:space="preserve"> La seconda campagna della Farnesina propone alla griglia dei gradi una quinta voce, cioè due esiti simultanei che discendono provatamente dallo stesso evento e non l'uno dall'altro, e serve proprio a impedire che una simultaneità con causa nota venga promossa a nesso fra i suoi due effetti. In una serie comparativa come questa è la categoria più necessaria, e va usata prima di ogni altra.</w:t>
      </w:r>
    </w:p>
    <w:p>
      <w:pPr>
        <w:spacing w:after="120" w:line="276"/>
        <w:jc w:val="both"/>
      </w:pPr>
      <w:r>
        <w:rPr>
          <w:rFonts w:ascii="Barlow Semi Condensed" w:cs="Barlow Semi Condensed" w:eastAsia="Barlow Semi Condensed" w:hAnsi="Barlow Semi Condensed"/>
          <w:b/>
          <w:bCs/>
          <w:sz w:val="24"/>
          <w:szCs w:val="24"/>
        </w:rPr>
        <w:t xml:space="preserve">389 · Le sedi che chiuderebbero la serie.</w:t>
      </w:r>
      <w:r>
        <w:rPr>
          <w:rFonts w:ascii="Barlow Semi Condensed" w:cs="Barlow Semi Condensed" w:eastAsia="Barlow Semi Condensed" w:hAnsi="Barlow Semi Condensed"/>
          <w:sz w:val="24"/>
          <w:szCs w:val="24"/>
        </w:rPr>
        <w:t xml:space="preserve"> Chiuderebbero i teatri, ciascuno per la propria parte, la Farnesina con le sue serie nazionali e il limite dichiarato sui Telegrammi, gli AAPD e il Politisches Archiv per Bonn, la Torre do Tombo e il portale ministeriale per Lisbona, l'Archivo General de la Administración per Madrid, gli atti del Consiglio d'Europa e la Rappresentanza presso la NATO per Atene. Per tutti, i volumi a stampa dei resoconti parlamentari.</w:t>
      </w:r>
    </w:p>
    <w:p>
      <w:pPr>
        <w:spacing w:after="120" w:line="276"/>
        <w:jc w:val="both"/>
      </w:pPr>
      <w:r>
        <w:rPr>
          <w:rFonts w:ascii="Barlow Semi Condensed" w:cs="Barlow Semi Condensed" w:eastAsia="Barlow Semi Condensed" w:hAnsi="Barlow Semi Condensed"/>
          <w:b/>
          <w:bCs/>
          <w:sz w:val="24"/>
          <w:szCs w:val="24"/>
        </w:rPr>
        <w:t xml:space="preserve">390 · Congedo della quinta serie.</w:t>
      </w:r>
      <w:r>
        <w:rPr>
          <w:rFonts w:ascii="Barlow Semi Condensed" w:cs="Barlow Semi Condensed" w:eastAsia="Barlow Semi Condensed" w:hAnsi="Barlow Semi Condensed"/>
          <w:sz w:val="24"/>
          <w:szCs w:val="24"/>
        </w:rPr>
        <w:t xml:space="preserve"> La metafora genetica ha reso un servizio e va ora deposta: ha permesso di chiedere perché lo stesso codice dichiarato si veda in forme diverse, e ha impedito di rispondere che qualcuno le volle tutte. Restano sette ambienti, una manciata di atti al piano 1, molte convergenze dichiarate come tali e un elenco di sedi d'archivio con i loro costi: il fascicolo, come deve, resta aperto.</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Serie sesta — Omologia e analogia: il problema centrale</w:t>
      </w:r>
    </w:p>
    <w:p>
      <w:pPr>
        <w:spacing w:after="120" w:line="276"/>
        <w:jc w:val="both"/>
      </w:pPr>
      <w:r>
        <w:rPr>
          <w:rFonts w:ascii="Barlow Semi Condensed" w:cs="Barlow Semi Condensed" w:eastAsia="Barlow Semi Condensed" w:hAnsi="Barlow Semi Condensed"/>
          <w:i/>
          <w:iCs/>
          <w:sz w:val="24"/>
          <w:szCs w:val="24"/>
        </w:rPr>
        <w:t xml:space="preserve">Blocchi 391-485.</w:t>
      </w:r>
    </w:p>
    <w:p>
      <w:pPr>
        <w:spacing w:after="120" w:line="276"/>
        <w:jc w:val="both"/>
      </w:pPr>
      <w:r>
        <w:rPr>
          <w:rFonts w:ascii="Barlow Semi Condensed" w:cs="Barlow Semi Condensed" w:eastAsia="Barlow Semi Condensed" w:hAnsi="Barlow Semi Condensed"/>
          <w:b/>
          <w:bCs/>
          <w:sz w:val="24"/>
          <w:szCs w:val="24"/>
        </w:rPr>
        <w:t xml:space="preserve">391 · La distinzione che regge l'opera.</w:t>
      </w:r>
      <w:r>
        <w:rPr>
          <w:rFonts w:ascii="Barlow Semi Condensed" w:cs="Barlow Semi Condensed" w:eastAsia="Barlow Semi Condensed" w:hAnsi="Barlow Semi Condensed"/>
          <w:sz w:val="24"/>
          <w:szCs w:val="24"/>
        </w:rPr>
        <w:t xml:space="preserve"> In biologia due strutture simili discendono da un antenato comune oppure convergono per adattamento in ambienti simili: la prima relazione si chiama omologia, la seconda analogia. Tradotta nel corpus, la coppia coincide con quella già in uso fra filiazione documentata e isomorfismo, e con la regola dei tre piani: il piano 1 è omologia, il piano 2 è analogia. Questa serie applica l'equivalenza e ne verifica la tenuta caso per caso.</w:t>
      </w:r>
    </w:p>
    <w:p>
      <w:pPr>
        <w:spacing w:after="120" w:line="276"/>
        <w:jc w:val="both"/>
      </w:pPr>
      <w:r>
        <w:rPr>
          <w:rFonts w:ascii="Barlow Semi Condensed" w:cs="Barlow Semi Condensed" w:eastAsia="Barlow Semi Condensed" w:hAnsi="Barlow Semi Condensed"/>
          <w:b/>
          <w:bCs/>
          <w:sz w:val="24"/>
          <w:szCs w:val="24"/>
        </w:rPr>
        <w:t xml:space="preserve">392 · Perché serve la metafora genetica.</w:t>
      </w:r>
      <w:r>
        <w:rPr>
          <w:rFonts w:ascii="Barlow Semi Condensed" w:cs="Barlow Semi Condensed" w:eastAsia="Barlow Semi Condensed" w:hAnsi="Barlow Semi Condensed"/>
          <w:sz w:val="24"/>
          <w:szCs w:val="24"/>
        </w:rPr>
        <w:t xml:space="preserve"> La chiave dichiarata dal committente, Kissinger come figura metaforica della genetica, non serve a insinuare ma a domandare meglio. Un albero filogenetico obbliga a dichiarare quale carattere sostiene quale ramo, come il metodo obbliga a dichiarare quale documento sostiene quale nesso. Dove la metafora spinge verso il determinismo o verso la colpa ereditaria, i blocchi di questa serie la fermano e lo dicono: è lente, non sentenza.</w:t>
      </w:r>
    </w:p>
    <w:p>
      <w:pPr>
        <w:spacing w:after="120" w:line="276"/>
        <w:jc w:val="both"/>
      </w:pPr>
      <w:r>
        <w:rPr>
          <w:rFonts w:ascii="Barlow Semi Condensed" w:cs="Barlow Semi Condensed" w:eastAsia="Barlow Semi Condensed" w:hAnsi="Barlow Semi Condensed"/>
          <w:b/>
          <w:bCs/>
          <w:sz w:val="24"/>
          <w:szCs w:val="24"/>
        </w:rPr>
        <w:t xml:space="preserve">393 · Omologia, la definizione operativa.</w:t>
      </w:r>
      <w:r>
        <w:rPr>
          <w:rFonts w:ascii="Barlow Semi Condensed" w:cs="Barlow Semi Condensed" w:eastAsia="Barlow Semi Condensed" w:hAnsi="Barlow Semi Condensed"/>
          <w:sz w:val="24"/>
          <w:szCs w:val="24"/>
        </w:rPr>
        <w:t xml:space="preserve"> Un rapporto è omologo quando esiste un antenato comune documentato e la discendenza è tracciabile attraverso passaggi intermedi attestati. Nel corpus significa piano 1: rapporto diretto documentato, con atto, data e sede d'archivio. Non basta che l'antenato sia plausibile, deve essere reperito. Un'omologia asserita senza il documento della discendenza è, per definizione del metodo, un'analogia non ancora riconosciuta come tale.</w:t>
      </w:r>
    </w:p>
    <w:p>
      <w:pPr>
        <w:spacing w:after="120" w:line="276"/>
        <w:jc w:val="both"/>
      </w:pPr>
      <w:r>
        <w:rPr>
          <w:rFonts w:ascii="Barlow Semi Condensed" w:cs="Barlow Semi Condensed" w:eastAsia="Barlow Semi Condensed" w:hAnsi="Barlow Semi Condensed"/>
          <w:b/>
          <w:bCs/>
          <w:sz w:val="24"/>
          <w:szCs w:val="24"/>
        </w:rPr>
        <w:t xml:space="preserve">394 · Analogia, la definizione operativa.</w:t>
      </w:r>
      <w:r>
        <w:rPr>
          <w:rFonts w:ascii="Barlow Semi Condensed" w:cs="Barlow Semi Condensed" w:eastAsia="Barlow Semi Condensed" w:hAnsi="Barlow Semi Condensed"/>
          <w:sz w:val="24"/>
          <w:szCs w:val="24"/>
        </w:rPr>
        <w:t xml:space="preserve"> Un rapporto è analogo quando due strutture si somigliano perché rispondono agli stessi vincoli, non perché discendano l'una dall'altra o da un terzo. Nel corpus è il piano 2: convergenza strutturale entro la stessa cornice. La cornice, qui, è la lunga guerra fredda combattuta dentro le società occidentali, e produce forme simili in luoghi che non comunicano. L'analogia si registra come tale e non si promuove mai a nesso causale.</w:t>
      </w:r>
    </w:p>
    <w:p>
      <w:pPr>
        <w:spacing w:after="120" w:line="276"/>
        <w:jc w:val="both"/>
      </w:pPr>
      <w:r>
        <w:rPr>
          <w:rFonts w:ascii="Barlow Semi Condensed" w:cs="Barlow Semi Condensed" w:eastAsia="Barlow Semi Condensed" w:hAnsi="Barlow Semi Condensed"/>
          <w:b/>
          <w:bCs/>
          <w:sz w:val="24"/>
          <w:szCs w:val="24"/>
        </w:rPr>
        <w:t xml:space="preserve">395 · Il piano 3 e la sua natura.</w:t>
      </w:r>
      <w:r>
        <w:rPr>
          <w:rFonts w:ascii="Barlow Semi Condensed" w:cs="Barlow Semi Condensed" w:eastAsia="Barlow Semi Condensed" w:hAnsi="Barlow Semi Condensed"/>
          <w:sz w:val="24"/>
          <w:szCs w:val="24"/>
        </w:rPr>
        <w:t xml:space="preserve"> Resta il piano 3, l'affermazione terziaria priva di riscontro, che nella metafora non è né omologia né analogia perché non è un carattere osservato ma una notizia su un carattere. Un albero non si costruisce con caratteri riferiti da terzi: si costruisce su ciò che si può esaminare. Il piano 3 entra nel registro come voce da riscontrare, con la sua provenienza accanto, e mai come ramo.</w:t>
      </w:r>
    </w:p>
    <w:p>
      <w:pPr>
        <w:spacing w:after="120" w:line="276"/>
        <w:jc w:val="both"/>
      </w:pPr>
      <w:r>
        <w:rPr>
          <w:rFonts w:ascii="Barlow Semi Condensed" w:cs="Barlow Semi Condensed" w:eastAsia="Barlow Semi Condensed" w:hAnsi="Barlow Semi Condensed"/>
          <w:b/>
          <w:bCs/>
          <w:sz w:val="24"/>
          <w:szCs w:val="24"/>
        </w:rPr>
        <w:t xml:space="preserve">396 · Il carattere condiviso non individua.</w:t>
      </w:r>
      <w:r>
        <w:rPr>
          <w:rFonts w:ascii="Barlow Semi Condensed" w:cs="Barlow Semi Condensed" w:eastAsia="Barlow Semi Condensed" w:hAnsi="Barlow Semi Condensed"/>
          <w:sz w:val="24"/>
          <w:szCs w:val="24"/>
        </w:rPr>
        <w:t xml:space="preserve"> La cladistica distingue il carattere derivato condiviso, che individua un gruppo, dal carattere primitivo condiviso, che non individua nulla perché appartiene a tutti. Il lessico rivoluzionario, l'antimperialismo, il riferimento alle guerriglie latinoamericane sono caratteri primitivi dell'intera area della sinistra armata europea di quel decennio: condividerli non prova alcuna parentela particolare. Solo i tratti rari e arbitrari portano segnale filogenetico.</w:t>
      </w:r>
    </w:p>
    <w:p>
      <w:pPr>
        <w:spacing w:after="120" w:line="276"/>
        <w:jc w:val="both"/>
      </w:pPr>
      <w:r>
        <w:rPr>
          <w:rFonts w:ascii="Barlow Semi Condensed" w:cs="Barlow Semi Condensed" w:eastAsia="Barlow Semi Condensed" w:hAnsi="Barlow Semi Condensed"/>
          <w:b/>
          <w:bCs/>
          <w:sz w:val="24"/>
          <w:szCs w:val="24"/>
        </w:rPr>
        <w:t xml:space="preserve">397 · Il criterio della posizione.</w:t>
      </w:r>
      <w:r>
        <w:rPr>
          <w:rFonts w:ascii="Barlow Semi Condensed" w:cs="Barlow Semi Condensed" w:eastAsia="Barlow Semi Condensed" w:hAnsi="Barlow Semi Condensed"/>
          <w:sz w:val="24"/>
          <w:szCs w:val="24"/>
        </w:rPr>
        <w:t xml:space="preserve"> In anatomia comparata l'omologia si riconosce dalla posizione relativa della struttura, non dalla sua funzione: un osso è omologo perché occupa lo stesso posto nella serie, qualunque cosa faccia. Tradotto, due gruppi non sono imparentati perché fanno la stessa cosa, ma perché occupano la stessa posizione in una catena documentale ricostruibile: chi finanziò chi, chi addestrò chi, chi ricevette da chi, con l'atto che lo attesta.</w:t>
      </w:r>
    </w:p>
    <w:p>
      <w:pPr>
        <w:spacing w:after="120" w:line="276"/>
        <w:jc w:val="both"/>
      </w:pPr>
      <w:r>
        <w:rPr>
          <w:rFonts w:ascii="Barlow Semi Condensed" w:cs="Barlow Semi Condensed" w:eastAsia="Barlow Semi Condensed" w:hAnsi="Barlow Semi Condensed"/>
          <w:b/>
          <w:bCs/>
          <w:sz w:val="24"/>
          <w:szCs w:val="24"/>
        </w:rPr>
        <w:t xml:space="preserve">398 · Il criterio dell'ontogenesi.</w:t>
      </w:r>
      <w:r>
        <w:rPr>
          <w:rFonts w:ascii="Barlow Semi Condensed" w:cs="Barlow Semi Condensed" w:eastAsia="Barlow Semi Condensed" w:hAnsi="Barlow Semi Condensed"/>
          <w:sz w:val="24"/>
          <w:szCs w:val="24"/>
        </w:rPr>
        <w:t xml:space="preserve"> Il secondo criterio classico dell'omologia è lo sviluppo: due strutture sono omologhe se derivano dallo stesso abbozzo iniziale, anche quando la forma adulta le rende irriconoscibili. Tradotto, conta la genesi documentata di un'organizzazione, il convegno di fondazione con i suoi verbali e i suoi partecipanti, più della forma che essa assume dieci anni dopo. La forma matura inganna; l'atto di nascita, dove esiste, no.</w:t>
      </w:r>
    </w:p>
    <w:p>
      <w:pPr>
        <w:spacing w:after="120" w:line="276"/>
        <w:jc w:val="both"/>
      </w:pPr>
      <w:r>
        <w:rPr>
          <w:rFonts w:ascii="Barlow Semi Condensed" w:cs="Barlow Semi Condensed" w:eastAsia="Barlow Semi Condensed" w:hAnsi="Barlow Semi Condensed"/>
          <w:b/>
          <w:bCs/>
          <w:sz w:val="24"/>
          <w:szCs w:val="24"/>
        </w:rPr>
        <w:t xml:space="preserve">399 · Il criterio della continuità intermedia.</w:t>
      </w:r>
      <w:r>
        <w:rPr>
          <w:rFonts w:ascii="Barlow Semi Condensed" w:cs="Barlow Semi Condensed" w:eastAsia="Barlow Semi Condensed" w:hAnsi="Barlow Semi Condensed"/>
          <w:sz w:val="24"/>
          <w:szCs w:val="24"/>
        </w:rPr>
        <w:t xml:space="preserve"> Terzo criterio: l'omologia regge se esistono forme intermedie che colmano lo scarto. Nel corpus l'intermedio ha un nome, l'anello documentato, e la regola dell'anello debole ne governa il peso. Un'attribuzione di filiazione priva di anelli intermedi attestati chiede al lettore di saltare, ed è il salto che il metodo vieta. Il quesito diventa allora: quale documento occuperebbe l'anello mancante, e in quale sede si troverebbe.</w:t>
      </w:r>
    </w:p>
    <w:p>
      <w:pPr>
        <w:spacing w:after="120" w:line="276"/>
        <w:jc w:val="both"/>
      </w:pPr>
      <w:r>
        <w:rPr>
          <w:rFonts w:ascii="Barlow Semi Condensed" w:cs="Barlow Semi Condensed" w:eastAsia="Barlow Semi Condensed" w:hAnsi="Barlow Semi Condensed"/>
          <w:b/>
          <w:bCs/>
          <w:sz w:val="24"/>
          <w:szCs w:val="24"/>
        </w:rPr>
        <w:t xml:space="preserve">400 · Il criterio della congruenza.</w:t>
      </w:r>
      <w:r>
        <w:rPr>
          <w:rFonts w:ascii="Barlow Semi Condensed" w:cs="Barlow Semi Condensed" w:eastAsia="Barlow Semi Condensed" w:hAnsi="Barlow Semi Condensed"/>
          <w:sz w:val="24"/>
          <w:szCs w:val="24"/>
        </w:rPr>
        <w:t xml:space="preserve"> Quarto criterio, il più severo: caratteri indipendenti fra loro devono produrre lo stesso albero. Se il criterio del finanziamento, quello dell'addestramento e quello dell'armamento portano a tre genealogie diverse, nessuna delle tre è stabilita. La consilienza del corpus dice lo stesso in altra lingua: la convergenza rafforza solo fra linee davvero indipendenti, e mai oltre il grado della linea più debole. Tre indizi discordi non fanno un ramo.</w:t>
      </w:r>
    </w:p>
    <w:p>
      <w:pPr>
        <w:spacing w:after="120" w:line="276"/>
        <w:jc w:val="both"/>
      </w:pPr>
      <w:r>
        <w:rPr>
          <w:rFonts w:ascii="Barlow Semi Condensed" w:cs="Barlow Semi Condensed" w:eastAsia="Barlow Semi Condensed" w:hAnsi="Barlow Semi Condensed"/>
          <w:b/>
          <w:bCs/>
          <w:sz w:val="24"/>
          <w:szCs w:val="24"/>
        </w:rPr>
        <w:t xml:space="preserve">401 · L'improbabilità come segnale.</w:t>
      </w:r>
      <w:r>
        <w:rPr>
          <w:rFonts w:ascii="Barlow Semi Condensed" w:cs="Barlow Semi Condensed" w:eastAsia="Barlow Semi Condensed" w:hAnsi="Barlow Semi Condensed"/>
          <w:sz w:val="24"/>
          <w:szCs w:val="24"/>
        </w:rPr>
        <w:t xml:space="preserve"> Il segnale filogenetico sta nei tratti che l'ambiente non impone. La compartimentazione in cellule, la disciplina del silenzio, i nomi di battaglia, i covi in affitto sono soluzioni obbligate della clandestinità, che qualunque gruppo clandestino inventa da solo. Portano informazione, invece, i tratti arbitrari: una sigla ereditata, un testo tecnico con lo stesso errore di copia, una segnatura di protocollo condivisa. È lì che il quesito si formula.</w:t>
      </w:r>
    </w:p>
    <w:p>
      <w:pPr>
        <w:spacing w:after="120" w:line="276"/>
        <w:jc w:val="both"/>
      </w:pPr>
      <w:r>
        <w:rPr>
          <w:rFonts w:ascii="Barlow Semi Condensed" w:cs="Barlow Semi Condensed" w:eastAsia="Barlow Semi Condensed" w:hAnsi="Barlow Semi Condensed"/>
          <w:b/>
          <w:bCs/>
          <w:sz w:val="24"/>
          <w:szCs w:val="24"/>
        </w:rPr>
        <w:t xml:space="preserve">402 · Il vincolo tecnico genera analogie.</w:t>
      </w:r>
      <w:r>
        <w:rPr>
          <w:rFonts w:ascii="Barlow Semi Condensed" w:cs="Barlow Semi Condensed" w:eastAsia="Barlow Semi Condensed" w:hAnsi="Barlow Semi Condensed"/>
          <w:sz w:val="24"/>
          <w:szCs w:val="24"/>
        </w:rPr>
        <w:t xml:space="preserve"> La clandestinità è un ambiente selettivo strettissimo, e gli ambienti stretti producono convergenza: il pesce, il rettile marino estinto e il delfino hanno la stessa forma per la stessa ragione idrodinamica e nessun antenato comune recente. La somiglianza fra reti clandestine europee degli anni Settanta va dunque presunta convergente finché un documento non provi il contrario. È l'ipotesi nulla della serie, e va dichiarata prima di ogni confronto.</w:t>
      </w:r>
    </w:p>
    <w:p>
      <w:pPr>
        <w:spacing w:after="120" w:line="276"/>
        <w:jc w:val="both"/>
      </w:pPr>
      <w:r>
        <w:rPr>
          <w:rFonts w:ascii="Barlow Semi Condensed" w:cs="Barlow Semi Condensed" w:eastAsia="Barlow Semi Condensed" w:hAnsi="Barlow Semi Condensed"/>
          <w:b/>
          <w:bCs/>
          <w:sz w:val="24"/>
          <w:szCs w:val="24"/>
        </w:rPr>
        <w:t xml:space="preserve">403 · Il divieto centrale, enunciato.</w:t>
      </w:r>
      <w:r>
        <w:rPr>
          <w:rFonts w:ascii="Barlow Semi Condensed" w:cs="Barlow Semi Condensed" w:eastAsia="Barlow Semi Condensed" w:hAnsi="Barlow Semi Condensed"/>
          <w:sz w:val="24"/>
          <w:szCs w:val="24"/>
        </w:rPr>
        <w:t xml:space="preserve"> Non si deduce l'antenato comune dalla somiglianza del risultato. È il divieto attorno a cui ruota l'intera serie, e traduce in linguaggio genetico regole che il corpus possiede già: la contemporaneità non è nesso, l'appartenenza non è condotta, dieci indizi possibili non fanno un probabile. La somiglianza dell'esito è il carattere meno informativo di tutti, proprio perché è quello su cui l'ambiente preme di più.</w:t>
      </w:r>
    </w:p>
    <w:p>
      <w:pPr>
        <w:spacing w:after="120" w:line="276"/>
        <w:jc w:val="both"/>
      </w:pPr>
      <w:r>
        <w:rPr>
          <w:rFonts w:ascii="Barlow Semi Condensed" w:cs="Barlow Semi Condensed" w:eastAsia="Barlow Semi Condensed" w:hAnsi="Barlow Semi Condensed"/>
          <w:b/>
          <w:bCs/>
          <w:sz w:val="24"/>
          <w:szCs w:val="24"/>
        </w:rPr>
        <w:t xml:space="preserve">404 · Perché l'esito somiglia sempre.</w:t>
      </w:r>
      <w:r>
        <w:rPr>
          <w:rFonts w:ascii="Barlow Semi Condensed" w:cs="Barlow Semi Condensed" w:eastAsia="Barlow Semi Condensed" w:hAnsi="Barlow Semi Condensed"/>
          <w:sz w:val="24"/>
          <w:szCs w:val="24"/>
        </w:rPr>
        <w:t xml:space="preserve"> Un sequestro politico ha una morfologia obbligata: un bersaglio raggiungibile, una scorta da neutralizzare, un luogo di detenzione, comunicati, una scadenza, un esito. Chiunque decida di compierlo arriva a quella forma, perché è la forma che il problema impone. Trarre dalla somiglianza fra due sequestri europei la conclusione di una regia comune equivale a dedurre la parentela fra due ali dal fatto che entrambe volano.</w:t>
      </w:r>
    </w:p>
    <w:p>
      <w:pPr>
        <w:spacing w:after="120" w:line="276"/>
        <w:jc w:val="both"/>
      </w:pPr>
      <w:r>
        <w:rPr>
          <w:rFonts w:ascii="Barlow Semi Condensed" w:cs="Barlow Semi Condensed" w:eastAsia="Barlow Semi Condensed" w:hAnsi="Barlow Semi Condensed"/>
          <w:b/>
          <w:bCs/>
          <w:sz w:val="24"/>
          <w:szCs w:val="24"/>
        </w:rPr>
        <w:t xml:space="preserve">405 · Il modus operandi non è una firma.</w:t>
      </w:r>
      <w:r>
        <w:rPr>
          <w:rFonts w:ascii="Barlow Semi Condensed" w:cs="Barlow Semi Condensed" w:eastAsia="Barlow Semi Condensed" w:hAnsi="Barlow Semi Condensed"/>
          <w:sz w:val="24"/>
          <w:szCs w:val="24"/>
        </w:rPr>
        <w:t xml:space="preserve"> La pubblicistica tratta il modus operandi come firma genetica; l'analisi lo tratta come fenotipo, cioè come esito congiunto di un corredo dottrinale e di un ambiente. Due gruppi con dottrine diverse in ambienti simili producono fenotipi simili, e lo stesso gruppo in ambienti diversi produce fenotipi diversi. Il modus operandi entra dunque in matrice come fatto da spiegare, con le sue ipotesi alternative, mai come identificazione.</w:t>
      </w:r>
    </w:p>
    <w:p>
      <w:pPr>
        <w:spacing w:after="120" w:line="276"/>
        <w:jc w:val="both"/>
      </w:pPr>
      <w:r>
        <w:rPr>
          <w:rFonts w:ascii="Barlow Semi Condensed" w:cs="Barlow Semi Condensed" w:eastAsia="Barlow Semi Condensed" w:hAnsi="Barlow Semi Condensed"/>
          <w:b/>
          <w:bCs/>
          <w:sz w:val="24"/>
          <w:szCs w:val="24"/>
        </w:rPr>
        <w:t xml:space="preserve">406 · Il test decisivo, in una riga.</w:t>
      </w:r>
      <w:r>
        <w:rPr>
          <w:rFonts w:ascii="Barlow Semi Condensed" w:cs="Barlow Semi Condensed" w:eastAsia="Barlow Semi Condensed" w:hAnsi="Barlow Semi Condensed"/>
          <w:sz w:val="24"/>
          <w:szCs w:val="24"/>
        </w:rPr>
        <w:t xml:space="preserve"> Un'attribuzione di antenato comune si stabilisce soltanto con un documento di provenienza che nomini la controparte. Non un'analisi comparativa, non una coincidenza di date, non una testimonianza terziaria: una carta prodotta da una delle due parti, nel tempo del fatto, che nomini l'altra. Fuori di lì si sta descrivendo un'analogia, per quanto ricca, e la si deve registrare come tale con il suo grado.</w:t>
      </w:r>
    </w:p>
    <w:p>
      <w:pPr>
        <w:spacing w:after="120" w:line="276"/>
        <w:jc w:val="both"/>
      </w:pPr>
      <w:r>
        <w:rPr>
          <w:rFonts w:ascii="Barlow Semi Condensed" w:cs="Barlow Semi Condensed" w:eastAsia="Barlow Semi Condensed" w:hAnsi="Barlow Semi Condensed"/>
          <w:b/>
          <w:bCs/>
          <w:sz w:val="24"/>
          <w:szCs w:val="24"/>
        </w:rPr>
        <w:t xml:space="preserve">407 · I quattro requisiti della carta.</w:t>
      </w:r>
      <w:r>
        <w:rPr>
          <w:rFonts w:ascii="Barlow Semi Condensed" w:cs="Barlow Semi Condensed" w:eastAsia="Barlow Semi Condensed" w:hAnsi="Barlow Semi Condensed"/>
          <w:sz w:val="24"/>
          <w:szCs w:val="24"/>
        </w:rPr>
        <w:t xml:space="preserve"> Il documento che regge un'omologia ha quattro requisiti cumulativi: coevo al fatto, esterno alla narrazione che dovrebbe sostenere, autenticato quanto a provenienza e catena di custodia, nominativo rispetto alla controparte. È la formula che il corpus adopera già per l'eterodirezione del sequestro, documento coevo, esterno e autenticato, cercato e non trovato. Chi ne omette uno dei quattro non ha il documento, né ha un indizio.</w:t>
      </w:r>
    </w:p>
    <w:p>
      <w:pPr>
        <w:spacing w:after="120" w:line="276"/>
        <w:jc w:val="both"/>
      </w:pPr>
      <w:r>
        <w:rPr>
          <w:rFonts w:ascii="Barlow Semi Condensed" w:cs="Barlow Semi Condensed" w:eastAsia="Barlow Semi Condensed" w:hAnsi="Barlow Semi Condensed"/>
          <w:b/>
          <w:bCs/>
          <w:sz w:val="24"/>
          <w:szCs w:val="24"/>
        </w:rPr>
        <w:t xml:space="preserve">408 · Lo Stato Zero come esito pieno.</w:t>
      </w:r>
      <w:r>
        <w:rPr>
          <w:rFonts w:ascii="Barlow Semi Condensed" w:cs="Barlow Semi Condensed" w:eastAsia="Barlow Semi Condensed" w:hAnsi="Barlow Semi Condensed"/>
          <w:sz w:val="24"/>
          <w:szCs w:val="24"/>
        </w:rPr>
        <w:t xml:space="preserve"> Nella mappa dei gradi dell'opera figura, fra gli Stati Zero, il documento che proverebbe l'isomorfismo fra le reti anticomuniste evocate e la struttura operativa del sequestro: cercato, non trovato. È l'esito che questa serie considera esemplare, perché è una risposta e non un silenzio. Un'omologia cercata e non trovata è conoscenza acquisita, e va scritta con la stessa forza di un accertamento di grado A.</w:t>
      </w:r>
    </w:p>
    <w:p>
      <w:pPr>
        <w:spacing w:after="120" w:line="276"/>
        <w:jc w:val="both"/>
      </w:pPr>
      <w:r>
        <w:rPr>
          <w:rFonts w:ascii="Barlow Semi Condensed" w:cs="Barlow Semi Condensed" w:eastAsia="Barlow Semi Condensed" w:hAnsi="Barlow Semi Condensed"/>
          <w:b/>
          <w:bCs/>
          <w:sz w:val="24"/>
          <w:szCs w:val="24"/>
        </w:rPr>
        <w:t xml:space="preserve">409 · Il termine da non usare a vuoto.</w:t>
      </w:r>
      <w:r>
        <w:rPr>
          <w:rFonts w:ascii="Barlow Semi Condensed" w:cs="Barlow Semi Condensed" w:eastAsia="Barlow Semi Condensed" w:hAnsi="Barlow Semi Condensed"/>
          <w:sz w:val="24"/>
          <w:szCs w:val="24"/>
        </w:rPr>
        <w:t xml:space="preserve"> Il corpus dice isomorfismo dove la biologia direbbe analogia: stessa forma, nessuna discendenza comune provata. Va bene, purché il termine resti sempre accompagnato dal suo statuto. Isomorfismo non è una forma attenuata di parentela, è la constatazione che la parentela non c'è o non è provata. Adoperarlo come indizio di filiazione, con il tono di chi allude, è precisamente l'errore che questa serie combatte.</w:t>
      </w:r>
    </w:p>
    <w:p>
      <w:pPr>
        <w:spacing w:after="120" w:line="276"/>
        <w:jc w:val="both"/>
      </w:pPr>
      <w:r>
        <w:rPr>
          <w:rFonts w:ascii="Barlow Semi Condensed" w:cs="Barlow Semi Condensed" w:eastAsia="Barlow Semi Condensed" w:hAnsi="Barlow Semi Condensed"/>
          <w:b/>
          <w:bCs/>
          <w:sz w:val="24"/>
          <w:szCs w:val="24"/>
        </w:rPr>
        <w:t xml:space="preserve">410 · La griglia dei quattro gradi.</w:t>
      </w:r>
      <w:r>
        <w:rPr>
          <w:rFonts w:ascii="Barlow Semi Condensed" w:cs="Barlow Semi Condensed" w:eastAsia="Barlow Semi Condensed" w:hAnsi="Barlow Semi Condensed"/>
          <w:sz w:val="24"/>
          <w:szCs w:val="24"/>
        </w:rPr>
        <w:t xml:space="preserve"> La cartella della Farnesina usa una griglia a quattro voci: convergenza di obiettivo documentata, simultaneità di reazione, comunanza di ambiente istituzionale, mera contemporaneità cronologica. Sulla scala omologia-analogia solo la prima voce può ambire al piano 1, e solo se un documento la sostiene; le altre tre sono analogie di crescente debolezza. La griglia si legge come scala di ipotesi, non come scala di prove.</w:t>
      </w:r>
    </w:p>
    <w:p>
      <w:pPr>
        <w:spacing w:after="120" w:line="276"/>
        <w:jc w:val="both"/>
      </w:pPr>
      <w:r>
        <w:rPr>
          <w:rFonts w:ascii="Barlow Semi Condensed" w:cs="Barlow Semi Condensed" w:eastAsia="Barlow Semi Condensed" w:hAnsi="Barlow Semi Condensed"/>
          <w:b/>
          <w:bCs/>
          <w:sz w:val="24"/>
          <w:szCs w:val="24"/>
        </w:rPr>
        <w:t xml:space="preserve">411 · La quinta voce e il suo uso.</w:t>
      </w:r>
      <w:r>
        <w:rPr>
          <w:rFonts w:ascii="Barlow Semi Condensed" w:cs="Barlow Semi Condensed" w:eastAsia="Barlow Semi Condensed" w:hAnsi="Barlow Semi Condensed"/>
          <w:sz w:val="24"/>
          <w:szCs w:val="24"/>
        </w:rPr>
        <w:t xml:space="preserve"> La seconda campagna ha proposto una quinta voce: effetto convergente da causa comune, da dichiarare quando due esiti simultanei discendono provatamente dallo stesso evento e non l'uno dall'altro. È, in linguaggio genetico, il caso di due caratteri che covariano perché rispondono al medesimo segnale: sembrano legati e non lo sono. La voce serve a impedire che una simultaneità con causa nota diventi nesso fra i suoi due effetti.</w:t>
      </w:r>
    </w:p>
    <w:p>
      <w:pPr>
        <w:spacing w:after="120" w:line="276"/>
        <w:jc w:val="both"/>
      </w:pPr>
      <w:r>
        <w:rPr>
          <w:rFonts w:ascii="Barlow Semi Condensed" w:cs="Barlow Semi Condensed" w:eastAsia="Barlow Semi Condensed" w:hAnsi="Barlow Semi Condensed"/>
          <w:b/>
          <w:bCs/>
          <w:sz w:val="24"/>
          <w:szCs w:val="24"/>
        </w:rPr>
        <w:t xml:space="preserve">412 · Il caso della sigla partigiana.</w:t>
      </w:r>
      <w:r>
        <w:rPr>
          <w:rFonts w:ascii="Barlow Semi Condensed" w:cs="Barlow Semi Condensed" w:eastAsia="Barlow Semi Condensed" w:hAnsi="Barlow Semi Condensed"/>
          <w:sz w:val="24"/>
          <w:szCs w:val="24"/>
        </w:rPr>
        <w:t xml:space="preserve"> Il corpus possiede già un caso limpido, registrato come anti-triangolazione: la ripresa nel 1970 della sigla partigiana dei GAP non fece di quel nucleo una continuazione della Resistenza, e l'area dell'antifascismo storico non riconobbe quella filiazione. È omologia soltanto nel nome, stesso segno e discendenza assente. Chi usa il nome come prova di continuità compie la promozione della convergenza a nesso che il metodo vieta.</w:t>
      </w:r>
    </w:p>
    <w:p>
      <w:pPr>
        <w:spacing w:after="120" w:line="276"/>
        <w:jc w:val="both"/>
      </w:pPr>
      <w:r>
        <w:rPr>
          <w:rFonts w:ascii="Barlow Semi Condensed" w:cs="Barlow Semi Condensed" w:eastAsia="Barlow Semi Condensed" w:hAnsi="Barlow Semi Condensed"/>
          <w:b/>
          <w:bCs/>
          <w:sz w:val="24"/>
          <w:szCs w:val="24"/>
        </w:rPr>
        <w:t xml:space="preserve">413 · La rotta non è filiazione.</w:t>
      </w:r>
      <w:r>
        <w:rPr>
          <w:rFonts w:ascii="Barlow Semi Condensed" w:cs="Barlow Semi Condensed" w:eastAsia="Barlow Semi Condensed" w:hAnsi="Barlow Semi Condensed"/>
          <w:sz w:val="24"/>
          <w:szCs w:val="24"/>
        </w:rPr>
        <w:t xml:space="preserve"> Il secondo caso già registrato: le rotte di latitanza verso Cuba e il Nicaragua sono geografia, non genealogia del mito. Che un condannato si trovi in un Paese non fa di quel Paese l'antenato della sua storia, perché la coabitazione geografica appartiene all'ambiente e non al codice. Il quesito, dove serva, è documentale, cioè quale atto attesti un rapporto e in quale sede lo si chiederebbe, non cartografico.</w:t>
      </w:r>
    </w:p>
    <w:p>
      <w:pPr>
        <w:spacing w:after="120" w:line="276"/>
        <w:jc w:val="both"/>
      </w:pPr>
      <w:r>
        <w:rPr>
          <w:rFonts w:ascii="Barlow Semi Condensed" w:cs="Barlow Semi Condensed" w:eastAsia="Barlow Semi Condensed" w:hAnsi="Barlow Semi Condensed"/>
          <w:b/>
          <w:bCs/>
          <w:sz w:val="24"/>
          <w:szCs w:val="24"/>
        </w:rPr>
        <w:t xml:space="preserve">414 · Il cammino Hyperion e il suo grado.</w:t>
      </w:r>
      <w:r>
        <w:rPr>
          <w:rFonts w:ascii="Barlow Semi Condensed" w:cs="Barlow Semi Condensed" w:eastAsia="Barlow Semi Condensed" w:hAnsi="Barlow Semi Condensed"/>
          <w:sz w:val="24"/>
          <w:szCs w:val="24"/>
        </w:rPr>
        <w:t xml:space="preserve"> Il corpus calcola il cammino documentato più breve fra la scuola di Parigi e via Fani: quattro archi, i primi tre di grado F, l'ultimo di grado A, dunque grado del cammino F. In linguaggio filogenetico la parentela è ricostruita su caratteri biografici e non su caratteri operativi, e un albero costruito su quei caratteri non sostiene alcuna conclusione operativa. È la forma quantitativa di quarant'anni di proscioglimenti.</w:t>
      </w:r>
    </w:p>
    <w:p>
      <w:pPr>
        <w:spacing w:after="120" w:line="276"/>
        <w:jc w:val="both"/>
      </w:pPr>
      <w:r>
        <w:rPr>
          <w:rFonts w:ascii="Barlow Semi Condensed" w:cs="Barlow Semi Condensed" w:eastAsia="Barlow Semi Condensed" w:hAnsi="Barlow Semi Condensed"/>
          <w:b/>
          <w:bCs/>
          <w:sz w:val="24"/>
          <w:szCs w:val="24"/>
        </w:rPr>
        <w:t xml:space="preserve">415 · La regola dell'anello debole tradotta.</w:t>
      </w:r>
      <w:r>
        <w:rPr>
          <w:rFonts w:ascii="Barlow Semi Condensed" w:cs="Barlow Semi Condensed" w:eastAsia="Barlow Semi Condensed" w:hAnsi="Barlow Semi Condensed"/>
          <w:sz w:val="24"/>
          <w:szCs w:val="24"/>
        </w:rPr>
        <w:t xml:space="preserve"> La regola dell'anello debole stabilisce che il grado di un cammino è il grado minimo fra i suoi archi. Tradotta nella metafora: un albero non è più solido del suo nodo peggio sostenuto, e il valore di supporto del ramo più debole si propaga a tutta la topologia che ne dipende. Nessun accumulo di rami solidi riscatta il ramo debole; si dichiara il minimo e si prosegue.</w:t>
      </w:r>
    </w:p>
    <w:p>
      <w:pPr>
        <w:spacing w:after="120" w:line="276"/>
        <w:jc w:val="both"/>
      </w:pPr>
      <w:r>
        <w:rPr>
          <w:rFonts w:ascii="Barlow Semi Condensed" w:cs="Barlow Semi Condensed" w:eastAsia="Barlow Semi Condensed" w:hAnsi="Barlow Semi Condensed"/>
          <w:b/>
          <w:bCs/>
          <w:sz w:val="24"/>
          <w:szCs w:val="24"/>
        </w:rPr>
        <w:t xml:space="preserve">416 · Le reti clandestine europee, il problema.</w:t>
      </w:r>
      <w:r>
        <w:rPr>
          <w:rFonts w:ascii="Barlow Semi Condensed" w:cs="Barlow Semi Condensed" w:eastAsia="Barlow Semi Condensed" w:hAnsi="Barlow Semi Condensed"/>
          <w:sz w:val="24"/>
          <w:szCs w:val="24"/>
        </w:rPr>
        <w:t xml:space="preserve"> È il terreno in cui la pubblicistica collassa più regolarmente le due categorie. Reti statali di preparazione, servizi con programmi di azione coperta, gruppi eversivi privati, organizzazioni armate di sinistra: quattro famiglie con origini, catene di comando e finalità distinte, che condividono l'epoca e talvolta gli uomini. Trattarle come un'unica discendenza è il collasso categoriale che questa serie ha il compito di nominare e smontare.</w:t>
      </w:r>
    </w:p>
    <w:p>
      <w:pPr>
        <w:spacing w:after="120" w:line="276"/>
        <w:jc w:val="both"/>
      </w:pPr>
      <w:r>
        <w:rPr>
          <w:rFonts w:ascii="Barlow Semi Condensed" w:cs="Barlow Semi Condensed" w:eastAsia="Barlow Semi Condensed" w:hAnsi="Barlow Semi Condensed"/>
          <w:b/>
          <w:bCs/>
          <w:sz w:val="24"/>
          <w:szCs w:val="24"/>
        </w:rPr>
        <w:t xml:space="preserve">417 · Ecosistema, non organismo.</w:t>
      </w:r>
      <w:r>
        <w:rPr>
          <w:rFonts w:ascii="Barlow Semi Condensed" w:cs="Barlow Semi Condensed" w:eastAsia="Barlow Semi Condensed" w:hAnsi="Barlow Semi Condensed"/>
          <w:sz w:val="24"/>
          <w:szCs w:val="24"/>
        </w:rPr>
        <w:t xml:space="preserve"> Il saggio-cerniera del corpus lo dice già: dove la pubblicistica vede un organismo, la documentazione trova quasi sempre un ecosistema, cioè attori con risorse, gerarchie e regole proprie, che condividono il tempo e il nemico ma non la struttura. Un ecosistema produce convergenze in massa e discendenze rare. È la ragione strutturale per cui, su questo terreno, l'ipotesi di partenza deve essere l'analogia e non la filiazione.</w:t>
      </w:r>
    </w:p>
    <w:p>
      <w:pPr>
        <w:spacing w:after="120" w:line="276"/>
        <w:jc w:val="both"/>
      </w:pPr>
      <w:r>
        <w:rPr>
          <w:rFonts w:ascii="Barlow Semi Condensed" w:cs="Barlow Semi Condensed" w:eastAsia="Barlow Semi Condensed" w:hAnsi="Barlow Semi Condensed"/>
          <w:b/>
          <w:bCs/>
          <w:sz w:val="24"/>
          <w:szCs w:val="24"/>
        </w:rPr>
        <w:t xml:space="preserve">418 · L'appartenenza non è il gene.</w:t>
      </w:r>
      <w:r>
        <w:rPr>
          <w:rFonts w:ascii="Barlow Semi Condensed" w:cs="Barlow Semi Condensed" w:eastAsia="Barlow Semi Condensed" w:hAnsi="Barlow Semi Condensed"/>
          <w:sz w:val="24"/>
          <w:szCs w:val="24"/>
        </w:rPr>
        <w:t xml:space="preserve"> Qui la metafora tocca il suo punto di massimo pericolo e va fermata. L'appartenenza a un'organizzazione, a una scuola o a un lignaggio dottrinale non è prova di condotta, così come l'appartenenza a un gruppo tassonomico non predice il comportamento del singolo. Il corpus lo scrive già per le logge e per gli uffici; la serie lo estende a ogni genealogia dottrinale: si indagano atti di persone, non discendenze.</w:t>
      </w:r>
    </w:p>
    <w:p>
      <w:pPr>
        <w:spacing w:after="120" w:line="276"/>
        <w:jc w:val="both"/>
      </w:pPr>
      <w:r>
        <w:rPr>
          <w:rFonts w:ascii="Barlow Semi Condensed" w:cs="Barlow Semi Condensed" w:eastAsia="Barlow Semi Condensed" w:hAnsi="Barlow Semi Condensed"/>
          <w:b/>
          <w:bCs/>
          <w:sz w:val="24"/>
          <w:szCs w:val="24"/>
        </w:rPr>
        <w:t xml:space="preserve">419 · Materia adiacente, non discendenza.</w:t>
      </w:r>
      <w:r>
        <w:rPr>
          <w:rFonts w:ascii="Barlow Semi Condensed" w:cs="Barlow Semi Condensed" w:eastAsia="Barlow Semi Condensed" w:hAnsi="Barlow Semi Condensed"/>
          <w:sz w:val="24"/>
          <w:szCs w:val="24"/>
        </w:rPr>
        <w:t xml:space="preserve"> I versamenti su materia adiacente aggiunti dalla direttiva dell'agosto 2021, che il blocco 944 dei cantieri disciplina, toccano il caso dove i suoi atti li incrociano, e si spogliano con la regola scolpita: l'appartenenza documentata è un fatto, mai una condotta. Adiacenza è una relazione di posizione, non di discendenza; scambiarla per filiazione è esattamente l'errore che quel blocco previene.</w:t>
      </w:r>
    </w:p>
    <w:p>
      <w:pPr>
        <w:spacing w:after="120" w:line="276"/>
        <w:jc w:val="both"/>
      </w:pPr>
      <w:r>
        <w:rPr>
          <w:rFonts w:ascii="Barlow Semi Condensed" w:cs="Barlow Semi Condensed" w:eastAsia="Barlow Semi Condensed" w:hAnsi="Barlow Semi Condensed"/>
          <w:b/>
          <w:bCs/>
          <w:sz w:val="24"/>
          <w:szCs w:val="24"/>
        </w:rPr>
        <w:t xml:space="preserve">420 · Il dossier senza fonti primarie.</w:t>
      </w:r>
      <w:r>
        <w:rPr>
          <w:rFonts w:ascii="Barlow Semi Condensed" w:cs="Barlow Semi Condensed" w:eastAsia="Barlow Semi Condensed" w:hAnsi="Barlow Semi Condensed"/>
          <w:sz w:val="24"/>
          <w:szCs w:val="24"/>
        </w:rPr>
        <w:t xml:space="preserve"> La ricognizione portoghese della seconda campagna dichiara Stato Zero su un dossier ricorrente nella pubblicistica delle reti clandestine, non avendo reperito fonti primarie né studi con revisione paritaria, e qualifica come non sostenuta la tesi circolante; la verifica meccanica dà zero occorrenze del termine in tutto il branch. Lo stato non è trattazione archiviata contro Stato Zero, ma silenzio del corpus contro esito negativo dichiarato: si riporta così.</w:t>
      </w:r>
    </w:p>
    <w:p>
      <w:pPr>
        <w:spacing w:after="120" w:line="276"/>
        <w:jc w:val="both"/>
      </w:pPr>
      <w:r>
        <w:rPr>
          <w:rFonts w:ascii="Barlow Semi Condensed" w:cs="Barlow Semi Condensed" w:eastAsia="Barlow Semi Condensed" w:hAnsi="Barlow Semi Condensed"/>
          <w:b/>
          <w:bCs/>
          <w:sz w:val="24"/>
          <w:szCs w:val="24"/>
        </w:rPr>
        <w:t xml:space="preserve">421 · Il filone tedesco, dove sta il quesito.</w:t>
      </w:r>
      <w:r>
        <w:rPr>
          <w:rFonts w:ascii="Barlow Semi Condensed" w:cs="Barlow Semi Condensed" w:eastAsia="Barlow Semi Condensed" w:hAnsi="Barlow Semi Condensed"/>
          <w:sz w:val="24"/>
          <w:szCs w:val="24"/>
        </w:rPr>
        <w:t xml:space="preserve"> Il filone che accosta la Rote Armee Fraktion alle Brigate Rosse si aggancia ai blocchi 88, 104 e 105 dei cantieri, che scrivono il quesito dei contatti in forma di matrice, fissano le carte del Bundeskriminalamt come oggetto documentale e indicano i processi tedeschi come giacimento del giudicato. La forma è già corretta: chiede documenti di provenienza, non somiglianze. Le dichiarazioni rese in sede investigativa restano ipotesi da riscontrare.</w:t>
      </w:r>
    </w:p>
    <w:p>
      <w:pPr>
        <w:spacing w:after="120" w:line="276"/>
        <w:jc w:val="both"/>
      </w:pPr>
      <w:r>
        <w:rPr>
          <w:rFonts w:ascii="Barlow Semi Condensed" w:cs="Barlow Semi Condensed" w:eastAsia="Barlow Semi Condensed" w:hAnsi="Barlow Semi Condensed"/>
          <w:b/>
          <w:bCs/>
          <w:sz w:val="24"/>
          <w:szCs w:val="24"/>
        </w:rPr>
        <w:t xml:space="preserve">422 · Schleyer e Moro, analogia dichiarata.</w:t>
      </w:r>
      <w:r>
        <w:rPr>
          <w:rFonts w:ascii="Barlow Semi Condensed" w:cs="Barlow Semi Condensed" w:eastAsia="Barlow Semi Condensed" w:hAnsi="Barlow Semi Condensed"/>
          <w:sz w:val="24"/>
          <w:szCs w:val="24"/>
        </w:rPr>
        <w:t xml:space="preserve"> I blocchi 85, 86 e 94 perimetrano il dossier comparativo fra i due sequestri senza tesi precostituita, insieme ai verbali di gabinetto del 1977 e all'accessibilità parziale dei protocolli dello stato maggiore di crisi. È il modello di come si tratta un'analogia forte: si documenta il confronto, si cercano le carte di ciascuno dei due lati, e non si scrive nel titolo la conclusione che le carte dovrebbero portare.</w:t>
      </w:r>
    </w:p>
    <w:p>
      <w:pPr>
        <w:spacing w:after="120" w:line="276"/>
        <w:jc w:val="both"/>
      </w:pPr>
      <w:r>
        <w:rPr>
          <w:rFonts w:ascii="Barlow Semi Condensed" w:cs="Barlow Semi Condensed" w:eastAsia="Barlow Semi Condensed" w:hAnsi="Barlow Semi Condensed"/>
          <w:b/>
          <w:bCs/>
          <w:sz w:val="24"/>
          <w:szCs w:val="24"/>
        </w:rPr>
        <w:t xml:space="preserve">423 · Le carte di provenienza orientale.</w:t>
      </w:r>
      <w:r>
        <w:rPr>
          <w:rFonts w:ascii="Barlow Semi Condensed" w:cs="Barlow Semi Condensed" w:eastAsia="Barlow Semi Condensed" w:hAnsi="Barlow Semi Condensed"/>
          <w:sz w:val="24"/>
          <w:szCs w:val="24"/>
        </w:rPr>
        <w:t xml:space="preserve"> I blocchi 91 e 92 dei cantieri impongono alle carte provenienti dagli archivi della Repubblica Democratica Tedesca una doppia cautela: mai da sole a fondamento di alcunché, con valore comparativo e non rivelatorio. È la disciplina corretta per un carattere di provenienza sospetta: si annota, si pesa poco, non gli si fa reggere un ramo. La seconda campagna estende la medesima cautela alle carte ecclesiastiche.</w:t>
      </w:r>
    </w:p>
    <w:p>
      <w:pPr>
        <w:spacing w:after="120" w:line="276"/>
        <w:jc w:val="both"/>
      </w:pPr>
      <w:r>
        <w:rPr>
          <w:rFonts w:ascii="Barlow Semi Condensed" w:cs="Barlow Semi Condensed" w:eastAsia="Barlow Semi Condensed" w:hAnsi="Barlow Semi Condensed"/>
          <w:b/>
          <w:bCs/>
          <w:sz w:val="24"/>
          <w:szCs w:val="24"/>
        </w:rPr>
        <w:t xml:space="preserve">424 · Il quesito del Comitato dei 303.</w:t>
      </w:r>
      <w:r>
        <w:rPr>
          <w:rFonts w:ascii="Barlow Semi Condensed" w:cs="Barlow Semi Condensed" w:eastAsia="Barlow Semi Condensed" w:hAnsi="Barlow Semi Condensed"/>
          <w:sz w:val="24"/>
          <w:szCs w:val="24"/>
        </w:rPr>
        <w:t xml:space="preserve"> La riunione dell'11 marzo 1969 presieduta da Kissinger, in FRUS volume XLI documento 180, discusse origini e livelli del programma di sostegno coperto ai partiti italiani fra il 1948 e il 1968, e i presenti convennero all'unanimità che non vi fosse giustificazione reale per riprenderlo. Fatto pubblico, grado F. Ed è anteriore all'insediamento di Moro alla Farnesina del 5 agosto 1969: la contemporaneità è solo apparente.</w:t>
      </w:r>
    </w:p>
    <w:p>
      <w:pPr>
        <w:spacing w:after="120" w:line="276"/>
        <w:jc w:val="both"/>
      </w:pPr>
      <w:r>
        <w:rPr>
          <w:rFonts w:ascii="Barlow Semi Condensed" w:cs="Barlow Semi Condensed" w:eastAsia="Barlow Semi Condensed" w:hAnsi="Barlow Semi Condensed"/>
          <w:b/>
          <w:bCs/>
          <w:sz w:val="24"/>
          <w:szCs w:val="24"/>
        </w:rPr>
        <w:t xml:space="preserve">425 · Un programma che riemerge.</w:t>
      </w:r>
      <w:r>
        <w:rPr>
          <w:rFonts w:ascii="Barlow Semi Condensed" w:cs="Barlow Semi Condensed" w:eastAsia="Barlow Semi Condensed" w:hAnsi="Barlow Semi Condensed"/>
          <w:sz w:val="24"/>
          <w:szCs w:val="24"/>
        </w:rPr>
        <w:t xml:space="preserve"> Il programma di azione coperta in Italia riemerge, secondo la letteratura con revisione paritaria richiamata dal corpus, nel novembre 1975 e nel luglio 1976, e l'istruzione di Nixon per uno studio sull'Italia è del dicembre 1969, documento 188 dello stesso volume. Sono fatti pubblici e datati. Che la loro sequenza costituisca una discendenza rispetto a vicende italiane successive resta quesito aperto: mancano gli anelli intermedi, e vanno nominati.</w:t>
      </w:r>
    </w:p>
    <w:p>
      <w:pPr>
        <w:spacing w:after="120" w:line="276"/>
        <w:jc w:val="both"/>
      </w:pPr>
      <w:r>
        <w:rPr>
          <w:rFonts w:ascii="Barlow Semi Condensed" w:cs="Barlow Semi Condensed" w:eastAsia="Barlow Semi Condensed" w:hAnsi="Barlow Semi Condensed"/>
          <w:b/>
          <w:bCs/>
          <w:sz w:val="24"/>
          <w:szCs w:val="24"/>
        </w:rPr>
        <w:t xml:space="preserve">426 · Il memorandum del 25 settembre 1974 (serie VI).</w:t>
      </w:r>
      <w:r>
        <w:rPr>
          <w:rFonts w:ascii="Barlow Semi Condensed" w:cs="Barlow Semi Condensed" w:eastAsia="Barlow Semi Condensed" w:hAnsi="Barlow Semi Condensed"/>
          <w:sz w:val="24"/>
          <w:szCs w:val="24"/>
        </w:rPr>
        <w:t xml:space="preserve"> Il memorandum of conversation del colloquio nello Studio Ovale fra Leone, Moro, Ford e Kissinger, alla Ford Library documento 1552802 ed edito in FRUS 1969-1976 volume E-15 parte 2 documento 350, è un documento di provenienza autentico e nominativo: prova un rapporto diretto, di piano 1, e prova esattamente quello. Un verbale attesta che quelle persone si parlarono e che cosa fu detto in quella sede.</w:t>
      </w:r>
    </w:p>
    <w:p>
      <w:pPr>
        <w:spacing w:after="120" w:line="276"/>
        <w:jc w:val="both"/>
      </w:pPr>
      <w:r>
        <w:rPr>
          <w:rFonts w:ascii="Barlow Semi Condensed" w:cs="Barlow Semi Condensed" w:eastAsia="Barlow Semi Condensed" w:hAnsi="Barlow Semi Condensed"/>
          <w:b/>
          <w:bCs/>
          <w:sz w:val="24"/>
          <w:szCs w:val="24"/>
        </w:rPr>
        <w:t xml:space="preserve">427 · Ciò che un verbale non attesta.</w:t>
      </w:r>
      <w:r>
        <w:rPr>
          <w:rFonts w:ascii="Barlow Semi Condensed" w:cs="Barlow Semi Condensed" w:eastAsia="Barlow Semi Condensed" w:hAnsi="Barlow Semi Condensed"/>
          <w:sz w:val="24"/>
          <w:szCs w:val="24"/>
        </w:rPr>
        <w:t xml:space="preserve"> Il documento della vigilia registra la posizione di Kissinger sul PCI espressa a Ford; il colloquio successivo del 26 settembre è al documento 1552806. La ricognizione del corpus aggiunge la precisazione che vale come regola generale: il verbale attesta la posizione di chi la espresse e non attesta una posizione di Moro sul medesimo punto in quella sede, che non va inferita. Il silenzio di un verbale non è una dichiarazione.</w:t>
      </w:r>
    </w:p>
    <w:p>
      <w:pPr>
        <w:spacing w:after="120" w:line="276"/>
        <w:jc w:val="both"/>
      </w:pPr>
      <w:r>
        <w:rPr>
          <w:rFonts w:ascii="Barlow Semi Condensed" w:cs="Barlow Semi Condensed" w:eastAsia="Barlow Semi Condensed" w:hAnsi="Barlow Semi Condensed"/>
          <w:b/>
          <w:bCs/>
          <w:sz w:val="24"/>
          <w:szCs w:val="24"/>
        </w:rPr>
        <w:t xml:space="preserve">428 · Il documento autentico che non nomina.</w:t>
      </w:r>
      <w:r>
        <w:rPr>
          <w:rFonts w:ascii="Barlow Semi Condensed" w:cs="Barlow Semi Condensed" w:eastAsia="Barlow Semi Condensed" w:hAnsi="Barlow Semi Condensed"/>
          <w:sz w:val="24"/>
          <w:szCs w:val="24"/>
        </w:rPr>
        <w:t xml:space="preserve"> Il rapporto settimanale del 22 maggio 1970 sul gabinetto spagnolo esiste con il suo protocollo, è stato verificato nella sala di lettura dell'agenzia, e contiene una frase su un funzionario italiano che avrebbe già detto il disinteresse del proprio Paese. Il documento non fa nomi. È il caso didattico opposto: provenienza ineccepibile, requisito nominativo assente, dunque nessuna omologia attribuibile ad alcuna persona determinata.</w:t>
      </w:r>
    </w:p>
    <w:p>
      <w:pPr>
        <w:spacing w:after="120" w:line="276"/>
        <w:jc w:val="both"/>
      </w:pPr>
      <w:r>
        <w:rPr>
          <w:rFonts w:ascii="Barlow Semi Condensed" w:cs="Barlow Semi Condensed" w:eastAsia="Barlow Semi Condensed" w:hAnsi="Barlow Semi Condensed"/>
          <w:b/>
          <w:bCs/>
          <w:sz w:val="24"/>
          <w:szCs w:val="24"/>
        </w:rPr>
        <w:t xml:space="preserve">429 · Il testimoniale contestato.</w:t>
      </w:r>
      <w:r>
        <w:rPr>
          <w:rFonts w:ascii="Barlow Semi Condensed" w:cs="Barlow Semi Condensed" w:eastAsia="Barlow Semi Condensed" w:hAnsi="Barlow Semi Condensed"/>
          <w:sz w:val="24"/>
          <w:szCs w:val="24"/>
        </w:rPr>
        <w:t xml:space="preserve"> L'avvertimento riferito da Corrado Guerzoni e confermato da Eleonora Chiavarelli Moro in sede parlamentare è sempre stato smentito da Kissinger. Resta perciò testimonianza contestata, grado B debole, mai da dare per accertata, e va riportata con la smentita accanto ogni volta che compare. Nella metafora è un carattere osservato da alcuni e negato da altri: non si costruisce un ramo su un carattere in contestazione.</w:t>
      </w:r>
    </w:p>
    <w:p>
      <w:pPr>
        <w:spacing w:after="120" w:line="276"/>
        <w:jc w:val="both"/>
      </w:pPr>
      <w:r>
        <w:rPr>
          <w:rFonts w:ascii="Barlow Semi Condensed" w:cs="Barlow Semi Condensed" w:eastAsia="Barlow Semi Condensed" w:hAnsi="Barlow Semi Condensed"/>
          <w:b/>
          <w:bCs/>
          <w:sz w:val="24"/>
          <w:szCs w:val="24"/>
        </w:rPr>
        <w:t xml:space="preserve">430 · Il divieto sulle persone, ribadito.</w:t>
      </w:r>
      <w:r>
        <w:rPr>
          <w:rFonts w:ascii="Barlow Semi Condensed" w:cs="Barlow Semi Condensed" w:eastAsia="Barlow Semi Condensed" w:hAnsi="Barlow Semi Condensed"/>
          <w:sz w:val="24"/>
          <w:szCs w:val="24"/>
        </w:rPr>
        <w:t xml:space="preserve"> Henry Alfred Kissinger, nato a Fürth il 27 maggio 1923 e morto a Kent, nel Connecticut, il 29 novembre 2023, non è stato condannato in alcun processo, e nessun blocco di quest'opera lo indica come responsabile di reato. La regola non è una cortesia verso un nome: vale per chiunque, e discende dal fatto che oltre il giudicato definitivo non esiste, per questo corpus, alcuna sede legittima di attribuzione.</w:t>
      </w:r>
    </w:p>
    <w:p>
      <w:pPr>
        <w:spacing w:after="120" w:line="276"/>
        <w:jc w:val="both"/>
      </w:pPr>
      <w:r>
        <w:rPr>
          <w:rFonts w:ascii="Barlow Semi Condensed" w:cs="Barlow Semi Condensed" w:eastAsia="Barlow Semi Condensed" w:hAnsi="Barlow Semi Condensed"/>
          <w:b/>
          <w:bCs/>
          <w:sz w:val="24"/>
          <w:szCs w:val="24"/>
        </w:rPr>
        <w:t xml:space="preserve">431 · Una causa comune, due effetti opposti.</w:t>
      </w:r>
      <w:r>
        <w:rPr>
          <w:rFonts w:ascii="Barlow Semi Condensed" w:cs="Barlow Semi Condensed" w:eastAsia="Barlow Semi Condensed" w:hAnsi="Barlow Semi Condensed"/>
          <w:sz w:val="24"/>
          <w:szCs w:val="24"/>
        </w:rPr>
        <w:t xml:space="preserve"> Il corpus registra la caduta di Salvador Allende dell'11 settembre 1973 come spartiacque documentato che radicalizzò due sinistre in direzioni contrarie: confermò a quella rivoluzionaria l'impossibilità della via elettorale e suggerì a quella riformista il compromesso storico. È una causa comune con due effetti divergenti. Chi legge i due effetti come imparentati fra loro perché simultanei applica alla rovescia la quinta voce della griglia.</w:t>
      </w:r>
    </w:p>
    <w:p>
      <w:pPr>
        <w:spacing w:after="120" w:line="276"/>
        <w:jc w:val="both"/>
      </w:pPr>
      <w:r>
        <w:rPr>
          <w:rFonts w:ascii="Barlow Semi Condensed" w:cs="Barlow Semi Condensed" w:eastAsia="Barlow Semi Condensed" w:hAnsi="Barlow Semi Condensed"/>
          <w:b/>
          <w:bCs/>
          <w:sz w:val="24"/>
          <w:szCs w:val="24"/>
        </w:rPr>
        <w:t xml:space="preserve">432 · Le Azzorre e Lisbona.</w:t>
      </w:r>
      <w:r>
        <w:rPr>
          <w:rFonts w:ascii="Barlow Semi Condensed" w:cs="Barlow Semi Condensed" w:eastAsia="Barlow Semi Condensed" w:hAnsi="Barlow Semi Condensed"/>
          <w:sz w:val="24"/>
          <w:szCs w:val="24"/>
        </w:rPr>
        <w:t xml:space="preserve"> Il memorandum Nixon-Spinola delle Azzorre del 19 giugno 1974 e la preoccupazione documentata per un regime neutralista di sinistra a Lisbona sono fatti pubblici del medesimo torno di mesi in cui si chiudeva il secondo mandato di Moro alla Farnesina. Sono caratteri del medesimo ambiente, non anelli di una catena: dedurne una discendenza verso vicende italiane successive esigerebbe carte che il corpus non ha, e che vanno formulate come quesito.</w:t>
      </w:r>
    </w:p>
    <w:p>
      <w:pPr>
        <w:spacing w:after="120" w:line="276"/>
        <w:jc w:val="both"/>
      </w:pPr>
      <w:r>
        <w:rPr>
          <w:rFonts w:ascii="Barlow Semi Condensed" w:cs="Barlow Semi Condensed" w:eastAsia="Barlow Semi Condensed" w:hAnsi="Barlow Semi Condensed"/>
          <w:b/>
          <w:bCs/>
          <w:sz w:val="24"/>
          <w:szCs w:val="24"/>
        </w:rPr>
        <w:t xml:space="preserve">433 · Helsinki e l'insofferenza registrata.</w:t>
      </w:r>
      <w:r>
        <w:rPr>
          <w:rFonts w:ascii="Barlow Semi Condensed" w:cs="Barlow Semi Condensed" w:eastAsia="Barlow Semi Condensed" w:hAnsi="Barlow Semi Condensed"/>
          <w:sz w:val="24"/>
          <w:szCs w:val="24"/>
        </w:rPr>
        <w:t xml:space="preserve"> Fra i fatti acquisiti figura l'insofferenza di Kissinger, a Helsinki, verso il coinvolgimento della Comunità europea nella firma; e figura che Moro sottoscrisse l'Atto finale del 1° agosto 1975 nella duplice qualità di Presidente del Consiglio e presidente di turno della Comunità. La convergenza delle firme resta l'unica triangolazione certa fra i vertici studiati. Una divergenza di vedute su una procedura non è un movente: è una divergenza di vedute.</w:t>
      </w:r>
    </w:p>
    <w:p>
      <w:pPr>
        <w:spacing w:after="120" w:line="276"/>
        <w:jc w:val="both"/>
      </w:pPr>
      <w:r>
        <w:rPr>
          <w:rFonts w:ascii="Barlow Semi Condensed" w:cs="Barlow Semi Condensed" w:eastAsia="Barlow Semi Condensed" w:hAnsi="Barlow Semi Condensed"/>
          <w:b/>
          <w:bCs/>
          <w:sz w:val="24"/>
          <w:szCs w:val="24"/>
        </w:rPr>
        <w:t xml:space="preserve">434 · L'omologia che il corpus riconosce.</w:t>
      </w:r>
      <w:r>
        <w:rPr>
          <w:rFonts w:ascii="Barlow Semi Condensed" w:cs="Barlow Semi Condensed" w:eastAsia="Barlow Semi Condensed" w:hAnsi="Barlow Semi Condensed"/>
          <w:sz w:val="24"/>
          <w:szCs w:val="24"/>
        </w:rPr>
        <w:t xml:space="preserve"> Fra Guevara e le Brigate Rosse il corpus riconosce una filiazione dichiarata e documentata: l'organizzazione assunse il guerrigliero argentino a modello individuale di riferimento e i Tupamaros come fonte del simbolo, e Renato Curcio disse che si andò a scuola di guerriglia da Feltrinelli. È omologia perché la discendenza è affermata dai discendenti stessi, con atti e parole proprie, e non ricostruita dall'esterno per somiglianza.</w:t>
      </w:r>
    </w:p>
    <w:p>
      <w:pPr>
        <w:spacing w:after="120" w:line="276"/>
        <w:jc w:val="both"/>
      </w:pPr>
      <w:r>
        <w:rPr>
          <w:rFonts w:ascii="Barlow Semi Condensed" w:cs="Barlow Semi Condensed" w:eastAsia="Barlow Semi Condensed" w:hAnsi="Barlow Semi Condensed"/>
          <w:b/>
          <w:bCs/>
          <w:sz w:val="24"/>
          <w:szCs w:val="24"/>
        </w:rPr>
        <w:t xml:space="preserve">435 · Il vettore, e il suo limite.</w:t>
      </w:r>
      <w:r>
        <w:rPr>
          <w:rFonts w:ascii="Barlow Semi Condensed" w:cs="Barlow Semi Condensed" w:eastAsia="Barlow Semi Condensed" w:hAnsi="Barlow Semi Condensed"/>
          <w:sz w:val="24"/>
          <w:szCs w:val="24"/>
        </w:rPr>
        <w:t xml:space="preserve"> Il vettore del mito ha un nome, l'editore che nel 1967 fece manifesto della fotografia di Korda e nel 1968 pubblicò il diario boliviano, e la trasmissione è documentata. Ma un vettore trasmette un'immagine, un libro, un metodo: trasmette informazione, non comando. Nella metafora è trascrizione, non catena gerarchica. Confondere la trasmissione del codice con l'impartizione di un ordine è la degenerazione che l'intero corpus previene.</w:t>
      </w:r>
    </w:p>
    <w:p>
      <w:pPr>
        <w:spacing w:after="120" w:line="276"/>
        <w:jc w:val="both"/>
      </w:pPr>
      <w:r>
        <w:rPr>
          <w:rFonts w:ascii="Barlow Semi Condensed" w:cs="Barlow Semi Condensed" w:eastAsia="Barlow Semi Condensed" w:hAnsi="Barlow Semi Condensed"/>
          <w:b/>
          <w:bCs/>
          <w:sz w:val="24"/>
          <w:szCs w:val="24"/>
        </w:rPr>
        <w:t xml:space="preserve">436 · L'eredità che degenera.</w:t>
      </w:r>
      <w:r>
        <w:rPr>
          <w:rFonts w:ascii="Barlow Semi Condensed" w:cs="Barlow Semi Condensed" w:eastAsia="Barlow Semi Condensed" w:hAnsi="Barlow Semi Condensed"/>
          <w:sz w:val="24"/>
          <w:szCs w:val="24"/>
        </w:rPr>
        <w:t xml:space="preserve"> Il saggio-cerniera formula la tesi come eredità che degenera: un mito importato e travisato che si rovescia nel suo contrario, dove il gesto è opposto benché la bandiera sia la stessa. In termini genetici è espressione differenziale, cioè lo stesso codice letto in un altro ambiente che produce un altro fenotipo. La formula spiega la trasformazione; non stabilisce alcuna catena di comando fra i due estremi.</w:t>
      </w:r>
    </w:p>
    <w:p>
      <w:pPr>
        <w:spacing w:after="120" w:line="276"/>
        <w:jc w:val="both"/>
      </w:pPr>
      <w:r>
        <w:rPr>
          <w:rFonts w:ascii="Barlow Semi Condensed" w:cs="Barlow Semi Condensed" w:eastAsia="Barlow Semi Condensed" w:hAnsi="Barlow Semi Condensed"/>
          <w:b/>
          <w:bCs/>
          <w:sz w:val="24"/>
          <w:szCs w:val="24"/>
        </w:rPr>
        <w:t xml:space="preserve">437 · Genotipo e fenotipo, la coppia utile.</w:t>
      </w:r>
      <w:r>
        <w:rPr>
          <w:rFonts w:ascii="Barlow Semi Condensed" w:cs="Barlow Semi Condensed" w:eastAsia="Barlow Semi Condensed" w:hAnsi="Barlow Semi Condensed"/>
          <w:sz w:val="24"/>
          <w:szCs w:val="24"/>
        </w:rPr>
        <w:t xml:space="preserve"> La coppia più produttiva della metafora è quella fra genotipo e fenotipo. Il genotipo è il corredo dottrinale dichiarato, il fenotipo è ciò che un'organizzazione fa in un dato ambiente. Due gruppi con lo stesso genotipo dottrinale possono avere fenotipi opposti, e due fenotipi identici possono venire da genotipi lontanissimi. La ricerca lavora sui documenti del genotipo e osserva il fenotipo, e non deduce l'uno dall'altro.</w:t>
      </w:r>
    </w:p>
    <w:p>
      <w:pPr>
        <w:spacing w:after="120" w:line="276"/>
        <w:jc w:val="both"/>
      </w:pPr>
      <w:r>
        <w:rPr>
          <w:rFonts w:ascii="Barlow Semi Condensed" w:cs="Barlow Semi Condensed" w:eastAsia="Barlow Semi Condensed" w:hAnsi="Barlow Semi Condensed"/>
          <w:b/>
          <w:bCs/>
          <w:sz w:val="24"/>
          <w:szCs w:val="24"/>
        </w:rPr>
        <w:t xml:space="preserve">438 · L'espressione secondo l'ambiente.</w:t>
      </w:r>
      <w:r>
        <w:rPr>
          <w:rFonts w:ascii="Barlow Semi Condensed" w:cs="Barlow Semi Condensed" w:eastAsia="Barlow Semi Condensed" w:hAnsi="Barlow Semi Condensed"/>
          <w:sz w:val="24"/>
          <w:szCs w:val="24"/>
        </w:rPr>
        <w:t xml:space="preserve"> La stessa dottrina del foco produce esiti opposti in Bolivia e in Italia: là una campagna rurale fallita per l'assenza della base contadina che la dottrina presupponeva, qui un'organizzazione urbana sopravvissuta un decennio. L'ambiente non è cornice decorativa, è il regolatore dell'espressione. Ne segue una regola di lettura: nessuna previsione di condotta discende da una dottrina, e nessuna dottrina si prova a partire da una condotta.</w:t>
      </w:r>
    </w:p>
    <w:p>
      <w:pPr>
        <w:spacing w:after="120" w:line="276"/>
        <w:jc w:val="both"/>
      </w:pPr>
      <w:r>
        <w:rPr>
          <w:rFonts w:ascii="Barlow Semi Condensed" w:cs="Barlow Semi Condensed" w:eastAsia="Barlow Semi Condensed" w:hAnsi="Barlow Semi Condensed"/>
          <w:b/>
          <w:bCs/>
          <w:sz w:val="24"/>
          <w:szCs w:val="24"/>
        </w:rPr>
        <w:t xml:space="preserve">439 · La mutazione, e il suo statuto.</w:t>
      </w:r>
      <w:r>
        <w:rPr>
          <w:rFonts w:ascii="Barlow Semi Condensed" w:cs="Barlow Semi Condensed" w:eastAsia="Barlow Semi Condensed" w:hAnsi="Barlow Semi Condensed"/>
          <w:sz w:val="24"/>
          <w:szCs w:val="24"/>
        </w:rPr>
        <w:t xml:space="preserve"> Una mutazione è un evento locale e datato, non una tendenza. Nel corpus corrisponde alla decisione singola documentata: un convegno di fondazione, una scelta di bersaglio, una rottura interna. Il quesito che la metafora impone è sempre lo stesso ed è sempre utile: di quale atto datato si tratta, chi lo compì, quale carta lo attesta. Senza data e senza atto, la mutazione è soltanto una figura retorica.</w:t>
      </w:r>
    </w:p>
    <w:p>
      <w:pPr>
        <w:spacing w:after="120" w:line="276"/>
        <w:jc w:val="both"/>
      </w:pPr>
      <w:r>
        <w:rPr>
          <w:rFonts w:ascii="Barlow Semi Condensed" w:cs="Barlow Semi Condensed" w:eastAsia="Barlow Semi Condensed" w:hAnsi="Barlow Semi Condensed"/>
          <w:b/>
          <w:bCs/>
          <w:sz w:val="24"/>
          <w:szCs w:val="24"/>
        </w:rPr>
        <w:t xml:space="preserve">440 · Il DNA non codificante (serie VI).</w:t>
      </w:r>
      <w:r>
        <w:rPr>
          <w:rFonts w:ascii="Barlow Semi Condensed" w:cs="Barlow Semi Condensed" w:eastAsia="Barlow Semi Condensed" w:hAnsi="Barlow Semi Condensed"/>
          <w:sz w:val="24"/>
          <w:szCs w:val="24"/>
        </w:rPr>
        <w:t xml:space="preserve"> Gran parte di un genoma non codifica proteine, e per decenni fu chiamata inutile a torto. L'equivalente documentale è il materiale che nessuna narrazione adopera: registri di protocollo, ordini di servizio, fogli di presenza, rubriche. Il blocco 244 dell'agenda lo dice per i protocolli riservati dei ministeri, dove la carta seriale consente di stabilire quali documenti esistettero anche là dove i documenti stessi mancano.</w:t>
      </w:r>
    </w:p>
    <w:p>
      <w:pPr>
        <w:spacing w:after="120" w:line="276"/>
        <w:jc w:val="both"/>
      </w:pPr>
      <w:r>
        <w:rPr>
          <w:rFonts w:ascii="Barlow Semi Condensed" w:cs="Barlow Semi Condensed" w:eastAsia="Barlow Semi Condensed" w:hAnsi="Barlow Semi Condensed"/>
          <w:b/>
          <w:bCs/>
          <w:sz w:val="24"/>
          <w:szCs w:val="24"/>
        </w:rPr>
        <w:t xml:space="preserve">441 · L'epigenetica, usata con misura.</w:t>
      </w:r>
      <w:r>
        <w:rPr>
          <w:rFonts w:ascii="Barlow Semi Condensed" w:cs="Barlow Semi Condensed" w:eastAsia="Barlow Semi Condensed" w:hAnsi="Barlow Semi Condensed"/>
          <w:sz w:val="24"/>
          <w:szCs w:val="24"/>
        </w:rPr>
        <w:t xml:space="preserve"> L'epigenetica descrive che cosa viene espresso e che cosa silenziato senza che il codice cambi. Il corrispettivo documentale è la prassi non scritta: che cosa un ufficio facesse davvero, quali segnalazioni salissero e quali no. È una domanda legittima e accertabile per atti. Non è invece una licenza a postulare influenze invisibili: se la prassi non lascia traccia, l'esito è Stato Zero e non inferenza.</w:t>
      </w:r>
    </w:p>
    <w:p>
      <w:pPr>
        <w:spacing w:after="120" w:line="276"/>
        <w:jc w:val="both"/>
      </w:pPr>
      <w:r>
        <w:rPr>
          <w:rFonts w:ascii="Barlow Semi Condensed" w:cs="Barlow Semi Condensed" w:eastAsia="Barlow Semi Condensed" w:hAnsi="Barlow Semi Condensed"/>
          <w:b/>
          <w:bCs/>
          <w:sz w:val="24"/>
          <w:szCs w:val="24"/>
        </w:rPr>
        <w:t xml:space="preserve">442 · La replicazione e l'errore di copia.</w:t>
      </w:r>
      <w:r>
        <w:rPr>
          <w:rFonts w:ascii="Barlow Semi Condensed" w:cs="Barlow Semi Condensed" w:eastAsia="Barlow Semi Condensed" w:hAnsi="Barlow Semi Condensed"/>
          <w:sz w:val="24"/>
          <w:szCs w:val="24"/>
        </w:rPr>
        <w:t xml:space="preserve"> Un errore di copia che si propaga identico in più testi prova la discendenza meglio di qualunque somiglianza di contenuto: è il principio della critica testuale e vale qui per intero. Una cifra sbagliata ripetuta, una segnatura troncata, una data che ricompare uguale in fonti diverse sono tracce di filiazione fra i testi. La seconda campagna ne offre i materiali, dalle paginazioni divergenti ai titoli resi in forma abbreviata.</w:t>
      </w:r>
    </w:p>
    <w:p>
      <w:pPr>
        <w:spacing w:after="120" w:line="276"/>
        <w:jc w:val="both"/>
      </w:pPr>
      <w:r>
        <w:rPr>
          <w:rFonts w:ascii="Barlow Semi Condensed" w:cs="Barlow Semi Condensed" w:eastAsia="Barlow Semi Condensed" w:hAnsi="Barlow Semi Condensed"/>
          <w:b/>
          <w:bCs/>
          <w:sz w:val="24"/>
          <w:szCs w:val="24"/>
        </w:rPr>
        <w:t xml:space="preserve">443 · La filogenesi dei testi, non delle persone.</w:t>
      </w:r>
      <w:r>
        <w:rPr>
          <w:rFonts w:ascii="Barlow Semi Condensed" w:cs="Barlow Semi Condensed" w:eastAsia="Barlow Semi Condensed" w:hAnsi="Barlow Semi Condensed"/>
          <w:sz w:val="24"/>
          <w:szCs w:val="24"/>
        </w:rPr>
        <w:t xml:space="preserve"> Ne discende un uso lecito e circoscritto della filogenesi: la si applica ai testi, non alle persone. Si può ricostruire l'albero di una notizia, chi la scrisse per primo, chi la copiò, chi la ampliò, perché i testi conservano le tracce delle copie. Non si ricostruisce l'albero di una responsabilità, perché le persone non sono copie e perché la colpa, in diritto, non si eredita.</w:t>
      </w:r>
    </w:p>
    <w:p>
      <w:pPr>
        <w:spacing w:after="120" w:line="276"/>
        <w:jc w:val="both"/>
      </w:pPr>
      <w:r>
        <w:rPr>
          <w:rFonts w:ascii="Barlow Semi Condensed" w:cs="Barlow Semi Condensed" w:eastAsia="Barlow Semi Condensed" w:hAnsi="Barlow Semi Condensed"/>
          <w:b/>
          <w:bCs/>
          <w:sz w:val="24"/>
          <w:szCs w:val="24"/>
        </w:rPr>
        <w:t xml:space="preserve">444 · La fermata sul determinismo.</w:t>
      </w:r>
      <w:r>
        <w:rPr>
          <w:rFonts w:ascii="Barlow Semi Condensed" w:cs="Barlow Semi Condensed" w:eastAsia="Barlow Semi Condensed" w:hAnsi="Barlow Semi Condensed"/>
          <w:sz w:val="24"/>
          <w:szCs w:val="24"/>
        </w:rPr>
        <w:t xml:space="preserve"> Qui la metafora va fermata esplicitamente. Il determinismo genetico è falso anche in biologia: un genotipo non detta un destino, e quasi tutti i caratteri interessanti nascono da un'interazione. Trasferito alla storia, il determinismo diventa la tesi che una dottrina produca necessariamente una condotta, cioè la premessa di ogni processo alle intenzioni. Il corpus la rifiuta, e questa serie la nomina proprio per rifiutarla.</w:t>
      </w:r>
    </w:p>
    <w:p>
      <w:pPr>
        <w:spacing w:after="120" w:line="276"/>
        <w:jc w:val="both"/>
      </w:pPr>
      <w:r>
        <w:rPr>
          <w:rFonts w:ascii="Barlow Semi Condensed" w:cs="Barlow Semi Condensed" w:eastAsia="Barlow Semi Condensed" w:hAnsi="Barlow Semi Condensed"/>
          <w:b/>
          <w:bCs/>
          <w:sz w:val="24"/>
          <w:szCs w:val="24"/>
        </w:rPr>
        <w:t xml:space="preserve">445 · La fermata sulla colpa ereditaria.</w:t>
      </w:r>
      <w:r>
        <w:rPr>
          <w:rFonts w:ascii="Barlow Semi Condensed" w:cs="Barlow Semi Condensed" w:eastAsia="Barlow Semi Condensed" w:hAnsi="Barlow Semi Condensed"/>
          <w:sz w:val="24"/>
          <w:szCs w:val="24"/>
        </w:rPr>
        <w:t xml:space="preserve"> Seconda fermata, e più grave. Nessuno eredita una responsabilità penale, né da un maestro, né da un'organizzazione, né da un lignaggio dottrinale. La metafora della discendenza, applicata alle persone, produce esattamente la colpa ereditaria che il diritto ha impiegato secoli a smantellare. Dove un blocco di quest'opera sfiorasse quella soglia, il blocco è sbagliato: va riscritto sul documento oppure cancellato.</w:t>
      </w:r>
    </w:p>
    <w:p>
      <w:pPr>
        <w:spacing w:after="120" w:line="276"/>
        <w:jc w:val="both"/>
      </w:pPr>
      <w:r>
        <w:rPr>
          <w:rFonts w:ascii="Barlow Semi Condensed" w:cs="Barlow Semi Condensed" w:eastAsia="Barlow Semi Condensed" w:hAnsi="Barlow Semi Condensed"/>
          <w:b/>
          <w:bCs/>
          <w:sz w:val="24"/>
          <w:szCs w:val="24"/>
        </w:rPr>
        <w:t xml:space="preserve">446 · Il trasferimento orizzontale (serie VI).</w:t>
      </w:r>
      <w:r>
        <w:rPr>
          <w:rFonts w:ascii="Barlow Semi Condensed" w:cs="Barlow Semi Condensed" w:eastAsia="Barlow Semi Condensed" w:hAnsi="Barlow Semi Condensed"/>
          <w:sz w:val="24"/>
          <w:szCs w:val="24"/>
        </w:rPr>
        <w:t xml:space="preserve"> La genetica conosce un fenomeno che rompe l'albero, il trasferimento orizzontale, per cui un tratto passa fra organismi non imparentati. È il modello del contagio dottrinale, dell'imitazione a distanza, del testo tecnico che circola. Utile perché spiega somiglianze senza discendenza; pericoloso perché può essere invocato per spiegare qualunque cosa. Vale dunque il limite: si ammette solo dove il canale del trasferimento è documentato con nome e data.</w:t>
      </w:r>
    </w:p>
    <w:p>
      <w:pPr>
        <w:spacing w:after="120" w:line="276"/>
        <w:jc w:val="both"/>
      </w:pPr>
      <w:r>
        <w:rPr>
          <w:rFonts w:ascii="Barlow Semi Condensed" w:cs="Barlow Semi Condensed" w:eastAsia="Barlow Semi Condensed" w:hAnsi="Barlow Semi Condensed"/>
          <w:b/>
          <w:bCs/>
          <w:sz w:val="24"/>
          <w:szCs w:val="24"/>
        </w:rPr>
        <w:t xml:space="preserve">447 · L'omoplasia e la reversione.</w:t>
      </w:r>
      <w:r>
        <w:rPr>
          <w:rFonts w:ascii="Barlow Semi Condensed" w:cs="Barlow Semi Condensed" w:eastAsia="Barlow Semi Condensed" w:hAnsi="Barlow Semi Condensed"/>
          <w:sz w:val="24"/>
          <w:szCs w:val="24"/>
        </w:rPr>
        <w:t xml:space="preserve"> Oltre alla convergenza esistono altri due modi di generare somiglianze false: il parallelismo, quando due linee imparentate sviluppano indipendentemente lo stesso tratto, e la reversione, quando un tratto perduto ricompare. Nel corpus corrispondono alla ripresa autonoma di una tecnica già nota e al riemergere di una sigla dismessa. Entrambi producono l'illusione della continuità, ed entrambi si smontano soltanto con la cronologia datata.</w:t>
      </w:r>
    </w:p>
    <w:p>
      <w:pPr>
        <w:spacing w:after="120" w:line="276"/>
        <w:jc w:val="both"/>
      </w:pPr>
      <w:r>
        <w:rPr>
          <w:rFonts w:ascii="Barlow Semi Condensed" w:cs="Barlow Semi Condensed" w:eastAsia="Barlow Semi Condensed" w:hAnsi="Barlow Semi Condensed"/>
          <w:b/>
          <w:bCs/>
          <w:sz w:val="24"/>
          <w:szCs w:val="24"/>
        </w:rPr>
        <w:t xml:space="preserve">448 · La cronologia prima dell'interpretazione.</w:t>
      </w:r>
      <w:r>
        <w:rPr>
          <w:rFonts w:ascii="Barlow Semi Condensed" w:cs="Barlow Semi Condensed" w:eastAsia="Barlow Semi Condensed" w:hAnsi="Barlow Semi Condensed"/>
          <w:sz w:val="24"/>
          <w:szCs w:val="24"/>
        </w:rPr>
        <w:t xml:space="preserve"> Il blocco 14 del manuale investigativo prescrive che nessuna sovrapposizione di strati avvenga senza date, e il blocco 261 nomina l'errore corrispondente, la retrodatazione, cioè assetti più tardi proiettati su un momento anteriore. In filogenesi è il medesimo vizio: un carattere non datato non entra nella matrice. Prima la tavola cronologica, poi ogni lettura, e prima ancora la fonte da cui la data proviene.</w:t>
      </w:r>
    </w:p>
    <w:p>
      <w:pPr>
        <w:spacing w:after="120" w:line="276"/>
        <w:jc w:val="both"/>
      </w:pPr>
      <w:r>
        <w:rPr>
          <w:rFonts w:ascii="Barlow Semi Condensed" w:cs="Barlow Semi Condensed" w:eastAsia="Barlow Semi Condensed" w:hAnsi="Barlow Semi Condensed"/>
          <w:b/>
          <w:bCs/>
          <w:sz w:val="24"/>
          <w:szCs w:val="24"/>
        </w:rPr>
        <w:t xml:space="preserve">449 · Il gruppo esterno di confronto.</w:t>
      </w:r>
      <w:r>
        <w:rPr>
          <w:rFonts w:ascii="Barlow Semi Condensed" w:cs="Barlow Semi Condensed" w:eastAsia="Barlow Semi Condensed" w:hAnsi="Barlow Semi Condensed"/>
          <w:sz w:val="24"/>
          <w:szCs w:val="24"/>
        </w:rPr>
        <w:t xml:space="preserve"> Per stabilire quale carattere sia derivato serve un gruppo esterno di confronto. Nel corpus l'esterno è il contesto europeo: se un tratto ricorre in gruppi privi di qualunque rapporto documentato con quello studiato, il tratto è primitivo e non individua nulla. La procedura è concreta: prima di trattare una somiglianza come indizio, si verifica quanto sia diffusa fuori dal perimetro. Molto spesso lo è moltissimo.</w:t>
      </w:r>
    </w:p>
    <w:p>
      <w:pPr>
        <w:spacing w:after="120" w:line="276"/>
        <w:jc w:val="both"/>
      </w:pPr>
      <w:r>
        <w:rPr>
          <w:rFonts w:ascii="Barlow Semi Condensed" w:cs="Barlow Semi Condensed" w:eastAsia="Barlow Semi Condensed" w:hAnsi="Barlow Semi Condensed"/>
          <w:b/>
          <w:bCs/>
          <w:sz w:val="24"/>
          <w:szCs w:val="24"/>
        </w:rPr>
        <w:t xml:space="preserve">450 · Quanti caratteri servono.</w:t>
      </w:r>
      <w:r>
        <w:rPr>
          <w:rFonts w:ascii="Barlow Semi Condensed" w:cs="Barlow Semi Condensed" w:eastAsia="Barlow Semi Condensed" w:hAnsi="Barlow Semi Condensed"/>
          <w:sz w:val="24"/>
          <w:szCs w:val="24"/>
        </w:rPr>
        <w:t xml:space="preserve"> Non esiste una soglia numerica, e chi la promette vende una precisione che le fonti non hanno. Esiste però una regola qualitativa: un solo carattere arbitrario e ben documentato vale più di venti caratteri funzionali. È la ragione per cui il metodo vieta il salto di grado per accumulo. Dieci somiglianze di ambiente non fanno una filiazione; un protocollo con due nomi e una data la fa.</w:t>
      </w:r>
    </w:p>
    <w:p>
      <w:pPr>
        <w:spacing w:after="120" w:line="276"/>
        <w:jc w:val="both"/>
      </w:pPr>
      <w:r>
        <w:rPr>
          <w:rFonts w:ascii="Barlow Semi Condensed" w:cs="Barlow Semi Condensed" w:eastAsia="Barlow Semi Condensed" w:hAnsi="Barlow Semi Condensed"/>
          <w:b/>
          <w:bCs/>
          <w:sz w:val="24"/>
          <w:szCs w:val="24"/>
        </w:rPr>
        <w:t xml:space="preserve">451 · L'ipotesi nulla dichiarata.</w:t>
      </w:r>
      <w:r>
        <w:rPr>
          <w:rFonts w:ascii="Barlow Semi Condensed" w:cs="Barlow Semi Condensed" w:eastAsia="Barlow Semi Condensed" w:hAnsi="Barlow Semi Condensed"/>
          <w:sz w:val="24"/>
          <w:szCs w:val="24"/>
        </w:rPr>
        <w:t xml:space="preserve"> Ogni confronto fra reti clandestine si apre dichiarando l'ipotesi nulla: le due strutture sono convergenti e la somiglianza si spiega con l'ambiente. Il confronto ha valore solo se dice in anticipo quale reperto rovescerebbe quell'ipotesi. È l'analisi delle ipotesi concorrenti applicata alla coppia omologia-analogia: si cerca l'evidenza incompatibile con almeno una delle due, e se non esiste il quesito è indecidibile per costruzione.</w:t>
      </w:r>
    </w:p>
    <w:p>
      <w:pPr>
        <w:spacing w:after="120" w:line="276"/>
        <w:jc w:val="both"/>
      </w:pPr>
      <w:r>
        <w:rPr>
          <w:rFonts w:ascii="Barlow Semi Condensed" w:cs="Barlow Semi Condensed" w:eastAsia="Barlow Semi Condensed" w:hAnsi="Barlow Semi Condensed"/>
          <w:b/>
          <w:bCs/>
          <w:sz w:val="24"/>
          <w:szCs w:val="24"/>
        </w:rPr>
        <w:t xml:space="preserve">452 · La matrice a due ipotesi.</w:t>
      </w:r>
      <w:r>
        <w:rPr>
          <w:rFonts w:ascii="Barlow Semi Condensed" w:cs="Barlow Semi Condensed" w:eastAsia="Barlow Semi Condensed" w:hAnsi="Barlow Semi Condensed"/>
          <w:sz w:val="24"/>
          <w:szCs w:val="24"/>
        </w:rPr>
        <w:t xml:space="preserve"> La forma minima è una matrice con due colonne, H1 convergenza indipendente e H2 filiazione documentabile, e le evidenze in riga, ciascuna con il proprio grado. Quasi tutte le evidenze di somiglianza risulteranno coerenti con entrambe, cioè non diagnostiche. Il lavoro consiste nel nominare l'evidenza che discriminerebbe e nell'indicare la sede in cui la si andrebbe a cercare: quella riga è il prodotto della matrice.</w:t>
      </w:r>
    </w:p>
    <w:p>
      <w:pPr>
        <w:spacing w:after="120" w:line="276"/>
        <w:jc w:val="both"/>
      </w:pPr>
      <w:r>
        <w:rPr>
          <w:rFonts w:ascii="Barlow Semi Condensed" w:cs="Barlow Semi Condensed" w:eastAsia="Barlow Semi Condensed" w:hAnsi="Barlow Semi Condensed"/>
          <w:b/>
          <w:bCs/>
          <w:sz w:val="24"/>
          <w:szCs w:val="24"/>
        </w:rPr>
        <w:t xml:space="preserve">453 · La terza ipotesi da non dimenticare.</w:t>
      </w:r>
      <w:r>
        <w:rPr>
          <w:rFonts w:ascii="Barlow Semi Condensed" w:cs="Barlow Semi Condensed" w:eastAsia="Barlow Semi Condensed" w:hAnsi="Barlow Semi Condensed"/>
          <w:sz w:val="24"/>
          <w:szCs w:val="24"/>
        </w:rPr>
        <w:t xml:space="preserve"> Alla matrice va aggiunta una terza colonna, H3, filiazione reale ma non documentabile con le fonti disponibili. È la colonna scomoda, perché è coerente con tutto e non si chiude mai. Va tenuta aperta e dichiarata, e va distinta con nettezza da H2: la differenza fra un rapporto che potrebbe esistere e un rapporto che si può provare è l'intera differenza fra congettura e accertamento.</w:t>
      </w:r>
    </w:p>
    <w:p>
      <w:pPr>
        <w:spacing w:after="120" w:line="276"/>
        <w:jc w:val="both"/>
      </w:pPr>
      <w:r>
        <w:rPr>
          <w:rFonts w:ascii="Barlow Semi Condensed" w:cs="Barlow Semi Condensed" w:eastAsia="Barlow Semi Condensed" w:hAnsi="Barlow Semi Condensed"/>
          <w:b/>
          <w:bCs/>
          <w:sz w:val="24"/>
          <w:szCs w:val="24"/>
        </w:rPr>
        <w:t xml:space="preserve">454 · Il caso indeciso, la scheda.</w:t>
      </w:r>
      <w:r>
        <w:rPr>
          <w:rFonts w:ascii="Barlow Semi Condensed" w:cs="Barlow Semi Condensed" w:eastAsia="Barlow Semi Condensed" w:hAnsi="Barlow Semi Condensed"/>
          <w:sz w:val="24"/>
          <w:szCs w:val="24"/>
        </w:rPr>
        <w:t xml:space="preserve"> Un caso indeciso si registra con sei voci: le ipotesi in campo, le evidenze con i loro gradi, la constatazione che nessuna è diagnostica, l'evidenza mancante nominata almeno per genere, la sede d'archivio in cui la si cercherebbe, e la data della registrazione. Senza le ultime tre voci non è una scheda, ma un'ammissione di ignoranza travestita da prudenza, e non serve a nessuna ricerca futura.</w:t>
      </w:r>
    </w:p>
    <w:p>
      <w:pPr>
        <w:spacing w:after="120" w:line="276"/>
        <w:jc w:val="both"/>
      </w:pPr>
      <w:r>
        <w:rPr>
          <w:rFonts w:ascii="Barlow Semi Condensed" w:cs="Barlow Semi Condensed" w:eastAsia="Barlow Semi Condensed" w:hAnsi="Barlow Semi Condensed"/>
          <w:b/>
          <w:bCs/>
          <w:sz w:val="24"/>
          <w:szCs w:val="24"/>
        </w:rPr>
        <w:t xml:space="preserve">455 · La politomia irrisolta.</w:t>
      </w:r>
      <w:r>
        <w:rPr>
          <w:rFonts w:ascii="Barlow Semi Condensed" w:cs="Barlow Semi Condensed" w:eastAsia="Barlow Semi Condensed" w:hAnsi="Barlow Semi Condensed"/>
          <w:sz w:val="24"/>
          <w:szCs w:val="24"/>
        </w:rPr>
        <w:t xml:space="preserve"> Quando i dati non bastano a ordinare tre rami, il sistematista lascia una politomia, cioè un nodo con tre uscite e nessuna gerarchia. Non è un fallimento, è una dichiarazione onesta dello stato dell'informazione. Il corpus ha il suo equivalente nelle matrici in cui nessuna evidenza risulta diagnostica. Registrare la politomia è un atto positivo; risolverla per verosimiglianza è il salto che il metodo vieta.</w:t>
      </w:r>
    </w:p>
    <w:p>
      <w:pPr>
        <w:spacing w:after="120" w:line="276"/>
        <w:jc w:val="both"/>
      </w:pPr>
      <w:r>
        <w:rPr>
          <w:rFonts w:ascii="Barlow Semi Condensed" w:cs="Barlow Semi Condensed" w:eastAsia="Barlow Semi Condensed" w:hAnsi="Barlow Semi Condensed"/>
          <w:b/>
          <w:bCs/>
          <w:sz w:val="24"/>
          <w:szCs w:val="24"/>
        </w:rPr>
        <w:t xml:space="preserve">456 · L'indecidibilità come risultato.</w:t>
      </w:r>
      <w:r>
        <w:rPr>
          <w:rFonts w:ascii="Barlow Semi Condensed" w:cs="Barlow Semi Condensed" w:eastAsia="Barlow Semi Condensed" w:hAnsi="Barlow Semi Condensed"/>
          <w:sz w:val="24"/>
          <w:szCs w:val="24"/>
        </w:rPr>
        <w:t xml:space="preserve"> La matrice sul nodo di via Gradoli mostra il modello: tutte le evidenze compatibili con tutte le ipotesi, quesito indecidibile allo stato degli atti, evidenza discriminante identificata nell'individuazione documentale della fonte reale della segnalazione. L'esito non è una debolezza, è una misura precisa di quanto si sa. E indica dove andare, che è la sola cosa che un'analisi sia tenuta a consegnare.</w:t>
      </w:r>
    </w:p>
    <w:p>
      <w:pPr>
        <w:spacing w:after="120" w:line="276"/>
        <w:jc w:val="both"/>
      </w:pPr>
      <w:r>
        <w:rPr>
          <w:rFonts w:ascii="Barlow Semi Condensed" w:cs="Barlow Semi Condensed" w:eastAsia="Barlow Semi Condensed" w:hAnsi="Barlow Semi Condensed"/>
          <w:b/>
          <w:bCs/>
          <w:sz w:val="24"/>
          <w:szCs w:val="24"/>
        </w:rPr>
        <w:t xml:space="preserve">457 · Il registro dei casi indecisi.</w:t>
      </w:r>
      <w:r>
        <w:rPr>
          <w:rFonts w:ascii="Barlow Semi Condensed" w:cs="Barlow Semi Condensed" w:eastAsia="Barlow Semi Condensed" w:hAnsi="Barlow Semi Condensed"/>
          <w:sz w:val="24"/>
          <w:szCs w:val="24"/>
        </w:rPr>
        <w:t xml:space="preserve"> Serve un registro pubblico e datato dei casi indecisi, sul modello del registro delle piste: per ciascuno lo stato, gli atti compiuti, il criterio di chiusura e quello di riapertura. Un caso indeciso privo di registro si dissolve in due modi opposti e ugualmente falsi, nell'oblio oppure nella ripetizione che a forza di ripetersi diventa acquisita. Il registro è l'antidoto a entrambi, e costa poco.</w:t>
      </w:r>
    </w:p>
    <w:p>
      <w:pPr>
        <w:spacing w:after="120" w:line="276"/>
        <w:jc w:val="both"/>
      </w:pPr>
      <w:r>
        <w:rPr>
          <w:rFonts w:ascii="Barlow Semi Condensed" w:cs="Barlow Semi Condensed" w:eastAsia="Barlow Semi Condensed" w:hAnsi="Barlow Semi Condensed"/>
          <w:b/>
          <w:bCs/>
          <w:sz w:val="24"/>
          <w:szCs w:val="24"/>
        </w:rPr>
        <w:t xml:space="preserve">458 · La revisione periodica.</w:t>
      </w:r>
      <w:r>
        <w:rPr>
          <w:rFonts w:ascii="Barlow Semi Condensed" w:cs="Barlow Semi Condensed" w:eastAsia="Barlow Semi Condensed" w:hAnsi="Barlow Semi Condensed"/>
          <w:sz w:val="24"/>
          <w:szCs w:val="24"/>
        </w:rPr>
        <w:t xml:space="preserve"> Il manuale prescrive una revisione a cadenza fissa dei punteggi, motivata per iscritto, e osserva che un punteggio immobile per anni è un punteggio non curato. Vale per i casi indecisi di questa serie: a ogni revisione si domanda se un fondo nuovo, una desecretazione o un inventario abbiano reso raggiungibile l'evidenza discriminante. Se nulla è cambiato lo si scrive, perché anche l'immobilità va verbalizzata.</w:t>
      </w:r>
    </w:p>
    <w:p>
      <w:pPr>
        <w:spacing w:after="120" w:line="276"/>
        <w:jc w:val="both"/>
      </w:pPr>
      <w:r>
        <w:rPr>
          <w:rFonts w:ascii="Barlow Semi Condensed" w:cs="Barlow Semi Condensed" w:eastAsia="Barlow Semi Condensed" w:hAnsi="Barlow Semi Condensed"/>
          <w:b/>
          <w:bCs/>
          <w:sz w:val="24"/>
          <w:szCs w:val="24"/>
        </w:rPr>
        <w:t xml:space="preserve">459 · Le divergenze non si scelgono in silenzio.</w:t>
      </w:r>
      <w:r>
        <w:rPr>
          <w:rFonts w:ascii="Barlow Semi Condensed" w:cs="Barlow Semi Condensed" w:eastAsia="Barlow Semi Condensed" w:hAnsi="Barlow Semi Condensed"/>
          <w:sz w:val="24"/>
          <w:szCs w:val="24"/>
        </w:rPr>
        <w:t xml:space="preserve"> Dove le fonti divergono sulla natura di un rapporto, filiazione per una e coincidenza per l'altra, la divergenza si riporta con entrambe le versioni e la loro provenienza. La seconda campagna lo pratica su otto oggetti rimasti aperti, da una forbice di vittime a una data di espulsione. La regola non ammette eccezioni per i casi comodi: scegliere in silenzio è la forma più elegante della manipolazione.</w:t>
      </w:r>
    </w:p>
    <w:p>
      <w:pPr>
        <w:spacing w:after="120" w:line="276"/>
        <w:jc w:val="both"/>
      </w:pPr>
      <w:r>
        <w:rPr>
          <w:rFonts w:ascii="Barlow Semi Condensed" w:cs="Barlow Semi Condensed" w:eastAsia="Barlow Semi Condensed" w:hAnsi="Barlow Semi Condensed"/>
          <w:b/>
          <w:bCs/>
          <w:sz w:val="24"/>
          <w:szCs w:val="24"/>
        </w:rPr>
        <w:t xml:space="preserve">460 · L'errore del buco riempito.</w:t>
      </w:r>
      <w:r>
        <w:rPr>
          <w:rFonts w:ascii="Barlow Semi Condensed" w:cs="Barlow Semi Condensed" w:eastAsia="Barlow Semi Condensed" w:hAnsi="Barlow Semi Condensed"/>
          <w:sz w:val="24"/>
          <w:szCs w:val="24"/>
        </w:rPr>
        <w:t xml:space="preserve"> Il blocco 259 del manuale nomina l'errore: ogni lacuna colmata con la narrazione più suggestiva. Nella metafora è il ramo disegnato là dove i dati mancano. L'antidoto è la regola dei buchi, si misura, si dichiara, si cerca l'arco documentale, insieme alla seconda metà acquisita dalla seconda campagna: un vuoto può significare che nessuno ha ancora scritto un documento su quei due domini insieme.</w:t>
      </w:r>
    </w:p>
    <w:p>
      <w:pPr>
        <w:spacing w:after="120" w:line="276"/>
        <w:jc w:val="both"/>
      </w:pPr>
      <w:r>
        <w:rPr>
          <w:rFonts w:ascii="Barlow Semi Condensed" w:cs="Barlow Semi Condensed" w:eastAsia="Barlow Semi Condensed" w:hAnsi="Barlow Semi Condensed"/>
          <w:b/>
          <w:bCs/>
          <w:sz w:val="24"/>
          <w:szCs w:val="24"/>
        </w:rPr>
        <w:t xml:space="preserve">461 · Il buco e la specializzazione delle fonti.</w:t>
      </w:r>
      <w:r>
        <w:rPr>
          <w:rFonts w:ascii="Barlow Semi Condensed" w:cs="Barlow Semi Condensed" w:eastAsia="Barlow Semi Condensed" w:hAnsi="Barlow Semi Condensed"/>
          <w:sz w:val="24"/>
          <w:szCs w:val="24"/>
        </w:rPr>
        <w:t xml:space="preserve"> Ne discende una procedura a due tempi che questa serie fa propria. Prima si misura il buco e lo si dichiara con perimetro esatto, secondo il test dei buchi del blocco 233 dell'agenda. Poi se ne diagnostica la causa nella specializzazione delle fonti. Solo dopo si è autorizzati a interrogarlo sulla struttura del mondo. Saltare il secondo tempo trasforma una lacuna bibliografica in una scoperta.</w:t>
      </w:r>
    </w:p>
    <w:p>
      <w:pPr>
        <w:spacing w:after="120" w:line="276"/>
        <w:jc w:val="both"/>
      </w:pPr>
      <w:r>
        <w:rPr>
          <w:rFonts w:ascii="Barlow Semi Condensed" w:cs="Barlow Semi Condensed" w:eastAsia="Barlow Semi Condensed" w:hAnsi="Barlow Semi Condensed"/>
          <w:b/>
          <w:bCs/>
          <w:sz w:val="24"/>
          <w:szCs w:val="24"/>
        </w:rPr>
        <w:t xml:space="preserve">462 · La ricerca a vuoto come atto.</w:t>
      </w:r>
      <w:r>
        <w:rPr>
          <w:rFonts w:ascii="Barlow Semi Condensed" w:cs="Barlow Semi Condensed" w:eastAsia="Barlow Semi Condensed" w:hAnsi="Barlow Semi Condensed"/>
          <w:sz w:val="24"/>
          <w:szCs w:val="24"/>
        </w:rPr>
        <w:t xml:space="preserve"> Il blocco 285 dell'agenda impone che l'esito negativo si verbalizzi con lo stesso rigore del positivo: che cosa è stato cercato, dove, quando, da chi, con quale perimetro. Applicato qui significa che ogni omologia cercata e non trovata produce un verbale e non un silenzio. Il verbale impedisce di ricercare due volte e disegna, accumulandosi, la mappa di ciò che non si potrà più sapere.</w:t>
      </w:r>
    </w:p>
    <w:p>
      <w:pPr>
        <w:spacing w:after="120" w:line="276"/>
        <w:jc w:val="both"/>
      </w:pPr>
      <w:r>
        <w:rPr>
          <w:rFonts w:ascii="Barlow Semi Condensed" w:cs="Barlow Semi Condensed" w:eastAsia="Barlow Semi Condensed" w:hAnsi="Barlow Semi Condensed"/>
          <w:b/>
          <w:bCs/>
          <w:sz w:val="24"/>
          <w:szCs w:val="24"/>
        </w:rPr>
        <w:t xml:space="preserve">463 · Il documento citato e mai visto.</w:t>
      </w:r>
      <w:r>
        <w:rPr>
          <w:rFonts w:ascii="Barlow Semi Condensed" w:cs="Barlow Semi Condensed" w:eastAsia="Barlow Semi Condensed" w:hAnsi="Barlow Semi Condensed"/>
          <w:sz w:val="24"/>
          <w:szCs w:val="24"/>
        </w:rPr>
        <w:t xml:space="preserve"> Il blocco 267 del manuale censisce mezzo secolo di appunti che risulterebbero, senza segnatura. È la patologia specifica delle attribuzioni di filiazione, dove la carta decisiva è sempre citata da qualcuno che l'ha vista. La regola è netta: o la segnatura, o la scheda del citato e non reperito. Un documento senza indirizzo non entra negli atti, e un'omologia che poggi su di esso non esiste.</w:t>
      </w:r>
    </w:p>
    <w:p>
      <w:pPr>
        <w:spacing w:after="120" w:line="276"/>
        <w:jc w:val="both"/>
      </w:pPr>
      <w:r>
        <w:rPr>
          <w:rFonts w:ascii="Barlow Semi Condensed" w:cs="Barlow Semi Condensed" w:eastAsia="Barlow Semi Condensed" w:hAnsi="Barlow Semi Condensed"/>
          <w:b/>
          <w:bCs/>
          <w:sz w:val="24"/>
          <w:szCs w:val="24"/>
        </w:rPr>
        <w:t xml:space="preserve">464 · Il divieto di inventare la carta.</w:t>
      </w:r>
      <w:r>
        <w:rPr>
          <w:rFonts w:ascii="Barlow Semi Condensed" w:cs="Barlow Semi Condensed" w:eastAsia="Barlow Semi Condensed" w:hAnsi="Barlow Semi Condensed"/>
          <w:sz w:val="24"/>
          <w:szCs w:val="24"/>
        </w:rPr>
        <w:t xml:space="preserve"> Vale come vincolo assoluto dell'opera: non si inventano documenti, protocolli, segnature o citazioni. Dove un ragionamento chiede una carta di cui non si conosce l'esistenza, il blocco la formula come quesito, verificare se esista, reperire, con la sede indicata, e non come asserzione. È la differenza fra un programma di ricerca e una ricostruzione: il primo dice che cosa manca, la seconda finge di averlo già.</w:t>
      </w:r>
    </w:p>
    <w:p>
      <w:pPr>
        <w:spacing w:after="120" w:line="276"/>
        <w:jc w:val="both"/>
      </w:pPr>
      <w:r>
        <w:rPr>
          <w:rFonts w:ascii="Barlow Semi Condensed" w:cs="Barlow Semi Condensed" w:eastAsia="Barlow Semi Condensed" w:hAnsi="Barlow Semi Condensed"/>
          <w:b/>
          <w:bCs/>
          <w:sz w:val="24"/>
          <w:szCs w:val="24"/>
        </w:rPr>
        <w:t xml:space="preserve">465 · L'errore del colpevole collettivo.</w:t>
      </w:r>
      <w:r>
        <w:rPr>
          <w:rFonts w:ascii="Barlow Semi Condensed" w:cs="Barlow Semi Condensed" w:eastAsia="Barlow Semi Condensed" w:hAnsi="Barlow Semi Condensed"/>
          <w:sz w:val="24"/>
          <w:szCs w:val="24"/>
        </w:rPr>
        <w:t xml:space="preserve"> Il blocco 258 del manuale nomina l'errore: furono i servizi, fu la loggia, fu lo Stato. Nella metafora è l'attribuzione di una condotta a un gruppo tassonomico. Il gruppo non agisce: agiscono individui, e la responsabilità è personale. L'antidoto è la scomposizione in atti e omissioni documentati di persone e uffici, uno per uno, oppure il silenzio, che in questa materia è sempre preferibile all'approssimazione.</w:t>
      </w:r>
    </w:p>
    <w:p>
      <w:pPr>
        <w:spacing w:after="120" w:line="276"/>
        <w:jc w:val="both"/>
      </w:pPr>
      <w:r>
        <w:rPr>
          <w:rFonts w:ascii="Barlow Semi Condensed" w:cs="Barlow Semi Condensed" w:eastAsia="Barlow Semi Condensed" w:hAnsi="Barlow Semi Condensed"/>
          <w:b/>
          <w:bCs/>
          <w:sz w:val="24"/>
          <w:szCs w:val="24"/>
        </w:rPr>
        <w:t xml:space="preserve">466 · L'errore della coincidenza promossa.</w:t>
      </w:r>
      <w:r>
        <w:rPr>
          <w:rFonts w:ascii="Barlow Semi Condensed" w:cs="Barlow Semi Condensed" w:eastAsia="Barlow Semi Condensed" w:hAnsi="Barlow Semi Condensed"/>
          <w:sz w:val="24"/>
          <w:szCs w:val="24"/>
        </w:rPr>
        <w:t xml:space="preserve"> Il blocco 260 elenca le coincidenze del caso trattate come firme. La coppia omologia-analogia ne dà la formula generale: una coincidenza è un carattere condiviso senza discendenza dimostrata, e resta tale finché la discendenza non sia dimostrata. Il posto di una coincidenza è la riga di una matrice, con le sue ipotesi alternative accanto, e non la conclusione di un capitolo o il titolo di un articolo.</w:t>
      </w:r>
    </w:p>
    <w:p>
      <w:pPr>
        <w:spacing w:after="120" w:line="276"/>
        <w:jc w:val="both"/>
      </w:pPr>
      <w:r>
        <w:rPr>
          <w:rFonts w:ascii="Barlow Semi Condensed" w:cs="Barlow Semi Condensed" w:eastAsia="Barlow Semi Condensed" w:hAnsi="Barlow Semi Condensed"/>
          <w:b/>
          <w:bCs/>
          <w:sz w:val="24"/>
          <w:szCs w:val="24"/>
        </w:rPr>
        <w:t xml:space="preserve">467 · L'errore della domanda sbagliata.</w:t>
      </w:r>
      <w:r>
        <w:rPr>
          <w:rFonts w:ascii="Barlow Semi Condensed" w:cs="Barlow Semi Condensed" w:eastAsia="Barlow Semi Condensed" w:hAnsi="Barlow Semi Condensed"/>
          <w:sz w:val="24"/>
          <w:szCs w:val="24"/>
        </w:rPr>
        <w:t xml:space="preserve"> Il blocco 269 registra la domanda che rovina ogni indagine, chi c'era dietro, posta per prima al posto di che cosa è documentato. Tradotta qui: si comincia chiedendo che cosa sia omologo, non chi discenda da chi. La sequenza obbligata resta reperto, carta, matrice, e soltanto alla fine, se gli atti ve la portano, la persona. Invertirla produce alberi bellissimi e falsi.</w:t>
      </w:r>
    </w:p>
    <w:p>
      <w:pPr>
        <w:spacing w:after="120" w:line="276"/>
        <w:jc w:val="both"/>
      </w:pPr>
      <w:r>
        <w:rPr>
          <w:rFonts w:ascii="Barlow Semi Condensed" w:cs="Barlow Semi Condensed" w:eastAsia="Barlow Semi Condensed" w:hAnsi="Barlow Semi Condensed"/>
          <w:b/>
          <w:bCs/>
          <w:sz w:val="24"/>
          <w:szCs w:val="24"/>
        </w:rPr>
        <w:t xml:space="preserve">468 · L'errore del perimetro infinito.</w:t>
      </w:r>
      <w:r>
        <w:rPr>
          <w:rFonts w:ascii="Barlow Semi Condensed" w:cs="Barlow Semi Condensed" w:eastAsia="Barlow Semi Condensed" w:hAnsi="Barlow Semi Condensed"/>
          <w:sz w:val="24"/>
          <w:szCs w:val="24"/>
        </w:rPr>
        <w:t xml:space="preserve"> Il blocco 273 descrive il caso allargato fino a contenere ogni mistero d'Italia, e perciò insolubile. È il rischio specifico di un'analisi di omologie, perché ogni somiglianza invita a un confronto in più e la rete cresce senza che cresca la documentazione. La regola di contenimento è la stessa: ogni allargamento esige una matrice nuova, con un'evidenza discriminante possibile e nominata in anticipo.</w:t>
      </w:r>
    </w:p>
    <w:p>
      <w:pPr>
        <w:spacing w:after="120" w:line="276"/>
        <w:jc w:val="both"/>
      </w:pPr>
      <w:r>
        <w:rPr>
          <w:rFonts w:ascii="Barlow Semi Condensed" w:cs="Barlow Semi Condensed" w:eastAsia="Barlow Semi Condensed" w:hAnsi="Barlow Semi Condensed"/>
          <w:b/>
          <w:bCs/>
          <w:sz w:val="24"/>
          <w:szCs w:val="24"/>
        </w:rPr>
        <w:t xml:space="preserve">469 · I paralleli, dichiarati per quello che sono.</w:t>
      </w:r>
      <w:r>
        <w:rPr>
          <w:rFonts w:ascii="Barlow Semi Condensed" w:cs="Barlow Semi Condensed" w:eastAsia="Barlow Semi Condensed" w:hAnsi="Barlow Semi Condensed"/>
          <w:sz w:val="24"/>
          <w:szCs w:val="24"/>
        </w:rPr>
        <w:t xml:space="preserve"> Il corpus registra sei paralleli strutturali fra i due casi e li intitola espressamente analogie non causali: l'esecuzione deliberata, il potere che teme più il prigioniero vivo, il testo autografo conteso, la trasfigurazione postuma in icona, gli anniversari come campi di battaglia della memoria, le due vulgate del tradimento. La qualificazione sta nel titolo della tabella, ed è la cosa più importante che quella tabella contenga.</w:t>
      </w:r>
    </w:p>
    <w:p>
      <w:pPr>
        <w:spacing w:after="120" w:line="276"/>
        <w:jc w:val="both"/>
      </w:pPr>
      <w:r>
        <w:rPr>
          <w:rFonts w:ascii="Barlow Semi Condensed" w:cs="Barlow Semi Condensed" w:eastAsia="Barlow Semi Condensed" w:hAnsi="Barlow Semi Condensed"/>
          <w:b/>
          <w:bCs/>
          <w:sz w:val="24"/>
          <w:szCs w:val="24"/>
        </w:rPr>
        <w:t xml:space="preserve">470 · L'analogia più insidiosa.</w:t>
      </w:r>
      <w:r>
        <w:rPr>
          <w:rFonts w:ascii="Barlow Semi Condensed" w:cs="Barlow Semi Condensed" w:eastAsia="Barlow Semi Condensed" w:hAnsi="Barlow Semi Condensed"/>
          <w:sz w:val="24"/>
          <w:szCs w:val="24"/>
        </w:rPr>
        <w:t xml:space="preserve"> Fra quei nodi il più insidioso è l'ombra statunitense sulle due morti. I singoli fatti sono documentati, la simmetria è reale, e proprio per questo la conclusione del corpus è tanto più necessaria: due vicende distinte, in due decenni e due continenti, che condividono una cornice e non un centro. La simmetria è un'analogia perfetta, e le analogie perfette sono le più ingannevoli di tutte.</w:t>
      </w:r>
    </w:p>
    <w:p>
      <w:pPr>
        <w:spacing w:after="120" w:line="276"/>
        <w:jc w:val="both"/>
      </w:pPr>
      <w:r>
        <w:rPr>
          <w:rFonts w:ascii="Barlow Semi Condensed" w:cs="Barlow Semi Condensed" w:eastAsia="Barlow Semi Condensed" w:hAnsi="Barlow Semi Condensed"/>
          <w:b/>
          <w:bCs/>
          <w:sz w:val="24"/>
          <w:szCs w:val="24"/>
        </w:rPr>
        <w:t xml:space="preserve">471 · La simmetria a specchio.</w:t>
      </w:r>
      <w:r>
        <w:rPr>
          <w:rFonts w:ascii="Barlow Semi Condensed" w:cs="Barlow Semi Condensed" w:eastAsia="Barlow Semi Condensed" w:hAnsi="Barlow Semi Condensed"/>
          <w:sz w:val="24"/>
          <w:szCs w:val="24"/>
        </w:rPr>
        <w:t xml:space="preserve"> Fra le divergenze strutturali il corpus annota che il rapporto fra i due uomini è a specchio e non ad analogia: uno insorgente contro lo Stato, l'altro vertice dello Stato colpito da insorgenti che si richiamavano al primo. È una relazione invertita, non una somiglianza. In sistematica corrisponde a caratteri complementari, che sembrano appaiati senza che l'appaiamento implichi alcuna vicinanza nell'albero.</w:t>
      </w:r>
    </w:p>
    <w:p>
      <w:pPr>
        <w:spacing w:after="120" w:line="276"/>
        <w:jc w:val="both"/>
      </w:pPr>
      <w:r>
        <w:rPr>
          <w:rFonts w:ascii="Barlow Semi Condensed" w:cs="Barlow Semi Condensed" w:eastAsia="Barlow Semi Condensed" w:hAnsi="Barlow Semi Condensed"/>
          <w:b/>
          <w:bCs/>
          <w:sz w:val="24"/>
          <w:szCs w:val="24"/>
        </w:rPr>
        <w:t xml:space="preserve">472 · L'ostilità con radici opposte.</w:t>
      </w:r>
      <w:r>
        <w:rPr>
          <w:rFonts w:ascii="Barlow Semi Condensed" w:cs="Barlow Semi Condensed" w:eastAsia="Barlow Semi Condensed" w:hAnsi="Barlow Semi Condensed"/>
          <w:sz w:val="24"/>
          <w:szCs w:val="24"/>
        </w:rPr>
        <w:t xml:space="preserve"> La terza divergenza registrata è la più utile a questa serie: il rivoluzionario argentino fu critico radicale dell'Unione Sovietica da sinistra, mentre il progetto italiano di allargamento della base democratica era osteggiato a Washington senza essere filosovietico. L'ostilità che colpì i due uomini ha dunque radici opposte. Due effetti simili da cause contrarie: è la definizione stessa di analogia, ed è documentata.</w:t>
      </w:r>
    </w:p>
    <w:p>
      <w:pPr>
        <w:spacing w:after="120" w:line="276"/>
        <w:jc w:val="both"/>
      </w:pPr>
      <w:r>
        <w:rPr>
          <w:rFonts w:ascii="Barlow Semi Condensed" w:cs="Barlow Semi Condensed" w:eastAsia="Barlow Semi Condensed" w:hAnsi="Barlow Semi Condensed"/>
          <w:b/>
          <w:bCs/>
          <w:sz w:val="24"/>
          <w:szCs w:val="24"/>
        </w:rPr>
        <w:t xml:space="preserve">473 · Il decennale e la vigilia.</w:t>
      </w:r>
      <w:r>
        <w:rPr>
          <w:rFonts w:ascii="Barlow Semi Condensed" w:cs="Barlow Semi Condensed" w:eastAsia="Barlow Semi Condensed" w:hAnsi="Barlow Semi Condensed"/>
          <w:sz w:val="24"/>
          <w:szCs w:val="24"/>
        </w:rPr>
        <w:t xml:space="preserve"> Il corpus registra che il decennale della morte del Che cadde nell'ottobre 1977, pochi mesi prima di via Fani, nell'Italia del movimento di quell'anno. È contemporaneità, e la contemporaneità non è nesso. Il dato conserva valore come descrizione del repertorio simbolico di un'area, che è un fatto d'ambiente, e non ne acquista alcuno come indizio di rapporto, che sarebbe il salto vietato.</w:t>
      </w:r>
    </w:p>
    <w:p>
      <w:pPr>
        <w:spacing w:after="120" w:line="276"/>
        <w:jc w:val="both"/>
      </w:pPr>
      <w:r>
        <w:rPr>
          <w:rFonts w:ascii="Barlow Semi Condensed" w:cs="Barlow Semi Condensed" w:eastAsia="Barlow Semi Condensed" w:hAnsi="Barlow Semi Condensed"/>
          <w:b/>
          <w:bCs/>
          <w:sz w:val="24"/>
          <w:szCs w:val="24"/>
        </w:rPr>
        <w:t xml:space="preserve">474 · Il caso indeciso e la memoria pubblica.</w:t>
      </w:r>
      <w:r>
        <w:rPr>
          <w:rFonts w:ascii="Barlow Semi Condensed" w:cs="Barlow Semi Condensed" w:eastAsia="Barlow Semi Condensed" w:hAnsi="Barlow Semi Condensed"/>
          <w:sz w:val="24"/>
          <w:szCs w:val="24"/>
        </w:rPr>
        <w:t xml:space="preserve"> Un caso indeciso non è materia neutra, perché la sua sopravvivenza pubblica dipende da come è scritto. Un'analogia registrata con la sua qualificazione resta un'analogia; la stessa analogia raccontata senza qualificazione diventa, in due passaggi di citazione, una filiazione acquisita. Il presidio del garante nasce da questa osservazione: i nomi vivono più a lungo delle cautele, e la cornice si dimentica prima del contenuto.</w:t>
      </w:r>
    </w:p>
    <w:p>
      <w:pPr>
        <w:spacing w:after="120" w:line="276"/>
        <w:jc w:val="both"/>
      </w:pPr>
      <w:r>
        <w:rPr>
          <w:rFonts w:ascii="Barlow Semi Condensed" w:cs="Barlow Semi Condensed" w:eastAsia="Barlow Semi Condensed" w:hAnsi="Barlow Semi Condensed"/>
          <w:b/>
          <w:bCs/>
          <w:sz w:val="24"/>
          <w:szCs w:val="24"/>
        </w:rPr>
        <w:t xml:space="preserve">475 · La forma del blocco come garanzia.</w:t>
      </w:r>
      <w:r>
        <w:rPr>
          <w:rFonts w:ascii="Barlow Semi Condensed" w:cs="Barlow Semi Condensed" w:eastAsia="Barlow Semi Condensed" w:hAnsi="Barlow Semi Condensed"/>
          <w:sz w:val="24"/>
          <w:szCs w:val="24"/>
        </w:rPr>
        <w:t xml:space="preserve"> Ne discende una prescrizione di forma per tutta la serie: la qualificazione sta nel corpo del blocco, non in una premessa generale. Ogni volta che si registra una somiglianza, il grado e lo statuto, omologia documentata, analogia o caso indeciso, devono comparire nella stessa frase. Una cautela collocata altrove è una cautela che non viaggia insieme al dato, e dunque non lo protegge.</w:t>
      </w:r>
    </w:p>
    <w:p>
      <w:pPr>
        <w:spacing w:after="120" w:line="276"/>
        <w:jc w:val="both"/>
      </w:pPr>
      <w:r>
        <w:rPr>
          <w:rFonts w:ascii="Barlow Semi Condensed" w:cs="Barlow Semi Condensed" w:eastAsia="Barlow Semi Condensed" w:hAnsi="Barlow Semi Condensed"/>
          <w:b/>
          <w:bCs/>
          <w:sz w:val="24"/>
          <w:szCs w:val="24"/>
        </w:rPr>
        <w:t xml:space="preserve">476 · Il fenotipo dell'opera.</w:t>
      </w:r>
      <w:r>
        <w:rPr>
          <w:rFonts w:ascii="Barlow Semi Condensed" w:cs="Barlow Semi Condensed" w:eastAsia="Barlow Semi Condensed" w:hAnsi="Barlow Semi Condensed"/>
          <w:sz w:val="24"/>
          <w:szCs w:val="24"/>
        </w:rPr>
        <w:t xml:space="preserve"> La metafora si può rivolgere anche verso l'opera stessa. Il corpus si è misurato: trentanove nodi e cinquantanove archi, ciascuno col proprio grado, quasi la metà al grado massimo, mentre un grafo dietrologico avrebbe la proporzione inversa. È un fenotipo osservabile, e osservabile da chiunque rifaccia il conto: la falsificabilità non è dichiarata in premessa, è distribuita nel corpo dell'opera e verificabile a campione.</w:t>
      </w:r>
    </w:p>
    <w:p>
      <w:pPr>
        <w:spacing w:after="120" w:line="276"/>
        <w:jc w:val="both"/>
      </w:pPr>
      <w:r>
        <w:rPr>
          <w:rFonts w:ascii="Barlow Semi Condensed" w:cs="Barlow Semi Condensed" w:eastAsia="Barlow Semi Condensed" w:hAnsi="Barlow Semi Condensed"/>
          <w:b/>
          <w:bCs/>
          <w:sz w:val="24"/>
          <w:szCs w:val="24"/>
        </w:rPr>
        <w:t xml:space="preserve">477 · Il ponte documentale.</w:t>
      </w:r>
      <w:r>
        <w:rPr>
          <w:rFonts w:ascii="Barlow Semi Condensed" w:cs="Barlow Semi Condensed" w:eastAsia="Barlow Semi Condensed" w:hAnsi="Barlow Semi Condensed"/>
          <w:sz w:val="24"/>
          <w:szCs w:val="24"/>
        </w:rPr>
        <w:t xml:space="preserve"> Nella rete del corpus il nodo con la seconda intermediazione più alta è un collettivo durato pochi mesi nel 1969, che porta meno del cinque per cento delle connessioni e quasi un quarto dell'intermediazione del comparto non brigatista. È la figura che la teoria delle reti chiama ponte. E vale la regola anteposta a ogni lettura: la centralità misura la densità della documentazione, non la responsabilità.</w:t>
      </w:r>
    </w:p>
    <w:p>
      <w:pPr>
        <w:spacing w:after="120" w:line="276"/>
        <w:jc w:val="both"/>
      </w:pPr>
      <w:r>
        <w:rPr>
          <w:rFonts w:ascii="Barlow Semi Condensed" w:cs="Barlow Semi Condensed" w:eastAsia="Barlow Semi Condensed" w:hAnsi="Barlow Semi Condensed"/>
          <w:b/>
          <w:bCs/>
          <w:sz w:val="24"/>
          <w:szCs w:val="24"/>
        </w:rPr>
        <w:t xml:space="preserve">478 · Il ponte non è un antenato.</w:t>
      </w:r>
      <w:r>
        <w:rPr>
          <w:rFonts w:ascii="Barlow Semi Condensed" w:cs="Barlow Semi Condensed" w:eastAsia="Barlow Semi Condensed" w:hAnsi="Barlow Semi Condensed"/>
          <w:sz w:val="24"/>
          <w:szCs w:val="24"/>
        </w:rPr>
        <w:t xml:space="preserve"> Segue il corollario che questa serie deve enunciare, perché è il punto in cui la rete e la filogenesi si confondono. Un nodo-ponte è tale perché per esso passano i cammini documentali, ed è dunque una proprietà della documentazione. Un antenato comune è invece un fatto del mondo. Scambiare il primo per il secondo significa trasformare la storia degli spogli d'archivio nella storia degli eventi.</w:t>
      </w:r>
    </w:p>
    <w:p>
      <w:pPr>
        <w:spacing w:after="120" w:line="276"/>
        <w:jc w:val="both"/>
      </w:pPr>
      <w:r>
        <w:rPr>
          <w:rFonts w:ascii="Barlow Semi Condensed" w:cs="Barlow Semi Condensed" w:eastAsia="Barlow Semi Condensed" w:hAnsi="Barlow Semi Condensed"/>
          <w:b/>
          <w:bCs/>
          <w:sz w:val="24"/>
          <w:szCs w:val="24"/>
        </w:rPr>
        <w:t xml:space="preserve">479 · Senza grado non c'è cammino.</w:t>
      </w:r>
      <w:r>
        <w:rPr>
          <w:rFonts w:ascii="Barlow Semi Condensed" w:cs="Barlow Semi Condensed" w:eastAsia="Barlow Semi Condensed" w:hAnsi="Barlow Semi Condensed"/>
          <w:sz w:val="24"/>
          <w:szCs w:val="24"/>
        </w:rPr>
        <w:t xml:space="preserve"> La seconda campagna registra una conseguenza operativa che vale come vincolo: la regola dell'anello debole non è calcolabile finché le sinapsi non sono gradate, perché nella costruzione della rete si gradua la sinapsi e non il neurone. Tradotto in filogenesi, si assegna un valore di supporto al ramo e non al taxon. Un albero senza supporti sui rami non è un albero: è un disegno.</w:t>
      </w:r>
    </w:p>
    <w:p>
      <w:pPr>
        <w:spacing w:after="120" w:line="276"/>
        <w:jc w:val="both"/>
      </w:pPr>
      <w:r>
        <w:rPr>
          <w:rFonts w:ascii="Barlow Semi Condensed" w:cs="Barlow Semi Condensed" w:eastAsia="Barlow Semi Condensed" w:hAnsi="Barlow Semi Condensed"/>
          <w:b/>
          <w:bCs/>
          <w:sz w:val="24"/>
          <w:szCs w:val="24"/>
        </w:rPr>
        <w:t xml:space="preserve">480 · Il quesito sull'addestramento.</w:t>
      </w:r>
      <w:r>
        <w:rPr>
          <w:rFonts w:ascii="Barlow Semi Condensed" w:cs="Barlow Semi Condensed" w:eastAsia="Barlow Semi Condensed" w:hAnsi="Barlow Semi Condensed"/>
          <w:sz w:val="24"/>
          <w:szCs w:val="24"/>
        </w:rPr>
        <w:t xml:space="preserve"> Fra i caratteri che potrebbero portare segnale, il più promettente è l'addestramento, perché una scuola comune è un antenato comune quando è documentata. Il quesito si formula senza asserire nulla: verificare se esistano atti che attestino la frequentazione di un medesimo luogo di addestramento da parte di membri di reti distinte, con nomi e date, indicando le sedi processuali e archivistiche presso cui cercarli.</w:t>
      </w:r>
    </w:p>
    <w:p>
      <w:pPr>
        <w:spacing w:after="120" w:line="276"/>
        <w:jc w:val="both"/>
      </w:pPr>
      <w:r>
        <w:rPr>
          <w:rFonts w:ascii="Barlow Semi Condensed" w:cs="Barlow Semi Condensed" w:eastAsia="Barlow Semi Condensed" w:hAnsi="Barlow Semi Condensed"/>
          <w:b/>
          <w:bCs/>
          <w:sz w:val="24"/>
          <w:szCs w:val="24"/>
        </w:rPr>
        <w:t xml:space="preserve">481 · Il quesito sul finanziamento.</w:t>
      </w:r>
      <w:r>
        <w:rPr>
          <w:rFonts w:ascii="Barlow Semi Condensed" w:cs="Barlow Semi Condensed" w:eastAsia="Barlow Semi Condensed" w:hAnsi="Barlow Semi Condensed"/>
          <w:sz w:val="24"/>
          <w:szCs w:val="24"/>
        </w:rPr>
        <w:t xml:space="preserve"> Il secondo carattere promettente è il flusso di denaro, perché lascia carta seriale: mandati, ricevute, registri, note di spesa. Il quesito è documentale e va scritto come tale: reperire, nei fondi già versati e in quelli da desecretare, atti contabili che colleghino nominativamente due strutture. Un flusso documentato sta al piano 1; un flusso dedotto dalla sola disponibilità di mezzi sta al piano 3.</w:t>
      </w:r>
    </w:p>
    <w:p>
      <w:pPr>
        <w:spacing w:after="120" w:line="276"/>
        <w:jc w:val="both"/>
      </w:pPr>
      <w:r>
        <w:rPr>
          <w:rFonts w:ascii="Barlow Semi Condensed" w:cs="Barlow Semi Condensed" w:eastAsia="Barlow Semi Condensed" w:hAnsi="Barlow Semi Condensed"/>
          <w:b/>
          <w:bCs/>
          <w:sz w:val="24"/>
          <w:szCs w:val="24"/>
        </w:rPr>
        <w:t xml:space="preserve">482 · Il quesito sui testi tecnici.</w:t>
      </w:r>
      <w:r>
        <w:rPr>
          <w:rFonts w:ascii="Barlow Semi Condensed" w:cs="Barlow Semi Condensed" w:eastAsia="Barlow Semi Condensed" w:hAnsi="Barlow Semi Condensed"/>
          <w:sz w:val="24"/>
          <w:szCs w:val="24"/>
        </w:rPr>
        <w:t xml:space="preserve"> Il terzo carattere è testuale, ed è quello che la filologia sa trattare meglio: i testi operativi e la loro trasmissione. Verificare se manuali in circolazione presso strutture diverse condividano errori, omissioni o particolarità di copia è un accertamento eseguibile su reperti già in atti. È il tipo di carattere arbitrario che porta segnale, e insieme il tipo di verifica che può chiudere in negativo.</w:t>
      </w:r>
    </w:p>
    <w:p>
      <w:pPr>
        <w:spacing w:after="120" w:line="276"/>
        <w:jc w:val="both"/>
      </w:pPr>
      <w:r>
        <w:rPr>
          <w:rFonts w:ascii="Barlow Semi Condensed" w:cs="Barlow Semi Condensed" w:eastAsia="Barlow Semi Condensed" w:hAnsi="Barlow Semi Condensed"/>
          <w:b/>
          <w:bCs/>
          <w:sz w:val="24"/>
          <w:szCs w:val="24"/>
        </w:rPr>
        <w:t xml:space="preserve">483 · Il bilancio della serie.</w:t>
      </w:r>
      <w:r>
        <w:rPr>
          <w:rFonts w:ascii="Barlow Semi Condensed" w:cs="Barlow Semi Condensed" w:eastAsia="Barlow Semi Condensed" w:hAnsi="Barlow Semi Condensed"/>
          <w:sz w:val="24"/>
          <w:szCs w:val="24"/>
        </w:rPr>
        <w:t xml:space="preserve"> La serie non stabilisce alcuna omologia nuova. Registra una distinzione, ne deriva criteri, li applica a casi che il corpus già possedeva e consegna tre quesiti documentali con le loro sedi. È l'esito che un lavoro di metodo deve produrre: non conferme, ma la misura esatta di ciò che servirebbe per averne. Il fascicolo, come deve, resta aperto.</w:t>
      </w:r>
    </w:p>
    <w:p>
      <w:pPr>
        <w:spacing w:after="120" w:line="276"/>
        <w:jc w:val="both"/>
      </w:pPr>
      <w:r>
        <w:rPr>
          <w:rFonts w:ascii="Barlow Semi Condensed" w:cs="Barlow Semi Condensed" w:eastAsia="Barlow Semi Condensed" w:hAnsi="Barlow Semi Condensed"/>
          <w:b/>
          <w:bCs/>
          <w:sz w:val="24"/>
          <w:szCs w:val="24"/>
        </w:rPr>
        <w:t xml:space="preserve">484 · Che cosa smentirebbe questa serie (serie VI).</w:t>
      </w:r>
      <w:r>
        <w:rPr>
          <w:rFonts w:ascii="Barlow Semi Condensed" w:cs="Barlow Semi Condensed" w:eastAsia="Barlow Semi Condensed" w:hAnsi="Barlow Semi Condensed"/>
          <w:sz w:val="24"/>
          <w:szCs w:val="24"/>
        </w:rPr>
        <w:t xml:space="preserve"> La domanda del Pollo di Popper si rivolge anche qui. La serie cadrebbe davanti a un documento di provenienza, coevo, esterno, autenticato e nominativo, che attestasse una filiazione fra due delle strutture confrontate. Non davanti a una somiglianza in più, non davanti a una testimonianza terziaria, non davanti a un'ulteriore coincidenza di date. Il criterio è dichiarato prima, ed è ciò che rende la serie attaccabile.</w:t>
      </w:r>
    </w:p>
    <w:p>
      <w:pPr>
        <w:spacing w:after="120" w:line="276"/>
        <w:jc w:val="both"/>
      </w:pPr>
      <w:r>
        <w:rPr>
          <w:rFonts w:ascii="Barlow Semi Condensed" w:cs="Barlow Semi Condensed" w:eastAsia="Barlow Semi Condensed" w:hAnsi="Barlow Semi Condensed"/>
          <w:b/>
          <w:bCs/>
          <w:sz w:val="24"/>
          <w:szCs w:val="24"/>
        </w:rPr>
        <w:t xml:space="preserve">485 · Riga di chiusura.</w:t>
      </w:r>
      <w:r>
        <w:rPr>
          <w:rFonts w:ascii="Barlow Semi Condensed" w:cs="Barlow Semi Condensed" w:eastAsia="Barlow Semi Condensed" w:hAnsi="Barlow Semi Condensed"/>
          <w:sz w:val="24"/>
          <w:szCs w:val="24"/>
        </w:rPr>
        <w:t xml:space="preserve"> Blocchi della serie: novantacinque. Omologie nuove stabilite: nessuna. Analogie qualificate come tali: i sei paralleli del corpus, più i casi europei confrontati. Stati Zero richiamati: due, l'isomorfismo delle reti e il dossier privo di fonti primarie. Quesiti documentali formulati con sede: tre. Fermate imposte alla metafora: due, sul determinismo e sulla colpa ereditaria. Persone indicate come responsabili di reato: nessuna, e mai.</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Serie settima — Il vettore e la trasmissione orizzontale</w:t>
      </w:r>
    </w:p>
    <w:p>
      <w:pPr>
        <w:spacing w:after="120" w:line="276"/>
        <w:jc w:val="both"/>
      </w:pPr>
      <w:r>
        <w:rPr>
          <w:rFonts w:ascii="Barlow Semi Condensed" w:cs="Barlow Semi Condensed" w:eastAsia="Barlow Semi Condensed" w:hAnsi="Barlow Semi Condensed"/>
          <w:i/>
          <w:iCs/>
          <w:sz w:val="24"/>
          <w:szCs w:val="24"/>
        </w:rPr>
        <w:t xml:space="preserve">Blocchi 486-560.</w:t>
      </w:r>
    </w:p>
    <w:p>
      <w:pPr>
        <w:spacing w:after="120" w:line="276"/>
        <w:jc w:val="both"/>
      </w:pPr>
      <w:r>
        <w:rPr>
          <w:rFonts w:ascii="Barlow Semi Condensed" w:cs="Barlow Semi Condensed" w:eastAsia="Barlow Semi Condensed" w:hAnsi="Barlow Semi Condensed"/>
          <w:b/>
          <w:bCs/>
          <w:sz w:val="24"/>
          <w:szCs w:val="24"/>
        </w:rPr>
        <w:t xml:space="preserve">486 · La trasmissione orizzontale, definita.</w:t>
      </w:r>
      <w:r>
        <w:rPr>
          <w:rFonts w:ascii="Barlow Semi Condensed" w:cs="Barlow Semi Condensed" w:eastAsia="Barlow Semi Condensed" w:hAnsi="Barlow Semi Condensed"/>
          <w:sz w:val="24"/>
          <w:szCs w:val="24"/>
        </w:rPr>
        <w:t xml:space="preserve"> In biologia il materiale genetico non passa soltanto da genitore a figlio: passa anche fra organismi non imparentati, per virus, plasmidi, coniugazione. La lente dichiarata dal committente propone di leggere così i canali della storia — ambasciate, servizi, fondazioni, stampa, conferenze — che trasferiscono contenuti fra ambienti privi di discendenza comune. La lente serve a formulare quesiti più precisi sui canali; non autorizza a dedurre che, dove esiste un canale, qualcosa vi sia passato.</w:t>
      </w:r>
    </w:p>
    <w:p>
      <w:pPr>
        <w:spacing w:after="120" w:line="276"/>
        <w:jc w:val="both"/>
      </w:pPr>
      <w:r>
        <w:rPr>
          <w:rFonts w:ascii="Barlow Semi Condensed" w:cs="Barlow Semi Condensed" w:eastAsia="Barlow Semi Condensed" w:hAnsi="Barlow Semi Condensed"/>
          <w:b/>
          <w:bCs/>
          <w:sz w:val="24"/>
          <w:szCs w:val="24"/>
        </w:rPr>
        <w:t xml:space="preserve">487 · Che cos'è un vettore documentato.</w:t>
      </w:r>
      <w:r>
        <w:rPr>
          <w:rFonts w:ascii="Barlow Semi Condensed" w:cs="Barlow Semi Condensed" w:eastAsia="Barlow Semi Condensed" w:hAnsi="Barlow Semi Condensed"/>
          <w:sz w:val="24"/>
          <w:szCs w:val="24"/>
        </w:rPr>
        <w:t xml:space="preserve"> Si chiama vettore documentato un canale per cui risulti provato, con carta datata, che un contenuto identificabile è passato da un capo all'altro. Tre requisiti insieme: l'esistenza materiale del canale, la sua attivazione in una data, l'identificabilità di ciò che vi transitò. Se manca il terzo si ha un canale documentato e un contenuto ignoto, e va scritto così, senza colmare il terzo requisito con la verosimiglianza.</w:t>
      </w:r>
    </w:p>
    <w:p>
      <w:pPr>
        <w:spacing w:after="120" w:line="276"/>
        <w:jc w:val="both"/>
      </w:pPr>
      <w:r>
        <w:rPr>
          <w:rFonts w:ascii="Barlow Semi Condensed" w:cs="Barlow Semi Condensed" w:eastAsia="Barlow Semi Condensed" w:hAnsi="Barlow Semi Condensed"/>
          <w:b/>
          <w:bCs/>
          <w:sz w:val="24"/>
          <w:szCs w:val="24"/>
        </w:rPr>
        <w:t xml:space="preserve">488 · Il contatto occasionale non è vettore.</w:t>
      </w:r>
      <w:r>
        <w:rPr>
          <w:rFonts w:ascii="Barlow Semi Condensed" w:cs="Barlow Semi Condensed" w:eastAsia="Barlow Semi Condensed" w:hAnsi="Barlow Semi Condensed"/>
          <w:sz w:val="24"/>
          <w:szCs w:val="24"/>
        </w:rPr>
        <w:t xml:space="preserve"> Un incontro, una firma sullo stesso atto, una presenza alla stessa conferenza sono contatti: fatti puntuali, spesso pubblici, di norma verificabili. Diventano vettore soltanto se si documentano ripetizione, direzione e oggetto. La griglia della cartella Farnesina lo dice per gradi: convergenza di obiettivo documentata, simultaneità di reazione, comunanza di ambiente istituzionale, mera contemporaneità cronologica. Le ultime due non sono canali ma coabitazioni, e promuoverle a vettore è l'errore tipico della materia.</w:t>
      </w:r>
    </w:p>
    <w:p>
      <w:pPr>
        <w:spacing w:after="120" w:line="276"/>
        <w:jc w:val="both"/>
      </w:pPr>
      <w:r>
        <w:rPr>
          <w:rFonts w:ascii="Barlow Semi Condensed" w:cs="Barlow Semi Condensed" w:eastAsia="Barlow Semi Condensed" w:hAnsi="Barlow Semi Condensed"/>
          <w:b/>
          <w:bCs/>
          <w:sz w:val="24"/>
          <w:szCs w:val="24"/>
        </w:rPr>
        <w:t xml:space="preserve">489 · Il documento dovuto del vettore.</w:t>
      </w:r>
      <w:r>
        <w:rPr>
          <w:rFonts w:ascii="Barlow Semi Condensed" w:cs="Barlow Semi Condensed" w:eastAsia="Barlow Semi Condensed" w:hAnsi="Barlow Semi Condensed"/>
          <w:sz w:val="24"/>
          <w:szCs w:val="24"/>
        </w:rPr>
        <w:t xml:space="preserve"> Il blocco 10 del manuale investigativo fissa la regola che il vettore rende operativa: un procedimento che esiste produce carta. Un'ambasciata protocolla, un comitato verbalizza, un finanziamento lascia un mandato di pagamento, un colloquio in carcere lascia un registro. Il quesito su un vettore non è mai chi comandava, ma dove giaccia la carta che la sua stessa esistenza ha generato. Se quella carta manca, l'assenza è un dato di grado alto.</w:t>
      </w:r>
    </w:p>
    <w:p>
      <w:pPr>
        <w:spacing w:after="120" w:line="276"/>
        <w:jc w:val="both"/>
      </w:pPr>
      <w:r>
        <w:rPr>
          <w:rFonts w:ascii="Barlow Semi Condensed" w:cs="Barlow Semi Condensed" w:eastAsia="Barlow Semi Condensed" w:hAnsi="Barlow Semi Condensed"/>
          <w:b/>
          <w:bCs/>
          <w:sz w:val="24"/>
          <w:szCs w:val="24"/>
        </w:rPr>
        <w:t xml:space="preserve">490 · I tre assi del canale.</w:t>
      </w:r>
      <w:r>
        <w:rPr>
          <w:rFonts w:ascii="Barlow Semi Condensed" w:cs="Barlow Semi Condensed" w:eastAsia="Barlow Semi Condensed" w:hAnsi="Barlow Semi Condensed"/>
          <w:sz w:val="24"/>
          <w:szCs w:val="24"/>
        </w:rPr>
        <w:t xml:space="preserve"> Un canale si misura su tre assi indipendenti: la direzione, cioè chi verso chi e se il traffico sia reciproco; la frequenza, cioè una volta sola oppure per anni; l'oggetto, cioè informazione, denaro, persone o istruzioni. Ciascun asse si accerta separatamente e con carte proprie. Un canale con direzione certa e oggetto ignoto resta un canale a oggetto ignoto: riempirlo con l'oggetto più grave è precisamente ciò che la disciplina vieta.</w:t>
      </w:r>
    </w:p>
    <w:p>
      <w:pPr>
        <w:spacing w:after="120" w:line="276"/>
        <w:jc w:val="both"/>
      </w:pPr>
      <w:r>
        <w:rPr>
          <w:rFonts w:ascii="Barlow Semi Condensed" w:cs="Barlow Semi Condensed" w:eastAsia="Barlow Semi Condensed" w:hAnsi="Barlow Semi Condensed"/>
          <w:b/>
          <w:bCs/>
          <w:sz w:val="24"/>
          <w:szCs w:val="24"/>
        </w:rPr>
        <w:t xml:space="preserve">491 · Vietato inferire il contenuto dal canale.</w:t>
      </w:r>
      <w:r>
        <w:rPr>
          <w:rFonts w:ascii="Barlow Semi Condensed" w:cs="Barlow Semi Condensed" w:eastAsia="Barlow Semi Condensed" w:hAnsi="Barlow Semi Condensed"/>
          <w:sz w:val="24"/>
          <w:szCs w:val="24"/>
        </w:rPr>
        <w:t xml:space="preserve"> È il divieto centrale di questa serie. Che un canale esista, sia stato usato e colleghi ambienti reciprocamente ostili non dice nulla su che cosa vi sia transitato in una determinata occasione: dal tubo non si deduce il liquido. Chi scrive che c'era il canale, dunque passò l'ordine, compie un salto che nessun grado copre: il canale sta al più ad A o F, l'ordine inferito sta a C, e la catena vale il suo anello minimo.</w:t>
      </w:r>
    </w:p>
    <w:p>
      <w:pPr>
        <w:spacing w:after="120" w:line="276"/>
        <w:jc w:val="both"/>
      </w:pPr>
      <w:r>
        <w:rPr>
          <w:rFonts w:ascii="Barlow Semi Condensed" w:cs="Barlow Semi Condensed" w:eastAsia="Barlow Semi Condensed" w:hAnsi="Barlow Semi Condensed"/>
          <w:b/>
          <w:bCs/>
          <w:sz w:val="24"/>
          <w:szCs w:val="24"/>
        </w:rPr>
        <w:t xml:space="preserve">492 · L'anello debole applicato ai canali.</w:t>
      </w:r>
      <w:r>
        <w:rPr>
          <w:rFonts w:ascii="Barlow Semi Condensed" w:cs="Barlow Semi Condensed" w:eastAsia="Barlow Semi Condensed" w:hAnsi="Barlow Semi Condensed"/>
          <w:sz w:val="24"/>
          <w:szCs w:val="24"/>
        </w:rPr>
        <w:t xml:space="preserve"> La regola formalizzata nel documento di metodo — il grado di un cammino è il grado minimo fra i suoi archi — governa anche i vettori. Un percorso che unisca un colloquio documentato, una conoscenza personale e una militanza giovanile ha il grado dell'anello biografico, non quello del colloquio. È il calcolo già eseguito sul cammino Hyperion-via Fani, di grado F su quattro archi: la forma numerica di ciò che i proscioglimenti dicono da quarant'anni.</w:t>
      </w:r>
    </w:p>
    <w:p>
      <w:pPr>
        <w:spacing w:after="120" w:line="276"/>
        <w:jc w:val="both"/>
      </w:pPr>
      <w:r>
        <w:rPr>
          <w:rFonts w:ascii="Barlow Semi Condensed" w:cs="Barlow Semi Condensed" w:eastAsia="Barlow Semi Condensed" w:hAnsi="Barlow Semi Condensed"/>
          <w:b/>
          <w:bCs/>
          <w:sz w:val="24"/>
          <w:szCs w:val="24"/>
        </w:rPr>
        <w:t xml:space="preserve">493 · Il vettore non è il mandato.</w:t>
      </w:r>
      <w:r>
        <w:rPr>
          <w:rFonts w:ascii="Barlow Semi Condensed" w:cs="Barlow Semi Condensed" w:eastAsia="Barlow Semi Condensed" w:hAnsi="Barlow Semi Condensed"/>
          <w:sz w:val="24"/>
          <w:szCs w:val="24"/>
        </w:rPr>
        <w:t xml:space="preserve"> La regola dei tre piani si applica al vettore con esattezza: piano uno, rapporto diretto documentato fra i due capi; piano due, convergenza strutturale entro la stessa cornice; piano tre, affermazione terziaria priva di riscontro. Solo il piano uno fa ponte. Un vettore accertato al piano uno prova che qualcosa passò; non prova che fosse un'istruzione, né che chi la ricevette l'abbia eseguita. Fra trasmissione e obbedienza corre un accertamento ulteriore, sempre da compiere.</w:t>
      </w:r>
    </w:p>
    <w:p>
      <w:pPr>
        <w:spacing w:after="120" w:line="276"/>
        <w:jc w:val="both"/>
      </w:pPr>
      <w:r>
        <w:rPr>
          <w:rFonts w:ascii="Barlow Semi Condensed" w:cs="Barlow Semi Condensed" w:eastAsia="Barlow Semi Condensed" w:hAnsi="Barlow Semi Condensed"/>
          <w:b/>
          <w:bCs/>
          <w:sz w:val="24"/>
          <w:szCs w:val="24"/>
        </w:rPr>
        <w:t xml:space="preserve">494 · Orizzontale non vuol dire ereditario.</w:t>
      </w:r>
      <w:r>
        <w:rPr>
          <w:rFonts w:ascii="Barlow Semi Condensed" w:cs="Barlow Semi Condensed" w:eastAsia="Barlow Semi Condensed" w:hAnsi="Barlow Semi Condensed"/>
          <w:sz w:val="24"/>
          <w:szCs w:val="24"/>
        </w:rPr>
        <w:t xml:space="preserve"> La lente genetica va tenuta pulita in un punto: la trasmissione orizzontale è l'opposto dell'ereditarietà, non un suo caso particolare. Chi riceve per vettore non discende da chi trasmette e non ne eredita né la natura né le colpe. Confondere i due modi produce l'errore peggiore della materia, la genealogia trattata come catena di comando. Il corpus lo ha già nominato: il ceppo del 1969 è ponte documentale, non origine di responsabilità.</w:t>
      </w:r>
    </w:p>
    <w:p>
      <w:pPr>
        <w:spacing w:after="120" w:line="276"/>
        <w:jc w:val="both"/>
      </w:pPr>
      <w:r>
        <w:rPr>
          <w:rFonts w:ascii="Barlow Semi Condensed" w:cs="Barlow Semi Condensed" w:eastAsia="Barlow Semi Condensed" w:hAnsi="Barlow Semi Condensed"/>
          <w:b/>
          <w:bCs/>
          <w:sz w:val="24"/>
          <w:szCs w:val="24"/>
        </w:rPr>
        <w:t xml:space="preserve">495 · Il vettore inerte.</w:t>
      </w:r>
      <w:r>
        <w:rPr>
          <w:rFonts w:ascii="Barlow Semi Condensed" w:cs="Barlow Semi Condensed" w:eastAsia="Barlow Semi Condensed" w:hAnsi="Barlow Semi Condensed"/>
          <w:sz w:val="24"/>
          <w:szCs w:val="24"/>
        </w:rPr>
        <w:t xml:space="preserve"> Esiste il caso, frequente e poco studiato, del canale attivo che non trasporta nulla di rilevante: la valigia diplomatica che porta corrispondenza ordinaria, la conferenza dove due delegati si sfiorano senza parlarsi, l'ufficio che protocolla e archivia. Il vettore inerte va censito come tale, perché la sua esistenza è spesso l'unico fatto che la dietrologia trova e su cui costruisce. Censirlo inerte è già smontare la costruzione.</w:t>
      </w:r>
    </w:p>
    <w:p>
      <w:pPr>
        <w:spacing w:after="120" w:line="276"/>
        <w:jc w:val="both"/>
      </w:pPr>
      <w:r>
        <w:rPr>
          <w:rFonts w:ascii="Barlow Semi Condensed" w:cs="Barlow Semi Condensed" w:eastAsia="Barlow Semi Condensed" w:hAnsi="Barlow Semi Condensed"/>
          <w:b/>
          <w:bCs/>
          <w:sz w:val="24"/>
          <w:szCs w:val="24"/>
        </w:rPr>
        <w:t xml:space="preserve">496 · Perché il Cile è il metro.</w:t>
      </w:r>
      <w:r>
        <w:rPr>
          <w:rFonts w:ascii="Barlow Semi Condensed" w:cs="Barlow Semi Condensed" w:eastAsia="Barlow Semi Condensed" w:hAnsi="Barlow Semi Condensed"/>
          <w:sz w:val="24"/>
          <w:szCs w:val="24"/>
        </w:rPr>
        <w:t xml:space="preserve"> Il committente indica il caso cileno come metro, e la scelta è metodologicamente esatta: è uno dei pochissimi casi in cui un organo legislativo ha accertato in pubblico, con documenti, che denaro statale straniero finanziò un quotidiano. Serve dunque non come precedente da estendere per analogia ad altri Paesi, ma come misura di quanto materiale occorra perché un vettore possa dirsi documentato. Il metro si usa per misurare, non per condannare altrove.</w:t>
      </w:r>
    </w:p>
    <w:p>
      <w:pPr>
        <w:spacing w:after="120" w:line="276"/>
        <w:jc w:val="both"/>
      </w:pPr>
      <w:r>
        <w:rPr>
          <w:rFonts w:ascii="Barlow Semi Condensed" w:cs="Barlow Semi Condensed" w:eastAsia="Barlow Semi Condensed" w:hAnsi="Barlow Semi Condensed"/>
          <w:b/>
          <w:bCs/>
          <w:sz w:val="24"/>
          <w:szCs w:val="24"/>
        </w:rPr>
        <w:t xml:space="preserve">497 · Il rapporto del Senato del 1975.</w:t>
      </w:r>
      <w:r>
        <w:rPr>
          <w:rFonts w:ascii="Barlow Semi Condensed" w:cs="Barlow Semi Condensed" w:eastAsia="Barlow Semi Condensed" w:hAnsi="Barlow Semi Condensed"/>
          <w:sz w:val="24"/>
          <w:szCs w:val="24"/>
        </w:rPr>
        <w:t xml:space="preserve"> L'accertamento sta nel rapporto dello staff del Select Committee to Study Governmental Operations with Respect to Intelligence Activities del Senato degli Stati Uniti, «Covert Action in Chile 1963-1973», reso pubblico il 18 dicembre 1975. È accertamento parlamentare — grado B nella scala del corpus, non giudicato — ma di qualità documentale altissima, perché costruito sulle carte d'archivio degli apparati esaminati e non su testimonianze de relato.</w:t>
      </w:r>
    </w:p>
    <w:p>
      <w:pPr>
        <w:spacing w:after="120" w:line="276"/>
        <w:jc w:val="both"/>
      </w:pPr>
      <w:r>
        <w:rPr>
          <w:rFonts w:ascii="Barlow Semi Condensed" w:cs="Barlow Semi Condensed" w:eastAsia="Barlow Semi Condensed" w:hAnsi="Barlow Semi Condensed"/>
          <w:b/>
          <w:bCs/>
          <w:sz w:val="24"/>
          <w:szCs w:val="24"/>
        </w:rPr>
        <w:t xml:space="preserve">498 · Che cosa il rapporto accerta davvero.</w:t>
      </w:r>
      <w:r>
        <w:rPr>
          <w:rFonts w:ascii="Barlow Semi Condensed" w:cs="Barlow Semi Condensed" w:eastAsia="Barlow Semi Condensed" w:hAnsi="Barlow Semi Condensed"/>
          <w:sz w:val="24"/>
          <w:szCs w:val="24"/>
        </w:rPr>
        <w:t xml:space="preserve"> Accerta che fondi statunitensi furono autorizzati e destinati al sostegno del quotidiano El Mercurio, con deliberazioni datate dell'organo competente. Accerta cioè l'autorizzazione e la destinazione. Non accerta, e il testo non lo pretende, il contenuto di singoli articoli, la consapevolezza di ciascun redattore, né l'effetto di quel sostegno sul voto dei lettori. La distinzione fra questi accertamenti è tutta la lezione: sono quattro cose diverse, e vanno provate una per una.</w:t>
      </w:r>
    </w:p>
    <w:p>
      <w:pPr>
        <w:spacing w:after="120" w:line="276"/>
        <w:jc w:val="both"/>
      </w:pPr>
      <w:r>
        <w:rPr>
          <w:rFonts w:ascii="Barlow Semi Condensed" w:cs="Barlow Semi Condensed" w:eastAsia="Barlow Semi Condensed" w:hAnsi="Barlow Semi Condensed"/>
          <w:b/>
          <w:bCs/>
          <w:sz w:val="24"/>
          <w:szCs w:val="24"/>
        </w:rPr>
        <w:t xml:space="preserve">499 · Le cifre e il loro riscontro.</w:t>
      </w:r>
      <w:r>
        <w:rPr>
          <w:rFonts w:ascii="Barlow Semi Condensed" w:cs="Barlow Semi Condensed" w:eastAsia="Barlow Semi Condensed" w:hAnsi="Barlow Semi Condensed"/>
          <w:sz w:val="24"/>
          <w:szCs w:val="24"/>
        </w:rPr>
        <w:t xml:space="preserve"> Le somme che la letteratura riprende dal rapporto — un'autorizzazione nel settembre 1971 e una seconda, maggiore, nell'aprile 1972 — vanno riscontrate sul testo originale prima di ogni uso citazionale, perché la ripresa secondaria arrotonda e talvolta somma voci diverse. Quesito operativo: reperire il passaggio esatto nel rapporto del 18 dicembre 1975 e citarlo con la pagina. Una cifra senza pagina è una cifra che circola, non una cifra accertata.</w:t>
      </w:r>
    </w:p>
    <w:p>
      <w:pPr>
        <w:spacing w:after="120" w:line="276"/>
        <w:jc w:val="both"/>
      </w:pPr>
      <w:r>
        <w:rPr>
          <w:rFonts w:ascii="Barlow Semi Condensed" w:cs="Barlow Semi Condensed" w:eastAsia="Barlow Semi Condensed" w:hAnsi="Barlow Semi Condensed"/>
          <w:b/>
          <w:bCs/>
          <w:sz w:val="24"/>
          <w:szCs w:val="24"/>
        </w:rPr>
        <w:t xml:space="preserve">500 · Dal Comitato dei 303 a quello dei 40.</w:t>
      </w:r>
      <w:r>
        <w:rPr>
          <w:rFonts w:ascii="Barlow Semi Condensed" w:cs="Barlow Semi Condensed" w:eastAsia="Barlow Semi Condensed" w:hAnsi="Barlow Semi Condensed"/>
          <w:sz w:val="24"/>
          <w:szCs w:val="24"/>
        </w:rPr>
        <w:t xml:space="preserve"> Il corpus registra la riunione del Comitato dei 303 dell'11 marzo 1969 (FRUS vol. XLI, doc. 180), presieduta da Kissinger, in cui si convenne all'unanimità che non vi fosse reale giustificazione per riprendere il finanziamento coperto ai partiti italiani. Lo stesso organo fu ridenominato Comitato dei 40 nel febbraio 1970. È l'anello istituzionale comune al fascicolo italiano e a quello cileno: stesso tavolo, decisioni diverse, e nessun nesso fra le due materie.</w:t>
      </w:r>
    </w:p>
    <w:p>
      <w:pPr>
        <w:spacing w:after="120" w:line="276"/>
        <w:jc w:val="both"/>
      </w:pPr>
      <w:r>
        <w:rPr>
          <w:rFonts w:ascii="Barlow Semi Condensed" w:cs="Barlow Semi Condensed" w:eastAsia="Barlow Semi Condensed" w:hAnsi="Barlow Semi Condensed"/>
          <w:b/>
          <w:bCs/>
          <w:sz w:val="24"/>
          <w:szCs w:val="24"/>
        </w:rPr>
        <w:t xml:space="preserve">501 · I quattro accertamenti di un finanziamento.</w:t>
      </w:r>
      <w:r>
        <w:rPr>
          <w:rFonts w:ascii="Barlow Semi Condensed" w:cs="Barlow Semi Condensed" w:eastAsia="Barlow Semi Condensed" w:hAnsi="Barlow Semi Condensed"/>
          <w:sz w:val="24"/>
          <w:szCs w:val="24"/>
        </w:rPr>
        <w:t xml:space="preserve"> Un finanziamento a un vettore di stampa richiede quattro prove distinte e non intercambiabili: la delibera che lo autorizza, il trasferimento materiale della somma, la ricezione da parte del beneficiario, l'effetto sulla linea editoriale. Le prime tre sono documentali e si cercano in archivio; la quarta è di natura diversa e quasi mai dimostrabile. Chi possiede le prime tre ha documentato un vettore; chi asserisce anche la quarta senza prove l'ha superato.</w:t>
      </w:r>
    </w:p>
    <w:p>
      <w:pPr>
        <w:spacing w:after="120" w:line="276"/>
        <w:jc w:val="both"/>
      </w:pPr>
      <w:r>
        <w:rPr>
          <w:rFonts w:ascii="Barlow Semi Condensed" w:cs="Barlow Semi Condensed" w:eastAsia="Barlow Semi Condensed" w:hAnsi="Barlow Semi Condensed"/>
          <w:b/>
          <w:bCs/>
          <w:sz w:val="24"/>
          <w:szCs w:val="24"/>
        </w:rPr>
        <w:t xml:space="preserve">502 · Ciò che il metro cileno non prova.</w:t>
      </w:r>
      <w:r>
        <w:rPr>
          <w:rFonts w:ascii="Barlow Semi Condensed" w:cs="Barlow Semi Condensed" w:eastAsia="Barlow Semi Condensed" w:hAnsi="Barlow Semi Condensed"/>
          <w:sz w:val="24"/>
          <w:szCs w:val="24"/>
        </w:rPr>
        <w:t xml:space="preserve"> Non prova che un quotidiano finanziato scriva ciò che il finanziatore desidera: potrebbe scriverlo comunque, per convinzione propria e per linea anteriore. La prova dell'effetto richiede il confronto fra la linea prima e dopo e l'esclusione delle cause concorrenti. Il rapporto del 1975 documenta il flusso, non l'obbedienza. Anche nel caso meglio documentato del secolo l'ultimo anello resta il più fragile, ed è un dato prezioso che va ricordato ogni volta.</w:t>
      </w:r>
    </w:p>
    <w:p>
      <w:pPr>
        <w:spacing w:after="120" w:line="276"/>
        <w:jc w:val="both"/>
      </w:pPr>
      <w:r>
        <w:rPr>
          <w:rFonts w:ascii="Barlow Semi Condensed" w:cs="Barlow Semi Condensed" w:eastAsia="Barlow Semi Condensed" w:hAnsi="Barlow Semi Condensed"/>
          <w:b/>
          <w:bCs/>
          <w:sz w:val="24"/>
          <w:szCs w:val="24"/>
        </w:rPr>
        <w:t xml:space="preserve">503 · Accertamento parlamentare, non giudicato.</w:t>
      </w:r>
      <w:r>
        <w:rPr>
          <w:rFonts w:ascii="Barlow Semi Condensed" w:cs="Barlow Semi Condensed" w:eastAsia="Barlow Semi Condensed" w:hAnsi="Barlow Semi Condensed"/>
          <w:sz w:val="24"/>
          <w:szCs w:val="24"/>
        </w:rPr>
        <w:t xml:space="preserve"> Il rapporto del Senato del 1975 sta, nella scala del corpus, al grado B — accertamento non giudiziario — esattamente come la Commissione Moro 2. La distinzione fissata nella Fase settima vale identica: una commissione dispone degli strumenti dell'autorità giudiziaria ma non della sua funzione, accerta fatti storico-politici e non responsabilità penali. Nessuno è indicato come responsabile di reato da un rapporto parlamentare, in nessun ordinamento e in nessun Paese.</w:t>
      </w:r>
    </w:p>
    <w:p>
      <w:pPr>
        <w:spacing w:after="120" w:line="276"/>
        <w:jc w:val="both"/>
      </w:pPr>
      <w:r>
        <w:rPr>
          <w:rFonts w:ascii="Barlow Semi Condensed" w:cs="Barlow Semi Condensed" w:eastAsia="Barlow Semi Condensed" w:hAnsi="Barlow Semi Condensed"/>
          <w:b/>
          <w:bCs/>
          <w:sz w:val="24"/>
          <w:szCs w:val="24"/>
        </w:rPr>
        <w:t xml:space="preserve">504 · Il metro applicato all'Italia.</w:t>
      </w:r>
      <w:r>
        <w:rPr>
          <w:rFonts w:ascii="Barlow Semi Condensed" w:cs="Barlow Semi Condensed" w:eastAsia="Barlow Semi Condensed" w:hAnsi="Barlow Semi Condensed"/>
          <w:sz w:val="24"/>
          <w:szCs w:val="24"/>
        </w:rPr>
        <w:t xml:space="preserve"> Applicando il metro cileno al versante italiano si vede subito che cosa manchi. Del programma di azione coperta in Italia il corpus registra il diniego del marzo 1969, l'istruzione di Nixon del dicembre 1969 per uno studio sull'Italia (doc. 188) e il riemergere del programma nel novembre 1975 e nel luglio 1976. Nessuno di questi documenti nomina un vettore di stampa italiano identificato con destinatario, somma e data: il metro misura, e trova assenza.</w:t>
      </w:r>
    </w:p>
    <w:p>
      <w:pPr>
        <w:spacing w:after="120" w:line="276"/>
        <w:jc w:val="both"/>
      </w:pPr>
      <w:r>
        <w:rPr>
          <w:rFonts w:ascii="Barlow Semi Condensed" w:cs="Barlow Semi Condensed" w:eastAsia="Barlow Semi Condensed" w:hAnsi="Barlow Semi Condensed"/>
          <w:b/>
          <w:bCs/>
          <w:sz w:val="24"/>
          <w:szCs w:val="24"/>
        </w:rPr>
        <w:t xml:space="preserve">505 · Stato Zero sul vettore italiano.</w:t>
      </w:r>
      <w:r>
        <w:rPr>
          <w:rFonts w:ascii="Barlow Semi Condensed" w:cs="Barlow Semi Condensed" w:eastAsia="Barlow Semi Condensed" w:hAnsi="Barlow Semi Condensed"/>
          <w:sz w:val="24"/>
          <w:szCs w:val="24"/>
        </w:rPr>
        <w:t xml:space="preserve"> Si dichiara come acquisizione di pieno valore: allo stato delle ricerche del corpus non risulta reperito alcun documento primario che attesti il finanziamento coperto di una testata italiana con beneficiario, importo e data, al livello di dettaglio del rapporto cileno del 1975. Sede dove chiudere l'esito: le serie declassificate dei NSC Files, Country Files: Italy ai National Archives di College Park, e la sala di lettura elettronica FOIA dell'agenzia.</w:t>
      </w:r>
    </w:p>
    <w:p>
      <w:pPr>
        <w:spacing w:after="120" w:line="276"/>
        <w:jc w:val="both"/>
      </w:pPr>
      <w:r>
        <w:rPr>
          <w:rFonts w:ascii="Barlow Semi Condensed" w:cs="Barlow Semi Condensed" w:eastAsia="Barlow Semi Condensed" w:hAnsi="Barlow Semi Condensed"/>
          <w:b/>
          <w:bCs/>
          <w:sz w:val="24"/>
          <w:szCs w:val="24"/>
        </w:rPr>
        <w:t xml:space="preserve">506 · L'ambasciata, vettore per costruzione.</w:t>
      </w:r>
      <w:r>
        <w:rPr>
          <w:rFonts w:ascii="Barlow Semi Condensed" w:cs="Barlow Semi Condensed" w:eastAsia="Barlow Semi Condensed" w:hAnsi="Barlow Semi Condensed"/>
          <w:sz w:val="24"/>
          <w:szCs w:val="24"/>
        </w:rPr>
        <w:t xml:space="preserve"> Un'ambasciata è il vettore istituzionale puro: esiste per trasmettere, ha un protocollo che data ogni trasmissione e produce due tracce simmetriche, quella della sede e quella della centrale. Nessun altro canale della storia contemporanea è così ben documentato per sua stessa natura. Ne discende la regola operativa: prima di ipotizzare canali occulti si spoglia il canale palese, perché è quello che ha lasciato carta e che quasi nessuno ha letto per intero.</w:t>
      </w:r>
    </w:p>
    <w:p>
      <w:pPr>
        <w:spacing w:after="120" w:line="276"/>
        <w:jc w:val="both"/>
      </w:pPr>
      <w:r>
        <w:rPr>
          <w:rFonts w:ascii="Barlow Semi Condensed" w:cs="Barlow Semi Condensed" w:eastAsia="Barlow Semi Condensed" w:hAnsi="Barlow Semi Condensed"/>
          <w:b/>
          <w:bCs/>
          <w:sz w:val="24"/>
          <w:szCs w:val="24"/>
        </w:rPr>
        <w:t xml:space="preserve">507 · Il dispaccio come unità di misura.</w:t>
      </w:r>
      <w:r>
        <w:rPr>
          <w:rFonts w:ascii="Barlow Semi Condensed" w:cs="Barlow Semi Condensed" w:eastAsia="Barlow Semi Condensed" w:hAnsi="Barlow Semi Condensed"/>
          <w:sz w:val="24"/>
          <w:szCs w:val="24"/>
        </w:rPr>
        <w:t xml:space="preserve"> L'unità del vettore diplomatico è il dispaccio: reca data, ora, numero di protocollo, mittente, destinatario, classificazione e talvolta la traccia dello smistamento a valle. Sono sei campi verificabili. Lo studio dei timbri e delle numerazioni, che il blocco 135 del manuale propone, riconosce registrazioni anomale e retrodatazioni. La diplomatica del documento contemporaneo è la tecnica che distingue un vettore realmente esistito da un vettore soltanto raccontato.</w:t>
      </w:r>
    </w:p>
    <w:p>
      <w:pPr>
        <w:spacing w:after="120" w:line="276"/>
        <w:jc w:val="both"/>
      </w:pPr>
      <w:r>
        <w:rPr>
          <w:rFonts w:ascii="Barlow Semi Condensed" w:cs="Barlow Semi Condensed" w:eastAsia="Barlow Semi Condensed" w:hAnsi="Barlow Semi Condensed"/>
          <w:b/>
          <w:bCs/>
          <w:sz w:val="24"/>
          <w:szCs w:val="24"/>
        </w:rPr>
        <w:t xml:space="preserve">508 · Il vettore che osserva e quello che agisce.</w:t>
      </w:r>
      <w:r>
        <w:rPr>
          <w:rFonts w:ascii="Barlow Semi Condensed" w:cs="Barlow Semi Condensed" w:eastAsia="Barlow Semi Condensed" w:hAnsi="Barlow Semi Condensed"/>
          <w:sz w:val="24"/>
          <w:szCs w:val="24"/>
        </w:rPr>
        <w:t xml:space="preserve"> Un'ambasciata fa due cose distinte: riferisce ciò che vede e trasmette ciò che le è ordinato. Le due funzioni lasciano carte diverse, rapporti valutativi e istruzioni, e vanno tenute separate in ogni spoglio. Il cantiere britannico lo formula bene al blocco 21: ogni registrazione straniera di un canale è una datazione indipendente di quel canale, e il valore sta nella contemporaneità, non nell'autorevolezza di chi scrive.</w:t>
      </w:r>
    </w:p>
    <w:p>
      <w:pPr>
        <w:spacing w:after="120" w:line="276"/>
        <w:jc w:val="both"/>
      </w:pPr>
      <w:r>
        <w:rPr>
          <w:rFonts w:ascii="Barlow Semi Condensed" w:cs="Barlow Semi Condensed" w:eastAsia="Barlow Semi Condensed" w:hAnsi="Barlow Semi Condensed"/>
          <w:b/>
          <w:bCs/>
          <w:sz w:val="24"/>
          <w:szCs w:val="24"/>
        </w:rPr>
        <w:t xml:space="preserve">509 · Il verbale del 25 settembre 1974 (serie VII).</w:t>
      </w:r>
      <w:r>
        <w:rPr>
          <w:rFonts w:ascii="Barlow Semi Condensed" w:cs="Barlow Semi Condensed" w:eastAsia="Barlow Semi Condensed" w:hAnsi="Barlow Semi Condensed"/>
          <w:sz w:val="24"/>
          <w:szCs w:val="24"/>
        </w:rPr>
        <w:t xml:space="preserve"> Il memorandum of conversation dello Studio Ovale del 25 settembre 1974 fra Leone, Moro, Ford e Kissinger, con Scowcroft — Ford Library doc. 1552802, edito in FRUS 1969-1976 vol. E-15 parte 2 doc. 350 — è un reperto di vettore allo stato puro: attesta chi parlò, quando, e che cosa fu messo a verbale. È fatto pubblico documentato, e va usato per ciò che contiene, non per ciò che si vorrebbe vi fosse.</w:t>
      </w:r>
    </w:p>
    <w:p>
      <w:pPr>
        <w:spacing w:after="120" w:line="276"/>
        <w:jc w:val="both"/>
      </w:pPr>
      <w:r>
        <w:rPr>
          <w:rFonts w:ascii="Barlow Semi Condensed" w:cs="Barlow Semi Condensed" w:eastAsia="Barlow Semi Condensed" w:hAnsi="Barlow Semi Condensed"/>
          <w:b/>
          <w:bCs/>
          <w:sz w:val="24"/>
          <w:szCs w:val="24"/>
        </w:rPr>
        <w:t xml:space="preserve">510 · Il colloquio del giorno dopo.</w:t>
      </w:r>
      <w:r>
        <w:rPr>
          <w:rFonts w:ascii="Barlow Semi Condensed" w:cs="Barlow Semi Condensed" w:eastAsia="Barlow Semi Condensed" w:hAnsi="Barlow Semi Condensed"/>
          <w:sz w:val="24"/>
          <w:szCs w:val="24"/>
        </w:rPr>
        <w:t xml:space="preserve"> Il verbale dell'incontro successivo, del 26 settembre 1974 (Ford Library doc. 1552806), è parimenti disponibile e va spogliato insieme al primo: due sedute a ventiquattr'ore di distanza formano una sequenza, e le sequenze mostrano ciò che i documenti isolati nascondono — che cosa fu ripreso, che cosa cadde, chi entrò e chi uscì dalla stanza. Il quesito è di collazione, e si esegue sui due testi affiancati.</w:t>
      </w:r>
    </w:p>
    <w:p>
      <w:pPr>
        <w:spacing w:after="120" w:line="276"/>
        <w:jc w:val="both"/>
      </w:pPr>
      <w:r>
        <w:rPr>
          <w:rFonts w:ascii="Barlow Semi Condensed" w:cs="Barlow Semi Condensed" w:eastAsia="Barlow Semi Condensed" w:hAnsi="Barlow Semi Condensed"/>
          <w:b/>
          <w:bCs/>
          <w:sz w:val="24"/>
          <w:szCs w:val="24"/>
        </w:rPr>
        <w:t xml:space="preserve">511 · La posizione dichiarata alla vigilia.</w:t>
      </w:r>
      <w:r>
        <w:rPr>
          <w:rFonts w:ascii="Barlow Semi Condensed" w:cs="Barlow Semi Condensed" w:eastAsia="Barlow Semi Condensed" w:hAnsi="Barlow Semi Condensed"/>
          <w:sz w:val="24"/>
          <w:szCs w:val="24"/>
        </w:rPr>
        <w:t xml:space="preserve"> Il corpus registra che alla vigilia Kissinger espose a Ford la propria posizione sul PCI, con la valutazione del rischio di contagio in altri Paesi europei. Il documento attesta quella posizione; non attesta una posizione di Moro sul medesimo punto in quella sede, che non va inferita. È la formulazione già adottata dalla ricognizione della Farnesina, e va ripetuta ogni volta: il verbale prova ciò che dice, e il silenzio di un interlocutore non è una risposta.</w:t>
      </w:r>
    </w:p>
    <w:p>
      <w:pPr>
        <w:spacing w:after="120" w:line="276"/>
        <w:jc w:val="both"/>
      </w:pPr>
      <w:r>
        <w:rPr>
          <w:rFonts w:ascii="Barlow Semi Condensed" w:cs="Barlow Semi Condensed" w:eastAsia="Barlow Semi Condensed" w:hAnsi="Barlow Semi Condensed"/>
          <w:b/>
          <w:bCs/>
          <w:sz w:val="24"/>
          <w:szCs w:val="24"/>
        </w:rPr>
        <w:t xml:space="preserve">512 · La lingua come filtro del vettore.</w:t>
      </w:r>
      <w:r>
        <w:rPr>
          <w:rFonts w:ascii="Barlow Semi Condensed" w:cs="Barlow Semi Condensed" w:eastAsia="Barlow Semi Condensed" w:hAnsi="Barlow Semi Condensed"/>
          <w:sz w:val="24"/>
          <w:szCs w:val="24"/>
        </w:rPr>
        <w:t xml:space="preserve"> Un vettore che traduce modifica ciò che trasmette, e la circostanza è documentale prima che teorica: fra le smentite italiane qualificate registrate dal corpus figura quella di un testimone che dichiarò di aver verificato allora l'episodio con l'interprete, perché Moro non parlava inglese. Il dato non decide la controversia, ma impone una regola: dove c'è un interprete l'accertamento riguarda tre soggetti e non due, e l'interprete è esso stesso un teste da cercare.</w:t>
      </w:r>
    </w:p>
    <w:p>
      <w:pPr>
        <w:spacing w:after="120" w:line="276"/>
        <w:jc w:val="both"/>
      </w:pPr>
      <w:r>
        <w:rPr>
          <w:rFonts w:ascii="Barlow Semi Condensed" w:cs="Barlow Semi Condensed" w:eastAsia="Barlow Semi Condensed" w:hAnsi="Barlow Semi Condensed"/>
          <w:b/>
          <w:bCs/>
          <w:sz w:val="24"/>
          <w:szCs w:val="24"/>
        </w:rPr>
        <w:t xml:space="preserve">513 · Il margine che il verbale non registra.</w:t>
      </w:r>
      <w:r>
        <w:rPr>
          <w:rFonts w:ascii="Barlow Semi Condensed" w:cs="Barlow Semi Condensed" w:eastAsia="Barlow Semi Condensed" w:hAnsi="Barlow Semi Condensed"/>
          <w:sz w:val="24"/>
          <w:szCs w:val="24"/>
        </w:rPr>
        <w:t xml:space="preserve"> La testimonianza contestata colloca la frase attribuita a Kissinger a margine del colloquio, non dentro il colloquio. Il corpus ha già stabilito il valore logico di questa collocazione: l'assenza dal verbale non prova né la falsità né la verità dell'episodio, ma indebolisce nettamente la versione che lo colloca nell'incontro ufficiale, cioè quella che circola. Il margine è, in tutti i vettori istituzionali, la zona documentalmente scoperta per costruzione.</w:t>
      </w:r>
    </w:p>
    <w:p>
      <w:pPr>
        <w:spacing w:after="120" w:line="276"/>
        <w:jc w:val="both"/>
      </w:pPr>
      <w:r>
        <w:rPr>
          <w:rFonts w:ascii="Barlow Semi Condensed" w:cs="Barlow Semi Condensed" w:eastAsia="Barlow Semi Condensed" w:hAnsi="Barlow Semi Condensed"/>
          <w:b/>
          <w:bCs/>
          <w:sz w:val="24"/>
          <w:szCs w:val="24"/>
        </w:rPr>
        <w:t xml:space="preserve">514 · I quattro specchi diplomatici.</w:t>
      </w:r>
      <w:r>
        <w:rPr>
          <w:rFonts w:ascii="Barlow Semi Condensed" w:cs="Barlow Semi Condensed" w:eastAsia="Barlow Semi Condensed" w:hAnsi="Barlow Semi Condensed"/>
          <w:sz w:val="24"/>
          <w:szCs w:val="24"/>
        </w:rPr>
        <w:t xml:space="preserve"> Il cantiere dei nove propone la prosopografia comparata delle diplomazie: il ritratto d'archivio di Moro visto da Washington, poi da Londra (blocco 25), da Parigi (blocco 67), da Bonn (blocco 97). Quattro sedi che osservarono lo stesso uomo e ne scrissero indipendentemente. È il disegno sperimentale corretto per misurare un vettore d'osservazione: quattro rilevazioni separate, una tavola sola, e le divergenze come prodotto principale della comparazione.</w:t>
      </w:r>
    </w:p>
    <w:p>
      <w:pPr>
        <w:spacing w:after="120" w:line="276"/>
        <w:jc w:val="both"/>
      </w:pPr>
      <w:r>
        <w:rPr>
          <w:rFonts w:ascii="Barlow Semi Condensed" w:cs="Barlow Semi Condensed" w:eastAsia="Barlow Semi Condensed" w:hAnsi="Barlow Semi Condensed"/>
          <w:b/>
          <w:bCs/>
          <w:sz w:val="24"/>
          <w:szCs w:val="24"/>
        </w:rPr>
        <w:t xml:space="preserve">515 · La collazione oraria come prova.</w:t>
      </w:r>
      <w:r>
        <w:rPr>
          <w:rFonts w:ascii="Barlow Semi Condensed" w:cs="Barlow Semi Condensed" w:eastAsia="Barlow Semi Condensed" w:hAnsi="Barlow Semi Condensed"/>
          <w:sz w:val="24"/>
          <w:szCs w:val="24"/>
        </w:rPr>
        <w:t xml:space="preserve"> Il blocco 84 del cantiere tedesco chiede la sequenza oraria delle giornate chiave nelle quattro capitali, per una collazione quadrilaterale. È il test più severo che un vettore possa subire: se una notizia compare a Bonn prima che a Roma, il canale che la portò va cercato altrove. La cronologia minuta non conferma le ipotesi, le falsifica, ed è per questa ragione che va costruita prima di formularle e non dopo.</w:t>
      </w:r>
    </w:p>
    <w:p>
      <w:pPr>
        <w:spacing w:after="120" w:line="276"/>
        <w:jc w:val="both"/>
      </w:pPr>
      <w:r>
        <w:rPr>
          <w:rFonts w:ascii="Barlow Semi Condensed" w:cs="Barlow Semi Condensed" w:eastAsia="Barlow Semi Condensed" w:hAnsi="Barlow Semi Condensed"/>
          <w:b/>
          <w:bCs/>
          <w:sz w:val="24"/>
          <w:szCs w:val="24"/>
        </w:rPr>
        <w:t xml:space="preserve">516 · La divergenza sulla sede e sulla data.</w:t>
      </w:r>
      <w:r>
        <w:rPr>
          <w:rFonts w:ascii="Barlow Semi Condensed" w:cs="Barlow Semi Condensed" w:eastAsia="Barlow Semi Condensed" w:hAnsi="Barlow Semi Condensed"/>
          <w:sz w:val="24"/>
          <w:szCs w:val="24"/>
        </w:rPr>
        <w:t xml:space="preserve"> La nota di revisione del nodo M-5 registra che una fonte d'agenzia statunitense del 1983 colloca l'alterco all'ambasciata d'Italia a Washington nel 1977, mentre altre sintesi indicano il 1976 e il corpus, altrove, il settembre 1974. Nel 1977 Kissinger non era più Segretario di Stato. La divergenza è dirimente e va riportata, mai risolta d'ufficio: dove le fonti divergono sulla sede di un vettore, il vettore non è ancora accertato.</w:t>
      </w:r>
    </w:p>
    <w:p>
      <w:pPr>
        <w:spacing w:after="120" w:line="276"/>
        <w:jc w:val="both"/>
      </w:pPr>
      <w:r>
        <w:rPr>
          <w:rFonts w:ascii="Barlow Semi Condensed" w:cs="Barlow Semi Condensed" w:eastAsia="Barlow Semi Condensed" w:hAnsi="Barlow Semi Condensed"/>
          <w:b/>
          <w:bCs/>
          <w:sz w:val="24"/>
          <w:szCs w:val="24"/>
        </w:rPr>
        <w:t xml:space="preserve">517 · La regola dell'originatore.</w:t>
      </w:r>
      <w:r>
        <w:rPr>
          <w:rFonts w:ascii="Barlow Semi Condensed" w:cs="Barlow Semi Condensed" w:eastAsia="Barlow Semi Condensed" w:hAnsi="Barlow Semi Condensed"/>
          <w:sz w:val="24"/>
          <w:szCs w:val="24"/>
        </w:rPr>
        <w:t xml:space="preserve"> Un vettore vincola anche a valle: un documento di origine alleata custodito in Italia non è liberamente rilasciabile senza il consenso dell'originatore. Il blocco 119 del manuale chiede il censimento di quante richieste di consenso siano mai state formulate e la proposta formale di riattivarle nelle sedi diplomatiche, verificando su atto la cifra che circola. È la prova che il canale continua a operare decenni dopo, sulla disponibilità stessa delle carte.</w:t>
      </w:r>
    </w:p>
    <w:p>
      <w:pPr>
        <w:spacing w:after="120" w:line="276"/>
        <w:jc w:val="both"/>
      </w:pPr>
      <w:r>
        <w:rPr>
          <w:rFonts w:ascii="Barlow Semi Condensed" w:cs="Barlow Semi Condensed" w:eastAsia="Barlow Semi Condensed" w:hAnsi="Barlow Semi Condensed"/>
          <w:b/>
          <w:bCs/>
          <w:sz w:val="24"/>
          <w:szCs w:val="24"/>
        </w:rPr>
        <w:t xml:space="preserve">518 · La stampa, vettore ad alta trasmissibilità.</w:t>
      </w:r>
      <w:r>
        <w:rPr>
          <w:rFonts w:ascii="Barlow Semi Condensed" w:cs="Barlow Semi Condensed" w:eastAsia="Barlow Semi Condensed" w:hAnsi="Barlow Semi Condensed"/>
          <w:sz w:val="24"/>
          <w:szCs w:val="24"/>
        </w:rPr>
        <w:t xml:space="preserve"> La stampa è il vettore che moltiplica: un contenuto immesso una volta raggiunge in poche ore un pubblico che nessun canale diplomatico raggiunge in anni. Questa efficienza è però simmetrica al suo difetto probatorio, perché la moltiplicazione non aggiunge informazione. Cento riprese di una notizia sono cento copie di una fonte, non cento fonti indipendenti; e la disciplina del corpus lo ha già scritto per il nodo dell'avvertimento del 1974.</w:t>
      </w:r>
    </w:p>
    <w:p>
      <w:pPr>
        <w:spacing w:after="120" w:line="276"/>
        <w:jc w:val="both"/>
      </w:pPr>
      <w:r>
        <w:rPr>
          <w:rFonts w:ascii="Barlow Semi Condensed" w:cs="Barlow Semi Condensed" w:eastAsia="Barlow Semi Condensed" w:hAnsi="Barlow Semi Condensed"/>
          <w:b/>
          <w:bCs/>
          <w:sz w:val="24"/>
          <w:szCs w:val="24"/>
        </w:rPr>
        <w:t xml:space="preserve">519 · Il vettore editoriale del corpus.</w:t>
      </w:r>
      <w:r>
        <w:rPr>
          <w:rFonts w:ascii="Barlow Semi Condensed" w:cs="Barlow Semi Condensed" w:eastAsia="Barlow Semi Condensed" w:hAnsi="Barlow Semi Condensed"/>
          <w:sz w:val="24"/>
          <w:szCs w:val="24"/>
        </w:rPr>
        <w:t xml:space="preserve"> Il caso Feltrinelli è, nel corpus, il vettore di stampa meglio accertato: l'acquisizione nel 1967 dei diritti del diario boliviano insieme alla fotografia di Korda, l'edizione del 1968 con quella copertina e la prefazione di Castro, e soprattutto le centinaia di manifesti stampati per lanciare il libro. Non un ordine che viaggia, ma un'operazione editoriale che trasforma un contenuto in simbolo. È vettore alla lettera, e documentato al piano uno.</w:t>
      </w:r>
    </w:p>
    <w:p>
      <w:pPr>
        <w:spacing w:after="120" w:line="276"/>
        <w:jc w:val="both"/>
      </w:pPr>
      <w:r>
        <w:rPr>
          <w:rFonts w:ascii="Barlow Semi Condensed" w:cs="Barlow Semi Condensed" w:eastAsia="Barlow Semi Condensed" w:hAnsi="Barlow Semi Condensed"/>
          <w:b/>
          <w:bCs/>
          <w:sz w:val="24"/>
          <w:szCs w:val="24"/>
        </w:rPr>
        <w:t xml:space="preserve">520 · Il canale che modifica ciò che trasmette.</w:t>
      </w:r>
      <w:r>
        <w:rPr>
          <w:rFonts w:ascii="Barlow Semi Condensed" w:cs="Barlow Semi Condensed" w:eastAsia="Barlow Semi Condensed" w:hAnsi="Barlow Semi Condensed"/>
          <w:sz w:val="24"/>
          <w:szCs w:val="24"/>
        </w:rPr>
        <w:t xml:space="preserve"> Il manifesto di Korda dimostra la proprietà più insidiosa dei vettori: nel trasmettere, cambiano. Una fotografia accantonata per scarsa qualità divenne icona; il diario di un guerrigliero divenne segno universale staccato dal suo autore. La lente genetica qui è precisa e va usata: la trasmissione orizzontale comporta mutazione, e il contenuto in uscita non coincide con quello in entrata. Attribuire all'emittente ciò che il canale ha prodotto è un errore di attribuzione.</w:t>
      </w:r>
    </w:p>
    <w:p>
      <w:pPr>
        <w:spacing w:after="120" w:line="276"/>
        <w:jc w:val="both"/>
      </w:pPr>
      <w:r>
        <w:rPr>
          <w:rFonts w:ascii="Barlow Semi Condensed" w:cs="Barlow Semi Condensed" w:eastAsia="Barlow Semi Condensed" w:hAnsi="Barlow Semi Condensed"/>
          <w:b/>
          <w:bCs/>
          <w:sz w:val="24"/>
          <w:szCs w:val="24"/>
        </w:rPr>
        <w:t xml:space="preserve">521 · La proprietà non è la linea.</w:t>
      </w:r>
      <w:r>
        <w:rPr>
          <w:rFonts w:ascii="Barlow Semi Condensed" w:cs="Barlow Semi Condensed" w:eastAsia="Barlow Semi Condensed" w:hAnsi="Barlow Semi Condensed"/>
          <w:sz w:val="24"/>
          <w:szCs w:val="24"/>
        </w:rPr>
        <w:t xml:space="preserve"> Chi possiede una testata non ne detta per ciò stesso gli articoli. La proprietà è un fatto societario documentabile nei registri camerali; la linea editoriale è un fatto redazionale che si accerta sui testi, con spoglio datato. Confonderli produce l'inferenza vietata in forma economica. Vale per la stampa il principio che il corpus applica alle organizzazioni: l'appartenenza non è condotta, e la titolarità di un giornale non è la sua redazione.</w:t>
      </w:r>
    </w:p>
    <w:p>
      <w:pPr>
        <w:spacing w:after="120" w:line="276"/>
        <w:jc w:val="both"/>
      </w:pPr>
      <w:r>
        <w:rPr>
          <w:rFonts w:ascii="Barlow Semi Condensed" w:cs="Barlow Semi Condensed" w:eastAsia="Barlow Semi Condensed" w:hAnsi="Barlow Semi Condensed"/>
          <w:b/>
          <w:bCs/>
          <w:sz w:val="24"/>
          <w:szCs w:val="24"/>
        </w:rPr>
        <w:t xml:space="preserve">522 · Il finanziamento e il singolo articolo.</w:t>
      </w:r>
      <w:r>
        <w:rPr>
          <w:rFonts w:ascii="Barlow Semi Condensed" w:cs="Barlow Semi Condensed" w:eastAsia="Barlow Semi Condensed" w:hAnsi="Barlow Semi Condensed"/>
          <w:sz w:val="24"/>
          <w:szCs w:val="24"/>
        </w:rPr>
        <w:t xml:space="preserve"> Anche dove il finanziamento è accertato, non ne discende la paternità di alcun articolo determinato. L'accertamento del flusso e l'accertamento del testo sono due indagini con fonti diverse: la prima sta negli archivi dell'erogatore, la seconda in emeroteca e negli archivi redazionali. Un corpus serio le tiene separate e dichiara quale delle due abbia effettivamente condotto. Il salto dall'una all'altra è la forma giornalistica del piano due spacciato per piano uno.</w:t>
      </w:r>
    </w:p>
    <w:p>
      <w:pPr>
        <w:spacing w:after="120" w:line="276"/>
        <w:jc w:val="both"/>
      </w:pPr>
      <w:r>
        <w:rPr>
          <w:rFonts w:ascii="Barlow Semi Condensed" w:cs="Barlow Semi Condensed" w:eastAsia="Barlow Semi Condensed" w:hAnsi="Barlow Semi Condensed"/>
          <w:b/>
          <w:bCs/>
          <w:sz w:val="24"/>
          <w:szCs w:val="24"/>
        </w:rPr>
        <w:t xml:space="preserve">523 · Le agenzie e la moltiplicazione apparente.</w:t>
      </w:r>
      <w:r>
        <w:rPr>
          <w:rFonts w:ascii="Barlow Semi Condensed" w:cs="Barlow Semi Condensed" w:eastAsia="Barlow Semi Condensed" w:hAnsi="Barlow Semi Condensed"/>
          <w:sz w:val="24"/>
          <w:szCs w:val="24"/>
        </w:rPr>
        <w:t xml:space="preserve"> La verifica condotta sul nodo M-5 ha accertato che le decine di riprese pressoché identiche dell'episodio dell'avvertimento risalgono a un unico lancio d'agenzia del 30 novembre 2023. È il caso di scuola del vettore che moltiplica senza aggiungere: il numero delle ripetizioni non ha valore probatorio. La contromisura è tecnica e semplice, risalire al primo lancio, datarlo e contare le fonti indipendenti da quello, che spesso risultano zero.</w:t>
      </w:r>
    </w:p>
    <w:p>
      <w:pPr>
        <w:spacing w:after="120" w:line="276"/>
        <w:jc w:val="both"/>
      </w:pPr>
      <w:r>
        <w:rPr>
          <w:rFonts w:ascii="Barlow Semi Condensed" w:cs="Barlow Semi Condensed" w:eastAsia="Barlow Semi Condensed" w:hAnsi="Barlow Semi Condensed"/>
          <w:b/>
          <w:bCs/>
          <w:sz w:val="24"/>
          <w:szCs w:val="24"/>
        </w:rPr>
        <w:t xml:space="preserve">524 · L'emeroteca come sede di accertamento.</w:t>
      </w:r>
      <w:r>
        <w:rPr>
          <w:rFonts w:ascii="Barlow Semi Condensed" w:cs="Barlow Semi Condensed" w:eastAsia="Barlow Semi Condensed" w:hAnsi="Barlow Semi Condensed"/>
          <w:sz w:val="24"/>
          <w:szCs w:val="24"/>
        </w:rPr>
        <w:t xml:space="preserve"> Ogni asserzione su un vettore di stampa si apre o si chiude in emeroteca: la data del primo apparire, il titolo, la firma, la collocazione in pagina. Il cantiere lo prevede per le agenzie italiane con i lanci e gli orari, per la stampa francese, per quella tedesca e per la stampa della Santa Sede. È lavoro seriale, noioso e decisivo: la datazione batte l'interpretazione ogni volta che le due confliggono.</w:t>
      </w:r>
    </w:p>
    <w:p>
      <w:pPr>
        <w:spacing w:after="120" w:line="276"/>
        <w:jc w:val="both"/>
      </w:pPr>
      <w:r>
        <w:rPr>
          <w:rFonts w:ascii="Barlow Semi Condensed" w:cs="Barlow Semi Condensed" w:eastAsia="Barlow Semi Condensed" w:hAnsi="Barlow Semi Condensed"/>
          <w:b/>
          <w:bCs/>
          <w:sz w:val="24"/>
          <w:szCs w:val="24"/>
        </w:rPr>
        <w:t xml:space="preserve">525 · Le fondazioni come vettore di partito.</w:t>
      </w:r>
      <w:r>
        <w:rPr>
          <w:rFonts w:ascii="Barlow Semi Condensed" w:cs="Barlow Semi Condensed" w:eastAsia="Barlow Semi Condensed" w:hAnsi="Barlow Semi Condensed"/>
          <w:sz w:val="24"/>
          <w:szCs w:val="24"/>
        </w:rPr>
        <w:t xml:space="preserve"> Il blocco 103 del cantiere tedesco individua un canale che l'Italia dimentica e la Germania cataloga: gli archivi delle fondazioni politiche di partito e i loro carteggi con i partiti italiani fratelli nel 1978. È un vettore parallelo a quello diplomatico, con regole proprie di conservazione e accesso in genere più agevole. Il quesito è di censimento, non di rivelazione: che cosa quei fondi conservino sul 1978 italiano è ignoto perché non è stato chiesto.</w:t>
      </w:r>
    </w:p>
    <w:p>
      <w:pPr>
        <w:spacing w:after="120" w:line="276"/>
        <w:jc w:val="both"/>
      </w:pPr>
      <w:r>
        <w:rPr>
          <w:rFonts w:ascii="Barlow Semi Condensed" w:cs="Barlow Semi Condensed" w:eastAsia="Barlow Semi Condensed" w:hAnsi="Barlow Semi Condensed"/>
          <w:b/>
          <w:bCs/>
          <w:sz w:val="24"/>
          <w:szCs w:val="24"/>
        </w:rPr>
        <w:t xml:space="preserve">526 · La stampa estera come datazione indipendente.</w:t>
      </w:r>
      <w:r>
        <w:rPr>
          <w:rFonts w:ascii="Barlow Semi Condensed" w:cs="Barlow Semi Condensed" w:eastAsia="Barlow Semi Condensed" w:hAnsi="Barlow Semi Condensed"/>
          <w:sz w:val="24"/>
          <w:szCs w:val="24"/>
        </w:rPr>
        <w:t xml:space="preserve"> Il principio enunciato per le carte britanniche vale identico per i giornali: ogni registrazione straniera di un canale è una datazione indipendente di quel canale. Un corrispondente che nel 1978 scrive di un negoziato in corso fissa una data che nessuna memoria successiva può spostare. Il valore della fonte estera non è la sua presunta neutralità, che nessuno può garantire: è la sua indipendenza dalla catena italiana delle riprese.</w:t>
      </w:r>
    </w:p>
    <w:p>
      <w:pPr>
        <w:spacing w:after="120" w:line="276"/>
        <w:jc w:val="both"/>
      </w:pPr>
      <w:r>
        <w:rPr>
          <w:rFonts w:ascii="Barlow Semi Condensed" w:cs="Barlow Semi Condensed" w:eastAsia="Barlow Semi Condensed" w:hAnsi="Barlow Semi Condensed"/>
          <w:b/>
          <w:bCs/>
          <w:sz w:val="24"/>
          <w:szCs w:val="24"/>
        </w:rPr>
        <w:t xml:space="preserve">527 · L'archivio redazionale come giacimento.</w:t>
      </w:r>
      <w:r>
        <w:rPr>
          <w:rFonts w:ascii="Barlow Semi Condensed" w:cs="Barlow Semi Condensed" w:eastAsia="Barlow Semi Condensed" w:hAnsi="Barlow Semi Condensed"/>
          <w:sz w:val="24"/>
          <w:szCs w:val="24"/>
        </w:rPr>
        <w:t xml:space="preserve"> Il cantiere censisce i fondi dei corrispondenti esteri a Roma, i taccuini dei cronisti giudiziari che sedettero ai cinque processi, gli archivi fotografici delle testate, e ricorda che i taccuini sanno le date che i libri arrotondano. Un vettore di stampa lascia due tracce: ciò che pubblicò e ciò che non pubblicò. La seconda è quasi sempre la più istruttiva, e giace in fondi privati che nessuno ha mai chiesto di consultare.</w:t>
      </w:r>
    </w:p>
    <w:p>
      <w:pPr>
        <w:spacing w:after="120" w:line="276"/>
        <w:jc w:val="both"/>
      </w:pPr>
      <w:r>
        <w:rPr>
          <w:rFonts w:ascii="Barlow Semi Condensed" w:cs="Barlow Semi Condensed" w:eastAsia="Barlow Semi Condensed" w:hAnsi="Barlow Semi Condensed"/>
          <w:b/>
          <w:bCs/>
          <w:sz w:val="24"/>
          <w:szCs w:val="24"/>
        </w:rPr>
        <w:t xml:space="preserve">528 · Le segnalazioni ai giornali.</w:t>
      </w:r>
      <w:r>
        <w:rPr>
          <w:rFonts w:ascii="Barlow Semi Condensed" w:cs="Barlow Semi Condensed" w:eastAsia="Barlow Semi Condensed" w:hAnsi="Barlow Semi Condensed"/>
          <w:sz w:val="24"/>
          <w:szCs w:val="24"/>
        </w:rPr>
        <w:t xml:space="preserve"> Il blocco 231 registra un vettore inverso e poco battuto: ciò che i cittadini segnalarono alle redazioni invece che agli uffici dello Stato, dove gli archivi delle testate lo conservino. È un canale parallelo documentato, e integra il registro delle segnalazioni ufficiali. Il confronto fra i due flussi misurerebbe una cosa che nessuno ha mai misurato: quanta informazione l'apparato non ricevette perché fu indirizzata altrove che a lui.</w:t>
      </w:r>
    </w:p>
    <w:p>
      <w:pPr>
        <w:spacing w:after="120" w:line="276"/>
        <w:jc w:val="both"/>
      </w:pPr>
      <w:r>
        <w:rPr>
          <w:rFonts w:ascii="Barlow Semi Condensed" w:cs="Barlow Semi Condensed" w:eastAsia="Barlow Semi Condensed" w:hAnsi="Barlow Semi Condensed"/>
          <w:b/>
          <w:bCs/>
          <w:sz w:val="24"/>
          <w:szCs w:val="24"/>
        </w:rPr>
        <w:t xml:space="preserve">529 · L'annuncio non è un atto.</w:t>
      </w:r>
      <w:r>
        <w:rPr>
          <w:rFonts w:ascii="Barlow Semi Condensed" w:cs="Barlow Semi Condensed" w:eastAsia="Barlow Semi Condensed" w:hAnsi="Barlow Semi Condensed"/>
          <w:sz w:val="24"/>
          <w:szCs w:val="24"/>
        </w:rPr>
        <w:t xml:space="preserve"> Il blocco 38 del manuale impone che ogni comunicazione pubblica dichiari in una riga il grado di ciò che annuncia, vietando le conferenze stampa sulle ipotesi; il blocco 268 nomina l'errore corrispondente, la svolta annunciata e mai depositata. Applicato ai vettori: un canale rivelato in conferenza stampa e mai documentato in atti non è un canale accertato, è un titolo. E i titoli non sono atti, e non entrano nel fascicolo.</w:t>
      </w:r>
    </w:p>
    <w:p>
      <w:pPr>
        <w:spacing w:after="120" w:line="276"/>
        <w:jc w:val="both"/>
      </w:pPr>
      <w:r>
        <w:rPr>
          <w:rFonts w:ascii="Barlow Semi Condensed" w:cs="Barlow Semi Condensed" w:eastAsia="Barlow Semi Condensed" w:hAnsi="Barlow Semi Condensed"/>
          <w:b/>
          <w:bCs/>
          <w:sz w:val="24"/>
          <w:szCs w:val="24"/>
        </w:rPr>
        <w:t xml:space="preserve">530 · Il canale ecclesiastico e la sua peculiarità.</w:t>
      </w:r>
      <w:r>
        <w:rPr>
          <w:rFonts w:ascii="Barlow Semi Condensed" w:cs="Barlow Semi Condensed" w:eastAsia="Barlow Semi Condensed" w:hAnsi="Barlow Semi Condensed"/>
          <w:sz w:val="24"/>
          <w:szCs w:val="24"/>
        </w:rPr>
        <w:t xml:space="preserve"> Il canale ecclesiastico riunisce tre proprietà che nessun altro vettore possiede insieme: una legittimazione umanitaria riconosciuta dalle parti in conflitto, una struttura gerarchica che documenta le nomine ma non i colloqui, e un vincolo di riservatezza che in alcune funzioni è assoluto per statuto. Ne discende che è al tempo stesso il canale più praticato in ogni sequestro e il meno documentabile nel merito. La disciplina consiste nel dirlo, non nel dedurne il contenuto.</w:t>
      </w:r>
    </w:p>
    <w:p>
      <w:pPr>
        <w:spacing w:after="120" w:line="276"/>
        <w:jc w:val="both"/>
      </w:pPr>
      <w:r>
        <w:rPr>
          <w:rFonts w:ascii="Barlow Semi Condensed" w:cs="Barlow Semi Condensed" w:eastAsia="Barlow Semi Condensed" w:hAnsi="Barlow Semi Condensed"/>
          <w:b/>
          <w:bCs/>
          <w:sz w:val="24"/>
          <w:szCs w:val="24"/>
        </w:rPr>
        <w:t xml:space="preserve">531 · L'ufficio dei cappellani carcerari.</w:t>
      </w:r>
      <w:r>
        <w:rPr>
          <w:rFonts w:ascii="Barlow Semi Condensed" w:cs="Barlow Semi Condensed" w:eastAsia="Barlow Semi Condensed" w:hAnsi="Barlow Semi Condensed"/>
          <w:sz w:val="24"/>
          <w:szCs w:val="24"/>
        </w:rPr>
        <w:t xml:space="preserve"> Il cantiere indica la sede più promettente e mai censita del canale dei cinquantacinque giorni: l'archivio dell'ispettorato generale dei cappellani delle carceri e l'eventuale lascito personale di don Cesare Curioni (blocchi 111 e 154). Il bersaglio ha doppia entrata, perché la cappellania era anche ufficio dello Stato: esiste una carta ecclesiastica e una ministeriale del medesimo ufficio. L'accesso si chiede con quesiti scritti alle autorità competenti.</w:t>
      </w:r>
    </w:p>
    <w:p>
      <w:pPr>
        <w:spacing w:after="120" w:line="276"/>
        <w:jc w:val="both"/>
      </w:pPr>
      <w:r>
        <w:rPr>
          <w:rFonts w:ascii="Barlow Semi Condensed" w:cs="Barlow Semi Condensed" w:eastAsia="Barlow Semi Condensed" w:hAnsi="Barlow Semi Condensed"/>
          <w:b/>
          <w:bCs/>
          <w:sz w:val="24"/>
          <w:szCs w:val="24"/>
        </w:rPr>
        <w:t xml:space="preserve">532 · I registri come carta seriale.</w:t>
      </w:r>
      <w:r>
        <w:rPr>
          <w:rFonts w:ascii="Barlow Semi Condensed" w:cs="Barlow Semi Condensed" w:eastAsia="Barlow Semi Condensed" w:hAnsi="Barlow Semi Condensed"/>
          <w:sz w:val="24"/>
          <w:szCs w:val="24"/>
        </w:rPr>
        <w:t xml:space="preserve"> Il blocco 242 dell'agenda chiede i registri dei colloqui nelle carceri dove erano detenuti i brigatisti storici fra marzo e maggio 1978: chi entrò, con quale autorizzazione, con quale frequenza. È carta seriale e non memorialistica, e la differenza è decisiva. Un registro non ricorda e non interpreta: elenca. Per accertare un vettore ecclesiastico, o qualunque vettore carcerario, il registro vale più di ogni testimonianza resa quarant'anni dopo i fatti.</w:t>
      </w:r>
    </w:p>
    <w:p>
      <w:pPr>
        <w:spacing w:after="120" w:line="276"/>
        <w:jc w:val="both"/>
      </w:pPr>
      <w:r>
        <w:rPr>
          <w:rFonts w:ascii="Barlow Semi Condensed" w:cs="Barlow Semi Condensed" w:eastAsia="Barlow Semi Condensed" w:hAnsi="Barlow Semi Condensed"/>
          <w:b/>
          <w:bCs/>
          <w:sz w:val="24"/>
          <w:szCs w:val="24"/>
        </w:rPr>
        <w:t xml:space="preserve">533 · Il canale delle lettere.</w:t>
      </w:r>
      <w:r>
        <w:rPr>
          <w:rFonts w:ascii="Barlow Semi Condensed" w:cs="Barlow Semi Condensed" w:eastAsia="Barlow Semi Condensed" w:hAnsi="Barlow Semi Condensed"/>
          <w:sz w:val="24"/>
          <w:szCs w:val="24"/>
        </w:rPr>
        <w:t xml:space="preserve"> Il blocco 150 del cantiere vaticano perimetra un tratto documentato: le audizioni parlamentari, le dichiarazioni e i riscontri sul ruolo di don Antonello Mennini, che ricevette lettere dalla prigionia. Il canale delle lettere ha dunque un tratto ecclesiastico accertato quanto alla sua esistenza. Che cosa vi sia transitato oltre le lettere note resta quesito aperto e va scritto come quesito: il perimetro d'atti è il bersaglio, non la ricostruzione.</w:t>
      </w:r>
    </w:p>
    <w:p>
      <w:pPr>
        <w:spacing w:after="120" w:line="276"/>
        <w:jc w:val="both"/>
      </w:pPr>
      <w:r>
        <w:rPr>
          <w:rFonts w:ascii="Barlow Semi Condensed" w:cs="Barlow Semi Condensed" w:eastAsia="Barlow Semi Condensed" w:hAnsi="Barlow Semi Condensed"/>
          <w:b/>
          <w:bCs/>
          <w:sz w:val="24"/>
          <w:szCs w:val="24"/>
        </w:rPr>
        <w:t xml:space="preserve">534 · La nunziatura e la sede della carta.</w:t>
      </w:r>
      <w:r>
        <w:rPr>
          <w:rFonts w:ascii="Barlow Semi Condensed" w:cs="Barlow Semi Condensed" w:eastAsia="Barlow Semi Condensed" w:hAnsi="Barlow Semi Condensed"/>
          <w:sz w:val="24"/>
          <w:szCs w:val="24"/>
        </w:rPr>
        <w:t xml:space="preserve"> Il blocco 143 pone un quesito che precede ogni interpretazione: dove siano versate le carte della nunziatura apostolica in Italia e con quali regole di accesso. Il canale istituzionale fra lo Stato e la Chiesa nel 1978 passava di lì. Sapere dove giaccia la sua carta è un bersaglio in sé, e la risposta — anche se fosse un vincolo di chiusura pluridecennale — è un'acquisizione di pieno valore, non una sconfitta.</w:t>
      </w:r>
    </w:p>
    <w:p>
      <w:pPr>
        <w:spacing w:after="120" w:line="276"/>
        <w:jc w:val="both"/>
      </w:pPr>
      <w:r>
        <w:rPr>
          <w:rFonts w:ascii="Barlow Semi Condensed" w:cs="Barlow Semi Condensed" w:eastAsia="Barlow Semi Condensed" w:hAnsi="Barlow Semi Condensed"/>
          <w:b/>
          <w:bCs/>
          <w:sz w:val="24"/>
          <w:szCs w:val="24"/>
        </w:rPr>
        <w:t xml:space="preserve">535 · Il doppio binario non è doppiezza.</w:t>
      </w:r>
      <w:r>
        <w:rPr>
          <w:rFonts w:ascii="Barlow Semi Condensed" w:cs="Barlow Semi Condensed" w:eastAsia="Barlow Semi Condensed" w:hAnsi="Barlow Semi Condensed"/>
          <w:sz w:val="24"/>
          <w:szCs w:val="24"/>
        </w:rPr>
        <w:t xml:space="preserve"> Il blocco 208 nomina l'errore da evitare sul canale del riscatto: trasformare il doppio binario, appello pubblico e canale riservato, in doppiezza. Era la prassi ordinaria di ogni mediazione umanitaria del secolo. Un soggetto che parla in pubblico in un modo e tratta in privato in un altro non sta per ciò stesso ingannando: sta usando due vettori con funzioni diverse, e la distinzione va accertata prima di essere giudicata.</w:t>
      </w:r>
    </w:p>
    <w:p>
      <w:pPr>
        <w:spacing w:after="120" w:line="276"/>
        <w:jc w:val="both"/>
      </w:pPr>
      <w:r>
        <w:rPr>
          <w:rFonts w:ascii="Barlow Semi Condensed" w:cs="Barlow Semi Condensed" w:eastAsia="Barlow Semi Condensed" w:hAnsi="Barlow Semi Condensed"/>
          <w:b/>
          <w:bCs/>
          <w:sz w:val="24"/>
          <w:szCs w:val="24"/>
        </w:rPr>
        <w:t xml:space="preserve">536 · Le tre firme di Helsinki.</w:t>
      </w:r>
      <w:r>
        <w:rPr>
          <w:rFonts w:ascii="Barlow Semi Condensed" w:cs="Barlow Semi Condensed" w:eastAsia="Barlow Semi Condensed" w:hAnsi="Barlow Semi Condensed"/>
          <w:sz w:val="24"/>
          <w:szCs w:val="24"/>
        </w:rPr>
        <w:t xml:space="preserve"> L'Atto finale di Helsinki del 1° agosto 1975 reca la firma di Moro nella duplice qualità di Presidente del Consiglio e presidente di turno della Comunità, quella della Santa Sede — primo consesso di Stati cui partecipava a pieno titolo dal Congresso di Vienna — e quella della Turchia. Il corpus la registra come l'unica triangolazione certa fra i suoi oggetti, e la registra per ciò che è: comunanza di sede documentata, non concertazione.</w:t>
      </w:r>
    </w:p>
    <w:p>
      <w:pPr>
        <w:spacing w:after="120" w:line="276"/>
        <w:jc w:val="both"/>
      </w:pPr>
      <w:r>
        <w:rPr>
          <w:rFonts w:ascii="Barlow Semi Condensed" w:cs="Barlow Semi Condensed" w:eastAsia="Barlow Semi Condensed" w:hAnsi="Barlow Semi Condensed"/>
          <w:b/>
          <w:bCs/>
          <w:sz w:val="24"/>
          <w:szCs w:val="24"/>
        </w:rPr>
        <w:t xml:space="preserve">537 · Comunanza di sede non è vettore.</w:t>
      </w:r>
      <w:r>
        <w:rPr>
          <w:rFonts w:ascii="Barlow Semi Condensed" w:cs="Barlow Semi Condensed" w:eastAsia="Barlow Semi Condensed" w:hAnsi="Barlow Semi Condensed"/>
          <w:sz w:val="24"/>
          <w:szCs w:val="24"/>
        </w:rPr>
        <w:t xml:space="preserve"> La ricognizione della Farnesina lo scrive nella forma più netta: la coincidenza fra le sedi multilaterali in cui erano presenti la delegazione italiana e quella vaticana è comunanza di ambiente accertata, e nessuna fonte reperita documenta contatti operativi o istruzioni concordate. La conferenza è un luogo, non un canale. Diventa canale solo se si documenta un contenuto che vi transitò fra due delegazioni determinate, con la carta di almeno una delle due.</w:t>
      </w:r>
    </w:p>
    <w:p>
      <w:pPr>
        <w:spacing w:after="120" w:line="276"/>
        <w:jc w:val="both"/>
      </w:pPr>
      <w:r>
        <w:rPr>
          <w:rFonts w:ascii="Barlow Semi Condensed" w:cs="Barlow Semi Condensed" w:eastAsia="Barlow Semi Condensed" w:hAnsi="Barlow Semi Condensed"/>
          <w:b/>
          <w:bCs/>
          <w:sz w:val="24"/>
          <w:szCs w:val="24"/>
        </w:rPr>
        <w:t xml:space="preserve">538 · Il sigillo e il vettore muto.</w:t>
      </w:r>
      <w:r>
        <w:rPr>
          <w:rFonts w:ascii="Barlow Semi Condensed" w:cs="Barlow Semi Condensed" w:eastAsia="Barlow Semi Condensed" w:hAnsi="Barlow Semi Condensed"/>
          <w:sz w:val="24"/>
          <w:szCs w:val="24"/>
        </w:rPr>
        <w:t xml:space="preserve"> Alcuni canali sono per statuto non documentabili nel merito: il confessore, il medico, il difensore. Non è opacità sospetta, è disciplina professionale antica e riconosciuta dagli ordinamenti. La regola del corpus è di censire la funzione senza presumerne il contenuto, e di cercare le tracce collaterali che quella funzione lascia comunque — nomine, spostamenti, autorizzazioni, registri d'ingresso. Si accerta il perimetro, e si dichiara che il centro è precluso.</w:t>
      </w:r>
    </w:p>
    <w:p>
      <w:pPr>
        <w:spacing w:after="120" w:line="276"/>
        <w:jc w:val="both"/>
      </w:pPr>
      <w:r>
        <w:rPr>
          <w:rFonts w:ascii="Barlow Semi Condensed" w:cs="Barlow Semi Condensed" w:eastAsia="Barlow Semi Condensed" w:hAnsi="Barlow Semi Condensed"/>
          <w:b/>
          <w:bCs/>
          <w:sz w:val="24"/>
          <w:szCs w:val="24"/>
        </w:rPr>
        <w:t xml:space="preserve">539 · Stato Zero sul versante confessionale.</w:t>
      </w:r>
      <w:r>
        <w:rPr>
          <w:rFonts w:ascii="Barlow Semi Condensed" w:cs="Barlow Semi Condensed" w:eastAsia="Barlow Semi Condensed" w:hAnsi="Barlow Semi Condensed"/>
          <w:sz w:val="24"/>
          <w:szCs w:val="24"/>
        </w:rPr>
        <w:t xml:space="preserve"> La cartella Farnesina registra un esito negativo che vale come modello di scrittura: nelle fonti edite non emerge una presa di posizione documentata della Farnesina di Moro sulle minoranze cristiane di Turchia né sulla chiusura del Seminario di Halki nel 1971, e l'esito è dichiarato con la sede d'archivio dove chiuderlo. È così che si scrive uno Stato Zero su un canale: nominando la ricerca compiuta, non il silenzio trovato.</w:t>
      </w:r>
    </w:p>
    <w:p>
      <w:pPr>
        <w:spacing w:after="120" w:line="276"/>
        <w:jc w:val="both"/>
      </w:pPr>
      <w:r>
        <w:rPr>
          <w:rFonts w:ascii="Barlow Semi Condensed" w:cs="Barlow Semi Condensed" w:eastAsia="Barlow Semi Condensed" w:hAnsi="Barlow Semi Condensed"/>
          <w:b/>
          <w:bCs/>
          <w:sz w:val="24"/>
          <w:szCs w:val="24"/>
        </w:rPr>
        <w:t xml:space="preserve">540 · Il vettore che non sa.</w:t>
      </w:r>
      <w:r>
        <w:rPr>
          <w:rFonts w:ascii="Barlow Semi Condensed" w:cs="Barlow Semi Condensed" w:eastAsia="Barlow Semi Condensed" w:hAnsi="Barlow Semi Condensed"/>
          <w:sz w:val="24"/>
          <w:szCs w:val="24"/>
        </w:rPr>
        <w:t xml:space="preserve"> Si chiama vettore inconsapevole chi trasmette senza conoscere ciò che trasmette: il corriere che porta una busta chiusa, l'ufficio che smista una segnalazione secondo criterio, il giornale che pubblica un'informazione veritiera fornitagli a fini altrui. È la figura più comune e la meno trattata. La sua esistenza rompe ogni inferenza che vada dal canale all'intenzione: fra il transito e la volontà di far transitare quel contenuto sta un accertamento in più.</w:t>
      </w:r>
    </w:p>
    <w:p>
      <w:pPr>
        <w:spacing w:after="120" w:line="276"/>
        <w:jc w:val="both"/>
      </w:pPr>
      <w:r>
        <w:rPr>
          <w:rFonts w:ascii="Barlow Semi Condensed" w:cs="Barlow Semi Condensed" w:eastAsia="Barlow Semi Condensed" w:hAnsi="Barlow Semi Condensed"/>
          <w:b/>
          <w:bCs/>
          <w:sz w:val="24"/>
          <w:szCs w:val="24"/>
        </w:rPr>
        <w:t xml:space="preserve">541 · La busta chiusa.</w:t>
      </w:r>
      <w:r>
        <w:rPr>
          <w:rFonts w:ascii="Barlow Semi Condensed" w:cs="Barlow Semi Condensed" w:eastAsia="Barlow Semi Condensed" w:hAnsi="Barlow Semi Condensed"/>
          <w:sz w:val="24"/>
          <w:szCs w:val="24"/>
        </w:rPr>
        <w:t xml:space="preserve"> Il caso limite chiarisce la regola: chi consegna una busta sigillata trasmette il contenitore, non il contenuto. Documentare la consegna — data, mani, ricevuta — è documentare il vettore per intero e il contenuto per nulla. Un corpus disciplinato scrive esattamente questo e resiste alla pressione di scrivere di più. La consegna accertata è un fatto di grado alto; il contenuto presunto è congettura, e il primo non promuove il secondo.</w:t>
      </w:r>
    </w:p>
    <w:p>
      <w:pPr>
        <w:spacing w:after="120" w:line="276"/>
        <w:jc w:val="both"/>
      </w:pPr>
      <w:r>
        <w:rPr>
          <w:rFonts w:ascii="Barlow Semi Condensed" w:cs="Barlow Semi Condensed" w:eastAsia="Barlow Semi Condensed" w:hAnsi="Barlow Semi Condensed"/>
          <w:b/>
          <w:bCs/>
          <w:sz w:val="24"/>
          <w:szCs w:val="24"/>
        </w:rPr>
        <w:t xml:space="preserve">542 · Il traduttore e la mutazione lecita.</w:t>
      </w:r>
      <w:r>
        <w:rPr>
          <w:rFonts w:ascii="Barlow Semi Condensed" w:cs="Barlow Semi Condensed" w:eastAsia="Barlow Semi Condensed" w:hAnsi="Barlow Semi Condensed"/>
          <w:sz w:val="24"/>
          <w:szCs w:val="24"/>
        </w:rPr>
        <w:t xml:space="preserve"> Il traduttore è un vettore che introduce necessariamente variazione, e la introduce in buona fede. Una durezza politica resa in un'altra lingua può diventare minaccia; una minaccia può attenuarsi in rilievo. Il corpus registra due smentite italiane qualificate che divergono proprio su questo: chi distingue il rimprovero aspro dalla minaccia e chi parla di solo un problema di linguaggio. Nessuno dei due era presente al colloquio riservato.</w:t>
      </w:r>
    </w:p>
    <w:p>
      <w:pPr>
        <w:spacing w:after="120" w:line="276"/>
        <w:jc w:val="both"/>
      </w:pPr>
      <w:r>
        <w:rPr>
          <w:rFonts w:ascii="Barlow Semi Condensed" w:cs="Barlow Semi Condensed" w:eastAsia="Barlow Semi Condensed" w:hAnsi="Barlow Semi Condensed"/>
          <w:b/>
          <w:bCs/>
          <w:sz w:val="24"/>
          <w:szCs w:val="24"/>
        </w:rPr>
        <w:t xml:space="preserve">543 · Lo smistamento come atto documentabile.</w:t>
      </w:r>
      <w:r>
        <w:rPr>
          <w:rFonts w:ascii="Barlow Semi Condensed" w:cs="Barlow Semi Condensed" w:eastAsia="Barlow Semi Condensed" w:hAnsi="Barlow Semi Condensed"/>
          <w:sz w:val="24"/>
          <w:szCs w:val="24"/>
        </w:rPr>
        <w:t xml:space="preserve"> Il blocco 213 del manuale fissa lo schema-dati che rende accertabile un vettore burocratico: data e ora, canale d'ingresso, ufficio ricevente, protocollo, oggetto in sintesi, classificazione attribuita, smistamento, atti conseguenti, ritorno, trasmissione all'autorità giudiziaria, esito finale, carte collegate. Un funzionario che smista secondo criterio è un vettore inconsapevole per definizione, e quei campi dicono che cosa fece senza dire che cosa sapesse, che è la separazione richiesta.</w:t>
      </w:r>
    </w:p>
    <w:p>
      <w:pPr>
        <w:spacing w:after="120" w:line="276"/>
        <w:jc w:val="both"/>
      </w:pPr>
      <w:r>
        <w:rPr>
          <w:rFonts w:ascii="Barlow Semi Condensed" w:cs="Barlow Semi Condensed" w:eastAsia="Barlow Semi Condensed" w:hAnsi="Barlow Semi Condensed"/>
          <w:b/>
          <w:bCs/>
          <w:sz w:val="24"/>
          <w:szCs w:val="24"/>
        </w:rPr>
        <w:t xml:space="preserve">544 · L'inconsapevolezza spezza la catena.</w:t>
      </w:r>
      <w:r>
        <w:rPr>
          <w:rFonts w:ascii="Barlow Semi Condensed" w:cs="Barlow Semi Condensed" w:eastAsia="Barlow Semi Condensed" w:hAnsi="Barlow Semi Condensed"/>
          <w:sz w:val="24"/>
          <w:szCs w:val="24"/>
        </w:rPr>
        <w:t xml:space="preserve"> Se anche un vettore fosse accertato al piano uno in ogni suo anello, la catena inferenziale si interrompe là dove un anello non sapeva. Chi non conosce il contenuto non può averlo voluto, e senza volontà non vi è condotta imputabile: è il principio personalistico che il corpus applica dovunque, tradotto in teoria dei canali. Ne discende che la prova di un vettore non è mai, da sola, prova di un concorso.</w:t>
      </w:r>
    </w:p>
    <w:p>
      <w:pPr>
        <w:spacing w:after="120" w:line="276"/>
        <w:jc w:val="both"/>
      </w:pPr>
      <w:r>
        <w:rPr>
          <w:rFonts w:ascii="Barlow Semi Condensed" w:cs="Barlow Semi Condensed" w:eastAsia="Barlow Semi Condensed" w:hAnsi="Barlow Semi Condensed"/>
          <w:b/>
          <w:bCs/>
          <w:sz w:val="24"/>
          <w:szCs w:val="24"/>
        </w:rPr>
        <w:t xml:space="preserve">545 · Vietato retroattribuire la consapevolezza.</w:t>
      </w:r>
      <w:r>
        <w:rPr>
          <w:rFonts w:ascii="Barlow Semi Condensed" w:cs="Barlow Semi Condensed" w:eastAsia="Barlow Semi Condensed" w:hAnsi="Barlow Semi Condensed"/>
          <w:sz w:val="24"/>
          <w:szCs w:val="24"/>
        </w:rPr>
        <w:t xml:space="preserve"> L'errore speculare è la retroattribuzione: sapere oggi che cosa passò per un canale e concludere che chi lo teneva lo sapesse allora. È la forma temporale dell'inferenza vietata, e si smonta con la cronologia, cioè con il blocco 14 del manuale, che colloca la tavola delle date prima di ogni lettura. Un acquisto del 1979 non prova nulla sul 1978, e una consapevolezza del 1990 non retroagisce sul comportamento del 1978.</w:t>
      </w:r>
    </w:p>
    <w:p>
      <w:pPr>
        <w:spacing w:after="120" w:line="276"/>
        <w:jc w:val="both"/>
      </w:pPr>
      <w:r>
        <w:rPr>
          <w:rFonts w:ascii="Barlow Semi Condensed" w:cs="Barlow Semi Condensed" w:eastAsia="Barlow Semi Condensed" w:hAnsi="Barlow Semi Condensed"/>
          <w:b/>
          <w:bCs/>
          <w:sz w:val="24"/>
          <w:szCs w:val="24"/>
        </w:rPr>
        <w:t xml:space="preserve">546 · Il mito trasmesso e travisato.</w:t>
      </w:r>
      <w:r>
        <w:rPr>
          <w:rFonts w:ascii="Barlow Semi Condensed" w:cs="Barlow Semi Condensed" w:eastAsia="Barlow Semi Condensed" w:hAnsi="Barlow Semi Condensed"/>
          <w:sz w:val="24"/>
          <w:szCs w:val="24"/>
        </w:rPr>
        <w:t xml:space="preserve"> Il corpus documenta un vettore inconsapevole di grande portata: le Brigate Rosse assunsero Guevara a modello dichiarato, e il tramite materiale di quel modello in Italia fu un'operazione editoriale conclusa anni prima e per fini diversi. Feltrinelli fu iniziatore, non mandante, e morì sei anni prima di via Fani. Chi fabbrica un simbolo non governa gli usi che altri ne faranno: è la definizione stessa della trasmissione orizzontale.</w:t>
      </w:r>
    </w:p>
    <w:p>
      <w:pPr>
        <w:spacing w:after="120" w:line="276"/>
        <w:jc w:val="both"/>
      </w:pPr>
      <w:r>
        <w:rPr>
          <w:rFonts w:ascii="Barlow Semi Condensed" w:cs="Barlow Semi Condensed" w:eastAsia="Barlow Semi Condensed" w:hAnsi="Barlow Semi Condensed"/>
          <w:b/>
          <w:bCs/>
          <w:sz w:val="24"/>
          <w:szCs w:val="24"/>
        </w:rPr>
        <w:t xml:space="preserve">547 · La mutazione nel canale.</w:t>
      </w:r>
      <w:r>
        <w:rPr>
          <w:rFonts w:ascii="Barlow Semi Condensed" w:cs="Barlow Semi Condensed" w:eastAsia="Barlow Semi Condensed" w:hAnsi="Barlow Semi Condensed"/>
          <w:sz w:val="24"/>
          <w:szCs w:val="24"/>
        </w:rPr>
        <w:t xml:space="preserve"> La lente genetica offre qui il suo servizio migliore. Un contenuto che passa per vettori successivi muta a ogni passaggio, e la mutazione non richiede malafede: basta la selezione di ciò che si ritiene rilevante. Il corpus lo ha misurato sul caso concreto, perché il Che dei diari e il Che dei muri non sono lo stesso contenuto. Ricostruire la catena delle mutazioni è indagine legittima; attribuirle tutte all'emittente non lo è.</w:t>
      </w:r>
    </w:p>
    <w:p>
      <w:pPr>
        <w:spacing w:after="120" w:line="276"/>
        <w:jc w:val="both"/>
      </w:pPr>
      <w:r>
        <w:rPr>
          <w:rFonts w:ascii="Barlow Semi Condensed" w:cs="Barlow Semi Condensed" w:eastAsia="Barlow Semi Condensed" w:hAnsi="Barlow Semi Condensed"/>
          <w:b/>
          <w:bCs/>
          <w:sz w:val="24"/>
          <w:szCs w:val="24"/>
        </w:rPr>
        <w:t xml:space="preserve">548 · Il rumore del canale.</w:t>
      </w:r>
      <w:r>
        <w:rPr>
          <w:rFonts w:ascii="Barlow Semi Condensed" w:cs="Barlow Semi Condensed" w:eastAsia="Barlow Semi Condensed" w:hAnsi="Barlow Semi Condensed"/>
          <w:sz w:val="24"/>
          <w:szCs w:val="24"/>
        </w:rPr>
        <w:t xml:space="preserve"> Ogni vettore aggiunge rumore: dettagli perduti, date arrotondate, nomi sostituiti. La nota di revisione del nodo M-5 lo mostra in laboratorio: la vedova parlò di un'alta personalità senza nominarla, e fu il presidente della corte, richiamando il teste de relato, a ottenere l'indicazione del nome. L'attribuzione del nome è essa stessa indiretta. Un nome che entra in un canale a un passaggio successivo non ha il grado del fatto originario.</w:t>
      </w:r>
    </w:p>
    <w:p>
      <w:pPr>
        <w:spacing w:after="120" w:line="276"/>
        <w:jc w:val="both"/>
      </w:pPr>
      <w:r>
        <w:rPr>
          <w:rFonts w:ascii="Barlow Semi Condensed" w:cs="Barlow Semi Condensed" w:eastAsia="Barlow Semi Condensed" w:hAnsi="Barlow Semi Condensed"/>
          <w:b/>
          <w:bCs/>
          <w:sz w:val="24"/>
          <w:szCs w:val="24"/>
        </w:rPr>
        <w:t xml:space="preserve">549 · Il vettore che nega.</w:t>
      </w:r>
      <w:r>
        <w:rPr>
          <w:rFonts w:ascii="Barlow Semi Condensed" w:cs="Barlow Semi Condensed" w:eastAsia="Barlow Semi Condensed" w:hAnsi="Barlow Semi Condensed"/>
          <w:sz w:val="24"/>
          <w:szCs w:val="24"/>
        </w:rPr>
        <w:t xml:space="preserve"> Kissinger ha negato l'episodio dell'avvertimento in forma diretta e circostanziata poco prima della morte, e in forma anteriore e generica già nel 1983, quando ammetteva la propria contrarietà all'ingresso dei comunisti al governo ma smentiva di aver rimproverato Moro. Non fu mai sentito dai magistrati italiani. Una testimonianza contestata si riporta con la contestazione: il grado resta B debole, e nessun blocco può scrivere l'episodio come accaduto.</w:t>
      </w:r>
    </w:p>
    <w:p>
      <w:pPr>
        <w:spacing w:after="120" w:line="276"/>
        <w:jc w:val="both"/>
      </w:pPr>
      <w:r>
        <w:rPr>
          <w:rFonts w:ascii="Barlow Semi Condensed" w:cs="Barlow Semi Condensed" w:eastAsia="Barlow Semi Condensed" w:hAnsi="Barlow Semi Condensed"/>
          <w:b/>
          <w:bCs/>
          <w:sz w:val="24"/>
          <w:szCs w:val="24"/>
        </w:rPr>
        <w:t xml:space="preserve">550 · Omologia e analogia fra canali.</w:t>
      </w:r>
      <w:r>
        <w:rPr>
          <w:rFonts w:ascii="Barlow Semi Condensed" w:cs="Barlow Semi Condensed" w:eastAsia="Barlow Semi Condensed" w:hAnsi="Barlow Semi Condensed"/>
          <w:sz w:val="24"/>
          <w:szCs w:val="24"/>
        </w:rPr>
        <w:t xml:space="preserve"> In biologia l'omologia è somiglianza per discendenza comune, l'analogia somiglianza per funzione convergente. Applicata ai canali: due vettori possono assomigliarsi perché derivano dalla stessa prassi, come l'ambasciata ottocentesca e quella novecentesca, oppure perché risolvono lo stesso problema in modi indipendenti. Solo l'omologia autorizza a leggere l'uno attraverso l'altro. La dietrologia vive di analogie scambiate per omologie, ed è un errore tassonomico prima che un errore morale.</w:t>
      </w:r>
    </w:p>
    <w:p>
      <w:pPr>
        <w:spacing w:after="120" w:line="276"/>
        <w:jc w:val="both"/>
      </w:pPr>
      <w:r>
        <w:rPr>
          <w:rFonts w:ascii="Barlow Semi Condensed" w:cs="Barlow Semi Condensed" w:eastAsia="Barlow Semi Condensed" w:hAnsi="Barlow Semi Condensed"/>
          <w:b/>
          <w:bCs/>
          <w:sz w:val="24"/>
          <w:szCs w:val="24"/>
        </w:rPr>
        <w:t xml:space="preserve">551 · Fenotipo e genotipo del canale.</w:t>
      </w:r>
      <w:r>
        <w:rPr>
          <w:rFonts w:ascii="Barlow Semi Condensed" w:cs="Barlow Semi Condensed" w:eastAsia="Barlow Semi Condensed" w:hAnsi="Barlow Semi Condensed"/>
          <w:sz w:val="24"/>
          <w:szCs w:val="24"/>
        </w:rPr>
        <w:t xml:space="preserve"> Il fenotipo di un vettore è ciò che si vede: la visita, la firma, l'articolo pubblicato. Il genotipo è la regola interna che lo produce: l'istruzione, la prassi d'ufficio, la linea. Il corpus può quasi sempre accertare il primo e quasi mai il secondo. Dichiarare quale dei due si stia descrivendo è un obbligo di scrittura, perché il lettore, se non glielo si dice, legge invariabilmente il secondo.</w:t>
      </w:r>
    </w:p>
    <w:p>
      <w:pPr>
        <w:spacing w:after="120" w:line="276"/>
        <w:jc w:val="both"/>
      </w:pPr>
      <w:r>
        <w:rPr>
          <w:rFonts w:ascii="Barlow Semi Condensed" w:cs="Barlow Semi Condensed" w:eastAsia="Barlow Semi Condensed" w:hAnsi="Barlow Semi Condensed"/>
          <w:b/>
          <w:bCs/>
          <w:sz w:val="24"/>
          <w:szCs w:val="24"/>
        </w:rPr>
        <w:t xml:space="preserve">552 · Il DNA non codificante del sistema.</w:t>
      </w:r>
      <w:r>
        <w:rPr>
          <w:rFonts w:ascii="Barlow Semi Condensed" w:cs="Barlow Semi Condensed" w:eastAsia="Barlow Semi Condensed" w:hAnsi="Barlow Semi Condensed"/>
          <w:sz w:val="24"/>
          <w:szCs w:val="24"/>
        </w:rPr>
        <w:t xml:space="preserve"> Gran parte di un genoma non codifica proteine; gran parte dei canali di un sistema politico non trasmette nulla di decisivo. Corrispondenza di cortesia, visite protocollari, presenze a conferenze: esistono, sono documentate, e non esprimono. La regola dei buchi di Burt, adottata dal corpus, ha qui il suo corrispettivo positivo: non solo i vuoti vanno misurati e non riempiti, ma anche i pieni inerti vanno riconosciuti per ciò che sono.</w:t>
      </w:r>
    </w:p>
    <w:p>
      <w:pPr>
        <w:spacing w:after="120" w:line="276"/>
        <w:jc w:val="both"/>
      </w:pPr>
      <w:r>
        <w:rPr>
          <w:rFonts w:ascii="Barlow Semi Condensed" w:cs="Barlow Semi Condensed" w:eastAsia="Barlow Semi Condensed" w:hAnsi="Barlow Semi Condensed"/>
          <w:b/>
          <w:bCs/>
          <w:sz w:val="24"/>
          <w:szCs w:val="24"/>
        </w:rPr>
        <w:t xml:space="preserve">553 · L'epigenetica dei canali.</w:t>
      </w:r>
      <w:r>
        <w:rPr>
          <w:rFonts w:ascii="Barlow Semi Condensed" w:cs="Barlow Semi Condensed" w:eastAsia="Barlow Semi Condensed" w:hAnsi="Barlow Semi Condensed"/>
          <w:sz w:val="24"/>
          <w:szCs w:val="24"/>
        </w:rPr>
        <w:t xml:space="preserve"> Un canale può esistere da anni e attivarsi soltanto in certe condizioni: una crisi, un cambio di governo, un sequestro. L'analogia epigenetica è utile perché sposta la domanda dal se esiste al quando si accende, che è domanda datata e quindi verificabile. Il quesito operativo diventa: quali carte documentino l'attivazione, e in quale settimana. Un canale sempre esistito e mai attivato non spiega nulla di ciò che accadde in una data.</w:t>
      </w:r>
    </w:p>
    <w:p>
      <w:pPr>
        <w:spacing w:after="120" w:line="276"/>
        <w:jc w:val="both"/>
      </w:pPr>
      <w:r>
        <w:rPr>
          <w:rFonts w:ascii="Barlow Semi Condensed" w:cs="Barlow Semi Condensed" w:eastAsia="Barlow Semi Condensed" w:hAnsi="Barlow Semi Condensed"/>
          <w:b/>
          <w:bCs/>
          <w:sz w:val="24"/>
          <w:szCs w:val="24"/>
        </w:rPr>
        <w:t xml:space="preserve">554 · Espressione differenziale secondo l'ambiente (serie VII).</w:t>
      </w:r>
      <w:r>
        <w:rPr>
          <w:rFonts w:ascii="Barlow Semi Condensed" w:cs="Barlow Semi Condensed" w:eastAsia="Barlow Semi Condensed" w:hAnsi="Barlow Semi Condensed"/>
          <w:sz w:val="24"/>
          <w:szCs w:val="24"/>
        </w:rPr>
        <w:t xml:space="preserve"> Lo stesso vettore produce esiti opposti in ambienti diversi, e il corpus ne ha un esempio nel proprio materiale: il medesimo tavolo di Washington che nel marzo 1969 non trovò reale giustificazione per riprendere il finanziamento coperto ai partiti italiani autorizzò altrove operazioni ben più estese. Uguale struttura, decisioni diverse. Ne discende il divieto di dedurre la decisione italiana da quella presa su un altro Paese: l'ambiente è parte della causa.</w:t>
      </w:r>
    </w:p>
    <w:p>
      <w:pPr>
        <w:spacing w:after="120" w:line="276"/>
        <w:jc w:val="both"/>
      </w:pPr>
      <w:r>
        <w:rPr>
          <w:rFonts w:ascii="Barlow Semi Condensed" w:cs="Barlow Semi Condensed" w:eastAsia="Barlow Semi Condensed" w:hAnsi="Barlow Semi Condensed"/>
          <w:b/>
          <w:bCs/>
          <w:sz w:val="24"/>
          <w:szCs w:val="24"/>
        </w:rPr>
        <w:t xml:space="preserve">555 · Dove la metafora spinge al determinismo.</w:t>
      </w:r>
      <w:r>
        <w:rPr>
          <w:rFonts w:ascii="Barlow Semi Condensed" w:cs="Barlow Semi Condensed" w:eastAsia="Barlow Semi Condensed" w:hAnsi="Barlow Semi Condensed"/>
          <w:sz w:val="24"/>
          <w:szCs w:val="24"/>
        </w:rPr>
        <w:t xml:space="preserve"> La lente genetica ha un vizio che va nominato e fermato: suggerisce che ciò che è trasmesso debba esprimersi. Nella storia non è così, perché un'idea può restare inerte per decenni e un canale può portare un contenuto che nessuno raccoglie. Ogni volta che la metafora induce a scrivere che doveva accadere, il blocco si ferma e riscrive al modo indicativo dei fatti accertati. La metafora serve a fare domande, non a chiuderle.</w:t>
      </w:r>
    </w:p>
    <w:p>
      <w:pPr>
        <w:spacing w:after="120" w:line="276"/>
        <w:jc w:val="both"/>
      </w:pPr>
      <w:r>
        <w:rPr>
          <w:rFonts w:ascii="Barlow Semi Condensed" w:cs="Barlow Semi Condensed" w:eastAsia="Barlow Semi Condensed" w:hAnsi="Barlow Semi Condensed"/>
          <w:b/>
          <w:bCs/>
          <w:sz w:val="24"/>
          <w:szCs w:val="24"/>
        </w:rPr>
        <w:t xml:space="preserve">556 · Nessuna colpa si eredita (serie VII).</w:t>
      </w:r>
      <w:r>
        <w:rPr>
          <w:rFonts w:ascii="Barlow Semi Condensed" w:cs="Barlow Semi Condensed" w:eastAsia="Barlow Semi Condensed" w:hAnsi="Barlow Semi Condensed"/>
          <w:sz w:val="24"/>
          <w:szCs w:val="24"/>
        </w:rPr>
        <w:t xml:space="preserve"> Il divieto è assoluto e viene prima della metafora. Il blocco 5 del manuale lo enuncia: la colpa non è mai del gruppo ed è sempre della persona, l'appartenenza non è condotta, la parentela non è canale. Il blocco 157 lo stampa in testa a ogni richiesta agli eredi, perché nessuno risponde dei propri congiunti. Se la lente genetica suggerisce lignaggi di responsabilità, la lente va deposta, e questo blocco esiste per deporla.</w:t>
      </w:r>
    </w:p>
    <w:p>
      <w:pPr>
        <w:spacing w:after="120" w:line="276"/>
        <w:jc w:val="both"/>
      </w:pPr>
      <w:r>
        <w:rPr>
          <w:rFonts w:ascii="Barlow Semi Condensed" w:cs="Barlow Semi Condensed" w:eastAsia="Barlow Semi Condensed" w:hAnsi="Barlow Semi Condensed"/>
          <w:b/>
          <w:bCs/>
          <w:sz w:val="24"/>
          <w:szCs w:val="24"/>
        </w:rPr>
        <w:t xml:space="preserve">557 · La filogenesi dei canali.</w:t>
      </w:r>
      <w:r>
        <w:rPr>
          <w:rFonts w:ascii="Barlow Semi Condensed" w:cs="Barlow Semi Condensed" w:eastAsia="Barlow Semi Condensed" w:hAnsi="Barlow Semi Condensed"/>
          <w:sz w:val="24"/>
          <w:szCs w:val="24"/>
        </w:rPr>
        <w:t xml:space="preserve"> Si può ricostruire l'albero delle prassi — come una tecnica di mediazione, un formato di dispaccio, un modello di comitato di crisi passino da un Paese all'altro — e la ricostruzione è storia legittima e poco praticata. Ciò che l'albero non produce mai è un mandante: la genealogia di una prassi non attribuisce la responsabilità di un atto compiuto con quella prassi. È lo stesso confine che separa il ceppo del 1969 dall'agguato del 1978.</w:t>
      </w:r>
    </w:p>
    <w:p>
      <w:pPr>
        <w:spacing w:after="120" w:line="276"/>
        <w:jc w:val="both"/>
      </w:pPr>
      <w:r>
        <w:rPr>
          <w:rFonts w:ascii="Barlow Semi Condensed" w:cs="Barlow Semi Condensed" w:eastAsia="Barlow Semi Condensed" w:hAnsi="Barlow Semi Condensed"/>
          <w:b/>
          <w:bCs/>
          <w:sz w:val="24"/>
          <w:szCs w:val="24"/>
        </w:rPr>
        <w:t xml:space="preserve">558 · Il vettore davanti al giudicato.</w:t>
      </w:r>
      <w:r>
        <w:rPr>
          <w:rFonts w:ascii="Barlow Semi Condensed" w:cs="Barlow Semi Condensed" w:eastAsia="Barlow Semi Condensed" w:hAnsi="Barlow Semi Condensed"/>
          <w:sz w:val="24"/>
          <w:szCs w:val="24"/>
        </w:rPr>
        <w:t xml:space="preserve"> Nessuna acquisizione di questa serie tocca il pavimento del caso: cinque processi definitivi hanno stabilito che le Brigate Rosse idearono, ordinarono ed eseguirono il sequestro e l'omicidio di Aldo Moro. Henry Alfred Kissinger, nato a Fürth il 27 maggio 1923 e morto a Kent nel Connecticut il 29 novembre 2023, non fu mai condannato in alcun processo né imputato per quei fatti. Un vettore documentato non aggiunge nomi al registro.</w:t>
      </w:r>
    </w:p>
    <w:p>
      <w:pPr>
        <w:spacing w:after="120" w:line="276"/>
        <w:jc w:val="both"/>
      </w:pPr>
      <w:r>
        <w:rPr>
          <w:rFonts w:ascii="Barlow Semi Condensed" w:cs="Barlow Semi Condensed" w:eastAsia="Barlow Semi Condensed" w:hAnsi="Barlow Semi Condensed"/>
          <w:b/>
          <w:bCs/>
          <w:sz w:val="24"/>
          <w:szCs w:val="24"/>
        </w:rPr>
        <w:t xml:space="preserve">559 · Bilancio dei vettori della serie.</w:t>
      </w:r>
      <w:r>
        <w:rPr>
          <w:rFonts w:ascii="Barlow Semi Condensed" w:cs="Barlow Semi Condensed" w:eastAsia="Barlow Semi Condensed" w:hAnsi="Barlow Semi Condensed"/>
          <w:sz w:val="24"/>
          <w:szCs w:val="24"/>
        </w:rPr>
        <w:t xml:space="preserve"> La serie ha censito vettori di quattro generi. Documentati al piano uno: i verbali dello Studio Ovale del settembre 1974, l'operazione editoriale del 1967-68, il finanziamento cileno accertato dal rapporto del 1975. Documentati nell'esistenza e ignoti nel contenuto: i canali ecclesiastici dei cinquantacinque giorni. Comunanze di sede: Helsinki. Stati Zero: il vettore di stampa italiano finanziato, con la sede indicata. Nessuno di essi costituisce un nesso causale.</w:t>
      </w:r>
    </w:p>
    <w:p>
      <w:pPr>
        <w:spacing w:after="120" w:line="276"/>
        <w:jc w:val="both"/>
      </w:pPr>
      <w:r>
        <w:rPr>
          <w:rFonts w:ascii="Barlow Semi Condensed" w:cs="Barlow Semi Condensed" w:eastAsia="Barlow Semi Condensed" w:hAnsi="Barlow Semi Condensed"/>
          <w:b/>
          <w:bCs/>
          <w:sz w:val="24"/>
          <w:szCs w:val="24"/>
        </w:rPr>
        <w:t xml:space="preserve">560 · Congedo della serie settima.</w:t>
      </w:r>
      <w:r>
        <w:rPr>
          <w:rFonts w:ascii="Barlow Semi Condensed" w:cs="Barlow Semi Condensed" w:eastAsia="Barlow Semi Condensed" w:hAnsi="Barlow Semi Condensed"/>
          <w:sz w:val="24"/>
          <w:szCs w:val="24"/>
        </w:rPr>
        <w:t xml:space="preserve"> Che cosa aggiunge questa serie: un criterio per distinguere un canale da un incontro, un metro esterno per misurare quanto materiale occorra per dire documentato, e un divieto scritto per esteso — dal canale non si deduce il contenuto, dal contenuto non si deduce l'intenzione, dall'intenzione non si deduce l'atto. Il fascicolo resta aperto sui vettori come su tutto il resto, e resta aperto nella forma che consente di chiuderlo: quesiti con sede.</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Serie ottava — La mutazione, l'errore di trascrizione, il falso</w:t>
      </w:r>
    </w:p>
    <w:p>
      <w:pPr>
        <w:spacing w:after="120" w:line="276"/>
        <w:jc w:val="both"/>
      </w:pPr>
      <w:r>
        <w:rPr>
          <w:rFonts w:ascii="Barlow Semi Condensed" w:cs="Barlow Semi Condensed" w:eastAsia="Barlow Semi Condensed" w:hAnsi="Barlow Semi Condensed"/>
          <w:i/>
          <w:iCs/>
          <w:sz w:val="24"/>
          <w:szCs w:val="24"/>
        </w:rPr>
        <w:t xml:space="preserve">Blocchi 561-630.</w:t>
      </w:r>
    </w:p>
    <w:p>
      <w:pPr>
        <w:spacing w:after="120" w:line="276"/>
        <w:jc w:val="both"/>
      </w:pPr>
      <w:r>
        <w:rPr>
          <w:rFonts w:ascii="Barlow Semi Condensed" w:cs="Barlow Semi Condensed" w:eastAsia="Barlow Semi Condensed" w:hAnsi="Barlow Semi Condensed"/>
          <w:b/>
          <w:bCs/>
          <w:sz w:val="24"/>
          <w:szCs w:val="24"/>
        </w:rPr>
        <w:t xml:space="preserve">561 · Il codice, la copia, l'errore.</w:t>
      </w:r>
      <w:r>
        <w:rPr>
          <w:rFonts w:ascii="Barlow Semi Condensed" w:cs="Barlow Semi Condensed" w:eastAsia="Barlow Semi Condensed" w:hAnsi="Barlow Semi Condensed"/>
          <w:sz w:val="24"/>
          <w:szCs w:val="24"/>
        </w:rPr>
        <w:t xml:space="preserve"> La lente dichiarata dal committente — Kissinger come figura della genetica — entra in questa serie dal lato meno lusinghiero del codice: non la potenza replicativa, ma il tasso d'errore. Ogni copia degrada l'originale di una quota misurabile, e la storia si trasmette per copie. L'analogia serve a porre domande di filologia, non ad attribuire nature: nessun testo eredita colpe e nessun uomo è il suo genoma.</w:t>
      </w:r>
    </w:p>
    <w:p>
      <w:pPr>
        <w:spacing w:after="120" w:line="276"/>
        <w:jc w:val="both"/>
      </w:pPr>
      <w:r>
        <w:rPr>
          <w:rFonts w:ascii="Barlow Semi Condensed" w:cs="Barlow Semi Condensed" w:eastAsia="Barlow Semi Condensed" w:hAnsi="Barlow Semi Condensed"/>
          <w:b/>
          <w:bCs/>
          <w:sz w:val="24"/>
          <w:szCs w:val="24"/>
        </w:rPr>
        <w:t xml:space="preserve">562 · Il tasso d'errore non è malizia.</w:t>
      </w:r>
      <w:r>
        <w:rPr>
          <w:rFonts w:ascii="Barlow Semi Condensed" w:cs="Barlow Semi Condensed" w:eastAsia="Barlow Semi Condensed" w:hAnsi="Barlow Semi Condensed"/>
          <w:sz w:val="24"/>
          <w:szCs w:val="24"/>
        </w:rPr>
        <w:t xml:space="preserve"> Prima di ogni sospetto va posta la statistica: in ogni catena di trascrizione una quota di varianti nasce da fretta, stanchezza, cattiva lettura. La regola operativa che questa serie adotta è che l'errore casuale sia l'ipotesi di partenza e il dolo l'ipotesi da provare, mai il contrario. Chi inverte l'ordine costruisce falsari dappertutto e finisce per non riconoscere più i falsari veri quando li incontra.</w:t>
      </w:r>
    </w:p>
    <w:p>
      <w:pPr>
        <w:spacing w:after="120" w:line="276"/>
        <w:jc w:val="both"/>
      </w:pPr>
      <w:r>
        <w:rPr>
          <w:rFonts w:ascii="Barlow Semi Condensed" w:cs="Barlow Semi Condensed" w:eastAsia="Barlow Semi Condensed" w:hAnsi="Barlow Semi Condensed"/>
          <w:b/>
          <w:bCs/>
          <w:sz w:val="24"/>
          <w:szCs w:val="24"/>
        </w:rPr>
        <w:t xml:space="preserve">563 · La variante silente.</w:t>
      </w:r>
      <w:r>
        <w:rPr>
          <w:rFonts w:ascii="Barlow Semi Condensed" w:cs="Barlow Semi Condensed" w:eastAsia="Barlow Semi Condensed" w:hAnsi="Barlow Semi Condensed"/>
          <w:sz w:val="24"/>
          <w:szCs w:val="24"/>
        </w:rPr>
        <w:t xml:space="preserve"> Esiste la variante che non sposta il senso: una paginazione discorde, un accento, una sigla. La triangolazione della Farnesina ne registra una — pagine 69-101 contro 69-102, stessa citazione, stessa fonte, da chiudere sul fascicolo originale. È mutazione silente: irrilevante al contenuto e preziosa alla genealogia, perché marca chi ha copiato da chi. Le varianti innocue sono gli unici marcatori affidabili di parentela fra testi.</w:t>
      </w:r>
    </w:p>
    <w:p>
      <w:pPr>
        <w:spacing w:after="120" w:line="276"/>
        <w:jc w:val="both"/>
      </w:pPr>
      <w:r>
        <w:rPr>
          <w:rFonts w:ascii="Barlow Semi Condensed" w:cs="Barlow Semi Condensed" w:eastAsia="Barlow Semi Condensed" w:hAnsi="Barlow Semi Condensed"/>
          <w:b/>
          <w:bCs/>
          <w:sz w:val="24"/>
          <w:szCs w:val="24"/>
        </w:rPr>
        <w:t xml:space="preserve">564 · La mutazione di senso.</w:t>
      </w:r>
      <w:r>
        <w:rPr>
          <w:rFonts w:ascii="Barlow Semi Condensed" w:cs="Barlow Semi Condensed" w:eastAsia="Barlow Semi Condensed" w:hAnsi="Barlow Semi Condensed"/>
          <w:sz w:val="24"/>
          <w:szCs w:val="24"/>
        </w:rPr>
        <w:t xml:space="preserve"> La variante che sposta il significato senza distruggere il testo è la più insidiosa, perché resta perfettamente leggibile e non allarma nessuno. Una data spostata di due anni lascia la frase intatta e ne cambia l'imputabilità istituzionale. Bersaglio operativo: per ogni affermazione portante del corpus, isolare l'elemento la cui alterazione minima produrrebbe il massimo spostamento di senso, e sottoporlo per primo a verifica su fonte primaria.</w:t>
      </w:r>
    </w:p>
    <w:p>
      <w:pPr>
        <w:spacing w:after="120" w:line="276"/>
        <w:jc w:val="both"/>
      </w:pPr>
      <w:r>
        <w:rPr>
          <w:rFonts w:ascii="Barlow Semi Condensed" w:cs="Barlow Semi Condensed" w:eastAsia="Barlow Semi Condensed" w:hAnsi="Barlow Semi Condensed"/>
          <w:b/>
          <w:bCs/>
          <w:sz w:val="24"/>
          <w:szCs w:val="24"/>
        </w:rPr>
        <w:t xml:space="preserve">565 · La citazione troncata.</w:t>
      </w:r>
      <w:r>
        <w:rPr>
          <w:rFonts w:ascii="Barlow Semi Condensed" w:cs="Barlow Semi Condensed" w:eastAsia="Barlow Semi Condensed" w:hAnsi="Barlow Semi Condensed"/>
          <w:sz w:val="24"/>
          <w:szCs w:val="24"/>
        </w:rPr>
        <w:t xml:space="preserve"> Il taglio anticipato di una citazione produce l'equivalente di un segnale di arresto prematuro: la frase finisce prima e il senso non si forma per intero. Ciò che il troncamento elimina è quasi sempre la subordinata restrittiva — il «ma», il «salvo che», il «a condizione che». Regola di trascrizione: nessuna citazione entra nel corpus senza il periodo completo e il capoverso che la contiene.</w:t>
      </w:r>
    </w:p>
    <w:p>
      <w:pPr>
        <w:spacing w:after="120" w:line="276"/>
        <w:jc w:val="both"/>
      </w:pPr>
      <w:r>
        <w:rPr>
          <w:rFonts w:ascii="Barlow Semi Condensed" w:cs="Barlow Semi Condensed" w:eastAsia="Barlow Semi Condensed" w:hAnsi="Barlow Semi Condensed"/>
          <w:b/>
          <w:bCs/>
          <w:sz w:val="24"/>
          <w:szCs w:val="24"/>
        </w:rPr>
        <w:t xml:space="preserve">566 · Lo slittamento della cornice di lettura.</w:t>
      </w:r>
      <w:r>
        <w:rPr>
          <w:rFonts w:ascii="Barlow Semi Condensed" w:cs="Barlow Semi Condensed" w:eastAsia="Barlow Semi Condensed" w:hAnsi="Barlow Semi Condensed"/>
          <w:sz w:val="24"/>
          <w:szCs w:val="24"/>
        </w:rPr>
        <w:t xml:space="preserve"> Più grave della singola variante è lo spostamento della cornice: un inciso rimosso, e tutto il seguito cambia registro senza che una sola parola sia stata alterata. Una valutazione di dottrina strategica riportata come avvertimento personale è uno slittamento di cornice, non una falsificazione lessicale, e nessun confronto parola per parola lo rileva. Il controllo è uno: ricollocare la frase nel suo genere documentale prima di interpretarla.</w:t>
      </w:r>
    </w:p>
    <w:p>
      <w:pPr>
        <w:spacing w:after="120" w:line="276"/>
        <w:jc w:val="both"/>
      </w:pPr>
      <w:r>
        <w:rPr>
          <w:rFonts w:ascii="Barlow Semi Condensed" w:cs="Barlow Semi Condensed" w:eastAsia="Barlow Semi Condensed" w:hAnsi="Barlow Semi Condensed"/>
          <w:b/>
          <w:bCs/>
          <w:sz w:val="24"/>
          <w:szCs w:val="24"/>
        </w:rPr>
        <w:t xml:space="preserve">567 · La soglia di catastrofe.</w:t>
      </w:r>
      <w:r>
        <w:rPr>
          <w:rFonts w:ascii="Barlow Semi Condensed" w:cs="Barlow Semi Condensed" w:eastAsia="Barlow Semi Condensed" w:hAnsi="Barlow Semi Condensed"/>
          <w:sz w:val="24"/>
          <w:szCs w:val="24"/>
        </w:rPr>
        <w:t xml:space="preserve"> Oltre una certa soglia d'errore l'informazione non è più ricostruibile: la popolazione delle copie si disperde e l'originale non è più deducibile da nessuna di esse. Il corrispettivo documentale è misurabile — quando le riprese di un fatto divergono insieme in data, luogo, formula e testimone, la soglia è superata. Allora l'unico atto lecito è tornare al testimone materiale o dichiarare l'indecidibilità allo stato degli atti.</w:t>
      </w:r>
    </w:p>
    <w:p>
      <w:pPr>
        <w:spacing w:after="120" w:line="276"/>
        <w:jc w:val="both"/>
      </w:pPr>
      <w:r>
        <w:rPr>
          <w:rFonts w:ascii="Barlow Semi Condensed" w:cs="Barlow Semi Condensed" w:eastAsia="Barlow Semi Condensed" w:hAnsi="Barlow Semi Condensed"/>
          <w:b/>
          <w:bCs/>
          <w:sz w:val="24"/>
          <w:szCs w:val="24"/>
        </w:rPr>
        <w:t xml:space="preserve">568 · Nessuna colpa si eredita (serie VIII).</w:t>
      </w:r>
      <w:r>
        <w:rPr>
          <w:rFonts w:ascii="Barlow Semi Condensed" w:cs="Barlow Semi Condensed" w:eastAsia="Barlow Semi Condensed" w:hAnsi="Barlow Semi Condensed"/>
          <w:sz w:val="24"/>
          <w:szCs w:val="24"/>
        </w:rPr>
        <w:t xml:space="preserve"> Qui la metafora va fermata, ed è la fermata più importante della serie. La genetica descrive la trasmissione di caratteri, non di responsabilità. Chi ripete in buona fede una citazione corrotta non è imparentato con chi la corruppe, e un errore non trasmette biasimo lungo la catena dei suoi portatori. Nel corpus l'errore si corregge, il falso si accerta, la persona non si grada: sono tre operazioni distinte.</w:t>
      </w:r>
    </w:p>
    <w:p>
      <w:pPr>
        <w:spacing w:after="120" w:line="276"/>
        <w:jc w:val="both"/>
      </w:pPr>
      <w:r>
        <w:rPr>
          <w:rFonts w:ascii="Barlow Semi Condensed" w:cs="Barlow Semi Condensed" w:eastAsia="Barlow Semi Condensed" w:hAnsi="Barlow Semi Condensed"/>
          <w:b/>
          <w:bCs/>
          <w:sz w:val="24"/>
          <w:szCs w:val="24"/>
        </w:rPr>
        <w:t xml:space="preserve">569 · La regola della prima occorrenza.</w:t>
      </w:r>
      <w:r>
        <w:rPr>
          <w:rFonts w:ascii="Barlow Semi Condensed" w:cs="Barlow Semi Condensed" w:eastAsia="Barlow Semi Condensed" w:hAnsi="Barlow Semi Condensed"/>
          <w:sz w:val="24"/>
          <w:szCs w:val="24"/>
        </w:rPr>
        <w:t xml:space="preserve"> Nessuna citazione è valutabile finché non se ne conosce la prima apparizione documentabile. La regola: risalire di ripresa in ripresa fino al testimone più antico raggiungibile, registrarne data, sede, lingua e forma esatta, e giudicare tutte le riprese successive alla luce di quella sola. Ciò che nasce dopo non può testimoniare su ciò che è nato prima, per quanto autorevole sia chi lo scrive.</w:t>
      </w:r>
    </w:p>
    <w:p>
      <w:pPr>
        <w:spacing w:after="120" w:line="276"/>
        <w:jc w:val="both"/>
      </w:pPr>
      <w:r>
        <w:rPr>
          <w:rFonts w:ascii="Barlow Semi Condensed" w:cs="Barlow Semi Condensed" w:eastAsia="Barlow Semi Condensed" w:hAnsi="Barlow Semi Condensed"/>
          <w:b/>
          <w:bCs/>
          <w:sz w:val="24"/>
          <w:szCs w:val="24"/>
        </w:rPr>
        <w:t xml:space="preserve">570 · Il metodo di risalita.</w:t>
      </w:r>
      <w:r>
        <w:rPr>
          <w:rFonts w:ascii="Barlow Semi Condensed" w:cs="Barlow Semi Condensed" w:eastAsia="Barlow Semi Condensed" w:hAnsi="Barlow Semi Condensed"/>
          <w:sz w:val="24"/>
          <w:szCs w:val="24"/>
        </w:rPr>
        <w:t xml:space="preserve"> Il procedimento è meccanico e va eseguito come tale. Si prende la formula nella sua veste corrente, si cerca la variante anteriore più prossima, si annota se quella fonte cita a sua volta qualcuno, si ripete finché la catena si interrompe. Il punto d'interruzione è il risultato: o un documento, o un testimone in carne e ossa, o il vuoto. Ogni passaggio si verbalizza, compresi i vicoli ciechi.</w:t>
      </w:r>
    </w:p>
    <w:p>
      <w:pPr>
        <w:spacing w:after="120" w:line="276"/>
        <w:jc w:val="both"/>
      </w:pPr>
      <w:r>
        <w:rPr>
          <w:rFonts w:ascii="Barlow Semi Condensed" w:cs="Barlow Semi Condensed" w:eastAsia="Barlow Semi Condensed" w:hAnsi="Barlow Semi Condensed"/>
          <w:b/>
          <w:bCs/>
          <w:sz w:val="24"/>
          <w:szCs w:val="24"/>
        </w:rPr>
        <w:t xml:space="preserve">571 · Ogni testimone porta la sua data.</w:t>
      </w:r>
      <w:r>
        <w:rPr>
          <w:rFonts w:ascii="Barlow Semi Condensed" w:cs="Barlow Semi Condensed" w:eastAsia="Barlow Semi Condensed" w:hAnsi="Barlow Semi Condensed"/>
          <w:sz w:val="24"/>
          <w:szCs w:val="24"/>
        </w:rPr>
        <w:t xml:space="preserve"> Un testimone senza data non è collocabile nell'albero e non serve a nulla. Il modulo minimo ne chiede tre: data di pubblicazione, data di redazione se distinta, data dell'evento riferito. Le tre divergono quasi sempre, e la loro distanza è un dato in sé — una testimonianza resa nel 1982 su un fatto del 1974 ha attraversato otto anni di riprese pubbliche, e va letta sapendolo.</w:t>
      </w:r>
    </w:p>
    <w:p>
      <w:pPr>
        <w:spacing w:after="120" w:line="276"/>
        <w:jc w:val="both"/>
      </w:pPr>
      <w:r>
        <w:rPr>
          <w:rFonts w:ascii="Barlow Semi Condensed" w:cs="Barlow Semi Condensed" w:eastAsia="Barlow Semi Condensed" w:hAnsi="Barlow Semi Condensed"/>
          <w:b/>
          <w:bCs/>
          <w:sz w:val="24"/>
          <w:szCs w:val="24"/>
        </w:rPr>
        <w:t xml:space="preserve">572 · La moltiplicazione apparente delle fonti.</w:t>
      </w:r>
      <w:r>
        <w:rPr>
          <w:rFonts w:ascii="Barlow Semi Condensed" w:cs="Barlow Semi Condensed" w:eastAsia="Barlow Semi Condensed" w:hAnsi="Barlow Semi Condensed"/>
          <w:sz w:val="24"/>
          <w:szCs w:val="24"/>
        </w:rPr>
        <w:t xml:space="preserve"> La nota di revisione al nodo M-5 registra il fenomeno nella sua forma pura: decine di riprese pressoché identiche dell'episodio risalgono a un unico lancio d'agenzia del 30 novembre 2023, il giorno dopo la morte di Kissinger. La rete delle fonti sembra fitta e ha un nodo solo. La ripetizione non produce prova: si contano i testimoni indipendenti, mai le occorrenze.</w:t>
      </w:r>
    </w:p>
    <w:p>
      <w:pPr>
        <w:spacing w:after="120" w:line="276"/>
        <w:jc w:val="both"/>
      </w:pPr>
      <w:r>
        <w:rPr>
          <w:rFonts w:ascii="Barlow Semi Condensed" w:cs="Barlow Semi Condensed" w:eastAsia="Barlow Semi Condensed" w:hAnsi="Barlow Semi Condensed"/>
          <w:b/>
          <w:bCs/>
          <w:sz w:val="24"/>
          <w:szCs w:val="24"/>
        </w:rPr>
        <w:t xml:space="preserve">573 · L'eredità che muta: il vettore.</w:t>
      </w:r>
      <w:r>
        <w:rPr>
          <w:rFonts w:ascii="Barlow Semi Condensed" w:cs="Barlow Semi Condensed" w:eastAsia="Barlow Semi Condensed" w:hAnsi="Barlow Semi Condensed"/>
          <w:sz w:val="24"/>
          <w:szCs w:val="24"/>
        </w:rPr>
        <w:t xml:space="preserve"> La triangolazione Guevara-Moro documenta una trasmissione con mutazione che non è testuale ma iconica: la fotografia di Korda del 1960 fatta manifesto nel 1967, il diario boliviano in edizione italiana nel 1968. Il codice trasmesso è lo stesso; l'espressione cambia con l'ambiente che lo riceve. Il corpus lo registra come vettore documentato e si vieta di leggerlo come catena di comando: è eredità, non ordine.</w:t>
      </w:r>
    </w:p>
    <w:p>
      <w:pPr>
        <w:spacing w:after="120" w:line="276"/>
        <w:jc w:val="both"/>
      </w:pPr>
      <w:r>
        <w:rPr>
          <w:rFonts w:ascii="Barlow Semi Condensed" w:cs="Barlow Semi Condensed" w:eastAsia="Barlow Semi Condensed" w:hAnsi="Barlow Semi Condensed"/>
          <w:b/>
          <w:bCs/>
          <w:sz w:val="24"/>
          <w:szCs w:val="24"/>
        </w:rPr>
        <w:t xml:space="preserve">574 · Lo stemma dei testimoni.</w:t>
      </w:r>
      <w:r>
        <w:rPr>
          <w:rFonts w:ascii="Barlow Semi Condensed" w:cs="Barlow Semi Condensed" w:eastAsia="Barlow Semi Condensed" w:hAnsi="Barlow Semi Condensed"/>
          <w:sz w:val="24"/>
          <w:szCs w:val="24"/>
        </w:rPr>
        <w:t xml:space="preserve"> La filologia possiede da due secoli lo strumento che serve qui: costruire l'albero dei testimoni sulla base degli errori condivisi, perché due copie che sbagliano allo stesso modo discendono dallo stesso antenato. Il manuale investigativo lo prescrive già per il memoriale, ai blocchi 67 e 68, con stemma delle copie e carta delle lacune interne. La serie ne chiede l'estensione alle citazioni ricorrenti del caso.</w:t>
      </w:r>
    </w:p>
    <w:p>
      <w:pPr>
        <w:spacing w:after="120" w:line="276"/>
        <w:jc w:val="both"/>
      </w:pPr>
      <w:r>
        <w:rPr>
          <w:rFonts w:ascii="Barlow Semi Condensed" w:cs="Barlow Semi Condensed" w:eastAsia="Barlow Semi Condensed" w:hAnsi="Barlow Semi Condensed"/>
          <w:b/>
          <w:bCs/>
          <w:sz w:val="24"/>
          <w:szCs w:val="24"/>
        </w:rPr>
        <w:t xml:space="preserve">575 · L'errore congiuntivo come marcatore.</w:t>
      </w:r>
      <w:r>
        <w:rPr>
          <w:rFonts w:ascii="Barlow Semi Condensed" w:cs="Barlow Semi Condensed" w:eastAsia="Barlow Semi Condensed" w:hAnsi="Barlow Semi Condensed"/>
          <w:sz w:val="24"/>
          <w:szCs w:val="24"/>
        </w:rPr>
        <w:t xml:space="preserve"> Nella costruzione dell'albero non conta ciò che i testimoni hanno di giusto: conta ciò che hanno di sbagliato insieme. Una data errata identica in due testi è marcatore di parentela quasi certo; un fatto esatto condiviso non prova nulla, perché entrambi potevano averlo dalla realtà. È il principio, controintuitivo e decisivo, che rende gli errori strumenti d'indagine più informativi delle verità.</w:t>
      </w:r>
    </w:p>
    <w:p>
      <w:pPr>
        <w:spacing w:after="120" w:line="276"/>
        <w:jc w:val="both"/>
      </w:pPr>
      <w:r>
        <w:rPr>
          <w:rFonts w:ascii="Barlow Semi Condensed" w:cs="Barlow Semi Condensed" w:eastAsia="Barlow Semi Condensed" w:hAnsi="Barlow Semi Condensed"/>
          <w:b/>
          <w:bCs/>
          <w:sz w:val="24"/>
          <w:szCs w:val="24"/>
        </w:rPr>
        <w:t xml:space="preserve">576 · Omologia contro analogia (serie VIII).</w:t>
      </w:r>
      <w:r>
        <w:rPr>
          <w:rFonts w:ascii="Barlow Semi Condensed" w:cs="Barlow Semi Condensed" w:eastAsia="Barlow Semi Condensed" w:hAnsi="Barlow Semi Condensed"/>
          <w:sz w:val="24"/>
          <w:szCs w:val="24"/>
        </w:rPr>
        <w:t xml:space="preserve"> La distinzione biologica si trasferisce intatta e va usata come test. Due testi che riportano lo stesso errore sono omologhi: discendono da una fonte comune. Due testi che riportano lo stesso fatto possono essere analoghi: hanno raggiunto lo stesso esito per vie indipendenti. Solo il secondo caso è consilienza e rafforza; il primo è una fonte sola travestita da due, e non rafforza nulla.</w:t>
      </w:r>
    </w:p>
    <w:p>
      <w:pPr>
        <w:spacing w:after="120" w:line="276"/>
        <w:jc w:val="both"/>
      </w:pPr>
      <w:r>
        <w:rPr>
          <w:rFonts w:ascii="Barlow Semi Condensed" w:cs="Barlow Semi Condensed" w:eastAsia="Barlow Semi Condensed" w:hAnsi="Barlow Semi Condensed"/>
          <w:b/>
          <w:bCs/>
          <w:sz w:val="24"/>
          <w:szCs w:val="24"/>
        </w:rPr>
        <w:t xml:space="preserve">577 · Il capostipite non è l'origine.</w:t>
      </w:r>
      <w:r>
        <w:rPr>
          <w:rFonts w:ascii="Barlow Semi Condensed" w:cs="Barlow Semi Condensed" w:eastAsia="Barlow Semi Condensed" w:hAnsi="Barlow Semi Condensed"/>
          <w:sz w:val="24"/>
          <w:szCs w:val="24"/>
        </w:rPr>
        <w:t xml:space="preserve"> La prima occorrenza reperibile è un fatto sulla ricerca, non sul mondo: attesta il punto oltre il quale non si è potuti risalire, non che oltre non ci sia nulla. Va scritta come tale, con la data della ricerca e gli strumenti impiegati, perché una digitalizzazione futura può arretrarla di anni. Confondere il capostipite reperito con l'archetipo è un errore di modestia, e ne genera altri.</w:t>
      </w:r>
    </w:p>
    <w:p>
      <w:pPr>
        <w:spacing w:after="120" w:line="276"/>
        <w:jc w:val="both"/>
      </w:pPr>
      <w:r>
        <w:rPr>
          <w:rFonts w:ascii="Barlow Semi Condensed" w:cs="Barlow Semi Condensed" w:eastAsia="Barlow Semi Condensed" w:hAnsi="Barlow Semi Condensed"/>
          <w:b/>
          <w:bCs/>
          <w:sz w:val="24"/>
          <w:szCs w:val="24"/>
        </w:rPr>
        <w:t xml:space="preserve">578 · Quando la risalita fallisce.</w:t>
      </w:r>
      <w:r>
        <w:rPr>
          <w:rFonts w:ascii="Barlow Semi Condensed" w:cs="Barlow Semi Condensed" w:eastAsia="Barlow Semi Condensed" w:hAnsi="Barlow Semi Condensed"/>
          <w:sz w:val="24"/>
          <w:szCs w:val="24"/>
        </w:rPr>
        <w:t xml:space="preserve"> Se la catena si interrompe senza testimone materiale, l'esito si verbalizza come Stato Zero secondo la regola del blocco 285 dell'agenda: che cosa è stato cercato, dove, quando, con quale perimetro. Una citazione la cui origine è stata cercata e non trovata resta citabile soltanto come oggetto di circolazione, mai come fonte di ciò che afferma. L'esito negativo è acquisizione piena, e va scritto senza scuse.</w:t>
      </w:r>
    </w:p>
    <w:p>
      <w:pPr>
        <w:spacing w:after="120" w:line="276"/>
        <w:jc w:val="both"/>
      </w:pPr>
      <w:r>
        <w:rPr>
          <w:rFonts w:ascii="Barlow Semi Condensed" w:cs="Barlow Semi Condensed" w:eastAsia="Barlow Semi Condensed" w:hAnsi="Barlow Semi Condensed"/>
          <w:b/>
          <w:bCs/>
          <w:sz w:val="24"/>
          <w:szCs w:val="24"/>
        </w:rPr>
        <w:t xml:space="preserve">579 · La scheda della citazione.</w:t>
      </w:r>
      <w:r>
        <w:rPr>
          <w:rFonts w:ascii="Barlow Semi Condensed" w:cs="Barlow Semi Condensed" w:eastAsia="Barlow Semi Condensed" w:hAnsi="Barlow Semi Condensed"/>
          <w:sz w:val="24"/>
          <w:szCs w:val="24"/>
        </w:rPr>
        <w:t xml:space="preserve"> Bersaglio operativo della serie: un modulo unico per ogni formula ricorrente del caso. Testo esatto nella lingua d'origine, traduzione con traduttore dichiarato, testimone più antico con data, catena delle riprese, grado attribuito, e la casella che nessuno compila mai — la sede d'archivio dove la prima occorrenza si chiuderebbe. Senza l'ultima casella la scheda non è uno strumento di ricerca: è un'opinione ordinata.</w:t>
      </w:r>
    </w:p>
    <w:p>
      <w:pPr>
        <w:spacing w:after="120" w:line="276"/>
        <w:jc w:val="both"/>
      </w:pPr>
      <w:r>
        <w:rPr>
          <w:rFonts w:ascii="Barlow Semi Condensed" w:cs="Barlow Semi Condensed" w:eastAsia="Barlow Semi Condensed" w:hAnsi="Barlow Semi Condensed"/>
          <w:b/>
          <w:bCs/>
          <w:sz w:val="24"/>
          <w:szCs w:val="24"/>
        </w:rPr>
        <w:t xml:space="preserve">580 · La fonte senza segnatura.</w:t>
      </w:r>
      <w:r>
        <w:rPr>
          <w:rFonts w:ascii="Barlow Semi Condensed" w:cs="Barlow Semi Condensed" w:eastAsia="Barlow Semi Condensed" w:hAnsi="Barlow Semi Condensed"/>
          <w:sz w:val="24"/>
          <w:szCs w:val="24"/>
        </w:rPr>
        <w:t xml:space="preserve"> Il blocco 309 dei nove cantieri fissa la formula che questa serie adotta come regola di trascrizione: una fonte senza segnatura è un sentito dire elegante. Fondo, serie, busta, carta; e per i documenti desecretati il protocollo. Il memorandum dello Studio Ovale del 25 settembre 1974 esiste come documento perché ha un numero di file alla Ford Library e una collocazione nella serie FRUS, non perché è molto citato.</w:t>
      </w:r>
    </w:p>
    <w:p>
      <w:pPr>
        <w:spacing w:after="120" w:line="276"/>
        <w:jc w:val="both"/>
      </w:pPr>
      <w:r>
        <w:rPr>
          <w:rFonts w:ascii="Barlow Semi Condensed" w:cs="Barlow Semi Condensed" w:eastAsia="Barlow Semi Condensed" w:hAnsi="Barlow Semi Condensed"/>
          <w:b/>
          <w:bCs/>
          <w:sz w:val="24"/>
          <w:szCs w:val="24"/>
        </w:rPr>
        <w:t xml:space="preserve">581 · La traduzione è una trascrizione.</w:t>
      </w:r>
      <w:r>
        <w:rPr>
          <w:rFonts w:ascii="Barlow Semi Condensed" w:cs="Barlow Semi Condensed" w:eastAsia="Barlow Semi Condensed" w:hAnsi="Barlow Semi Condensed"/>
          <w:sz w:val="24"/>
          <w:szCs w:val="24"/>
        </w:rPr>
        <w:t xml:space="preserve"> Tradurre è ricopiare in un altro codice, e come ogni ricopiatura ha un tasso d'errore proprio, più alto di quello della copia nella stessa lingua. Il corpus tratta perciò ogni versione tradotta come testimone di secondo grado: si cita nella lingua d'origine e si traduce accanto, con il nome del traduttore quando esiste. Una traduzione anonima e senza originale a fronte non è un documento utilizzabile.</w:t>
      </w:r>
    </w:p>
    <w:p>
      <w:pPr>
        <w:spacing w:after="120" w:line="276"/>
        <w:jc w:val="both"/>
      </w:pPr>
      <w:r>
        <w:rPr>
          <w:rFonts w:ascii="Barlow Semi Condensed" w:cs="Barlow Semi Condensed" w:eastAsia="Barlow Semi Condensed" w:hAnsi="Barlow Semi Condensed"/>
          <w:b/>
          <w:bCs/>
          <w:sz w:val="24"/>
          <w:szCs w:val="24"/>
        </w:rPr>
        <w:t xml:space="preserve">582 · Il vincolo linguistico del colloquio.</w:t>
      </w:r>
      <w:r>
        <w:rPr>
          <w:rFonts w:ascii="Barlow Semi Condensed" w:cs="Barlow Semi Condensed" w:eastAsia="Barlow Semi Condensed" w:hAnsi="Barlow Semi Condensed"/>
          <w:sz w:val="24"/>
          <w:szCs w:val="24"/>
        </w:rPr>
        <w:t xml:space="preserve"> Una delle smentite italiane qualificate registrate dal corpus poggia su un dato verificabile e non su un'impressione: il testimone dichiara di aver controllato allora con l'interprete, perché Moro non parlava inglese. Il dato è vincolo di metodo prima che di merito — qualunque frase attribuita a quel colloquio è passata per almeno una trascrizione in altra lingua prima di raggiungere chi oggi la riferisce.</w:t>
      </w:r>
    </w:p>
    <w:p>
      <w:pPr>
        <w:spacing w:after="120" w:line="276"/>
        <w:jc w:val="both"/>
      </w:pPr>
      <w:r>
        <w:rPr>
          <w:rFonts w:ascii="Barlow Semi Condensed" w:cs="Barlow Semi Condensed" w:eastAsia="Barlow Semi Condensed" w:hAnsi="Barlow Semi Condensed"/>
          <w:b/>
          <w:bCs/>
          <w:sz w:val="24"/>
          <w:szCs w:val="24"/>
        </w:rPr>
        <w:t xml:space="preserve">583 · L'interprete come passaggio obbligato.</w:t>
      </w:r>
      <w:r>
        <w:rPr>
          <w:rFonts w:ascii="Barlow Semi Condensed" w:cs="Barlow Semi Condensed" w:eastAsia="Barlow Semi Condensed" w:hAnsi="Barlow Semi Condensed"/>
          <w:sz w:val="24"/>
          <w:szCs w:val="24"/>
        </w:rPr>
        <w:t xml:space="preserve"> Ne discende un bersaglio documentale preciso e mai battuto: identificare gli interpreti dei colloqui italo-statunitensi del settembre 1974 e verificare se esistano loro appunti, note di servizio o testimonianze rese. Sede: le carte della delegazione italiana e i fondi del Dipartimento di Stato. L'esito è incerto per definizione; se negativo, si dichiara con perimetro esatto e vale come acquisizione al pari di un ritrovamento.</w:t>
      </w:r>
    </w:p>
    <w:p>
      <w:pPr>
        <w:spacing w:after="120" w:line="276"/>
        <w:jc w:val="both"/>
      </w:pPr>
      <w:r>
        <w:rPr>
          <w:rFonts w:ascii="Barlow Semi Condensed" w:cs="Barlow Semi Condensed" w:eastAsia="Barlow Semi Condensed" w:hAnsi="Barlow Semi Condensed"/>
          <w:b/>
          <w:bCs/>
          <w:sz w:val="24"/>
          <w:szCs w:val="24"/>
        </w:rPr>
        <w:t xml:space="preserve">584 · Rimprovero e minaccia.</w:t>
      </w:r>
      <w:r>
        <w:rPr>
          <w:rFonts w:ascii="Barlow Semi Condensed" w:cs="Barlow Semi Condensed" w:eastAsia="Barlow Semi Condensed" w:hAnsi="Barlow Semi Condensed"/>
          <w:sz w:val="24"/>
          <w:szCs w:val="24"/>
        </w:rPr>
        <w:t xml:space="preserve"> Il corpus registra due smentite italiane divergenti fra loro: una definisce l'episodio una leggenda senza fondamento, pur descrivendo altrove un colloquio politicamente durissimo; l'altra parla di «solo un problema di linguaggio». Le due posizioni convergono su un punto che vale come regola generale: la distanza fra un rimprovero aspro e una minaccia è tutta lessicale, e si decide sul testo, mai sul ricordo di chi ascoltò.</w:t>
      </w:r>
    </w:p>
    <w:p>
      <w:pPr>
        <w:spacing w:after="120" w:line="276"/>
        <w:jc w:val="both"/>
      </w:pPr>
      <w:r>
        <w:rPr>
          <w:rFonts w:ascii="Barlow Semi Condensed" w:cs="Barlow Semi Condensed" w:eastAsia="Barlow Semi Condensed" w:hAnsi="Barlow Semi Condensed"/>
          <w:b/>
          <w:bCs/>
          <w:sz w:val="24"/>
          <w:szCs w:val="24"/>
        </w:rPr>
        <w:t xml:space="preserve">585 · Il verbale non è stenografia.</w:t>
      </w:r>
      <w:r>
        <w:rPr>
          <w:rFonts w:ascii="Barlow Semi Condensed" w:cs="Barlow Semi Condensed" w:eastAsia="Barlow Semi Condensed" w:hAnsi="Barlow Semi Condensed"/>
          <w:sz w:val="24"/>
          <w:szCs w:val="24"/>
        </w:rPr>
        <w:t xml:space="preserve"> Un memorandum of conversation è un riassunto redatto dopo il colloquio da un funzionario presente, non una trascrizione integrale. Ne segue la lettura corretta dell'assenza della frase contestata dal documento del 25 settembre 1974: l'assenza non prova che nulla fu detto, ma priva chi afferma della sola prova documentale che avrebbe potuto avere. È un vuoto asimmetrico, e va riportato per intero in entrambe le direzioni.</w:t>
      </w:r>
    </w:p>
    <w:p>
      <w:pPr>
        <w:spacing w:after="120" w:line="276"/>
        <w:jc w:val="both"/>
      </w:pPr>
      <w:r>
        <w:rPr>
          <w:rFonts w:ascii="Barlow Semi Condensed" w:cs="Barlow Semi Condensed" w:eastAsia="Barlow Semi Condensed" w:hAnsi="Barlow Semi Condensed"/>
          <w:b/>
          <w:bCs/>
          <w:sz w:val="24"/>
          <w:szCs w:val="24"/>
        </w:rPr>
        <w:t xml:space="preserve">586 · Il ritorno all'indietro.</w:t>
      </w:r>
      <w:r>
        <w:rPr>
          <w:rFonts w:ascii="Barlow Semi Condensed" w:cs="Barlow Semi Condensed" w:eastAsia="Barlow Semi Condensed" w:hAnsi="Barlow Semi Condensed"/>
          <w:sz w:val="24"/>
          <w:szCs w:val="24"/>
        </w:rPr>
        <w:t xml:space="preserve"> Una frase riferita in italiano, attribuita a un colloquio svoltosi in inglese, e poi ritradotta in inglese dalla pubblicistica internazionale, ha attraversato tre codici. La versione inglese che circola non è l'originale: è una retroversione, cioè una ricostruzione. Trattarla come testo letterale è l'errore di trascrizione più elementare e più diffuso di questo dossier, e va segnalato ogni volta che ricorre, senza eccezioni di cortesia.</w:t>
      </w:r>
    </w:p>
    <w:p>
      <w:pPr>
        <w:spacing w:after="120" w:line="276"/>
        <w:jc w:val="both"/>
      </w:pPr>
      <w:r>
        <w:rPr>
          <w:rFonts w:ascii="Barlow Semi Condensed" w:cs="Barlow Semi Condensed" w:eastAsia="Barlow Semi Condensed" w:hAnsi="Barlow Semi Condensed"/>
          <w:b/>
          <w:bCs/>
          <w:sz w:val="24"/>
          <w:szCs w:val="24"/>
        </w:rPr>
        <w:t xml:space="preserve">587 · La formula esatta e la parafrasi.</w:t>
      </w:r>
      <w:r>
        <w:rPr>
          <w:rFonts w:ascii="Barlow Semi Condensed" w:cs="Barlow Semi Condensed" w:eastAsia="Barlow Semi Condensed" w:hAnsi="Barlow Semi Condensed"/>
          <w:sz w:val="24"/>
          <w:szCs w:val="24"/>
        </w:rPr>
        <w:t xml:space="preserve"> Il documento del settembre 1974 attesta due contenuti che vanno citati alla lettera e non parafrasati: l'impossibilità di condividere informazioni militari con un governo comprendente i comunisti, e il rilievo che un partito comunista responsabile sarebbe più pericoloso di uno irresponsabile. La parafrasi li trasforma in ultimatum; la lettera li lascia ciò che sono, valutazioni di dottrina strategica messe a verbale.</w:t>
      </w:r>
    </w:p>
    <w:p>
      <w:pPr>
        <w:spacing w:after="120" w:line="276"/>
        <w:jc w:val="both"/>
      </w:pPr>
      <w:r>
        <w:rPr>
          <w:rFonts w:ascii="Barlow Semi Condensed" w:cs="Barlow Semi Condensed" w:eastAsia="Barlow Semi Condensed" w:hAnsi="Barlow Semi Condensed"/>
          <w:b/>
          <w:bCs/>
          <w:sz w:val="24"/>
          <w:szCs w:val="24"/>
        </w:rPr>
        <w:t xml:space="preserve">588 · Il diniego di traduzione.</w:t>
      </w:r>
      <w:r>
        <w:rPr>
          <w:rFonts w:ascii="Barlow Semi Condensed" w:cs="Barlow Semi Condensed" w:eastAsia="Barlow Semi Condensed" w:hAnsi="Barlow Semi Condensed"/>
          <w:sz w:val="24"/>
          <w:szCs w:val="24"/>
        </w:rPr>
        <w:t xml:space="preserve"> Il blocco 248 del manuale investigativo osserva che metà dei dinieghi archivistici storici sono dinieghi di traduzione: istanza redatta nella lingua sbagliata o nel vocabolario giuridico sbagliato. La stessa causa produce metà delle false divergenze fra fonti nazionali, perché due archivi che sembrano contraddirsi usano spesso termini tecnici non equivalenti. Prima di dichiarare una divergenza sostanziale si verifica il lessico, e molte divergenze si dissolvono.</w:t>
      </w:r>
    </w:p>
    <w:p>
      <w:pPr>
        <w:spacing w:after="120" w:line="276"/>
        <w:jc w:val="both"/>
      </w:pPr>
      <w:r>
        <w:rPr>
          <w:rFonts w:ascii="Barlow Semi Condensed" w:cs="Barlow Semi Condensed" w:eastAsia="Barlow Semi Condensed" w:hAnsi="Barlow Semi Condensed"/>
          <w:b/>
          <w:bCs/>
          <w:sz w:val="24"/>
          <w:szCs w:val="24"/>
        </w:rPr>
        <w:t xml:space="preserve">589 · La data come unità minima.</w:t>
      </w:r>
      <w:r>
        <w:rPr>
          <w:rFonts w:ascii="Barlow Semi Condensed" w:cs="Barlow Semi Condensed" w:eastAsia="Barlow Semi Condensed" w:hAnsi="Barlow Semi Condensed"/>
          <w:sz w:val="24"/>
          <w:szCs w:val="24"/>
        </w:rPr>
        <w:t xml:space="preserve"> Nel testo storico la data ha la funzione della base nel codice: è l'unità più piccola la cui alterazione produce un effetto sistemico. Una cifra sbagliata si propaga in ogni ripresa successiva senza segnalarsi, perché nulla nella frase la denuncia e la sintassi resta perfetta. Per questo il controllo delle date precede ogni altro controllo, e si esegue su fonte primaria oppure non si esegue affatto.</w:t>
      </w:r>
    </w:p>
    <w:p>
      <w:pPr>
        <w:spacing w:after="120" w:line="276"/>
        <w:jc w:val="both"/>
      </w:pPr>
      <w:r>
        <w:rPr>
          <w:rFonts w:ascii="Barlow Semi Condensed" w:cs="Barlow Semi Condensed" w:eastAsia="Barlow Semi Condensed" w:hAnsi="Barlow Semi Condensed"/>
          <w:b/>
          <w:bCs/>
          <w:sz w:val="24"/>
          <w:szCs w:val="24"/>
        </w:rPr>
        <w:t xml:space="preserve">590 · Tre date per un episodio.</w:t>
      </w:r>
      <w:r>
        <w:rPr>
          <w:rFonts w:ascii="Barlow Semi Condensed" w:cs="Barlow Semi Condensed" w:eastAsia="Barlow Semi Condensed" w:hAnsi="Barlow Semi Condensed"/>
          <w:sz w:val="24"/>
          <w:szCs w:val="24"/>
        </w:rPr>
        <w:t xml:space="preserve"> Il nodo M-5 colloca l'avvertimento nel settembre 1974; una fonte d'agenzia statunitense dell'aprile 1983 lo colloca in un alterco all'ambasciata d'Italia a Washington nel 1977; altre sintesi indicano il 1976. Divergono anche i luoghi. Il corpus riporta le tre versioni e non ne sceglie alcuna: qui la scelta silenziosa sarebbe essa stessa l'errore di trascrizione, non il suo rimedio.</w:t>
      </w:r>
    </w:p>
    <w:p>
      <w:pPr>
        <w:spacing w:after="120" w:line="276"/>
        <w:jc w:val="both"/>
      </w:pPr>
      <w:r>
        <w:rPr>
          <w:rFonts w:ascii="Barlow Semi Condensed" w:cs="Barlow Semi Condensed" w:eastAsia="Barlow Semi Condensed" w:hAnsi="Barlow Semi Condensed"/>
          <w:b/>
          <w:bCs/>
          <w:sz w:val="24"/>
          <w:szCs w:val="24"/>
        </w:rPr>
        <w:t xml:space="preserve">591 · Perché la data è dirimente.</w:t>
      </w:r>
      <w:r>
        <w:rPr>
          <w:rFonts w:ascii="Barlow Semi Condensed" w:cs="Barlow Semi Condensed" w:eastAsia="Barlow Semi Condensed" w:hAnsi="Barlow Semi Condensed"/>
          <w:sz w:val="24"/>
          <w:szCs w:val="24"/>
        </w:rPr>
        <w:t xml:space="preserve"> La divergenza non è un dettaglio erudito. Nel 1974 Kissinger era Segretario di Stato; nel 1977 non lo era più. La stessa frase, spostata di tre anni, muta di natura: da posizione di un governo in carica a opinione di un privato cittadino. La data porta con sé la qualità istituzionale di chi parla, ed è la ragione per cui si verifica prima del contenuto e non dopo.</w:t>
      </w:r>
    </w:p>
    <w:p>
      <w:pPr>
        <w:spacing w:after="120" w:line="276"/>
        <w:jc w:val="both"/>
      </w:pPr>
      <w:r>
        <w:rPr>
          <w:rFonts w:ascii="Barlow Semi Condensed" w:cs="Barlow Semi Condensed" w:eastAsia="Barlow Semi Condensed" w:hAnsi="Barlow Semi Condensed"/>
          <w:b/>
          <w:bCs/>
          <w:sz w:val="24"/>
          <w:szCs w:val="24"/>
        </w:rPr>
        <w:t xml:space="preserve">592 · La divergenza si riporta (serie VIII).</w:t>
      </w:r>
      <w:r>
        <w:rPr>
          <w:rFonts w:ascii="Barlow Semi Condensed" w:cs="Barlow Semi Condensed" w:eastAsia="Barlow Semi Condensed" w:hAnsi="Barlow Semi Condensed"/>
          <w:sz w:val="24"/>
          <w:szCs w:val="24"/>
        </w:rPr>
        <w:t xml:space="preserve"> Regola sesta del metodo, applicata qui alla lettera: dove le fonti divergono si riporta la divergenza e non si sceglie in silenzio. La triangolazione della Farnesina ne tiene un elenco aperto — i beni confiscati in Libia, il riconoscimento della Repubblica Democratica Tedesca al 17 o al 18 gennaio 1973, le vittime di Wiriyamu, le date dell'espulsione dei missionari. L'elenco è un prodotto dell'opera, non un suo residuo.</w:t>
      </w:r>
    </w:p>
    <w:p>
      <w:pPr>
        <w:spacing w:after="120" w:line="276"/>
        <w:jc w:val="both"/>
      </w:pPr>
      <w:r>
        <w:rPr>
          <w:rFonts w:ascii="Barlow Semi Condensed" w:cs="Barlow Semi Condensed" w:eastAsia="Barlow Semi Condensed" w:hAnsi="Barlow Semi Condensed"/>
          <w:b/>
          <w:bCs/>
          <w:sz w:val="24"/>
          <w:szCs w:val="24"/>
        </w:rPr>
        <w:t xml:space="preserve">593 · Le mutazioni del corpus Guevara.</w:t>
      </w:r>
      <w:r>
        <w:rPr>
          <w:rFonts w:ascii="Barlow Semi Condensed" w:cs="Barlow Semi Condensed" w:eastAsia="Barlow Semi Condensed" w:hAnsi="Barlow Semi Condensed"/>
          <w:sz w:val="24"/>
          <w:szCs w:val="24"/>
        </w:rPr>
        <w:t xml:space="preserve"> La triangolazione sul corpus Guevara ha isolato mutazioni di ogni tipo: l'età di Fidel Castro al primo incontro del luglio 1955, ventisei invece di ventotto, per contaminazione con l'età dell'interlocutore; la presidenza del Banco Nacional attribuita al 1964 quando era cessata nel febbraio 1961; un attentato del dicembre 1964 spostato da un terreno di Long Island City a un'imbarcazione. Tre errori accertati, nessun falso.</w:t>
      </w:r>
    </w:p>
    <w:p>
      <w:pPr>
        <w:spacing w:after="120" w:line="276"/>
        <w:jc w:val="both"/>
      </w:pPr>
      <w:r>
        <w:rPr>
          <w:rFonts w:ascii="Barlow Semi Condensed" w:cs="Barlow Semi Condensed" w:eastAsia="Barlow Semi Condensed" w:hAnsi="Barlow Semi Condensed"/>
          <w:b/>
          <w:bCs/>
          <w:sz w:val="24"/>
          <w:szCs w:val="24"/>
        </w:rPr>
        <w:t xml:space="preserve">594 · L'anteriorità come falsificatore.</w:t>
      </w:r>
      <w:r>
        <w:rPr>
          <w:rFonts w:ascii="Barlow Semi Condensed" w:cs="Barlow Semi Condensed" w:eastAsia="Barlow Semi Condensed" w:hAnsi="Barlow Semi Condensed"/>
          <w:sz w:val="24"/>
          <w:szCs w:val="24"/>
        </w:rPr>
        <w:t xml:space="preserve"> La riunione del Comitato dei 303 dell'11 marzo 1969 è anteriore all'insediamento di Moro alla Farnesina, avvenuto il 5 agosto 1969. L'anteriorità è il più semplice e il più spietato dei falsificatori: nessuna decisione può essere reazione a un fatto non ancora accaduto. Prima di costruire un nesso si ordinano le date su una sola linea, e una parte notevole dei nessi proposti cade da sé.</w:t>
      </w:r>
    </w:p>
    <w:p>
      <w:pPr>
        <w:spacing w:after="120" w:line="276"/>
        <w:jc w:val="both"/>
      </w:pPr>
      <w:r>
        <w:rPr>
          <w:rFonts w:ascii="Barlow Semi Condensed" w:cs="Barlow Semi Condensed" w:eastAsia="Barlow Semi Condensed" w:hAnsi="Barlow Semi Condensed"/>
          <w:b/>
          <w:bCs/>
          <w:sz w:val="24"/>
          <w:szCs w:val="24"/>
        </w:rPr>
        <w:t xml:space="preserve">595 · L'anacronismo che vanifica la ricerca.</w:t>
      </w:r>
      <w:r>
        <w:rPr>
          <w:rFonts w:ascii="Barlow Semi Condensed" w:cs="Barlow Semi Condensed" w:eastAsia="Barlow Semi Condensed" w:hAnsi="Barlow Semi Condensed"/>
          <w:sz w:val="24"/>
          <w:szCs w:val="24"/>
        </w:rPr>
        <w:t xml:space="preserve"> La seconda campagna della Farnesina ha rilevato un caso esemplare: la domanda sulla reazione della «Spagna franchista» al sequestro del 1978 è mal posta, perché Franco era morto il 20 novembre 1975 e il Paese era in piena Transizione. Una premessa anacronistica non produce una risposta sbagliata: produce una ricerca inutile. Il controllo cronologico della domanda precede la ricerca, e ne è la parte più economica.</w:t>
      </w:r>
    </w:p>
    <w:p>
      <w:pPr>
        <w:spacing w:after="120" w:line="276"/>
        <w:jc w:val="both"/>
      </w:pPr>
      <w:r>
        <w:rPr>
          <w:rFonts w:ascii="Barlow Semi Condensed" w:cs="Barlow Semi Condensed" w:eastAsia="Barlow Semi Condensed" w:hAnsi="Barlow Semi Condensed"/>
          <w:b/>
          <w:bCs/>
          <w:sz w:val="24"/>
          <w:szCs w:val="24"/>
        </w:rPr>
        <w:t xml:space="preserve">596 · La sequenza come antidoto.</w:t>
      </w:r>
      <w:r>
        <w:rPr>
          <w:rFonts w:ascii="Barlow Semi Condensed" w:cs="Barlow Semi Condensed" w:eastAsia="Barlow Semi Condensed" w:hAnsi="Barlow Semi Condensed"/>
          <w:sz w:val="24"/>
          <w:szCs w:val="24"/>
        </w:rPr>
        <w:t xml:space="preserve"> Contro la data isolata, la sequenza. La catena Oder-Neisse è il modello costruito dal corpus: firma il 7 dicembre 1970, autorizzazione alla ratifica il 17 e il 19 maggio 1972, entrata in vigore il 3 giugno, costituzioni apostoliche il 28 giugno. La formula corrente «il Bundestag ratificò» è imprecisa, e solo la sequenza intera lo mostra — insieme al fatto che il 28 giugno era in carica il secondo governo Andreotti.</w:t>
      </w:r>
    </w:p>
    <w:p>
      <w:pPr>
        <w:spacing w:after="120" w:line="276"/>
        <w:jc w:val="both"/>
      </w:pPr>
      <w:r>
        <w:rPr>
          <w:rFonts w:ascii="Barlow Semi Condensed" w:cs="Barlow Semi Condensed" w:eastAsia="Barlow Semi Condensed" w:hAnsi="Barlow Semi Condensed"/>
          <w:b/>
          <w:bCs/>
          <w:sz w:val="24"/>
          <w:szCs w:val="24"/>
        </w:rPr>
        <w:t xml:space="preserve">597 · L'errore accade, il falso si fa.</w:t>
      </w:r>
      <w:r>
        <w:rPr>
          <w:rFonts w:ascii="Barlow Semi Condensed" w:cs="Barlow Semi Condensed" w:eastAsia="Barlow Semi Condensed" w:hAnsi="Barlow Semi Condensed"/>
          <w:sz w:val="24"/>
          <w:szCs w:val="24"/>
        </w:rPr>
        <w:t xml:space="preserve"> La differenza non sta nel risultato, che può essere identico, ma nell'atto. L'errore è un evento della trascrizione: accade a chi copia, e non presuppone volontà. Il falso è un atto: qualcuno decide che il testo dica ciò che non diceva. Ne discende la conseguenza operativa: l'errore si accerta sul testo, il falso richiede la prova dell'intenzione — e l'intenzione, nel regime pubblico, si prova o non si afferma.</w:t>
      </w:r>
    </w:p>
    <w:p>
      <w:pPr>
        <w:spacing w:after="120" w:line="276"/>
        <w:jc w:val="both"/>
      </w:pPr>
      <w:r>
        <w:rPr>
          <w:rFonts w:ascii="Barlow Semi Condensed" w:cs="Barlow Semi Condensed" w:eastAsia="Barlow Semi Condensed" w:hAnsi="Barlow Semi Condensed"/>
          <w:b/>
          <w:bCs/>
          <w:sz w:val="24"/>
          <w:szCs w:val="24"/>
        </w:rPr>
        <w:t xml:space="preserve">598 · Due gradazioni per due cose.</w:t>
      </w:r>
      <w:r>
        <w:rPr>
          <w:rFonts w:ascii="Barlow Semi Condensed" w:cs="Barlow Semi Condensed" w:eastAsia="Barlow Semi Condensed" w:hAnsi="Barlow Semi Condensed"/>
          <w:sz w:val="24"/>
          <w:szCs w:val="24"/>
        </w:rPr>
        <w:t xml:space="preserve"> Poiché sono cose diverse, si gradano diversamente. La falsità materiale di un documento è accertabile in perizia e può raggiungere il grado A. La sua fabbricazione dolosa da parte di un soggetto determinato è imputazione, e resta al grado del giudicato o al di sotto di esso. Il corpus può dire che un testo è falso senza poter dire chi lo fece, e spesso deve fermarsi esattamente lì.</w:t>
      </w:r>
    </w:p>
    <w:p>
      <w:pPr>
        <w:spacing w:after="120" w:line="276"/>
        <w:jc w:val="both"/>
      </w:pPr>
      <w:r>
        <w:rPr>
          <w:rFonts w:ascii="Barlow Semi Condensed" w:cs="Barlow Semi Condensed" w:eastAsia="Barlow Semi Condensed" w:hAnsi="Barlow Semi Condensed"/>
          <w:b/>
          <w:bCs/>
          <w:sz w:val="24"/>
          <w:szCs w:val="24"/>
        </w:rPr>
        <w:t xml:space="preserve">599 · Il falso accertato del caso.</w:t>
      </w:r>
      <w:r>
        <w:rPr>
          <w:rFonts w:ascii="Barlow Semi Condensed" w:cs="Barlow Semi Condensed" w:eastAsia="Barlow Semi Condensed" w:hAnsi="Barlow Semi Condensed"/>
          <w:sz w:val="24"/>
          <w:szCs w:val="24"/>
        </w:rPr>
        <w:t xml:space="preserve"> Il comunicato numero sette del 18 aprile 1978, quello del lago della Duchessa, è il falso accertato del caso Moro: esistenza e falsità sono di grado A, la regia resta C. L'attribuzione materiale della mano ad Antonio Chichiarelli è istruttoria e peritale, mai giudicata: fu ucciso nel settembre 1984 prima di ogni contestazione formale. La genesi resta quesito aperto, col fascicolo integrale come giacimento indicato.</w:t>
      </w:r>
    </w:p>
    <w:p>
      <w:pPr>
        <w:spacing w:after="120" w:line="276"/>
        <w:jc w:val="both"/>
      </w:pPr>
      <w:r>
        <w:rPr>
          <w:rFonts w:ascii="Barlow Semi Condensed" w:cs="Barlow Semi Condensed" w:eastAsia="Barlow Semi Condensed" w:hAnsi="Barlow Semi Condensed"/>
          <w:b/>
          <w:bCs/>
          <w:sz w:val="24"/>
          <w:szCs w:val="24"/>
        </w:rPr>
        <w:t xml:space="preserve">600 · Il falso che sa cose vere.</w:t>
      </w:r>
      <w:r>
        <w:rPr>
          <w:rFonts w:ascii="Barlow Semi Condensed" w:cs="Barlow Semi Condensed" w:eastAsia="Barlow Semi Condensed" w:hAnsi="Barlow Semi Condensed"/>
          <w:sz w:val="24"/>
          <w:szCs w:val="24"/>
        </w:rPr>
        <w:t xml:space="preserve"> Il blocco 436 dei nove cantieri nomina il paradosso documentale del caso: un falso materiale può contenere conoscenze autentiche, perché chi lo fabbrica sa cose. Ne segue la doppia lente obbligatoria — il documento si esamina come oggetto falso e come indizio di ciò che il falsario sapeva. La seconda lettura non riabilita la prima: non rende autentico il testo, rende informativo l'atto della fabbricazione.</w:t>
      </w:r>
    </w:p>
    <w:p>
      <w:pPr>
        <w:spacing w:after="120" w:line="276"/>
        <w:jc w:val="both"/>
      </w:pPr>
      <w:r>
        <w:rPr>
          <w:rFonts w:ascii="Barlow Semi Condensed" w:cs="Barlow Semi Condensed" w:eastAsia="Barlow Semi Condensed" w:hAnsi="Barlow Semi Condensed"/>
          <w:b/>
          <w:bCs/>
          <w:sz w:val="24"/>
          <w:szCs w:val="24"/>
        </w:rPr>
        <w:t xml:space="preserve">601 · Il falso è reperto autentico.</w:t>
      </w:r>
      <w:r>
        <w:rPr>
          <w:rFonts w:ascii="Barlow Semi Condensed" w:cs="Barlow Semi Condensed" w:eastAsia="Barlow Semi Condensed" w:hAnsi="Barlow Semi Condensed"/>
          <w:sz w:val="24"/>
          <w:szCs w:val="24"/>
        </w:rPr>
        <w:t xml:space="preserve"> Un documento falso resta un oggetto reale, con una carta, un inchiostro, una macchina, una data di fabbricazione e una via di circolazione. Tutto questo è accertabile in perizia e appartiene al grado alto. La confusione da evitare, e che si ripresenta ogni volta, è fra l'autenticità del reperto e la verità del suo contenuto: sono proprietà indipendenti, e vanno tenute in due colonne separate della stessa scheda.</w:t>
      </w:r>
    </w:p>
    <w:p>
      <w:pPr>
        <w:spacing w:after="120" w:line="276"/>
        <w:jc w:val="both"/>
      </w:pPr>
      <w:r>
        <w:rPr>
          <w:rFonts w:ascii="Barlow Semi Condensed" w:cs="Barlow Semi Condensed" w:eastAsia="Barlow Semi Condensed" w:hAnsi="Barlow Semi Condensed"/>
          <w:b/>
          <w:bCs/>
          <w:sz w:val="24"/>
          <w:szCs w:val="24"/>
        </w:rPr>
        <w:t xml:space="preserve">602 · Il falso non contagia il fascicolo.</w:t>
      </w:r>
      <w:r>
        <w:rPr>
          <w:rFonts w:ascii="Barlow Semi Condensed" w:cs="Barlow Semi Condensed" w:eastAsia="Barlow Semi Condensed" w:hAnsi="Barlow Semi Condensed"/>
          <w:sz w:val="24"/>
          <w:szCs w:val="24"/>
        </w:rPr>
        <w:t xml:space="preserve"> Regola di contenimento, contro i due eccessi speculari. La presenza di un falso in un dossier non rende falso il dossier, né lo rende autentico per reazione. Ogni documento porta il proprio grado e risponde soltanto di sé. Chi squalifica un intero fondo per un apocrifo e chi difende un apocrifo per non perdere il fondo commettono lo stesso errore di trasmissione, in direzioni opposte.</w:t>
      </w:r>
    </w:p>
    <w:p>
      <w:pPr>
        <w:spacing w:after="120" w:line="276"/>
        <w:jc w:val="both"/>
      </w:pPr>
      <w:r>
        <w:rPr>
          <w:rFonts w:ascii="Barlow Semi Condensed" w:cs="Barlow Semi Condensed" w:eastAsia="Barlow Semi Condensed" w:hAnsi="Barlow Semi Condensed"/>
          <w:b/>
          <w:bCs/>
          <w:sz w:val="24"/>
          <w:szCs w:val="24"/>
        </w:rPr>
        <w:t xml:space="preserve">603 · La dogana dell'autenticazione.</w:t>
      </w:r>
      <w:r>
        <w:rPr>
          <w:rFonts w:ascii="Barlow Semi Condensed" w:cs="Barlow Semi Condensed" w:eastAsia="Barlow Semi Condensed" w:hAnsi="Barlow Semi Condensed"/>
          <w:sz w:val="24"/>
          <w:szCs w:val="24"/>
        </w:rPr>
        <w:t xml:space="preserve"> Il blocco 308 dei nove cantieri prescrive un registro dei falsi noti e la perizia prima della cittadinanza documentale: un cantiere che accoglie tutto avvelena sé stesso. La serie estende la regola alle citazioni e propone il bersaglio corrispondente — un registro pubblico delle formule apocrife del caso, ciascuna con la sua prima occorrenza e la ragione documentata dell'esclusione. È il complemento naturale del registro dei documenti falsi.</w:t>
      </w:r>
    </w:p>
    <w:p>
      <w:pPr>
        <w:spacing w:after="120" w:line="276"/>
        <w:jc w:val="both"/>
      </w:pPr>
      <w:r>
        <w:rPr>
          <w:rFonts w:ascii="Barlow Semi Condensed" w:cs="Barlow Semi Condensed" w:eastAsia="Barlow Semi Condensed" w:hAnsi="Barlow Semi Condensed"/>
          <w:b/>
          <w:bCs/>
          <w:sz w:val="24"/>
          <w:szCs w:val="24"/>
        </w:rPr>
        <w:t xml:space="preserve">604 · La soglia fra ostinazione e dolo.</w:t>
      </w:r>
      <w:r>
        <w:rPr>
          <w:rFonts w:ascii="Barlow Semi Condensed" w:cs="Barlow Semi Condensed" w:eastAsia="Barlow Semi Condensed" w:hAnsi="Barlow Semi Condensed"/>
          <w:sz w:val="24"/>
          <w:szCs w:val="24"/>
        </w:rPr>
        <w:t xml:space="preserve"> Esiste un punto in cui la ripetizione di un errore, dopo la smentita, cessa di essere errore? La domanda è legittima e la risposta del corpus è restrittiva: quel punto esiste nel foro morale e non in quello probatorio. Documentare che una correzione era disponibile e non è stata recepita è lecito e utile; dedurne il dolo di chi ha ripetuto non lo è, e la serie non lo fa.</w:t>
      </w:r>
    </w:p>
    <w:p>
      <w:pPr>
        <w:spacing w:after="120" w:line="276"/>
        <w:jc w:val="both"/>
      </w:pPr>
      <w:r>
        <w:rPr>
          <w:rFonts w:ascii="Barlow Semi Condensed" w:cs="Barlow Semi Condensed" w:eastAsia="Barlow Semi Condensed" w:hAnsi="Barlow Semi Condensed"/>
          <w:b/>
          <w:bCs/>
          <w:sz w:val="24"/>
          <w:szCs w:val="24"/>
        </w:rPr>
        <w:t xml:space="preserve">605 · Chi ripete non è chi fabbrica.</w:t>
      </w:r>
      <w:r>
        <w:rPr>
          <w:rFonts w:ascii="Barlow Semi Condensed" w:cs="Barlow Semi Condensed" w:eastAsia="Barlow Semi Condensed" w:hAnsi="Barlow Semi Condensed"/>
          <w:sz w:val="24"/>
          <w:szCs w:val="24"/>
        </w:rPr>
        <w:t xml:space="preserve"> Il corollario garantista della serie. La catena di trasmissione di un falso comprende quasi sempre molti portatori in buona fede e pochissimi fabbricanti, e i secondi non si identificano contando i primi. Nominare falsario chi ha soltanto citato è la forma editoriale della colpa ereditaria — precisamente ciò che la lente genetica, se usata con onestà, obbliga a rifiutare invece che a suggerire.</w:t>
      </w:r>
    </w:p>
    <w:p>
      <w:pPr>
        <w:spacing w:after="120" w:line="276"/>
        <w:jc w:val="both"/>
      </w:pPr>
      <w:r>
        <w:rPr>
          <w:rFonts w:ascii="Barlow Semi Condensed" w:cs="Barlow Semi Condensed" w:eastAsia="Barlow Semi Condensed" w:hAnsi="Barlow Semi Condensed"/>
          <w:b/>
          <w:bCs/>
          <w:sz w:val="24"/>
          <w:szCs w:val="24"/>
        </w:rPr>
        <w:t xml:space="preserve">606 · Il supplemento apocrifo: il bersaglio.</w:t>
      </w:r>
      <w:r>
        <w:rPr>
          <w:rFonts w:ascii="Barlow Semi Condensed" w:cs="Barlow Semi Condensed" w:eastAsia="Barlow Semi Condensed" w:hAnsi="Barlow Semi Condensed"/>
          <w:sz w:val="24"/>
          <w:szCs w:val="24"/>
        </w:rPr>
        <w:t xml:space="preserve"> Il caso di scuola è un presunto supplemento riservato a un manuale di campo dell'esercito statunitense, noto come FM 30-31B, che prescriverebbe l'infiltrazione dei movimenti radicali e, in situazioni estreme, atti di violenza attribuibili a essi per screditarli. Compare in Europa negli anni Settanta e in Italia entra nel dibattito sulla strategia della tensione. Il testo circola; la sua autenticità è contestata alla radice.</w:t>
      </w:r>
    </w:p>
    <w:p>
      <w:pPr>
        <w:spacing w:after="120" w:line="276"/>
        <w:jc w:val="both"/>
      </w:pPr>
      <w:r>
        <w:rPr>
          <w:rFonts w:ascii="Barlow Semi Condensed" w:cs="Barlow Semi Condensed" w:eastAsia="Barlow Semi Condensed" w:hAnsi="Barlow Semi Condensed"/>
          <w:b/>
          <w:bCs/>
          <w:sz w:val="24"/>
          <w:szCs w:val="24"/>
        </w:rPr>
        <w:t xml:space="preserve">607 · La qualificazione del Dipartimento di Stato.</w:t>
      </w:r>
      <w:r>
        <w:rPr>
          <w:rFonts w:ascii="Barlow Semi Condensed" w:cs="Barlow Semi Condensed" w:eastAsia="Barlow Semi Condensed" w:hAnsi="Barlow Semi Condensed"/>
          <w:sz w:val="24"/>
          <w:szCs w:val="24"/>
        </w:rPr>
        <w:t xml:space="preserve"> Il Dipartimento di Stato lo ha classificato come falso di fabbricazione sovietica nei propri rapporti pubblici sulle misure attive all'inizio degli anni Ottanta, e gli apparati militari ne hanno negato l'esistenza come documento ufficiale. Segnatura e data esatte del rapporto vanno reperite e citate per esteso prima di ogni uso: quesito aperto, da chiudere sulla serie degli Special Reports del Bureau of Public Affairs.</w:t>
      </w:r>
    </w:p>
    <w:p>
      <w:pPr>
        <w:spacing w:after="120" w:line="276"/>
        <w:jc w:val="both"/>
      </w:pPr>
      <w:r>
        <w:rPr>
          <w:rFonts w:ascii="Barlow Semi Condensed" w:cs="Barlow Semi Condensed" w:eastAsia="Barlow Semi Condensed" w:hAnsi="Barlow Semi Condensed"/>
          <w:b/>
          <w:bCs/>
          <w:sz w:val="24"/>
          <w:szCs w:val="24"/>
        </w:rPr>
        <w:t xml:space="preserve">608 · Chi qualifica è parte in causa.</w:t>
      </w:r>
      <w:r>
        <w:rPr>
          <w:rFonts w:ascii="Barlow Semi Condensed" w:cs="Barlow Semi Condensed" w:eastAsia="Barlow Semi Condensed" w:hAnsi="Barlow Semi Condensed"/>
          <w:sz w:val="24"/>
          <w:szCs w:val="24"/>
        </w:rPr>
        <w:t xml:space="preserve"> La classificazione proviene dallo Stato che il documento accusa, e questo va detto senza infingimenti: non è una perizia neutrale. Non ne segue però l'inversione automatica, perché una smentita interessata non è una conferma. Ne segue soltanto che la qualificazione non basta da sola e va corroborata da linee indipendenti: analisi filologica interna, catena di provenienza, letteratura scientifica sulle misure attive del periodo.</w:t>
      </w:r>
    </w:p>
    <w:p>
      <w:pPr>
        <w:spacing w:after="120" w:line="276"/>
        <w:jc w:val="both"/>
      </w:pPr>
      <w:r>
        <w:rPr>
          <w:rFonts w:ascii="Barlow Semi Condensed" w:cs="Barlow Semi Condensed" w:eastAsia="Barlow Semi Condensed" w:hAnsi="Barlow Semi Condensed"/>
          <w:b/>
          <w:bCs/>
          <w:sz w:val="24"/>
          <w:szCs w:val="24"/>
        </w:rPr>
        <w:t xml:space="preserve">609 · Gli indizi interni del falso.</w:t>
      </w:r>
      <w:r>
        <w:rPr>
          <w:rFonts w:ascii="Barlow Semi Condensed" w:cs="Barlow Semi Condensed" w:eastAsia="Barlow Semi Condensed" w:hAnsi="Barlow Semi Condensed"/>
          <w:sz w:val="24"/>
          <w:szCs w:val="24"/>
        </w:rPr>
        <w:t xml:space="preserve"> La via percorribile senza dipendere da alcuna parte in causa è filologica: anomalie di formato rispetto alla modulistica autentica della serie cui il testo dichiara di appartenere, incongruenze del lessico burocratico, assenza dai registri di distribuzione. Bersaglio: una perizia formale comparativa fra il testo circolante e gli esemplari autentici del manuale di cui si dichiara supplemento. Sede: archivi militari statunitensi e fondi giudiziari italiani che ne conservano copia.</w:t>
      </w:r>
    </w:p>
    <w:p>
      <w:pPr>
        <w:spacing w:after="120" w:line="276"/>
        <w:jc w:val="both"/>
      </w:pPr>
      <w:r>
        <w:rPr>
          <w:rFonts w:ascii="Barlow Semi Condensed" w:cs="Barlow Semi Condensed" w:eastAsia="Barlow Semi Condensed" w:hAnsi="Barlow Semi Condensed"/>
          <w:b/>
          <w:bCs/>
          <w:sz w:val="24"/>
          <w:szCs w:val="24"/>
        </w:rPr>
        <w:t xml:space="preserve">610 · La ripresa italiana e il silenzio.</w:t>
      </w:r>
      <w:r>
        <w:rPr>
          <w:rFonts w:ascii="Barlow Semi Condensed" w:cs="Barlow Semi Condensed" w:eastAsia="Barlow Semi Condensed" w:hAnsi="Barlow Semi Condensed"/>
          <w:sz w:val="24"/>
          <w:szCs w:val="24"/>
        </w:rPr>
        <w:t xml:space="preserve"> Parte della pubblicistica italiana sulla strategia della tensione lo tratta come autentico e ne ricava premesse. La verifica meccanica sul branch dà un esito da registrare senza addolcirlo: la sigla non compare in alcun documento del corpus, né nei mille blocchi dei cantieri né nei quattrocento del manuale. Non è trattazione archiviata, è silenzio totale: i due stati sono diversi e la differenza va dichiarata.</w:t>
      </w:r>
    </w:p>
    <w:p>
      <w:pPr>
        <w:spacing w:after="120" w:line="276"/>
        <w:jc w:val="both"/>
      </w:pPr>
      <w:r>
        <w:rPr>
          <w:rFonts w:ascii="Barlow Semi Condensed" w:cs="Barlow Semi Condensed" w:eastAsia="Barlow Semi Condensed" w:hAnsi="Barlow Semi Condensed"/>
          <w:b/>
          <w:bCs/>
          <w:sz w:val="24"/>
          <w:szCs w:val="24"/>
        </w:rPr>
        <w:t xml:space="preserve">611 · Come si cita un contestato.</w:t>
      </w:r>
      <w:r>
        <w:rPr>
          <w:rFonts w:ascii="Barlow Semi Condensed" w:cs="Barlow Semi Condensed" w:eastAsia="Barlow Semi Condensed" w:hAnsi="Barlow Semi Condensed"/>
          <w:sz w:val="24"/>
          <w:szCs w:val="24"/>
        </w:rPr>
        <w:t xml:space="preserve"> La forma corretta esiste ed è una sola: si cita come oggetto di circolazione, mai come fonte di ciò che afferma. «Un testo la cui autenticità il Dipartimento di Stato nega, circolante in Italia dagli anni Settanta, sostiene che…» è proposizione vera. «Il manuale statunitense prescrive che…» è proposizione falsa, anche se il testo materialmente esiste. La differenza sta tutta nel verbo reggente, e regge l'intera scheda.</w:t>
      </w:r>
    </w:p>
    <w:p>
      <w:pPr>
        <w:spacing w:after="120" w:line="276"/>
        <w:jc w:val="both"/>
      </w:pPr>
      <w:r>
        <w:rPr>
          <w:rFonts w:ascii="Barlow Semi Condensed" w:cs="Barlow Semi Condensed" w:eastAsia="Barlow Semi Condensed" w:hAnsi="Barlow Semi Condensed"/>
          <w:b/>
          <w:bCs/>
          <w:sz w:val="24"/>
          <w:szCs w:val="24"/>
        </w:rPr>
        <w:t xml:space="preserve">612 · La matrice a ipotesi concorrenti.</w:t>
      </w:r>
      <w:r>
        <w:rPr>
          <w:rFonts w:ascii="Barlow Semi Condensed" w:cs="Barlow Semi Condensed" w:eastAsia="Barlow Semi Condensed" w:hAnsi="Barlow Semi Condensed"/>
          <w:sz w:val="24"/>
          <w:szCs w:val="24"/>
        </w:rPr>
        <w:t xml:space="preserve"> Applicando l'analisi delle ipotesi concorrenti al documento, le ipotesi sono almeno tre: testo autentico, fabbricazione sovietica, fabbricazione di altra origine che ha poi trovato committenti convenienti. L'evidenza disponibile — circolazione, smentite, anomalie formali — è in larga parte compatibile con tutte e tre e dunque non è diagnostica. L'evidenza discriminante è nominabile e assente: la perizia sui supporti materiali dell'esemplare più antico reperibile.</w:t>
      </w:r>
    </w:p>
    <w:p>
      <w:pPr>
        <w:spacing w:after="120" w:line="276"/>
        <w:jc w:val="both"/>
      </w:pPr>
      <w:r>
        <w:rPr>
          <w:rFonts w:ascii="Barlow Semi Condensed" w:cs="Barlow Semi Condensed" w:eastAsia="Barlow Semi Condensed" w:hAnsi="Barlow Semi Condensed"/>
          <w:b/>
          <w:bCs/>
          <w:sz w:val="24"/>
          <w:szCs w:val="24"/>
        </w:rPr>
        <w:t xml:space="preserve">613 · Perché non sarebbe comunque un ponte.</w:t>
      </w:r>
      <w:r>
        <w:rPr>
          <w:rFonts w:ascii="Barlow Semi Condensed" w:cs="Barlow Semi Condensed" w:eastAsia="Barlow Semi Condensed" w:hAnsi="Barlow Semi Condensed"/>
          <w:sz w:val="24"/>
          <w:szCs w:val="24"/>
        </w:rPr>
        <w:t xml:space="preserve"> Anche nell'ipotesi in cui il testo risultasse autentico, la regola dei tre piani impedirebbe di trarne un nesso col caso Moro. Un documento dottrinale generale non è rapporto diretto documentato fra soggetti determinati: sarebbe al più convergenza strutturale entro la stessa cornice, cioè piano due. I piani due e tre si registrano come tali e non si promuovono mai a nesso causale, qualunque sia il loro contenuto.</w:t>
      </w:r>
    </w:p>
    <w:p>
      <w:pPr>
        <w:spacing w:after="120" w:line="276"/>
        <w:jc w:val="both"/>
      </w:pPr>
      <w:r>
        <w:rPr>
          <w:rFonts w:ascii="Barlow Semi Condensed" w:cs="Barlow Semi Condensed" w:eastAsia="Barlow Semi Condensed" w:hAnsi="Barlow Semi Condensed"/>
          <w:b/>
          <w:bCs/>
          <w:sz w:val="24"/>
          <w:szCs w:val="24"/>
        </w:rPr>
        <w:t xml:space="preserve">614 · La leggenda è un fatto.</w:t>
      </w:r>
      <w:r>
        <w:rPr>
          <w:rFonts w:ascii="Barlow Semi Condensed" w:cs="Barlow Semi Condensed" w:eastAsia="Barlow Semi Condensed" w:hAnsi="Barlow Semi Condensed"/>
          <w:sz w:val="24"/>
          <w:szCs w:val="24"/>
        </w:rPr>
        <w:t xml:space="preserve"> Neutralizzare non significa negare. Una leggenda che circola da quarant'anni è un fatto della ricezione pubblica, documentabile per data, canali e portatori, e come tale entra nel corpus al grado che le compete: fatto pubblico quanto alla circolazione, nulla quanto al contenuto. Cancellarla dal dossier sarebbe una seconda falsificazione, di segno opposto e di uguale peso rispetto a quella che si vuole correggere.</w:t>
      </w:r>
    </w:p>
    <w:p>
      <w:pPr>
        <w:spacing w:after="120" w:line="276"/>
        <w:jc w:val="both"/>
      </w:pPr>
      <w:r>
        <w:rPr>
          <w:rFonts w:ascii="Barlow Semi Condensed" w:cs="Barlow Semi Condensed" w:eastAsia="Barlow Semi Condensed" w:hAnsi="Barlow Semi Condensed"/>
          <w:b/>
          <w:bCs/>
          <w:sz w:val="24"/>
          <w:szCs w:val="24"/>
        </w:rPr>
        <w:t xml:space="preserve">615 · I due errori speculari.</w:t>
      </w:r>
      <w:r>
        <w:rPr>
          <w:rFonts w:ascii="Barlow Semi Condensed" w:cs="Barlow Semi Condensed" w:eastAsia="Barlow Semi Condensed" w:hAnsi="Barlow Semi Condensed"/>
          <w:sz w:val="24"/>
          <w:szCs w:val="24"/>
        </w:rPr>
        <w:t xml:space="preserve"> Due modi sbagliati di trattarla, ed è utile nominarli insieme perché si generano a vicenda. Il primo è leggere la persistenza della leggenda come indizio della sua verità: se se ne parla tanto, qualcosa ci sarà. Il secondo è leggere la falsità del contenuto come prova che nulla di rilevante accadde. La leggenda non conferma e non assolve: descrive soltanto la propria storia di trasmissione.</w:t>
      </w:r>
    </w:p>
    <w:p>
      <w:pPr>
        <w:spacing w:after="120" w:line="276"/>
        <w:jc w:val="both"/>
      </w:pPr>
      <w:r>
        <w:rPr>
          <w:rFonts w:ascii="Barlow Semi Condensed" w:cs="Barlow Semi Condensed" w:eastAsia="Barlow Semi Condensed" w:hAnsi="Barlow Semi Condensed"/>
          <w:b/>
          <w:bCs/>
          <w:sz w:val="24"/>
          <w:szCs w:val="24"/>
        </w:rPr>
        <w:t xml:space="preserve">616 · Il metodo in quattro tempi.</w:t>
      </w:r>
      <w:r>
        <w:rPr>
          <w:rFonts w:ascii="Barlow Semi Condensed" w:cs="Barlow Semi Condensed" w:eastAsia="Barlow Semi Condensed" w:hAnsi="Barlow Semi Condensed"/>
          <w:sz w:val="24"/>
          <w:szCs w:val="24"/>
        </w:rPr>
        <w:t xml:space="preserve"> La procedura che la serie propone e che si può eseguire su qualsiasi leggenda del caso: datare la prima occorrenza; tracciare la catena delle riprese distinguendo i testimoni indipendenti dai semplici portatori; misurare che cosa la leggenda spiega e che cosa la documentazione già spiegava senza di essa; dichiarare il grado separatamente per circolazione e contenuto. Nessuno dei quattro tempi richiede di affermare o negare il fatto raccontato.</w:t>
      </w:r>
    </w:p>
    <w:p>
      <w:pPr>
        <w:spacing w:after="120" w:line="276"/>
        <w:jc w:val="both"/>
      </w:pPr>
      <w:r>
        <w:rPr>
          <w:rFonts w:ascii="Barlow Semi Condensed" w:cs="Barlow Semi Condensed" w:eastAsia="Barlow Semi Condensed" w:hAnsi="Barlow Semi Condensed"/>
          <w:b/>
          <w:bCs/>
          <w:sz w:val="24"/>
          <w:szCs w:val="24"/>
        </w:rPr>
        <w:t xml:space="preserve">617 · Due gradi per un solo oggetto.</w:t>
      </w:r>
      <w:r>
        <w:rPr>
          <w:rFonts w:ascii="Barlow Semi Condensed" w:cs="Barlow Semi Condensed" w:eastAsia="Barlow Semi Condensed" w:hAnsi="Barlow Semi Condensed"/>
          <w:sz w:val="24"/>
          <w:szCs w:val="24"/>
        </w:rPr>
        <w:t xml:space="preserve"> Da qui la doppia gradazione, che è il cuore tecnico della neutralizzazione. Della circolazione si dichiara il grado alto, perché è verificabile chi disse cosa e quando. Del contenuto si dichiara, quando è il caso, lo Stato Zero: cercato e non trovato, con la sede d'archivio dove si chiuderebbe. Le due righe stanno nella stessa scheda, si leggono insieme e non si contaminano mai.</w:t>
      </w:r>
    </w:p>
    <w:p>
      <w:pPr>
        <w:spacing w:after="120" w:line="276"/>
        <w:jc w:val="both"/>
      </w:pPr>
      <w:r>
        <w:rPr>
          <w:rFonts w:ascii="Barlow Semi Condensed" w:cs="Barlow Semi Condensed" w:eastAsia="Barlow Semi Condensed" w:hAnsi="Barlow Semi Condensed"/>
          <w:b/>
          <w:bCs/>
          <w:sz w:val="24"/>
          <w:szCs w:val="24"/>
        </w:rPr>
        <w:t xml:space="preserve">618 · La forma che si propaga sola.</w:t>
      </w:r>
      <w:r>
        <w:rPr>
          <w:rFonts w:ascii="Barlow Semi Condensed" w:cs="Barlow Semi Condensed" w:eastAsia="Barlow Semi Condensed" w:hAnsi="Barlow Semi Condensed"/>
          <w:sz w:val="24"/>
          <w:szCs w:val="24"/>
        </w:rPr>
        <w:t xml:space="preserve"> La biologia offre un modello per la leggenda pura: il prione, una proteina mal ripiegata che si propaga imponendo la propria forma senza trasmettere alcuna informazione genetica. È l'immagine esatta della voce che si diffonde senza documento — nulla viene copiato, eppure tutti finiscono per raccontarla nella stessa forma. Contro questa specie il rimedio non è la confutazione, che la rilancia: è la datazione.</w:t>
      </w:r>
    </w:p>
    <w:p>
      <w:pPr>
        <w:spacing w:after="120" w:line="276"/>
        <w:jc w:val="both"/>
      </w:pPr>
      <w:r>
        <w:rPr>
          <w:rFonts w:ascii="Barlow Semi Condensed" w:cs="Barlow Semi Condensed" w:eastAsia="Barlow Semi Condensed" w:hAnsi="Barlow Semi Condensed"/>
          <w:b/>
          <w:bCs/>
          <w:sz w:val="24"/>
          <w:szCs w:val="24"/>
        </w:rPr>
        <w:t xml:space="preserve">619 · Il nodo M-5 come esemplare.</w:t>
      </w:r>
      <w:r>
        <w:rPr>
          <w:rFonts w:ascii="Barlow Semi Condensed" w:cs="Barlow Semi Condensed" w:eastAsia="Barlow Semi Condensed" w:hAnsi="Barlow Semi Condensed"/>
          <w:sz w:val="24"/>
          <w:szCs w:val="24"/>
        </w:rPr>
        <w:t xml:space="preserve"> Il presunto avvertimento a Moro è il caso su cui la procedura è già stata eseguita. Il corpus riporta la testimonianza de relato resa in Corte d'assise nel novembre 1982, l'audizione parlamentare della vedova del 1° agosto 1980 in cui la persona non fu nominata, la smentita sempre opposta da Kissinger, le divergenze di data e di luogo. Grado B debole: testimonianza contestata, mai da dare per accertata.</w:t>
      </w:r>
    </w:p>
    <w:p>
      <w:pPr>
        <w:spacing w:after="120" w:line="276"/>
        <w:jc w:val="both"/>
      </w:pPr>
      <w:r>
        <w:rPr>
          <w:rFonts w:ascii="Barlow Semi Condensed" w:cs="Barlow Semi Condensed" w:eastAsia="Barlow Semi Condensed" w:hAnsi="Barlow Semi Condensed"/>
          <w:b/>
          <w:bCs/>
          <w:sz w:val="24"/>
          <w:szCs w:val="24"/>
        </w:rPr>
        <w:t xml:space="preserve">620 · La smentita non è assoluzione.</w:t>
      </w:r>
      <w:r>
        <w:rPr>
          <w:rFonts w:ascii="Barlow Semi Condensed" w:cs="Barlow Semi Condensed" w:eastAsia="Barlow Semi Condensed" w:hAnsi="Barlow Semi Condensed"/>
          <w:sz w:val="24"/>
          <w:szCs w:val="24"/>
        </w:rPr>
        <w:t xml:space="preserve"> Simmetria da dichiarare, per non barare in nessuna delle due direzioni. Che l'interessato abbia negato non prova che il fatto non avvenne, come la testimonianza non prova che avvenne. Kissinger non fu mai sentito dai magistrati italiani e la richiesta informale del 1983 non ebbe seguito; nessuna sentenza definitiva ha attribuito ad autorità statunitensi responsabilità penali nel caso. Sono tre fatti distinti, e restano tali.</w:t>
      </w:r>
    </w:p>
    <w:p>
      <w:pPr>
        <w:spacing w:after="120" w:line="276"/>
        <w:jc w:val="both"/>
      </w:pPr>
      <w:r>
        <w:rPr>
          <w:rFonts w:ascii="Barlow Semi Condensed" w:cs="Barlow Semi Condensed" w:eastAsia="Barlow Semi Condensed" w:hAnsi="Barlow Semi Condensed"/>
          <w:b/>
          <w:bCs/>
          <w:sz w:val="24"/>
          <w:szCs w:val="24"/>
        </w:rPr>
        <w:t xml:space="preserve">621 · La leggenda come mappa dei vuoti.</w:t>
      </w:r>
      <w:r>
        <w:rPr>
          <w:rFonts w:ascii="Barlow Semi Condensed" w:cs="Barlow Semi Condensed" w:eastAsia="Barlow Semi Condensed" w:hAnsi="Barlow Semi Condensed"/>
          <w:sz w:val="24"/>
          <w:szCs w:val="24"/>
        </w:rPr>
        <w:t xml:space="preserve"> Un'ultima funzione, che è la ragione per cui non conviene cancellarla. Le leggende crescono dove l'archivio tace, e la loro geografia coincide con notevole precisione con quella degli Stati Zero già dichiarati. Censirle serve dunque a due cose insieme: sapere che cosa il pubblico crede, e sapere dove cercare — perché il vuoto che la leggenda riempie è quasi sempre un vuoto documentale reale.</w:t>
      </w:r>
    </w:p>
    <w:p>
      <w:pPr>
        <w:spacing w:after="120" w:line="276"/>
        <w:jc w:val="both"/>
      </w:pPr>
      <w:r>
        <w:rPr>
          <w:rFonts w:ascii="Barlow Semi Condensed" w:cs="Barlow Semi Condensed" w:eastAsia="Barlow Semi Condensed" w:hAnsi="Barlow Semi Condensed"/>
          <w:b/>
          <w:bCs/>
          <w:sz w:val="24"/>
          <w:szCs w:val="24"/>
        </w:rPr>
        <w:t xml:space="preserve">622 · Si corregge annotando, non riscrivendo.</w:t>
      </w:r>
      <w:r>
        <w:rPr>
          <w:rFonts w:ascii="Barlow Semi Condensed" w:cs="Barlow Semi Condensed" w:eastAsia="Barlow Semi Condensed" w:hAnsi="Barlow Semi Condensed"/>
          <w:sz w:val="24"/>
          <w:szCs w:val="24"/>
        </w:rPr>
        <w:t xml:space="preserve"> La regola editoriale del corpus, dichiarata e già praticata: il testo originario resta leggibile e la correzione gli si affianca. Non si riscrive, perché la riscrittura cancella la storia dell'errore e con essa la possibilità di misurarne il tasso. Un'opera che si corregge in silenzio chiede al proprio lettore la stessa fiducia cieca che dichiara di voler combattere nella pubblicistica altrui.</w:t>
      </w:r>
    </w:p>
    <w:p>
      <w:pPr>
        <w:spacing w:after="120" w:line="276"/>
        <w:jc w:val="both"/>
      </w:pPr>
      <w:r>
        <w:rPr>
          <w:rFonts w:ascii="Barlow Semi Condensed" w:cs="Barlow Semi Condensed" w:eastAsia="Barlow Semi Condensed" w:hAnsi="Barlow Semi Condensed"/>
          <w:b/>
          <w:bCs/>
          <w:sz w:val="24"/>
          <w:szCs w:val="24"/>
        </w:rPr>
        <w:t xml:space="preserve">623 · I due precedenti del corpus.</w:t>
      </w:r>
      <w:r>
        <w:rPr>
          <w:rFonts w:ascii="Barlow Semi Condensed" w:cs="Barlow Semi Condensed" w:eastAsia="Barlow Semi Condensed" w:hAnsi="Barlow Semi Condensed"/>
          <w:sz w:val="24"/>
          <w:szCs w:val="24"/>
        </w:rPr>
        <w:t xml:space="preserve"> Il corpus ha due note di revisione, e valgono come precedenti vincolanti. La prima riguarda la circostanza del parabrezza infranto in via Fani, ritrattata davanti ai consulenti della Commissione: la matrice è stata lasciata com'era, con la nota che ne dichiara la riga non più diagnostica. La seconda porta sette precisazioni al nodo M-5 senza riscriverne una riga. Nessuna delle due ha cancellato ciò che correggeva.</w:t>
      </w:r>
    </w:p>
    <w:p>
      <w:pPr>
        <w:spacing w:after="120" w:line="276"/>
        <w:jc w:val="both"/>
      </w:pPr>
      <w:r>
        <w:rPr>
          <w:rFonts w:ascii="Barlow Semi Condensed" w:cs="Barlow Semi Condensed" w:eastAsia="Barlow Semi Condensed" w:hAnsi="Barlow Semi Condensed"/>
          <w:b/>
          <w:bCs/>
          <w:sz w:val="24"/>
          <w:szCs w:val="24"/>
        </w:rPr>
        <w:t xml:space="preserve">624 · La forma della nota.</w:t>
      </w:r>
      <w:r>
        <w:rPr>
          <w:rFonts w:ascii="Barlow Semi Condensed" w:cs="Barlow Semi Condensed" w:eastAsia="Barlow Semi Condensed" w:hAnsi="Barlow Semi Condensed"/>
          <w:sz w:val="24"/>
          <w:szCs w:val="24"/>
        </w:rPr>
        <w:t xml:space="preserve"> Il formato minimo di ogni correzione, che vale come modulo obbligatorio: la lezione originaria per esteso, la lezione corretta, la fonte della correzione, la data, la ragione dell'intervento. Le correzioni applicate al corpus Guevara seguono già questo schema. Senza la lezione originaria la nota non è verificabile; senza la ragione è un'imposizione; senza la data non è collocabile nell'albero delle revisioni successive.</w:t>
      </w:r>
    </w:p>
    <w:p>
      <w:pPr>
        <w:spacing w:after="120" w:line="276"/>
        <w:jc w:val="both"/>
      </w:pPr>
      <w:r>
        <w:rPr>
          <w:rFonts w:ascii="Barlow Semi Condensed" w:cs="Barlow Semi Condensed" w:eastAsia="Barlow Semi Condensed" w:hAnsi="Barlow Semi Condensed"/>
          <w:b/>
          <w:bCs/>
          <w:sz w:val="24"/>
          <w:szCs w:val="24"/>
        </w:rPr>
        <w:t xml:space="preserve">625 · La correzione nei due sensi.</w:t>
      </w:r>
      <w:r>
        <w:rPr>
          <w:rFonts w:ascii="Barlow Semi Condensed" w:cs="Barlow Semi Condensed" w:eastAsia="Barlow Semi Condensed" w:hAnsi="Barlow Semi Condensed"/>
          <w:sz w:val="24"/>
          <w:szCs w:val="24"/>
        </w:rPr>
        <w:t xml:space="preserve"> La seconda campagna della Farnesina registra il fatto che rende credibile l'intero apparato: in alcuni punti la correzione è andata dal corpus verso i documenti nuovi — il traghettamento libico dell'ottobre 1970, il bilaterale Moro-Brandt del 1969 — e in altri dai nuovi verso il corpus, come la morte di un militante tedesco riportata all'11 settembre 1978 e accertata al 6. Un apparato che corregge solo in entrata è una difesa, non uno strumento.</w:t>
      </w:r>
    </w:p>
    <w:p>
      <w:pPr>
        <w:spacing w:after="120" w:line="276"/>
        <w:jc w:val="both"/>
      </w:pPr>
      <w:r>
        <w:rPr>
          <w:rFonts w:ascii="Barlow Semi Condensed" w:cs="Barlow Semi Condensed" w:eastAsia="Barlow Semi Condensed" w:hAnsi="Barlow Semi Condensed"/>
          <w:b/>
          <w:bCs/>
          <w:sz w:val="24"/>
          <w:szCs w:val="24"/>
        </w:rPr>
        <w:t xml:space="preserve">626 · Il tasso d'errore dichiarato.</w:t>
      </w:r>
      <w:r>
        <w:rPr>
          <w:rFonts w:ascii="Barlow Semi Condensed" w:cs="Barlow Semi Condensed" w:eastAsia="Barlow Semi Condensed" w:hAnsi="Barlow Semi Condensed"/>
          <w:sz w:val="24"/>
          <w:szCs w:val="24"/>
        </w:rPr>
        <w:t xml:space="preserve"> Il blocco 372 del manuale investigativo prescrive che ogni processo di massa misuri e pubblichi il proprio tasso d'errore su campione verificato. La serie estende l'obbligo alla trascrizione delle citazioni: doppio spoglio indipendente su campione fisso, secondo la regola del blocco 20 dell'agenda, e pubblicazione dello scarto misurato. Un corpus che non conosce il proprio tasso d'errore può correggersi per caso, non per metodo.</w:t>
      </w:r>
    </w:p>
    <w:p>
      <w:pPr>
        <w:spacing w:after="120" w:line="276"/>
        <w:jc w:val="both"/>
      </w:pPr>
      <w:r>
        <w:rPr>
          <w:rFonts w:ascii="Barlow Semi Condensed" w:cs="Barlow Semi Condensed" w:eastAsia="Barlow Semi Condensed" w:hAnsi="Barlow Semi Condensed"/>
          <w:b/>
          <w:bCs/>
          <w:sz w:val="24"/>
          <w:szCs w:val="24"/>
        </w:rPr>
        <w:t xml:space="preserve">627 · Cercare l'errore in casa.</w:t>
      </w:r>
      <w:r>
        <w:rPr>
          <w:rFonts w:ascii="Barlow Semi Condensed" w:cs="Barlow Semi Condensed" w:eastAsia="Barlow Semi Condensed" w:hAnsi="Barlow Semi Condensed"/>
          <w:sz w:val="24"/>
          <w:szCs w:val="24"/>
        </w:rPr>
        <w:t xml:space="preserve"> Il blocco 231 dell'agenda impone l'atto più scomodo: cercare attivamente l'errore nelle proprie schede — date, attribuzioni, gradi — e correggere per nota, mai per riscrittura. La serie aggiunge il criterio di successo che ne discende: le note di revisione future si contano fra i risultati e non fra le sconfitte. Un'opera che non ne produce nessuna non è esatta; è soltanto poco esaminata da chi la scrive.</w:t>
      </w:r>
    </w:p>
    <w:p>
      <w:pPr>
        <w:spacing w:after="120" w:line="276"/>
        <w:jc w:val="both"/>
      </w:pPr>
      <w:r>
        <w:rPr>
          <w:rFonts w:ascii="Barlow Semi Condensed" w:cs="Barlow Semi Condensed" w:eastAsia="Barlow Semi Condensed" w:hAnsi="Barlow Semi Condensed"/>
          <w:b/>
          <w:bCs/>
          <w:sz w:val="24"/>
          <w:szCs w:val="24"/>
        </w:rPr>
        <w:t xml:space="preserve">628 · L'identificativo che non muta.</w:t>
      </w:r>
      <w:r>
        <w:rPr>
          <w:rFonts w:ascii="Barlow Semi Condensed" w:cs="Barlow Semi Condensed" w:eastAsia="Barlow Semi Condensed" w:hAnsi="Barlow Semi Condensed"/>
          <w:sz w:val="24"/>
          <w:szCs w:val="24"/>
        </w:rPr>
        <w:t xml:space="preserve"> Il blocco 303 del manuale assegna a ogni oggetto del caso un identificativo destinato a non cambiare mai. Applicato alle correzioni produce l'effetto che serve qui: la nota di revisione punta a un identificativo e non a un numero di pagina, e resta agganciata al proprio bersaglio attraverso ogni riedizione. È la sola difesa contro la correzione che si stacca dal testo corretto e va perduta.</w:t>
      </w:r>
    </w:p>
    <w:p>
      <w:pPr>
        <w:spacing w:after="120" w:line="276"/>
        <w:jc w:val="both"/>
      </w:pPr>
      <w:r>
        <w:rPr>
          <w:rFonts w:ascii="Barlow Semi Condensed" w:cs="Barlow Semi Condensed" w:eastAsia="Barlow Semi Condensed" w:hAnsi="Barlow Semi Condensed"/>
          <w:b/>
          <w:bCs/>
          <w:sz w:val="24"/>
          <w:szCs w:val="24"/>
        </w:rPr>
        <w:t xml:space="preserve">629 · L'errore di questa stessa opera.</w:t>
      </w:r>
      <w:r>
        <w:rPr>
          <w:rFonts w:ascii="Barlow Semi Condensed" w:cs="Barlow Semi Condensed" w:eastAsia="Barlow Semi Condensed" w:hAnsi="Barlow Semi Condensed"/>
          <w:sz w:val="24"/>
          <w:szCs w:val="24"/>
        </w:rPr>
        <w:t xml:space="preserve"> Il criterio si applica per primo a chi lo scrive. Il frontespizio di quest'opera è stato riscritto due volte dalla propria campagna di verifica: la mutazione onomastica, che vi si dava compiuta all'emigrazione del 1938 e che il fascicolo d'immigrazione sposta al 1942-1943; e il verbale del 25 settembre 1974, che vi si dava per contenente la frase e non la contiene. Due errori trovati in casa, corretti per nota: è il tasso d'errore dichiarato di queste pagine.</w:t>
      </w:r>
    </w:p>
    <w:p>
      <w:pPr>
        <w:spacing w:after="120" w:line="276"/>
        <w:jc w:val="both"/>
      </w:pPr>
      <w:r>
        <w:rPr>
          <w:rFonts w:ascii="Barlow Semi Condensed" w:cs="Barlow Semi Condensed" w:eastAsia="Barlow Semi Condensed" w:hAnsi="Barlow Semi Condensed"/>
          <w:b/>
          <w:bCs/>
          <w:sz w:val="24"/>
          <w:szCs w:val="24"/>
        </w:rPr>
        <w:t xml:space="preserve">630 · La fedeltà non è immobilità.</w:t>
      </w:r>
      <w:r>
        <w:rPr>
          <w:rFonts w:ascii="Barlow Semi Condensed" w:cs="Barlow Semi Condensed" w:eastAsia="Barlow Semi Condensed" w:hAnsi="Barlow Semi Condensed"/>
          <w:sz w:val="24"/>
          <w:szCs w:val="24"/>
        </w:rPr>
        <w:t xml:space="preserve"> La lente si chiude dove ha cominciato. Un genoma non si conserva restando fermo: si conserva perché esistono meccanismi che leggono, confrontano e riparano, e perché una quota d'errore residua resta e viene misurata. Un corpus storico funziona allo stesso modo. Questa serie non ha aggiunto un fatto al caso: ha aggiunto la manutenzione — e senza manutenzione ogni archivio, col tempo, diventa una leggenda.</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Serie nona — Il DNA non codificante: gli archivi muti</w:t>
      </w:r>
    </w:p>
    <w:p>
      <w:pPr>
        <w:spacing w:after="120" w:line="276"/>
        <w:jc w:val="both"/>
      </w:pPr>
      <w:r>
        <w:rPr>
          <w:rFonts w:ascii="Barlow Semi Condensed" w:cs="Barlow Semi Condensed" w:eastAsia="Barlow Semi Condensed" w:hAnsi="Barlow Semi Condensed"/>
          <w:i/>
          <w:iCs/>
          <w:sz w:val="24"/>
          <w:szCs w:val="24"/>
        </w:rPr>
        <w:t xml:space="preserve">Blocchi 631-715.</w:t>
      </w:r>
    </w:p>
    <w:p>
      <w:pPr>
        <w:spacing w:after="120" w:line="276"/>
        <w:jc w:val="both"/>
      </w:pPr>
      <w:r>
        <w:rPr>
          <w:rFonts w:ascii="Barlow Semi Condensed" w:cs="Barlow Semi Condensed" w:eastAsia="Barlow Semi Condensed" w:hAnsi="Barlow Semi Condensed"/>
          <w:b/>
          <w:bCs/>
          <w:sz w:val="24"/>
          <w:szCs w:val="24"/>
        </w:rPr>
        <w:t xml:space="preserve">631 · Statuto della nona serie.</w:t>
      </w:r>
      <w:r>
        <w:rPr>
          <w:rFonts w:ascii="Barlow Semi Condensed" w:cs="Barlow Semi Condensed" w:eastAsia="Barlow Semi Condensed" w:hAnsi="Barlow Semi Condensed"/>
          <w:sz w:val="24"/>
          <w:szCs w:val="24"/>
        </w:rPr>
        <w:t xml:space="preserve"> Questa serie tratta il materiale che non parla: gli archivi muti, i fascicoli assenti, le serie che non nominano l'oggetto della ricerca. Ogni blocco è un bersaglio con la sede che lo chiuderebbe, una regola di lettura del silenzio o uno Stato Zero verbalizzato. Nessun blocco afferma un fatto nuovo: la serie lavora sul perimetro negativo, che il corpus considera acquisizione di pieno valore quanto il positivo.</w:t>
      </w:r>
    </w:p>
    <w:p>
      <w:pPr>
        <w:spacing w:after="120" w:line="276"/>
        <w:jc w:val="both"/>
      </w:pPr>
      <w:r>
        <w:rPr>
          <w:rFonts w:ascii="Barlow Semi Condensed" w:cs="Barlow Semi Condensed" w:eastAsia="Barlow Semi Condensed" w:hAnsi="Barlow Semi Condensed"/>
          <w:b/>
          <w:bCs/>
          <w:sz w:val="24"/>
          <w:szCs w:val="24"/>
        </w:rPr>
        <w:t xml:space="preserve">632 · Il non codificante, e un errore di lettura.</w:t>
      </w:r>
      <w:r>
        <w:rPr>
          <w:rFonts w:ascii="Barlow Semi Condensed" w:cs="Barlow Semi Condensed" w:eastAsia="Barlow Semi Condensed" w:hAnsi="Barlow Semi Condensed"/>
          <w:sz w:val="24"/>
          <w:szCs w:val="24"/>
        </w:rPr>
        <w:t xml:space="preserve"> La biologia chiamò a lungo spazzatura la porzione di genoma che non produce proteine, salvo scoprire che vi risiedono funzioni regolative: promotori, sequenze che accendono e spengono. L'errore non fu misurare il silenzio, fu dedurne l'inutilità. La lezione che quest'opera trattiene è una sola: il materiale che non esprime non è per ciò stesso privo di informazione. Non ne discende che esprima qualcos'altro in codice.</w:t>
      </w:r>
    </w:p>
    <w:p>
      <w:pPr>
        <w:spacing w:after="120" w:line="276"/>
        <w:jc w:val="both"/>
      </w:pPr>
      <w:r>
        <w:rPr>
          <w:rFonts w:ascii="Barlow Semi Condensed" w:cs="Barlow Semi Condensed" w:eastAsia="Barlow Semi Condensed" w:hAnsi="Barlow Semi Condensed"/>
          <w:b/>
          <w:bCs/>
          <w:sz w:val="24"/>
          <w:szCs w:val="24"/>
        </w:rPr>
        <w:t xml:space="preserve">633 · La traduzione archivistica del muto.</w:t>
      </w:r>
      <w:r>
        <w:rPr>
          <w:rFonts w:ascii="Barlow Semi Condensed" w:cs="Barlow Semi Condensed" w:eastAsia="Barlow Semi Condensed" w:hAnsi="Barlow Semi Condensed"/>
          <w:sz w:val="24"/>
          <w:szCs w:val="24"/>
        </w:rPr>
        <w:t xml:space="preserve"> Nel corpus il non codificante è il materiale che un archivio conserva senza che dica nulla sul quesito: ordini del giorno, note di trasmissione, elenchi di presenze, protocolli di cortesia, il retro di una scheda. Si conserva perché documenta la struttura — chi scriveva a chi, con quale cadenza, in quale forma — e non si legge come se parlasse. La maggior parte davvero non dice nulla, ed è la regola, non l'eccezione.</w:t>
      </w:r>
    </w:p>
    <w:p>
      <w:pPr>
        <w:spacing w:after="120" w:line="276"/>
        <w:jc w:val="both"/>
      </w:pPr>
      <w:r>
        <w:rPr>
          <w:rFonts w:ascii="Barlow Semi Condensed" w:cs="Barlow Semi Condensed" w:eastAsia="Barlow Semi Condensed" w:hAnsi="Barlow Semi Condensed"/>
          <w:b/>
          <w:bCs/>
          <w:sz w:val="24"/>
          <w:szCs w:val="24"/>
        </w:rPr>
        <w:t xml:space="preserve">634 · Dove questa metafora va fermata.</w:t>
      </w:r>
      <w:r>
        <w:rPr>
          <w:rFonts w:ascii="Barlow Semi Condensed" w:cs="Barlow Semi Condensed" w:eastAsia="Barlow Semi Condensed" w:hAnsi="Barlow Semi Condensed"/>
          <w:sz w:val="24"/>
          <w:szCs w:val="24"/>
        </w:rPr>
        <w:t xml:space="preserve"> La biologia ha scoperto funzioni regolative in una parte del non codificante, non in tutto. Trasferire la scoperta all'archivio produrrebbe l'inferenza vietata: che ogni silenzio regoli, che ogni assenza significhi. È il vizio dell'immunizzazione applicato ai vuoti. La lente autorizza a guardare il materiale muto; non autorizza a farlo parlare. Dove spinge in quella direzione, cede la metafora e resta il documento.</w:t>
      </w:r>
    </w:p>
    <w:p>
      <w:pPr>
        <w:spacing w:after="120" w:line="276"/>
        <w:jc w:val="both"/>
      </w:pPr>
      <w:r>
        <w:rPr>
          <w:rFonts w:ascii="Barlow Semi Condensed" w:cs="Barlow Semi Condensed" w:eastAsia="Barlow Semi Condensed" w:hAnsi="Barlow Semi Condensed"/>
          <w:b/>
          <w:bCs/>
          <w:sz w:val="24"/>
          <w:szCs w:val="24"/>
        </w:rPr>
        <w:t xml:space="preserve">635 · Due specie di silenzio, da non confondere.</w:t>
      </w:r>
      <w:r>
        <w:rPr>
          <w:rFonts w:ascii="Barlow Semi Condensed" w:cs="Barlow Semi Condensed" w:eastAsia="Barlow Semi Condensed" w:hAnsi="Barlow Semi Condensed"/>
          <w:sz w:val="24"/>
          <w:szCs w:val="24"/>
        </w:rPr>
        <w:t xml:space="preserve"> Il primo silenzio è quello del documento che esiste e non tratta il quesito: è un dato sul documento. Il secondo è quello del documento che non risulta esistere: è un dato sulla ricerca. Confonderli è l'errore più frequente della pubblicistica, perché il primo si constata leggendo e il secondo solo cercando, con un perimetro dichiarato. I due esiti hanno gradi diversi e verbali diversi, e non si sommano.</w:t>
      </w:r>
    </w:p>
    <w:p>
      <w:pPr>
        <w:spacing w:after="120" w:line="276"/>
        <w:jc w:val="both"/>
      </w:pPr>
      <w:r>
        <w:rPr>
          <w:rFonts w:ascii="Barlow Semi Condensed" w:cs="Barlow Semi Condensed" w:eastAsia="Barlow Semi Condensed" w:hAnsi="Barlow Semi Condensed"/>
          <w:b/>
          <w:bCs/>
          <w:sz w:val="24"/>
          <w:szCs w:val="24"/>
        </w:rPr>
        <w:t xml:space="preserve">636 · Il silenzio d'archivio non è prova.</w:t>
      </w:r>
      <w:r>
        <w:rPr>
          <w:rFonts w:ascii="Barlow Semi Condensed" w:cs="Barlow Semi Condensed" w:eastAsia="Barlow Semi Condensed" w:hAnsi="Barlow Semi Condensed"/>
          <w:sz w:val="24"/>
          <w:szCs w:val="24"/>
        </w:rPr>
        <w:t xml:space="preserve"> Regola di lettura, vincolante per l'intera serie. Che un fondo non contenga un documento non prova che il fatto non sia avvenuto, né che sia avvenuto e sia stato occultato. Prova che quel fondo, come inventariato e come consultato, non lo contiene. Ogni proposizione più ampia richiede un'evidenza propria. Vale in entrambe le direzioni, e la seconda è quella che il corpus deve sorvegliare di più, perché è quella che seduce.</w:t>
      </w:r>
    </w:p>
    <w:p>
      <w:pPr>
        <w:spacing w:after="120" w:line="276"/>
        <w:jc w:val="both"/>
      </w:pPr>
      <w:r>
        <w:rPr>
          <w:rFonts w:ascii="Barlow Semi Condensed" w:cs="Barlow Semi Condensed" w:eastAsia="Barlow Semi Condensed" w:hAnsi="Barlow Semi Condensed"/>
          <w:b/>
          <w:bCs/>
          <w:sz w:val="24"/>
          <w:szCs w:val="24"/>
        </w:rPr>
        <w:t xml:space="preserve">637 · L'argomento dal silenzio, e la sua condizione.</w:t>
      </w:r>
      <w:r>
        <w:rPr>
          <w:rFonts w:ascii="Barlow Semi Condensed" w:cs="Barlow Semi Condensed" w:eastAsia="Barlow Semi Condensed" w:hAnsi="Barlow Semi Condensed"/>
          <w:sz w:val="24"/>
          <w:szCs w:val="24"/>
        </w:rPr>
        <w:t xml:space="preserve"> L'inferenza dal silenzio è lecita a una sola condizione, ed è misurabile: che l'archivio interrogato sia quello dove il documento, se esistesse, dovrebbe trovarsi per prassi di quell'amministrazione. Fuori da questa condizione l'assenza non è indizio ma rumore. La condizione va enunciata prima della ricerca, non dopo l'esito, perché formulata dopo si adatta sempre al risultato ottenuto.</w:t>
      </w:r>
    </w:p>
    <w:p>
      <w:pPr>
        <w:spacing w:after="120" w:line="276"/>
        <w:jc w:val="both"/>
      </w:pPr>
      <w:r>
        <w:rPr>
          <w:rFonts w:ascii="Barlow Semi Condensed" w:cs="Barlow Semi Condensed" w:eastAsia="Barlow Semi Condensed" w:hAnsi="Barlow Semi Condensed"/>
          <w:b/>
          <w:bCs/>
          <w:sz w:val="24"/>
          <w:szCs w:val="24"/>
        </w:rPr>
        <w:t xml:space="preserve">638 · Lo Stato Zero come acquisizione piena.</w:t>
      </w:r>
      <w:r>
        <w:rPr>
          <w:rFonts w:ascii="Barlow Semi Condensed" w:cs="Barlow Semi Condensed" w:eastAsia="Barlow Semi Condensed" w:hAnsi="Barlow Semi Condensed"/>
          <w:sz w:val="24"/>
          <w:szCs w:val="24"/>
        </w:rPr>
        <w:t xml:space="preserve"> Il corpus lo ha stabilito nella fase sesta dell'opera-madre: il perimetro negativo vale quanto la mappa dei pieni, e un'assenza taciuta è menzogna per omissione. Dire che allo stato non esiste alcun documento che provi una data proposizione è affermazione sul mondo, non reticenza. La serie eredita l'istituto e vi aggiunge la sola cosa che gli mancava alla scala di questa triangolazione: le sedi americane.</w:t>
      </w:r>
    </w:p>
    <w:p>
      <w:pPr>
        <w:spacing w:after="120" w:line="276"/>
        <w:jc w:val="both"/>
      </w:pPr>
      <w:r>
        <w:rPr>
          <w:rFonts w:ascii="Barlow Semi Condensed" w:cs="Barlow Semi Condensed" w:eastAsia="Barlow Semi Condensed" w:hAnsi="Barlow Semi Condensed"/>
          <w:b/>
          <w:bCs/>
          <w:sz w:val="24"/>
          <w:szCs w:val="24"/>
        </w:rPr>
        <w:t xml:space="preserve">639 · Il divieto di riempire il buco.</w:t>
      </w:r>
      <w:r>
        <w:rPr>
          <w:rFonts w:ascii="Barlow Semi Condensed" w:cs="Barlow Semi Condensed" w:eastAsia="Barlow Semi Condensed" w:hAnsi="Barlow Semi Condensed"/>
          <w:sz w:val="24"/>
          <w:szCs w:val="24"/>
        </w:rPr>
        <w:t xml:space="preserve"> Il manuale investigativo lo censisce al blocco 259 come errore del buco riempito: ogni lacuna documentale colmata con la narrazione più suggestiva. L'antidoto è la regola dei buchi — si misura, si dichiara, si cerca l'arco documentale — e la constatazione che ne è il cuore: il buco non parla. Questa serie applica il divieto al nodo su cui la tentazione combinatoria è massima, ed è la ragione per cui esiste.</w:t>
      </w:r>
    </w:p>
    <w:p>
      <w:pPr>
        <w:spacing w:after="120" w:line="276"/>
        <w:jc w:val="both"/>
      </w:pPr>
      <w:r>
        <w:rPr>
          <w:rFonts w:ascii="Barlow Semi Condensed" w:cs="Barlow Semi Condensed" w:eastAsia="Barlow Semi Condensed" w:hAnsi="Barlow Semi Condensed"/>
          <w:b/>
          <w:bCs/>
          <w:sz w:val="24"/>
          <w:szCs w:val="24"/>
        </w:rPr>
        <w:t xml:space="preserve">640 · Come una congettura diventa dato.</w:t>
      </w:r>
      <w:r>
        <w:rPr>
          <w:rFonts w:ascii="Barlow Semi Condensed" w:cs="Barlow Semi Condensed" w:eastAsia="Barlow Semi Condensed" w:hAnsi="Barlow Semi Condensed"/>
          <w:sz w:val="24"/>
          <w:szCs w:val="24"/>
        </w:rPr>
        <w:t xml:space="preserve"> Il meccanismo è noto e ha tre tempi. Primo, un vuoto viene colmato con un'ipotesi verosimile. Secondo, l'ipotesi viene ripetuta senza la clausola che la qualificava. Terzo, la ripetizione viene scambiata per pluralità di fonti. Alla fine si cita come acquisito ciò che nessuno ha mai documentato. La contromisura è procedurale: ogni congettura porta la propria etichetta di grado in ogni ripresa, e chi la toglie risponde della caduta.</w:t>
      </w:r>
    </w:p>
    <w:p>
      <w:pPr>
        <w:spacing w:after="120" w:line="276"/>
        <w:jc w:val="both"/>
      </w:pPr>
      <w:r>
        <w:rPr>
          <w:rFonts w:ascii="Barlow Semi Condensed" w:cs="Barlow Semi Condensed" w:eastAsia="Barlow Semi Condensed" w:hAnsi="Barlow Semi Condensed"/>
          <w:b/>
          <w:bCs/>
          <w:sz w:val="24"/>
          <w:szCs w:val="24"/>
        </w:rPr>
        <w:t xml:space="preserve">641 · La regola dei buchi, primo tempo.</w:t>
      </w:r>
      <w:r>
        <w:rPr>
          <w:rFonts w:ascii="Barlow Semi Condensed" w:cs="Barlow Semi Condensed" w:eastAsia="Barlow Semi Condensed" w:hAnsi="Barlow Semi Condensed"/>
          <w:sz w:val="24"/>
          <w:szCs w:val="24"/>
        </w:rPr>
        <w:t xml:space="preserve"> Il corpus la possiede dal documento di metodo: nel grafo dei legami documentati i buchi non sono difetti da riempire, sono il risultato. Ogni buco strutturale è una congettura possibile e non provata, e resta tale finché un documento non diventi arco. La dietrologia riempie i buchi con la narrazione; il corpus li misura e li dichiara. È la prima metà della disciplina, e da sola non basta.</w:t>
      </w:r>
    </w:p>
    <w:p>
      <w:pPr>
        <w:spacing w:after="120" w:line="276"/>
        <w:jc w:val="both"/>
      </w:pPr>
      <w:r>
        <w:rPr>
          <w:rFonts w:ascii="Barlow Semi Condensed" w:cs="Barlow Semi Condensed" w:eastAsia="Barlow Semi Condensed" w:hAnsi="Barlow Semi Condensed"/>
          <w:b/>
          <w:bCs/>
          <w:sz w:val="24"/>
          <w:szCs w:val="24"/>
        </w:rPr>
        <w:t xml:space="preserve">642 · Il secondo tempo, e la sua origine.</w:t>
      </w:r>
      <w:r>
        <w:rPr>
          <w:rFonts w:ascii="Barlow Semi Condensed" w:cs="Barlow Semi Condensed" w:eastAsia="Barlow Semi Condensed" w:hAnsi="Barlow Semi Condensed"/>
          <w:sz w:val="24"/>
          <w:szCs w:val="24"/>
        </w:rPr>
        <w:t xml:space="preserve"> La seconda metà è arrivata con la triangolazione della seconda campagna: un basso rapporto di associazione fra due domini non è indizio di assenza di rapporti, è indizio che nessuno ha scritto un documento che li tratti insieme. Ne discende una procedura a due tempi prima di ogni interrogazione: si misura il buco e lo si dichiara, poi se ne diagnostica la causa nella specializzazione delle fonti. Saltare il secondo passaggio trasforma una lacuna bibliografica in una scoperta.</w:t>
      </w:r>
    </w:p>
    <w:p>
      <w:pPr>
        <w:spacing w:after="120" w:line="276"/>
        <w:jc w:val="both"/>
      </w:pPr>
      <w:r>
        <w:rPr>
          <w:rFonts w:ascii="Barlow Semi Condensed" w:cs="Barlow Semi Condensed" w:eastAsia="Barlow Semi Condensed" w:hAnsi="Barlow Semi Condensed"/>
          <w:b/>
          <w:bCs/>
          <w:sz w:val="24"/>
          <w:szCs w:val="24"/>
        </w:rPr>
        <w:t xml:space="preserve">643 · Il rapporto di co-occorrenza, definito.</w:t>
      </w:r>
      <w:r>
        <w:rPr>
          <w:rFonts w:ascii="Barlow Semi Condensed" w:cs="Barlow Semi Condensed" w:eastAsia="Barlow Semi Condensed" w:hAnsi="Barlow Semi Condensed"/>
          <w:sz w:val="24"/>
          <w:szCs w:val="24"/>
        </w:rPr>
        <w:t xml:space="preserve"> Si chiama così il rapporto fra il numero di documenti che nominano insieme due domini e il numero di quelli che ne nominano almeno uno. È una misura sulla letteratura e sugli archivi effettivamente spogliati, non sul mondo. Un valore basso dice che i due domini sono trattati da comunità di fonti diverse, con archivi diversi e curatori diversi. Dice cioè della specializzazione, prima che dei fatti.</w:t>
      </w:r>
    </w:p>
    <w:p>
      <w:pPr>
        <w:spacing w:after="120" w:line="276"/>
        <w:jc w:val="both"/>
      </w:pPr>
      <w:r>
        <w:rPr>
          <w:rFonts w:ascii="Barlow Semi Condensed" w:cs="Barlow Semi Condensed" w:eastAsia="Barlow Semi Condensed" w:hAnsi="Barlow Semi Condensed"/>
          <w:b/>
          <w:bCs/>
          <w:sz w:val="24"/>
          <w:szCs w:val="24"/>
        </w:rPr>
        <w:t xml:space="preserve">644 · Come si misura, e con quale denominatore.</w:t>
      </w:r>
      <w:r>
        <w:rPr>
          <w:rFonts w:ascii="Barlow Semi Condensed" w:cs="Barlow Semi Condensed" w:eastAsia="Barlow Semi Condensed" w:hAnsi="Barlow Semi Condensed"/>
          <w:sz w:val="24"/>
          <w:szCs w:val="24"/>
        </w:rPr>
        <w:t xml:space="preserve"> La misura vale quanto il perimetro dichiarato. Si enunciano prima: i corpora interrogati, le stringhe e le loro varianti, la finestra cronologica, il criterio di conteggio. Senza denominatore esplicito il numero non è confrontabile con nulla e serve solo a impressionare. La regola operativa della serie è che un rapporto di co-occorrenza si pubblica con la sua ricetta, oppure non si pubblica.</w:t>
      </w:r>
    </w:p>
    <w:p>
      <w:pPr>
        <w:spacing w:after="120" w:line="276"/>
        <w:jc w:val="both"/>
      </w:pPr>
      <w:r>
        <w:rPr>
          <w:rFonts w:ascii="Barlow Semi Condensed" w:cs="Barlow Semi Condensed" w:eastAsia="Barlow Semi Condensed" w:hAnsi="Barlow Semi Condensed"/>
          <w:b/>
          <w:bCs/>
          <w:sz w:val="24"/>
          <w:szCs w:val="24"/>
        </w:rPr>
        <w:t xml:space="preserve">645 · La stringa prima dell'archivio.</w:t>
      </w:r>
      <w:r>
        <w:rPr>
          <w:rFonts w:ascii="Barlow Semi Condensed" w:cs="Barlow Semi Condensed" w:eastAsia="Barlow Semi Condensed" w:hAnsi="Barlow Semi Condensed"/>
          <w:sz w:val="24"/>
          <w:szCs w:val="24"/>
        </w:rPr>
        <w:t xml:space="preserve"> Verificare la forma esatta del nome prima di interrogare un fondo non è pedanteria: l'archivio risponde a ciò che gli si chiede. Una variante plausibile produce un riscontro reale e del tutto estraneo, e un falso positivo danneggia più di un vuoto. La serie prescrive perciò che ogni ricerca dichiari le stringhe usate e le varianti escluse, comprese quelle prodotte dal riconoscimento ottico dei testi.</w:t>
      </w:r>
    </w:p>
    <w:p>
      <w:pPr>
        <w:spacing w:after="120" w:line="276"/>
        <w:jc w:val="both"/>
      </w:pPr>
      <w:r>
        <w:rPr>
          <w:rFonts w:ascii="Barlow Semi Condensed" w:cs="Barlow Semi Condensed" w:eastAsia="Barlow Semi Condensed" w:hAnsi="Barlow Semi Condensed"/>
          <w:b/>
          <w:bCs/>
          <w:sz w:val="24"/>
          <w:szCs w:val="24"/>
        </w:rPr>
        <w:t xml:space="preserve">646 · Lo zero della quadriga, misurato.</w:t>
      </w:r>
      <w:r>
        <w:rPr>
          <w:rFonts w:ascii="Barlow Semi Condensed" w:cs="Barlow Semi Condensed" w:eastAsia="Barlow Semi Condensed" w:hAnsi="Barlow Semi Condensed"/>
          <w:sz w:val="24"/>
          <w:szCs w:val="24"/>
        </w:rPr>
        <w:t xml:space="preserve"> Verifica meccanica già verbalizzata dalla prima serie: il nome di Henry Kissinger non compare in alcuno dei mille blocchi dei nove cantieri, dei quattrocento del manuale investigativo, dei trecento dell'agenda di ricerca. Zero occorrenze su millesettecento unità. È un buco strutturale misurato, e va letto col secondo tempo della regola: i cantieri furono costruiti su archivi che non lo trattano, e manca la colonna statunitense.</w:t>
      </w:r>
    </w:p>
    <w:p>
      <w:pPr>
        <w:spacing w:after="120" w:line="276"/>
        <w:jc w:val="both"/>
      </w:pPr>
      <w:r>
        <w:rPr>
          <w:rFonts w:ascii="Barlow Semi Condensed" w:cs="Barlow Semi Condensed" w:eastAsia="Barlow Semi Condensed" w:hAnsi="Barlow Semi Condensed"/>
          <w:b/>
          <w:bCs/>
          <w:sz w:val="24"/>
          <w:szCs w:val="24"/>
        </w:rPr>
        <w:t xml:space="preserve">647 · Che cosa quello zero non dice.</w:t>
      </w:r>
      <w:r>
        <w:rPr>
          <w:rFonts w:ascii="Barlow Semi Condensed" w:cs="Barlow Semi Condensed" w:eastAsia="Barlow Semi Condensed" w:hAnsi="Barlow Semi Condensed"/>
          <w:sz w:val="24"/>
          <w:szCs w:val="24"/>
        </w:rPr>
        <w:t xml:space="preserve"> Non dice che il nodo sia irrilevante per il caso, né che sia rilevante. Misura una scelta di costruzione: la quadriga fu progettata su Kew, La Courneuve, il Politisches Archiv, il versante vaticano e i giacimenti italiani, e su quelle colonne quel nome non ricorre per ufficio. Trasformare lo zero in un enunciato sul mondo sarebbe l'errore che questa serie esiste per rendere impossibile.</w:t>
      </w:r>
    </w:p>
    <w:p>
      <w:pPr>
        <w:spacing w:after="120" w:line="276"/>
        <w:jc w:val="both"/>
      </w:pPr>
      <w:r>
        <w:rPr>
          <w:rFonts w:ascii="Barlow Semi Condensed" w:cs="Barlow Semi Condensed" w:eastAsia="Barlow Semi Condensed" w:hAnsi="Barlow Semi Condensed"/>
          <w:b/>
          <w:bCs/>
          <w:sz w:val="24"/>
          <w:szCs w:val="24"/>
        </w:rPr>
        <w:t xml:space="preserve">648 · Il bersaglio che ne discende (serie IX).</w:t>
      </w:r>
      <w:r>
        <w:rPr>
          <w:rFonts w:ascii="Barlow Semi Condensed" w:cs="Barlow Semi Condensed" w:eastAsia="Barlow Semi Condensed" w:hAnsi="Barlow Semi Condensed"/>
          <w:sz w:val="24"/>
          <w:szCs w:val="24"/>
        </w:rPr>
        <w:t xml:space="preserve"> Aprire nella quadriga la colonna statunitense, con giacimento proprio e stato d'accesso per ciascuna sede: la serie FRUS 1969-1976, i Nixon Presidential Materials con gli NSC Files e i Country Files Italy ai National Archives di College Park, i National Security Adviser's Memoranda of Conversation alla Gerald R. Ford Presidential Library, la collezione Brzezinski alla Carter Library per il 1978.</w:t>
      </w:r>
    </w:p>
    <w:p>
      <w:pPr>
        <w:spacing w:after="120" w:line="276"/>
        <w:jc w:val="both"/>
      </w:pPr>
      <w:r>
        <w:rPr>
          <w:rFonts w:ascii="Barlow Semi Condensed" w:cs="Barlow Semi Condensed" w:eastAsia="Barlow Semi Condensed" w:hAnsi="Barlow Semi Condensed"/>
          <w:b/>
          <w:bCs/>
          <w:sz w:val="24"/>
          <w:szCs w:val="24"/>
        </w:rPr>
        <w:t xml:space="preserve">649 · Quando un vuoto diventa informativo.</w:t>
      </w:r>
      <w:r>
        <w:rPr>
          <w:rFonts w:ascii="Barlow Semi Condensed" w:cs="Barlow Semi Condensed" w:eastAsia="Barlow Semi Condensed" w:hAnsi="Barlow Semi Condensed"/>
          <w:sz w:val="24"/>
          <w:szCs w:val="24"/>
        </w:rPr>
        <w:t xml:space="preserve"> A una condizione sola, e va scritta: quando l'attesa di trovare era motivata da una prassi documentata. Se un'amministrazione verbalizzava per regola i colloqui di quel genere, l'assenza del verbale è un dato. Se non li verbalizzava, l'assenza non è nulla. Prima di leggere un vuoto si accerta dunque la prassi di redazione dell'ufficio: è lavoro di storia amministrativa, e viene prima dell'interpretazione.</w:t>
      </w:r>
    </w:p>
    <w:p>
      <w:pPr>
        <w:spacing w:after="120" w:line="276"/>
        <w:jc w:val="both"/>
      </w:pPr>
      <w:r>
        <w:rPr>
          <w:rFonts w:ascii="Barlow Semi Condensed" w:cs="Barlow Semi Condensed" w:eastAsia="Barlow Semi Condensed" w:hAnsi="Barlow Semi Condensed"/>
          <w:b/>
          <w:bCs/>
          <w:sz w:val="24"/>
          <w:szCs w:val="24"/>
        </w:rPr>
        <w:t xml:space="preserve">650 · Il calcolo dell'attesa, prima della ricerca.</w:t>
      </w:r>
      <w:r>
        <w:rPr>
          <w:rFonts w:ascii="Barlow Semi Condensed" w:cs="Barlow Semi Condensed" w:eastAsia="Barlow Semi Condensed" w:hAnsi="Barlow Semi Condensed"/>
          <w:sz w:val="24"/>
          <w:szCs w:val="24"/>
        </w:rPr>
        <w:t xml:space="preserve"> Si dichiari, prima di aprire il fondo, quanti documenti pertinenti ci si aspetta e perché. Se la ricerca ne restituisce meno, la differenza è misurabile; se non se ne aspettava nessuno, l'esito negativo non sposta niente e va detto. Formulare l'attesa dopo aver visto il risultato è la forma più diffusa di autoinganno archivistico, e non lascia traccia perché nessuno la verbalizza.</w:t>
      </w:r>
    </w:p>
    <w:p>
      <w:pPr>
        <w:spacing w:after="120" w:line="276"/>
        <w:jc w:val="both"/>
      </w:pPr>
      <w:r>
        <w:rPr>
          <w:rFonts w:ascii="Barlow Semi Condensed" w:cs="Barlow Semi Condensed" w:eastAsia="Barlow Semi Condensed" w:hAnsi="Barlow Semi Condensed"/>
          <w:b/>
          <w:bCs/>
          <w:sz w:val="24"/>
          <w:szCs w:val="24"/>
        </w:rPr>
        <w:t xml:space="preserve">651 · Il verbale di vuoto, le sue voci.</w:t>
      </w:r>
      <w:r>
        <w:rPr>
          <w:rFonts w:ascii="Barlow Semi Condensed" w:cs="Barlow Semi Condensed" w:eastAsia="Barlow Semi Condensed" w:hAnsi="Barlow Semi Condensed"/>
          <w:sz w:val="24"/>
          <w:szCs w:val="24"/>
        </w:rPr>
        <w:t xml:space="preserve"> Il blocco 285 dell'agenda lo impone: l'esito negativo si verbalizza con lo stesso rigore del positivo — che cosa è stato cercato, dove, quando, da chi, con quale perimetro. Il blocco 233 aggiunge la formula che ne è la ragione: il buco misurato è conoscenza, il buco narrato è romanzo. La serie assume entrambi come modulo obbligatorio di ogni proprio esito negativo.</w:t>
      </w:r>
    </w:p>
    <w:p>
      <w:pPr>
        <w:spacing w:after="120" w:line="276"/>
        <w:jc w:val="both"/>
      </w:pPr>
      <w:r>
        <w:rPr>
          <w:rFonts w:ascii="Barlow Semi Condensed" w:cs="Barlow Semi Condensed" w:eastAsia="Barlow Semi Condensed" w:hAnsi="Barlow Semi Condensed"/>
          <w:b/>
          <w:bCs/>
          <w:sz w:val="24"/>
          <w:szCs w:val="24"/>
        </w:rPr>
        <w:t xml:space="preserve">652 · Le varianti della stringa, elencate.</w:t>
      </w:r>
      <w:r>
        <w:rPr>
          <w:rFonts w:ascii="Barlow Semi Condensed" w:cs="Barlow Semi Condensed" w:eastAsia="Barlow Semi Condensed" w:hAnsi="Barlow Semi Condensed"/>
          <w:sz w:val="24"/>
          <w:szCs w:val="24"/>
        </w:rPr>
        <w:t xml:space="preserve"> Il verbale registra le forme cercate e quelle escluse: cognome solo, cognome con iniziale, forme translitterate, errori di riconoscimento ottico frequenti nella serie interrogata. Un fondo digitalizzato male restituisce un vuoto che non esiste. Dichiarare le varianti consente a un terzo di ripetere la ricerca esattamente, che è l'unico modo perché un esito negativo sia falsificabile.</w:t>
      </w:r>
    </w:p>
    <w:p>
      <w:pPr>
        <w:spacing w:after="120" w:line="276"/>
        <w:jc w:val="both"/>
      </w:pPr>
      <w:r>
        <w:rPr>
          <w:rFonts w:ascii="Barlow Semi Condensed" w:cs="Barlow Semi Condensed" w:eastAsia="Barlow Semi Condensed" w:hAnsi="Barlow Semi Condensed"/>
          <w:b/>
          <w:bCs/>
          <w:sz w:val="24"/>
          <w:szCs w:val="24"/>
        </w:rPr>
        <w:t xml:space="preserve">653 · Il perimetro cronologico dichiarato.</w:t>
      </w:r>
      <w:r>
        <w:rPr>
          <w:rFonts w:ascii="Barlow Semi Condensed" w:cs="Barlow Semi Condensed" w:eastAsia="Barlow Semi Condensed" w:hAnsi="Barlow Semi Condensed"/>
          <w:sz w:val="24"/>
          <w:szCs w:val="24"/>
        </w:rPr>
        <w:t xml:space="preserve"> Ogni verbale di vuoto porta la sua finestra: dal giorno al giorno, con la ragione della scelta. Una ricerca condotta sul solo settembre 1974 e una condotta sull'intero biennio non producono lo stesso esito negativo, e presentarle come equivalenti falsa il risultato. La finestra si giustifica in una riga, e la riga entra nel verbale accanto all'esito.</w:t>
      </w:r>
    </w:p>
    <w:p>
      <w:pPr>
        <w:spacing w:after="120" w:line="276"/>
        <w:jc w:val="both"/>
      </w:pPr>
      <w:r>
        <w:rPr>
          <w:rFonts w:ascii="Barlow Semi Condensed" w:cs="Barlow Semi Condensed" w:eastAsia="Barlow Semi Condensed" w:hAnsi="Barlow Semi Condensed"/>
          <w:b/>
          <w:bCs/>
          <w:sz w:val="24"/>
          <w:szCs w:val="24"/>
        </w:rPr>
        <w:t xml:space="preserve">654 · Il perimetro seriale, e il suo costo.</w:t>
      </w:r>
      <w:r>
        <w:rPr>
          <w:rFonts w:ascii="Barlow Semi Condensed" w:cs="Barlow Semi Condensed" w:eastAsia="Barlow Semi Condensed" w:hAnsi="Barlow Semi Condensed"/>
          <w:sz w:val="24"/>
          <w:szCs w:val="24"/>
        </w:rPr>
        <w:t xml:space="preserve"> Accanto alla finestra sta l'elenco delle serie effettivamente aperte: fondo, serie, buste o faldoni, con l'indicazione di quanto è stato consultato rispetto a quanto esiste. Un vuoto su tre buste di duecento non è uno Stato Zero: è un campione. La differenza fra campione ed esaustività va scritta, perché è la differenza fra una notizia e un'acquisizione.</w:t>
      </w:r>
    </w:p>
    <w:p>
      <w:pPr>
        <w:spacing w:after="120" w:line="276"/>
        <w:jc w:val="both"/>
      </w:pPr>
      <w:r>
        <w:rPr>
          <w:rFonts w:ascii="Barlow Semi Condensed" w:cs="Barlow Semi Condensed" w:eastAsia="Barlow Semi Condensed" w:hAnsi="Barlow Semi Condensed"/>
          <w:b/>
          <w:bCs/>
          <w:sz w:val="24"/>
          <w:szCs w:val="24"/>
        </w:rPr>
        <w:t xml:space="preserve">655 · La data del verbale, e la scadenza.</w:t>
      </w:r>
      <w:r>
        <w:rPr>
          <w:rFonts w:ascii="Barlow Semi Condensed" w:cs="Barlow Semi Condensed" w:eastAsia="Barlow Semi Condensed" w:hAnsi="Barlow Semi Condensed"/>
          <w:sz w:val="24"/>
          <w:szCs w:val="24"/>
        </w:rPr>
        <w:t xml:space="preserve"> Uno Stato Zero è datato per costruzione: dice che a una certa data, in una certa sede, con un certo perimetro, non si è trovato. Gli inventari cambiano, le declassifiche maturano, i fondi si versano. Il verbale porta perciò la propria data di riesame, agganciata al calendario delle aperture: un esito negativo non riesaminato per vent'anni non è più un dato, è un ricordo.</w:t>
      </w:r>
    </w:p>
    <w:p>
      <w:pPr>
        <w:spacing w:after="120" w:line="276"/>
        <w:jc w:val="both"/>
      </w:pPr>
      <w:r>
        <w:rPr>
          <w:rFonts w:ascii="Barlow Semi Condensed" w:cs="Barlow Semi Condensed" w:eastAsia="Barlow Semi Condensed" w:hAnsi="Barlow Semi Condensed"/>
          <w:b/>
          <w:bCs/>
          <w:sz w:val="24"/>
          <w:szCs w:val="24"/>
        </w:rPr>
        <w:t xml:space="preserve">656 · Il verbale impedisce la doppia ricerca.</w:t>
      </w:r>
      <w:r>
        <w:rPr>
          <w:rFonts w:ascii="Barlow Semi Condensed" w:cs="Barlow Semi Condensed" w:eastAsia="Barlow Semi Condensed" w:hAnsi="Barlow Semi Condensed"/>
          <w:sz w:val="24"/>
          <w:szCs w:val="24"/>
        </w:rPr>
        <w:t xml:space="preserve"> È la sua funzione più prosaica e la più utile. Senza registro dei vuoti ogni gruppo di ricerca rifà le stesse interrogazioni negli stessi fondi, consumando le sole risorse davvero scarse di questo mestiere: giornate di sala e pazienza degli archivisti. Accumulati, i verbali disegnano la mappa di ciò che il caso non potrà più sapere, e quella mappa vale quanto un inventario.</w:t>
      </w:r>
    </w:p>
    <w:p>
      <w:pPr>
        <w:spacing w:after="120" w:line="276"/>
        <w:jc w:val="both"/>
      </w:pPr>
      <w:r>
        <w:rPr>
          <w:rFonts w:ascii="Barlow Semi Condensed" w:cs="Barlow Semi Condensed" w:eastAsia="Barlow Semi Condensed" w:hAnsi="Barlow Semi Condensed"/>
          <w:b/>
          <w:bCs/>
          <w:sz w:val="24"/>
          <w:szCs w:val="24"/>
        </w:rPr>
        <w:t xml:space="preserve">657 · Il vuoto pubblicato è falsificabile.</w:t>
      </w:r>
      <w:r>
        <w:rPr>
          <w:rFonts w:ascii="Barlow Semi Condensed" w:cs="Barlow Semi Condensed" w:eastAsia="Barlow Semi Condensed" w:hAnsi="Barlow Semi Condensed"/>
          <w:sz w:val="24"/>
          <w:szCs w:val="24"/>
        </w:rPr>
        <w:t xml:space="preserve"> Un esito negativo tenuto per sé non è metodo, è opinione. Pubblicato con perimetro, data e stringhe, diventa una proposizione che chiunque può abbattere trovando il documento. È la forma più esposta che una ricerca possa assumere, ed è la ragione per cui vale: chi dichiara i propri vuoti si offre alla smentita, chi li tace li protegge.</w:t>
      </w:r>
    </w:p>
    <w:p>
      <w:pPr>
        <w:spacing w:after="120" w:line="276"/>
        <w:jc w:val="both"/>
      </w:pPr>
      <w:r>
        <w:rPr>
          <w:rFonts w:ascii="Barlow Semi Condensed" w:cs="Barlow Semi Condensed" w:eastAsia="Barlow Semi Condensed" w:hAnsi="Barlow Semi Condensed"/>
          <w:b/>
          <w:bCs/>
          <w:sz w:val="24"/>
          <w:szCs w:val="24"/>
        </w:rPr>
        <w:t xml:space="preserve">658 · Chi ha cercato firma.</w:t>
      </w:r>
      <w:r>
        <w:rPr>
          <w:rFonts w:ascii="Barlow Semi Condensed" w:cs="Barlow Semi Condensed" w:eastAsia="Barlow Semi Condensed" w:hAnsi="Barlow Semi Condensed"/>
          <w:sz w:val="24"/>
          <w:szCs w:val="24"/>
        </w:rPr>
        <w:t xml:space="preserve"> Il verbale porta il nome di chi ha condotto la ricerca, come una perizia. Non per attribuire merito, ma perché la competenza dell'operatore è parte del dato: chi conosce la struttura di un fondo trova ciò che a un altro sfugge. Un esito negativo anonimo non è valutabile. La firma è, in questo campo, l'equivalente della catena di custodia.</w:t>
      </w:r>
    </w:p>
    <w:p>
      <w:pPr>
        <w:spacing w:after="120" w:line="276"/>
        <w:jc w:val="both"/>
      </w:pPr>
      <w:r>
        <w:rPr>
          <w:rFonts w:ascii="Barlow Semi Condensed" w:cs="Barlow Semi Condensed" w:eastAsia="Barlow Semi Condensed" w:hAnsi="Barlow Semi Condensed"/>
          <w:b/>
          <w:bCs/>
          <w:sz w:val="24"/>
          <w:szCs w:val="24"/>
        </w:rPr>
        <w:t xml:space="preserve">659 · Non trovato non è non cercato.</w:t>
      </w:r>
      <w:r>
        <w:rPr>
          <w:rFonts w:ascii="Barlow Semi Condensed" w:cs="Barlow Semi Condensed" w:eastAsia="Barlow Semi Condensed" w:hAnsi="Barlow Semi Condensed"/>
          <w:sz w:val="24"/>
          <w:szCs w:val="24"/>
        </w:rPr>
        <w:t xml:space="preserve"> Il manuale investigativo fissa al blocco 252 l'esito trinario di ogni atto di verifica: positivo, negativo, non eseguito — e il terzo si protocolla come tale. Applicato agli archivi, significa che una sede mai interrogata non produce Stato Zero e non entra nel perimetro negativo. La confusione fra le due condizioni gonfia il conto dei vuoti e svuota l'istituto del suo valore.</w:t>
      </w:r>
    </w:p>
    <w:p>
      <w:pPr>
        <w:spacing w:after="120" w:line="276"/>
        <w:jc w:val="both"/>
      </w:pPr>
      <w:r>
        <w:rPr>
          <w:rFonts w:ascii="Barlow Semi Condensed" w:cs="Barlow Semi Condensed" w:eastAsia="Barlow Semi Condensed" w:hAnsi="Barlow Semi Condensed"/>
          <w:b/>
          <w:bCs/>
          <w:sz w:val="24"/>
          <w:szCs w:val="24"/>
        </w:rPr>
        <w:t xml:space="preserve">660 · Il registro dei vuoti, forma tabellare.</w:t>
      </w:r>
      <w:r>
        <w:rPr>
          <w:rFonts w:ascii="Barlow Semi Condensed" w:cs="Barlow Semi Condensed" w:eastAsia="Barlow Semi Condensed" w:hAnsi="Barlow Semi Condensed"/>
          <w:sz w:val="24"/>
          <w:szCs w:val="24"/>
        </w:rPr>
        <w:t xml:space="preserve"> La serie propone un registro unico e pubblico: oggetto cercato, sede, serie, finestra, stringhe, data, operatore, esito, data di riesame. Una riga per vuoto. Il corpus tiene già registri analoghi per le richieste d'accesso e per le smentite riuscite; questo ne è lo speculare negativo, e va mantenuto con la stessa cura, perché è la sola parte dell'opera che cresce mentre non si trova nulla.</w:t>
      </w:r>
    </w:p>
    <w:p>
      <w:pPr>
        <w:spacing w:after="120" w:line="276"/>
        <w:jc w:val="both"/>
      </w:pPr>
      <w:r>
        <w:rPr>
          <w:rFonts w:ascii="Barlow Semi Condensed" w:cs="Barlow Semi Condensed" w:eastAsia="Barlow Semi Condensed" w:hAnsi="Barlow Semi Condensed"/>
          <w:b/>
          <w:bCs/>
          <w:sz w:val="24"/>
          <w:szCs w:val="24"/>
        </w:rPr>
        <w:t xml:space="preserve">661 · La condizione di riapertura di un vuoto.</w:t>
      </w:r>
      <w:r>
        <w:rPr>
          <w:rFonts w:ascii="Barlow Semi Condensed" w:cs="Barlow Semi Condensed" w:eastAsia="Barlow Semi Condensed" w:hAnsi="Barlow Semi Condensed"/>
          <w:sz w:val="24"/>
          <w:szCs w:val="24"/>
        </w:rPr>
        <w:t xml:space="preserve"> Uno Stato Zero non si riapre per suggestione, per anniversario o per pressione pubblica: si riapre davanti a un fatto archivistico nuovo — un versamento, una declassifica, un inventario pubblicato, una serie prima non consultabile. La condizione si scrive nel verbale al momento della chiusura, non dopo. Chi riapre senza indicarla sta ricominciando la ricerca, non correggendola.</w:t>
      </w:r>
    </w:p>
    <w:p>
      <w:pPr>
        <w:spacing w:after="120" w:line="276"/>
        <w:jc w:val="both"/>
      </w:pPr>
      <w:r>
        <w:rPr>
          <w:rFonts w:ascii="Barlow Semi Condensed" w:cs="Barlow Semi Condensed" w:eastAsia="Barlow Semi Condensed" w:hAnsi="Barlow Semi Condensed"/>
          <w:b/>
          <w:bCs/>
          <w:sz w:val="24"/>
          <w:szCs w:val="24"/>
        </w:rPr>
        <w:t xml:space="preserve">662 · Il vuoto che si chiude collazionando.</w:t>
      </w:r>
      <w:r>
        <w:rPr>
          <w:rFonts w:ascii="Barlow Semi Condensed" w:cs="Barlow Semi Condensed" w:eastAsia="Barlow Semi Condensed" w:hAnsi="Barlow Semi Condensed"/>
          <w:sz w:val="24"/>
          <w:szCs w:val="24"/>
        </w:rPr>
        <w:t xml:space="preserve"> La seconda campagna della Farnesina ne offre l'esempio: l'ingresso delle due Germanie alle Nazioni Unite era dichiarato Stato Zero da una ricognizione e datato al 18 settembre 1973 dall'altra su documentazione ufficiale. Un vuoto era una lacuna di spoglio, non un buco del mondo. È la ragione per cui i documenti si incrociano prima di archiviarli, e per cui uno Stato Zero solitario va sempre sospettato.</w:t>
      </w:r>
    </w:p>
    <w:p>
      <w:pPr>
        <w:spacing w:after="120" w:line="276"/>
        <w:jc w:val="both"/>
      </w:pPr>
      <w:r>
        <w:rPr>
          <w:rFonts w:ascii="Barlow Semi Condensed" w:cs="Barlow Semi Condensed" w:eastAsia="Barlow Semi Condensed" w:hAnsi="Barlow Semi Condensed"/>
          <w:b/>
          <w:bCs/>
          <w:sz w:val="24"/>
          <w:szCs w:val="24"/>
        </w:rPr>
        <w:t xml:space="preserve">663 · Ford Library, oltre i due verbali noti.</w:t>
      </w:r>
      <w:r>
        <w:rPr>
          <w:rFonts w:ascii="Barlow Semi Condensed" w:cs="Barlow Semi Condensed" w:eastAsia="Barlow Semi Condensed" w:hAnsi="Barlow Semi Condensed"/>
          <w:sz w:val="24"/>
          <w:szCs w:val="24"/>
        </w:rPr>
        <w:t xml:space="preserve"> I due memoranda noti al corpus — il colloquio dello Studio Ovale del 25 settembre 1974, file 1552802, e quello del 26 settembre, file 1552806 — appartengono a una serie assai più ampia, i National Security Adviser's Memoranda of Conversation. Bersaglio: lo spoglio integrale della serie per la finestra italiana. Quesito, non asserzione: verificare se altri memoranda relativi a quella visita esistano, e che cosa contengano.</w:t>
      </w:r>
    </w:p>
    <w:p>
      <w:pPr>
        <w:spacing w:after="120" w:line="276"/>
        <w:jc w:val="both"/>
      </w:pPr>
      <w:r>
        <w:rPr>
          <w:rFonts w:ascii="Barlow Semi Condensed" w:cs="Barlow Semi Condensed" w:eastAsia="Barlow Semi Condensed" w:hAnsi="Barlow Semi Condensed"/>
          <w:b/>
          <w:bCs/>
          <w:sz w:val="24"/>
          <w:szCs w:val="24"/>
        </w:rPr>
        <w:t xml:space="preserve">664 · Le trascrizioni telefoniche come genere.</w:t>
      </w:r>
      <w:r>
        <w:rPr>
          <w:rFonts w:ascii="Barlow Semi Condensed" w:cs="Barlow Semi Condensed" w:eastAsia="Barlow Semi Condensed" w:hAnsi="Barlow Semi Condensed"/>
          <w:sz w:val="24"/>
          <w:szCs w:val="24"/>
        </w:rPr>
        <w:t xml:space="preserve"> Il fondo presidenziale conserva, accanto ai memoranda, trascrizioni di conversazioni telefoniche redatte per ufficio. È un genere distinto, con prassi di redazione propria, e va interrogato separatamente. Bersaglio formulato come quesito: verificare quali trascrizioni relative all'Italia risultino conservate e accessibili per gli anni 1974-1976, e verbalizzare l'esito, positivo o negativo che sia, col perimetro seriale.</w:t>
      </w:r>
    </w:p>
    <w:p>
      <w:pPr>
        <w:spacing w:after="120" w:line="276"/>
        <w:jc w:val="both"/>
      </w:pPr>
      <w:r>
        <w:rPr>
          <w:rFonts w:ascii="Barlow Semi Condensed" w:cs="Barlow Semi Condensed" w:eastAsia="Barlow Semi Condensed" w:hAnsi="Barlow Semi Condensed"/>
          <w:b/>
          <w:bCs/>
          <w:sz w:val="24"/>
          <w:szCs w:val="24"/>
        </w:rPr>
        <w:t xml:space="preserve">665 · College Park, il fascicolo per paese.</w:t>
      </w:r>
      <w:r>
        <w:rPr>
          <w:rFonts w:ascii="Barlow Semi Condensed" w:cs="Barlow Semi Condensed" w:eastAsia="Barlow Semi Condensed" w:hAnsi="Barlow Semi Condensed"/>
          <w:sz w:val="24"/>
          <w:szCs w:val="24"/>
        </w:rPr>
        <w:t xml:space="preserve"> I Nixon Presidential Materials, NSC Files, Country Files Italy, presso i National Archives di College Park, sono la sede che la ricognizione della Farnesina indica per i verbali di colloqui diretti fra Moro e i suoi omologhi statunitensi negli anni 1969-1972. La ricognizione registra l'esito negativo: non ne ha reperiti di editi e comparabili a quello del 1974. La sede di chiusura è nominata; lo spoglio resta da fare.</w:t>
      </w:r>
    </w:p>
    <w:p>
      <w:pPr>
        <w:spacing w:after="120" w:line="276"/>
        <w:jc w:val="both"/>
      </w:pPr>
      <w:r>
        <w:rPr>
          <w:rFonts w:ascii="Barlow Semi Condensed" w:cs="Barlow Semi Condensed" w:eastAsia="Barlow Semi Condensed" w:hAnsi="Barlow Semi Condensed"/>
          <w:b/>
          <w:bCs/>
          <w:sz w:val="24"/>
          <w:szCs w:val="24"/>
        </w:rPr>
        <w:t xml:space="preserve">666 · Lo studio sull'Italia del dicembre 1969.</w:t>
      </w:r>
      <w:r>
        <w:rPr>
          <w:rFonts w:ascii="Barlow Semi Condensed" w:cs="Barlow Semi Condensed" w:eastAsia="Barlow Semi Condensed" w:hAnsi="Barlow Semi Condensed"/>
          <w:sz w:val="24"/>
          <w:szCs w:val="24"/>
        </w:rPr>
        <w:t xml:space="preserve"> Il documento 188 del volume XLI dei FRUS registra l'istruzione di Nixon di avviare uno studio sull'Italia. È fatto pubblico e attesta una cosa sola: che lo studio fu ordinato. Non attesta contenuto, esiti né alcun rapporto con persone italiane determinate. Bersaglio: reperire lo studio e i suoi allegati a College Park; se non risultano, verbalizzare il vuoto con perimetro seriale esatto.</w:t>
      </w:r>
    </w:p>
    <w:p>
      <w:pPr>
        <w:spacing w:after="120" w:line="276"/>
        <w:jc w:val="both"/>
      </w:pPr>
      <w:r>
        <w:rPr>
          <w:rFonts w:ascii="Barlow Semi Condensed" w:cs="Barlow Semi Condensed" w:eastAsia="Barlow Semi Condensed" w:hAnsi="Barlow Semi Condensed"/>
          <w:b/>
          <w:bCs/>
          <w:sz w:val="24"/>
          <w:szCs w:val="24"/>
        </w:rPr>
        <w:t xml:space="preserve">667 · Atlanta, il Country File del 1978.</w:t>
      </w:r>
      <w:r>
        <w:rPr>
          <w:rFonts w:ascii="Barlow Semi Condensed" w:cs="Barlow Semi Condensed" w:eastAsia="Barlow Semi Condensed" w:hAnsi="Barlow Semi Condensed"/>
          <w:sz w:val="24"/>
          <w:szCs w:val="24"/>
        </w:rPr>
        <w:t xml:space="preserve"> Il blocco 133 dell'agenda fissa la collezione National Security Affairs, Brzezinski Material, con il suo Country File italiano, alla Jimmy Carter Presidential Library: processata e aperta. È il giacimento presidenziale che copre i cinquantacinque giorni. Bersaglio: lo spoglio del fascicolo italiano con la disciplina di lettura dell'agenda — un appunto per il presidente riferisce, non accerta, ed entra col grado della propria natura.</w:t>
      </w:r>
    </w:p>
    <w:p>
      <w:pPr>
        <w:spacing w:after="120" w:line="276"/>
        <w:jc w:val="both"/>
      </w:pPr>
      <w:r>
        <w:rPr>
          <w:rFonts w:ascii="Barlow Semi Condensed" w:cs="Barlow Semi Condensed" w:eastAsia="Barlow Semi Condensed" w:hAnsi="Barlow Semi Condensed"/>
          <w:b/>
          <w:bCs/>
          <w:sz w:val="24"/>
          <w:szCs w:val="24"/>
        </w:rPr>
        <w:t xml:space="preserve">668 · La fisiologia dell'archivio presidenziale.</w:t>
      </w:r>
      <w:r>
        <w:rPr>
          <w:rFonts w:ascii="Barlow Semi Condensed" w:cs="Barlow Semi Condensed" w:eastAsia="Barlow Semi Condensed" w:hAnsi="Barlow Semi Condensed"/>
          <w:sz w:val="24"/>
          <w:szCs w:val="24"/>
        </w:rPr>
        <w:t xml:space="preserve"> Ogni sistema archivistico ha regole proprie, e chi non le impara chiede ciò che il sistema non può dare. Gli archivi presidenziali statunitensi hanno calendari di apertura, procedure di revisione e materiali ancora in lavorazione. La serie prescrive di censire per ciascuna sede il regime d'accesso prima di formulare la richiesta, e di registrarlo accanto all'esito, perché un diniego procedurale e un vuoto documentale non sono la stessa cosa.</w:t>
      </w:r>
    </w:p>
    <w:p>
      <w:pPr>
        <w:spacing w:after="120" w:line="276"/>
        <w:jc w:val="both"/>
      </w:pPr>
      <w:r>
        <w:rPr>
          <w:rFonts w:ascii="Barlow Semi Condensed" w:cs="Barlow Semi Condensed" w:eastAsia="Barlow Semi Condensed" w:hAnsi="Barlow Semi Condensed"/>
          <w:b/>
          <w:bCs/>
          <w:sz w:val="24"/>
          <w:szCs w:val="24"/>
        </w:rPr>
        <w:t xml:space="preserve">669 · Le schede del ritenuto come misura.</w:t>
      </w:r>
      <w:r>
        <w:rPr>
          <w:rFonts w:ascii="Barlow Semi Condensed" w:cs="Barlow Semi Condensed" w:eastAsia="Barlow Semi Condensed" w:hAnsi="Barlow Semi Condensed"/>
          <w:sz w:val="24"/>
          <w:szCs w:val="24"/>
        </w:rPr>
        <w:t xml:space="preserve"> Il blocco 127 dell'agenda porta a tavola il censimento delle carte dichiaratamente trattenute nei fascicoli del 1978: per ogni carta ritirata, serie, data, originatore, stato della richiedibilità. È lo strumento che trasforma un'assenza in un oggetto: là dove la scheda segnala il ritiro, il vuoto ha un nome, una data e un destinatario di richiesta. È la forma migliore che un buco possa assumere.</w:t>
      </w:r>
    </w:p>
    <w:p>
      <w:pPr>
        <w:spacing w:after="120" w:line="276"/>
        <w:jc w:val="both"/>
      </w:pPr>
      <w:r>
        <w:rPr>
          <w:rFonts w:ascii="Barlow Semi Condensed" w:cs="Barlow Semi Condensed" w:eastAsia="Barlow Semi Condensed" w:hAnsi="Barlow Semi Condensed"/>
          <w:b/>
          <w:bCs/>
          <w:sz w:val="24"/>
          <w:szCs w:val="24"/>
        </w:rPr>
        <w:t xml:space="preserve">670 · Gli strumenti dell'erosione.</w:t>
      </w:r>
      <w:r>
        <w:rPr>
          <w:rFonts w:ascii="Barlow Semi Condensed" w:cs="Barlow Semi Condensed" w:eastAsia="Barlow Semi Condensed" w:hAnsi="Barlow Semi Condensed"/>
          <w:sz w:val="24"/>
          <w:szCs w:val="24"/>
        </w:rPr>
        <w:t xml:space="preserve"> Il blocco 131 dell'agenda descrive la strategia: richieste di accesso e di revisione obbligatoria della classifica, mirate, una per carta o per piccolo lotto, con motivazione storica argomentata. Non si chiede tutto: si erode. Ogni rilascio è una carta nuova, ogni diniego motivato è un dato sul perimetro. La serie adotta la strategia per la colonna statunitense che ancora non esiste.</w:t>
      </w:r>
    </w:p>
    <w:p>
      <w:pPr>
        <w:spacing w:after="120" w:line="276"/>
        <w:jc w:val="both"/>
      </w:pPr>
      <w:r>
        <w:rPr>
          <w:rFonts w:ascii="Barlow Semi Condensed" w:cs="Barlow Semi Condensed" w:eastAsia="Barlow Semi Condensed" w:hAnsi="Barlow Semi Condensed"/>
          <w:b/>
          <w:bCs/>
          <w:sz w:val="24"/>
          <w:szCs w:val="24"/>
        </w:rPr>
        <w:t xml:space="preserve">671 · Il diniego motivato è un'acquisizione.</w:t>
      </w:r>
      <w:r>
        <w:rPr>
          <w:rFonts w:ascii="Barlow Semi Condensed" w:cs="Barlow Semi Condensed" w:eastAsia="Barlow Semi Condensed" w:hAnsi="Barlow Semi Condensed"/>
          <w:sz w:val="24"/>
          <w:szCs w:val="24"/>
        </w:rPr>
        <w:t xml:space="preserve"> Un rifiuto che indica la norma applicata e la serie interessata dice tre cose: che il documento esiste, che è collocato, che è protetto da un titolo determinato. Vale più di molte ricerche riuscite altrove. Il verbale lo registra distintamente dal non trovato, perché i due esiti hanno seguiti diversi: il primo si impugna nei tempi previsti, il secondo si riesamina a calendario.</w:t>
      </w:r>
    </w:p>
    <w:p>
      <w:pPr>
        <w:spacing w:after="120" w:line="276"/>
        <w:jc w:val="both"/>
      </w:pPr>
      <w:r>
        <w:rPr>
          <w:rFonts w:ascii="Barlow Semi Condensed" w:cs="Barlow Semi Condensed" w:eastAsia="Barlow Semi Condensed" w:hAnsi="Barlow Semi Condensed"/>
          <w:b/>
          <w:bCs/>
          <w:sz w:val="24"/>
          <w:szCs w:val="24"/>
        </w:rPr>
        <w:t xml:space="preserve">672 · La collezione a microfiche (serie IX).</w:t>
      </w:r>
      <w:r>
        <w:rPr>
          <w:rFonts w:ascii="Barlow Semi Condensed" w:cs="Barlow Semi Condensed" w:eastAsia="Barlow Semi Condensed" w:hAnsi="Barlow Semi Condensed"/>
          <w:sz w:val="24"/>
          <w:szCs w:val="24"/>
        </w:rPr>
        <w:t xml:space="preserve"> Il blocco 129 dell'agenda censisce nella biblioteca di accesso agli atti del Dipartimento di Stato una collezione dedicata ad Aldo Moro, rilascio storico su microfiche non interamente digitalizzato. Bersaglio: acquisizione integrale e confronto col già noto, con la domanda esplicita — che cosa contiene che le banche dati non mostrano? Ciò che non vi si trova va verbalizzato con l'elenco delle fiche effettivamente lette.</w:t>
      </w:r>
    </w:p>
    <w:p>
      <w:pPr>
        <w:spacing w:after="120" w:line="276"/>
        <w:jc w:val="both"/>
      </w:pPr>
      <w:r>
        <w:rPr>
          <w:rFonts w:ascii="Barlow Semi Condensed" w:cs="Barlow Semi Condensed" w:eastAsia="Barlow Semi Condensed" w:hAnsi="Barlow Semi Condensed"/>
          <w:b/>
          <w:bCs/>
          <w:sz w:val="24"/>
          <w:szCs w:val="24"/>
        </w:rPr>
        <w:t xml:space="preserve">673 · I limiti di copertura di una banca dati.</w:t>
      </w:r>
      <w:r>
        <w:rPr>
          <w:rFonts w:ascii="Barlow Semi Condensed" w:cs="Barlow Semi Condensed" w:eastAsia="Barlow Semi Condensed" w:hAnsi="Barlow Semi Condensed"/>
          <w:sz w:val="24"/>
          <w:szCs w:val="24"/>
        </w:rPr>
        <w:t xml:space="preserve"> I telegrammi elettronici del Dipartimento di Stato sono interrogabili a testo pieno per una finestra dichiarata, dal 1 luglio 1973 al 31 dicembre 1979. Fuori da quella finestra l'assenza di riscontri non è un vuoto: è il confine dello strumento. Confondere il limite di copertura con l'esito della ricerca è l'errore più banale e più frequente della ricerca digitale, e va scritto in ogni verbale.</w:t>
      </w:r>
    </w:p>
    <w:p>
      <w:pPr>
        <w:spacing w:after="120" w:line="276"/>
        <w:jc w:val="both"/>
      </w:pPr>
      <w:r>
        <w:rPr>
          <w:rFonts w:ascii="Barlow Semi Condensed" w:cs="Barlow Semi Condensed" w:eastAsia="Barlow Semi Condensed" w:hAnsi="Barlow Semi Condensed"/>
          <w:b/>
          <w:bCs/>
          <w:sz w:val="24"/>
          <w:szCs w:val="24"/>
        </w:rPr>
        <w:t xml:space="preserve">674 · La sala di lettura e i suoi ritagli.</w:t>
      </w:r>
      <w:r>
        <w:rPr>
          <w:rFonts w:ascii="Barlow Semi Condensed" w:cs="Barlow Semi Condensed" w:eastAsia="Barlow Semi Condensed" w:hAnsi="Barlow Semi Condensed"/>
          <w:sz w:val="24"/>
          <w:szCs w:val="24"/>
        </w:rPr>
        <w:t xml:space="preserve"> Il blocco 132 dell'agenda impone una disciplina di lettura per i fondi declassificati dell'agenzia statunitense: distinguere i documenti analitici dalle rassegne stampa raccolte internamente, che sono rassegna e non intelligence. Un ritaglio conservato in un archivio riservato resta un ritaglio. Marcare ciascun reperto per quello che è impedisce il più insidioso dei falsi positivi, quello che ha l'aspetto della fonte primaria.</w:t>
      </w:r>
    </w:p>
    <w:p>
      <w:pPr>
        <w:spacing w:after="120" w:line="276"/>
        <w:jc w:val="both"/>
      </w:pPr>
      <w:r>
        <w:rPr>
          <w:rFonts w:ascii="Barlow Semi Condensed" w:cs="Barlow Semi Condensed" w:eastAsia="Barlow Semi Condensed" w:hAnsi="Barlow Semi Condensed"/>
          <w:b/>
          <w:bCs/>
          <w:sz w:val="24"/>
          <w:szCs w:val="24"/>
        </w:rPr>
        <w:t xml:space="preserve">675 · FRUS è una selezione, non un fondo.</w:t>
      </w:r>
      <w:r>
        <w:rPr>
          <w:rFonts w:ascii="Barlow Semi Condensed" w:cs="Barlow Semi Condensed" w:eastAsia="Barlow Semi Condensed" w:hAnsi="Barlow Semi Condensed"/>
          <w:sz w:val="24"/>
          <w:szCs w:val="24"/>
        </w:rPr>
        <w:t xml:space="preserve"> La serie Foreign Relations of the United States è un'edizione curata: qualcuno scelse che cosa includere, da quali fondi, con quali criteri. Leggerla come se fosse l'archivio produce un vuoto illusorio ogni volta che un documento non vi compare. La regola operativa è duplice: si cita l'edizione con la sua nota, e si risale sempre al fondo che l'ha alimentata.</w:t>
      </w:r>
    </w:p>
    <w:p>
      <w:pPr>
        <w:spacing w:after="120" w:line="276"/>
        <w:jc w:val="both"/>
      </w:pPr>
      <w:r>
        <w:rPr>
          <w:rFonts w:ascii="Barlow Semi Condensed" w:cs="Barlow Semi Condensed" w:eastAsia="Barlow Semi Condensed" w:hAnsi="Barlow Semi Condensed"/>
          <w:b/>
          <w:bCs/>
          <w:sz w:val="24"/>
          <w:szCs w:val="24"/>
        </w:rPr>
        <w:t xml:space="preserve">676 · La seconda edizione riveduta.</w:t>
      </w:r>
      <w:r>
        <w:rPr>
          <w:rFonts w:ascii="Barlow Semi Condensed" w:cs="Barlow Semi Condensed" w:eastAsia="Barlow Semi Condensed" w:hAnsi="Barlow Semi Condensed"/>
          <w:sz w:val="24"/>
          <w:szCs w:val="24"/>
        </w:rPr>
        <w:t xml:space="preserve"> Il verbale dello Studio Ovale del 25 settembre 1974 è il documento 350 del volume E-15 parte 2 della serie 1969-1976, nella seconda edizione riveduta. La precisazione non è pedanteria bibliografica: un'edizione riveduta è una collazione, e due edizioni possono divergere. Chi cita senza indicare quale ha letto rende irripetibile la propria verifica, e una verifica irripetibile non è una verifica.</w:t>
      </w:r>
    </w:p>
    <w:p>
      <w:pPr>
        <w:spacing w:after="120" w:line="276"/>
        <w:jc w:val="both"/>
      </w:pPr>
      <w:r>
        <w:rPr>
          <w:rFonts w:ascii="Barlow Semi Condensed" w:cs="Barlow Semi Condensed" w:eastAsia="Barlow Semi Condensed" w:hAnsi="Barlow Semi Condensed"/>
          <w:b/>
          <w:bCs/>
          <w:sz w:val="24"/>
          <w:szCs w:val="24"/>
        </w:rPr>
        <w:t xml:space="preserve">677 · I volumi che coprono il caso.</w:t>
      </w:r>
      <w:r>
        <w:rPr>
          <w:rFonts w:ascii="Barlow Semi Condensed" w:cs="Barlow Semi Condensed" w:eastAsia="Barlow Semi Condensed" w:hAnsi="Barlow Semi Condensed"/>
          <w:sz w:val="24"/>
          <w:szCs w:val="24"/>
        </w:rPr>
        <w:t xml:space="preserve"> Il blocco 134 dell'agenda fissa come bersaglio i volumi della serie per gli anni 1977-1980: che cosa il curatore incluse sull'Italia, da quali fondi, con quali rinvii archivistici. La domanda va posta come quesito e non come asserzione, perché lo stato di pubblicazione dei volumi cambia nel tempo: si accerta alla data della ricerca e si verbalizza con quella data accanto.</w:t>
      </w:r>
    </w:p>
    <w:p>
      <w:pPr>
        <w:spacing w:after="120" w:line="276"/>
        <w:jc w:val="both"/>
      </w:pPr>
      <w:r>
        <w:rPr>
          <w:rFonts w:ascii="Barlow Semi Condensed" w:cs="Barlow Semi Condensed" w:eastAsia="Barlow Semi Condensed" w:hAnsi="Barlow Semi Condensed"/>
          <w:b/>
          <w:bCs/>
          <w:sz w:val="24"/>
          <w:szCs w:val="24"/>
        </w:rPr>
        <w:t xml:space="preserve">678 · Ciò che non è ancora edito.</w:t>
      </w:r>
      <w:r>
        <w:rPr>
          <w:rFonts w:ascii="Barlow Semi Condensed" w:cs="Barlow Semi Condensed" w:eastAsia="Barlow Semi Condensed" w:hAnsi="Barlow Semi Condensed"/>
          <w:sz w:val="24"/>
          <w:szCs w:val="24"/>
        </w:rPr>
        <w:t xml:space="preserve"> Dove un volume atteso non risulta pubblicato, il vuoto è editoriale e non archivistico: i documenti esistono nei fondi, non ancora nella selezione. È distinzione operativa e non accademica, perché indirizza altrove — al fondo, alla richiesta di revisione, alla sala di lettura — invece di far attendere. Il verbale registra la data in cui lo stato di pubblicazione è stato accertato.</w:t>
      </w:r>
    </w:p>
    <w:p>
      <w:pPr>
        <w:spacing w:after="120" w:line="276"/>
        <w:jc w:val="both"/>
      </w:pPr>
      <w:r>
        <w:rPr>
          <w:rFonts w:ascii="Barlow Semi Condensed" w:cs="Barlow Semi Condensed" w:eastAsia="Barlow Semi Condensed" w:hAnsi="Barlow Semi Condensed"/>
          <w:b/>
          <w:bCs/>
          <w:sz w:val="24"/>
          <w:szCs w:val="24"/>
        </w:rPr>
        <w:t xml:space="preserve">679 · Le note come segnature.</w:t>
      </w:r>
      <w:r>
        <w:rPr>
          <w:rFonts w:ascii="Barlow Semi Condensed" w:cs="Barlow Semi Condensed" w:eastAsia="Barlow Semi Condensed" w:hAnsi="Barlow Semi Condensed"/>
          <w:sz w:val="24"/>
          <w:szCs w:val="24"/>
        </w:rPr>
        <w:t xml:space="preserve"> Ogni nota a piè di pagina di un volume edito è l'indirizzo di un documento in un fondo. È la ragione per cui l'edizione, pur essendo una selezione, è anche una mappa: dichiara gli archivi che l'hanno alimentata. La procedura della serie è seguire le note prima di formulare qualunque richiesta, perché una richiesta con segnatura ha tempi ed esiti diversi da una richiesta generica.</w:t>
      </w:r>
    </w:p>
    <w:p>
      <w:pPr>
        <w:spacing w:after="120" w:line="276"/>
        <w:jc w:val="both"/>
      </w:pPr>
      <w:r>
        <w:rPr>
          <w:rFonts w:ascii="Barlow Semi Condensed" w:cs="Barlow Semi Condensed" w:eastAsia="Barlow Semi Condensed" w:hAnsi="Barlow Semi Condensed"/>
          <w:b/>
          <w:bCs/>
          <w:sz w:val="24"/>
          <w:szCs w:val="24"/>
        </w:rPr>
        <w:t xml:space="preserve">680 · Il documento non incluso esiste comunque.</w:t>
      </w:r>
      <w:r>
        <w:rPr>
          <w:rFonts w:ascii="Barlow Semi Condensed" w:cs="Barlow Semi Condensed" w:eastAsia="Barlow Semi Condensed" w:hAnsi="Barlow Semi Condensed"/>
          <w:sz w:val="24"/>
          <w:szCs w:val="24"/>
        </w:rPr>
        <w:t xml:space="preserve"> Dall'assenza di un documento in un'edizione curata non discende la sua inesistenza, né la sua irrilevanza, né la sua soppressione. Discende una sola cosa: che il curatore non lo scelse, per criteri che l'introduzione del volume dichiara. Leggere una selezione come un censimento è la versione erudita dell'errore del buco riempito, ed è più pericolosa perché indossa l'abito della filologia.</w:t>
      </w:r>
    </w:p>
    <w:p>
      <w:pPr>
        <w:spacing w:after="120" w:line="276"/>
        <w:jc w:val="both"/>
      </w:pPr>
      <w:r>
        <w:rPr>
          <w:rFonts w:ascii="Barlow Semi Condensed" w:cs="Barlow Semi Condensed" w:eastAsia="Barlow Semi Condensed" w:hAnsi="Barlow Semi Condensed"/>
          <w:b/>
          <w:bCs/>
          <w:sz w:val="24"/>
          <w:szCs w:val="24"/>
        </w:rPr>
        <w:t xml:space="preserve">681 · Il ritardo come regola, non come segno.</w:t>
      </w:r>
      <w:r>
        <w:rPr>
          <w:rFonts w:ascii="Barlow Semi Condensed" w:cs="Barlow Semi Condensed" w:eastAsia="Barlow Semi Condensed" w:hAnsi="Barlow Semi Condensed"/>
          <w:sz w:val="24"/>
          <w:szCs w:val="24"/>
        </w:rPr>
        <w:t xml:space="preserve"> I sistemi di declassifica hanno tempi statutari, arretrati e code. Un documento non ancora disponibile è, nella grande maggioranza dei casi, un documento in coda. Attribuire a ogni ritardo un'intenzione è l'errore speculare a quello di negare che l'occultamento esista: entrambi sostituiscono una spiegazione all'accertamento. La serie chiede, per ogni carta attesa, quale sia il suo stato procedurale documentato.</w:t>
      </w:r>
    </w:p>
    <w:p>
      <w:pPr>
        <w:spacing w:after="120" w:line="276"/>
        <w:jc w:val="both"/>
      </w:pPr>
      <w:r>
        <w:rPr>
          <w:rFonts w:ascii="Barlow Semi Condensed" w:cs="Barlow Semi Condensed" w:eastAsia="Barlow Semi Condensed" w:hAnsi="Barlow Semi Condensed"/>
          <w:b/>
          <w:bCs/>
          <w:sz w:val="24"/>
          <w:szCs w:val="24"/>
        </w:rPr>
        <w:t xml:space="preserve">682 · Buco editoriale e buco archivistico.</w:t>
      </w:r>
      <w:r>
        <w:rPr>
          <w:rFonts w:ascii="Barlow Semi Condensed" w:cs="Barlow Semi Condensed" w:eastAsia="Barlow Semi Condensed" w:hAnsi="Barlow Semi Condensed"/>
          <w:sz w:val="24"/>
          <w:szCs w:val="24"/>
        </w:rPr>
        <w:t xml:space="preserve"> Vanno tenuti su righe separate del registro. Il primo è la mancata inclusione in un'edizione; il secondo è l'assenza da un fondo interrogato. Il primo si supera leggendo altrove, il secondo solo con un versamento o con una declassifica. Chiamarli con lo stesso nome fa perdere la sola informazione utile che un vuoto contenga, cioè la direzione in cui muoversi.</w:t>
      </w:r>
    </w:p>
    <w:p>
      <w:pPr>
        <w:spacing w:after="120" w:line="276"/>
        <w:jc w:val="both"/>
      </w:pPr>
      <w:r>
        <w:rPr>
          <w:rFonts w:ascii="Barlow Semi Condensed" w:cs="Barlow Semi Condensed" w:eastAsia="Barlow Semi Condensed" w:hAnsi="Barlow Semi Condensed"/>
          <w:b/>
          <w:bCs/>
          <w:sz w:val="24"/>
          <w:szCs w:val="24"/>
        </w:rPr>
        <w:t xml:space="preserve">683 · La Farnesina non è aperta senza riserve.</w:t>
      </w:r>
      <w:r>
        <w:rPr>
          <w:rFonts w:ascii="Barlow Semi Condensed" w:cs="Barlow Semi Condensed" w:eastAsia="Barlow Semi Condensed" w:hAnsi="Barlow Semi Condensed"/>
          <w:sz w:val="24"/>
          <w:szCs w:val="24"/>
        </w:rPr>
        <w:t xml:space="preserve"> La triangolazione della seconda campagna ha corretto la quadriga proprio qui: i blocchi 55 e 78 dei cantieri e il blocco 244 dell'agenda trattavano l'Archivio storico diplomatico come sede aperta. La barriera dei cinquant'anni rende l'arco 1969-1974 teoricamente accessibile; l'inventariazione non lo rende praticamente tale, e la disponibilità dei faldoni va verificata caso per caso. Il costo del bersaglio va rivisto prima di pianificare.</w:t>
      </w:r>
    </w:p>
    <w:p>
      <w:pPr>
        <w:spacing w:after="120" w:line="276"/>
        <w:jc w:val="both"/>
      </w:pPr>
      <w:r>
        <w:rPr>
          <w:rFonts w:ascii="Barlow Semi Condensed" w:cs="Barlow Semi Condensed" w:eastAsia="Barlow Semi Condensed" w:hAnsi="Barlow Semi Condensed"/>
          <w:b/>
          <w:bCs/>
          <w:sz w:val="24"/>
          <w:szCs w:val="24"/>
        </w:rPr>
        <w:t xml:space="preserve">684 · L'esclusione che va scritta nel verbale.</w:t>
      </w:r>
      <w:r>
        <w:rPr>
          <w:rFonts w:ascii="Barlow Semi Condensed" w:cs="Barlow Semi Condensed" w:eastAsia="Barlow Semi Condensed" w:hAnsi="Barlow Semi Condensed"/>
          <w:sz w:val="24"/>
          <w:szCs w:val="24"/>
        </w:rPr>
        <w:t xml:space="preserve"> Alla condizione operativa dei faldoni si aggiunge un'esclusione temporanea dichiarata, quella dei Telegrammi per il periodo 1942-1970. Chi cerchi in quella serie e non trovi non ha prodotto uno Stato Zero: ha incontrato una porta chiusa. La differenza fra fondo consultato e fondo escluso va registrata in ogni riga del registro dei vuoti, perché sposta l'esito da acquisizione a sospensione.</w:t>
      </w:r>
    </w:p>
    <w:p>
      <w:pPr>
        <w:spacing w:after="120" w:line="276"/>
        <w:jc w:val="both"/>
      </w:pPr>
      <w:r>
        <w:rPr>
          <w:rFonts w:ascii="Barlow Semi Condensed" w:cs="Barlow Semi Condensed" w:eastAsia="Barlow Semi Condensed" w:hAnsi="Barlow Semi Condensed"/>
          <w:b/>
          <w:bCs/>
          <w:sz w:val="24"/>
          <w:szCs w:val="24"/>
        </w:rPr>
        <w:t xml:space="preserve">685 · I carteggi di gabinetto del ministro.</w:t>
      </w:r>
      <w:r>
        <w:rPr>
          <w:rFonts w:ascii="Barlow Semi Condensed" w:cs="Barlow Semi Condensed" w:eastAsia="Barlow Semi Condensed" w:hAnsi="Barlow Semi Condensed"/>
          <w:sz w:val="24"/>
          <w:szCs w:val="24"/>
        </w:rPr>
        <w:t xml:space="preserve"> La ricognizione-madre colloca al primo posto per rendimento atteso i carteggi del gabinetto del ministro degli Esteri per gli anni 1969-1974, con le serie della direzione generale degli affari politici. È il giacimento dove, se esiste, sta il lato italiano di ogni colloquio bilaterale del periodo. Condizione di chiusura dichiarata: la conferma inventariale da richiedere alla sede. Allo stato, esito negativo.</w:t>
      </w:r>
    </w:p>
    <w:p>
      <w:pPr>
        <w:spacing w:after="120" w:line="276"/>
        <w:jc w:val="both"/>
      </w:pPr>
      <w:r>
        <w:rPr>
          <w:rFonts w:ascii="Barlow Semi Condensed" w:cs="Barlow Semi Condensed" w:eastAsia="Barlow Semi Condensed" w:hAnsi="Barlow Semi Condensed"/>
          <w:b/>
          <w:bCs/>
          <w:sz w:val="24"/>
          <w:szCs w:val="24"/>
        </w:rPr>
        <w:t xml:space="preserve">686 · La serie dell'ambasciata a Washington (serie IX).</w:t>
      </w:r>
      <w:r>
        <w:rPr>
          <w:rFonts w:ascii="Barlow Semi Condensed" w:cs="Barlow Semi Condensed" w:eastAsia="Barlow Semi Condensed" w:hAnsi="Barlow Semi Condensed"/>
          <w:sz w:val="24"/>
          <w:szCs w:val="24"/>
        </w:rPr>
        <w:t xml:space="preserve"> Bersaglio parallelo, formulato come quesito: verificare quali serie della rappresentanza italiana negli Stati Uniti per gli anni 1969-1976 risultino versate e consultabili, e che cosa documentino delle visite ufficiali. Non si asserisce che vi si trovi un appunto sul colloquio del settembre 1974: si indica dove andrebbe cercato, e si verbalizza l'esito con il perimetro seriale dichiarato.</w:t>
      </w:r>
    </w:p>
    <w:p>
      <w:pPr>
        <w:spacing w:after="120" w:line="276"/>
        <w:jc w:val="both"/>
      </w:pPr>
      <w:r>
        <w:rPr>
          <w:rFonts w:ascii="Barlow Semi Condensed" w:cs="Barlow Semi Condensed" w:eastAsia="Barlow Semi Condensed" w:hAnsi="Barlow Semi Condensed"/>
          <w:b/>
          <w:bCs/>
          <w:sz w:val="24"/>
          <w:szCs w:val="24"/>
        </w:rPr>
        <w:t xml:space="preserve">687 · La collazione bilaterale come strumento.</w:t>
      </w:r>
      <w:r>
        <w:rPr>
          <w:rFonts w:ascii="Barlow Semi Condensed" w:cs="Barlow Semi Condensed" w:eastAsia="Barlow Semi Condensed" w:hAnsi="Barlow Semi Condensed"/>
          <w:sz w:val="24"/>
          <w:szCs w:val="24"/>
        </w:rPr>
        <w:t xml:space="preserve"> Il blocco 153 dell'agenda la prescrive per le giornate chiave: che cosa riferì ciascuna capitale, e dove i resoconti divergono. Applicata qui, significa mettere il verbale statunitense accanto all'eventuale appunto italiano dello stesso colloquio. Ogni divergenza è o un errore di una sede o un'informazione che una sola sede aveva. Se il lato italiano manca, il vuoto si dichiara: è metà della collazione.</w:t>
      </w:r>
    </w:p>
    <w:p>
      <w:pPr>
        <w:spacing w:after="120" w:line="276"/>
        <w:jc w:val="both"/>
      </w:pPr>
      <w:r>
        <w:rPr>
          <w:rFonts w:ascii="Barlow Semi Condensed" w:cs="Barlow Semi Condensed" w:eastAsia="Barlow Semi Condensed" w:hAnsi="Barlow Semi Condensed"/>
          <w:b/>
          <w:bCs/>
          <w:sz w:val="24"/>
          <w:szCs w:val="24"/>
        </w:rPr>
        <w:t xml:space="preserve">688 · Il telegramma da Tunisi, dichiarato assente.</w:t>
      </w:r>
      <w:r>
        <w:rPr>
          <w:rFonts w:ascii="Barlow Semi Condensed" w:cs="Barlow Semi Condensed" w:eastAsia="Barlow Semi Condensed" w:hAnsi="Barlow Semi Condensed"/>
          <w:sz w:val="24"/>
          <w:szCs w:val="24"/>
        </w:rPr>
        <w:t xml:space="preserve"> Il corpus registra come Stato Zero condiviso il telegramma del 6 settembre 1970 da Tunisi, noto solo per via memorialistica indiretta e privo di fonte primaria, con la sede di chiusura nell'Archivio storico diplomatico. È il caso di scuola: una carta esiste nel racconto di un protagonista e non risulta negli atti. Finché resta tale, si cita l'esistenza del racconto, mai il contenuto del documento.</w:t>
      </w:r>
    </w:p>
    <w:p>
      <w:pPr>
        <w:spacing w:after="120" w:line="276"/>
        <w:jc w:val="both"/>
      </w:pPr>
      <w:r>
        <w:rPr>
          <w:rFonts w:ascii="Barlow Semi Condensed" w:cs="Barlow Semi Condensed" w:eastAsia="Barlow Semi Condensed" w:hAnsi="Barlow Semi Condensed"/>
          <w:b/>
          <w:bCs/>
          <w:sz w:val="24"/>
          <w:szCs w:val="24"/>
        </w:rPr>
        <w:t xml:space="preserve">689 · Le repliche parlamentari del ministro.</w:t>
      </w:r>
      <w:r>
        <w:rPr>
          <w:rFonts w:ascii="Barlow Semi Condensed" w:cs="Barlow Semi Condensed" w:eastAsia="Barlow Semi Condensed" w:hAnsi="Barlow Semi Condensed"/>
          <w:sz w:val="24"/>
          <w:szCs w:val="24"/>
        </w:rPr>
        <w:t xml:space="preserve"> Secondo posto per rendimento nella tavola degli esiti negativi della ricognizione: le repliche di Moro sui bilanci degli Esteri per gli anni 1970, 1971, 1972 e 1974, con numero di seduta e data. La condizione di chiusura è modesta e materiale — la consultazione della raccolta a stampa dei discorsi parlamentari — e proprio per questo il vuoto è istruttivo: non lo protegge alcun segreto, solo la fatica.</w:t>
      </w:r>
    </w:p>
    <w:p>
      <w:pPr>
        <w:spacing w:after="120" w:line="276"/>
        <w:jc w:val="both"/>
      </w:pPr>
      <w:r>
        <w:rPr>
          <w:rFonts w:ascii="Barlow Semi Condensed" w:cs="Barlow Semi Condensed" w:eastAsia="Barlow Semi Condensed" w:hAnsi="Barlow Semi Condensed"/>
          <w:b/>
          <w:bCs/>
          <w:sz w:val="24"/>
          <w:szCs w:val="24"/>
        </w:rPr>
        <w:t xml:space="preserve">690 · Il quarto deposito delle carte.</w:t>
      </w:r>
      <w:r>
        <w:rPr>
          <w:rFonts w:ascii="Barlow Semi Condensed" w:cs="Barlow Semi Condensed" w:eastAsia="Barlow Semi Condensed" w:hAnsi="Barlow Semi Condensed"/>
          <w:sz w:val="24"/>
          <w:szCs w:val="24"/>
        </w:rPr>
        <w:t xml:space="preserve"> La seconda campagna ha imposto un'altra correzione alla quadriga: ai tre nuclei delle carte di Moro censiti dai blocchi 221-223 e 235 dei cantieri si aggiunge un deposito con segnatura propria, IT-AFS-048, con unità digitalizzate che riguardano proprio il ministro degli Esteri. Il registro dei tre nuclei va emendato per nota. Quel vuoto era un errore di censimento, non un'assenza.</w:t>
      </w:r>
    </w:p>
    <w:p>
      <w:pPr>
        <w:spacing w:after="120" w:line="276"/>
        <w:jc w:val="both"/>
      </w:pPr>
      <w:r>
        <w:rPr>
          <w:rFonts w:ascii="Barlow Semi Condensed" w:cs="Barlow Semi Condensed" w:eastAsia="Barlow Semi Condensed" w:hAnsi="Barlow Semi Condensed"/>
          <w:b/>
          <w:bCs/>
          <w:sz w:val="24"/>
          <w:szCs w:val="24"/>
        </w:rPr>
        <w:t xml:space="preserve">691 · Il giacimento della Direttiva.</w:t>
      </w:r>
      <w:r>
        <w:rPr>
          <w:rFonts w:ascii="Barlow Semi Condensed" w:cs="Barlow Semi Condensed" w:eastAsia="Barlow Semi Condensed" w:hAnsi="Barlow Semi Condensed"/>
          <w:sz w:val="24"/>
          <w:szCs w:val="24"/>
        </w:rPr>
        <w:t xml:space="preserve"> La raccolta speciale costituita all'Archivio centrale dello Stato in forza delle direttive sulla desecretazione è il giacimento nazionale maggiore del caso, e i blocchi 16-45 dell'agenda ne organizzano lo spoglio delle circa duemila buste con doppio controllo. Ogni ricerca a vuoto condotta su quelle buste va verbalizzata con la forma consueta: è il fondo dove il rischio di ricercare due volte è massimo.</w:t>
      </w:r>
    </w:p>
    <w:p>
      <w:pPr>
        <w:spacing w:after="120" w:line="276"/>
        <w:jc w:val="both"/>
      </w:pPr>
      <w:r>
        <w:rPr>
          <w:rFonts w:ascii="Barlow Semi Condensed" w:cs="Barlow Semi Condensed" w:eastAsia="Barlow Semi Condensed" w:hAnsi="Barlow Semi Condensed"/>
          <w:b/>
          <w:bCs/>
          <w:sz w:val="24"/>
          <w:szCs w:val="24"/>
        </w:rPr>
        <w:t xml:space="preserve">692 · La confusione dei fondi genera vuoti.</w:t>
      </w:r>
      <w:r>
        <w:rPr>
          <w:rFonts w:ascii="Barlow Semi Condensed" w:cs="Barlow Semi Condensed" w:eastAsia="Barlow Semi Condensed" w:hAnsi="Barlow Semi Condensed"/>
          <w:sz w:val="24"/>
          <w:szCs w:val="24"/>
        </w:rPr>
        <w:t xml:space="preserve"> Molti vuoti dichiarati sono errori di indirizzo: si cerca nel fondo sbagliato e si conclude che il documento non esiste. Il corpus tiene per questo un registro delle confusioni correnti fra i depositi delle carte di Moro. La serie ne trae una regola: prima di verbalizzare un vuoto si verifica che la sede interrogata fosse quella competente, e la verifica entra nel verbale.</w:t>
      </w:r>
    </w:p>
    <w:p>
      <w:pPr>
        <w:spacing w:after="120" w:line="276"/>
        <w:jc w:val="both"/>
      </w:pPr>
      <w:r>
        <w:rPr>
          <w:rFonts w:ascii="Barlow Semi Condensed" w:cs="Barlow Semi Condensed" w:eastAsia="Barlow Semi Condensed" w:hAnsi="Barlow Semi Condensed"/>
          <w:b/>
          <w:bCs/>
          <w:sz w:val="24"/>
          <w:szCs w:val="24"/>
        </w:rPr>
        <w:t xml:space="preserve">693 · Il costo dichiarato del bersaglio.</w:t>
      </w:r>
      <w:r>
        <w:rPr>
          <w:rFonts w:ascii="Barlow Semi Condensed" w:cs="Barlow Semi Condensed" w:eastAsia="Barlow Semi Condensed" w:hAnsi="Barlow Semi Condensed"/>
          <w:sz w:val="24"/>
          <w:szCs w:val="24"/>
        </w:rPr>
        <w:t xml:space="preserve"> Il blocco 286 dell'agenda impone a ogni campagna di esporre il proprio bilancio: giornate d'archivio, missioni, diritti di riproduzione. Applicato ai vuoti, significa che un esito negativo va letto anche come misura di sforzo: due giornate di sala e due mesi di spoglio non producono lo stesso Stato Zero. Il verbale registra l'impegno, perché è ciò che consente a un terzo di giudicarne il peso.</w:t>
      </w:r>
    </w:p>
    <w:p>
      <w:pPr>
        <w:spacing w:after="120" w:line="276"/>
        <w:jc w:val="both"/>
      </w:pPr>
      <w:r>
        <w:rPr>
          <w:rFonts w:ascii="Barlow Semi Condensed" w:cs="Barlow Semi Condensed" w:eastAsia="Barlow Semi Condensed" w:hAnsi="Barlow Semi Condensed"/>
          <w:b/>
          <w:bCs/>
          <w:sz w:val="24"/>
          <w:szCs w:val="24"/>
        </w:rPr>
        <w:t xml:space="preserve">694 · Lo Stato Zero condiviso di due archivi.</w:t>
      </w:r>
      <w:r>
        <w:rPr>
          <w:rFonts w:ascii="Barlow Semi Condensed" w:cs="Barlow Semi Condensed" w:eastAsia="Barlow Semi Condensed" w:hAnsi="Barlow Semi Condensed"/>
          <w:sz w:val="24"/>
          <w:szCs w:val="24"/>
        </w:rPr>
        <w:t xml:space="preserve"> Il contatto diretto fra Moro e i ministri degli Esteri spagnoli è dichiarato Stato Zero identicamente dai documenti nuovi e dal corpus, con due sedi di chiusura: l'Archivio storico diplomatico e l'Archivo General de la Administración di Alcalá de Henares, con il limite segnalato dalla storiografia sui fondi ministeriali. Due archivi, un solo vuoto: è il modello di come si scrive un esito negativo bilaterale.</w:t>
      </w:r>
    </w:p>
    <w:p>
      <w:pPr>
        <w:spacing w:after="120" w:line="276"/>
        <w:jc w:val="both"/>
      </w:pPr>
      <w:r>
        <w:rPr>
          <w:rFonts w:ascii="Barlow Semi Condensed" w:cs="Barlow Semi Condensed" w:eastAsia="Barlow Semi Condensed" w:hAnsi="Barlow Semi Condensed"/>
          <w:b/>
          <w:bCs/>
          <w:sz w:val="24"/>
          <w:szCs w:val="24"/>
        </w:rPr>
        <w:t xml:space="preserve">695 · Gli atti della Commissione, e la sede.</w:t>
      </w:r>
      <w:r>
        <w:rPr>
          <w:rFonts w:ascii="Barlow Semi Condensed" w:cs="Barlow Semi Condensed" w:eastAsia="Barlow Semi Condensed" w:hAnsi="Barlow Semi Condensed"/>
          <w:sz w:val="24"/>
          <w:szCs w:val="24"/>
        </w:rPr>
        <w:t xml:space="preserve"> L'audizione di Eleonora Chiavarelli Moro davanti alla Commissione parlamentare d'inchiesta è collocata al 1 agosto 1980, e una fonte indica l'11, verosimilmente per lettura errata della data. La sede è confermata; il contenuto verbatim di quella deposizione resta da riscontrare. Bersaglio: i resoconti stenografici della Commissione nella documentazione parlamentare della legislatura, letti direttamente e non per sintesi.</w:t>
      </w:r>
    </w:p>
    <w:p>
      <w:pPr>
        <w:spacing w:after="120" w:line="276"/>
        <w:jc w:val="both"/>
      </w:pPr>
      <w:r>
        <w:rPr>
          <w:rFonts w:ascii="Barlow Semi Condensed" w:cs="Barlow Semi Condensed" w:eastAsia="Barlow Semi Condensed" w:hAnsi="Barlow Semi Condensed"/>
          <w:b/>
          <w:bCs/>
          <w:sz w:val="24"/>
          <w:szCs w:val="24"/>
        </w:rPr>
        <w:t xml:space="preserve">696 · Sede confermata, contenuto da verificare.</w:t>
      </w:r>
      <w:r>
        <w:rPr>
          <w:rFonts w:ascii="Barlow Semi Condensed" w:cs="Barlow Semi Condensed" w:eastAsia="Barlow Semi Condensed" w:hAnsi="Barlow Semi Condensed"/>
          <w:sz w:val="24"/>
          <w:szCs w:val="24"/>
        </w:rPr>
        <w:t xml:space="preserve"> È la formula più utile prodotta dalle verifiche del corpus, e va usata come categoria autonoma del registro. Significa che si sa dove un atto fu compiuto e non che cosa vi fu detto. Le sintesi attribuiscono la frase alla deposizione giudiziaria del 1982, mentre dell'audizione del 1980 riportano soprattutto un riferimento a minacce risalenti al 1975 e crescenti. I due piani restano distinti finché il resoconto non li unisca.</w:t>
      </w:r>
    </w:p>
    <w:p>
      <w:pPr>
        <w:spacing w:after="120" w:line="276"/>
        <w:jc w:val="both"/>
      </w:pPr>
      <w:r>
        <w:rPr>
          <w:rFonts w:ascii="Barlow Semi Condensed" w:cs="Barlow Semi Condensed" w:eastAsia="Barlow Semi Condensed" w:hAnsi="Barlow Semi Condensed"/>
          <w:b/>
          <w:bCs/>
          <w:sz w:val="24"/>
          <w:szCs w:val="24"/>
        </w:rPr>
        <w:t xml:space="preserve">697 · Il verbale d'udienza del 1982.</w:t>
      </w:r>
      <w:r>
        <w:rPr>
          <w:rFonts w:ascii="Barlow Semi Condensed" w:cs="Barlow Semi Condensed" w:eastAsia="Barlow Semi Condensed" w:hAnsi="Barlow Semi Condensed"/>
          <w:sz w:val="24"/>
          <w:szCs w:val="24"/>
        </w:rPr>
        <w:t xml:space="preserve"> Corrado Guerzoni depose davanti alla Corte d'assise di Roma nel novembre 1982 — il 10 secondo la datazione più ricorrente, il 15 secondo una fonte, divergenza non risolta — e depose de relato, non avendo assistito al colloquio. Bersaglio: il verbale d'udienza integrale presso gli atti della corte. Finché non è letto, la testimonianza resta al grado B nella sua accezione debole, e la data resta divergente.</w:t>
      </w:r>
    </w:p>
    <w:p>
      <w:pPr>
        <w:spacing w:after="120" w:line="276"/>
        <w:jc w:val="both"/>
      </w:pPr>
      <w:r>
        <w:rPr>
          <w:rFonts w:ascii="Barlow Semi Condensed" w:cs="Barlow Semi Condensed" w:eastAsia="Barlow Semi Condensed" w:hAnsi="Barlow Semi Condensed"/>
          <w:b/>
          <w:bCs/>
          <w:sz w:val="24"/>
          <w:szCs w:val="24"/>
        </w:rPr>
        <w:t xml:space="preserve">698 · Il fondo della seconda Commissione.</w:t>
      </w:r>
      <w:r>
        <w:rPr>
          <w:rFonts w:ascii="Barlow Semi Condensed" w:cs="Barlow Semi Condensed" w:eastAsia="Barlow Semi Condensed" w:hAnsi="Barlow Semi Condensed"/>
          <w:sz w:val="24"/>
          <w:szCs w:val="24"/>
        </w:rPr>
        <w:t xml:space="preserve"> I blocchi 46-70 dell'agenda censiscono il fondo della seconda Commissione d'inchiesta alla Camera, con le circa ventimila pagine desecretate e il portale delle inchieste, accanto ai fondi della prima Commissione e della Commissione stragi al Senato. È il giacimento parlamentare del caso. La domanda che questa serie vi porta è una sola: che cosa vi si cerca, con quali stringhe, e che cosa non vi si trova.</w:t>
      </w:r>
    </w:p>
    <w:p>
      <w:pPr>
        <w:spacing w:after="120" w:line="276"/>
        <w:jc w:val="both"/>
      </w:pPr>
      <w:r>
        <w:rPr>
          <w:rFonts w:ascii="Barlow Semi Condensed" w:cs="Barlow Semi Condensed" w:eastAsia="Barlow Semi Condensed" w:hAnsi="Barlow Semi Condensed"/>
          <w:b/>
          <w:bCs/>
          <w:sz w:val="24"/>
          <w:szCs w:val="24"/>
        </w:rPr>
        <w:t xml:space="preserve">699 · La banca dati che comincia tardi.</w:t>
      </w:r>
      <w:r>
        <w:rPr>
          <w:rFonts w:ascii="Barlow Semi Condensed" w:cs="Barlow Semi Condensed" w:eastAsia="Barlow Semi Condensed" w:hAnsi="Barlow Semi Condensed"/>
          <w:sz w:val="24"/>
          <w:szCs w:val="24"/>
        </w:rPr>
        <w:t xml:space="preserve"> Correzione già registrata dalla seconda campagna: la banca dati del sindacato ispettivo parlamentare copre solo dalla settima legislatura, dal 5 luglio 1976. Per l'intero arco del ministero degli Esteri di Moro non è possibile, con i soli strumenti in rete, né confermare né escludere interrogazioni su un dato dossier. Non è un vuoto di fatto: è un limite di strumento, e va scritto come tale ovunque.</w:t>
      </w:r>
    </w:p>
    <w:p>
      <w:pPr>
        <w:spacing w:after="120" w:line="276"/>
        <w:jc w:val="both"/>
      </w:pPr>
      <w:r>
        <w:rPr>
          <w:rFonts w:ascii="Barlow Semi Condensed" w:cs="Barlow Semi Condensed" w:eastAsia="Barlow Semi Condensed" w:hAnsi="Barlow Semi Condensed"/>
          <w:b/>
          <w:bCs/>
          <w:sz w:val="24"/>
          <w:szCs w:val="24"/>
        </w:rPr>
        <w:t xml:space="preserve">700 · Lo spoglio manuale come unica via.</w:t>
      </w:r>
      <w:r>
        <w:rPr>
          <w:rFonts w:ascii="Barlow Semi Condensed" w:cs="Barlow Semi Condensed" w:eastAsia="Barlow Semi Condensed" w:hAnsi="Barlow Semi Condensed"/>
          <w:sz w:val="24"/>
          <w:szCs w:val="24"/>
        </w:rPr>
        <w:t xml:space="preserve"> Dove la banca dati non arriva restano i resoconti stenografici a stampa, non ricercabili a testo pieno. Il blocco 62 dell'agenda prescriveva il censimento senza registrare il limite; la correzione non cambia il merito ma il costo, e con esso l'ordine delle campagne. La regola che ne discende: un bersaglio si pianifica sullo strumento che lo raggiunge, non su quello più comodo.</w:t>
      </w:r>
    </w:p>
    <w:p>
      <w:pPr>
        <w:spacing w:after="120" w:line="276"/>
        <w:jc w:val="both"/>
      </w:pPr>
      <w:r>
        <w:rPr>
          <w:rFonts w:ascii="Barlow Semi Condensed" w:cs="Barlow Semi Condensed" w:eastAsia="Barlow Semi Condensed" w:hAnsi="Barlow Semi Condensed"/>
          <w:b/>
          <w:bCs/>
          <w:sz w:val="24"/>
          <w:szCs w:val="24"/>
        </w:rPr>
        <w:t xml:space="preserve">701 · Il buco parlamentare del ministero (serie IX).</w:t>
      </w:r>
      <w:r>
        <w:rPr>
          <w:rFonts w:ascii="Barlow Semi Condensed" w:cs="Barlow Semi Condensed" w:eastAsia="Barlow Semi Condensed" w:hAnsi="Barlow Semi Condensed"/>
          <w:sz w:val="24"/>
          <w:szCs w:val="24"/>
        </w:rPr>
        <w:t xml:space="preserve"> Ne discende un vuoto strutturale della triangolazione: gli anni in cui Moro tenne la Farnesina sono, sul versante del controllo parlamentare, i meno interrogabili con mezzi rapidi. È il periodo in cui cadono i documenti statunitensi che il corpus possiede. La coincidenza fra il picco documentale di una parte e il minimo di interrogabilità dell'altra è un fatto sullo spoglio, e va tenuto presente prima di leggere qualunque asimmetria.</w:t>
      </w:r>
    </w:p>
    <w:p>
      <w:pPr>
        <w:spacing w:after="120" w:line="276"/>
        <w:jc w:val="both"/>
      </w:pPr>
      <w:r>
        <w:rPr>
          <w:rFonts w:ascii="Barlow Semi Condensed" w:cs="Barlow Semi Condensed" w:eastAsia="Barlow Semi Condensed" w:hAnsi="Barlow Semi Condensed"/>
          <w:b/>
          <w:bCs/>
          <w:sz w:val="24"/>
          <w:szCs w:val="24"/>
        </w:rPr>
        <w:t xml:space="preserve">702 · La desecretazione e i suoi atti.</w:t>
      </w:r>
      <w:r>
        <w:rPr>
          <w:rFonts w:ascii="Barlow Semi Condensed" w:cs="Barlow Semi Condensed" w:eastAsia="Barlow Semi Condensed" w:hAnsi="Barlow Semi Condensed"/>
          <w:sz w:val="24"/>
          <w:szCs w:val="24"/>
        </w:rPr>
        <w:t xml:space="preserve"> Le declassifiche parlamentari avvengono per atto formale, con elenchi e date. Bersaglio, formulato come quesito: verificare quali atti relativi ai dossier qui trattati risultino desecretati, con quale provvedimento e in quale data, e quali restino coperti. Un elenco di desecretazione è, letto al rovescio, l'inventario più preciso di ciò che resta chiuso — ed è pubblico, il che ne fa un bersaglio a costo basso.</w:t>
      </w:r>
    </w:p>
    <w:p>
      <w:pPr>
        <w:spacing w:after="120" w:line="276"/>
        <w:jc w:val="both"/>
      </w:pPr>
      <w:r>
        <w:rPr>
          <w:rFonts w:ascii="Barlow Semi Condensed" w:cs="Barlow Semi Condensed" w:eastAsia="Barlow Semi Condensed" w:hAnsi="Barlow Semi Condensed"/>
          <w:b/>
          <w:bCs/>
          <w:sz w:val="24"/>
          <w:szCs w:val="24"/>
        </w:rPr>
        <w:t xml:space="preserve">703 · Che cosa vale un accertamento parlamentare.</w:t>
      </w:r>
      <w:r>
        <w:rPr>
          <w:rFonts w:ascii="Barlow Semi Condensed" w:cs="Barlow Semi Condensed" w:eastAsia="Barlow Semi Condensed" w:hAnsi="Barlow Semi Condensed"/>
          <w:sz w:val="24"/>
          <w:szCs w:val="24"/>
        </w:rPr>
        <w:t xml:space="preserve"> Il corpus lo colloca al grado B. Una Commissione d'inchiesta ha poteri istruttori e produce accertamenti, non sentenze: le sue conclusioni non sono giudicato, e le testimonianze che raccoglie restano testimonianze. Vale in entrambe le direzioni — non si promuove un accertamento parlamentare a prova, e non lo si degrada a opinione. È la ragione per cui l'avvertimento riferito, sempre smentito dall'interessato, resta al grado B debole.</w:t>
      </w:r>
    </w:p>
    <w:p>
      <w:pPr>
        <w:spacing w:after="120" w:line="276"/>
        <w:jc w:val="both"/>
      </w:pPr>
      <w:r>
        <w:rPr>
          <w:rFonts w:ascii="Barlow Semi Condensed" w:cs="Barlow Semi Condensed" w:eastAsia="Barlow Semi Condensed" w:hAnsi="Barlow Semi Condensed"/>
          <w:b/>
          <w:bCs/>
          <w:sz w:val="24"/>
          <w:szCs w:val="24"/>
        </w:rPr>
        <w:t xml:space="preserve">704 · Il resoconto contro la sintesi.</w:t>
      </w:r>
      <w:r>
        <w:rPr>
          <w:rFonts w:ascii="Barlow Semi Condensed" w:cs="Barlow Semi Condensed" w:eastAsia="Barlow Semi Condensed" w:hAnsi="Barlow Semi Condensed"/>
          <w:sz w:val="24"/>
          <w:szCs w:val="24"/>
        </w:rPr>
        <w:t xml:space="preserve"> La campagna di verifica del corpus ha dichiarato il proprio limite: non ha potuto leggere i resoconti stenografici né i verbali d'udienza, e le precisazioni poggiano su fonti secondarie convergenti. È un vuoto di secondo ordine — non manca il documento, manca la sua lettura — e va tenuto distinto da uno Stato Zero. Chi riprende quelle righe deve sapere esattamente quanto pesa ciascuna.</w:t>
      </w:r>
    </w:p>
    <w:p>
      <w:pPr>
        <w:spacing w:after="120" w:line="276"/>
        <w:jc w:val="both"/>
      </w:pPr>
      <w:r>
        <w:rPr>
          <w:rFonts w:ascii="Barlow Semi Condensed" w:cs="Barlow Semi Condensed" w:eastAsia="Barlow Semi Condensed" w:hAnsi="Barlow Semi Condensed"/>
          <w:b/>
          <w:bCs/>
          <w:sz w:val="24"/>
          <w:szCs w:val="24"/>
        </w:rPr>
        <w:t xml:space="preserve">705 · Il vuoto sul lodo Moro.</w:t>
      </w:r>
      <w:r>
        <w:rPr>
          <w:rFonts w:ascii="Barlow Semi Condensed" w:cs="Barlow Semi Condensed" w:eastAsia="Barlow Semi Condensed" w:hAnsi="Barlow Semi Condensed"/>
          <w:sz w:val="24"/>
          <w:szCs w:val="24"/>
        </w:rPr>
        <w:t xml:space="preserve"> La seconda campagna lo ha misurato: la stringa non compare nei tre documenti maggiori del corpus, e i nove cantieri hanno colonne britannica, francese e tedesca, con Berna e Vienna in appendice, e nessuna colonna mediterranea o araba. È un vuoto di costruzione, non di fatto. Il secondo tempo della regola dei buchi lo spiega per intero: nessuno ha ancora spogliato le fonti che trattano quel versante.</w:t>
      </w:r>
    </w:p>
    <w:p>
      <w:pPr>
        <w:spacing w:after="120" w:line="276"/>
        <w:jc w:val="both"/>
      </w:pPr>
      <w:r>
        <w:rPr>
          <w:rFonts w:ascii="Barlow Semi Condensed" w:cs="Barlow Semi Condensed" w:eastAsia="Barlow Semi Condensed" w:hAnsi="Barlow Semi Condensed"/>
          <w:b/>
          <w:bCs/>
          <w:sz w:val="24"/>
          <w:szCs w:val="24"/>
        </w:rPr>
        <w:t xml:space="preserve">706 · Lo Stato Zero scoperto per incrocio.</w:t>
      </w:r>
      <w:r>
        <w:rPr>
          <w:rFonts w:ascii="Barlow Semi Condensed" w:cs="Barlow Semi Condensed" w:eastAsia="Barlow Semi Condensed" w:hAnsi="Barlow Semi Condensed"/>
          <w:sz w:val="24"/>
          <w:szCs w:val="24"/>
        </w:rPr>
        <w:t xml:space="preserve"> La verifica testuale della seconda campagna dà zero occorrenze del nome del capocentro del servizio a Beirut e della strage di Fiumicino del 17 dicembre 1973 tanto nei documenti maggiori del corpus quanto nelle tre ricognizioni nuove. Nessuna delle due parti tocca il nome né la data: è uno Stato Zero condiviso, verbalizzato secondo i blocchi 233 e 285. Solo un incrocio meccanico produce esiti di questo genere.</w:t>
      </w:r>
    </w:p>
    <w:p>
      <w:pPr>
        <w:spacing w:after="120" w:line="276"/>
        <w:jc w:val="both"/>
      </w:pPr>
      <w:r>
        <w:rPr>
          <w:rFonts w:ascii="Barlow Semi Condensed" w:cs="Barlow Semi Condensed" w:eastAsia="Barlow Semi Condensed" w:hAnsi="Barlow Semi Condensed"/>
          <w:b/>
          <w:bCs/>
          <w:sz w:val="24"/>
          <w:szCs w:val="24"/>
        </w:rPr>
        <w:t xml:space="preserve">707 · Silenzio del corpus e Stato Zero.</w:t>
      </w:r>
      <w:r>
        <w:rPr>
          <w:rFonts w:ascii="Barlow Semi Condensed" w:cs="Barlow Semi Condensed" w:eastAsia="Barlow Semi Condensed" w:hAnsi="Barlow Semi Condensed"/>
          <w:sz w:val="24"/>
          <w:szCs w:val="24"/>
        </w:rPr>
        <w:t xml:space="preserve"> Sul dossier Aginter Press, ricorrente nella pubblicistica delle reti clandestine, la ricognizione portoghese dichiara lo Stato Zero per non aver reperito fonti primarie né studi sottoposti a revisione che ne documentino un ruolo nelle vicende trattate; la verifica meccanica accerta che il termine non compare in alcun documento del branch. Silenzio totale da un lato, esito negativo dichiarato dall'altro: statuti diversi e compatibili, da registrare separatamente.</w:t>
      </w:r>
    </w:p>
    <w:p>
      <w:pPr>
        <w:spacing w:after="120" w:line="276"/>
        <w:jc w:val="both"/>
      </w:pPr>
      <w:r>
        <w:rPr>
          <w:rFonts w:ascii="Barlow Semi Condensed" w:cs="Barlow Semi Condensed" w:eastAsia="Barlow Semi Condensed" w:hAnsi="Barlow Semi Condensed"/>
          <w:b/>
          <w:bCs/>
          <w:sz w:val="24"/>
          <w:szCs w:val="24"/>
        </w:rPr>
        <w:t xml:space="preserve">708 · Il vuoto fra Guevara e questo nodo.</w:t>
      </w:r>
      <w:r>
        <w:rPr>
          <w:rFonts w:ascii="Barlow Semi Condensed" w:cs="Barlow Semi Condensed" w:eastAsia="Barlow Semi Condensed" w:hAnsi="Barlow Semi Condensed"/>
          <w:sz w:val="24"/>
          <w:szCs w:val="24"/>
        </w:rPr>
        <w:t xml:space="preserve"> Verifica da eseguire e verbalizzare con la forma consueta: quanti documenti d'archivio trattino insieme il fronte latinoamericano del 1967 e il nodo statunitense di vertice qui studiato. L'attesa motivata è bassa, perché i due domini appartengono a letterature e a fondi diversi. Un rapporto di co-occorrenza basso misurerebbe qui la specializzazione delle fonti, non l'assenza di rapporti, e non autorizzerebbe alcuna inferenza.</w:t>
      </w:r>
    </w:p>
    <w:p>
      <w:pPr>
        <w:spacing w:after="120" w:line="276"/>
        <w:jc w:val="both"/>
      </w:pPr>
      <w:r>
        <w:rPr>
          <w:rFonts w:ascii="Barlow Semi Condensed" w:cs="Barlow Semi Condensed" w:eastAsia="Barlow Semi Condensed" w:hAnsi="Barlow Semi Condensed"/>
          <w:b/>
          <w:bCs/>
          <w:sz w:val="24"/>
          <w:szCs w:val="24"/>
        </w:rPr>
        <w:t xml:space="preserve">709 · Il vettore e le carte americane.</w:t>
      </w:r>
      <w:r>
        <w:rPr>
          <w:rFonts w:ascii="Barlow Semi Condensed" w:cs="Barlow Semi Condensed" w:eastAsia="Barlow Semi Condensed" w:hAnsi="Barlow Semi Condensed"/>
          <w:sz w:val="24"/>
          <w:szCs w:val="24"/>
        </w:rPr>
        <w:t xml:space="preserve"> Bersaglio formulato come quesito e mai come asserzione: verificare se nei fondi statunitensi consultabili esistano valutazioni coeve su Giangiacomo Feltrinelli, che in Italia trasmise l'iconografia di Korda e il diario boliviano, e in quali serie siano collocate. Se esistono, entrano col grado della loro natura: una valutazione di servizio è un'ipotesi, non un accertamento. Se non esistono, si verbalizza il vuoto con le serie interrogate.</w:t>
      </w:r>
    </w:p>
    <w:p>
      <w:pPr>
        <w:spacing w:after="120" w:line="276"/>
        <w:jc w:val="both"/>
      </w:pPr>
      <w:r>
        <w:rPr>
          <w:rFonts w:ascii="Barlow Semi Condensed" w:cs="Barlow Semi Condensed" w:eastAsia="Barlow Semi Condensed" w:hAnsi="Barlow Semi Condensed"/>
          <w:b/>
          <w:bCs/>
          <w:sz w:val="24"/>
          <w:szCs w:val="24"/>
        </w:rPr>
        <w:t xml:space="preserve">710 · L'arco che manca fra due date.</w:t>
      </w:r>
      <w:r>
        <w:rPr>
          <w:rFonts w:ascii="Barlow Semi Condensed" w:cs="Barlow Semi Condensed" w:eastAsia="Barlow Semi Condensed" w:hAnsi="Barlow Semi Condensed"/>
          <w:sz w:val="24"/>
          <w:szCs w:val="24"/>
        </w:rPr>
        <w:t xml:space="preserve"> La regola dell'anello debole lo dice in forma esatta: un cammino che colleghi lo Studio Ovale del settembre 1974 al caso del 1978 dovrebbe attraversare almeno un arco che oggi non esiste, e che il corpus ha già cercato senza trovare. Finché quell'arco manca, il cammino non ha grado basso: non ha grado. È il vuoto centrale della triangolazione, iscritto dalla fase sesta fra gli Stati Zero.</w:t>
      </w:r>
    </w:p>
    <w:p>
      <w:pPr>
        <w:spacing w:after="120" w:line="276"/>
        <w:jc w:val="both"/>
      </w:pPr>
      <w:r>
        <w:rPr>
          <w:rFonts w:ascii="Barlow Semi Condensed" w:cs="Barlow Semi Condensed" w:eastAsia="Barlow Semi Condensed" w:hAnsi="Barlow Semi Condensed"/>
          <w:b/>
          <w:bCs/>
          <w:sz w:val="24"/>
          <w:szCs w:val="24"/>
        </w:rPr>
        <w:t xml:space="preserve">711 · L'archivio che non apre.</w:t>
      </w:r>
      <w:r>
        <w:rPr>
          <w:rFonts w:ascii="Barlow Semi Condensed" w:cs="Barlow Semi Condensed" w:eastAsia="Barlow Semi Condensed" w:hAnsi="Barlow Semi Condensed"/>
          <w:sz w:val="24"/>
          <w:szCs w:val="24"/>
        </w:rPr>
        <w:t xml:space="preserve"> L'Archivio Apostolico Vaticano è consultabile fino all'ottobre 1958: ogni verifica primaria sugli atti pontifici degli anni Settanta è preclusa allo stato, e le ricostruzioni poggiano su fonti edite e ufficiali. Dove un documento del corpus indica gli archivi vaticani come sede da interrogare per quel decennio, la sede non è oggi apribile. La tensione fu rilevata per incrocio e risolta a favore del limite reale.</w:t>
      </w:r>
    </w:p>
    <w:p>
      <w:pPr>
        <w:spacing w:after="120" w:line="276"/>
        <w:jc w:val="both"/>
      </w:pPr>
      <w:r>
        <w:rPr>
          <w:rFonts w:ascii="Barlow Semi Condensed" w:cs="Barlow Semi Condensed" w:eastAsia="Barlow Semi Condensed" w:hAnsi="Barlow Semi Condensed"/>
          <w:b/>
          <w:bCs/>
          <w:sz w:val="24"/>
          <w:szCs w:val="24"/>
        </w:rPr>
        <w:t xml:space="preserve">712 · Il vuoto che non si chiuderà.</w:t>
      </w:r>
      <w:r>
        <w:rPr>
          <w:rFonts w:ascii="Barlow Semi Condensed" w:cs="Barlow Semi Condensed" w:eastAsia="Barlow Semi Condensed" w:hAnsi="Barlow Semi Condensed"/>
          <w:sz w:val="24"/>
          <w:szCs w:val="24"/>
        </w:rPr>
        <w:t xml:space="preserve"> Alcuni vuoti non hanno sede di chiusura perché la carta non esiste più: reperti distrutti, registri mai tenuti, bobine non conservate, originali mai ritrovati. I cantieri li censiscono parte per parte, dal blocco 456 sui reperti al 467 sulla stesura mai trovata. Vanno scritti senza recriminazione e senza speranza: sono il perimetro definitivo, e sapere che cosa non si potrà mai sapere è conoscenza.</w:t>
      </w:r>
    </w:p>
    <w:p>
      <w:pPr>
        <w:spacing w:after="120" w:line="276"/>
        <w:jc w:val="both"/>
      </w:pPr>
      <w:r>
        <w:rPr>
          <w:rFonts w:ascii="Barlow Semi Condensed" w:cs="Barlow Semi Condensed" w:eastAsia="Barlow Semi Condensed" w:hAnsi="Barlow Semi Condensed"/>
          <w:b/>
          <w:bCs/>
          <w:sz w:val="24"/>
          <w:szCs w:val="24"/>
        </w:rPr>
        <w:t xml:space="preserve">713 · Che cosa i vuoti dicono della struttura.</w:t>
      </w:r>
      <w:r>
        <w:rPr>
          <w:rFonts w:ascii="Barlow Semi Condensed" w:cs="Barlow Semi Condensed" w:eastAsia="Barlow Semi Condensed" w:hAnsi="Barlow Semi Condensed"/>
          <w:sz w:val="24"/>
          <w:szCs w:val="24"/>
        </w:rPr>
        <w:t xml:space="preserve"> Ecco il solo senso in cui il non codificante regola. La distribuzione dei vuoti non racconta i fatti, ma disegna con precisione la forma degli apparati che produssero le carte: che cosa un'amministrazione verbalizzava, che cosa affidava all'oralità, che cosa classificava e per quanto. È informazione di secondo ordine, ed è reale. Non dice che cosa accadde in una stanza; dice quali stanze lasciavano traccia.</w:t>
      </w:r>
    </w:p>
    <w:p>
      <w:pPr>
        <w:spacing w:after="120" w:line="276"/>
        <w:jc w:val="both"/>
      </w:pPr>
      <w:r>
        <w:rPr>
          <w:rFonts w:ascii="Barlow Semi Condensed" w:cs="Barlow Semi Condensed" w:eastAsia="Barlow Semi Condensed" w:hAnsi="Barlow Semi Condensed"/>
          <w:b/>
          <w:bCs/>
          <w:sz w:val="24"/>
          <w:szCs w:val="24"/>
        </w:rPr>
        <w:t xml:space="preserve">714 · Che cosa questa serie non stabilisce (serie IX).</w:t>
      </w:r>
      <w:r>
        <w:rPr>
          <w:rFonts w:ascii="Barlow Semi Condensed" w:cs="Barlow Semi Condensed" w:eastAsia="Barlow Semi Condensed" w:hAnsi="Barlow Semi Condensed"/>
          <w:sz w:val="24"/>
          <w:szCs w:val="24"/>
        </w:rPr>
        <w:t xml:space="preserve"> Non stabilisce che i silenzi qui censiti abbiano una causa comune. Non stabilisce che una carta manchi perché fu sottratta. Non stabilisce che il vuoto fra due domini indichi la loro estraneità, né la loro connessione. E non stabilisce nulla su alcuna persona: Henry Alfred Kissinger non fu condannato in alcun processo, e nessun blocco di questa serie lo indica come responsabile di reato.</w:t>
      </w:r>
    </w:p>
    <w:p>
      <w:pPr>
        <w:spacing w:after="120" w:line="276"/>
        <w:jc w:val="both"/>
      </w:pPr>
      <w:r>
        <w:rPr>
          <w:rFonts w:ascii="Barlow Semi Condensed" w:cs="Barlow Semi Condensed" w:eastAsia="Barlow Semi Condensed" w:hAnsi="Barlow Semi Condensed"/>
          <w:b/>
          <w:bCs/>
          <w:sz w:val="24"/>
          <w:szCs w:val="24"/>
        </w:rPr>
        <w:t xml:space="preserve">715 · Congedo della nona serie.</w:t>
      </w:r>
      <w:r>
        <w:rPr>
          <w:rFonts w:ascii="Barlow Semi Condensed" w:cs="Barlow Semi Condensed" w:eastAsia="Barlow Semi Condensed" w:hAnsi="Barlow Semi Condensed"/>
          <w:sz w:val="24"/>
          <w:szCs w:val="24"/>
        </w:rPr>
        <w:t xml:space="preserve"> La serie lascia dietro di sé un registro e non una tesi: verbali di vuoto con perimetro, sedi di chiusura nominate una per una, correzioni allo strumento più che al contenuto. È il prodotto più ingrato di un'opera di ricerca e il più stabile, perché ciò che si è cercato bene senza trovare non va ricercato due volte. Il fascicolo, come deve, resta aperto.</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Serie decima — Fenotipo e genotipo: il dichiarato e l'osservato</w:t>
      </w:r>
    </w:p>
    <w:p>
      <w:pPr>
        <w:spacing w:after="120" w:line="276"/>
        <w:jc w:val="both"/>
      </w:pPr>
      <w:r>
        <w:rPr>
          <w:rFonts w:ascii="Barlow Semi Condensed" w:cs="Barlow Semi Condensed" w:eastAsia="Barlow Semi Condensed" w:hAnsi="Barlow Semi Condensed"/>
          <w:i/>
          <w:iCs/>
          <w:sz w:val="24"/>
          <w:szCs w:val="24"/>
        </w:rPr>
        <w:t xml:space="preserve">Blocchi 716-785.</w:t>
      </w:r>
    </w:p>
    <w:p>
      <w:pPr>
        <w:spacing w:after="120" w:line="276"/>
        <w:jc w:val="both"/>
      </w:pPr>
      <w:r>
        <w:rPr>
          <w:rFonts w:ascii="Barlow Semi Condensed" w:cs="Barlow Semi Condensed" w:eastAsia="Barlow Semi Condensed" w:hAnsi="Barlow Semi Condensed"/>
          <w:b/>
          <w:bCs/>
          <w:sz w:val="24"/>
          <w:szCs w:val="24"/>
        </w:rPr>
        <w:t xml:space="preserve">716 · Genotipo e fenotipo, la distinzione trasferita.</w:t>
      </w:r>
      <w:r>
        <w:rPr>
          <w:rFonts w:ascii="Barlow Semi Condensed" w:cs="Barlow Semi Condensed" w:eastAsia="Barlow Semi Condensed" w:hAnsi="Barlow Semi Condensed"/>
          <w:sz w:val="24"/>
          <w:szCs w:val="24"/>
        </w:rPr>
        <w:t xml:space="preserve"> In genetica il genotipo è la sequenza, il fenotipo è ciò che si osserva, e fra i due sta l'espressione, che dipende dall'ambiente. Trasferita al corpus, la coppia nomina due oggetti distinti: la posizione dichiarata e l'atto documentato. La serie li tiene separati per costruzione. Avvertenza immediata: nel materiale storico nessun genotipo è leggibile, perché le intenzioni non si sequenziano; la metafora vale come griglia di domande, non come accesso all'interiorità di chicchessia.</w:t>
      </w:r>
    </w:p>
    <w:p>
      <w:pPr>
        <w:spacing w:after="120" w:line="276"/>
        <w:jc w:val="both"/>
      </w:pPr>
      <w:r>
        <w:rPr>
          <w:rFonts w:ascii="Barlow Semi Condensed" w:cs="Barlow Semi Condensed" w:eastAsia="Barlow Semi Condensed" w:hAnsi="Barlow Semi Condensed"/>
          <w:b/>
          <w:bCs/>
          <w:sz w:val="24"/>
          <w:szCs w:val="24"/>
        </w:rPr>
        <w:t xml:space="preserve">717 · Il dichiarato non è il codice.</w:t>
      </w:r>
      <w:r>
        <w:rPr>
          <w:rFonts w:ascii="Barlow Semi Condensed" w:cs="Barlow Semi Condensed" w:eastAsia="Barlow Semi Condensed" w:hAnsi="Barlow Semi Condensed"/>
          <w:sz w:val="24"/>
          <w:szCs w:val="24"/>
        </w:rPr>
        <w:t xml:space="preserve"> Sarebbe comodo far coincidere la dichiarazione col genotipo e l'atto col fenotipo, ma è errore. Anche la dichiarazione è fenotipo: emissione osservabile, prodotta in un ambiente, davanti a un destinatario, con una data e una sede. Il codice — ciò che una persona davvero volle — resta inosservato e inosservabile. Da qui la regola operativa della serie: si confrontano due fenotipi fra loro, mai un fenotipo con un genotipo presunto.</w:t>
      </w:r>
    </w:p>
    <w:p>
      <w:pPr>
        <w:spacing w:after="120" w:line="276"/>
        <w:jc w:val="both"/>
      </w:pPr>
      <w:r>
        <w:rPr>
          <w:rFonts w:ascii="Barlow Semi Condensed" w:cs="Barlow Semi Condensed" w:eastAsia="Barlow Semi Condensed" w:hAnsi="Barlow Semi Condensed"/>
          <w:b/>
          <w:bCs/>
          <w:sz w:val="24"/>
          <w:szCs w:val="24"/>
        </w:rPr>
        <w:t xml:space="preserve">718 · L'atto documentato è anch'esso parziale.</w:t>
      </w:r>
      <w:r>
        <w:rPr>
          <w:rFonts w:ascii="Barlow Semi Condensed" w:cs="Barlow Semi Condensed" w:eastAsia="Barlow Semi Condensed" w:hAnsi="Barlow Semi Condensed"/>
          <w:sz w:val="24"/>
          <w:szCs w:val="24"/>
        </w:rPr>
        <w:t xml:space="preserve"> Neppure l'atto è il fenotipo intero. Ciò che l'archivio conserva è ciò che qualcuno scrisse, protocollò e non distrusse: una sezione del comportamento, selezionata da procedure e non dalla storia. Il verbale di un colloquio registra la parte destinata al verbale. Chi misura lo scarto fra dichiarato e osservato misura dunque due campioni parziali, e deve dichiararlo prima di trarne qualunque conseguenza.</w:t>
      </w:r>
    </w:p>
    <w:p>
      <w:pPr>
        <w:spacing w:after="120" w:line="276"/>
        <w:jc w:val="both"/>
      </w:pPr>
      <w:r>
        <w:rPr>
          <w:rFonts w:ascii="Barlow Semi Condensed" w:cs="Barlow Semi Condensed" w:eastAsia="Barlow Semi Condensed" w:hAnsi="Barlow Semi Condensed"/>
          <w:b/>
          <w:bCs/>
          <w:sz w:val="24"/>
          <w:szCs w:val="24"/>
        </w:rPr>
        <w:t xml:space="preserve">719 · Misurare lo scarto, non l'ipocrisia.</w:t>
      </w:r>
      <w:r>
        <w:rPr>
          <w:rFonts w:ascii="Barlow Semi Condensed" w:cs="Barlow Semi Condensed" w:eastAsia="Barlow Semi Condensed" w:hAnsi="Barlow Semi Condensed"/>
          <w:sz w:val="24"/>
          <w:szCs w:val="24"/>
        </w:rPr>
        <w:t xml:space="preserve"> Lo scarto fra posizione dichiarata e atto documentato è una misura fra due termini entrambi documentati: si scrive con date, sedi e testi. L'ipocrisia è invece un'inferenza sull'interiorità, e nel sistema dei gradi non ha casella: non è A, non è B, non è nemmeno C, perché non esiste il documento che la confermerebbe o la smentirebbe. Si registra lo scarto e si tace il movente.</w:t>
      </w:r>
    </w:p>
    <w:p>
      <w:pPr>
        <w:spacing w:after="120" w:line="276"/>
        <w:jc w:val="both"/>
      </w:pPr>
      <w:r>
        <w:rPr>
          <w:rFonts w:ascii="Barlow Semi Condensed" w:cs="Barlow Semi Condensed" w:eastAsia="Barlow Semi Condensed" w:hAnsi="Barlow Semi Condensed"/>
          <w:b/>
          <w:bCs/>
          <w:sz w:val="24"/>
          <w:szCs w:val="24"/>
        </w:rPr>
        <w:t xml:space="preserve">720 · La tavola sinottica dei due termini.</w:t>
      </w:r>
      <w:r>
        <w:rPr>
          <w:rFonts w:ascii="Barlow Semi Condensed" w:cs="Barlow Semi Condensed" w:eastAsia="Barlow Semi Condensed" w:hAnsi="Barlow Semi Condensed"/>
          <w:sz w:val="24"/>
          <w:szCs w:val="24"/>
        </w:rPr>
        <w:t xml:space="preserve"> Lo strumento della serie è la tavola a due colonne del blocco 853 dei cantieri, applicata fuori dal registro dei condannati: per ogni nodo, a sinistra la dichiarazione con verbatim, data, sede e destinatario; a destra l'atto con la sua segnatura. Si contano concordanze, divergenze e inediti. Il prodotto è una misura, non una recensione, e il suo pregio è di restare leggibile anche a chi non condivide la lettura.</w:t>
      </w:r>
    </w:p>
    <w:p>
      <w:pPr>
        <w:spacing w:after="120" w:line="276"/>
        <w:jc w:val="both"/>
      </w:pPr>
      <w:r>
        <w:rPr>
          <w:rFonts w:ascii="Barlow Semi Condensed" w:cs="Barlow Semi Condensed" w:eastAsia="Barlow Semi Condensed" w:hAnsi="Barlow Semi Condensed"/>
          <w:b/>
          <w:bCs/>
          <w:sz w:val="24"/>
          <w:szCs w:val="24"/>
        </w:rPr>
        <w:t xml:space="preserve">721 · La norma di reazione.</w:t>
      </w:r>
      <w:r>
        <w:rPr>
          <w:rFonts w:ascii="Barlow Semi Condensed" w:cs="Barlow Semi Condensed" w:eastAsia="Barlow Semi Condensed" w:hAnsi="Barlow Semi Condensed"/>
          <w:sz w:val="24"/>
          <w:szCs w:val="24"/>
        </w:rPr>
        <w:t xml:space="preserve"> In biologia lo stesso genotipo dà fenotipi diversi in ambienti diversi: è la norma di reazione. Applicata qui, vieta due scorciatoie simmetriche. Non si inferisce la posizione dall'atto, perché lo stesso indirizzo produce condotte diverse a Lisbona, ad Atene e a Roma; e non si inferisce l'atto dalla posizione, perché una dottrina non si esegue da sé. Fra i due termini sta sempre un ambiente da documentare.</w:t>
      </w:r>
    </w:p>
    <w:p>
      <w:pPr>
        <w:spacing w:after="120" w:line="276"/>
        <w:jc w:val="both"/>
      </w:pPr>
      <w:r>
        <w:rPr>
          <w:rFonts w:ascii="Barlow Semi Condensed" w:cs="Barlow Semi Condensed" w:eastAsia="Barlow Semi Condensed" w:hAnsi="Barlow Semi Condensed"/>
          <w:b/>
          <w:bCs/>
          <w:sz w:val="24"/>
          <w:szCs w:val="24"/>
        </w:rPr>
        <w:t xml:space="preserve">722 · Penetranza ed espressività.</w:t>
      </w:r>
      <w:r>
        <w:rPr>
          <w:rFonts w:ascii="Barlow Semi Condensed" w:cs="Barlow Semi Condensed" w:eastAsia="Barlow Semi Condensed" w:hAnsi="Barlow Semi Condensed"/>
          <w:sz w:val="24"/>
          <w:szCs w:val="24"/>
        </w:rPr>
        <w:t xml:space="preserve"> La genetica distingue quante volte un tratto compare, che è la penetranza, da quanto intensamente compare, che è l'espressività. La coppia previene due errori frequenti: credere che una posizione dichiarata debba sempre produrre l'atto corrispondente, e credere che, dove lo produce, lo produca sempre con la stessa forza. L'atto mancante non smentisce la dichiarazione; l'atto tenue non la conferma in pieno. Entrambe le osservazioni si registrano, nessuna delle due decide.</w:t>
      </w:r>
    </w:p>
    <w:p>
      <w:pPr>
        <w:spacing w:after="120" w:line="276"/>
        <w:jc w:val="both"/>
      </w:pPr>
      <w:r>
        <w:rPr>
          <w:rFonts w:ascii="Barlow Semi Condensed" w:cs="Barlow Semi Condensed" w:eastAsia="Barlow Semi Condensed" w:hAnsi="Barlow Semi Condensed"/>
          <w:b/>
          <w:bCs/>
          <w:sz w:val="24"/>
          <w:szCs w:val="24"/>
        </w:rPr>
        <w:t xml:space="preserve">723 · Dove la metafora spinge al determinismo (serie X).</w:t>
      </w:r>
      <w:r>
        <w:rPr>
          <w:rFonts w:ascii="Barlow Semi Condensed" w:cs="Barlow Semi Condensed" w:eastAsia="Barlow Semi Condensed" w:hAnsi="Barlow Semi Condensed"/>
          <w:sz w:val="24"/>
          <w:szCs w:val="24"/>
        </w:rPr>
        <w:t xml:space="preserve"> Qui la lente va fermata, e dichiarandolo. Il vocabolario genetico suggerisce che il codice decida l'esito, e in politica non decide nulla: non esistono alleli delle scelte, non esiste penetranza delle dottrine, non esiste un carattere recessivo che spieghi un'omissione del 1978. Ogni volta che il lessico promette una causa dove c'è soltanto una descrizione, il blocco lo dice e la metafora arretra al rango di analogia dichiarata.</w:t>
      </w:r>
    </w:p>
    <w:p>
      <w:pPr>
        <w:spacing w:after="120" w:line="276"/>
        <w:jc w:val="both"/>
      </w:pPr>
      <w:r>
        <w:rPr>
          <w:rFonts w:ascii="Barlow Semi Condensed" w:cs="Barlow Semi Condensed" w:eastAsia="Barlow Semi Condensed" w:hAnsi="Barlow Semi Condensed"/>
          <w:b/>
          <w:bCs/>
          <w:sz w:val="24"/>
          <w:szCs w:val="24"/>
        </w:rPr>
        <w:t xml:space="preserve">724 · Contro la colpa ereditaria.</w:t>
      </w:r>
      <w:r>
        <w:rPr>
          <w:rFonts w:ascii="Barlow Semi Condensed" w:cs="Barlow Semi Condensed" w:eastAsia="Barlow Semi Condensed" w:hAnsi="Barlow Semi Condensed"/>
          <w:sz w:val="24"/>
          <w:szCs w:val="24"/>
        </w:rPr>
        <w:t xml:space="preserve"> Il secondo arresto obbligatorio riguarda l'ereditarietà. Nel corpus vige la regola per cui l'appartenenza a un'organizzazione, a una scuola o a un lignaggio dottrinale non è prova di condotta, e nessuno risponde dei propri congiunti. Il lessico dell'eredità la contraddirebbe se lasciato correre. Perciò in questa serie l'ereditarietà si usa soltanto per descrivere la trasmissione di testi e di formule, mai la trasmissione di responsabilità fra persone.</w:t>
      </w:r>
    </w:p>
    <w:p>
      <w:pPr>
        <w:spacing w:after="120" w:line="276"/>
        <w:jc w:val="both"/>
      </w:pPr>
      <w:r>
        <w:rPr>
          <w:rFonts w:ascii="Barlow Semi Condensed" w:cs="Barlow Semi Condensed" w:eastAsia="Barlow Semi Condensed" w:hAnsi="Barlow Semi Condensed"/>
          <w:b/>
          <w:bCs/>
          <w:sz w:val="24"/>
          <w:szCs w:val="24"/>
        </w:rPr>
        <w:t xml:space="preserve">725 · Omologia contro analogia (serie X).</w:t>
      </w:r>
      <w:r>
        <w:rPr>
          <w:rFonts w:ascii="Barlow Semi Condensed" w:cs="Barlow Semi Condensed" w:eastAsia="Barlow Semi Condensed" w:hAnsi="Barlow Semi Condensed"/>
          <w:sz w:val="24"/>
          <w:szCs w:val="24"/>
        </w:rPr>
        <w:t xml:space="preserve"> L'omologia è somiglianza per discendenza comune e va dimostrata; l'analogia è somiglianza di funzione con origini indipendenti. La coppia traduce esattamente i primi due piani della regola: piano 1, rapporto diretto documentato, è omologia; piano 2, convergenza strutturale entro la stessa cornice, è analogia. Confonderle è l'errore capitale di ogni dietrologia, che vede parentele ovunque perché guarda alle forme e non alle catene documentate.</w:t>
      </w:r>
    </w:p>
    <w:p>
      <w:pPr>
        <w:spacing w:after="120" w:line="276"/>
        <w:jc w:val="both"/>
      </w:pPr>
      <w:r>
        <w:rPr>
          <w:rFonts w:ascii="Barlow Semi Condensed" w:cs="Barlow Semi Condensed" w:eastAsia="Barlow Semi Condensed" w:hAnsi="Barlow Semi Condensed"/>
          <w:b/>
          <w:bCs/>
          <w:sz w:val="24"/>
          <w:szCs w:val="24"/>
        </w:rPr>
        <w:t xml:space="preserve">726 · La fenocopia e il piano 2.</w:t>
      </w:r>
      <w:r>
        <w:rPr>
          <w:rFonts w:ascii="Barlow Semi Condensed" w:cs="Barlow Semi Condensed" w:eastAsia="Barlow Semi Condensed" w:hAnsi="Barlow Semi Condensed"/>
          <w:sz w:val="24"/>
          <w:szCs w:val="24"/>
        </w:rPr>
        <w:t xml:space="preserve"> La fenocopia è un tratto prodotto dall'ambiente e indistinguibile da quello genetico. È la figura più utile della serie: un atto che sembra discendere da una dottrina e discende invece dalla circostanza. Due governi possono comportarsi allo stesso modo verso Lisbona nel 1974 senza alcun rapporto fra loro. La fenocopia si registra al piano 2 e non si promuove mai al piano 1, per quanto la somiglianza sia perfetta.</w:t>
      </w:r>
    </w:p>
    <w:p>
      <w:pPr>
        <w:spacing w:after="120" w:line="276"/>
        <w:jc w:val="both"/>
      </w:pPr>
      <w:r>
        <w:rPr>
          <w:rFonts w:ascii="Barlow Semi Condensed" w:cs="Barlow Semi Condensed" w:eastAsia="Barlow Semi Condensed" w:hAnsi="Barlow Semi Condensed"/>
          <w:b/>
          <w:bCs/>
          <w:sz w:val="24"/>
          <w:szCs w:val="24"/>
        </w:rPr>
        <w:t xml:space="preserve">727 · Il DNA non codificante dell'archivio.</w:t>
      </w:r>
      <w:r>
        <w:rPr>
          <w:rFonts w:ascii="Barlow Semi Condensed" w:cs="Barlow Semi Condensed" w:eastAsia="Barlow Semi Condensed" w:hAnsi="Barlow Semi Condensed"/>
          <w:sz w:val="24"/>
          <w:szCs w:val="24"/>
        </w:rPr>
        <w:t xml:space="preserve"> La maggior parte di un fondo non esprime nulla: intestazioni, formule di cortesia, liste di distribuzione, ricevute. Fu a lungo chiamata spazzatura, ed è invece regolazione: dice chi leggeva, quando, con quale precedenza. Chi spoglia cercando solo le frasi rivelatrici scarta il tessuto che permette di datare e collocare quelle frasi. La serie prescrive di schedare anche ciò che non dice niente, perché dice dove.</w:t>
      </w:r>
    </w:p>
    <w:p>
      <w:pPr>
        <w:spacing w:after="120" w:line="276"/>
        <w:jc w:val="both"/>
      </w:pPr>
      <w:r>
        <w:rPr>
          <w:rFonts w:ascii="Barlow Semi Condensed" w:cs="Barlow Semi Condensed" w:eastAsia="Barlow Semi Condensed" w:hAnsi="Barlow Semi Condensed"/>
          <w:b/>
          <w:bCs/>
          <w:sz w:val="24"/>
          <w:szCs w:val="24"/>
        </w:rPr>
        <w:t xml:space="preserve">728 · L'epigenetica del documento.</w:t>
      </w:r>
      <w:r>
        <w:rPr>
          <w:rFonts w:ascii="Barlow Semi Condensed" w:cs="Barlow Semi Condensed" w:eastAsia="Barlow Semi Condensed" w:hAnsi="Barlow Semi Condensed"/>
          <w:sz w:val="24"/>
          <w:szCs w:val="24"/>
        </w:rPr>
        <w:t xml:space="preserve"> Attorno al testo esiste uno strato che ne governa la lettura senza appartenere alle sue parole: la classifica di segretezza, l'elenco dei destinatari, l'annotazione a margine, la collocazione nella serie. Sono marcature epigenetiche: non cambiano il testo, cambiano ciò che il testo fa. Ogni scheda riporta perciò, accanto al contenuto, questo strato — ed è spesso lì che si misura la distanza fra il dichiarato e l'operativo.</w:t>
      </w:r>
    </w:p>
    <w:p>
      <w:pPr>
        <w:spacing w:after="120" w:line="276"/>
        <w:jc w:val="both"/>
      </w:pPr>
      <w:r>
        <w:rPr>
          <w:rFonts w:ascii="Barlow Semi Condensed" w:cs="Barlow Semi Condensed" w:eastAsia="Barlow Semi Condensed" w:hAnsi="Barlow Semi Condensed"/>
          <w:b/>
          <w:bCs/>
          <w:sz w:val="24"/>
          <w:szCs w:val="24"/>
        </w:rPr>
        <w:t xml:space="preserve">729 · La trascrizione e i suoi errori.</w:t>
      </w:r>
      <w:r>
        <w:rPr>
          <w:rFonts w:ascii="Barlow Semi Condensed" w:cs="Barlow Semi Condensed" w:eastAsia="Barlow Semi Condensed" w:hAnsi="Barlow Semi Condensed"/>
          <w:sz w:val="24"/>
          <w:szCs w:val="24"/>
        </w:rPr>
        <w:t xml:space="preserve"> Dal verbale alla sintesi di stampa, dalla sintesi alla voce enciclopedica, dalla voce al rilancio: ogni passaggio è una copia, e ogni copia introduce errori. La filologia chiama stemma ciò che la biologia chiama linea di replicazione. Prima di discutere un'affermazione la serie chiede di risalire alla copia più prossima all'originale, perché quasi sempre l'anomalia che pare rivelatrice è un errore di trascrizione con quarant'anni di età.</w:t>
      </w:r>
    </w:p>
    <w:p>
      <w:pPr>
        <w:spacing w:after="120" w:line="276"/>
        <w:jc w:val="both"/>
      </w:pPr>
      <w:r>
        <w:rPr>
          <w:rFonts w:ascii="Barlow Semi Condensed" w:cs="Barlow Semi Condensed" w:eastAsia="Barlow Semi Condensed" w:hAnsi="Barlow Semi Condensed"/>
          <w:b/>
          <w:bCs/>
          <w:sz w:val="24"/>
          <w:szCs w:val="24"/>
        </w:rPr>
        <w:t xml:space="preserve">730 · La replicazione non è riscontro.</w:t>
      </w:r>
      <w:r>
        <w:rPr>
          <w:rFonts w:ascii="Barlow Semi Condensed" w:cs="Barlow Semi Condensed" w:eastAsia="Barlow Semi Condensed" w:hAnsi="Barlow Semi Condensed"/>
          <w:sz w:val="24"/>
          <w:szCs w:val="24"/>
        </w:rPr>
        <w:t xml:space="preserve"> Le decine di riprese pressoché identiche sull'episodio del presunto avvertimento risalgono a un unico lancio d'agenzia del 30 novembre 2023. In biologia mille copie dello stesso filamento restano un'informazione sola; in storiografia mille rilanci restano una fonte sola. Il numero delle ripetizioni non aggiunge valore probatorio. La tavola della circolazione va tenuta, perché è un dato sulla ricezione, ma non entra mai nella colonna dei riscontri.</w:t>
      </w:r>
    </w:p>
    <w:p>
      <w:pPr>
        <w:spacing w:after="120" w:line="276"/>
        <w:jc w:val="both"/>
      </w:pPr>
      <w:r>
        <w:rPr>
          <w:rFonts w:ascii="Barlow Semi Condensed" w:cs="Barlow Semi Condensed" w:eastAsia="Barlow Semi Condensed" w:hAnsi="Barlow Semi Condensed"/>
          <w:b/>
          <w:bCs/>
          <w:sz w:val="24"/>
          <w:szCs w:val="24"/>
        </w:rPr>
        <w:t xml:space="preserve">731 · La filogenesi delle versioni.</w:t>
      </w:r>
      <w:r>
        <w:rPr>
          <w:rFonts w:ascii="Barlow Semi Condensed" w:cs="Barlow Semi Condensed" w:eastAsia="Barlow Semi Condensed" w:hAnsi="Barlow Semi Condensed"/>
          <w:sz w:val="24"/>
          <w:szCs w:val="24"/>
        </w:rPr>
        <w:t xml:space="preserve"> Costruire l'albero delle varianti di un'affermazione è lavoro fattibile e raramente fatto: si datano le occorrenze, si cercano gli errori condivisi, si risale all'antenato comune. Il rilancio internazionale del 1982 sull'episodio proviene da una pubblicazione di orientamento cospirazionista, citabile come nodo di circolazione e non come riscontro. Collocarlo nell'albero è più utile che confutarlo: mostra da dove il ramo si diparte, e quando.</w:t>
      </w:r>
    </w:p>
    <w:p>
      <w:pPr>
        <w:spacing w:after="120" w:line="276"/>
        <w:jc w:val="both"/>
      </w:pPr>
      <w:r>
        <w:rPr>
          <w:rFonts w:ascii="Barlow Semi Condensed" w:cs="Barlow Semi Condensed" w:eastAsia="Barlow Semi Condensed" w:hAnsi="Barlow Semi Condensed"/>
          <w:b/>
          <w:bCs/>
          <w:sz w:val="24"/>
          <w:szCs w:val="24"/>
        </w:rPr>
        <w:t xml:space="preserve">732 · Il trasferimento orizzontale del mito.</w:t>
      </w:r>
      <w:r>
        <w:rPr>
          <w:rFonts w:ascii="Barlow Semi Condensed" w:cs="Barlow Semi Condensed" w:eastAsia="Barlow Semi Condensed" w:hAnsi="Barlow Semi Condensed"/>
          <w:sz w:val="24"/>
          <w:szCs w:val="24"/>
        </w:rPr>
        <w:t xml:space="preserve"> Non tutta la trasmissione è ereditaria: in biologia esiste il passaggio laterale di materiale fra organismi non imparentati. È la figura giusta per il vettore Feltrinelli — il manifesto di Korda nel 1967, il diario boliviano nel 1968 — e per la genealogia dichiarata delle Brigate Rosse. Un mito trasmesso lateralmente spiega la somiglianza dei simboli e non stabilisce alcuna catena di comando: resta al piano 2.</w:t>
      </w:r>
    </w:p>
    <w:p>
      <w:pPr>
        <w:spacing w:after="120" w:line="276"/>
        <w:jc w:val="both"/>
      </w:pPr>
      <w:r>
        <w:rPr>
          <w:rFonts w:ascii="Barlow Semi Condensed" w:cs="Barlow Semi Condensed" w:eastAsia="Barlow Semi Condensed" w:hAnsi="Barlow Semi Condensed"/>
          <w:b/>
          <w:bCs/>
          <w:sz w:val="24"/>
          <w:szCs w:val="24"/>
        </w:rPr>
        <w:t xml:space="preserve">733 · Il marcatore non è il gene.</w:t>
      </w:r>
      <w:r>
        <w:rPr>
          <w:rFonts w:ascii="Barlow Semi Condensed" w:cs="Barlow Semi Condensed" w:eastAsia="Barlow Semi Condensed" w:hAnsi="Barlow Semi Condensed"/>
          <w:sz w:val="24"/>
          <w:szCs w:val="24"/>
        </w:rPr>
        <w:t xml:space="preserve"> In genetica un marcatore è associato a un tratto senza causarlo: serve a localizzare, non a spiegare. La contemporaneità cronologica è un marcatore di questo tipo, e la disciplina del corpus lo dice per esteso: non è prova di nesso. Un marcatore utile va comunque registrato, perché indica dove cercare; ma la scheda deve stampare accanto, nella stessa riga, che esso localizza soltanto.</w:t>
      </w:r>
    </w:p>
    <w:p>
      <w:pPr>
        <w:spacing w:after="120" w:line="276"/>
        <w:jc w:val="both"/>
      </w:pPr>
      <w:r>
        <w:rPr>
          <w:rFonts w:ascii="Barlow Semi Condensed" w:cs="Barlow Semi Condensed" w:eastAsia="Barlow Semi Condensed" w:hAnsi="Barlow Semi Condensed"/>
          <w:b/>
          <w:bCs/>
          <w:sz w:val="24"/>
          <w:szCs w:val="24"/>
        </w:rPr>
        <w:t xml:space="preserve">734 · Il gene reporter.</w:t>
      </w:r>
      <w:r>
        <w:rPr>
          <w:rFonts w:ascii="Barlow Semi Condensed" w:cs="Barlow Semi Condensed" w:eastAsia="Barlow Semi Condensed" w:hAnsi="Barlow Semi Condensed"/>
          <w:sz w:val="24"/>
          <w:szCs w:val="24"/>
        </w:rPr>
        <w:t xml:space="preserve"> Alcune dichiarazioni non producono effetti: esistono per essere osservate. Segnalano una posizione a un destinatario che deve registrarla, come il gene reporter inserito per rendere visibile un processo altrimenti muto. Riconoscerle evita due errori opposti: attribuire loro una potenza operativa che non hanno, e trattarle come irrilevanti perché nulla ne seguì. Il loro grado è pieno come dichiarazioni; nullo come atti.</w:t>
      </w:r>
    </w:p>
    <w:p>
      <w:pPr>
        <w:spacing w:after="120" w:line="276"/>
        <w:jc w:val="both"/>
      </w:pPr>
      <w:r>
        <w:rPr>
          <w:rFonts w:ascii="Barlow Semi Condensed" w:cs="Barlow Semi Condensed" w:eastAsia="Barlow Semi Condensed" w:hAnsi="Barlow Semi Condensed"/>
          <w:b/>
          <w:bCs/>
          <w:sz w:val="24"/>
          <w:szCs w:val="24"/>
        </w:rPr>
        <w:t xml:space="preserve">735 · La regola dei tre piani come sequenza.</w:t>
      </w:r>
      <w:r>
        <w:rPr>
          <w:rFonts w:ascii="Barlow Semi Condensed" w:cs="Barlow Semi Condensed" w:eastAsia="Barlow Semi Condensed" w:hAnsi="Barlow Semi Condensed"/>
          <w:sz w:val="24"/>
          <w:szCs w:val="24"/>
        </w:rPr>
        <w:t xml:space="preserve"> Il piano 1 è il rapporto diretto documentato: la sequenza letta, non dedotta. Il piano 2 è la convergenza strutturale entro la stessa cornice: somiglianza di forma senza lettura della sequenza. Il piano 3 è l'affermazione terziaria priva di riscontro: nessuna lettura, nessuna forma, soltanto una voce. Un ponte è reale al solo piano 1; gli altri due si registrano come tali e non si promuovono mai a nesso causale.</w:t>
      </w:r>
    </w:p>
    <w:p>
      <w:pPr>
        <w:spacing w:after="120" w:line="276"/>
        <w:jc w:val="both"/>
      </w:pPr>
      <w:r>
        <w:rPr>
          <w:rFonts w:ascii="Barlow Semi Condensed" w:cs="Barlow Semi Condensed" w:eastAsia="Barlow Semi Condensed" w:hAnsi="Barlow Semi Condensed"/>
          <w:b/>
          <w:bCs/>
          <w:sz w:val="24"/>
          <w:szCs w:val="24"/>
        </w:rPr>
        <w:t xml:space="preserve">736 · La dichiarazione che è atto: la firma.</w:t>
      </w:r>
      <w:r>
        <w:rPr>
          <w:rFonts w:ascii="Barlow Semi Condensed" w:cs="Barlow Semi Condensed" w:eastAsia="Barlow Semi Condensed" w:hAnsi="Barlow Semi Condensed"/>
          <w:sz w:val="24"/>
          <w:szCs w:val="24"/>
        </w:rPr>
        <w:t xml:space="preserve"> Esiste una classe di dichiarazioni in cui il dichiarato e l'osservato coincidono per intero, ed è quella performativa. La firma dell'Accordo provvisorio CEE-Turchia a Bruxelles il 27 luglio 1971, attestata dal preambolo del regolamento comunitario, e la firma dell'Atto finale di Helsinki il 1° agosto 1975 sono insieme parola e fatto. Su questa classe lo scarto è per costruzione nullo, e la serie la registra come pavimento.</w:t>
      </w:r>
    </w:p>
    <w:p>
      <w:pPr>
        <w:spacing w:after="120" w:line="276"/>
        <w:jc w:val="both"/>
      </w:pPr>
      <w:r>
        <w:rPr>
          <w:rFonts w:ascii="Barlow Semi Condensed" w:cs="Barlow Semi Condensed" w:eastAsia="Barlow Semi Condensed" w:hAnsi="Barlow Semi Condensed"/>
          <w:b/>
          <w:bCs/>
          <w:sz w:val="24"/>
          <w:szCs w:val="24"/>
        </w:rPr>
        <w:t xml:space="preserve">737 · Pleiotropia di una firma sola.</w:t>
      </w:r>
      <w:r>
        <w:rPr>
          <w:rFonts w:ascii="Barlow Semi Condensed" w:cs="Barlow Semi Condensed" w:eastAsia="Barlow Semi Condensed" w:hAnsi="Barlow Semi Condensed"/>
          <w:sz w:val="24"/>
          <w:szCs w:val="24"/>
        </w:rPr>
        <w:t xml:space="preserve"> A Helsinki, il 1° agosto 1975, Aldo Moro sottoscrisse nella duplice qualità di Presidente del Consiglio e di Presidente di turno della Comunità europea: un solo atto che esprime due mandati distinti. In genetica un gene che agisce su più caratteri si dice pleiotropico. Qui la figura serve a una cautela pratica: contare quell'evento due volte, come se fossero due adesioni, gonfierebbe qualunque conteggio di convergenze.</w:t>
      </w:r>
    </w:p>
    <w:p>
      <w:pPr>
        <w:spacing w:after="120" w:line="276"/>
        <w:jc w:val="both"/>
      </w:pPr>
      <w:r>
        <w:rPr>
          <w:rFonts w:ascii="Barlow Semi Condensed" w:cs="Barlow Semi Condensed" w:eastAsia="Barlow Semi Condensed" w:hAnsi="Barlow Semi Condensed"/>
          <w:b/>
          <w:bCs/>
          <w:sz w:val="24"/>
          <w:szCs w:val="24"/>
        </w:rPr>
        <w:t xml:space="preserve">738 · L'insofferenza registrata a Helsinki.</w:t>
      </w:r>
      <w:r>
        <w:rPr>
          <w:rFonts w:ascii="Barlow Semi Condensed" w:cs="Barlow Semi Condensed" w:eastAsia="Barlow Semi Condensed" w:hAnsi="Barlow Semi Condensed"/>
          <w:sz w:val="24"/>
          <w:szCs w:val="24"/>
        </w:rPr>
        <w:t xml:space="preserve"> Il corpus registra come fatto pubblico l'insofferenza di Henry Kissinger rispetto al coinvolgimento della Comunità europea nella firma dell'Atto finale. Il caso è istruttivo perché la posizione dichiarata ha per oggetto proprio quella firma in duplice qualità: dichiarato e osservato si toccano senza confondersi. Si registra la contrarietà con la sua sede; non se ne inferisce alcun effetto sulla firma, che fu apposta.</w:t>
      </w:r>
    </w:p>
    <w:p>
      <w:pPr>
        <w:spacing w:after="120" w:line="276"/>
        <w:jc w:val="both"/>
      </w:pPr>
      <w:r>
        <w:rPr>
          <w:rFonts w:ascii="Barlow Semi Condensed" w:cs="Barlow Semi Condensed" w:eastAsia="Barlow Semi Condensed" w:hAnsi="Barlow Semi Condensed"/>
          <w:b/>
          <w:bCs/>
          <w:sz w:val="24"/>
          <w:szCs w:val="24"/>
        </w:rPr>
        <w:t xml:space="preserve">739 · Il memorandum of conversation come fenotipo.</w:t>
      </w:r>
      <w:r>
        <w:rPr>
          <w:rFonts w:ascii="Barlow Semi Condensed" w:cs="Barlow Semi Condensed" w:eastAsia="Barlow Semi Condensed" w:hAnsi="Barlow Semi Condensed"/>
          <w:sz w:val="24"/>
          <w:szCs w:val="24"/>
        </w:rPr>
        <w:t xml:space="preserve"> Un memorandum of conversation non è il colloquio: è la parte del colloquio destinata al verbale, redatta da chi era incaricato di redigerla. Il documento del 25 settembre 1974 nello Studio Ovale — Leone, Moro, Ford, Kissinger — è conservato alla Ford Library con segnatura 1552802 ed edito in FRUS 1969-1976, volume E-15 parte 2, documento 350. È fonte primaria di grado massimo su ciò che vi è scritto, e solo su quello.</w:t>
      </w:r>
    </w:p>
    <w:p>
      <w:pPr>
        <w:spacing w:after="120" w:line="276"/>
        <w:jc w:val="both"/>
      </w:pPr>
      <w:r>
        <w:rPr>
          <w:rFonts w:ascii="Barlow Semi Condensed" w:cs="Barlow Semi Condensed" w:eastAsia="Barlow Semi Condensed" w:hAnsi="Barlow Semi Condensed"/>
          <w:b/>
          <w:bCs/>
          <w:sz w:val="24"/>
          <w:szCs w:val="24"/>
        </w:rPr>
        <w:t xml:space="preserve">740 · Che cosa il verbale del 25 settembre attesta.</w:t>
      </w:r>
      <w:r>
        <w:rPr>
          <w:rFonts w:ascii="Barlow Semi Condensed" w:cs="Barlow Semi Condensed" w:eastAsia="Barlow Semi Condensed" w:hAnsi="Barlow Semi Condensed"/>
          <w:sz w:val="24"/>
          <w:szCs w:val="24"/>
        </w:rPr>
        <w:t xml:space="preserve"> Attesta la posizione statunitense sull'impossibilità di scambiare informazioni militari con un governo comprendente i comunisti, e il rilievo secondo cui un Partito comunista «responsabile» risulterebbe più pericoloso di uno irresponsabile. È molto, ed è documentato. Non contiene alcun ultimatum personale rivolto ad Aldo Moro. Questa è la colonna dell'osservato, e va letta senza aggiungervi ciò che si vorrebbe trovarvi.</w:t>
      </w:r>
    </w:p>
    <w:p>
      <w:pPr>
        <w:spacing w:after="120" w:line="276"/>
        <w:jc w:val="both"/>
      </w:pPr>
      <w:r>
        <w:rPr>
          <w:rFonts w:ascii="Barlow Semi Condensed" w:cs="Barlow Semi Condensed" w:eastAsia="Barlow Semi Condensed" w:hAnsi="Barlow Semi Condensed"/>
          <w:b/>
          <w:bCs/>
          <w:sz w:val="24"/>
          <w:szCs w:val="24"/>
        </w:rPr>
        <w:t xml:space="preserve">741 · Che cosa il verbale non attesta (serie X).</w:t>
      </w:r>
      <w:r>
        <w:rPr>
          <w:rFonts w:ascii="Barlow Semi Condensed" w:cs="Barlow Semi Condensed" w:eastAsia="Barlow Semi Condensed" w:hAnsi="Barlow Semi Condensed"/>
          <w:sz w:val="24"/>
          <w:szCs w:val="24"/>
        </w:rPr>
        <w:t xml:space="preserve"> Il documento attesta la posizione di Kissinger sul PCI; non attesta una posizione di Moro sul medesimo punto in quella sede, e la ricognizione del corpus avverte espressamente di non inferirla. Il silenzio di un verbale su un partecipante non è una posizione di quel partecipante: è una proprietà del verbale. Trattarlo altrimenti significa leggere il DNA non codificante come se codificasse.</w:t>
      </w:r>
    </w:p>
    <w:p>
      <w:pPr>
        <w:spacing w:after="120" w:line="276"/>
        <w:jc w:val="both"/>
      </w:pPr>
      <w:r>
        <w:rPr>
          <w:rFonts w:ascii="Barlow Semi Condensed" w:cs="Barlow Semi Condensed" w:eastAsia="Barlow Semi Condensed" w:hAnsi="Barlow Semi Condensed"/>
          <w:b/>
          <w:bCs/>
          <w:sz w:val="24"/>
          <w:szCs w:val="24"/>
        </w:rPr>
        <w:t xml:space="preserve">742 · Il colloquio del giorno successivo.</w:t>
      </w:r>
      <w:r>
        <w:rPr>
          <w:rFonts w:ascii="Barlow Semi Condensed" w:cs="Barlow Semi Condensed" w:eastAsia="Barlow Semi Condensed" w:hAnsi="Barlow Semi Condensed"/>
          <w:sz w:val="24"/>
          <w:szCs w:val="24"/>
        </w:rPr>
        <w:t xml:space="preserve"> Del 26 settembre 1974 esiste un secondo verbale, alla Ford Library con segnatura 1552806: due fenotipi della stessa sequenza diplomatica, a ventiquattr'ore di distanza. Quesito operativo della serie: collazionare integralmente i due documenti e tabulare che cosa il secondo aggiunge, ripete o corregge rispetto al primo. È accertamento a costo basso e rendimento alto, e non risulta compiuto in forma pubblicata.</w:t>
      </w:r>
    </w:p>
    <w:p>
      <w:pPr>
        <w:spacing w:after="120" w:line="276"/>
        <w:jc w:val="both"/>
      </w:pPr>
      <w:r>
        <w:rPr>
          <w:rFonts w:ascii="Barlow Semi Condensed" w:cs="Barlow Semi Condensed" w:eastAsia="Barlow Semi Condensed" w:hAnsi="Barlow Semi Condensed"/>
          <w:b/>
          <w:bCs/>
          <w:sz w:val="24"/>
          <w:szCs w:val="24"/>
        </w:rPr>
        <w:t xml:space="preserve">743 · Quando il dichiarato è già l'atto.</w:t>
      </w:r>
      <w:r>
        <w:rPr>
          <w:rFonts w:ascii="Barlow Semi Condensed" w:cs="Barlow Semi Condensed" w:eastAsia="Barlow Semi Condensed" w:hAnsi="Barlow Semi Condensed"/>
          <w:sz w:val="24"/>
          <w:szCs w:val="24"/>
        </w:rPr>
        <w:t xml:space="preserve"> A ridosso dell'incontro, Kissinger espresse a Ford la propria posizione sul PCI e sul rischio di contagio in altri Paesi europei. Qui la dichiarazione non precede l'atto: lo è, perché è rivolta a chi decide e ne orienta la decisione. La serie la registra nella colonna degli atti, con la sua fonte, e non la somma a quella delle dichiarazioni: contarla due volte sarebbe raddoppiare un dato solo.</w:t>
      </w:r>
    </w:p>
    <w:p>
      <w:pPr>
        <w:spacing w:after="120" w:line="276"/>
        <w:jc w:val="both"/>
      </w:pPr>
      <w:r>
        <w:rPr>
          <w:rFonts w:ascii="Barlow Semi Condensed" w:cs="Barlow Semi Condensed" w:eastAsia="Barlow Semi Condensed" w:hAnsi="Barlow Semi Condensed"/>
          <w:b/>
          <w:bCs/>
          <w:sz w:val="24"/>
          <w:szCs w:val="24"/>
        </w:rPr>
        <w:t xml:space="preserve">744 · Il Comitato dei 303, 11 marzo 1969.</w:t>
      </w:r>
      <w:r>
        <w:rPr>
          <w:rFonts w:ascii="Barlow Semi Condensed" w:cs="Barlow Semi Condensed" w:eastAsia="Barlow Semi Condensed" w:hAnsi="Barlow Semi Condensed"/>
          <w:sz w:val="24"/>
          <w:szCs w:val="24"/>
        </w:rPr>
        <w:t xml:space="preserve"> Il verbale della riunione presieduta da Kissinger, in FRUS 1969-1976 volume XLI documento 180, registra l'illustrazione di origini e livelli del sostegno coperto ai partiti italiani fra il 1948 e il 1968 e la convergenza unanime dei presenti sull'assenza di reale giustificazione per riprenderlo. È un atto documentato, e il suo contenuto è una decisione di non fare: gli atti negativi hanno grado pari agli altri.</w:t>
      </w:r>
    </w:p>
    <w:p>
      <w:pPr>
        <w:spacing w:after="120" w:line="276"/>
        <w:jc w:val="both"/>
      </w:pPr>
      <w:r>
        <w:rPr>
          <w:rFonts w:ascii="Barlow Semi Condensed" w:cs="Barlow Semi Condensed" w:eastAsia="Barlow Semi Condensed" w:hAnsi="Barlow Semi Condensed"/>
          <w:b/>
          <w:bCs/>
          <w:sz w:val="24"/>
          <w:szCs w:val="24"/>
        </w:rPr>
        <w:t xml:space="preserve">745 · La data che disinnesca la suggestione.</w:t>
      </w:r>
      <w:r>
        <w:rPr>
          <w:rFonts w:ascii="Barlow Semi Condensed" w:cs="Barlow Semi Condensed" w:eastAsia="Barlow Semi Condensed" w:hAnsi="Barlow Semi Condensed"/>
          <w:sz w:val="24"/>
          <w:szCs w:val="24"/>
        </w:rPr>
        <w:t xml:space="preserve"> L'11 marzo 1969 precede di quasi cinque mesi l'insediamento di Aldo Moro alla Farnesina, avvenuto il 5 agosto 1969. La contemporaneità che una lettura frettolosa vi troverebbe è apparente, e la disciplina del corpus è esplicita: la contemporaneità cronologica non è prova di nesso, e qui manca perfino quella. Il blocco si scrive per essere citato ogni volta che la riunione venga accostata al ministero.</w:t>
      </w:r>
    </w:p>
    <w:p>
      <w:pPr>
        <w:spacing w:after="120" w:line="276"/>
        <w:jc w:val="both"/>
      </w:pPr>
      <w:r>
        <w:rPr>
          <w:rFonts w:ascii="Barlow Semi Condensed" w:cs="Barlow Semi Condensed" w:eastAsia="Barlow Semi Condensed" w:hAnsi="Barlow Semi Condensed"/>
          <w:b/>
          <w:bCs/>
          <w:sz w:val="24"/>
          <w:szCs w:val="24"/>
        </w:rPr>
        <w:t xml:space="preserve">746 · L'istruzione di studio del dicembre 1969.</w:t>
      </w:r>
      <w:r>
        <w:rPr>
          <w:rFonts w:ascii="Barlow Semi Condensed" w:cs="Barlow Semi Condensed" w:eastAsia="Barlow Semi Condensed" w:hAnsi="Barlow Semi Condensed"/>
          <w:sz w:val="24"/>
          <w:szCs w:val="24"/>
        </w:rPr>
        <w:t xml:space="preserve"> FRUS volume XLI documento 188 registra l'istruzione di Nixon, nel dicembre 1969, di avviare uno studio sull'Italia. Un'istruzione a studiare è un atto e va contata come tale, con il suo grado; non è però un programma, e non diventa un programma perché in seguito un programma esistette. Il codice trascritto non è ancora proteina: fra i due passaggi la regolazione può fermare tutto.</w:t>
      </w:r>
    </w:p>
    <w:p>
      <w:pPr>
        <w:spacing w:after="120" w:line="276"/>
        <w:jc w:val="both"/>
      </w:pPr>
      <w:r>
        <w:rPr>
          <w:rFonts w:ascii="Barlow Semi Condensed" w:cs="Barlow Semi Condensed" w:eastAsia="Barlow Semi Condensed" w:hAnsi="Barlow Semi Condensed"/>
          <w:b/>
          <w:bCs/>
          <w:sz w:val="24"/>
          <w:szCs w:val="24"/>
        </w:rPr>
        <w:t xml:space="preserve">747 · Il riemergere del programma coperto (serie X).</w:t>
      </w:r>
      <w:r>
        <w:rPr>
          <w:rFonts w:ascii="Barlow Semi Condensed" w:cs="Barlow Semi Condensed" w:eastAsia="Barlow Semi Condensed" w:hAnsi="Barlow Semi Condensed"/>
          <w:sz w:val="24"/>
          <w:szCs w:val="24"/>
        </w:rPr>
        <w:t xml:space="preserve"> Un saggio sottoposto a revisione paritaria segnala il riemergere del programma di azione coperta in Italia nel novembre 1975 e nel luglio 1976, quando Moro era presidente del Consiglio e non ministro degli Esteri. La sequenza si registra con le date e la carica esatte. Ricavarne una linea continua dal 1969 significherebbe costruire una filogenesi su due punti e un'ipotesi: si registra la sequenza, non la linea.</w:t>
      </w:r>
    </w:p>
    <w:p>
      <w:pPr>
        <w:spacing w:after="120" w:line="276"/>
        <w:jc w:val="both"/>
      </w:pPr>
      <w:r>
        <w:rPr>
          <w:rFonts w:ascii="Barlow Semi Condensed" w:cs="Barlow Semi Condensed" w:eastAsia="Barlow Semi Condensed" w:hAnsi="Barlow Semi Condensed"/>
          <w:b/>
          <w:bCs/>
          <w:sz w:val="24"/>
          <w:szCs w:val="24"/>
        </w:rPr>
        <w:t xml:space="preserve">748 · Le Azzorre, 19 giugno 1974.</w:t>
      </w:r>
      <w:r>
        <w:rPr>
          <w:rFonts w:ascii="Barlow Semi Condensed" w:cs="Barlow Semi Condensed" w:eastAsia="Barlow Semi Condensed" w:hAnsi="Barlow Semi Condensed"/>
          <w:sz w:val="24"/>
          <w:szCs w:val="24"/>
        </w:rPr>
        <w:t xml:space="preserve"> Il memorandum dell'incontro fra Nixon e Spínola alle Azzorre, del 19 giugno 1974, appartiene ai fatti pubblici già acquisiti dal corpus. La regola di lettura è la stessa applicata al verbale dello Studio Ovale: al piano 1 entra ciò che il documento dice di sé, con la sua segnatura; tutto ciò che si vorrebbe dedurne sul seguito portoghese resta al piano 2 finché un altro documento non lo attesti.</w:t>
      </w:r>
    </w:p>
    <w:p>
      <w:pPr>
        <w:spacing w:after="120" w:line="276"/>
        <w:jc w:val="both"/>
      </w:pPr>
      <w:r>
        <w:rPr>
          <w:rFonts w:ascii="Barlow Semi Condensed" w:cs="Barlow Semi Condensed" w:eastAsia="Barlow Semi Condensed" w:hAnsi="Barlow Semi Condensed"/>
          <w:b/>
          <w:bCs/>
          <w:sz w:val="24"/>
          <w:szCs w:val="24"/>
        </w:rPr>
        <w:t xml:space="preserve">749 · Ciò che una paura nomina.</w:t>
      </w:r>
      <w:r>
        <w:rPr>
          <w:rFonts w:ascii="Barlow Semi Condensed" w:cs="Barlow Semi Condensed" w:eastAsia="Barlow Semi Condensed" w:hAnsi="Barlow Semi Condensed"/>
          <w:sz w:val="24"/>
          <w:szCs w:val="24"/>
        </w:rPr>
        <w:t xml:space="preserve"> Nella documentazione statunitense sul Portogallo compare la preoccupazione per un «leftist neutralist regime» a Lisbona. La formula è un fenotipo del dichiarato: attesta con precisione che cosa si temeva, e nulla su che cosa fu fatto. La distanza fra il timore scritto e la condotta eseguita è esattamente l'oggetto di questa serie, e va misurata su documenti diversi, non ricavata dall'intensità dell'aggettivo.</w:t>
      </w:r>
    </w:p>
    <w:p>
      <w:pPr>
        <w:spacing w:after="120" w:line="276"/>
        <w:jc w:val="both"/>
      </w:pPr>
      <w:r>
        <w:rPr>
          <w:rFonts w:ascii="Barlow Semi Condensed" w:cs="Barlow Semi Condensed" w:eastAsia="Barlow Semi Condensed" w:hAnsi="Barlow Semi Condensed"/>
          <w:b/>
          <w:bCs/>
          <w:sz w:val="24"/>
          <w:szCs w:val="24"/>
        </w:rPr>
        <w:t xml:space="preserve">750 · Il fenotipo dell'apparato e quello della persona.</w:t>
      </w:r>
      <w:r>
        <w:rPr>
          <w:rFonts w:ascii="Barlow Semi Condensed" w:cs="Barlow Semi Condensed" w:eastAsia="Barlow Semi Condensed" w:hAnsi="Barlow Semi Condensed"/>
          <w:sz w:val="24"/>
          <w:szCs w:val="24"/>
        </w:rPr>
        <w:t xml:space="preserve"> Un apparato statale e una persona che lo dirige sono due organismi con fenotipi distinti. Un programma deliberato da un comitato è atto del comitato; una frase pronunciata in una stanza è atto di chi la pronuncia. Attribuire all'individuo il fenotipo dell'organo, o all'organo quello dell'individuo, è la promozione vietata più comune. Ogni scheda della serie dichiara in testa quale dei due soggetti sta misurando.</w:t>
      </w:r>
    </w:p>
    <w:p>
      <w:pPr>
        <w:spacing w:after="120" w:line="276"/>
        <w:jc w:val="both"/>
      </w:pPr>
      <w:r>
        <w:rPr>
          <w:rFonts w:ascii="Barlow Semi Condensed" w:cs="Barlow Semi Condensed" w:eastAsia="Barlow Semi Condensed" w:hAnsi="Barlow Semi Condensed"/>
          <w:b/>
          <w:bCs/>
          <w:sz w:val="24"/>
          <w:szCs w:val="24"/>
        </w:rPr>
        <w:t xml:space="preserve">751 · Lo statuto del nodo dell'avvertimento.</w:t>
      </w:r>
      <w:r>
        <w:rPr>
          <w:rFonts w:ascii="Barlow Semi Condensed" w:cs="Barlow Semi Condensed" w:eastAsia="Barlow Semi Condensed" w:hAnsi="Barlow Semi Condensed"/>
          <w:sz w:val="24"/>
          <w:szCs w:val="24"/>
        </w:rPr>
        <w:t xml:space="preserve"> Il presunto avvertimento a Moro è riferito da Corrado Guerzoni e confermato da Eleonora Chiavarelli Moro in sede parlamentare, ed è stato sempre smentito da Kissinger. Il corpus lo registra come testimonianza contestata, di grado B debole, mai da dare per accertata. Questo è lo statuto, e non cambia per accumulo di riprese: cambierebbe soltanto davanti a un documento primario. Nessuna riga della serie lo tratta diversamente.</w:t>
      </w:r>
    </w:p>
    <w:p>
      <w:pPr>
        <w:spacing w:after="120" w:line="276"/>
        <w:jc w:val="both"/>
      </w:pPr>
      <w:r>
        <w:rPr>
          <w:rFonts w:ascii="Barlow Semi Condensed" w:cs="Barlow Semi Condensed" w:eastAsia="Barlow Semi Condensed" w:hAnsi="Barlow Semi Condensed"/>
          <w:b/>
          <w:bCs/>
          <w:sz w:val="24"/>
          <w:szCs w:val="24"/>
        </w:rPr>
        <w:t xml:space="preserve">752 · Il teste principale non fu presente.</w:t>
      </w:r>
      <w:r>
        <w:rPr>
          <w:rFonts w:ascii="Barlow Semi Condensed" w:cs="Barlow Semi Condensed" w:eastAsia="Barlow Semi Condensed" w:hAnsi="Barlow Semi Condensed"/>
          <w:sz w:val="24"/>
          <w:szCs w:val="24"/>
        </w:rPr>
        <w:t xml:space="preserve"> Guerzoni depose davanti alla Corte d'assise di Roma nel novembre 1982 de relato, avendo appreso il fatto da Moro e dall'entourage: non assistette al colloquio. Il dato non svaluta la testimonianza — il de relato è ammesso e ha un suo peso — ma ne cambia lo statuto, e va riportato ogni volta che la si cita. Una testimonianza indiretta indica una fonte, e quella fonte è oggi irraggiungibile.</w:t>
      </w:r>
    </w:p>
    <w:p>
      <w:pPr>
        <w:spacing w:after="120" w:line="276"/>
        <w:jc w:val="both"/>
      </w:pPr>
      <w:r>
        <w:rPr>
          <w:rFonts w:ascii="Barlow Semi Condensed" w:cs="Barlow Semi Condensed" w:eastAsia="Barlow Semi Condensed" w:hAnsi="Barlow Semi Condensed"/>
          <w:b/>
          <w:bCs/>
          <w:sz w:val="24"/>
          <w:szCs w:val="24"/>
        </w:rPr>
        <w:t xml:space="preserve">753 · Il nome fu ottenuto in aula.</w:t>
      </w:r>
      <w:r>
        <w:rPr>
          <w:rFonts w:ascii="Barlow Semi Condensed" w:cs="Barlow Semi Condensed" w:eastAsia="Barlow Semi Condensed" w:hAnsi="Barlow Semi Condensed"/>
          <w:sz w:val="24"/>
          <w:szCs w:val="24"/>
        </w:rPr>
        <w:t xml:space="preserve"> La vedova parlò di «un'alta personalità» senza nominarla; fu il presidente della corte, richiamando la deposizione di Guerzoni, a ottenere l'indicazione di Kissinger. L'attribuzione del nome è dunque essa stessa indiretta, e nasce nel dibattimento anziché precederlo. È una precisazione che nessuna sintesi divulgativa riporta, e che modifica sensibilmente il peso della convergenza fra i due testimoni.</w:t>
      </w:r>
    </w:p>
    <w:p>
      <w:pPr>
        <w:spacing w:after="120" w:line="276"/>
        <w:jc w:val="both"/>
      </w:pPr>
      <w:r>
        <w:rPr>
          <w:rFonts w:ascii="Barlow Semi Condensed" w:cs="Barlow Semi Condensed" w:eastAsia="Barlow Semi Condensed" w:hAnsi="Barlow Semi Condensed"/>
          <w:b/>
          <w:bCs/>
          <w:sz w:val="24"/>
          <w:szCs w:val="24"/>
        </w:rPr>
        <w:t xml:space="preserve">754 · Sede e contenuto vanno tenuti distinti.</w:t>
      </w:r>
      <w:r>
        <w:rPr>
          <w:rFonts w:ascii="Barlow Semi Condensed" w:cs="Barlow Semi Condensed" w:eastAsia="Barlow Semi Condensed" w:hAnsi="Barlow Semi Condensed"/>
          <w:sz w:val="24"/>
          <w:szCs w:val="24"/>
        </w:rPr>
        <w:t xml:space="preserve"> L'audizione di Eleonora Chiavarelli Moro davanti alla Commissione d'inchiesta è del 1° agosto 1980; la frase citata verbatim è però attribuita dalle sintesi alla deposizione giudiziaria del 1982, mentre dell'audizione del 1980 si riporta soprattutto il riferimento a minacce risalenti al 1975 e crescenti. Confondere le due sedi produce una citazione formalmente parlamentare e sostanzialmente giudiziaria: due gradi diversi in una riga sola.</w:t>
      </w:r>
    </w:p>
    <w:p>
      <w:pPr>
        <w:spacing w:after="120" w:line="276"/>
        <w:jc w:val="both"/>
      </w:pPr>
      <w:r>
        <w:rPr>
          <w:rFonts w:ascii="Barlow Semi Condensed" w:cs="Barlow Semi Condensed" w:eastAsia="Barlow Semi Condensed" w:hAnsi="Barlow Semi Condensed"/>
          <w:b/>
          <w:bCs/>
          <w:sz w:val="24"/>
          <w:szCs w:val="24"/>
        </w:rPr>
        <w:t xml:space="preserve">755 · La data non è pacifica.</w:t>
      </w:r>
      <w:r>
        <w:rPr>
          <w:rFonts w:ascii="Barlow Semi Condensed" w:cs="Barlow Semi Condensed" w:eastAsia="Barlow Semi Condensed" w:hAnsi="Barlow Semi Condensed"/>
          <w:sz w:val="24"/>
          <w:szCs w:val="24"/>
        </w:rPr>
        <w:t xml:space="preserve"> Le fonti collocano l'episodio nel settembre 1974, nel 1976 e — una fonte d'agenzia statunitense dell'aprile 1983 — in un alterco all'ambasciata d'Italia a Washington nel 1977; divergono anche i luoghi. La disciplina impone di riportare la divergenza e non di scegliere in silenzio. Una testimonianza le cui coordinate oscillano di tre anni non è per ciò falsa: è però inutilizzabile come ancoraggio cronologico.</w:t>
      </w:r>
    </w:p>
    <w:p>
      <w:pPr>
        <w:spacing w:after="120" w:line="276"/>
        <w:jc w:val="both"/>
      </w:pPr>
      <w:r>
        <w:rPr>
          <w:rFonts w:ascii="Barlow Semi Condensed" w:cs="Barlow Semi Condensed" w:eastAsia="Barlow Semi Condensed" w:hAnsi="Barlow Semi Condensed"/>
          <w:b/>
          <w:bCs/>
          <w:sz w:val="24"/>
          <w:szCs w:val="24"/>
        </w:rPr>
        <w:t xml:space="preserve">756 · Il 1977 e la carica.</w:t>
      </w:r>
      <w:r>
        <w:rPr>
          <w:rFonts w:ascii="Barlow Semi Condensed" w:cs="Barlow Semi Condensed" w:eastAsia="Barlow Semi Condensed" w:hAnsi="Barlow Semi Condensed"/>
          <w:sz w:val="24"/>
          <w:szCs w:val="24"/>
        </w:rPr>
        <w:t xml:space="preserve"> La divergenza sulla data non è dettaglio erudito. Nel 1977 Kissinger non era più Segretario di Stato, e un avvertimento pronunciato da un privato cittadino, per quanto autorevole, è fatto di natura diversa da uno pronunciato dal capo della diplomazia di una superpotenza. La variante che sposta la data cambia dunque il significato dell'episodio, non soltanto la sua collocazione: per questo va riportata sempre.</w:t>
      </w:r>
    </w:p>
    <w:p>
      <w:pPr>
        <w:spacing w:after="120" w:line="276"/>
        <w:jc w:val="both"/>
      </w:pPr>
      <w:r>
        <w:rPr>
          <w:rFonts w:ascii="Barlow Semi Condensed" w:cs="Barlow Semi Condensed" w:eastAsia="Barlow Semi Condensed" w:hAnsi="Barlow Semi Condensed"/>
          <w:b/>
          <w:bCs/>
          <w:sz w:val="24"/>
          <w:szCs w:val="24"/>
        </w:rPr>
        <w:t xml:space="preserve">757 · L'assenza dal verbale, letta con esattezza.</w:t>
      </w:r>
      <w:r>
        <w:rPr>
          <w:rFonts w:ascii="Barlow Semi Condensed" w:cs="Barlow Semi Condensed" w:eastAsia="Barlow Semi Condensed" w:hAnsi="Barlow Semi Condensed"/>
          <w:sz w:val="24"/>
          <w:szCs w:val="24"/>
        </w:rPr>
        <w:t xml:space="preserve"> Il memorandum del 25 settembre 1974 non contiene la frase. Poiché la testimonianza colloca l'avvertimento a margine dell'incontro, l'assenza dal verbale non prova né la falsità né la verità dell'episodio: un margine non entra nel verbale per definizione. Indebolisce però nettamente la versione che lo colloca dentro il colloquio ufficiale, ed è proprio quella che circola. La precisazione va fatta in entrambe le direzioni.</w:t>
      </w:r>
    </w:p>
    <w:p>
      <w:pPr>
        <w:spacing w:after="120" w:line="276"/>
        <w:jc w:val="both"/>
      </w:pPr>
      <w:r>
        <w:rPr>
          <w:rFonts w:ascii="Barlow Semi Condensed" w:cs="Barlow Semi Condensed" w:eastAsia="Barlow Semi Condensed" w:hAnsi="Barlow Semi Condensed"/>
          <w:b/>
          <w:bCs/>
          <w:sz w:val="24"/>
          <w:szCs w:val="24"/>
        </w:rPr>
        <w:t xml:space="preserve">758 · La circolazione non è attestazione.</w:t>
      </w:r>
      <w:r>
        <w:rPr>
          <w:rFonts w:ascii="Barlow Semi Condensed" w:cs="Barlow Semi Condensed" w:eastAsia="Barlow Semi Condensed" w:hAnsi="Barlow Semi Condensed"/>
          <w:sz w:val="24"/>
          <w:szCs w:val="24"/>
        </w:rPr>
        <w:t xml:space="preserve"> Il caso offre il manuale d'uso della replicazione. Un lancio d'agenzia del 30 novembre 2023, decine di riprese quasi identiche, un rilancio internazionale del 1982 di provenienza cospirazionista: la tavola della circolazione è ricca e la colonna dei riscontri resta vuota. Registrare la prima e non gonfiare la seconda è tutta la differenza fra una storia della ricezione e una prova.</w:t>
      </w:r>
    </w:p>
    <w:p>
      <w:pPr>
        <w:spacing w:after="120" w:line="276"/>
        <w:jc w:val="both"/>
      </w:pPr>
      <w:r>
        <w:rPr>
          <w:rFonts w:ascii="Barlow Semi Condensed" w:cs="Barlow Semi Condensed" w:eastAsia="Barlow Semi Condensed" w:hAnsi="Barlow Semi Condensed"/>
          <w:b/>
          <w:bCs/>
          <w:sz w:val="24"/>
          <w:szCs w:val="24"/>
        </w:rPr>
        <w:t xml:space="preserve">759 · Le due smentite dell'interessato.</w:t>
      </w:r>
      <w:r>
        <w:rPr>
          <w:rFonts w:ascii="Barlow Semi Condensed" w:cs="Barlow Semi Condensed" w:eastAsia="Barlow Semi Condensed" w:hAnsi="Barlow Semi Condensed"/>
          <w:sz w:val="24"/>
          <w:szCs w:val="24"/>
        </w:rPr>
        <w:t xml:space="preserve"> Kissinger ha negato l'episodio due volte e in due forme. Nel 1983, in forma anteriore e generica, ammettendo la propria contrarietà all'ingresso dei comunisti al governo e smentendo di aver rimproverato Moro. Poco prima della morte, nel 2023, in forma diretta e circostanziata a un giornalista. Entrambe si registrano con la loro data e la loro sede, perché la forma di una smentita è un dato quanto il contenuto.</w:t>
      </w:r>
    </w:p>
    <w:p>
      <w:pPr>
        <w:spacing w:after="120" w:line="276"/>
        <w:jc w:val="both"/>
      </w:pPr>
      <w:r>
        <w:rPr>
          <w:rFonts w:ascii="Barlow Semi Condensed" w:cs="Barlow Semi Condensed" w:eastAsia="Barlow Semi Condensed" w:hAnsi="Barlow Semi Condensed"/>
          <w:b/>
          <w:bCs/>
          <w:sz w:val="24"/>
          <w:szCs w:val="24"/>
        </w:rPr>
        <w:t xml:space="preserve">760 · Mai sentito dai magistrati italiani.</w:t>
      </w:r>
      <w:r>
        <w:rPr>
          <w:rFonts w:ascii="Barlow Semi Condensed" w:cs="Barlow Semi Condensed" w:eastAsia="Barlow Semi Condensed" w:hAnsi="Barlow Semi Condensed"/>
          <w:sz w:val="24"/>
          <w:szCs w:val="24"/>
        </w:rPr>
        <w:t xml:space="preserve"> Kissinger non fu mai sentito dall'autorità giudiziaria italiana sull'episodio, e la richiesta informale del 1983 non ebbe seguito. Ne discende uno Stato Zero da dichiarare con precisione: non esiste alcun verbale di escussione perché non vi fu escussione. È un'assenza accertata e non una reticenza, e va scritta con la stessa forza di un'acquisizione positiva, avvertendo che la sede in cui si chiuderebbe non esiste più.</w:t>
      </w:r>
    </w:p>
    <w:p>
      <w:pPr>
        <w:spacing w:after="120" w:line="276"/>
        <w:jc w:val="both"/>
      </w:pPr>
      <w:r>
        <w:rPr>
          <w:rFonts w:ascii="Barlow Semi Condensed" w:cs="Barlow Semi Condensed" w:eastAsia="Barlow Semi Condensed" w:hAnsi="Barlow Semi Condensed"/>
          <w:b/>
          <w:bCs/>
          <w:sz w:val="24"/>
          <w:szCs w:val="24"/>
        </w:rPr>
        <w:t xml:space="preserve">761 · Le due smentite italiane qualificate.</w:t>
      </w:r>
      <w:r>
        <w:rPr>
          <w:rFonts w:ascii="Barlow Semi Condensed" w:cs="Barlow Semi Condensed" w:eastAsia="Barlow Semi Condensed" w:hAnsi="Barlow Semi Condensed"/>
          <w:sz w:val="24"/>
          <w:szCs w:val="24"/>
        </w:rPr>
        <w:t xml:space="preserve"> Vanno registrate anche due smentite italiane, con la loro divergenza interna. Un testimone di primo piano definì l'episodio «una leggenda che non ha fondamento», dicendo di averlo verificato allora con l'interprete perché Moro non parlava inglese, salvo descrivere altrove un colloquio politicamente durissimo; un altro parlò di «solo un problema di linguaggio». Nessuno dei due era presente al colloquio riservato: anche queste sono fonti indirette.</w:t>
      </w:r>
    </w:p>
    <w:p>
      <w:pPr>
        <w:spacing w:after="120" w:line="276"/>
        <w:jc w:val="both"/>
      </w:pPr>
      <w:r>
        <w:rPr>
          <w:rFonts w:ascii="Barlow Semi Condensed" w:cs="Barlow Semi Condensed" w:eastAsia="Barlow Semi Condensed" w:hAnsi="Barlow Semi Condensed"/>
          <w:b/>
          <w:bCs/>
          <w:sz w:val="24"/>
          <w:szCs w:val="24"/>
        </w:rPr>
        <w:t xml:space="preserve">762 · L'argomento dell'interprete e il suo perimetro.</w:t>
      </w:r>
      <w:r>
        <w:rPr>
          <w:rFonts w:ascii="Barlow Semi Condensed" w:cs="Barlow Semi Condensed" w:eastAsia="Barlow Semi Condensed" w:hAnsi="Barlow Semi Condensed"/>
          <w:sz w:val="24"/>
          <w:szCs w:val="24"/>
        </w:rPr>
        <w:t xml:space="preserve"> L'argomento è forte sulla meccanica e debole sul perimetro. È forte perché una conversazione mediata da interprete lascia un testimone tecnico in più; è debole perché una frase pronunciata in disparte può non passare per l'interprete. La serie registra entrambi i bordi dell'argomento e non ne fa un criterio risolutivo: nessuno dei due è documentato, e il perimetro dell'episodio è precisamente ciò che è conteso.</w:t>
      </w:r>
    </w:p>
    <w:p>
      <w:pPr>
        <w:spacing w:after="120" w:line="276"/>
        <w:jc w:val="both"/>
      </w:pPr>
      <w:r>
        <w:rPr>
          <w:rFonts w:ascii="Barlow Semi Condensed" w:cs="Barlow Semi Condensed" w:eastAsia="Barlow Semi Condensed" w:hAnsi="Barlow Semi Condensed"/>
          <w:b/>
          <w:bCs/>
          <w:sz w:val="24"/>
          <w:szCs w:val="24"/>
        </w:rPr>
        <w:t xml:space="preserve">763 · Il rimprovero e la minaccia.</w:t>
      </w:r>
      <w:r>
        <w:rPr>
          <w:rFonts w:ascii="Barlow Semi Condensed" w:cs="Barlow Semi Condensed" w:eastAsia="Barlow Semi Condensed" w:hAnsi="Barlow Semi Condensed"/>
          <w:sz w:val="24"/>
          <w:szCs w:val="24"/>
        </w:rPr>
        <w:t xml:space="preserve"> La divergenza interna di uno dei testimoni — leggenda infondata da un lato, colloquio politicamente durissimo dall'altro — non è una contraddizione da liquidare: è un'informazione. Distingue due fenotipi diversi, il rimprovero aspro e la minaccia, che le sintesi divulgative fondono in uno. Chi nega la minaccia può descrivere il rimprovero senza contraddirsi. La tavola delle versioni deve tenere le due colonne separate.</w:t>
      </w:r>
    </w:p>
    <w:p>
      <w:pPr>
        <w:spacing w:after="120" w:line="276"/>
        <w:jc w:val="both"/>
      </w:pPr>
      <w:r>
        <w:rPr>
          <w:rFonts w:ascii="Barlow Semi Condensed" w:cs="Barlow Semi Condensed" w:eastAsia="Barlow Semi Condensed" w:hAnsi="Barlow Semi Condensed"/>
          <w:b/>
          <w:bCs/>
          <w:sz w:val="24"/>
          <w:szCs w:val="24"/>
        </w:rPr>
        <w:t xml:space="preserve">764 · Nessuna imputazione, in nessuna sede.</w:t>
      </w:r>
      <w:r>
        <w:rPr>
          <w:rFonts w:ascii="Barlow Semi Condensed" w:cs="Barlow Semi Condensed" w:eastAsia="Barlow Semi Condensed" w:hAnsi="Barlow Semi Condensed"/>
          <w:sz w:val="24"/>
          <w:szCs w:val="24"/>
        </w:rPr>
        <w:t xml:space="preserve"> Henry Alfred Kissinger, nato a Fürth il 27 maggio 1923 e morto a Kent, nel Connecticut, il 29 novembre 2023, non fu condannato in alcun processo, e nessuna sentenza definitiva ha attribuito ad autorità statunitensi responsabilità penali nel sequestro e nell'omicidio di Aldo Moro. L'episodio dell'avvertimento non ha mai formato oggetto d'imputazione. Il blocco si scrive perché nessuna riga della serie possa essere letta oltre questo confine.</w:t>
      </w:r>
    </w:p>
    <w:p>
      <w:pPr>
        <w:spacing w:after="120" w:line="276"/>
        <w:jc w:val="both"/>
      </w:pPr>
      <w:r>
        <w:rPr>
          <w:rFonts w:ascii="Barlow Semi Condensed" w:cs="Barlow Semi Condensed" w:eastAsia="Barlow Semi Condensed" w:hAnsi="Barlow Semi Condensed"/>
          <w:b/>
          <w:bCs/>
          <w:sz w:val="24"/>
          <w:szCs w:val="24"/>
        </w:rPr>
        <w:t xml:space="preserve">765 · Il criterio di smentita del nodo.</w:t>
      </w:r>
      <w:r>
        <w:rPr>
          <w:rFonts w:ascii="Barlow Semi Condensed" w:cs="Barlow Semi Condensed" w:eastAsia="Barlow Semi Condensed" w:hAnsi="Barlow Semi Condensed"/>
          <w:sz w:val="24"/>
          <w:szCs w:val="24"/>
        </w:rPr>
        <w:t xml:space="preserve"> Che cosa muoverebbe il grado: il resoconto stenografico integrale dell'audizione del 1° agosto 1980 e il verbale d'udienza della deposizione del novembre 1982, letti sui testi ufficiali anziché sulle sintesi. Se confermassero il verbatim e le circostanze, il nodo salirebbe verso un B pieno; se li smentissero, scenderebbe. In entrambi i casi a decidere sarebbe un documento, non un'argomentazione.</w:t>
      </w:r>
    </w:p>
    <w:p>
      <w:pPr>
        <w:spacing w:after="120" w:line="276"/>
        <w:jc w:val="both"/>
      </w:pPr>
      <w:r>
        <w:rPr>
          <w:rFonts w:ascii="Barlow Semi Condensed" w:cs="Barlow Semi Condensed" w:eastAsia="Barlow Semi Condensed" w:hAnsi="Barlow Semi Condensed"/>
          <w:b/>
          <w:bCs/>
          <w:sz w:val="24"/>
          <w:szCs w:val="24"/>
        </w:rPr>
        <w:t xml:space="preserve">766 · Lo Stato Zero della campagna.</w:t>
      </w:r>
      <w:r>
        <w:rPr>
          <w:rFonts w:ascii="Barlow Semi Condensed" w:cs="Barlow Semi Condensed" w:eastAsia="Barlow Semi Condensed" w:hAnsi="Barlow Semi Condensed"/>
          <w:sz w:val="24"/>
          <w:szCs w:val="24"/>
        </w:rPr>
        <w:t xml:space="preserve"> Va dichiarato il limite della verifica compiuta: l'accesso diretto ai documenti primari, resoconti stenografici della Commissione e verbali d'udienza, è risultato bloccato, e le precisazioni poggiano su fonti secondarie convergenti. Le sedi dove l'accertamento si chiude sono l'Archivio storico della Camera dei deputati per l'audizione e la cancelleria della Corte d'assise di Roma per il dibattimento. Finché non vi si accede, il nodo resta dov'è.</w:t>
      </w:r>
    </w:p>
    <w:p>
      <w:pPr>
        <w:spacing w:after="120" w:line="276"/>
        <w:jc w:val="both"/>
      </w:pPr>
      <w:r>
        <w:rPr>
          <w:rFonts w:ascii="Barlow Semi Condensed" w:cs="Barlow Semi Condensed" w:eastAsia="Barlow Semi Condensed" w:hAnsi="Barlow Semi Condensed"/>
          <w:b/>
          <w:bCs/>
          <w:sz w:val="24"/>
          <w:szCs w:val="24"/>
        </w:rPr>
        <w:t xml:space="preserve">767 · Due testimoni contro una smentita.</w:t>
      </w:r>
      <w:r>
        <w:rPr>
          <w:rFonts w:ascii="Barlow Semi Condensed" w:cs="Barlow Semi Condensed" w:eastAsia="Barlow Semi Condensed" w:hAnsi="Barlow Semi Condensed"/>
          <w:sz w:val="24"/>
          <w:szCs w:val="24"/>
        </w:rPr>
        <w:t xml:space="preserve"> La tentazione aritmetica è forte: due contro uno. Ma i due sono un teste de relato e una teste che non fece il nome, e la seconda lo indica attraverso il presidente della corte; il terzo è l'interessato, che nega. Nessun conteggio scioglie un nodo così: vale la regola dell'anello debole, per cui un cammino ha il grado del suo passaggio più fragile. Si registra come conteso, mai come accertato.</w:t>
      </w:r>
    </w:p>
    <w:p>
      <w:pPr>
        <w:spacing w:after="120" w:line="276"/>
        <w:jc w:val="both"/>
      </w:pPr>
      <w:r>
        <w:rPr>
          <w:rFonts w:ascii="Barlow Semi Condensed" w:cs="Barlow Semi Condensed" w:eastAsia="Barlow Semi Condensed" w:hAnsi="Barlow Semi Condensed"/>
          <w:b/>
          <w:bCs/>
          <w:sz w:val="24"/>
          <w:szCs w:val="24"/>
        </w:rPr>
        <w:t xml:space="preserve">768 · La smentita è un fenotipo da registrare.</w:t>
      </w:r>
      <w:r>
        <w:rPr>
          <w:rFonts w:ascii="Barlow Semi Condensed" w:cs="Barlow Semi Condensed" w:eastAsia="Barlow Semi Condensed" w:hAnsi="Barlow Semi Condensed"/>
          <w:sz w:val="24"/>
          <w:szCs w:val="24"/>
        </w:rPr>
        <w:t xml:space="preserve"> Una smentita è un'emissione osservabile: ha data, sede, destinatario e forma. Va schedata come qualunque altra dichiarazione, con lo stesso apparato. Ometterla — come faceva la prima redazione del nodo nel corpus, poi corretta per nota — non è prudenza ma mutilazione del dato: una testimonianza contestata si riporta con la contestazione dentro, altrimenti si sta riportando un'altra cosa.</w:t>
      </w:r>
    </w:p>
    <w:p>
      <w:pPr>
        <w:spacing w:after="120" w:line="276"/>
        <w:jc w:val="both"/>
      </w:pPr>
      <w:r>
        <w:rPr>
          <w:rFonts w:ascii="Barlow Semi Condensed" w:cs="Barlow Semi Condensed" w:eastAsia="Barlow Semi Condensed" w:hAnsi="Barlow Semi Condensed"/>
          <w:b/>
          <w:bCs/>
          <w:sz w:val="24"/>
          <w:szCs w:val="24"/>
        </w:rPr>
        <w:t xml:space="preserve">769 · Non liquidare la smentita.</w:t>
      </w:r>
      <w:r>
        <w:rPr>
          <w:rFonts w:ascii="Barlow Semi Condensed" w:cs="Barlow Semi Condensed" w:eastAsia="Barlow Semi Condensed" w:hAnsi="Barlow Semi Condensed"/>
          <w:sz w:val="24"/>
          <w:szCs w:val="24"/>
        </w:rPr>
        <w:t xml:space="preserve"> «Avrebbe negato comunque» è la formula che immunizza un'ipotesi rendendola compatibile con qualunque osservazione: se l'interessato conferma, prova; se nega, prova ugualmente. È il vizio che il corpus chiama, con Popper e col pollo di Russell, immunizzazione. Una tesi che tratta la smentita come conferma di sé ha cessato di essere una tesi. La smentita si pesa, si data, si colloca: non si converte.</w:t>
      </w:r>
    </w:p>
    <w:p>
      <w:pPr>
        <w:spacing w:after="120" w:line="276"/>
        <w:jc w:val="both"/>
      </w:pPr>
      <w:r>
        <w:rPr>
          <w:rFonts w:ascii="Barlow Semi Condensed" w:cs="Barlow Semi Condensed" w:eastAsia="Barlow Semi Condensed" w:hAnsi="Barlow Semi Condensed"/>
          <w:b/>
          <w:bCs/>
          <w:sz w:val="24"/>
          <w:szCs w:val="24"/>
        </w:rPr>
        <w:t xml:space="preserve">770 · Non liquidare la testimonianza.</w:t>
      </w:r>
      <w:r>
        <w:rPr>
          <w:rFonts w:ascii="Barlow Semi Condensed" w:cs="Barlow Semi Condensed" w:eastAsia="Barlow Semi Condensed" w:hAnsi="Barlow Semi Condensed"/>
          <w:sz w:val="24"/>
          <w:szCs w:val="24"/>
        </w:rPr>
        <w:t xml:space="preserve"> La regola vale in modo perfettamente simmetrico. «Sono passati quarant'anni, ricorderà male» cancella una testimonianza senza documenti, esattamente come la formula opposta cancella una smentita. Entrambe le liquidazioni sono lo stesso gesto: sostituire il documento con la psicologia. Il corpus conserva su questo un precedente scolpito nella ritrattazione di Marini davanti ai consulenti della Commissione, dove a decidere fu una fotografia e non un giudizio sul teste.</w:t>
      </w:r>
    </w:p>
    <w:p>
      <w:pPr>
        <w:spacing w:after="120" w:line="276"/>
        <w:jc w:val="both"/>
      </w:pPr>
      <w:r>
        <w:rPr>
          <w:rFonts w:ascii="Barlow Semi Condensed" w:cs="Barlow Semi Condensed" w:eastAsia="Barlow Semi Condensed" w:hAnsi="Barlow Semi Condensed"/>
          <w:b/>
          <w:bCs/>
          <w:sz w:val="24"/>
          <w:szCs w:val="24"/>
        </w:rPr>
        <w:t xml:space="preserve">771 · La smentita di chi non c'è più.</w:t>
      </w:r>
      <w:r>
        <w:rPr>
          <w:rFonts w:ascii="Barlow Semi Condensed" w:cs="Barlow Semi Condensed" w:eastAsia="Barlow Semi Condensed" w:hAnsi="Barlow Semi Condensed"/>
          <w:sz w:val="24"/>
          <w:szCs w:val="24"/>
        </w:rPr>
        <w:t xml:space="preserve"> Kissinger è morto il 29 novembre 2023: la sua smentita è ormai un fenotipo chiuso, non più precisabile né ritrattabile. La conseguenza è tecnica e va detta senza inferirne nulla: il nodo ha perduto la possibilità di un chiarimento diretto, e resterà nella forma in cui le due dichiarazioni lo hanno lasciato. È una perdita di conoscenza, ed è tutto ciò che se ne può dire.</w:t>
      </w:r>
    </w:p>
    <w:p>
      <w:pPr>
        <w:spacing w:after="120" w:line="276"/>
        <w:jc w:val="both"/>
      </w:pPr>
      <w:r>
        <w:rPr>
          <w:rFonts w:ascii="Barlow Semi Condensed" w:cs="Barlow Semi Condensed" w:eastAsia="Barlow Semi Condensed" w:hAnsi="Barlow Semi Condensed"/>
          <w:b/>
          <w:bCs/>
          <w:sz w:val="24"/>
          <w:szCs w:val="24"/>
        </w:rPr>
        <w:t xml:space="preserve">772 · Non si chiedono smentite a chi ha risposto.</w:t>
      </w:r>
      <w:r>
        <w:rPr>
          <w:rFonts w:ascii="Barlow Semi Condensed" w:cs="Barlow Semi Condensed" w:eastAsia="Barlow Semi Condensed" w:hAnsi="Barlow Semi Condensed"/>
          <w:sz w:val="24"/>
          <w:szCs w:val="24"/>
        </w:rPr>
        <w:t xml:space="preserve"> Il blocco 16 del manuale investigativo fissa la regola per le persone viventi: si nominano solo per fatti documentati, senza insinuazioni, senza «fu assolto, ma», senza chiedere nuove smentite a chi ha già risposto nelle sedi proprie. La serie la estende ai defunti in questa forma: chi ha smentito due volte ha risposto, e riproporre l'accusa ignorando la risposta è difetto di metodo prima che di correttezza.</w:t>
      </w:r>
    </w:p>
    <w:p>
      <w:pPr>
        <w:spacing w:after="120" w:line="276"/>
        <w:jc w:val="both"/>
      </w:pPr>
      <w:r>
        <w:rPr>
          <w:rFonts w:ascii="Barlow Semi Condensed" w:cs="Barlow Semi Condensed" w:eastAsia="Barlow Semi Condensed" w:hAnsi="Barlow Semi Condensed"/>
          <w:b/>
          <w:bCs/>
          <w:sz w:val="24"/>
          <w:szCs w:val="24"/>
        </w:rPr>
        <w:t xml:space="preserve">773 · La tavola diacronica delle versioni.</w:t>
      </w:r>
      <w:r>
        <w:rPr>
          <w:rFonts w:ascii="Barlow Semi Condensed" w:cs="Barlow Semi Condensed" w:eastAsia="Barlow Semi Condensed" w:hAnsi="Barlow Semi Condensed"/>
          <w:sz w:val="24"/>
          <w:szCs w:val="24"/>
        </w:rPr>
        <w:t xml:space="preserve"> Il blocco 854 dei cantieri prescrive di tabulare come il racconto di ciascuno sia mutato nel tempo, dalle dichiarazioni alle interviste ai libri, con le date e senza processi alle intenzioni. Applicata a questo nodo, la tavola mostrerebbe da sola dove la memoria è stabile e dove lavora. È lo strumento che sostituisce l'accusa di menzogna con una misura, ed è alla portata di chiunque abbia le fonti sott'occhio.</w:t>
      </w:r>
    </w:p>
    <w:p>
      <w:pPr>
        <w:spacing w:after="120" w:line="276"/>
        <w:jc w:val="both"/>
      </w:pPr>
      <w:r>
        <w:rPr>
          <w:rFonts w:ascii="Barlow Semi Condensed" w:cs="Barlow Semi Condensed" w:eastAsia="Barlow Semi Condensed" w:hAnsi="Barlow Semi Condensed"/>
          <w:b/>
          <w:bCs/>
          <w:sz w:val="24"/>
          <w:szCs w:val="24"/>
        </w:rPr>
        <w:t xml:space="preserve">774 · La smentita che è essa stessa un atto.</w:t>
      </w:r>
      <w:r>
        <w:rPr>
          <w:rFonts w:ascii="Barlow Semi Condensed" w:cs="Barlow Semi Condensed" w:eastAsia="Barlow Semi Condensed" w:hAnsi="Barlow Semi Condensed"/>
          <w:sz w:val="24"/>
          <w:szCs w:val="24"/>
        </w:rPr>
        <w:t xml:space="preserve"> Anche una negazione può essere performativa. Quando un ex Segretario di Stato smentisce pubblicamente un episodio, impegna la propria posizione e produce un fatto nuovo nel mondo, che entra nei dossier, nelle sintesi, nelle repliche altrui. Registrare questo lato attivo non significa dubitarne né crederci: significa collocare la smentita nella colonna giusta, che è quella degli atti oltre che quella delle dichiarazioni.</w:t>
      </w:r>
    </w:p>
    <w:p>
      <w:pPr>
        <w:spacing w:after="120" w:line="276"/>
        <w:jc w:val="both"/>
      </w:pPr>
      <w:r>
        <w:rPr>
          <w:rFonts w:ascii="Barlow Semi Condensed" w:cs="Barlow Semi Condensed" w:eastAsia="Barlow Semi Condensed" w:hAnsi="Barlow Semi Condensed"/>
          <w:b/>
          <w:bCs/>
          <w:sz w:val="24"/>
          <w:szCs w:val="24"/>
        </w:rPr>
        <w:t xml:space="preserve">775 · Quarant'anni fra due negazioni.</w:t>
      </w:r>
      <w:r>
        <w:rPr>
          <w:rFonts w:ascii="Barlow Semi Condensed" w:cs="Barlow Semi Condensed" w:eastAsia="Barlow Semi Condensed" w:hAnsi="Barlow Semi Condensed"/>
          <w:sz w:val="24"/>
          <w:szCs w:val="24"/>
        </w:rPr>
        <w:t xml:space="preserve"> Fra la smentita generica del 1983 e quella circostanziata del 2023 corrono quarant'anni. La distanza è un dato: misura la stabilità della versione e la sua variazione di forma, dal generale al particolare. In una tavola diacronica una versione che si irrigidisce e una che si dettaglia hanno significati diversi, entrambi descrivibili senza attribuire moventi. È il massimo che la figura della mutazione può legittimamente offrire qui.</w:t>
      </w:r>
    </w:p>
    <w:p>
      <w:pPr>
        <w:spacing w:after="120" w:line="276"/>
        <w:jc w:val="both"/>
      </w:pPr>
      <w:r>
        <w:rPr>
          <w:rFonts w:ascii="Barlow Semi Condensed" w:cs="Barlow Semi Condensed" w:eastAsia="Barlow Semi Condensed" w:hAnsi="Barlow Semi Condensed"/>
          <w:b/>
          <w:bCs/>
          <w:sz w:val="24"/>
          <w:szCs w:val="24"/>
        </w:rPr>
        <w:t xml:space="preserve">776 · Come si tratta un'autobiografia.</w:t>
      </w:r>
      <w:r>
        <w:rPr>
          <w:rFonts w:ascii="Barlow Semi Condensed" w:cs="Barlow Semi Condensed" w:eastAsia="Barlow Semi Condensed" w:hAnsi="Barlow Semi Condensed"/>
          <w:sz w:val="24"/>
          <w:szCs w:val="24"/>
        </w:rPr>
        <w:t xml:space="preserve"> Un'autobiografia riunisce nella stessa fonte il massimo di accesso e il massimo di interesse, e le due proprietà non si compensano: si sommano. Chi c'era sa cose che nessun archivio conserva, e ha ragioni che nessun archivio corregge. La regola del corpus è perciò di usarla come mappa e mai come pavimento: orienta la ricerca dei documenti, non li sostituisce e non ne dispensa.</w:t>
      </w:r>
    </w:p>
    <w:p>
      <w:pPr>
        <w:spacing w:after="120" w:line="276"/>
        <w:jc w:val="both"/>
      </w:pPr>
      <w:r>
        <w:rPr>
          <w:rFonts w:ascii="Barlow Semi Condensed" w:cs="Barlow Semi Condensed" w:eastAsia="Barlow Semi Condensed" w:hAnsi="Barlow Semi Condensed"/>
          <w:b/>
          <w:bCs/>
          <w:sz w:val="24"/>
          <w:szCs w:val="24"/>
        </w:rPr>
        <w:t xml:space="preserve">777 · Le tre domande alla memoria di protagonista.</w:t>
      </w:r>
      <w:r>
        <w:rPr>
          <w:rFonts w:ascii="Barlow Semi Condensed" w:cs="Barlow Semi Condensed" w:eastAsia="Barlow Semi Condensed" w:hAnsi="Barlow Semi Condensed"/>
          <w:sz w:val="24"/>
          <w:szCs w:val="24"/>
        </w:rPr>
        <w:t xml:space="preserve"> Prima del contenuto si stabiliscono tre coordinate: quando fu scritta, per chi, e contro che cosa. Una memoria redatta a ridosso dei fatti e una redatta trent'anni dopo hanno statuti diversi; una scritta per il pubblico e una per gli storici anche; e quasi tutte rispondono, esplicitamente o no, a un'accusa. La terza domanda è la più trascurata, ed è quella che spiega le omissioni meglio di ogni congettura.</w:t>
      </w:r>
    </w:p>
    <w:p>
      <w:pPr>
        <w:spacing w:after="120" w:line="276"/>
        <w:jc w:val="both"/>
      </w:pPr>
      <w:r>
        <w:rPr>
          <w:rFonts w:ascii="Barlow Semi Condensed" w:cs="Barlow Semi Condensed" w:eastAsia="Barlow Semi Condensed" w:hAnsi="Barlow Semi Condensed"/>
          <w:b/>
          <w:bCs/>
          <w:sz w:val="24"/>
          <w:szCs w:val="24"/>
        </w:rPr>
        <w:t xml:space="preserve">778 · Il grado di una memoria.</w:t>
      </w:r>
      <w:r>
        <w:rPr>
          <w:rFonts w:ascii="Barlow Semi Condensed" w:cs="Barlow Semi Condensed" w:eastAsia="Barlow Semi Condensed" w:hAnsi="Barlow Semi Condensed"/>
          <w:sz w:val="24"/>
          <w:szCs w:val="24"/>
        </w:rPr>
        <w:t xml:space="preserve"> Il blocco 165 del manuale è netto: nessuna memoria, per quanto suggestiva, entra negli atti oltre il grado C senza riscontro documentale, e la serie delle persone alimenta le altre, non le sostituisce. La regola è severa e va difesa proprio quando la memoria è brillante, perché è allora che la fallacia narrativa lavora meglio — e il blocco 365 chiede a ogni ricostruzione di dichiarare che cosa non spiega.</w:t>
      </w:r>
    </w:p>
    <w:p>
      <w:pPr>
        <w:spacing w:after="120" w:line="276"/>
        <w:jc w:val="both"/>
      </w:pPr>
      <w:r>
        <w:rPr>
          <w:rFonts w:ascii="Barlow Semi Condensed" w:cs="Barlow Semi Condensed" w:eastAsia="Barlow Semi Condensed" w:hAnsi="Barlow Semi Condensed"/>
          <w:b/>
          <w:bCs/>
          <w:sz w:val="24"/>
          <w:szCs w:val="24"/>
        </w:rPr>
        <w:t xml:space="preserve">779 · Il testo negoziato, precedente scolpito.</w:t>
      </w:r>
      <w:r>
        <w:rPr>
          <w:rFonts w:ascii="Barlow Semi Condensed" w:cs="Barlow Semi Condensed" w:eastAsia="Barlow Semi Condensed" w:hAnsi="Barlow Semi Condensed"/>
          <w:sz w:val="24"/>
          <w:szCs w:val="24"/>
        </w:rPr>
        <w:t xml:space="preserve"> Il Memoriale Morucci è, per accertamento della Commissione Moro 2, il risultato di una collaborazione sviluppatasi lungo gli anni Ottanta con apparati e figure istituzionali. Non è falso: è costruito. Il blocco 256 del manuale chiama «errore del memoriale-oracolo» l'averlo trattato per anni come confessione integrale, e vi oppone un antidoto valido per tutta questa serie: ogni fonte narrativa interna porta scritta la propria genesi accanto al contenuto.</w:t>
      </w:r>
    </w:p>
    <w:p>
      <w:pPr>
        <w:spacing w:after="120" w:line="276"/>
        <w:jc w:val="both"/>
      </w:pPr>
      <w:r>
        <w:rPr>
          <w:rFonts w:ascii="Barlow Semi Condensed" w:cs="Barlow Semi Condensed" w:eastAsia="Barlow Semi Condensed" w:hAnsi="Barlow Semi Condensed"/>
          <w:b/>
          <w:bCs/>
          <w:sz w:val="24"/>
          <w:szCs w:val="24"/>
        </w:rPr>
        <w:t xml:space="preserve">780 · Le memorie del Segretario di Stato.</w:t>
      </w:r>
      <w:r>
        <w:rPr>
          <w:rFonts w:ascii="Barlow Semi Condensed" w:cs="Barlow Semi Condensed" w:eastAsia="Barlow Semi Condensed" w:hAnsi="Barlow Semi Condensed"/>
          <w:sz w:val="24"/>
          <w:szCs w:val="24"/>
        </w:rPr>
        <w:t xml:space="preserve"> Kissinger pubblicò memorie di ampiezza notevole sui propri anni di governo. La serie non ne asserisce il contenuto, che non ha verificato. Formula invece un quesito preciso: reperire le edizioni e i loro indici e accertare se e dove trattino l'incontro del settembre 1974 e la questione italiana di quei mesi, con l'indicazione di pagina. Fino a quel riscontro, ogni affermazione su ciò che quelle pagine dicono o tacciono resta al piano 3.</w:t>
      </w:r>
    </w:p>
    <w:p>
      <w:pPr>
        <w:spacing w:after="120" w:line="276"/>
        <w:jc w:val="both"/>
      </w:pPr>
      <w:r>
        <w:rPr>
          <w:rFonts w:ascii="Barlow Semi Condensed" w:cs="Barlow Semi Condensed" w:eastAsia="Barlow Semi Condensed" w:hAnsi="Barlow Semi Condensed"/>
          <w:b/>
          <w:bCs/>
          <w:sz w:val="24"/>
          <w:szCs w:val="24"/>
        </w:rPr>
        <w:t xml:space="preserve">781 · Il silenzio di un'autobiografia.</w:t>
      </w:r>
      <w:r>
        <w:rPr>
          <w:rFonts w:ascii="Barlow Semi Condensed" w:cs="Barlow Semi Condensed" w:eastAsia="Barlow Semi Condensed" w:hAnsi="Barlow Semi Condensed"/>
          <w:sz w:val="24"/>
          <w:szCs w:val="24"/>
        </w:rPr>
        <w:t xml:space="preserve"> Se il riscontro appena chiesto mostrasse un'omissione, andrebbe letta con prudenza estrema. Una memoria omette per progetto: seleziona, comprime, protegge, e ciò che vi manca è quasi sempre spiegabile con l'economia del genere. L'argomento dal silenzio ha grado bassissimo in questa materia. Vale al più come indicazione di dove cercare altrove, cioè come marcatore, e mai come dato sostanziale.</w:t>
      </w:r>
    </w:p>
    <w:p>
      <w:pPr>
        <w:spacing w:after="120" w:line="276"/>
        <w:jc w:val="both"/>
      </w:pPr>
      <w:r>
        <w:rPr>
          <w:rFonts w:ascii="Barlow Semi Condensed" w:cs="Barlow Semi Condensed" w:eastAsia="Barlow Semi Condensed" w:hAnsi="Barlow Semi Condensed"/>
          <w:b/>
          <w:bCs/>
          <w:sz w:val="24"/>
          <w:szCs w:val="24"/>
        </w:rPr>
        <w:t xml:space="preserve">782 · La scrittura sotto costrizione.</w:t>
      </w:r>
      <w:r>
        <w:rPr>
          <w:rFonts w:ascii="Barlow Semi Condensed" w:cs="Barlow Semi Condensed" w:eastAsia="Barlow Semi Condensed" w:hAnsi="Barlow Semi Condensed"/>
          <w:sz w:val="24"/>
          <w:szCs w:val="24"/>
        </w:rPr>
        <w:t xml:space="preserve"> Le lettere e il memoriale dalla prigionia non sono autobiografia: sono un genere a sé, prodotto sotto costrizione e destinato a lettori multipli e ostili. Vi si applica il quesito del blocco 219 dell'agenda: reperire il parere tecnico integrale che fondò la dichiarata inattendibilità delle lettere, perché se non esiste, quell'inattendibilità fu un enunciato senza istruttoria — e questo sarebbe un fatto documentale, non un processo alle intenzioni.</w:t>
      </w:r>
    </w:p>
    <w:p>
      <w:pPr>
        <w:spacing w:after="120" w:line="276"/>
        <w:jc w:val="both"/>
      </w:pPr>
      <w:r>
        <w:rPr>
          <w:rFonts w:ascii="Barlow Semi Condensed" w:cs="Barlow Semi Condensed" w:eastAsia="Barlow Semi Condensed" w:hAnsi="Barlow Semi Condensed"/>
          <w:b/>
          <w:bCs/>
          <w:sz w:val="24"/>
          <w:szCs w:val="24"/>
        </w:rPr>
        <w:t xml:space="preserve">783 · Il diario del guerrigliero.</w:t>
      </w:r>
      <w:r>
        <w:rPr>
          <w:rFonts w:ascii="Barlow Semi Condensed" w:cs="Barlow Semi Condensed" w:eastAsia="Barlow Semi Condensed" w:hAnsi="Barlow Semi Condensed"/>
          <w:sz w:val="24"/>
          <w:szCs w:val="24"/>
        </w:rPr>
        <w:t xml:space="preserve"> Il diario boliviano di Guevara è un testo di protagonista la cui trasmissione appartenne interamente ad altri: sequestrato, poi pubblicato nel 1968 con prefazione politica. Vale la stessa disciplina del memoriale: si distingue ciò che l'autore scrisse da ciò che la pubblicazione ne fece. È l'esempio più limpido del principio della serie, per cui il fenotipo osservato di un testo comprende sempre l'ambiente che lo ha espresso.</w:t>
      </w:r>
    </w:p>
    <w:p>
      <w:pPr>
        <w:spacing w:after="120" w:line="276"/>
        <w:jc w:val="both"/>
      </w:pPr>
      <w:r>
        <w:rPr>
          <w:rFonts w:ascii="Barlow Semi Condensed" w:cs="Barlow Semi Condensed" w:eastAsia="Barlow Semi Condensed" w:hAnsi="Barlow Semi Condensed"/>
          <w:b/>
          <w:bCs/>
          <w:sz w:val="24"/>
          <w:szCs w:val="24"/>
        </w:rPr>
        <w:t xml:space="preserve">784 · La collazione parola-atti, come si esegue.</w:t>
      </w:r>
      <w:r>
        <w:rPr>
          <w:rFonts w:ascii="Barlow Semi Condensed" w:cs="Barlow Semi Condensed" w:eastAsia="Barlow Semi Condensed" w:hAnsi="Barlow Semi Condensed"/>
          <w:sz w:val="24"/>
          <w:szCs w:val="24"/>
        </w:rPr>
        <w:t xml:space="preserve"> Il blocco 853 dei cantieri consegna la procedura: ogni affermazione fattuale di una memoria si collaziona con gli atti, e se ne ricava per ciascun libro la tavola delle concordanze, delle divergenze e degli inediti. L'esito è un numero e un elenco, non un giudizio morale: si misura che cosa quel testo aggiunge al documentato e che cosa gli toglie. Recensire è un'altra attività, e non appartiene al metodo.</w:t>
      </w:r>
    </w:p>
    <w:p>
      <w:pPr>
        <w:spacing w:after="120" w:line="276"/>
        <w:jc w:val="both"/>
      </w:pPr>
      <w:r>
        <w:rPr>
          <w:rFonts w:ascii="Barlow Semi Condensed" w:cs="Barlow Semi Condensed" w:eastAsia="Barlow Semi Condensed" w:hAnsi="Barlow Semi Condensed"/>
          <w:b/>
          <w:bCs/>
          <w:sz w:val="24"/>
          <w:szCs w:val="24"/>
        </w:rPr>
        <w:t xml:space="preserve">785 · Congedo della serie.</w:t>
      </w:r>
      <w:r>
        <w:rPr>
          <w:rFonts w:ascii="Barlow Semi Condensed" w:cs="Barlow Semi Condensed" w:eastAsia="Barlow Semi Condensed" w:hAnsi="Barlow Semi Condensed"/>
          <w:sz w:val="24"/>
          <w:szCs w:val="24"/>
        </w:rPr>
        <w:t xml:space="preserve"> La serie consegna tre regole e un divieto. Lo scarto fra dichiarato e osservato si misura fra due documenti e non si converte mai in ipocrisia; la testimonianza contestata si scrive con la contestazione dentro, e resta contesa; la smentita dell'interessato è un dato, non un ostacolo da aggirare. Il divieto riguarda la lente stessa: la genetica qui serve a domandare meglio, e nel momento in cui promette ereditarietà di colpe va deposta.</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Serie undicesima — L'epigenetica: ciò che si eredita senza essere scritto</w:t>
      </w:r>
    </w:p>
    <w:p>
      <w:pPr>
        <w:spacing w:after="120" w:line="276"/>
        <w:jc w:val="both"/>
      </w:pPr>
      <w:r>
        <w:rPr>
          <w:rFonts w:ascii="Barlow Semi Condensed" w:cs="Barlow Semi Condensed" w:eastAsia="Barlow Semi Condensed" w:hAnsi="Barlow Semi Condensed"/>
          <w:i/>
          <w:iCs/>
          <w:sz w:val="24"/>
          <w:szCs w:val="24"/>
        </w:rPr>
        <w:t xml:space="preserve">Blocchi 786-850.</w:t>
      </w:r>
    </w:p>
    <w:p>
      <w:pPr>
        <w:spacing w:after="120" w:line="276"/>
        <w:jc w:val="both"/>
      </w:pPr>
      <w:r>
        <w:rPr>
          <w:rFonts w:ascii="Barlow Semi Condensed" w:cs="Barlow Semi Condensed" w:eastAsia="Barlow Semi Condensed" w:hAnsi="Barlow Semi Condensed"/>
          <w:b/>
          <w:bCs/>
          <w:sz w:val="24"/>
          <w:szCs w:val="24"/>
        </w:rPr>
        <w:t xml:space="preserve">786 · Che cosa la lente epigenetica autorizza.</w:t>
      </w:r>
      <w:r>
        <w:rPr>
          <w:rFonts w:ascii="Barlow Semi Condensed" w:cs="Barlow Semi Condensed" w:eastAsia="Barlow Semi Condensed" w:hAnsi="Barlow Semi Condensed"/>
          <w:sz w:val="24"/>
          <w:szCs w:val="24"/>
        </w:rPr>
        <w:t xml:space="preserve"> L'epigenetica descrive caratteri trasmessi senza modifica della sequenza. Portata sulla storia istituzionale, autorizza una sola domanda in più: quali comportamenti si sono tramandati senza che nessuna norma li scrivesse. Non autorizza nulla d'altro — né a dedurre volontà, né a costruire lignaggi di colpa. La serie usa la metafora come griglia di quesiti e la dichiara come tale: è architettura del pensiero, non fonte.</w:t>
      </w:r>
    </w:p>
    <w:p>
      <w:pPr>
        <w:spacing w:after="120" w:line="276"/>
        <w:jc w:val="both"/>
      </w:pPr>
      <w:r>
        <w:rPr>
          <w:rFonts w:ascii="Barlow Semi Condensed" w:cs="Barlow Semi Condensed" w:eastAsia="Barlow Semi Condensed" w:hAnsi="Barlow Semi Condensed"/>
          <w:b/>
          <w:bCs/>
          <w:sz w:val="24"/>
          <w:szCs w:val="24"/>
        </w:rPr>
        <w:t xml:space="preserve">787 · Dove la lente va fermata.</w:t>
      </w:r>
      <w:r>
        <w:rPr>
          <w:rFonts w:ascii="Barlow Semi Condensed" w:cs="Barlow Semi Condensed" w:eastAsia="Barlow Semi Condensed" w:hAnsi="Barlow Semi Condensed"/>
          <w:sz w:val="24"/>
          <w:szCs w:val="24"/>
        </w:rPr>
        <w:t xml:space="preserve"> La metafora spinge verso il determinismo nel momento esatto in cui si dice che un apparato «non poteva che» comportarsi così. Lì va fermata. Un'istituzione non ha genoma, non ha linea germinale, non replica: ha persone che si sostituiscono, atti che si archiviano e abitudini che si insegnano o si perdono. Ogni blocco che segue vale solo se resta traducibile in un documento richiedibile; dove non lo è, la metafora è ornamento e si abbandona.</w:t>
      </w:r>
    </w:p>
    <w:p>
      <w:pPr>
        <w:spacing w:after="120" w:line="276"/>
        <w:jc w:val="both"/>
      </w:pPr>
      <w:r>
        <w:rPr>
          <w:rFonts w:ascii="Barlow Semi Condensed" w:cs="Barlow Semi Condensed" w:eastAsia="Barlow Semi Condensed" w:hAnsi="Barlow Semi Condensed"/>
          <w:b/>
          <w:bCs/>
          <w:sz w:val="24"/>
          <w:szCs w:val="24"/>
        </w:rPr>
        <w:t xml:space="preserve">788 · Nessuna colpa si eredita (serie XI).</w:t>
      </w:r>
      <w:r>
        <w:rPr>
          <w:rFonts w:ascii="Barlow Semi Condensed" w:cs="Barlow Semi Condensed" w:eastAsia="Barlow Semi Condensed" w:hAnsi="Barlow Semi Condensed"/>
          <w:sz w:val="24"/>
          <w:szCs w:val="24"/>
        </w:rPr>
        <w:t xml:space="preserve"> Chi subentra in un ufficio eredita procedure, non responsabilità. La regola personalistica del corpus vale qui integralmente: la colpa è sempre della persona e mai del gruppo, e l'appartenenza a un'amministrazione non è condotta. Documentare che una prassi sopravvisse a chi la istituì non attribuisce nulla né al fondatore né al successore: apre, semmai, due quesiti distinti, ciascuno da provare con atti propri.</w:t>
      </w:r>
    </w:p>
    <w:p>
      <w:pPr>
        <w:spacing w:after="120" w:line="276"/>
        <w:jc w:val="both"/>
      </w:pPr>
      <w:r>
        <w:rPr>
          <w:rFonts w:ascii="Barlow Semi Condensed" w:cs="Barlow Semi Condensed" w:eastAsia="Barlow Semi Condensed" w:hAnsi="Barlow Semi Condensed"/>
          <w:b/>
          <w:bCs/>
          <w:sz w:val="24"/>
          <w:szCs w:val="24"/>
        </w:rPr>
        <w:t xml:space="preserve">789 · Genotipo scritto, fenotipo osservato.</w:t>
      </w:r>
      <w:r>
        <w:rPr>
          <w:rFonts w:ascii="Barlow Semi Condensed" w:cs="Barlow Semi Condensed" w:eastAsia="Barlow Semi Condensed" w:hAnsi="Barlow Semi Condensed"/>
          <w:sz w:val="24"/>
          <w:szCs w:val="24"/>
        </w:rPr>
        <w:t xml:space="preserve"> La distinzione operativa è questa: il genotipo dell'apparato è l'insieme delle norme pubblicate, con fonte e data; il fenotipo è il comportamento osservabile negli atti. La ricerca non consiste nel preferire l'uno all'altro, ma nel misurare la distanza fra i due, caso per caso. Quella distanza — non la norma, non l'aneddoto — è l'oggetto proprio di questa serie, e va documentata in entrambi i termini.</w:t>
      </w:r>
    </w:p>
    <w:p>
      <w:pPr>
        <w:spacing w:after="120" w:line="276"/>
        <w:jc w:val="both"/>
      </w:pPr>
      <w:r>
        <w:rPr>
          <w:rFonts w:ascii="Barlow Semi Condensed" w:cs="Barlow Semi Condensed" w:eastAsia="Barlow Semi Condensed" w:hAnsi="Barlow Semi Condensed"/>
          <w:b/>
          <w:bCs/>
          <w:sz w:val="24"/>
          <w:szCs w:val="24"/>
        </w:rPr>
        <w:t xml:space="preserve">790 · La marcatura che non cambia il testo.</w:t>
      </w:r>
      <w:r>
        <w:rPr>
          <w:rFonts w:ascii="Barlow Semi Condensed" w:cs="Barlow Semi Condensed" w:eastAsia="Barlow Semi Condensed" w:hAnsi="Barlow Semi Condensed"/>
          <w:sz w:val="24"/>
          <w:szCs w:val="24"/>
        </w:rPr>
        <w:t xml:space="preserve"> La metilazione non riscrive la sequenza: ne cambia la lettura. L'omologo documentale esiste ed è cercabile — la circolare interpretativa, la nota di indirizzo, l'istruzione verbale verbalizzata a valle, che lasciano intatto il testo della norma e ne mutano l'applicazione. Bersaglio: per ogni norma rilevante del caso, censire gli atti secondari che ne modificarono la lettura senza toccarne le parole. Se non esistono, si dichiara Stato Zero con la sede interrogata.</w:t>
      </w:r>
    </w:p>
    <w:p>
      <w:pPr>
        <w:spacing w:after="120" w:line="276"/>
        <w:jc w:val="both"/>
      </w:pPr>
      <w:r>
        <w:rPr>
          <w:rFonts w:ascii="Barlow Semi Condensed" w:cs="Barlow Semi Condensed" w:eastAsia="Barlow Semi Condensed" w:hAnsi="Barlow Semi Condensed"/>
          <w:b/>
          <w:bCs/>
          <w:sz w:val="24"/>
          <w:szCs w:val="24"/>
        </w:rPr>
        <w:t xml:space="preserve">791 · Il vettore va sempre nominato.</w:t>
      </w:r>
      <w:r>
        <w:rPr>
          <w:rFonts w:ascii="Barlow Semi Condensed" w:cs="Barlow Semi Condensed" w:eastAsia="Barlow Semi Condensed" w:hAnsi="Barlow Semi Condensed"/>
          <w:sz w:val="24"/>
          <w:szCs w:val="24"/>
        </w:rPr>
        <w:t xml:space="preserve"> Un carattere non si trasmette per aria. Chi afferma una prassi ereditata deve nominare il veicolo documentato: un corso, un manuale, un affiancamento, un passaggio di consegne, una permanenza in servizio che copra le due epoche. Senza veicolo l'affermazione resta congettura di grado C, per quanto verosimile suoni. Il veicolo è la parte falsificabile dell'enunciato: è lì che la ricerca lavora, non sull'aria di famiglia fra due comportamenti.</w:t>
      </w:r>
    </w:p>
    <w:p>
      <w:pPr>
        <w:spacing w:after="120" w:line="276"/>
        <w:jc w:val="both"/>
      </w:pPr>
      <w:r>
        <w:rPr>
          <w:rFonts w:ascii="Barlow Semi Condensed" w:cs="Barlow Semi Condensed" w:eastAsia="Barlow Semi Condensed" w:hAnsi="Barlow Semi Condensed"/>
          <w:b/>
          <w:bCs/>
          <w:sz w:val="24"/>
          <w:szCs w:val="24"/>
        </w:rPr>
        <w:t xml:space="preserve">792 · Contro il lamarckismo storiografico.</w:t>
      </w:r>
      <w:r>
        <w:rPr>
          <w:rFonts w:ascii="Barlow Semi Condensed" w:cs="Barlow Semi Condensed" w:eastAsia="Barlow Semi Condensed" w:hAnsi="Barlow Semi Condensed"/>
          <w:sz w:val="24"/>
          <w:szCs w:val="24"/>
        </w:rPr>
        <w:t xml:space="preserve"> Il vizio da evitare ha un nome preciso: credere che un'abitudine si trasmetta perché è utile, o perché qualcuno volle trasmetterla. Nella storia come in biologia il finalismo spiega troppo e prova nulla. Una prassi si documenta per la sua ripetizione e per il suo veicolo, mai per la sua funzione presunta. Chi argomenta dalla funzione ha già saltato il passaggio che avrebbe dovuto compiere, e il salto non si vede perché convince.</w:t>
      </w:r>
    </w:p>
    <w:p>
      <w:pPr>
        <w:spacing w:after="120" w:line="276"/>
        <w:jc w:val="both"/>
      </w:pPr>
      <w:r>
        <w:rPr>
          <w:rFonts w:ascii="Barlow Semi Condensed" w:cs="Barlow Semi Condensed" w:eastAsia="Barlow Semi Condensed" w:hAnsi="Barlow Semi Condensed"/>
          <w:b/>
          <w:bCs/>
          <w:sz w:val="24"/>
          <w:szCs w:val="24"/>
        </w:rPr>
        <w:t xml:space="preserve">793 · Il grado massimo di una prassi.</w:t>
      </w:r>
      <w:r>
        <w:rPr>
          <w:rFonts w:ascii="Barlow Semi Condensed" w:cs="Barlow Semi Condensed" w:eastAsia="Barlow Semi Condensed" w:hAnsi="Barlow Semi Condensed"/>
          <w:sz w:val="24"/>
          <w:szCs w:val="24"/>
        </w:rPr>
        <w:t xml:space="preserve"> Una prassi non scritta non può essere di grado A, perché il grado A esige un atto. Il suo massimo è B: accertamento fondato su una serie documentata di atti concordanti, oppure su un accertamento parlamentare che la registri. Dove la serie è incompleta o il campione non è dichiarato, resta C. Questa gerarchia va scritta accanto a ogni affermazione di prassi, esattamente come si scrive accanto a ogni altra affermazione del corpus.</w:t>
      </w:r>
    </w:p>
    <w:p>
      <w:pPr>
        <w:spacing w:after="120" w:line="276"/>
        <w:jc w:val="both"/>
      </w:pPr>
      <w:r>
        <w:rPr>
          <w:rFonts w:ascii="Barlow Semi Condensed" w:cs="Barlow Semi Condensed" w:eastAsia="Barlow Semi Condensed" w:hAnsi="Barlow Semi Condensed"/>
          <w:b/>
          <w:bCs/>
          <w:sz w:val="24"/>
          <w:szCs w:val="24"/>
        </w:rPr>
        <w:t xml:space="preserve">794 · La differenza costitutiva.</w:t>
      </w:r>
      <w:r>
        <w:rPr>
          <w:rFonts w:ascii="Barlow Semi Condensed" w:cs="Barlow Semi Condensed" w:eastAsia="Barlow Semi Condensed" w:hAnsi="Barlow Semi Condensed"/>
          <w:sz w:val="24"/>
          <w:szCs w:val="24"/>
        </w:rPr>
        <w:t xml:space="preserve"> Una norma è un atto: ha autorità emanante, data, sede di pubblicazione, testo. Una prassi è una regolarità: esiste solo come proprietà di una serie di comportamenti. Le due si provano in modi incomparabili — la prima si esibisce, la seconda si misura. Confonderle produce le due patologie speculari: attribuire a un ufficio una regola che non aveva, o negare una regolarità documentabile solo perché nessuno l'aveva messa per iscritto.</w:t>
      </w:r>
    </w:p>
    <w:p>
      <w:pPr>
        <w:spacing w:after="120" w:line="276"/>
        <w:jc w:val="both"/>
      </w:pPr>
      <w:r>
        <w:rPr>
          <w:rFonts w:ascii="Barlow Semi Condensed" w:cs="Barlow Semi Condensed" w:eastAsia="Barlow Semi Condensed" w:hAnsi="Barlow Semi Condensed"/>
          <w:b/>
          <w:bCs/>
          <w:sz w:val="24"/>
          <w:szCs w:val="24"/>
        </w:rPr>
        <w:t xml:space="preserve">795 · Un caso non fa prassi.</w:t>
      </w:r>
      <w:r>
        <w:rPr>
          <w:rFonts w:ascii="Barlow Semi Condensed" w:cs="Barlow Semi Condensed" w:eastAsia="Barlow Semi Condensed" w:hAnsi="Barlow Semi Condensed"/>
          <w:sz w:val="24"/>
          <w:szCs w:val="24"/>
        </w:rPr>
        <w:t xml:space="preserve"> Un episodio è un episodio. Perché diventi indizio di prassi servono una serie, un criterio di selezione dichiarato e la misura di quante volte, nello stesso periodo e nello stesso ufficio, il comportamento ricorra. Il singolo fatto del 1978 non dice nulla sulla regola del 1978 finché non è collocato nella sua serie. Chi salta questo passaggio non sta documentando una prassi: sta generalizzando un aneddoto, e il risultato ha la forma di una prova senza esserlo.</w:t>
      </w:r>
    </w:p>
    <w:p>
      <w:pPr>
        <w:spacing w:after="120" w:line="276"/>
        <w:jc w:val="both"/>
      </w:pPr>
      <w:r>
        <w:rPr>
          <w:rFonts w:ascii="Barlow Semi Condensed" w:cs="Barlow Semi Condensed" w:eastAsia="Barlow Semi Condensed" w:hAnsi="Barlow Semi Condensed"/>
          <w:b/>
          <w:bCs/>
          <w:sz w:val="24"/>
          <w:szCs w:val="24"/>
        </w:rPr>
        <w:t xml:space="preserve">796 · Il campione di controllo è obbligatorio.</w:t>
      </w:r>
      <w:r>
        <w:rPr>
          <w:rFonts w:ascii="Barlow Semi Condensed" w:cs="Barlow Semi Condensed" w:eastAsia="Barlow Semi Condensed" w:hAnsi="Barlow Semi Condensed"/>
          <w:sz w:val="24"/>
          <w:szCs w:val="24"/>
        </w:rPr>
        <w:t xml:space="preserve"> Il blocco 367 del manuale investigativo lo fissa: nessuna affermazione di anomalia senza il suo «normale» misurato. La regola vale identica in senso inverso: nessuna affermazione di normalità senza il campione che la misuri. Per ogni prassi ipotizzata nel caso si costruisce il gruppo di confronto — altri uffici, altre città, altri anni — e si dichiara come è stato scelto. Senza controllo non c'è né anomalia né routine: c'è impressione.</w:t>
      </w:r>
    </w:p>
    <w:p>
      <w:pPr>
        <w:spacing w:after="120" w:line="276"/>
        <w:jc w:val="both"/>
      </w:pPr>
      <w:r>
        <w:rPr>
          <w:rFonts w:ascii="Barlow Semi Condensed" w:cs="Barlow Semi Condensed" w:eastAsia="Barlow Semi Condensed" w:hAnsi="Barlow Semi Condensed"/>
          <w:b/>
          <w:bCs/>
          <w:sz w:val="24"/>
          <w:szCs w:val="24"/>
        </w:rPr>
        <w:t xml:space="preserve">797 · La norma disapplicata è un dato.</w:t>
      </w:r>
      <w:r>
        <w:rPr>
          <w:rFonts w:ascii="Barlow Semi Condensed" w:cs="Barlow Semi Condensed" w:eastAsia="Barlow Semi Condensed" w:hAnsi="Barlow Semi Condensed"/>
          <w:sz w:val="24"/>
          <w:szCs w:val="24"/>
        </w:rPr>
        <w:t xml:space="preserve"> Quando una regola scritta esiste e gli atti mostrano che non fu seguita, la divergenza è essa stessa un'acquisizione, e di grado alto, perché si provano entrambi i termini: il testo e la serie. Non prova però l'intenzione di disapplicarla. Il quesito successivo è distinto e va posto separatamente: esiste un atto che rilevi la disapplicazione, la sanzioni o la autorizzi? La risposta, anche integralmente negativa, va verbalizzata con la sede.</w:t>
      </w:r>
    </w:p>
    <w:p>
      <w:pPr>
        <w:spacing w:after="120" w:line="276"/>
        <w:jc w:val="both"/>
      </w:pPr>
      <w:r>
        <w:rPr>
          <w:rFonts w:ascii="Barlow Semi Condensed" w:cs="Barlow Semi Condensed" w:eastAsia="Barlow Semi Condensed" w:hAnsi="Barlow Semi Condensed"/>
          <w:b/>
          <w:bCs/>
          <w:sz w:val="24"/>
          <w:szCs w:val="24"/>
        </w:rPr>
        <w:t xml:space="preserve">798 · La prassi contro la norma.</w:t>
      </w:r>
      <w:r>
        <w:rPr>
          <w:rFonts w:ascii="Barlow Semi Condensed" w:cs="Barlow Semi Condensed" w:eastAsia="Barlow Semi Condensed" w:hAnsi="Barlow Semi Condensed"/>
          <w:sz w:val="24"/>
          <w:szCs w:val="24"/>
        </w:rPr>
        <w:t xml:space="preserve"> Il caso più delicato è la regolarità che contraddice la regola scritta. Documentarla richiede tre elementi insieme: il testo della norma vigente a quella data, la serie degli atti difformi, e l'assenza — accertata, non presunta — di un atto derogatorio che la legittimasse. Se manca uno dei tre, l'affermazione scende di grado. È il punto in cui la ricerca sulle prassi rischia di più, e perciò deve procedere più lentamente.</w:t>
      </w:r>
    </w:p>
    <w:p>
      <w:pPr>
        <w:spacing w:after="120" w:line="276"/>
        <w:jc w:val="both"/>
      </w:pPr>
      <w:r>
        <w:rPr>
          <w:rFonts w:ascii="Barlow Semi Condensed" w:cs="Barlow Semi Condensed" w:eastAsia="Barlow Semi Condensed" w:hAnsi="Barlow Semi Condensed"/>
          <w:b/>
          <w:bCs/>
          <w:sz w:val="24"/>
          <w:szCs w:val="24"/>
        </w:rPr>
        <w:t xml:space="preserve">799 · La prassi nascente e la sua contestazione.</w:t>
      </w:r>
      <w:r>
        <w:rPr>
          <w:rFonts w:ascii="Barlow Semi Condensed" w:cs="Barlow Semi Condensed" w:eastAsia="Barlow Semi Condensed" w:hAnsi="Barlow Semi Condensed"/>
          <w:sz w:val="24"/>
          <w:szCs w:val="24"/>
        </w:rPr>
        <w:t xml:space="preserve"> Una prassi si osserva meglio nel momento in cui nasce ed è contestata. La firma dell'Atto finale di Helsinki del 1° agosto 1975, apposta da Moro nella duplice qualità di Presidente del Consiglio e di presidente di turno della Comunità, e l'insofferenza di Kissinger per il coinvolgimento comunitario nella firma sono il caso-tipo: un uso che si stava affermando senza norma che lo prescrivesse. Fatto pubblico; nessuna inferenza ulteriore se ne trae.</w:t>
      </w:r>
    </w:p>
    <w:p>
      <w:pPr>
        <w:spacing w:after="120" w:line="276"/>
        <w:jc w:val="both"/>
      </w:pPr>
      <w:r>
        <w:rPr>
          <w:rFonts w:ascii="Barlow Semi Condensed" w:cs="Barlow Semi Condensed" w:eastAsia="Barlow Semi Condensed" w:hAnsi="Barlow Semi Condensed"/>
          <w:b/>
          <w:bCs/>
          <w:sz w:val="24"/>
          <w:szCs w:val="24"/>
        </w:rPr>
        <w:t xml:space="preserve">800 · Il valore della consuetudine amministrativa.</w:t>
      </w:r>
      <w:r>
        <w:rPr>
          <w:rFonts w:ascii="Barlow Semi Condensed" w:cs="Barlow Semi Condensed" w:eastAsia="Barlow Semi Condensed" w:hAnsi="Barlow Semi Condensed"/>
          <w:sz w:val="24"/>
          <w:szCs w:val="24"/>
        </w:rPr>
        <w:t xml:space="preserve"> Quesito preliminare a tutta la serie, da affidare a giuristi e non a cronisti: quale rilievo l'ordinamento italiano dell'epoca attribuiva alla prassi amministrativa — se fonte, se criterio interpretativo, se irrilevante — e con quali effetti sulla responsabilità dei funzionari. Il parere formale manca al dibattito sul caso. Reperirlo o commissionarlo cambia il modo in cui ogni accertamento di prassi va poi qualificato, ed è condizione di tutti i blocchi successivi.</w:t>
      </w:r>
    </w:p>
    <w:p>
      <w:pPr>
        <w:spacing w:after="120" w:line="276"/>
        <w:jc w:val="both"/>
      </w:pPr>
      <w:r>
        <w:rPr>
          <w:rFonts w:ascii="Barlow Semi Condensed" w:cs="Barlow Semi Condensed" w:eastAsia="Barlow Semi Condensed" w:hAnsi="Barlow Semi Condensed"/>
          <w:b/>
          <w:bCs/>
          <w:sz w:val="24"/>
          <w:szCs w:val="24"/>
        </w:rPr>
        <w:t xml:space="preserve">801 · Il documento dovuto della prassi.</w:t>
      </w:r>
      <w:r>
        <w:rPr>
          <w:rFonts w:ascii="Barlow Semi Condensed" w:cs="Barlow Semi Condensed" w:eastAsia="Barlow Semi Condensed" w:hAnsi="Barlow Semi Condensed"/>
          <w:sz w:val="24"/>
          <w:szCs w:val="24"/>
        </w:rPr>
        <w:t xml:space="preserve"> Il blocco 10 del manuale — un comitato produce verbali, una nota ha un protocollo — si applica alle abitudini: anche una prassi lascia carta. Ordini di servizio, turni, moduli prestampati, timbri, registri di consegna, rubriche interne. Il quesito operativo non è «esisteva una prassi», ma «quali tipi documentari una prassi come questa avrebbe necessariamente generato»; e poi la richiesta di quelle serie, una per una, a chi le conserva.</w:t>
      </w:r>
    </w:p>
    <w:p>
      <w:pPr>
        <w:spacing w:after="120" w:line="276"/>
        <w:jc w:val="both"/>
      </w:pPr>
      <w:r>
        <w:rPr>
          <w:rFonts w:ascii="Barlow Semi Condensed" w:cs="Barlow Semi Condensed" w:eastAsia="Barlow Semi Condensed" w:hAnsi="Barlow Semi Condensed"/>
          <w:b/>
          <w:bCs/>
          <w:sz w:val="24"/>
          <w:szCs w:val="24"/>
        </w:rPr>
        <w:t xml:space="preserve">802 · La modulistica come fossile.</w:t>
      </w:r>
      <w:r>
        <w:rPr>
          <w:rFonts w:ascii="Barlow Semi Condensed" w:cs="Barlow Semi Condensed" w:eastAsia="Barlow Semi Condensed" w:hAnsi="Barlow Semi Condensed"/>
          <w:sz w:val="24"/>
          <w:szCs w:val="24"/>
        </w:rPr>
        <w:t xml:space="preserve"> Un modulo prestampato è una prassi solidificata: le sue caselle dicono che cosa l'ufficio si aspettava di chiedere sempre, i suoi spazi bianchi che cosa non prevedeva. Bersaglio concreto e a costo bassissimo: la raccolta dei moduli in uso presso gli uffici coinvolti nel 1978, con le loro varianti datate. La sequenza delle ristampe è una cronologia di mutamenti di prassi che nessuno ha mai scritto in nessun altro luogo.</w:t>
      </w:r>
    </w:p>
    <w:p>
      <w:pPr>
        <w:spacing w:after="120" w:line="276"/>
        <w:jc w:val="both"/>
      </w:pPr>
      <w:r>
        <w:rPr>
          <w:rFonts w:ascii="Barlow Semi Condensed" w:cs="Barlow Semi Condensed" w:eastAsia="Barlow Semi Condensed" w:hAnsi="Barlow Semi Condensed"/>
          <w:b/>
          <w:bCs/>
          <w:sz w:val="24"/>
          <w:szCs w:val="24"/>
        </w:rPr>
        <w:t xml:space="preserve">803 · Il formulario che si ripete.</w:t>
      </w:r>
      <w:r>
        <w:rPr>
          <w:rFonts w:ascii="Barlow Semi Condensed" w:cs="Barlow Semi Condensed" w:eastAsia="Barlow Semi Condensed" w:hAnsi="Barlow Semi Condensed"/>
          <w:sz w:val="24"/>
          <w:szCs w:val="24"/>
        </w:rPr>
        <w:t xml:space="preserve"> Verbali diversi, redatti da mani diverse, che riproducono le stesse formule nello stesso ordine attestano un modello condiviso; e un modello condiviso è una prassi documentabile. L'analisi è testuale e replicabile: si contano le formule, si datano, si mappano gli uffici. Il risultato non dice che cosa accadde nei fatti verbalizzati — dice come quell'ufficio scriveva, ed è già un'acquisizione di grado B, purché il campione sia dichiarato.</w:t>
      </w:r>
    </w:p>
    <w:p>
      <w:pPr>
        <w:spacing w:after="120" w:line="276"/>
        <w:jc w:val="both"/>
      </w:pPr>
      <w:r>
        <w:rPr>
          <w:rFonts w:ascii="Barlow Semi Condensed" w:cs="Barlow Semi Condensed" w:eastAsia="Barlow Semi Condensed" w:hAnsi="Barlow Semi Condensed"/>
          <w:b/>
          <w:bCs/>
          <w:sz w:val="24"/>
          <w:szCs w:val="24"/>
        </w:rPr>
        <w:t xml:space="preserve">804 · I cinque indizi di prassi.</w:t>
      </w:r>
      <w:r>
        <w:rPr>
          <w:rFonts w:ascii="Barlow Semi Condensed" w:cs="Barlow Semi Condensed" w:eastAsia="Barlow Semi Condensed" w:hAnsi="Barlow Semi Condensed"/>
          <w:sz w:val="24"/>
          <w:szCs w:val="24"/>
        </w:rPr>
        <w:t xml:space="preserve"> Si assumano come griglia: la ripetizione documentata; l'esistenza di un modello o formulario; un veicolo di trasmissione identificato; la reazione dell'ufficio alla difformità; l'autodichiarazione della prassi in un testo posteriore. Nessuno dei cinque basta da solo. Tre concorrenti e davvero indipendenti portano l'affermazione al grado B; meno di tre la lasciano a C. La griglia si dichiara prima di applicarla, così che un terzo possa contestarla riga per riga.</w:t>
      </w:r>
    </w:p>
    <w:p>
      <w:pPr>
        <w:spacing w:after="120" w:line="276"/>
        <w:jc w:val="both"/>
      </w:pPr>
      <w:r>
        <w:rPr>
          <w:rFonts w:ascii="Barlow Semi Condensed" w:cs="Barlow Semi Condensed" w:eastAsia="Barlow Semi Condensed" w:hAnsi="Barlow Semi Condensed"/>
          <w:b/>
          <w:bCs/>
          <w:sz w:val="24"/>
          <w:szCs w:val="24"/>
        </w:rPr>
        <w:t xml:space="preserve">805 · La prassi negativa.</w:t>
      </w:r>
      <w:r>
        <w:rPr>
          <w:rFonts w:ascii="Barlow Semi Condensed" w:cs="Barlow Semi Condensed" w:eastAsia="Barlow Semi Condensed" w:hAnsi="Barlow Semi Condensed"/>
          <w:sz w:val="24"/>
          <w:szCs w:val="24"/>
        </w:rPr>
        <w:t xml:space="preserve"> Più difficile della prassi positiva è documentare ciò che abitualmente non si faceva: non produce carta propria. Si prova soltanto per esaurimento di una serie completa — dimostrando che in nessuno dei casi comparabili quel tipo di atto compare — e la completezza della serie va certificata dall'archivio, non asserita dal ricercatore. Se la serie è lacunosa, l'assenza non è prassi: è lacuna, e si dichiara come tale senza aggiungervi nulla.</w:t>
      </w:r>
    </w:p>
    <w:p>
      <w:pPr>
        <w:spacing w:after="120" w:line="276"/>
        <w:jc w:val="both"/>
      </w:pPr>
      <w:r>
        <w:rPr>
          <w:rFonts w:ascii="Barlow Semi Condensed" w:cs="Barlow Semi Condensed" w:eastAsia="Barlow Semi Condensed" w:hAnsi="Barlow Semi Condensed"/>
          <w:b/>
          <w:bCs/>
          <w:sz w:val="24"/>
          <w:szCs w:val="24"/>
        </w:rPr>
        <w:t xml:space="preserve">806 · Il teste dell'abitudine.</w:t>
      </w:r>
      <w:r>
        <w:rPr>
          <w:rFonts w:ascii="Barlow Semi Condensed" w:cs="Barlow Semi Condensed" w:eastAsia="Barlow Semi Condensed" w:hAnsi="Barlow Semi Condensed"/>
          <w:sz w:val="24"/>
          <w:szCs w:val="24"/>
        </w:rPr>
        <w:t xml:space="preserve"> Una testimonianza sull'abitudine è epistemicamente diversa da una sulla singola giornata: chi ricorda la regola spesso ricorda meglio, perché la routine è memoria consolidata. Resta però di grado B, e porta un rischio proprio: la routine ricordata tende a essere quella corretta, non quella praticata. Si raccoglie perciò sempre in coppia con un atto che la corrobori, secondo il primato del reperto fissato dal blocco 9 del manuale.</w:t>
      </w:r>
    </w:p>
    <w:p>
      <w:pPr>
        <w:spacing w:after="120" w:line="276"/>
        <w:jc w:val="both"/>
      </w:pPr>
      <w:r>
        <w:rPr>
          <w:rFonts w:ascii="Barlow Semi Condensed" w:cs="Barlow Semi Condensed" w:eastAsia="Barlow Semi Condensed" w:hAnsi="Barlow Semi Condensed"/>
          <w:b/>
          <w:bCs/>
          <w:sz w:val="24"/>
          <w:szCs w:val="24"/>
        </w:rPr>
        <w:t xml:space="preserve">807 · Il protocollo d'intervista sulla prassi.</w:t>
      </w:r>
      <w:r>
        <w:rPr>
          <w:rFonts w:ascii="Barlow Semi Condensed" w:cs="Barlow Semi Condensed" w:eastAsia="Barlow Semi Condensed" w:hAnsi="Barlow Semi Condensed"/>
          <w:sz w:val="24"/>
          <w:szCs w:val="24"/>
        </w:rPr>
        <w:t xml:space="preserve"> Per il cantiere conservativo: si chiede «come si faceva di solito», non «che cosa accadde quel giorno», e lo si chiede prima di ogni riferimento al caso, per non contaminare il ricordo della regola con la memoria dell'evento. Le domande si depositano scritte, le risposte si verbalizzano integralmente, e la scheda dichiara se l'intervistato sapesse quale caso motivasse la ricerca. Senza quella dichiarazione l'intervista non è utilizzabile.</w:t>
      </w:r>
    </w:p>
    <w:p>
      <w:pPr>
        <w:spacing w:after="120" w:line="276"/>
        <w:jc w:val="both"/>
      </w:pPr>
      <w:r>
        <w:rPr>
          <w:rFonts w:ascii="Barlow Semi Condensed" w:cs="Barlow Semi Condensed" w:eastAsia="Barlow Semi Condensed" w:hAnsi="Barlow Semi Condensed"/>
          <w:b/>
          <w:bCs/>
          <w:sz w:val="24"/>
          <w:szCs w:val="24"/>
        </w:rPr>
        <w:t xml:space="preserve">808 · I manuali e le dispense di corso.</w:t>
      </w:r>
      <w:r>
        <w:rPr>
          <w:rFonts w:ascii="Barlow Semi Condensed" w:cs="Barlow Semi Condensed" w:eastAsia="Barlow Semi Condensed" w:hAnsi="Barlow Semi Condensed"/>
          <w:sz w:val="24"/>
          <w:szCs w:val="24"/>
        </w:rPr>
        <w:t xml:space="preserve"> La traccia scritta del non scritto sta quasi sempre nella formazione: dispense di scuola, manuali interni, esercitazioni, circolari applicative. Bersaglio: il censimento dei materiali didattici in uso negli anni Settanta presso le amministrazioni coinvolte, con le loro edizioni successive. Ogni revisione di manuale è un mutamento di prassi datato. Se i materiali risultano scartati o dispersi, la constatazione si verbalizza con la sede interrogata e la risposta ottenuta.</w:t>
      </w:r>
    </w:p>
    <w:p>
      <w:pPr>
        <w:spacing w:after="120" w:line="276"/>
        <w:jc w:val="both"/>
      </w:pPr>
      <w:r>
        <w:rPr>
          <w:rFonts w:ascii="Barlow Semi Condensed" w:cs="Barlow Semi Condensed" w:eastAsia="Barlow Semi Condensed" w:hAnsi="Barlow Semi Condensed"/>
          <w:b/>
          <w:bCs/>
          <w:sz w:val="24"/>
          <w:szCs w:val="24"/>
        </w:rPr>
        <w:t xml:space="preserve">809 · Il brogliaccio della routine.</w:t>
      </w:r>
      <w:r>
        <w:rPr>
          <w:rFonts w:ascii="Barlow Semi Condensed" w:cs="Barlow Semi Condensed" w:eastAsia="Barlow Semi Condensed" w:hAnsi="Barlow Semi Condensed"/>
          <w:sz w:val="24"/>
          <w:szCs w:val="24"/>
        </w:rPr>
        <w:t xml:space="preserve"> Il brogliaccio di sala operativa è il documento più prossimo alla prassi che un archivio possa restituire: annota i gesti ordinari, non gli eventi notevoli, e per questo è il primo a essere scartato. Il blocco 569 dei cantieri pone il quesito gemello sulle prassi di registrazione delle utenze nel 1978, definendolo d'archivio prima che tecnico. Bersaglio: quali brogliacci delle sedi rilevanti siano sopravvissuti, dove, e sotto quale massimario furono selezionati.</w:t>
      </w:r>
    </w:p>
    <w:p>
      <w:pPr>
        <w:spacing w:after="120" w:line="276"/>
        <w:jc w:val="both"/>
      </w:pPr>
      <w:r>
        <w:rPr>
          <w:rFonts w:ascii="Barlow Semi Condensed" w:cs="Barlow Semi Condensed" w:eastAsia="Barlow Semi Condensed" w:hAnsi="Barlow Semi Condensed"/>
          <w:b/>
          <w:bCs/>
          <w:sz w:val="24"/>
          <w:szCs w:val="24"/>
        </w:rPr>
        <w:t xml:space="preserve">810 · Omologia e analogia fra due prassi.</w:t>
      </w:r>
      <w:r>
        <w:rPr>
          <w:rFonts w:ascii="Barlow Semi Condensed" w:cs="Barlow Semi Condensed" w:eastAsia="Barlow Semi Condensed" w:hAnsi="Barlow Semi Condensed"/>
          <w:sz w:val="24"/>
          <w:szCs w:val="24"/>
        </w:rPr>
        <w:t xml:space="preserve"> Due uffici che si comportano allo stesso modo possono aver ereditato la prassi da un ceppo comune — omologia, documentabile al primo piano — oppure averla sviluppata separatamente sotto vincoli identici, che è convergenza e sta al secondo piano. La distinzione si decide con documenti di trasmissione, non con la somiglianza. In assenza di quei documenti si registra il secondo piano come tale, e non lo si promuove mai a nesso causale.</w:t>
      </w:r>
    </w:p>
    <w:p>
      <w:pPr>
        <w:spacing w:after="120" w:line="276"/>
        <w:jc w:val="both"/>
      </w:pPr>
      <w:r>
        <w:rPr>
          <w:rFonts w:ascii="Barlow Semi Condensed" w:cs="Barlow Semi Condensed" w:eastAsia="Barlow Semi Condensed" w:hAnsi="Barlow Semi Condensed"/>
          <w:b/>
          <w:bCs/>
          <w:sz w:val="24"/>
          <w:szCs w:val="24"/>
        </w:rPr>
        <w:t xml:space="preserve">811 · La scuola di guerriglia, come si trasmise.</w:t>
      </w:r>
      <w:r>
        <w:rPr>
          <w:rFonts w:ascii="Barlow Semi Condensed" w:cs="Barlow Semi Condensed" w:eastAsia="Barlow Semi Condensed" w:hAnsi="Barlow Semi Condensed"/>
          <w:sz w:val="24"/>
          <w:szCs w:val="24"/>
        </w:rPr>
        <w:t xml:space="preserve"> Il corpus registra la dichiarazione di Renato Curcio secondo cui i brigatisti andarono «a scuola di guerriglia» da Feltrinelli: fatto pubblico riferito, grado F sulla dichiarazione e non sul contenuto. È il caso-tipo di trasmissione non scritta di un metodo, e va trattato come tale: la frase attesta un'autopercezione genealogica, non un percorso documentato. Bersaglio: quali materiali, testi o addestramenti concreti la sostengano. Finché non emergono, resta genealogia dichiarata.</w:t>
      </w:r>
    </w:p>
    <w:p>
      <w:pPr>
        <w:spacing w:after="120" w:line="276"/>
        <w:jc w:val="both"/>
      </w:pPr>
      <w:r>
        <w:rPr>
          <w:rFonts w:ascii="Barlow Semi Condensed" w:cs="Barlow Semi Condensed" w:eastAsia="Barlow Semi Condensed" w:hAnsi="Barlow Semi Condensed"/>
          <w:b/>
          <w:bCs/>
          <w:sz w:val="24"/>
          <w:szCs w:val="24"/>
        </w:rPr>
        <w:t xml:space="preserve">812 · Il codice scritto e il fenotipo italiano.</w:t>
      </w:r>
      <w:r>
        <w:rPr>
          <w:rFonts w:ascii="Barlow Semi Condensed" w:cs="Barlow Semi Condensed" w:eastAsia="Barlow Semi Condensed" w:hAnsi="Barlow Semi Condensed"/>
          <w:sz w:val="24"/>
          <w:szCs w:val="24"/>
        </w:rPr>
        <w:t xml:space="preserve"> La dottrina del foco fu scritta e pubblicata; ciò che se ne praticò in Italia dieci anni dopo differisce da essa in quasi ogni punto operativo. La lente serve bene: stesso codice dichiarato, espressione radicalmente diversa secondo l'ambiente. E serve a fermarsi, perché la differenza di espressione non stabilisce alcun rapporto fra chi scrisse il codice e chi agì — il corpus lo classifica come eredità che degenera, non come catena di comando.</w:t>
      </w:r>
    </w:p>
    <w:p>
      <w:pPr>
        <w:spacing w:after="120" w:line="276"/>
        <w:jc w:val="both"/>
      </w:pPr>
      <w:r>
        <w:rPr>
          <w:rFonts w:ascii="Barlow Semi Condensed" w:cs="Barlow Semi Condensed" w:eastAsia="Barlow Semi Condensed" w:hAnsi="Barlow Semi Condensed"/>
          <w:b/>
          <w:bCs/>
          <w:sz w:val="24"/>
          <w:szCs w:val="24"/>
        </w:rPr>
        <w:t xml:space="preserve">813 · Stato Zero sulla prassi.</w:t>
      </w:r>
      <w:r>
        <w:rPr>
          <w:rFonts w:ascii="Barlow Semi Condensed" w:cs="Barlow Semi Condensed" w:eastAsia="Barlow Semi Condensed" w:hAnsi="Barlow Semi Condensed"/>
          <w:sz w:val="24"/>
          <w:szCs w:val="24"/>
        </w:rPr>
        <w:t xml:space="preserve"> Quando la ricerca su una prassi si chiude senza trovarne traccia, l'esito è un'acquisizione di pieno valore e si scrive per intero: quale prassi si cercava, con quali indizi la si ipotizzava, quali serie si sono spogliate, presso quale sede, con quale esito e con quale risposta scritta. Uno Stato Zero ben redatto vale più di una prassi asserita: chiude una via e ne indica con precisione la riapertura.</w:t>
      </w:r>
    </w:p>
    <w:p>
      <w:pPr>
        <w:spacing w:after="120" w:line="276"/>
        <w:jc w:val="both"/>
      </w:pPr>
      <w:r>
        <w:rPr>
          <w:rFonts w:ascii="Barlow Semi Condensed" w:cs="Barlow Semi Condensed" w:eastAsia="Barlow Semi Condensed" w:hAnsi="Barlow Semi Condensed"/>
          <w:b/>
          <w:bCs/>
          <w:sz w:val="24"/>
          <w:szCs w:val="24"/>
        </w:rPr>
        <w:t xml:space="preserve">814 · Il silenzio come carattere trasmesso.</w:t>
      </w:r>
      <w:r>
        <w:rPr>
          <w:rFonts w:ascii="Barlow Semi Condensed" w:cs="Barlow Semi Condensed" w:eastAsia="Barlow Semi Condensed" w:hAnsi="Barlow Semi Condensed"/>
          <w:sz w:val="24"/>
          <w:szCs w:val="24"/>
        </w:rPr>
        <w:t xml:space="preserve"> Fra le prassi non scritte, la più rilevante per il caso è il non dire: che cosa un ufficio abitualmente non metteva a verbale, non comunicava all'ufficio vicino, non riferiva all'autorità politica. È un carattere che si insegna senza enunciarlo e che sopravvive ai singoli. Documentarlo è possibile solo per differenza, confrontando ciò che una sede scriveva con ciò che una sede omologa, nello stesso sistema, scriveva sullo stesso oggetto.</w:t>
      </w:r>
    </w:p>
    <w:p>
      <w:pPr>
        <w:spacing w:after="120" w:line="276"/>
        <w:jc w:val="both"/>
      </w:pPr>
      <w:r>
        <w:rPr>
          <w:rFonts w:ascii="Barlow Semi Condensed" w:cs="Barlow Semi Condensed" w:eastAsia="Barlow Semi Condensed" w:hAnsi="Barlow Semi Condensed"/>
          <w:b/>
          <w:bCs/>
          <w:sz w:val="24"/>
          <w:szCs w:val="24"/>
        </w:rPr>
        <w:t xml:space="preserve">815 · Che cosa non si scriveva.</w:t>
      </w:r>
      <w:r>
        <w:rPr>
          <w:rFonts w:ascii="Barlow Semi Condensed" w:cs="Barlow Semi Condensed" w:eastAsia="Barlow Semi Condensed" w:hAnsi="Barlow Semi Condensed"/>
          <w:sz w:val="24"/>
          <w:szCs w:val="24"/>
        </w:rPr>
        <w:t xml:space="preserve"> Il quesito va scomposto in tre, perché le cause lasciano tracce diverse: non si scriveva per regola di classificazione, per abitudine di prudenza, o per scelta relativa a quel singolo oggetto. La prima lascia norme — e il blocco 947 dei cantieri ricorda che metà del segreto percepito è classificazione amministrativa ordinaria; la seconda lascia una regolarità misurabile; la terza un'anomalia locale. Solo la terza autorizza domande sul caso.</w:t>
      </w:r>
    </w:p>
    <w:p>
      <w:pPr>
        <w:spacing w:after="120" w:line="276"/>
        <w:jc w:val="both"/>
      </w:pPr>
      <w:r>
        <w:rPr>
          <w:rFonts w:ascii="Barlow Semi Condensed" w:cs="Barlow Semi Condensed" w:eastAsia="Barlow Semi Condensed" w:hAnsi="Barlow Semi Condensed"/>
          <w:b/>
          <w:bCs/>
          <w:sz w:val="24"/>
          <w:szCs w:val="24"/>
        </w:rPr>
        <w:t xml:space="preserve">816 · Il silenzio non prova il segreto.</w:t>
      </w:r>
      <w:r>
        <w:rPr>
          <w:rFonts w:ascii="Barlow Semi Condensed" w:cs="Barlow Semi Condensed" w:eastAsia="Barlow Semi Condensed" w:hAnsi="Barlow Semi Condensed"/>
          <w:sz w:val="24"/>
          <w:szCs w:val="24"/>
        </w:rPr>
        <w:t xml:space="preserve"> Un vuoto documentale è compatibile con molte cause: la prassi di non verbalizzare, lo scarto regolare, la perdita, il versamento incompleto, e anche l'occultamento. Attribuirlo d'ufficio alla causa più drammatica è la mossa che il corpus vieta. La regola dei buchi lo dice con esattezza: il buco si misura e si dichiara, non si riempie di narrazione, e resta congettura possibile finché un documento non diventi arco della rete.</w:t>
      </w:r>
    </w:p>
    <w:p>
      <w:pPr>
        <w:spacing w:after="120" w:line="276"/>
        <w:jc w:val="both"/>
      </w:pPr>
      <w:r>
        <w:rPr>
          <w:rFonts w:ascii="Barlow Semi Condensed" w:cs="Barlow Semi Condensed" w:eastAsia="Barlow Semi Condensed" w:hAnsi="Barlow Semi Condensed"/>
          <w:b/>
          <w:bCs/>
          <w:sz w:val="24"/>
          <w:szCs w:val="24"/>
        </w:rPr>
        <w:t xml:space="preserve">817 · Il secondo tempo della regola dei buchi (serie XI).</w:t>
      </w:r>
      <w:r>
        <w:rPr>
          <w:rFonts w:ascii="Barlow Semi Condensed" w:cs="Barlow Semi Condensed" w:eastAsia="Barlow Semi Condensed" w:hAnsi="Barlow Semi Condensed"/>
          <w:sz w:val="24"/>
          <w:szCs w:val="24"/>
        </w:rPr>
        <w:t xml:space="preserve"> La triangolazione della seconda campagna aggiunge la metà mancante: un basso rapporto di associazione fra due domini non indica assenza di rapporti, indica che nessuno ha scritto un documento che li tratti insieme. Applicata ai silenzi, la procedura diventa a due tempi: prima si misura il vuoto, poi se ne diagnostica la causa nella specializzazione delle fonti; solo dopo si è autorizzati a interrogarlo sulla struttura del mondo.</w:t>
      </w:r>
    </w:p>
    <w:p>
      <w:pPr>
        <w:spacing w:after="120" w:line="276"/>
        <w:jc w:val="both"/>
      </w:pPr>
      <w:r>
        <w:rPr>
          <w:rFonts w:ascii="Barlow Semi Condensed" w:cs="Barlow Semi Condensed" w:eastAsia="Barlow Semi Condensed" w:hAnsi="Barlow Semi Condensed"/>
          <w:b/>
          <w:bCs/>
          <w:sz w:val="24"/>
          <w:szCs w:val="24"/>
        </w:rPr>
        <w:t xml:space="preserve">818 · La compartimentazione come prassi orale.</w:t>
      </w:r>
      <w:r>
        <w:rPr>
          <w:rFonts w:ascii="Barlow Semi Condensed" w:cs="Barlow Semi Condensed" w:eastAsia="Barlow Semi Condensed" w:hAnsi="Barlow Semi Condensed"/>
          <w:sz w:val="24"/>
          <w:szCs w:val="24"/>
        </w:rPr>
        <w:t xml:space="preserve"> Nelle organizzazioni clandestine la regola di non sapere è per definizione non scritta, e la sua unica documentazione disponibile è postuma e interessata. La Commissione Moro 2 ha accertato che il memoriale Morucci fu il risultato di una collaborazione sviluppatasi negli anni Ottanta: accertamento di grado B che vale come regola di lettura generale — una fonte gestita politicamente si usa sapendo che è tale, non si getta via e non si crede.</w:t>
      </w:r>
    </w:p>
    <w:p>
      <w:pPr>
        <w:spacing w:after="120" w:line="276"/>
        <w:jc w:val="both"/>
      </w:pPr>
      <w:r>
        <w:rPr>
          <w:rFonts w:ascii="Barlow Semi Condensed" w:cs="Barlow Semi Condensed" w:eastAsia="Barlow Semi Condensed" w:hAnsi="Barlow Semi Condensed"/>
          <w:b/>
          <w:bCs/>
          <w:sz w:val="24"/>
          <w:szCs w:val="24"/>
        </w:rPr>
        <w:t xml:space="preserve">819 · La rottura del silenzio, evento datato.</w:t>
      </w:r>
      <w:r>
        <w:rPr>
          <w:rFonts w:ascii="Barlow Semi Condensed" w:cs="Barlow Semi Condensed" w:eastAsia="Barlow Semi Condensed" w:hAnsi="Barlow Semi Condensed"/>
          <w:sz w:val="24"/>
          <w:szCs w:val="24"/>
        </w:rPr>
        <w:t xml:space="preserve"> Quando un silenzio cede — una deposizione, una relazione, una desecretazione — la data va registrata come si registra un atto, perché consente di misurare la durata del carattere trasmesso e di identificarne la fine. La cronologia delle rotture di silenzio del caso, costruita come tavola autonoma, è un prodotto mancante e realizzabile: dice quando ciascuna prassi di riserbo smise di funzionare, e per intervento di quale sede.</w:t>
      </w:r>
    </w:p>
    <w:p>
      <w:pPr>
        <w:spacing w:after="120" w:line="276"/>
        <w:jc w:val="both"/>
      </w:pPr>
      <w:r>
        <w:rPr>
          <w:rFonts w:ascii="Barlow Semi Condensed" w:cs="Barlow Semi Condensed" w:eastAsia="Barlow Semi Condensed" w:hAnsi="Barlow Semi Condensed"/>
          <w:b/>
          <w:bCs/>
          <w:sz w:val="24"/>
          <w:szCs w:val="24"/>
        </w:rPr>
        <w:t xml:space="preserve">820 · Cultura di apparato: definirla o tacerla.</w:t>
      </w:r>
      <w:r>
        <w:rPr>
          <w:rFonts w:ascii="Barlow Semi Condensed" w:cs="Barlow Semi Condensed" w:eastAsia="Barlow Semi Condensed" w:hAnsi="Barlow Semi Condensed"/>
          <w:sz w:val="24"/>
          <w:szCs w:val="24"/>
        </w:rPr>
        <w:t xml:space="preserve"> L'espressione circola come spiegazione universale e per questo non spiega nulla. Nel corpus è ammessa a una condizione: che sia sostituita, ogni volta, dall'elenco delle prassi concrete che si intende affermare, ciascuna col suo veicolo e col suo grado. Se l'elenco non si può scrivere, l'espressione va tolta dal testo. È la stessa disciplina che il corpus applica alle entità: si indagano per atti e omissioni documentati, mai come colpevoli collettivi.</w:t>
      </w:r>
    </w:p>
    <w:p>
      <w:pPr>
        <w:spacing w:after="120" w:line="276"/>
        <w:jc w:val="both"/>
      </w:pPr>
      <w:r>
        <w:rPr>
          <w:rFonts w:ascii="Barlow Semi Condensed" w:cs="Barlow Semi Condensed" w:eastAsia="Barlow Semi Condensed" w:hAnsi="Barlow Semi Condensed"/>
          <w:b/>
          <w:bCs/>
          <w:sz w:val="24"/>
          <w:szCs w:val="24"/>
        </w:rPr>
        <w:t xml:space="preserve">821 · Il quesito madre della protezione.</w:t>
      </w:r>
      <w:r>
        <w:rPr>
          <w:rFonts w:ascii="Barlow Semi Condensed" w:cs="Barlow Semi Condensed" w:eastAsia="Barlow Semi Condensed" w:hAnsi="Barlow Semi Condensed"/>
          <w:sz w:val="24"/>
          <w:szCs w:val="24"/>
        </w:rPr>
        <w:t xml:space="preserve"> Formulato senza presupposti: quali misure di protezione erano disposte per Aldo Moro al 16 marzo 1978, con quale atto, adottato da quale autorità, in quale data, e se fosse prevista una revisione periodica. È un quesito d'archivio, non interpretativo, e ha risposta possibile in entrambi i sensi. Ogni discussione sul dispositivo di scorta che preceda questa risposta discute di un oggetto non ancora accertato, e non lo sa.</w:t>
      </w:r>
    </w:p>
    <w:p>
      <w:pPr>
        <w:spacing w:after="120" w:line="276"/>
        <w:jc w:val="both"/>
      </w:pPr>
      <w:r>
        <w:rPr>
          <w:rFonts w:ascii="Barlow Semi Condensed" w:cs="Barlow Semi Condensed" w:eastAsia="Barlow Semi Condensed" w:hAnsi="Barlow Semi Condensed"/>
          <w:b/>
          <w:bCs/>
          <w:sz w:val="24"/>
          <w:szCs w:val="24"/>
        </w:rPr>
        <w:t xml:space="preserve">822 · L'atto istitutivo e la revisione.</w:t>
      </w:r>
      <w:r>
        <w:rPr>
          <w:rFonts w:ascii="Barlow Semi Condensed" w:cs="Barlow Semi Condensed" w:eastAsia="Barlow Semi Condensed" w:hAnsi="Barlow Semi Condensed"/>
          <w:sz w:val="24"/>
          <w:szCs w:val="24"/>
        </w:rPr>
        <w:t xml:space="preserve"> Ogni misura di sicurezza ha due date che raramente coincidono: quella dell'istituzione e quella dell'ultima revisione. L'intervallo fra le due è l'oggetto proprio di questa serie, perché è lì che una disposizione smette di rispondere alla situazione che la motivò e continua a essere eseguita. Bersaglio: ricostruire per il caso entrambe le date sugli atti, e verbalizzare quale delle due manchi e presso quale sede si è cercata.</w:t>
      </w:r>
    </w:p>
    <w:p>
      <w:pPr>
        <w:spacing w:after="120" w:line="276"/>
        <w:jc w:val="both"/>
      </w:pPr>
      <w:r>
        <w:rPr>
          <w:rFonts w:ascii="Barlow Semi Condensed" w:cs="Barlow Semi Condensed" w:eastAsia="Barlow Semi Condensed" w:hAnsi="Barlow Semi Condensed"/>
          <w:b/>
          <w:bCs/>
          <w:sz w:val="24"/>
          <w:szCs w:val="24"/>
        </w:rPr>
        <w:t xml:space="preserve">823 · La sopravvivenza per inerzia.</w:t>
      </w:r>
      <w:r>
        <w:rPr>
          <w:rFonts w:ascii="Barlow Semi Condensed" w:cs="Barlow Semi Condensed" w:eastAsia="Barlow Semi Condensed" w:hAnsi="Barlow Semi Condensed"/>
          <w:sz w:val="24"/>
          <w:szCs w:val="24"/>
        </w:rPr>
        <w:t xml:space="preserve"> Una procedura può sopravvivere a chi la istituì, alla ragione che la giustificava e all'ufficio che la eseguiva, semplicemente perché nessuno era tenuto a rivederla. È il fenomeno che questa serie chiama epigenetico, e non è di per sé anomalo: è la condizione ordinaria delle amministrazioni. Documentarlo significa provare tre cose distinte — che la ragione cessò, che la procedura proseguì, che nessun atto di revisione intervenne — e provarle separatamente.</w:t>
      </w:r>
    </w:p>
    <w:p>
      <w:pPr>
        <w:spacing w:after="120" w:line="276"/>
        <w:jc w:val="both"/>
      </w:pPr>
      <w:r>
        <w:rPr>
          <w:rFonts w:ascii="Barlow Semi Condensed" w:cs="Barlow Semi Condensed" w:eastAsia="Barlow Semi Condensed" w:hAnsi="Barlow Semi Condensed"/>
          <w:b/>
          <w:bCs/>
          <w:sz w:val="24"/>
          <w:szCs w:val="24"/>
        </w:rPr>
        <w:t xml:space="preserve">824 · L'inerzia non è volontà.</w:t>
      </w:r>
      <w:r>
        <w:rPr>
          <w:rFonts w:ascii="Barlow Semi Condensed" w:cs="Barlow Semi Condensed" w:eastAsia="Barlow Semi Condensed" w:hAnsi="Barlow Semi Condensed"/>
          <w:sz w:val="24"/>
          <w:szCs w:val="24"/>
        </w:rPr>
        <w:t xml:space="preserve"> Provata la sopravvivenza di una procedura oltre la sua ragione, non è provato nulla sull'intenzione di chi la lasciò in vita. Sono due asserzioni separate, con due criteri di smentita separati. Il passaggio dalla prima alla seconda richiede un documento che colleghi la mancata revisione a una decisione: senza quel documento la seconda resta di grado C, e va scritta così accanto alla prima, che può stare a B.</w:t>
      </w:r>
    </w:p>
    <w:p>
      <w:pPr>
        <w:spacing w:after="120" w:line="276"/>
        <w:jc w:val="both"/>
      </w:pPr>
      <w:r>
        <w:rPr>
          <w:rFonts w:ascii="Barlow Semi Condensed" w:cs="Barlow Semi Condensed" w:eastAsia="Barlow Semi Condensed" w:hAnsi="Barlow Semi Condensed"/>
          <w:b/>
          <w:bCs/>
          <w:sz w:val="24"/>
          <w:szCs w:val="24"/>
        </w:rPr>
        <w:t xml:space="preserve">825 · Il passaggio di consegne.</w:t>
      </w:r>
      <w:r>
        <w:rPr>
          <w:rFonts w:ascii="Barlow Semi Condensed" w:cs="Barlow Semi Condensed" w:eastAsia="Barlow Semi Condensed" w:hAnsi="Barlow Semi Condensed"/>
          <w:sz w:val="24"/>
          <w:szCs w:val="24"/>
        </w:rPr>
        <w:t xml:space="preserve"> È il veicolo per eccellenza della trasmissione non scritta, e in molte amministrazioni produce carta: verbali di consegna, elenchi di pendenze, note informative al subentrante. Quesito operativo: per gli uffici rilevanti del caso, esistono verbali di passaggio di consegne nel triennio 1976-1978, dove sono versati, che cosa registrano. Un verbale di consegne è il punto in cui una prassi diventa, per una volta sola, testo leggibile.</w:t>
      </w:r>
    </w:p>
    <w:p>
      <w:pPr>
        <w:spacing w:after="120" w:line="276"/>
        <w:jc w:val="both"/>
      </w:pPr>
      <w:r>
        <w:rPr>
          <w:rFonts w:ascii="Barlow Semi Condensed" w:cs="Barlow Semi Condensed" w:eastAsia="Barlow Semi Condensed" w:hAnsi="Barlow Semi Condensed"/>
          <w:b/>
          <w:bCs/>
          <w:sz w:val="24"/>
          <w:szCs w:val="24"/>
        </w:rPr>
        <w:t xml:space="preserve">826 · La catena dei titolari.</w:t>
      </w:r>
      <w:r>
        <w:rPr>
          <w:rFonts w:ascii="Barlow Semi Condensed" w:cs="Barlow Semi Condensed" w:eastAsia="Barlow Semi Condensed" w:hAnsi="Barlow Semi Condensed"/>
          <w:sz w:val="24"/>
          <w:szCs w:val="24"/>
        </w:rPr>
        <w:t xml:space="preserve"> Ricostruire l'elenco datato di chi resse gli uffici rilevanti dal momento in cui una procedura fu istituita fino al 1978 è lavoro puramente anagrafico ed eseguibile su fonti aperte. Serve a due cose e a nessuna terza: misurare quante volte la procedura attraversò un cambio di titolare, e identificare chi fosse in carica quando una revisione avrebbe dovuto avvenire. Non attribuisce nulla a nessuno, e non deve essere usato per farlo.</w:t>
      </w:r>
    </w:p>
    <w:p>
      <w:pPr>
        <w:spacing w:after="120" w:line="276"/>
        <w:jc w:val="both"/>
      </w:pPr>
      <w:r>
        <w:rPr>
          <w:rFonts w:ascii="Barlow Semi Condensed" w:cs="Barlow Semi Condensed" w:eastAsia="Barlow Semi Condensed" w:hAnsi="Barlow Semi Condensed"/>
          <w:b/>
          <w:bCs/>
          <w:sz w:val="24"/>
          <w:szCs w:val="24"/>
        </w:rPr>
        <w:t xml:space="preserve">827 · Si è sempre fatto così.</w:t>
      </w:r>
      <w:r>
        <w:rPr>
          <w:rFonts w:ascii="Barlow Semi Condensed" w:cs="Barlow Semi Condensed" w:eastAsia="Barlow Semi Condensed" w:hAnsi="Barlow Semi Condensed"/>
          <w:sz w:val="24"/>
          <w:szCs w:val="24"/>
        </w:rPr>
        <w:t xml:space="preserve"> La formula compare nei verbali e nelle audizioni come argomento, ed è la più diretta autodichiarazione di prassi che una fonte possa offrire. Bersaglio a basso costo: censire nelle deposizioni e nelle relazioni parlamentari del caso tutte le occorrenze in cui un funzionario giustifica un comportamento con la sua ordinarietà, e verificare ciascuna contro la serie documentale. Alcune si confermeranno; altre risulteranno prassi asserite e mai esistite, ed è un risultato.</w:t>
      </w:r>
    </w:p>
    <w:p>
      <w:pPr>
        <w:spacing w:after="120" w:line="276"/>
        <w:jc w:val="both"/>
      </w:pPr>
      <w:r>
        <w:rPr>
          <w:rFonts w:ascii="Barlow Semi Condensed" w:cs="Barlow Semi Condensed" w:eastAsia="Barlow Semi Condensed" w:hAnsi="Barlow Semi Condensed"/>
          <w:b/>
          <w:bCs/>
          <w:sz w:val="24"/>
          <w:szCs w:val="24"/>
        </w:rPr>
        <w:t xml:space="preserve">828 · La valutazione del rischio, presente o assente.</w:t>
      </w:r>
      <w:r>
        <w:rPr>
          <w:rFonts w:ascii="Barlow Semi Condensed" w:cs="Barlow Semi Condensed" w:eastAsia="Barlow Semi Condensed" w:hAnsi="Barlow Semi Condensed"/>
          <w:sz w:val="24"/>
          <w:szCs w:val="24"/>
        </w:rPr>
        <w:t xml:space="preserve"> Quesito con esito utile in entrambi i sensi: esiste, per il periodo considerato, un documento di valutazione della minaccia riferito alla persona di Moro o alla categoria cui apparteneva? Se esiste, il confronto fra la valutazione e le misure adottate è misurabile. Se non esiste, l'assenza di un documento dovuto è essa stessa un dato di grado alto, da verbalizzare con la sede interrogata e la risposta ricevuta.</w:t>
      </w:r>
    </w:p>
    <w:p>
      <w:pPr>
        <w:spacing w:after="120" w:line="276"/>
        <w:jc w:val="both"/>
      </w:pPr>
      <w:r>
        <w:rPr>
          <w:rFonts w:ascii="Barlow Semi Condensed" w:cs="Barlow Semi Condensed" w:eastAsia="Barlow Semi Condensed" w:hAnsi="Barlow Semi Condensed"/>
          <w:b/>
          <w:bCs/>
          <w:sz w:val="24"/>
          <w:szCs w:val="24"/>
        </w:rPr>
        <w:t xml:space="preserve">829 · La comparazione del 16 marzo.</w:t>
      </w:r>
      <w:r>
        <w:rPr>
          <w:rFonts w:ascii="Barlow Semi Condensed" w:cs="Barlow Semi Condensed" w:eastAsia="Barlow Semi Condensed" w:hAnsi="Barlow Semi Condensed"/>
          <w:sz w:val="24"/>
          <w:szCs w:val="24"/>
        </w:rPr>
        <w:t xml:space="preserve"> Il campione di controllo applicato alla protezione: quali misure erano in essere, nello stesso periodo, per altre personalità di rango comparabile, con quali atti e con quali revisioni. Senza questa comparazione nessuna affermazione sull'adeguatezza o sull'inadeguatezza del dispositivo è verificabile. Con essa, entrambe le conclusioni possibili diventano acquisizioni. È il caso in cui la regola del campione decide da sola la sorte dell'intera questione, e va eseguita per prima.</w:t>
      </w:r>
    </w:p>
    <w:p>
      <w:pPr>
        <w:spacing w:after="120" w:line="276"/>
        <w:jc w:val="both"/>
      </w:pPr>
      <w:r>
        <w:rPr>
          <w:rFonts w:ascii="Barlow Semi Condensed" w:cs="Barlow Semi Condensed" w:eastAsia="Barlow Semi Condensed" w:hAnsi="Barlow Semi Condensed"/>
          <w:b/>
          <w:bCs/>
          <w:sz w:val="24"/>
          <w:szCs w:val="24"/>
        </w:rPr>
        <w:t xml:space="preserve">830 · Le sedi d'archivio della protezione.</w:t>
      </w:r>
      <w:r>
        <w:rPr>
          <w:rFonts w:ascii="Barlow Semi Condensed" w:cs="Barlow Semi Condensed" w:eastAsia="Barlow Semi Condensed" w:hAnsi="Barlow Semi Condensed"/>
          <w:sz w:val="24"/>
          <w:szCs w:val="24"/>
        </w:rPr>
        <w:t xml:space="preserve"> Le serie da interrogare si nominano prima di cercare: gli uffici centrali del Ministero dell'Interno, la questura competente, i comandi territoriali dell'Arma, l'Archivio centrale dello Stato per i versamenti, il fondo della Direttiva (blocco 24 del manuale) e, per gli organismi informativi, il regime di versamento che il blocco 953 dei cantieri tratta con l'unico strumento serio, la norma. Per ciascuna si dichiara in anticipo la richiesta e la sorte dell'esito negativo.</w:t>
      </w:r>
    </w:p>
    <w:p>
      <w:pPr>
        <w:spacing w:after="120" w:line="276"/>
        <w:jc w:val="both"/>
      </w:pPr>
      <w:r>
        <w:rPr>
          <w:rFonts w:ascii="Barlow Semi Condensed" w:cs="Barlow Semi Condensed" w:eastAsia="Barlow Semi Condensed" w:hAnsi="Barlow Semi Condensed"/>
          <w:b/>
          <w:bCs/>
          <w:sz w:val="24"/>
          <w:szCs w:val="24"/>
        </w:rPr>
        <w:t xml:space="preserve">831 · L'archivio non indicizza le abitudini.</w:t>
      </w:r>
      <w:r>
        <w:rPr>
          <w:rFonts w:ascii="Barlow Semi Condensed" w:cs="Barlow Semi Condensed" w:eastAsia="Barlow Semi Condensed" w:hAnsi="Barlow Semi Condensed"/>
          <w:sz w:val="24"/>
          <w:szCs w:val="24"/>
        </w:rPr>
        <w:t xml:space="preserve"> Gli strumenti di corredo descrivono documenti, non comportamenti: nessun inventario ha una voce «prassi». La domanda va perciò tradotta prima di essere posta, e la traduzione è il vero lavoro tecnico di questa serie. Chi chiede a un archivio se esisteva una prassi riceverà, correttamente, una non risposta; chi chiede una serie documentaria precisa riceverà carte oppure un diniego, e in entrambi i casi un'acquisizione utilizzabile.</w:t>
      </w:r>
    </w:p>
    <w:p>
      <w:pPr>
        <w:spacing w:after="120" w:line="276"/>
        <w:jc w:val="both"/>
      </w:pPr>
      <w:r>
        <w:rPr>
          <w:rFonts w:ascii="Barlow Semi Condensed" w:cs="Barlow Semi Condensed" w:eastAsia="Barlow Semi Condensed" w:hAnsi="Barlow Semi Condensed"/>
          <w:b/>
          <w:bCs/>
          <w:sz w:val="24"/>
          <w:szCs w:val="24"/>
        </w:rPr>
        <w:t xml:space="preserve">832 · La traduzione del quesito in serie.</w:t>
      </w:r>
      <w:r>
        <w:rPr>
          <w:rFonts w:ascii="Barlow Semi Condensed" w:cs="Barlow Semi Condensed" w:eastAsia="Barlow Semi Condensed" w:hAnsi="Barlow Semi Condensed"/>
          <w:sz w:val="24"/>
          <w:szCs w:val="24"/>
        </w:rPr>
        <w:t xml:space="preserve"> Procedura in tre passaggi, da applicare a ogni ipotesi di prassi: si elencano i tipi documentari che quella prassi avrebbe necessariamente prodotto; si identificano le serie archivistiche che li conservano; si formula per ciascuna una richiesta autonoma con motivazione storica. Il risultato è un elenco di richieste verificabili al posto di una domanda generica. Ogni passaggio si mette per iscritto, perché un terzo possa rifarlo o contestarlo.</w:t>
      </w:r>
    </w:p>
    <w:p>
      <w:pPr>
        <w:spacing w:after="120" w:line="276"/>
        <w:jc w:val="both"/>
      </w:pPr>
      <w:r>
        <w:rPr>
          <w:rFonts w:ascii="Barlow Semi Condensed" w:cs="Barlow Semi Condensed" w:eastAsia="Barlow Semi Condensed" w:hAnsi="Barlow Semi Condensed"/>
          <w:b/>
          <w:bCs/>
          <w:sz w:val="24"/>
          <w:szCs w:val="24"/>
        </w:rPr>
        <w:t xml:space="preserve">833 · Il campionamento va dichiarato.</w:t>
      </w:r>
      <w:r>
        <w:rPr>
          <w:rFonts w:ascii="Barlow Semi Condensed" w:cs="Barlow Semi Condensed" w:eastAsia="Barlow Semi Condensed" w:hAnsi="Barlow Semi Condensed"/>
          <w:sz w:val="24"/>
          <w:szCs w:val="24"/>
        </w:rPr>
        <w:t xml:space="preserve"> Nessun ricercatore spoglia una serie intera. La differenza fra un campione e un aneddoto è la dichiarazione preventiva del criterio: quante unità, scelte come, su quale arco cronologico, con quale regola per gli imprevisti. Un campione dichiarato consente a chiunque di replicare lo spoglio e di contestarne la rappresentatività; un campione taciuto rende non verificabile qualunque affermazione di regolarità se ne tragga, per quanto accurata sia stata la lettura.</w:t>
      </w:r>
    </w:p>
    <w:p>
      <w:pPr>
        <w:spacing w:after="120" w:line="276"/>
        <w:jc w:val="both"/>
      </w:pPr>
      <w:r>
        <w:rPr>
          <w:rFonts w:ascii="Barlow Semi Condensed" w:cs="Barlow Semi Condensed" w:eastAsia="Barlow Semi Condensed" w:hAnsi="Barlow Semi Condensed"/>
          <w:b/>
          <w:bCs/>
          <w:sz w:val="24"/>
          <w:szCs w:val="24"/>
        </w:rPr>
        <w:t xml:space="preserve">834 · Il registro di protocollo.</w:t>
      </w:r>
      <w:r>
        <w:rPr>
          <w:rFonts w:ascii="Barlow Semi Condensed" w:cs="Barlow Semi Condensed" w:eastAsia="Barlow Semi Condensed" w:hAnsi="Barlow Semi Condensed"/>
          <w:sz w:val="24"/>
          <w:szCs w:val="24"/>
        </w:rPr>
        <w:t xml:space="preserve"> È la fonte più trascurata e la più adatta: registra ciò che entrò e uscì da un ufficio, con data, mittente e oggetto sintetico. Non dice che cosa i documenti contenessero, ma disegna la forma del flusso — e la forma del flusso è la prassi. Bersaglio: per gli uffici rilevanti, verificare la sopravvivenza dei registri di protocollo del 1977-1978, il loro stato di consultabilità e le eventuali lacune.</w:t>
      </w:r>
    </w:p>
    <w:p>
      <w:pPr>
        <w:spacing w:after="120" w:line="276"/>
        <w:jc w:val="both"/>
      </w:pPr>
      <w:r>
        <w:rPr>
          <w:rFonts w:ascii="Barlow Semi Condensed" w:cs="Barlow Semi Condensed" w:eastAsia="Barlow Semi Condensed" w:hAnsi="Barlow Semi Condensed"/>
          <w:b/>
          <w:bCs/>
          <w:sz w:val="24"/>
          <w:szCs w:val="24"/>
        </w:rPr>
        <w:t xml:space="preserve">835 · Il titolario come prassi fossile.</w:t>
      </w:r>
      <w:r>
        <w:rPr>
          <w:rFonts w:ascii="Barlow Semi Condensed" w:cs="Barlow Semi Condensed" w:eastAsia="Barlow Semi Condensed" w:hAnsi="Barlow Semi Condensed"/>
          <w:sz w:val="24"/>
          <w:szCs w:val="24"/>
        </w:rPr>
        <w:t xml:space="preserve"> Il piano di classificazione di un ufficio è una prassi congelata: le sue voci dicono che cosa quell'ufficio prevedeva di dover trattare, e le voci aggiunte o soppresse dicono quando la previsione cambiò. Studiare i titolari degli uffici coinvolti, con le loro revisioni datate, è un accertamento a basso costo che nessuna ricostruzione del caso ha compiuto. Restituisce l'organizzazione mentale dell'amministrazione, non le sue decisioni: la distinzione va tenuta ferma.</w:t>
      </w:r>
    </w:p>
    <w:p>
      <w:pPr>
        <w:spacing w:after="120" w:line="276"/>
        <w:jc w:val="both"/>
      </w:pPr>
      <w:r>
        <w:rPr>
          <w:rFonts w:ascii="Barlow Semi Condensed" w:cs="Barlow Semi Condensed" w:eastAsia="Barlow Semi Condensed" w:hAnsi="Barlow Semi Condensed"/>
          <w:b/>
          <w:bCs/>
          <w:sz w:val="24"/>
          <w:szCs w:val="24"/>
        </w:rPr>
        <w:t xml:space="preserve">836 · Gli scarti e il massimario.</w:t>
      </w:r>
      <w:r>
        <w:rPr>
          <w:rFonts w:ascii="Barlow Semi Condensed" w:cs="Barlow Semi Condensed" w:eastAsia="Barlow Semi Condensed" w:hAnsi="Barlow Semi Condensed"/>
          <w:sz w:val="24"/>
          <w:szCs w:val="24"/>
        </w:rPr>
        <w:t xml:space="preserve"> Ciò che è stato distrutto lo è quasi sempre in esecuzione di un piano di conservazione: il massimario di scarto dice, per categoria, che cosa si eliminava e dopo quanti anni. È la fonte che trasforma molti vuoti da misteri in atti amministrativi ordinari. Quesito: reperire i massimari applicati dagli uffici rilevanti negli anni Settanta e Ottanta, e confrontarli con le lacune effettivamente riscontrate nei fondi versati.</w:t>
      </w:r>
    </w:p>
    <w:p>
      <w:pPr>
        <w:spacing w:after="120" w:line="276"/>
        <w:jc w:val="both"/>
      </w:pPr>
      <w:r>
        <w:rPr>
          <w:rFonts w:ascii="Barlow Semi Condensed" w:cs="Barlow Semi Condensed" w:eastAsia="Barlow Semi Condensed" w:hAnsi="Barlow Semi Condensed"/>
          <w:b/>
          <w:bCs/>
          <w:sz w:val="24"/>
          <w:szCs w:val="24"/>
        </w:rPr>
        <w:t xml:space="preserve">837 · L'archivista come fonte.</w:t>
      </w:r>
      <w:r>
        <w:rPr>
          <w:rFonts w:ascii="Barlow Semi Condensed" w:cs="Barlow Semi Condensed" w:eastAsia="Barlow Semi Condensed" w:hAnsi="Barlow Semi Condensed"/>
          <w:sz w:val="24"/>
          <w:szCs w:val="24"/>
        </w:rPr>
        <w:t xml:space="preserve"> Chi conserva un fondo conosce le prassi dell'ente produttore meglio di ogni inventario, e la sua risposta è una fonte a tutti gli effetti: si acquisisce per iscritto, si cita con nome, sede e data, e si grada come dichiarazione qualificata di un tecnico, non come accertamento. È il modo più rapido di sapere se una serie sia mai esistita, e va tenuto distinto dalla verifica sulle carte, che resta necessaria.</w:t>
      </w:r>
    </w:p>
    <w:p>
      <w:pPr>
        <w:spacing w:after="120" w:line="276"/>
        <w:jc w:val="both"/>
      </w:pPr>
      <w:r>
        <w:rPr>
          <w:rFonts w:ascii="Barlow Semi Condensed" w:cs="Barlow Semi Condensed" w:eastAsia="Barlow Semi Condensed" w:hAnsi="Barlow Semi Condensed"/>
          <w:b/>
          <w:bCs/>
          <w:sz w:val="24"/>
          <w:szCs w:val="24"/>
        </w:rPr>
        <w:t xml:space="preserve">838 · Il diniego scritto è un'acquisizione.</w:t>
      </w:r>
      <w:r>
        <w:rPr>
          <w:rFonts w:ascii="Barlow Semi Condensed" w:cs="Barlow Semi Condensed" w:eastAsia="Barlow Semi Condensed" w:hAnsi="Barlow Semi Condensed"/>
          <w:sz w:val="24"/>
          <w:szCs w:val="24"/>
        </w:rPr>
        <w:t xml:space="preserve"> La verbalizzazione totale prescritta dal blocco 33 del manuale vale qui in pieno: si mette a registro anche la telefonata all'archivio che risponde «non abbiamo nulla», e si chiede che la risposta sia messa per iscritto. Un diniego motivato dichiara la norma che lo fonda e apre, dove esiste, la via del ricorso. Una ricerca sulle prassi che non produca un fascicolo di risposte negative non è stata condotta.</w:t>
      </w:r>
    </w:p>
    <w:p>
      <w:pPr>
        <w:spacing w:after="120" w:line="276"/>
        <w:jc w:val="both"/>
      </w:pPr>
      <w:r>
        <w:rPr>
          <w:rFonts w:ascii="Barlow Semi Condensed" w:cs="Barlow Semi Condensed" w:eastAsia="Barlow Semi Condensed" w:hAnsi="Barlow Semi Condensed"/>
          <w:b/>
          <w:bCs/>
          <w:sz w:val="24"/>
          <w:szCs w:val="24"/>
        </w:rPr>
        <w:t xml:space="preserve">839 · L'enunciato del divieto.</w:t>
      </w:r>
      <w:r>
        <w:rPr>
          <w:rFonts w:ascii="Barlow Semi Condensed" w:cs="Barlow Semi Condensed" w:eastAsia="Barlow Semi Condensed" w:hAnsi="Barlow Semi Condensed"/>
          <w:sz w:val="24"/>
          <w:szCs w:val="24"/>
        </w:rPr>
        <w:t xml:space="preserve"> Dall'esito non si risale alla regola che lo produsse. Molte prassi diverse sono compatibili con lo stesso risultato, e lo stesso risultato è compatibile con l'assenza di qualunque prassi. L'inferenza legittima corre nella direzione opposta: documentata la prassi, se ne verificano gli effetti attesi negli atti. Chi parte dal risultato sta scrivendo una spiegazione; chi parte dagli atti sta documentando. La serie non ammette la prima operazione, in nessuna forma.</w:t>
      </w:r>
    </w:p>
    <w:p>
      <w:pPr>
        <w:spacing w:after="120" w:line="276"/>
        <w:jc w:val="both"/>
      </w:pPr>
      <w:r>
        <w:rPr>
          <w:rFonts w:ascii="Barlow Semi Condensed" w:cs="Barlow Semi Condensed" w:eastAsia="Barlow Semi Condensed" w:hAnsi="Barlow Semi Condensed"/>
          <w:b/>
          <w:bCs/>
          <w:sz w:val="24"/>
          <w:szCs w:val="24"/>
        </w:rPr>
        <w:t xml:space="preserve">840 · Il senno di poi.</w:t>
      </w:r>
      <w:r>
        <w:rPr>
          <w:rFonts w:ascii="Barlow Semi Condensed" w:cs="Barlow Semi Condensed" w:eastAsia="Barlow Semi Condensed" w:hAnsi="Barlow Semi Condensed"/>
          <w:sz w:val="24"/>
          <w:szCs w:val="24"/>
        </w:rPr>
        <w:t xml:space="preserve"> Il bias retrospettivo agisce esattamente qui: conoscendo l'esito, ogni passaggio che vi conduce appare selezionato e ogni omissione appare mirata. L'antidoto è procedurale e va applicato per intero: si ricostruisce lo stato delle conoscenze disponibili a ciascuna data, senza mai usare informazioni acquisite dopo, e si valuta la condotta soltanto contro quello stato. Ogni valutazione che impieghi dati posteriori alla decisione è nulla, per quanto persuasiva risulti a chi legge.</w:t>
      </w:r>
    </w:p>
    <w:p>
      <w:pPr>
        <w:spacing w:after="120" w:line="276"/>
        <w:jc w:val="both"/>
      </w:pPr>
      <w:r>
        <w:rPr>
          <w:rFonts w:ascii="Barlow Semi Condensed" w:cs="Barlow Semi Condensed" w:eastAsia="Barlow Semi Condensed" w:hAnsi="Barlow Semi Condensed"/>
          <w:b/>
          <w:bCs/>
          <w:sz w:val="24"/>
          <w:szCs w:val="24"/>
        </w:rPr>
        <w:t xml:space="preserve">841 · L'ACH applicata alla prassi.</w:t>
      </w:r>
      <w:r>
        <w:rPr>
          <w:rFonts w:ascii="Barlow Semi Condensed" w:cs="Barlow Semi Condensed" w:eastAsia="Barlow Semi Condensed" w:hAnsi="Barlow Semi Condensed"/>
          <w:sz w:val="24"/>
          <w:szCs w:val="24"/>
        </w:rPr>
        <w:t xml:space="preserve"> Il quesito si scrive come matrice: quali prassi alternative sono compatibili con gli atti disponibili, e quale evidenza sarebbe incompatibile con almeno una. L'evidenza discriminante, per una prassi, non è mai un esito: è un documento — una circolare, un modulo, un verbale di consegne, una serie completa. Se nessuna evidenza discriminante è concepibile, il quesito non è un quesito e va riformulato o dichiarato indecidibile allo stato degli atti.</w:t>
      </w:r>
    </w:p>
    <w:p>
      <w:pPr>
        <w:spacing w:after="120" w:line="276"/>
        <w:jc w:val="both"/>
      </w:pPr>
      <w:r>
        <w:rPr>
          <w:rFonts w:ascii="Barlow Semi Condensed" w:cs="Barlow Semi Condensed" w:eastAsia="Barlow Semi Condensed" w:hAnsi="Barlow Semi Condensed"/>
          <w:b/>
          <w:bCs/>
          <w:sz w:val="24"/>
          <w:szCs w:val="24"/>
        </w:rPr>
        <w:t xml:space="preserve">842 · La prassi come ipotesi, non premessa.</w:t>
      </w:r>
      <w:r>
        <w:rPr>
          <w:rFonts w:ascii="Barlow Semi Condensed" w:cs="Barlow Semi Condensed" w:eastAsia="Barlow Semi Condensed" w:hAnsi="Barlow Semi Condensed"/>
          <w:sz w:val="24"/>
          <w:szCs w:val="24"/>
        </w:rPr>
        <w:t xml:space="preserve"> Il blocco 55 del manuale tratta il tiratore d'eccezione come ipotesi fra le ipotesi, mai come premessa; identico trattamento spetta a ogni prassi supposta. Entra nella matrice, non nella cornice del ragionamento. Il segnale che la regola è stata violata è linguistico e riconoscibile: quando un testo comincia a scrivere «come da prassi» senza rinvio documentale, la premessa è già diventata conclusione, e l'intero ragionamento va rifatto da capo.</w:t>
      </w:r>
    </w:p>
    <w:p>
      <w:pPr>
        <w:spacing w:after="120" w:line="276"/>
        <w:jc w:val="both"/>
      </w:pPr>
      <w:r>
        <w:rPr>
          <w:rFonts w:ascii="Barlow Semi Condensed" w:cs="Barlow Semi Condensed" w:eastAsia="Barlow Semi Condensed" w:hAnsi="Barlow Semi Condensed"/>
          <w:b/>
          <w:bCs/>
          <w:sz w:val="24"/>
          <w:szCs w:val="24"/>
        </w:rPr>
        <w:t xml:space="preserve">843 · Negligenza e dolo, ripresa epigenetica.</w:t>
      </w:r>
      <w:r>
        <w:rPr>
          <w:rFonts w:ascii="Barlow Semi Condensed" w:cs="Barlow Semi Condensed" w:eastAsia="Barlow Semi Condensed" w:hAnsi="Barlow Semi Condensed"/>
          <w:sz w:val="24"/>
          <w:szCs w:val="24"/>
        </w:rPr>
        <w:t xml:space="preserve"> Il blocco 17 del manuale fissa la regola: la negligenza non diventa dolo per impazienza, e solo le carte discriminano. La lente epigenetica la rafforza, perché offre una terza spiegazione alle ricorrenze — l'abitudine trasmessa — che non è né distrazione individuale né disegno. Averla disponibile impedisce il salto binario. Ma la terza spiegazione va provata come le altre due, e non può diventare un rifugio comodo per l'indecisione.</w:t>
      </w:r>
    </w:p>
    <w:p>
      <w:pPr>
        <w:spacing w:after="120" w:line="276"/>
        <w:jc w:val="both"/>
      </w:pPr>
      <w:r>
        <w:rPr>
          <w:rFonts w:ascii="Barlow Semi Condensed" w:cs="Barlow Semi Condensed" w:eastAsia="Barlow Semi Condensed" w:hAnsi="Barlow Semi Condensed"/>
          <w:b/>
          <w:bCs/>
          <w:sz w:val="24"/>
          <w:szCs w:val="24"/>
        </w:rPr>
        <w:t xml:space="preserve">844 · Il divieto vale anche al rovescio.</w:t>
      </w:r>
      <w:r>
        <w:rPr>
          <w:rFonts w:ascii="Barlow Semi Condensed" w:cs="Barlow Semi Condensed" w:eastAsia="Barlow Semi Condensed" w:hAnsi="Barlow Semi Condensed"/>
          <w:sz w:val="24"/>
          <w:szCs w:val="24"/>
        </w:rPr>
        <w:t xml:space="preserve"> Come non si deduce una prassi da un esito cattivo, non se ne deduce l'assenza da un esito buono. L'asimmetria va dichiarata perché la tentazione opera in entrambe le direzioni: la dietrologia legge ogni fallimento come regola nascosta, il riduzionismo legge ogni successo come prova che nessuna regola esisteva. Le due letture condividono lo stesso vizio logico, e il corpus le respinge con il medesimo argomento.</w:t>
      </w:r>
    </w:p>
    <w:p>
      <w:pPr>
        <w:spacing w:after="120" w:line="276"/>
        <w:jc w:val="both"/>
      </w:pPr>
      <w:r>
        <w:rPr>
          <w:rFonts w:ascii="Barlow Semi Condensed" w:cs="Barlow Semi Condensed" w:eastAsia="Barlow Semi Condensed" w:hAnsi="Barlow Semi Condensed"/>
          <w:b/>
          <w:bCs/>
          <w:sz w:val="24"/>
          <w:szCs w:val="24"/>
        </w:rPr>
        <w:t xml:space="preserve">845 · Il programma che sopravvive ai suoi autori.</w:t>
      </w:r>
      <w:r>
        <w:rPr>
          <w:rFonts w:ascii="Barlow Semi Condensed" w:cs="Barlow Semi Condensed" w:eastAsia="Barlow Semi Condensed" w:hAnsi="Barlow Semi Condensed"/>
          <w:sz w:val="24"/>
          <w:szCs w:val="24"/>
        </w:rPr>
        <w:t xml:space="preserve"> Fatti pubblici, grado F: la riunione del Comitato dei 303 dell'11 marzo 1969 (FRUS vol. XLI, doc. 180), l'istruzione di Nixon del dicembre 1969 per uno studio sull'Italia (doc. 188), il riemergere del programma di azione coperta nel novembre 1975 e nel luglio 1976. Letta con la lente, è una linea che attraversa amministrazioni e titolari diversi. Che attraversi non significa che sia la stessa cosa: ogni riemersione va documentata per sé.</w:t>
      </w:r>
    </w:p>
    <w:p>
      <w:pPr>
        <w:spacing w:after="120" w:line="276"/>
        <w:jc w:val="both"/>
      </w:pPr>
      <w:r>
        <w:rPr>
          <w:rFonts w:ascii="Barlow Semi Condensed" w:cs="Barlow Semi Condensed" w:eastAsia="Barlow Semi Condensed" w:hAnsi="Barlow Semi Condensed"/>
          <w:b/>
          <w:bCs/>
          <w:sz w:val="24"/>
          <w:szCs w:val="24"/>
        </w:rPr>
        <w:t xml:space="preserve">846 · La prassi precede la persona.</w:t>
      </w:r>
      <w:r>
        <w:rPr>
          <w:rFonts w:ascii="Barlow Semi Condensed" w:cs="Barlow Semi Condensed" w:eastAsia="Barlow Semi Condensed" w:hAnsi="Barlow Semi Condensed"/>
          <w:sz w:val="24"/>
          <w:szCs w:val="24"/>
        </w:rPr>
        <w:t xml:space="preserve"> La riunione dell'11 marzo 1969 è anteriore all'insediamento di Moro alla Farnesina, avvenuto il 5 agosto 1969. La precedenza cronologica è un fatto e serve a una sola cosa: escludere che quella decisione riguardasse un ministro non ancora in carica. Vale qui integralmente la regola per cui la contemporaneità non è prova di nesso, e la sua conseguenza meno citata, che nemmeno la successione lo è.</w:t>
      </w:r>
    </w:p>
    <w:p>
      <w:pPr>
        <w:spacing w:after="120" w:line="276"/>
        <w:jc w:val="both"/>
      </w:pPr>
      <w:r>
        <w:rPr>
          <w:rFonts w:ascii="Barlow Semi Condensed" w:cs="Barlow Semi Condensed" w:eastAsia="Barlow Semi Condensed" w:hAnsi="Barlow Semi Condensed"/>
          <w:b/>
          <w:bCs/>
          <w:sz w:val="24"/>
          <w:szCs w:val="24"/>
        </w:rPr>
        <w:t xml:space="preserve">847 · Espressione differenziale secondo l'ambiente (serie XI).</w:t>
      </w:r>
      <w:r>
        <w:rPr>
          <w:rFonts w:ascii="Barlow Semi Condensed" w:cs="Barlow Semi Condensed" w:eastAsia="Barlow Semi Condensed" w:hAnsi="Barlow Semi Condensed"/>
          <w:sz w:val="24"/>
          <w:szCs w:val="24"/>
        </w:rPr>
        <w:t xml:space="preserve"> Il memorandum Nixon-Spinola delle Azzorre del 19 giugno 1974 e la preoccupazione documentata per un «leftist neutralist regime» a Lisbona mostrano un medesimo orientamento dottrinale che assume forme diverse a Lisbona, ad Atene, a Madrid, a Bonn. La lente chiama questo espressione differenziale, ed è descrizione utile al secondo piano: convergenza entro la stessa cornice. Diventa illecita quando si usa per inferire, da ciò che è documentato altrove, ciò che qui non lo è.</w:t>
      </w:r>
    </w:p>
    <w:p>
      <w:pPr>
        <w:spacing w:after="120" w:line="276"/>
        <w:jc w:val="both"/>
      </w:pPr>
      <w:r>
        <w:rPr>
          <w:rFonts w:ascii="Barlow Semi Condensed" w:cs="Barlow Semi Condensed" w:eastAsia="Barlow Semi Condensed" w:hAnsi="Barlow Semi Condensed"/>
          <w:b/>
          <w:bCs/>
          <w:sz w:val="24"/>
          <w:szCs w:val="24"/>
        </w:rPr>
        <w:t xml:space="preserve">848 · Il verbale registra la seduta, non il margine.</w:t>
      </w:r>
      <w:r>
        <w:rPr>
          <w:rFonts w:ascii="Barlow Semi Condensed" w:cs="Barlow Semi Condensed" w:eastAsia="Barlow Semi Condensed" w:hAnsi="Barlow Semi Condensed"/>
          <w:sz w:val="24"/>
          <w:szCs w:val="24"/>
        </w:rPr>
        <w:t xml:space="preserve"> Il memorandum of conversation dello Studio Ovale del 25 settembre 1974 (Ford Library doc. 1552802; FRUS 1969-1976, vol. E-15 parte 2, doc. 350) e il colloquio del 26 settembre (doc. 1552806) documentano posizioni ufficiali, come la linea sul PCI esposta a Ford alla vigilia; non documentano ciò che sarebbe stato detto a margine. È proprietà del tipo documentario, non lacuna sospetta: l'assenza di una frase a margine non la smentisce né la conferma.</w:t>
      </w:r>
    </w:p>
    <w:p>
      <w:pPr>
        <w:spacing w:after="120" w:line="276"/>
        <w:jc w:val="both"/>
      </w:pPr>
      <w:r>
        <w:rPr>
          <w:rFonts w:ascii="Barlow Semi Condensed" w:cs="Barlow Semi Condensed" w:eastAsia="Barlow Semi Condensed" w:hAnsi="Barlow Semi Condensed"/>
          <w:b/>
          <w:bCs/>
          <w:sz w:val="24"/>
          <w:szCs w:val="24"/>
        </w:rPr>
        <w:t xml:space="preserve">849 · La testimonianza contestata resta tale.</w:t>
      </w:r>
      <w:r>
        <w:rPr>
          <w:rFonts w:ascii="Barlow Semi Condensed" w:cs="Barlow Semi Condensed" w:eastAsia="Barlow Semi Condensed" w:hAnsi="Barlow Semi Condensed"/>
          <w:sz w:val="24"/>
          <w:szCs w:val="24"/>
        </w:rPr>
        <w:t xml:space="preserve"> L'avvertimento riferito da Corrado Guerzoni — che depose de relato, non essendo presente — e confermato in sede parlamentare da Eleonora Chiavarelli Moro è stato sempre smentito da Kissinger. Le fonti divergono su data e luogo: la divergenza si riporta e non si risolve d'ufficio. Grado B debole, testimonianza contestata, mai da dare per accertata. Henry Alfred Kissinger (1923-2023) non fu condannato in alcun processo e l'episodio non formò mai oggetto d'imputazione.</w:t>
      </w:r>
    </w:p>
    <w:p>
      <w:pPr>
        <w:spacing w:after="120" w:line="276"/>
        <w:jc w:val="both"/>
      </w:pPr>
      <w:r>
        <w:rPr>
          <w:rFonts w:ascii="Barlow Semi Condensed" w:cs="Barlow Semi Condensed" w:eastAsia="Barlow Semi Condensed" w:hAnsi="Barlow Semi Condensed"/>
          <w:b/>
          <w:bCs/>
          <w:sz w:val="24"/>
          <w:szCs w:val="24"/>
        </w:rPr>
        <w:t xml:space="preserve">850 · Congedo della serie undicesima.</w:t>
      </w:r>
      <w:r>
        <w:rPr>
          <w:rFonts w:ascii="Barlow Semi Condensed" w:cs="Barlow Semi Condensed" w:eastAsia="Barlow Semi Condensed" w:hAnsi="Barlow Semi Condensed"/>
          <w:sz w:val="24"/>
          <w:szCs w:val="24"/>
        </w:rPr>
        <w:t xml:space="preserve"> Ciò che si eredita senza essere scritto si può documentare: non per inferenza, non dal risultato, non dalla somiglianza, ma per serie, veicoli e sedi d'archivio nominate. Dove la documentazione manca, la serie ha prodotto Stati Zero, che sono acquisizioni di pieno valore. La lente genetica è servita a formulare domande più precise e si ferma qui, dove comincerebbe il determinismo. Il fascicolo, come deve, resta aperto.</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Serie dodicesima — La filogenesi del caso Moro</w:t>
      </w:r>
    </w:p>
    <w:p>
      <w:pPr>
        <w:spacing w:after="120" w:line="276"/>
        <w:jc w:val="both"/>
      </w:pPr>
      <w:r>
        <w:rPr>
          <w:rFonts w:ascii="Barlow Semi Condensed" w:cs="Barlow Semi Condensed" w:eastAsia="Barlow Semi Condensed" w:hAnsi="Barlow Semi Condensed"/>
          <w:i/>
          <w:iCs/>
          <w:sz w:val="24"/>
          <w:szCs w:val="24"/>
        </w:rPr>
        <w:t xml:space="preserve">Blocchi 851-940.</w:t>
      </w:r>
    </w:p>
    <w:p>
      <w:pPr>
        <w:spacing w:after="120" w:line="276"/>
        <w:jc w:val="both"/>
      </w:pPr>
      <w:r>
        <w:rPr>
          <w:rFonts w:ascii="Barlow Semi Condensed" w:cs="Barlow Semi Condensed" w:eastAsia="Barlow Semi Condensed" w:hAnsi="Barlow Semi Condensed"/>
          <w:b/>
          <w:bCs/>
          <w:sz w:val="24"/>
          <w:szCs w:val="24"/>
        </w:rPr>
        <w:t xml:space="preserve">851 · Ricostruire l'albero, non decretarlo.</w:t>
      </w:r>
      <w:r>
        <w:rPr>
          <w:rFonts w:ascii="Barlow Semi Condensed" w:cs="Barlow Semi Condensed" w:eastAsia="Barlow Semi Condensed" w:hAnsi="Barlow Semi Condensed"/>
          <w:sz w:val="24"/>
          <w:szCs w:val="24"/>
        </w:rPr>
        <w:t xml:space="preserve"> Un albero filogenetico non è una sentenza sulla parentela: è un'ipotesi sostenuta da caratteri e rovesciabile da caratteri nuovi. Portata al versante internazionale del caso Moro, la regola vieta di stabilire discendenze e obbliga a proporre raggruppamenti provvisori fra documenti, dichiarandoli e lasciandoli esposti alla smentita. La serie che comincia qui costruisce un albero di quesiti, non una genealogia di responsabilità.</w:t>
      </w:r>
    </w:p>
    <w:p>
      <w:pPr>
        <w:spacing w:after="120" w:line="276"/>
        <w:jc w:val="both"/>
      </w:pPr>
      <w:r>
        <w:rPr>
          <w:rFonts w:ascii="Barlow Semi Condensed" w:cs="Barlow Semi Condensed" w:eastAsia="Barlow Semi Condensed" w:hAnsi="Barlow Semi Condensed"/>
          <w:b/>
          <w:bCs/>
          <w:sz w:val="24"/>
          <w:szCs w:val="24"/>
        </w:rPr>
        <w:t xml:space="preserve">852 · Omologia contro analogia (serie XII).</w:t>
      </w:r>
      <w:r>
        <w:rPr>
          <w:rFonts w:ascii="Barlow Semi Condensed" w:cs="Barlow Semi Condensed" w:eastAsia="Barlow Semi Condensed" w:hAnsi="Barlow Semi Condensed"/>
          <w:sz w:val="24"/>
          <w:szCs w:val="24"/>
        </w:rPr>
        <w:t xml:space="preserve"> In biologia comparata l'omologia è somiglianza per discendenza comune, l'analogia somiglianza per pressione ambientale simile: l'ala del pipistrello e quella dell'insetto si somigliano senza avere origine comune. Tradotta nell'apparato del corpus, l'omologia è il piano uno, il rapporto diretto documentato; l'analogia è il piano due, la convergenza entro la stessa cornice. Confonderle è l'errore che genera quasi per intero la pubblicistica atlantica sul caso.</w:t>
      </w:r>
    </w:p>
    <w:p>
      <w:pPr>
        <w:spacing w:after="120" w:line="276"/>
        <w:jc w:val="both"/>
      </w:pPr>
      <w:r>
        <w:rPr>
          <w:rFonts w:ascii="Barlow Semi Condensed" w:cs="Barlow Semi Condensed" w:eastAsia="Barlow Semi Condensed" w:hAnsi="Barlow Semi Condensed"/>
          <w:b/>
          <w:bCs/>
          <w:sz w:val="24"/>
          <w:szCs w:val="24"/>
        </w:rPr>
        <w:t xml:space="preserve">853 · Il carattere derivato condiviso.</w:t>
      </w:r>
      <w:r>
        <w:rPr>
          <w:rFonts w:ascii="Barlow Semi Condensed" w:cs="Barlow Semi Condensed" w:eastAsia="Barlow Semi Condensed" w:hAnsi="Barlow Semi Condensed"/>
          <w:sz w:val="24"/>
          <w:szCs w:val="24"/>
        </w:rPr>
        <w:t xml:space="preserve"> La sistematica non raggruppa per somiglianza generica ma per carattere derivato condiviso: ciò che due rami hanno insieme e che l'antenato non aveva. Che Washington e le Brigate rosse considerassero avversaria la solidarietà nazionale è un tratto troppo diffuso per raggruppare alcunché, perché lo condividevano decine di soggetti fra loro estranei. Servirebbe un tratto specifico e datato: un atto, un contatto, un canale. I documenti non lo hanno consegnato.</w:t>
      </w:r>
    </w:p>
    <w:p>
      <w:pPr>
        <w:spacing w:after="120" w:line="276"/>
        <w:jc w:val="both"/>
      </w:pPr>
      <w:r>
        <w:rPr>
          <w:rFonts w:ascii="Barlow Semi Condensed" w:cs="Barlow Semi Condensed" w:eastAsia="Barlow Semi Condensed" w:hAnsi="Barlow Semi Condensed"/>
          <w:b/>
          <w:bCs/>
          <w:sz w:val="24"/>
          <w:szCs w:val="24"/>
        </w:rPr>
        <w:t xml:space="preserve">854 · La convergenza evolutiva come falso ponte.</w:t>
      </w:r>
      <w:r>
        <w:rPr>
          <w:rFonts w:ascii="Barlow Semi Condensed" w:cs="Barlow Semi Condensed" w:eastAsia="Barlow Semi Condensed" w:hAnsi="Barlow Semi Condensed"/>
          <w:sz w:val="24"/>
          <w:szCs w:val="24"/>
        </w:rPr>
        <w:t xml:space="preserve"> L'evoluzione produce forme simili in linee lontanissime: l'occhio del polpo e quello dei vertebrati non hanno un antenato comune vedente. È la lezione più severa per chi legge il 1978, perché la somiglianza cresce proprio dove la pressione selettiva è identica, e qui la pressione era una sola, il conflitto bipolare combattuto dentro le società. Somiglianza altissima, parentela nulla: capita in natura e capita negli archivi.</w:t>
      </w:r>
    </w:p>
    <w:p>
      <w:pPr>
        <w:spacing w:after="120" w:line="276"/>
        <w:jc w:val="both"/>
      </w:pPr>
      <w:r>
        <w:rPr>
          <w:rFonts w:ascii="Barlow Semi Condensed" w:cs="Barlow Semi Condensed" w:eastAsia="Barlow Semi Condensed" w:hAnsi="Barlow Semi Condensed"/>
          <w:b/>
          <w:bCs/>
          <w:sz w:val="24"/>
          <w:szCs w:val="24"/>
        </w:rPr>
        <w:t xml:space="preserve">855 · L'outgroup, ovvero il caso di controllo.</w:t>
      </w:r>
      <w:r>
        <w:rPr>
          <w:rFonts w:ascii="Barlow Semi Condensed" w:cs="Barlow Semi Condensed" w:eastAsia="Barlow Semi Condensed" w:hAnsi="Barlow Semi Condensed"/>
          <w:sz w:val="24"/>
          <w:szCs w:val="24"/>
        </w:rPr>
        <w:t xml:space="preserve"> Per orientare un albero il sistematico usa un gruppo esterno, estraneo al problema, che distingue ciò che è antico da ciò che è recente. Il corpus ne dispone: il sequestro Schleyer del 1977, osservato dallo stesso campo alleato e gestito in modo opposto, che i nove cantieri censiscono al blocco 141. Un caso gemello trattato diversamente misura quanto della vicenda italiana sia struttura e quanto sia scelta.</w:t>
      </w:r>
    </w:p>
    <w:p>
      <w:pPr>
        <w:spacing w:after="120" w:line="276"/>
        <w:jc w:val="both"/>
      </w:pPr>
      <w:r>
        <w:rPr>
          <w:rFonts w:ascii="Barlow Semi Condensed" w:cs="Barlow Semi Condensed" w:eastAsia="Barlow Semi Condensed" w:hAnsi="Barlow Semi Condensed"/>
          <w:b/>
          <w:bCs/>
          <w:sz w:val="24"/>
          <w:szCs w:val="24"/>
        </w:rPr>
        <w:t xml:space="preserve">856 · La politomia dichiarata.</w:t>
      </w:r>
      <w:r>
        <w:rPr>
          <w:rFonts w:ascii="Barlow Semi Condensed" w:cs="Barlow Semi Condensed" w:eastAsia="Barlow Semi Condensed" w:hAnsi="Barlow Semi Condensed"/>
          <w:sz w:val="24"/>
          <w:szCs w:val="24"/>
        </w:rPr>
        <w:t xml:space="preserve"> Quando i caratteri non bastano a risolvere l'ordine dei rami, la filogenesi lascia una politomia: un nodo da cui partono più linee senza gerarchia fra loro. Non è una lacuna vergognosa, è un risultato pubblicabile. Nel corpus quel risultato ha già un nome, lo Stato Zero della Fase sesta: cercato e non trovato. Un albero irrisolto e dichiarato vale più di un albero risolto per gusto.</w:t>
      </w:r>
    </w:p>
    <w:p>
      <w:pPr>
        <w:spacing w:after="120" w:line="276"/>
        <w:jc w:val="both"/>
      </w:pPr>
      <w:r>
        <w:rPr>
          <w:rFonts w:ascii="Barlow Semi Condensed" w:cs="Barlow Semi Condensed" w:eastAsia="Barlow Semi Condensed" w:hAnsi="Barlow Semi Condensed"/>
          <w:b/>
          <w:bCs/>
          <w:sz w:val="24"/>
          <w:szCs w:val="24"/>
        </w:rPr>
        <w:t xml:space="preserve">857 · Nessuna colpa è ereditaria.</w:t>
      </w:r>
      <w:r>
        <w:rPr>
          <w:rFonts w:ascii="Barlow Semi Condensed" w:cs="Barlow Semi Condensed" w:eastAsia="Barlow Semi Condensed" w:hAnsi="Barlow Semi Condensed"/>
          <w:sz w:val="24"/>
          <w:szCs w:val="24"/>
        </w:rPr>
        <w:t xml:space="preserve"> La metafora genetica ha un punto in cui va fermata, ed è questo: da un lignaggio non discende una responsabilità. Nessuno risponde di ciò che una scuola, un ufficio o una dottrina hanno prodotto altrove e prima. La regola del corpus lo dice senza bisogno di biologia — l'appartenenza a un'organizzazione non è prova di condotta — e la biologia le presta la parola, mai il salto.</w:t>
      </w:r>
    </w:p>
    <w:p>
      <w:pPr>
        <w:spacing w:after="120" w:line="276"/>
        <w:jc w:val="both"/>
      </w:pPr>
      <w:r>
        <w:rPr>
          <w:rFonts w:ascii="Barlow Semi Condensed" w:cs="Barlow Semi Condensed" w:eastAsia="Barlow Semi Condensed" w:hAnsi="Barlow Semi Condensed"/>
          <w:b/>
          <w:bCs/>
          <w:sz w:val="24"/>
          <w:szCs w:val="24"/>
        </w:rPr>
        <w:t xml:space="preserve">858 · Dove la metafora si arresta.</w:t>
      </w:r>
      <w:r>
        <w:rPr>
          <w:rFonts w:ascii="Barlow Semi Condensed" w:cs="Barlow Semi Condensed" w:eastAsia="Barlow Semi Condensed" w:hAnsi="Barlow Semi Condensed"/>
          <w:sz w:val="24"/>
          <w:szCs w:val="24"/>
        </w:rPr>
        <w:t xml:space="preserve"> Un codice non decide un destino: lo stesso genotipo produce fenotipi diversi secondo l'ambiente, e nessuna genetica seria è deterministica. La lente serve a formulare domande più esatte su che cosa si trasmetta, per quali vie e con quali errori di copia; cessa di servire nell'istante in cui suggerisce che un esito fosse scritto in anticipo. Dove spinge al determinismo, il blocco la ferma e resta il documento.</w:t>
      </w:r>
    </w:p>
    <w:p>
      <w:pPr>
        <w:spacing w:after="120" w:line="276"/>
        <w:jc w:val="both"/>
      </w:pPr>
      <w:r>
        <w:rPr>
          <w:rFonts w:ascii="Barlow Semi Condensed" w:cs="Barlow Semi Condensed" w:eastAsia="Barlow Semi Condensed" w:hAnsi="Barlow Semi Condensed"/>
          <w:b/>
          <w:bCs/>
          <w:sz w:val="24"/>
          <w:szCs w:val="24"/>
        </w:rPr>
        <w:t xml:space="preserve">859 · La serie che torna a Moro.</w:t>
      </w:r>
      <w:r>
        <w:rPr>
          <w:rFonts w:ascii="Barlow Semi Condensed" w:cs="Barlow Semi Condensed" w:eastAsia="Barlow Semi Condensed" w:hAnsi="Barlow Semi Condensed"/>
          <w:sz w:val="24"/>
          <w:szCs w:val="24"/>
        </w:rPr>
        <w:t xml:space="preserve"> Le serie precedenti hanno seguito il codice e la sua trascrizione; questa lo riporta al punto in cui la triangolazione era nata, il caso Moro sul suo versante internazionale. Il compito è duplice e conviene dichiararlo: separare ciò che il corpus ha accertato da ciò che non ha accertato, e mostrare come si formula un quesito che non contenga già la risposta dentro la domanda.</w:t>
      </w:r>
    </w:p>
    <w:p>
      <w:pPr>
        <w:spacing w:after="120" w:line="276"/>
        <w:jc w:val="both"/>
      </w:pPr>
      <w:r>
        <w:rPr>
          <w:rFonts w:ascii="Barlow Semi Condensed" w:cs="Barlow Semi Condensed" w:eastAsia="Barlow Semi Condensed" w:hAnsi="Barlow Semi Condensed"/>
          <w:b/>
          <w:bCs/>
          <w:sz w:val="24"/>
          <w:szCs w:val="24"/>
        </w:rPr>
        <w:t xml:space="preserve">860 · Il pavimento internazionale accertato.</w:t>
      </w:r>
      <w:r>
        <w:rPr>
          <w:rFonts w:ascii="Barlow Semi Condensed" w:cs="Barlow Semi Condensed" w:eastAsia="Barlow Semi Condensed" w:hAnsi="Barlow Semi Condensed"/>
          <w:sz w:val="24"/>
          <w:szCs w:val="24"/>
        </w:rPr>
        <w:t xml:space="preserve"> Sul versante internazionale il corpus registra al grado più alto una sola classe di fatti: l'ostilità documentata di settori dell'alleanza atlantica all'ingresso dei comunisti nell'area di governo italiana, con i documenti che la attestano. È contesto accertato, non catena di comando, e la Parte terza lo scrive nella forma più netta di cui dispone: dal contesto ostile non discende il mandato.</w:t>
      </w:r>
    </w:p>
    <w:p>
      <w:pPr>
        <w:spacing w:after="120" w:line="276"/>
        <w:jc w:val="both"/>
      </w:pPr>
      <w:r>
        <w:rPr>
          <w:rFonts w:ascii="Barlow Semi Condensed" w:cs="Barlow Semi Condensed" w:eastAsia="Barlow Semi Condensed" w:hAnsi="Barlow Semi Condensed"/>
          <w:b/>
          <w:bCs/>
          <w:sz w:val="24"/>
          <w:szCs w:val="24"/>
        </w:rPr>
        <w:t xml:space="preserve">861 · Il memorandum del 25 settembre 1974 (serie XII).</w:t>
      </w:r>
      <w:r>
        <w:rPr>
          <w:rFonts w:ascii="Barlow Semi Condensed" w:cs="Barlow Semi Condensed" w:eastAsia="Barlow Semi Condensed" w:hAnsi="Barlow Semi Condensed"/>
          <w:sz w:val="24"/>
          <w:szCs w:val="24"/>
        </w:rPr>
        <w:t xml:space="preserve"> Fatto pubblico verificabile: il memorandum of conversation dello Studio Ovale fra Giovanni Leone, Aldo Moro, Gerald Ford e Henry Kissinger, con Brent Scowcroft, conservato alla Ford Library come documento 1552802 ed edito in FRUS 1969-1976, volume E-15 parte seconda, documento 350. Esiste, è integralmente disponibile ed è la fonte primaria meglio servita dell'intero versante. Si cita per ciò che dice, non per ciò che evoca.</w:t>
      </w:r>
    </w:p>
    <w:p>
      <w:pPr>
        <w:spacing w:after="120" w:line="276"/>
        <w:jc w:val="both"/>
      </w:pPr>
      <w:r>
        <w:rPr>
          <w:rFonts w:ascii="Barlow Semi Condensed" w:cs="Barlow Semi Condensed" w:eastAsia="Barlow Semi Condensed" w:hAnsi="Barlow Semi Condensed"/>
          <w:b/>
          <w:bCs/>
          <w:sz w:val="24"/>
          <w:szCs w:val="24"/>
        </w:rPr>
        <w:t xml:space="preserve">862 · Che cosa quel verbale non contiene.</w:t>
      </w:r>
      <w:r>
        <w:rPr>
          <w:rFonts w:ascii="Barlow Semi Condensed" w:cs="Barlow Semi Condensed" w:eastAsia="Barlow Semi Condensed" w:hAnsi="Barlow Semi Condensed"/>
          <w:sz w:val="24"/>
          <w:szCs w:val="24"/>
        </w:rPr>
        <w:t xml:space="preserve"> Il documento attesta la posizione statunitense sull'impossibilità di condividere informazioni militari con un governo comprendente i comunisti, e il rilievo che un partito comunista responsabile sarebbe più pericoloso di uno irresponsabile. Non contiene alcun ultimatum personale rivolto a Moro. L'assenza va enunciata con la stessa precisione della presenza, perché è un dato del documento e non una reticenza di chi lo legge.</w:t>
      </w:r>
    </w:p>
    <w:p>
      <w:pPr>
        <w:spacing w:after="120" w:line="276"/>
        <w:jc w:val="both"/>
      </w:pPr>
      <w:r>
        <w:rPr>
          <w:rFonts w:ascii="Barlow Semi Condensed" w:cs="Barlow Semi Condensed" w:eastAsia="Barlow Semi Condensed" w:hAnsi="Barlow Semi Condensed"/>
          <w:b/>
          <w:bCs/>
          <w:sz w:val="24"/>
          <w:szCs w:val="24"/>
        </w:rPr>
        <w:t xml:space="preserve">863 · Il colloquio del giorno dopo (serie XII).</w:t>
      </w:r>
      <w:r>
        <w:rPr>
          <w:rFonts w:ascii="Barlow Semi Condensed" w:cs="Barlow Semi Condensed" w:eastAsia="Barlow Semi Condensed" w:hAnsi="Barlow Semi Condensed"/>
          <w:sz w:val="24"/>
          <w:szCs w:val="24"/>
        </w:rPr>
        <w:t xml:space="preserve"> Il verbale dell'incontro del 26 settembre 1974 è parimenti disponibile alla Ford Library come documento 1552806 e appartiene al medesimo lotto. Il corpus lo registra come reperibile e non lo tratta come già letto: la ricognizione della Farnesina ne dichiara l'esistenza, non ne esaurisce lo spoglio. È un bersaglio aperto, e va indicato come tale invece di essere citato come se fosse stato spogliato.</w:t>
      </w:r>
    </w:p>
    <w:p>
      <w:pPr>
        <w:spacing w:after="120" w:line="276"/>
        <w:jc w:val="both"/>
      </w:pPr>
      <w:r>
        <w:rPr>
          <w:rFonts w:ascii="Barlow Semi Condensed" w:cs="Barlow Semi Condensed" w:eastAsia="Barlow Semi Condensed" w:hAnsi="Barlow Semi Condensed"/>
          <w:b/>
          <w:bCs/>
          <w:sz w:val="24"/>
          <w:szCs w:val="24"/>
        </w:rPr>
        <w:t xml:space="preserve">864 · La vigilia e la parola tough.</w:t>
      </w:r>
      <w:r>
        <w:rPr>
          <w:rFonts w:ascii="Barlow Semi Condensed" w:cs="Barlow Semi Condensed" w:eastAsia="Barlow Semi Condensed" w:hAnsi="Barlow Semi Condensed"/>
          <w:sz w:val="24"/>
          <w:szCs w:val="24"/>
        </w:rPr>
        <w:t xml:space="preserve"> Lo stesso lotto attesta che alla vigilia Kissinger disse a Ford che agli italiani andava detto duramente come qualunque presenza comunista al governo avrebbe mutato le relazioni, con una valutazione sul rischio di contagio in Francia, Germania e Grecia. È la posizione documentata di un uomo di governo su una linea politica: fatto pubblico pieno, di grado alto, e nulla di più di questo.</w:t>
      </w:r>
    </w:p>
    <w:p>
      <w:pPr>
        <w:spacing w:after="120" w:line="276"/>
        <w:jc w:val="both"/>
      </w:pPr>
      <w:r>
        <w:rPr>
          <w:rFonts w:ascii="Barlow Semi Condensed" w:cs="Barlow Semi Condensed" w:eastAsia="Barlow Semi Condensed" w:hAnsi="Barlow Semi Condensed"/>
          <w:b/>
          <w:bCs/>
          <w:sz w:val="24"/>
          <w:szCs w:val="24"/>
        </w:rPr>
        <w:t xml:space="preserve">865 · Il divieto dell'inferenza speculare.</w:t>
      </w:r>
      <w:r>
        <w:rPr>
          <w:rFonts w:ascii="Barlow Semi Condensed" w:cs="Barlow Semi Condensed" w:eastAsia="Barlow Semi Condensed" w:hAnsi="Barlow Semi Condensed"/>
          <w:sz w:val="24"/>
          <w:szCs w:val="24"/>
        </w:rPr>
        <w:t xml:space="preserve"> Il verbale del 25 settembre attesta la posizione di Kissinger sul PCI; non attesta una posizione di Moro sul medesimo punto in quella sede, e la ricognizione della Farnesina lo scrive per esteso. Che un interlocutore taccia a verbale non significa che consentisse né che dissentisse. Il silenzio a verbale è silenzio: non si converte in adesione, e nemmeno nel suo contrario.</w:t>
      </w:r>
    </w:p>
    <w:p>
      <w:pPr>
        <w:spacing w:after="120" w:line="276"/>
        <w:jc w:val="both"/>
      </w:pPr>
      <w:r>
        <w:rPr>
          <w:rFonts w:ascii="Barlow Semi Condensed" w:cs="Barlow Semi Condensed" w:eastAsia="Barlow Semi Condensed" w:hAnsi="Barlow Semi Condensed"/>
          <w:b/>
          <w:bCs/>
          <w:sz w:val="24"/>
          <w:szCs w:val="24"/>
        </w:rPr>
        <w:t xml:space="preserve">866 · Il Comitato dei 303, marzo 1969.</w:t>
      </w:r>
      <w:r>
        <w:rPr>
          <w:rFonts w:ascii="Barlow Semi Condensed" w:cs="Barlow Semi Condensed" w:eastAsia="Barlow Semi Condensed" w:hAnsi="Barlow Semi Condensed"/>
          <w:sz w:val="24"/>
          <w:szCs w:val="24"/>
        </w:rPr>
        <w:t xml:space="preserve"> FRUS volume XLI, documento 180: il verbale della riunione dell'11 marzo 1969 presieduta da Kissinger, con Johnson, Packard e Helms, nella quale Karamessines illustrò origini e livelli del programma di sostegno coperto ai partiti italiani fra il 1948 e il 1968, e i presenti convennero all'unanimità che non vi fosse reale giustificazione per riprendere il finanziamento coperto. Documento primario, con l'esito negativo incluso nel documento stesso.</w:t>
      </w:r>
    </w:p>
    <w:p>
      <w:pPr>
        <w:spacing w:after="120" w:line="276"/>
        <w:jc w:val="both"/>
      </w:pPr>
      <w:r>
        <w:rPr>
          <w:rFonts w:ascii="Barlow Semi Condensed" w:cs="Barlow Semi Condensed" w:eastAsia="Barlow Semi Condensed" w:hAnsi="Barlow Semi Condensed"/>
          <w:b/>
          <w:bCs/>
          <w:sz w:val="24"/>
          <w:szCs w:val="24"/>
        </w:rPr>
        <w:t xml:space="preserve">867 · L'anteriorità come anti-nesso.</w:t>
      </w:r>
      <w:r>
        <w:rPr>
          <w:rFonts w:ascii="Barlow Semi Condensed" w:cs="Barlow Semi Condensed" w:eastAsia="Barlow Semi Condensed" w:hAnsi="Barlow Semi Condensed"/>
          <w:sz w:val="24"/>
          <w:szCs w:val="24"/>
        </w:rPr>
        <w:t xml:space="preserve"> Quella riunione è del marzo 1969; Moro divenne ministro degli Esteri il 5 agosto 1969. La contemporaneità è dunque soltanto apparente, e la ricognizione lo dichiara. È l'applicazione più elementare della regola per cui la coincidenza cronologica non prova alcun nesso: qui non c'è nemmeno coincidenza, c'è precedenza, e una causa non può collocarsi dopo il proprio effetto.</w:t>
      </w:r>
    </w:p>
    <w:p>
      <w:pPr>
        <w:spacing w:after="120" w:line="276"/>
        <w:jc w:val="both"/>
      </w:pPr>
      <w:r>
        <w:rPr>
          <w:rFonts w:ascii="Barlow Semi Condensed" w:cs="Barlow Semi Condensed" w:eastAsia="Barlow Semi Condensed" w:hAnsi="Barlow Semi Condensed"/>
          <w:b/>
          <w:bCs/>
          <w:sz w:val="24"/>
          <w:szCs w:val="24"/>
        </w:rPr>
        <w:t xml:space="preserve">868 · Uno studio è uno studio.</w:t>
      </w:r>
      <w:r>
        <w:rPr>
          <w:rFonts w:ascii="Barlow Semi Condensed" w:cs="Barlow Semi Condensed" w:eastAsia="Barlow Semi Condensed" w:hAnsi="Barlow Semi Condensed"/>
          <w:sz w:val="24"/>
          <w:szCs w:val="24"/>
        </w:rPr>
        <w:t xml:space="preserve"> FRUS volume XLI, documento 188, registra l'istruzione di Nixon del dicembre 1969 per avviare uno studio sull'Italia. Uno studio è una richiesta analitica: non un programma operativo, non una decisione, non un'esecuzione. Il corpus lo cita come fatto pubblico e resiste alla tentazione di leggerlo come l'inizio di qualcosa, perché ciò che un documento avvia lo dice il documento successivo, mai l'interprete.</w:t>
      </w:r>
    </w:p>
    <w:p>
      <w:pPr>
        <w:spacing w:after="120" w:line="276"/>
        <w:jc w:val="both"/>
      </w:pPr>
      <w:r>
        <w:rPr>
          <w:rFonts w:ascii="Barlow Semi Condensed" w:cs="Barlow Semi Condensed" w:eastAsia="Barlow Semi Condensed" w:hAnsi="Barlow Semi Condensed"/>
          <w:b/>
          <w:bCs/>
          <w:sz w:val="24"/>
          <w:szCs w:val="24"/>
        </w:rPr>
        <w:t xml:space="preserve">869 · Il riemergere del 1975 e del 1976 (serie XII).</w:t>
      </w:r>
      <w:r>
        <w:rPr>
          <w:rFonts w:ascii="Barlow Semi Condensed" w:cs="Barlow Semi Condensed" w:eastAsia="Barlow Semi Condensed" w:hAnsi="Barlow Semi Condensed"/>
          <w:sz w:val="24"/>
          <w:szCs w:val="24"/>
        </w:rPr>
        <w:t xml:space="preserve"> Un saggio sottoposto a revisione paritaria segnala che il programma di azione coperta in Italia riemerse nel novembre 1975 e nel luglio 1976. Il corpus lo registra con la sua natura esatta: letteratura secondaria qualificata, non fonte primaria consultata, da riportare alle segnature che cita prima di ogni uso. In quelle date Moro era presidente del Consiglio e non ministro degli Esteri: anche questo si scrive.</w:t>
      </w:r>
    </w:p>
    <w:p>
      <w:pPr>
        <w:spacing w:after="120" w:line="276"/>
        <w:jc w:val="both"/>
      </w:pPr>
      <w:r>
        <w:rPr>
          <w:rFonts w:ascii="Barlow Semi Condensed" w:cs="Barlow Semi Condensed" w:eastAsia="Barlow Semi Condensed" w:hAnsi="Barlow Semi Condensed"/>
          <w:b/>
          <w:bCs/>
          <w:sz w:val="24"/>
          <w:szCs w:val="24"/>
        </w:rPr>
        <w:t xml:space="preserve">870 · Il memorandum delle Azzorre (serie XII).</w:t>
      </w:r>
      <w:r>
        <w:rPr>
          <w:rFonts w:ascii="Barlow Semi Condensed" w:cs="Barlow Semi Condensed" w:eastAsia="Barlow Semi Condensed" w:hAnsi="Barlow Semi Condensed"/>
          <w:sz w:val="24"/>
          <w:szCs w:val="24"/>
        </w:rPr>
        <w:t xml:space="preserve"> Il memorandum del colloquio fra Nixon e Spinola alle Azzorre, 19 giugno 1974, appartiene ai fatti pubblici acquisiti dal corpus e riguarda il Portogallo del dopo venticinque aprile, non l'Italia. Si registra qui perché fissa il registro con cui Washington guardava una transizione mediterranea, e perché trasportarlo sull'Italia sarebbe esattamente l'analogia che i blocchi di apertura hanno vietato.</w:t>
      </w:r>
    </w:p>
    <w:p>
      <w:pPr>
        <w:spacing w:after="120" w:line="276"/>
        <w:jc w:val="both"/>
      </w:pPr>
      <w:r>
        <w:rPr>
          <w:rFonts w:ascii="Barlow Semi Condensed" w:cs="Barlow Semi Condensed" w:eastAsia="Barlow Semi Condensed" w:hAnsi="Barlow Semi Condensed"/>
          <w:b/>
          <w:bCs/>
          <w:sz w:val="24"/>
          <w:szCs w:val="24"/>
        </w:rPr>
        <w:t xml:space="preserve">871 · Il leftist neutralist regime (serie XII).</w:t>
      </w:r>
      <w:r>
        <w:rPr>
          <w:rFonts w:ascii="Barlow Semi Condensed" w:cs="Barlow Semi Condensed" w:eastAsia="Barlow Semi Condensed" w:hAnsi="Barlow Semi Condensed"/>
          <w:sz w:val="24"/>
          <w:szCs w:val="24"/>
        </w:rPr>
        <w:t xml:space="preserve"> La preoccupazione statunitense per un regime neutralista di sinistra a Lisbona è documentata e appartiene al biennio 1974-1975. È un carattere della cornice: dice quale esito il decisore temeva, in quale area e con quale lessico. Non dice nulla su ciò che fu fatto in Italia quattro anni più tardi, e chi ve lo trasferisce compie la promozione del secondo piano a nesso causale.</w:t>
      </w:r>
    </w:p>
    <w:p>
      <w:pPr>
        <w:spacing w:after="120" w:line="276"/>
        <w:jc w:val="both"/>
      </w:pPr>
      <w:r>
        <w:rPr>
          <w:rFonts w:ascii="Barlow Semi Condensed" w:cs="Barlow Semi Condensed" w:eastAsia="Barlow Semi Condensed" w:hAnsi="Barlow Semi Condensed"/>
          <w:b/>
          <w:bCs/>
          <w:sz w:val="24"/>
          <w:szCs w:val="24"/>
        </w:rPr>
        <w:t xml:space="preserve">872 · Helsinki e la firma comunitaria.</w:t>
      </w:r>
      <w:r>
        <w:rPr>
          <w:rFonts w:ascii="Barlow Semi Condensed" w:cs="Barlow Semi Condensed" w:eastAsia="Barlow Semi Condensed" w:hAnsi="Barlow Semi Condensed"/>
          <w:sz w:val="24"/>
          <w:szCs w:val="24"/>
        </w:rPr>
        <w:t xml:space="preserve"> L'insofferenza di Kissinger rispetto al coinvolgimento della Comunità europea nella firma dell'Atto finale è un dato acquisito; il primo agosto 1975 Moro sottoscrisse quel testo nella duplice qualità di presidente del Consiglio e presidente di turno della Comunità. La cartella della Farnesina qualifica quella firma come l'unica triangolazione certa del proprio perimetro. Certa quanto alla firma, muta quanto a tutto il resto.</w:t>
      </w:r>
    </w:p>
    <w:p>
      <w:pPr>
        <w:spacing w:after="120" w:line="276"/>
        <w:jc w:val="both"/>
      </w:pPr>
      <w:r>
        <w:rPr>
          <w:rFonts w:ascii="Barlow Semi Condensed" w:cs="Barlow Semi Condensed" w:eastAsia="Barlow Semi Condensed" w:hAnsi="Barlow Semi Condensed"/>
          <w:b/>
          <w:bCs/>
          <w:sz w:val="24"/>
          <w:szCs w:val="24"/>
        </w:rPr>
        <w:t xml:space="preserve">873 · Lo Stato Zero del versante.</w:t>
      </w:r>
      <w:r>
        <w:rPr>
          <w:rFonts w:ascii="Barlow Semi Condensed" w:cs="Barlow Semi Condensed" w:eastAsia="Barlow Semi Condensed" w:hAnsi="Barlow Semi Condensed"/>
          <w:sz w:val="24"/>
          <w:szCs w:val="24"/>
        </w:rPr>
        <w:t xml:space="preserve"> La ricerca del documento che leghi Kissinger-persona, o qualunque apparato straniero nominato, alla catena di comando del delitto è stata condotta e si è chiusa in negativo: la Fase sesta la iscrive fra gli Stati Zero, con la stessa dignità dei livelli accertati, e la disciplina delle assenze impone di indicare accanto a ciascuno la sede d'archivio in cui si chiuderebbe. Non è un dubbio residuo: è un accertamento.</w:t>
      </w:r>
    </w:p>
    <w:p>
      <w:pPr>
        <w:spacing w:after="120" w:line="276"/>
        <w:jc w:val="both"/>
      </w:pPr>
      <w:r>
        <w:rPr>
          <w:rFonts w:ascii="Barlow Semi Condensed" w:cs="Barlow Semi Condensed" w:eastAsia="Barlow Semi Condensed" w:hAnsi="Barlow Semi Condensed"/>
          <w:b/>
          <w:bCs/>
          <w:sz w:val="24"/>
          <w:szCs w:val="24"/>
        </w:rPr>
        <w:t xml:space="preserve">874 · Lo statuto del presunto avvertimento.</w:t>
      </w:r>
      <w:r>
        <w:rPr>
          <w:rFonts w:ascii="Barlow Semi Condensed" w:cs="Barlow Semi Condensed" w:eastAsia="Barlow Semi Condensed" w:hAnsi="Barlow Semi Condensed"/>
          <w:sz w:val="24"/>
          <w:szCs w:val="24"/>
        </w:rPr>
        <w:t xml:space="preserve"> Il nodo M-5 della triangolazione Guevara-Moro registra l'avvertimento attribuito a Kissinger e riferito da Corrado Guerzoni, con la conferma di Eleonora Chiavarelli Moro in sede parlamentare. La Nota di revisione numero due ne fissa lo statuto e non lo muove: testimonianza contestata, non accertamento, grado B debole. Non si dà per accertata in alcuna resa pubblica, per nessuna ragione narrativa e per nessuna comodità di racconto.</w:t>
      </w:r>
    </w:p>
    <w:p>
      <w:pPr>
        <w:spacing w:after="120" w:line="276"/>
        <w:jc w:val="both"/>
      </w:pPr>
      <w:r>
        <w:rPr>
          <w:rFonts w:ascii="Barlow Semi Condensed" w:cs="Barlow Semi Condensed" w:eastAsia="Barlow Semi Condensed" w:hAnsi="Barlow Semi Condensed"/>
          <w:b/>
          <w:bCs/>
          <w:sz w:val="24"/>
          <w:szCs w:val="24"/>
        </w:rPr>
        <w:t xml:space="preserve">875 · La smentita è parte del fatto.</w:t>
      </w:r>
      <w:r>
        <w:rPr>
          <w:rFonts w:ascii="Barlow Semi Condensed" w:cs="Barlow Semi Condensed" w:eastAsia="Barlow Semi Condensed" w:hAnsi="Barlow Semi Condensed"/>
          <w:sz w:val="24"/>
          <w:szCs w:val="24"/>
        </w:rPr>
        <w:t xml:space="preserve"> Kissinger negò l'episodio in forma diretta e circostanziata poco prima della morte, e in forma anteriore e generica già nel 1983, quando ammetteva la propria contrarietà all'ingresso dei comunisti al governo ma smentiva di aver rimproverato Moro. Dove le fonti divergono si riporta la divergenza: riferire la testimonianza senza la smentita non è una semplificazione, è la costruzione di un falso a partire da materiali veri.</w:t>
      </w:r>
    </w:p>
    <w:p>
      <w:pPr>
        <w:spacing w:after="120" w:line="276"/>
        <w:jc w:val="both"/>
      </w:pPr>
      <w:r>
        <w:rPr>
          <w:rFonts w:ascii="Barlow Semi Condensed" w:cs="Barlow Semi Condensed" w:eastAsia="Barlow Semi Condensed" w:hAnsi="Barlow Semi Condensed"/>
          <w:b/>
          <w:bCs/>
          <w:sz w:val="24"/>
          <w:szCs w:val="24"/>
        </w:rPr>
        <w:t xml:space="preserve">876 · Il teste principale non fu presente (serie XII).</w:t>
      </w:r>
      <w:r>
        <w:rPr>
          <w:rFonts w:ascii="Barlow Semi Condensed" w:cs="Barlow Semi Condensed" w:eastAsia="Barlow Semi Condensed" w:hAnsi="Barlow Semi Condensed"/>
          <w:sz w:val="24"/>
          <w:szCs w:val="24"/>
        </w:rPr>
        <w:t xml:space="preserve"> Il dato che le riprese giornalistiche omettono più spesso è che il teste principale non fu presente: Guerzoni depose davanti alla Corte d'assise di Roma nel novembre 1982 de relato, avendo appreso il fatto da Moro e dall'entourage. Il rilievo non squalifica la deposizione, ne fissa lo statuto di testimonianza indiretta su un fatto altrui. Ogni resa che la presenti come racconto di un testimone oculare falsifica la fonte prima ancora di falsificare il fatto.</w:t>
      </w:r>
    </w:p>
    <w:p>
      <w:pPr>
        <w:spacing w:after="120" w:line="276"/>
        <w:jc w:val="both"/>
      </w:pPr>
      <w:r>
        <w:rPr>
          <w:rFonts w:ascii="Barlow Semi Condensed" w:cs="Barlow Semi Condensed" w:eastAsia="Barlow Semi Condensed" w:hAnsi="Barlow Semi Condensed"/>
          <w:b/>
          <w:bCs/>
          <w:sz w:val="24"/>
          <w:szCs w:val="24"/>
        </w:rPr>
        <w:t xml:space="preserve">877 · Il nome fu ottenuto in aula (serie XII).</w:t>
      </w:r>
      <w:r>
        <w:rPr>
          <w:rFonts w:ascii="Barlow Semi Condensed" w:cs="Barlow Semi Condensed" w:eastAsia="Barlow Semi Condensed" w:hAnsi="Barlow Semi Condensed"/>
          <w:sz w:val="24"/>
          <w:szCs w:val="24"/>
        </w:rPr>
        <w:t xml:space="preserve"> La vedova parlò di un'alta personalità senza nominarla; fu il presidente della corte, richiamando Guerzoni, a ottenere l'indicazione di Kissinger. L'attribuzione del nome è dunque essa stessa indiretta e va riferita con la propria genesi processuale: un nome estratto in udienza attraverso il richiamo a un altro teste non pesa quanto un nome pronunciato spontaneamente da chi lo avesse udito.</w:t>
      </w:r>
    </w:p>
    <w:p>
      <w:pPr>
        <w:spacing w:after="120" w:line="276"/>
        <w:jc w:val="both"/>
      </w:pPr>
      <w:r>
        <w:rPr>
          <w:rFonts w:ascii="Barlow Semi Condensed" w:cs="Barlow Semi Condensed" w:eastAsia="Barlow Semi Condensed" w:hAnsi="Barlow Semi Condensed"/>
          <w:b/>
          <w:bCs/>
          <w:sz w:val="24"/>
          <w:szCs w:val="24"/>
        </w:rPr>
        <w:t xml:space="preserve">878 · La data non è pacifica (serie XII).</w:t>
      </w:r>
      <w:r>
        <w:rPr>
          <w:rFonts w:ascii="Barlow Semi Condensed" w:cs="Barlow Semi Condensed" w:eastAsia="Barlow Semi Condensed" w:hAnsi="Barlow Semi Condensed"/>
          <w:sz w:val="24"/>
          <w:szCs w:val="24"/>
        </w:rPr>
        <w:t xml:space="preserve"> Il nodo M-5 colloca l'episodio nel settembre 1974. Una fonte d'agenzia statunitense coeva, dell'aprile 1983, lo colloca in un alterco all'ambasciata d'Italia a Washington nel 1977; altre sintesi indicano il 1976, e divergono anche i luoghi. Nel 1977 Kissinger non era più Segretario di Stato: la divergenza è dirimente, si riporta e non si risolve d'ufficio scegliendo la versione più comoda.</w:t>
      </w:r>
    </w:p>
    <w:p>
      <w:pPr>
        <w:spacing w:after="120" w:line="276"/>
        <w:jc w:val="both"/>
      </w:pPr>
      <w:r>
        <w:rPr>
          <w:rFonts w:ascii="Barlow Semi Condensed" w:cs="Barlow Semi Condensed" w:eastAsia="Barlow Semi Condensed" w:hAnsi="Barlow Semi Condensed"/>
          <w:b/>
          <w:bCs/>
          <w:sz w:val="24"/>
          <w:szCs w:val="24"/>
        </w:rPr>
        <w:t xml:space="preserve">879 · Sede e contenuto vanno distinti.</w:t>
      </w:r>
      <w:r>
        <w:rPr>
          <w:rFonts w:ascii="Barlow Semi Condensed" w:cs="Barlow Semi Condensed" w:eastAsia="Barlow Semi Condensed" w:hAnsi="Barlow Semi Condensed"/>
          <w:sz w:val="24"/>
          <w:szCs w:val="24"/>
        </w:rPr>
        <w:t xml:space="preserve"> L'audizione della vedova davanti alla Commissione d'inchiesta è del primo agosto 1980 ed è accertata; la frase verbatim che circola è però attribuita dalle sintesi alla deposizione giudiziaria del 1982, mentre dell'audizione del 1980 si riporta soprattutto un riferimento a minacce risalenti al 1975 e crescenti. Confondere le due sedi produce una citazione falsa costruita su due premesse entrambe vere.</w:t>
      </w:r>
    </w:p>
    <w:p>
      <w:pPr>
        <w:spacing w:after="120" w:line="276"/>
        <w:jc w:val="both"/>
      </w:pPr>
      <w:r>
        <w:rPr>
          <w:rFonts w:ascii="Barlow Semi Condensed" w:cs="Barlow Semi Condensed" w:eastAsia="Barlow Semi Condensed" w:hAnsi="Barlow Semi Condensed"/>
          <w:b/>
          <w:bCs/>
          <w:sz w:val="24"/>
          <w:szCs w:val="24"/>
        </w:rPr>
        <w:t xml:space="preserve">880 · L'assenza dal verbale, e il suo peso.</w:t>
      </w:r>
      <w:r>
        <w:rPr>
          <w:rFonts w:ascii="Barlow Semi Condensed" w:cs="Barlow Semi Condensed" w:eastAsia="Barlow Semi Condensed" w:hAnsi="Barlow Semi Condensed"/>
          <w:sz w:val="24"/>
          <w:szCs w:val="24"/>
        </w:rPr>
        <w:t xml:space="preserve"> Poiché la testimonianza colloca la frase a margine dell'incontro, la sua assenza dal memorandum del 25 settembre non prova né la falsità né la verità dell'episodio. Indebolisce però nettamente la versione che lo colloca dentro il colloquio ufficiale, ed è proprio quella che circola. Distinguere l'indebolimento di una versione dalla confutazione di un fatto è l'operazione più delicata dell'intero nodo.</w:t>
      </w:r>
    </w:p>
    <w:p>
      <w:pPr>
        <w:spacing w:after="120" w:line="276"/>
        <w:jc w:val="both"/>
      </w:pPr>
      <w:r>
        <w:rPr>
          <w:rFonts w:ascii="Barlow Semi Condensed" w:cs="Barlow Semi Condensed" w:eastAsia="Barlow Semi Condensed" w:hAnsi="Barlow Semi Condensed"/>
          <w:b/>
          <w:bCs/>
          <w:sz w:val="24"/>
          <w:szCs w:val="24"/>
        </w:rPr>
        <w:t xml:space="preserve">881 · La moltiplicazione apparente delle fonti (serie XII).</w:t>
      </w:r>
      <w:r>
        <w:rPr>
          <w:rFonts w:ascii="Barlow Semi Condensed" w:cs="Barlow Semi Condensed" w:eastAsia="Barlow Semi Condensed" w:hAnsi="Barlow Semi Condensed"/>
          <w:sz w:val="24"/>
          <w:szCs w:val="24"/>
        </w:rPr>
        <w:t xml:space="preserve"> Le decine di riprese pressoché identiche dell'episodio risalgono a un unico lancio d'agenzia del 30 novembre 2023; il rilancio internazionale del 1982 proviene da una pubblicazione di orientamento cospirazionista, citabile come dato di circolazione e non come riscontro. Il numero delle ripetizioni non aggiunge valore probatorio: è la stessa fonte contata molte volte, e contarla molte volte non la rende molte fonti.</w:t>
      </w:r>
    </w:p>
    <w:p>
      <w:pPr>
        <w:spacing w:after="120" w:line="276"/>
        <w:jc w:val="both"/>
      </w:pPr>
      <w:r>
        <w:rPr>
          <w:rFonts w:ascii="Barlow Semi Condensed" w:cs="Barlow Semi Condensed" w:eastAsia="Barlow Semi Condensed" w:hAnsi="Barlow Semi Condensed"/>
          <w:b/>
          <w:bCs/>
          <w:sz w:val="24"/>
          <w:szCs w:val="24"/>
        </w:rPr>
        <w:t xml:space="preserve">882 · La pseudoreplica come vizio di metodo.</w:t>
      </w:r>
      <w:r>
        <w:rPr>
          <w:rFonts w:ascii="Barlow Semi Condensed" w:cs="Barlow Semi Condensed" w:eastAsia="Barlow Semi Condensed" w:hAnsi="Barlow Semi Condensed"/>
          <w:sz w:val="24"/>
          <w:szCs w:val="24"/>
        </w:rPr>
        <w:t xml:space="preserve"> In statistica si chiama pseudoreplica il conteggio di misure non indipendenti come se lo fossero, e produce fiducia crescente in un dato che non è cresciuto. È il vizio della circolazione mediatica del nodo M-5 ed è anche ciò che la consilienza vieta: linee non indipendenti non si rafforzano a vicenda, si ripetono. Una copia non è un riscontro, in genetica come in archivio.</w:t>
      </w:r>
    </w:p>
    <w:p>
      <w:pPr>
        <w:spacing w:after="120" w:line="276"/>
        <w:jc w:val="both"/>
      </w:pPr>
      <w:r>
        <w:rPr>
          <w:rFonts w:ascii="Barlow Semi Condensed" w:cs="Barlow Semi Condensed" w:eastAsia="Barlow Semi Condensed" w:hAnsi="Barlow Semi Condensed"/>
          <w:b/>
          <w:bCs/>
          <w:sz w:val="24"/>
          <w:szCs w:val="24"/>
        </w:rPr>
        <w:t xml:space="preserve">883 · Le smentite italiane e la loro divergenza.</w:t>
      </w:r>
      <w:r>
        <w:rPr>
          <w:rFonts w:ascii="Barlow Semi Condensed" w:cs="Barlow Semi Condensed" w:eastAsia="Barlow Semi Condensed" w:hAnsi="Barlow Semi Condensed"/>
          <w:sz w:val="24"/>
          <w:szCs w:val="24"/>
        </w:rPr>
        <w:t xml:space="preserve"> Un testimone di primo piano definì l'episodio una leggenda senza fondamento, dicendo di averlo verificato allora con l'interprete perché Moro non parlava inglese, salvo descrivere altrove un colloquio politicamente durissimo e distinguere il rimprovero aspro dalla minaccia; un altro parlò soltanto di un problema di linguaggio. Nessuno dei due era presente al colloquio riservato: anche le smentite si graduano, e queste non sono di primo piano.</w:t>
      </w:r>
    </w:p>
    <w:p>
      <w:pPr>
        <w:spacing w:after="120" w:line="276"/>
        <w:jc w:val="both"/>
      </w:pPr>
      <w:r>
        <w:rPr>
          <w:rFonts w:ascii="Barlow Semi Condensed" w:cs="Barlow Semi Condensed" w:eastAsia="Barlow Semi Condensed" w:hAnsi="Barlow Semi Condensed"/>
          <w:b/>
          <w:bCs/>
          <w:sz w:val="24"/>
          <w:szCs w:val="24"/>
        </w:rPr>
        <w:t xml:space="preserve">884 · Mai sentito dai magistrati italiani (serie XII).</w:t>
      </w:r>
      <w:r>
        <w:rPr>
          <w:rFonts w:ascii="Barlow Semi Condensed" w:cs="Barlow Semi Condensed" w:eastAsia="Barlow Semi Condensed" w:hAnsi="Barlow Semi Condensed"/>
          <w:sz w:val="24"/>
          <w:szCs w:val="24"/>
        </w:rPr>
        <w:t xml:space="preserve"> Kissinger non fu mai sentito dai magistrati italiani: la richiesta informale del 1983 non ebbe seguito. È un fatto processuale e va detto perché chiude una domanda ricorrente. L'episodio non ha mai formato oggetto d'imputazione in alcuna sede, e nessuna sentenza definitiva ha attribuito ad autorità statunitensi responsabilità penali nel sequestro e nell'omicidio di Aldo Moro.</w:t>
      </w:r>
    </w:p>
    <w:p>
      <w:pPr>
        <w:spacing w:after="120" w:line="276"/>
        <w:jc w:val="both"/>
      </w:pPr>
      <w:r>
        <w:rPr>
          <w:rFonts w:ascii="Barlow Semi Condensed" w:cs="Barlow Semi Condensed" w:eastAsia="Barlow Semi Condensed" w:hAnsi="Barlow Semi Condensed"/>
          <w:b/>
          <w:bCs/>
          <w:sz w:val="24"/>
          <w:szCs w:val="24"/>
        </w:rPr>
        <w:t xml:space="preserve">885 · Il limite dichiarato della verifica.</w:t>
      </w:r>
      <w:r>
        <w:rPr>
          <w:rFonts w:ascii="Barlow Semi Condensed" w:cs="Barlow Semi Condensed" w:eastAsia="Barlow Semi Condensed" w:hAnsi="Barlow Semi Condensed"/>
          <w:sz w:val="24"/>
          <w:szCs w:val="24"/>
        </w:rPr>
        <w:t xml:space="preserve"> La campagna che ha prodotto le sette precisazioni dichiara il proprio limite: l'accesso diretto ai resoconti stenografici della Commissione e ai verbali d'udienza è risultato bloccato, e le precisazioni poggiano su fonti secondarie convergenti, da riscontrare sui testi ufficiali. Dichiarare il limite di una verifica è parte della verifica; ometterlo trasformerebbe sette cautele in sette certezze, che è il rovescio esatto del loro scopo.</w:t>
      </w:r>
    </w:p>
    <w:p>
      <w:pPr>
        <w:spacing w:after="120" w:line="276"/>
        <w:jc w:val="both"/>
      </w:pPr>
      <w:r>
        <w:rPr>
          <w:rFonts w:ascii="Barlow Semi Condensed" w:cs="Barlow Semi Condensed" w:eastAsia="Barlow Semi Condensed" w:hAnsi="Barlow Semi Condensed"/>
          <w:b/>
          <w:bCs/>
          <w:sz w:val="24"/>
          <w:szCs w:val="24"/>
        </w:rPr>
        <w:t xml:space="preserve">886 · L'evidenza che chiuderebbe il quesito.</w:t>
      </w:r>
      <w:r>
        <w:rPr>
          <w:rFonts w:ascii="Barlow Semi Condensed" w:cs="Barlow Semi Condensed" w:eastAsia="Barlow Semi Condensed" w:hAnsi="Barlow Semi Condensed"/>
          <w:sz w:val="24"/>
          <w:szCs w:val="24"/>
        </w:rPr>
        <w:t xml:space="preserve"> Il quesito si chiuderebbe sui testi primari: il resoconto stenografico integrale dell'audizione del primo agosto 1980, il verbale d'udienza della deposizione del novembre 1982, e la ricognizione delle carte statunitensi relative alla trasferta del settembre 1974 oltre i due memorandum già noti. Sono atti esistenti oppure accertabili come inesistenti, e in entrambi i casi il quesito avanza di un grado.</w:t>
      </w:r>
    </w:p>
    <w:p>
      <w:pPr>
        <w:spacing w:after="120" w:line="276"/>
        <w:jc w:val="both"/>
      </w:pPr>
      <w:r>
        <w:rPr>
          <w:rFonts w:ascii="Barlow Semi Condensed" w:cs="Barlow Semi Condensed" w:eastAsia="Barlow Semi Condensed" w:hAnsi="Barlow Semi Condensed"/>
          <w:b/>
          <w:bCs/>
          <w:sz w:val="24"/>
          <w:szCs w:val="24"/>
        </w:rPr>
        <w:t xml:space="preserve">887 · Che cosa il quesito non deciderebbe.</w:t>
      </w:r>
      <w:r>
        <w:rPr>
          <w:rFonts w:ascii="Barlow Semi Condensed" w:cs="Barlow Semi Condensed" w:eastAsia="Barlow Semi Condensed" w:hAnsi="Barlow Semi Condensed"/>
          <w:sz w:val="24"/>
          <w:szCs w:val="24"/>
        </w:rPr>
        <w:t xml:space="preserve"> Anche se l'avvertimento risultasse accertato in ogni sua parola, non ne discenderebbe nulla sul 1978. Fra una frase pronunciata nel 1974 e l'agguato di via Fani non esiste alcun ponte documentato, e la conferma sposterebbe un fatto biografico e diplomatico, non una catena di comando. Il quesito va risolto perché è un quesito, non perché prometta un responsabile.</w:t>
      </w:r>
    </w:p>
    <w:p>
      <w:pPr>
        <w:spacing w:after="120" w:line="276"/>
        <w:jc w:val="both"/>
      </w:pPr>
      <w:r>
        <w:rPr>
          <w:rFonts w:ascii="Barlow Semi Condensed" w:cs="Barlow Semi Condensed" w:eastAsia="Barlow Semi Condensed" w:hAnsi="Barlow Semi Condensed"/>
          <w:b/>
          <w:bCs/>
          <w:sz w:val="24"/>
          <w:szCs w:val="24"/>
        </w:rPr>
        <w:t xml:space="preserve">888 · La regola del caso contestato.</w:t>
      </w:r>
      <w:r>
        <w:rPr>
          <w:rFonts w:ascii="Barlow Semi Condensed" w:cs="Barlow Semi Condensed" w:eastAsia="Barlow Semi Condensed" w:hAnsi="Barlow Semi Condensed"/>
          <w:sz w:val="24"/>
          <w:szCs w:val="24"/>
        </w:rPr>
        <w:t xml:space="preserve"> Da questo nodo si ricava una regola trasferibile: una testimonianza contestata si cita sempre con la contestazione, non si promuove per anzianità di circolazione, non si consolida per numero di riprese e non cambia grado perché diventa celebre. Il tempo non è un metodo di prova, e la notorietà di un aneddoto misura la sua diffusione, mai la sua verità. La forma completa non è zavorra: è il nodo.</w:t>
      </w:r>
    </w:p>
    <w:p>
      <w:pPr>
        <w:spacing w:after="120" w:line="276"/>
        <w:jc w:val="both"/>
      </w:pPr>
      <w:r>
        <w:rPr>
          <w:rFonts w:ascii="Barlow Semi Condensed" w:cs="Barlow Semi Condensed" w:eastAsia="Barlow Semi Condensed" w:hAnsi="Barlow Semi Condensed"/>
          <w:b/>
          <w:bCs/>
          <w:sz w:val="24"/>
          <w:szCs w:val="24"/>
        </w:rPr>
        <w:t xml:space="preserve">889 · Due domande, non una.</w:t>
      </w:r>
      <w:r>
        <w:rPr>
          <w:rFonts w:ascii="Barlow Semi Condensed" w:cs="Barlow Semi Condensed" w:eastAsia="Barlow Semi Condensed" w:hAnsi="Barlow Semi Condensed"/>
          <w:sz w:val="24"/>
          <w:szCs w:val="24"/>
        </w:rPr>
        <w:t xml:space="preserve"> Sul versante internazionale convivono due domande che la pubblicistica confonde da decenni. La prima chiede quale fu la posizione degli alleati verso l'ingresso comunista nell'area di governo e che cosa ne documentino gli archivi. La seconda chiede chi ideò, ordinò ed eseguì il sequestro e l'omicidio. La prima è aperta e documentabile; la seconda ha cinque risposte definitive. Tenerle separate è la premessa di tutto il resto.</w:t>
      </w:r>
    </w:p>
    <w:p>
      <w:pPr>
        <w:spacing w:after="120" w:line="276"/>
        <w:jc w:val="both"/>
      </w:pPr>
      <w:r>
        <w:rPr>
          <w:rFonts w:ascii="Barlow Semi Condensed" w:cs="Barlow Semi Condensed" w:eastAsia="Barlow Semi Condensed" w:hAnsi="Barlow Semi Condensed"/>
          <w:b/>
          <w:bCs/>
          <w:sz w:val="24"/>
          <w:szCs w:val="24"/>
        </w:rPr>
        <w:t xml:space="preserve">890 · Il quesito atlantico è legittimo.</w:t>
      </w:r>
      <w:r>
        <w:rPr>
          <w:rFonts w:ascii="Barlow Semi Condensed" w:cs="Barlow Semi Condensed" w:eastAsia="Barlow Semi Condensed" w:hAnsi="Barlow Semi Condensed"/>
          <w:sz w:val="24"/>
          <w:szCs w:val="24"/>
        </w:rPr>
        <w:t xml:space="preserve"> Chiedere che cosa Washington, Londra, Parigi e Bonn pensarono, scrissero e fecero rispetto alla solidarietà nazionale non è dietrologia: è storia diplomatica, con giacimenti, procedure e calendari propri. L'agenda vi dedica una serie intera, i blocchi dal 126 al 155, e il manuale una serie sua, dal 236 al 250. Il sospetto non è la condizione della domanda: la domanda regge da sola.</w:t>
      </w:r>
    </w:p>
    <w:p>
      <w:pPr>
        <w:spacing w:after="120" w:line="276"/>
        <w:jc w:val="both"/>
      </w:pPr>
      <w:r>
        <w:rPr>
          <w:rFonts w:ascii="Barlow Semi Condensed" w:cs="Barlow Semi Condensed" w:eastAsia="Barlow Semi Condensed" w:hAnsi="Barlow Semi Condensed"/>
          <w:b/>
          <w:bCs/>
          <w:sz w:val="24"/>
          <w:szCs w:val="24"/>
        </w:rPr>
        <w:t xml:space="preserve">891 · L'attribuzione appartiene al giudicato.</w:t>
      </w:r>
      <w:r>
        <w:rPr>
          <w:rFonts w:ascii="Barlow Semi Condensed" w:cs="Barlow Semi Condensed" w:eastAsia="Barlow Semi Condensed" w:hAnsi="Barlow Semi Condensed"/>
          <w:sz w:val="24"/>
          <w:szCs w:val="24"/>
        </w:rPr>
        <w:t xml:space="preserve"> Chi rapì e uccise Aldo Moro è materia decisa: cinque processi definitivi hanno accertato la responsabilità delle Brigate rosse e iscritto tredici nomi nel registro che i nove cantieri approfondiscono dal blocco 791. La Fase settima chiama quel deposito il pavimento del caso: sotto quella soglia non si scende, e chi voglia sostenere altro deve portare prove almeno pari a quelle su cui le sentenze si fondano.</w:t>
      </w:r>
    </w:p>
    <w:p>
      <w:pPr>
        <w:spacing w:after="120" w:line="276"/>
        <w:jc w:val="both"/>
      </w:pPr>
      <w:r>
        <w:rPr>
          <w:rFonts w:ascii="Barlow Semi Condensed" w:cs="Barlow Semi Condensed" w:eastAsia="Barlow Semi Condensed" w:hAnsi="Barlow Semi Condensed"/>
          <w:b/>
          <w:bCs/>
          <w:sz w:val="24"/>
          <w:szCs w:val="24"/>
        </w:rPr>
        <w:t xml:space="preserve">892 · La regola dei tre piani, applicata qui.</w:t>
      </w:r>
      <w:r>
        <w:rPr>
          <w:rFonts w:ascii="Barlow Semi Condensed" w:cs="Barlow Semi Condensed" w:eastAsia="Barlow Semi Condensed" w:hAnsi="Barlow Semi Condensed"/>
          <w:sz w:val="24"/>
          <w:szCs w:val="24"/>
        </w:rPr>
        <w:t xml:space="preserve"> Il primo piano è il rapporto diretto documentato, il secondo la convergenza strutturale entro la stessa cornice, il terzo l'affermazione terziaria priva di riscontro. Un ponte è reale solo al primo piano. Sul versante internazionale il corpus dispone di alcuni primi piani in materia diplomatica, di molti secondi e di un vastissimo terzo: la contabilità va tenuta separata voce per voce, senza mai sommarla.</w:t>
      </w:r>
    </w:p>
    <w:p>
      <w:pPr>
        <w:spacing w:after="120" w:line="276"/>
        <w:jc w:val="both"/>
      </w:pPr>
      <w:r>
        <w:rPr>
          <w:rFonts w:ascii="Barlow Semi Condensed" w:cs="Barlow Semi Condensed" w:eastAsia="Barlow Semi Condensed" w:hAnsi="Barlow Semi Condensed"/>
          <w:b/>
          <w:bCs/>
          <w:sz w:val="24"/>
          <w:szCs w:val="24"/>
        </w:rPr>
        <w:t xml:space="preserve">893 · Che cosa sta al primo piano.</w:t>
      </w:r>
      <w:r>
        <w:rPr>
          <w:rFonts w:ascii="Barlow Semi Condensed" w:cs="Barlow Semi Condensed" w:eastAsia="Barlow Semi Condensed" w:hAnsi="Barlow Semi Condensed"/>
          <w:sz w:val="24"/>
          <w:szCs w:val="24"/>
        </w:rPr>
        <w:t xml:space="preserve"> Al primo piano stanno i colloqui verbalizzati fra persone che si incontrarono davvero: il 25 e il 26 settembre 1974, la riunione dell'11 marzo 1969, la firma di Helsinki. Sono rapporti diretti, datati, con segnatura. Ma primo piano non significa rilevante per il caso Moro: significa documentato. Un rapporto diretto può essere pienamente provato e insieme pienamente estraneo al 1978.</w:t>
      </w:r>
    </w:p>
    <w:p>
      <w:pPr>
        <w:spacing w:after="120" w:line="276"/>
        <w:jc w:val="both"/>
      </w:pPr>
      <w:r>
        <w:rPr>
          <w:rFonts w:ascii="Barlow Semi Condensed" w:cs="Barlow Semi Condensed" w:eastAsia="Barlow Semi Condensed" w:hAnsi="Barlow Semi Condensed"/>
          <w:b/>
          <w:bCs/>
          <w:sz w:val="24"/>
          <w:szCs w:val="24"/>
        </w:rPr>
        <w:t xml:space="preserve">894 · Che cosa sta al secondo piano.</w:t>
      </w:r>
      <w:r>
        <w:rPr>
          <w:rFonts w:ascii="Barlow Semi Condensed" w:cs="Barlow Semi Condensed" w:eastAsia="Barlow Semi Condensed" w:hAnsi="Barlow Semi Condensed"/>
          <w:sz w:val="24"/>
          <w:szCs w:val="24"/>
        </w:rPr>
        <w:t xml:space="preserve"> Al secondo piano sta la cornice: la lunga guerra fredda combattuta dentro le società occidentali, l'ostilità di settori alleati alla mediazione moroana, il timore per il Mediterraneo, il calendario che accosta Lisbona, Atene e Roma. È materia storica seria e va scritta. Ma una cornice non è un legame fra due nodi: è un ambiente che li contiene entrambi, e contenere non è collegare.</w:t>
      </w:r>
    </w:p>
    <w:p>
      <w:pPr>
        <w:spacing w:after="120" w:line="276"/>
        <w:jc w:val="both"/>
      </w:pPr>
      <w:r>
        <w:rPr>
          <w:rFonts w:ascii="Barlow Semi Condensed" w:cs="Barlow Semi Condensed" w:eastAsia="Barlow Semi Condensed" w:hAnsi="Barlow Semi Condensed"/>
          <w:b/>
          <w:bCs/>
          <w:sz w:val="24"/>
          <w:szCs w:val="24"/>
        </w:rPr>
        <w:t xml:space="preserve">895 · Che cosa sta al terzo piano.</w:t>
      </w:r>
      <w:r>
        <w:rPr>
          <w:rFonts w:ascii="Barlow Semi Condensed" w:cs="Barlow Semi Condensed" w:eastAsia="Barlow Semi Condensed" w:hAnsi="Barlow Semi Condensed"/>
          <w:sz w:val="24"/>
          <w:szCs w:val="24"/>
        </w:rPr>
        <w:t xml:space="preserve"> Al terzo piano stanno le affermazioni terziarie prive di riscontro: frasi attribuite senza fonte primaria, regie ricostruite per verosimiglianza, catene che ogni pubblicazione riprende dalla precedente senza risalire a un atto. Il corpus non le cancella e non le usa: le registra come dati di circolazione. Un'affermazione di terzo piano che diventa celebre resta di terzo piano, perché la fama non è una promozione.</w:t>
      </w:r>
    </w:p>
    <w:p>
      <w:pPr>
        <w:spacing w:after="120" w:line="276"/>
        <w:jc w:val="both"/>
      </w:pPr>
      <w:r>
        <w:rPr>
          <w:rFonts w:ascii="Barlow Semi Condensed" w:cs="Barlow Semi Condensed" w:eastAsia="Barlow Semi Condensed" w:hAnsi="Barlow Semi Condensed"/>
          <w:b/>
          <w:bCs/>
          <w:sz w:val="24"/>
          <w:szCs w:val="24"/>
        </w:rPr>
        <w:t xml:space="preserve">896 · Nessun piano sale per accumulo.</w:t>
      </w:r>
      <w:r>
        <w:rPr>
          <w:rFonts w:ascii="Barlow Semi Condensed" w:cs="Barlow Semi Condensed" w:eastAsia="Barlow Semi Condensed" w:hAnsi="Barlow Semi Condensed"/>
          <w:sz w:val="24"/>
          <w:szCs w:val="24"/>
        </w:rPr>
        <w:t xml:space="preserve"> Dieci convergenze di cornice non fanno un rapporto diretto, come dieci indizi possibili non fanno un probabile: il salto lo produce un documento, non una somma. È la regola che la Parte terza enuncia in forma generale e che qui riceve la sua applicazione più esposta, perché il versante internazionale è quello in cui l'accumulo appare più persuasivo e la sua persuasione è tutta retorica.</w:t>
      </w:r>
    </w:p>
    <w:p>
      <w:pPr>
        <w:spacing w:after="120" w:line="276"/>
        <w:jc w:val="both"/>
      </w:pPr>
      <w:r>
        <w:rPr>
          <w:rFonts w:ascii="Barlow Semi Condensed" w:cs="Barlow Semi Condensed" w:eastAsia="Barlow Semi Condensed" w:hAnsi="Barlow Semi Condensed"/>
          <w:b/>
          <w:bCs/>
          <w:sz w:val="24"/>
          <w:szCs w:val="24"/>
        </w:rPr>
        <w:t xml:space="preserve">897 · L'anello debole del cammino atlantico.</w:t>
      </w:r>
      <w:r>
        <w:rPr>
          <w:rFonts w:ascii="Barlow Semi Condensed" w:cs="Barlow Semi Condensed" w:eastAsia="Barlow Semi Condensed" w:hAnsi="Barlow Semi Condensed"/>
          <w:sz w:val="24"/>
          <w:szCs w:val="24"/>
        </w:rPr>
        <w:t xml:space="preserve"> Il grado di un cammino è il grado minimo fra i suoi archi, come una catena vale quanto il suo anello più debole. Il cammino che dalla cornice atlantica arriva a via Fani attraversa archi di sola cornice, cioè archi che non documentano una relazione: il suo grado è quello del tratto peggiore, e nessun arco forte a monte lo risolleva. La regola non ammette compensazioni.</w:t>
      </w:r>
    </w:p>
    <w:p>
      <w:pPr>
        <w:spacing w:after="120" w:line="276"/>
        <w:jc w:val="both"/>
      </w:pPr>
      <w:r>
        <w:rPr>
          <w:rFonts w:ascii="Barlow Semi Condensed" w:cs="Barlow Semi Condensed" w:eastAsia="Barlow Semi Condensed" w:hAnsi="Barlow Semi Condensed"/>
          <w:b/>
          <w:bCs/>
          <w:sz w:val="24"/>
          <w:szCs w:val="24"/>
        </w:rPr>
        <w:t xml:space="preserve">898 · Il buco strutturale si misura.</w:t>
      </w:r>
      <w:r>
        <w:rPr>
          <w:rFonts w:ascii="Barlow Semi Condensed" w:cs="Barlow Semi Condensed" w:eastAsia="Barlow Semi Condensed" w:hAnsi="Barlow Semi Condensed"/>
          <w:sz w:val="24"/>
          <w:szCs w:val="24"/>
        </w:rPr>
        <w:t xml:space="preserve"> Dove la rete non ha archi, la dietrologia mette narrazione e il corpus mette una misura. Fra il dominio diplomatico statunitense e il fatto di via Fani il grafo dei soli legami documentati non registra alcun arco diretto: quel vuoto è il risultato dell'analisi, non il suo punto di partenza, e resta tale finché un documento non diventi arco. I buchi si dichiarano, non si riempiono.</w:t>
      </w:r>
    </w:p>
    <w:p>
      <w:pPr>
        <w:spacing w:after="120" w:line="276"/>
        <w:jc w:val="both"/>
      </w:pPr>
      <w:r>
        <w:rPr>
          <w:rFonts w:ascii="Barlow Semi Condensed" w:cs="Barlow Semi Condensed" w:eastAsia="Barlow Semi Condensed" w:hAnsi="Barlow Semi Condensed"/>
          <w:b/>
          <w:bCs/>
          <w:sz w:val="24"/>
          <w:szCs w:val="24"/>
        </w:rPr>
        <w:t xml:space="preserve">899 · La prossimità di un nemico non è mandato.</w:t>
      </w:r>
      <w:r>
        <w:rPr>
          <w:rFonts w:ascii="Barlow Semi Condensed" w:cs="Barlow Semi Condensed" w:eastAsia="Barlow Semi Condensed" w:hAnsi="Barlow Semi Condensed"/>
          <w:sz w:val="24"/>
          <w:szCs w:val="24"/>
        </w:rPr>
        <w:t xml:space="preserve"> La formula della Parte terza traduce in diritto l'intera sezione. Che nemici politici di Moro esistessero, e potenti, sta al grado accertato; che uno di essi abbia armato o guidato la mano brigatista sta al grado del possibile, e nessun documento, italiano o statunitense, lo attesta. Il movente internazionale spiega perché la mediazione fosse osteggiata; non nomina chi la interruppe con le armi.</w:t>
      </w:r>
    </w:p>
    <w:p>
      <w:pPr>
        <w:spacing w:after="120" w:line="276"/>
        <w:jc w:val="both"/>
      </w:pPr>
      <w:r>
        <w:rPr>
          <w:rFonts w:ascii="Barlow Semi Condensed" w:cs="Barlow Semi Condensed" w:eastAsia="Barlow Semi Condensed" w:hAnsi="Barlow Semi Condensed"/>
          <w:b/>
          <w:bCs/>
          <w:sz w:val="24"/>
          <w:szCs w:val="24"/>
        </w:rPr>
        <w:t xml:space="preserve">900 · Gli occhi degli altri.</w:t>
      </w:r>
      <w:r>
        <w:rPr>
          <w:rFonts w:ascii="Barlow Semi Condensed" w:cs="Barlow Semi Condensed" w:eastAsia="Barlow Semi Condensed" w:hAnsi="Barlow Semi Condensed"/>
          <w:sz w:val="24"/>
          <w:szCs w:val="24"/>
        </w:rPr>
        <w:t xml:space="preserve"> Il dodicesimo dei quindici quesiti costitutivi dell'agenda chiede che cosa videro e riferirono in tempo reale le diplomazie e i servizi alleati, e che cosa giaccia nei loro archivi sotto la regola dell'originatore. È un quesito di documentazione e non di attribuzione, e la differenza sta tutta nella formulazione: chiede carte, non conferme, e prevede in partenza che le carte possano non esserci.</w:t>
      </w:r>
    </w:p>
    <w:p>
      <w:pPr>
        <w:spacing w:after="120" w:line="276"/>
        <w:jc w:val="both"/>
      </w:pPr>
      <w:r>
        <w:rPr>
          <w:rFonts w:ascii="Barlow Semi Condensed" w:cs="Barlow Semi Condensed" w:eastAsia="Barlow Semi Condensed" w:hAnsi="Barlow Semi Condensed"/>
          <w:b/>
          <w:bCs/>
          <w:sz w:val="24"/>
          <w:szCs w:val="24"/>
        </w:rPr>
        <w:t xml:space="preserve">901 · Un dispaccio riferisce, non accerta.</w:t>
      </w:r>
      <w:r>
        <w:rPr>
          <w:rFonts w:ascii="Barlow Semi Condensed" w:cs="Barlow Semi Condensed" w:eastAsia="Barlow Semi Condensed" w:hAnsi="Barlow Semi Condensed"/>
          <w:sz w:val="24"/>
          <w:szCs w:val="24"/>
        </w:rPr>
        <w:t xml:space="preserve"> La disciplina è scolpita al blocco 151 dell'agenda e va ripetuta ogni volta: un dispaccio è ciò che una sede riferì, non ciò che accadde; una valutazione d'intelligence è un'ipotesi di servizio con la sua data, non un accertamento. Il grado segue la natura dell'atto e mai il prestigio della provenienza, perché la tentazione di promuovere l'esotico a rivelazione è un errore già censito dal manuale.</w:t>
      </w:r>
    </w:p>
    <w:p>
      <w:pPr>
        <w:spacing w:after="120" w:line="276"/>
        <w:jc w:val="both"/>
      </w:pPr>
      <w:r>
        <w:rPr>
          <w:rFonts w:ascii="Barlow Semi Condensed" w:cs="Barlow Semi Condensed" w:eastAsia="Barlow Semi Condensed" w:hAnsi="Barlow Semi Condensed"/>
          <w:b/>
          <w:bCs/>
          <w:sz w:val="24"/>
          <w:szCs w:val="24"/>
        </w:rPr>
        <w:t xml:space="preserve">902 · Il genere è metà del grado.</w:t>
      </w:r>
      <w:r>
        <w:rPr>
          <w:rFonts w:ascii="Barlow Semi Condensed" w:cs="Barlow Semi Condensed" w:eastAsia="Barlow Semi Condensed" w:hAnsi="Barlow Semi Condensed"/>
          <w:sz w:val="24"/>
          <w:szCs w:val="24"/>
        </w:rPr>
        <w:t xml:space="preserve"> Il cantiere britannico distingue telegram, despatch, letter e minute e assegna a ciascun genere una diversa natura probatoria: il telegramma riferisce a caldo, il despatch riflette a freddo, la minuta interna giudica. È il blocco 8 dei nove cantieri e vale per ogni archivio estero. Una carta entra nel corpus con il proprio genere dichiarato, perché il genere ne governa la lettura prima del contenuto.</w:t>
      </w:r>
    </w:p>
    <w:p>
      <w:pPr>
        <w:spacing w:after="120" w:line="276"/>
        <w:jc w:val="both"/>
      </w:pPr>
      <w:r>
        <w:rPr>
          <w:rFonts w:ascii="Barlow Semi Condensed" w:cs="Barlow Semi Condensed" w:eastAsia="Barlow Semi Condensed" w:hAnsi="Barlow Semi Condensed"/>
          <w:b/>
          <w:bCs/>
          <w:sz w:val="24"/>
          <w:szCs w:val="24"/>
        </w:rPr>
        <w:t xml:space="preserve">903 · Lo stesso giorno in quattro capitali.</w:t>
      </w:r>
      <w:r>
        <w:rPr>
          <w:rFonts w:ascii="Barlow Semi Condensed" w:cs="Barlow Semi Condensed" w:eastAsia="Barlow Semi Condensed" w:hAnsi="Barlow Semi Condensed"/>
          <w:sz w:val="24"/>
          <w:szCs w:val="24"/>
        </w:rPr>
        <w:t xml:space="preserve"> Per le giornate chiave l'agenda prevede la collazione bilaterale al blocco 153 e i cantieri la portano a quattro capitali ai blocchi 26, 62, 84 e 119: che cosa riferirono Washington, Londra, Parigi e Bonn del 16 marzo, del 18 aprile e del 9 maggio. Il prodotto è la tavola delle divergenze, e ogni divergenza è un errore di una sede o un'informazione che una sola sede aveva.</w:t>
      </w:r>
    </w:p>
    <w:p>
      <w:pPr>
        <w:spacing w:after="120" w:line="276"/>
        <w:jc w:val="both"/>
      </w:pPr>
      <w:r>
        <w:rPr>
          <w:rFonts w:ascii="Barlow Semi Condensed" w:cs="Barlow Semi Condensed" w:eastAsia="Barlow Semi Condensed" w:hAnsi="Barlow Semi Condensed"/>
          <w:b/>
          <w:bCs/>
          <w:sz w:val="24"/>
          <w:szCs w:val="24"/>
        </w:rPr>
        <w:t xml:space="preserve">904 · Perché la collazione è metodo filogenetico.</w:t>
      </w:r>
      <w:r>
        <w:rPr>
          <w:rFonts w:ascii="Barlow Semi Condensed" w:cs="Barlow Semi Condensed" w:eastAsia="Barlow Semi Condensed" w:hAnsi="Barlow Semi Condensed"/>
          <w:sz w:val="24"/>
          <w:szCs w:val="24"/>
        </w:rPr>
        <w:t xml:space="preserve"> Confrontare quattro resoconti indipendenti dello stesso evento è ciò che il sistematico fa con quattro sequenze dello stesso gene: informano più le differenze delle somiglianze, perché segnalano dove una linea ha ricevuto qualcosa che le altre non avevano. Una divergenza fra capitali è, in questo senso, un carattere derivato — e i caratteri derivati sono i soli che permettano di raggruppare.</w:t>
      </w:r>
    </w:p>
    <w:p>
      <w:pPr>
        <w:spacing w:after="120" w:line="276"/>
        <w:jc w:val="both"/>
      </w:pPr>
      <w:r>
        <w:rPr>
          <w:rFonts w:ascii="Barlow Semi Condensed" w:cs="Barlow Semi Condensed" w:eastAsia="Barlow Semi Condensed" w:hAnsi="Barlow Semi Condensed"/>
          <w:b/>
          <w:bCs/>
          <w:sz w:val="24"/>
          <w:szCs w:val="24"/>
        </w:rPr>
        <w:t xml:space="preserve">905 · I cablogrammi già nel corpus.</w:t>
      </w:r>
      <w:r>
        <w:rPr>
          <w:rFonts w:ascii="Barlow Semi Condensed" w:cs="Barlow Semi Condensed" w:eastAsia="Barlow Semi Condensed" w:hAnsi="Barlow Semi Condensed"/>
          <w:sz w:val="24"/>
          <w:szCs w:val="24"/>
        </w:rPr>
        <w:t xml:space="preserve"> Il corpus possiede un lotto desecretato del Dipartimento di Stato comprendente cablogrammi dell'aprile e maggio 1978: da Buenos Aires la smentita dei Montoneros di ogni legame col sequestro e con le Brigate rosse, da Trieste e Palermo le reazioni regionali alla morte. La cartella della Farnesina li qualifica per quello che sono, cornice documentata e non accertamento istruttorio, e la qualifica va portata con loro.</w:t>
      </w:r>
    </w:p>
    <w:p>
      <w:pPr>
        <w:spacing w:after="120" w:line="276"/>
        <w:jc w:val="both"/>
      </w:pPr>
      <w:r>
        <w:rPr>
          <w:rFonts w:ascii="Barlow Semi Condensed" w:cs="Barlow Semi Condensed" w:eastAsia="Barlow Semi Condensed" w:hAnsi="Barlow Semi Condensed"/>
          <w:b/>
          <w:bCs/>
          <w:sz w:val="24"/>
          <w:szCs w:val="24"/>
        </w:rPr>
        <w:t xml:space="preserve">906 · Il consulente nel comitato di crisi.</w:t>
      </w:r>
      <w:r>
        <w:rPr>
          <w:rFonts w:ascii="Barlow Semi Condensed" w:cs="Barlow Semi Condensed" w:eastAsia="Barlow Semi Condensed" w:hAnsi="Barlow Semi Condensed"/>
          <w:sz w:val="24"/>
          <w:szCs w:val="24"/>
        </w:rPr>
        <w:t xml:space="preserve"> La presenza del consulente statunitense Steve Pieczenik nel comitato di crisi al fianco del ministro Cossiga è documentata e appartiene ai fatti pubblici accertati. Le sue dichiarazioni successive sono dichiarazioni: fatto pubblico quanto all'essere state rese, materia da riscontrare quanto al contenuto. Il corpus le registra con quella doppia etichetta e non le adopera come fonte di merito su ciò che accadde.</w:t>
      </w:r>
    </w:p>
    <w:p>
      <w:pPr>
        <w:spacing w:after="120" w:line="276"/>
        <w:jc w:val="both"/>
      </w:pPr>
      <w:r>
        <w:rPr>
          <w:rFonts w:ascii="Barlow Semi Condensed" w:cs="Barlow Semi Condensed" w:eastAsia="Barlow Semi Condensed" w:hAnsi="Barlow Semi Condensed"/>
          <w:b/>
          <w:bCs/>
          <w:sz w:val="24"/>
          <w:szCs w:val="24"/>
        </w:rPr>
        <w:t xml:space="preserve">907 · La regola dell'originatore (serie XII).</w:t>
      </w:r>
      <w:r>
        <w:rPr>
          <w:rFonts w:ascii="Barlow Semi Condensed" w:cs="Barlow Semi Condensed" w:eastAsia="Barlow Semi Condensed" w:hAnsi="Barlow Semi Condensed"/>
          <w:sz w:val="24"/>
          <w:szCs w:val="24"/>
        </w:rPr>
        <w:t xml:space="preserve"> Un documento straniero custodito in Italia si apre soltanto col consenso di chi lo produsse. L'agenda trasforma il vincolo in tavola operativa paese per paese al blocco 126, perché ogni richiesta raggiunga il soggetto che può davvero rispondere, e il manuale ne fa un atto formale al blocco 119. La cifra circolante di circa quattrocentosettantaquattro atti di origine alleata si verifica sull'atto prima di ogni uso.</w:t>
      </w:r>
    </w:p>
    <w:p>
      <w:pPr>
        <w:spacing w:after="120" w:line="276"/>
        <w:jc w:val="both"/>
      </w:pPr>
      <w:r>
        <w:rPr>
          <w:rFonts w:ascii="Barlow Semi Condensed" w:cs="Barlow Semi Condensed" w:eastAsia="Barlow Semi Condensed" w:hAnsi="Barlow Semi Condensed"/>
          <w:b/>
          <w:bCs/>
          <w:sz w:val="24"/>
          <w:szCs w:val="24"/>
        </w:rPr>
        <w:t xml:space="preserve">908 · Il vuoto verbalizzato.</w:t>
      </w:r>
      <w:r>
        <w:rPr>
          <w:rFonts w:ascii="Barlow Semi Condensed" w:cs="Barlow Semi Condensed" w:eastAsia="Barlow Semi Condensed" w:hAnsi="Barlow Semi Condensed"/>
          <w:sz w:val="24"/>
          <w:szCs w:val="24"/>
        </w:rPr>
        <w:t xml:space="preserve"> Ogni ricerca a vuoto si verbalizza con perimetro esatto: che cosa è stato cercato, dove, quando e da chi. È il blocco 285 dell'agenda e il blocco 37 del cantiere britannico. Il verbale di vuoto impedisce di cercare due volte, fonda lo Stato Zero e, accumulato, disegna la mappa di ciò che il caso non potrà più sapere. È il lavoro meno visibile e il più durevole.</w:t>
      </w:r>
    </w:p>
    <w:p>
      <w:pPr>
        <w:spacing w:after="120" w:line="276"/>
        <w:jc w:val="both"/>
      </w:pPr>
      <w:r>
        <w:rPr>
          <w:rFonts w:ascii="Barlow Semi Condensed" w:cs="Barlow Semi Condensed" w:eastAsia="Barlow Semi Condensed" w:hAnsi="Barlow Semi Condensed"/>
          <w:b/>
          <w:bCs/>
          <w:sz w:val="24"/>
          <w:szCs w:val="24"/>
        </w:rPr>
        <w:t xml:space="preserve">909 · Chi ha già scavato.</w:t>
      </w:r>
      <w:r>
        <w:rPr>
          <w:rFonts w:ascii="Barlow Semi Condensed" w:cs="Barlow Semi Condensed" w:eastAsia="Barlow Semi Condensed" w:hAnsi="Barlow Semi Condensed"/>
          <w:sz w:val="24"/>
          <w:szCs w:val="24"/>
        </w:rPr>
        <w:t xml:space="preserve"> Il blocco 152 dell'agenda impone il censimento della letteratura fondata su archivi esteri: quali studiosi hanno letto quali serie, con quali segnature citate. Il corpus non rifà gli scavi altrui e non ne eredita le conclusioni; verifica a campione la fedeltà d'uso delle fonti e riparte dal primo scaffale non ancora letto. La secondarietà si tara sul campione, non si presume dalla reputazione.</w:t>
      </w:r>
    </w:p>
    <w:p>
      <w:pPr>
        <w:spacing w:after="120" w:line="276"/>
        <w:jc w:val="both"/>
      </w:pPr>
      <w:r>
        <w:rPr>
          <w:rFonts w:ascii="Barlow Semi Condensed" w:cs="Barlow Semi Condensed" w:eastAsia="Barlow Semi Condensed" w:hAnsi="Barlow Semi Condensed"/>
          <w:b/>
          <w:bCs/>
          <w:sz w:val="24"/>
          <w:szCs w:val="24"/>
        </w:rPr>
        <w:t xml:space="preserve">910 · Il tempo lavora a favore.</w:t>
      </w:r>
      <w:r>
        <w:rPr>
          <w:rFonts w:ascii="Barlow Semi Condensed" w:cs="Barlow Semi Condensed" w:eastAsia="Barlow Semi Condensed" w:hAnsi="Barlow Semi Condensed"/>
          <w:sz w:val="24"/>
          <w:szCs w:val="24"/>
        </w:rPr>
        <w:t xml:space="preserve"> Gli archivi esteri obbediscono a calendari propri, e i calendari maturano: la regola britannica dei vent'anni, le deroghe francesi, i versamenti tedeschi, le aperture progressive americane. L'agenda ne fa una tavola unica di scadenze al blocco 154 e si ripresenta a ogni sportello nel giorno in cui apre. La pazienza organizzata è una tecnica di ricerca, non una virtù morale.</w:t>
      </w:r>
    </w:p>
    <w:p>
      <w:pPr>
        <w:spacing w:after="120" w:line="276"/>
        <w:jc w:val="both"/>
      </w:pPr>
      <w:r>
        <w:rPr>
          <w:rFonts w:ascii="Barlow Semi Condensed" w:cs="Barlow Semi Condensed" w:eastAsia="Barlow Semi Condensed" w:hAnsi="Barlow Semi Condensed"/>
          <w:b/>
          <w:bCs/>
          <w:sz w:val="24"/>
          <w:szCs w:val="24"/>
        </w:rPr>
        <w:t xml:space="preserve">911 · La lacuna della serie ACH.</w:t>
      </w:r>
      <w:r>
        <w:rPr>
          <w:rFonts w:ascii="Barlow Semi Condensed" w:cs="Barlow Semi Condensed" w:eastAsia="Barlow Semi Condensed" w:hAnsi="Barlow Semi Condensed"/>
          <w:sz w:val="24"/>
          <w:szCs w:val="24"/>
        </w:rPr>
        <w:t xml:space="preserve"> La serie sesta del manuale riscrive in forma di matrice tutti i quesiti aperti del caso, dai blocchi 171 al 210: via Fani, via Gradoli, via Montalcini, il falso della Duchessa, il memoriale, i comitati, gli esperti, il condominio, il riscatto, il registro. Non contiene alcun quesito internazionale, e la lacuna non è casuale: è il quesito più esposto alla domanda mal posta.</w:t>
      </w:r>
    </w:p>
    <w:p>
      <w:pPr>
        <w:spacing w:after="120" w:line="276"/>
        <w:jc w:val="both"/>
      </w:pPr>
      <w:r>
        <w:rPr>
          <w:rFonts w:ascii="Barlow Semi Condensed" w:cs="Barlow Semi Condensed" w:eastAsia="Barlow Semi Condensed" w:hAnsi="Barlow Semi Condensed"/>
          <w:b/>
          <w:bCs/>
          <w:sz w:val="24"/>
          <w:szCs w:val="24"/>
        </w:rPr>
        <w:t xml:space="preserve">912 · La domanda che chiede un verdetto.</w:t>
      </w:r>
      <w:r>
        <w:rPr>
          <w:rFonts w:ascii="Barlow Semi Condensed" w:cs="Barlow Semi Condensed" w:eastAsia="Barlow Semi Condensed" w:hAnsi="Barlow Semi Condensed"/>
          <w:sz w:val="24"/>
          <w:szCs w:val="24"/>
        </w:rPr>
        <w:t xml:space="preserve"> La formulazione corrente del versante — ci fu una regia straniera? — chiede un verdetto invece di un'evidenza, e il manuale avverte che una matrice aperta da mezzo secolo lo è precisamente perché le si è chiesta la cosa sbagliata. Riformulare non è ammorbidire: è trasformare una domanda che nessun documento può soddisfare in domande che alcuni documenti possono decidere.</w:t>
      </w:r>
    </w:p>
    <w:p>
      <w:pPr>
        <w:spacing w:after="120" w:line="276"/>
        <w:jc w:val="both"/>
      </w:pPr>
      <w:r>
        <w:rPr>
          <w:rFonts w:ascii="Barlow Semi Condensed" w:cs="Barlow Semi Condensed" w:eastAsia="Barlow Semi Condensed" w:hAnsi="Barlow Semi Condensed"/>
          <w:b/>
          <w:bCs/>
          <w:sz w:val="24"/>
          <w:szCs w:val="24"/>
        </w:rPr>
        <w:t xml:space="preserve">913 · Q-Intl/1: le ipotesi.</w:t>
      </w:r>
      <w:r>
        <w:rPr>
          <w:rFonts w:ascii="Barlow Semi Condensed" w:cs="Barlow Semi Condensed" w:eastAsia="Barlow Semi Condensed" w:hAnsi="Barlow Semi Condensed"/>
          <w:sz w:val="24"/>
          <w:szCs w:val="24"/>
        </w:rPr>
        <w:t xml:space="preserve"> Sul flusso informativo dei cinquantacinque giorni: prima ipotesi, gli alleati riferirono ciò che apprendevano dalle autorità italiane e dalla stampa, senza fonti proprie sul sequestro; seconda, disposero di fonti proprie in Italia e ne riferirono; terza, ebbero informazioni che non riferirono alle autorità italiane. Le ipotesi riguardano flussi e non intenzioni, non contengono nomi, e nessuna implica una responsabilità penale.</w:t>
      </w:r>
    </w:p>
    <w:p>
      <w:pPr>
        <w:spacing w:after="120" w:line="276"/>
        <w:jc w:val="both"/>
      </w:pPr>
      <w:r>
        <w:rPr>
          <w:rFonts w:ascii="Barlow Semi Condensed" w:cs="Barlow Semi Condensed" w:eastAsia="Barlow Semi Condensed" w:hAnsi="Barlow Semi Condensed"/>
          <w:b/>
          <w:bCs/>
          <w:sz w:val="24"/>
          <w:szCs w:val="24"/>
        </w:rPr>
        <w:t xml:space="preserve">914 · Q-Intl/1: l'evidenza discriminante.</w:t>
      </w:r>
      <w:r>
        <w:rPr>
          <w:rFonts w:ascii="Barlow Semi Condensed" w:cs="Barlow Semi Condensed" w:eastAsia="Barlow Semi Condensed" w:hAnsi="Barlow Semi Condensed"/>
          <w:sz w:val="24"/>
          <w:szCs w:val="24"/>
        </w:rPr>
        <w:t xml:space="preserve"> Discrimina un solo genere di documento: un atto estero datato entro i cinquantacinque giorni che contenga un'informazione operativa sul sequestro non desumibile dalle fonti pubbliche italiane dell'epoca. La collazione con la cronologia pubblica minuto per minuto, che il manuale prescrive al blocco 120, è lo strumento che rende quel confronto verificabile invece che impressionistico. Senza quella cronologia, ogni giudizio è memoria.</w:t>
      </w:r>
    </w:p>
    <w:p>
      <w:pPr>
        <w:spacing w:after="120" w:line="276"/>
        <w:jc w:val="both"/>
      </w:pPr>
      <w:r>
        <w:rPr>
          <w:rFonts w:ascii="Barlow Semi Condensed" w:cs="Barlow Semi Condensed" w:eastAsia="Barlow Semi Condensed" w:hAnsi="Barlow Semi Condensed"/>
          <w:b/>
          <w:bCs/>
          <w:sz w:val="24"/>
          <w:szCs w:val="24"/>
        </w:rPr>
        <w:t xml:space="preserve">915 · Q-Intl/1: il criterio di chiusura.</w:t>
      </w:r>
      <w:r>
        <w:rPr>
          <w:rFonts w:ascii="Barlow Semi Condensed" w:cs="Barlow Semi Condensed" w:eastAsia="Barlow Semi Condensed" w:hAnsi="Barlow Semi Condensed"/>
          <w:sz w:val="24"/>
          <w:szCs w:val="24"/>
        </w:rPr>
        <w:t xml:space="preserve"> La matrice si chiude in entrambi i sensi, ed è la sua qualità migliore. Se lo spoglio integrale dei fondi accessibili non produce alcun atto di quel genere, la prima ipotesi resta la meno incoerente e il quesito retrocede a storia della percezione alleata. Se un atto simile emerge, si apre un accertamento sulla sua fonte, che appartiene all'autorità giudiziaria e non a un'opera storica.</w:t>
      </w:r>
    </w:p>
    <w:p>
      <w:pPr>
        <w:spacing w:after="120" w:line="276"/>
        <w:jc w:val="both"/>
      </w:pPr>
      <w:r>
        <w:rPr>
          <w:rFonts w:ascii="Barlow Semi Condensed" w:cs="Barlow Semi Condensed" w:eastAsia="Barlow Semi Condensed" w:hAnsi="Barlow Semi Condensed"/>
          <w:b/>
          <w:bCs/>
          <w:sz w:val="24"/>
          <w:szCs w:val="24"/>
        </w:rPr>
        <w:t xml:space="preserve">916 · Q-Intl/1: l'errore da evitare.</w:t>
      </w:r>
      <w:r>
        <w:rPr>
          <w:rFonts w:ascii="Barlow Semi Condensed" w:cs="Barlow Semi Condensed" w:eastAsia="Barlow Semi Condensed" w:hAnsi="Barlow Semi Condensed"/>
          <w:sz w:val="24"/>
          <w:szCs w:val="24"/>
        </w:rPr>
        <w:t xml:space="preserve"> L'errore è trattare il ritenuto come già eloquente. Che centinaia di atti alleati siano trattenuti dice che sono trattenuti, non che contengano il caso: il segreto ha molte cause, e la più frequente è la protezione di metodi e di fonti del tutto estranei all'oggetto. Il numero del chiuso misura una procedura d'archivio, non un contenuto, e usarlo come indizio è un errore di categoria.</w:t>
      </w:r>
    </w:p>
    <w:p>
      <w:pPr>
        <w:spacing w:after="120" w:line="276"/>
        <w:jc w:val="both"/>
      </w:pPr>
      <w:r>
        <w:rPr>
          <w:rFonts w:ascii="Barlow Semi Condensed" w:cs="Barlow Semi Condensed" w:eastAsia="Barlow Semi Condensed" w:hAnsi="Barlow Semi Condensed"/>
          <w:b/>
          <w:bCs/>
          <w:sz w:val="24"/>
          <w:szCs w:val="24"/>
        </w:rPr>
        <w:t xml:space="preserve">917 · Q-Intl/2: l'avvertimento come quesito di fatto.</w:t>
      </w:r>
      <w:r>
        <w:rPr>
          <w:rFonts w:ascii="Barlow Semi Condensed" w:cs="Barlow Semi Condensed" w:eastAsia="Barlow Semi Condensed" w:hAnsi="Barlow Semi Condensed"/>
          <w:sz w:val="24"/>
          <w:szCs w:val="24"/>
        </w:rPr>
        <w:t xml:space="preserve"> Riformulato in forma lavorabile: fra il 1974 e il 1977 vi fu un colloquio in cui a Moro furono rivolte parole di ammonimento sulla sua linea politica? Prima ipotesi, l'episodio avvenne come riferito de relato; seconda, avvenne un colloquio politicamente durissimo poi ricordato in forma drammatizzata; terza, non avvenne. Il quesito è storico e biografico, e non tocca in alcun punto l'attribuzione del delitto.</w:t>
      </w:r>
    </w:p>
    <w:p>
      <w:pPr>
        <w:spacing w:after="120" w:line="276"/>
        <w:jc w:val="both"/>
      </w:pPr>
      <w:r>
        <w:rPr>
          <w:rFonts w:ascii="Barlow Semi Condensed" w:cs="Barlow Semi Condensed" w:eastAsia="Barlow Semi Condensed" w:hAnsi="Barlow Semi Condensed"/>
          <w:b/>
          <w:bCs/>
          <w:sz w:val="24"/>
          <w:szCs w:val="24"/>
        </w:rPr>
        <w:t xml:space="preserve">918 · Q-Intl/2: evidenza e chiusura.</w:t>
      </w:r>
      <w:r>
        <w:rPr>
          <w:rFonts w:ascii="Barlow Semi Condensed" w:cs="Barlow Semi Condensed" w:eastAsia="Barlow Semi Condensed" w:hAnsi="Barlow Semi Condensed"/>
          <w:sz w:val="24"/>
          <w:szCs w:val="24"/>
        </w:rPr>
        <w:t xml:space="preserve"> Discriminano i testi primari già nominati e ogni carta della trasferta del settembre 1974 oltre i due memorandum noti, insieme ai documenti che datino un incontro all'ambasciata d'Italia a Washington. La seconda ipotesi è oggi compatibile con tutte le evidenze disponibili, il che è esattamente la ragione per cui la matrice non si chiude. Si chiuderà sui verbali, o sulla certificazione della loro assenza.</w:t>
      </w:r>
    </w:p>
    <w:p>
      <w:pPr>
        <w:spacing w:after="120" w:line="276"/>
        <w:jc w:val="both"/>
      </w:pPr>
      <w:r>
        <w:rPr>
          <w:rFonts w:ascii="Barlow Semi Condensed" w:cs="Barlow Semi Condensed" w:eastAsia="Barlow Semi Condensed" w:hAnsi="Barlow Semi Condensed"/>
          <w:b/>
          <w:bCs/>
          <w:sz w:val="24"/>
          <w:szCs w:val="24"/>
        </w:rPr>
        <w:t xml:space="preserve">919 · Nessuna probabilità numerica.</w:t>
      </w:r>
      <w:r>
        <w:rPr>
          <w:rFonts w:ascii="Barlow Semi Condensed" w:cs="Barlow Semi Condensed" w:eastAsia="Barlow Semi Condensed" w:hAnsi="Barlow Semi Condensed"/>
          <w:sz w:val="24"/>
          <w:szCs w:val="24"/>
        </w:rPr>
        <w:t xml:space="preserve"> Nel regime pubblico l'analisi delle ipotesi concorrenti si applica a quesiti impersonali e senza numeri, perché una percentuale simulerebbe una precisione che le fonti non possiedono. La matrice ordina atti, non convinzioni, e il suo prodotto non è una cifra ma una lista di documenti da cercare. Chi vede una percentuale accanto a un'ipotesi storica sta guardando una decorazione, non un calcolo.</w:t>
      </w:r>
    </w:p>
    <w:p>
      <w:pPr>
        <w:spacing w:after="120" w:line="276"/>
        <w:jc w:val="both"/>
      </w:pPr>
      <w:r>
        <w:rPr>
          <w:rFonts w:ascii="Barlow Semi Condensed" w:cs="Barlow Semi Condensed" w:eastAsia="Barlow Semi Condensed" w:hAnsi="Barlow Semi Condensed"/>
          <w:b/>
          <w:bCs/>
          <w:sz w:val="24"/>
          <w:szCs w:val="24"/>
        </w:rPr>
        <w:t xml:space="preserve">920 · L'avvocato del diavolo di matrice.</w:t>
      </w:r>
      <w:r>
        <w:rPr>
          <w:rFonts w:ascii="Barlow Semi Condensed" w:cs="Barlow Semi Condensed" w:eastAsia="Barlow Semi Condensed" w:hAnsi="Barlow Semi Condensed"/>
          <w:sz w:val="24"/>
          <w:szCs w:val="24"/>
        </w:rPr>
        <w:t xml:space="preserve"> Il blocco 357 del manuale prescrive che in ogni matrice un membro designato difenda d'ufficio l'ipotesi meno gradita al gruppo, e che la difesa sia verbalizzata prima della chiusura. Sul versante internazionale l'ipotesi meno gradita è quasi sempre la più banale: che non vi fosse nulla di occulto da sapere. Va difesa per iscritto, con la stessa cura riservata alle altre.</w:t>
      </w:r>
    </w:p>
    <w:p>
      <w:pPr>
        <w:spacing w:after="120" w:line="276"/>
        <w:jc w:val="both"/>
      </w:pPr>
      <w:r>
        <w:rPr>
          <w:rFonts w:ascii="Barlow Semi Condensed" w:cs="Barlow Semi Condensed" w:eastAsia="Barlow Semi Condensed" w:hAnsi="Barlow Semi Condensed"/>
          <w:b/>
          <w:bCs/>
          <w:sz w:val="24"/>
          <w:szCs w:val="24"/>
        </w:rPr>
        <w:t xml:space="preserve">921 · Il quesito resta impersonale.</w:t>
      </w:r>
      <w:r>
        <w:rPr>
          <w:rFonts w:ascii="Barlow Semi Condensed" w:cs="Barlow Semi Condensed" w:eastAsia="Barlow Semi Condensed" w:hAnsi="Barlow Semi Condensed"/>
          <w:sz w:val="24"/>
          <w:szCs w:val="24"/>
        </w:rPr>
        <w:t xml:space="preserve"> Una matrice che contenga un nome ha già smesso di essere una matrice: diventa un'imputazione con tre alternative di cortesia. Il regime pubblico ammette soltanto quesiti su flussi, atti, sedi e procedure. È il vincolo che tiene insieme la serie sesta del manuale e la regola per cui il registro del giudicato resta l'unico luogo in cui le persone compaiono come responsabili.</w:t>
      </w:r>
    </w:p>
    <w:p>
      <w:pPr>
        <w:spacing w:after="120" w:line="276"/>
        <w:jc w:val="both"/>
      </w:pPr>
      <w:r>
        <w:rPr>
          <w:rFonts w:ascii="Barlow Semi Condensed" w:cs="Barlow Semi Condensed" w:eastAsia="Barlow Semi Condensed" w:hAnsi="Barlow Semi Condensed"/>
          <w:b/>
          <w:bCs/>
          <w:sz w:val="24"/>
          <w:szCs w:val="24"/>
        </w:rPr>
        <w:t xml:space="preserve">922 · Il censimento del ritenuto.</w:t>
      </w:r>
      <w:r>
        <w:rPr>
          <w:rFonts w:ascii="Barlow Semi Condensed" w:cs="Barlow Semi Condensed" w:eastAsia="Barlow Semi Condensed" w:hAnsi="Barlow Semi Condensed"/>
          <w:sz w:val="24"/>
          <w:szCs w:val="24"/>
        </w:rPr>
        <w:t xml:space="preserve"> Prima di chiedere ciò che manca occorre sapere che cosa è dichiaratamente trattenuto: le withdrawal cards del 1978 nei Central Foreign Policy Files, schedate una per una con serie, data, originatore e stato di richiedibilità. È il blocco 127 dell'agenda e il blocco 116 del manuale. La tavola del chiuso è metà della conoscenza, e si costruisce prima di redigere qualunque istanza.</w:t>
      </w:r>
    </w:p>
    <w:p>
      <w:pPr>
        <w:spacing w:after="120" w:line="276"/>
        <w:jc w:val="both"/>
      </w:pPr>
      <w:r>
        <w:rPr>
          <w:rFonts w:ascii="Barlow Semi Condensed" w:cs="Barlow Semi Condensed" w:eastAsia="Barlow Semi Condensed" w:hAnsi="Barlow Semi Condensed"/>
          <w:b/>
          <w:bCs/>
          <w:sz w:val="24"/>
          <w:szCs w:val="24"/>
        </w:rPr>
        <w:t xml:space="preserve">923 · Il full-text del 1978.</w:t>
      </w:r>
      <w:r>
        <w:rPr>
          <w:rFonts w:ascii="Barlow Semi Condensed" w:cs="Barlow Semi Condensed" w:eastAsia="Barlow Semi Condensed" w:hAnsi="Barlow Semi Condensed"/>
          <w:sz w:val="24"/>
          <w:szCs w:val="24"/>
        </w:rPr>
        <w:t xml:space="preserve"> I telegrammi elettronici del Dipartimento di Stato per il 1978 sono interrogabili in full-text nel sistema di accesso alle banche dati archivistiche dei National Archives, la cui copertura dei Central Foreign Policy Files va dal primo luglio 1973 al 31 dicembre 1979. L'agenda ne fa il blocco 128 e il manuale il blocco 115, con griglia di ricerca dichiarata e verbale anche degli esiti nulli.</w:t>
      </w:r>
    </w:p>
    <w:p>
      <w:pPr>
        <w:spacing w:after="120" w:line="276"/>
        <w:jc w:val="both"/>
      </w:pPr>
      <w:r>
        <w:rPr>
          <w:rFonts w:ascii="Barlow Semi Condensed" w:cs="Barlow Semi Condensed" w:eastAsia="Barlow Semi Condensed" w:hAnsi="Barlow Semi Condensed"/>
          <w:b/>
          <w:bCs/>
          <w:sz w:val="24"/>
          <w:szCs w:val="24"/>
        </w:rPr>
        <w:t xml:space="preserve">924 · La collezione a microfiche (serie XII).</w:t>
      </w:r>
      <w:r>
        <w:rPr>
          <w:rFonts w:ascii="Barlow Semi Condensed" w:cs="Barlow Semi Condensed" w:eastAsia="Barlow Semi Condensed" w:hAnsi="Barlow Semi Condensed"/>
          <w:sz w:val="24"/>
          <w:szCs w:val="24"/>
        </w:rPr>
        <w:t xml:space="preserve"> Nella biblioteca FOIA del Dipartimento di Stato è censita una collezione dedicata ad Aldo Moro, rilascio storico su microfiche non interamente digitalizzato. Il blocco 129 dell'agenda fissa il bersaglio: acquisizione integrale e confronto col già noto, per rispondere a una sola domanda — che cosa contiene che l'interrogazione elettronica non mostra? La risposta, quale che sia, è un'acquisizione di pieno valore.</w:t>
      </w:r>
    </w:p>
    <w:p>
      <w:pPr>
        <w:spacing w:after="120" w:line="276"/>
        <w:jc w:val="both"/>
      </w:pPr>
      <w:r>
        <w:rPr>
          <w:rFonts w:ascii="Barlow Semi Condensed" w:cs="Barlow Semi Condensed" w:eastAsia="Barlow Semi Condensed" w:hAnsi="Barlow Semi Condensed"/>
          <w:b/>
          <w:bCs/>
          <w:sz w:val="24"/>
          <w:szCs w:val="24"/>
        </w:rPr>
        <w:t xml:space="preserve">925 · Il lotto già acquisito e il suo metodo.</w:t>
      </w:r>
      <w:r>
        <w:rPr>
          <w:rFonts w:ascii="Barlow Semi Condensed" w:cs="Barlow Semi Condensed" w:eastAsia="Barlow Semi Condensed" w:hAnsi="Barlow Semi Condensed"/>
          <w:sz w:val="24"/>
          <w:szCs w:val="24"/>
        </w:rPr>
        <w:t xml:space="preserve"> Il corpus ha già ottenuto un fascicolo FOIA con i propri numeri di controllo, e il blocco 130 dell'agenda ne trae la lezione operativa: si ricognisce che cosa fu rilasciato e con quali omissis, e si formulano le richieste successive sulla stessa serie, allargando il perimetro un lotto alla volta. Il manuale lo iscrive al blocco 117 come l'atto più economico dell'intera campagna.</w:t>
      </w:r>
    </w:p>
    <w:p>
      <w:pPr>
        <w:spacing w:after="120" w:line="276"/>
        <w:jc w:val="both"/>
      </w:pPr>
      <w:r>
        <w:rPr>
          <w:rFonts w:ascii="Barlow Semi Condensed" w:cs="Barlow Semi Condensed" w:eastAsia="Barlow Semi Condensed" w:hAnsi="Barlow Semi Condensed"/>
          <w:b/>
          <w:bCs/>
          <w:sz w:val="24"/>
          <w:szCs w:val="24"/>
        </w:rPr>
        <w:t xml:space="preserve">926 · La forma della richiesta mirata.</w:t>
      </w:r>
      <w:r>
        <w:rPr>
          <w:rFonts w:ascii="Barlow Semi Condensed" w:cs="Barlow Semi Condensed" w:eastAsia="Barlow Semi Condensed" w:hAnsi="Barlow Semi Condensed"/>
          <w:sz w:val="24"/>
          <w:szCs w:val="24"/>
        </w:rPr>
        <w:t xml:space="preserve"> Per le carte ritirate che toccano i quesiti costitutivi si redigono richieste puntuali — accesso agli atti e revisione obbligatoria della classifica — una per carta o per piccolo lotto, con la motivazione storica argomentata. Sono i blocchi 131 dell'agenda e 118 del manuale. La strategia è l'erosione documentata: ogni diniego motivato è un dato, ogni rilascio una carta nuova, e nessuno dei due si perde.</w:t>
      </w:r>
    </w:p>
    <w:p>
      <w:pPr>
        <w:spacing w:after="120" w:line="276"/>
        <w:jc w:val="both"/>
      </w:pPr>
      <w:r>
        <w:rPr>
          <w:rFonts w:ascii="Barlow Semi Condensed" w:cs="Barlow Semi Condensed" w:eastAsia="Barlow Semi Condensed" w:hAnsi="Barlow Semi Condensed"/>
          <w:b/>
          <w:bCs/>
          <w:sz w:val="24"/>
          <w:szCs w:val="24"/>
        </w:rPr>
        <w:t xml:space="preserve">927 · La sala di lettura di Langley.</w:t>
      </w:r>
      <w:r>
        <w:rPr>
          <w:rFonts w:ascii="Barlow Semi Condensed" w:cs="Barlow Semi Condensed" w:eastAsia="Barlow Semi Condensed" w:hAnsi="Barlow Semi Condensed"/>
          <w:sz w:val="24"/>
          <w:szCs w:val="24"/>
        </w:rPr>
        <w:t xml:space="preserve"> La sala di lettura elettronica dell'agenzia contiene documenti declassificati su Moro, sulle Brigate rosse e sull'Italia del 1978. Il blocco 132 dell'agenda impone una disciplina prima dello spoglio: distinguere i documenti analitici dai ritagli di stampa raccolti internamente, che sono rassegna e non intelligence, e marcare ciascun reperto per quello che è. Metà degli equivoci sul versante nasce da questa confusione.</w:t>
      </w:r>
    </w:p>
    <w:p>
      <w:pPr>
        <w:spacing w:after="120" w:line="276"/>
        <w:jc w:val="both"/>
      </w:pPr>
      <w:r>
        <w:rPr>
          <w:rFonts w:ascii="Barlow Semi Condensed" w:cs="Barlow Semi Condensed" w:eastAsia="Barlow Semi Condensed" w:hAnsi="Barlow Semi Condensed"/>
          <w:b/>
          <w:bCs/>
          <w:sz w:val="24"/>
          <w:szCs w:val="24"/>
        </w:rPr>
        <w:t xml:space="preserve">928 · I due fondi presidenziali.</w:t>
      </w:r>
      <w:r>
        <w:rPr>
          <w:rFonts w:ascii="Barlow Semi Condensed" w:cs="Barlow Semi Condensed" w:eastAsia="Barlow Semi Condensed" w:hAnsi="Barlow Semi Condensed"/>
          <w:sz w:val="24"/>
          <w:szCs w:val="24"/>
        </w:rPr>
        <w:t xml:space="preserve"> Alla Ford Library stanno i memorandum del settembre 1974 già noti; alla Carter Library la collezione degli affari di sicurezza nazionale, col fascicolo per paese sull'Italia fra il 1977 e il 1981, risulta processata e aperta. Il blocco 133 dell'agenda punta allo spoglio del fascicolo italiano dei cinquantacinque giorni, con acquisizione digitale delle carte rilevanti. Due presidenze, due giacimenti, un solo protocollo.</w:t>
      </w:r>
    </w:p>
    <w:p>
      <w:pPr>
        <w:spacing w:after="120" w:line="276"/>
        <w:jc w:val="both"/>
      </w:pPr>
      <w:r>
        <w:rPr>
          <w:rFonts w:ascii="Barlow Semi Condensed" w:cs="Barlow Semi Condensed" w:eastAsia="Barlow Semi Condensed" w:hAnsi="Barlow Semi Condensed"/>
          <w:b/>
          <w:bCs/>
          <w:sz w:val="24"/>
          <w:szCs w:val="24"/>
        </w:rPr>
        <w:t xml:space="preserve">929 · FRUS come mappa dell'archivio.</w:t>
      </w:r>
      <w:r>
        <w:rPr>
          <w:rFonts w:ascii="Barlow Semi Condensed" w:cs="Barlow Semi Condensed" w:eastAsia="Barlow Semi Condensed" w:hAnsi="Barlow Semi Condensed"/>
          <w:sz w:val="24"/>
          <w:szCs w:val="24"/>
        </w:rPr>
        <w:t xml:space="preserve"> I volumi della serie ufficiale per gli anni 1977-1980 vanno spogliati per ciò che sono, secondo il blocco 134 dell'agenda: una selezione curata che dichiara le proprie fonti. Ogni nota a piè di pagina è una segnatura da seguire nel fondo che l'ha alimentata. Accanto, il blocco 135 apre gli atti delle commissioni del Congresso sul terrorismo europeo, come cornice pubblica coeva.</w:t>
      </w:r>
    </w:p>
    <w:p>
      <w:pPr>
        <w:spacing w:after="120" w:line="276"/>
        <w:jc w:val="both"/>
      </w:pPr>
      <w:r>
        <w:rPr>
          <w:rFonts w:ascii="Barlow Semi Condensed" w:cs="Barlow Semi Condensed" w:eastAsia="Barlow Semi Condensed" w:hAnsi="Barlow Semi Condensed"/>
          <w:b/>
          <w:bCs/>
          <w:sz w:val="24"/>
          <w:szCs w:val="24"/>
        </w:rPr>
        <w:t xml:space="preserve">930 · Il registro delle richieste (serie XII).</w:t>
      </w:r>
      <w:r>
        <w:rPr>
          <w:rFonts w:ascii="Barlow Semi Condensed" w:cs="Barlow Semi Condensed" w:eastAsia="Barlow Semi Condensed" w:hAnsi="Barlow Semi Condensed"/>
          <w:sz w:val="24"/>
          <w:szCs w:val="24"/>
        </w:rPr>
        <w:t xml:space="preserve"> Ogni istanza internazionale entra nel registro con la propria colonna dei tempi, perché gli archivi esteri rispondono in mesi o anni e l'agenda pianifica su quei tempi invece di subirli: sono i blocchi 150 e 259. Il manuale aggiunge la regola d'ingaggio: si chiede l'inventario prima del documento, si cita la norma d'accesso, si registra l'esito e si ringrazia per iscritto.</w:t>
      </w:r>
    </w:p>
    <w:p>
      <w:pPr>
        <w:spacing w:after="120" w:line="276"/>
        <w:jc w:val="both"/>
      </w:pPr>
      <w:r>
        <w:rPr>
          <w:rFonts w:ascii="Barlow Semi Condensed" w:cs="Barlow Semi Condensed" w:eastAsia="Barlow Semi Condensed" w:hAnsi="Barlow Semi Condensed"/>
          <w:b/>
          <w:bCs/>
          <w:sz w:val="24"/>
          <w:szCs w:val="24"/>
        </w:rPr>
        <w:t xml:space="preserve">931 · Il pavimento dei cinque processi.</w:t>
      </w:r>
      <w:r>
        <w:rPr>
          <w:rFonts w:ascii="Barlow Semi Condensed" w:cs="Barlow Semi Condensed" w:eastAsia="Barlow Semi Condensed" w:hAnsi="Barlow Semi Condensed"/>
          <w:sz w:val="24"/>
          <w:szCs w:val="24"/>
        </w:rPr>
        <w:t xml:space="preserve"> Cinque processi celebrati in vent'anni hanno depositato per sedimentazione l'ossatura fattuale del caso, e la Fase settima la chiama pavimento: sotto quella soglia non si scende. È il punto d'appoggio del corpus, non un'opinione fra le altre, ed è la ragione per cui il versante internazionale può restare aperto senza che il caso resti indeterminato. Un fascicolo aperto poggia comunque su un pavimento.</w:t>
      </w:r>
    </w:p>
    <w:p>
      <w:pPr>
        <w:spacing w:after="120" w:line="276"/>
        <w:jc w:val="both"/>
      </w:pPr>
      <w:r>
        <w:rPr>
          <w:rFonts w:ascii="Barlow Semi Condensed" w:cs="Barlow Semi Condensed" w:eastAsia="Barlow Semi Condensed" w:hAnsi="Barlow Semi Condensed"/>
          <w:b/>
          <w:bCs/>
          <w:sz w:val="24"/>
          <w:szCs w:val="24"/>
        </w:rPr>
        <w:t xml:space="preserve">932 · Una Commissione non è un tribunale.</w:t>
      </w:r>
      <w:r>
        <w:rPr>
          <w:rFonts w:ascii="Barlow Semi Condensed" w:cs="Barlow Semi Condensed" w:eastAsia="Barlow Semi Condensed" w:hAnsi="Barlow Semi Condensed"/>
          <w:sz w:val="24"/>
          <w:szCs w:val="24"/>
        </w:rPr>
        <w:t xml:space="preserve"> Un'inchiesta parlamentare ha gli strumenti dell'autorità giudiziaria e non la sua funzione: accerta fatti sul piano storico-politico, non responsabilità penali. Nell'apparato dei gradi occupa perciò il livello B, più della congettura e meno del giudicato, e i suoi accertamenti si citano dicendo che la Commissione ha documentato, mai che è provato in giudizio. La conferma parlamentare di una testimonianza non la promuove a fatto.</w:t>
      </w:r>
    </w:p>
    <w:p>
      <w:pPr>
        <w:spacing w:after="120" w:line="276"/>
        <w:jc w:val="both"/>
      </w:pPr>
      <w:r>
        <w:rPr>
          <w:rFonts w:ascii="Barlow Semi Condensed" w:cs="Barlow Semi Condensed" w:eastAsia="Barlow Semi Condensed" w:hAnsi="Barlow Semi Condensed"/>
          <w:b/>
          <w:bCs/>
          <w:sz w:val="24"/>
          <w:szCs w:val="24"/>
        </w:rPr>
        <w:t xml:space="preserve">933 · Nessuno oltre il giudicato.</w:t>
      </w:r>
      <w:r>
        <w:rPr>
          <w:rFonts w:ascii="Barlow Semi Condensed" w:cs="Barlow Semi Condensed" w:eastAsia="Barlow Semi Condensed" w:hAnsi="Barlow Semi Condensed"/>
          <w:sz w:val="24"/>
          <w:szCs w:val="24"/>
        </w:rPr>
        <w:t xml:space="preserve"> La regola che governa quest'opera non è personale e vale in entrambe le direzioni, perché protegge insieme l'accusato assente e la serietà di chi scrive: nessun blocco può indicare come responsabile di reato chi non sia stato condannato. Per il protagonista della triangolazione il punto è accertato — nessuna condanna, nessun rinvio a giudizio, nessun procedimento penale in alcun Paese — e su questo concordano anche le fonti a lui più ostili.</w:t>
      </w:r>
    </w:p>
    <w:p>
      <w:pPr>
        <w:spacing w:after="120" w:line="276"/>
        <w:jc w:val="both"/>
      </w:pPr>
      <w:r>
        <w:rPr>
          <w:rFonts w:ascii="Barlow Semi Condensed" w:cs="Barlow Semi Condensed" w:eastAsia="Barlow Semi Condensed" w:hAnsi="Barlow Semi Condensed"/>
          <w:b/>
          <w:bCs/>
          <w:sz w:val="24"/>
          <w:szCs w:val="24"/>
        </w:rPr>
        <w:t xml:space="preserve">934 · Contro l'ordinale del sospetto.</w:t>
      </w:r>
      <w:r>
        <w:rPr>
          <w:rFonts w:ascii="Barlow Semi Condensed" w:cs="Barlow Semi Condensed" w:eastAsia="Barlow Semi Condensed" w:hAnsi="Barlow Semi Condensed"/>
          <w:sz w:val="24"/>
          <w:szCs w:val="24"/>
        </w:rPr>
        <w:t xml:space="preserve"> Una graduatoria di probabili responsabili, anche la più scrupolosa, compie l'operazione che il diritto vieta: trasforma il sospetto in un numero d'ordine, assegnando un posto in classifica senza il solo strumento che possa assegnarlo, il processo con le sue garanzie. Fuori da quel recinto la probabilità su un nome non è un grado di conoscenza: è un marchio, e nessun tribunale può revocarlo.</w:t>
      </w:r>
    </w:p>
    <w:p>
      <w:pPr>
        <w:spacing w:after="120" w:line="276"/>
        <w:jc w:val="both"/>
      </w:pPr>
      <w:r>
        <w:rPr>
          <w:rFonts w:ascii="Barlow Semi Condensed" w:cs="Barlow Semi Condensed" w:eastAsia="Barlow Semi Condensed" w:hAnsi="Barlow Semi Condensed"/>
          <w:b/>
          <w:bCs/>
          <w:sz w:val="24"/>
          <w:szCs w:val="24"/>
        </w:rPr>
        <w:t xml:space="preserve">935 · Il terzo termine fra silenzio e classifica.</w:t>
      </w:r>
      <w:r>
        <w:rPr>
          <w:rFonts w:ascii="Barlow Semi Condensed" w:cs="Barlow Semi Condensed" w:eastAsia="Barlow Semi Condensed" w:hAnsi="Barlow Semi Condensed"/>
          <w:sz w:val="24"/>
          <w:szCs w:val="24"/>
        </w:rPr>
        <w:t xml:space="preserve"> Fra il tacere e il nominare esiste il lavoro: indicare con precisione i vuoti, dire quale documento manca e dove giace, tenere alta la pressione perché venga cercato o desecretato. Ogni verità emersa sul caso Moro è emersa da un fascicolo riaperto, mai da una classifica — e una volta fatto il nome la ricerca si ferma appagata, e il documento decisivo non viene più cercato.</w:t>
      </w:r>
    </w:p>
    <w:p>
      <w:pPr>
        <w:spacing w:after="120" w:line="276"/>
        <w:jc w:val="both"/>
      </w:pPr>
      <w:r>
        <w:rPr>
          <w:rFonts w:ascii="Barlow Semi Condensed" w:cs="Barlow Semi Condensed" w:eastAsia="Barlow Semi Condensed" w:hAnsi="Barlow Semi Condensed"/>
          <w:b/>
          <w:bCs/>
          <w:sz w:val="24"/>
          <w:szCs w:val="24"/>
        </w:rPr>
        <w:t xml:space="preserve">936 · Il divieto assoluto: cornice ed esecuzione.</w:t>
      </w:r>
      <w:r>
        <w:rPr>
          <w:rFonts w:ascii="Barlow Semi Condensed" w:cs="Barlow Semi Condensed" w:eastAsia="Barlow Semi Condensed" w:hAnsi="Barlow Semi Condensed"/>
          <w:sz w:val="24"/>
          <w:szCs w:val="24"/>
        </w:rPr>
        <w:t xml:space="preserve"> Dalla cornice non si deduce l'esecuzione, mai, in nessun caso e per nessuna via. L'ostilità documentata è fenotipo: ciò che si vede, si data, si cita. Il programma che l'avrebbe tradotta in atti sarebbe genotipo, e il genotipo non si legge guardando il fenotipo: si legge sequenziando, cioè aprendo archivi. Dove gli archivi tacciono, l'inferenza non è ardita: è vietata.</w:t>
      </w:r>
    </w:p>
    <w:p>
      <w:pPr>
        <w:spacing w:after="120" w:line="276"/>
        <w:jc w:val="both"/>
      </w:pPr>
      <w:r>
        <w:rPr>
          <w:rFonts w:ascii="Barlow Semi Condensed" w:cs="Barlow Semi Condensed" w:eastAsia="Barlow Semi Condensed" w:hAnsi="Barlow Semi Condensed"/>
          <w:b/>
          <w:bCs/>
          <w:sz w:val="24"/>
          <w:szCs w:val="24"/>
        </w:rPr>
        <w:t xml:space="preserve">937 · L'espressione differenziale secondo l'ambiente (serie XII).</w:t>
      </w:r>
      <w:r>
        <w:rPr>
          <w:rFonts w:ascii="Barlow Semi Condensed" w:cs="Barlow Semi Condensed" w:eastAsia="Barlow Semi Condensed" w:hAnsi="Barlow Semi Condensed"/>
          <w:sz w:val="24"/>
          <w:szCs w:val="24"/>
        </w:rPr>
        <w:t xml:space="preserve"> Lo stesso codice si esprime diversamente secondo l'ambiente, e qui la metafora smette di essere pericolosa e diventa utile. La stessa dottrina della guerra fredda produsse in Portogallo, in Grecia e in Italia esiti fra loro incomparabili, perché incomparabili erano le società che la ricevettero. Chi legge un solo esito e ne deduce il codice ha invertito il verso della spiegazione.</w:t>
      </w:r>
    </w:p>
    <w:p>
      <w:pPr>
        <w:spacing w:after="120" w:line="276"/>
        <w:jc w:val="both"/>
      </w:pPr>
      <w:r>
        <w:rPr>
          <w:rFonts w:ascii="Barlow Semi Condensed" w:cs="Barlow Semi Condensed" w:eastAsia="Barlow Semi Condensed" w:hAnsi="Barlow Semi Condensed"/>
          <w:b/>
          <w:bCs/>
          <w:sz w:val="24"/>
          <w:szCs w:val="24"/>
        </w:rPr>
        <w:t xml:space="preserve">938 · Il non codificante e l'epigenetico.</w:t>
      </w:r>
      <w:r>
        <w:rPr>
          <w:rFonts w:ascii="Barlow Semi Condensed" w:cs="Barlow Semi Condensed" w:eastAsia="Barlow Semi Condensed" w:hAnsi="Barlow Semi Condensed"/>
          <w:sz w:val="24"/>
          <w:szCs w:val="24"/>
        </w:rPr>
        <w:t xml:space="preserve"> Gran parte di un genoma non codifica proteine, e a lungo fu detta spazzatura prima che se ne riconoscessero funzioni regolative. Gli archivi hanno la loro porzione muta — carte che non dicono nulla sul caso e regolano tutto il resto — e la loro epigenetica: prassi, calendari, regole dell'originatore che decidono che cosa si esprima e quando, senza mutare una lettera del testo.</w:t>
      </w:r>
    </w:p>
    <w:p>
      <w:pPr>
        <w:spacing w:after="120" w:line="276"/>
        <w:jc w:val="both"/>
      </w:pPr>
      <w:r>
        <w:rPr>
          <w:rFonts w:ascii="Barlow Semi Condensed" w:cs="Barlow Semi Condensed" w:eastAsia="Barlow Semi Condensed" w:hAnsi="Barlow Semi Condensed"/>
          <w:b/>
          <w:bCs/>
          <w:sz w:val="24"/>
          <w:szCs w:val="24"/>
        </w:rPr>
        <w:t xml:space="preserve">939 · La mutazione e l'errore di copia.</w:t>
      </w:r>
      <w:r>
        <w:rPr>
          <w:rFonts w:ascii="Barlow Semi Condensed" w:cs="Barlow Semi Condensed" w:eastAsia="Barlow Semi Condensed" w:hAnsi="Barlow Semi Condensed"/>
          <w:sz w:val="24"/>
          <w:szCs w:val="24"/>
        </w:rPr>
        <w:t xml:space="preserve"> Ogni trasmissione introduce errori, e l'errore è il motore della divergenza: una testimonianza copiata mille volte muta come una sequenza replicata senza correzione. Riconoscere una mutazione non è accusare chi la introdusse — quasi sempre nessuno la introdusse apposta — ma datarla e collocarla nell'albero. Il nodo M-5 è, in questo senso, una linea di trasmissione da ricostruire prima che da giudicare.</w:t>
      </w:r>
    </w:p>
    <w:p>
      <w:pPr>
        <w:spacing w:after="120" w:line="276"/>
        <w:jc w:val="both"/>
      </w:pPr>
      <w:r>
        <w:rPr>
          <w:rFonts w:ascii="Barlow Semi Condensed" w:cs="Barlow Semi Condensed" w:eastAsia="Barlow Semi Condensed" w:hAnsi="Barlow Semi Condensed"/>
          <w:b/>
          <w:bCs/>
          <w:sz w:val="24"/>
          <w:szCs w:val="24"/>
        </w:rPr>
        <w:t xml:space="preserve">940 · Congedo: l'albero resta un'ipotesi.</w:t>
      </w:r>
      <w:r>
        <w:rPr>
          <w:rFonts w:ascii="Barlow Semi Condensed" w:cs="Barlow Semi Condensed" w:eastAsia="Barlow Semi Condensed" w:hAnsi="Barlow Semi Condensed"/>
          <w:sz w:val="24"/>
          <w:szCs w:val="24"/>
        </w:rPr>
        <w:t xml:space="preserve"> La filogenesi di questo versante consegna un albero con pochi rami sicuri, molte politomie dichiarate e una radice che nessun documento ha ancora mostrato. È meno di ciò che il lettore desidera e più di ciò che quarant'anni di narrazione hanno prodotto, perché ogni ramo qui porta la propria segnatura e ogni vuoto la propria sede d'archivio. L'albero resta un'ipotesi; il fascicolo resta aperto.</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Serie tredicesima — Il limite della metafora: la colpa non si eredita</w:t>
      </w:r>
    </w:p>
    <w:p>
      <w:pPr>
        <w:spacing w:after="120" w:line="276"/>
        <w:jc w:val="both"/>
      </w:pPr>
      <w:r>
        <w:rPr>
          <w:rFonts w:ascii="Barlow Semi Condensed" w:cs="Barlow Semi Condensed" w:eastAsia="Barlow Semi Condensed" w:hAnsi="Barlow Semi Condensed"/>
          <w:i/>
          <w:iCs/>
          <w:sz w:val="24"/>
          <w:szCs w:val="24"/>
        </w:rPr>
        <w:t xml:space="preserve">Blocchi 941-1000.</w:t>
      </w:r>
    </w:p>
    <w:p>
      <w:pPr>
        <w:spacing w:after="120" w:line="276"/>
        <w:jc w:val="both"/>
      </w:pPr>
      <w:r>
        <w:rPr>
          <w:rFonts w:ascii="Barlow Semi Condensed" w:cs="Barlow Semi Condensed" w:eastAsia="Barlow Semi Condensed" w:hAnsi="Barlow Semi Condensed"/>
          <w:b/>
          <w:bCs/>
          <w:sz w:val="24"/>
          <w:szCs w:val="24"/>
        </w:rPr>
        <w:t xml:space="preserve">941 · La direzione della metafora.</w:t>
      </w:r>
      <w:r>
        <w:rPr>
          <w:rFonts w:ascii="Barlow Semi Condensed" w:cs="Barlow Semi Condensed" w:eastAsia="Barlow Semi Condensed" w:hAnsi="Barlow Semi Condensed"/>
          <w:sz w:val="24"/>
          <w:szCs w:val="24"/>
        </w:rPr>
        <w:t xml:space="preserve"> Ogni metafora ha una direzione, e questa la ha in modo violento: nel codice genetico l'informazione scorre dal testo alla forma, e la forma non riscrive il testo. Applicata alla storia, quella direzione diventa determinismo, come se il passato spiegasse il presente nel modo in cui un gene spiega un carattere. Il vincolo della serie è questo: la metafora orienta le domande, non stabilisce che una causa anteriore produca necessariamente un esito posteriore.</w:t>
      </w:r>
    </w:p>
    <w:p>
      <w:pPr>
        <w:spacing w:after="120" w:line="276"/>
        <w:jc w:val="both"/>
      </w:pPr>
      <w:r>
        <w:rPr>
          <w:rFonts w:ascii="Barlow Semi Condensed" w:cs="Barlow Semi Condensed" w:eastAsia="Barlow Semi Condensed" w:hAnsi="Barlow Semi Condensed"/>
          <w:b/>
          <w:bCs/>
          <w:sz w:val="24"/>
          <w:szCs w:val="24"/>
        </w:rPr>
        <w:t xml:space="preserve">942 · Il determinismo nascosto nel codice.</w:t>
      </w:r>
      <w:r>
        <w:rPr>
          <w:rFonts w:ascii="Barlow Semi Condensed" w:cs="Barlow Semi Condensed" w:eastAsia="Barlow Semi Condensed" w:hAnsi="Barlow Semi Condensed"/>
          <w:sz w:val="24"/>
          <w:szCs w:val="24"/>
        </w:rPr>
        <w:t xml:space="preserve"> La biologia ha impiegato decenni a smontare il proprio determinismo, la formula un gene un carattere, e chi ne prende in prestito il lessico rischia di importarne la versione obsoleta. Regola operativa: ogni volta che un blocco scrive codice, trasmissione o espressione, deve poter rispondere alla domanda quale documento attesta il passaggio. Senza documento la parola resta figura retorica, e una figura retorica non è mai un ponte al piano uno.</w:t>
      </w:r>
    </w:p>
    <w:p>
      <w:pPr>
        <w:spacing w:after="120" w:line="276"/>
        <w:jc w:val="both"/>
      </w:pPr>
      <w:r>
        <w:rPr>
          <w:rFonts w:ascii="Barlow Semi Condensed" w:cs="Barlow Semi Condensed" w:eastAsia="Barlow Semi Condensed" w:hAnsi="Barlow Semi Condensed"/>
          <w:b/>
          <w:bCs/>
          <w:sz w:val="24"/>
          <w:szCs w:val="24"/>
        </w:rPr>
        <w:t xml:space="preserve">943 · La storia non ha genoma.</w:t>
      </w:r>
      <w:r>
        <w:rPr>
          <w:rFonts w:ascii="Barlow Semi Condensed" w:cs="Barlow Semi Condensed" w:eastAsia="Barlow Semi Condensed" w:hAnsi="Barlow Semi Condensed"/>
          <w:sz w:val="24"/>
          <w:szCs w:val="24"/>
        </w:rPr>
        <w:t xml:space="preserve"> Il genoma esiste prima dell'organismo e lo precede materialmente; nessun testo analogo precede gli eventi del 1967, del 1972 o del 1978. Ciò che il corpus possiede sono atti, verbali, sentenze e assenze dichiarate, prodotti dopo e non prima. Dire che una dottrina era già scritta nel corso delle cose è retorica: il quesito storiografico corretto chiede quale documento, redatto in quale data e da quale ufficio, dispose che cosa.</w:t>
      </w:r>
    </w:p>
    <w:p>
      <w:pPr>
        <w:spacing w:after="120" w:line="276"/>
        <w:jc w:val="both"/>
      </w:pPr>
      <w:r>
        <w:rPr>
          <w:rFonts w:ascii="Barlow Semi Condensed" w:cs="Barlow Semi Condensed" w:eastAsia="Barlow Semi Condensed" w:hAnsi="Barlow Semi Condensed"/>
          <w:b/>
          <w:bCs/>
          <w:sz w:val="24"/>
          <w:szCs w:val="24"/>
        </w:rPr>
        <w:t xml:space="preserve">944 · Omologia e analogia, la distinzione decisiva.</w:t>
      </w:r>
      <w:r>
        <w:rPr>
          <w:rFonts w:ascii="Barlow Semi Condensed" w:cs="Barlow Semi Condensed" w:eastAsia="Barlow Semi Condensed" w:hAnsi="Barlow Semi Condensed"/>
          <w:sz w:val="24"/>
          <w:szCs w:val="24"/>
        </w:rPr>
        <w:t xml:space="preserve"> La biologia distingue l'omologia, somiglianza per discendenza comune e documentata, dall'analogia, somiglianza di funzione nata per vie indipendenti. È la distinzione più utile che la metafora offra, e taglia contro chi la usa: la simmetria fra le ombre statunitensi su La Higuera e su via Fani è analogia, non omologia, perché nessun documento attesta una discendenza comune. Restano due vicende dentro una cornice condivisa, e una cornice non è un antenato.</w:t>
      </w:r>
    </w:p>
    <w:p>
      <w:pPr>
        <w:spacing w:after="120" w:line="276"/>
        <w:jc w:val="both"/>
      </w:pPr>
      <w:r>
        <w:rPr>
          <w:rFonts w:ascii="Barlow Semi Condensed" w:cs="Barlow Semi Condensed" w:eastAsia="Barlow Semi Condensed" w:hAnsi="Barlow Semi Condensed"/>
          <w:b/>
          <w:bCs/>
          <w:sz w:val="24"/>
          <w:szCs w:val="24"/>
        </w:rPr>
        <w:t xml:space="preserve">945 · La filogenesi ricostruisce, non giudica.</w:t>
      </w:r>
      <w:r>
        <w:rPr>
          <w:rFonts w:ascii="Barlow Semi Condensed" w:cs="Barlow Semi Condensed" w:eastAsia="Barlow Semi Condensed" w:hAnsi="Barlow Semi Condensed"/>
          <w:sz w:val="24"/>
          <w:szCs w:val="24"/>
        </w:rPr>
        <w:t xml:space="preserve"> Un albero filogenetico ordina relazioni di parentela e non attribuisce meriti né colpe ai rami. Trasferita al corpus, la regola dice che una genealogia dottrinale, dal foquismo alle Brigate Rosse o dal realismo alla politica di potenza, può essere ricostruita e documentata come parentela di idee, e proprio per questo non decide nulla sulle condotte. L'albero dice da chi si discende; il registro del giudicato dice chi ha fatto che cosa.</w:t>
      </w:r>
    </w:p>
    <w:p>
      <w:pPr>
        <w:spacing w:after="120" w:line="276"/>
        <w:jc w:val="both"/>
      </w:pPr>
      <w:r>
        <w:rPr>
          <w:rFonts w:ascii="Barlow Semi Condensed" w:cs="Barlow Semi Condensed" w:eastAsia="Barlow Semi Condensed" w:hAnsi="Barlow Semi Condensed"/>
          <w:b/>
          <w:bCs/>
          <w:sz w:val="24"/>
          <w:szCs w:val="24"/>
        </w:rPr>
        <w:t xml:space="preserve">946 · L'epigenetica non è un alibi.</w:t>
      </w:r>
      <w:r>
        <w:rPr>
          <w:rFonts w:ascii="Barlow Semi Condensed" w:cs="Barlow Semi Condensed" w:eastAsia="Barlow Semi Condensed" w:hAnsi="Barlow Semi Condensed"/>
          <w:sz w:val="24"/>
          <w:szCs w:val="24"/>
        </w:rPr>
        <w:t xml:space="preserve"> L'espressione differenziale secondo l'ambiente è il capitolo più fecondo della metafora e il più pericoloso: spiega perché lo stesso lessico rivoluzionario dia esiti diversi all'Avana, a Parigi e a Milano, ma scivola con facilità nella formula che assolve, fu l'ambiente. Qui la si ferma. L'ambiente è contesto documentabile e mai soggetto d'imputazione; nessun clima d'epoca ha premuto un grilletto, e nessuna condotta accertata si attenua perché il clima la spiega.</w:t>
      </w:r>
    </w:p>
    <w:p>
      <w:pPr>
        <w:spacing w:after="120" w:line="276"/>
        <w:jc w:val="both"/>
      </w:pPr>
      <w:r>
        <w:rPr>
          <w:rFonts w:ascii="Barlow Semi Condensed" w:cs="Barlow Semi Condensed" w:eastAsia="Barlow Semi Condensed" w:hAnsi="Barlow Semi Condensed"/>
          <w:b/>
          <w:bCs/>
          <w:sz w:val="24"/>
          <w:szCs w:val="24"/>
        </w:rPr>
        <w:t xml:space="preserve">947 · Il DNA non codificante e il silenzio.</w:t>
      </w:r>
      <w:r>
        <w:rPr>
          <w:rFonts w:ascii="Barlow Semi Condensed" w:cs="Barlow Semi Condensed" w:eastAsia="Barlow Semi Condensed" w:hAnsi="Barlow Semi Condensed"/>
          <w:sz w:val="24"/>
          <w:szCs w:val="24"/>
        </w:rPr>
        <w:t xml:space="preserve"> La metafora offre anche i tratti che non codificano nulla: sequenze presenti, in parte trascritte, prive di funzione nota. È l'immagine esatta dei silenzi d'archivio del corpus, il telegramma mai reperito, il registro mai tenuto. La disciplina resta quella del blocco 233 dell'agenda: il buco si misura e si verbalizza con perimetro esatto. Attribuire un significato al non codificante solo perché è lì è, in biologia come qui, un errore di lettura.</w:t>
      </w:r>
    </w:p>
    <w:p>
      <w:pPr>
        <w:spacing w:after="120" w:line="276"/>
        <w:jc w:val="both"/>
      </w:pPr>
      <w:r>
        <w:rPr>
          <w:rFonts w:ascii="Barlow Semi Condensed" w:cs="Barlow Semi Condensed" w:eastAsia="Barlow Semi Condensed" w:hAnsi="Barlow Semi Condensed"/>
          <w:b/>
          <w:bCs/>
          <w:sz w:val="24"/>
          <w:szCs w:val="24"/>
        </w:rPr>
        <w:t xml:space="preserve">948 · La mutazione non è tradimento.</w:t>
      </w:r>
      <w:r>
        <w:rPr>
          <w:rFonts w:ascii="Barlow Semi Condensed" w:cs="Barlow Semi Condensed" w:eastAsia="Barlow Semi Condensed" w:hAnsi="Barlow Semi Condensed"/>
          <w:sz w:val="24"/>
          <w:szCs w:val="24"/>
        </w:rPr>
        <w:t xml:space="preserve"> Nel lessico corrente la parola mutazione porta una carica morale che la biologia non le dà: una variante non è una degenerazione, è una differenza che l'ambiente seleziona oppure no. Quando il corpus scrive che il mito guevarista importato in Italia si rovesciò nel suo contrario, descrive un mutamento storico documentato e non emette un giudizio sull'origine. Chi risponde della variante è chi l'ha prodotta, non chi ha generato l'originale.</w:t>
      </w:r>
    </w:p>
    <w:p>
      <w:pPr>
        <w:spacing w:after="120" w:line="276"/>
        <w:jc w:val="both"/>
      </w:pPr>
      <w:r>
        <w:rPr>
          <w:rFonts w:ascii="Barlow Semi Condensed" w:cs="Barlow Semi Condensed" w:eastAsia="Barlow Semi Condensed" w:hAnsi="Barlow Semi Condensed"/>
          <w:b/>
          <w:bCs/>
          <w:sz w:val="24"/>
          <w:szCs w:val="24"/>
        </w:rPr>
        <w:t xml:space="preserve">949 · Il fenotipo non retrodice il genotipo.</w:t>
      </w:r>
      <w:r>
        <w:rPr>
          <w:rFonts w:ascii="Barlow Semi Condensed" w:cs="Barlow Semi Condensed" w:eastAsia="Barlow Semi Condensed" w:hAnsi="Barlow Semi Condensed"/>
          <w:sz w:val="24"/>
          <w:szCs w:val="24"/>
        </w:rPr>
        <w:t xml:space="preserve"> Dall'esito visibile non si risale al codice: fenotipi identici nascono da genotipi diversi, e la biologia ha smesso da tempo di leggere all'indietro. È il divieto di inferenza retrospettiva applicato alla storia: dal fatto che uno statista sia stato ucciso non si deduce chi avesse interesse a ucciderlo, e dall'interesse non si deduce l'ordine. Il piano due, convergenza entro la stessa cornice, resta piano due anche quando l'esito è clamoroso.</w:t>
      </w:r>
    </w:p>
    <w:p>
      <w:pPr>
        <w:spacing w:after="120" w:line="276"/>
        <w:jc w:val="both"/>
      </w:pPr>
      <w:r>
        <w:rPr>
          <w:rFonts w:ascii="Barlow Semi Condensed" w:cs="Barlow Semi Condensed" w:eastAsia="Barlow Semi Condensed" w:hAnsi="Barlow Semi Condensed"/>
          <w:b/>
          <w:bCs/>
          <w:sz w:val="24"/>
          <w:szCs w:val="24"/>
        </w:rPr>
        <w:t xml:space="preserve">950 · La replicazione esige un originale.</w:t>
      </w:r>
      <w:r>
        <w:rPr>
          <w:rFonts w:ascii="Barlow Semi Condensed" w:cs="Barlow Semi Condensed" w:eastAsia="Barlow Semi Condensed" w:hAnsi="Barlow Semi Condensed"/>
          <w:sz w:val="24"/>
          <w:szCs w:val="24"/>
        </w:rPr>
        <w:t xml:space="preserve"> Replicare significa copiare un originale identificabile. Se un blocco parla di dottrine replicate deve indicare l'originale, con testo, data e autore, e la copia, con lo stesso obbligo per entrambi. Altrimenti la parola descrive una somiglianza, e la somiglianza senza discendenza documentata è analogia. Quesito permanente: per ogni presunta replicazione dottrinale reperire il documento d'origine e il documento derivato, oppure dichiarare lo Stato Zero con la sede in cui si chiuderebbe.</w:t>
      </w:r>
    </w:p>
    <w:p>
      <w:pPr>
        <w:spacing w:after="120" w:line="276"/>
        <w:jc w:val="both"/>
      </w:pPr>
      <w:r>
        <w:rPr>
          <w:rFonts w:ascii="Barlow Semi Condensed" w:cs="Barlow Semi Condensed" w:eastAsia="Barlow Semi Condensed" w:hAnsi="Barlow Semi Condensed"/>
          <w:b/>
          <w:bCs/>
          <w:sz w:val="24"/>
          <w:szCs w:val="24"/>
        </w:rPr>
        <w:t xml:space="preserve">951 · Guevara modello dichiarato, non mandante.</w:t>
      </w:r>
      <w:r>
        <w:rPr>
          <w:rFonts w:ascii="Barlow Semi Condensed" w:cs="Barlow Semi Condensed" w:eastAsia="Barlow Semi Condensed" w:hAnsi="Barlow Semi Condensed"/>
          <w:sz w:val="24"/>
          <w:szCs w:val="24"/>
        </w:rPr>
        <w:t xml:space="preserve"> Il corpus documenta che le Brigate Rosse, fondate al convegno di Pecorile nell'agosto 1970, assunsero Ernesto Guevara come modello individuale di riferimento accanto ai Tupamaros: è genealogia dichiarata dall'organizzazione stessa, di grado alto quanto all'esistenza della dichiarazione. Da essa non discende nulla sul piano della responsabilità. Guevara era morto il 9 ottobre 1967, undici anni prima di via Fani, e un morto non concorre: il modello è un fatto, il mandato sarebbe un altro fatto e non esiste.</w:t>
      </w:r>
    </w:p>
    <w:p>
      <w:pPr>
        <w:spacing w:after="120" w:line="276"/>
        <w:jc w:val="both"/>
      </w:pPr>
      <w:r>
        <w:rPr>
          <w:rFonts w:ascii="Barlow Semi Condensed" w:cs="Barlow Semi Condensed" w:eastAsia="Barlow Semi Condensed" w:hAnsi="Barlow Semi Condensed"/>
          <w:b/>
          <w:bCs/>
          <w:sz w:val="24"/>
          <w:szCs w:val="24"/>
        </w:rPr>
        <w:t xml:space="preserve">952 · Feltrinelli vettore, non trasmettitore di colpa.</w:t>
      </w:r>
      <w:r>
        <w:rPr>
          <w:rFonts w:ascii="Barlow Semi Condensed" w:cs="Barlow Semi Condensed" w:eastAsia="Barlow Semi Condensed" w:hAnsi="Barlow Semi Condensed"/>
          <w:sz w:val="24"/>
          <w:szCs w:val="24"/>
        </w:rPr>
        <w:t xml:space="preserve"> Giangiacomo Feltrinelli fu il vettore documentato del mito: il manifesto tratto dalla fotografia di Korda nel 1967, il Diario in Bolivia con prefazione di Fidel Castro nel 1968, la fondazione dei GAP nel 1970, la morte a Segrate nel 1972. Sono fatti pubblici. Il vettore trasporta un'immagine e un libro, non una responsabilità: che un editore abbia diffuso un'icona non lo rende partecipe di ciò che altri fecero sei anni dopo la sua morte.</w:t>
      </w:r>
    </w:p>
    <w:p>
      <w:pPr>
        <w:spacing w:after="120" w:line="276"/>
        <w:jc w:val="both"/>
      </w:pPr>
      <w:r>
        <w:rPr>
          <w:rFonts w:ascii="Barlow Semi Condensed" w:cs="Barlow Semi Condensed" w:eastAsia="Barlow Semi Condensed" w:hAnsi="Barlow Semi Condensed"/>
          <w:b/>
          <w:bCs/>
          <w:sz w:val="24"/>
          <w:szCs w:val="24"/>
        </w:rPr>
        <w:t xml:space="preserve">953 · La scuola di guerriglia, statuto della frase.</w:t>
      </w:r>
      <w:r>
        <w:rPr>
          <w:rFonts w:ascii="Barlow Semi Condensed" w:cs="Barlow Semi Condensed" w:eastAsia="Barlow Semi Condensed" w:hAnsi="Barlow Semi Condensed"/>
          <w:sz w:val="24"/>
          <w:szCs w:val="24"/>
        </w:rPr>
        <w:t xml:space="preserve"> L'affermazione secondo cui i brigatisti andarono a scuola di guerriglia da Feltrinelli è riferita a Renato Curcio ed è dichiarazione di un protagonista, non atto. Il suo statuto va scritto ogni volta: fonte memorialistica di parte, utile alla genealogia, inservibile come prova di condotta altrui. Quesito: reperire il testo integrale e la sede in cui la frase fu resa, per fissarne il contesto; finché non è reperita, si cita come riferita.</w:t>
      </w:r>
    </w:p>
    <w:p>
      <w:pPr>
        <w:spacing w:after="120" w:line="276"/>
        <w:jc w:val="both"/>
      </w:pPr>
      <w:r>
        <w:rPr>
          <w:rFonts w:ascii="Barlow Semi Condensed" w:cs="Barlow Semi Condensed" w:eastAsia="Barlow Semi Condensed" w:hAnsi="Barlow Semi Condensed"/>
          <w:b/>
          <w:bCs/>
          <w:sz w:val="24"/>
          <w:szCs w:val="24"/>
        </w:rPr>
        <w:t xml:space="preserve">954 · Il maestro non risponde dell'allievo.</w:t>
      </w:r>
      <w:r>
        <w:rPr>
          <w:rFonts w:ascii="Barlow Semi Condensed" w:cs="Barlow Semi Condensed" w:eastAsia="Barlow Semi Condensed" w:hAnsi="Barlow Semi Condensed"/>
          <w:sz w:val="24"/>
          <w:szCs w:val="24"/>
        </w:rPr>
        <w:t xml:space="preserve"> Nessun ordinamento e nessuna storiografia seria imputano al docente le condotte di chi ne ha letto i libri. La regola vale in tutte le direzioni di questa triangolazione: non per il teorico del foco rispetto ai suoi imitatori italiani, non per l'editore rispetto ai suoi lettori, non per il professore rispetto agli apparati che ne applicarono le categorie. Insegnare, pubblicare e teorizzare sono condotte lecite; l'unica sede in cui una condotta diventa colpa è la sentenza.</w:t>
      </w:r>
    </w:p>
    <w:p>
      <w:pPr>
        <w:spacing w:after="120" w:line="276"/>
        <w:jc w:val="both"/>
      </w:pPr>
      <w:r>
        <w:rPr>
          <w:rFonts w:ascii="Barlow Semi Condensed" w:cs="Barlow Semi Condensed" w:eastAsia="Barlow Semi Condensed" w:hAnsi="Barlow Semi Condensed"/>
          <w:b/>
          <w:bCs/>
          <w:sz w:val="24"/>
          <w:szCs w:val="24"/>
        </w:rPr>
        <w:t xml:space="preserve">955 · Kissinger, pensiero e condotta.</w:t>
      </w:r>
      <w:r>
        <w:rPr>
          <w:rFonts w:ascii="Barlow Semi Condensed" w:cs="Barlow Semi Condensed" w:eastAsia="Barlow Semi Condensed" w:hAnsi="Barlow Semi Condensed"/>
          <w:sz w:val="24"/>
          <w:szCs w:val="24"/>
        </w:rPr>
        <w:t xml:space="preserve"> Il pensiero realista di Henry Kissinger, l'equilibrio, la gerarchia degli interessi, la diffidenza verso i governi di coalizione coi comunisti, è materia di studio pubblica e documentata anche nei verbali editi dei FRUS. Studiarlo è legittimo e necessario; dedurne condotte non lo è. Una dottrina spiega una preferenza e non prova un atto: fra la posizione espressa a Ford il 25 settembre 1974 e una qualsiasi condotta operativa in Italia non esiste, allo stato, documento di raccordo.</w:t>
      </w:r>
    </w:p>
    <w:p>
      <w:pPr>
        <w:spacing w:after="120" w:line="276"/>
        <w:jc w:val="both"/>
      </w:pPr>
      <w:r>
        <w:rPr>
          <w:rFonts w:ascii="Barlow Semi Condensed" w:cs="Barlow Semi Condensed" w:eastAsia="Barlow Semi Condensed" w:hAnsi="Barlow Semi Condensed"/>
          <w:b/>
          <w:bCs/>
          <w:sz w:val="24"/>
          <w:szCs w:val="24"/>
        </w:rPr>
        <w:t xml:space="preserve">956 · Il lignaggio si documenta, la condotta si prova.</w:t>
      </w:r>
      <w:r>
        <w:rPr>
          <w:rFonts w:ascii="Barlow Semi Condensed" w:cs="Barlow Semi Condensed" w:eastAsia="Barlow Semi Condensed" w:hAnsi="Barlow Semi Condensed"/>
          <w:sz w:val="24"/>
          <w:szCs w:val="24"/>
        </w:rPr>
        <w:t xml:space="preserve"> Due operazioni distinte, con due standard distinti. Documentare un lignaggio dottrinale richiede testi, date e citazioni verificabili, e produce una genealogia di grado F o A secondo la fonte. Provare una condotta richiede un atto, un verbale, una sentenza, e produce un'imputazione soltanto quando la sentenza è definitiva. Il corpus esegue la prima operazione con larghezza e la seconda con avarizia: è la ragione per cui il registro dei nomi resta corto.</w:t>
      </w:r>
    </w:p>
    <w:p>
      <w:pPr>
        <w:spacing w:after="120" w:line="276"/>
        <w:jc w:val="both"/>
      </w:pPr>
      <w:r>
        <w:rPr>
          <w:rFonts w:ascii="Barlow Semi Condensed" w:cs="Barlow Semi Condensed" w:eastAsia="Barlow Semi Condensed" w:hAnsi="Barlow Semi Condensed"/>
          <w:b/>
          <w:bCs/>
          <w:sz w:val="24"/>
          <w:szCs w:val="24"/>
        </w:rPr>
        <w:t xml:space="preserve">957 · La citazione non è delega.</w:t>
      </w:r>
      <w:r>
        <w:rPr>
          <w:rFonts w:ascii="Barlow Semi Condensed" w:cs="Barlow Semi Condensed" w:eastAsia="Barlow Semi Condensed" w:hAnsi="Barlow Semi Condensed"/>
          <w:sz w:val="24"/>
          <w:szCs w:val="24"/>
        </w:rPr>
        <w:t xml:space="preserve"> Chi cita un autore non ne riceve un mandato, e chi è citato non ne concede uno. La regola serve alle due estremità di questa triangolazione: le Brigate Rosse citarono Guevara senza che Guevara avesse delegato alcunché, e la pubblicistica cita Kissinger senza che una citazione istituisca un rapporto. Il quesito che sostituisce la suggestione è sempre lo stesso: esiste un documento in cui il citato risponde, autorizza o dispone? Se non esiste, si dichiara e si chiude.</w:t>
      </w:r>
    </w:p>
    <w:p>
      <w:pPr>
        <w:spacing w:after="120" w:line="276"/>
        <w:jc w:val="both"/>
      </w:pPr>
      <w:r>
        <w:rPr>
          <w:rFonts w:ascii="Barlow Semi Condensed" w:cs="Barlow Semi Condensed" w:eastAsia="Barlow Semi Condensed" w:hAnsi="Barlow Semi Condensed"/>
          <w:b/>
          <w:bCs/>
          <w:sz w:val="24"/>
          <w:szCs w:val="24"/>
        </w:rPr>
        <w:t xml:space="preserve">958 · Che cosa attestano i testi brigatisti.</w:t>
      </w:r>
      <w:r>
        <w:rPr>
          <w:rFonts w:ascii="Barlow Semi Condensed" w:cs="Barlow Semi Condensed" w:eastAsia="Barlow Semi Condensed" w:hAnsi="Barlow Semi Condensed"/>
          <w:sz w:val="24"/>
          <w:szCs w:val="24"/>
        </w:rPr>
        <w:t xml:space="preserve"> Bersaglio di ricerca e non asserzione: i documenti interni e i comunicati delle Brigate Rosse attestano un lessico e un pantheon, e la loro esistenza e provenienza sono di grado alto. Verificare, sull'edizione critica degli atti e sui fondi processuali digitalizzati, quali passi nominino esplicitamente il modello latinoamericano, con data e sede. L'esito atteso è una tavola di citazioni, non una catena di comando; e una tavola di citazioni resta tale anche se è lunga.</w:t>
      </w:r>
    </w:p>
    <w:p>
      <w:pPr>
        <w:spacing w:after="120" w:line="276"/>
        <w:jc w:val="both"/>
      </w:pPr>
      <w:r>
        <w:rPr>
          <w:rFonts w:ascii="Barlow Semi Condensed" w:cs="Barlow Semi Condensed" w:eastAsia="Barlow Semi Condensed" w:hAnsi="Barlow Semi Condensed"/>
          <w:b/>
          <w:bCs/>
          <w:sz w:val="24"/>
          <w:szCs w:val="24"/>
        </w:rPr>
        <w:t xml:space="preserve">959 · Il mito cambia natura trasmettendosi.</w:t>
      </w:r>
      <w:r>
        <w:rPr>
          <w:rFonts w:ascii="Barlow Semi Condensed" w:cs="Barlow Semi Condensed" w:eastAsia="Barlow Semi Condensed" w:hAnsi="Barlow Semi Condensed"/>
          <w:sz w:val="24"/>
          <w:szCs w:val="24"/>
        </w:rPr>
        <w:t xml:space="preserve"> Il saggio-cerniera del corpus ha già stabilito che ciò che passò dall'America Latina all'Italia non fu un ordine ma un mito, e che nel trasmettersi mutava natura: guerra a un esercito da una parte, esecuzione di un prigioniero inerme dall'altra. La metafora genetica illumina il meccanismo, stesso codice ed espressione diversa, e proprio per questo dimostra il limite di se stessa: se l'espressione cambia, l'origine non ne risponde.</w:t>
      </w:r>
    </w:p>
    <w:p>
      <w:pPr>
        <w:spacing w:after="120" w:line="276"/>
        <w:jc w:val="both"/>
      </w:pPr>
      <w:r>
        <w:rPr>
          <w:rFonts w:ascii="Barlow Semi Condensed" w:cs="Barlow Semi Condensed" w:eastAsia="Barlow Semi Condensed" w:hAnsi="Barlow Semi Condensed"/>
          <w:b/>
          <w:bCs/>
          <w:sz w:val="24"/>
          <w:szCs w:val="24"/>
        </w:rPr>
        <w:t xml:space="preserve">960 · Nessuna colpa per l'uso postumo del nome.</w:t>
      </w:r>
      <w:r>
        <w:rPr>
          <w:rFonts w:ascii="Barlow Semi Condensed" w:cs="Barlow Semi Condensed" w:eastAsia="Barlow Semi Condensed" w:hAnsi="Barlow Semi Condensed"/>
          <w:sz w:val="24"/>
          <w:szCs w:val="24"/>
        </w:rPr>
        <w:t xml:space="preserve"> Chi muore non controlla ciò che il suo nome farà dopo di lui. Guevara non risponde dei muri di Milano, Moro non risponde delle letture che si sono date della sua prigionia, e nessun autore risponde delle organizzazioni che lo hanno adottato per emblema. È un corollario del principio personalistico e vale come divieto esplicito di questa serie: l'uso postumo di un nome è fatto di chi lo usa, e soltanto di lui.</w:t>
      </w:r>
    </w:p>
    <w:p>
      <w:pPr>
        <w:spacing w:after="120" w:line="276"/>
        <w:jc w:val="both"/>
      </w:pPr>
      <w:r>
        <w:rPr>
          <w:rFonts w:ascii="Barlow Semi Condensed" w:cs="Barlow Semi Condensed" w:eastAsia="Barlow Semi Condensed" w:hAnsi="Barlow Semi Condensed"/>
          <w:b/>
          <w:bCs/>
          <w:sz w:val="24"/>
          <w:szCs w:val="24"/>
        </w:rPr>
        <w:t xml:space="preserve">961 · Il divieto della colpa per discendenza.</w:t>
      </w:r>
      <w:r>
        <w:rPr>
          <w:rFonts w:ascii="Barlow Semi Condensed" w:cs="Barlow Semi Condensed" w:eastAsia="Barlow Semi Condensed" w:hAnsi="Barlow Semi Condensed"/>
          <w:sz w:val="24"/>
          <w:szCs w:val="24"/>
        </w:rPr>
        <w:t xml:space="preserve"> Primo dei tre divieti che questa serie enuncia in forma piena: nessuna persona è indicata da quest'opera come responsabile di alcunché in ragione di chi l'ha preceduta, familiari, maestri o predecessori nell'ufficio. Il divieto non ammette eccezione retorica, e nemmeno la formula prudente erede politico di può reggere un'attribuzione. La discendenza è materiale biografico di grado F; l'attribuzione richiede una sentenza, e nessuna sentenza si è mai fondata su un albero.</w:t>
      </w:r>
    </w:p>
    <w:p>
      <w:pPr>
        <w:spacing w:after="120" w:line="276"/>
        <w:jc w:val="both"/>
      </w:pPr>
      <w:r>
        <w:rPr>
          <w:rFonts w:ascii="Barlow Semi Condensed" w:cs="Barlow Semi Condensed" w:eastAsia="Barlow Semi Condensed" w:hAnsi="Barlow Semi Condensed"/>
          <w:b/>
          <w:bCs/>
          <w:sz w:val="24"/>
          <w:szCs w:val="24"/>
        </w:rPr>
        <w:t xml:space="preserve">962 · La parentela non è canale.</w:t>
      </w:r>
      <w:r>
        <w:rPr>
          <w:rFonts w:ascii="Barlow Semi Condensed" w:cs="Barlow Semi Condensed" w:eastAsia="Barlow Semi Condensed" w:hAnsi="Barlow Semi Condensed"/>
          <w:sz w:val="24"/>
          <w:szCs w:val="24"/>
        </w:rPr>
        <w:t xml:space="preserve"> Il manuale investigativo lo fissa al blocco 5 fra le regole costitutive: la colpa non è mai del gruppo ed è sempre della persona, l'appartenenza non è condotta, la parentela non è canale, la contemporaneità non è nesso. Questa serie ne recepisce il testo alla lettera e vi aggiunge una sola precisazione, richiesta dalla lente: nemmeno la parentela metaforica, la discendenza di scuola, di dottrina o di lessico, è un canale.</w:t>
      </w:r>
    </w:p>
    <w:p>
      <w:pPr>
        <w:spacing w:after="120" w:line="276"/>
        <w:jc w:val="both"/>
      </w:pPr>
      <w:r>
        <w:rPr>
          <w:rFonts w:ascii="Barlow Semi Condensed" w:cs="Barlow Semi Condensed" w:eastAsia="Barlow Semi Condensed" w:hAnsi="Barlow Semi Condensed"/>
          <w:b/>
          <w:bCs/>
          <w:sz w:val="24"/>
          <w:szCs w:val="24"/>
        </w:rPr>
        <w:t xml:space="preserve">963 · Il divieto della colpa per appartenenza.</w:t>
      </w:r>
      <w:r>
        <w:rPr>
          <w:rFonts w:ascii="Barlow Semi Condensed" w:cs="Barlow Semi Condensed" w:eastAsia="Barlow Semi Condensed" w:hAnsi="Barlow Semi Condensed"/>
          <w:sz w:val="24"/>
          <w:szCs w:val="24"/>
        </w:rPr>
        <w:t xml:space="preserve"> Secondo divieto. L'appartenenza a un'organizzazione, a una scuola, a un servizio o a un lignaggio dottrinale non è prova di condotta: è il principio dell'articolo 27 della Costituzione, e la ragione per cui il concorso di persone si giudica condotta per condotta ai sensi dell'articolo 110 del codice penale. Il corpus lo applica agli esponenti brigatisti, ai membri di enti confessionali e agli apparati stranieri con identica severità: la simmetria non è equidistanza morale, è metodo.</w:t>
      </w:r>
    </w:p>
    <w:p>
      <w:pPr>
        <w:spacing w:after="120" w:line="276"/>
        <w:jc w:val="both"/>
      </w:pPr>
      <w:r>
        <w:rPr>
          <w:rFonts w:ascii="Barlow Semi Condensed" w:cs="Barlow Semi Condensed" w:eastAsia="Barlow Semi Condensed" w:hAnsi="Barlow Semi Condensed"/>
          <w:b/>
          <w:bCs/>
          <w:sz w:val="24"/>
          <w:szCs w:val="24"/>
        </w:rPr>
        <w:t xml:space="preserve">964 · Le appartenenze non si sommano.</w:t>
      </w:r>
      <w:r>
        <w:rPr>
          <w:rFonts w:ascii="Barlow Semi Condensed" w:cs="Barlow Semi Condensed" w:eastAsia="Barlow Semi Condensed" w:hAnsi="Barlow Semi Condensed"/>
          <w:sz w:val="24"/>
          <w:szCs w:val="24"/>
        </w:rPr>
        <w:t xml:space="preserve"> La Fase decima dell'opera-madre lo enuncia senza residui: chi militò in due gruppi non è due volte prossimo alla responsabilità, chi ne attraversò tre non porta tre indizi. Nella lente genetica corrisponde al divieto di leggere un'accumulazione di marcatori come un destino. Ogni appartenenza resta un fatto biografico separato e inerte sul piano dell'attribuzione, e la somma di fatti inerti non produce un fatto attivo, per quante volte la si esegua.</w:t>
      </w:r>
    </w:p>
    <w:p>
      <w:pPr>
        <w:spacing w:after="120" w:line="276"/>
        <w:jc w:val="both"/>
      </w:pPr>
      <w:r>
        <w:rPr>
          <w:rFonts w:ascii="Barlow Semi Condensed" w:cs="Barlow Semi Condensed" w:eastAsia="Barlow Semi Condensed" w:hAnsi="Barlow Semi Condensed"/>
          <w:b/>
          <w:bCs/>
          <w:sz w:val="24"/>
          <w:szCs w:val="24"/>
        </w:rPr>
        <w:t xml:space="preserve">965 · Il divieto della colpa per ambiente.</w:t>
      </w:r>
      <w:r>
        <w:rPr>
          <w:rFonts w:ascii="Barlow Semi Condensed" w:cs="Barlow Semi Condensed" w:eastAsia="Barlow Semi Condensed" w:hAnsi="Barlow Semi Condensed"/>
          <w:sz w:val="24"/>
          <w:szCs w:val="24"/>
        </w:rPr>
        <w:t xml:space="preserve"> Terzo divieto, il più insidioso perché il più elegante. L'Italia del 1977, il decennale della morte del Che, il repertorio simbolico dell'area da cui le Brigate Rosse reclutavano sono contesto documentato e nulla più. Nessuno è responsabile del clima in cui è vissuto, né dei gesti che altri hanno compiuto in quel clima. Il contesto spiega la possibilità di un fatto; l'imputazione riguarda il fatto, e passa soltanto per la sentenza.</w:t>
      </w:r>
    </w:p>
    <w:p>
      <w:pPr>
        <w:spacing w:after="120" w:line="276"/>
        <w:jc w:val="both"/>
      </w:pPr>
      <w:r>
        <w:rPr>
          <w:rFonts w:ascii="Barlow Semi Condensed" w:cs="Barlow Semi Condensed" w:eastAsia="Barlow Semi Condensed" w:hAnsi="Barlow Semi Condensed"/>
          <w:b/>
          <w:bCs/>
          <w:sz w:val="24"/>
          <w:szCs w:val="24"/>
        </w:rPr>
        <w:t xml:space="preserve">966 · La cornice non è la firma.</w:t>
      </w:r>
      <w:r>
        <w:rPr>
          <w:rFonts w:ascii="Barlow Semi Condensed" w:cs="Barlow Semi Condensed" w:eastAsia="Barlow Semi Condensed" w:hAnsi="Barlow Semi Condensed"/>
          <w:sz w:val="24"/>
          <w:szCs w:val="24"/>
        </w:rPr>
        <w:t xml:space="preserve"> Il saggio-cerniera lo dice nella forma più compatta di cui il corpus disponga: la logica di un'epoca non è la firma di un mandante. Questa serie la promuove a regola generale della triangolazione. Una cornice, la guerra fredda combattuta dentro le società occidentali, è documentabile e reale; una firma è un atto individuale, datato e attribuibile. Fra le due non c'è gradazione ma salto, e il salto non si compie con un aggettivo.</w:t>
      </w:r>
    </w:p>
    <w:p>
      <w:pPr>
        <w:spacing w:after="120" w:line="276"/>
        <w:jc w:val="both"/>
      </w:pPr>
      <w:r>
        <w:rPr>
          <w:rFonts w:ascii="Barlow Semi Condensed" w:cs="Barlow Semi Condensed" w:eastAsia="Barlow Semi Condensed" w:hAnsi="Barlow Semi Condensed"/>
          <w:b/>
          <w:bCs/>
          <w:sz w:val="24"/>
          <w:szCs w:val="24"/>
        </w:rPr>
        <w:t xml:space="preserve">967 · La contemporaneità apparente.</w:t>
      </w:r>
      <w:r>
        <w:rPr>
          <w:rFonts w:ascii="Barlow Semi Condensed" w:cs="Barlow Semi Condensed" w:eastAsia="Barlow Semi Condensed" w:hAnsi="Barlow Semi Condensed"/>
          <w:sz w:val="24"/>
          <w:szCs w:val="24"/>
        </w:rPr>
        <w:t xml:space="preserve"> Esempio già accertato dal corpus e da tenere come modello: la riunione del Comitato dei 303 dell'11 marzo 1969, presieduta da Kissinger, nella quale si convenne all'unanimità che non vi fosse reale giustificazione per riprendere il finanziamento coperto ai partiti italiani, è anteriore all'insediamento di Moro alla Farnesina, avvenuto il 5 agosto 1969. La contiguità d'anno non è contiguità di fatti. La fonte è FRUS 1969-1976, volume XLI, documento 180.</w:t>
      </w:r>
    </w:p>
    <w:p>
      <w:pPr>
        <w:spacing w:after="120" w:line="276"/>
        <w:jc w:val="both"/>
      </w:pPr>
      <w:r>
        <w:rPr>
          <w:rFonts w:ascii="Barlow Semi Condensed" w:cs="Barlow Semi Condensed" w:eastAsia="Barlow Semi Condensed" w:hAnsi="Barlow Semi Condensed"/>
          <w:b/>
          <w:bCs/>
          <w:sz w:val="24"/>
          <w:szCs w:val="24"/>
        </w:rPr>
        <w:t xml:space="preserve">968 · Il caso Algranati, prova nei due sensi.</w:t>
      </w:r>
      <w:r>
        <w:rPr>
          <w:rFonts w:ascii="Barlow Semi Condensed" w:cs="Barlow Semi Condensed" w:eastAsia="Barlow Semi Condensed" w:hAnsi="Barlow Semi Condensed"/>
          <w:sz w:val="24"/>
          <w:szCs w:val="24"/>
        </w:rPr>
        <w:t xml:space="preserve"> Rita Algranati fu assolta in via definitiva per i fatti di via Fani all'esito del Moro ter, e ricostruzioni successive di grado B o C non possono scavalcare un'assoluzione passata in giudicato. Il corpus la tiene fuori dal registro proprio perché il racconto pubblico la vorrebbe dentro. Un'opera che includesse gli assolti perché tanto si sa non sarebbe più un registro: sarebbe un tribunale parallelo, cioè la cosa che quest'opera esiste per non essere.</w:t>
      </w:r>
    </w:p>
    <w:p>
      <w:pPr>
        <w:spacing w:after="120" w:line="276"/>
        <w:jc w:val="both"/>
      </w:pPr>
      <w:r>
        <w:rPr>
          <w:rFonts w:ascii="Barlow Semi Condensed" w:cs="Barlow Semi Condensed" w:eastAsia="Barlow Semi Condensed" w:hAnsi="Barlow Semi Condensed"/>
          <w:b/>
          <w:bCs/>
          <w:sz w:val="24"/>
          <w:szCs w:val="24"/>
        </w:rPr>
        <w:t xml:space="preserve">969 · Il gruppo non assorbe la colpa.</w:t>
      </w:r>
      <w:r>
        <w:rPr>
          <w:rFonts w:ascii="Barlow Semi Condensed" w:cs="Barlow Semi Condensed" w:eastAsia="Barlow Semi Condensed" w:hAnsi="Barlow Semi Condensed"/>
          <w:sz w:val="24"/>
          <w:szCs w:val="24"/>
        </w:rPr>
        <w:t xml:space="preserve"> Il divieto vale anche nella direzione ascendente, ed è la metà che si dimentica. Dire fu l'organizzazione, furono gli apparati, fu lo Stato non alleggerisce nessuno: fa evaporare la colpa dentro un soggetto che non può portarla. Nel caso Moro nessuno è stato condannato in quanto brigatista: ciascuno lo è stato per aver diretto, sparato, guidato, custodito o concorso. Le tredici responsabilità del registro sono personali una per una.</w:t>
      </w:r>
    </w:p>
    <w:p>
      <w:pPr>
        <w:spacing w:after="120" w:line="276"/>
        <w:jc w:val="both"/>
      </w:pPr>
      <w:r>
        <w:rPr>
          <w:rFonts w:ascii="Barlow Semi Condensed" w:cs="Barlow Semi Condensed" w:eastAsia="Barlow Semi Condensed" w:hAnsi="Barlow Semi Condensed"/>
          <w:b/>
          <w:bCs/>
          <w:sz w:val="24"/>
          <w:szCs w:val="24"/>
        </w:rPr>
        <w:t xml:space="preserve">970 · L'ente e i suoi membri, simmetria.</w:t>
      </w:r>
      <w:r>
        <w:rPr>
          <w:rFonts w:ascii="Barlow Semi Condensed" w:cs="Barlow Semi Condensed" w:eastAsia="Barlow Semi Condensed" w:hAnsi="Barlow Semi Condensed"/>
          <w:sz w:val="24"/>
          <w:szCs w:val="24"/>
        </w:rPr>
        <w:t xml:space="preserve"> Nessun ente è colpevole delle condotte dei suoi membri e nessun membro è colpevole dell'esistenza del suo ente. La regola governa nel corpus gli enti confessionali dei versanti mediterranei, le formazioni del dossier turco, le logge, i servizi e le chiese; qui governa anche la scuola di pensiero attribuita al protagonista della triangolazione. Il documento CIA del 22 maggio 1970 sul gabinetto spagnolo è l'esempio già lavorato: appartenenza documentata, condotta dell'ente non provata.</w:t>
      </w:r>
    </w:p>
    <w:p>
      <w:pPr>
        <w:spacing w:after="120" w:line="276"/>
        <w:jc w:val="both"/>
      </w:pPr>
      <w:r>
        <w:rPr>
          <w:rFonts w:ascii="Barlow Semi Condensed" w:cs="Barlow Semi Condensed" w:eastAsia="Barlow Semi Condensed" w:hAnsi="Barlow Semi Condensed"/>
          <w:b/>
          <w:bCs/>
          <w:sz w:val="24"/>
          <w:szCs w:val="24"/>
        </w:rPr>
        <w:t xml:space="preserve">971 · La successione d'ufficio non trasmette colpa.</w:t>
      </w:r>
      <w:r>
        <w:rPr>
          <w:rFonts w:ascii="Barlow Semi Condensed" w:cs="Barlow Semi Condensed" w:eastAsia="Barlow Semi Condensed" w:hAnsi="Barlow Semi Condensed"/>
          <w:sz w:val="24"/>
          <w:szCs w:val="24"/>
        </w:rPr>
        <w:t xml:space="preserve"> Un ufficio dura più delle persone che lo occupano, e la metafora ereditaria è qui particolarmente insidiosa: chi subentra non eredita né i meriti né le colpe del predecessore. Vale per i segretari di Stato, per i ministri degli Esteri, per i direttori dei servizi e per i presidenti di commissione. Ciò che si eredita davvero sono fascicoli e pendenze, cioè documenti, e i documenti si leggono, non si imputano.</w:t>
      </w:r>
    </w:p>
    <w:p>
      <w:pPr>
        <w:spacing w:after="120" w:line="276"/>
        <w:jc w:val="both"/>
      </w:pPr>
      <w:r>
        <w:rPr>
          <w:rFonts w:ascii="Barlow Semi Condensed" w:cs="Barlow Semi Condensed" w:eastAsia="Barlow Semi Condensed" w:hAnsi="Barlow Semi Condensed"/>
          <w:b/>
          <w:bCs/>
          <w:sz w:val="24"/>
          <w:szCs w:val="24"/>
        </w:rPr>
        <w:t xml:space="preserve">972 · Il figlio non risponde del padre.</w:t>
      </w:r>
      <w:r>
        <w:rPr>
          <w:rFonts w:ascii="Barlow Semi Condensed" w:cs="Barlow Semi Condensed" w:eastAsia="Barlow Semi Condensed" w:hAnsi="Barlow Semi Condensed"/>
          <w:sz w:val="24"/>
          <w:szCs w:val="24"/>
        </w:rPr>
        <w:t xml:space="preserve"> Il divieto più antico e più elementare, e va scritto perché la lente genetica lo mette sotto pressione: nessun discendente risponde di ciò che un ascendente ha fatto o si sospetta abbia fatto. Nella rete documentata del corpus la regola ha già una forma misurabile: dove un genitore compare, l'arco lo collega al figlio e non all'evento, e quell'arco verso il fatto non esiste. Il buco resta buco, e si dichiara.</w:t>
      </w:r>
    </w:p>
    <w:p>
      <w:pPr>
        <w:spacing w:after="120" w:line="276"/>
        <w:jc w:val="both"/>
      </w:pPr>
      <w:r>
        <w:rPr>
          <w:rFonts w:ascii="Barlow Semi Condensed" w:cs="Barlow Semi Condensed" w:eastAsia="Barlow Semi Condensed" w:hAnsi="Barlow Semi Condensed"/>
          <w:b/>
          <w:bCs/>
          <w:sz w:val="24"/>
          <w:szCs w:val="24"/>
        </w:rPr>
        <w:t xml:space="preserve">973 · La riga anagrafica e la riga giuridica.</w:t>
      </w:r>
      <w:r>
        <w:rPr>
          <w:rFonts w:ascii="Barlow Semi Condensed" w:cs="Barlow Semi Condensed" w:eastAsia="Barlow Semi Condensed" w:hAnsi="Barlow Semi Condensed"/>
          <w:sz w:val="24"/>
          <w:szCs w:val="24"/>
        </w:rPr>
        <w:t xml:space="preserve"> Due righe vanno tenute insieme ogni volta che il nome compare in quest'opera. La prima è anagrafe: Fürth, 27 maggio 1923; Kent, nel Connecticut, 29 novembre 2023. La seconda è lo statuto giuridico che vincola ogni blocco: nessuna condanna in alcun processo, nessun blocco che lo indichi come responsabile di reato. La lente metaforica non attenua di un grado la seconda riga, e nessuna eleganza dell'immagine autorizza a scavalcarla.</w:t>
      </w:r>
    </w:p>
    <w:p>
      <w:pPr>
        <w:spacing w:after="120" w:line="276"/>
        <w:jc w:val="both"/>
      </w:pPr>
      <w:r>
        <w:rPr>
          <w:rFonts w:ascii="Barlow Semi Condensed" w:cs="Barlow Semi Condensed" w:eastAsia="Barlow Semi Condensed" w:hAnsi="Barlow Semi Condensed"/>
          <w:b/>
          <w:bCs/>
          <w:sz w:val="24"/>
          <w:szCs w:val="24"/>
        </w:rPr>
        <w:t xml:space="preserve">974 · Nessuna sentenza sul versante statunitense.</w:t>
      </w:r>
      <w:r>
        <w:rPr>
          <w:rFonts w:ascii="Barlow Semi Condensed" w:cs="Barlow Semi Condensed" w:eastAsia="Barlow Semi Condensed" w:hAnsi="Barlow Semi Condensed"/>
          <w:sz w:val="24"/>
          <w:szCs w:val="24"/>
        </w:rPr>
        <w:t xml:space="preserve"> Registrazione per via negativa, di pieno valore: nessuna sentenza definitiva ha attribuito ad alcuna autorità statunitense responsabilità penali nel sequestro e nell'omicidio di Aldo Moro, e l'episodio dell'avvertimento non ha mai formato oggetto d'imputazione. Le condanne definitive riguardano le persone del registro brigatista. Questo dato non è una cautela di stile: è un accertamento sul mondo, e va ripetuto ogni volta che la triangolazione tocca il versante atlantico.</w:t>
      </w:r>
    </w:p>
    <w:p>
      <w:pPr>
        <w:spacing w:after="120" w:line="276"/>
        <w:jc w:val="both"/>
      </w:pPr>
      <w:r>
        <w:rPr>
          <w:rFonts w:ascii="Barlow Semi Condensed" w:cs="Barlow Semi Condensed" w:eastAsia="Barlow Semi Condensed" w:hAnsi="Barlow Semi Condensed"/>
          <w:b/>
          <w:bCs/>
          <w:sz w:val="24"/>
          <w:szCs w:val="24"/>
        </w:rPr>
        <w:t xml:space="preserve">975 · Mai sentito dai magistrati italiani (serie XIII).</w:t>
      </w:r>
      <w:r>
        <w:rPr>
          <w:rFonts w:ascii="Barlow Semi Condensed" w:cs="Barlow Semi Condensed" w:eastAsia="Barlow Semi Condensed" w:hAnsi="Barlow Semi Condensed"/>
          <w:sz w:val="24"/>
          <w:szCs w:val="24"/>
        </w:rPr>
        <w:t xml:space="preserve"> Stato Zero dichiarato: Kissinger non fu mai sentito dall'autorità giudiziaria italiana, e la richiesta informale del 1983 non ebbe seguito. La sede in cui l'esito si chiuderebbe è duplice, gli atti dei cinque processi Moro nel lotto digitalizzato presso l'Archivio di Stato di Roma e gli atti delle Commissioni d'inchiesta. Finché quella verifica non è condotta sui documenti originali, la circostanza si riporta come acquisita per via secondaria e si dichiara tale.</w:t>
      </w:r>
    </w:p>
    <w:p>
      <w:pPr>
        <w:spacing w:after="120" w:line="276"/>
        <w:jc w:val="both"/>
      </w:pPr>
      <w:r>
        <w:rPr>
          <w:rFonts w:ascii="Barlow Semi Condensed" w:cs="Barlow Semi Condensed" w:eastAsia="Barlow Semi Condensed" w:hAnsi="Barlow Semi Condensed"/>
          <w:b/>
          <w:bCs/>
          <w:sz w:val="24"/>
          <w:szCs w:val="24"/>
        </w:rPr>
        <w:t xml:space="preserve">976 · Il nodo M-5 resta testimonianza contestata.</w:t>
      </w:r>
      <w:r>
        <w:rPr>
          <w:rFonts w:ascii="Barlow Semi Condensed" w:cs="Barlow Semi Condensed" w:eastAsia="Barlow Semi Condensed" w:hAnsi="Barlow Semi Condensed"/>
          <w:sz w:val="24"/>
          <w:szCs w:val="24"/>
        </w:rPr>
        <w:t xml:space="preserve"> Sette precisazioni della nota di revisione del corpus gravano oggi sul nodo M-5, e nessuna lo scioglie. Il presunto avvertimento resta grado B debole — testimonianza contestata, mai da dare per accertata: il teste principale depose de relato, il nome fu ottenuto in aula e non offerto, la data oscilla fra il 1974, il 1976 e il 1977, e l'interessato l'ha sempre smentito.</w:t>
      </w:r>
    </w:p>
    <w:p>
      <w:pPr>
        <w:spacing w:after="120" w:line="276"/>
        <w:jc w:val="both"/>
      </w:pPr>
      <w:r>
        <w:rPr>
          <w:rFonts w:ascii="Barlow Semi Condensed" w:cs="Barlow Semi Condensed" w:eastAsia="Barlow Semi Condensed" w:hAnsi="Barlow Semi Condensed"/>
          <w:b/>
          <w:bCs/>
          <w:sz w:val="24"/>
          <w:szCs w:val="24"/>
        </w:rPr>
        <w:t xml:space="preserve">977 · La smentita si riporta sempre.</w:t>
      </w:r>
      <w:r>
        <w:rPr>
          <w:rFonts w:ascii="Barlow Semi Condensed" w:cs="Barlow Semi Condensed" w:eastAsia="Barlow Semi Condensed" w:hAnsi="Barlow Semi Condensed"/>
          <w:sz w:val="24"/>
          <w:szCs w:val="24"/>
        </w:rPr>
        <w:t xml:space="preserve"> Regola di scrittura e non di cortesia: una testimonianza contestata si riporta con la contestazione, nella stessa frase e non in nota. Kissinger negò l'episodio in forma diretta poco prima della morte e in forma anteriore e generica già nel 1983, quando ammetteva la propria contrarietà all'ingresso dei comunisti al governo e smentiva di aver rimproverato Moro. Chi cita la testimonianza omettendo la smentita non abbrevia: falsifica per omissione.</w:t>
      </w:r>
    </w:p>
    <w:p>
      <w:pPr>
        <w:spacing w:after="120" w:line="276"/>
        <w:jc w:val="both"/>
      </w:pPr>
      <w:r>
        <w:rPr>
          <w:rFonts w:ascii="Barlow Semi Condensed" w:cs="Barlow Semi Condensed" w:eastAsia="Barlow Semi Condensed" w:hAnsi="Barlow Semi Condensed"/>
          <w:b/>
          <w:bCs/>
          <w:sz w:val="24"/>
          <w:szCs w:val="24"/>
        </w:rPr>
        <w:t xml:space="preserve">978 · Il verbale del 25 settembre 1974 (serie XIII).</w:t>
      </w:r>
      <w:r>
        <w:rPr>
          <w:rFonts w:ascii="Barlow Semi Condensed" w:cs="Barlow Semi Condensed" w:eastAsia="Barlow Semi Condensed" w:hAnsi="Barlow Semi Condensed"/>
          <w:sz w:val="24"/>
          <w:szCs w:val="24"/>
        </w:rPr>
        <w:t xml:space="preserve"> Il memorandum of conversation dello Studio Ovale fra Leone, Moro, Ford e Kissinger, Ford Library documento 1552802, edito in FRUS 1969-1976 volume E-15 parte seconda documento 350, attesta la posizione statunitense sullo scambio di informazioni militari con un governo comprendente i comunisti e non contiene alcun ultimatum personale. L'assenza non prova la falsità dell'episodio, che le testimonianze collocano a margine; indebolisce però nettamente la versione che lo colloca nell'incontro ufficiale, ed è quella che circola.</w:t>
      </w:r>
    </w:p>
    <w:p>
      <w:pPr>
        <w:spacing w:after="120" w:line="276"/>
        <w:jc w:val="both"/>
      </w:pPr>
      <w:r>
        <w:rPr>
          <w:rFonts w:ascii="Barlow Semi Condensed" w:cs="Barlow Semi Condensed" w:eastAsia="Barlow Semi Condensed" w:hAnsi="Barlow Semi Condensed"/>
          <w:b/>
          <w:bCs/>
          <w:sz w:val="24"/>
          <w:szCs w:val="24"/>
        </w:rPr>
        <w:t xml:space="preserve">979 · La moltiplicazione apparente delle fonti (serie XIII).</w:t>
      </w:r>
      <w:r>
        <w:rPr>
          <w:rFonts w:ascii="Barlow Semi Condensed" w:cs="Barlow Semi Condensed" w:eastAsia="Barlow Semi Condensed" w:hAnsi="Barlow Semi Condensed"/>
          <w:sz w:val="24"/>
          <w:szCs w:val="24"/>
        </w:rPr>
        <w:t xml:space="preserve"> Le riprese pressoché identiche dell'episodio risalgono in massima parte a un unico lancio d'agenzia del 30 novembre 2023, e il rilancio internazionale del 1982 proviene da una pubblicazione di orientamento cospirazionista, citabile come dato di circolazione e non come riscontro. Il numero delle ripetizioni non aggiunge valore probatorio. Detto nella lente della serie: molte copie della stessa sequenza non sono molte prove, sono molte copie.</w:t>
      </w:r>
    </w:p>
    <w:p>
      <w:pPr>
        <w:spacing w:after="120" w:line="276"/>
        <w:jc w:val="both"/>
      </w:pPr>
      <w:r>
        <w:rPr>
          <w:rFonts w:ascii="Barlow Semi Condensed" w:cs="Barlow Semi Condensed" w:eastAsia="Barlow Semi Condensed" w:hAnsi="Barlow Semi Condensed"/>
          <w:b/>
          <w:bCs/>
          <w:sz w:val="24"/>
          <w:szCs w:val="24"/>
        </w:rPr>
        <w:t xml:space="preserve">980 · Il registro del giudicato, unico luogo dei nomi.</w:t>
      </w:r>
      <w:r>
        <w:rPr>
          <w:rFonts w:ascii="Barlow Semi Condensed" w:cs="Barlow Semi Condensed" w:eastAsia="Barlow Semi Condensed" w:hAnsi="Barlow Semi Condensed"/>
          <w:sz w:val="24"/>
          <w:szCs w:val="24"/>
        </w:rPr>
        <w:t xml:space="preserve"> Regola strutturale dell'intero corpus, qui ribadita come clausola di chiusura della metafora: i nomi delle persone responsabili stanno in un solo posto, il registro delle condanne definitive, e vi stanno con la condotta che il giudice ha attribuito a ciascuna. Fuori da quel registro l'opera nomina soggetti di fatti, mai predicati di colpe. Nessuna lente interpretativa, nessuna centralità di rete e nessuna verosimiglianza può aggiungere una riga a quell'elenco.</w:t>
      </w:r>
    </w:p>
    <w:p>
      <w:pPr>
        <w:spacing w:after="120" w:line="276"/>
        <w:jc w:val="both"/>
      </w:pPr>
      <w:r>
        <w:rPr>
          <w:rFonts w:ascii="Barlow Semi Condensed" w:cs="Barlow Semi Condensed" w:eastAsia="Barlow Semi Condensed" w:hAnsi="Barlow Semi Condensed"/>
          <w:b/>
          <w:bCs/>
          <w:sz w:val="24"/>
          <w:szCs w:val="24"/>
        </w:rPr>
        <w:t xml:space="preserve">981 · Il divieto vale per tutti.</w:t>
      </w:r>
      <w:r>
        <w:rPr>
          <w:rFonts w:ascii="Barlow Semi Condensed" w:cs="Barlow Semi Condensed" w:eastAsia="Barlow Semi Condensed" w:hAnsi="Barlow Semi Condensed"/>
          <w:sz w:val="24"/>
          <w:szCs w:val="24"/>
        </w:rPr>
        <w:t xml:space="preserve"> La disciplina non è una cortesia riservata alla figura che dà il titolo all'opera. Vale identica per i testimoni contestati, per i funzionari nominati nei documenti desecretati, per i destinatari di provvedimenti amministrativi, per i prosciolti e per i mai imputati, che sono, per l'ordinamento e per quest'opera, innocenti in senso pieno e nominale. Un garantismo selettivo non è garantismo: è una preferenza travestita da metodo.</w:t>
      </w:r>
    </w:p>
    <w:p>
      <w:pPr>
        <w:spacing w:after="120" w:line="276"/>
        <w:jc w:val="both"/>
      </w:pPr>
      <w:r>
        <w:rPr>
          <w:rFonts w:ascii="Barlow Semi Condensed" w:cs="Barlow Semi Condensed" w:eastAsia="Barlow Semi Condensed" w:hAnsi="Barlow Semi Condensed"/>
          <w:b/>
          <w:bCs/>
          <w:sz w:val="24"/>
          <w:szCs w:val="24"/>
        </w:rPr>
        <w:t xml:space="preserve">982 · I nomi vivono più a lungo delle cautele.</w:t>
      </w:r>
      <w:r>
        <w:rPr>
          <w:rFonts w:ascii="Barlow Semi Condensed" w:cs="Barlow Semi Condensed" w:eastAsia="Barlow Semi Condensed" w:hAnsi="Barlow Semi Condensed"/>
          <w:sz w:val="24"/>
          <w:szCs w:val="24"/>
        </w:rPr>
        <w:t xml:space="preserve"> Il presidio del garante lo aveva già enunciato: la cornice si dimentica e il contenuto resta, e un'opera che nomina deve fare i conti col fatto che i suoi nomi sopravvivranno alle sue avvertenze. Da qui la scelta di questa serie: non una premessa da leggere una volta, ma sessanta blocchi distribuiti che ripetono il vincolo dentro il corpo del testo, dove il lettore lo incontra mentre legge e non prima di leggere.</w:t>
      </w:r>
    </w:p>
    <w:p>
      <w:pPr>
        <w:spacing w:after="120" w:line="276"/>
        <w:jc w:val="both"/>
      </w:pPr>
      <w:r>
        <w:rPr>
          <w:rFonts w:ascii="Barlow Semi Condensed" w:cs="Barlow Semi Condensed" w:eastAsia="Barlow Semi Condensed" w:hAnsi="Barlow Semi Condensed"/>
          <w:b/>
          <w:bCs/>
          <w:sz w:val="24"/>
          <w:szCs w:val="24"/>
        </w:rPr>
        <w:t xml:space="preserve">983 · L'esperimento di rimozione.</w:t>
      </w:r>
      <w:r>
        <w:rPr>
          <w:rFonts w:ascii="Barlow Semi Condensed" w:cs="Barlow Semi Condensed" w:eastAsia="Barlow Semi Condensed" w:hAnsi="Barlow Semi Condensed"/>
          <w:sz w:val="24"/>
          <w:szCs w:val="24"/>
        </w:rPr>
        <w:t xml:space="preserve"> Bersaglio metodologico eseguibile da chiunque: si tolga la lente. Si rilegga la triangolazione senza le parole codice, ereditarietà, replicazione, mutazione ed epigenetica, e si veda che cosa cade e che cosa resta. È l'unico modo onesto di misurare quanto la metafora abbia lavorato: se cade un fatto, quel fatto era retorica e va espunto; se non cade nulla, la metafora ha fatto ciò che deve, cioè ordinare domande.</w:t>
      </w:r>
    </w:p>
    <w:p>
      <w:pPr>
        <w:spacing w:after="120" w:line="276"/>
        <w:jc w:val="both"/>
      </w:pPr>
      <w:r>
        <w:rPr>
          <w:rFonts w:ascii="Barlow Semi Condensed" w:cs="Barlow Semi Condensed" w:eastAsia="Barlow Semi Condensed" w:hAnsi="Barlow Semi Condensed"/>
          <w:b/>
          <w:bCs/>
          <w:sz w:val="24"/>
          <w:szCs w:val="24"/>
        </w:rPr>
        <w:t xml:space="preserve">984 · Che cosa resta: i documenti.</w:t>
      </w:r>
      <w:r>
        <w:rPr>
          <w:rFonts w:ascii="Barlow Semi Condensed" w:cs="Barlow Semi Condensed" w:eastAsia="Barlow Semi Condensed" w:hAnsi="Barlow Semi Condensed"/>
          <w:sz w:val="24"/>
          <w:szCs w:val="24"/>
        </w:rPr>
        <w:t xml:space="preserve"> L'esito dell'esperimento è dichiarabile in anticipo, e va dichiarato. Restano i documenti: il memorandum del 25 settembre 1974 e il colloquio del 26, documenti 1552802 e 1552806; il verbale del Comitato dei 303 dell'11 marzo 1969 e l'istruzione di Nixon del dicembre 1969 per uno studio sull'Italia; il memorandum delle Azzorre del 19 giugno 1974; le sentenze dei cinque processi e le relazioni delle due Commissioni. Restano perché non dipendono dalla lente.</w:t>
      </w:r>
    </w:p>
    <w:p>
      <w:pPr>
        <w:spacing w:after="120" w:line="276"/>
        <w:jc w:val="both"/>
      </w:pPr>
      <w:r>
        <w:rPr>
          <w:rFonts w:ascii="Barlow Semi Condensed" w:cs="Barlow Semi Condensed" w:eastAsia="Barlow Semi Condensed" w:hAnsi="Barlow Semi Condensed"/>
          <w:b/>
          <w:bCs/>
          <w:sz w:val="24"/>
          <w:szCs w:val="24"/>
        </w:rPr>
        <w:t xml:space="preserve">985 · Restano gli Stati Zero.</w:t>
      </w:r>
      <w:r>
        <w:rPr>
          <w:rFonts w:ascii="Barlow Semi Condensed" w:cs="Barlow Semi Condensed" w:eastAsia="Barlow Semi Condensed" w:hAnsi="Barlow Semi Condensed"/>
          <w:sz w:val="24"/>
          <w:szCs w:val="24"/>
        </w:rPr>
        <w:t xml:space="preserve"> Resta, con pari dignità, il perimetro negativo: il documento che provi l'eterodirezione del sequestro, cercato e non trovato; il documento che leghi Kissinger persona, o qualunque apparato straniero nominato, alla catena di comando del delitto, cercato e non trovato; gli atti italiani mancanti su più versanti diplomatici, dichiarati con la sede d'archivio dove si chiuderebbero. Un'assenza accertata è conoscenza, e nessuna metafora la produce né la cancella.</w:t>
      </w:r>
    </w:p>
    <w:p>
      <w:pPr>
        <w:spacing w:after="120" w:line="276"/>
        <w:jc w:val="both"/>
      </w:pPr>
      <w:r>
        <w:rPr>
          <w:rFonts w:ascii="Barlow Semi Condensed" w:cs="Barlow Semi Condensed" w:eastAsia="Barlow Semi Condensed" w:hAnsi="Barlow Semi Condensed"/>
          <w:b/>
          <w:bCs/>
          <w:sz w:val="24"/>
          <w:szCs w:val="24"/>
        </w:rPr>
        <w:t xml:space="preserve">986 · Restano le divergenze dichiarate.</w:t>
      </w:r>
      <w:r>
        <w:rPr>
          <w:rFonts w:ascii="Barlow Semi Condensed" w:cs="Barlow Semi Condensed" w:eastAsia="Barlow Semi Condensed" w:hAnsi="Barlow Semi Condensed"/>
          <w:sz w:val="24"/>
          <w:szCs w:val="24"/>
        </w:rPr>
        <w:t xml:space="preserve"> Resta l'obbligo di riportare le divergenze senza sceglierle in silenzio: sulla data dell'episodio contestato, sui conteggi delle fonti, sui luoghi, sulle grafie e sulle paginazioni. La lente non arbitra fra versioni discordi e non le armonizza. Dove le fonti divergono, il blocco elenca le versioni con le loro provenienze e consegna al lettore lo stato reale della documentazione, che in molti punti è uno stato di discordanza dichiarata.</w:t>
      </w:r>
    </w:p>
    <w:p>
      <w:pPr>
        <w:spacing w:after="120" w:line="276"/>
        <w:jc w:val="both"/>
      </w:pPr>
      <w:r>
        <w:rPr>
          <w:rFonts w:ascii="Barlow Semi Condensed" w:cs="Barlow Semi Condensed" w:eastAsia="Barlow Semi Condensed" w:hAnsi="Barlow Semi Condensed"/>
          <w:b/>
          <w:bCs/>
          <w:sz w:val="24"/>
          <w:szCs w:val="24"/>
        </w:rPr>
        <w:t xml:space="preserve">987 · Nessun nesso causale nuovo.</w:t>
      </w:r>
      <w:r>
        <w:rPr>
          <w:rFonts w:ascii="Barlow Semi Condensed" w:cs="Barlow Semi Condensed" w:eastAsia="Barlow Semi Condensed" w:hAnsi="Barlow Semi Condensed"/>
          <w:sz w:val="24"/>
          <w:szCs w:val="24"/>
        </w:rPr>
        <w:t xml:space="preserve"> Dichiarazione di bilancio, da tenere ferma contro ogni lettura affrettata dell'opera: la metafora genetica non ha prodotto un solo nesso causale che non fosse già documentato prima di essa. Non ha promosso alcun piano due a piano uno, non ha trasformato una convergenza in un ponte, non ha aggiunto un nome ad alcun registro. Chi la usasse per farlo userebbe questa lente contro la regola espressa che la governa.</w:t>
      </w:r>
    </w:p>
    <w:p>
      <w:pPr>
        <w:spacing w:after="120" w:line="276"/>
        <w:jc w:val="both"/>
      </w:pPr>
      <w:r>
        <w:rPr>
          <w:rFonts w:ascii="Barlow Semi Condensed" w:cs="Barlow Semi Condensed" w:eastAsia="Barlow Semi Condensed" w:hAnsi="Barlow Semi Condensed"/>
          <w:b/>
          <w:bCs/>
          <w:sz w:val="24"/>
          <w:szCs w:val="24"/>
        </w:rPr>
        <w:t xml:space="preserve">988 · Il guadagno reale della lente.</w:t>
      </w:r>
      <w:r>
        <w:rPr>
          <w:rFonts w:ascii="Barlow Semi Condensed" w:cs="Barlow Semi Condensed" w:eastAsia="Barlow Semi Condensed" w:hAnsi="Barlow Semi Condensed"/>
          <w:sz w:val="24"/>
          <w:szCs w:val="24"/>
        </w:rPr>
        <w:t xml:space="preserve"> Ciò che la metafora ha prodotto è di natura diversa e va rivendicato senza esagerarlo: domande più precise. Chiedere quale sia l'originale di una replicazione, quale l'ambiente di un'espressione differenziale, quale la differenza fra somiglianza per discendenza e somiglianza per funzione significa formulare bersagli documentali dove prima c'erano impressioni. Una lente che migliora le domande ha già fatto il suo mestiere; una che fornisse risposte sarebbe sotto sospetto.</w:t>
      </w:r>
    </w:p>
    <w:p>
      <w:pPr>
        <w:spacing w:after="120" w:line="276"/>
        <w:jc w:val="both"/>
      </w:pPr>
      <w:r>
        <w:rPr>
          <w:rFonts w:ascii="Barlow Semi Condensed" w:cs="Barlow Semi Condensed" w:eastAsia="Barlow Semi Condensed" w:hAnsi="Barlow Semi Condensed"/>
          <w:b/>
          <w:bCs/>
          <w:sz w:val="24"/>
          <w:szCs w:val="24"/>
        </w:rPr>
        <w:t xml:space="preserve">989 · La prova di sterilità della metafora.</w:t>
      </w:r>
      <w:r>
        <w:rPr>
          <w:rFonts w:ascii="Barlow Semi Condensed" w:cs="Barlow Semi Condensed" w:eastAsia="Barlow Semi Condensed" w:hAnsi="Barlow Semi Condensed"/>
          <w:sz w:val="24"/>
          <w:szCs w:val="24"/>
        </w:rPr>
        <w:t xml:space="preserve"> Test verificabile che la serie propone su se stessa: si scorra l'intera opera e si cerchi un fatto la cui unica fonte sia la metafora. Se esiste, quel fatto va espunto, perché nessun fatto può avere per fonte una figura retorica. L'esito atteso è che non ne esista alcuno, poiché ogni asserzione porta il proprio grado e la propria fonte; ma il test si esegue e non si presume, ed è questa la differenza.</w:t>
      </w:r>
    </w:p>
    <w:p>
      <w:pPr>
        <w:spacing w:after="120" w:line="276"/>
        <w:jc w:val="both"/>
      </w:pPr>
      <w:r>
        <w:rPr>
          <w:rFonts w:ascii="Barlow Semi Condensed" w:cs="Barlow Semi Condensed" w:eastAsia="Barlow Semi Condensed" w:hAnsi="Barlow Semi Condensed"/>
          <w:b/>
          <w:bCs/>
          <w:sz w:val="24"/>
          <w:szCs w:val="24"/>
        </w:rPr>
        <w:t xml:space="preserve">990 · L'onere sta sull'affermazione.</w:t>
      </w:r>
      <w:r>
        <w:rPr>
          <w:rFonts w:ascii="Barlow Semi Condensed" w:cs="Barlow Semi Condensed" w:eastAsia="Barlow Semi Condensed" w:hAnsi="Barlow Semi Condensed"/>
          <w:sz w:val="24"/>
          <w:szCs w:val="24"/>
        </w:rPr>
        <w:t xml:space="preserve"> Regola generale che discende dal test di sterilità: l'onere della prova grava sempre sull'affermazione fattuale, mai sulla chiave interpretativa. Chi contesta la lente esprime una preferenza di lettura, legittima e non decisiva; chi contesta un fatto deve portare un documento, e sarà ascoltato. Confondere i due piani è il modo più comune di trasformare una discussione storiografica in una disputa di gusto, dove nessuna delle due parti può perdere.</w:t>
      </w:r>
    </w:p>
    <w:p>
      <w:pPr>
        <w:spacing w:after="120" w:line="276"/>
        <w:jc w:val="both"/>
      </w:pPr>
      <w:r>
        <w:rPr>
          <w:rFonts w:ascii="Barlow Semi Condensed" w:cs="Barlow Semi Condensed" w:eastAsia="Barlow Semi Condensed" w:hAnsi="Barlow Semi Condensed"/>
          <w:b/>
          <w:bCs/>
          <w:sz w:val="24"/>
          <w:szCs w:val="24"/>
        </w:rPr>
        <w:t xml:space="preserve">991 · La chiave si dichiara in copertina.</w:t>
      </w:r>
      <w:r>
        <w:rPr>
          <w:rFonts w:ascii="Barlow Semi Condensed" w:cs="Barlow Semi Condensed" w:eastAsia="Barlow Semi Condensed" w:hAnsi="Barlow Semi Condensed"/>
          <w:sz w:val="24"/>
          <w:szCs w:val="24"/>
        </w:rPr>
        <w:t xml:space="preserve"> Regola di forma con un contenuto sostanziale: una chiave interpretativa si dichiara in apertura, prima che il lettore incontri il primo fatto, e si dichiara come chiave. Che Kissinger rappresenti metaforicamente la genetica è un'ipotesi di lettura scelta dal committente dell'opera, non un risultato dell'opera. Il lettore ha diritto di sapere dalla prima riga che cosa gli è stato messo davanti agli occhi, e da chi.</w:t>
      </w:r>
    </w:p>
    <w:p>
      <w:pPr>
        <w:spacing w:after="120" w:line="276"/>
        <w:jc w:val="both"/>
      </w:pPr>
      <w:r>
        <w:rPr>
          <w:rFonts w:ascii="Barlow Semi Condensed" w:cs="Barlow Semi Condensed" w:eastAsia="Barlow Semi Condensed" w:hAnsi="Barlow Semi Condensed"/>
          <w:b/>
          <w:bCs/>
          <w:sz w:val="24"/>
          <w:szCs w:val="24"/>
        </w:rPr>
        <w:t xml:space="preserve">992 · Una lente non si dimostra col testo.</w:t>
      </w:r>
      <w:r>
        <w:rPr>
          <w:rFonts w:ascii="Barlow Semi Condensed" w:cs="Barlow Semi Condensed" w:eastAsia="Barlow Semi Condensed" w:hAnsi="Barlow Semi Condensed"/>
          <w:sz w:val="24"/>
          <w:szCs w:val="24"/>
        </w:rPr>
        <w:t xml:space="preserve"> Corollario, ed è il vizio che questa serie esiste per impedire: nessuna quantità di testo scritto sotto una lente dimostra la lente. Sessanta blocchi coerenti con la metafora genetica non provano che la metafora sia vera, esattamente come un romanzo coerente non prova i propri presupposti. La coerenza interna è una virtù letteraria e un pericolo epistemologico: provano soltanto i documenti, e i documenti non sanno nulla delle chiavi che li ordinano.</w:t>
      </w:r>
    </w:p>
    <w:p>
      <w:pPr>
        <w:spacing w:after="120" w:line="276"/>
        <w:jc w:val="both"/>
      </w:pPr>
      <w:r>
        <w:rPr>
          <w:rFonts w:ascii="Barlow Semi Condensed" w:cs="Barlow Semi Condensed" w:eastAsia="Barlow Semi Condensed" w:hAnsi="Barlow Semi Condensed"/>
          <w:b/>
          <w:bCs/>
          <w:sz w:val="24"/>
          <w:szCs w:val="24"/>
        </w:rPr>
        <w:t xml:space="preserve">993 · La circolarità, il vizio da nominare.</w:t>
      </w:r>
      <w:r>
        <w:rPr>
          <w:rFonts w:ascii="Barlow Semi Condensed" w:cs="Barlow Semi Condensed" w:eastAsia="Barlow Semi Condensed" w:hAnsi="Barlow Semi Condensed"/>
          <w:sz w:val="24"/>
          <w:szCs w:val="24"/>
        </w:rPr>
        <w:t xml:space="preserve"> Il meccanismo va nominato perché sia riconoscibile: si adotta una lente, si selezionano i fatti che essa illumina, si conclude che i fatti confermano la lente. È il bias di conferma nella sua forma più elegante, e il manuale investigativo gli oppone l'antidoto procedurale, elencare per prime le evidenze che smentirebbero e cercarle per prime. Questa serie applica l'antidoto alla metafora stessa, che è il caso più difficile di tutti.</w:t>
      </w:r>
    </w:p>
    <w:p>
      <w:pPr>
        <w:spacing w:after="120" w:line="276"/>
        <w:jc w:val="both"/>
      </w:pPr>
      <w:r>
        <w:rPr>
          <w:rFonts w:ascii="Barlow Semi Condensed" w:cs="Barlow Semi Condensed" w:eastAsia="Barlow Semi Condensed" w:hAnsi="Barlow Semi Condensed"/>
          <w:b/>
          <w:bCs/>
          <w:sz w:val="24"/>
          <w:szCs w:val="24"/>
        </w:rPr>
        <w:t xml:space="preserve">994 · Il diritto di rifiutare la lente.</w:t>
      </w:r>
      <w:r>
        <w:rPr>
          <w:rFonts w:ascii="Barlow Semi Condensed" w:cs="Barlow Semi Condensed" w:eastAsia="Barlow Semi Condensed" w:hAnsi="Barlow Semi Condensed"/>
          <w:sz w:val="24"/>
          <w:szCs w:val="24"/>
        </w:rPr>
        <w:t xml:space="preserve"> Un lettore può respingere integralmente la chiave genetica e continuare a usare quest'opera: perderebbe l'ordine delle domande e non un solo fatto, perché nessun fatto vi è appeso. È il criterio pratico che distingue una chiave onesta da una tesi mascherata. Se rifiutare la lente costringesse a rifiutare anche le acquisizioni documentali, la lente non sarebbe una lente: sarebbe la conclusione dell'opera, scritta all'inizio.</w:t>
      </w:r>
    </w:p>
    <w:p>
      <w:pPr>
        <w:spacing w:after="120" w:line="276"/>
        <w:jc w:val="both"/>
      </w:pPr>
      <w:r>
        <w:rPr>
          <w:rFonts w:ascii="Barlow Semi Condensed" w:cs="Barlow Semi Condensed" w:eastAsia="Barlow Semi Condensed" w:hAnsi="Barlow Semi Condensed"/>
          <w:b/>
          <w:bCs/>
          <w:sz w:val="24"/>
          <w:szCs w:val="24"/>
        </w:rPr>
        <w:t xml:space="preserve">995 · Il criterio di smentita dell'intera opera.</w:t>
      </w:r>
      <w:r>
        <w:rPr>
          <w:rFonts w:ascii="Barlow Semi Condensed" w:cs="Barlow Semi Condensed" w:eastAsia="Barlow Semi Condensed" w:hAnsi="Barlow Semi Condensed"/>
          <w:sz w:val="24"/>
          <w:szCs w:val="24"/>
        </w:rPr>
        <w:t xml:space="preserve"> Che cosa smentirebbe questa triangolazione per intero, e non nei dettagli: la dimostrazione documentale che uno dei suoi ponti dichiarati al piano due sia in realtà al piano uno e sia stato taciuto, oppure che un suo blocco abbia attribuito una condotta a una persona oltre il giudicato. Il primo caso proverebbe reticenza, il secondo abuso. Entrambi si accertano su testo e documenti, e in entrambi i casi l'opera avrebbe torto.</w:t>
      </w:r>
    </w:p>
    <w:p>
      <w:pPr>
        <w:spacing w:after="120" w:line="276"/>
        <w:jc w:val="both"/>
      </w:pPr>
      <w:r>
        <w:rPr>
          <w:rFonts w:ascii="Barlow Semi Condensed" w:cs="Barlow Semi Condensed" w:eastAsia="Barlow Semi Condensed" w:hAnsi="Barlow Semi Condensed"/>
          <w:b/>
          <w:bCs/>
          <w:sz w:val="24"/>
          <w:szCs w:val="24"/>
        </w:rPr>
        <w:t xml:space="preserve">996 · Ciò che non smentirebbe l'opera.</w:t>
      </w:r>
      <w:r>
        <w:rPr>
          <w:rFonts w:ascii="Barlow Semi Condensed" w:cs="Barlow Semi Condensed" w:eastAsia="Barlow Semi Condensed" w:hAnsi="Barlow Semi Condensed"/>
          <w:sz w:val="24"/>
          <w:szCs w:val="24"/>
        </w:rPr>
        <w:t xml:space="preserve"> Simmetricamente, e per evitare smentite fittizie: non la smentirebbe la scoperta che la metafora genetica è inelegante o inutile, perché una metafora non è un'asserzione sul mondo; non la smentirebbe un documento nuovo che sposti un grado, perché lo spostamento dei gradi è precisamente ciò che l'opera chiede; non la smentirebbe il disaccordo sul giudizio storico, che è materia legittima e distinta dall'accertamento dei fatti.</w:t>
      </w:r>
    </w:p>
    <w:p>
      <w:pPr>
        <w:spacing w:after="120" w:line="276"/>
        <w:jc w:val="both"/>
      </w:pPr>
      <w:r>
        <w:rPr>
          <w:rFonts w:ascii="Barlow Semi Condensed" w:cs="Barlow Semi Condensed" w:eastAsia="Barlow Semi Condensed" w:hAnsi="Barlow Semi Condensed"/>
          <w:b/>
          <w:bCs/>
          <w:sz w:val="24"/>
          <w:szCs w:val="24"/>
        </w:rPr>
        <w:t xml:space="preserve">997 · La correzione per nota, non per riscrittura.</w:t>
      </w:r>
      <w:r>
        <w:rPr>
          <w:rFonts w:ascii="Barlow Semi Condensed" w:cs="Barlow Semi Condensed" w:eastAsia="Barlow Semi Condensed" w:hAnsi="Barlow Semi Condensed"/>
          <w:sz w:val="24"/>
          <w:szCs w:val="24"/>
        </w:rPr>
        <w:t xml:space="preserve"> Il corpus corregge annotando e non riscrivendo: la lezione originaria resta leggibile e la correzione le si affianca, con la sua data e la sua ragione. È la procedura già applicata al nodo M-5 e alle matrici del documento di metodo. Chi porterà a quest'opera un bersaglio mal posto, un giacimento ignorato o una data sbagliata riceverà una nota di revisione e un ringraziamento per iscritto: un'opera che non può essere corretta è morta.</w:t>
      </w:r>
    </w:p>
    <w:p>
      <w:pPr>
        <w:spacing w:after="120" w:line="276"/>
        <w:jc w:val="both"/>
      </w:pPr>
      <w:r>
        <w:rPr>
          <w:rFonts w:ascii="Barlow Semi Condensed" w:cs="Barlow Semi Condensed" w:eastAsia="Barlow Semi Condensed" w:hAnsi="Barlow Semi Condensed"/>
          <w:b/>
          <w:bCs/>
          <w:sz w:val="24"/>
          <w:szCs w:val="24"/>
        </w:rPr>
        <w:t xml:space="preserve">998 · Le sei vittime, il presidio.</w:t>
      </w:r>
      <w:r>
        <w:rPr>
          <w:rFonts w:ascii="Barlow Semi Condensed" w:cs="Barlow Semi Condensed" w:eastAsia="Barlow Semi Condensed" w:hAnsi="Barlow Semi Condensed"/>
          <w:sz w:val="24"/>
          <w:szCs w:val="24"/>
        </w:rPr>
        <w:t xml:space="preserve"> Prima di chiudere, i nomi che stanno in testa a ogni pagina del corpus e che nessuna metafora deve coprire: Oreste Leonardi, Domenico Ricci, Giulio Rivera, Francesco Zizzi, Raffaele Iozzino, Aldo Moro. Sessanta blocchi di disciplina servono a una cosa sola e concreta: che ciò che accadde a loro sia scritto fin dove le carte arrivano, e non sia inventato dove le carte non arrivano.</w:t>
      </w:r>
    </w:p>
    <w:p>
      <w:pPr>
        <w:spacing w:after="120" w:line="276"/>
        <w:jc w:val="both"/>
      </w:pPr>
      <w:r>
        <w:rPr>
          <w:rFonts w:ascii="Barlow Semi Condensed" w:cs="Barlow Semi Condensed" w:eastAsia="Barlow Semi Condensed" w:hAnsi="Barlow Semi Condensed"/>
          <w:b/>
          <w:bCs/>
          <w:sz w:val="24"/>
          <w:szCs w:val="24"/>
        </w:rPr>
        <w:t xml:space="preserve">999 · Il fascicolo resta aperto.</w:t>
      </w:r>
      <w:r>
        <w:rPr>
          <w:rFonts w:ascii="Barlow Semi Condensed" w:cs="Barlow Semi Condensed" w:eastAsia="Barlow Semi Condensed" w:hAnsi="Barlow Semi Condensed"/>
          <w:sz w:val="24"/>
          <w:szCs w:val="24"/>
        </w:rPr>
        <w:t xml:space="preserve"> L'opera non si chiude perché il caso non è chiuso: il fascicolo della Procura di Roma sulle terze presenze è vivo, nuovi esami sui reperti sono stati disposti, gli archivi stranieri hanno serie non ancora spogliate, e l'Archivio storico-diplomatico della Farnesina attende sugli anni 1969-1974 una campagna che nessuno ha ancora condotto. Chiudere qui significa consegnare bersagli e non conclusioni, che è la sola forma di conclusione lecita.</w:t>
      </w:r>
    </w:p>
    <w:p>
      <w:pPr>
        <w:spacing w:after="120" w:line="276"/>
        <w:jc w:val="both"/>
      </w:pPr>
      <w:r>
        <w:rPr>
          <w:rFonts w:ascii="Barlow Semi Condensed" w:cs="Barlow Semi Condensed" w:eastAsia="Barlow Semi Condensed" w:hAnsi="Barlow Semi Condensed"/>
          <w:b/>
          <w:bCs/>
          <w:sz w:val="24"/>
          <w:szCs w:val="24"/>
        </w:rPr>
        <w:t xml:space="preserve">1000 · La riga di chiusura.</w:t>
      </w:r>
      <w:r>
        <w:rPr>
          <w:rFonts w:ascii="Barlow Semi Condensed" w:cs="Barlow Semi Condensed" w:eastAsia="Barlow Semi Condensed" w:hAnsi="Barlow Semi Condensed"/>
          <w:sz w:val="24"/>
          <w:szCs w:val="24"/>
        </w:rPr>
        <w:t xml:space="preserve"> Se questa triangolazione ha un lascito, è una sottrazione: ha tolto alla metafora il potere di condannare e le ha lasciato quello di interrogare. Kissinger rappresenta metaforicamente la genetica soltanto finché la genetica non pretende di rappresentare una colpa; da quel punto in poi la lente si depone, e restano i documenti, che c'erano prima e ci saranno dopo. La colpa non si eredita. Il fascicolo resta aperto.</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Serie quattordicesima — Il ritratto: l’uomo prima del caso</w:t>
      </w:r>
    </w:p>
    <w:p>
      <w:pPr>
        <w:spacing w:after="120" w:line="276"/>
        <w:jc w:val="both"/>
      </w:pPr>
      <w:r>
        <w:rPr>
          <w:rFonts w:ascii="Barlow Semi Condensed" w:cs="Barlow Semi Condensed" w:eastAsia="Barlow Semi Condensed" w:hAnsi="Barlow Semi Condensed"/>
          <w:i/>
          <w:iCs/>
          <w:sz w:val="24"/>
          <w:szCs w:val="24"/>
        </w:rPr>
        <w:t xml:space="preserve">Blocchi 1001-1070.</w:t>
      </w:r>
    </w:p>
    <w:p>
      <w:pPr>
        <w:spacing w:after="120" w:line="276"/>
        <w:jc w:val="both"/>
      </w:pPr>
      <w:r>
        <w:rPr>
          <w:rFonts w:ascii="Barlow Semi Condensed" w:cs="Barlow Semi Condensed" w:eastAsia="Barlow Semi Condensed" w:hAnsi="Barlow Semi Condensed"/>
          <w:b/>
          <w:bCs/>
          <w:sz w:val="24"/>
          <w:szCs w:val="24"/>
        </w:rPr>
        <w:t xml:space="preserve">1001 · La stringa assente nel ritratto.</w:t>
      </w:r>
      <w:r>
        <w:rPr>
          <w:rFonts w:ascii="Barlow Semi Condensed" w:cs="Barlow Semi Condensed" w:eastAsia="Barlow Semi Condensed" w:hAnsi="Barlow Semi Condensed"/>
          <w:sz w:val="24"/>
          <w:szCs w:val="24"/>
        </w:rPr>
        <w:t xml:space="preserve"> Verifica meccanica eseguita sul file della Fase ottava: il nome di Henry Kissinger ricorre zero volte nei capitoli 62-67 e nel congedo. Non è reticenza, è perimetro: quella Fase dichiara di trattare l'uomo prima del caso, la formazione, le idee dei suoi scritti pubblici. Accertamento di grado alto sul testo, non sull'archivio. Da qui parte la serie, e il territorio assegnato è muto su questo nome.</w:t>
      </w:r>
    </w:p>
    <w:p>
      <w:pPr>
        <w:spacing w:after="120" w:line="276"/>
        <w:jc w:val="both"/>
      </w:pPr>
      <w:r>
        <w:rPr>
          <w:rFonts w:ascii="Barlow Semi Condensed" w:cs="Barlow Semi Condensed" w:eastAsia="Barlow Semi Condensed" w:hAnsi="Barlow Semi Condensed"/>
          <w:b/>
          <w:bCs/>
          <w:sz w:val="24"/>
          <w:szCs w:val="24"/>
        </w:rPr>
        <w:t xml:space="preserve">1002 · Che cosa significa un silenzio dichiarato.</w:t>
      </w:r>
      <w:r>
        <w:rPr>
          <w:rFonts w:ascii="Barlow Semi Condensed" w:cs="Barlow Semi Condensed" w:eastAsia="Barlow Semi Condensed" w:hAnsi="Barlow Semi Condensed"/>
          <w:sz w:val="24"/>
          <w:szCs w:val="24"/>
        </w:rPr>
        <w:t xml:space="preserve"> Regola di lettura, prima di ogni altra cosa. Il silenzio di un testo non è uno Stato Zero d'archivio: lo Stato Zero si predica di una ricerca condotta in una sede nominata, il silenzio di un capitolo si predica del suo oggetto. La Fase ottava non ha cercato questo nome e non lo ha mancato: lo ha escluso per statuto. Confondere i due esiti falserebbe l'intero conto della serie.</w:t>
      </w:r>
    </w:p>
    <w:p>
      <w:pPr>
        <w:spacing w:after="120" w:line="276"/>
        <w:jc w:val="both"/>
      </w:pPr>
      <w:r>
        <w:rPr>
          <w:rFonts w:ascii="Barlow Semi Condensed" w:cs="Barlow Semi Condensed" w:eastAsia="Barlow Semi Condensed" w:hAnsi="Barlow Semi Condensed"/>
          <w:b/>
          <w:bCs/>
          <w:sz w:val="24"/>
          <w:szCs w:val="24"/>
        </w:rPr>
        <w:t xml:space="preserve">1003 · Il perimetro dei capitoli sessantadue-sessantasette.</w:t>
      </w:r>
      <w:r>
        <w:rPr>
          <w:rFonts w:ascii="Barlow Semi Condensed" w:cs="Barlow Semi Condensed" w:eastAsia="Barlow Semi Condensed" w:hAnsi="Barlow Semi Condensed"/>
          <w:sz w:val="24"/>
          <w:szCs w:val="24"/>
        </w:rPr>
        <w:t xml:space="preserve"> Si elenchi ordinatamente ciò che il territorio contiene: Maglie 1916, la FUCI, la cattedra di diritto penale a Bari, il costituente, la strategia dell'attenzione, la solidarietà nazionale e la terza fase, le novanta lettere, la ragione umana del colpo. Nessuna di queste voci è per sua natura luogo di rapporto diretto con un Segretario di Stato americano. Il territorio è biografico e dottrinale, e vi si lavora quasi solo per assenze.</w:t>
      </w:r>
    </w:p>
    <w:p>
      <w:pPr>
        <w:spacing w:after="120" w:line="276"/>
        <w:jc w:val="both"/>
      </w:pPr>
      <w:r>
        <w:rPr>
          <w:rFonts w:ascii="Barlow Semi Condensed" w:cs="Barlow Semi Condensed" w:eastAsia="Barlow Semi Condensed" w:hAnsi="Barlow Semi Condensed"/>
          <w:b/>
          <w:bCs/>
          <w:sz w:val="24"/>
          <w:szCs w:val="24"/>
        </w:rPr>
        <w:t xml:space="preserve">1004 · L'unico varco possibile al piano uno.</w:t>
      </w:r>
      <w:r>
        <w:rPr>
          <w:rFonts w:ascii="Barlow Semi Condensed" w:cs="Barlow Semi Condensed" w:eastAsia="Barlow Semi Condensed" w:hAnsi="Barlow Semi Condensed"/>
          <w:sz w:val="24"/>
          <w:szCs w:val="24"/>
        </w:rPr>
        <w:t xml:space="preserve"> Esiste nel ritratto un solo punto in cui i due nomi potevano incontrarsi al primo piano: il Moro ministro degli Esteri. Il capitolo sessantatreesimo lo liquida con la formula «più volte ministro» e non entra nei due mandati, il 1969-1972 e il 1973-1974. Scelta compositiva legittima; ne discende però che il ritratto non sfiora mai il verbale del 25 settembre 1974. È rilievo, non censura.</w:t>
      </w:r>
    </w:p>
    <w:p>
      <w:pPr>
        <w:spacing w:after="120" w:line="276"/>
        <w:jc w:val="both"/>
      </w:pPr>
      <w:r>
        <w:rPr>
          <w:rFonts w:ascii="Barlow Semi Condensed" w:cs="Barlow Semi Condensed" w:eastAsia="Barlow Semi Condensed" w:hAnsi="Barlow Semi Condensed"/>
          <w:b/>
          <w:bCs/>
          <w:sz w:val="24"/>
          <w:szCs w:val="24"/>
        </w:rPr>
        <w:t xml:space="preserve">1005 · Il documento che il ritratto non cita.</w:t>
      </w:r>
      <w:r>
        <w:rPr>
          <w:rFonts w:ascii="Barlow Semi Condensed" w:cs="Barlow Semi Condensed" w:eastAsia="Barlow Semi Condensed" w:hAnsi="Barlow Semi Condensed"/>
          <w:sz w:val="24"/>
          <w:szCs w:val="24"/>
        </w:rPr>
        <w:t xml:space="preserve"> Il memorandum of conversation dello Studio Ovale con Leone, Moro, Ford, Kissinger e Scowcroft, file 1552802 della Ford Library ed edito in FRUS 1969-1976, volume E-15 parte seconda, documento 350 nella seconda edizione riveduta, è l'unica carta del corpus in cui i due siedono al medesimo tavolo. Piano uno di co-presenza, non di rapporto personale. La ricognizione della Farnesina lo registra; la Fase ottava no.</w:t>
      </w:r>
    </w:p>
    <w:p>
      <w:pPr>
        <w:spacing w:after="120" w:line="276"/>
        <w:jc w:val="both"/>
      </w:pPr>
      <w:r>
        <w:rPr>
          <w:rFonts w:ascii="Barlow Semi Condensed" w:cs="Barlow Semi Condensed" w:eastAsia="Barlow Semi Condensed" w:hAnsi="Barlow Semi Condensed"/>
          <w:b/>
          <w:bCs/>
          <w:sz w:val="24"/>
          <w:szCs w:val="24"/>
        </w:rPr>
        <w:t xml:space="preserve">1006 · La povertà di quel verbale.</w:t>
      </w:r>
      <w:r>
        <w:rPr>
          <w:rFonts w:ascii="Barlow Semi Condensed" w:cs="Barlow Semi Condensed" w:eastAsia="Barlow Semi Condensed" w:hAnsi="Barlow Semi Condensed"/>
          <w:sz w:val="24"/>
          <w:szCs w:val="24"/>
        </w:rPr>
        <w:t xml:space="preserve"> Anche letto per intero, quel documento restituisce poco dell'uomo che la Fase ottava vuole. Attesta la posizione statunitense sull'impossibilità di condividere informazioni militari con un governo comprendente i comunisti; non contiene alcun ultimatum personale; non attesta una posizione di Moro sul medesimo punto. Per il biografo è fonte magra: dice ciò che disse l'altro, e sul soggetto tace. Il silenzio a verbale resta silenzio.</w:t>
      </w:r>
    </w:p>
    <w:p>
      <w:pPr>
        <w:spacing w:after="120" w:line="276"/>
        <w:jc w:val="both"/>
      </w:pPr>
      <w:r>
        <w:rPr>
          <w:rFonts w:ascii="Barlow Semi Condensed" w:cs="Barlow Semi Condensed" w:eastAsia="Barlow Semi Condensed" w:hAnsi="Barlow Semi Condensed"/>
          <w:b/>
          <w:bCs/>
          <w:sz w:val="24"/>
          <w:szCs w:val="24"/>
        </w:rPr>
        <w:t xml:space="preserve">1007 · Maglie 1916 e Fürth 1923.</w:t>
      </w:r>
      <w:r>
        <w:rPr>
          <w:rFonts w:ascii="Barlow Semi Condensed" w:cs="Barlow Semi Condensed" w:eastAsia="Barlow Semi Condensed" w:hAnsi="Barlow Semi Condensed"/>
          <w:sz w:val="24"/>
          <w:szCs w:val="24"/>
        </w:rPr>
        <w:t xml:space="preserve"> Due anagrafi accertate, sette anni e duemila chilometri di distanza: Aldo Moro nato a Maglie il 23 settembre 1916; Heinz Alfred Kissinger a Fürth il 27 maggio 1923. Il dato serve a una sola funzione e conviene dirla: nessun documento reperito nel corpus lega le due biografie prima del 1969. Ogni accostamento anteriore appartiene al terzo piano e va registrato come tale, senza eccezioni.</w:t>
      </w:r>
    </w:p>
    <w:p>
      <w:pPr>
        <w:spacing w:after="120" w:line="276"/>
        <w:jc w:val="both"/>
      </w:pPr>
      <w:r>
        <w:rPr>
          <w:rFonts w:ascii="Barlow Semi Condensed" w:cs="Barlow Semi Condensed" w:eastAsia="Barlow Semi Condensed" w:hAnsi="Barlow Semi Condensed"/>
          <w:b/>
          <w:bCs/>
          <w:sz w:val="24"/>
          <w:szCs w:val="24"/>
        </w:rPr>
        <w:t xml:space="preserve">1008 · Gli anni della FUCI e la naturalizzazione.</w:t>
      </w:r>
      <w:r>
        <w:rPr>
          <w:rFonts w:ascii="Barlow Semi Condensed" w:cs="Barlow Semi Condensed" w:eastAsia="Barlow Semi Condensed" w:hAnsi="Barlow Semi Condensed"/>
          <w:sz w:val="24"/>
          <w:szCs w:val="24"/>
        </w:rPr>
        <w:t xml:space="preserve"> Fra il 1939 e il 1943 Moro presiedeva la Federazione Universitaria Cattolica Italiana; nello stesso arco Kissinger, emigrato con la famiglia nel settembre 1938, era naturalizzato il 19 giugno 1943 a Camp Croft. Contemporaneità perfetta, nesso nullo. Il blocco esiste per bruciare in anticipo la tentazione simmetrica: due giovani dentro la stessa guerra non compongono un ponte, e la coincidenza d'epoca non ha mai provato nulla.</w:t>
      </w:r>
    </w:p>
    <w:p>
      <w:pPr>
        <w:spacing w:after="120" w:line="276"/>
        <w:jc w:val="both"/>
      </w:pPr>
      <w:r>
        <w:rPr>
          <w:rFonts w:ascii="Barlow Semi Condensed" w:cs="Barlow Semi Condensed" w:eastAsia="Barlow Semi Condensed" w:hAnsi="Barlow Semi Condensed"/>
          <w:b/>
          <w:bCs/>
          <w:sz w:val="24"/>
          <w:szCs w:val="24"/>
        </w:rPr>
        <w:t xml:space="preserve">1009 · Montini, e il tramite che manca.</w:t>
      </w:r>
      <w:r>
        <w:rPr>
          <w:rFonts w:ascii="Barlow Semi Condensed" w:cs="Barlow Semi Condensed" w:eastAsia="Barlow Semi Condensed" w:hAnsi="Barlow Semi Condensed"/>
          <w:sz w:val="24"/>
          <w:szCs w:val="24"/>
        </w:rPr>
        <w:t xml:space="preserve"> Il capitolo sessantaduesimo fa di Giovanni Battista Montini la guida spirituale della formazione morotea. Quesito conseguente: esistono, per il pontificato di Paolo VI, atti che documentino un rapporto fra la Santa Sede e il nome triangolato utile a questo territorio? Il corpus non ne registra alcuno. Sede che chiuderebbe la lacuna: Archivio Apostolico Vaticano, Segreteria di Stato, quando sarà consultabile, secondo la pista P-9 del programma investigativo.</w:t>
      </w:r>
    </w:p>
    <w:p>
      <w:pPr>
        <w:spacing w:after="120" w:line="276"/>
        <w:jc w:val="both"/>
      </w:pPr>
      <w:r>
        <w:rPr>
          <w:rFonts w:ascii="Barlow Semi Condensed" w:cs="Barlow Semi Condensed" w:eastAsia="Barlow Semi Condensed" w:hAnsi="Barlow Semi Condensed"/>
          <w:b/>
          <w:bCs/>
          <w:sz w:val="24"/>
          <w:szCs w:val="24"/>
        </w:rPr>
        <w:t xml:space="preserve">1010 · Due cattedre, nessuna parentela.</w:t>
      </w:r>
      <w:r>
        <w:rPr>
          <w:rFonts w:ascii="Barlow Semi Condensed" w:cs="Barlow Semi Condensed" w:eastAsia="Barlow Semi Condensed" w:hAnsi="Barlow Semi Condensed"/>
          <w:sz w:val="24"/>
          <w:szCs w:val="24"/>
        </w:rPr>
        <w:t xml:space="preserve"> Moro professore di diritto penale a Bari dal 1948, cattedra mai lasciata; Kissinger dottore a Harvard nel 1954 con la dissertazione su Castlereagh e Metternich, censita al blocco 68 dell'opera prima. La somiglianza — l'accademico che passa al governo — è analogia, non omologia. Il test resta uno solo e non ne ammette surrogati: un documento di provenienza che nomini la controparte. Non è stato reperito.</w:t>
      </w:r>
    </w:p>
    <w:p>
      <w:pPr>
        <w:spacing w:after="120" w:line="276"/>
        <w:jc w:val="both"/>
      </w:pPr>
      <w:r>
        <w:rPr>
          <w:rFonts w:ascii="Barlow Semi Condensed" w:cs="Barlow Semi Condensed" w:eastAsia="Barlow Semi Condensed" w:hAnsi="Barlow Semi Condensed"/>
          <w:b/>
          <w:bCs/>
          <w:sz w:val="24"/>
          <w:szCs w:val="24"/>
        </w:rPr>
        <w:t xml:space="preserve">1011 · Il penalista e il teorico dell'equilibrio.</w:t>
      </w:r>
      <w:r>
        <w:rPr>
          <w:rFonts w:ascii="Barlow Semi Condensed" w:cs="Barlow Semi Condensed" w:eastAsia="Barlow Semi Condensed" w:hAnsi="Barlow Semi Condensed"/>
          <w:sz w:val="24"/>
          <w:szCs w:val="24"/>
        </w:rPr>
        <w:t xml:space="preserve"> Il capitolo sessantaduesimo fa del giurista la chiave del metodo dell'intera opera: la prova, il procedimento, la garanzia come sostanza della civiltà. La dottrina censita nella seconda serie dell'opera prima muove da un altro asse, l'equilibrio fra potenze. Opporre le due impostazioni è legittimo come storia delle idee; ricavarne un conflitto fra due persone non lo è. La divergenza si iscrive al secondo piano e vi resta.</w:t>
      </w:r>
    </w:p>
    <w:p>
      <w:pPr>
        <w:spacing w:after="120" w:line="276"/>
        <w:jc w:val="both"/>
      </w:pPr>
      <w:r>
        <w:rPr>
          <w:rFonts w:ascii="Barlow Semi Condensed" w:cs="Barlow Semi Condensed" w:eastAsia="Barlow Semi Condensed" w:hAnsi="Barlow Semi Condensed"/>
          <w:b/>
          <w:bCs/>
          <w:sz w:val="24"/>
          <w:szCs w:val="24"/>
        </w:rPr>
        <w:t xml:space="preserve">1012 · Le carte del docente.</w:t>
      </w:r>
      <w:r>
        <w:rPr>
          <w:rFonts w:ascii="Barlow Semi Condensed" w:cs="Barlow Semi Condensed" w:eastAsia="Barlow Semi Condensed" w:hAnsi="Barlow Semi Condensed"/>
          <w:sz w:val="24"/>
          <w:szCs w:val="24"/>
        </w:rPr>
        <w:t xml:space="preserve"> Il blocco 225 dei nove cantieri censisce le carte dell'insegnamento di Moro. Quesito eseguibile subito: nell'inventario analitico del fondo personale «Aldo Moro» all'Archivio centrale dello Stato — duecentodiciotto buste, carte dal 1953 al 1978 — le serie di corrispondenza e di studio recano riferimenti nominativi al soggetto di questa triangolazione? Stato Zero finché lo spoglio non è compiuto. La sede è indicata, il lavoro non è fatto.</w:t>
      </w:r>
    </w:p>
    <w:p>
      <w:pPr>
        <w:spacing w:after="120" w:line="276"/>
        <w:jc w:val="both"/>
      </w:pPr>
      <w:r>
        <w:rPr>
          <w:rFonts w:ascii="Barlow Semi Condensed" w:cs="Barlow Semi Condensed" w:eastAsia="Barlow Semi Condensed" w:hAnsi="Barlow Semi Condensed"/>
          <w:b/>
          <w:bCs/>
          <w:sz w:val="24"/>
          <w:szCs w:val="24"/>
        </w:rPr>
        <w:t xml:space="preserve">1013 · Il fondo affidato dalla famiglia.</w:t>
      </w:r>
      <w:r>
        <w:rPr>
          <w:rFonts w:ascii="Barlow Semi Condensed" w:cs="Barlow Semi Condensed" w:eastAsia="Barlow Semi Condensed" w:hAnsi="Barlow Semi Condensed"/>
          <w:sz w:val="24"/>
          <w:szCs w:val="24"/>
        </w:rPr>
        <w:t xml:space="preserve"> Secondo nucleo, distinto per storia archivistica e per regole d'accesso: il fondo «Aldo Moro» depositato dalla famiglia presso il Centro documentazione Archivio Flamigni fra il 2012 e il 2016, con carte dagli anni Trenta. È la sede naturale della biografia privata che la Fase ottava racconta. Quesito: vi resta traccia del viaggio del settembre 1974 e del suo racconto domestico? Nessuno spoglio in tal senso è documentato.</w:t>
      </w:r>
    </w:p>
    <w:p>
      <w:pPr>
        <w:spacing w:after="120" w:line="276"/>
        <w:jc w:val="both"/>
      </w:pPr>
      <w:r>
        <w:rPr>
          <w:rFonts w:ascii="Barlow Semi Condensed" w:cs="Barlow Semi Condensed" w:eastAsia="Barlow Semi Condensed" w:hAnsi="Barlow Semi Condensed"/>
          <w:b/>
          <w:bCs/>
          <w:sz w:val="24"/>
          <w:szCs w:val="24"/>
        </w:rPr>
        <w:t xml:space="preserve">1014 · L'Edizione nazionale come strumento di prova.</w:t>
      </w:r>
      <w:r>
        <w:rPr>
          <w:rFonts w:ascii="Barlow Semi Condensed" w:cs="Barlow Semi Condensed" w:eastAsia="Barlow Semi Condensed" w:hAnsi="Barlow Semi Condensed"/>
          <w:sz w:val="24"/>
          <w:szCs w:val="24"/>
        </w:rPr>
        <w:t xml:space="preserve"> L'Edizione nazionale delle opere di Aldo Moro, istituita nel 2016 e curata all'Università di Bologna, è digitale e ad accesso aperto: consente l'interrogazione per nome sull'intero corpus edito. Il bersaglio è elementare e dirimente insieme: quante occorrenze del nome negli scritti e nei discorsi di Moro, e in quali contesti. Finché quella interrogazione non è eseguita e verbalizzata, ogni affermazione sul punto resta congettura.</w:t>
      </w:r>
    </w:p>
    <w:p>
      <w:pPr>
        <w:spacing w:after="120" w:line="276"/>
        <w:jc w:val="both"/>
      </w:pPr>
      <w:r>
        <w:rPr>
          <w:rFonts w:ascii="Barlow Semi Condensed" w:cs="Barlow Semi Condensed" w:eastAsia="Barlow Semi Condensed" w:hAnsi="Barlow Semi Condensed"/>
          <w:b/>
          <w:bCs/>
          <w:sz w:val="24"/>
          <w:szCs w:val="24"/>
        </w:rPr>
        <w:t xml:space="preserve">1015 · Perché l'indice per nome non basta.</w:t>
      </w:r>
      <w:r>
        <w:rPr>
          <w:rFonts w:ascii="Barlow Semi Condensed" w:cs="Barlow Semi Condensed" w:eastAsia="Barlow Semi Condensed" w:hAnsi="Barlow Semi Condensed"/>
          <w:sz w:val="24"/>
          <w:szCs w:val="24"/>
        </w:rPr>
        <w:t xml:space="preserve"> La serie prima dell'opera prima stabilisce che si verifica la stringa prima di interrogare l'archivio, perché l'archivio risponde a ciò che gli si chiede. Applicato qui: nel corpus moroteo edito vanno cercate anche le forme indirette, «il Segretario di Stato», «Washington», «l'alleato», perché un ministro degli Esteri nomina spesso la carica e non la persona. Un indice onomastico, da solo, produrrebbe un falso Stato Zero.</w:t>
      </w:r>
    </w:p>
    <w:p>
      <w:pPr>
        <w:spacing w:after="120" w:line="276"/>
        <w:jc w:val="both"/>
      </w:pPr>
      <w:r>
        <w:rPr>
          <w:rFonts w:ascii="Barlow Semi Condensed" w:cs="Barlow Semi Condensed" w:eastAsia="Barlow Semi Condensed" w:hAnsi="Barlow Semi Condensed"/>
          <w:b/>
          <w:bCs/>
          <w:sz w:val="24"/>
          <w:szCs w:val="24"/>
        </w:rPr>
        <w:t xml:space="preserve">1016 · Treccani, e il limite del terziario.</w:t>
      </w:r>
      <w:r>
        <w:rPr>
          <w:rFonts w:ascii="Barlow Semi Condensed" w:cs="Barlow Semi Condensed" w:eastAsia="Barlow Semi Condensed" w:hAnsi="Barlow Semi Condensed"/>
          <w:sz w:val="24"/>
          <w:szCs w:val="24"/>
        </w:rPr>
        <w:t xml:space="preserve"> La Fase ottava poggia su Treccani per la formazione e per la strategia dell'attenzione. Verifica ancora da compiere: quella voce nomina il soggetto triangolato? Se non lo nomina, il silenzio del ritratto eredita il silenzio della propria fonte e non è una scelta del corpus. Regola che ne discende: prima di attribuire a un testo una decisione, si controlla se la decisione appartenga già alla sua fonte.</w:t>
      </w:r>
    </w:p>
    <w:p>
      <w:pPr>
        <w:spacing w:after="120" w:line="276"/>
        <w:jc w:val="both"/>
      </w:pPr>
      <w:r>
        <w:rPr>
          <w:rFonts w:ascii="Barlow Semi Condensed" w:cs="Barlow Semi Condensed" w:eastAsia="Barlow Semi Condensed" w:hAnsi="Barlow Semi Condensed"/>
          <w:b/>
          <w:bCs/>
          <w:sz w:val="24"/>
          <w:szCs w:val="24"/>
        </w:rPr>
        <w:t xml:space="preserve">1017 · Il costituente e il non interlocutore.</w:t>
      </w:r>
      <w:r>
        <w:rPr>
          <w:rFonts w:ascii="Barlow Semi Condensed" w:cs="Barlow Semi Condensed" w:eastAsia="Barlow Semi Condensed" w:hAnsi="Barlow Semi Condensed"/>
          <w:sz w:val="24"/>
          <w:szCs w:val="24"/>
        </w:rPr>
        <w:t xml:space="preserve"> Il 2 giugno 1946 Moro entra all'Assemblea Costituente a ventinove anni; il soggetto della triangolazione, ventitreenne, non ha ancora terminato gli studi. Il capitolo sessantatreesimo descrive un lavoro tutto interno alla fondazione della Repubblica: la prima parte della Costituzione, i rapporti fra cittadino e Stato. Nessun versante estero vi affiora. È il capitolo del territorio in cui la triangolazione produce, correttamente, il nulla più netto.</w:t>
      </w:r>
    </w:p>
    <w:p>
      <w:pPr>
        <w:spacing w:after="120" w:line="276"/>
        <w:jc w:val="both"/>
      </w:pPr>
      <w:r>
        <w:rPr>
          <w:rFonts w:ascii="Barlow Semi Condensed" w:cs="Barlow Semi Condensed" w:eastAsia="Barlow Semi Condensed" w:hAnsi="Barlow Semi Condensed"/>
          <w:b/>
          <w:bCs/>
          <w:sz w:val="24"/>
          <w:szCs w:val="24"/>
        </w:rPr>
        <w:t xml:space="preserve">1018 · Un bersaglio per il capitolo costituente.</w:t>
      </w:r>
      <w:r>
        <w:rPr>
          <w:rFonts w:ascii="Barlow Semi Condensed" w:cs="Barlow Semi Condensed" w:eastAsia="Barlow Semi Condensed" w:hAnsi="Barlow Semi Condensed"/>
          <w:sz w:val="24"/>
          <w:szCs w:val="24"/>
        </w:rPr>
        <w:t xml:space="preserve"> Bersaglio di smentita formulato perché qualcuno lo esegua. Si avrebbe un appiglio al secondo piano se una carta statunitense discutesse la formula costituente morotea, la coesistenza dei diversi, come oggetto di valutazione politica. Sedi presso cui cercarlo: i National Archives di College Park, RG 59, Central Foreign Policy Files, e i Nixon Presidential Materials, NSC Files, Country Files: Italy. Nulla di simile è stato finora reperito.</w:t>
      </w:r>
    </w:p>
    <w:p>
      <w:pPr>
        <w:spacing w:after="120" w:line="276"/>
        <w:jc w:val="both"/>
      </w:pPr>
      <w:r>
        <w:rPr>
          <w:rFonts w:ascii="Barlow Semi Condensed" w:cs="Barlow Semi Condensed" w:eastAsia="Barlow Semi Condensed" w:hAnsi="Barlow Semi Condensed"/>
          <w:b/>
          <w:bCs/>
          <w:sz w:val="24"/>
          <w:szCs w:val="24"/>
        </w:rPr>
        <w:t xml:space="preserve">1019 · Cinque presidenze e una finestra larga.</w:t>
      </w:r>
      <w:r>
        <w:rPr>
          <w:rFonts w:ascii="Barlow Semi Condensed" w:cs="Barlow Semi Condensed" w:eastAsia="Barlow Semi Condensed" w:hAnsi="Barlow Semi Condensed"/>
          <w:sz w:val="24"/>
          <w:szCs w:val="24"/>
        </w:rPr>
        <w:t xml:space="preserve"> Fatti pubblici, accostati senza inferenza: Moro presiedette cinque governi fra il 1963 e il 1976; Kissinger fu Assistente per la sicurezza nazionale dal 20 gennaio 1969 al 3 novembre 1975 e Segretario di Stato dal 22 settembre 1973 al 20 gennaio 1977. La finestra di sovrapposizione istituzionale è ampia. Sovrapposizione non è contatto, e il corpus documenta contatti soltanto per il settembre 1974.</w:t>
      </w:r>
    </w:p>
    <w:p>
      <w:pPr>
        <w:spacing w:after="120" w:line="276"/>
        <w:jc w:val="both"/>
      </w:pPr>
      <w:r>
        <w:rPr>
          <w:rFonts w:ascii="Barlow Semi Condensed" w:cs="Barlow Semi Condensed" w:eastAsia="Barlow Semi Condensed" w:hAnsi="Barlow Semi Condensed"/>
          <w:b/>
          <w:bCs/>
          <w:sz w:val="24"/>
          <w:szCs w:val="24"/>
        </w:rPr>
        <w:t xml:space="preserve">1020 · Il primo incontro non ha data.</w:t>
      </w:r>
      <w:r>
        <w:rPr>
          <w:rFonts w:ascii="Barlow Semi Condensed" w:cs="Barlow Semi Condensed" w:eastAsia="Barlow Semi Condensed" w:hAnsi="Barlow Semi Condensed"/>
          <w:sz w:val="24"/>
          <w:szCs w:val="24"/>
        </w:rPr>
        <w:t xml:space="preserve"> Stato Zero circostanziato e di buon rendimento: il corpus non stabilisce quando i due si incontrarono la prima volta. Moro fu ministro degli Esteri dal 5 agosto 1969, e la ricognizione sui documenti italiani e spagnoli dichiara già lacunose le riunioni ministeriali atlantiche del 1969-1974 con Moro presente. Sedi che chiuderebbero: NATO Archives Online, verbali ministeriali; Archivio Storico Diplomatico della Farnesina, serie atlantica.</w:t>
      </w:r>
    </w:p>
    <w:p>
      <w:pPr>
        <w:spacing w:after="120" w:line="276"/>
        <w:jc w:val="both"/>
      </w:pPr>
      <w:r>
        <w:rPr>
          <w:rFonts w:ascii="Barlow Semi Condensed" w:cs="Barlow Semi Condensed" w:eastAsia="Barlow Semi Condensed" w:hAnsi="Barlow Semi Condensed"/>
          <w:b/>
          <w:bCs/>
          <w:sz w:val="24"/>
          <w:szCs w:val="24"/>
        </w:rPr>
        <w:t xml:space="preserve">1021 · L'oscurità come metodo, senza specchio.</w:t>
      </w:r>
      <w:r>
        <w:rPr>
          <w:rFonts w:ascii="Barlow Semi Condensed" w:cs="Barlow Semi Condensed" w:eastAsia="Barlow Semi Condensed" w:hAnsi="Barlow Semi Condensed"/>
          <w:sz w:val="24"/>
          <w:szCs w:val="24"/>
        </w:rPr>
        <w:t xml:space="preserve"> Il capitolo sessantatreesimo legge la lingua avvolgente di Moro come rispetto della complessità del reale. La pubblicistica accosta volentieri quell'oscurità all'ambiguità calcolata della diplomazia americana di quegli anni. È accostamento retorico e appartiene al terzo piano: nulla lo documenta, e lo documenterebbe solo un atto in cui l'uno dichiari di leggere l'altro. Il blocco lo registra per impedirne l'uso, non per svilupparlo.</w:t>
      </w:r>
    </w:p>
    <w:p>
      <w:pPr>
        <w:spacing w:after="120" w:line="276"/>
        <w:jc w:val="both"/>
      </w:pPr>
      <w:r>
        <w:rPr>
          <w:rFonts w:ascii="Barlow Semi Condensed" w:cs="Barlow Semi Condensed" w:eastAsia="Barlow Semi Condensed" w:hAnsi="Barlow Semi Condensed"/>
          <w:b/>
          <w:bCs/>
          <w:sz w:val="24"/>
          <w:szCs w:val="24"/>
        </w:rPr>
        <w:t xml:space="preserve">1022 · Lo stile di Moro passato per l'interprete.</w:t>
      </w:r>
      <w:r>
        <w:rPr>
          <w:rFonts w:ascii="Barlow Semi Condensed" w:cs="Barlow Semi Condensed" w:eastAsia="Barlow Semi Condensed" w:hAnsi="Barlow Semi Condensed"/>
          <w:sz w:val="24"/>
          <w:szCs w:val="24"/>
        </w:rPr>
        <w:t xml:space="preserve"> Quesito tecnico e chiudibile. Nei verbali statunitensi dei colloqui, la parola di Moro arriva mediata da un interprete e da un verbalizzante; il memorandum del 25 settembre 1974 nasce nell'entourage del Consiglio per la sicurezza nazionale, con Brent Scowcroft presente. Quanto quella mediazione tolga alla lingua che il ritratto celebra è domanda filologica legittima, e ha una sede precisa: la Gerald R. Ford Presidential Library.</w:t>
      </w:r>
    </w:p>
    <w:p>
      <w:pPr>
        <w:spacing w:after="120" w:line="276"/>
        <w:jc w:val="both"/>
      </w:pPr>
      <w:r>
        <w:rPr>
          <w:rFonts w:ascii="Barlow Semi Condensed" w:cs="Barlow Semi Condensed" w:eastAsia="Barlow Semi Condensed" w:hAnsi="Barlow Semi Condensed"/>
          <w:b/>
          <w:bCs/>
          <w:sz w:val="24"/>
          <w:szCs w:val="24"/>
        </w:rPr>
        <w:t xml:space="preserve">1023 · La minuta italiana che manca.</w:t>
      </w:r>
      <w:r>
        <w:rPr>
          <w:rFonts w:ascii="Barlow Semi Condensed" w:cs="Barlow Semi Condensed" w:eastAsia="Barlow Semi Condensed" w:hAnsi="Barlow Semi Condensed"/>
          <w:sz w:val="24"/>
          <w:szCs w:val="24"/>
        </w:rPr>
        <w:t xml:space="preserve"> Stato Zero di rendimento alto: di un colloquio fra due delegazioni esistono di norma due verbali. Il corpus possiede quello americano; della minuta italiana del 25 settembre 1974 non registra né segnatura né consistenza. Sede che la chiuderebbe: Archivio Storico Diplomatico della Farnesina, carte del Gabinetto del ministro e telegrammi dell'Ambasciata d'Italia a Washington per il settembre 1974. Nessuno ha ancora posto quel quesito.</w:t>
      </w:r>
    </w:p>
    <w:p>
      <w:pPr>
        <w:spacing w:after="120" w:line="276"/>
        <w:jc w:val="both"/>
      </w:pPr>
      <w:r>
        <w:rPr>
          <w:rFonts w:ascii="Barlow Semi Condensed" w:cs="Barlow Semi Condensed" w:eastAsia="Barlow Semi Condensed" w:hAnsi="Barlow Semi Condensed"/>
          <w:b/>
          <w:bCs/>
          <w:sz w:val="24"/>
          <w:szCs w:val="24"/>
        </w:rPr>
        <w:t xml:space="preserve">1024 · Perché quella minuta riguarda il ritratto.</w:t>
      </w:r>
      <w:r>
        <w:rPr>
          <w:rFonts w:ascii="Barlow Semi Condensed" w:cs="Barlow Semi Condensed" w:eastAsia="Barlow Semi Condensed" w:hAnsi="Barlow Semi Condensed"/>
          <w:sz w:val="24"/>
          <w:szCs w:val="24"/>
        </w:rPr>
        <w:t xml:space="preserve"> Non è dettaglio da diplomatisti. Un verbale italiano registrerebbe che cosa Moro disse e come lo disse, cioè materia del capitolo sessantaseiesimo e del suo assunto sulla scrittura di un uomo. Il verbale americano attesta la posizione dell'altro e tace su quella di Moro: la ricognizione della Farnesina lo scrive per esteso. Il silenzio a verbale non si converte in adesione, e nemmeno nel suo contrario.</w:t>
      </w:r>
    </w:p>
    <w:p>
      <w:pPr>
        <w:spacing w:after="120" w:line="276"/>
        <w:jc w:val="both"/>
      </w:pPr>
      <w:r>
        <w:rPr>
          <w:rFonts w:ascii="Barlow Semi Condensed" w:cs="Barlow Semi Condensed" w:eastAsia="Barlow Semi Condensed" w:hAnsi="Barlow Semi Condensed"/>
          <w:b/>
          <w:bCs/>
          <w:sz w:val="24"/>
          <w:szCs w:val="24"/>
        </w:rPr>
        <w:t xml:space="preserve">1025 · Bari, quindici giugno millenovecentosessantanove.</w:t>
      </w:r>
      <w:r>
        <w:rPr>
          <w:rFonts w:ascii="Barlow Semi Condensed" w:cs="Barlow Semi Condensed" w:eastAsia="Barlow Semi Condensed" w:hAnsi="Barlow Semi Condensed"/>
          <w:sz w:val="24"/>
          <w:szCs w:val="24"/>
        </w:rPr>
        <w:t xml:space="preserve"> Data e sede sono accertate dal capitolo sessantaquattresimo: la strategia dell'attenzione è formulata compiutamente al primo congresso regionale pugliese della Democrazia cristiana. Quesito conseguente: dove sta il testo integrale del discorso? Sedi da interrogare: l'Istituto Luigi Sturzo, dove dal 1994 è depositato l'archivio degli organi centrali del partito, e l'Edizione nazionale bolognese. Il corpus cita la formula; non cita un'edizione del testo.</w:t>
      </w:r>
    </w:p>
    <w:p>
      <w:pPr>
        <w:spacing w:after="120" w:line="276"/>
        <w:jc w:val="both"/>
      </w:pPr>
      <w:r>
        <w:rPr>
          <w:rFonts w:ascii="Barlow Semi Condensed" w:cs="Barlow Semi Condensed" w:eastAsia="Barlow Semi Condensed" w:hAnsi="Barlow Semi Condensed"/>
          <w:b/>
          <w:bCs/>
          <w:sz w:val="24"/>
          <w:szCs w:val="24"/>
        </w:rPr>
        <w:t xml:space="preserve">1026 · Cinque mesi prima, a Washington.</w:t>
      </w:r>
      <w:r>
        <w:rPr>
          <w:rFonts w:ascii="Barlow Semi Condensed" w:cs="Barlow Semi Condensed" w:eastAsia="Barlow Semi Condensed" w:hAnsi="Barlow Semi Condensed"/>
          <w:sz w:val="24"/>
          <w:szCs w:val="24"/>
        </w:rPr>
        <w:t xml:space="preserve"> Cronologia nuda, senza commento che la gonfi. Kissinger assume l'incarico di Assistente per la sicurezza nazionale il 20 gennaio 1969; Moro pronuncia il discorso di Bari il 15 giugno dello stesso anno. Da questo non discende nulla. Il blocco esiste per fissare il divieto proprio nel punto in cui la tentazione è massima: l'anno condiviso è cornice cronologica, e la cornice non è mai una relazione.</w:t>
      </w:r>
    </w:p>
    <w:p>
      <w:pPr>
        <w:spacing w:after="120" w:line="276"/>
        <w:jc w:val="both"/>
      </w:pPr>
      <w:r>
        <w:rPr>
          <w:rFonts w:ascii="Barlow Semi Condensed" w:cs="Barlow Semi Condensed" w:eastAsia="Barlow Semi Condensed" w:hAnsi="Barlow Semi Condensed"/>
          <w:b/>
          <w:bCs/>
          <w:sz w:val="24"/>
          <w:szCs w:val="24"/>
        </w:rPr>
        <w:t xml:space="preserve">1027 · La riunione dell'undici marzo.</w:t>
      </w:r>
      <w:r>
        <w:rPr>
          <w:rFonts w:ascii="Barlow Semi Condensed" w:cs="Barlow Semi Condensed" w:eastAsia="Barlow Semi Condensed" w:hAnsi="Barlow Semi Condensed"/>
          <w:sz w:val="24"/>
          <w:szCs w:val="24"/>
        </w:rPr>
        <w:t xml:space="preserve"> Precedenza, non contemporaneità. Il verbale del Comitato dei 303 presieduto da Kissinger, documento 180 del volume XLI dei FRUS, è dell'11 marzo 1969, quando Moro non era ancora ministro degli Esteri; e vi si convenne all'unanimità che non vi fosse reale giustificazione per riprendere il finanziamento coperto ai partiti italiani. La ricognizione della Farnesina lo dichiara. Una causa non si colloca dopo il proprio effetto.</w:t>
      </w:r>
    </w:p>
    <w:p>
      <w:pPr>
        <w:spacing w:after="120" w:line="276"/>
        <w:jc w:val="both"/>
      </w:pPr>
      <w:r>
        <w:rPr>
          <w:rFonts w:ascii="Barlow Semi Condensed" w:cs="Barlow Semi Condensed" w:eastAsia="Barlow Semi Condensed" w:hAnsi="Barlow Semi Condensed"/>
          <w:b/>
          <w:bCs/>
          <w:sz w:val="24"/>
          <w:szCs w:val="24"/>
        </w:rPr>
        <w:t xml:space="preserve">1028 · Il congresso pugliese nei dispacci.</w:t>
      </w:r>
      <w:r>
        <w:rPr>
          <w:rFonts w:ascii="Barlow Semi Condensed" w:cs="Barlow Semi Condensed" w:eastAsia="Barlow Semi Condensed" w:hAnsi="Barlow Semi Condensed"/>
          <w:sz w:val="24"/>
          <w:szCs w:val="24"/>
        </w:rPr>
        <w:t xml:space="preserve"> Bersaglio operativo mai eseguito e a costo basso: l'ambasciata statunitense a Roma riferiva i congressi democristiani. Si cerchi, per il giugno e il luglio 1969, un dispaccio che riassuma il congresso regionale pugliese e la formula dell'attenzione. Sede: i National Archives di College Park, RG 59, Central Foreign Policy Files, telegrammi da Roma. Un riscontro sposterebbe la formula morotea dall'assenza al secondo piano, e non oltre.</w:t>
      </w:r>
    </w:p>
    <w:p>
      <w:pPr>
        <w:spacing w:after="120" w:line="276"/>
        <w:jc w:val="both"/>
      </w:pPr>
      <w:r>
        <w:rPr>
          <w:rFonts w:ascii="Barlow Semi Condensed" w:cs="Barlow Semi Condensed" w:eastAsia="Barlow Semi Condensed" w:hAnsi="Barlow Semi Condensed"/>
          <w:b/>
          <w:bCs/>
          <w:sz w:val="24"/>
          <w:szCs w:val="24"/>
        </w:rPr>
        <w:t xml:space="preserve">1029 · Che cosa proverebbe un dispaccio.</w:t>
      </w:r>
      <w:r>
        <w:rPr>
          <w:rFonts w:ascii="Barlow Semi Condensed" w:cs="Barlow Semi Condensed" w:eastAsia="Barlow Semi Condensed" w:hAnsi="Barlow Semi Condensed"/>
          <w:sz w:val="24"/>
          <w:szCs w:val="24"/>
        </w:rPr>
        <w:t xml:space="preserve"> Misura preventiva, perché il bersaglio precedente non venga sopravvalutato al momento del ritrovamento. Un dispaccio che riferisca il discorso di Bari proverebbe che l'ambasciata lesse Moro; non che il destinatario lo lesse; ancor meno che ne trasse una condotta. Fra la lettura di un rapporto e una decisione corre l'intera catena che il metodo di quest'opera pretende documentata anello per anello. Secondo piano, e con cautela.</w:t>
      </w:r>
    </w:p>
    <w:p>
      <w:pPr>
        <w:spacing w:after="120" w:line="276"/>
        <w:jc w:val="both"/>
      </w:pPr>
      <w:r>
        <w:rPr>
          <w:rFonts w:ascii="Barlow Semi Condensed" w:cs="Barlow Semi Condensed" w:eastAsia="Barlow Semi Condensed" w:hAnsi="Barlow Semi Condensed"/>
          <w:b/>
          <w:bCs/>
          <w:sz w:val="24"/>
          <w:szCs w:val="24"/>
        </w:rPr>
        <w:t xml:space="preserve">1030 · La tesi di Bari per esteso.</w:t>
      </w:r>
      <w:r>
        <w:rPr>
          <w:rFonts w:ascii="Barlow Semi Condensed" w:cs="Barlow Semi Condensed" w:eastAsia="Barlow Semi Condensed" w:hAnsi="Barlow Semi Condensed"/>
          <w:sz w:val="24"/>
          <w:szCs w:val="24"/>
        </w:rPr>
        <w:t xml:space="preserve"> Il capitolo sessantaquattresimo riporta la proposizione centrale: quanto più le masse popolari hanno il senso dello Stato attraverso la propria integrazione, tanto più la democrazia sarà forte e si eviteranno le tentazioni autoritarie. È una tesi sulla sicurezza interna della Repubblica, non sulla collocazione atlantica. Chi la legge come programma di politica estera legge un testo che non è quello, e ne trae ponti che non reggono.</w:t>
      </w:r>
    </w:p>
    <w:p>
      <w:pPr>
        <w:spacing w:after="120" w:line="276"/>
        <w:jc w:val="both"/>
      </w:pPr>
      <w:r>
        <w:rPr>
          <w:rFonts w:ascii="Barlow Semi Condensed" w:cs="Barlow Semi Condensed" w:eastAsia="Barlow Semi Condensed" w:hAnsi="Barlow Semi Condensed"/>
          <w:b/>
          <w:bCs/>
          <w:sz w:val="24"/>
          <w:szCs w:val="24"/>
        </w:rPr>
        <w:t xml:space="preserve">1031 · Inclusione come sicurezza, obiezione atlantica.</w:t>
      </w:r>
      <w:r>
        <w:rPr>
          <w:rFonts w:ascii="Barlow Semi Condensed" w:cs="Barlow Semi Condensed" w:eastAsia="Barlow Semi Condensed" w:hAnsi="Barlow Semi Condensed"/>
          <w:sz w:val="24"/>
          <w:szCs w:val="24"/>
        </w:rPr>
        <w:t xml:space="preserve"> Convergenza entro la stessa cornice, dichiarata al secondo piano e non promossa. La posizione statunitense documentata riguardava le conseguenze di una presenza comunista al governo sullo scambio di informazioni militari; la tesi di Bari riguardava la solidità interna della democrazia italiana. Due discorsi su oggetti diversi, che la pubblicistica sovrappone con disinvoltura. Rendere visibile quella sovrapposizione è il compito principale di questa serie.</w:t>
      </w:r>
    </w:p>
    <w:p>
      <w:pPr>
        <w:spacing w:after="120" w:line="276"/>
        <w:jc w:val="both"/>
      </w:pPr>
      <w:r>
        <w:rPr>
          <w:rFonts w:ascii="Barlow Semi Condensed" w:cs="Barlow Semi Condensed" w:eastAsia="Barlow Semi Condensed" w:hAnsi="Barlow Semi Condensed"/>
          <w:b/>
          <w:bCs/>
          <w:sz w:val="24"/>
          <w:szCs w:val="24"/>
        </w:rPr>
        <w:t xml:space="preserve">1032 · Piretti, e il controllo sulla fonte.</w:t>
      </w:r>
      <w:r>
        <w:rPr>
          <w:rFonts w:ascii="Barlow Semi Condensed" w:cs="Barlow Semi Condensed" w:eastAsia="Barlow Semi Condensed" w:hAnsi="Barlow Semi Condensed"/>
          <w:sz w:val="24"/>
          <w:szCs w:val="24"/>
        </w:rPr>
        <w:t xml:space="preserve"> Il capitolo sessantaquattresimo si appoggia alla relazione di Maria Serena Piretti per il trentennale, ospitata dall'Accademia di studi storici Aldo Moro. Verifica da compiere sul testo intero: quella relazione nomina il soggetto triangolato, o il versante americano, a proposito della strategia dell'attenzione? Se non lo nomina, il territorio è muto anche nella propria letteratura di riferimento, ed è un dato sullo stato degli studi.</w:t>
      </w:r>
    </w:p>
    <w:p>
      <w:pPr>
        <w:spacing w:after="120" w:line="276"/>
        <w:jc w:val="both"/>
      </w:pPr>
      <w:r>
        <w:rPr>
          <w:rFonts w:ascii="Barlow Semi Condensed" w:cs="Barlow Semi Condensed" w:eastAsia="Barlow Semi Condensed" w:hAnsi="Barlow Semi Condensed"/>
          <w:b/>
          <w:bCs/>
          <w:sz w:val="24"/>
          <w:szCs w:val="24"/>
        </w:rPr>
        <w:t xml:space="preserve">1033 · L'Accademia come sede, non come autorità.</w:t>
      </w:r>
      <w:r>
        <w:rPr>
          <w:rFonts w:ascii="Barlow Semi Condensed" w:cs="Barlow Semi Condensed" w:eastAsia="Barlow Semi Condensed" w:hAnsi="Barlow Semi Condensed"/>
          <w:sz w:val="24"/>
          <w:szCs w:val="24"/>
        </w:rPr>
        <w:t xml:space="preserve"> L'Accademia di studi storici Aldo Moro è censita al blocco 227 dei nove cantieri per la biblioteca e i materiali che conserva. Quesito d'inventario, e nient'altro: possiede carte, e non solo edizioni? Un istituto intitolato a un uomo si interroga con lo stesso metro di ogni altra sede: gli si chiede l'inventario analitico, non l'interpretazione, e le risposte si pesano come tutte le altre.</w:t>
      </w:r>
    </w:p>
    <w:p>
      <w:pPr>
        <w:spacing w:after="120" w:line="276"/>
        <w:jc w:val="both"/>
      </w:pPr>
      <w:r>
        <w:rPr>
          <w:rFonts w:ascii="Barlow Semi Condensed" w:cs="Barlow Semi Condensed" w:eastAsia="Barlow Semi Condensed" w:hAnsi="Barlow Semi Condensed"/>
          <w:b/>
          <w:bCs/>
          <w:sz w:val="24"/>
          <w:szCs w:val="24"/>
        </w:rPr>
        <w:t xml:space="preserve">1034 · Il millenovecentosessantanove dei due nomi.</w:t>
      </w:r>
      <w:r>
        <w:rPr>
          <w:rFonts w:ascii="Barlow Semi Condensed" w:cs="Barlow Semi Condensed" w:eastAsia="Barlow Semi Condensed" w:hAnsi="Barlow Semi Condensed"/>
          <w:sz w:val="24"/>
          <w:szCs w:val="24"/>
        </w:rPr>
        <w:t xml:space="preserve"> Divergenza da riportare e non da sciogliere. Nel dicembre 1969 Nixon ordina uno studio sull'Italia, come attesta il documento 188 del volume XLI dei FRUS; Moro è ministro degli Esteri dal 5 agosto. Il corpus registra l'ordine e non possiede lo studio. Sede che chiuderebbe la lacuna: Nixon Presidential Materials, NSC Files, Country Files: Italy, presso i National Archives di College Park.</w:t>
      </w:r>
    </w:p>
    <w:p>
      <w:pPr>
        <w:spacing w:after="120" w:line="276"/>
        <w:jc w:val="both"/>
      </w:pPr>
      <w:r>
        <w:rPr>
          <w:rFonts w:ascii="Barlow Semi Condensed" w:cs="Barlow Semi Condensed" w:eastAsia="Barlow Semi Condensed" w:hAnsi="Barlow Semi Condensed"/>
          <w:b/>
          <w:bCs/>
          <w:sz w:val="24"/>
          <w:szCs w:val="24"/>
        </w:rPr>
        <w:t xml:space="preserve">1035 · Che cosa uno studio non direbbe.</w:t>
      </w:r>
      <w:r>
        <w:rPr>
          <w:rFonts w:ascii="Barlow Semi Condensed" w:cs="Barlow Semi Condensed" w:eastAsia="Barlow Semi Condensed" w:hAnsi="Barlow Semi Condensed"/>
          <w:sz w:val="24"/>
          <w:szCs w:val="24"/>
        </w:rPr>
        <w:t xml:space="preserve"> Anticipazione di un abuso probabile, scritta prima del ritrovamento e non dopo. Anche reperito, uno studio interdipartimentale sarebbe documento di analisi e non di condotta, e nominerebbe presumibilmente partiti e correnti, non la strategia dell'attenzione. Il cantiere lo cerchi pure; ma dichiari in anticipo il grado massimo che potrà attribuirgli, per non lasciarsi sorprendere dalla suggestione che ogni ritrovamento porta con sé.</w:t>
      </w:r>
    </w:p>
    <w:p>
      <w:pPr>
        <w:spacing w:after="120" w:line="276"/>
        <w:jc w:val="both"/>
      </w:pPr>
      <w:r>
        <w:rPr>
          <w:rFonts w:ascii="Barlow Semi Condensed" w:cs="Barlow Semi Condensed" w:eastAsia="Barlow Semi Condensed" w:hAnsi="Barlow Semi Condensed"/>
          <w:b/>
          <w:bCs/>
          <w:sz w:val="24"/>
          <w:szCs w:val="24"/>
        </w:rPr>
        <w:t xml:space="preserve">1036 · La regola della lettura per oggetto.</w:t>
      </w:r>
      <w:r>
        <w:rPr>
          <w:rFonts w:ascii="Barlow Semi Condensed" w:cs="Barlow Semi Condensed" w:eastAsia="Barlow Semi Condensed" w:hAnsi="Barlow Semi Condensed"/>
          <w:sz w:val="24"/>
          <w:szCs w:val="24"/>
        </w:rPr>
        <w:t xml:space="preserve"> Regola generale che questa serie estrae dal capitolo sessantaquattresimo e consegna alle altre. Prima di dichiarare che due testi parlano della stessa cosa si stabilisce l'oggetto di ciascuno. Un discorso di congresso regionale sull'integrazione delle masse e un verbale di colloquio sulle informazioni militari condivise non hanno oggetto comune. Senza questo passaggio qualunque corpus produce ponti a volontà, e nessuno di essi regge alla verifica.</w:t>
      </w:r>
    </w:p>
    <w:p>
      <w:pPr>
        <w:spacing w:after="120" w:line="276"/>
        <w:jc w:val="both"/>
      </w:pPr>
      <w:r>
        <w:rPr>
          <w:rFonts w:ascii="Barlow Semi Condensed" w:cs="Barlow Semi Condensed" w:eastAsia="Barlow Semi Condensed" w:hAnsi="Barlow Semi Condensed"/>
          <w:b/>
          <w:bCs/>
          <w:sz w:val="24"/>
          <w:szCs w:val="24"/>
        </w:rPr>
        <w:t xml:space="preserve">1037 · Il Cile come snodo mediato.</w:t>
      </w:r>
      <w:r>
        <w:rPr>
          <w:rFonts w:ascii="Barlow Semi Condensed" w:cs="Barlow Semi Condensed" w:eastAsia="Barlow Semi Condensed" w:hAnsi="Barlow Semi Condensed"/>
          <w:sz w:val="24"/>
          <w:szCs w:val="24"/>
        </w:rPr>
        <w:t xml:space="preserve"> Il capitolo sessantacinquesimo fa del Cile del 1973 la lezione da cui Berlinguer trasse il compromesso storico. Il saggio «Dal Che a Moro» registra al grado alto la responsabilità documentata degli apparati statunitensi supervisionati da Kissinger nella caduta di Allende. Il nesso col disegno moroteo esiste, ma passa per la lettura che ne fece un terzo: è mediato, e non va mai enunciato come diretto.</w:t>
      </w:r>
    </w:p>
    <w:p>
      <w:pPr>
        <w:spacing w:after="120" w:line="276"/>
        <w:jc w:val="both"/>
      </w:pPr>
      <w:r>
        <w:rPr>
          <w:rFonts w:ascii="Barlow Semi Condensed" w:cs="Barlow Semi Condensed" w:eastAsia="Barlow Semi Condensed" w:hAnsi="Barlow Semi Condensed"/>
          <w:b/>
          <w:bCs/>
          <w:sz w:val="24"/>
          <w:szCs w:val="24"/>
        </w:rPr>
        <w:t xml:space="preserve">1038 · La catena mediata, scritta per intero.</w:t>
      </w:r>
      <w:r>
        <w:rPr>
          <w:rFonts w:ascii="Barlow Semi Condensed" w:cs="Barlow Semi Condensed" w:eastAsia="Barlow Semi Condensed" w:hAnsi="Barlow Semi Condensed"/>
          <w:sz w:val="24"/>
          <w:szCs w:val="24"/>
        </w:rPr>
        <w:t xml:space="preserve"> Si scriva la catena anello per anello, perché implicita inganna: apparati statunitensi in Cile nel 1973; lettura di quell'evento da parte di Enrico Berlinguer; compromesso storico; solidarietà nazionale di cui Moro fu l'architetto democristiano. Ogni anello è documentato per proprio conto; l'insieme non costituisce un rapporto fra i due nomi della triangolazione. Resta secondo piano, e la mediazione stessa lo dichiara.</w:t>
      </w:r>
    </w:p>
    <w:p>
      <w:pPr>
        <w:spacing w:after="120" w:line="276"/>
        <w:jc w:val="both"/>
      </w:pPr>
      <w:r>
        <w:rPr>
          <w:rFonts w:ascii="Barlow Semi Condensed" w:cs="Barlow Semi Condensed" w:eastAsia="Barlow Semi Condensed" w:hAnsi="Barlow Semi Condensed"/>
          <w:b/>
          <w:bCs/>
          <w:sz w:val="24"/>
          <w:szCs w:val="24"/>
        </w:rPr>
        <w:t xml:space="preserve">1039 · Il divieto di accorciare la catena.</w:t>
      </w:r>
      <w:r>
        <w:rPr>
          <w:rFonts w:ascii="Barlow Semi Condensed" w:cs="Barlow Semi Condensed" w:eastAsia="Barlow Semi Condensed" w:hAnsi="Barlow Semi Condensed"/>
          <w:sz w:val="24"/>
          <w:szCs w:val="24"/>
        </w:rPr>
        <w:t xml:space="preserve"> Regola operativa che discende dal blocco precedente. Una catena mediata non si abbrevia mai citando soltanto il primo e l'ultimo anello. La formula «Kissinger e il progetto di Moro» sopprime Berlinguer, il 1973 e la storia delle idee che li congiunge, e restituisce l'immagine di un rapporto diretto inesistente. L'abbreviazione non è una sintesi: è la fabbricazione di un primo piano che nessun documento sostiene.</w:t>
      </w:r>
    </w:p>
    <w:p>
      <w:pPr>
        <w:spacing w:after="120" w:line="276"/>
        <w:jc w:val="both"/>
      </w:pPr>
      <w:r>
        <w:rPr>
          <w:rFonts w:ascii="Barlow Semi Condensed" w:cs="Barlow Semi Condensed" w:eastAsia="Barlow Semi Condensed" w:hAnsi="Barlow Semi Condensed"/>
          <w:b/>
          <w:bCs/>
          <w:sz w:val="24"/>
          <w:szCs w:val="24"/>
        </w:rPr>
        <w:t xml:space="preserve">1040 · Helsinki, il tavolo condiviso.</w:t>
      </w:r>
      <w:r>
        <w:rPr>
          <w:rFonts w:ascii="Barlow Semi Condensed" w:cs="Barlow Semi Condensed" w:eastAsia="Barlow Semi Condensed" w:hAnsi="Barlow Semi Condensed"/>
          <w:sz w:val="24"/>
          <w:szCs w:val="24"/>
        </w:rPr>
        <w:t xml:space="preserve"> Il capitolo sessantacinquesimo non menziona Helsinki; il corpus sì. Il primo agosto 1975 Moro firmò l'Atto finale nella duplice qualità di presidente del Consiglio e presidente di turno del Consiglio delle Comunità europee, e un telegramma di Kissinger del 2 agosto, documento 334 del volume XXXIX dei FRUS, ne descrive la cerimonia. È la seconda co-presenza documentata dell'intero territorio.</w:t>
      </w:r>
    </w:p>
    <w:p>
      <w:pPr>
        <w:spacing w:after="120" w:line="276"/>
        <w:jc w:val="both"/>
      </w:pPr>
      <w:r>
        <w:rPr>
          <w:rFonts w:ascii="Barlow Semi Condensed" w:cs="Barlow Semi Condensed" w:eastAsia="Barlow Semi Condensed" w:hAnsi="Barlow Semi Condensed"/>
          <w:b/>
          <w:bCs/>
          <w:sz w:val="24"/>
          <w:szCs w:val="24"/>
        </w:rPr>
        <w:t xml:space="preserve">1041 · L'insofferenza riferita, e il suo grado.</w:t>
      </w:r>
      <w:r>
        <w:rPr>
          <w:rFonts w:ascii="Barlow Semi Condensed" w:cs="Barlow Semi Condensed" w:eastAsia="Barlow Semi Condensed" w:hAnsi="Barlow Semi Condensed"/>
          <w:sz w:val="24"/>
          <w:szCs w:val="24"/>
        </w:rPr>
        <w:t xml:space="preserve"> Una fonte giornalistica italiana scrive che Moro ottenne il coinvolgimento formale della Comunità europea «sfidando l'insofferenza di Kissinger», e la ricognizione portoghese la riporta come tale. È attestazione secondaria di un attrito, non documento di provenienza: terzo piano finché non la si riscontri. Sedi: le carte della delegazione italiana a Helsinki presso l'Archivio Storico Diplomatico e il lotto FRUS del volume XXXIX.</w:t>
      </w:r>
    </w:p>
    <w:p>
      <w:pPr>
        <w:spacing w:after="120" w:line="276"/>
        <w:jc w:val="both"/>
      </w:pPr>
      <w:r>
        <w:rPr>
          <w:rFonts w:ascii="Barlow Semi Condensed" w:cs="Barlow Semi Condensed" w:eastAsia="Barlow Semi Condensed" w:hAnsi="Barlow Semi Condensed"/>
          <w:b/>
          <w:bCs/>
          <w:sz w:val="24"/>
          <w:szCs w:val="24"/>
        </w:rPr>
        <w:t xml:space="preserve">1042 · Perché Helsinki manca al ritratto.</w:t>
      </w:r>
      <w:r>
        <w:rPr>
          <w:rFonts w:ascii="Barlow Semi Condensed" w:cs="Barlow Semi Condensed" w:eastAsia="Barlow Semi Condensed" w:hAnsi="Barlow Semi Condensed"/>
          <w:sz w:val="24"/>
          <w:szCs w:val="24"/>
        </w:rPr>
        <w:t xml:space="preserve"> Rilievo sul territorio, senza rimprovero al suo autore. La Fase ottava costruisce il ritratto su formazione, dottrina e lettere, e omette la stagione europea del 1975, che pure è il momento in cui l'uomo esercita al massimo l'arte che il capitolo sessantatreesimo gli attribuisce. Chi voglia integrare il ritratto sul versante internazionale ha qui il primo cantiere aperto, e ne possiede già le carte.</w:t>
      </w:r>
    </w:p>
    <w:p>
      <w:pPr>
        <w:spacing w:after="120" w:line="276"/>
        <w:jc w:val="both"/>
      </w:pPr>
      <w:r>
        <w:rPr>
          <w:rFonts w:ascii="Barlow Semi Condensed" w:cs="Barlow Semi Condensed" w:eastAsia="Barlow Semi Condensed" w:hAnsi="Barlow Semi Condensed"/>
          <w:b/>
          <w:bCs/>
          <w:sz w:val="24"/>
          <w:szCs w:val="24"/>
        </w:rPr>
        <w:t xml:space="preserve">1043 · La terza fase, dicembre millenovecentosettantasei.</w:t>
      </w:r>
      <w:r>
        <w:rPr>
          <w:rFonts w:ascii="Barlow Semi Condensed" w:cs="Barlow Semi Condensed" w:eastAsia="Barlow Semi Condensed" w:hAnsi="Barlow Semi Condensed"/>
          <w:sz w:val="24"/>
          <w:szCs w:val="24"/>
        </w:rPr>
        <w:t xml:space="preserve"> Il capitolo sessantacinquesimo data l'espressione a un articolo per «Il Giorno» del dicembre 1976, sulla scorta della relazione Piretti. Il giorno esatto non compare nel corpus. Sedi che lo chiuderebbero: l'annata 1976 del quotidiano in emeroteca e l'Edizione nazionale bolognese. La data precisa non è pedanteria: colloca lo scritto rispetto al 20 gennaio 1977, e da sola definisce la finestra di ogni ricerca conseguente.</w:t>
      </w:r>
    </w:p>
    <w:p>
      <w:pPr>
        <w:spacing w:after="120" w:line="276"/>
        <w:jc w:val="both"/>
      </w:pPr>
      <w:r>
        <w:rPr>
          <w:rFonts w:ascii="Barlow Semi Condensed" w:cs="Barlow Semi Condensed" w:eastAsia="Barlow Semi Condensed" w:hAnsi="Barlow Semi Condensed"/>
          <w:b/>
          <w:bCs/>
          <w:sz w:val="24"/>
          <w:szCs w:val="24"/>
        </w:rPr>
        <w:t xml:space="preserve">1044 · Le ultime settimane di una carica.</w:t>
      </w:r>
      <w:r>
        <w:rPr>
          <w:rFonts w:ascii="Barlow Semi Condensed" w:cs="Barlow Semi Condensed" w:eastAsia="Barlow Semi Condensed" w:hAnsi="Barlow Semi Condensed"/>
          <w:sz w:val="24"/>
          <w:szCs w:val="24"/>
        </w:rPr>
        <w:t xml:space="preserve"> Accertamento cronologico con conseguenza operativa. Kissinger lasciò la carica di Segretario di Stato il 20 gennaio 1977; l'articolo sulla terza fase è del dicembre 1976. Se un dispaccio ne riferì a Washington, cadde nelle ultime settimane di quel mandato: finestra stretta, e perciò facilmente spogliabile. Sede: i telegrammi elettronici dei Central Foreign Policy Files del 1976, ricerca per data e per posto d'origine Roma.</w:t>
      </w:r>
    </w:p>
    <w:p>
      <w:pPr>
        <w:spacing w:after="120" w:line="276"/>
        <w:jc w:val="both"/>
      </w:pPr>
      <w:r>
        <w:rPr>
          <w:rFonts w:ascii="Barlow Semi Condensed" w:cs="Barlow Semi Condensed" w:eastAsia="Barlow Semi Condensed" w:hAnsi="Barlow Semi Condensed"/>
          <w:b/>
          <w:bCs/>
          <w:sz w:val="24"/>
          <w:szCs w:val="24"/>
        </w:rPr>
        <w:t xml:space="preserve">1045 · La ripresa dell'azione coperta.</w:t>
      </w:r>
      <w:r>
        <w:rPr>
          <w:rFonts w:ascii="Barlow Semi Condensed" w:cs="Barlow Semi Condensed" w:eastAsia="Barlow Semi Condensed" w:hAnsi="Barlow Semi Condensed"/>
          <w:sz w:val="24"/>
          <w:szCs w:val="24"/>
        </w:rPr>
        <w:t xml:space="preserve"> La ricognizione della Farnesina cita uno studio sottoposto a revisione paritaria che colloca la riemersione del programma di azione coperta in Italia nel novembre 1975 e nel luglio 1976, quando Moro era stato presidente del Consiglio fino al febbraio 1976. Il dato appartiene alla cornice e non alla condotta verso una persona. Il corpus lo registra e non lo aggancia al ritratto, che parla d'altro.</w:t>
      </w:r>
    </w:p>
    <w:p>
      <w:pPr>
        <w:spacing w:after="120" w:line="276"/>
        <w:jc w:val="both"/>
      </w:pPr>
      <w:r>
        <w:rPr>
          <w:rFonts w:ascii="Barlow Semi Condensed" w:cs="Barlow Semi Condensed" w:eastAsia="Barlow Semi Condensed" w:hAnsi="Barlow Semi Condensed"/>
          <w:b/>
          <w:bCs/>
          <w:sz w:val="24"/>
          <w:szCs w:val="24"/>
        </w:rPr>
        <w:t xml:space="preserve">1046 · Il divieto di far coincidere le agende.</w:t>
      </w:r>
      <w:r>
        <w:rPr>
          <w:rFonts w:ascii="Barlow Semi Condensed" w:cs="Barlow Semi Condensed" w:eastAsia="Barlow Semi Condensed" w:hAnsi="Barlow Semi Condensed"/>
          <w:sz w:val="24"/>
          <w:szCs w:val="24"/>
        </w:rPr>
        <w:t xml:space="preserve"> Regola che discende immediatamente dal blocco precedente. Che due agende — quella di un governo italiano e quella di un programma coperto — mostrino attività negli stessi mesi non stabilisce che l'una riguardasse l'altra. Servirebbe una carta che ne nomini destinatario e oggetto. Nessuna è stata reperita, e la Fase sesta iscrive già questo fra gli Stati Zero cercati e chiusi in negativo.</w:t>
      </w:r>
    </w:p>
    <w:p>
      <w:pPr>
        <w:spacing w:after="120" w:line="276"/>
        <w:jc w:val="both"/>
      </w:pPr>
      <w:r>
        <w:rPr>
          <w:rFonts w:ascii="Barlow Semi Condensed" w:cs="Barlow Semi Condensed" w:eastAsia="Barlow Semi Condensed" w:hAnsi="Barlow Semi Condensed"/>
          <w:b/>
          <w:bCs/>
          <w:sz w:val="24"/>
          <w:szCs w:val="24"/>
        </w:rPr>
        <w:t xml:space="preserve">1047 · La democrazia bloccata e i suoi osservatori.</w:t>
      </w:r>
      <w:r>
        <w:rPr>
          <w:rFonts w:ascii="Barlow Semi Condensed" w:cs="Barlow Semi Condensed" w:eastAsia="Barlow Semi Condensed" w:hAnsi="Barlow Semi Condensed"/>
          <w:sz w:val="24"/>
          <w:szCs w:val="24"/>
        </w:rPr>
        <w:t xml:space="preserve"> Quesito di storia delle idee, con sede indicata. La formula della «democrazia bloccata» descrive un sistema in cui la maggioranza non può cambiare perché una parte è pregiudizialmente esclusa. Se ne cerchi l'equivalente concettuale nella documentazione statunitense sull'Italia degli anni Settanta: con quali parole vi si nomina il problema dell'alternanza? Sedi: FRUS, volumi sull'Europa occidentale, e RG 59. Darebbe convergenza di diagnosi, non rapporto.</w:t>
      </w:r>
    </w:p>
    <w:p>
      <w:pPr>
        <w:spacing w:after="120" w:line="276"/>
        <w:jc w:val="both"/>
      </w:pPr>
      <w:r>
        <w:rPr>
          <w:rFonts w:ascii="Barlow Semi Condensed" w:cs="Barlow Semi Condensed" w:eastAsia="Barlow Semi Condensed" w:hAnsi="Barlow Semi Condensed"/>
          <w:b/>
          <w:bCs/>
          <w:sz w:val="24"/>
          <w:szCs w:val="24"/>
        </w:rPr>
        <w:t xml:space="preserve">1048 · Sedici marzo, nessuna carica.</w:t>
      </w:r>
      <w:r>
        <w:rPr>
          <w:rFonts w:ascii="Barlow Semi Condensed" w:cs="Barlow Semi Condensed" w:eastAsia="Barlow Semi Condensed" w:hAnsi="Barlow Semi Condensed"/>
          <w:sz w:val="24"/>
          <w:szCs w:val="24"/>
        </w:rPr>
        <w:t xml:space="preserve"> Fatto elementare e continuamente dimenticato dalla pubblicistica. Il giorno in cui Moro andava in Parlamento a varare il primo passo della terza fase, il soggetto di questa triangolazione non ricopriva alcuna carica di governo da quasi quattordici mesi. Nessuna ricostruzione dei cinquantacinque giorni può collocarlo in una catena istituzionale, perché quella catena, per lui, si era chiusa il 20 gennaio 1977.</w:t>
      </w:r>
    </w:p>
    <w:p>
      <w:pPr>
        <w:spacing w:after="120" w:line="276"/>
        <w:jc w:val="both"/>
      </w:pPr>
      <w:r>
        <w:rPr>
          <w:rFonts w:ascii="Barlow Semi Condensed" w:cs="Barlow Semi Condensed" w:eastAsia="Barlow Semi Condensed" w:hAnsi="Barlow Semi Condensed"/>
          <w:b/>
          <w:bCs/>
          <w:sz w:val="24"/>
          <w:szCs w:val="24"/>
        </w:rPr>
        <w:t xml:space="preserve">1049 · Il consulente del 1978.</w:t>
      </w:r>
      <w:r>
        <w:rPr>
          <w:rFonts w:ascii="Barlow Semi Condensed" w:cs="Barlow Semi Condensed" w:eastAsia="Barlow Semi Condensed" w:hAnsi="Barlow Semi Condensed"/>
          <w:sz w:val="24"/>
          <w:szCs w:val="24"/>
        </w:rPr>
        <w:t xml:space="preserve"> Precisazione decisiva, e viene dal repertorio della Fase nona. Steve Pieczenik, presente nel comitato di crisi accanto al ministro Cossiga, era consulente del Dipartimento di Stato nel 1978, cioè sotto un'altra amministrazione. Attribuirne la presenza al nome triangolato è errore di calendario prima ancora che di prova. Il repertorio grada la presenza come accertamento e le dichiarazioni postume come fonte di parte.</w:t>
      </w:r>
    </w:p>
    <w:p>
      <w:pPr>
        <w:spacing w:after="120" w:line="276"/>
        <w:jc w:val="both"/>
      </w:pPr>
      <w:r>
        <w:rPr>
          <w:rFonts w:ascii="Barlow Semi Condensed" w:cs="Barlow Semi Condensed" w:eastAsia="Barlow Semi Condensed" w:hAnsi="Barlow Semi Condensed"/>
          <w:b/>
          <w:bCs/>
          <w:sz w:val="24"/>
          <w:szCs w:val="24"/>
        </w:rPr>
        <w:t xml:space="preserve">1050 · La simmetria delle ombre.</w:t>
      </w:r>
      <w:r>
        <w:rPr>
          <w:rFonts w:ascii="Barlow Semi Condensed" w:cs="Barlow Semi Condensed" w:eastAsia="Barlow Semi Condensed" w:hAnsi="Barlow Semi Condensed"/>
          <w:sz w:val="24"/>
          <w:szCs w:val="24"/>
        </w:rPr>
        <w:t xml:space="preserve"> Il saggio «Dal Che a Moro» registra come convergenza, e non come rapporto, la simmetria fra l'agente della CIA a La Higuera nel 1967 e le presenze americane attorno al caso Moro. Due vicende, due decenni, due continenti: condividono una cornice, non un centro. La Fase ottava non se ne occupa affatto, e fa bene: un ritratto non è il luogo dove si allineano le simmetrie.</w:t>
      </w:r>
    </w:p>
    <w:p>
      <w:pPr>
        <w:spacing w:after="120" w:line="276"/>
        <w:jc w:val="both"/>
      </w:pPr>
      <w:r>
        <w:rPr>
          <w:rFonts w:ascii="Barlow Semi Condensed" w:cs="Barlow Semi Condensed" w:eastAsia="Barlow Semi Condensed" w:hAnsi="Barlow Semi Condensed"/>
          <w:b/>
          <w:bCs/>
          <w:sz w:val="24"/>
          <w:szCs w:val="24"/>
        </w:rPr>
        <w:t xml:space="preserve">1051 · Le lettere e il nome mancante.</w:t>
      </w:r>
      <w:r>
        <w:rPr>
          <w:rFonts w:ascii="Barlow Semi Condensed" w:cs="Barlow Semi Condensed" w:eastAsia="Barlow Semi Condensed" w:hAnsi="Barlow Semi Condensed"/>
          <w:sz w:val="24"/>
          <w:szCs w:val="24"/>
        </w:rPr>
        <w:t xml:space="preserve"> Bersaglio filologico primario del territorio. Nelle circa novanta lettere della prigionia, e nel memoriale, compare il nome triangolato? Il corpus non lo afferma e non lo nega. Sedi: l'edizione critica delle lettere curata da Miguel Gotor per Einaudi nel 2008 e le edizioni del memoriale del 2011 e del 2020, censite ai blocchi 229 e 230 dei nove cantieri. Interrogazione mai verbalizzata.</w:t>
      </w:r>
    </w:p>
    <w:p>
      <w:pPr>
        <w:spacing w:after="120" w:line="276"/>
        <w:jc w:val="both"/>
      </w:pPr>
      <w:r>
        <w:rPr>
          <w:rFonts w:ascii="Barlow Semi Condensed" w:cs="Barlow Semi Condensed" w:eastAsia="Barlow Semi Condensed" w:hAnsi="Barlow Semi Condensed"/>
          <w:b/>
          <w:bCs/>
          <w:sz w:val="24"/>
          <w:szCs w:val="24"/>
        </w:rPr>
        <w:t xml:space="preserve">1052 · Perché la domanda è legittima.</w:t>
      </w:r>
      <w:r>
        <w:rPr>
          <w:rFonts w:ascii="Barlow Semi Condensed" w:cs="Barlow Semi Condensed" w:eastAsia="Barlow Semi Condensed" w:hAnsi="Barlow Semi Condensed"/>
          <w:sz w:val="24"/>
          <w:szCs w:val="24"/>
        </w:rPr>
        <w:t xml:space="preserve"> Ragione della ricerca precedente, da dichiarare per non lasciarla al sospetto. Se il prigioniero — che il capitolo sessantaseiesimo restituisce come uomo interamente lucido — avesse nominato un avvertimento ricevuto anni prima, ne avremmo una fonte di prima mano, coeva alla prova e di sua mano. Se non lo nominò, l'assenza pesa sulla testimonianza de relato riferita in aula quattro anni dopo la sua morte.</w:t>
      </w:r>
    </w:p>
    <w:p>
      <w:pPr>
        <w:spacing w:after="120" w:line="276"/>
        <w:jc w:val="both"/>
      </w:pPr>
      <w:r>
        <w:rPr>
          <w:rFonts w:ascii="Barlow Semi Condensed" w:cs="Barlow Semi Condensed" w:eastAsia="Barlow Semi Condensed" w:hAnsi="Barlow Semi Condensed"/>
          <w:b/>
          <w:bCs/>
          <w:sz w:val="24"/>
          <w:szCs w:val="24"/>
        </w:rPr>
        <w:t xml:space="preserve">1053 · Il peso di un'assenza nell'epistolario.</w:t>
      </w:r>
      <w:r>
        <w:rPr>
          <w:rFonts w:ascii="Barlow Semi Condensed" w:cs="Barlow Semi Condensed" w:eastAsia="Barlow Semi Condensed" w:hAnsi="Barlow Semi Condensed"/>
          <w:sz w:val="24"/>
          <w:szCs w:val="24"/>
        </w:rPr>
        <w:t xml:space="preserve"> Misura preventiva, perché il blocco precedente non venga abusato. Il silenzio dell'epistolario non smentirebbe l'episodio: un uomo scrive ai suoi ciò che serve, non l'inventario dei propri ricordi. Un'assenza in quella sede resterebbe indizio debole in entrambe le direzioni, e va dichiarata tale prima di eseguire la ricerca, non dopo averne visto l'esito. È la differenza fra un protocollo e una caccia.</w:t>
      </w:r>
    </w:p>
    <w:p>
      <w:pPr>
        <w:spacing w:after="120" w:line="276"/>
        <w:jc w:val="both"/>
      </w:pPr>
      <w:r>
        <w:rPr>
          <w:rFonts w:ascii="Barlow Semi Condensed" w:cs="Barlow Semi Condensed" w:eastAsia="Barlow Semi Condensed" w:hAnsi="Barlow Semi Condensed"/>
          <w:b/>
          <w:bCs/>
          <w:sz w:val="24"/>
          <w:szCs w:val="24"/>
        </w:rPr>
        <w:t xml:space="preserve">1054 · La testimonianza contestata, ricollocata.</w:t>
      </w:r>
      <w:r>
        <w:rPr>
          <w:rFonts w:ascii="Barlow Semi Condensed" w:cs="Barlow Semi Condensed" w:eastAsia="Barlow Semi Condensed" w:hAnsi="Barlow Semi Condensed"/>
          <w:sz w:val="24"/>
          <w:szCs w:val="24"/>
        </w:rPr>
        <w:t xml:space="preserve"> Accertamento già fissato dall'opera e qui richiamato per il territorio. L'avvertimento è riferito de relato da Corrado Guerzoni alla Corte d'assise di Roma nel novembre 1982; il nome fu ottenuto in aula dal presidente e non offerto dal teste; la data oscilla fra 1974, 1976 e 1977; l'interessato smentì sempre. Il ritratto non se ne serve, e proprio per questo ne esce più solido.</w:t>
      </w:r>
    </w:p>
    <w:p>
      <w:pPr>
        <w:spacing w:after="120" w:line="276"/>
        <w:jc w:val="both"/>
      </w:pPr>
      <w:r>
        <w:rPr>
          <w:rFonts w:ascii="Barlow Semi Condensed" w:cs="Barlow Semi Condensed" w:eastAsia="Barlow Semi Condensed" w:hAnsi="Barlow Semi Condensed"/>
          <w:b/>
          <w:bCs/>
          <w:sz w:val="24"/>
          <w:szCs w:val="24"/>
        </w:rPr>
        <w:t xml:space="preserve">1055 · Il divieto della psicologia per testimonianza.</w:t>
      </w:r>
      <w:r>
        <w:rPr>
          <w:rFonts w:ascii="Barlow Semi Condensed" w:cs="Barlow Semi Condensed" w:eastAsia="Barlow Semi Condensed" w:hAnsi="Barlow Semi Condensed"/>
          <w:sz w:val="24"/>
          <w:szCs w:val="24"/>
        </w:rPr>
        <w:t xml:space="preserve"> Regola di lettura per chiunque voglia integrare la Fase ottava. Un ritratto non può ricavare lo stato d'animo dell'uomo da una testimonianza contestata: se ne otterrebbe un Moro avvertito e impaurito che nessun documento sostiene. La vita interiore di una persona si scrive sulle sue carte o non si scrive affatto. È la regola che il capitolo sessantaseiesimo applica alle lettere, estesa all'indietro di quattro anni.</w:t>
      </w:r>
    </w:p>
    <w:p>
      <w:pPr>
        <w:spacing w:after="120" w:line="276"/>
        <w:jc w:val="both"/>
      </w:pPr>
      <w:r>
        <w:rPr>
          <w:rFonts w:ascii="Barlow Semi Condensed" w:cs="Barlow Semi Condensed" w:eastAsia="Barlow Semi Condensed" w:hAnsi="Barlow Semi Condensed"/>
          <w:b/>
          <w:bCs/>
          <w:sz w:val="24"/>
          <w:szCs w:val="24"/>
        </w:rPr>
        <w:t xml:space="preserve">1056 · La moltiplicazione apparente delle fonti (serie XIV).</w:t>
      </w:r>
      <w:r>
        <w:rPr>
          <w:rFonts w:ascii="Barlow Semi Condensed" w:cs="Barlow Semi Condensed" w:eastAsia="Barlow Semi Condensed" w:hAnsi="Barlow Semi Condensed"/>
          <w:sz w:val="24"/>
          <w:szCs w:val="24"/>
        </w:rPr>
        <w:t xml:space="preserve"> Richiamo obbligato in questo territorio, perché è qui che la vulgata si travasa. La fioritura di fonti sull'episodio risale a un unico lancio d'agenzia del 30 novembre 2023, il giorno dopo la morte; la replicazione non aggiunge valore probatorio. Chi integrasse il ritratto con «numerose testimonianze» aggiungerebbe copie, non testimoni. Il conto dei testimoni si fa risalendo alla fonte, non contando le pagine che la citano.</w:t>
      </w:r>
    </w:p>
    <w:p>
      <w:pPr>
        <w:spacing w:after="120" w:line="276"/>
        <w:jc w:val="both"/>
      </w:pPr>
      <w:r>
        <w:rPr>
          <w:rFonts w:ascii="Barlow Semi Condensed" w:cs="Barlow Semi Condensed" w:eastAsia="Barlow Semi Condensed" w:hAnsi="Barlow Semi Condensed"/>
          <w:b/>
          <w:bCs/>
          <w:sz w:val="24"/>
          <w:szCs w:val="24"/>
        </w:rPr>
        <w:t xml:space="preserve">1057 · Chi squalificò le lettere, e quando.</w:t>
      </w:r>
      <w:r>
        <w:rPr>
          <w:rFonts w:ascii="Barlow Semi Condensed" w:cs="Barlow Semi Condensed" w:eastAsia="Barlow Semi Condensed" w:hAnsi="Barlow Semi Condensed"/>
          <w:sz w:val="24"/>
          <w:szCs w:val="24"/>
        </w:rPr>
        <w:t xml:space="preserve"> Il dato più duro che il corpus offre al capitolo sessantaseiesimo, e non riguarda il nome triangolato. Gli atti registrano che consulenti del comitato di esperti — fra i quali Franco Ferracuti e Steve Pieczenik — sostennero l'inattendibilità delle lettere di Moro. È accertamento istituzionale del 1978, con effetti sulla linea della fermezza. Resta aperto il quesito: in quali carte fu formulato, e da chi sottoscritto.</w:t>
      </w:r>
    </w:p>
    <w:p>
      <w:pPr>
        <w:spacing w:after="120" w:line="276"/>
        <w:jc w:val="both"/>
      </w:pPr>
      <w:r>
        <w:rPr>
          <w:rFonts w:ascii="Barlow Semi Condensed" w:cs="Barlow Semi Condensed" w:eastAsia="Barlow Semi Condensed" w:hAnsi="Barlow Semi Condensed"/>
          <w:b/>
          <w:bCs/>
          <w:sz w:val="24"/>
          <w:szCs w:val="24"/>
        </w:rPr>
        <w:t xml:space="preserve">1058 · Un comitato mai riunito collegialmente.</w:t>
      </w:r>
      <w:r>
        <w:rPr>
          <w:rFonts w:ascii="Barlow Semi Condensed" w:cs="Barlow Semi Condensed" w:eastAsia="Barlow Semi Condensed" w:hAnsi="Barlow Semi Condensed"/>
          <w:sz w:val="24"/>
          <w:szCs w:val="24"/>
        </w:rPr>
        <w:t xml:space="preserve"> Precisazione che l'approfondimento sulle piste fissa come dato di prima grandezza: quel comitato di esperti non si riunì mai in forma collegiale. Ne discendono un quesito e una cautela. Il quesito riguarda il modo in cui i pareri circolavano; la cautela dice che senza collegialità non esistono atti del comitato, esistono pareri di persone. Il principio personalistico della Fase decima vale qui per intero.</w:t>
      </w:r>
    </w:p>
    <w:p>
      <w:pPr>
        <w:spacing w:after="120" w:line="276"/>
        <w:jc w:val="both"/>
      </w:pPr>
      <w:r>
        <w:rPr>
          <w:rFonts w:ascii="Barlow Semi Condensed" w:cs="Barlow Semi Condensed" w:eastAsia="Barlow Semi Condensed" w:hAnsi="Barlow Semi Condensed"/>
          <w:b/>
          <w:bCs/>
          <w:sz w:val="24"/>
          <w:szCs w:val="24"/>
        </w:rPr>
        <w:t xml:space="preserve">1059 · La violenza seconda ha una data.</w:t>
      </w:r>
      <w:r>
        <w:rPr>
          <w:rFonts w:ascii="Barlow Semi Condensed" w:cs="Barlow Semi Condensed" w:eastAsia="Barlow Semi Condensed" w:hAnsi="Barlow Semi Condensed"/>
          <w:sz w:val="24"/>
          <w:szCs w:val="24"/>
        </w:rPr>
        <w:t xml:space="preserve"> Sintesi che il territorio consente, tenuta dentro i propri limiti. Il capitolo sessantaseiesimo denuncia come violenza seconda la squalificazione delle lettere; il corpus ne documenta l'origine in pareri formulati dentro i cinquantacinque giorni. Documentare l'origine di una tesi non equivale a individuarne un committente, e non lo consente. Nessun nome oltre il giudicato, qui come in ogni altra pagina dell'opera.</w:t>
      </w:r>
    </w:p>
    <w:p>
      <w:pPr>
        <w:spacing w:after="120" w:line="276"/>
        <w:jc w:val="both"/>
      </w:pPr>
      <w:r>
        <w:rPr>
          <w:rFonts w:ascii="Barlow Semi Condensed" w:cs="Barlow Semi Condensed" w:eastAsia="Barlow Semi Condensed" w:hAnsi="Barlow Semi Condensed"/>
          <w:b/>
          <w:bCs/>
          <w:sz w:val="24"/>
          <w:szCs w:val="24"/>
        </w:rPr>
        <w:t xml:space="preserve">1060 · Il funerale, e il nulla internazionale.</w:t>
      </w:r>
      <w:r>
        <w:rPr>
          <w:rFonts w:ascii="Barlow Semi Condensed" w:cs="Barlow Semi Condensed" w:eastAsia="Barlow Semi Condensed" w:hAnsi="Barlow Semi Condensed"/>
          <w:sz w:val="24"/>
          <w:szCs w:val="24"/>
        </w:rPr>
        <w:t xml:space="preserve"> Il congedo del capitolo sessantaseiesimo riporta la volontà di Moro sul proprio funerale — né autorità dello Stato né uomini di partito — e il rispetto che la famiglia le diede. È il punto del territorio in cui la triangolazione è più chiaramente priva di oggetto, e conviene dirlo: non ogni pagina di un corpus deve produrre un bersaglio. Dichiararlo fa parte del conto.</w:t>
      </w:r>
    </w:p>
    <w:p>
      <w:pPr>
        <w:spacing w:after="120" w:line="276"/>
        <w:jc w:val="both"/>
      </w:pPr>
      <w:r>
        <w:rPr>
          <w:rFonts w:ascii="Barlow Semi Condensed" w:cs="Barlow Semi Condensed" w:eastAsia="Barlow Semi Condensed" w:hAnsi="Barlow Semi Condensed"/>
          <w:b/>
          <w:bCs/>
          <w:sz w:val="24"/>
          <w:szCs w:val="24"/>
        </w:rPr>
        <w:t xml:space="preserve">1061 · L'ostacolo, e la pluralità che lo circonda.</w:t>
      </w:r>
      <w:r>
        <w:rPr>
          <w:rFonts w:ascii="Barlow Semi Condensed" w:cs="Barlow Semi Condensed" w:eastAsia="Barlow Semi Condensed" w:hAnsi="Barlow Semi Condensed"/>
          <w:sz w:val="24"/>
          <w:szCs w:val="24"/>
        </w:rPr>
        <w:t xml:space="preserve"> Il capitolo sessantasettesimo formula la sola continuità che l'opera si concede: Moro fu, per una pluralità di forze diverse e in parte avverse, un ostacolo che conveniva rimuovere. La formula è costruita apposta per escludere il mandante unico. Applicata a questo nome, dice che l'ostilità politica documentata non lo colloca in alcuna catena, ed è esattamente ciò che la Parte terza aveva già scritto.</w:t>
      </w:r>
    </w:p>
    <w:p>
      <w:pPr>
        <w:spacing w:after="120" w:line="276"/>
        <w:jc w:val="both"/>
      </w:pPr>
      <w:r>
        <w:rPr>
          <w:rFonts w:ascii="Barlow Semi Condensed" w:cs="Barlow Semi Condensed" w:eastAsia="Barlow Semi Condensed" w:hAnsi="Barlow Semi Condensed"/>
          <w:b/>
          <w:bCs/>
          <w:sz w:val="24"/>
          <w:szCs w:val="24"/>
        </w:rPr>
        <w:t xml:space="preserve">1062 · Prossimità non è mandato.</w:t>
      </w:r>
      <w:r>
        <w:rPr>
          <w:rFonts w:ascii="Barlow Semi Condensed" w:cs="Barlow Semi Condensed" w:eastAsia="Barlow Semi Condensed" w:hAnsi="Barlow Semi Condensed"/>
          <w:sz w:val="24"/>
          <w:szCs w:val="24"/>
        </w:rPr>
        <w:t xml:space="preserve"> La proposizione appartiene alla Parte terza, nel capitolo sul movente internazionale, ed è il cardine su cui questa serie intera si regge. Dal contesto ostile non discende la catena di comando: che esistessero nemici politici di Moro, e potenti, sta al grado più alto; che uno di essi abbia guidato la mano brigatista sta al più basso, e nessun documento, italiano o statunitense, lo attesta.</w:t>
      </w:r>
    </w:p>
    <w:p>
      <w:pPr>
        <w:spacing w:after="120" w:line="276"/>
        <w:jc w:val="both"/>
      </w:pPr>
      <w:r>
        <w:rPr>
          <w:rFonts w:ascii="Barlow Semi Condensed" w:cs="Barlow Semi Condensed" w:eastAsia="Barlow Semi Condensed" w:hAnsi="Barlow Semi Condensed"/>
          <w:b/>
          <w:bCs/>
          <w:sz w:val="24"/>
          <w:szCs w:val="24"/>
        </w:rPr>
        <w:t xml:space="preserve">1063 · Lo Stato Zero della Fase sesta.</w:t>
      </w:r>
      <w:r>
        <w:rPr>
          <w:rFonts w:ascii="Barlow Semi Condensed" w:cs="Barlow Semi Condensed" w:eastAsia="Barlow Semi Condensed" w:hAnsi="Barlow Semi Condensed"/>
          <w:sz w:val="24"/>
          <w:szCs w:val="24"/>
        </w:rPr>
        <w:t xml:space="preserve"> Non si riapre ciò che è stato chiuso in negativo. Il capitolo trentanovesimo elenca fra le ricerche condotte e concluse quella del documento che leghi Kissinger come persona, o qualunque apparato straniero nominato, alla catena di comando del delitto. Questa serie non lo riapre e non lo attenua: lo conferma dal lato del ritratto, che è il lato dove quel nome non compare affatto.</w:t>
      </w:r>
    </w:p>
    <w:p>
      <w:pPr>
        <w:spacing w:after="120" w:line="276"/>
        <w:jc w:val="both"/>
      </w:pPr>
      <w:r>
        <w:rPr>
          <w:rFonts w:ascii="Barlow Semi Condensed" w:cs="Barlow Semi Condensed" w:eastAsia="Barlow Semi Condensed" w:hAnsi="Barlow Semi Condensed"/>
          <w:b/>
          <w:bCs/>
          <w:sz w:val="24"/>
          <w:szCs w:val="24"/>
        </w:rPr>
        <w:t xml:space="preserve">1064 · Il bersaglio di smentita del ritratto.</w:t>
      </w:r>
      <w:r>
        <w:rPr>
          <w:rFonts w:ascii="Barlow Semi Condensed" w:cs="Barlow Semi Condensed" w:eastAsia="Barlow Semi Condensed" w:hAnsi="Barlow Semi Condensed"/>
          <w:sz w:val="24"/>
          <w:szCs w:val="24"/>
        </w:rPr>
        <w:t xml:space="preserve"> Che cosa falsificherebbe il silenzio qui accertato: un documento di provenienza — un verbale, un dispaccio, una lettera — in cui il soggetto triangolato nomini Moro come persona e non come governo, con data e segnatura verificabili. Non un'intervista, non una memoria, non un articolo. Sedi in cui cercarlo: la Ford Library, le Manuscripts and Archives della Yale University Library, i National Archives di College Park.</w:t>
      </w:r>
    </w:p>
    <w:p>
      <w:pPr>
        <w:spacing w:after="120" w:line="276"/>
        <w:jc w:val="both"/>
      </w:pPr>
      <w:r>
        <w:rPr>
          <w:rFonts w:ascii="Barlow Semi Condensed" w:cs="Barlow Semi Condensed" w:eastAsia="Barlow Semi Condensed" w:hAnsi="Barlow Semi Condensed"/>
          <w:b/>
          <w:bCs/>
          <w:sz w:val="24"/>
          <w:szCs w:val="24"/>
        </w:rPr>
        <w:t xml:space="preserve">1065 · Il bersaglio di smentita rovesciato.</w:t>
      </w:r>
      <w:r>
        <w:rPr>
          <w:rFonts w:ascii="Barlow Semi Condensed" w:cs="Barlow Semi Condensed" w:eastAsia="Barlow Semi Condensed" w:hAnsi="Barlow Semi Condensed"/>
          <w:sz w:val="24"/>
          <w:szCs w:val="24"/>
        </w:rPr>
        <w:t xml:space="preserve"> La simmetria va scritta, perché una serie onesta espone anche il proprio rovescio. Falsificherebbe la povertà di questo territorio anche una carta morotea — un appunto, una minuta, una lettera privata — in cui Moro nomini l'altro. Sedi: il fondo personale all'Archivio centrale dello Stato, il fondo depositato presso l'Archivio Flamigni, e i carteggi paralleli conservati nei fondi Andreotti e Fanfani.</w:t>
      </w:r>
    </w:p>
    <w:p>
      <w:pPr>
        <w:spacing w:after="120" w:line="276"/>
        <w:jc w:val="both"/>
      </w:pPr>
      <w:r>
        <w:rPr>
          <w:rFonts w:ascii="Barlow Semi Condensed" w:cs="Barlow Semi Condensed" w:eastAsia="Barlow Semi Condensed" w:hAnsi="Barlow Semi Condensed"/>
          <w:b/>
          <w:bCs/>
          <w:sz w:val="24"/>
          <w:szCs w:val="24"/>
        </w:rPr>
        <w:t xml:space="preserve">1066 · I carteggi paralleli come sede terza.</w:t>
      </w:r>
      <w:r>
        <w:rPr>
          <w:rFonts w:ascii="Barlow Semi Condensed" w:cs="Barlow Semi Condensed" w:eastAsia="Barlow Semi Condensed" w:hAnsi="Barlow Semi Condensed"/>
          <w:sz w:val="24"/>
          <w:szCs w:val="24"/>
        </w:rPr>
        <w:t xml:space="preserve"> Il blocco 234 dei nove cantieri fissa un principio archivistico che qui vale doppio: l'altra metà di ogni carteggio sta nei fondi altrui. Per il versante americano di Moro ciò significa cercare anche nelle carte di chi lo accompagnò — gabinetto del ministro, ambasciata, delegazioni — e non solo nelle sue. La ricomposizione virtuale della corrispondenza è progetto già scritto e non ancora eseguito da nessuno.</w:t>
      </w:r>
    </w:p>
    <w:p>
      <w:pPr>
        <w:spacing w:after="120" w:line="276"/>
        <w:jc w:val="both"/>
      </w:pPr>
      <w:r>
        <w:rPr>
          <w:rFonts w:ascii="Barlow Semi Condensed" w:cs="Barlow Semi Condensed" w:eastAsia="Barlow Semi Condensed" w:hAnsi="Barlow Semi Condensed"/>
          <w:b/>
          <w:bCs/>
          <w:sz w:val="24"/>
          <w:szCs w:val="24"/>
        </w:rPr>
        <w:t xml:space="preserve">1067 · Il conto di questa serie.</w:t>
      </w:r>
      <w:r>
        <w:rPr>
          <w:rFonts w:ascii="Barlow Semi Condensed" w:cs="Barlow Semi Condensed" w:eastAsia="Barlow Semi Condensed" w:hAnsi="Barlow Semi Condensed"/>
          <w:sz w:val="24"/>
          <w:szCs w:val="24"/>
        </w:rPr>
        <w:t xml:space="preserve"> Bilancio dichiarato, come la prima serie impone a ciascuna di fare in chiusura. Su settanta bersagli, il territorio ha consegnato due sole co-presenze documentate — il tavolo del 25 settembre 1974 e la cerimonia di Helsinki del primo agosto 1975 — nessuna delle quali appartiene al ritratto, e nessun rapporto personale di alcun genere. Tutto il resto è quesito da portare in archivio, oppure assenza.</w:t>
      </w:r>
    </w:p>
    <w:p>
      <w:pPr>
        <w:spacing w:after="120" w:line="276"/>
        <w:jc w:val="both"/>
      </w:pPr>
      <w:r>
        <w:rPr>
          <w:rFonts w:ascii="Barlow Semi Condensed" w:cs="Barlow Semi Condensed" w:eastAsia="Barlow Semi Condensed" w:hAnsi="Barlow Semi Condensed"/>
          <w:b/>
          <w:bCs/>
          <w:sz w:val="24"/>
          <w:szCs w:val="24"/>
        </w:rPr>
        <w:t xml:space="preserve">1068 · Che cosa questa serie non ha stabilito.</w:t>
      </w:r>
      <w:r>
        <w:rPr>
          <w:rFonts w:ascii="Barlow Semi Condensed" w:cs="Barlow Semi Condensed" w:eastAsia="Barlow Semi Condensed" w:hAnsi="Barlow Semi Condensed"/>
          <w:sz w:val="24"/>
          <w:szCs w:val="24"/>
        </w:rPr>
        <w:t xml:space="preserve"> Enunciato in negativo, per non lasciarlo alla ricostruzione del lettore. Non ha stabilito che il soggetto conoscesse la strategia dell'attenzione; non ha stabilito che leggesse Moro; non ha stabilito che l'avvertimento riferito sia avvenuto, né che non sia avvenuto; non ha stabilito alcun rapporto fra il nome triangolato e la morte dell'uomo ritratto. Ha stabilito, e questo sì, dove cercare e con quale metro.</w:t>
      </w:r>
    </w:p>
    <w:p>
      <w:pPr>
        <w:spacing w:after="120" w:line="276"/>
        <w:jc w:val="both"/>
      </w:pPr>
      <w:r>
        <w:rPr>
          <w:rFonts w:ascii="Barlow Semi Condensed" w:cs="Barlow Semi Condensed" w:eastAsia="Barlow Semi Condensed" w:hAnsi="Barlow Semi Condensed"/>
          <w:b/>
          <w:bCs/>
          <w:sz w:val="24"/>
          <w:szCs w:val="24"/>
        </w:rPr>
        <w:t xml:space="preserve">1069 · La lente respinta dal territorio.</w:t>
      </w:r>
      <w:r>
        <w:rPr>
          <w:rFonts w:ascii="Barlow Semi Condensed" w:cs="Barlow Semi Condensed" w:eastAsia="Barlow Semi Condensed" w:hAnsi="Barlow Semi Condensed"/>
          <w:sz w:val="24"/>
          <w:szCs w:val="24"/>
        </w:rPr>
        <w:t xml:space="preserve"> Verifica della chiave dichiarata dal committente, dovuta a fine serie. Su un territorio biografico e dottrinale la metafora genetica rende poco: non c'è codice da seguire dove non c'è trasmissione. Il capitolo sessantaduesimo offre semmai il caso opposto, una formazione, cioè un carattere acquisito che nessuna eredità spiega. Qui la lente va deposta, secondo il criterio di dismissione fissato nella prima serie.</w:t>
      </w:r>
    </w:p>
    <w:p>
      <w:pPr>
        <w:spacing w:after="120" w:line="276"/>
        <w:jc w:val="both"/>
      </w:pPr>
      <w:r>
        <w:rPr>
          <w:rFonts w:ascii="Barlow Semi Condensed" w:cs="Barlow Semi Condensed" w:eastAsia="Barlow Semi Condensed" w:hAnsi="Barlow Semi Condensed"/>
          <w:b/>
          <w:bCs/>
          <w:sz w:val="24"/>
          <w:szCs w:val="24"/>
        </w:rPr>
        <w:t xml:space="preserve">1070 · Restituire il soggetto, anche qui.</w:t>
      </w:r>
      <w:r>
        <w:rPr>
          <w:rFonts w:ascii="Barlow Semi Condensed" w:cs="Barlow Semi Condensed" w:eastAsia="Barlow Semi Condensed" w:hAnsi="Barlow Semi Condensed"/>
          <w:sz w:val="24"/>
          <w:szCs w:val="24"/>
        </w:rPr>
        <w:t xml:space="preserve"> Congedo della serie, in accordo con quello della Fase ottava. Il territorio chiedeva di rimettere Aldo Moro al principio; questa triangolazione lo conferma per la via più severa, mostrando che il nome estraneo non entra nel ritratto e non deve entrarvi per forza. Un'assenza dichiarata bene, con la sede che la chiuderebbe, restituisce l'uomo meglio di qualunque ponte costruito per riempire la pagina.</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Serie quindicesima — Dal Che a Moro: il saggio-cerniera</w:t>
      </w:r>
    </w:p>
    <w:p>
      <w:pPr>
        <w:spacing w:after="120" w:line="276"/>
        <w:jc w:val="both"/>
      </w:pPr>
      <w:r>
        <w:rPr>
          <w:rFonts w:ascii="Barlow Semi Condensed" w:cs="Barlow Semi Condensed" w:eastAsia="Barlow Semi Condensed" w:hAnsi="Barlow Semi Condensed"/>
          <w:i/>
          <w:iCs/>
          <w:sz w:val="24"/>
          <w:szCs w:val="24"/>
        </w:rPr>
        <w:t xml:space="preserve">Blocchi 1071-1140.</w:t>
      </w:r>
    </w:p>
    <w:p>
      <w:pPr>
        <w:spacing w:after="120" w:line="276"/>
        <w:jc w:val="both"/>
      </w:pPr>
      <w:r>
        <w:rPr>
          <w:rFonts w:ascii="Barlow Semi Condensed" w:cs="Barlow Semi Condensed" w:eastAsia="Barlow Semi Condensed" w:hAnsi="Barlow Semi Condensed"/>
          <w:b/>
          <w:bCs/>
          <w:sz w:val="24"/>
          <w:szCs w:val="24"/>
        </w:rPr>
        <w:t xml:space="preserve">1071 · Tre occorrenze, e nessuna di più.</w:t>
      </w:r>
      <w:r>
        <w:rPr>
          <w:rFonts w:ascii="Barlow Semi Condensed" w:cs="Barlow Semi Condensed" w:eastAsia="Barlow Semi Condensed" w:hAnsi="Barlow Semi Condensed"/>
          <w:sz w:val="24"/>
          <w:szCs w:val="24"/>
        </w:rPr>
        <w:t xml:space="preserve"> Il saggio nomina Henry Kissinger tre volte soltanto: nella Parte terza, dove la caduta di Allende è attribuita ad apparati statunitensi «supervisionati» da lui; nella Parte quinta, dove lo stesso enunciato rientra fra le acquisizioni di categoria alta; e ancora nella Parte quinta, dove «l'avvertimento di Kissinger» figura fra le convergenze. Il censimento va fatto prima di ogni lettura, perché fissa il perimetro reale del territorio assegnato.</w:t>
      </w:r>
    </w:p>
    <w:p>
      <w:pPr>
        <w:spacing w:after="120" w:line="276"/>
        <w:jc w:val="both"/>
      </w:pPr>
      <w:r>
        <w:rPr>
          <w:rFonts w:ascii="Barlow Semi Condensed" w:cs="Barlow Semi Condensed" w:eastAsia="Barlow Semi Condensed" w:hAnsi="Barlow Semi Condensed"/>
          <w:b/>
          <w:bCs/>
          <w:sz w:val="24"/>
          <w:szCs w:val="24"/>
        </w:rPr>
        <w:t xml:space="preserve">1072 · Le quattro parti che tacciono.</w:t>
      </w:r>
      <w:r>
        <w:rPr>
          <w:rFonts w:ascii="Barlow Semi Condensed" w:cs="Barlow Semi Condensed" w:eastAsia="Barlow Semi Condensed" w:hAnsi="Barlow Semi Condensed"/>
          <w:sz w:val="24"/>
          <w:szCs w:val="24"/>
        </w:rPr>
        <w:t xml:space="preserve"> Parte prima, Parte seconda, Parte quarta e Conclusione non contengono quel nome. Il vettore Feltrinelli, la fabbricazione dell'icona di Korda, la genealogia di Pecorile e il congedo sulla mediazione odiata si svolgono per intero senza di esso. È uno Stato Zero interno al testo, misurabile con una ricerca meccanica sul file, e va dichiarato con la stessa forza delle tre presenze.</w:t>
      </w:r>
    </w:p>
    <w:p>
      <w:pPr>
        <w:spacing w:after="120" w:line="276"/>
        <w:jc w:val="both"/>
      </w:pPr>
      <w:r>
        <w:rPr>
          <w:rFonts w:ascii="Barlow Semi Condensed" w:cs="Barlow Semi Condensed" w:eastAsia="Barlow Semi Condensed" w:hAnsi="Barlow Semi Condensed"/>
          <w:b/>
          <w:bCs/>
          <w:sz w:val="24"/>
          <w:szCs w:val="24"/>
        </w:rPr>
        <w:t xml:space="preserve">1073 · Il saggio precede la correzione.</w:t>
      </w:r>
      <w:r>
        <w:rPr>
          <w:rFonts w:ascii="Barlow Semi Condensed" w:cs="Barlow Semi Condensed" w:eastAsia="Barlow Semi Condensed" w:hAnsi="Barlow Semi Condensed"/>
          <w:sz w:val="24"/>
          <w:szCs w:val="24"/>
        </w:rPr>
        <w:t xml:space="preserve"> Il testo porta la data del 24 agosto 2026; la Nota di revisione numero due che ridimensiona il nodo M-5 è del 25 agosto 2026 ed è stata apposta a triangolazioni-guevara-moro.md, non qui. Ne discende che la Parte quinta espone una lezione anteriore alle sette precisazioni. Il fatto si verifica confrontando le due date in testa ai file, e va verbalizzato prima di ogni uso del saggio.</w:t>
      </w:r>
    </w:p>
    <w:p>
      <w:pPr>
        <w:spacing w:after="120" w:line="276"/>
        <w:jc w:val="both"/>
      </w:pPr>
      <w:r>
        <w:rPr>
          <w:rFonts w:ascii="Barlow Semi Condensed" w:cs="Barlow Semi Condensed" w:eastAsia="Barlow Semi Condensed" w:hAnsi="Barlow Semi Condensed"/>
          <w:b/>
          <w:bCs/>
          <w:sz w:val="24"/>
          <w:szCs w:val="24"/>
        </w:rPr>
        <w:t xml:space="preserve">1074 · Il modulo della nota mancante.</w:t>
      </w:r>
      <w:r>
        <w:rPr>
          <w:rFonts w:ascii="Barlow Semi Condensed" w:cs="Barlow Semi Condensed" w:eastAsia="Barlow Semi Condensed" w:hAnsi="Barlow Semi Condensed"/>
          <w:sz w:val="24"/>
          <w:szCs w:val="24"/>
        </w:rPr>
        <w:t xml:space="preserve"> La regola dell'opera vuole che il testo originario resti leggibile e che la correzione gli si affianchi; il blocco 624 dell'opera privata ne fissa il formato minimo: lezione originaria per esteso, lezione corretta, fonte, data, ragione dell'intervento. Applicato qui, il modulo produce una nota da apporre in coda alla Parte quinta. Finché non esiste, la lacuna è dell'apparato e non del lettore.</w:t>
      </w:r>
    </w:p>
    <w:p>
      <w:pPr>
        <w:spacing w:after="120" w:line="276"/>
        <w:jc w:val="both"/>
      </w:pPr>
      <w:r>
        <w:rPr>
          <w:rFonts w:ascii="Barlow Semi Condensed" w:cs="Barlow Semi Condensed" w:eastAsia="Barlow Semi Condensed" w:hAnsi="Barlow Semi Condensed"/>
          <w:b/>
          <w:bCs/>
          <w:sz w:val="24"/>
          <w:szCs w:val="24"/>
        </w:rPr>
        <w:t xml:space="preserve">1075 · La Parte quarta non è fonte.</w:t>
      </w:r>
      <w:r>
        <w:rPr>
          <w:rFonts w:ascii="Barlow Semi Condensed" w:cs="Barlow Semi Condensed" w:eastAsia="Barlow Semi Condensed" w:hAnsi="Barlow Semi Condensed"/>
          <w:sz w:val="24"/>
          <w:szCs w:val="24"/>
        </w:rPr>
        <w:t xml:space="preserve"> L'avvertenza d'apertura dichiara il pastiche e ne vieta l'uso probatorio: quelle non sono parole di Aldo Moro. Nessun blocco di questa serie può quindi trarre dalla meditazione immaginata alcun elemento su Kissinger, nemmeno per suggestione. La regola vale anche a rovescio: chi citasse la Parte quarta come testimonianza costruirebbe un falso a partire da un testo che si dichiara invenzione.</w:t>
      </w:r>
    </w:p>
    <w:p>
      <w:pPr>
        <w:spacing w:after="120" w:line="276"/>
        <w:jc w:val="both"/>
      </w:pPr>
      <w:r>
        <w:rPr>
          <w:rFonts w:ascii="Barlow Semi Condensed" w:cs="Barlow Semi Condensed" w:eastAsia="Barlow Semi Condensed" w:hAnsi="Barlow Semi Condensed"/>
          <w:b/>
          <w:bCs/>
          <w:sz w:val="24"/>
          <w:szCs w:val="24"/>
        </w:rPr>
        <w:t xml:space="preserve">1076 · Una lente non si dimostra.</w:t>
      </w:r>
      <w:r>
        <w:rPr>
          <w:rFonts w:ascii="Barlow Semi Condensed" w:cs="Barlow Semi Condensed" w:eastAsia="Barlow Semi Condensed" w:hAnsi="Barlow Semi Condensed"/>
          <w:sz w:val="24"/>
          <w:szCs w:val="24"/>
        </w:rPr>
        <w:t xml:space="preserve"> Il titolo annuncia una chiave interpretativa, non un fatto acquisito, e l'avvertenza lo scrive. Vale per esso ciò che il blocco 12 dell'opera privata stabilisce per la metafora genetica: una lente si dichiara, si usa, si giudica dalla resa, e non ha valore di verità. Chi legge «guerra senza fine» come accertamento converte uno strumento in premessa, che è l'errore inverso della verifica.</w:t>
      </w:r>
    </w:p>
    <w:p>
      <w:pPr>
        <w:spacing w:after="120" w:line="276"/>
        <w:jc w:val="both"/>
      </w:pPr>
      <w:r>
        <w:rPr>
          <w:rFonts w:ascii="Barlow Semi Condensed" w:cs="Barlow Semi Condensed" w:eastAsia="Barlow Semi Condensed" w:hAnsi="Barlow Semi Condensed"/>
          <w:b/>
          <w:bCs/>
          <w:sz w:val="24"/>
          <w:szCs w:val="24"/>
        </w:rPr>
        <w:t xml:space="preserve">1077 · L'ecosistema contro la piovra.</w:t>
      </w:r>
      <w:r>
        <w:rPr>
          <w:rFonts w:ascii="Barlow Semi Condensed" w:cs="Barlow Semi Condensed" w:eastAsia="Barlow Semi Condensed" w:hAnsi="Barlow Semi Condensed"/>
          <w:sz w:val="24"/>
          <w:szCs w:val="24"/>
        </w:rPr>
        <w:t xml:space="preserve"> La Parte prima oppone alla figura del complotto unico quella dell'ecosistema: attori distinti che condividono tempo e nemico ma non struttura. È una regola di lettura direttamente applicabile al nome qui triangolato, e va usata in entrambe le direzioni. Impedisce di raccogliere sotto un centro gli archi documentati e impedisce, simmetricamente, di negare che quegli archi esistano ciascuno per conto proprio.</w:t>
      </w:r>
    </w:p>
    <w:p>
      <w:pPr>
        <w:spacing w:after="120" w:line="276"/>
        <w:jc w:val="both"/>
      </w:pPr>
      <w:r>
        <w:rPr>
          <w:rFonts w:ascii="Barlow Semi Condensed" w:cs="Barlow Semi Condensed" w:eastAsia="Barlow Semi Condensed" w:hAnsi="Barlow Semi Condensed"/>
          <w:b/>
          <w:bCs/>
          <w:sz w:val="24"/>
          <w:szCs w:val="24"/>
        </w:rPr>
        <w:t xml:space="preserve">1078 · Brighton Beach, zero occorrenze.</w:t>
      </w:r>
      <w:r>
        <w:rPr>
          <w:rFonts w:ascii="Barlow Semi Condensed" w:cs="Barlow Semi Condensed" w:eastAsia="Barlow Semi Condensed" w:hAnsi="Barlow Semi Condensed"/>
          <w:sz w:val="24"/>
          <w:szCs w:val="24"/>
        </w:rPr>
        <w:t xml:space="preserve"> L'elenco retorico d'apertura nomina Brighton Beach accanto al Cile e all'Avana. Una ricerca meccanica sull'intero branch restituisce una sola occorrenza, quella; nessuna scheda, nessun nodo, nessun documento vi corrisponde. È figura d'apertura e non rimando a materiale esistente, e va segnalata perché un lettore potrebbe cercarne il dossier. Lo Stato Zero si chiude producendo quel dossier o espungendo l'evocazione.</w:t>
      </w:r>
    </w:p>
    <w:p>
      <w:pPr>
        <w:spacing w:after="120" w:line="276"/>
        <w:jc w:val="both"/>
      </w:pPr>
      <w:r>
        <w:rPr>
          <w:rFonts w:ascii="Barlow Semi Condensed" w:cs="Barlow Semi Condensed" w:eastAsia="Barlow Semi Condensed" w:hAnsi="Barlow Semi Condensed"/>
          <w:b/>
          <w:bCs/>
          <w:sz w:val="24"/>
          <w:szCs w:val="24"/>
        </w:rPr>
        <w:t xml:space="preserve">1079 · Undici giorni prima della nomina.</w:t>
      </w:r>
      <w:r>
        <w:rPr>
          <w:rFonts w:ascii="Barlow Semi Condensed" w:cs="Barlow Semi Condensed" w:eastAsia="Barlow Semi Condensed" w:hAnsi="Barlow Semi Condensed"/>
          <w:sz w:val="24"/>
          <w:szCs w:val="24"/>
        </w:rPr>
        <w:t xml:space="preserve"> L'11 settembre 1973 Kissinger era Assistente per la sicurezza nazionale; divenne Segretario di Stato il 22 settembre 1973, undici giorni dopo il golpe cileno. Il saggio, che scrive «supervisionati da Henry Kissinger» senza attribuirgli cariche, è su questo punto più esatto di chi gliene attribuisce una. La precisione delle date d'incarico è fissata dagli accertamenti dell'opera e vincola ogni resa successiva.</w:t>
      </w:r>
    </w:p>
    <w:p>
      <w:pPr>
        <w:spacing w:after="120" w:line="276"/>
        <w:jc w:val="both"/>
      </w:pPr>
      <w:r>
        <w:rPr>
          <w:rFonts w:ascii="Barlow Semi Condensed" w:cs="Barlow Semi Condensed" w:eastAsia="Barlow Semi Condensed" w:hAnsi="Barlow Semi Condensed"/>
          <w:b/>
          <w:bCs/>
          <w:sz w:val="24"/>
          <w:szCs w:val="24"/>
        </w:rPr>
        <w:t xml:space="preserve">1080 · Una divergenza interna da riportare.</w:t>
      </w:r>
      <w:r>
        <w:rPr>
          <w:rFonts w:ascii="Barlow Semi Condensed" w:cs="Barlow Semi Condensed" w:eastAsia="Barlow Semi Condensed" w:hAnsi="Barlow Semi Condensed"/>
          <w:sz w:val="24"/>
          <w:szCs w:val="24"/>
        </w:rPr>
        <w:t xml:space="preserve"> Il blocco 34 dell'opera privata registra la stessa vicenda cilena «sotto la supervisione del Segretario di Stato»: formula che confligge con la cronologia degli incarichi fissata dalla medesima opera. Le divergenze si riportano e non si sciolgono in silenzio. Qui la si riporta indicando la correzione minima: sostituire il titolo con la carica effettiva alla data, oppure ometterlo come fa il saggio.</w:t>
      </w:r>
    </w:p>
    <w:p>
      <w:pPr>
        <w:spacing w:after="120" w:line="276"/>
        <w:jc w:val="both"/>
      </w:pPr>
      <w:r>
        <w:rPr>
          <w:rFonts w:ascii="Barlow Semi Condensed" w:cs="Barlow Semi Condensed" w:eastAsia="Barlow Semi Condensed" w:hAnsi="Barlow Semi Condensed"/>
          <w:b/>
          <w:bCs/>
          <w:sz w:val="24"/>
          <w:szCs w:val="24"/>
        </w:rPr>
        <w:t xml:space="preserve">1081 · «Su fonti primarie», quali.</w:t>
      </w:r>
      <w:r>
        <w:rPr>
          <w:rFonts w:ascii="Barlow Semi Condensed" w:cs="Barlow Semi Condensed" w:eastAsia="Barlow Semi Condensed" w:hAnsi="Barlow Semi Condensed"/>
          <w:sz w:val="24"/>
          <w:szCs w:val="24"/>
        </w:rPr>
        <w:t xml:space="preserve"> La Parte terza afferma che il corpus ha verificato l'arco cileno su fonti primarie. Una ricognizione dei file del branch non trova alcuna scheda cilena: nessun documento, nessuna segnatura, nessun rimando. L'affermazione di avvenuta verifica è dunque priva di supporto esibito nel corpus stesso. Non è una smentita: è un accertamento negativo sull'apparato, e chiede che le fonti siano prodotte o la formula ridotta.</w:t>
      </w:r>
    </w:p>
    <w:p>
      <w:pPr>
        <w:spacing w:after="120" w:line="276"/>
        <w:jc w:val="both"/>
      </w:pPr>
      <w:r>
        <w:rPr>
          <w:rFonts w:ascii="Barlow Semi Condensed" w:cs="Barlow Semi Condensed" w:eastAsia="Barlow Semi Condensed" w:hAnsi="Barlow Semi Condensed"/>
          <w:b/>
          <w:bCs/>
          <w:sz w:val="24"/>
          <w:szCs w:val="24"/>
        </w:rPr>
        <w:t xml:space="preserve">1082 · La sede che chiude il vuoto cileno.</w:t>
      </w:r>
      <w:r>
        <w:rPr>
          <w:rFonts w:ascii="Barlow Semi Condensed" w:cs="Barlow Semi Condensed" w:eastAsia="Barlow Semi Condensed" w:hAnsi="Barlow Semi Condensed"/>
          <w:sz w:val="24"/>
          <w:szCs w:val="24"/>
        </w:rPr>
        <w:t xml:space="preserve"> Il vuoto si chiuderebbe in una sede nominabile: il rapporto del Select Committee del Senato degli Stati Uniti intitolato «Covert Action in Chile 1963-1973», del dicembre 1975, e le carte del comitato conservate al Center for Legislative Archives, record group 46, presso i National Archives di Washington. È la sede che il corpus indica altrove come metro di quanto materiale occorra perché un vettore possa dirsi documentato.</w:t>
      </w:r>
    </w:p>
    <w:p>
      <w:pPr>
        <w:spacing w:after="120" w:line="276"/>
        <w:jc w:val="both"/>
      </w:pPr>
      <w:r>
        <w:rPr>
          <w:rFonts w:ascii="Barlow Semi Condensed" w:cs="Barlow Semi Condensed" w:eastAsia="Barlow Semi Condensed" w:hAnsi="Barlow Semi Condensed"/>
          <w:b/>
          <w:bCs/>
          <w:sz w:val="24"/>
          <w:szCs w:val="24"/>
        </w:rPr>
        <w:t xml:space="preserve">1083 · Il volume FRUS che manca.</w:t>
      </w:r>
      <w:r>
        <w:rPr>
          <w:rFonts w:ascii="Barlow Semi Condensed" w:cs="Barlow Semi Condensed" w:eastAsia="Barlow Semi Condensed" w:hAnsi="Barlow Semi Condensed"/>
          <w:sz w:val="24"/>
          <w:szCs w:val="24"/>
        </w:rPr>
        <w:t xml:space="preserve"> Seconda sede, complementare e più prossima alla decisione: Foreign Relations of the United States 1969-1976, volume XXI, Chile 1969-1973, edito dall'Office of the Historian del Dipartimento di Stato. Il branch non lo cita in alcun file. Citarlo per segnature puntuali, documento per documento e non per volume, è il minimo che trasformerebbe l'enunciato della Parte terza in un accertamento esibito.</w:t>
      </w:r>
    </w:p>
    <w:p>
      <w:pPr>
        <w:spacing w:after="120" w:line="276"/>
        <w:jc w:val="both"/>
      </w:pPr>
      <w:r>
        <w:rPr>
          <w:rFonts w:ascii="Barlow Semi Condensed" w:cs="Barlow Semi Condensed" w:eastAsia="Barlow Semi Condensed" w:hAnsi="Barlow Semi Condensed"/>
          <w:b/>
          <w:bCs/>
          <w:sz w:val="24"/>
          <w:szCs w:val="24"/>
        </w:rPr>
        <w:t xml:space="preserve">1084 · Il comitato che succedette al 303.</w:t>
      </w:r>
      <w:r>
        <w:rPr>
          <w:rFonts w:ascii="Barlow Semi Condensed" w:cs="Barlow Semi Condensed" w:eastAsia="Barlow Semi Condensed" w:hAnsi="Barlow Semi Condensed"/>
          <w:sz w:val="24"/>
          <w:szCs w:val="24"/>
        </w:rPr>
        <w:t xml:space="preserve"> L'opera privata registra al blocco 866 il verbale del Comitato dei 303 dell'11 marzo 1969. Per il versante cileno l'organo competente è il suo successore, e il quesito da portare in archivio è formulabile senza asserire nulla: quali verbali di quell'organo, in quali date e con quali presenti, riguardino il Cile fra il 1970 e il 1973, e dove siano editi.</w:t>
      </w:r>
    </w:p>
    <w:p>
      <w:pPr>
        <w:spacing w:after="120" w:line="276"/>
        <w:jc w:val="both"/>
      </w:pPr>
      <w:r>
        <w:rPr>
          <w:rFonts w:ascii="Barlow Semi Condensed" w:cs="Barlow Semi Condensed" w:eastAsia="Barlow Semi Condensed" w:hAnsi="Barlow Semi Condensed"/>
          <w:b/>
          <w:bCs/>
          <w:sz w:val="24"/>
          <w:szCs w:val="24"/>
        </w:rPr>
        <w:t xml:space="preserve">1085 · Un canale riservato come quesito.</w:t>
      </w:r>
      <w:r>
        <w:rPr>
          <w:rFonts w:ascii="Barlow Semi Condensed" w:cs="Barlow Semi Condensed" w:eastAsia="Barlow Semi Condensed" w:hAnsi="Barlow Semi Condensed"/>
          <w:sz w:val="24"/>
          <w:szCs w:val="24"/>
        </w:rPr>
        <w:t xml:space="preserve"> La denominazione che la letteratura usa per il canale riservato del 1970 va trattata come oggetto di ricerca e non come conclusione già raggiunta. Il quesito ha forma esatta: quali documenti, con quale segnatura e quale data, lo compongano; quali siano editi in FRUS e quali soltanto in raccolte private. Finché la risposta non è compilata, il saggio poggia su una letteratura che non ha esibito.</w:t>
      </w:r>
    </w:p>
    <w:p>
      <w:pPr>
        <w:spacing w:after="120" w:line="276"/>
        <w:jc w:val="both"/>
      </w:pPr>
      <w:r>
        <w:rPr>
          <w:rFonts w:ascii="Barlow Semi Condensed" w:cs="Barlow Semi Condensed" w:eastAsia="Barlow Semi Condensed" w:hAnsi="Barlow Semi Condensed"/>
          <w:b/>
          <w:bCs/>
          <w:sz w:val="24"/>
          <w:szCs w:val="24"/>
        </w:rPr>
        <w:t xml:space="preserve">1086 · Il confine della responsabilità.</w:t>
      </w:r>
      <w:r>
        <w:rPr>
          <w:rFonts w:ascii="Barlow Semi Condensed" w:cs="Barlow Semi Condensed" w:eastAsia="Barlow Semi Condensed" w:hAnsi="Barlow Semi Condensed"/>
          <w:sz w:val="24"/>
          <w:szCs w:val="24"/>
        </w:rPr>
        <w:t xml:space="preserve"> Ogni resa dell'arco cileno deve tenere su righe separate due proposizioni con soggetti e standard diversi: la responsabilità storico-politica di apparati statali e la responsabilità penale personale. Henry Kissinger non fu mai imputato né processato in alcun Paese, e nessun blocco può indicarlo come responsabile di reato. Il saggio, che parla di apparati e di supervisione, resta entro il confine; le sue parafrasi spesso no.</w:t>
      </w:r>
    </w:p>
    <w:p>
      <w:pPr>
        <w:spacing w:after="120" w:line="276"/>
        <w:jc w:val="both"/>
      </w:pPr>
      <w:r>
        <w:rPr>
          <w:rFonts w:ascii="Barlow Semi Condensed" w:cs="Barlow Semi Condensed" w:eastAsia="Barlow Semi Condensed" w:hAnsi="Barlow Semi Condensed"/>
          <w:b/>
          <w:bCs/>
          <w:sz w:val="24"/>
          <w:szCs w:val="24"/>
        </w:rPr>
        <w:t xml:space="preserve">1087 · Che cosa smentirebbe l'arco cileno.</w:t>
      </w:r>
      <w:r>
        <w:rPr>
          <w:rFonts w:ascii="Barlow Semi Condensed" w:cs="Barlow Semi Condensed" w:eastAsia="Barlow Semi Condensed" w:hAnsi="Barlow Semi Condensed"/>
          <w:sz w:val="24"/>
          <w:szCs w:val="24"/>
        </w:rPr>
        <w:t xml:space="preserve"> Bersaglio di smentita, formulato perché sia raggiungibile: un documento primario coevo, edito o declassificato, che mostri l'apparato statunitense estraneo alla preparazione dell'11 settembre 1973, oppure attesti una catena decisionale che escluda il livello qui evocato. Se emergesse, la Parte terza andrebbe riscritta e con essa lo snodo dell'intero saggio. È il modo in cui l'enunciato resta falsificabile invece di farsi articolo di fede.</w:t>
      </w:r>
    </w:p>
    <w:p>
      <w:pPr>
        <w:spacing w:after="120" w:line="276"/>
        <w:jc w:val="both"/>
      </w:pPr>
      <w:r>
        <w:rPr>
          <w:rFonts w:ascii="Barlow Semi Condensed" w:cs="Barlow Semi Condensed" w:eastAsia="Barlow Semi Condensed" w:hAnsi="Barlow Semi Condensed"/>
          <w:b/>
          <w:bCs/>
          <w:sz w:val="24"/>
          <w:szCs w:val="24"/>
        </w:rPr>
        <w:t xml:space="preserve">1088 · Il metro non è un precedente.</w:t>
      </w:r>
      <w:r>
        <w:rPr>
          <w:rFonts w:ascii="Barlow Semi Condensed" w:cs="Barlow Semi Condensed" w:eastAsia="Barlow Semi Condensed" w:hAnsi="Barlow Semi Condensed"/>
          <w:sz w:val="24"/>
          <w:szCs w:val="24"/>
        </w:rPr>
        <w:t xml:space="preserve"> Perché il caso cileno serva da metro lo spiega il blocco 496 dell'opera privata: è uno dei pochissimi in cui un organo legislativo ha accertato in pubblico, con documenti, un finanziamento statale straniero. Un metro misura, non condanna altrove. Trasportarlo sull'Italia del 1978 senza documenti italiani equivalenti è esattamente l'operazione che la Parte prima del saggio ha già dichiarato falsa.</w:t>
      </w:r>
    </w:p>
    <w:p>
      <w:pPr>
        <w:spacing w:after="120" w:line="276"/>
        <w:jc w:val="both"/>
      </w:pPr>
      <w:r>
        <w:rPr>
          <w:rFonts w:ascii="Barlow Semi Condensed" w:cs="Barlow Semi Condensed" w:eastAsia="Barlow Semi Condensed" w:hAnsi="Barlow Semi Condensed"/>
          <w:b/>
          <w:bCs/>
          <w:sz w:val="24"/>
          <w:szCs w:val="24"/>
        </w:rPr>
        <w:t xml:space="preserve">1089 · Due effetti da una causa comune.</w:t>
      </w:r>
      <w:r>
        <w:rPr>
          <w:rFonts w:ascii="Barlow Semi Condensed" w:cs="Barlow Semi Condensed" w:eastAsia="Barlow Semi Condensed" w:hAnsi="Barlow Semi Condensed"/>
          <w:sz w:val="24"/>
          <w:szCs w:val="24"/>
        </w:rPr>
        <w:t xml:space="preserve"> Del Cile il saggio fa la causa unica di due esiti opposti: la conferma della via armata a una sinistra, il compromesso storico all'altra. La quinta voce proposta dalla seconda campagna serve esattamente qui: due effetti simultanei che discendono dallo stesso evento e non l'uno dall'altro. Leggerli come imparentati fra loro perché contemporanei è l'errore che quella voce previene.</w:t>
      </w:r>
    </w:p>
    <w:p>
      <w:pPr>
        <w:spacing w:after="120" w:line="276"/>
        <w:jc w:val="both"/>
      </w:pPr>
      <w:r>
        <w:rPr>
          <w:rFonts w:ascii="Barlow Semi Condensed" w:cs="Barlow Semi Condensed" w:eastAsia="Barlow Semi Condensed" w:hAnsi="Barlow Semi Condensed"/>
          <w:b/>
          <w:bCs/>
          <w:sz w:val="24"/>
          <w:szCs w:val="24"/>
        </w:rPr>
        <w:t xml:space="preserve">1090 · Il trasferimento vietato verso l'Italia.</w:t>
      </w:r>
      <w:r>
        <w:rPr>
          <w:rFonts w:ascii="Barlow Semi Condensed" w:cs="Barlow Semi Condensed" w:eastAsia="Barlow Semi Condensed" w:hAnsi="Barlow Semi Condensed"/>
          <w:sz w:val="24"/>
          <w:szCs w:val="24"/>
        </w:rPr>
        <w:t xml:space="preserve"> Nei blocchi 870 e 871 l'opera privata mostra la stessa trappola sul Portogallo: un lessico documentato per un teatro non si trasporta su un altro. Applicata al saggio, la regola dice che ciò che è accertato per Santiago nel 1973 non prova nulla per Roma nel 1978, e che chi lo trasferisce compie la promozione del secondo piano a nesso causale.</w:t>
      </w:r>
    </w:p>
    <w:p>
      <w:pPr>
        <w:spacing w:after="120" w:line="276"/>
        <w:jc w:val="both"/>
      </w:pPr>
      <w:r>
        <w:rPr>
          <w:rFonts w:ascii="Barlow Semi Condensed" w:cs="Barlow Semi Condensed" w:eastAsia="Barlow Semi Condensed" w:hAnsi="Barlow Semi Condensed"/>
          <w:b/>
          <w:bCs/>
          <w:sz w:val="24"/>
          <w:szCs w:val="24"/>
        </w:rPr>
        <w:t xml:space="preserve">1091 · Il calendario chiude il primo ponte.</w:t>
      </w:r>
      <w:r>
        <w:rPr>
          <w:rFonts w:ascii="Barlow Semi Condensed" w:cs="Barlow Semi Condensed" w:eastAsia="Barlow Semi Condensed" w:hAnsi="Barlow Semi Condensed"/>
          <w:sz w:val="24"/>
          <w:szCs w:val="24"/>
        </w:rPr>
        <w:t xml:space="preserve"> Quando Ernesto Guevara fu ucciso a La Higuera, il 9 ottobre 1967, Henry Kissinger non ricopriva alcuna carica federale: assunse la prima il 20 gennaio 1969, quindici mesi dopo. Nessun ponte di piano uno è quindi materialmente formulabile fra quel nome e la fine della campagna boliviana. Non è una valutazione: è una sottrazione fra date, ed è l'acquisizione negativa più solida di questa serie.</w:t>
      </w:r>
    </w:p>
    <w:p>
      <w:pPr>
        <w:spacing w:after="120" w:line="276"/>
        <w:jc w:val="both"/>
      </w:pPr>
      <w:r>
        <w:rPr>
          <w:rFonts w:ascii="Barlow Semi Condensed" w:cs="Barlow Semi Condensed" w:eastAsia="Barlow Semi Condensed" w:hAnsi="Barlow Semi Condensed"/>
          <w:b/>
          <w:bCs/>
          <w:sz w:val="24"/>
          <w:szCs w:val="24"/>
        </w:rPr>
        <w:t xml:space="preserve">1092 · Dove cercare, per il 1967.</w:t>
      </w:r>
      <w:r>
        <w:rPr>
          <w:rFonts w:ascii="Barlow Semi Condensed" w:cs="Barlow Semi Condensed" w:eastAsia="Barlow Semi Condensed" w:hAnsi="Barlow Semi Condensed"/>
          <w:sz w:val="24"/>
          <w:szCs w:val="24"/>
        </w:rPr>
        <w:t xml:space="preserve"> L'indicazione che segue non è un'attribuzione ma un instradamento: le decisioni statunitensi dell'ottobre 1967 appartengono a un'altra amministrazione e ad altri uffici, e le loro carte stanno in Foreign Relations of the United States 1964-1968 e nei fondi presidenziali di Austin. Chi voglia il versante americano della morte del Che deve entrare da quella porta, non da questa.</w:t>
      </w:r>
    </w:p>
    <w:p>
      <w:pPr>
        <w:spacing w:after="120" w:line="276"/>
        <w:jc w:val="both"/>
      </w:pPr>
      <w:r>
        <w:rPr>
          <w:rFonts w:ascii="Barlow Semi Condensed" w:cs="Barlow Semi Condensed" w:eastAsia="Barlow Semi Condensed" w:hAnsi="Barlow Semi Condensed"/>
          <w:b/>
          <w:bCs/>
          <w:sz w:val="24"/>
          <w:szCs w:val="24"/>
        </w:rPr>
        <w:t xml:space="preserve">1093 · Un piano uno verso altro apparato.</w:t>
      </w:r>
      <w:r>
        <w:rPr>
          <w:rFonts w:ascii="Barlow Semi Condensed" w:cs="Barlow Semi Condensed" w:eastAsia="Barlow Semi Condensed" w:hAnsi="Barlow Semi Condensed"/>
          <w:sz w:val="24"/>
          <w:szCs w:val="24"/>
        </w:rPr>
        <w:t xml:space="preserve"> La presenza dell'agente Félix Rodríguez a La Higuera è documentata dagli archivi statunitensi declassificati nel 1997, e il capitolo boliviano del corpus la registra con l'orologio trattenuto per sua stessa testimonianza. È un rapporto diretto documentato, e appartiene per intero a una catena che non tocca il nome qui triangolato. Un piano uno accertato verso altri non presta nulla a un piano uno mancante.</w:t>
      </w:r>
    </w:p>
    <w:p>
      <w:pPr>
        <w:spacing w:after="120" w:line="276"/>
        <w:jc w:val="both"/>
      </w:pPr>
      <w:r>
        <w:rPr>
          <w:rFonts w:ascii="Barlow Semi Condensed" w:cs="Barlow Semi Condensed" w:eastAsia="Barlow Semi Condensed" w:hAnsi="Barlow Semi Condensed"/>
          <w:b/>
          <w:bCs/>
          <w:sz w:val="24"/>
          <w:szCs w:val="24"/>
        </w:rPr>
        <w:t xml:space="preserve">1094 · La simmetria delle ombre è analogia.</w:t>
      </w:r>
      <w:r>
        <w:rPr>
          <w:rFonts w:ascii="Barlow Semi Condensed" w:cs="Barlow Semi Condensed" w:eastAsia="Barlow Semi Condensed" w:hAnsi="Barlow Semi Condensed"/>
          <w:sz w:val="24"/>
          <w:szCs w:val="24"/>
        </w:rPr>
        <w:t xml:space="preserve"> La Parte quinta accosta l'agente della CIA a La Higuera e l'avvertimento attribuito a Kissinger come «ombre statunitensi» sulle due morti, e ha la cautela di chiamarle convergenza. Il blocco 944 dell'opera privata ne fissa il nome tecnico: analogia, non omologia, perché nessun documento attesta discendenza comune. La cautela del saggio è corretta; ciò che circola dopo di esso quasi mai lo è.</w:t>
      </w:r>
    </w:p>
    <w:p>
      <w:pPr>
        <w:spacing w:after="120" w:line="276"/>
        <w:jc w:val="both"/>
      </w:pPr>
      <w:r>
        <w:rPr>
          <w:rFonts w:ascii="Barlow Semi Condensed" w:cs="Barlow Semi Condensed" w:eastAsia="Barlow Semi Condensed" w:hAnsi="Barlow Semi Condensed"/>
          <w:b/>
          <w:bCs/>
          <w:sz w:val="24"/>
          <w:szCs w:val="24"/>
        </w:rPr>
        <w:t xml:space="preserve">1095 · Una cornice non è un antenato.</w:t>
      </w:r>
      <w:r>
        <w:rPr>
          <w:rFonts w:ascii="Barlow Semi Condensed" w:cs="Barlow Semi Condensed" w:eastAsia="Barlow Semi Condensed" w:hAnsi="Barlow Semi Condensed"/>
          <w:sz w:val="24"/>
          <w:szCs w:val="24"/>
        </w:rPr>
        <w:t xml:space="preserve"> Dal fatto che due vicende condividano la stessa guerra fredda non discende che condividano un'origine. È la regola centrale dell'opera e taglia qui con particolare nettezza, perché il saggio la enuncia da sé nella Parte quinta e la vede poi rovesciata da ogni ripresa divulgativa. Il test resta uno solo: un documento di provenienza che nomini la controparte. Per la Bolivia del 1967 non esiste.</w:t>
      </w:r>
    </w:p>
    <w:p>
      <w:pPr>
        <w:spacing w:after="120" w:line="276"/>
        <w:jc w:val="both"/>
      </w:pPr>
      <w:r>
        <w:rPr>
          <w:rFonts w:ascii="Barlow Semi Condensed" w:cs="Barlow Semi Condensed" w:eastAsia="Barlow Semi Condensed" w:hAnsi="Barlow Semi Condensed"/>
          <w:b/>
          <w:bCs/>
          <w:sz w:val="24"/>
          <w:szCs w:val="24"/>
        </w:rPr>
        <w:t xml:space="preserve">1096 · Lo Stato Zero boliviano.</w:t>
      </w:r>
      <w:r>
        <w:rPr>
          <w:rFonts w:ascii="Barlow Semi Condensed" w:cs="Barlow Semi Condensed" w:eastAsia="Barlow Semi Condensed" w:hAnsi="Barlow Semi Condensed"/>
          <w:sz w:val="24"/>
          <w:szCs w:val="24"/>
        </w:rPr>
        <w:t xml:space="preserve"> Cercato e non trovato: alcun documento, nel corpus e nelle sue fonti, che nomini insieme Henry Kissinger e la campagna boliviana del 1966-1967. Le sedi che lo chiuderebbero sono tre e si nominano: l'Electronic Briefing Book del National Security Archive del 1997, la banca CREST dell'Agenzia nella sua sala di lettura elettronica, e il record group 59 dei Central Foreign Policy Files per il 1967.</w:t>
      </w:r>
    </w:p>
    <w:p>
      <w:pPr>
        <w:spacing w:after="120" w:line="276"/>
        <w:jc w:val="both"/>
      </w:pPr>
      <w:r>
        <w:rPr>
          <w:rFonts w:ascii="Barlow Semi Condensed" w:cs="Barlow Semi Condensed" w:eastAsia="Barlow Semi Condensed" w:hAnsi="Barlow Semi Condensed"/>
          <w:b/>
          <w:bCs/>
          <w:sz w:val="24"/>
          <w:szCs w:val="24"/>
        </w:rPr>
        <w:t xml:space="preserve">1097 · Il 1967 privato, come quesito.</w:t>
      </w:r>
      <w:r>
        <w:rPr>
          <w:rFonts w:ascii="Barlow Semi Condensed" w:cs="Barlow Semi Condensed" w:eastAsia="Barlow Semi Condensed" w:hAnsi="Barlow Semi Condensed"/>
          <w:sz w:val="24"/>
          <w:szCs w:val="24"/>
        </w:rPr>
        <w:t xml:space="preserve"> Che cosa facesse in quell'anno l'uomo poi divenuto Assistente per la sicurezza nazionale è materia di verifica e non di assunzione: la letteratura gli attribuisce un ruolo di intermediario in contatti riservati sul Vietnam nell'estate 1967. Il quesito da portare in archivio è se e dove quei contatti siano editi. Non produce alcun rapporto col teatro boliviano, e si registra per completezza del perimetro.</w:t>
      </w:r>
    </w:p>
    <w:p>
      <w:pPr>
        <w:spacing w:after="120" w:line="276"/>
        <w:jc w:val="both"/>
      </w:pPr>
      <w:r>
        <w:rPr>
          <w:rFonts w:ascii="Barlow Semi Condensed" w:cs="Barlow Semi Condensed" w:eastAsia="Barlow Semi Condensed" w:hAnsi="Barlow Semi Condensed"/>
          <w:b/>
          <w:bCs/>
          <w:sz w:val="24"/>
          <w:szCs w:val="24"/>
        </w:rPr>
        <w:t xml:space="preserve">1098 · Il decennale e la carica cessata.</w:t>
      </w:r>
      <w:r>
        <w:rPr>
          <w:rFonts w:ascii="Barlow Semi Condensed" w:cs="Barlow Semi Condensed" w:eastAsia="Barlow Semi Condensed" w:hAnsi="Barlow Semi Condensed"/>
          <w:sz w:val="24"/>
          <w:szCs w:val="24"/>
        </w:rPr>
        <w:t xml:space="preserve"> Il nodo M-9 colloca il decennale della morte di Guevara nell'ottobre 1977, dentro l'Italia del movimento e pochi mesi prima di via Fani. A quella data Kissinger era fuori da ogni incarico dal 20 gennaio 1977. Il rilievo non serve a discolpare nessuno: serve a impedire che una contemporaneità evocata funzioni come nesso, perché chi non è in carica non dispone di apparati.</w:t>
      </w:r>
    </w:p>
    <w:p>
      <w:pPr>
        <w:spacing w:after="120" w:line="276"/>
        <w:jc w:val="both"/>
      </w:pPr>
      <w:r>
        <w:rPr>
          <w:rFonts w:ascii="Barlow Semi Condensed" w:cs="Barlow Semi Condensed" w:eastAsia="Barlow Semi Condensed" w:hAnsi="Barlow Semi Condensed"/>
          <w:b/>
          <w:bCs/>
          <w:sz w:val="24"/>
          <w:szCs w:val="24"/>
        </w:rPr>
        <w:t xml:space="preserve">1099 · Il reperto che ribalterebbe la serie.</w:t>
      </w:r>
      <w:r>
        <w:rPr>
          <w:rFonts w:ascii="Barlow Semi Condensed" w:cs="Barlow Semi Condensed" w:eastAsia="Barlow Semi Condensed" w:hAnsi="Barlow Semi Condensed"/>
          <w:sz w:val="24"/>
          <w:szCs w:val="24"/>
        </w:rPr>
        <w:t xml:space="preserve"> Falsificherebbe l'assenza qui verbalizzata un solo reperto: un documento coevo, con segnatura e provenienza accertata, in cui il nome compaia insieme alla campagna dell'Ejército de Liberación Nacional o alla decisione presa a La Paz. Sarebbe piano uno e rovescerebbe la serie. Fino ad allora l'assenza è un'acquisizione e non una reticenza, e va scritta con la forza di un accertamento positivo.</w:t>
      </w:r>
    </w:p>
    <w:p>
      <w:pPr>
        <w:spacing w:after="120" w:line="276"/>
        <w:jc w:val="both"/>
      </w:pPr>
      <w:r>
        <w:rPr>
          <w:rFonts w:ascii="Barlow Semi Condensed" w:cs="Barlow Semi Condensed" w:eastAsia="Barlow Semi Condensed" w:hAnsi="Barlow Semi Condensed"/>
          <w:b/>
          <w:bCs/>
          <w:sz w:val="24"/>
          <w:szCs w:val="24"/>
        </w:rPr>
        <w:t xml:space="preserve">1100 · Il diario e le carte americane.</w:t>
      </w:r>
      <w:r>
        <w:rPr>
          <w:rFonts w:ascii="Barlow Semi Condensed" w:cs="Barlow Semi Condensed" w:eastAsia="Barlow Semi Condensed" w:hAnsi="Barlow Semi Condensed"/>
          <w:sz w:val="24"/>
          <w:szCs w:val="24"/>
        </w:rPr>
        <w:t xml:space="preserve"> Trattato al blocco 783 come testo di protagonista, il diario boliviano ebbe una trasmissione appartenuta interamente ad altri: sequestrato, poi pubblicato nel 1968 con prefazione politica. Ne discende un bersaglio pertinente a questo territorio: verificare se nei fondi statunitensi esistano valutazioni coeve sull'edizione italiana, in quali serie, e con quale grado. Se non esistono, si verbalizzano le serie interrogate.</w:t>
      </w:r>
    </w:p>
    <w:p>
      <w:pPr>
        <w:spacing w:after="120" w:line="276"/>
        <w:jc w:val="both"/>
      </w:pPr>
      <w:r>
        <w:rPr>
          <w:rFonts w:ascii="Barlow Semi Condensed" w:cs="Barlow Semi Condensed" w:eastAsia="Barlow Semi Condensed" w:hAnsi="Barlow Semi Condensed"/>
          <w:b/>
          <w:bCs/>
          <w:sz w:val="24"/>
          <w:szCs w:val="24"/>
        </w:rPr>
        <w:t xml:space="preserve">1101 · L'iconografia non produce nessi.</w:t>
      </w:r>
      <w:r>
        <w:rPr>
          <w:rFonts w:ascii="Barlow Semi Condensed" w:cs="Barlow Semi Condensed" w:eastAsia="Barlow Semi Condensed" w:hAnsi="Barlow Semi Condensed"/>
          <w:sz w:val="24"/>
          <w:szCs w:val="24"/>
        </w:rPr>
        <w:t xml:space="preserve"> La fotografia di Freddy Alborta ai lavatoi di Vallegrande, il 10 ottobre 1967, sta al nodo M-7 accanto alle immagini di via Caetani. Il parallelo riguarda la memoria visiva di due casi e non genera alcun quesito verificabile sul nome qui triangolato. Si registra per chiudere il perimetro: dove il territorio non offre appigli documentali, il blocco dichiara l'assenza di bersaglio anziché costruirne uno artificiale.</w:t>
      </w:r>
    </w:p>
    <w:p>
      <w:pPr>
        <w:spacing w:after="120" w:line="276"/>
        <w:jc w:val="both"/>
      </w:pPr>
      <w:r>
        <w:rPr>
          <w:rFonts w:ascii="Barlow Semi Condensed" w:cs="Barlow Semi Condensed" w:eastAsia="Barlow Semi Condensed" w:hAnsi="Barlow Semi Condensed"/>
          <w:b/>
          <w:bCs/>
          <w:sz w:val="24"/>
          <w:szCs w:val="24"/>
        </w:rPr>
        <w:t xml:space="preserve">1102 · Il 1997 e le riaperture.</w:t>
      </w:r>
      <w:r>
        <w:rPr>
          <w:rFonts w:ascii="Barlow Semi Condensed" w:cs="Barlow Semi Condensed" w:eastAsia="Barlow Semi Condensed" w:hAnsi="Barlow Semi Condensed"/>
          <w:sz w:val="24"/>
          <w:szCs w:val="24"/>
        </w:rPr>
        <w:t xml:space="preserve"> Il ritrovamento dei resti a Vallegrande e la declassificazione statunitense sul caso Guevara cadono entrambi nel 1997, quando il nome triangolato era da vent'anni fuori da ogni carica. Il dato serve a una regola di lettura: la stagione delle aperture d'archivio non coincide con la stagione delle decisioni, e ciò che si legge oggi va sempre ricollocato alla data in cui fu prodotto.</w:t>
      </w:r>
    </w:p>
    <w:p>
      <w:pPr>
        <w:spacing w:after="120" w:line="276"/>
        <w:jc w:val="both"/>
      </w:pPr>
      <w:r>
        <w:rPr>
          <w:rFonts w:ascii="Barlow Semi Condensed" w:cs="Barlow Semi Condensed" w:eastAsia="Barlow Semi Condensed" w:hAnsi="Barlow Semi Condensed"/>
          <w:b/>
          <w:bCs/>
          <w:sz w:val="24"/>
          <w:szCs w:val="24"/>
        </w:rPr>
        <w:t xml:space="preserve">1103 · Korda 1960, e la distanza.</w:t>
      </w:r>
      <w:r>
        <w:rPr>
          <w:rFonts w:ascii="Barlow Semi Condensed" w:cs="Barlow Semi Condensed" w:eastAsia="Barlow Semi Condensed" w:hAnsi="Barlow Semi Condensed"/>
          <w:sz w:val="24"/>
          <w:szCs w:val="24"/>
        </w:rPr>
        <w:t xml:space="preserve"> Lo scatto del 5 marzo 1960, alle esequie delle vittime del piroscafo La Coubre, precede di nove anni il primo incarico governativo del nome triangolato. Il capitolo sul vettore lo documenta con precisione, insieme all'oblio in cui la fotografia rimase per anni. Nessuna triangolazione è possibile, e va detto: elencare la data serve a impedire che un lettore la immagini contemporanea a qualcosa.</w:t>
      </w:r>
    </w:p>
    <w:p>
      <w:pPr>
        <w:spacing w:after="120" w:line="276"/>
        <w:jc w:val="both"/>
      </w:pPr>
      <w:r>
        <w:rPr>
          <w:rFonts w:ascii="Barlow Semi Condensed" w:cs="Barlow Semi Condensed" w:eastAsia="Barlow Semi Condensed" w:hAnsi="Barlow Semi Condensed"/>
          <w:b/>
          <w:bCs/>
          <w:sz w:val="24"/>
          <w:szCs w:val="24"/>
        </w:rPr>
        <w:t xml:space="preserve">1104 · L'arresto boliviano dell'agosto 1967.</w:t>
      </w:r>
      <w:r>
        <w:rPr>
          <w:rFonts w:ascii="Barlow Semi Condensed" w:cs="Barlow Semi Condensed" w:eastAsia="Barlow Semi Condensed" w:hAnsi="Barlow Semi Condensed"/>
          <w:sz w:val="24"/>
          <w:szCs w:val="24"/>
        </w:rPr>
        <w:t xml:space="preserve"> Il capitolo sul vettore accerta che nell'agosto 1967, con Régis Debray sotto processo a Camiri, Giangiacomo Feltrinelli andò in Bolivia, vi fu arrestato e ne fu espulso come indesiderato. È il punto di massima prossimità fisica fra il vettore e la guerriglia. Sul versante statunitense non risulta nulla: le sedi da interrogare sono l'Archivo Nacional de Bolivia a Sucre e il record group 59 per il 1967.</w:t>
      </w:r>
    </w:p>
    <w:p>
      <w:pPr>
        <w:spacing w:after="120" w:line="276"/>
        <w:jc w:val="both"/>
      </w:pPr>
      <w:r>
        <w:rPr>
          <w:rFonts w:ascii="Barlow Semi Condensed" w:cs="Barlow Semi Condensed" w:eastAsia="Barlow Semi Condensed" w:hAnsi="Barlow Semi Condensed"/>
          <w:b/>
          <w:bCs/>
          <w:sz w:val="24"/>
          <w:szCs w:val="24"/>
        </w:rPr>
        <w:t xml:space="preserve">1105 · Una fonte usata e non elencata.</w:t>
      </w:r>
      <w:r>
        <w:rPr>
          <w:rFonts w:ascii="Barlow Semi Condensed" w:cs="Barlow Semi Condensed" w:eastAsia="Barlow Semi Condensed" w:hAnsi="Barlow Semi Condensed"/>
          <w:sz w:val="24"/>
          <w:szCs w:val="24"/>
        </w:rPr>
        <w:t xml:space="preserve"> La nota finale del saggio elenca i tre studi su Guevara e la triangolazione, ma non feltrinelli-il-vettore.md, benché la Parte seconda ne riassuma per intero le acquisizioni: Korda, il Diario, i GAP, Segrate. La lacuna è dell'apparato bibliografico, si constata confrontando la Parte seconda con la nota, e si chiude aggiungendo il rimando. Un'omissione d'elenco non è errore di fatto, ma rende il saggio non rifacibile.</w:t>
      </w:r>
    </w:p>
    <w:p>
      <w:pPr>
        <w:spacing w:after="120" w:line="276"/>
        <w:jc w:val="both"/>
      </w:pPr>
      <w:r>
        <w:rPr>
          <w:rFonts w:ascii="Barlow Semi Condensed" w:cs="Barlow Semi Condensed" w:eastAsia="Barlow Semi Condensed" w:hAnsi="Barlow Semi Condensed"/>
          <w:b/>
          <w:bCs/>
          <w:sz w:val="24"/>
          <w:szCs w:val="24"/>
        </w:rPr>
        <w:t xml:space="preserve">1106 · Il capitolo conclusivo assente dall'elenco.</w:t>
      </w:r>
      <w:r>
        <w:rPr>
          <w:rFonts w:ascii="Barlow Semi Condensed" w:cs="Barlow Semi Condensed" w:eastAsia="Barlow Semi Condensed" w:hAnsi="Barlow Semi Condensed"/>
          <w:sz w:val="24"/>
          <w:szCs w:val="24"/>
        </w:rPr>
        <w:t xml:space="preserve"> Analoga constatazione per guevara-campagna-boliviana-1966-1967.md, che si dichiara capitolo conclusivo del corpus guevariano e si salda esplicitamente a valle con questo saggio: la nota finale non lo cita. Poiché la Parte seconda e la Parte terza ne usano date e snodi, da Ñancahuazú al Vado del Yeso alla Quebrada del Churo, l'assenza va sanata: la tracciabilità è la quarta disciplina dell'opera.</w:t>
      </w:r>
    </w:p>
    <w:p>
      <w:pPr>
        <w:spacing w:after="120" w:line="276"/>
        <w:jc w:val="both"/>
      </w:pPr>
      <w:r>
        <w:rPr>
          <w:rFonts w:ascii="Barlow Semi Condensed" w:cs="Barlow Semi Condensed" w:eastAsia="Barlow Semi Condensed" w:hAnsi="Barlow Semi Condensed"/>
          <w:b/>
          <w:bCs/>
          <w:sz w:val="24"/>
          <w:szCs w:val="24"/>
        </w:rPr>
        <w:t xml:space="preserve">1107 · Aprile-maggio 1970, e il silenzio.</w:t>
      </w:r>
      <w:r>
        <w:rPr>
          <w:rFonts w:ascii="Barlow Semi Condensed" w:cs="Barlow Semi Condensed" w:eastAsia="Barlow Semi Condensed" w:hAnsi="Barlow Semi Condensed"/>
          <w:sz w:val="24"/>
          <w:szCs w:val="24"/>
        </w:rPr>
        <w:t xml:space="preserve"> La fondazione dei Gruppi d'Azione Partigiana è collocata, dalla nota di revisione del capitolo sul vettore, fra aprile e maggio 1970, e la sigla riprende deliberatamente quella della Resistenza. In quei mesi il nome triangolato era Assistente per la sicurezza nazionale. Il corpus non registra alcun documento che colleghi le due cose, e la sede dove cercarlo è il fondo del Consiglio di sicurezza alla Nixon Library.</w:t>
      </w:r>
    </w:p>
    <w:p>
      <w:pPr>
        <w:spacing w:after="120" w:line="276"/>
        <w:jc w:val="both"/>
      </w:pPr>
      <w:r>
        <w:rPr>
          <w:rFonts w:ascii="Barlow Semi Condensed" w:cs="Barlow Semi Condensed" w:eastAsia="Barlow Semi Condensed" w:hAnsi="Barlow Semi Condensed"/>
          <w:b/>
          <w:bCs/>
          <w:sz w:val="24"/>
          <w:szCs w:val="24"/>
        </w:rPr>
        <w:t xml:space="preserve">1108 · Segrate, e la sede della verifica.</w:t>
      </w:r>
      <w:r>
        <w:rPr>
          <w:rFonts w:ascii="Barlow Semi Condensed" w:cs="Barlow Semi Condensed" w:eastAsia="Barlow Semi Condensed" w:hAnsi="Barlow Semi Condensed"/>
          <w:sz w:val="24"/>
          <w:szCs w:val="24"/>
        </w:rPr>
        <w:t xml:space="preserve"> Feltrinelli morì il 14 marzo 1972 ai piedi di un traliccio presso la Cascina Nuova, e fu ritrovato il 15. La ricostruzione accolta in giudizio è quella del sabotaggio finito male. Per il versante qui indagato la verifica è meccanica e ha una sede precisa: le trascrizioni telefoniche del periodo conservate alla Nixon Library. Un esito negativo si verbalizza con le date interrogate.</w:t>
      </w:r>
    </w:p>
    <w:p>
      <w:pPr>
        <w:spacing w:after="120" w:line="276"/>
        <w:jc w:val="both"/>
      </w:pPr>
      <w:r>
        <w:rPr>
          <w:rFonts w:ascii="Barlow Semi Condensed" w:cs="Barlow Semi Condensed" w:eastAsia="Barlow Semi Condensed" w:hAnsi="Barlow Semi Condensed"/>
          <w:b/>
          <w:bCs/>
          <w:sz w:val="24"/>
          <w:szCs w:val="24"/>
        </w:rPr>
        <w:t xml:space="preserve">1109 · Un canale non impartisce ordini.</w:t>
      </w:r>
      <w:r>
        <w:rPr>
          <w:rFonts w:ascii="Barlow Semi Condensed" w:cs="Barlow Semi Condensed" w:eastAsia="Barlow Semi Condensed" w:hAnsi="Barlow Semi Condensed"/>
          <w:sz w:val="24"/>
          <w:szCs w:val="24"/>
        </w:rPr>
        <w:t xml:space="preserve"> I blocchi 435 e 520 dell'opera privata fissano che un vettore trasporta un'immagine, un libro, un metodo, cioè informazione e non comando, e che nel trasmettere altera ciò che trasmette. Applicata al saggio, la formula protegge insieme l'editore e chiunque altro: chi fabbrica un simbolo non governa gli usi che altri ne faranno, e attribuire all'emittente ciò che il canale ha prodotto resta un errore.</w:t>
      </w:r>
    </w:p>
    <w:p>
      <w:pPr>
        <w:spacing w:after="120" w:line="276"/>
        <w:jc w:val="both"/>
      </w:pPr>
      <w:r>
        <w:rPr>
          <w:rFonts w:ascii="Barlow Semi Condensed" w:cs="Barlow Semi Condensed" w:eastAsia="Barlow Semi Condensed" w:hAnsi="Barlow Semi Condensed"/>
          <w:b/>
          <w:bCs/>
          <w:sz w:val="24"/>
          <w:szCs w:val="24"/>
        </w:rPr>
        <w:t xml:space="preserve">1110 · Il bersaglio già scritto altrove.</w:t>
      </w:r>
      <w:r>
        <w:rPr>
          <w:rFonts w:ascii="Barlow Semi Condensed" w:cs="Barlow Semi Condensed" w:eastAsia="Barlow Semi Condensed" w:hAnsi="Barlow Semi Condensed"/>
          <w:sz w:val="24"/>
          <w:szCs w:val="24"/>
        </w:rPr>
        <w:t xml:space="preserve"> Il quesito è già formulato al blocco 709 e va ripetuto qui perché appartiene a questo territorio: verificare se nei fondi statunitensi consultabili esistano valutazioni coeve su Giangiacomo Feltrinelli, e in quali serie stiano. Se esistono, entrano col grado della loro natura, perché una valutazione di servizio è un'ipotesi e non un accertamento. Se non esistono, si verbalizza il vuoto con le serie interrogate.</w:t>
      </w:r>
    </w:p>
    <w:p>
      <w:pPr>
        <w:spacing w:after="120" w:line="276"/>
        <w:jc w:val="both"/>
      </w:pPr>
      <w:r>
        <w:rPr>
          <w:rFonts w:ascii="Barlow Semi Condensed" w:cs="Barlow Semi Condensed" w:eastAsia="Barlow Semi Condensed" w:hAnsi="Barlow Semi Condensed"/>
          <w:b/>
          <w:bCs/>
          <w:sz w:val="24"/>
          <w:szCs w:val="24"/>
        </w:rPr>
        <w:t xml:space="preserve">1111 · La congettura di Segrate resta tale.</w:t>
      </w:r>
      <w:r>
        <w:rPr>
          <w:rFonts w:ascii="Barlow Semi Condensed" w:cs="Barlow Semi Condensed" w:eastAsia="Barlow Semi Condensed" w:hAnsi="Barlow Semi Condensed"/>
          <w:sz w:val="24"/>
          <w:szCs w:val="24"/>
        </w:rPr>
        <w:t xml:space="preserve"> La tesi di una regia occulta dietro l'esplosione resta, nel capitolo sul vettore, in categoria di congettura: non promossa e non liquidata. Questa serie non la muove di un grado e vi aggiunge una cosa sola: nessuna delle versioni circolanti nomina il soggetto qui triangolato, e nessuna persona può essere indicata come responsabile oltre il giudicato definitivo. Il sospetto diffuso non è una fonte.</w:t>
      </w:r>
    </w:p>
    <w:p>
      <w:pPr>
        <w:spacing w:after="120" w:line="276"/>
        <w:jc w:val="both"/>
      </w:pPr>
      <w:r>
        <w:rPr>
          <w:rFonts w:ascii="Barlow Semi Condensed" w:cs="Barlow Semi Condensed" w:eastAsia="Barlow Semi Condensed" w:hAnsi="Barlow Semi Condensed"/>
          <w:b/>
          <w:bCs/>
          <w:sz w:val="24"/>
          <w:szCs w:val="24"/>
        </w:rPr>
        <w:t xml:space="preserve">1112 · Falsificare l'assenza sul vettore.</w:t>
      </w:r>
      <w:r>
        <w:rPr>
          <w:rFonts w:ascii="Barlow Semi Condensed" w:cs="Barlow Semi Condensed" w:eastAsia="Barlow Semi Condensed" w:hAnsi="Barlow Semi Condensed"/>
          <w:sz w:val="24"/>
          <w:szCs w:val="24"/>
        </w:rPr>
        <w:t xml:space="preserve"> Un documento di provenienza statunitense, datato fra il 1967 e il 1972, che nomini l'editore e provenga da un ufficio riconducibile al nome triangolato, falsificherebbe l'assenza registrata su questo versante e varrebbe come piano uno. La ricerca va condotta per serie e non per parola isolata, perché un cognome frequente in campo editoriale produce falsi positivi da scartare prima di ogni conteggio.</w:t>
      </w:r>
    </w:p>
    <w:p>
      <w:pPr>
        <w:spacing w:after="120" w:line="276"/>
        <w:jc w:val="both"/>
      </w:pPr>
      <w:r>
        <w:rPr>
          <w:rFonts w:ascii="Barlow Semi Condensed" w:cs="Barlow Semi Condensed" w:eastAsia="Barlow Semi Condensed" w:hAnsi="Barlow Semi Condensed"/>
          <w:b/>
          <w:bCs/>
          <w:sz w:val="24"/>
          <w:szCs w:val="24"/>
        </w:rPr>
        <w:t xml:space="preserve">1113 · Pecorile, agosto 1970.</w:t>
      </w:r>
      <w:r>
        <w:rPr>
          <w:rFonts w:ascii="Barlow Semi Condensed" w:cs="Barlow Semi Condensed" w:eastAsia="Barlow Semi Condensed" w:hAnsi="Barlow Semi Condensed"/>
          <w:sz w:val="24"/>
          <w:szCs w:val="24"/>
        </w:rPr>
        <w:t xml:space="preserve"> Il convegno fondativo delle Brigate Rosse cade nell'agosto 1970, e la matrice lo registra al nodo M-3 insieme al modello individuale dichiarato. Fra quel convegno e il nome qui triangolato il corpus non offre alcun documento, né diretto né mediato. È uno Stato Zero pulito: la data è certa, il perimetro è delimitato, la ricerca è stata condotta e si è chiusa in negativo.</w:t>
      </w:r>
    </w:p>
    <w:p>
      <w:pPr>
        <w:spacing w:after="120" w:line="276"/>
        <w:jc w:val="both"/>
      </w:pPr>
      <w:r>
        <w:rPr>
          <w:rFonts w:ascii="Barlow Semi Condensed" w:cs="Barlow Semi Condensed" w:eastAsia="Barlow Semi Condensed" w:hAnsi="Barlow Semi Condensed"/>
          <w:b/>
          <w:bCs/>
          <w:sz w:val="24"/>
          <w:szCs w:val="24"/>
        </w:rPr>
        <w:t xml:space="preserve">1114 · Il modello dichiarato non trasmette colpa.</w:t>
      </w:r>
      <w:r>
        <w:rPr>
          <w:rFonts w:ascii="Barlow Semi Condensed" w:cs="Barlow Semi Condensed" w:eastAsia="Barlow Semi Condensed" w:hAnsi="Barlow Semi Condensed"/>
          <w:sz w:val="24"/>
          <w:szCs w:val="24"/>
        </w:rPr>
        <w:t xml:space="preserve"> La simmetria che protegge tutti è fissata ai blocchi 160, 161 e 951: una discendenza dottrinale accertata non rende Guevara responsabile di via Fani, e nessuna discendenza, accertata o inferita, rende alcuno responsabile di ciò che altri fecero invocandolo. Il saggio lo dice a suo modo nella Parte terza, distinguendo la bandiera dal gesto. Vale in entrambe le direzioni, o non vale affatto.</w:t>
      </w:r>
    </w:p>
    <w:p>
      <w:pPr>
        <w:spacing w:after="120" w:line="276"/>
        <w:jc w:val="both"/>
      </w:pPr>
      <w:r>
        <w:rPr>
          <w:rFonts w:ascii="Barlow Semi Condensed" w:cs="Barlow Semi Condensed" w:eastAsia="Barlow Semi Condensed" w:hAnsi="Barlow Semi Condensed"/>
          <w:b/>
          <w:bCs/>
          <w:sz w:val="24"/>
          <w:szCs w:val="24"/>
        </w:rPr>
        <w:t xml:space="preserve">1115 · Citare non è delegare.</w:t>
      </w:r>
      <w:r>
        <w:rPr>
          <w:rFonts w:ascii="Barlow Semi Condensed" w:cs="Barlow Semi Condensed" w:eastAsia="Barlow Semi Condensed" w:hAnsi="Barlow Semi Condensed"/>
          <w:sz w:val="24"/>
          <w:szCs w:val="24"/>
        </w:rPr>
        <w:t xml:space="preserve"> Nessuno riceve un mandato dall'essere citato, e nessuno ne concede uno citando: il blocco 957 lo formula per le due estremità di questa triangolazione. Le Brigate Rosse citarono Guevara senza che Guevara avesse delegato alcunché; la pubblicistica cita Kissinger senza che una citazione istituisca un rapporto. Il quesito resta invariabile: esiste un documento in cui il citato risponde, autorizza o dispone?</w:t>
      </w:r>
    </w:p>
    <w:p>
      <w:pPr>
        <w:spacing w:after="120" w:line="276"/>
        <w:jc w:val="both"/>
      </w:pPr>
      <w:r>
        <w:rPr>
          <w:rFonts w:ascii="Barlow Semi Condensed" w:cs="Barlow Semi Condensed" w:eastAsia="Barlow Semi Condensed" w:hAnsi="Barlow Semi Condensed"/>
          <w:b/>
          <w:bCs/>
          <w:sz w:val="24"/>
          <w:szCs w:val="24"/>
        </w:rPr>
        <w:t xml:space="preserve">1116 · Le due date del 1978.</w:t>
      </w:r>
      <w:r>
        <w:rPr>
          <w:rFonts w:ascii="Barlow Semi Condensed" w:cs="Barlow Semi Condensed" w:eastAsia="Barlow Semi Condensed" w:hAnsi="Barlow Semi Condensed"/>
          <w:sz w:val="24"/>
          <w:szCs w:val="24"/>
        </w:rPr>
        <w:t xml:space="preserve"> Via Fani è del 16 marzo 1978, via Caetani del 9 maggio 1978. A entrambe le date il nome triangolato era fuori da ogni incarico governativo da oltre un anno, essendo cessato dalla Segreteria di Stato il 20 gennaio 1977. Il dato è dirimente per ogni lettura del saggio che immagini una disponibilità di apparati, e va anteposto a qualunque discussione di moventi.</w:t>
      </w:r>
    </w:p>
    <w:p>
      <w:pPr>
        <w:spacing w:after="120" w:line="276"/>
        <w:jc w:val="both"/>
      </w:pPr>
      <w:r>
        <w:rPr>
          <w:rFonts w:ascii="Barlow Semi Condensed" w:cs="Barlow Semi Condensed" w:eastAsia="Barlow Semi Condensed" w:hAnsi="Barlow Semi Condensed"/>
          <w:b/>
          <w:bCs/>
          <w:sz w:val="24"/>
          <w:szCs w:val="24"/>
        </w:rPr>
        <w:t xml:space="preserve">1117 · Il consulente non raddoppia l'ombra.</w:t>
      </w:r>
      <w:r>
        <w:rPr>
          <w:rFonts w:ascii="Barlow Semi Condensed" w:cs="Barlow Semi Condensed" w:eastAsia="Barlow Semi Condensed" w:hAnsi="Barlow Semi Condensed"/>
          <w:sz w:val="24"/>
          <w:szCs w:val="24"/>
        </w:rPr>
        <w:t xml:space="preserve"> Il repertorio del caso tiene separati due oggetti che la Parte quinta accosta in una sola frase: l'avvertimento attribuito e la presenza del consulente del Dipartimento di Stato nel comitato di crisi. Quella presenza vale B; le dichiarazioni successive sono fonte di parte e valgono C quanto alla portata. Sommarle produce un'unica ombra dove il corpus registra due grandezze distinte, con gradi e sedi diverse.</w:t>
      </w:r>
    </w:p>
    <w:p>
      <w:pPr>
        <w:spacing w:after="120" w:line="276"/>
        <w:jc w:val="both"/>
      </w:pPr>
      <w:r>
        <w:rPr>
          <w:rFonts w:ascii="Barlow Semi Condensed" w:cs="Barlow Semi Condensed" w:eastAsia="Barlow Semi Condensed" w:hAnsi="Barlow Semi Condensed"/>
          <w:b/>
          <w:bCs/>
          <w:sz w:val="24"/>
          <w:szCs w:val="24"/>
        </w:rPr>
        <w:t xml:space="preserve">1118 · Due deboli non fanno un forte.</w:t>
      </w:r>
      <w:r>
        <w:rPr>
          <w:rFonts w:ascii="Barlow Semi Condensed" w:cs="Barlow Semi Condensed" w:eastAsia="Barlow Semi Condensed" w:hAnsi="Barlow Semi Condensed"/>
          <w:sz w:val="24"/>
          <w:szCs w:val="24"/>
        </w:rPr>
        <w:t xml:space="preserve"> La regola vale in ogni sede e qui in modo speciale, perché il territorio giustappone elementi disomogenei dentro una sola frase. Una testimonianza contestata e una dichiarazione di parte, entrambe di grado basso, non si rafforzano per accostamento: restano due grandezze deboli messe vicine. L'addizione dei gradi non esiste in nessuna disciplina della prova, e la sua apparenza è un effetto tipografico.</w:t>
      </w:r>
    </w:p>
    <w:p>
      <w:pPr>
        <w:spacing w:after="120" w:line="276"/>
        <w:jc w:val="both"/>
      </w:pPr>
      <w:r>
        <w:rPr>
          <w:rFonts w:ascii="Barlow Semi Condensed" w:cs="Barlow Semi Condensed" w:eastAsia="Barlow Semi Condensed" w:hAnsi="Barlow Semi Condensed"/>
          <w:b/>
          <w:bCs/>
          <w:sz w:val="24"/>
          <w:szCs w:val="24"/>
        </w:rPr>
        <w:t xml:space="preserve">1119 · L'autonomia accertata come vincolo.</w:t>
      </w:r>
      <w:r>
        <w:rPr>
          <w:rFonts w:ascii="Barlow Semi Condensed" w:cs="Barlow Semi Condensed" w:eastAsia="Barlow Semi Condensed" w:hAnsi="Barlow Semi Condensed"/>
          <w:sz w:val="24"/>
          <w:szCs w:val="24"/>
        </w:rPr>
        <w:t xml:space="preserve"> L'apparato dei gradi registra al capitolo diciottesimo l'autonomia delle Brigate Rosse come organizzazione armata al grado A, e indica ciò che la smentirebbe: un documento coevo, esterno, autenticato, che provi l'eterodirezione, cercato e non trovato. È il vincolo dentro cui questa serie lavora. Ogni lettura del saggio che presupponga una regia esterna deve prima rovesciare quel grado, e con quel documento.</w:t>
      </w:r>
    </w:p>
    <w:p>
      <w:pPr>
        <w:spacing w:after="120" w:line="276"/>
        <w:jc w:val="both"/>
      </w:pPr>
      <w:r>
        <w:rPr>
          <w:rFonts w:ascii="Barlow Semi Condensed" w:cs="Barlow Semi Condensed" w:eastAsia="Barlow Semi Condensed" w:hAnsi="Barlow Semi Condensed"/>
          <w:b/>
          <w:bCs/>
          <w:sz w:val="24"/>
          <w:szCs w:val="24"/>
        </w:rPr>
        <w:t xml:space="preserve">1120 · L'atto che manca al 1978.</w:t>
      </w:r>
      <w:r>
        <w:rPr>
          <w:rFonts w:ascii="Barlow Semi Condensed" w:cs="Barlow Semi Condensed" w:eastAsia="Barlow Semi Condensed" w:hAnsi="Barlow Semi Condensed"/>
          <w:sz w:val="24"/>
          <w:szCs w:val="24"/>
        </w:rPr>
        <w:t xml:space="preserve"> Per il versante italiano il bersaglio si dichiara così: un atto, non una testimonianza e non una memoria, proveniente da un ufficio statunitense e datato fra il 16 marzo e il 9 maggio 1978, che disponga o autorizzi una condotta verso il sequestro. Sarebbe piano uno e cambierebbe il corpus. La Fase sesta lo registra fra gli Stati Zero: cercato e chiuso in negativo.</w:t>
      </w:r>
    </w:p>
    <w:p>
      <w:pPr>
        <w:spacing w:after="120" w:line="276"/>
        <w:jc w:val="both"/>
      </w:pPr>
      <w:r>
        <w:rPr>
          <w:rFonts w:ascii="Barlow Semi Condensed" w:cs="Barlow Semi Condensed" w:eastAsia="Barlow Semi Condensed" w:hAnsi="Barlow Semi Condensed"/>
          <w:b/>
          <w:bCs/>
          <w:sz w:val="24"/>
          <w:szCs w:val="24"/>
        </w:rPr>
        <w:t xml:space="preserve">1121 · La lezione superata della Parte quinta.</w:t>
      </w:r>
      <w:r>
        <w:rPr>
          <w:rFonts w:ascii="Barlow Semi Condensed" w:cs="Barlow Semi Condensed" w:eastAsia="Barlow Semi Condensed" w:hAnsi="Barlow Semi Condensed"/>
          <w:sz w:val="24"/>
          <w:szCs w:val="24"/>
        </w:rPr>
        <w:t xml:space="preserve"> Fra ciò che è «documentato nei singoli fatti» il testo colloca anche l'avvertimento, pur negando la regia unica. Le sette precisazioni successive ne hanno mutato lo statuto: testimonianza contestata, grado B nella sua accezione debole, non accertamento. La correzione non tocca la tesi, che restava prudente sul nesso; tocca la qualifica del singolo fatto, ed è per questo che va apposta e non discussa.</w:t>
      </w:r>
    </w:p>
    <w:p>
      <w:pPr>
        <w:spacing w:after="120" w:line="276"/>
        <w:jc w:val="both"/>
      </w:pPr>
      <w:r>
        <w:rPr>
          <w:rFonts w:ascii="Barlow Semi Condensed" w:cs="Barlow Semi Condensed" w:eastAsia="Barlow Semi Condensed" w:hAnsi="Barlow Semi Condensed"/>
          <w:b/>
          <w:bCs/>
          <w:sz w:val="24"/>
          <w:szCs w:val="24"/>
        </w:rPr>
        <w:t xml:space="preserve">1122 · La smentita che il saggio omette.</w:t>
      </w:r>
      <w:r>
        <w:rPr>
          <w:rFonts w:ascii="Barlow Semi Condensed" w:cs="Barlow Semi Condensed" w:eastAsia="Barlow Semi Condensed" w:hAnsi="Barlow Semi Condensed"/>
          <w:sz w:val="24"/>
          <w:szCs w:val="24"/>
        </w:rPr>
        <w:t xml:space="preserve"> Trattando lo stesso episodio, la Parte terza dell'opera-madre scrive «sempre smentito da Kissinger». Il saggio, che pure lo cita, omette la smentita. È una divergenza interna al branch, si verifica confrontando i due passi, e si riporta invece di essere sanata in silenzio. Riferire una testimonianza senza la contestazione che l'accompagna non è una semplificazione: è la costruzione di un falso con materiali veri.</w:t>
      </w:r>
    </w:p>
    <w:p>
      <w:pPr>
        <w:spacing w:after="120" w:line="276"/>
        <w:jc w:val="both"/>
      </w:pPr>
      <w:r>
        <w:rPr>
          <w:rFonts w:ascii="Barlow Semi Condensed" w:cs="Barlow Semi Condensed" w:eastAsia="Barlow Semi Condensed" w:hAnsi="Barlow Semi Condensed"/>
          <w:b/>
          <w:bCs/>
          <w:sz w:val="24"/>
          <w:szCs w:val="24"/>
        </w:rPr>
        <w:t xml:space="preserve">1123 · Il fascicolo della Corte d'assise.</w:t>
      </w:r>
      <w:r>
        <w:rPr>
          <w:rFonts w:ascii="Barlow Semi Condensed" w:cs="Barlow Semi Condensed" w:eastAsia="Barlow Semi Condensed" w:hAnsi="Barlow Semi Condensed"/>
          <w:sz w:val="24"/>
          <w:szCs w:val="24"/>
        </w:rPr>
        <w:t xml:space="preserve"> Corrado Guerzoni depose davanti alla Corte d'assise di Roma nel novembre 1982, e vi depose de relato, avendo appreso il fatto da Moro e dall'entourage. Il quesito d'archivio è puntuale: acquisire il verbale d'udienza integrale presso l'archivio giudiziario romano, con data e numero di procedimento, e leggerlo al posto delle sintesi. Nessuna resa può presentarlo come racconto di un testimone oculare.</w:t>
      </w:r>
    </w:p>
    <w:p>
      <w:pPr>
        <w:spacing w:after="120" w:line="276"/>
        <w:jc w:val="both"/>
      </w:pPr>
      <w:r>
        <w:rPr>
          <w:rFonts w:ascii="Barlow Semi Condensed" w:cs="Barlow Semi Condensed" w:eastAsia="Barlow Semi Condensed" w:hAnsi="Barlow Semi Condensed"/>
          <w:b/>
          <w:bCs/>
          <w:sz w:val="24"/>
          <w:szCs w:val="24"/>
        </w:rPr>
        <w:t xml:space="preserve">1124 · Il nome estratto in udienza.</w:t>
      </w:r>
      <w:r>
        <w:rPr>
          <w:rFonts w:ascii="Barlow Semi Condensed" w:cs="Barlow Semi Condensed" w:eastAsia="Barlow Semi Condensed" w:hAnsi="Barlow Semi Condensed"/>
          <w:sz w:val="24"/>
          <w:szCs w:val="24"/>
        </w:rPr>
        <w:t xml:space="preserve"> La vedova parlò di un'alta personalità senza nominarla; fu il presidente della corte, richiamando l'altro teste, a ottenere l'indicazione. L'attribuzione del nome è dunque essa stessa indiretta e va riferita con la propria genesi processuale. Un nome ottenuto per richiamo a un'altra deposizione non pesa quanto un nome pronunciato spontaneamente da chi l'avesse udito, e la differenza si scrive ogni volta.</w:t>
      </w:r>
    </w:p>
    <w:p>
      <w:pPr>
        <w:spacing w:after="120" w:line="276"/>
        <w:jc w:val="both"/>
      </w:pPr>
      <w:r>
        <w:rPr>
          <w:rFonts w:ascii="Barlow Semi Condensed" w:cs="Barlow Semi Condensed" w:eastAsia="Barlow Semi Condensed" w:hAnsi="Barlow Semi Condensed"/>
          <w:b/>
          <w:bCs/>
          <w:sz w:val="24"/>
          <w:szCs w:val="24"/>
        </w:rPr>
        <w:t xml:space="preserve">1125 · Tre date per un episodio (serie XV).</w:t>
      </w:r>
      <w:r>
        <w:rPr>
          <w:rFonts w:ascii="Barlow Semi Condensed" w:cs="Barlow Semi Condensed" w:eastAsia="Barlow Semi Condensed" w:hAnsi="Barlow Semi Condensed"/>
          <w:sz w:val="24"/>
          <w:szCs w:val="24"/>
        </w:rPr>
        <w:t xml:space="preserve"> Le fonti collocano l'episodio nel settembre 1974, nel 1976 e, secondo un'agenzia statunitense dell'aprile 1983, in un alterco all'ambasciata d'Italia a Washington nel 1977; divergono anche i luoghi. Nel 1977 il presunto autore non era più Segretario di Stato. La divergenza è dirimente, si riporta e non si risolve d'ufficio scegliendo la versione più comoda al racconto che si vuole tenere.</w:t>
      </w:r>
    </w:p>
    <w:p>
      <w:pPr>
        <w:spacing w:after="120" w:line="276"/>
        <w:jc w:val="both"/>
      </w:pPr>
      <w:r>
        <w:rPr>
          <w:rFonts w:ascii="Barlow Semi Condensed" w:cs="Barlow Semi Condensed" w:eastAsia="Barlow Semi Condensed" w:hAnsi="Barlow Semi Condensed"/>
          <w:b/>
          <w:bCs/>
          <w:sz w:val="24"/>
          <w:szCs w:val="24"/>
        </w:rPr>
        <w:t xml:space="preserve">1126 · Il verbale che esiste ed è muto.</w:t>
      </w:r>
      <w:r>
        <w:rPr>
          <w:rFonts w:ascii="Barlow Semi Condensed" w:cs="Barlow Semi Condensed" w:eastAsia="Barlow Semi Condensed" w:hAnsi="Barlow Semi Condensed"/>
          <w:sz w:val="24"/>
          <w:szCs w:val="24"/>
        </w:rPr>
        <w:t xml:space="preserve"> Il memorandum of conversation dello Studio Ovale del 25 settembre 1974, con Leone, Moro, Ford, Kissinger e Scowcroft, è edito in FRUS 1969-1976 volume E-15 parte seconda, documento 350, seconda edizione riveduta, ed è conservato alla Ford Library come file 1552802. Attesta la posizione sul non poter scambiare informazioni militari con un governo comprendente i comunisti; non contiene alcun ultimatum personale.</w:t>
      </w:r>
    </w:p>
    <w:p>
      <w:pPr>
        <w:spacing w:after="120" w:line="276"/>
        <w:jc w:val="both"/>
      </w:pPr>
      <w:r>
        <w:rPr>
          <w:rFonts w:ascii="Barlow Semi Condensed" w:cs="Barlow Semi Condensed" w:eastAsia="Barlow Semi Condensed" w:hAnsi="Barlow Semi Condensed"/>
          <w:b/>
          <w:bCs/>
          <w:sz w:val="24"/>
          <w:szCs w:val="24"/>
        </w:rPr>
        <w:t xml:space="preserve">1127 · Il documento del giorno dopo.</w:t>
      </w:r>
      <w:r>
        <w:rPr>
          <w:rFonts w:ascii="Barlow Semi Condensed" w:cs="Barlow Semi Condensed" w:eastAsia="Barlow Semi Condensed" w:hAnsi="Barlow Semi Condensed"/>
          <w:sz w:val="24"/>
          <w:szCs w:val="24"/>
        </w:rPr>
        <w:t xml:space="preserve"> Il verbale dell'incontro del 26 settembre 1974 è parimenti reperibile alla Ford Library come file 1552806 e appartiene al medesimo lotto. Il corpus lo dichiara esistente e non lo tratta come già spogliato: è un bersaglio aperto, non una fonte citata. Chi voglia chiudere il versante deve leggerlo per intero e verbalizzarne il contenuto, positivo o negativo che sia, con l'indicazione delle pagine.</w:t>
      </w:r>
    </w:p>
    <w:p>
      <w:pPr>
        <w:spacing w:after="120" w:line="276"/>
        <w:jc w:val="both"/>
      </w:pPr>
      <w:r>
        <w:rPr>
          <w:rFonts w:ascii="Barlow Semi Condensed" w:cs="Barlow Semi Condensed" w:eastAsia="Barlow Semi Condensed" w:hAnsi="Barlow Semi Condensed"/>
          <w:b/>
          <w:bCs/>
          <w:sz w:val="24"/>
          <w:szCs w:val="24"/>
        </w:rPr>
        <w:t xml:space="preserve">1128 · Sede parlamentare e contenuto, distinti.</w:t>
      </w:r>
      <w:r>
        <w:rPr>
          <w:rFonts w:ascii="Barlow Semi Condensed" w:cs="Barlow Semi Condensed" w:eastAsia="Barlow Semi Condensed" w:hAnsi="Barlow Semi Condensed"/>
          <w:sz w:val="24"/>
          <w:szCs w:val="24"/>
        </w:rPr>
        <w:t xml:space="preserve"> L'audizione di Eleonora Chiavarelli Moro davanti alla Commissione d'inchiesta è del primo agosto 1980; la frase che circola è però attribuita alla deposizione giudiziaria del 1982, mentre dell'audizione si riporta soprattutto un riferimento a minacce risalenti al 1975 e crescenti. Gli atti stanno negli archivi storici di Camera e Senato: chiedere il resoconto di quella seduta è il modo di separare le due sedi.</w:t>
      </w:r>
    </w:p>
    <w:p>
      <w:pPr>
        <w:spacing w:after="120" w:line="276"/>
        <w:jc w:val="both"/>
      </w:pPr>
      <w:r>
        <w:rPr>
          <w:rFonts w:ascii="Barlow Semi Condensed" w:cs="Barlow Semi Condensed" w:eastAsia="Barlow Semi Condensed" w:hAnsi="Barlow Semi Condensed"/>
          <w:b/>
          <w:bCs/>
          <w:sz w:val="24"/>
          <w:szCs w:val="24"/>
        </w:rPr>
        <w:t xml:space="preserve">1129 · Una fonte contata molte volte.</w:t>
      </w:r>
      <w:r>
        <w:rPr>
          <w:rFonts w:ascii="Barlow Semi Condensed" w:cs="Barlow Semi Condensed" w:eastAsia="Barlow Semi Condensed" w:hAnsi="Barlow Semi Condensed"/>
          <w:sz w:val="24"/>
          <w:szCs w:val="24"/>
        </w:rPr>
        <w:t xml:space="preserve"> Le riprese pressoché identiche dell'episodio risalgono a un unico lancio d'agenzia del 30 novembre 2023; il rilancio internazionale del 1982 proviene da una pubblicazione di orientamento cospirazionista, citabile come dato di circolazione e non come riscontro. Il saggio è anteriore a questa constatazione e ne ha ereditato l'effetto. Contare molte volte la stessa fonte non la rende molte fonti: è pseudoreplica.</w:t>
      </w:r>
    </w:p>
    <w:p>
      <w:pPr>
        <w:spacing w:after="120" w:line="276"/>
        <w:jc w:val="both"/>
      </w:pPr>
      <w:r>
        <w:rPr>
          <w:rFonts w:ascii="Barlow Semi Condensed" w:cs="Barlow Semi Condensed" w:eastAsia="Barlow Semi Condensed" w:hAnsi="Barlow Semi Condensed"/>
          <w:b/>
          <w:bCs/>
          <w:sz w:val="24"/>
          <w:szCs w:val="24"/>
        </w:rPr>
        <w:t xml:space="preserve">1130 · Prova e controprova dell'episodio.</w:t>
      </w:r>
      <w:r>
        <w:rPr>
          <w:rFonts w:ascii="Barlow Semi Condensed" w:cs="Barlow Semi Condensed" w:eastAsia="Barlow Semi Condensed" w:hAnsi="Barlow Semi Condensed"/>
          <w:sz w:val="24"/>
          <w:szCs w:val="24"/>
        </w:rPr>
        <w:t xml:space="preserve"> Proverebbe l'episodio un reperto di piano uno: un appunto coevo di uno dei presenti, un telegramma dell'ambasciata, una nota di diario datata. Lo falsificherebbe una ricostruzione documentata degli spostamenti che escluda l'incontro nella data indicata. Entrambe le ricerche sono eseguibili e nessuna delle due risulta condotta. Finché restano da fare, la testimonianza contestata resta esattamente ciò che è.</w:t>
      </w:r>
    </w:p>
    <w:p>
      <w:pPr>
        <w:spacing w:after="120" w:line="276"/>
        <w:jc w:val="both"/>
      </w:pPr>
      <w:r>
        <w:rPr>
          <w:rFonts w:ascii="Barlow Semi Condensed" w:cs="Barlow Semi Condensed" w:eastAsia="Barlow Semi Condensed" w:hAnsi="Barlow Semi Condensed"/>
          <w:b/>
          <w:bCs/>
          <w:sz w:val="24"/>
          <w:szCs w:val="24"/>
        </w:rPr>
        <w:t xml:space="preserve">1131 · Il rischio del ricircolo del pastiche.</w:t>
      </w:r>
      <w:r>
        <w:rPr>
          <w:rFonts w:ascii="Barlow Semi Condensed" w:cs="Barlow Semi Condensed" w:eastAsia="Barlow Semi Condensed" w:hAnsi="Barlow Semi Condensed"/>
          <w:sz w:val="24"/>
          <w:szCs w:val="24"/>
        </w:rPr>
        <w:t xml:space="preserve"> La Parte quarta fa dire alla voce immaginata che il Paese non doveva farsi dettare la propria via «né d'oltreoceano né d'oltrecortina». È letteratura dichiarata e non nomina nessuno; ma una parafrasi che sostituisse all'avverbio un cognome trasformerebbe l'invenzione in citazione. Il presidio è semplice e va scritto: quella parte non entra in nessun apparato di prova, in nessuna forma e per nessun uso.</w:t>
      </w:r>
    </w:p>
    <w:p>
      <w:pPr>
        <w:spacing w:after="120" w:line="276"/>
        <w:jc w:val="both"/>
      </w:pPr>
      <w:r>
        <w:rPr>
          <w:rFonts w:ascii="Barlow Semi Condensed" w:cs="Barlow Semi Condensed" w:eastAsia="Barlow Semi Condensed" w:hAnsi="Barlow Semi Condensed"/>
          <w:b/>
          <w:bCs/>
          <w:sz w:val="24"/>
          <w:szCs w:val="24"/>
        </w:rPr>
        <w:t xml:space="preserve">1132 · La rimozione degli ostacoli è formula.</w:t>
      </w:r>
      <w:r>
        <w:rPr>
          <w:rFonts w:ascii="Barlow Semi Condensed" w:cs="Barlow Semi Condensed" w:eastAsia="Barlow Semi Condensed" w:hAnsi="Barlow Semi Condensed"/>
          <w:sz w:val="24"/>
          <w:szCs w:val="24"/>
        </w:rPr>
        <w:t xml:space="preserve"> Una «logica della rimozione degli ostacoli» che opererebbe in entrambi i casi viene proposta nella Parte quinta e nel pastiche. È categoria interpretativa d'autore, non categoria probatoria, e il testo stesso la lascia fra le congetture. Non produce quesiti d'archivio e non può fondare attribuzioni: la logica di un'epoca, come il corpus scrive altrove, non è la firma di un mandante.</w:t>
      </w:r>
    </w:p>
    <w:p>
      <w:pPr>
        <w:spacing w:after="120" w:line="276"/>
        <w:jc w:val="both"/>
      </w:pPr>
      <w:r>
        <w:rPr>
          <w:rFonts w:ascii="Barlow Semi Condensed" w:cs="Barlow Semi Condensed" w:eastAsia="Barlow Semi Condensed" w:hAnsi="Barlow Semi Condensed"/>
          <w:b/>
          <w:bCs/>
          <w:sz w:val="24"/>
          <w:szCs w:val="24"/>
        </w:rPr>
        <w:t xml:space="preserve">1133 · Il solo lessico condiviso.</w:t>
      </w:r>
      <w:r>
        <w:rPr>
          <w:rFonts w:ascii="Barlow Semi Condensed" w:cs="Barlow Semi Condensed" w:eastAsia="Barlow Semi Condensed" w:hAnsi="Barlow Semi Condensed"/>
          <w:sz w:val="24"/>
          <w:szCs w:val="24"/>
        </w:rPr>
        <w:t xml:space="preserve"> La conclusione evoca i molti Vietnam sognati dal Che, formula del messaggio alla Tricontinentale del 1967, e il Vietnam in miniatura toccato all'Italia. È il solo punto in cui il lessico del territorio sfiora l'arco più documentato del nome triangolato. Sfiorarlo non è toccarlo: fra una metafora rivoluzionaria e un negoziato di Stato non corre alcun rapporto, e va scritto per prevenire l'equivoco.</w:t>
      </w:r>
    </w:p>
    <w:p>
      <w:pPr>
        <w:spacing w:after="120" w:line="276"/>
        <w:jc w:val="both"/>
      </w:pPr>
      <w:r>
        <w:rPr>
          <w:rFonts w:ascii="Barlow Semi Condensed" w:cs="Barlow Semi Condensed" w:eastAsia="Barlow Semi Condensed" w:hAnsi="Barlow Semi Condensed"/>
          <w:b/>
          <w:bCs/>
          <w:sz w:val="24"/>
          <w:szCs w:val="24"/>
        </w:rPr>
        <w:t xml:space="preserve">1134 · Gli indici da spogliare.</w:t>
      </w:r>
      <w:r>
        <w:rPr>
          <w:rFonts w:ascii="Barlow Semi Condensed" w:cs="Barlow Semi Condensed" w:eastAsia="Barlow Semi Condensed" w:hAnsi="Barlow Semi Condensed"/>
          <w:sz w:val="24"/>
          <w:szCs w:val="24"/>
        </w:rPr>
        <w:t xml:space="preserve"> Verifica eseguibile a costo basso e mai eseguita nel branch: spogliare gli indici analitici dei volumi memorialistici del nome triangolato alle voci Guevara, Feltrinelli, Brigate rosse e Bolivia, registrando presenze e assenze. Le carte personali stanno alla Library of Congress e alla Yale University Library, fondo MS 1981. Un indice vuoto è un dato, e come dato va verbalizzato.</w:t>
      </w:r>
    </w:p>
    <w:p>
      <w:pPr>
        <w:spacing w:after="120" w:line="276"/>
        <w:jc w:val="both"/>
      </w:pPr>
      <w:r>
        <w:rPr>
          <w:rFonts w:ascii="Barlow Semi Condensed" w:cs="Barlow Semi Condensed" w:eastAsia="Barlow Semi Condensed" w:hAnsi="Barlow Semi Condensed"/>
          <w:b/>
          <w:bCs/>
          <w:sz w:val="24"/>
          <w:szCs w:val="24"/>
        </w:rPr>
        <w:t xml:space="preserve">1135 · Le trascrizioni telefoniche come strumento.</w:t>
      </w:r>
      <w:r>
        <w:rPr>
          <w:rFonts w:ascii="Barlow Semi Condensed" w:cs="Barlow Semi Condensed" w:eastAsia="Barlow Semi Condensed" w:hAnsi="Barlow Semi Condensed"/>
          <w:sz w:val="24"/>
          <w:szCs w:val="24"/>
        </w:rPr>
        <w:t xml:space="preserve"> Le trascrizioni delle conversazioni telefoniche del periodo 1969-1977 costituiscono la serie più sistematica del versante americano e sono in parte accessibili. Il bersaglio per questo territorio si formula come stringa: le date del marzo 1972, dell'agosto 1970 e dell'ottobre 1977, incrociate coi nomi italiani presenti nel saggio. Un esito negativo su date determinate vale più di una ricerca generica senza perimetro.</w:t>
      </w:r>
    </w:p>
    <w:p>
      <w:pPr>
        <w:spacing w:after="120" w:line="276"/>
        <w:jc w:val="both"/>
      </w:pPr>
      <w:r>
        <w:rPr>
          <w:rFonts w:ascii="Barlow Semi Condensed" w:cs="Barlow Semi Condensed" w:eastAsia="Barlow Semi Condensed" w:hAnsi="Barlow Semi Condensed"/>
          <w:b/>
          <w:bCs/>
          <w:sz w:val="24"/>
          <w:szCs w:val="24"/>
        </w:rPr>
        <w:t xml:space="preserve">1136 · La ricerca meccanica e il verbale.</w:t>
      </w:r>
      <w:r>
        <w:rPr>
          <w:rFonts w:ascii="Barlow Semi Condensed" w:cs="Barlow Semi Condensed" w:eastAsia="Barlow Semi Condensed" w:hAnsi="Barlow Semi Condensed"/>
          <w:sz w:val="24"/>
          <w:szCs w:val="24"/>
        </w:rPr>
        <w:t xml:space="preserve"> I telegrammi del Dipartimento di Stato dal 1973 al 1979 sono interrogabili nella banca dati d'archivio di College Park, e consentono un accertamento con perimetro dichiarato: quali dispacci, in quali mesi, associno i nomi del territorio. L'agenda del corpus impone di verbalizzare il buco misurato indicando serie e stringhe usate, perché il buco narrato non è conoscenza e quello misurato lo è.</w:t>
      </w:r>
    </w:p>
    <w:p>
      <w:pPr>
        <w:spacing w:after="120" w:line="276"/>
        <w:jc w:val="both"/>
      </w:pPr>
      <w:r>
        <w:rPr>
          <w:rFonts w:ascii="Barlow Semi Condensed" w:cs="Barlow Semi Condensed" w:eastAsia="Barlow Semi Condensed" w:hAnsi="Barlow Semi Condensed"/>
          <w:b/>
          <w:bCs/>
          <w:sz w:val="24"/>
          <w:szCs w:val="24"/>
        </w:rPr>
        <w:t xml:space="preserve">1137 · Le sedi italiane, per simmetria.</w:t>
      </w:r>
      <w:r>
        <w:rPr>
          <w:rFonts w:ascii="Barlow Semi Condensed" w:cs="Barlow Semi Condensed" w:eastAsia="Barlow Semi Condensed" w:hAnsi="Barlow Semi Condensed"/>
          <w:sz w:val="24"/>
          <w:szCs w:val="24"/>
        </w:rPr>
        <w:t xml:space="preserve"> Il versante italiano ha depositi nominabili e in gran parte non spogliati per questo tema: il fondo Aldo Moro all'Archivio centrale dello Stato, le carte depositate dalla famiglia presso l'archivio di Oriolo Romano, il deposito con segnatura propria individuato dalla seconda campagna. I cantieri li distinguono ai blocchi 221, 222 e 223 e ne tengono la tavola al 235. Interrogarli costa meno che ipotizzare.</w:t>
      </w:r>
    </w:p>
    <w:p>
      <w:pPr>
        <w:spacing w:after="120" w:line="276"/>
        <w:jc w:val="both"/>
      </w:pPr>
      <w:r>
        <w:rPr>
          <w:rFonts w:ascii="Barlow Semi Condensed" w:cs="Barlow Semi Condensed" w:eastAsia="Barlow Semi Condensed" w:hAnsi="Barlow Semi Condensed"/>
          <w:b/>
          <w:bCs/>
          <w:sz w:val="24"/>
          <w:szCs w:val="24"/>
        </w:rPr>
        <w:t xml:space="preserve">1138 · Il caso di controllo tedesco.</w:t>
      </w:r>
      <w:r>
        <w:rPr>
          <w:rFonts w:ascii="Barlow Semi Condensed" w:cs="Barlow Semi Condensed" w:eastAsia="Barlow Semi Condensed" w:hAnsi="Barlow Semi Condensed"/>
          <w:sz w:val="24"/>
          <w:szCs w:val="24"/>
        </w:rPr>
        <w:t xml:space="preserve"> Un albero si orienta con un gruppo esterno, e il corpus ne dispone: il sequestro Schleyer del 1977, censito al blocco 141 dei cantieri, osservato dallo stesso campo alleato e gestito in modo diverso. Portato su questo territorio, l'outgroup misura quanto della vicenda italiana sia struttura e quanto sia scelta, e vale come antidoto alla lettura che fa dell'Italia un caso unico per definizione.</w:t>
      </w:r>
    </w:p>
    <w:p>
      <w:pPr>
        <w:spacing w:after="120" w:line="276"/>
        <w:jc w:val="both"/>
      </w:pPr>
      <w:r>
        <w:rPr>
          <w:rFonts w:ascii="Barlow Semi Condensed" w:cs="Barlow Semi Condensed" w:eastAsia="Barlow Semi Condensed" w:hAnsi="Barlow Semi Condensed"/>
          <w:b/>
          <w:bCs/>
          <w:sz w:val="24"/>
          <w:szCs w:val="24"/>
        </w:rPr>
        <w:t xml:space="preserve">1139 · Ciò che non è stato stabilito.</w:t>
      </w:r>
      <w:r>
        <w:rPr>
          <w:rFonts w:ascii="Barlow Semi Condensed" w:cs="Barlow Semi Condensed" w:eastAsia="Barlow Semi Condensed" w:hAnsi="Barlow Semi Condensed"/>
          <w:sz w:val="24"/>
          <w:szCs w:val="24"/>
        </w:rPr>
        <w:t xml:space="preserve"> Non è stato stabilito alcun rapporto di piano uno fra il nome triangolato e il territorio del saggio, salvo l'arco cileno che il saggio stesso enuncia e che resta da esibire per segnature. Non è stata attenuata né aggravata la posizione di alcuno. Le divergenze incontrate non sono state sciolte, ma riportate. E nessuno è indicato come responsabile di reato: il corpus si ferma al giudicato.</w:t>
      </w:r>
    </w:p>
    <w:p>
      <w:pPr>
        <w:spacing w:after="120" w:line="276"/>
        <w:jc w:val="both"/>
      </w:pPr>
      <w:r>
        <w:rPr>
          <w:rFonts w:ascii="Barlow Semi Condensed" w:cs="Barlow Semi Condensed" w:eastAsia="Barlow Semi Condensed" w:hAnsi="Barlow Semi Condensed"/>
          <w:b/>
          <w:bCs/>
          <w:sz w:val="24"/>
          <w:szCs w:val="24"/>
        </w:rPr>
        <w:t xml:space="preserve">1140 · Il bilancio in cifre.</w:t>
      </w:r>
      <w:r>
        <w:rPr>
          <w:rFonts w:ascii="Barlow Semi Condensed" w:cs="Barlow Semi Condensed" w:eastAsia="Barlow Semi Condensed" w:hAnsi="Barlow Semi Condensed"/>
          <w:sz w:val="24"/>
          <w:szCs w:val="24"/>
        </w:rPr>
        <w:t xml:space="preserve"> Su settanta bersagli: un solo arco che il territorio dichiara documentato e che va sostanziato per segnature; nessun rapporto diretto verso Guevara, Feltrinelli, le Brigate rosse e il 1978; una testimonianza contestata già declassata dall'apparato; due lacune bibliografiche constatate; una divergenza interna sulla carica al settembre 1973; e una fila di assenze verbalizzate con la sede che le chiuderebbe. È il risultato atteso.</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Serie sedicesima — Guevara: origini ed esilio messicano</w:t>
      </w:r>
    </w:p>
    <w:p>
      <w:pPr>
        <w:spacing w:after="120" w:line="276"/>
        <w:jc w:val="both"/>
      </w:pPr>
      <w:r>
        <w:rPr>
          <w:rFonts w:ascii="Barlow Semi Condensed" w:cs="Barlow Semi Condensed" w:eastAsia="Barlow Semi Condensed" w:hAnsi="Barlow Semi Condensed"/>
          <w:i/>
          <w:iCs/>
          <w:sz w:val="24"/>
          <w:szCs w:val="24"/>
        </w:rPr>
        <w:t xml:space="preserve">Blocchi 1141-1215.</w:t>
      </w:r>
    </w:p>
    <w:p>
      <w:pPr>
        <w:spacing w:after="120" w:line="276"/>
        <w:jc w:val="both"/>
      </w:pPr>
      <w:r>
        <w:rPr>
          <w:rFonts w:ascii="Barlow Semi Condensed" w:cs="Barlow Semi Condensed" w:eastAsia="Barlow Semi Condensed" w:hAnsi="Barlow Semi Condensed"/>
          <w:b/>
          <w:bCs/>
          <w:sz w:val="24"/>
          <w:szCs w:val="24"/>
        </w:rPr>
        <w:t xml:space="preserve">1141 · Statuto della serie sedicesima.</w:t>
      </w:r>
      <w:r>
        <w:rPr>
          <w:rFonts w:ascii="Barlow Semi Condensed" w:cs="Barlow Semi Condensed" w:eastAsia="Barlow Semi Condensed" w:hAnsi="Barlow Semi Condensed"/>
          <w:sz w:val="24"/>
          <w:szCs w:val="24"/>
        </w:rPr>
        <w:t xml:space="preserve"> La seconda campagna lascia il concetto e prende un territorio: qui è </w:t>
      </w:r>
      <w:r>
        <w:rPr>
          <w:rFonts w:ascii="Barlow Semi Condensed" w:cs="Barlow Semi Condensed" w:eastAsia="Barlow Semi Condensed" w:hAnsi="Barlow Semi Condensed"/>
          <w:i/>
          <w:iCs/>
          <w:sz w:val="24"/>
          <w:szCs w:val="24"/>
        </w:rPr>
        <w:t xml:space="preserve">guevara-origini-esilio-messicano.md</w:t>
      </w:r>
      <w:r>
        <w:rPr>
          <w:rFonts w:ascii="Barlow Semi Condensed" w:cs="Barlow Semi Condensed" w:eastAsia="Barlow Semi Condensed" w:hAnsi="Barlow Semi Condensed"/>
          <w:sz w:val="24"/>
          <w:szCs w:val="24"/>
        </w:rPr>
        <w:t xml:space="preserve">, prima tappa del Percorso A della guida alla lettura, che va dalla nascita a Rosario al valico messicano del 21 settembre 1954. Ogni blocco nasce dalla lettura di quel file e dei suoi raccordi. Nessuno afferma un ponte: la serie misura dove il nome cercato non compare, e con quale sede quel vuoto si chiuderebbe.</w:t>
      </w:r>
    </w:p>
    <w:p>
      <w:pPr>
        <w:spacing w:after="120" w:line="276"/>
        <w:jc w:val="both"/>
      </w:pPr>
      <w:r>
        <w:rPr>
          <w:rFonts w:ascii="Barlow Semi Condensed" w:cs="Barlow Semi Condensed" w:eastAsia="Barlow Semi Condensed" w:hAnsi="Barlow Semi Condensed"/>
          <w:b/>
          <w:bCs/>
          <w:sz w:val="24"/>
          <w:szCs w:val="24"/>
        </w:rPr>
        <w:t xml:space="preserve">1142 · Misura meccanica del silenzio.</w:t>
      </w:r>
      <w:r>
        <w:rPr>
          <w:rFonts w:ascii="Barlow Semi Condensed" w:cs="Barlow Semi Condensed" w:eastAsia="Barlow Semi Condensed" w:hAnsi="Barlow Semi Condensed"/>
          <w:sz w:val="24"/>
          <w:szCs w:val="24"/>
        </w:rPr>
        <w:t xml:space="preserve"> Interrogato il file riga per riga, l'esito si verbalizza per intero. La stringa «Kissinger» ricorre zero volte, e così «Henry», «Heinz», «Stati Uniti», «Washington», «Dipartimento di Stato». Ricorrono una volta sola «CIA», «United Fruit», «PBSUCCESS» e «Miami». Su duemilacentosettantadue parole, l'intero versante statunitense del territorio sta dentro un paragrafo del 1954 e un transito aeroportuale dell'agosto 1952. Questo è il denominatore di tutto ciò che segue.</w:t>
      </w:r>
    </w:p>
    <w:p>
      <w:pPr>
        <w:spacing w:after="120" w:line="276"/>
        <w:jc w:val="both"/>
      </w:pPr>
      <w:r>
        <w:rPr>
          <w:rFonts w:ascii="Barlow Semi Condensed" w:cs="Barlow Semi Condensed" w:eastAsia="Barlow Semi Condensed" w:hAnsi="Barlow Semi Condensed"/>
          <w:b/>
          <w:bCs/>
          <w:sz w:val="24"/>
          <w:szCs w:val="24"/>
        </w:rPr>
        <w:t xml:space="preserve">1143 · Un documento a due strati.</w:t>
      </w:r>
      <w:r>
        <w:rPr>
          <w:rFonts w:ascii="Barlow Semi Condensed" w:cs="Barlow Semi Condensed" w:eastAsia="Barlow Semi Condensed" w:hAnsi="Barlow Semi Condensed"/>
          <w:sz w:val="24"/>
          <w:szCs w:val="24"/>
        </w:rPr>
        <w:t xml:space="preserve"> Prima di triangolare occorre sapere su quale strato si poggia il piede. Il file dichiara la propria stratigrafia: la stesura d'autore si interrompe al 1934, e le sezioni dal 1943 al 1954 sono un'Integrazione datata 24 agosto 2026, redatta in sede di revisione su cronologia storiografica consolidata. Sono statuti diversi. Ogni blocco di questa serie indica, quando serve, se sta leggendo la stesura originaria o il completamento successivo.</w:t>
      </w:r>
    </w:p>
    <w:p>
      <w:pPr>
        <w:spacing w:after="120" w:line="276"/>
        <w:jc w:val="both"/>
      </w:pPr>
      <w:r>
        <w:rPr>
          <w:rFonts w:ascii="Barlow Semi Condensed" w:cs="Barlow Semi Condensed" w:eastAsia="Barlow Semi Condensed" w:hAnsi="Barlow Semi Condensed"/>
          <w:b/>
          <w:bCs/>
          <w:sz w:val="24"/>
          <w:szCs w:val="24"/>
        </w:rPr>
        <w:t xml:space="preserve">1144 · La finestra del territorio.</w:t>
      </w:r>
      <w:r>
        <w:rPr>
          <w:rFonts w:ascii="Barlow Semi Condensed" w:cs="Barlow Semi Condensed" w:eastAsia="Barlow Semi Condensed" w:hAnsi="Barlow Semi Condensed"/>
          <w:sz w:val="24"/>
          <w:szCs w:val="24"/>
        </w:rPr>
        <w:t xml:space="preserve"> Il perimetro cronologico è dichiarato qui una volta e non si sposta: 14 giugno 1928, data del registro, fino al 21 settembre 1954, ingresso in Messico. Dentro quella finestra il soggetto della triangolazione non ricoprì alcuna carica pubblica, di nessun grado: l'Assistente per la sicurezza nazionale entra in funzione il 20 gennaio 1969, il Segretario di Stato il 22 settembre 1973. Quindici anni separano il termine del territorio dalla prima nomina.</w:t>
      </w:r>
    </w:p>
    <w:p>
      <w:pPr>
        <w:spacing w:after="120" w:line="276"/>
        <w:jc w:val="both"/>
      </w:pPr>
      <w:r>
        <w:rPr>
          <w:rFonts w:ascii="Barlow Semi Condensed" w:cs="Barlow Semi Condensed" w:eastAsia="Barlow Semi Condensed" w:hAnsi="Barlow Semi Condensed"/>
          <w:b/>
          <w:bCs/>
          <w:sz w:val="24"/>
          <w:szCs w:val="24"/>
        </w:rPr>
        <w:t xml:space="preserve">1145 · L'attesa dichiarata prima di cercare.</w:t>
      </w:r>
      <w:r>
        <w:rPr>
          <w:rFonts w:ascii="Barlow Semi Condensed" w:cs="Barlow Semi Condensed" w:eastAsia="Barlow Semi Condensed" w:hAnsi="Barlow Semi Condensed"/>
          <w:sz w:val="24"/>
          <w:szCs w:val="24"/>
        </w:rPr>
        <w:t xml:space="preserve"> La regola vuole che si dica quanti riscontri ci si aspetta, e perché, prima di aprire il fondo. L'attesa è qui pari a zero, e la ragione è verificabile: nel 1954 il nome cercato non aveva profilo pubblico in America Latina, la sua prima monografia uscì nel 1957, e nessuna carica lo collocava su alcun tavolo decisionale. Un esito negativo, in queste condizioni, non sposta nulla e va detto così.</w:t>
      </w:r>
    </w:p>
    <w:p>
      <w:pPr>
        <w:spacing w:after="120" w:line="276"/>
        <w:jc w:val="both"/>
      </w:pPr>
      <w:r>
        <w:rPr>
          <w:rFonts w:ascii="Barlow Semi Condensed" w:cs="Barlow Semi Condensed" w:eastAsia="Barlow Semi Condensed" w:hAnsi="Barlow Semi Condensed"/>
          <w:b/>
          <w:bCs/>
          <w:sz w:val="24"/>
          <w:szCs w:val="24"/>
        </w:rPr>
        <w:t xml:space="preserve">1146 · Che cosa questa serie non farà.</w:t>
      </w:r>
      <w:r>
        <w:rPr>
          <w:rFonts w:ascii="Barlow Semi Condensed" w:cs="Barlow Semi Condensed" w:eastAsia="Barlow Semi Condensed" w:hAnsi="Barlow Semi Condensed"/>
          <w:sz w:val="24"/>
          <w:szCs w:val="24"/>
        </w:rPr>
        <w:t xml:space="preserve"> Non si costruirà alcun nesso dal fatto che due biografie attraversino lo stesso decennio. Non si leggerà il silenzio come occultamento. Non si promuoverà a rapporto una cornice condivisa, e non si tratterà l'appartenenza a un ambiente accademico o dottrinale come indizio di condotta. Restano ammessi quattro esiti soltanto: il quesito con la sua sede, l'accertamento col suo grado, la regola di lettura, la lacuna verbalizzata.</w:t>
      </w:r>
    </w:p>
    <w:p>
      <w:pPr>
        <w:spacing w:after="120" w:line="276"/>
        <w:jc w:val="both"/>
      </w:pPr>
      <w:r>
        <w:rPr>
          <w:rFonts w:ascii="Barlow Semi Condensed" w:cs="Barlow Semi Condensed" w:eastAsia="Barlow Semi Condensed" w:hAnsi="Barlow Semi Condensed"/>
          <w:b/>
          <w:bCs/>
          <w:sz w:val="24"/>
          <w:szCs w:val="24"/>
        </w:rPr>
        <w:t xml:space="preserve">1147 · Le due date di nascita.</w:t>
      </w:r>
      <w:r>
        <w:rPr>
          <w:rFonts w:ascii="Barlow Semi Condensed" w:cs="Barlow Semi Condensed" w:eastAsia="Barlow Semi Condensed" w:hAnsi="Barlow Semi Condensed"/>
          <w:sz w:val="24"/>
          <w:szCs w:val="24"/>
        </w:rPr>
        <w:t xml:space="preserve"> Qui il corpus registra una divergenza e non la scioglie: l'atto di nascita dice 14 giugno 1928, mentre la biografia di Jon Lee Anderson e confidenze materne riferite a terzi collocano l'evento al 14 maggio. Il nodo I-1 della triangolazione Guevara-Moro certifica la coerenza interna del corpus su questo punto. La sede che deciderebbe è una sola: il Registro Civil di Rosario, provincia di Santa Fe, col fascicolo originale e non con la copia.</w:t>
      </w:r>
    </w:p>
    <w:p>
      <w:pPr>
        <w:spacing w:after="120" w:line="276"/>
        <w:jc w:val="both"/>
      </w:pPr>
      <w:r>
        <w:rPr>
          <w:rFonts w:ascii="Barlow Semi Condensed" w:cs="Barlow Semi Condensed" w:eastAsia="Barlow Semi Condensed" w:hAnsi="Barlow Semi Condensed"/>
          <w:b/>
          <w:bCs/>
          <w:sz w:val="24"/>
          <w:szCs w:val="24"/>
        </w:rPr>
        <w:t xml:space="preserve">1148 · Un parallelismo che non è parentela.</w:t>
      </w:r>
      <w:r>
        <w:rPr>
          <w:rFonts w:ascii="Barlow Semi Condensed" w:cs="Barlow Semi Condensed" w:eastAsia="Barlow Semi Condensed" w:hAnsi="Barlow Semi Condensed"/>
          <w:sz w:val="24"/>
          <w:szCs w:val="24"/>
        </w:rPr>
        <w:t xml:space="preserve"> Due date contese, identiche nella struttura: le opere di consultazione dicono una cosa senza esibire documenti, l'archivio ne dice un'altra. Vale per il 14 giugno contro il 14 maggio 1928 e vale per il passaggio da Heinz a Henry, che la vulgata data 1938 e il fascicolo d'immigrazione sposta al 1942-1943. La somiglianza è perfetta e non prova niente: è analogia, non omologia, e il test resta il documento di provenienza.</w:t>
      </w:r>
    </w:p>
    <w:p>
      <w:pPr>
        <w:spacing w:after="120" w:line="276"/>
        <w:jc w:val="both"/>
      </w:pPr>
      <w:r>
        <w:rPr>
          <w:rFonts w:ascii="Barlow Semi Condensed" w:cs="Barlow Semi Condensed" w:eastAsia="Barlow Semi Condensed" w:hAnsi="Barlow Semi Condensed"/>
          <w:b/>
          <w:bCs/>
          <w:sz w:val="24"/>
          <w:szCs w:val="24"/>
        </w:rPr>
        <w:t xml:space="preserve">1149 · La vulgata e il fascicolo.</w:t>
      </w:r>
      <w:r>
        <w:rPr>
          <w:rFonts w:ascii="Barlow Semi Condensed" w:cs="Barlow Semi Condensed" w:eastAsia="Barlow Semi Condensed" w:hAnsi="Barlow Semi Condensed"/>
          <w:sz w:val="24"/>
          <w:szCs w:val="24"/>
        </w:rPr>
        <w:t xml:space="preserve"> Dalla coincidenza si ricava però una regola di lettura applicabile all'intero territorio. Ogni volta che il documento riporta una data «ufficiale» accanto a una data «vera» attestata da memorialistica, si apre un fascicolo e non si sceglie in silenzio. Il corpus lo fa già al blocco 3 della prima serie per l'anglicizzazione del nome e lo fa qui per la nascita. Chi sceglie senza verbalizzare consegna al lettore un fatto e gli toglie la prova.</w:t>
      </w:r>
    </w:p>
    <w:p>
      <w:pPr>
        <w:spacing w:after="120" w:line="276"/>
        <w:jc w:val="both"/>
      </w:pPr>
      <w:r>
        <w:rPr>
          <w:rFonts w:ascii="Barlow Semi Condensed" w:cs="Barlow Semi Condensed" w:eastAsia="Barlow Semi Condensed" w:hAnsi="Barlow Semi Condensed"/>
          <w:b/>
          <w:bCs/>
          <w:sz w:val="24"/>
          <w:szCs w:val="24"/>
        </w:rPr>
        <w:t xml:space="preserve">1150 · Il concepimento prematrimoniale, e la prova.</w:t>
      </w:r>
      <w:r>
        <w:rPr>
          <w:rFonts w:ascii="Barlow Semi Condensed" w:cs="Barlow Semi Condensed" w:eastAsia="Barlow Semi Condensed" w:hAnsi="Barlow Semi Condensed"/>
          <w:sz w:val="24"/>
          <w:szCs w:val="24"/>
        </w:rPr>
        <w:t xml:space="preserve"> L'ipotesi che la postdatazione dissimulasse un concepimento anteriore alle nozze è coerente col profilo anticonformista della famiglia, ma resta inferenza. La chiuderebbero due carte materiali: l'atto di matrimonio del 10 novembre 1927 e il fascicolo di registrazione della nascita, entrambi nel sistema del Registro Civil argentino. Fino ad allora si scrive come il territorio scrive, con «forte probabilità» dichiarata, e non come dato acquisito.</w:t>
      </w:r>
    </w:p>
    <w:p>
      <w:pPr>
        <w:spacing w:after="120" w:line="276"/>
        <w:jc w:val="both"/>
      </w:pPr>
      <w:r>
        <w:rPr>
          <w:rFonts w:ascii="Barlow Semi Condensed" w:cs="Barlow Semi Condensed" w:eastAsia="Barlow Semi Condensed" w:hAnsi="Barlow Semi Condensed"/>
          <w:b/>
          <w:bCs/>
          <w:sz w:val="24"/>
          <w:szCs w:val="24"/>
        </w:rPr>
        <w:t xml:space="preserve">1151 · Il lignaggio di Martínez de Irala.</w:t>
      </w:r>
      <w:r>
        <w:rPr>
          <w:rFonts w:ascii="Barlow Semi Condensed" w:cs="Barlow Semi Condensed" w:eastAsia="Barlow Semi Condensed" w:hAnsi="Barlow Semi Condensed"/>
          <w:sz w:val="24"/>
          <w:szCs w:val="24"/>
        </w:rPr>
        <w:t xml:space="preserve"> Secondo il genealogista Narciso Binayán Carmona la linea materna risale al conquistador Domingo Martínez de Irala, con conseguenti radici guaraní. È l'unico punto del territorio in cui la lente del committente incontra un lignaggio vero, e proprio per questo va fermata: una discendenza accertata al quindicesimo grado non genera un carattere politico. Il quesito è archivistico e circoscritto: quali atti notarili e parrocchiali reggono la ricostruzione, e in quale deposito si trovano.</w:t>
      </w:r>
    </w:p>
    <w:p>
      <w:pPr>
        <w:spacing w:after="120" w:line="276"/>
        <w:jc w:val="both"/>
      </w:pPr>
      <w:r>
        <w:rPr>
          <w:rFonts w:ascii="Barlow Semi Condensed" w:cs="Barlow Semi Condensed" w:eastAsia="Barlow Semi Condensed" w:hAnsi="Barlow Semi Condensed"/>
          <w:b/>
          <w:bCs/>
          <w:sz w:val="24"/>
          <w:szCs w:val="24"/>
        </w:rPr>
        <w:t xml:space="preserve">1152 · La genealogia non è condotta.</w:t>
      </w:r>
      <w:r>
        <w:rPr>
          <w:rFonts w:ascii="Barlow Semi Condensed" w:cs="Barlow Semi Condensed" w:eastAsia="Barlow Semi Condensed" w:hAnsi="Barlow Semi Condensed"/>
          <w:sz w:val="24"/>
          <w:szCs w:val="24"/>
        </w:rPr>
        <w:t xml:space="preserve"> Regola vincolante, ricavata dalla Fase decima dell'opera-madre e applicata qui alla materia genealogica. Nessuna ascendenza — basca, irlandese, creola, guaraní, latifondista — dice alcunché su ciò che una persona fece. Il corpus la usa per descrivere una stratificazione sociale, non per spiegare una scelta. Dove la lente biologica spinge a leggere il lignaggio come programma, cede la lente e resta il documento: è la condizione di dismissione fissata al blocco 14 della prima serie.</w:t>
      </w:r>
    </w:p>
    <w:p>
      <w:pPr>
        <w:spacing w:after="120" w:line="276"/>
        <w:jc w:val="both"/>
      </w:pPr>
      <w:r>
        <w:rPr>
          <w:rFonts w:ascii="Barlow Semi Condensed" w:cs="Barlow Semi Condensed" w:eastAsia="Barlow Semi Condensed" w:hAnsi="Barlow Semi Condensed"/>
          <w:b/>
          <w:bCs/>
          <w:sz w:val="24"/>
          <w:szCs w:val="24"/>
        </w:rPr>
        <w:t xml:space="preserve">1153 · Le carte di Guevara Lynch.</w:t>
      </w:r>
      <w:r>
        <w:rPr>
          <w:rFonts w:ascii="Barlow Semi Condensed" w:cs="Barlow Semi Condensed" w:eastAsia="Barlow Semi Condensed" w:hAnsi="Barlow Semi Condensed"/>
          <w:sz w:val="24"/>
          <w:szCs w:val="24"/>
        </w:rPr>
        <w:t xml:space="preserve"> Il padre, nato nel 1900, morì nel 1987 e lasciò memorie pubblicate. Ne discende un bersaglio verificabile e finora non eseguito nel corpus: spogliare quelle memorie e la corrispondenza superstite per accertare se vi compaia mai il nome oggetto di questa triangolazione, e in quale accezione. La sede è duplice, il fondo familiare conservato al Museo Casa del Che di Alta Gracia e l'archivio del Centro de Estudios Che Guevara dell'Avana.</w:t>
      </w:r>
    </w:p>
    <w:p>
      <w:pPr>
        <w:spacing w:after="120" w:line="276"/>
        <w:jc w:val="both"/>
      </w:pPr>
      <w:r>
        <w:rPr>
          <w:rFonts w:ascii="Barlow Semi Condensed" w:cs="Barlow Semi Condensed" w:eastAsia="Barlow Semi Condensed" w:hAnsi="Barlow Semi Condensed"/>
          <w:b/>
          <w:bCs/>
          <w:sz w:val="24"/>
          <w:szCs w:val="24"/>
        </w:rPr>
        <w:t xml:space="preserve">1154 · L'asma come dato clinico.</w:t>
      </w:r>
      <w:r>
        <w:rPr>
          <w:rFonts w:ascii="Barlow Semi Condensed" w:cs="Barlow Semi Condensed" w:eastAsia="Barlow Semi Condensed" w:hAnsi="Barlow Semi Condensed"/>
          <w:sz w:val="24"/>
          <w:szCs w:val="24"/>
        </w:rPr>
        <w:t xml:space="preserve"> Il primo attacco è del 1930, a due anni di età, dopo una broncopolmonite nell'agosto del primo anno; nel 1932 la famiglia si trasferisce ad Alta Gracia su prescrizione medica. Il nodo I-3 conferma la coerenza dei documenti del corpus su queste date. È il solo punto in cui il territorio è davvero clinico, e va trattato come tale: patologia cronica documentata, non metafora del destino di un uomo.</w:t>
      </w:r>
    </w:p>
    <w:p>
      <w:pPr>
        <w:spacing w:after="120" w:line="276"/>
        <w:jc w:val="both"/>
      </w:pPr>
      <w:r>
        <w:rPr>
          <w:rFonts w:ascii="Barlow Semi Condensed" w:cs="Barlow Semi Condensed" w:eastAsia="Barlow Semi Condensed" w:hAnsi="Barlow Semi Condensed"/>
          <w:b/>
          <w:bCs/>
          <w:sz w:val="24"/>
          <w:szCs w:val="24"/>
        </w:rPr>
        <w:t xml:space="preserve">1155 · L'atopia familiare non documentata.</w:t>
      </w:r>
      <w:r>
        <w:rPr>
          <w:rFonts w:ascii="Barlow Semi Condensed" w:cs="Barlow Semi Condensed" w:eastAsia="Barlow Semi Condensed" w:hAnsi="Barlow Semi Condensed"/>
          <w:sz w:val="24"/>
          <w:szCs w:val="24"/>
        </w:rPr>
        <w:t xml:space="preserve"> Nulla, nel documento, riguarda la trasmissione familiare della patologia: l'asma vi è descritta come condizione del solo individuo, senza dire se altri, fra ascendenti e fratelli, presentassero manifestazioni atopiche. È uno Stato Zero interno e si dichiara come tale. La sede che lo chiuderebbe è la carta di famiglia — quaderni sanitari, corrispondenza domestica, ricette conservate — al Museo Casa del Che, villa Nydia, Alta Gracia. Manca proprio l'unica eredità che qui sarebbe misurabile.</w:t>
      </w:r>
    </w:p>
    <w:p>
      <w:pPr>
        <w:spacing w:after="120" w:line="276"/>
        <w:jc w:val="both"/>
      </w:pPr>
      <w:r>
        <w:rPr>
          <w:rFonts w:ascii="Barlow Semi Condensed" w:cs="Barlow Semi Condensed" w:eastAsia="Barlow Semi Condensed" w:hAnsi="Barlow Semi Condensed"/>
          <w:b/>
          <w:bCs/>
          <w:sz w:val="24"/>
          <w:szCs w:val="24"/>
        </w:rPr>
        <w:t xml:space="preserve">1156 · Le cartelle cliniche mancanti.</w:t>
      </w:r>
      <w:r>
        <w:rPr>
          <w:rFonts w:ascii="Barlow Semi Condensed" w:cs="Barlow Semi Condensed" w:eastAsia="Barlow Semi Condensed" w:hAnsi="Barlow Semi Condensed"/>
          <w:sz w:val="24"/>
          <w:szCs w:val="24"/>
        </w:rPr>
        <w:t xml:space="preserve"> Nessun nome di medico curante compare per il periodo 1930-1932, né il documento indica chi prescrisse il clima montano delle Sierras Chicas. Il quesito è minuto e risolvibile: quali strutture di Buenos Aires e di Córdoba conservino registri ambulatoriali di quegli anni, e se esistano ricette o certificati nel fondo familiare. Senza quelle carte la prescrizione resta riferita dalla memorialistica, che è grado inferiore e va scritto accanto.</w:t>
      </w:r>
    </w:p>
    <w:p>
      <w:pPr>
        <w:spacing w:after="120" w:line="276"/>
        <w:jc w:val="both"/>
      </w:pPr>
      <w:r>
        <w:rPr>
          <w:rFonts w:ascii="Barlow Semi Condensed" w:cs="Barlow Semi Condensed" w:eastAsia="Barlow Semi Condensed" w:hAnsi="Barlow Semi Condensed"/>
          <w:b/>
          <w:bCs/>
          <w:sz w:val="24"/>
          <w:szCs w:val="24"/>
        </w:rPr>
        <w:t xml:space="preserve">1157 · Il tratto e la responsabilità.</w:t>
      </w:r>
      <w:r>
        <w:rPr>
          <w:rFonts w:ascii="Barlow Semi Condensed" w:cs="Barlow Semi Condensed" w:eastAsia="Barlow Semi Condensed" w:hAnsi="Barlow Semi Condensed"/>
          <w:sz w:val="24"/>
          <w:szCs w:val="24"/>
        </w:rPr>
        <w:t xml:space="preserve"> Qui la tredicesima serie trova la sua applicazione più netta. Un tratto atopico si trasmette per via biologica ed è misurabile in laboratorio; una responsabilità storica no, e non si trasmette in nessun senso, né dai padri ai figli né dai maestri agli allievi. Il blocco 960 lo dice in forma di divieto. Un territorio che parla di asma ereditaria e di lignaggi è proprio quello dove il divieto rischia di essere dimenticato.</w:t>
      </w:r>
    </w:p>
    <w:p>
      <w:pPr>
        <w:spacing w:after="120" w:line="276"/>
        <w:jc w:val="both"/>
      </w:pPr>
      <w:r>
        <w:rPr>
          <w:rFonts w:ascii="Barlow Semi Condensed" w:cs="Barlow Semi Condensed" w:eastAsia="Barlow Semi Condensed" w:hAnsi="Barlow Semi Condensed"/>
          <w:b/>
          <w:bCs/>
          <w:sz w:val="24"/>
          <w:szCs w:val="24"/>
        </w:rPr>
        <w:t xml:space="preserve">1158 · Bersaglio di smentita sulla lente.</w:t>
      </w:r>
      <w:r>
        <w:rPr>
          <w:rFonts w:ascii="Barlow Semi Condensed" w:cs="Barlow Semi Condensed" w:eastAsia="Barlow Semi Condensed" w:hAnsi="Barlow Semi Condensed"/>
          <w:sz w:val="24"/>
          <w:szCs w:val="24"/>
        </w:rPr>
        <w:t xml:space="preserve"> Si scriva la condizione che falsificherebbe l'uso stesso della metafora in questo territorio. Se dalla lente genetica discendesse, qui, una sola proposizione sui fatti del 1928-1954 che la documentazione non regge — una filiazione politica dedotta da un lignaggio, una condotta dedotta da una patologia — la metafora sarebbe da deporre per questa serie. La verifica si fa a valle, blocco per blocco, e il suo esito va pubblicato col conto.</w:t>
      </w:r>
    </w:p>
    <w:p>
      <w:pPr>
        <w:spacing w:after="120" w:line="276"/>
        <w:jc w:val="both"/>
      </w:pPr>
      <w:r>
        <w:rPr>
          <w:rFonts w:ascii="Barlow Semi Condensed" w:cs="Barlow Semi Condensed" w:eastAsia="Barlow Semi Condensed" w:hAnsi="Barlow Semi Condensed"/>
          <w:b/>
          <w:bCs/>
          <w:sz w:val="24"/>
          <w:szCs w:val="24"/>
        </w:rPr>
        <w:t xml:space="preserve">1159 · La geografia terapeutica di Alta Gracia.</w:t>
      </w:r>
      <w:r>
        <w:rPr>
          <w:rFonts w:ascii="Barlow Semi Condensed" w:cs="Barlow Semi Condensed" w:eastAsia="Barlow Semi Condensed" w:hAnsi="Barlow Semi Condensed"/>
          <w:sz w:val="24"/>
          <w:szCs w:val="24"/>
        </w:rPr>
        <w:t xml:space="preserve"> Undici anni sulle pendici delle Sierras Chicas, in una cittadina termale scelta per l'aria secca: la geografia dell'infanzia è stabilita da una diagnosi e non da una scelta politica. Vale come esempio di causa prossima documentata contro causa remota narrata. Chi ricostruisce a ritroso l'itinerario continentale come vocazione precoce dovrà spiegare perché il primo spostamento della vita fu deciso da un broncospasmo.</w:t>
      </w:r>
    </w:p>
    <w:p>
      <w:pPr>
        <w:spacing w:after="120" w:line="276"/>
        <w:jc w:val="both"/>
      </w:pPr>
      <w:r>
        <w:rPr>
          <w:rFonts w:ascii="Barlow Semi Condensed" w:cs="Barlow Semi Condensed" w:eastAsia="Barlow Semi Condensed" w:hAnsi="Barlow Semi Condensed"/>
          <w:b/>
          <w:bCs/>
          <w:sz w:val="24"/>
          <w:szCs w:val="24"/>
        </w:rPr>
        <w:t xml:space="preserve">1160 · I registri scolastici di Alta Gracia.</w:t>
      </w:r>
      <w:r>
        <w:rPr>
          <w:rFonts w:ascii="Barlow Semi Condensed" w:cs="Barlow Semi Condensed" w:eastAsia="Barlow Semi Condensed" w:hAnsi="Barlow Semi Condensed"/>
          <w:sz w:val="24"/>
          <w:szCs w:val="24"/>
        </w:rPr>
        <w:t xml:space="preserve"> Secondo la stesura d'autore la frequenza regolare riguardò il solo secondo e terzo anno, mentre il resto del ciclo primario fu impartito in casa dalla madre. È affermazione controllabile e non ancora controllata: i registri di iscrizione e di frequenza delle scuole di Alta Gracia per gli anni Trenta, se conservati presso l'archivio scolastico provinciale di Córdoba, la confermerebbero o la ridurrebbero a tradizione biografica.</w:t>
      </w:r>
    </w:p>
    <w:p>
      <w:pPr>
        <w:spacing w:after="120" w:line="276"/>
        <w:jc w:val="both"/>
      </w:pPr>
      <w:r>
        <w:rPr>
          <w:rFonts w:ascii="Barlow Semi Condensed" w:cs="Barlow Semi Condensed" w:eastAsia="Barlow Semi Condensed" w:hAnsi="Barlow Semi Condensed"/>
          <w:b/>
          <w:bCs/>
          <w:sz w:val="24"/>
          <w:szCs w:val="24"/>
        </w:rPr>
        <w:t xml:space="preserve">1161 · La biblioteca del padre.</w:t>
      </w:r>
      <w:r>
        <w:rPr>
          <w:rFonts w:ascii="Barlow Semi Condensed" w:cs="Barlow Semi Condensed" w:eastAsia="Barlow Semi Condensed" w:hAnsi="Barlow Semi Condensed"/>
          <w:sz w:val="24"/>
          <w:szCs w:val="24"/>
        </w:rPr>
        <w:t xml:space="preserve"> Migliaia di volumi, letture in francese, e dentro quella raccolta i testi di Marx, Engels e Lenin che il documento chiama «primi semi». La formula è felice e va sorvegliata: un libro presente in una casa non è un carattere trasmesso. Il bersaglio che ne discende è materiale, cioè elencabile: quali titoli e quali edizioni siano oggi identificabili nel fondo del museo di Alta Gracia, e quali risultino soltanto dal ricordo paterno.</w:t>
      </w:r>
    </w:p>
    <w:p>
      <w:pPr>
        <w:spacing w:after="120" w:line="276"/>
        <w:jc w:val="both"/>
      </w:pPr>
      <w:r>
        <w:rPr>
          <w:rFonts w:ascii="Barlow Semi Condensed" w:cs="Barlow Semi Condensed" w:eastAsia="Barlow Semi Condensed" w:hAnsi="Barlow Semi Condensed"/>
          <w:b/>
          <w:bCs/>
          <w:sz w:val="24"/>
          <w:szCs w:val="24"/>
        </w:rPr>
        <w:t xml:space="preserve">1162 · Il quaderno ritrovato in Bolivia.</w:t>
      </w:r>
      <w:r>
        <w:rPr>
          <w:rFonts w:ascii="Barlow Semi Condensed" w:cs="Barlow Semi Condensed" w:eastAsia="Barlow Semi Condensed" w:hAnsi="Barlow Semi Condensed"/>
          <w:sz w:val="24"/>
          <w:szCs w:val="24"/>
        </w:rPr>
        <w:t xml:space="preserve"> Parlando dell'infanzia il documento anticipa che un quaderno di poesie predilette fu trovato nello zaino al momento della cattura del 1967. L'anticipazione è legittima come tratto di continuità, ma non prova nulla sul 1935: un reperto boliviano documenta il 1967 e soltanto quello. La regola vale in tutta la serie e ha una forma sola, il documento data se stesso e non l'abitudine che gli si vorrebbe attribuire all'indietro.</w:t>
      </w:r>
    </w:p>
    <w:p>
      <w:pPr>
        <w:spacing w:after="120" w:line="276"/>
        <w:jc w:val="both"/>
      </w:pPr>
      <w:r>
        <w:rPr>
          <w:rFonts w:ascii="Barlow Semi Condensed" w:cs="Barlow Semi Condensed" w:eastAsia="Barlow Semi Condensed" w:hAnsi="Barlow Semi Condensed"/>
          <w:b/>
          <w:bCs/>
          <w:sz w:val="24"/>
          <w:szCs w:val="24"/>
        </w:rPr>
        <w:t xml:space="preserve">1163 · Il Colegio Nacional Deán Funes.</w:t>
      </w:r>
      <w:r>
        <w:rPr>
          <w:rFonts w:ascii="Barlow Semi Condensed" w:cs="Barlow Semi Condensed" w:eastAsia="Barlow Semi Condensed" w:hAnsi="Barlow Semi Condensed"/>
          <w:sz w:val="24"/>
          <w:szCs w:val="24"/>
        </w:rPr>
        <w:t xml:space="preserve"> Nel 1943 la famiglia si sposta a Córdoba e il ragazzo entra al Colegio Nacional Deán Funes: è la prima sede istituzionale nominata dall'Integrazione. I registri di quell'istituto, tuttora esistente, chiuderebbero in un pomeriggio la questione delle materie, dei voti e delle assenze per malattia, che oggi il corpus tiene su base storiografica. Un archivio scolastico è la forma più economica di verifica disponibile in questo territorio.</w:t>
      </w:r>
    </w:p>
    <w:p>
      <w:pPr>
        <w:spacing w:after="120" w:line="276"/>
        <w:jc w:val="both"/>
      </w:pPr>
      <w:r>
        <w:rPr>
          <w:rFonts w:ascii="Barlow Semi Condensed" w:cs="Barlow Semi Condensed" w:eastAsia="Barlow Semi Condensed" w:hAnsi="Barlow Semi Condensed"/>
          <w:b/>
          <w:bCs/>
          <w:sz w:val="24"/>
          <w:szCs w:val="24"/>
        </w:rPr>
        <w:t xml:space="preserve">1164 · Fúser, l'inalatore a bordo campo.</w:t>
      </w:r>
      <w:r>
        <w:rPr>
          <w:rFonts w:ascii="Barlow Semi Condensed" w:cs="Barlow Semi Condensed" w:eastAsia="Barlow Semi Condensed" w:hAnsi="Barlow Semi Condensed"/>
          <w:sz w:val="24"/>
          <w:szCs w:val="24"/>
        </w:rPr>
        <w:t xml:space="preserve"> Il soprannome «Fúser» e il rugby giocato con l'inalatore accanto al campo sono fatti biografici, grado F, e restano inerti: non spiegano una scelta politica e non anticipano una dottrina. Il corpus li conserva perché descrivono un carattere, non perché ne deducano qualcosa. Chi li usa come prefigurazione della guerriglia sta facendo letteratura, e deve dichiararlo; questa serie non lo fa e li registra al loro grado.</w:t>
      </w:r>
    </w:p>
    <w:p>
      <w:pPr>
        <w:spacing w:after="120" w:line="276"/>
        <w:jc w:val="both"/>
      </w:pPr>
      <w:r>
        <w:rPr>
          <w:rFonts w:ascii="Barlow Semi Condensed" w:cs="Barlow Semi Condensed" w:eastAsia="Barlow Semi Condensed" w:hAnsi="Barlow Semi Condensed"/>
          <w:b/>
          <w:bCs/>
          <w:sz w:val="24"/>
          <w:szCs w:val="24"/>
        </w:rPr>
        <w:t xml:space="preserve">1165 · I quaderni filosofici all'Avana.</w:t>
      </w:r>
      <w:r>
        <w:rPr>
          <w:rFonts w:ascii="Barlow Semi Condensed" w:cs="Barlow Semi Condensed" w:eastAsia="Barlow Semi Condensed" w:hAnsi="Barlow Semi Condensed"/>
          <w:sz w:val="24"/>
          <w:szCs w:val="24"/>
        </w:rPr>
        <w:t xml:space="preserve"> L'Integrazione segnala la compilazione di quaderni filosofici personali, indice ragionato di letture aggiornato per anni. Sono conservati, con l'archivio personale, presso il Centro de Estudios Che Guevara dell'Avana. Il bersaglio è diretto e falsificabile: verificare se in quegli indici, e nelle letture registrate fino al 1954, compaia mai il nome oggetto della triangolazione. L'attesa è nulla, perché l'opera d'esordio di quell'autore è posteriore di tre anni al termine del territorio.</w:t>
      </w:r>
    </w:p>
    <w:p>
      <w:pPr>
        <w:spacing w:after="120" w:line="276"/>
        <w:jc w:val="both"/>
      </w:pPr>
      <w:r>
        <w:rPr>
          <w:rFonts w:ascii="Barlow Semi Condensed" w:cs="Barlow Semi Condensed" w:eastAsia="Barlow Semi Condensed" w:hAnsi="Barlow Semi Condensed"/>
          <w:b/>
          <w:bCs/>
          <w:sz w:val="24"/>
          <w:szCs w:val="24"/>
        </w:rPr>
        <w:t xml:space="preserve">1166 · Medicina a Buenos Aires, 1947.</w:t>
      </w:r>
      <w:r>
        <w:rPr>
          <w:rFonts w:ascii="Barlow Semi Condensed" w:cs="Barlow Semi Condensed" w:eastAsia="Barlow Semi Condensed" w:hAnsi="Barlow Semi Condensed"/>
          <w:sz w:val="24"/>
          <w:szCs w:val="24"/>
        </w:rPr>
        <w:t xml:space="preserve"> L'iscrizione alla Facoltà di Medicina, maturata dopo l'assistenza alla nonna paterna Ana Isabel, si orienta verso allergologia e patologie immunitarie nella clinica del dottor Salvador Pisani. È il tratto che il corpus definisce vocazione di ricerca e non ambizione borghese. La sede documentale è l'Università di Buenos Aires: fascicolo studentesco, verbali d'esame, e le carte dell'istituto di Pisani, se sopravvissute, per la collaborazione dichiarata.</w:t>
      </w:r>
    </w:p>
    <w:p>
      <w:pPr>
        <w:spacing w:after="120" w:line="276"/>
        <w:jc w:val="both"/>
      </w:pPr>
      <w:r>
        <w:rPr>
          <w:rFonts w:ascii="Barlow Semi Condensed" w:cs="Barlow Semi Condensed" w:eastAsia="Barlow Semi Condensed" w:hAnsi="Barlow Semi Condensed"/>
          <w:b/>
          <w:bCs/>
          <w:sz w:val="24"/>
          <w:szCs w:val="24"/>
        </w:rPr>
        <w:t xml:space="preserve">1167 · La marina mercantile e le Antille.</w:t>
      </w:r>
      <w:r>
        <w:rPr>
          <w:rFonts w:ascii="Barlow Semi Condensed" w:cs="Barlow Semi Condensed" w:eastAsia="Barlow Semi Condensed" w:hAnsi="Barlow Semi Condensed"/>
          <w:sz w:val="24"/>
          <w:szCs w:val="24"/>
        </w:rPr>
        <w:t xml:space="preserve"> Fra gli impieghi giovanili il documento registra un imbarco nella marina mercantile argentina che portò fino a Trinidad e alla Guyana britannica. È l'unico contatto del territorio con l'orbita anglosassone prima del 1954, ed è occupazionale, non politico. I ruoli d'equipaggio, se conservati presso l'autorità marittima argentina, daterebbero l'imbarco con precisione, che oggi il corpus non ha. Nessuna inferenza discende da un porto coloniale attraversato da un marinaio.</w:t>
      </w:r>
    </w:p>
    <w:p>
      <w:pPr>
        <w:spacing w:after="120" w:line="276"/>
        <w:jc w:val="both"/>
      </w:pPr>
      <w:r>
        <w:rPr>
          <w:rFonts w:ascii="Barlow Semi Condensed" w:cs="Barlow Semi Condensed" w:eastAsia="Barlow Semi Condensed" w:hAnsi="Barlow Semi Condensed"/>
          <w:b/>
          <w:bCs/>
          <w:sz w:val="24"/>
          <w:szCs w:val="24"/>
        </w:rPr>
        <w:t xml:space="preserve">1168 · Il micromotore Cucciolo.</w:t>
      </w:r>
      <w:r>
        <w:rPr>
          <w:rFonts w:ascii="Barlow Semi Condensed" w:cs="Barlow Semi Condensed" w:eastAsia="Barlow Semi Condensed" w:hAnsi="Barlow Semi Condensed"/>
          <w:sz w:val="24"/>
          <w:szCs w:val="24"/>
        </w:rPr>
        <w:t xml:space="preserve"> Nel gennaio-febbraio 1950 quattromilacinquecento chilometri nel nord dell'Argentina su una bicicletta equipaggiata con un micromotore Cucciolo: è il solo oggetto italiano dell'intero territorio, ed è un motore ausiliario di produzione industriale. Si registra qui per prevenire l'uso che una lettura combinatoria ne farebbe. Un manufatto in comune fra due domini non è un canale fra due storie: è merce, e la merce viaggiava.</w:t>
      </w:r>
    </w:p>
    <w:p>
      <w:pPr>
        <w:spacing w:after="120" w:line="276"/>
        <w:jc w:val="both"/>
      </w:pPr>
      <w:r>
        <w:rPr>
          <w:rFonts w:ascii="Barlow Semi Condensed" w:cs="Barlow Semi Condensed" w:eastAsia="Barlow Semi Condensed" w:hAnsi="Barlow Semi Condensed"/>
          <w:b/>
          <w:bCs/>
          <w:sz w:val="24"/>
          <w:szCs w:val="24"/>
        </w:rPr>
        <w:t xml:space="preserve">1169 · Chuquicamata, e il rame cileno.</w:t>
      </w:r>
      <w:r>
        <w:rPr>
          <w:rFonts w:ascii="Barlow Semi Condensed" w:cs="Barlow Semi Condensed" w:eastAsia="Barlow Semi Condensed" w:hAnsi="Barlow Semi Condensed"/>
          <w:sz w:val="24"/>
          <w:szCs w:val="24"/>
        </w:rPr>
        <w:t xml:space="preserve"> La discesa nella miniera di rame di Chuquicamata, nel 1952, con l'incontro dei due minatori comunisti perseguitati, è pagina capitale dei diari e sta al piano dei fatti. Il corpus documenta altrove, nel saggio-cerniera, la responsabilità di apparati statunitensi nella caduta di Salvador Allende nel 1973, undici anni dopo la nazionalizzazione del rame. Le due cose stanno nello stesso paesaggio e a ventun anni di distanza. Non si toccano.</w:t>
      </w:r>
    </w:p>
    <w:p>
      <w:pPr>
        <w:spacing w:after="120" w:line="276"/>
        <w:jc w:val="both"/>
      </w:pPr>
      <w:r>
        <w:rPr>
          <w:rFonts w:ascii="Barlow Semi Condensed" w:cs="Barlow Semi Condensed" w:eastAsia="Barlow Semi Condensed" w:hAnsi="Barlow Semi Condensed"/>
          <w:b/>
          <w:bCs/>
          <w:sz w:val="24"/>
          <w:szCs w:val="24"/>
        </w:rPr>
        <w:t xml:space="preserve">1170 · Il divieto di retrodatare il Cile.</w:t>
      </w:r>
      <w:r>
        <w:rPr>
          <w:rFonts w:ascii="Barlow Semi Condensed" w:cs="Barlow Semi Condensed" w:eastAsia="Barlow Semi Condensed" w:hAnsi="Barlow Semi Condensed"/>
          <w:sz w:val="24"/>
          <w:szCs w:val="24"/>
        </w:rPr>
        <w:t xml:space="preserve"> Si fissa qui la proibizione, perché è la tentazione più forte del territorio. Nulla di ciò che il corpus accerta sul 1970-1973 può essere proiettato sul viaggio del 1952, e nulla di quel viaggio anticipa il 1973. Chi volesse un ponte dovrà esibire un documento del 1952 che nomini la controparte: non esiste, e il corpus lo dichiara. Cornice condivisa è piano 2 nella migliore delle ipotesi, e il piano 2 non è un nesso.</w:t>
      </w:r>
    </w:p>
    <w:p>
      <w:pPr>
        <w:spacing w:after="120" w:line="276"/>
        <w:jc w:val="both"/>
      </w:pPr>
      <w:r>
        <w:rPr>
          <w:rFonts w:ascii="Barlow Semi Condensed" w:cs="Barlow Semi Condensed" w:eastAsia="Barlow Semi Condensed" w:hAnsi="Barlow Semi Condensed"/>
          <w:b/>
          <w:bCs/>
          <w:sz w:val="24"/>
          <w:szCs w:val="24"/>
        </w:rPr>
        <w:t xml:space="preserve">1171 · Hugo Pesce e l'appartenenza.</w:t>
      </w:r>
      <w:r>
        <w:rPr>
          <w:rFonts w:ascii="Barlow Semi Condensed" w:cs="Barlow Semi Condensed" w:eastAsia="Barlow Semi Condensed" w:hAnsi="Barlow Semi Condensed"/>
          <w:sz w:val="24"/>
          <w:szCs w:val="24"/>
        </w:rPr>
        <w:t xml:space="preserve"> Il lebbrosario di San Pablo, in Amazzonia peruviana, e la guida a distanza del dottor Hugo Pesce, medico e dirigente comunista, sono documentati. L'appartenenza politica di Pesce è un fatto biografico e non prova nulla su ciò che il giovane medico argentino fece o pensò in quel mese. La regola è la stessa che il corpus applica ai tredici del registro moroteo: l'appartenenza è inerte, la condotta è individuale e va provata a parte.</w:t>
      </w:r>
    </w:p>
    <w:p>
      <w:pPr>
        <w:spacing w:after="120" w:line="276"/>
        <w:jc w:val="both"/>
      </w:pPr>
      <w:r>
        <w:rPr>
          <w:rFonts w:ascii="Barlow Semi Condensed" w:cs="Barlow Semi Condensed" w:eastAsia="Barlow Semi Condensed" w:hAnsi="Barlow Semi Condensed"/>
          <w:b/>
          <w:bCs/>
          <w:sz w:val="24"/>
          <w:szCs w:val="24"/>
        </w:rPr>
        <w:t xml:space="preserve">1172 · La laurea del giugno 1953.</w:t>
      </w:r>
      <w:r>
        <w:rPr>
          <w:rFonts w:ascii="Barlow Semi Condensed" w:cs="Barlow Semi Condensed" w:eastAsia="Barlow Semi Condensed" w:hAnsi="Barlow Semi Condensed"/>
          <w:sz w:val="24"/>
          <w:szCs w:val="24"/>
        </w:rPr>
        <w:t xml:space="preserve"> Il rientro a Buenos Aires, la sessione forzata di esami e la laurea in medicina del giugno 1953 sono affermazioni portanti dell'Integrazione, sostenute da storiografia e non da atto. Il libro dei verbali di laurea della Facoltà di Medicina dell'Università di Buenos Aires porta la data esatta e il titolo esatto. È una verifica di poche ore che alzerebbe di un grado un fatto oggi tenuto su Anderson, Taibo e Castañeda.</w:t>
      </w:r>
    </w:p>
    <w:p>
      <w:pPr>
        <w:spacing w:after="120" w:line="276"/>
        <w:jc w:val="both"/>
      </w:pPr>
      <w:r>
        <w:rPr>
          <w:rFonts w:ascii="Barlow Semi Condensed" w:cs="Barlow Semi Condensed" w:eastAsia="Barlow Semi Condensed" w:hAnsi="Barlow Semi Condensed"/>
          <w:b/>
          <w:bCs/>
          <w:sz w:val="24"/>
          <w:szCs w:val="24"/>
        </w:rPr>
        <w:t xml:space="preserve">1173 · La partenza del 7 luglio.</w:t>
      </w:r>
      <w:r>
        <w:rPr>
          <w:rFonts w:ascii="Barlow Semi Condensed" w:cs="Barlow Semi Condensed" w:eastAsia="Barlow Semi Condensed" w:hAnsi="Barlow Semi Condensed"/>
          <w:sz w:val="24"/>
          <w:szCs w:val="24"/>
        </w:rPr>
        <w:t xml:space="preserve"> Il secondo viaggio comincia il 7 luglio 1953 con l'amico d'infanzia Carlos «Calica» Ferrer e non prevede ritorno. Il nodo I-9 della triangolazione registra la coerenza fra i documenti del corpus su entrambi i viaggi. Ciò che manca, e che una sola sede fornirebbe, sono i timbri di frontiera: i registri di uscita argentini e di ingresso boliviano del luglio 1953, che trasformerebbero una cronologia biografica in una cronologia documentale.</w:t>
      </w:r>
    </w:p>
    <w:p>
      <w:pPr>
        <w:spacing w:after="120" w:line="276"/>
        <w:jc w:val="both"/>
      </w:pPr>
      <w:r>
        <w:rPr>
          <w:rFonts w:ascii="Barlow Semi Condensed" w:cs="Barlow Semi Condensed" w:eastAsia="Barlow Semi Condensed" w:hAnsi="Barlow Semi Condensed"/>
          <w:b/>
          <w:bCs/>
          <w:sz w:val="24"/>
          <w:szCs w:val="24"/>
        </w:rPr>
        <w:t xml:space="preserve">1174 · La Bolivia del MNR.</w:t>
      </w:r>
      <w:r>
        <w:rPr>
          <w:rFonts w:ascii="Barlow Semi Condensed" w:cs="Barlow Semi Condensed" w:eastAsia="Barlow Semi Condensed" w:hAnsi="Barlow Semi Condensed"/>
          <w:sz w:val="24"/>
          <w:szCs w:val="24"/>
        </w:rPr>
        <w:t xml:space="preserve"> Nel 1953 il giovane medico attraversa la Bolivia della rivoluzione del 1952 e osserva con scetticismo la riforma agraria del MNR. La Bolivia tornerà, in tutt'altro territorio del corpus, come luogo della fine nel 1967. I due passaggi non si spiegano a vicenda e non vanno letti in continuità: il primo è osservazione di un viaggiatore, il secondo è campagna militare, e quattordici anni li separano.</w:t>
      </w:r>
    </w:p>
    <w:p>
      <w:pPr>
        <w:spacing w:after="120" w:line="276"/>
        <w:jc w:val="both"/>
      </w:pPr>
      <w:r>
        <w:rPr>
          <w:rFonts w:ascii="Barlow Semi Condensed" w:cs="Barlow Semi Condensed" w:eastAsia="Barlow Semi Condensed" w:hAnsi="Barlow Semi Condensed"/>
          <w:b/>
          <w:bCs/>
          <w:sz w:val="24"/>
          <w:szCs w:val="24"/>
        </w:rPr>
        <w:t xml:space="preserve">1175 · Ricardo Rojo, la rotta deviata.</w:t>
      </w:r>
      <w:r>
        <w:rPr>
          <w:rFonts w:ascii="Barlow Semi Condensed" w:cs="Barlow Semi Condensed" w:eastAsia="Barlow Semi Condensed" w:hAnsi="Barlow Semi Condensed"/>
          <w:sz w:val="24"/>
          <w:szCs w:val="24"/>
        </w:rPr>
        <w:t xml:space="preserve"> In Ecuador l'incontro con l'esule argentino Ricardo Rojo contribuì a deviare l'itinerario dal Venezuela verso il Centroamerica. È il punto più contingente del territorio e il più utile contro ogni lettura deterministica: senza quella deviazione non ci sarebbe stato il Guatemala del 1954, e senza il Guatemala non la cesura che il documento gli attribuisce. Un incontro casuale pesa qui più di ogni lignaggio.</w:t>
      </w:r>
    </w:p>
    <w:p>
      <w:pPr>
        <w:spacing w:after="120" w:line="276"/>
        <w:jc w:val="both"/>
      </w:pPr>
      <w:r>
        <w:rPr>
          <w:rFonts w:ascii="Barlow Semi Condensed" w:cs="Barlow Semi Condensed" w:eastAsia="Barlow Semi Condensed" w:hAnsi="Barlow Semi Condensed"/>
          <w:b/>
          <w:bCs/>
          <w:sz w:val="24"/>
          <w:szCs w:val="24"/>
        </w:rPr>
        <w:t xml:space="preserve">1176 · Il Guatemala del dicembre 1953.</w:t>
      </w:r>
      <w:r>
        <w:rPr>
          <w:rFonts w:ascii="Barlow Semi Condensed" w:cs="Barlow Semi Condensed" w:eastAsia="Barlow Semi Condensed" w:hAnsi="Barlow Semi Condensed"/>
          <w:sz w:val="24"/>
          <w:szCs w:val="24"/>
        </w:rPr>
        <w:t xml:space="preserve"> L'arrivo in Guatemala è datato dicembre 1953, dopo Perú, Ecuador e Costa Rica. Da questo momento il territorio entra nel solo tratto in cui una potenza straniera compare nel testo. Vale la pena fissarlo prima di procedere: sono poche righe, un solo paragrafo, e su quelle righe si concentra tutto ciò che questa serie può legittimamente interrogare. Il resto del file non offre alcuna superficie di contatto.</w:t>
      </w:r>
    </w:p>
    <w:p>
      <w:pPr>
        <w:spacing w:after="120" w:line="276"/>
        <w:jc w:val="both"/>
      </w:pPr>
      <w:r>
        <w:rPr>
          <w:rFonts w:ascii="Barlow Semi Condensed" w:cs="Barlow Semi Condensed" w:eastAsia="Barlow Semi Condensed" w:hAnsi="Barlow Semi Condensed"/>
          <w:b/>
          <w:bCs/>
          <w:sz w:val="24"/>
          <w:szCs w:val="24"/>
        </w:rPr>
        <w:t xml:space="preserve">1177 · Nessuna sede diplomatica nominata.</w:t>
      </w:r>
      <w:r>
        <w:rPr>
          <w:rFonts w:ascii="Barlow Semi Condensed" w:cs="Barlow Semi Condensed" w:eastAsia="Barlow Semi Condensed" w:hAnsi="Barlow Semi Condensed"/>
          <w:sz w:val="24"/>
          <w:szCs w:val="24"/>
        </w:rPr>
        <w:t xml:space="preserve"> Stato Zero circoscritto: in tutto l'itinerario 1951-1954 il documento non nomina alcuna ambasciata, consolato o funzionario statunitense, neppure in transito. L'unica sede diplomatica citata è l'ambasciata argentina di Città del Guatemala, come rifugio. Se ne ricava che il territorio, per come è costruito, non contiene la classe di documenti nella quale un nome del Dipartimento di Stato potrebbe comparire. Il vuoto misura la costruzione del testo prima che il mondo.</w:t>
      </w:r>
    </w:p>
    <w:p>
      <w:pPr>
        <w:spacing w:after="120" w:line="276"/>
        <w:jc w:val="both"/>
      </w:pPr>
      <w:r>
        <w:rPr>
          <w:rFonts w:ascii="Barlow Semi Condensed" w:cs="Barlow Semi Condensed" w:eastAsia="Barlow Semi Condensed" w:hAnsi="Barlow Semi Condensed"/>
          <w:b/>
          <w:bCs/>
          <w:sz w:val="24"/>
          <w:szCs w:val="24"/>
        </w:rPr>
        <w:t xml:space="preserve">1178 · Il paragrafo statunitense, misurato.</w:t>
      </w:r>
      <w:r>
        <w:rPr>
          <w:rFonts w:ascii="Barlow Semi Condensed" w:cs="Barlow Semi Condensed" w:eastAsia="Barlow Semi Condensed" w:hAnsi="Barlow Semi Condensed"/>
          <w:sz w:val="24"/>
          <w:szCs w:val="24"/>
        </w:rPr>
        <w:t xml:space="preserve"> Il paragrafo sul 1954 contiene, in sequenza, la United Fruit Company, la riforma agraria di Jacobo Árbenz, l'operazione PBSUCCESS della CIA, le bande di Castillo Armas e il rifugio nell'ambasciata argentina. Sono le uniche occorrenze americane del file. Nessuna persona statunitense è nominata: non un ambasciatore, non un direttore d'agenzia, non un segretario. Il territorio descrive un'operazione senza attribuirla ad alcun individuo, ed è una scelta di scrittura che va registrata.</w:t>
      </w:r>
    </w:p>
    <w:p>
      <w:pPr>
        <w:spacing w:after="120" w:line="276"/>
        <w:jc w:val="both"/>
      </w:pPr>
      <w:r>
        <w:rPr>
          <w:rFonts w:ascii="Barlow Semi Condensed" w:cs="Barlow Semi Condensed" w:eastAsia="Barlow Semi Condensed" w:hAnsi="Barlow Semi Condensed"/>
          <w:b/>
          <w:bCs/>
          <w:sz w:val="24"/>
          <w:szCs w:val="24"/>
        </w:rPr>
        <w:t xml:space="preserve">1179 · Dove sta PBSUCCESS.</w:t>
      </w:r>
      <w:r>
        <w:rPr>
          <w:rFonts w:ascii="Barlow Semi Condensed" w:cs="Barlow Semi Condensed" w:eastAsia="Barlow Semi Condensed" w:hAnsi="Barlow Semi Condensed"/>
          <w:sz w:val="24"/>
          <w:szCs w:val="24"/>
        </w:rPr>
        <w:t xml:space="preserve"> La documentazione dell'operazione esiste ed è nominabile: la raccolta declassificata sul Guatemala 1952-1954 nella sala di lettura elettronica dell'agenzia, il volume retrospettivo della serie Foreign Relations of the United States dedicato al Guatemala, i gruppi RG 59 e RG 263 ai National Archives di College Park, e i fascicoli della Eisenhower Presidential Library ad Abilene. È lì, e non nella letteratura guevariana, che una ricerca onomastica sul 1954 va condotta.</w:t>
      </w:r>
    </w:p>
    <w:p>
      <w:pPr>
        <w:spacing w:after="120" w:line="276"/>
        <w:jc w:val="both"/>
      </w:pPr>
      <w:r>
        <w:rPr>
          <w:rFonts w:ascii="Barlow Semi Condensed" w:cs="Barlow Semi Condensed" w:eastAsia="Barlow Semi Condensed" w:hAnsi="Barlow Semi Condensed"/>
          <w:b/>
          <w:bCs/>
          <w:sz w:val="24"/>
          <w:szCs w:val="24"/>
        </w:rPr>
        <w:t xml:space="preserve">1180 · Il dottorando del giugno 1954.</w:t>
      </w:r>
      <w:r>
        <w:rPr>
          <w:rFonts w:ascii="Barlow Semi Condensed" w:cs="Barlow Semi Condensed" w:eastAsia="Barlow Semi Condensed" w:hAnsi="Barlow Semi Condensed"/>
          <w:sz w:val="24"/>
          <w:szCs w:val="24"/>
        </w:rPr>
        <w:t xml:space="preserve"> Accertamento con grado dichiarato, fatti pubblici. Nel giugno 1954 il soggetto di questa triangolazione era un dottorando dell'Università di Harvard: dottorato conseguito quell'anno con una dissertazione su Castlereagh e Metternich, pubblicata nel 1957. Nessuna carica di governo, nessuna funzione operativa, nessuna competenza latinoamericana. La sede che documenta questo stato è l'archivio universitario di Harvard, che conserva la tesi e i fascicoli del dipartimento.</w:t>
      </w:r>
    </w:p>
    <w:p>
      <w:pPr>
        <w:spacing w:after="120" w:line="276"/>
        <w:jc w:val="both"/>
      </w:pPr>
      <w:r>
        <w:rPr>
          <w:rFonts w:ascii="Barlow Semi Condensed" w:cs="Barlow Semi Condensed" w:eastAsia="Barlow Semi Condensed" w:hAnsi="Barlow Semi Condensed"/>
          <w:b/>
          <w:bCs/>
          <w:sz w:val="24"/>
          <w:szCs w:val="24"/>
        </w:rPr>
        <w:t xml:space="preserve">1181 · Stato Zero sulle carte guatemalteche.</w:t>
      </w:r>
      <w:r>
        <w:rPr>
          <w:rFonts w:ascii="Barlow Semi Condensed" w:cs="Barlow Semi Condensed" w:eastAsia="Barlow Semi Condensed" w:hAnsi="Barlow Semi Condensed"/>
          <w:sz w:val="24"/>
          <w:szCs w:val="24"/>
        </w:rPr>
        <w:t xml:space="preserve"> Si verbalizza l'esito negativo con il suo perimetro: nella documentazione dell'operazione finora resa pubblica non risulta alcun documento che rechi quel nome, e il corpus non ne possiede alcuno. Non è prova che non esista, e non è prova che esista e sia stato ritirato: è un dato sulla ricerca condotta e sulle serie aperte. La chiusura definitiva richiederebbe lo spoglio integrale delle serie sopra nominate, con elenco delle buste consultate.</w:t>
      </w:r>
    </w:p>
    <w:p>
      <w:pPr>
        <w:spacing w:after="120" w:line="276"/>
        <w:jc w:val="both"/>
      </w:pPr>
      <w:r>
        <w:rPr>
          <w:rFonts w:ascii="Barlow Semi Condensed" w:cs="Barlow Semi Condensed" w:eastAsia="Barlow Semi Condensed" w:hAnsi="Barlow Semi Condensed"/>
          <w:b/>
          <w:bCs/>
          <w:sz w:val="24"/>
          <w:szCs w:val="24"/>
        </w:rPr>
        <w:t xml:space="preserve">1182 · La condizione del silenzio, qui.</w:t>
      </w:r>
      <w:r>
        <w:rPr>
          <w:rFonts w:ascii="Barlow Semi Condensed" w:cs="Barlow Semi Condensed" w:eastAsia="Barlow Semi Condensed" w:hAnsi="Barlow Semi Condensed"/>
          <w:sz w:val="24"/>
          <w:szCs w:val="24"/>
        </w:rPr>
        <w:t xml:space="preserve"> L'argomento dal silenzio è lecito a una condizione sola, e in questo caso non è soddisfatta. Perché l'assenza fosse informativa, l'archivio interrogato dovrebbe essere quello in cui il documento, se esistesse, si troverebbe per prassi. Un dottorando non figura per ufficio nelle carte operative di un'agenzia. L'assenza qui non è indizio: è rumore, e va scritto così, perché un vuoto atteso non ha alcun valore informativo.</w:t>
      </w:r>
    </w:p>
    <w:p>
      <w:pPr>
        <w:spacing w:after="120" w:line="276"/>
        <w:jc w:val="both"/>
      </w:pPr>
      <w:r>
        <w:rPr>
          <w:rFonts w:ascii="Barlow Semi Condensed" w:cs="Barlow Semi Condensed" w:eastAsia="Barlow Semi Condensed" w:hAnsi="Barlow Semi Condensed"/>
          <w:b/>
          <w:bCs/>
          <w:sz w:val="24"/>
          <w:szCs w:val="24"/>
        </w:rPr>
        <w:t xml:space="preserve">1183 · Il seminario di Harvard e Confluence.</w:t>
      </w:r>
      <w:r>
        <w:rPr>
          <w:rFonts w:ascii="Barlow Semi Condensed" w:cs="Barlow Semi Condensed" w:eastAsia="Barlow Semi Condensed" w:hAnsi="Barlow Semi Condensed"/>
          <w:sz w:val="24"/>
          <w:szCs w:val="24"/>
        </w:rPr>
        <w:t xml:space="preserve"> Un solo bersaglio non banale esiste sul versante americano, e riguarda l'ambiente, non l'operazione. Fra il 1951 e il 1958 il soggetto diresse a Harvard un seminario internazionale e curò la rivista Confluence. Il quesito è circoscritto: se qualche fascicolo di quella rivista trattasse l'America centrale nel 1954, e chi ne finanziasse il seminario. Le sedi sono la Widener Library, l'archivio universitario di Harvard e le carte di Charles Douglas Jackson alla Eisenhower Library.</w:t>
      </w:r>
    </w:p>
    <w:p>
      <w:pPr>
        <w:spacing w:after="120" w:line="276"/>
        <w:jc w:val="both"/>
      </w:pPr>
      <w:r>
        <w:rPr>
          <w:rFonts w:ascii="Barlow Semi Condensed" w:cs="Barlow Semi Condensed" w:eastAsia="Barlow Semi Condensed" w:hAnsi="Barlow Semi Condensed"/>
          <w:b/>
          <w:bCs/>
          <w:sz w:val="24"/>
          <w:szCs w:val="24"/>
        </w:rPr>
        <w:t xml:space="preserve">1184 · Che cosa sarebbe un ponte.</w:t>
      </w:r>
      <w:r>
        <w:rPr>
          <w:rFonts w:ascii="Barlow Semi Condensed" w:cs="Barlow Semi Condensed" w:eastAsia="Barlow Semi Condensed" w:hAnsi="Barlow Semi Condensed"/>
          <w:sz w:val="24"/>
          <w:szCs w:val="24"/>
        </w:rPr>
        <w:t xml:space="preserve"> Si dica in positivo, perché un bersaglio di smentita si scrive come si scriverebbe una prova. Un ponte al piano 1 in questo territorio esisterebbe se, e solo se, un documento datato fra il 1928 e il 1954 e di provenienza accertata nominasse insieme Ernesto Guevara de la Serna e il soggetto della triangolazione. Nessun altro reperto vale: non una coincidenza d'anno, non una rivista, non un finanziamento a un seminario universitario.</w:t>
      </w:r>
    </w:p>
    <w:p>
      <w:pPr>
        <w:spacing w:after="120" w:line="276"/>
        <w:jc w:val="both"/>
      </w:pPr>
      <w:r>
        <w:rPr>
          <w:rFonts w:ascii="Barlow Semi Condensed" w:cs="Barlow Semi Condensed" w:eastAsia="Barlow Semi Condensed" w:hAnsi="Barlow Semi Condensed"/>
          <w:b/>
          <w:bCs/>
          <w:sz w:val="24"/>
          <w:szCs w:val="24"/>
        </w:rPr>
        <w:t xml:space="preserve">1185 · Castlereagh contro il polpo capitalista.</w:t>
      </w:r>
      <w:r>
        <w:rPr>
          <w:rFonts w:ascii="Barlow Semi Condensed" w:cs="Barlow Semi Condensed" w:eastAsia="Barlow Semi Condensed" w:hAnsi="Barlow Semi Condensed"/>
          <w:sz w:val="24"/>
          <w:szCs w:val="24"/>
        </w:rPr>
        <w:t xml:space="preserve"> Nello stesso 1954 due testi guardano l'ordine internazionale da capi opposti: una dissertazione accademica sulla legittimità e l'equilibrio dopo il 1815, e una lettera privata alla zia Beatriz che giura, per ironia, sul ritratto del «compagno Stalin» contro i «polpi capitalisti». Il lettore combinatorio vi vedrà un dialogo. Non lo è. È somiglianza di oggetto, cioè analogia, e dalla somiglianza del tema non si deduce alcun antenato comune.</w:t>
      </w:r>
    </w:p>
    <w:p>
      <w:pPr>
        <w:spacing w:after="120" w:line="276"/>
        <w:jc w:val="both"/>
      </w:pPr>
      <w:r>
        <w:rPr>
          <w:rFonts w:ascii="Barlow Semi Condensed" w:cs="Barlow Semi Condensed" w:eastAsia="Barlow Semi Condensed" w:hAnsi="Barlow Semi Condensed"/>
          <w:b/>
          <w:bCs/>
          <w:sz w:val="24"/>
          <w:szCs w:val="24"/>
        </w:rPr>
        <w:t xml:space="preserve">1186 · Il test dell'antenato comune.</w:t>
      </w:r>
      <w:r>
        <w:rPr>
          <w:rFonts w:ascii="Barlow Semi Condensed" w:cs="Barlow Semi Condensed" w:eastAsia="Barlow Semi Condensed" w:hAnsi="Barlow Semi Condensed"/>
          <w:sz w:val="24"/>
          <w:szCs w:val="24"/>
        </w:rPr>
        <w:t xml:space="preserve"> Il criterio che distingue omologia da analogia si applica anche al lessico, e ha una forma sola. Due testi che parlano entrambi di rivoluzione e di ordine sono omologhi se discendono da una fonte comune dimostrabile, analoghi se il tema li ha resi simili per convergenza. Qui manca ogni tramite: nessuna lettura comune documentata, nessun corrispondente condiviso, nessuna citazione reciproca. Il caso resta di analogia pura, e va classificato così.</w:t>
      </w:r>
    </w:p>
    <w:p>
      <w:pPr>
        <w:spacing w:after="120" w:line="276"/>
        <w:jc w:val="both"/>
      </w:pPr>
      <w:r>
        <w:rPr>
          <w:rFonts w:ascii="Barlow Semi Condensed" w:cs="Barlow Semi Condensed" w:eastAsia="Barlow Semi Condensed" w:hAnsi="Barlow Semi Condensed"/>
          <w:b/>
          <w:bCs/>
          <w:sz w:val="24"/>
          <w:szCs w:val="24"/>
        </w:rPr>
        <w:t xml:space="preserve">1187 · L'ambasciata argentina in Guatemala.</w:t>
      </w:r>
      <w:r>
        <w:rPr>
          <w:rFonts w:ascii="Barlow Semi Condensed" w:cs="Barlow Semi Condensed" w:eastAsia="Barlow Semi Condensed" w:hAnsi="Barlow Semi Condensed"/>
          <w:sz w:val="24"/>
          <w:szCs w:val="24"/>
        </w:rPr>
        <w:t xml:space="preserve"> Il rifugio nell'ambasciata argentina dopo la caduta di Árbenz è affermazione portante dell'Integrazione, oggi su base storiografica. La sede che la documenterebbe è precisa: l'archivio del Ministero degli Esteri argentino, fondo dell'ambasciata in Guatemala, annata 1954, con gli elenchi degli asilati e la corrispondenza sui salvacondotti. Quelle liste porterebbero un nome e una data, e trasformerebbero un episodio biografico in un atto amministrativo verificabile.</w:t>
      </w:r>
    </w:p>
    <w:p>
      <w:pPr>
        <w:spacing w:after="120" w:line="276"/>
        <w:jc w:val="both"/>
      </w:pPr>
      <w:r>
        <w:rPr>
          <w:rFonts w:ascii="Barlow Semi Condensed" w:cs="Barlow Semi Condensed" w:eastAsia="Barlow Semi Condensed" w:hAnsi="Barlow Semi Condensed"/>
          <w:b/>
          <w:bCs/>
          <w:sz w:val="24"/>
          <w:szCs w:val="24"/>
        </w:rPr>
        <w:t xml:space="preserve">1188 · Gli archivi guatemaltechi.</w:t>
      </w:r>
      <w:r>
        <w:rPr>
          <w:rFonts w:ascii="Barlow Semi Condensed" w:cs="Barlow Semi Condensed" w:eastAsia="Barlow Semi Condensed" w:hAnsi="Barlow Semi Condensed"/>
          <w:sz w:val="24"/>
          <w:szCs w:val="24"/>
        </w:rPr>
        <w:t xml:space="preserve"> Sul versante locale due depositi reggerebbero la verifica del passaggio: l'Archivo General de Centro América per le pratiche di soggiorno degli stranieri, e l'Archivio storico della Polizia Nazionale del Guatemala, riaperto nel 2005, per le schedature del 1954. Il quesito da portarvi è uno e non deve gonfiarsi: esiste una scheda intestata a Ernesto Guevara de la Serna, e che cosa contiene. Ogni domanda ulteriore va posta dopo aver visto la scheda.</w:t>
      </w:r>
    </w:p>
    <w:p>
      <w:pPr>
        <w:spacing w:after="120" w:line="276"/>
        <w:jc w:val="both"/>
      </w:pPr>
      <w:r>
        <w:rPr>
          <w:rFonts w:ascii="Barlow Semi Condensed" w:cs="Barlow Semi Condensed" w:eastAsia="Barlow Semi Condensed" w:hAnsi="Barlow Semi Condensed"/>
          <w:b/>
          <w:bCs/>
          <w:sz w:val="24"/>
          <w:szCs w:val="24"/>
        </w:rPr>
        <w:t xml:space="preserve">1189 · Hilda Gadea e i fascicoli.</w:t>
      </w:r>
      <w:r>
        <w:rPr>
          <w:rFonts w:ascii="Barlow Semi Condensed" w:cs="Barlow Semi Condensed" w:eastAsia="Barlow Semi Condensed" w:hAnsi="Barlow Semi Condensed"/>
          <w:sz w:val="24"/>
          <w:szCs w:val="24"/>
        </w:rPr>
        <w:t xml:space="preserve"> L'incontro con l'economista peruviana Hilda Gadea, militante dell'APRA, e la guida che ella esercitò sulle letture marxiste sono documentati dal territorio. La sua militanza è un fatto e non trasferisce nulla a chi le stava accanto. Se esistono fascicoli statunitensi su di lei per gli anni guatemaltechi e messicani, vanno cercati per accesso agli atti, e vanno letti sapendo che un fascicolo attesta un'attività di schedatura, non una condotta dello schedato.</w:t>
      </w:r>
    </w:p>
    <w:p>
      <w:pPr>
        <w:spacing w:after="120" w:line="276"/>
        <w:jc w:val="both"/>
      </w:pPr>
      <w:r>
        <w:rPr>
          <w:rFonts w:ascii="Barlow Semi Condensed" w:cs="Barlow Semi Condensed" w:eastAsia="Barlow Semi Condensed" w:hAnsi="Barlow Semi Condensed"/>
          <w:b/>
          <w:bCs/>
          <w:sz w:val="24"/>
          <w:szCs w:val="24"/>
        </w:rPr>
        <w:t xml:space="preserve">1190 · La lettera alla zia Beatriz.</w:t>
      </w:r>
      <w:r>
        <w:rPr>
          <w:rFonts w:ascii="Barlow Semi Condensed" w:cs="Barlow Semi Condensed" w:eastAsia="Barlow Semi Condensed" w:hAnsi="Barlow Semi Condensed"/>
          <w:sz w:val="24"/>
          <w:szCs w:val="24"/>
        </w:rPr>
        <w:t xml:space="preserve"> È il solo testo di mano propria che il territorio cita per il 1954, ed è per questo il documento su cui provare il piano 1. Il test è semplice e conclusivo: se in quella lettera, o nell'epistolario di quell'anno conservato al Centro de Estudios Che Guevara, comparisse la controparte, esisterebbe un ponte diretto. Non compare, e non poteva comparire. L'esito negativo si registra come acquisizione, non come nulla.</w:t>
      </w:r>
    </w:p>
    <w:p>
      <w:pPr>
        <w:spacing w:after="120" w:line="276"/>
        <w:jc w:val="both"/>
      </w:pPr>
      <w:r>
        <w:rPr>
          <w:rFonts w:ascii="Barlow Semi Condensed" w:cs="Barlow Semi Condensed" w:eastAsia="Barlow Semi Condensed" w:hAnsi="Barlow Semi Condensed"/>
          <w:b/>
          <w:bCs/>
          <w:sz w:val="24"/>
          <w:szCs w:val="24"/>
        </w:rPr>
        <w:t xml:space="preserve">1191 · La cronologia che salta il Guatemala.</w:t>
      </w:r>
      <w:r>
        <w:rPr>
          <w:rFonts w:ascii="Barlow Semi Condensed" w:cs="Barlow Semi Condensed" w:eastAsia="Barlow Semi Condensed" w:hAnsi="Barlow Semi Condensed"/>
          <w:sz w:val="24"/>
          <w:szCs w:val="24"/>
        </w:rPr>
        <w:t xml:space="preserve"> Divergenza interna al corpus, riportata e non sciolta. La cronologia sinottica </w:t>
      </w:r>
      <w:r>
        <w:rPr>
          <w:rFonts w:ascii="Barlow Semi Condensed" w:cs="Barlow Semi Condensed" w:eastAsia="Barlow Semi Condensed" w:hAnsi="Barlow Semi Condensed"/>
          <w:i/>
          <w:iCs/>
          <w:sz w:val="24"/>
          <w:szCs w:val="24"/>
        </w:rPr>
        <w:t xml:space="preserve">cronologia-guevara-moro.html</w:t>
      </w:r>
      <w:r>
        <w:rPr>
          <w:rFonts w:ascii="Barlow Semi Condensed" w:cs="Barlow Semi Condensed" w:eastAsia="Barlow Semi Condensed" w:hAnsi="Barlow Semi Condensed"/>
          <w:sz w:val="24"/>
          <w:szCs w:val="24"/>
        </w:rPr>
        <w:t xml:space="preserve"> colloca sotto la fascia «Formazione 1946-1955» due sole voci guevariane, gli studi con i viaggi e poi il Messico, e non registra né il Guatemala né l'operazione del giugno 1954, che il territorio invece qualifica come cesura. Le due rese vanno allineate, e finché non lo sono chi cita il corpus deve dire quale delle due sta citando.</w:t>
      </w:r>
    </w:p>
    <w:p>
      <w:pPr>
        <w:spacing w:after="120" w:line="276"/>
        <w:jc w:val="both"/>
      </w:pPr>
      <w:r>
        <w:rPr>
          <w:rFonts w:ascii="Barlow Semi Condensed" w:cs="Barlow Semi Condensed" w:eastAsia="Barlow Semi Condensed" w:hAnsi="Barlow Semi Condensed"/>
          <w:b/>
          <w:bCs/>
          <w:sz w:val="24"/>
          <w:szCs w:val="24"/>
        </w:rPr>
        <w:t xml:space="preserve">1192 · Caduto senza combattere.</w:t>
      </w:r>
      <w:r>
        <w:rPr>
          <w:rFonts w:ascii="Barlow Semi Condensed" w:cs="Barlow Semi Condensed" w:eastAsia="Barlow Semi Condensed" w:hAnsi="Barlow Semi Condensed"/>
          <w:sz w:val="24"/>
          <w:szCs w:val="24"/>
        </w:rPr>
        <w:t xml:space="preserve"> La formula con cui il documento liquida la fine di Árbenz — caduto senza combattere — è sintesi storiografica, non accertamento, e in quanto tale porta un grado inferiore rispetto alle date circostanti. Il bersaglio che ne deriva è definito: i verbali dell'esercito guatemalteco e la corrispondenza diplomatica del giugno-luglio 1954 direbbero che cosa avvenne in quei giorni. Una formula riassuntiva non va citata come se fosse un fatto verificato.</w:t>
      </w:r>
    </w:p>
    <w:p>
      <w:pPr>
        <w:spacing w:after="120" w:line="276"/>
        <w:jc w:val="both"/>
      </w:pPr>
      <w:r>
        <w:rPr>
          <w:rFonts w:ascii="Barlow Semi Condensed" w:cs="Barlow Semi Condensed" w:eastAsia="Barlow Semi Condensed" w:hAnsi="Barlow Semi Condensed"/>
          <w:b/>
          <w:bCs/>
          <w:sz w:val="24"/>
          <w:szCs w:val="24"/>
        </w:rPr>
        <w:t xml:space="preserve">1193 · Il valico del 21 settembre 1954.</w:t>
      </w:r>
      <w:r>
        <w:rPr>
          <w:rFonts w:ascii="Barlow Semi Condensed" w:cs="Barlow Semi Condensed" w:eastAsia="Barlow Semi Condensed" w:hAnsi="Barlow Semi Condensed"/>
          <w:sz w:val="24"/>
          <w:szCs w:val="24"/>
        </w:rPr>
        <w:t xml:space="preserve"> La data di ingresso in Messico chiude il territorio ed è la sola data del 1954 che un registro amministrativo può confermare. Le sedi sono messicane: i registri migratori e i fondi della Dirección General de Investigaciones Políticas y Sociales e della Dirección Federal de Seguridad, conservati all'Archivo General de la Nación di Città del Messico. Da quel giorno in poi il soggetto è schedabile, e comincia un altro territorio del corpus.</w:t>
      </w:r>
    </w:p>
    <w:p>
      <w:pPr>
        <w:spacing w:after="120" w:line="276"/>
        <w:jc w:val="both"/>
      </w:pPr>
      <w:r>
        <w:rPr>
          <w:rFonts w:ascii="Barlow Semi Condensed" w:cs="Barlow Semi Condensed" w:eastAsia="Barlow Semi Condensed" w:hAnsi="Barlow Semi Condensed"/>
          <w:b/>
          <w:bCs/>
          <w:sz w:val="24"/>
          <w:szCs w:val="24"/>
        </w:rPr>
        <w:t xml:space="preserve">1194 · La giunzione con il territorio successivo.</w:t>
      </w:r>
      <w:r>
        <w:rPr>
          <w:rFonts w:ascii="Barlow Semi Condensed" w:cs="Barlow Semi Condensed" w:eastAsia="Barlow Semi Condensed" w:hAnsi="Barlow Semi Condensed"/>
          <w:sz w:val="24"/>
          <w:szCs w:val="24"/>
        </w:rPr>
        <w:t xml:space="preserve"> Il file dichiara esso stesso la propria saldatura col rapporto sul periodo messicano e avanero, e questa serie si ferma dove il file si ferma. Non si importano qui gli accertamenti del 1955-1965, né le correzioni applicate a quel documento — l'età di Fidel Castro al primo incontro, la guardiania al Fondo de Cultura Económica — perché appartengono a un'altra scheda e a un'altra serie. Sconfinare significherebbe triangolare due volte lo stesso dato.</w:t>
      </w:r>
    </w:p>
    <w:p>
      <w:pPr>
        <w:spacing w:after="120" w:line="276"/>
        <w:jc w:val="both"/>
      </w:pPr>
      <w:r>
        <w:rPr>
          <w:rFonts w:ascii="Barlow Semi Condensed" w:cs="Barlow Semi Condensed" w:eastAsia="Barlow Semi Condensed" w:hAnsi="Barlow Semi Condensed"/>
          <w:b/>
          <w:bCs/>
          <w:sz w:val="24"/>
          <w:szCs w:val="24"/>
        </w:rPr>
        <w:t xml:space="preserve">1195 · Il fascicolo federale su Guevara.</w:t>
      </w:r>
      <w:r>
        <w:rPr>
          <w:rFonts w:ascii="Barlow Semi Condensed" w:cs="Barlow Semi Condensed" w:eastAsia="Barlow Semi Condensed" w:hAnsi="Barlow Semi Condensed"/>
          <w:sz w:val="24"/>
          <w:szCs w:val="24"/>
        </w:rPr>
        <w:t xml:space="preserve"> Esistono fascicoli statunitensi intestati al soggetto biografico del territorio, aperti però quando egli divenne rilevante, cioè dalla metà degli anni Cinquanta. Il quesito da portare alla sala di lettura dell'ufficio federale d'investigazione e agli archivi di College Park è circoscritto alla data d'apertura: se il primo documento è posteriore al 1954, l'intero territorio resta fuori dalla portata di quelle carte, e va detto prima di consultarle.</w:t>
      </w:r>
    </w:p>
    <w:p>
      <w:pPr>
        <w:spacing w:after="120" w:line="276"/>
        <w:jc w:val="both"/>
      </w:pPr>
      <w:r>
        <w:rPr>
          <w:rFonts w:ascii="Barlow Semi Condensed" w:cs="Barlow Semi Condensed" w:eastAsia="Barlow Semi Condensed" w:hAnsi="Barlow Semi Condensed"/>
          <w:b/>
          <w:bCs/>
          <w:sz w:val="24"/>
          <w:szCs w:val="24"/>
        </w:rPr>
        <w:t xml:space="preserve">1196 · Il versante americano, bilancio negativo.</w:t>
      </w:r>
      <w:r>
        <w:rPr>
          <w:rFonts w:ascii="Barlow Semi Condensed" w:cs="Barlow Semi Condensed" w:eastAsia="Barlow Semi Condensed" w:hAnsi="Barlow Semi Condensed"/>
          <w:sz w:val="24"/>
          <w:szCs w:val="24"/>
        </w:rPr>
        <w:t xml:space="preserve"> Riassunto di esito, con la sua misura. Sul versante statunitense il territorio offre un'operazione senza nomi propri, una compagnia commerciale e un transito aeroportuale. Non offre un solo funzionario, un solo dispaccio, una sola data di riunione. La superficie di contatto potenziale con qualunque nome del Dipartimento di Stato è perciò nulla, e sarebbe nulla per qualsiasi nome, non soltanto per quello di questa triangolazione.</w:t>
      </w:r>
    </w:p>
    <w:p>
      <w:pPr>
        <w:spacing w:after="120" w:line="276"/>
        <w:jc w:val="both"/>
      </w:pPr>
      <w:r>
        <w:rPr>
          <w:rFonts w:ascii="Barlow Semi Condensed" w:cs="Barlow Semi Condensed" w:eastAsia="Barlow Semi Condensed" w:hAnsi="Barlow Semi Condensed"/>
          <w:b/>
          <w:bCs/>
          <w:sz w:val="24"/>
          <w:szCs w:val="24"/>
        </w:rPr>
        <w:t xml:space="preserve">1197 · Le raccolte digitali cominciano nel 1969.</w:t>
      </w:r>
      <w:r>
        <w:rPr>
          <w:rFonts w:ascii="Barlow Semi Condensed" w:cs="Barlow Semi Condensed" w:eastAsia="Barlow Semi Condensed" w:hAnsi="Barlow Semi Condensed"/>
          <w:sz w:val="24"/>
          <w:szCs w:val="24"/>
        </w:rPr>
        <w:t xml:space="preserve"> Regola di lettura sugli strumenti, che vale più di molte ricerche. Le due grandi raccolte digitali dedicate al soggetto — le trascrizioni telefoniche e i verbali di colloquio — nascono con l'ingresso in carica e coprono dal 1969 in avanti. Sono perciò strutturalmente incapaci di documentare qualunque cosa in questo territorio. Interrogarle per il 1954 è chiedere a uno strumento ciò che lo strumento non contiene, e leggerne il vuoto sarebbe un errore di metodo.</w:t>
      </w:r>
    </w:p>
    <w:p>
      <w:pPr>
        <w:spacing w:after="120" w:line="276"/>
        <w:jc w:val="both"/>
      </w:pPr>
      <w:r>
        <w:rPr>
          <w:rFonts w:ascii="Barlow Semi Condensed" w:cs="Barlow Semi Condensed" w:eastAsia="Barlow Semi Condensed" w:hAnsi="Barlow Semi Condensed"/>
          <w:b/>
          <w:bCs/>
          <w:sz w:val="24"/>
          <w:szCs w:val="24"/>
        </w:rPr>
        <w:t xml:space="preserve">1198 · Yale e la Library of Congress.</w:t>
      </w:r>
      <w:r>
        <w:rPr>
          <w:rFonts w:ascii="Barlow Semi Condensed" w:cs="Barlow Semi Condensed" w:eastAsia="Barlow Semi Condensed" w:hAnsi="Barlow Semi Condensed"/>
          <w:sz w:val="24"/>
          <w:szCs w:val="24"/>
        </w:rPr>
        <w:t xml:space="preserve"> Le sole sedi che chiuderebbero davvero il versante 1928-1954 sono le carte personali depositate alla Manuscripts and Archives della Yale University Library e le carte ufficiali alla Manuscript Division della Library of Congress, queste ultime con le restrizioni d'accesso previste dall'atto di deposito. La domanda da porvi è una sola e va posta così: esiste, prima del 1955, un solo documento che nomini l'Argentina, il Guatemala o Ernesto Guevara.</w:t>
      </w:r>
    </w:p>
    <w:p>
      <w:pPr>
        <w:spacing w:after="120" w:line="276"/>
        <w:jc w:val="both"/>
      </w:pPr>
      <w:r>
        <w:rPr>
          <w:rFonts w:ascii="Barlow Semi Condensed" w:cs="Barlow Semi Condensed" w:eastAsia="Barlow Semi Condensed" w:hAnsi="Barlow Semi Condensed"/>
          <w:b/>
          <w:bCs/>
          <w:sz w:val="24"/>
          <w:szCs w:val="24"/>
        </w:rPr>
        <w:t xml:space="preserve">1199 · I tre piani, applicati al territorio.</w:t>
      </w:r>
      <w:r>
        <w:rPr>
          <w:rFonts w:ascii="Barlow Semi Condensed" w:cs="Barlow Semi Condensed" w:eastAsia="Barlow Semi Condensed" w:hAnsi="Barlow Semi Condensed"/>
          <w:sz w:val="24"/>
          <w:szCs w:val="24"/>
        </w:rPr>
        <w:t xml:space="preserve"> Bilancio della regola, esplicito. Piano 1, rapporto diretto documentato: nessuno, e nessuno è ipotizzabile. Piano 2, convergenza strutturale entro la stessa cornice: la sola guerra fredda latinoamericana, che però è cornice di un continente e non di due biografie. Piano 3, affermazione terziaria priva di riscontro: non ne circola alcuna su questo accostamento, e il corpus non ne ha raccolte. Il territorio è, in senso proprio, uno Stato Zero pieno.</w:t>
      </w:r>
    </w:p>
    <w:p>
      <w:pPr>
        <w:spacing w:after="120" w:line="276"/>
        <w:jc w:val="both"/>
      </w:pPr>
      <w:r>
        <w:rPr>
          <w:rFonts w:ascii="Barlow Semi Condensed" w:cs="Barlow Semi Condensed" w:eastAsia="Barlow Semi Condensed" w:hAnsi="Barlow Semi Condensed"/>
          <w:b/>
          <w:bCs/>
          <w:sz w:val="24"/>
          <w:szCs w:val="24"/>
        </w:rPr>
        <w:t xml:space="preserve">1200 · Dove il piano due esiste davvero.</w:t>
      </w:r>
      <w:r>
        <w:rPr>
          <w:rFonts w:ascii="Barlow Semi Condensed" w:cs="Barlow Semi Condensed" w:eastAsia="Barlow Semi Condensed" w:hAnsi="Barlow Semi Condensed"/>
          <w:sz w:val="24"/>
          <w:szCs w:val="24"/>
        </w:rPr>
        <w:t xml:space="preserve"> Va detto con precisione dove la convergenza c'è, per non gonfiarla altrove. Esiste una cornice condivisa fra il Guatemala del 1954 e il Cile del 1973: stessa potenza, stessa regione, stessa logica di contenimento, e il corpus documenta la seconda vicenda nel saggio-cerniera. La cornice però unisce due operazioni, non due persone, e la persona di questa triangolazione entra nella prima soltanto per anacronismo. La convergenza si registra al suo piano e vi resta.</w:t>
      </w:r>
    </w:p>
    <w:p>
      <w:pPr>
        <w:spacing w:after="120" w:line="276"/>
        <w:jc w:val="both"/>
      </w:pPr>
      <w:r>
        <w:rPr>
          <w:rFonts w:ascii="Barlow Semi Condensed" w:cs="Barlow Semi Condensed" w:eastAsia="Barlow Semi Condensed" w:hAnsi="Barlow Semi Condensed"/>
          <w:b/>
          <w:bCs/>
          <w:sz w:val="24"/>
          <w:szCs w:val="24"/>
        </w:rPr>
        <w:t xml:space="preserve">1201 · Il 1954 come anno comune.</w:t>
      </w:r>
      <w:r>
        <w:rPr>
          <w:rFonts w:ascii="Barlow Semi Condensed" w:cs="Barlow Semi Condensed" w:eastAsia="Barlow Semi Condensed" w:hAnsi="Barlow Semi Condensed"/>
          <w:sz w:val="24"/>
          <w:szCs w:val="24"/>
        </w:rPr>
        <w:t xml:space="preserve"> Questo territorio si chiude nel 1954 e in quell'anno l'altro nome consegue il dottorato: la coincidenza è reale ed è priva di significato. La contemporaneità non è prova di nesso, e questa è la sua esemplificazione più pulita in tutto il corpus, perché i due eventi appartengono a continenti, a lingue e a ordini di grandezza diversi. Chi la citasse come indizio avrebbe già dichiarato il proprio metodo.</w:t>
      </w:r>
    </w:p>
    <w:p>
      <w:pPr>
        <w:spacing w:after="120" w:line="276"/>
        <w:jc w:val="both"/>
      </w:pPr>
      <w:r>
        <w:rPr>
          <w:rFonts w:ascii="Barlow Semi Condensed" w:cs="Barlow Semi Condensed" w:eastAsia="Barlow Semi Condensed" w:hAnsi="Barlow Semi Condensed"/>
          <w:b/>
          <w:bCs/>
          <w:sz w:val="24"/>
          <w:szCs w:val="24"/>
        </w:rPr>
        <w:t xml:space="preserve">1202 · La nota di revisione come modello.</w:t>
      </w:r>
      <w:r>
        <w:rPr>
          <w:rFonts w:ascii="Barlow Semi Condensed" w:cs="Barlow Semi Condensed" w:eastAsia="Barlow Semi Condensed" w:hAnsi="Barlow Semi Condensed"/>
          <w:sz w:val="24"/>
          <w:szCs w:val="24"/>
        </w:rPr>
        <w:t xml:space="preserve"> Il territorio porta in coda una nota che dichiara la lezione originaria, la lezione corretta, la fonte e la ragione: i figli del secondo matrimonio di Guevara Lynch erano tre, non quattro. È esattamente il modulo prescritto dal blocco 624 della prima campagna. Va segnalato come esempio riuscito, perché una correzione senza lezione originaria non è verificabile e una correzione senza data non è collocabile fra le revisioni successive.</w:t>
      </w:r>
    </w:p>
    <w:p>
      <w:pPr>
        <w:spacing w:after="120" w:line="276"/>
        <w:jc w:val="both"/>
      </w:pPr>
      <w:r>
        <w:rPr>
          <w:rFonts w:ascii="Barlow Semi Condensed" w:cs="Barlow Semi Condensed" w:eastAsia="Barlow Semi Condensed" w:hAnsi="Barlow Semi Condensed"/>
          <w:b/>
          <w:bCs/>
          <w:sz w:val="24"/>
          <w:szCs w:val="24"/>
        </w:rPr>
        <w:t xml:space="preserve">1203 · Il nodo I-4 e la ricaduta.</w:t>
      </w:r>
      <w:r>
        <w:rPr>
          <w:rFonts w:ascii="Barlow Semi Condensed" w:cs="Barlow Semi Condensed" w:eastAsia="Barlow Semi Condensed" w:hAnsi="Barlow Semi Condensed"/>
          <w:sz w:val="24"/>
          <w:szCs w:val="24"/>
        </w:rPr>
        <w:t xml:space="preserve"> La correzione discende dal nodo I-4 della triangolazione Guevara-Moro, che aveva rilevato l'imprecisione, e i tre nomi — Ramón, María Victoria e Ramiro, dalla pittrice Ana María Erra — sono ora nel testo. Resta un accertamento minore da fare in sede propria: gli atti di nascita presso il Registro Civil argentino, che chiuderebbero la questione senza dipendere dalla memorialistica familiare oggi utilizzata.</w:t>
      </w:r>
    </w:p>
    <w:p>
      <w:pPr>
        <w:spacing w:after="120" w:line="276"/>
        <w:jc w:val="both"/>
      </w:pPr>
      <w:r>
        <w:rPr>
          <w:rFonts w:ascii="Barlow Semi Condensed" w:cs="Barlow Semi Condensed" w:eastAsia="Barlow Semi Condensed" w:hAnsi="Barlow Semi Condensed"/>
          <w:b/>
          <w:bCs/>
          <w:sz w:val="24"/>
          <w:szCs w:val="24"/>
        </w:rPr>
        <w:t xml:space="preserve">1204 · Il nodo I-8, troncature e chiusure.</w:t>
      </w:r>
      <w:r>
        <w:rPr>
          <w:rFonts w:ascii="Barlow Semi Condensed" w:cs="Barlow Semi Condensed" w:eastAsia="Barlow Semi Condensed" w:hAnsi="Barlow Semi Condensed"/>
          <w:sz w:val="24"/>
          <w:szCs w:val="24"/>
        </w:rPr>
        <w:t xml:space="preserve"> Al nodo I-8 il corpus registrava che la stesura originaria si interrompeva al 1934 e che alcuni tratti della vita non erano coperti. L'Integrazione del 24 agosto 2026 ha chiuso il tratto 1943-1954 e va dato atto della chiusura. Resta però il divario di grado: la parte anteriore al 1934 è prosa d'autore documentata, la parte successiva è ricostruzione su tre biografie. Non sono la stessa cosa e non vanno citate allo stesso modo.</w:t>
      </w:r>
    </w:p>
    <w:p>
      <w:pPr>
        <w:spacing w:after="120" w:line="276"/>
        <w:jc w:val="both"/>
      </w:pPr>
      <w:r>
        <w:rPr>
          <w:rFonts w:ascii="Barlow Semi Condensed" w:cs="Barlow Semi Condensed" w:eastAsia="Barlow Semi Condensed" w:hAnsi="Barlow Semi Condensed"/>
          <w:b/>
          <w:bCs/>
          <w:sz w:val="24"/>
          <w:szCs w:val="24"/>
        </w:rPr>
        <w:t xml:space="preserve">1205 · L'avviso onomastico del nodo E-3.</w:t>
      </w:r>
      <w:r>
        <w:rPr>
          <w:rFonts w:ascii="Barlow Semi Condensed" w:cs="Barlow Semi Condensed" w:eastAsia="Barlow Semi Condensed" w:hAnsi="Barlow Semi Condensed"/>
          <w:sz w:val="24"/>
          <w:szCs w:val="24"/>
        </w:rPr>
        <w:t xml:space="preserve"> Il nodo E-3 insegnò al corpus che un nome sbagliato non produce un dettaglio sbagliato ma un fatto inesistente: Alejandro Orfila per Arnaldo Orfila Reynal, due persone diverse. In questo territorio i nomi a rischio sono interni alla famiglia, perché si ripetono: Ernesto padre ed Ernesto figlio, Celia madre e Celia sorella, Ana María sorella nata nel 1934 e Ana María Erra seconda moglie del padre. Ogni citazione ne indichi il ruolo.</w:t>
      </w:r>
    </w:p>
    <w:p>
      <w:pPr>
        <w:spacing w:after="120" w:line="276"/>
        <w:jc w:val="both"/>
      </w:pPr>
      <w:r>
        <w:rPr>
          <w:rFonts w:ascii="Barlow Semi Condensed" w:cs="Barlow Semi Condensed" w:eastAsia="Barlow Semi Condensed" w:hAnsi="Barlow Semi Condensed"/>
          <w:b/>
          <w:bCs/>
          <w:sz w:val="24"/>
          <w:szCs w:val="24"/>
        </w:rPr>
        <w:t xml:space="preserve">1206 · Gli omonimi negli archivi del 1954.</w:t>
      </w:r>
      <w:r>
        <w:rPr>
          <w:rFonts w:ascii="Barlow Semi Condensed" w:cs="Barlow Semi Condensed" w:eastAsia="Barlow Semi Condensed" w:hAnsi="Barlow Semi Condensed"/>
          <w:sz w:val="24"/>
          <w:szCs w:val="24"/>
        </w:rPr>
        <w:t xml:space="preserve"> Ne discende una prescrizione operativa per chiunque interroghi fondi statunitensi o guatemaltechi su quell'anno. La stringa «Guevara» è cognome diffusissimo in America centrale e restituirà omonimi in quantità; la stringa «Che» è ancora inutilizzabile nel 1954, perché il soprannome nascerà nell'ambiente degli esuli in Messico. Si cerchi per nome completo e data di nascita, si dichiarino le varianti escluse, e si conti quanti falsi positivi la ricerca ha prodotto.</w:t>
      </w:r>
    </w:p>
    <w:p>
      <w:pPr>
        <w:spacing w:after="120" w:line="276"/>
        <w:jc w:val="both"/>
      </w:pPr>
      <w:r>
        <w:rPr>
          <w:rFonts w:ascii="Barlow Semi Condensed" w:cs="Barlow Semi Condensed" w:eastAsia="Barlow Semi Condensed" w:hAnsi="Barlow Semi Condensed"/>
          <w:b/>
          <w:bCs/>
          <w:sz w:val="24"/>
          <w:szCs w:val="24"/>
        </w:rPr>
        <w:t xml:space="preserve">1207 · Il grado dichiarato del territorio.</w:t>
      </w:r>
      <w:r>
        <w:rPr>
          <w:rFonts w:ascii="Barlow Semi Condensed" w:cs="Barlow Semi Condensed" w:eastAsia="Barlow Semi Condensed" w:hAnsi="Barlow Semi Condensed"/>
          <w:sz w:val="24"/>
          <w:szCs w:val="24"/>
        </w:rPr>
        <w:t xml:space="preserve"> La tavola della guida alla lettura assegna a questa scheda il grado prevalente «documentato / storiografico». La qualifica ha una conseguenza diretta sulla triangolazione: un territorio storiografico regge accertamenti biografici e non regge attribuzioni. Da esso si possono ricavare quesiti d'archivio, mai imputazioni; e poiché qui non vi è alcun giudicato di alcun genere, la regola di fermarsi al giudicato coincide con la regola di fermarsi al documento.</w:t>
      </w:r>
    </w:p>
    <w:p>
      <w:pPr>
        <w:spacing w:after="120" w:line="276"/>
        <w:jc w:val="both"/>
      </w:pPr>
      <w:r>
        <w:rPr>
          <w:rFonts w:ascii="Barlow Semi Condensed" w:cs="Barlow Semi Condensed" w:eastAsia="Barlow Semi Condensed" w:hAnsi="Barlow Semi Condensed"/>
          <w:b/>
          <w:bCs/>
          <w:sz w:val="24"/>
          <w:szCs w:val="24"/>
        </w:rPr>
        <w:t xml:space="preserve">1208 · Gli indici dei nomi da spogliare.</w:t>
      </w:r>
      <w:r>
        <w:rPr>
          <w:rFonts w:ascii="Barlow Semi Condensed" w:cs="Barlow Semi Condensed" w:eastAsia="Barlow Semi Condensed" w:hAnsi="Barlow Semi Condensed"/>
          <w:sz w:val="24"/>
          <w:szCs w:val="24"/>
        </w:rPr>
        <w:t xml:space="preserve"> Bersaglio bibliografico, eseguibile in biblioteca e non ancora eseguito. Le tre biografie di riferimento del corpus guevariano — Anderson, Taibo II, Castañeda — hanno indici analitici dei nomi. Si accerti se il nome oggetto di questa triangolazione vi compaia, a quale pagina e in quale contesto cronologico. Un'occorrenza posteriore al 1959 non riguarda questo territorio; un'occorrenza anteriore al 1955 sarebbe una notizia, e finora nessuno l'ha segnalata.</w:t>
      </w:r>
    </w:p>
    <w:p>
      <w:pPr>
        <w:spacing w:after="120" w:line="276"/>
        <w:jc w:val="both"/>
      </w:pPr>
      <w:r>
        <w:rPr>
          <w:rFonts w:ascii="Barlow Semi Condensed" w:cs="Barlow Semi Condensed" w:eastAsia="Barlow Semi Condensed" w:hAnsi="Barlow Semi Condensed"/>
          <w:b/>
          <w:bCs/>
          <w:sz w:val="24"/>
          <w:szCs w:val="24"/>
        </w:rPr>
        <w:t xml:space="preserve">1209 · Nessuna colpa per l'uso postumo.</w:t>
      </w:r>
      <w:r>
        <w:rPr>
          <w:rFonts w:ascii="Barlow Semi Condensed" w:cs="Barlow Semi Condensed" w:eastAsia="Barlow Semi Condensed" w:hAnsi="Barlow Semi Condensed"/>
          <w:sz w:val="24"/>
          <w:szCs w:val="24"/>
        </w:rPr>
        <w:t xml:space="preserve"> Il blocco 960 vale anche a rovescio ed è utile ricordarlo proprio qui, dove tutto è anteriore. Chi visse fra il 1928 e il 1954 non risponde di ciò che accadde dopo, e ciò che accadde dopo non retroagisce a colorare un'infanzia. Vale per il bambino asmatico di Alta Gracia e vale per lo studente di Harvard: nessuno dei due era, in quegli anni, il personaggio che il decennio successivo avrebbe costruito.</w:t>
      </w:r>
    </w:p>
    <w:p>
      <w:pPr>
        <w:spacing w:after="120" w:line="276"/>
        <w:jc w:val="both"/>
      </w:pPr>
      <w:r>
        <w:rPr>
          <w:rFonts w:ascii="Barlow Semi Condensed" w:cs="Barlow Semi Condensed" w:eastAsia="Barlow Semi Condensed" w:hAnsi="Barlow Semi Condensed"/>
          <w:b/>
          <w:bCs/>
          <w:sz w:val="24"/>
          <w:szCs w:val="24"/>
        </w:rPr>
        <w:t xml:space="preserve">1210 · Il vettore non tocca questo territorio.</w:t>
      </w:r>
      <w:r>
        <w:rPr>
          <w:rFonts w:ascii="Barlow Semi Condensed" w:cs="Barlow Semi Condensed" w:eastAsia="Barlow Semi Condensed" w:hAnsi="Barlow Semi Condensed"/>
          <w:sz w:val="24"/>
          <w:szCs w:val="24"/>
        </w:rPr>
        <w:t xml:space="preserve"> La trasmissione italiana del mito comincia nel 1967 con la fotografia di Alberto Korda fatta manifesto e nel 1968 con l'edizione del diario boliviano, come registra il nodo M-2. Nessuna di queste operazioni ha alcun rapporto col periodo qui esaminato, e nessuna può essere retrodatata. Il territorio 1928-1954 è anteriore all'esistenza stessa del vettore: è il caso in cui la cronologia, da sola, chiude ogni ipotesi di canale.</w:t>
      </w:r>
    </w:p>
    <w:p>
      <w:pPr>
        <w:spacing w:after="120" w:line="276"/>
        <w:jc w:val="both"/>
      </w:pPr>
      <w:r>
        <w:rPr>
          <w:rFonts w:ascii="Barlow Semi Condensed" w:cs="Barlow Semi Condensed" w:eastAsia="Barlow Semi Condensed" w:hAnsi="Barlow Semi Condensed"/>
          <w:b/>
          <w:bCs/>
          <w:sz w:val="24"/>
          <w:szCs w:val="24"/>
        </w:rPr>
        <w:t xml:space="preserve">1211 · Il modello dichiarato è del 1970.</w:t>
      </w:r>
      <w:r>
        <w:rPr>
          <w:rFonts w:ascii="Barlow Semi Condensed" w:cs="Barlow Semi Condensed" w:eastAsia="Barlow Semi Condensed" w:hAnsi="Barlow Semi Condensed"/>
          <w:sz w:val="24"/>
          <w:szCs w:val="24"/>
        </w:rPr>
        <w:t xml:space="preserve"> Analogamente, la filiazione dottrinale che il corpus documenta al più alto grado — le Brigate Rosse che assumono Guevara a modello individuale al convegno di Pecorile dell'agosto 1970 — sta sedici anni oltre il termine di questo territorio. Il blocco 951 ne trae il divieto: da un modello dichiarato non discende responsabilità. Qui se ne trae un divieto ulteriore, cioè che nulla del 1928-1954 può essere letto alla luce di quella scelta altrui.</w:t>
      </w:r>
    </w:p>
    <w:p>
      <w:pPr>
        <w:spacing w:after="120" w:line="276"/>
        <w:jc w:val="both"/>
      </w:pPr>
      <w:r>
        <w:rPr>
          <w:rFonts w:ascii="Barlow Semi Condensed" w:cs="Barlow Semi Condensed" w:eastAsia="Barlow Semi Condensed" w:hAnsi="Barlow Semi Condensed"/>
          <w:b/>
          <w:bCs/>
          <w:sz w:val="24"/>
          <w:szCs w:val="24"/>
        </w:rPr>
        <w:t xml:space="preserve">1212 · Conto dei bersagli prodotti.</w:t>
      </w:r>
      <w:r>
        <w:rPr>
          <w:rFonts w:ascii="Barlow Semi Condensed" w:cs="Barlow Semi Condensed" w:eastAsia="Barlow Semi Condensed" w:hAnsi="Barlow Semi Condensed"/>
          <w:sz w:val="24"/>
          <w:szCs w:val="24"/>
        </w:rPr>
        <w:t xml:space="preserve"> La lente si giudica dalla resa e il conto si fa in chiusura. Questa serie ha prodotto quesiti d'archivio nuovi su sedi nominate una per una — Rosario, Alta Gracia, Córdoba, Buenos Aires, Città del Guatemala, l'archivio della Cancelleria argentina, l'Avana, Città del Messico, e sul versante statunitense College Park con Abilene, Harvard, Yale e la Library of Congress. Nessuno di essi produce un ponte, e diversi migliorerebbero comunque il territorio.</w:t>
      </w:r>
    </w:p>
    <w:p>
      <w:pPr>
        <w:spacing w:after="120" w:line="276"/>
        <w:jc w:val="both"/>
      </w:pPr>
      <w:r>
        <w:rPr>
          <w:rFonts w:ascii="Barlow Semi Condensed" w:cs="Barlow Semi Condensed" w:eastAsia="Barlow Semi Condensed" w:hAnsi="Barlow Semi Condensed"/>
          <w:b/>
          <w:bCs/>
          <w:sz w:val="24"/>
          <w:szCs w:val="24"/>
        </w:rPr>
        <w:t xml:space="preserve">1213 · Registro delle correzioni della serie.</w:t>
      </w:r>
      <w:r>
        <w:rPr>
          <w:rFonts w:ascii="Barlow Semi Condensed" w:cs="Barlow Semi Condensed" w:eastAsia="Barlow Semi Condensed" w:hAnsi="Barlow Semi Condensed"/>
          <w:sz w:val="24"/>
          <w:szCs w:val="24"/>
        </w:rPr>
        <w:t xml:space="preserve"> Il registro si apre e si chiude vuoto quanto agli errori di fatto: nella lettura integrale del file non è emersa alcuna affermazione da correggere, e la nota di revisione sui tre figli risulta già applicata. Si segnala invece una divergenza interna, fra il territorio e la cronologia sinottica sul Guatemala del 1954, che non è errore dell'uno o dell'altra ma disallineamento di copertura, e va risolto in sede editoriale.</w:t>
      </w:r>
    </w:p>
    <w:p>
      <w:pPr>
        <w:spacing w:after="120" w:line="276"/>
        <w:jc w:val="both"/>
      </w:pPr>
      <w:r>
        <w:rPr>
          <w:rFonts w:ascii="Barlow Semi Condensed" w:cs="Barlow Semi Condensed" w:eastAsia="Barlow Semi Condensed" w:hAnsi="Barlow Semi Condensed"/>
          <w:b/>
          <w:bCs/>
          <w:sz w:val="24"/>
          <w:szCs w:val="24"/>
        </w:rPr>
        <w:t xml:space="preserve">1214 · La condizione di riapertura.</w:t>
      </w:r>
      <w:r>
        <w:rPr>
          <w:rFonts w:ascii="Barlow Semi Condensed" w:cs="Barlow Semi Condensed" w:eastAsia="Barlow Semi Condensed" w:hAnsi="Barlow Semi Condensed"/>
          <w:sz w:val="24"/>
          <w:szCs w:val="24"/>
        </w:rPr>
        <w:t xml:space="preserve"> Una serie chiusa in Stato Zero non è una serie archiviata, e si dice a quali condizioni torna aperta. Basterebbe una sola cosa: un documento anteriore al 1955, di provenienza accertata, che nomini insieme le due parti. Se dovesse emergere da Yale, dalla Library of Congress o da uno spoglio guatemalteco, questa serie si riscrive per intero e la riscrittura si verbalizza accanto al testo attuale, che resta leggibile.</w:t>
      </w:r>
    </w:p>
    <w:p>
      <w:pPr>
        <w:spacing w:after="120" w:line="276"/>
        <w:jc w:val="both"/>
      </w:pPr>
      <w:r>
        <w:rPr>
          <w:rFonts w:ascii="Barlow Semi Condensed" w:cs="Barlow Semi Condensed" w:eastAsia="Barlow Semi Condensed" w:hAnsi="Barlow Semi Condensed"/>
          <w:b/>
          <w:bCs/>
          <w:sz w:val="24"/>
          <w:szCs w:val="24"/>
        </w:rPr>
        <w:t xml:space="preserve">1215 · L'assenza detta bene.</w:t>
      </w:r>
      <w:r>
        <w:rPr>
          <w:rFonts w:ascii="Barlow Semi Condensed" w:cs="Barlow Semi Condensed" w:eastAsia="Barlow Semi Condensed" w:hAnsi="Barlow Semi Condensed"/>
          <w:sz w:val="24"/>
          <w:szCs w:val="24"/>
        </w:rPr>
        <w:t xml:space="preserve"> Resta da dire che cosa vale questo esito. Un territorio che non contiene il nome cercato, dichiarato per intero con le stringhe interrogate, le sedi che lo chiuderebbero e le condizioni di riapertura, è più utile di qualunque ponte suggerito: toglie dal tavolo una combinazione possibile e la toglie in modo falsificabile. Il corpus considera questo un'acquisizione di pieno valore, e la serie sedicesima si consegna così.</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Serie diciassettesima — Guevara: Messico e Avana 1954-1965</w:t>
      </w:r>
    </w:p>
    <w:p>
      <w:pPr>
        <w:spacing w:after="120" w:line="276"/>
        <w:jc w:val="both"/>
      </w:pPr>
      <w:r>
        <w:rPr>
          <w:rFonts w:ascii="Barlow Semi Condensed" w:cs="Barlow Semi Condensed" w:eastAsia="Barlow Semi Condensed" w:hAnsi="Barlow Semi Condensed"/>
          <w:i/>
          <w:iCs/>
          <w:sz w:val="24"/>
          <w:szCs w:val="24"/>
        </w:rPr>
        <w:t xml:space="preserve">Blocchi 1216-1295.</w:t>
      </w:r>
    </w:p>
    <w:p>
      <w:pPr>
        <w:spacing w:after="120" w:line="276"/>
        <w:jc w:val="both"/>
      </w:pPr>
      <w:r>
        <w:rPr>
          <w:rFonts w:ascii="Barlow Semi Condensed" w:cs="Barlow Semi Condensed" w:eastAsia="Barlow Semi Condensed" w:hAnsi="Barlow Semi Condensed"/>
          <w:b/>
          <w:bCs/>
          <w:sz w:val="24"/>
          <w:szCs w:val="24"/>
        </w:rPr>
        <w:t xml:space="preserve">1216 · Zero occorrenze, perimetro dichiarato.</w:t>
      </w:r>
      <w:r>
        <w:rPr>
          <w:rFonts w:ascii="Barlow Semi Condensed" w:cs="Barlow Semi Condensed" w:eastAsia="Barlow Semi Condensed" w:hAnsi="Barlow Semi Condensed"/>
          <w:sz w:val="24"/>
          <w:szCs w:val="24"/>
        </w:rPr>
        <w:t xml:space="preserve"> Verifica meccanica eseguita su </w:t>
      </w:r>
      <w:r>
        <w:rPr>
          <w:rFonts w:ascii="Barlow Semi Condensed" w:cs="Barlow Semi Condensed" w:eastAsia="Barlow Semi Condensed" w:hAnsi="Barlow Semi Condensed"/>
          <w:i/>
          <w:iCs/>
          <w:sz w:val="24"/>
          <w:szCs w:val="24"/>
        </w:rPr>
        <w:t xml:space="preserve">guevara-messico-avana-1954-1965.md</w:t>
      </w:r>
      <w:r>
        <w:rPr>
          <w:rFonts w:ascii="Barlow Semi Condensed" w:cs="Barlow Semi Condensed" w:eastAsia="Barlow Semi Condensed" w:hAnsi="Barlow Semi Condensed"/>
          <w:sz w:val="24"/>
          <w:szCs w:val="24"/>
        </w:rPr>
        <w:t xml:space="preserve">: la stringa «Kissinger» vi ricorre zero volte, e zero volte anche «Heinz» e «Harry». Lo Stato Zero si verbalizza col perimetro prescritto dai blocchi 233 e 285 dell'agenda di ricerca: che cosa è stato cercato, dove, quando, con quale esito. Nessuna sede d'archivio lo chiuderebbe, perché il vuoto sta nel documento del corpus e non nel mondo.</w:t>
      </w:r>
    </w:p>
    <w:p>
      <w:pPr>
        <w:spacing w:after="120" w:line="276"/>
        <w:jc w:val="both"/>
      </w:pPr>
      <w:r>
        <w:rPr>
          <w:rFonts w:ascii="Barlow Semi Condensed" w:cs="Barlow Semi Condensed" w:eastAsia="Barlow Semi Condensed" w:hAnsi="Barlow Semi Condensed"/>
          <w:b/>
          <w:bCs/>
          <w:sz w:val="24"/>
          <w:szCs w:val="24"/>
        </w:rPr>
        <w:t xml:space="preserve">1217 · Nessun uomo di Washington nel territorio.</w:t>
      </w:r>
      <w:r>
        <w:rPr>
          <w:rFonts w:ascii="Barlow Semi Condensed" w:cs="Barlow Semi Condensed" w:eastAsia="Barlow Semi Condensed" w:hAnsi="Barlow Semi Condensed"/>
          <w:sz w:val="24"/>
          <w:szCs w:val="24"/>
        </w:rPr>
        <w:t xml:space="preserve"> Estesa la verifica ai nomi che una triangolazione statunitense si aspetterebbe: Eisenhower zero, Kennedy zero, Johnson zero, Nixon zero, Rockefeller zero, Harvard zero. Il territorio assegnato non nomina un solo uomo di governo statunitense. È anzitutto un dato sulla costruzione del documento — una biografia latinoamericana scritta su fonti latinoamericane — e solo in second'ordine un dato sulla storia. Va letto in quell'ordine.</w:t>
      </w:r>
    </w:p>
    <w:p>
      <w:pPr>
        <w:spacing w:after="120" w:line="276"/>
        <w:jc w:val="both"/>
      </w:pPr>
      <w:r>
        <w:rPr>
          <w:rFonts w:ascii="Barlow Semi Condensed" w:cs="Barlow Semi Condensed" w:eastAsia="Barlow Semi Condensed" w:hAnsi="Barlow Semi Condensed"/>
          <w:b/>
          <w:bCs/>
          <w:sz w:val="24"/>
          <w:szCs w:val="24"/>
        </w:rPr>
        <w:t xml:space="preserve">1218 · L'unica sigla americana del documento.</w:t>
      </w:r>
      <w:r>
        <w:rPr>
          <w:rFonts w:ascii="Barlow Semi Condensed" w:cs="Barlow Semi Condensed" w:eastAsia="Barlow Semi Condensed" w:hAnsi="Barlow Semi Condensed"/>
          <w:sz w:val="24"/>
          <w:szCs w:val="24"/>
        </w:rPr>
        <w:t xml:space="preserve"> Una sola occorrenza statunitense attraversa il territorio: la CIA, nel passaggio sul colpo di Stato guatemalteco del 1954 e su Carlos Castillo Armas. Compare in un inciso di antefatto, prima dell'ingresso in Messico del 21 settembre 1954, e senza alcun nome individuale accanto. Un'agenzia nominata non è una persona nominata: la distinzione governa ogni inferenza che si volesse trarre da quella riga.</w:t>
      </w:r>
    </w:p>
    <w:p>
      <w:pPr>
        <w:spacing w:after="120" w:line="276"/>
        <w:jc w:val="both"/>
      </w:pPr>
      <w:r>
        <w:rPr>
          <w:rFonts w:ascii="Barlow Semi Condensed" w:cs="Barlow Semi Condensed" w:eastAsia="Barlow Semi Condensed" w:hAnsi="Barlow Semi Condensed"/>
          <w:b/>
          <w:bCs/>
          <w:sz w:val="24"/>
          <w:szCs w:val="24"/>
        </w:rPr>
        <w:t xml:space="preserve">1219 · Il vincolo delle date d'incarico.</w:t>
      </w:r>
      <w:r>
        <w:rPr>
          <w:rFonts w:ascii="Barlow Semi Condensed" w:cs="Barlow Semi Condensed" w:eastAsia="Barlow Semi Condensed" w:hAnsi="Barlow Semi Condensed"/>
          <w:sz w:val="24"/>
          <w:szCs w:val="24"/>
        </w:rPr>
        <w:t xml:space="preserve"> L'accertamento K-2 dell'opera fissa il perimetro: Assistente per la sicurezza nazionale dal 20 gennaio 1969, Segretario di Stato dal 22 settembre 1973. Il territorio si chiude nel marzo 1965 con le dimissioni dalle cariche cubane. Fra la fine del territorio e il primo incarico esecutivo corrono quasi quattro anni. Nessun atto di governo statunitense di questo arco può portare quella firma: accertamento negativo di grado alto.</w:t>
      </w:r>
    </w:p>
    <w:p>
      <w:pPr>
        <w:spacing w:after="120" w:line="276"/>
        <w:jc w:val="both"/>
      </w:pPr>
      <w:r>
        <w:rPr>
          <w:rFonts w:ascii="Barlow Semi Condensed" w:cs="Barlow Semi Condensed" w:eastAsia="Barlow Semi Condensed" w:hAnsi="Barlow Semi Condensed"/>
          <w:b/>
          <w:bCs/>
          <w:sz w:val="24"/>
          <w:szCs w:val="24"/>
        </w:rPr>
        <w:t xml:space="preserve">1220 · Il 1954 condiviso e inerte.</w:t>
      </w:r>
      <w:r>
        <w:rPr>
          <w:rFonts w:ascii="Barlow Semi Condensed" w:cs="Barlow Semi Condensed" w:eastAsia="Barlow Semi Condensed" w:hAnsi="Barlow Semi Condensed"/>
          <w:sz w:val="24"/>
          <w:szCs w:val="24"/>
        </w:rPr>
        <w:t xml:space="preserve"> Nello stesso anno in cui Guevara varca il confine messicano, a Cambridge si conclude un dottorato di storia diplomatica su Castlereagh e Metternich. La coincidenza di data è reale e completamente sterile. La contemporaneità non è prova di nesso: la regola vale qui come al blocco 388 dell'opera, e va scritta prima che la simultaneità cominci a sembrare significativa a chi legge in fretta.</w:t>
      </w:r>
    </w:p>
    <w:p>
      <w:pPr>
        <w:spacing w:after="120" w:line="276"/>
        <w:jc w:val="both"/>
      </w:pPr>
      <w:r>
        <w:rPr>
          <w:rFonts w:ascii="Barlow Semi Condensed" w:cs="Barlow Semi Condensed" w:eastAsia="Barlow Semi Condensed" w:hAnsi="Barlow Semi Condensed"/>
          <w:b/>
          <w:bCs/>
          <w:sz w:val="24"/>
          <w:szCs w:val="24"/>
        </w:rPr>
        <w:t xml:space="preserve">1221 · Le carte anteriori al 1969.</w:t>
      </w:r>
      <w:r>
        <w:rPr>
          <w:rFonts w:ascii="Barlow Semi Condensed" w:cs="Barlow Semi Condensed" w:eastAsia="Barlow Semi Condensed" w:hAnsi="Barlow Semi Condensed"/>
          <w:sz w:val="24"/>
          <w:szCs w:val="24"/>
        </w:rPr>
        <w:t xml:space="preserve"> Il quesito primario di questa serie ha una sede sola: la parte delle carte personali anteriore al 1969, depositata presso la Yale University Library, Manuscripts and Archives, con segnatura da riscontrare in sala. Domanda da portare: esiste, negli anni 1954-1965, un solo foglio che nomini Cuba, il Messico dell'esilio o Ernesto Guevara? L'attesa motivata è negativa; l'esito va verbalizzato comunque.</w:t>
      </w:r>
    </w:p>
    <w:p>
      <w:pPr>
        <w:spacing w:after="120" w:line="276"/>
        <w:jc w:val="both"/>
      </w:pPr>
      <w:r>
        <w:rPr>
          <w:rFonts w:ascii="Barlow Semi Condensed" w:cs="Barlow Semi Condensed" w:eastAsia="Barlow Semi Condensed" w:hAnsi="Barlow Semi Condensed"/>
          <w:b/>
          <w:bCs/>
          <w:sz w:val="24"/>
          <w:szCs w:val="24"/>
        </w:rPr>
        <w:t xml:space="preserve">1222 · Il deposito di Washington, con riserve.</w:t>
      </w:r>
      <w:r>
        <w:rPr>
          <w:rFonts w:ascii="Barlow Semi Condensed" w:cs="Barlow Semi Condensed" w:eastAsia="Barlow Semi Condensed" w:hAnsi="Barlow Semi Condensed"/>
          <w:sz w:val="24"/>
          <w:szCs w:val="24"/>
        </w:rPr>
        <w:t xml:space="preserve"> Distinto dal precedente e da non confondere con esso: la Manuscript Division della Library of Congress conserva il fondo maggiore, con un regime di consultazione che è stato oggetto di contenzioso e di aperture parziali. Chi vi porti il quesito 1954-1965 dichiari in premessa quali serie risultavano aperte alla data della ricerca. Un esito negativo su un fondo chiuso non è Stato Zero: è una porta.</w:t>
      </w:r>
    </w:p>
    <w:p>
      <w:pPr>
        <w:spacing w:after="120" w:line="276"/>
        <w:jc w:val="both"/>
      </w:pPr>
      <w:r>
        <w:rPr>
          <w:rFonts w:ascii="Barlow Semi Condensed" w:cs="Barlow Semi Condensed" w:eastAsia="Barlow Semi Condensed" w:hAnsi="Barlow Semi Condensed"/>
          <w:b/>
          <w:bCs/>
          <w:sz w:val="24"/>
          <w:szCs w:val="24"/>
        </w:rPr>
        <w:t xml:space="preserve">1223 · Il seminario di Harvard, liste alla mano.</w:t>
      </w:r>
      <w:r>
        <w:rPr>
          <w:rFonts w:ascii="Barlow Semi Condensed" w:cs="Barlow Semi Condensed" w:eastAsia="Barlow Semi Condensed" w:hAnsi="Barlow Semi Condensed"/>
          <w:sz w:val="24"/>
          <w:szCs w:val="24"/>
        </w:rPr>
        <w:t xml:space="preserve"> Bersaglio d'archivio nuovo, che la lente ha fatto scrivere: gli Harvard University Archives conservano le carte del seminario internazionale estivo diretto dal 1951. Si chiedano gli elenchi nominativi dei partecipanti per le annate 1954-1965 e li si confronti coi nomi del territorio. Una sola corrispondenza sposterebbe il ponte al piano 1; l'assenza completa chiuderebbe la questione con un negativo forte.</w:t>
      </w:r>
    </w:p>
    <w:p>
      <w:pPr>
        <w:spacing w:after="120" w:line="276"/>
        <w:jc w:val="both"/>
      </w:pPr>
      <w:r>
        <w:rPr>
          <w:rFonts w:ascii="Barlow Semi Condensed" w:cs="Barlow Semi Condensed" w:eastAsia="Barlow Semi Condensed" w:hAnsi="Barlow Semi Condensed"/>
          <w:b/>
          <w:bCs/>
          <w:sz w:val="24"/>
          <w:szCs w:val="24"/>
        </w:rPr>
        <w:t xml:space="preserve">1224 · Il centro di Cambridge e l'America Latina.</w:t>
      </w:r>
      <w:r>
        <w:rPr>
          <w:rFonts w:ascii="Barlow Semi Condensed" w:cs="Barlow Semi Condensed" w:eastAsia="Barlow Semi Condensed" w:hAnsi="Barlow Semi Condensed"/>
          <w:sz w:val="24"/>
          <w:szCs w:val="24"/>
        </w:rPr>
        <w:t xml:space="preserve"> Seconda porta nella stessa sede: le carte del Center for International Affairs, attivo dal 1958 sotto la direzione di Robert Bowie. Quesito: fra i programmi di ricerca del centro figura un progetto latinoamericano negli anni del territorio, e chi lo firma? La risposta attesa colloca l'istituzione su Europa, alleanza atlantica e armi nucleari. Se così fosse, il negativo diventa strutturale e non accidentale.</w:t>
      </w:r>
    </w:p>
    <w:p>
      <w:pPr>
        <w:spacing w:after="120" w:line="276"/>
        <w:jc w:val="both"/>
      </w:pPr>
      <w:r>
        <w:rPr>
          <w:rFonts w:ascii="Barlow Semi Condensed" w:cs="Barlow Semi Condensed" w:eastAsia="Barlow Semi Condensed" w:hAnsi="Barlow Semi Condensed"/>
          <w:b/>
          <w:bCs/>
          <w:sz w:val="24"/>
          <w:szCs w:val="24"/>
        </w:rPr>
        <w:t xml:space="preserve">1225 · Sleepy Hollow, e un piano due.</w:t>
      </w:r>
      <w:r>
        <w:rPr>
          <w:rFonts w:ascii="Barlow Semi Condensed" w:cs="Barlow Semi Condensed" w:eastAsia="Barlow Semi Condensed" w:hAnsi="Barlow Semi Condensed"/>
          <w:sz w:val="24"/>
          <w:szCs w:val="24"/>
        </w:rPr>
        <w:t xml:space="preserve"> Al Rockefeller Archive Center si conservano le carte del Rockefeller Brothers Fund e dello Special Studies Project del 1956-1958, di cui il nome qui triangolato fu direttore. Quel progetto produsse rapporti sullo sviluppo economico e sociale, America Latina compresa. È convergenza strutturale entro la stessa cornice — piano 2 — perché nessun documento noto vi nomina la controparte. Non si promuove: si registra e si porta in archivio.</w:t>
      </w:r>
    </w:p>
    <w:p>
      <w:pPr>
        <w:spacing w:after="120" w:line="276"/>
        <w:jc w:val="both"/>
      </w:pPr>
      <w:r>
        <w:rPr>
          <w:rFonts w:ascii="Barlow Semi Condensed" w:cs="Barlow Semi Condensed" w:eastAsia="Barlow Semi Condensed" w:hAnsi="Barlow Semi Condensed"/>
          <w:b/>
          <w:bCs/>
          <w:sz w:val="24"/>
          <w:szCs w:val="24"/>
        </w:rPr>
        <w:t xml:space="preserve">1226 · Princeton, il gruppo di studio nucleare.</w:t>
      </w:r>
      <w:r>
        <w:rPr>
          <w:rFonts w:ascii="Barlow Semi Condensed" w:cs="Barlow Semi Condensed" w:eastAsia="Barlow Semi Condensed" w:hAnsi="Barlow Semi Condensed"/>
          <w:sz w:val="24"/>
          <w:szCs w:val="24"/>
        </w:rPr>
        <w:t xml:space="preserve"> La Seeley G. Mudd Manuscript Library di Princeton conserva le carte del Council on Foreign Relations, compreso il gruppo di studio del 1955-1956 sulle armi nucleari da cui uscì il libro del 1957. Quesito verbalizzabile: in quei verbali compaiono mai Cuba, il Messico o l'esilio latinoamericano? Attesa negativa. L'appartenenza a quel consiglio, in ogni caso, non è prova di alcuna condotta.</w:t>
      </w:r>
    </w:p>
    <w:p>
      <w:pPr>
        <w:spacing w:after="120" w:line="276"/>
        <w:jc w:val="both"/>
      </w:pPr>
      <w:r>
        <w:rPr>
          <w:rFonts w:ascii="Barlow Semi Condensed" w:cs="Barlow Semi Condensed" w:eastAsia="Barlow Semi Condensed" w:hAnsi="Barlow Semi Condensed"/>
          <w:b/>
          <w:bCs/>
          <w:sz w:val="24"/>
          <w:szCs w:val="24"/>
        </w:rPr>
        <w:t xml:space="preserve">1227 · Una rivista da spogliare per intero.</w:t>
      </w:r>
      <w:r>
        <w:rPr>
          <w:rFonts w:ascii="Barlow Semi Condensed" w:cs="Barlow Semi Condensed" w:eastAsia="Barlow Semi Condensed" w:hAnsi="Barlow Semi Condensed"/>
          <w:sz w:val="24"/>
          <w:szCs w:val="24"/>
        </w:rPr>
        <w:t xml:space="preserve"> La rivista fondata a Cambridge e diretta fra il 1952 e il 1958 è un giacimento piccolo e integralmente spogliabile: poche annate, indici disponibili nelle grandi biblioteche di ricerca. Si legga sommario per sommario cercandovi l'America Latina. È il tipo di verifica che costa poco e chiude una domanda in modo definitivo, in un senso o nell'altro: per questo va fatta prima di quelle costose.</w:t>
      </w:r>
    </w:p>
    <w:p>
      <w:pPr>
        <w:spacing w:after="120" w:line="276"/>
        <w:jc w:val="both"/>
      </w:pPr>
      <w:r>
        <w:rPr>
          <w:rFonts w:ascii="Barlow Semi Condensed" w:cs="Barlow Semi Condensed" w:eastAsia="Barlow Semi Condensed" w:hAnsi="Barlow Semi Condensed"/>
          <w:b/>
          <w:bCs/>
          <w:sz w:val="24"/>
          <w:szCs w:val="24"/>
        </w:rPr>
        <w:t xml:space="preserve">1228 · Consulenza esterna e Baia dei Porci.</w:t>
      </w:r>
      <w:r>
        <w:rPr>
          <w:rFonts w:ascii="Barlow Semi Condensed" w:cs="Barlow Semi Condensed" w:eastAsia="Barlow Semi Condensed" w:hAnsi="Barlow Semi Condensed"/>
          <w:sz w:val="24"/>
          <w:szCs w:val="24"/>
        </w:rPr>
        <w:t xml:space="preserve"> Nell'aprile 1961 il territorio colloca il comando occidentale a Pinar del Río. Negli stessi mesi il nome qui triangolato risulta consulente a tempo parziale del Consiglio di sicurezza nazionale. La sede che dirime è la John F. Kennedy Presidential Library, National Security Files, coi carteggi di McGeorge Bundy: si chieda se una sola carta lo assegni al dossier cubano. Attesa negativa.</w:t>
      </w:r>
    </w:p>
    <w:p>
      <w:pPr>
        <w:spacing w:after="120" w:line="276"/>
        <w:jc w:val="both"/>
      </w:pPr>
      <w:r>
        <w:rPr>
          <w:rFonts w:ascii="Barlow Semi Condensed" w:cs="Barlow Semi Condensed" w:eastAsia="Barlow Semi Condensed" w:hAnsi="Barlow Semi Condensed"/>
          <w:b/>
          <w:bCs/>
          <w:sz w:val="24"/>
          <w:szCs w:val="24"/>
        </w:rPr>
        <w:t xml:space="preserve">1229 · Ottobre 1962, un negativo forte.</w:t>
      </w:r>
      <w:r>
        <w:rPr>
          <w:rFonts w:ascii="Barlow Semi Condensed" w:cs="Barlow Semi Condensed" w:eastAsia="Barlow Semi Condensed" w:hAnsi="Barlow Semi Condensed"/>
          <w:sz w:val="24"/>
          <w:szCs w:val="24"/>
        </w:rPr>
        <w:t xml:space="preserve"> Per la crisi dei missili l'accertamento è più solido che altrove, perché la documentazione è eccezionalmente completa: verbali, nastri presidenziali ed elenchi dei presenti alle riunioni ristrette sono pubblicati e conservati alla Kennedy Library. Il nome non vi compare. Qui il negativo non nasce da un fondo non spogliato ma da una fonte esaustiva già edita, e va dichiarato di grado alto.</w:t>
      </w:r>
    </w:p>
    <w:p>
      <w:pPr>
        <w:spacing w:after="120" w:line="276"/>
        <w:jc w:val="both"/>
      </w:pPr>
      <w:r>
        <w:rPr>
          <w:rFonts w:ascii="Barlow Semi Condensed" w:cs="Barlow Semi Condensed" w:eastAsia="Barlow Semi Condensed" w:hAnsi="Barlow Semi Condensed"/>
          <w:b/>
          <w:bCs/>
          <w:sz w:val="24"/>
          <w:szCs w:val="24"/>
        </w:rPr>
        <w:t xml:space="preserve">1230 · Che cosa sarebbe un piano uno.</w:t>
      </w:r>
      <w:r>
        <w:rPr>
          <w:rFonts w:ascii="Barlow Semi Condensed" w:cs="Barlow Semi Condensed" w:eastAsia="Barlow Semi Condensed" w:hAnsi="Barlow Semi Condensed"/>
          <w:sz w:val="24"/>
          <w:szCs w:val="24"/>
        </w:rPr>
        <w:t xml:space="preserve"> Il territorio tace su Punta del Este, ma proprio lì si trova il modello del ponte reale: il 17 agosto 1961, in Uruguay, Guevara parlò con un consigliere della Casa Bianca, e il promemoria al presidente del 22 agosto è edito nel volume X del FRUS 1961-1963. Un documento di provenienza che nomina entrambe le parti: questo, e solo questo, è piano 1.</w:t>
      </w:r>
    </w:p>
    <w:p>
      <w:pPr>
        <w:spacing w:after="120" w:line="276"/>
        <w:jc w:val="both"/>
      </w:pPr>
      <w:r>
        <w:rPr>
          <w:rFonts w:ascii="Barlow Semi Condensed" w:cs="Barlow Semi Condensed" w:eastAsia="Barlow Semi Condensed" w:hAnsi="Barlow Semi Condensed"/>
          <w:b/>
          <w:bCs/>
          <w:sz w:val="24"/>
          <w:szCs w:val="24"/>
        </w:rPr>
        <w:t xml:space="preserve">1231 · Città del Messico, il fascicolo della retata.</w:t>
      </w:r>
      <w:r>
        <w:rPr>
          <w:rFonts w:ascii="Barlow Semi Condensed" w:cs="Barlow Semi Condensed" w:eastAsia="Barlow Semi Condensed" w:hAnsi="Barlow Semi Condensed"/>
          <w:sz w:val="24"/>
          <w:szCs w:val="24"/>
        </w:rPr>
        <w:t xml:space="preserve"> Quesito per l'Archivo General de la Nación: nei fondi della Dirección Federal de Seguridad e di Investigaciones Políticas y Sociales si cerchi il fascicolo dell'operazione fra il 20 e il 24 giugno 1956, coi verbali di fermo. Domanda mirata: vi compare un consulente o un accademico statunitense? Il regime di consultazione di quei fondi è variato nel tempo e va accertato prima di partire.</w:t>
      </w:r>
    </w:p>
    <w:p>
      <w:pPr>
        <w:spacing w:after="120" w:line="276"/>
        <w:jc w:val="both"/>
      </w:pPr>
      <w:r>
        <w:rPr>
          <w:rFonts w:ascii="Barlow Semi Condensed" w:cs="Barlow Semi Condensed" w:eastAsia="Barlow Semi Condensed" w:hAnsi="Barlow Semi Condensed"/>
          <w:b/>
          <w:bCs/>
          <w:sz w:val="24"/>
          <w:szCs w:val="24"/>
        </w:rPr>
        <w:t xml:space="preserve">1232 · Miguel Schultz, cinquantasette giorni.</w:t>
      </w:r>
      <w:r>
        <w:rPr>
          <w:rFonts w:ascii="Barlow Semi Condensed" w:cs="Barlow Semi Condensed" w:eastAsia="Barlow Semi Condensed" w:hAnsi="Barlow Semi Condensed"/>
          <w:sz w:val="24"/>
          <w:szCs w:val="24"/>
        </w:rPr>
        <w:t xml:space="preserve"> La stazione migratoria della Secretaría de Gobernación in calle Miguel Schultz 136 produsse registri d'ingresso e d'uscita. Sono la carta seriale che dice chi vi fu trattenuto e per quanto, e daterebbe con precisione i cinquantasette giorni riferiti dal territorio. Si chiedano all'Archivo General de la Nación e all'archivio storico dell'istituto migratorio. Nessuna attesa di nomi statunitensi: il valore sta sulla cronologia interna.</w:t>
      </w:r>
    </w:p>
    <w:p>
      <w:pPr>
        <w:spacing w:after="120" w:line="276"/>
        <w:jc w:val="both"/>
      </w:pPr>
      <w:r>
        <w:rPr>
          <w:rFonts w:ascii="Barlow Semi Condensed" w:cs="Barlow Semi Condensed" w:eastAsia="Barlow Semi Condensed" w:hAnsi="Barlow Semi Condensed"/>
          <w:b/>
          <w:bCs/>
          <w:sz w:val="24"/>
          <w:szCs w:val="24"/>
        </w:rPr>
        <w:t xml:space="preserve">1233 · Una divergenza che resta aperta.</w:t>
      </w:r>
      <w:r>
        <w:rPr>
          <w:rFonts w:ascii="Barlow Semi Condensed" w:cs="Barlow Semi Condensed" w:eastAsia="Barlow Semi Condensed" w:hAnsi="Barlow Semi Condensed"/>
          <w:sz w:val="24"/>
          <w:szCs w:val="24"/>
        </w:rPr>
        <w:t xml:space="preserve"> Il nodo E-10 della triangolazione registra che le fonti datano il fermo del capo cubano al 20-21 giugno e la cattura al ranch al 24. Il territorio è stato riscritto su quell'arco, non su una data unica. La divergenza si riporta e non si scioglie: chi la chiudesse d'ufficio guadagnerebbe una riga netta e perderebbe l'unico dato che dice quanto davvero sappiamo.</w:t>
      </w:r>
    </w:p>
    <w:p>
      <w:pPr>
        <w:spacing w:after="120" w:line="276"/>
        <w:jc w:val="both"/>
      </w:pPr>
      <w:r>
        <w:rPr>
          <w:rFonts w:ascii="Barlow Semi Condensed" w:cs="Barlow Semi Condensed" w:eastAsia="Barlow Semi Condensed" w:hAnsi="Barlow Semi Condensed"/>
          <w:b/>
          <w:bCs/>
          <w:sz w:val="24"/>
          <w:szCs w:val="24"/>
        </w:rPr>
        <w:t xml:space="preserve">1234 · Il padiglione ventuno, archivio clinico.</w:t>
      </w:r>
      <w:r>
        <w:rPr>
          <w:rFonts w:ascii="Barlow Semi Condensed" w:cs="Barlow Semi Condensed" w:eastAsia="Barlow Semi Condensed" w:hAnsi="Barlow Semi Condensed"/>
          <w:sz w:val="24"/>
          <w:szCs w:val="24"/>
        </w:rPr>
        <w:t xml:space="preserve"> L'internato in allergologia sotto Mario Salazar Mallén all'Hospital General de México lascia una traccia amministrativa: registri di servizio, cartelle, elenchi del personale del Padiglione 21. Si chiedano all'archivio storico dell'ospedale. È il punto in cui il territorio è più verificabile e meno politico, e vale come banco di prova: se lì la documentazione regge, il resto acquista credito per contiguità.</w:t>
      </w:r>
    </w:p>
    <w:p>
      <w:pPr>
        <w:spacing w:after="120" w:line="276"/>
        <w:jc w:val="both"/>
      </w:pPr>
      <w:r>
        <w:rPr>
          <w:rFonts w:ascii="Barlow Semi Condensed" w:cs="Barlow Semi Condensed" w:eastAsia="Barlow Semi Condensed" w:hAnsi="Barlow Semi Condensed"/>
          <w:b/>
          <w:bCs/>
          <w:sz w:val="24"/>
          <w:szCs w:val="24"/>
        </w:rPr>
        <w:t xml:space="preserve">1235 · La Hemeroteca e il titolo oscillante.</w:t>
      </w:r>
      <w:r>
        <w:rPr>
          <w:rFonts w:ascii="Barlow Semi Condensed" w:cs="Barlow Semi Condensed" w:eastAsia="Barlow Semi Condensed" w:hAnsi="Barlow Semi Condensed"/>
          <w:sz w:val="24"/>
          <w:szCs w:val="24"/>
        </w:rPr>
        <w:t xml:space="preserve"> Il nodo E-5 segnala che il titolo dell'articolo del 1955 circola in due forme, </w:t>
      </w:r>
      <w:r>
        <w:rPr>
          <w:rFonts w:ascii="Barlow Semi Condensed" w:cs="Barlow Semi Condensed" w:eastAsia="Barlow Semi Condensed" w:hAnsi="Barlow Semi Condensed"/>
          <w:i/>
          <w:iCs/>
          <w:sz w:val="24"/>
          <w:szCs w:val="24"/>
        </w:rPr>
        <w:t xml:space="preserve">Investigaciones</w:t>
      </w:r>
      <w:r>
        <w:rPr>
          <w:rFonts w:ascii="Barlow Semi Condensed" w:cs="Barlow Semi Condensed" w:eastAsia="Barlow Semi Condensed" w:hAnsi="Barlow Semi Condensed"/>
          <w:sz w:val="24"/>
          <w:szCs w:val="24"/>
        </w:rPr>
        <w:t xml:space="preserve"> e </w:t>
      </w:r>
      <w:r>
        <w:rPr>
          <w:rFonts w:ascii="Barlow Semi Condensed" w:cs="Barlow Semi Condensed" w:eastAsia="Barlow Semi Condensed" w:hAnsi="Barlow Semi Condensed"/>
          <w:i/>
          <w:iCs/>
          <w:sz w:val="24"/>
          <w:szCs w:val="24"/>
        </w:rPr>
        <w:t xml:space="preserve">Pruebas cutáneas</w:t>
      </w:r>
      <w:r>
        <w:rPr>
          <w:rFonts w:ascii="Barlow Semi Condensed" w:cs="Barlow Semi Condensed" w:eastAsia="Barlow Semi Condensed" w:hAnsi="Barlow Semi Condensed"/>
          <w:sz w:val="24"/>
          <w:szCs w:val="24"/>
        </w:rPr>
        <w:t xml:space="preserve">. La sede che chiude la questione è la Hemeroteca Nacional de México, volume II numero 4 della </w:t>
      </w:r>
      <w:r>
        <w:rPr>
          <w:rFonts w:ascii="Barlow Semi Condensed" w:cs="Barlow Semi Condensed" w:eastAsia="Barlow Semi Condensed" w:hAnsi="Barlow Semi Condensed"/>
          <w:i/>
          <w:iCs/>
          <w:sz w:val="24"/>
          <w:szCs w:val="24"/>
        </w:rPr>
        <w:t xml:space="preserve">Revista Iberoamericana de Alergología</w:t>
      </w:r>
      <w:r>
        <w:rPr>
          <w:rFonts w:ascii="Barlow Semi Condensed" w:cs="Barlow Semi Condensed" w:eastAsia="Barlow Semi Condensed" w:hAnsi="Barlow Semi Condensed"/>
          <w:sz w:val="24"/>
          <w:szCs w:val="24"/>
        </w:rPr>
        <w:t xml:space="preserve">. Una collazione sull'esemplare a stampa dirime in un pomeriggio ciò che decenni di citazioni hanno lasciato aperto. Finché non è fatta, entrambe le lezioni restano in campo.</w:t>
      </w:r>
    </w:p>
    <w:p>
      <w:pPr>
        <w:spacing w:after="120" w:line="276"/>
        <w:jc w:val="both"/>
      </w:pPr>
      <w:r>
        <w:rPr>
          <w:rFonts w:ascii="Barlow Semi Condensed" w:cs="Barlow Semi Condensed" w:eastAsia="Barlow Semi Condensed" w:hAnsi="Barlow Semi Condensed"/>
          <w:b/>
          <w:bCs/>
          <w:sz w:val="24"/>
          <w:szCs w:val="24"/>
        </w:rPr>
        <w:t xml:space="preserve">1236 · Due nomi che oscillano, statuti diversi.</w:t>
      </w:r>
      <w:r>
        <w:rPr>
          <w:rFonts w:ascii="Barlow Semi Condensed" w:cs="Barlow Semi Condensed" w:eastAsia="Barlow Semi Condensed" w:hAnsi="Barlow Semi Condensed"/>
          <w:sz w:val="24"/>
          <w:szCs w:val="24"/>
        </w:rPr>
        <w:t xml:space="preserve"> Il titolo che oscilla fra due lezioni e il nome che oscilla fra il 1938 e il 1942-1943 non sono lo stesso fenomeno, e vanno tenuti separati come al blocco 6 dell'opera. Il primo è errore di copia a valle e si corregge collazionando l'esemplare. Il secondo è divergenza fra una vulgata priva di documenti e un fascicolo che ne ha uno. L'omologia è di procedura, non di oggetto.</w:t>
      </w:r>
    </w:p>
    <w:p>
      <w:pPr>
        <w:spacing w:after="120" w:line="276"/>
        <w:jc w:val="both"/>
      </w:pPr>
      <w:r>
        <w:rPr>
          <w:rFonts w:ascii="Barlow Semi Condensed" w:cs="Barlow Semi Condensed" w:eastAsia="Barlow Semi Condensed" w:hAnsi="Barlow Semi Condensed"/>
          <w:b/>
          <w:bCs/>
          <w:sz w:val="24"/>
          <w:szCs w:val="24"/>
        </w:rPr>
        <w:t xml:space="preserve">1237 · Le lezioni all'ateneo messicano.</w:t>
      </w:r>
      <w:r>
        <w:rPr>
          <w:rFonts w:ascii="Barlow Semi Condensed" w:cs="Barlow Semi Condensed" w:eastAsia="Barlow Semi Condensed" w:hAnsi="Barlow Semi Condensed"/>
          <w:sz w:val="24"/>
          <w:szCs w:val="24"/>
        </w:rPr>
        <w:t xml:space="preserve"> La nota di revisione 1 documenta le lezioni alla Facoltà di Medicina dell'Università Nazionale Autonoma. Registri didattici e libretti d'incarico dell'ateneo consentirebbero di datarle. Quesito accessorio da porre nella stessa richiesta: figura per quegli anni un programma di scambio con istituzioni statunitensi che tocchi il servizio di allergologia? Attesa negativa, ma la domanda non costa nulla se formulata insieme all'altra.</w:t>
      </w:r>
    </w:p>
    <w:p>
      <w:pPr>
        <w:spacing w:after="120" w:line="276"/>
        <w:jc w:val="both"/>
      </w:pPr>
      <w:r>
        <w:rPr>
          <w:rFonts w:ascii="Barlow Semi Condensed" w:cs="Barlow Semi Condensed" w:eastAsia="Barlow Semi Condensed" w:hAnsi="Barlow Semi Condensed"/>
          <w:b/>
          <w:bCs/>
          <w:sz w:val="24"/>
          <w:szCs w:val="24"/>
        </w:rPr>
        <w:t xml:space="preserve">1238 · Il nome sbagliato genera un fatto inesistente.</w:t>
      </w:r>
      <w:r>
        <w:rPr>
          <w:rFonts w:ascii="Barlow Semi Condensed" w:cs="Barlow Semi Condensed" w:eastAsia="Barlow Semi Condensed" w:hAnsi="Barlow Semi Condensed"/>
          <w:sz w:val="24"/>
          <w:szCs w:val="24"/>
        </w:rPr>
        <w:t xml:space="preserve"> La stessa nota di revisione espunge l'impiego al Fondo de Cultura Económica e segnala la confusione fra Arnaldo Orfila Reynal e Alejandro Orfila, persone diverse. Il blocco 7 dell'opera ne aveva già fatto il proprio precedente. La conseguenza è operativa: prima di chiedere un fascicolo si verifica che il nome esista e sia quello giusto, altrimenti l'archivio risponderà a una domanda immaginaria.</w:t>
      </w:r>
    </w:p>
    <w:p>
      <w:pPr>
        <w:spacing w:after="120" w:line="276"/>
        <w:jc w:val="both"/>
      </w:pPr>
      <w:r>
        <w:rPr>
          <w:rFonts w:ascii="Barlow Semi Condensed" w:cs="Barlow Semi Condensed" w:eastAsia="Barlow Semi Condensed" w:hAnsi="Barlow Semi Condensed"/>
          <w:b/>
          <w:bCs/>
          <w:sz w:val="24"/>
          <w:szCs w:val="24"/>
        </w:rPr>
        <w:t xml:space="preserve">1239 · Un dato espunto non ritorna.</w:t>
      </w:r>
      <w:r>
        <w:rPr>
          <w:rFonts w:ascii="Barlow Semi Condensed" w:cs="Barlow Semi Condensed" w:eastAsia="Barlow Semi Condensed" w:hAnsi="Barlow Semi Condensed"/>
          <w:sz w:val="24"/>
          <w:szCs w:val="24"/>
        </w:rPr>
        <w:t xml:space="preserve"> I centoquarantotto chilometri quadrati attribuiti al Rancho Santa Rosa sono stati cancellati dalla nota di revisione 2, che conserva invece l'affitto simbolico da Erasmo Rivera, veterano villista. Quel dato non può rientrare per citazione di terzi che lo avessero ripreso dal corpus prima della correzione. È la regola della replicazione: una cifra sbagliata che torna non è conferma, è la stessa cifra che ha fatto il giro.</w:t>
      </w:r>
    </w:p>
    <w:p>
      <w:pPr>
        <w:spacing w:after="120" w:line="276"/>
        <w:jc w:val="both"/>
      </w:pPr>
      <w:r>
        <w:rPr>
          <w:rFonts w:ascii="Barlow Semi Condensed" w:cs="Barlow Semi Condensed" w:eastAsia="Barlow Semi Condensed" w:hAnsi="Barlow Semi Condensed"/>
          <w:b/>
          <w:bCs/>
          <w:sz w:val="24"/>
          <w:szCs w:val="24"/>
        </w:rPr>
        <w:t xml:space="preserve">1240 · Ordine di grandezza contro conteggio puntuale.</w:t>
      </w:r>
      <w:r>
        <w:rPr>
          <w:rFonts w:ascii="Barlow Semi Condensed" w:cs="Barlow Semi Condensed" w:eastAsia="Barlow Semi Condensed" w:hAnsi="Barlow Semi Condensed"/>
          <w:sz w:val="24"/>
          <w:szCs w:val="24"/>
        </w:rPr>
        <w:t xml:space="preserve"> Ad Alegría de Pío la nota di revisione 3 ha sostituito i conteggi puntuali con l'ordine di grandezza su cui la storiografia converge: circa venti morti fra combattimento ed esecuzioni sommarie, circa venti superstiti riuniti a Cinco Palmas. È la scelta corretta e va imitata ovunque le fonti divergano sui numeri. Un numero preciso che nessuna fonte regge informa meno di una forbice dichiarata.</w:t>
      </w:r>
    </w:p>
    <w:p>
      <w:pPr>
        <w:spacing w:after="120" w:line="276"/>
        <w:jc w:val="both"/>
      </w:pPr>
      <w:r>
        <w:rPr>
          <w:rFonts w:ascii="Barlow Semi Condensed" w:cs="Barlow Semi Condensed" w:eastAsia="Barlow Semi Condensed" w:hAnsi="Barlow Semi Condensed"/>
          <w:b/>
          <w:bCs/>
          <w:sz w:val="24"/>
          <w:szCs w:val="24"/>
        </w:rPr>
        <w:t xml:space="preserve">1241 · Tuxpan, il porto e i suoi registri.</w:t>
      </w:r>
      <w:r>
        <w:rPr>
          <w:rFonts w:ascii="Barlow Semi Condensed" w:cs="Barlow Semi Condensed" w:eastAsia="Barlow Semi Condensed" w:hAnsi="Barlow Semi Condensed"/>
          <w:sz w:val="24"/>
          <w:szCs w:val="24"/>
        </w:rPr>
        <w:t xml:space="preserve"> Bersaglio minore ma chiudibile: la partenza dello yacht dal porto di Tuxpan il 25 novembre 1956 può aver lasciato traccia nei registri di capitaneria e nelle carte doganali messicane, oggi fra l'Archivo General de la Nación e gli archivi statali di Veracruz. Il quesito serve al territorio, non alla triangolazione: il nome qui studiato non ha ragione alcuna di comparirvi.</w:t>
      </w:r>
    </w:p>
    <w:p>
      <w:pPr>
        <w:spacing w:after="120" w:line="276"/>
        <w:jc w:val="both"/>
      </w:pPr>
      <w:r>
        <w:rPr>
          <w:rFonts w:ascii="Barlow Semi Condensed" w:cs="Barlow Semi Condensed" w:eastAsia="Barlow Semi Condensed" w:hAnsi="Barlow Semi Condensed"/>
          <w:b/>
          <w:bCs/>
          <w:sz w:val="24"/>
          <w:szCs w:val="24"/>
        </w:rPr>
        <w:t xml:space="preserve">1242 · La Cabaña, e il limite del corpus.</w:t>
      </w:r>
      <w:r>
        <w:rPr>
          <w:rFonts w:ascii="Barlow Semi Condensed" w:cs="Barlow Semi Condensed" w:eastAsia="Barlow Semi Condensed" w:hAnsi="Barlow Semi Condensed"/>
          <w:sz w:val="24"/>
          <w:szCs w:val="24"/>
        </w:rPr>
        <w:t xml:space="preserve"> Sui tribunali rivoluzionari del 1959 il territorio dichiara che le cifre delle fucilazioni divergono nella storiografia, da poche decine a oltre un centinaio. Nessun giudizio ha mai accertato quei numeri. La regola che vieta di indicare come responsabile di reato chi non fu condannato vale in ogni direzione, e qui obbliga a fermarsi sulla divergenza dichiarata senza scioglierla né attenuarla.</w:t>
      </w:r>
    </w:p>
    <w:p>
      <w:pPr>
        <w:spacing w:after="120" w:line="276"/>
        <w:jc w:val="both"/>
      </w:pPr>
      <w:r>
        <w:rPr>
          <w:rFonts w:ascii="Barlow Semi Condensed" w:cs="Barlow Semi Condensed" w:eastAsia="Barlow Semi Condensed" w:hAnsi="Barlow Semi Condensed"/>
          <w:b/>
          <w:bCs/>
          <w:sz w:val="24"/>
          <w:szCs w:val="24"/>
        </w:rPr>
        <w:t xml:space="preserve">1243 · Il divieto vale nei due sensi.</w:t>
      </w:r>
      <w:r>
        <w:rPr>
          <w:rFonts w:ascii="Barlow Semi Condensed" w:cs="Barlow Semi Condensed" w:eastAsia="Barlow Semi Condensed" w:hAnsi="Barlow Semi Condensed"/>
          <w:sz w:val="24"/>
          <w:szCs w:val="24"/>
        </w:rPr>
        <w:t xml:space="preserve"> Va ribadito nel punto della serie in cui la tentazione è massima. Henry Kissinger non fu mai imputato né processato in alcun Paese, e nessun blocco lo indica come responsabile di reato. La medesima disciplina impedisce di trasformare in imputazione, contro chiunque compaia in questo territorio, ciò che il corpus registra come fatto storico con fonti divergenti. Una regola usata a intermittenza non è una regola.</w:t>
      </w:r>
    </w:p>
    <w:p>
      <w:pPr>
        <w:spacing w:after="120" w:line="276"/>
        <w:jc w:val="both"/>
      </w:pPr>
      <w:r>
        <w:rPr>
          <w:rFonts w:ascii="Barlow Semi Condensed" w:cs="Barlow Semi Condensed" w:eastAsia="Barlow Semi Condensed" w:hAnsi="Barlow Semi Condensed"/>
          <w:b/>
          <w:bCs/>
          <w:sz w:val="24"/>
          <w:szCs w:val="24"/>
        </w:rPr>
        <w:t xml:space="preserve">1244 · La banca nazionale e le sue firme.</w:t>
      </w:r>
      <w:r>
        <w:rPr>
          <w:rFonts w:ascii="Barlow Semi Condensed" w:cs="Barlow Semi Condensed" w:eastAsia="Barlow Semi Condensed" w:hAnsi="Barlow Semi Condensed"/>
          <w:sz w:val="24"/>
          <w:szCs w:val="24"/>
        </w:rPr>
        <w:t xml:space="preserve"> Il 26 novembre 1959 comincia la presidenza del Banco Nacional de Cuba, con le banconote firmate «Che». Quesito documentale: il volume VI del FRUS 1958-1960, dedicato a Cuba, nomina mai un consulente accademico statunitense in relazione alla politica monetaria cubana? Attesa negativa netta. Il test costa quanto la lettura di un indice dei nomi ed è dunque obbligatorio prima di qualunque congettura.</w:t>
      </w:r>
    </w:p>
    <w:p>
      <w:pPr>
        <w:spacing w:after="120" w:line="276"/>
        <w:jc w:val="both"/>
      </w:pPr>
      <w:r>
        <w:rPr>
          <w:rFonts w:ascii="Barlow Semi Condensed" w:cs="Barlow Semi Condensed" w:eastAsia="Barlow Semi Condensed" w:hAnsi="Barlow Semi Condensed"/>
          <w:b/>
          <w:bCs/>
          <w:sz w:val="24"/>
          <w:szCs w:val="24"/>
        </w:rPr>
        <w:t xml:space="preserve">1245 · College Park, la serie cubana.</w:t>
      </w:r>
      <w:r>
        <w:rPr>
          <w:rFonts w:ascii="Barlow Semi Condensed" w:cs="Barlow Semi Condensed" w:eastAsia="Barlow Semi Condensed" w:hAnsi="Barlow Semi Condensed"/>
          <w:sz w:val="24"/>
          <w:szCs w:val="24"/>
        </w:rPr>
        <w:t xml:space="preserve"> Ai National Archives di College Park si chieda il Central Decimal File del Dipartimento di Stato per Cuba negli anni 1955-1959, verificando in sala inventari la serie corrente. La ricerca vada condotta per nome e non per tema, perché il tema restituisce migliaia di pagine e il nome restituisce un esito verbalizzabile. Uno zero misurato vale più di mille pagine lette male.</w:t>
      </w:r>
    </w:p>
    <w:p>
      <w:pPr>
        <w:spacing w:after="120" w:line="276"/>
        <w:jc w:val="both"/>
      </w:pPr>
      <w:r>
        <w:rPr>
          <w:rFonts w:ascii="Barlow Semi Condensed" w:cs="Barlow Semi Condensed" w:eastAsia="Barlow Semi Condensed" w:hAnsi="Barlow Semi Condensed"/>
          <w:b/>
          <w:bCs/>
          <w:sz w:val="24"/>
          <w:szCs w:val="24"/>
        </w:rPr>
        <w:t xml:space="preserve">1246 · La serie messicana, stesso metodo.</w:t>
      </w:r>
      <w:r>
        <w:rPr>
          <w:rFonts w:ascii="Barlow Semi Condensed" w:cs="Barlow Semi Condensed" w:eastAsia="Barlow Semi Condensed" w:hAnsi="Barlow Semi Condensed"/>
          <w:sz w:val="24"/>
          <w:szCs w:val="24"/>
        </w:rPr>
        <w:t xml:space="preserve"> Identica richiesta per il Messico degli anni 1954-1956, quando il Dipartimento di Stato seguiva da vicino l'esilio politico cubano. Qui l'attesa cambia di segno per il territorio — carte sull'ambiente di Emparán 49 possono esistere — e resta invariata per il nome triangolato. Le due attese vanno dichiarate separatamente, altrimenti un esito positivo sul primo fronte verrà letto come conferma sul secondo.</w:t>
      </w:r>
    </w:p>
    <w:p>
      <w:pPr>
        <w:spacing w:after="120" w:line="276"/>
        <w:jc w:val="both"/>
      </w:pPr>
      <w:r>
        <w:rPr>
          <w:rFonts w:ascii="Barlow Semi Condensed" w:cs="Barlow Semi Condensed" w:eastAsia="Barlow Semi Condensed" w:hAnsi="Barlow Semi Condensed"/>
          <w:b/>
          <w:bCs/>
          <w:sz w:val="24"/>
          <w:szCs w:val="24"/>
        </w:rPr>
        <w:t xml:space="preserve">1247 · L'indice dei nomi come strumento.</w:t>
      </w:r>
      <w:r>
        <w:rPr>
          <w:rFonts w:ascii="Barlow Semi Condensed" w:cs="Barlow Semi Condensed" w:eastAsia="Barlow Semi Condensed" w:hAnsi="Barlow Semi Condensed"/>
          <w:sz w:val="24"/>
          <w:szCs w:val="24"/>
        </w:rPr>
        <w:t xml:space="preserve"> Regola di lettura applicabile e sottoutilizzata: i volumi del FRUS hanno indici analitici dei nomi, e un indice è fonte esaustiva sul proprio perimetro. Un nome assente dall'indice è assente dal volume. Ciò trasforma una ricerca vaga in un accertamento negativo pubblicabile, con la sola avvertenza che l'indice copre i documenti pubblicati e non quelli lasciati fuori dall'edizione.</w:t>
      </w:r>
    </w:p>
    <w:p>
      <w:pPr>
        <w:spacing w:after="120" w:line="276"/>
        <w:jc w:val="both"/>
      </w:pPr>
      <w:r>
        <w:rPr>
          <w:rFonts w:ascii="Barlow Semi Condensed" w:cs="Barlow Semi Condensed" w:eastAsia="Barlow Semi Condensed" w:hAnsi="Barlow Semi Condensed"/>
          <w:b/>
          <w:bCs/>
          <w:sz w:val="24"/>
          <w:szCs w:val="24"/>
        </w:rPr>
        <w:t xml:space="preserve">1248 · I volumi del biennio finale.</w:t>
      </w:r>
      <w:r>
        <w:rPr>
          <w:rFonts w:ascii="Barlow Semi Condensed" w:cs="Barlow Semi Condensed" w:eastAsia="Barlow Semi Condensed" w:hAnsi="Barlow Semi Condensed"/>
          <w:sz w:val="24"/>
          <w:szCs w:val="24"/>
        </w:rPr>
        <w:t xml:space="preserve"> Per il 1964-1965, cioè la coda del territorio, i volumi da spogliare sono quelli della serie 1964-1968 dedicati a Cuba e al Messico. Lo spoglio si faccia sugli indici e si verbalizzi con la data della consultazione, perché le edizioni rivedute esistono: l'opera ne ha già incontrata una al documento 350 del volume E-15 parte 2. Una citazione senza edizione non è tracciabile.</w:t>
      </w:r>
    </w:p>
    <w:p>
      <w:pPr>
        <w:spacing w:after="120" w:line="276"/>
        <w:jc w:val="both"/>
      </w:pPr>
      <w:r>
        <w:rPr>
          <w:rFonts w:ascii="Barlow Semi Condensed" w:cs="Barlow Semi Condensed" w:eastAsia="Barlow Semi Condensed" w:hAnsi="Barlow Semi Condensed"/>
          <w:b/>
          <w:bCs/>
          <w:sz w:val="24"/>
          <w:szCs w:val="24"/>
        </w:rPr>
        <w:t xml:space="preserve">1249 · L'archivio non governativo di Washington.</w:t>
      </w:r>
      <w:r>
        <w:rPr>
          <w:rFonts w:ascii="Barlow Semi Condensed" w:cs="Barlow Semi Condensed" w:eastAsia="Barlow Semi Condensed" w:hAnsi="Barlow Semi Condensed"/>
          <w:sz w:val="24"/>
          <w:szCs w:val="24"/>
        </w:rPr>
        <w:t xml:space="preserve"> Il National Security Archive della George Washington University cura la raccolta documentale su Cuba e pubblicò nel 1997 il fascicolo elettronico su Guevara, già citato dal corpus al nodo M-5. Precisazione necessaria: quel fascicolo riguarda la Bolivia del 1967 e non il territorio 1954-1965. Chi lo citi per gli anni messicani e avaneri usa una fonte fuori perimetro: errore di collocazione, non di contenuto.</w:t>
      </w:r>
    </w:p>
    <w:p>
      <w:pPr>
        <w:spacing w:after="120" w:line="276"/>
        <w:jc w:val="both"/>
      </w:pPr>
      <w:r>
        <w:rPr>
          <w:rFonts w:ascii="Barlow Semi Condensed" w:cs="Barlow Semi Condensed" w:eastAsia="Barlow Semi Condensed" w:hAnsi="Barlow Semi Condensed"/>
          <w:b/>
          <w:bCs/>
          <w:sz w:val="24"/>
          <w:szCs w:val="24"/>
        </w:rPr>
        <w:t xml:space="preserve">1250 · La sala di lettura elettronica.</w:t>
      </w:r>
      <w:r>
        <w:rPr>
          <w:rFonts w:ascii="Barlow Semi Condensed" w:cs="Barlow Semi Condensed" w:eastAsia="Barlow Semi Condensed" w:hAnsi="Barlow Semi Condensed"/>
          <w:sz w:val="24"/>
          <w:szCs w:val="24"/>
        </w:rPr>
        <w:t xml:space="preserve"> L'archivio elettronico declassificato dell'agenzia consente interrogazioni per stringa. Va usato sapendo che risponde a ciò che gli si chiede: una query mal formata produce occorrenze estranee che un lettore frettoloso leggerà come riscontro. Il blocco 9 dell'opera lo dice per esteso — un falso positivo è un danno, uno Stato Zero è un'acquisizione — e qui il rischio cresce per l'abbondanza di omonimie ispaniche.</w:t>
      </w:r>
    </w:p>
    <w:p>
      <w:pPr>
        <w:spacing w:after="120" w:line="276"/>
        <w:jc w:val="both"/>
      </w:pPr>
      <w:r>
        <w:rPr>
          <w:rFonts w:ascii="Barlow Semi Condensed" w:cs="Barlow Semi Condensed" w:eastAsia="Barlow Semi Condensed" w:hAnsi="Barlow Semi Condensed"/>
          <w:b/>
          <w:bCs/>
          <w:sz w:val="24"/>
          <w:szCs w:val="24"/>
        </w:rPr>
        <w:t xml:space="preserve">1251 · Verificare la stringa prima dell'archivio.</w:t>
      </w:r>
      <w:r>
        <w:rPr>
          <w:rFonts w:ascii="Barlow Semi Condensed" w:cs="Barlow Semi Condensed" w:eastAsia="Barlow Semi Condensed" w:hAnsi="Barlow Semi Condensed"/>
          <w:sz w:val="24"/>
          <w:szCs w:val="24"/>
        </w:rPr>
        <w:t xml:space="preserve"> Procedura fissata ai blocchi 8 e 9 ed eseguita qui prima di ogni altra cosa: si controllano le forme del nome che si intende cercare, comprese quelle sbagliate capaci di produrre riscontri estranei. In questo territorio nessuna delle tre forme restituisce occorrenze. Il risultato è noioso, ed è esattamente ciò che una verifica deve produrre quando l'ipotesi non regge.</w:t>
      </w:r>
    </w:p>
    <w:p>
      <w:pPr>
        <w:spacing w:after="120" w:line="276"/>
        <w:jc w:val="both"/>
      </w:pPr>
      <w:r>
        <w:rPr>
          <w:rFonts w:ascii="Barlow Semi Condensed" w:cs="Barlow Semi Condensed" w:eastAsia="Barlow Semi Condensed" w:hAnsi="Barlow Semi Condensed"/>
          <w:b/>
          <w:bCs/>
          <w:sz w:val="24"/>
          <w:szCs w:val="24"/>
        </w:rPr>
        <w:t xml:space="preserve">1252 · La retrodatazione come vizio terziario.</w:t>
      </w:r>
      <w:r>
        <w:rPr>
          <w:rFonts w:ascii="Barlow Semi Condensed" w:cs="Barlow Semi Condensed" w:eastAsia="Barlow Semi Condensed" w:hAnsi="Barlow Semi Condensed"/>
          <w:sz w:val="24"/>
          <w:szCs w:val="24"/>
        </w:rPr>
        <w:t xml:space="preserve"> Circola, nella pubblicistica divulgativa, l'immagine di un uomo che avrebbe governato per decenni la politica latinoamericana di Washington. È affermazione di piano 3 quando viene retrodatata agli anni Cinquanta e ai primi Sessanta, perché in quegli anni non ricopriva cariche esecutive. Si qualifica come tale e si lascia dov'è. Retrodatare un potere reale a prima che esistesse è la più comune delle mutazioni narrative.</w:t>
      </w:r>
    </w:p>
    <w:p>
      <w:pPr>
        <w:spacing w:after="120" w:line="276"/>
        <w:jc w:val="both"/>
      </w:pPr>
      <w:r>
        <w:rPr>
          <w:rFonts w:ascii="Barlow Semi Condensed" w:cs="Barlow Semi Condensed" w:eastAsia="Barlow Semi Condensed" w:hAnsi="Barlow Semi Condensed"/>
          <w:b/>
          <w:bCs/>
          <w:sz w:val="24"/>
          <w:szCs w:val="24"/>
        </w:rPr>
        <w:t xml:space="preserve">1253 · La frase sull'asse della storia.</w:t>
      </w:r>
      <w:r>
        <w:rPr>
          <w:rFonts w:ascii="Barlow Semi Condensed" w:cs="Barlow Semi Condensed" w:eastAsia="Barlow Semi Condensed" w:hAnsi="Barlow Semi Condensed"/>
          <w:sz w:val="24"/>
          <w:szCs w:val="24"/>
        </w:rPr>
        <w:t xml:space="preserve"> Una frase sull'irrilevanza del Sud circola attribuita a un colloquio del 1969 con un ministro cileno, ed è riferita dalla memorialistica di quell'interlocutore. Va tenuta fuori da questa serie per due ragioni cumulative: è posteriore al territorio ed è testimonianza di un solo interlocutore, resa anni dopo. Vale come dato di circolazione, non come riscontro, secondo la settima precisazione dell'apparato K-4.</w:t>
      </w:r>
    </w:p>
    <w:p>
      <w:pPr>
        <w:spacing w:after="120" w:line="276"/>
        <w:jc w:val="both"/>
      </w:pPr>
      <w:r>
        <w:rPr>
          <w:rFonts w:ascii="Barlow Semi Condensed" w:cs="Barlow Semi Condensed" w:eastAsia="Barlow Semi Condensed" w:hAnsi="Barlow Semi Condensed"/>
          <w:b/>
          <w:bCs/>
          <w:sz w:val="24"/>
          <w:szCs w:val="24"/>
        </w:rPr>
        <w:t xml:space="preserve">1254 · Il finanziamento del seminario, questione aperta.</w:t>
      </w:r>
      <w:r>
        <w:rPr>
          <w:rFonts w:ascii="Barlow Semi Condensed" w:cs="Barlow Semi Condensed" w:eastAsia="Barlow Semi Condensed" w:hAnsi="Barlow Semi Condensed"/>
          <w:sz w:val="24"/>
          <w:szCs w:val="24"/>
        </w:rPr>
        <w:t xml:space="preserve"> Circola l'affermazione che il seminario estivo di Cambridge sia stato finanziato, in parte, attraverso fondazioni-condotto legate all'intelligence statunitense. Va qualificata, non assunta: la deciderebbero i rendiconti finanziari conservati negli Harvard University Archives e le carte declassificate sui programmi culturali. E anche se accertata riguarderebbe una provvista di denaro, non una condotta, e non toccherebbe in alcun punto questo territorio.</w:t>
      </w:r>
    </w:p>
    <w:p>
      <w:pPr>
        <w:spacing w:after="120" w:line="276"/>
        <w:jc w:val="both"/>
      </w:pPr>
      <w:r>
        <w:rPr>
          <w:rFonts w:ascii="Barlow Semi Condensed" w:cs="Barlow Semi Condensed" w:eastAsia="Barlow Semi Condensed" w:hAnsi="Barlow Semi Condensed"/>
          <w:b/>
          <w:bCs/>
          <w:sz w:val="24"/>
          <w:szCs w:val="24"/>
        </w:rPr>
        <w:t xml:space="preserve">1255 · Canale non significa condotta.</w:t>
      </w:r>
      <w:r>
        <w:rPr>
          <w:rFonts w:ascii="Barlow Semi Condensed" w:cs="Barlow Semi Condensed" w:eastAsia="Barlow Semi Condensed" w:hAnsi="Barlow Semi Condensed"/>
          <w:sz w:val="24"/>
          <w:szCs w:val="24"/>
        </w:rPr>
        <w:t xml:space="preserve"> La regola eccede il caso: che un'istituzione abbia ricevuto denaro da un canale non dice che i suoi membri abbiano agito per chi lo forniva. È la stessa disciplina che ai blocchi 160 e 161 dell'opera impedisce di far discendere le condotte del 1978 dal modello dichiarato del 1967. Un canale appartiene all'ambiente, non al codice di chi vi si trova dentro.</w:t>
      </w:r>
    </w:p>
    <w:p>
      <w:pPr>
        <w:spacing w:after="120" w:line="276"/>
        <w:jc w:val="both"/>
      </w:pPr>
      <w:r>
        <w:rPr>
          <w:rFonts w:ascii="Barlow Semi Condensed" w:cs="Barlow Semi Condensed" w:eastAsia="Barlow Semi Condensed" w:hAnsi="Barlow Semi Condensed"/>
          <w:b/>
          <w:bCs/>
          <w:sz w:val="24"/>
          <w:szCs w:val="24"/>
        </w:rPr>
        <w:t xml:space="preserve">1256 · Che cosa sposterebbe tutto al piano uno.</w:t>
      </w:r>
      <w:r>
        <w:rPr>
          <w:rFonts w:ascii="Barlow Semi Condensed" w:cs="Barlow Semi Condensed" w:eastAsia="Barlow Semi Condensed" w:hAnsi="Barlow Semi Condensed"/>
          <w:sz w:val="24"/>
          <w:szCs w:val="24"/>
        </w:rPr>
        <w:t xml:space="preserve"> Bersaglio di smentita, formulato in positivo perché sia verificabile: un documento di provenienza — carta d'archivio, corrispondenza, verbale — datato fra il 1954 e il 1965, che nomini insieme il soggetto di quest'opera e uno qualsiasi dei nodi del territorio. Ne basterebbe uno. Finché non compare, ogni collegamento resta al piano 2 nella migliore delle ipotesi e al piano 3 nella peggiore.</w:t>
      </w:r>
    </w:p>
    <w:p>
      <w:pPr>
        <w:spacing w:after="120" w:line="276"/>
        <w:jc w:val="both"/>
      </w:pPr>
      <w:r>
        <w:rPr>
          <w:rFonts w:ascii="Barlow Semi Condensed" w:cs="Barlow Semi Condensed" w:eastAsia="Barlow Semi Condensed" w:hAnsi="Barlow Semi Condensed"/>
          <w:b/>
          <w:bCs/>
          <w:sz w:val="24"/>
          <w:szCs w:val="24"/>
        </w:rPr>
        <w:t xml:space="preserve">1257 · Che cosa chiuderebbe lo Stato Zero.</w:t>
      </w:r>
      <w:r>
        <w:rPr>
          <w:rFonts w:ascii="Barlow Semi Condensed" w:cs="Barlow Semi Condensed" w:eastAsia="Barlow Semi Condensed" w:hAnsi="Barlow Semi Condensed"/>
          <w:sz w:val="24"/>
          <w:szCs w:val="24"/>
        </w:rPr>
        <w:t xml:space="preserve"> Bersaglio simmetrico, altrettanto necessario: elenchi completi e verificati — partecipanti al seminario, verbali del gruppo di studio, inventari dei fondi personali anteriori al 1969 — nei quali nessun nome del territorio compaia. Un negativo su fonte esaustiva è accertamento; un negativo su fondo non spogliato è lacuna di ricerca. La differenza va scritta ogni volta, perché nella resa pubblica evapora sempre.</w:t>
      </w:r>
    </w:p>
    <w:p>
      <w:pPr>
        <w:spacing w:after="120" w:line="276"/>
        <w:jc w:val="both"/>
      </w:pPr>
      <w:r>
        <w:rPr>
          <w:rFonts w:ascii="Barlow Semi Condensed" w:cs="Barlow Semi Condensed" w:eastAsia="Barlow Semi Condensed" w:hAnsi="Barlow Semi Condensed"/>
          <w:b/>
          <w:bCs/>
          <w:sz w:val="24"/>
          <w:szCs w:val="24"/>
        </w:rPr>
        <w:t xml:space="preserve">1258 · La carta che non ci si aspetta.</w:t>
      </w:r>
      <w:r>
        <w:rPr>
          <w:rFonts w:ascii="Barlow Semi Condensed" w:cs="Barlow Semi Condensed" w:eastAsia="Barlow Semi Condensed" w:hAnsi="Barlow Semi Condensed"/>
          <w:sz w:val="24"/>
          <w:szCs w:val="24"/>
        </w:rPr>
        <w:t xml:space="preserve"> Terzo bersaglio, il più preciso: una lettera o un promemoria del 1961-1962, nei carteggi dell'assistente presidenziale per la sicurezza nazionale, che assegni al consulente esterno un incarico sul dossier cubano. Se esistesse starebbe alla Kennedy Library ed è cercabile in una giornata. La sua esistenza non proverebbe nulla sulla condotta: proverebbe soltanto che la domanda di questa serie era legittima.</w:t>
      </w:r>
    </w:p>
    <w:p>
      <w:pPr>
        <w:spacing w:after="120" w:line="276"/>
        <w:jc w:val="both"/>
      </w:pPr>
      <w:r>
        <w:rPr>
          <w:rFonts w:ascii="Barlow Semi Condensed" w:cs="Barlow Semi Condensed" w:eastAsia="Barlow Semi Condensed" w:hAnsi="Barlow Semi Condensed"/>
          <w:b/>
          <w:bCs/>
          <w:sz w:val="24"/>
          <w:szCs w:val="24"/>
        </w:rPr>
        <w:t xml:space="preserve">1259 · Due letterature che non si incontrano.</w:t>
      </w:r>
      <w:r>
        <w:rPr>
          <w:rFonts w:ascii="Barlow Semi Condensed" w:cs="Barlow Semi Condensed" w:eastAsia="Barlow Semi Condensed" w:hAnsi="Barlow Semi Condensed"/>
          <w:sz w:val="24"/>
          <w:szCs w:val="24"/>
        </w:rPr>
        <w:t xml:space="preserve"> Il secondo tempo della regola dei buchi, acquisito ai blocchi 642 e 817, si applica qui alla lettera. La bibliografia guevariana e quella sulla strategia nucleare atlantica degli stessi anni non condividono fondi, riviste né autori. Un rapporto di co-occorrenza prossimo allo zero misura questa specializzazione delle fonti, non l'assenza di rapporti nel mondo. Saltare il passaggio trasformerebbe una lacuna bibliografica in una scoperta.</w:t>
      </w:r>
    </w:p>
    <w:p>
      <w:pPr>
        <w:spacing w:after="120" w:line="276"/>
        <w:jc w:val="both"/>
      </w:pPr>
      <w:r>
        <w:rPr>
          <w:rFonts w:ascii="Barlow Semi Condensed" w:cs="Barlow Semi Condensed" w:eastAsia="Barlow Semi Condensed" w:hAnsi="Barlow Semi Condensed"/>
          <w:b/>
          <w:bCs/>
          <w:sz w:val="24"/>
          <w:szCs w:val="24"/>
        </w:rPr>
        <w:t xml:space="preserve">1260 · Che cosa il vuoto non autorizza.</w:t>
      </w:r>
      <w:r>
        <w:rPr>
          <w:rFonts w:ascii="Barlow Semi Condensed" w:cs="Barlow Semi Condensed" w:eastAsia="Barlow Semi Condensed" w:hAnsi="Barlow Semi Condensed"/>
          <w:sz w:val="24"/>
          <w:szCs w:val="24"/>
        </w:rPr>
        <w:t xml:space="preserve"> Dal vuoto misurato non discende alcuna proposizione positiva. Non discende che rapporti non vi fossero, né che vi fossero e siano stati occultati. Discende una cosa sola, ed è già molta: che allo stato degli spogli nessun documento noto li attesti, e che chi affermi il contrario abbia l'onere di produrre la carta. Il blocco 708 dell'opera aveva previsto questo esito per il fronte boliviano.</w:t>
      </w:r>
    </w:p>
    <w:p>
      <w:pPr>
        <w:spacing w:after="120" w:line="276"/>
        <w:jc w:val="both"/>
      </w:pPr>
      <w:r>
        <w:rPr>
          <w:rFonts w:ascii="Barlow Semi Condensed" w:cs="Barlow Semi Condensed" w:eastAsia="Barlow Semi Condensed" w:hAnsi="Barlow Semi Condensed"/>
          <w:b/>
          <w:bCs/>
          <w:sz w:val="24"/>
          <w:szCs w:val="24"/>
        </w:rPr>
        <w:t xml:space="preserve">1261 · Sottosviluppo, oggetto simultaneo.</w:t>
      </w:r>
      <w:r>
        <w:rPr>
          <w:rFonts w:ascii="Barlow Semi Condensed" w:cs="Barlow Semi Condensed" w:eastAsia="Barlow Semi Condensed" w:hAnsi="Barlow Semi Condensed"/>
          <w:sz w:val="24"/>
          <w:szCs w:val="24"/>
        </w:rPr>
        <w:t xml:space="preserve"> Convergenza strutturale da registrare senza promozione: negli stessi mesi in cui a Città del Messico si struttura teoricamente l'analisi del sottosviluppo latinoamericano, a New York un progetto di studi finanziato da una fondazione statunitense prepara rapporti sul medesimo oggetto per il pubblico americano. Stesso problema, cornici opposte, nessun documento che le colleghi. È piano 2, e al piano 2 si arresta.</w:t>
      </w:r>
    </w:p>
    <w:p>
      <w:pPr>
        <w:spacing w:after="120" w:line="276"/>
        <w:jc w:val="both"/>
      </w:pPr>
      <w:r>
        <w:rPr>
          <w:rFonts w:ascii="Barlow Semi Condensed" w:cs="Barlow Semi Condensed" w:eastAsia="Barlow Semi Condensed" w:hAnsi="Barlow Semi Condensed"/>
          <w:b/>
          <w:bCs/>
          <w:sz w:val="24"/>
          <w:szCs w:val="24"/>
        </w:rPr>
        <w:t xml:space="preserve">1262 · Equilibrio e foco, due dottrine.</w:t>
      </w:r>
      <w:r>
        <w:rPr>
          <w:rFonts w:ascii="Barlow Semi Condensed" w:cs="Barlow Semi Condensed" w:eastAsia="Barlow Semi Condensed" w:hAnsi="Barlow Semi Condensed"/>
          <w:sz w:val="24"/>
          <w:szCs w:val="24"/>
        </w:rPr>
        <w:t xml:space="preserve"> La tesi del 1954 studia l'ordine internazionale come equilibrio fra potenze legittime; il territorio produce, dieci anni più tardi, una dottrina del mutamento politico per innesco armato. Sono teorie opposte del cambiamento, formulate nello stesso ventennio. La somiglianza del problema non fa un antenato comune e nemmeno un rapporto: la si nomina per escluderla, che è l'uso corretto di una simmetria elegante.</w:t>
      </w:r>
    </w:p>
    <w:p>
      <w:pPr>
        <w:spacing w:after="120" w:line="276"/>
        <w:jc w:val="both"/>
      </w:pPr>
      <w:r>
        <w:rPr>
          <w:rFonts w:ascii="Barlow Semi Condensed" w:cs="Barlow Semi Condensed" w:eastAsia="Barlow Semi Condensed" w:hAnsi="Barlow Semi Condensed"/>
          <w:b/>
          <w:bCs/>
          <w:sz w:val="24"/>
          <w:szCs w:val="24"/>
        </w:rPr>
        <w:t xml:space="preserve">1263 · Omologia e analogia, prova sul campo.</w:t>
      </w:r>
      <w:r>
        <w:rPr>
          <w:rFonts w:ascii="Barlow Semi Condensed" w:cs="Barlow Semi Condensed" w:eastAsia="Barlow Semi Condensed" w:hAnsi="Barlow Semi Condensed"/>
          <w:sz w:val="24"/>
          <w:szCs w:val="24"/>
        </w:rPr>
        <w:t xml:space="preserve"> La serie sesta dell'opera pone il problema e questo territorio ne è il caso più netto. Fra i due domini non esiste discendenza dichiarata dai discendenti, come invece esiste fra Guevara e le Brigate Rosse al blocco 434. Esiste soltanto una somiglianza d'epoca. È analogia pura, cioè convergenza indipendente in ambienti simili, e va nominata così ogni volta che qualcuno la scambi per parentela.</w:t>
      </w:r>
    </w:p>
    <w:p>
      <w:pPr>
        <w:spacing w:after="120" w:line="276"/>
        <w:jc w:val="both"/>
      </w:pPr>
      <w:r>
        <w:rPr>
          <w:rFonts w:ascii="Barlow Semi Condensed" w:cs="Barlow Semi Condensed" w:eastAsia="Barlow Semi Condensed" w:hAnsi="Barlow Semi Condensed"/>
          <w:b/>
          <w:bCs/>
          <w:sz w:val="24"/>
          <w:szCs w:val="24"/>
        </w:rPr>
        <w:t xml:space="preserve">1264 · Il test è uno solo.</w:t>
      </w:r>
      <w:r>
        <w:rPr>
          <w:rFonts w:ascii="Barlow Semi Condensed" w:cs="Barlow Semi Condensed" w:eastAsia="Barlow Semi Condensed" w:hAnsi="Barlow Semi Condensed"/>
          <w:sz w:val="24"/>
          <w:szCs w:val="24"/>
        </w:rPr>
        <w:t xml:space="preserve"> Riassunto operativo della regola che governa l'intera serie: dalla somiglianza del risultato non si deduce l'antenato comune, e l'unico test ammesso è un documento di provenienza che nomini la controparte. Nel territorio assegnato quel documento non è stato reperito, né alcuna fonte ne allega uno. Tutto il resto — date vicine, avversari comuni, cornice condivisa — appartiene all'ambiente e non alla discendenza.</w:t>
      </w:r>
    </w:p>
    <w:p>
      <w:pPr>
        <w:spacing w:after="120" w:line="276"/>
        <w:jc w:val="both"/>
      </w:pPr>
      <w:r>
        <w:rPr>
          <w:rFonts w:ascii="Barlow Semi Condensed" w:cs="Barlow Semi Condensed" w:eastAsia="Barlow Semi Condensed" w:hAnsi="Barlow Semi Condensed"/>
          <w:b/>
          <w:bCs/>
          <w:sz w:val="24"/>
          <w:szCs w:val="24"/>
        </w:rPr>
        <w:t xml:space="preserve">1265 · La cornice è comune, il centro no.</w:t>
      </w:r>
      <w:r>
        <w:rPr>
          <w:rFonts w:ascii="Barlow Semi Condensed" w:cs="Barlow Semi Condensed" w:eastAsia="Barlow Semi Condensed" w:hAnsi="Barlow Semi Condensed"/>
          <w:sz w:val="24"/>
          <w:szCs w:val="24"/>
        </w:rPr>
        <w:t xml:space="preserve"> Il saggio-cerniera del corpus lo ha già stabilito per le due morti del 1967 e del 1978: due vicende distinte possono condividere una cornice — la lunga guerra fredda — senza condividere un centro. La formula si trasporta intatta. Il territorio 1954-1965 e la biografia statunitense degli stessi anni stanno dentro la medesima cornice e non hanno, allo stato, alcun punto di contatto documentato.</w:t>
      </w:r>
    </w:p>
    <w:p>
      <w:pPr>
        <w:spacing w:after="120" w:line="276"/>
        <w:jc w:val="both"/>
      </w:pPr>
      <w:r>
        <w:rPr>
          <w:rFonts w:ascii="Barlow Semi Condensed" w:cs="Barlow Semi Condensed" w:eastAsia="Barlow Semi Condensed" w:hAnsi="Barlow Semi Condensed"/>
          <w:b/>
          <w:bCs/>
          <w:sz w:val="24"/>
          <w:szCs w:val="24"/>
        </w:rPr>
        <w:t xml:space="preserve">1266 · La quinta voce, applicata al 1961.</w:t>
      </w:r>
      <w:r>
        <w:rPr>
          <w:rFonts w:ascii="Barlow Semi Condensed" w:cs="Barlow Semi Condensed" w:eastAsia="Barlow Semi Condensed" w:hAnsi="Barlow Semi Condensed"/>
          <w:sz w:val="24"/>
          <w:szCs w:val="24"/>
        </w:rPr>
        <w:t xml:space="preserve"> La seconda campagna della Farnesina ha proposto alla griglia dei gradi una quinta voce: effetto convergente da causa comune. Il 1961 ne offre l'esempio. La rottura fra Washington e L'Avana produce simultaneamente la nazionalizzazione registrata dal territorio e l'irrigidimento della pubblicistica strategica statunitense: due effetti dello stesso evento, non l'uno causa dell'altro. Dichiarare la voce impedisce che la simultaneità diventi nesso.</w:t>
      </w:r>
    </w:p>
    <w:p>
      <w:pPr>
        <w:spacing w:after="120" w:line="276"/>
        <w:jc w:val="both"/>
      </w:pPr>
      <w:r>
        <w:rPr>
          <w:rFonts w:ascii="Barlow Semi Condensed" w:cs="Barlow Semi Condensed" w:eastAsia="Barlow Semi Condensed" w:hAnsi="Barlow Semi Condensed"/>
          <w:b/>
          <w:bCs/>
          <w:sz w:val="24"/>
          <w:szCs w:val="24"/>
        </w:rPr>
        <w:t xml:space="preserve">1267 · Guatemala 1954, inferenza vietata.</w:t>
      </w:r>
      <w:r>
        <w:rPr>
          <w:rFonts w:ascii="Barlow Semi Condensed" w:cs="Barlow Semi Condensed" w:eastAsia="Barlow Semi Condensed" w:hAnsi="Barlow Semi Condensed"/>
          <w:sz w:val="24"/>
          <w:szCs w:val="24"/>
        </w:rPr>
        <w:t xml:space="preserve"> Che il territorio si apra con un colpo di Stato attribuito a un'agenzia statunitense crea un'attrazione forte verso l'inferenza retroattiva: se allora, allora sempre e con chiunque. È esattamente il ragionamento che la regola dei tre piani vieta. Un intervento documentato del 1954 non è titolo per attribuire ad alcun individuo — tanto meno a chi allora era dottorando — alcunché di successivo.</w:t>
      </w:r>
    </w:p>
    <w:p>
      <w:pPr>
        <w:spacing w:after="120" w:line="276"/>
        <w:jc w:val="both"/>
      </w:pPr>
      <w:r>
        <w:rPr>
          <w:rFonts w:ascii="Barlow Semi Condensed" w:cs="Barlow Semi Condensed" w:eastAsia="Barlow Semi Condensed" w:hAnsi="Barlow Semi Condensed"/>
          <w:b/>
          <w:bCs/>
          <w:sz w:val="24"/>
          <w:szCs w:val="24"/>
        </w:rPr>
        <w:t xml:space="preserve">1268 · Le imprese nazionalizzate, dove cercare.</w:t>
      </w:r>
      <w:r>
        <w:rPr>
          <w:rFonts w:ascii="Barlow Semi Condensed" w:cs="Barlow Semi Condensed" w:eastAsia="Barlow Semi Condensed" w:hAnsi="Barlow Semi Condensed"/>
          <w:sz w:val="24"/>
          <w:szCs w:val="24"/>
        </w:rPr>
        <w:t xml:space="preserve"> Il territorio registra la nazionalizzazione delle imprese statunitensi. Dal lato americano la documentano la serie dei fondi delle sedi estere dei National Archives, i fascicoli della commissione federale sui reclami esteri e le carte societarie private. Quesito da porre in tutte e tre: compare in quei carteggi un consulente accademico? Attesa negativa, ma la domanda va verbalizzata perché nessuno l'ha ancora posta.</w:t>
      </w:r>
    </w:p>
    <w:p>
      <w:pPr>
        <w:spacing w:after="120" w:line="276"/>
        <w:jc w:val="both"/>
      </w:pPr>
      <w:r>
        <w:rPr>
          <w:rFonts w:ascii="Barlow Semi Condensed" w:cs="Barlow Semi Condensed" w:eastAsia="Barlow Semi Condensed" w:hAnsi="Barlow Semi Condensed"/>
          <w:b/>
          <w:bCs/>
          <w:sz w:val="24"/>
          <w:szCs w:val="24"/>
        </w:rPr>
        <w:t xml:space="preserve">1269 · L'ambasciata dell'Avana fino alla rottura.</w:t>
      </w:r>
      <w:r>
        <w:rPr>
          <w:rFonts w:ascii="Barlow Semi Condensed" w:cs="Barlow Semi Condensed" w:eastAsia="Barlow Semi Condensed" w:hAnsi="Barlow Semi Condensed"/>
          <w:sz w:val="24"/>
          <w:szCs w:val="24"/>
        </w:rPr>
        <w:t xml:space="preserve"> Le carte del posto diplomatico statunitense all'Avana, nel gruppo dedicato ai fondi delle sedi estere, si interrompono con la rottura delle relazioni del gennaio 1961. Sono la fonte più vicina al territorio nei suoi anni decisivi. Vi si cerchino i nomi del corpus e quello qui triangolato, dichiarando in premessa che la serie si chiude a quella data e non copre il quadriennio successivo.</w:t>
      </w:r>
    </w:p>
    <w:p>
      <w:pPr>
        <w:spacing w:after="120" w:line="276"/>
        <w:jc w:val="both"/>
      </w:pPr>
      <w:r>
        <w:rPr>
          <w:rFonts w:ascii="Barlow Semi Condensed" w:cs="Barlow Semi Condensed" w:eastAsia="Barlow Semi Condensed" w:hAnsi="Barlow Semi Condensed"/>
          <w:b/>
          <w:bCs/>
          <w:sz w:val="24"/>
          <w:szCs w:val="24"/>
        </w:rPr>
        <w:t xml:space="preserve">1270 · La sede di Città del Messico, 1954-1956.</w:t>
      </w:r>
      <w:r>
        <w:rPr>
          <w:rFonts w:ascii="Barlow Semi Condensed" w:cs="Barlow Semi Condensed" w:eastAsia="Barlow Semi Condensed" w:hAnsi="Barlow Semi Condensed"/>
          <w:sz w:val="24"/>
          <w:szCs w:val="24"/>
        </w:rPr>
        <w:t xml:space="preserve"> Analoga richiesta per il posto diplomatico messicano negli anni dell'esilio. Se una qualsiasi carta statunitense di quel biennio registra l'ambiente di calle José de Emparán 49 e il ranch di Chalco, sta lì o nella serie centrale del Dipartimento. Il quesito vale doppio: riscontra il territorio dal lato che il territorio non usa mai, e misura il nostro Stato Zero su una fonte indipendente.</w:t>
      </w:r>
    </w:p>
    <w:p>
      <w:pPr>
        <w:spacing w:after="120" w:line="276"/>
        <w:jc w:val="both"/>
      </w:pPr>
      <w:r>
        <w:rPr>
          <w:rFonts w:ascii="Barlow Semi Condensed" w:cs="Barlow Semi Condensed" w:eastAsia="Barlow Semi Condensed" w:hAnsi="Barlow Semi Condensed"/>
          <w:b/>
          <w:bCs/>
          <w:sz w:val="24"/>
          <w:szCs w:val="24"/>
        </w:rPr>
        <w:t xml:space="preserve">1271 · L'archivio di parte e la sua cautela.</w:t>
      </w:r>
      <w:r>
        <w:rPr>
          <w:rFonts w:ascii="Barlow Semi Condensed" w:cs="Barlow Semi Condensed" w:eastAsia="Barlow Semi Condensed" w:hAnsi="Barlow Semi Condensed"/>
          <w:sz w:val="24"/>
          <w:szCs w:val="24"/>
        </w:rPr>
        <w:t xml:space="preserve"> Il centro di studi dell'Avana che conserva le carte personali di Guevara è insieme la fonte più ricca e la più interessata. Vale la disciplina che il blocco 423 dell'opera impone alle carte di provenienza orientale: mai da sole a fondamento di alcunché, valore comparativo e non rivelatorio. Con questa cautela vi si porti il quesito, che è comunque l'unico luogo dove una risposta positiva potrebbe esistere.</w:t>
      </w:r>
    </w:p>
    <w:p>
      <w:pPr>
        <w:spacing w:after="120" w:line="276"/>
        <w:jc w:val="both"/>
      </w:pPr>
      <w:r>
        <w:rPr>
          <w:rFonts w:ascii="Barlow Semi Condensed" w:cs="Barlow Semi Condensed" w:eastAsia="Barlow Semi Condensed" w:hAnsi="Barlow Semi Condensed"/>
          <w:b/>
          <w:bCs/>
          <w:sz w:val="24"/>
          <w:szCs w:val="24"/>
        </w:rPr>
        <w:t xml:space="preserve">1272 · L'ufficio storico del Consiglio di Stato.</w:t>
      </w:r>
      <w:r>
        <w:rPr>
          <w:rFonts w:ascii="Barlow Semi Condensed" w:cs="Barlow Semi Condensed" w:eastAsia="Barlow Semi Condensed" w:hAnsi="Barlow Semi Condensed"/>
          <w:sz w:val="24"/>
          <w:szCs w:val="24"/>
        </w:rPr>
        <w:t xml:space="preserve"> L'Oficina de Asuntos Históricos del Consejo de Estado custodisce documentazione della guerriglia e del primo periodo rivoluzionario. L'accesso è discrezionale e va negoziato: chi ne ottenga uno dichiari nel verbale quali serie gli sono state mostrate e quali no. Un esito negativo ottenuto su una selezione altrui non è uno Stato Zero: è il perimetro che qualcun altro ha deciso per noi.</w:t>
      </w:r>
    </w:p>
    <w:p>
      <w:pPr>
        <w:spacing w:after="120" w:line="276"/>
        <w:jc w:val="both"/>
      </w:pPr>
      <w:r>
        <w:rPr>
          <w:rFonts w:ascii="Barlow Semi Condensed" w:cs="Barlow Semi Condensed" w:eastAsia="Barlow Semi Condensed" w:hAnsi="Barlow Semi Condensed"/>
          <w:b/>
          <w:bCs/>
          <w:sz w:val="24"/>
          <w:szCs w:val="24"/>
        </w:rPr>
        <w:t xml:space="preserve">1273 · Il ministero dell'Industria e i suoi carteggi.</w:t>
      </w:r>
      <w:r>
        <w:rPr>
          <w:rFonts w:ascii="Barlow Semi Condensed" w:cs="Barlow Semi Condensed" w:eastAsia="Barlow Semi Condensed" w:hAnsi="Barlow Semi Condensed"/>
          <w:sz w:val="24"/>
          <w:szCs w:val="24"/>
        </w:rPr>
        <w:t xml:space="preserve"> Dal febbraio 1961 il territorio colloca il soggetto alla guida del nuovo Ministero dell'Industria. Un ministero produce corrispondenza estera, e quella corrispondenza, ove conservata all'Archivo Nacional de Cuba, è il solo luogo in cui un contatto con interlocutori statunitensi non governativi potrebbe affiorare. La domanda è legittima proprio perché nessuno l'ha posta; la risposta attesa resta negativa.</w:t>
      </w:r>
    </w:p>
    <w:p>
      <w:pPr>
        <w:spacing w:after="120" w:line="276"/>
        <w:jc w:val="both"/>
      </w:pPr>
      <w:r>
        <w:rPr>
          <w:rFonts w:ascii="Barlow Semi Condensed" w:cs="Barlow Semi Condensed" w:eastAsia="Barlow Semi Condensed" w:hAnsi="Barlow Semi Condensed"/>
          <w:b/>
          <w:bCs/>
          <w:sz w:val="24"/>
          <w:szCs w:val="24"/>
        </w:rPr>
        <w:t xml:space="preserve">1274 · Il dibattito economico e i suoi protagonisti.</w:t>
      </w:r>
      <w:r>
        <w:rPr>
          <w:rFonts w:ascii="Barlow Semi Condensed" w:cs="Barlow Semi Condensed" w:eastAsia="Barlow Semi Condensed" w:hAnsi="Barlow Semi Condensed"/>
          <w:sz w:val="24"/>
          <w:szCs w:val="24"/>
        </w:rPr>
        <w:t xml:space="preserve"> Nel biennio 1963-1964 il territorio registra il confronto fra il sistema di finanziamento di bilancio e il calcolo economico, con Carlos Rafael Rodríguez, Charles Bettelheim ed Ernest Mandel. Le riviste che ospitarono quel dibattito sono spogliabili integralmente. Quesito: vi compare mai un autore statunitense di scuola strategica? È lo spoglio che convertirebbe un'attesa in accertamento, e finora nessuno lo ha verbalizzato.</w:t>
      </w:r>
    </w:p>
    <w:p>
      <w:pPr>
        <w:spacing w:after="120" w:line="276"/>
        <w:jc w:val="both"/>
      </w:pPr>
      <w:r>
        <w:rPr>
          <w:rFonts w:ascii="Barlow Semi Condensed" w:cs="Barlow Semi Condensed" w:eastAsia="Barlow Semi Condensed" w:hAnsi="Barlow Semi Condensed"/>
          <w:b/>
          <w:bCs/>
          <w:sz w:val="24"/>
          <w:szCs w:val="24"/>
        </w:rPr>
        <w:t xml:space="preserve">1275 · Due libri del 1965, nessun rapporto.</w:t>
      </w:r>
      <w:r>
        <w:rPr>
          <w:rFonts w:ascii="Barlow Semi Condensed" w:cs="Barlow Semi Condensed" w:eastAsia="Barlow Semi Condensed" w:hAnsi="Barlow Semi Condensed"/>
          <w:sz w:val="24"/>
          <w:szCs w:val="24"/>
        </w:rPr>
        <w:t xml:space="preserve"> Nel 1965 escono, dai due mondi, un saggio sull'uomo nuovo a Cuba e uno studio sulle tensioni dell'alleanza atlantica. La coincidenza d'anno è un fatto e non un legame. La si registra qui perché è precisamente il genere di parallelismo che una lente genetica applicata male trasformerebbe in espressione simultanea dello stesso codice. Non c'è codice comune: ci sono due biblioteche che si ignorano.</w:t>
      </w:r>
    </w:p>
    <w:p>
      <w:pPr>
        <w:spacing w:after="120" w:line="276"/>
        <w:jc w:val="both"/>
      </w:pPr>
      <w:r>
        <w:rPr>
          <w:rFonts w:ascii="Barlow Semi Condensed" w:cs="Barlow Semi Condensed" w:eastAsia="Barlow Semi Condensed" w:hAnsi="Barlow Semi Condensed"/>
          <w:b/>
          <w:bCs/>
          <w:sz w:val="24"/>
          <w:szCs w:val="24"/>
        </w:rPr>
        <w:t xml:space="preserve">1276 · Dove questa serie si ferma.</w:t>
      </w:r>
      <w:r>
        <w:rPr>
          <w:rFonts w:ascii="Barlow Semi Condensed" w:cs="Barlow Semi Condensed" w:eastAsia="Barlow Semi Condensed" w:hAnsi="Barlow Semi Condensed"/>
          <w:sz w:val="24"/>
          <w:szCs w:val="24"/>
        </w:rPr>
        <w:t xml:space="preserve"> Il territorio dichiara di chiudersi con le dimissioni del marzo 1965 e rinvia esplicitamente al rapporto successivo per l'ONU del dicembre 1964, Algeri e la lettera d'addio. Questa serie rispetta quel confine: ciò che sta oltre appartiene ad altre serie della campagna territoriale. Dichiarare il perimetro non è cautela formale, è ciò che rende confrontabili gli esiti di serie diverse.</w:t>
      </w:r>
    </w:p>
    <w:p>
      <w:pPr>
        <w:spacing w:after="120" w:line="276"/>
        <w:jc w:val="both"/>
      </w:pPr>
      <w:r>
        <w:rPr>
          <w:rFonts w:ascii="Barlow Semi Condensed" w:cs="Barlow Semi Condensed" w:eastAsia="Barlow Semi Condensed" w:hAnsi="Barlow Semi Condensed"/>
          <w:b/>
          <w:bCs/>
          <w:sz w:val="24"/>
          <w:szCs w:val="24"/>
        </w:rPr>
        <w:t xml:space="preserve">1277 · Il fronte boliviano non è qui.</w:t>
      </w:r>
      <w:r>
        <w:rPr>
          <w:rFonts w:ascii="Barlow Semi Condensed" w:cs="Barlow Semi Condensed" w:eastAsia="Barlow Semi Condensed" w:hAnsi="Barlow Semi Condensed"/>
          <w:sz w:val="24"/>
          <w:szCs w:val="24"/>
        </w:rPr>
        <w:t xml:space="preserve"> Il blocco 708 dell'opera aveva già iscritto in agenda la misura del vuoto fra il fronte latinoamericano del 1967 e il nodo statunitense di vertice. Quel bersaglio riguarda la campagna boliviana, non questo territorio. Registrarlo serve a evitare la duplicazione, che nelle opere lunghe è il modo più frequente di sembrare esaustivi senza esserlo. Un bersaglio contato due volte è un bersaglio in meno.</w:t>
      </w:r>
    </w:p>
    <w:p>
      <w:pPr>
        <w:spacing w:after="120" w:line="276"/>
        <w:jc w:val="both"/>
      </w:pPr>
      <w:r>
        <w:rPr>
          <w:rFonts w:ascii="Barlow Semi Condensed" w:cs="Barlow Semi Condensed" w:eastAsia="Barlow Semi Condensed" w:hAnsi="Barlow Semi Condensed"/>
          <w:b/>
          <w:bCs/>
          <w:sz w:val="24"/>
          <w:szCs w:val="24"/>
        </w:rPr>
        <w:t xml:space="preserve">1278 · La sincronia che qui non esiste.</w:t>
      </w:r>
      <w:r>
        <w:rPr>
          <w:rFonts w:ascii="Barlow Semi Condensed" w:cs="Barlow Semi Condensed" w:eastAsia="Barlow Semi Condensed" w:hAnsi="Barlow Semi Condensed"/>
          <w:sz w:val="24"/>
          <w:szCs w:val="24"/>
        </w:rPr>
        <w:t xml:space="preserve"> Il nodo M-1 della triangolazione fonda una sincronia istituzionale: nell'ottobre 1967 il presidente del Consiglio italiano era Aldo Moro. Nessuna sincronia analoga è costruibile per questo territorio, perché fra il 1954 e il 1965 il nome qui triangolato non ricopre alcuna carica pubblica. Non si tratta di una sincronia debole: è una sincronia impossibile, e va scritta con questa parola.</w:t>
      </w:r>
    </w:p>
    <w:p>
      <w:pPr>
        <w:spacing w:after="120" w:line="276"/>
        <w:jc w:val="both"/>
      </w:pPr>
      <w:r>
        <w:rPr>
          <w:rFonts w:ascii="Barlow Semi Condensed" w:cs="Barlow Semi Condensed" w:eastAsia="Barlow Semi Condensed" w:hAnsi="Barlow Semi Condensed"/>
          <w:b/>
          <w:bCs/>
          <w:sz w:val="24"/>
          <w:szCs w:val="24"/>
        </w:rPr>
        <w:t xml:space="preserve">1279 · Due negativi di peso diverso.</w:t>
      </w:r>
      <w:r>
        <w:rPr>
          <w:rFonts w:ascii="Barlow Semi Condensed" w:cs="Barlow Semi Condensed" w:eastAsia="Barlow Semi Condensed" w:hAnsi="Barlow Semi Condensed"/>
          <w:sz w:val="24"/>
          <w:szCs w:val="24"/>
        </w:rPr>
        <w:t xml:space="preserve"> Questa serie consegna alle successive una distinzione che vale come regola. L'assenza di carica è accertamento negativo di grado alto, perché discende da fonti istituzionali complete e pubblicate. L'assenza di occorrenze in un fondo mai spogliato è soltanto un'attesa motivata. Presentare le due cose col medesimo tono è l'errore che rende sospetta un'intera campagna, e per evitarlo basta scegliere una parola diversa.</w:t>
      </w:r>
    </w:p>
    <w:p>
      <w:pPr>
        <w:spacing w:after="120" w:line="276"/>
        <w:jc w:val="both"/>
      </w:pPr>
      <w:r>
        <w:rPr>
          <w:rFonts w:ascii="Barlow Semi Condensed" w:cs="Barlow Semi Condensed" w:eastAsia="Barlow Semi Condensed" w:hAnsi="Barlow Semi Condensed"/>
          <w:b/>
          <w:bCs/>
          <w:sz w:val="24"/>
          <w:szCs w:val="24"/>
        </w:rPr>
        <w:t xml:space="preserve">1280 · Non c'è, oppure non risulta.</w:t>
      </w:r>
      <w:r>
        <w:rPr>
          <w:rFonts w:ascii="Barlow Semi Condensed" w:cs="Barlow Semi Condensed" w:eastAsia="Barlow Semi Condensed" w:hAnsi="Barlow Semi Condensed"/>
          <w:sz w:val="24"/>
          <w:szCs w:val="24"/>
        </w:rPr>
        <w:t xml:space="preserve"> Ne discende una convenzione lessicale da tenere ferma in tutta la campagna territoriale: si scrive «non c'è» soltanto per il documento letto integralmente, e «non risulta» per il fondo interrogato per indice o non interrogato affatto. Le due formule non sono sinonimi, e la loro confusione è il canale per cui una lacuna di ricerca entra nella pubblicistica come fatto storico.</w:t>
      </w:r>
    </w:p>
    <w:p>
      <w:pPr>
        <w:spacing w:after="120" w:line="276"/>
        <w:jc w:val="both"/>
      </w:pPr>
      <w:r>
        <w:rPr>
          <w:rFonts w:ascii="Barlow Semi Condensed" w:cs="Barlow Semi Condensed" w:eastAsia="Barlow Semi Condensed" w:hAnsi="Barlow Semi Condensed"/>
          <w:b/>
          <w:bCs/>
          <w:sz w:val="24"/>
          <w:szCs w:val="24"/>
        </w:rPr>
        <w:t xml:space="preserve">1281 · Il limite tecnico di questa serie.</w:t>
      </w:r>
      <w:r>
        <w:rPr>
          <w:rFonts w:ascii="Barlow Semi Condensed" w:cs="Barlow Semi Condensed" w:eastAsia="Barlow Semi Condensed" w:hAnsi="Barlow Semi Condensed"/>
          <w:sz w:val="24"/>
          <w:szCs w:val="24"/>
        </w:rPr>
        <w:t xml:space="preserve"> Va dichiarato come lo dichiara l'apparato K-5: questa serie non ha letto documenti primari. Ha letto il territorio assegnato, gli altri documenti del corpus guevariano e l'apparato della prima campagna, e ne ha ricavato quesiti d'archivio. Ogni sede qui nominata è un bersaglio da verificare in loco, segnature comprese. Chi riprenderà queste righe sappia esattamente quanto ciascuna pesa.</w:t>
      </w:r>
    </w:p>
    <w:p>
      <w:pPr>
        <w:spacing w:after="120" w:line="276"/>
        <w:jc w:val="both"/>
      </w:pPr>
      <w:r>
        <w:rPr>
          <w:rFonts w:ascii="Barlow Semi Condensed" w:cs="Barlow Semi Condensed" w:eastAsia="Barlow Semi Condensed" w:hAnsi="Barlow Semi Condensed"/>
          <w:b/>
          <w:bCs/>
          <w:sz w:val="24"/>
          <w:szCs w:val="24"/>
        </w:rPr>
        <w:t xml:space="preserve">1282 · Il modulo della correzione, se servirà.</w:t>
      </w:r>
      <w:r>
        <w:rPr>
          <w:rFonts w:ascii="Barlow Semi Condensed" w:cs="Barlow Semi Condensed" w:eastAsia="Barlow Semi Condensed" w:hAnsi="Barlow Semi Condensed"/>
          <w:sz w:val="24"/>
          <w:szCs w:val="24"/>
        </w:rPr>
        <w:t xml:space="preserve"> Se una delle sedi qui indicate risultasse inesistente o mal denominata, la correzione seguirà il modulo del blocco 624: lezione originaria per esteso, lezione corretta, fonte, data, ragione dell'intervento. Nessuna riscrittura silenziosa, come impone il blocco 10. Un bersaglio d'archivio sbagliato è un errore utile, perché la sua correzione lascia traccia del cammino e consente di misurare il tasso d'errore.</w:t>
      </w:r>
    </w:p>
    <w:p>
      <w:pPr>
        <w:spacing w:after="120" w:line="276"/>
        <w:jc w:val="both"/>
      </w:pPr>
      <w:r>
        <w:rPr>
          <w:rFonts w:ascii="Barlow Semi Condensed" w:cs="Barlow Semi Condensed" w:eastAsia="Barlow Semi Condensed" w:hAnsi="Barlow Semi Condensed"/>
          <w:b/>
          <w:bCs/>
          <w:sz w:val="24"/>
          <w:szCs w:val="24"/>
        </w:rPr>
        <w:t xml:space="preserve">1283 · Il registro di questa serie.</w:t>
      </w:r>
      <w:r>
        <w:rPr>
          <w:rFonts w:ascii="Barlow Semi Condensed" w:cs="Barlow Semi Condensed" w:eastAsia="Barlow Semi Condensed" w:hAnsi="Barlow Semi Condensed"/>
          <w:sz w:val="24"/>
          <w:szCs w:val="24"/>
        </w:rPr>
        <w:t xml:space="preserve"> Si apre qui il registro delle correzioni della serie diciassettesima, secondo l'istituto fissato al blocco 11. Prima voce: la campagna concettuale trattava il corpus guevariano soltanto per il vettore editoriale e per il modello dichiarato delle Brigate Rosse; questa serie vi aggiunge la misura del silenzio negli anni messicani e avaneri, che nessuna serie precedente aveva verbalizzato. Il registro resta aperto.</w:t>
      </w:r>
    </w:p>
    <w:p>
      <w:pPr>
        <w:spacing w:after="120" w:line="276"/>
        <w:jc w:val="both"/>
      </w:pPr>
      <w:r>
        <w:rPr>
          <w:rFonts w:ascii="Barlow Semi Condensed" w:cs="Barlow Semi Condensed" w:eastAsia="Barlow Semi Condensed" w:hAnsi="Barlow Semi Condensed"/>
          <w:b/>
          <w:bCs/>
          <w:sz w:val="24"/>
          <w:szCs w:val="24"/>
        </w:rPr>
        <w:t xml:space="preserve">1284 · La cancelleria messicana e l'esilio.</w:t>
      </w:r>
      <w:r>
        <w:rPr>
          <w:rFonts w:ascii="Barlow Semi Condensed" w:cs="Barlow Semi Condensed" w:eastAsia="Barlow Semi Condensed" w:hAnsi="Barlow Semi Condensed"/>
          <w:sz w:val="24"/>
          <w:szCs w:val="24"/>
        </w:rPr>
        <w:t xml:space="preserve"> Bersaglio che nessuno ha ancora scritto: l'Archivo Histórico Genaro Estrada della cancelleria messicana conserva le carte sulla posizione del Messico verso l'esilio politico cubano fra il 1955 e il 1956, comprese le pressioni ricevute. Vi si chieda quali governi stranieri intervennero e con quali note verbali. È il modo di misurare la pressione esterna senza partire da un nome preconfezionato.</w:t>
      </w:r>
    </w:p>
    <w:p>
      <w:pPr>
        <w:spacing w:after="120" w:line="276"/>
        <w:jc w:val="both"/>
      </w:pPr>
      <w:r>
        <w:rPr>
          <w:rFonts w:ascii="Barlow Semi Condensed" w:cs="Barlow Semi Condensed" w:eastAsia="Barlow Semi Condensed" w:hAnsi="Barlow Semi Condensed"/>
          <w:b/>
          <w:bCs/>
          <w:sz w:val="24"/>
          <w:szCs w:val="24"/>
        </w:rPr>
        <w:t xml:space="preserve">1285 · Due fascicoli migratori, stessa lezione.</w:t>
      </w:r>
      <w:r>
        <w:rPr>
          <w:rFonts w:ascii="Barlow Semi Condensed" w:cs="Barlow Semi Condensed" w:eastAsia="Barlow Semi Condensed" w:hAnsi="Barlow Semi Condensed"/>
          <w:sz w:val="24"/>
          <w:szCs w:val="24"/>
        </w:rPr>
        <w:t xml:space="preserve"> Il fascicolo migratorio è la fonte che nell'apparato K-1 ha spostato di cinque anni la data dell'anglicizzazione, contro una vulgata priva di documenti. Il territorio ha il proprio equivalente inesplorato: la pratica migratoria messicana del 1954-1956, con la posizione irregolare che il documento descrive. La lezione è che le pratiche amministrative dicono ciò che le biografie ripetono senza verificare.</w:t>
      </w:r>
    </w:p>
    <w:p>
      <w:pPr>
        <w:spacing w:after="120" w:line="276"/>
        <w:jc w:val="both"/>
      </w:pPr>
      <w:r>
        <w:rPr>
          <w:rFonts w:ascii="Barlow Semi Condensed" w:cs="Barlow Semi Condensed" w:eastAsia="Barlow Semi Condensed" w:hAnsi="Barlow Semi Condensed"/>
          <w:b/>
          <w:bCs/>
          <w:sz w:val="24"/>
          <w:szCs w:val="24"/>
        </w:rPr>
        <w:t xml:space="preserve">1286 · Omologia di fonte, non di storia.</w:t>
      </w:r>
      <w:r>
        <w:rPr>
          <w:rFonts w:ascii="Barlow Semi Condensed" w:cs="Barlow Semi Condensed" w:eastAsia="Barlow Semi Condensed" w:hAnsi="Barlow Semi Condensed"/>
          <w:sz w:val="24"/>
          <w:szCs w:val="24"/>
        </w:rPr>
        <w:t xml:space="preserve"> I due fascicoli si somigliano per tipo di fonte e per capacità di correggere una vulgata: nient'altro. Nominarli insieme è utile al metodo e pericoloso alla lettura, perché accostare due biografie su un dettaglio procedurale è il primo passo del racconto che le intreccia. Si tengano dunque nello stesso paragrafo e in due mondi separati, con questa avvertenza scritta accanto.</w:t>
      </w:r>
    </w:p>
    <w:p>
      <w:pPr>
        <w:spacing w:after="120" w:line="276"/>
        <w:jc w:val="both"/>
      </w:pPr>
      <w:r>
        <w:rPr>
          <w:rFonts w:ascii="Barlow Semi Condensed" w:cs="Barlow Semi Condensed" w:eastAsia="Barlow Semi Condensed" w:hAnsi="Barlow Semi Condensed"/>
          <w:b/>
          <w:bCs/>
          <w:sz w:val="24"/>
          <w:szCs w:val="24"/>
        </w:rPr>
        <w:t xml:space="preserve">1287 · Il vettore nasce dentro il territorio.</w:t>
      </w:r>
      <w:r>
        <w:rPr>
          <w:rFonts w:ascii="Barlow Semi Condensed" w:cs="Barlow Semi Condensed" w:eastAsia="Barlow Semi Condensed" w:hAnsi="Barlow Semi Condensed"/>
          <w:sz w:val="24"/>
          <w:szCs w:val="24"/>
        </w:rPr>
        <w:t xml:space="preserve"> Un fatto che la campagna concettuale non aveva collocato cronologicamente: la fotografia di Korda è del marzo 1960, dunque interna agli anni avaneri di questo territorio, mentre il vettore che la rese icona in Italia opera nel 1967-1968. Fra lo scatto e la trasmissione corrono sette anni e un continente. Il codice nasce qui, l'espressione avviene altrove: è la definizione stessa dell'ambiente.</w:t>
      </w:r>
    </w:p>
    <w:p>
      <w:pPr>
        <w:spacing w:after="120" w:line="276"/>
        <w:jc w:val="both"/>
      </w:pPr>
      <w:r>
        <w:rPr>
          <w:rFonts w:ascii="Barlow Semi Condensed" w:cs="Barlow Semi Condensed" w:eastAsia="Barlow Semi Condensed" w:hAnsi="Barlow Semi Condensed"/>
          <w:b/>
          <w:bCs/>
          <w:sz w:val="24"/>
          <w:szCs w:val="24"/>
        </w:rPr>
        <w:t xml:space="preserve">1288 · L'unico piano uno del corpus.</w:t>
      </w:r>
      <w:r>
        <w:rPr>
          <w:rFonts w:ascii="Barlow Semi Condensed" w:cs="Barlow Semi Condensed" w:eastAsia="Barlow Semi Condensed" w:hAnsi="Barlow Semi Condensed"/>
          <w:sz w:val="24"/>
          <w:szCs w:val="24"/>
        </w:rPr>
        <w:t xml:space="preserve"> Il corpus possiede un ponte al piano 1 sul versante latinoamericano, ed è editoriale: l'acquisizione dei diritti del diario, l'edizione del 1968, i manifesti, come registrano i blocchi 519 e 546. Nessun equivalente esiste per il nome qui triangolato, in questo territorio o altrove nel corpus guevariano. La differenza fra i due casi è quella fra un documento e un'atmosfera.</w:t>
      </w:r>
    </w:p>
    <w:p>
      <w:pPr>
        <w:spacing w:after="120" w:line="276"/>
        <w:jc w:val="both"/>
      </w:pPr>
      <w:r>
        <w:rPr>
          <w:rFonts w:ascii="Barlow Semi Condensed" w:cs="Barlow Semi Condensed" w:eastAsia="Barlow Semi Condensed" w:hAnsi="Barlow Semi Condensed"/>
          <w:b/>
          <w:bCs/>
          <w:sz w:val="24"/>
          <w:szCs w:val="24"/>
        </w:rPr>
        <w:t xml:space="preserve">1289 · Genotipo e fenotipo del territorio.</w:t>
      </w:r>
      <w:r>
        <w:rPr>
          <w:rFonts w:ascii="Barlow Semi Condensed" w:cs="Barlow Semi Condensed" w:eastAsia="Barlow Semi Condensed" w:hAnsi="Barlow Semi Condensed"/>
          <w:sz w:val="24"/>
          <w:szCs w:val="24"/>
        </w:rPr>
        <w:t xml:space="preserve"> Del territorio esiste un genotipo — registri ospedalieri, fascicoli di polizia messicani, articoli su rivista, atti di governo cubani — e un fenotipo enormemente più abbondante, fatto di biografie, film e magliette. La regola del blocco 21 impone di risalire sempre al primo. Applicata qui, spiega perché quasi tutte le domande di questa serie siano rivolte ad archivi e quasi nessuna a libri.</w:t>
      </w:r>
    </w:p>
    <w:p>
      <w:pPr>
        <w:spacing w:after="120" w:line="276"/>
        <w:jc w:val="both"/>
      </w:pPr>
      <w:r>
        <w:rPr>
          <w:rFonts w:ascii="Barlow Semi Condensed" w:cs="Barlow Semi Condensed" w:eastAsia="Barlow Semi Condensed" w:hAnsi="Barlow Semi Condensed"/>
          <w:b/>
          <w:bCs/>
          <w:sz w:val="24"/>
          <w:szCs w:val="24"/>
        </w:rPr>
        <w:t xml:space="preserve">1290 · Chi pronuncia la frase (serie XVII).</w:t>
      </w:r>
      <w:r>
        <w:rPr>
          <w:rFonts w:ascii="Barlow Semi Condensed" w:cs="Barlow Semi Condensed" w:eastAsia="Barlow Semi Condensed" w:hAnsi="Barlow Semi Condensed"/>
          <w:sz w:val="24"/>
          <w:szCs w:val="24"/>
        </w:rPr>
        <w:t xml:space="preserve"> La regola del blocco 253 va estesa a questo territorio: in ogni testimonianza si accerta chi parla. Le frasi celebri dei giorni di Cinco Palmas e l'episodio delle munizioni preferite alla borsa medica provengono dal protagonista stesso, nei suoi </w:t>
      </w:r>
      <w:r>
        <w:rPr>
          <w:rFonts w:ascii="Barlow Semi Condensed" w:cs="Barlow Semi Condensed" w:eastAsia="Barlow Semi Condensed" w:hAnsi="Barlow Semi Condensed"/>
          <w:i/>
          <w:iCs/>
          <w:sz w:val="24"/>
          <w:szCs w:val="24"/>
        </w:rPr>
        <w:t xml:space="preserve">Pasajes</w:t>
      </w:r>
      <w:r>
        <w:rPr>
          <w:rFonts w:ascii="Barlow Semi Condensed" w:cs="Barlow Semi Condensed" w:eastAsia="Barlow Semi Condensed" w:hAnsi="Barlow Semi Condensed"/>
          <w:sz w:val="24"/>
          <w:szCs w:val="24"/>
        </w:rPr>
        <w:t xml:space="preserve">. Sono fonte primaria e insieme fonte di parte: si citano indicando il locutore, e non diventano narrazione impersonale del corpus.</w:t>
      </w:r>
    </w:p>
    <w:p>
      <w:pPr>
        <w:spacing w:after="120" w:line="276"/>
        <w:jc w:val="both"/>
      </w:pPr>
      <w:r>
        <w:rPr>
          <w:rFonts w:ascii="Barlow Semi Condensed" w:cs="Barlow Semi Condensed" w:eastAsia="Barlow Semi Condensed" w:hAnsi="Barlow Semi Condensed"/>
          <w:b/>
          <w:bCs/>
          <w:sz w:val="24"/>
          <w:szCs w:val="24"/>
        </w:rPr>
        <w:t xml:space="preserve">1291 · La memorialistica del colonnello.</w:t>
      </w:r>
      <w:r>
        <w:rPr>
          <w:rFonts w:ascii="Barlow Semi Condensed" w:cs="Barlow Semi Condensed" w:eastAsia="Barlow Semi Condensed" w:hAnsi="Barlow Semi Condensed"/>
          <w:sz w:val="24"/>
          <w:szCs w:val="24"/>
        </w:rPr>
        <w:t xml:space="preserve"> Le memorie di Alberto Bayo sull'addestramento di Chalco sono fonte di protagonista, di parte e posteriore ai fatti. Reggono l'affitto simbolico da Erasmo Rivera, come dichiara la bibliografia critica del corpus, e non reggerebbero da sole un dato quantitativo. Distinguere ciò che una memoria può portare da ciò che non può è la prima operazione da compiere su ogni memoria.</w:t>
      </w:r>
    </w:p>
    <w:p>
      <w:pPr>
        <w:spacing w:after="120" w:line="276"/>
        <w:jc w:val="both"/>
      </w:pPr>
      <w:r>
        <w:rPr>
          <w:rFonts w:ascii="Barlow Semi Condensed" w:cs="Barlow Semi Condensed" w:eastAsia="Barlow Semi Condensed" w:hAnsi="Barlow Semi Condensed"/>
          <w:b/>
          <w:bCs/>
          <w:sz w:val="24"/>
          <w:szCs w:val="24"/>
        </w:rPr>
        <w:t xml:space="preserve">1292 · Le tre biografie di riferimento.</w:t>
      </w:r>
      <w:r>
        <w:rPr>
          <w:rFonts w:ascii="Barlow Semi Condensed" w:cs="Barlow Semi Condensed" w:eastAsia="Barlow Semi Condensed" w:hAnsi="Barlow Semi Condensed"/>
          <w:sz w:val="24"/>
          <w:szCs w:val="24"/>
        </w:rPr>
        <w:t xml:space="preserve"> La bibliografia critica del corpus ordina per rango le fonti guevariane e colloca al vertice storiografico Anderson, Taibo II e Castañeda. Nessuna delle tre, per quanto risulta dagli spogli del corpus, tratta il nome qui triangolato in relazione agli anni messicani e avaneri. È un negativo su fonti che il corpus dichiara di aver usato, e pesa più di un negativo su fonti mai aperte.</w:t>
      </w:r>
    </w:p>
    <w:p>
      <w:pPr>
        <w:spacing w:after="120" w:line="276"/>
        <w:jc w:val="both"/>
      </w:pPr>
      <w:r>
        <w:rPr>
          <w:rFonts w:ascii="Barlow Semi Condensed" w:cs="Barlow Semi Condensed" w:eastAsia="Barlow Semi Condensed" w:hAnsi="Barlow Semi Condensed"/>
          <w:b/>
          <w:bCs/>
          <w:sz w:val="24"/>
          <w:szCs w:val="24"/>
        </w:rPr>
        <w:t xml:space="preserve">1293 · Uno spoglio che costa un'ora.</w:t>
      </w:r>
      <w:r>
        <w:rPr>
          <w:rFonts w:ascii="Barlow Semi Condensed" w:cs="Barlow Semi Condensed" w:eastAsia="Barlow Semi Condensed" w:hAnsi="Barlow Semi Condensed"/>
          <w:sz w:val="24"/>
          <w:szCs w:val="24"/>
        </w:rPr>
        <w:t xml:space="preserve"> Verifica economica da eseguire e verbalizzare, oggi non ancora fatta: aprire gli indici dei nomi delle tre biografie maggiori e cercarvi la voce. Esito atteso, assenza in tutte e tre. Se anche una sola la riportasse, si leggerebbe il passo e se ne dichiarerebbe il grado. È il controllo che nessuno esegue perché sembra troppo semplice per essere decisivo, e lo è.</w:t>
      </w:r>
    </w:p>
    <w:p>
      <w:pPr>
        <w:spacing w:after="120" w:line="276"/>
        <w:jc w:val="both"/>
      </w:pPr>
      <w:r>
        <w:rPr>
          <w:rFonts w:ascii="Barlow Semi Condensed" w:cs="Barlow Semi Condensed" w:eastAsia="Barlow Semi Condensed" w:hAnsi="Barlow Semi Condensed"/>
          <w:b/>
          <w:bCs/>
          <w:sz w:val="24"/>
          <w:szCs w:val="24"/>
        </w:rPr>
        <w:t xml:space="preserve">1294 · Il bilancio della serie (serie XVII).</w:t>
      </w:r>
      <w:r>
        <w:rPr>
          <w:rFonts w:ascii="Barlow Semi Condensed" w:cs="Barlow Semi Condensed" w:eastAsia="Barlow Semi Condensed" w:hAnsi="Barlow Semi Condensed"/>
          <w:sz w:val="24"/>
          <w:szCs w:val="24"/>
        </w:rPr>
        <w:t xml:space="preserve"> Conto dichiarato, come impone il criterio della lente. Piano 1 reperiti in questo territorio: nessuno. Piano 2 registrati e non promossi: lo sviluppo latinoamericano come oggetto simultaneo, la rottura del 1961 come causa comune, la cornice della guerra fredda. Piano 3 qualificati: tre. Stati Zero verbalizzati con perimetro: la maggioranza dei blocchi. È il risultato atteso, e non va cosmetizzato.</w:t>
      </w:r>
    </w:p>
    <w:p>
      <w:pPr>
        <w:spacing w:after="120" w:line="276"/>
        <w:jc w:val="both"/>
      </w:pPr>
      <w:r>
        <w:rPr>
          <w:rFonts w:ascii="Barlow Semi Condensed" w:cs="Barlow Semi Condensed" w:eastAsia="Barlow Semi Condensed" w:hAnsi="Barlow Semi Condensed"/>
          <w:b/>
          <w:bCs/>
          <w:sz w:val="24"/>
          <w:szCs w:val="24"/>
        </w:rPr>
        <w:t xml:space="preserve">1295 · Che cosa non è stato stabilito.</w:t>
      </w:r>
      <w:r>
        <w:rPr>
          <w:rFonts w:ascii="Barlow Semi Condensed" w:cs="Barlow Semi Condensed" w:eastAsia="Barlow Semi Condensed" w:hAnsi="Barlow Semi Condensed"/>
          <w:sz w:val="24"/>
          <w:szCs w:val="24"/>
        </w:rPr>
        <w:t xml:space="preserve"> Non è stabilito alcun rapporto fra il nome qui triangolato e gli anni messicani e avaneri di Ernesto Guevara. Non è stabilito nemmeno che un tale rapporto non sia esistito: è stabilito che nessun documento noto lo attesti, e che le sedi capaci di dirimerlo siano qui nominate una per una. Una serie che consegna quesiti eseguibili ha fatto il proprio lavoro.</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Serie diciottesima — Guevara: Mosca e Bolivia 1964-1966</w:t>
      </w:r>
    </w:p>
    <w:p>
      <w:pPr>
        <w:spacing w:after="120" w:line="276"/>
        <w:jc w:val="both"/>
      </w:pPr>
      <w:r>
        <w:rPr>
          <w:rFonts w:ascii="Barlow Semi Condensed" w:cs="Barlow Semi Condensed" w:eastAsia="Barlow Semi Condensed" w:hAnsi="Barlow Semi Condensed"/>
          <w:i/>
          <w:iCs/>
          <w:sz w:val="24"/>
          <w:szCs w:val="24"/>
        </w:rPr>
        <w:t xml:space="preserve">Blocchi 1296-1380.</w:t>
      </w:r>
    </w:p>
    <w:p>
      <w:pPr>
        <w:spacing w:after="120" w:line="276"/>
        <w:jc w:val="both"/>
      </w:pPr>
      <w:r>
        <w:rPr>
          <w:rFonts w:ascii="Barlow Semi Condensed" w:cs="Barlow Semi Condensed" w:eastAsia="Barlow Semi Condensed" w:hAnsi="Barlow Semi Condensed"/>
          <w:b/>
          <w:bCs/>
          <w:sz w:val="24"/>
          <w:szCs w:val="24"/>
        </w:rPr>
        <w:t xml:space="preserve">1296 · Statuto della diciottesima serie.</w:t>
      </w:r>
      <w:r>
        <w:rPr>
          <w:rFonts w:ascii="Barlow Semi Condensed" w:cs="Barlow Semi Condensed" w:eastAsia="Barlow Semi Condensed" w:hAnsi="Barlow Semi Condensed"/>
          <w:sz w:val="24"/>
          <w:szCs w:val="24"/>
        </w:rPr>
        <w:t xml:space="preserve"> Questa serie triangola un solo nome contro un territorio circoscritto: lo studio «guevara-mosca-bolivia-1964-1966», che corre dal discorso all'ONU dell'11 dicembre 1964 all'apertura del diario di Ñancahuazú il 7 novembre 1966. Ogni unità che segue è un bersaglio d'archivio, un accertamento con grado dichiarato, una regola di lettura oppure uno Stato Zero verbalizzato con la sede che lo chiuderebbe. Nessuna afferma un fatto nuovo su Henry Kissinger.</w:t>
      </w:r>
    </w:p>
    <w:p>
      <w:pPr>
        <w:spacing w:after="120" w:line="276"/>
        <w:jc w:val="both"/>
      </w:pPr>
      <w:r>
        <w:rPr>
          <w:rFonts w:ascii="Barlow Semi Condensed" w:cs="Barlow Semi Condensed" w:eastAsia="Barlow Semi Condensed" w:hAnsi="Barlow Semi Condensed"/>
          <w:b/>
          <w:bCs/>
          <w:sz w:val="24"/>
          <w:szCs w:val="24"/>
        </w:rPr>
        <w:t xml:space="preserve">1297 · La misura dello zero.</w:t>
      </w:r>
      <w:r>
        <w:rPr>
          <w:rFonts w:ascii="Barlow Semi Condensed" w:cs="Barlow Semi Condensed" w:eastAsia="Barlow Semi Condensed" w:hAnsi="Barlow Semi Condensed"/>
          <w:sz w:val="24"/>
          <w:szCs w:val="24"/>
        </w:rPr>
        <w:t xml:space="preserve"> Misurato meccanicamente, prima di ogni interpretazione: nelle circa tremiladuecento parole del territorio assegnato la stringa «Kissinger» ricorre zero volte. Zero anche negli altri quattro studi guevariani e zero nella cronologia sinottica «cronologia-guevara-moro.html», che copre il 1916-1997. Le sole cinque occorrenze dell'intero filone guevariano stanno in «triangolazioni-guevara-moro.md», e tutte al nodo M-5, cioè sul versante Moro e non su quello boliviano.</w:t>
      </w:r>
    </w:p>
    <w:p>
      <w:pPr>
        <w:spacing w:after="120" w:line="276"/>
        <w:jc w:val="both"/>
      </w:pPr>
      <w:r>
        <w:rPr>
          <w:rFonts w:ascii="Barlow Semi Condensed" w:cs="Barlow Semi Condensed" w:eastAsia="Barlow Semi Condensed" w:hAnsi="Barlow Semi Condensed"/>
          <w:b/>
          <w:bCs/>
          <w:sz w:val="24"/>
          <w:szCs w:val="24"/>
        </w:rPr>
        <w:t xml:space="preserve">1298 · Che cosa quello zero non dice (serie XVIII).</w:t>
      </w:r>
      <w:r>
        <w:rPr>
          <w:rFonts w:ascii="Barlow Semi Condensed" w:cs="Barlow Semi Condensed" w:eastAsia="Barlow Semi Condensed" w:hAnsi="Barlow Semi Condensed"/>
          <w:sz w:val="24"/>
          <w:szCs w:val="24"/>
        </w:rPr>
        <w:t xml:space="preserve"> Quel conteggio non stabilisce che il nome sia estraneo alla vicenda, né che vi appartenga. Misura una scelta di costruzione: i cinque studi guevariani furono redatti su diari, discorsi, biografie e desecretazioni latinoamericane, corpora che non trattano quel nodo per ufficio. Vale qui il secondo tempo della regola dei buchi, fissato al blocco 642 dell'opera: un basso rapporto di co-occorrenza segnala specializzazione delle fonti, non assenza di rapporti.</w:t>
      </w:r>
    </w:p>
    <w:p>
      <w:pPr>
        <w:spacing w:after="120" w:line="276"/>
        <w:jc w:val="both"/>
      </w:pPr>
      <w:r>
        <w:rPr>
          <w:rFonts w:ascii="Barlow Semi Condensed" w:cs="Barlow Semi Condensed" w:eastAsia="Barlow Semi Condensed" w:hAnsi="Barlow Semi Condensed"/>
          <w:b/>
          <w:bCs/>
          <w:sz w:val="24"/>
          <w:szCs w:val="24"/>
        </w:rPr>
        <w:t xml:space="preserve">1299 · L'anteriorità come falsificatore (serie XVIII).</w:t>
      </w:r>
      <w:r>
        <w:rPr>
          <w:rFonts w:ascii="Barlow Semi Condensed" w:cs="Barlow Semi Condensed" w:eastAsia="Barlow Semi Condensed" w:hAnsi="Barlow Semi Condensed"/>
          <w:sz w:val="24"/>
          <w:szCs w:val="24"/>
        </w:rPr>
        <w:t xml:space="preserve"> Il territorio si apre nel dicembre 1964 e si chiude nel novembre 1966. In quell'intero arco Kissinger non ricopriva alcuna carica esecutiva: fu Assistente per la sicurezza nazionale dal 20 gennaio 1969 e Segretario di Stato dal 22 settembre 1973. Il blocco 594 chiama l'anteriorità il più semplice e spietato dei falsificatori, e qui opera per intero: nessun atto del territorio può essere reazione a una decisione mai presa.</w:t>
      </w:r>
    </w:p>
    <w:p>
      <w:pPr>
        <w:spacing w:after="120" w:line="276"/>
        <w:jc w:val="both"/>
      </w:pPr>
      <w:r>
        <w:rPr>
          <w:rFonts w:ascii="Barlow Semi Condensed" w:cs="Barlow Semi Condensed" w:eastAsia="Barlow Semi Condensed" w:hAnsi="Barlow Semi Condensed"/>
          <w:b/>
          <w:bCs/>
          <w:sz w:val="24"/>
          <w:szCs w:val="24"/>
        </w:rPr>
        <w:t xml:space="preserve">1300 · Il divieto di retrodatare.</w:t>
      </w:r>
      <w:r>
        <w:rPr>
          <w:rFonts w:ascii="Barlow Semi Condensed" w:cs="Barlow Semi Condensed" w:eastAsia="Barlow Semi Condensed" w:hAnsi="Barlow Semi Condensed"/>
          <w:sz w:val="24"/>
          <w:szCs w:val="24"/>
        </w:rPr>
        <w:t xml:space="preserve"> Al blocco 261 il manuale investigativo censisce l'errore della retrodatazione, cioè la proiezione di assetti successivi su un anno che non li conosceva. Applicato qui, il divieto è netto: gli archi documentati del nome triangolato appartengono al 1969-1977, e trasferirli sul 1964-1966 fabbrica un fatto inesistente. Chi legge il Congo del 1965 con la mappa decisionale della Casa Bianca del 1970 non interpreta: sostituisce il documento.</w:t>
      </w:r>
    </w:p>
    <w:p>
      <w:pPr>
        <w:spacing w:after="120" w:line="276"/>
        <w:jc w:val="both"/>
      </w:pPr>
      <w:r>
        <w:rPr>
          <w:rFonts w:ascii="Barlow Semi Condensed" w:cs="Barlow Semi Condensed" w:eastAsia="Barlow Semi Condensed" w:hAnsi="Barlow Semi Condensed"/>
          <w:b/>
          <w:bCs/>
          <w:sz w:val="24"/>
          <w:szCs w:val="24"/>
        </w:rPr>
        <w:t xml:space="preserve">1301 · I nomi americani del territorio.</w:t>
      </w:r>
      <w:r>
        <w:rPr>
          <w:rFonts w:ascii="Barlow Semi Condensed" w:cs="Barlow Semi Condensed" w:eastAsia="Barlow Semi Condensed" w:hAnsi="Barlow Semi Condensed"/>
          <w:sz w:val="24"/>
          <w:szCs w:val="24"/>
        </w:rPr>
        <w:t xml:space="preserve"> Sul versante statunitense il documento assegnato nomina poche cose e le nomina per esteso: la CIA sei volte, il presidente Lyndon Johnson una, Averell Harriman e il vicesegretario alla difesa Cyrus Vance come inviati per il ponte aereo congolese, Washington una sola volta. Questo è l'inventario completo. Un blocco che aggiunga a questo elenco un nome assente dal testo non triangola il corpus: lo riscrive.</w:t>
      </w:r>
    </w:p>
    <w:p>
      <w:pPr>
        <w:spacing w:after="120" w:line="276"/>
        <w:jc w:val="both"/>
      </w:pPr>
      <w:r>
        <w:rPr>
          <w:rFonts w:ascii="Barlow Semi Condensed" w:cs="Barlow Semi Condensed" w:eastAsia="Barlow Semi Condensed" w:hAnsi="Barlow Semi Condensed"/>
          <w:b/>
          <w:bCs/>
          <w:sz w:val="24"/>
          <w:szCs w:val="24"/>
        </w:rPr>
        <w:t xml:space="preserve">1302 · La sedia e chi vi sedeva.</w:t>
      </w:r>
      <w:r>
        <w:rPr>
          <w:rFonts w:ascii="Barlow Semi Condensed" w:cs="Barlow Semi Condensed" w:eastAsia="Barlow Semi Condensed" w:hAnsi="Barlow Semi Condensed"/>
          <w:sz w:val="24"/>
          <w:szCs w:val="24"/>
        </w:rPr>
        <w:t xml:space="preserve"> Nel 1964-1966 l'organo che approvava le azioni coperte era il Comitato dei 303, presieduto dal consigliere per la sicurezza nazionale allora in carica. Kissinger presiederà quella stessa sedia dall'11 marzo 1969, nella riunione edita in FRUS 1969-1976 volume XLI documento 180 e già acquisita ai blocchi 241 e 424. Identità della sedia e identità dell'occupante sono cose diverse: confonderle è la forma istituzionale dell'anacronismo.</w:t>
      </w:r>
    </w:p>
    <w:p>
      <w:pPr>
        <w:spacing w:after="120" w:line="276"/>
        <w:jc w:val="both"/>
      </w:pPr>
      <w:r>
        <w:rPr>
          <w:rFonts w:ascii="Barlow Semi Condensed" w:cs="Barlow Semi Condensed" w:eastAsia="Barlow Semi Condensed" w:hAnsi="Barlow Semi Condensed"/>
          <w:b/>
          <w:bCs/>
          <w:sz w:val="24"/>
          <w:szCs w:val="24"/>
        </w:rPr>
        <w:t xml:space="preserve">1303 · L'attesa dichiarata prima della ricerca.</w:t>
      </w:r>
      <w:r>
        <w:rPr>
          <w:rFonts w:ascii="Barlow Semi Condensed" w:cs="Barlow Semi Condensed" w:eastAsia="Barlow Semi Condensed" w:hAnsi="Barlow Semi Condensed"/>
          <w:sz w:val="24"/>
          <w:szCs w:val="24"/>
        </w:rPr>
        <w:t xml:space="preserve"> Il blocco 650 impone di dichiarare quanti documenti pertinenti ci si attende, e perché, prima di aprire il fondo. Per questa serie l'attesa è formulata così: nelle sedi latinoamericane, congolesi, cecoslovacche e sovietiche del periodo si attendono zero documenti che nominino Kissinger, perché egli non aveva funzione. Se ne emergessero, la sorpresa sarebbe misurabile; non emergendone, l'esito negativo non sposta nulla e va detto.</w:t>
      </w:r>
    </w:p>
    <w:p>
      <w:pPr>
        <w:spacing w:after="120" w:line="276"/>
        <w:jc w:val="both"/>
      </w:pPr>
      <w:r>
        <w:rPr>
          <w:rFonts w:ascii="Barlow Semi Condensed" w:cs="Barlow Semi Condensed" w:eastAsia="Barlow Semi Condensed" w:hAnsi="Barlow Semi Condensed"/>
          <w:b/>
          <w:bCs/>
          <w:sz w:val="24"/>
          <w:szCs w:val="24"/>
        </w:rPr>
        <w:t xml:space="preserve">1304 · Il perimetro cronologico di questa serie.</w:t>
      </w:r>
      <w:r>
        <w:rPr>
          <w:rFonts w:ascii="Barlow Semi Condensed" w:cs="Barlow Semi Condensed" w:eastAsia="Barlow Semi Condensed" w:hAnsi="Barlow Semi Condensed"/>
          <w:sz w:val="24"/>
          <w:szCs w:val="24"/>
        </w:rPr>
        <w:t xml:space="preserve"> Si fissa in una riga, come vuole il blocco 653: dall'11 dicembre 1964, giorno del discorso «Colonialism is Doomed», al 7 novembre 1966, giorno dell'annotazione «oggi comincia una nuova tappa». Fuori restano la Sierra Maestra, trattata dal secondo studio, e l'intera campagna boliviana del 1967, trattata dal quinto. Una ricerca condotta su ventitré mesi e una condotta su un decennio non producono lo stesso esito negativo.</w:t>
      </w:r>
    </w:p>
    <w:p>
      <w:pPr>
        <w:spacing w:after="120" w:line="276"/>
        <w:jc w:val="both"/>
      </w:pPr>
      <w:r>
        <w:rPr>
          <w:rFonts w:ascii="Barlow Semi Condensed" w:cs="Barlow Semi Condensed" w:eastAsia="Barlow Semi Condensed" w:hAnsi="Barlow Semi Condensed"/>
          <w:b/>
          <w:bCs/>
          <w:sz w:val="24"/>
          <w:szCs w:val="24"/>
        </w:rPr>
        <w:t xml:space="preserve">1305 · Le stringhe da interrogare.</w:t>
      </w:r>
      <w:r>
        <w:rPr>
          <w:rFonts w:ascii="Barlow Semi Condensed" w:cs="Barlow Semi Condensed" w:eastAsia="Barlow Semi Condensed" w:hAnsi="Barlow Semi Condensed"/>
          <w:sz w:val="24"/>
          <w:szCs w:val="24"/>
        </w:rPr>
        <w:t xml:space="preserve"> Dichiarare le forme cercate e quelle escluse è prescrizione del blocco 652. Per questo territorio valgono almeno il cognome semplice, la forma con iniziale puntata, «Heinz Alfred» accanto a «Henry Alfred» per la ragione fissata in K-1, la translitterazione cirillica per i fondi moscoviti e le varianti prodotte dal riconoscimento ottico su carte dattiloscritte. Un fondo digitalizzato male restituisce un vuoto che non esiste.</w:t>
      </w:r>
    </w:p>
    <w:p>
      <w:pPr>
        <w:spacing w:after="120" w:line="276"/>
        <w:jc w:val="both"/>
      </w:pPr>
      <w:r>
        <w:rPr>
          <w:rFonts w:ascii="Barlow Semi Condensed" w:cs="Barlow Semi Condensed" w:eastAsia="Barlow Semi Condensed" w:hAnsi="Barlow Semi Condensed"/>
          <w:b/>
          <w:bCs/>
          <w:sz w:val="24"/>
          <w:szCs w:val="24"/>
        </w:rPr>
        <w:t xml:space="preserve">1306 · New York, dicembre 1964: le sedi.</w:t>
      </w:r>
      <w:r>
        <w:rPr>
          <w:rFonts w:ascii="Barlow Semi Condensed" w:cs="Barlow Semi Condensed" w:eastAsia="Barlow Semi Condensed" w:hAnsi="Barlow Semi Condensed"/>
          <w:sz w:val="24"/>
          <w:szCs w:val="24"/>
        </w:rPr>
        <w:t xml:space="preserve"> Per la settimana newyorkese le sedi sono nominabili con precisione: gli archivi delle Nazioni Unite a New York per gli atti della diciannovesima Assemblea generale, e presso i National Archives di College Park il Record Group 84 con le carte della missione statunitense all'ONU. È lì che si verifica chi, per gli Stati Uniti, seguì quel discorso. L'attesa è che nessuna di quelle carte rechi il nome triangolato.</w:t>
      </w:r>
    </w:p>
    <w:p>
      <w:pPr>
        <w:spacing w:after="120" w:line="276"/>
        <w:jc w:val="both"/>
      </w:pPr>
      <w:r>
        <w:rPr>
          <w:rFonts w:ascii="Barlow Semi Condensed" w:cs="Barlow Semi Condensed" w:eastAsia="Barlow Semi Condensed" w:hAnsi="Barlow Semi Condensed"/>
          <w:b/>
          <w:bCs/>
          <w:sz w:val="24"/>
          <w:szCs w:val="24"/>
        </w:rPr>
        <w:t xml:space="preserve">1307 · Il discorso dell'11 dicembre 1964.</w:t>
      </w:r>
      <w:r>
        <w:rPr>
          <w:rFonts w:ascii="Barlow Semi Condensed" w:cs="Barlow Semi Condensed" w:eastAsia="Barlow Semi Condensed" w:hAnsi="Barlow Semi Condensed"/>
          <w:sz w:val="24"/>
          <w:szCs w:val="24"/>
        </w:rPr>
        <w:t xml:space="preserve"> Consolidati al nodo E-16 della triangolazione guevariana sono data, sede e contenuto del discorso: la denuncia della divisione neocoloniale e dell'apartheid sudafricano davanti all'Assemblea generale. Il testo sta nel Marxists Internet Archive, la registrazione presso Smithsonian Folkways. Sono fonti primarie di piano 1 per ciò che Guevara disse, e non sono fonti di alcun grado per ciò che a Washington qualcuno pensò di quel discorso.</w:t>
      </w:r>
    </w:p>
    <w:p>
      <w:pPr>
        <w:spacing w:after="120" w:line="276"/>
        <w:jc w:val="both"/>
      </w:pPr>
      <w:r>
        <w:rPr>
          <w:rFonts w:ascii="Barlow Semi Condensed" w:cs="Barlow Semi Condensed" w:eastAsia="Barlow Semi Condensed" w:hAnsi="Barlow Semi Condensed"/>
          <w:b/>
          <w:bCs/>
          <w:sz w:val="24"/>
          <w:szCs w:val="24"/>
        </w:rPr>
        <w:t xml:space="preserve">1308 · Face the Nation, 13 dicembre.</w:t>
      </w:r>
      <w:r>
        <w:rPr>
          <w:rFonts w:ascii="Barlow Semi Condensed" w:cs="Barlow Semi Condensed" w:eastAsia="Barlow Semi Condensed" w:hAnsi="Barlow Semi Condensed"/>
          <w:sz w:val="24"/>
          <w:szCs w:val="24"/>
        </w:rPr>
        <w:t xml:space="preserve"> L'intervista alla CBS del 13 dicembre 1964 è documentata, e il nodo E-20 registra insieme la conferma del fatto e la debolezza della fonte originaria, un PDF su rete di distribuzione anonima poi sostituito con l'archivio della rete televisiva. Il bersaglio che ne discende è di catalogo: verificare presso l'archivio CBS se della puntata sopravviva il nastro integrale o soltanto la sintesi redazionale.</w:t>
      </w:r>
    </w:p>
    <w:p>
      <w:pPr>
        <w:spacing w:after="120" w:line="276"/>
        <w:jc w:val="both"/>
      </w:pPr>
      <w:r>
        <w:rPr>
          <w:rFonts w:ascii="Barlow Semi Condensed" w:cs="Barlow Semi Condensed" w:eastAsia="Barlow Semi Condensed" w:hAnsi="Barlow Semi Condensed"/>
          <w:b/>
          <w:bCs/>
          <w:sz w:val="24"/>
          <w:szCs w:val="24"/>
        </w:rPr>
        <w:t xml:space="preserve">1309 · Il messaggio all'Audubon Ballroom.</w:t>
      </w:r>
      <w:r>
        <w:rPr>
          <w:rFonts w:ascii="Barlow Semi Condensed" w:cs="Barlow Semi Condensed" w:eastAsia="Barlow Semi Condensed" w:hAnsi="Barlow Semi Condensed"/>
          <w:sz w:val="24"/>
          <w:szCs w:val="24"/>
        </w:rPr>
        <w:t xml:space="preserve"> Correzione già applicata e da non riaprire: il nodo E-21 stabilisce che non vi fu alcun incontro privato con Malcolm X. Guevara declinò l'invito dell'Organization of Afro-American Unity per ragioni di sicurezza e inviò un messaggio scritto, letto in sala il 13 dicembre 1964. Il testo è riportato da un periodico di parte, primario però quanto alla lettera del messaggio. Nessun apparato statunitense vi compare.</w:t>
      </w:r>
    </w:p>
    <w:p>
      <w:pPr>
        <w:spacing w:after="120" w:line="276"/>
        <w:jc w:val="both"/>
      </w:pPr>
      <w:r>
        <w:rPr>
          <w:rFonts w:ascii="Barlow Semi Condensed" w:cs="Barlow Semi Condensed" w:eastAsia="Barlow Semi Condensed" w:hAnsi="Barlow Semi Condensed"/>
          <w:b/>
          <w:bCs/>
          <w:sz w:val="24"/>
          <w:szCs w:val="24"/>
        </w:rPr>
        <w:t xml:space="preserve">1310 · Il bazooka di Long Island City.</w:t>
      </w:r>
      <w:r>
        <w:rPr>
          <w:rFonts w:ascii="Barlow Semi Condensed" w:cs="Barlow Semi Condensed" w:eastAsia="Barlow Semi Condensed" w:hAnsi="Barlow Semi Condensed"/>
          <w:sz w:val="24"/>
          <w:szCs w:val="24"/>
        </w:rPr>
        <w:t xml:space="preserve"> La nota di revisione numero due del territorio corregge la stesura originaria: il colpo da tre pollici e mezzo dell'11 dicembre 1964 partì da un terreno abbandonato di Long Island City e non da un'imbarcazione, e cadde in acqua a circa duecento iarde dal Palazzo di Vetro. Restano confermati data, attribuzione a Guillermo e Ignacio Novo con Julio Pérez, e il concomitante tentativo di Molly Gonzales.</w:t>
      </w:r>
    </w:p>
    <w:p>
      <w:pPr>
        <w:spacing w:after="120" w:line="276"/>
        <w:jc w:val="both"/>
      </w:pPr>
      <w:r>
        <w:rPr>
          <w:rFonts w:ascii="Barlow Semi Condensed" w:cs="Barlow Semi Condensed" w:eastAsia="Barlow Semi Condensed" w:hAnsi="Barlow Semi Condensed"/>
          <w:b/>
          <w:bCs/>
          <w:sz w:val="24"/>
          <w:szCs w:val="24"/>
        </w:rPr>
        <w:t xml:space="preserve">1311 · Il seguito giudiziario dell'attentato.</w:t>
      </w:r>
      <w:r>
        <w:rPr>
          <w:rFonts w:ascii="Barlow Semi Condensed" w:cs="Barlow Semi Condensed" w:eastAsia="Barlow Semi Condensed" w:hAnsi="Barlow Semi Condensed"/>
          <w:sz w:val="24"/>
          <w:szCs w:val="24"/>
        </w:rPr>
        <w:t xml:space="preserve"> Bersaglio da portare in sede precisa: quale autorità procedette per il tiro del dicembre 1964, con quale imputazione e con quale esito definitivo. Le sedi sono gli atti delle corti federali e statali di New York, reperibili presso il National Archives at New York City. Il corpus, allo stato, non registra alcun giudicato su quell'episodio, e finché la carta non è letta non ne presume l'esistenza.</w:t>
      </w:r>
    </w:p>
    <w:p>
      <w:pPr>
        <w:spacing w:after="120" w:line="276"/>
        <w:jc w:val="both"/>
      </w:pPr>
      <w:r>
        <w:rPr>
          <w:rFonts w:ascii="Barlow Semi Condensed" w:cs="Barlow Semi Condensed" w:eastAsia="Barlow Semi Condensed" w:hAnsi="Barlow Semi Condensed"/>
          <w:b/>
          <w:bCs/>
          <w:sz w:val="24"/>
          <w:szCs w:val="24"/>
        </w:rPr>
        <w:t xml:space="preserve">1312 · Un nome che riappare dodici anni dopo.</w:t>
      </w:r>
      <w:r>
        <w:rPr>
          <w:rFonts w:ascii="Barlow Semi Condensed" w:cs="Barlow Semi Condensed" w:eastAsia="Barlow Semi Condensed" w:hAnsi="Barlow Semi Condensed"/>
          <w:sz w:val="24"/>
          <w:szCs w:val="24"/>
        </w:rPr>
        <w:t xml:space="preserve"> Uno dei nomi del dicembre 1964, Guillermo Novo, riappare nella pubblicistica a proposito dell'attentato di Washington del 21 settembre 1976 contro Orlando Letelier. Il quesito è documentale e non narrativo: quale fu l'esito definitivo del suo percorso giudiziario, verificabile negli atti della corte distrettuale del Distretto di Columbia e nella pronuncia d'appello. Nessun grado si attribuisce prima di quella lettura, e nessuna colpa oltre il giudicato.</w:t>
      </w:r>
    </w:p>
    <w:p>
      <w:pPr>
        <w:spacing w:after="120" w:line="276"/>
        <w:jc w:val="both"/>
      </w:pPr>
      <w:r>
        <w:rPr>
          <w:rFonts w:ascii="Barlow Semi Condensed" w:cs="Barlow Semi Condensed" w:eastAsia="Barlow Semi Condensed" w:hAnsi="Barlow Semi Condensed"/>
          <w:b/>
          <w:bCs/>
          <w:sz w:val="24"/>
          <w:szCs w:val="24"/>
        </w:rPr>
        <w:t xml:space="preserve">1313 · Perché la riapparizione non è nesso.</w:t>
      </w:r>
      <w:r>
        <w:rPr>
          <w:rFonts w:ascii="Barlow Semi Condensed" w:cs="Barlow Semi Condensed" w:eastAsia="Barlow Semi Condensed" w:hAnsi="Barlow Semi Condensed"/>
          <w:sz w:val="24"/>
          <w:szCs w:val="24"/>
        </w:rPr>
        <w:t xml:space="preserve"> Vale alla lettera anche qui il blocco 413: la ricorrenza di un nome in due fascicoli è cartografia, non genealogia. Che una persona attraversi il dicembre 1964 di New York e poi il 1976 di Washington non istituisce alcun rapporto fra Guevara e il nome triangolato da questa serie. Il quesito resta documentale, cioè quale atto attesti un rapporto e in quale sede lo si chiederebbe.</w:t>
      </w:r>
    </w:p>
    <w:p>
      <w:pPr>
        <w:spacing w:after="120" w:line="276"/>
        <w:jc w:val="both"/>
      </w:pPr>
      <w:r>
        <w:rPr>
          <w:rFonts w:ascii="Barlow Semi Condensed" w:cs="Barlow Semi Condensed" w:eastAsia="Barlow Semi Condensed" w:hAnsi="Barlow Semi Condensed"/>
          <w:b/>
          <w:bCs/>
          <w:sz w:val="24"/>
          <w:szCs w:val="24"/>
        </w:rPr>
        <w:t xml:space="preserve">1314 · Il cablogramma del settembre 1976.</w:t>
      </w:r>
      <w:r>
        <w:rPr>
          <w:rFonts w:ascii="Barlow Semi Condensed" w:cs="Barlow Semi Condensed" w:eastAsia="Barlow Semi Condensed" w:hAnsi="Barlow Semi Condensed"/>
          <w:sz w:val="24"/>
          <w:szCs w:val="24"/>
        </w:rPr>
        <w:t xml:space="preserve"> Circola come dato acquisito l'esistenza di un'istruzione del Dipartimento di Stato del settembre 1976 sui governi del cono sud, poi ritirata prima della consegna. È materia del volume FRUS pertinente e delle desecretazioni cilene, e va verificata sull'originale con segnatura. Comunque si chiuda, appartiene al 1976: non retroagisce sul territorio qui assegnato, e nominarla accanto al 1964 sarebbe soltanto contiguità tipografica.</w:t>
      </w:r>
    </w:p>
    <w:p>
      <w:pPr>
        <w:spacing w:after="120" w:line="276"/>
        <w:jc w:val="both"/>
      </w:pPr>
      <w:r>
        <w:rPr>
          <w:rFonts w:ascii="Barlow Semi Condensed" w:cs="Barlow Semi Condensed" w:eastAsia="Barlow Semi Condensed" w:hAnsi="Barlow Semi Condensed"/>
          <w:b/>
          <w:bCs/>
          <w:sz w:val="24"/>
          <w:szCs w:val="24"/>
        </w:rPr>
        <w:t xml:space="preserve">1315 · Molly Gonzales, il coltello.</w:t>
      </w:r>
      <w:r>
        <w:rPr>
          <w:rFonts w:ascii="Barlow Semi Condensed" w:cs="Barlow Semi Condensed" w:eastAsia="Barlow Semi Condensed" w:hAnsi="Barlow Semi Condensed"/>
          <w:sz w:val="24"/>
          <w:szCs w:val="24"/>
        </w:rPr>
        <w:t xml:space="preserve"> Confermato al nodo E-17 è il primo dei due tentativi dell'11 dicembre, condotto con un coltello da caccia di sette pollici contro le barricate di sicurezza. È fatto minore e serve a una funzione sola in questa serie: mostrare che l'ostilità documentata verso Guevara nel dicembre 1964 ha nomi propri, tutti riconducibili alla diaspora cubana, e nessuno riconducibile a un funzionario o consulente federale.</w:t>
      </w:r>
    </w:p>
    <w:p>
      <w:pPr>
        <w:spacing w:after="120" w:line="276"/>
        <w:jc w:val="both"/>
      </w:pPr>
      <w:r>
        <w:rPr>
          <w:rFonts w:ascii="Barlow Semi Condensed" w:cs="Barlow Semi Condensed" w:eastAsia="Barlow Semi Condensed" w:hAnsi="Barlow Semi Condensed"/>
          <w:b/>
          <w:bCs/>
          <w:sz w:val="24"/>
          <w:szCs w:val="24"/>
        </w:rPr>
        <w:t xml:space="preserve">1316 · La sorveglianza del 1954-1968.</w:t>
      </w:r>
      <w:r>
        <w:rPr>
          <w:rFonts w:ascii="Barlow Semi Condensed" w:cs="Barlow Semi Condensed" w:eastAsia="Barlow Semi Condensed" w:hAnsi="Barlow Semi Condensed"/>
          <w:sz w:val="24"/>
          <w:szCs w:val="24"/>
        </w:rPr>
        <w:t xml:space="preserve"> Oltre mille rapporti dell'agenzia statunitense sul periodo 1954-1968, analizzati dai giuristi Michael Ratner e Michael Steven Smith, sono riferiti dal territorio. Il nodo E-22 ne accetta l'esistenza e marca come da riscontrare il dettaglio del sabotaggio degli inalatori, giunto per via secondaria. La sede che chiude entrambe le questioni è duplice: il testo originale dei due giuristi e la banca dati desecretata della sala di lettura elettronica dell'agenzia.</w:t>
      </w:r>
    </w:p>
    <w:p>
      <w:pPr>
        <w:spacing w:after="120" w:line="276"/>
        <w:jc w:val="both"/>
      </w:pPr>
      <w:r>
        <w:rPr>
          <w:rFonts w:ascii="Barlow Semi Condensed" w:cs="Barlow Semi Condensed" w:eastAsia="Barlow Semi Condensed" w:hAnsi="Barlow Semi Condensed"/>
          <w:b/>
          <w:bCs/>
          <w:sz w:val="24"/>
          <w:szCs w:val="24"/>
        </w:rPr>
        <w:t xml:space="preserve">1317 · Il quesito sui destinatari dei rapporti.</w:t>
      </w:r>
      <w:r>
        <w:rPr>
          <w:rFonts w:ascii="Barlow Semi Condensed" w:cs="Barlow Semi Condensed" w:eastAsia="Barlow Semi Condensed" w:hAnsi="Barlow Semi Condensed"/>
          <w:sz w:val="24"/>
          <w:szCs w:val="24"/>
        </w:rPr>
        <w:t xml:space="preserve"> Da porre a quella stessa banca dati, in forma verificabile: se in quei rapporti compaiano diramazioni a consulenti esterni all'amministrazione, con nome e data. L'attesa motivata è negativa, perché la distribuzione di prodotto operativo sul fronte cubano non passava per docenti universitari privi di incarico. Un esito positivo, se venisse, sarebbe un documento di piano 1 e andrebbe trattato come tale, non come conferma di una tesi.</w:t>
      </w:r>
    </w:p>
    <w:p>
      <w:pPr>
        <w:spacing w:after="120" w:line="276"/>
        <w:jc w:val="both"/>
      </w:pPr>
      <w:r>
        <w:rPr>
          <w:rFonts w:ascii="Barlow Semi Condensed" w:cs="Barlow Semi Condensed" w:eastAsia="Barlow Semi Condensed" w:hAnsi="Barlow Semi Condensed"/>
          <w:b/>
          <w:bCs/>
          <w:sz w:val="24"/>
          <w:szCs w:val="24"/>
        </w:rPr>
        <w:t xml:space="preserve">1318 · Il consulente senza carica.</w:t>
      </w:r>
      <w:r>
        <w:rPr>
          <w:rFonts w:ascii="Barlow Semi Condensed" w:cs="Barlow Semi Condensed" w:eastAsia="Barlow Semi Condensed" w:hAnsi="Barlow Semi Condensed"/>
          <w:sz w:val="24"/>
          <w:szCs w:val="24"/>
        </w:rPr>
        <w:t xml:space="preserve"> La bibliografia corrente attribuisce a Kissinger, negli anni Sessanta, consulenze presso l'agenzia per il controllo degli armamenti, il Dipartimento di Stato e un istituto di ricerca californiano. Il corpus non le ha verificate su atto e non le assume. Il quesito operativo è reperire gli atti di nomina e i fascicoli personali presso le Manuscripts and Archives della Yale University Library, dove sono depositate le carte anteriori al 1969.</w:t>
      </w:r>
    </w:p>
    <w:p>
      <w:pPr>
        <w:spacing w:after="120" w:line="276"/>
        <w:jc w:val="both"/>
      </w:pPr>
      <w:r>
        <w:rPr>
          <w:rFonts w:ascii="Barlow Semi Condensed" w:cs="Barlow Semi Condensed" w:eastAsia="Barlow Semi Condensed" w:hAnsi="Barlow Semi Condensed"/>
          <w:b/>
          <w:bCs/>
          <w:sz w:val="24"/>
          <w:szCs w:val="24"/>
        </w:rPr>
        <w:t xml:space="preserve">1319 · La porta sbagliata di Washington.</w:t>
      </w:r>
      <w:r>
        <w:rPr>
          <w:rFonts w:ascii="Barlow Semi Condensed" w:cs="Barlow Semi Condensed" w:eastAsia="Barlow Semi Condensed" w:hAnsi="Barlow Semi Condensed"/>
          <w:sz w:val="24"/>
          <w:szCs w:val="24"/>
        </w:rPr>
        <w:t xml:space="preserve"> Precisazione archivistica che risparmia mesi: le carte ufficiali del periodo di governo sono depositate alla Divisione manoscritti della Library of Congress e coprono il 1969-1977. Per il territorio qui assegnato quella è la porta sbagliata, perché il 1964-1966 vi è per definizione assente. Chi cerchi il nome triangolato negli anni di Guevara deve bussare a New Haven, non a Washington, e dichiararlo nel proprio verbale.</w:t>
      </w:r>
    </w:p>
    <w:p>
      <w:pPr>
        <w:spacing w:after="120" w:line="276"/>
        <w:jc w:val="both"/>
      </w:pPr>
      <w:r>
        <w:rPr>
          <w:rFonts w:ascii="Barlow Semi Condensed" w:cs="Barlow Semi Condensed" w:eastAsia="Barlow Semi Condensed" w:hAnsi="Barlow Semi Condensed"/>
          <w:b/>
          <w:bCs/>
          <w:sz w:val="24"/>
          <w:szCs w:val="24"/>
        </w:rPr>
        <w:t xml:space="preserve">1320 · L'itinerario del tour, come sta agli atti.</w:t>
      </w:r>
      <w:r>
        <w:rPr>
          <w:rFonts w:ascii="Barlow Semi Condensed" w:cs="Barlow Semi Condensed" w:eastAsia="Barlow Semi Condensed" w:hAnsi="Barlow Semi Condensed"/>
          <w:sz w:val="24"/>
          <w:szCs w:val="24"/>
        </w:rPr>
        <w:t xml:space="preserve"> Coerente con la cronologia consolidata, secondo il nodo E-23, è l'elenco delle tappe fra la fine del 1964 e il marzo 1965: Cina, Corea del Nord, Berlino Est, Unione Sovietica, Mali, Congo-Brazzaville, Ghana, Tanzania, Egitto, Algeria, con ordine e tappe minori variabili fra le fonti. È itinerario di un funzionario cubano fra capitali del campo socialista e africane: nessuna di esse è capitale atlantica.</w:t>
      </w:r>
    </w:p>
    <w:p>
      <w:pPr>
        <w:spacing w:after="120" w:line="276"/>
        <w:jc w:val="both"/>
      </w:pPr>
      <w:r>
        <w:rPr>
          <w:rFonts w:ascii="Barlow Semi Condensed" w:cs="Barlow Semi Condensed" w:eastAsia="Barlow Semi Condensed" w:hAnsi="Barlow Semi Condensed"/>
          <w:b/>
          <w:bCs/>
          <w:sz w:val="24"/>
          <w:szCs w:val="24"/>
        </w:rPr>
        <w:t xml:space="preserve">1321 · Algeri, 24 febbraio 1965.</w:t>
      </w:r>
      <w:r>
        <w:rPr>
          <w:rFonts w:ascii="Barlow Semi Condensed" w:cs="Barlow Semi Condensed" w:eastAsia="Barlow Semi Condensed" w:hAnsi="Barlow Semi Condensed"/>
          <w:sz w:val="24"/>
          <w:szCs w:val="24"/>
        </w:rPr>
        <w:t xml:space="preserve"> Il nodo E-25 conferma data, sede e tesi del discorso al Secondo Seminario Economico di Solidarietà Afro-Asiatica: lo scambio ineguale, e i paesi socialisti dichiarati complici oggettivi dello sfruttamento imperialista. L'edizione con le correzioni autografe è custodita dal Centro Studi Che Guevara dell'Avana ed è la sede che chiuderebbe ogni questione filologica sul testo. Il documento attacca Mosca e Washington insieme, e non nomina alcun individuo statunitense.</w:t>
      </w:r>
    </w:p>
    <w:p>
      <w:pPr>
        <w:spacing w:after="120" w:line="276"/>
        <w:jc w:val="both"/>
      </w:pPr>
      <w:r>
        <w:rPr>
          <w:rFonts w:ascii="Barlow Semi Condensed" w:cs="Barlow Semi Condensed" w:eastAsia="Barlow Semi Condensed" w:hAnsi="Barlow Semi Condensed"/>
          <w:b/>
          <w:bCs/>
          <w:sz w:val="24"/>
          <w:szCs w:val="24"/>
        </w:rPr>
        <w:t xml:space="preserve">1322 · Dove cercare la reazione sovietica.</w:t>
      </w:r>
      <w:r>
        <w:rPr>
          <w:rFonts w:ascii="Barlow Semi Condensed" w:cs="Barlow Semi Condensed" w:eastAsia="Barlow Semi Condensed" w:hAnsi="Barlow Semi Condensed"/>
          <w:sz w:val="24"/>
          <w:szCs w:val="24"/>
        </w:rPr>
        <w:t xml:space="preserve"> Lo sdegno della delegazione sovietica ad Algeri è riferito dal territorio senza carta a sostegno. Le sedi che lo trasformerebbero in accertamento sono l'Archivio di Stato russo di storia contemporanea, per le carte del dipartimento internazionale del partito, e l'Archivio di politica estera della Federazione Russa, per la referentura cubana; le segnature esatte vanno verificate in loco. È in quei fondi che si misura la rottura, non nelle sintesi.</w:t>
      </w:r>
    </w:p>
    <w:p>
      <w:pPr>
        <w:spacing w:after="120" w:line="276"/>
        <w:jc w:val="both"/>
      </w:pPr>
      <w:r>
        <w:rPr>
          <w:rFonts w:ascii="Barlow Semi Condensed" w:cs="Barlow Semi Condensed" w:eastAsia="Barlow Semi Condensed" w:hAnsi="Barlow Semi Condensed"/>
          <w:b/>
          <w:bCs/>
          <w:sz w:val="24"/>
          <w:szCs w:val="24"/>
        </w:rPr>
        <w:t xml:space="preserve">1323 · Mosca nel titolo, e nel testo.</w:t>
      </w:r>
      <w:r>
        <w:rPr>
          <w:rFonts w:ascii="Barlow Semi Condensed" w:cs="Barlow Semi Condensed" w:eastAsia="Barlow Semi Condensed" w:hAnsi="Barlow Semi Condensed"/>
          <w:sz w:val="24"/>
          <w:szCs w:val="24"/>
        </w:rPr>
        <w:t xml:space="preserve"> Il titolo del territorio annuncia un viaggio a Mosca; il testo, letto riga per riga, non dedica alla tappa sovietica alcuna trattazione autonoma, e la assorbe nell'elenco del tour. È divergenza interna al documento e si riporta senza scioglierla. La sede che la chiuderebbe è duplice: la cronologia di Jon Lee Anderson per le date, e i fondi moscoviti già nominati per i verbali di colloquio.</w:t>
      </w:r>
    </w:p>
    <w:p>
      <w:pPr>
        <w:spacing w:after="120" w:line="276"/>
        <w:jc w:val="both"/>
      </w:pPr>
      <w:r>
        <w:rPr>
          <w:rFonts w:ascii="Barlow Semi Condensed" w:cs="Barlow Semi Condensed" w:eastAsia="Barlow Semi Condensed" w:hAnsi="Barlow Semi Condensed"/>
          <w:b/>
          <w:bCs/>
          <w:sz w:val="24"/>
          <w:szCs w:val="24"/>
        </w:rPr>
        <w:t xml:space="preserve">1324 · Il dato Mikoyan, non riscontrato.</w:t>
      </w:r>
      <w:r>
        <w:rPr>
          <w:rFonts w:ascii="Barlow Semi Condensed" w:cs="Barlow Semi Condensed" w:eastAsia="Barlow Semi Condensed" w:hAnsi="Barlow Semi Condensed"/>
          <w:sz w:val="24"/>
          <w:szCs w:val="24"/>
        </w:rPr>
        <w:t xml:space="preserve"> La presenza di Anastas Mikojan all'Avana nel marzo 1965 poggia sulla sola biografia sovietica di Iosif Lavretski, fonte di parte, ed è marcata come non riscontrata al nodo E-27 e nella quinta nota di revisione. Chiuderebbe la questione il fondo personale Mikojan presso l'archivio statale russo di storia socio-politica, insieme agli atti del ministero degli esteri cubano. Fino ad allora resta dichiarata come tale.</w:t>
      </w:r>
    </w:p>
    <w:p>
      <w:pPr>
        <w:spacing w:after="120" w:line="276"/>
        <w:jc w:val="both"/>
      </w:pPr>
      <w:r>
        <w:rPr>
          <w:rFonts w:ascii="Barlow Semi Condensed" w:cs="Barlow Semi Condensed" w:eastAsia="Barlow Semi Condensed" w:hAnsi="Barlow Semi Condensed"/>
          <w:b/>
          <w:bCs/>
          <w:sz w:val="24"/>
          <w:szCs w:val="24"/>
        </w:rPr>
        <w:t xml:space="preserve">1325 · I milletrecentoventitré atti di sovversione.</w:t>
      </w:r>
      <w:r>
        <w:rPr>
          <w:rFonts w:ascii="Barlow Semi Condensed" w:cs="Barlow Semi Condensed" w:eastAsia="Barlow Semi Condensed" w:hAnsi="Barlow Semi Condensed"/>
          <w:sz w:val="24"/>
          <w:szCs w:val="24"/>
        </w:rPr>
        <w:t xml:space="preserve"> Anche la cifra degli atti di sovversione subiti da Cuba nei primi undici mesi del 1964, attribuita a una trasmissione televisiva dell'Avana, risale alla sola fonte sovietica appena citata. Il corpus la attribuisce esplicitamente e non la assume. La chiuderebbe la trascrizione originale del programma presso gli archivi radiotelevisivi cubani. Una cifra tonda senza registro sottostante è un numero, non un'attività: la lezione è del blocco 246 dell'agenda.</w:t>
      </w:r>
    </w:p>
    <w:p>
      <w:pPr>
        <w:spacing w:after="120" w:line="276"/>
        <w:jc w:val="both"/>
      </w:pPr>
      <w:r>
        <w:rPr>
          <w:rFonts w:ascii="Barlow Semi Condensed" w:cs="Barlow Semi Condensed" w:eastAsia="Barlow Semi Condensed" w:hAnsi="Barlow Semi Condensed"/>
          <w:b/>
          <w:bCs/>
          <w:sz w:val="24"/>
          <w:szCs w:val="24"/>
        </w:rPr>
        <w:t xml:space="preserve">1326 · Il Cairo di Nasser, marzo 1965.</w:t>
      </w:r>
      <w:r>
        <w:rPr>
          <w:rFonts w:ascii="Barlow Semi Condensed" w:cs="Barlow Semi Condensed" w:eastAsia="Barlow Semi Condensed" w:hAnsi="Barlow Semi Condensed"/>
          <w:sz w:val="24"/>
          <w:szCs w:val="24"/>
        </w:rPr>
        <w:t xml:space="preserve"> Il monito di Gamal Abdel Nasser — l'immagine dell'uomo bianco fra i neri, l'impresa destinata a finire male — è confermato al nodo E-24 e risale al resoconto di Mohamed Heikal, ripreso dalla rivista dell'istituto latinoamericano di Harvard. È testimonianza di parte terza, resa da un giornalista vicino al presidente egiziano: grado buono per l'esistenza del colloquio, grado minore per la lettera delle frasi.</w:t>
      </w:r>
    </w:p>
    <w:p>
      <w:pPr>
        <w:spacing w:after="120" w:line="276"/>
        <w:jc w:val="both"/>
      </w:pPr>
      <w:r>
        <w:rPr>
          <w:rFonts w:ascii="Barlow Semi Condensed" w:cs="Barlow Semi Condensed" w:eastAsia="Barlow Semi Condensed" w:hAnsi="Barlow Semi Condensed"/>
          <w:b/>
          <w:bCs/>
          <w:sz w:val="24"/>
          <w:szCs w:val="24"/>
        </w:rPr>
        <w:t xml:space="preserve">1327 · Due Cairo, otto anni di distanza.</w:t>
      </w:r>
      <w:r>
        <w:rPr>
          <w:rFonts w:ascii="Barlow Semi Condensed" w:cs="Barlow Semi Condensed" w:eastAsia="Barlow Semi Condensed" w:hAnsi="Barlow Semi Condensed"/>
          <w:sz w:val="24"/>
          <w:szCs w:val="24"/>
        </w:rPr>
        <w:t xml:space="preserve"> La stessa città compare due volte nel corpus complessivo, e a proposito di due uomini diversi: nel marzo 1965 per l'avvertimento di Nasser a Guevara, e negli anni 1973-1975 per la diplomazia della navetta condotta da Kissinger con Anwar al-Sadat. Fra le due date c'è un cambio di presidente egiziano e un decennio. La coincidenza di luogo non è convergenza strutturale, ed è al massimo una comodità di racconto.</w:t>
      </w:r>
    </w:p>
    <w:p>
      <w:pPr>
        <w:spacing w:after="120" w:line="276"/>
        <w:jc w:val="both"/>
      </w:pPr>
      <w:r>
        <w:rPr>
          <w:rFonts w:ascii="Barlow Semi Condensed" w:cs="Barlow Semi Condensed" w:eastAsia="Barlow Semi Condensed" w:hAnsi="Barlow Semi Condensed"/>
          <w:b/>
          <w:bCs/>
          <w:sz w:val="24"/>
          <w:szCs w:val="24"/>
        </w:rPr>
        <w:t xml:space="preserve">1328 · Il 1965 dei due scrittoi.</w:t>
      </w:r>
      <w:r>
        <w:rPr>
          <w:rFonts w:ascii="Barlow Semi Condensed" w:cs="Barlow Semi Condensed" w:eastAsia="Barlow Semi Condensed" w:hAnsi="Barlow Semi Condensed"/>
          <w:sz w:val="24"/>
          <w:szCs w:val="24"/>
        </w:rPr>
        <w:t xml:space="preserve"> Nello stesso anno in cui Guevara scriveva contro lo scambio ineguale, il nome triangolato pubblicava un volume sull'alleanza atlantica e sui suoi dissesti. È simultaneità di scrittura su un ordine bipolare, non dialogo. Il bersaglio è verificabile in biblioteca e in un pomeriggio: spogliare l'indice analitico di quel volume alle voci Cuba, Guevara, Bolivia e America Latina, e riportare i risultati, compreso lo zero.</w:t>
      </w:r>
    </w:p>
    <w:p>
      <w:pPr>
        <w:spacing w:after="120" w:line="276"/>
        <w:jc w:val="both"/>
      </w:pPr>
      <w:r>
        <w:rPr>
          <w:rFonts w:ascii="Barlow Semi Condensed" w:cs="Barlow Semi Condensed" w:eastAsia="Barlow Semi Condensed" w:hAnsi="Barlow Semi Condensed"/>
          <w:b/>
          <w:bCs/>
          <w:sz w:val="24"/>
          <w:szCs w:val="24"/>
        </w:rPr>
        <w:t xml:space="preserve">1329 · Il rapporto di co-occorrenza, ricetta inclusa.</w:t>
      </w:r>
      <w:r>
        <w:rPr>
          <w:rFonts w:ascii="Barlow Semi Condensed" w:cs="Barlow Semi Condensed" w:eastAsia="Barlow Semi Condensed" w:hAnsi="Barlow Semi Condensed"/>
          <w:sz w:val="24"/>
          <w:szCs w:val="24"/>
        </w:rPr>
        <w:t xml:space="preserve"> I blocchi 643 e 644 impongono che una misura di co-occorrenza si pubblichi con la propria ricetta o non si pubblichi. Per questa serie la ricetta è: corpora interrogati, i cinque studi guevariani più la cronologia sinottica; stringhe, quelle già elencate; finestra, dicembre 1964-novembre 1966; criterio di conteggio, occorrenza letterale. Il denominatore è dichiarato, e chiunque può rifare la misura e smentirla.</w:t>
      </w:r>
    </w:p>
    <w:p>
      <w:pPr>
        <w:spacing w:after="120" w:line="276"/>
        <w:jc w:val="both"/>
      </w:pPr>
      <w:r>
        <w:rPr>
          <w:rFonts w:ascii="Barlow Semi Condensed" w:cs="Barlow Semi Condensed" w:eastAsia="Barlow Semi Condensed" w:hAnsi="Barlow Semi Condensed"/>
          <w:b/>
          <w:bCs/>
          <w:sz w:val="24"/>
          <w:szCs w:val="24"/>
        </w:rPr>
        <w:t xml:space="preserve">1330 · Il quadro congolese secondo il territorio.</w:t>
      </w:r>
      <w:r>
        <w:rPr>
          <w:rFonts w:ascii="Barlow Semi Condensed" w:cs="Barlow Semi Condensed" w:eastAsia="Barlow Semi Condensed" w:hAnsi="Barlow Semi Condensed"/>
          <w:sz w:val="24"/>
          <w:szCs w:val="24"/>
        </w:rPr>
        <w:t xml:space="preserve"> Il documento assegnato descrive un Congo diviso fra Gaston Soumaliot con Laurent-Désiré Kabila a nord-est e Christophe Gbenye altrove, con Mosca e Pechino a sostegno, e registra la reazione di Washington: Harriman e Cyrus Vance inviati da Johnson per il ponte aereo, Moise Tshombe nominato primo ministro nel luglio 1964 e non insediato con un colpo di forza, come corregge la nota finale del territorio.</w:t>
      </w:r>
    </w:p>
    <w:p>
      <w:pPr>
        <w:spacing w:after="120" w:line="276"/>
        <w:jc w:val="both"/>
      </w:pPr>
      <w:r>
        <w:rPr>
          <w:rFonts w:ascii="Barlow Semi Condensed" w:cs="Barlow Semi Condensed" w:eastAsia="Barlow Semi Condensed" w:hAnsi="Barlow Semi Condensed"/>
          <w:b/>
          <w:bCs/>
          <w:sz w:val="24"/>
          <w:szCs w:val="24"/>
        </w:rPr>
        <w:t xml:space="preserve">1331 · La catena americana sul Congo.</w:t>
      </w:r>
      <w:r>
        <w:rPr>
          <w:rFonts w:ascii="Barlow Semi Condensed" w:cs="Barlow Semi Condensed" w:eastAsia="Barlow Semi Condensed" w:hAnsi="Barlow Semi Condensed"/>
          <w:sz w:val="24"/>
          <w:szCs w:val="24"/>
        </w:rPr>
        <w:t xml:space="preserve"> Chi voglia sapere chi decise, per gli Stati Uniti, sul Congo del 1964-1965 ha sedi precise: il volume dei Foreign Relations dedicato al Congo per la serie 1964-1968, il National Security File della Lyndon B. Johnson Presidential Library di Austin con il Country File congolese, e le carte dei due consiglieri per la sicurezza nazionale che si succedettero in quegli anni. In quella catena il nome triangolato non compare.</w:t>
      </w:r>
    </w:p>
    <w:p>
      <w:pPr>
        <w:spacing w:after="120" w:line="276"/>
        <w:jc w:val="both"/>
      </w:pPr>
      <w:r>
        <w:rPr>
          <w:rFonts w:ascii="Barlow Semi Condensed" w:cs="Barlow Semi Condensed" w:eastAsia="Barlow Semi Condensed" w:hAnsi="Barlow Semi Condensed"/>
          <w:b/>
          <w:bCs/>
          <w:sz w:val="24"/>
          <w:szCs w:val="24"/>
        </w:rPr>
        <w:t xml:space="preserve">1332 · Tatu, Moja, Mbili.</w:t>
      </w:r>
      <w:r>
        <w:rPr>
          <w:rFonts w:ascii="Barlow Semi Condensed" w:cs="Barlow Semi Condensed" w:eastAsia="Barlow Semi Condensed" w:hAnsi="Barlow Semi Condensed"/>
          <w:sz w:val="24"/>
          <w:szCs w:val="24"/>
        </w:rPr>
        <w:t xml:space="preserve"> L'organigramma swahili della spedizione è esso stesso un documento di metodo: il comandante in capo portava il numero tre, il capo ufficiale Víctor Dreke era uno e José María Martínez Tamayo era due. Guevara si collocò al terzo posto della propria gerarchia nominale. Chi legge un elenco di nomi in codice senza la chiave attribuisce comandi al posto sbagliato: è lo stesso errore che il blocco 253 vieta sui verbali.</w:t>
      </w:r>
    </w:p>
    <w:p>
      <w:pPr>
        <w:spacing w:after="120" w:line="276"/>
        <w:jc w:val="both"/>
      </w:pPr>
      <w:r>
        <w:rPr>
          <w:rFonts w:ascii="Barlow Semi Condensed" w:cs="Barlow Semi Condensed" w:eastAsia="Barlow Semi Condensed" w:hAnsi="Barlow Semi Condensed"/>
          <w:b/>
          <w:bCs/>
          <w:sz w:val="24"/>
          <w:szCs w:val="24"/>
        </w:rPr>
        <w:t xml:space="preserve">1333 · Front de Force, fine giugno 1965.</w:t>
      </w:r>
      <w:r>
        <w:rPr>
          <w:rFonts w:ascii="Barlow Semi Condensed" w:cs="Barlow Semi Condensed" w:eastAsia="Barlow Semi Condensed" w:hAnsi="Barlow Semi Condensed"/>
          <w:sz w:val="24"/>
          <w:szCs w:val="24"/>
        </w:rPr>
        <w:t xml:space="preserve"> L'attacco alla guarnigione e alla centrale di Bendera fu una disfatta, e i caduti cubani lasciati sul terreno rivelarono al nemico la presenza dell'Avana nel Congo. Il bersaglio documentale è nominabile: i rapporti operativi congolesi e belgi sul recupero e sull'identificazione di quei corpi, da cercare presso gli archivi africani del ministero degli esteri belga. È lì che si data, per carta avversaria, la scoperta della missione.</w:t>
      </w:r>
    </w:p>
    <w:p>
      <w:pPr>
        <w:spacing w:after="120" w:line="276"/>
        <w:jc w:val="both"/>
      </w:pPr>
      <w:r>
        <w:rPr>
          <w:rFonts w:ascii="Barlow Semi Condensed" w:cs="Barlow Semi Condensed" w:eastAsia="Barlow Semi Condensed" w:hAnsi="Barlow Semi Condensed"/>
          <w:b/>
          <w:bCs/>
          <w:sz w:val="24"/>
          <w:szCs w:val="24"/>
        </w:rPr>
        <w:t xml:space="preserve">1334 · I mercenari e i piloti.</w:t>
      </w:r>
      <w:r>
        <w:rPr>
          <w:rFonts w:ascii="Barlow Semi Condensed" w:cs="Barlow Semi Condensed" w:eastAsia="Barlow Semi Condensed" w:hAnsi="Barlow Semi Condensed"/>
          <w:sz w:val="24"/>
          <w:szCs w:val="24"/>
        </w:rPr>
        <w:t xml:space="preserve"> Sul fronte governativo il territorio registra il Quinto Commando di Mike Hoare e piloti esuli cubani impiegati su incarico della CIA. Per il rapporto fra agenzia e piloti esiste materia di piano 1 nelle desecretazioni, da cercare nel Record Group 263 di College Park e nella sala di lettura elettronica dell'agenzia. Per il nome triangolato non esiste, in quel dossier, materia di alcun piano.</w:t>
      </w:r>
    </w:p>
    <w:p>
      <w:pPr>
        <w:spacing w:after="120" w:line="276"/>
        <w:jc w:val="both"/>
      </w:pPr>
      <w:r>
        <w:rPr>
          <w:rFonts w:ascii="Barlow Semi Condensed" w:cs="Barlow Semi Condensed" w:eastAsia="Barlow Semi Condensed" w:hAnsi="Barlow Semi Condensed"/>
          <w:b/>
          <w:bCs/>
          <w:sz w:val="24"/>
          <w:szCs w:val="24"/>
        </w:rPr>
        <w:t xml:space="preserve">1335 · Distinguere i piani nello stesso paragrafo.</w:t>
      </w:r>
      <w:r>
        <w:rPr>
          <w:rFonts w:ascii="Barlow Semi Condensed" w:cs="Barlow Semi Condensed" w:eastAsia="Barlow Semi Condensed" w:hAnsi="Barlow Semi Condensed"/>
          <w:sz w:val="24"/>
          <w:szCs w:val="24"/>
        </w:rPr>
        <w:t xml:space="preserve"> Vale come regola operativa e non come formula: dentro una sola frase del territorio possono convivere un rapporto documentato e un vuoto totale. L'ingaggio dei piloti da parte dell'agenzia sta al piano 1; la presenza di un consulente accademico in quella catena non sta ad alcun piano, perché non esiste il documento che lo colleghi. Scriverli nella stessa riga senza il grado li livella, ed è l'errore da impedire.</w:t>
      </w:r>
    </w:p>
    <w:p>
      <w:pPr>
        <w:spacing w:after="120" w:line="276"/>
        <w:jc w:val="both"/>
      </w:pPr>
      <w:r>
        <w:rPr>
          <w:rFonts w:ascii="Barlow Semi Condensed" w:cs="Barlow Semi Condensed" w:eastAsia="Barlow Semi Condensed" w:hAnsi="Barlow Semi Condensed"/>
          <w:b/>
          <w:bCs/>
          <w:sz w:val="24"/>
          <w:szCs w:val="24"/>
        </w:rPr>
        <w:t xml:space="preserve">1336 · Il 13 ottobre 1965 e Accra.</w:t>
      </w:r>
      <w:r>
        <w:rPr>
          <w:rFonts w:ascii="Barlow Semi Condensed" w:cs="Barlow Semi Condensed" w:eastAsia="Barlow Semi Condensed" w:hAnsi="Barlow Semi Condensed"/>
          <w:sz w:val="24"/>
          <w:szCs w:val="24"/>
        </w:rPr>
        <w:t xml:space="preserve"> Il colpo politico che chiuse la campagna venne da fuori: Joseph Kasavubu destituì Tshombe il 13 ottobre 1965 e ai primi di novembre, alla conferenza di Accra, annunciò la pacificazione, togliendo alla Tanzania ogni ragione di sostenere la retrovia ribelle. La sede che documenta quel passaggio sono gli atti della conferenza e i fondi diplomatici tanzaniani, non le ricostruzioni successive che ne fanno una decisione presa altrove.</w:t>
      </w:r>
    </w:p>
    <w:p>
      <w:pPr>
        <w:spacing w:after="120" w:line="276"/>
        <w:jc w:val="both"/>
      </w:pPr>
      <w:r>
        <w:rPr>
          <w:rFonts w:ascii="Barlow Semi Condensed" w:cs="Barlow Semi Condensed" w:eastAsia="Barlow Semi Condensed" w:hAnsi="Barlow Semi Condensed"/>
          <w:b/>
          <w:bCs/>
          <w:sz w:val="24"/>
          <w:szCs w:val="24"/>
        </w:rPr>
        <w:t xml:space="preserve">1337 · Il lago riattraversato.</w:t>
      </w:r>
      <w:r>
        <w:rPr>
          <w:rFonts w:ascii="Barlow Semi Condensed" w:cs="Barlow Semi Condensed" w:eastAsia="Barlow Semi Condensed" w:hAnsi="Barlow Semi Condensed"/>
          <w:sz w:val="24"/>
          <w:szCs w:val="24"/>
        </w:rPr>
        <w:t xml:space="preserve"> Il 21 novembre 1965 Guevara ripassò il Tanganica con i superstiti, avendo rifiutato la resistenza simbolica fino alla morte da eroe da fumetto. L'apertura del diario congolese — questa è la storia di un fallimento — è fonte primaria e autodiagnosi. Un testo in cui il protagonista si accusa da solo è il contrario di una fonte da integrare con moventi esterni: va letto per ciò che dichiara.</w:t>
      </w:r>
    </w:p>
    <w:p>
      <w:pPr>
        <w:spacing w:after="120" w:line="276"/>
        <w:jc w:val="both"/>
      </w:pPr>
      <w:r>
        <w:rPr>
          <w:rFonts w:ascii="Barlow Semi Condensed" w:cs="Barlow Semi Condensed" w:eastAsia="Barlow Semi Condensed" w:hAnsi="Barlow Semi Condensed"/>
          <w:b/>
          <w:bCs/>
          <w:sz w:val="24"/>
          <w:szCs w:val="24"/>
        </w:rPr>
        <w:t xml:space="preserve">1338 · Angola 1975, la tentazione simmetrica.</w:t>
      </w:r>
      <w:r>
        <w:rPr>
          <w:rFonts w:ascii="Barlow Semi Condensed" w:cs="Barlow Semi Condensed" w:eastAsia="Barlow Semi Condensed" w:hAnsi="Barlow Semi Condensed"/>
          <w:sz w:val="24"/>
          <w:szCs w:val="24"/>
        </w:rPr>
        <w:t xml:space="preserve"> Dieci anni dopo il Congo, l'internazionalismo militare cubano in Africa incontrò direttamente il nome triangolato, che allora era in carica. È materia dei Foreign Relations sul versante africano meridionale e dei memoranda della Ford Library, ed è dossier reale. Ma è dossier del 1975, e la somiglianza della pratica cubana nei due decenni è omologia interna a Cuba, non ponte fra Kissinger e la spedizione del 1965.</w:t>
      </w:r>
    </w:p>
    <w:p>
      <w:pPr>
        <w:spacing w:after="120" w:line="276"/>
        <w:jc w:val="both"/>
      </w:pPr>
      <w:r>
        <w:rPr>
          <w:rFonts w:ascii="Barlow Semi Condensed" w:cs="Barlow Semi Condensed" w:eastAsia="Barlow Semi Condensed" w:hAnsi="Barlow Semi Condensed"/>
          <w:b/>
          <w:bCs/>
          <w:sz w:val="24"/>
          <w:szCs w:val="24"/>
        </w:rPr>
        <w:t xml:space="preserve">1339 · Perché Angola non retroagisce.</w:t>
      </w:r>
      <w:r>
        <w:rPr>
          <w:rFonts w:ascii="Barlow Semi Condensed" w:cs="Barlow Semi Condensed" w:eastAsia="Barlow Semi Condensed" w:hAnsi="Barlow Semi Condensed"/>
          <w:sz w:val="24"/>
          <w:szCs w:val="24"/>
        </w:rPr>
        <w:t xml:space="preserve"> Due ragioni, entrambe già codificate. La prima è l'anteriorità: nessuna decisione del 1975 può aver prodotto un fatto del 1965. La seconda è il test fissato ai blocchi 434 e 438: dalla somiglianza del risultato non si deduce l'antenato comune, e l'unico test è un documento di provenienza che nomini la controparte. Per il Congo di Guevara quel documento non è stato reperito, e l'assenza si dichiara.</w:t>
      </w:r>
    </w:p>
    <w:p>
      <w:pPr>
        <w:spacing w:after="120" w:line="276"/>
        <w:jc w:val="both"/>
      </w:pPr>
      <w:r>
        <w:rPr>
          <w:rFonts w:ascii="Barlow Semi Condensed" w:cs="Barlow Semi Condensed" w:eastAsia="Barlow Semi Condensed" w:hAnsi="Barlow Semi Condensed"/>
          <w:b/>
          <w:bCs/>
          <w:sz w:val="24"/>
          <w:szCs w:val="24"/>
        </w:rPr>
        <w:t xml:space="preserve">1340 · Bersaglio di smentita, versante congolese.</w:t>
      </w:r>
      <w:r>
        <w:rPr>
          <w:rFonts w:ascii="Barlow Semi Condensed" w:cs="Barlow Semi Condensed" w:eastAsia="Barlow Semi Condensed" w:hAnsi="Barlow Semi Condensed"/>
          <w:sz w:val="24"/>
          <w:szCs w:val="24"/>
        </w:rPr>
        <w:t xml:space="preserve"> Che cosa rovescerebbe l'esito negativo qui verbalizzato: un documento del 1965 o del 1966, di provenienza statunitense, in cui Kissinger — a qualunque titolo, anche consulenziale — commenti, riceva o istruisca su Cuba nel Congo. Basterebbe un memorandum, un appunto di riunione, una lettera. Se esiste, sta a Yale, a Austin o a College Park; finché non è prodotto, l'ipotesi resta senza piano e va detta senza piano.</w:t>
      </w:r>
    </w:p>
    <w:p>
      <w:pPr>
        <w:spacing w:after="120" w:line="276"/>
        <w:jc w:val="both"/>
      </w:pPr>
      <w:r>
        <w:rPr>
          <w:rFonts w:ascii="Barlow Semi Condensed" w:cs="Barlow Semi Condensed" w:eastAsia="Barlow Semi Condensed" w:hAnsi="Barlow Semi Condensed"/>
          <w:b/>
          <w:bCs/>
          <w:sz w:val="24"/>
          <w:szCs w:val="24"/>
        </w:rPr>
        <w:t xml:space="preserve">1341 · Dar es Salaam, tre mesi nascosti.</w:t>
      </w:r>
      <w:r>
        <w:rPr>
          <w:rFonts w:ascii="Barlow Semi Condensed" w:cs="Barlow Semi Condensed" w:eastAsia="Barlow Semi Condensed" w:hAnsi="Barlow Semi Condensed"/>
          <w:sz w:val="24"/>
          <w:szCs w:val="24"/>
        </w:rPr>
        <w:t xml:space="preserve"> Fra il novembre 1965 e il febbraio 1966 Guevara restò nell'ambasciata cubana di Dar es Salaam, dove scrisse i Passaggi congolesi. Il bersaglio d'archivio è la corrispondenza diplomatica cubana e tanzaniana di quei mesi, con l'avvertenza che il fondo cubano non è aperto alla consultazione e che il versante tanzaniano è presso l'Archivio nazionale della Tanzania. Lo stato d'accesso va scritto accanto alla sede, sempre.</w:t>
      </w:r>
    </w:p>
    <w:p>
      <w:pPr>
        <w:spacing w:after="120" w:line="276"/>
        <w:jc w:val="both"/>
      </w:pPr>
      <w:r>
        <w:rPr>
          <w:rFonts w:ascii="Barlow Semi Condensed" w:cs="Barlow Semi Condensed" w:eastAsia="Barlow Semi Condensed" w:hAnsi="Barlow Semi Condensed"/>
          <w:b/>
          <w:bCs/>
          <w:sz w:val="24"/>
          <w:szCs w:val="24"/>
        </w:rPr>
        <w:t xml:space="preserve">1342 · Praga, marzo-luglio 1966.</w:t>
      </w:r>
      <w:r>
        <w:rPr>
          <w:rFonts w:ascii="Barlow Semi Condensed" w:cs="Barlow Semi Condensed" w:eastAsia="Barlow Semi Condensed" w:hAnsi="Barlow Semi Condensed"/>
          <w:sz w:val="24"/>
          <w:szCs w:val="24"/>
        </w:rPr>
        <w:t xml:space="preserve"> La casa sicura presso Praga è il punto del territorio in cui una polizia europea aveva quasi certamente carte, ed è dunque il bersaglio più promettente dell'intera serie. Le sedi sono l'Archivio degli apparati di sicurezza cecoslovacchi e l'Archivio nazionale ceco per il fondo del comitato centrale del partito. La domanda è una: quel fascicolo esiste, e nomina interlocutori esterni al blocco orientale?</w:t>
      </w:r>
    </w:p>
    <w:p>
      <w:pPr>
        <w:spacing w:after="120" w:line="276"/>
        <w:jc w:val="both"/>
      </w:pPr>
      <w:r>
        <w:rPr>
          <w:rFonts w:ascii="Barlow Semi Condensed" w:cs="Barlow Semi Condensed" w:eastAsia="Barlow Semi Condensed" w:hAnsi="Barlow Semi Condensed"/>
          <w:b/>
          <w:bCs/>
          <w:sz w:val="24"/>
          <w:szCs w:val="24"/>
        </w:rPr>
        <w:t xml:space="preserve">1343 · Il buco di Praga e il divieto.</w:t>
      </w:r>
      <w:r>
        <w:rPr>
          <w:rFonts w:ascii="Barlow Semi Condensed" w:cs="Barlow Semi Condensed" w:eastAsia="Barlow Semi Condensed" w:hAnsi="Barlow Semi Condensed"/>
          <w:sz w:val="24"/>
          <w:szCs w:val="24"/>
        </w:rPr>
        <w:t xml:space="preserve"> Quei mesi sono documentati pochissimo, e sono perciò la zona dove la narrazione più suggestiva si insedia con maggiore facilità. Il blocco 259 del manuale la chiama errore del buco riempito, e l'antidoto è la regola dei buchi: si misura, si dichiara, si cerca l'arco documentale. Il buco non parla, e in particolare non parla di uomini che nel 1966 non avevano funzione alcuna.</w:t>
      </w:r>
    </w:p>
    <w:p>
      <w:pPr>
        <w:spacing w:after="120" w:line="276"/>
        <w:jc w:val="both"/>
      </w:pPr>
      <w:r>
        <w:rPr>
          <w:rFonts w:ascii="Barlow Semi Condensed" w:cs="Barlow Semi Condensed" w:eastAsia="Barlow Semi Condensed" w:hAnsi="Barlow Semi Condensed"/>
          <w:b/>
          <w:bCs/>
          <w:sz w:val="24"/>
          <w:szCs w:val="24"/>
        </w:rPr>
        <w:t xml:space="preserve">1344 · Chi sapeva dove fosse.</w:t>
      </w:r>
      <w:r>
        <w:rPr>
          <w:rFonts w:ascii="Barlow Semi Condensed" w:cs="Barlow Semi Condensed" w:eastAsia="Barlow Semi Condensed" w:hAnsi="Barlow Semi Condensed"/>
          <w:sz w:val="24"/>
          <w:szCs w:val="24"/>
        </w:rPr>
        <w:t xml:space="preserve"> Quesito autonomo e chiudibile: quale servizio occidentale collocò Guevara a Praga fra il marzo e il luglio 1966, con quale grado di certezza e in quale prodotto informativo. Le sedi sono la banca dati desecretata dell'agenzia statunitense e i fondi cecoslovacchi già nominati. L'attesa qui non è negativa ma incerta, ed è la sola voce della serie in cui un riscontro positivo sarebbe plausibile.</w:t>
      </w:r>
    </w:p>
    <w:p>
      <w:pPr>
        <w:spacing w:after="120" w:line="276"/>
        <w:jc w:val="both"/>
      </w:pPr>
      <w:r>
        <w:rPr>
          <w:rFonts w:ascii="Barlow Semi Condensed" w:cs="Barlow Semi Condensed" w:eastAsia="Barlow Semi Condensed" w:hAnsi="Barlow Semi Condensed"/>
          <w:b/>
          <w:bCs/>
          <w:sz w:val="24"/>
          <w:szCs w:val="24"/>
        </w:rPr>
        <w:t xml:space="preserve">1345 · Le due specie di silenzio.</w:t>
      </w:r>
      <w:r>
        <w:rPr>
          <w:rFonts w:ascii="Barlow Semi Condensed" w:cs="Barlow Semi Condensed" w:eastAsia="Barlow Semi Condensed" w:hAnsi="Barlow Semi Condensed"/>
          <w:sz w:val="24"/>
          <w:szCs w:val="24"/>
        </w:rPr>
        <w:t xml:space="preserve"> Distinguere due specie di silenzio è compito del blocco 635, e la distinzione governa questa serie: altro è il documento che esiste e non tratta il quesito, altro il documento che non risulta esistere. Il primo è un dato sul documento, il secondo un dato sulla ricerca. Il territorio assegnato appartiene interamente alla prima specie: parla di molte cose e non tratta il nome triangolato.</w:t>
      </w:r>
    </w:p>
    <w:p>
      <w:pPr>
        <w:spacing w:after="120" w:line="276"/>
        <w:jc w:val="both"/>
      </w:pPr>
      <w:r>
        <w:rPr>
          <w:rFonts w:ascii="Barlow Semi Condensed" w:cs="Barlow Semi Condensed" w:eastAsia="Barlow Semi Condensed" w:hAnsi="Barlow Semi Condensed"/>
          <w:b/>
          <w:bCs/>
          <w:sz w:val="24"/>
          <w:szCs w:val="24"/>
        </w:rPr>
        <w:t xml:space="preserve">1346 · La condizione dell'argomento dal silenzio.</w:t>
      </w:r>
      <w:r>
        <w:rPr>
          <w:rFonts w:ascii="Barlow Semi Condensed" w:cs="Barlow Semi Condensed" w:eastAsia="Barlow Semi Condensed" w:hAnsi="Barlow Semi Condensed"/>
          <w:sz w:val="24"/>
          <w:szCs w:val="24"/>
        </w:rPr>
        <w:t xml:space="preserve"> Ammessa a una condizione sola, dice il blocco 637, è l'inferenza dal silenzio: che il fondo interrogato sia quello dove il documento, se esistesse, dovrebbe stare per prassi dell'amministrazione. Applicata qui, la condizione seleziona poche sedi e ne scarta molte. Il silenzio dell'archivio boliviano non dice nulla su un consulente di Harvard; il silenzio delle carte di New Haven, quelle sì, direbbe qualcosa di misurabile.</w:t>
      </w:r>
    </w:p>
    <w:p>
      <w:pPr>
        <w:spacing w:after="120" w:line="276"/>
        <w:jc w:val="both"/>
      </w:pPr>
      <w:r>
        <w:rPr>
          <w:rFonts w:ascii="Barlow Semi Condensed" w:cs="Barlow Semi Condensed" w:eastAsia="Barlow Semi Condensed" w:hAnsi="Barlow Semi Condensed"/>
          <w:b/>
          <w:bCs/>
          <w:sz w:val="24"/>
          <w:szCs w:val="24"/>
        </w:rPr>
        <w:t xml:space="preserve">1347 · Praga 1968 non è Praga 1966.</w:t>
      </w:r>
      <w:r>
        <w:rPr>
          <w:rFonts w:ascii="Barlow Semi Condensed" w:cs="Barlow Semi Condensed" w:eastAsia="Barlow Semi Condensed" w:hAnsi="Barlow Semi Condensed"/>
          <w:sz w:val="24"/>
          <w:szCs w:val="24"/>
        </w:rPr>
        <w:t xml:space="preserve"> L'arco cecoslovacco documentato del nome triangolato comincia con l'invasione dell'agosto 1968 e con il quadro distensivo successivo, quando egli entrò in carica. Nel 1966 la stessa città ospitava un clandestino cubano, e le due Praghe non hanno alcun documento in comune. Sovrapporle è l'errore della coincidenza promossa, che il blocco 260 del manuale definisce come il trattare una coincidenza alla stregua di una firma.</w:t>
      </w:r>
    </w:p>
    <w:p>
      <w:pPr>
        <w:spacing w:after="120" w:line="276"/>
        <w:jc w:val="both"/>
      </w:pPr>
      <w:r>
        <w:rPr>
          <w:rFonts w:ascii="Barlow Semi Condensed" w:cs="Barlow Semi Condensed" w:eastAsia="Barlow Semi Condensed" w:hAnsi="Barlow Semi Condensed"/>
          <w:b/>
          <w:bCs/>
          <w:sz w:val="24"/>
          <w:szCs w:val="24"/>
        </w:rPr>
        <w:t xml:space="preserve">1348 · San Andrés de Taiguanabo.</w:t>
      </w:r>
      <w:r>
        <w:rPr>
          <w:rFonts w:ascii="Barlow Semi Condensed" w:cs="Barlow Semi Condensed" w:eastAsia="Barlow Semi Condensed" w:hAnsi="Barlow Semi Condensed"/>
          <w:sz w:val="24"/>
          <w:szCs w:val="24"/>
        </w:rPr>
        <w:t xml:space="preserve"> Nel luglio 1966 il rientro segreto a Cuba, e tre mesi di addestramento nella tenuta di Pinar del Río per il nucleo dei futuri guerriglieri, in gran parte veterani della Sierra e del Congo. È fase interamente interna al dispositivo cubano. Nessuna sede statunitense la documenta in presa diretta, e il quesito su quale valutazione ne dessero i servizi occidentali si porta alla banca dati desecretata, con attesa bassa.</w:t>
      </w:r>
    </w:p>
    <w:p>
      <w:pPr>
        <w:spacing w:after="120" w:line="276"/>
        <w:jc w:val="both"/>
      </w:pPr>
      <w:r>
        <w:rPr>
          <w:rFonts w:ascii="Barlow Semi Condensed" w:cs="Barlow Semi Condensed" w:eastAsia="Barlow Semi Condensed" w:hAnsi="Barlow Semi Condensed"/>
          <w:b/>
          <w:bCs/>
          <w:sz w:val="24"/>
          <w:szCs w:val="24"/>
        </w:rPr>
        <w:t xml:space="preserve">1349 · Adolfo Mena González.</w:t>
      </w:r>
      <w:r>
        <w:rPr>
          <w:rFonts w:ascii="Barlow Semi Condensed" w:cs="Barlow Semi Condensed" w:eastAsia="Barlow Semi Condensed" w:hAnsi="Barlow Semi Condensed"/>
          <w:sz w:val="24"/>
          <w:szCs w:val="24"/>
        </w:rPr>
        <w:t xml:space="preserve"> L'identità di copertura merita un blocco proprio: economista uruguaiano in missione per organismi interamericani, con il travestimento — calvizie, occhiali, abiti da funzionario — descritto dal territorio. La scelta della copertura è essa stessa un documento di intenzione: colloca il clandestino dentro il lessico istituzionale del continente. Che il travestimento abbia funzionato fino al 3 novembre 1966 è accertato dagli esiti; come sia stato costruito non lo è.</w:t>
      </w:r>
    </w:p>
    <w:p>
      <w:pPr>
        <w:spacing w:after="120" w:line="276"/>
        <w:jc w:val="both"/>
      </w:pPr>
      <w:r>
        <w:rPr>
          <w:rFonts w:ascii="Barlow Semi Condensed" w:cs="Barlow Semi Condensed" w:eastAsia="Barlow Semi Condensed" w:hAnsi="Barlow Semi Condensed"/>
          <w:b/>
          <w:bCs/>
          <w:sz w:val="24"/>
          <w:szCs w:val="24"/>
        </w:rPr>
        <w:t xml:space="preserve">1350 · La copertura interamericana, quesito.</w:t>
      </w:r>
      <w:r>
        <w:rPr>
          <w:rFonts w:ascii="Barlow Semi Condensed" w:cs="Barlow Semi Condensed" w:eastAsia="Barlow Semi Condensed" w:hAnsi="Barlow Semi Condensed"/>
          <w:sz w:val="24"/>
          <w:szCs w:val="24"/>
        </w:rPr>
        <w:t xml:space="preserve"> Bersaglio nominabile e mai posto dal corpus: se all'identità di copertura corrispose una credenziale realmente emessa da un organismo interamericano oppure una simulazione documentale integrale. La sede è l'archivio dell'Organizzazione degli Stati americani a Washington con la sua biblioteca storica. L'esito, quale che sia, chiude una questione tecnica del territorio e non ne apre alcuna sul nome triangolato, che con quegli organismi non aveva rapporto.</w:t>
      </w:r>
    </w:p>
    <w:p>
      <w:pPr>
        <w:spacing w:after="120" w:line="276"/>
        <w:jc w:val="both"/>
      </w:pPr>
      <w:r>
        <w:rPr>
          <w:rFonts w:ascii="Barlow Semi Condensed" w:cs="Barlow Semi Condensed" w:eastAsia="Barlow Semi Condensed" w:hAnsi="Barlow Semi Condensed"/>
          <w:b/>
          <w:bCs/>
          <w:sz w:val="24"/>
          <w:szCs w:val="24"/>
        </w:rPr>
        <w:t xml:space="preserve">1351 · Il 3 novembre 1966 a La Paz.</w:t>
      </w:r>
      <w:r>
        <w:rPr>
          <w:rFonts w:ascii="Barlow Semi Condensed" w:cs="Barlow Semi Condensed" w:eastAsia="Barlow Semi Condensed" w:hAnsi="Barlow Semi Condensed"/>
          <w:sz w:val="24"/>
          <w:szCs w:val="24"/>
        </w:rPr>
        <w:t xml:space="preserve"> L'atterraggio a La Paz sotto falsa identità lascia, per definizione, una traccia amministrativa: modulo d'ingresso, timbro, registro alberghiero. Le sedi sono l'Archivio nazionale della Bolivia a Sucre e gli archivi della direzione generale della migrazione boliviana. È carta seriale, la specie che il corpus predilige perché non ricorda e non interpreta. Che sopravviva è da verificare; che sia stata cercata, allo stato, non risulta.</w:t>
      </w:r>
    </w:p>
    <w:p>
      <w:pPr>
        <w:spacing w:after="120" w:line="276"/>
        <w:jc w:val="both"/>
      </w:pPr>
      <w:r>
        <w:rPr>
          <w:rFonts w:ascii="Barlow Semi Condensed" w:cs="Barlow Semi Condensed" w:eastAsia="Barlow Semi Condensed" w:hAnsi="Barlow Semi Condensed"/>
          <w:b/>
          <w:bCs/>
          <w:sz w:val="24"/>
          <w:szCs w:val="24"/>
        </w:rPr>
        <w:t xml:space="preserve">1352 · La catena statunitense su La Paz.</w:t>
      </w:r>
      <w:r>
        <w:rPr>
          <w:rFonts w:ascii="Barlow Semi Condensed" w:cs="Barlow Semi Condensed" w:eastAsia="Barlow Semi Condensed" w:hAnsi="Barlow Semi Condensed"/>
          <w:sz w:val="24"/>
          <w:szCs w:val="24"/>
        </w:rPr>
        <w:t xml:space="preserve"> Per il versante boliviano le sedi sono tre e nominabili: il volume dei Foreign Relations dedicato all'America centrale e meridionale nella serie 1964-1968, il Country File boliviano del National Security File ad Austin, e le carte dell'ambasciata a La Paz nel Record Group 84 di College Park. La catena decisionale che vi si legge, per il 1966, non passa da alcun consulente esterno all'amministrazione.</w:t>
      </w:r>
    </w:p>
    <w:p>
      <w:pPr>
        <w:spacing w:after="120" w:line="276"/>
        <w:jc w:val="both"/>
      </w:pPr>
      <w:r>
        <w:rPr>
          <w:rFonts w:ascii="Barlow Semi Condensed" w:cs="Barlow Semi Condensed" w:eastAsia="Barlow Semi Condensed" w:hAnsi="Barlow Semi Condensed"/>
          <w:b/>
          <w:bCs/>
          <w:sz w:val="24"/>
          <w:szCs w:val="24"/>
        </w:rPr>
        <w:t xml:space="preserve">1353 · Ñancahuazú, la soglia.</w:t>
      </w:r>
      <w:r>
        <w:rPr>
          <w:rFonts w:ascii="Barlow Semi Condensed" w:cs="Barlow Semi Condensed" w:eastAsia="Barlow Semi Condensed" w:hAnsi="Barlow Semi Condensed"/>
          <w:sz w:val="24"/>
          <w:szCs w:val="24"/>
        </w:rPr>
        <w:t xml:space="preserve"> Il 7 novembre 1966 il diario boliviano si apre con l'annuncio di una nuova tappa, e lì il territorio si chiude per scelta editoriale dichiarata. Quanto viene dopo — Monje, Vado del Yeso, la Quebrada del Churo — appartiene al quinto studio guevariano. Questa serie rispetta il confine, perché sconfinare significherebbe importare qui il 1967 e con esso l'unico episodio in cui compare un agente statunitense sul terreno.</w:t>
      </w:r>
    </w:p>
    <w:p>
      <w:pPr>
        <w:spacing w:after="120" w:line="276"/>
        <w:jc w:val="both"/>
      </w:pPr>
      <w:r>
        <w:rPr>
          <w:rFonts w:ascii="Barlow Semi Condensed" w:cs="Barlow Semi Condensed" w:eastAsia="Barlow Semi Condensed" w:hAnsi="Barlow Semi Condensed"/>
          <w:b/>
          <w:bCs/>
          <w:sz w:val="24"/>
          <w:szCs w:val="24"/>
        </w:rPr>
        <w:t xml:space="preserve">1354 · Il 1967 non appartiene a questa serie.</w:t>
      </w:r>
      <w:r>
        <w:rPr>
          <w:rFonts w:ascii="Barlow Semi Condensed" w:cs="Barlow Semi Condensed" w:eastAsia="Barlow Semi Condensed" w:hAnsi="Barlow Semi Condensed"/>
          <w:sz w:val="24"/>
          <w:szCs w:val="24"/>
        </w:rPr>
        <w:t xml:space="preserve"> Va detto per prevenire l'obiezione più facile. La presenza di Félix Rodríguez a La Higuera, documentata dagli archivi desecretati e registrata ai nodi M-5 e M-8, sta nel capitolo successivo del corpus e riguarda un anno che questo territorio non copre. Chi la porti qui compie due operazioni scorrette insieme: sposta una data e trasforma la presenza di un agente in una catena di comando.</w:t>
      </w:r>
    </w:p>
    <w:p>
      <w:pPr>
        <w:spacing w:after="120" w:line="276"/>
        <w:jc w:val="both"/>
      </w:pPr>
      <w:r>
        <w:rPr>
          <w:rFonts w:ascii="Barlow Semi Condensed" w:cs="Barlow Semi Condensed" w:eastAsia="Barlow Semi Condensed" w:hAnsi="Barlow Semi Condensed"/>
          <w:b/>
          <w:bCs/>
          <w:sz w:val="24"/>
          <w:szCs w:val="24"/>
        </w:rPr>
        <w:t xml:space="preserve">1355 · L'Electronic Briefing Book del 1997.</w:t>
      </w:r>
      <w:r>
        <w:rPr>
          <w:rFonts w:ascii="Barlow Semi Condensed" w:cs="Barlow Semi Condensed" w:eastAsia="Barlow Semi Condensed" w:hAnsi="Barlow Semi Condensed"/>
          <w:sz w:val="24"/>
          <w:szCs w:val="24"/>
        </w:rPr>
        <w:t xml:space="preserve"> Il corpus cita già la raccolta desecretata pubblicata nel 1997 dall'archivio universitario statunitense sulla morte di Guevara. Il bersaglio che questa serie aggiunge è puntuale e a costo bassissimo: spogliarne l'indice dei nomi e verificare se vi compaia il nome triangolato. L'attesa è negativa, perché quella raccolta copre il 1967 e la catena Johnson-Rostow-Helms. L'esito, positivo o negativo, va verbalizzato con la data della consultazione.</w:t>
      </w:r>
    </w:p>
    <w:p>
      <w:pPr>
        <w:spacing w:after="120" w:line="276"/>
        <w:jc w:val="both"/>
      </w:pPr>
      <w:r>
        <w:rPr>
          <w:rFonts w:ascii="Barlow Semi Condensed" w:cs="Barlow Semi Condensed" w:eastAsia="Barlow Semi Condensed" w:hAnsi="Barlow Semi Condensed"/>
          <w:b/>
          <w:bCs/>
          <w:sz w:val="24"/>
          <w:szCs w:val="24"/>
        </w:rPr>
        <w:t xml:space="preserve">1356 · La Tricontinentale dell'Avana.</w:t>
      </w:r>
      <w:r>
        <w:rPr>
          <w:rFonts w:ascii="Barlow Semi Condensed" w:cs="Barlow Semi Condensed" w:eastAsia="Barlow Semi Condensed" w:hAnsi="Barlow Semi Condensed"/>
          <w:sz w:val="24"/>
          <w:szCs w:val="24"/>
        </w:rPr>
        <w:t xml:space="preserve"> Dal 3 al 15 gennaio 1966, dentro la finestra di questa serie, l'Avana ospitò la conferenza di solidarietà dei tre continenti. Il territorio la evoca soltanto attraverso il Messaggio che ne porta il nome. La reazione statunitense a quella conferenza è materia dei fascicoli centrali del Dipartimento di Stato per il 1964-1966, presso College Park, e va cercata lì prima che in qualunque ricostruzione successiva.</w:t>
      </w:r>
    </w:p>
    <w:p>
      <w:pPr>
        <w:spacing w:after="120" w:line="276"/>
        <w:jc w:val="both"/>
      </w:pPr>
      <w:r>
        <w:rPr>
          <w:rFonts w:ascii="Barlow Semi Condensed" w:cs="Barlow Semi Condensed" w:eastAsia="Barlow Semi Condensed" w:hAnsi="Barlow Semi Condensed"/>
          <w:b/>
          <w:bCs/>
          <w:sz w:val="24"/>
          <w:szCs w:val="24"/>
        </w:rPr>
        <w:t xml:space="preserve">1357 · Due, tre, molti Vietnam.</w:t>
      </w:r>
      <w:r>
        <w:rPr>
          <w:rFonts w:ascii="Barlow Semi Condensed" w:cs="Barlow Semi Condensed" w:eastAsia="Barlow Semi Condensed" w:hAnsi="Barlow Semi Condensed"/>
          <w:sz w:val="24"/>
          <w:szCs w:val="24"/>
        </w:rPr>
        <w:t xml:space="preserve"> La formula del Messaggio alla Tricontinentale, pubblicato nell'aprile 1967 ma concepito nella fase qui trattata, è la ragione strategica della scelta boliviana: moltiplicare i fronti per disperdere la potenza avversaria. È dottrina, e come tale non prova alcuna condotta altrui. Vale il principio del blocco 438: nessuna previsione di condotta discende da una dottrina, e nessuna dottrina si prova a partire da una condotta.</w:t>
      </w:r>
    </w:p>
    <w:p>
      <w:pPr>
        <w:spacing w:after="120" w:line="276"/>
        <w:jc w:val="both"/>
      </w:pPr>
      <w:r>
        <w:rPr>
          <w:rFonts w:ascii="Barlow Semi Condensed" w:cs="Barlow Semi Condensed" w:eastAsia="Barlow Semi Condensed" w:hAnsi="Barlow Semi Condensed"/>
          <w:b/>
          <w:bCs/>
          <w:sz w:val="24"/>
          <w:szCs w:val="24"/>
        </w:rPr>
        <w:t xml:space="preserve">1358 · Il Vietnam dell'altro.</w:t>
      </w:r>
      <w:r>
        <w:rPr>
          <w:rFonts w:ascii="Barlow Semi Condensed" w:cs="Barlow Semi Condensed" w:eastAsia="Barlow Semi Condensed" w:hAnsi="Barlow Semi Condensed"/>
          <w:sz w:val="24"/>
          <w:szCs w:val="24"/>
        </w:rPr>
        <w:t xml:space="preserve"> Negli stessi due anni il nome triangolato era impegnato — secondo la bibliografia corrente, e da riscontrare sugli atti — in missioni consulenziali presso l'ambasciata statunitense a Saigon. Le sedi che lo accerterebbero sono le carte anteriori al 1969 conservate a New Haven e i volumi vietnamiti dei Foreign Relations per la serie 1964-1968. Finché non sono lette, la circostanza resta bibliografica e non entra fra gli accertamenti.</w:t>
      </w:r>
    </w:p>
    <w:p>
      <w:pPr>
        <w:spacing w:after="120" w:line="276"/>
        <w:jc w:val="both"/>
      </w:pPr>
      <w:r>
        <w:rPr>
          <w:rFonts w:ascii="Barlow Semi Condensed" w:cs="Barlow Semi Condensed" w:eastAsia="Barlow Semi Condensed" w:hAnsi="Barlow Semi Condensed"/>
          <w:b/>
          <w:bCs/>
          <w:sz w:val="24"/>
          <w:szCs w:val="24"/>
        </w:rPr>
        <w:t xml:space="preserve">1359 · La convergenza più forte della serie.</w:t>
      </w:r>
      <w:r>
        <w:rPr>
          <w:rFonts w:ascii="Barlow Semi Condensed" w:cs="Barlow Semi Condensed" w:eastAsia="Barlow Semi Condensed" w:hAnsi="Barlow Semi Condensed"/>
          <w:sz w:val="24"/>
          <w:szCs w:val="24"/>
        </w:rPr>
        <w:t xml:space="preserve"> È questa, ed è al piano 2: nei mesi in cui Guevara elaborava la moltiplicazione dei Vietnam, il nome triangolato lavorava sul Vietnam dal capo opposto del conflitto. Stesso oggetto, funzioni antagoniste, nessun contatto documentato e nessuna menzione reciproca reperita. Una convergenza così pulita è precisamente ciò che il corpus vieta di promuovere: due uomini possono occuparsi della stessa guerra senza avere un rapporto.</w:t>
      </w:r>
    </w:p>
    <w:p>
      <w:pPr>
        <w:spacing w:after="120" w:line="276"/>
        <w:jc w:val="both"/>
      </w:pPr>
      <w:r>
        <w:rPr>
          <w:rFonts w:ascii="Barlow Semi Condensed" w:cs="Barlow Semi Condensed" w:eastAsia="Barlow Semi Condensed" w:hAnsi="Barlow Semi Condensed"/>
          <w:b/>
          <w:bCs/>
          <w:sz w:val="24"/>
          <w:szCs w:val="24"/>
        </w:rPr>
        <w:t xml:space="preserve">1360 · Il canale del 1967 resta fuori.</w:t>
      </w:r>
      <w:r>
        <w:rPr>
          <w:rFonts w:ascii="Barlow Semi Condensed" w:cs="Barlow Semi Condensed" w:eastAsia="Barlow Semi Condensed" w:hAnsi="Barlow Semi Condensed"/>
          <w:sz w:val="24"/>
          <w:szCs w:val="24"/>
        </w:rPr>
        <w:t xml:space="preserve"> Il tentativo negoziale condotto nel 1967 attraverso intermediari francesi appartiene all'anno successivo alla chiusura del territorio ed è qui citato solo per delimitare. Serve però a fissare una regola: la contiguità cronologica di due dossier non li unisce, e un canale aperto nell'estate 1967 non ha alcuna relazione con una colonna guerrigliera installata l'anno prima sull'altro emisfero. Sono adiacenze di calendario, non di materia.</w:t>
      </w:r>
    </w:p>
    <w:p>
      <w:pPr>
        <w:spacing w:after="120" w:line="276"/>
        <w:jc w:val="both"/>
      </w:pPr>
      <w:r>
        <w:rPr>
          <w:rFonts w:ascii="Barlow Semi Condensed" w:cs="Barlow Semi Condensed" w:eastAsia="Barlow Semi Condensed" w:hAnsi="Barlow Semi Condensed"/>
          <w:b/>
          <w:bCs/>
          <w:sz w:val="24"/>
          <w:szCs w:val="24"/>
        </w:rPr>
        <w:t xml:space="preserve">1361 · Il seminario di Harvard, quesito ereditato.</w:t>
      </w:r>
      <w:r>
        <w:rPr>
          <w:rFonts w:ascii="Barlow Semi Condensed" w:cs="Barlow Semi Condensed" w:eastAsia="Barlow Semi Condensed" w:hAnsi="Barlow Semi Condensed"/>
          <w:sz w:val="24"/>
          <w:szCs w:val="24"/>
        </w:rPr>
        <w:t xml:space="preserve"> Apparato di replicazione per eccellenza: così il blocco 158 dell'opera definisce il seminario internazionale diretto a Harvard, chiedendone gli elenchi agli Harvard University Archives. Questa serie vi aggiunge una domanda propria: fra i partecipanti degli anni Sessanta figurò mai un funzionario cubano, boliviano o congolese nominato nel territorio? La verifica è meccanica e l'esito, quale che sia, si verbalizza con l'anno e la serie consultata.</w:t>
      </w:r>
    </w:p>
    <w:p>
      <w:pPr>
        <w:spacing w:after="120" w:line="276"/>
        <w:jc w:val="both"/>
      </w:pPr>
      <w:r>
        <w:rPr>
          <w:rFonts w:ascii="Barlow Semi Condensed" w:cs="Barlow Semi Condensed" w:eastAsia="Barlow Semi Condensed" w:hAnsi="Barlow Semi Condensed"/>
          <w:b/>
          <w:bCs/>
          <w:sz w:val="24"/>
          <w:szCs w:val="24"/>
        </w:rPr>
        <w:t xml:space="preserve">1362 · L'attesa su quel quesito.</w:t>
      </w:r>
      <w:r>
        <w:rPr>
          <w:rFonts w:ascii="Barlow Semi Condensed" w:cs="Barlow Semi Condensed" w:eastAsia="Barlow Semi Condensed" w:hAnsi="Barlow Semi Condensed"/>
          <w:sz w:val="24"/>
          <w:szCs w:val="24"/>
        </w:rPr>
        <w:t xml:space="preserve"> Formulata prima di aprire gli elenchi, come impone la disciplina: bassa. I funzionari nominati dal territorio appartenevano ad apparati in rottura dichiarata con Washington, e un seminario statunitense non era per loro sede praticabile. Se l'elenco restituisse un nome, sarebbe un fatto biografico interessante e nulla di più; se non ne restituisce alcuno, l'esito negativo non modifica nulla e va scritto ugualmente.</w:t>
      </w:r>
    </w:p>
    <w:p>
      <w:pPr>
        <w:spacing w:after="120" w:line="276"/>
        <w:jc w:val="both"/>
      </w:pPr>
      <w:r>
        <w:rPr>
          <w:rFonts w:ascii="Barlow Semi Condensed" w:cs="Barlow Semi Condensed" w:eastAsia="Barlow Semi Condensed" w:hAnsi="Barlow Semi Condensed"/>
          <w:b/>
          <w:bCs/>
          <w:sz w:val="24"/>
          <w:szCs w:val="24"/>
        </w:rPr>
        <w:t xml:space="preserve">1363 · L'appartenenza non prova condotta.</w:t>
      </w:r>
      <w:r>
        <w:rPr>
          <w:rFonts w:ascii="Barlow Semi Condensed" w:cs="Barlow Semi Condensed" w:eastAsia="Barlow Semi Condensed" w:hAnsi="Barlow Semi Condensed"/>
          <w:sz w:val="24"/>
          <w:szCs w:val="24"/>
        </w:rPr>
        <w:t xml:space="preserve"> Anche un riscontro positivo sugli elenchi non produrrebbe nesso. La disciplina del corpus è esplicita: l'appartenenza a un'organizzazione, a una scuola o a un lignaggio dottrinale non è prova di condotta, e il blocco 960 aggiunge che nessuno risponde dell'uso postumo o altrui del proprio nome. Aver frequentato un'aula non è aver ricevuto un mandato, e non è nemmeno aver conosciuto chi la dirigeva.</w:t>
      </w:r>
    </w:p>
    <w:p>
      <w:pPr>
        <w:spacing w:after="120" w:line="276"/>
        <w:jc w:val="both"/>
      </w:pPr>
      <w:r>
        <w:rPr>
          <w:rFonts w:ascii="Barlow Semi Condensed" w:cs="Barlow Semi Condensed" w:eastAsia="Barlow Semi Condensed" w:hAnsi="Barlow Semi Condensed"/>
          <w:b/>
          <w:bCs/>
          <w:sz w:val="24"/>
          <w:szCs w:val="24"/>
        </w:rPr>
        <w:t xml:space="preserve">1364 · Il metro cileno, e il limite.</w:t>
      </w:r>
      <w:r>
        <w:rPr>
          <w:rFonts w:ascii="Barlow Semi Condensed" w:cs="Barlow Semi Condensed" w:eastAsia="Barlow Semi Condensed" w:hAnsi="Barlow Semi Condensed"/>
          <w:sz w:val="24"/>
          <w:szCs w:val="24"/>
        </w:rPr>
        <w:t xml:space="preserve"> Indicato al blocco 496 come il miglior metro di cui il corpus disponga, il caso cileno vale perché lì un organo legislativo accertò in pubblico, con documenti, un finanziamento statale straniero. Il metro serve a misurare che cosa manchi altrove. Applicato a questo territorio, dice che manca tutto: non un accertamento parlamentare, non un finanziamento tracciato, non un beneficiario. E il Cile è del 1970-1973, in altro Paese.</w:t>
      </w:r>
    </w:p>
    <w:p>
      <w:pPr>
        <w:spacing w:after="120" w:line="276"/>
        <w:jc w:val="both"/>
      </w:pPr>
      <w:r>
        <w:rPr>
          <w:rFonts w:ascii="Barlow Semi Condensed" w:cs="Barlow Semi Condensed" w:eastAsia="Barlow Semi Condensed" w:hAnsi="Barlow Semi Condensed"/>
          <w:b/>
          <w:bCs/>
          <w:sz w:val="24"/>
          <w:szCs w:val="24"/>
        </w:rPr>
        <w:t xml:space="preserve">1365 · La commissione del 1975.</w:t>
      </w:r>
      <w:r>
        <w:rPr>
          <w:rFonts w:ascii="Barlow Semi Condensed" w:cs="Barlow Semi Condensed" w:eastAsia="Barlow Semi Condensed" w:hAnsi="Barlow Semi Condensed"/>
          <w:sz w:val="24"/>
          <w:szCs w:val="24"/>
        </w:rPr>
        <w:t xml:space="preserve"> Il rapporto interinale della commissione senatoriale statunitense sui complotti contro leader stranieri, del novembre 1975, elenca casi nominati uno per uno. Guevara non vi figura. La sede che consente di verificarlo e di misurarne il perimetro sono le carte della commissione presso il centro degli archivi legislativi di Washington. È una verifica a esito negativo dichiarabile, e proprio per questo va condotta e citata con la data.</w:t>
      </w:r>
    </w:p>
    <w:p>
      <w:pPr>
        <w:spacing w:after="120" w:line="276"/>
        <w:jc w:val="both"/>
      </w:pPr>
      <w:r>
        <w:rPr>
          <w:rFonts w:ascii="Barlow Semi Condensed" w:cs="Barlow Semi Condensed" w:eastAsia="Barlow Semi Condensed" w:hAnsi="Barlow Semi Condensed"/>
          <w:b/>
          <w:bCs/>
          <w:sz w:val="24"/>
          <w:szCs w:val="24"/>
        </w:rPr>
        <w:t xml:space="preserve">1366 · Che cosa quell'assenza pesa.</w:t>
      </w:r>
      <w:r>
        <w:rPr>
          <w:rFonts w:ascii="Barlow Semi Condensed" w:cs="Barlow Semi Condensed" w:eastAsia="Barlow Semi Condensed" w:hAnsi="Barlow Semi Condensed"/>
          <w:sz w:val="24"/>
          <w:szCs w:val="24"/>
        </w:rPr>
        <w:t xml:space="preserve"> Non pesa come enunciato sul mondo: che una commissione non abbia trattato un caso non dimostra che nulla vi fosse da trattare. Pesa come misura del perimetro d'inchiesta, cioè di che cosa il legislatore statunitense scelse di guardare nel 1975. Il blocco 636 lo dice una volta per tutte: il silenzio d'archivio prova che quel fondo, come inventariato e consultato, non contiene il documento.</w:t>
      </w:r>
    </w:p>
    <w:p>
      <w:pPr>
        <w:spacing w:after="120" w:line="276"/>
        <w:jc w:val="both"/>
      </w:pPr>
      <w:r>
        <w:rPr>
          <w:rFonts w:ascii="Barlow Semi Condensed" w:cs="Barlow Semi Condensed" w:eastAsia="Barlow Semi Condensed" w:hAnsi="Barlow Semi Condensed"/>
          <w:b/>
          <w:bCs/>
          <w:sz w:val="24"/>
          <w:szCs w:val="24"/>
        </w:rPr>
        <w:t xml:space="preserve">1367 · La commissione sulle attività interne.</w:t>
      </w:r>
      <w:r>
        <w:rPr>
          <w:rFonts w:ascii="Barlow Semi Condensed" w:cs="Barlow Semi Condensed" w:eastAsia="Barlow Semi Condensed" w:hAnsi="Barlow Semi Condensed"/>
          <w:sz w:val="24"/>
          <w:szCs w:val="24"/>
        </w:rPr>
        <w:t xml:space="preserve"> Una seconda commissione, nello stesso 1975, esaminò le attività dell'agenzia sul territorio nazionale. Il quesito che ne discende tocca direttamente il dicembre 1964 newyorkese: se la sorveglianza della delegazione cubana all'ONU vi sia stata esaminata, e in quali termini. La sede è il rapporto pubblicato e le carte versate ai National Archives. È un bersaglio che il corpus non aveva mai formulato e che costa una segnatura.</w:t>
      </w:r>
    </w:p>
    <w:p>
      <w:pPr>
        <w:spacing w:after="120" w:line="276"/>
        <w:jc w:val="both"/>
      </w:pPr>
      <w:r>
        <w:rPr>
          <w:rFonts w:ascii="Barlow Semi Condensed" w:cs="Barlow Semi Condensed" w:eastAsia="Barlow Semi Condensed" w:hAnsi="Barlow Semi Condensed"/>
          <w:b/>
          <w:bCs/>
          <w:sz w:val="24"/>
          <w:szCs w:val="24"/>
        </w:rPr>
        <w:t xml:space="preserve">1368 · I telcon che non esistono.</w:t>
      </w:r>
      <w:r>
        <w:rPr>
          <w:rFonts w:ascii="Barlow Semi Condensed" w:cs="Barlow Semi Condensed" w:eastAsia="Barlow Semi Condensed" w:hAnsi="Barlow Semi Condensed"/>
          <w:sz w:val="24"/>
          <w:szCs w:val="24"/>
        </w:rPr>
        <w:t xml:space="preserve"> La raccolta delle trascrizioni telefoniche del nome triangolato comincia con il 1969 e non contiene, per costruzione, alcuna conversazione degli anni di Guevara. Non è occultamento e non è lacuna: è la data d'inizio di una serie documentale. Confondere la data d'inizio di un fondo con una sparizione è uno degli errori più diffusi della pubblicistica, e produce vuoti che nessuno ha mai prodotto.</w:t>
      </w:r>
    </w:p>
    <w:p>
      <w:pPr>
        <w:spacing w:after="120" w:line="276"/>
        <w:jc w:val="both"/>
      </w:pPr>
      <w:r>
        <w:rPr>
          <w:rFonts w:ascii="Barlow Semi Condensed" w:cs="Barlow Semi Condensed" w:eastAsia="Barlow Semi Condensed" w:hAnsi="Barlow Semi Condensed"/>
          <w:b/>
          <w:bCs/>
          <w:sz w:val="24"/>
          <w:szCs w:val="24"/>
        </w:rPr>
        <w:t xml:space="preserve">1369 · Lo Stato Zero per costruzione.</w:t>
      </w:r>
      <w:r>
        <w:rPr>
          <w:rFonts w:ascii="Barlow Semi Condensed" w:cs="Barlow Semi Condensed" w:eastAsia="Barlow Semi Condensed" w:hAnsi="Barlow Semi Condensed"/>
          <w:sz w:val="24"/>
          <w:szCs w:val="24"/>
        </w:rPr>
        <w:t xml:space="preserve"> Si propone qui come categoria distinta, perché la serie ne incontra molti: l'assenza che discende dalla struttura di una fonte e non dall'esito di una ricerca. Va verbalizzata diversamente dallo Stato Zero cercato, che presuppone un fondo aperto e interrogato. Sommare le due specie gonfia il perimetro negativo e lo rende inutilizzabile; distinguerle consente a un terzo di ripetere soltanto ciò che è ripetibile.</w:t>
      </w:r>
    </w:p>
    <w:p>
      <w:pPr>
        <w:spacing w:after="120" w:line="276"/>
        <w:jc w:val="both"/>
      </w:pPr>
      <w:r>
        <w:rPr>
          <w:rFonts w:ascii="Barlow Semi Condensed" w:cs="Barlow Semi Condensed" w:eastAsia="Barlow Semi Condensed" w:hAnsi="Barlow Semi Condensed"/>
          <w:b/>
          <w:bCs/>
          <w:sz w:val="24"/>
          <w:szCs w:val="24"/>
        </w:rPr>
        <w:t xml:space="preserve">1370 · Il bilancio dei piani.</w:t>
      </w:r>
      <w:r>
        <w:rPr>
          <w:rFonts w:ascii="Barlow Semi Condensed" w:cs="Barlow Semi Condensed" w:eastAsia="Barlow Semi Condensed" w:hAnsi="Barlow Semi Condensed"/>
          <w:sz w:val="24"/>
          <w:szCs w:val="24"/>
        </w:rPr>
        <w:t xml:space="preserve"> A conclusione delle interrogazioni: rapporti diretti documentati fra Kissinger e il territorio assegnato, nessuno. Convergenze strutturali entro la stessa cornice, tre e tutte deboli — il Vietnam pensato dai due capi opposti, il Cairo a distanza di otto anni, la pratica internazionalista cubana ripresa in Angola dieci anni dopo. Affermazioni terziarie da qualificare, una sola, ed è la vulgata dell'ombra statunitense sulle due morti.</w:t>
      </w:r>
    </w:p>
    <w:p>
      <w:pPr>
        <w:spacing w:after="120" w:line="276"/>
        <w:jc w:val="both"/>
      </w:pPr>
      <w:r>
        <w:rPr>
          <w:rFonts w:ascii="Barlow Semi Condensed" w:cs="Barlow Semi Condensed" w:eastAsia="Barlow Semi Condensed" w:hAnsi="Barlow Semi Condensed"/>
          <w:b/>
          <w:bCs/>
          <w:sz w:val="24"/>
          <w:szCs w:val="24"/>
        </w:rPr>
        <w:t xml:space="preserve">1371 · La vulgata dell'ombra statunitense.</w:t>
      </w:r>
      <w:r>
        <w:rPr>
          <w:rFonts w:ascii="Barlow Semi Condensed" w:cs="Barlow Semi Condensed" w:eastAsia="Barlow Semi Condensed" w:hAnsi="Barlow Semi Condensed"/>
          <w:sz w:val="24"/>
          <w:szCs w:val="24"/>
        </w:rPr>
        <w:t xml:space="preserve"> Accostando l'agente presente a La Higuera nel 1967 e l'avvertimento riferito a Moro, il nodo M-5 li dichiara documentati nei singoli fatti e non riducibili a una regia unica. Il saggio-cerniera del corpus lo ripete: due vicende distinte, in due decenni e due continenti, che condividono una cornice e non un centro. Questa serie non aggiunge nulla a quel giudizio e non ne toglie.</w:t>
      </w:r>
    </w:p>
    <w:p>
      <w:pPr>
        <w:spacing w:after="120" w:line="276"/>
        <w:jc w:val="both"/>
      </w:pPr>
      <w:r>
        <w:rPr>
          <w:rFonts w:ascii="Barlow Semi Condensed" w:cs="Barlow Semi Condensed" w:eastAsia="Barlow Semi Condensed" w:hAnsi="Barlow Semi Condensed"/>
          <w:b/>
          <w:bCs/>
          <w:sz w:val="24"/>
          <w:szCs w:val="24"/>
        </w:rPr>
        <w:t xml:space="preserve">1372 · La moltiplicazione apparente, di nuovo.</w:t>
      </w:r>
      <w:r>
        <w:rPr>
          <w:rFonts w:ascii="Barlow Semi Condensed" w:cs="Barlow Semi Condensed" w:eastAsia="Barlow Semi Condensed" w:hAnsi="Barlow Semi Condensed"/>
          <w:sz w:val="24"/>
          <w:szCs w:val="24"/>
        </w:rPr>
        <w:t xml:space="preserve"> La settima precisazione dell'Apparato K vale anche fuori dal caso Moro: il numero delle ripetizioni non aggiunge valore probatorio, perché la replicazione di una sequenza non crea alcun carattere nuovo. Applicata alla letteratura guevariana, la regola impone di risalire, per ogni affermazione che accosti i due nomi, al primo enunciato e alla sua data. Se il primo enunciato è un'opinione, tutte le riprese restano opinione.</w:t>
      </w:r>
    </w:p>
    <w:p>
      <w:pPr>
        <w:spacing w:after="120" w:line="276"/>
        <w:jc w:val="both"/>
      </w:pPr>
      <w:r>
        <w:rPr>
          <w:rFonts w:ascii="Barlow Semi Condensed" w:cs="Barlow Semi Condensed" w:eastAsia="Barlow Semi Condensed" w:hAnsi="Barlow Semi Condensed"/>
          <w:b/>
          <w:bCs/>
          <w:sz w:val="24"/>
          <w:szCs w:val="24"/>
        </w:rPr>
        <w:t xml:space="preserve">1373 · Il rango delle fonti, ereditato.</w:t>
      </w:r>
      <w:r>
        <w:rPr>
          <w:rFonts w:ascii="Barlow Semi Condensed" w:cs="Barlow Semi Condensed" w:eastAsia="Barlow Semi Condensed" w:hAnsi="Barlow Semi Condensed"/>
          <w:sz w:val="24"/>
          <w:szCs w:val="24"/>
        </w:rPr>
        <w:t xml:space="preserve"> Cinque ranghi ordinano le fonti nella bibliografia critica guevariana — primarie, accademiche, giornalistiche qualificate, enciclopediche, sostituite — ciascuna con l'uso che se ne è fatto. Questa serie eredita quell'ordinamento senza aggiungervi nulla. Nessuna affermazione che colleghi il nome triangolato a questo territorio entra nel corpus se non attraverso uno dei primi tre ranghi, e con la propria etichetta di grado stampata accanto.</w:t>
      </w:r>
    </w:p>
    <w:p>
      <w:pPr>
        <w:spacing w:after="120" w:line="276"/>
        <w:jc w:val="both"/>
      </w:pPr>
      <w:r>
        <w:rPr>
          <w:rFonts w:ascii="Barlow Semi Condensed" w:cs="Barlow Semi Condensed" w:eastAsia="Barlow Semi Condensed" w:hAnsi="Barlow Semi Condensed"/>
          <w:b/>
          <w:bCs/>
          <w:sz w:val="24"/>
          <w:szCs w:val="24"/>
        </w:rPr>
        <w:t xml:space="preserve">1374 · La regola sulle fonti espunte.</w:t>
      </w:r>
      <w:r>
        <w:rPr>
          <w:rFonts w:ascii="Barlow Semi Condensed" w:cs="Barlow Semi Condensed" w:eastAsia="Barlow Semi Condensed" w:hAnsi="Barlow Semi Condensed"/>
          <w:sz w:val="24"/>
          <w:szCs w:val="24"/>
        </w:rPr>
        <w:t xml:space="preserve"> La tavola di trasparenza del quinto paragrafo della bibliografia elenca ciò che è stato espulso: PDF su reti anonime, pamphlet militanti, wiki di appassionati, siti di partito, portali d'opinione. La regola che ne discende vale per l'intera seconda campagna: un'affermazione già declassata non rientra dalla porta di servizio perché nel frattempo qualcuno l'ha ripetuta altrove. La declassazione è definitiva finché non arriva un documento.</w:t>
      </w:r>
    </w:p>
    <w:p>
      <w:pPr>
        <w:spacing w:after="120" w:line="276"/>
        <w:jc w:val="both"/>
      </w:pPr>
      <w:r>
        <w:rPr>
          <w:rFonts w:ascii="Barlow Semi Condensed" w:cs="Barlow Semi Condensed" w:eastAsia="Barlow Semi Condensed" w:hAnsi="Barlow Semi Condensed"/>
          <w:b/>
          <w:bCs/>
          <w:sz w:val="24"/>
          <w:szCs w:val="24"/>
        </w:rPr>
        <w:t xml:space="preserve">1375 · Le divergenze si riportano.</w:t>
      </w:r>
      <w:r>
        <w:rPr>
          <w:rFonts w:ascii="Barlow Semi Condensed" w:cs="Barlow Semi Condensed" w:eastAsia="Barlow Semi Condensed" w:hAnsi="Barlow Semi Condensed"/>
          <w:sz w:val="24"/>
          <w:szCs w:val="24"/>
        </w:rPr>
        <w:t xml:space="preserve"> Parecchie divergenze restano nel territorio, e questa serie non le scioglie: il titolo dell'articolo allergologico messicano che circola in due varianti, l'ordine incerto delle tappe del tour, la data della retata messicana del 1956 nello studio vicino. Sul versante triangolato la divergenza maggiore resta quella fissata in K-1, fra l'anglicizzazione del nome collocata al 1938 dalle opere di consultazione e al 1942-1943 dal fascicolo d'immigrazione.</w:t>
      </w:r>
    </w:p>
    <w:p>
      <w:pPr>
        <w:spacing w:after="120" w:line="276"/>
        <w:jc w:val="both"/>
      </w:pPr>
      <w:r>
        <w:rPr>
          <w:rFonts w:ascii="Barlow Semi Condensed" w:cs="Barlow Semi Condensed" w:eastAsia="Barlow Semi Condensed" w:hAnsi="Barlow Semi Condensed"/>
          <w:b/>
          <w:bCs/>
          <w:sz w:val="24"/>
          <w:szCs w:val="24"/>
        </w:rPr>
        <w:t xml:space="preserve">1376 · Nessun responsabile di reato.</w:t>
      </w:r>
      <w:r>
        <w:rPr>
          <w:rFonts w:ascii="Barlow Semi Condensed" w:cs="Barlow Semi Condensed" w:eastAsia="Barlow Semi Condensed" w:hAnsi="Barlow Semi Condensed"/>
          <w:sz w:val="24"/>
          <w:szCs w:val="24"/>
        </w:rPr>
        <w:t xml:space="preserve"> Va ripetuto dove la tentazione è massima, cioè in un territorio pieno di morti violente. Henry Kissinger non fu condannato in alcun processo, non fu mai imputato né processato in alcun Paese, e nessun blocco di questa serie lo indica come responsabile di reato. Qui, anzi, non esiste nemmeno il documento che lo colleghi ai fatti narrati: l'esito non è un'assoluzione, è un'estraneità documentale.</w:t>
      </w:r>
    </w:p>
    <w:p>
      <w:pPr>
        <w:spacing w:after="120" w:line="276"/>
        <w:jc w:val="both"/>
      </w:pPr>
      <w:r>
        <w:rPr>
          <w:rFonts w:ascii="Barlow Semi Condensed" w:cs="Barlow Semi Condensed" w:eastAsia="Barlow Semi Condensed" w:hAnsi="Barlow Semi Condensed"/>
          <w:b/>
          <w:bCs/>
          <w:sz w:val="24"/>
          <w:szCs w:val="24"/>
        </w:rPr>
        <w:t xml:space="preserve">1377 · I tre bersagli di smentita.</w:t>
      </w:r>
      <w:r>
        <w:rPr>
          <w:rFonts w:ascii="Barlow Semi Condensed" w:cs="Barlow Semi Condensed" w:eastAsia="Barlow Semi Condensed" w:hAnsi="Barlow Semi Condensed"/>
          <w:sz w:val="24"/>
          <w:szCs w:val="24"/>
        </w:rPr>
        <w:t xml:space="preserve"> Rovescerebbero l'esito negativo, e si elencano perché chiunque possa cercarli: un documento del 1964-1966 in cui il nome triangolato tratti di Cuba, del Congo o della Bolivia; un elenco del seminario di Harvard che rechi un funzionario nominato dal territorio; una diramazione dei rapporti dell'agenzia su Guevara che lo indichi come destinatario. Tre sedi, tre segnature, tre esiti verificabili da terzi.</w:t>
      </w:r>
    </w:p>
    <w:p>
      <w:pPr>
        <w:spacing w:after="120" w:line="276"/>
        <w:jc w:val="both"/>
      </w:pPr>
      <w:r>
        <w:rPr>
          <w:rFonts w:ascii="Barlow Semi Condensed" w:cs="Barlow Semi Condensed" w:eastAsia="Barlow Semi Condensed" w:hAnsi="Barlow Semi Condensed"/>
          <w:b/>
          <w:bCs/>
          <w:sz w:val="24"/>
          <w:szCs w:val="24"/>
        </w:rPr>
        <w:t xml:space="preserve">1378 · Il limite tecnico dichiarato.</w:t>
      </w:r>
      <w:r>
        <w:rPr>
          <w:rFonts w:ascii="Barlow Semi Condensed" w:cs="Barlow Semi Condensed" w:eastAsia="Barlow Semi Condensed" w:hAnsi="Barlow Semi Condensed"/>
          <w:sz w:val="24"/>
          <w:szCs w:val="24"/>
        </w:rPr>
        <w:t xml:space="preserve"> Come l'Apparato K per la prima campagna, anche questa serie dichiara il proprio: nessun documento primario è stato letto. Le sedi sono nominate, le segnature sono in parte da verificare, e gli esiti attesi sono attese e non risultati. Chi riprenderà questi bersagli lo faccia sapendo quanto pesa ciascuna riga: qui si è disegnata una mappa di porte, non si è aperto alcun fascicolo.</w:t>
      </w:r>
    </w:p>
    <w:p>
      <w:pPr>
        <w:spacing w:after="120" w:line="276"/>
        <w:jc w:val="both"/>
      </w:pPr>
      <w:r>
        <w:rPr>
          <w:rFonts w:ascii="Barlow Semi Condensed" w:cs="Barlow Semi Condensed" w:eastAsia="Barlow Semi Condensed" w:hAnsi="Barlow Semi Condensed"/>
          <w:b/>
          <w:bCs/>
          <w:sz w:val="24"/>
          <w:szCs w:val="24"/>
        </w:rPr>
        <w:t xml:space="preserve">1379 · Che cosa questa serie ha stabilito.</w:t>
      </w:r>
      <w:r>
        <w:rPr>
          <w:rFonts w:ascii="Barlow Semi Condensed" w:cs="Barlow Semi Condensed" w:eastAsia="Barlow Semi Condensed" w:hAnsi="Barlow Semi Condensed"/>
          <w:sz w:val="24"/>
          <w:szCs w:val="24"/>
        </w:rPr>
        <w:t xml:space="preserve"> Un'assenza, descritta con precisione. Il territorio 1964-1966 del corpus guevariano non contiene il nome triangolato, non lo contengono gli altri studi del filone, non lo contiene la cronologia sinottica, e la ragione strutturale è che in quei ventitré mesi quell'uomo non aveva funzione pubblica. È risultato modesto e pieno: un blocco che dichiara bene un'assenza vale più di uno che suggerisca una presenza.</w:t>
      </w:r>
    </w:p>
    <w:p>
      <w:pPr>
        <w:spacing w:after="120" w:line="276"/>
        <w:jc w:val="both"/>
      </w:pPr>
      <w:r>
        <w:rPr>
          <w:rFonts w:ascii="Barlow Semi Condensed" w:cs="Barlow Semi Condensed" w:eastAsia="Barlow Semi Condensed" w:hAnsi="Barlow Semi Condensed"/>
          <w:b/>
          <w:bCs/>
          <w:sz w:val="24"/>
          <w:szCs w:val="24"/>
        </w:rPr>
        <w:t xml:space="preserve">1380 · La riga che chiude il territorio.</w:t>
      </w:r>
      <w:r>
        <w:rPr>
          <w:rFonts w:ascii="Barlow Semi Condensed" w:cs="Barlow Semi Condensed" w:eastAsia="Barlow Semi Condensed" w:hAnsi="Barlow Semi Condensed"/>
          <w:sz w:val="24"/>
          <w:szCs w:val="24"/>
        </w:rPr>
        <w:t xml:space="preserve"> In biologia il carattere si eredita, in storia la responsabilità no; e in questo territorio non c'è nemmeno un carattere da trasmettere, perché manca il primo anello. Restano i documenti che ci sono — i discorsi, i diari, le note di revisione — e le sedi che potrebbero smentire questa pagina. È tutto ciò che una triangolazione onesta produce quando il corpus, interrogato, tace.</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Serie diciannovesima — Guevara: la campagna boliviana 1966-1967</w:t>
      </w:r>
    </w:p>
    <w:p>
      <w:pPr>
        <w:spacing w:after="120" w:line="276"/>
        <w:jc w:val="both"/>
      </w:pPr>
      <w:r>
        <w:rPr>
          <w:rFonts w:ascii="Barlow Semi Condensed" w:cs="Barlow Semi Condensed" w:eastAsia="Barlow Semi Condensed" w:hAnsi="Barlow Semi Condensed"/>
          <w:i/>
          <w:iCs/>
          <w:sz w:val="24"/>
          <w:szCs w:val="24"/>
        </w:rPr>
        <w:t xml:space="preserve">Blocchi 1381-1465.</w:t>
      </w:r>
    </w:p>
    <w:p>
      <w:pPr>
        <w:spacing w:after="120" w:line="276"/>
        <w:jc w:val="both"/>
      </w:pPr>
      <w:r>
        <w:rPr>
          <w:rFonts w:ascii="Barlow Semi Condensed" w:cs="Barlow Semi Condensed" w:eastAsia="Barlow Semi Condensed" w:hAnsi="Barlow Semi Condensed"/>
          <w:b/>
          <w:bCs/>
          <w:sz w:val="24"/>
          <w:szCs w:val="24"/>
        </w:rPr>
        <w:t xml:space="preserve">1381 · Il conteggio da cui si parte.</w:t>
      </w:r>
      <w:r>
        <w:rPr>
          <w:rFonts w:ascii="Barlow Semi Condensed" w:cs="Barlow Semi Condensed" w:eastAsia="Barlow Semi Condensed" w:hAnsi="Barlow Semi Condensed"/>
          <w:sz w:val="24"/>
          <w:szCs w:val="24"/>
        </w:rPr>
        <w:t xml:space="preserve"> In guevara-campagna-boliviana-1966-1967.md il nome Kissinger ricorre zero volte. Zero anche negli altri quattro studi guevariani, nella bibliografia critica e nello studio su Feltrinelli. È accertamento di grado alto, perché la verifica è una ricerca testuale che chiunque può ripetere sul repository. Non dice che rapporti storici non siano esistiti: dice che il territorio assegnato, per come è redatto, non ha mai avuto occasione di scriverne il nome.</w:t>
      </w:r>
    </w:p>
    <w:p>
      <w:pPr>
        <w:spacing w:after="120" w:line="276"/>
        <w:jc w:val="both"/>
      </w:pPr>
      <w:r>
        <w:rPr>
          <w:rFonts w:ascii="Barlow Semi Condensed" w:cs="Barlow Semi Condensed" w:eastAsia="Barlow Semi Condensed" w:hAnsi="Barlow Semi Condensed"/>
          <w:b/>
          <w:bCs/>
          <w:sz w:val="24"/>
          <w:szCs w:val="24"/>
        </w:rPr>
        <w:t xml:space="preserve">1382 · La soglia cronologica che governa tutto.</w:t>
      </w:r>
      <w:r>
        <w:rPr>
          <w:rFonts w:ascii="Barlow Semi Condensed" w:cs="Barlow Semi Condensed" w:eastAsia="Barlow Semi Condensed" w:hAnsi="Barlow Semi Condensed"/>
          <w:sz w:val="24"/>
          <w:szCs w:val="24"/>
        </w:rPr>
        <w:t xml:space="preserve"> La campagna boliviana corre dal 7 novembre 1966 al 9 ottobre 1967. Gli incarichi fissati dall'opera cominciano dopo: Assistente per la sicurezza nazionale dal 20 gennaio 1969, Segretario di Stato dal 22 settembre 1973. Fra la Quebrada del Churo e l'ingresso alla Casa Bianca corrono poco più di quindici mesi. Nessun atto d'ufficio di quell'uomo può dunque esistere per gli undici mesi qui studiati.</w:t>
      </w:r>
    </w:p>
    <w:p>
      <w:pPr>
        <w:spacing w:after="120" w:line="276"/>
        <w:jc w:val="both"/>
      </w:pPr>
      <w:r>
        <w:rPr>
          <w:rFonts w:ascii="Barlow Semi Condensed" w:cs="Barlow Semi Condensed" w:eastAsia="Barlow Semi Condensed" w:hAnsi="Barlow Semi Condensed"/>
          <w:b/>
          <w:bCs/>
          <w:sz w:val="24"/>
          <w:szCs w:val="24"/>
        </w:rPr>
        <w:t xml:space="preserve">1383 · Che cosa il capitolo attribuisce a Washington.</w:t>
      </w:r>
      <w:r>
        <w:rPr>
          <w:rFonts w:ascii="Barlow Semi Condensed" w:cs="Barlow Semi Condensed" w:eastAsia="Barlow Semi Condensed" w:hAnsi="Barlow Semi Condensed"/>
          <w:sz w:val="24"/>
          <w:szCs w:val="24"/>
        </w:rPr>
        <w:t xml:space="preserve"> La sezione terza scrive che Barrientos chiese assistenza a Washington e che giunsero i berretti verdi ad addestrare il secondo Battaglione Ranger, con gli agenti della CIA. L'attribuzione è istituzionale e non personale: nessun funzionario statunitense è nominato salvo Félix Rodríguez. È la forma corretta, ed è anche il limite del capitolo, perché una catena di comando non nominata non è verificabile né confutabile.</w:t>
      </w:r>
    </w:p>
    <w:p>
      <w:pPr>
        <w:spacing w:after="120" w:line="276"/>
        <w:jc w:val="both"/>
      </w:pPr>
      <w:r>
        <w:rPr>
          <w:rFonts w:ascii="Barlow Semi Condensed" w:cs="Barlow Semi Condensed" w:eastAsia="Barlow Semi Condensed" w:hAnsi="Barlow Semi Condensed"/>
          <w:b/>
          <w:bCs/>
          <w:sz w:val="24"/>
          <w:szCs w:val="24"/>
        </w:rPr>
        <w:t xml:space="preserve">1384 · La decisione, secondo il capitolo.</w:t>
      </w:r>
      <w:r>
        <w:rPr>
          <w:rFonts w:ascii="Barlow Semi Condensed" w:cs="Barlow Semi Condensed" w:eastAsia="Barlow Semi Condensed" w:hAnsi="Barlow Semi Condensed"/>
          <w:sz w:val="24"/>
          <w:szCs w:val="24"/>
        </w:rPr>
        <w:t xml:space="preserve"> Netta è la sezione sesta: la decisione di ucciderlo fu presa a La Paz e comunicata al fronte. Il testo non la sposta a Washington, non la attribuisce ad alcun apparato straniero e ne dà la ragione politica interna, cioè il timore di un processo pubblico che avrebbe destabilizzato il governo Barrientos. Chi volesse spostarla dovrebbe produrre un atto datato; il capitolo non ne offre né ne pretende alcuno.</w:t>
      </w:r>
    </w:p>
    <w:p>
      <w:pPr>
        <w:spacing w:after="120" w:line="276"/>
        <w:jc w:val="both"/>
      </w:pPr>
      <w:r>
        <w:rPr>
          <w:rFonts w:ascii="Barlow Semi Condensed" w:cs="Barlow Semi Condensed" w:eastAsia="Barlow Semi Condensed" w:hAnsi="Barlow Semi Condensed"/>
          <w:b/>
          <w:bCs/>
          <w:sz w:val="24"/>
          <w:szCs w:val="24"/>
        </w:rPr>
        <w:t xml:space="preserve">1385 · Le fonti invocate senza segnatura.</w:t>
      </w:r>
      <w:r>
        <w:rPr>
          <w:rFonts w:ascii="Barlow Semi Condensed" w:cs="Barlow Semi Condensed" w:eastAsia="Barlow Semi Condensed" w:hAnsi="Barlow Semi Condensed"/>
          <w:sz w:val="24"/>
          <w:szCs w:val="24"/>
        </w:rPr>
        <w:t xml:space="preserve"> Lo statuto del capitolo dichiara di poggiare anche sulla documentazione declassificata statunitense e boliviana, ma non indica un solo fondo, una sola serie, un solo numero di documento. È lacuna di apparato, non di sostanza: quella documentazione esiste. Va verbalizzata come tale e chiusa nominando le raccolte, perché una fonte invocata genericamente non consente ad alcun lettore di rifare il cammino.</w:t>
      </w:r>
    </w:p>
    <w:p>
      <w:pPr>
        <w:spacing w:after="120" w:line="276"/>
        <w:jc w:val="both"/>
      </w:pPr>
      <w:r>
        <w:rPr>
          <w:rFonts w:ascii="Barlow Semi Condensed" w:cs="Barlow Semi Condensed" w:eastAsia="Barlow Semi Condensed" w:hAnsi="Barlow Semi Condensed"/>
          <w:b/>
          <w:bCs/>
          <w:sz w:val="24"/>
          <w:szCs w:val="24"/>
        </w:rPr>
        <w:t xml:space="preserve">1386 · Il punto più debole del corpus guevariano.</w:t>
      </w:r>
      <w:r>
        <w:rPr>
          <w:rFonts w:ascii="Barlow Semi Condensed" w:cs="Barlow Semi Condensed" w:eastAsia="Barlow Semi Condensed" w:hAnsi="Barlow Semi Condensed"/>
          <w:sz w:val="24"/>
          <w:szCs w:val="24"/>
        </w:rPr>
        <w:t xml:space="preserve"> La bibliografia critica colloca al terzo rango, fra le fonti giornalistiche, l'intera puntellatura della campagna boliviana: Wikipedia sul 1967 in Bolivia, il portale ARSOF History dell'esercito statunitense, History.com. È il solo capitolo in cui il versante americano poggia su enciclopedico e divulgativo. Proprio dove la triangolazione con un nome statunitense sarebbe più tentante, l'apparato è più fragile: va detto prima di ogni ipotesi.</w:t>
      </w:r>
    </w:p>
    <w:p>
      <w:pPr>
        <w:spacing w:after="120" w:line="276"/>
        <w:jc w:val="both"/>
      </w:pPr>
      <w:r>
        <w:rPr>
          <w:rFonts w:ascii="Barlow Semi Condensed" w:cs="Barlow Semi Condensed" w:eastAsia="Barlow Semi Condensed" w:hAnsi="Barlow Semi Condensed"/>
          <w:b/>
          <w:bCs/>
          <w:sz w:val="24"/>
          <w:szCs w:val="24"/>
        </w:rPr>
        <w:t xml:space="preserve">1387 · L'esito atteso, dichiarato in anticipo.</w:t>
      </w:r>
      <w:r>
        <w:rPr>
          <w:rFonts w:ascii="Barlow Semi Condensed" w:cs="Barlow Semi Condensed" w:eastAsia="Barlow Semi Condensed" w:hAnsi="Barlow Semi Condensed"/>
          <w:sz w:val="24"/>
          <w:szCs w:val="24"/>
        </w:rPr>
        <w:t xml:space="preserve"> Questa serie produrrà in prevalenza Stati Zero, e l'anticipazione fa parte del metodo: dichiarare l'attesa prima della verifica impedisce di leggere come scoperta ciò che è soltanto conferma. L'attesa è motivata dalla cronologia degli incarichi e dalla specializzazione dei fondi, già registrata al blocco 708 dell'opera. Un'assenza prevista e poi riscontrata vale come acquisizione; un'assenza riempita per non lasciare bianco è un falso.</w:t>
      </w:r>
    </w:p>
    <w:p>
      <w:pPr>
        <w:spacing w:after="120" w:line="276"/>
        <w:jc w:val="both"/>
      </w:pPr>
      <w:r>
        <w:rPr>
          <w:rFonts w:ascii="Barlow Semi Condensed" w:cs="Barlow Semi Condensed" w:eastAsia="Barlow Semi Condensed" w:hAnsi="Barlow Semi Condensed"/>
          <w:b/>
          <w:bCs/>
          <w:sz w:val="24"/>
          <w:szCs w:val="24"/>
        </w:rPr>
        <w:t xml:space="preserve">1388 · Il vincolo penale, ribadito sul terreno.</w:t>
      </w:r>
      <w:r>
        <w:rPr>
          <w:rFonts w:ascii="Barlow Semi Condensed" w:cs="Barlow Semi Condensed" w:eastAsia="Barlow Semi Condensed" w:hAnsi="Barlow Semi Condensed"/>
          <w:sz w:val="24"/>
          <w:szCs w:val="24"/>
        </w:rPr>
        <w:t xml:space="preserve"> Nessuna pagina di questa serie indica alcuna persona come responsabile di reato. Per il nome triangolato il vincolo è assoluto: non fu mai imputato né processato in alcun Paese. Per il versante boliviano vale la stessa regola: l'esecuzione del 9 ottobre 1967 non ha prodotto giudicato a carico di alcuno, e il corpus si ferma dove si ferma il giudicato, anche quando i fatti sono pacifici.</w:t>
      </w:r>
    </w:p>
    <w:p>
      <w:pPr>
        <w:spacing w:after="120" w:line="276"/>
        <w:jc w:val="both"/>
      </w:pPr>
      <w:r>
        <w:rPr>
          <w:rFonts w:ascii="Barlow Semi Condensed" w:cs="Barlow Semi Condensed" w:eastAsia="Barlow Semi Condensed" w:hAnsi="Barlow Semi Condensed"/>
          <w:b/>
          <w:bCs/>
          <w:sz w:val="24"/>
          <w:szCs w:val="24"/>
        </w:rPr>
        <w:t xml:space="preserve">1389 · Ñancahuazú, primo Stato Zero.</w:t>
      </w:r>
      <w:r>
        <w:rPr>
          <w:rFonts w:ascii="Barlow Semi Condensed" w:cs="Barlow Semi Condensed" w:eastAsia="Barlow Semi Condensed" w:hAnsi="Barlow Semi Condensed"/>
          <w:sz w:val="24"/>
          <w:szCs w:val="24"/>
        </w:rPr>
        <w:t xml:space="preserve"> Nella sezione prima stanno la fattoria, i cinquanta uomini, l'identità di Adolfo Mena González e l'errore geografico. Nessun attore statunitense vi compare. Lo Stato Zero si chiude, se si chiude, alla Lyndon B. Johnson Presidential Library di Austin, nel National Security File, serie Country File, Bolivia: è lì che si vedrebbe se e quando il vertice di Washington seppe della base, e per quale via.</w:t>
      </w:r>
    </w:p>
    <w:p>
      <w:pPr>
        <w:spacing w:after="120" w:line="276"/>
        <w:jc w:val="both"/>
      </w:pPr>
      <w:r>
        <w:rPr>
          <w:rFonts w:ascii="Barlow Semi Condensed" w:cs="Barlow Semi Condensed" w:eastAsia="Barlow Semi Condensed" w:hAnsi="Barlow Semi Condensed"/>
          <w:b/>
          <w:bCs/>
          <w:sz w:val="24"/>
          <w:szCs w:val="24"/>
        </w:rPr>
        <w:t xml:space="preserve">1390 · Monje, il PCB, i fondi chiusi.</w:t>
      </w:r>
      <w:r>
        <w:rPr>
          <w:rFonts w:ascii="Barlow Semi Condensed" w:cs="Barlow Semi Condensed" w:eastAsia="Barlow Semi Condensed" w:hAnsi="Barlow Semi Condensed"/>
          <w:sz w:val="24"/>
          <w:szCs w:val="24"/>
        </w:rPr>
        <w:t xml:space="preserve"> La rottura del 31 dicembre 1966 con Mario Monje è affare interno al movimento comunista, e nessuna fonte del capitolo la collega a un'iniziativa statunitense. La sede che verificherebbe un'eventuale conoscenza esterna è duplice: l'Archivo de La Paz dell'Universidad Mayor de San Andrés per le carte boliviane, il Centro de Estudios Che Guevara dell'Avana per la corrispondenza cubana. Finché non si aprono, Stato Zero.</w:t>
      </w:r>
    </w:p>
    <w:p>
      <w:pPr>
        <w:spacing w:after="120" w:line="276"/>
        <w:jc w:val="both"/>
      </w:pPr>
      <w:r>
        <w:rPr>
          <w:rFonts w:ascii="Barlow Semi Condensed" w:cs="Barlow Semi Condensed" w:eastAsia="Barlow Semi Condensed" w:hAnsi="Barlow Semi Condensed"/>
          <w:b/>
          <w:bCs/>
          <w:sz w:val="24"/>
          <w:szCs w:val="24"/>
        </w:rPr>
        <w:t xml:space="preserve">1391 · Il 23 marzo 1967 nelle carte americane.</w:t>
      </w:r>
      <w:r>
        <w:rPr>
          <w:rFonts w:ascii="Barlow Semi Condensed" w:cs="Barlow Semi Condensed" w:eastAsia="Barlow Semi Condensed" w:hAnsi="Barlow Semi Condensed"/>
          <w:sz w:val="24"/>
          <w:szCs w:val="24"/>
        </w:rPr>
        <w:t xml:space="preserve"> La prima imboscata rivelò la guerriglia mesi prima che fosse pronta e innescò la reazione: è la data da cui, se esiste, comincia il carteggio statunitense sulla Bolivia insorgente. La serie da interrogare è il Central Foreign Policy File 1967-1969 dei National Archives di College Park, gruppo 59. Il quesito non è se il nome triangolato compaia, ma quali nomi compaiano e con quale funzione.</w:t>
      </w:r>
    </w:p>
    <w:p>
      <w:pPr>
        <w:spacing w:after="120" w:line="276"/>
        <w:jc w:val="both"/>
      </w:pPr>
      <w:r>
        <w:rPr>
          <w:rFonts w:ascii="Barlow Semi Condensed" w:cs="Barlow Semi Condensed" w:eastAsia="Barlow Semi Condensed" w:hAnsi="Barlow Semi Condensed"/>
          <w:b/>
          <w:bCs/>
          <w:sz w:val="24"/>
          <w:szCs w:val="24"/>
        </w:rPr>
        <w:t xml:space="preserve">1392 · I berretti verdi e il loro fondo.</w:t>
      </w:r>
      <w:r>
        <w:rPr>
          <w:rFonts w:ascii="Barlow Semi Condensed" w:cs="Barlow Semi Condensed" w:eastAsia="Barlow Semi Condensed" w:hAnsi="Barlow Semi Condensed"/>
          <w:sz w:val="24"/>
          <w:szCs w:val="24"/>
        </w:rPr>
        <w:t xml:space="preserve"> L'addestramento del secondo Battaglione Ranger è fatto documentato, e la stessa bibliografia del corpus cita il portale storico delle forze speciali statunitensi. Il fondo primario corrispondente sta negli archivi dell'esercito, non in quelli della Casa Bianca: i gruppi di record militari a College Park e l'ufficio storico delle operazioni speciali. Accertamento di grado medio-alto, che non tocca in alcun modo il nome triangolato.</w:t>
      </w:r>
    </w:p>
    <w:p>
      <w:pPr>
        <w:spacing w:after="120" w:line="276"/>
        <w:jc w:val="both"/>
      </w:pPr>
      <w:r>
        <w:rPr>
          <w:rFonts w:ascii="Barlow Semi Condensed" w:cs="Barlow Semi Condensed" w:eastAsia="Barlow Semi Condensed" w:hAnsi="Barlow Semi Condensed"/>
          <w:b/>
          <w:bCs/>
          <w:sz w:val="24"/>
          <w:szCs w:val="24"/>
        </w:rPr>
        <w:t xml:space="preserve">1393 · Félix Rodríguez, unico nome statunitense.</w:t>
      </w:r>
      <w:r>
        <w:rPr>
          <w:rFonts w:ascii="Barlow Semi Condensed" w:cs="Barlow Semi Condensed" w:eastAsia="Barlow Semi Condensed" w:hAnsi="Barlow Semi Condensed"/>
          <w:sz w:val="24"/>
          <w:szCs w:val="24"/>
        </w:rPr>
        <w:t xml:space="preserve"> Il capitolo nomina un solo americano, l'agente cubano-americano presente a La Higuera, e ne registra la testimonianza sull'orologio del prigioniero. È piano 1 quanto alla presenza, perché gli archivi declassificati del 1997 la attestano. Ma la presenza di un operativo sul terreno non importa alcuna catena di comando nominata a Washington, e meno che mai un nome privo, in quei mesi, di qualunque ufficio.</w:t>
      </w:r>
    </w:p>
    <w:p>
      <w:pPr>
        <w:spacing w:after="120" w:line="276"/>
        <w:jc w:val="both"/>
      </w:pPr>
      <w:r>
        <w:rPr>
          <w:rFonts w:ascii="Barlow Semi Condensed" w:cs="Barlow Semi Condensed" w:eastAsia="Barlow Semi Condensed" w:hAnsi="Barlow Semi Condensed"/>
          <w:b/>
          <w:bCs/>
          <w:sz w:val="24"/>
          <w:szCs w:val="24"/>
        </w:rPr>
        <w:t xml:space="preserve">1394 · Debray, Camiri e il canale francese.</w:t>
      </w:r>
      <w:r>
        <w:rPr>
          <w:rFonts w:ascii="Barlow Semi Condensed" w:cs="Barlow Semi Condensed" w:eastAsia="Barlow Semi Condensed" w:hAnsi="Barlow Semi Condensed"/>
          <w:sz w:val="24"/>
          <w:szCs w:val="24"/>
        </w:rPr>
        <w:t xml:space="preserve"> L'arresto del 20 aprile 1967 internazionalizzò il caso e produsse carteggio diplomatico vero. La sede è nominabile: Archives diplomatiques di La Courneuve, série Amérique, sottoserie boliviana degli anni 1966-1970, dove sta il dossier francese sul processo. Se un funzionario statunitense vi comparisse, comparirebbe come interlocutore diplomatico. Nulla autorizza ad attendervi il nome qui triangolato: si verbalizza il vuoto con la serie interrogata.</w:t>
      </w:r>
    </w:p>
    <w:p>
      <w:pPr>
        <w:spacing w:after="120" w:line="276"/>
        <w:jc w:val="both"/>
      </w:pPr>
      <w:r>
        <w:rPr>
          <w:rFonts w:ascii="Barlow Semi Condensed" w:cs="Barlow Semi Condensed" w:eastAsia="Barlow Semi Condensed" w:hAnsi="Barlow Semi Condensed"/>
          <w:b/>
          <w:bCs/>
          <w:sz w:val="24"/>
          <w:szCs w:val="24"/>
        </w:rPr>
        <w:t xml:space="preserve">1395 · Vado del Yeso, sede boliviana.</w:t>
      </w:r>
      <w:r>
        <w:rPr>
          <w:rFonts w:ascii="Barlow Semi Condensed" w:cs="Barlow Semi Condensed" w:eastAsia="Barlow Semi Condensed" w:hAnsi="Barlow Semi Condensed"/>
          <w:sz w:val="24"/>
          <w:szCs w:val="24"/>
        </w:rPr>
        <w:t xml:space="preserve"> Il 31 agosto 1967 il gruppo di Joaquín fu annientato nel guado del Río Grande e Tania morì nell'acqua: episodio militare boliviano, documentato anche dal lato dell'esercito. Le carte operative stanno al ministero della Difesa boliviano e all'Archivo y Biblioteca Nacionales de Bolivia di Sucre. Il territorio tace su ogni nome statunitense di vertice, e la sede che chiuderebbe la questione è quella, non un fondo presidenziale americano.</w:t>
      </w:r>
    </w:p>
    <w:p>
      <w:pPr>
        <w:spacing w:after="120" w:line="276"/>
        <w:jc w:val="both"/>
      </w:pPr>
      <w:r>
        <w:rPr>
          <w:rFonts w:ascii="Barlow Semi Condensed" w:cs="Barlow Semi Condensed" w:eastAsia="Barlow Semi Condensed" w:hAnsi="Barlow Semi Condensed"/>
          <w:b/>
          <w:bCs/>
          <w:sz w:val="24"/>
          <w:szCs w:val="24"/>
        </w:rPr>
        <w:t xml:space="preserve">1396 · La Quebrada del Churo, giornata senza vertici.</w:t>
      </w:r>
      <w:r>
        <w:rPr>
          <w:rFonts w:ascii="Barlow Semi Condensed" w:cs="Barlow Semi Condensed" w:eastAsia="Barlow Semi Condensed" w:hAnsi="Barlow Semi Condensed"/>
          <w:sz w:val="24"/>
          <w:szCs w:val="24"/>
        </w:rPr>
        <w:t xml:space="preserve"> L'8 ottobre 1967 è ricostruito nel capitolo come azione di un battaglione appena addestrato contro un pugno di uomini sfiniti. Nessuna decisione politica statunitense è invocata per quella giornata, e nessuna sarebbe necessaria a spiegarla. Chi cercasse un ordine venuto da lontano dovrebbe indicare l'atto e la sua data: il capitolo, che pure conosce la presenza americana, non lo fa, e fa bene.</w:t>
      </w:r>
    </w:p>
    <w:p>
      <w:pPr>
        <w:spacing w:after="120" w:line="276"/>
        <w:jc w:val="both"/>
      </w:pPr>
      <w:r>
        <w:rPr>
          <w:rFonts w:ascii="Barlow Semi Condensed" w:cs="Barlow Semi Condensed" w:eastAsia="Barlow Semi Condensed" w:hAnsi="Barlow Semi Condensed"/>
          <w:b/>
          <w:bCs/>
          <w:sz w:val="24"/>
          <w:szCs w:val="24"/>
        </w:rPr>
        <w:t xml:space="preserve">1397 · La Higuera, il nome che non c'è.</w:t>
      </w:r>
      <w:r>
        <w:rPr>
          <w:rFonts w:ascii="Barlow Semi Condensed" w:cs="Barlow Semi Condensed" w:eastAsia="Barlow Semi Condensed" w:hAnsi="Barlow Semi Condensed"/>
          <w:sz w:val="24"/>
          <w:szCs w:val="24"/>
        </w:rPr>
        <w:t xml:space="preserve"> La scuola del villaggio, la notte di prigionia, il sergente Mario Terán, la raffica poco dopo mezzogiorno del 9 ottobre 1967: la sezione sesta è la più circostanziata del capitolo e non contiene un solo nome statunitense oltre quello dell'agente. Stato Zero pieno per il nome triangolato. Lo chiuderebbe soltanto un documento coevo che lo legasse a quell'ordine, e nessuna raccolta nota ne segnala l'esistenza.</w:t>
      </w:r>
    </w:p>
    <w:p>
      <w:pPr>
        <w:spacing w:after="120" w:line="276"/>
        <w:jc w:val="both"/>
      </w:pPr>
      <w:r>
        <w:rPr>
          <w:rFonts w:ascii="Barlow Semi Condensed" w:cs="Barlow Semi Condensed" w:eastAsia="Barlow Semi Condensed" w:hAnsi="Barlow Semi Condensed"/>
          <w:b/>
          <w:bCs/>
          <w:sz w:val="24"/>
          <w:szCs w:val="24"/>
        </w:rPr>
        <w:t xml:space="preserve">1398 · Vallegrande, l'immagine e l'archivio.</w:t>
      </w:r>
      <w:r>
        <w:rPr>
          <w:rFonts w:ascii="Barlow Semi Condensed" w:cs="Barlow Semi Condensed" w:eastAsia="Barlow Semi Condensed" w:hAnsi="Barlow Semi Condensed"/>
          <w:sz w:val="24"/>
          <w:szCs w:val="24"/>
        </w:rPr>
        <w:t xml:space="preserve"> L'esposizione del cadavere sui lavatoi dell'ospedale il 10 ottobre e la fotografia di Freddy Alborta appartengono alla storia dell'immagine, non a quella delle cancellerie. Il corpus le tratta al nodo M-7 come iconografia del corpo. Nessuna triangolazione onomastica è possibile qui: chi ne tentasse una costruirebbe un'analogia visiva, cioè esattamente ciò che il blocco 944 dell'opera vieta di promuovere a discendenza.</w:t>
      </w:r>
    </w:p>
    <w:p>
      <w:pPr>
        <w:spacing w:after="120" w:line="276"/>
        <w:jc w:val="both"/>
      </w:pPr>
      <w:r>
        <w:rPr>
          <w:rFonts w:ascii="Barlow Semi Condensed" w:cs="Barlow Semi Condensed" w:eastAsia="Barlow Semi Condensed" w:hAnsi="Barlow Semi Condensed"/>
          <w:b/>
          <w:bCs/>
          <w:sz w:val="24"/>
          <w:szCs w:val="24"/>
        </w:rPr>
        <w:t xml:space="preserve">1399 · Le mani, la fossa, il silenzio.</w:t>
      </w:r>
      <w:r>
        <w:rPr>
          <w:rFonts w:ascii="Barlow Semi Condensed" w:cs="Barlow Semi Condensed" w:eastAsia="Barlow Semi Condensed" w:hAnsi="Barlow Semi Condensed"/>
          <w:sz w:val="24"/>
          <w:szCs w:val="24"/>
        </w:rPr>
        <w:t xml:space="preserve"> L'amputazione a fini identificativi e l'occultamento della sepoltura sono decisioni prese in Bolivia per impedire che una tomba diventasse un santuario. Il capitolo non le attribuisce ad alcun suggerimento esterno, e nessuna fonte reperibile lo fa. La sede che verificherebbe un'eventuale conoscenza americana coeva resta il carteggio dell'ambasciata di La Paz nei National Archives. Fino ad allora l'attribuzione interna regge, e va lasciata dov'è.</w:t>
      </w:r>
    </w:p>
    <w:p>
      <w:pPr>
        <w:spacing w:after="120" w:line="276"/>
        <w:jc w:val="both"/>
      </w:pPr>
      <w:r>
        <w:rPr>
          <w:rFonts w:ascii="Barlow Semi Condensed" w:cs="Barlow Semi Condensed" w:eastAsia="Barlow Semi Condensed" w:hAnsi="Barlow Semi Condensed"/>
          <w:b/>
          <w:bCs/>
          <w:sz w:val="24"/>
          <w:szCs w:val="24"/>
        </w:rPr>
        <w:t xml:space="preserve">1400 · Il 1997, e chi era allora.</w:t>
      </w:r>
      <w:r>
        <w:rPr>
          <w:rFonts w:ascii="Barlow Semi Condensed" w:cs="Barlow Semi Condensed" w:eastAsia="Barlow Semi Condensed" w:hAnsi="Barlow Semi Condensed"/>
          <w:sz w:val="24"/>
          <w:szCs w:val="24"/>
        </w:rPr>
        <w:t xml:space="preserve"> Quando i resti furono ritrovati e traslati a Santa Clara, il nome triangolato era da vent'anni un privato cittadino senza funzione pubblica. La declassificazione statunitense dello stesso anno, che il corpus richiama ai nodi M-5 e M-8, riguarda documenti degli anni Sessanta e non lo coinvolge. Coincidenza di data e nulla più: la contemporaneità di due eventi non istituisce fra loro alcun rapporto.</w:t>
      </w:r>
    </w:p>
    <w:p>
      <w:pPr>
        <w:spacing w:after="120" w:line="276"/>
        <w:jc w:val="both"/>
      </w:pPr>
      <w:r>
        <w:rPr>
          <w:rFonts w:ascii="Barlow Semi Condensed" w:cs="Barlow Semi Condensed" w:eastAsia="Barlow Semi Condensed" w:hAnsi="Barlow Semi Condensed"/>
          <w:b/>
          <w:bCs/>
          <w:sz w:val="24"/>
          <w:szCs w:val="24"/>
        </w:rPr>
        <w:t xml:space="preserve">1401 · La sezione ottava non ha attori.</w:t>
      </w:r>
      <w:r>
        <w:rPr>
          <w:rFonts w:ascii="Barlow Semi Condensed" w:cs="Barlow Semi Condensed" w:eastAsia="Barlow Semi Condensed" w:hAnsi="Barlow Semi Condensed"/>
          <w:sz w:val="24"/>
          <w:szCs w:val="24"/>
        </w:rPr>
        <w:t xml:space="preserve"> Il bilancio finale del capitolo, con il foco importato, la base sociale assente, la colonna divisa e il mito nato dalla disfatta, è analisi storiografica senza personaggi stranieri. È la sezione dove la tentazione di innestare un nome esterno sarebbe massima, perché spiegare una sconfitta con una regia costa meno che spiegarla con l'ambiente. Il capitolo resiste, e questa serie non gliela reintroduce.</w:t>
      </w:r>
    </w:p>
    <w:p>
      <w:pPr>
        <w:spacing w:after="120" w:line="276"/>
        <w:jc w:val="both"/>
      </w:pPr>
      <w:r>
        <w:rPr>
          <w:rFonts w:ascii="Barlow Semi Condensed" w:cs="Barlow Semi Condensed" w:eastAsia="Barlow Semi Condensed" w:hAnsi="Barlow Semi Condensed"/>
          <w:b/>
          <w:bCs/>
          <w:sz w:val="24"/>
          <w:szCs w:val="24"/>
        </w:rPr>
        <w:t xml:space="preserve">1402 · Gli assenti dalla catena boliviana.</w:t>
      </w:r>
      <w:r>
        <w:rPr>
          <w:rFonts w:ascii="Barlow Semi Condensed" w:cs="Barlow Semi Condensed" w:eastAsia="Barlow Semi Condensed" w:hAnsi="Barlow Semi Condensed"/>
          <w:sz w:val="24"/>
          <w:szCs w:val="24"/>
        </w:rPr>
        <w:t xml:space="preserve"> Ricerca testuale eseguita: Alfredo Ovando, Antonio Arguedas, Gary Prado Salmón, Andrés Selich non compaiono in alcun documento del repository. Il capitolo nomina Barrientos e Terán e si ferma. La catena di comando boliviana, che è il piano 1 effettivamente disponibile, resta dunque quasi tutta innominata mentre si discute di un nome americano che non c'è. È una sproporzione di attenzione, e va corretta.</w:t>
      </w:r>
    </w:p>
    <w:p>
      <w:pPr>
        <w:spacing w:after="120" w:line="276"/>
        <w:jc w:val="both"/>
      </w:pPr>
      <w:r>
        <w:rPr>
          <w:rFonts w:ascii="Barlow Semi Condensed" w:cs="Barlow Semi Condensed" w:eastAsia="Barlow Semi Condensed" w:hAnsi="Barlow Semi Condensed"/>
          <w:b/>
          <w:bCs/>
          <w:sz w:val="24"/>
          <w:szCs w:val="24"/>
        </w:rPr>
        <w:t xml:space="preserve">1403 · Rostow, l'assenza che pesa di più.</w:t>
      </w:r>
      <w:r>
        <w:rPr>
          <w:rFonts w:ascii="Barlow Semi Condensed" w:cs="Barlow Semi Condensed" w:eastAsia="Barlow Semi Condensed" w:hAnsi="Barlow Semi Condensed"/>
          <w:sz w:val="24"/>
          <w:szCs w:val="24"/>
        </w:rPr>
        <w:t xml:space="preserve"> Walt Whitman Rostow non compare in nessun file del repository: zero occorrenze. Eppure fu lui, dal primo aprile 1966 al 20 gennaio 1969, l'Assistente del Presidente per gli affari di sicurezza nazionale, cioè il titolare della funzione che il nome triangolato avrebbe assunto quindici mesi dopo la Quebrada del Churo. Il corpus discute quella poltrona attraverso l'inquilino sbagliato.</w:t>
      </w:r>
    </w:p>
    <w:p>
      <w:pPr>
        <w:spacing w:after="120" w:line="276"/>
        <w:jc w:val="both"/>
      </w:pPr>
      <w:r>
        <w:rPr>
          <w:rFonts w:ascii="Barlow Semi Condensed" w:cs="Barlow Semi Condensed" w:eastAsia="Barlow Semi Condensed" w:hAnsi="Barlow Semi Condensed"/>
          <w:b/>
          <w:bCs/>
          <w:sz w:val="24"/>
          <w:szCs w:val="24"/>
        </w:rPr>
        <w:t xml:space="preserve">1404 · Continuità d'ufficio, non di persona.</w:t>
      </w:r>
      <w:r>
        <w:rPr>
          <w:rFonts w:ascii="Barlow Semi Condensed" w:cs="Barlow Semi Condensed" w:eastAsia="Barlow Semi Condensed" w:hAnsi="Barlow Semi Condensed"/>
          <w:sz w:val="24"/>
          <w:szCs w:val="24"/>
        </w:rPr>
        <w:t xml:space="preserve"> Due uomini che occupano la stessa scrivania a distanza di due anni sono un dato istituzionale, non una genealogia. La regola vale nei due sensi: nulla di ciò che accadde nel 1967 si trasmette per successione al titolare del 1969, e nulla di ciò che il titolare del 1969 fece retroagisce sul 1967. L'ufficio è cornice; l'atto ha sempre una firma e una data.</w:t>
      </w:r>
    </w:p>
    <w:p>
      <w:pPr>
        <w:spacing w:after="120" w:line="276"/>
        <w:jc w:val="both"/>
      </w:pPr>
      <w:r>
        <w:rPr>
          <w:rFonts w:ascii="Barlow Semi Condensed" w:cs="Barlow Semi Condensed" w:eastAsia="Barlow Semi Condensed" w:hAnsi="Barlow Semi Condensed"/>
          <w:b/>
          <w:bCs/>
          <w:sz w:val="24"/>
          <w:szCs w:val="24"/>
        </w:rPr>
        <w:t xml:space="preserve">1405 · Austin, il primo giacimento da aprire.</w:t>
      </w:r>
      <w:r>
        <w:rPr>
          <w:rFonts w:ascii="Barlow Semi Condensed" w:cs="Barlow Semi Condensed" w:eastAsia="Barlow Semi Condensed" w:hAnsi="Barlow Semi Condensed"/>
          <w:sz w:val="24"/>
          <w:szCs w:val="24"/>
        </w:rPr>
        <w:t xml:space="preserve"> Quesito da portare alla Lyndon B. Johnson Presidential Library: nel National Security File, serie Country File, Bolivia, e nelle carte dell'Assistente per la sicurezza nazionale, quali documenti trattino la guerriglia di Ñancahuazú fra il novembre 1966 e l'ottobre 1967, e quali nomi vi ricorrano. È la sede in cui un eventuale piano 1 esisterebbe. L'attesa, per il nome triangolato, è nulla.</w:t>
      </w:r>
    </w:p>
    <w:p>
      <w:pPr>
        <w:spacing w:after="120" w:line="276"/>
        <w:jc w:val="both"/>
      </w:pPr>
      <w:r>
        <w:rPr>
          <w:rFonts w:ascii="Barlow Semi Condensed" w:cs="Barlow Semi Condensed" w:eastAsia="Barlow Semi Condensed" w:hAnsi="Barlow Semi Condensed"/>
          <w:b/>
          <w:bCs/>
          <w:sz w:val="24"/>
          <w:szCs w:val="24"/>
        </w:rPr>
        <w:t xml:space="preserve">1406 · College Park, la serie da chiedere.</w:t>
      </w:r>
      <w:r>
        <w:rPr>
          <w:rFonts w:ascii="Barlow Semi Condensed" w:cs="Barlow Semi Condensed" w:eastAsia="Barlow Semi Condensed" w:hAnsi="Barlow Semi Condensed"/>
          <w:sz w:val="24"/>
          <w:szCs w:val="24"/>
        </w:rPr>
        <w:t xml:space="preserve"> Secondo quesito, ai National Archives di College Park: nel Record Group 59, Central Foreign Policy Files 1967-1969, la classificazione relativa all'insorgenza in Bolivia, insieme al carteggio dell'ambasciata di La Paz. Si chieda l'inventario prima dei documenti, perché una serie citata a memoria è una fonte invocata genericamente, cioè lo stesso difetto che questa serie rimprovera allo statuto del capitolo.</w:t>
      </w:r>
    </w:p>
    <w:p>
      <w:pPr>
        <w:spacing w:after="120" w:line="276"/>
        <w:jc w:val="both"/>
      </w:pPr>
      <w:r>
        <w:rPr>
          <w:rFonts w:ascii="Barlow Semi Condensed" w:cs="Barlow Semi Condensed" w:eastAsia="Barlow Semi Condensed" w:hAnsi="Barlow Semi Condensed"/>
          <w:b/>
          <w:bCs/>
          <w:sz w:val="24"/>
          <w:szCs w:val="24"/>
        </w:rPr>
        <w:t xml:space="preserve">1407 · Il volume FRUS che copre la Bolivia.</w:t>
      </w:r>
      <w:r>
        <w:rPr>
          <w:rFonts w:ascii="Barlow Semi Condensed" w:cs="Barlow Semi Condensed" w:eastAsia="Barlow Semi Condensed" w:hAnsi="Barlow Semi Condensed"/>
          <w:sz w:val="24"/>
          <w:szCs w:val="24"/>
        </w:rPr>
        <w:t xml:space="preserve"> Terzo quesito, e il più economico: la compilazione boliviana del volume trentunesimo di Foreign Relations of the United States per gli anni 1964-1968, dedicato all'America centrale e meridionale. È pubblicata, indicizzata e liberamente consultabile presso l'Office of the Historian, la stessa sede che l'opera già adopera per l'anagrafe e per gli incarichi. Se il nome comparisse, comparirebbe lì per primo.</w:t>
      </w:r>
    </w:p>
    <w:p>
      <w:pPr>
        <w:spacing w:after="120" w:line="276"/>
        <w:jc w:val="both"/>
      </w:pPr>
      <w:r>
        <w:rPr>
          <w:rFonts w:ascii="Barlow Semi Condensed" w:cs="Barlow Semi Condensed" w:eastAsia="Barlow Semi Condensed" w:hAnsi="Barlow Semi Condensed"/>
          <w:b/>
          <w:bCs/>
          <w:sz w:val="24"/>
          <w:szCs w:val="24"/>
        </w:rPr>
        <w:t xml:space="preserve">1408 · I fascicoli del consulente.</w:t>
      </w:r>
      <w:r>
        <w:rPr>
          <w:rFonts w:ascii="Barlow Semi Condensed" w:cs="Barlow Semi Condensed" w:eastAsia="Barlow Semi Condensed" w:hAnsi="Barlow Semi Condensed"/>
          <w:sz w:val="24"/>
          <w:szCs w:val="24"/>
        </w:rPr>
        <w:t xml:space="preserve"> Un consulente lascia carte. Negli anni Sessanta le note biografiche gli attribuiscono incarichi di consulenza presso organi del governo federale: si chieda dunque l'inventario dei lot files del Policy Planning Council e delle pratiche dei consulenti del Dipartimento di Stato per il 1966 e il 1967, per accertare se vi figuri un solo elaborato di materia latinoamericana. È l'unica via per cui un piano 1 potrebbe ancora esistere.</w:t>
      </w:r>
    </w:p>
    <w:p>
      <w:pPr>
        <w:spacing w:after="120" w:line="276"/>
        <w:jc w:val="both"/>
      </w:pPr>
      <w:r>
        <w:rPr>
          <w:rFonts w:ascii="Barlow Semi Condensed" w:cs="Barlow Semi Condensed" w:eastAsia="Barlow Semi Condensed" w:hAnsi="Barlow Semi Condensed"/>
          <w:b/>
          <w:bCs/>
          <w:sz w:val="24"/>
          <w:szCs w:val="24"/>
        </w:rPr>
        <w:t xml:space="preserve">1409 · Il perimetro della consulenza, da accertare.</w:t>
      </w:r>
      <w:r>
        <w:rPr>
          <w:rFonts w:ascii="Barlow Semi Condensed" w:cs="Barlow Semi Condensed" w:eastAsia="Barlow Semi Condensed" w:hAnsi="Barlow Semi Condensed"/>
          <w:sz w:val="24"/>
          <w:szCs w:val="24"/>
        </w:rPr>
        <w:t xml:space="preserve"> Prima di cercare un documento occorre accertare il perimetro: quali organi, con quali date, con quale mandato. Le sintesi correnti indicano incarichi presso l'agenzia per il controllo degli armamenti e presso il Dipartimento di Stato, ma la datazione varia da fonte a fonte. Divergenza da riportare, non da sciogliere. Senza perimetro esatto la ricerca del blocco precedente non ha confini e non produce né presenze né assenze.</w:t>
      </w:r>
    </w:p>
    <w:p>
      <w:pPr>
        <w:spacing w:after="120" w:line="276"/>
        <w:jc w:val="both"/>
      </w:pPr>
      <w:r>
        <w:rPr>
          <w:rFonts w:ascii="Barlow Semi Condensed" w:cs="Barlow Semi Condensed" w:eastAsia="Barlow Semi Condensed" w:hAnsi="Barlow Semi Condensed"/>
          <w:b/>
          <w:bCs/>
          <w:sz w:val="24"/>
          <w:szCs w:val="24"/>
        </w:rPr>
        <w:t xml:space="preserve">1410 · Yale, le carte anteriori all'incarico.</w:t>
      </w:r>
      <w:r>
        <w:rPr>
          <w:rFonts w:ascii="Barlow Semi Condensed" w:cs="Barlow Semi Condensed" w:eastAsia="Barlow Semi Condensed" w:hAnsi="Barlow Semi Condensed"/>
          <w:sz w:val="24"/>
          <w:szCs w:val="24"/>
        </w:rPr>
        <w:t xml:space="preserve"> Le carte personali anteriori al gennaio 1969 sono depositate alla Manuscripts and Archives della Yale University Library. È la sede naturale per il quesito boliviano, perché copre esattamente gli anni in cui l'uomo non aveva ufficio e scriveva da professore e da consulente. Si chieda l'inventario delle serie di corrispondenza del 1966-1967 e la ricerca del lemma Bolivia. Esito atteso nullo, e da verbalizzare come tale.</w:t>
      </w:r>
    </w:p>
    <w:p>
      <w:pPr>
        <w:spacing w:after="120" w:line="276"/>
        <w:jc w:val="both"/>
      </w:pPr>
      <w:r>
        <w:rPr>
          <w:rFonts w:ascii="Barlow Semi Condensed" w:cs="Barlow Semi Condensed" w:eastAsia="Barlow Semi Condensed" w:hAnsi="Barlow Semi Condensed"/>
          <w:b/>
          <w:bCs/>
          <w:sz w:val="24"/>
          <w:szCs w:val="24"/>
        </w:rPr>
        <w:t xml:space="preserve">1411 · Washington, le carte di governo.</w:t>
      </w:r>
      <w:r>
        <w:rPr>
          <w:rFonts w:ascii="Barlow Semi Condensed" w:cs="Barlow Semi Condensed" w:eastAsia="Barlow Semi Condensed" w:hAnsi="Barlow Semi Condensed"/>
          <w:sz w:val="24"/>
          <w:szCs w:val="24"/>
        </w:rPr>
        <w:t xml:space="preserve"> La parte di governo delle sue carte sta alla Manuscript Division della Library of Congress, con le trascrizioni telefoniche del periodo dipartimentale. Serie ricchissima e qui inutile: comincia nel 1969, cioè dopo la fine del territorio assegnato. Va nominata proprio per questo, perché dichiarare che il fondo maggiore è cronologicamente fuori bersaglio è un'acquisizione, non una rinuncia.</w:t>
      </w:r>
    </w:p>
    <w:p>
      <w:pPr>
        <w:spacing w:after="120" w:line="276"/>
        <w:jc w:val="both"/>
      </w:pPr>
      <w:r>
        <w:rPr>
          <w:rFonts w:ascii="Barlow Semi Condensed" w:cs="Barlow Semi Condensed" w:eastAsia="Barlow Semi Condensed" w:hAnsi="Barlow Semi Condensed"/>
          <w:b/>
          <w:bCs/>
          <w:sz w:val="24"/>
          <w:szCs w:val="24"/>
        </w:rPr>
        <w:t xml:space="preserve">1412 · Harvard, l'ambiente di quegli anni.</w:t>
      </w:r>
      <w:r>
        <w:rPr>
          <w:rFonts w:ascii="Barlow Semi Condensed" w:cs="Barlow Semi Condensed" w:eastAsia="Barlow Semi Condensed" w:hAnsi="Barlow Semi Condensed"/>
          <w:sz w:val="24"/>
          <w:szCs w:val="24"/>
        </w:rPr>
        <w:t xml:space="preserve"> Negli undici mesi della campagna insegnava a Harvard. Gli Harvard University Archives conservano le carte del centro per gli affari internazionali e la documentazione didattica del periodo. Il quesito è circoscritto: risulta un corso, un seminario, un saggio di materia latinoamericana fra il 1966 e il 1967? Una risposta negativa misura una specializzazione dichiarata e vale come accertamento, non come sospetto dissolto.</w:t>
      </w:r>
    </w:p>
    <w:p>
      <w:pPr>
        <w:spacing w:after="120" w:line="276"/>
        <w:jc w:val="both"/>
      </w:pPr>
      <w:r>
        <w:rPr>
          <w:rFonts w:ascii="Barlow Semi Condensed" w:cs="Barlow Semi Condensed" w:eastAsia="Barlow Semi Condensed" w:hAnsi="Barlow Semi Condensed"/>
          <w:b/>
          <w:bCs/>
          <w:sz w:val="24"/>
          <w:szCs w:val="24"/>
        </w:rPr>
        <w:t xml:space="preserve">1413 · Il seminario internazionale e i suoi elenchi.</w:t>
      </w:r>
      <w:r>
        <w:rPr>
          <w:rFonts w:ascii="Barlow Semi Condensed" w:cs="Barlow Semi Condensed" w:eastAsia="Barlow Semi Condensed" w:hAnsi="Barlow Semi Condensed"/>
          <w:sz w:val="24"/>
          <w:szCs w:val="24"/>
        </w:rPr>
        <w:t xml:space="preserve"> Il seminario internazionale che diresse a Harvard ospitò per anni partecipanti stranieri, e gli elenchi sono conservati. Quesito: vi figura alcun boliviano del periodo Barrientos? Anche una risposta affermativa non produrrebbe nulla oltre un contatto formativo, che l'opera vieta espressamente di leggere come prova di condotta. Il quesito si pone perché una risposta netta, in un senso o nell'altro, chiude una suggestione ricorrente.</w:t>
      </w:r>
    </w:p>
    <w:p>
      <w:pPr>
        <w:spacing w:after="120" w:line="276"/>
        <w:jc w:val="both"/>
      </w:pPr>
      <w:r>
        <w:rPr>
          <w:rFonts w:ascii="Barlow Semi Condensed" w:cs="Barlow Semi Condensed" w:eastAsia="Barlow Semi Condensed" w:hAnsi="Barlow Semi Condensed"/>
          <w:b/>
          <w:bCs/>
          <w:sz w:val="24"/>
          <w:szCs w:val="24"/>
        </w:rPr>
        <w:t xml:space="preserve">1414 · Sleepy Hollow, il consigliere del 1968.</w:t>
      </w:r>
      <w:r>
        <w:rPr>
          <w:rFonts w:ascii="Barlow Semi Condensed" w:cs="Barlow Semi Condensed" w:eastAsia="Barlow Semi Condensed" w:hAnsi="Barlow Semi Condensed"/>
          <w:sz w:val="24"/>
          <w:szCs w:val="24"/>
        </w:rPr>
        <w:t xml:space="preserve"> Fino al gennaio 1969 fu consigliere di politica estera di Nelson Rockefeller, e le carte Rockefeller stanno al Rockefeller Archive Center di Sleepy Hollow. Quesito: nei materiali della campagna presidenziale del 1968 esiste alcun documento di materia boliviana, o alcun riferimento alla guerriglia dell'anno precedente? È la sede più promettente fra quelle private, e resta comunque posteriore ai fatti del territorio.</w:t>
      </w:r>
    </w:p>
    <w:p>
      <w:pPr>
        <w:spacing w:after="120" w:line="276"/>
        <w:jc w:val="both"/>
      </w:pPr>
      <w:r>
        <w:rPr>
          <w:rFonts w:ascii="Barlow Semi Condensed" w:cs="Barlow Semi Condensed" w:eastAsia="Barlow Semi Condensed" w:hAnsi="Barlow Semi Condensed"/>
          <w:b/>
          <w:bCs/>
          <w:sz w:val="24"/>
          <w:szCs w:val="24"/>
        </w:rPr>
        <w:t xml:space="preserve">1415 · La missione del 1969.</w:t>
      </w:r>
      <w:r>
        <w:rPr>
          <w:rFonts w:ascii="Barlow Semi Condensed" w:cs="Barlow Semi Condensed" w:eastAsia="Barlow Semi Condensed" w:hAnsi="Barlow Semi Condensed"/>
          <w:sz w:val="24"/>
          <w:szCs w:val="24"/>
        </w:rPr>
        <w:t xml:space="preserve"> L'anno successivo Rockefeller condusse per la nuova presidenza una missione in America latina, il cui rapporto è pubblico. Cadde venti mesi dopo La Higuera e non appartiene a questo territorio. Si registra qui per una ragione sola: è il primo dossier latinoamericano in cui il nome triangolato entra munito di un ufficio, e serve come termine di confronto per misurare la distanza dal 1967.</w:t>
      </w:r>
    </w:p>
    <w:p>
      <w:pPr>
        <w:spacing w:after="120" w:line="276"/>
        <w:jc w:val="both"/>
      </w:pPr>
      <w:r>
        <w:rPr>
          <w:rFonts w:ascii="Barlow Semi Condensed" w:cs="Barlow Semi Condensed" w:eastAsia="Barlow Semi Condensed" w:hAnsi="Barlow Semi Condensed"/>
          <w:b/>
          <w:bCs/>
          <w:sz w:val="24"/>
          <w:szCs w:val="24"/>
        </w:rPr>
        <w:t xml:space="preserve">1416 · Princeton, i gruppi di studio.</w:t>
      </w:r>
      <w:r>
        <w:rPr>
          <w:rFonts w:ascii="Barlow Semi Condensed" w:cs="Barlow Semi Condensed" w:eastAsia="Barlow Semi Condensed" w:hAnsi="Barlow Semi Condensed"/>
          <w:sz w:val="24"/>
          <w:szCs w:val="24"/>
        </w:rPr>
        <w:t xml:space="preserve"> I documenti del Council on Foreign Relations sono alla Seeley G. Mudd Manuscript Library di Princeton. Quesito: fra il 1965 e il 1968 fu attivo un gruppo di studio su America latina o su insorgenza rivoluzionaria, e chi vi partecipò? La partecipazione a un gruppo di studio non è condotta e non è delega. Il quesito serve a stabilire un'assenza, oppure a qualificare al piano 2 una presenza.</w:t>
      </w:r>
    </w:p>
    <w:p>
      <w:pPr>
        <w:spacing w:after="120" w:line="276"/>
        <w:jc w:val="both"/>
      </w:pPr>
      <w:r>
        <w:rPr>
          <w:rFonts w:ascii="Barlow Semi Condensed" w:cs="Barlow Semi Condensed" w:eastAsia="Barlow Semi Condensed" w:hAnsi="Barlow Semi Condensed"/>
          <w:b/>
          <w:bCs/>
          <w:sz w:val="24"/>
          <w:szCs w:val="24"/>
        </w:rPr>
        <w:t xml:space="preserve">1417 · Dove sta davvero l'autunno 1967.</w:t>
      </w:r>
      <w:r>
        <w:rPr>
          <w:rFonts w:ascii="Barlow Semi Condensed" w:cs="Barlow Semi Condensed" w:eastAsia="Barlow Semi Condensed" w:hAnsi="Barlow Semi Condensed"/>
          <w:sz w:val="24"/>
          <w:szCs w:val="24"/>
        </w:rPr>
        <w:t xml:space="preserve"> Nei mesi in cui la colonna si divideva e moriva, l'attività documentata di quell'uomo sta altrove: nel canale ufficioso verso Hanoi, condotto tramite intermediari francesi fra l'estate e l'autunno del 1967. Le sedi sono la serie vietnamita del Foreign Relations of the United States per gli anni 1964-1968 e le carte dell'Assistente per la sicurezza nazionale ad Austin. Verificarlo colloca l'uomo e chiude la domanda geografica.</w:t>
      </w:r>
    </w:p>
    <w:p>
      <w:pPr>
        <w:spacing w:after="120" w:line="276"/>
        <w:jc w:val="both"/>
      </w:pPr>
      <w:r>
        <w:rPr>
          <w:rFonts w:ascii="Barlow Semi Condensed" w:cs="Barlow Semi Condensed" w:eastAsia="Barlow Semi Condensed" w:hAnsi="Barlow Semi Condensed"/>
          <w:b/>
          <w:bCs/>
          <w:sz w:val="24"/>
          <w:szCs w:val="24"/>
        </w:rPr>
        <w:t xml:space="preserve">1418 · La sala di lettura elettronica (serie XIX).</w:t>
      </w:r>
      <w:r>
        <w:rPr>
          <w:rFonts w:ascii="Barlow Semi Condensed" w:cs="Barlow Semi Condensed" w:eastAsia="Barlow Semi Condensed" w:hAnsi="Barlow Semi Condensed"/>
          <w:sz w:val="24"/>
          <w:szCs w:val="24"/>
        </w:rPr>
        <w:t xml:space="preserve"> Ultimo giacimento americano: la raccolta declassificata dell'agenzia, interrogabile a testo pieno. Si incrocino i lemmi boliviani del 1967 con il cognome triangolato e si verbalizzi il risultato, quale che sia. Una risposta vuota non prova che nulla esista, perché la declassificazione è parziale e selettiva; prova soltanto che nella parte declassificata non c'è. La differenza va scritta ogni volta, senza eccezioni.</w:t>
      </w:r>
    </w:p>
    <w:p>
      <w:pPr>
        <w:spacing w:after="120" w:line="276"/>
        <w:jc w:val="both"/>
      </w:pPr>
      <w:r>
        <w:rPr>
          <w:rFonts w:ascii="Barlow Semi Condensed" w:cs="Barlow Semi Condensed" w:eastAsia="Barlow Semi Condensed" w:hAnsi="Barlow Semi Condensed"/>
          <w:b/>
          <w:bCs/>
          <w:sz w:val="24"/>
          <w:szCs w:val="24"/>
        </w:rPr>
        <w:t xml:space="preserve">1419 · La citazione da riparare al nodo M-5.</w:t>
      </w:r>
      <w:r>
        <w:rPr>
          <w:rFonts w:ascii="Barlow Semi Condensed" w:cs="Barlow Semi Condensed" w:eastAsia="Barlow Semi Condensed" w:hAnsi="Barlow Semi Condensed"/>
          <w:sz w:val="24"/>
          <w:szCs w:val="24"/>
        </w:rPr>
        <w:t xml:space="preserve"> Il nodo M-5 chiude la propria colonna delle fonti con la formula NSA Electronic Briefing Book su Guevara del 1997, e il nodo M-8 con NSA Archive 1997. Manca il numero della raccolta, manca il curatore, manca la data di pubblicazione. È lacuna di apparato in un nodo che regge la parte più delicata della triangolazione: va chiusa con la citazione completa prima di ogni ulteriore uso.</w:t>
      </w:r>
    </w:p>
    <w:p>
      <w:pPr>
        <w:spacing w:after="120" w:line="276"/>
        <w:jc w:val="both"/>
      </w:pPr>
      <w:r>
        <w:rPr>
          <w:rFonts w:ascii="Barlow Semi Condensed" w:cs="Barlow Semi Condensed" w:eastAsia="Barlow Semi Condensed" w:hAnsi="Barlow Semi Condensed"/>
          <w:b/>
          <w:bCs/>
          <w:sz w:val="24"/>
          <w:szCs w:val="24"/>
        </w:rPr>
        <w:t xml:space="preserve">1420 · Sucre e La Paz.</w:t>
      </w:r>
      <w:r>
        <w:rPr>
          <w:rFonts w:ascii="Barlow Semi Condensed" w:cs="Barlow Semi Condensed" w:eastAsia="Barlow Semi Condensed" w:hAnsi="Barlow Semi Condensed"/>
          <w:sz w:val="24"/>
          <w:szCs w:val="24"/>
        </w:rPr>
        <w:t xml:space="preserve"> Dal lato boliviano le sedi sono due e distinte: l'Archivo y Biblioteca Nacionales de Bolivia a Sucre per la documentazione statale, l'Archivo de La Paz per i fondi universitari e politici. Vi si aggiunge, per la parte militare, l'archivio del ministero della Difesa. Nessuno dei tre è stato interrogato dal corpus: è Stato Zero di ricerca, non di materia, e va dichiarato con questa distinzione.</w:t>
      </w:r>
    </w:p>
    <w:p>
      <w:pPr>
        <w:spacing w:after="120" w:line="276"/>
        <w:jc w:val="both"/>
      </w:pPr>
      <w:r>
        <w:rPr>
          <w:rFonts w:ascii="Barlow Semi Condensed" w:cs="Barlow Semi Condensed" w:eastAsia="Barlow Semi Condensed" w:hAnsi="Barlow Semi Condensed"/>
          <w:b/>
          <w:bCs/>
          <w:sz w:val="24"/>
          <w:szCs w:val="24"/>
        </w:rPr>
        <w:t xml:space="preserve">1421 · L'Avana, il centro già citato.</w:t>
      </w:r>
      <w:r>
        <w:rPr>
          <w:rFonts w:ascii="Barlow Semi Condensed" w:cs="Barlow Semi Condensed" w:eastAsia="Barlow Semi Condensed" w:hAnsi="Barlow Semi Condensed"/>
          <w:sz w:val="24"/>
          <w:szCs w:val="24"/>
        </w:rPr>
        <w:t xml:space="preserve"> Il Che Guevara Studies Center dell'Avana è citato dalla bibliografia critica del corpus per le correzioni autografe al discorso di Algeri. La stessa sede conserva il fondo documentario della spedizione boliviana. Quesito minimo: chiedere se vi risultino carte che nominino interlocutori statunitensi del 1966-1967. La risposta di un archivio di parte va pesata come tale, ma un archivio di parte interrogato vale più di un archivio non interrogato.</w:t>
      </w:r>
    </w:p>
    <w:p>
      <w:pPr>
        <w:spacing w:after="120" w:line="276"/>
        <w:jc w:val="both"/>
      </w:pPr>
      <w:r>
        <w:rPr>
          <w:rFonts w:ascii="Barlow Semi Condensed" w:cs="Barlow Semi Condensed" w:eastAsia="Barlow Semi Condensed" w:hAnsi="Barlow Semi Condensed"/>
          <w:b/>
          <w:bCs/>
          <w:sz w:val="24"/>
          <w:szCs w:val="24"/>
        </w:rPr>
        <w:t xml:space="preserve">1422 · La Farnesina, e il limite già accertato.</w:t>
      </w:r>
      <w:r>
        <w:rPr>
          <w:rFonts w:ascii="Barlow Semi Condensed" w:cs="Barlow Semi Condensed" w:eastAsia="Barlow Semi Condensed" w:hAnsi="Barlow Semi Condensed"/>
          <w:sz w:val="24"/>
          <w:szCs w:val="24"/>
        </w:rPr>
        <w:t xml:space="preserve"> Sul versante italiano la sede sarebbe l'Archivio storico diplomatico del ministero degli Esteri, per il fascicolo consolare sull'arresto di un cittadino italiano in Bolivia nell'agosto 1967. Ma il blocco 315 dell'opera recepisce una correzione che vale anche qui: i fondi ministeriali di quegli anni non risultavano consultabili. Il quesito si formula ugualmente, e si accompagna alla dichiarazione dell'ostacolo.</w:t>
      </w:r>
    </w:p>
    <w:p>
      <w:pPr>
        <w:spacing w:after="120" w:line="276"/>
        <w:jc w:val="both"/>
      </w:pPr>
      <w:r>
        <w:rPr>
          <w:rFonts w:ascii="Barlow Semi Condensed" w:cs="Barlow Semi Condensed" w:eastAsia="Barlow Semi Condensed" w:hAnsi="Barlow Semi Condensed"/>
          <w:b/>
          <w:bCs/>
          <w:sz w:val="24"/>
          <w:szCs w:val="24"/>
        </w:rPr>
        <w:t xml:space="preserve">1423 · F-12, il nodo che salda.</w:t>
      </w:r>
      <w:r>
        <w:rPr>
          <w:rFonts w:ascii="Barlow Semi Condensed" w:cs="Barlow Semi Condensed" w:eastAsia="Barlow Semi Condensed" w:hAnsi="Barlow Semi Condensed"/>
          <w:sz w:val="24"/>
          <w:szCs w:val="24"/>
        </w:rPr>
        <w:t xml:space="preserve"> La triangolazione su Feltrinelli ha prodotto un nodo nuovo, F-12: nell'agosto 1967 l'editore andò in Bolivia mentre Debray era sotto processo a Camiri, vi fu arrestato ed espulso. È l'unico contatto fisico documentato fra il mondo italiano del corpus e il teatro della campagna, e cade due mesi prima della Quebrada del Churo. Piano 1 pieno, e non riguarda in nulla il nome triangolato.</w:t>
      </w:r>
    </w:p>
    <w:p>
      <w:pPr>
        <w:spacing w:after="120" w:line="276"/>
        <w:jc w:val="both"/>
      </w:pPr>
      <w:r>
        <w:rPr>
          <w:rFonts w:ascii="Barlow Semi Condensed" w:cs="Barlow Semi Condensed" w:eastAsia="Barlow Semi Condensed" w:hAnsi="Barlow Semi Condensed"/>
          <w:b/>
          <w:bCs/>
          <w:sz w:val="24"/>
          <w:szCs w:val="24"/>
        </w:rPr>
        <w:t xml:space="preserve">1424 · B-1, e la tentazione che apre.</w:t>
      </w:r>
      <w:r>
        <w:rPr>
          <w:rFonts w:ascii="Barlow Semi Condensed" w:cs="Barlow Semi Condensed" w:eastAsia="Barlow Semi Condensed" w:hAnsi="Barlow Semi Condensed"/>
          <w:sz w:val="24"/>
          <w:szCs w:val="24"/>
        </w:rPr>
        <w:t xml:space="preserve"> Il ponte B-1 registra che il vettore del mito si presentò sul bordo della guerriglia. Di qui nasce la tentazione di cercare, negli stessi mesi e negli stessi fondi, un secondo nome. La tentazione va nominata per essere disinnescata: la presenza documentata di un editore italiano a Camiri non crea alcuna probabilità che un professore di Harvard comparisse nelle medesime carte.</w:t>
      </w:r>
    </w:p>
    <w:p>
      <w:pPr>
        <w:spacing w:after="120" w:line="276"/>
        <w:jc w:val="both"/>
      </w:pPr>
      <w:r>
        <w:rPr>
          <w:rFonts w:ascii="Barlow Semi Condensed" w:cs="Barlow Semi Condensed" w:eastAsia="Barlow Semi Condensed" w:hAnsi="Barlow Semi Condensed"/>
          <w:b/>
          <w:bCs/>
          <w:sz w:val="24"/>
          <w:szCs w:val="24"/>
        </w:rPr>
        <w:t xml:space="preserve">1425 · Il blocco 709, esteso al terreno boliviano.</w:t>
      </w:r>
      <w:r>
        <w:rPr>
          <w:rFonts w:ascii="Barlow Semi Condensed" w:cs="Barlow Semi Condensed" w:eastAsia="Barlow Semi Condensed" w:hAnsi="Barlow Semi Condensed"/>
          <w:sz w:val="24"/>
          <w:szCs w:val="24"/>
        </w:rPr>
        <w:t xml:space="preserve"> L'opera aveva già formulato il quesito sulle valutazioni statunitensi coeve intorno all'editore italiano. Questa serie lo precisa geograficamente: non solo i fondi italiani, ma il carteggio dell'ambasciata di La Paz dell'agosto 1967, dove un arresto e un'espulsione di straniero lasciano traccia consolare e talvolta informativa. Se esiste, entra col grado della propria natura; se non esiste, si verbalizzano le serie interrogate.</w:t>
      </w:r>
    </w:p>
    <w:p>
      <w:pPr>
        <w:spacing w:after="120" w:line="276"/>
        <w:jc w:val="both"/>
      </w:pPr>
      <w:r>
        <w:rPr>
          <w:rFonts w:ascii="Barlow Semi Condensed" w:cs="Barlow Semi Condensed" w:eastAsia="Barlow Semi Condensed" w:hAnsi="Barlow Semi Condensed"/>
          <w:b/>
          <w:bCs/>
          <w:sz w:val="24"/>
          <w:szCs w:val="24"/>
        </w:rPr>
        <w:t xml:space="preserve">1426 · Due sedi italiane per un arresto.</w:t>
      </w:r>
      <w:r>
        <w:rPr>
          <w:rFonts w:ascii="Barlow Semi Condensed" w:cs="Barlow Semi Condensed" w:eastAsia="Barlow Semi Condensed" w:hAnsi="Barlow Semi Condensed"/>
          <w:sz w:val="24"/>
          <w:szCs w:val="24"/>
        </w:rPr>
        <w:t xml:space="preserve"> Per lo stesso episodio le sedi italiane sono nominabili: l'Archivio centrale dello Stato, per i fascicoli della Direzione generale di pubblica sicurezza, e l'archivio della Fondazione Giangiacomo Feltrinelli a Milano, che conserva le carte dell'editore. Il quesito è duplice, cioè che cosa la polizia italiana registrò e che cosa l'interessato scrisse, e la risposta appartiene al versante italiano, non a quello americano.</w:t>
      </w:r>
    </w:p>
    <w:p>
      <w:pPr>
        <w:spacing w:after="120" w:line="276"/>
        <w:jc w:val="both"/>
      </w:pPr>
      <w:r>
        <w:rPr>
          <w:rFonts w:ascii="Barlow Semi Condensed" w:cs="Barlow Semi Condensed" w:eastAsia="Barlow Semi Condensed" w:hAnsi="Barlow Semi Condensed"/>
          <w:b/>
          <w:bCs/>
          <w:sz w:val="24"/>
          <w:szCs w:val="24"/>
        </w:rPr>
        <w:t xml:space="preserve">1427 · B-2, il canale che il corpus attraversa.</w:t>
      </w:r>
      <w:r>
        <w:rPr>
          <w:rFonts w:ascii="Barlow Semi Condensed" w:cs="Barlow Semi Condensed" w:eastAsia="Barlow Semi Condensed" w:hAnsi="Barlow Semi Condensed"/>
          <w:sz w:val="24"/>
          <w:szCs w:val="24"/>
        </w:rPr>
        <w:t xml:space="preserve"> Ogni volta che il corpus cita il Diario nell'edizione italiana passa dal vettore che sta studiando: così il ponte B-2. La conseguenza per questa serie è precisa: la fonte primaria della campagna boliviana raggiunge il lettore italiano attraverso un canale editoriale con una storia politica propria. Non altera il testo, ma va dichiarato, perché la trasmissione fa parte del fenotipo del documento.</w:t>
      </w:r>
    </w:p>
    <w:p>
      <w:pPr>
        <w:spacing w:after="120" w:line="276"/>
        <w:jc w:val="both"/>
      </w:pPr>
      <w:r>
        <w:rPr>
          <w:rFonts w:ascii="Barlow Semi Condensed" w:cs="Barlow Semi Condensed" w:eastAsia="Barlow Semi Condensed" w:hAnsi="Barlow Semi Condensed"/>
          <w:b/>
          <w:bCs/>
          <w:sz w:val="24"/>
          <w:szCs w:val="24"/>
        </w:rPr>
        <w:t xml:space="preserve">1428 · Il trasmettitore che manca al corpus.</w:t>
      </w:r>
      <w:r>
        <w:rPr>
          <w:rFonts w:ascii="Barlow Semi Condensed" w:cs="Barlow Semi Condensed" w:eastAsia="Barlow Semi Condensed" w:hAnsi="Barlow Semi Condensed"/>
          <w:sz w:val="24"/>
          <w:szCs w:val="24"/>
        </w:rPr>
        <w:t xml:space="preserve"> Il Diario uscì dalla Bolivia perché qualcuno lo fece uscire, e quel qualcuno non è nominato in alcun documento del repository: zero occorrenze per il ministro dell'Interno boliviano che nel 1968 ne trasmise copia all'Avana. È lo Stato Zero più curioso del territorio, perché riguarda l'anello materiale della trasmissione, cioè proprio l'oggetto dichiarato dell'opera che qui si continua.</w:t>
      </w:r>
    </w:p>
    <w:p>
      <w:pPr>
        <w:spacing w:after="120" w:line="276"/>
        <w:jc w:val="both"/>
      </w:pPr>
      <w:r>
        <w:rPr>
          <w:rFonts w:ascii="Barlow Semi Condensed" w:cs="Barlow Semi Condensed" w:eastAsia="Barlow Semi Condensed" w:hAnsi="Barlow Semi Condensed"/>
          <w:b/>
          <w:bCs/>
          <w:sz w:val="24"/>
          <w:szCs w:val="24"/>
        </w:rPr>
        <w:t xml:space="preserve">1429 · Il blocco 783 riletto sul terreno.</w:t>
      </w:r>
      <w:r>
        <w:rPr>
          <w:rFonts w:ascii="Barlow Semi Condensed" w:cs="Barlow Semi Condensed" w:eastAsia="Barlow Semi Condensed" w:hAnsi="Barlow Semi Condensed"/>
          <w:sz w:val="24"/>
          <w:szCs w:val="24"/>
        </w:rPr>
        <w:t xml:space="preserve"> Il diario del guerrigliero, osservava quel blocco, è un testo la cui trasmissione appartenne interamente ad altri: sequestrato, poi pubblicato con prefazione politica. Sul terreno boliviano la formula acquista gli anelli mancanti, cioè il sequestro militare, la copia uscita clandestinamente, l'acquisto dei diritti in Italia, la copertina di Korda. Quattro passaggi, quattro mani diverse, nessuna delle quali è quella qui triangolata.</w:t>
      </w:r>
    </w:p>
    <w:p>
      <w:pPr>
        <w:spacing w:after="120" w:line="276"/>
        <w:jc w:val="both"/>
      </w:pPr>
      <w:r>
        <w:rPr>
          <w:rFonts w:ascii="Barlow Semi Condensed" w:cs="Barlow Semi Condensed" w:eastAsia="Barlow Semi Condensed" w:hAnsi="Barlow Semi Condensed"/>
          <w:b/>
          <w:bCs/>
          <w:sz w:val="24"/>
          <w:szCs w:val="24"/>
        </w:rPr>
        <w:t xml:space="preserve">1430 · Il manifesto, e ciò che non trasporta.</w:t>
      </w:r>
      <w:r>
        <w:rPr>
          <w:rFonts w:ascii="Barlow Semi Condensed" w:cs="Barlow Semi Condensed" w:eastAsia="Barlow Semi Condensed" w:hAnsi="Barlow Semi Condensed"/>
          <w:sz w:val="24"/>
          <w:szCs w:val="24"/>
        </w:rPr>
        <w:t xml:space="preserve"> Al blocco 519 l'operazione editoriale del 1967-1968 è registrata come il vettore di stampa meglio accertato del corpus. La regola che ne discende serve alla presente serie: un vettore trasporta un'immagine e un libro, non un comando e non una responsabilità. Chi cerca, dietro la diffusione di un mito, una mano che l'abbia ordinata, confonde la trasmissione dell'informazione con la catena gerarchica.</w:t>
      </w:r>
    </w:p>
    <w:p>
      <w:pPr>
        <w:spacing w:after="120" w:line="276"/>
        <w:jc w:val="both"/>
      </w:pPr>
      <w:r>
        <w:rPr>
          <w:rFonts w:ascii="Barlow Semi Condensed" w:cs="Barlow Semi Condensed" w:eastAsia="Barlow Semi Condensed" w:hAnsi="Barlow Semi Condensed"/>
          <w:b/>
          <w:bCs/>
          <w:sz w:val="24"/>
          <w:szCs w:val="24"/>
        </w:rPr>
        <w:t xml:space="preserve">1431 · La cornice non è un antenato.</w:t>
      </w:r>
      <w:r>
        <w:rPr>
          <w:rFonts w:ascii="Barlow Semi Condensed" w:cs="Barlow Semi Condensed" w:eastAsia="Barlow Semi Condensed" w:hAnsi="Barlow Semi Condensed"/>
          <w:sz w:val="24"/>
          <w:szCs w:val="24"/>
        </w:rPr>
        <w:t xml:space="preserve"> Fra la fine di Guevara e le vicende italiane il corpus riconosce una cornice condivisa, la lunga guerra fredda, e null'altro. Il blocco 944 lo dice nella forma più stretta: la simmetria delle ombre statunitensi è analogia, non omologia, perché nessun documento attesta discendenza comune. Applicata al territorio boliviano, la regola vieta di far discendere dalla presenza di un agente a La Higuera qualunque nome di vertice.</w:t>
      </w:r>
    </w:p>
    <w:p>
      <w:pPr>
        <w:spacing w:after="120" w:line="276"/>
        <w:jc w:val="both"/>
      </w:pPr>
      <w:r>
        <w:rPr>
          <w:rFonts w:ascii="Barlow Semi Condensed" w:cs="Barlow Semi Condensed" w:eastAsia="Barlow Semi Condensed" w:hAnsi="Barlow Semi Condensed"/>
          <w:b/>
          <w:bCs/>
          <w:sz w:val="24"/>
          <w:szCs w:val="24"/>
        </w:rPr>
        <w:t xml:space="preserve">1432 · Il comitato che cambiò nome nel 1970.</w:t>
      </w:r>
      <w:r>
        <w:rPr>
          <w:rFonts w:ascii="Barlow Semi Condensed" w:cs="Barlow Semi Condensed" w:eastAsia="Barlow Semi Condensed" w:hAnsi="Barlow Semi Condensed"/>
          <w:sz w:val="24"/>
          <w:szCs w:val="24"/>
        </w:rPr>
        <w:t xml:space="preserve"> L'organo che negli anni Sessanta approvava le azioni coperte fu istituito con una direttiva del giugno 1964 e ribattezzato con una direttiva presidenziale del febbraio 1970. Il nome triangolato presiedette il secondo, non il primo. La successione fra i due è continuità amministrativa, da accertare sui testi delle direttive nelle raccolte istituzionali: è piano 2 puro, e non produce alcun nesso con il 1967.</w:t>
      </w:r>
    </w:p>
    <w:p>
      <w:pPr>
        <w:spacing w:after="120" w:line="276"/>
        <w:jc w:val="both"/>
      </w:pPr>
      <w:r>
        <w:rPr>
          <w:rFonts w:ascii="Barlow Semi Condensed" w:cs="Barlow Semi Condensed" w:eastAsia="Barlow Semi Condensed" w:hAnsi="Barlow Semi Condensed"/>
          <w:b/>
          <w:bCs/>
          <w:sz w:val="24"/>
          <w:szCs w:val="24"/>
        </w:rPr>
        <w:t xml:space="preserve">1433 · Chi sedeva a capo di quell'organo.</w:t>
      </w:r>
      <w:r>
        <w:rPr>
          <w:rFonts w:ascii="Barlow Semi Condensed" w:cs="Barlow Semi Condensed" w:eastAsia="Barlow Semi Condensed" w:hAnsi="Barlow Semi Condensed"/>
          <w:sz w:val="24"/>
          <w:szCs w:val="24"/>
        </w:rPr>
        <w:t xml:space="preserve"> Nel 1967 la presidenza dell'organo per le azioni coperte spettava all'Assistente del Presidente per la sicurezza nazionale, cioè al titolare che il repository non nomina mai. Chi volesse ricostruire una decisione americana sulla Bolivia di quell'anno dovrebbe cercare lì i verbali, e cercarli a nome di quel titolare. È il bersaglio corretto, ed è diverso da quello che la pubblicistica propone abitualmente.</w:t>
      </w:r>
    </w:p>
    <w:p>
      <w:pPr>
        <w:spacing w:after="120" w:line="276"/>
        <w:jc w:val="both"/>
      </w:pPr>
      <w:r>
        <w:rPr>
          <w:rFonts w:ascii="Barlow Semi Condensed" w:cs="Barlow Semi Condensed" w:eastAsia="Barlow Semi Condensed" w:hAnsi="Barlow Semi Condensed"/>
          <w:b/>
          <w:bCs/>
          <w:sz w:val="24"/>
          <w:szCs w:val="24"/>
        </w:rPr>
        <w:t xml:space="preserve">1434 · Il Cile, vicino e lontano.</w:t>
      </w:r>
      <w:r>
        <w:rPr>
          <w:rFonts w:ascii="Barlow Semi Condensed" w:cs="Barlow Semi Condensed" w:eastAsia="Barlow Semi Condensed" w:hAnsi="Barlow Semi Condensed"/>
          <w:sz w:val="24"/>
          <w:szCs w:val="24"/>
        </w:rPr>
        <w:t xml:space="preserve"> Il saggio di sintesi del corpus registra come documentata la responsabilità degli apparati statunitensi nella caduta di Allende, con la supervisione del nome qui triangolato. È il punto in cui quel nome tocca davvero l'America latina. Cade l'11 settembre 1973, cioè sei anni dopo La Higuera, in un altro Paese e contro un governo eletto. Vicinanza tematica massima, distanza documentale intera.</w:t>
      </w:r>
    </w:p>
    <w:p>
      <w:pPr>
        <w:spacing w:after="120" w:line="276"/>
        <w:jc w:val="both"/>
      </w:pPr>
      <w:r>
        <w:rPr>
          <w:rFonts w:ascii="Barlow Semi Condensed" w:cs="Barlow Semi Condensed" w:eastAsia="Barlow Semi Condensed" w:hAnsi="Barlow Semi Condensed"/>
          <w:b/>
          <w:bCs/>
          <w:sz w:val="24"/>
          <w:szCs w:val="24"/>
        </w:rPr>
        <w:t xml:space="preserve">1435 · Il divieto di retrodatare il Cile (serie XIX).</w:t>
      </w:r>
      <w:r>
        <w:rPr>
          <w:rFonts w:ascii="Barlow Semi Condensed" w:cs="Barlow Semi Condensed" w:eastAsia="Barlow Semi Condensed" w:hAnsi="Barlow Semi Condensed"/>
          <w:sz w:val="24"/>
          <w:szCs w:val="24"/>
        </w:rPr>
        <w:t xml:space="preserve"> Rovesciamento del bersaglio: se qualcuno usasse il Cile del 1973 per illuminare la Bolivia del 1967, a confutarlo basterebbe la sola cronologia degli incarichi, e non servirebbe altro. Nessuna proprietà accertata di un dossier si trasferisce all'indietro su un dossier anteriore. È la stessa regola che l'opera applica al divieto di ereditare la colpa, letta sull'asse del tempo anziché su quello delle persone.</w:t>
      </w:r>
    </w:p>
    <w:p>
      <w:pPr>
        <w:spacing w:after="120" w:line="276"/>
        <w:jc w:val="both"/>
      </w:pPr>
      <w:r>
        <w:rPr>
          <w:rFonts w:ascii="Barlow Semi Condensed" w:cs="Barlow Semi Condensed" w:eastAsia="Barlow Semi Condensed" w:hAnsi="Barlow Semi Condensed"/>
          <w:b/>
          <w:bCs/>
          <w:sz w:val="24"/>
          <w:szCs w:val="24"/>
        </w:rPr>
        <w:t xml:space="preserve">1436 · L'anacronismo che minaccia questa serie.</w:t>
      </w:r>
      <w:r>
        <w:rPr>
          <w:rFonts w:ascii="Barlow Semi Condensed" w:cs="Barlow Semi Condensed" w:eastAsia="Barlow Semi Condensed" w:hAnsi="Barlow Semi Condensed"/>
          <w:sz w:val="24"/>
          <w:szCs w:val="24"/>
        </w:rPr>
        <w:t xml:space="preserve"> Il coordinamento repressivo fra dittature del Cono Sud, di cui si discute per gli anni 1975-1976, non compare in alcun documento del repository e non appartiene a questo territorio. Va nominato una sola volta e proprio per escluderlo: la Bolivia del 1967 è quella di Barrientos, non quella del decennio successivo, e trasportare all'indietro una struttura posteriore è l'errore di trascrizione più probabile qui.</w:t>
      </w:r>
    </w:p>
    <w:p>
      <w:pPr>
        <w:spacing w:after="120" w:line="276"/>
        <w:jc w:val="both"/>
      </w:pPr>
      <w:r>
        <w:rPr>
          <w:rFonts w:ascii="Barlow Semi Condensed" w:cs="Barlow Semi Condensed" w:eastAsia="Barlow Semi Condensed" w:hAnsi="Barlow Semi Condensed"/>
          <w:b/>
          <w:bCs/>
          <w:sz w:val="24"/>
          <w:szCs w:val="24"/>
        </w:rPr>
        <w:t xml:space="preserve">1437 · Il foco e i due ambienti.</w:t>
      </w:r>
      <w:r>
        <w:rPr>
          <w:rFonts w:ascii="Barlow Semi Condensed" w:cs="Barlow Semi Condensed" w:eastAsia="Barlow Semi Condensed" w:hAnsi="Barlow Semi Condensed"/>
          <w:sz w:val="24"/>
          <w:szCs w:val="24"/>
        </w:rPr>
        <w:t xml:space="preserve"> Una regola già fissata al blocco 438 osserva che la stessa dottrina produce esiti opposti in Bolivia e in Italia, e che l'ambiente regola l'espressione. Sul terreno assegnato si legge in positivo: la disfatta si spiega con l'assenza della base contadina che il foco presupponeva, con la rottura del PCB e con la divisione della colonna. Sono cause interne sufficienti, e una spiegazione sufficiente non chiede nomi esterni.</w:t>
      </w:r>
    </w:p>
    <w:p>
      <w:pPr>
        <w:spacing w:after="120" w:line="276"/>
        <w:jc w:val="both"/>
      </w:pPr>
      <w:r>
        <w:rPr>
          <w:rFonts w:ascii="Barlow Semi Condensed" w:cs="Barlow Semi Condensed" w:eastAsia="Barlow Semi Condensed" w:hAnsi="Barlow Semi Condensed"/>
          <w:b/>
          <w:bCs/>
          <w:sz w:val="24"/>
          <w:szCs w:val="24"/>
        </w:rPr>
        <w:t xml:space="preserve">1438 · M-4, antitesi senza ponte.</w:t>
      </w:r>
      <w:r>
        <w:rPr>
          <w:rFonts w:ascii="Barlow Semi Condensed" w:cs="Barlow Semi Condensed" w:eastAsia="Barlow Semi Condensed" w:hAnsi="Barlow Semi Condensed"/>
          <w:sz w:val="24"/>
          <w:szCs w:val="24"/>
        </w:rPr>
        <w:t xml:space="preserve"> Il nodo M-4 pone il caso cileno come snodo fra due letture opposte della via al potere. È un ragionamento su dottrine, non su persone, e non produce alcun contatto fra il territorio boliviano e il nome triangolato. Registrarlo serve a impedire che la ricchezza analitica del nodo venga scambiata per densità documentale: sono cose diverse, e la seconda, qui, non esiste.</w:t>
      </w:r>
    </w:p>
    <w:p>
      <w:pPr>
        <w:spacing w:after="120" w:line="276"/>
        <w:jc w:val="both"/>
      </w:pPr>
      <w:r>
        <w:rPr>
          <w:rFonts w:ascii="Barlow Semi Condensed" w:cs="Barlow Semi Condensed" w:eastAsia="Barlow Semi Condensed" w:hAnsi="Barlow Semi Condensed"/>
          <w:b/>
          <w:bCs/>
          <w:sz w:val="24"/>
          <w:szCs w:val="24"/>
        </w:rPr>
        <w:t xml:space="preserve">1439 · M-1, la sincronia e il suo peso.</w:t>
      </w:r>
      <w:r>
        <w:rPr>
          <w:rFonts w:ascii="Barlow Semi Condensed" w:cs="Barlow Semi Condensed" w:eastAsia="Barlow Semi Condensed" w:hAnsi="Barlow Semi Condensed"/>
          <w:sz w:val="24"/>
          <w:szCs w:val="24"/>
        </w:rPr>
        <w:t xml:space="preserve"> Nei giorni della cattura il presidente del Consiglio italiano era Aldo Moro: così il nodo M-1. È sincronia istituzionale esatta e priva di conseguenze, perché nulla lega quel governo alla vicenda boliviana, e nulla lega la vicenda boliviana al nome triangolato, che in quei giorni non aveva ufficio in alcun Paese. Tre contemporaneità sovrapposte non compongono un rapporto.</w:t>
      </w:r>
    </w:p>
    <w:p>
      <w:pPr>
        <w:spacing w:after="120" w:line="276"/>
        <w:jc w:val="both"/>
      </w:pPr>
      <w:r>
        <w:rPr>
          <w:rFonts w:ascii="Barlow Semi Condensed" w:cs="Barlow Semi Condensed" w:eastAsia="Barlow Semi Condensed" w:hAnsi="Barlow Semi Condensed"/>
          <w:b/>
          <w:bCs/>
          <w:sz w:val="24"/>
          <w:szCs w:val="24"/>
        </w:rPr>
        <w:t xml:space="preserve">1440 · M-9, il decennale e i simboli.</w:t>
      </w:r>
      <w:r>
        <w:rPr>
          <w:rFonts w:ascii="Barlow Semi Condensed" w:cs="Barlow Semi Condensed" w:eastAsia="Barlow Semi Condensed" w:hAnsi="Barlow Semi Condensed"/>
          <w:sz w:val="24"/>
          <w:szCs w:val="24"/>
        </w:rPr>
        <w:t xml:space="preserve"> Al nodo M-9 il decennale della morte è collocato nell'Italia del 1977, pochi mesi prima di via Fani. È osservazione sul repertorio simbolico e sulla circolazione delle immagini. Non offre alcun appiglio onomastico verso il territorio boliviano, e chi ve lo cercasse dovrebbe produrre un documento che nomini insieme le due sponde. Il corpus non ne ha, e questa serie non ne inventa.</w:t>
      </w:r>
    </w:p>
    <w:p>
      <w:pPr>
        <w:spacing w:after="120" w:line="276"/>
        <w:jc w:val="both"/>
      </w:pPr>
      <w:r>
        <w:rPr>
          <w:rFonts w:ascii="Barlow Semi Condensed" w:cs="Barlow Semi Condensed" w:eastAsia="Barlow Semi Condensed" w:hAnsi="Barlow Semi Condensed"/>
          <w:b/>
          <w:bCs/>
          <w:sz w:val="24"/>
          <w:szCs w:val="24"/>
        </w:rPr>
        <w:t xml:space="preserve">1441 · L'asimmetria dentro una sola cella.</w:t>
      </w:r>
      <w:r>
        <w:rPr>
          <w:rFonts w:ascii="Barlow Semi Condensed" w:cs="Barlow Semi Condensed" w:eastAsia="Barlow Semi Condensed" w:hAnsi="Barlow Semi Condensed"/>
          <w:sz w:val="24"/>
          <w:szCs w:val="24"/>
        </w:rPr>
        <w:t xml:space="preserve"> Nella medesima cella il nodo M-5 accosta due elementi di grado incomparabile: la presenza di un agente a La Higuera, attestata da archivi declassificati, e un avvertimento riferito de relato e sempre smentito dall'interessato. Accostarli sotto un unico titolo produce, senza volerlo, un livellamento dei gradi. La divergenza si riporta: sono un accertamento e una testimonianza contestata, e tali restano.</w:t>
      </w:r>
    </w:p>
    <w:p>
      <w:pPr>
        <w:spacing w:after="120" w:line="276"/>
        <w:jc w:val="both"/>
      </w:pPr>
      <w:r>
        <w:rPr>
          <w:rFonts w:ascii="Barlow Semi Condensed" w:cs="Barlow Semi Condensed" w:eastAsia="Barlow Semi Condensed" w:hAnsi="Barlow Semi Condensed"/>
          <w:b/>
          <w:bCs/>
          <w:sz w:val="24"/>
          <w:szCs w:val="24"/>
        </w:rPr>
        <w:t xml:space="preserve">1442 · Come si corregge senza riscrivere.</w:t>
      </w:r>
      <w:r>
        <w:rPr>
          <w:rFonts w:ascii="Barlow Semi Condensed" w:cs="Barlow Semi Condensed" w:eastAsia="Barlow Semi Condensed" w:hAnsi="Barlow Semi Condensed"/>
          <w:sz w:val="24"/>
          <w:szCs w:val="24"/>
        </w:rPr>
        <w:t xml:space="preserve"> La regola dell'opera è nota: il testo originario resta leggibile e la correzione gli si affianca per nota. Applicata a M-5 significa lasciare la cella dov'è e aggiungervi la distinzione dei gradi, la smentita che il nodo non registrava e la citazione completa della raccolta declassificata. Tre note brevi, nessuna riscrittura silenziosa: è il modulo già fissato al blocco 624.</w:t>
      </w:r>
    </w:p>
    <w:p>
      <w:pPr>
        <w:spacing w:after="120" w:line="276"/>
        <w:jc w:val="both"/>
      </w:pPr>
      <w:r>
        <w:rPr>
          <w:rFonts w:ascii="Barlow Semi Condensed" w:cs="Barlow Semi Condensed" w:eastAsia="Barlow Semi Condensed" w:hAnsi="Barlow Semi Condensed"/>
          <w:b/>
          <w:bCs/>
          <w:sz w:val="24"/>
          <w:szCs w:val="24"/>
        </w:rPr>
        <w:t xml:space="preserve">1443 · Una frase senza provenienza.</w:t>
      </w:r>
      <w:r>
        <w:rPr>
          <w:rFonts w:ascii="Barlow Semi Condensed" w:cs="Barlow Semi Condensed" w:eastAsia="Barlow Semi Condensed" w:hAnsi="Barlow Semi Condensed"/>
          <w:sz w:val="24"/>
          <w:szCs w:val="24"/>
        </w:rPr>
        <w:t xml:space="preserve"> Circola attribuita a lui una battuta sull'America latina come pugnale puntato verso il polo antartico. Nessuna fonte primaria ne è mai stata prodotta, la formulazione varia a ogni ripresa e la paternità è contesa. È affermazione terziaria e si qualifica come tale: si registra la circolazione, non il contenuto, e non la si adopera mai per caratterizzare una posizione politica documentabile altrimenti.</w:t>
      </w:r>
    </w:p>
    <w:p>
      <w:pPr>
        <w:spacing w:after="120" w:line="276"/>
        <w:jc w:val="both"/>
      </w:pPr>
      <w:r>
        <w:rPr>
          <w:rFonts w:ascii="Barlow Semi Condensed" w:cs="Barlow Semi Condensed" w:eastAsia="Barlow Semi Condensed" w:hAnsi="Barlow Semi Condensed"/>
          <w:b/>
          <w:bCs/>
          <w:sz w:val="24"/>
          <w:szCs w:val="24"/>
        </w:rPr>
        <w:t xml:space="preserve">1444 · La frase riferita dal ministro cileno.</w:t>
      </w:r>
      <w:r>
        <w:rPr>
          <w:rFonts w:ascii="Barlow Semi Condensed" w:cs="Barlow Semi Condensed" w:eastAsia="Barlow Semi Condensed" w:hAnsi="Barlow Semi Condensed"/>
          <w:sz w:val="24"/>
          <w:szCs w:val="24"/>
        </w:rPr>
        <w:t xml:space="preserve"> Altra formula ricorrente, secondo cui nulla di importante verrebbe dal Sud, è riferita da un ministro degli Esteri cileno a proposito di un colloquio del giugno 1969. È testimonianza di parte, resa a distanza e mai confermata dall'interessato: stesso statuto della testimonianza contestata già fissato dall'opera. In più è posteriore di venti mesi alla morte di Guevara, dunque estranea a questo territorio anche se fosse esatta.</w:t>
      </w:r>
    </w:p>
    <w:p>
      <w:pPr>
        <w:spacing w:after="120" w:line="276"/>
        <w:jc w:val="both"/>
      </w:pPr>
      <w:r>
        <w:rPr>
          <w:rFonts w:ascii="Barlow Semi Condensed" w:cs="Barlow Semi Condensed" w:eastAsia="Barlow Semi Condensed" w:hAnsi="Barlow Semi Condensed"/>
          <w:b/>
          <w:bCs/>
          <w:sz w:val="24"/>
          <w:szCs w:val="24"/>
        </w:rPr>
        <w:t xml:space="preserve">1445 · La tesi non importata.</w:t>
      </w:r>
      <w:r>
        <w:rPr>
          <w:rFonts w:ascii="Barlow Semi Condensed" w:cs="Barlow Semi Condensed" w:eastAsia="Barlow Semi Condensed" w:hAnsi="Barlow Semi Condensed"/>
          <w:sz w:val="24"/>
          <w:szCs w:val="24"/>
        </w:rPr>
        <w:t xml:space="preserve"> Nella pubblicistica circola l'idea che la morte del Che sia stata decisa a Washington, e talvolta vi si aggiunge il nome qui triangolato. Nessun documento noto la sostiene, e la cronologia degli incarichi la rende materialmente inconsistente nella parte onomastica. Il capitolo boliviano del corpus non la riporta nemmeno per confutarla: colloca la decisione a La Paz e si ferma.</w:t>
      </w:r>
    </w:p>
    <w:p>
      <w:pPr>
        <w:spacing w:after="120" w:line="276"/>
        <w:jc w:val="both"/>
      </w:pPr>
      <w:r>
        <w:rPr>
          <w:rFonts w:ascii="Barlow Semi Condensed" w:cs="Barlow Semi Condensed" w:eastAsia="Barlow Semi Condensed" w:hAnsi="Barlow Semi Condensed"/>
          <w:b/>
          <w:bCs/>
          <w:sz w:val="24"/>
          <w:szCs w:val="24"/>
        </w:rPr>
        <w:t xml:space="preserve">1446 · Un'assenza che è una scelta.</w:t>
      </w:r>
      <w:r>
        <w:rPr>
          <w:rFonts w:ascii="Barlow Semi Condensed" w:cs="Barlow Semi Condensed" w:eastAsia="Barlow Semi Condensed" w:hAnsi="Barlow Semi Condensed"/>
          <w:sz w:val="24"/>
          <w:szCs w:val="24"/>
        </w:rPr>
        <w:t xml:space="preserve"> Che il capitolo non ospiti quella tesi è merito redazionale, e va detto, perché nella pubblicistica italiana sui casi oscuri il vizio opposto è frequente. Un testo che tace una suggestione non verificata non è reticente: è disciplinato. Questa serie ne prende atto e non introduce dalla porta della triangolazione ciò che l'autore del capitolo ha correttamente lasciato fuori dalla finestra.</w:t>
      </w:r>
    </w:p>
    <w:p>
      <w:pPr>
        <w:spacing w:after="120" w:line="276"/>
        <w:jc w:val="both"/>
      </w:pPr>
      <w:r>
        <w:rPr>
          <w:rFonts w:ascii="Barlow Semi Condensed" w:cs="Barlow Semi Condensed" w:eastAsia="Barlow Semi Condensed" w:hAnsi="Barlow Semi Condensed"/>
          <w:b/>
          <w:bCs/>
          <w:sz w:val="24"/>
          <w:szCs w:val="24"/>
        </w:rPr>
        <w:t xml:space="preserve">1447 · Replicazione senza informazione nuova.</w:t>
      </w:r>
      <w:r>
        <w:rPr>
          <w:rFonts w:ascii="Barlow Semi Condensed" w:cs="Barlow Semi Condensed" w:eastAsia="Barlow Semi Condensed" w:hAnsi="Barlow Semi Condensed"/>
          <w:sz w:val="24"/>
          <w:szCs w:val="24"/>
        </w:rPr>
        <w:t xml:space="preserve"> Decine di riprese identiche, ha già misurato l'opera sul versante Moro, risalgono a un unico lancio d'agenzia del 30 novembre 2023. La stessa misura va applicata a ogni affermazione terziaria di questo territorio: si risale alla prima occorrenza e si conta quante fonti indipendenti esistano davvero. Il numero delle ripetizioni non è un grado, e trattarlo come tale è il falso più diffuso.</w:t>
      </w:r>
    </w:p>
    <w:p>
      <w:pPr>
        <w:spacing w:after="120" w:line="276"/>
        <w:jc w:val="both"/>
      </w:pPr>
      <w:r>
        <w:rPr>
          <w:rFonts w:ascii="Barlow Semi Condensed" w:cs="Barlow Semi Condensed" w:eastAsia="Barlow Semi Condensed" w:hAnsi="Barlow Semi Condensed"/>
          <w:b/>
          <w:bCs/>
          <w:sz w:val="24"/>
          <w:szCs w:val="24"/>
        </w:rPr>
        <w:t xml:space="preserve">1448 · Il correttivo di segno opposto.</w:t>
      </w:r>
      <w:r>
        <w:rPr>
          <w:rFonts w:ascii="Barlow Semi Condensed" w:cs="Barlow Semi Condensed" w:eastAsia="Barlow Semi Condensed" w:hAnsi="Barlow Semi Condensed"/>
          <w:sz w:val="24"/>
          <w:szCs w:val="24"/>
        </w:rPr>
        <w:t xml:space="preserve"> La divergenza D-4 avverte che sul Che pesa l'agiografia di Stato cubana e su Moro la dietrologia italiana, e che i due correttivi hanno segno diverso. Sul territorio boliviano il rischio è dunque duplice: enfatizzare la mano straniera per riscattare la sconfitta militare, oppure negarla per liquidare il mito. Entrambe le pressioni si riconoscono e si dichiarano prima di leggere, non dopo.</w:t>
      </w:r>
    </w:p>
    <w:p>
      <w:pPr>
        <w:spacing w:after="120" w:line="276"/>
        <w:jc w:val="both"/>
      </w:pPr>
      <w:r>
        <w:rPr>
          <w:rFonts w:ascii="Barlow Semi Condensed" w:cs="Barlow Semi Condensed" w:eastAsia="Barlow Semi Condensed" w:hAnsi="Barlow Semi Condensed"/>
          <w:b/>
          <w:bCs/>
          <w:sz w:val="24"/>
          <w:szCs w:val="24"/>
        </w:rPr>
        <w:t xml:space="preserve">1449 · Le due fonti che il committente esclude.</w:t>
      </w:r>
      <w:r>
        <w:rPr>
          <w:rFonts w:ascii="Barlow Semi Condensed" w:cs="Barlow Semi Condensed" w:eastAsia="Barlow Semi Condensed" w:hAnsi="Barlow Semi Condensed"/>
          <w:sz w:val="24"/>
          <w:szCs w:val="24"/>
        </w:rPr>
        <w:t xml:space="preserve"> Il perimetro delle fonti è fissato dal committente e comprende due esclusioni esplicite, che questa serie rispetta integralmente. L'esclusione non implica giudizio sul contenuto: implica che nulla di quanto qui si afferma poggia su di esse. Vale la pena dirlo su un territorio dove le riprese militanti abbondano e dove la tentazione di citare per accumulo è più forte che altrove.</w:t>
      </w:r>
    </w:p>
    <w:p>
      <w:pPr>
        <w:spacing w:after="120" w:line="276"/>
        <w:jc w:val="both"/>
      </w:pPr>
      <w:r>
        <w:rPr>
          <w:rFonts w:ascii="Barlow Semi Condensed" w:cs="Barlow Semi Condensed" w:eastAsia="Barlow Semi Condensed" w:hAnsi="Barlow Semi Condensed"/>
          <w:b/>
          <w:bCs/>
          <w:sz w:val="24"/>
          <w:szCs w:val="24"/>
        </w:rPr>
        <w:t xml:space="preserve">1450 · Come si qualifica una terziaria.</w:t>
      </w:r>
      <w:r>
        <w:rPr>
          <w:rFonts w:ascii="Barlow Semi Condensed" w:cs="Barlow Semi Condensed" w:eastAsia="Barlow Semi Condensed" w:hAnsi="Barlow Semi Condensed"/>
          <w:sz w:val="24"/>
          <w:szCs w:val="24"/>
        </w:rPr>
        <w:t xml:space="preserve"> Regola di lettura applicabile e ripetibile: si isola l'affermazione, si cerca la prima occorrenza databile, si verifica se esista un documento di provenienza, si dichiara il piano. Se il documento manca, l'affermazione resta al piano 3 e si scrive con il verbo giusto, cioè si riferisce, circola, è attribuita, mai con il verbo dell'accertamento. La scelta del verbo è già metà del grado.</w:t>
      </w:r>
    </w:p>
    <w:p>
      <w:pPr>
        <w:spacing w:after="120" w:line="276"/>
        <w:jc w:val="both"/>
      </w:pPr>
      <w:r>
        <w:rPr>
          <w:rFonts w:ascii="Barlow Semi Condensed" w:cs="Barlow Semi Condensed" w:eastAsia="Barlow Semi Condensed" w:hAnsi="Barlow Semi Condensed"/>
          <w:b/>
          <w:bCs/>
          <w:sz w:val="24"/>
          <w:szCs w:val="24"/>
        </w:rPr>
        <w:t xml:space="preserve">1451 · Che cosa chiuderebbe questo Stato Zero.</w:t>
      </w:r>
      <w:r>
        <w:rPr>
          <w:rFonts w:ascii="Barlow Semi Condensed" w:cs="Barlow Semi Condensed" w:eastAsia="Barlow Semi Condensed" w:hAnsi="Barlow Semi Condensed"/>
          <w:sz w:val="24"/>
          <w:szCs w:val="24"/>
        </w:rPr>
        <w:t xml:space="preserve"> Bersaglio di smentita, formulato per essere cercato: un documento datato fra il novembre 1966 e l'ottobre 1967, di provenienza governativa o di consulenza, che rechi il cognome triangolato in un fascicolo boliviano. Un appunto, una lista di distribuzione, un verbale di riunione. Uno solo basterebbe a spostare la serie dal piano zero al piano 1. Finché non compare, l'assenza è l'accertamento.</w:t>
      </w:r>
    </w:p>
    <w:p>
      <w:pPr>
        <w:spacing w:after="120" w:line="276"/>
        <w:jc w:val="both"/>
      </w:pPr>
      <w:r>
        <w:rPr>
          <w:rFonts w:ascii="Barlow Semi Condensed" w:cs="Barlow Semi Condensed" w:eastAsia="Barlow Semi Condensed" w:hAnsi="Barlow Semi Condensed"/>
          <w:b/>
          <w:bCs/>
          <w:sz w:val="24"/>
          <w:szCs w:val="24"/>
        </w:rPr>
        <w:t xml:space="preserve">1452 · Che cosa invece non lo chiuderebbe.</w:t>
      </w:r>
      <w:r>
        <w:rPr>
          <w:rFonts w:ascii="Barlow Semi Condensed" w:cs="Barlow Semi Condensed" w:eastAsia="Barlow Semi Condensed" w:hAnsi="Barlow Semi Condensed"/>
          <w:sz w:val="24"/>
          <w:szCs w:val="24"/>
        </w:rPr>
        <w:t xml:space="preserve"> Non basterebbero un ricordo pubblicato decenni dopo, un'intervista retrospettiva, un giudizio d'autore, né un documento posteriore che discuta il 1967 senza esserne coevo. Sono materiali legittimi per la storia della memoria e inservibili per il piano 1. La distinzione è la stessa che l'opera applica al verbale del 25 settembre 1974, dove conta ciò che l'atto contiene, non ciò che se ne dice.</w:t>
      </w:r>
    </w:p>
    <w:p>
      <w:pPr>
        <w:spacing w:after="120" w:line="276"/>
        <w:jc w:val="both"/>
      </w:pPr>
      <w:r>
        <w:rPr>
          <w:rFonts w:ascii="Barlow Semi Condensed" w:cs="Barlow Semi Condensed" w:eastAsia="Barlow Semi Condensed" w:hAnsi="Barlow Semi Condensed"/>
          <w:b/>
          <w:bCs/>
          <w:sz w:val="24"/>
          <w:szCs w:val="24"/>
        </w:rPr>
        <w:t xml:space="preserve">1453 · Il grado di una valutazione informativa.</w:t>
      </w:r>
      <w:r>
        <w:rPr>
          <w:rFonts w:ascii="Barlow Semi Condensed" w:cs="Barlow Semi Condensed" w:eastAsia="Barlow Semi Condensed" w:hAnsi="Barlow Semi Condensed"/>
          <w:sz w:val="24"/>
          <w:szCs w:val="24"/>
        </w:rPr>
        <w:t xml:space="preserve"> Se dai fondi emergesse un rapporto di servizio che nomina qualcuno, entrerebbe col grado della propria natura: una valutazione informativa è un'ipotesi formulata da un apparato, non un accertamento. L'opera lo ha già fissato, e la regola non cambia perché il teatro è boliviano. Un documento autentico può contenere un'affermazione falsa: autenticità dell'atto e verità del contenuto sono due gradi distinti.</w:t>
      </w:r>
    </w:p>
    <w:p>
      <w:pPr>
        <w:spacing w:after="120" w:line="276"/>
        <w:jc w:val="both"/>
      </w:pPr>
      <w:r>
        <w:rPr>
          <w:rFonts w:ascii="Barlow Semi Condensed" w:cs="Barlow Semi Condensed" w:eastAsia="Barlow Semi Condensed" w:hAnsi="Barlow Semi Condensed"/>
          <w:b/>
          <w:bCs/>
          <w:sz w:val="24"/>
          <w:szCs w:val="24"/>
        </w:rPr>
        <w:t xml:space="preserve">1454 · Dall'operativo non si sale al vertice.</w:t>
      </w:r>
      <w:r>
        <w:rPr>
          <w:rFonts w:ascii="Barlow Semi Condensed" w:cs="Barlow Semi Condensed" w:eastAsia="Barlow Semi Condensed" w:hAnsi="Barlow Semi Condensed"/>
          <w:sz w:val="24"/>
          <w:szCs w:val="24"/>
        </w:rPr>
        <w:t xml:space="preserve"> La presenza accertata di un agente sul terreno consente di dire che un'agenzia era presente, non che un ufficio di Washington abbia deciso, e meno ancora quale persona. Salire dalla presenza operativa alla responsabilità di vertice richiede la catena documentale intera, anello per anello. Il capitolo boliviano nomina il primo anello e non pretende gli altri: è il comportamento corretto, e va imitato.</w:t>
      </w:r>
    </w:p>
    <w:p>
      <w:pPr>
        <w:spacing w:after="120" w:line="276"/>
        <w:jc w:val="both"/>
      </w:pPr>
      <w:r>
        <w:rPr>
          <w:rFonts w:ascii="Barlow Semi Condensed" w:cs="Barlow Semi Condensed" w:eastAsia="Barlow Semi Condensed" w:hAnsi="Barlow Semi Condensed"/>
          <w:b/>
          <w:bCs/>
          <w:sz w:val="24"/>
          <w:szCs w:val="24"/>
        </w:rPr>
        <w:t xml:space="preserve">1455 · Appartenenza, scuola, consulenza.</w:t>
      </w:r>
      <w:r>
        <w:rPr>
          <w:rFonts w:ascii="Barlow Semi Condensed" w:cs="Barlow Semi Condensed" w:eastAsia="Barlow Semi Condensed" w:hAnsi="Barlow Semi Condensed"/>
          <w:sz w:val="24"/>
          <w:szCs w:val="24"/>
        </w:rPr>
        <w:t xml:space="preserve"> Insegnare in una certa università, sedere in certi gruppi di studio, avere consulenze presso certe agenzie non dice nulla su ciò che un uomo fece o non fece. L'opera lo ha stabilito come divieto generale, e qui produce un effetto pratico: gli accertamenti sull'ambiente accademico del 1966-1967 servono a collocare l'uomo nello spazio, non a caricarlo di alcun atto.</w:t>
      </w:r>
    </w:p>
    <w:p>
      <w:pPr>
        <w:spacing w:after="120" w:line="276"/>
        <w:jc w:val="both"/>
      </w:pPr>
      <w:r>
        <w:rPr>
          <w:rFonts w:ascii="Barlow Semi Condensed" w:cs="Barlow Semi Condensed" w:eastAsia="Barlow Semi Condensed" w:hAnsi="Barlow Semi Condensed"/>
          <w:b/>
          <w:bCs/>
          <w:sz w:val="24"/>
          <w:szCs w:val="24"/>
        </w:rPr>
        <w:t xml:space="preserve">1456 · L'età, la data, la distanza.</w:t>
      </w:r>
      <w:r>
        <w:rPr>
          <w:rFonts w:ascii="Barlow Semi Condensed" w:cs="Barlow Semi Condensed" w:eastAsia="Barlow Semi Condensed" w:hAnsi="Barlow Semi Condensed"/>
          <w:sz w:val="24"/>
          <w:szCs w:val="24"/>
        </w:rPr>
        <w:t xml:space="preserve"> Nel novembre 1966 l'uomo aveva quarantatré anni, essendo nato a Fürth il 27 maggio 1923; Guevara ne aveva trentotto, con la divergenza fra il 14 giugno e il 14 maggio 1928 registrata al nodo I-1. Erano contemporanei, e null'altro. Ricordare l'anagrafe serve qui a una cosa sola: mostrare che la contemporaneità, presa da sola, non ha mai prodotto un nesso.</w:t>
      </w:r>
    </w:p>
    <w:p>
      <w:pPr>
        <w:spacing w:after="120" w:line="276"/>
        <w:jc w:val="both"/>
      </w:pPr>
      <w:r>
        <w:rPr>
          <w:rFonts w:ascii="Barlow Semi Condensed" w:cs="Barlow Semi Condensed" w:eastAsia="Barlow Semi Condensed" w:hAnsi="Barlow Semi Condensed"/>
          <w:b/>
          <w:bCs/>
          <w:sz w:val="24"/>
          <w:szCs w:val="24"/>
        </w:rPr>
        <w:t xml:space="preserve">1457 · Il test dell'omologia, applicato qui.</w:t>
      </w:r>
      <w:r>
        <w:rPr>
          <w:rFonts w:ascii="Barlow Semi Condensed" w:cs="Barlow Semi Condensed" w:eastAsia="Barlow Semi Condensed" w:hAnsi="Barlow Semi Condensed"/>
          <w:sz w:val="24"/>
          <w:szCs w:val="24"/>
        </w:rPr>
        <w:t xml:space="preserve"> Il test è uno e non è retorico: un documento di provenienza che nomini la controparte. Sul territorio boliviano non ne esiste alcuno che nomini insieme la campagna e il nome triangolato. Ne segue che ogni somiglianza strutturale fra questa vicenda e le vicende italiane resta analogia. Le analogie si possono descrivere, confrontare, perfino ammirare; non si promuovono mai a discendenza.</w:t>
      </w:r>
    </w:p>
    <w:p>
      <w:pPr>
        <w:spacing w:after="120" w:line="276"/>
        <w:jc w:val="both"/>
      </w:pPr>
      <w:r>
        <w:rPr>
          <w:rFonts w:ascii="Barlow Semi Condensed" w:cs="Barlow Semi Condensed" w:eastAsia="Barlow Semi Condensed" w:hAnsi="Barlow Semi Condensed"/>
          <w:b/>
          <w:bCs/>
          <w:sz w:val="24"/>
          <w:szCs w:val="24"/>
        </w:rPr>
        <w:t xml:space="preserve">1458 · Il silenzio non è una smentita.</w:t>
      </w:r>
      <w:r>
        <w:rPr>
          <w:rFonts w:ascii="Barlow Semi Condensed" w:cs="Barlow Semi Condensed" w:eastAsia="Barlow Semi Condensed" w:hAnsi="Barlow Semi Condensed"/>
          <w:sz w:val="24"/>
          <w:szCs w:val="24"/>
        </w:rPr>
        <w:t xml:space="preserve"> A proposito del verbale del 25 settembre 1974 l'opera ha già insegnato che l'assenza di una frase da un documento non prova né la falsità né la verità dell'episodio. La stessa cautela si applica ai fondi boliviani e americani: non aver trovato non equivale ad accertare che non ci sia. Per questo ogni Stato Zero di questa serie si scrive con la sede che lo chiuderebbe.</w:t>
      </w:r>
    </w:p>
    <w:p>
      <w:pPr>
        <w:spacing w:after="120" w:line="276"/>
        <w:jc w:val="both"/>
      </w:pPr>
      <w:r>
        <w:rPr>
          <w:rFonts w:ascii="Barlow Semi Condensed" w:cs="Barlow Semi Condensed" w:eastAsia="Barlow Semi Condensed" w:hAnsi="Barlow Semi Condensed"/>
          <w:b/>
          <w:bCs/>
          <w:sz w:val="24"/>
          <w:szCs w:val="24"/>
        </w:rPr>
        <w:t xml:space="preserve">1459 · Perché qui il negativo pesa di più.</w:t>
      </w:r>
      <w:r>
        <w:rPr>
          <w:rFonts w:ascii="Barlow Semi Condensed" w:cs="Barlow Semi Condensed" w:eastAsia="Barlow Semi Condensed" w:hAnsi="Barlow Semi Condensed"/>
          <w:sz w:val="24"/>
          <w:szCs w:val="24"/>
        </w:rPr>
        <w:t xml:space="preserve"> Con una differenza, che va detta per intero: nel caso del 1974 mancava un documento a fronte di un uomo in carica; qui manca il documento e manca anche la carica. Un'assenza documentale sommata a un'impossibilità istituzionale produce un negativo più robusto di ciascuno dei due elementi. Non è certezza: è la migliore approssimazione che il territorio consenta, e come tale si dichiara.</w:t>
      </w:r>
    </w:p>
    <w:p>
      <w:pPr>
        <w:spacing w:after="120" w:line="276"/>
        <w:jc w:val="both"/>
      </w:pPr>
      <w:r>
        <w:rPr>
          <w:rFonts w:ascii="Barlow Semi Condensed" w:cs="Barlow Semi Condensed" w:eastAsia="Barlow Semi Condensed" w:hAnsi="Barlow Semi Condensed"/>
          <w:b/>
          <w:bCs/>
          <w:sz w:val="24"/>
          <w:szCs w:val="24"/>
        </w:rPr>
        <w:t xml:space="preserve">1460 · Il residuo che resta aperto.</w:t>
      </w:r>
      <w:r>
        <w:rPr>
          <w:rFonts w:ascii="Barlow Semi Condensed" w:cs="Barlow Semi Condensed" w:eastAsia="Barlow Semi Condensed" w:hAnsi="Barlow Semi Condensed"/>
          <w:sz w:val="24"/>
          <w:szCs w:val="24"/>
        </w:rPr>
        <w:t xml:space="preserve"> Resta un residuo, ed è onesto tenerlo aperto: un privato cittadino con consulenze governative può scrivere un appunto senza avere alcun ufficio. È l'unica via per cui questa serie potrebbe un giorno cambiare esito. La sede è nominata più sopra, il quesito è formulato, l'attesa è nulla. Un'attesa nulla non è mai una scusa per non porre la domanda.</w:t>
      </w:r>
    </w:p>
    <w:p>
      <w:pPr>
        <w:spacing w:after="120" w:line="276"/>
        <w:jc w:val="both"/>
      </w:pPr>
      <w:r>
        <w:rPr>
          <w:rFonts w:ascii="Barlow Semi Condensed" w:cs="Barlow Semi Condensed" w:eastAsia="Barlow Semi Condensed" w:hAnsi="Barlow Semi Condensed"/>
          <w:b/>
          <w:bCs/>
          <w:sz w:val="24"/>
          <w:szCs w:val="24"/>
        </w:rPr>
        <w:t xml:space="preserve">1461 · Che cosa questa serie ha stabilito (serie XIX).</w:t>
      </w:r>
      <w:r>
        <w:rPr>
          <w:rFonts w:ascii="Barlow Semi Condensed" w:cs="Barlow Semi Condensed" w:eastAsia="Barlow Semi Condensed" w:hAnsi="Barlow Semi Condensed"/>
          <w:sz w:val="24"/>
          <w:szCs w:val="24"/>
        </w:rPr>
        <w:t xml:space="preserve"> Si è stabilito che il territorio assegnato non nomina mai l'uomo triangolato; che negli undici mesi della campagna egli non deteneva alcuna carica pubblica; che l'unico americano nominato dal capitolo è un operativo sul terreno; che la decisione di uccidere è collocata dal capitolo a La Paz; e che la puntellatura documentale del capitolo, sul versante statunitense, è la più debole del corpus guevariano.</w:t>
      </w:r>
    </w:p>
    <w:p>
      <w:pPr>
        <w:spacing w:after="120" w:line="276"/>
        <w:jc w:val="both"/>
      </w:pPr>
      <w:r>
        <w:rPr>
          <w:rFonts w:ascii="Barlow Semi Condensed" w:cs="Barlow Semi Condensed" w:eastAsia="Barlow Semi Condensed" w:hAnsi="Barlow Semi Condensed"/>
          <w:b/>
          <w:bCs/>
          <w:sz w:val="24"/>
          <w:szCs w:val="24"/>
        </w:rPr>
        <w:t xml:space="preserve">1462 · Che cosa non ha stabilito.</w:t>
      </w:r>
      <w:r>
        <w:rPr>
          <w:rFonts w:ascii="Barlow Semi Condensed" w:cs="Barlow Semi Condensed" w:eastAsia="Barlow Semi Condensed" w:hAnsi="Barlow Semi Condensed"/>
          <w:sz w:val="24"/>
          <w:szCs w:val="24"/>
        </w:rPr>
        <w:t xml:space="preserve"> Non è stabilito che rapporti non siano mai esistiti, perché i fondi non sono stati aperti e una ricerca non condotta non è un esito. Non è stabilito nulla sulla catena decisionale americana del 1967, che resta materia per Austin e per College Park. E non è stato tolto né aggiunto un grammo al nodo M-5, che resta conteso esattamente com'era.</w:t>
      </w:r>
    </w:p>
    <w:p>
      <w:pPr>
        <w:spacing w:after="120" w:line="276"/>
        <w:jc w:val="both"/>
      </w:pPr>
      <w:r>
        <w:rPr>
          <w:rFonts w:ascii="Barlow Semi Condensed" w:cs="Barlow Semi Condensed" w:eastAsia="Barlow Semi Condensed" w:hAnsi="Barlow Semi Condensed"/>
          <w:b/>
          <w:bCs/>
          <w:sz w:val="24"/>
          <w:szCs w:val="24"/>
        </w:rPr>
        <w:t xml:space="preserve">1463 · La tavola dei gradi di questa serie.</w:t>
      </w:r>
      <w:r>
        <w:rPr>
          <w:rFonts w:ascii="Barlow Semi Condensed" w:cs="Barlow Semi Condensed" w:eastAsia="Barlow Semi Condensed" w:hAnsi="Barlow Semi Condensed"/>
          <w:sz w:val="24"/>
          <w:szCs w:val="24"/>
        </w:rPr>
        <w:t xml:space="preserve"> Il bilancio si scrive in numeri: nessun blocco di piano 1 relativo al nome triangolato; alcune convergenze di piano 2, tutte dichiarate come cornice e mai come nesso; tre affermazioni terziarie qualificate e lasciate al loro piano; e una larga maggioranza di Stati Zero, ciascuno con la sede che lo chiuderebbe. È la distribuzione attesa, ed è il risultato corretto.</w:t>
      </w:r>
    </w:p>
    <w:p>
      <w:pPr>
        <w:spacing w:after="120" w:line="276"/>
        <w:jc w:val="both"/>
      </w:pPr>
      <w:r>
        <w:rPr>
          <w:rFonts w:ascii="Barlow Semi Condensed" w:cs="Barlow Semi Condensed" w:eastAsia="Barlow Semi Condensed" w:hAnsi="Barlow Semi Condensed"/>
          <w:b/>
          <w:bCs/>
          <w:sz w:val="24"/>
          <w:szCs w:val="24"/>
        </w:rPr>
        <w:t xml:space="preserve">1464 · Il lascito operativo, in ordine.</w:t>
      </w:r>
      <w:r>
        <w:rPr>
          <w:rFonts w:ascii="Barlow Semi Condensed" w:cs="Barlow Semi Condensed" w:eastAsia="Barlow Semi Condensed" w:hAnsi="Barlow Semi Condensed"/>
          <w:sz w:val="24"/>
          <w:szCs w:val="24"/>
        </w:rPr>
        <w:t xml:space="preserve"> Chi riprenderà questa serie trova una fila di sedi già ordinata per rendimento decrescente: il volume FRUS sull'America meridionale, la biblioteca presidenziale di Austin, i National Archives di College Park, i lot files dei consulenti, Yale per gli anni anteriori all'incarico, il Rockefeller Archive Center, Princeton per i gruppi di studio, e i tre archivi boliviani mai interrogati. L'ordine è parte del metodo.</w:t>
      </w:r>
    </w:p>
    <w:p>
      <w:pPr>
        <w:spacing w:after="120" w:line="276"/>
        <w:jc w:val="both"/>
      </w:pPr>
      <w:r>
        <w:rPr>
          <w:rFonts w:ascii="Barlow Semi Condensed" w:cs="Barlow Semi Condensed" w:eastAsia="Barlow Semi Condensed" w:hAnsi="Barlow Semi Condensed"/>
          <w:b/>
          <w:bCs/>
          <w:sz w:val="24"/>
          <w:szCs w:val="24"/>
        </w:rPr>
        <w:t xml:space="preserve">1465 · L'ultima riga, senza ponte.</w:t>
      </w:r>
      <w:r>
        <w:rPr>
          <w:rFonts w:ascii="Barlow Semi Condensed" w:cs="Barlow Semi Condensed" w:eastAsia="Barlow Semi Condensed" w:hAnsi="Barlow Semi Condensed"/>
          <w:sz w:val="24"/>
          <w:szCs w:val="24"/>
        </w:rPr>
        <w:t xml:space="preserve"> Alla fossa di Vallegrande si chiude la parabola di un uomo e comincia quella di un'immagine: così finisce il capitolo, e questa serie non aggiunge a quella fine altro nome che quelli che il capitolo già porta. Il codice trasmesso in Italia fu un'immagine e un libro. La trasmissione ebbe vettori accertati, e nessuno di essi porta il nome intorno al quale l'opera è costruita.</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Serie ventesima — Guevara: bibliografia critica e triangolazioni</w:t>
      </w:r>
    </w:p>
    <w:p>
      <w:pPr>
        <w:spacing w:after="120" w:line="276"/>
        <w:jc w:val="both"/>
      </w:pPr>
      <w:r>
        <w:rPr>
          <w:rFonts w:ascii="Barlow Semi Condensed" w:cs="Barlow Semi Condensed" w:eastAsia="Barlow Semi Condensed" w:hAnsi="Barlow Semi Condensed"/>
          <w:i/>
          <w:iCs/>
          <w:sz w:val="24"/>
          <w:szCs w:val="24"/>
        </w:rPr>
        <w:t xml:space="preserve">Blocchi 1466-1540.</w:t>
      </w:r>
    </w:p>
    <w:p>
      <w:pPr>
        <w:spacing w:after="120" w:line="276"/>
        <w:jc w:val="both"/>
      </w:pPr>
      <w:r>
        <w:rPr>
          <w:rFonts w:ascii="Barlow Semi Condensed" w:cs="Barlow Semi Condensed" w:eastAsia="Barlow Semi Condensed" w:hAnsi="Barlow Semi Condensed"/>
          <w:b/>
          <w:bCs/>
          <w:sz w:val="24"/>
          <w:szCs w:val="24"/>
        </w:rPr>
        <w:t xml:space="preserve">1466 · Il conteggio nella bibliografia critica.</w:t>
      </w:r>
      <w:r>
        <w:rPr>
          <w:rFonts w:ascii="Barlow Semi Condensed" w:cs="Barlow Semi Condensed" w:eastAsia="Barlow Semi Condensed" w:hAnsi="Barlow Semi Condensed"/>
          <w:sz w:val="24"/>
          <w:szCs w:val="24"/>
        </w:rPr>
        <w:t xml:space="preserve"> La verifica meccanica su guevara-bibliografia-critica.md dà zero: la stringa del nome non compare in alcuna forma, né maiuscola né minuscola, in nessuna delle cinque sezioni di rango. Non è un'impressione di lettura, è un conteggio ripetibile da chiunque disponga del file. Si verbalizza come Stato Zero pieno: l'apparato delle fonti guevariane non registra alcuna opera che nomini il soggetto di quest'opera.</w:t>
      </w:r>
    </w:p>
    <w:p>
      <w:pPr>
        <w:spacing w:after="120" w:line="276"/>
        <w:jc w:val="both"/>
      </w:pPr>
      <w:r>
        <w:rPr>
          <w:rFonts w:ascii="Barlow Semi Condensed" w:cs="Barlow Semi Condensed" w:eastAsia="Barlow Semi Condensed" w:hAnsi="Barlow Semi Condensed"/>
          <w:b/>
          <w:bCs/>
          <w:sz w:val="24"/>
          <w:szCs w:val="24"/>
        </w:rPr>
        <w:t xml:space="preserve">1467 · Le cinque sezioni, una per una.</w:t>
      </w:r>
      <w:r>
        <w:rPr>
          <w:rFonts w:ascii="Barlow Semi Condensed" w:cs="Barlow Semi Condensed" w:eastAsia="Barlow Semi Condensed" w:hAnsi="Barlow Semi Condensed"/>
          <w:sz w:val="24"/>
          <w:szCs w:val="24"/>
        </w:rPr>
        <w:t xml:space="preserve"> L'interrogazione va disaggregata per rango, perché uno zero aggregato nasconde dove si è cercato. Nove voci primarie, sei accademiche, tre giornalistiche qualificate, una enciclopedica, sette righe nella tabella delle fonti espunte: ventisei ingressi distinti, nessuno dei quali riguarda il nome. Il perimetro della ricerca è dunque dichiarato per intero, ed è questa dichiarazione, non la cifra, a rendere l'esito negativo un'acquisizione.</w:t>
      </w:r>
    </w:p>
    <w:p>
      <w:pPr>
        <w:spacing w:after="120" w:line="276"/>
        <w:jc w:val="both"/>
      </w:pPr>
      <w:r>
        <w:rPr>
          <w:rFonts w:ascii="Barlow Semi Condensed" w:cs="Barlow Semi Condensed" w:eastAsia="Barlow Semi Condensed" w:hAnsi="Barlow Semi Condensed"/>
          <w:b/>
          <w:bCs/>
          <w:sz w:val="24"/>
          <w:szCs w:val="24"/>
        </w:rPr>
        <w:t xml:space="preserve">1468 · Sezione prima, nessun testo dell'attore.</w:t>
      </w:r>
      <w:r>
        <w:rPr>
          <w:rFonts w:ascii="Barlow Semi Condensed" w:cs="Barlow Semi Condensed" w:eastAsia="Barlow Semi Condensed" w:hAnsi="Barlow Semi Condensed"/>
          <w:sz w:val="24"/>
          <w:szCs w:val="24"/>
        </w:rPr>
        <w:t xml:space="preserve"> Le nove voci primarie sono parole o registrazioni di Ernesto Guevara: il diario boliviano, i Pasajes cubani e congolesi, il discorso all'ONU dell'11 dicembre 1964, quello di Algeri del 24 febbraio 1965, la lettera d'addio, gli articoli allergologici messicani. Nessuna nomina la controparte qui studiata. La sede che chiuderebbe il punto non è cubana ma statunitense: la serie FRUS e l'Office of the Historian, dove i testi dell'altro attore sono editi.</w:t>
      </w:r>
    </w:p>
    <w:p>
      <w:pPr>
        <w:spacing w:after="120" w:line="276"/>
        <w:jc w:val="both"/>
      </w:pPr>
      <w:r>
        <w:rPr>
          <w:rFonts w:ascii="Barlow Semi Condensed" w:cs="Barlow Semi Condensed" w:eastAsia="Barlow Semi Condensed" w:hAnsi="Barlow Semi Condensed"/>
          <w:b/>
          <w:bCs/>
          <w:sz w:val="24"/>
          <w:szCs w:val="24"/>
        </w:rPr>
        <w:t xml:space="preserve">1469 · Lo spoglio degli indici biografici.</w:t>
      </w:r>
      <w:r>
        <w:rPr>
          <w:rFonts w:ascii="Barlow Semi Condensed" w:cs="Barlow Semi Condensed" w:eastAsia="Barlow Semi Condensed" w:hAnsi="Barlow Semi Condensed"/>
          <w:sz w:val="24"/>
          <w:szCs w:val="24"/>
        </w:rPr>
        <w:t xml:space="preserve"> Anderson, Taibo II e Castañeda costituiscono l'ossatura storiografica del corpus guevariano, e nessuno dei tre vi è citato per un rapporto con il vertice di Washington. Il bersaglio è di spoglio e non di lettura: verificare, indice dei nomi alla mano sull'esemplare e non sulla fama, se il nome compaia nelle tre biografie e a quale pagina. Se non compare, lo Stato Zero si estende dalla bibliografia alle sue fonti.</w:t>
      </w:r>
    </w:p>
    <w:p>
      <w:pPr>
        <w:spacing w:after="120" w:line="276"/>
        <w:jc w:val="both"/>
      </w:pPr>
      <w:r>
        <w:rPr>
          <w:rFonts w:ascii="Barlow Semi Condensed" w:cs="Barlow Semi Condensed" w:eastAsia="Barlow Semi Condensed" w:hAnsi="Barlow Semi Condensed"/>
          <w:b/>
          <w:bCs/>
          <w:sz w:val="24"/>
          <w:szCs w:val="24"/>
        </w:rPr>
        <w:t xml:space="preserve">1470 · The Citizen, la CBS, la Bolivia.</w:t>
      </w:r>
      <w:r>
        <w:rPr>
          <w:rFonts w:ascii="Barlow Semi Condensed" w:cs="Barlow Semi Condensed" w:eastAsia="Barlow Semi Condensed" w:hAnsi="Barlow Semi Condensed"/>
          <w:sz w:val="24"/>
          <w:szCs w:val="24"/>
        </w:rPr>
        <w:t xml:space="preserve"> Le tre voci giornalistiche qualificate coprono l'attentato del bazooka dell'11 dicembre 1964, l'intervista a Face the Nation del 13 dicembre e la cronologia boliviana del 1967. Sono cronaca di eventi in cui il soggetto di quest'opera non figura per carica né per presenza. Il quesito derivato è circoscritto: l'archivio della rete televisiva conserva la trascrizione integrale della puntata, e solo quella direbbe chi vi fu nominato.</w:t>
      </w:r>
    </w:p>
    <w:p>
      <w:pPr>
        <w:spacing w:after="120" w:line="276"/>
        <w:jc w:val="both"/>
      </w:pPr>
      <w:r>
        <w:rPr>
          <w:rFonts w:ascii="Barlow Semi Condensed" w:cs="Barlow Semi Condensed" w:eastAsia="Barlow Semi Condensed" w:hAnsi="Barlow Semi Condensed"/>
          <w:b/>
          <w:bCs/>
          <w:sz w:val="24"/>
          <w:szCs w:val="24"/>
        </w:rPr>
        <w:t xml:space="preserve">1471 · L'uso confinato dell'enciclopedia.</w:t>
      </w:r>
      <w:r>
        <w:rPr>
          <w:rFonts w:ascii="Barlow Semi Condensed" w:cs="Barlow Semi Condensed" w:eastAsia="Barlow Semi Condensed" w:hAnsi="Barlow Semi Condensed"/>
          <w:sz w:val="24"/>
          <w:szCs w:val="24"/>
        </w:rPr>
        <w:t xml:space="preserve"> L'unica voce di rango enciclopedico è dichiarata con una clausola che vale come regola: adoperata soltanto per fatti non controversi e mai come fonte unica di un'attribuzione contestata. È esattamente la disciplina che il presunto avvertimento del 1974 esige, e che le riprese giornalistiche di quell'episodio non hanno osservato. Il territorio guevariano offre qui una regola più severa di quella applicata al versante moroteo.</w:t>
      </w:r>
    </w:p>
    <w:p>
      <w:pPr>
        <w:spacing w:after="120" w:line="276"/>
        <w:jc w:val="both"/>
      </w:pPr>
      <w:r>
        <w:rPr>
          <w:rFonts w:ascii="Barlow Semi Condensed" w:cs="Barlow Semi Condensed" w:eastAsia="Barlow Semi Condensed" w:hAnsi="Barlow Semi Condensed"/>
          <w:b/>
          <w:bCs/>
          <w:sz w:val="24"/>
          <w:szCs w:val="24"/>
        </w:rPr>
        <w:t xml:space="preserve">1472 · Sette righe di trasparenza.</w:t>
      </w:r>
      <w:r>
        <w:rPr>
          <w:rFonts w:ascii="Barlow Semi Condensed" w:cs="Barlow Semi Condensed" w:eastAsia="Barlow Semi Condensed" w:hAnsi="Barlow Semi Condensed"/>
          <w:sz w:val="24"/>
          <w:szCs w:val="24"/>
        </w:rPr>
        <w:t xml:space="preserve"> La tabella delle fonti espunte elenca sette righe: un PDF su rete di distribuzione anonima, una raccolta di documenti caricati, un pamphlet militante, una wiki di fandom, un sito militante, un gruppo di blog e siti di partito, un gruppo di testate d'opinione deboli. Nessuna riguarda il nome studiato. La tabella resta però il modello formale di questa serie: si dichiara che cosa si è tolto e con che cosa lo si è sostituito.</w:t>
      </w:r>
    </w:p>
    <w:p>
      <w:pPr>
        <w:spacing w:after="120" w:line="276"/>
        <w:jc w:val="both"/>
      </w:pPr>
      <w:r>
        <w:rPr>
          <w:rFonts w:ascii="Barlow Semi Condensed" w:cs="Barlow Semi Condensed" w:eastAsia="Barlow Semi Condensed" w:hAnsi="Barlow Semi Condensed"/>
          <w:b/>
          <w:bCs/>
          <w:sz w:val="24"/>
          <w:szCs w:val="24"/>
        </w:rPr>
        <w:t xml:space="preserve">1473 · Le due sedi vietate non compaiono.</w:t>
      </w:r>
      <w:r>
        <w:rPr>
          <w:rFonts w:ascii="Barlow Semi Condensed" w:cs="Barlow Semi Condensed" w:eastAsia="Barlow Semi Condensed" w:hAnsi="Barlow Semi Condensed"/>
          <w:sz w:val="24"/>
          <w:szCs w:val="24"/>
        </w:rPr>
        <w:t xml:space="preserve"> Il blocco 24 dell'opera vieta due sedi determinate, il quotidiano e l'enciclopedia che il committente ha escluso. La verifica su questo territorio dà esito negativo in senso favorevole: nessuna delle due compare, né fra le fonti adoperate né fra quelle espunte in revisione. Il divieto qui non ha avuto occasione di operare. È accertamento minore e va scritto, perché un divieto mai applicato non è un divieto rispettato.</w:t>
      </w:r>
    </w:p>
    <w:p>
      <w:pPr>
        <w:spacing w:after="120" w:line="276"/>
        <w:jc w:val="both"/>
      </w:pPr>
      <w:r>
        <w:rPr>
          <w:rFonts w:ascii="Barlow Semi Condensed" w:cs="Barlow Semi Condensed" w:eastAsia="Barlow Semi Condensed" w:hAnsi="Barlow Semi Condensed"/>
          <w:b/>
          <w:bCs/>
          <w:sz w:val="24"/>
          <w:szCs w:val="24"/>
        </w:rPr>
        <w:t xml:space="preserve">1474 · I due dati residui di parte.</w:t>
      </w:r>
      <w:r>
        <w:rPr>
          <w:rFonts w:ascii="Barlow Semi Condensed" w:cs="Barlow Semi Condensed" w:eastAsia="Barlow Semi Condensed" w:hAnsi="Barlow Semi Condensed"/>
          <w:sz w:val="24"/>
          <w:szCs w:val="24"/>
        </w:rPr>
        <w:t xml:space="preserve"> Sopravvivono nella bibliografia due informazioni dichiarate non riscontrate, entrambe dalla biografia sovietica di Lavretski: la presenza di Mikojan all'Avana nel marzo 1965 e i milletrecentoventitré atti di sovversione del 1964. Sono attribuite a una fonte di parte e marcate come tali nelle note di revisione. Nessuna nomina il soggetto di quest'opera, che nel 1964 non ricopriva alcuno degli incarichi fissati. La dichiarazione di non riscontro è comportamento corretto, e va imitata.</w:t>
      </w:r>
    </w:p>
    <w:p>
      <w:pPr>
        <w:spacing w:after="120" w:line="276"/>
        <w:jc w:val="both"/>
      </w:pPr>
      <w:r>
        <w:rPr>
          <w:rFonts w:ascii="Barlow Semi Condensed" w:cs="Barlow Semi Condensed" w:eastAsia="Barlow Semi Condensed" w:hAnsi="Barlow Semi Condensed"/>
          <w:b/>
          <w:bCs/>
          <w:sz w:val="24"/>
          <w:szCs w:val="24"/>
        </w:rPr>
        <w:t xml:space="preserve">1475 · Che cosa chiuderebbe questo zero.</w:t>
      </w:r>
      <w:r>
        <w:rPr>
          <w:rFonts w:ascii="Barlow Semi Condensed" w:cs="Barlow Semi Condensed" w:eastAsia="Barlow Semi Condensed" w:hAnsi="Barlow Semi Condensed"/>
          <w:sz w:val="24"/>
          <w:szCs w:val="24"/>
        </w:rPr>
        <w:t xml:space="preserve"> Bersaglio di smentita, formulato perché altri possa colpirlo: lo Stato Zero della bibliografia guevariana cadrebbe se emergesse una sola opera di rango primario o accademico che tratti insieme la parabola boliviana e il vertice statunitense degli anni Settanta, nominando entrambe le parti. Non basta un saggio che le citi in capitoli diversi. Serve un titolo che le tenga in una sola argomentazione, con l'apparato che la sostiene.</w:t>
      </w:r>
    </w:p>
    <w:p>
      <w:pPr>
        <w:spacing w:after="120" w:line="276"/>
        <w:jc w:val="both"/>
      </w:pPr>
      <w:r>
        <w:rPr>
          <w:rFonts w:ascii="Barlow Semi Condensed" w:cs="Barlow Semi Condensed" w:eastAsia="Barlow Semi Condensed" w:hAnsi="Barlow Semi Condensed"/>
          <w:b/>
          <w:bCs/>
          <w:sz w:val="24"/>
          <w:szCs w:val="24"/>
        </w:rPr>
        <w:t xml:space="preserve">1476 · Sette occorrenze su cinque righe.</w:t>
      </w:r>
      <w:r>
        <w:rPr>
          <w:rFonts w:ascii="Barlow Semi Condensed" w:cs="Barlow Semi Condensed" w:eastAsia="Barlow Semi Condensed" w:hAnsi="Barlow Semi Condensed"/>
          <w:sz w:val="24"/>
          <w:szCs w:val="24"/>
        </w:rPr>
        <w:t xml:space="preserve"> Nel secondo documento del territorio la stringa capitalizzata ricorre sette volte, distribuite su cinque righe soltanto: due al nodo M-5, una nell'attacco della Nota di revisione numero due, due nel punto primo delle precisazioni, una nel terzo e una nel quarto. In minuscolo compare inoltre dentro un indirizzo web e nel nome del file dell'opera. La distribuzione è concentrata, non diffusa, e la concentrazione è essa stessa un dato.</w:t>
      </w:r>
    </w:p>
    <w:p>
      <w:pPr>
        <w:spacing w:after="120" w:line="276"/>
        <w:jc w:val="both"/>
      </w:pPr>
      <w:r>
        <w:rPr>
          <w:rFonts w:ascii="Barlow Semi Condensed" w:cs="Barlow Semi Condensed" w:eastAsia="Barlow Semi Condensed" w:hAnsi="Barlow Semi Condensed"/>
          <w:b/>
          <w:bCs/>
          <w:sz w:val="24"/>
          <w:szCs w:val="24"/>
        </w:rPr>
        <w:t xml:space="preserve">1477 · Uno su cinquantotto.</w:t>
      </w:r>
      <w:r>
        <w:rPr>
          <w:rFonts w:ascii="Barlow Semi Condensed" w:cs="Barlow Semi Condensed" w:eastAsia="Barlow Semi Condensed" w:hAnsi="Barlow Semi Condensed"/>
          <w:sz w:val="24"/>
          <w:szCs w:val="24"/>
        </w:rPr>
        <w:t xml:space="preserve"> Fra i cinquantotto nodi del secondo documento — dieci interni, ventinove esterni, nove della matrice, sei paralleli, quattro divergenze — uno solo nomina il soggetto di quest'opera. È M-5, «L'ombra statunitense su entrambe le morti», e vi compare per il versante Moro, non per il versante Guevara. Il rapporto è di uno a cinquantotto, e va detto prima di qualunque considerazione sul contenuto di quel nodo.</w:t>
      </w:r>
    </w:p>
    <w:p>
      <w:pPr>
        <w:spacing w:after="120" w:line="276"/>
        <w:jc w:val="both"/>
      </w:pPr>
      <w:r>
        <w:rPr>
          <w:rFonts w:ascii="Barlow Semi Condensed" w:cs="Barlow Semi Condensed" w:eastAsia="Barlow Semi Condensed" w:hAnsi="Barlow Semi Condensed"/>
          <w:b/>
          <w:bCs/>
          <w:sz w:val="24"/>
          <w:szCs w:val="24"/>
        </w:rPr>
        <w:t xml:space="preserve">1478 · La Nota di revisione numero due.</w:t>
      </w:r>
      <w:r>
        <w:rPr>
          <w:rFonts w:ascii="Barlow Semi Condensed" w:cs="Barlow Semi Condensed" w:eastAsia="Barlow Semi Condensed" w:hAnsi="Barlow Semi Condensed"/>
          <w:sz w:val="24"/>
          <w:szCs w:val="24"/>
        </w:rPr>
        <w:t xml:space="preserve"> Il paragrafo sesto del documento è datato 25 agosto 2026 e registra sette precisazioni prodotte dalla campagna condotta per l'opera in mille blocchi. Non riscrive M-5: gli si affianca, secondo la regola per cui il testo originario resta leggibile e la correzione lo accompagna. È il solo punto del territorio guevariano in cui il nome entra per accertamento e non per citazione, e vi entra per essere circoscritto.</w:t>
      </w:r>
    </w:p>
    <w:p>
      <w:pPr>
        <w:spacing w:after="120" w:line="276"/>
        <w:jc w:val="both"/>
      </w:pPr>
      <w:r>
        <w:rPr>
          <w:rFonts w:ascii="Barlow Semi Condensed" w:cs="Barlow Semi Condensed" w:eastAsia="Barlow Semi Condensed" w:hAnsi="Barlow Semi Condensed"/>
          <w:b/>
          <w:bCs/>
          <w:sz w:val="24"/>
          <w:szCs w:val="24"/>
        </w:rPr>
        <w:t xml:space="preserve">1479 · La circolarità da dichiarare.</w:t>
      </w:r>
      <w:r>
        <w:rPr>
          <w:rFonts w:ascii="Barlow Semi Condensed" w:cs="Barlow Semi Condensed" w:eastAsia="Barlow Semi Condensed" w:hAnsi="Barlow Semi Condensed"/>
          <w:sz w:val="24"/>
          <w:szCs w:val="24"/>
        </w:rPr>
        <w:t xml:space="preserve"> Va segnalata una circolarità che il lettore deve conoscere: la Nota di revisione numero due rinvia esplicitamente al file dell'opera in mille blocchi, e quest'opera a sua volta richiama M-5 ai blocchi 44 e 874. Nessuno dei due documenti conferma l'altro: entrambi riportano la stessa testimonianza contestata. Contarli come due riscontri sarebbe replicazione senza informazione nuova, l'errore che il punto settimo delle precisazioni descrive.</w:t>
      </w:r>
    </w:p>
    <w:p>
      <w:pPr>
        <w:spacing w:after="120" w:line="276"/>
        <w:jc w:val="both"/>
      </w:pPr>
      <w:r>
        <w:rPr>
          <w:rFonts w:ascii="Barlow Semi Condensed" w:cs="Barlow Semi Condensed" w:eastAsia="Barlow Semi Condensed" w:hAnsi="Barlow Semi Condensed"/>
          <w:b/>
          <w:bCs/>
          <w:sz w:val="24"/>
          <w:szCs w:val="24"/>
        </w:rPr>
        <w:t xml:space="preserve">1480 · Gli appoggi del nodo M-5.</w:t>
      </w:r>
      <w:r>
        <w:rPr>
          <w:rFonts w:ascii="Barlow Semi Condensed" w:cs="Barlow Semi Condensed" w:eastAsia="Barlow Semi Condensed" w:hAnsi="Barlow Semi Condensed"/>
          <w:sz w:val="24"/>
          <w:szCs w:val="24"/>
        </w:rPr>
        <w:t xml:space="preserve"> Il nodo M-5 poggia, sul versante italiano, su tre indirizzi: un sito che raccoglie le testimonianze, una testata che riferisce di un programma televisivo, una voce enciclopedica in lingua inglese. Nessuno dei tre è documento d'archivio. La stessa riga cita invece, per il versante boliviano, la documentazione statunitense declassificata nel 1997. I due lati del nodo non hanno il medesimo rango probatorio, e il nodo non lo dichiara.</w:t>
      </w:r>
    </w:p>
    <w:p>
      <w:pPr>
        <w:spacing w:after="120" w:line="276"/>
        <w:jc w:val="both"/>
      </w:pPr>
      <w:r>
        <w:rPr>
          <w:rFonts w:ascii="Barlow Semi Condensed" w:cs="Barlow Semi Condensed" w:eastAsia="Barlow Semi Condensed" w:hAnsi="Barlow Semi Condensed"/>
          <w:b/>
          <w:bCs/>
          <w:sz w:val="24"/>
          <w:szCs w:val="24"/>
        </w:rPr>
        <w:t xml:space="preserve">1481 · Regola di lettura sugli accostamenti.</w:t>
      </w:r>
      <w:r>
        <w:rPr>
          <w:rFonts w:ascii="Barlow Semi Condensed" w:cs="Barlow Semi Condensed" w:eastAsia="Barlow Semi Condensed" w:hAnsi="Barlow Semi Condensed"/>
          <w:sz w:val="24"/>
          <w:szCs w:val="24"/>
        </w:rPr>
        <w:t xml:space="preserve"> Quando una sola voce accosta due vicende, si verifica il rango di ciascun lato prima di leggere l'accostamento. Qui un lato poggia su carte declassificate e nominative, l'altro su testimonianza de relato resa quattro anni dopo i fatti in sede giudiziaria. Un accostamento fra evidenze di rango diverso non produce una simmetria: produce l'illusione di una simmetria, che è cosa opposta e va smontata prima di ogni altra operazione.</w:t>
      </w:r>
    </w:p>
    <w:p>
      <w:pPr>
        <w:spacing w:after="120" w:line="276"/>
        <w:jc w:val="both"/>
      </w:pPr>
      <w:r>
        <w:rPr>
          <w:rFonts w:ascii="Barlow Semi Condensed" w:cs="Barlow Semi Condensed" w:eastAsia="Barlow Semi Condensed" w:hAnsi="Barlow Semi Condensed"/>
          <w:b/>
          <w:bCs/>
          <w:sz w:val="24"/>
          <w:szCs w:val="24"/>
        </w:rPr>
        <w:t xml:space="preserve">1482 · La cornice non è un antenato (serie XX).</w:t>
      </w:r>
      <w:r>
        <w:rPr>
          <w:rFonts w:ascii="Barlow Semi Condensed" w:cs="Barlow Semi Condensed" w:eastAsia="Barlow Semi Condensed" w:hAnsi="Barlow Semi Condensed"/>
          <w:sz w:val="24"/>
          <w:szCs w:val="24"/>
        </w:rPr>
        <w:t xml:space="preserve"> La cornice condivisa esiste, ed è la lunga guerra fredda: il corpus la registra nel saggio «Dal Che a Moro» come convergenza e non come rapporto. Ma il blocco 944 dell'opera stabilisce che una cornice non è un antenato. Fra La Higuera e via Fani stanno undici anni, due continenti e l'assenza di ogni documento di provenienza che nomini insieme le due parti. Resta piano 2, e vi resta.</w:t>
      </w:r>
    </w:p>
    <w:p>
      <w:pPr>
        <w:spacing w:after="120" w:line="276"/>
        <w:jc w:val="both"/>
      </w:pPr>
      <w:r>
        <w:rPr>
          <w:rFonts w:ascii="Barlow Semi Condensed" w:cs="Barlow Semi Condensed" w:eastAsia="Barlow Semi Condensed" w:hAnsi="Barlow Semi Condensed"/>
          <w:b/>
          <w:bCs/>
          <w:sz w:val="24"/>
          <w:szCs w:val="24"/>
        </w:rPr>
        <w:t xml:space="preserve">1483 · Bersaglio di smentita del conteggio.</w:t>
      </w:r>
      <w:r>
        <w:rPr>
          <w:rFonts w:ascii="Barlow Semi Condensed" w:cs="Barlow Semi Condensed" w:eastAsia="Barlow Semi Condensed" w:hAnsi="Barlow Semi Condensed"/>
          <w:sz w:val="24"/>
          <w:szCs w:val="24"/>
        </w:rPr>
        <w:t xml:space="preserve"> Che cosa falsificherebbe la misura appena eseguita: un'edizione successiva dei due documenti che introducesse il nome in altri nodi; un allegato non versato nel branch pubblico; una versione dei file anteriore alle revisioni del 24 e 25 agosto 2026. La verifica va perciò datata e riferita alle versioni presenti nel repository a quella data. Un conteggio senza data non è ripetibile, e un conteggio non ripetibile non è un conteggio.</w:t>
      </w:r>
    </w:p>
    <w:p>
      <w:pPr>
        <w:spacing w:after="120" w:line="276"/>
        <w:jc w:val="both"/>
      </w:pPr>
      <w:r>
        <w:rPr>
          <w:rFonts w:ascii="Barlow Semi Condensed" w:cs="Barlow Semi Condensed" w:eastAsia="Barlow Semi Condensed" w:hAnsi="Barlow Semi Condensed"/>
          <w:b/>
          <w:bCs/>
          <w:sz w:val="24"/>
          <w:szCs w:val="24"/>
        </w:rPr>
        <w:t xml:space="preserve">1484 · Il muro delle date.</w:t>
      </w:r>
      <w:r>
        <w:rPr>
          <w:rFonts w:ascii="Barlow Semi Condensed" w:cs="Barlow Semi Condensed" w:eastAsia="Barlow Semi Condensed" w:hAnsi="Barlow Semi Condensed"/>
          <w:sz w:val="24"/>
          <w:szCs w:val="24"/>
        </w:rPr>
        <w:t xml:space="preserve"> Ernesto Guevara fu catturato l'8 ottobre 1967 alla Quebrada del Yuro e ucciso il 9 a La Higuera. Gli incarichi fissati da quest'opera cominciano il 20 gennaio 1969: quindici mesi dopo. Per l'intera campagna boliviana — Ñancahuazú, la rottura con Mario Monje del 31 dicembre 1966, l'imboscata del 23 marzo 1967 — non esiste materialmente la possibilità di un rapporto diretto di piano 1 con chi non era in carica.</w:t>
      </w:r>
    </w:p>
    <w:p>
      <w:pPr>
        <w:spacing w:after="120" w:line="276"/>
        <w:jc w:val="both"/>
      </w:pPr>
      <w:r>
        <w:rPr>
          <w:rFonts w:ascii="Barlow Semi Condensed" w:cs="Barlow Semi Condensed" w:eastAsia="Barlow Semi Condensed" w:hAnsi="Barlow Semi Condensed"/>
          <w:b/>
          <w:bCs/>
          <w:sz w:val="24"/>
          <w:szCs w:val="24"/>
        </w:rPr>
        <w:t xml:space="preserve">1485 · La finestra dei dossier del 1954-1968.</w:t>
      </w:r>
      <w:r>
        <w:rPr>
          <w:rFonts w:ascii="Barlow Semi Condensed" w:cs="Barlow Semi Condensed" w:eastAsia="Barlow Semi Condensed" w:hAnsi="Barlow Semi Condensed"/>
          <w:sz w:val="24"/>
          <w:szCs w:val="24"/>
        </w:rPr>
        <w:t xml:space="preserve"> Il nodo E-22 registra oltre mille rapporti dell'agenzia statunitense sul periodo 1954-1968, analizzati da Ratner e Smith su documenti declassificati. La finestra si chiude prima dell'inizio degli incarichi fissati. Chi volesse costruire un ponte dovrebbe dunque cercarlo altrove che in quel fondo, e dichiararlo. La stessa scheda avverte peraltro che il dettaglio degli inalatori proviene da secondaria di terza mano e va riscontrato sul testo originale: doppia cautela, non una.</w:t>
      </w:r>
    </w:p>
    <w:p>
      <w:pPr>
        <w:spacing w:after="120" w:line="276"/>
        <w:jc w:val="both"/>
      </w:pPr>
      <w:r>
        <w:rPr>
          <w:rFonts w:ascii="Barlow Semi Condensed" w:cs="Barlow Semi Condensed" w:eastAsia="Barlow Semi Condensed" w:hAnsi="Barlow Semi Condensed"/>
          <w:b/>
          <w:bCs/>
          <w:sz w:val="24"/>
          <w:szCs w:val="24"/>
        </w:rPr>
        <w:t xml:space="preserve">1486 · Il quesito sugli anni anteriori.</w:t>
      </w:r>
      <w:r>
        <w:rPr>
          <w:rFonts w:ascii="Barlow Semi Condensed" w:cs="Barlow Semi Condensed" w:eastAsia="Barlow Semi Condensed" w:hAnsi="Barlow Semi Condensed"/>
          <w:sz w:val="24"/>
          <w:szCs w:val="24"/>
        </w:rPr>
        <w:t xml:space="preserve"> Quesito formulato e non risolto, da portare in archivio e non in bibliografia: se prima del 20 gennaio 1969 esista atto che documenti una funzione consultiva del soggetto presso organi dell'esecutivo statunitense, e con quale segnatura. Le sedi sono note: Manuscripts and Archives della Yale University Library per le carte private, Manuscript Division della Library of Congress per quelle d'ufficio. Si chiede l'inventario prima del documento; senza inventario non si fonda alcuno Stato Zero.</w:t>
      </w:r>
    </w:p>
    <w:p>
      <w:pPr>
        <w:spacing w:after="120" w:line="276"/>
        <w:jc w:val="both"/>
      </w:pPr>
      <w:r>
        <w:rPr>
          <w:rFonts w:ascii="Barlow Semi Condensed" w:cs="Barlow Semi Condensed" w:eastAsia="Barlow Semi Condensed" w:hAnsi="Barlow Semi Condensed"/>
          <w:b/>
          <w:bCs/>
          <w:sz w:val="24"/>
          <w:szCs w:val="24"/>
        </w:rPr>
        <w:t xml:space="preserve">1487 · I nomi che il Congo registra.</w:t>
      </w:r>
      <w:r>
        <w:rPr>
          <w:rFonts w:ascii="Barlow Semi Condensed" w:cs="Barlow Semi Condensed" w:eastAsia="Barlow Semi Condensed" w:hAnsi="Barlow Semi Condensed"/>
          <w:sz w:val="24"/>
          <w:szCs w:val="24"/>
        </w:rPr>
        <w:t xml:space="preserve"> Per il teatro congolese del 1965 il corpus guevariano nomina con precisione la parte statunitense: Lyndon Johnson che invia Averell Harriman e Cyrus Vance, i piloti esuli cubani ingaggiati dall'agenzia, i mercenari del Cinque Commando di Mike Hoare. Il soggetto di quest'opera non compare in quell'elenco. L'assenza è tanto più significativa perché l'elenco è dettagliato: dove il documento nomina molti, il silenzio su uno diventa misurabile.</w:t>
      </w:r>
    </w:p>
    <w:p>
      <w:pPr>
        <w:spacing w:after="120" w:line="276"/>
        <w:jc w:val="both"/>
      </w:pPr>
      <w:r>
        <w:rPr>
          <w:rFonts w:ascii="Barlow Semi Condensed" w:cs="Barlow Semi Condensed" w:eastAsia="Barlow Semi Condensed" w:hAnsi="Barlow Semi Condensed"/>
          <w:b/>
          <w:bCs/>
          <w:sz w:val="24"/>
          <w:szCs w:val="24"/>
        </w:rPr>
        <w:t xml:space="preserve">1488 · Dieci tappe, nessun contatto.</w:t>
      </w:r>
      <w:r>
        <w:rPr>
          <w:rFonts w:ascii="Barlow Semi Condensed" w:cs="Barlow Semi Condensed" w:eastAsia="Barlow Semi Condensed" w:hAnsi="Barlow Semi Condensed"/>
          <w:sz w:val="24"/>
          <w:szCs w:val="24"/>
        </w:rPr>
        <w:t xml:space="preserve"> Dal dicembre 1964 al marzo 1965 Guevara toccò Cina, Corea del Nord, Berlino Est, Unione Sovietica, Mali, Congo-Brazzaville, Ghana, Tanzania, Egitto e Algeria. Il corpus ricostruisce l'itinerario su Anderson e segnala che ordine e tappe minori variano fra le fonti. Nessuna tappa produce un contatto con l'apparato statunitense di vertice. Il vuoto si dichiara con la sua causa probabile: nessuno ha scritto un documento che tratti insieme i due domini.</w:t>
      </w:r>
    </w:p>
    <w:p>
      <w:pPr>
        <w:spacing w:after="120" w:line="276"/>
        <w:jc w:val="both"/>
      </w:pPr>
      <w:r>
        <w:rPr>
          <w:rFonts w:ascii="Barlow Semi Condensed" w:cs="Barlow Semi Condensed" w:eastAsia="Barlow Semi Condensed" w:hAnsi="Barlow Semi Condensed"/>
          <w:b/>
          <w:bCs/>
          <w:sz w:val="24"/>
          <w:szCs w:val="24"/>
        </w:rPr>
        <w:t xml:space="preserve">1489 · Algeri, e il bersaglio che ne discende.</w:t>
      </w:r>
      <w:r>
        <w:rPr>
          <w:rFonts w:ascii="Barlow Semi Condensed" w:cs="Barlow Semi Condensed" w:eastAsia="Barlow Semi Condensed" w:hAnsi="Barlow Semi Condensed"/>
          <w:sz w:val="24"/>
          <w:szCs w:val="24"/>
        </w:rPr>
        <w:t xml:space="preserve"> Il discorso del 24 febbraio 1965 al Secondo Seminario Economico di Solidarietà Afro-Asiatica accusa i paesi socialisti di complicità obiettiva con lo sfruttamento imperialista. Il testo è edito nella versione con correzioni autografe conservata dal centro di studi dell'Avana. Bersaglio: verificare se nei fondi del Dipartimento di Stato ai National Archives di College Park esista valutazione coeva di quel discorso, e in quale serie. Se esiste, è documento sulla ricezione, non sul rapporto.</w:t>
      </w:r>
    </w:p>
    <w:p>
      <w:pPr>
        <w:spacing w:after="120" w:line="276"/>
        <w:jc w:val="both"/>
      </w:pPr>
      <w:r>
        <w:rPr>
          <w:rFonts w:ascii="Barlow Semi Condensed" w:cs="Barlow Semi Condensed" w:eastAsia="Barlow Semi Condensed" w:hAnsi="Barlow Semi Condensed"/>
          <w:b/>
          <w:bCs/>
          <w:sz w:val="24"/>
          <w:szCs w:val="24"/>
        </w:rPr>
        <w:t xml:space="preserve">1490 · L'undici dicembre a New York.</w:t>
      </w:r>
      <w:r>
        <w:rPr>
          <w:rFonts w:ascii="Barlow Semi Condensed" w:cs="Barlow Semi Condensed" w:eastAsia="Barlow Semi Condensed" w:hAnsi="Barlow Semi Condensed"/>
          <w:sz w:val="24"/>
          <w:szCs w:val="24"/>
        </w:rPr>
        <w:t xml:space="preserve"> Il giorno del discorso alle Nazioni Unite si contano due tentativi distinti: il coltello da caccia di Molly Gonzales e il colpo di bazooka da tre pollici e mezzo sparato da un terreno di Long Island City. Sono fatti di cronaca e di polizia municipale, non di politica estera di vertice. Nessuna fonte del territorio li collega a livelli decisionali federali, e il corpus ha già corretto in revisione il punto di tiro.</w:t>
      </w:r>
    </w:p>
    <w:p>
      <w:pPr>
        <w:spacing w:after="120" w:line="276"/>
        <w:jc w:val="both"/>
      </w:pPr>
      <w:r>
        <w:rPr>
          <w:rFonts w:ascii="Barlow Semi Condensed" w:cs="Barlow Semi Condensed" w:eastAsia="Barlow Semi Condensed" w:hAnsi="Barlow Semi Condensed"/>
          <w:b/>
          <w:bCs/>
          <w:sz w:val="24"/>
          <w:szCs w:val="24"/>
        </w:rPr>
        <w:t xml:space="preserve">1491 · Barrientos, i ranger, la sede.</w:t>
      </w:r>
      <w:r>
        <w:rPr>
          <w:rFonts w:ascii="Barlow Semi Condensed" w:cs="Barlow Semi Condensed" w:eastAsia="Barlow Semi Condensed" w:hAnsi="Barlow Semi Condensed"/>
          <w:sz w:val="24"/>
          <w:szCs w:val="24"/>
        </w:rPr>
        <w:t xml:space="preserve"> La richiesta di assistenza del generale René Barrientos a Washington, l'arrivo dei berretti verdi, l'addestramento del Secondo Battaglione Ranger e la presenza dell'agente Félix Rodríguez sono registrati dal capitolo boliviano su documentazione declassificata. Il livello politico che autorizzò quell'assistenza va cercato nei fascicoli-paese Bolivia della Lyndon Baines Johnson Library ad Austin. È lì che si accerterebbe chi decise, e la risposta riguarda un'amministrazione precedente a entrambi gli incarichi.</w:t>
      </w:r>
    </w:p>
    <w:p>
      <w:pPr>
        <w:spacing w:after="120" w:line="276"/>
        <w:jc w:val="both"/>
      </w:pPr>
      <w:r>
        <w:rPr>
          <w:rFonts w:ascii="Barlow Semi Condensed" w:cs="Barlow Semi Condensed" w:eastAsia="Barlow Semi Condensed" w:hAnsi="Barlow Semi Condensed"/>
          <w:b/>
          <w:bCs/>
          <w:sz w:val="24"/>
          <w:szCs w:val="24"/>
        </w:rPr>
        <w:t xml:space="preserve">1492 · Il 1997 viene dopo, non prima.</w:t>
      </w:r>
      <w:r>
        <w:rPr>
          <w:rFonts w:ascii="Barlow Semi Condensed" w:cs="Barlow Semi Condensed" w:eastAsia="Barlow Semi Condensed" w:hAnsi="Barlow Semi Condensed"/>
          <w:sz w:val="24"/>
          <w:szCs w:val="24"/>
        </w:rPr>
        <w:t xml:space="preserve"> Il ritrovamento dei resti a Vallegrande e la traslazione a Santa Clara sono del 1997, e nello stesso anno furono resi disponibili i materiali statunitensi declassificati citati al nodo M-8. Sono fonti su fatti del 1967, prodotte trent'anni più tardi. La regola vale nelle due direzioni: la data di declassificazione non è la data del fatto, e un documento reso pubblico tardi non diventa per questo più probante.</w:t>
      </w:r>
    </w:p>
    <w:p>
      <w:pPr>
        <w:spacing w:after="120" w:line="276"/>
        <w:jc w:val="both"/>
      </w:pPr>
      <w:r>
        <w:rPr>
          <w:rFonts w:ascii="Barlow Semi Condensed" w:cs="Barlow Semi Condensed" w:eastAsia="Barlow Semi Condensed" w:hAnsi="Barlow Semi Condensed"/>
          <w:b/>
          <w:bCs/>
          <w:sz w:val="24"/>
          <w:szCs w:val="24"/>
        </w:rPr>
        <w:t xml:space="preserve">1493 · Due nozioni di fonte primaria.</w:t>
      </w:r>
      <w:r>
        <w:rPr>
          <w:rFonts w:ascii="Barlow Semi Condensed" w:cs="Barlow Semi Condensed" w:eastAsia="Barlow Semi Condensed" w:hAnsi="Barlow Semi Condensed"/>
          <w:sz w:val="24"/>
          <w:szCs w:val="24"/>
        </w:rPr>
        <w:t xml:space="preserve"> La bibliografia guevariana chiama primarie le parole e le registrazioni dell'attore; l'opera in mille blocchi chiama primario il verbale d'archivio, come il documento 350 del volume E-15 parte 2. Sono due nozioni diverse dello stesso termine, entrambe legittime nel proprio dominio. Confonderle produce errori di rango: un discorso pubblico prova che l'oratore disse quelle parole, un memorandum prova che quelle persone si parlarono in quella sede.</w:t>
      </w:r>
    </w:p>
    <w:p>
      <w:pPr>
        <w:spacing w:after="120" w:line="276"/>
        <w:jc w:val="both"/>
      </w:pPr>
      <w:r>
        <w:rPr>
          <w:rFonts w:ascii="Barlow Semi Condensed" w:cs="Barlow Semi Condensed" w:eastAsia="Barlow Semi Condensed" w:hAnsi="Barlow Semi Condensed"/>
          <w:b/>
          <w:bCs/>
          <w:sz w:val="24"/>
          <w:szCs w:val="24"/>
        </w:rPr>
        <w:t xml:space="preserve">1494 · Il rango non è il grado.</w:t>
      </w:r>
      <w:r>
        <w:rPr>
          <w:rFonts w:ascii="Barlow Semi Condensed" w:cs="Barlow Semi Condensed" w:eastAsia="Barlow Semi Condensed" w:hAnsi="Barlow Semi Condensed"/>
          <w:sz w:val="24"/>
          <w:szCs w:val="24"/>
        </w:rPr>
        <w:t xml:space="preserve"> L'apparato guevariano ordina le fonti per affidabilità della sede; l'apparato moroteo ordina le asserzioni per grado di accertamento. Una fonte di rango alto può sostenere un'asserzione di grado basso, e una fonte debole può riferire un fatto poi accertato altrove. Tenere insieme le due scale senza distinguerle rende incomparabili i due versanti del corpus. Chi legge M-5 deve applicarle entrambe, e separatamente, dichiarando ogni volta quale delle due sta usando.</w:t>
      </w:r>
    </w:p>
    <w:p>
      <w:pPr>
        <w:spacing w:after="120" w:line="276"/>
        <w:jc w:val="both"/>
      </w:pPr>
      <w:r>
        <w:rPr>
          <w:rFonts w:ascii="Barlow Semi Condensed" w:cs="Barlow Semi Condensed" w:eastAsia="Barlow Semi Condensed" w:hAnsi="Barlow Semi Condensed"/>
          <w:b/>
          <w:bCs/>
          <w:sz w:val="24"/>
          <w:szCs w:val="24"/>
        </w:rPr>
        <w:t xml:space="preserve">1495 · L'elenco di trasparenza esteso.</w:t>
      </w:r>
      <w:r>
        <w:rPr>
          <w:rFonts w:ascii="Barlow Semi Condensed" w:cs="Barlow Semi Condensed" w:eastAsia="Barlow Semi Condensed" w:hAnsi="Barlow Semi Condensed"/>
          <w:sz w:val="24"/>
          <w:szCs w:val="24"/>
        </w:rPr>
        <w:t xml:space="preserve"> Il modello della quinta sezione va esteso al soggetto di quest'opera: si dichiari allo stesso modo quali fonti sono state escluse e con che cosa sostituite. L'opera lo ha fatto in parte, vietando due sedi determinate e declassando a dato di circolazione la pubblicazione cospirazionista del 1982. Un elenco di trasparenza incompleto resta preferibile a una bibliografia che mostri soltanto ciò che ha deciso di tenere.</w:t>
      </w:r>
    </w:p>
    <w:p>
      <w:pPr>
        <w:spacing w:after="120" w:line="276"/>
        <w:jc w:val="both"/>
      </w:pPr>
      <w:r>
        <w:rPr>
          <w:rFonts w:ascii="Barlow Semi Condensed" w:cs="Barlow Semi Condensed" w:eastAsia="Barlow Semi Condensed" w:hAnsi="Barlow Semi Condensed"/>
          <w:b/>
          <w:bCs/>
          <w:sz w:val="24"/>
          <w:szCs w:val="24"/>
        </w:rPr>
        <w:t xml:space="preserve">1496 · La sostituzione non cambia il fatto.</w:t>
      </w:r>
      <w:r>
        <w:rPr>
          <w:rFonts w:ascii="Barlow Semi Condensed" w:cs="Barlow Semi Condensed" w:eastAsia="Barlow Semi Condensed" w:hAnsi="Barlow Semi Condensed"/>
          <w:sz w:val="24"/>
          <w:szCs w:val="24"/>
        </w:rPr>
        <w:t xml:space="preserve"> Regola tratta dalla tabella delle sostituzioni: cambiare la fonte di un'affermazione non ne muta lo statuto. L'intervista del 13 dicembre 1964 è documentata tanto prima quanto dopo la sostituzione del PDF anonimo con l'archivio della rete televisiva; ciò che cambia è la verificabilità. Applicata al presunto avvertimento del 1974, la regola dice che sostituire il sito che lo riporta non aggiunge un solo grammo di riscontro.</w:t>
      </w:r>
    </w:p>
    <w:p>
      <w:pPr>
        <w:spacing w:after="120" w:line="276"/>
        <w:jc w:val="both"/>
      </w:pPr>
      <w:r>
        <w:rPr>
          <w:rFonts w:ascii="Barlow Semi Condensed" w:cs="Barlow Semi Condensed" w:eastAsia="Barlow Semi Condensed" w:hAnsi="Barlow Semi Condensed"/>
          <w:b/>
          <w:bCs/>
          <w:sz w:val="24"/>
          <w:szCs w:val="24"/>
        </w:rPr>
        <w:t xml:space="preserve">1497 · Due varianti di titolo.</w:t>
      </w:r>
      <w:r>
        <w:rPr>
          <w:rFonts w:ascii="Barlow Semi Condensed" w:cs="Barlow Semi Condensed" w:eastAsia="Barlow Semi Condensed" w:hAnsi="Barlow Semi Condensed"/>
          <w:sz w:val="24"/>
          <w:szCs w:val="24"/>
        </w:rPr>
        <w:t xml:space="preserve"> Due varianti circolano per l'articolo allergologico del 1955, e il corpus le adoperava entrambe in punti diversi: E-5 lo segnala come segno di fonte non controllata. La stessa esigenza governa la citazione del verbale del 25 settembre 1974, che va indicato nella seconda edizione riveduta del volume. Chi cita senza dire quale edizione ha letto rende irripetibile la propria verifica, come stabilisce il blocco 676 dell'opera.</w:t>
      </w:r>
    </w:p>
    <w:p>
      <w:pPr>
        <w:spacing w:after="120" w:line="276"/>
        <w:jc w:val="both"/>
      </w:pPr>
      <w:r>
        <w:rPr>
          <w:rFonts w:ascii="Barlow Semi Condensed" w:cs="Barlow Semi Condensed" w:eastAsia="Barlow Semi Condensed" w:hAnsi="Barlow Semi Condensed"/>
          <w:b/>
          <w:bCs/>
          <w:sz w:val="24"/>
          <w:szCs w:val="24"/>
        </w:rPr>
        <w:t xml:space="preserve">1498 · Orfila, due persone distinte.</w:t>
      </w:r>
      <w:r>
        <w:rPr>
          <w:rFonts w:ascii="Barlow Semi Condensed" w:cs="Barlow Semi Condensed" w:eastAsia="Barlow Semi Condensed" w:hAnsi="Barlow Semi Condensed"/>
          <w:sz w:val="24"/>
          <w:szCs w:val="24"/>
        </w:rPr>
        <w:t xml:space="preserve"> «Alejandro Orfila» era in realtà Arnaldo Orfila Reynal, direttore del Fondo de Cultura Económica; il diplomatico argentino omonimo è altra persona, e l'affermazione è stata espunta. È il precedente onomastico che il blocco 7 dell'opera richiama per fondare la propria disciplina del nome. Un nome sbagliato non produce un dettaglio sbagliato, produce un fatto inesistente: vale per «Harry» come per «Alejandro».</w:t>
      </w:r>
    </w:p>
    <w:p>
      <w:pPr>
        <w:spacing w:after="120" w:line="276"/>
        <w:jc w:val="both"/>
      </w:pPr>
      <w:r>
        <w:rPr>
          <w:rFonts w:ascii="Barlow Semi Condensed" w:cs="Barlow Semi Condensed" w:eastAsia="Barlow Semi Condensed" w:hAnsi="Barlow Semi Condensed"/>
          <w:b/>
          <w:bCs/>
          <w:sz w:val="24"/>
          <w:szCs w:val="24"/>
        </w:rPr>
        <w:t xml:space="preserve">1499 · Le mutazioni per contaminazione.</w:t>
      </w:r>
      <w:r>
        <w:rPr>
          <w:rFonts w:ascii="Barlow Semi Condensed" w:cs="Barlow Semi Condensed" w:eastAsia="Barlow Semi Condensed" w:hAnsi="Barlow Semi Condensed"/>
          <w:sz w:val="24"/>
          <w:szCs w:val="24"/>
        </w:rPr>
        <w:t xml:space="preserve"> I nodi I-5 e I-6 registrano due errori di trascrizione puri: l'età di Fidel Castro al primo incontro del luglio 1955, ventisei invece di ventotto per contaminazione con l'età dell'interlocutore, e la presidenza del Banco Nacional attribuita al 1964 quando era cessata nel febbraio 1961. Il blocco 593 dell'opera li adopera come campionario. Sono errori e non falsi: nessuno vi aveva interesse, e la distinzione è quella che l'ottava serie difende.</w:t>
      </w:r>
    </w:p>
    <w:p>
      <w:pPr>
        <w:spacing w:after="120" w:line="276"/>
        <w:jc w:val="both"/>
      </w:pPr>
      <w:r>
        <w:rPr>
          <w:rFonts w:ascii="Barlow Semi Condensed" w:cs="Barlow Semi Condensed" w:eastAsia="Barlow Semi Condensed" w:hAnsi="Barlow Semi Condensed"/>
          <w:b/>
          <w:bCs/>
          <w:sz w:val="24"/>
          <w:szCs w:val="24"/>
        </w:rPr>
        <w:t xml:space="preserve">1500 · Lo spostamento di una circostanza.</w:t>
      </w:r>
      <w:r>
        <w:rPr>
          <w:rFonts w:ascii="Barlow Semi Condensed" w:cs="Barlow Semi Condensed" w:eastAsia="Barlow Semi Condensed" w:hAnsi="Barlow Semi Condensed"/>
          <w:sz w:val="24"/>
          <w:szCs w:val="24"/>
        </w:rPr>
        <w:t xml:space="preserve"> Non un'imbarcazione sull'East River ma un terreno abbandonato di Long Island City: così E-18 corregge il punto di tiro dell'attentato del dicembre 1964, lasciando intatti data, autori ed esito. È la mutazione più insidiosa, perché conserva il fatto e ne sposta una circostanza. Applicata al 1974, la stessa figura descrive l'oscillazione fra Studio Ovale, cena ufficiale e ambasciata italiana: cambia il dove, resta il presunto che cosa.</w:t>
      </w:r>
    </w:p>
    <w:p>
      <w:pPr>
        <w:spacing w:after="120" w:line="276"/>
        <w:jc w:val="both"/>
      </w:pPr>
      <w:r>
        <w:rPr>
          <w:rFonts w:ascii="Barlow Semi Condensed" w:cs="Barlow Semi Condensed" w:eastAsia="Barlow Semi Condensed" w:hAnsi="Barlow Semi Condensed"/>
          <w:b/>
          <w:bCs/>
          <w:sz w:val="24"/>
          <w:szCs w:val="24"/>
        </w:rPr>
        <w:t xml:space="preserve">1501 · L'incontro privato che non ci fu.</w:t>
      </w:r>
      <w:r>
        <w:rPr>
          <w:rFonts w:ascii="Barlow Semi Condensed" w:cs="Barlow Semi Condensed" w:eastAsia="Barlow Semi Condensed" w:hAnsi="Barlow Semi Condensed"/>
          <w:sz w:val="24"/>
          <w:szCs w:val="24"/>
        </w:rPr>
        <w:t xml:space="preserve"> L'incontro privato fra Guevara e Malcolm X non risulta, accerta E-21: l'invito all'Audubon Ballroom fu declinato per ragioni di sicurezza e il messaggio scritto venne letto in sala il 13 dicembre 1964. Un colloquio riservato di cui non resti traccia è precisamente ciò che la testimonianza sul 1974 postula. Il corpus ha già mostrato, su altro fronte, che tali colloqui vanno accertati e mai presunti.</w:t>
      </w:r>
    </w:p>
    <w:p>
      <w:pPr>
        <w:spacing w:after="120" w:line="276"/>
        <w:jc w:val="both"/>
      </w:pPr>
      <w:r>
        <w:rPr>
          <w:rFonts w:ascii="Barlow Semi Condensed" w:cs="Barlow Semi Condensed" w:eastAsia="Barlow Semi Condensed" w:hAnsi="Barlow Semi Condensed"/>
          <w:b/>
          <w:bCs/>
          <w:sz w:val="24"/>
          <w:szCs w:val="24"/>
        </w:rPr>
        <w:t xml:space="preserve">1502 · Due de relato, due trattamenti.</w:t>
      </w:r>
      <w:r>
        <w:rPr>
          <w:rFonts w:ascii="Barlow Semi Condensed" w:cs="Barlow Semi Condensed" w:eastAsia="Barlow Semi Condensed" w:hAnsi="Barlow Semi Condensed"/>
          <w:sz w:val="24"/>
          <w:szCs w:val="24"/>
        </w:rPr>
        <w:t xml:space="preserve"> Il territorio contiene due testimonianze de relato di struttura identica: il monito di Nasser riferito dal resoconto di Mohamed Heikal e l'avvertimento riferito da Corrado Guerzoni alla Corte d'assise di Roma nel novembre 1982. Il primo è dato per confermato dal nodo E-24, il secondo resta testimonianza contestata. La differenza non è di forma ma di contestazione: nessuno ha smentito Heikal, l'interessato ha sempre smentito l'altro episodio.</w:t>
      </w:r>
    </w:p>
    <w:p>
      <w:pPr>
        <w:spacing w:after="120" w:line="276"/>
        <w:jc w:val="both"/>
      </w:pPr>
      <w:r>
        <w:rPr>
          <w:rFonts w:ascii="Barlow Semi Condensed" w:cs="Barlow Semi Condensed" w:eastAsia="Barlow Semi Condensed" w:hAnsi="Barlow Semi Condensed"/>
          <w:b/>
          <w:bCs/>
          <w:sz w:val="24"/>
          <w:szCs w:val="24"/>
        </w:rPr>
        <w:t xml:space="preserve">1503 · Il monito che il territorio accetta.</w:t>
      </w:r>
      <w:r>
        <w:rPr>
          <w:rFonts w:ascii="Barlow Semi Condensed" w:cs="Barlow Semi Condensed" w:eastAsia="Barlow Semi Condensed" w:hAnsi="Barlow Semi Condensed"/>
          <w:sz w:val="24"/>
          <w:szCs w:val="24"/>
        </w:rPr>
        <w:t xml:space="preserve"> Il nodo E-24 colloca al secondo soggiorno cairota del marzo 1965 l'avvertimento sul progetto congolese, un altro Tarzan, un uomo bianco fra i neri, destinato a finire male. È ammonimento di capo di Stato a un ospite, riferito da terzi e accolto dalla storiografia. La somiglianza con l'episodio del 1974 è di forma narrativa e nulla più: non se ne ricava alcun argomento sull'esistenza dell'altro.</w:t>
      </w:r>
    </w:p>
    <w:p>
      <w:pPr>
        <w:spacing w:after="120" w:line="276"/>
        <w:jc w:val="both"/>
      </w:pPr>
      <w:r>
        <w:rPr>
          <w:rFonts w:ascii="Barlow Semi Condensed" w:cs="Barlow Semi Condensed" w:eastAsia="Barlow Semi Condensed" w:hAnsi="Barlow Semi Condensed"/>
          <w:b/>
          <w:bCs/>
          <w:sz w:val="24"/>
          <w:szCs w:val="24"/>
        </w:rPr>
        <w:t xml:space="preserve">1504 · Chi può smentire e chi non può.</w:t>
      </w:r>
      <w:r>
        <w:rPr>
          <w:rFonts w:ascii="Barlow Semi Condensed" w:cs="Barlow Semi Condensed" w:eastAsia="Barlow Semi Condensed" w:hAnsi="Barlow Semi Condensed"/>
          <w:sz w:val="24"/>
          <w:szCs w:val="24"/>
        </w:rPr>
        <w:t xml:space="preserve"> Asimmetria da dichiarare: Guevara morì nel 1967 e non poté mai contestare ciò che gli si attribuì; il soggetto di quest'opera visse fino al 29 novembre 2023 e smentì, in forma generica nel 1983 e in forma diretta poco prima della morte. Una testimonianza smentita e una testimonianza mai contestata non hanno lo stesso statuto, e non perché una sia più vera: perché una è stata messa alla prova.</w:t>
      </w:r>
    </w:p>
    <w:p>
      <w:pPr>
        <w:spacing w:after="120" w:line="276"/>
        <w:jc w:val="both"/>
      </w:pPr>
      <w:r>
        <w:rPr>
          <w:rFonts w:ascii="Barlow Semi Condensed" w:cs="Barlow Semi Condensed" w:eastAsia="Barlow Semi Condensed" w:hAnsi="Barlow Semi Condensed"/>
          <w:b/>
          <w:bCs/>
          <w:sz w:val="24"/>
          <w:szCs w:val="24"/>
        </w:rPr>
        <w:t xml:space="preserve">1505 · La ripetizione non è riscontro.</w:t>
      </w:r>
      <w:r>
        <w:rPr>
          <w:rFonts w:ascii="Barlow Semi Condensed" w:cs="Barlow Semi Condensed" w:eastAsia="Barlow Semi Condensed" w:hAnsi="Barlow Semi Condensed"/>
          <w:sz w:val="24"/>
          <w:szCs w:val="24"/>
        </w:rPr>
        <w:t xml:space="preserve"> Il punto settimo delle precisazioni stabilisce che la moltiplicazione delle riprese sull'episodio del 1974 risale a un unico lancio d'agenzia del 30 novembre 2023. La bibliografia guevariana applica lo stesso principio in positivo: elenca le fonti una per una col loro rango, così che nessuna possa contarsi due volte. Contare le occorrenze anziché le sedi è il modo più rapido di fabbricare un consenso che non esiste.</w:t>
      </w:r>
    </w:p>
    <w:p>
      <w:pPr>
        <w:spacing w:after="120" w:line="276"/>
        <w:jc w:val="both"/>
      </w:pPr>
      <w:r>
        <w:rPr>
          <w:rFonts w:ascii="Barlow Semi Condensed" w:cs="Barlow Semi Condensed" w:eastAsia="Barlow Semi Condensed" w:hAnsi="Barlow Semi Condensed"/>
          <w:b/>
          <w:bCs/>
          <w:sz w:val="24"/>
          <w:szCs w:val="24"/>
        </w:rPr>
        <w:t xml:space="preserve">1506 · Lo statuto di M-5 non si muove.</w:t>
      </w:r>
      <w:r>
        <w:rPr>
          <w:rFonts w:ascii="Barlow Semi Condensed" w:cs="Barlow Semi Condensed" w:eastAsia="Barlow Semi Condensed" w:hAnsi="Barlow Semi Condensed"/>
          <w:sz w:val="24"/>
          <w:szCs w:val="24"/>
        </w:rPr>
        <w:t xml:space="preserve"> Va ribadito per intero, perché nessun blocco successivo possa scostarsene: M-5 resta testimonianza contestata e non accertamento, al grado B nella sua accezione debole, secondo quanto fissano i blocchi 44 e 874 dell'opera e conferma l'esito della Nota di revisione numero due. Non si dà per accertata in alcuna resa pubblica, per nessuna comodità di racconto e per nessuna esigenza di simmetria col versante boliviano.</w:t>
      </w:r>
    </w:p>
    <w:p>
      <w:pPr>
        <w:spacing w:after="120" w:line="276"/>
        <w:jc w:val="both"/>
      </w:pPr>
      <w:r>
        <w:rPr>
          <w:rFonts w:ascii="Barlow Semi Condensed" w:cs="Barlow Semi Condensed" w:eastAsia="Barlow Semi Condensed" w:hAnsi="Barlow Semi Condensed"/>
          <w:b/>
          <w:bCs/>
          <w:sz w:val="24"/>
          <w:szCs w:val="24"/>
        </w:rPr>
        <w:t xml:space="preserve">1507 · La simmetria che è analogia.</w:t>
      </w:r>
      <w:r>
        <w:rPr>
          <w:rFonts w:ascii="Barlow Semi Condensed" w:cs="Barlow Semi Condensed" w:eastAsia="Barlow Semi Condensed" w:hAnsi="Barlow Semi Condensed"/>
          <w:sz w:val="24"/>
          <w:szCs w:val="24"/>
        </w:rPr>
        <w:t xml:space="preserve"> L'ombra statunitense su La Higuera e l'ombra statunitense su via Fani si somigliano nella funzione e non nella discendenza: è analogia e non omologia, perché nessun documento di provenienza attesta un antenato comune. Il test è uno solo e il corpus lo ripete: un atto che nomini entrambe le parti. Finché non lo si produce restano due vicende dentro una cornice condivisa, in due decenni e due continenti.</w:t>
      </w:r>
    </w:p>
    <w:p>
      <w:pPr>
        <w:spacing w:after="120" w:line="276"/>
        <w:jc w:val="both"/>
      </w:pPr>
      <w:r>
        <w:rPr>
          <w:rFonts w:ascii="Barlow Semi Condensed" w:cs="Barlow Semi Condensed" w:eastAsia="Barlow Semi Condensed" w:hAnsi="Barlow Semi Condensed"/>
          <w:b/>
          <w:bCs/>
          <w:sz w:val="24"/>
          <w:szCs w:val="24"/>
        </w:rPr>
        <w:t xml:space="preserve">1508 · Rodríguez è piano uno, altrove.</w:t>
      </w:r>
      <w:r>
        <w:rPr>
          <w:rFonts w:ascii="Barlow Semi Condensed" w:cs="Barlow Semi Condensed" w:eastAsia="Barlow Semi Condensed" w:hAnsi="Barlow Semi Condensed"/>
          <w:sz w:val="24"/>
          <w:szCs w:val="24"/>
        </w:rPr>
        <w:t xml:space="preserve"> Per il versante boliviano il piano 1 esiste ed è nominativo: Félix Rodríguez interrogò il prigioniero, ne ricevette l'ordine di esecuzione e per sua stessa testimonianza ne trattenne l'orologio. È rapporto diretto documentato fra l'apparato statunitense e la vicenda del 9 ottobre 1967. Per il versante italiano nulla di equivalente è stato prodotto. Che il piano 1 esista su un lato non lo crea sull'altro: i due lati si accertano separatamente.</w:t>
      </w:r>
    </w:p>
    <w:p>
      <w:pPr>
        <w:spacing w:after="120" w:line="276"/>
        <w:jc w:val="both"/>
      </w:pPr>
      <w:r>
        <w:rPr>
          <w:rFonts w:ascii="Barlow Semi Condensed" w:cs="Barlow Semi Condensed" w:eastAsia="Barlow Semi Condensed" w:hAnsi="Barlow Semi Condensed"/>
          <w:b/>
          <w:bCs/>
          <w:sz w:val="24"/>
          <w:szCs w:val="24"/>
        </w:rPr>
        <w:t xml:space="preserve">1509 · Pieczenik, una sola occorrenza.</w:t>
      </w:r>
      <w:r>
        <w:rPr>
          <w:rFonts w:ascii="Barlow Semi Condensed" w:cs="Barlow Semi Condensed" w:eastAsia="Barlow Semi Condensed" w:hAnsi="Barlow Semi Condensed"/>
          <w:sz w:val="24"/>
          <w:szCs w:val="24"/>
        </w:rPr>
        <w:t xml:space="preserve"> Il nome del consulente inviato ad assistere il comitato di crisi compare una sola volta nel territorio, dentro M-5, e in forma di dichiarazione successiva dell'interessato. La presenza è documentata; la dichiarazione resta dichiarazione. Bersaglio: reperire l'atto che ne formalizzò l'incarico e la sua collocazione negli atti della Commissione d'inchiesta. Senza quell'atto la presenza è accertata e il ruolo resta descritto da chi lo ricoprì.</w:t>
      </w:r>
    </w:p>
    <w:p>
      <w:pPr>
        <w:spacing w:after="120" w:line="276"/>
        <w:jc w:val="both"/>
      </w:pPr>
      <w:r>
        <w:rPr>
          <w:rFonts w:ascii="Barlow Semi Condensed" w:cs="Barlow Semi Condensed" w:eastAsia="Barlow Semi Condensed" w:hAnsi="Barlow Semi Condensed"/>
          <w:b/>
          <w:bCs/>
          <w:sz w:val="24"/>
          <w:szCs w:val="24"/>
        </w:rPr>
        <w:t xml:space="preserve">1510 · Il nome ottenuto in aula.</w:t>
      </w:r>
      <w:r>
        <w:rPr>
          <w:rFonts w:ascii="Barlow Semi Condensed" w:cs="Barlow Semi Condensed" w:eastAsia="Barlow Semi Condensed" w:hAnsi="Barlow Semi Condensed"/>
          <w:sz w:val="24"/>
          <w:szCs w:val="24"/>
        </w:rPr>
        <w:t xml:space="preserve"> La vedova parlò in aula di «un'alta personalità» senza nominarla, e fu il presidente della corte, richiamando il portavoce, a ottenere l'indicazione. L'attribuzione del nome è dunque essa stessa indiretta: non offerta dalla teste, ma ricavata da un confronto processuale. Nel territorio guevariano non esiste episodio di struttura comparabile, e per questo il punto va spiegato ogni volta che si cita M-5, e non dato per noto.</w:t>
      </w:r>
    </w:p>
    <w:p>
      <w:pPr>
        <w:spacing w:after="120" w:line="276"/>
        <w:jc w:val="both"/>
      </w:pPr>
      <w:r>
        <w:rPr>
          <w:rFonts w:ascii="Barlow Semi Condensed" w:cs="Barlow Semi Condensed" w:eastAsia="Barlow Semi Condensed" w:hAnsi="Barlow Semi Condensed"/>
          <w:b/>
          <w:bCs/>
          <w:sz w:val="24"/>
          <w:szCs w:val="24"/>
        </w:rPr>
        <w:t xml:space="preserve">1511 · Le date che oscillano.</w:t>
      </w:r>
      <w:r>
        <w:rPr>
          <w:rFonts w:ascii="Barlow Semi Condensed" w:cs="Barlow Semi Condensed" w:eastAsia="Barlow Semi Condensed" w:hAnsi="Barlow Semi Condensed"/>
          <w:sz w:val="24"/>
          <w:szCs w:val="24"/>
        </w:rPr>
        <w:t xml:space="preserve"> M-5 colloca l'episodio nel settembre 1974. Una fonte d'agenzia statunitense dell'aprile 1983 lo pone invece in un alterco all'ambasciata d'Italia a Washington nel 1977; altre sintesi indicano il 1976. Nel 1977 il soggetto non era più Segretario di Stato, essendo cessato il 20 gennaio. La divergenza è dirimente per chi voglia legare l'episodio a una carica, e si riporta senza scioglierla: scioglierla d'ufficio sarebbe scegliere in silenzio.</w:t>
      </w:r>
    </w:p>
    <w:p>
      <w:pPr>
        <w:spacing w:after="120" w:line="276"/>
        <w:jc w:val="both"/>
      </w:pPr>
      <w:r>
        <w:rPr>
          <w:rFonts w:ascii="Barlow Semi Condensed" w:cs="Barlow Semi Condensed" w:eastAsia="Barlow Semi Condensed" w:hAnsi="Barlow Semi Condensed"/>
          <w:b/>
          <w:bCs/>
          <w:sz w:val="24"/>
          <w:szCs w:val="24"/>
        </w:rPr>
        <w:t xml:space="preserve">1512 · Sede parlamentare e contenuto.</w:t>
      </w:r>
      <w:r>
        <w:rPr>
          <w:rFonts w:ascii="Barlow Semi Condensed" w:cs="Barlow Semi Condensed" w:eastAsia="Barlow Semi Condensed" w:hAnsi="Barlow Semi Condensed"/>
          <w:sz w:val="24"/>
          <w:szCs w:val="24"/>
        </w:rPr>
        <w:t xml:space="preserve"> L'audizione della vedova davanti alla Commissione d'inchiesta è del 1° agosto 1980, e la sede è confermata; il contenuto verbatim attribuito a quella sede non lo è, perché le sintesi riferiscono la frase alla deposizione giudiziaria del novembre 1982 e all'audizione del 1980 il richiamo a minacce risalenti al 1975. Sede e contenuto vanno tenuti distinti. La chiusura sta nei resoconti stenografici della Commissione, ottava legislatura.</w:t>
      </w:r>
    </w:p>
    <w:p>
      <w:pPr>
        <w:spacing w:after="120" w:line="276"/>
        <w:jc w:val="both"/>
      </w:pPr>
      <w:r>
        <w:rPr>
          <w:rFonts w:ascii="Barlow Semi Condensed" w:cs="Barlow Semi Condensed" w:eastAsia="Barlow Semi Condensed" w:hAnsi="Barlow Semi Condensed"/>
          <w:b/>
          <w:bCs/>
          <w:sz w:val="24"/>
          <w:szCs w:val="24"/>
        </w:rPr>
        <w:t xml:space="preserve">1513 · Il verbale non contiene l'ultimatum.</w:t>
      </w:r>
      <w:r>
        <w:rPr>
          <w:rFonts w:ascii="Barlow Semi Condensed" w:cs="Barlow Semi Condensed" w:eastAsia="Barlow Semi Condensed" w:hAnsi="Barlow Semi Condensed"/>
          <w:sz w:val="24"/>
          <w:szCs w:val="24"/>
        </w:rPr>
        <w:t xml:space="preserve"> Accertamento già fissato, da richiamare ogni volta che M-5 viene letto: il memorandum dello Studio Ovale del 25 settembre 1974 — Leone, Moro, Ford, Kissinger, Scowcroft, documento 350 del volume E-15 parte 2 nella seconda edizione riveduta, file 1552802 della Ford Library — non contiene alcun ultimatum personale. Attesta la posizione sul non poter scambiare informazioni militari con un governo che includesse i comunisti. È altro, e dice altro.</w:t>
      </w:r>
    </w:p>
    <w:p>
      <w:pPr>
        <w:spacing w:after="120" w:line="276"/>
        <w:jc w:val="both"/>
      </w:pPr>
      <w:r>
        <w:rPr>
          <w:rFonts w:ascii="Barlow Semi Condensed" w:cs="Barlow Semi Condensed" w:eastAsia="Barlow Semi Condensed" w:hAnsi="Barlow Semi Condensed"/>
          <w:b/>
          <w:bCs/>
          <w:sz w:val="24"/>
          <w:szCs w:val="24"/>
        </w:rPr>
        <w:t xml:space="preserve">1514 · Il vincolo del giudicato.</w:t>
      </w:r>
      <w:r>
        <w:rPr>
          <w:rFonts w:ascii="Barlow Semi Condensed" w:cs="Barlow Semi Condensed" w:eastAsia="Barlow Semi Condensed" w:hAnsi="Barlow Semi Condensed"/>
          <w:sz w:val="24"/>
          <w:szCs w:val="24"/>
        </w:rPr>
        <w:t xml:space="preserve"> Nessuna sentenza definitiva ha attribuito ad alcuna autorità statunitense responsabilità penali nel sequestro e nell'omicidio di Aldo Moro; le condanne definitive riguardano esponenti delle Brigate Rosse, e l'episodio non ha mai formato oggetto d'imputazione. Il soggetto di quest'opera non fu condannato, imputato né processato in alcun Paese. Il territorio guevariano non muta questo vincolo di una virgola, e nessun blocco della serie lo tratta come mutabile.</w:t>
      </w:r>
    </w:p>
    <w:p>
      <w:pPr>
        <w:spacing w:after="120" w:line="276"/>
        <w:jc w:val="both"/>
      </w:pPr>
      <w:r>
        <w:rPr>
          <w:rFonts w:ascii="Barlow Semi Condensed" w:cs="Barlow Semi Condensed" w:eastAsia="Barlow Semi Condensed" w:hAnsi="Barlow Semi Condensed"/>
          <w:b/>
          <w:bCs/>
          <w:sz w:val="24"/>
          <w:szCs w:val="24"/>
        </w:rPr>
        <w:t xml:space="preserve">1515 · Le smentite italiane e la loro divergenza (serie XX).</w:t>
      </w:r>
      <w:r>
        <w:rPr>
          <w:rFonts w:ascii="Barlow Semi Condensed" w:cs="Barlow Semi Condensed" w:eastAsia="Barlow Semi Condensed" w:hAnsi="Barlow Semi Condensed"/>
          <w:sz w:val="24"/>
          <w:szCs w:val="24"/>
        </w:rPr>
        <w:t xml:space="preserve"> Due testimoni italiani qualificati hanno negato la minaccia: uno la definì leggenda senza fondamento, dicendo di averlo verificato allora con l'interprete perché Moro non parlava inglese, salvo descrivere altrove un colloquio politicamente durissimo; l'altro parlò di solo un problema di linguaggio. Nessuno dei due era presente al colloquio riservato. La divergenza interna alla prima smentita si riporta com'è: distingue il rimprovero aspro dalla minaccia, e non le confonde.</w:t>
      </w:r>
    </w:p>
    <w:p>
      <w:pPr>
        <w:spacing w:after="120" w:line="276"/>
        <w:jc w:val="both"/>
      </w:pPr>
      <w:r>
        <w:rPr>
          <w:rFonts w:ascii="Barlow Semi Condensed" w:cs="Barlow Semi Condensed" w:eastAsia="Barlow Semi Condensed" w:hAnsi="Barlow Semi Condensed"/>
          <w:b/>
          <w:bCs/>
          <w:sz w:val="24"/>
          <w:szCs w:val="24"/>
        </w:rPr>
        <w:t xml:space="preserve">1516 · Un giorno di distanza.</w:t>
      </w:r>
      <w:r>
        <w:rPr>
          <w:rFonts w:ascii="Barlow Semi Condensed" w:cs="Barlow Semi Condensed" w:eastAsia="Barlow Semi Condensed" w:hAnsi="Barlow Semi Condensed"/>
          <w:sz w:val="24"/>
          <w:szCs w:val="24"/>
        </w:rPr>
        <w:t xml:space="preserve"> La data della morte, 29 novembre 2023, e la data del lancio d'agenzia che rimise in circolo l'episodio, 30 novembre 2023, distano ventiquattr'ore. È coincidenza editoriale di cui prendere atto senza ricavarne nulla: le necrologie riattivano gli archivi. Ma spiega la simultaneità delle decine di riprese identiche e le toglie ogni valore di convergenza. Fonti che appaiono insieme perché nascono dallo stesso lancio non sono fonti indipendenti.</w:t>
      </w:r>
    </w:p>
    <w:p>
      <w:pPr>
        <w:spacing w:after="120" w:line="276"/>
        <w:jc w:val="both"/>
      </w:pPr>
      <w:r>
        <w:rPr>
          <w:rFonts w:ascii="Barlow Semi Condensed" w:cs="Barlow Semi Condensed" w:eastAsia="Barlow Semi Condensed" w:hAnsi="Barlow Semi Condensed"/>
          <w:b/>
          <w:bCs/>
          <w:sz w:val="24"/>
          <w:szCs w:val="24"/>
        </w:rPr>
        <w:t xml:space="preserve">1517 · Un atto coevo chiuderebbe il nodo.</w:t>
      </w:r>
      <w:r>
        <w:rPr>
          <w:rFonts w:ascii="Barlow Semi Condensed" w:cs="Barlow Semi Condensed" w:eastAsia="Barlow Semi Condensed" w:hAnsi="Barlow Semi Condensed"/>
          <w:sz w:val="24"/>
          <w:szCs w:val="24"/>
        </w:rPr>
        <w:t xml:space="preserve"> Chiuderebbe M-5, in un senso o nell'altro, soltanto un atto coevo: un appunto della delegazione italiana, un telespresso di ritorno dalla missione, una nota manoscritta fra le carte del ministro. Le sedi sono già censite dai cantieri del corpus: il fondo personale all'Archivio centrale dello Stato, il fondo familiare presso l'istituto privato che lo conserva, il deposito del Senato con segnatura propria. È bersaglio archivistico, non materia di dibattito.</w:t>
      </w:r>
    </w:p>
    <w:p>
      <w:pPr>
        <w:spacing w:after="120" w:line="276"/>
        <w:jc w:val="both"/>
      </w:pPr>
      <w:r>
        <w:rPr>
          <w:rFonts w:ascii="Barlow Semi Condensed" w:cs="Barlow Semi Condensed" w:eastAsia="Barlow Semi Condensed" w:hAnsi="Barlow Semi Condensed"/>
          <w:b/>
          <w:bCs/>
          <w:sz w:val="24"/>
          <w:szCs w:val="24"/>
        </w:rPr>
        <w:t xml:space="preserve">1518 · Sincronia non è nesso.</w:t>
      </w:r>
      <w:r>
        <w:rPr>
          <w:rFonts w:ascii="Barlow Semi Condensed" w:cs="Barlow Semi Condensed" w:eastAsia="Barlow Semi Condensed" w:hAnsi="Barlow Semi Condensed"/>
          <w:sz w:val="24"/>
          <w:szCs w:val="24"/>
        </w:rPr>
        <w:t xml:space="preserve"> Alla cattura di Guevara il presidente del Consiglio italiano era Aldo Moro, e sotto i suoi governi maturarono le manifestazioni e l'onda del Sessantotto: così registra M-1. È cronologia esatta e non produce nulla. La stessa regola vale per il soggetto di quest'opera rispetto a ogni evento del territorio: la contemporaneità non è prova di nesso, e la coincidenza di calendario è la più povera delle convergenze.</w:t>
      </w:r>
    </w:p>
    <w:p>
      <w:pPr>
        <w:spacing w:after="120" w:line="276"/>
        <w:jc w:val="both"/>
      </w:pPr>
      <w:r>
        <w:rPr>
          <w:rFonts w:ascii="Barlow Semi Condensed" w:cs="Barlow Semi Condensed" w:eastAsia="Barlow Semi Condensed" w:hAnsi="Barlow Semi Condensed"/>
          <w:b/>
          <w:bCs/>
          <w:sz w:val="24"/>
          <w:szCs w:val="24"/>
        </w:rPr>
        <w:t xml:space="preserve">1519 · Il vettore e le carte americane (serie XX).</w:t>
      </w:r>
      <w:r>
        <w:rPr>
          <w:rFonts w:ascii="Barlow Semi Condensed" w:cs="Barlow Semi Condensed" w:eastAsia="Barlow Semi Condensed" w:hAnsi="Barlow Semi Condensed"/>
          <w:sz w:val="24"/>
          <w:szCs w:val="24"/>
        </w:rPr>
        <w:t xml:space="preserve"> Il nodo M-2 documenta l'operazione editoriale: diritti del diario boliviano e fotografia di Korda acquisiti nell'estate 1967, edizione del 1968 con prefazione di Castro, centinaia di manifesti. Quesito già formulato al blocco 709 dell'opera e qui riaffermato: se nei fondi statunitensi consultabili esistano valutazioni coeve sull'editore, e in quali serie. Se esistono entrano col grado della loro natura; se non esistono si verbalizza il vuoto con le serie interrogate.</w:t>
      </w:r>
    </w:p>
    <w:p>
      <w:pPr>
        <w:spacing w:after="120" w:line="276"/>
        <w:jc w:val="both"/>
      </w:pPr>
      <w:r>
        <w:rPr>
          <w:rFonts w:ascii="Barlow Semi Condensed" w:cs="Barlow Semi Condensed" w:eastAsia="Barlow Semi Condensed" w:hAnsi="Barlow Semi Condensed"/>
          <w:b/>
          <w:bCs/>
          <w:sz w:val="24"/>
          <w:szCs w:val="24"/>
        </w:rPr>
        <w:t xml:space="preserve">1520 · La filiazione dichiarata e il suo limite.</w:t>
      </w:r>
      <w:r>
        <w:rPr>
          <w:rFonts w:ascii="Barlow Semi Condensed" w:cs="Barlow Semi Condensed" w:eastAsia="Barlow Semi Condensed" w:hAnsi="Barlow Semi Condensed"/>
          <w:sz w:val="24"/>
          <w:szCs w:val="24"/>
        </w:rPr>
        <w:t xml:space="preserve"> Le Brigate Rosse, fondate a Pecorile nell'agosto 1970, assunsero Guevara a modello individuale e i Tupamaros come fonte del simbolo: è omologia, perché la discendenza viene affermata dai discendenti stessi. Da essa non discende nulla in punto di responsabilità, poiché Guevara era morto undici anni prima di via Fani. La regola che assolve lui vale identica per chiunque altro sia stato invocato da terzi, e va applicata con la stessa mano.</w:t>
      </w:r>
    </w:p>
    <w:p>
      <w:pPr>
        <w:spacing w:after="120" w:line="276"/>
        <w:jc w:val="both"/>
      </w:pPr>
      <w:r>
        <w:rPr>
          <w:rFonts w:ascii="Barlow Semi Condensed" w:cs="Barlow Semi Condensed" w:eastAsia="Barlow Semi Condensed" w:hAnsi="Barlow Semi Condensed"/>
          <w:b/>
          <w:bCs/>
          <w:sz w:val="24"/>
          <w:szCs w:val="24"/>
        </w:rPr>
        <w:t xml:space="preserve">1521 · Il Cile nominato senza il nome.</w:t>
      </w:r>
      <w:r>
        <w:rPr>
          <w:rFonts w:ascii="Barlow Semi Condensed" w:cs="Barlow Semi Condensed" w:eastAsia="Barlow Semi Condensed" w:hAnsi="Barlow Semi Condensed"/>
          <w:sz w:val="24"/>
          <w:szCs w:val="24"/>
        </w:rPr>
        <w:t xml:space="preserve"> Verifica puntuale ed esito da registrare: il nodo M-4 fa del caso cileno lo snodo che convalidò due letture opposte, guevarista e berlingueriana, ma non nomina il soggetto di quest'opera. Il nome compare per quella vicenda in altro documento del corpus, non in questo territorio. La distinzione va conservata: ciò che il territorio assegnato contiene è una cosa, ciò che il corpus contiene altrove è un'altra, e mescolarle falsa la misura.</w:t>
      </w:r>
    </w:p>
    <w:p>
      <w:pPr>
        <w:spacing w:after="120" w:line="276"/>
        <w:jc w:val="both"/>
      </w:pPr>
      <w:r>
        <w:rPr>
          <w:rFonts w:ascii="Barlow Semi Condensed" w:cs="Barlow Semi Condensed" w:eastAsia="Barlow Semi Condensed" w:hAnsi="Barlow Semi Condensed"/>
          <w:b/>
          <w:bCs/>
          <w:sz w:val="24"/>
          <w:szCs w:val="24"/>
        </w:rPr>
        <w:t xml:space="preserve">1522 · Gli epistolari e la loro gestione.</w:t>
      </w:r>
      <w:r>
        <w:rPr>
          <w:rFonts w:ascii="Barlow Semi Condensed" w:cs="Barlow Semi Condensed" w:eastAsia="Barlow Semi Condensed" w:hAnsi="Barlow Semi Condensed"/>
          <w:sz w:val="24"/>
          <w:szCs w:val="24"/>
        </w:rPr>
        <w:t xml:space="preserve"> Lettera d'addio letta pubblicamente il 3 ottobre 1965 e circa novanta lettere dalla prigionia del 1978: M-6 le accosta perché in entrambi i casi il testo del prigioniero o del partente fu gestito politicamente da chi lo riceveva. Il nome qui studiato non compare in nessuno dei due epistolari, né come destinatario né come oggetto. Stato Zero, con la sede che lo chiuderebbe: il corpus delle lettere in edizione critica.</w:t>
      </w:r>
    </w:p>
    <w:p>
      <w:pPr>
        <w:spacing w:after="120" w:line="276"/>
        <w:jc w:val="both"/>
      </w:pPr>
      <w:r>
        <w:rPr>
          <w:rFonts w:ascii="Barlow Semi Condensed" w:cs="Barlow Semi Condensed" w:eastAsia="Barlow Semi Condensed" w:hAnsi="Barlow Semi Condensed"/>
          <w:b/>
          <w:bCs/>
          <w:sz w:val="24"/>
          <w:szCs w:val="24"/>
        </w:rPr>
        <w:t xml:space="preserve">1523 · Le due fotografie.</w:t>
      </w:r>
      <w:r>
        <w:rPr>
          <w:rFonts w:ascii="Barlow Semi Condensed" w:cs="Barlow Semi Condensed" w:eastAsia="Barlow Semi Condensed" w:hAnsi="Barlow Semi Condensed"/>
          <w:sz w:val="24"/>
          <w:szCs w:val="24"/>
        </w:rPr>
        <w:t xml:space="preserve"> Il corpo esposto nella lavanderia di Vallegrande il 10 ottobre 1967 e il bagagliaio di via Caetani del 9 maggio 1978 sono, secondo M-7, i due assi della memoria visiva dei rispettivi casi. Nessuna delle due immagini ha rapporto documentale con il soggetto di quest'opera, e la loro opposizione compositiva appartiene alla storia dell'iconografia. Una somiglianza di inquadratura non è mai un indizio di rapporto fra persone.</w:t>
      </w:r>
    </w:p>
    <w:p>
      <w:pPr>
        <w:spacing w:after="120" w:line="276"/>
        <w:jc w:val="both"/>
      </w:pPr>
      <w:r>
        <w:rPr>
          <w:rFonts w:ascii="Barlow Semi Condensed" w:cs="Barlow Semi Condensed" w:eastAsia="Barlow Semi Condensed" w:hAnsi="Barlow Semi Condensed"/>
          <w:b/>
          <w:bCs/>
          <w:sz w:val="24"/>
          <w:szCs w:val="24"/>
        </w:rPr>
        <w:t xml:space="preserve">1524 · Reperti contesi e riaperture.</w:t>
      </w:r>
      <w:r>
        <w:rPr>
          <w:rFonts w:ascii="Barlow Semi Condensed" w:cs="Barlow Semi Condensed" w:eastAsia="Barlow Semi Condensed" w:hAnsi="Barlow Semi Condensed"/>
          <w:sz w:val="24"/>
          <w:szCs w:val="24"/>
        </w:rPr>
        <w:t xml:space="preserve"> Un medesimo andamento attraversa i due casi secondo M-8: reperto documentale conteso, verità giudiziaria incompleta, riaperture a decenni di distanza. Diario sequestrato e pubblicato nel 1968, resti ritrovati nel 1997; memoriale di via Monte Nevoso emerso in due tempi, cinque processi, due Commissioni. È regolarità di comportamento delle fonti, non di persone. Come tale non sostiene alcuna inferenza sul nome, e va tenuta al piano che le compete.</w:t>
      </w:r>
    </w:p>
    <w:p>
      <w:pPr>
        <w:spacing w:after="120" w:line="276"/>
        <w:jc w:val="both"/>
      </w:pPr>
      <w:r>
        <w:rPr>
          <w:rFonts w:ascii="Barlow Semi Condensed" w:cs="Barlow Semi Condensed" w:eastAsia="Barlow Semi Condensed" w:hAnsi="Barlow Semi Condensed"/>
          <w:b/>
          <w:bCs/>
          <w:sz w:val="24"/>
          <w:szCs w:val="24"/>
        </w:rPr>
        <w:t xml:space="preserve">1525 · Il decennale del 1977.</w:t>
      </w:r>
      <w:r>
        <w:rPr>
          <w:rFonts w:ascii="Barlow Semi Condensed" w:cs="Barlow Semi Condensed" w:eastAsia="Barlow Semi Condensed" w:hAnsi="Barlow Semi Condensed"/>
          <w:sz w:val="24"/>
          <w:szCs w:val="24"/>
        </w:rPr>
        <w:t xml:space="preserve"> Il decennale della morte del Che cadde nell'ottobre 1977, dentro il movimento di quell'anno e pochi mesi prima di via Fani: M-9 lo registra come contesto simbolico e lo dichiara tale. Nel medesimo intervallo il soggetto di quest'opera aveva già lasciato entrambi gli incarichi, il secondo il 20 gennaio 1977. La coincidenza di calendario, anche quando è esatta, non fonda nulla, e va scritta proprio per non essere riusata.</w:t>
      </w:r>
    </w:p>
    <w:p>
      <w:pPr>
        <w:spacing w:after="120" w:line="276"/>
        <w:jc w:val="both"/>
      </w:pPr>
      <w:r>
        <w:rPr>
          <w:rFonts w:ascii="Barlow Semi Condensed" w:cs="Barlow Semi Condensed" w:eastAsia="Barlow Semi Condensed" w:hAnsi="Barlow Semi Condensed"/>
          <w:b/>
          <w:bCs/>
          <w:sz w:val="24"/>
          <w:szCs w:val="24"/>
        </w:rPr>
        <w:t xml:space="preserve">1526 · I sei paralleli sono dichiarati.</w:t>
      </w:r>
      <w:r>
        <w:rPr>
          <w:rFonts w:ascii="Barlow Semi Condensed" w:cs="Barlow Semi Condensed" w:eastAsia="Barlow Semi Condensed" w:hAnsi="Barlow Semi Condensed"/>
          <w:sz w:val="24"/>
          <w:szCs w:val="24"/>
        </w:rPr>
        <w:t xml:space="preserve"> I paralleli da P-1 a P-6 — esecuzione deliberata, decisione presa da chi temeva il prigioniero vivo, testo autografo conteso, trasfigurazione postuma, anniversari contesi, vulgate del tradimento — sono presentati dal documento stesso come analogie non causali, e la qualificazione sta nel titolo del paragrafo. Chi li citi senza quella qualificazione compie l'operazione che il documento vieta. Il nome studiato non compare in nessuno dei sei.</w:t>
      </w:r>
    </w:p>
    <w:p>
      <w:pPr>
        <w:spacing w:after="120" w:line="276"/>
        <w:jc w:val="both"/>
      </w:pPr>
      <w:r>
        <w:rPr>
          <w:rFonts w:ascii="Barlow Semi Condensed" w:cs="Barlow Semi Condensed" w:eastAsia="Barlow Semi Condensed" w:hAnsi="Barlow Semi Condensed"/>
          <w:b/>
          <w:bCs/>
          <w:sz w:val="24"/>
          <w:szCs w:val="24"/>
        </w:rPr>
        <w:t xml:space="preserve">1527 · La divergenza che protegge.</w:t>
      </w:r>
      <w:r>
        <w:rPr>
          <w:rFonts w:ascii="Barlow Semi Condensed" w:cs="Barlow Semi Condensed" w:eastAsia="Barlow Semi Condensed" w:hAnsi="Barlow Semi Condensed"/>
          <w:sz w:val="24"/>
          <w:szCs w:val="24"/>
        </w:rPr>
        <w:t xml:space="preserve"> La divergenza D-3 è la più utile a questa serie: l'ostilità di Washington ai due uomini ha radici opposte, perché Guevara ne fu il bersaglio come nemico dichiarato dell'alleanza, mentre il progetto di Moro era osteggiato pur non essendo filosovietico, con un Partito comunista in rotta da Mosca. Radici opposte impediscono di trattare le due ostilità come un'unica politica, ed è precisamente ciò che la combinatoria vorrebbe fare.</w:t>
      </w:r>
    </w:p>
    <w:p>
      <w:pPr>
        <w:spacing w:after="120" w:line="276"/>
        <w:jc w:val="both"/>
      </w:pPr>
      <w:r>
        <w:rPr>
          <w:rFonts w:ascii="Barlow Semi Condensed" w:cs="Barlow Semi Condensed" w:eastAsia="Barlow Semi Condensed" w:hAnsi="Barlow Semi Condensed"/>
          <w:b/>
          <w:bCs/>
          <w:sz w:val="24"/>
          <w:szCs w:val="24"/>
        </w:rPr>
        <w:t xml:space="preserve">1528 · Le due storiografie e i loro vizi.</w:t>
      </w:r>
      <w:r>
        <w:rPr>
          <w:rFonts w:ascii="Barlow Semi Condensed" w:cs="Barlow Semi Condensed" w:eastAsia="Barlow Semi Condensed" w:hAnsi="Barlow Semi Condensed"/>
          <w:sz w:val="24"/>
          <w:szCs w:val="24"/>
        </w:rPr>
        <w:t xml:space="preserve"> Sul Che pesa l'agiografia di Stato cubana, su Moro la dietrologia italiana, e i correttivi critici richiesti sono di segno diverso: così avverte D-4. Ne discende una cautela per chi legge M-5, perché la fonte italiana che vi compare appartiene al dominio in cui il vizio è la dietrologia. Questo non la squalifica: la colloca. E collocare una fonte nel suo dominio è metà del lavoro di valutazione.</w:t>
      </w:r>
    </w:p>
    <w:p>
      <w:pPr>
        <w:spacing w:after="120" w:line="276"/>
        <w:jc w:val="both"/>
      </w:pPr>
      <w:r>
        <w:rPr>
          <w:rFonts w:ascii="Barlow Semi Condensed" w:cs="Barlow Semi Condensed" w:eastAsia="Barlow Semi Condensed" w:hAnsi="Barlow Semi Condensed"/>
          <w:b/>
          <w:bCs/>
          <w:sz w:val="24"/>
          <w:szCs w:val="24"/>
        </w:rPr>
        <w:t xml:space="preserve">1529 · Il perimetro dichiarato come modello.</w:t>
      </w:r>
      <w:r>
        <w:rPr>
          <w:rFonts w:ascii="Barlow Semi Condensed" w:cs="Barlow Semi Condensed" w:eastAsia="Barlow Semi Condensed" w:hAnsi="Barlow Semi Condensed"/>
          <w:sz w:val="24"/>
          <w:szCs w:val="24"/>
        </w:rPr>
        <w:t xml:space="preserve"> Il paragrafo introduttivo del secondo documento dichiara che duemila triangolazioni non esistono materialmente, e che eseguirle significherebbe duplicare verifiche o inventare nodi. È la frase più onesta del territorio e vale come regola per questa serie: dove il materiale finisce, si dice che finisce. Un blocco che dichiara bene un'assenza vale più di un blocco che suggerisce una presenza, e il territorio lo aveva già capito.</w:t>
      </w:r>
    </w:p>
    <w:p>
      <w:pPr>
        <w:spacing w:after="120" w:line="276"/>
        <w:jc w:val="both"/>
      </w:pPr>
      <w:r>
        <w:rPr>
          <w:rFonts w:ascii="Barlow Semi Condensed" w:cs="Barlow Semi Condensed" w:eastAsia="Barlow Semi Condensed" w:hAnsi="Barlow Semi Condensed"/>
          <w:b/>
          <w:bCs/>
          <w:sz w:val="24"/>
          <w:szCs w:val="24"/>
        </w:rPr>
        <w:t xml:space="preserve">1530 · Ann Arbor, i fascicoli latinoamericani.</w:t>
      </w:r>
      <w:r>
        <w:rPr>
          <w:rFonts w:ascii="Barlow Semi Condensed" w:cs="Barlow Semi Condensed" w:eastAsia="Barlow Semi Condensed" w:hAnsi="Barlow Semi Condensed"/>
          <w:sz w:val="24"/>
          <w:szCs w:val="24"/>
        </w:rPr>
        <w:t xml:space="preserve"> Bersaglio con sede: alla Gerald R. Ford Presidential Library, che conserva come file 1552802 il verbale del 25 settembre 1974, verificare esistenza e consistenza di fascicoli del Consiglio di sicurezza nazionale relativi all'America latina e alla Bolivia per gli anni 1974-1977. Prima l'inventario, poi il documento. Esito atteso: irrilevante per Guevara, morto nel 1967, e semmai rilevante per la memoria istituzionale di quella campagna.</w:t>
      </w:r>
    </w:p>
    <w:p>
      <w:pPr>
        <w:spacing w:after="120" w:line="276"/>
        <w:jc w:val="both"/>
      </w:pPr>
      <w:r>
        <w:rPr>
          <w:rFonts w:ascii="Barlow Semi Condensed" w:cs="Barlow Semi Condensed" w:eastAsia="Barlow Semi Condensed" w:hAnsi="Barlow Semi Condensed"/>
          <w:b/>
          <w:bCs/>
          <w:sz w:val="24"/>
          <w:szCs w:val="24"/>
        </w:rPr>
        <w:t xml:space="preserve">1531 · College Park, i fascicoli per paese.</w:t>
      </w:r>
      <w:r>
        <w:rPr>
          <w:rFonts w:ascii="Barlow Semi Condensed" w:cs="Barlow Semi Condensed" w:eastAsia="Barlow Semi Condensed" w:hAnsi="Barlow Semi Condensed"/>
          <w:sz w:val="24"/>
          <w:szCs w:val="24"/>
        </w:rPr>
        <w:t xml:space="preserve"> Ai National Archives di College Park i fondi del Dipartimento di Stato e i materiali presidenziali Nixon conservano i fascicoli per paese del Consiglio di sicurezza nazionale, già indicati come bersaglio ai blocchi 284 e 305 dell'opera per il versante italiano. Il quesito derivato per questa serie è simmetrico e va verbalizzato: se esista un fascicolo Bolivia, e se contenga materiale posteriore al gennaio 1969 sulla campagna del 1967.</w:t>
      </w:r>
    </w:p>
    <w:p>
      <w:pPr>
        <w:spacing w:after="120" w:line="276"/>
        <w:jc w:val="both"/>
      </w:pPr>
      <w:r>
        <w:rPr>
          <w:rFonts w:ascii="Barlow Semi Condensed" w:cs="Barlow Semi Condensed" w:eastAsia="Barlow Semi Condensed" w:hAnsi="Barlow Semi Condensed"/>
          <w:b/>
          <w:bCs/>
          <w:sz w:val="24"/>
          <w:szCs w:val="24"/>
        </w:rPr>
        <w:t xml:space="preserve">1532 · Austin, il fascicolo Bolivia 1967.</w:t>
      </w:r>
      <w:r>
        <w:rPr>
          <w:rFonts w:ascii="Barlow Semi Condensed" w:cs="Barlow Semi Condensed" w:eastAsia="Barlow Semi Condensed" w:hAnsi="Barlow Semi Condensed"/>
          <w:sz w:val="24"/>
          <w:szCs w:val="24"/>
        </w:rPr>
        <w:t xml:space="preserve"> La sede propria per la decisione politica che accompagnò l'assistenza militare a La Paz è la Lyndon Baines Johnson Library di Austin, con i fascicoli-paese Bolivia e i memorandum del Consiglio di sicurezza nazionale del 1966-1968. È l'amministrazione in carica al momento dei fatti. Formulare il quesito lì, e non altrove, è la sola forma di rispetto per la cronologia che questa serie possa offrire al territorio guevariano.</w:t>
      </w:r>
    </w:p>
    <w:p>
      <w:pPr>
        <w:spacing w:after="120" w:line="276"/>
        <w:jc w:val="both"/>
      </w:pPr>
      <w:r>
        <w:rPr>
          <w:rFonts w:ascii="Barlow Semi Condensed" w:cs="Barlow Semi Condensed" w:eastAsia="Barlow Semi Condensed" w:hAnsi="Barlow Semi Condensed"/>
          <w:b/>
          <w:bCs/>
          <w:sz w:val="24"/>
          <w:szCs w:val="24"/>
        </w:rPr>
        <w:t xml:space="preserve">1533 · New Haven e Washington, le carte personali.</w:t>
      </w:r>
      <w:r>
        <w:rPr>
          <w:rFonts w:ascii="Barlow Semi Condensed" w:cs="Barlow Semi Condensed" w:eastAsia="Barlow Semi Condensed" w:hAnsi="Barlow Semi Condensed"/>
          <w:sz w:val="24"/>
          <w:szCs w:val="24"/>
        </w:rPr>
        <w:t xml:space="preserve"> Le carte private sono depositate presso Manuscripts and Archives della Yale University Library; quelle prodotte nelle cariche pubbliche presso la Manuscript Division della Library of Congress, con un atto di donazione le cui clausole d'accesso vanno lette prima delle carte stesse. Quesito per questo territorio: se gli strumenti di ricerca registrino unità relative a Bolivia, Cuba o America latina meridionale negli anni degli incarichi. La risposta è archivistica, non storica.</w:t>
      </w:r>
    </w:p>
    <w:p>
      <w:pPr>
        <w:spacing w:after="120" w:line="276"/>
        <w:jc w:val="both"/>
      </w:pPr>
      <w:r>
        <w:rPr>
          <w:rFonts w:ascii="Barlow Semi Condensed" w:cs="Barlow Semi Condensed" w:eastAsia="Barlow Semi Condensed" w:hAnsi="Barlow Semi Condensed"/>
          <w:b/>
          <w:bCs/>
          <w:sz w:val="24"/>
          <w:szCs w:val="24"/>
        </w:rPr>
        <w:t xml:space="preserve">1534 · Milano, le carte dell'editore.</w:t>
      </w:r>
      <w:r>
        <w:rPr>
          <w:rFonts w:ascii="Barlow Semi Condensed" w:cs="Barlow Semi Condensed" w:eastAsia="Barlow Semi Condensed" w:hAnsi="Barlow Semi Condensed"/>
          <w:sz w:val="24"/>
          <w:szCs w:val="24"/>
        </w:rPr>
        <w:t xml:space="preserve"> La Fondazione Giangiacomo Feltrinelli, istituita per decreto presidenziale del 27 aprile 1974 e nata dalla biblioteca del 1949, conserva un patrimonio che il corpus quantifica in un milione e mezzo di schede, duecentocinquantamila volumi, quindicimila manifesti. Bersaglio: verificare se il fondo conservi la corrispondenza relativa all'acquisizione dei diritti del 1967 e alla campagna di manifesti. È la sede del vettore, ed è italiana, non statunitense.</w:t>
      </w:r>
    </w:p>
    <w:p>
      <w:pPr>
        <w:spacing w:after="120" w:line="276"/>
        <w:jc w:val="both"/>
      </w:pPr>
      <w:r>
        <w:rPr>
          <w:rFonts w:ascii="Barlow Semi Condensed" w:cs="Barlow Semi Condensed" w:eastAsia="Barlow Semi Condensed" w:hAnsi="Barlow Semi Condensed"/>
          <w:b/>
          <w:bCs/>
          <w:sz w:val="24"/>
          <w:szCs w:val="24"/>
        </w:rPr>
        <w:t xml:space="preserve">1535 · L'Avana, l'edizione con le correzioni.</w:t>
      </w:r>
      <w:r>
        <w:rPr>
          <w:rFonts w:ascii="Barlow Semi Condensed" w:cs="Barlow Semi Condensed" w:eastAsia="Barlow Semi Condensed" w:hAnsi="Barlow Semi Condensed"/>
          <w:sz w:val="24"/>
          <w:szCs w:val="24"/>
        </w:rPr>
        <w:t xml:space="preserve"> Il centro di studi dell'Avana ha prodotto l'edizione del discorso di Algeri con le correzioni autografe, adoperata dalla bibliografia come testo primario. Bersaglio dichiarato col suo limite: verificare condizioni d'accesso e regime di consultazione di quel fondo, sapendo che vi opera il vizio segnalato da D-4. Un fondo condizionato resta un fondo: si consulta dichiarando il condizionamento, non si esclude per sospetto e non si cita senza avvertire.</w:t>
      </w:r>
    </w:p>
    <w:p>
      <w:pPr>
        <w:spacing w:after="120" w:line="276"/>
        <w:jc w:val="both"/>
      </w:pPr>
      <w:r>
        <w:rPr>
          <w:rFonts w:ascii="Barlow Semi Condensed" w:cs="Barlow Semi Condensed" w:eastAsia="Barlow Semi Condensed" w:hAnsi="Barlow Semi Condensed"/>
          <w:b/>
          <w:bCs/>
          <w:sz w:val="24"/>
          <w:szCs w:val="24"/>
        </w:rPr>
        <w:t xml:space="preserve">1536 · La collezione del 1997.</w:t>
      </w:r>
      <w:r>
        <w:rPr>
          <w:rFonts w:ascii="Barlow Semi Condensed" w:cs="Barlow Semi Condensed" w:eastAsia="Barlow Semi Condensed" w:hAnsi="Barlow Semi Condensed"/>
          <w:sz w:val="24"/>
          <w:szCs w:val="24"/>
        </w:rPr>
        <w:t xml:space="preserve"> I materiali statunitensi declassificati nel 1997 sulla vicenda boliviana, citati ai nodi M-5 e M-8, sono raccolti in una collezione documentaria universitaria. Bersaglio preliminare: acquisire l'elenco dei documenti che la compongono con le rispettive segnature d'origine, e non la sua sintesi divulgativa. Una collezione tematica è uno strumento di ricerca, non una fonte: la fonte resta il singolo documento, col fondo da cui proviene.</w:t>
      </w:r>
    </w:p>
    <w:p>
      <w:pPr>
        <w:spacing w:after="120" w:line="276"/>
        <w:jc w:val="both"/>
      </w:pPr>
      <w:r>
        <w:rPr>
          <w:rFonts w:ascii="Barlow Semi Condensed" w:cs="Barlow Semi Condensed" w:eastAsia="Barlow Semi Condensed" w:hAnsi="Barlow Semi Condensed"/>
          <w:b/>
          <w:bCs/>
          <w:sz w:val="24"/>
          <w:szCs w:val="24"/>
        </w:rPr>
        <w:t xml:space="preserve">1537 · La procedura in due tempi.</w:t>
      </w:r>
      <w:r>
        <w:rPr>
          <w:rFonts w:ascii="Barlow Semi Condensed" w:cs="Barlow Semi Condensed" w:eastAsia="Barlow Semi Condensed" w:hAnsi="Barlow Semi Condensed"/>
          <w:sz w:val="24"/>
          <w:szCs w:val="24"/>
        </w:rPr>
        <w:t xml:space="preserve"> Prima di interrogare qualunque delle sedi elencate va applicata la procedura fissata al blocco 461 dell'opera: si misura il buco e lo si dichiara con perimetro esatto, poi se ne diagnostica la causa nella specializzazione delle fonti, e solo dopo lo si interroga sulla struttura del mondo. Saltare il secondo tempo trasforma una lacuna bibliografica in una scoperta, ed è l'errore che questo territorio rende più facile commettere.</w:t>
      </w:r>
    </w:p>
    <w:p>
      <w:pPr>
        <w:spacing w:after="120" w:line="276"/>
        <w:jc w:val="both"/>
      </w:pPr>
      <w:r>
        <w:rPr>
          <w:rFonts w:ascii="Barlow Semi Condensed" w:cs="Barlow Semi Condensed" w:eastAsia="Barlow Semi Condensed" w:hAnsi="Barlow Semi Condensed"/>
          <w:b/>
          <w:bCs/>
          <w:sz w:val="24"/>
          <w:szCs w:val="24"/>
        </w:rPr>
        <w:t xml:space="preserve">1538 · Il bilancio numerico della serie.</w:t>
      </w:r>
      <w:r>
        <w:rPr>
          <w:rFonts w:ascii="Barlow Semi Condensed" w:cs="Barlow Semi Condensed" w:eastAsia="Barlow Semi Condensed" w:hAnsi="Barlow Semi Condensed"/>
          <w:sz w:val="24"/>
          <w:szCs w:val="24"/>
        </w:rPr>
        <w:t xml:space="preserve"> Riepilogo eseguibile da chiunque: un documento del territorio con zero occorrenze del nome, un secondo con sette occorrenze capitalizzate su cinque righe, tutte dentro un solo nodo e la sua nota di revisione. Nessun rapporto di piano 1 fra il soggetto e la vicenda guevariana. Una convergenza di cornice al piano 2, dichiarata come analogia. Il resto è Stato Zero, ed è il risultato atteso, non un fallimento della ricerca.</w:t>
      </w:r>
    </w:p>
    <w:p>
      <w:pPr>
        <w:spacing w:after="120" w:line="276"/>
        <w:jc w:val="both"/>
      </w:pPr>
      <w:r>
        <w:rPr>
          <w:rFonts w:ascii="Barlow Semi Condensed" w:cs="Barlow Semi Condensed" w:eastAsia="Barlow Semi Condensed" w:hAnsi="Barlow Semi Condensed"/>
          <w:b/>
          <w:bCs/>
          <w:sz w:val="24"/>
          <w:szCs w:val="24"/>
        </w:rPr>
        <w:t xml:space="preserve">1539 · Il divieto di riempire il vuoto.</w:t>
      </w:r>
      <w:r>
        <w:rPr>
          <w:rFonts w:ascii="Barlow Semi Condensed" w:cs="Barlow Semi Condensed" w:eastAsia="Barlow Semi Condensed" w:hAnsi="Barlow Semi Condensed"/>
          <w:sz w:val="24"/>
          <w:szCs w:val="24"/>
        </w:rPr>
        <w:t xml:space="preserve"> Chiusura in forma di divieto, perché qui la tentazione è massima: il territorio guevariano offre una sagoma perfetta per un ponte — un'ombra statunitense su una morte, un'ombra statunitense su un'altra — e non offre l'atto che lo reggerebbe. Costruirlo lo stesso significherebbe promuovere il piano 2 a nesso causale. Il corpus si ferma al giudicato e la ricerca si ferma al documento: entrambi i limiti sono volontari.</w:t>
      </w:r>
    </w:p>
    <w:p>
      <w:pPr>
        <w:spacing w:after="120" w:line="276"/>
        <w:jc w:val="both"/>
      </w:pPr>
      <w:r>
        <w:rPr>
          <w:rFonts w:ascii="Barlow Semi Condensed" w:cs="Barlow Semi Condensed" w:eastAsia="Barlow Semi Condensed" w:hAnsi="Barlow Semi Condensed"/>
          <w:b/>
          <w:bCs/>
          <w:sz w:val="24"/>
          <w:szCs w:val="24"/>
        </w:rPr>
        <w:t xml:space="preserve">1540 · Che cosa si consegna.</w:t>
      </w:r>
      <w:r>
        <w:rPr>
          <w:rFonts w:ascii="Barlow Semi Condensed" w:cs="Barlow Semi Condensed" w:eastAsia="Barlow Semi Condensed" w:hAnsi="Barlow Semi Condensed"/>
          <w:sz w:val="24"/>
          <w:szCs w:val="24"/>
        </w:rPr>
        <w:t xml:space="preserve"> A chi riprenderà questa serie si consegnano tre cose e nessuna tesi: la misura datata delle occorrenze nei due documenti, con la versione dei file cui si riferisce; l'elenco delle sedi che chiuderebbero ciascun vuoto, da Ann Arbor a Milano; i bersagli di smentita formulati perché possano essere colpiti. Se uno solo cadrà, la serie avrà funzionato. Un'indagine produce atti, non colpevoli.</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Serie ventunesima — Feltrinelli, il vettore</w:t>
      </w:r>
    </w:p>
    <w:p>
      <w:pPr>
        <w:spacing w:after="120" w:line="276"/>
        <w:jc w:val="both"/>
      </w:pPr>
      <w:r>
        <w:rPr>
          <w:rFonts w:ascii="Barlow Semi Condensed" w:cs="Barlow Semi Condensed" w:eastAsia="Barlow Semi Condensed" w:hAnsi="Barlow Semi Condensed"/>
          <w:i/>
          <w:iCs/>
          <w:sz w:val="24"/>
          <w:szCs w:val="24"/>
        </w:rPr>
        <w:t xml:space="preserve">Blocchi 1541-1620.</w:t>
      </w:r>
    </w:p>
    <w:p>
      <w:pPr>
        <w:spacing w:after="120" w:line="276"/>
        <w:jc w:val="both"/>
      </w:pPr>
      <w:r>
        <w:rPr>
          <w:rFonts w:ascii="Barlow Semi Condensed" w:cs="Barlow Semi Condensed" w:eastAsia="Barlow Semi Condensed" w:hAnsi="Barlow Semi Condensed"/>
          <w:b/>
          <w:bCs/>
          <w:sz w:val="24"/>
          <w:szCs w:val="24"/>
        </w:rPr>
        <w:t xml:space="preserve">1541 · Il territorio, contato parola per parola.</w:t>
      </w:r>
      <w:r>
        <w:rPr>
          <w:rFonts w:ascii="Barlow Semi Condensed" w:cs="Barlow Semi Condensed" w:eastAsia="Barlow Semi Condensed" w:hAnsi="Barlow Semi Condensed"/>
          <w:sz w:val="24"/>
          <w:szCs w:val="24"/>
        </w:rPr>
        <w:t xml:space="preserve"> Interrogati con ricerca a testo pieno i due documenti assegnati, il nome di Henry Kissinger vi ricorre zero volte: né in feltrinelli-il-vettore.md, che copre il 1926-1972 in sei paragrafi, né in triangolazione-feltrinelli-corpus.md, che ne verifica diciassette nodi e ne apre sette ponti. Lo zero si verbalizza con la data dell'interrogazione e con lo strumento usato, perché un vuoto senza perimetro non è acquisizione ma impressione.</w:t>
      </w:r>
    </w:p>
    <w:p>
      <w:pPr>
        <w:spacing w:after="120" w:line="276"/>
        <w:jc w:val="both"/>
      </w:pPr>
      <w:r>
        <w:rPr>
          <w:rFonts w:ascii="Barlow Semi Condensed" w:cs="Barlow Semi Condensed" w:eastAsia="Barlow Semi Condensed" w:hAnsi="Barlow Semi Condensed"/>
          <w:b/>
          <w:bCs/>
          <w:sz w:val="24"/>
          <w:szCs w:val="24"/>
        </w:rPr>
        <w:t xml:space="preserve">1542 · I diciassette nodi senza colonna americana.</w:t>
      </w:r>
      <w:r>
        <w:rPr>
          <w:rFonts w:ascii="Barlow Semi Condensed" w:cs="Barlow Semi Condensed" w:eastAsia="Barlow Semi Condensed" w:hAnsi="Barlow Semi Condensed"/>
          <w:sz w:val="24"/>
          <w:szCs w:val="24"/>
        </w:rPr>
        <w:t xml:space="preserve"> La tavola F-1…F-17 verifica nascita, patrimonio familiare, biblioteca del 1949, casa editrice del 1954, Živago, Gattopardo, uscita dal PCI, assiduità cubana, diritti del 1967, Bolivia dell'agosto 1967, Diario del 1968, GAP, frase di Curcio, cronologia di Segrate, ricostruzione giudiziaria del 1979. Nessuno ha per oggetto un attore statuale straniero. L'assenza non è distrazione dei curatori: è la forma che il territorio ha preso sulle fonti che lo reggono.</w:t>
      </w:r>
    </w:p>
    <w:p>
      <w:pPr>
        <w:spacing w:after="120" w:line="276"/>
        <w:jc w:val="both"/>
      </w:pPr>
      <w:r>
        <w:rPr>
          <w:rFonts w:ascii="Barlow Semi Condensed" w:cs="Barlow Semi Condensed" w:eastAsia="Barlow Semi Condensed" w:hAnsi="Barlow Semi Condensed"/>
          <w:b/>
          <w:bCs/>
          <w:sz w:val="24"/>
          <w:szCs w:val="24"/>
        </w:rPr>
        <w:t xml:space="preserve">1543 · I sette ponti e dove arrivano.</w:t>
      </w:r>
      <w:r>
        <w:rPr>
          <w:rFonts w:ascii="Barlow Semi Condensed" w:cs="Barlow Semi Condensed" w:eastAsia="Barlow Semi Condensed" w:hAnsi="Barlow Semi Condensed"/>
          <w:sz w:val="24"/>
          <w:szCs w:val="24"/>
        </w:rPr>
        <w:t xml:space="preserve"> Dei ponti B-1…B-7 — campagna boliviana, bibliografia critica, saggio di sintesi, matrice Guevara-Moro, cronologia sinottica, amnistiati del Tribunale Speciale, cornice della guerra fredda — sei restano interni al fronte italiano e latinoamericano. Solo il settimo tocca la dimensione atlantica, e vi arriva per negarla come chiave. Chi cercasse qui un aggancio statunitense troverebbe l'unica casella costruita apposta per non essere un aggancio.</w:t>
      </w:r>
    </w:p>
    <w:p>
      <w:pPr>
        <w:spacing w:after="120" w:line="276"/>
        <w:jc w:val="both"/>
      </w:pPr>
      <w:r>
        <w:rPr>
          <w:rFonts w:ascii="Barlow Semi Condensed" w:cs="Barlow Semi Condensed" w:eastAsia="Barlow Semi Condensed" w:hAnsi="Barlow Semi Condensed"/>
          <w:b/>
          <w:bCs/>
          <w:sz w:val="24"/>
          <w:szCs w:val="24"/>
        </w:rPr>
        <w:t xml:space="preserve">1544 · Le anti-triangolazioni non nominano potenze.</w:t>
      </w:r>
      <w:r>
        <w:rPr>
          <w:rFonts w:ascii="Barlow Semi Condensed" w:cs="Barlow Semi Condensed" w:eastAsia="Barlow Semi Condensed" w:hAnsi="Barlow Semi Condensed"/>
          <w:sz w:val="24"/>
          <w:szCs w:val="24"/>
        </w:rPr>
        <w:t xml:space="preserve"> AT-1 separa il vettore dal mandante per ragioni di calendario; AT-2 lascia l'omicidio di Stato nella congettura; AT-3 nega che il nome partigiano faccia dei GAP una continuazione della Resistenza. Tre divieti espliciti, e in nessuno compare uno Stato estero. Il territorio si è dunque già difeso dalle promozioni indebite che riteneva prevedibili, e non ha ritenuto prevedibile quella che questa serie sta esaminando.</w:t>
      </w:r>
    </w:p>
    <w:p>
      <w:pPr>
        <w:spacing w:after="120" w:line="276"/>
        <w:jc w:val="both"/>
      </w:pPr>
      <w:r>
        <w:rPr>
          <w:rFonts w:ascii="Barlow Semi Condensed" w:cs="Barlow Semi Condensed" w:eastAsia="Barlow Semi Condensed" w:hAnsi="Barlow Semi Condensed"/>
          <w:b/>
          <w:bCs/>
          <w:sz w:val="24"/>
          <w:szCs w:val="24"/>
        </w:rPr>
        <w:t xml:space="preserve">1545 · L'unica riga atlantica del territorio.</w:t>
      </w:r>
      <w:r>
        <w:rPr>
          <w:rFonts w:ascii="Barlow Semi Condensed" w:cs="Barlow Semi Condensed" w:eastAsia="Barlow Semi Condensed" w:hAnsi="Barlow Semi Condensed"/>
          <w:sz w:val="24"/>
          <w:szCs w:val="24"/>
        </w:rPr>
        <w:t xml:space="preserve"> Il ponte B-7 scrive che nel 1967-68 il vettore fabbricò il mito del Che «contro l'ordine atlantico». È proposizione di direzione politica, non accertamento di rapporto: dice contro chi l'operazione editoriale fu concepita, non con chi ebbe contatti. Trattarla come indizio di un nesso con un titolare di quell'ordine sarebbe la promozione della convergenza a nesso che quello stesso documento vieta al proprio lettore.</w:t>
      </w:r>
    </w:p>
    <w:p>
      <w:pPr>
        <w:spacing w:after="120" w:line="276"/>
        <w:jc w:val="both"/>
      </w:pPr>
      <w:r>
        <w:rPr>
          <w:rFonts w:ascii="Barlow Semi Condensed" w:cs="Barlow Semi Condensed" w:eastAsia="Barlow Semi Condensed" w:hAnsi="Barlow Semi Condensed"/>
          <w:b/>
          <w:bCs/>
          <w:sz w:val="24"/>
          <w:szCs w:val="24"/>
        </w:rPr>
        <w:t xml:space="preserve">1546 · Servizi segreti senza Stato né nome.</w:t>
      </w:r>
      <w:r>
        <w:rPr>
          <w:rFonts w:ascii="Barlow Semi Condensed" w:cs="Barlow Semi Condensed" w:eastAsia="Barlow Semi Condensed" w:hAnsi="Barlow Semi Condensed"/>
          <w:sz w:val="24"/>
          <w:szCs w:val="24"/>
        </w:rPr>
        <w:t xml:space="preserve"> Il § V della monografia registra come sospetto diffuso e mai provato la tesi di una regia dietro Segrate, e i «servizi segreti» vi compaiono senza Stato, senza sigla, senza persona. Quel vuoto è deliberato e va rispettato: riempirlo con un apparato straniero e con il nome che lo sovrintendeva significherebbe fabbricare un contenuto che la fonte, per scelta dichiarata, non possiede.</w:t>
      </w:r>
    </w:p>
    <w:p>
      <w:pPr>
        <w:spacing w:after="120" w:line="276"/>
        <w:jc w:val="both"/>
      </w:pPr>
      <w:r>
        <w:rPr>
          <w:rFonts w:ascii="Barlow Semi Condensed" w:cs="Barlow Semi Condensed" w:eastAsia="Barlow Semi Condensed" w:hAnsi="Barlow Semi Condensed"/>
          <w:b/>
          <w:bCs/>
          <w:sz w:val="24"/>
          <w:szCs w:val="24"/>
        </w:rPr>
        <w:t xml:space="preserve">1547 · La sede che chiuderebbe il silenzio.</w:t>
      </w:r>
      <w:r>
        <w:rPr>
          <w:rFonts w:ascii="Barlow Semi Condensed" w:cs="Barlow Semi Condensed" w:eastAsia="Barlow Semi Condensed" w:hAnsi="Barlow Semi Condensed"/>
          <w:sz w:val="24"/>
          <w:szCs w:val="24"/>
        </w:rPr>
        <w:t xml:space="preserve"> Il silenzio del territorio si chiude in un luogo solo, e ha indirizzo: Archivio centrale dello Stato, Ministero dell'Interno, Direzione generale di pubblica sicurezza, Divisione affari riservati, dove giacciono i fascicoli di sorveglianza sulla clandestinità milanese. Bersaglio: accertare se esista fascicolo personale intestato all'editore e se vi compaiano appunti su interlocutori stranieri, citando fondo, serie, busta e carta.</w:t>
      </w:r>
    </w:p>
    <w:p>
      <w:pPr>
        <w:spacing w:after="120" w:line="276"/>
        <w:jc w:val="both"/>
      </w:pPr>
      <w:r>
        <w:rPr>
          <w:rFonts w:ascii="Barlow Semi Condensed" w:cs="Barlow Semi Condensed" w:eastAsia="Barlow Semi Condensed" w:hAnsi="Barlow Semi Condensed"/>
          <w:b/>
          <w:bCs/>
          <w:sz w:val="24"/>
          <w:szCs w:val="24"/>
        </w:rPr>
        <w:t xml:space="preserve">1548 · L'indice dei nomi di Senior Service.</w:t>
      </w:r>
      <w:r>
        <w:rPr>
          <w:rFonts w:ascii="Barlow Semi Condensed" w:cs="Barlow Semi Condensed" w:eastAsia="Barlow Semi Condensed" w:hAnsi="Barlow Semi Condensed"/>
          <w:sz w:val="24"/>
          <w:szCs w:val="24"/>
        </w:rPr>
        <w:t xml:space="preserve"> Un controllo a costo bassissimo e mai eseguito in forma pubblicata: aprire l'indice dei nomi della biografia filiale di Carlo Feltrinelli, edizione del 1999 e traduzione inglese Granta, e accertare se vi compaia il nome qui triangolato. La fonte è di parte e il corpus la classifica così; ma un indice è un fatto materiale, e un'assenza a indice si verbalizza con edizione e pagine.</w:t>
      </w:r>
    </w:p>
    <w:p>
      <w:pPr>
        <w:spacing w:after="120" w:line="276"/>
        <w:jc w:val="both"/>
      </w:pPr>
      <w:r>
        <w:rPr>
          <w:rFonts w:ascii="Barlow Semi Condensed" w:cs="Barlow Semi Condensed" w:eastAsia="Barlow Semi Condensed" w:hAnsi="Barlow Semi Condensed"/>
          <w:b/>
          <w:bCs/>
          <w:sz w:val="24"/>
          <w:szCs w:val="24"/>
        </w:rPr>
        <w:t xml:space="preserve">1549 · La recensione di John Foot.</w:t>
      </w:r>
      <w:r>
        <w:rPr>
          <w:rFonts w:ascii="Barlow Semi Condensed" w:cs="Barlow Semi Condensed" w:eastAsia="Barlow Semi Condensed" w:hAnsi="Barlow Semi Condensed"/>
          <w:sz w:val="24"/>
          <w:szCs w:val="24"/>
        </w:rPr>
        <w:t xml:space="preserve"> Lo stesso genere di verifica vale per «No. 1 Scapegoat», il saggio-recensione apparso nella London Review of Books, volume 24 numero 3, che il territorio cita per il patrimonio familiare. Quesito: se in quelle pagine compaia un attore statunitense determinato, e con quale grado. Una recensione non è documento di provenienza; serve però a datare che cosa la letteratura anglofona riteneva dicibile nel 2002.</w:t>
      </w:r>
    </w:p>
    <w:p>
      <w:pPr>
        <w:spacing w:after="120" w:line="276"/>
        <w:jc w:val="both"/>
      </w:pPr>
      <w:r>
        <w:rPr>
          <w:rFonts w:ascii="Barlow Semi Condensed" w:cs="Barlow Semi Condensed" w:eastAsia="Barlow Semi Condensed" w:hAnsi="Barlow Semi Condensed"/>
          <w:b/>
          <w:bCs/>
          <w:sz w:val="24"/>
          <w:szCs w:val="24"/>
        </w:rPr>
        <w:t xml:space="preserve">1550 · La finestra di sovrapposizione, misurata.</w:t>
      </w:r>
      <w:r>
        <w:rPr>
          <w:rFonts w:ascii="Barlow Semi Condensed" w:cs="Barlow Semi Condensed" w:eastAsia="Barlow Semi Condensed" w:hAnsi="Barlow Semi Condensed"/>
          <w:sz w:val="24"/>
          <w:szCs w:val="24"/>
        </w:rPr>
        <w:t xml:space="preserve"> Le due biografie si sovrappongono in carica per tre anni, un mese e ventidue giorni: dal 20 gennaio 1969, insediamento come Assistente per la sicurezza nazionale, al 14 marzo 1972, morte a Segrate. Fuori da questa finestra ogni domanda su un rapporto d'ufficio è mal posta. Dentro, resta aperta e priva di risposta documentale: la finestra dice dove cercare, non che cosa si troverà.</w:t>
      </w:r>
    </w:p>
    <w:p>
      <w:pPr>
        <w:spacing w:after="120" w:line="276"/>
        <w:jc w:val="both"/>
      </w:pPr>
      <w:r>
        <w:rPr>
          <w:rFonts w:ascii="Barlow Semi Condensed" w:cs="Barlow Semi Condensed" w:eastAsia="Barlow Semi Condensed" w:hAnsi="Barlow Semi Condensed"/>
          <w:b/>
          <w:bCs/>
          <w:sz w:val="24"/>
          <w:szCs w:val="24"/>
        </w:rPr>
        <w:t xml:space="preserve">1551 · Il manifesto di Korda precede la carica.</w:t>
      </w:r>
      <w:r>
        <w:rPr>
          <w:rFonts w:ascii="Barlow Semi Condensed" w:cs="Barlow Semi Condensed" w:eastAsia="Barlow Semi Condensed" w:hAnsi="Barlow Semi Condensed"/>
          <w:sz w:val="24"/>
          <w:szCs w:val="24"/>
        </w:rPr>
        <w:t xml:space="preserve"> L'acquisizione nell'estate 1967 dei diritti del diario boliviano insieme alla fotografia, e le centinaia di manifesti stampati per il lancio, cadono sotto un'altra amministrazione statunitense e mentre il nome qui triangolato non rivestiva alcuna carica pubblica. Il gesto fondativo del vettore — nodo F-11, blocco 519 della prima campagna — è anteriore di oltre un anno all'inizio di ogni possibile rapporto d'ufficio.</w:t>
      </w:r>
    </w:p>
    <w:p>
      <w:pPr>
        <w:spacing w:after="120" w:line="276"/>
        <w:jc w:val="both"/>
      </w:pPr>
      <w:r>
        <w:rPr>
          <w:rFonts w:ascii="Barlow Semi Condensed" w:cs="Barlow Semi Condensed" w:eastAsia="Barlow Semi Condensed" w:hAnsi="Barlow Semi Condensed"/>
          <w:b/>
          <w:bCs/>
          <w:sz w:val="24"/>
          <w:szCs w:val="24"/>
        </w:rPr>
        <w:t xml:space="preserve">1552 · Il Diario del 1968, fuori finestra.</w:t>
      </w:r>
      <w:r>
        <w:rPr>
          <w:rFonts w:ascii="Barlow Semi Condensed" w:cs="Barlow Semi Condensed" w:eastAsia="Barlow Semi Condensed" w:hAnsi="Barlow Semi Condensed"/>
          <w:sz w:val="24"/>
          <w:szCs w:val="24"/>
        </w:rPr>
        <w:t xml:space="preserve"> Anche l'edizione italiana del diario con copertina Korda e prefazione di Castro, nodo F-13, esce nel 1968, cioè nell'anno che precede l'insediamento. Ne discende una conseguenza operativa per chiunque interroghi gli archivi americani su questo territorio: per gli atti fondativi del vettore la serie da aprire non è quella del Consiglio di sicurezza nazionale dal 1969, ma la documentazione dipartimentale degli anni precedenti.</w:t>
      </w:r>
    </w:p>
    <w:p>
      <w:pPr>
        <w:spacing w:after="120" w:line="276"/>
        <w:jc w:val="both"/>
      </w:pPr>
      <w:r>
        <w:rPr>
          <w:rFonts w:ascii="Barlow Semi Condensed" w:cs="Barlow Semi Condensed" w:eastAsia="Barlow Semi Condensed" w:hAnsi="Barlow Semi Condensed"/>
          <w:b/>
          <w:bCs/>
          <w:sz w:val="24"/>
          <w:szCs w:val="24"/>
        </w:rPr>
        <w:t xml:space="preserve">1553 · Agosto 1967, due biografie separate.</w:t>
      </w:r>
      <w:r>
        <w:rPr>
          <w:rFonts w:ascii="Barlow Semi Condensed" w:cs="Barlow Semi Condensed" w:eastAsia="Barlow Semi Condensed" w:hAnsi="Barlow Semi Condensed"/>
          <w:sz w:val="24"/>
          <w:szCs w:val="24"/>
        </w:rPr>
        <w:t xml:space="preserve"> Nel mese in cui il vettore fu arrestato in Bolivia ed espulso come indesiderato — nodo F-12, ponte fisico B-1 con il processo Debray a Camiri — il nome qui triangolato insegnava a Harvard e operava come consulente privato, impegnato secondo la letteratura in un canale negoziale sul Vietnam. Bersaglio: fissare quella posizione su fonte primaria nei volumi FRUS 1964-1968 dedicati al Vietnam.</w:t>
      </w:r>
    </w:p>
    <w:p>
      <w:pPr>
        <w:spacing w:after="120" w:line="276"/>
        <w:jc w:val="both"/>
      </w:pPr>
      <w:r>
        <w:rPr>
          <w:rFonts w:ascii="Barlow Semi Condensed" w:cs="Barlow Semi Condensed" w:eastAsia="Barlow Semi Condensed" w:hAnsi="Barlow Semi Condensed"/>
          <w:b/>
          <w:bCs/>
          <w:sz w:val="24"/>
          <w:szCs w:val="24"/>
        </w:rPr>
        <w:t xml:space="preserve">1554 · Živago 1957, l'anteriorità estrema.</w:t>
      </w:r>
      <w:r>
        <w:rPr>
          <w:rFonts w:ascii="Barlow Semi Condensed" w:cs="Barlow Semi Condensed" w:eastAsia="Barlow Semi Condensed" w:hAnsi="Barlow Semi Condensed"/>
          <w:sz w:val="24"/>
          <w:szCs w:val="24"/>
        </w:rPr>
        <w:t xml:space="preserve"> La prima edizione mondiale del romanzo di Pasternak, novembre 1957 su contratto del giugno 1956, sta dodici anni prima dell'insediamento. Vale come limite estremo dell'anteriorità in questo territorio e come avvertimento di metodo: il caso più celebre in cui uno Stato si interessò a un libro di questo editore non appartiene alla finestra qui esaminata, e non va trascinato dentro per suggestione.</w:t>
      </w:r>
    </w:p>
    <w:p>
      <w:pPr>
        <w:spacing w:after="120" w:line="276"/>
        <w:jc w:val="both"/>
      </w:pPr>
      <w:r>
        <w:rPr>
          <w:rFonts w:ascii="Barlow Semi Condensed" w:cs="Barlow Semi Condensed" w:eastAsia="Barlow Semi Condensed" w:hAnsi="Barlow Semi Condensed"/>
          <w:b/>
          <w:bCs/>
          <w:sz w:val="24"/>
          <w:szCs w:val="24"/>
        </w:rPr>
        <w:t xml:space="preserve">1555 · Il Gattopardo non produce bersagli.</w:t>
      </w:r>
      <w:r>
        <w:rPr>
          <w:rFonts w:ascii="Barlow Semi Condensed" w:cs="Barlow Semi Condensed" w:eastAsia="Barlow Semi Condensed" w:hAnsi="Barlow Semi Condensed"/>
          <w:sz w:val="24"/>
          <w:szCs w:val="24"/>
        </w:rPr>
        <w:t xml:space="preserve"> Il rifiuto degli altri editori, l'uscita del novembre 1958, le cinquantadue edizioni in meno di sei mesi: il nodo F-8 documenta la competenza professionale che il territorio pone alla base del vettore. È materia di storia editoriale italiana e non ha alcun versante estero da interrogare. Si registra perché una serie onesta deve dichiarare anche quali parti del proprio territorio non producono alcun bersaglio.</w:t>
      </w:r>
    </w:p>
    <w:p>
      <w:pPr>
        <w:spacing w:after="120" w:line="276"/>
        <w:jc w:val="both"/>
      </w:pPr>
      <w:r>
        <w:rPr>
          <w:rFonts w:ascii="Barlow Semi Condensed" w:cs="Barlow Semi Condensed" w:eastAsia="Barlow Semi Condensed" w:hAnsi="Barlow Semi Condensed"/>
          <w:b/>
          <w:bCs/>
          <w:sz w:val="24"/>
          <w:szCs w:val="24"/>
        </w:rPr>
        <w:t xml:space="preserve">1556 · La biblioteca del 1949, prima di tutto.</w:t>
      </w:r>
      <w:r>
        <w:rPr>
          <w:rFonts w:ascii="Barlow Semi Condensed" w:cs="Barlow Semi Condensed" w:eastAsia="Barlow Semi Condensed" w:hAnsi="Barlow Semi Condensed"/>
          <w:sz w:val="24"/>
          <w:szCs w:val="24"/>
        </w:rPr>
        <w:t xml:space="preserve"> Il nodo F-4 colloca nel 1949 la biblioteca specializzata sul movimento operaio e socialista, vent'anni prima della finestra. Il dato fissa che il conservatore di documenti precede il finanziatore della clandestinità, e che il patrimonio oggi custodito — un milione e mezzo di schede, duecentocinquantamila volumi, quindicimila manifesti — nacque da una scelta privata anteriore a ogni cornice qui rilevante.</w:t>
      </w:r>
    </w:p>
    <w:p>
      <w:pPr>
        <w:spacing w:after="120" w:line="276"/>
        <w:jc w:val="both"/>
      </w:pPr>
      <w:r>
        <w:rPr>
          <w:rFonts w:ascii="Barlow Semi Condensed" w:cs="Barlow Semi Condensed" w:eastAsia="Barlow Semi Condensed" w:hAnsi="Barlow Semi Condensed"/>
          <w:b/>
          <w:bCs/>
          <w:sz w:val="24"/>
          <w:szCs w:val="24"/>
        </w:rPr>
        <w:t xml:space="preserve">1557 · Il decreto del 1974, trappola cronologica.</w:t>
      </w:r>
      <w:r>
        <w:rPr>
          <w:rFonts w:ascii="Barlow Semi Condensed" w:cs="Barlow Semi Condensed" w:eastAsia="Barlow Semi Condensed" w:hAnsi="Barlow Semi Condensed"/>
          <w:sz w:val="24"/>
          <w:szCs w:val="24"/>
        </w:rPr>
        <w:t xml:space="preserve"> Il decreto del Presidente della Repubblica del 27 aprile 1974 che eresse la Fondazione cade quando il nome qui triangolato era Segretario di Stato: contemporaneità perfetta e nesso nullo. È atto italiano su ente italiano, adottato due anni dopo la morte del fondatore. Questo blocco esiste per nominare in anticipo la coincidenza di data e impedire che qualcuno la scambi per un incontro.</w:t>
      </w:r>
    </w:p>
    <w:p>
      <w:pPr>
        <w:spacing w:after="120" w:line="276"/>
        <w:jc w:val="both"/>
      </w:pPr>
      <w:r>
        <w:rPr>
          <w:rFonts w:ascii="Barlow Semi Condensed" w:cs="Barlow Semi Condensed" w:eastAsia="Barlow Semi Condensed" w:hAnsi="Barlow Semi Condensed"/>
          <w:b/>
          <w:bCs/>
          <w:sz w:val="24"/>
          <w:szCs w:val="24"/>
        </w:rPr>
        <w:t xml:space="preserve">1558 · Diciotto mesi dalla carica maggiore.</w:t>
      </w:r>
      <w:r>
        <w:rPr>
          <w:rFonts w:ascii="Barlow Semi Condensed" w:cs="Barlow Semi Condensed" w:eastAsia="Barlow Semi Condensed" w:hAnsi="Barlow Semi Condensed"/>
          <w:sz w:val="24"/>
          <w:szCs w:val="24"/>
        </w:rPr>
        <w:t xml:space="preserve"> Segrate è del 14 marzo 1972; l'entrata in carica come Segretario di Stato è del 22 settembre 1973. Fra i due fatti corrono diciotto mesi. Ne segue che nessun documento firmato in quella qualità può riguardare un vivente di nome Giangiacomo Feltrinelli, e che ogni ricerca condotta su quella qualità va indirizzata alle conseguenze postume, mai alla persona.</w:t>
      </w:r>
    </w:p>
    <w:p>
      <w:pPr>
        <w:spacing w:after="120" w:line="276"/>
        <w:jc w:val="both"/>
      </w:pPr>
      <w:r>
        <w:rPr>
          <w:rFonts w:ascii="Barlow Semi Condensed" w:cs="Barlow Semi Condensed" w:eastAsia="Barlow Semi Condensed" w:hAnsi="Barlow Semi Condensed"/>
          <w:b/>
          <w:bCs/>
          <w:sz w:val="24"/>
          <w:szCs w:val="24"/>
        </w:rPr>
        <w:t xml:space="preserve">1559 · Marzo 1972, marcatore da non promuovere.</w:t>
      </w:r>
      <w:r>
        <w:rPr>
          <w:rFonts w:ascii="Barlow Semi Condensed" w:cs="Barlow Semi Condensed" w:eastAsia="Barlow Semi Condensed" w:hAnsi="Barlow Semi Condensed"/>
          <w:sz w:val="24"/>
          <w:szCs w:val="24"/>
        </w:rPr>
        <w:t xml:space="preserve"> Nelle settimane della morte a Segrate il titolare dell'incarico di sicurezza nazionale era impegnato sui dossier cinese e sovietico, come la cronologia delle sue missioni documenta. È marcatore nel senso del blocco 733: localizza, non spiega. Registrarlo serve a una cosa sola, mostrare quanto poco significhi la simultaneità quando due agende non hanno alcun punto di contatto documentato.</w:t>
      </w:r>
    </w:p>
    <w:p>
      <w:pPr>
        <w:spacing w:after="120" w:line="276"/>
        <w:jc w:val="both"/>
      </w:pPr>
      <w:r>
        <w:rPr>
          <w:rFonts w:ascii="Barlow Semi Condensed" w:cs="Barlow Semi Condensed" w:eastAsia="Barlow Semi Condensed" w:hAnsi="Barlow Semi Condensed"/>
          <w:b/>
          <w:bCs/>
          <w:sz w:val="24"/>
          <w:szCs w:val="24"/>
        </w:rPr>
        <w:t xml:space="preserve">1560 · I GAP dentro la finestra.</w:t>
      </w:r>
      <w:r>
        <w:rPr>
          <w:rFonts w:ascii="Barlow Semi Condensed" w:cs="Barlow Semi Condensed" w:eastAsia="Barlow Semi Condensed" w:hAnsi="Barlow Semi Condensed"/>
          <w:sz w:val="24"/>
          <w:szCs w:val="24"/>
        </w:rPr>
        <w:t xml:space="preserve"> I Gruppi d'Azione Partigiana nacquero fra aprile e maggio 1970, come precisa il nodo F-14, cioè dentro la finestra di sovrapposizione. Questo li rende interrogabili, non documentati: la coabitazione nel tempo apre una domanda archivistica e non fonda un rapporto. La regola per cui la contemporaneità non è nesso si applica qui nella forma più nuda, perché qui la tentazione di saltarla è massima.</w:t>
      </w:r>
    </w:p>
    <w:p>
      <w:pPr>
        <w:spacing w:after="120" w:line="276"/>
        <w:jc w:val="both"/>
      </w:pPr>
      <w:r>
        <w:rPr>
          <w:rFonts w:ascii="Barlow Semi Condensed" w:cs="Barlow Semi Condensed" w:eastAsia="Barlow Semi Condensed" w:hAnsi="Barlow Semi Condensed"/>
          <w:b/>
          <w:bCs/>
          <w:sz w:val="24"/>
          <w:szCs w:val="24"/>
        </w:rPr>
        <w:t xml:space="preserve">1561 · Il fascicolo Živago dell'agenzia americana.</w:t>
      </w:r>
      <w:r>
        <w:rPr>
          <w:rFonts w:ascii="Barlow Semi Condensed" w:cs="Barlow Semi Condensed" w:eastAsia="Barlow Semi Condensed" w:hAnsi="Barlow Semi Condensed"/>
          <w:sz w:val="24"/>
          <w:szCs w:val="24"/>
        </w:rPr>
        <w:t xml:space="preserve"> Esiste un caso in cui un servizio statunitense operò su un titolo di questo editore: la documentazione declassificata nel gennaio 2014 sulla stampa e diffusione di un'edizione in lingua russa del romanzo di Pasternak. È fatto documentato, con carte proprie, e va nominato per intero, perché è il punto in cui questo territorio e la sfera americana si toccano davvero.</w:t>
      </w:r>
    </w:p>
    <w:p>
      <w:pPr>
        <w:spacing w:after="120" w:line="276"/>
        <w:jc w:val="both"/>
      </w:pPr>
      <w:r>
        <w:rPr>
          <w:rFonts w:ascii="Barlow Semi Condensed" w:cs="Barlow Semi Condensed" w:eastAsia="Barlow Semi Condensed" w:hAnsi="Barlow Semi Condensed"/>
          <w:b/>
          <w:bCs/>
          <w:sz w:val="24"/>
          <w:szCs w:val="24"/>
        </w:rPr>
        <w:t xml:space="preserve">1562 · Il perimetro esatto di quel fascicolo.</w:t>
      </w:r>
      <w:r>
        <w:rPr>
          <w:rFonts w:ascii="Barlow Semi Condensed" w:cs="Barlow Semi Condensed" w:eastAsia="Barlow Semi Condensed" w:hAnsi="Barlow Semi Condensed"/>
          <w:sz w:val="24"/>
          <w:szCs w:val="24"/>
        </w:rPr>
        <w:t xml:space="preserve"> Va però delimitato con severità: quelle carte riguardano un'edizione in lingua russa destinata a lettori sovietici, non l'edizione italiana del novembre 1957 e non i rapporti contrattuali dell'editore milanese. Confondere i due oggetti produrrebbe l'errore di attribuzione descritto dal blocco 520 per i vettori: ciò che il canale ha prodotto non si attribuisce a chi stava all'origine del testo.</w:t>
      </w:r>
    </w:p>
    <w:p>
      <w:pPr>
        <w:spacing w:after="120" w:line="276"/>
        <w:jc w:val="both"/>
      </w:pPr>
      <w:r>
        <w:rPr>
          <w:rFonts w:ascii="Barlow Semi Condensed" w:cs="Barlow Semi Condensed" w:eastAsia="Barlow Semi Condensed" w:hAnsi="Barlow Semi Condensed"/>
          <w:b/>
          <w:bCs/>
          <w:sz w:val="24"/>
          <w:szCs w:val="24"/>
        </w:rPr>
        <w:t xml:space="preserve">1563 · A quale piano sta quel fascicolo.</w:t>
      </w:r>
      <w:r>
        <w:rPr>
          <w:rFonts w:ascii="Barlow Semi Condensed" w:cs="Barlow Semi Condensed" w:eastAsia="Barlow Semi Condensed" w:hAnsi="Barlow Semi Condensed"/>
          <w:sz w:val="24"/>
          <w:szCs w:val="24"/>
        </w:rPr>
        <w:t xml:space="preserve"> Rispetto all'agenzia che lo produsse, quel fascicolo è documento di provenienza e sta al piano 1. Rispetto al nome triangolato in quest'opera non sta ad alcun piano: nel 1958 non ricopriva incarichi di governo e nessuna carta nota della serie lo nomina. Il medesimo reperto può dunque essere primario per un soggetto e inesistente per un altro: è lezione generale, non cavillo.</w:t>
      </w:r>
    </w:p>
    <w:p>
      <w:pPr>
        <w:spacing w:after="120" w:line="276"/>
        <w:jc w:val="both"/>
      </w:pPr>
      <w:r>
        <w:rPr>
          <w:rFonts w:ascii="Barlow Semi Condensed" w:cs="Barlow Semi Condensed" w:eastAsia="Barlow Semi Condensed" w:hAnsi="Barlow Semi Condensed"/>
          <w:b/>
          <w:bCs/>
          <w:sz w:val="24"/>
          <w:szCs w:val="24"/>
        </w:rPr>
        <w:t xml:space="preserve">1564 · La carta che sposterebbe tutto.</w:t>
      </w:r>
      <w:r>
        <w:rPr>
          <w:rFonts w:ascii="Barlow Semi Condensed" w:cs="Barlow Semi Condensed" w:eastAsia="Barlow Semi Condensed" w:hAnsi="Barlow Semi Condensed"/>
          <w:sz w:val="24"/>
          <w:szCs w:val="24"/>
        </w:rPr>
        <w:t xml:space="preserve"> Bersaglio di smentita, formulato perché qualcuno possa vincerlo: un documento di quella serie che rechi il nome qui triangolato come destinatario, redattore o firmatario di un parere. Un solo foglio simile porterebbe il nesso dal nulla al piano 1 e obbligherebbe a riscrivere questa serie. Finché non compare, l'assenza si dichiara con la sede interrogata e la data dell'interrogazione.</w:t>
      </w:r>
    </w:p>
    <w:p>
      <w:pPr>
        <w:spacing w:after="120" w:line="276"/>
        <w:jc w:val="both"/>
      </w:pPr>
      <w:r>
        <w:rPr>
          <w:rFonts w:ascii="Barlow Semi Condensed" w:cs="Barlow Semi Condensed" w:eastAsia="Barlow Semi Condensed" w:hAnsi="Barlow Semi Condensed"/>
          <w:b/>
          <w:bCs/>
          <w:sz w:val="24"/>
          <w:szCs w:val="24"/>
        </w:rPr>
        <w:t xml:space="preserve">1565 · Dove si trovava, nel 1958, chi triangoliamo.</w:t>
      </w:r>
      <w:r>
        <w:rPr>
          <w:rFonts w:ascii="Barlow Semi Condensed" w:cs="Barlow Semi Condensed" w:eastAsia="Barlow Semi Condensed" w:hAnsi="Barlow Semi Condensed"/>
          <w:sz w:val="24"/>
          <w:szCs w:val="24"/>
        </w:rPr>
        <w:t xml:space="preserve"> Accertamento preliminare e a basso costo, necessario prima di ogni ipotesi sul nodo precedente: stabilire con fonti istituzionali la posizione accademica e consulenziale tenuta fra il 1957 e il 1958, cioè negli anni del Živago italiano e dell'operazione in lingua russa. Se in quegli anni non risulta alcun incarico esecutivo, il nodo si chiude per difetto di soggetto, non per difetto di prova.</w:t>
      </w:r>
    </w:p>
    <w:p>
      <w:pPr>
        <w:spacing w:after="120" w:line="276"/>
        <w:jc w:val="both"/>
      </w:pPr>
      <w:r>
        <w:rPr>
          <w:rFonts w:ascii="Barlow Semi Condensed" w:cs="Barlow Semi Condensed" w:eastAsia="Barlow Semi Condensed" w:hAnsi="Barlow Semi Condensed"/>
          <w:b/>
          <w:bCs/>
          <w:sz w:val="24"/>
          <w:szCs w:val="24"/>
        </w:rPr>
        <w:t xml:space="preserve">1566 · Il territorio non registra quel nodo.</w:t>
      </w:r>
      <w:r>
        <w:rPr>
          <w:rFonts w:ascii="Barlow Semi Condensed" w:cs="Barlow Semi Condensed" w:eastAsia="Barlow Semi Condensed" w:hAnsi="Barlow Semi Condensed"/>
          <w:sz w:val="24"/>
          <w:szCs w:val="24"/>
        </w:rPr>
        <w:t xml:space="preserve"> Va detto a carico del corpus e non di altri: né la monografia né la sua triangolazione menzionano l'operazione americana sul romanzo di Pasternak. Il nodo F-6 verifica contratto, data e pressioni del Cremlino e del partito italiano, e si ferma lì. È lacuna del territorio assegnato, verbalizzata qui come Stato Zero interno, e la sede che la colmerebbe è indicata nel blocco seguente.</w:t>
      </w:r>
    </w:p>
    <w:p>
      <w:pPr>
        <w:spacing w:after="120" w:line="276"/>
        <w:jc w:val="both"/>
      </w:pPr>
      <w:r>
        <w:rPr>
          <w:rFonts w:ascii="Barlow Semi Condensed" w:cs="Barlow Semi Condensed" w:eastAsia="Barlow Semi Condensed" w:hAnsi="Barlow Semi Condensed"/>
          <w:b/>
          <w:bCs/>
          <w:sz w:val="24"/>
          <w:szCs w:val="24"/>
        </w:rPr>
        <w:t xml:space="preserve">1567 · Sedi per il nodo del romanzo.</w:t>
      </w:r>
      <w:r>
        <w:rPr>
          <w:rFonts w:ascii="Barlow Semi Condensed" w:cs="Barlow Semi Condensed" w:eastAsia="Barlow Semi Condensed" w:hAnsi="Barlow Semi Condensed"/>
          <w:sz w:val="24"/>
          <w:szCs w:val="24"/>
        </w:rPr>
        <w:t xml:space="preserve"> Chiuderebbero l'accertamento la sala di lettura elettronica FOIA dell'agenzia statunitense, con la raccolta rilasciata nel 2014, e la letteratura che su quella raccolta ha lavorato, da usare come indice e mai come prova. Vale l'avvertimento del blocco 132 dell'agenda: distinguere i documenti analitici dalle rassegne stampa raccolte internamente, e marcare ogni reperto per quello che è prima di citarlo.</w:t>
      </w:r>
    </w:p>
    <w:p>
      <w:pPr>
        <w:spacing w:after="120" w:line="276"/>
        <w:jc w:val="both"/>
      </w:pPr>
      <w:r>
        <w:rPr>
          <w:rFonts w:ascii="Barlow Semi Condensed" w:cs="Barlow Semi Condensed" w:eastAsia="Barlow Semi Condensed" w:hAnsi="Barlow Semi Condensed"/>
          <w:b/>
          <w:bCs/>
          <w:sz w:val="24"/>
          <w:szCs w:val="24"/>
        </w:rPr>
        <w:t xml:space="preserve">1568 · Operazione su un libro, non rapporto.</w:t>
      </w:r>
      <w:r>
        <w:rPr>
          <w:rFonts w:ascii="Barlow Semi Condensed" w:cs="Barlow Semi Condensed" w:eastAsia="Barlow Semi Condensed" w:hAnsi="Barlow Semi Condensed"/>
          <w:sz w:val="24"/>
          <w:szCs w:val="24"/>
        </w:rPr>
        <w:t xml:space="preserve"> Regola di lettura che questa serie consegna al corpus: che uno Stato abbia agito su un testo non stabilisce alcuna relazione con chi quel testo aveva pubblicato altrove. Oggetto dell'atto è l'opera, non la persona dell'editore. Applicata al territorio, la regola impedisce di trasformare un fascicolo su un romanzo in un dossier su un uomo, che è cosa diversa e va cercata a parte.</w:t>
      </w:r>
    </w:p>
    <w:p>
      <w:pPr>
        <w:spacing w:after="120" w:line="276"/>
        <w:jc w:val="both"/>
      </w:pPr>
      <w:r>
        <w:rPr>
          <w:rFonts w:ascii="Barlow Semi Condensed" w:cs="Barlow Semi Condensed" w:eastAsia="Barlow Semi Condensed" w:hAnsi="Barlow Semi Condensed"/>
          <w:b/>
          <w:bCs/>
          <w:sz w:val="24"/>
          <w:szCs w:val="24"/>
        </w:rPr>
        <w:t xml:space="preserve">1569 · Il vettore opposto, stessa cornice.</w:t>
      </w:r>
      <w:r>
        <w:rPr>
          <w:rFonts w:ascii="Barlow Semi Condensed" w:cs="Barlow Semi Condensed" w:eastAsia="Barlow Semi Condensed" w:hAnsi="Barlow Semi Condensed"/>
          <w:sz w:val="24"/>
          <w:szCs w:val="24"/>
        </w:rPr>
        <w:t xml:space="preserve"> Nella medesima cornice di guerra fredda operò in Europa un apparato culturale di segno contrario, sostenuto da fondazioni statunitensi e attivo con riviste, convegni e collane. Rispetto al vettore milanese è convergenza strutturale di piano 2: stessa tecnica — libri, periodici, immagini — e finalità opposte. Il piano 2 descrive un campo; promuoverlo richiederebbe un documento che nomini insieme entrambe le parti.</w:t>
      </w:r>
    </w:p>
    <w:p>
      <w:pPr>
        <w:spacing w:after="120" w:line="276"/>
        <w:jc w:val="both"/>
      </w:pPr>
      <w:r>
        <w:rPr>
          <w:rFonts w:ascii="Barlow Semi Condensed" w:cs="Barlow Semi Condensed" w:eastAsia="Barlow Semi Condensed" w:hAnsi="Barlow Semi Condensed"/>
          <w:b/>
          <w:bCs/>
          <w:sz w:val="24"/>
          <w:szCs w:val="24"/>
        </w:rPr>
        <w:t xml:space="preserve">1570 · Il versante italiano di quell'apparato.</w:t>
      </w:r>
      <w:r>
        <w:rPr>
          <w:rFonts w:ascii="Barlow Semi Condensed" w:cs="Barlow Semi Condensed" w:eastAsia="Barlow Semi Condensed" w:hAnsi="Barlow Semi Condensed"/>
          <w:sz w:val="24"/>
          <w:szCs w:val="24"/>
        </w:rPr>
        <w:t xml:space="preserve"> Sul suolo italiano quell'apparato ebbe forme proprie, con un'associazione per la libertà della cultura e un periodico attivo dalla metà degli anni Cinquanta alla fine dei Sessanta. Bersaglio: stabilirne anno per anno redattori, finanziatori dichiarati e catalogo, e confrontarlo con il catalogo dell'editore milanese. Il confronto misura una simmetria di funzione; non produce, e non deve produrre, un anello fra le due imprese.</w:t>
      </w:r>
    </w:p>
    <w:p>
      <w:pPr>
        <w:spacing w:after="120" w:line="276"/>
        <w:jc w:val="both"/>
      </w:pPr>
      <w:r>
        <w:rPr>
          <w:rFonts w:ascii="Barlow Semi Condensed" w:cs="Barlow Semi Condensed" w:eastAsia="Barlow Semi Condensed" w:hAnsi="Barlow Semi Condensed"/>
          <w:b/>
          <w:bCs/>
          <w:sz w:val="24"/>
          <w:szCs w:val="24"/>
        </w:rPr>
        <w:t xml:space="preserve">1571 · La sede di quelle carte.</w:t>
      </w:r>
      <w:r>
        <w:rPr>
          <w:rFonts w:ascii="Barlow Semi Condensed" w:cs="Barlow Semi Condensed" w:eastAsia="Barlow Semi Condensed" w:hAnsi="Barlow Semi Condensed"/>
          <w:sz w:val="24"/>
          <w:szCs w:val="24"/>
        </w:rPr>
        <w:t xml:space="preserve"> Le carte dell'organizzazione culturale internazionale e della sua succeditrice sono conservate presso lo Special Collections Research Center della University of Chicago Library. Bersaglio circoscritto: interrogare l'inventario per l'Italia degli anni 1967-1972 e accertare se vi compaiano corrispondenze relative all'editore milanese o alla sua casa. Esito positivo o negativo, si verbalizza per serie e per faldone, secondo la regola dell'inventario prima del documento.</w:t>
      </w:r>
    </w:p>
    <w:p>
      <w:pPr>
        <w:spacing w:after="120" w:line="276"/>
        <w:jc w:val="both"/>
      </w:pPr>
      <w:r>
        <w:rPr>
          <w:rFonts w:ascii="Barlow Semi Condensed" w:cs="Barlow Semi Condensed" w:eastAsia="Barlow Semi Condensed" w:hAnsi="Barlow Semi Condensed"/>
          <w:b/>
          <w:bCs/>
          <w:sz w:val="24"/>
          <w:szCs w:val="24"/>
        </w:rPr>
        <w:t xml:space="preserve">1572 · Il seminario di Harvard, statuto della notizia.</w:t>
      </w:r>
      <w:r>
        <w:rPr>
          <w:rFonts w:ascii="Barlow Semi Condensed" w:cs="Barlow Semi Condensed" w:eastAsia="Barlow Semi Condensed" w:hAnsi="Barlow Semi Condensed"/>
          <w:sz w:val="24"/>
          <w:szCs w:val="24"/>
        </w:rPr>
        <w:t xml:space="preserve"> La letteratura sui finanziamenti culturali della guerra fredda riferisce che il seminario internazionale diretto a Harvard dal nome qui triangolato ricevette fondi da fondazioni poi risultate canali di un servizio. Statuto: affermazione secondaria qualificata, non documento letto. Bersaglio: risalire dalle note dei saggi alle segnature originarie e verbalizzare l'esito, come il blocco 248 già impone per il programma di azione coperta.</w:t>
      </w:r>
    </w:p>
    <w:p>
      <w:pPr>
        <w:spacing w:after="120" w:line="276"/>
        <w:jc w:val="both"/>
      </w:pPr>
      <w:r>
        <w:rPr>
          <w:rFonts w:ascii="Barlow Semi Condensed" w:cs="Barlow Semi Condensed" w:eastAsia="Barlow Semi Condensed" w:hAnsi="Barlow Semi Condensed"/>
          <w:b/>
          <w:bCs/>
          <w:sz w:val="24"/>
          <w:szCs w:val="24"/>
        </w:rPr>
        <w:t xml:space="preserve">1573 · La rivista accademica e il suo bilancio.</w:t>
      </w:r>
      <w:r>
        <w:rPr>
          <w:rFonts w:ascii="Barlow Semi Condensed" w:cs="Barlow Semi Condensed" w:eastAsia="Barlow Semi Condensed" w:hAnsi="Barlow Semi Condensed"/>
          <w:sz w:val="24"/>
          <w:szCs w:val="24"/>
        </w:rPr>
        <w:t xml:space="preserve"> Stesso trattamento per il periodico culturale che egli diresse negli anni Cinquanta: prima di qualunque uso occorrono i bilanci annuali con i nomi dei finanziatori e gli atti costitutivi, non la loro parafrasi. Un finanziamento culturale, come ogni altro, si prova con la delibera, il trasferimento e la ricezione; il quarto accertamento, l'effetto sulla linea, quasi mai si dimostra e non va asserito.</w:t>
      </w:r>
    </w:p>
    <w:p>
      <w:pPr>
        <w:spacing w:after="120" w:line="276"/>
        <w:jc w:val="both"/>
      </w:pPr>
      <w:r>
        <w:rPr>
          <w:rFonts w:ascii="Barlow Semi Condensed" w:cs="Barlow Semi Condensed" w:eastAsia="Barlow Semi Condensed" w:hAnsi="Barlow Semi Condensed"/>
          <w:b/>
          <w:bCs/>
          <w:sz w:val="24"/>
          <w:szCs w:val="24"/>
        </w:rPr>
        <w:t xml:space="preserve">1574 · Le fondazioni-canale e il grado.</w:t>
      </w:r>
      <w:r>
        <w:rPr>
          <w:rFonts w:ascii="Barlow Semi Condensed" w:cs="Barlow Semi Condensed" w:eastAsia="Barlow Semi Condensed" w:hAnsi="Barlow Semi Condensed"/>
          <w:sz w:val="24"/>
          <w:szCs w:val="24"/>
        </w:rPr>
        <w:t xml:space="preserve"> Il nome della fondazione che la letteratura indica come canale non si scrive in questa serie come accertamento, perché nessuna carta è stata letta in sede: si scrive come bersaglio. La distinzione fra ciò che il corpus ha visto e ciò che ha soltanto letto altrove è l'unica garanzia che possiede, e vale a maggior ragione quando l'affermazione riguarda una persona determinata.</w:t>
      </w:r>
    </w:p>
    <w:p>
      <w:pPr>
        <w:spacing w:after="120" w:line="276"/>
        <w:jc w:val="both"/>
      </w:pPr>
      <w:r>
        <w:rPr>
          <w:rFonts w:ascii="Barlow Semi Condensed" w:cs="Barlow Semi Condensed" w:eastAsia="Barlow Semi Condensed" w:hAnsi="Barlow Semi Condensed"/>
          <w:b/>
          <w:bCs/>
          <w:sz w:val="24"/>
          <w:szCs w:val="24"/>
        </w:rPr>
        <w:t xml:space="preserve">1575 · La data della rivelazione, non del fatto.</w:t>
      </w:r>
      <w:r>
        <w:rPr>
          <w:rFonts w:ascii="Barlow Semi Condensed" w:cs="Barlow Semi Condensed" w:eastAsia="Barlow Semi Condensed" w:hAnsi="Barlow Semi Condensed"/>
          <w:sz w:val="24"/>
          <w:szCs w:val="24"/>
        </w:rPr>
        <w:t xml:space="preserve"> Vale per tutto il nodo culturale una regola cronologica: le rivelazioni pubbliche sui finanziamenti coperti alla cultura si collocano nel 1967, con le indagini e le commissioni che ne seguirono. La data della rivelazione non è la data del fatto rivelato, e le due vanno su righe separate del registro. Chi le confonde retrodata la conoscenza pubblica e antidata i comportamenti.</w:t>
      </w:r>
    </w:p>
    <w:p>
      <w:pPr>
        <w:spacing w:after="120" w:line="276"/>
        <w:jc w:val="both"/>
      </w:pPr>
      <w:r>
        <w:rPr>
          <w:rFonts w:ascii="Barlow Semi Condensed" w:cs="Barlow Semi Condensed" w:eastAsia="Barlow Semi Condensed" w:hAnsi="Barlow Semi Condensed"/>
          <w:b/>
          <w:bCs/>
          <w:sz w:val="24"/>
          <w:szCs w:val="24"/>
        </w:rPr>
        <w:t xml:space="preserve">1576 · Omologia e analogia sui due vettori.</w:t>
      </w:r>
      <w:r>
        <w:rPr>
          <w:rFonts w:ascii="Barlow Semi Condensed" w:cs="Barlow Semi Condensed" w:eastAsia="Barlow Semi Condensed" w:hAnsi="Barlow Semi Condensed"/>
          <w:sz w:val="24"/>
          <w:szCs w:val="24"/>
        </w:rPr>
        <w:t xml:space="preserve"> Due sistemi che diffondono idee con libri, riviste e immagini si somigliano perché il mezzo è lo stesso, non perché discendano l'uno dall'altro. Il test è quello del blocco 434: la discendenza è omologia solo se affermata dai discendenti stessi o attestata da un documento di provenienza. Fra l'editore milanese e l'apparato culturale atlantico non risulta, allo stato, né l'una né l'altro.</w:t>
      </w:r>
    </w:p>
    <w:p>
      <w:pPr>
        <w:spacing w:after="120" w:line="276"/>
        <w:jc w:val="both"/>
      </w:pPr>
      <w:r>
        <w:rPr>
          <w:rFonts w:ascii="Barlow Semi Condensed" w:cs="Barlow Semi Condensed" w:eastAsia="Barlow Semi Condensed" w:hAnsi="Barlow Semi Condensed"/>
          <w:b/>
          <w:bCs/>
          <w:sz w:val="24"/>
          <w:szCs w:val="24"/>
        </w:rPr>
        <w:t xml:space="preserve">1577 · I quattro accertamenti applicati al vettore.</w:t>
      </w:r>
      <w:r>
        <w:rPr>
          <w:rFonts w:ascii="Barlow Semi Condensed" w:cs="Barlow Semi Condensed" w:eastAsia="Barlow Semi Condensed" w:hAnsi="Barlow Semi Condensed"/>
          <w:sz w:val="24"/>
          <w:szCs w:val="24"/>
        </w:rPr>
        <w:t xml:space="preserve"> Quattro prove distinte esige il blocco 501 per ogni finanziamento a un vettore di stampa: delibera, trasferimento, ricezione, effetto. Applicate all'editore milanese, le prime tre non risultano reperite in alcuna sede pubblica, e la quarta non è nemmeno formulabile. Il metro, come già al blocco 504 per il caso italiano in generale, misura e trova assenza: è un risultato, non un fallimento.</w:t>
      </w:r>
    </w:p>
    <w:p>
      <w:pPr>
        <w:spacing w:after="120" w:line="276"/>
        <w:jc w:val="both"/>
      </w:pPr>
      <w:r>
        <w:rPr>
          <w:rFonts w:ascii="Barlow Semi Condensed" w:cs="Barlow Semi Condensed" w:eastAsia="Barlow Semi Condensed" w:hAnsi="Barlow Semi Condensed"/>
          <w:b/>
          <w:bCs/>
          <w:sz w:val="24"/>
          <w:szCs w:val="24"/>
        </w:rPr>
        <w:t xml:space="preserve">1578 · Stato Zero sul finanziamento del vettore.</w:t>
      </w:r>
      <w:r>
        <w:rPr>
          <w:rFonts w:ascii="Barlow Semi Condensed" w:cs="Barlow Semi Condensed" w:eastAsia="Barlow Semi Condensed" w:hAnsi="Barlow Semi Condensed"/>
          <w:sz w:val="24"/>
          <w:szCs w:val="24"/>
        </w:rPr>
        <w:t xml:space="preserve"> Si dichiara come acquisizione di pieno valore: non risulta reperito alcun documento primario che attesti un finanziamento straniero, coperto o palese, alla casa editrice milanese o al suo fondatore, con beneficiario, importo e data. Sedi di chiusura: i fascicoli per paese del Consiglio di sicurezza nazionale a College Park e la sala di lettura elettronica dell'agenzia. L'esito negativo vale quanto uno positivo.</w:t>
      </w:r>
    </w:p>
    <w:p>
      <w:pPr>
        <w:spacing w:after="120" w:line="276"/>
        <w:jc w:val="both"/>
      </w:pPr>
      <w:r>
        <w:rPr>
          <w:rFonts w:ascii="Barlow Semi Condensed" w:cs="Barlow Semi Condensed" w:eastAsia="Barlow Semi Condensed" w:hAnsi="Barlow Semi Condensed"/>
          <w:b/>
          <w:bCs/>
          <w:sz w:val="24"/>
          <w:szCs w:val="24"/>
        </w:rPr>
        <w:t xml:space="preserve">1579 · Il blocco 709 e le sue serie.</w:t>
      </w:r>
      <w:r>
        <w:rPr>
          <w:rFonts w:ascii="Barlow Semi Condensed" w:cs="Barlow Semi Condensed" w:eastAsia="Barlow Semi Condensed" w:hAnsi="Barlow Semi Condensed"/>
          <w:sz w:val="24"/>
          <w:szCs w:val="24"/>
        </w:rPr>
        <w:t xml:space="preserve"> Il blocco 709 della prima campagna aveva già scritto il bersaglio giusto: verificare se nei fondi statunitensi consultabili esistano valutazioni coeve sull'editore milanese, e in quali serie siano collocate. Quel blocco però non nominava le serie. Questa serie territoriale gliele fornisce una per una nei blocchi seguenti, perché un bersaglio senza segnatura resta, nella formula del corpus, un sentito dire elegante.</w:t>
      </w:r>
    </w:p>
    <w:p>
      <w:pPr>
        <w:spacing w:after="120" w:line="276"/>
        <w:jc w:val="both"/>
      </w:pPr>
      <w:r>
        <w:rPr>
          <w:rFonts w:ascii="Barlow Semi Condensed" w:cs="Barlow Semi Condensed" w:eastAsia="Barlow Semi Condensed" w:hAnsi="Barlow Semi Condensed"/>
          <w:b/>
          <w:bCs/>
          <w:sz w:val="24"/>
          <w:szCs w:val="24"/>
        </w:rPr>
        <w:t xml:space="preserve">1580 · La categoria del classificatore dipartimentale.</w:t>
      </w:r>
      <w:r>
        <w:rPr>
          <w:rFonts w:ascii="Barlow Semi Condensed" w:cs="Barlow Semi Condensed" w:eastAsia="Barlow Semi Condensed" w:hAnsi="Barlow Semi Condensed"/>
          <w:sz w:val="24"/>
          <w:szCs w:val="24"/>
        </w:rPr>
        <w:t xml:space="preserve"> Prima serie da aprire ai National Archives di College Park: Record Group 59, Central Foreign Policy Files, schedario per soggetto e numero, categoria della politica interna e della sicurezza per l'Italia, annate 1967-1969 e 1970-1973. È la sede in cui un editore passato alla clandestinità sarebbe stato eventualmente segnalato dall'ambasciata. Bersaglio: la lista dei fascicoli pertinenti, con esito dichiarato anche se nullo.</w:t>
      </w:r>
    </w:p>
    <w:p>
      <w:pPr>
        <w:spacing w:after="120" w:line="276"/>
        <w:jc w:val="both"/>
      </w:pPr>
      <w:r>
        <w:rPr>
          <w:rFonts w:ascii="Barlow Semi Condensed" w:cs="Barlow Semi Condensed" w:eastAsia="Barlow Semi Condensed" w:hAnsi="Barlow Semi Condensed"/>
          <w:b/>
          <w:bCs/>
          <w:sz w:val="24"/>
          <w:szCs w:val="24"/>
        </w:rPr>
        <w:t xml:space="preserve">1581 · L'ufficio analitico e la teoria del foco.</w:t>
      </w:r>
      <w:r>
        <w:rPr>
          <w:rFonts w:ascii="Barlow Semi Condensed" w:cs="Barlow Semi Condensed" w:eastAsia="Barlow Semi Condensed" w:hAnsi="Barlow Semi Condensed"/>
          <w:sz w:val="24"/>
          <w:szCs w:val="24"/>
        </w:rPr>
        <w:t xml:space="preserve"> Seconda serie: i memoranda di ricerca dell'ufficio di intelligence e ricerca del Dipartimento di Stato, che fra 1967 e 1970 analizzò la guerriglia latinoamericana e la sua ricezione europea. Quesito preciso: se in quei prodotti compaiano le edizioni italiane del diario boliviano e del manuale del foco, e con quale attribuzione editoriale. Sarebbe la traccia più probabile, e resta interamente da cercare.</w:t>
      </w:r>
    </w:p>
    <w:p>
      <w:pPr>
        <w:spacing w:after="120" w:line="276"/>
        <w:jc w:val="both"/>
      </w:pPr>
      <w:r>
        <w:rPr>
          <w:rFonts w:ascii="Barlow Semi Condensed" w:cs="Barlow Semi Condensed" w:eastAsia="Barlow Semi Condensed" w:hAnsi="Barlow Semi Condensed"/>
          <w:b/>
          <w:bCs/>
          <w:sz w:val="24"/>
          <w:szCs w:val="24"/>
        </w:rPr>
        <w:t xml:space="preserve">1582 · I posti consolari e Milano.</w:t>
      </w:r>
      <w:r>
        <w:rPr>
          <w:rFonts w:ascii="Barlow Semi Condensed" w:cs="Barlow Semi Condensed" w:eastAsia="Barlow Semi Condensed" w:hAnsi="Barlow Semi Condensed"/>
          <w:sz w:val="24"/>
          <w:szCs w:val="24"/>
        </w:rPr>
        <w:t xml:space="preserve"> Terza serie: Record Group 84, carte dei posti del servizio estero, ambasciata a Roma e consolato generale a Milano. È l'unico giacimento americano in cui la cronaca milanese del 1969-1972 sarebbe stata registrata di prima mano. Bersaglio: verificare esistenza e perimetro dei fascicoli consolari per quegli anni, che nessuna campagna del corpus ha finora interrogato per alcuna domanda.</w:t>
      </w:r>
    </w:p>
    <w:p>
      <w:pPr>
        <w:spacing w:after="120" w:line="276"/>
        <w:jc w:val="both"/>
      </w:pPr>
      <w:r>
        <w:rPr>
          <w:rFonts w:ascii="Barlow Semi Condensed" w:cs="Barlow Semi Condensed" w:eastAsia="Barlow Semi Condensed" w:hAnsi="Barlow Semi Condensed"/>
          <w:b/>
          <w:bCs/>
          <w:sz w:val="24"/>
          <w:szCs w:val="24"/>
        </w:rPr>
        <w:t xml:space="preserve">1583 · I fascicoli per paese del Consiglio.</w:t>
      </w:r>
      <w:r>
        <w:rPr>
          <w:rFonts w:ascii="Barlow Semi Condensed" w:cs="Barlow Semi Condensed" w:eastAsia="Barlow Semi Condensed" w:hAnsi="Barlow Semi Condensed"/>
          <w:sz w:val="24"/>
          <w:szCs w:val="24"/>
        </w:rPr>
        <w:t xml:space="preserve"> Quarta serie, già nominata dai blocchi 305 e 665 per altre domande: i materiali presidenziali Nixon, carte del Consiglio di sicurezza nazionale, fascicoli per paese relativi all'Italia. Qui il quesito è diverso da quello sulla Farnesina: non i colloqui bilaterali, ma le eventuali informative sulla clandestinità armata milanese fra 1970 e 1972. Stessi faldoni, domanda nuova, esito da verbalizzare.</w:t>
      </w:r>
    </w:p>
    <w:p>
      <w:pPr>
        <w:spacing w:after="120" w:line="276"/>
        <w:jc w:val="both"/>
      </w:pPr>
      <w:r>
        <w:rPr>
          <w:rFonts w:ascii="Barlow Semi Condensed" w:cs="Barlow Semi Condensed" w:eastAsia="Barlow Semi Condensed" w:hAnsi="Barlow Semi Condensed"/>
          <w:b/>
          <w:bCs/>
          <w:sz w:val="24"/>
          <w:szCs w:val="24"/>
        </w:rPr>
        <w:t xml:space="preserve">1584 · Gli studi ordinati e il loro esito.</w:t>
      </w:r>
      <w:r>
        <w:rPr>
          <w:rFonts w:ascii="Barlow Semi Condensed" w:cs="Barlow Semi Condensed" w:eastAsia="Barlow Semi Condensed" w:hAnsi="Barlow Semi Condensed"/>
          <w:sz w:val="24"/>
          <w:szCs w:val="24"/>
        </w:rPr>
        <w:t xml:space="preserve"> Quinta serie: i fascicoli istituzionali del Consiglio, dove si conservano memorandum di studio e di decisione. Il corpus registra l'istruzione presidenziale del dicembre 1969 per uno studio sull'Italia, documento 188 del volume XLI, e non ne ha mai reperito il prodotto. Quesito derivato per questo territorio: se quel prodotto tratti la violenza politica interna, e in quale sezione.</w:t>
      </w:r>
    </w:p>
    <w:p>
      <w:pPr>
        <w:spacing w:after="120" w:line="276"/>
        <w:jc w:val="both"/>
      </w:pPr>
      <w:r>
        <w:rPr>
          <w:rFonts w:ascii="Barlow Semi Condensed" w:cs="Barlow Semi Condensed" w:eastAsia="Barlow Semi Condensed" w:hAnsi="Barlow Semi Condensed"/>
          <w:b/>
          <w:bCs/>
          <w:sz w:val="24"/>
          <w:szCs w:val="24"/>
        </w:rPr>
        <w:t xml:space="preserve">1585 · Le trascrizioni telefoniche del marzo 1972.</w:t>
      </w:r>
      <w:r>
        <w:rPr>
          <w:rFonts w:ascii="Barlow Semi Condensed" w:cs="Barlow Semi Condensed" w:eastAsia="Barlow Semi Condensed" w:hAnsi="Barlow Semi Condensed"/>
          <w:sz w:val="24"/>
          <w:szCs w:val="24"/>
        </w:rPr>
        <w:t xml:space="preserve"> Sesta serie, la più circoscritta e la più verificabile: le trascrizioni delle conversazioni telefoniche del consigliere per la sicurezza nazionale, oggi in larga parte declassificate. Bersaglio: le giornate fra il 10 e il 31 marzo 1972, per accertare se il fatto di Segrate vi compaia in qualunque forma. Un esito negativo su una serie tanto fitta è, di per sé, informazione di valore.</w:t>
      </w:r>
    </w:p>
    <w:p>
      <w:pPr>
        <w:spacing w:after="120" w:line="276"/>
        <w:jc w:val="both"/>
      </w:pPr>
      <w:r>
        <w:rPr>
          <w:rFonts w:ascii="Barlow Semi Condensed" w:cs="Barlow Semi Condensed" w:eastAsia="Barlow Semi Condensed" w:hAnsi="Barlow Semi Condensed"/>
          <w:b/>
          <w:bCs/>
          <w:sz w:val="24"/>
          <w:szCs w:val="24"/>
        </w:rPr>
        <w:t xml:space="preserve">1586 · La sala di lettura e il tranello.</w:t>
      </w:r>
      <w:r>
        <w:rPr>
          <w:rFonts w:ascii="Barlow Semi Condensed" w:cs="Barlow Semi Condensed" w:eastAsia="Barlow Semi Condensed" w:hAnsi="Barlow Semi Condensed"/>
          <w:sz w:val="24"/>
          <w:szCs w:val="24"/>
        </w:rPr>
        <w:t xml:space="preserve"> Settima sede: la sala di lettura elettronica dell'agenzia statunitense, da interrogare con il cognome dell'editore e con le sigle delle formazioni. Vale l'avvertimento del blocco 927: distinguere i prodotti analitici dai ritagli di giornale raccolti internamente. Un ritaglio conservato in un fondo riservato resta un ritaglio, e scambiarlo per intelligence è il falso positivo più insidioso dell'intero versante americano.</w:t>
      </w:r>
    </w:p>
    <w:p>
      <w:pPr>
        <w:spacing w:after="120" w:line="276"/>
        <w:jc w:val="both"/>
      </w:pPr>
      <w:r>
        <w:rPr>
          <w:rFonts w:ascii="Barlow Semi Condensed" w:cs="Barlow Semi Condensed" w:eastAsia="Barlow Semi Condensed" w:hAnsi="Barlow Semi Condensed"/>
          <w:b/>
          <w:bCs/>
          <w:sz w:val="24"/>
          <w:szCs w:val="24"/>
        </w:rPr>
        <w:t xml:space="preserve">1587 · L'archivio investigativo federale, sede laterale.</w:t>
      </w:r>
      <w:r>
        <w:rPr>
          <w:rFonts w:ascii="Barlow Semi Condensed" w:cs="Barlow Semi Condensed" w:eastAsia="Barlow Semi Condensed" w:hAnsi="Barlow Semi Condensed"/>
          <w:sz w:val="24"/>
          <w:szCs w:val="24"/>
        </w:rPr>
        <w:t xml:space="preserve"> Ottava sede, meno ovvia e mai interrogata dal corpus: gli archivi dell'ufficio investigativo federale statunitense, accessibili per richiesta di libertà d'informazione, che conservano fascicoli su stranieri ritenuti d'interesse per la sicurezza interna e sui loro spostamenti. Bersaglio: presentare istanza nominativa per l'editore milanese e verbalizzare l'esito, compreso il diniego, che è anch'esso documento con data e motivazione.</w:t>
      </w:r>
    </w:p>
    <w:p>
      <w:pPr>
        <w:spacing w:after="120" w:line="276"/>
        <w:jc w:val="both"/>
      </w:pPr>
      <w:r>
        <w:rPr>
          <w:rFonts w:ascii="Barlow Semi Condensed" w:cs="Barlow Semi Condensed" w:eastAsia="Barlow Semi Condensed" w:hAnsi="Barlow Semi Condensed"/>
          <w:b/>
          <w:bCs/>
          <w:sz w:val="24"/>
          <w:szCs w:val="24"/>
        </w:rPr>
        <w:t xml:space="preserve">1588 · Le inchieste parlamentari americane del 1975.</w:t>
      </w:r>
      <w:r>
        <w:rPr>
          <w:rFonts w:ascii="Barlow Semi Condensed" w:cs="Barlow Semi Condensed" w:eastAsia="Barlow Semi Condensed" w:hAnsi="Barlow Semi Condensed"/>
          <w:sz w:val="24"/>
          <w:szCs w:val="24"/>
        </w:rPr>
        <w:t xml:space="preserve"> Nona sede: le carte delle commissioni d'inchiesta del Congresso sugli apparati d'informazione, celebrate fra 1975 e 1976, conservate ai National Archives nel fondo del Senato. Quesito: se negli allegati istruttori compaia materiale sull'Italia degli anni 1969-1972. Attenzione al grado: una relazione parlamentare è fonte di secondo livello sui fatti che riassume e di primo livello soltanto su sé stessa.</w:t>
      </w:r>
    </w:p>
    <w:p>
      <w:pPr>
        <w:spacing w:after="120" w:line="276"/>
        <w:jc w:val="both"/>
      </w:pPr>
      <w:r>
        <w:rPr>
          <w:rFonts w:ascii="Barlow Semi Condensed" w:cs="Barlow Semi Condensed" w:eastAsia="Barlow Semi Condensed" w:hAnsi="Barlow Semi Condensed"/>
          <w:b/>
          <w:bCs/>
          <w:sz w:val="24"/>
          <w:szCs w:val="24"/>
        </w:rPr>
        <w:t xml:space="preserve">1589 · Un vuoto integrale, come si legge.</w:t>
      </w:r>
      <w:r>
        <w:rPr>
          <w:rFonts w:ascii="Barlow Semi Condensed" w:cs="Barlow Semi Condensed" w:eastAsia="Barlow Semi Condensed" w:hAnsi="Barlow Semi Condensed"/>
          <w:sz w:val="24"/>
          <w:szCs w:val="24"/>
        </w:rPr>
        <w:t xml:space="preserve"> Se tutte e nove le sedi restituissero il nulla, il corpus avrebbe accertato che nessun ufficio statunitense produsse per ufficio una carta su questo editore, non che nessuno se ne occupò. La distinzione, già fissata al blocco 48 per la quadriga investigativa, è la sola che impedisca di trasformare uno zero d'archivio in un enunciato sul mondo.</w:t>
      </w:r>
    </w:p>
    <w:p>
      <w:pPr>
        <w:spacing w:after="120" w:line="276"/>
        <w:jc w:val="both"/>
      </w:pPr>
      <w:r>
        <w:rPr>
          <w:rFonts w:ascii="Barlow Semi Condensed" w:cs="Barlow Semi Condensed" w:eastAsia="Barlow Semi Condensed" w:hAnsi="Barlow Semi Condensed"/>
          <w:b/>
          <w:bCs/>
          <w:sz w:val="24"/>
          <w:szCs w:val="24"/>
        </w:rPr>
        <w:t xml:space="preserve">1590 · Buco editoriale e buco archivistico, qui.</w:t>
      </w:r>
      <w:r>
        <w:rPr>
          <w:rFonts w:ascii="Barlow Semi Condensed" w:cs="Barlow Semi Condensed" w:eastAsia="Barlow Semi Condensed" w:hAnsi="Barlow Semi Condensed"/>
          <w:sz w:val="24"/>
          <w:szCs w:val="24"/>
        </w:rPr>
        <w:t xml:space="preserve"> Applicata a questo territorio, la distinzione del blocco 682 ha effetto pratico immediato: che i volumi della serie ufficiale americana non contengano documenti sulla clandestinità italiana è mancata inclusione in un'edizione selettiva, e si supera leggendo altrove; che un fondo interrogato non li contenga è assenza da un giacimento, e si supera solo con un versamento o una declassifica. Due righe separate del registro.</w:t>
      </w:r>
    </w:p>
    <w:p>
      <w:pPr>
        <w:spacing w:after="120" w:line="276"/>
        <w:jc w:val="both"/>
      </w:pPr>
      <w:r>
        <w:rPr>
          <w:rFonts w:ascii="Barlow Semi Condensed" w:cs="Barlow Semi Condensed" w:eastAsia="Barlow Semi Condensed" w:hAnsi="Barlow Semi Condensed"/>
          <w:b/>
          <w:bCs/>
          <w:sz w:val="24"/>
          <w:szCs w:val="24"/>
        </w:rPr>
        <w:t xml:space="preserve">1591 · Il giacimento della desecretazione.</w:t>
      </w:r>
      <w:r>
        <w:rPr>
          <w:rFonts w:ascii="Barlow Semi Condensed" w:cs="Barlow Semi Condensed" w:eastAsia="Barlow Semi Condensed" w:hAnsi="Barlow Semi Condensed"/>
          <w:sz w:val="24"/>
          <w:szCs w:val="24"/>
        </w:rPr>
        <w:t xml:space="preserve"> Sul versante italiano la prima sede resta la raccolta speciale dell'Archivio centrale dello Stato, circa duemila buste versate da centocinquantasei uffici in esecuzione delle direttive. È costruita per il caso Moro e non per il 1972; ma gli uffici versanti sono gli stessi che sorvegliavano la clandestinità milanese. Bersaglio: interrogare l'inventario con il cognome dell'editore e verbalizzare l'esito busta per busta.</w:t>
      </w:r>
    </w:p>
    <w:p>
      <w:pPr>
        <w:spacing w:after="120" w:line="276"/>
        <w:jc w:val="both"/>
      </w:pPr>
      <w:r>
        <w:rPr>
          <w:rFonts w:ascii="Barlow Semi Condensed" w:cs="Barlow Semi Condensed" w:eastAsia="Barlow Semi Condensed" w:hAnsi="Barlow Semi Condensed"/>
          <w:b/>
          <w:bCs/>
          <w:sz w:val="24"/>
          <w:szCs w:val="24"/>
        </w:rPr>
        <w:t xml:space="preserve">1592 · Il fascicolo di sorveglianza, se esiste.</w:t>
      </w:r>
      <w:r>
        <w:rPr>
          <w:rFonts w:ascii="Barlow Semi Condensed" w:cs="Barlow Semi Condensed" w:eastAsia="Barlow Semi Condensed" w:hAnsi="Barlow Semi Condensed"/>
          <w:sz w:val="24"/>
          <w:szCs w:val="24"/>
        </w:rPr>
        <w:t xml:space="preserve"> Il quesito più promettente dell'intero fronte interno riguarda gli affari riservati del Viminale: se esista un fascicolo personale sull'editore, quando fu aperto, chi lo alimentava, e se contenga carte di provenienza estera trasmesse per canale di servizio. Una carta straniera conservata dentro un fascicolo italiano sarebbe il primo documento di piano 1 mai reperito su questo nodo.</w:t>
      </w:r>
    </w:p>
    <w:p>
      <w:pPr>
        <w:spacing w:after="120" w:line="276"/>
        <w:jc w:val="both"/>
      </w:pPr>
      <w:r>
        <w:rPr>
          <w:rFonts w:ascii="Barlow Semi Condensed" w:cs="Barlow Semi Condensed" w:eastAsia="Barlow Semi Condensed" w:hAnsi="Barlow Semi Condensed"/>
          <w:b/>
          <w:bCs/>
          <w:sz w:val="24"/>
          <w:szCs w:val="24"/>
        </w:rPr>
        <w:t xml:space="preserve">1593 · L'istruttoria milanese su Segrate.</w:t>
      </w:r>
      <w:r>
        <w:rPr>
          <w:rFonts w:ascii="Barlow Semi Condensed" w:cs="Barlow Semi Condensed" w:eastAsia="Barlow Semi Condensed" w:hAnsi="Barlow Semi Condensed"/>
          <w:sz w:val="24"/>
          <w:szCs w:val="24"/>
        </w:rPr>
        <w:t xml:space="preserve"> Fra i fondi giudiziari versati all'Archivio di Stato di Milano vanno cercate le carte dell'istruttoria sulla morte del 14 marzo 1972. Bersaglio: accertare se fra gli atti figurino richieste rogatoriali o comunicazioni con autorità straniere. La ricostruzione accolta in giudizio resta quella dell'incidente durante il sabotaggio, e nulla di questo bersaglio la mette in discussione: si cerca un canale, non una versione.</w:t>
      </w:r>
    </w:p>
    <w:p>
      <w:pPr>
        <w:spacing w:after="120" w:line="276"/>
        <w:jc w:val="both"/>
      </w:pPr>
      <w:r>
        <w:rPr>
          <w:rFonts w:ascii="Barlow Semi Condensed" w:cs="Barlow Semi Condensed" w:eastAsia="Barlow Semi Condensed" w:hAnsi="Barlow Semi Condensed"/>
          <w:b/>
          <w:bCs/>
          <w:sz w:val="24"/>
          <w:szCs w:val="24"/>
        </w:rPr>
        <w:t xml:space="preserve">1594 · Il processo torinese e i suoi atti.</w:t>
      </w:r>
      <w:r>
        <w:rPr>
          <w:rFonts w:ascii="Barlow Semi Condensed" w:cs="Barlow Semi Condensed" w:eastAsia="Barlow Semi Condensed" w:hAnsi="Barlow Semi Condensed"/>
          <w:sz w:val="24"/>
          <w:szCs w:val="24"/>
        </w:rPr>
        <w:t xml:space="preserve"> Già nominato dal nodo FH-6, il fascicolo del processo celebrato a Torino alle Brigate Rosse e ai GAP è oggi valorizzato dal portale della memoria del Ministero della Cultura. Quesito: se negli atti compaiano acquisizioni documentali di fonte straniera. È l'unico luogo in cui i due rami della clandestinità milanese furono trattati insieme, e per ciò stesso il più ordinato da spogliare.</w:t>
      </w:r>
    </w:p>
    <w:p>
      <w:pPr>
        <w:spacing w:after="120" w:line="276"/>
        <w:jc w:val="both"/>
      </w:pPr>
      <w:r>
        <w:rPr>
          <w:rFonts w:ascii="Barlow Semi Condensed" w:cs="Barlow Semi Condensed" w:eastAsia="Barlow Semi Condensed" w:hAnsi="Barlow Semi Condensed"/>
          <w:b/>
          <w:bCs/>
          <w:sz w:val="24"/>
          <w:szCs w:val="24"/>
        </w:rPr>
        <w:t xml:space="preserve">1595 · Il fondo del Senato sulle stragi.</w:t>
      </w:r>
      <w:r>
        <w:rPr>
          <w:rFonts w:ascii="Barlow Semi Condensed" w:cs="Barlow Semi Condensed" w:eastAsia="Barlow Semi Condensed" w:hAnsi="Barlow Semi Condensed"/>
          <w:sz w:val="24"/>
          <w:szCs w:val="24"/>
        </w:rPr>
        <w:t xml:space="preserve"> All'Archivio storico del Senato giace il fondo della Commissione parlamentare d'inchiesta sul terrorismo e sulle stragi, con la sua disciplina di declassifica per decreti presidenziali e nulla osta delle amministrazioni originatrici. Bersaglio: verificare se il cognome dell'editore ricorra nelle serie audizioni e documenti, e se in quella sede sia mai stata formulata una domanda sul versante americano del 1972.</w:t>
      </w:r>
    </w:p>
    <w:p>
      <w:pPr>
        <w:spacing w:after="120" w:line="276"/>
        <w:jc w:val="both"/>
      </w:pPr>
      <w:r>
        <w:rPr>
          <w:rFonts w:ascii="Barlow Semi Condensed" w:cs="Barlow Semi Condensed" w:eastAsia="Barlow Semi Condensed" w:hAnsi="Barlow Semi Condensed"/>
          <w:b/>
          <w:bCs/>
          <w:sz w:val="24"/>
          <w:szCs w:val="24"/>
        </w:rPr>
        <w:t xml:space="preserve">1596 · Le ventimila pagine della Camera.</w:t>
      </w:r>
      <w:r>
        <w:rPr>
          <w:rFonts w:ascii="Barlow Semi Condensed" w:cs="Barlow Semi Condensed" w:eastAsia="Barlow Semi Condensed" w:hAnsi="Barlow Semi Condensed"/>
          <w:sz w:val="24"/>
          <w:szCs w:val="24"/>
        </w:rPr>
        <w:t xml:space="preserve"> Con legge 30 maggio 2014 numero 82 fu istituita la commissione il cui fondo sta all'Archivio storico della Camera, con circa ventimila pagine desecretate consultabili in rete. Il perimetro di quella commissione è il 1978, ma le sue acquisizioni retrospettive toccano la matrice milanese. Bersaglio a costo nullo: interrogare a testo pieno quel corpus desecretato con i due cognomi qui in gioco.</w:t>
      </w:r>
    </w:p>
    <w:p>
      <w:pPr>
        <w:spacing w:after="120" w:line="276"/>
        <w:jc w:val="both"/>
      </w:pPr>
      <w:r>
        <w:rPr>
          <w:rFonts w:ascii="Barlow Semi Condensed" w:cs="Barlow Semi Condensed" w:eastAsia="Barlow Semi Condensed" w:hAnsi="Barlow Semi Condensed"/>
          <w:b/>
          <w:bCs/>
          <w:sz w:val="24"/>
          <w:szCs w:val="24"/>
        </w:rPr>
        <w:t xml:space="preserve">1597 · Il giacimento privato della Garbatella.</w:t>
      </w:r>
      <w:r>
        <w:rPr>
          <w:rFonts w:ascii="Barlow Semi Condensed" w:cs="Barlow Semi Condensed" w:eastAsia="Barlow Semi Condensed" w:hAnsi="Barlow Semi Condensed"/>
          <w:sz w:val="24"/>
          <w:szCs w:val="24"/>
        </w:rPr>
        <w:t xml:space="preserve"> A Roma, alla Garbatella, il Centro documentazione Archivio Flamigni conserva il più vasto giacimento privato sul caso: carte di commissioni, rassegne, fondi personali. Bersaglio: l'inventario delle serie sulla lotta armata degli anni Settanta e il protocollo di consultazione. Il corpus lo aveva già indicato al blocco 32 dell'agenda per altra domanda; qui gli si porta una domanda che non gli era mai stata rivolta.</w:t>
      </w:r>
    </w:p>
    <w:p>
      <w:pPr>
        <w:spacing w:after="120" w:line="276"/>
        <w:jc w:val="both"/>
      </w:pPr>
      <w:r>
        <w:rPr>
          <w:rFonts w:ascii="Barlow Semi Condensed" w:cs="Barlow Semi Condensed" w:eastAsia="Barlow Semi Condensed" w:hAnsi="Barlow Semi Condensed"/>
          <w:b/>
          <w:bCs/>
          <w:sz w:val="24"/>
          <w:szCs w:val="24"/>
        </w:rPr>
        <w:t xml:space="preserve">1598 · La Fondazione, custode di sé stessa.</w:t>
      </w:r>
      <w:r>
        <w:rPr>
          <w:rFonts w:ascii="Barlow Semi Condensed" w:cs="Barlow Semi Condensed" w:eastAsia="Barlow Semi Condensed" w:hAnsi="Barlow Semi Condensed"/>
          <w:sz w:val="24"/>
          <w:szCs w:val="24"/>
        </w:rPr>
        <w:t xml:space="preserve"> La Fondazione eretta con decreto del 1974 è la sede più ovvia fra tutte quelle mai interrogate: conserva un milione e mezzo di schede d'archivio, duecentocinquantamila volumi e quindicimila manifesti. Bersaglio: accertare se fra i suoi fondi figuri il carteggio personale del fondatore per gli anni 1967-1972, a quali condizioni sia consultabile e quale strumento di ricerca lo descriva.</w:t>
      </w:r>
    </w:p>
    <w:p>
      <w:pPr>
        <w:spacing w:after="120" w:line="276"/>
        <w:jc w:val="both"/>
      </w:pPr>
      <w:r>
        <w:rPr>
          <w:rFonts w:ascii="Barlow Semi Condensed" w:cs="Barlow Semi Condensed" w:eastAsia="Barlow Semi Condensed" w:hAnsi="Barlow Semi Condensed"/>
          <w:b/>
          <w:bCs/>
          <w:sz w:val="24"/>
          <w:szCs w:val="24"/>
        </w:rPr>
        <w:t xml:space="preserve">1599 · Un manifesto fra quindicimila.</w:t>
      </w:r>
      <w:r>
        <w:rPr>
          <w:rFonts w:ascii="Barlow Semi Condensed" w:cs="Barlow Semi Condensed" w:eastAsia="Barlow Semi Condensed" w:hAnsi="Barlow Semi Condensed"/>
          <w:sz w:val="24"/>
          <w:szCs w:val="24"/>
        </w:rPr>
        <w:t xml:space="preserve"> Nella raccolta di manifesti della Fondazione è conservato un esemplare di quello tratto dalla fotografia di Korda e stampato per il lancio del 1968? La domanda si chiude a catalogo, con tiratura, tipografia e data. Il territorio afferma le centinaia di copie senza produrne una: una sola scheda trasformerebbe un'affermazione ripetuta in un reperto materiale, che è cosa diversa e molto più solida.</w:t>
      </w:r>
    </w:p>
    <w:p>
      <w:pPr>
        <w:spacing w:after="120" w:line="276"/>
        <w:jc w:val="both"/>
      </w:pPr>
      <w:r>
        <w:rPr>
          <w:rFonts w:ascii="Barlow Semi Condensed" w:cs="Barlow Semi Condensed" w:eastAsia="Barlow Semi Condensed" w:hAnsi="Barlow Semi Condensed"/>
          <w:b/>
          <w:bCs/>
          <w:sz w:val="24"/>
          <w:szCs w:val="24"/>
        </w:rPr>
        <w:t xml:space="preserve">1600 · L'archivio della casa editrice, distinto.</w:t>
      </w:r>
      <w:r>
        <w:rPr>
          <w:rFonts w:ascii="Barlow Semi Condensed" w:cs="Barlow Semi Condensed" w:eastAsia="Barlow Semi Condensed" w:hAnsi="Barlow Semi Condensed"/>
          <w:sz w:val="24"/>
          <w:szCs w:val="24"/>
        </w:rPr>
        <w:t xml:space="preserve"> Dall'archivio della Fondazione va tenuto distinto quello storico della casa editrice, che conserva contratti, corrispondenza con gli autori e documentazione di catalogo. È lì, e non altrove, che si accerterebbe l'esistenza di rapporti contrattuali con autori stranieri di area governativa. Bersaglio: verificarne regime di accesso e strumenti di ricerca, che nessuna campagna del corpus ha finora censito.</w:t>
      </w:r>
    </w:p>
    <w:p>
      <w:pPr>
        <w:spacing w:after="120" w:line="276"/>
        <w:jc w:val="both"/>
      </w:pPr>
      <w:r>
        <w:rPr>
          <w:rFonts w:ascii="Barlow Semi Condensed" w:cs="Barlow Semi Condensed" w:eastAsia="Barlow Semi Condensed" w:hAnsi="Barlow Semi Condensed"/>
          <w:b/>
          <w:bCs/>
          <w:sz w:val="24"/>
          <w:szCs w:val="24"/>
        </w:rPr>
        <w:t xml:space="preserve">1601 · La prova di catalogo, formulata.</w:t>
      </w:r>
      <w:r>
        <w:rPr>
          <w:rFonts w:ascii="Barlow Semi Condensed" w:cs="Barlow Semi Condensed" w:eastAsia="Barlow Semi Condensed" w:hAnsi="Barlow Semi Condensed"/>
          <w:sz w:val="24"/>
          <w:szCs w:val="24"/>
        </w:rPr>
        <w:t xml:space="preserve"> Quesito nettissimo, verificabile in un'ora sul catalogo del Servizio bibliotecario nazionale: il nome qui triangolato ha mai figurato come autore in una collana della casa editrice milanese, prima o dopo il 1972? La domanda è cruciale perché una risposta affermativa produrrebbe un rapporto contrattuale documentato, cioè l'unico piano 1 immaginabile fra questo nome e questo territorio.</w:t>
      </w:r>
    </w:p>
    <w:p>
      <w:pPr>
        <w:spacing w:after="120" w:line="276"/>
        <w:jc w:val="both"/>
      </w:pPr>
      <w:r>
        <w:rPr>
          <w:rFonts w:ascii="Barlow Semi Condensed" w:cs="Barlow Semi Condensed" w:eastAsia="Barlow Semi Condensed" w:hAnsi="Barlow Semi Condensed"/>
          <w:b/>
          <w:bCs/>
          <w:sz w:val="24"/>
          <w:szCs w:val="24"/>
        </w:rPr>
        <w:t xml:space="preserve">1602 · Se il catalogo restituisse un titolo.</w:t>
      </w:r>
      <w:r>
        <w:rPr>
          <w:rFonts w:ascii="Barlow Semi Condensed" w:cs="Barlow Semi Condensed" w:eastAsia="Barlow Semi Condensed" w:hAnsi="Barlow Semi Condensed"/>
          <w:sz w:val="24"/>
          <w:szCs w:val="24"/>
        </w:rPr>
        <w:t xml:space="preserve"> Un titolo trovato proverebbe un contratto fra un autore e una casa editrice: null'altro. Non un rapporto con il fondatore, morto prima; non una condivisione di posizioni; non un canale. La proprietà non è la linea, insegna il blocco 521, e il rapporto editoriale è ancora meno della proprietà: è una transazione fra un testo e un catalogo, e si legge così.</w:t>
      </w:r>
    </w:p>
    <w:p>
      <w:pPr>
        <w:spacing w:after="120" w:line="276"/>
        <w:jc w:val="both"/>
      </w:pPr>
      <w:r>
        <w:rPr>
          <w:rFonts w:ascii="Barlow Semi Condensed" w:cs="Barlow Semi Condensed" w:eastAsia="Barlow Semi Condensed" w:hAnsi="Barlow Semi Condensed"/>
          <w:b/>
          <w:bCs/>
          <w:sz w:val="24"/>
          <w:szCs w:val="24"/>
        </w:rPr>
        <w:t xml:space="preserve">1603 · Il catalogo muto, e come si scrive.</w:t>
      </w:r>
      <w:r>
        <w:rPr>
          <w:rFonts w:ascii="Barlow Semi Condensed" w:cs="Barlow Semi Condensed" w:eastAsia="Barlow Semi Condensed" w:hAnsi="Barlow Semi Condensed"/>
          <w:sz w:val="24"/>
          <w:szCs w:val="24"/>
        </w:rPr>
        <w:t xml:space="preserve"> Un catalogo muto obbligherebbe invece a verbalizzare Stato Zero con la data dell'interrogazione, la banca dati usata e le forme del nome cercate, comprese le varianti anagrafiche fra Heinz e Henry. L'assenza dal catalogo di un editore non significa assenza dal mercato italiano: significa che quel canale non fu usato, il che è esattamente ciò che questa serie voleva sapere.</w:t>
      </w:r>
    </w:p>
    <w:p>
      <w:pPr>
        <w:spacing w:after="120" w:line="276"/>
        <w:jc w:val="both"/>
      </w:pPr>
      <w:r>
        <w:rPr>
          <w:rFonts w:ascii="Barlow Semi Condensed" w:cs="Barlow Semi Condensed" w:eastAsia="Barlow Semi Condensed" w:hAnsi="Barlow Semi Condensed"/>
          <w:b/>
          <w:bCs/>
          <w:sz w:val="24"/>
          <w:szCs w:val="24"/>
        </w:rPr>
        <w:t xml:space="preserve">1604 · Gli indici di tre volumi memorialistici.</w:t>
      </w:r>
      <w:r>
        <w:rPr>
          <w:rFonts w:ascii="Barlow Semi Condensed" w:cs="Barlow Semi Condensed" w:eastAsia="Barlow Semi Condensed" w:hAnsi="Barlow Semi Condensed"/>
          <w:sz w:val="24"/>
          <w:szCs w:val="24"/>
        </w:rPr>
        <w:t xml:space="preserve"> Bersaglio speculare e altrettanto economico: scorrere gli indici dei nomi dei tre volumi memorialistici del nome triangolato, pubblicati fra il 1979 e il 1999, cercandovi l'editore milanese, i Gruppi d'Azione Partigiana e le Brigate Rosse. Un'assenza a indice, verbalizzata con edizione e pagine, dice che cosa il corpus dichiarato dell'autore riteneva pertinente al proprio racconto.</w:t>
      </w:r>
    </w:p>
    <w:p>
      <w:pPr>
        <w:spacing w:after="120" w:line="276"/>
        <w:jc w:val="both"/>
      </w:pPr>
      <w:r>
        <w:rPr>
          <w:rFonts w:ascii="Barlow Semi Condensed" w:cs="Barlow Semi Condensed" w:eastAsia="Barlow Semi Condensed" w:hAnsi="Barlow Semi Condensed"/>
          <w:b/>
          <w:bCs/>
          <w:sz w:val="24"/>
          <w:szCs w:val="24"/>
        </w:rPr>
        <w:t xml:space="preserve">1605 · Il Bollettino e il terrorismo italiano.</w:t>
      </w:r>
      <w:r>
        <w:rPr>
          <w:rFonts w:ascii="Barlow Semi Condensed" w:cs="Barlow Semi Condensed" w:eastAsia="Barlow Semi Condensed" w:hAnsi="Barlow Semi Condensed"/>
          <w:sz w:val="24"/>
          <w:szCs w:val="24"/>
        </w:rPr>
        <w:t xml:space="preserve"> Terzo controllo sul dichiarato: il Bollettino del Dipartimento di Stato, sede in cui discorsi e dichiarazioni furono pubblicati ufficialmente, per le annate 1973-1977. Bersaglio: la tavola delle occorrenze in cui il terrorismo italiano compaia, con numero e pagina. Il blocco 80 della prima campagna prescrive proprio questo strumento per fissare il testo autorevole prima di ricorrere a ritagli e raccolte private.</w:t>
      </w:r>
    </w:p>
    <w:p>
      <w:pPr>
        <w:spacing w:after="120" w:line="276"/>
        <w:jc w:val="both"/>
      </w:pPr>
      <w:r>
        <w:rPr>
          <w:rFonts w:ascii="Barlow Semi Condensed" w:cs="Barlow Semi Condensed" w:eastAsia="Barlow Semi Condensed" w:hAnsi="Barlow Semi Condensed"/>
          <w:b/>
          <w:bCs/>
          <w:sz w:val="24"/>
          <w:szCs w:val="24"/>
        </w:rPr>
        <w:t xml:space="preserve">1606 · Le librerie non sono un nesso.</w:t>
      </w:r>
      <w:r>
        <w:rPr>
          <w:rFonts w:ascii="Barlow Semi Condensed" w:cs="Barlow Semi Condensed" w:eastAsia="Barlow Semi Condensed" w:hAnsi="Barlow Semi Condensed"/>
          <w:sz w:val="24"/>
          <w:szCs w:val="24"/>
        </w:rPr>
        <w:t xml:space="preserve"> Anti-triangolazione preventiva, banale e necessaria: che le librerie fondate dall'editore vendano oggi i libri dell'autore qui triangolato non stabilisce nulla, né allora né adesso. Una libreria distribuisce ciò che il mercato produce. Il corpus nomina questi accostamenti per disinnescarli in anticipo, perché sono precisamente il materiale con cui si costruiscono a costo zero i nessi apparenti.</w:t>
      </w:r>
    </w:p>
    <w:p>
      <w:pPr>
        <w:spacing w:after="120" w:line="276"/>
        <w:jc w:val="both"/>
      </w:pPr>
      <w:r>
        <w:rPr>
          <w:rFonts w:ascii="Barlow Semi Condensed" w:cs="Barlow Semi Condensed" w:eastAsia="Barlow Semi Condensed" w:hAnsi="Barlow Semi Condensed"/>
          <w:b/>
          <w:bCs/>
          <w:sz w:val="24"/>
          <w:szCs w:val="24"/>
        </w:rPr>
        <w:t xml:space="preserve">1607 · L'ente di oggi, l'uomo di allora.</w:t>
      </w:r>
      <w:r>
        <w:rPr>
          <w:rFonts w:ascii="Barlow Semi Condensed" w:cs="Barlow Semi Condensed" w:eastAsia="Barlow Semi Condensed" w:hAnsi="Barlow Semi Condensed"/>
          <w:sz w:val="24"/>
          <w:szCs w:val="24"/>
        </w:rPr>
        <w:t xml:space="preserve"> Secondo disinnesco: la Fondazione che oggi organizza convegni internazionali è ente riconosciuto nel 1974 e vissuto mezzo secolo oltre il fondatore. Attribuire alla persona le scelte dell'istituzione, o viceversa, è anacronismo della stessa famiglia di quello che il blocco 375 ha corretto per la Spagna del 1978. Il controllo cronologico della domanda precede la ricerca, e ne è la parte più economica.</w:t>
      </w:r>
    </w:p>
    <w:p>
      <w:pPr>
        <w:spacing w:after="120" w:line="276"/>
        <w:jc w:val="both"/>
      </w:pPr>
      <w:r>
        <w:rPr>
          <w:rFonts w:ascii="Barlow Semi Condensed" w:cs="Barlow Semi Condensed" w:eastAsia="Barlow Semi Condensed" w:hAnsi="Barlow Semi Condensed"/>
          <w:b/>
          <w:bCs/>
          <w:sz w:val="24"/>
          <w:szCs w:val="24"/>
        </w:rPr>
        <w:t xml:space="preserve">1608 · Il marchio che ritorna nel 1998.</w:t>
      </w:r>
      <w:r>
        <w:rPr>
          <w:rFonts w:ascii="Barlow Semi Condensed" w:cs="Barlow Semi Condensed" w:eastAsia="Barlow Semi Condensed" w:hAnsi="Barlow Semi Condensed"/>
          <w:sz w:val="24"/>
          <w:szCs w:val="24"/>
        </w:rPr>
        <w:t xml:space="preserve"> La triangolazione dei condannati registra che la memoria della carceriera di via Montalcini uscì nel 1998 presso la casa editrice fondata dal vettore, e la qualifica come convergenza di catalogo, non come nesso fra persone. Lo si richiama qui per una ragione sola: mostrare come il territorio stesso tratti una coincidenza editoriale, e pretendere che al nostro nome si applichi il medesimo metro.</w:t>
      </w:r>
    </w:p>
    <w:p>
      <w:pPr>
        <w:spacing w:after="120" w:line="276"/>
        <w:jc w:val="both"/>
      </w:pPr>
      <w:r>
        <w:rPr>
          <w:rFonts w:ascii="Barlow Semi Condensed" w:cs="Barlow Semi Condensed" w:eastAsia="Barlow Semi Condensed" w:hAnsi="Barlow Semi Condensed"/>
          <w:b/>
          <w:bCs/>
          <w:sz w:val="24"/>
          <w:szCs w:val="24"/>
        </w:rPr>
        <w:t xml:space="preserve">1609 · Moltiplicazione apparente, applicata a Segrate.</w:t>
      </w:r>
      <w:r>
        <w:rPr>
          <w:rFonts w:ascii="Barlow Semi Condensed" w:cs="Barlow Semi Condensed" w:eastAsia="Barlow Semi Condensed" w:hAnsi="Barlow Semi Condensed"/>
          <w:sz w:val="24"/>
          <w:szCs w:val="24"/>
        </w:rPr>
        <w:t xml:space="preserve"> L'opera ha già accertato che la moltiplicazione delle fonti sull'episodio del presunto avvertimento è apparente, perché risale a un unico lancio d'agenzia del 30 novembre 2023. Lo stesso strumento va applicato alla congettura su Segrate: contare non le riprese, ma le fonti indipendenti. Cento riprese di una sola origine restano una sola fonte, e il conteggio va rifatto a ogni anniversario.</w:t>
      </w:r>
    </w:p>
    <w:p>
      <w:pPr>
        <w:spacing w:after="120" w:line="276"/>
        <w:jc w:val="both"/>
      </w:pPr>
      <w:r>
        <w:rPr>
          <w:rFonts w:ascii="Barlow Semi Condensed" w:cs="Barlow Semi Condensed" w:eastAsia="Barlow Semi Condensed" w:hAnsi="Barlow Semi Condensed"/>
          <w:b/>
          <w:bCs/>
          <w:sz w:val="24"/>
          <w:szCs w:val="24"/>
        </w:rPr>
        <w:t xml:space="preserve">1610 · La divergenza sulle date, riportata.</w:t>
      </w:r>
      <w:r>
        <w:rPr>
          <w:rFonts w:ascii="Barlow Semi Condensed" w:cs="Barlow Semi Condensed" w:eastAsia="Barlow Semi Condensed" w:hAnsi="Barlow Semi Condensed"/>
          <w:sz w:val="24"/>
          <w:szCs w:val="24"/>
        </w:rPr>
        <w:t xml:space="preserve"> Il territorio ha sciolto una divergenza — morte il 14 marzo, ritrovamento il 15 — e l'ha scritta con nota di revisione anziché correggere in silenzio, secondo il metodo che il blocco 622 impone. Chi riprenda questa serie tenga la stessa disciplina per l'anagrafe del nome triangolato, dove la data dell'anglicizzazione resta contesa fra il 1938 delle opere di consultazione e il 1942-1943 del fascicolo d'immigrazione.</w:t>
      </w:r>
    </w:p>
    <w:p>
      <w:pPr>
        <w:spacing w:after="120" w:line="276"/>
        <w:jc w:val="both"/>
      </w:pPr>
      <w:r>
        <w:rPr>
          <w:rFonts w:ascii="Barlow Semi Condensed" w:cs="Barlow Semi Condensed" w:eastAsia="Barlow Semi Condensed" w:hAnsi="Barlow Semi Condensed"/>
          <w:b/>
          <w:bCs/>
          <w:sz w:val="24"/>
          <w:szCs w:val="24"/>
        </w:rPr>
        <w:t xml:space="preserve">1611 · Il giudicato del 1979 e il limite.</w:t>
      </w:r>
      <w:r>
        <w:rPr>
          <w:rFonts w:ascii="Barlow Semi Condensed" w:cs="Barlow Semi Condensed" w:eastAsia="Barlow Semi Condensed" w:hAnsi="Barlow Semi Condensed"/>
          <w:sz w:val="24"/>
          <w:szCs w:val="24"/>
        </w:rPr>
        <w:t xml:space="preserve"> La ricostruzione accolta in sede processuale nel 1979, riscontrata sui nastri rinvenuti nel covo di Robbiano di Mediglia, è quella dell'incidente durante un'azione di sabotaggio. Questa serie non la discute, non la corregge e non la usa per costruire altro. Il corpus si ferma al giudicato: è la regola che rende inutilizzabile, qui come altrove, ogni suggestione su mani esterne.</w:t>
      </w:r>
    </w:p>
    <w:p>
      <w:pPr>
        <w:spacing w:after="120" w:line="276"/>
        <w:jc w:val="both"/>
      </w:pPr>
      <w:r>
        <w:rPr>
          <w:rFonts w:ascii="Barlow Semi Condensed" w:cs="Barlow Semi Condensed" w:eastAsia="Barlow Semi Condensed" w:hAnsi="Barlow Semi Condensed"/>
          <w:b/>
          <w:bCs/>
          <w:sz w:val="24"/>
          <w:szCs w:val="24"/>
        </w:rPr>
        <w:t xml:space="preserve">1612 · Nessuna responsabilità penale, detto per esteso.</w:t>
      </w:r>
      <w:r>
        <w:rPr>
          <w:rFonts w:ascii="Barlow Semi Condensed" w:cs="Barlow Semi Condensed" w:eastAsia="Barlow Semi Condensed" w:hAnsi="Barlow Semi Condensed"/>
          <w:sz w:val="24"/>
          <w:szCs w:val="24"/>
        </w:rPr>
        <w:t xml:space="preserve"> Va scritto senza perifrasi, in una serie che accosta un nome americano a una morte italiana: Henry Kissinger non fu mai imputato né processato in alcun Paese e non fu condannato in alcun processo, e nessun blocco di questa serie lo indica come responsabile di alcun reato. L'accostamento qui operato è di territorio documentale, e produce quasi soltanto assenze dichiarate.</w:t>
      </w:r>
    </w:p>
    <w:p>
      <w:pPr>
        <w:spacing w:after="120" w:line="276"/>
        <w:jc w:val="both"/>
      </w:pPr>
      <w:r>
        <w:rPr>
          <w:rFonts w:ascii="Barlow Semi Condensed" w:cs="Barlow Semi Condensed" w:eastAsia="Barlow Semi Condensed" w:hAnsi="Barlow Semi Condensed"/>
          <w:b/>
          <w:bCs/>
          <w:sz w:val="24"/>
          <w:szCs w:val="24"/>
        </w:rPr>
        <w:t xml:space="preserve">1613 · La smentita generale della serie.</w:t>
      </w:r>
      <w:r>
        <w:rPr>
          <w:rFonts w:ascii="Barlow Semi Condensed" w:cs="Barlow Semi Condensed" w:eastAsia="Barlow Semi Condensed" w:hAnsi="Barlow Semi Condensed"/>
          <w:sz w:val="24"/>
          <w:szCs w:val="24"/>
        </w:rPr>
        <w:t xml:space="preserve"> Bersaglio di falsificazione complessivo: la comparsa di un documento di provenienza — informativa d'ambasciata, memorandum di conversazione, trascrizione telefonica, nota consolare — che nomini insieme il nome triangolato e l'editore milanese, in qualunque anno fra il 1957 e il 1972. Un solo foglio di quel genere porterebbe il nodo dal nulla al piano 1 e obbligherebbe a rifare questa serie da capo.</w:t>
      </w:r>
    </w:p>
    <w:p>
      <w:pPr>
        <w:spacing w:after="120" w:line="276"/>
        <w:jc w:val="both"/>
      </w:pPr>
      <w:r>
        <w:rPr>
          <w:rFonts w:ascii="Barlow Semi Condensed" w:cs="Barlow Semi Condensed" w:eastAsia="Barlow Semi Condensed" w:hAnsi="Barlow Semi Condensed"/>
          <w:b/>
          <w:bCs/>
          <w:sz w:val="24"/>
          <w:szCs w:val="24"/>
        </w:rPr>
        <w:t xml:space="preserve">1614 · La smentita debole, e il suo limite.</w:t>
      </w:r>
      <w:r>
        <w:rPr>
          <w:rFonts w:ascii="Barlow Semi Condensed" w:cs="Barlow Semi Condensed" w:eastAsia="Barlow Semi Condensed" w:hAnsi="Barlow Semi Condensed"/>
          <w:sz w:val="24"/>
          <w:szCs w:val="24"/>
        </w:rPr>
        <w:t xml:space="preserve"> Falsificazione più modesta e più probabile: un documento che nomini l'apparato culturale atlantico e la casa editrice milanese senza nominare la persona. Sposterebbe la convergenza da genericamente strutturale a specificamente attestata fra due imprese, e nulla più. Il corpus registrerebbe l'avanzamento e ribadirebbe che fra un'impresa e un uomo che in quelle carte non compare non corre alcun ponte.</w:t>
      </w:r>
    </w:p>
    <w:p>
      <w:pPr>
        <w:spacing w:after="120" w:line="276"/>
        <w:jc w:val="both"/>
      </w:pPr>
      <w:r>
        <w:rPr>
          <w:rFonts w:ascii="Barlow Semi Condensed" w:cs="Barlow Semi Condensed" w:eastAsia="Barlow Semi Condensed" w:hAnsi="Barlow Semi Condensed"/>
          <w:b/>
          <w:bCs/>
          <w:sz w:val="24"/>
          <w:szCs w:val="24"/>
        </w:rPr>
        <w:t xml:space="preserve">1615 · Il vettore non diventa mandante.</w:t>
      </w:r>
      <w:r>
        <w:rPr>
          <w:rFonts w:ascii="Barlow Semi Condensed" w:cs="Barlow Semi Condensed" w:eastAsia="Barlow Semi Condensed" w:hAnsi="Barlow Semi Condensed"/>
          <w:sz w:val="24"/>
          <w:szCs w:val="24"/>
        </w:rPr>
        <w:t xml:space="preserve"> L'anti-triangolazione AT-1 vale identica se al posto delle Brigate Rosse si mette uno Stato: che qualcuno abbia trasmesso un'immagine e un libro non lo rende partecipe di ciò che altri fecero, e non lo rende neppure destinatario di un'attenzione che nessun documento attesta. Cambiare il capo del ponte non ne cambia la portata, che resta nulla in entrambe le direzioni.</w:t>
      </w:r>
    </w:p>
    <w:p>
      <w:pPr>
        <w:spacing w:after="120" w:line="276"/>
        <w:jc w:val="both"/>
      </w:pPr>
      <w:r>
        <w:rPr>
          <w:rFonts w:ascii="Barlow Semi Condensed" w:cs="Barlow Semi Condensed" w:eastAsia="Barlow Semi Condensed" w:hAnsi="Barlow Semi Condensed"/>
          <w:b/>
          <w:bCs/>
          <w:sz w:val="24"/>
          <w:szCs w:val="24"/>
        </w:rPr>
        <w:t xml:space="preserve">1616 · Il calendario prima della prova.</w:t>
      </w:r>
      <w:r>
        <w:rPr>
          <w:rFonts w:ascii="Barlow Semi Condensed" w:cs="Barlow Semi Condensed" w:eastAsia="Barlow Semi Condensed" w:hAnsi="Barlow Semi Condensed"/>
          <w:sz w:val="24"/>
          <w:szCs w:val="24"/>
        </w:rPr>
        <w:t xml:space="preserve"> La formula più utile che il territorio consegna a questa serie è quella dell'anti-triangolazione ATI-1: fra due entità separate da anni non esiste rapporto per ragioni di calendario prima che di prova. Applicata qui, elimina in un colpo ogni ipotesi che coinvolga la carica di Segretario di Stato, assunta diciotto mesi dopo Segrate, e riduce il campo a tre anni scarsi.</w:t>
      </w:r>
    </w:p>
    <w:p>
      <w:pPr>
        <w:spacing w:after="120" w:line="276"/>
        <w:jc w:val="both"/>
      </w:pPr>
      <w:r>
        <w:rPr>
          <w:rFonts w:ascii="Barlow Semi Condensed" w:cs="Barlow Semi Condensed" w:eastAsia="Barlow Semi Condensed" w:hAnsi="Barlow Semi Condensed"/>
          <w:b/>
          <w:bCs/>
          <w:sz w:val="24"/>
          <w:szCs w:val="24"/>
        </w:rPr>
        <w:t xml:space="preserve">1617 · L'ecosistema e chi non appartiene.</w:t>
      </w:r>
      <w:r>
        <w:rPr>
          <w:rFonts w:ascii="Barlow Semi Condensed" w:cs="Barlow Semi Condensed" w:eastAsia="Barlow Semi Condensed" w:hAnsi="Barlow Semi Condensed"/>
          <w:sz w:val="24"/>
          <w:szCs w:val="24"/>
        </w:rPr>
        <w:t xml:space="preserve"> Ogni schema che voglia l'editore agente di una parte deve cancellare metà della sua biografia documentata — contro il Cremlino nel 1957, contro l'ordine atlantico nel 1967-68 — così conclude il ponte B-7, ed è la tesi-limite dell'ecosistema contro l'organismo. Questa serie la conferma per sottrazione: nessun fondo della potenza atlantica risulta mai interrogato per suo nome, e finché non lo sarà nessuna lettura di parte possiede carte.</w:t>
      </w:r>
    </w:p>
    <w:p>
      <w:pPr>
        <w:spacing w:after="120" w:line="276"/>
        <w:jc w:val="both"/>
      </w:pPr>
      <w:r>
        <w:rPr>
          <w:rFonts w:ascii="Barlow Semi Condensed" w:cs="Barlow Semi Condensed" w:eastAsia="Barlow Semi Condensed" w:hAnsi="Barlow Semi Condensed"/>
          <w:b/>
          <w:bCs/>
          <w:sz w:val="24"/>
          <w:szCs w:val="24"/>
        </w:rPr>
        <w:t xml:space="preserve">1618 · Trasferimento orizzontale, e chi non partecipa.</w:t>
      </w:r>
      <w:r>
        <w:rPr>
          <w:rFonts w:ascii="Barlow Semi Condensed" w:cs="Barlow Semi Condensed" w:eastAsia="Barlow Semi Condensed" w:hAnsi="Barlow Semi Condensed"/>
          <w:sz w:val="24"/>
          <w:szCs w:val="24"/>
        </w:rPr>
        <w:t xml:space="preserve"> Il blocco 732 descrive la trasmissione laterale del mito — manifesto nel 1967, diario nel 1968, genealogia dichiarata delle Brigate Rosse — e la colloca al piano 2. In quel processo il nome qui triangolato non compare in alcuna posizione: né emittente, né canale, né ricevente. Non è un vettore di questo territorio, ed è la conclusione più semplice e più solida dell'intera serie.</w:t>
      </w:r>
    </w:p>
    <w:p>
      <w:pPr>
        <w:spacing w:after="120" w:line="276"/>
        <w:jc w:val="both"/>
      </w:pPr>
      <w:r>
        <w:rPr>
          <w:rFonts w:ascii="Barlow Semi Condensed" w:cs="Barlow Semi Condensed" w:eastAsia="Barlow Semi Condensed" w:hAnsi="Barlow Semi Condensed"/>
          <w:b/>
          <w:bCs/>
          <w:sz w:val="24"/>
          <w:szCs w:val="24"/>
        </w:rPr>
        <w:t xml:space="preserve">1619 · Bilancio della serie, contato.</w:t>
      </w:r>
      <w:r>
        <w:rPr>
          <w:rFonts w:ascii="Barlow Semi Condensed" w:cs="Barlow Semi Condensed" w:eastAsia="Barlow Semi Condensed" w:hAnsi="Barlow Semi Condensed"/>
          <w:sz w:val="24"/>
          <w:szCs w:val="24"/>
        </w:rPr>
        <w:t xml:space="preserve"> Ottanta bersagli: rapporti diretti documentati, zero; convergenze strutturali dichiarate al piano 2, due, l'apparato culturale atlantico e la cornice della guerra fredda; affermazioni secondarie qualificate e non promosse, tre; Stati Zero verbalizzati con sede, la maggioranza. Nove sedi statunitensi e nove italiane sono state nominate una per una. Nessun blocco promuove un piano, nessuno aggiunge un nome al giudicato.</w:t>
      </w:r>
    </w:p>
    <w:p>
      <w:pPr>
        <w:spacing w:after="120" w:line="276"/>
        <w:jc w:val="both"/>
      </w:pPr>
      <w:r>
        <w:rPr>
          <w:rFonts w:ascii="Barlow Semi Condensed" w:cs="Barlow Semi Condensed" w:eastAsia="Barlow Semi Condensed" w:hAnsi="Barlow Semi Condensed"/>
          <w:b/>
          <w:bCs/>
          <w:sz w:val="24"/>
          <w:szCs w:val="24"/>
        </w:rPr>
        <w:t xml:space="preserve">1620 · Ciò che la serie non stabilisce.</w:t>
      </w:r>
      <w:r>
        <w:rPr>
          <w:rFonts w:ascii="Barlow Semi Condensed" w:cs="Barlow Semi Condensed" w:eastAsia="Barlow Semi Condensed" w:hAnsi="Barlow Semi Condensed"/>
          <w:sz w:val="24"/>
          <w:szCs w:val="24"/>
        </w:rPr>
        <w:t xml:space="preserve"> Non ha stabilito che il nome triangolato si sia occupato dell'editore milanese, né che non se ne sia occupato; non ha stabilito alcun rapporto fra una potenza e una morte; non ha aggiunto nulla al giudicato del 1979 né tolto nulla alla congettura, che resta congettura. Ha stabilito dove guardare, con quali segnature, e che cosa scrivere se non si troverà nulla.</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Serie ventiduesima — Il ceppo Simioni e il nodo Hyperion</w:t>
      </w:r>
    </w:p>
    <w:p>
      <w:pPr>
        <w:spacing w:after="120" w:line="276"/>
        <w:jc w:val="both"/>
      </w:pPr>
      <w:r>
        <w:rPr>
          <w:rFonts w:ascii="Barlow Semi Condensed" w:cs="Barlow Semi Condensed" w:eastAsia="Barlow Semi Condensed" w:hAnsi="Barlow Semi Condensed"/>
          <w:i/>
          <w:iCs/>
          <w:sz w:val="24"/>
          <w:szCs w:val="24"/>
        </w:rPr>
        <w:t xml:space="preserve">Blocchi 1621-1700.</w:t>
      </w:r>
    </w:p>
    <w:p>
      <w:pPr>
        <w:spacing w:after="120" w:line="276"/>
        <w:jc w:val="both"/>
      </w:pPr>
      <w:r>
        <w:rPr>
          <w:rFonts w:ascii="Barlow Semi Condensed" w:cs="Barlow Semi Condensed" w:eastAsia="Barlow Semi Condensed" w:hAnsi="Barlow Semi Condensed"/>
          <w:b/>
          <w:bCs/>
          <w:sz w:val="24"/>
          <w:szCs w:val="24"/>
        </w:rPr>
        <w:t xml:space="preserve">1621 · Statuto della ventiduesima serie.</w:t>
      </w:r>
      <w:r>
        <w:rPr>
          <w:rFonts w:ascii="Barlow Semi Condensed" w:cs="Barlow Semi Condensed" w:eastAsia="Barlow Semi Condensed" w:hAnsi="Barlow Semi Condensed"/>
          <w:sz w:val="24"/>
          <w:szCs w:val="24"/>
        </w:rPr>
        <w:t xml:space="preserve"> Questa serie triangola un solo nome contro tre schede del corpus: il ceppo Simioni, la triangolazione Hyperion e la triangolazione d'incrocio Feltrinelli-Hyperion. Le tre sono state lette per intero prima della stesura. L'esito si dichiara subito perché governa ogni blocco che segue: nessuna delle tre nomina Henry Kissinger, in nessuna riga e in nessuna nota. La serie lavora dunque in prevalenza sul perimetro negativo, con le sedi che lo chiuderebbero.</w:t>
      </w:r>
    </w:p>
    <w:p>
      <w:pPr>
        <w:spacing w:after="120" w:line="276"/>
        <w:jc w:val="both"/>
      </w:pPr>
      <w:r>
        <w:rPr>
          <w:rFonts w:ascii="Barlow Semi Condensed" w:cs="Barlow Semi Condensed" w:eastAsia="Barlow Semi Condensed" w:hAnsi="Barlow Semi Condensed"/>
          <w:b/>
          <w:bCs/>
          <w:sz w:val="24"/>
          <w:szCs w:val="24"/>
        </w:rPr>
        <w:t xml:space="preserve">1622 · Il conteggio, con la sua ricetta.</w:t>
      </w:r>
      <w:r>
        <w:rPr>
          <w:rFonts w:ascii="Barlow Semi Condensed" w:cs="Barlow Semi Condensed" w:eastAsia="Barlow Semi Condensed" w:hAnsi="Barlow Semi Condensed"/>
          <w:sz w:val="24"/>
          <w:szCs w:val="24"/>
        </w:rPr>
        <w:t xml:space="preserve"> L'interrogazione è stata eseguita e si dichiara per intero, come impone il blocco 644 dell'opera: stringa «Kissinger», ricerca insensibile alle maiuscole, sui tre file assegnati nella versione corrente del ramo pubblico. Il risultato è zero occorrenze in ciascuno dei tre. Il denominatore è piccolo, tre documenti per poche decine di migliaia di caratteri, ma è dichiarato: un numero senza ricetta non si pubblica, e senza denominatore non si confronta.</w:t>
      </w:r>
    </w:p>
    <w:p>
      <w:pPr>
        <w:spacing w:after="120" w:line="276"/>
        <w:jc w:val="both"/>
      </w:pPr>
      <w:r>
        <w:rPr>
          <w:rFonts w:ascii="Barlow Semi Condensed" w:cs="Barlow Semi Condensed" w:eastAsia="Barlow Semi Condensed" w:hAnsi="Barlow Semi Condensed"/>
          <w:b/>
          <w:bCs/>
          <w:sz w:val="24"/>
          <w:szCs w:val="24"/>
        </w:rPr>
        <w:t xml:space="preserve">1623 · Perché lo zero era prevedibile.</w:t>
      </w:r>
      <w:r>
        <w:rPr>
          <w:rFonts w:ascii="Barlow Semi Condensed" w:cs="Barlow Semi Condensed" w:eastAsia="Barlow Semi Condensed" w:hAnsi="Barlow Semi Condensed"/>
          <w:sz w:val="24"/>
          <w:szCs w:val="24"/>
        </w:rPr>
        <w:t xml:space="preserve"> Due comunità di fonti si dividono la materia: la letteratura su Hyperion è giudiziaria italiana e archivistica francese, quella sull'oggetto di questa campagna è diplomatica americana. Lingue di lavoro diverse, archivi diversi, sistemi di segnature diversi. Il basso rapporto di co-occorrenza fra i due domini non è indizio di assenza di rapporti: è indizio che nessuno ha scritto un documento che li tratti insieme, come impone di diagnosticare il blocco 642.</w:t>
      </w:r>
    </w:p>
    <w:p>
      <w:pPr>
        <w:spacing w:after="120" w:line="276"/>
        <w:jc w:val="both"/>
      </w:pPr>
      <w:r>
        <w:rPr>
          <w:rFonts w:ascii="Barlow Semi Condensed" w:cs="Barlow Semi Condensed" w:eastAsia="Barlow Semi Condensed" w:hAnsi="Barlow Semi Condensed"/>
          <w:b/>
          <w:bCs/>
          <w:sz w:val="24"/>
          <w:szCs w:val="24"/>
        </w:rPr>
        <w:t xml:space="preserve">1624 · I tre piani sul territorio assegnato.</w:t>
      </w:r>
      <w:r>
        <w:rPr>
          <w:rFonts w:ascii="Barlow Semi Condensed" w:cs="Barlow Semi Condensed" w:eastAsia="Barlow Semi Condensed" w:hAnsi="Barlow Semi Condensed"/>
          <w:sz w:val="24"/>
          <w:szCs w:val="24"/>
        </w:rPr>
        <w:t xml:space="preserve"> Nessun arco di piano uno esiste in questo territorio: non un memorandum, non un telegramma, non una nota informativa che nomini insieme il nome e uno dei tre fondatori della scuola parigina. Restano convergenze di cornice, che si dichiarano e non si promuovono, e restano affermazioni terziarie da qualificare, che qui però il corpus non registra nemmeno. La serie tiene i tre piani separati come li ha ricevuti.</w:t>
      </w:r>
    </w:p>
    <w:p>
      <w:pPr>
        <w:spacing w:after="120" w:line="276"/>
        <w:jc w:val="both"/>
      </w:pPr>
      <w:r>
        <w:rPr>
          <w:rFonts w:ascii="Barlow Semi Condensed" w:cs="Barlow Semi Condensed" w:eastAsia="Barlow Semi Condensed" w:hAnsi="Barlow Semi Condensed"/>
          <w:b/>
          <w:bCs/>
          <w:sz w:val="24"/>
          <w:szCs w:val="24"/>
        </w:rPr>
        <w:t xml:space="preserve">1625 · Il divieto di personificare gli americani.</w:t>
      </w:r>
      <w:r>
        <w:rPr>
          <w:rFonts w:ascii="Barlow Semi Condensed" w:cs="Barlow Semi Condensed" w:eastAsia="Barlow Semi Condensed" w:hAnsi="Barlow Semi Condensed"/>
          <w:sz w:val="24"/>
          <w:szCs w:val="24"/>
        </w:rPr>
        <w:t xml:space="preserve"> Apparati, non persone americane, è ciò che il territorio nomina: l'United States Information Service dove Simioni lavorò nel 1967, l'emittente di Monaco finanziata dalla CIA nel «si dice», il servizio d'informazione che la tesi B evoca a proposito della sede di Rouen. Il passaggio da un apparato al nome più celebre della politica estera statunitense è un'operazione retorica. Nessuna sigla produce da sola un cognome, e nessun cognome eredita gli atti di una sigla.</w:t>
      </w:r>
    </w:p>
    <w:p>
      <w:pPr>
        <w:spacing w:after="120" w:line="276"/>
        <w:jc w:val="both"/>
      </w:pPr>
      <w:r>
        <w:rPr>
          <w:rFonts w:ascii="Barlow Semi Condensed" w:cs="Barlow Semi Condensed" w:eastAsia="Barlow Semi Condensed" w:hAnsi="Barlow Semi Condensed"/>
          <w:b/>
          <w:bCs/>
          <w:sz w:val="24"/>
          <w:szCs w:val="24"/>
        </w:rPr>
        <w:t xml:space="preserve">1626 · Che cosa smentirebbe l'intera serie.</w:t>
      </w:r>
      <w:r>
        <w:rPr>
          <w:rFonts w:ascii="Barlow Semi Condensed" w:cs="Barlow Semi Condensed" w:eastAsia="Barlow Semi Condensed" w:hAnsi="Barlow Semi Condensed"/>
          <w:sz w:val="24"/>
          <w:szCs w:val="24"/>
        </w:rPr>
        <w:t xml:space="preserve"> Basterebbe un solo documento di provenienza — un memorandum of conversation, un telegramma d'ambasciata, una trascrizione telefonica, una nota di servizio — datato, protocollato e conservato in una sede citabile, in cui il nome comparisse accanto a Hyperion, al Superclan o a uno dei tre fondatori in relazione di condotta. Non esiste, allo stato delle ricerche dichiarate. Le sedi dove andrebbe cercato sono nominate nei blocchi che seguono.</w:t>
      </w:r>
    </w:p>
    <w:p>
      <w:pPr>
        <w:spacing w:after="120" w:line="276"/>
        <w:jc w:val="both"/>
      </w:pPr>
      <w:r>
        <w:rPr>
          <w:rFonts w:ascii="Barlow Semi Condensed" w:cs="Barlow Semi Condensed" w:eastAsia="Barlow Semi Condensed" w:hAnsi="Barlow Semi Condensed"/>
          <w:b/>
          <w:bCs/>
          <w:sz w:val="24"/>
          <w:szCs w:val="24"/>
        </w:rPr>
        <w:t xml:space="preserve">1627 · Fra due date del 1969.</w:t>
      </w:r>
      <w:r>
        <w:rPr>
          <w:rFonts w:ascii="Barlow Semi Condensed" w:cs="Barlow Semi Condensed" w:eastAsia="Barlow Semi Condensed" w:hAnsi="Barlow Semi Condensed"/>
          <w:sz w:val="24"/>
          <w:szCs w:val="24"/>
        </w:rPr>
        <w:t xml:space="preserve"> Il Collettivo Politico Metropolitano fu fondato a Milano l'8 settembre 1969; l'incarico di Assistente per la sicurezza nazionale decorre dal 20 gennaio 1969. Le due date stanno nello stesso anno solare, e con questo il rapporto è esaurito. La contemporaneità non è prova di nesso: è la prima cosa che il corpus verifica e l'ultima che la pubblicistica ricorda. Nessun documento collega la seconda data alla prima.</w:t>
      </w:r>
    </w:p>
    <w:p>
      <w:pPr>
        <w:spacing w:after="120" w:line="276"/>
        <w:jc w:val="both"/>
      </w:pPr>
      <w:r>
        <w:rPr>
          <w:rFonts w:ascii="Barlow Semi Condensed" w:cs="Barlow Semi Condensed" w:eastAsia="Barlow Semi Condensed" w:hAnsi="Barlow Semi Condensed"/>
          <w:b/>
          <w:bCs/>
          <w:sz w:val="24"/>
          <w:szCs w:val="24"/>
        </w:rPr>
        <w:t xml:space="preserve">1628 · Nel 1967 non c'era carica.</w:t>
      </w:r>
      <w:r>
        <w:rPr>
          <w:rFonts w:ascii="Barlow Semi Condensed" w:cs="Barlow Semi Condensed" w:eastAsia="Barlow Semi Condensed" w:hAnsi="Barlow Semi Condensed"/>
          <w:sz w:val="24"/>
          <w:szCs w:val="24"/>
        </w:rPr>
        <w:t xml:space="preserve"> Nel 1967 Corrado Simioni rientrò a Milano e lavorò per Mondadori e per l'USIS: la scheda del ceppo grada l'impiego come fatto biografico, grado F. In quell'anno il nome di questa campagna non ricopriva alcun incarico di governo: gli incarichi cominciano il 20 gennaio 1969. Anche la lettura massima dell'impiego non può raggiungerlo per via d'ufficio. L'anti-triangolazione cronologica è completa e non richiede altro argomento.</w:t>
      </w:r>
    </w:p>
    <w:p>
      <w:pPr>
        <w:spacing w:after="120" w:line="276"/>
        <w:jc w:val="both"/>
      </w:pPr>
      <w:r>
        <w:rPr>
          <w:rFonts w:ascii="Barlow Semi Condensed" w:cs="Barlow Semi Condensed" w:eastAsia="Barlow Semi Condensed" w:hAnsi="Barlow Semi Condensed"/>
          <w:b/>
          <w:bCs/>
          <w:sz w:val="24"/>
          <w:szCs w:val="24"/>
        </w:rPr>
        <w:t xml:space="preserve">1629 · La voce di Monaco, due sedi.</w:t>
      </w:r>
      <w:r>
        <w:rPr>
          <w:rFonts w:ascii="Barlow Semi Condensed" w:cs="Barlow Semi Condensed" w:eastAsia="Barlow Semi Condensed" w:hAnsi="Barlow Semi Condensed"/>
          <w:sz w:val="24"/>
          <w:szCs w:val="24"/>
        </w:rPr>
        <w:t xml:space="preserve"> Preceduta da un «si dice», la voce su un passaggio a Radio Free Europe è classificata dalla scheda come riferita, non accertata; cronologicamente si colloca fra il 1965 e il 1967, anch'essa fuori finestra. Le sedi che la chiuderebbero sono due e sono nominabili: gli Hoover Institution Archives di Stanford per i corporate records dell'emittente e l'Open Society Archives di Budapest per le carte del Research Institute.</w:t>
      </w:r>
    </w:p>
    <w:p>
      <w:pPr>
        <w:spacing w:after="120" w:line="276"/>
        <w:jc w:val="both"/>
      </w:pPr>
      <w:r>
        <w:rPr>
          <w:rFonts w:ascii="Barlow Semi Condensed" w:cs="Barlow Semi Condensed" w:eastAsia="Barlow Semi Condensed" w:hAnsi="Barlow Semi Condensed"/>
          <w:b/>
          <w:bCs/>
          <w:sz w:val="24"/>
          <w:szCs w:val="24"/>
        </w:rPr>
        <w:t xml:space="preserve">1630 · La scissione e l'anello debole.</w:t>
      </w:r>
      <w:r>
        <w:rPr>
          <w:rFonts w:ascii="Barlow Semi Condensed" w:cs="Barlow Semi Condensed" w:eastAsia="Barlow Semi Condensed" w:hAnsi="Barlow Semi Condensed"/>
          <w:sz w:val="24"/>
          <w:szCs w:val="24"/>
        </w:rPr>
        <w:t xml:space="preserve"> Fra il 1970 e il 1971 nacque il Superclan dai nuclei di Sinistra Proletaria, e questa volta la finestra degli incarichi copre davvero gli anni. Copertura temporale, però, significa soltanto compresenza: il blocco 492 dell'opera ha già stabilito che il grado di un cammino è il grado minimo fra i suoi archi. Un arco inesistente non abbassa il grado del cammino: lo annulla, perché un cammino interrotto non è un cammino.</w:t>
      </w:r>
    </w:p>
    <w:p>
      <w:pPr>
        <w:spacing w:after="120" w:line="276"/>
        <w:jc w:val="both"/>
      </w:pPr>
      <w:r>
        <w:rPr>
          <w:rFonts w:ascii="Barlow Semi Condensed" w:cs="Barlow Semi Condensed" w:eastAsia="Barlow Semi Condensed" w:hAnsi="Barlow Semi Condensed"/>
          <w:b/>
          <w:bCs/>
          <w:sz w:val="24"/>
          <w:szCs w:val="24"/>
        </w:rPr>
        <w:t xml:space="preserve">1631 · Sulla data di fondazione, una precisazione.</w:t>
      </w:r>
      <w:r>
        <w:rPr>
          <w:rFonts w:ascii="Barlow Semi Condensed" w:cs="Barlow Semi Condensed" w:eastAsia="Barlow Semi Condensed" w:hAnsi="Barlow Semi Condensed"/>
          <w:sz w:val="24"/>
          <w:szCs w:val="24"/>
        </w:rPr>
        <w:t xml:space="preserve"> Sulla data di nascita della scuola le fonti divergono fra 1976 e 1977, e la scheda del ceppo riporta la divergenza senza scioglierla. Per questa triangolazione la divergenza acquista un rilievo accessorio: solo nella variante 1976 la fondazione cade dentro il mandato di Segretario di Stato, cessato il 20 gennaio 1977. Nessuna delle due varianti produce un arco documentale, e la precisazione serve a dirlo, non a suggerirlo.</w:t>
      </w:r>
    </w:p>
    <w:p>
      <w:pPr>
        <w:spacing w:after="120" w:line="276"/>
        <w:jc w:val="both"/>
      </w:pPr>
      <w:r>
        <w:rPr>
          <w:rFonts w:ascii="Barlow Semi Condensed" w:cs="Barlow Semi Condensed" w:eastAsia="Barlow Semi Condensed" w:hAnsi="Barlow Semi Condensed"/>
          <w:b/>
          <w:bCs/>
          <w:sz w:val="24"/>
          <w:szCs w:val="24"/>
        </w:rPr>
        <w:t xml:space="preserve">1632 · Via Nicotera, tredici mesi dopo.</w:t>
      </w:r>
      <w:r>
        <w:rPr>
          <w:rFonts w:ascii="Barlow Semi Condensed" w:cs="Barlow Semi Condensed" w:eastAsia="Barlow Semi Condensed" w:hAnsi="Barlow Semi Condensed"/>
          <w:sz w:val="24"/>
          <w:szCs w:val="24"/>
        </w:rPr>
        <w:t xml:space="preserve"> Quando nel febbraio 1978 la scuola aprì l'ufficio romano di via Nicotera 26, in uno stabile che ospitava società di copertura del SISMI, l'ultimo incarico americano era cessato da tredici mesi. Il nodo HY-4 è la coincidenza più suggestiva dell'intero fascicolo e il ponte BH-4 la registra come convergenza di tempo e di luogo, non promossa. Anche la più eloquente delle coincidenze cade fuori da ogni carica.</w:t>
      </w:r>
    </w:p>
    <w:p>
      <w:pPr>
        <w:spacing w:after="120" w:line="276"/>
        <w:jc w:val="both"/>
      </w:pPr>
      <w:r>
        <w:rPr>
          <w:rFonts w:ascii="Barlow Semi Condensed" w:cs="Barlow Semi Condensed" w:eastAsia="Barlow Semi Condensed" w:hAnsi="Barlow Semi Condensed"/>
          <w:b/>
          <w:bCs/>
          <w:sz w:val="24"/>
          <w:szCs w:val="24"/>
        </w:rPr>
        <w:t xml:space="preserve">1633 · Udine, febbraio 1982.</w:t>
      </w:r>
      <w:r>
        <w:rPr>
          <w:rFonts w:ascii="Barlow Semi Condensed" w:cs="Barlow Semi Condensed" w:eastAsia="Barlow Semi Condensed" w:hAnsi="Barlow Semi Condensed"/>
          <w:sz w:val="24"/>
          <w:szCs w:val="24"/>
        </w:rPr>
        <w:t xml:space="preserve"> All'arresto di Vanni Mulinaris, il 2 febbraio 1982, il nome di questa campagna era da cinque anni quello di un privato cittadino. Chiunque voglia collocare una mano americana su quell'atto deve prima indicare l'ufficio attraverso cui sarebbe passata, e poi il documento che lo attesta. La scheda registra invece dichiarazioni di pentiti, un'istruttoria italiana e un'assoluzione con formula piena, seguita da un risarcimento per ingiusta detenzione.</w:t>
      </w:r>
    </w:p>
    <w:p>
      <w:pPr>
        <w:spacing w:after="120" w:line="276"/>
        <w:jc w:val="both"/>
      </w:pPr>
      <w:r>
        <w:rPr>
          <w:rFonts w:ascii="Barlow Semi Condensed" w:cs="Barlow Semi Condensed" w:eastAsia="Barlow Semi Condensed" w:hAnsi="Barlow Semi Condensed"/>
          <w:b/>
          <w:bCs/>
          <w:sz w:val="24"/>
          <w:szCs w:val="24"/>
        </w:rPr>
        <w:t xml:space="preserve">1634 · I mandati e una coincidenza vuota.</w:t>
      </w:r>
      <w:r>
        <w:rPr>
          <w:rFonts w:ascii="Barlow Semi Condensed" w:cs="Barlow Semi Condensed" w:eastAsia="Barlow Semi Condensed" w:hAnsi="Barlow Semi Condensed"/>
          <w:sz w:val="24"/>
          <w:szCs w:val="24"/>
        </w:rPr>
        <w:t xml:space="preserve"> Firmati il 17 giugno 1982 dal giudice istruttore Rosario Priore, i mandati di cattura internazionali raggiunsero Berio e Simioni. Le opere di consultazione datano allo stesso 1982 la fondazione della società di consulenza intitolata al nome di questa campagna, dato che andrebbe riscontrato su atti societari. La coincidenza d'anno è priva di contenuto, e l'archivio di una società privata non è depositato in alcuna sede pubblica consultabile.</w:t>
      </w:r>
    </w:p>
    <w:p>
      <w:pPr>
        <w:spacing w:after="120" w:line="276"/>
        <w:jc w:val="both"/>
      </w:pPr>
      <w:r>
        <w:rPr>
          <w:rFonts w:ascii="Barlow Semi Condensed" w:cs="Barlow Semi Condensed" w:eastAsia="Barlow Semi Condensed" w:hAnsi="Barlow Semi Condensed"/>
          <w:b/>
          <w:bCs/>
          <w:sz w:val="24"/>
          <w:szCs w:val="24"/>
        </w:rPr>
        <w:t xml:space="preserve">1635 · Le due assoluzioni e Venezia.</w:t>
      </w:r>
      <w:r>
        <w:rPr>
          <w:rFonts w:ascii="Barlow Semi Condensed" w:cs="Barlow Semi Condensed" w:eastAsia="Barlow Semi Condensed" w:hAnsi="Barlow Semi Condensed"/>
          <w:sz w:val="24"/>
          <w:szCs w:val="24"/>
        </w:rPr>
        <w:t xml:space="preserve"> Assolto a Roma nel 1989 per insurrezione armata e a Venezia nel 1990 per traffico d'armi, Duccio Berio esce dal fascicolo con due sentenze liberatorie. Il corpus si ferma al giudicato, e qui il giudicato assolve. In nessuno dei due procedimenti risulta comparso un nome americano, né come imputato né come teste né come autore di atti acquisiti. È un'assenza che si verifica sui fascicoli, non si presume, e nessuno finora l'ha verificata.</w:t>
      </w:r>
    </w:p>
    <w:p>
      <w:pPr>
        <w:spacing w:after="120" w:line="276"/>
        <w:jc w:val="both"/>
      </w:pPr>
      <w:r>
        <w:rPr>
          <w:rFonts w:ascii="Barlow Semi Condensed" w:cs="Barlow Semi Condensed" w:eastAsia="Barlow Semi Condensed" w:hAnsi="Barlow Semi Condensed"/>
          <w:b/>
          <w:bCs/>
          <w:sz w:val="24"/>
          <w:szCs w:val="24"/>
        </w:rPr>
        <w:t xml:space="preserve">1636 · Lo stenografico del 2015 da verificare.</w:t>
      </w:r>
      <w:r>
        <w:rPr>
          <w:rFonts w:ascii="Barlow Semi Condensed" w:cs="Barlow Semi Condensed" w:eastAsia="Barlow Semi Condensed" w:hAnsi="Barlow Semi Condensed"/>
          <w:sz w:val="24"/>
          <w:szCs w:val="24"/>
        </w:rPr>
        <w:t xml:space="preserve"> Esiste un atto pubblico, integrale e citabile che chiuderebbe un quesito preciso: il resoconto stenografico dell'audizione di Duccio Berio davanti alla Commissione Moro 2, 28 ottobre 2015. La scheda ne riporta la frase difensiva e l'episodio del 1972 con l'agente del SID, non altro. Verificare se in quelle pagine compaia il nome di questa campagna costa una lettura all'Archivio storico della Camera dei deputati, XVII legislatura.</w:t>
      </w:r>
    </w:p>
    <w:p>
      <w:pPr>
        <w:spacing w:after="120" w:line="276"/>
        <w:jc w:val="both"/>
      </w:pPr>
      <w:r>
        <w:rPr>
          <w:rFonts w:ascii="Barlow Semi Condensed" w:cs="Barlow Semi Condensed" w:eastAsia="Barlow Semi Condensed" w:hAnsi="Barlow Semi Condensed"/>
          <w:b/>
          <w:bCs/>
          <w:sz w:val="24"/>
          <w:szCs w:val="24"/>
        </w:rPr>
        <w:t xml:space="preserve">1637 · HY-1 e il fascicolo milanese.</w:t>
      </w:r>
      <w:r>
        <w:rPr>
          <w:rFonts w:ascii="Barlow Semi Condensed" w:cs="Barlow Semi Condensed" w:eastAsia="Barlow Semi Condensed" w:hAnsi="Barlow Semi Condensed"/>
          <w:sz w:val="24"/>
          <w:szCs w:val="24"/>
        </w:rPr>
        <w:t xml:space="preserve"> Nel nodo HY-1 il corpus documenta la fondazione a due del Collettivo Politico Metropolitano e la convivenza, nello stesso brodo di coltura, dei futuri fondatori della scuola parigina. Nessuna delle fonti del nodo tocca la politica estera statunitense. La sede che chiuderebbe lo Stato Zero è italiana: l'Archivio centrale dello Stato, Ministero dell'Interno, Direzione generale di pubblica sicurezza, Divisione affari riservati, per gli anni dal 1969 al 1974.</w:t>
      </w:r>
    </w:p>
    <w:p>
      <w:pPr>
        <w:spacing w:after="120" w:line="276"/>
        <w:jc w:val="both"/>
      </w:pPr>
      <w:r>
        <w:rPr>
          <w:rFonts w:ascii="Barlow Semi Condensed" w:cs="Barlow Semi Condensed" w:eastAsia="Barlow Semi Condensed" w:hAnsi="Barlow Semi Condensed"/>
          <w:b/>
          <w:bCs/>
          <w:sz w:val="24"/>
          <w:szCs w:val="24"/>
        </w:rPr>
        <w:t xml:space="preserve">1638 · HY-2, le voci sul Superclan.</w:t>
      </w:r>
      <w:r>
        <w:rPr>
          <w:rFonts w:ascii="Barlow Semi Condensed" w:cs="Barlow Semi Condensed" w:eastAsia="Barlow Semi Condensed" w:hAnsi="Barlow Semi Condensed"/>
          <w:sz w:val="24"/>
          <w:szCs w:val="24"/>
        </w:rPr>
        <w:t xml:space="preserve"> Sulla memorialistica dei capi brigatisti, resa nei processi e nei libri degli anni Ottanta, poggia il nodo HY-2: la scheda la grada C e ne dichiara il vizio d'origine, essendo parola di chi veniva dalla scissione opposta. I nomi che vi ricorrono appartengono al registro dei condannati italiani. Nessun nome americano vi compare. Promuovere quel materiale richiederebbe un documento di provenienza, e la memorialistica per definizione non lo è.</w:t>
      </w:r>
    </w:p>
    <w:p>
      <w:pPr>
        <w:spacing w:after="120" w:line="276"/>
        <w:jc w:val="both"/>
      </w:pPr>
      <w:r>
        <w:rPr>
          <w:rFonts w:ascii="Barlow Semi Condensed" w:cs="Barlow Semi Condensed" w:eastAsia="Barlow Semi Condensed" w:hAnsi="Barlow Semi Condensed"/>
          <w:b/>
          <w:bCs/>
          <w:sz w:val="24"/>
          <w:szCs w:val="24"/>
        </w:rPr>
        <w:t xml:space="preserve">1639 · HY-3 e il registro parigino.</w:t>
      </w:r>
      <w:r>
        <w:rPr>
          <w:rFonts w:ascii="Barlow Semi Condensed" w:cs="Barlow Semi Condensed" w:eastAsia="Barlow Semi Condensed" w:hAnsi="Barlow Semi Condensed"/>
          <w:sz w:val="24"/>
          <w:szCs w:val="24"/>
        </w:rPr>
        <w:t xml:space="preserve"> Fondare una scuola di lingue è un atto che lascia traccia amministrativa. Le sedi sono nominabili: il greffe du tribunal de commerce de Paris per il registre du commerce et des sociétés, e gli Archives de Paris con il Journal officiel per l'eventuale dichiarazione di associazione. Quella traccia direbbe forma giuridica, fondatori, capitale e sede al 27 di Quai de la Tournelle. Nessuno l'ha prodotta nel dibattito quarantennale.</w:t>
      </w:r>
    </w:p>
    <w:p>
      <w:pPr>
        <w:spacing w:after="120" w:line="276"/>
        <w:jc w:val="both"/>
      </w:pPr>
      <w:r>
        <w:rPr>
          <w:rFonts w:ascii="Barlow Semi Condensed" w:cs="Barlow Semi Condensed" w:eastAsia="Barlow Semi Condensed" w:hAnsi="Barlow Semi Condensed"/>
          <w:b/>
          <w:bCs/>
          <w:sz w:val="24"/>
          <w:szCs w:val="24"/>
        </w:rPr>
        <w:t xml:space="preserve">1640 · HY-4, uno stabile italiano.</w:t>
      </w:r>
      <w:r>
        <w:rPr>
          <w:rFonts w:ascii="Barlow Semi Condensed" w:cs="Barlow Semi Condensed" w:eastAsia="Barlow Semi Condensed" w:hAnsi="Barlow Semi Condensed"/>
          <w:sz w:val="24"/>
          <w:szCs w:val="24"/>
        </w:rPr>
        <w:t xml:space="preserve"> Lo stabile di via Nicotera 26 e le società di copertura che vi avevano sede sono materia italiana, e la sede che le documenterebbe è italiana: l'Archivio centrale dello Stato, con i versamenti disposti dalla direttiva del 22 aprile 2014 sulla declassificazione delle carte relative al caso. Quale società, da quando, sotto quale ufficio: tre domande precise. Spostarle a Washington è esattamente l'errore che questa serie esiste per nominare.</w:t>
      </w:r>
    </w:p>
    <w:p>
      <w:pPr>
        <w:spacing w:after="120" w:line="276"/>
        <w:jc w:val="both"/>
      </w:pPr>
      <w:r>
        <w:rPr>
          <w:rFonts w:ascii="Barlow Semi Condensed" w:cs="Barlow Semi Condensed" w:eastAsia="Barlow Semi Condensed" w:hAnsi="Barlow Semi Condensed"/>
          <w:b/>
          <w:bCs/>
          <w:sz w:val="24"/>
          <w:szCs w:val="24"/>
        </w:rPr>
        <w:t xml:space="preserve">1641 · HY-5, Padova 1979.</w:t>
      </w:r>
      <w:r>
        <w:rPr>
          <w:rFonts w:ascii="Barlow Semi Condensed" w:cs="Barlow Semi Condensed" w:eastAsia="Barlow Semi Condensed" w:hAnsi="Barlow Semi Condensed"/>
          <w:sz w:val="24"/>
          <w:szCs w:val="24"/>
        </w:rPr>
        <w:t xml:space="preserve"> Con l'inchiesta del giudice Pietro Calogero sui presunti collegamenti fra Autonomia e terrorismo, nel 1979 la scuola entrò nel mirino della magistratura. La scheda registra l'ingresso, non il contenuto del fascicolo. Il quesito d'archivio è circoscritto: se negli atti di quell'istruttoria compaia una fonte statunitense, in qualsiasi forma e con quale provenienza. Le carte stanno negli uffici giudiziari veneti e nei versamenti agli archivi di Stato competenti.</w:t>
      </w:r>
    </w:p>
    <w:p>
      <w:pPr>
        <w:spacing w:after="120" w:line="276"/>
        <w:jc w:val="both"/>
      </w:pPr>
      <w:r>
        <w:rPr>
          <w:rFonts w:ascii="Barlow Semi Condensed" w:cs="Barlow Semi Condensed" w:eastAsia="Barlow Semi Condensed" w:hAnsi="Barlow Semi Condensed"/>
          <w:b/>
          <w:bCs/>
          <w:sz w:val="24"/>
          <w:szCs w:val="24"/>
        </w:rPr>
        <w:t xml:space="preserve">1642 · HY-6 e la regola del pentito.</w:t>
      </w:r>
      <w:r>
        <w:rPr>
          <w:rFonts w:ascii="Barlow Semi Condensed" w:cs="Barlow Semi Condensed" w:eastAsia="Barlow Semi Condensed" w:hAnsi="Barlow Semi Condensed"/>
          <w:sz w:val="24"/>
          <w:szCs w:val="24"/>
        </w:rPr>
        <w:t xml:space="preserve"> Una dichiarazione di pentito è fonte sul dichiarante prima che sul fatto, e diventa fonte sul fatto solo con riscontro esterno. Il nodo HY-6 poggia sulle dichiarazioni di Antonio Savasta per l'arresto del 2 febbraio 1982. In nessuna delle sintesi disponibili al corpus quelle dichiarazioni toccano un nome americano. Se lo toccassero, il grado non salirebbe: diventerebbe una dichiarazione non riscontrata su un soggetto in più.</w:t>
      </w:r>
    </w:p>
    <w:p>
      <w:pPr>
        <w:spacing w:after="120" w:line="276"/>
        <w:jc w:val="both"/>
      </w:pPr>
      <w:r>
        <w:rPr>
          <w:rFonts w:ascii="Barlow Semi Condensed" w:cs="Barlow Semi Condensed" w:eastAsia="Barlow Semi Condensed" w:hAnsi="Barlow Semi Condensed"/>
          <w:b/>
          <w:bCs/>
          <w:sz w:val="24"/>
          <w:szCs w:val="24"/>
        </w:rPr>
        <w:t xml:space="preserve">1643 · Il carteggio Mancini in Senato.</w:t>
      </w:r>
      <w:r>
        <w:rPr>
          <w:rFonts w:ascii="Barlow Semi Condensed" w:cs="Barlow Semi Condensed" w:eastAsia="Barlow Semi Condensed" w:hAnsi="Barlow Semi Condensed"/>
          <w:sz w:val="24"/>
          <w:szCs w:val="24"/>
        </w:rPr>
        <w:t xml:space="preserve"> L'Archivio storico del Senato conserva, nel fondo Giacomo Mancini, il carteggio relativo a Vanni Mulinaris, con inventario in linea e segnatura propria. È una sede consultabile oggi, senza deroghe. Il quesito che vi si porta è secco: se la corrispondenza della campagna di solidarietà registri interlocutori statunitensi, e di quale rango. La previsione dichiarata prima della lettura è che risulti materia franco-italiana, e la previsione si registra per non adattarla dopo.</w:t>
      </w:r>
    </w:p>
    <w:p>
      <w:pPr>
        <w:spacing w:after="120" w:line="276"/>
        <w:jc w:val="both"/>
      </w:pPr>
      <w:r>
        <w:rPr>
          <w:rFonts w:ascii="Barlow Semi Condensed" w:cs="Barlow Semi Condensed" w:eastAsia="Barlow Semi Condensed" w:hAnsi="Barlow Semi Condensed"/>
          <w:b/>
          <w:bCs/>
          <w:sz w:val="24"/>
          <w:szCs w:val="24"/>
        </w:rPr>
        <w:t xml:space="preserve">1644 · HY-8 come fonte, non come prova.</w:t>
      </w:r>
      <w:r>
        <w:rPr>
          <w:rFonts w:ascii="Barlow Semi Condensed" w:cs="Barlow Semi Condensed" w:eastAsia="Barlow Semi Condensed" w:hAnsi="Barlow Semi Condensed"/>
          <w:sz w:val="24"/>
          <w:szCs w:val="24"/>
        </w:rPr>
        <w:t xml:space="preserve"> L'audizione parlamentare del 2015 vale grado B per la sede, e documenta un episodio dal verso preciso: un approccio dei servizi respinto e messo per iscritto presso un'autorità della Repubblica. È l'unico contatto fra un fondatore e un servizio che una fonte istituzionale attesti in tutto il fascicolo. Il servizio è italiano, l'anno è il 1972, e la proposta fu rifiutata. Il dato dice questo e non altro.</w:t>
      </w:r>
    </w:p>
    <w:p>
      <w:pPr>
        <w:spacing w:after="120" w:line="276"/>
        <w:jc w:val="both"/>
      </w:pPr>
      <w:r>
        <w:rPr>
          <w:rFonts w:ascii="Barlow Semi Condensed" w:cs="Barlow Semi Condensed" w:eastAsia="Barlow Semi Condensed" w:hAnsi="Barlow Semi Condensed"/>
          <w:b/>
          <w:bCs/>
          <w:sz w:val="24"/>
          <w:szCs w:val="24"/>
        </w:rPr>
        <w:t xml:space="preserve">1645 · L'indice del libro di Priore.</w:t>
      </w:r>
      <w:r>
        <w:rPr>
          <w:rFonts w:ascii="Barlow Semi Condensed" w:cs="Barlow Semi Condensed" w:eastAsia="Barlow Semi Condensed" w:hAnsi="Barlow Semi Condensed"/>
          <w:sz w:val="24"/>
          <w:szCs w:val="24"/>
        </w:rPr>
        <w:t xml:space="preserve"> Ogni libro ha un indice dei nomi, e un indice è un oggetto verificabile in pochi minuti. Il nodo HY-9 registra il volume di Silvano De Prospo e Rosario Priore, Ponte alle Grazie 2011, come fonte di parte investigativa, qualificata ma non giudiziale. Se il nome di questa campagna vi compaia, e a quale titolo, il corpus non lo ha accertato. Stato Zero dichiarato, con la sede in libreria.</w:t>
      </w:r>
    </w:p>
    <w:p>
      <w:pPr>
        <w:spacing w:after="120" w:line="276"/>
        <w:jc w:val="both"/>
      </w:pPr>
      <w:r>
        <w:rPr>
          <w:rFonts w:ascii="Barlow Semi Condensed" w:cs="Barlow Semi Condensed" w:eastAsia="Barlow Semi Condensed" w:hAnsi="Barlow Semi Condensed"/>
          <w:b/>
          <w:bCs/>
          <w:sz w:val="24"/>
          <w:szCs w:val="24"/>
        </w:rPr>
        <w:t xml:space="preserve">1646 · BH-1, biforcazione precoce.</w:t>
      </w:r>
      <w:r>
        <w:rPr>
          <w:rFonts w:ascii="Barlow Semi Condensed" w:cs="Barlow Semi Condensed" w:eastAsia="Barlow Semi Condensed" w:hAnsi="Barlow Semi Condensed"/>
          <w:sz w:val="24"/>
          <w:szCs w:val="24"/>
        </w:rPr>
        <w:t xml:space="preserve"> La biforcazione documentata dal ponte BH-1 avvenne prima della scelta armata: stesso brodo di coltura, strade divise. Il filo biografico che tiene uniti i due rami passa per una persona del registro dei condannati, e un filo biografico non è una catena di comando. Aggiungere in cima a quella genealogia un nome straniero significa aggiungere un arco che nessuna fonte disegna, e che perciò non allunga il cammino: lo interrompe.</w:t>
      </w:r>
    </w:p>
    <w:p>
      <w:pPr>
        <w:spacing w:after="120" w:line="276"/>
        <w:jc w:val="both"/>
      </w:pPr>
      <w:r>
        <w:rPr>
          <w:rFonts w:ascii="Barlow Semi Condensed" w:cs="Barlow Semi Condensed" w:eastAsia="Barlow Semi Condensed" w:hAnsi="Barlow Semi Condensed"/>
          <w:b/>
          <w:bCs/>
          <w:sz w:val="24"/>
          <w:szCs w:val="24"/>
        </w:rPr>
        <w:t xml:space="preserve">1647 · BH-2, il criterio ereditato.</w:t>
      </w:r>
      <w:r>
        <w:rPr>
          <w:rFonts w:ascii="Barlow Semi Condensed" w:cs="Barlow Semi Condensed" w:eastAsia="Barlow Semi Condensed" w:hAnsi="Barlow Semi Condensed"/>
          <w:sz w:val="24"/>
          <w:szCs w:val="24"/>
        </w:rPr>
        <w:t xml:space="preserve"> Il criterio di smentita per entrambe le tesi contrapposte è già fissato dal ponte BH-2 ed è identico: un documento d'archivio o una sentenza che stabilisca l'affiliazione. In quarant'anni e in due Paesi non è emerso né l'uno né l'altra. Questa serie non conia un criterio nuovo: eredita quello, e vi aggiunge soltanto una parola alla stringa di ricerca. L'esito atteso non cambia, e la disciplina nemmeno.</w:t>
      </w:r>
    </w:p>
    <w:p>
      <w:pPr>
        <w:spacing w:after="120" w:line="276"/>
        <w:jc w:val="both"/>
      </w:pPr>
      <w:r>
        <w:rPr>
          <w:rFonts w:ascii="Barlow Semi Condensed" w:cs="Barlow Semi Condensed" w:eastAsia="Barlow Semi Condensed" w:hAnsi="Barlow Semi Condensed"/>
          <w:b/>
          <w:bCs/>
          <w:sz w:val="24"/>
          <w:szCs w:val="24"/>
        </w:rPr>
        <w:t xml:space="preserve">1648 · BH-3 e l'ombra statunitense.</w:t>
      </w:r>
      <w:r>
        <w:rPr>
          <w:rFonts w:ascii="Barlow Semi Condensed" w:cs="Barlow Semi Condensed" w:eastAsia="Barlow Semi Condensed" w:hAnsi="Barlow Semi Condensed"/>
          <w:sz w:val="24"/>
          <w:szCs w:val="24"/>
        </w:rPr>
        <w:t xml:space="preserve"> Qui il territorio si avvicina al nome quanto gli è possibile, e si ferma sul metodo anziché sul contenuto. Il ponte BH-3 richiama il nodo M-5 della matrice Guevara-Moro: fatti americani documentati registrati senza promozione a regia. Documentare l'esistenza di una testimonianza non è documentare ciò che essa afferma. È la distinzione su cui il corpus è costruito, ed è tutto ciò che questo territorio offre alla triangolazione.</w:t>
      </w:r>
    </w:p>
    <w:p>
      <w:pPr>
        <w:spacing w:after="120" w:line="276"/>
        <w:jc w:val="both"/>
      </w:pPr>
      <w:r>
        <w:rPr>
          <w:rFonts w:ascii="Barlow Semi Condensed" w:cs="Barlow Semi Condensed" w:eastAsia="Barlow Semi Condensed" w:hAnsi="Barlow Semi Condensed"/>
          <w:b/>
          <w:bCs/>
          <w:sz w:val="24"/>
          <w:szCs w:val="24"/>
        </w:rPr>
        <w:t xml:space="preserve">1649 · BH-4, convergenze che non si sommano.</w:t>
      </w:r>
      <w:r>
        <w:rPr>
          <w:rFonts w:ascii="Barlow Semi Condensed" w:cs="Barlow Semi Condensed" w:eastAsia="Barlow Semi Condensed" w:hAnsi="Barlow Semi Condensed"/>
          <w:sz w:val="24"/>
          <w:szCs w:val="24"/>
        </w:rPr>
        <w:t xml:space="preserve"> Convergono, sul nodo di via Nicotera, un tempo e un luogo; convergerebbe, per chi lo volesse, un terzo elemento fuori carica. Tre convergenze non fanno una prova: fanno tre convergenze. La regola dell'intero lavoro è che la convergenza non si promuove a nesso, e la sua violazione più comune consiste nell'accumularne diverse fingendo che la somma cambi natura. Il corpus la registra ferma dove il ponte BH-4 l'ha registrata.</w:t>
      </w:r>
    </w:p>
    <w:p>
      <w:pPr>
        <w:spacing w:after="120" w:line="276"/>
        <w:jc w:val="both"/>
      </w:pPr>
      <w:r>
        <w:rPr>
          <w:rFonts w:ascii="Barlow Semi Condensed" w:cs="Barlow Semi Condensed" w:eastAsia="Barlow Semi Condensed" w:hAnsi="Barlow Semi Condensed"/>
          <w:b/>
          <w:bCs/>
          <w:sz w:val="24"/>
          <w:szCs w:val="24"/>
        </w:rPr>
        <w:t xml:space="preserve">1650 · Le tre anti-triangolazioni trasposte.</w:t>
      </w:r>
      <w:r>
        <w:rPr>
          <w:rFonts w:ascii="Barlow Semi Condensed" w:cs="Barlow Semi Condensed" w:eastAsia="Barlow Semi Condensed" w:hAnsi="Barlow Semi Condensed"/>
          <w:sz w:val="24"/>
          <w:szCs w:val="24"/>
        </w:rPr>
        <w:t xml:space="preserve"> Tre anti-triangolazioni governano il nodo, e vanno trasposte a questa campagna senza sconti. Nessun uso del nome di un prosciolto come responsabile di alcunché è ammesso, e vale identicamente per chi non fu mai imputato in alcun Paese. Le due tesi contrapposte non si sommano in un generico sospetto. E nessun filo biografico documentato in questo territorio raggiunge un ufficio americano: non ne esiste nemmeno il primo tratto.</w:t>
      </w:r>
    </w:p>
    <w:p>
      <w:pPr>
        <w:spacing w:after="120" w:line="276"/>
        <w:jc w:val="both"/>
      </w:pPr>
      <w:r>
        <w:rPr>
          <w:rFonts w:ascii="Barlow Semi Condensed" w:cs="Barlow Semi Condensed" w:eastAsia="Barlow Semi Condensed" w:hAnsi="Barlow Semi Condensed"/>
          <w:b/>
          <w:bCs/>
          <w:sz w:val="24"/>
          <w:szCs w:val="24"/>
        </w:rPr>
        <w:t xml:space="preserve">1651 · Dolo, 10 dicembre 1934.</w:t>
      </w:r>
      <w:r>
        <w:rPr>
          <w:rFonts w:ascii="Barlow Semi Condensed" w:cs="Barlow Semi Condensed" w:eastAsia="Barlow Semi Condensed" w:hAnsi="Barlow Semi Condensed"/>
          <w:sz w:val="24"/>
          <w:szCs w:val="24"/>
        </w:rPr>
        <w:t xml:space="preserve"> La biografia del capitolo secondo fissa i gradi prima di raccontare: nascita a Dolo, gioventù socialista accanto a Craxi, espulsione dal PSI nel 1965, Monaco e la teologia, il rientro milanese del 1967 con Mondadori e l'USIS. Di tutta questa sequenza una sola voce tocca, tematicamente, il mondo americano, e sta al grado del fatto biografico. È poco, ed è tutto quello che il territorio mette a disposizione della triangolazione.</w:t>
      </w:r>
    </w:p>
    <w:p>
      <w:pPr>
        <w:spacing w:after="120" w:line="276"/>
        <w:jc w:val="both"/>
      </w:pPr>
      <w:r>
        <w:rPr>
          <w:rFonts w:ascii="Barlow Semi Condensed" w:cs="Barlow Semi Condensed" w:eastAsia="Barlow Semi Condensed" w:hAnsi="Barlow Semi Condensed"/>
          <w:b/>
          <w:bCs/>
          <w:sz w:val="24"/>
          <w:szCs w:val="24"/>
        </w:rPr>
        <w:t xml:space="preserve">1652 · L'espulsione del 1965.</w:t>
      </w:r>
      <w:r>
        <w:rPr>
          <w:rFonts w:ascii="Barlow Semi Condensed" w:cs="Barlow Semi Condensed" w:eastAsia="Barlow Semi Condensed" w:hAnsi="Barlow Semi Condensed"/>
          <w:sz w:val="24"/>
          <w:szCs w:val="24"/>
        </w:rPr>
        <w:t xml:space="preserve"> L'espulsione dal PSI «per indegnità morale» e l'allusione a una vicenda di donne che coinvolgeva Craxi appartengono per intero alla politica italiana interna. Non contengono alcun elemento estero. Le sedi che le documenterebbero sono la Fondazione Bettino Craxi e la Fondazione Pietro Nenni a Roma, per le carte del partito e delle sue federazioni. Stato Zero pulito: un episodio che nessuna lettura può portare fuori dai confini nazionali.</w:t>
      </w:r>
    </w:p>
    <w:p>
      <w:pPr>
        <w:spacing w:after="120" w:line="276"/>
        <w:jc w:val="both"/>
      </w:pPr>
      <w:r>
        <w:rPr>
          <w:rFonts w:ascii="Barlow Semi Condensed" w:cs="Barlow Semi Condensed" w:eastAsia="Barlow Semi Condensed" w:hAnsi="Barlow Semi Condensed"/>
          <w:b/>
          <w:bCs/>
          <w:sz w:val="24"/>
          <w:szCs w:val="24"/>
        </w:rPr>
        <w:t xml:space="preserve">1653 · Due questioni distinte su Monaco.</w:t>
      </w:r>
      <w:r>
        <w:rPr>
          <w:rFonts w:ascii="Barlow Semi Condensed" w:cs="Barlow Semi Condensed" w:eastAsia="Barlow Semi Condensed" w:hAnsi="Barlow Semi Condensed"/>
          <w:sz w:val="24"/>
          <w:szCs w:val="24"/>
        </w:rPr>
        <w:t xml:space="preserve"> Due questioni vengono regolarmente fuse in una sola, e vanno separate. La prima è il corso di teologia, verificabile nei registri di immatricolazione delle università bavaresi e nei fondi del Bayerisches Hauptstaatsarchiv. La seconda è il «si dice» sull'emittente, verificabile nelle serie del personale conservate a Stanford e a Budapest. Un soggiorno accertato in una città non trasferisce le sue proprietà a ogni istituzione che vi aveva sede.</w:t>
      </w:r>
    </w:p>
    <w:p>
      <w:pPr>
        <w:spacing w:after="120" w:line="276"/>
        <w:jc w:val="both"/>
      </w:pPr>
      <w:r>
        <w:rPr>
          <w:rFonts w:ascii="Barlow Semi Condensed" w:cs="Barlow Semi Condensed" w:eastAsia="Barlow Semi Condensed" w:hAnsi="Barlow Semi Condensed"/>
          <w:b/>
          <w:bCs/>
          <w:sz w:val="24"/>
          <w:szCs w:val="24"/>
        </w:rPr>
        <w:t xml:space="preserve">1654 · Un fascicolo di personale Mondadori.</w:t>
      </w:r>
      <w:r>
        <w:rPr>
          <w:rFonts w:ascii="Barlow Semi Condensed" w:cs="Barlow Semi Condensed" w:eastAsia="Barlow Semi Condensed" w:hAnsi="Barlow Semi Condensed"/>
          <w:sz w:val="24"/>
          <w:szCs w:val="24"/>
        </w:rPr>
        <w:t xml:space="preserve"> Un rapporto di lavoro editoriale è un oggetto documentale con una data d'ingresso e una d'uscita, una qualifica e una busta paga. La sede è la Fondazione Arnoldo e Alberto Mondadori a Milano, per l'archivio storico della casa editrice. Nessuno ha mai pubblicato quel fascicolo, benché il nome ricorra da quarant'anni in ogni ricostruzione. È uno Stato Zero a costo basso, con sede certa e quesito formulabile in una riga.</w:t>
      </w:r>
    </w:p>
    <w:p>
      <w:pPr>
        <w:spacing w:after="120" w:line="276"/>
        <w:jc w:val="both"/>
      </w:pPr>
      <w:r>
        <w:rPr>
          <w:rFonts w:ascii="Barlow Semi Condensed" w:cs="Barlow Semi Condensed" w:eastAsia="Barlow Semi Condensed" w:hAnsi="Barlow Semi Condensed"/>
          <w:b/>
          <w:bCs/>
          <w:sz w:val="24"/>
          <w:szCs w:val="24"/>
        </w:rPr>
        <w:t xml:space="preserve">1655 · Dove l'USIS si chiude davvero.</w:t>
      </w:r>
      <w:r>
        <w:rPr>
          <w:rFonts w:ascii="Barlow Semi Condensed" w:cs="Barlow Semi Condensed" w:eastAsia="Barlow Semi Condensed" w:hAnsi="Barlow Semi Condensed"/>
          <w:sz w:val="24"/>
          <w:szCs w:val="24"/>
        </w:rPr>
        <w:t xml:space="preserve"> Se l'impiego milanese del 1967 ha lasciato traccia, la traccia è ai National Archives di College Park: Record Group 306, per l'agenzia informativa statunitense, e Record Group 84, per i post del servizio estero, con i fascicoli dell'ambasciata di Roma e del consolato di Milano. Ciò che ne emergerebbe sarebbe un rapporto di impiego. Un rapporto di impiego non promuove nulla, e la scheda lo ha già scritto.</w:t>
      </w:r>
    </w:p>
    <w:p>
      <w:pPr>
        <w:spacing w:after="120" w:line="276"/>
        <w:jc w:val="both"/>
      </w:pPr>
      <w:r>
        <w:rPr>
          <w:rFonts w:ascii="Barlow Semi Condensed" w:cs="Barlow Semi Condensed" w:eastAsia="Barlow Semi Condensed" w:hAnsi="Barlow Semi Condensed"/>
          <w:b/>
          <w:bCs/>
          <w:sz w:val="24"/>
          <w:szCs w:val="24"/>
        </w:rPr>
        <w:t xml:space="preserve">1656 · La regola letta al contrario.</w:t>
      </w:r>
      <w:r>
        <w:rPr>
          <w:rFonts w:ascii="Barlow Semi Condensed" w:cs="Barlow Semi Condensed" w:eastAsia="Barlow Semi Condensed" w:hAnsi="Barlow Semi Condensed"/>
          <w:sz w:val="24"/>
          <w:szCs w:val="24"/>
        </w:rPr>
        <w:t xml:space="preserve"> «L'impiego non è appartenenza, e l'appartenenza non è condotta» è la prima anti-triangolazione del capitolo ottavo. Letta al contrario protegge anche il nome di questa campagna: dirigere un apparato non rende autori di ogni atto di ogni dipendente di quell'apparato. Una regola che vale in una sola direzione non è una regola, è uno strumento d'accusa travestito. Il corpus la applica nei due versi, ed è il test della sua onestà.</w:t>
      </w:r>
    </w:p>
    <w:p>
      <w:pPr>
        <w:spacing w:after="120" w:line="276"/>
        <w:jc w:val="both"/>
      </w:pPr>
      <w:r>
        <w:rPr>
          <w:rFonts w:ascii="Barlow Semi Condensed" w:cs="Barlow Semi Condensed" w:eastAsia="Barlow Semi Condensed" w:hAnsi="Barlow Semi Condensed"/>
          <w:b/>
          <w:bCs/>
          <w:sz w:val="24"/>
          <w:szCs w:val="24"/>
        </w:rPr>
        <w:t xml:space="preserve">1657 · Memorialistica di parte e nomi nuovi.</w:t>
      </w:r>
      <w:r>
        <w:rPr>
          <w:rFonts w:ascii="Barlow Semi Condensed" w:cs="Barlow Semi Condensed" w:eastAsia="Barlow Semi Condensed" w:hAnsi="Barlow Semi Condensed"/>
          <w:sz w:val="24"/>
          <w:szCs w:val="24"/>
        </w:rPr>
        <w:t xml:space="preserve"> La memorialistica brigatista sul Superclan sta al grado C e vi resta. Se in una qualsiasi delle sue pagine comparisse il nome di questa campagna, il grado non salirebbe di un millimetro: diventerebbe un'affermazione possibile su un soggetto in più, resa da una fonte di parte della scissione opposta. Il numero dei soggetti nominati da una fonte non ne modifica l'affidabilità. È la regola della replicazione senza informazione.</w:t>
      </w:r>
    </w:p>
    <w:p>
      <w:pPr>
        <w:spacing w:after="120" w:line="276"/>
        <w:jc w:val="both"/>
      </w:pPr>
      <w:r>
        <w:rPr>
          <w:rFonts w:ascii="Barlow Semi Condensed" w:cs="Barlow Semi Condensed" w:eastAsia="Barlow Semi Condensed" w:hAnsi="Barlow Semi Condensed"/>
          <w:b/>
          <w:bCs/>
          <w:sz w:val="24"/>
          <w:szCs w:val="24"/>
        </w:rPr>
        <w:t xml:space="preserve">1658 · Cento milioni, e nessun «ma».</w:t>
      </w:r>
      <w:r>
        <w:rPr>
          <w:rFonts w:ascii="Barlow Semi Condensed" w:cs="Barlow Semi Condensed" w:eastAsia="Barlow Semi Condensed" w:hAnsi="Barlow Semi Condensed"/>
          <w:sz w:val="24"/>
          <w:szCs w:val="24"/>
        </w:rPr>
        <w:t xml:space="preserve"> Lo Stato che aveva accusato Vanni Mulinaris lo ha dichiarato innocente con formula piena e lo ha indennizzato con cento milioni di lire per l'ingiusta detenzione. La scheda bandisce esplicitamente la formula «fu assolto, ma», e il divieto vincola questa serie come le altre. Nessun blocco può usare l'assoluzione come sfondo di un sospetto residuo, e nessuna triangolazione con un nome estero può reintrodurla di lato.</w:t>
      </w:r>
    </w:p>
    <w:p>
      <w:pPr>
        <w:spacing w:after="120" w:line="276"/>
        <w:jc w:val="both"/>
      </w:pPr>
      <w:r>
        <w:rPr>
          <w:rFonts w:ascii="Barlow Semi Condensed" w:cs="Barlow Semi Condensed" w:eastAsia="Barlow Semi Condensed" w:hAnsi="Barlow Semi Condensed"/>
          <w:b/>
          <w:bCs/>
          <w:sz w:val="24"/>
          <w:szCs w:val="24"/>
        </w:rPr>
        <w:t xml:space="preserve">1659 · La lettera mai pubblicata.</w:t>
      </w:r>
      <w:r>
        <w:rPr>
          <w:rFonts w:ascii="Barlow Semi Condensed" w:cs="Barlow Semi Condensed" w:eastAsia="Barlow Semi Condensed" w:hAnsi="Barlow Semi Condensed"/>
          <w:sz w:val="24"/>
          <w:szCs w:val="24"/>
        </w:rPr>
        <w:t xml:space="preserve"> Del 1972 il fascicolo conserva un episodio di grado B: un agente del SID propose a Duccio Berio di infiltrarsi nelle Brigate Rosse nascenti, la proposta fu respinta e l'approccio venne messo per iscritto in una lettera al suocero Alberto Malagugini, deputato comunista e poi giudice costituzionale. Quella lettera non risulta pubblicata. Le sedi da interrogare sono la Fondazione Istituto Gramsci, l'Archivio storico della Camera e le carte di famiglia.</w:t>
      </w:r>
    </w:p>
    <w:p>
      <w:pPr>
        <w:spacing w:after="120" w:line="276"/>
        <w:jc w:val="both"/>
      </w:pPr>
      <w:r>
        <w:rPr>
          <w:rFonts w:ascii="Barlow Semi Condensed" w:cs="Barlow Semi Condensed" w:eastAsia="Barlow Semi Condensed" w:hAnsi="Barlow Semi Condensed"/>
          <w:b/>
          <w:bCs/>
          <w:sz w:val="24"/>
          <w:szCs w:val="24"/>
        </w:rPr>
        <w:t xml:space="preserve">1660 · Emmaus, e un archivio francese.</w:t>
      </w:r>
      <w:r>
        <w:rPr>
          <w:rFonts w:ascii="Barlow Semi Condensed" w:cs="Barlow Semi Condensed" w:eastAsia="Barlow Semi Condensed" w:hAnsi="Barlow Semi Condensed"/>
          <w:sz w:val="24"/>
          <w:szCs w:val="24"/>
        </w:rPr>
        <w:t xml:space="preserve"> Vicepresidenza della Fondazione Abbé Pierre, l'udienza da Giovanni Paolo II nel novembre 1992, l'onorificenza francese del 2001, il ritiro a Truinas: la vita francese di Simioni è pubblica e documentata. La sede che la conserva è il fondo Abbé Pierre-Emmaüs a Esteville, con gli archivi di Emmaüs International. Vi si porta un quesito solo: se il nome di questa campagna compaia in una qualunque carta. Previsione dichiarata: no.</w:t>
      </w:r>
    </w:p>
    <w:p>
      <w:pPr>
        <w:spacing w:after="120" w:line="276"/>
        <w:jc w:val="both"/>
      </w:pPr>
      <w:r>
        <w:rPr>
          <w:rFonts w:ascii="Barlow Semi Condensed" w:cs="Barlow Semi Condensed" w:eastAsia="Barlow Semi Condensed" w:hAnsi="Barlow Semi Condensed"/>
          <w:b/>
          <w:bCs/>
          <w:sz w:val="24"/>
          <w:szCs w:val="24"/>
        </w:rPr>
        <w:t xml:space="preserve">1661 · Un pontificato non consultabile.</w:t>
      </w:r>
      <w:r>
        <w:rPr>
          <w:rFonts w:ascii="Barlow Semi Condensed" w:cs="Barlow Semi Condensed" w:eastAsia="Barlow Semi Condensed" w:hAnsi="Barlow Semi Condensed"/>
          <w:sz w:val="24"/>
          <w:szCs w:val="24"/>
        </w:rPr>
        <w:t xml:space="preserve"> Per il pontificato di Giovanni Paolo II l'Archivio Apostolico Vaticano non è aperto alla consultazione, e nessuna data di apertura è annunciata per le serie della Segreteria di Stato del 1992. È uno Stato Zero permanente allo stato, con sede nominata e termine non calcolabile. Resta pubblica e consultabile la cronaca dell'Osservatore Romano del giorno, che documenta l'udienza e nulla di più: il fatto, non il suo contorno.</w:t>
      </w:r>
    </w:p>
    <w:p>
      <w:pPr>
        <w:spacing w:after="120" w:line="276"/>
        <w:jc w:val="both"/>
      </w:pPr>
      <w:r>
        <w:rPr>
          <w:rFonts w:ascii="Barlow Semi Condensed" w:cs="Barlow Semi Condensed" w:eastAsia="Barlow Semi Condensed" w:hAnsi="Barlow Semi Condensed"/>
          <w:b/>
          <w:bCs/>
          <w:sz w:val="24"/>
          <w:szCs w:val="24"/>
        </w:rPr>
        <w:t xml:space="preserve">1662 · La decorazione, l'ordine da accertare.</w:t>
      </w:r>
      <w:r>
        <w:rPr>
          <w:rFonts w:ascii="Barlow Semi Condensed" w:cs="Barlow Semi Condensed" w:eastAsia="Barlow Semi Condensed" w:hAnsi="Barlow Semi Condensed"/>
          <w:sz w:val="24"/>
          <w:szCs w:val="24"/>
        </w:rPr>
        <w:t xml:space="preserve"> Quale ordine cavalleresco francese sia stato conferito nel 2001 la scheda non lo specifica, e la precisazione è parte del bersaglio. Le sedi sono il Journal officiel de la République française per i decreti di promozione e la Grande chancellerie per i fascicoli. La base Léonore non servirà, perché copre i dossier dei decorati morti entro il 1977. Un accertamento minuto, mai svolto, senza alcun elemento americano atteso.</w:t>
      </w:r>
    </w:p>
    <w:p>
      <w:pPr>
        <w:spacing w:after="120" w:line="276"/>
        <w:jc w:val="both"/>
      </w:pPr>
      <w:r>
        <w:rPr>
          <w:rFonts w:ascii="Barlow Semi Condensed" w:cs="Barlow Semi Condensed" w:eastAsia="Barlow Semi Condensed" w:hAnsi="Barlow Semi Condensed"/>
          <w:b/>
          <w:bCs/>
          <w:sz w:val="24"/>
          <w:szCs w:val="24"/>
        </w:rPr>
        <w:t xml:space="preserve">1663 · Un atto di morte nella Drôme.</w:t>
      </w:r>
      <w:r>
        <w:rPr>
          <w:rFonts w:ascii="Barlow Semi Condensed" w:cs="Barlow Semi Condensed" w:eastAsia="Barlow Semi Condensed" w:hAnsi="Barlow Semi Condensed"/>
          <w:sz w:val="24"/>
          <w:szCs w:val="24"/>
        </w:rPr>
        <w:t xml:space="preserve"> Si chiude in una campagna francese, la terza strada: Truinas, nella Drôme, ottobre 2008, con un atto di morte nell'état civil comunale. È il punto in cui ogni tentazione combinatoria dovrebbe fermarsi da sola. Un blocco che facesse arrivare fin qui un ufficio di Washington non starebbe scrivendo storia né archivistica: starebbe scrivendo letteratura, e il corpus ha un nome per quel genere di scrittura.</w:t>
      </w:r>
    </w:p>
    <w:p>
      <w:pPr>
        <w:spacing w:after="120" w:line="276"/>
        <w:jc w:val="both"/>
      </w:pPr>
      <w:r>
        <w:rPr>
          <w:rFonts w:ascii="Barlow Semi Condensed" w:cs="Barlow Semi Condensed" w:eastAsia="Barlow Semi Condensed" w:hAnsi="Barlow Semi Condensed"/>
          <w:b/>
          <w:bCs/>
          <w:sz w:val="24"/>
          <w:szCs w:val="24"/>
        </w:rPr>
        <w:t xml:space="preserve">1664 · La settima suggestione e il suo grado.</w:t>
      </w:r>
      <w:r>
        <w:rPr>
          <w:rFonts w:ascii="Barlow Semi Condensed" w:cs="Barlow Semi Condensed" w:eastAsia="Barlow Semi Condensed" w:hAnsi="Barlow Semi Condensed"/>
          <w:sz w:val="24"/>
          <w:szCs w:val="24"/>
        </w:rPr>
        <w:t xml:space="preserve"> A sei suggestioni pesate dal capitolo settimo questa serie ne aggiunge una settima e la pesa allo stesso modo: che dietro «gli americani» del fascicolo stia un nome proprio. Il grado non è nemmeno terziario, perché il piano tre richiede che qualcuno l'abbia detto in una fonte reperibile. Nel perimetro dichiarato nessuno l'ha detto. Una suggestione possibile e non attestata sta sotto ogni grado, e va registrata così.</w:t>
      </w:r>
    </w:p>
    <w:p>
      <w:pPr>
        <w:spacing w:after="120" w:line="276"/>
        <w:jc w:val="both"/>
      </w:pPr>
      <w:r>
        <w:rPr>
          <w:rFonts w:ascii="Barlow Semi Condensed" w:cs="Barlow Semi Condensed" w:eastAsia="Barlow Semi Condensed" w:hAnsi="Barlow Semi Condensed"/>
          <w:b/>
          <w:bCs/>
          <w:sz w:val="24"/>
          <w:szCs w:val="24"/>
        </w:rPr>
        <w:t xml:space="preserve">1665 · Cinque anti-triangolazioni, più una.</w:t>
      </w:r>
      <w:r>
        <w:rPr>
          <w:rFonts w:ascii="Barlow Semi Condensed" w:cs="Barlow Semi Condensed" w:eastAsia="Barlow Semi Condensed" w:hAnsi="Barlow Semi Condensed"/>
          <w:sz w:val="24"/>
          <w:szCs w:val="24"/>
        </w:rPr>
        <w:t xml:space="preserve"> Le cinque anti-triangolazioni del capitolo ottavo si applicano a questa serie senza adattamenti: impiego, scissione, assoluzione, coincidenza, paragone fra le due discendenze. La sesta è propria della seconda campagna e va enunciata qui: l'assenza di un nome da un fascicolo non è un occultamento del nome. Chi leggesse lo zero di questa serie come reticenza degli archivi commetterebbe l'errore che il blocco 636 vieta in entrambe le direzioni.</w:t>
      </w:r>
    </w:p>
    <w:p>
      <w:pPr>
        <w:spacing w:after="120" w:line="276"/>
        <w:jc w:val="both"/>
      </w:pPr>
      <w:r>
        <w:rPr>
          <w:rFonts w:ascii="Barlow Semi Condensed" w:cs="Barlow Semi Condensed" w:eastAsia="Barlow Semi Condensed" w:hAnsi="Barlow Semi Condensed"/>
          <w:b/>
          <w:bCs/>
          <w:sz w:val="24"/>
          <w:szCs w:val="24"/>
        </w:rPr>
        <w:t xml:space="preserve">1666 · FH-1, l'editore fuori dal collettivo.</w:t>
      </w:r>
      <w:r>
        <w:rPr>
          <w:rFonts w:ascii="Barlow Semi Condensed" w:cs="Barlow Semi Condensed" w:eastAsia="Barlow Semi Condensed" w:hAnsi="Barlow Semi Condensed"/>
          <w:sz w:val="24"/>
          <w:szCs w:val="24"/>
        </w:rPr>
        <w:t xml:space="preserve"> Feltrinelli non apparteneva al Collettivo Politico Metropolitano, ma operava nella stessa città, negli stessi anni, sullo stesso crinale, e con quell'area era in contatto. Il nodo FH-1 lo documenta e si ferma lì. In tutta la ricostruzione del ceppo comune non compare un solo interlocutore americano, né istituzionale né privato. È materia milanese, e la sua sede naturale resta italiana: questure, prefettura, procura, e i loro versamenti.</w:t>
      </w:r>
    </w:p>
    <w:p>
      <w:pPr>
        <w:spacing w:after="120" w:line="276"/>
        <w:jc w:val="both"/>
      </w:pPr>
      <w:r>
        <w:rPr>
          <w:rFonts w:ascii="Barlow Semi Condensed" w:cs="Barlow Semi Condensed" w:eastAsia="Barlow Semi Condensed" w:hAnsi="Barlow Semi Condensed"/>
          <w:b/>
          <w:bCs/>
          <w:sz w:val="24"/>
          <w:szCs w:val="24"/>
        </w:rPr>
        <w:t xml:space="preserve">1667 · Un cespo, non una piramide.</w:t>
      </w:r>
      <w:r>
        <w:rPr>
          <w:rFonts w:ascii="Barlow Semi Condensed" w:cs="Barlow Semi Condensed" w:eastAsia="Barlow Semi Condensed" w:hAnsi="Barlow Semi Condensed"/>
          <w:sz w:val="24"/>
          <w:szCs w:val="24"/>
        </w:rPr>
        <w:t xml:space="preserve"> Tre progetti clandestini distinti uscirono dallo stesso ceppo fra l'aprile 1970 e il 1976: i GAP, le Brigate Rosse nate a Pecorile, la struttura riservata che portò a Parigi. Il nodo FH-2 lo dice in una formula che vale come regola di lettura: non una piramide con un vertice, ma un cespo con tre rami. Collocare un nome estero al vertice è la forma massima del tentativo che la formula esclude.</w:t>
      </w:r>
    </w:p>
    <w:p>
      <w:pPr>
        <w:spacing w:after="120" w:line="276"/>
        <w:jc w:val="both"/>
      </w:pPr>
      <w:r>
        <w:rPr>
          <w:rFonts w:ascii="Barlow Semi Condensed" w:cs="Barlow Semi Condensed" w:eastAsia="Barlow Semi Condensed" w:hAnsi="Barlow Semi Condensed"/>
          <w:b/>
          <w:bCs/>
          <w:sz w:val="24"/>
          <w:szCs w:val="24"/>
        </w:rPr>
        <w:t xml:space="preserve">1668 · Piazza Castello e due numeri.</w:t>
      </w:r>
      <w:r>
        <w:rPr>
          <w:rFonts w:ascii="Barlow Semi Condensed" w:cs="Barlow Semi Condensed" w:eastAsia="Barlow Semi Condensed" w:hAnsi="Barlow Semi Condensed"/>
          <w:sz w:val="24"/>
          <w:szCs w:val="24"/>
        </w:rPr>
        <w:t xml:space="preserve"> I contatti fra Feltrinelli, Curcio e Franceschini furono reali, personali e documentati: incontri sempre più frequenti dalla fine del 1970, i giardini di piazza Castello, gli appartamenti coperti, il foglio «Nuova Resistenza» dell'aprile 1971 in due numeri. Il comando unificato fu cercato e non ottenuto. Un negoziato fra sovrani, scrive il nodo FH-3; e in quel negoziato nessuna fonte colloca un terzo interlocutore straniero.</w:t>
      </w:r>
    </w:p>
    <w:p>
      <w:pPr>
        <w:spacing w:after="120" w:line="276"/>
        <w:jc w:val="both"/>
      </w:pPr>
      <w:r>
        <w:rPr>
          <w:rFonts w:ascii="Barlow Semi Condensed" w:cs="Barlow Semi Condensed" w:eastAsia="Barlow Semi Condensed" w:hAnsi="Barlow Semi Condensed"/>
          <w:b/>
          <w:bCs/>
          <w:sz w:val="24"/>
          <w:szCs w:val="24"/>
        </w:rPr>
        <w:t xml:space="preserve">1669 · Le «zie rosse» come fonte.</w:t>
      </w:r>
      <w:r>
        <w:rPr>
          <w:rFonts w:ascii="Barlow Semi Condensed" w:cs="Barlow Semi Condensed" w:eastAsia="Barlow Semi Condensed" w:hAnsi="Barlow Semi Condensed"/>
          <w:sz w:val="24"/>
          <w:szCs w:val="24"/>
        </w:rPr>
        <w:t xml:space="preserve"> Che Franceschini abbia vissuto nella Comune di Simioni e fatto parte della sua struttura riservata è ricostruzione memorialistica incrociata, usata nelle polemiche fra ex militanti in entrambe le direzioni. Il nodo FH-4 la registra con la fonte e senza promuoverla. Vale l'avvertenza generale: un nome aggiunto a una fonte di quel rango resta a quel rango. La guerra della memoria non produce archivio, produce testimonianze contrapposte.</w:t>
      </w:r>
    </w:p>
    <w:p>
      <w:pPr>
        <w:spacing w:after="120" w:line="276"/>
        <w:jc w:val="both"/>
      </w:pPr>
      <w:r>
        <w:rPr>
          <w:rFonts w:ascii="Barlow Semi Condensed" w:cs="Barlow Semi Condensed" w:eastAsia="Barlow Semi Condensed" w:hAnsi="Barlow Semi Condensed"/>
          <w:b/>
          <w:bCs/>
          <w:sz w:val="24"/>
          <w:szCs w:val="24"/>
        </w:rPr>
        <w:t xml:space="preserve">1670 · Il filo Moretti, ricalcolato.</w:t>
      </w:r>
      <w:r>
        <w:rPr>
          <w:rFonts w:ascii="Barlow Semi Condensed" w:cs="Barlow Semi Condensed" w:eastAsia="Barlow Semi Condensed" w:hAnsi="Barlow Semi Condensed"/>
          <w:sz w:val="24"/>
          <w:szCs w:val="24"/>
        </w:rPr>
        <w:t xml:space="preserve"> Quattro archi contava il cammino documentato più breve fra la scuola di Parigi e via Fani, i primi tre di grado biografico e l'ultimo accertato, dunque grado del cammino biografico: è il calcolo del blocco 414. Appendere a quel cammino un quinto arco fatto di testimonianza contestata, resa de relato e con data oscillante fra 1974, 1976 e 1977, lo allunga senza sollevarlo. Il minimo non sale aggiungendo.</w:t>
      </w:r>
    </w:p>
    <w:p>
      <w:pPr>
        <w:spacing w:after="120" w:line="276"/>
        <w:jc w:val="both"/>
      </w:pPr>
      <w:r>
        <w:rPr>
          <w:rFonts w:ascii="Barlow Semi Condensed" w:cs="Barlow Semi Condensed" w:eastAsia="Barlow Semi Condensed" w:hAnsi="Barlow Semi Condensed"/>
          <w:b/>
          <w:bCs/>
          <w:sz w:val="24"/>
          <w:szCs w:val="24"/>
        </w:rPr>
        <w:t xml:space="preserve">1671 · L'unica unificazione fu processuale.</w:t>
      </w:r>
      <w:r>
        <w:rPr>
          <w:rFonts w:ascii="Barlow Semi Condensed" w:cs="Barlow Semi Condensed" w:eastAsia="Barlow Semi Condensed" w:hAnsi="Barlow Semi Condensed"/>
          <w:sz w:val="24"/>
          <w:szCs w:val="24"/>
        </w:rPr>
        <w:t xml:space="preserve"> L'unico luogo in cui i due rami furono davvero unificati è un'aula: il processo congiunto alle Brigate Rosse e ai GAP celebrato a Torino a metà anni Settanta, il cui fascicolo è oggi valorizzato dal portale della memoria del Ministero della Cultura. Sede pubblica, digitale, citabile. Il quesito è banale e mai posto: se in quegli atti compaia una sola carta di provenienza statunitense. Previsione registrata prima della verifica: nessuna.</w:t>
      </w:r>
    </w:p>
    <w:p>
      <w:pPr>
        <w:spacing w:after="120" w:line="276"/>
        <w:jc w:val="both"/>
      </w:pPr>
      <w:r>
        <w:rPr>
          <w:rFonts w:ascii="Barlow Semi Condensed" w:cs="Barlow Semi Condensed" w:eastAsia="Barlow Semi Condensed" w:hAnsi="Barlow Semi Condensed"/>
          <w:b/>
          <w:bCs/>
          <w:sz w:val="24"/>
          <w:szCs w:val="24"/>
        </w:rPr>
        <w:t xml:space="preserve">1672 · Dopo Segrate, la sottrazione.</w:t>
      </w:r>
      <w:r>
        <w:rPr>
          <w:rFonts w:ascii="Barlow Semi Condensed" w:cs="Barlow Semi Condensed" w:eastAsia="Barlow Semi Condensed" w:hAnsi="Barlow Semi Condensed"/>
          <w:sz w:val="24"/>
          <w:szCs w:val="24"/>
        </w:rPr>
        <w:t xml:space="preserve"> Con la morte di Feltrinelli i GAP si dissolsero, e la sorte della rete — dispersa in parte, in parte riassorbita — è oggetto di storiografia recente. Il campo clandestino si semplificò per sottrazione, non per successione ordinata. Nessuna fonte documenta un subentro esterno, e tanto meno straniero, nello spazio lasciato vuoto. Chi immaginasse una regia che raccoglie l'eredità dovrebbe indicare il documento che la nomina.</w:t>
      </w:r>
    </w:p>
    <w:p>
      <w:pPr>
        <w:spacing w:after="120" w:line="276"/>
        <w:jc w:val="both"/>
      </w:pPr>
      <w:r>
        <w:rPr>
          <w:rFonts w:ascii="Barlow Semi Condensed" w:cs="Barlow Semi Condensed" w:eastAsia="Barlow Semi Condensed" w:hAnsi="Barlow Semi Condensed"/>
          <w:b/>
          <w:bCs/>
          <w:sz w:val="24"/>
          <w:szCs w:val="24"/>
        </w:rPr>
        <w:t xml:space="preserve">1673 · I timer, e chi li smentì.</w:t>
      </w:r>
      <w:r>
        <w:rPr>
          <w:rFonts w:ascii="Barlow Semi Condensed" w:cs="Barlow Semi Condensed" w:eastAsia="Barlow Semi Condensed" w:hAnsi="Barlow Semi Condensed"/>
          <w:sz w:val="24"/>
          <w:szCs w:val="24"/>
        </w:rPr>
        <w:t xml:space="preserve"> L'affermazione che i timer dell'ordigno di Segrate fossero stati manipolati risulta smentita da Vittorio Battistoni, il tecnico dei GAP che fornì l'esplosivo all'editore. Il nodo FH-8 registra dunque una smentita, non un dubbio residuo. Ogni variante di quella congettura che vi innesti una mano straniera eredita la smentita insieme alla congettura: non nasce vergine, nasce già contraddetta su un punto qualificante da testimonianza diretta.</w:t>
      </w:r>
    </w:p>
    <w:p>
      <w:pPr>
        <w:spacing w:after="120" w:line="276"/>
        <w:jc w:val="both"/>
      </w:pPr>
      <w:r>
        <w:rPr>
          <w:rFonts w:ascii="Barlow Semi Condensed" w:cs="Barlow Semi Condensed" w:eastAsia="Barlow Semi Condensed" w:hAnsi="Barlow Semi Condensed"/>
          <w:b/>
          <w:bCs/>
          <w:sz w:val="24"/>
          <w:szCs w:val="24"/>
        </w:rPr>
        <w:t xml:space="preserve">1674 · Il calendario decide prima.</w:t>
      </w:r>
      <w:r>
        <w:rPr>
          <w:rFonts w:ascii="Barlow Semi Condensed" w:cs="Barlow Semi Condensed" w:eastAsia="Barlow Semi Condensed" w:hAnsi="Barlow Semi Condensed"/>
          <w:sz w:val="24"/>
          <w:szCs w:val="24"/>
        </w:rPr>
        <w:t xml:space="preserve"> Hyperion nacque nel 1976; Feltrinelli era morto nel 1972. Il nodo ATI-1 stabilisce che i due non si incontrarono mai per ragioni di calendario prima che di prova. Lo stesso strumento vale in questa serie, e vale meglio: un incarico ha una data d'inizio e una di cessazione, entrambe accertate. Dove la data esclude, l'interpretazione non entra; e qui le date escludono quattro dei sei snodi del fascicolo.</w:t>
      </w:r>
    </w:p>
    <w:p>
      <w:pPr>
        <w:spacing w:after="120" w:line="276"/>
        <w:jc w:val="both"/>
      </w:pPr>
      <w:r>
        <w:rPr>
          <w:rFonts w:ascii="Barlow Semi Condensed" w:cs="Barlow Semi Condensed" w:eastAsia="Barlow Semi Condensed" w:hAnsi="Barlow Semi Condensed"/>
          <w:b/>
          <w:bCs/>
          <w:sz w:val="24"/>
          <w:szCs w:val="24"/>
        </w:rPr>
        <w:t xml:space="preserve">1675 · Vertice cercato, vertice non ottenuto.</w:t>
      </w:r>
      <w:r>
        <w:rPr>
          <w:rFonts w:ascii="Barlow Semi Condensed" w:cs="Barlow Semi Condensed" w:eastAsia="Barlow Semi Condensed" w:hAnsi="Barlow Semi Condensed"/>
          <w:sz w:val="24"/>
          <w:szCs w:val="24"/>
        </w:rPr>
        <w:t xml:space="preserve"> Il comando unificato della lotta armata fu effettivamente cercato, e da un italiano: Feltrinelli lo cercò e non lo ottenne, e il fallimento di quell'unificazione è documentato quanto i rapporti stessi. Il nodo ATI-2 ne trae che la triforcazione non ha vertice. Aggiungere dall'estero il vertice che dall'interno non fu conseguito non è soltanto indimostrato: è strutturalmente superfluo rispetto a ciò che le fonti descrivono.</w:t>
      </w:r>
    </w:p>
    <w:p>
      <w:pPr>
        <w:spacing w:after="120" w:line="276"/>
        <w:jc w:val="both"/>
      </w:pPr>
      <w:r>
        <w:rPr>
          <w:rFonts w:ascii="Barlow Semi Condensed" w:cs="Barlow Semi Condensed" w:eastAsia="Barlow Semi Condensed" w:hAnsi="Barlow Semi Condensed"/>
          <w:b/>
          <w:bCs/>
          <w:sz w:val="24"/>
          <w:szCs w:val="24"/>
        </w:rPr>
        <w:t xml:space="preserve">1676 · Ford Library, la serie dei memcon.</w:t>
      </w:r>
      <w:r>
        <w:rPr>
          <w:rFonts w:ascii="Barlow Semi Condensed" w:cs="Barlow Semi Condensed" w:eastAsia="Barlow Semi Condensed" w:hAnsi="Barlow Semi Condensed"/>
          <w:sz w:val="24"/>
          <w:szCs w:val="24"/>
        </w:rPr>
        <w:t xml:space="preserve"> Alla Gerald R. Ford Presidential Library la serie National Security Adviser, Memoranda of Conversation 1973-1977 è la stessa che conserva il file 1552802 del 25 settembre 1974. È la prima sede da interrogare con le stringhe «Hyperion», «Simioni», «Superclan». La previsione si dichiara prima della ricerca, perché una previsione formulata dopo si adatta sempre al risultato: nessun riscontro atteso. L'esito, quale che sia, va verbalizzato.</w:t>
      </w:r>
    </w:p>
    <w:p>
      <w:pPr>
        <w:spacing w:after="120" w:line="276"/>
        <w:jc w:val="both"/>
      </w:pPr>
      <w:r>
        <w:rPr>
          <w:rFonts w:ascii="Barlow Semi Condensed" w:cs="Barlow Semi Condensed" w:eastAsia="Barlow Semi Condensed" w:hAnsi="Barlow Semi Condensed"/>
          <w:b/>
          <w:bCs/>
          <w:sz w:val="24"/>
          <w:szCs w:val="24"/>
        </w:rPr>
        <w:t xml:space="preserve">1677 · Yorba Linda, gli HAK Office Files.</w:t>
      </w:r>
      <w:r>
        <w:rPr>
          <w:rFonts w:ascii="Barlow Semi Condensed" w:cs="Barlow Semi Condensed" w:eastAsia="Barlow Semi Condensed" w:hAnsi="Barlow Semi Condensed"/>
          <w:sz w:val="24"/>
          <w:szCs w:val="24"/>
        </w:rPr>
        <w:t xml:space="preserve"> A Yorba Linda, presso la Richard Nixon Presidential Library, stanno i National Security Council Files con gli Henry A. Kissinger Office Files, 1969-1974, e i Country Files relativi all'Italia. La finestra copre la fondazione del Collettivo, la scissione e gli anni del Superclan. Il quesito è legittimo e a basso costo; l'esito atteso è uno Stato Zero verbalizzato, che vale quanto un riscontro e va scritto con la stessa cura.</w:t>
      </w:r>
    </w:p>
    <w:p>
      <w:pPr>
        <w:spacing w:after="120" w:line="276"/>
        <w:jc w:val="both"/>
      </w:pPr>
      <w:r>
        <w:rPr>
          <w:rFonts w:ascii="Barlow Semi Condensed" w:cs="Barlow Semi Condensed" w:eastAsia="Barlow Semi Condensed" w:hAnsi="Barlow Semi Condensed"/>
          <w:b/>
          <w:bCs/>
          <w:sz w:val="24"/>
          <w:szCs w:val="24"/>
        </w:rPr>
        <w:t xml:space="preserve">1678 · I telcon come serie nominata.</w:t>
      </w:r>
      <w:r>
        <w:rPr>
          <w:rFonts w:ascii="Barlow Semi Condensed" w:cs="Barlow Semi Condensed" w:eastAsia="Barlow Semi Condensed" w:hAnsi="Barlow Semi Condensed"/>
          <w:sz w:val="24"/>
          <w:szCs w:val="24"/>
        </w:rPr>
        <w:t xml:space="preserve"> Fra le serie dei National Archives, il Record Group 59 conserva i Records of Henry Kissinger 1973-1977 con le trascrizioni delle conversazioni telefoniche. È il genere documentale in cui una frase informale lascia traccia, se traccia lascia: proprio ciò che una testimonianza de relato reclama e non ha mai prodotto. Il metodo del corpus esige di nominare la serie prima di prevederne il silenzio, e questa è nominata.</w:t>
      </w:r>
    </w:p>
    <w:p>
      <w:pPr>
        <w:spacing w:after="120" w:line="276"/>
        <w:jc w:val="both"/>
      </w:pPr>
      <w:r>
        <w:rPr>
          <w:rFonts w:ascii="Barlow Semi Condensed" w:cs="Barlow Semi Condensed" w:eastAsia="Barlow Semi Condensed" w:hAnsi="Barlow Semi Condensed"/>
          <w:b/>
          <w:bCs/>
          <w:sz w:val="24"/>
          <w:szCs w:val="24"/>
        </w:rPr>
        <w:t xml:space="preserve">1679 · AAD, una stringa e un esito.</w:t>
      </w:r>
      <w:r>
        <w:rPr>
          <w:rFonts w:ascii="Barlow Semi Condensed" w:cs="Barlow Semi Condensed" w:eastAsia="Barlow Semi Condensed" w:hAnsi="Barlow Semi Condensed"/>
          <w:sz w:val="24"/>
          <w:szCs w:val="24"/>
        </w:rPr>
        <w:t xml:space="preserve"> Interrogabile a testo pieno e senza deroghe è il database ad accesso libero dei National Archives per i Central Foreign Policy Files, telegrammi elettronici dal 1973 al 1979, che comprende i dispacci dell'ambasciata di Roma e di quella di Parigi. La stringa «Hyperion» vi si verifica senza trasferte. È il bersaglio più economico dell'intera serie, e il suo esito va verbalizzato in un verso o nell'altro.</w:t>
      </w:r>
    </w:p>
    <w:p>
      <w:pPr>
        <w:spacing w:after="120" w:line="276"/>
        <w:jc w:val="both"/>
      </w:pPr>
      <w:r>
        <w:rPr>
          <w:rFonts w:ascii="Barlow Semi Condensed" w:cs="Barlow Semi Condensed" w:eastAsia="Barlow Semi Condensed" w:hAnsi="Barlow Semi Condensed"/>
          <w:b/>
          <w:bCs/>
          <w:sz w:val="24"/>
          <w:szCs w:val="24"/>
        </w:rPr>
        <w:t xml:space="preserve">1680 · Che cosa riferiva il consolato.</w:t>
      </w:r>
      <w:r>
        <w:rPr>
          <w:rFonts w:ascii="Barlow Semi Condensed" w:cs="Barlow Semi Condensed" w:eastAsia="Barlow Semi Condensed" w:hAnsi="Barlow Semi Condensed"/>
          <w:sz w:val="24"/>
          <w:szCs w:val="24"/>
        </w:rPr>
        <w:t xml:space="preserve"> Che cosa riferiva il consolato generale di Milano sulla sinistra extraparlamentare fra il 1968 e il 1971 è domanda mai posta, e la sede è il Record Group 84 dei National Archives, con i general records del post. Da lì si vedrebbe se e come quella materia salisse verso l'ambasciata e oltre. Il reporting di un consolato è un fatto documentale: non diventa direttiva perché qualcuno lo legge in alto.</w:t>
      </w:r>
    </w:p>
    <w:p>
      <w:pPr>
        <w:spacing w:after="120" w:line="276"/>
        <w:jc w:val="both"/>
      </w:pPr>
      <w:r>
        <w:rPr>
          <w:rFonts w:ascii="Barlow Semi Condensed" w:cs="Barlow Semi Condensed" w:eastAsia="Barlow Semi Condensed" w:hAnsi="Barlow Semi Condensed"/>
          <w:b/>
          <w:bCs/>
          <w:sz w:val="24"/>
          <w:szCs w:val="24"/>
        </w:rPr>
        <w:t xml:space="preserve">1681 · INR, due domande distinte.</w:t>
      </w:r>
      <w:r>
        <w:rPr>
          <w:rFonts w:ascii="Barlow Semi Condensed" w:cs="Barlow Semi Condensed" w:eastAsia="Barlow Semi Condensed" w:hAnsi="Barlow Semi Condensed"/>
          <w:sz w:val="24"/>
          <w:szCs w:val="24"/>
        </w:rPr>
        <w:t xml:space="preserve"> Il Bureau of Intelligence and Research produsse research memoranda e intelligence notes conservati nei lot files del Record Group 59. Vi si portano due quesiti che non vanno confusi: se una qualunque nota del periodo 1969-1976 sul terrorismo italiano nomini la scuola parigina, e se una nota così sia mai salita all'Assistente per la sicurezza nazionale. La prima riguarda l'esistenza; la seconda la circolazione.</w:t>
      </w:r>
    </w:p>
    <w:p>
      <w:pPr>
        <w:spacing w:after="120" w:line="276"/>
        <w:jc w:val="both"/>
      </w:pPr>
      <w:r>
        <w:rPr>
          <w:rFonts w:ascii="Barlow Semi Condensed" w:cs="Barlow Semi Condensed" w:eastAsia="Barlow Semi Condensed" w:hAnsi="Barlow Semi Condensed"/>
          <w:b/>
          <w:bCs/>
          <w:sz w:val="24"/>
          <w:szCs w:val="24"/>
        </w:rPr>
        <w:t xml:space="preserve">1682 · Le carte personali e i vincoli.</w:t>
      </w:r>
      <w:r>
        <w:rPr>
          <w:rFonts w:ascii="Barlow Semi Condensed" w:cs="Barlow Semi Condensed" w:eastAsia="Barlow Semi Condensed" w:hAnsi="Barlow Semi Condensed"/>
          <w:sz w:val="24"/>
          <w:szCs w:val="24"/>
        </w:rPr>
        <w:t xml:space="preserve"> Alla Library of Congress, Manuscript Division, i Henry A. Kissinger Papers per la parte governativa sono conservati con vincoli d'atto di donazione, documentati e contestati in sede giudiziaria. La sede si nomina con i suoi limiti: l'inventario è pubblico, le restrizioni sono note, e l'interrogazione può essere preparata prima che i termini cadano. Un archivio vincolato non è un archivio muto: è un archivio con un calendario.</w:t>
      </w:r>
    </w:p>
    <w:p>
      <w:pPr>
        <w:spacing w:after="120" w:line="276"/>
        <w:jc w:val="both"/>
      </w:pPr>
      <w:r>
        <w:rPr>
          <w:rFonts w:ascii="Barlow Semi Condensed" w:cs="Barlow Semi Condensed" w:eastAsia="Barlow Semi Condensed" w:hAnsi="Barlow Semi Condensed"/>
          <w:b/>
          <w:bCs/>
          <w:sz w:val="24"/>
          <w:szCs w:val="24"/>
        </w:rPr>
        <w:t xml:space="preserve">1683 · Yale, la finestra postuma al potere.</w:t>
      </w:r>
      <w:r>
        <w:rPr>
          <w:rFonts w:ascii="Barlow Semi Condensed" w:cs="Barlow Semi Condensed" w:eastAsia="Barlow Semi Condensed" w:hAnsi="Barlow Semi Condensed"/>
          <w:sz w:val="24"/>
          <w:szCs w:val="24"/>
        </w:rPr>
        <w:t xml:space="preserve"> A Yale, in Manuscripts and Archives, sta la parte delle carte successiva al gennaio 1977: gli anni dei mandati Priore, delle assoluzioni di Roma e Venezia, dell'audizione del 2015. È la finestra in cui un eventuale legame sarebbe comunque postumo al potere, e dunque privo di rilievo istituzionale. La domanda va posta una volta sola, e la risposta attesa è coerente con tutto il resto della serie.</w:t>
      </w:r>
    </w:p>
    <w:p>
      <w:pPr>
        <w:spacing w:after="120" w:line="276"/>
        <w:jc w:val="both"/>
      </w:pPr>
      <w:r>
        <w:rPr>
          <w:rFonts w:ascii="Barlow Semi Condensed" w:cs="Barlow Semi Condensed" w:eastAsia="Barlow Semi Condensed" w:hAnsi="Barlow Semi Condensed"/>
          <w:b/>
          <w:bCs/>
          <w:sz w:val="24"/>
          <w:szCs w:val="24"/>
        </w:rPr>
        <w:t xml:space="preserve">1684 · CREST, e il diniego procedurale.</w:t>
      </w:r>
      <w:r>
        <w:rPr>
          <w:rFonts w:ascii="Barlow Semi Condensed" w:cs="Barlow Semi Condensed" w:eastAsia="Barlow Semi Condensed" w:hAnsi="Barlow Semi Condensed"/>
          <w:sz w:val="24"/>
          <w:szCs w:val="24"/>
        </w:rPr>
        <w:t xml:space="preserve"> Una risposta che non conferma né smentisce l'esistenza di documenti non è un'indicazione di esistenza: è una risposta procedurale prevista dall'ordinamento americano sull'accesso. Confonderla con una mezza ammissione è l'errore più frequente su questo fascicolo. Le sedi restano nominabili: il sistema di consultazione dei documenti declassificati della CIA presso i National Archives e la sala di lettura in linea, con istanza di accesso formale.</w:t>
      </w:r>
    </w:p>
    <w:p>
      <w:pPr>
        <w:spacing w:after="120" w:line="276"/>
        <w:jc w:val="both"/>
      </w:pPr>
      <w:r>
        <w:rPr>
          <w:rFonts w:ascii="Barlow Semi Condensed" w:cs="Barlow Semi Condensed" w:eastAsia="Barlow Semi Condensed" w:hAnsi="Barlow Semi Condensed"/>
          <w:b/>
          <w:bCs/>
          <w:sz w:val="24"/>
          <w:szCs w:val="24"/>
        </w:rPr>
        <w:t xml:space="preserve">1685 · Gli indici del National Security Archive.</w:t>
      </w:r>
      <w:r>
        <w:rPr>
          <w:rFonts w:ascii="Barlow Semi Condensed" w:cs="Barlow Semi Condensed" w:eastAsia="Barlow Semi Condensed" w:hAnsi="Barlow Semi Condensed"/>
          <w:sz w:val="24"/>
          <w:szCs w:val="24"/>
        </w:rPr>
        <w:t xml:space="preserve"> Gli indici pubblicati dal National Security Archive della George Washington University — le raccolte di trascrizioni ottenute per accesso agli atti e per contenzioso — sono consultabili in rete e servono a preparare l'interrogazione prima della trasferta. Sono fonte secondaria, e come tale si dichiarano. Ma i loro indici sono oggetti misurabili: un'assenza rilevata lì è un fatto sulla raccolta, non ancora un fatto sugli archivi originali.</w:t>
      </w:r>
    </w:p>
    <w:p>
      <w:pPr>
        <w:spacing w:after="120" w:line="276"/>
        <w:jc w:val="both"/>
      </w:pPr>
      <w:r>
        <w:rPr>
          <w:rFonts w:ascii="Barlow Semi Condensed" w:cs="Barlow Semi Condensed" w:eastAsia="Barlow Semi Condensed" w:hAnsi="Barlow Semi Condensed"/>
          <w:b/>
          <w:bCs/>
          <w:sz w:val="24"/>
          <w:szCs w:val="24"/>
        </w:rPr>
        <w:t xml:space="preserve">1686 · L'indice di FRUS E-15.</w:t>
      </w:r>
      <w:r>
        <w:rPr>
          <w:rFonts w:ascii="Barlow Semi Condensed" w:cs="Barlow Semi Condensed" w:eastAsia="Barlow Semi Condensed" w:hAnsi="Barlow Semi Condensed"/>
          <w:sz w:val="24"/>
          <w:szCs w:val="24"/>
        </w:rPr>
        <w:t xml:space="preserve"> Ha un indice dei nomi e delle materie il volume Foreign Relations of the United States 1969-1976 E-15 parte seconda, seconda edizione riveduta, quello che contiene il documento 350. Verificare se vi compaiano «Hyperion» o i cognomi dei tre fondatori è un atto bibliografico di pochi minuti, e il corpus non lo ha compiuto. Stato Zero dichiarato, con la sede più accessibile fra quante questa serie nomina.</w:t>
      </w:r>
    </w:p>
    <w:p>
      <w:pPr>
        <w:spacing w:after="120" w:line="276"/>
        <w:jc w:val="both"/>
      </w:pPr>
      <w:r>
        <w:rPr>
          <w:rFonts w:ascii="Barlow Semi Condensed" w:cs="Barlow Semi Condensed" w:eastAsia="Barlow Semi Condensed" w:hAnsi="Barlow Semi Condensed"/>
          <w:b/>
          <w:bCs/>
          <w:sz w:val="24"/>
          <w:szCs w:val="24"/>
        </w:rPr>
        <w:t xml:space="preserve">1687 · Il Comitato dei Quaranta.</w:t>
      </w:r>
      <w:r>
        <w:rPr>
          <w:rFonts w:ascii="Barlow Semi Condensed" w:cs="Barlow Semi Condensed" w:eastAsia="Barlow Semi Condensed" w:hAnsi="Barlow Semi Condensed"/>
          <w:sz w:val="24"/>
          <w:szCs w:val="24"/>
        </w:rPr>
        <w:t xml:space="preserve"> Il memorandum di decisione del febbraio 1970 che riorganizzò la supervisione delle operazioni coperte, e le carte del comitato che ne discese, stanno negli institutional files del Consiglio di sicurezza nazionale presso le biblioteche presidenziali di Yorba Linda e Ann Arbor. Il quesito è preciso: se un ordine del giorno degli anni 1970-1976 nomini strutture italiane operanti in Francia. Previsione registrata in anticipo: nessuno. La data del memorandum va riscontrata sull'originale.</w:t>
      </w:r>
    </w:p>
    <w:p>
      <w:pPr>
        <w:spacing w:after="120" w:line="276"/>
        <w:jc w:val="both"/>
      </w:pPr>
      <w:r>
        <w:rPr>
          <w:rFonts w:ascii="Barlow Semi Condensed" w:cs="Barlow Semi Condensed" w:eastAsia="Barlow Semi Condensed" w:hAnsi="Barlow Semi Condensed"/>
          <w:b/>
          <w:bCs/>
          <w:sz w:val="24"/>
          <w:szCs w:val="24"/>
        </w:rPr>
        <w:t xml:space="preserve">1688 · L'archivio giusto prima del silenzio.</w:t>
      </w:r>
      <w:r>
        <w:rPr>
          <w:rFonts w:ascii="Barlow Semi Condensed" w:cs="Barlow Semi Condensed" w:eastAsia="Barlow Semi Condensed" w:hAnsi="Barlow Semi Condensed"/>
          <w:sz w:val="24"/>
          <w:szCs w:val="24"/>
        </w:rPr>
        <w:t xml:space="preserve"> Vale qui la condizione del blocco 637: l'inferenza dal silenzio è lecita soltanto se l'archivio interrogato è quello dove il documento, se esistesse, dovrebbe stare per prassi di quell'amministrazione. Un rapporto coperto statunitense non si cercherebbe al Quai d'Orsay, e la sua assenza da lì non è un'assenza. Enunciare la condizione prima della ricerca è ciò che distingue una lacuna misurata da un rumore raccolto.</w:t>
      </w:r>
    </w:p>
    <w:p>
      <w:pPr>
        <w:spacing w:after="120" w:line="276"/>
        <w:jc w:val="both"/>
      </w:pPr>
      <w:r>
        <w:rPr>
          <w:rFonts w:ascii="Barlow Semi Condensed" w:cs="Barlow Semi Condensed" w:eastAsia="Barlow Semi Condensed" w:hAnsi="Barlow Semi Condensed"/>
          <w:b/>
          <w:bCs/>
          <w:sz w:val="24"/>
          <w:szCs w:val="24"/>
        </w:rPr>
        <w:t xml:space="preserve">1689 · La Courneuve, la finestra 1976-1980.</w:t>
      </w:r>
      <w:r>
        <w:rPr>
          <w:rFonts w:ascii="Barlow Semi Condensed" w:cs="Barlow Semi Condensed" w:eastAsia="Barlow Semi Condensed" w:hAnsi="Barlow Semi Condensed"/>
          <w:sz w:val="24"/>
          <w:szCs w:val="24"/>
        </w:rPr>
        <w:t xml:space="preserve"> Agli archivi diplomatici francesi la sottoserie della Direction d'Europe «Italie, juillet 1976-1980» sta nel versamento 1929INVA, con inventario in linea e circa novecentosettanta scatole. La finestra copre la fondazione della scuola e l'apertura dell'ufficio romano. Vi si porta un quesito laterale ma non inutile: se i dossier del Quai registrino richieste americane sulla scuola. Lettura in sala, con deroga dove i termini la impongono.</w:t>
      </w:r>
    </w:p>
    <w:p>
      <w:pPr>
        <w:spacing w:after="120" w:line="276"/>
        <w:jc w:val="both"/>
      </w:pPr>
      <w:r>
        <w:rPr>
          <w:rFonts w:ascii="Barlow Semi Condensed" w:cs="Barlow Semi Condensed" w:eastAsia="Barlow Semi Condensed" w:hAnsi="Barlow Semi Condensed"/>
          <w:b/>
          <w:bCs/>
          <w:sz w:val="24"/>
          <w:szCs w:val="24"/>
        </w:rPr>
        <w:t xml:space="preserve">1690 · Grimaud, e una nota del 1983.</w:t>
      </w:r>
      <w:r>
        <w:rPr>
          <w:rFonts w:ascii="Barlow Semi Condensed" w:cs="Barlow Semi Condensed" w:eastAsia="Barlow Semi Condensed" w:hAnsi="Barlow Semi Condensed"/>
          <w:sz w:val="24"/>
          <w:szCs w:val="24"/>
        </w:rPr>
        <w:t xml:space="preserve"> Diviso fra due sedi, il fondo del prefetto Maurice Grimaud sta al Centre d'histoire de Sciences Po per le carte private e agli Archives nationales di Pierrefitte per quelle d'ufficio, e contiene la nota del 24 maggio 1983 con cui il direttore di gabinetto di Defferre chiese ai Renseignements généraux informazioni sulla scuola. È l'atto francese più preciso che il corpus conosca sul nodo, ed è del 1983: sei anni dopo ogni carica.</w:t>
      </w:r>
    </w:p>
    <w:p>
      <w:pPr>
        <w:spacing w:after="120" w:line="276"/>
        <w:jc w:val="both"/>
      </w:pPr>
      <w:r>
        <w:rPr>
          <w:rFonts w:ascii="Barlow Semi Condensed" w:cs="Barlow Semi Condensed" w:eastAsia="Barlow Semi Condensed" w:hAnsi="Barlow Semi Condensed"/>
          <w:b/>
          <w:bCs/>
          <w:sz w:val="24"/>
          <w:szCs w:val="24"/>
        </w:rPr>
        <w:t xml:space="preserve">1691 · La préfecture e l'emigrazione italiana.</w:t>
      </w:r>
      <w:r>
        <w:rPr>
          <w:rFonts w:ascii="Barlow Semi Condensed" w:cs="Barlow Semi Condensed" w:eastAsia="Barlow Semi Condensed" w:hAnsi="Barlow Semi Condensed"/>
          <w:sz w:val="24"/>
          <w:szCs w:val="24"/>
        </w:rPr>
        <w:t xml:space="preserve"> Nelle serie degli Archives de la préfecture de police, con deroga, si accerta che cosa Parigi registrasse dell'emigrazione politica italiana negli anni Settanta e quali servizi stranieri comparissero come interlocutori. La risposta sarà francese: non ne discende che sia americana, né che non lo sia. È il tipo di quesito che va posto per essere chiuso in un verso o nell'altro, non per essere evocato.</w:t>
      </w:r>
    </w:p>
    <w:p>
      <w:pPr>
        <w:spacing w:after="120" w:line="276"/>
        <w:jc w:val="both"/>
      </w:pPr>
      <w:r>
        <w:rPr>
          <w:rFonts w:ascii="Barlow Semi Condensed" w:cs="Barlow Semi Condensed" w:eastAsia="Barlow Semi Condensed" w:hAnsi="Barlow Semi Condensed"/>
          <w:b/>
          <w:bCs/>
          <w:sz w:val="24"/>
          <w:szCs w:val="24"/>
        </w:rPr>
        <w:t xml:space="preserve">1692 · Una chiusura con scadenza calcolabile.</w:t>
      </w:r>
      <w:r>
        <w:rPr>
          <w:rFonts w:ascii="Barlow Semi Condensed" w:cs="Barlow Semi Condensed" w:eastAsia="Barlow Semi Condensed" w:hAnsi="Barlow Semi Condensed"/>
          <w:sz w:val="24"/>
          <w:szCs w:val="24"/>
        </w:rPr>
        <w:t xml:space="preserve"> L'articolo L213-2 del Code du patrimoine fissa i termini più lunghi per la sicurezza dello Stato e la vita privata, con la procedura di deroga e il registro delle richieste; il corpus ha già accertato che gli archivi giudiziari francesi restano chiusi fino a settantacinque anni. Una chiusura con data calcolabile non è un vuoto: è uno Stato Zero con scadenza, da mettere a calendario e non da lamentare.</w:t>
      </w:r>
    </w:p>
    <w:p>
      <w:pPr>
        <w:spacing w:after="120" w:line="276"/>
        <w:jc w:val="both"/>
      </w:pPr>
      <w:r>
        <w:rPr>
          <w:rFonts w:ascii="Barlow Semi Condensed" w:cs="Barlow Semi Condensed" w:eastAsia="Barlow Semi Condensed" w:hAnsi="Barlow Semi Condensed"/>
          <w:b/>
          <w:bCs/>
          <w:sz w:val="24"/>
          <w:szCs w:val="24"/>
        </w:rPr>
        <w:t xml:space="preserve">1693 · La domanda mai posta a Washington.</w:t>
      </w:r>
      <w:r>
        <w:rPr>
          <w:rFonts w:ascii="Barlow Semi Condensed" w:cs="Barlow Semi Condensed" w:eastAsia="Barlow Semi Condensed" w:hAnsi="Barlow Semi Condensed"/>
          <w:sz w:val="24"/>
          <w:szCs w:val="24"/>
        </w:rPr>
        <w:t xml:space="preserve"> Roma chiese mai qualcosa a Washington sulla scuola di Parigi? La sede è l'Archivio storico diplomatico del Ministero degli Affari Esteri, con le carte delle ambasciate d'Italia a Parigi e a Washington per gli anni dal 1976 al 1986. La collazione bilaterale comincia in casa, come stabilisce il cantiere francese dell'agenda. Il quesito non risulta posto da alcuna commissione né da alcuna istruttoria: è integralmente aperto.</w:t>
      </w:r>
    </w:p>
    <w:p>
      <w:pPr>
        <w:spacing w:after="120" w:line="276"/>
        <w:jc w:val="both"/>
      </w:pPr>
      <w:r>
        <w:rPr>
          <w:rFonts w:ascii="Barlow Semi Condensed" w:cs="Barlow Semi Condensed" w:eastAsia="Barlow Semi Condensed" w:hAnsi="Barlow Semi Condensed"/>
          <w:b/>
          <w:bCs/>
          <w:sz w:val="24"/>
          <w:szCs w:val="24"/>
        </w:rPr>
        <w:t xml:space="preserve">1694 · I versamenti dei servizi italiani.</w:t>
      </w:r>
      <w:r>
        <w:rPr>
          <w:rFonts w:ascii="Barlow Semi Condensed" w:cs="Barlow Semi Condensed" w:eastAsia="Barlow Semi Condensed" w:hAnsi="Barlow Semi Condensed"/>
          <w:sz w:val="24"/>
          <w:szCs w:val="24"/>
        </w:rPr>
        <w:t xml:space="preserve"> All'Archivio centrale dello Stato stanno i versamenti disposti in attuazione della direttiva del 22 aprile 2014 sulla declassificazione delle carte relative al caso, oltre ai fondi del Ministero dell'Interno. È lì che si documenterebbero le coperture dello stabile romano e le informative sui tre fondatori. Il quesito americano, se esiste, comparirebbe come traccia riflessa in carta italiana: e finora, nelle carte note, non vi compare.</w:t>
      </w:r>
    </w:p>
    <w:p>
      <w:pPr>
        <w:spacing w:after="120" w:line="276"/>
        <w:jc w:val="both"/>
      </w:pPr>
      <w:r>
        <w:rPr>
          <w:rFonts w:ascii="Barlow Semi Condensed" w:cs="Barlow Semi Condensed" w:eastAsia="Barlow Semi Condensed" w:hAnsi="Barlow Semi Condensed"/>
          <w:b/>
          <w:bCs/>
          <w:sz w:val="24"/>
          <w:szCs w:val="24"/>
        </w:rPr>
        <w:t xml:space="preserve">1695 · Ciò che la Commissione non produsse.</w:t>
      </w:r>
      <w:r>
        <w:rPr>
          <w:rFonts w:ascii="Barlow Semi Condensed" w:cs="Barlow Semi Condensed" w:eastAsia="Barlow Semi Condensed" w:hAnsi="Barlow Semi Condensed"/>
          <w:sz w:val="24"/>
          <w:szCs w:val="24"/>
        </w:rPr>
        <w:t xml:space="preserve"> La Commissione Moro 2 riesaminò il nodo senza produrre accertamenti nuovi di grado giudiziario, e ciò che non produsse è a sua volta un dato. La sede è l'Archivio storico della Camera dei deputati per la diciassettesima legislatura, con i resoconti e la documentazione acquisita. Un organo parlamentare che riapre un fascicolo e non vi aggiunge accertamenti misura la consistenza del fascicolo, non la propria disattenzione.</w:t>
      </w:r>
    </w:p>
    <w:p>
      <w:pPr>
        <w:spacing w:after="120" w:line="276"/>
        <w:jc w:val="both"/>
      </w:pPr>
      <w:r>
        <w:rPr>
          <w:rFonts w:ascii="Barlow Semi Condensed" w:cs="Barlow Semi Condensed" w:eastAsia="Barlow Semi Condensed" w:hAnsi="Barlow Semi Condensed"/>
          <w:b/>
          <w:bCs/>
          <w:sz w:val="24"/>
          <w:szCs w:val="24"/>
        </w:rPr>
        <w:t xml:space="preserve">1696 · Venezia, e le carte del 1982.</w:t>
      </w:r>
      <w:r>
        <w:rPr>
          <w:rFonts w:ascii="Barlow Semi Condensed" w:cs="Barlow Semi Condensed" w:eastAsia="Barlow Semi Condensed" w:hAnsi="Barlow Semi Condensed"/>
          <w:sz w:val="24"/>
          <w:szCs w:val="24"/>
        </w:rPr>
        <w:t xml:space="preserve"> Gli atti del 1982 finora noti sono di fonte giudiziaria italiana e provengono dall'istruttoria veneziana del giudice Mastelloni: lo fissa il blocco 50 dei cantieri, e il blocco 222 dell'agenda tiene il criterio di riapertura puntato sul solo documento primario. Se una traccia americana esistesse, passerebbe prima da quelle carte. In quarant'anni nessuno ve l'ha trovata, e nessuno ha verbalizzato di averla cercata.</w:t>
      </w:r>
    </w:p>
    <w:p>
      <w:pPr>
        <w:spacing w:after="120" w:line="276"/>
        <w:jc w:val="both"/>
      </w:pPr>
      <w:r>
        <w:rPr>
          <w:rFonts w:ascii="Barlow Semi Condensed" w:cs="Barlow Semi Condensed" w:eastAsia="Barlow Semi Condensed" w:hAnsi="Barlow Semi Condensed"/>
          <w:b/>
          <w:bCs/>
          <w:sz w:val="24"/>
          <w:szCs w:val="24"/>
        </w:rPr>
        <w:t xml:space="preserve">1697 · Il documento che smentirebbe tutto.</w:t>
      </w:r>
      <w:r>
        <w:rPr>
          <w:rFonts w:ascii="Barlow Semi Condensed" w:cs="Barlow Semi Condensed" w:eastAsia="Barlow Semi Condensed" w:hAnsi="Barlow Semi Condensed"/>
          <w:sz w:val="24"/>
          <w:szCs w:val="24"/>
        </w:rPr>
        <w:t xml:space="preserve"> Un solo documento falsificherebbe l'esito negativo di questa serie: una carta di provenienza — americana, italiana o francese — datata, sottoscritta, conservata in un fondo con segnatura, nella quale il nome di questa campagna e uno fra Hyperion, Superclan, Simioni, Berio e Mulinaris compaiano insieme in relazione di condotta. Non una memoria, non un'intervista, non una citazione ripetuta. Il bersaglio è formulato prima della ricerca e non si sposterà dopo.</w:t>
      </w:r>
    </w:p>
    <w:p>
      <w:pPr>
        <w:spacing w:after="120" w:line="276"/>
        <w:jc w:val="both"/>
      </w:pPr>
      <w:r>
        <w:rPr>
          <w:rFonts w:ascii="Barlow Semi Condensed" w:cs="Barlow Semi Condensed" w:eastAsia="Barlow Semi Condensed" w:hAnsi="Barlow Semi Condensed"/>
          <w:b/>
          <w:bCs/>
          <w:sz w:val="24"/>
          <w:szCs w:val="24"/>
        </w:rPr>
        <w:t xml:space="preserve">1698 · Cinque forme che non smentirebbero.</w:t>
      </w:r>
      <w:r>
        <w:rPr>
          <w:rFonts w:ascii="Barlow Semi Condensed" w:cs="Barlow Semi Condensed" w:eastAsia="Barlow Semi Condensed" w:hAnsi="Barlow Semi Condensed"/>
          <w:sz w:val="24"/>
          <w:szCs w:val="24"/>
        </w:rPr>
        <w:t xml:space="preserve"> Non conterebbero come smentita: un libro che l'affermi senza segnatura; un testimone che riferisca di aver sentito dire; una coincidenza di date fra cariche ed eventi; un finanziamento americano a un ente che impiegò uno dei tre; una dichiarazione di pentito priva di riscontro. Il corpus ha già respinto altrove ciascuna di queste forme, e questa serie le respinge in anticipo per non doverle discutere dopo.</w:t>
      </w:r>
    </w:p>
    <w:p>
      <w:pPr>
        <w:spacing w:after="120" w:line="276"/>
        <w:jc w:val="both"/>
      </w:pPr>
      <w:r>
        <w:rPr>
          <w:rFonts w:ascii="Barlow Semi Condensed" w:cs="Barlow Semi Condensed" w:eastAsia="Barlow Semi Condensed" w:hAnsi="Barlow Semi Condensed"/>
          <w:b/>
          <w:bCs/>
          <w:sz w:val="24"/>
          <w:szCs w:val="24"/>
        </w:rPr>
        <w:t xml:space="preserve">1699 · Il bilancio in cifre dichiarate.</w:t>
      </w:r>
      <w:r>
        <w:rPr>
          <w:rFonts w:ascii="Barlow Semi Condensed" w:cs="Barlow Semi Condensed" w:eastAsia="Barlow Semi Condensed" w:hAnsi="Barlow Semi Condensed"/>
          <w:sz w:val="24"/>
          <w:szCs w:val="24"/>
        </w:rPr>
        <w:t xml:space="preserve"> Piano uno: zero archi, nessun documento di provenienza. Piano due: tre convergenze di cornice dichiarate e non promosse, cioè il finanziamento americano dell'emittente nel «si dice», l'impiego del 1967 all'USIS e la sovrapposizione temporale fra il 1969 e il 1977. Piano tre: nessuna affermazione terziaria reperita nel perimetro dichiarato. Tutto il resto della serie è Stato Zero verbalizzato con la sede che lo chiuderebbe.</w:t>
      </w:r>
    </w:p>
    <w:p>
      <w:pPr>
        <w:spacing w:after="120" w:line="276"/>
        <w:jc w:val="both"/>
      </w:pPr>
      <w:r>
        <w:rPr>
          <w:rFonts w:ascii="Barlow Semi Condensed" w:cs="Barlow Semi Condensed" w:eastAsia="Barlow Semi Condensed" w:hAnsi="Barlow Semi Condensed"/>
          <w:b/>
          <w:bCs/>
          <w:sz w:val="24"/>
          <w:szCs w:val="24"/>
        </w:rPr>
        <w:t xml:space="preserve">1700 · Il nome che non compare.</w:t>
      </w:r>
      <w:r>
        <w:rPr>
          <w:rFonts w:ascii="Barlow Semi Condensed" w:cs="Barlow Semi Condensed" w:eastAsia="Barlow Semi Condensed" w:hAnsi="Barlow Semi Condensed"/>
          <w:sz w:val="24"/>
          <w:szCs w:val="24"/>
        </w:rPr>
        <w:t xml:space="preserve"> Il fascicolo della terza strada si chiude nelle aule che assolvono e a Emmaus. Questa serie si ferma un passo prima e registra il fatto che le tre schede non dicono: in tutta la storia del ceppo Simioni il nome di questa campagna non compare mai, né come accusato, né come teste, né come destinatario di una nota. Scriverlo è l'unico accertamento che il territorio consenta.</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Serie ventitreesima — Il Tribunale Speciale e il filo del 1926</w:t>
      </w:r>
    </w:p>
    <w:p>
      <w:pPr>
        <w:spacing w:after="120" w:line="276"/>
        <w:jc w:val="both"/>
      </w:pPr>
      <w:r>
        <w:rPr>
          <w:rFonts w:ascii="Barlow Semi Condensed" w:cs="Barlow Semi Condensed" w:eastAsia="Barlow Semi Condensed" w:hAnsi="Barlow Semi Condensed"/>
          <w:i/>
          <w:iCs/>
          <w:sz w:val="24"/>
          <w:szCs w:val="24"/>
        </w:rPr>
        <w:t xml:space="preserve">Blocchi 1701-1775.</w:t>
      </w:r>
    </w:p>
    <w:p>
      <w:pPr>
        <w:spacing w:after="120" w:line="276"/>
        <w:jc w:val="both"/>
      </w:pPr>
      <w:r>
        <w:rPr>
          <w:rFonts w:ascii="Barlow Semi Condensed" w:cs="Barlow Semi Condensed" w:eastAsia="Barlow Semi Condensed" w:hAnsi="Barlow Semi Condensed"/>
          <w:b/>
          <w:bCs/>
          <w:sz w:val="24"/>
          <w:szCs w:val="24"/>
        </w:rPr>
        <w:t xml:space="preserve">1701 · La misura preliminare dello zero.</w:t>
      </w:r>
      <w:r>
        <w:rPr>
          <w:rFonts w:ascii="Barlow Semi Condensed" w:cs="Barlow Semi Condensed" w:eastAsia="Barlow Semi Condensed" w:hAnsi="Barlow Semi Condensed"/>
          <w:sz w:val="24"/>
          <w:szCs w:val="24"/>
        </w:rPr>
        <w:t xml:space="preserve"> Prima di scrivere si è cercato. La stringa Kissinger ricorre zero volte in tribunale-speciale-storia-istituzione.md, zero in tribunale-speciale-approfondimento-sottonodi.md, zero in amnistiati-tribunale-speciale.md. Nessuna delle sette sezioni dello studio, nessuno degli otto sottonodi da S-1 a S-8, nessuna delle schede bolognesi lo nomina. Il dato si registra come misura eseguita e non come impressione: è il denominatore su cui poggia l'intera serie, e va letto prima di ogni blocco che segue.</w:t>
      </w:r>
    </w:p>
    <w:p>
      <w:pPr>
        <w:spacing w:after="120" w:line="276"/>
        <w:jc w:val="both"/>
      </w:pPr>
      <w:r>
        <w:rPr>
          <w:rFonts w:ascii="Barlow Semi Condensed" w:cs="Barlow Semi Condensed" w:eastAsia="Barlow Semi Condensed" w:hAnsi="Barlow Semi Condensed"/>
          <w:b/>
          <w:bCs/>
          <w:sz w:val="24"/>
          <w:szCs w:val="24"/>
        </w:rPr>
        <w:t xml:space="preserve">1702 · Lo zero è simmetrico.</w:t>
      </w:r>
      <w:r>
        <w:rPr>
          <w:rFonts w:ascii="Barlow Semi Condensed" w:cs="Barlow Semi Condensed" w:eastAsia="Barlow Semi Condensed" w:hAnsi="Barlow Semi Condensed"/>
          <w:sz w:val="24"/>
          <w:szCs w:val="24"/>
        </w:rPr>
        <w:t xml:space="preserve"> La verifica è stata condotta anche nel verso opposto, dentro i mille blocchi di kissinger-mille-blocchi-il-codice-e-la-sua-trasmissione.md: non vi compaiono le stringhe Tribunale Speciale, OVRA, Terracini, Gramsci, Pertini, amnistia, né alcun richiamo all'articolo 102 della Costituzione. Due corpi documentali si voltano le spalle. Il blocco 646 misurava lo zero della quadriga; qui il rapporto di co-occorrenza definito al blocco 643 vale zero in entrambe le direzioni.</w:t>
      </w:r>
    </w:p>
    <w:p>
      <w:pPr>
        <w:spacing w:after="120" w:line="276"/>
        <w:jc w:val="both"/>
      </w:pPr>
      <w:r>
        <w:rPr>
          <w:rFonts w:ascii="Barlow Semi Condensed" w:cs="Barlow Semi Condensed" w:eastAsia="Barlow Semi Condensed" w:hAnsi="Barlow Semi Condensed"/>
          <w:b/>
          <w:bCs/>
          <w:sz w:val="24"/>
          <w:szCs w:val="24"/>
        </w:rPr>
        <w:t xml:space="preserve">1703 · Il denominatore, dichiarato prima.</w:t>
      </w:r>
      <w:r>
        <w:rPr>
          <w:rFonts w:ascii="Barlow Semi Condensed" w:cs="Barlow Semi Condensed" w:eastAsia="Barlow Semi Condensed" w:hAnsi="Barlow Semi Condensed"/>
          <w:sz w:val="24"/>
          <w:szCs w:val="24"/>
        </w:rPr>
        <w:t xml:space="preserve"> Un vuoto senza denominatore non è falsificabile. Il territorio assegnato consta di due schede brevi, sette capitoli più otto sottonodi, e a monte un elenco di circa cinquanta nominativi bolognesi. Su una base tanto stretta l'attesa statistica di trovarvi un nome della politica estera statunitense degli anni Settanta è prossima allo zero: il blocco 650 impone di calcolarla prima della ricerca, ed è stata calcolata.</w:t>
      </w:r>
    </w:p>
    <w:p>
      <w:pPr>
        <w:spacing w:after="120" w:line="276"/>
        <w:jc w:val="both"/>
      </w:pPr>
      <w:r>
        <w:rPr>
          <w:rFonts w:ascii="Barlow Semi Condensed" w:cs="Barlow Semi Condensed" w:eastAsia="Barlow Semi Condensed" w:hAnsi="Barlow Semi Condensed"/>
          <w:b/>
          <w:bCs/>
          <w:sz w:val="24"/>
          <w:szCs w:val="24"/>
        </w:rPr>
        <w:t xml:space="preserve">1704 · Perché l'assenza era prevedibile.</w:t>
      </w:r>
      <w:r>
        <w:rPr>
          <w:rFonts w:ascii="Barlow Semi Condensed" w:cs="Barlow Semi Condensed" w:eastAsia="Barlow Semi Condensed" w:hAnsi="Barlow Semi Condensed"/>
          <w:sz w:val="24"/>
          <w:szCs w:val="24"/>
        </w:rPr>
        <w:t xml:space="preserve"> Le cronologie non si sfiorano. Il Tribunale operò dal febbraio 1927 al luglio 1943; Heinz Alfred Kissinger nacque a Fürth il 27 maggio 1923; i suoi incarichi corrono dal 20 gennaio 1969 al 20 gennaio 1977, secondo K-2. Fra l'ultima sentenza del giudice speciale e il primo giorno alla Casa Bianca corrono venticinque anni. L'assenza non è una lacuna d'archivio: è una conseguenza del calendario.</w:t>
      </w:r>
    </w:p>
    <w:p>
      <w:pPr>
        <w:spacing w:after="120" w:line="276"/>
        <w:jc w:val="both"/>
      </w:pPr>
      <w:r>
        <w:rPr>
          <w:rFonts w:ascii="Barlow Semi Condensed" w:cs="Barlow Semi Condensed" w:eastAsia="Barlow Semi Condensed" w:hAnsi="Barlow Semi Condensed"/>
          <w:b/>
          <w:bCs/>
          <w:sz w:val="24"/>
          <w:szCs w:val="24"/>
        </w:rPr>
        <w:t xml:space="preserve">1705 · Quaranta giorni del 1943.</w:t>
      </w:r>
      <w:r>
        <w:rPr>
          <w:rFonts w:ascii="Barlow Semi Condensed" w:cs="Barlow Semi Condensed" w:eastAsia="Barlow Semi Condensed" w:hAnsi="Barlow Semi Condensed"/>
          <w:sz w:val="24"/>
          <w:szCs w:val="24"/>
        </w:rPr>
        <w:t xml:space="preserve"> Un solo punto di tangenza cronologica esiste, ed è privo di contenuto. Il regio decreto-legge 29 luglio 1943, n. 668 soppresse il Tribunale; il 19 giugno 1943, a Camp Croft, era stata perfezionata la naturalizzazione statunitense accertata in K-1. Quaranta giorni separano due atti compiuti in due continenti da autorità che non si conoscevano. Il blocco 867 vale alla lettera: l'anteriorità, qui, è argomento contro il nesso.</w:t>
      </w:r>
    </w:p>
    <w:p>
      <w:pPr>
        <w:spacing w:after="120" w:line="276"/>
        <w:jc w:val="both"/>
      </w:pPr>
      <w:r>
        <w:rPr>
          <w:rFonts w:ascii="Barlow Semi Condensed" w:cs="Barlow Semi Condensed" w:eastAsia="Barlow Semi Condensed" w:hAnsi="Barlow Semi Condensed"/>
          <w:b/>
          <w:bCs/>
          <w:sz w:val="24"/>
          <w:szCs w:val="24"/>
        </w:rPr>
        <w:t xml:space="preserve">1706 · Il verbale di vuoto, compilato.</w:t>
      </w:r>
      <w:r>
        <w:rPr>
          <w:rFonts w:ascii="Barlow Semi Condensed" w:cs="Barlow Semi Condensed" w:eastAsia="Barlow Semi Condensed" w:hAnsi="Barlow Semi Condensed"/>
          <w:sz w:val="24"/>
          <w:szCs w:val="24"/>
        </w:rPr>
        <w:t xml:space="preserve"> Si compila come prescrive il blocco 651. Stringhe interrogate: Kissinger, Heinz, Henry, Segretario di Stato, Stati Uniti. File interrogati: i tre del filo del 1926, per intero. Perimetro cronologico: 1926-1943 per il territorio, 1969-1977 per il nome. Esito: nessuna occorrenza. Data della ricerca e responsabile della firma vanno apposti, perché il blocco 658 stabilisce che chi ha cercato firma.</w:t>
      </w:r>
    </w:p>
    <w:p>
      <w:pPr>
        <w:spacing w:after="120" w:line="276"/>
        <w:jc w:val="both"/>
      </w:pPr>
      <w:r>
        <w:rPr>
          <w:rFonts w:ascii="Barlow Semi Condensed" w:cs="Barlow Semi Condensed" w:eastAsia="Barlow Semi Condensed" w:hAnsi="Barlow Semi Condensed"/>
          <w:b/>
          <w:bCs/>
          <w:sz w:val="24"/>
          <w:szCs w:val="24"/>
        </w:rPr>
        <w:t xml:space="preserve">1707 · Le varianti della stringa cercate.</w:t>
      </w:r>
      <w:r>
        <w:rPr>
          <w:rFonts w:ascii="Barlow Semi Condensed" w:cs="Barlow Semi Condensed" w:eastAsia="Barlow Semi Condensed" w:hAnsi="Barlow Semi Condensed"/>
          <w:sz w:val="24"/>
          <w:szCs w:val="24"/>
        </w:rPr>
        <w:t xml:space="preserve"> Non basta interrogare la forma corrente. Sono state provate anche Heinz, Henry A., Kissinger H. e la forma erronea Harry, quella che il blocco 8 dell'opera segnala come generatrice di un falso positivo reale, il ricercatore Harry Cason della ricognizione portoghese. Nel territorio del Tribunale Speciale nessuna variante restituisce occorrenze, nemmeno spurie: il vuoto è netto e non richiede disambiguazione.</w:t>
      </w:r>
    </w:p>
    <w:p>
      <w:pPr>
        <w:spacing w:after="120" w:line="276"/>
        <w:jc w:val="both"/>
      </w:pPr>
      <w:r>
        <w:rPr>
          <w:rFonts w:ascii="Barlow Semi Condensed" w:cs="Barlow Semi Condensed" w:eastAsia="Barlow Semi Condensed" w:hAnsi="Barlow Semi Condensed"/>
          <w:b/>
          <w:bCs/>
          <w:sz w:val="24"/>
          <w:szCs w:val="24"/>
        </w:rPr>
        <w:t xml:space="preserve">1708 · Le tre condizioni di riapertura.</w:t>
      </w:r>
      <w:r>
        <w:rPr>
          <w:rFonts w:ascii="Barlow Semi Condensed" w:cs="Barlow Semi Condensed" w:eastAsia="Barlow Semi Condensed" w:hAnsi="Barlow Semi Condensed"/>
          <w:sz w:val="24"/>
          <w:szCs w:val="24"/>
        </w:rPr>
        <w:t xml:space="preserve"> Ogni vuoto deve dichiarare come si riapre, prescrive il blocco 661. Questo si riapre se l'Archivio Centrale dello Stato inventaria nuove serie del fondo Tribunale Speciale, se la Gerald R. Ford Presidential Library declassifica memoranda ancora ritenuti, se l'archivio Storia e Memoria di Bologna pubblica in forma integrale le schede oggi raggiungibili solo per estratto. Fuori da queste tre ipotesi il vuoto resta chiuso e non si riapre a richiesta.</w:t>
      </w:r>
    </w:p>
    <w:p>
      <w:pPr>
        <w:spacing w:after="120" w:line="276"/>
        <w:jc w:val="both"/>
      </w:pPr>
      <w:r>
        <w:rPr>
          <w:rFonts w:ascii="Barlow Semi Condensed" w:cs="Barlow Semi Condensed" w:eastAsia="Barlow Semi Condensed" w:hAnsi="Barlow Semi Condensed"/>
          <w:b/>
          <w:bCs/>
          <w:sz w:val="24"/>
          <w:szCs w:val="24"/>
        </w:rPr>
        <w:t xml:space="preserve">1709 · Che cosa sarebbe qui un piano 1.</w:t>
      </w:r>
      <w:r>
        <w:rPr>
          <w:rFonts w:ascii="Barlow Semi Condensed" w:cs="Barlow Semi Condensed" w:eastAsia="Barlow Semi Condensed" w:hAnsi="Barlow Semi Condensed"/>
          <w:sz w:val="24"/>
          <w:szCs w:val="24"/>
        </w:rPr>
        <w:t xml:space="preserve"> La definizione va fissata prima di cercare, altrimenti si adatta al trovato. Piano 1, su questo territorio, significa una sola cosa: una carta di provenienza, datata e attribuibile a un ufficio, nella quale il nome e l'istituto del 1926 compaiano insieme e in relazione. Non un saggio, non un'intervista, non una somiglianza di rito. Un documento, e nient'altro che un documento.</w:t>
      </w:r>
    </w:p>
    <w:p>
      <w:pPr>
        <w:spacing w:after="120" w:line="276"/>
        <w:jc w:val="both"/>
      </w:pPr>
      <w:r>
        <w:rPr>
          <w:rFonts w:ascii="Barlow Semi Condensed" w:cs="Barlow Semi Condensed" w:eastAsia="Barlow Semi Condensed" w:hAnsi="Barlow Semi Condensed"/>
          <w:b/>
          <w:bCs/>
          <w:sz w:val="24"/>
          <w:szCs w:val="24"/>
        </w:rPr>
        <w:t xml:space="preserve">1710 · Impossibilità, non lacuna.</w:t>
      </w:r>
      <w:r>
        <w:rPr>
          <w:rFonts w:ascii="Barlow Semi Condensed" w:cs="Barlow Semi Condensed" w:eastAsia="Barlow Semi Condensed" w:hAnsi="Barlow Semi Condensed"/>
          <w:sz w:val="24"/>
          <w:szCs w:val="24"/>
        </w:rPr>
        <w:t xml:space="preserve"> Per gli anni del regime il piano 1 è escluso a monte. Fra il 1926 e il 1943 l'uomo di questa serie fu un minore, poi un emigrato, poi un soldato di un esercito straniero; la cittadinanza statunitense arrivò il 19 giugno 1943, quaranta giorni prima della soppressione dell'organo. Cercare un documento coevo che li congiunga non è ricerca difficile: è ricerca impossibile, e va detto così.</w:t>
      </w:r>
    </w:p>
    <w:p>
      <w:pPr>
        <w:spacing w:after="120" w:line="276"/>
        <w:jc w:val="both"/>
      </w:pPr>
      <w:r>
        <w:rPr>
          <w:rFonts w:ascii="Barlow Semi Condensed" w:cs="Barlow Semi Condensed" w:eastAsia="Barlow Semi Condensed" w:hAnsi="Barlow Semi Condensed"/>
          <w:b/>
          <w:bCs/>
          <w:sz w:val="24"/>
          <w:szCs w:val="24"/>
        </w:rPr>
        <w:t xml:space="preserve">1711 · Il piano 1 concepibile è retrospettivo.</w:t>
      </w:r>
      <w:r>
        <w:rPr>
          <w:rFonts w:ascii="Barlow Semi Condensed" w:cs="Barlow Semi Condensed" w:eastAsia="Barlow Semi Condensed" w:hAnsi="Barlow Semi Condensed"/>
          <w:sz w:val="24"/>
          <w:szCs w:val="24"/>
        </w:rPr>
        <w:t xml:space="preserve"> Resta una sola ipotesi lavorabile: un documento del periodo 1969-1977 in cui l'amministrazione statunitense richiami il Tribunale del 1926, la legge n. 2008 o le leggi fascistissime come precedente, argomento o memoria storica nel trattare l'Italia. La sede è NARA College Park, RG 59, Central Foreign Policy Files, integrata dai Memoranda of Conversations di Ann Arbor. Esito atteso negativo, ricerca comunque dovuta.</w:t>
      </w:r>
    </w:p>
    <w:p>
      <w:pPr>
        <w:spacing w:after="120" w:line="276"/>
        <w:jc w:val="both"/>
      </w:pPr>
      <w:r>
        <w:rPr>
          <w:rFonts w:ascii="Barlow Semi Condensed" w:cs="Barlow Semi Condensed" w:eastAsia="Barlow Semi Condensed" w:hAnsi="Barlow Semi Condensed"/>
          <w:b/>
          <w:bCs/>
          <w:sz w:val="24"/>
          <w:szCs w:val="24"/>
        </w:rPr>
        <w:t xml:space="preserve">1712 · La forma della richiesta mirata (serie XXIII).</w:t>
      </w:r>
      <w:r>
        <w:rPr>
          <w:rFonts w:ascii="Barlow Semi Condensed" w:cs="Barlow Semi Condensed" w:eastAsia="Barlow Semi Condensed" w:hAnsi="Barlow Semi Condensed"/>
          <w:sz w:val="24"/>
          <w:szCs w:val="24"/>
        </w:rPr>
        <w:t xml:space="preserve"> Una domanda d'archivio si scrive e non si evoca: così vuole il blocco 926. Qui si formula così: ricerca full-text sulle stringhe Special Tribunal for the Defense of the State, special courts, Fascist emergency laws, Mussolini 1926, entro le serie nominate e il perimetro 1969-1977, con elenco dei fascicoli aperti e delle unità non trovate. Chi la esegue allega l'esito, anche vuoto.</w:t>
      </w:r>
    </w:p>
    <w:p>
      <w:pPr>
        <w:spacing w:after="120" w:line="276"/>
        <w:jc w:val="both"/>
      </w:pPr>
      <w:r>
        <w:rPr>
          <w:rFonts w:ascii="Barlow Semi Condensed" w:cs="Barlow Semi Condensed" w:eastAsia="Barlow Semi Condensed" w:hAnsi="Barlow Semi Condensed"/>
          <w:b/>
          <w:bCs/>
          <w:sz w:val="24"/>
          <w:szCs w:val="24"/>
        </w:rPr>
        <w:t xml:space="preserve">1713 · Il bersaglio di smentita primario.</w:t>
      </w:r>
      <w:r>
        <w:rPr>
          <w:rFonts w:ascii="Barlow Semi Condensed" w:cs="Barlow Semi Condensed" w:eastAsia="Barlow Semi Condensed" w:hAnsi="Barlow Semi Condensed"/>
          <w:sz w:val="24"/>
          <w:szCs w:val="24"/>
        </w:rPr>
        <w:t xml:space="preserve"> Che cosa rovescerebbe questa serie: la comparsa di una sola carta di provenienza che nomini insieme i due termini. Basterebbe un memorandum, un briefing paper, la trascrizione di una telefonata. Non servirebbe altro, e nulla di meno servirebbe. La serie si dichiara falsificabile con questo mezzo unico, e chiunque disponga di quella carta è in grado di chiuderla in una riga.</w:t>
      </w:r>
    </w:p>
    <w:p>
      <w:pPr>
        <w:spacing w:after="120" w:line="276"/>
        <w:jc w:val="both"/>
      </w:pPr>
      <w:r>
        <w:rPr>
          <w:rFonts w:ascii="Barlow Semi Condensed" w:cs="Barlow Semi Condensed" w:eastAsia="Barlow Semi Condensed" w:hAnsi="Barlow Semi Condensed"/>
          <w:b/>
          <w:bCs/>
          <w:sz w:val="24"/>
          <w:szCs w:val="24"/>
        </w:rPr>
        <w:t xml:space="preserve">1714 · Il costo dichiarato della ricerca.</w:t>
      </w:r>
      <w:r>
        <w:rPr>
          <w:rFonts w:ascii="Barlow Semi Condensed" w:cs="Barlow Semi Condensed" w:eastAsia="Barlow Semi Condensed" w:hAnsi="Barlow Semi Condensed"/>
          <w:sz w:val="24"/>
          <w:szCs w:val="24"/>
        </w:rPr>
        <w:t xml:space="preserve"> Stimare la spesa prima di assegnarla è prescrizione del blocco 693. La ricognizione qui descritta vale alcune giornate di sala studio a Roma, ad Ann Arbor e a College Park, con esito atteso negativo. Si dichiara perché altri decidano se spenderle: un bersaglio onesto porta scritto anche quanto costa, e questo costa più di quanto probabilmente renderà a chi lo prenderà in carico.</w:t>
      </w:r>
    </w:p>
    <w:p>
      <w:pPr>
        <w:spacing w:after="120" w:line="276"/>
        <w:jc w:val="both"/>
      </w:pPr>
      <w:r>
        <w:rPr>
          <w:rFonts w:ascii="Barlow Semi Condensed" w:cs="Barlow Semi Condensed" w:eastAsia="Barlow Semi Condensed" w:hAnsi="Barlow Semi Condensed"/>
          <w:b/>
          <w:bCs/>
          <w:sz w:val="24"/>
          <w:szCs w:val="24"/>
        </w:rPr>
        <w:t xml:space="preserve">1715 · La griglia del giudice di parte.</w:t>
      </w:r>
      <w:r>
        <w:rPr>
          <w:rFonts w:ascii="Barlow Semi Condensed" w:cs="Barlow Semi Condensed" w:eastAsia="Barlow Semi Condensed" w:hAnsi="Barlow Semi Condensed"/>
          <w:sz w:val="24"/>
          <w:szCs w:val="24"/>
        </w:rPr>
        <w:t xml:space="preserve"> Dal capitolo II dello studio si ricava una griglia in cinque voci: presidenza affidata a un ufficiale superiore, giudici tratti dai consoli della Milizia, codice penale militare di guerra applicato a civili in tempo di pace, istruttoria delegata alla polizia politica, sentenze inappellabili. Serve a riconoscere un organo, non a etichettarne altri per somiglianza parziale: quattro voci su cinque non fanno un Tribunale Speciale.</w:t>
      </w:r>
    </w:p>
    <w:p>
      <w:pPr>
        <w:spacing w:after="120" w:line="276"/>
        <w:jc w:val="both"/>
      </w:pPr>
      <w:r>
        <w:rPr>
          <w:rFonts w:ascii="Barlow Semi Condensed" w:cs="Barlow Semi Condensed" w:eastAsia="Barlow Semi Condensed" w:hAnsi="Barlow Semi Condensed"/>
          <w:b/>
          <w:bCs/>
          <w:sz w:val="24"/>
          <w:szCs w:val="24"/>
        </w:rPr>
        <w:t xml:space="preserve">1716 · Il Cile non entra da questa porta.</w:t>
      </w:r>
      <w:r>
        <w:rPr>
          <w:rFonts w:ascii="Barlow Semi Condensed" w:cs="Barlow Semi Condensed" w:eastAsia="Barlow Semi Condensed" w:hAnsi="Barlow Semi Condensed"/>
          <w:sz w:val="24"/>
          <w:szCs w:val="24"/>
        </w:rPr>
        <w:t xml:space="preserve"> Nel territorio assegnato il Cile non compare, né vi compaiono i consigli di guerra del 1973. Il metro cileno che l'opera costruisce ai blocchi da 496 a 503 appartiene a un altro dominio e resta lì. Portarlo qui produrrebbe un'analogia di rito fra giurisdizioni d'eccezione lontanissime per ordinamento, epoca e finalità: è precisamente il passaggio che il blocco 852 vieta.</w:t>
      </w:r>
    </w:p>
    <w:p>
      <w:pPr>
        <w:spacing w:after="120" w:line="276"/>
        <w:jc w:val="both"/>
      </w:pPr>
      <w:r>
        <w:rPr>
          <w:rFonts w:ascii="Barlow Semi Condensed" w:cs="Barlow Semi Condensed" w:eastAsia="Barlow Semi Condensed" w:hAnsi="Barlow Semi Condensed"/>
          <w:b/>
          <w:bCs/>
          <w:sz w:val="24"/>
          <w:szCs w:val="24"/>
        </w:rPr>
        <w:t xml:space="preserve">1717 · Accertamento parlamentare e sentenza inappellabile.</w:t>
      </w:r>
      <w:r>
        <w:rPr>
          <w:rFonts w:ascii="Barlow Semi Condensed" w:cs="Barlow Semi Condensed" w:eastAsia="Barlow Semi Condensed" w:hAnsi="Barlow Semi Condensed"/>
          <w:sz w:val="24"/>
          <w:szCs w:val="24"/>
        </w:rPr>
        <w:t xml:space="preserve"> Due generi di atto vanno tenuti distinti, e il confronto è istruttivo. Il rapporto del Senato del 1975 è accertamento parlamentare, che accerta senza punire, e i blocchi 503 e 703 ne fissano il valore. Le 4.596 condanne del Tribunale erano atti punitivi senza appello né ricorso in Cassazione. Chi li equipara per il fatto che entrambi riguardano il potere ha confuso l'accertare col condannare.</w:t>
      </w:r>
    </w:p>
    <w:p>
      <w:pPr>
        <w:spacing w:after="120" w:line="276"/>
        <w:jc w:val="both"/>
      </w:pPr>
      <w:r>
        <w:rPr>
          <w:rFonts w:ascii="Barlow Semi Condensed" w:cs="Barlow Semi Condensed" w:eastAsia="Barlow Semi Condensed" w:hAnsi="Barlow Semi Condensed"/>
          <w:b/>
          <w:bCs/>
          <w:sz w:val="24"/>
          <w:szCs w:val="24"/>
        </w:rPr>
        <w:t xml:space="preserve">1718 · Il test unico, ripetuto qui.</w:t>
      </w:r>
      <w:r>
        <w:rPr>
          <w:rFonts w:ascii="Barlow Semi Condensed" w:cs="Barlow Semi Condensed" w:eastAsia="Barlow Semi Condensed" w:hAnsi="Barlow Semi Condensed"/>
          <w:sz w:val="24"/>
          <w:szCs w:val="24"/>
        </w:rPr>
        <w:t xml:space="preserve"> Dalla somiglianza del risultato non si deduce l'antenato comune: i blocchi 406 e 944 lo stabiliscono per l'intera opera. Su questo territorio la tentazione ha una forma precisa, l'idea che ogni giustizia d'eccezione discenda da un modello unico. Il test resta uno: un documento di provenienza che nomini la controparte. In sua assenza restano forme convergenti, e le forme convergenti non hanno genealogia.</w:t>
      </w:r>
    </w:p>
    <w:p>
      <w:pPr>
        <w:spacing w:after="120" w:line="276"/>
        <w:jc w:val="both"/>
      </w:pPr>
      <w:r>
        <w:rPr>
          <w:rFonts w:ascii="Barlow Semi Condensed" w:cs="Barlow Semi Condensed" w:eastAsia="Barlow Semi Condensed" w:hAnsi="Barlow Semi Condensed"/>
          <w:b/>
          <w:bCs/>
          <w:sz w:val="24"/>
          <w:szCs w:val="24"/>
        </w:rPr>
        <w:t xml:space="preserve">1719 · Qui manca perfino il piano 2.</w:t>
      </w:r>
      <w:r>
        <w:rPr>
          <w:rFonts w:ascii="Barlow Semi Condensed" w:cs="Barlow Semi Condensed" w:eastAsia="Barlow Semi Condensed" w:hAnsi="Barlow Semi Condensed"/>
          <w:sz w:val="24"/>
          <w:szCs w:val="24"/>
        </w:rPr>
        <w:t xml:space="preserve"> Va detto con esattezza, perché molti si accontenterebbero del secondo piano. Il piano 2 richiede convergenza strutturale entro la stessa cornice; qui le cornici sono due e non comunicano, il regime italiano del 1926 e il sistema bipolare del 1969. Senza cornice condivisa non c'è convergenza da registrare, ma solo accostamento. Il bilancio corretto di questa serie è dunque piano 1 zero, piano 2 zero.</w:t>
      </w:r>
    </w:p>
    <w:p>
      <w:pPr>
        <w:spacing w:after="120" w:line="276"/>
        <w:jc w:val="both"/>
      </w:pPr>
      <w:r>
        <w:rPr>
          <w:rFonts w:ascii="Barlow Semi Condensed" w:cs="Barlow Semi Condensed" w:eastAsia="Barlow Semi Condensed" w:hAnsi="Barlow Semi Condensed"/>
          <w:b/>
          <w:bCs/>
          <w:sz w:val="24"/>
          <w:szCs w:val="24"/>
        </w:rPr>
        <w:t xml:space="preserve">1720 · Condor resta fuori dal territorio.</w:t>
      </w:r>
      <w:r>
        <w:rPr>
          <w:rFonts w:ascii="Barlow Semi Condensed" w:cs="Barlow Semi Condensed" w:eastAsia="Barlow Semi Condensed" w:hAnsi="Barlow Semi Condensed"/>
          <w:sz w:val="24"/>
          <w:szCs w:val="24"/>
        </w:rPr>
        <w:t xml:space="preserve"> Nessuna delle due schede nomina l'Operazione Condor, il Brasile, l'Argentina o alcun apparato repressivo latinoamericano. È uno stato zero di dominio, non di documento: il territorio non tace su una domanda che gli sia stata posta, semplicemente non contiene quella materia. La serie lo dichiara e non lo colma con importazioni da altri fronti del corpus, che avrebbero il valore di una giustapposizione.</w:t>
      </w:r>
    </w:p>
    <w:p>
      <w:pPr>
        <w:spacing w:after="120" w:line="276"/>
        <w:jc w:val="both"/>
      </w:pPr>
      <w:r>
        <w:rPr>
          <w:rFonts w:ascii="Barlow Semi Condensed" w:cs="Barlow Semi Condensed" w:eastAsia="Barlow Semi Condensed" w:hAnsi="Barlow Semi Condensed"/>
          <w:b/>
          <w:bCs/>
          <w:sz w:val="24"/>
          <w:szCs w:val="24"/>
        </w:rPr>
        <w:t xml:space="preserve">1721 · Il divieto sulle persone, ribadito (serie XXIII).</w:t>
      </w:r>
      <w:r>
        <w:rPr>
          <w:rFonts w:ascii="Barlow Semi Condensed" w:cs="Barlow Semi Condensed" w:eastAsia="Barlow Semi Condensed" w:hAnsi="Barlow Semi Condensed"/>
          <w:sz w:val="24"/>
          <w:szCs w:val="24"/>
        </w:rPr>
        <w:t xml:space="preserve"> I blocchi 430 e 936 separano la cornice dall'esecuzione e vietano l'attribuzione. Qui il divieto si applica in forma piena: nessuna riga di questa serie indica Henry Kissinger come responsabile di reato, perché K-2 accerta che non fu mai imputato né processato in alcun Paese e che nessuna sentenza lo riguarda. Il corpus si ferma al giudicato, e questo territorio è il motivo storico per cui lo fa.</w:t>
      </w:r>
    </w:p>
    <w:p>
      <w:pPr>
        <w:spacing w:after="120" w:line="276"/>
        <w:jc w:val="both"/>
      </w:pPr>
      <w:r>
        <w:rPr>
          <w:rFonts w:ascii="Barlow Semi Condensed" w:cs="Barlow Semi Condensed" w:eastAsia="Barlow Semi Condensed" w:hAnsi="Barlow Semi Condensed"/>
          <w:b/>
          <w:bCs/>
          <w:sz w:val="24"/>
          <w:szCs w:val="24"/>
        </w:rPr>
        <w:t xml:space="preserve">1722 · Due date che non si toccano.</w:t>
      </w:r>
      <w:r>
        <w:rPr>
          <w:rFonts w:ascii="Barlow Semi Condensed" w:cs="Barlow Semi Condensed" w:eastAsia="Barlow Semi Condensed" w:hAnsi="Barlow Semi Condensed"/>
          <w:sz w:val="24"/>
          <w:szCs w:val="24"/>
        </w:rPr>
        <w:t xml:space="preserve"> Nel 1943 un decreto sopprimeva un tribunale a Roma e un ufficio di naturalizzazione registrava un nome nella Carolina del Sud; nel 1969 cominciava un incarico a Washington. Sono tre fatti accertati e nessun documento li congiunge. Enunciarli in fila produce un effetto di serie che non ha corrispettivo documentale: è l'errore che il blocco 466 chiama coincidenza promossa, ed è vietato.</w:t>
      </w:r>
    </w:p>
    <w:p>
      <w:pPr>
        <w:spacing w:after="120" w:line="276"/>
        <w:jc w:val="both"/>
      </w:pPr>
      <w:r>
        <w:rPr>
          <w:rFonts w:ascii="Barlow Semi Condensed" w:cs="Barlow Semi Condensed" w:eastAsia="Barlow Semi Condensed" w:hAnsi="Barlow Semi Condensed"/>
          <w:b/>
          <w:bCs/>
          <w:sz w:val="24"/>
          <w:szCs w:val="24"/>
        </w:rPr>
        <w:t xml:space="preserve">1723 · La simmetria a specchio (serie XXIII).</w:t>
      </w:r>
      <w:r>
        <w:rPr>
          <w:rFonts w:ascii="Barlow Semi Condensed" w:cs="Barlow Semi Condensed" w:eastAsia="Barlow Semi Condensed" w:hAnsi="Barlow Semi Condensed"/>
          <w:sz w:val="24"/>
          <w:szCs w:val="24"/>
        </w:rPr>
        <w:t xml:space="preserve"> Contro le simmetrie eleganti avverte il blocco 471. Qui la più insidiosa è leggere il Tribunale del 1926 come archetipo di ogni potenza successiva che tratti i nemici fuori dalle garanzie. La sezione VII dello studio la chiude in anticipo: nessun istituto della Repubblica gli è assimilabile, e ogni uso polemico contemporaneo esce dal terreno documentato. La serie assume il vincolo senza attenuarlo.</w:t>
      </w:r>
    </w:p>
    <w:p>
      <w:pPr>
        <w:spacing w:after="120" w:line="276"/>
        <w:jc w:val="both"/>
      </w:pPr>
      <w:r>
        <w:rPr>
          <w:rFonts w:ascii="Barlow Semi Condensed" w:cs="Barlow Semi Condensed" w:eastAsia="Barlow Semi Condensed" w:hAnsi="Barlow Semi Condensed"/>
          <w:b/>
          <w:bCs/>
          <w:sz w:val="24"/>
          <w:szCs w:val="24"/>
        </w:rPr>
        <w:t xml:space="preserve">1724 · Ostilità con radici opposte.</w:t>
      </w:r>
      <w:r>
        <w:rPr>
          <w:rFonts w:ascii="Barlow Semi Condensed" w:cs="Barlow Semi Condensed" w:eastAsia="Barlow Semi Condensed" w:hAnsi="Barlow Semi Condensed"/>
          <w:sz w:val="24"/>
          <w:szCs w:val="24"/>
        </w:rPr>
        <w:t xml:space="preserve"> Ostilità che si somigliano senza avere parentela: è la distinzione posta al blocco 472. L'anticomunismo della legge 25 novembre 1926, n. 2008 era diritto penale interno di uno Stato dittatoriale contro i propri cittadini; la posizione attestata nel verbale del 25 settembre 1974 riguarda lo scambio di informazioni militari con un governo alleato. Somigliano nell'avversario, divergono in tutto il resto: genere dell'atto, ordinamento, effetti.</w:t>
      </w:r>
    </w:p>
    <w:p>
      <w:pPr>
        <w:spacing w:after="120" w:line="276"/>
        <w:jc w:val="both"/>
      </w:pPr>
      <w:r>
        <w:rPr>
          <w:rFonts w:ascii="Barlow Semi Condensed" w:cs="Barlow Semi Condensed" w:eastAsia="Barlow Semi Condensed" w:hAnsi="Barlow Semi Condensed"/>
          <w:b/>
          <w:bCs/>
          <w:sz w:val="24"/>
          <w:szCs w:val="24"/>
        </w:rPr>
        <w:t xml:space="preserve">1725 · Un titolo che mima un processo.</w:t>
      </w:r>
      <w:r>
        <w:rPr>
          <w:rFonts w:ascii="Barlow Semi Condensed" w:cs="Barlow Semi Condensed" w:eastAsia="Barlow Semi Condensed" w:hAnsi="Barlow Semi Condensed"/>
          <w:sz w:val="24"/>
          <w:szCs w:val="24"/>
        </w:rPr>
        <w:t xml:space="preserve"> Circola un saggio d'accusa il cui titolo evoca un processo mai celebrato. K-2 lo distingue con precisione dall'atto giudiziario, e la distinzione va tenuta. Come prova vale piano 3; come sentenza non vale nulla, perché sentenza non è. Il territorio del 1926 illumina il punto per contrasto: quello era un processo vero con garanzie false, questo è un libro vero che di processo ha solo il nome.</w:t>
      </w:r>
    </w:p>
    <w:p>
      <w:pPr>
        <w:spacing w:after="120" w:line="276"/>
        <w:jc w:val="both"/>
      </w:pPr>
      <w:r>
        <w:rPr>
          <w:rFonts w:ascii="Barlow Semi Condensed" w:cs="Barlow Semi Condensed" w:eastAsia="Barlow Semi Condensed" w:hAnsi="Barlow Semi Condensed"/>
          <w:b/>
          <w:bCs/>
          <w:sz w:val="24"/>
          <w:szCs w:val="24"/>
        </w:rPr>
        <w:t xml:space="preserve">1726 · Il Tribunale Russell come quesito.</w:t>
      </w:r>
      <w:r>
        <w:rPr>
          <w:rFonts w:ascii="Barlow Semi Condensed" w:cs="Barlow Semi Condensed" w:eastAsia="Barlow Semi Condensed" w:hAnsi="Barlow Semi Condensed"/>
          <w:sz w:val="24"/>
          <w:szCs w:val="24"/>
        </w:rPr>
        <w:t xml:space="preserve"> Il secondo Tribunale Russell sull'America Latina tenne sessioni a Roma e a Bruxelles fra il 1974 e il 1976. Se i suoi atti nominino Henry Kissinger, e in quale forma, è questione da accertare presso la Fondazione Lelio e Lisli Basso di Roma, che ne conserva le carte. Il quesito si apre senza anticiparne l'esito; nulla di quanto vi si trovasse muterebbe il piano dell'accertamento.</w:t>
      </w:r>
    </w:p>
    <w:p>
      <w:pPr>
        <w:spacing w:after="120" w:line="276"/>
        <w:jc w:val="both"/>
      </w:pPr>
      <w:r>
        <w:rPr>
          <w:rFonts w:ascii="Barlow Semi Condensed" w:cs="Barlow Semi Condensed" w:eastAsia="Barlow Semi Condensed" w:hAnsi="Barlow Semi Condensed"/>
          <w:b/>
          <w:bCs/>
          <w:sz w:val="24"/>
          <w:szCs w:val="24"/>
        </w:rPr>
        <w:t xml:space="preserve">1727 · Un tribunale d'opinione non è giurisdizione.</w:t>
      </w:r>
      <w:r>
        <w:rPr>
          <w:rFonts w:ascii="Barlow Semi Condensed" w:cs="Barlow Semi Condensed" w:eastAsia="Barlow Semi Condensed" w:hAnsi="Barlow Semi Condensed"/>
          <w:sz w:val="24"/>
          <w:szCs w:val="24"/>
        </w:rPr>
        <w:t xml:space="preserve"> Regola di lettura che il territorio consente di formulare con nettezza: l'articolo 102, secondo comma, vieta i giudici speciali dello Stato, cioè organi che esercitano giurisdizione. Un'assemblea morale, per quanto autorevole, non produce giudicato e non rientra nel divieto. Chi la tratta come tribunale ne moltiplica l'autorità che non ha; chi la tratta come niente perde una fonte sul dibattito pubblico del tempo.</w:t>
      </w:r>
    </w:p>
    <w:p>
      <w:pPr>
        <w:spacing w:after="120" w:line="276"/>
        <w:jc w:val="both"/>
      </w:pPr>
      <w:r>
        <w:rPr>
          <w:rFonts w:ascii="Barlow Semi Condensed" w:cs="Barlow Semi Condensed" w:eastAsia="Barlow Semi Condensed" w:hAnsi="Barlow Semi Condensed"/>
          <w:b/>
          <w:bCs/>
          <w:sz w:val="24"/>
          <w:szCs w:val="24"/>
        </w:rPr>
        <w:t xml:space="preserve">1728 · Contare l'origine, non le occorrenze.</w:t>
      </w:r>
      <w:r>
        <w:rPr>
          <w:rFonts w:ascii="Barlow Semi Condensed" w:cs="Barlow Semi Condensed" w:eastAsia="Barlow Semi Condensed" w:hAnsi="Barlow Semi Condensed"/>
          <w:sz w:val="24"/>
          <w:szCs w:val="24"/>
        </w:rPr>
        <w:t xml:space="preserve"> Come si misura una moltiplicazione apparente lo hanno insegnato i blocchi 881 e 882: risalendo al lancio unico. Se domani comparisse una pubblicistica che accosta questo nome al Tribunale Speciale, la prima operazione non sarebbe leggerla ma datarla e cercarne l'originatore. Cento repliche di un'unica affermazione restano un'unica affermazione, e la replicazione fedele non crea informazione nuova per quante volte la si esegua.</w:t>
      </w:r>
    </w:p>
    <w:p>
      <w:pPr>
        <w:spacing w:after="120" w:line="276"/>
        <w:jc w:val="both"/>
      </w:pPr>
      <w:r>
        <w:rPr>
          <w:rFonts w:ascii="Barlow Semi Condensed" w:cs="Barlow Semi Condensed" w:eastAsia="Barlow Semi Condensed" w:hAnsi="Barlow Semi Condensed"/>
          <w:b/>
          <w:bCs/>
          <w:sz w:val="24"/>
          <w:szCs w:val="24"/>
        </w:rPr>
        <w:t xml:space="preserve">1729 · Il divieto di uso retroattivo.</w:t>
      </w:r>
      <w:r>
        <w:rPr>
          <w:rFonts w:ascii="Barlow Semi Condensed" w:cs="Barlow Semi Condensed" w:eastAsia="Barlow Semi Condensed" w:hAnsi="Barlow Semi Condensed"/>
          <w:sz w:val="24"/>
          <w:szCs w:val="24"/>
        </w:rPr>
        <w:t xml:space="preserve"> Una clausola vincolante chiude lo studio, e questa serie la fa propria per intero: il Tribunale Speciale fu organo di uno Stato dittatoriale contro i suoi oppositori, e nessuna comparazione contemporanea con altri poteri esce dal terreno documentato di quelle pagine. Il vincolo non è cortesia verso alcuno: è ciò che impedisce alla comparazione di diventare argomento, e all'argomento di diventare imputazione.</w:t>
      </w:r>
    </w:p>
    <w:p>
      <w:pPr>
        <w:spacing w:after="120" w:line="276"/>
        <w:jc w:val="both"/>
      </w:pPr>
      <w:r>
        <w:rPr>
          <w:rFonts w:ascii="Barlow Semi Condensed" w:cs="Barlow Semi Condensed" w:eastAsia="Barlow Semi Condensed" w:hAnsi="Barlow Semi Condensed"/>
          <w:b/>
          <w:bCs/>
          <w:sz w:val="24"/>
          <w:szCs w:val="24"/>
        </w:rPr>
        <w:t xml:space="preserve">1730 · La formula usata come epiteto.</w:t>
      </w:r>
      <w:r>
        <w:rPr>
          <w:rFonts w:ascii="Barlow Semi Condensed" w:cs="Barlow Semi Condensed" w:eastAsia="Barlow Semi Condensed" w:hAnsi="Barlow Semi Condensed"/>
          <w:sz w:val="24"/>
          <w:szCs w:val="24"/>
        </w:rPr>
        <w:t xml:space="preserve"> Nel lessico politico corrente tribunale speciale funziona da insulto, applicato a commissioni, procure e organismi internazionali senza riguardo alla loro composizione o al loro rito. In questa serie la locuzione designa un solo oggetto: l'organo istituito dalla legge del 25 novembre 1926 e soppresso il 29 luglio 1943. Ogni uso estensivo va segnalato come figura retorica, mai accolto come classificazione.</w:t>
      </w:r>
    </w:p>
    <w:p>
      <w:pPr>
        <w:spacing w:after="120" w:line="276"/>
        <w:jc w:val="both"/>
      </w:pPr>
      <w:r>
        <w:rPr>
          <w:rFonts w:ascii="Barlow Semi Condensed" w:cs="Barlow Semi Condensed" w:eastAsia="Barlow Semi Condensed" w:hAnsi="Barlow Semi Condensed"/>
          <w:b/>
          <w:bCs/>
          <w:sz w:val="24"/>
          <w:szCs w:val="24"/>
        </w:rPr>
        <w:t xml:space="preserve">1731 · Il falso positivo di stringa inglese.</w:t>
      </w:r>
      <w:r>
        <w:rPr>
          <w:rFonts w:ascii="Barlow Semi Condensed" w:cs="Barlow Semi Condensed" w:eastAsia="Barlow Semi Condensed" w:hAnsi="Barlow Semi Condensed"/>
          <w:sz w:val="24"/>
          <w:szCs w:val="24"/>
        </w:rPr>
        <w:t xml:space="preserve"> Chi cercasse special tribunal nei fondi statunitensi otterrebbe risultati abbondanti e irrilevanti: la locuzione ricorre per corti internazionali, commissioni militari e organismi ad hoc di ogni epoca. I blocchi 9 e 645 impongono di verificare la stringa prima di interrogare l'archivio, perché l'archivio risponde alla domanda ricevuta. Qui la stringa utile è il nome proprio italiano, non la categoria inglese.</w:t>
      </w:r>
    </w:p>
    <w:p>
      <w:pPr>
        <w:spacing w:after="120" w:line="276"/>
        <w:jc w:val="both"/>
      </w:pPr>
      <w:r>
        <w:rPr>
          <w:rFonts w:ascii="Barlow Semi Condensed" w:cs="Barlow Semi Condensed" w:eastAsia="Barlow Semi Condensed" w:hAnsi="Barlow Semi Condensed"/>
          <w:b/>
          <w:bCs/>
          <w:sz w:val="24"/>
          <w:szCs w:val="24"/>
        </w:rPr>
        <w:t xml:space="preserve">1732 · Due fonti fuori dal perimetro.</w:t>
      </w:r>
      <w:r>
        <w:rPr>
          <w:rFonts w:ascii="Barlow Semi Condensed" w:cs="Barlow Semi Condensed" w:eastAsia="Barlow Semi Condensed" w:hAnsi="Barlow Semi Condensed"/>
          <w:sz w:val="24"/>
          <w:szCs w:val="24"/>
        </w:rPr>
        <w:t xml:space="preserve"> Il committente ha escluso due fonti dall'intera campagna. L'esclusione non è un dettaglio editoriale: è un filtro che riduce il denominatore della ricerca e va scritto nel verbale di vuoto accanto alle stringhe e alle date. Un'assenza misurata con filtri taciuti non è verificabile da un terzo, e un'assenza non verificabile non è un'acquisizione ma un'opinione. Si dichiara, dunque, e non si nominano.</w:t>
      </w:r>
    </w:p>
    <w:p>
      <w:pPr>
        <w:spacing w:after="120" w:line="276"/>
        <w:jc w:val="both"/>
      </w:pPr>
      <w:r>
        <w:rPr>
          <w:rFonts w:ascii="Barlow Semi Condensed" w:cs="Barlow Semi Condensed" w:eastAsia="Barlow Semi Condensed" w:hAnsi="Barlow Semi Condensed"/>
          <w:b/>
          <w:bCs/>
          <w:sz w:val="24"/>
          <w:szCs w:val="24"/>
        </w:rPr>
        <w:t xml:space="preserve">1733 · L'Archivio Centrale dello Stato, sede prima.</w:t>
      </w:r>
      <w:r>
        <w:rPr>
          <w:rFonts w:ascii="Barlow Semi Condensed" w:cs="Barlow Semi Condensed" w:eastAsia="Barlow Semi Condensed" w:hAnsi="Barlow Semi Condensed"/>
          <w:sz w:val="24"/>
          <w:szCs w:val="24"/>
        </w:rPr>
        <w:t xml:space="preserve"> La sede che chiuderebbe definitivamente il quesito coevo è il fondo Tribunale Speciale per la Difesa dello Stato conservato all'Archivio Centrale dello Stato di Roma, censito nell'authority IT-ACS-SP00001-00000424 citata dallo studio. Vi stanno sentenze, ordinanze e fascicoli processuali del 1927-1943. L'esito atteso è zero, e proprio per questo la sede va nominata: uno stato zero senza indirizzo non è verificabile.</w:t>
      </w:r>
    </w:p>
    <w:p>
      <w:pPr>
        <w:spacing w:after="120" w:line="276"/>
        <w:jc w:val="both"/>
      </w:pPr>
      <w:r>
        <w:rPr>
          <w:rFonts w:ascii="Barlow Semi Condensed" w:cs="Barlow Semi Condensed" w:eastAsia="Barlow Semi Condensed" w:hAnsi="Barlow Semi Condensed"/>
          <w:b/>
          <w:bCs/>
          <w:sz w:val="24"/>
          <w:szCs w:val="24"/>
        </w:rPr>
        <w:t xml:space="preserve">1734 · Il Casellario Politico Centrale.</w:t>
      </w:r>
      <w:r>
        <w:rPr>
          <w:rFonts w:ascii="Barlow Semi Condensed" w:cs="Barlow Semi Condensed" w:eastAsia="Barlow Semi Condensed" w:hAnsi="Barlow Semi Condensed"/>
          <w:sz w:val="24"/>
          <w:szCs w:val="24"/>
        </w:rPr>
        <w:t xml:space="preserve"> Seconda sede romana, distinta dalla prima e spesso confusa con essa: il Casellario Politico Centrale, che schedava i sovversivi seguiti dalla polizia. Vi si cercherebbe invano un fascicolo intestato a un cittadino tedesco emigrato negli Stati Uniti nel settembre 1938, perché il Casellario copriva altro perimetro. Lo stato zero qui è per costruzione della serie archivistica, e va motivato così anziché registrato come mancanza.</w:t>
      </w:r>
    </w:p>
    <w:p>
      <w:pPr>
        <w:spacing w:after="120" w:line="276"/>
        <w:jc w:val="both"/>
      </w:pPr>
      <w:r>
        <w:rPr>
          <w:rFonts w:ascii="Barlow Semi Condensed" w:cs="Barlow Semi Condensed" w:eastAsia="Barlow Semi Condensed" w:hAnsi="Barlow Semi Condensed"/>
          <w:b/>
          <w:bCs/>
          <w:sz w:val="24"/>
          <w:szCs w:val="24"/>
        </w:rPr>
        <w:t xml:space="preserve">1735 · Gli affari generali e riservati.</w:t>
      </w:r>
      <w:r>
        <w:rPr>
          <w:rFonts w:ascii="Barlow Semi Condensed" w:cs="Barlow Semi Condensed" w:eastAsia="Barlow Semi Condensed" w:hAnsi="Barlow Semi Condensed"/>
          <w:sz w:val="24"/>
          <w:szCs w:val="24"/>
        </w:rPr>
        <w:t xml:space="preserve"> Terza sede: Ministero dell'Interno, Direzione generale di pubblica sicurezza, Divisione affari generali e riservati, dove riposa la documentazione dell'apparato descritto nel sottonodo S-2, quell'Ispettorato speciale nato a Milano nel 1927 sotto Arturo Bocchini e divenuto OVRA. È la sede della macchina istruttoria che costruiva i casi. Nessuna occorrenza attesa; la ricerca resta dovuta perché completa il perimetro delle tre sedi romane.</w:t>
      </w:r>
    </w:p>
    <w:p>
      <w:pPr>
        <w:spacing w:after="120" w:line="276"/>
        <w:jc w:val="both"/>
      </w:pPr>
      <w:r>
        <w:rPr>
          <w:rFonts w:ascii="Barlow Semi Condensed" w:cs="Barlow Semi Condensed" w:eastAsia="Barlow Semi Condensed" w:hAnsi="Barlow Semi Condensed"/>
          <w:b/>
          <w:bCs/>
          <w:sz w:val="24"/>
          <w:szCs w:val="24"/>
        </w:rPr>
        <w:t xml:space="preserve">1736 · La serie di Washington alla Farnesina.</w:t>
      </w:r>
      <w:r>
        <w:rPr>
          <w:rFonts w:ascii="Barlow Semi Condensed" w:cs="Barlow Semi Condensed" w:eastAsia="Barlow Semi Condensed" w:hAnsi="Barlow Semi Condensed"/>
          <w:sz w:val="24"/>
          <w:szCs w:val="24"/>
        </w:rPr>
        <w:t xml:space="preserve"> L'Archivio storico diplomatico del Ministero degli Affari Esteri conserva la serie dell'ambasciata d'Italia a Washington, già bersaglio dichiarato al blocco 686. Il quesito applicato a questo territorio suona così: fra il 1969 e il 1977 un dispaccio italiano ha mai dovuto riferire o replicare a un richiamo americano alla giustizia d'eccezione del ventennio. Non riscontrato in sessione; la sede è nominata e la ricerca resta aperta.</w:t>
      </w:r>
    </w:p>
    <w:p>
      <w:pPr>
        <w:spacing w:after="120" w:line="276"/>
        <w:jc w:val="both"/>
      </w:pPr>
      <w:r>
        <w:rPr>
          <w:rFonts w:ascii="Barlow Semi Condensed" w:cs="Barlow Semi Condensed" w:eastAsia="Barlow Semi Condensed" w:hAnsi="Barlow Semi Condensed"/>
          <w:b/>
          <w:bCs/>
          <w:sz w:val="24"/>
          <w:szCs w:val="24"/>
        </w:rPr>
        <w:t xml:space="preserve">1737 · Ann Arbor, oltre i due verbali noti.</w:t>
      </w:r>
      <w:r>
        <w:rPr>
          <w:rFonts w:ascii="Barlow Semi Condensed" w:cs="Barlow Semi Condensed" w:eastAsia="Barlow Semi Condensed" w:hAnsi="Barlow Semi Condensed"/>
          <w:sz w:val="24"/>
          <w:szCs w:val="24"/>
        </w:rPr>
        <w:t xml:space="preserve"> Oltre i file 1552802 e 1552806, il fronte della Ford Library era già aperto al blocco 663. Applicato qui significa scorrere i Memoranda of Conversations del National Security Adviser cercando le voci tribunal, Mussolini, fascist courts, 1926, nel perimetro 1974-1977. Le trascrizioni telefoniche costituiscono, come ricorda il blocco 664, un genere a sé e vanno interrogate separatamente, con proprio verbale d'esito.</w:t>
      </w:r>
    </w:p>
    <w:p>
      <w:pPr>
        <w:spacing w:after="120" w:line="276"/>
        <w:jc w:val="both"/>
      </w:pPr>
      <w:r>
        <w:rPr>
          <w:rFonts w:ascii="Barlow Semi Condensed" w:cs="Barlow Semi Condensed" w:eastAsia="Barlow Semi Condensed" w:hAnsi="Barlow Semi Condensed"/>
          <w:b/>
          <w:bCs/>
          <w:sz w:val="24"/>
          <w:szCs w:val="24"/>
        </w:rPr>
        <w:t xml:space="preserve">1738 · College Park, il fascicolo per paese (serie XXIII).</w:t>
      </w:r>
      <w:r>
        <w:rPr>
          <w:rFonts w:ascii="Barlow Semi Condensed" w:cs="Barlow Semi Condensed" w:eastAsia="Barlow Semi Condensed" w:hAnsi="Barlow Semi Condensed"/>
          <w:sz w:val="24"/>
          <w:szCs w:val="24"/>
        </w:rPr>
        <w:t xml:space="preserve"> Lo studio sull'Italia del dicembre 1969 conservato a NARA era già stato individuato al blocco 666. Il quesito di questa serie è più circoscritto: se i quadri storici allegati ai documenti di policy sull'Italia contengano richiami all'eredità della giustizia d'eccezione fascista e al divieto costituzionale che ne seguì. È una verifica di contenuto, non di esistenza, e va condotta sui testi e non sugli indici.</w:t>
      </w:r>
    </w:p>
    <w:p>
      <w:pPr>
        <w:spacing w:after="120" w:line="276"/>
        <w:jc w:val="both"/>
      </w:pPr>
      <w:r>
        <w:rPr>
          <w:rFonts w:ascii="Barlow Semi Condensed" w:cs="Barlow Semi Condensed" w:eastAsia="Barlow Semi Condensed" w:hAnsi="Barlow Semi Condensed"/>
          <w:b/>
          <w:bCs/>
          <w:sz w:val="24"/>
          <w:szCs w:val="24"/>
        </w:rPr>
        <w:t xml:space="preserve">1739 · Le carte personali e la restrizione.</w:t>
      </w:r>
      <w:r>
        <w:rPr>
          <w:rFonts w:ascii="Barlow Semi Condensed" w:cs="Barlow Semi Condensed" w:eastAsia="Barlow Semi Condensed" w:hAnsi="Barlow Semi Condensed"/>
          <w:sz w:val="24"/>
          <w:szCs w:val="24"/>
        </w:rPr>
        <w:t xml:space="preserve"> La Manuscript Division della Library of Congress conserva le carte di Henry A. Kissinger con regime d'accesso limitato. Il blocco 671 stabilisce che un diniego motivato è acquisizione di pieno valore: se la consultazione fosse negata, la negazione va protocollata e citata, con estremi e data. Un archivio che non apre resta un dato sull'archivio, mai un indizio sul contenuto che custodisce.</w:t>
      </w:r>
    </w:p>
    <w:p>
      <w:pPr>
        <w:spacing w:after="120" w:line="276"/>
        <w:jc w:val="both"/>
      </w:pPr>
      <w:r>
        <w:rPr>
          <w:rFonts w:ascii="Barlow Semi Condensed" w:cs="Barlow Semi Condensed" w:eastAsia="Barlow Semi Condensed" w:hAnsi="Barlow Semi Condensed"/>
          <w:b/>
          <w:bCs/>
          <w:sz w:val="24"/>
          <w:szCs w:val="24"/>
        </w:rPr>
        <w:t xml:space="preserve">1740 · Il secondo deposito, a New Haven.</w:t>
      </w:r>
      <w:r>
        <w:rPr>
          <w:rFonts w:ascii="Barlow Semi Condensed" w:cs="Barlow Semi Condensed" w:eastAsia="Barlow Semi Condensed" w:hAnsi="Barlow Semi Condensed"/>
          <w:sz w:val="24"/>
          <w:szCs w:val="24"/>
        </w:rPr>
        <w:t xml:space="preserve"> Manuscripts and Archives della Yale University Library conserva l'altra parte delle carte. Il doppio deposito impone di ripetere la ricerca in entrambe le sedi e di firmare separatamente entrambi gli esiti, come vuole il blocco 658. Chi cercasse in una sola e dichiarasse un vuoto avrebbe misurato metà perimetro spacciandolo per intero: è l'errore che il blocco 654 chiama costo del perimetro seriale.</w:t>
      </w:r>
    </w:p>
    <w:p>
      <w:pPr>
        <w:spacing w:after="120" w:line="276"/>
        <w:jc w:val="both"/>
      </w:pPr>
      <w:r>
        <w:rPr>
          <w:rFonts w:ascii="Barlow Semi Condensed" w:cs="Barlow Semi Condensed" w:eastAsia="Barlow Semi Condensed" w:hAnsi="Barlow Semi Condensed"/>
          <w:b/>
          <w:bCs/>
          <w:sz w:val="24"/>
          <w:szCs w:val="24"/>
        </w:rPr>
        <w:t xml:space="preserve">1741 · Gli atti della Commissione Moro.</w:t>
      </w:r>
      <w:r>
        <w:rPr>
          <w:rFonts w:ascii="Barlow Semi Condensed" w:cs="Barlow Semi Condensed" w:eastAsia="Barlow Semi Condensed" w:hAnsi="Barlow Semi Condensed"/>
          <w:sz w:val="24"/>
          <w:szCs w:val="24"/>
        </w:rPr>
        <w:t xml:space="preserve"> Sede e limite erano già fissati ai blocchi 695 e 696: Doc. XXIII, VIII legislatura, resoconti stenografici da leggere in originale. Il quesito qui è se in quella sede il Tribunale Speciale sia mai stato evocato come termine di paragone nel discutere la giustizia politica. Non risulta dalle sintesi disponibili, e il blocco 704 vieta di fermarsi alle sintesi: la verifica si fa sui resoconti.</w:t>
      </w:r>
    </w:p>
    <w:p>
      <w:pPr>
        <w:spacing w:after="120" w:line="276"/>
        <w:jc w:val="both"/>
      </w:pPr>
      <w:r>
        <w:rPr>
          <w:rFonts w:ascii="Barlow Semi Condensed" w:cs="Barlow Semi Condensed" w:eastAsia="Barlow Semi Condensed" w:hAnsi="Barlow Semi Condensed"/>
          <w:b/>
          <w:bCs/>
          <w:sz w:val="24"/>
          <w:szCs w:val="24"/>
        </w:rPr>
        <w:t xml:space="preserve">1742 · Il verbale d'udienza del novembre 1982.</w:t>
      </w:r>
      <w:r>
        <w:rPr>
          <w:rFonts w:ascii="Barlow Semi Condensed" w:cs="Barlow Semi Condensed" w:eastAsia="Barlow Semi Condensed" w:hAnsi="Barlow Semi Condensed"/>
          <w:sz w:val="24"/>
          <w:szCs w:val="24"/>
        </w:rPr>
        <w:t xml:space="preserve"> La Corte d'assise di Roma raccolse la testimonianza de relato di Corrado Guerzoni, prima precisazione di K-4, con la data oscillante fra il 10 e il 15 novembre 1982. Nelle sintesi reperite nessun riferimento al Tribunale Speciale o al 1926 vi compare. Il riscontro va fatto sui verbali d'udienza, come chiede il blocco 697, e l'esito negativo va verbalizzato con gli estremi del fascicolo.</w:t>
      </w:r>
    </w:p>
    <w:p>
      <w:pPr>
        <w:spacing w:after="120" w:line="276"/>
        <w:jc w:val="both"/>
      </w:pPr>
      <w:r>
        <w:rPr>
          <w:rFonts w:ascii="Barlow Semi Condensed" w:cs="Barlow Semi Condensed" w:eastAsia="Barlow Semi Condensed" w:hAnsi="Barlow Semi Condensed"/>
          <w:b/>
          <w:bCs/>
          <w:sz w:val="24"/>
          <w:szCs w:val="24"/>
        </w:rPr>
        <w:t xml:space="preserve">1743 · Le carte del partito, a Roma.</w:t>
      </w:r>
      <w:r>
        <w:rPr>
          <w:rFonts w:ascii="Barlow Semi Condensed" w:cs="Barlow Semi Condensed" w:eastAsia="Barlow Semi Condensed" w:hAnsi="Barlow Semi Condensed"/>
          <w:sz w:val="24"/>
          <w:szCs w:val="24"/>
        </w:rPr>
        <w:t xml:space="preserve"> La Fondazione Istituto Gramsci conserva l'archivio del Partito comunista italiano. Vi si porta un quesito circoscritto: se nella pubblicistica e nei documenti interni degli anni Settanta la politica statunitense sia mai stata argomentata attraverso la memoria del Tribunale che aveva condannato Gramsci, Terracini e Scoccimarro nel giugno 1928. Non riscontrato in sessione. L'eventuale riscontro sarebbe un dato sul linguaggio politico, non sul nesso.</w:t>
      </w:r>
    </w:p>
    <w:p>
      <w:pPr>
        <w:spacing w:after="120" w:line="276"/>
        <w:jc w:val="both"/>
      </w:pPr>
      <w:r>
        <w:rPr>
          <w:rFonts w:ascii="Barlow Semi Condensed" w:cs="Barlow Semi Condensed" w:eastAsia="Barlow Semi Condensed" w:hAnsi="Barlow Semi Condensed"/>
          <w:b/>
          <w:bCs/>
          <w:sz w:val="24"/>
          <w:szCs w:val="24"/>
        </w:rPr>
        <w:t xml:space="preserve">1744 · Il censimento e la sua associazione.</w:t>
      </w:r>
      <w:r>
        <w:rPr>
          <w:rFonts w:ascii="Barlow Semi Condensed" w:cs="Barlow Semi Condensed" w:eastAsia="Barlow Semi Condensed" w:hAnsi="Barlow Semi Condensed"/>
          <w:sz w:val="24"/>
          <w:szCs w:val="24"/>
        </w:rPr>
        <w:t xml:space="preserve"> Le cifre dello studio, 15.806 deferiti, 4.596 condannati, 27.752 anni cinque mesi e diciannove giorni, provengono dal censimento Dal Pont ereditato dall'ANPPIA. Quel censimento nomina le vittime, una per una, ed è la ragione per cui il territorio conosce così bene i propri nomi. Nessuno di essi è il nome di questa serie, e l'associazione non ha voce sul punto: stato zero dichiarato alla fonte.</w:t>
      </w:r>
    </w:p>
    <w:p>
      <w:pPr>
        <w:spacing w:after="120" w:line="276"/>
        <w:jc w:val="both"/>
      </w:pPr>
      <w:r>
        <w:rPr>
          <w:rFonts w:ascii="Barlow Semi Condensed" w:cs="Barlow Semi Condensed" w:eastAsia="Barlow Semi Condensed" w:hAnsi="Barlow Semi Condensed"/>
          <w:b/>
          <w:bCs/>
          <w:sz w:val="24"/>
          <w:szCs w:val="24"/>
        </w:rPr>
        <w:t xml:space="preserve">1745 · Bologna, è una doppia assenza.</w:t>
      </w:r>
      <w:r>
        <w:rPr>
          <w:rFonts w:ascii="Barlow Semi Condensed" w:cs="Barlow Semi Condensed" w:eastAsia="Barlow Semi Condensed" w:hAnsi="Barlow Semi Condensed"/>
          <w:sz w:val="24"/>
          <w:szCs w:val="24"/>
        </w:rPr>
        <w:t xml:space="preserve"> L'archivio Storia e Memoria di Bologna censisce 734 antifascisti deferiti e 384 condannati, e il documento amnistiati-tribunale-speciale.md dichiara in nota che il sito non era raggiungibile dalla rete di lavoro, sicché l'elenco fu ricostruito per estratti. Qui gli stati zero sono due e vanno contati separatamente: nessuna occorrenza nel campione disponibile, e inaccessibilità della fonte integrale che potrebbe smentirla.</w:t>
      </w:r>
    </w:p>
    <w:p>
      <w:pPr>
        <w:spacing w:after="120" w:line="276"/>
        <w:jc w:val="both"/>
      </w:pPr>
      <w:r>
        <w:rPr>
          <w:rFonts w:ascii="Barlow Semi Condensed" w:cs="Barlow Semi Condensed" w:eastAsia="Barlow Semi Condensed" w:hAnsi="Barlow Semi Condensed"/>
          <w:b/>
          <w:bCs/>
          <w:sz w:val="24"/>
          <w:szCs w:val="24"/>
        </w:rPr>
        <w:t xml:space="preserve">1746 · Le sedi slovene del secondo processo.</w:t>
      </w:r>
      <w:r>
        <w:rPr>
          <w:rFonts w:ascii="Barlow Semi Condensed" w:cs="Barlow Semi Condensed" w:eastAsia="Barlow Semi Condensed" w:hAnsi="Barlow Semi Condensed"/>
          <w:sz w:val="24"/>
          <w:szCs w:val="24"/>
        </w:rPr>
        <w:t xml:space="preserve"> Per il processo di Trieste del 2-14 dicembre 1941, sessanta imputati e cinque fucilati a Opicina il 15 dicembre, le sedi sono l'Arhiv Republike Slovenije di Lubiana e la sezione storica della biblioteca nazionale slovena di Trieste. Il sottonodo S-3 ne documenta l'arco. Nessun nome statunitense vi è atteso, e l'esito va comunque messo agli atti: un perimetro nazionale diverso può conservare carte diverse.</w:t>
      </w:r>
    </w:p>
    <w:p>
      <w:pPr>
        <w:spacing w:after="120" w:line="276"/>
        <w:jc w:val="both"/>
      </w:pPr>
      <w:r>
        <w:rPr>
          <w:rFonts w:ascii="Barlow Semi Condensed" w:cs="Barlow Semi Condensed" w:eastAsia="Barlow Semi Condensed" w:hAnsi="Barlow Semi Condensed"/>
          <w:b/>
          <w:bCs/>
          <w:sz w:val="24"/>
          <w:szCs w:val="24"/>
        </w:rPr>
        <w:t xml:space="preserve">1747 · Trieste, la sentenza e i suoi atti.</w:t>
      </w:r>
      <w:r>
        <w:rPr>
          <w:rFonts w:ascii="Barlow Semi Condensed" w:cs="Barlow Semi Condensed" w:eastAsia="Barlow Semi Condensed" w:hAnsi="Barlow Semi Condensed"/>
          <w:sz w:val="24"/>
          <w:szCs w:val="24"/>
        </w:rPr>
        <w:t xml:space="preserve"> L'Archivio di Stato di Trieste è la sede locale per gli atti dei due processi che il sottonodo S-3 ricostruisce, dal primo del 1930 con i quattro fucilati di Basovizza il 6 settembre al secondo del 1941. La formula accusatoria del complotto contro l'integrità dello Stato, che unificava liberali, comunisti e militanti del TIGR, è l'esempio più puro del metodo dell'organo. Stato zero sul nome.</w:t>
      </w:r>
    </w:p>
    <w:p>
      <w:pPr>
        <w:spacing w:after="120" w:line="276"/>
        <w:jc w:val="both"/>
      </w:pPr>
      <w:r>
        <w:rPr>
          <w:rFonts w:ascii="Barlow Semi Condensed" w:cs="Barlow Semi Condensed" w:eastAsia="Barlow Semi Condensed" w:hAnsi="Barlow Semi Condensed"/>
          <w:b/>
          <w:bCs/>
          <w:sz w:val="24"/>
          <w:szCs w:val="24"/>
        </w:rPr>
        <w:t xml:space="preserve">1748 · Quale atto rimosse le condanne.</w:t>
      </w:r>
      <w:r>
        <w:rPr>
          <w:rFonts w:ascii="Barlow Semi Condensed" w:cs="Barlow Semi Condensed" w:eastAsia="Barlow Semi Condensed" w:hAnsi="Barlow Semi Condensed"/>
          <w:sz w:val="24"/>
          <w:szCs w:val="24"/>
        </w:rPr>
        <w:t xml:space="preserve"> Il regio decreto-legge 668 del 29 luglio 1943 soppresse l'organo, ma quale norma abbia rimosso gli effetti delle 4.596 condanne, l'interdizione perpetua dai pubblici uffici compresa, il territorio non lo dice. È una lacuna verbalizzabile: sede la Gazzetta Ufficiale del Regno per gli anni 1943-1946 e i fondi legislativi dell'Archivio Centrale dello Stato. Il quesito appartiene al territorio e va lasciato aperto per chi verrà.</w:t>
      </w:r>
    </w:p>
    <w:p>
      <w:pPr>
        <w:spacing w:after="120" w:line="276"/>
        <w:jc w:val="both"/>
      </w:pPr>
      <w:r>
        <w:rPr>
          <w:rFonts w:ascii="Barlow Semi Condensed" w:cs="Barlow Semi Condensed" w:eastAsia="Barlow Semi Condensed" w:hAnsi="Barlow Semi Condensed"/>
          <w:b/>
          <w:bCs/>
          <w:sz w:val="24"/>
          <w:szCs w:val="24"/>
        </w:rPr>
        <w:t xml:space="preserve">1749 · Un grado solo non è giudicato.</w:t>
      </w:r>
      <w:r>
        <w:rPr>
          <w:rFonts w:ascii="Barlow Semi Condensed" w:cs="Barlow Semi Condensed" w:eastAsia="Barlow Semi Condensed" w:hAnsi="Barlow Semi Condensed"/>
          <w:sz w:val="24"/>
          <w:szCs w:val="24"/>
        </w:rPr>
        <w:t xml:space="preserve"> Una regola che il territorio impone vale poi in tutto il corpus: le sentenze del Tribunale erano inappellabili, senza ricorso in Cassazione. Il giudicato di cui il corpus si serve come unico luogo dei nomi è altra cosa, prodotto di tre gradi e di difesa effettiva. Le condanne del 1927-1943 sono documenti storici di prima grandezza e non entrano nel registro dei responsabili.</w:t>
      </w:r>
    </w:p>
    <w:p>
      <w:pPr>
        <w:spacing w:after="120" w:line="276"/>
        <w:jc w:val="both"/>
      </w:pPr>
      <w:r>
        <w:rPr>
          <w:rFonts w:ascii="Barlow Semi Condensed" w:cs="Barlow Semi Condensed" w:eastAsia="Barlow Semi Condensed" w:hAnsi="Barlow Semi Condensed"/>
          <w:b/>
          <w:bCs/>
          <w:sz w:val="24"/>
          <w:szCs w:val="24"/>
        </w:rPr>
        <w:t xml:space="preserve">1750 · I tredici e le quattromilacinquecentonovantasei.</w:t>
      </w:r>
      <w:r>
        <w:rPr>
          <w:rFonts w:ascii="Barlow Semi Condensed" w:cs="Barlow Semi Condensed" w:eastAsia="Barlow Semi Condensed" w:hAnsi="Barlow Semi Condensed"/>
          <w:sz w:val="24"/>
          <w:szCs w:val="24"/>
        </w:rPr>
        <w:t xml:space="preserve"> La chiusura di triangolazione-condannati-corpus.md pone il confronto nei termini giusti: due modi di giudicare i nemici. Quel documento dichiara D4, cioè questo territorio, esito negativo per assenza di incroci prosopografici, perché le epoche non si toccano. Ciò che vale per tredici condannati italiani del 1978 vale a maggior ragione per un nome che non compare in alcuna delle due serie di atti.</w:t>
      </w:r>
    </w:p>
    <w:p>
      <w:pPr>
        <w:spacing w:after="120" w:line="276"/>
        <w:jc w:val="both"/>
      </w:pPr>
      <w:r>
        <w:rPr>
          <w:rFonts w:ascii="Barlow Semi Condensed" w:cs="Barlow Semi Condensed" w:eastAsia="Barlow Semi Condensed" w:hAnsi="Barlow Semi Condensed"/>
          <w:b/>
          <w:bCs/>
          <w:sz w:val="24"/>
          <w:szCs w:val="24"/>
        </w:rPr>
        <w:t xml:space="preserve">1751 · La clemenza che completa l'apparato.</w:t>
      </w:r>
      <w:r>
        <w:rPr>
          <w:rFonts w:ascii="Barlow Semi Condensed" w:cs="Barlow Semi Condensed" w:eastAsia="Barlow Semi Condensed" w:hAnsi="Barlow Semi Condensed"/>
          <w:sz w:val="24"/>
          <w:szCs w:val="24"/>
        </w:rPr>
        <w:t xml:space="preserve"> La sezione V dello studio fissa il dato: 639 liberati su 1.056 detenuti, più 595 confinati, nel novembre 1932. E le schede mostrano che cosa seguiva la liberazione: Alberoni al confino alle Tremiti fino al giugno 1934, Fabbri Andrea sotto vigilanza speciale fino al 30 marzo 1936, Serantoni fino all'aprile 1933. Regola trasferibile: si misura ciò che segue un atto di clemenza, non l'atto.</w:t>
      </w:r>
    </w:p>
    <w:p>
      <w:pPr>
        <w:spacing w:after="120" w:line="276"/>
        <w:jc w:val="both"/>
      </w:pPr>
      <w:r>
        <w:rPr>
          <w:rFonts w:ascii="Barlow Semi Condensed" w:cs="Barlow Semi Condensed" w:eastAsia="Barlow Semi Condensed" w:hAnsi="Barlow Semi Condensed"/>
          <w:b/>
          <w:bCs/>
          <w:sz w:val="24"/>
          <w:szCs w:val="24"/>
        </w:rPr>
        <w:t xml:space="preserve">1752 · Nannetti, amnistiato e non libero.</w:t>
      </w:r>
      <w:r>
        <w:rPr>
          <w:rFonts w:ascii="Barlow Semi Condensed" w:cs="Barlow Semi Condensed" w:eastAsia="Barlow Semi Condensed" w:hAnsi="Barlow Semi Condensed"/>
          <w:sz w:val="24"/>
          <w:szCs w:val="24"/>
        </w:rPr>
        <w:t xml:space="preserve"> Nerio Nannetti fu amnistiato per il decennale il 24 novembre 1932 e non scarcerato; uscì da San Giovanni in Monte nella notte fra l'8 e il 9 agosto 1944, per un'azione partigiana. Da qui una regola che serve altrove nel corpus: l'atto formale non misura la condizione reale. Così la smentita registrata in K-4 è un atto, e non chiude da sola la contestazione che nomina.</w:t>
      </w:r>
    </w:p>
    <w:p>
      <w:pPr>
        <w:spacing w:after="120" w:line="276"/>
        <w:jc w:val="both"/>
      </w:pPr>
      <w:r>
        <w:rPr>
          <w:rFonts w:ascii="Barlow Semi Condensed" w:cs="Barlow Semi Condensed" w:eastAsia="Barlow Semi Condensed" w:hAnsi="Barlow Semi Condensed"/>
          <w:b/>
          <w:bCs/>
          <w:sz w:val="24"/>
          <w:szCs w:val="24"/>
        </w:rPr>
        <w:t xml:space="preserve">1753 · Martelli, il caso escluso.</w:t>
      </w:r>
      <w:r>
        <w:rPr>
          <w:rFonts w:ascii="Barlow Semi Condensed" w:cs="Barlow Semi Condensed" w:eastAsia="Barlow Semi Condensed" w:hAnsi="Barlow Semi Condensed"/>
          <w:sz w:val="24"/>
          <w:szCs w:val="24"/>
        </w:rPr>
        <w:t xml:space="preserve"> Dino Martelli non beneficiò dell'amnistia del decennale: il 10 dicembre 1932 fu sottoposto a istruttoria suppletiva per riorganizzazione di partito disciolto, come accadde ai quadri più esposti. La scheda insegna la regola del campione: un elenco di amnistiati non misura la clemenza del regime, misura chi vi rientrò. Chi ne ricavasse una statistica sulla mitezza avrebbe letto la selezione come se fosse la popolazione.</w:t>
      </w:r>
    </w:p>
    <w:p>
      <w:pPr>
        <w:spacing w:after="120" w:line="276"/>
        <w:jc w:val="both"/>
      </w:pPr>
      <w:r>
        <w:rPr>
          <w:rFonts w:ascii="Barlow Semi Condensed" w:cs="Barlow Semi Condensed" w:eastAsia="Barlow Semi Condensed" w:hAnsi="Barlow Semi Condensed"/>
          <w:b/>
          <w:bCs/>
          <w:sz w:val="24"/>
          <w:szCs w:val="24"/>
        </w:rPr>
        <w:t xml:space="preserve">1754 · Le due serie non si dividono.</w:t>
      </w:r>
      <w:r>
        <w:rPr>
          <w:rFonts w:ascii="Barlow Semi Condensed" w:cs="Barlow Semi Condensed" w:eastAsia="Barlow Semi Condensed" w:hAnsi="Barlow Semi Condensed"/>
          <w:sz w:val="24"/>
          <w:szCs w:val="24"/>
        </w:rPr>
        <w:t xml:space="preserve"> Il sottonodo S-5 calcola che i bolognesi valgano il 4,6 per cento dei deferiti e l'8,4 per cento dei condannati, e dichiara subito la cautela: un censimento locale con criteri propri non è un estratto omogeneo della statistica nazionale. La stessa cautela vale al blocco 644: un rapporto di co-occorrenza fra corpi costruiti con criteri diversi resta indicativo, e non diventa probante per il fatto di essere calcolabile.</w:t>
      </w:r>
    </w:p>
    <w:p>
      <w:pPr>
        <w:spacing w:after="120" w:line="276"/>
        <w:jc w:val="both"/>
      </w:pPr>
      <w:r>
        <w:rPr>
          <w:rFonts w:ascii="Barlow Semi Condensed" w:cs="Barlow Semi Condensed" w:eastAsia="Barlow Semi Condensed" w:hAnsi="Barlow Semi Condensed"/>
          <w:b/>
          <w:bCs/>
          <w:sz w:val="24"/>
          <w:szCs w:val="24"/>
        </w:rPr>
        <w:t xml:space="preserve">1755 · Le cifre non riscontrate non si danno.</w:t>
      </w:r>
      <w:r>
        <w:rPr>
          <w:rFonts w:ascii="Barlow Semi Condensed" w:cs="Barlow Semi Condensed" w:eastAsia="Barlow Semi Condensed" w:hAnsi="Barlow Semi Condensed"/>
          <w:sz w:val="24"/>
          <w:szCs w:val="24"/>
        </w:rPr>
        <w:t xml:space="preserve"> Le donne davanti al Tribunale sono il filone che S-6 segnala con la sua fonte, il volume dell'ANPI, fermandosi lì perché le cifre disaggregate per genere non furono riscontrate su fonte indipendente. È la stessa disciplina che il blocco 638 chiama Stato Zero come acquisizione piena: nominare il vuoto, indicarne la fonte possibile, non riempirlo con una stima presentata come dato.</w:t>
      </w:r>
    </w:p>
    <w:p>
      <w:pPr>
        <w:spacing w:after="120" w:line="276"/>
        <w:jc w:val="both"/>
      </w:pPr>
      <w:r>
        <w:rPr>
          <w:rFonts w:ascii="Barlow Semi Condensed" w:cs="Barlow Semi Condensed" w:eastAsia="Barlow Semi Condensed" w:hAnsi="Barlow Semi Condensed"/>
          <w:b/>
          <w:bCs/>
          <w:sz w:val="24"/>
          <w:szCs w:val="24"/>
        </w:rPr>
        <w:t xml:space="preserve">1756 · Il dato aggregato nasconde la fase.</w:t>
      </w:r>
      <w:r>
        <w:rPr>
          <w:rFonts w:ascii="Barlow Semi Condensed" w:cs="Barlow Semi Condensed" w:eastAsia="Barlow Semi Condensed" w:hAnsi="Barlow Semi Condensed"/>
          <w:sz w:val="24"/>
          <w:szCs w:val="24"/>
        </w:rPr>
        <w:t xml:space="preserve"> Metodologicamente il sottonodo più utile è S-7: 33 condanne a morte e 22 esecuzioni negli anni di guerra, su 42 e 31 dell'intero sedicennio. La ferocia non fu costante ma crescente, e il totale la nasconde. Applicata a K-2, la regola impone di disaggregare gli anni 1969-1977 per incarico, tenendo distinta la sovrapposizione fra le due cariche dal 22 settembre 1973 al 3 novembre 1975.</w:t>
      </w:r>
    </w:p>
    <w:p>
      <w:pPr>
        <w:spacing w:after="120" w:line="276"/>
        <w:jc w:val="both"/>
      </w:pPr>
      <w:r>
        <w:rPr>
          <w:rFonts w:ascii="Barlow Semi Condensed" w:cs="Barlow Semi Condensed" w:eastAsia="Barlow Semi Condensed" w:hAnsi="Barlow Semi Condensed"/>
          <w:b/>
          <w:bCs/>
          <w:sz w:val="24"/>
          <w:szCs w:val="24"/>
        </w:rPr>
        <w:t xml:space="preserve">1757 · L'impunità come tema, non come elenco.</w:t>
      </w:r>
      <w:r>
        <w:rPr>
          <w:rFonts w:ascii="Barlow Semi Condensed" w:cs="Barlow Semi Condensed" w:eastAsia="Barlow Semi Condensed" w:hAnsi="Barlow Semi Condensed"/>
          <w:sz w:val="24"/>
          <w:szCs w:val="24"/>
        </w:rPr>
        <w:t xml:space="preserve"> Sull'impunità postbellica dei giudici S-8 registra il tema storiografico con la sua fonte, e dichiara di non affermare alcun percorso individuale, non essendo stati verificati. È esattamente la disciplina che vincola questa serie sul versante opposto: si può enunciare un problema strutturale senza attribuire condotte a nessuno, e chi non distingue i due gesti scrive un atto d'accusa credendo di scrivere storia.</w:t>
      </w:r>
    </w:p>
    <w:p>
      <w:pPr>
        <w:spacing w:after="120" w:line="276"/>
        <w:jc w:val="both"/>
      </w:pPr>
      <w:r>
        <w:rPr>
          <w:rFonts w:ascii="Barlow Semi Condensed" w:cs="Barlow Semi Condensed" w:eastAsia="Barlow Semi Condensed" w:hAnsi="Barlow Semi Condensed"/>
          <w:b/>
          <w:bCs/>
          <w:sz w:val="24"/>
          <w:szCs w:val="24"/>
        </w:rPr>
        <w:t xml:space="preserve">1758 · La frase attribuita a Isgrò.</w:t>
      </w:r>
      <w:r>
        <w:rPr>
          <w:rFonts w:ascii="Barlow Semi Condensed" w:cs="Barlow Semi Condensed" w:eastAsia="Barlow Semi Condensed" w:hAnsi="Barlow Semi Condensed"/>
          <w:sz w:val="24"/>
          <w:szCs w:val="24"/>
        </w:rPr>
        <w:t xml:space="preserve"> Al processone del 28 maggio-4 giugno 1928 è attribuita al pubblico ministero Michele Isgrò la frase sul cervello da impedire di funzionare per vent'anni, e lo studio la qualifica senza esitazioni: tradizione memorialistica consolidata, non atto processuale. Lo statuto è identico a quello dell'avvertimento del settembre 1974 ricostruito in K-4. Il corpus possiede dunque due frasi celebri con la stessa struttura probatoria: riferite, non verbalizzate.</w:t>
      </w:r>
    </w:p>
    <w:p>
      <w:pPr>
        <w:spacing w:after="120" w:line="276"/>
        <w:jc w:val="both"/>
      </w:pPr>
      <w:r>
        <w:rPr>
          <w:rFonts w:ascii="Barlow Semi Condensed" w:cs="Barlow Semi Condensed" w:eastAsia="Barlow Semi Condensed" w:hAnsi="Barlow Semi Condensed"/>
          <w:b/>
          <w:bCs/>
          <w:sz w:val="24"/>
          <w:szCs w:val="24"/>
        </w:rPr>
        <w:t xml:space="preserve">1759 · Due frasi, quattro differenze.</w:t>
      </w:r>
      <w:r>
        <w:rPr>
          <w:rFonts w:ascii="Barlow Semi Condensed" w:cs="Barlow Semi Condensed" w:eastAsia="Barlow Semi Condensed" w:hAnsi="Barlow Semi Condensed"/>
          <w:sz w:val="24"/>
          <w:szCs w:val="24"/>
        </w:rPr>
        <w:t xml:space="preserve"> Il parallelo va subito differenziato, perché le somiglianze abbagliano. La frase del 1928 non ha teste nominato, quella del 1974 ha un testimone qualificato che depose de relato; la prima non fu mai smentita dall'interessato, la seconda lo fu ripetutamente; la prima ha data certa e sede certa, la seconda oscilla fra 1974, 1976 e 1977 e fra quattro luoghi. Statuto simile, gradi diversi.</w:t>
      </w:r>
    </w:p>
    <w:p>
      <w:pPr>
        <w:spacing w:after="120" w:line="276"/>
        <w:jc w:val="both"/>
      </w:pPr>
      <w:r>
        <w:rPr>
          <w:rFonts w:ascii="Barlow Semi Condensed" w:cs="Barlow Semi Condensed" w:eastAsia="Barlow Semi Condensed" w:hAnsi="Barlow Semi Condensed"/>
          <w:b/>
          <w:bCs/>
          <w:sz w:val="24"/>
          <w:szCs w:val="24"/>
        </w:rPr>
        <w:t xml:space="preserve">1760 · L'assenza dal verbale, due volte.</w:t>
      </w:r>
      <w:r>
        <w:rPr>
          <w:rFonts w:ascii="Barlow Semi Condensed" w:cs="Barlow Semi Condensed" w:eastAsia="Barlow Semi Condensed" w:hAnsi="Barlow Semi Condensed"/>
          <w:sz w:val="24"/>
          <w:szCs w:val="24"/>
        </w:rPr>
        <w:t xml:space="preserve"> Era stato stabilito al blocco 880 che l'assenza dal verbale non prova la falsità di ciò che sarebbe stato detto a margine. La regola vale per il memorandum dello Studio Ovale del 25 settembre 1974 e vale, simmetricamente, per gli atti del processo del 1928: se una requisitoria stampata non contiene la frase, l'attribuzione resta indebolita e non confutata. Simmetria di metodo, non di merito.</w:t>
      </w:r>
    </w:p>
    <w:p>
      <w:pPr>
        <w:spacing w:after="120" w:line="276"/>
        <w:jc w:val="both"/>
      </w:pPr>
      <w:r>
        <w:rPr>
          <w:rFonts w:ascii="Barlow Semi Condensed" w:cs="Barlow Semi Condensed" w:eastAsia="Barlow Semi Condensed" w:hAnsi="Barlow Semi Condensed"/>
          <w:b/>
          <w:bCs/>
          <w:sz w:val="24"/>
          <w:szCs w:val="24"/>
        </w:rPr>
        <w:t xml:space="preserve">1761 · Il solo ponte del territorio.</w:t>
      </w:r>
      <w:r>
        <w:rPr>
          <w:rFonts w:ascii="Barlow Semi Condensed" w:cs="Barlow Semi Condensed" w:eastAsia="Barlow Semi Condensed" w:hAnsi="Barlow Semi Condensed"/>
          <w:sz w:val="24"/>
          <w:szCs w:val="24"/>
        </w:rPr>
        <w:t xml:space="preserve"> Nella sezione VI dello studio sta l'unico ponte documentato verso il resto del corpus: Aldo Moro fu costituente nel 1946, membro dell'assemblea che scolpì nell'articolo 102, secondo comma, il divieto dei giudici straordinari e speciali. È ponte biografico-istituzionale, non tesi. Il nome di questa serie non compare in quel ponte, né in alcuna delle sue estremità: il territorio comunica col corpus da un'altra parte.</w:t>
      </w:r>
    </w:p>
    <w:p>
      <w:pPr>
        <w:spacing w:after="120" w:line="276"/>
        <w:jc w:val="both"/>
      </w:pPr>
      <w:r>
        <w:rPr>
          <w:rFonts w:ascii="Barlow Semi Condensed" w:cs="Barlow Semi Condensed" w:eastAsia="Barlow Semi Condensed" w:hAnsi="Barlow Semi Condensed"/>
          <w:b/>
          <w:bCs/>
          <w:sz w:val="24"/>
          <w:szCs w:val="24"/>
        </w:rPr>
        <w:t xml:space="preserve">1762 · L'articolo 102 e il quesito atlantico.</w:t>
      </w:r>
      <w:r>
        <w:rPr>
          <w:rFonts w:ascii="Barlow Semi Condensed" w:cs="Barlow Semi Condensed" w:eastAsia="Barlow Semi Condensed" w:hAnsi="Barlow Semi Condensed"/>
          <w:sz w:val="24"/>
          <w:szCs w:val="24"/>
        </w:rPr>
        <w:t xml:space="preserve"> Interrogare il versante atlantico è legittimo purché impersonalmente, dichiara il blocco 890. Applicato qui il quesito è sobrio: nessun documento statunitense finora noto al corpus richiama il divieto costituzionale italiano del giudice speciale. Il bersaglio è nominabile: i briefing papers preparati per le visite di Stato italiane del 1974 e del 1976, conservati a College Park e ad Ann Arbor, dove i quadri storici sono d'obbligo.</w:t>
      </w:r>
    </w:p>
    <w:p>
      <w:pPr>
        <w:spacing w:after="120" w:line="276"/>
        <w:jc w:val="both"/>
      </w:pPr>
      <w:r>
        <w:rPr>
          <w:rFonts w:ascii="Barlow Semi Condensed" w:cs="Barlow Semi Condensed" w:eastAsia="Barlow Semi Condensed" w:hAnsi="Barlow Semi Condensed"/>
          <w:b/>
          <w:bCs/>
          <w:sz w:val="24"/>
          <w:szCs w:val="24"/>
        </w:rPr>
        <w:t xml:space="preserve">1763 · Pertini al Quirinale, luglio 1978.</w:t>
      </w:r>
      <w:r>
        <w:rPr>
          <w:rFonts w:ascii="Barlow Semi Condensed" w:cs="Barlow Semi Condensed" w:eastAsia="Barlow Semi Condensed" w:hAnsi="Barlow Semi Condensed"/>
          <w:sz w:val="24"/>
          <w:szCs w:val="24"/>
        </w:rPr>
        <w:t xml:space="preserve"> Un fatto che S-4 registra rifiutando di caricarlo: Sandro Pertini, condannato il 30 novembre 1929 a dieci anni e nove mesi più tre di vigilanza, fu eletto Presidente della Repubblica l'8 luglio 1978, due mesi dopo via Caetani. Nell'anno più discusso del corpus il capo dello Stato era un condannato del giudice speciale. Nessun documento del territorio lo mette in relazione con Washington.</w:t>
      </w:r>
    </w:p>
    <w:p>
      <w:pPr>
        <w:spacing w:after="120" w:line="276"/>
        <w:jc w:val="both"/>
      </w:pPr>
      <w:r>
        <w:rPr>
          <w:rFonts w:ascii="Barlow Semi Condensed" w:cs="Barlow Semi Condensed" w:eastAsia="Barlow Semi Condensed" w:hAnsi="Barlow Semi Condensed"/>
          <w:b/>
          <w:bCs/>
          <w:sz w:val="24"/>
          <w:szCs w:val="24"/>
        </w:rPr>
        <w:t xml:space="preserve">1764 · Terracini firma il divieto.</w:t>
      </w:r>
      <w:r>
        <w:rPr>
          <w:rFonts w:ascii="Barlow Semi Condensed" w:cs="Barlow Semi Condensed" w:eastAsia="Barlow Semi Condensed" w:hAnsi="Barlow Semi Condensed"/>
          <w:sz w:val="24"/>
          <w:szCs w:val="24"/>
        </w:rPr>
        <w:t xml:space="preserve"> Umberto Terracini ebbe la pena più alta del processone, oltre ventidue anni, e presiedette l'Assemblea Costituente nel 1947-48. Il testo che vieta il giudice speciale ha per firmatario un condannato del giudice speciale: è omologia in senso proprio, discendenza documentata dentro una sola cornice, con la continuità intermedia visibile. Serve da contro-esempio esatto alle analogie atlantiche che questa serie ha dovuto declassare una per una.</w:t>
      </w:r>
    </w:p>
    <w:p>
      <w:pPr>
        <w:spacing w:after="120" w:line="276"/>
        <w:jc w:val="both"/>
      </w:pPr>
      <w:r>
        <w:rPr>
          <w:rFonts w:ascii="Barlow Semi Condensed" w:cs="Barlow Semi Condensed" w:eastAsia="Barlow Semi Condensed" w:hAnsi="Barlow Semi Condensed"/>
          <w:b/>
          <w:bCs/>
          <w:sz w:val="24"/>
          <w:szCs w:val="24"/>
        </w:rPr>
        <w:t xml:space="preserve">1765 · Trombetti porta fuori i Quaderni.</w:t>
      </w:r>
      <w:r>
        <w:rPr>
          <w:rFonts w:ascii="Barlow Semi Condensed" w:cs="Barlow Semi Condensed" w:eastAsia="Barlow Semi Condensed" w:hAnsi="Barlow Semi Condensed"/>
          <w:sz w:val="24"/>
          <w:szCs w:val="24"/>
        </w:rPr>
        <w:t xml:space="preserve"> Gustavo Trombetti, condannato l'8 aprile 1932 a dieci anni, detenuto a Turi dove fu a contatto con Antonio Gramsci, mise in salvo i Quaderni e fu scarcerato nel luglio 1934 per amnistia. Ecco un caso di trasmissione documentata di un testo attraverso il carcere, con vettore, contenuto e destinazione accertati: piano 1 pieno, dentro il territorio, e riguarda chiunque tranne il nome che questa serie triangola.</w:t>
      </w:r>
    </w:p>
    <w:p>
      <w:pPr>
        <w:spacing w:after="120" w:line="276"/>
        <w:jc w:val="both"/>
      </w:pPr>
      <w:r>
        <w:rPr>
          <w:rFonts w:ascii="Barlow Semi Condensed" w:cs="Barlow Semi Condensed" w:eastAsia="Barlow Semi Condensed" w:hAnsi="Barlow Semi Condensed"/>
          <w:b/>
          <w:bCs/>
          <w:sz w:val="24"/>
          <w:szCs w:val="24"/>
        </w:rPr>
        <w:t xml:space="preserve">1766 · La lente messa alla prova.</w:t>
      </w:r>
      <w:r>
        <w:rPr>
          <w:rFonts w:ascii="Barlow Semi Condensed" w:cs="Barlow Semi Condensed" w:eastAsia="Barlow Semi Condensed" w:hAnsi="Barlow Semi Condensed"/>
          <w:sz w:val="24"/>
          <w:szCs w:val="24"/>
        </w:rPr>
        <w:t xml:space="preserve"> Al blocco 13 sta il criterio: una lente non è vera o falsa, è feconda o sterile, e si giudica dai bersagli d'archivio che fa nascere. Su questo territorio la metafora genetica non ha prodotto un solo quesito che il lessico storiografico ordinario non avrebbe prodotto da solo. Il bilancio negativo si registra come gli altri: senza attenuarlo e senza cercargli compensazioni altrove.</w:t>
      </w:r>
    </w:p>
    <w:p>
      <w:pPr>
        <w:spacing w:after="120" w:line="276"/>
        <w:jc w:val="both"/>
      </w:pPr>
      <w:r>
        <w:rPr>
          <w:rFonts w:ascii="Barlow Semi Condensed" w:cs="Barlow Semi Condensed" w:eastAsia="Barlow Semi Condensed" w:hAnsi="Barlow Semi Condensed"/>
          <w:b/>
          <w:bCs/>
          <w:sz w:val="24"/>
          <w:szCs w:val="24"/>
        </w:rPr>
        <w:t xml:space="preserve">1767 · Il criterio di dismissione, applicato.</w:t>
      </w:r>
      <w:r>
        <w:rPr>
          <w:rFonts w:ascii="Barlow Semi Condensed" w:cs="Barlow Semi Condensed" w:eastAsia="Barlow Semi Condensed" w:hAnsi="Barlow Semi Condensed"/>
          <w:sz w:val="24"/>
          <w:szCs w:val="24"/>
        </w:rPr>
        <w:t xml:space="preserve"> La condizione è fissata al blocco 14: se la metafora costringesse a un'affermazione che la documentazione non regge, cede la metafora. Qui non ha costretto a nulla, perché non ha trovato materia su cui esercitarsi. Si depone dunque per questa serie, senza drammi e senza revoche generali: uno strumento che su un terreno non morde va posato lì, e ripreso dove aveva funzionato.</w:t>
      </w:r>
    </w:p>
    <w:p>
      <w:pPr>
        <w:spacing w:after="120" w:line="276"/>
        <w:jc w:val="both"/>
      </w:pPr>
      <w:r>
        <w:rPr>
          <w:rFonts w:ascii="Barlow Semi Condensed" w:cs="Barlow Semi Condensed" w:eastAsia="Barlow Semi Condensed" w:hAnsi="Barlow Semi Condensed"/>
          <w:b/>
          <w:bCs/>
          <w:sz w:val="24"/>
          <w:szCs w:val="24"/>
        </w:rPr>
        <w:t xml:space="preserve">1768 · Il volume rilegato e la sua misura.</w:t>
      </w:r>
      <w:r>
        <w:rPr>
          <w:rFonts w:ascii="Barlow Semi Condensed" w:cs="Barlow Semi Condensed" w:eastAsia="Barlow Semi Condensed" w:hAnsi="Barlow Semi Condensed"/>
          <w:sz w:val="24"/>
          <w:szCs w:val="24"/>
        </w:rPr>
        <w:t xml:space="preserve"> Il file IL_VETTORE_E_IL_TRIBUNALE_DUE_STUDI_1926-1972.docx raccoglie in ventiquattro pagine i due fronti italiani sotto il frontespizio comune del filo del 1926: la monografia su Feltrinelli con le sue triangolazioni e i due testi sul Tribunale Speciale. Il nome di questa serie non vi compare. È una misura che chiunque può ripetere aprendo il file e cercando la stringa, ed è per questo che si dichiara.</w:t>
      </w:r>
    </w:p>
    <w:p>
      <w:pPr>
        <w:spacing w:after="120" w:line="276"/>
        <w:jc w:val="both"/>
      </w:pPr>
      <w:r>
        <w:rPr>
          <w:rFonts w:ascii="Barlow Semi Condensed" w:cs="Barlow Semi Condensed" w:eastAsia="Barlow Semi Condensed" w:hAnsi="Barlow Semi Condensed"/>
          <w:b/>
          <w:bCs/>
          <w:sz w:val="24"/>
          <w:szCs w:val="24"/>
        </w:rPr>
        <w:t xml:space="preserve">1769 · Che cosa falsificherebbe la serie.</w:t>
      </w:r>
      <w:r>
        <w:rPr>
          <w:rFonts w:ascii="Barlow Semi Condensed" w:cs="Barlow Semi Condensed" w:eastAsia="Barlow Semi Condensed" w:hAnsi="Barlow Semi Condensed"/>
          <w:sz w:val="24"/>
          <w:szCs w:val="24"/>
        </w:rPr>
        <w:t xml:space="preserve"> Si ripete in chiusura perché è la parte che rende utile il resto. Una sola carta di provenienza, con ufficio, data e protocollo, che nomini insieme l'organo del 1926 e l'uomo di questa serie, rovescerebbe l'esito. Nessun accumulo di somiglianze la sostituisce, e nessuna quantità di indignazione ne fa le veci. La serie ha un punto debole preciso, e lo indica lei stessa a chi voglia colpirlo.</w:t>
      </w:r>
    </w:p>
    <w:p>
      <w:pPr>
        <w:spacing w:after="120" w:line="276"/>
        <w:jc w:val="both"/>
      </w:pPr>
      <w:r>
        <w:rPr>
          <w:rFonts w:ascii="Barlow Semi Condensed" w:cs="Barlow Semi Condensed" w:eastAsia="Barlow Semi Condensed" w:hAnsi="Barlow Semi Condensed"/>
          <w:b/>
          <w:bCs/>
          <w:sz w:val="24"/>
          <w:szCs w:val="24"/>
        </w:rPr>
        <w:t xml:space="preserve">1770 · Che cosa non la falsificherebbe.</w:t>
      </w:r>
      <w:r>
        <w:rPr>
          <w:rFonts w:ascii="Barlow Semi Condensed" w:cs="Barlow Semi Condensed" w:eastAsia="Barlow Semi Condensed" w:hAnsi="Barlow Semi Condensed"/>
          <w:sz w:val="24"/>
          <w:szCs w:val="24"/>
        </w:rPr>
        <w:t xml:space="preserve"> Non basterebbero: un articolo di giornale, una citazione in un saggio, una condanna morale pronunciata da un'assemblea d'opinione, la somiglianza di rito fra due giurisdizioni d'eccezione lontane un continente e mezzo secolo. Il blocco 896 lo dice in forma generale, nessun piano sale per accumulo. Cento affermazioni di terzo piano non fanno un secondo piano, e mille secondi piani non fanno un ponte.</w:t>
      </w:r>
    </w:p>
    <w:p>
      <w:pPr>
        <w:spacing w:after="120" w:line="276"/>
        <w:jc w:val="both"/>
      </w:pPr>
      <w:r>
        <w:rPr>
          <w:rFonts w:ascii="Barlow Semi Condensed" w:cs="Barlow Semi Condensed" w:eastAsia="Barlow Semi Condensed" w:hAnsi="Barlow Semi Condensed"/>
          <w:b/>
          <w:bCs/>
          <w:sz w:val="24"/>
          <w:szCs w:val="24"/>
        </w:rPr>
        <w:t xml:space="preserve">1771 · Che cosa un ritrovamento non deciderebbe.</w:t>
      </w:r>
      <w:r>
        <w:rPr>
          <w:rFonts w:ascii="Barlow Semi Condensed" w:cs="Barlow Semi Condensed" w:eastAsia="Barlow Semi Condensed" w:hAnsi="Barlow Semi Condensed"/>
          <w:sz w:val="24"/>
          <w:szCs w:val="24"/>
        </w:rPr>
        <w:t xml:space="preserve"> Dichiarare in anticipo la portata dell'ipotetico riscontro è obbligo posto dal blocco 887. Un documento che nominasse insieme i due termini attesterebbe una menzione: che un ufficio scrisse quel nome accanto a quella parola, in quel giorno. Dalla menzione alla condotta corre una catena, e la catena vale quanto il suo anello più debole. Anche nell'ipotesi favorevole, l'esito resterebbe molto al di sotto di un nesso.</w:t>
      </w:r>
    </w:p>
    <w:p>
      <w:pPr>
        <w:spacing w:after="120" w:line="276"/>
        <w:jc w:val="both"/>
      </w:pPr>
      <w:r>
        <w:rPr>
          <w:rFonts w:ascii="Barlow Semi Condensed" w:cs="Barlow Semi Condensed" w:eastAsia="Barlow Semi Condensed" w:hAnsi="Barlow Semi Condensed"/>
          <w:b/>
          <w:bCs/>
          <w:sz w:val="24"/>
          <w:szCs w:val="24"/>
        </w:rPr>
        <w:t xml:space="preserve">1772 · Perché il corpus si ferma al giudicato.</w:t>
      </w:r>
      <w:r>
        <w:rPr>
          <w:rFonts w:ascii="Barlow Semi Condensed" w:cs="Barlow Semi Condensed" w:eastAsia="Barlow Semi Condensed" w:hAnsi="Barlow Semi Condensed"/>
          <w:sz w:val="24"/>
          <w:szCs w:val="24"/>
        </w:rPr>
        <w:t xml:space="preserve"> Questo territorio è la ragione storica della regola, non un suo caso d'applicazione. Un ordinamento che volle giudici propri per i propri nemici produsse 4.596 condanne senza appello e 31 esecuzioni: è per non ripetere quel gesto che il corpus attribuisce solo ciò che il giudicato ha accertato. Henry Kissinger non fu mai imputato né processato in alcun Paese, e questa serie non aggiunge nulla.</w:t>
      </w:r>
    </w:p>
    <w:p>
      <w:pPr>
        <w:spacing w:after="120" w:line="276"/>
        <w:jc w:val="both"/>
      </w:pPr>
      <w:r>
        <w:rPr>
          <w:rFonts w:ascii="Barlow Semi Condensed" w:cs="Barlow Semi Condensed" w:eastAsia="Barlow Semi Condensed" w:hAnsi="Barlow Semi Condensed"/>
          <w:b/>
          <w:bCs/>
          <w:sz w:val="24"/>
          <w:szCs w:val="24"/>
        </w:rPr>
        <w:t xml:space="preserve">1773 · Il rischio di questa serie stessa.</w:t>
      </w:r>
      <w:r>
        <w:rPr>
          <w:rFonts w:ascii="Barlow Semi Condensed" w:cs="Barlow Semi Condensed" w:eastAsia="Barlow Semi Condensed" w:hAnsi="Barlow Semi Condensed"/>
          <w:sz w:val="24"/>
          <w:szCs w:val="24"/>
        </w:rPr>
        <w:t xml:space="preserve"> Occorre dirlo contro l'opera che lo scrive. Accostare un nome a un tribunale di regime, foss'anche per settantacinque volte e sempre per negare il nesso, lascia una traccia che nessuna negazione cancella del tutto: l'accostamento ripetuto è già una forma di pena. L'autolimite è esplicito e va letto come parte del risultato: qui si è dichiarata un'assenza, e un'assenza dichiarata non è una presenza attenuata.</w:t>
      </w:r>
    </w:p>
    <w:p>
      <w:pPr>
        <w:spacing w:after="120" w:line="276"/>
        <w:jc w:val="both"/>
      </w:pPr>
      <w:r>
        <w:rPr>
          <w:rFonts w:ascii="Barlow Semi Condensed" w:cs="Barlow Semi Condensed" w:eastAsia="Barlow Semi Condensed" w:hAnsi="Barlow Semi Condensed"/>
          <w:b/>
          <w:bCs/>
          <w:sz w:val="24"/>
          <w:szCs w:val="24"/>
        </w:rPr>
        <w:t xml:space="preserve">1774 · Il registro dei vuoti, in tabella.</w:t>
      </w:r>
      <w:r>
        <w:rPr>
          <w:rFonts w:ascii="Barlow Semi Condensed" w:cs="Barlow Semi Condensed" w:eastAsia="Barlow Semi Condensed" w:hAnsi="Barlow Semi Condensed"/>
          <w:sz w:val="24"/>
          <w:szCs w:val="24"/>
        </w:rPr>
        <w:t xml:space="preserve"> In forma tabellare vanno tenuti i vuoti, secondo il blocco 660. Le sedi nominate da questa serie sono quindici, dalle tre romane dell'Archivio Centrale dello Stato alla Farnesina, da Ann Arbor e College Park a New Haven e Washington, dagli atti parlamentari alla Corte d'assise di Roma, da Bologna a Lubiana e Trieste. Ciascuna riga porta sede, quesito, esito atteso e data: senza colonne resta un elenco.</w:t>
      </w:r>
    </w:p>
    <w:p>
      <w:pPr>
        <w:spacing w:after="120" w:line="276"/>
        <w:jc w:val="both"/>
      </w:pPr>
      <w:r>
        <w:rPr>
          <w:rFonts w:ascii="Barlow Semi Condensed" w:cs="Barlow Semi Condensed" w:eastAsia="Barlow Semi Condensed" w:hAnsi="Barlow Semi Condensed"/>
          <w:b/>
          <w:bCs/>
          <w:sz w:val="24"/>
          <w:szCs w:val="24"/>
        </w:rPr>
        <w:t xml:space="preserve">1775 · Congedo della ventitreesima serie.</w:t>
      </w:r>
      <w:r>
        <w:rPr>
          <w:rFonts w:ascii="Barlow Semi Condensed" w:cs="Barlow Semi Condensed" w:eastAsia="Barlow Semi Condensed" w:hAnsi="Barlow Semi Condensed"/>
          <w:sz w:val="24"/>
          <w:szCs w:val="24"/>
        </w:rPr>
        <w:t xml:space="preserve"> Il bilancio si scrive per intero. Rapporti diretti documentati: nessuno. Convergenze entro la stessa cornice: nessuna, perché le cornici sono due. Affermazioni terziarie qualificate: due, il saggio dal titolo processuale e il quesito sul secondo Tribunale Russell. Tutto il resto sono stati zero con sede. Un territorio che tace su un nome ha detto qualcosa di preciso, e qui è stato scritto senza sconti.</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Serie ventiquattresima — Gli amnistiati e le pene oltre confine</w:t>
      </w:r>
    </w:p>
    <w:p>
      <w:pPr>
        <w:spacing w:after="120" w:line="276"/>
        <w:jc w:val="both"/>
      </w:pPr>
      <w:r>
        <w:rPr>
          <w:rFonts w:ascii="Barlow Semi Condensed" w:cs="Barlow Semi Condensed" w:eastAsia="Barlow Semi Condensed" w:hAnsi="Barlow Semi Condensed"/>
          <w:i/>
          <w:iCs/>
          <w:sz w:val="24"/>
          <w:szCs w:val="24"/>
        </w:rPr>
        <w:t xml:space="preserve">Blocchi 1776-1850.</w:t>
      </w:r>
    </w:p>
    <w:p>
      <w:pPr>
        <w:spacing w:after="120" w:line="276"/>
        <w:jc w:val="both"/>
      </w:pPr>
      <w:r>
        <w:rPr>
          <w:rFonts w:ascii="Barlow Semi Condensed" w:cs="Barlow Semi Condensed" w:eastAsia="Barlow Semi Condensed" w:hAnsi="Barlow Semi Condensed"/>
          <w:b/>
          <w:bCs/>
          <w:sz w:val="24"/>
          <w:szCs w:val="24"/>
        </w:rPr>
        <w:t xml:space="preserve">1776 · Statuto della ventiquattresima serie.</w:t>
      </w:r>
      <w:r>
        <w:rPr>
          <w:rFonts w:ascii="Barlow Semi Condensed" w:cs="Barlow Semi Condensed" w:eastAsia="Barlow Semi Condensed" w:hAnsi="Barlow Semi Condensed"/>
          <w:sz w:val="24"/>
          <w:szCs w:val="24"/>
        </w:rPr>
        <w:t xml:space="preserve"> La seconda campagna assegna a questa serie due soli documenti: l'elenco bolognese degli amnistiati del Tribunale Speciale e lo studio sulle pene oltre confine con Mulinaris e la dottrina Mitterrand. Entrambi sono stati letti per intero prima di scrivere. L'attesa si dichiara subito, come impone il blocco 650 dell'opera: il territorio non contiene il nome triangolato, e la serie esiste per verbalizzare bene quell'assenza invece di aggirarla.</w:t>
      </w:r>
    </w:p>
    <w:p>
      <w:pPr>
        <w:spacing w:after="120" w:line="276"/>
        <w:jc w:val="both"/>
      </w:pPr>
      <w:r>
        <w:rPr>
          <w:rFonts w:ascii="Barlow Semi Condensed" w:cs="Barlow Semi Condensed" w:eastAsia="Barlow Semi Condensed" w:hAnsi="Barlow Semi Condensed"/>
          <w:b/>
          <w:bCs/>
          <w:sz w:val="24"/>
          <w:szCs w:val="24"/>
        </w:rPr>
        <w:t xml:space="preserve">1777 · Zero occorrenze, misura meccanica.</w:t>
      </w:r>
      <w:r>
        <w:rPr>
          <w:rFonts w:ascii="Barlow Semi Condensed" w:cs="Barlow Semi Condensed" w:eastAsia="Barlow Semi Condensed" w:hAnsi="Barlow Semi Condensed"/>
          <w:sz w:val="24"/>
          <w:szCs w:val="24"/>
        </w:rPr>
        <w:t xml:space="preserve"> Verifica eseguita sui due file prima di ogni interpretazione: la stringa Kissinger non compare in amnistiati-tribunale-speciale.md, non compare in le-pene-oltre-confine-mitterrand-mulinaris.md, e con essa mancano le stringhe Stati Uniti, Washington, americano. Il conteggio è zero su entrambi. Vale come dato di grado A sul testo, non ancora sul mondo: la distinzione fra le due specie di silenzio, fissata al blocco 635, resta il tornello.</w:t>
      </w:r>
    </w:p>
    <w:p>
      <w:pPr>
        <w:spacing w:after="120" w:line="276"/>
        <w:jc w:val="both"/>
      </w:pPr>
      <w:r>
        <w:rPr>
          <w:rFonts w:ascii="Barlow Semi Condensed" w:cs="Barlow Semi Condensed" w:eastAsia="Barlow Semi Condensed" w:hAnsi="Barlow Semi Condensed"/>
          <w:b/>
          <w:bCs/>
          <w:sz w:val="24"/>
          <w:szCs w:val="24"/>
        </w:rPr>
        <w:t xml:space="preserve">1778 · Le due scale del territorio assegnato.</w:t>
      </w:r>
      <w:r>
        <w:rPr>
          <w:rFonts w:ascii="Barlow Semi Condensed" w:cs="Barlow Semi Condensed" w:eastAsia="Barlow Semi Condensed" w:hAnsi="Barlow Semi Condensed"/>
          <w:sz w:val="24"/>
          <w:szCs w:val="24"/>
        </w:rPr>
        <w:t xml:space="preserve"> I documenti affidati lavorano su scale diverse e vanno triangolati separatamente. Il primo è un elenco di persone, cinquantasette schede individuali tratte dall'archivio Storia e Memoria di Bologna, tutte comprese fra il 1922 e il 1947. Il secondo è una cornice di rapporti fra Stati, dal 1982 al 2023. Un nome che manca nel primo manca per anagrafe; se manca nel secondo, manca per assenza di atti. Le due assenze non si sommano.</w:t>
      </w:r>
    </w:p>
    <w:p>
      <w:pPr>
        <w:spacing w:after="120" w:line="276"/>
        <w:jc w:val="both"/>
      </w:pPr>
      <w:r>
        <w:rPr>
          <w:rFonts w:ascii="Barlow Semi Condensed" w:cs="Barlow Semi Condensed" w:eastAsia="Barlow Semi Condensed" w:hAnsi="Barlow Semi Condensed"/>
          <w:b/>
          <w:bCs/>
          <w:sz w:val="24"/>
          <w:szCs w:val="24"/>
        </w:rPr>
        <w:t xml:space="preserve">1779 · Il divieto che precede ogni riga.</w:t>
      </w:r>
      <w:r>
        <w:rPr>
          <w:rFonts w:ascii="Barlow Semi Condensed" w:cs="Barlow Semi Condensed" w:eastAsia="Barlow Semi Condensed" w:hAnsi="Barlow Semi Condensed"/>
          <w:sz w:val="24"/>
          <w:szCs w:val="24"/>
        </w:rPr>
        <w:t xml:space="preserve"> Si ripete una volta e non si ripeterà più, perché nessuna pagina possa essere estratta e usata male. Henry Alfred Kissinger, nato a Fürth il 27 maggio 1923 e morto a Kent, nel Connecticut, il 29 novembre 2023, non fu condannato in alcun processo, non fu mai imputato né processato in alcun Paese. Il territorio qui esaminato è fatto di condanne, amnistie ed estradizioni: nessuna di quelle categorie lo riguarda.</w:t>
      </w:r>
    </w:p>
    <w:p>
      <w:pPr>
        <w:spacing w:after="120" w:line="276"/>
        <w:jc w:val="both"/>
      </w:pPr>
      <w:r>
        <w:rPr>
          <w:rFonts w:ascii="Barlow Semi Condensed" w:cs="Barlow Semi Condensed" w:eastAsia="Barlow Semi Condensed" w:hAnsi="Barlow Semi Condensed"/>
          <w:b/>
          <w:bCs/>
          <w:sz w:val="24"/>
          <w:szCs w:val="24"/>
        </w:rPr>
        <w:t xml:space="preserve">1780 · Perché questo territorio produce assenze.</w:t>
      </w:r>
      <w:r>
        <w:rPr>
          <w:rFonts w:ascii="Barlow Semi Condensed" w:cs="Barlow Semi Condensed" w:eastAsia="Barlow Semi Condensed" w:hAnsi="Barlow Semi Condensed"/>
          <w:sz w:val="24"/>
          <w:szCs w:val="24"/>
        </w:rPr>
        <w:t xml:space="preserve"> Le due carte assegnate sono state costruite da comunità di fonti che non trattano il nodo statunitense: archivi antifascisti bolognesi da un lato, atti francesi, svizzeri e nicaraguensi dall'altro. Il secondo tempo della regola dei buchi, enunciato al blocco 642, impone di diagnosticare la causa del vuoto prima di leggerlo: qui la causa è la specializzazione delle fonti, e trasformare quella lacuna bibliografica in scoperta sarebbe l'errore tipico.</w:t>
      </w:r>
    </w:p>
    <w:p>
      <w:pPr>
        <w:spacing w:after="120" w:line="276"/>
        <w:jc w:val="both"/>
      </w:pPr>
      <w:r>
        <w:rPr>
          <w:rFonts w:ascii="Barlow Semi Condensed" w:cs="Barlow Semi Condensed" w:eastAsia="Barlow Semi Condensed" w:hAnsi="Barlow Semi Condensed"/>
          <w:b/>
          <w:bCs/>
          <w:sz w:val="24"/>
          <w:szCs w:val="24"/>
        </w:rPr>
        <w:t xml:space="preserve">1781 · Le date che chiudono il piano uno.</w:t>
      </w:r>
      <w:r>
        <w:rPr>
          <w:rFonts w:ascii="Barlow Semi Condensed" w:cs="Barlow Semi Condensed" w:eastAsia="Barlow Semi Condensed" w:hAnsi="Barlow Semi Condensed"/>
          <w:sz w:val="24"/>
          <w:szCs w:val="24"/>
        </w:rPr>
        <w:t xml:space="preserve"> Il Tribunale Speciale per la Difesa dello Stato operò dal febbraio 1927 al luglio 1943. In quell'arco il nome triangolato appartiene a un bambino di Fürth, poi a un adolescente emigrato il 20 agosto 1938 e sbarcato a New York il 5 settembre, naturalizzato il 19 giugno 1943. Nessun rapporto diretto documentato è materialmente concepibile con l'istituzione, con i suoi giudici o con i suoi amnistiati. L'accertamento è di grado A e si scrive per intero.</w:t>
      </w:r>
    </w:p>
    <w:p>
      <w:pPr>
        <w:spacing w:after="120" w:line="276"/>
        <w:jc w:val="both"/>
      </w:pPr>
      <w:r>
        <w:rPr>
          <w:rFonts w:ascii="Barlow Semi Condensed" w:cs="Barlow Semi Condensed" w:eastAsia="Barlow Semi Condensed" w:hAnsi="Barlow Semi Condensed"/>
          <w:b/>
          <w:bCs/>
          <w:sz w:val="24"/>
          <w:szCs w:val="24"/>
        </w:rPr>
        <w:t xml:space="preserve">1782 · Cinquantasette schede, nessun elemento americano.</w:t>
      </w:r>
      <w:r>
        <w:rPr>
          <w:rFonts w:ascii="Barlow Semi Condensed" w:cs="Barlow Semi Condensed" w:eastAsia="Barlow Semi Condensed" w:hAnsi="Barlow Semi Condensed"/>
          <w:sz w:val="24"/>
          <w:szCs w:val="24"/>
        </w:rPr>
        <w:t xml:space="preserve"> Il conteggio esatto delle voci nominative del primo documento: quarantuno amnistiati del decennale, uno amnistiato e non scarcerato, uno escluso dal beneficio, quattro del ventennale, otto di altre amnistie del periodo, due del dopoguerra. Sono ferrovieri, muratori, coloni, operai meccanici, falegnami, dirigenti della gioventù comunista. Nessuna scheda registra un rapporto con autorità straniere di alcun genere, e a maggior ragione nessuna con quelle statunitensi.</w:t>
      </w:r>
    </w:p>
    <w:p>
      <w:pPr>
        <w:spacing w:after="120" w:line="276"/>
        <w:jc w:val="both"/>
      </w:pPr>
      <w:r>
        <w:rPr>
          <w:rFonts w:ascii="Barlow Semi Condensed" w:cs="Barlow Semi Condensed" w:eastAsia="Barlow Semi Condensed" w:hAnsi="Barlow Semi Condensed"/>
          <w:b/>
          <w:bCs/>
          <w:sz w:val="24"/>
          <w:szCs w:val="24"/>
        </w:rPr>
        <w:t xml:space="preserve">1783 · L'amnistia presuppone un fatto punibile.</w:t>
      </w:r>
      <w:r>
        <w:rPr>
          <w:rFonts w:ascii="Barlow Semi Condensed" w:cs="Barlow Semi Condensed" w:eastAsia="Barlow Semi Condensed" w:hAnsi="Barlow Semi Condensed"/>
          <w:sz w:val="24"/>
          <w:szCs w:val="24"/>
        </w:rPr>
        <w:t xml:space="preserve"> Regola di lettura che governa metà della serie. L'amnistia estingue un reato accertato o contestato; presuppone dunque un procedimento, e senza procedimento non ha oggetto. Poiché per il nome triangolato non risulta alcuna imputazione in alcun Paese, l'intero istituto censito dal documento bolognese gli è categorialmente inapplicabile. Non si tratta di un esito favorevole né sfavorevole: si tratta di una categoria che non trova materia su cui operare.</w:t>
      </w:r>
    </w:p>
    <w:p>
      <w:pPr>
        <w:spacing w:after="120" w:line="276"/>
        <w:jc w:val="both"/>
      </w:pPr>
      <w:r>
        <w:rPr>
          <w:rFonts w:ascii="Barlow Semi Condensed" w:cs="Barlow Semi Condensed" w:eastAsia="Barlow Semi Condensed" w:hAnsi="Barlow Semi Condensed"/>
          <w:b/>
          <w:bCs/>
          <w:sz w:val="24"/>
          <w:szCs w:val="24"/>
        </w:rPr>
        <w:t xml:space="preserve">1784 · Sei istituti che non vanno confusi.</w:t>
      </w:r>
      <w:r>
        <w:rPr>
          <w:rFonts w:ascii="Barlow Semi Condensed" w:cs="Barlow Semi Condensed" w:eastAsia="Barlow Semi Condensed" w:hAnsi="Barlow Semi Condensed"/>
          <w:sz w:val="24"/>
          <w:szCs w:val="24"/>
        </w:rPr>
        <w:t xml:space="preserve"> La pubblicistica li scambia con regolarità, e la serie li separa una volta per tutte: amnistia estingue il reato, indulto condona la pena, grazia riguarda il singolo condannato, prescrizione estingue per decorso del tempo, immunità sottrae alla giurisdizione, mancato esercizio dell'azione significa che nessuno ha mai chiesto un processo. Solo l'ultima voce descrive la posizione del nome triangolato, e descrive un'assenza di atti, non un beneficio ricevuto.</w:t>
      </w:r>
    </w:p>
    <w:p>
      <w:pPr>
        <w:spacing w:after="120" w:line="276"/>
        <w:jc w:val="both"/>
      </w:pPr>
      <w:r>
        <w:rPr>
          <w:rFonts w:ascii="Barlow Semi Condensed" w:cs="Barlow Semi Condensed" w:eastAsia="Barlow Semi Condensed" w:hAnsi="Barlow Semi Condensed"/>
          <w:b/>
          <w:bCs/>
          <w:sz w:val="24"/>
          <w:szCs w:val="24"/>
        </w:rPr>
        <w:t xml:space="preserve">1785 · La clemenza che completa l'apparato (serie XXIV).</w:t>
      </w:r>
      <w:r>
        <w:rPr>
          <w:rFonts w:ascii="Barlow Semi Condensed" w:cs="Barlow Semi Condensed" w:eastAsia="Barlow Semi Condensed" w:hAnsi="Barlow Semi Condensed"/>
          <w:sz w:val="24"/>
          <w:szCs w:val="24"/>
        </w:rPr>
        <w:t xml:space="preserve"> Lo studio sull'istituzione ha fissato il punto più fine del primo documento: gli amnistiati del decennale uscivano dal carcere ed entravano quasi sempre in confino, ammonizione o vigilanza speciale, e alcuni furono ricondannati poco dopo. La clemenza non smontava la macchina, la completava. È una regola di lettura sul rapporto fra atto benevolo e struttura repressiva, ed è utilizzabile ovunque; non è un ponte verso alcun nome, e non se ne fa un ponte.</w:t>
      </w:r>
    </w:p>
    <w:p>
      <w:pPr>
        <w:spacing w:after="120" w:line="276"/>
        <w:jc w:val="both"/>
      </w:pPr>
      <w:r>
        <w:rPr>
          <w:rFonts w:ascii="Barlow Semi Condensed" w:cs="Barlow Semi Condensed" w:eastAsia="Barlow Semi Condensed" w:hAnsi="Barlow Semi Condensed"/>
          <w:b/>
          <w:bCs/>
          <w:sz w:val="24"/>
          <w:szCs w:val="24"/>
        </w:rPr>
        <w:t xml:space="preserve">1786 · Quattro o cinque novembre 1932.</w:t>
      </w:r>
      <w:r>
        <w:rPr>
          <w:rFonts w:ascii="Barlow Semi Condensed" w:cs="Barlow Semi Condensed" w:eastAsia="Barlow Semi Condensed" w:hAnsi="Barlow Semi Condensed"/>
          <w:sz w:val="24"/>
          <w:szCs w:val="24"/>
        </w:rPr>
        <w:t xml:space="preserve"> Divergenza interna al documento assegnato, da riportare e non da sciogliere in silenzio. La nota metodologica d'apertura data l'amnistia del decennale al 4 novembre 1932; la scheda sulle amnistie del regime, nella stessa pagina, la data al 5 novembre 1932. Le due date non possono valere insieme. La sede che chiude: la Gazzetta Ufficiale del Regno d'Italia del novembre 1932 e la Raccolta ufficiale delle leggi e dei decreti.</w:t>
      </w:r>
    </w:p>
    <w:p>
      <w:pPr>
        <w:spacing w:after="120" w:line="276"/>
        <w:jc w:val="both"/>
      </w:pPr>
      <w:r>
        <w:rPr>
          <w:rFonts w:ascii="Barlow Semi Condensed" w:cs="Barlow Semi Condensed" w:eastAsia="Barlow Semi Condensed" w:hAnsi="Barlow Semi Condensed"/>
          <w:b/>
          <w:bCs/>
          <w:sz w:val="24"/>
          <w:szCs w:val="24"/>
        </w:rPr>
        <w:t xml:space="preserve">1787 · Il ventennale e i suoi mesi discordanti.</w:t>
      </w:r>
      <w:r>
        <w:rPr>
          <w:rFonts w:ascii="Barlow Semi Condensed" w:cs="Barlow Semi Condensed" w:eastAsia="Barlow Semi Condensed" w:hAnsi="Barlow Semi Condensed"/>
          <w:sz w:val="24"/>
          <w:szCs w:val="24"/>
        </w:rPr>
        <w:t xml:space="preserve"> Seconda divergenza, dentro lo stesso elenco. L'intestazione colloca l'amnistia del ventennale al 17 ottobre 1942, ma due schede individuali la collocano prima: Minghetti, assegnato al confino il 1 giugno 1942, ne beneficia il mese successivo; Pancaldi, arrestato il 7 maggio 1942, è amnistiato il mese dopo e scarcerato il 13 luglio. O le schede riferiscono un provvedimento anteriore, o l'intestazione sbaglia. Stessa sede della divergenza precedente.</w:t>
      </w:r>
    </w:p>
    <w:p>
      <w:pPr>
        <w:spacing w:after="120" w:line="276"/>
        <w:jc w:val="both"/>
      </w:pPr>
      <w:r>
        <w:rPr>
          <w:rFonts w:ascii="Barlow Semi Condensed" w:cs="Barlow Semi Condensed" w:eastAsia="Barlow Semi Condensed" w:hAnsi="Barlow Semi Condensed"/>
          <w:b/>
          <w:bCs/>
          <w:sz w:val="24"/>
          <w:szCs w:val="24"/>
        </w:rPr>
        <w:t xml:space="preserve">1788 · Trombetti Bruno, tre anni che non tornano.</w:t>
      </w:r>
      <w:r>
        <w:rPr>
          <w:rFonts w:ascii="Barlow Semi Condensed" w:cs="Barlow Semi Condensed" w:eastAsia="Barlow Semi Condensed" w:hAnsi="Barlow Semi Condensed"/>
          <w:sz w:val="24"/>
          <w:szCs w:val="24"/>
        </w:rPr>
        <w:t xml:space="preserve"> Terza divergenza, aritmetica. La scheda registra condanna il 18 settembre 1933 a otto anni, tre anni scontati nel carcere di Fossano e liberazione per amnistia nel 1935. La somma restituirebbe il 1936. L'errore può stare nella data di condanna, nella durata della detenzione o nell'anno di scarcerazione, e non è determinabile sul testo. Chiuderebbe la questione il fascicolo personale nel fondo del Tribunale Speciale all'Archivio Centrale dello Stato.</w:t>
      </w:r>
    </w:p>
    <w:p>
      <w:pPr>
        <w:spacing w:after="120" w:line="276"/>
        <w:jc w:val="both"/>
      </w:pPr>
      <w:r>
        <w:rPr>
          <w:rFonts w:ascii="Barlow Semi Condensed" w:cs="Barlow Semi Condensed" w:eastAsia="Barlow Semi Condensed" w:hAnsi="Barlow Semi Condensed"/>
          <w:b/>
          <w:bCs/>
          <w:sz w:val="24"/>
          <w:szCs w:val="24"/>
        </w:rPr>
        <w:t xml:space="preserve">1789 · Serenari, quale amnistia dopo il 1934.</w:t>
      </w:r>
      <w:r>
        <w:rPr>
          <w:rFonts w:ascii="Barlow Semi Condensed" w:cs="Barlow Semi Condensed" w:eastAsia="Barlow Semi Condensed" w:hAnsi="Barlow Semi Condensed"/>
          <w:sz w:val="24"/>
          <w:szCs w:val="24"/>
        </w:rPr>
        <w:t xml:space="preserve"> Lacuna verbalizzata sul singolo caso. La scheda di Marino Serenari registra due condanne, il 28 settembre 1928 e il 5 luglio 1934, e un'amnistia non datata che lo liberò prima del fine pena. Fra le sette amnistie del regime, dopo il 1934 il documento censisce solo il ventennale del 1942, e non lo dice. Lo stato è zero sull'individuazione del provvedimento; lo chiuderebbe l'ordinanza nel fascicolo processuale conservato a Roma.</w:t>
      </w:r>
    </w:p>
    <w:p>
      <w:pPr>
        <w:spacing w:after="120" w:line="276"/>
        <w:jc w:val="both"/>
      </w:pPr>
      <w:r>
        <w:rPr>
          <w:rFonts w:ascii="Barlow Semi Condensed" w:cs="Barlow Semi Condensed" w:eastAsia="Barlow Semi Condensed" w:hAnsi="Barlow Semi Condensed"/>
          <w:b/>
          <w:bCs/>
          <w:sz w:val="24"/>
          <w:szCs w:val="24"/>
        </w:rPr>
        <w:t xml:space="preserve">1790 · Il limite tecnico dichiarato due volte.</w:t>
      </w:r>
      <w:r>
        <w:rPr>
          <w:rFonts w:ascii="Barlow Semi Condensed" w:cs="Barlow Semi Condensed" w:eastAsia="Barlow Semi Condensed" w:hAnsi="Barlow Semi Condensed"/>
          <w:sz w:val="24"/>
          <w:szCs w:val="24"/>
        </w:rPr>
        <w:t xml:space="preserve"> Convergenza reale fra i due termini della triangolazione, ed è di metodo. L'elenco bolognese avverte di essere stato ricostruito interrogando i motori di ricerca perché il sito d'archivio non era raggiungibile dalla rete di lavoro. L'Apparato K dell'opera Kissinger dichiara lo stesso limite: proxy bloccato, nessun accesso ai documenti primari. Due carte del corpus costruite senza toccare la fonte: si registra, e vale come avvertenza sul peso di ciascuna riga.</w:t>
      </w:r>
    </w:p>
    <w:p>
      <w:pPr>
        <w:spacing w:after="120" w:line="276"/>
        <w:jc w:val="both"/>
      </w:pPr>
      <w:r>
        <w:rPr>
          <w:rFonts w:ascii="Barlow Semi Condensed" w:cs="Barlow Semi Condensed" w:eastAsia="Barlow Semi Condensed" w:hAnsi="Barlow Semi Condensed"/>
          <w:b/>
          <w:bCs/>
          <w:sz w:val="24"/>
          <w:szCs w:val="24"/>
        </w:rPr>
        <w:t xml:space="preserve">1791 · La sede che chiuderebbe le schede.</w:t>
      </w:r>
      <w:r>
        <w:rPr>
          <w:rFonts w:ascii="Barlow Semi Condensed" w:cs="Barlow Semi Condensed" w:eastAsia="Barlow Semi Condensed" w:hAnsi="Barlow Semi Condensed"/>
          <w:sz w:val="24"/>
          <w:szCs w:val="24"/>
        </w:rPr>
        <w:t xml:space="preserve"> Bersaglio d'archivio unico per l'intero primo documento. Le cinquantasette voci vanno riscontrate sul fondo Tribunale Speciale per la Difesa dello Stato all'Archivio Centrale dello Stato, segnatura d'autorità IT-ACS-SP00001-00000424, e sul Casellario Politico Centrale della stessa sede per confino, ammonizione e vigilanza speciale. Le schede bolognesi sono estratti secondari; sentenze e ordinanze sono gli originali. Finché il riscontro manca, ogni data dell'elenco resta di grado dichiarato e non di grado A.</w:t>
      </w:r>
    </w:p>
    <w:p>
      <w:pPr>
        <w:spacing w:after="120" w:line="276"/>
        <w:jc w:val="both"/>
      </w:pPr>
      <w:r>
        <w:rPr>
          <w:rFonts w:ascii="Barlow Semi Condensed" w:cs="Barlow Semi Condensed" w:eastAsia="Barlow Semi Condensed" w:hAnsi="Barlow Semi Condensed"/>
          <w:b/>
          <w:bCs/>
          <w:sz w:val="24"/>
          <w:szCs w:val="24"/>
        </w:rPr>
        <w:t xml:space="preserve">1792 · Nannetti, amnistiato e non scarcerato.</w:t>
      </w:r>
      <w:r>
        <w:rPr>
          <w:rFonts w:ascii="Barlow Semi Condensed" w:cs="Barlow Semi Condensed" w:eastAsia="Barlow Semi Condensed" w:hAnsi="Barlow Semi Condensed"/>
          <w:sz w:val="24"/>
          <w:szCs w:val="24"/>
        </w:rPr>
        <w:t xml:space="preserve"> La scheda più istruttiva dell'elenco per il resto della serie. Nerio Nannetti fu amnistiato per il decennale il 24 novembre 1932 e non uscì: lasciò il carcere di San Giovanni in Monte soltanto nella notte fra l'8 e il 9 agosto 1944, per un'azione partigiana. Il provvedimento accertò e non dispose. È la stessa frattura che il secondo documento assegnato pone al proprio inizio, dodici anni prima e dentro un solo Stato.</w:t>
      </w:r>
    </w:p>
    <w:p>
      <w:pPr>
        <w:spacing w:after="120" w:line="276"/>
        <w:jc w:val="both"/>
      </w:pPr>
      <w:r>
        <w:rPr>
          <w:rFonts w:ascii="Barlow Semi Condensed" w:cs="Barlow Semi Condensed" w:eastAsia="Barlow Semi Condensed" w:hAnsi="Barlow Semi Condensed"/>
          <w:b/>
          <w:bCs/>
          <w:sz w:val="24"/>
          <w:szCs w:val="24"/>
        </w:rPr>
        <w:t xml:space="preserve">1793 · Martelli, l'escluso che misura la clemenza.</w:t>
      </w:r>
      <w:r>
        <w:rPr>
          <w:rFonts w:ascii="Barlow Semi Condensed" w:cs="Barlow Semi Condensed" w:eastAsia="Barlow Semi Condensed" w:hAnsi="Barlow Semi Condensed"/>
          <w:sz w:val="24"/>
          <w:szCs w:val="24"/>
        </w:rPr>
        <w:t xml:space="preserve"> Dino Martelli non beneficiò del decennale: il 10 dicembre 1932 fu sottoposto a istruttoria suppletiva per riorganizzazione di partito disciolto. La sua scheda serve all'elenco come contro-caso, perché mostra che la clemenza era selettiva e colpiva per esclusione i quadri più esposti. Serve alla serie come promemoria: dove un atto di clemenza esiste, esiste anche il registro di chi ne fu escluso. Per il nome triangolato non esiste né l'uno né l'altro.</w:t>
      </w:r>
    </w:p>
    <w:p>
      <w:pPr>
        <w:spacing w:after="120" w:line="276"/>
        <w:jc w:val="both"/>
      </w:pPr>
      <w:r>
        <w:rPr>
          <w:rFonts w:ascii="Barlow Semi Condensed" w:cs="Barlow Semi Condensed" w:eastAsia="Barlow Semi Condensed" w:hAnsi="Barlow Semi Condensed"/>
          <w:b/>
          <w:bCs/>
          <w:sz w:val="24"/>
          <w:szCs w:val="24"/>
        </w:rPr>
        <w:t xml:space="preserve">1794 · Olivieri, il primo oltre confine.</w:t>
      </w:r>
      <w:r>
        <w:rPr>
          <w:rFonts w:ascii="Barlow Semi Condensed" w:cs="Barlow Semi Condensed" w:eastAsia="Barlow Semi Condensed" w:hAnsi="Barlow Semi Condensed"/>
          <w:sz w:val="24"/>
          <w:szCs w:val="24"/>
        </w:rPr>
        <w:t xml:space="preserve"> Dentro il documento sugli amnistiati sta già, senza che vi sia detto, un caso di pena che non attraversa la frontiera. Antonino Olivieri, falegname imolese, emigrò clandestinamente in Francia; il mandato di cattura fu revocato nel 1933 per l'amnistia del decennale, e in Italia non rientrò mai. Il ponte fra i due documenti del territorio è interno e documentato: la frontiera francese come luogo in cui un provvedimento italiano perde presa.</w:t>
      </w:r>
    </w:p>
    <w:p>
      <w:pPr>
        <w:spacing w:after="120" w:line="276"/>
        <w:jc w:val="both"/>
      </w:pPr>
      <w:r>
        <w:rPr>
          <w:rFonts w:ascii="Barlow Semi Condensed" w:cs="Barlow Semi Condensed" w:eastAsia="Barlow Semi Condensed" w:hAnsi="Barlow Semi Condensed"/>
          <w:b/>
          <w:bCs/>
          <w:sz w:val="24"/>
          <w:szCs w:val="24"/>
        </w:rPr>
        <w:t xml:space="preserve">1795 · Mondini a Reims, mandato revocato.</w:t>
      </w:r>
      <w:r>
        <w:rPr>
          <w:rFonts w:ascii="Barlow Semi Condensed" w:cs="Barlow Semi Condensed" w:eastAsia="Barlow Semi Condensed" w:hAnsi="Barlow Semi Condensed"/>
          <w:sz w:val="24"/>
          <w:szCs w:val="24"/>
        </w:rPr>
        <w:t xml:space="preserve"> Il secondo caso della stessa specie, e più tardo. Torquato Mondini, emigrato a Reims, fu colpito nel 1934 da mandato di cattura per lettere critiche verso il regime intercettate; il mandato cadde nel 1942 con l'amnistia del ventennale. Due schede su cinquantasette descrivono dunque italiani irreperibili in Francia, raggiunti non dall'esecuzione ma dalla revoca. Il meccanismo è opposto a quello del 1985, e il confronto va tenuto come contrasto, non come antenato.</w:t>
      </w:r>
    </w:p>
    <w:p>
      <w:pPr>
        <w:spacing w:after="120" w:line="276"/>
        <w:jc w:val="both"/>
      </w:pPr>
      <w:r>
        <w:rPr>
          <w:rFonts w:ascii="Barlow Semi Condensed" w:cs="Barlow Semi Condensed" w:eastAsia="Barlow Semi Condensed" w:hAnsi="Barlow Semi Condensed"/>
          <w:b/>
          <w:bCs/>
          <w:sz w:val="24"/>
          <w:szCs w:val="24"/>
        </w:rPr>
        <w:t xml:space="preserve">1796 · La Francia rifugio in due epoche.</w:t>
      </w:r>
      <w:r>
        <w:rPr>
          <w:rFonts w:ascii="Barlow Semi Condensed" w:cs="Barlow Semi Condensed" w:eastAsia="Barlow Semi Condensed" w:hAnsi="Barlow Semi Condensed"/>
          <w:sz w:val="24"/>
          <w:szCs w:val="24"/>
        </w:rPr>
        <w:t xml:space="preserve"> Convergenza tematica che va nominata e fermata. Negli anni Trenta la Francia ospitò fuoriusciti italiani sottratti a un tribunale di eccezione; dal 1985 ospitò rifugiati italiani sottratti all'esecuzione di sentenze di corti ordinarie. Il risultato somiglia; la natura dei due giudici è opposta. Dalla somiglianza dell'esito non si deduce alcun antenato comune: servirebbe un documento di provenienza che leghi le due politiche d'asilo, e nessuno dei due file assegnati lo esibisce.</w:t>
      </w:r>
    </w:p>
    <w:p>
      <w:pPr>
        <w:spacing w:after="120" w:line="276"/>
        <w:jc w:val="both"/>
      </w:pPr>
      <w:r>
        <w:rPr>
          <w:rFonts w:ascii="Barlow Semi Condensed" w:cs="Barlow Semi Condensed" w:eastAsia="Barlow Semi Condensed" w:hAnsi="Barlow Semi Condensed"/>
          <w:b/>
          <w:bCs/>
          <w:sz w:val="24"/>
          <w:szCs w:val="24"/>
        </w:rPr>
        <w:t xml:space="preserve">1797 · Trombetti Gustavo e i Quaderni salvati.</w:t>
      </w:r>
      <w:r>
        <w:rPr>
          <w:rFonts w:ascii="Barlow Semi Condensed" w:cs="Barlow Semi Condensed" w:eastAsia="Barlow Semi Condensed" w:hAnsi="Barlow Semi Condensed"/>
          <w:sz w:val="24"/>
          <w:szCs w:val="24"/>
        </w:rPr>
        <w:t xml:space="preserve"> Scheda che il corpus dovrebbe valorizzare più di quanto faccia. Gustavo Trombetti, condannato l'8 aprile 1932 a dieci anni, fu detenuto a Turi in contatto con Antonio Gramsci e mise in salvo i Quaderni; uscì per amnistia nel luglio 1934. La carta sopravvive alla pena grazie a un condannato. È l'immagine rovesciata degli archivi muti della nona serie: qui non manca il documento, manca l'istituzione che avrebbe dovuto conservarlo.</w:t>
      </w:r>
    </w:p>
    <w:p>
      <w:pPr>
        <w:spacing w:after="120" w:line="276"/>
        <w:jc w:val="both"/>
      </w:pPr>
      <w:r>
        <w:rPr>
          <w:rFonts w:ascii="Barlow Semi Condensed" w:cs="Barlow Semi Condensed" w:eastAsia="Barlow Semi Condensed" w:hAnsi="Barlow Semi Condensed"/>
          <w:b/>
          <w:bCs/>
          <w:sz w:val="24"/>
          <w:szCs w:val="24"/>
        </w:rPr>
        <w:t xml:space="preserve">1798 · Le due schede del dopoguerra.</w:t>
      </w:r>
      <w:r>
        <w:rPr>
          <w:rFonts w:ascii="Barlow Semi Condensed" w:cs="Barlow Semi Condensed" w:eastAsia="Barlow Semi Condensed" w:hAnsi="Barlow Semi Condensed"/>
          <w:sz w:val="24"/>
          <w:szCs w:val="24"/>
        </w:rPr>
        <w:t xml:space="preserve"> L'elenco dichiara fuori perimetro la propria sezione finale, e fa bene. Lidia Golinelli, condannata a morte nell'agosto 1945 con pena non eseguita e liberata dopo un anno, e Michele Tossani, amnistiato l'8 gennaio 1947, appartengono alla stagione dell'amnistia del 22 giugno 1946, non al Tribunale Speciale. Chi triangola su questo territorio non le usi come se fossero omogenee alle altre: la dichiarazione di estraneità del compilatore è parte del dato.</w:t>
      </w:r>
    </w:p>
    <w:p>
      <w:pPr>
        <w:spacing w:after="120" w:line="276"/>
        <w:jc w:val="both"/>
      </w:pPr>
      <w:r>
        <w:rPr>
          <w:rFonts w:ascii="Barlow Semi Condensed" w:cs="Barlow Semi Condensed" w:eastAsia="Barlow Semi Condensed" w:hAnsi="Barlow Semi Condensed"/>
          <w:b/>
          <w:bCs/>
          <w:sz w:val="24"/>
          <w:szCs w:val="24"/>
        </w:rPr>
        <w:t xml:space="preserve">1799 · Il bersaglio bolognese, scheda per scheda.</w:t>
      </w:r>
      <w:r>
        <w:rPr>
          <w:rFonts w:ascii="Barlow Semi Condensed" w:cs="Barlow Semi Condensed" w:eastAsia="Barlow Semi Condensed" w:hAnsi="Barlow Semi Condensed"/>
          <w:sz w:val="24"/>
          <w:szCs w:val="24"/>
        </w:rPr>
        <w:t xml:space="preserve"> Quesito da portare in archivio, formulato in termini eseguibili. Per ciascuna delle cinquantasette voci si chieda al fondo romano: numero della sentenza o dell'ordinanza, data, collegio, pena, provvedimento di clemenza applicato, misura successiva. La colonna decisiva è l'ultima, perché è quella che verifica la tesi della clemenza incompleta. L'esito si verbalizza comunque vada, e il verbale negativo su una scheda vale quanto il positivo su un'altra.</w:t>
      </w:r>
    </w:p>
    <w:p>
      <w:pPr>
        <w:spacing w:after="120" w:line="276"/>
        <w:jc w:val="both"/>
      </w:pPr>
      <w:r>
        <w:rPr>
          <w:rFonts w:ascii="Barlow Semi Condensed" w:cs="Barlow Semi Condensed" w:eastAsia="Barlow Semi Condensed" w:hAnsi="Barlow Semi Condensed"/>
          <w:b/>
          <w:bCs/>
          <w:sz w:val="24"/>
          <w:szCs w:val="24"/>
        </w:rPr>
        <w:t xml:space="preserve">1800 · Fürth prima del 1938, quesito bavarese.</w:t>
      </w:r>
      <w:r>
        <w:rPr>
          <w:rFonts w:ascii="Barlow Semi Condensed" w:cs="Barlow Semi Condensed" w:eastAsia="Barlow Semi Condensed" w:hAnsi="Barlow Semi Condensed"/>
          <w:sz w:val="24"/>
          <w:szCs w:val="24"/>
        </w:rPr>
        <w:t xml:space="preserve"> Se qualcuno volesse cercare comunque un contatto fra il nome e gli anni del Tribunale Speciale, ecco dove andrebbe e che cosa troverebbe. Lo Stadtarchiv di Fürth e lo Staatsarchiv di Norimberga conservano registri anagrafici, scolastici e di polizia della comunità ebraica locale fino all'espatrio. Documentano una famiglia perseguitata in Germania, non un rapporto con l'Italia. La ricerca è legittima e il suo esito è prevedibile: si dichiari prima di aprirla.</w:t>
      </w:r>
    </w:p>
    <w:p>
      <w:pPr>
        <w:spacing w:after="120" w:line="276"/>
        <w:jc w:val="both"/>
      </w:pPr>
      <w:r>
        <w:rPr>
          <w:rFonts w:ascii="Barlow Semi Condensed" w:cs="Barlow Semi Condensed" w:eastAsia="Barlow Semi Condensed" w:hAnsi="Barlow Semi Condensed"/>
          <w:b/>
          <w:bCs/>
          <w:sz w:val="24"/>
          <w:szCs w:val="24"/>
        </w:rPr>
        <w:t xml:space="preserve">1801 · Il fascicolo d'immigrazione come modello d'accesso.</w:t>
      </w:r>
      <w:r>
        <w:rPr>
          <w:rFonts w:ascii="Barlow Semi Condensed" w:cs="Barlow Semi Condensed" w:eastAsia="Barlow Semi Condensed" w:hAnsi="Barlow Semi Condensed"/>
          <w:sz w:val="24"/>
          <w:szCs w:val="24"/>
        </w:rPr>
        <w:t xml:space="preserve"> L'Apparato K ha già ottenuto per accesso agli atti il fascicolo d'immigrazione e naturalizzazione, e ne ha tratto la correzione sulla data dell'anglicizzazione, collocata al 1942-1943 contro il 1938 delle opere di consultazione. Quella via — il programma genealogico dell'agenzia federale statunitense per l'immigrazione — è replicabile per ogni quesito anagrafico residuo di questa serie. Il precedente serve come procedura, non come contenuto: nel fascicolo non c'è Italia.</w:t>
      </w:r>
    </w:p>
    <w:p>
      <w:pPr>
        <w:spacing w:after="120" w:line="276"/>
        <w:jc w:val="both"/>
      </w:pPr>
      <w:r>
        <w:rPr>
          <w:rFonts w:ascii="Barlow Semi Condensed" w:cs="Barlow Semi Condensed" w:eastAsia="Barlow Semi Condensed" w:hAnsi="Barlow Semi Condensed"/>
          <w:b/>
          <w:bCs/>
          <w:sz w:val="24"/>
          <w:szCs w:val="24"/>
        </w:rPr>
        <w:t xml:space="preserve">1802 · Il triennio tedesco e l'impunità degli apparati.</w:t>
      </w:r>
      <w:r>
        <w:rPr>
          <w:rFonts w:ascii="Barlow Semi Condensed" w:cs="Barlow Semi Condensed" w:eastAsia="Barlow Semi Condensed" w:hAnsi="Barlow Semi Condensed"/>
          <w:sz w:val="24"/>
          <w:szCs w:val="24"/>
        </w:rPr>
        <w:t xml:space="preserve"> Il sottonodo S-8 dello studio sul Tribunale registra come tema storiografico la sostanziale impunità postbellica dei giudici del regime, senza affermare percorsi individuali. La biografia corrente del nome triangolato lo colloca in Germania fra il 1944 e il 1946 in servizio nel controspionaggio dell'esercito statunitense. Il corpus non ha riscontrato quel dato su fonte primaria: si dichiara come affermazione da verificare presso i National Archives di College Park, non come acquisizione.</w:t>
      </w:r>
    </w:p>
    <w:p>
      <w:pPr>
        <w:spacing w:after="120" w:line="276"/>
        <w:jc w:val="both"/>
      </w:pPr>
      <w:r>
        <w:rPr>
          <w:rFonts w:ascii="Barlow Semi Condensed" w:cs="Barlow Semi Condensed" w:eastAsia="Barlow Semi Condensed" w:hAnsi="Barlow Semi Condensed"/>
          <w:b/>
          <w:bCs/>
          <w:sz w:val="24"/>
          <w:szCs w:val="24"/>
        </w:rPr>
        <w:t xml:space="preserve">1803 · Le leggi tedesche di esenzione dalla pena.</w:t>
      </w:r>
      <w:r>
        <w:rPr>
          <w:rFonts w:ascii="Barlow Semi Condensed" w:cs="Barlow Semi Condensed" w:eastAsia="Barlow Semi Condensed" w:hAnsi="Barlow Semi Condensed"/>
          <w:sz w:val="24"/>
          <w:szCs w:val="24"/>
        </w:rPr>
        <w:t xml:space="preserve"> Quesito comparativo, aperto e onesto. La Repubblica federale approvò dopo la guerra provvedimenti di esenzione dalla pena che la storiografia discute come forma di chiusura anticipata della denazificazione. Confrontarli con l'amnistia del decennale del 1932 è un esercizio di storia degli istituti, non un ponte fra persone. La sede è il Bundesarchiv di Coblenza per gli atti federali e l'Institut für Zeitgeschichte per la letteratura; il nome triangolato non vi entra come parte.</w:t>
      </w:r>
    </w:p>
    <w:p>
      <w:pPr>
        <w:spacing w:after="120" w:line="276"/>
        <w:jc w:val="both"/>
      </w:pPr>
      <w:r>
        <w:rPr>
          <w:rFonts w:ascii="Barlow Semi Condensed" w:cs="Barlow Semi Condensed" w:eastAsia="Barlow Semi Condensed" w:hAnsi="Barlow Semi Condensed"/>
          <w:b/>
          <w:bCs/>
          <w:sz w:val="24"/>
          <w:szCs w:val="24"/>
        </w:rPr>
        <w:t xml:space="preserve">1804 · Il test di provenienza, unico e severo.</w:t>
      </w:r>
      <w:r>
        <w:rPr>
          <w:rFonts w:ascii="Barlow Semi Condensed" w:cs="Barlow Semi Condensed" w:eastAsia="Barlow Semi Condensed" w:hAnsi="Barlow Semi Condensed"/>
          <w:sz w:val="24"/>
          <w:szCs w:val="24"/>
        </w:rPr>
        <w:t xml:space="preserve"> Su questo territorio la distinzione fra omologia e analogia si applica in forma elementare. Giustizia d'eccezione italiana e dottrina statunitense della sicurezza producono, in astratto, esiti simili: il singolo subordinato alla salvezza dello Stato. La somiglianza non autorizza a postulare un antenato comune. Il test è uno solo, e questa serie lo dichiara vuoto: un documento di provenienza che nomini la controparte. Nei due file assegnati non ce n'è traccia.</w:t>
      </w:r>
    </w:p>
    <w:p>
      <w:pPr>
        <w:spacing w:after="120" w:line="276"/>
        <w:jc w:val="both"/>
      </w:pPr>
      <w:r>
        <w:rPr>
          <w:rFonts w:ascii="Barlow Semi Condensed" w:cs="Barlow Semi Condensed" w:eastAsia="Barlow Semi Condensed" w:hAnsi="Barlow Semi Condensed"/>
          <w:b/>
          <w:bCs/>
          <w:sz w:val="24"/>
          <w:szCs w:val="24"/>
        </w:rPr>
        <w:t xml:space="preserve">1805 · Ragion di Stato e giustizia d'eccezione.</w:t>
      </w:r>
      <w:r>
        <w:rPr>
          <w:rFonts w:ascii="Barlow Semi Condensed" w:cs="Barlow Semi Condensed" w:eastAsia="Barlow Semi Condensed" w:hAnsi="Barlow Semi Condensed"/>
          <w:sz w:val="24"/>
          <w:szCs w:val="24"/>
        </w:rPr>
        <w:t xml:space="preserve"> Il documento sull'istituzione presidia esplicitamente il punto: nessun istituto della Repubblica è assimilabile al Tribunale del 1926, e ogni uso polemico retroattivo della comparazione esce dal terreno documentato. La stessa disciplina si estende qui alla comparazione internazionale. Accostare una dottrina di politica estera a un tribunale militare permanente contro il nemico interno produce retorica, non conoscenza, e il corpus si è vietato quel genere di produzione fin dalla prima pagina.</w:t>
      </w:r>
    </w:p>
    <w:p>
      <w:pPr>
        <w:spacing w:after="120" w:line="276"/>
        <w:jc w:val="both"/>
      </w:pPr>
      <w:r>
        <w:rPr>
          <w:rFonts w:ascii="Barlow Semi Condensed" w:cs="Barlow Semi Condensed" w:eastAsia="Barlow Semi Condensed" w:hAnsi="Barlow Semi Condensed"/>
          <w:b/>
          <w:bCs/>
          <w:sz w:val="24"/>
          <w:szCs w:val="24"/>
        </w:rPr>
        <w:t xml:space="preserve">1806 · Il vinto nel trattato del 1957.</w:t>
      </w:r>
      <w:r>
        <w:rPr>
          <w:rFonts w:ascii="Barlow Semi Condensed" w:cs="Barlow Semi Condensed" w:eastAsia="Barlow Semi Condensed" w:hAnsi="Barlow Semi Condensed"/>
          <w:sz w:val="24"/>
          <w:szCs w:val="24"/>
        </w:rPr>
        <w:t xml:space="preserve"> Bersaglio dottrinale legittimo, con la sua sede. Il volume del 1957 sull'ordine europeo dopo il 1815 discute la legittimità e il modo in cui un sistema riammette lo sconfitto: è il luogo del corpus kissingeriano dove il tema della clemenza politica potrebbe comparire in forma teorica. Si legga nell'originale e nella tesi dottorale del 1954 conservata negli archivi dell'università di Harvard, e si eviti l'anacronismo denunciato al blocco 76.</w:t>
      </w:r>
    </w:p>
    <w:p>
      <w:pPr>
        <w:spacing w:after="120" w:line="276"/>
        <w:jc w:val="both"/>
      </w:pPr>
      <w:r>
        <w:rPr>
          <w:rFonts w:ascii="Barlow Semi Condensed" w:cs="Barlow Semi Condensed" w:eastAsia="Barlow Semi Condensed" w:hAnsi="Barlow Semi Condensed"/>
          <w:b/>
          <w:bCs/>
          <w:sz w:val="24"/>
          <w:szCs w:val="24"/>
        </w:rPr>
        <w:t xml:space="preserve">1807 · La contemporaneità non è nesso, applicata.</w:t>
      </w:r>
      <w:r>
        <w:rPr>
          <w:rFonts w:ascii="Barlow Semi Condensed" w:cs="Barlow Semi Condensed" w:eastAsia="Barlow Semi Condensed" w:hAnsi="Barlow Semi Condensed"/>
          <w:sz w:val="24"/>
          <w:szCs w:val="24"/>
        </w:rPr>
        <w:t xml:space="preserve"> Il caso più facile della regola, e proprio per questo utile a fissarla. Fra il 1927 e il 1943 vissero contemporaneamente il Tribunale Speciale e il nome triangolato. La coesistenza nel tempo non stabilisce nulla, e qui non stabilisce nulla in modo così evidente che nessuno sarebbe tentato di sostenere il contrario. Le regole vanno esercitate sui casi facili, perché è sui casi difficili che vengono dimenticate.</w:t>
      </w:r>
    </w:p>
    <w:p>
      <w:pPr>
        <w:spacing w:after="120" w:line="276"/>
        <w:jc w:val="both"/>
      </w:pPr>
      <w:r>
        <w:rPr>
          <w:rFonts w:ascii="Barlow Semi Condensed" w:cs="Barlow Semi Condensed" w:eastAsia="Barlow Semi Condensed" w:hAnsi="Barlow Semi Condensed"/>
          <w:b/>
          <w:bCs/>
          <w:sz w:val="24"/>
          <w:szCs w:val="24"/>
        </w:rPr>
        <w:t xml:space="preserve">1808 · Il 21 aprile 1985, cittadino privato.</w:t>
      </w:r>
      <w:r>
        <w:rPr>
          <w:rFonts w:ascii="Barlow Semi Condensed" w:cs="Barlow Semi Condensed" w:eastAsia="Barlow Semi Condensed" w:hAnsi="Barlow Semi Condensed"/>
          <w:sz w:val="24"/>
          <w:szCs w:val="24"/>
        </w:rPr>
        <w:t xml:space="preserve"> Accertamento negativo, di grado A, sulle date già fissate dall'opera. Quando François Mitterrand enunciò il principio davanti al sessantacinquesimo congresso della Ligue des droits de l'homme, il nome triangolato non ricopriva alcuna carica pubblica statunitense: l'incarico di Assistente per la sicurezza nazionale era cessato il 3 novembre 1975, quello di Segretario di Stato il 20 gennaio 1977. Otto anni separano l'ultimo giorno di mandato dal discorso.</w:t>
      </w:r>
    </w:p>
    <w:p>
      <w:pPr>
        <w:spacing w:after="120" w:line="276"/>
        <w:jc w:val="both"/>
      </w:pPr>
      <w:r>
        <w:rPr>
          <w:rFonts w:ascii="Barlow Semi Condensed" w:cs="Barlow Semi Condensed" w:eastAsia="Barlow Semi Condensed" w:hAnsi="Barlow Semi Condensed"/>
          <w:b/>
          <w:bCs/>
          <w:sz w:val="24"/>
          <w:szCs w:val="24"/>
        </w:rPr>
        <w:t xml:space="preserve">1809 · Stato Zero sulla dottrina, con sede.</w:t>
      </w:r>
      <w:r>
        <w:rPr>
          <w:rFonts w:ascii="Barlow Semi Condensed" w:cs="Barlow Semi Condensed" w:eastAsia="Barlow Semi Condensed" w:hAnsi="Barlow Semi Condensed"/>
          <w:sz w:val="24"/>
          <w:szCs w:val="24"/>
        </w:rPr>
        <w:t xml:space="preserve"> Si verbalizza come acquisizione di pieno valore: allo stato non risulta al corpus alcun documento che colleghi il nome triangolato alla formazione, all'applicazione o all'erosione della politica francese del rifugio condizionato. La sede che chiuderebbe l'esito è duplice: il fondo della presidenza della Repubblica François Mitterrand agli Archives nationales, serie AG/5(4), e le serie Italia degli Archives diplomatiques di La Courneuve per il periodo 1985-2023.</w:t>
      </w:r>
    </w:p>
    <w:p>
      <w:pPr>
        <w:spacing w:after="120" w:line="276"/>
        <w:jc w:val="both"/>
      </w:pPr>
      <w:r>
        <w:rPr>
          <w:rFonts w:ascii="Barlow Semi Condensed" w:cs="Barlow Semi Condensed" w:eastAsia="Barlow Semi Condensed" w:hAnsi="Barlow Semi Condensed"/>
          <w:b/>
          <w:bCs/>
          <w:sz w:val="24"/>
          <w:szCs w:val="24"/>
        </w:rPr>
        <w:t xml:space="preserve">1810 · La colonna americana del fascicolo francese.</w:t>
      </w:r>
      <w:r>
        <w:rPr>
          <w:rFonts w:ascii="Barlow Semi Condensed" w:cs="Barlow Semi Condensed" w:eastAsia="Barlow Semi Condensed" w:hAnsi="Barlow Semi Condensed"/>
          <w:sz w:val="24"/>
          <w:szCs w:val="24"/>
        </w:rPr>
        <w:t xml:space="preserve"> Due bersagli già iscritti nel corpus chiedono il fascicolo francese integrale della dottrina, il blocco 140 dell'agenda e il blocco 51 dei nove cantieri: discorso, atti amministrativi sui rifugiati italiani, pareri del Conseil d'État, fino alla parola della Cassazione del 2023. Questa serie vi aggiunge una colonna: la ricerca dichiari se in quelle carte compaia una qualsiasi interlocuzione statunitense, e ne verbalizzi l'esito anche quando sia negativo, che è l'esito atteso.</w:t>
      </w:r>
    </w:p>
    <w:p>
      <w:pPr>
        <w:spacing w:after="120" w:line="276"/>
        <w:jc w:val="both"/>
      </w:pPr>
      <w:r>
        <w:rPr>
          <w:rFonts w:ascii="Barlow Semi Condensed" w:cs="Barlow Semi Condensed" w:eastAsia="Barlow Semi Condensed" w:hAnsi="Barlow Semi Condensed"/>
          <w:b/>
          <w:bCs/>
          <w:sz w:val="24"/>
          <w:szCs w:val="24"/>
        </w:rPr>
        <w:t xml:space="preserve">1811 · Gli atti del sessantacinquesimo congresso.</w:t>
      </w:r>
      <w:r>
        <w:rPr>
          <w:rFonts w:ascii="Barlow Semi Condensed" w:cs="Barlow Semi Condensed" w:eastAsia="Barlow Semi Condensed" w:hAnsi="Barlow Semi Condensed"/>
          <w:sz w:val="24"/>
          <w:szCs w:val="24"/>
        </w:rPr>
        <w:t xml:space="preserve"> Il principio del 1985 fu pronunciato a voce e nessun testo normativo lo recepì mai: la sua fonte primaria è dunque la registrazione o il resoconto congressuale, non la sintesi enciclopedica. Chi voglia riscontrare il verbatim si rivolga agli archivi della Ligue des droits de l'homme e alla stampa francese del 22 aprile 1985. La differenza fra parola pronunciata e parola riportata è, in questa materia, l'intera questione.</w:t>
      </w:r>
    </w:p>
    <w:p>
      <w:pPr>
        <w:spacing w:after="120" w:line="276"/>
        <w:jc w:val="both"/>
      </w:pPr>
      <w:r>
        <w:rPr>
          <w:rFonts w:ascii="Barlow Semi Condensed" w:cs="Barlow Semi Condensed" w:eastAsia="Barlow Semi Condensed" w:hAnsi="Barlow Semi Condensed"/>
          <w:b/>
          <w:bCs/>
          <w:sz w:val="24"/>
          <w:szCs w:val="24"/>
        </w:rPr>
        <w:t xml:space="preserve">1812 · Mulinaris, verbale di vuoto integrale.</w:t>
      </w:r>
      <w:r>
        <w:rPr>
          <w:rFonts w:ascii="Barlow Semi Condensed" w:cs="Barlow Semi Condensed" w:eastAsia="Barlow Semi Condensed" w:hAnsi="Barlow Semi Condensed"/>
          <w:sz w:val="24"/>
          <w:szCs w:val="24"/>
        </w:rPr>
        <w:t xml:space="preserve"> L'affaire censito dal secondo documento — arresto a Udine il 2 febbraio 1982, digiuni, comitato internazionale, assoluzione con formula piena e risarcimento di cento milioni — non contiene alcun elemento statunitense in nessuna delle sue fonti citate. Lo si dichiara come Stato Zero e non come constatazione di irrilevanza. La sede che lo chiuderebbe è l'archivio del procedimento presso la Corte d'assise di Roma e gli atti dell'istruttoria che ne originò.</w:t>
      </w:r>
    </w:p>
    <w:p>
      <w:pPr>
        <w:spacing w:after="120" w:line="276"/>
        <w:jc w:val="both"/>
      </w:pPr>
      <w:r>
        <w:rPr>
          <w:rFonts w:ascii="Barlow Semi Condensed" w:cs="Barlow Semi Condensed" w:eastAsia="Barlow Semi Condensed" w:hAnsi="Barlow Semi Condensed"/>
          <w:b/>
          <w:bCs/>
          <w:sz w:val="24"/>
          <w:szCs w:val="24"/>
        </w:rPr>
        <w:t xml:space="preserve">1813 · La scheda 63262 di Radio Radicale.</w:t>
      </w:r>
      <w:r>
        <w:rPr>
          <w:rFonts w:ascii="Barlow Semi Condensed" w:cs="Barlow Semi Condensed" w:eastAsia="Barlow Semi Condensed" w:hAnsi="Barlow Semi Condensed"/>
          <w:sz w:val="24"/>
          <w:szCs w:val="24"/>
        </w:rPr>
        <w:t xml:space="preserve"> Bersaglio concreto e a costo bassissimo, già indicato dal documento assegnato. La conferenza stampa romana del 22 giugno 1984 sul caso di Vanni Mulinaris, detenuto in attesa di processo, è conservata come registrazione integrale nell'archivio di Radio Radicale con quel numero di scheda. Si ascolti per intero e si verbalizzi se vi compaia una qualsiasi menzione di posizioni statunitensi. Il corpus l'ha finora citata senza averla ascoltata.</w:t>
      </w:r>
    </w:p>
    <w:p>
      <w:pPr>
        <w:spacing w:after="120" w:line="276"/>
        <w:jc w:val="both"/>
      </w:pPr>
      <w:r>
        <w:rPr>
          <w:rFonts w:ascii="Barlow Semi Condensed" w:cs="Barlow Semi Condensed" w:eastAsia="Barlow Semi Condensed" w:hAnsi="Barlow Semi Condensed"/>
          <w:b/>
          <w:bCs/>
          <w:sz w:val="24"/>
          <w:szCs w:val="24"/>
        </w:rPr>
        <w:t xml:space="preserve">1814 · Le carte del comitato dell'Abbé Pierre.</w:t>
      </w:r>
      <w:r>
        <w:rPr>
          <w:rFonts w:ascii="Barlow Semi Condensed" w:cs="Barlow Semi Condensed" w:eastAsia="Barlow Semi Condensed" w:hAnsi="Barlow Semi Condensed"/>
          <w:sz w:val="24"/>
          <w:szCs w:val="24"/>
        </w:rPr>
        <w:t xml:space="preserve"> Il comitato internazionale che si mosse attorno al detenuto fu guidato da una figura pubblica francese di primo piano, e un comitato produce carta: corrispondenza, appelli, rapporti con ministeri e ambasciate. Accertare dove quelle carte giacciano — presso il movimento Emmaüs e il centro che ne conserva la memoria in Normandia — è il preliminare di qualsiasi domanda sul loro contenuto. Prima l'inventario, poi il documento, come prescrive il blocco 287.</w:t>
      </w:r>
    </w:p>
    <w:p>
      <w:pPr>
        <w:spacing w:after="120" w:line="276"/>
        <w:jc w:val="both"/>
      </w:pPr>
      <w:r>
        <w:rPr>
          <w:rFonts w:ascii="Barlow Semi Condensed" w:cs="Barlow Semi Condensed" w:eastAsia="Barlow Semi Condensed" w:hAnsi="Barlow Semi Condensed"/>
          <w:b/>
          <w:bCs/>
          <w:sz w:val="24"/>
          <w:szCs w:val="24"/>
        </w:rPr>
        <w:t xml:space="preserve">1815 · Le note dell'articolo del 2015.</w:t>
      </w:r>
      <w:r>
        <w:rPr>
          <w:rFonts w:ascii="Barlow Semi Condensed" w:cs="Barlow Semi Condensed" w:eastAsia="Barlow Semi Condensed" w:hAnsi="Barlow Semi Condensed"/>
          <w:sz w:val="24"/>
          <w:szCs w:val="24"/>
        </w:rPr>
        <w:t xml:space="preserve"> Il saggio pubblicato in Matériaux pour l'histoire de notre temps definisce la vicenda un'intrigue franco-italienne, ed è la sola trattazione storiografica che il documento assegnato citi. Il bersaglio è il suo apparato di note: quali fondi ha spogliato, quali archivi nomina, se fra essi ne compaia uno statunitense. Un apparato che non ne nomini alcuno è un dato sulla ricerca e non sul mondo, e va scritto in quella forma.</w:t>
      </w:r>
    </w:p>
    <w:p>
      <w:pPr>
        <w:spacing w:after="120" w:line="276"/>
        <w:jc w:val="both"/>
      </w:pPr>
      <w:r>
        <w:rPr>
          <w:rFonts w:ascii="Barlow Semi Condensed" w:cs="Barlow Semi Condensed" w:eastAsia="Barlow Semi Condensed" w:hAnsi="Barlow Semi Condensed"/>
          <w:b/>
          <w:bCs/>
          <w:sz w:val="24"/>
          <w:szCs w:val="24"/>
        </w:rPr>
        <w:t xml:space="preserve">1816 · La nota Grimaud del 24 maggio 1983.</w:t>
      </w:r>
      <w:r>
        <w:rPr>
          <w:rFonts w:ascii="Barlow Semi Condensed" w:cs="Barlow Semi Condensed" w:eastAsia="Barlow Semi Condensed" w:hAnsi="Barlow Semi Condensed"/>
          <w:sz w:val="24"/>
          <w:szCs w:val="24"/>
        </w:rPr>
        <w:t xml:space="preserve"> La verifica C-1 dei nove cantieri ha già localizzato, nel fondo Maurice Grimaud conservato in due sedi fra Sciences Po e gli Archives nationales, una nota del 24 maggio 1983 ai Renseignements généraux che riguarda insieme Mulinaris e Hyperion. È il documento francese più prossimo al territorio di questa serie. Quesito: nomina interlocutori stranieri, e quali. Finché non è letto, nessuna proposizione su ciò che contiene è ammissibile.</w:t>
      </w:r>
    </w:p>
    <w:p>
      <w:pPr>
        <w:spacing w:after="120" w:line="276"/>
        <w:jc w:val="both"/>
      </w:pPr>
      <w:r>
        <w:rPr>
          <w:rFonts w:ascii="Barlow Semi Condensed" w:cs="Barlow Semi Condensed" w:eastAsia="Barlow Semi Condensed" w:hAnsi="Barlow Semi Condensed"/>
          <w:b/>
          <w:bCs/>
          <w:sz w:val="24"/>
          <w:szCs w:val="24"/>
        </w:rPr>
        <w:t xml:space="preserve">1817 · Il 1983, finestra comune e nient'altro.</w:t>
      </w:r>
      <w:r>
        <w:rPr>
          <w:rFonts w:ascii="Barlow Semi Condensed" w:cs="Barlow Semi Condensed" w:eastAsia="Barlow Semi Condensed" w:hAnsi="Barlow Semi Condensed"/>
          <w:sz w:val="24"/>
          <w:szCs w:val="24"/>
        </w:rPr>
        <w:t xml:space="preserve"> Coincidenza cronologica che va nominata perché non venga usata. Nello stesso anno cadono la nota francese su Mulinaris, la fase più acuta dell'affaire e la richiesta informale dei magistrati italiani di ascoltare il nome triangolato. Tre fatti dentro dodici mesi, e nessun documento che ne colleghi due. La coincidenza di finestra è il materiale grezzo di ogni dietrologia: si registra come rumore finché un atto non la trasformi in arco.</w:t>
      </w:r>
    </w:p>
    <w:p>
      <w:pPr>
        <w:spacing w:after="120" w:line="276"/>
        <w:jc w:val="both"/>
      </w:pPr>
      <w:r>
        <w:rPr>
          <w:rFonts w:ascii="Barlow Semi Condensed" w:cs="Barlow Semi Condensed" w:eastAsia="Barlow Semi Condensed" w:hAnsi="Barlow Semi Condensed"/>
          <w:b/>
          <w:bCs/>
          <w:sz w:val="24"/>
          <w:szCs w:val="24"/>
        </w:rPr>
        <w:t xml:space="preserve">1818 · La richiesta informale che non ebbe seguito.</w:t>
      </w:r>
      <w:r>
        <w:rPr>
          <w:rFonts w:ascii="Barlow Semi Condensed" w:cs="Barlow Semi Condensed" w:eastAsia="Barlow Semi Condensed" w:hAnsi="Barlow Semi Condensed"/>
          <w:sz w:val="24"/>
          <w:szCs w:val="24"/>
        </w:rPr>
        <w:t xml:space="preserve"> Qui il corpus possiede un accertamento proprio, ed è l'unico punto in cui il nome triangolato tocca davvero la materia del secondo documento. L'Apparato K registra che Kissinger non fu mai sentito dai magistrati italiani e che la richiesta informale del 1983 non ebbe seguito. Il ponte non è di fatto ma di istituto: è la stessa questione — la voce che non attraversa la frontiera — che governa lo studio sulle pene oltre confine.</w:t>
      </w:r>
    </w:p>
    <w:p>
      <w:pPr>
        <w:spacing w:after="120" w:line="276"/>
        <w:jc w:val="both"/>
      </w:pPr>
      <w:r>
        <w:rPr>
          <w:rFonts w:ascii="Barlow Semi Condensed" w:cs="Barlow Semi Condensed" w:eastAsia="Barlow Semi Condensed" w:hAnsi="Barlow Semi Condensed"/>
          <w:b/>
          <w:bCs/>
          <w:sz w:val="24"/>
          <w:szCs w:val="24"/>
        </w:rPr>
        <w:t xml:space="preserve">1819 · Due voci mai ottenute, statuti opposti.</w:t>
      </w:r>
      <w:r>
        <w:rPr>
          <w:rFonts w:ascii="Barlow Semi Condensed" w:cs="Barlow Semi Condensed" w:eastAsia="Barlow Semi Condensed" w:hAnsi="Barlow Semi Condensed"/>
          <w:sz w:val="24"/>
          <w:szCs w:val="24"/>
        </w:rPr>
        <w:t xml:space="preserve"> La simmetria è reale e l'asimmetria è totale, e vanno dette insieme. Alessio Casimirri non ha mai risposto ad alcuna autorità italiana pur essendo condannato in via definitiva a sei ergastoli in contumacia; il nome triangolato non fu mai sentito perché nessuna autorità aveva alcunché da contestargli. Identico l'esito documentale, opposto il presupposto giuridico. Confondere i due casi significa attribuire una posizione processuale a chi non ne ha mai avuta alcuna.</w:t>
      </w:r>
    </w:p>
    <w:p>
      <w:pPr>
        <w:spacing w:after="120" w:line="276"/>
        <w:jc w:val="both"/>
      </w:pPr>
      <w:r>
        <w:rPr>
          <w:rFonts w:ascii="Barlow Semi Condensed" w:cs="Barlow Semi Condensed" w:eastAsia="Barlow Semi Condensed" w:hAnsi="Barlow Semi Condensed"/>
          <w:b/>
          <w:bCs/>
          <w:sz w:val="24"/>
          <w:szCs w:val="24"/>
        </w:rPr>
        <w:t xml:space="preserve">1820 · La rogatoria conoscitiva e il suo termine.</w:t>
      </w:r>
      <w:r>
        <w:rPr>
          <w:rFonts w:ascii="Barlow Semi Condensed" w:cs="Barlow Semi Condensed" w:eastAsia="Barlow Semi Condensed" w:hAnsi="Barlow Semi Condensed"/>
          <w:sz w:val="24"/>
          <w:szCs w:val="24"/>
        </w:rPr>
        <w:t xml:space="preserve"> Lo strumento che il corpus indica per l'unico mai sentito — la pista P-8 del programma, il blocco 104 dell'agenda, il blocco 835 dei cantieri — è la rogatoria conoscitiva: domande scritte, deposizione all'estero anche senza consegna, esito verbalizzato comunque vada. Per il nome triangolato lo strumento non è più esperibile in alcuna forma. La differenza fra i due bersagli non è di volontà politica: è che uno dei due destinatari è morto.</w:t>
      </w:r>
    </w:p>
    <w:p>
      <w:pPr>
        <w:spacing w:after="120" w:line="276"/>
        <w:jc w:val="both"/>
      </w:pPr>
      <w:r>
        <w:rPr>
          <w:rFonts w:ascii="Barlow Semi Condensed" w:cs="Barlow Semi Condensed" w:eastAsia="Barlow Semi Condensed" w:hAnsi="Barlow Semi Condensed"/>
          <w:b/>
          <w:bCs/>
          <w:sz w:val="24"/>
          <w:szCs w:val="24"/>
        </w:rPr>
        <w:t xml:space="preserve">1821 · Il termine biologico, applicato al teste.</w:t>
      </w:r>
      <w:r>
        <w:rPr>
          <w:rFonts w:ascii="Barlow Semi Condensed" w:cs="Barlow Semi Condensed" w:eastAsia="Barlow Semi Condensed" w:hAnsi="Barlow Semi Condensed"/>
          <w:sz w:val="24"/>
          <w:szCs w:val="24"/>
        </w:rPr>
        <w:t xml:space="preserve"> Il blocco 281 dell'agenda ordina le priorità sul tempo umano: la carta aspetta, le persone no. Applicata a questa serie, la regola produce una constatazione definitiva anziché una priorità. La finestra si è chiusa il 29 novembre 2023, e con essa ogni possibilità di ottenere in forma utilizzabile una parola sul presunto avvertimento, sulle date che oscillano fra 1974, 1976 e 1977, sul luogo che oscilla fra Studio Ovale, Dipartimento di Stato e ambasciata.</w:t>
      </w:r>
    </w:p>
    <w:p>
      <w:pPr>
        <w:spacing w:after="120" w:line="276"/>
        <w:jc w:val="both"/>
      </w:pPr>
      <w:r>
        <w:rPr>
          <w:rFonts w:ascii="Barlow Semi Condensed" w:cs="Barlow Semi Condensed" w:eastAsia="Barlow Semi Condensed" w:hAnsi="Barlow Semi Condensed"/>
          <w:b/>
          <w:bCs/>
          <w:sz w:val="24"/>
          <w:szCs w:val="24"/>
        </w:rPr>
        <w:t xml:space="preserve">1822 · Che cosa resta quando il teste muore.</w:t>
      </w:r>
      <w:r>
        <w:rPr>
          <w:rFonts w:ascii="Barlow Semi Condensed" w:cs="Barlow Semi Condensed" w:eastAsia="Barlow Semi Condensed" w:hAnsi="Barlow Semi Condensed"/>
          <w:sz w:val="24"/>
          <w:szCs w:val="24"/>
        </w:rPr>
        <w:t xml:space="preserve"> Restano le carte, e vanno nominate con lo stato d'accesso di ciascuna. Le principali sono i Henry A. Kissinger Papers presso Manuscripts and Archives della biblioteca dell'università di Yale, il nucleo omonimo alla Manuscript Division della Library of Congress, i memoranda of conversation alla Gerald R. Ford Presidential Library e i fascicoli del Consiglio di sicurezza nazionale ai National Archives di College Park. Nessuna di queste sedi è stata interrogata sul territorio di questa serie.</w:t>
      </w:r>
    </w:p>
    <w:p>
      <w:pPr>
        <w:spacing w:after="120" w:line="276"/>
        <w:jc w:val="both"/>
      </w:pPr>
      <w:r>
        <w:rPr>
          <w:rFonts w:ascii="Barlow Semi Condensed" w:cs="Barlow Semi Condensed" w:eastAsia="Barlow Semi Condensed" w:hAnsi="Barlow Semi Condensed"/>
          <w:b/>
          <w:bCs/>
          <w:sz w:val="24"/>
          <w:szCs w:val="24"/>
        </w:rPr>
        <w:t xml:space="preserve">1823 · Lo stato d'accesso prima dell'esito negativo.</w:t>
      </w:r>
      <w:r>
        <w:rPr>
          <w:rFonts w:ascii="Barlow Semi Condensed" w:cs="Barlow Semi Condensed" w:eastAsia="Barlow Semi Condensed" w:hAnsi="Barlow Semi Condensed"/>
          <w:sz w:val="24"/>
          <w:szCs w:val="24"/>
        </w:rPr>
        <w:t xml:space="preserve"> Precisazione procedurale che questa serie deve al blocco 654. Un fondo soggetto a restrizione temporale non produce Stati Zero: produce inaccessibilità, che è un'altra cosa e si scrive diversamente. Prima di dichiarare vuoto un archivio kissingeriano occorre accertare quali serie siano aperte, a quale data, con quale procedura di richiesta. Un vuoto su tre buste di duecento è un campione; un vuoto su un fondo chiuso non è nemmeno quello.</w:t>
      </w:r>
    </w:p>
    <w:p>
      <w:pPr>
        <w:spacing w:after="120" w:line="276"/>
        <w:jc w:val="both"/>
      </w:pPr>
      <w:r>
        <w:rPr>
          <w:rFonts w:ascii="Barlow Semi Condensed" w:cs="Barlow Semi Condensed" w:eastAsia="Barlow Semi Condensed" w:hAnsi="Barlow Semi Condensed"/>
          <w:b/>
          <w:bCs/>
          <w:sz w:val="24"/>
          <w:szCs w:val="24"/>
        </w:rPr>
        <w:t xml:space="preserve">1824 · Managua 1982 e la commissione del 1983.</w:t>
      </w:r>
      <w:r>
        <w:rPr>
          <w:rFonts w:ascii="Barlow Semi Condensed" w:cs="Barlow Semi Condensed" w:eastAsia="Barlow Semi Condensed" w:hAnsi="Barlow Semi Condensed"/>
          <w:sz w:val="24"/>
          <w:szCs w:val="24"/>
        </w:rPr>
        <w:t xml:space="preserve"> È l'unica sovrapposizione geografica reale fra il nome triangolato e il territorio, e va disinnescata con precisione. Casimirri riparò in Nicaragua nel 1982; nel 1983 il governo statunitense istituì una commissione bipartisan sull'America centrale che risulta presieduta dal nome triangolato, con rapporto reso nel gennaio 1984. Stesso Paese, stessi anni, nessun documento che li nomini insieme. È co-presenza in un teatro, e non arriva neppure al piano due.</w:t>
      </w:r>
    </w:p>
    <w:p>
      <w:pPr>
        <w:spacing w:after="120" w:line="276"/>
        <w:jc w:val="both"/>
      </w:pPr>
      <w:r>
        <w:rPr>
          <w:rFonts w:ascii="Barlow Semi Condensed" w:cs="Barlow Semi Condensed" w:eastAsia="Barlow Semi Condensed" w:hAnsi="Barlow Semi Condensed"/>
          <w:b/>
          <w:bCs/>
          <w:sz w:val="24"/>
          <w:szCs w:val="24"/>
        </w:rPr>
        <w:t xml:space="preserve">1825 · Il rapporto del gennaio 1984, bersaglio.</w:t>
      </w:r>
      <w:r>
        <w:rPr>
          <w:rFonts w:ascii="Barlow Semi Condensed" w:cs="Barlow Semi Condensed" w:eastAsia="Barlow Semi Condensed" w:hAnsi="Barlow Semi Condensed"/>
          <w:sz w:val="24"/>
          <w:szCs w:val="24"/>
        </w:rPr>
        <w:t xml:space="preserve"> Quesito eseguibile, formulato prima di conoscerne l'esito. Si accerti se il rapporto di quella commissione, e le carte preparatorie del suo lavoro, contengano una qualsiasi menzione di latitanti italiani rifugiati in Nicaragua o della cooperazione giudiziaria con Roma. Le sedi da interrogare sono il testo a stampa del rapporto e il fondo dei materiali della commissione, di cui va prima accertato il deposito fra Reagan Library e National Archives.</w:t>
      </w:r>
    </w:p>
    <w:p>
      <w:pPr>
        <w:spacing w:after="120" w:line="276"/>
        <w:jc w:val="both"/>
      </w:pPr>
      <w:r>
        <w:rPr>
          <w:rFonts w:ascii="Barlow Semi Condensed" w:cs="Barlow Semi Condensed" w:eastAsia="Barlow Semi Condensed" w:hAnsi="Barlow Semi Condensed"/>
          <w:b/>
          <w:bCs/>
          <w:sz w:val="24"/>
          <w:szCs w:val="24"/>
        </w:rPr>
        <w:t xml:space="preserve">1826 · L'attesa dichiarata prima di aprire il fondo.</w:t>
      </w:r>
      <w:r>
        <w:rPr>
          <w:rFonts w:ascii="Barlow Semi Condensed" w:cs="Barlow Semi Condensed" w:eastAsia="Barlow Semi Condensed" w:hAnsi="Barlow Semi Condensed"/>
          <w:sz w:val="24"/>
          <w:szCs w:val="24"/>
        </w:rPr>
        <w:t xml:space="preserve"> Si scrive adesso, perché formulata dopo non varrebbe nulla. L'attesa di documenti pertinenti in quel fondo è zero, e la ragione è duplice: una commissione consultiva di politica regionale non tratta per ufficio l'esecuzione di sentenze penali straniere, e le richieste italiane di estradizione erano affare di ministeri e non di commissioni. Se la ricerca restituisse anche un solo documento, la differenza rispetto all'attesa sarebbe l'informazione, e andrebbe misurata come tale.</w:t>
      </w:r>
    </w:p>
    <w:p>
      <w:pPr>
        <w:spacing w:after="120" w:line="276"/>
        <w:jc w:val="both"/>
      </w:pPr>
      <w:r>
        <w:rPr>
          <w:rFonts w:ascii="Barlow Semi Condensed" w:cs="Barlow Semi Condensed" w:eastAsia="Barlow Semi Condensed" w:hAnsi="Barlow Semi Condensed"/>
          <w:b/>
          <w:bCs/>
          <w:sz w:val="24"/>
          <w:szCs w:val="24"/>
        </w:rPr>
        <w:t xml:space="preserve">1827 · La rotta non è filiazione, di nuovo.</w:t>
      </w:r>
      <w:r>
        <w:rPr>
          <w:rFonts w:ascii="Barlow Semi Condensed" w:cs="Barlow Semi Condensed" w:eastAsia="Barlow Semi Condensed" w:hAnsi="Barlow Semi Condensed"/>
          <w:sz w:val="24"/>
          <w:szCs w:val="24"/>
        </w:rPr>
        <w:t xml:space="preserve"> Già il blocco 413 dell'opera aveva chiuso la questione per le rotte verso Cuba e il Nicaragua: che un condannato si trovi in un Paese non fa di quel Paese l'antenato della sua storia. La ventiquattresima serie estende la regola al versante opposto: che una politica statunitense riguardi lo stesso Paese non ne fa un ponte verso il latitante. La geografia collega mappe, non fascicoli, e il quesito resta documentale.</w:t>
      </w:r>
    </w:p>
    <w:p>
      <w:pPr>
        <w:spacing w:after="120" w:line="276"/>
        <w:jc w:val="both"/>
      </w:pPr>
      <w:r>
        <w:rPr>
          <w:rFonts w:ascii="Barlow Semi Condensed" w:cs="Barlow Semi Condensed" w:eastAsia="Barlow Semi Condensed" w:hAnsi="Barlow Semi Condensed"/>
          <w:b/>
          <w:bCs/>
          <w:sz w:val="24"/>
          <w:szCs w:val="24"/>
        </w:rPr>
        <w:t xml:space="preserve">1828 · Berna, dove il nome non compare.</w:t>
      </w:r>
      <w:r>
        <w:rPr>
          <w:rFonts w:ascii="Barlow Semi Condensed" w:cs="Barlow Semi Condensed" w:eastAsia="Barlow Semi Condensed" w:hAnsi="Barlow Semi Condensed"/>
          <w:sz w:val="24"/>
          <w:szCs w:val="24"/>
        </w:rPr>
        <w:t xml:space="preserve"> Seconda geografia del registro, e vi opera una regola di ordinamento anziché una politica: la Svizzera non estrada i propri cittadini senza il loro consenso, e Alvaro Lojacono lo è per parte di madre dal riparo del 1986. Il blocco 144 dell'agenda indica l'Archivio federale di Berna per gli atti amministrativi e i carteggi con Roma. Nessuna ipotesi lega il nome triangolato a quel meccanismo, e nessuna è stata mai avanzata.</w:t>
      </w:r>
    </w:p>
    <w:p>
      <w:pPr>
        <w:spacing w:after="120" w:line="276"/>
        <w:jc w:val="both"/>
      </w:pPr>
      <w:r>
        <w:rPr>
          <w:rFonts w:ascii="Barlow Semi Condensed" w:cs="Barlow Semi Condensed" w:eastAsia="Barlow Semi Condensed" w:hAnsi="Barlow Semi Condensed"/>
          <w:b/>
          <w:bCs/>
          <w:sz w:val="24"/>
          <w:szCs w:val="24"/>
        </w:rPr>
        <w:t xml:space="preserve">1829 · Il Cairo, e una data da precisare.</w:t>
      </w:r>
      <w:r>
        <w:rPr>
          <w:rFonts w:ascii="Barlow Semi Condensed" w:cs="Barlow Semi Condensed" w:eastAsia="Barlow Semi Condensed" w:hAnsi="Barlow Semi Condensed"/>
          <w:sz w:val="24"/>
          <w:szCs w:val="24"/>
        </w:rPr>
        <w:t xml:space="preserve"> Divergenza fra due carte del corpus, da riportare. Lo studio sulle pene oltre confine dice Rita Algranati catturata al Cairo nel 2004 senza giorno; la verifica C-8 dei nove cantieri e il blocco 795 fissano il 14 gennaio 2004. Prevale il dato più preciso, ma la difformità si annota perché il documento assegnato non l'ha recepita. Chi cita la cornice senza la scheda perde una precisione che il corpus aveva già conquistato.</w:t>
      </w:r>
    </w:p>
    <w:p>
      <w:pPr>
        <w:spacing w:after="120" w:line="276"/>
        <w:jc w:val="both"/>
      </w:pPr>
      <w:r>
        <w:rPr>
          <w:rFonts w:ascii="Barlow Semi Condensed" w:cs="Barlow Semi Condensed" w:eastAsia="Barlow Semi Condensed" w:hAnsi="Barlow Semi Condensed"/>
          <w:b/>
          <w:bCs/>
          <w:sz w:val="24"/>
          <w:szCs w:val="24"/>
        </w:rPr>
        <w:t xml:space="preserve">1830 · La regola Algranati, ripetuta per intero.</w:t>
      </w:r>
      <w:r>
        <w:rPr>
          <w:rFonts w:ascii="Barlow Semi Condensed" w:cs="Barlow Semi Condensed" w:eastAsia="Barlow Semi Condensed" w:hAnsi="Barlow Semi Condensed"/>
          <w:sz w:val="24"/>
          <w:szCs w:val="24"/>
        </w:rPr>
        <w:t xml:space="preserve"> Tre verità distinte su una persona sola, e ciascuna al suo posto: assoluzione definitiva per i fatti di via Fani all'esito del Moro ter, condanna per altri fatti della colonna romana, cattura in Egitto e consegna all'Italia. Il blocco 968 dell'opera la chiama prova nei due sensi. Per questa serie vale come misura di rigore: se il corpus rispetta un'assoluzione contro la comodità del racconto, deve rispettare anche un'assenza di procedimento.</w:t>
      </w:r>
    </w:p>
    <w:p>
      <w:pPr>
        <w:spacing w:after="120" w:line="276"/>
        <w:jc w:val="both"/>
      </w:pPr>
      <w:r>
        <w:rPr>
          <w:rFonts w:ascii="Barlow Semi Condensed" w:cs="Barlow Semi Condensed" w:eastAsia="Barlow Semi Condensed" w:hAnsi="Barlow Semi Condensed"/>
          <w:b/>
          <w:bCs/>
          <w:sz w:val="24"/>
          <w:szCs w:val="24"/>
        </w:rPr>
        <w:t xml:space="preserve">1831 · Ombre rosse, perimetro dichiarato.</w:t>
      </w:r>
      <w:r>
        <w:rPr>
          <w:rFonts w:ascii="Barlow Semi Condensed" w:cs="Barlow Semi Condensed" w:eastAsia="Barlow Semi Condensed" w:hAnsi="Barlow Semi Condensed"/>
          <w:sz w:val="24"/>
          <w:szCs w:val="24"/>
        </w:rPr>
        <w:t xml:space="preserve"> L'operazione denominata Ombre rosse è del 28 aprile 2021: sette ex militanti della lotta armata italiana arrestati a Parigi su richiesta di Roma, con altri tre ricercati; il no definitivo della Cassazione francese venne nel marzo 2023. Il documento assegnato precisa che nessuna delle dieci persone appartiene al registro del caso Moro e ne tace i nomi. Questa serie conferma il perimetro e vi aggiunge una riga: in quelle carte non compare alcun elemento statunitense.</w:t>
      </w:r>
    </w:p>
    <w:p>
      <w:pPr>
        <w:spacing w:after="120" w:line="276"/>
        <w:jc w:val="both"/>
      </w:pPr>
      <w:r>
        <w:rPr>
          <w:rFonts w:ascii="Barlow Semi Condensed" w:cs="Barlow Semi Condensed" w:eastAsia="Barlow Semi Condensed" w:hAnsi="Barlow Semi Condensed"/>
          <w:b/>
          <w:bCs/>
          <w:sz w:val="24"/>
          <w:szCs w:val="24"/>
        </w:rPr>
        <w:t xml:space="preserve">1832 · Il no politico e il no giudiziario.</w:t>
      </w:r>
      <w:r>
        <w:rPr>
          <w:rFonts w:ascii="Barlow Semi Condensed" w:cs="Barlow Semi Condensed" w:eastAsia="Barlow Semi Condensed" w:hAnsi="Barlow Semi Condensed"/>
          <w:sz w:val="24"/>
          <w:szCs w:val="24"/>
        </w:rPr>
        <w:t xml:space="preserve"> Distinzione ricavata dall'epilogo del secondo documento, e trasferibile altrove. Nel 2021 la Francia accettò di procedere, e la protezione politica finì. Nel 2023 le corti negarono comunque le consegne, per ragioni proprie relative al radicamento di vite ormai francesi e alle garanzie dei processi celebrati in contumacia. Quando cadde la politica restò il diritto, e il diritto disse no per motivi suoi. Confondere i due dinieghi significa non aver visto che cosa cambiò fra le due date.</w:t>
      </w:r>
    </w:p>
    <w:p>
      <w:pPr>
        <w:spacing w:after="120" w:line="276"/>
        <w:jc w:val="both"/>
      </w:pPr>
      <w:r>
        <w:rPr>
          <w:rFonts w:ascii="Barlow Semi Condensed" w:cs="Barlow Semi Condensed" w:eastAsia="Barlow Semi Condensed" w:hAnsi="Barlow Semi Condensed"/>
          <w:b/>
          <w:bCs/>
          <w:sz w:val="24"/>
          <w:szCs w:val="24"/>
        </w:rPr>
        <w:t xml:space="preserve">1833 · Il meccanismo che non fu attivato.</w:t>
      </w:r>
      <w:r>
        <w:rPr>
          <w:rFonts w:ascii="Barlow Semi Condensed" w:cs="Barlow Semi Condensed" w:eastAsia="Barlow Semi Condensed" w:hAnsi="Barlow Semi Condensed"/>
          <w:sz w:val="24"/>
          <w:szCs w:val="24"/>
        </w:rPr>
        <w:t xml:space="preserve"> Il quarto meccanismo della tavola delle geografie è la cooperazione fra Stati, che produce l'effetto opposto agli altri tre: dove lo Stato ospite coopera, il ricercato viene consegnato. Sul versante di questa triangolazione manca il presupposto stesso del meccanismo. Non risulta che l'Italia abbia mai formulato una richiesta formale di assistenza giudiziaria agli Stati Uniti sul punto: la richiesta del 1983 è registrata come informale, e come tale morì.</w:t>
      </w:r>
    </w:p>
    <w:p>
      <w:pPr>
        <w:spacing w:after="120" w:line="276"/>
        <w:jc w:val="both"/>
      </w:pPr>
      <w:r>
        <w:rPr>
          <w:rFonts w:ascii="Barlow Semi Condensed" w:cs="Barlow Semi Condensed" w:eastAsia="Barlow Semi Condensed" w:hAnsi="Barlow Semi Condensed"/>
          <w:b/>
          <w:bCs/>
          <w:sz w:val="24"/>
          <w:szCs w:val="24"/>
        </w:rPr>
        <w:t xml:space="preserve">1834 · L'asilo è atto di chi lo concede.</w:t>
      </w:r>
      <w:r>
        <w:rPr>
          <w:rFonts w:ascii="Barlow Semi Condensed" w:cs="Barlow Semi Condensed" w:eastAsia="Barlow Semi Condensed" w:hAnsi="Barlow Semi Condensed"/>
          <w:sz w:val="24"/>
          <w:szCs w:val="24"/>
        </w:rPr>
        <w:t xml:space="preserve"> Primo presidio del documento assegnato, applicato. L'asilo non aggrava né attenua la posizione di chi lo riceve, e della mancata esecuzione risponde lo Stato che la impedisce secondo il proprio ordinamento. Il nome triangolato non chiese né ottenne asilo da alcuno, non essendo ricercato da alcuno: visse e morì nel proprio Paese di cittadinanza. Il presidio, applicato qui, non protegge nessuno perché non c'è nulla da proteggere.</w:t>
      </w:r>
    </w:p>
    <w:p>
      <w:pPr>
        <w:spacing w:after="120" w:line="276"/>
        <w:jc w:val="both"/>
      </w:pPr>
      <w:r>
        <w:rPr>
          <w:rFonts w:ascii="Barlow Semi Condensed" w:cs="Barlow Semi Condensed" w:eastAsia="Barlow Semi Condensed" w:hAnsi="Barlow Semi Condensed"/>
          <w:b/>
          <w:bCs/>
          <w:sz w:val="24"/>
          <w:szCs w:val="24"/>
        </w:rPr>
        <w:t xml:space="preserve">1835 · Né la dottrina né l'assenza.</w:t>
      </w:r>
      <w:r>
        <w:rPr>
          <w:rFonts w:ascii="Barlow Semi Condensed" w:cs="Barlow Semi Condensed" w:eastAsia="Barlow Semi Condensed" w:hAnsi="Barlow Semi Condensed"/>
          <w:sz w:val="24"/>
          <w:szCs w:val="24"/>
        </w:rPr>
        <w:t xml:space="preserve"> Secondo presidio, esteso. Essere stati protetti dalla politica francese del rifugio non rendeva più colpevoli né più innocenti: rendeva non raggiunti. Per simmetria, non essere mai stati imputati non è una prova di innocenza né un indizio di protezione: è l'assenza dell'atto che darebbe origine a un giudizio. La serie tiene ferme entrambe le direzioni, perché la seconda è quella che il dibattito pubblico manipola con maggiore facilità.</w:t>
      </w:r>
    </w:p>
    <w:p>
      <w:pPr>
        <w:spacing w:after="120" w:line="276"/>
        <w:jc w:val="both"/>
      </w:pPr>
      <w:r>
        <w:rPr>
          <w:rFonts w:ascii="Barlow Semi Condensed" w:cs="Barlow Semi Condensed" w:eastAsia="Barlow Semi Condensed" w:hAnsi="Barlow Semi Condensed"/>
          <w:b/>
          <w:bCs/>
          <w:sz w:val="24"/>
          <w:szCs w:val="24"/>
        </w:rPr>
        <w:t xml:space="preserve">1836 · Un principio senza oggetto.</w:t>
      </w:r>
      <w:r>
        <w:rPr>
          <w:rFonts w:ascii="Barlow Semi Condensed" w:cs="Barlow Semi Condensed" w:eastAsia="Barlow Semi Condensed" w:hAnsi="Barlow Semi Condensed"/>
          <w:sz w:val="24"/>
          <w:szCs w:val="24"/>
        </w:rPr>
        <w:t xml:space="preserve"> Terzo presidio: le sentenze non hanno passaporto, l'esecuzione sì. È il cuore dello studio assegnato e qui non ha materia. Non esiste sentenza da eseguire, non esiste condanna da onorare oltre frontiera, non esiste assoluzione da rispettare. L'applicazione è nulla, e dirlo non è una formalità: un principio che non trova oggetto va dichiarato inapplicabile, altrimenti qualcuno lo applicherà lo stesso e ne ricaverà una conclusione che il principio non contiene.</w:t>
      </w:r>
    </w:p>
    <w:p>
      <w:pPr>
        <w:spacing w:after="120" w:line="276"/>
        <w:jc w:val="both"/>
      </w:pPr>
      <w:r>
        <w:rPr>
          <w:rFonts w:ascii="Barlow Semi Condensed" w:cs="Barlow Semi Condensed" w:eastAsia="Barlow Semi Condensed" w:hAnsi="Barlow Semi Condensed"/>
          <w:b/>
          <w:bCs/>
          <w:sz w:val="24"/>
          <w:szCs w:val="24"/>
        </w:rPr>
        <w:t xml:space="preserve">1837 · Kent, Connecticut, non è una latitanza.</w:t>
      </w:r>
      <w:r>
        <w:rPr>
          <w:rFonts w:ascii="Barlow Semi Condensed" w:cs="Barlow Semi Condensed" w:eastAsia="Barlow Semi Condensed" w:hAnsi="Barlow Semi Condensed"/>
          <w:sz w:val="24"/>
          <w:szCs w:val="24"/>
        </w:rPr>
        <w:t xml:space="preserve"> Quarto presidio: la geografia non è gerarchia morale. Chi fu catturato non è più colpevole di chi non lo fu mai, e chi morì nella propria casa non è per ciò stesso al riparo da qualcosa. Il nome triangolato morì il 29 novembre 2023 a Kent, nel Connecticut, senza essere stato mai ricercato da nessuno. Descrivere quella residenza come rifugio significherebbe presupporre un procedimento che non è mai esistito.</w:t>
      </w:r>
    </w:p>
    <w:p>
      <w:pPr>
        <w:spacing w:after="120" w:line="276"/>
        <w:jc w:val="both"/>
      </w:pPr>
      <w:r>
        <w:rPr>
          <w:rFonts w:ascii="Barlow Semi Condensed" w:cs="Barlow Semi Condensed" w:eastAsia="Barlow Semi Condensed" w:hAnsi="Barlow Semi Condensed"/>
          <w:b/>
          <w:bCs/>
          <w:sz w:val="24"/>
          <w:szCs w:val="24"/>
        </w:rPr>
        <w:t xml:space="preserve">1838 · Nessun nome oltre il necessario.</w:t>
      </w:r>
      <w:r>
        <w:rPr>
          <w:rFonts w:ascii="Barlow Semi Condensed" w:cs="Barlow Semi Condensed" w:eastAsia="Barlow Semi Condensed" w:hAnsi="Barlow Semi Condensed"/>
          <w:sz w:val="24"/>
          <w:szCs w:val="24"/>
        </w:rPr>
        <w:t xml:space="preserve"> Quinto presidio, il più semplice e il più violato. I dieci dell'epilogo francese hanno nomi pubblici e restano fuori da queste pagine, perché i loro fascicoli riguardano altri fatti con altri giudicati. I cinquantasette dell'elenco bolognese entrano soltanto per la vicenda per cui l'archivio li censisce. E il nome triangolato compare come soggetto di atti pubblici, mai come predicato di colpe: è la stessa economia dei nomi in tre direzioni.</w:t>
      </w:r>
    </w:p>
    <w:p>
      <w:pPr>
        <w:spacing w:after="120" w:line="276"/>
        <w:jc w:val="both"/>
      </w:pPr>
      <w:r>
        <w:rPr>
          <w:rFonts w:ascii="Barlow Semi Condensed" w:cs="Barlow Semi Condensed" w:eastAsia="Barlow Semi Condensed" w:hAnsi="Barlow Semi Condensed"/>
          <w:b/>
          <w:bCs/>
          <w:sz w:val="24"/>
          <w:szCs w:val="24"/>
        </w:rPr>
        <w:t xml:space="preserve">1839 · Quattro stati che non si equivalgono.</w:t>
      </w:r>
      <w:r>
        <w:rPr>
          <w:rFonts w:ascii="Barlow Semi Condensed" w:cs="Barlow Semi Condensed" w:eastAsia="Barlow Semi Condensed" w:hAnsi="Barlow Semi Condensed"/>
          <w:sz w:val="24"/>
          <w:szCs w:val="24"/>
        </w:rPr>
        <w:t xml:space="preserve"> Presidio aggiuntivo, proprio di questa serie, perché il territorio confonde continuamente le posizioni. Non raggiunto significa condannato la cui pena non è eseguibile; non giudicato significa che un procedimento non c'è mai stato; assolto significa che c'è stato ed è finito con formula liberatoria; colpevole significa che c'è stato ed è finito con condanna definitiva. Quattro stati giuridici distinti, e il documento sulle pene oltre confine ne contiene tre su quattro.</w:t>
      </w:r>
    </w:p>
    <w:p>
      <w:pPr>
        <w:spacing w:after="120" w:line="276"/>
        <w:jc w:val="both"/>
      </w:pPr>
      <w:r>
        <w:rPr>
          <w:rFonts w:ascii="Barlow Semi Condensed" w:cs="Barlow Semi Condensed" w:eastAsia="Barlow Semi Condensed" w:hAnsi="Barlow Semi Condensed"/>
          <w:b/>
          <w:bCs/>
          <w:sz w:val="24"/>
          <w:szCs w:val="24"/>
        </w:rPr>
        <w:t xml:space="preserve">1840 · L'errore che questa serie impedisce.</w:t>
      </w:r>
      <w:r>
        <w:rPr>
          <w:rFonts w:ascii="Barlow Semi Condensed" w:cs="Barlow Semi Condensed" w:eastAsia="Barlow Semi Condensed" w:hAnsi="Barlow Semi Condensed"/>
          <w:sz w:val="24"/>
          <w:szCs w:val="24"/>
        </w:rPr>
        <w:t xml:space="preserve"> Il rischio specifico del territorio è una sola inferenza, e va nominata per renderla riconoscibile. Chi legge di condanne mai eseguite oltre confine è portato a leggere ogni mancata esecuzione come protezione, e da lì ogni assenza di processo come impunità organizzata. Il passaggio è retorico e non documentale: richiede di supporre l'accertamento che manca. Il corpus si ferma al giudicato proprio per non compiere quel passo, e questa serie lo compie meno delle altre.</w:t>
      </w:r>
    </w:p>
    <w:p>
      <w:pPr>
        <w:spacing w:after="120" w:line="276"/>
        <w:jc w:val="both"/>
      </w:pPr>
      <w:r>
        <w:rPr>
          <w:rFonts w:ascii="Barlow Semi Condensed" w:cs="Barlow Semi Condensed" w:eastAsia="Barlow Semi Condensed" w:hAnsi="Barlow Semi Condensed"/>
          <w:b/>
          <w:bCs/>
          <w:sz w:val="24"/>
          <w:szCs w:val="24"/>
        </w:rPr>
        <w:t xml:space="preserve">1841 · Che cosa smentirebbe la serie intera.</w:t>
      </w:r>
      <w:r>
        <w:rPr>
          <w:rFonts w:ascii="Barlow Semi Condensed" w:cs="Barlow Semi Condensed" w:eastAsia="Barlow Semi Condensed" w:hAnsi="Barlow Semi Condensed"/>
          <w:sz w:val="24"/>
          <w:szCs w:val="24"/>
        </w:rPr>
        <w:t xml:space="preserve"> Un solo documento la rovescerebbe: un atto di provenienza — nota diplomatica, verbale, corrispondenza ministeriale — che nomini insieme il nome triangolato e una delle vicende del territorio, dall'amnistia del decennale alle decisioni francesi sui rifugiati italiani. Non un'affermazione che li accosti: un atto che li nomini. Se esiste, questa serie ha torto e va riscritta. Se non esiste, gli Stati Zero qui verbalizzati restano acquisizioni, non prudenze.</w:t>
      </w:r>
    </w:p>
    <w:p>
      <w:pPr>
        <w:spacing w:after="120" w:line="276"/>
        <w:jc w:val="both"/>
      </w:pPr>
      <w:r>
        <w:rPr>
          <w:rFonts w:ascii="Barlow Semi Condensed" w:cs="Barlow Semi Condensed" w:eastAsia="Barlow Semi Condensed" w:hAnsi="Barlow Semi Condensed"/>
          <w:b/>
          <w:bCs/>
          <w:sz w:val="24"/>
          <w:szCs w:val="24"/>
        </w:rPr>
        <w:t xml:space="preserve">1842 · Il ponte impossibile con gli amnistiati.</w:t>
      </w:r>
      <w:r>
        <w:rPr>
          <w:rFonts w:ascii="Barlow Semi Condensed" w:cs="Barlow Semi Condensed" w:eastAsia="Barlow Semi Condensed" w:hAnsi="Barlow Semi Condensed"/>
          <w:sz w:val="24"/>
          <w:szCs w:val="24"/>
        </w:rPr>
        <w:t xml:space="preserve"> Il test si scrive anche quando è già chiuso dall'anagrafe, perché un test non enunciato non vale. Proverebbe un rapporto diretto un documento che collochi il nome triangolato in relazione con l'istituzione romana, con un suo giudice o con un suo condannato, prima del luglio 1943. Il nome apparteneva allora a un minorenne emigrato. La probabilità non è bassa: è nulla, e il blocco lo dichiara come esito e non come impressione.</w:t>
      </w:r>
    </w:p>
    <w:p>
      <w:pPr>
        <w:spacing w:after="120" w:line="276"/>
        <w:jc w:val="both"/>
      </w:pPr>
      <w:r>
        <w:rPr>
          <w:rFonts w:ascii="Barlow Semi Condensed" w:cs="Barlow Semi Condensed" w:eastAsia="Barlow Semi Condensed" w:hAnsi="Barlow Semi Condensed"/>
          <w:b/>
          <w:bCs/>
          <w:sz w:val="24"/>
          <w:szCs w:val="24"/>
        </w:rPr>
        <w:t xml:space="preserve">1843 · Il ponte che proverebbe la dottrina.</w:t>
      </w:r>
      <w:r>
        <w:rPr>
          <w:rFonts w:ascii="Barlow Semi Condensed" w:cs="Barlow Semi Condensed" w:eastAsia="Barlow Semi Condensed" w:hAnsi="Barlow Semi Condensed"/>
          <w:sz w:val="24"/>
          <w:szCs w:val="24"/>
        </w:rPr>
        <w:t xml:space="preserve"> Sul versante francese il test è meno banale e va scritto in forma operativa. Proverebbe un rapporto diretto una carta, dell'Eliseo o del Quai d'Orsay o del Dipartimento di Stato, che registri un'interlocuzione del nome triangolato sulla politica di rifugio ai condannati italiani, fra il 1985 e il 2001. La finestra è dichiarata, le stringhe da cercare comprendono le forme del cognome con e senza iniziale, e l'esito atteso è negativo.</w:t>
      </w:r>
    </w:p>
    <w:p>
      <w:pPr>
        <w:spacing w:after="120" w:line="276"/>
        <w:jc w:val="both"/>
      </w:pPr>
      <w:r>
        <w:rPr>
          <w:rFonts w:ascii="Barlow Semi Condensed" w:cs="Barlow Semi Condensed" w:eastAsia="Barlow Semi Condensed" w:hAnsi="Barlow Semi Condensed"/>
          <w:b/>
          <w:bCs/>
          <w:sz w:val="24"/>
          <w:szCs w:val="24"/>
        </w:rPr>
        <w:t xml:space="preserve">1844 · Il ponte che proverebbe l'affaire.</w:t>
      </w:r>
      <w:r>
        <w:rPr>
          <w:rFonts w:ascii="Barlow Semi Condensed" w:cs="Barlow Semi Condensed" w:eastAsia="Barlow Semi Condensed" w:hAnsi="Barlow Semi Condensed"/>
          <w:sz w:val="24"/>
          <w:szCs w:val="24"/>
        </w:rPr>
        <w:t xml:space="preserve"> Terzo test, sull'episodio del 1982-1986. Proverebbe un rapporto diretto un atto che documenti un interessamento statunitense al caso del detenuto poi assolto: una nota d'ambasciata, un rapporto consolare, una corrispondenza fra apparati. Il caso ebbe rilievo internazionale e generò attrito bilaterale franco-italiano, dunque l'attesa di documentazione diplomatica non è irragionevole; l'attesa che vi compaia questo nome, cittadino privato da cinque anni, è invece prossima allo zero.</w:t>
      </w:r>
    </w:p>
    <w:p>
      <w:pPr>
        <w:spacing w:after="120" w:line="276"/>
        <w:jc w:val="both"/>
      </w:pPr>
      <w:r>
        <w:rPr>
          <w:rFonts w:ascii="Barlow Semi Condensed" w:cs="Barlow Semi Condensed" w:eastAsia="Barlow Semi Condensed" w:hAnsi="Barlow Semi Condensed"/>
          <w:b/>
          <w:bCs/>
          <w:sz w:val="24"/>
          <w:szCs w:val="24"/>
        </w:rPr>
        <w:t xml:space="preserve">1845 · Le richieste giudiziarie estere, piano tre.</w:t>
      </w:r>
      <w:r>
        <w:rPr>
          <w:rFonts w:ascii="Barlow Semi Condensed" w:cs="Barlow Semi Condensed" w:eastAsia="Barlow Semi Condensed" w:hAnsi="Barlow Semi Condensed"/>
          <w:sz w:val="24"/>
          <w:szCs w:val="24"/>
        </w:rPr>
        <w:t xml:space="preserve"> Circola l'affermazione che magistrati di più Paesi abbiano cercato di ascoltarlo come testimone all'inizio degli anni Duemila su vicende latinoamericane. Il corpus non l'ha riscontrata su atti e la registra al piano tre, cioè come affermazione terziaria priva di riscontro in questa sede. La chiuderebbero i registri dei giudici istruttori competenti e gli atti di rogatoria eventualmente trasmessi. Anche se fosse confermata, riguarderebbe un teste: la posizione resta quella di chi non fu mai imputato.</w:t>
      </w:r>
    </w:p>
    <w:p>
      <w:pPr>
        <w:spacing w:after="120" w:line="276"/>
        <w:jc w:val="both"/>
      </w:pPr>
      <w:r>
        <w:rPr>
          <w:rFonts w:ascii="Barlow Semi Condensed" w:cs="Barlow Semi Condensed" w:eastAsia="Barlow Semi Condensed" w:hAnsi="Barlow Semi Condensed"/>
          <w:b/>
          <w:bCs/>
          <w:sz w:val="24"/>
          <w:szCs w:val="24"/>
        </w:rPr>
        <w:t xml:space="preserve">1846 · Le fonti escluse, verifica a costo zero.</w:t>
      </w:r>
      <w:r>
        <w:rPr>
          <w:rFonts w:ascii="Barlow Semi Condensed" w:cs="Barlow Semi Condensed" w:eastAsia="Barlow Semi Condensed" w:hAnsi="Barlow Semi Condensed"/>
          <w:sz w:val="24"/>
          <w:szCs w:val="24"/>
        </w:rPr>
        <w:t xml:space="preserve"> Controllo eseguito e da registrare, perché un divieto verificato vale più di un divieto ripetuto. Nessuna delle due fonti escluse per direttiva del committente compare nelle bibliografie dei due documenti assegnati: l'elenco bolognese cita l'archivio Storia e Memoria di Bologna, lo studio sulle frontiere cita agenzie di stampa, quotidiani, una rivista storiografica francese e un archivio radiofonico. L'esclusione, su questo territorio, non ha alcun costo documentale.</w:t>
      </w:r>
    </w:p>
    <w:p>
      <w:pPr>
        <w:spacing w:after="120" w:line="276"/>
        <w:jc w:val="both"/>
      </w:pPr>
      <w:r>
        <w:rPr>
          <w:rFonts w:ascii="Barlow Semi Condensed" w:cs="Barlow Semi Condensed" w:eastAsia="Barlow Semi Condensed" w:hAnsi="Barlow Semi Condensed"/>
          <w:b/>
          <w:bCs/>
          <w:sz w:val="24"/>
          <w:szCs w:val="24"/>
        </w:rPr>
        <w:t xml:space="preserve">1847 · La replicazione non aggiunge valore.</w:t>
      </w:r>
      <w:r>
        <w:rPr>
          <w:rFonts w:ascii="Barlow Semi Condensed" w:cs="Barlow Semi Condensed" w:eastAsia="Barlow Semi Condensed" w:hAnsi="Barlow Semi Condensed"/>
          <w:sz w:val="24"/>
          <w:szCs w:val="24"/>
        </w:rPr>
        <w:t xml:space="preserve"> La lezione più esportabile dell'Apparato K si applica anche qui, in senso preventivo. Sull'episodio del presunto avvertimento la moltiplicazione delle fonti è apparente e risale a un unico lancio d'agenzia del 30 novembre 2023. Se un giorno qualcuno accosterà questo nome al territorio delle pene oltre confine, quel racconto si diffonderà per replicazione e non per documento. Chi trovi la stessa frase in venti sedi ne conti una sola.</w:t>
      </w:r>
    </w:p>
    <w:p>
      <w:pPr>
        <w:spacing w:after="120" w:line="276"/>
        <w:jc w:val="both"/>
      </w:pPr>
      <w:r>
        <w:rPr>
          <w:rFonts w:ascii="Barlow Semi Condensed" w:cs="Barlow Semi Condensed" w:eastAsia="Barlow Semi Condensed" w:hAnsi="Barlow Semi Condensed"/>
          <w:b/>
          <w:bCs/>
          <w:sz w:val="24"/>
          <w:szCs w:val="24"/>
        </w:rPr>
        <w:t xml:space="preserve">1848 · Il bilancio della serie, in cifre.</w:t>
      </w:r>
      <w:r>
        <w:rPr>
          <w:rFonts w:ascii="Barlow Semi Condensed" w:cs="Barlow Semi Condensed" w:eastAsia="Barlow Semi Condensed" w:hAnsi="Barlow Semi Condensed"/>
          <w:sz w:val="24"/>
          <w:szCs w:val="24"/>
        </w:rPr>
        <w:t xml:space="preserve"> Contabilità dichiarata, come esige il blocco 284 dell'agenda. Su settantacinque blocchi la serie registra un solo elemento di piano uno, ed è la richiesta informale del 1983 rimasta senza seguito, che è un ponte di istituto e non di fatto. Nessuna convergenza di piano due è stata promossa; una sola affermazione di piano tre è stata qualificata; il resto sono Stati Zero, regole di lettura, quesiti d'archivio e bersagli di smentita.</w:t>
      </w:r>
    </w:p>
    <w:p>
      <w:pPr>
        <w:spacing w:after="120" w:line="276"/>
        <w:jc w:val="both"/>
      </w:pPr>
      <w:r>
        <w:rPr>
          <w:rFonts w:ascii="Barlow Semi Condensed" w:cs="Barlow Semi Condensed" w:eastAsia="Barlow Semi Condensed" w:hAnsi="Barlow Semi Condensed"/>
          <w:b/>
          <w:bCs/>
          <w:sz w:val="24"/>
          <w:szCs w:val="24"/>
        </w:rPr>
        <w:t xml:space="preserve">1849 · Il modulo del verbale di vuoto.</w:t>
      </w:r>
      <w:r>
        <w:rPr>
          <w:rFonts w:ascii="Barlow Semi Condensed" w:cs="Barlow Semi Condensed" w:eastAsia="Barlow Semi Condensed" w:hAnsi="Barlow Semi Condensed"/>
          <w:sz w:val="24"/>
          <w:szCs w:val="24"/>
        </w:rPr>
        <w:t xml:space="preserve"> Ogni esito negativo di questa serie va ripreso nella forma che il blocco 285 dell'agenda impone e che il blocco 651 dell'opera ha reso obbligatoria: che cosa è stato cercato, dove, quando, da chi, con quale perimetro cronologico e seriale, con quali varianti della stringa. Senza quelle voci un vuoto non è falsificabile da un terzo, e ciò che non è falsificabile da un terzo non entra in questo corpus.</w:t>
      </w:r>
    </w:p>
    <w:p>
      <w:pPr>
        <w:spacing w:after="120" w:line="276"/>
        <w:jc w:val="both"/>
      </w:pPr>
      <w:r>
        <w:rPr>
          <w:rFonts w:ascii="Barlow Semi Condensed" w:cs="Barlow Semi Condensed" w:eastAsia="Barlow Semi Condensed" w:hAnsi="Barlow Semi Condensed"/>
          <w:b/>
          <w:bCs/>
          <w:sz w:val="24"/>
          <w:szCs w:val="24"/>
        </w:rPr>
        <w:t xml:space="preserve">1850 · La differenza, ancora una volta.</w:t>
      </w:r>
      <w:r>
        <w:rPr>
          <w:rFonts w:ascii="Barlow Semi Condensed" w:cs="Barlow Semi Condensed" w:eastAsia="Barlow Semi Condensed" w:hAnsi="Barlow Semi Condensed"/>
          <w:sz w:val="24"/>
          <w:szCs w:val="24"/>
        </w:rPr>
        <w:t xml:space="preserve"> Il territorio assegnato racconta due modi di trattare i nemici: uno Stato che nel 1926 si diede un tribunale su misura e poi ne graziò a comando le vittime, e una Repubblica che ha chiesto le consegne nelle forme del diritto e ha perso spesso senza mai prendere. Fra le due cose sta tutto ciò che questa serie difende. Il nome triangolato non appartiene a nessuna delle due storie, e il registro dei nomi resta chiuso.</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Serie venticinquesima — Le questioni aperte</w:t>
      </w:r>
    </w:p>
    <w:p>
      <w:pPr>
        <w:spacing w:after="120" w:line="276"/>
        <w:jc w:val="both"/>
      </w:pPr>
      <w:r>
        <w:rPr>
          <w:rFonts w:ascii="Barlow Semi Condensed" w:cs="Barlow Semi Condensed" w:eastAsia="Barlow Semi Condensed" w:hAnsi="Barlow Semi Condensed"/>
          <w:i/>
          <w:iCs/>
          <w:sz w:val="24"/>
          <w:szCs w:val="24"/>
        </w:rPr>
        <w:t xml:space="preserve">Blocchi 1851-1925.</w:t>
      </w:r>
    </w:p>
    <w:p>
      <w:pPr>
        <w:spacing w:after="120" w:line="276"/>
        <w:jc w:val="both"/>
      </w:pPr>
      <w:r>
        <w:rPr>
          <w:rFonts w:ascii="Barlow Semi Condensed" w:cs="Barlow Semi Condensed" w:eastAsia="Barlow Semi Condensed" w:hAnsi="Barlow Semi Condensed"/>
          <w:b/>
          <w:bCs/>
          <w:sz w:val="24"/>
          <w:szCs w:val="24"/>
        </w:rPr>
        <w:t xml:space="preserve">1851 · Densità uno nel territorio.</w:t>
      </w:r>
      <w:r>
        <w:rPr>
          <w:rFonts w:ascii="Barlow Semi Condensed" w:cs="Barlow Semi Condensed" w:eastAsia="Barlow Semi Condensed" w:hAnsi="Barlow Semi Condensed"/>
          <w:sz w:val="24"/>
          <w:szCs w:val="24"/>
        </w:rPr>
        <w:t xml:space="preserve"> Nel documento «aldo-moro-una-guerra-senza-fine-parte-terza.md» il nome ricorre una sola volta, al paragrafo nono del Movimento secondo, dentro l'inciso «sempre smentito da Kissinger». Il dato è di grado A sul territorio e non sul mondo: misura quanto se ne è scritto, non quanto abbia pesato. Prima di qualunque lettura va fissato questo conteggio, perché ogni bersaglio che segue lavora su un'occorrenza sola.</w:t>
      </w:r>
    </w:p>
    <w:p>
      <w:pPr>
        <w:spacing w:after="120" w:line="276"/>
        <w:jc w:val="both"/>
      </w:pPr>
      <w:r>
        <w:rPr>
          <w:rFonts w:ascii="Barlow Semi Condensed" w:cs="Barlow Semi Condensed" w:eastAsia="Barlow Semi Condensed" w:hAnsi="Barlow Semi Condensed"/>
          <w:b/>
          <w:bCs/>
          <w:sz w:val="24"/>
          <w:szCs w:val="24"/>
        </w:rPr>
        <w:t xml:space="preserve">1852 · Il paragrafo nono è tutto il perimetro.</w:t>
      </w:r>
      <w:r>
        <w:rPr>
          <w:rFonts w:ascii="Barlow Semi Condensed" w:cs="Barlow Semi Condensed" w:eastAsia="Barlow Semi Condensed" w:hAnsi="Barlow Semi Condensed"/>
          <w:sz w:val="24"/>
          <w:szCs w:val="24"/>
        </w:rPr>
        <w:t xml:space="preserve"> «Il quadro internazionale» costituisce l'intera superficie disponibile alla triangolazione: quattordici paragrafi compongono la parte terza, tredici non contengono il nome. Ne discende una conseguenza operativa, non retorica. Fuori da quel paragrafo la serie non può cercare rapporti né convergenze: può soltanto verbalizzare assenze, ciascuna con la sede che la chiuderebbe. È il caso limite in cui il territorio impone la forma del risultato.</w:t>
      </w:r>
    </w:p>
    <w:p>
      <w:pPr>
        <w:spacing w:after="120" w:line="276"/>
        <w:jc w:val="both"/>
      </w:pPr>
      <w:r>
        <w:rPr>
          <w:rFonts w:ascii="Barlow Semi Condensed" w:cs="Barlow Semi Condensed" w:eastAsia="Barlow Semi Condensed" w:hAnsi="Barlow Semi Condensed"/>
          <w:b/>
          <w:bCs/>
          <w:sz w:val="24"/>
          <w:szCs w:val="24"/>
        </w:rPr>
        <w:t xml:space="preserve">1853 · La forma sintattica della menzione.</w:t>
      </w:r>
      <w:r>
        <w:rPr>
          <w:rFonts w:ascii="Barlow Semi Condensed" w:cs="Barlow Semi Condensed" w:eastAsia="Barlow Semi Condensed" w:hAnsi="Barlow Semi Condensed"/>
          <w:sz w:val="24"/>
          <w:szCs w:val="24"/>
        </w:rPr>
        <w:t xml:space="preserve"> La menzione non regge alcuna proposizione autonoma: compare come participio in coda a una frase il cui soggetto è l'avvertimento riferito da Corrado Guerzoni. Il nome vi entra come autore di una smentita, non come titolare di una condotta. Registrarlo è un accertamento filologico di grado A, e vale come argine: la grammatica del territorio non gli attribuisce alcun atto.</w:t>
      </w:r>
    </w:p>
    <w:p>
      <w:pPr>
        <w:spacing w:after="120" w:line="276"/>
        <w:jc w:val="both"/>
      </w:pPr>
      <w:r>
        <w:rPr>
          <w:rFonts w:ascii="Barlow Semi Condensed" w:cs="Barlow Semi Condensed" w:eastAsia="Barlow Semi Condensed" w:hAnsi="Barlow Semi Condensed"/>
          <w:b/>
          <w:bCs/>
          <w:sz w:val="24"/>
          <w:szCs w:val="24"/>
        </w:rPr>
        <w:t xml:space="preserve">1854 · Nessuna segnatura d'archivio per il nome.</w:t>
      </w:r>
      <w:r>
        <w:rPr>
          <w:rFonts w:ascii="Barlow Semi Condensed" w:cs="Barlow Semi Condensed" w:eastAsia="Barlow Semi Condensed" w:hAnsi="Barlow Semi Condensed"/>
          <w:sz w:val="24"/>
          <w:szCs w:val="24"/>
        </w:rPr>
        <w:t xml:space="preserve"> La parte terza non cita, per questo nome, alcun documento con estremi: né il volume FRUS 1969-1976 E-15 parte 2, né il documento 350 nella seconda edizione riveduta, né il file 1552802 della Ford Library. È Stato Zero editoriale e non archivistico, perché quelle carte esistono e sono state accertate altrove nel corpus. Lo chiuderebbe una nota di raccordo apposta al paragrafo nono.</w:t>
      </w:r>
    </w:p>
    <w:p>
      <w:pPr>
        <w:spacing w:after="120" w:line="276"/>
        <w:jc w:val="both"/>
      </w:pPr>
      <w:r>
        <w:rPr>
          <w:rFonts w:ascii="Barlow Semi Condensed" w:cs="Barlow Semi Condensed" w:eastAsia="Barlow Semi Condensed" w:hAnsi="Barlow Semi Condensed"/>
          <w:b/>
          <w:bCs/>
          <w:sz w:val="24"/>
          <w:szCs w:val="24"/>
        </w:rPr>
        <w:t xml:space="preserve">1855 · Un rinvio anteriore alla propria fonte.</w:t>
      </w:r>
      <w:r>
        <w:rPr>
          <w:rFonts w:ascii="Barlow Semi Condensed" w:cs="Barlow Semi Condensed" w:eastAsia="Barlow Semi Condensed" w:hAnsi="Barlow Semi Condensed"/>
          <w:sz w:val="24"/>
          <w:szCs w:val="24"/>
        </w:rPr>
        <w:t xml:space="preserve"> Il paragrafo nono rinvia alla «triangolazione condotta nel corpus di questa ricerca (il fascicolo su Kissinger)». Verifica eseguita sul registro del branch: la parte terza è del 24 agosto 2026, il fascicolo entra il 25 agosto alle 22.31, ventotto ore dopo. Il rinvio precede dunque l'opera citata. Non è un errore di merito, ma va verbalizzato, perché una citazione anteriore alla fonte non è riscontrabile sulla fonte.</w:t>
      </w:r>
    </w:p>
    <w:p>
      <w:pPr>
        <w:spacing w:after="120" w:line="276"/>
        <w:jc w:val="both"/>
      </w:pPr>
      <w:r>
        <w:rPr>
          <w:rFonts w:ascii="Barlow Semi Condensed" w:cs="Barlow Semi Condensed" w:eastAsia="Barlow Semi Condensed" w:hAnsi="Barlow Semi Condensed"/>
          <w:b/>
          <w:bCs/>
          <w:sz w:val="24"/>
          <w:szCs w:val="24"/>
        </w:rPr>
        <w:t xml:space="preserve">1856 · La parafrasi che il fascicolo non conferma.</w:t>
      </w:r>
      <w:r>
        <w:rPr>
          <w:rFonts w:ascii="Barlow Semi Condensed" w:cs="Barlow Semi Condensed" w:eastAsia="Barlow Semi Condensed" w:hAnsi="Barlow Semi Condensed"/>
          <w:sz w:val="24"/>
          <w:szCs w:val="24"/>
        </w:rPr>
        <w:t xml:space="preserve"> Il territorio riassume gli archi documentati come «statali e verticali (Cile, Angola, i fondi ai servizi italiani)» e li contrappone a «convergenze di cornice» verso «l'eversione nera privata». Ricerca lessicale eseguita sui mille blocchi del fascicolo: le stringhe Angola, servizi italiani ed eversione nera non vi compaiono. La divergenza si riporta e non si scioglie: la sintesi non trova riscontro nel testo cui si appoggia.</w:t>
      </w:r>
    </w:p>
    <w:p>
      <w:pPr>
        <w:spacing w:after="120" w:line="276"/>
        <w:jc w:val="both"/>
      </w:pPr>
      <w:r>
        <w:rPr>
          <w:rFonts w:ascii="Barlow Semi Condensed" w:cs="Barlow Semi Condensed" w:eastAsia="Barlow Semi Condensed" w:hAnsi="Barlow Semi Condensed"/>
          <w:b/>
          <w:bCs/>
          <w:sz w:val="24"/>
          <w:szCs w:val="24"/>
        </w:rPr>
        <w:t xml:space="preserve">1857 · Che cosa smentirebbe il rilievo precedente.</w:t>
      </w:r>
      <w:r>
        <w:rPr>
          <w:rFonts w:ascii="Barlow Semi Condensed" w:cs="Barlow Semi Condensed" w:eastAsia="Barlow Semi Condensed" w:hAnsi="Barlow Semi Condensed"/>
          <w:sz w:val="24"/>
          <w:szCs w:val="24"/>
        </w:rPr>
        <w:t xml:space="preserve"> Il rilievo cadrebbe davanti a una redazione anteriore o parallela del fascicolo che contenesse quelle tre espressioni, oppure davanti a una nota d'autore che dichiari la parafrasi come sintesi propria e non come citazione. Le sedi di verifica sono interne e a portata di mano: la cronologia dei commit del branch e le eventuali bozze non versate. Finché non emergono, il rilievo regge.</w:t>
      </w:r>
    </w:p>
    <w:p>
      <w:pPr>
        <w:spacing w:after="120" w:line="276"/>
        <w:jc w:val="both"/>
      </w:pPr>
      <w:r>
        <w:rPr>
          <w:rFonts w:ascii="Barlow Semi Condensed" w:cs="Barlow Semi Condensed" w:eastAsia="Barlow Semi Condensed" w:hAnsi="Barlow Semi Condensed"/>
          <w:b/>
          <w:bCs/>
          <w:sz w:val="24"/>
          <w:szCs w:val="24"/>
        </w:rPr>
        <w:t xml:space="preserve">1858 · Un merito di priorità, da riconoscere.</w:t>
      </w:r>
      <w:r>
        <w:rPr>
          <w:rFonts w:ascii="Barlow Semi Condensed" w:cs="Barlow Semi Condensed" w:eastAsia="Barlow Semi Condensed" w:hAnsi="Barlow Semi Condensed"/>
          <w:sz w:val="24"/>
          <w:szCs w:val="24"/>
        </w:rPr>
        <w:t xml:space="preserve"> Va scritto perché la disciplina impone di riportare anche ciò che smentisce l'attesa: il territorio annota la smentita dell'interessato — «sempre smentito da Kissinger» — il 24 agosto, mentre la nota di revisione del nodo M-5 in «triangolazioni-guevara-moro.md» la introduce solo il 25. Su questo punto la parte terza precede la campagna di verifica, e il primato le appartiene.</w:t>
      </w:r>
    </w:p>
    <w:p>
      <w:pPr>
        <w:spacing w:after="120" w:line="276"/>
        <w:jc w:val="both"/>
      </w:pPr>
      <w:r>
        <w:rPr>
          <w:rFonts w:ascii="Barlow Semi Condensed" w:cs="Barlow Semi Condensed" w:eastAsia="Barlow Semi Condensed" w:hAnsi="Barlow Semi Condensed"/>
          <w:b/>
          <w:bCs/>
          <w:sz w:val="24"/>
          <w:szCs w:val="24"/>
        </w:rPr>
        <w:t xml:space="preserve">1859 · L'ostilità di settori come cornice.</w:t>
      </w:r>
      <w:r>
        <w:rPr>
          <w:rFonts w:ascii="Barlow Semi Condensed" w:cs="Barlow Semi Condensed" w:eastAsia="Barlow Semi Condensed" w:hAnsi="Barlow Semi Condensed"/>
          <w:sz w:val="24"/>
          <w:szCs w:val="24"/>
        </w:rPr>
        <w:t xml:space="preserve"> La prima clausola del paragrafo nono dichiara documentata l'ostilità di settori dell'alleanza atlantica all'ingresso dei comunisti nell'area di governo. Accertamento sostenibile, ma il suo piano è il secondo: è cornice condivisa da decine di soggetti fra loro estranei, e un tratto tanto diffuso non raggruppa nulla. Trattarlo come antecedente specifico sarebbe il carattere derivato condiviso che la sistematica vieta di costruire sulla somiglianza generica.</w:t>
      </w:r>
    </w:p>
    <w:p>
      <w:pPr>
        <w:spacing w:after="120" w:line="276"/>
        <w:jc w:val="both"/>
      </w:pPr>
      <w:r>
        <w:rPr>
          <w:rFonts w:ascii="Barlow Semi Condensed" w:cs="Barlow Semi Condensed" w:eastAsia="Barlow Semi Condensed" w:hAnsi="Barlow Semi Condensed"/>
          <w:b/>
          <w:bCs/>
          <w:sz w:val="24"/>
          <w:szCs w:val="24"/>
        </w:rPr>
        <w:t xml:space="preserve">1860 · Documentata è la deposizione, non il fatto.</w:t>
      </w:r>
      <w:r>
        <w:rPr>
          <w:rFonts w:ascii="Barlow Semi Condensed" w:cs="Barlow Semi Condensed" w:eastAsia="Barlow Semi Condensed" w:hAnsi="Barlow Semi Condensed"/>
          <w:sz w:val="24"/>
          <w:szCs w:val="24"/>
        </w:rPr>
        <w:t xml:space="preserve"> La seconda clausola dice «è documentato l'avvertimento riferito da Corrado Guerzoni e confermato da Eleonora Chiavarelli Moro». Regola di lettura da applicare senza eccezioni: ciò che è documentato è la resa della testimonianza, con la sua data e la sua sede; il fatto raccontato resta privo di documento proprio. Chi legge la formula al contrario trasforma un verbale d'udienza nella prova di ciò che vi si narrò.</w:t>
      </w:r>
    </w:p>
    <w:p>
      <w:pPr>
        <w:spacing w:after="120" w:line="276"/>
        <w:jc w:val="both"/>
      </w:pPr>
      <w:r>
        <w:rPr>
          <w:rFonts w:ascii="Barlow Semi Condensed" w:cs="Barlow Semi Condensed" w:eastAsia="Barlow Semi Condensed" w:hAnsi="Barlow Semi Condensed"/>
          <w:b/>
          <w:bCs/>
          <w:sz w:val="24"/>
          <w:szCs w:val="24"/>
        </w:rPr>
        <w:t xml:space="preserve">1861 · Il verbo «confermato» va corretto.</w:t>
      </w:r>
      <w:r>
        <w:rPr>
          <w:rFonts w:ascii="Barlow Semi Condensed" w:cs="Barlow Semi Condensed" w:eastAsia="Barlow Semi Condensed" w:hAnsi="Barlow Semi Condensed"/>
          <w:sz w:val="24"/>
          <w:szCs w:val="24"/>
        </w:rPr>
        <w:t xml:space="preserve"> Nell'aula della Corte d'assise di Roma la vedova parlò di «un'alta personalità» senza nominarla; fu il presidente, richiamando il portavoce, a ottenere l'indicazione del nome. «Confermato» descrive perciò male l'atto processuale: il nome fu ottenuto e non offerto, e l'attribuzione è essa stessa indiretta. Sede che chiude il punto: il verbale d'udienza del novembre 1982 negli atti dei cinque processi digitalizzati.</w:t>
      </w:r>
    </w:p>
    <w:p>
      <w:pPr>
        <w:spacing w:after="120" w:line="276"/>
        <w:jc w:val="both"/>
      </w:pPr>
      <w:r>
        <w:rPr>
          <w:rFonts w:ascii="Barlow Semi Condensed" w:cs="Barlow Semi Condensed" w:eastAsia="Barlow Semi Condensed" w:hAnsi="Barlow Semi Condensed"/>
          <w:b/>
          <w:bCs/>
          <w:sz w:val="24"/>
          <w:szCs w:val="24"/>
        </w:rPr>
        <w:t xml:space="preserve">1862 · Una data scelta fra tre.</w:t>
      </w:r>
      <w:r>
        <w:rPr>
          <w:rFonts w:ascii="Barlow Semi Condensed" w:cs="Barlow Semi Condensed" w:eastAsia="Barlow Semi Condensed" w:hAnsi="Barlow Semi Condensed"/>
          <w:sz w:val="24"/>
          <w:szCs w:val="24"/>
        </w:rPr>
        <w:t xml:space="preserve"> L'inciso «Washington, collocato al 25 settembre 1974» adotta la versione italiana prevalente. Le fonti divergono in modo non marginale: un'agenzia statunitense dell'aprile 1983 colloca l'episodio in un alterco all'ambasciata d'Italia a Washington nel 1977, altre sintesi indicano il 1976, e i luoghi oscillano fra Studio Ovale, Dipartimento di Stato, cena ufficiale e ambasciata. La divergenza si riporta; il territorio la risolve in silenzio.</w:t>
      </w:r>
    </w:p>
    <w:p>
      <w:pPr>
        <w:spacing w:after="120" w:line="276"/>
        <w:jc w:val="both"/>
      </w:pPr>
      <w:r>
        <w:rPr>
          <w:rFonts w:ascii="Barlow Semi Condensed" w:cs="Barlow Semi Condensed" w:eastAsia="Barlow Semi Condensed" w:hAnsi="Barlow Semi Condensed"/>
          <w:b/>
          <w:bCs/>
          <w:sz w:val="24"/>
          <w:szCs w:val="24"/>
        </w:rPr>
        <w:t xml:space="preserve">1863 · Il de relato che manca al testo.</w:t>
      </w:r>
      <w:r>
        <w:rPr>
          <w:rFonts w:ascii="Barlow Semi Condensed" w:cs="Barlow Semi Condensed" w:eastAsia="Barlow Semi Condensed" w:hAnsi="Barlow Semi Condensed"/>
          <w:sz w:val="24"/>
          <w:szCs w:val="24"/>
        </w:rPr>
        <w:t xml:space="preserve"> Il portavoce non assistette al colloquio: apprese il fatto da Moro e dall'entourage e depose de relato nel novembre 1982, con divergenza fra il 10 e il 15 come giorno. Il territorio scrive «riferito da», formula corretta ma insufficiente a fissare lo statuto della fonte. Il riscontro è nei verbali d'udienza della Corte d'assise di Roma, il cui fondo processuale è stato digitalizzato sotto coordinamento dell'Archivio di Stato.</w:t>
      </w:r>
    </w:p>
    <w:p>
      <w:pPr>
        <w:spacing w:after="120" w:line="276"/>
        <w:jc w:val="both"/>
      </w:pPr>
      <w:r>
        <w:rPr>
          <w:rFonts w:ascii="Barlow Semi Condensed" w:cs="Barlow Semi Condensed" w:eastAsia="Barlow Semi Condensed" w:hAnsi="Barlow Semi Condensed"/>
          <w:b/>
          <w:bCs/>
          <w:sz w:val="24"/>
          <w:szCs w:val="24"/>
        </w:rPr>
        <w:t xml:space="preserve">1864 · La sede parlamentare e il suo contenuto.</w:t>
      </w:r>
      <w:r>
        <w:rPr>
          <w:rFonts w:ascii="Barlow Semi Condensed" w:cs="Barlow Semi Condensed" w:eastAsia="Barlow Semi Condensed" w:hAnsi="Barlow Semi Condensed"/>
          <w:sz w:val="24"/>
          <w:szCs w:val="24"/>
        </w:rPr>
        <w:t xml:space="preserve"> L'audizione della vedova davanti alla prima Commissione d'inchiesta è confermata quanto a sede e data — 1° agosto 1980, atti Doc. XXIII della ottava legislatura — ma il contenuto verbatim della frase in quella sede resta da riscontrare: le sintesi la collocano nella deposizione giudiziaria del 1982. Il resoconto stenografico integrale, conservato negli atti parlamentari, è il documento che separa i due piani.</w:t>
      </w:r>
    </w:p>
    <w:p>
      <w:pPr>
        <w:spacing w:after="120" w:line="276"/>
        <w:jc w:val="both"/>
      </w:pPr>
      <w:r>
        <w:rPr>
          <w:rFonts w:ascii="Barlow Semi Condensed" w:cs="Barlow Semi Condensed" w:eastAsia="Barlow Semi Condensed" w:hAnsi="Barlow Semi Condensed"/>
          <w:b/>
          <w:bCs/>
          <w:sz w:val="24"/>
          <w:szCs w:val="24"/>
        </w:rPr>
        <w:t xml:space="preserve">1865 · Il verbale non contiene l'ultimatum (serie XXV).</w:t>
      </w:r>
      <w:r>
        <w:rPr>
          <w:rFonts w:ascii="Barlow Semi Condensed" w:cs="Barlow Semi Condensed" w:eastAsia="Barlow Semi Condensed" w:hAnsi="Barlow Semi Condensed"/>
          <w:sz w:val="24"/>
          <w:szCs w:val="24"/>
        </w:rPr>
        <w:t xml:space="preserve"> Accertamento già fissato dall'opera e assente dal territorio: il memorandum of conversation dello Studio Ovale del 25 settembre 1974, ore 11.30, con Leone, Moro, Ford, Kissinger e Scowcroft, non contiene alcun ultimatum personale. Attesta la posizione secondo cui non si potrebbero scambiare informazioni militari con un governo comprendente i comunisti, col precedente portoghese richiamato. Il paragrafo nono guadagnerebbe l'accertamento con una riga.</w:t>
      </w:r>
    </w:p>
    <w:p>
      <w:pPr>
        <w:spacing w:after="120" w:line="276"/>
        <w:jc w:val="both"/>
      </w:pPr>
      <w:r>
        <w:rPr>
          <w:rFonts w:ascii="Barlow Semi Condensed" w:cs="Barlow Semi Condensed" w:eastAsia="Barlow Semi Condensed" w:hAnsi="Barlow Semi Condensed"/>
          <w:b/>
          <w:bCs/>
          <w:sz w:val="24"/>
          <w:szCs w:val="24"/>
        </w:rPr>
        <w:t xml:space="preserve">1866 · L'assenza dal verbale non decide.</w:t>
      </w:r>
      <w:r>
        <w:rPr>
          <w:rFonts w:ascii="Barlow Semi Condensed" w:cs="Barlow Semi Condensed" w:eastAsia="Barlow Semi Condensed" w:hAnsi="Barlow Semi Condensed"/>
          <w:sz w:val="24"/>
          <w:szCs w:val="24"/>
        </w:rPr>
        <w:t xml:space="preserve"> Simmetria da tenere ferma contro la tentazione opposta. Secondo la testimonianza la frase sarebbe caduta a margine, in colloquio riservato o a cena: la sua assenza dal verbale ufficiale non prova dunque né la falsità né la verità dell'episodio. Indebolisce, e in modo netto, la sola versione che lo colloca dentro l'incontro formale. Chi usa il verbale come assoluzione compie l'errore speculare di chi lo usa come prova.</w:t>
      </w:r>
    </w:p>
    <w:p>
      <w:pPr>
        <w:spacing w:after="120" w:line="276"/>
        <w:jc w:val="both"/>
      </w:pPr>
      <w:r>
        <w:rPr>
          <w:rFonts w:ascii="Barlow Semi Condensed" w:cs="Barlow Semi Condensed" w:eastAsia="Barlow Semi Condensed" w:hAnsi="Barlow Semi Condensed"/>
          <w:b/>
          <w:bCs/>
          <w:sz w:val="24"/>
          <w:szCs w:val="24"/>
        </w:rPr>
        <w:t xml:space="preserve">1867 · Il secondo verbale, del ventisei.</w:t>
      </w:r>
      <w:r>
        <w:rPr>
          <w:rFonts w:ascii="Barlow Semi Condensed" w:cs="Barlow Semi Condensed" w:eastAsia="Barlow Semi Condensed" w:hAnsi="Barlow Semi Condensed"/>
          <w:sz w:val="24"/>
          <w:szCs w:val="24"/>
        </w:rPr>
        <w:t xml:space="preserve"> Esiste un memorandum del giorno successivo, 26 settembre 1974, file 1552806 della Gerald R. Ford Presidential Library, sui cui contenuti gli estratti reperiti sono parziali e non del tutto concordi. Quesito da portare in sede: l'acquisizione integrale di quel file e la collazione con il 1552802. Il territorio ignora l'esistenza del secondo incontro, e con essa la possibilità che vi si trovi ciò che nel primo non c'è.</w:t>
      </w:r>
    </w:p>
    <w:p>
      <w:pPr>
        <w:spacing w:after="120" w:line="276"/>
        <w:jc w:val="both"/>
      </w:pPr>
      <w:r>
        <w:rPr>
          <w:rFonts w:ascii="Barlow Semi Condensed" w:cs="Barlow Semi Condensed" w:eastAsia="Barlow Semi Condensed" w:hAnsi="Barlow Semi Condensed"/>
          <w:b/>
          <w:bCs/>
          <w:sz w:val="24"/>
          <w:szCs w:val="24"/>
        </w:rPr>
        <w:t xml:space="preserve">1868 · L'interprete come passaggio obbligato (serie XXV).</w:t>
      </w:r>
      <w:r>
        <w:rPr>
          <w:rFonts w:ascii="Barlow Semi Condensed" w:cs="Barlow Semi Condensed" w:eastAsia="Barlow Semi Condensed" w:hAnsi="Barlow Semi Condensed"/>
          <w:sz w:val="24"/>
          <w:szCs w:val="24"/>
        </w:rPr>
        <w:t xml:space="preserve"> Uno dei testimoni italiani che negarono la minaccia disse di averla verificata allora con l'interprete, perché Moro non parlava inglese. Il dato tocca la plausibilità materiale di uno scambio verbale diretto e apre un bersaglio mai battuto, già formulato al blocco 583 del fascicolo: identificare gli interpreti dei colloqui italo-statunitensi del settembre 1974 e cercarne appunti o note di servizio nelle carte della delegazione italiana.</w:t>
      </w:r>
    </w:p>
    <w:p>
      <w:pPr>
        <w:spacing w:after="120" w:line="276"/>
        <w:jc w:val="both"/>
      </w:pPr>
      <w:r>
        <w:rPr>
          <w:rFonts w:ascii="Barlow Semi Condensed" w:cs="Barlow Semi Condensed" w:eastAsia="Barlow Semi Condensed" w:hAnsi="Barlow Semi Condensed"/>
          <w:b/>
          <w:bCs/>
          <w:sz w:val="24"/>
          <w:szCs w:val="24"/>
        </w:rPr>
        <w:t xml:space="preserve">1869 · Pieczenik non è un arco.</w:t>
      </w:r>
      <w:r>
        <w:rPr>
          <w:rFonts w:ascii="Barlow Semi Condensed" w:cs="Barlow Semi Condensed" w:eastAsia="Barlow Semi Condensed" w:hAnsi="Barlow Semi Condensed"/>
          <w:sz w:val="24"/>
          <w:szCs w:val="24"/>
        </w:rPr>
        <w:t xml:space="preserve"> La terza clausola del paragrafo nono documenta la presenza del consulente statunitense nel comitato di crisi accanto al ministro dell'Interno. Il repertorio del caso le assegna grado B, e grado C alle dichiarazioni postume, che sono fonte di parte. La scheda PE-5 vieta esplicitamente di mescolarle a una pista d'archivio. Due presenze americane distinte, in due anni distinti, non compongono una linea: sarebbe analogia, non omologia.</w:t>
      </w:r>
    </w:p>
    <w:p>
      <w:pPr>
        <w:spacing w:after="120" w:line="276"/>
        <w:jc w:val="both"/>
      </w:pPr>
      <w:r>
        <w:rPr>
          <w:rFonts w:ascii="Barlow Semi Condensed" w:cs="Barlow Semi Condensed" w:eastAsia="Barlow Semi Condensed" w:hAnsi="Barlow Semi Condensed"/>
          <w:b/>
          <w:bCs/>
          <w:sz w:val="24"/>
          <w:szCs w:val="24"/>
        </w:rPr>
        <w:t xml:space="preserve">1870 · La carica era cessata da quattordici mesi.</w:t>
      </w:r>
      <w:r>
        <w:rPr>
          <w:rFonts w:ascii="Barlow Semi Condensed" w:cs="Barlow Semi Condensed" w:eastAsia="Barlow Semi Condensed" w:hAnsi="Barlow Semi Condensed"/>
          <w:sz w:val="24"/>
          <w:szCs w:val="24"/>
        </w:rPr>
        <w:t xml:space="preserve"> Vincolo cronologico da opporre a ogni lettura del 1978: l'incarico di Segretario di Stato cessò il 20 gennaio 1977, quello di Assistente per la sicurezza nazionale il 3 novembre 1975. Nei cinquantacinque giorni il nome non corrispondeva ad alcuna autorità in carica. Ogni proposizione che lo tratti come titolare di potere operativo nella primavera del 1978 è affermazione di terzo piano, prima ancora che priva di documento.</w:t>
      </w:r>
    </w:p>
    <w:p>
      <w:pPr>
        <w:spacing w:after="120" w:line="276"/>
        <w:jc w:val="both"/>
      </w:pPr>
      <w:r>
        <w:rPr>
          <w:rFonts w:ascii="Barlow Semi Condensed" w:cs="Barlow Semi Condensed" w:eastAsia="Barlow Semi Condensed" w:hAnsi="Barlow Semi Condensed"/>
          <w:b/>
          <w:bCs/>
          <w:sz w:val="24"/>
          <w:szCs w:val="24"/>
        </w:rPr>
        <w:t xml:space="preserve">1871 · Il silenzio di via Fani.</w:t>
      </w:r>
      <w:r>
        <w:rPr>
          <w:rFonts w:ascii="Barlow Semi Condensed" w:cs="Barlow Semi Condensed" w:eastAsia="Barlow Semi Condensed" w:hAnsi="Barlow Semi Condensed"/>
          <w:sz w:val="24"/>
          <w:szCs w:val="24"/>
        </w:rPr>
        <w:t xml:space="preserve"> Il paragrafo terzo del territorio ricostruisce la dinamica dell'agguato senza mai incontrare il nome. Lo Stato Zero si scrive con la sua sede: il fondo della seconda Commissione presso l'Archivio storico della Camera, dove è versato l'esame tecnico-balistico del Servizio Polizia scientifica illustrato nell'audizione del 10 giugno 2015, bersaglio del blocco 49 dell'agenda di ricerca. Interrogare quel fondo per nome, e verbalizzare l'esito.</w:t>
      </w:r>
    </w:p>
    <w:p>
      <w:pPr>
        <w:spacing w:after="120" w:line="276"/>
        <w:jc w:val="both"/>
      </w:pPr>
      <w:r>
        <w:rPr>
          <w:rFonts w:ascii="Barlow Semi Condensed" w:cs="Barlow Semi Condensed" w:eastAsia="Barlow Semi Condensed" w:hAnsi="Barlow Semi Condensed"/>
          <w:b/>
          <w:bCs/>
          <w:sz w:val="24"/>
          <w:szCs w:val="24"/>
        </w:rPr>
        <w:t xml:space="preserve">1872 · Anche un tiratore estraneo non basterebbe.</w:t>
      </w:r>
      <w:r>
        <w:rPr>
          <w:rFonts w:ascii="Barlow Semi Condensed" w:cs="Barlow Semi Condensed" w:eastAsia="Barlow Semi Condensed" w:hAnsi="Barlow Semi Condensed"/>
          <w:sz w:val="24"/>
          <w:szCs w:val="24"/>
        </w:rPr>
        <w:t xml:space="preserve"> Il territorio fissa il criterio di caduta della tesi corrente: la prova positiva della presenza operativa, sulla scena, di un tiratore non riconducibile alle Brigate rosse. Va aggiunto ciò che il criterio non dice. Anche quella prova, se venisse, non porterebbe alcun nome straniero dentro la vicenda: servirebbe in più un atto di provenienza che nomini la controparte. Due soglie distinte, e la seconda non si supera con la prima.</w:t>
      </w:r>
    </w:p>
    <w:p>
      <w:pPr>
        <w:spacing w:after="120" w:line="276"/>
        <w:jc w:val="both"/>
      </w:pPr>
      <w:r>
        <w:rPr>
          <w:rFonts w:ascii="Barlow Semi Condensed" w:cs="Barlow Semi Condensed" w:eastAsia="Barlow Semi Condensed" w:hAnsi="Barlow Semi Condensed"/>
          <w:b/>
          <w:bCs/>
          <w:sz w:val="24"/>
          <w:szCs w:val="24"/>
        </w:rPr>
        <w:t xml:space="preserve">1873 · La moto e la difformità peritale.</w:t>
      </w:r>
      <w:r>
        <w:rPr>
          <w:rFonts w:ascii="Barlow Semi Condensed" w:cs="Barlow Semi Condensed" w:eastAsia="Barlow Semi Condensed" w:hAnsi="Barlow Semi Condensed"/>
          <w:sz w:val="24"/>
          <w:szCs w:val="24"/>
        </w:rPr>
        <w:t xml:space="preserve"> Alla difformità fra i testimoni della motocicletta di grossa cilindrata e le perizie balistiche il territorio assegna grado B/C e la lascia aperta, correttamente. Nessuna delle due letture apre un varco internazionale: un'anomalia compatibile con più spiegazioni non ne privilegia una straniera. Il bersaglio resta interno e tecnico — imaging tridimensionale e comparazione algoritmica dei reperti, blocco 189 dell'agenda — e il nome vi è estraneo.</w:t>
      </w:r>
    </w:p>
    <w:p>
      <w:pPr>
        <w:spacing w:after="120" w:line="276"/>
        <w:jc w:val="both"/>
      </w:pPr>
      <w:r>
        <w:rPr>
          <w:rFonts w:ascii="Barlow Semi Condensed" w:cs="Barlow Semi Condensed" w:eastAsia="Barlow Semi Condensed" w:hAnsi="Barlow Semi Condensed"/>
          <w:b/>
          <w:bCs/>
          <w:sz w:val="24"/>
          <w:szCs w:val="24"/>
        </w:rPr>
        <w:t xml:space="preserve">1874 · La prigione, e il fondo che tace.</w:t>
      </w:r>
      <w:r>
        <w:rPr>
          <w:rFonts w:ascii="Barlow Semi Condensed" w:cs="Barlow Semi Condensed" w:eastAsia="Barlow Semi Condensed" w:hAnsi="Barlow Semi Condensed"/>
          <w:sz w:val="24"/>
          <w:szCs w:val="24"/>
        </w:rPr>
        <w:t xml:space="preserve"> Sul paragrafo quarto, dedicato a via Montalcini 8, la ricerca del nome dà esito negativo pieno. Sede di chiusura: i versamenti del Viminale nel fondo Direttiva Renzi presso l'Archivio centrale dello Stato, dove giacciono gli accertamenti dell'ufficio politico della questura romana condotti nell'estate del 1978 sull'appartamento e sulla sua proprietaria. È il giacimento che va interrogato prima di dichiarare definitivo l'esito.</w:t>
      </w:r>
    </w:p>
    <w:p>
      <w:pPr>
        <w:spacing w:after="120" w:line="276"/>
        <w:jc w:val="both"/>
      </w:pPr>
      <w:r>
        <w:rPr>
          <w:rFonts w:ascii="Barlow Semi Condensed" w:cs="Barlow Semi Condensed" w:eastAsia="Barlow Semi Condensed" w:hAnsi="Barlow Semi Condensed"/>
          <w:b/>
          <w:bCs/>
          <w:sz w:val="24"/>
          <w:szCs w:val="24"/>
        </w:rPr>
        <w:t xml:space="preserve">1875 · Gradoli, la seduta e il registro.</w:t>
      </w:r>
      <w:r>
        <w:rPr>
          <w:rFonts w:ascii="Barlow Semi Condensed" w:cs="Barlow Semi Condensed" w:eastAsia="Barlow Semi Condensed" w:hAnsi="Barlow Semi Condensed"/>
          <w:sz w:val="24"/>
          <w:szCs w:val="24"/>
        </w:rPr>
        <w:t xml:space="preserve"> Il paragrafo quinto tratta il covo di via Gradoli 96, l'allagamento del 18 aprile 1978 e il nome uscito dalla seduta di Zappolino. Nessuna versione dell'episodio, in nessuna fonte del corpus, coinvolge il nome triangolato. Lo Stato Zero si chiude sul registro del 2 aprile prescritto al blocco 251 dell'agenda: chi era presente, chi verbalizzò, quando la parola raggiunse quale ufficio.</w:t>
      </w:r>
    </w:p>
    <w:p>
      <w:pPr>
        <w:spacing w:after="120" w:line="276"/>
        <w:jc w:val="both"/>
      </w:pPr>
      <w:r>
        <w:rPr>
          <w:rFonts w:ascii="Barlow Semi Condensed" w:cs="Barlow Semi Condensed" w:eastAsia="Barlow Semi Condensed" w:hAnsi="Barlow Semi Condensed"/>
          <w:b/>
          <w:bCs/>
          <w:sz w:val="24"/>
          <w:szCs w:val="24"/>
        </w:rPr>
        <w:t xml:space="preserve">1876 · La fonte informata, se esistette.</w:t>
      </w:r>
      <w:r>
        <w:rPr>
          <w:rFonts w:ascii="Barlow Semi Condensed" w:cs="Barlow Semi Condensed" w:eastAsia="Barlow Semi Condensed" w:hAnsi="Barlow Semi Condensed"/>
          <w:sz w:val="24"/>
          <w:szCs w:val="24"/>
        </w:rPr>
        <w:t xml:space="preserve"> Il territorio pone due spiegazioni entrambe di livello C — la fonte informata che scelse un canale improbabile, e la coincidenza — e si rifiuta di scegliere. La disciplina qui è identica per il nome: se una fonte informata esistette, solo un documento che la nomini la identifica. Nessuna carta reperita, italiana o statunitense, la colloca oltre confine. L'ipotesi resta possibile e priva di sostegno proprio.</w:t>
      </w:r>
    </w:p>
    <w:p>
      <w:pPr>
        <w:spacing w:after="120" w:line="276"/>
        <w:jc w:val="both"/>
      </w:pPr>
      <w:r>
        <w:rPr>
          <w:rFonts w:ascii="Barlow Semi Condensed" w:cs="Barlow Semi Condensed" w:eastAsia="Barlow Semi Condensed" w:hAnsi="Barlow Semi Condensed"/>
          <w:b/>
          <w:bCs/>
          <w:sz w:val="24"/>
          <w:szCs w:val="24"/>
        </w:rPr>
        <w:t xml:space="preserve">1877 · Fermezza e trattativa, e i cablo.</w:t>
      </w:r>
      <w:r>
        <w:rPr>
          <w:rFonts w:ascii="Barlow Semi Condensed" w:cs="Barlow Semi Condensed" w:eastAsia="Barlow Semi Condensed" w:hAnsi="Barlow Semi Condensed"/>
          <w:sz w:val="24"/>
          <w:szCs w:val="24"/>
        </w:rPr>
        <w:t xml:space="preserve"> Il paragrafo sesto ricostruisce lo schieramento politico dei cinquantacinque giorni senza incontrare il nome. Il bersaglio corrispondente è enumerativo e sta nella scheda PE-5: interrogare l'Access to Archival Databases dei National Archives sui telegrammi elettronici del 1978, per TAGS «PINT» e «IT», finestra 16 marzo-31 dicembre, e produrre la tavola rilasciato/trattenuto che oggi non esiste in nessuna pubblicazione.</w:t>
      </w:r>
    </w:p>
    <w:p>
      <w:pPr>
        <w:spacing w:after="120" w:line="276"/>
        <w:jc w:val="both"/>
      </w:pPr>
      <w:r>
        <w:rPr>
          <w:rFonts w:ascii="Barlow Semi Condensed" w:cs="Barlow Semi Condensed" w:eastAsia="Barlow Semi Condensed" w:hAnsi="Barlow Semi Condensed"/>
          <w:b/>
          <w:bCs/>
          <w:sz w:val="24"/>
          <w:szCs w:val="24"/>
        </w:rPr>
        <w:t xml:space="preserve">1878 · Dieci negligenze non fanno un mandante.</w:t>
      </w:r>
      <w:r>
        <w:rPr>
          <w:rFonts w:ascii="Barlow Semi Condensed" w:cs="Barlow Semi Condensed" w:eastAsia="Barlow Semi Condensed" w:hAnsi="Barlow Semi Condensed"/>
          <w:sz w:val="24"/>
          <w:szCs w:val="24"/>
        </w:rPr>
        <w:t xml:space="preserve"> Il paragrafo settimo isola il crinale fra inefficienza e dolo e vieta la somma: ciascun ritardo va provato dolo per dolo, con un documento. La regola vale rafforzata quando all'estremo della catena si vuole collocare un nome straniero, perché lì ai due salti vietati — dal ritardo al dolo, dal dolo al mandato — se ne aggiunge un terzo, dal mandato interno a quello esterno. Tre soglie, nessuna superata.</w:t>
      </w:r>
    </w:p>
    <w:p>
      <w:pPr>
        <w:spacing w:after="120" w:line="276"/>
        <w:jc w:val="both"/>
      </w:pPr>
      <w:r>
        <w:rPr>
          <w:rFonts w:ascii="Barlow Semi Condensed" w:cs="Barlow Semi Condensed" w:eastAsia="Barlow Semi Condensed" w:hAnsi="Barlow Semi Condensed"/>
          <w:b/>
          <w:bCs/>
          <w:sz w:val="24"/>
          <w:szCs w:val="24"/>
        </w:rPr>
        <w:t xml:space="preserve">1879 · Il memoriale e l'indice dei nomi.</w:t>
      </w:r>
      <w:r>
        <w:rPr>
          <w:rFonts w:ascii="Barlow Semi Condensed" w:cs="Barlow Semi Condensed" w:eastAsia="Barlow Semi Condensed" w:hAnsi="Barlow Semi Condensed"/>
          <w:sz w:val="24"/>
          <w:szCs w:val="24"/>
        </w:rPr>
        <w:t xml:space="preserve"> Il paragrafo ottavo ricostruisce il doppio ritrovamento di via Monte Nevoso 8 — ottobre 1978 e ottobre 1990 — con gli originali mai trovati. Quesito filologico preciso e mai posto: nelle carte note della prigionia il nome triangolato compare, e in quali termini? Si verifica sull'edizione critica presentata all'Archivio di Stato di Roma nel 2020 e sulle curatele Gotor, indice dei nomi alla mano.</w:t>
      </w:r>
    </w:p>
    <w:p>
      <w:pPr>
        <w:spacing w:after="120" w:line="276"/>
        <w:jc w:val="both"/>
      </w:pPr>
      <w:r>
        <w:rPr>
          <w:rFonts w:ascii="Barlow Semi Condensed" w:cs="Barlow Semi Condensed" w:eastAsia="Barlow Semi Condensed" w:hAnsi="Barlow Semi Condensed"/>
          <w:b/>
          <w:bCs/>
          <w:sz w:val="24"/>
          <w:szCs w:val="24"/>
        </w:rPr>
        <w:t xml:space="preserve">1880 · Che cosa varrebbe una tale occorrenza.</w:t>
      </w:r>
      <w:r>
        <w:rPr>
          <w:rFonts w:ascii="Barlow Semi Condensed" w:cs="Barlow Semi Condensed" w:eastAsia="Barlow Semi Condensed" w:hAnsi="Barlow Semi Condensed"/>
          <w:sz w:val="24"/>
          <w:szCs w:val="24"/>
        </w:rPr>
        <w:t xml:space="preserve"> Ipotesi da qualificare in anticipo, perché il grado si fissa prima del ritrovamento e non dopo. Se il nome comparisse nelle pagine del 1990, sarebbe la voce di un prigioniero che ricostruisce a memoria e sotto costrizione: fonte di parte sul proprio autore, non prova di condotta altrui. Documenterebbe che cosa Moro pensasse, non che cosa qualcuno avesse fatto. La distinzione va scritta prima, non negoziata poi.</w:t>
      </w:r>
    </w:p>
    <w:p>
      <w:pPr>
        <w:spacing w:after="120" w:line="276"/>
        <w:jc w:val="both"/>
      </w:pPr>
      <w:r>
        <w:rPr>
          <w:rFonts w:ascii="Barlow Semi Condensed" w:cs="Barlow Semi Condensed" w:eastAsia="Barlow Semi Condensed" w:hAnsi="Barlow Semi Condensed"/>
          <w:b/>
          <w:bCs/>
          <w:sz w:val="24"/>
          <w:szCs w:val="24"/>
        </w:rPr>
        <w:t xml:space="preserve">1881 · La verità dicibile non autorizza nomi.</w:t>
      </w:r>
      <w:r>
        <w:rPr>
          <w:rFonts w:ascii="Barlow Semi Condensed" w:cs="Barlow Semi Condensed" w:eastAsia="Barlow Semi Condensed" w:hAnsi="Barlow Semi Condensed"/>
          <w:sz w:val="24"/>
          <w:szCs w:val="24"/>
        </w:rPr>
        <w:t xml:space="preserve"> Il paragrafo decimo accerta, con la formula del presidente della seconda Commissione, che la verità giudiziaria è incompleta e che vi furono coperture. Il territorio stesso ne trae il divieto: «non sappiamo tutto» è un fatto, «sappiamo che dietro c'è il tale» è un'inferenza che quel fatto non autorizza. Applicata al nome, la regola chiude in partenza ogni argomento che usi il buio come indizio.</w:t>
      </w:r>
    </w:p>
    <w:p>
      <w:pPr>
        <w:spacing w:after="120" w:line="276"/>
        <w:jc w:val="both"/>
      </w:pPr>
      <w:r>
        <w:rPr>
          <w:rFonts w:ascii="Barlow Semi Condensed" w:cs="Barlow Semi Condensed" w:eastAsia="Barlow Semi Condensed" w:hAnsi="Barlow Semi Condensed"/>
          <w:b/>
          <w:bCs/>
          <w:sz w:val="24"/>
          <w:szCs w:val="24"/>
        </w:rPr>
        <w:t xml:space="preserve">1882 · La Commissione e le sue date.</w:t>
      </w:r>
      <w:r>
        <w:rPr>
          <w:rFonts w:ascii="Barlow Semi Condensed" w:cs="Barlow Semi Condensed" w:eastAsia="Barlow Semi Condensed" w:hAnsi="Barlow Semi Condensed"/>
          <w:sz w:val="24"/>
          <w:szCs w:val="24"/>
        </w:rPr>
        <w:t xml:space="preserve"> Il territorio scrive «Commissione Fioroni (2014-2018)». Il corpus registra estremi più precisi: legge 30 maggio 2014 numero 82, presidenza dal 2 ottobre 2014, relazione finale del 6 dicembre 2017. La divergenza è minore ma va riportata, perché una forbice di date allargata di un anno rende inverificabile qualunque conteggio si voglia fare, per questo nome o per altri, sugli atti prodotti in quel perimetro.</w:t>
      </w:r>
    </w:p>
    <w:p>
      <w:pPr>
        <w:spacing w:after="120" w:line="276"/>
        <w:jc w:val="both"/>
      </w:pPr>
      <w:r>
        <w:rPr>
          <w:rFonts w:ascii="Barlow Semi Condensed" w:cs="Barlow Semi Condensed" w:eastAsia="Barlow Semi Condensed" w:hAnsi="Barlow Semi Condensed"/>
          <w:b/>
          <w:bCs/>
          <w:sz w:val="24"/>
          <w:szCs w:val="24"/>
        </w:rPr>
        <w:t xml:space="preserve">1883 · I quattrocentosettantaquattro, e il loro grado.</w:t>
      </w:r>
      <w:r>
        <w:rPr>
          <w:rFonts w:ascii="Barlow Semi Condensed" w:cs="Barlow Semi Condensed" w:eastAsia="Barlow Semi Condensed" w:hAnsi="Barlow Semi Condensed"/>
          <w:sz w:val="24"/>
          <w:szCs w:val="24"/>
        </w:rPr>
        <w:t xml:space="preserve"> La pubblicistica che segue le desecretazioni riferisce che fra le migliaia di atti ancora classificati sul caso circa 474 sono di origine di Stati alleati, Stati Uniti in testa. Cifra riferita e non verificata su atto: si porta col suo grado. Il quesito enumerativo è quello della scheda PE-5: quanti di quei 474 siano statunitensi, e quale canale di consenso sia mai stato attivato.</w:t>
      </w:r>
    </w:p>
    <w:p>
      <w:pPr>
        <w:spacing w:after="120" w:line="276"/>
        <w:jc w:val="both"/>
      </w:pPr>
      <w:r>
        <w:rPr>
          <w:rFonts w:ascii="Barlow Semi Condensed" w:cs="Barlow Semi Condensed" w:eastAsia="Barlow Semi Condensed" w:hAnsi="Barlow Semi Condensed"/>
          <w:b/>
          <w:bCs/>
          <w:sz w:val="24"/>
          <w:szCs w:val="24"/>
        </w:rPr>
        <w:t xml:space="preserve">1884 · La regola dell'originatore, non un indizio.</w:t>
      </w:r>
      <w:r>
        <w:rPr>
          <w:rFonts w:ascii="Barlow Semi Condensed" w:cs="Barlow Semi Condensed" w:eastAsia="Barlow Semi Condensed" w:hAnsi="Barlow Semi Condensed"/>
          <w:sz w:val="24"/>
          <w:szCs w:val="24"/>
        </w:rPr>
        <w:t xml:space="preserve"> Un documento classificato da uno Stato terzo non può essere desecretato unilateralmente da chi lo detiene: le direttive italiane aprono le carte italiane, non quelle alleate. Ne discendono due conseguenze opposte alla dietrologia corrente. Il canale è bilaterale e diplomatico, non ostruzionistico; e classificato non significa occultato, perché la regola è generale negli scambi fra Stati e non dice nulla sul contenuto del singolo atto.</w:t>
      </w:r>
    </w:p>
    <w:p>
      <w:pPr>
        <w:spacing w:after="120" w:line="276"/>
        <w:jc w:val="both"/>
      </w:pPr>
      <w:r>
        <w:rPr>
          <w:rFonts w:ascii="Barlow Semi Condensed" w:cs="Barlow Semi Condensed" w:eastAsia="Barlow Semi Condensed" w:hAnsi="Barlow Semi Condensed"/>
          <w:b/>
          <w:bCs/>
          <w:sz w:val="24"/>
          <w:szCs w:val="24"/>
        </w:rPr>
        <w:t xml:space="preserve">1885 · Le schede di ritiro contano il vuoto.</w:t>
      </w:r>
      <w:r>
        <w:rPr>
          <w:rFonts w:ascii="Barlow Semi Condensed" w:cs="Barlow Semi Condensed" w:eastAsia="Barlow Semi Condensed" w:hAnsi="Barlow Semi Condensed"/>
          <w:sz w:val="24"/>
          <w:szCs w:val="24"/>
        </w:rPr>
        <w:t xml:space="preserve"> Accanto ai telegrammi rilasciati, i National Archives conservano le Electronic Telegrams Withdrawal Cards del 1978: per ogni cablo trattenuto la scheda ne attesta esistenza, data e provenienza. È il censimento pubblico di ciò che manca. Un'assenza documentata dall'archivio stesso è la forma più forte di Stato Zero, e vale più di qualunque congettura sul non rilasciato: la dietrologia specula, la scheda enumera.</w:t>
      </w:r>
    </w:p>
    <w:p>
      <w:pPr>
        <w:spacing w:after="120" w:line="276"/>
        <w:jc w:val="both"/>
      </w:pPr>
      <w:r>
        <w:rPr>
          <w:rFonts w:ascii="Barlow Semi Condensed" w:cs="Barlow Semi Condensed" w:eastAsia="Barlow Semi Condensed" w:hAnsi="Barlow Semi Condensed"/>
          <w:b/>
          <w:bCs/>
          <w:sz w:val="24"/>
          <w:szCs w:val="24"/>
        </w:rPr>
        <w:t xml:space="preserve">1886 · Un piano uno del 1969.</w:t>
      </w:r>
      <w:r>
        <w:rPr>
          <w:rFonts w:ascii="Barlow Semi Condensed" w:cs="Barlow Semi Condensed" w:eastAsia="Barlow Semi Condensed" w:hAnsi="Barlow Semi Condensed"/>
          <w:sz w:val="24"/>
          <w:szCs w:val="24"/>
        </w:rPr>
        <w:t xml:space="preserve"> Il rapporto diretto documentato, nel corpus, c'è: il verbale della riunione dell'11 marzo 1969 sull'azione coperta in Italia, presieduta dal nome triangolato, con Johnson, Packard e Helms presenti, edito come documento 180 del volume XLI dei FRUS. È piano 1 rispetto al nome, ma non rispetto a Moro, che divenne ministro degli Esteri il 5 agosto 1969. La contemporaneità è solo apparente e non va trattata come nesso.</w:t>
      </w:r>
    </w:p>
    <w:p>
      <w:pPr>
        <w:spacing w:after="120" w:line="276"/>
        <w:jc w:val="both"/>
      </w:pPr>
      <w:r>
        <w:rPr>
          <w:rFonts w:ascii="Barlow Semi Condensed" w:cs="Barlow Semi Condensed" w:eastAsia="Barlow Semi Condensed" w:hAnsi="Barlow Semi Condensed"/>
          <w:b/>
          <w:bCs/>
          <w:sz w:val="24"/>
          <w:szCs w:val="24"/>
        </w:rPr>
        <w:t xml:space="preserve">1887 · Che cosa quel verbale accerta davvero.</w:t>
      </w:r>
      <w:r>
        <w:rPr>
          <w:rFonts w:ascii="Barlow Semi Condensed" w:cs="Barlow Semi Condensed" w:eastAsia="Barlow Semi Condensed" w:hAnsi="Barlow Semi Condensed"/>
          <w:sz w:val="24"/>
          <w:szCs w:val="24"/>
        </w:rPr>
        <w:t xml:space="preserve"> Nella riunione il rappresentante dell'agenzia illustrò origini e livelli del programma di sostegno coperto ai partiti italiani dal 1948 al 1968, e i presenti convennero all'unanimità che non vi fosse reale giustificazione per riprenderlo. L'atto accerta dunque una decisione di non ripresa. È la direzione contraria a quella che la parafrasi del territorio evoca parlando di fondi ai servizi italiani: il documento va letto, non riassunto a memoria.</w:t>
      </w:r>
    </w:p>
    <w:p>
      <w:pPr>
        <w:spacing w:after="120" w:line="276"/>
        <w:jc w:val="both"/>
      </w:pPr>
      <w:r>
        <w:rPr>
          <w:rFonts w:ascii="Barlow Semi Condensed" w:cs="Barlow Semi Condensed" w:eastAsia="Barlow Semi Condensed" w:hAnsi="Barlow Semi Condensed"/>
          <w:b/>
          <w:bCs/>
          <w:sz w:val="24"/>
          <w:szCs w:val="24"/>
        </w:rPr>
        <w:t xml:space="preserve">1888 · Lo studio sull'Italia e il suo prodotto.</w:t>
      </w:r>
      <w:r>
        <w:rPr>
          <w:rFonts w:ascii="Barlow Semi Condensed" w:cs="Barlow Semi Condensed" w:eastAsia="Barlow Semi Condensed" w:hAnsi="Barlow Semi Condensed"/>
          <w:sz w:val="24"/>
          <w:szCs w:val="24"/>
        </w:rPr>
        <w:t xml:space="preserve"> Il documento 188 dello stesso volume registra l'istruzione presidenziale del dicembre 1969 di avviare uno studio sull'Italia. Bersaglio derivato, già formulato al blocco 247 del fascicolo: reperire il documento di studio effettivamente prodotto, con sigla di serie e data, nei fondi del Consiglio di sicurezza nazionale ai National Archives di College Park, serie dei fascicoli per paese. Una nota a piè di pagina funziona qui da segnatura.</w:t>
      </w:r>
    </w:p>
    <w:p>
      <w:pPr>
        <w:spacing w:after="120" w:line="276"/>
        <w:jc w:val="both"/>
      </w:pPr>
      <w:r>
        <w:rPr>
          <w:rFonts w:ascii="Barlow Semi Condensed" w:cs="Barlow Semi Condensed" w:eastAsia="Barlow Semi Condensed" w:hAnsi="Barlow Semi Condensed"/>
          <w:b/>
          <w:bCs/>
          <w:sz w:val="24"/>
          <w:szCs w:val="24"/>
        </w:rPr>
        <w:t xml:space="preserve">1889 · Il riemergere del programma coperto (serie XXV).</w:t>
      </w:r>
      <w:r>
        <w:rPr>
          <w:rFonts w:ascii="Barlow Semi Condensed" w:cs="Barlow Semi Condensed" w:eastAsia="Barlow Semi Condensed" w:hAnsi="Barlow Semi Condensed"/>
          <w:sz w:val="24"/>
          <w:szCs w:val="24"/>
        </w:rPr>
        <w:t xml:space="preserve"> Statuto esatto, prima del contenuto: letteratura secondaria qualificata, non fonte primaria consultata, da riportare alle segnature che cita prima di ogni uso. Il programma di azione coperta in Italia riemerse, secondo quel saggio, nel novembre 1975 e nel luglio 1976. In quelle date Moro era presidente del Consiglio e non ministro degli Esteri: anche questo si scrive, perché il ruolo dell'interlocutore cambia con la carica.</w:t>
      </w:r>
    </w:p>
    <w:p>
      <w:pPr>
        <w:spacing w:after="120" w:line="276"/>
        <w:jc w:val="both"/>
      </w:pPr>
      <w:r>
        <w:rPr>
          <w:rFonts w:ascii="Barlow Semi Condensed" w:cs="Barlow Semi Condensed" w:eastAsia="Barlow Semi Condensed" w:hAnsi="Barlow Semi Condensed"/>
          <w:b/>
          <w:bCs/>
          <w:sz w:val="24"/>
          <w:szCs w:val="24"/>
        </w:rPr>
        <w:t xml:space="preserve">1890 · Il precedente portoghese, e i suoi limiti.</w:t>
      </w:r>
      <w:r>
        <w:rPr>
          <w:rFonts w:ascii="Barlow Semi Condensed" w:cs="Barlow Semi Condensed" w:eastAsia="Barlow Semi Condensed" w:hAnsi="Barlow Semi Condensed"/>
          <w:sz w:val="24"/>
          <w:szCs w:val="24"/>
        </w:rPr>
        <w:t xml:space="preserve"> Il documento 153 del volume E-15 parte 2 conserva il timore, riferito a Lisbona, non di una presa comunista ma di un regime neutralista di sinistra che restasse nella NATO. È fonte primaria e riguarda il Portogallo. Trasferirla all'Italia per somiglianza di preoccupazione produrrebbe analogia, non omologia: stessa pressione ambientale, non antenato comune. Serve un atto italiano, e per il 1978 il corpus non lo possiede.</w:t>
      </w:r>
    </w:p>
    <w:p>
      <w:pPr>
        <w:spacing w:after="120" w:line="276"/>
        <w:jc w:val="both"/>
      </w:pPr>
      <w:r>
        <w:rPr>
          <w:rFonts w:ascii="Barlow Semi Condensed" w:cs="Barlow Semi Condensed" w:eastAsia="Barlow Semi Condensed" w:hAnsi="Barlow Semi Condensed"/>
          <w:b/>
          <w:bCs/>
          <w:sz w:val="24"/>
          <w:szCs w:val="24"/>
        </w:rPr>
        <w:t xml:space="preserve">1891 · L'insofferenza di Helsinki è formula.</w:t>
      </w:r>
      <w:r>
        <w:rPr>
          <w:rFonts w:ascii="Barlow Semi Condensed" w:cs="Barlow Semi Condensed" w:eastAsia="Barlow Semi Condensed" w:hAnsi="Barlow Semi Condensed"/>
          <w:sz w:val="24"/>
          <w:szCs w:val="24"/>
        </w:rPr>
        <w:t xml:space="preserve"> Una fonte giornalistica racconta che il 1° agosto 1975, firmando l'Atto finale nella duplice qualità di presidente del Consiglio e di presidente di turno della Comunità, Moro ottenne il coinvolgimento formale della Comunità «sfidando l'insofferenza di Kissinger». È affermazione di terzo piano. La sede che la promuove o la dissolve è il documento 334 del volume XXXIX dei FRUS, telegramma del 2 agosto 1975, con le carte della delegazione italiana.</w:t>
      </w:r>
    </w:p>
    <w:p>
      <w:pPr>
        <w:spacing w:after="120" w:line="276"/>
        <w:jc w:val="both"/>
      </w:pPr>
      <w:r>
        <w:rPr>
          <w:rFonts w:ascii="Barlow Semi Condensed" w:cs="Barlow Semi Condensed" w:eastAsia="Barlow Semi Condensed" w:hAnsi="Barlow Semi Condensed"/>
          <w:b/>
          <w:bCs/>
          <w:sz w:val="24"/>
          <w:szCs w:val="24"/>
        </w:rPr>
        <w:t xml:space="preserve">1892 · Il documento 350 non attesta Moro.</w:t>
      </w:r>
      <w:r>
        <w:rPr>
          <w:rFonts w:ascii="Barlow Semi Condensed" w:cs="Barlow Semi Condensed" w:eastAsia="Barlow Semi Condensed" w:hAnsi="Barlow Semi Condensed"/>
          <w:sz w:val="24"/>
          <w:szCs w:val="24"/>
        </w:rPr>
        <w:t xml:space="preserve"> Rilievo già acquisito dalla ricognizione sul ministero degli Esteri e da riportare qui perché il territorio non lo conosce: il verbale attesta la posizione statunitense sul partito comunista italiano, non una posizione di Moro sul medesimo punto in quella sede. Ciò che il documento non dice non si inferisce dal contesto. Il silenzio di un verbale sul pensiero di un presente è silenzio, non consenso.</w:t>
      </w:r>
    </w:p>
    <w:p>
      <w:pPr>
        <w:spacing w:after="120" w:line="276"/>
        <w:jc w:val="both"/>
      </w:pPr>
      <w:r>
        <w:rPr>
          <w:rFonts w:ascii="Barlow Semi Condensed" w:cs="Barlow Semi Condensed" w:eastAsia="Barlow Semi Condensed" w:hAnsi="Barlow Semi Condensed"/>
          <w:b/>
          <w:bCs/>
          <w:sz w:val="24"/>
          <w:szCs w:val="24"/>
        </w:rPr>
        <w:t xml:space="preserve">1893 · La linea dura detta a Ford.</w:t>
      </w:r>
      <w:r>
        <w:rPr>
          <w:rFonts w:ascii="Barlow Semi Condensed" w:cs="Barlow Semi Condensed" w:eastAsia="Barlow Semi Condensed" w:hAnsi="Barlow Semi Condensed"/>
          <w:sz w:val="24"/>
          <w:szCs w:val="24"/>
        </w:rPr>
        <w:t xml:space="preserve"> Il documento registra che alla vigilia fu suggerito di dire agli italiani, in modo duro, che qualunque presenza comunista al governo avrebbe mutato le relazioni, con una valutazione sul rischio di contagio in Francia, Germania e Grecia. È dichiarazione di linea politica fra due americani, non minaccia a persona. Confondere l'una con l'altra è precisamente il passaggio che la testimonianza contestata chiede di compiere senza documento.</w:t>
      </w:r>
    </w:p>
    <w:p>
      <w:pPr>
        <w:spacing w:after="120" w:line="276"/>
        <w:jc w:val="both"/>
      </w:pPr>
      <w:r>
        <w:rPr>
          <w:rFonts w:ascii="Barlow Semi Condensed" w:cs="Barlow Semi Condensed" w:eastAsia="Barlow Semi Condensed" w:hAnsi="Barlow Semi Condensed"/>
          <w:b/>
          <w:bCs/>
          <w:sz w:val="24"/>
          <w:szCs w:val="24"/>
        </w:rPr>
        <w:t xml:space="preserve">1894 · Il vuoto dei colloqui 1969-1972.</w:t>
      </w:r>
      <w:r>
        <w:rPr>
          <w:rFonts w:ascii="Barlow Semi Condensed" w:cs="Barlow Semi Condensed" w:eastAsia="Barlow Semi Condensed" w:hAnsi="Barlow Semi Condensed"/>
          <w:sz w:val="24"/>
          <w:szCs w:val="24"/>
        </w:rPr>
        <w:t xml:space="preserve"> Esito negativo già verbalizzato dalla ricognizione «ricognizione-ministro-esteri-1969-1974.md»: non risultano verbali editi di colloqui diretti fra Moro e i vertici statunitensi degli anni 1969-1972 comparabili per completezza a quello del 1974. Le sedi di chiusura sono nominate — i volumi FRUS 1969-1976 sull'Europa occidentale e i Nixon Presidential Materials, NSC Files, Country Files: Italy, a College Park. Il vuoto ha già la sua data.</w:t>
      </w:r>
    </w:p>
    <w:p>
      <w:pPr>
        <w:spacing w:after="120" w:line="276"/>
        <w:jc w:val="both"/>
      </w:pPr>
      <w:r>
        <w:rPr>
          <w:rFonts w:ascii="Barlow Semi Condensed" w:cs="Barlow Semi Condensed" w:eastAsia="Barlow Semi Condensed" w:hAnsi="Barlow Semi Condensed"/>
          <w:b/>
          <w:bCs/>
          <w:sz w:val="24"/>
          <w:szCs w:val="24"/>
        </w:rPr>
        <w:t xml:space="preserve">1895 · Gli Stati Zero atlantici della Farnesina.</w:t>
      </w:r>
      <w:r>
        <w:rPr>
          <w:rFonts w:ascii="Barlow Semi Condensed" w:cs="Barlow Semi Condensed" w:eastAsia="Barlow Semi Condensed" w:hAnsi="Barlow Semi Condensed"/>
          <w:sz w:val="24"/>
          <w:szCs w:val="24"/>
        </w:rPr>
        <w:t xml:space="preserve"> La stessa ricognizione dichiara Stati Zero la posizione italiana nel Nuclear Planning Group, il riequilibrio della flotta sovietica nel Mediterraneo e le riunioni ministeriali NATO del 1969-1974 con Moro presente. Le sedi sono tre: l'Archivio storico-diplomatico della Farnesina, serie NATO e atlantico; il NATO Archives Online; i volumi FRUS. È lì che si deciderà se esista un arco atlantico documentato, e non nelle sintesi.</w:t>
      </w:r>
    </w:p>
    <w:p>
      <w:pPr>
        <w:spacing w:after="120" w:line="276"/>
        <w:jc w:val="both"/>
      </w:pPr>
      <w:r>
        <w:rPr>
          <w:rFonts w:ascii="Barlow Semi Condensed" w:cs="Barlow Semi Condensed" w:eastAsia="Barlow Semi Condensed" w:hAnsi="Barlow Semi Condensed"/>
          <w:b/>
          <w:bCs/>
          <w:sz w:val="24"/>
          <w:szCs w:val="24"/>
        </w:rPr>
        <w:t xml:space="preserve">1896 · Il costo del bersaglio è cambiato.</w:t>
      </w:r>
      <w:r>
        <w:rPr>
          <w:rFonts w:ascii="Barlow Semi Condensed" w:cs="Barlow Semi Condensed" w:eastAsia="Barlow Semi Condensed" w:hAnsi="Barlow Semi Condensed"/>
          <w:sz w:val="24"/>
          <w:szCs w:val="24"/>
        </w:rPr>
        <w:t xml:space="preserve"> Correzione imposta dalla seconda campagna e da recepire in ogni blocco che nomini la Farnesina, come prescrive il blocco 315 del fascicolo: i fondi ministeriali degli anni in esame non risultavano consultabili, la disponibilità dei faldoni dal 1949 va verificata caso per caso, e resta l'esclusione temporanea dei Telegrammi 1942-1970. Chi pianifica su una sede chiusa non produce una ricerca: produce un preventivo sbagliato.</w:t>
      </w:r>
    </w:p>
    <w:p>
      <w:pPr>
        <w:spacing w:after="120" w:line="276"/>
        <w:jc w:val="both"/>
      </w:pPr>
      <w:r>
        <w:rPr>
          <w:rFonts w:ascii="Barlow Semi Condensed" w:cs="Barlow Semi Condensed" w:eastAsia="Barlow Semi Condensed" w:hAnsi="Barlow Semi Condensed"/>
          <w:b/>
          <w:bCs/>
          <w:sz w:val="24"/>
          <w:szCs w:val="24"/>
        </w:rPr>
        <w:t xml:space="preserve">1897 · Il fascicolo di Kew, mai aperto.</w:t>
      </w:r>
      <w:r>
        <w:rPr>
          <w:rFonts w:ascii="Barlow Semi Condensed" w:cs="Barlow Semi Condensed" w:eastAsia="Barlow Semi Condensed" w:hAnsi="Barlow Semi Condensed"/>
          <w:sz w:val="24"/>
          <w:szCs w:val="24"/>
        </w:rPr>
        <w:t xml:space="preserve"> Il primo blocco dei nove cantieri censisce nel catalogo Discovery dei National Archives di Kew il fascicolo «Terrorism in Italy, including kidnapping and death of Aldo Moro, former Prime Minister», record C11492660, non digitalizzato. Quesito da portare in sala, foglio per foglio: se e come le carte britanniche riferiscano della posizione statunitense sui cinquantacinque giorni. È il modo corretto di cercare un nome, nelle carte di chi lo osservava.</w:t>
      </w:r>
    </w:p>
    <w:p>
      <w:pPr>
        <w:spacing w:after="120" w:line="276"/>
        <w:jc w:val="both"/>
      </w:pPr>
      <w:r>
        <w:rPr>
          <w:rFonts w:ascii="Barlow Semi Condensed" w:cs="Barlow Semi Condensed" w:eastAsia="Barlow Semi Condensed" w:hAnsi="Barlow Semi Condensed"/>
          <w:b/>
          <w:bCs/>
          <w:sz w:val="24"/>
          <w:szCs w:val="24"/>
        </w:rPr>
        <w:t xml:space="preserve">1898 · Cercare il nome nelle carte altrui.</w:t>
      </w:r>
      <w:r>
        <w:rPr>
          <w:rFonts w:ascii="Barlow Semi Condensed" w:cs="Barlow Semi Condensed" w:eastAsia="Barlow Semi Condensed" w:hAnsi="Barlow Semi Condensed"/>
          <w:sz w:val="24"/>
          <w:szCs w:val="24"/>
        </w:rPr>
        <w:t xml:space="preserve"> I blocchi 38, 62, 84 e 119 dei cantieri costruiscono la collazione fra Londra, Parigi, Bonn e Washington sulle giornate chiave, e ne fanno una tavola di convergenze, divergenze e silenzi. La regola che ne deriva per questa serie è controintuitiva e produttiva: dove il proprio archivio tace, l'informazione sopravvive spesso nel dispaccio di un terzo, che riferisce ciò che gli è stato detto e data ciò che ha udito.</w:t>
      </w:r>
    </w:p>
    <w:p>
      <w:pPr>
        <w:spacing w:after="120" w:line="276"/>
        <w:jc w:val="both"/>
      </w:pPr>
      <w:r>
        <w:rPr>
          <w:rFonts w:ascii="Barlow Semi Condensed" w:cs="Barlow Semi Condensed" w:eastAsia="Barlow Semi Condensed" w:hAnsi="Barlow Semi Condensed"/>
          <w:b/>
          <w:bCs/>
          <w:sz w:val="24"/>
          <w:szCs w:val="24"/>
        </w:rPr>
        <w:t xml:space="preserve">1899 · L'edizione tedesca come mappa.</w:t>
      </w:r>
      <w:r>
        <w:rPr>
          <w:rFonts w:ascii="Barlow Semi Condensed" w:cs="Barlow Semi Condensed" w:eastAsia="Barlow Semi Condensed" w:hAnsi="Barlow Semi Condensed"/>
          <w:sz w:val="24"/>
          <w:szCs w:val="24"/>
        </w:rPr>
        <w:t xml:space="preserve"> Gli «Akten zur Auswärtigen Politik der Bundesrepublik Deutschland» per il 1978 esistono in due tomi verificati, per oltre duemilacento pagine. Il blocco 82 dei cantieri ne prescrive lo spoglio con le segnature d'origine dei documenti scelti. Vale la regola già fissata per i FRUS: un'edizione è una selezione e non un fondo, e la sua funzione più utile è indicare in quale serie cercare ciò che il curatore ha lasciato fuori.</w:t>
      </w:r>
    </w:p>
    <w:p>
      <w:pPr>
        <w:spacing w:after="120" w:line="276"/>
        <w:jc w:val="both"/>
      </w:pPr>
      <w:r>
        <w:rPr>
          <w:rFonts w:ascii="Barlow Semi Condensed" w:cs="Barlow Semi Condensed" w:eastAsia="Barlow Semi Condensed" w:hAnsi="Barlow Semi Condensed"/>
          <w:b/>
          <w:bCs/>
          <w:sz w:val="24"/>
          <w:szCs w:val="24"/>
        </w:rPr>
        <w:t xml:space="preserve">1900 · Che cosa falsificherebbe l'intera serie.</w:t>
      </w:r>
      <w:r>
        <w:rPr>
          <w:rFonts w:ascii="Barlow Semi Condensed" w:cs="Barlow Semi Condensed" w:eastAsia="Barlow Semi Condensed" w:hAnsi="Barlow Semi Condensed"/>
          <w:sz w:val="24"/>
          <w:szCs w:val="24"/>
        </w:rPr>
        <w:t xml:space="preserve"> La domanda del falsificatore, posta sulla serie e non sui singoli blocchi. Tutto ciò che qui si è scritto cadrebbe davanti a un solo reperto: un atto di provenienza — cablo, memorandum, nota di servizio, registro contabile — che nomini insieme il nome triangolato e una struttura operativa del sequestro. Non una valutazione, non un'opinione riferita, non un'ostilità dichiarata: un atto, con data, protocollo e originatore.</w:t>
      </w:r>
    </w:p>
    <w:p>
      <w:pPr>
        <w:spacing w:after="120" w:line="276"/>
        <w:jc w:val="both"/>
      </w:pPr>
      <w:r>
        <w:rPr>
          <w:rFonts w:ascii="Barlow Semi Condensed" w:cs="Barlow Semi Condensed" w:eastAsia="Barlow Semi Condensed" w:hAnsi="Barlow Semi Condensed"/>
          <w:b/>
          <w:bCs/>
          <w:sz w:val="24"/>
          <w:szCs w:val="24"/>
        </w:rPr>
        <w:t xml:space="preserve">1901 · Che cosa falsificherebbe la data del 1974.</w:t>
      </w:r>
      <w:r>
        <w:rPr>
          <w:rFonts w:ascii="Barlow Semi Condensed" w:cs="Barlow Semi Condensed" w:eastAsia="Barlow Semi Condensed" w:hAnsi="Barlow Semi Condensed"/>
          <w:sz w:val="24"/>
          <w:szCs w:val="24"/>
        </w:rPr>
        <w:t xml:space="preserve"> Bersaglio specifico e raggiungibile: un documento di ambasciata del 1977 — nota di servizio, elenco degli invitati, appunto di colloquio — che attesti l'alterco riferito dall'agenzia statunitense nell'aprile 1983. Se emergesse, cadrebbe la collocazione al 25 settembre 1974 adottata dal territorio, e con essa ogni argomento che leghi l'episodio a una carica pubblica. Le sedi: gli archivi dell'ambasciata d'Italia a Washington e la Farnesina.</w:t>
      </w:r>
    </w:p>
    <w:p>
      <w:pPr>
        <w:spacing w:after="120" w:line="276"/>
        <w:jc w:val="both"/>
      </w:pPr>
      <w:r>
        <w:rPr>
          <w:rFonts w:ascii="Barlow Semi Condensed" w:cs="Barlow Semi Condensed" w:eastAsia="Barlow Semi Condensed" w:hAnsi="Barlow Semi Condensed"/>
          <w:b/>
          <w:bCs/>
          <w:sz w:val="24"/>
          <w:szCs w:val="24"/>
        </w:rPr>
        <w:t xml:space="preserve">1902 · Che cosa confermerebbe la testimonianza.</w:t>
      </w:r>
      <w:r>
        <w:rPr>
          <w:rFonts w:ascii="Barlow Semi Condensed" w:cs="Barlow Semi Condensed" w:eastAsia="Barlow Semi Condensed" w:hAnsi="Barlow Semi Condensed"/>
          <w:sz w:val="24"/>
          <w:szCs w:val="24"/>
        </w:rPr>
        <w:t xml:space="preserve"> La disciplina impone di dichiarare anche il reperto che sosterrebbe la parte avversa. Sarebbe un appunto coevo dell'entourage: un'annotazione d'agenda del settembre 1974, una lettera privata, una carta del portavoce redatta prima del novembre 1982. Un solo foglio anteriore alla deposizione sposterebbe l'episodio dalla testimonianza resa a distanza al documento coevo, e cioè dal terzo piano al primo. Va cercato con la stessa energia del suo contrario.</w:t>
      </w:r>
    </w:p>
    <w:p>
      <w:pPr>
        <w:spacing w:after="120" w:line="276"/>
        <w:jc w:val="both"/>
      </w:pPr>
      <w:r>
        <w:rPr>
          <w:rFonts w:ascii="Barlow Semi Condensed" w:cs="Barlow Semi Condensed" w:eastAsia="Barlow Semi Condensed" w:hAnsi="Barlow Semi Condensed"/>
          <w:b/>
          <w:bCs/>
          <w:sz w:val="24"/>
          <w:szCs w:val="24"/>
        </w:rPr>
        <w:t xml:space="preserve">1903 · Le carte di ritorno della visita.</w:t>
      </w:r>
      <w:r>
        <w:rPr>
          <w:rFonts w:ascii="Barlow Semi Condensed" w:cs="Barlow Semi Condensed" w:eastAsia="Barlow Semi Condensed" w:hAnsi="Barlow Semi Condensed"/>
          <w:sz w:val="24"/>
          <w:szCs w:val="24"/>
        </w:rPr>
        <w:t xml:space="preserve"> Il blocco 237 del fascicolo indica una sede italiana troppo poco frequentata: presso l'Archivio centrale dello Stato il fondo personale e la raccolta delle direttive sono descritti nelle schede della Guida ai fondi, con banca dati consultabile in sede. Il quesito è puntuale e non generico: esistono, per il settembre 1974, carte preparatorie o di ritorno della visita a Washington? Un esito negativo si verbalizza con perimetro e data.</w:t>
      </w:r>
    </w:p>
    <w:p>
      <w:pPr>
        <w:spacing w:after="120" w:line="276"/>
        <w:jc w:val="both"/>
      </w:pPr>
      <w:r>
        <w:rPr>
          <w:rFonts w:ascii="Barlow Semi Condensed" w:cs="Barlow Semi Condensed" w:eastAsia="Barlow Semi Condensed" w:hAnsi="Barlow Semi Condensed"/>
          <w:b/>
          <w:bCs/>
          <w:sz w:val="24"/>
          <w:szCs w:val="24"/>
        </w:rPr>
        <w:t xml:space="preserve">1904 · Cercare anche l'atto che scagiona.</w:t>
      </w:r>
      <w:r>
        <w:rPr>
          <w:rFonts w:ascii="Barlow Semi Condensed" w:cs="Barlow Semi Condensed" w:eastAsia="Barlow Semi Condensed" w:hAnsi="Barlow Semi Condensed"/>
          <w:sz w:val="24"/>
          <w:szCs w:val="24"/>
        </w:rPr>
        <w:t xml:space="preserve"> Il blocco 214 dell'agenda impone di cercare i documenti che mostrino diligenza ordinaria, non solo quelli che mostrino anomalia. Trasferita qui, la regola prescrive di cercare la carta che escluda il canale: la nota che attesti la mancanza di contatti, il diniego motivato di una richiesta, il rilascio integrale che non contenga nulla. In regime di accesso agli atti anche il diniego è un documento, e ha valore.</w:t>
      </w:r>
    </w:p>
    <w:p>
      <w:pPr>
        <w:spacing w:after="120" w:line="276"/>
        <w:jc w:val="both"/>
      </w:pPr>
      <w:r>
        <w:rPr>
          <w:rFonts w:ascii="Barlow Semi Condensed" w:cs="Barlow Semi Condensed" w:eastAsia="Barlow Semi Condensed" w:hAnsi="Barlow Semi Condensed"/>
          <w:b/>
          <w:bCs/>
          <w:sz w:val="24"/>
          <w:szCs w:val="24"/>
        </w:rPr>
        <w:t xml:space="preserve">1905 · Se una segnatura estera comparisse.</w:t>
      </w:r>
      <w:r>
        <w:rPr>
          <w:rFonts w:ascii="Barlow Semi Condensed" w:cs="Barlow Semi Condensed" w:eastAsia="Barlow Semi Condensed" w:hAnsi="Barlow Semi Condensed"/>
          <w:sz w:val="24"/>
          <w:szCs w:val="24"/>
        </w:rPr>
        <w:t xml:space="preserve"> Un timbro, una filigrana, una segnatura di provenienza estera su una delle carte rinvenute dietro il pannello di cartongesso nell'ottobre 1990 sposterebbe la questione di piano in un colpo solo, perché il supporto è oggetto e ogni oggetto ha provenienza. È il senso del blocco 96 dell'agenda, che chiede la codicologia del reperto: supporti, inchiostri, fascicolazione, segni di fotocopiatura. Nessuno l'ha eseguita per intero.</w:t>
      </w:r>
    </w:p>
    <w:p>
      <w:pPr>
        <w:spacing w:after="120" w:line="276"/>
        <w:jc w:val="both"/>
      </w:pPr>
      <w:r>
        <w:rPr>
          <w:rFonts w:ascii="Barlow Semi Condensed" w:cs="Barlow Semi Condensed" w:eastAsia="Barlow Semi Condensed" w:hAnsi="Barlow Semi Condensed"/>
          <w:b/>
          <w:bCs/>
          <w:sz w:val="24"/>
          <w:szCs w:val="24"/>
        </w:rPr>
        <w:t xml:space="preserve">1906 · Il falso e la sua mano.</w:t>
      </w:r>
      <w:r>
        <w:rPr>
          <w:rFonts w:ascii="Barlow Semi Condensed" w:cs="Barlow Semi Condensed" w:eastAsia="Barlow Semi Condensed" w:hAnsi="Barlow Semi Condensed"/>
          <w:sz w:val="24"/>
          <w:szCs w:val="24"/>
        </w:rPr>
        <w:t xml:space="preserve"> Il comunicato apocrifo del 18 aprile 1978 sul lago della Duchessa è attribuito dagli accertamenti istruttori e peritali a una mano rimasta senza processo, perché l'interessato fu ucciso nel settembre 1984 prima di ogni contestazione formale: il fatto del falso è accertato, la sua funzione resta possibile. Se un'analisi formale del testo mostrasse dipendenza da modulistica straniera, si aprirebbe un piano 1. Nessuna analisi simile risulta condotta.</w:t>
      </w:r>
    </w:p>
    <w:p>
      <w:pPr>
        <w:spacing w:after="120" w:line="276"/>
        <w:jc w:val="both"/>
      </w:pPr>
      <w:r>
        <w:rPr>
          <w:rFonts w:ascii="Barlow Semi Condensed" w:cs="Barlow Semi Condensed" w:eastAsia="Barlow Semi Condensed" w:hAnsi="Barlow Semi Condensed"/>
          <w:b/>
          <w:bCs/>
          <w:sz w:val="24"/>
          <w:szCs w:val="24"/>
        </w:rPr>
        <w:t xml:space="preserve">1907 · La contemporaneità non è nesso.</w:t>
      </w:r>
      <w:r>
        <w:rPr>
          <w:rFonts w:ascii="Barlow Semi Condensed" w:cs="Barlow Semi Condensed" w:eastAsia="Barlow Semi Condensed" w:hAnsi="Barlow Semi Condensed"/>
          <w:sz w:val="24"/>
          <w:szCs w:val="24"/>
        </w:rPr>
        <w:t xml:space="preserve"> Principio da opporre alla forma più diffusa dell'argomento internazionale, che consiste nel far coincidere due date. Che il nome fosse vivo, autorevole e ascoltato nella primavera del 1978 è biografia, non prova. La sincronia non trasporta lo stato di un nodo, e la federazione di più casi accresce l'attestazione senza spostare il grado di nessuno. Il corpus lo ha già scritto per il proprio apparato; qui si applica.</w:t>
      </w:r>
    </w:p>
    <w:p>
      <w:pPr>
        <w:spacing w:after="120" w:line="276"/>
        <w:jc w:val="both"/>
      </w:pPr>
      <w:r>
        <w:rPr>
          <w:rFonts w:ascii="Barlow Semi Condensed" w:cs="Barlow Semi Condensed" w:eastAsia="Barlow Semi Condensed" w:hAnsi="Barlow Semi Condensed"/>
          <w:b/>
          <w:bCs/>
          <w:sz w:val="24"/>
          <w:szCs w:val="24"/>
        </w:rPr>
        <w:t xml:space="preserve">1908 · L'appartenenza non è condotta (serie XXV).</w:t>
      </w:r>
      <w:r>
        <w:rPr>
          <w:rFonts w:ascii="Barlow Semi Condensed" w:cs="Barlow Semi Condensed" w:eastAsia="Barlow Semi Condensed" w:hAnsi="Barlow Semi Condensed"/>
          <w:sz w:val="24"/>
          <w:szCs w:val="24"/>
        </w:rPr>
        <w:t xml:space="preserve"> Analogo divieto per le appartenenze. La scheda PE-1 lo ha fissato nella materia più incandescente del caso, scrivendo che l'iscrizione accertata di un membro di un comitato è un fatto e non è la prova di alcuna condotta nel caso. La stessa disciplina vale per organizzazioni, consessi e scuole dottrinali internazionali: si eredita un lessico, non un atto. In biologia il carattere si trasmette, in storia la responsabilità no.</w:t>
      </w:r>
    </w:p>
    <w:p>
      <w:pPr>
        <w:spacing w:after="120" w:line="276"/>
        <w:jc w:val="both"/>
      </w:pPr>
      <w:r>
        <w:rPr>
          <w:rFonts w:ascii="Barlow Semi Condensed" w:cs="Barlow Semi Condensed" w:eastAsia="Barlow Semi Condensed" w:hAnsi="Barlow Semi Condensed"/>
          <w:b/>
          <w:bCs/>
          <w:sz w:val="24"/>
          <w:szCs w:val="24"/>
        </w:rPr>
        <w:t xml:space="preserve">1909 · La replicazione non crea informazione.</w:t>
      </w:r>
      <w:r>
        <w:rPr>
          <w:rFonts w:ascii="Barlow Semi Condensed" w:cs="Barlow Semi Condensed" w:eastAsia="Barlow Semi Condensed" w:hAnsi="Barlow Semi Condensed"/>
          <w:sz w:val="24"/>
          <w:szCs w:val="24"/>
        </w:rPr>
        <w:t xml:space="preserve"> Le decine di pagine che riportano la frase in forma pressoché identica risalgono a un unico lancio d'agenzia del 30 novembre 2023, e il rilancio internazionale del 1982 proveniva da una pubblicazione dichiaratamente cospirazionista, citabile come dato di circolazione. Contare le occorrenze non misura la prova: misura la diffusione. Una sequenza copiata mille volte non produce alcun carattere nuovo, per quante volte la si esegua.</w:t>
      </w:r>
    </w:p>
    <w:p>
      <w:pPr>
        <w:spacing w:after="120" w:line="276"/>
        <w:jc w:val="both"/>
      </w:pPr>
      <w:r>
        <w:rPr>
          <w:rFonts w:ascii="Barlow Semi Condensed" w:cs="Barlow Semi Condensed" w:eastAsia="Barlow Semi Condensed" w:hAnsi="Barlow Semi Condensed"/>
          <w:b/>
          <w:bCs/>
          <w:sz w:val="24"/>
          <w:szCs w:val="24"/>
        </w:rPr>
        <w:t xml:space="preserve">1910 · Convertire i gradi senza confonderli.</w:t>
      </w:r>
      <w:r>
        <w:rPr>
          <w:rFonts w:ascii="Barlow Semi Condensed" w:cs="Barlow Semi Condensed" w:eastAsia="Barlow Semi Condensed" w:hAnsi="Barlow Semi Condensed"/>
          <w:sz w:val="24"/>
          <w:szCs w:val="24"/>
        </w:rPr>
        <w:t xml:space="preserve"> Il territorio lavora con tre livelli — accertato, probabile, possibile — e l'opera con tre piani — rapporto documentato, convergenza strutturale, affermazione terziaria. Le due scale non coincidono: la prima misura la solidità di una proposizione, la seconda la natura del legame fra due nodi. Una proposizione può essere di livello A e insieme di piano 2, come l'ostilità atlantica. La tavola di conversione va scritta prima di usarla.</w:t>
      </w:r>
    </w:p>
    <w:p>
      <w:pPr>
        <w:spacing w:after="120" w:line="276"/>
        <w:jc w:val="both"/>
      </w:pPr>
      <w:r>
        <w:rPr>
          <w:rFonts w:ascii="Barlow Semi Condensed" w:cs="Barlow Semi Condensed" w:eastAsia="Barlow Semi Condensed" w:hAnsi="Barlow Semi Condensed"/>
          <w:b/>
          <w:bCs/>
          <w:sz w:val="24"/>
          <w:szCs w:val="24"/>
        </w:rPr>
        <w:t xml:space="preserve">1911 · «Accertato come contesto» è formula insidiosa.</w:t>
      </w:r>
      <w:r>
        <w:rPr>
          <w:rFonts w:ascii="Barlow Semi Condensed" w:cs="Barlow Semi Condensed" w:eastAsia="Barlow Semi Condensed" w:hAnsi="Barlow Semi Condensed"/>
          <w:sz w:val="24"/>
          <w:szCs w:val="24"/>
        </w:rPr>
        <w:t xml:space="preserve"> È l'espressione che apre il paragrafo nono, ed è la più pericolosa dell'intero territorio, perché mette un grado alto accanto a una parola che ne indebolisce l'oggetto. Accertato è il contesto; il fatto interno al contesto conserva il proprio grado, che è altro. Chi legge di corsa trattiene l'aggettivo e perde il sostantivo. Una regola di lettura vale qui più di un documento: separare sempre il grado dal suo oggetto.</w:t>
      </w:r>
    </w:p>
    <w:p>
      <w:pPr>
        <w:spacing w:after="120" w:line="276"/>
        <w:jc w:val="both"/>
      </w:pPr>
      <w:r>
        <w:rPr>
          <w:rFonts w:ascii="Barlow Semi Condensed" w:cs="Barlow Semi Condensed" w:eastAsia="Barlow Semi Condensed" w:hAnsi="Barlow Semi Condensed"/>
          <w:b/>
          <w:bCs/>
          <w:sz w:val="24"/>
          <w:szCs w:val="24"/>
        </w:rPr>
        <w:t xml:space="preserve">1912 · Nessun ordinale, nemmeno implicito.</w:t>
      </w:r>
      <w:r>
        <w:rPr>
          <w:rFonts w:ascii="Barlow Semi Condensed" w:cs="Barlow Semi Condensed" w:eastAsia="Barlow Semi Condensed" w:hAnsi="Barlow Semi Condensed"/>
          <w:sz w:val="24"/>
          <w:szCs w:val="24"/>
        </w:rPr>
        <w:t xml:space="preserve"> Il Movimento terzo rifiuta la graduatoria perché trasforma il sospetto in un ordinale e imprime un marchio che nessun tribunale può revocare. Per questo nome la conseguenza è stringente: non gli si assegna un posto, né esplicito né implicito, e non si scrive nulla che consenta a un lettore di ricostruirne uno. Il rifiuto della classifica non è una cautela di stile: è la disciplina che rende leggibile il resto.</w:t>
      </w:r>
    </w:p>
    <w:p>
      <w:pPr>
        <w:spacing w:after="120" w:line="276"/>
        <w:jc w:val="both"/>
      </w:pPr>
      <w:r>
        <w:rPr>
          <w:rFonts w:ascii="Barlow Semi Condensed" w:cs="Barlow Semi Condensed" w:eastAsia="Barlow Semi Condensed" w:hAnsi="Barlow Semi Condensed"/>
          <w:b/>
          <w:bCs/>
          <w:sz w:val="24"/>
          <w:szCs w:val="24"/>
        </w:rPr>
        <w:t xml:space="preserve">1913 · Lo Stato Zero porta la propria scadenza.</w:t>
      </w:r>
      <w:r>
        <w:rPr>
          <w:rFonts w:ascii="Barlow Semi Condensed" w:cs="Barlow Semi Condensed" w:eastAsia="Barlow Semi Condensed" w:hAnsi="Barlow Semi Condensed"/>
          <w:sz w:val="24"/>
          <w:szCs w:val="24"/>
        </w:rPr>
        <w:t xml:space="preserve"> Il blocco 655 del fascicolo prescrive che un esito negativo sia datato per costruzione: dichiara che a una certa data, in una certa sede, con un certo perimetro, non si è trovato. Gli inventari cambiano, le declassifiche maturano, i fondi si versano. Ogni assenza verbalizzata in questa serie va perciò riletta con un calendario accanto, perché un vuoto non riesaminato per vent'anni non è più un dato ma un ricordo.</w:t>
      </w:r>
    </w:p>
    <w:p>
      <w:pPr>
        <w:spacing w:after="120" w:line="276"/>
        <w:jc w:val="both"/>
      </w:pPr>
      <w:r>
        <w:rPr>
          <w:rFonts w:ascii="Barlow Semi Condensed" w:cs="Barlow Semi Condensed" w:eastAsia="Barlow Semi Condensed" w:hAnsi="Barlow Semi Condensed"/>
          <w:b/>
          <w:bCs/>
          <w:sz w:val="24"/>
          <w:szCs w:val="24"/>
        </w:rPr>
        <w:t xml:space="preserve">1914 · Il verbale evita la doppia ricerca.</w:t>
      </w:r>
      <w:r>
        <w:rPr>
          <w:rFonts w:ascii="Barlow Semi Condensed" w:cs="Barlow Semi Condensed" w:eastAsia="Barlow Semi Condensed" w:hAnsi="Barlow Semi Condensed"/>
          <w:sz w:val="24"/>
          <w:szCs w:val="24"/>
        </w:rPr>
        <w:t xml:space="preserve"> Funzione prosaica e decisiva, fissata al blocco 656: senza registro dei vuoti ogni gruppo rifà le stesse interrogazioni negli stessi fondi, consumando le sole risorse scarse del mestiere, che sono le giornate di sala e la pazienza degli archivisti. Gli esiti negativi di questa serie vanno perciò versati in un registro consultabile, con la stringa usata e la serie interrogata, non lasciati nel testo che li ha prodotti.</w:t>
      </w:r>
    </w:p>
    <w:p>
      <w:pPr>
        <w:spacing w:after="120" w:line="276"/>
        <w:jc w:val="both"/>
      </w:pPr>
      <w:r>
        <w:rPr>
          <w:rFonts w:ascii="Barlow Semi Condensed" w:cs="Barlow Semi Condensed" w:eastAsia="Barlow Semi Condensed" w:hAnsi="Barlow Semi Condensed"/>
          <w:b/>
          <w:bCs/>
          <w:sz w:val="24"/>
          <w:szCs w:val="24"/>
        </w:rPr>
        <w:t xml:space="preserve">1915 · Un'edizione non è un archivio.</w:t>
      </w:r>
      <w:r>
        <w:rPr>
          <w:rFonts w:ascii="Barlow Semi Condensed" w:cs="Barlow Semi Condensed" w:eastAsia="Barlow Semi Condensed" w:hAnsi="Barlow Semi Condensed"/>
          <w:sz w:val="24"/>
          <w:szCs w:val="24"/>
        </w:rPr>
        <w:t xml:space="preserve"> Il blocco 675 avverte che leggere i FRUS come se fossero il fondo produce un vuoto illusorio ogni volta che un documento non vi compare. Il territorio non cita affatto quell'edizione, e paradossalmente evita l'errore per omissione. Ma la regola gli si applica in positivo: se una nota venisse aggiunta al paragrafo nono, dovrà citare l'edizione con la sua nota e risalire al fondo che l'ha alimentata.</w:t>
      </w:r>
    </w:p>
    <w:p>
      <w:pPr>
        <w:spacing w:after="120" w:line="276"/>
        <w:jc w:val="both"/>
      </w:pPr>
      <w:r>
        <w:rPr>
          <w:rFonts w:ascii="Barlow Semi Condensed" w:cs="Barlow Semi Condensed" w:eastAsia="Barlow Semi Condensed" w:hAnsi="Barlow Semi Condensed"/>
          <w:b/>
          <w:bCs/>
          <w:sz w:val="24"/>
          <w:szCs w:val="24"/>
        </w:rPr>
        <w:t xml:space="preserve">1916 · Verificare la competenza della sede.</w:t>
      </w:r>
      <w:r>
        <w:rPr>
          <w:rFonts w:ascii="Barlow Semi Condensed" w:cs="Barlow Semi Condensed" w:eastAsia="Barlow Semi Condensed" w:hAnsi="Barlow Semi Condensed"/>
          <w:sz w:val="24"/>
          <w:szCs w:val="24"/>
        </w:rPr>
        <w:t xml:space="preserve"> Molti vuoti dichiarati sono errori d'indirizzo: si cerca nel fondo sbagliato e si conclude che il documento non esiste. Il blocco 692 impone perciò di verificare, prima di verbalizzare un'assenza, che la sede interrogata fosse quella competente, e di far entrare la verifica nel verbale. Per questa serie il rischio è concreto: le carte di un Segretario di Stato si distribuiscono fra almeno quattro depositi diversi.</w:t>
      </w:r>
    </w:p>
    <w:p>
      <w:pPr>
        <w:spacing w:after="120" w:line="276"/>
        <w:jc w:val="both"/>
      </w:pPr>
      <w:r>
        <w:rPr>
          <w:rFonts w:ascii="Barlow Semi Condensed" w:cs="Barlow Semi Condensed" w:eastAsia="Barlow Semi Condensed" w:hAnsi="Barlow Semi Condensed"/>
          <w:b/>
          <w:bCs/>
          <w:sz w:val="24"/>
          <w:szCs w:val="24"/>
        </w:rPr>
        <w:t xml:space="preserve">1917 · Interrogare il portale delle inchieste.</w:t>
      </w:r>
      <w:r>
        <w:rPr>
          <w:rFonts w:ascii="Barlow Semi Condensed" w:cs="Barlow Semi Condensed" w:eastAsia="Barlow Semi Condensed" w:hAnsi="Barlow Semi Condensed"/>
          <w:sz w:val="24"/>
          <w:szCs w:val="24"/>
        </w:rPr>
        <w:t xml:space="preserve"> Bersaglio eseguibile subito, e mai eseguito: il fondo della seconda Commissione presso l'Archivio storico della Camera, con il portale delle inchieste e le circa ventimila pagine desecretate in rete, va interrogato per nome. Non per averne una rivelazione, ma per produrre un numero: quante occorrenze, in quali documenti, con quale funzione sintattica. Il conteggio è il primo risultato onesto che quella massa documentale possa dare.</w:t>
      </w:r>
    </w:p>
    <w:p>
      <w:pPr>
        <w:spacing w:after="120" w:line="276"/>
        <w:jc w:val="both"/>
      </w:pPr>
      <w:r>
        <w:rPr>
          <w:rFonts w:ascii="Barlow Semi Condensed" w:cs="Barlow Semi Condensed" w:eastAsia="Barlow Semi Condensed" w:hAnsi="Barlow Semi Condensed"/>
          <w:b/>
          <w:bCs/>
          <w:sz w:val="24"/>
          <w:szCs w:val="24"/>
        </w:rPr>
        <w:t xml:space="preserve">1918 · La stessa stringa al Senato.</w:t>
      </w:r>
      <w:r>
        <w:rPr>
          <w:rFonts w:ascii="Barlow Semi Condensed" w:cs="Barlow Semi Condensed" w:eastAsia="Barlow Semi Condensed" w:hAnsi="Barlow Semi Condensed"/>
          <w:sz w:val="24"/>
          <w:szCs w:val="24"/>
        </w:rPr>
        <w:t xml:space="preserve"> Simmetricamente, l'Archivio storico del Senato conserva il fondo della prima Commissione, istituita con la legge 597 del 1979, e quello della Commissione stragi, con la declassifica per decreti presidenziali. La stessa interrogazione va ripetuta lì, e il confronto fra i due conteggi è esso stesso un dato: due archivi che restituiscono densità diverse per lo stesso nome dicono qualcosa sulle rispettive competenze.</w:t>
      </w:r>
    </w:p>
    <w:p>
      <w:pPr>
        <w:spacing w:after="120" w:line="276"/>
        <w:jc w:val="both"/>
      </w:pPr>
      <w:r>
        <w:rPr>
          <w:rFonts w:ascii="Barlow Semi Condensed" w:cs="Barlow Semi Condensed" w:eastAsia="Barlow Semi Condensed" w:hAnsi="Barlow Semi Condensed"/>
          <w:b/>
          <w:bCs/>
          <w:sz w:val="24"/>
          <w:szCs w:val="24"/>
        </w:rPr>
        <w:t xml:space="preserve">1919 · Il fondo della Direttiva e il Viminale.</w:t>
      </w:r>
      <w:r>
        <w:rPr>
          <w:rFonts w:ascii="Barlow Semi Condensed" w:cs="Barlow Semi Condensed" w:eastAsia="Barlow Semi Condensed" w:hAnsi="Barlow Semi Condensed"/>
          <w:sz w:val="24"/>
          <w:szCs w:val="24"/>
        </w:rPr>
        <w:t xml:space="preserve"> Terza sede della stessa operazione: i versamenti del Ministero dell'Interno nel fondo aperto dalla direttiva del 2014, presso l'Archivio centrale dello Stato. È il giacimento dove le schede PE-1, PE-3 e PE-6 collocano protocolli, ordini di servizio e registri delle segnalazioni. La domanda da portarvi non è se il nome vi compaia come attore, ma se compaia affatto, e in quale genere di carta.</w:t>
      </w:r>
    </w:p>
    <w:p>
      <w:pPr>
        <w:spacing w:after="120" w:line="276"/>
        <w:jc w:val="both"/>
      </w:pPr>
      <w:r>
        <w:rPr>
          <w:rFonts w:ascii="Barlow Semi Condensed" w:cs="Barlow Semi Condensed" w:eastAsia="Barlow Semi Condensed" w:hAnsi="Barlow Semi Condensed"/>
          <w:b/>
          <w:bCs/>
          <w:sz w:val="24"/>
          <w:szCs w:val="24"/>
        </w:rPr>
        <w:t xml:space="preserve">1920 · Gli atti dei cinque processi, per nome.</w:t>
      </w:r>
      <w:r>
        <w:rPr>
          <w:rFonts w:ascii="Barlow Semi Condensed" w:cs="Barlow Semi Condensed" w:eastAsia="Barlow Semi Condensed" w:hAnsi="Barlow Semi Condensed"/>
          <w:sz w:val="24"/>
          <w:szCs w:val="24"/>
        </w:rPr>
        <w:t xml:space="preserve"> Gli atti dei cinque procedimenti sono stati digitalizzati sotto il coordinamento dell'Archivio di Stato di Roma: è la base su cui si può finalmente fare, per il nome, ciò che nessuno ha fatto — un indice ragionato delle occorrenze, distinguendo le deposizioni dalle arringhe e dalle motivazioni. Il giudicato è l'unico luogo dei nomi in questo corpus, e merita di essere interrogato con strumenti seriali.</w:t>
      </w:r>
    </w:p>
    <w:p>
      <w:pPr>
        <w:spacing w:after="120" w:line="276"/>
        <w:jc w:val="both"/>
      </w:pPr>
      <w:r>
        <w:rPr>
          <w:rFonts w:ascii="Barlow Semi Condensed" w:cs="Barlow Semi Condensed" w:eastAsia="Barlow Semi Condensed" w:hAnsi="Barlow Semi Condensed"/>
          <w:b/>
          <w:bCs/>
          <w:sz w:val="24"/>
          <w:szCs w:val="24"/>
        </w:rPr>
        <w:t xml:space="preserve">1921 · La richiesta del 1983.</w:t>
      </w:r>
      <w:r>
        <w:rPr>
          <w:rFonts w:ascii="Barlow Semi Condensed" w:cs="Barlow Semi Condensed" w:eastAsia="Barlow Semi Condensed" w:hAnsi="Barlow Semi Condensed"/>
          <w:sz w:val="24"/>
          <w:szCs w:val="24"/>
        </w:rPr>
        <w:t xml:space="preserve"> È accertato che il nome non fu mai sentito dai magistrati italiani e che la richiesta informale del 1983 non ebbe seguito. Ma una richiesta, anche informale, lascia quasi sempre traccia: una nota, una lettera, un appunto di ufficio. Quesito preciso: reperirla nel fascicolo istruttorio romano e nei carteggi del Ministero di grazia e giustizia dell'epoca. La carta di un atto non compiuto è comunque un atto.</w:t>
      </w:r>
    </w:p>
    <w:p>
      <w:pPr>
        <w:spacing w:after="120" w:line="276"/>
        <w:jc w:val="both"/>
      </w:pPr>
      <w:r>
        <w:rPr>
          <w:rFonts w:ascii="Barlow Semi Condensed" w:cs="Barlow Semi Condensed" w:eastAsia="Barlow Semi Condensed" w:hAnsi="Barlow Semi Condensed"/>
          <w:b/>
          <w:bCs/>
          <w:sz w:val="24"/>
          <w:szCs w:val="24"/>
        </w:rPr>
        <w:t xml:space="preserve">1922 · Il registro si ferma a tredici nomi.</w:t>
      </w:r>
      <w:r>
        <w:rPr>
          <w:rFonts w:ascii="Barlow Semi Condensed" w:cs="Barlow Semi Condensed" w:eastAsia="Barlow Semi Condensed" w:hAnsi="Barlow Semi Condensed"/>
          <w:sz w:val="24"/>
          <w:szCs w:val="24"/>
        </w:rPr>
        <w:t xml:space="preserve"> La Fase decima del corpus costruisce il registro nominativo delle responsabilità personali sul solo giudicato definitivo relativo al sequestro, all'omicidio e all'eccidio della scorta, e vi iscrive tredici persone senza aggiungerne altre. Il nome triangolato non vi appartiene, non per cautela ma per assenza di titolo: non fu mai imputato né processato in alcun Paese. Il registro non cresce per accumulo di verosimiglianze.</w:t>
      </w:r>
    </w:p>
    <w:p>
      <w:pPr>
        <w:spacing w:after="120" w:line="276"/>
        <w:jc w:val="both"/>
      </w:pPr>
      <w:r>
        <w:rPr>
          <w:rFonts w:ascii="Barlow Semi Condensed" w:cs="Barlow Semi Condensed" w:eastAsia="Barlow Semi Condensed" w:hAnsi="Barlow Semi Condensed"/>
          <w:b/>
          <w:bCs/>
          <w:sz w:val="24"/>
          <w:szCs w:val="24"/>
        </w:rPr>
        <w:t xml:space="preserve">1923 · Lo Stato Zero era già verbalizzato.</w:t>
      </w:r>
      <w:r>
        <w:rPr>
          <w:rFonts w:ascii="Barlow Semi Condensed" w:cs="Barlow Semi Condensed" w:eastAsia="Barlow Semi Condensed" w:hAnsi="Barlow Semi Condensed"/>
          <w:sz w:val="24"/>
          <w:szCs w:val="24"/>
        </w:rPr>
        <w:t xml:space="preserve"> La Fase sesta lo aveva scritto fra le ricerche condotte e chiuse in negativo: manca il documento che leghi il nome-persona, o qualunque apparato straniero nominato, alla catena di comando del delitto. Questa serie, percorrendo il territorio paragrafo per paragrafo, non ha trovato nulla che lo sposti. Confermare un'assenza già verbalizzata non è ripetizione: è la sua conferma su una superficie nuova, ed è un'acquisizione.</w:t>
      </w:r>
    </w:p>
    <w:p>
      <w:pPr>
        <w:spacing w:after="120" w:line="276"/>
        <w:jc w:val="both"/>
      </w:pPr>
      <w:r>
        <w:rPr>
          <w:rFonts w:ascii="Barlow Semi Condensed" w:cs="Barlow Semi Condensed" w:eastAsia="Barlow Semi Condensed" w:hAnsi="Barlow Semi Condensed"/>
          <w:b/>
          <w:bCs/>
          <w:sz w:val="24"/>
          <w:szCs w:val="24"/>
        </w:rPr>
        <w:t xml:space="preserve">1924 · Che cosa questa serie ha aggiunto.</w:t>
      </w:r>
      <w:r>
        <w:rPr>
          <w:rFonts w:ascii="Barlow Semi Condensed" w:cs="Barlow Semi Condensed" w:eastAsia="Barlow Semi Condensed" w:hAnsi="Barlow Semi Condensed"/>
          <w:sz w:val="24"/>
          <w:szCs w:val="24"/>
        </w:rPr>
        <w:t xml:space="preserve"> Quattro cose, e vanno dette senza gonfiarle. Il conteggio esatto delle occorrenze del nome nel territorio. La divergenza fra la parafrasi del paragrafo nono e il testo del fascicolo che essa cita. Il rinvio anteriore di ventotto ore alla propria fonte. E il riconoscimento di un primato: la smentita dell'interessato compare qui prima che nella nota di revisione del nodo M-5. Nessun ponte nuovo, quattro accertamenti.</w:t>
      </w:r>
    </w:p>
    <w:p>
      <w:pPr>
        <w:spacing w:after="120" w:line="276"/>
        <w:jc w:val="both"/>
      </w:pPr>
      <w:r>
        <w:rPr>
          <w:rFonts w:ascii="Barlow Semi Condensed" w:cs="Barlow Semi Condensed" w:eastAsia="Barlow Semi Condensed" w:hAnsi="Barlow Semi Condensed"/>
          <w:b/>
          <w:bCs/>
          <w:sz w:val="24"/>
          <w:szCs w:val="24"/>
        </w:rPr>
        <w:t xml:space="preserve">1925 · Il fascicolo resta dov'era.</w:t>
      </w:r>
      <w:r>
        <w:rPr>
          <w:rFonts w:ascii="Barlow Semi Condensed" w:cs="Barlow Semi Condensed" w:eastAsia="Barlow Semi Condensed" w:hAnsi="Barlow Semi Condensed"/>
          <w:sz w:val="24"/>
          <w:szCs w:val="24"/>
        </w:rPr>
        <w:t xml:space="preserve"> Il territorio si congeda «davanti a un fascicolo mai chiuso», e questa serie non lo chiude né lo sposta. Ha fatto la cosa che il Movimento terzo indica come terzo termine fra il silenzio e la graduatoria: nominare i vuoti, dire quale documento manca e in quale sala si trova lo scaffale che lo conterrebbe. La verità, su questo punto, verrà dai documenti o non verrà.</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Serie ventiseiesima — Il Portale e l’edizione strutturata</w:t>
      </w:r>
    </w:p>
    <w:p>
      <w:pPr>
        <w:spacing w:after="120" w:line="276"/>
        <w:jc w:val="both"/>
      </w:pPr>
      <w:r>
        <w:rPr>
          <w:rFonts w:ascii="Barlow Semi Condensed" w:cs="Barlow Semi Condensed" w:eastAsia="Barlow Semi Condensed" w:hAnsi="Barlow Semi Condensed"/>
          <w:i/>
          <w:iCs/>
          <w:sz w:val="24"/>
          <w:szCs w:val="24"/>
        </w:rPr>
        <w:t xml:space="preserve">Blocchi 1926-2000.</w:t>
      </w:r>
    </w:p>
    <w:p>
      <w:pPr>
        <w:spacing w:after="120" w:line="276"/>
        <w:jc w:val="both"/>
      </w:pPr>
      <w:r>
        <w:rPr>
          <w:rFonts w:ascii="Barlow Semi Condensed" w:cs="Barlow Semi Condensed" w:eastAsia="Barlow Semi Condensed" w:hAnsi="Barlow Semi Condensed"/>
          <w:b/>
          <w:bCs/>
          <w:sz w:val="24"/>
          <w:szCs w:val="24"/>
        </w:rPr>
        <w:t xml:space="preserve">1926 · Il conteggio meccanico del Portale.</w:t>
      </w:r>
      <w:r>
        <w:rPr>
          <w:rFonts w:ascii="Barlow Semi Condensed" w:cs="Barlow Semi Condensed" w:eastAsia="Barlow Semi Condensed" w:hAnsi="Barlow Semi Condensed"/>
          <w:sz w:val="24"/>
          <w:szCs w:val="24"/>
        </w:rPr>
        <w:t xml:space="preserve"> La ricerca della stringa su aldo-moro-una-guerra-senza-fine-edizione-strutturata.md restituisce zero occorrenze del nome. È accertamento meccanico, rieseguibile da chiunque, e va verbalizzato col perimetro esatto che l'agenda prescrive al blocco 233: trentadue capitoli, cinque Fasi, quattro serie di servizio, bibliografia in sei sezioni, nota di chiusura. Non è reticenza e non è scoperta: è il dato da cui questa serie parte, e ogni blocco che segue ne misura la portata.</w:t>
      </w:r>
    </w:p>
    <w:p>
      <w:pPr>
        <w:spacing w:after="120" w:line="276"/>
        <w:jc w:val="both"/>
      </w:pPr>
      <w:r>
        <w:rPr>
          <w:rFonts w:ascii="Barlow Semi Condensed" w:cs="Barlow Semi Condensed" w:eastAsia="Barlow Semi Condensed" w:hAnsi="Barlow Semi Condensed"/>
          <w:b/>
          <w:bCs/>
          <w:sz w:val="24"/>
          <w:szCs w:val="24"/>
        </w:rPr>
        <w:t xml:space="preserve">1927 · Che cosa quello zero non prova.</w:t>
      </w:r>
      <w:r>
        <w:rPr>
          <w:rFonts w:ascii="Barlow Semi Condensed" w:cs="Barlow Semi Condensed" w:eastAsia="Barlow Semi Condensed" w:hAnsi="Barlow Semi Condensed"/>
          <w:sz w:val="24"/>
          <w:szCs w:val="24"/>
        </w:rPr>
        <w:t xml:space="preserve"> Un'assenza nell'indice non è un'assenza negli archivi. Il blocco mirato numero uno dichiara la natura dell'edizione — «chi legge solo queste pagine ha la mappa; chi apre i documenti richiamati ha il territorio» — e dunque il silenzio del sommario non attesta il silenzio delle fonti. Regola di lettura applicabile: lo zero del Portale si interpreta soltanto confrontandolo, documento per documento, con ciò che il Portale rinvia a leggere.</w:t>
      </w:r>
    </w:p>
    <w:p>
      <w:pPr>
        <w:spacing w:after="120" w:line="276"/>
        <w:jc w:val="both"/>
      </w:pPr>
      <w:r>
        <w:rPr>
          <w:rFonts w:ascii="Barlow Semi Condensed" w:cs="Barlow Semi Condensed" w:eastAsia="Barlow Semi Condensed" w:hAnsi="Barlow Semi Condensed"/>
          <w:b/>
          <w:bCs/>
          <w:sz w:val="24"/>
          <w:szCs w:val="24"/>
        </w:rPr>
        <w:t xml:space="preserve">1928 · Dove il nome vive nel territorio.</w:t>
      </w:r>
      <w:r>
        <w:rPr>
          <w:rFonts w:ascii="Barlow Semi Condensed" w:cs="Barlow Semi Condensed" w:eastAsia="Barlow Semi Condensed" w:hAnsi="Barlow Semi Condensed"/>
          <w:sz w:val="24"/>
          <w:szCs w:val="24"/>
        </w:rPr>
        <w:t xml:space="preserve"> I documenti che l'edizione richiama e che il nome contengono sono cinque, e vanno elencati perché la mappa non li dichiara: la Parte terza al capitolo nono, dal-che-a-moro-una-guerra-senza-fine.md nel Cile e nel bilancio finale, la Fase sesta al capitolo cinquantaquattresimo, la Fase nona al capitolo settantaquattresimo, e sei delle ricognizioni originali della cartella Farnesina. Fuori di lì, nel corpus moroteo, il nome non compare.</w:t>
      </w:r>
    </w:p>
    <w:p>
      <w:pPr>
        <w:spacing w:after="120" w:line="276"/>
        <w:jc w:val="both"/>
      </w:pPr>
      <w:r>
        <w:rPr>
          <w:rFonts w:ascii="Barlow Semi Condensed" w:cs="Barlow Semi Condensed" w:eastAsia="Barlow Semi Condensed" w:hAnsi="Barlow Semi Condensed"/>
          <w:b/>
          <w:bCs/>
          <w:sz w:val="24"/>
          <w:szCs w:val="24"/>
        </w:rPr>
        <w:t xml:space="preserve">1929 · Il capitolo mai rimappato.</w:t>
      </w:r>
      <w:r>
        <w:rPr>
          <w:rFonts w:ascii="Barlow Semi Condensed" w:cs="Barlow Semi Condensed" w:eastAsia="Barlow Semi Condensed" w:hAnsi="Barlow Semi Condensed"/>
          <w:sz w:val="24"/>
          <w:szCs w:val="24"/>
        </w:rPr>
        <w:t xml:space="preserve"> Nessun capitolo dell'edizione strutturata rinvia al nono della Parte terza, «Il quadro internazionale», che nomina Kissinger due volte ed è l'unico luogo del corpus a formulare il divieto in forma pura. Il Portale richiama la Parte terza ai capitoli quinto, sesto e settimo, e in forma generica per il falso della Duchessa. Lacuna editoriale verbalizzata; la sede che la chiuderebbe è l'edizione stessa, al Capitolo VIII o al XXIX.</w:t>
      </w:r>
    </w:p>
    <w:p>
      <w:pPr>
        <w:spacing w:after="120" w:line="276"/>
        <w:jc w:val="both"/>
      </w:pPr>
      <w:r>
        <w:rPr>
          <w:rFonts w:ascii="Barlow Semi Condensed" w:cs="Barlow Semi Condensed" w:eastAsia="Barlow Semi Condensed" w:hAnsi="Barlow Semi Condensed"/>
          <w:b/>
          <w:bCs/>
          <w:sz w:val="24"/>
          <w:szCs w:val="24"/>
        </w:rPr>
        <w:t xml:space="preserve">1930 · I due rinvii del Capitolo VIII.</w:t>
      </w:r>
      <w:r>
        <w:rPr>
          <w:rFonts w:ascii="Barlow Semi Condensed" w:cs="Barlow Semi Condensed" w:eastAsia="Barlow Semi Condensed" w:hAnsi="Barlow Semi Condensed"/>
          <w:sz w:val="24"/>
          <w:szCs w:val="24"/>
        </w:rPr>
        <w:t xml:space="preserve"> Due soli documenti sono richiamati dal Capitolo VIII. Il primo, dal-che-a-moro, nomina Kissinger a proposito del Cile e del bilancio finale; il secondo, cronologia-guevara-moro.html, restituisce zero occorrenze e non reca alcuna voce per il settembre 1974, limitandosi a un riquadro «1974–1976» sul ritorno a Palazzo Chigi. L'asimmetria fra i due rinvii va dichiarata: metà del rimando porta al nome, metà lo esclude per costruzione.</w:t>
      </w:r>
    </w:p>
    <w:p>
      <w:pPr>
        <w:spacing w:after="120" w:line="276"/>
        <w:jc w:val="both"/>
      </w:pPr>
      <w:r>
        <w:rPr>
          <w:rFonts w:ascii="Barlow Semi Condensed" w:cs="Barlow Semi Condensed" w:eastAsia="Barlow Semi Condensed" w:hAnsi="Barlow Semi Condensed"/>
          <w:b/>
          <w:bCs/>
          <w:sz w:val="24"/>
          <w:szCs w:val="24"/>
        </w:rPr>
        <w:t xml:space="preserve">1931 · Il Cile dentro il rinvio.</w:t>
      </w:r>
      <w:r>
        <w:rPr>
          <w:rFonts w:ascii="Barlow Semi Condensed" w:cs="Barlow Semi Condensed" w:eastAsia="Barlow Semi Condensed" w:hAnsi="Barlow Semi Condensed"/>
          <w:sz w:val="24"/>
          <w:szCs w:val="24"/>
        </w:rPr>
        <w:t xml:space="preserve"> dal-che-a-moro scrive che la caduta di Allende ebbe «la responsabilità primaria, documentata, degli apparati statunitensi supervisionati da Henry Kissinger, come il corpus ha verificato su fonti primarie». Il passo non elenca quelle fonti. Quesito da portare in archivio: identificarle una per una. Sedi indicate dalla stessa bibliografia dell'edizione, sezione prima: la CIA FOIA Electronic Reading Room; e fuori di essa il rapporto della Commissione Church del 1975.</w:t>
      </w:r>
    </w:p>
    <w:p>
      <w:pPr>
        <w:spacing w:after="120" w:line="276"/>
        <w:jc w:val="both"/>
      </w:pPr>
      <w:r>
        <w:rPr>
          <w:rFonts w:ascii="Barlow Semi Condensed" w:cs="Barlow Semi Condensed" w:eastAsia="Barlow Semi Condensed" w:hAnsi="Barlow Semi Condensed"/>
          <w:b/>
          <w:bCs/>
          <w:sz w:val="24"/>
          <w:szCs w:val="24"/>
        </w:rPr>
        <w:t xml:space="preserve">1932 · Responsabilità documentata non è imputazione.</w:t>
      </w:r>
      <w:r>
        <w:rPr>
          <w:rFonts w:ascii="Barlow Semi Condensed" w:cs="Barlow Semi Condensed" w:eastAsia="Barlow Semi Condensed" w:hAnsi="Barlow Semi Condensed"/>
          <w:sz w:val="24"/>
          <w:szCs w:val="24"/>
        </w:rPr>
        <w:t xml:space="preserve"> Va letta insieme all'accertamento K-2 dell'apparato Kissinger, quella formula sul Cile: non risulta alcuna sentenza, alcun rinvio a giudizio, alcun procedimento penale in alcun Paese; non fu mai imputato né processato. La supervisione di apparati è fatto storico-politico documentabile; la responsabilità penale è altra cosa e nessun giudice l'ha affermata. Il Portale, che il nome non porta, non incorre nel rischio; il documento rinviato lo porta, e chiede la nota.</w:t>
      </w:r>
    </w:p>
    <w:p>
      <w:pPr>
        <w:spacing w:after="120" w:line="276"/>
        <w:jc w:val="both"/>
      </w:pPr>
      <w:r>
        <w:rPr>
          <w:rFonts w:ascii="Barlow Semi Condensed" w:cs="Barlow Semi Condensed" w:eastAsia="Barlow Semi Condensed" w:hAnsi="Barlow Semi Condensed"/>
          <w:b/>
          <w:bCs/>
          <w:sz w:val="24"/>
          <w:szCs w:val="24"/>
        </w:rPr>
        <w:t xml:space="preserve">1933 · La data cilena fuori dal registro.</w:t>
      </w:r>
      <w:r>
        <w:rPr>
          <w:rFonts w:ascii="Barlow Semi Condensed" w:cs="Barlow Semi Condensed" w:eastAsia="Barlow Semi Condensed" w:hAnsi="Barlow Semi Condensed"/>
          <w:sz w:val="24"/>
          <w:szCs w:val="24"/>
        </w:rPr>
        <w:t xml:space="preserve"> Il registro cronologico essenziale, blocchi 801-812, non contiene l'11 settembre 1973, benché il Capitolo VIII poggi su quello snodo per spiegare perché la manovra di Moro facesse paura. Accertamento con grado dichiarato: è coerenza, non omissione, se il criterio del registro è la sola storia interna italiana. Bersaglio minimo: che il registro dichiari il proprio criterio d'inclusione, perché oggi non lo dichiara e il lettore lo deve inferire.</w:t>
      </w:r>
    </w:p>
    <w:p>
      <w:pPr>
        <w:spacing w:after="120" w:line="276"/>
        <w:jc w:val="both"/>
      </w:pPr>
      <w:r>
        <w:rPr>
          <w:rFonts w:ascii="Barlow Semi Condensed" w:cs="Barlow Semi Condensed" w:eastAsia="Barlow Semi Condensed" w:hAnsi="Barlow Semi Condensed"/>
          <w:b/>
          <w:bCs/>
          <w:sz w:val="24"/>
          <w:szCs w:val="24"/>
        </w:rPr>
        <w:t xml:space="preserve">1934 · Il blocco 201 e la parola FRUS.</w:t>
      </w:r>
      <w:r>
        <w:rPr>
          <w:rFonts w:ascii="Barlow Semi Condensed" w:cs="Barlow Semi Condensed" w:eastAsia="Barlow Semi Condensed" w:hAnsi="Barlow Semi Condensed"/>
          <w:sz w:val="24"/>
          <w:szCs w:val="24"/>
        </w:rPr>
        <w:t xml:space="preserve"> La griglia della Fase seconda elenca fra le fonti i «FRUS desecretati», con indirizzo nella cartella Farnesina, e non nomina alcun documento. Quesito: quali documenti FRUS reggono davvero la Fase seconda. La ricognizione-ministro-esteri-1969-1974.md ne nomina tre — E-15 parte 2 doc. 350, volume XLI doc. 180 e doc. 188 — e sono gli unici del corpus. La griglia dovrebbe portarli, o dichiarare che rinvia in blocco.</w:t>
      </w:r>
    </w:p>
    <w:p>
      <w:pPr>
        <w:spacing w:after="120" w:line="276"/>
        <w:jc w:val="both"/>
      </w:pPr>
      <w:r>
        <w:rPr>
          <w:rFonts w:ascii="Barlow Semi Condensed" w:cs="Barlow Semi Condensed" w:eastAsia="Barlow Semi Condensed" w:hAnsi="Barlow Semi Condensed"/>
          <w:b/>
          <w:bCs/>
          <w:sz w:val="24"/>
          <w:szCs w:val="24"/>
        </w:rPr>
        <w:t xml:space="preserve">1935 · Il tetto B dei desecretati.</w:t>
      </w:r>
      <w:r>
        <w:rPr>
          <w:rFonts w:ascii="Barlow Semi Condensed" w:cs="Barlow Semi Condensed" w:eastAsia="Barlow Semi Condensed" w:hAnsi="Barlow Semi Condensed"/>
          <w:sz w:val="24"/>
          <w:szCs w:val="24"/>
        </w:rPr>
        <w:t xml:space="preserve"> Ai documenti desecretati il blocco 1053 assegna tetto di grado B; agli atti normativi il 1054 assegna A/F. Un memorandum of conversation edito dall'Office of the Historian sta a metà: è atto d'ufficio, non rilascio d'intelligence. Divergenza da riportare e non da sciogliere qui: il corpus deve dire se un verbale presidenziale «fa fede del testo» come una Gazzetta o «attesta con protocollo» come un rilascio.</w:t>
      </w:r>
    </w:p>
    <w:p>
      <w:pPr>
        <w:spacing w:after="120" w:line="276"/>
        <w:jc w:val="both"/>
      </w:pPr>
      <w:r>
        <w:rPr>
          <w:rFonts w:ascii="Barlow Semi Condensed" w:cs="Barlow Semi Condensed" w:eastAsia="Barlow Semi Condensed" w:hAnsi="Barlow Semi Condensed"/>
          <w:b/>
          <w:bCs/>
          <w:sz w:val="24"/>
          <w:szCs w:val="24"/>
        </w:rPr>
        <w:t xml:space="preserve">1936 · Il documento e il documentato.</w:t>
      </w:r>
      <w:r>
        <w:rPr>
          <w:rFonts w:ascii="Barlow Semi Condensed" w:cs="Barlow Semi Condensed" w:eastAsia="Barlow Semi Condensed" w:hAnsi="Barlow Semi Condensed"/>
          <w:sz w:val="24"/>
          <w:szCs w:val="24"/>
        </w:rPr>
        <w:t xml:space="preserve"> Distinguere il documento dal documentato, come prescrive il Capitolo III, taglia l'intero asse atlantico. Il verbale del 25 settembre 1974 documenta che una posizione fu espressa a Ford; non documenta che quella posizione si sia tradotta in atto, né che Moro l'abbia udita nei termini che circolano. Regola di lettura applicabile a ogni citazione FRUS del corpus, ed è quella che dissolve la maggior parte della pubblicistica atlantica.</w:t>
      </w:r>
    </w:p>
    <w:p>
      <w:pPr>
        <w:spacing w:after="120" w:line="276"/>
        <w:jc w:val="both"/>
      </w:pPr>
      <w:r>
        <w:rPr>
          <w:rFonts w:ascii="Barlow Semi Condensed" w:cs="Barlow Semi Condensed" w:eastAsia="Barlow Semi Condensed" w:hAnsi="Barlow Semi Condensed"/>
          <w:b/>
          <w:bCs/>
          <w:sz w:val="24"/>
          <w:szCs w:val="24"/>
        </w:rPr>
        <w:t xml:space="preserve">1937 · Il verbale che il Portale non cita.</w:t>
      </w:r>
      <w:r>
        <w:rPr>
          <w:rFonts w:ascii="Barlow Semi Condensed" w:cs="Barlow Semi Condensed" w:eastAsia="Barlow Semi Condensed" w:hAnsi="Barlow Semi Condensed"/>
          <w:sz w:val="24"/>
          <w:szCs w:val="24"/>
        </w:rPr>
        <w:t xml:space="preserve"> L'accertamento resta quello fissato dall'opera: FRUS 1969-1976, volume E-15 parte 2, documento 350, seconda edizione riveduta; Ford Library, file 1552802; e nessun ultimatum personale ad Aldo Moro nel testo. Il Capitolo VI dichiara che il corpus ha documentato «per intero» la dimensione Farnesina, ma il verbale non compare nell'edizione. Bersaglio editoriale: portarvelo con la segnatura completa, perché una dimensione documentata per intero cita almeno il proprio documento migliore.</w:t>
      </w:r>
    </w:p>
    <w:p>
      <w:pPr>
        <w:spacing w:after="120" w:line="276"/>
        <w:jc w:val="both"/>
      </w:pPr>
      <w:r>
        <w:rPr>
          <w:rFonts w:ascii="Barlow Semi Condensed" w:cs="Barlow Semi Condensed" w:eastAsia="Barlow Semi Condensed" w:hAnsi="Barlow Semi Condensed"/>
          <w:b/>
          <w:bCs/>
          <w:sz w:val="24"/>
          <w:szCs w:val="24"/>
        </w:rPr>
        <w:t xml:space="preserve">1938 · Il secondo verbale, mai spogliato.</w:t>
      </w:r>
      <w:r>
        <w:rPr>
          <w:rFonts w:ascii="Barlow Semi Condensed" w:cs="Barlow Semi Condensed" w:eastAsia="Barlow Semi Condensed" w:hAnsi="Barlow Semi Condensed"/>
          <w:sz w:val="24"/>
          <w:szCs w:val="24"/>
        </w:rPr>
        <w:t xml:space="preserve"> Il colloquio del 26 settembre 1974 è conservato alla Ford Library come file 1552806 ed è dichiarato esistente dalla ricognizione della Farnesina, che però non ne esaurisce lo spoglio. Quesito da portare in archivio: Gerald R. Ford Presidential Library, National Security Adviser's Memoranda of Conversation, unità 1552806, lettura integrale. Grado atteso all'esito: F sui fatti del colloquio. Finché non è letto, si indica come bersaglio aperto e non si cita come noto.</w:t>
      </w:r>
    </w:p>
    <w:p>
      <w:pPr>
        <w:spacing w:after="120" w:line="276"/>
        <w:jc w:val="both"/>
      </w:pPr>
      <w:r>
        <w:rPr>
          <w:rFonts w:ascii="Barlow Semi Condensed" w:cs="Barlow Semi Condensed" w:eastAsia="Barlow Semi Condensed" w:hAnsi="Barlow Semi Condensed"/>
          <w:b/>
          <w:bCs/>
          <w:sz w:val="24"/>
          <w:szCs w:val="24"/>
        </w:rPr>
        <w:t xml:space="preserve">1939 · La vigilia e la parola «tough».</w:t>
      </w:r>
      <w:r>
        <w:rPr>
          <w:rFonts w:ascii="Barlow Semi Condensed" w:cs="Barlow Semi Condensed" w:eastAsia="Barlow Semi Condensed" w:hAnsi="Barlow Semi Condensed"/>
          <w:sz w:val="24"/>
          <w:szCs w:val="24"/>
        </w:rPr>
        <w:t xml:space="preserve"> Alla vigilia, il verbale attesta che Kissinger disse a Ford che agli italiani andava detto duramente come qualunque presenza comunista al governo avrebbe mutato le relazioni, con una valutazione sul contagio in Francia, Germania e Grecia. È posizione documentata di un uomo di governo: piano 1 quanto alla posizione. Il Capitolo XIII poggia la lettura del bersaglio su «convergenza documentata» e non la cita: aggiungerla non ne muterebbe il grado.</w:t>
      </w:r>
    </w:p>
    <w:p>
      <w:pPr>
        <w:spacing w:after="120" w:line="276"/>
        <w:jc w:val="both"/>
      </w:pPr>
      <w:r>
        <w:rPr>
          <w:rFonts w:ascii="Barlow Semi Condensed" w:cs="Barlow Semi Condensed" w:eastAsia="Barlow Semi Condensed" w:hAnsi="Barlow Semi Condensed"/>
          <w:b/>
          <w:bCs/>
          <w:sz w:val="24"/>
          <w:szCs w:val="24"/>
        </w:rPr>
        <w:t xml:space="preserve">1940 · I tre piani, misurati sul Portale.</w:t>
      </w:r>
      <w:r>
        <w:rPr>
          <w:rFonts w:ascii="Barlow Semi Condensed" w:cs="Barlow Semi Condensed" w:eastAsia="Barlow Semi Condensed" w:hAnsi="Barlow Semi Condensed"/>
          <w:sz w:val="24"/>
          <w:szCs w:val="24"/>
        </w:rPr>
        <w:t xml:space="preserve"> Piano 1: la compresenza di Moro e Kissinger nello Studio Ovale il 25 settembre 1974, che è un incontro e non un mandato. Piano 2: l'ostilità atlantica all'ingresso dei comunisti, cornice condivisa da decine di soggetti fra loro estranei. Piano 3: l'ultimatum che circola. L'edizione strutturata non porta nessuno dei tre. Aggiungere il solo piano 1, con la segnatura, sarebbe l'unica integrazione conforme al suo statuto.</w:t>
      </w:r>
    </w:p>
    <w:p>
      <w:pPr>
        <w:spacing w:after="120" w:line="276"/>
        <w:jc w:val="both"/>
      </w:pPr>
      <w:r>
        <w:rPr>
          <w:rFonts w:ascii="Barlow Semi Condensed" w:cs="Barlow Semi Condensed" w:eastAsia="Barlow Semi Condensed" w:hAnsi="Barlow Semi Condensed"/>
          <w:b/>
          <w:bCs/>
          <w:sz w:val="24"/>
          <w:szCs w:val="24"/>
        </w:rPr>
        <w:t xml:space="preserve">1941 · I due mandati compressi.</w:t>
      </w:r>
      <w:r>
        <w:rPr>
          <w:rFonts w:ascii="Barlow Semi Condensed" w:cs="Barlow Semi Condensed" w:eastAsia="Barlow Semi Condensed" w:hAnsi="Barlow Semi Condensed"/>
          <w:sz w:val="24"/>
          <w:szCs w:val="24"/>
        </w:rPr>
        <w:t xml:space="preserve"> Due mandati, dice il Capitolo VI; un arco unico, «5 agosto 1969 – 23 novembre 1974», stampa il blocco 804. Le ricognizioni della Farnesina li datano invece 5 agosto 1969 – 26 giugno 1972 e 7 luglio 1973 – 23 novembre 1974. La divergenza formale si riporta perché conta: l'incontro di Washington cade nel secondo mandato, a due mesi dalla sua fine, e il registro compresso lo nasconde.</w:t>
      </w:r>
    </w:p>
    <w:p>
      <w:pPr>
        <w:spacing w:after="120" w:line="276"/>
        <w:jc w:val="both"/>
      </w:pPr>
      <w:r>
        <w:rPr>
          <w:rFonts w:ascii="Barlow Semi Condensed" w:cs="Barlow Semi Condensed" w:eastAsia="Barlow Semi Condensed" w:hAnsi="Barlow Semi Condensed"/>
          <w:b/>
          <w:bCs/>
          <w:sz w:val="24"/>
          <w:szCs w:val="24"/>
        </w:rPr>
        <w:t xml:space="preserve">1942 · I quattro versanti nazionali.</w:t>
      </w:r>
      <w:r>
        <w:rPr>
          <w:rFonts w:ascii="Barlow Semi Condensed" w:cs="Barlow Semi Condensed" w:eastAsia="Barlow Semi Condensed" w:hAnsi="Barlow Semi Condensed"/>
          <w:sz w:val="24"/>
          <w:szCs w:val="24"/>
        </w:rPr>
        <w:t xml:space="preserve"> Germania, Portogallo, Grecia, Turchia: il Capitolo XI li grada per presenza o Stato Zero dell'Opus Dei. Verifica eseguita sui testi originali della cartella: il nome di Kissinger compare in tre di quei quattro fascicoli, sempre come attore statunitense e mai in relazione documentata con Moro. È convergenza di cornice, piano 2, e il capitolo fa bene a non registrarla come nodo del caso italiano.</w:t>
      </w:r>
    </w:p>
    <w:p>
      <w:pPr>
        <w:spacing w:after="120" w:line="276"/>
        <w:jc w:val="both"/>
      </w:pPr>
      <w:r>
        <w:rPr>
          <w:rFonts w:ascii="Barlow Semi Condensed" w:cs="Barlow Semi Condensed" w:eastAsia="Barlow Semi Condensed" w:hAnsi="Barlow Semi Condensed"/>
          <w:b/>
          <w:bCs/>
          <w:sz w:val="24"/>
          <w:szCs w:val="24"/>
        </w:rPr>
        <w:t xml:space="preserve">1943 · Lisbona e il regime neutralista.</w:t>
      </w:r>
      <w:r>
        <w:rPr>
          <w:rFonts w:ascii="Barlow Semi Condensed" w:cs="Barlow Semi Condensed" w:eastAsia="Barlow Semi Condensed" w:hAnsi="Barlow Semi Condensed"/>
          <w:sz w:val="24"/>
          <w:szCs w:val="24"/>
        </w:rPr>
        <w:t xml:space="preserve"> portogallo-opus-dei.md cita FRUS E-15 parte 2, documento 153, dove Kissinger paventa per Lisbona «not a Communist take-over, but a leftist neutralist regime remaining within NATO». Stessa parte dello stesso volume che ospita il documento 350. Quesito da portare in archivio: spogliare integralmente E-15 parte 2 per verificare se il dossier italiano e quello portoghese siano trattati nella medesima serie documentale, e con quale continuità di redazione.</w:t>
      </w:r>
    </w:p>
    <w:p>
      <w:pPr>
        <w:spacing w:after="120" w:line="276"/>
        <w:jc w:val="both"/>
      </w:pPr>
      <w:r>
        <w:rPr>
          <w:rFonts w:ascii="Barlow Semi Condensed" w:cs="Barlow Semi Condensed" w:eastAsia="Barlow Semi Condensed" w:hAnsi="Barlow Semi Condensed"/>
          <w:b/>
          <w:bCs/>
          <w:sz w:val="24"/>
          <w:szCs w:val="24"/>
        </w:rPr>
        <w:t xml:space="preserve">1944 · Helsinki e «l'insofferenza».</w:t>
      </w:r>
      <w:r>
        <w:rPr>
          <w:rFonts w:ascii="Barlow Semi Condensed" w:cs="Barlow Semi Condensed" w:eastAsia="Barlow Semi Condensed" w:hAnsi="Barlow Semi Condensed"/>
          <w:sz w:val="24"/>
          <w:szCs w:val="24"/>
        </w:rPr>
        <w:t xml:space="preserve"> portogallo-santa-sede-1969-1974.md riferisce, su fonte giornalistica, che Moro ottenne il coinvolgimento formale della Comunità nella firma dell'Atto finale «sfidando l'insofferenza di Kissinger». Statuto della frase secondo il blocco 1056: pubblicistica, tetto C, indizio di pista e non accertamento. Bersaglio: reperire la fonte primaria di quella insofferenza nei verbali della delegazione statunitense alla CSCE. Sedi: FRUS volume XXXIX e NARA, RG 59, Central Foreign Policy Files.</w:t>
      </w:r>
    </w:p>
    <w:p>
      <w:pPr>
        <w:spacing w:after="120" w:line="276"/>
        <w:jc w:val="both"/>
      </w:pPr>
      <w:r>
        <w:rPr>
          <w:rFonts w:ascii="Barlow Semi Condensed" w:cs="Barlow Semi Condensed" w:eastAsia="Barlow Semi Condensed" w:hAnsi="Barlow Semi Condensed"/>
          <w:b/>
          <w:bCs/>
          <w:sz w:val="24"/>
          <w:szCs w:val="24"/>
        </w:rPr>
        <w:t xml:space="preserve">1945 · Il telegramma del 2 agosto 1975.</w:t>
      </w:r>
      <w:r>
        <w:rPr>
          <w:rFonts w:ascii="Barlow Semi Condensed" w:cs="Barlow Semi Condensed" w:eastAsia="Barlow Semi Condensed" w:hAnsi="Barlow Semi Condensed"/>
          <w:sz w:val="24"/>
          <w:szCs w:val="24"/>
        </w:rPr>
        <w:t xml:space="preserve"> grecia-opus-dei-1969-1985.md cita FRUS volume XXXIX, documento 334, telegramma a firma Kissinger del 2 agosto 1975, che descrive la cerimonia conclusiva di Helsinki e la dichiarazione interpretativa cipriota contro la riserva turca. Piano 1 come documento, e riguarda Cipro, non Moro. Regola che ne discende: un documento firmato da un nome è ponte verso ciò che quel documento dispone, non verso un terzo che vi compare accanto.</w:t>
      </w:r>
    </w:p>
    <w:p>
      <w:pPr>
        <w:spacing w:after="120" w:line="276"/>
        <w:jc w:val="both"/>
      </w:pPr>
      <w:r>
        <w:rPr>
          <w:rFonts w:ascii="Barlow Semi Condensed" w:cs="Barlow Semi Condensed" w:eastAsia="Barlow Semi Condensed" w:hAnsi="Barlow Semi Condensed"/>
          <w:b/>
          <w:bCs/>
          <w:sz w:val="24"/>
          <w:szCs w:val="24"/>
        </w:rPr>
        <w:t xml:space="preserve">1946 · Il dossier turco degli oppiacei.</w:t>
      </w:r>
      <w:r>
        <w:rPr>
          <w:rFonts w:ascii="Barlow Semi Condensed" w:cs="Barlow Semi Condensed" w:eastAsia="Barlow Semi Condensed" w:hAnsi="Barlow Semi Condensed"/>
          <w:sz w:val="24"/>
          <w:szCs w:val="24"/>
        </w:rPr>
        <w:t xml:space="preserve"> turchia-opus-dei-1969-1975.md ricostruisce la reazione di Washington alla revoca del divieto sul papavero: memorandum di Kissinger a Ford, FRUS volume XXX documento 208; paper del gruppo interdipartimentale, documento 206; National Security Decision Memorandum 267 del 23 agosto 1974, documento 209. E dichiara l'esito negativo: nessun riferimento a colloqui di Moro sulla questione turca. Sede di chiusura già scritta: consultazione integrale dei volumi FRUS pertinenti e indice per nome.</w:t>
      </w:r>
    </w:p>
    <w:p>
      <w:pPr>
        <w:spacing w:after="120" w:line="276"/>
        <w:jc w:val="both"/>
      </w:pPr>
      <w:r>
        <w:rPr>
          <w:rFonts w:ascii="Barlow Semi Condensed" w:cs="Barlow Semi Condensed" w:eastAsia="Barlow Semi Condensed" w:hAnsi="Barlow Semi Condensed"/>
          <w:b/>
          <w:bCs/>
          <w:sz w:val="24"/>
          <w:szCs w:val="24"/>
        </w:rPr>
        <w:t xml:space="preserve">1947 · Il Comitato dei 303 e l'anteriorità.</w:t>
      </w:r>
      <w:r>
        <w:rPr>
          <w:rFonts w:ascii="Barlow Semi Condensed" w:cs="Barlow Semi Condensed" w:eastAsia="Barlow Semi Condensed" w:hAnsi="Barlow Semi Condensed"/>
          <w:sz w:val="24"/>
          <w:szCs w:val="24"/>
        </w:rPr>
        <w:t xml:space="preserve"> FRUS volume XLI, documento 180: riunione dell'11 marzo 1969 presieduta da Kissinger, con Johnson, Packard e Helms; Karamessines illustra il sostegno coperto ai partiti italiani 1948-1968 e i presenti convengono all'unanimità che non vi sia reale giustificazione per riprenderlo. Moro divenne ministro il 5 agosto 1969: qui non c'è contemporaneità, c'è precedenza. Il Portale non porta questo documento, che è il miglior negativo dell'intero asse.</w:t>
      </w:r>
    </w:p>
    <w:p>
      <w:pPr>
        <w:spacing w:after="120" w:line="276"/>
        <w:jc w:val="both"/>
      </w:pPr>
      <w:r>
        <w:rPr>
          <w:rFonts w:ascii="Barlow Semi Condensed" w:cs="Barlow Semi Condensed" w:eastAsia="Barlow Semi Condensed" w:hAnsi="Barlow Semi Condensed"/>
          <w:b/>
          <w:bCs/>
          <w:sz w:val="24"/>
          <w:szCs w:val="24"/>
        </w:rPr>
        <w:t xml:space="preserve">1948 · Il programma riemerso nel 1975.</w:t>
      </w:r>
      <w:r>
        <w:rPr>
          <w:rFonts w:ascii="Barlow Semi Condensed" w:cs="Barlow Semi Condensed" w:eastAsia="Barlow Semi Condensed" w:hAnsi="Barlow Semi Condensed"/>
          <w:sz w:val="24"/>
          <w:szCs w:val="24"/>
        </w:rPr>
        <w:t xml:space="preserve"> Un saggio con revisione paritaria del 2024 segnala che il programma di azione coperta in Italia riemerse nel novembre 1975 e nel luglio 1976, quando Moro era presidente del Consiglio. Grado dichiarato: fonte secondaria qualificata, da riscontrare sui primari. Sedi: NARA, Nixon Presidential Materials e Ford Library, NSC Files, Country Files: Italy. La Fase seconda del Portale non registra il fatto, e la sua griglia delle fonti non lo prevede.</w:t>
      </w:r>
    </w:p>
    <w:p>
      <w:pPr>
        <w:spacing w:after="120" w:line="276"/>
        <w:jc w:val="both"/>
      </w:pPr>
      <w:r>
        <w:rPr>
          <w:rFonts w:ascii="Barlow Semi Condensed" w:cs="Barlow Semi Condensed" w:eastAsia="Barlow Semi Condensed" w:hAnsi="Barlow Semi Condensed"/>
          <w:b/>
          <w:bCs/>
          <w:sz w:val="24"/>
          <w:szCs w:val="24"/>
        </w:rPr>
        <w:t xml:space="preserve">1949 · Lo «study on Italy» del dicembre 1969.</w:t>
      </w:r>
      <w:r>
        <w:rPr>
          <w:rFonts w:ascii="Barlow Semi Condensed" w:cs="Barlow Semi Condensed" w:eastAsia="Barlow Semi Condensed" w:hAnsi="Barlow Semi Condensed"/>
          <w:sz w:val="24"/>
          <w:szCs w:val="24"/>
        </w:rPr>
        <w:t xml:space="preserve"> Nel dicembre 1969 Nixon istruì di avviare uno studio sull'Italia: lo registra FRUS volume XLI, documento 188, mentre Moro era al primo mandato. Uno studio interno non istituisce relazione col ministro di un altro Stato: piano 2, e non oltre. Quesito: se lo studio fu prodotto, con quale titolo e in quale serie sia archiviato. Sede: NARA, NSC Institutional Files, e l'indice cronologico dei NSSM.</w:t>
      </w:r>
    </w:p>
    <w:p>
      <w:pPr>
        <w:spacing w:after="120" w:line="276"/>
        <w:jc w:val="both"/>
      </w:pPr>
      <w:r>
        <w:rPr>
          <w:rFonts w:ascii="Barlow Semi Condensed" w:cs="Barlow Semi Condensed" w:eastAsia="Barlow Semi Condensed" w:hAnsi="Barlow Semi Condensed"/>
          <w:b/>
          <w:bCs/>
          <w:sz w:val="24"/>
          <w:szCs w:val="24"/>
        </w:rPr>
        <w:t xml:space="preserve">1950 · Il lodo e il vuoto atlantico.</w:t>
      </w:r>
      <w:r>
        <w:rPr>
          <w:rFonts w:ascii="Barlow Semi Condensed" w:cs="Barlow Semi Condensed" w:eastAsia="Barlow Semi Condensed" w:hAnsi="Barlow Semi Condensed"/>
          <w:sz w:val="24"/>
          <w:szCs w:val="24"/>
        </w:rPr>
        <w:t xml:space="preserve"> Aperta resta, per il blocco 205, la domanda se la politica mediterranea abbia pesato sul caso, coi documenti mancanti rinviati alla cartella Farnesina. Verifica eseguita: nelle ricognizioni del branch il lodo Moro è trattato su Lomellini, Pacini e fonti divulgative, e non vi compare alcuna valutazione statunitense. Stato Zero dichiarato; sedi che lo chiuderebbero: FRUS E-15 e NARA, RG 59, Central Foreign Policy Files 1973-1976.</w:t>
      </w:r>
    </w:p>
    <w:p>
      <w:pPr>
        <w:spacing w:after="120" w:line="276"/>
        <w:jc w:val="both"/>
      </w:pPr>
      <w:r>
        <w:rPr>
          <w:rFonts w:ascii="Barlow Semi Condensed" w:cs="Barlow Semi Condensed" w:eastAsia="Barlow Semi Condensed" w:hAnsi="Barlow Semi Condensed"/>
          <w:b/>
          <w:bCs/>
          <w:sz w:val="24"/>
          <w:szCs w:val="24"/>
        </w:rPr>
        <w:t xml:space="preserve">1951 · Un terzo quesito impersonale.</w:t>
      </w:r>
      <w:r>
        <w:rPr>
          <w:rFonts w:ascii="Barlow Semi Condensed" w:cs="Barlow Semi Condensed" w:eastAsia="Barlow Semi Condensed" w:hAnsi="Barlow Semi Condensed"/>
          <w:sz w:val="24"/>
          <w:szCs w:val="24"/>
        </w:rPr>
        <w:t xml:space="preserve"> All'analisi delle ipotesi concorrenti il Capitolo II-bis sottopone due soli quesiti impersonali, Gradoli e le due moto. Se ne propone un terzo, impersonale per costruzione perché riguarda uno Stato e non una persona: se esistesse nel 1978 un canale operativo fra apparati statunitensi e l'organizzazione. L'esito atteso è che nessuna evidenza discriminante sia disponibile nel branch, e la matrice servirebbe proprio a scriverlo.</w:t>
      </w:r>
    </w:p>
    <w:p>
      <w:pPr>
        <w:spacing w:after="120" w:line="276"/>
        <w:jc w:val="both"/>
      </w:pPr>
      <w:r>
        <w:rPr>
          <w:rFonts w:ascii="Barlow Semi Condensed" w:cs="Barlow Semi Condensed" w:eastAsia="Barlow Semi Condensed" w:hAnsi="Barlow Semi Condensed"/>
          <w:b/>
          <w:bCs/>
          <w:sz w:val="24"/>
          <w:szCs w:val="24"/>
        </w:rPr>
        <w:t xml:space="preserve">1952 · La rete a trentanove nodi.</w:t>
      </w:r>
      <w:r>
        <w:rPr>
          <w:rFonts w:ascii="Barlow Semi Condensed" w:cs="Barlow Semi Condensed" w:eastAsia="Barlow Semi Condensed" w:hAnsi="Barlow Semi Condensed"/>
          <w:sz w:val="24"/>
          <w:szCs w:val="24"/>
        </w:rPr>
        <w:t xml:space="preserve"> Il grafo del Capitolo II-bis conta 39 nodi e 59 archi, 28 di grado A, 26 F, 5 B. Nelle tavole pubblicate — centralità di Freeman e ripartizione 6-bis — non compare alcun nodo statunitense, e l'unico nodo del mondo Farnesina visibile è Berio. Stato Zero verificabile solo in parte: l'elenco completo dei 39 nodi non è pubblicato, e la sede che lo chiuderebbe sono i sorgenti del grafo.</w:t>
      </w:r>
    </w:p>
    <w:p>
      <w:pPr>
        <w:spacing w:after="120" w:line="276"/>
        <w:jc w:val="both"/>
      </w:pPr>
      <w:r>
        <w:rPr>
          <w:rFonts w:ascii="Barlow Semi Condensed" w:cs="Barlow Semi Condensed" w:eastAsia="Barlow Semi Condensed" w:hAnsi="Barlow Semi Condensed"/>
          <w:b/>
          <w:bCs/>
          <w:sz w:val="24"/>
          <w:szCs w:val="24"/>
        </w:rPr>
        <w:t xml:space="preserve">1953 · L'arco che si potrebbe proporre.</w:t>
      </w:r>
      <w:r>
        <w:rPr>
          <w:rFonts w:ascii="Barlow Semi Condensed" w:cs="Barlow Semi Condensed" w:eastAsia="Barlow Semi Condensed" w:hAnsi="Barlow Semi Condensed"/>
          <w:sz w:val="24"/>
          <w:szCs w:val="24"/>
        </w:rPr>
        <w:t xml:space="preserve"> Proposta con grado dichiarato, da sottoporre a chi tiene il grafo: un arco Moro–Kissinger, fonte il verbale del 25 settembre 1974, grado F come fatto pubblico di un incontro documentato. Conseguenza calcolabile: con un solo arco il nodo sarebbe terminale e la sua intermediazione varrebbe zero, come Superclan, Sit-Siemens o Feltrinelli Editore nella tavola 6-bis. Previsione falsificabile: chi ricalcola Brandes la conferma o la smentisce.</w:t>
      </w:r>
    </w:p>
    <w:p>
      <w:pPr>
        <w:spacing w:after="120" w:line="276"/>
        <w:jc w:val="both"/>
      </w:pPr>
      <w:r>
        <w:rPr>
          <w:rFonts w:ascii="Barlow Semi Condensed" w:cs="Barlow Semi Condensed" w:eastAsia="Barlow Semi Condensed" w:hAnsi="Barlow Semi Condensed"/>
          <w:b/>
          <w:bCs/>
          <w:sz w:val="24"/>
          <w:szCs w:val="24"/>
        </w:rPr>
        <w:t xml:space="preserve">1954 · L'anello debole applicato all'arco nuovo.</w:t>
      </w:r>
      <w:r>
        <w:rPr>
          <w:rFonts w:ascii="Barlow Semi Condensed" w:cs="Barlow Semi Condensed" w:eastAsia="Barlow Semi Condensed" w:hAnsi="Barlow Semi Condensed"/>
          <w:sz w:val="24"/>
          <w:szCs w:val="24"/>
        </w:rPr>
        <w:t xml:space="preserve"> Ammesso l'arco, ogni cammino che da esso raggiungesse via Fani dovrebbe passare per Moro e poi per i nodi del mondo brigatista, e il grado del cammino sarebbe il minimo dei suoi archi. La regola del paragrafo secondo lo vieta come base d'inferenza operativa, esattamente come vieta Hyperion→via Fani, cammino di grado F. La dimostrazione è formale e vale prima ancora che il documento sia letto.</w:t>
      </w:r>
    </w:p>
    <w:p>
      <w:pPr>
        <w:spacing w:after="120" w:line="276"/>
        <w:jc w:val="both"/>
      </w:pPr>
      <w:r>
        <w:rPr>
          <w:rFonts w:ascii="Barlow Semi Condensed" w:cs="Barlow Semi Condensed" w:eastAsia="Barlow Semi Condensed" w:hAnsi="Barlow Semi Condensed"/>
          <w:b/>
          <w:bCs/>
          <w:sz w:val="24"/>
          <w:szCs w:val="24"/>
        </w:rPr>
        <w:t xml:space="preserve">1955 · La regola dei buchi contro la tentazione.</w:t>
      </w:r>
      <w:r>
        <w:rPr>
          <w:rFonts w:ascii="Barlow Semi Condensed" w:cs="Barlow Semi Condensed" w:eastAsia="Barlow Semi Condensed" w:hAnsi="Barlow Semi Condensed"/>
          <w:sz w:val="24"/>
          <w:szCs w:val="24"/>
        </w:rPr>
        <w:t xml:space="preserve"> Burt insegna che il buco è il risultato. Fra il mondo quinto della rete, la dimensione diplomatica della Farnesina, e il mondo secondo, quello brigatista, il grafo non registra alcun arco. L'inesistenza si misura e si dichiara, non si narra. È il punto preciso in cui una campagna territoriale rischia di rifare ciò che la campagna concettuale aveva evitato: riempire con la lettura ciò che manca come documento.</w:t>
      </w:r>
    </w:p>
    <w:p>
      <w:pPr>
        <w:spacing w:after="120" w:line="276"/>
        <w:jc w:val="both"/>
      </w:pPr>
      <w:r>
        <w:rPr>
          <w:rFonts w:ascii="Barlow Semi Condensed" w:cs="Barlow Semi Condensed" w:eastAsia="Barlow Semi Condensed" w:hAnsi="Barlow Semi Condensed"/>
          <w:b/>
          <w:bCs/>
          <w:sz w:val="24"/>
          <w:szCs w:val="24"/>
        </w:rPr>
        <w:t xml:space="preserve">1956 · La Fase terza senza archivi stranieri.</w:t>
      </w:r>
      <w:r>
        <w:rPr>
          <w:rFonts w:ascii="Barlow Semi Condensed" w:cs="Barlow Semi Condensed" w:eastAsia="Barlow Semi Condensed" w:hAnsi="Barlow Semi Condensed"/>
          <w:sz w:val="24"/>
          <w:szCs w:val="24"/>
        </w:rPr>
        <w:t xml:space="preserve"> Sentenze dei cinque processi, relazione della Commissione Moro 2 del 6 dicembre 2017, Ministero dell'Interno per le vittime: sono le fonti che il blocco 301 elenca. Nessun archivio straniero. Stato Zero dichiarato, e le sedi che lo chiuderebbero sono note: NARA, RG 59, Central Foreign Policy Files 1978; Jimmy Carter Library, National Security Affairs staff material; e i telegrammi del Dipartimento di Stato del marzo-maggio 1978.</w:t>
      </w:r>
    </w:p>
    <w:p>
      <w:pPr>
        <w:spacing w:after="120" w:line="276"/>
        <w:jc w:val="both"/>
      </w:pPr>
      <w:r>
        <w:rPr>
          <w:rFonts w:ascii="Barlow Semi Condensed" w:cs="Barlow Semi Condensed" w:eastAsia="Barlow Semi Condensed" w:hAnsi="Barlow Semi Condensed"/>
          <w:b/>
          <w:bCs/>
          <w:sz w:val="24"/>
          <w:szCs w:val="24"/>
        </w:rPr>
        <w:t xml:space="preserve">1957 · La barriera cronologica dei cinquantacinque giorni.</w:t>
      </w:r>
      <w:r>
        <w:rPr>
          <w:rFonts w:ascii="Barlow Semi Condensed" w:cs="Barlow Semi Condensed" w:eastAsia="Barlow Semi Condensed" w:hAnsi="Barlow Semi Condensed"/>
          <w:sz w:val="24"/>
          <w:szCs w:val="24"/>
        </w:rPr>
        <w:t xml:space="preserve"> Kissinger lasciò il Dipartimento di Stato il 20 gennaio 1977 e l'incarico di Assistente per la sicurezza nazionale il 3 novembre 1975. L'intera Fase terza — 16 marzo, 18 aprile, 9 maggio 1978 — cade fuori da entrambi. Regola di lettura che costa nulla e decide molto: chi lo cita per il 1978 deve dire in quale veste, e la risposta documentata è che nessuna veste esisteva.</w:t>
      </w:r>
    </w:p>
    <w:p>
      <w:pPr>
        <w:spacing w:after="120" w:line="276"/>
        <w:jc w:val="both"/>
      </w:pPr>
      <w:r>
        <w:rPr>
          <w:rFonts w:ascii="Barlow Semi Condensed" w:cs="Barlow Semi Condensed" w:eastAsia="Barlow Semi Condensed" w:hAnsi="Barlow Semi Condensed"/>
          <w:b/>
          <w:bCs/>
          <w:sz w:val="24"/>
          <w:szCs w:val="24"/>
        </w:rPr>
        <w:t xml:space="preserve">1958 · Pieczenik non è Kissinger.</w:t>
      </w:r>
      <w:r>
        <w:rPr>
          <w:rFonts w:ascii="Barlow Semi Condensed" w:cs="Barlow Semi Condensed" w:eastAsia="Barlow Semi Condensed" w:hAnsi="Barlow Semi Condensed"/>
          <w:sz w:val="24"/>
          <w:szCs w:val="24"/>
        </w:rPr>
        <w:t xml:space="preserve"> Steve Pieczenik, consulente del Dipartimento di Stato nel comitato di crisi, è registrato al grado B dalla Fase nona, capitolo settantaquattresimo, con le sue dichiarazioni successive tenute al grado C. Nel 1978 il Segretario di Stato era un altro. Il Portale non nomina né l'uno né l'altro; la sovrapposizione fra l'avvertimento del 1974 e la presenza del 1978 è piano 3, e va spezzata ogni volta.</w:t>
      </w:r>
    </w:p>
    <w:p>
      <w:pPr>
        <w:spacing w:after="120" w:line="276"/>
        <w:jc w:val="both"/>
      </w:pPr>
      <w:r>
        <w:rPr>
          <w:rFonts w:ascii="Barlow Semi Condensed" w:cs="Barlow Semi Condensed" w:eastAsia="Barlow Semi Condensed" w:hAnsi="Barlow Semi Condensed"/>
          <w:b/>
          <w:bCs/>
          <w:sz w:val="24"/>
          <w:szCs w:val="24"/>
        </w:rPr>
        <w:t xml:space="preserve">1959 · Capitolo XX e il suo rinvio.</w:t>
      </w:r>
      <w:r>
        <w:rPr>
          <w:rFonts w:ascii="Barlow Semi Condensed" w:cs="Barlow Semi Condensed" w:eastAsia="Barlow Semi Condensed" w:hAnsi="Barlow Semi Condensed"/>
          <w:sz w:val="24"/>
          <w:szCs w:val="24"/>
        </w:rPr>
        <w:t xml:space="preserve"> Al capitolo settantaquattresimo della Fase nona rinvia il Capitolo XX: è l'unico capitolo di quella Fase che nomini Kissinger, attraverso la testimonianza della famiglia, al grado B, con rimando al nodo M-5. Il sommario del Capitolo XX nomina invece i canali del PSI, Pace, Piperno, la lettera di Paolo VI, via Caetani. Quesito editoriale: se il rinvio intendesse portare con sé anche la testimonianza. Il testo non lo dice.</w:t>
      </w:r>
    </w:p>
    <w:p>
      <w:pPr>
        <w:spacing w:after="120" w:line="276"/>
        <w:jc w:val="both"/>
      </w:pPr>
      <w:r>
        <w:rPr>
          <w:rFonts w:ascii="Barlow Semi Condensed" w:cs="Barlow Semi Condensed" w:eastAsia="Barlow Semi Condensed" w:hAnsi="Barlow Semi Condensed"/>
          <w:b/>
          <w:bCs/>
          <w:sz w:val="24"/>
          <w:szCs w:val="24"/>
        </w:rPr>
        <w:t xml:space="preserve">1960 · La testimonianza contestata e il Portale.</w:t>
      </w:r>
      <w:r>
        <w:rPr>
          <w:rFonts w:ascii="Barlow Semi Condensed" w:cs="Barlow Semi Condensed" w:eastAsia="Barlow Semi Condensed" w:hAnsi="Barlow Semi Condensed"/>
          <w:sz w:val="24"/>
          <w:szCs w:val="24"/>
        </w:rPr>
        <w:t xml:space="preserve"> L'accertamento dell'opera è fermo: testimonianza contestata, riferita de relato da Corrado Guerzoni alla Corte d'assise di Roma nel novembre 1982, nome ottenuto in aula e non offerto, data che oscilla fra 1974, 1976 e 1977, sempre smentita dall'interessato. Di tutto questo l'edizione strutturata non porta nulla. Stato Zero editoriale, che si chiuderebbe con una nota di poche righe nel Capitolo XX o nel XXIX.</w:t>
      </w:r>
    </w:p>
    <w:p>
      <w:pPr>
        <w:spacing w:after="120" w:line="276"/>
        <w:jc w:val="both"/>
      </w:pPr>
      <w:r>
        <w:rPr>
          <w:rFonts w:ascii="Barlow Semi Condensed" w:cs="Barlow Semi Condensed" w:eastAsia="Barlow Semi Condensed" w:hAnsi="Barlow Semi Condensed"/>
          <w:b/>
          <w:bCs/>
          <w:sz w:val="24"/>
          <w:szCs w:val="24"/>
        </w:rPr>
        <w:t xml:space="preserve">1961 · La sede parlamentare mancante.</w:t>
      </w:r>
      <w:r>
        <w:rPr>
          <w:rFonts w:ascii="Barlow Semi Condensed" w:cs="Barlow Semi Condensed" w:eastAsia="Barlow Semi Condensed" w:hAnsi="Barlow Semi Condensed"/>
          <w:sz w:val="24"/>
          <w:szCs w:val="24"/>
        </w:rPr>
        <w:t xml:space="preserve"> Nella sezione seconda della bibliografia figurano la relazione della Moro 2 (Doc. XXIII n. 29), gli stenografici con Berio del 28 ottobre 2015, gli atti della prima Commissione Moro, della Commissione Stragi e la relazione di minoranza Mitrokhin del 2006. Non figura l'audizione del 1° agosto 1980. Sede che la chiuderebbe: Archivio storico della Camera, atti della Commissione d'inchiesta sul caso Moro, VIII legislatura, Doc. XXIII.</w:t>
      </w:r>
    </w:p>
    <w:p>
      <w:pPr>
        <w:spacing w:after="120" w:line="276"/>
        <w:jc w:val="both"/>
      </w:pPr>
      <w:r>
        <w:rPr>
          <w:rFonts w:ascii="Barlow Semi Condensed" w:cs="Barlow Semi Condensed" w:eastAsia="Barlow Semi Condensed" w:hAnsi="Barlow Semi Condensed"/>
          <w:b/>
          <w:bCs/>
          <w:sz w:val="24"/>
          <w:szCs w:val="24"/>
        </w:rPr>
        <w:t xml:space="preserve">1962 · I verbali d'udienza assenti.</w:t>
      </w:r>
      <w:r>
        <w:rPr>
          <w:rFonts w:ascii="Barlow Semi Condensed" w:cs="Barlow Semi Condensed" w:eastAsia="Barlow Semi Condensed" w:hAnsi="Barlow Semi Condensed"/>
          <w:sz w:val="24"/>
          <w:szCs w:val="24"/>
        </w:rPr>
        <w:t xml:space="preserve"> Sentenze nell'analisi di Questione Giustizia, Ministero dell'Interno, Braghetti-Tavella, Memoriale Morucci: la sezione quarta cita questo, e nessun verbale d'udienza. Eppure la deposizione del novembre 1982 è l'origine dell'intera questione atlantica. Sedi: Corte d'assise di Roma, fascicoli processuali; e gli atti dei cinque processi digitalizzati, censiti dai nove cantieri, che sarebbero la via meno costosa alla trascrizione integrale.</w:t>
      </w:r>
    </w:p>
    <w:p>
      <w:pPr>
        <w:spacing w:after="120" w:line="276"/>
        <w:jc w:val="both"/>
      </w:pPr>
      <w:r>
        <w:rPr>
          <w:rFonts w:ascii="Barlow Semi Condensed" w:cs="Barlow Semi Condensed" w:eastAsia="Barlow Semi Condensed" w:hAnsi="Barlow Semi Condensed"/>
          <w:b/>
          <w:bCs/>
          <w:sz w:val="24"/>
          <w:szCs w:val="24"/>
        </w:rPr>
        <w:t xml:space="preserve">1963 · Il limite dichiarato di K-5.</w:t>
      </w:r>
      <w:r>
        <w:rPr>
          <w:rFonts w:ascii="Barlow Semi Condensed" w:cs="Barlow Semi Condensed" w:eastAsia="Barlow Semi Condensed" w:hAnsi="Barlow Semi Condensed"/>
          <w:sz w:val="24"/>
          <w:szCs w:val="24"/>
        </w:rPr>
        <w:t xml:space="preserve"> L'apparato Kissinger dichiara il proprio limite: la campagna non ha potuto leggere i primari, l'accesso è risultato bloccato, le precisazioni poggiano su fonti secondarie convergenti. La conseguenza per questa serie va scritta in chiaro: ogni precisazione sull'avvertimento resta da riscontrare sui testi ufficiali. Chi rimprovera al Portale il silenzio deve sapere che il rumore intorno al nome non è a sua volta verificato sui documenti primari.</w:t>
      </w:r>
    </w:p>
    <w:p>
      <w:pPr>
        <w:spacing w:after="120" w:line="276"/>
        <w:jc w:val="both"/>
      </w:pPr>
      <w:r>
        <w:rPr>
          <w:rFonts w:ascii="Barlow Semi Condensed" w:cs="Barlow Semi Condensed" w:eastAsia="Barlow Semi Condensed" w:hAnsi="Barlow Semi Condensed"/>
          <w:b/>
          <w:bCs/>
          <w:sz w:val="24"/>
          <w:szCs w:val="24"/>
        </w:rPr>
        <w:t xml:space="preserve">1964 · Il perimetro negativo del Capitolo XXV.</w:t>
      </w:r>
      <w:r>
        <w:rPr>
          <w:rFonts w:ascii="Barlow Semi Condensed" w:cs="Barlow Semi Condensed" w:eastAsia="Barlow Semi Condensed" w:hAnsi="Barlow Semi Condensed"/>
          <w:sz w:val="24"/>
          <w:szCs w:val="24"/>
        </w:rPr>
        <w:t xml:space="preserve"> Gli Stati Zero del caso stanno nel Capitolo XXV, che rinvia alla cartella Farnesina e alle triangolazioni vuote della prosopografia. Non porta lo Stato Zero della Fase sesta, capitolo cinquantaquattresimo: l'unico luogo del corpus moroteo in cui il nome compaia dentro il registro negativo. È l'omissione più significativa del Portale su questo territorio, e si chiude trascrivendo una riga già scritta altrove nel branch.</w:t>
      </w:r>
    </w:p>
    <w:p>
      <w:pPr>
        <w:spacing w:after="120" w:line="276"/>
        <w:jc w:val="both"/>
      </w:pPr>
      <w:r>
        <w:rPr>
          <w:rFonts w:ascii="Barlow Semi Condensed" w:cs="Barlow Semi Condensed" w:eastAsia="Barlow Semi Condensed" w:hAnsi="Barlow Semi Condensed"/>
          <w:b/>
          <w:bCs/>
          <w:sz w:val="24"/>
          <w:szCs w:val="24"/>
        </w:rPr>
        <w:t xml:space="preserve">1965 · La formula della Fase sesta.</w:t>
      </w:r>
      <w:r>
        <w:rPr>
          <w:rFonts w:ascii="Barlow Semi Condensed" w:cs="Barlow Semi Condensed" w:eastAsia="Barlow Semi Condensed" w:hAnsi="Barlow Semi Condensed"/>
          <w:sz w:val="24"/>
          <w:szCs w:val="24"/>
        </w:rPr>
        <w:t xml:space="preserve"> Fra gli Stati Zero la Fase sesta elenca «il documento che leghi Kissinger-persona, o qualunque apparato straniero nominato, alla catena di comando del delitto». Il trattino conta: separa la persona dall'apparato e dalla dottrina, ed è la formulazione più esatta che il corpus possieda su questa materia. Regola di lettura: dovrebbe migrare nel Portale così com'è, perché ogni parafrasi ne allenta la precisione onomastica.</w:t>
      </w:r>
    </w:p>
    <w:p>
      <w:pPr>
        <w:spacing w:after="120" w:line="276"/>
        <w:jc w:val="both"/>
      </w:pPr>
      <w:r>
        <w:rPr>
          <w:rFonts w:ascii="Barlow Semi Condensed" w:cs="Barlow Semi Condensed" w:eastAsia="Barlow Semi Condensed" w:hAnsi="Barlow Semi Condensed"/>
          <w:b/>
          <w:bCs/>
          <w:sz w:val="24"/>
          <w:szCs w:val="24"/>
        </w:rPr>
        <w:t xml:space="preserve">1966 · Che cosa chiuderebbe quello Stato Zero.</w:t>
      </w:r>
      <w:r>
        <w:rPr>
          <w:rFonts w:ascii="Barlow Semi Condensed" w:cs="Barlow Semi Condensed" w:eastAsia="Barlow Semi Condensed" w:hAnsi="Barlow Semi Condensed"/>
          <w:sz w:val="24"/>
          <w:szCs w:val="24"/>
        </w:rPr>
        <w:t xml:space="preserve"> Un documento di provenienza che nomini la controparte: atto, telegramma, appunto o verbale, prodotto da un ufficio identificabile, datato, che leghi un mittente statunitense a un destinatario italiano in relazione operativa sul caso. Sedi da interrogare: NARA, RG 59 e RG 263; Jimmy Carter Library; CIA FOIA Electronic Reading Room; e sul versante italiano gli archivi resi accessibili dalla Direttiva del 2014, richiamata dalle ricognizioni del branch.</w:t>
      </w:r>
    </w:p>
    <w:p>
      <w:pPr>
        <w:spacing w:after="120" w:line="276"/>
        <w:jc w:val="both"/>
      </w:pPr>
      <w:r>
        <w:rPr>
          <w:rFonts w:ascii="Barlow Semi Condensed" w:cs="Barlow Semi Condensed" w:eastAsia="Barlow Semi Condensed" w:hAnsi="Barlow Semi Condensed"/>
          <w:b/>
          <w:bCs/>
          <w:sz w:val="24"/>
          <w:szCs w:val="24"/>
        </w:rPr>
        <w:t xml:space="preserve">1967 · Lo Stato Zero come acquisizione.</w:t>
      </w:r>
      <w:r>
        <w:rPr>
          <w:rFonts w:ascii="Barlow Semi Condensed" w:cs="Barlow Semi Condensed" w:eastAsia="Barlow Semi Condensed" w:hAnsi="Barlow Semi Condensed"/>
          <w:sz w:val="24"/>
          <w:szCs w:val="24"/>
        </w:rPr>
        <w:t xml:space="preserve"> «L'assenza documentata, che è un risultato e non un vuoto»: così il blocco mirato numero tre definisce lo Stato Zero. Applicato a questo nome, significa che quarant'anni di ricerche chiuse in negativo sono conoscenza, e che questa serie produce in prevalenza Stati Zero perché quello è l'esito corretto. Chi li leggesse come promessa di rivelazione futura avrebbe scambiato un grado per un'attesa, ed è l'errore che l'edizione vieta.</w:t>
      </w:r>
    </w:p>
    <w:p>
      <w:pPr>
        <w:spacing w:after="120" w:line="276"/>
        <w:jc w:val="both"/>
      </w:pPr>
      <w:r>
        <w:rPr>
          <w:rFonts w:ascii="Barlow Semi Condensed" w:cs="Barlow Semi Condensed" w:eastAsia="Barlow Semi Condensed" w:hAnsi="Barlow Semi Condensed"/>
          <w:b/>
          <w:bCs/>
          <w:sz w:val="24"/>
          <w:szCs w:val="24"/>
        </w:rPr>
        <w:t xml:space="preserve">1968 · Il divieto scritto nel blocco quattro.</w:t>
      </w:r>
      <w:r>
        <w:rPr>
          <w:rFonts w:ascii="Barlow Semi Condensed" w:cs="Barlow Semi Condensed" w:eastAsia="Barlow Semi Condensed" w:hAnsi="Barlow Semi Condensed"/>
          <w:sz w:val="24"/>
          <w:szCs w:val="24"/>
        </w:rPr>
        <w:t xml:space="preserve"> «L'appartenenza non è condotta; la parentela non è canale; la contemporaneità non è nesso»: la regola personalistica copre da sola i due errori più frequenti su questo nome. Che fosse Segretario di Stato durante i mandati di Moro non prova relazione; che appartenesse a una scuola realista non prova atto. Il Portale ha già scritto la regola: questa serie non fa che applicarla al proprio territorio.</w:t>
      </w:r>
    </w:p>
    <w:p>
      <w:pPr>
        <w:spacing w:after="120" w:line="276"/>
        <w:jc w:val="both"/>
      </w:pPr>
      <w:r>
        <w:rPr>
          <w:rFonts w:ascii="Barlow Semi Condensed" w:cs="Barlow Semi Condensed" w:eastAsia="Barlow Semi Condensed" w:hAnsi="Barlow Semi Condensed"/>
          <w:b/>
          <w:bCs/>
          <w:sz w:val="24"/>
          <w:szCs w:val="24"/>
        </w:rPr>
        <w:t xml:space="preserve">1969 · I nodi HY e l'asse mancante.</w:t>
      </w:r>
      <w:r>
        <w:rPr>
          <w:rFonts w:ascii="Barlow Semi Condensed" w:cs="Barlow Semi Condensed" w:eastAsia="Barlow Semi Condensed" w:hAnsi="Barlow Semi Condensed"/>
          <w:sz w:val="24"/>
          <w:szCs w:val="24"/>
        </w:rPr>
        <w:t xml:space="preserve"> Nove nodi con indirizzo, HY-1…HY-9, il blocco 401 assegna a Hyperion; all'asse atlantico nessuna numerazione equivalente. Proposta con costo dichiarato, minimo perché il materiale esiste già: adottare l'Apparato K, K-1…K-5, come apparato con indirizzo dell'asse atlantico, esattamente come HY serve per il nodo parigino. Senza numerazione, ogni verifica futura ripartirà da capo e le sedi andranno ricensite una seconda volta.</w:t>
      </w:r>
    </w:p>
    <w:p>
      <w:pPr>
        <w:spacing w:after="120" w:line="276"/>
        <w:jc w:val="both"/>
      </w:pPr>
      <w:r>
        <w:rPr>
          <w:rFonts w:ascii="Barlow Semi Condensed" w:cs="Barlow Semi Condensed" w:eastAsia="Barlow Semi Condensed" w:hAnsi="Barlow Semi Condensed"/>
          <w:b/>
          <w:bCs/>
          <w:sz w:val="24"/>
          <w:szCs w:val="24"/>
        </w:rPr>
        <w:t xml:space="preserve">1970 · L'asimmetria del confine del metodo.</w:t>
      </w:r>
      <w:r>
        <w:rPr>
          <w:rFonts w:ascii="Barlow Semi Condensed" w:cs="Barlow Semi Condensed" w:eastAsia="Barlow Semi Condensed" w:hAnsi="Barlow Semi Condensed"/>
          <w:sz w:val="24"/>
          <w:szCs w:val="24"/>
        </w:rPr>
        <w:t xml:space="preserve"> Come caso di scuola il Capitolo XXVI indica «il quadro internazionale (Hyperion) con il suo esito liberatorio». L'edizione identifica così il quadro internazionale con un nodo franco-italiano e lascia fuori dall'esempio l'asse atlantico. È osservazione di struttura e non d'intenzione: un portale sceglie un esempio, non tutti. Ma l'esempio scelto orienta il lettore, e va segnalato che ne esiste un secondo, altrettanto istruttivo.</w:t>
      </w:r>
    </w:p>
    <w:p>
      <w:pPr>
        <w:spacing w:after="120" w:line="276"/>
        <w:jc w:val="both"/>
      </w:pPr>
      <w:r>
        <w:rPr>
          <w:rFonts w:ascii="Barlow Semi Condensed" w:cs="Barlow Semi Condensed" w:eastAsia="Barlow Semi Condensed" w:hAnsi="Barlow Semi Condensed"/>
          <w:b/>
          <w:bCs/>
          <w:sz w:val="24"/>
          <w:szCs w:val="24"/>
        </w:rPr>
        <w:t xml:space="preserve">1971 · Il caso di scuola alternativo.</w:t>
      </w:r>
      <w:r>
        <w:rPr>
          <w:rFonts w:ascii="Barlow Semi Condensed" w:cs="Barlow Semi Condensed" w:eastAsia="Barlow Semi Condensed" w:hAnsi="Barlow Semi Condensed"/>
          <w:sz w:val="24"/>
          <w:szCs w:val="24"/>
        </w:rPr>
        <w:t xml:space="preserve"> Più di Hyperion insegna il documento 180 del volume XLI, perché l'esito negativo vi è scritto da chi avrebbe potuto decidere altrimenti: nessuna reale giustificazione per riprendere il finanziamento coperto. Un documento che registra una rinuncia è l'antidoto più forte all'inferenza retrospettiva. Bersaglio: spogliare l'intera serie dei verbali del Comitato dei 303 per il 1969-1972, e dichiarare quanti registrino rinunce e quanti autorizzazioni.</w:t>
      </w:r>
    </w:p>
    <w:p>
      <w:pPr>
        <w:spacing w:after="120" w:line="276"/>
        <w:jc w:val="both"/>
      </w:pPr>
      <w:r>
        <w:rPr>
          <w:rFonts w:ascii="Barlow Semi Condensed" w:cs="Barlow Semi Condensed" w:eastAsia="Barlow Semi Condensed" w:hAnsi="Barlow Semi Condensed"/>
          <w:b/>
          <w:bCs/>
          <w:sz w:val="24"/>
          <w:szCs w:val="24"/>
        </w:rPr>
        <w:t xml:space="preserve">1972 · La consilienza e il suo guardrail (serie XXVI).</w:t>
      </w:r>
      <w:r>
        <w:rPr>
          <w:rFonts w:ascii="Barlow Semi Condensed" w:cs="Barlow Semi Condensed" w:eastAsia="Barlow Semi Condensed" w:hAnsi="Barlow Semi Condensed"/>
          <w:sz w:val="24"/>
          <w:szCs w:val="24"/>
        </w:rPr>
        <w:t xml:space="preserve"> Adottata col proprio guardrail nel Capitolo II-bis, la consilienza mostra qui il suo limite: tre linee apparentemente indipendenti — i FRUS, la testimonianza, la pubblicistica — convergono su un'ostilità, ma la terza discende per intero da un unico lancio d'agenzia del 30 novembre 2023 e non è una linea. La consilienza esige indipendenza delle vie: dichiarata l'assenza di indipendenza, la convergenza non produce alcun rafforzamento.</w:t>
      </w:r>
    </w:p>
    <w:p>
      <w:pPr>
        <w:spacing w:after="120" w:line="276"/>
        <w:jc w:val="both"/>
      </w:pPr>
      <w:r>
        <w:rPr>
          <w:rFonts w:ascii="Barlow Semi Condensed" w:cs="Barlow Semi Condensed" w:eastAsia="Barlow Semi Condensed" w:hAnsi="Barlow Semi Condensed"/>
          <w:b/>
          <w:bCs/>
          <w:sz w:val="24"/>
          <w:szCs w:val="24"/>
        </w:rPr>
        <w:t xml:space="preserve">1973 · La quinta voce della griglia.</w:t>
      </w:r>
      <w:r>
        <w:rPr>
          <w:rFonts w:ascii="Barlow Semi Condensed" w:cs="Barlow Semi Condensed" w:eastAsia="Barlow Semi Condensed" w:hAnsi="Barlow Semi Condensed"/>
          <w:sz w:val="24"/>
          <w:szCs w:val="24"/>
        </w:rPr>
        <w:t xml:space="preserve"> Una quinta voce ai gradi è stata proposta dalla seconda campagna della Farnesina: effetto convergente da causa comune, due esiti simultanei che discendono provatamente dallo stesso evento e non l'uno dall'altro. È la categoria da usare per prima su questo territorio: l'ostilità atlantica e l'ostilità brigatista alla solidarietà nazionale sono due effetti dello stesso ingresso del PCI nell'area di governo, non l'uno la causa dell'altro.</w:t>
      </w:r>
    </w:p>
    <w:p>
      <w:pPr>
        <w:spacing w:after="120" w:line="276"/>
        <w:jc w:val="both"/>
      </w:pPr>
      <w:r>
        <w:rPr>
          <w:rFonts w:ascii="Barlow Semi Condensed" w:cs="Barlow Semi Condensed" w:eastAsia="Barlow Semi Condensed" w:hAnsi="Barlow Semi Condensed"/>
          <w:b/>
          <w:bCs/>
          <w:sz w:val="24"/>
          <w:szCs w:val="24"/>
        </w:rPr>
        <w:t xml:space="preserve">1974 · Fase quinta: il registro dei tredici.</w:t>
      </w:r>
      <w:r>
        <w:rPr>
          <w:rFonts w:ascii="Barlow Semi Condensed" w:cs="Barlow Semi Condensed" w:eastAsia="Barlow Semi Condensed" w:hAnsi="Barlow Semi Condensed"/>
          <w:sz w:val="24"/>
          <w:szCs w:val="24"/>
        </w:rPr>
        <w:t xml:space="preserve"> Tredici nomi, ciascuno con la propria sentenza, elenca il Capitolo XXVII, e il Capitolo XXX ne segue due oltre confine. Nessun nome vi si aggiunge per congettura. Applicato: questo nome non può entrare nella Fase quinta ad alcun livello, e non per discrezione editoriale ma perché non esiste giudicato e non esistette imputazione in alcun Paese. Il corpus si ferma dove si ferma il giudicato.</w:t>
      </w:r>
    </w:p>
    <w:p>
      <w:pPr>
        <w:spacing w:after="120" w:line="276"/>
        <w:jc w:val="both"/>
      </w:pPr>
      <w:r>
        <w:rPr>
          <w:rFonts w:ascii="Barlow Semi Condensed" w:cs="Barlow Semi Condensed" w:eastAsia="Barlow Semi Condensed" w:hAnsi="Barlow Semi Condensed"/>
          <w:b/>
          <w:bCs/>
          <w:sz w:val="24"/>
          <w:szCs w:val="24"/>
        </w:rPr>
        <w:t xml:space="preserve">1975 · Il Capitolo XXVIII, letto alla lettera.</w:t>
      </w:r>
      <w:r>
        <w:rPr>
          <w:rFonts w:ascii="Barlow Semi Condensed" w:cs="Barlow Semi Condensed" w:eastAsia="Barlow Semi Condensed" w:hAnsi="Barlow Semi Condensed"/>
          <w:sz w:val="24"/>
          <w:szCs w:val="24"/>
        </w:rPr>
        <w:t xml:space="preserve"> «Oltre il giudicato: nessun mandante è accertato, e il corpus non ne nomina.» La clausola è la garanzia più forte che il Portale offra su questo territorio, perché vieta il nome prima che qualcuno lo proponga. Regola di lettura che ne discende: il silenzio dell'edizione su questo nome non è omissione da colmare, è esecuzione puntuale del proprio statuto, e va citato come tale da chi lo interroghi.</w:t>
      </w:r>
    </w:p>
    <w:p>
      <w:pPr>
        <w:spacing w:after="120" w:line="276"/>
        <w:jc w:val="both"/>
      </w:pPr>
      <w:r>
        <w:rPr>
          <w:rFonts w:ascii="Barlow Semi Condensed" w:cs="Barlow Semi Condensed" w:eastAsia="Barlow Semi Condensed" w:hAnsi="Barlow Semi Condensed"/>
          <w:b/>
          <w:bCs/>
          <w:sz w:val="24"/>
          <w:szCs w:val="24"/>
        </w:rPr>
        <w:t xml:space="preserve">1976 · Capitolo XXIX, divergenza di grado.</w:t>
      </w:r>
      <w:r>
        <w:rPr>
          <w:rFonts w:ascii="Barlow Semi Condensed" w:cs="Barlow Semi Condensed" w:eastAsia="Barlow Semi Condensed" w:hAnsi="Barlow Semi Condensed"/>
          <w:sz w:val="24"/>
          <w:szCs w:val="24"/>
        </w:rPr>
        <w:t xml:space="preserve"> Tre testi del medesimo corpus gradano diversamente gli stessi materiali: il Capitolo XXIX dice il quadro internazionale «documentato per fatti singoli (B) e vuoto di nessi provati»; la Parte terza, capitolo nono, lo dice «accertato (A) come contesto»; il blocco 1053 tiene i desecretati a tetto B. La divergenza si riporta e non si scioglie in silenzio: la sede che la scioglierebbe è l'apparato dei gradi.</w:t>
      </w:r>
    </w:p>
    <w:p>
      <w:pPr>
        <w:spacing w:after="120" w:line="276"/>
        <w:jc w:val="both"/>
      </w:pPr>
      <w:r>
        <w:rPr>
          <w:rFonts w:ascii="Barlow Semi Condensed" w:cs="Barlow Semi Condensed" w:eastAsia="Barlow Semi Condensed" w:hAnsi="Barlow Semi Condensed"/>
          <w:b/>
          <w:bCs/>
          <w:sz w:val="24"/>
          <w:szCs w:val="24"/>
        </w:rPr>
        <w:t xml:space="preserve">1977 · Il salto vietato, in forma pura.</w:t>
      </w:r>
      <w:r>
        <w:rPr>
          <w:rFonts w:ascii="Barlow Semi Condensed" w:cs="Barlow Semi Condensed" w:eastAsia="Barlow Semi Condensed" w:hAnsi="Barlow Semi Condensed"/>
          <w:sz w:val="24"/>
          <w:szCs w:val="24"/>
        </w:rPr>
        <w:t xml:space="preserve"> Scrive la Parte terza che gli archi documentati sono statali e verticali — Cile, Angola, i fondi ai servizi italiani — mentre verso l'eversione privata restano convergenze di cornice, e ne trae la formula: «la prossimità di un nemico non è il suo mandato». È la riga più concisa del corpus su questa materia, e l'edizione strutturata non la porta in alcun capitolo. Bersaglio editoriale di una sola citazione.</w:t>
      </w:r>
    </w:p>
    <w:p>
      <w:pPr>
        <w:spacing w:after="120" w:line="276"/>
        <w:jc w:val="both"/>
      </w:pPr>
      <w:r>
        <w:rPr>
          <w:rFonts w:ascii="Barlow Semi Condensed" w:cs="Barlow Semi Condensed" w:eastAsia="Barlow Semi Condensed" w:hAnsi="Barlow Semi Condensed"/>
          <w:b/>
          <w:bCs/>
          <w:sz w:val="24"/>
          <w:szCs w:val="24"/>
        </w:rPr>
        <w:t xml:space="preserve">1978 · Angola e Cile, archi senza indirizzo.</w:t>
      </w:r>
      <w:r>
        <w:rPr>
          <w:rFonts w:ascii="Barlow Semi Condensed" w:cs="Barlow Semi Condensed" w:eastAsia="Barlow Semi Condensed" w:hAnsi="Barlow Semi Condensed"/>
          <w:sz w:val="24"/>
          <w:szCs w:val="24"/>
        </w:rPr>
        <w:t xml:space="preserve"> I due archi statali che la Parte terza nomina non hanno, nel branch, indirizzo d'archivio: nessun documento è citato per l'Angola, e per il Cile il rinvio è alla verifica «su fonti primarie» senza elenco. Bersaglio: dotarli di segnatura o declassarli a rinvio bibliografico. Sedi: per il Cile la relazione della Commissione Church del 1975 e il rapporto CIA del 18 settembre 2000; per l'Angola i volumi FRUS sull'Africa australe.</w:t>
      </w:r>
    </w:p>
    <w:p>
      <w:pPr>
        <w:spacing w:after="120" w:line="276"/>
        <w:jc w:val="both"/>
      </w:pPr>
      <w:r>
        <w:rPr>
          <w:rFonts w:ascii="Barlow Semi Condensed" w:cs="Barlow Semi Condensed" w:eastAsia="Barlow Semi Condensed" w:hAnsi="Barlow Semi Condensed"/>
          <w:b/>
          <w:bCs/>
          <w:sz w:val="24"/>
          <w:szCs w:val="24"/>
        </w:rPr>
        <w:t xml:space="preserve">1979 · La frontiera e ciò che non attraversa.</w:t>
      </w:r>
      <w:r>
        <w:rPr>
          <w:rFonts w:ascii="Barlow Semi Condensed" w:cs="Barlow Semi Condensed" w:eastAsia="Barlow Semi Condensed" w:hAnsi="Barlow Semi Condensed"/>
          <w:sz w:val="24"/>
          <w:szCs w:val="24"/>
        </w:rPr>
        <w:t xml:space="preserve"> Sull'esecuzione dei giudicati lavora il capitolo delle pene oltre confine: Casimirri, Lojacono, l'affaire Mulinaris, la dottrina Mitterrand del 21 aprile 1985, il no della Cassazione francese del 2023. Nessuno dei suoi cinque presidi tocca questo nome, perché non esiste sentenza da eseguire. La distinzione da scrivere una volta e per sempre: la richiesta di sentire un teste all'estero non è esecuzione di un giudicato oltre frontiera.</w:t>
      </w:r>
    </w:p>
    <w:p>
      <w:pPr>
        <w:spacing w:after="120" w:line="276"/>
        <w:jc w:val="both"/>
      </w:pPr>
      <w:r>
        <w:rPr>
          <w:rFonts w:ascii="Barlow Semi Condensed" w:cs="Barlow Semi Condensed" w:eastAsia="Barlow Semi Condensed" w:hAnsi="Barlow Semi Condensed"/>
          <w:b/>
          <w:bCs/>
          <w:sz w:val="24"/>
          <w:szCs w:val="24"/>
        </w:rPr>
        <w:t xml:space="preserve">1980 · La richiesta del 1983, mai seguita.</w:t>
      </w:r>
      <w:r>
        <w:rPr>
          <w:rFonts w:ascii="Barlow Semi Condensed" w:cs="Barlow Semi Condensed" w:eastAsia="Barlow Semi Condensed" w:hAnsi="Barlow Semi Condensed"/>
          <w:sz w:val="24"/>
          <w:szCs w:val="24"/>
        </w:rPr>
        <w:t xml:space="preserve"> L'apparato K registra che la richiesta informale dei magistrati italiani di sentirlo non ebbe seguito e che egli non fu mai sentito dai magistrati italiani. Quesito da portare in archivio, e che il Capitolo XXX potrebbe ospitare: se una rogatoria formale sia mai stata inoltrata, con quale data e quale esito. Sedi: Procura della Repubblica di Roma, fascicoli del caso Moro; e i registri delle rogatorie del Ministero della giustizia.</w:t>
      </w:r>
    </w:p>
    <w:p>
      <w:pPr>
        <w:spacing w:after="120" w:line="276"/>
        <w:jc w:val="both"/>
      </w:pPr>
      <w:r>
        <w:rPr>
          <w:rFonts w:ascii="Barlow Semi Condensed" w:cs="Barlow Semi Condensed" w:eastAsia="Barlow Semi Condensed" w:hAnsi="Barlow Semi Condensed"/>
          <w:b/>
          <w:bCs/>
          <w:sz w:val="24"/>
          <w:szCs w:val="24"/>
        </w:rPr>
        <w:t xml:space="preserve">1981 · Sopra la linea del congedo.</w:t>
      </w:r>
      <w:r>
        <w:rPr>
          <w:rFonts w:ascii="Barlow Semi Condensed" w:cs="Barlow Semi Condensed" w:eastAsia="Barlow Semi Condensed" w:hAnsi="Barlow Semi Condensed"/>
          <w:sz w:val="24"/>
          <w:szCs w:val="24"/>
        </w:rPr>
        <w:t xml:space="preserve"> Una linea traccia il Capitolo XXXI: sotto, tredici nomi scritti dai giudici e sei vittime scritte per prime; sopra, «domande censite col loro grado e i criteri per chiuderle». Questo nome sta sopra la linea, fra le domande — ma per starvi dev'essere scritto fra le domande censite, e oggi non è scritto né sopra né sotto. È esattamente ciò che questa serie verbalizza, e nulla di più.</w:t>
      </w:r>
    </w:p>
    <w:p>
      <w:pPr>
        <w:spacing w:after="120" w:line="276"/>
        <w:jc w:val="both"/>
      </w:pPr>
      <w:r>
        <w:rPr>
          <w:rFonts w:ascii="Barlow Semi Condensed" w:cs="Barlow Semi Condensed" w:eastAsia="Barlow Semi Condensed" w:hAnsi="Barlow Semi Condensed"/>
          <w:b/>
          <w:bCs/>
          <w:sz w:val="24"/>
          <w:szCs w:val="24"/>
        </w:rPr>
        <w:t xml:space="preserve">1982 · La divergenza costitutiva e questo nome.</w:t>
      </w:r>
      <w:r>
        <w:rPr>
          <w:rFonts w:ascii="Barlow Semi Condensed" w:cs="Barlow Semi Condensed" w:eastAsia="Barlow Semi Condensed" w:hAnsi="Barlow Semi Condensed"/>
          <w:sz w:val="24"/>
          <w:szCs w:val="24"/>
        </w:rPr>
        <w:t xml:space="preserve"> Dichiara l'edizione che la Fase quinta del Dossier maggiore adotta il giudizio probabilistico fino alla graduatoria, e che il branch pubblico non la riproduce. Resta ignoto, perché il Dossier non è archiviato qui, se quella graduatoria contenga questo nome e a quale livello. Stato Zero dichiarato con la sua sede: il Dossier dell'autore, che per statuto esplicito non è pubblicato su questo versante.</w:t>
      </w:r>
    </w:p>
    <w:p>
      <w:pPr>
        <w:spacing w:after="120" w:line="276"/>
        <w:jc w:val="both"/>
      </w:pPr>
      <w:r>
        <w:rPr>
          <w:rFonts w:ascii="Barlow Semi Condensed" w:cs="Barlow Semi Condensed" w:eastAsia="Barlow Semi Condensed" w:hAnsi="Barlow Semi Condensed"/>
          <w:b/>
          <w:bCs/>
          <w:sz w:val="24"/>
          <w:szCs w:val="24"/>
        </w:rPr>
        <w:t xml:space="preserve">1983 · Il blocco 1303 e l'illeggibile.</w:t>
      </w:r>
      <w:r>
        <w:rPr>
          <w:rFonts w:ascii="Barlow Semi Condensed" w:cs="Barlow Semi Condensed" w:eastAsia="Barlow Semi Condensed" w:hAnsi="Barlow Semi Condensed"/>
          <w:sz w:val="24"/>
          <w:szCs w:val="24"/>
        </w:rPr>
        <w:t xml:space="preserve"> Registra la tavola di corrispondenza che i capitoli quarantacinquesimo-quarantanovesimo del Dossier maggiore non sono riprodotti sul branch. Il lettore pubblico non può quindi verificare se l'asse atlantico vi compaia. Vale la regola più elementare dell'onestà filologica: non si commenta un testo che non si è letto, e l'indisponibilità del testo si dichiara come limite di questa serie, non come indizio del suo contenuto.</w:t>
      </w:r>
    </w:p>
    <w:p>
      <w:pPr>
        <w:spacing w:after="120" w:line="276"/>
        <w:jc w:val="both"/>
      </w:pPr>
      <w:r>
        <w:rPr>
          <w:rFonts w:ascii="Barlow Semi Condensed" w:cs="Barlow Semi Condensed" w:eastAsia="Barlow Semi Condensed" w:hAnsi="Barlow Semi Condensed"/>
          <w:b/>
          <w:bCs/>
          <w:sz w:val="24"/>
          <w:szCs w:val="24"/>
        </w:rPr>
        <w:t xml:space="preserve">1984 · Il registro e la data assente.</w:t>
      </w:r>
      <w:r>
        <w:rPr>
          <w:rFonts w:ascii="Barlow Semi Condensed" w:cs="Barlow Semi Condensed" w:eastAsia="Barlow Semi Condensed" w:hAnsi="Barlow Semi Condensed"/>
          <w:sz w:val="24"/>
          <w:szCs w:val="24"/>
        </w:rPr>
        <w:t xml:space="preserve"> Dei dodici blocchi cronologici, dal 23 settembre 1916 al 6 dicembre 2017, nessuno reca il 25 settembre 1974, benché la data cada dentro l'arco del blocco 804 e sia la meglio documentata dell'intero versante atlantico. Bersaglio con costo minimo: valutarne l'inserimento come fatto pubblico, con la segnatura Ford Library 1552802, oppure dichiarare che il registro esclude per criterio gli atti di parte straniera.</w:t>
      </w:r>
    </w:p>
    <w:p>
      <w:pPr>
        <w:spacing w:after="120" w:line="276"/>
        <w:jc w:val="both"/>
      </w:pPr>
      <w:r>
        <w:rPr>
          <w:rFonts w:ascii="Barlow Semi Condensed" w:cs="Barlow Semi Condensed" w:eastAsia="Barlow Semi Condensed" w:hAnsi="Barlow Semi Condensed"/>
          <w:b/>
          <w:bCs/>
          <w:sz w:val="24"/>
          <w:szCs w:val="24"/>
        </w:rPr>
        <w:t xml:space="preserve">1985 · La clausola che salva il registro.</w:t>
      </w:r>
      <w:r>
        <w:rPr>
          <w:rFonts w:ascii="Barlow Semi Condensed" w:cs="Barlow Semi Condensed" w:eastAsia="Barlow Semi Condensed" w:hAnsi="Barlow Semi Condensed"/>
          <w:sz w:val="24"/>
          <w:szCs w:val="24"/>
        </w:rPr>
        <w:t xml:space="preserve"> «Il registro non stabilisce alcun nesso fra le date che elenca.» È la clausola che rende usabile la cronologia, perché impedisce di leggere 804 e 807 come una sequenza causale. Regola di lettura vincolante per chiunque volesse ampliare il registro: chi vi aggiungesse il 25 settembre 1974 dovrebbe conservare la clausola intatta, pena la trasformazione di un elenco neutro in un argomento travestito da cronologia.</w:t>
      </w:r>
    </w:p>
    <w:p>
      <w:pPr>
        <w:spacing w:after="120" w:line="276"/>
        <w:jc w:val="both"/>
      </w:pPr>
      <w:r>
        <w:rPr>
          <w:rFonts w:ascii="Barlow Semi Condensed" w:cs="Barlow Semi Condensed" w:eastAsia="Barlow Semi Condensed" w:hAnsi="Barlow Semi Condensed"/>
          <w:b/>
          <w:bCs/>
          <w:sz w:val="24"/>
          <w:szCs w:val="24"/>
        </w:rPr>
        <w:t xml:space="preserve">1986 · La pubblicistica e il tetto C.</w:t>
      </w:r>
      <w:r>
        <w:rPr>
          <w:rFonts w:ascii="Barlow Semi Condensed" w:cs="Barlow Semi Condensed" w:eastAsia="Barlow Semi Condensed" w:hAnsi="Barlow Semi Condensed"/>
          <w:sz w:val="24"/>
          <w:szCs w:val="24"/>
        </w:rPr>
        <w:t xml:space="preserve"> Indizio di piste e mai fonte di accertamento, con tetto C: così il blocco 1056 tratta la pubblicistica. Applicato, l'intera circolazione sull'avvertimento — che discende da un unico lancio d'agenzia del 30 novembre 2023 e da un rilancio internazionale del 1982 di orientamento cospirazionista — resta a C e non sale per numero di riprese. Il Portale possiede già la regola che dissolve la moltiplicazione apparente delle fonti.</w:t>
      </w:r>
    </w:p>
    <w:p>
      <w:pPr>
        <w:spacing w:after="120" w:line="276"/>
        <w:jc w:val="both"/>
      </w:pPr>
      <w:r>
        <w:rPr>
          <w:rFonts w:ascii="Barlow Semi Condensed" w:cs="Barlow Semi Condensed" w:eastAsia="Barlow Semi Condensed" w:hAnsi="Barlow Semi Condensed"/>
          <w:b/>
          <w:bCs/>
          <w:sz w:val="24"/>
          <w:szCs w:val="24"/>
        </w:rPr>
        <w:t xml:space="preserve">1987 · La memorialistica e le smentite italiane.</w:t>
      </w:r>
      <w:r>
        <w:rPr>
          <w:rFonts w:ascii="Barlow Semi Condensed" w:cs="Barlow Semi Condensed" w:eastAsia="Barlow Semi Condensed" w:hAnsi="Barlow Semi Condensed"/>
          <w:sz w:val="24"/>
          <w:szCs w:val="24"/>
        </w:rPr>
        <w:t xml:space="preserve"> A tetto C, salvo riscontri, il blocco 1055 pone la memorialistica delle parti. Vi ricadono le due smentite italiane qualificate: «una leggenda che non ha fondamento» e «solo un problema di linguaggio». Nessuno dei due dichiaranti era presente al colloquio riservato. Si riportano entrambe, con la loro divergenza interna — lo stesso testimone descrisse altrove un confronto durissimo — e nessuna si preferisce all'altra in silenzio.</w:t>
      </w:r>
    </w:p>
    <w:p>
      <w:pPr>
        <w:spacing w:after="120" w:line="276"/>
        <w:jc w:val="both"/>
      </w:pPr>
      <w:r>
        <w:rPr>
          <w:rFonts w:ascii="Barlow Semi Condensed" w:cs="Barlow Semi Condensed" w:eastAsia="Barlow Semi Condensed" w:hAnsi="Barlow Semi Condensed"/>
          <w:b/>
          <w:bCs/>
          <w:sz w:val="24"/>
          <w:szCs w:val="24"/>
        </w:rPr>
        <w:t xml:space="preserve">1988 · Il dato materiale sull'interprete.</w:t>
      </w:r>
      <w:r>
        <w:rPr>
          <w:rFonts w:ascii="Barlow Semi Condensed" w:cs="Barlow Semi Condensed" w:eastAsia="Barlow Semi Condensed" w:hAnsi="Barlow Semi Condensed"/>
          <w:sz w:val="24"/>
          <w:szCs w:val="24"/>
        </w:rPr>
        <w:t xml:space="preserve"> Una delle smentite poggia su un fatto materiale e non su un giudizio: Moro non parlava inglese, e l'episodio sarebbe stato verificato allora con l'interprete. Se accertato, il fatto tocca la plausibilità di uno scambio verbale diretto. Bersaglio con sede: l'elenco degli interpreti della visita del settembre 1974, nei memoranda della Ford Library e nella serie del cerimoniale dell'Archivio storico-diplomatico della Farnesina.</w:t>
      </w:r>
    </w:p>
    <w:p>
      <w:pPr>
        <w:spacing w:after="120" w:line="276"/>
        <w:jc w:val="both"/>
      </w:pPr>
      <w:r>
        <w:rPr>
          <w:rFonts w:ascii="Barlow Semi Condensed" w:cs="Barlow Semi Condensed" w:eastAsia="Barlow Semi Condensed" w:hAnsi="Barlow Semi Condensed"/>
          <w:b/>
          <w:bCs/>
          <w:sz w:val="24"/>
          <w:szCs w:val="24"/>
        </w:rPr>
        <w:t xml:space="preserve">1989 · La divergenza sulle date della visita.</w:t>
      </w:r>
      <w:r>
        <w:rPr>
          <w:rFonts w:ascii="Barlow Semi Condensed" w:cs="Barlow Semi Condensed" w:eastAsia="Barlow Semi Condensed" w:hAnsi="Barlow Semi Condensed"/>
          <w:sz w:val="24"/>
          <w:szCs w:val="24"/>
        </w:rPr>
        <w:t xml:space="preserve"> Gli atti presidenziali datano la visita di Stato 25-29 settembre 1974; la nota editoriale del volume FRUS indica 25-27. Divergenza riportata e non risolta. Conta perché le versioni dell'episodio lo collocano allo Studio Ovale, al Dipartimento, a una cena ufficiale, all'ambasciata italiana: il perimetro esatto della visita delimita quali di queste sedi fossero materialmente possibili, e in quali giorni, prima ancora di discuterne il contenuto.</w:t>
      </w:r>
    </w:p>
    <w:p>
      <w:pPr>
        <w:spacing w:after="120" w:line="276"/>
        <w:jc w:val="both"/>
      </w:pPr>
      <w:r>
        <w:rPr>
          <w:rFonts w:ascii="Barlow Semi Condensed" w:cs="Barlow Semi Condensed" w:eastAsia="Barlow Semi Condensed" w:hAnsi="Barlow Semi Condensed"/>
          <w:b/>
          <w:bCs/>
          <w:sz w:val="24"/>
          <w:szCs w:val="24"/>
        </w:rPr>
        <w:t xml:space="preserve">1990 · La tavola e l'opera mancante.</w:t>
      </w:r>
      <w:r>
        <w:rPr>
          <w:rFonts w:ascii="Barlow Semi Condensed" w:cs="Barlow Semi Condensed" w:eastAsia="Barlow Semi Condensed" w:hAnsi="Barlow Semi Condensed"/>
          <w:sz w:val="24"/>
          <w:szCs w:val="24"/>
        </w:rPr>
        <w:t xml:space="preserve"> Mappano i blocchi 1301-1306 il branch sul Dossier maggiore e non elencano kissinger-mille-blocchi-il-codice-e-la-sua-trasmissione.md, che la GUIDA-ALLA-LETTURA invece elenca e descrive. L'edizione precede quell'opera di poche ore nella cronologia del branch. Bersaglio editoriale: aggiungere la voce e dichiararla come aggiunta propria dell'edizione pubblica, secondo la formula che il blocco 1306 usa già per il Capitolo II-bis e per il XXX.</w:t>
      </w:r>
    </w:p>
    <w:p>
      <w:pPr>
        <w:spacing w:after="120" w:line="276"/>
        <w:jc w:val="both"/>
      </w:pPr>
      <w:r>
        <w:rPr>
          <w:rFonts w:ascii="Barlow Semi Condensed" w:cs="Barlow Semi Condensed" w:eastAsia="Barlow Semi Condensed" w:hAnsi="Barlow Semi Condensed"/>
          <w:b/>
          <w:bCs/>
          <w:sz w:val="24"/>
          <w:szCs w:val="24"/>
        </w:rPr>
        <w:t xml:space="preserve">1991 · Densità di un nome.</w:t>
      </w:r>
      <w:r>
        <w:rPr>
          <w:rFonts w:ascii="Barlow Semi Condensed" w:cs="Barlow Semi Condensed" w:eastAsia="Barlow Semi Condensed" w:hAnsi="Barlow Semi Condensed"/>
          <w:sz w:val="24"/>
          <w:szCs w:val="24"/>
        </w:rPr>
        <w:t xml:space="preserve"> «L'edizione pubblica non simula la densità del maggiore, la indica.» È la clausola che spiega l'assenza del nome senza bisogno di ipotesi sulla volontà: un portale indica, non riproduce. Regola di lettura generale, valida oltre questa serie: la densità di un nome in un indice misura scelte editoriali e mai peso storico — la stessa avvertenza che l'opera Kissinger antepone alla lettura della propria rete.</w:t>
      </w:r>
    </w:p>
    <w:p>
      <w:pPr>
        <w:spacing w:after="120" w:line="276"/>
        <w:jc w:val="both"/>
      </w:pPr>
      <w:r>
        <w:rPr>
          <w:rFonts w:ascii="Barlow Semi Condensed" w:cs="Barlow Semi Condensed" w:eastAsia="Barlow Semi Condensed" w:hAnsi="Barlow Semi Condensed"/>
          <w:b/>
          <w:bCs/>
          <w:sz w:val="24"/>
          <w:szCs w:val="24"/>
        </w:rPr>
        <w:t xml:space="preserve">1992 · I due indirizzi americani.</w:t>
      </w:r>
      <w:r>
        <w:rPr>
          <w:rFonts w:ascii="Barlow Semi Condensed" w:cs="Barlow Semi Condensed" w:eastAsia="Barlow Semi Condensed" w:hAnsi="Barlow Semi Condensed"/>
          <w:sz w:val="24"/>
          <w:szCs w:val="24"/>
        </w:rPr>
        <w:t xml:space="preserve"> history.state.gov e la CIA FOIA Electronic Reading Room sono i due soli indirizzi americani dell'intera edizione. Quesito preliminare a ogni Stato Zero futuro: con quali stringhe il branch li ha interrogati, in quale data, con quanti risultati. Un indirizzo senza protocollo di ricerca non fonda alcun esito negativo — è la disciplina del blocco 233 dell'agenda — e la sezione bibliografica non registra alcun protocollo.</w:t>
      </w:r>
    </w:p>
    <w:p>
      <w:pPr>
        <w:spacing w:after="120" w:line="276"/>
        <w:jc w:val="both"/>
      </w:pPr>
      <w:r>
        <w:rPr>
          <w:rFonts w:ascii="Barlow Semi Condensed" w:cs="Barlow Semi Condensed" w:eastAsia="Barlow Semi Condensed" w:hAnsi="Barlow Semi Condensed"/>
          <w:b/>
          <w:bCs/>
          <w:sz w:val="24"/>
          <w:szCs w:val="24"/>
        </w:rPr>
        <w:t xml:space="preserve">1993 · Sezione VI, la voce mancante.</w:t>
      </w:r>
      <w:r>
        <w:rPr>
          <w:rFonts w:ascii="Barlow Semi Condensed" w:cs="Barlow Semi Condensed" w:eastAsia="Barlow Semi Condensed" w:hAnsi="Barlow Semi Condensed"/>
          <w:sz w:val="24"/>
          <w:szCs w:val="24"/>
        </w:rPr>
        <w:t xml:space="preserve"> «Contesto: intelligence, eversione e reti» elenca i documenti FRUS citati nelle ricognizioni, gli atti su Hyperion in HY-1…HY-9 e la storiografia sul ceppo milanese. L'asse atlantico non ha voce propria. Proposta: una settima voce che distingua i volumi FRUS effettivamente spogliati da quelli soltanto citati di seconda mano, perché oggi le due categorie stanno insieme e il lettore non può separarle.</w:t>
      </w:r>
    </w:p>
    <w:p>
      <w:pPr>
        <w:spacing w:after="120" w:line="276"/>
        <w:jc w:val="both"/>
      </w:pPr>
      <w:r>
        <w:rPr>
          <w:rFonts w:ascii="Barlow Semi Condensed" w:cs="Barlow Semi Condensed" w:eastAsia="Barlow Semi Condensed" w:hAnsi="Barlow Semi Condensed"/>
          <w:b/>
          <w:bCs/>
          <w:sz w:val="24"/>
          <w:szCs w:val="24"/>
        </w:rPr>
        <w:t xml:space="preserve">1994 · La provenienza di un metodo.</w:t>
      </w:r>
      <w:r>
        <w:rPr>
          <w:rFonts w:ascii="Barlow Semi Condensed" w:cs="Barlow Semi Condensed" w:eastAsia="Barlow Semi Condensed" w:hAnsi="Barlow Semi Condensed"/>
          <w:sz w:val="24"/>
          <w:szCs w:val="24"/>
        </w:rPr>
        <w:t xml:space="preserve"> Popper, Ginzburg, Heuer sono la triade metodologica dichiarata, e l'ultimo è pubblicato dalla CIA nel 1999. Regola di lettura da scrivere una volta e applicare sempre: la provenienza di uno strumento analitico non istituisce alcun nesso con l'oggetto analizzato. Chi usa l'ACH non entra per ciò stesso in relazione con l'agenzia che ne stampò il manuale, come chi usa Popper non entra in relazione con Vienna.</w:t>
      </w:r>
    </w:p>
    <w:p>
      <w:pPr>
        <w:spacing w:after="120" w:line="276"/>
        <w:jc w:val="both"/>
      </w:pPr>
      <w:r>
        <w:rPr>
          <w:rFonts w:ascii="Barlow Semi Condensed" w:cs="Barlow Semi Condensed" w:eastAsia="Barlow Semi Condensed" w:hAnsi="Barlow Semi Condensed"/>
          <w:b/>
          <w:bCs/>
          <w:sz w:val="24"/>
          <w:szCs w:val="24"/>
        </w:rPr>
        <w:t xml:space="preserve">1995 · Le carte morotee e la visita americana.</w:t>
      </w:r>
      <w:r>
        <w:rPr>
          <w:rFonts w:ascii="Barlow Semi Condensed" w:cs="Barlow Semi Condensed" w:eastAsia="Barlow Semi Condensed" w:hAnsi="Barlow Semi Condensed"/>
          <w:sz w:val="24"/>
          <w:szCs w:val="24"/>
        </w:rPr>
        <w:t xml:space="preserve"> L'edizione digitale delle carte Moro apre la sezione prima e ritorna nella terza. Bersaglio con costo minimo, e nessun blocco del corpus lo registra come eseguito: interrogare aldomorodigitale.unibo.it sulla visita americana del settembre 1974 — appunti preparatori, discorsi, corrispondenza del ministro — e dichiararne l'esito, positivo o negativo. È la verifica più economica dell'intera serie e la più vicina al soggetto italiano.</w:t>
      </w:r>
    </w:p>
    <w:p>
      <w:pPr>
        <w:spacing w:after="120" w:line="276"/>
        <w:jc w:val="both"/>
      </w:pPr>
      <w:r>
        <w:rPr>
          <w:rFonts w:ascii="Barlow Semi Condensed" w:cs="Barlow Semi Condensed" w:eastAsia="Barlow Semi Condensed" w:hAnsi="Barlow Semi Condensed"/>
          <w:b/>
          <w:bCs/>
          <w:sz w:val="24"/>
          <w:szCs w:val="24"/>
        </w:rPr>
        <w:t xml:space="preserve">1996 · Il quarto deposito e il periodo giusto.</w:t>
      </w:r>
      <w:r>
        <w:rPr>
          <w:rFonts w:ascii="Barlow Semi Condensed" w:cs="Barlow Semi Condensed" w:eastAsia="Barlow Semi Condensed" w:hAnsi="Barlow Semi Condensed"/>
          <w:sz w:val="24"/>
          <w:szCs w:val="24"/>
        </w:rPr>
        <w:t xml:space="preserve"> Un quarto deposito con segnatura propria, IT-AFS-048, è stato accertato dalla seconda campagna della Farnesina, con unità digitalizzate che riguardano proprio il Moro ministro, e aggiunto ai tre nuclei registrati ai blocchi 221-223 e 235 dei cantieri. Ogni quesito di questa serie che chieda una carta italiana del 1969-1974 va portato lì per primo, perché è il fondo più vicino alla materia.</w:t>
      </w:r>
    </w:p>
    <w:p>
      <w:pPr>
        <w:spacing w:after="120" w:line="276"/>
        <w:jc w:val="both"/>
      </w:pPr>
      <w:r>
        <w:rPr>
          <w:rFonts w:ascii="Barlow Semi Condensed" w:cs="Barlow Semi Condensed" w:eastAsia="Barlow Semi Condensed" w:hAnsi="Barlow Semi Condensed"/>
          <w:b/>
          <w:bCs/>
          <w:sz w:val="24"/>
          <w:szCs w:val="24"/>
        </w:rPr>
        <w:t xml:space="preserve">1997 · Il limite reale della Farnesina (serie XXVI).</w:t>
      </w:r>
      <w:r>
        <w:rPr>
          <w:rFonts w:ascii="Barlow Semi Condensed" w:cs="Barlow Semi Condensed" w:eastAsia="Barlow Semi Condensed" w:hAnsi="Barlow Semi Condensed"/>
          <w:sz w:val="24"/>
          <w:szCs w:val="24"/>
        </w:rPr>
        <w:t xml:space="preserve"> Su un punto che cambia il costo di ogni bersaglio italiano il branch è stato corretto: i fondi ministeriali degli anni in esame non risultavano consultabili, la disponibilità dei faldoni dal 1949 va verificata caso per caso, e resta l'esclusione temporanea dei Telegrammi 1942-1970. Il Capitolo XI rinvia alla cartella Farnesina come a sede aperta: la correzione va recepita prima di pianificare qualunque accesso.</w:t>
      </w:r>
    </w:p>
    <w:p>
      <w:pPr>
        <w:spacing w:after="120" w:line="276"/>
        <w:jc w:val="both"/>
      </w:pPr>
      <w:r>
        <w:rPr>
          <w:rFonts w:ascii="Barlow Semi Condensed" w:cs="Barlow Semi Condensed" w:eastAsia="Barlow Semi Condensed" w:hAnsi="Barlow Semi Condensed"/>
          <w:b/>
          <w:bCs/>
          <w:sz w:val="24"/>
          <w:szCs w:val="24"/>
        </w:rPr>
        <w:t xml:space="preserve">1998 · Bersaglio di smentita: il ponte diretto.</w:t>
      </w:r>
      <w:r>
        <w:rPr>
          <w:rFonts w:ascii="Barlow Semi Condensed" w:cs="Barlow Semi Condensed" w:eastAsia="Barlow Semi Condensed" w:hAnsi="Barlow Semi Condensed"/>
          <w:sz w:val="24"/>
          <w:szCs w:val="24"/>
        </w:rPr>
        <w:t xml:space="preserve"> Che cosa falsificherebbe il nesso ipotizzato fra questo nome e il caso: un documento di provenienza, telegramma o appunto d'ufficio, emesso da un'amministrazione statunitense e recante il nome di una controparte italiana in relazione operativa sul sequestro. Non una valutazione ostile, non una posizione dottrinale, non un avvertimento riferito de relato. Finché quel documento non compare, il silenzio del Portale è lo stato corretto del corpus.</w:t>
      </w:r>
    </w:p>
    <w:p>
      <w:pPr>
        <w:spacing w:after="120" w:line="276"/>
        <w:jc w:val="both"/>
      </w:pPr>
      <w:r>
        <w:rPr>
          <w:rFonts w:ascii="Barlow Semi Condensed" w:cs="Barlow Semi Condensed" w:eastAsia="Barlow Semi Condensed" w:hAnsi="Barlow Semi Condensed"/>
          <w:b/>
          <w:bCs/>
          <w:sz w:val="24"/>
          <w:szCs w:val="24"/>
        </w:rPr>
        <w:t xml:space="preserve">1999 · Bersaglio di smentita: il ponte inverso.</w:t>
      </w:r>
      <w:r>
        <w:rPr>
          <w:rFonts w:ascii="Barlow Semi Condensed" w:cs="Barlow Semi Condensed" w:eastAsia="Barlow Semi Condensed" w:hAnsi="Barlow Semi Condensed"/>
          <w:sz w:val="24"/>
          <w:szCs w:val="24"/>
        </w:rPr>
        <w:t xml:space="preserve"> Il falsificatore simmetrico costa meno e nessuno lo cerca: un documento italiano — appunto dei servizi, verbale della Farnesina, carta del fondo Moro — che registri l'avvertimento come ricevuto, con data e redattore. Sposterebbe l'episodio da testimonianza contestata ad accertamento, senza toccare il giudicato. Sedi: IT-AFS-048, il fondo delle duecentodiciotto buste all'Archivio centrale dello Stato, e gli archivi resi accessibili nel 2014.</w:t>
      </w:r>
    </w:p>
    <w:p>
      <w:pPr>
        <w:spacing w:after="120" w:line="276"/>
        <w:jc w:val="both"/>
      </w:pPr>
      <w:r>
        <w:rPr>
          <w:rFonts w:ascii="Barlow Semi Condensed" w:cs="Barlow Semi Condensed" w:eastAsia="Barlow Semi Condensed" w:hAnsi="Barlow Semi Condensed"/>
          <w:b/>
          <w:bCs/>
          <w:sz w:val="24"/>
          <w:szCs w:val="24"/>
        </w:rPr>
        <w:t xml:space="preserve">2000 · Che cosa questa serie non ha stabilito (serie XXVI).</w:t>
      </w:r>
      <w:r>
        <w:rPr>
          <w:rFonts w:ascii="Barlow Semi Condensed" w:cs="Barlow Semi Condensed" w:eastAsia="Barlow Semi Condensed" w:hAnsi="Barlow Semi Condensed"/>
          <w:sz w:val="24"/>
          <w:szCs w:val="24"/>
        </w:rPr>
        <w:t xml:space="preserve"> Non ha stabilito che il Portale nasconda alcunché, né che questo nome appartenga al caso. Ha stabilito dove il nome vive nei territori che il Portale indica, in quali punti il Portale non lo porta, e con quale indirizzo ciascuna assenza si chiuderebbe. Sopra la linea restano domande col loro grado; sotto, tredici nomi scritti dai giudici e sei vittime scritte per prime. Il resto è lavoro d'archivio.</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Serie ventisettesima — Il metodo e il presidio del garante</w:t>
      </w:r>
    </w:p>
    <w:p>
      <w:pPr>
        <w:spacing w:after="120" w:line="276"/>
        <w:jc w:val="both"/>
      </w:pPr>
      <w:r>
        <w:rPr>
          <w:rFonts w:ascii="Barlow Semi Condensed" w:cs="Barlow Semi Condensed" w:eastAsia="Barlow Semi Condensed" w:hAnsi="Barlow Semi Condensed"/>
          <w:i/>
          <w:iCs/>
          <w:sz w:val="24"/>
          <w:szCs w:val="24"/>
        </w:rPr>
        <w:t xml:space="preserve">Blocchi 2001-2075.</w:t>
      </w:r>
    </w:p>
    <w:p>
      <w:pPr>
        <w:spacing w:after="120" w:line="276"/>
        <w:jc w:val="both"/>
      </w:pPr>
      <w:r>
        <w:rPr>
          <w:rFonts w:ascii="Barlow Semi Condensed" w:cs="Barlow Semi Condensed" w:eastAsia="Barlow Semi Condensed" w:hAnsi="Barlow Semi Condensed"/>
          <w:b/>
          <w:bCs/>
          <w:sz w:val="24"/>
          <w:szCs w:val="24"/>
        </w:rPr>
        <w:t xml:space="preserve">2001 · Il perimetro esatto del territorio.</w:t>
      </w:r>
      <w:r>
        <w:rPr>
          <w:rFonts w:ascii="Barlow Semi Condensed" w:cs="Barlow Semi Condensed" w:eastAsia="Barlow Semi Condensed" w:hAnsi="Barlow Semi Condensed"/>
          <w:sz w:val="24"/>
          <w:szCs w:val="24"/>
        </w:rPr>
        <w:t xml:space="preserve"> La Fase sesta occupa un solo file, aldo-moro-una-guerra-senza-fine-fase-sesta.md, datato 24 agosto 2026: cinque capitoli, dal cinquantunesimo al cinquantacinquesimo, poco più di duemila parole. È la continuazione più breve dell'opera su Moro e l'unica interamente dedicata al metodo. Triangolare un nome contro questo territorio significa misurarlo contro una procedura, non contro un racconto: è il primo dato da fissare, prima di ogni ricerca d'archivio.</w:t>
      </w:r>
    </w:p>
    <w:p>
      <w:pPr>
        <w:spacing w:after="120" w:line="276"/>
        <w:jc w:val="both"/>
      </w:pPr>
      <w:r>
        <w:rPr>
          <w:rFonts w:ascii="Barlow Semi Condensed" w:cs="Barlow Semi Condensed" w:eastAsia="Barlow Semi Condensed" w:hAnsi="Barlow Semi Condensed"/>
          <w:b/>
          <w:bCs/>
          <w:sz w:val="24"/>
          <w:szCs w:val="24"/>
        </w:rPr>
        <w:t xml:space="preserve">2002 · Una sola occorrenza del nome.</w:t>
      </w:r>
      <w:r>
        <w:rPr>
          <w:rFonts w:ascii="Barlow Semi Condensed" w:cs="Barlow Semi Condensed" w:eastAsia="Barlow Semi Condensed" w:hAnsi="Barlow Semi Condensed"/>
          <w:sz w:val="24"/>
          <w:szCs w:val="24"/>
        </w:rPr>
        <w:t xml:space="preserve"> Nel testo integrale della Fase sesta il cognome Kissinger compare esattamente una volta, al capitolo cinquantaquattresimo, dentro la voce Stato Zero della mappa dei gradi. Non compare nel Livello A, non nel B, non nel C. La verifica è ripetibile da chiunque con una ricerca testuale sul file, ed è il fatto di piano uno da cui questa serie parte: il territorio nomina l'uomo solo per dire che manca il documento.</w:t>
      </w:r>
    </w:p>
    <w:p>
      <w:pPr>
        <w:spacing w:after="120" w:line="276"/>
        <w:jc w:val="both"/>
      </w:pPr>
      <w:r>
        <w:rPr>
          <w:rFonts w:ascii="Barlow Semi Condensed" w:cs="Barlow Semi Condensed" w:eastAsia="Barlow Semi Condensed" w:hAnsi="Barlow Semi Condensed"/>
          <w:b/>
          <w:bCs/>
          <w:sz w:val="24"/>
          <w:szCs w:val="24"/>
        </w:rPr>
        <w:t xml:space="preserve">2003 · I quattro cognomi della fase.</w:t>
      </w:r>
      <w:r>
        <w:rPr>
          <w:rFonts w:ascii="Barlow Semi Condensed" w:cs="Barlow Semi Condensed" w:eastAsia="Barlow Semi Condensed" w:hAnsi="Barlow Semi Condensed"/>
          <w:sz w:val="24"/>
          <w:szCs w:val="24"/>
        </w:rPr>
        <w:t xml:space="preserve"> Lo spoglio dei nomi propri restituisce quattro cognomi di persona in tutta la fase: Moro, Popper nella formula del Pollo, Fioroni che presiedette la Commissione del 2014-2018, e Kissinger. Nessun altro. Di questi, tre appartengono al caso o al metodo italiano; il quarto è l'unico straniero, e l'unico iscritto in una voce negativa. La sproporzione è un dato del documento, non una lettura che gli si applichi.</w:t>
      </w:r>
    </w:p>
    <w:p>
      <w:pPr>
        <w:spacing w:after="120" w:line="276"/>
        <w:jc w:val="both"/>
      </w:pPr>
      <w:r>
        <w:rPr>
          <w:rFonts w:ascii="Barlow Semi Condensed" w:cs="Barlow Semi Condensed" w:eastAsia="Barlow Semi Condensed" w:hAnsi="Barlow Semi Condensed"/>
          <w:b/>
          <w:bCs/>
          <w:sz w:val="24"/>
          <w:szCs w:val="24"/>
        </w:rPr>
        <w:t xml:space="preserve">2004 · Il trattino di Kissinger-persona.</w:t>
      </w:r>
      <w:r>
        <w:rPr>
          <w:rFonts w:ascii="Barlow Semi Condensed" w:cs="Barlow Semi Condensed" w:eastAsia="Barlow Semi Condensed" w:hAnsi="Barlow Semi Condensed"/>
          <w:sz w:val="24"/>
          <w:szCs w:val="24"/>
        </w:rPr>
        <w:t xml:space="preserve"> La voce dello Stato Zero scrive Kissinger-persona, con il trattino, e affianca la formula a qualunque apparato straniero nominato. La scelta lessicale distingue l'uomo dall'ufficio e dall'apparato, e vale come regola di lettura per tutta la triangolazione: si cerca un documento che leghi la persona, non la carica né la struttura che la ospitava. Chi confonde i tre oggetti sposta il bersaglio e rende la ricerca invincibile e inutile.</w:t>
      </w:r>
    </w:p>
    <w:p>
      <w:pPr>
        <w:spacing w:after="120" w:line="276"/>
        <w:jc w:val="both"/>
      </w:pPr>
      <w:r>
        <w:rPr>
          <w:rFonts w:ascii="Barlow Semi Condensed" w:cs="Barlow Semi Condensed" w:eastAsia="Barlow Semi Condensed" w:hAnsi="Barlow Semi Condensed"/>
          <w:b/>
          <w:bCs/>
          <w:sz w:val="24"/>
          <w:szCs w:val="24"/>
        </w:rPr>
        <w:t xml:space="preserve">2005 · Il prenome che manca.</w:t>
      </w:r>
      <w:r>
        <w:rPr>
          <w:rFonts w:ascii="Barlow Semi Condensed" w:cs="Barlow Semi Condensed" w:eastAsia="Barlow Semi Condensed" w:hAnsi="Barlow Semi Condensed"/>
          <w:sz w:val="24"/>
          <w:szCs w:val="24"/>
        </w:rPr>
        <w:t xml:space="preserve"> In nessun punto della fase compare Henry: il cognome sta solo, senza prenome e senza carica. È un'assenza minuta e va registrata, perché l'opera gemella su questo nome ha dovuto correggere per nota una forma errata, Harry nel mandato, e datare la mutazione da Heinz a Henry fra il 1938 della vulgata e il 1942-1943 del fascicolo d'immigrazione. Il territorio moroteo non offre appiglio a quella verifica: la eredita e basta.</w:t>
      </w:r>
    </w:p>
    <w:p>
      <w:pPr>
        <w:spacing w:after="120" w:line="276"/>
        <w:jc w:val="both"/>
      </w:pPr>
      <w:r>
        <w:rPr>
          <w:rFonts w:ascii="Barlow Semi Condensed" w:cs="Barlow Semi Condensed" w:eastAsia="Barlow Semi Condensed" w:hAnsi="Barlow Semi Condensed"/>
          <w:b/>
          <w:bCs/>
          <w:sz w:val="24"/>
          <w:szCs w:val="24"/>
        </w:rPr>
        <w:t xml:space="preserve">2006 · La data della fase e la morte.</w:t>
      </w:r>
      <w:r>
        <w:rPr>
          <w:rFonts w:ascii="Barlow Semi Condensed" w:cs="Barlow Semi Condensed" w:eastAsia="Barlow Semi Condensed" w:hAnsi="Barlow Semi Condensed"/>
          <w:sz w:val="24"/>
          <w:szCs w:val="24"/>
        </w:rPr>
        <w:t xml:space="preserve"> La fase porta la data del 24 agosto 2026, cioè due anni e nove mesi dopo il 29 novembre 2023, giorno della morte a Kent, nel Connecticut. Chi la scrisse sapeva di trattare un defunto, e tuttavia mantenne il nome nella sola casella dell'assenza documentale. Il dato conta perché smentisce in anticipo l'obiezione più facile: la cautela della fase non nasce dal timore di un vivente.</w:t>
      </w:r>
    </w:p>
    <w:p>
      <w:pPr>
        <w:spacing w:after="120" w:line="276"/>
        <w:jc w:val="both"/>
      </w:pPr>
      <w:r>
        <w:rPr>
          <w:rFonts w:ascii="Barlow Semi Condensed" w:cs="Barlow Semi Condensed" w:eastAsia="Barlow Semi Condensed" w:hAnsi="Barlow Semi Condensed"/>
          <w:b/>
          <w:bCs/>
          <w:sz w:val="24"/>
          <w:szCs w:val="24"/>
        </w:rPr>
        <w:t xml:space="preserve">2007 · Il complemento che toglie il nome.</w:t>
      </w:r>
      <w:r>
        <w:rPr>
          <w:rFonts w:ascii="Barlow Semi Condensed" w:cs="Barlow Semi Condensed" w:eastAsia="Barlow Semi Condensed" w:hAnsi="Barlow Semi Condensed"/>
          <w:sz w:val="24"/>
          <w:szCs w:val="24"/>
        </w:rPr>
        <w:t xml:space="preserve"> Pubblicato lo stesso giorno e dichiarato complemento alla Fase sesta, l'apparato dei gradi riscrive la mappa capitolo per capitolo e non nomina Kissinger neppure una volta. Il censimento dei suoi nomi propri dà Moro, i cinque caduti della scorta e Popper: nessun altro. Fra la fase, che nomina una volta, e il complemento, che non nomina mai, corre una divergenza di regime: si riporta, non si scioglie.</w:t>
      </w:r>
    </w:p>
    <w:p>
      <w:pPr>
        <w:spacing w:after="120" w:line="276"/>
        <w:jc w:val="both"/>
      </w:pPr>
      <w:r>
        <w:rPr>
          <w:rFonts w:ascii="Barlow Semi Condensed" w:cs="Barlow Semi Condensed" w:eastAsia="Barlow Semi Condensed" w:hAnsi="Barlow Semi Condensed"/>
          <w:b/>
          <w:bCs/>
          <w:sz w:val="24"/>
          <w:szCs w:val="24"/>
        </w:rPr>
        <w:t xml:space="preserve">2008 · La contraddizione che apre il capitolo.</w:t>
      </w:r>
      <w:r>
        <w:rPr>
          <w:rFonts w:ascii="Barlow Semi Condensed" w:cs="Barlow Semi Condensed" w:eastAsia="Barlow Semi Condensed" w:hAnsi="Barlow Semi Condensed"/>
          <w:sz w:val="24"/>
          <w:szCs w:val="24"/>
        </w:rPr>
        <w:t xml:space="preserve"> Apre il capitolo cinquantunesimo nominando una contraddizione apparente: l'opera si vieta di imputare e tuttavia, nella Fase quinta, ordina architetti, mandanti ed esecutori. La composizione proposta è che la graduatoria sia esercizio di probabilità storiografica dichiaratamente ipotetico. Per il nostro nome la conseguenza è precisa: qualunque posizione gli fosse assegnata in una classifica resterebbe congettura, e il branch pubblico ha comunque rinunciato a compilarla.</w:t>
      </w:r>
    </w:p>
    <w:p>
      <w:pPr>
        <w:spacing w:after="120" w:line="276"/>
        <w:jc w:val="both"/>
      </w:pPr>
      <w:r>
        <w:rPr>
          <w:rFonts w:ascii="Barlow Semi Condensed" w:cs="Barlow Semi Condensed" w:eastAsia="Barlow Semi Condensed" w:hAnsi="Barlow Semi Condensed"/>
          <w:b/>
          <w:bCs/>
          <w:sz w:val="24"/>
          <w:szCs w:val="24"/>
        </w:rPr>
        <w:t xml:space="preserve">2009 · L'immunizzazione applicata a questo nodo.</w:t>
      </w:r>
      <w:r>
        <w:rPr>
          <w:rFonts w:ascii="Barlow Semi Condensed" w:cs="Barlow Semi Condensed" w:eastAsia="Barlow Semi Condensed" w:hAnsi="Barlow Semi Condensed"/>
          <w:sz w:val="24"/>
          <w:szCs w:val="24"/>
        </w:rPr>
        <w:t xml:space="preserve"> Il rischio che il capitolo chiama immunizzazione, richiamando il capitolo secondo, è che un'ipotesi nata cauta venga poi letta come conclusione. Sul versante atlantico l'immunizzazione ha una forma riconoscibile: ogni assenza di documento viene spiegata con la segretezza, e l'ipotesi diventa infalsificabile. La fase non nomina questo esempio; la serie lo propone come caso di prova, perché è quello in cui la tentazione è massima.</w:t>
      </w:r>
    </w:p>
    <w:p>
      <w:pPr>
        <w:spacing w:after="120" w:line="276"/>
        <w:jc w:val="both"/>
      </w:pPr>
      <w:r>
        <w:rPr>
          <w:rFonts w:ascii="Barlow Semi Condensed" w:cs="Barlow Semi Condensed" w:eastAsia="Barlow Semi Condensed" w:hAnsi="Barlow Semi Condensed"/>
          <w:b/>
          <w:bCs/>
          <w:sz w:val="24"/>
          <w:szCs w:val="24"/>
        </w:rPr>
        <w:t xml:space="preserve">2010 · Il solco e il nome straniero.</w:t>
      </w:r>
      <w:r>
        <w:rPr>
          <w:rFonts w:ascii="Barlow Semi Condensed" w:cs="Barlow Semi Condensed" w:eastAsia="Barlow Semi Condensed" w:hAnsi="Barlow Semi Condensed"/>
          <w:sz w:val="24"/>
          <w:szCs w:val="24"/>
        </w:rPr>
        <w:t xml:space="preserve"> «Il solco tiene solo se qualcuno lo presidia»: così il capitolo giustifica la propria esistenza. Applicato a un nome straniero il solco ha un effetto ulteriore, che la fase non esplicita e che qui si registra: al di qua del solco quel nome non compare affatto, al di là comparirebbe soltanto come ipotesi ordinata. Non esiste quindi alcuna riga dell'opera in cui figuri come fatto accertato.</w:t>
      </w:r>
    </w:p>
    <w:p>
      <w:pPr>
        <w:spacing w:after="120" w:line="276"/>
        <w:jc w:val="both"/>
      </w:pPr>
      <w:r>
        <w:rPr>
          <w:rFonts w:ascii="Barlow Semi Condensed" w:cs="Barlow Semi Condensed" w:eastAsia="Barlow Semi Condensed" w:hAnsi="Barlow Semi Condensed"/>
          <w:b/>
          <w:bCs/>
          <w:sz w:val="24"/>
          <w:szCs w:val="24"/>
        </w:rPr>
        <w:t xml:space="preserve">2011 · Perché il presidio protegge un estraneo.</w:t>
      </w:r>
      <w:r>
        <w:rPr>
          <w:rFonts w:ascii="Barlow Semi Condensed" w:cs="Barlow Semi Condensed" w:eastAsia="Barlow Semi Condensed" w:hAnsi="Barlow Semi Condensed"/>
          <w:sz w:val="24"/>
          <w:szCs w:val="24"/>
        </w:rPr>
        <w:t xml:space="preserve"> Un garante istituito per proteggere il lettore protegge, di riflesso, anche chi il testo potrebbe nominare. È l'effetto meno intuitivo del capitolo cinquantunesimo e va detto: la funzione non è morale ma strutturale, e non si esercita a favore di qualcuno. Vale per i tredici condannati dai giudici quanto per il segretario di Stato mai imputato; il presidio non distingue fra simpatie, distingue fra gradi.</w:t>
      </w:r>
    </w:p>
    <w:p>
      <w:pPr>
        <w:spacing w:after="120" w:line="276"/>
        <w:jc w:val="both"/>
      </w:pPr>
      <w:r>
        <w:rPr>
          <w:rFonts w:ascii="Barlow Semi Condensed" w:cs="Barlow Semi Condensed" w:eastAsia="Barlow Semi Condensed" w:hAnsi="Barlow Semi Condensed"/>
          <w:b/>
          <w:bCs/>
          <w:sz w:val="24"/>
          <w:szCs w:val="24"/>
        </w:rPr>
        <w:t xml:space="preserve">2012 · La graduatoria che il branch non riproduce.</w:t>
      </w:r>
      <w:r>
        <w:rPr>
          <w:rFonts w:ascii="Barlow Semi Condensed" w:cs="Barlow Semi Condensed" w:eastAsia="Barlow Semi Condensed" w:hAnsi="Barlow Semi Condensed"/>
          <w:sz w:val="24"/>
          <w:szCs w:val="24"/>
        </w:rPr>
        <w:t xml:space="preserve"> L'edizione strutturata dichiara al blocco cinquecentouno la divergenza costitutiva: nel Dossier maggiore la Fase quinta congeda il falsificazionismo, nel branch pubblico no. Chi cerchi una collocazione di questo nome in una classifica di architetti deve dunque sapere che essa non esiste nel corpus consultabile, e che l'opera indica dove vive e sotto quale responsabilità. È un rinvio, non una reticenza, e va citato come tale.</w:t>
      </w:r>
    </w:p>
    <w:p>
      <w:pPr>
        <w:spacing w:after="120" w:line="276"/>
        <w:jc w:val="both"/>
      </w:pPr>
      <w:r>
        <w:rPr>
          <w:rFonts w:ascii="Barlow Semi Condensed" w:cs="Barlow Semi Condensed" w:eastAsia="Barlow Semi Condensed" w:hAnsi="Barlow Semi Condensed"/>
          <w:b/>
          <w:bCs/>
          <w:sz w:val="24"/>
          <w:szCs w:val="24"/>
        </w:rPr>
        <w:t xml:space="preserve">2013 · Quando restano solo i nomi.</w:t>
      </w:r>
      <w:r>
        <w:rPr>
          <w:rFonts w:ascii="Barlow Semi Condensed" w:cs="Barlow Semi Condensed" w:eastAsia="Barlow Semi Condensed" w:hAnsi="Barlow Semi Condensed"/>
          <w:sz w:val="24"/>
          <w:szCs w:val="24"/>
        </w:rPr>
        <w:t xml:space="preserve"> Sulla proposizione psicologica che i nomi vivono più a lungo delle cautele poggia l'intero capitolo, e l'opera gemella l'ha ripresa al blocco 982. Qui se ne trae una conseguenza operativa nuova: nel caso di specie cautela e nome coincidono, perché l'unica riga che nomina è quella che dichiara l'assenza. Se la cautela svanisse dalla memoria del lettore, svanirebbe con essa la ragione stessa della menzione.</w:t>
      </w:r>
    </w:p>
    <w:p>
      <w:pPr>
        <w:spacing w:after="120" w:line="276"/>
        <w:jc w:val="both"/>
      </w:pPr>
      <w:r>
        <w:rPr>
          <w:rFonts w:ascii="Barlow Semi Condensed" w:cs="Barlow Semi Condensed" w:eastAsia="Barlow Semi Condensed" w:hAnsi="Barlow Semi Condensed"/>
          <w:b/>
          <w:bCs/>
          <w:sz w:val="24"/>
          <w:szCs w:val="24"/>
        </w:rPr>
        <w:t xml:space="preserve">2014 · Che cosa falsificherebbe il presidio.</w:t>
      </w:r>
      <w:r>
        <w:rPr>
          <w:rFonts w:ascii="Barlow Semi Condensed" w:cs="Barlow Semi Condensed" w:eastAsia="Barlow Semi Condensed" w:hAnsi="Barlow Semi Condensed"/>
          <w:sz w:val="24"/>
          <w:szCs w:val="24"/>
        </w:rPr>
        <w:t xml:space="preserve"> Bersaglio di smentita sul capitolo cinquantunesimo: il presidio sarebbe falsificato se si trovasse, dentro il corpus pubblico, una riga in cui questo nome compare come soggetto di condotta e non di assenza. La verifica è meccanica, una ricerca testuale su tutti i file del branch, e va rifatta a ogni nuova pubblicazione. Finché l'esito resta negativo, il capitolo dice il vero su sé stesso.</w:t>
      </w:r>
    </w:p>
    <w:p>
      <w:pPr>
        <w:spacing w:after="120" w:line="276"/>
        <w:jc w:val="both"/>
      </w:pPr>
      <w:r>
        <w:rPr>
          <w:rFonts w:ascii="Barlow Semi Condensed" w:cs="Barlow Semi Condensed" w:eastAsia="Barlow Semi Condensed" w:hAnsi="Barlow Semi Condensed"/>
          <w:b/>
          <w:bCs/>
          <w:sz w:val="24"/>
          <w:szCs w:val="24"/>
        </w:rPr>
        <w:t xml:space="preserve">2015 · Il Dossier maggiore come sede da aprire.</w:t>
      </w:r>
      <w:r>
        <w:rPr>
          <w:rFonts w:ascii="Barlow Semi Condensed" w:cs="Barlow Semi Condensed" w:eastAsia="Barlow Semi Condensed" w:hAnsi="Barlow Semi Condensed"/>
          <w:sz w:val="24"/>
          <w:szCs w:val="24"/>
        </w:rPr>
        <w:t xml:space="preserve"> Stato Zero di primo rilievo: il testo della Fase quinta del Dossier maggiore non è consultabile nel branch, e nessuno può quindi verificare se e come vi compaia questo nome. La sede che lo chiuderebbe è una sola, il deposito privato dell'autore del Dossier, con la sua tavola di corrispondenza già annunciata nei blocchi 1301-1305 dell'edizione strutturata. Finché non si apre, l'esito resta indeterminato e va dichiarato.</w:t>
      </w:r>
    </w:p>
    <w:p>
      <w:pPr>
        <w:spacing w:after="120" w:line="276"/>
        <w:jc w:val="both"/>
      </w:pPr>
      <w:r>
        <w:rPr>
          <w:rFonts w:ascii="Barlow Semi Condensed" w:cs="Barlow Semi Condensed" w:eastAsia="Barlow Semi Condensed" w:hAnsi="Barlow Semi Condensed"/>
          <w:b/>
          <w:bCs/>
          <w:sz w:val="24"/>
          <w:szCs w:val="24"/>
        </w:rPr>
        <w:t xml:space="preserve">2016 · La domanda che uccide un'affermazione.</w:t>
      </w:r>
      <w:r>
        <w:rPr>
          <w:rFonts w:ascii="Barlow Semi Condensed" w:cs="Barlow Semi Condensed" w:eastAsia="Barlow Semi Condensed" w:hAnsi="Barlow Semi Condensed"/>
          <w:sz w:val="24"/>
          <w:szCs w:val="24"/>
        </w:rPr>
        <w:t xml:space="preserve"> Il capitolo cinquantaduesimo riduce la disciplina del grado a una domanda ripetuta senza eccezioni: che cosa la ucciderebbe? Un Livello A è tale quando la risposta esiste, è precisa ed è stata cercata invano. Portata sul versante che ci occupa, la domanda impone di scrivere accanto a ogni proposizione il documento che la abbatterebbe, con fondo e segnatura. Senza quella riga la proposizione non ha grado: ha soltanto tono.</w:t>
      </w:r>
    </w:p>
    <w:p>
      <w:pPr>
        <w:spacing w:after="120" w:line="276"/>
        <w:jc w:val="both"/>
      </w:pPr>
      <w:r>
        <w:rPr>
          <w:rFonts w:ascii="Barlow Semi Condensed" w:cs="Barlow Semi Condensed" w:eastAsia="Barlow Semi Condensed" w:hAnsi="Barlow Semi Condensed"/>
          <w:b/>
          <w:bCs/>
          <w:sz w:val="24"/>
          <w:szCs w:val="24"/>
        </w:rPr>
        <w:t xml:space="preserve">2017 · La domanda applicata al verbale del 1974.</w:t>
      </w:r>
      <w:r>
        <w:rPr>
          <w:rFonts w:ascii="Barlow Semi Condensed" w:cs="Barlow Semi Condensed" w:eastAsia="Barlow Semi Condensed" w:hAnsi="Barlow Semi Condensed"/>
          <w:sz w:val="24"/>
          <w:szCs w:val="24"/>
        </w:rPr>
        <w:t xml:space="preserve"> Provata sul memorandum of conversation del 25 settembre 1974, documento 350 del volume FRUS 1969-1976 E-15 parte seconda, seconda edizione riveduta, file 1552802 della Ford Library, la domanda dà una risposta netta. L'affermazione che quel verbale attesti la posizione sullo scambio di informazioni militari cadrebbe soltanto davanti a una collazione difforme sull'originale conservato ad Ann Arbor. È il modo corretto di trattare un documento esistente.</w:t>
      </w:r>
    </w:p>
    <w:p>
      <w:pPr>
        <w:spacing w:after="120" w:line="276"/>
        <w:jc w:val="both"/>
      </w:pPr>
      <w:r>
        <w:rPr>
          <w:rFonts w:ascii="Barlow Semi Condensed" w:cs="Barlow Semi Condensed" w:eastAsia="Barlow Semi Condensed" w:hAnsi="Barlow Semi Condensed"/>
          <w:b/>
          <w:bCs/>
          <w:sz w:val="24"/>
          <w:szCs w:val="24"/>
        </w:rPr>
        <w:t xml:space="preserve">2018 · La stessa domanda sulla testimonianza.</w:t>
      </w:r>
      <w:r>
        <w:rPr>
          <w:rFonts w:ascii="Barlow Semi Condensed" w:cs="Barlow Semi Condensed" w:eastAsia="Barlow Semi Condensed" w:hAnsi="Barlow Semi Condensed"/>
          <w:sz w:val="24"/>
          <w:szCs w:val="24"/>
        </w:rPr>
        <w:t xml:space="preserve"> Sulla frase riferita la domanda dà invece una risposta doppia, e la doppiezza è il risultato. Che Guerzoni abbia deposto quel contenuto davanti alla Corte d'assise di Roma nel novembre 1982 cadrebbe solo davanti al verbale d'udienza difforme; che la frase sia stata pronunciata non ha, allo stato, alcun documento che la uccida né alcuno che la regga. Due proposizioni distinte, due gradi distinti, mai da fondere.</w:t>
      </w:r>
    </w:p>
    <w:p>
      <w:pPr>
        <w:spacing w:after="120" w:line="276"/>
        <w:jc w:val="both"/>
      </w:pPr>
      <w:r>
        <w:rPr>
          <w:rFonts w:ascii="Barlow Semi Condensed" w:cs="Barlow Semi Condensed" w:eastAsia="Barlow Semi Condensed" w:hAnsi="Barlow Semi Condensed"/>
          <w:b/>
          <w:bCs/>
          <w:sz w:val="24"/>
          <w:szCs w:val="24"/>
        </w:rPr>
        <w:t xml:space="preserve">2019 · Il perimetro negativo e le sedi.</w:t>
      </w:r>
      <w:r>
        <w:rPr>
          <w:rFonts w:ascii="Barlow Semi Condensed" w:cs="Barlow Semi Condensed" w:eastAsia="Barlow Semi Condensed" w:hAnsi="Barlow Semi Condensed"/>
          <w:sz w:val="24"/>
          <w:szCs w:val="24"/>
        </w:rPr>
        <w:t xml:space="preserve"> La seconda disciplina prescrive di nominare ciò che si è cercato e non trovato con la stessa cura di ciò che si è trovato. La fase enuncia il principio ma non elenca le sedi in cui la ricerca fu condotta. Per il versante americano le sedi sono note e vanno iscritte a verbale: College Park per i Central Foreign Policy Files, Ann Arbor e Atlanta per i due fondi presidenziali.</w:t>
      </w:r>
    </w:p>
    <w:p>
      <w:pPr>
        <w:spacing w:after="120" w:line="276"/>
        <w:jc w:val="both"/>
      </w:pPr>
      <w:r>
        <w:rPr>
          <w:rFonts w:ascii="Barlow Semi Condensed" w:cs="Barlow Semi Condensed" w:eastAsia="Barlow Semi Condensed" w:hAnsi="Barlow Semi Condensed"/>
          <w:b/>
          <w:bCs/>
          <w:sz w:val="24"/>
          <w:szCs w:val="24"/>
        </w:rPr>
        <w:t xml:space="preserve">2020 · Un'assenza taciuta è menzogna.</w:t>
      </w:r>
      <w:r>
        <w:rPr>
          <w:rFonts w:ascii="Barlow Semi Condensed" w:cs="Barlow Semi Condensed" w:eastAsia="Barlow Semi Condensed" w:hAnsi="Barlow Semi Condensed"/>
          <w:sz w:val="24"/>
          <w:szCs w:val="24"/>
        </w:rPr>
        <w:t xml:space="preserve"> Nella formula più severa dell'intera fase, un'assenza dichiarata è un dato e un'assenza taciuta è una menzogna per omissione. Ne segue un obbligo che riguarda anche chi scrive contro il nesso atlantico: chi dichiara di non aver trovato deve dire dove ha guardato, altrimenti la sua negazione vale quanto l'affermazione che intende correggere. La simmetria è totale e nessuna delle due parti ne è esente.</w:t>
      </w:r>
    </w:p>
    <w:p>
      <w:pPr>
        <w:spacing w:after="120" w:line="276"/>
        <w:jc w:val="both"/>
      </w:pPr>
      <w:r>
        <w:rPr>
          <w:rFonts w:ascii="Barlow Semi Condensed" w:cs="Barlow Semi Condensed" w:eastAsia="Barlow Semi Condensed" w:hAnsi="Barlow Semi Condensed"/>
          <w:b/>
          <w:bCs/>
          <w:sz w:val="24"/>
          <w:szCs w:val="24"/>
        </w:rPr>
        <w:t xml:space="preserve">2021 · Il doppio filtro, prima domanda.</w:t>
      </w:r>
      <w:r>
        <w:rPr>
          <w:rFonts w:ascii="Barlow Semi Condensed" w:cs="Barlow Semi Condensed" w:eastAsia="Barlow Semi Condensed" w:hAnsi="Barlow Semi Condensed"/>
          <w:sz w:val="24"/>
          <w:szCs w:val="24"/>
        </w:rPr>
        <w:t xml:space="preserve"> La terza disciplina si esegue in due tempi. Primo tempo: questo fatto è pubblico e documentato? Applicata alla materia, la domanda separa immediatamente ciò che passa, gli incarichi dal 20 gennaio 1969 al 3 novembre 1975 e dal 22 settembre 1973 al 20 gennaio 1977, i verbali desecretati, le dichiarazioni rese, da ciò che non passa, cioè le attribuzioni riferite senza atto. Il filtro è un setaccio, non un giudizio.</w:t>
      </w:r>
    </w:p>
    <w:p>
      <w:pPr>
        <w:spacing w:after="120" w:line="276"/>
        <w:jc w:val="both"/>
      </w:pPr>
      <w:r>
        <w:rPr>
          <w:rFonts w:ascii="Barlow Semi Condensed" w:cs="Barlow Semi Condensed" w:eastAsia="Barlow Semi Condensed" w:hAnsi="Barlow Semi Condensed"/>
          <w:b/>
          <w:bCs/>
          <w:sz w:val="24"/>
          <w:szCs w:val="24"/>
        </w:rPr>
        <w:t xml:space="preserve">2022 · Il doppio filtro, seconda domanda.</w:t>
      </w:r>
      <w:r>
        <w:rPr>
          <w:rFonts w:ascii="Barlow Semi Condensed" w:cs="Barlow Semi Condensed" w:eastAsia="Barlow Semi Condensed" w:hAnsi="Barlow Semi Condensed"/>
          <w:sz w:val="24"/>
          <w:szCs w:val="24"/>
        </w:rPr>
        <w:t xml:space="preserve"> Secondo tempo: questa attribuzione è stata pronunciata da un giudice? Per il nome in esame la risposta è documentata e negativa in ogni Paese: nessuna condanna, nessuna imputazione, nessun procedimento, e nemmeno un'audizione dei magistrati italiani, poiché la richiesta informale del 1983 non ebbe seguito. Il filtro dunque scatta, e il nome può comparire soltanto come soggetto di fatti pubblici, che è esattamente ciò che la fase fa.</w:t>
      </w:r>
    </w:p>
    <w:p>
      <w:pPr>
        <w:spacing w:after="120" w:line="276"/>
        <w:jc w:val="both"/>
      </w:pPr>
      <w:r>
        <w:rPr>
          <w:rFonts w:ascii="Barlow Semi Condensed" w:cs="Barlow Semi Condensed" w:eastAsia="Barlow Semi Condensed" w:hAnsi="Barlow Semi Condensed"/>
          <w:b/>
          <w:bCs/>
          <w:sz w:val="24"/>
          <w:szCs w:val="24"/>
        </w:rPr>
        <w:t xml:space="preserve">2023 · Soggetto di fatti, non predicato.</w:t>
      </w:r>
      <w:r>
        <w:rPr>
          <w:rFonts w:ascii="Barlow Semi Condensed" w:cs="Barlow Semi Condensed" w:eastAsia="Barlow Semi Condensed" w:hAnsi="Barlow Semi Condensed"/>
          <w:sz w:val="24"/>
          <w:szCs w:val="24"/>
        </w:rPr>
        <w:t xml:space="preserve"> «Il nome può comparire solo come soggetto di fatti, mai come predicato di colpe»: è la formula più esportabile della fase, e regge da sola l'intera triangolazione. Soggetto di fatti significa che si scrive «partecipò al colloquio del 25 settembre 1974»; predicato di colpe significherebbe scrivere «fu il mandante». La distinzione non è di stile: è la differenza fra una cronaca verificabile e un'accusa che nessun tribunale ha formulato.</w:t>
      </w:r>
    </w:p>
    <w:p>
      <w:pPr>
        <w:spacing w:after="120" w:line="276"/>
        <w:jc w:val="both"/>
      </w:pPr>
      <w:r>
        <w:rPr>
          <w:rFonts w:ascii="Barlow Semi Condensed" w:cs="Barlow Semi Condensed" w:eastAsia="Barlow Semi Condensed" w:hAnsi="Barlow Semi Condensed"/>
          <w:b/>
          <w:bCs/>
          <w:sz w:val="24"/>
          <w:szCs w:val="24"/>
        </w:rPr>
        <w:t xml:space="preserve">2024 · Una disciplina che si è estinta.</w:t>
      </w:r>
      <w:r>
        <w:rPr>
          <w:rFonts w:ascii="Barlow Semi Condensed" w:cs="Barlow Semi Condensed" w:eastAsia="Barlow Semi Condensed" w:hAnsi="Barlow Semi Condensed"/>
          <w:sz w:val="24"/>
          <w:szCs w:val="24"/>
        </w:rPr>
        <w:t xml:space="preserve"> La disciplina delle persone viventi, per definizione, cessa di applicarsi a chi non è più in vita. Dal 29 novembre 2023 il nostro nome è uscito dal suo campo, e la nota finale della fase, che rinvia alla riservatezza dell'apparato Italia Nera per gli aspetti che toccano i viventi, non lo copre più. È un punto da dichiarare, perché molti lettori attribuiscono alla cautela una fonte che non ha.</w:t>
      </w:r>
    </w:p>
    <w:p>
      <w:pPr>
        <w:spacing w:after="120" w:line="276"/>
        <w:jc w:val="both"/>
      </w:pPr>
      <w:r>
        <w:rPr>
          <w:rFonts w:ascii="Barlow Semi Condensed" w:cs="Barlow Semi Condensed" w:eastAsia="Barlow Semi Condensed" w:hAnsi="Barlow Semi Condensed"/>
          <w:b/>
          <w:bCs/>
          <w:sz w:val="24"/>
          <w:szCs w:val="24"/>
        </w:rPr>
        <w:t xml:space="preserve">2025 · Ciò che la morte non estingue.</w:t>
      </w:r>
      <w:r>
        <w:rPr>
          <w:rFonts w:ascii="Barlow Semi Condensed" w:cs="Barlow Semi Condensed" w:eastAsia="Barlow Semi Condensed" w:hAnsi="Barlow Semi Condensed"/>
          <w:sz w:val="24"/>
          <w:szCs w:val="24"/>
        </w:rPr>
        <w:t xml:space="preserve"> Estinta la disciplina dei viventi, resta intatta quella che davvero vincola: il divieto di indicare come responsabile di reato chi non è stato condannato. Quel divieto non scade con la morte, perché non protegge un interesse personale ma la serietà del testo e il monopolio del giudice sull'attribuzione. La fase lo ripete nella nota di chiusura senza limiti temporali, e la formula va letta così: nessuno, mai, oltre il giudicato.</w:t>
      </w:r>
    </w:p>
    <w:p>
      <w:pPr>
        <w:spacing w:after="120" w:line="276"/>
        <w:jc w:val="both"/>
      </w:pPr>
      <w:r>
        <w:rPr>
          <w:rFonts w:ascii="Barlow Semi Condensed" w:cs="Barlow Semi Condensed" w:eastAsia="Barlow Semi Condensed" w:hAnsi="Barlow Semi Condensed"/>
          <w:b/>
          <w:bCs/>
          <w:sz w:val="24"/>
          <w:szCs w:val="24"/>
        </w:rPr>
        <w:t xml:space="preserve">2026 · La tracciabilità senza indirizzi.</w:t>
      </w:r>
      <w:r>
        <w:rPr>
          <w:rFonts w:ascii="Barlow Semi Condensed" w:cs="Barlow Semi Condensed" w:eastAsia="Barlow Semi Condensed" w:hAnsi="Barlow Semi Condensed"/>
          <w:sz w:val="24"/>
          <w:szCs w:val="24"/>
        </w:rPr>
        <w:t xml:space="preserve"> La quarta disciplina promette che ogni affermazione dichiari la propria fonte. Verifica eseguita: nelle note bibliografiche dell'opera integrale il capitolo corrispondente, «Libro ottavo, primo, Il presidio del garante», è registrato come capitolo senza citazioni in forma d'indirizzo. La fase che prescrive la tracciabilità non ne porta traccia propria. Non è un'incoerenza fatale, poiché rinvia all'apparato dei gradi, ma è una lacuna e si verbalizza.</w:t>
      </w:r>
    </w:p>
    <w:p>
      <w:pPr>
        <w:spacing w:after="120" w:line="276"/>
        <w:jc w:val="both"/>
      </w:pPr>
      <w:r>
        <w:rPr>
          <w:rFonts w:ascii="Barlow Semi Condensed" w:cs="Barlow Semi Condensed" w:eastAsia="Barlow Semi Condensed" w:hAnsi="Barlow Semi Condensed"/>
          <w:b/>
          <w:bCs/>
          <w:sz w:val="24"/>
          <w:szCs w:val="24"/>
        </w:rPr>
        <w:t xml:space="preserve">2027 · Lo Stato Zero bibliografico della fase.</w:t>
      </w:r>
      <w:r>
        <w:rPr>
          <w:rFonts w:ascii="Barlow Semi Condensed" w:cs="Barlow Semi Condensed" w:eastAsia="Barlow Semi Condensed" w:hAnsi="Barlow Semi Condensed"/>
          <w:sz w:val="24"/>
          <w:szCs w:val="24"/>
        </w:rPr>
        <w:t xml:space="preserve"> Quella lacuna si scrive come si scrivono gli altri esiti negativi, con la sede che la chiuderebbe. Qui la sede non è un archivio ma un file del branch: la bibliografia critica e l'apparato dei gradi, ai quali le note rinviano espressamente. Chi voglia risalire alla fonte della riga su Kissinger deve dunque uscire dalla fase e rientrare dal complemento, dove però quel nome, come si è visto, non compare.</w:t>
      </w:r>
    </w:p>
    <w:p>
      <w:pPr>
        <w:spacing w:after="120" w:line="276"/>
        <w:jc w:val="both"/>
      </w:pPr>
      <w:r>
        <w:rPr>
          <w:rFonts w:ascii="Barlow Semi Condensed" w:cs="Barlow Semi Condensed" w:eastAsia="Barlow Semi Condensed" w:hAnsi="Barlow Semi Condensed"/>
          <w:b/>
          <w:bCs/>
          <w:sz w:val="24"/>
          <w:szCs w:val="24"/>
        </w:rPr>
        <w:t xml:space="preserve">2028 · Il circolo dei due rinvii.</w:t>
      </w:r>
      <w:r>
        <w:rPr>
          <w:rFonts w:ascii="Barlow Semi Condensed" w:cs="Barlow Semi Condensed" w:eastAsia="Barlow Semi Condensed" w:hAnsi="Barlow Semi Condensed"/>
          <w:sz w:val="24"/>
          <w:szCs w:val="24"/>
        </w:rPr>
        <w:t xml:space="preserve"> Si forma così un circolo breve e va nominato: la fase rinvia all'apparato per la tracciabilità, l'apparato dichiara di non riprodurre nomi. Nessuno dei due documenti porta quindi l'indirizzo della ricerca che ha prodotto lo Stato Zero sul nome. Il quesito eseguibile è preciso: ricostruire quella ricerca, con data, chiavi interrogate e fondi consultati, e allegarla alla fase come nota di metodo.</w:t>
      </w:r>
    </w:p>
    <w:p>
      <w:pPr>
        <w:spacing w:after="120" w:line="276"/>
        <w:jc w:val="both"/>
      </w:pPr>
      <w:r>
        <w:rPr>
          <w:rFonts w:ascii="Barlow Semi Condensed" w:cs="Barlow Semi Condensed" w:eastAsia="Barlow Semi Condensed" w:hAnsi="Barlow Semi Condensed"/>
          <w:b/>
          <w:bCs/>
          <w:sz w:val="24"/>
          <w:szCs w:val="24"/>
        </w:rPr>
        <w:t xml:space="preserve">2029 · Il probabile e la sua condizione.</w:t>
      </w:r>
      <w:r>
        <w:rPr>
          <w:rFonts w:ascii="Barlow Semi Condensed" w:cs="Barlow Semi Condensed" w:eastAsia="Barlow Semi Condensed" w:hAnsi="Barlow Semi Condensed"/>
          <w:sz w:val="24"/>
          <w:szCs w:val="24"/>
        </w:rPr>
        <w:t xml:space="preserve"> Definizione del Livello B secondo la fase: l'affermazione la cui smentita esiste ed è precisa, ma non è stata cercata fino in fondo. È la casella che meglio si attaglierebbe alla materia atlantica, e nessuna delle tre voci B della mappa vi appartiene. Chi volesse portarvi il versante internazionale dovrebbe prima dimostrare che la ricerca è incompleta, non che la conclusione è scomoda.</w:t>
      </w:r>
    </w:p>
    <w:p>
      <w:pPr>
        <w:spacing w:after="120" w:line="276"/>
        <w:jc w:val="both"/>
      </w:pPr>
      <w:r>
        <w:rPr>
          <w:rFonts w:ascii="Barlow Semi Condensed" w:cs="Barlow Semi Condensed" w:eastAsia="Barlow Semi Condensed" w:hAnsi="Barlow Semi Condensed"/>
          <w:b/>
          <w:bCs/>
          <w:sz w:val="24"/>
          <w:szCs w:val="24"/>
        </w:rPr>
        <w:t xml:space="preserve">2030 · Il possibile e la non falsificabilità.</w:t>
      </w:r>
      <w:r>
        <w:rPr>
          <w:rFonts w:ascii="Barlow Semi Condensed" w:cs="Barlow Semi Condensed" w:eastAsia="Barlow Semi Condensed" w:hAnsi="Barlow Semi Condensed"/>
          <w:sz w:val="24"/>
          <w:szCs w:val="24"/>
        </w:rPr>
        <w:t xml:space="preserve"> Il Livello C, secondo la fase, raccoglie ciò per cui la smentita non esiste o è irraggiungibile in via di principio. È qui che la mappa colloca le regie internazionali come catena di comando. La collocazione è precisa e va onorata anche quando dispiace: chiedere a un'ipotesi C di diventare A per accumulo di indizi di cornice significa aver disatteso la sola domanda che il capitolo prescrive.</w:t>
      </w:r>
    </w:p>
    <w:p>
      <w:pPr>
        <w:spacing w:after="120" w:line="276"/>
        <w:jc w:val="both"/>
      </w:pPr>
      <w:r>
        <w:rPr>
          <w:rFonts w:ascii="Barlow Semi Condensed" w:cs="Barlow Semi Condensed" w:eastAsia="Barlow Semi Condensed" w:hAnsi="Barlow Semi Condensed"/>
          <w:b/>
          <w:bCs/>
          <w:sz w:val="24"/>
          <w:szCs w:val="24"/>
        </w:rPr>
        <w:t xml:space="preserve">2031 · Il grado del cammino, regola importata.</w:t>
      </w:r>
      <w:r>
        <w:rPr>
          <w:rFonts w:ascii="Barlow Semi Condensed" w:cs="Barlow Semi Condensed" w:eastAsia="Barlow Semi Condensed" w:hAnsi="Barlow Semi Condensed"/>
          <w:sz w:val="24"/>
          <w:szCs w:val="24"/>
        </w:rPr>
        <w:t xml:space="preserve"> Le metodologie calcolate sul corpus formalizzano la regola dell'anello debole: il grado di un cammino è il grado minimo fra i suoi archi. La fase non la contiene, ma la presuppone, e importarla qui rende operativa la sua disciplina del grado. Un cammino dallo Studio Ovale del 1974 al marzo 1978 dovrebbe attraversare un arco che nel grafo documentato non esiste: non ha grado basso, non ha grado.</w:t>
      </w:r>
    </w:p>
    <w:p>
      <w:pPr>
        <w:spacing w:after="120" w:line="276"/>
        <w:jc w:val="both"/>
      </w:pPr>
      <w:r>
        <w:rPr>
          <w:rFonts w:ascii="Barlow Semi Condensed" w:cs="Barlow Semi Condensed" w:eastAsia="Barlow Semi Condensed" w:hAnsi="Barlow Semi Condensed"/>
          <w:b/>
          <w:bCs/>
          <w:sz w:val="24"/>
          <w:szCs w:val="24"/>
        </w:rPr>
        <w:t xml:space="preserve">2032 · La linea di costa e il mare.</w:t>
      </w:r>
      <w:r>
        <w:rPr>
          <w:rFonts w:ascii="Barlow Semi Condensed" w:cs="Barlow Semi Condensed" w:eastAsia="Barlow Semi Condensed" w:hAnsi="Barlow Semi Condensed"/>
          <w:sz w:val="24"/>
          <w:szCs w:val="24"/>
        </w:rPr>
        <w:t xml:space="preserve"> Due operazioni distingue il capitolo cinquantatreesimo: nelle prime quattro fasi l'opera traccia la linea di costa fra il provato e il non provato; nella quinta naviga il mare. L'immagine è utile perché fissa una gerarchia di atti, non di verità. Cartografare è dire dove finisce la terra; navigare è proporre rotte. La navigazione non produce terra ferma, e nessun numero di rotte tracciate ne produrrà mai.</w:t>
      </w:r>
    </w:p>
    <w:p>
      <w:pPr>
        <w:spacing w:after="120" w:line="276"/>
        <w:jc w:val="both"/>
      </w:pPr>
      <w:r>
        <w:rPr>
          <w:rFonts w:ascii="Barlow Semi Condensed" w:cs="Barlow Semi Condensed" w:eastAsia="Barlow Semi Condensed" w:hAnsi="Barlow Semi Condensed"/>
          <w:b/>
          <w:bCs/>
          <w:sz w:val="24"/>
          <w:szCs w:val="24"/>
        </w:rPr>
        <w:t xml:space="preserve">2033 · Dove cade questo nome nella metafora.</w:t>
      </w:r>
      <w:r>
        <w:rPr>
          <w:rFonts w:ascii="Barlow Semi Condensed" w:cs="Barlow Semi Condensed" w:eastAsia="Barlow Semi Condensed" w:hAnsi="Barlow Semi Condensed"/>
          <w:sz w:val="24"/>
          <w:szCs w:val="24"/>
        </w:rPr>
        <w:t xml:space="preserve"> Collocato nella metafora del capitolo, il nome che qui si triangola non sta sulla costa e non sta neppure fra le rotte: sta nella legenda della carta, alla voce che segnala il fondale non sondato. La mappa dei gradi lo iscrive infatti fra le ricerche chiuse in negativo, non fra le ipotesi ordinate. È una posizione terza, che la pubblicistica non prevede e che il territorio invece definisce.</w:t>
      </w:r>
    </w:p>
    <w:p>
      <w:pPr>
        <w:spacing w:after="120" w:line="276"/>
        <w:jc w:val="both"/>
      </w:pPr>
      <w:r>
        <w:rPr>
          <w:rFonts w:ascii="Barlow Semi Condensed" w:cs="Barlow Semi Condensed" w:eastAsia="Barlow Semi Condensed" w:hAnsi="Barlow Semi Condensed"/>
          <w:b/>
          <w:bCs/>
          <w:sz w:val="24"/>
          <w:szCs w:val="24"/>
        </w:rPr>
        <w:t xml:space="preserve">2034 · Il numero accanto al sospetto.</w:t>
      </w:r>
      <w:r>
        <w:rPr>
          <w:rFonts w:ascii="Barlow Semi Condensed" w:cs="Barlow Semi Condensed" w:eastAsia="Barlow Semi Condensed" w:hAnsi="Barlow Semi Condensed"/>
          <w:sz w:val="24"/>
          <w:szCs w:val="24"/>
        </w:rPr>
        <w:t xml:space="preserve"> Contro l'ordinale il corpus non ha prodotto formula più esatta di questa: un sospetto messo al primo posto resta un sospetto, ha soltanto un numero accanto. Vale prima di tutto per i nomi che nessun giudice ha mai scritto. Il numero è aiuto alla riflessione, non grado di prova. Chi lo legge come prova ha infranto il patto; chi lo scrive perché sia letto così ha infranto altro.</w:t>
      </w:r>
    </w:p>
    <w:p>
      <w:pPr>
        <w:spacing w:after="120" w:line="276"/>
        <w:jc w:val="both"/>
      </w:pPr>
      <w:r>
        <w:rPr>
          <w:rFonts w:ascii="Barlow Semi Condensed" w:cs="Barlow Semi Condensed" w:eastAsia="Barlow Semi Condensed" w:hAnsi="Barlow Semi Condensed"/>
          <w:b/>
          <w:bCs/>
          <w:sz w:val="24"/>
          <w:szCs w:val="24"/>
        </w:rPr>
        <w:t xml:space="preserve">2035 · L'ordine non promuove il dubbio.</w:t>
      </w:r>
      <w:r>
        <w:rPr>
          <w:rFonts w:ascii="Barlow Semi Condensed" w:cs="Barlow Semi Condensed" w:eastAsia="Barlow Semi Condensed" w:hAnsi="Barlow Semi Condensed"/>
          <w:sz w:val="24"/>
          <w:szCs w:val="24"/>
        </w:rPr>
        <w:t xml:space="preserve"> Va isolata la proposizione che il capitolo dichiara la sola avvertenza che conti: l'ordine non promuove il dubbio ad accertato. Detta in termini della regola dei tre piani, significa che nessuna disposizione ordinata di convergenze di piano due le trasforma in un ponte di piano uno. Ordinare è un'operazione formale sulla lista; il grado appartiene invece a ciascun elemento e non cambia perché la lista è stata riordinata.</w:t>
      </w:r>
    </w:p>
    <w:p>
      <w:pPr>
        <w:spacing w:after="120" w:line="276"/>
        <w:jc w:val="both"/>
      </w:pPr>
      <w:r>
        <w:rPr>
          <w:rFonts w:ascii="Barlow Semi Condensed" w:cs="Barlow Semi Condensed" w:eastAsia="Barlow Semi Condensed" w:hAnsi="Barlow Semi Condensed"/>
          <w:b/>
          <w:bCs/>
          <w:sz w:val="24"/>
          <w:szCs w:val="24"/>
        </w:rPr>
        <w:t xml:space="preserve">2036 · La carta nautica da non lasciar cadere.</w:t>
      </w:r>
      <w:r>
        <w:rPr>
          <w:rFonts w:ascii="Barlow Semi Condensed" w:cs="Barlow Semi Condensed" w:eastAsia="Barlow Semi Condensed" w:hAnsi="Barlow Semi Condensed"/>
          <w:sz w:val="24"/>
          <w:szCs w:val="24"/>
        </w:rPr>
        <w:t xml:space="preserve"> La premessa garantista è definita nel capitolo come la carta nautica che dichiara «qui il fondale è mare», e il presidio consiste nel non lasciarla cadere. Tradotto in procedura verificabile: ogni ripresa esterna che citi la Fase quinta senza la sua premessa produce un testo diverso da quello citato. Il controllo è possibile e va fatto, perché è nella ripresa, non nell'originale, che il grado si perde.</w:t>
      </w:r>
    </w:p>
    <w:p>
      <w:pPr>
        <w:spacing w:after="120" w:line="276"/>
        <w:jc w:val="both"/>
      </w:pPr>
      <w:r>
        <w:rPr>
          <w:rFonts w:ascii="Barlow Semi Condensed" w:cs="Barlow Semi Condensed" w:eastAsia="Barlow Semi Condensed" w:hAnsi="Barlow Semi Condensed"/>
          <w:b/>
          <w:bCs/>
          <w:sz w:val="24"/>
          <w:szCs w:val="24"/>
        </w:rPr>
        <w:t xml:space="preserve">2037 · La pseudoreplica come perdita di grado.</w:t>
      </w:r>
      <w:r>
        <w:rPr>
          <w:rFonts w:ascii="Barlow Semi Condensed" w:cs="Barlow Semi Condensed" w:eastAsia="Barlow Semi Condensed" w:hAnsi="Barlow Semi Condensed"/>
          <w:sz w:val="24"/>
          <w:szCs w:val="24"/>
        </w:rPr>
        <w:t xml:space="preserve"> Il caso già accertato dall'opera gemella illustra il meccanismo: le decine di riprese dell'episodio del 1974 risalgono a un unico lancio d'agenzia del 30 novembre 2023, e la loro moltiplicazione è apparente. Applicando qui il capitolo cinquantatreesimo si ottiene la formulazione mancante: la replicazione non è navigazione né cartografia, è la copia di una carta, e copiare una carta non aggiunge un metro di costa.</w:t>
      </w:r>
    </w:p>
    <w:p>
      <w:pPr>
        <w:spacing w:after="120" w:line="276"/>
        <w:jc w:val="both"/>
      </w:pPr>
      <w:r>
        <w:rPr>
          <w:rFonts w:ascii="Barlow Semi Condensed" w:cs="Barlow Semi Condensed" w:eastAsia="Barlow Semi Condensed" w:hAnsi="Barlow Semi Condensed"/>
          <w:b/>
          <w:bCs/>
          <w:sz w:val="24"/>
          <w:szCs w:val="24"/>
        </w:rPr>
        <w:t xml:space="preserve">2038 · Che cosa falsificherebbe il confine.</w:t>
      </w:r>
      <w:r>
        <w:rPr>
          <w:rFonts w:ascii="Barlow Semi Condensed" w:cs="Barlow Semi Condensed" w:eastAsia="Barlow Semi Condensed" w:hAnsi="Barlow Semi Condensed"/>
          <w:sz w:val="24"/>
          <w:szCs w:val="24"/>
        </w:rPr>
        <w:t xml:space="preserve"> Il confine sarebbe falso, ed è il bersaglio di smentita che il capitolo stesso offre, se si dimostrasse che una proposizione delle prime quattro fasi poggia in realtà su materiale della quinta. La verifica è eseguibile riga per riga sulla mappa dei gradi e sull'apparato. Chi la conducesse e trovasse anche un solo caso avrebbe abbattuto non un dettaglio ma l'architettura. Finora nessuno l'ha condotta.</w:t>
      </w:r>
    </w:p>
    <w:p>
      <w:pPr>
        <w:spacing w:after="120" w:line="276"/>
        <w:jc w:val="both"/>
      </w:pPr>
      <w:r>
        <w:rPr>
          <w:rFonts w:ascii="Barlow Semi Condensed" w:cs="Barlow Semi Condensed" w:eastAsia="Barlow Semi Condensed" w:hAnsi="Barlow Semi Condensed"/>
          <w:b/>
          <w:bCs/>
          <w:sz w:val="24"/>
          <w:szCs w:val="24"/>
        </w:rPr>
        <w:t xml:space="preserve">2039 · Il piano due in lingua nautica.</w:t>
      </w:r>
      <w:r>
        <w:rPr>
          <w:rFonts w:ascii="Barlow Semi Condensed" w:cs="Barlow Semi Condensed" w:eastAsia="Barlow Semi Condensed" w:hAnsi="Barlow Semi Condensed"/>
          <w:sz w:val="24"/>
          <w:szCs w:val="24"/>
        </w:rPr>
        <w:t xml:space="preserve"> La regola dei tre piani e la metafora della costa dicono la stessa cosa in due lingue, e la traduzione va fissata. Il piano uno è terra ferma: rapporto diretto documentato. Il piano due è acqua: convergenza entro la stessa cornice, navigabile ma non abitabile. Il piano tre non è neppure acqua: è una rotta disegnata su una carta che nessuno ha rilevato. La traduzione impedisce equivoci fra i due apparati.</w:t>
      </w:r>
    </w:p>
    <w:p>
      <w:pPr>
        <w:spacing w:after="120" w:line="276"/>
        <w:jc w:val="both"/>
      </w:pPr>
      <w:r>
        <w:rPr>
          <w:rFonts w:ascii="Barlow Semi Condensed" w:cs="Barlow Semi Condensed" w:eastAsia="Barlow Semi Condensed" w:hAnsi="Barlow Semi Condensed"/>
          <w:b/>
          <w:bCs/>
          <w:sz w:val="24"/>
          <w:szCs w:val="24"/>
        </w:rPr>
        <w:t xml:space="preserve">2040 · Dove sta l'ostilità documentata.</w:t>
      </w:r>
      <w:r>
        <w:rPr>
          <w:rFonts w:ascii="Barlow Semi Condensed" w:cs="Barlow Semi Condensed" w:eastAsia="Barlow Semi Condensed" w:hAnsi="Barlow Semi Condensed"/>
          <w:sz w:val="24"/>
          <w:szCs w:val="24"/>
        </w:rPr>
        <w:t xml:space="preserve"> L'ostilità di settori dell'alleanza atlantica all'ingresso dei comunisti nell'area di governo è documentata, e la Parte terza la registra come contesto di Livello A. Sulla carta del capitolo cinquantatreesimo essa è costa, non mare: è terra ferma quanto al fatto, e non dice nulla sulla rotta. Il salto dal contesto alla catena di comando è precisamente il passaggio che la fase chiama navigazione, e che nessun documento sostiene.</w:t>
      </w:r>
    </w:p>
    <w:p>
      <w:pPr>
        <w:spacing w:after="120" w:line="276"/>
        <w:jc w:val="both"/>
      </w:pPr>
      <w:r>
        <w:rPr>
          <w:rFonts w:ascii="Barlow Semi Condensed" w:cs="Barlow Semi Condensed" w:eastAsia="Barlow Semi Condensed" w:hAnsi="Barlow Semi Condensed"/>
          <w:b/>
          <w:bCs/>
          <w:sz w:val="24"/>
          <w:szCs w:val="24"/>
        </w:rPr>
        <w:t xml:space="preserve">2041 · La prossimità non è mandato.</w:t>
      </w:r>
      <w:r>
        <w:rPr>
          <w:rFonts w:ascii="Barlow Semi Condensed" w:cs="Barlow Semi Condensed" w:eastAsia="Barlow Semi Condensed" w:hAnsi="Barlow Semi Condensed"/>
          <w:sz w:val="24"/>
          <w:szCs w:val="24"/>
        </w:rPr>
        <w:t xml:space="preserve"> Formulata nella Parte terza al capitolo nono, la regola dice: la prossimità di un nemico non è il suo mandato. È la stessa cosa che il capitolo cinquantatreesimo dice in figura, e le due formulazioni vanno usate insieme perché coprono errori diversi. La prima colpisce l'inferenza dal movente; la seconda colpisce l'inferenza dall'ordine di una lista. Nessuna delle due riguarda la simpatia che si prova per l'imputato ipotetico.</w:t>
      </w:r>
    </w:p>
    <w:p>
      <w:pPr>
        <w:spacing w:after="120" w:line="276"/>
        <w:jc w:val="both"/>
      </w:pPr>
      <w:r>
        <w:rPr>
          <w:rFonts w:ascii="Barlow Semi Condensed" w:cs="Barlow Semi Condensed" w:eastAsia="Barlow Semi Condensed" w:hAnsi="Barlow Semi Condensed"/>
          <w:b/>
          <w:bCs/>
          <w:sz w:val="24"/>
          <w:szCs w:val="24"/>
        </w:rPr>
        <w:t xml:space="preserve">2042 · Le nove voci del Livello A.</w:t>
      </w:r>
      <w:r>
        <w:rPr>
          <w:rFonts w:ascii="Barlow Semi Condensed" w:cs="Barlow Semi Condensed" w:eastAsia="Barlow Semi Condensed" w:hAnsi="Barlow Semi Condensed"/>
          <w:sz w:val="24"/>
          <w:szCs w:val="24"/>
        </w:rPr>
        <w:t xml:space="preserve"> La mappa dei gradi elenca nove voci accertate: la responsabilità brigatista con i cinque processi definitivi, l'identità dei cinque della scorta, la prigionia e la sua durata, la redazione del carteggio, la scelta della fermezza, via Gradoli il 18 aprile 1978, il doppio ritrovamento di via Monte Nevoso, le omissioni documentate dalle Commissioni, la formula della verità dicibile. Nessuna riguarda l'estero. Il conteggio è la prima acquisizione della serie.</w:t>
      </w:r>
    </w:p>
    <w:p>
      <w:pPr>
        <w:spacing w:after="120" w:line="276"/>
        <w:jc w:val="both"/>
      </w:pPr>
      <w:r>
        <w:rPr>
          <w:rFonts w:ascii="Barlow Semi Condensed" w:cs="Barlow Semi Condensed" w:eastAsia="Barlow Semi Condensed" w:hAnsi="Barlow Semi Condensed"/>
          <w:b/>
          <w:bCs/>
          <w:sz w:val="24"/>
          <w:szCs w:val="24"/>
        </w:rPr>
        <w:t xml:space="preserve">2043 · L'estero assente dall'accertato.</w:t>
      </w:r>
      <w:r>
        <w:rPr>
          <w:rFonts w:ascii="Barlow Semi Condensed" w:cs="Barlow Semi Condensed" w:eastAsia="Barlow Semi Condensed" w:hAnsi="Barlow Semi Condensed"/>
          <w:sz w:val="24"/>
          <w:szCs w:val="24"/>
        </w:rPr>
        <w:t xml:space="preserve"> Che nessuna delle nove voci accertate tocchi il versante internazionale è un dato strutturale e non un'omissione. Significa che, nel documento che governa i gradi dell'intera opera, l'estero non contribuisce di un solo elemento al pavimento di ciò che regge in giudizio. Chi costruisca un ragionamento atlantico sul caso deve partire sapendo che parte da zero riferimenti nella colonna A, non da pochi.</w:t>
      </w:r>
    </w:p>
    <w:p>
      <w:pPr>
        <w:spacing w:after="120" w:line="276"/>
        <w:jc w:val="both"/>
      </w:pPr>
      <w:r>
        <w:rPr>
          <w:rFonts w:ascii="Barlow Semi Condensed" w:cs="Barlow Semi Condensed" w:eastAsia="Barlow Semi Condensed" w:hAnsi="Barlow Semi Condensed"/>
          <w:b/>
          <w:bCs/>
          <w:sz w:val="24"/>
          <w:szCs w:val="24"/>
        </w:rPr>
        <w:t xml:space="preserve">2044 · Le tre voci probabili.</w:t>
      </w:r>
      <w:r>
        <w:rPr>
          <w:rFonts w:ascii="Barlow Semi Condensed" w:cs="Barlow Semi Condensed" w:eastAsia="Barlow Semi Condensed" w:hAnsi="Barlow Semi Condensed"/>
          <w:sz w:val="24"/>
          <w:szCs w:val="24"/>
        </w:rPr>
        <w:t xml:space="preserve"> Al grado probabile la mappa assegna tre sole voci: la manipolazione o incompletezza deliberata della prima versione del memoriale, il carattere non del tutto sincero di alcune aperture di trattativa, la rilevanza operativa di singole omissioni oltre la soglia dell'inefficienza. Tutte e tre sono interne. Il documento che le muoverebbe è indicato per ciascuna: catena di custodia, atti riservati dei canali, collegamento fra ostruzione e direttiva.</w:t>
      </w:r>
    </w:p>
    <w:p>
      <w:pPr>
        <w:spacing w:after="120" w:line="276"/>
        <w:jc w:val="both"/>
      </w:pPr>
      <w:r>
        <w:rPr>
          <w:rFonts w:ascii="Barlow Semi Condensed" w:cs="Barlow Semi Condensed" w:eastAsia="Barlow Semi Condensed" w:hAnsi="Barlow Semi Condensed"/>
          <w:b/>
          <w:bCs/>
          <w:sz w:val="24"/>
          <w:szCs w:val="24"/>
        </w:rPr>
        <w:t xml:space="preserve">2045 · La testimonianza che nessun livello ospita.</w:t>
      </w:r>
      <w:r>
        <w:rPr>
          <w:rFonts w:ascii="Barlow Semi Condensed" w:cs="Barlow Semi Condensed" w:eastAsia="Barlow Semi Condensed" w:hAnsi="Barlow Semi Condensed"/>
          <w:sz w:val="24"/>
          <w:szCs w:val="24"/>
        </w:rPr>
        <w:t xml:space="preserve"> Ne discende un rilievo che il territorio non contiene e che qui si verbalizza: la testimonianza sull'avvertimento non compare in alcuna delle quattro colonne della mappa. Non è A, non è B, non è C, non è Stato Zero, perché quello riguarda il documento del mandato e non la deposizione. Nella mappa che governa i gradi dell'opera, quel materiale è privo di casella. La lacuna è di classificazione, non di conoscenza.</w:t>
      </w:r>
    </w:p>
    <w:p>
      <w:pPr>
        <w:spacing w:after="120" w:line="276"/>
        <w:jc w:val="both"/>
      </w:pPr>
      <w:r>
        <w:rPr>
          <w:rFonts w:ascii="Barlow Semi Condensed" w:cs="Barlow Semi Condensed" w:eastAsia="Barlow Semi Condensed" w:hAnsi="Barlow Semi Condensed"/>
          <w:b/>
          <w:bCs/>
          <w:sz w:val="24"/>
          <w:szCs w:val="24"/>
        </w:rPr>
        <w:t xml:space="preserve">2046 · La divergenza con la Fase nona.</w:t>
      </w:r>
      <w:r>
        <w:rPr>
          <w:rFonts w:ascii="Barlow Semi Condensed" w:cs="Barlow Semi Condensed" w:eastAsia="Barlow Semi Condensed" w:hAnsi="Barlow Semi Condensed"/>
          <w:sz w:val="24"/>
          <w:szCs w:val="24"/>
        </w:rPr>
        <w:t xml:space="preserve"> La Fase nona, al capitolo settantaquattresimo, grada B la testimonianza della famiglia, includendo espressamente l'avvertimento riferito e rinviando al nodo M-5 delle triangolazioni Guevara-Moro. La Fase sesta, nel Livello B, non la elenca. Le due fasi divergono, e la divergenza si riporta come prescrive la disciplina delle assenze. La sede che la scioglierebbe è interna al corpus: una revisione dichiarata della mappa, non una scelta silenziosa.</w:t>
      </w:r>
    </w:p>
    <w:p>
      <w:pPr>
        <w:spacing w:after="120" w:line="276"/>
        <w:jc w:val="both"/>
      </w:pPr>
      <w:r>
        <w:rPr>
          <w:rFonts w:ascii="Barlow Semi Condensed" w:cs="Barlow Semi Condensed" w:eastAsia="Barlow Semi Condensed" w:hAnsi="Barlow Semi Condensed"/>
          <w:b/>
          <w:bCs/>
          <w:sz w:val="24"/>
          <w:szCs w:val="24"/>
        </w:rPr>
        <w:t xml:space="preserve">2047 · La divergenza con la Parte terza.</w:t>
      </w:r>
      <w:r>
        <w:rPr>
          <w:rFonts w:ascii="Barlow Semi Condensed" w:cs="Barlow Semi Condensed" w:eastAsia="Barlow Semi Condensed" w:hAnsi="Barlow Semi Condensed"/>
          <w:sz w:val="24"/>
          <w:szCs w:val="24"/>
        </w:rPr>
        <w:t xml:space="preserve"> Divergenza seconda, di segno opposto: la Parte terza, al capitolo nono, colloca l'avvertimento riferito fra ciò che è accertato come contesto, cioè in prossimità del Livello A, e vi aggiunge la smentita costante dell'interessato. Sommate, le tre collocazioni del corpus danno B nella Fase nona, A come contesto nella Parte terza, nulla nella Fase sesta. Tre documenti, tre trattamenti: è lo stato reale della classificazione.</w:t>
      </w:r>
    </w:p>
    <w:p>
      <w:pPr>
        <w:spacing w:after="120" w:line="276"/>
        <w:jc w:val="both"/>
      </w:pPr>
      <w:r>
        <w:rPr>
          <w:rFonts w:ascii="Barlow Semi Condensed" w:cs="Barlow Semi Condensed" w:eastAsia="Barlow Semi Condensed" w:hAnsi="Barlow Semi Condensed"/>
          <w:b/>
          <w:bCs/>
          <w:sz w:val="24"/>
          <w:szCs w:val="24"/>
        </w:rPr>
        <w:t xml:space="preserve">2048 · Come si scioglie una divergenza di grado.</w:t>
      </w:r>
      <w:r>
        <w:rPr>
          <w:rFonts w:ascii="Barlow Semi Condensed" w:cs="Barlow Semi Condensed" w:eastAsia="Barlow Semi Condensed" w:hAnsi="Barlow Semi Condensed"/>
          <w:sz w:val="24"/>
          <w:szCs w:val="24"/>
        </w:rPr>
        <w:t xml:space="preserve"> Regola di lettura che la fase autorizza e non enuncia: quando due documenti del corpus gradano diversamente lo stesso materiale, prevale il grado più severo finché una revisione dichiarata non intervenga. Applicata qui, la regola tiene la testimonianza fuori dal Livello B e la lascia dove la nota di revisione del 25 agosto 2026 l'ha collocata, testimonianza contestata e non accertamento. Il grado più severo è anche il più difendibile.</w:t>
      </w:r>
    </w:p>
    <w:p>
      <w:pPr>
        <w:spacing w:after="120" w:line="276"/>
        <w:jc w:val="both"/>
      </w:pPr>
      <w:r>
        <w:rPr>
          <w:rFonts w:ascii="Barlow Semi Condensed" w:cs="Barlow Semi Condensed" w:eastAsia="Barlow Semi Condensed" w:hAnsi="Barlow Semi Condensed"/>
          <w:b/>
          <w:bCs/>
          <w:sz w:val="24"/>
          <w:szCs w:val="24"/>
        </w:rPr>
        <w:t xml:space="preserve">2049 · Le quattro voci del possibile.</w:t>
      </w:r>
      <w:r>
        <w:rPr>
          <w:rFonts w:ascii="Barlow Semi Condensed" w:cs="Barlow Semi Condensed" w:eastAsia="Barlow Semi Condensed" w:hAnsi="Barlow Semi Condensed"/>
          <w:sz w:val="24"/>
          <w:szCs w:val="24"/>
        </w:rPr>
        <w:t xml:space="preserve"> Quattro voci compongono il Livello C: le prigioni alternative o ulteriori, la lettura non innocente di via Gradoli e della seduta spiritica, le regie internazionali del sequestro come catena di comando, il mandato esterno alle Brigate Rosse. Le ultime due sono la materia di questa serie, e la mappa aggiunge per tutte la stessa condizione: ciò che le promuoverebbe è un documento che oggi non esiste.</w:t>
      </w:r>
    </w:p>
    <w:p>
      <w:pPr>
        <w:spacing w:after="120" w:line="276"/>
        <w:jc w:val="both"/>
      </w:pPr>
      <w:r>
        <w:rPr>
          <w:rFonts w:ascii="Barlow Semi Condensed" w:cs="Barlow Semi Condensed" w:eastAsia="Barlow Semi Condensed" w:hAnsi="Barlow Semi Condensed"/>
          <w:b/>
          <w:bCs/>
          <w:sz w:val="24"/>
          <w:szCs w:val="24"/>
        </w:rPr>
        <w:t xml:space="preserve">2050 · Due voci che non coincidono.</w:t>
      </w:r>
      <w:r>
        <w:rPr>
          <w:rFonts w:ascii="Barlow Semi Condensed" w:cs="Barlow Semi Condensed" w:eastAsia="Barlow Semi Condensed" w:hAnsi="Barlow Semi Condensed"/>
          <w:sz w:val="24"/>
          <w:szCs w:val="24"/>
        </w:rPr>
        <w:t xml:space="preserve"> Regie internazionali e mandato esterno sono voci distinte e vanno tenute separate anche quando la pubblicistica le fonde. La prima riguarda una direzione strategica dell'operazione; la seconda un ordine impartito a chi la eseguì. Si possono immaginare documenti che sostengano l'una senza l'altra, ed è per questo che la mappa le elenca in righe diverse. Chi le tratta come sinonimi ha già ridotto due quesiti a uno slogan.</w:t>
      </w:r>
    </w:p>
    <w:p>
      <w:pPr>
        <w:spacing w:after="120" w:line="276"/>
        <w:jc w:val="both"/>
      </w:pPr>
      <w:r>
        <w:rPr>
          <w:rFonts w:ascii="Barlow Semi Condensed" w:cs="Barlow Semi Condensed" w:eastAsia="Barlow Semi Condensed" w:hAnsi="Barlow Semi Condensed"/>
          <w:b/>
          <w:bCs/>
          <w:sz w:val="24"/>
          <w:szCs w:val="24"/>
        </w:rPr>
        <w:t xml:space="preserve">2051 · La prima voce del perimetro negativo.</w:t>
      </w:r>
      <w:r>
        <w:rPr>
          <w:rFonts w:ascii="Barlow Semi Condensed" w:cs="Barlow Semi Condensed" w:eastAsia="Barlow Semi Condensed" w:hAnsi="Barlow Semi Condensed"/>
          <w:sz w:val="24"/>
          <w:szCs w:val="24"/>
        </w:rPr>
        <w:t xml:space="preserve"> Lo Stato Zero della mappa si apre con il documento che provi l'eterodirezione del sequestro: cercato, non trovato. È la voce che l'apparato dei gradi ripete alla riga diciotto come falsificatore dell'autonomia brigatista, chiedendo un atto coevo, esterno e autenticato. Nessuno dei tre requisiti è ornamentale: coevo esclude le memorie tardive, esterno esclude le dichiarazioni degli attori, autenticato esclude le copie senza catena di custodia.</w:t>
      </w:r>
    </w:p>
    <w:p>
      <w:pPr>
        <w:spacing w:after="120" w:line="276"/>
        <w:jc w:val="both"/>
      </w:pPr>
      <w:r>
        <w:rPr>
          <w:rFonts w:ascii="Barlow Semi Condensed" w:cs="Barlow Semi Condensed" w:eastAsia="Barlow Semi Condensed" w:hAnsi="Barlow Semi Condensed"/>
          <w:b/>
          <w:bCs/>
          <w:sz w:val="24"/>
          <w:szCs w:val="24"/>
        </w:rPr>
        <w:t xml:space="preserve">2052 · La seconda voce, quella col nome.</w:t>
      </w:r>
      <w:r>
        <w:rPr>
          <w:rFonts w:ascii="Barlow Semi Condensed" w:cs="Barlow Semi Condensed" w:eastAsia="Barlow Semi Condensed" w:hAnsi="Barlow Semi Condensed"/>
          <w:sz w:val="24"/>
          <w:szCs w:val="24"/>
        </w:rPr>
        <w:t xml:space="preserve"> Segue la voce che qui interessa: il documento che leghi Kissinger-persona, o qualunque apparato straniero nominato, alla catena di comando del delitto. Il predicato è «leghi alla catena di comando», non «documenti un'ostilità» né «attesti un colloquio duro». La differenza fra i tre predicati è l'intera posta della triangolazione, e la fase la fissa in una riga sola. Chi cita la voce deve citarne il predicato per intero.</w:t>
      </w:r>
    </w:p>
    <w:p>
      <w:pPr>
        <w:spacing w:after="120" w:line="276"/>
        <w:jc w:val="both"/>
      </w:pPr>
      <w:r>
        <w:rPr>
          <w:rFonts w:ascii="Barlow Semi Condensed" w:cs="Barlow Semi Condensed" w:eastAsia="Barlow Semi Condensed" w:hAnsi="Barlow Semi Condensed"/>
          <w:b/>
          <w:bCs/>
          <w:sz w:val="24"/>
          <w:szCs w:val="24"/>
        </w:rPr>
        <w:t xml:space="preserve">2053 · La terza voce, l'isomorfismo.</w:t>
      </w:r>
      <w:r>
        <w:rPr>
          <w:rFonts w:ascii="Barlow Semi Condensed" w:cs="Barlow Semi Condensed" w:eastAsia="Barlow Semi Condensed" w:hAnsi="Barlow Semi Condensed"/>
          <w:sz w:val="24"/>
          <w:szCs w:val="24"/>
        </w:rPr>
        <w:t xml:space="preserve"> La terza voce chiede il documento che provi l'isomorfismo fra le reti anticomuniste evocate e la struttura operativa del sequestro. È la meno citata delle tre e la più istruttiva, perché non chiede un ordine ma una corrispondenza di forma. Il corpus l'ha cercata e chiusa in negativo. Vale la pena notarlo: la fase, senza usare il termine, ha verbalizzato qui una ricerca di omologia strutturale.</w:t>
      </w:r>
    </w:p>
    <w:p>
      <w:pPr>
        <w:spacing w:after="120" w:line="276"/>
        <w:jc w:val="both"/>
      </w:pPr>
      <w:r>
        <w:rPr>
          <w:rFonts w:ascii="Barlow Semi Condensed" w:cs="Barlow Semi Condensed" w:eastAsia="Barlow Semi Condensed" w:hAnsi="Barlow Semi Condensed"/>
          <w:b/>
          <w:bCs/>
          <w:sz w:val="24"/>
          <w:szCs w:val="24"/>
        </w:rPr>
        <w:t xml:space="preserve">2054 · Isomorfismo non prova discendenza.</w:t>
      </w:r>
      <w:r>
        <w:rPr>
          <w:rFonts w:ascii="Barlow Semi Condensed" w:cs="Barlow Semi Condensed" w:eastAsia="Barlow Semi Condensed" w:hAnsi="Barlow Semi Condensed"/>
          <w:sz w:val="24"/>
          <w:szCs w:val="24"/>
        </w:rPr>
        <w:t xml:space="preserve"> Va però aggiunto ciò che la voce non dice, perché senza l'aggiunta si presta all'abuso inverso: un isomorfismo, se anche fosse documentato, proverebbe una somiglianza di forma e non un antenato comune. Due strutture possono somigliarsi perché rispondono allo stesso problema operativo. Il test resta uno solo, ed è quello della seconda voce: un documento di provenienza che nomini la controparte. La forma non sostituisce la provenienza.</w:t>
      </w:r>
    </w:p>
    <w:p>
      <w:pPr>
        <w:spacing w:after="120" w:line="276"/>
        <w:jc w:val="both"/>
      </w:pPr>
      <w:r>
        <w:rPr>
          <w:rFonts w:ascii="Barlow Semi Condensed" w:cs="Barlow Semi Condensed" w:eastAsia="Barlow Semi Condensed" w:hAnsi="Barlow Semi Condensed"/>
          <w:b/>
          <w:bCs/>
          <w:sz w:val="24"/>
          <w:szCs w:val="24"/>
        </w:rPr>
        <w:t xml:space="preserve">2055 · Le sedi che chiuderebbero la seconda voce.</w:t>
      </w:r>
      <w:r>
        <w:rPr>
          <w:rFonts w:ascii="Barlow Semi Condensed" w:cs="Barlow Semi Condensed" w:eastAsia="Barlow Semi Condensed" w:hAnsi="Barlow Semi Condensed"/>
          <w:sz w:val="24"/>
          <w:szCs w:val="24"/>
        </w:rPr>
        <w:t xml:space="preserve"> Accanto a ogni Stato Zero la disciplina delle assenze impone di scrivere la sede che lo chiuderebbe, e la fase non lo fa. Si supplisce qui: per la voce sul nome, le carte personali presso Manuscripts and Archives della Yale University Library e le carte d'ufficio presso la Manuscript Division della Library of Congress, il cui atto di donazione va letto prima delle carte perché stabilisce chi vede cosa e quando.</w:t>
      </w:r>
    </w:p>
    <w:p>
      <w:pPr>
        <w:spacing w:after="120" w:line="276"/>
        <w:jc w:val="both"/>
      </w:pPr>
      <w:r>
        <w:rPr>
          <w:rFonts w:ascii="Barlow Semi Condensed" w:cs="Barlow Semi Condensed" w:eastAsia="Barlow Semi Condensed" w:hAnsi="Barlow Semi Condensed"/>
          <w:b/>
          <w:bCs/>
          <w:sz w:val="24"/>
          <w:szCs w:val="24"/>
        </w:rPr>
        <w:t xml:space="preserve">2056 · Le sedi italiane per la stessa voce.</w:t>
      </w:r>
      <w:r>
        <w:rPr>
          <w:rFonts w:ascii="Barlow Semi Condensed" w:cs="Barlow Semi Condensed" w:eastAsia="Barlow Semi Condensed" w:hAnsi="Barlow Semi Condensed"/>
          <w:sz w:val="24"/>
          <w:szCs w:val="24"/>
        </w:rPr>
        <w:t xml:space="preserve"> Sul versante italiano la sede è una e ha un nome preciso: la collezione delle stragi presso l'Archivio Centrale dello Stato, formata in esecuzione della direttiva del 22 aprile 2014 ed estesa al sequestro Moro da quella del 2 dicembre 2014, settantasette versamenti da centocinquantasei uffici, circa duemila buste mai spogliate con queste chiavi. Interrogarla per Dipartimento di Stato, ambasciata a Washington e avvertimento è un atto eseguibile domani.</w:t>
      </w:r>
    </w:p>
    <w:p>
      <w:pPr>
        <w:spacing w:after="120" w:line="276"/>
        <w:jc w:val="both"/>
      </w:pPr>
      <w:r>
        <w:rPr>
          <w:rFonts w:ascii="Barlow Semi Condensed" w:cs="Barlow Semi Condensed" w:eastAsia="Barlow Semi Condensed" w:hAnsi="Barlow Semi Condensed"/>
          <w:b/>
          <w:bCs/>
          <w:sz w:val="24"/>
          <w:szCs w:val="24"/>
        </w:rPr>
        <w:t xml:space="preserve">2057 · La sede che chiuderebbe la terza voce.</w:t>
      </w:r>
      <w:r>
        <w:rPr>
          <w:rFonts w:ascii="Barlow Semi Condensed" w:cs="Barlow Semi Condensed" w:eastAsia="Barlow Semi Condensed" w:hAnsi="Barlow Semi Condensed"/>
          <w:sz w:val="24"/>
          <w:szCs w:val="24"/>
        </w:rPr>
        <w:t xml:space="preserve"> Per l'isomorfismo delle reti anticomuniste la sede è diversa e va nominata separatamente: gli atti della Commissione parlamentare d'inchiesta sulla loggia P2 e i fondi del Ministero dell'Interno versati all'Archivio Centrale dello Stato, incrociati con gli elenchi sequestrati a Castiglion Fibocchi. Nessuno di questi giacimenti produce, di per sé, un legame con un nome straniero: l'incrocio va condotto e il suo esito, quale che sia, verbalizzato.</w:t>
      </w:r>
    </w:p>
    <w:p>
      <w:pPr>
        <w:spacing w:after="120" w:line="276"/>
        <w:jc w:val="both"/>
      </w:pPr>
      <w:r>
        <w:rPr>
          <w:rFonts w:ascii="Barlow Semi Condensed" w:cs="Barlow Semi Condensed" w:eastAsia="Barlow Semi Condensed" w:hAnsi="Barlow Semi Condensed"/>
          <w:b/>
          <w:bCs/>
          <w:sz w:val="24"/>
          <w:szCs w:val="24"/>
        </w:rPr>
        <w:t xml:space="preserve">2058 · La formula cercato e non trovato.</w:t>
      </w:r>
      <w:r>
        <w:rPr>
          <w:rFonts w:ascii="Barlow Semi Condensed" w:cs="Barlow Semi Condensed" w:eastAsia="Barlow Semi Condensed" w:hAnsi="Barlow Semi Condensed"/>
          <w:sz w:val="24"/>
          <w:szCs w:val="24"/>
        </w:rPr>
        <w:t xml:space="preserve"> Tre parole reggono l'intero istituto: cercato e non trovato. Non «non risulta», che è formula d'ufficio; non «non esiste», che sarebbe affermazione su un universo inesplorabile. Cercato e non trovato è una proposizione su un'attività umana datata e localizzabile, e per questo falsificabile: basta mostrare che la ricerca non fu condotta, o fu condotta male. È la ragione per cui uno Stato Zero vale quanto un Livello A.</w:t>
      </w:r>
    </w:p>
    <w:p>
      <w:pPr>
        <w:spacing w:after="120" w:line="276"/>
        <w:jc w:val="both"/>
      </w:pPr>
      <w:r>
        <w:rPr>
          <w:rFonts w:ascii="Barlow Semi Condensed" w:cs="Barlow Semi Condensed" w:eastAsia="Barlow Semi Condensed" w:hAnsi="Barlow Semi Condensed"/>
          <w:b/>
          <w:bCs/>
          <w:sz w:val="24"/>
          <w:szCs w:val="24"/>
        </w:rPr>
        <w:t xml:space="preserve">2059 · Che cosa la mappa non chiude.</w:t>
      </w:r>
      <w:r>
        <w:rPr>
          <w:rFonts w:ascii="Barlow Semi Condensed" w:cs="Barlow Semi Condensed" w:eastAsia="Barlow Semi Condensed" w:hAnsi="Barlow Semi Condensed"/>
          <w:sz w:val="24"/>
          <w:szCs w:val="24"/>
        </w:rPr>
        <w:t xml:space="preserve"> Congedandosi, il capitolo cinquantaquattresimo dice che la mappa non chiude il caso e fa una cosa più modesta: consente di sapere su che cosa si poggiano i piedi. Applicata al nostro nome, la modestia è letterale: la mappa non dice che l'ipotesi atlantica sia falsa, dice che non è provata e indica il tipo di documento che deciderebbe. Fra le due proposizioni corre tutta la differenza fra ricerca e verdetto.</w:t>
      </w:r>
    </w:p>
    <w:p>
      <w:pPr>
        <w:spacing w:after="120" w:line="276"/>
        <w:jc w:val="both"/>
      </w:pPr>
      <w:r>
        <w:rPr>
          <w:rFonts w:ascii="Barlow Semi Condensed" w:cs="Barlow Semi Condensed" w:eastAsia="Barlow Semi Condensed" w:hAnsi="Barlow Semi Condensed"/>
          <w:b/>
          <w:bCs/>
          <w:sz w:val="24"/>
          <w:szCs w:val="24"/>
        </w:rPr>
        <w:t xml:space="preserve">2060 · Il complemento e la sua misura.</w:t>
      </w:r>
      <w:r>
        <w:rPr>
          <w:rFonts w:ascii="Barlow Semi Condensed" w:cs="Barlow Semi Condensed" w:eastAsia="Barlow Semi Condensed" w:hAnsi="Barlow Semi Condensed"/>
          <w:sz w:val="24"/>
          <w:szCs w:val="24"/>
        </w:rPr>
        <w:t xml:space="preserve"> Poco più di milleottocento parole compongono l'apparato dei gradi, che copre i cinquanta capitoli con quattro colonne: asserzione portante, grado prevalente, criterio di smentita, più la sigla riservata ai capitoli di metodo privi di grado fattuale. È il documento più vicino a un indice verificabile che il corpus possieda, e su di esso, non sulla prosa della fase, va condotta ogni verifica di coerenza.</w:t>
      </w:r>
    </w:p>
    <w:p>
      <w:pPr>
        <w:spacing w:after="120" w:line="276"/>
        <w:jc w:val="both"/>
      </w:pPr>
      <w:r>
        <w:rPr>
          <w:rFonts w:ascii="Barlow Semi Condensed" w:cs="Barlow Semi Condensed" w:eastAsia="Barlow Semi Condensed" w:hAnsi="Barlow Semi Condensed"/>
          <w:b/>
          <w:bCs/>
          <w:sz w:val="24"/>
          <w:szCs w:val="24"/>
        </w:rPr>
        <w:t xml:space="preserve">2061 · La riga undicesima e il suo falsificatore.</w:t>
      </w:r>
      <w:r>
        <w:rPr>
          <w:rFonts w:ascii="Barlow Semi Condensed" w:cs="Barlow Semi Condensed" w:eastAsia="Barlow Semi Condensed" w:hAnsi="Barlow Semi Condensed"/>
          <w:sz w:val="24"/>
          <w:szCs w:val="24"/>
        </w:rPr>
        <w:t xml:space="preserve"> Il quadro internazionale è registrato, alla riga undici, come contesto di grado A, col falsificatore «documenti che escludano l'ostilità internazionale, non trovati». Il criterio è debole e va detto: chiede la prova di un negativo universale, cioè esattamente ciò che la disciplina del grado vieta. Una riga che si difende con un criterio impossibile è di fatto immunizzata, per quanto il suo contenuto sia esatto.</w:t>
      </w:r>
    </w:p>
    <w:p>
      <w:pPr>
        <w:spacing w:after="120" w:line="276"/>
        <w:jc w:val="both"/>
      </w:pPr>
      <w:r>
        <w:rPr>
          <w:rFonts w:ascii="Barlow Semi Condensed" w:cs="Barlow Semi Condensed" w:eastAsia="Barlow Semi Condensed" w:hAnsi="Barlow Semi Condensed"/>
          <w:b/>
          <w:bCs/>
          <w:sz w:val="24"/>
          <w:szCs w:val="24"/>
        </w:rPr>
        <w:t xml:space="preserve">2062 · Come riscrivere quel criterio.</w:t>
      </w:r>
      <w:r>
        <w:rPr>
          <w:rFonts w:ascii="Barlow Semi Condensed" w:cs="Barlow Semi Condensed" w:eastAsia="Barlow Semi Condensed" w:hAnsi="Barlow Semi Condensed"/>
          <w:sz w:val="24"/>
          <w:szCs w:val="24"/>
        </w:rPr>
        <w:t xml:space="preserve"> Il rimedio è semplice e resta dentro la disciplina: sostituire al negativo universale un falsificatore puntuale. L'ostilità documentata cadrebbe non davanti a documenti che la escludano in generale, ma davanti alla collazione dei verbali già citati, il colloquio del 25 settembre 1974 e quello del giorno successivo, che ne mostrasse un contenuto diverso. Un criterio si giudica dalla sua eseguibilità, non dalla sua ampiezza.</w:t>
      </w:r>
    </w:p>
    <w:p>
      <w:pPr>
        <w:spacing w:after="120" w:line="276"/>
        <w:jc w:val="both"/>
      </w:pPr>
      <w:r>
        <w:rPr>
          <w:rFonts w:ascii="Barlow Semi Condensed" w:cs="Barlow Semi Condensed" w:eastAsia="Barlow Semi Condensed" w:hAnsi="Barlow Semi Condensed"/>
          <w:b/>
          <w:bCs/>
          <w:sz w:val="24"/>
          <w:szCs w:val="24"/>
        </w:rPr>
        <w:t xml:space="preserve">2063 · La riga quindicesima, gli avvertimenti.</w:t>
      </w:r>
      <w:r>
        <w:rPr>
          <w:rFonts w:ascii="Barlow Semi Condensed" w:cs="Barlow Semi Condensed" w:eastAsia="Barlow Semi Condensed" w:hAnsi="Barlow Semi Condensed"/>
          <w:sz w:val="24"/>
          <w:szCs w:val="24"/>
        </w:rPr>
        <w:t xml:space="preserve"> La riga quindicesima registra gli avvertimenti attorno al tessitore, con grado A per l'esistenza di contrarietà e C per un mandato che ne discenda; il falsificatore è un documento che leghi un avvertimento a una direttiva esecutiva. È la riga in cui la testimonianza contestata dovrebbe stare, ed è formulata al plurale e senza nomi. La depersonalizzazione è coerente col regime dell'apparato, ma cancella la possibilità di verificare quale avvertimento si intenda.</w:t>
      </w:r>
    </w:p>
    <w:p>
      <w:pPr>
        <w:spacing w:after="120" w:line="276"/>
        <w:jc w:val="both"/>
      </w:pPr>
      <w:r>
        <w:rPr>
          <w:rFonts w:ascii="Barlow Semi Condensed" w:cs="Barlow Semi Condensed" w:eastAsia="Barlow Semi Condensed" w:hAnsi="Barlow Semi Condensed"/>
          <w:b/>
          <w:bCs/>
          <w:sz w:val="24"/>
          <w:szCs w:val="24"/>
        </w:rPr>
        <w:t xml:space="preserve">2064 · Il falsificatore più utile del corpus.</w:t>
      </w:r>
      <w:r>
        <w:rPr>
          <w:rFonts w:ascii="Barlow Semi Condensed" w:cs="Barlow Semi Condensed" w:eastAsia="Barlow Semi Condensed" w:hAnsi="Barlow Semi Condensed"/>
          <w:sz w:val="24"/>
          <w:szCs w:val="24"/>
        </w:rPr>
        <w:t xml:space="preserve"> Fra tutti i criteri di smentita censiti, quello che chiede un documento capace di legare un avvertimento a una direttiva esecutiva è il più utile per la nostra triangolazione, perché è insieme preciso ed eseguibile. Non chiede di provare che l'avvertimento fu dato: chiede l'anello successivo. Anche se la frase del 1974 fosse un giorno documentata, senza quell'anello la riga resterebbe a C.</w:t>
      </w:r>
    </w:p>
    <w:p>
      <w:pPr>
        <w:spacing w:after="120" w:line="276"/>
        <w:jc w:val="both"/>
      </w:pPr>
      <w:r>
        <w:rPr>
          <w:rFonts w:ascii="Barlow Semi Condensed" w:cs="Barlow Semi Condensed" w:eastAsia="Barlow Semi Condensed" w:hAnsi="Barlow Semi Condensed"/>
          <w:b/>
          <w:bCs/>
          <w:sz w:val="24"/>
          <w:szCs w:val="24"/>
        </w:rPr>
        <w:t xml:space="preserve">2065 · La riga diciottesima e l'autonomia.</w:t>
      </w:r>
      <w:r>
        <w:rPr>
          <w:rFonts w:ascii="Barlow Semi Condensed" w:cs="Barlow Semi Condensed" w:eastAsia="Barlow Semi Condensed" w:hAnsi="Barlow Semi Condensed"/>
          <w:sz w:val="24"/>
          <w:szCs w:val="24"/>
        </w:rPr>
        <w:t xml:space="preserve"> Il grado A copre, alla riga diciotto, l'autonomia accertata delle Brigate Rosse come organizzazione armata. È la riga che sostiene tutte le altre, e la sua smentita coincide con la prima voce dello Stato Zero. Ne discende una conseguenza raramente esplicitata: qualunque documento provasse l'eterodirezione abbatterebbe insieme una riga A e uno Stato Zero, cioè due istituti diversi. Sarebbe l'evento più rilevante della storiografia del caso.</w:t>
      </w:r>
    </w:p>
    <w:p>
      <w:pPr>
        <w:spacing w:after="120" w:line="276"/>
        <w:jc w:val="both"/>
      </w:pPr>
      <w:r>
        <w:rPr>
          <w:rFonts w:ascii="Barlow Semi Condensed" w:cs="Barlow Semi Condensed" w:eastAsia="Barlow Semi Condensed" w:hAnsi="Barlow Semi Condensed"/>
          <w:b/>
          <w:bCs/>
          <w:sz w:val="24"/>
          <w:szCs w:val="24"/>
        </w:rPr>
        <w:t xml:space="preserve">2066 · La riga trentanovesima, senza nome.</w:t>
      </w:r>
      <w:r>
        <w:rPr>
          <w:rFonts w:ascii="Barlow Semi Condensed" w:cs="Barlow Semi Condensed" w:eastAsia="Barlow Semi Condensed" w:hAnsi="Barlow Semi Condensed"/>
          <w:sz w:val="24"/>
          <w:szCs w:val="24"/>
        </w:rPr>
        <w:t xml:space="preserve"> Alla riga trentanove l'apparato registra gli Stati Zero e scrive, come criterio, che la comparsa del documento oggi assente prometterebbe uno Stato Zero verso i gradi superiori. Il nome che la fase aveva scritto qui scompare. Chi consultasse soltanto l'apparato non saprebbe che il corpus ha cercato specificamente su questo nome. La perdita d'informazione è reale e si segnala, senza dedurne intenzioni.</w:t>
      </w:r>
    </w:p>
    <w:p>
      <w:pPr>
        <w:spacing w:after="120" w:line="276"/>
        <w:jc w:val="both"/>
      </w:pPr>
      <w:r>
        <w:rPr>
          <w:rFonts w:ascii="Barlow Semi Condensed" w:cs="Barlow Semi Condensed" w:eastAsia="Barlow Semi Condensed" w:hAnsi="Barlow Semi Condensed"/>
          <w:b/>
          <w:bCs/>
          <w:sz w:val="24"/>
          <w:szCs w:val="24"/>
        </w:rPr>
        <w:t xml:space="preserve">2067 · La riga quarantaseiesima e gli architetti.</w:t>
      </w:r>
      <w:r>
        <w:rPr>
          <w:rFonts w:ascii="Barlow Semi Condensed" w:cs="Barlow Semi Condensed" w:eastAsia="Barlow Semi Condensed" w:hAnsi="Barlow Semi Condensed"/>
          <w:sz w:val="24"/>
          <w:szCs w:val="24"/>
        </w:rPr>
        <w:t xml:space="preserve"> Sugli architetti la riga quarantasei grada A la capacità progettuale autonoma delle Brigate Rosse e C ogni architetto esterno, rinviando per la smentita al documento di eterodirezione della riga trentanove. La costruzione è circolare per necessità e va detto: l'unico falsificatore dell'architetto esterno è lo stesso che falsificherebbe l'autonomia. Non è un vizio logico, è la constatazione che su quel piano esiste una sola prova possibile.</w:t>
      </w:r>
    </w:p>
    <w:p>
      <w:pPr>
        <w:spacing w:after="120" w:line="276"/>
        <w:jc w:val="both"/>
      </w:pPr>
      <w:r>
        <w:rPr>
          <w:rFonts w:ascii="Barlow Semi Condensed" w:cs="Barlow Semi Condensed" w:eastAsia="Barlow Semi Condensed" w:hAnsi="Barlow Semi Condensed"/>
          <w:b/>
          <w:bCs/>
          <w:sz w:val="24"/>
          <w:szCs w:val="24"/>
        </w:rPr>
        <w:t xml:space="preserve">2068 · La nota che prevale su ogni riga.</w:t>
      </w:r>
      <w:r>
        <w:rPr>
          <w:rFonts w:ascii="Barlow Semi Condensed" w:cs="Barlow Semi Condensed" w:eastAsia="Barlow Semi Condensed" w:hAnsi="Barlow Semi Condensed"/>
          <w:sz w:val="24"/>
          <w:szCs w:val="24"/>
        </w:rPr>
        <w:t xml:space="preserve"> Una nota dichiarata prevalente su ogni riga successiva precede la tavola della Fase quinta: quella fase congeda il falsificazionismo e passa alla probabilità ipotetica, e perciò è registrata al Livello C, salvo gli elementi che poggiano su sentenze definitive. La clausola di prevalenza è uno strumento raro e va imitato: dice al lettore che, in caso di conflitto fra la tabella e la premessa, vince la premessa.</w:t>
      </w:r>
    </w:p>
    <w:p>
      <w:pPr>
        <w:spacing w:after="120" w:line="276"/>
        <w:jc w:val="both"/>
      </w:pPr>
      <w:r>
        <w:rPr>
          <w:rFonts w:ascii="Barlow Semi Condensed" w:cs="Barlow Semi Condensed" w:eastAsia="Barlow Semi Condensed" w:hAnsi="Barlow Semi Condensed"/>
          <w:b/>
          <w:bCs/>
          <w:sz w:val="24"/>
          <w:szCs w:val="24"/>
        </w:rPr>
        <w:t xml:space="preserve">2069 · Registrare i gradi, non i sospetti.</w:t>
      </w:r>
      <w:r>
        <w:rPr>
          <w:rFonts w:ascii="Barlow Semi Condensed" w:cs="Barlow Semi Condensed" w:eastAsia="Barlow Semi Condensed" w:hAnsi="Barlow Semi Condensed"/>
          <w:sz w:val="24"/>
          <w:szCs w:val="24"/>
        </w:rPr>
        <w:t xml:space="preserve"> «L'apparato non riproduce la graduatoria e non ordina nomi: registra i gradi, non i sospetti.» È la frase in cui il complemento definisce sé stesso, ed è anche la definizione più economica di che cosa sia un lavoro storiografico disciplinato su un nome che nessun giudice ha scritto. Chi la applichi con rigore ottiene un testo che nessuno può usare come atto d'accusa, e che nessuno può accusare di reticenza.</w:t>
      </w:r>
    </w:p>
    <w:p>
      <w:pPr>
        <w:spacing w:after="120" w:line="276"/>
        <w:jc w:val="both"/>
      </w:pPr>
      <w:r>
        <w:rPr>
          <w:rFonts w:ascii="Barlow Semi Condensed" w:cs="Barlow Semi Condensed" w:eastAsia="Barlow Semi Condensed" w:hAnsi="Barlow Semi Condensed"/>
          <w:b/>
          <w:bCs/>
          <w:sz w:val="24"/>
          <w:szCs w:val="24"/>
        </w:rPr>
        <w:t xml:space="preserve">2070 · Il congedo e la presunzione.</w:t>
      </w:r>
      <w:r>
        <w:rPr>
          <w:rFonts w:ascii="Barlow Semi Condensed" w:cs="Barlow Semi Condensed" w:eastAsia="Barlow Semi Condensed" w:hAnsi="Barlow Semi Condensed"/>
          <w:sz w:val="24"/>
          <w:szCs w:val="24"/>
        </w:rPr>
        <w:t xml:space="preserve"> Sulla presunzione d'innocenza il capitolo cinquantacinquesimo fonda il presidio, e ne dà una giustificazione che non è ingenua: non si presume l'innocenza perché si creda innocenti tutti, ma perché il marchio impresso fuori dal processo non ha chi lo tolga. Applicata a chi non fu mai imputato in alcun Paese, la proposizione non concede nulla: constata che non esiste sede in cui una tale imputazione sia stata mai discussa.</w:t>
      </w:r>
    </w:p>
    <w:p>
      <w:pPr>
        <w:spacing w:after="120" w:line="276"/>
        <w:jc w:val="both"/>
      </w:pPr>
      <w:r>
        <w:rPr>
          <w:rFonts w:ascii="Barlow Semi Condensed" w:cs="Barlow Semi Condensed" w:eastAsia="Barlow Semi Condensed" w:hAnsi="Barlow Semi Condensed"/>
          <w:b/>
          <w:bCs/>
          <w:sz w:val="24"/>
          <w:szCs w:val="24"/>
        </w:rPr>
        <w:t xml:space="preserve">2071 · L'ironia che il garante teme.</w:t>
      </w:r>
      <w:r>
        <w:rPr>
          <w:rFonts w:ascii="Barlow Semi Condensed" w:cs="Barlow Semi Condensed" w:eastAsia="Barlow Semi Condensed" w:hAnsi="Barlow Semi Condensed"/>
          <w:sz w:val="24"/>
          <w:szCs w:val="24"/>
        </w:rPr>
        <w:t xml:space="preserve"> La più amara delle ironie, dice il congedo, sarebbe ripetere sul piano del giudizio storico il gesto che il caso Moro documenta: la ragion di Stato che decide di un uomo fuori dalle regole. L'avvertenza vale in tutte le direzioni, comprese quelle scomode. Un'opera che condannasse per convergenza, fuori dal processo, farebbe con la penna ciò che rimprovera; e lo farebbe, per giunta, contro chi non può più rispondere.</w:t>
      </w:r>
    </w:p>
    <w:p>
      <w:pPr>
        <w:spacing w:after="120" w:line="276"/>
        <w:jc w:val="both"/>
      </w:pPr>
      <w:r>
        <w:rPr>
          <w:rFonts w:ascii="Barlow Semi Condensed" w:cs="Barlow Semi Condensed" w:eastAsia="Barlow Semi Condensed" w:hAnsi="Barlow Semi Condensed"/>
          <w:b/>
          <w:bCs/>
          <w:sz w:val="24"/>
          <w:szCs w:val="24"/>
        </w:rPr>
        <w:t xml:space="preserve">2072 · La certezza senza prova.</w:t>
      </w:r>
      <w:r>
        <w:rPr>
          <w:rFonts w:ascii="Barlow Semi Condensed" w:cs="Barlow Semi Condensed" w:eastAsia="Barlow Semi Condensed" w:hAnsi="Barlow Semi Condensed"/>
          <w:sz w:val="24"/>
          <w:szCs w:val="24"/>
        </w:rPr>
        <w:t xml:space="preserve"> L'epigrafe dell'opera dice che è l'ignoranza a creare la violenza; il garante aggiunge che anche la certezza senza prova è una forma d'ignoranza. La postilla è la sola cosa che il capitolo si concede, ed è il criterio con cui misurare qualunque conclusione su questo versante. Una certezza atlantica senza documento e una certezza assolutoria senza documento sono lo stesso errore, e la fase non ne privilegia nessuna.</w:t>
      </w:r>
    </w:p>
    <w:p>
      <w:pPr>
        <w:spacing w:after="120" w:line="276"/>
        <w:jc w:val="both"/>
      </w:pPr>
      <w:r>
        <w:rPr>
          <w:rFonts w:ascii="Barlow Semi Condensed" w:cs="Barlow Semi Condensed" w:eastAsia="Barlow Semi Condensed" w:hAnsi="Barlow Semi Condensed"/>
          <w:b/>
          <w:bCs/>
          <w:sz w:val="24"/>
          <w:szCs w:val="24"/>
        </w:rPr>
        <w:t xml:space="preserve">2073 · Il garante che torna a tacere.</w:t>
      </w:r>
      <w:r>
        <w:rPr>
          <w:rFonts w:ascii="Barlow Semi Condensed" w:cs="Barlow Semi Condensed" w:eastAsia="Barlow Semi Condensed" w:hAnsi="Barlow Semi Condensed"/>
          <w:sz w:val="24"/>
          <w:szCs w:val="24"/>
        </w:rPr>
        <w:t xml:space="preserve"> Chiude la Fase settima dichiarando che il garante il quale ha parlato nella Fase sesta torna lì a tacere, avendo ancorato il dossier al registro degli atti. Nella sua tavola di raccordo la riga del quadro internazionale ha la casella del giudicato vuota, con un trattino. Quel trattino è la rappresentazione grafica dello Stato Zero, e vale come citazione: nessun processo ha mai accertato alcunché su quel versante.</w:t>
      </w:r>
    </w:p>
    <w:p>
      <w:pPr>
        <w:spacing w:after="120" w:line="276"/>
        <w:jc w:val="both"/>
      </w:pPr>
      <w:r>
        <w:rPr>
          <w:rFonts w:ascii="Barlow Semi Condensed" w:cs="Barlow Semi Condensed" w:eastAsia="Barlow Semi Condensed" w:hAnsi="Barlow Semi Condensed"/>
          <w:b/>
          <w:bCs/>
          <w:sz w:val="24"/>
          <w:szCs w:val="24"/>
        </w:rPr>
        <w:t xml:space="preserve">2074 · Il grafo che non ha questo nodo.</w:t>
      </w:r>
      <w:r>
        <w:rPr>
          <w:rFonts w:ascii="Barlow Semi Condensed" w:cs="Barlow Semi Condensed" w:eastAsia="Barlow Semi Condensed" w:hAnsi="Barlow Semi Condensed"/>
          <w:sz w:val="24"/>
          <w:szCs w:val="24"/>
        </w:rPr>
        <w:t xml:space="preserve"> Nel grafo dei legami documentati del corpus, trentanove nodi e cinquantanove archi con nessun arco congetturale ammesso, non compare né Kissinger né alcun soggetto statunitense, e i dieci mondi censiti non contemplano un mondo di Washington. È una misura, non un'opinione: nella rete documentata del caso quel nome non ha un solo arco. Chi ne voglia uno deve portare un documento, non un ragionamento.</w:t>
      </w:r>
    </w:p>
    <w:p>
      <w:pPr>
        <w:spacing w:after="120" w:line="276"/>
        <w:jc w:val="both"/>
      </w:pPr>
      <w:r>
        <w:rPr>
          <w:rFonts w:ascii="Barlow Semi Condensed" w:cs="Barlow Semi Condensed" w:eastAsia="Barlow Semi Condensed" w:hAnsi="Barlow Semi Condensed"/>
          <w:b/>
          <w:bCs/>
          <w:sz w:val="24"/>
          <w:szCs w:val="24"/>
        </w:rPr>
        <w:t xml:space="preserve">2075 · Che cosa smentirebbe questa serie (serie XXVII).</w:t>
      </w:r>
      <w:r>
        <w:rPr>
          <w:rFonts w:ascii="Barlow Semi Condensed" w:cs="Barlow Semi Condensed" w:eastAsia="Barlow Semi Condensed" w:hAnsi="Barlow Semi Condensed"/>
          <w:sz w:val="24"/>
          <w:szCs w:val="24"/>
        </w:rPr>
        <w:t xml:space="preserve"> Offerto a chi voglia abbattere quanto precede, ecco il bersaglio finale. Questa serie cadrebbe se si dimostrasse che la Fase sesta nomina il nostro nome altrove che nello Stato Zero, che il suo complemento lo nomina, o che una sede fra quelle indicate custodisce l'atto richiesto dalla seconda voce. Le tre verifiche sono eseguibili: due con una ricerca testuale, la terza con una richiesta d'accesso. Chi le compia riferisca l'esito.</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Serie ventottesima — Le metodologie del Dossier</w:t>
      </w:r>
    </w:p>
    <w:p>
      <w:pPr>
        <w:spacing w:after="120" w:line="276"/>
        <w:jc w:val="both"/>
      </w:pPr>
      <w:r>
        <w:rPr>
          <w:rFonts w:ascii="Barlow Semi Condensed" w:cs="Barlow Semi Condensed" w:eastAsia="Barlow Semi Condensed" w:hAnsi="Barlow Semi Condensed"/>
          <w:i/>
          <w:iCs/>
          <w:sz w:val="24"/>
          <w:szCs w:val="24"/>
        </w:rPr>
        <w:t xml:space="preserve">Blocchi 2076-2155.</w:t>
      </w:r>
    </w:p>
    <w:p>
      <w:pPr>
        <w:spacing w:after="120" w:line="276"/>
        <w:jc w:val="both"/>
      </w:pPr>
      <w:r>
        <w:rPr>
          <w:rFonts w:ascii="Barlow Semi Condensed" w:cs="Barlow Semi Condensed" w:eastAsia="Barlow Semi Condensed" w:hAnsi="Barlow Semi Condensed"/>
          <w:b/>
          <w:bCs/>
          <w:sz w:val="24"/>
          <w:szCs w:val="24"/>
        </w:rPr>
        <w:t xml:space="preserve">2076 · La stringa che non c'è.</w:t>
      </w:r>
      <w:r>
        <w:rPr>
          <w:rFonts w:ascii="Barlow Semi Condensed" w:cs="Barlow Semi Condensed" w:eastAsia="Barlow Semi Condensed" w:hAnsi="Barlow Semi Condensed"/>
          <w:sz w:val="24"/>
          <w:szCs w:val="24"/>
        </w:rPr>
        <w:t xml:space="preserve"> Verifica meccanica eseguita sul file metodologie-del-dossier-sinaptogenesi-e-strumenti.md: la stringa Kissinger vi compare zero volte. Nel branch pubblico il nome ricorre centosessantadue volte, distribuite su quindici documenti markdown dei cinquantatré censiti fuori dalle cartelle di piramide, e il documento di metodo non è fra quei quindici. Stato Zero dichiarato in apertura perché governa l'intera serie: la cassetta degli attrezzi del Dossier fu costruita e calcolata senza che questo nome entrasse in alcuna misura.</w:t>
      </w:r>
    </w:p>
    <w:p>
      <w:pPr>
        <w:spacing w:after="120" w:line="276"/>
        <w:jc w:val="both"/>
      </w:pPr>
      <w:r>
        <w:rPr>
          <w:rFonts w:ascii="Barlow Semi Condensed" w:cs="Barlow Semi Condensed" w:eastAsia="Barlow Semi Condensed" w:hAnsi="Barlow Semi Condensed"/>
          <w:b/>
          <w:bCs/>
          <w:sz w:val="24"/>
          <w:szCs w:val="24"/>
        </w:rPr>
        <w:t xml:space="preserve">2077 · Le due sole occorrenze di Moro.</w:t>
      </w:r>
      <w:r>
        <w:rPr>
          <w:rFonts w:ascii="Barlow Semi Condensed" w:cs="Barlow Semi Condensed" w:eastAsia="Barlow Semi Condensed" w:hAnsi="Barlow Semi Condensed"/>
          <w:sz w:val="24"/>
          <w:szCs w:val="24"/>
        </w:rPr>
        <w:t xml:space="preserve"> Nel documento di metodo la parola Moro compare due volte soltanto, e in nessuna delle due indica l'uomo: entrambe leggono Moro 2, cioè la Commissione parlamentare d'inchiesta della diciassettesima legislatura. Il dato ridimensiona subito ogni lettura sospettosa dell'assenza qui accertata, perché il territorio non tace un nome, tace i nomi. Misura documenti e cammini, non biografie, e la sua reticenza onomastica è di statuto e non di scelta.</w:t>
      </w:r>
    </w:p>
    <w:p>
      <w:pPr>
        <w:spacing w:after="120" w:line="276"/>
        <w:jc w:val="both"/>
      </w:pPr>
      <w:r>
        <w:rPr>
          <w:rFonts w:ascii="Barlow Semi Condensed" w:cs="Barlow Semi Condensed" w:eastAsia="Barlow Semi Condensed" w:hAnsi="Barlow Semi Condensed"/>
          <w:b/>
          <w:bCs/>
          <w:sz w:val="24"/>
          <w:szCs w:val="24"/>
        </w:rPr>
        <w:t xml:space="preserve">2078 · L'unica CIA del territorio.</w:t>
      </w:r>
      <w:r>
        <w:rPr>
          <w:rFonts w:ascii="Barlow Semi Condensed" w:cs="Barlow Semi Condensed" w:eastAsia="Barlow Semi Condensed" w:hAnsi="Barlow Semi Condensed"/>
          <w:sz w:val="24"/>
          <w:szCs w:val="24"/>
        </w:rPr>
        <w:t xml:space="preserve"> La sigla CIA compare una sola volta in tutto il documento, alla riga che cita Heuer, Psychology of Intelligence Analysis, CIA 1999. L'unica istituzione statunitense presente nel territorio assegnato vi entra come marchio editoriale di un manuale di metodo, non come soggetto di una vicenda. Chi cercasse qui una traccia americana troverebbe un'impronta bibliografica, ed è precisamente il tipo di falso positivo che la serie prima dell'opera insegna a disinnescare.</w:t>
      </w:r>
    </w:p>
    <w:p>
      <w:pPr>
        <w:spacing w:after="120" w:line="276"/>
        <w:jc w:val="both"/>
      </w:pPr>
      <w:r>
        <w:rPr>
          <w:rFonts w:ascii="Barlow Semi Condensed" w:cs="Barlow Semi Condensed" w:eastAsia="Barlow Semi Condensed" w:hAnsi="Barlow Semi Condensed"/>
          <w:b/>
          <w:bCs/>
          <w:sz w:val="24"/>
          <w:szCs w:val="24"/>
        </w:rPr>
        <w:t xml:space="preserve">2079 · Nessun lemma internazionale nel documento.</w:t>
      </w:r>
      <w:r>
        <w:rPr>
          <w:rFonts w:ascii="Barlow Semi Condensed" w:cs="Barlow Semi Condensed" w:eastAsia="Barlow Semi Condensed" w:hAnsi="Barlow Semi Condensed"/>
          <w:sz w:val="24"/>
          <w:szCs w:val="24"/>
        </w:rPr>
        <w:t xml:space="preserve"> Censimento lessicale eseguito sul territorio: Stati Uniti zero, NATO zero, atlantico zero, Washington zero, internazionale zero, estero zero. Compaiono una volta diplomatica e una volta Farnesina, sempre nella stessa riga, quella che elenca il quinto dei dieci mondi. L'intero versante estero del corpus entra nel documento di metodo con due parole in una sola frase: è la misura esatta dello spazio concesso al dominio dove questo nome potrebbe vivere.</w:t>
      </w:r>
    </w:p>
    <w:p>
      <w:pPr>
        <w:spacing w:after="120" w:line="276"/>
        <w:jc w:val="both"/>
      </w:pPr>
      <w:r>
        <w:rPr>
          <w:rFonts w:ascii="Barlow Semi Condensed" w:cs="Barlow Semi Condensed" w:eastAsia="Barlow Semi Condensed" w:hAnsi="Barlow Semi Condensed"/>
          <w:b/>
          <w:bCs/>
          <w:sz w:val="24"/>
          <w:szCs w:val="24"/>
        </w:rPr>
        <w:t xml:space="preserve">2080 · Il tacere non è negare.</w:t>
      </w:r>
      <w:r>
        <w:rPr>
          <w:rFonts w:ascii="Barlow Semi Condensed" w:cs="Barlow Semi Condensed" w:eastAsia="Barlow Semi Condensed" w:hAnsi="Barlow Semi Condensed"/>
          <w:sz w:val="24"/>
          <w:szCs w:val="24"/>
        </w:rPr>
        <w:t xml:space="preserve"> Prima di procedere va fissata una regola di lettura. L'assenza di un nome da un documento metrologico non è una presa di posizione su quel nome: è una conseguenza di come il grafo fu costruito, cioè con l'ammissione del solo arco documentato e verificato. Trattarla come una negazione sarebbe l'errore speculare a quello che la regola dei buchi vieta, perché entrambi fanno parlare un vuoto che per costruzione non parla.</w:t>
      </w:r>
    </w:p>
    <w:p>
      <w:pPr>
        <w:spacing w:after="120" w:line="276"/>
        <w:jc w:val="both"/>
      </w:pPr>
      <w:r>
        <w:rPr>
          <w:rFonts w:ascii="Barlow Semi Condensed" w:cs="Barlow Semi Condensed" w:eastAsia="Barlow Semi Condensed" w:hAnsi="Barlow Semi Condensed"/>
          <w:b/>
          <w:bCs/>
          <w:sz w:val="24"/>
          <w:szCs w:val="24"/>
        </w:rPr>
        <w:t xml:space="preserve">2081 · Che cosa farebbe entrare il nome.</w:t>
      </w:r>
      <w:r>
        <w:rPr>
          <w:rFonts w:ascii="Barlow Semi Condensed" w:cs="Barlow Semi Condensed" w:eastAsia="Barlow Semi Condensed" w:hAnsi="Barlow Semi Condensed"/>
          <w:sz w:val="24"/>
          <w:szCs w:val="24"/>
        </w:rPr>
        <w:t xml:space="preserve"> Si accerta, col grado dichiarato. Perché Kissinger diventi nodo di questa rete non basta che sia citato altrove nel corpus: occorre un arco documentato e gradato che lo colleghi a un nodo già censito. La sede che lo produrrebbe è nominabile, ed è la Gerald R. Ford Presidential Library, serie National Security Adviser's Memoranda of Conversation, dove giacciono i file 1552802 e 1552806, insieme ai volumi FRUS 1969-1976 con l'indice per nome.</w:t>
      </w:r>
    </w:p>
    <w:p>
      <w:pPr>
        <w:spacing w:after="120" w:line="276"/>
        <w:jc w:val="both"/>
      </w:pPr>
      <w:r>
        <w:rPr>
          <w:rFonts w:ascii="Barlow Semi Condensed" w:cs="Barlow Semi Condensed" w:eastAsia="Barlow Semi Condensed" w:hAnsi="Barlow Semi Condensed"/>
          <w:b/>
          <w:bCs/>
          <w:sz w:val="24"/>
          <w:szCs w:val="24"/>
        </w:rPr>
        <w:t xml:space="preserve">2082 · Il solo piano uno sta altrove.</w:t>
      </w:r>
      <w:r>
        <w:rPr>
          <w:rFonts w:ascii="Barlow Semi Condensed" w:cs="Barlow Semi Condensed" w:eastAsia="Barlow Semi Condensed" w:hAnsi="Barlow Semi Condensed"/>
          <w:sz w:val="24"/>
          <w:szCs w:val="24"/>
        </w:rPr>
        <w:t xml:space="preserve"> Il rapporto diretto documentato fra questo nome e il corpus esiste, ma non abita il territorio assegnato: sta nella cartella della Farnesina, alla ricognizione ricognizione-ministro-esteri-1969-1974.md, che riporta per esteso il memorandum of conversation dello Studio Ovale del 25 settembre 1974 con la sua doppia segnatura. Il documento di metodo non lo richiama, non lo grada e non lo usa: il piano uno del corpus resta fuori dal perimetro degli strumenti.</w:t>
      </w:r>
    </w:p>
    <w:p>
      <w:pPr>
        <w:spacing w:after="120" w:line="276"/>
        <w:jc w:val="both"/>
      </w:pPr>
      <w:r>
        <w:rPr>
          <w:rFonts w:ascii="Barlow Semi Condensed" w:cs="Barlow Semi Condensed" w:eastAsia="Barlow Semi Condensed" w:hAnsi="Barlow Semi Condensed"/>
          <w:b/>
          <w:bCs/>
          <w:sz w:val="24"/>
          <w:szCs w:val="24"/>
        </w:rPr>
        <w:t xml:space="preserve">2083 · Bersaglio di smentita della serie.</w:t>
      </w:r>
      <w:r>
        <w:rPr>
          <w:rFonts w:ascii="Barlow Semi Condensed" w:cs="Barlow Semi Condensed" w:eastAsia="Barlow Semi Condensed" w:hAnsi="Barlow Semi Condensed"/>
          <w:sz w:val="24"/>
          <w:szCs w:val="24"/>
        </w:rPr>
        <w:t xml:space="preserve"> Falsificherebbe il primo blocco una sola occorrenza della stringa nel file, in qualunque forma, testo o nota o tabella o commento, oppure una versione anteriore o posteriore del documento che la contenga. Il controllo si rifà con un comando e si verbalizza col suo esito, data compresa. Finché la verifica torna a zero, l'assenza resta un'acquisizione di pieno valore e non una lacuna da colmare per interpolazione.</w:t>
      </w:r>
    </w:p>
    <w:p>
      <w:pPr>
        <w:spacing w:after="120" w:line="276"/>
        <w:jc w:val="both"/>
      </w:pPr>
      <w:r>
        <w:rPr>
          <w:rFonts w:ascii="Barlow Semi Condensed" w:cs="Barlow Semi Condensed" w:eastAsia="Barlow Semi Condensed" w:hAnsi="Barlow Semi Condensed"/>
          <w:b/>
          <w:bCs/>
          <w:sz w:val="24"/>
          <w:szCs w:val="24"/>
        </w:rPr>
        <w:t xml:space="preserve">2084 · I trentanove nodi, contati.</w:t>
      </w:r>
      <w:r>
        <w:rPr>
          <w:rFonts w:ascii="Barlow Semi Condensed" w:cs="Barlow Semi Condensed" w:eastAsia="Barlow Semi Condensed" w:hAnsi="Barlow Semi Condensed"/>
          <w:sz w:val="24"/>
          <w:szCs w:val="24"/>
        </w:rPr>
        <w:t xml:space="preserve"> Accertamento eseguito sul territorio, grado B perché ricostruttivo. La tavola del paragrafo 6-bis elenca quindici nodi non brigatisti con quota propria e dieci nodi terminali raggruppati in una riga: venticinque. Aggiunti la BR come organizzazione e i tredici del registro nominativo della Fase decima si arriva esattamente a trentanove, senza residuo. L'enumerazione chiude, non resta posto per un nodo non elencato, e Kissinger non è fra gli elencati.</w:t>
      </w:r>
    </w:p>
    <w:p>
      <w:pPr>
        <w:spacing w:after="120" w:line="276"/>
        <w:jc w:val="both"/>
      </w:pPr>
      <w:r>
        <w:rPr>
          <w:rFonts w:ascii="Barlow Semi Condensed" w:cs="Barlow Semi Condensed" w:eastAsia="Barlow Semi Condensed" w:hAnsi="Barlow Semi Condensed"/>
          <w:b/>
          <w:bCs/>
          <w:sz w:val="24"/>
          <w:szCs w:val="24"/>
        </w:rPr>
        <w:t xml:space="preserve">2085 · Il nodo che non ha betweenness.</w:t>
      </w:r>
      <w:r>
        <w:rPr>
          <w:rFonts w:ascii="Barlow Semi Condensed" w:cs="Barlow Semi Condensed" w:eastAsia="Barlow Semi Condensed" w:hAnsi="Barlow Semi Condensed"/>
          <w:sz w:val="24"/>
          <w:szCs w:val="24"/>
        </w:rPr>
        <w:t xml:space="preserve"> Il blocco 52 della prima campagna aveva registrato l'assenza; la verifica territoriale la irrigidisce. Non si tratta di un nodo periferico con centralità trascurabile, si tratta di un nome che non entra nel dominio della funzione. La betweenness calcolata con l'algoritmo di Brandes richiede un nodo del grafo: qui il grafo non lo contiene, e nessun valore, nemmeno zero, gli è attribuibile senza prima costruire un arco.</w:t>
      </w:r>
    </w:p>
    <w:p>
      <w:pPr>
        <w:spacing w:after="120" w:line="276"/>
        <w:jc w:val="both"/>
      </w:pPr>
      <w:r>
        <w:rPr>
          <w:rFonts w:ascii="Barlow Semi Condensed" w:cs="Barlow Semi Condensed" w:eastAsia="Barlow Semi Condensed" w:hAnsi="Barlow Semi Condensed"/>
          <w:b/>
          <w:bCs/>
          <w:sz w:val="24"/>
          <w:szCs w:val="24"/>
        </w:rPr>
        <w:t xml:space="preserve">2086 · Terminale non è assente.</w:t>
      </w:r>
      <w:r>
        <w:rPr>
          <w:rFonts w:ascii="Barlow Semi Condensed" w:cs="Barlow Semi Condensed" w:eastAsia="Barlow Semi Condensed" w:hAnsi="Barlow Semi Condensed"/>
          <w:sz w:val="24"/>
          <w:szCs w:val="24"/>
        </w:rPr>
        <w:t xml:space="preserve"> Distinzione che la tavola del 6-bis rende visibile e che va scolpita. Superclan, Sit-Siemens, la sala stampa vaticana, il SID dell'approccio respinto, il Nicaragua, la Svizzera, Monte Nevoso, Malagugini, Feltrinelli e Feltrinelli Editore hanno quota di intermediazione dello 0,0 per cento: stanno nel grafo, con archi, e non cadono su alcun cammino minimo. Uno zero misurato è un dato; un nome assente dal censimento non ha nemmeno lo zero.</w:t>
      </w:r>
    </w:p>
    <w:p>
      <w:pPr>
        <w:spacing w:after="120" w:line="276"/>
        <w:jc w:val="both"/>
      </w:pPr>
      <w:r>
        <w:rPr>
          <w:rFonts w:ascii="Barlow Semi Condensed" w:cs="Barlow Semi Condensed" w:eastAsia="Barlow Semi Condensed" w:hAnsi="Barlow Semi Condensed"/>
          <w:b/>
          <w:bCs/>
          <w:sz w:val="24"/>
          <w:szCs w:val="24"/>
        </w:rPr>
        <w:t xml:space="preserve">2087 · Gli estremi dei cinquantanove archi.</w:t>
      </w:r>
      <w:r>
        <w:rPr>
          <w:rFonts w:ascii="Barlow Semi Condensed" w:cs="Barlow Semi Condensed" w:eastAsia="Barlow Semi Condensed" w:hAnsi="Barlow Semi Condensed"/>
          <w:sz w:val="24"/>
          <w:szCs w:val="24"/>
        </w:rPr>
        <w:t xml:space="preserve"> Ricognizione degli archi, condotta sulle proporzioni dichiarate: ventotto di grado A, ventisei di grado F, cinque di grado B. Nessuno di essi ha per estremo un soggetto statunitense, e la ripartizione lo conferma indirettamente, perché il comparto interamente non brigatista, diciassette archi su cinquantanove, è fatto per l'82,4 per cento di fatti biografici italiani. La rete è, per costruzione documentale prima che per scelta, una rete domestica.</w:t>
      </w:r>
    </w:p>
    <w:p>
      <w:pPr>
        <w:spacing w:after="120" w:line="276"/>
        <w:jc w:val="both"/>
      </w:pPr>
      <w:r>
        <w:rPr>
          <w:rFonts w:ascii="Barlow Semi Condensed" w:cs="Barlow Semi Condensed" w:eastAsia="Barlow Semi Condensed" w:hAnsi="Barlow Semi Condensed"/>
          <w:b/>
          <w:bCs/>
          <w:sz w:val="24"/>
          <w:szCs w:val="24"/>
        </w:rPr>
        <w:t xml:space="preserve">2088 · La riga mancante nella tavola.</w:t>
      </w:r>
      <w:r>
        <w:rPr>
          <w:rFonts w:ascii="Barlow Semi Condensed" w:cs="Barlow Semi Condensed" w:eastAsia="Barlow Semi Condensed" w:hAnsi="Barlow Semi Condensed"/>
          <w:sz w:val="24"/>
          <w:szCs w:val="24"/>
        </w:rPr>
        <w:t xml:space="preserve"> Il paragrafo 6-bis normalizza a cento la centralità del comparto non brigatista e distribuisce le quote fra venticinque nodi, dal 24,7 per cento del CPM allo 0,1 per cento del canale PSI. Non esiste una riga per questo nome, e non se ne può inserire una per stima: una quota si calcola su archi esistenti. Chi la scrivesse produrrebbe un numero senza denominatore, cioè l'esatto contrario di quanto il documento dichiara di fare.</w:t>
      </w:r>
    </w:p>
    <w:p>
      <w:pPr>
        <w:spacing w:after="120" w:line="276"/>
        <w:jc w:val="both"/>
      </w:pPr>
      <w:r>
        <w:rPr>
          <w:rFonts w:ascii="Barlow Semi Condensed" w:cs="Barlow Semi Condensed" w:eastAsia="Barlow Semi Condensed" w:hAnsi="Barlow Semi Condensed"/>
          <w:b/>
          <w:bCs/>
          <w:sz w:val="24"/>
          <w:szCs w:val="24"/>
        </w:rPr>
        <w:t xml:space="preserve">2089 · Con quale grado entrerebbe l'arco.</w:t>
      </w:r>
      <w:r>
        <w:rPr>
          <w:rFonts w:ascii="Barlow Semi Condensed" w:cs="Barlow Semi Condensed" w:eastAsia="Barlow Semi Condensed" w:hAnsi="Barlow Semi Condensed"/>
          <w:sz w:val="24"/>
          <w:szCs w:val="24"/>
        </w:rPr>
        <w:t xml:space="preserve"> Un quesito d'archivio, formulato con precisione. Il memorandum of conversation del 25 settembre 1974 è un atto, ed entrerebbe dunque come arco di grado A nella scala del territorio, che riserva la A al giudicato e all'atto. Ma un arco Moro-Kissinger di grado A collegherebbe due nodi dentro il quinto mondo, non dentro il secondo, e la disciplina multistrato impedirebbe comunque a quel grado di transitare verso il fatto.</w:t>
      </w:r>
    </w:p>
    <w:p>
      <w:pPr>
        <w:spacing w:after="120" w:line="276"/>
        <w:jc w:val="both"/>
      </w:pPr>
      <w:r>
        <w:rPr>
          <w:rFonts w:ascii="Barlow Semi Condensed" w:cs="Barlow Semi Condensed" w:eastAsia="Barlow Semi Condensed" w:hAnsi="Barlow Semi Condensed"/>
          <w:b/>
          <w:bCs/>
          <w:sz w:val="24"/>
          <w:szCs w:val="24"/>
        </w:rPr>
        <w:t xml:space="preserve">2090 · Cinque nomi in un solo verbale.</w:t>
      </w:r>
      <w:r>
        <w:rPr>
          <w:rFonts w:ascii="Barlow Semi Condensed" w:cs="Barlow Semi Condensed" w:eastAsia="Barlow Semi Condensed" w:hAnsi="Barlow Semi Condensed"/>
          <w:sz w:val="24"/>
          <w:szCs w:val="24"/>
        </w:rPr>
        <w:t xml:space="preserve"> Il verbale dello Studio Ovale nomina Giovanni Leone, Aldo Moro, Gerald Ford, Henry Kissinger e Brent Scowcroft. Ammetterlo nel grafo significherebbe introdurre fino a cinque nodi nuovi e un fascio di archi generati da un unico documento, struttura che gonfierebbe la densità senza aggiungere informazione. È il rischio che la sinaptogenesi corre quando una fonte sola produce molti legami insieme, e va dichiarato prima di qualunque ricalcolo, non dopo.</w:t>
      </w:r>
    </w:p>
    <w:p>
      <w:pPr>
        <w:spacing w:after="120" w:line="276"/>
        <w:jc w:val="both"/>
      </w:pPr>
      <w:r>
        <w:rPr>
          <w:rFonts w:ascii="Barlow Semi Condensed" w:cs="Barlow Semi Condensed" w:eastAsia="Barlow Semi Condensed" w:hAnsi="Barlow Semi Condensed"/>
          <w:b/>
          <w:bCs/>
          <w:sz w:val="24"/>
          <w:szCs w:val="24"/>
        </w:rPr>
        <w:t xml:space="preserve">2091 · Il ricalcolo di Brandes come bersaglio.</w:t>
      </w:r>
      <w:r>
        <w:rPr>
          <w:rFonts w:ascii="Barlow Semi Condensed" w:cs="Barlow Semi Condensed" w:eastAsia="Barlow Semi Condensed" w:hAnsi="Barlow Semi Condensed"/>
          <w:sz w:val="24"/>
          <w:szCs w:val="24"/>
        </w:rPr>
        <w:t xml:space="preserve"> Accertamento non ancora eseguito, e dichiarato come tale. Se il verbale del 1974 entrasse nella rete, l'algoritmo andrebbe rieseguito per intero: le quote del 6-bis cambierebbero denominatore e la graduatoria delle intermediazioni potrebbe spostarsi, o non spostarsi affatto. Il bersaglio è calcolabile e va calcolato prima di essere commentato. Finché il ricalcolo manca, nessuna affermazione sull'effetto dell'ingresso di questo nome nel grafo è sostenibile.</w:t>
      </w:r>
    </w:p>
    <w:p>
      <w:pPr>
        <w:spacing w:after="120" w:line="276"/>
        <w:jc w:val="both"/>
      </w:pPr>
      <w:r>
        <w:rPr>
          <w:rFonts w:ascii="Barlow Semi Condensed" w:cs="Barlow Semi Condensed" w:eastAsia="Barlow Semi Condensed" w:hAnsi="Barlow Semi Condensed"/>
          <w:b/>
          <w:bCs/>
          <w:sz w:val="24"/>
          <w:szCs w:val="24"/>
        </w:rPr>
        <w:t xml:space="preserve">2092 · La densità misura la scrittura.</w:t>
      </w:r>
      <w:r>
        <w:rPr>
          <w:rFonts w:ascii="Barlow Semi Condensed" w:cs="Barlow Semi Condensed" w:eastAsia="Barlow Semi Condensed" w:hAnsi="Barlow Semi Condensed"/>
          <w:sz w:val="24"/>
          <w:szCs w:val="24"/>
        </w:rPr>
        <w:t xml:space="preserve"> Si riprende dal paragrafo 1 la regola e la si applica al caso peggiore. La centralità in questo grafo misura la densità della documentazione e non la responsabilità: che la BR domini il grado con quindici connessioni è ovvio, perché su di essa si concentra il giudicato. Applicata a un nome che nel branch ricorre centosessantadue volte, la regola dice che quelle occorrenze misurano quanto se ne è scritto, non quanto ha pesato.</w:t>
      </w:r>
    </w:p>
    <w:p>
      <w:pPr>
        <w:spacing w:after="120" w:line="276"/>
        <w:jc w:val="both"/>
      </w:pPr>
      <w:r>
        <w:rPr>
          <w:rFonts w:ascii="Barlow Semi Condensed" w:cs="Barlow Semi Condensed" w:eastAsia="Barlow Semi Condensed" w:hAnsi="Barlow Semi Condensed"/>
          <w:b/>
          <w:bCs/>
          <w:sz w:val="24"/>
          <w:szCs w:val="24"/>
        </w:rPr>
        <w:t xml:space="preserve">2093 · Bersaglio di smentita del grafo.</w:t>
      </w:r>
      <w:r>
        <w:rPr>
          <w:rFonts w:ascii="Barlow Semi Condensed" w:cs="Barlow Semi Condensed" w:eastAsia="Barlow Semi Condensed" w:hAnsi="Barlow Semi Condensed"/>
          <w:sz w:val="24"/>
          <w:szCs w:val="24"/>
        </w:rPr>
        <w:t xml:space="preserve"> Tre cose falsificherebbero i blocchi sul nodo assente: una versione del grafo che elenchi quaranta nodi o più; una lista nominativa dei trentanove che non coincida con la ricostruzione qui condotta; un arco già presente nella rete che colleghi un nodo censito a un soggetto statunitense. Il primo controllo si chiude con il foglio di calcolo del documento di metodo, se l'autore lo depositerà insieme al testo.</w:t>
      </w:r>
    </w:p>
    <w:p>
      <w:pPr>
        <w:spacing w:after="120" w:line="276"/>
        <w:jc w:val="both"/>
      </w:pPr>
      <w:r>
        <w:rPr>
          <w:rFonts w:ascii="Barlow Semi Condensed" w:cs="Barlow Semi Condensed" w:eastAsia="Barlow Semi Condensed" w:hAnsi="Barlow Semi Condensed"/>
          <w:b/>
          <w:bCs/>
          <w:sz w:val="24"/>
          <w:szCs w:val="24"/>
        </w:rPr>
        <w:t xml:space="preserve">2094 · Il cammino privo di archi.</w:t>
      </w:r>
      <w:r>
        <w:rPr>
          <w:rFonts w:ascii="Barlow Semi Condensed" w:cs="Barlow Semi Condensed" w:eastAsia="Barlow Semi Condensed" w:hAnsi="Barlow Semi Condensed"/>
          <w:sz w:val="24"/>
          <w:szCs w:val="24"/>
        </w:rPr>
        <w:t xml:space="preserve"> Applicazione della regola dell'anello debole al quesito che la pubblicistica pone più spesso. Un cammino che colleghi lo Studio Ovale del settembre 1974 all'agguato del marzo 1978 dovrebbe attraversare almeno un arco che nella rete non esiste. Il grado di quel cammino non è basso: è indefinito, perché la funzione minimo non si applica a un insieme vuoto. La differenza è formale, ed è essa stessa un esito da scrivere.</w:t>
      </w:r>
    </w:p>
    <w:p>
      <w:pPr>
        <w:spacing w:after="120" w:line="276"/>
        <w:jc w:val="both"/>
      </w:pPr>
      <w:r>
        <w:rPr>
          <w:rFonts w:ascii="Barlow Semi Condensed" w:cs="Barlow Semi Condensed" w:eastAsia="Barlow Semi Condensed" w:hAnsi="Barlow Semi Condensed"/>
          <w:b/>
          <w:bCs/>
          <w:sz w:val="24"/>
          <w:szCs w:val="24"/>
        </w:rPr>
        <w:t xml:space="preserve">2095 · Confronto col cammino di Hyperion.</w:t>
      </w:r>
      <w:r>
        <w:rPr>
          <w:rFonts w:ascii="Barlow Semi Condensed" w:cs="Barlow Semi Condensed" w:eastAsia="Barlow Semi Condensed" w:hAnsi="Barlow Semi Condensed"/>
          <w:sz w:val="24"/>
          <w:szCs w:val="24"/>
        </w:rPr>
        <w:t xml:space="preserve"> Il territorio fornisce il metro. Il cammino Hyperion, Simioni, CPM, Moretti, via Fani esiste, ha quattro archi, tre dei quali F e uno A, e dunque grado F: documentato per intero e inservibile per inferenze operative. È il termine di paragone corretto, perché mostra la differenza fra una catena debole e una catena inesistente. La prima si misura e si dichiara inutilizzabile, la seconda non si misura affatto.</w:t>
      </w:r>
    </w:p>
    <w:p>
      <w:pPr>
        <w:spacing w:after="120" w:line="276"/>
        <w:jc w:val="both"/>
      </w:pPr>
      <w:r>
        <w:rPr>
          <w:rFonts w:ascii="Barlow Semi Condensed" w:cs="Barlow Semi Condensed" w:eastAsia="Barlow Semi Condensed" w:hAnsi="Barlow Semi Condensed"/>
          <w:b/>
          <w:bCs/>
          <w:sz w:val="24"/>
          <w:szCs w:val="24"/>
        </w:rPr>
        <w:t xml:space="preserve">2096 · Il canale PSI come contro-esempio.</w:t>
      </w:r>
      <w:r>
        <w:rPr>
          <w:rFonts w:ascii="Barlow Semi Condensed" w:cs="Barlow Semi Condensed" w:eastAsia="Barlow Semi Condensed" w:hAnsi="Barlow Semi Condensed"/>
          <w:sz w:val="24"/>
          <w:szCs w:val="24"/>
        </w:rPr>
        <w:t xml:space="preserve"> Il secondo cammino calcolato nel territorio, canale PSI, Pace, Morucci, via Fani, Moretti, via Montalcini, porta archi di grado B e anelli F, e la sua lettura è che il canale documentato raggiunse chi trasmetteva i comunicati, mentre ciò che arrivasse oltre la rete non lo attesta. È il modello di una conclusione onesta su un cammino reale, e serve a mostrare che cosa manchi al cammino atlantico: gli anelli intermedi.</w:t>
      </w:r>
    </w:p>
    <w:p>
      <w:pPr>
        <w:spacing w:after="120" w:line="276"/>
        <w:jc w:val="both"/>
      </w:pPr>
      <w:r>
        <w:rPr>
          <w:rFonts w:ascii="Barlow Semi Condensed" w:cs="Barlow Semi Condensed" w:eastAsia="Barlow Semi Condensed" w:hAnsi="Barlow Semi Condensed"/>
          <w:b/>
          <w:bCs/>
          <w:sz w:val="24"/>
          <w:szCs w:val="24"/>
        </w:rPr>
        <w:t xml:space="preserve">2097 · Grado assente contro grado basso.</w:t>
      </w:r>
      <w:r>
        <w:rPr>
          <w:rFonts w:ascii="Barlow Semi Condensed" w:cs="Barlow Semi Condensed" w:eastAsia="Barlow Semi Condensed" w:hAnsi="Barlow Semi Condensed"/>
          <w:sz w:val="24"/>
          <w:szCs w:val="24"/>
        </w:rPr>
        <w:t xml:space="preserve"> Ne discende una regola derivata, da usare in tutta la seconda campagna. Un cammino con un anello di grado F è debole ma calcolabile; un cammino con un anello mancante non è debole, è nullo. Confondere i due casi consente alla congetturistica di presentare un vuoto come una fragilità superabile con altri indizi. Il vuoto non si supera per accumulo: si chiude con un documento, oppure resta aperto e si verbalizza.</w:t>
      </w:r>
    </w:p>
    <w:p>
      <w:pPr>
        <w:spacing w:after="120" w:line="276"/>
        <w:jc w:val="both"/>
      </w:pPr>
      <w:r>
        <w:rPr>
          <w:rFonts w:ascii="Barlow Semi Condensed" w:cs="Barlow Semi Condensed" w:eastAsia="Barlow Semi Condensed" w:hAnsi="Barlow Semi Condensed"/>
          <w:b/>
          <w:bCs/>
          <w:sz w:val="24"/>
          <w:szCs w:val="24"/>
        </w:rPr>
        <w:t xml:space="preserve">2098 · La testimonianza contestata non fa arco.</w:t>
      </w:r>
      <w:r>
        <w:rPr>
          <w:rFonts w:ascii="Barlow Semi Condensed" w:cs="Barlow Semi Condensed" w:eastAsia="Barlow Semi Condensed" w:hAnsi="Barlow Semi Condensed"/>
          <w:sz w:val="24"/>
          <w:szCs w:val="24"/>
        </w:rPr>
        <w:t xml:space="preserve"> Accertamento con grado dichiarato. L'episodio riferito da Corrado Guerzoni alla Corte d'assise di Roma nel novembre 1982 è testimonianza de relato, con il nome ottenuto in aula dal presidente e non offerto dalla teste, con la data che oscilla fra 1974, 1976 e 1977, e sempre smentito dall'interessato. Un elemento conteso non è A, non è B, non è F: nella grammatica della rete non è ammissibile come arco.</w:t>
      </w:r>
    </w:p>
    <w:p>
      <w:pPr>
        <w:spacing w:after="120" w:line="276"/>
        <w:jc w:val="both"/>
      </w:pPr>
      <w:r>
        <w:rPr>
          <w:rFonts w:ascii="Barlow Semi Condensed" w:cs="Barlow Semi Condensed" w:eastAsia="Barlow Semi Condensed" w:hAnsi="Barlow Semi Condensed"/>
          <w:b/>
          <w:bCs/>
          <w:sz w:val="24"/>
          <w:szCs w:val="24"/>
        </w:rPr>
        <w:t xml:space="preserve">2099 · Il de relato nella scala dei gradi.</w:t>
      </w:r>
      <w:r>
        <w:rPr>
          <w:rFonts w:ascii="Barlow Semi Condensed" w:cs="Barlow Semi Condensed" w:eastAsia="Barlow Semi Condensed" w:hAnsi="Barlow Semi Condensed"/>
          <w:sz w:val="24"/>
          <w:szCs w:val="24"/>
        </w:rPr>
        <w:t xml:space="preserve"> Precisazione tecnica che il territorio impone. La scala del documento conosce tre gradi d'arco e nessuno dei tre ospita il conteso: A è giudicato o atto, B è accertamento, F è fatto biografico pubblico. Una testimonianza indiretta, contestata dall'interessato e divergente su data e luogo, non ricade in alcuna delle tre caselle. Escluderla dal grafo non è un giudizio sul teste: è una conseguenza della definizione di arco.</w:t>
      </w:r>
    </w:p>
    <w:p>
      <w:pPr>
        <w:spacing w:after="120" w:line="276"/>
        <w:jc w:val="both"/>
      </w:pPr>
      <w:r>
        <w:rPr>
          <w:rFonts w:ascii="Barlow Semi Condensed" w:cs="Barlow Semi Condensed" w:eastAsia="Barlow Semi Condensed" w:hAnsi="Barlow Semi Condensed"/>
          <w:b/>
          <w:bCs/>
          <w:sz w:val="24"/>
          <w:szCs w:val="24"/>
        </w:rPr>
        <w:t xml:space="preserve">2100 · Il vincolo del venti gennaio 1977.</w:t>
      </w:r>
      <w:r>
        <w:rPr>
          <w:rFonts w:ascii="Barlow Semi Condensed" w:cs="Barlow Semi Condensed" w:eastAsia="Barlow Semi Condensed" w:hAnsi="Barlow Semi Condensed"/>
          <w:sz w:val="24"/>
          <w:szCs w:val="24"/>
        </w:rPr>
        <w:t xml:space="preserve"> Fatto pubblico di grado F, e vincolo di calendario che pesa su ogni cammino. Kissinger cessò da Segretario di Stato il 20 gennaio 1977, dopo aver lasciato l'incarico di Assistente per la sicurezza nazionale il 3 novembre 1975. I cinquantacinque giorni del 1978 cadono interamente fuori da entrambe le cariche: un arco che li raggiungesse non potrebbe essere istituzionale, e dovrebbe documentare una condotta privata mai attestata.</w:t>
      </w:r>
    </w:p>
    <w:p>
      <w:pPr>
        <w:spacing w:after="120" w:line="276"/>
        <w:jc w:val="both"/>
      </w:pPr>
      <w:r>
        <w:rPr>
          <w:rFonts w:ascii="Barlow Semi Condensed" w:cs="Barlow Semi Condensed" w:eastAsia="Barlow Semi Condensed" w:hAnsi="Barlow Semi Condensed"/>
          <w:b/>
          <w:bCs/>
          <w:sz w:val="24"/>
          <w:szCs w:val="24"/>
        </w:rPr>
        <w:t xml:space="preserve">2101 · Il ponte fra due date non esiste.</w:t>
      </w:r>
      <w:r>
        <w:rPr>
          <w:rFonts w:ascii="Barlow Semi Condensed" w:cs="Barlow Semi Condensed" w:eastAsia="Barlow Semi Condensed" w:hAnsi="Barlow Semi Condensed"/>
          <w:sz w:val="24"/>
          <w:szCs w:val="24"/>
        </w:rPr>
        <w:t xml:space="preserve"> Verbalizzazione dello Stato Zero centrale, già iscritto dalla Fase sesta fra i cercati e non trovati. Fra il verbale del settembre 1974 e il fatto del marzo 1978 il corpus non possiede alcun documento intermedio che nomini insieme i due estremi. Le sedi che lo chiuderebbero sono i Nixon e Ford Presidential Materials, i NSC Files Country Files Italy a College Park, e l'Archivio storico diplomatico della Farnesina.</w:t>
      </w:r>
    </w:p>
    <w:p>
      <w:pPr>
        <w:spacing w:after="120" w:line="276"/>
        <w:jc w:val="both"/>
      </w:pPr>
      <w:r>
        <w:rPr>
          <w:rFonts w:ascii="Barlow Semi Condensed" w:cs="Barlow Semi Condensed" w:eastAsia="Barlow Semi Condensed" w:hAnsi="Barlow Semi Condensed"/>
          <w:b/>
          <w:bCs/>
          <w:sz w:val="24"/>
          <w:szCs w:val="24"/>
        </w:rPr>
        <w:t xml:space="preserve">2102 · Due anelli documentati contro otto suggestivi.</w:t>
      </w:r>
      <w:r>
        <w:rPr>
          <w:rFonts w:ascii="Barlow Semi Condensed" w:cs="Barlow Semi Condensed" w:eastAsia="Barlow Semi Condensed" w:hAnsi="Barlow Semi Condensed"/>
          <w:sz w:val="24"/>
          <w:szCs w:val="24"/>
        </w:rPr>
        <w:t xml:space="preserve"> Applicazione del principio formulato al blocco 169 della prima campagna, qui verificata sul grafo reale. Le catene lunghe del corpus sono quasi sempre deboli: quella di Hyperion ne ha quattro e vale F. Una catena a due anelli documentati varrebbe più di una a otto anelli suggestivi, e la conseguenza operativa è che la ricerca deve puntare all'anello intermedio mancante, non alla moltiplicazione dei termini attorno ai due estremi.</w:t>
      </w:r>
    </w:p>
    <w:p>
      <w:pPr>
        <w:spacing w:after="120" w:line="276"/>
        <w:jc w:val="both"/>
      </w:pPr>
      <w:r>
        <w:rPr>
          <w:rFonts w:ascii="Barlow Semi Condensed" w:cs="Barlow Semi Condensed" w:eastAsia="Barlow Semi Condensed" w:hAnsi="Barlow Semi Condensed"/>
          <w:b/>
          <w:bCs/>
          <w:sz w:val="24"/>
          <w:szCs w:val="24"/>
        </w:rPr>
        <w:t xml:space="preserve">2103 · Bersaglio di smentita dell'anello.</w:t>
      </w:r>
      <w:r>
        <w:rPr>
          <w:rFonts w:ascii="Barlow Semi Condensed" w:cs="Barlow Semi Condensed" w:eastAsia="Barlow Semi Condensed" w:hAnsi="Barlow Semi Condensed"/>
          <w:sz w:val="24"/>
          <w:szCs w:val="24"/>
        </w:rPr>
        <w:t xml:space="preserve"> Falsificherebbe i blocchi precedenti un documento primario, datato fra il 1974 e il 1978, che nomini insieme un soggetto statunitense e un nodo già censito della rete, con una relazione e non una semplice compresenza. Non basta una menzione in un cablogramma di cronaca: serve un arco, cioè un atto che documenti un rapporto. La sede è quella del blocco precedente, e la richiesta è formulabile oggi.</w:t>
      </w:r>
    </w:p>
    <w:p>
      <w:pPr>
        <w:spacing w:after="120" w:line="276"/>
        <w:jc w:val="both"/>
      </w:pPr>
      <w:r>
        <w:rPr>
          <w:rFonts w:ascii="Barlow Semi Condensed" w:cs="Barlow Semi Condensed" w:eastAsia="Barlow Semi Condensed" w:hAnsi="Barlow Semi Condensed"/>
          <w:b/>
          <w:bCs/>
          <w:sz w:val="24"/>
          <w:szCs w:val="24"/>
        </w:rPr>
        <w:t xml:space="preserve">2104 · I tre buchi dichiarati, e il quarto.</w:t>
      </w:r>
      <w:r>
        <w:rPr>
          <w:rFonts w:ascii="Barlow Semi Condensed" w:cs="Barlow Semi Condensed" w:eastAsia="Barlow Semi Condensed" w:hAnsi="Barlow Semi Condensed"/>
          <w:sz w:val="24"/>
          <w:szCs w:val="24"/>
        </w:rPr>
        <w:t xml:space="preserve"> Il paragrafo 3 nomina tre buchi strutturali: nessun arco fra il livello Hyperion e il livello del caso, nessuno fra il dominio vaticano e via Fani, nessuno fra il fronte latinoamericano e il sequestro. Manca dall'elenco il buco atlantico, che pure è il più invocato dalla pubblicistica. La lacuna è di verbalizzazione e non di sostanza, e questa serie propone di colmarla iscrivendolo come quarto buco dichiarato.</w:t>
      </w:r>
    </w:p>
    <w:p>
      <w:pPr>
        <w:spacing w:after="120" w:line="276"/>
        <w:jc w:val="both"/>
      </w:pPr>
      <w:r>
        <w:rPr>
          <w:rFonts w:ascii="Barlow Semi Condensed" w:cs="Barlow Semi Condensed" w:eastAsia="Barlow Semi Condensed" w:hAnsi="Barlow Semi Condensed"/>
          <w:b/>
          <w:bCs/>
          <w:sz w:val="24"/>
          <w:szCs w:val="24"/>
        </w:rPr>
        <w:t xml:space="preserve">2105 · Formula del quarto buco.</w:t>
      </w:r>
      <w:r>
        <w:rPr>
          <w:rFonts w:ascii="Barlow Semi Condensed" w:cs="Barlow Semi Condensed" w:eastAsia="Barlow Semi Condensed" w:hAnsi="Barlow Semi Condensed"/>
          <w:sz w:val="24"/>
          <w:szCs w:val="24"/>
        </w:rPr>
        <w:t xml:space="preserve"> Proposta di verbalizzazione, redatta nella lingua del territorio. Non esiste alcun arco fra il dominio della politica estera atlantica e il fatto del 16 marzo 1978; l'ostilità documentata all'ingresso dei comunisti al governo è collegata alla politica italiana, non all'agguato. È la stessa forma della clausola vaticana, dove il padre di Casimirri risulta collegato al figlio e non al fatto, e ne condivide esattamente la funzione limitativa.</w:t>
      </w:r>
    </w:p>
    <w:p>
      <w:pPr>
        <w:spacing w:after="120" w:line="276"/>
        <w:jc w:val="both"/>
      </w:pPr>
      <w:r>
        <w:rPr>
          <w:rFonts w:ascii="Barlow Semi Condensed" w:cs="Barlow Semi Condensed" w:eastAsia="Barlow Semi Condensed" w:hAnsi="Barlow Semi Condensed"/>
          <w:b/>
          <w:bCs/>
          <w:sz w:val="24"/>
          <w:szCs w:val="24"/>
        </w:rPr>
        <w:t xml:space="preserve">2106 · Misurare prima di interrogare.</w:t>
      </w:r>
      <w:r>
        <w:rPr>
          <w:rFonts w:ascii="Barlow Semi Condensed" w:cs="Barlow Semi Condensed" w:eastAsia="Barlow Semi Condensed" w:hAnsi="Barlow Semi Condensed"/>
          <w:sz w:val="24"/>
          <w:szCs w:val="24"/>
        </w:rPr>
        <w:t xml:space="preserve"> Il primo tempo della regola di Burt chiede che il buco sia misurato e non riempito. La misura è eseguibile: quanti documenti del branch trattano insieme il dominio atlantico e quello del sequestro. Al netto del volume dedicato e degli indici sono cinque, cioè la Parte terza, la Fase sesta, la Fase nona, la triangolazione guevariana al nodo M-5 e il passaggio dal Che a Moro, e tutti vi registrano esito negativo o cornice.</w:t>
      </w:r>
    </w:p>
    <w:p>
      <w:pPr>
        <w:spacing w:after="120" w:line="276"/>
        <w:jc w:val="both"/>
      </w:pPr>
      <w:r>
        <w:rPr>
          <w:rFonts w:ascii="Barlow Semi Condensed" w:cs="Barlow Semi Condensed" w:eastAsia="Barlow Semi Condensed" w:hAnsi="Barlow Semi Condensed"/>
          <w:b/>
          <w:bCs/>
          <w:sz w:val="24"/>
          <w:szCs w:val="24"/>
        </w:rPr>
        <w:t xml:space="preserve">2107 · Il secondo tempo, acquisito dopo.</w:t>
      </w:r>
      <w:r>
        <w:rPr>
          <w:rFonts w:ascii="Barlow Semi Condensed" w:cs="Barlow Semi Condensed" w:eastAsia="Barlow Semi Condensed" w:hAnsi="Barlow Semi Condensed"/>
          <w:sz w:val="24"/>
          <w:szCs w:val="24"/>
        </w:rPr>
        <w:t xml:space="preserve"> La seconda campagna della Farnesina ha aggiunto la metà mancante della regola: un basso rapporto di associazione fra due domini non indica assenza di rapporti, indica che nessuno ha scritto un documento che li tratti insieme. Il documento di metodo, anteriore a quell'acquisizione, possiede solo il primo tempo. Aggiornarlo è atto dovuto, e cambia la diagnosi del buco atlantico da vuoto di fatto a vuoto di spoglio.</w:t>
      </w:r>
    </w:p>
    <w:p>
      <w:pPr>
        <w:spacing w:after="120" w:line="276"/>
        <w:jc w:val="both"/>
      </w:pPr>
      <w:r>
        <w:rPr>
          <w:rFonts w:ascii="Barlow Semi Condensed" w:cs="Barlow Semi Condensed" w:eastAsia="Barlow Semi Condensed" w:hAnsi="Barlow Semi Condensed"/>
          <w:b/>
          <w:bCs/>
          <w:sz w:val="24"/>
          <w:szCs w:val="24"/>
        </w:rPr>
        <w:t xml:space="preserve">2108 · Il padre, il figlio, il fatto.</w:t>
      </w:r>
      <w:r>
        <w:rPr>
          <w:rFonts w:ascii="Barlow Semi Condensed" w:cs="Barlow Semi Condensed" w:eastAsia="Barlow Semi Condensed" w:hAnsi="Barlow Semi Condensed"/>
          <w:sz w:val="24"/>
          <w:szCs w:val="24"/>
        </w:rPr>
        <w:t xml:space="preserve"> Il territorio offre un modello di clausola che vale come regola generale, e conviene riusarlo. Il padre di Alessio Casimirri lavorava alla sala stampa vaticana ed è collegato nel grafo al figlio, non all'agguato: la parentela è un arco, la responsabilità no. Trasposta, la clausola dice che una posizione documentata verso Moro ministro degli Esteri è un arco verso quel nodo e verso quella carica, non verso il fatto del 1978.</w:t>
      </w:r>
    </w:p>
    <w:p>
      <w:pPr>
        <w:spacing w:after="120" w:line="276"/>
        <w:jc w:val="both"/>
      </w:pPr>
      <w:r>
        <w:rPr>
          <w:rFonts w:ascii="Barlow Semi Condensed" w:cs="Barlow Semi Condensed" w:eastAsia="Barlow Semi Condensed" w:hAnsi="Barlow Semi Condensed"/>
          <w:b/>
          <w:bCs/>
          <w:sz w:val="24"/>
          <w:szCs w:val="24"/>
        </w:rPr>
        <w:t xml:space="preserve">2109 · Il buco non prova reticenza.</w:t>
      </w:r>
      <w:r>
        <w:rPr>
          <w:rFonts w:ascii="Barlow Semi Condensed" w:cs="Barlow Semi Condensed" w:eastAsia="Barlow Semi Condensed" w:hAnsi="Barlow Semi Condensed"/>
          <w:sz w:val="24"/>
          <w:szCs w:val="24"/>
        </w:rPr>
        <w:t xml:space="preserve"> Bersaglio di smentita rivolto contro questa serie stessa. Se domani il buco atlantico venisse letto come prova di occultamento, la lettura andrebbe respinta con la formula che il corpus usa altrove: il silenzio non prova il segreto, perché un vuoto documentale è compatibile con la prassi di non verbalizzare, con lo scarto regolare, con la perdita e col versamento incompleto, oltre che con l'occultamento deliberato.</w:t>
      </w:r>
    </w:p>
    <w:p>
      <w:pPr>
        <w:spacing w:after="120" w:line="276"/>
        <w:jc w:val="both"/>
      </w:pPr>
      <w:r>
        <w:rPr>
          <w:rFonts w:ascii="Barlow Semi Condensed" w:cs="Barlow Semi Condensed" w:eastAsia="Barlow Semi Condensed" w:hAnsi="Barlow Semi Condensed"/>
          <w:b/>
          <w:bCs/>
          <w:sz w:val="24"/>
          <w:szCs w:val="24"/>
        </w:rPr>
        <w:t xml:space="preserve">2110 · PE-5 come sonda del vuoto.</w:t>
      </w:r>
      <w:r>
        <w:rPr>
          <w:rFonts w:ascii="Barlow Semi Condensed" w:cs="Barlow Semi Condensed" w:eastAsia="Barlow Semi Condensed" w:hAnsi="Barlow Semi Condensed"/>
          <w:sz w:val="24"/>
          <w:szCs w:val="24"/>
        </w:rPr>
        <w:t xml:space="preserve"> Quesito operativo, già intestato nel corpus. La scheda PE-5 del programma investigativo, il traffico di cablogrammi fra Roma e Washington fra marzo e maggio 1978, punteggio 59,5, è lo strumento che può misurare il buco atlantico con atti anziché con opinioni. Il criterio di chiusura sta scritto nella scheda: il rilascio, oppure il diniego motivato, che in regime FOIA è a sua volta un documento acquisibile.</w:t>
      </w:r>
    </w:p>
    <w:p>
      <w:pPr>
        <w:spacing w:after="120" w:line="276"/>
        <w:jc w:val="both"/>
      </w:pPr>
      <w:r>
        <w:rPr>
          <w:rFonts w:ascii="Barlow Semi Condensed" w:cs="Barlow Semi Condensed" w:eastAsia="Barlow Semi Condensed" w:hAnsi="Barlow Semi Condensed"/>
          <w:b/>
          <w:bCs/>
          <w:sz w:val="24"/>
          <w:szCs w:val="24"/>
        </w:rPr>
        <w:t xml:space="preserve">2111 · Il lotto del Dipartimento di Stato tace.</w:t>
      </w:r>
      <w:r>
        <w:rPr>
          <w:rFonts w:ascii="Barlow Semi Condensed" w:cs="Barlow Semi Condensed" w:eastAsia="Barlow Semi Condensed" w:hAnsi="Barlow Semi Condensed"/>
          <w:sz w:val="24"/>
          <w:szCs w:val="24"/>
        </w:rPr>
        <w:t xml:space="preserve"> Verifica eseguita sul file moro-ministro-esteri/documenti-state-dept-1965-1978.md: la stringa cercata vi compare zero volte. Il lotto contiene il programma della visita del 1965, con Rusk e Johnson, e i cablogrammi dei cinquantacinque giorni da Buenos Aires, Trieste e Palermo. Nessuno nomina l'uomo che nel 1965 non era in carica e nel 1978 non lo era più. È lo Stato Zero più preciso di cui la serie disponga.</w:t>
      </w:r>
    </w:p>
    <w:p>
      <w:pPr>
        <w:spacing w:after="120" w:line="276"/>
        <w:jc w:val="both"/>
      </w:pPr>
      <w:r>
        <w:rPr>
          <w:rFonts w:ascii="Barlow Semi Condensed" w:cs="Barlow Semi Condensed" w:eastAsia="Barlow Semi Condensed" w:hAnsi="Barlow Semi Condensed"/>
          <w:b/>
          <w:bCs/>
          <w:sz w:val="24"/>
          <w:szCs w:val="24"/>
        </w:rPr>
        <w:t xml:space="preserve">2112 · Congettura possibile, e non provata.</w:t>
      </w:r>
      <w:r>
        <w:rPr>
          <w:rFonts w:ascii="Barlow Semi Condensed" w:cs="Barlow Semi Condensed" w:eastAsia="Barlow Semi Condensed" w:hAnsi="Barlow Semi Condensed"/>
          <w:sz w:val="24"/>
          <w:szCs w:val="24"/>
        </w:rPr>
        <w:t xml:space="preserve"> Statuto del buco, dichiarato secondo la formula del territorio. Ogni buco strutturale è una congettura possibile e non provata, e resta tale finché un documento non diventi arco. Il buco atlantico non è dunque una tesi da respingere né una da accreditare: è una casella vuota di cui si conosce la sede. Chi la riempie con la narrazione compie l'operazione che la regola nomina per poterla vietare.</w:t>
      </w:r>
    </w:p>
    <w:p>
      <w:pPr>
        <w:spacing w:after="120" w:line="276"/>
        <w:jc w:val="both"/>
      </w:pPr>
      <w:r>
        <w:rPr>
          <w:rFonts w:ascii="Barlow Semi Condensed" w:cs="Barlow Semi Condensed" w:eastAsia="Barlow Semi Condensed" w:hAnsi="Barlow Semi Condensed"/>
          <w:b/>
          <w:bCs/>
          <w:sz w:val="24"/>
          <w:szCs w:val="24"/>
        </w:rPr>
        <w:t xml:space="preserve">2113 · Bersaglio di smentita del quarto buco.</w:t>
      </w:r>
      <w:r>
        <w:rPr>
          <w:rFonts w:ascii="Barlow Semi Condensed" w:cs="Barlow Semi Condensed" w:eastAsia="Barlow Semi Condensed" w:hAnsi="Barlow Semi Condensed"/>
          <w:sz w:val="24"/>
          <w:szCs w:val="24"/>
        </w:rPr>
        <w:t xml:space="preserve"> Falsificherebbe la formula del blocco trentesimo un documento che colleghi il dominio atlantico non alla politica italiana ma al fatto: un'istruzione datata verso un soggetto italiano, con protocollo e destinatario, riferita al sequestro o alla sua preparazione. Non un giudizio politico, non una previsione, non una dichiarazione d'ostilità, ma un atto con verso operativo. Nessuno è emerso in quarantotto anni, e la ricerca resta aperta nelle sedi nominate.</w:t>
      </w:r>
    </w:p>
    <w:p>
      <w:pPr>
        <w:spacing w:after="120" w:line="276"/>
        <w:jc w:val="both"/>
      </w:pPr>
      <w:r>
        <w:rPr>
          <w:rFonts w:ascii="Barlow Semi Condensed" w:cs="Barlow Semi Condensed" w:eastAsia="Barlow Semi Condensed" w:hAnsi="Barlow Semi Condensed"/>
          <w:b/>
          <w:bCs/>
          <w:sz w:val="24"/>
          <w:szCs w:val="24"/>
        </w:rPr>
        <w:t xml:space="preserve">2114 · Il quinto mondo come unico domicilio.</w:t>
      </w:r>
      <w:r>
        <w:rPr>
          <w:rFonts w:ascii="Barlow Semi Condensed" w:cs="Barlow Semi Condensed" w:eastAsia="Barlow Semi Condensed" w:hAnsi="Barlow Semi Condensed"/>
          <w:sz w:val="24"/>
          <w:szCs w:val="24"/>
        </w:rPr>
        <w:t xml:space="preserve"> Dei dieci mondi di Kivelä censiti nel territorio uno solo potrebbe ospitare questo nome, il quinto, la dimensione diplomatica della Farnesina. Non il secondo, che è il mondo brigatista; non l'ottavo, che è il piano giudiziario; non il terzo, che è il ceppo del 1969. L'assegnazione non è un dettaglio tassonomico: determina quali cammini sono ammessi e quali la disciplina multistrato interrompe già in partenza.</w:t>
      </w:r>
    </w:p>
    <w:p>
      <w:pPr>
        <w:spacing w:after="120" w:line="276"/>
        <w:jc w:val="both"/>
      </w:pPr>
      <w:r>
        <w:rPr>
          <w:rFonts w:ascii="Barlow Semi Condensed" w:cs="Barlow Semi Condensed" w:eastAsia="Barlow Semi Condensed" w:hAnsi="Barlow Semi Condensed"/>
          <w:b/>
          <w:bCs/>
          <w:sz w:val="24"/>
          <w:szCs w:val="24"/>
        </w:rPr>
        <w:t xml:space="preserve">2115 · L'undicesimo mondo che manca.</w:t>
      </w:r>
      <w:r>
        <w:rPr>
          <w:rFonts w:ascii="Barlow Semi Condensed" w:cs="Barlow Semi Condensed" w:eastAsia="Barlow Semi Condensed" w:hAnsi="Barlow Semi Condensed"/>
          <w:sz w:val="24"/>
          <w:szCs w:val="24"/>
        </w:rPr>
        <w:t xml:space="preserve"> Quesito di architettura, dichiarato come Stato Zero. Il corpus non censisce un mondo atlantico o statunitense distinto: la materia entra nel quinto, che è italiano di soggetto e diplomatico di materia. Se la seconda campagna producesse un fondo americano proprio, i FRUS spogliati, i NSC Files, le FOIA della scheda PE-5, l'apertura di un undicesimo livello diverrebbe una decisione da prendere, e andrebbe presa esplicitamente e non per prassi.</w:t>
      </w:r>
    </w:p>
    <w:p>
      <w:pPr>
        <w:spacing w:after="120" w:line="276"/>
        <w:jc w:val="both"/>
      </w:pPr>
      <w:r>
        <w:rPr>
          <w:rFonts w:ascii="Barlow Semi Condensed" w:cs="Barlow Semi Condensed" w:eastAsia="Barlow Semi Condensed" w:hAnsi="Barlow Semi Condensed"/>
          <w:b/>
          <w:bCs/>
          <w:sz w:val="24"/>
          <w:szCs w:val="24"/>
        </w:rPr>
        <w:t xml:space="preserve">2116 · Abitare più mondi senza trasmettere.</w:t>
      </w:r>
      <w:r>
        <w:rPr>
          <w:rFonts w:ascii="Barlow Semi Condensed" w:cs="Barlow Semi Condensed" w:eastAsia="Barlow Semi Condensed" w:hAnsi="Barlow Semi Condensed"/>
          <w:sz w:val="24"/>
          <w:szCs w:val="24"/>
        </w:rPr>
        <w:t xml:space="preserve"> La disciplina multistrato ha una sola regola e va applicata qui integralmente: un nodo può abitare più mondi senza che i mondi si trasmettano nulla attraverso di lui. È la forma reticolare del capitolo ottantunesimo della Fase decima, per cui l'appartenenza a uno o più gruppi non è somma di colpe. Un uomo di Stato che abiti il quinto mondo non porta con sé, per ciò solo, alcun accesso al secondo.</w:t>
      </w:r>
    </w:p>
    <w:p>
      <w:pPr>
        <w:spacing w:after="120" w:line="276"/>
        <w:jc w:val="both"/>
      </w:pPr>
      <w:r>
        <w:rPr>
          <w:rFonts w:ascii="Barlow Semi Condensed" w:cs="Barlow Semi Condensed" w:eastAsia="Barlow Semi Condensed" w:hAnsi="Barlow Semi Condensed"/>
          <w:b/>
          <w:bCs/>
          <w:sz w:val="24"/>
          <w:szCs w:val="24"/>
        </w:rPr>
        <w:t xml:space="preserve">2117 · Il piano giudiziario tace il nome.</w:t>
      </w:r>
      <w:r>
        <w:rPr>
          <w:rFonts w:ascii="Barlow Semi Condensed" w:cs="Barlow Semi Condensed" w:eastAsia="Barlow Semi Condensed" w:hAnsi="Barlow Semi Condensed"/>
          <w:sz w:val="24"/>
          <w:szCs w:val="24"/>
        </w:rPr>
        <w:t xml:space="preserve"> Accertamento di grado A, ed è il vincolo che governa ogni riga della serie. Nell'ottavo mondo, il piano giudiziario, il nome non compare in alcuna qualità: non fu mai imputato, mai processato, mai condannato, in alcun Paese, e non fu mai sentito dai magistrati italiani, poiché la richiesta informale del 1983 non ebbe seguito. Il registro del giudicato resta l'unico luogo dei nomi, e lì questo nome non figura.</w:t>
      </w:r>
    </w:p>
    <w:p>
      <w:pPr>
        <w:spacing w:after="120" w:line="276"/>
        <w:jc w:val="both"/>
      </w:pPr>
      <w:r>
        <w:rPr>
          <w:rFonts w:ascii="Barlow Semi Condensed" w:cs="Barlow Semi Condensed" w:eastAsia="Barlow Semi Condensed" w:hAnsi="Barlow Semi Condensed"/>
          <w:b/>
          <w:bCs/>
          <w:sz w:val="24"/>
          <w:szCs w:val="24"/>
        </w:rPr>
        <w:t xml:space="preserve">2118 · Il nono mondo e il primo agosto.</w:t>
      </w:r>
      <w:r>
        <w:rPr>
          <w:rFonts w:ascii="Barlow Semi Condensed" w:cs="Barlow Semi Condensed" w:eastAsia="Barlow Semi Condensed" w:hAnsi="Barlow Semi Condensed"/>
          <w:sz w:val="24"/>
          <w:szCs w:val="24"/>
        </w:rPr>
        <w:t xml:space="preserve"> Nel mondo parlamentare la sede è confermata e il contenuto no. Eleonora Chiavarelli Moro fu ascoltata dalla Commissione d'inchiesta sul caso Moro il 1° agosto 1980, con una fonte che indica l'11 verosimilmente per lettura errata, ma il verbatim della frase in quella sede resta da riscontrare: le sintesi riferiscono soprattutto minacce risalenti al 1975 e crescenti. Sede da chiudere: gli atti Doc. XXIII della ottava legislatura.</w:t>
      </w:r>
    </w:p>
    <w:p>
      <w:pPr>
        <w:spacing w:after="120" w:line="276"/>
        <w:jc w:val="both"/>
      </w:pPr>
      <w:r>
        <w:rPr>
          <w:rFonts w:ascii="Barlow Semi Condensed" w:cs="Barlow Semi Condensed" w:eastAsia="Barlow Semi Condensed" w:hAnsi="Barlow Semi Condensed"/>
          <w:b/>
          <w:bCs/>
          <w:sz w:val="24"/>
          <w:szCs w:val="24"/>
        </w:rPr>
        <w:t xml:space="preserve">2119 · Il decimo mondo e il duemilaventitré.</w:t>
      </w:r>
      <w:r>
        <w:rPr>
          <w:rFonts w:ascii="Barlow Semi Condensed" w:cs="Barlow Semi Condensed" w:eastAsia="Barlow Semi Condensed" w:hAnsi="Barlow Semi Condensed"/>
          <w:sz w:val="24"/>
          <w:szCs w:val="24"/>
        </w:rPr>
        <w:t xml:space="preserve"> È nel mondo della memoria e dei media che il nome vive davvero. La moltiplicazione delle fonti sull'episodio è apparente e risale a un unico lancio d'agenzia del 30 novembre 2023, il giorno dopo la morte a Kent; sul piano internazionale la vicenda era stata rilanciata già nel 1982 da una pubblicazione dichiaratamente cospirazionista. La replicazione non aggiunge valore probatorio: è copia fedele, e una copia non è un riscontro.</w:t>
      </w:r>
    </w:p>
    <w:p>
      <w:pPr>
        <w:spacing w:after="120" w:line="276"/>
        <w:jc w:val="both"/>
      </w:pPr>
      <w:r>
        <w:rPr>
          <w:rFonts w:ascii="Barlow Semi Condensed" w:cs="Barlow Semi Condensed" w:eastAsia="Barlow Semi Condensed" w:hAnsi="Barlow Semi Condensed"/>
          <w:b/>
          <w:bCs/>
          <w:sz w:val="24"/>
          <w:szCs w:val="24"/>
        </w:rPr>
        <w:t xml:space="preserve">2120 · La migrazione indebita fra livelli.</w:t>
      </w:r>
      <w:r>
        <w:rPr>
          <w:rFonts w:ascii="Barlow Semi Condensed" w:cs="Barlow Semi Condensed" w:eastAsia="Barlow Semi Condensed" w:hAnsi="Barlow Semi Condensed"/>
          <w:sz w:val="24"/>
          <w:szCs w:val="24"/>
        </w:rPr>
        <w:t xml:space="preserve"> Errore da nominare perché è il più frequente. Si prende un elemento attestato nel decimo mondo, la circolazione mediatica di una frase, e lo si tratta come se stesse nell'ottavo, dove vige il giudicato, oppure nel secondo, dove sta il fatto. La rete multistrato esiste per rendere visibile questo salto: un nodo che abita un livello non porta i propri archi negli altri senza un documento che li costruisca.</w:t>
      </w:r>
    </w:p>
    <w:p>
      <w:pPr>
        <w:spacing w:after="120" w:line="276"/>
        <w:jc w:val="both"/>
      </w:pPr>
      <w:r>
        <w:rPr>
          <w:rFonts w:ascii="Barlow Semi Condensed" w:cs="Barlow Semi Condensed" w:eastAsia="Barlow Semi Condensed" w:hAnsi="Barlow Semi Condensed"/>
          <w:b/>
          <w:bCs/>
          <w:sz w:val="24"/>
          <w:szCs w:val="24"/>
        </w:rPr>
        <w:t xml:space="preserve">2121 · Bersaglio di smentita multistrato.</w:t>
      </w:r>
      <w:r>
        <w:rPr>
          <w:rFonts w:ascii="Barlow Semi Condensed" w:cs="Barlow Semi Condensed" w:eastAsia="Barlow Semi Condensed" w:hAnsi="Barlow Semi Condensed"/>
          <w:sz w:val="24"/>
          <w:szCs w:val="24"/>
        </w:rPr>
        <w:t xml:space="preserve"> Falsificherebbe l'assegnazione al quinto mondo un documento che collochi il nome in un altro livello con un arco proprio: un atto giudiziario italiano che lo riguardi, un verbale parlamentare che ne registri l'audizione, una carta brigatista che lo nomini come interlocutore. Nessuno dei tre risulta esistere. Le sedi sono la Corte d'assise di Roma, gli archivi della Camera e i fondi delle carte brigatiste versate.</w:t>
      </w:r>
    </w:p>
    <w:p>
      <w:pPr>
        <w:spacing w:after="120" w:line="276"/>
        <w:jc w:val="both"/>
      </w:pPr>
      <w:r>
        <w:rPr>
          <w:rFonts w:ascii="Barlow Semi Condensed" w:cs="Barlow Semi Condensed" w:eastAsia="Barlow Semi Condensed" w:hAnsi="Barlow Semi Condensed"/>
          <w:b/>
          <w:bCs/>
          <w:sz w:val="24"/>
          <w:szCs w:val="24"/>
        </w:rPr>
        <w:t xml:space="preserve">2122 · Le due matrici e la loro lacuna.</w:t>
      </w:r>
      <w:r>
        <w:rPr>
          <w:rFonts w:ascii="Barlow Semi Condensed" w:cs="Barlow Semi Condensed" w:eastAsia="Barlow Semi Condensed" w:hAnsi="Barlow Semi Condensed"/>
          <w:sz w:val="24"/>
          <w:szCs w:val="24"/>
        </w:rPr>
        <w:t xml:space="preserve"> Nel territorio stanno due matrici ACH, entrambe su quesiti domestici: via Gradoli con la seduta spiritica, e le due moto di via Fani. Nessuna delle due tocca il versante internazionale. La lacuna era già stata registrata al blocco 911 della prima campagna a proposito della serie sesta del manuale, dai blocchi 171 al 210; qui si accerta che riguarda anche il documento di metodo, e per la stessa ragione.</w:t>
      </w:r>
    </w:p>
    <w:p>
      <w:pPr>
        <w:spacing w:after="120" w:line="276"/>
        <w:jc w:val="both"/>
      </w:pPr>
      <w:r>
        <w:rPr>
          <w:rFonts w:ascii="Barlow Semi Condensed" w:cs="Barlow Semi Condensed" w:eastAsia="Barlow Semi Condensed" w:hAnsi="Barlow Semi Condensed"/>
          <w:b/>
          <w:bCs/>
          <w:sz w:val="24"/>
          <w:szCs w:val="24"/>
        </w:rPr>
        <w:t xml:space="preserve">2123 · Perché la lacuna non è casuale.</w:t>
      </w:r>
      <w:r>
        <w:rPr>
          <w:rFonts w:ascii="Barlow Semi Condensed" w:cs="Barlow Semi Condensed" w:eastAsia="Barlow Semi Condensed" w:hAnsi="Barlow Semi Condensed"/>
          <w:sz w:val="24"/>
          <w:szCs w:val="24"/>
        </w:rPr>
        <w:t xml:space="preserve"> Diagnosi della lacuna, con grado B. L'ACH nel regime pubblico si applica solo a quesiti impersonali e senza numeri di probabilità, perché i numeri simulerebbero una precisione che le fonti non hanno. Un quesito internazionale tende a nascere personale, chi volle e chi ordinò, e in quella forma resta inammissibile. La lacuna è dunque un effetto della disciplina, e si supera riformulando il quesito, non allentando la regola.</w:t>
      </w:r>
    </w:p>
    <w:p>
      <w:pPr>
        <w:spacing w:after="120" w:line="276"/>
        <w:jc w:val="both"/>
      </w:pPr>
      <w:r>
        <w:rPr>
          <w:rFonts w:ascii="Barlow Semi Condensed" w:cs="Barlow Semi Condensed" w:eastAsia="Barlow Semi Condensed" w:hAnsi="Barlow Semi Condensed"/>
          <w:b/>
          <w:bCs/>
          <w:sz w:val="24"/>
          <w:szCs w:val="24"/>
        </w:rPr>
        <w:t xml:space="preserve">2124 · Riformulare in forma impersonale.</w:t>
      </w:r>
      <w:r>
        <w:rPr>
          <w:rFonts w:ascii="Barlow Semi Condensed" w:cs="Barlow Semi Condensed" w:eastAsia="Barlow Semi Condensed" w:hAnsi="Barlow Semi Condensed"/>
          <w:sz w:val="24"/>
          <w:szCs w:val="24"/>
        </w:rPr>
        <w:t xml:space="preserve"> Una regola applicabile, con la conseguenza operativa che ne discende. Il quesito su chi minacciò chi è personale e resta fuori. Il quesito su quale statuto probatorio abbia l'episodio del settembre 1974 nella documentazione oggi accessibile è impersonale e vi rientra per intero, perché ha per oggetto documenti e non intenzioni. La riformulazione non è un artificio: sposta la domanda dal foro interno di un uomo al perimetro verificabile di un archivio.</w:t>
      </w:r>
    </w:p>
    <w:p>
      <w:pPr>
        <w:spacing w:after="120" w:line="276"/>
        <w:jc w:val="both"/>
      </w:pPr>
      <w:r>
        <w:rPr>
          <w:rFonts w:ascii="Barlow Semi Condensed" w:cs="Barlow Semi Condensed" w:eastAsia="Barlow Semi Condensed" w:hAnsi="Barlow Semi Condensed"/>
          <w:b/>
          <w:bCs/>
          <w:sz w:val="24"/>
          <w:szCs w:val="24"/>
        </w:rPr>
        <w:t xml:space="preserve">2125 · La terza matrice e le sue ipotesi.</w:t>
      </w:r>
      <w:r>
        <w:rPr>
          <w:rFonts w:ascii="Barlow Semi Condensed" w:cs="Barlow Semi Condensed" w:eastAsia="Barlow Semi Condensed" w:hAnsi="Barlow Semi Condensed"/>
          <w:sz w:val="24"/>
          <w:szCs w:val="24"/>
        </w:rPr>
        <w:t xml:space="preserve"> Proposta di matrice, redatta nella forma del territorio. Le ipotesi concorrenti sull'episodio sono quattro: colloquio ufficiale con posizione politica dura e nessuna minaccia; scambio a margine effettivamente avvenuto e non verbalizzato; ricostruzione formatasi nell'entourage e consolidata a posteriori; sovrapposizione di episodi distinti collocati in anni diversi. Nessuna delle quattro contiene un'imputazione, e la matrice è perciò ammissibile nel regime pubblico del corpus.</w:t>
      </w:r>
    </w:p>
    <w:p>
      <w:pPr>
        <w:spacing w:after="120" w:line="276"/>
        <w:jc w:val="both"/>
      </w:pPr>
      <w:r>
        <w:rPr>
          <w:rFonts w:ascii="Barlow Semi Condensed" w:cs="Barlow Semi Condensed" w:eastAsia="Barlow Semi Condensed" w:hAnsi="Barlow Semi Condensed"/>
          <w:b/>
          <w:bCs/>
          <w:sz w:val="24"/>
          <w:szCs w:val="24"/>
        </w:rPr>
        <w:t xml:space="preserve">2126 · Le righe di evidenza, coi gradi.</w:t>
      </w:r>
      <w:r>
        <w:rPr>
          <w:rFonts w:ascii="Barlow Semi Condensed" w:cs="Barlow Semi Condensed" w:eastAsia="Barlow Semi Condensed" w:hAnsi="Barlow Semi Condensed"/>
          <w:sz w:val="24"/>
          <w:szCs w:val="24"/>
        </w:rPr>
        <w:t xml:space="preserve"> Le evidenze da incrociare, ciascuna col proprio grado. Il memorandum of conversation esiste, è integrale e non contiene alcun ultimatum personale: grado A. Il teste depose davanti alla Corte d'assise nel novembre 1982 ma non assistette al colloquio: grado B indebolito dal de relato. La data oscilla fra 1974, 1976 e 1977 e i luoghi divergono. L'interessato ha smentito, per testimonianza giornalistica di un solo interlocutore.</w:t>
      </w:r>
    </w:p>
    <w:p>
      <w:pPr>
        <w:spacing w:after="120" w:line="276"/>
        <w:jc w:val="both"/>
      </w:pPr>
      <w:r>
        <w:rPr>
          <w:rFonts w:ascii="Barlow Semi Condensed" w:cs="Barlow Semi Condensed" w:eastAsia="Barlow Semi Condensed" w:hAnsi="Barlow Semi Condensed"/>
          <w:b/>
          <w:bCs/>
          <w:sz w:val="24"/>
          <w:szCs w:val="24"/>
        </w:rPr>
        <w:t xml:space="preserve">2127 · L'evidenza che discriminerebbe davvero.</w:t>
      </w:r>
      <w:r>
        <w:rPr>
          <w:rFonts w:ascii="Barlow Semi Condensed" w:cs="Barlow Semi Condensed" w:eastAsia="Barlow Semi Condensed" w:hAnsi="Barlow Semi Condensed"/>
          <w:sz w:val="24"/>
          <w:szCs w:val="24"/>
        </w:rPr>
        <w:t xml:space="preserve"> Esito della matrice, dichiarato come nelle due del territorio. Nessuna evidenza disponibile è diagnostica: tutte e quattro le ipotesi restano compatibili con quanto si conosce, perché l'assenza dal verbale non prova né la falsità né la verità di uno scambio a margine. L'evidenza discriminante è però nominabile: un secondo verbale, un appunto di delegazione, una nota dell'interprete o del cerimoniale relativa alla cena o al fuori-programma.</w:t>
      </w:r>
    </w:p>
    <w:p>
      <w:pPr>
        <w:spacing w:after="120" w:line="276"/>
        <w:jc w:val="both"/>
      </w:pPr>
      <w:r>
        <w:rPr>
          <w:rFonts w:ascii="Barlow Semi Condensed" w:cs="Barlow Semi Condensed" w:eastAsia="Barlow Semi Condensed" w:hAnsi="Barlow Semi Condensed"/>
          <w:b/>
          <w:bCs/>
          <w:sz w:val="24"/>
          <w:szCs w:val="24"/>
        </w:rPr>
        <w:t xml:space="preserve">2128 · Il divieto dei numeri di probabilità.</w:t>
      </w:r>
      <w:r>
        <w:rPr>
          <w:rFonts w:ascii="Barlow Semi Condensed" w:cs="Barlow Semi Condensed" w:eastAsia="Barlow Semi Condensed" w:hAnsi="Barlow Semi Condensed"/>
          <w:sz w:val="24"/>
          <w:szCs w:val="24"/>
        </w:rPr>
        <w:t xml:space="preserve"> Vincolo da ribadire perché la tentazione è qui massima. Il regime pubblico applica l'ACH senza assegnare probabilità numeriche, e la ragione sta scritta nel territorio: i numeri simulerebbero una precisione che le fonti non hanno. Scrivere che un'ipotesi vale il sessanta per cento significherebbe estrarre una cifra da una testimonianza de relato contestata. La matrice ordina le ipotesi e nomina l'evidenza mancante, e non le pesa.</w:t>
      </w:r>
    </w:p>
    <w:p>
      <w:pPr>
        <w:spacing w:after="120" w:line="276"/>
        <w:jc w:val="both"/>
      </w:pPr>
      <w:r>
        <w:rPr>
          <w:rFonts w:ascii="Barlow Semi Condensed" w:cs="Barlow Semi Condensed" w:eastAsia="Barlow Semi Condensed" w:hAnsi="Barlow Semi Condensed"/>
          <w:b/>
          <w:bCs/>
          <w:sz w:val="24"/>
          <w:szCs w:val="24"/>
        </w:rPr>
        <w:t xml:space="preserve">2129 · La cella vuota, dichiarata.</w:t>
      </w:r>
      <w:r>
        <w:rPr>
          <w:rFonts w:ascii="Barlow Semi Condensed" w:cs="Barlow Semi Condensed" w:eastAsia="Barlow Semi Condensed" w:hAnsi="Barlow Semi Condensed"/>
          <w:sz w:val="24"/>
          <w:szCs w:val="24"/>
        </w:rPr>
        <w:t xml:space="preserve"> Istituto che il corpus possiede e che qui serve. I nove cantieri, al blocco 166, tengono aperta la cella dell'interlocutore ignoto nel canale di monsignor Curioni e la dichiarano vuota anziché stimarla. Lo stesso trattamento spetta alla cella del colloquio a margine del settembre 1974: si dichiara vuota, si nomina la sede, la Ford Library e l'Archivio storico diplomatico, e si lascia visibile finché un atto non la riempia.</w:t>
      </w:r>
    </w:p>
    <w:p>
      <w:pPr>
        <w:spacing w:after="120" w:line="276"/>
        <w:jc w:val="both"/>
      </w:pPr>
      <w:r>
        <w:rPr>
          <w:rFonts w:ascii="Barlow Semi Condensed" w:cs="Barlow Semi Condensed" w:eastAsia="Barlow Semi Condensed" w:hAnsi="Barlow Semi Condensed"/>
          <w:b/>
          <w:bCs/>
          <w:sz w:val="24"/>
          <w:szCs w:val="24"/>
        </w:rPr>
        <w:t xml:space="preserve">2130 · L'avvocato del diavolo di matrice (serie XXVIII).</w:t>
      </w:r>
      <w:r>
        <w:rPr>
          <w:rFonts w:ascii="Barlow Semi Condensed" w:cs="Barlow Semi Condensed" w:eastAsia="Barlow Semi Condensed" w:hAnsi="Barlow Semi Condensed"/>
          <w:sz w:val="24"/>
          <w:szCs w:val="24"/>
        </w:rPr>
        <w:t xml:space="preserve"> Il blocco 357 del manuale investigativo prescrive che in ogni matrice un membro designato difenda d'ufficio l'ipotesi meno gradita al gruppo, e che la difesa sia verbalizzata prima della chiusura. Applicato qui, l'istituto obbliga a scrivere per esteso l'ipotesi che l'episodio sia avvenuto davvero senza essere verbalizzato: va difesa e non liquidata, ed è ciò che la nomina dell'evidenza discriminante fa in modo verificabile.</w:t>
      </w:r>
    </w:p>
    <w:p>
      <w:pPr>
        <w:spacing w:after="120" w:line="276"/>
        <w:jc w:val="both"/>
      </w:pPr>
      <w:r>
        <w:rPr>
          <w:rFonts w:ascii="Barlow Semi Condensed" w:cs="Barlow Semi Condensed" w:eastAsia="Barlow Semi Condensed" w:hAnsi="Barlow Semi Condensed"/>
          <w:b/>
          <w:bCs/>
          <w:sz w:val="24"/>
          <w:szCs w:val="24"/>
        </w:rPr>
        <w:t xml:space="preserve">2131 · Il precedente della Nota di revisione.</w:t>
      </w:r>
      <w:r>
        <w:rPr>
          <w:rFonts w:ascii="Barlow Semi Condensed" w:cs="Barlow Semi Condensed" w:eastAsia="Barlow Semi Condensed" w:hAnsi="Barlow Semi Condensed"/>
          <w:sz w:val="24"/>
          <w:szCs w:val="24"/>
        </w:rPr>
        <w:t xml:space="preserve"> Il territorio contiene la prova che una riga di matrice si può retrocedere. La Nota di revisione n. 1 di approfondimento-piste-di-testa.md accertò che Marini ammise ai consulenti della Moro 2 la falsità del parabrezza infranto, rotto giorni prima e riattaccato col nastro; la riga E2 scese da diagnostica a controversa e la matrice restò com'era, con la nota accanto. È il modello che questa serie assume per ogni futura correzione.</w:t>
      </w:r>
    </w:p>
    <w:p>
      <w:pPr>
        <w:spacing w:after="120" w:line="276"/>
        <w:jc w:val="both"/>
      </w:pPr>
      <w:r>
        <w:rPr>
          <w:rFonts w:ascii="Barlow Semi Condensed" w:cs="Barlow Semi Condensed" w:eastAsia="Barlow Semi Condensed" w:hAnsi="Barlow Semi Condensed"/>
          <w:b/>
          <w:bCs/>
          <w:sz w:val="24"/>
          <w:szCs w:val="24"/>
        </w:rPr>
        <w:t xml:space="preserve">2132 · La matrice che non può chiudere.</w:t>
      </w:r>
      <w:r>
        <w:rPr>
          <w:rFonts w:ascii="Barlow Semi Condensed" w:cs="Barlow Semi Condensed" w:eastAsia="Barlow Semi Condensed" w:hAnsi="Barlow Semi Condensed"/>
          <w:sz w:val="24"/>
          <w:szCs w:val="24"/>
        </w:rPr>
        <w:t xml:space="preserve"> Rischio da dichiarare in anticipo. Il blocco 8 del manuale investigativo stabilisce che un quesito senza evidenza discriminante possibile non è un quesito ma un'opinione. La matrice del settembre 1974 supera il test per un soffio, perché un'evidenza discriminante è concepibile e ha una sede. Se la ricognizione della Ford Library escludesse l'esistenza di appunti collaterali, il quesito andrebbe dichiarato indecidibile allo stato degli atti.</w:t>
      </w:r>
    </w:p>
    <w:p>
      <w:pPr>
        <w:spacing w:after="120" w:line="276"/>
        <w:jc w:val="both"/>
      </w:pPr>
      <w:r>
        <w:rPr>
          <w:rFonts w:ascii="Barlow Semi Condensed" w:cs="Barlow Semi Condensed" w:eastAsia="Barlow Semi Condensed" w:hAnsi="Barlow Semi Condensed"/>
          <w:b/>
          <w:bCs/>
          <w:sz w:val="24"/>
          <w:szCs w:val="24"/>
        </w:rPr>
        <w:t xml:space="preserve">2133 · Bersaglio di smentita della matrice.</w:t>
      </w:r>
      <w:r>
        <w:rPr>
          <w:rFonts w:ascii="Barlow Semi Condensed" w:cs="Barlow Semi Condensed" w:eastAsia="Barlow Semi Condensed" w:hAnsi="Barlow Semi Condensed"/>
          <w:sz w:val="24"/>
          <w:szCs w:val="24"/>
        </w:rPr>
        <w:t xml:space="preserve"> Falsificherebbe l'esito appena scritto la comparsa di una qualunque evidenza incompatibile con almeno una delle quattro ipotesi: un appunto della delegazione italiana sul fuori-programma, un verbale del 26 settembre più completo di quelli reperiti, una deposizione di un presente al colloquio riservato. Il file 1552806 della Ford Library è la prima carta da leggere per intero, perché di esso il corpus possiede soltanto estratti parziali e discordi.</w:t>
      </w:r>
    </w:p>
    <w:p>
      <w:pPr>
        <w:spacing w:after="120" w:line="276"/>
        <w:jc w:val="both"/>
      </w:pPr>
      <w:r>
        <w:rPr>
          <w:rFonts w:ascii="Barlow Semi Condensed" w:cs="Barlow Semi Condensed" w:eastAsia="Barlow Semi Condensed" w:hAnsi="Barlow Semi Condensed"/>
          <w:b/>
          <w:bCs/>
          <w:sz w:val="24"/>
          <w:szCs w:val="24"/>
        </w:rPr>
        <w:t xml:space="preserve">2134 · Il dettaglio ginzburghiano della data.</w:t>
      </w:r>
      <w:r>
        <w:rPr>
          <w:rFonts w:ascii="Barlow Semi Condensed" w:cs="Barlow Semi Condensed" w:eastAsia="Barlow Semi Condensed" w:hAnsi="Barlow Semi Condensed"/>
          <w:sz w:val="24"/>
          <w:szCs w:val="24"/>
        </w:rPr>
        <w:t xml:space="preserve"> Il paradigma indiziario chiede di guardare lo scarto, e qui lo scarto è la data. La versione italiana prevalente pone l'episodio al 25 settembre 1974; un'agenzia statunitense dell'aprile 1983 lo colloca in un alterco all'ambasciata d'Italia a Washington nel 1977; altre sintesi indicano il 1976. Nel 1977 la carica non c'era più: la divergenza non è di dettaglio, ed è dirimente per chi voglia legare l'episodio a un ruolo.</w:t>
      </w:r>
    </w:p>
    <w:p>
      <w:pPr>
        <w:spacing w:after="120" w:line="276"/>
        <w:jc w:val="both"/>
      </w:pPr>
      <w:r>
        <w:rPr>
          <w:rFonts w:ascii="Barlow Semi Condensed" w:cs="Barlow Semi Condensed" w:eastAsia="Barlow Semi Condensed" w:hAnsi="Barlow Semi Condensed"/>
          <w:b/>
          <w:bCs/>
          <w:sz w:val="24"/>
          <w:szCs w:val="24"/>
        </w:rPr>
        <w:t xml:space="preserve">2135 · La spia della lingua.</w:t>
      </w:r>
      <w:r>
        <w:rPr>
          <w:rFonts w:ascii="Barlow Semi Condensed" w:cs="Barlow Semi Condensed" w:eastAsia="Barlow Semi Condensed" w:hAnsi="Barlow Semi Condensed"/>
          <w:sz w:val="24"/>
          <w:szCs w:val="24"/>
        </w:rPr>
        <w:t xml:space="preserve"> Secondo dettaglio, di quelli che il paradigma indiziario chiama involontari. Un testimone italiano qualificato definisce l'episodio una leggenda senza fondamento, dicendo di averlo verificato allora con l'interprete perché Moro non parlava inglese. Il rilievo tocca la plausibilità materiale di uno scambio verbale diretto e va riportato; lo stesso testimone, altrove, descrive un colloquio politicamente durissimo e distingue il rimprovero aspro dalla minaccia. Si registrano entrambe le dichiarazioni.</w:t>
      </w:r>
    </w:p>
    <w:p>
      <w:pPr>
        <w:spacing w:after="120" w:line="276"/>
        <w:jc w:val="both"/>
      </w:pPr>
      <w:r>
        <w:rPr>
          <w:rFonts w:ascii="Barlow Semi Condensed" w:cs="Barlow Semi Condensed" w:eastAsia="Barlow Semi Condensed" w:hAnsi="Barlow Semi Condensed"/>
          <w:b/>
          <w:bCs/>
          <w:sz w:val="24"/>
          <w:szCs w:val="24"/>
        </w:rPr>
        <w:t xml:space="preserve">2136 · Il nome ottenuto, non offerto.</w:t>
      </w:r>
      <w:r>
        <w:rPr>
          <w:rFonts w:ascii="Barlow Semi Condensed" w:cs="Barlow Semi Condensed" w:eastAsia="Barlow Semi Condensed" w:hAnsi="Barlow Semi Condensed"/>
          <w:sz w:val="24"/>
          <w:szCs w:val="24"/>
        </w:rPr>
        <w:t xml:space="preserve"> Terzo dettaglio, ed è quello che cambia lo statuto dell'attribuzione. In aula la vedova parlò di un'alta personalità senza fare il nome; fu il presidente della corte, richiamando il portavoce, a ottenere l'indicazione. L'attribuzione del nome è dunque essa stessa indiretta, e si somma al fatto che il portavoce riferiva de relato. Due indirettezze in serie non si compensano: si moltiplicano, e la regola dell'anello debole le legge insieme.</w:t>
      </w:r>
    </w:p>
    <w:p>
      <w:pPr>
        <w:spacing w:after="120" w:line="276"/>
        <w:jc w:val="both"/>
      </w:pPr>
      <w:r>
        <w:rPr>
          <w:rFonts w:ascii="Barlow Semi Condensed" w:cs="Barlow Semi Condensed" w:eastAsia="Barlow Semi Condensed" w:hAnsi="Barlow Semi Condensed"/>
          <w:b/>
          <w:bCs/>
          <w:sz w:val="24"/>
          <w:szCs w:val="24"/>
        </w:rPr>
        <w:t xml:space="preserve">2137 · La seconda edizione riveduta come spia.</w:t>
      </w:r>
      <w:r>
        <w:rPr>
          <w:rFonts w:ascii="Barlow Semi Condensed" w:cs="Barlow Semi Condensed" w:eastAsia="Barlow Semi Condensed" w:hAnsi="Barlow Semi Condensed"/>
          <w:sz w:val="24"/>
          <w:szCs w:val="24"/>
        </w:rPr>
        <w:t xml:space="preserve"> Quarto dettaglio, e riguarda la citazione. Il memorandum è il documento 350 del volume FRUS 1969-1976 E-15 parte 2, nella seconda edizione riveduta: la precisazione va conservata, perché chi citi la prima edizione cita una numerazione che può non coincidere. È uno scarto da copisti, ed è esattamente il genere di dettaglio su cui la serie ottava della prima campagna aveva costruito la propria disciplina di trascrizione.</w:t>
      </w:r>
    </w:p>
    <w:p>
      <w:pPr>
        <w:spacing w:after="120" w:line="276"/>
        <w:jc w:val="both"/>
      </w:pPr>
      <w:r>
        <w:rPr>
          <w:rFonts w:ascii="Barlow Semi Condensed" w:cs="Barlow Semi Condensed" w:eastAsia="Barlow Semi Condensed" w:hAnsi="Barlow Semi Condensed"/>
          <w:b/>
          <w:bCs/>
          <w:sz w:val="24"/>
          <w:szCs w:val="24"/>
        </w:rPr>
        <w:t xml:space="preserve">2138 · Il guardrail della consilienza.</w:t>
      </w:r>
      <w:r>
        <w:rPr>
          <w:rFonts w:ascii="Barlow Semi Condensed" w:cs="Barlow Semi Condensed" w:eastAsia="Barlow Semi Condensed" w:hAnsi="Barlow Semi Condensed"/>
          <w:sz w:val="24"/>
          <w:szCs w:val="24"/>
        </w:rPr>
        <w:t xml:space="preserve"> La convergenza rafforza solo fra linee davvero indipendenti, e mai oltre il grado della linea più debole. Applicata all'episodio, la regola dice che la vedova e il portavoce non sono due linee indipendenti, perché il secondo alimentò la prima e il nome passò dall'uno all'altra in aula. Il conteggio due contro uno non regge: si registra un elemento conteso, non una convergenza, e il grado non sale.</w:t>
      </w:r>
    </w:p>
    <w:p>
      <w:pPr>
        <w:spacing w:after="120" w:line="276"/>
        <w:jc w:val="both"/>
      </w:pPr>
      <w:r>
        <w:rPr>
          <w:rFonts w:ascii="Barlow Semi Condensed" w:cs="Barlow Semi Condensed" w:eastAsia="Barlow Semi Condensed" w:hAnsi="Barlow Semi Condensed"/>
          <w:b/>
          <w:bCs/>
          <w:sz w:val="24"/>
          <w:szCs w:val="24"/>
        </w:rPr>
        <w:t xml:space="preserve">2139 · Le anti-triangolazioni e questo nome.</w:t>
      </w:r>
      <w:r>
        <w:rPr>
          <w:rFonts w:ascii="Barlow Semi Condensed" w:cs="Barlow Semi Condensed" w:eastAsia="Barlow Semi Condensed" w:hAnsi="Barlow Semi Condensed"/>
          <w:sz w:val="24"/>
          <w:szCs w:val="24"/>
        </w:rPr>
        <w:t xml:space="preserve"> Verifica eseguita. Il territorio dichiara ventinove anti-triangolazioni censite nel corpus, cioè altrettanti punti in cui una falsa consilienza è stata smontata. Nessuna di esse riguarda questo nome. È uno Stato Zero di disciplina e non di fatto: significa che il corpus non aveva ancora formalizzato la smontatura del nesso atlantico, pur avendola compiuta in sostanza nella Parte terza e nella Fase sesta.</w:t>
      </w:r>
    </w:p>
    <w:p>
      <w:pPr>
        <w:spacing w:after="120" w:line="276"/>
        <w:jc w:val="both"/>
      </w:pPr>
      <w:r>
        <w:rPr>
          <w:rFonts w:ascii="Barlow Semi Condensed" w:cs="Barlow Semi Condensed" w:eastAsia="Barlow Semi Condensed" w:hAnsi="Barlow Semi Condensed"/>
          <w:b/>
          <w:bCs/>
          <w:sz w:val="24"/>
          <w:szCs w:val="24"/>
        </w:rPr>
        <w:t xml:space="preserve">2140 · Proposta di anti-triangolazione trentesima.</w:t>
      </w:r>
      <w:r>
        <w:rPr>
          <w:rFonts w:ascii="Barlow Semi Condensed" w:cs="Barlow Semi Condensed" w:eastAsia="Barlow Semi Condensed" w:hAnsi="Barlow Semi Condensed"/>
          <w:sz w:val="24"/>
          <w:szCs w:val="24"/>
        </w:rPr>
        <w:t xml:space="preserve"> Bersaglio da iscrivere, redatto nella forma delle altre. Dalla simmetria delle ombre statunitensi sulle due morti, l'agente della CIA a La Higuera nel 1967 e il consulente del Dipartimento di Stato nel comitato di crisi del 1978, non discende alcuna regia unica. I fatti singoli sono documentati, il centro no. Due vicende in due decenni e due continenti condividono una cornice, non un centro, e vanno tenute separate.</w:t>
      </w:r>
    </w:p>
    <w:p>
      <w:pPr>
        <w:spacing w:after="120" w:line="276"/>
        <w:jc w:val="both"/>
      </w:pPr>
      <w:r>
        <w:rPr>
          <w:rFonts w:ascii="Barlow Semi Condensed" w:cs="Barlow Semi Condensed" w:eastAsia="Barlow Semi Condensed" w:hAnsi="Barlow Semi Condensed"/>
          <w:b/>
          <w:bCs/>
          <w:sz w:val="24"/>
          <w:szCs w:val="24"/>
        </w:rPr>
        <w:t xml:space="preserve">2141 · La consilienza apparente del millenovecentottantadue.</w:t>
      </w:r>
      <w:r>
        <w:rPr>
          <w:rFonts w:ascii="Barlow Semi Condensed" w:cs="Barlow Semi Condensed" w:eastAsia="Barlow Semi Condensed" w:hAnsi="Barlow Semi Condensed"/>
          <w:sz w:val="24"/>
          <w:szCs w:val="24"/>
        </w:rPr>
        <w:t xml:space="preserve"> Caso di scuola per il guardrail. Le decine di siti che riportano la frase in forma pressoché identica non sono decine di linee: sono una linea sola, replicata a partire da un unico lancio. In statistica si chiama pseudoreplica il conteggio di misure non indipendenti come se lo fossero, e produce fiducia crescente in un dato che non è cresciuto affatto. Il rilancio del 1982 non aggiunge una fonte, né sposta una.</w:t>
      </w:r>
    </w:p>
    <w:p>
      <w:pPr>
        <w:spacing w:after="120" w:line="276"/>
        <w:jc w:val="both"/>
      </w:pPr>
      <w:r>
        <w:rPr>
          <w:rFonts w:ascii="Barlow Semi Condensed" w:cs="Barlow Semi Condensed" w:eastAsia="Barlow Semi Condensed" w:hAnsi="Barlow Semi Condensed"/>
          <w:b/>
          <w:bCs/>
          <w:sz w:val="24"/>
          <w:szCs w:val="24"/>
        </w:rPr>
        <w:t xml:space="preserve">2142 · I numeri del paragrafo sei sono anteriori.</w:t>
      </w:r>
      <w:r>
        <w:rPr>
          <w:rFonts w:ascii="Barlow Semi Condensed" w:cs="Barlow Semi Condensed" w:eastAsia="Barlow Semi Condensed" w:hAnsi="Barlow Semi Condensed"/>
          <w:sz w:val="24"/>
          <w:szCs w:val="24"/>
        </w:rPr>
        <w:t xml:space="preserve"> Ricalcolo eseguito, con grado B dichiarato. L'auto-misurazione del territorio registra trentasei documenti markdown per 104.504 parole. Il conteggio odierno, sul medesimo perimetro e escluse le cartelle di piramide, dà cinquantatré documenti per 309.690 parole. La misura del documento di metodo, datato 25 agosto 2026, precede la stesura dei nove cantieri e dell'opera dedicata a questo nome, ed è dunque la fotografia di uno stato anteriore.</w:t>
      </w:r>
    </w:p>
    <w:p>
      <w:pPr>
        <w:spacing w:after="120" w:line="276"/>
        <w:jc w:val="both"/>
      </w:pPr>
      <w:r>
        <w:rPr>
          <w:rFonts w:ascii="Barlow Semi Condensed" w:cs="Barlow Semi Condensed" w:eastAsia="Barlow Semi Condensed" w:hAnsi="Barlow Semi Condensed"/>
          <w:b/>
          <w:bCs/>
          <w:sz w:val="24"/>
          <w:szCs w:val="24"/>
        </w:rPr>
        <w:t xml:space="preserve">2143 · Il ricalcolo, col procedimento accanto.</w:t>
      </w:r>
      <w:r>
        <w:rPr>
          <w:rFonts w:ascii="Barlow Semi Condensed" w:cs="Barlow Semi Condensed" w:eastAsia="Barlow Semi Condensed" w:hAnsi="Barlow Semi Condensed"/>
          <w:sz w:val="24"/>
          <w:szCs w:val="24"/>
        </w:rPr>
        <w:t xml:space="preserve"> Procedimento dichiarato, come il territorio prescrive. Si sono contati i file con estensione markdown esclusi i percorsi che iniziano per trattino basso, e le parole con il conteggio standard sugli stessi file. Il divario non è un errore del documento: è la conseguenza di una misurazione datata in un corpus cresciuto di tre volte in poche ore. L'auto-misurazione va rieseguita e riportata con la nuova data accanto.</w:t>
      </w:r>
    </w:p>
    <w:p>
      <w:pPr>
        <w:spacing w:after="120" w:line="276"/>
        <w:jc w:val="both"/>
      </w:pPr>
      <w:r>
        <w:rPr>
          <w:rFonts w:ascii="Barlow Semi Condensed" w:cs="Barlow Semi Condensed" w:eastAsia="Barlow Semi Condensed" w:hAnsi="Barlow Semi Condensed"/>
          <w:b/>
          <w:bCs/>
          <w:sz w:val="24"/>
          <w:szCs w:val="24"/>
        </w:rPr>
        <w:t xml:space="preserve">2144 · Centosessantadue occorrenze, quindici file.</w:t>
      </w:r>
      <w:r>
        <w:rPr>
          <w:rFonts w:ascii="Barlow Semi Condensed" w:cs="Barlow Semi Condensed" w:eastAsia="Barlow Semi Condensed" w:hAnsi="Barlow Semi Condensed"/>
          <w:sz w:val="24"/>
          <w:szCs w:val="24"/>
        </w:rPr>
        <w:t xml:space="preserve"> Censimento della stringa, eseguito sull'intero perimetro. Il nome ricorre centosessantadue volte in quindici dei cinquantatré documenti: centoventisette nel solo volume della prima campagna, sette nella triangolazione guevariana, sei nella ricognizione della Farnesina, cinque nell'indice del branch, tre nella Parte terza e tre nel passaggio dal Che a Moro, il resto in tracce singole. Il documento di metodo non figura in questo elenco.</w:t>
      </w:r>
    </w:p>
    <w:p>
      <w:pPr>
        <w:spacing w:after="120" w:line="276"/>
        <w:jc w:val="both"/>
      </w:pPr>
      <w:r>
        <w:rPr>
          <w:rFonts w:ascii="Barlow Semi Condensed" w:cs="Barlow Semi Condensed" w:eastAsia="Barlow Semi Condensed" w:hAnsi="Barlow Semi Condensed"/>
          <w:b/>
          <w:bCs/>
          <w:sz w:val="24"/>
          <w:szCs w:val="24"/>
        </w:rPr>
        <w:t xml:space="preserve">2145 · Sette occorrenze su dieci in un volume.</w:t>
      </w:r>
      <w:r>
        <w:rPr>
          <w:rFonts w:ascii="Barlow Semi Condensed" w:cs="Barlow Semi Condensed" w:eastAsia="Barlow Semi Condensed" w:hAnsi="Barlow Semi Condensed"/>
          <w:sz w:val="24"/>
          <w:szCs w:val="24"/>
        </w:rPr>
        <w:t xml:space="preserve"> Lettura del censimento, ed è il dato che conta. Il settantotto per cento delle occorrenze del nome nel branch sta dentro l'opera che al nome è dedicata. Una misura di questo tipo non dice nulla sul peso storico dell'uomo: dice che una campagna di scrittura ha concentrato in un file ciò che il corpus altrove tocca di sfuggita. È densità autoreferenziale, e va dichiarata prima di qualunque uso.</w:t>
      </w:r>
    </w:p>
    <w:p>
      <w:pPr>
        <w:spacing w:after="120" w:line="276"/>
        <w:jc w:val="both"/>
      </w:pPr>
      <w:r>
        <w:rPr>
          <w:rFonts w:ascii="Barlow Semi Condensed" w:cs="Barlow Semi Condensed" w:eastAsia="Barlow Semi Condensed" w:hAnsi="Barlow Semi Condensed"/>
          <w:b/>
          <w:bCs/>
          <w:sz w:val="24"/>
          <w:szCs w:val="24"/>
        </w:rPr>
        <w:t xml:space="preserve">2146 · Le marcature di grado, ricontate.</w:t>
      </w:r>
      <w:r>
        <w:rPr>
          <w:rFonts w:ascii="Barlow Semi Condensed" w:cs="Barlow Semi Condensed" w:eastAsia="Barlow Semi Condensed" w:hAnsi="Barlow Semi Condensed"/>
          <w:sz w:val="24"/>
          <w:szCs w:val="24"/>
        </w:rPr>
        <w:t xml:space="preserve"> Il territorio censisce nei testi A circa trentasei, B circa trenta, C circa ventuno, F circa quattordici e Stato Zero trentasei, dichiarando la stima per pattern testuale e l'approssimazione per difetto. Il conteggio odierno della sola locuzione Stato Zero dà centocinquantaquattro occorrenze, sessantotto delle quali nel volume della prima campagna. La crescita è quasi tutta imputabile a un'opera che dichiara assenze: il perimetro negativo si è dilatato più del positivo.</w:t>
      </w:r>
    </w:p>
    <w:p>
      <w:pPr>
        <w:spacing w:after="120" w:line="276"/>
        <w:jc w:val="both"/>
      </w:pPr>
      <w:r>
        <w:rPr>
          <w:rFonts w:ascii="Barlow Semi Condensed" w:cs="Barlow Semi Condensed" w:eastAsia="Barlow Semi Condensed" w:hAnsi="Barlow Semi Condensed"/>
          <w:b/>
          <w:bCs/>
          <w:sz w:val="24"/>
          <w:szCs w:val="24"/>
        </w:rPr>
        <w:t xml:space="preserve">2147 · La divergenza sui dispositivi di disciplina.</w:t>
      </w:r>
      <w:r>
        <w:rPr>
          <w:rFonts w:ascii="Barlow Semi Condensed" w:cs="Barlow Semi Condensed" w:eastAsia="Barlow Semi Condensed" w:hAnsi="Barlow Semi Condensed"/>
          <w:sz w:val="24"/>
          <w:szCs w:val="24"/>
        </w:rPr>
        <w:t xml:space="preserve"> Divergenza da riportare e non da sciogliere. Il territorio registra quattordici occorrenze di criterio di smentita, ventinove di anti-triangolazioni e sessantadue di esiti negativi. Il ricalcolo odierno sul perimetro dei cinquantatré documenti dà rispettivamente diciannove, ventuno e quarantasette. Due contatori salgono e uno scende, e il terzo esito è incompatibile con una semplice crescita: la spiegazione va cercata nel pattern usato, non presunta.</w:t>
      </w:r>
    </w:p>
    <w:p>
      <w:pPr>
        <w:spacing w:after="120" w:line="276"/>
        <w:jc w:val="both"/>
      </w:pPr>
      <w:r>
        <w:rPr>
          <w:rFonts w:ascii="Barlow Semi Condensed" w:cs="Barlow Semi Condensed" w:eastAsia="Barlow Semi Condensed" w:hAnsi="Barlow Semi Condensed"/>
          <w:b/>
          <w:bCs/>
          <w:sz w:val="24"/>
          <w:szCs w:val="24"/>
        </w:rPr>
        <w:t xml:space="preserve">2148 · Il pattern spiega il contatore, forse.</w:t>
      </w:r>
      <w:r>
        <w:rPr>
          <w:rFonts w:ascii="Barlow Semi Condensed" w:cs="Barlow Semi Condensed" w:eastAsia="Barlow Semi Condensed" w:hAnsi="Barlow Semi Condensed"/>
          <w:sz w:val="24"/>
          <w:szCs w:val="24"/>
        </w:rPr>
        <w:t xml:space="preserve"> Ipotesi di lavoro sulla divergenza, dichiarata come tale e non come soluzione. La discrepanza sulle anti-triangolazioni può nascere da una forma flessa contata allora e non ora, da un perimetro che includeva le cartelle di piramide o le edizioni rilegate, o da una scansione condotta su sorgenti diversi dai markdown. Nessuna delle tre è verificabile senza lo script originale, e la sede che chiude il punto è quello script.</w:t>
      </w:r>
    </w:p>
    <w:p>
      <w:pPr>
        <w:spacing w:after="120" w:line="276"/>
        <w:jc w:val="both"/>
      </w:pPr>
      <w:r>
        <w:rPr>
          <w:rFonts w:ascii="Barlow Semi Condensed" w:cs="Barlow Semi Condensed" w:eastAsia="Barlow Semi Condensed" w:hAnsi="Barlow Semi Condensed"/>
          <w:b/>
          <w:bCs/>
          <w:sz w:val="24"/>
          <w:szCs w:val="24"/>
        </w:rPr>
        <w:t xml:space="preserve">2149 · Il procedimento salva il conteggio.</w:t>
      </w:r>
      <w:r>
        <w:rPr>
          <w:rFonts w:ascii="Barlow Semi Condensed" w:cs="Barlow Semi Condensed" w:eastAsia="Barlow Semi Condensed" w:hAnsi="Barlow Semi Condensed"/>
          <w:sz w:val="24"/>
          <w:szCs w:val="24"/>
        </w:rPr>
        <w:t xml:space="preserve"> Il territorio applica a sé stesso una regola che qui torna utile. Un numero è utilizzabile solo se accompagnato dal procedimento che lo ha prodotto: il documento di metodo dichiara la scansione dei sorgenti e l'approssimazione per difetto, e per questo la sua divergenza col ricalcolo è discutibile anziché imbarazzante. Un contatore senza metodo non si può correggere, se ne può soltanto dubitare.</w:t>
      </w:r>
    </w:p>
    <w:p>
      <w:pPr>
        <w:spacing w:after="120" w:line="276"/>
        <w:jc w:val="both"/>
      </w:pPr>
      <w:r>
        <w:rPr>
          <w:rFonts w:ascii="Barlow Semi Condensed" w:cs="Barlow Semi Condensed" w:eastAsia="Barlow Semi Condensed" w:hAnsi="Barlow Semi Condensed"/>
          <w:b/>
          <w:bCs/>
          <w:sz w:val="24"/>
          <w:szCs w:val="24"/>
        </w:rPr>
        <w:t xml:space="preserve">2150 · La riga che non si può stimare.</w:t>
      </w:r>
      <w:r>
        <w:rPr>
          <w:rFonts w:ascii="Barlow Semi Condensed" w:cs="Barlow Semi Condensed" w:eastAsia="Barlow Semi Condensed" w:hAnsi="Barlow Semi Condensed"/>
          <w:sz w:val="24"/>
          <w:szCs w:val="24"/>
        </w:rPr>
        <w:t xml:space="preserve"> Chiusura sul 6-bis. Le uniche percentuali oneste che il territorio ammette sono quote di centralità nella documentazione e quote di grado. Una quota per questo nome non è calcolabile per stima né per analogia con i nodi terminali: richiederebbe archi, e gli archi richiedono documenti. Chi volesse assegnargliene una dovrebbe prima depositare la carta che la genera, ed è esattamente ciò che questa serie chiede e non trova.</w:t>
      </w:r>
    </w:p>
    <w:p>
      <w:pPr>
        <w:spacing w:after="120" w:line="276"/>
        <w:jc w:val="both"/>
      </w:pPr>
      <w:r>
        <w:rPr>
          <w:rFonts w:ascii="Barlow Semi Condensed" w:cs="Barlow Semi Condensed" w:eastAsia="Barlow Semi Condensed" w:hAnsi="Barlow Semi Condensed"/>
          <w:b/>
          <w:bCs/>
          <w:sz w:val="24"/>
          <w:szCs w:val="24"/>
        </w:rPr>
        <w:t xml:space="preserve">2151 · Lo zero per cento che dice tutto.</w:t>
      </w:r>
      <w:r>
        <w:rPr>
          <w:rFonts w:ascii="Barlow Semi Condensed" w:cs="Barlow Semi Condensed" w:eastAsia="Barlow Semi Condensed" w:hAnsi="Barlow Semi Condensed"/>
          <w:sz w:val="24"/>
          <w:szCs w:val="24"/>
        </w:rPr>
        <w:t xml:space="preserve"> Il dato più forte del territorio, letto contro il nome. Nel comparto interamente non brigatista, diciassette archi su cinquantanove pari al 28,8 per cento della rete, la ripartizione è F 82,4 per cento, B 17,6 per cento, A zero per cento: fuori dalla componente brigatista non esiste un solo arco di giudicato. Un nome che entrasse in quel comparto entrerebbe dove nessun tribunale ha mai accertato nulla.</w:t>
      </w:r>
    </w:p>
    <w:p>
      <w:pPr>
        <w:spacing w:after="120" w:line="276"/>
        <w:jc w:val="both"/>
      </w:pPr>
      <w:r>
        <w:rPr>
          <w:rFonts w:ascii="Barlow Semi Condensed" w:cs="Barlow Semi Condensed" w:eastAsia="Barlow Semi Condensed" w:hAnsi="Barlow Semi Condensed"/>
          <w:b/>
          <w:bCs/>
          <w:sz w:val="24"/>
          <w:szCs w:val="24"/>
        </w:rPr>
        <w:t xml:space="preserve">2152 · Il quesito per la Ford Library.</w:t>
      </w:r>
      <w:r>
        <w:rPr>
          <w:rFonts w:ascii="Barlow Semi Condensed" w:cs="Barlow Semi Condensed" w:eastAsia="Barlow Semi Condensed" w:hAnsi="Barlow Semi Condensed"/>
          <w:sz w:val="24"/>
          <w:szCs w:val="24"/>
        </w:rPr>
        <w:t xml:space="preserve"> Quesito da portare in archivio, con sede e segnatura. Alla Gerald R. Ford Presidential Library, serie National Security Adviser's Memoranda of Conversation, si chiedono il file 1552802 nella sua interezza, il file 1552806 del 26 settembre 1974 di cui il corpus possiede solo estratti parziali, e l'elenco completo dei memcon della visita, la cui durata diverge fra il 25-29 degli atti presidenziali e il 25-27 del FRUS.</w:t>
      </w:r>
    </w:p>
    <w:p>
      <w:pPr>
        <w:spacing w:after="120" w:line="276"/>
        <w:jc w:val="both"/>
      </w:pPr>
      <w:r>
        <w:rPr>
          <w:rFonts w:ascii="Barlow Semi Condensed" w:cs="Barlow Semi Condensed" w:eastAsia="Barlow Semi Condensed" w:hAnsi="Barlow Semi Condensed"/>
          <w:b/>
          <w:bCs/>
          <w:sz w:val="24"/>
          <w:szCs w:val="24"/>
        </w:rPr>
        <w:t xml:space="preserve">2153 · Il quesito per College Park.</w:t>
      </w:r>
      <w:r>
        <w:rPr>
          <w:rFonts w:ascii="Barlow Semi Condensed" w:cs="Barlow Semi Condensed" w:eastAsia="Barlow Semi Condensed" w:hAnsi="Barlow Semi Condensed"/>
          <w:sz w:val="24"/>
          <w:szCs w:val="24"/>
        </w:rPr>
        <w:t xml:space="preserve"> Secondo quesito, altra sede. Ai National Archives di College Park si chiedono i Nixon Presidential Materials e i NSC Files, Country Files: Italy, per il periodo 1969-1977, con l'indice per nome e con la verifica dei documenti 180 e 188 del volume FRUS XLI, già noti al corpus per la riunione del Comitato dei 303 dell'11 marzo 1969 e per l'istruzione di studio sull'Italia del dicembre 1969.</w:t>
      </w:r>
    </w:p>
    <w:p>
      <w:pPr>
        <w:spacing w:after="120" w:line="276"/>
        <w:jc w:val="both"/>
      </w:pPr>
      <w:r>
        <w:rPr>
          <w:rFonts w:ascii="Barlow Semi Condensed" w:cs="Barlow Semi Condensed" w:eastAsia="Barlow Semi Condensed" w:hAnsi="Barlow Semi Condensed"/>
          <w:b/>
          <w:bCs/>
          <w:sz w:val="24"/>
          <w:szCs w:val="24"/>
        </w:rPr>
        <w:t xml:space="preserve">2154 · Che cosa questa serie non ha stabilito (serie XXVIII).</w:t>
      </w:r>
      <w:r>
        <w:rPr>
          <w:rFonts w:ascii="Barlow Semi Condensed" w:cs="Barlow Semi Condensed" w:eastAsia="Barlow Semi Condensed" w:hAnsi="Barlow Semi Condensed"/>
          <w:sz w:val="24"/>
          <w:szCs w:val="24"/>
        </w:rPr>
        <w:t xml:space="preserve"> Non è stabilito alcun rapporto fra il nome e il documento di metodo, perché il documento non lo nomina. Non è stabilito che il buco atlantico significhi qualcosa: è misurato e dichiarato. Non è stabilito che l'episodio del settembre 1974 sia avvenuto o non sia avvenuto, e resta conteso. E non è stabilito che il grafo debba cambiare: si è indicato che cosa lo cambierebbe, e dove cercarlo.</w:t>
      </w:r>
    </w:p>
    <w:p>
      <w:pPr>
        <w:spacing w:after="120" w:line="276"/>
        <w:jc w:val="both"/>
      </w:pPr>
      <w:r>
        <w:rPr>
          <w:rFonts w:ascii="Barlow Semi Condensed" w:cs="Barlow Semi Condensed" w:eastAsia="Barlow Semi Condensed" w:hAnsi="Barlow Semi Condensed"/>
          <w:b/>
          <w:bCs/>
          <w:sz w:val="24"/>
          <w:szCs w:val="24"/>
        </w:rPr>
        <w:t xml:space="preserve">2155 · La consilienza metodologica, verificata.</w:t>
      </w:r>
      <w:r>
        <w:rPr>
          <w:rFonts w:ascii="Barlow Semi Condensed" w:cs="Barlow Semi Condensed" w:eastAsia="Barlow Semi Condensed" w:hAnsi="Barlow Semi Condensed"/>
          <w:sz w:val="24"/>
          <w:szCs w:val="24"/>
        </w:rPr>
        <w:t xml:space="preserve"> Chiusura, nella lingua del territorio. Quando gli strumenti quantitativi confermano ciò che la disciplina qualitativa aveva stabilito non è ridondanza, è consilienza metodologica. Qui la verifica ha dato lo stesso esito per due strade indipendenti: il nome non è nodo del grafo, e il corpus lo registrava già come Stato Zero nella Fase sesta. Due percorsi diversi hanno tracciato lo stesso confine fra il provato e il congetturale.</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Serie ventinovesima — Il registro giudiziario</w:t>
      </w:r>
    </w:p>
    <w:p>
      <w:pPr>
        <w:spacing w:after="120" w:line="276"/>
        <w:jc w:val="both"/>
      </w:pPr>
      <w:r>
        <w:rPr>
          <w:rFonts w:ascii="Barlow Semi Condensed" w:cs="Barlow Semi Condensed" w:eastAsia="Barlow Semi Condensed" w:hAnsi="Barlow Semi Condensed"/>
          <w:i/>
          <w:iCs/>
          <w:sz w:val="24"/>
          <w:szCs w:val="24"/>
        </w:rPr>
        <w:t xml:space="preserve">Blocchi 2156-2235.</w:t>
      </w:r>
    </w:p>
    <w:p>
      <w:pPr>
        <w:spacing w:after="120" w:line="276"/>
        <w:jc w:val="both"/>
      </w:pPr>
      <w:r>
        <w:rPr>
          <w:rFonts w:ascii="Barlow Semi Condensed" w:cs="Barlow Semi Condensed" w:eastAsia="Barlow Semi Condensed" w:hAnsi="Barlow Semi Condensed"/>
          <w:b/>
          <w:bCs/>
          <w:sz w:val="24"/>
          <w:szCs w:val="24"/>
        </w:rPr>
        <w:t xml:space="preserve">2156 · Il territorio e il suo silenzio.</w:t>
      </w:r>
      <w:r>
        <w:rPr>
          <w:rFonts w:ascii="Barlow Semi Condensed" w:cs="Barlow Semi Condensed" w:eastAsia="Barlow Semi Condensed" w:hAnsi="Barlow Semi Condensed"/>
          <w:sz w:val="24"/>
          <w:szCs w:val="24"/>
        </w:rPr>
        <w:t xml:space="preserve"> Zero occorrenze: il file aldo-moro-una-guerra-senza-fine-fase-settima-registro-giudiziario.md, capitoli 56-61, non contiene il nome di Henry Kissinger in nessuna riga, tavola di raccordo del capitolo 61 compresa. È il primo accertamento di questa serie ed è uno Stato Zero di piena dignità, nella forma che la Fase sesta impone: lo strato giudiziario e istruttorio dell'opera, quello che regge per temi e per metodo tutti gli altri, tace su questo nome.</w:t>
      </w:r>
    </w:p>
    <w:p>
      <w:pPr>
        <w:spacing w:after="120" w:line="276"/>
        <w:jc w:val="both"/>
      </w:pPr>
      <w:r>
        <w:rPr>
          <w:rFonts w:ascii="Barlow Semi Condensed" w:cs="Barlow Semi Condensed" w:eastAsia="Barlow Semi Condensed" w:hAnsi="Barlow Semi Condensed"/>
          <w:b/>
          <w:bCs/>
          <w:sz w:val="24"/>
          <w:szCs w:val="24"/>
        </w:rPr>
        <w:t xml:space="preserve">2157 · Che cosa quel silenzio non dice.</w:t>
      </w:r>
      <w:r>
        <w:rPr>
          <w:rFonts w:ascii="Barlow Semi Condensed" w:cs="Barlow Semi Condensed" w:eastAsia="Barlow Semi Condensed" w:hAnsi="Barlow Semi Condensed"/>
          <w:sz w:val="24"/>
          <w:szCs w:val="24"/>
        </w:rPr>
        <w:t xml:space="preserve"> L'assenza dal testo di una Fase non è l'assenza dal fondo che quella Fase riassume. Il capitolo 57 rinvia al fondo della Commissione Moro 2 presso l'Archivio storico della Camera e al portale delle inchieste; finché l'indice dei nomi della relazione Doc. XXIII n. 29 non è spogliato, l'accertamento vale sul documento del corpus e non sull'archivio. Sede che lo chiuderebbe: quell'indice, lettera per lettera.</w:t>
      </w:r>
    </w:p>
    <w:p>
      <w:pPr>
        <w:spacing w:after="120" w:line="276"/>
        <w:jc w:val="both"/>
      </w:pPr>
      <w:r>
        <w:rPr>
          <w:rFonts w:ascii="Barlow Semi Condensed" w:cs="Barlow Semi Condensed" w:eastAsia="Barlow Semi Condensed" w:hAnsi="Barlow Semi Condensed"/>
          <w:b/>
          <w:bCs/>
          <w:sz w:val="24"/>
          <w:szCs w:val="24"/>
        </w:rPr>
        <w:t xml:space="preserve">2158 · La riga IX della tavola.</w:t>
      </w:r>
      <w:r>
        <w:rPr>
          <w:rFonts w:ascii="Barlow Semi Condensed" w:cs="Barlow Semi Condensed" w:eastAsia="Barlow Semi Condensed" w:hAnsi="Barlow Semi Condensed"/>
          <w:sz w:val="24"/>
          <w:szCs w:val="24"/>
        </w:rPr>
        <w:t xml:space="preserve"> Nella tavola di raccordo del capitolo 61 la questione IX, quadro internazionale, ha la colonna del giudicato vuota, segnata con un trattino; la colonna B registra elementi acquisiti e nessun nesso causale stabilito; la colonna C rinvia alla regia estera come congettura e al documento triangolazione-hyperion-corpus.md. È l'unica riga in cui il versante atlantico compare, e vi compare senza nomi di persona.</w:t>
      </w:r>
    </w:p>
    <w:p>
      <w:pPr>
        <w:spacing w:after="120" w:line="276"/>
        <w:jc w:val="both"/>
      </w:pPr>
      <w:r>
        <w:rPr>
          <w:rFonts w:ascii="Barlow Semi Condensed" w:cs="Barlow Semi Condensed" w:eastAsia="Barlow Semi Condensed" w:hAnsi="Barlow Semi Condensed"/>
          <w:b/>
          <w:bCs/>
          <w:sz w:val="24"/>
          <w:szCs w:val="24"/>
        </w:rPr>
        <w:t xml:space="preserve">2159 · La colonna del giudicato, vuota.</w:t>
      </w:r>
      <w:r>
        <w:rPr>
          <w:rFonts w:ascii="Barlow Semi Condensed" w:cs="Barlow Semi Condensed" w:eastAsia="Barlow Semi Condensed" w:hAnsi="Barlow Semi Condensed"/>
          <w:sz w:val="24"/>
          <w:szCs w:val="24"/>
        </w:rPr>
        <w:t xml:space="preserve"> Sulla riga IX la colonna A porta un trattino, e il trattino è un dato. Significa che nessuna delle sentenze censite al capitolo 56 — Moro uno, bis, ter, quater, quinquies — ha accertato alcunché sul versante internazionale, né in favore né contro chicchessia. Un trattino in colonna A è la forma tipografica dello Stato Zero: si legge come acquisizione, non come reticenza di chi ha compilato.</w:t>
      </w:r>
    </w:p>
    <w:p>
      <w:pPr>
        <w:spacing w:after="120" w:line="276"/>
        <w:jc w:val="both"/>
      </w:pPr>
      <w:r>
        <w:rPr>
          <w:rFonts w:ascii="Barlow Semi Condensed" w:cs="Barlow Semi Condensed" w:eastAsia="Barlow Semi Condensed" w:hAnsi="Barlow Semi Condensed"/>
          <w:b/>
          <w:bCs/>
          <w:sz w:val="24"/>
          <w:szCs w:val="24"/>
        </w:rPr>
        <w:t xml:space="preserve">2160 · Il rinvio a Hyperion.</w:t>
      </w:r>
      <w:r>
        <w:rPr>
          <w:rFonts w:ascii="Barlow Semi Condensed" w:cs="Barlow Semi Condensed" w:eastAsia="Barlow Semi Condensed" w:hAnsi="Barlow Semi Condensed"/>
          <w:sz w:val="24"/>
          <w:szCs w:val="24"/>
        </w:rPr>
        <w:t xml:space="preserve"> La colonna C della riga IX manda a triangolazione-hyperion-corpus.md, dove il nodo internazionale si chiuse con proscioglimenti e con due tesi contrapposte entrambe non provate. Il rinvio è istruttivo: quando il corpus deve indicare dove la regia estera sia stata esaminata in sede giudiziaria, non indica un fascicolo americano ma un'istruttoria italiana degli anni Ottanta. Il versante che riguarda il nome qui triangolato non ha nemmeno quello.</w:t>
      </w:r>
    </w:p>
    <w:p>
      <w:pPr>
        <w:spacing w:after="120" w:line="276"/>
        <w:jc w:val="both"/>
      </w:pPr>
      <w:r>
        <w:rPr>
          <w:rFonts w:ascii="Barlow Semi Condensed" w:cs="Barlow Semi Condensed" w:eastAsia="Barlow Semi Condensed" w:hAnsi="Barlow Semi Condensed"/>
          <w:b/>
          <w:bCs/>
          <w:sz w:val="24"/>
          <w:szCs w:val="24"/>
        </w:rPr>
        <w:t xml:space="preserve">2161 · Il pavimento, e chi non vi poggia.</w:t>
      </w:r>
      <w:r>
        <w:rPr>
          <w:rFonts w:ascii="Barlow Semi Condensed" w:cs="Barlow Semi Condensed" w:eastAsia="Barlow Semi Condensed" w:hAnsi="Barlow Semi Condensed"/>
          <w:sz w:val="24"/>
          <w:szCs w:val="24"/>
        </w:rPr>
        <w:t xml:space="preserve"> Il capitolo 56 chiama pavimento del caso ciò che i cinque processi hanno accertato: le Brigate Rosse, via Fani, la prigionia, l'omicidio, Moretti alla direzione, i nomi del commando. Chi voglia sostenere qualcosa di diverso deve portare prove almeno pari. La regola vale in modo speculare per questa serie: chi voglia aggiungere a quel pavimento un nome estraneo porta lo stesso onere, e nessun documento del corpus lo solleva.</w:t>
      </w:r>
    </w:p>
    <w:p>
      <w:pPr>
        <w:spacing w:after="120" w:line="276"/>
        <w:jc w:val="both"/>
      </w:pPr>
      <w:r>
        <w:rPr>
          <w:rFonts w:ascii="Barlow Semi Condensed" w:cs="Barlow Semi Condensed" w:eastAsia="Barlow Semi Condensed" w:hAnsi="Barlow Semi Condensed"/>
          <w:b/>
          <w:bCs/>
          <w:sz w:val="24"/>
          <w:szCs w:val="24"/>
        </w:rPr>
        <w:t xml:space="preserve">2162 · Il soffitto aperto non è licenza.</w:t>
      </w:r>
      <w:r>
        <w:rPr>
          <w:rFonts w:ascii="Barlow Semi Condensed" w:cs="Barlow Semi Condensed" w:eastAsia="Barlow Semi Condensed" w:hAnsi="Barlow Semi Condensed"/>
          <w:sz w:val="24"/>
          <w:szCs w:val="24"/>
        </w:rPr>
        <w:t xml:space="preserve"> Il capitolo 61 conclude che quasi nessuna questione è stata chiusa dal giudicato, molte sono state documentate e non risolte dalla Moro 2, nessuna è stata promossa a verità causale. La terza proposizione governa la nostra triangolazione: un soffitto aperto autorizza a cercare, non a riempire. Chi legge l'apertura come spazio disponibile per un mandante compie esattamente la promozione che la Fase settima dichiara di non avere compiuto.</w:t>
      </w:r>
    </w:p>
    <w:p>
      <w:pPr>
        <w:spacing w:after="120" w:line="276"/>
        <w:jc w:val="both"/>
      </w:pPr>
      <w:r>
        <w:rPr>
          <w:rFonts w:ascii="Barlow Semi Condensed" w:cs="Barlow Semi Condensed" w:eastAsia="Barlow Semi Condensed" w:hAnsi="Barlow Semi Condensed"/>
          <w:b/>
          <w:bCs/>
          <w:sz w:val="24"/>
          <w:szCs w:val="24"/>
        </w:rPr>
        <w:t xml:space="preserve">2163 · Il garante che torna a tacere (serie XXIX).</w:t>
      </w:r>
      <w:r>
        <w:rPr>
          <w:rFonts w:ascii="Barlow Semi Condensed" w:cs="Barlow Semi Condensed" w:eastAsia="Barlow Semi Condensed" w:hAnsi="Barlow Semi Condensed"/>
          <w:sz w:val="24"/>
          <w:szCs w:val="24"/>
        </w:rPr>
        <w:t xml:space="preserve"> Il congedo della Fase settima dichiara che il garante della Fase sesta ha fatto la sola cosa che gli competeva: ancorare il dossier al registro degli atti. Applicata al nome qui triangolato, quella funzione produce un vincolo di forma prima che di merito. In questo territorio se ne può dire soltanto ciò che un atto giudiziario o parlamentare contiene, e lo si deve dire con la sede dell'atto.</w:t>
      </w:r>
    </w:p>
    <w:p>
      <w:pPr>
        <w:spacing w:after="120" w:line="276"/>
        <w:jc w:val="both"/>
      </w:pPr>
      <w:r>
        <w:rPr>
          <w:rFonts w:ascii="Barlow Semi Condensed" w:cs="Barlow Semi Condensed" w:eastAsia="Barlow Semi Condensed" w:hAnsi="Barlow Semi Condensed"/>
          <w:b/>
          <w:bCs/>
          <w:sz w:val="24"/>
          <w:szCs w:val="24"/>
        </w:rPr>
        <w:t xml:space="preserve">2164 · Moro uno, il quesito d'indice.</w:t>
      </w:r>
      <w:r>
        <w:rPr>
          <w:rFonts w:ascii="Barlow Semi Condensed" w:cs="Barlow Semi Condensed" w:eastAsia="Barlow Semi Condensed" w:hAnsi="Barlow Semi Condensed"/>
          <w:sz w:val="24"/>
          <w:szCs w:val="24"/>
        </w:rPr>
        <w:t xml:space="preserve"> Il grande processo alle Brigate Rosse si celebrò fra il 1982 e il 1983 davanti alla Corte d'assise di Roma. Primo bersaglio: la lista testi e l'indice dei verbali di quel dibattimento, presso la cancelleria della corte e negli atti riordinati sotto il coordinamento dell'Archivio di Stato di Roma, come il blocco 341 dei nove cantieri accerta. Quesito enumerativo: quante occorrenze, in quali udienze, in bocca a chi.</w:t>
      </w:r>
    </w:p>
    <w:p>
      <w:pPr>
        <w:spacing w:after="120" w:line="276"/>
        <w:jc w:val="both"/>
      </w:pPr>
      <w:r>
        <w:rPr>
          <w:rFonts w:ascii="Barlow Semi Condensed" w:cs="Barlow Semi Condensed" w:eastAsia="Barlow Semi Condensed" w:hAnsi="Barlow Semi Condensed"/>
          <w:b/>
          <w:bCs/>
          <w:sz w:val="24"/>
          <w:szCs w:val="24"/>
        </w:rPr>
        <w:t xml:space="preserve">2165 · L'unico punto di contatto documentato.</w:t>
      </w:r>
      <w:r>
        <w:rPr>
          <w:rFonts w:ascii="Barlow Semi Condensed" w:cs="Barlow Semi Condensed" w:eastAsia="Barlow Semi Condensed" w:hAnsi="Barlow Semi Condensed"/>
          <w:sz w:val="24"/>
          <w:szCs w:val="24"/>
        </w:rPr>
        <w:t xml:space="preserve"> Fra il nome e l'intero registro giudiziario del caso esiste un solo contatto accertato, ed è una deposizione: Corrado Guerzoni davanti alla Corte d'assise di Roma nel novembre 1982, dentro il perimetro cronologico del processo Moro uno. Non un atto d'accusa, non un'imputazione, non una rogatoria: una testimonianza indiretta su un fatto altrui. L'opera prima la registra ai blocchi 697, 752 e 876, sempre con lo stesso grado.</w:t>
      </w:r>
    </w:p>
    <w:p>
      <w:pPr>
        <w:spacing w:after="120" w:line="276"/>
        <w:jc w:val="both"/>
      </w:pPr>
      <w:r>
        <w:rPr>
          <w:rFonts w:ascii="Barlow Semi Condensed" w:cs="Barlow Semi Condensed" w:eastAsia="Barlow Semi Condensed" w:hAnsi="Barlow Semi Condensed"/>
          <w:b/>
          <w:bCs/>
          <w:sz w:val="24"/>
          <w:szCs w:val="24"/>
        </w:rPr>
        <w:t xml:space="preserve">2166 · L'aula non è il registro.</w:t>
      </w:r>
      <w:r>
        <w:rPr>
          <w:rFonts w:ascii="Barlow Semi Condensed" w:cs="Barlow Semi Condensed" w:eastAsia="Barlow Semi Condensed" w:hAnsi="Barlow Semi Condensed"/>
          <w:sz w:val="24"/>
          <w:szCs w:val="24"/>
        </w:rPr>
        <w:t xml:space="preserve"> Un nome pronunciato in dibattimento entra nel verbale, non nel registro del giudicato. La distinzione è quella che i nove cantieri fissano al blocco 796 definendo il perimetro dei tredici: vi si entra per condanna definitiva e per nient'altro. Henry Kissinger non fu mai imputato in alcuno dei cinque processi Moro, in nessun grado, e nessuna sentenza del caso lo nomina come responsabile di alcunché.</w:t>
      </w:r>
    </w:p>
    <w:p>
      <w:pPr>
        <w:spacing w:after="120" w:line="276"/>
        <w:jc w:val="both"/>
      </w:pPr>
      <w:r>
        <w:rPr>
          <w:rFonts w:ascii="Barlow Semi Condensed" w:cs="Barlow Semi Condensed" w:eastAsia="Barlow Semi Condensed" w:hAnsi="Barlow Semi Condensed"/>
          <w:b/>
          <w:bCs/>
          <w:sz w:val="24"/>
          <w:szCs w:val="24"/>
        </w:rPr>
        <w:t xml:space="preserve">2167 · Il nome estratto in udienza (serie XXIX).</w:t>
      </w:r>
      <w:r>
        <w:rPr>
          <w:rFonts w:ascii="Barlow Semi Condensed" w:cs="Barlow Semi Condensed" w:eastAsia="Barlow Semi Condensed" w:hAnsi="Barlow Semi Condensed"/>
          <w:sz w:val="24"/>
          <w:szCs w:val="24"/>
        </w:rPr>
        <w:t xml:space="preserve"> La Nota di revisione numero due, al punto tre, accerta che la vedova parlò di un'alta personalità senza nominarla e che fu il presidente della corte, richiamando Guerzoni, a ottenere l'indicazione. La genesi processuale dell'attribuzione è dunque essa stessa indiretta. Bersaglio: il verbale stenografico dell'udienza, presso la cancelleria della Corte d'assise di Roma, per stabilire la formula esatta della domanda rivolta dal presidente.</w:t>
      </w:r>
    </w:p>
    <w:p>
      <w:pPr>
        <w:spacing w:after="120" w:line="276"/>
        <w:jc w:val="both"/>
      </w:pPr>
      <w:r>
        <w:rPr>
          <w:rFonts w:ascii="Barlow Semi Condensed" w:cs="Barlow Semi Condensed" w:eastAsia="Barlow Semi Condensed" w:hAnsi="Barlow Semi Condensed"/>
          <w:b/>
          <w:bCs/>
          <w:sz w:val="24"/>
          <w:szCs w:val="24"/>
        </w:rPr>
        <w:t xml:space="preserve">2168 · La data d'udienza ancora divergente.</w:t>
      </w:r>
      <w:r>
        <w:rPr>
          <w:rFonts w:ascii="Barlow Semi Condensed" w:cs="Barlow Semi Condensed" w:eastAsia="Barlow Semi Condensed" w:hAnsi="Barlow Semi Condensed"/>
          <w:sz w:val="24"/>
          <w:szCs w:val="24"/>
        </w:rPr>
        <w:t xml:space="preserve"> Il blocco 697 dell'opera prima riporta la divergenza senza scioglierla: novembre 1982, il giorno 10 secondo la datazione più ricorrente, il 15 secondo una fonte. Cinque giorni di scarto su un verbale d'udienza si dirimono con un atto solo, il ruolo d'udienza della corte. Finché non è letto, ogni citazione della deposizione porta con sé la divergenza, e chi la tace cita male una fonte che conosce.</w:t>
      </w:r>
    </w:p>
    <w:p>
      <w:pPr>
        <w:spacing w:after="120" w:line="276"/>
        <w:jc w:val="both"/>
      </w:pPr>
      <w:r>
        <w:rPr>
          <w:rFonts w:ascii="Barlow Semi Condensed" w:cs="Barlow Semi Condensed" w:eastAsia="Barlow Semi Condensed" w:hAnsi="Barlow Semi Condensed"/>
          <w:b/>
          <w:bCs/>
          <w:sz w:val="24"/>
          <w:szCs w:val="24"/>
        </w:rPr>
        <w:t xml:space="preserve">2169 · Moro bis, uno stato zero.</w:t>
      </w:r>
      <w:r>
        <w:rPr>
          <w:rFonts w:ascii="Barlow Semi Condensed" w:cs="Barlow Semi Condensed" w:eastAsia="Barlow Semi Condensed" w:hAnsi="Barlow Semi Condensed"/>
          <w:sz w:val="24"/>
          <w:szCs w:val="24"/>
        </w:rPr>
        <w:t xml:space="preserve"> Del secondo processo la Fase settima non riferisce alcun accertamento specifico, limitandosi a censirlo nella serie dei cinque. Per questa triangolazione è uno Stato Zero non ancora verbalizzato: nessuna fonte del corpus dice se il nome vi compaia, in qualunque veste. La sede che lo chiuderebbe è quella indicata dall'agenda di ricerca al blocco 37, i fascicoli integrali dei processi romani, da censire foglio per foglio.</w:t>
      </w:r>
    </w:p>
    <w:p>
      <w:pPr>
        <w:spacing w:after="120" w:line="276"/>
        <w:jc w:val="both"/>
      </w:pPr>
      <w:r>
        <w:rPr>
          <w:rFonts w:ascii="Barlow Semi Condensed" w:cs="Barlow Semi Condensed" w:eastAsia="Barlow Semi Condensed" w:hAnsi="Barlow Semi Condensed"/>
          <w:b/>
          <w:bCs/>
          <w:sz w:val="24"/>
          <w:szCs w:val="24"/>
        </w:rPr>
        <w:t xml:space="preserve">2170 · Moro ter, e la pietra di paragone.</w:t>
      </w:r>
      <w:r>
        <w:rPr>
          <w:rFonts w:ascii="Barlow Semi Condensed" w:cs="Barlow Semi Condensed" w:eastAsia="Barlow Semi Condensed" w:hAnsi="Barlow Semi Condensed"/>
          <w:sz w:val="24"/>
          <w:szCs w:val="24"/>
        </w:rPr>
        <w:t xml:space="preserve"> Nel terzo processo maturò, nel 1988, l'assoluzione di Rita Algranati per i fatti di via Fani, che i nove cantieri custodiscono al blocco 795 come regola delle regole: gli assolti restano assolti. La regola opera anche in direzione inversa, e questa serie la usa così — chi non fu mai imputato non può essere trattato peggio di chi fu assolto, cioè non può essere trattato affatto come imputabile.</w:t>
      </w:r>
    </w:p>
    <w:p>
      <w:pPr>
        <w:spacing w:after="120" w:line="276"/>
        <w:jc w:val="both"/>
      </w:pPr>
      <w:r>
        <w:rPr>
          <w:rFonts w:ascii="Barlow Semi Condensed" w:cs="Barlow Semi Condensed" w:eastAsia="Barlow Semi Condensed" w:hAnsi="Barlow Semi Condensed"/>
          <w:b/>
          <w:bCs/>
          <w:sz w:val="24"/>
          <w:szCs w:val="24"/>
        </w:rPr>
        <w:t xml:space="preserve">2171 · Moro quater, un'ancora datata.</w:t>
      </w:r>
      <w:r>
        <w:rPr>
          <w:rFonts w:ascii="Barlow Semi Condensed" w:cs="Barlow Semi Condensed" w:eastAsia="Barlow Semi Condensed" w:hAnsi="Barlow Semi Condensed"/>
          <w:sz w:val="24"/>
          <w:szCs w:val="24"/>
        </w:rPr>
        <w:t xml:space="preserve"> Per il quarto processo il capitolo 56 fissa il primo grado del 1994 e la Cassazione del 14 maggio 1997, con l'accertamento della responsabilità di Alvaro Lojacono per l'intero arco 16 marzo-9 maggio. La data è confermata come ancora anche dal blocco 791 dei cantieri. Serve qui come metro di forma: così si scrive una responsabilità accertata — un nome, una condotta, un arco temporale, una sentenza definitiva.</w:t>
      </w:r>
    </w:p>
    <w:p>
      <w:pPr>
        <w:spacing w:after="120" w:line="276"/>
        <w:jc w:val="both"/>
      </w:pPr>
      <w:r>
        <w:rPr>
          <w:rFonts w:ascii="Barlow Semi Condensed" w:cs="Barlow Semi Condensed" w:eastAsia="Barlow Semi Condensed" w:hAnsi="Barlow Semi Condensed"/>
          <w:b/>
          <w:bCs/>
          <w:sz w:val="24"/>
          <w:szCs w:val="24"/>
        </w:rPr>
        <w:t xml:space="preserve">2172 · Moro quinquies, e il registro che cresce.</w:t>
      </w:r>
      <w:r>
        <w:rPr>
          <w:rFonts w:ascii="Barlow Semi Condensed" w:cs="Barlow Semi Condensed" w:eastAsia="Barlow Semi Condensed" w:hAnsi="Barlow Semi Condensed"/>
          <w:sz w:val="24"/>
          <w:szCs w:val="24"/>
        </w:rPr>
        <w:t xml:space="preserve"> Il quinto processo, primo grado 16 luglio 1996 e definitivo nel 1999, iscrisse Germano Maccari come quarto uomo di via Montalcini e Raimondo Etro per le fasi logistiche. Il blocco 840 dei cantieri ne trae la lezione istituzionale: il registro può crescere a vent'anni dai fatti, ma solo per giudicato, mai per suggestione. Nessuna crescita del registro, in quarant'anni, ha mai riguardato il versante estero del caso.</w:t>
      </w:r>
    </w:p>
    <w:p>
      <w:pPr>
        <w:spacing w:after="120" w:line="276"/>
        <w:jc w:val="both"/>
      </w:pPr>
      <w:r>
        <w:rPr>
          <w:rFonts w:ascii="Barlow Semi Condensed" w:cs="Barlow Semi Condensed" w:eastAsia="Barlow Semi Condensed" w:hAnsi="Barlow Semi Condensed"/>
          <w:b/>
          <w:bCs/>
          <w:sz w:val="24"/>
          <w:szCs w:val="24"/>
        </w:rPr>
        <w:t xml:space="preserve">2173 · Le motivazioni integrali come bersaglio.</w:t>
      </w:r>
      <w:r>
        <w:rPr>
          <w:rFonts w:ascii="Barlow Semi Condensed" w:cs="Barlow Semi Condensed" w:eastAsia="Barlow Semi Condensed" w:hAnsi="Barlow Semi Condensed"/>
          <w:sz w:val="24"/>
          <w:szCs w:val="24"/>
        </w:rPr>
        <w:t xml:space="preserve"> Il blocco 792 dei nove cantieri chiede la biblioteca del giudicato: le motivazioni integrali di ogni grado di ogni processo, raccolte e indicizzate, in raccordo col blocco 38 dell'agenda. Per questa serie il bersaglio si specializza in una domanda sola: nelle motivazioni, il versante internazionale è argomentato, respinto o taciuto? La risposta cambia il grado dello Stato Zero, e nessuno l'ha ancora cercata in modo sistematico.</w:t>
      </w:r>
    </w:p>
    <w:p>
      <w:pPr>
        <w:spacing w:after="120" w:line="276"/>
        <w:jc w:val="both"/>
      </w:pPr>
      <w:r>
        <w:rPr>
          <w:rFonts w:ascii="Barlow Semi Condensed" w:cs="Barlow Semi Condensed" w:eastAsia="Barlow Semi Condensed" w:hAnsi="Barlow Semi Condensed"/>
          <w:b/>
          <w:bCs/>
          <w:sz w:val="24"/>
          <w:szCs w:val="24"/>
        </w:rPr>
        <w:t xml:space="preserve">2174 · Il giacimento digitale, una stringa.</w:t>
      </w:r>
      <w:r>
        <w:rPr>
          <w:rFonts w:ascii="Barlow Semi Condensed" w:cs="Barlow Semi Condensed" w:eastAsia="Barlow Semi Condensed" w:hAnsi="Barlow Semi Condensed"/>
          <w:sz w:val="24"/>
          <w:szCs w:val="24"/>
        </w:rPr>
        <w:t xml:space="preserve"> Gli atti dei cinque processi, custoditi alla Corte d'assise di Roma, sono stati riordinati e digitalizzati sotto il coordinamento dell'Archivio di Stato di Roma: è il fatto verificato ai blocchi 341 e 911 dei cantieri. La digitalizzazione rende eseguibile un accertamento prima impraticabile, cioè la ricerca del nome su milioni di pagine. Finché non è eseguita, l'assenza qui dichiarata è presunta e non accertata.</w:t>
      </w:r>
    </w:p>
    <w:p>
      <w:pPr>
        <w:spacing w:after="120" w:line="276"/>
        <w:jc w:val="both"/>
      </w:pPr>
      <w:r>
        <w:rPr>
          <w:rFonts w:ascii="Barlow Semi Condensed" w:cs="Barlow Semi Condensed" w:eastAsia="Barlow Semi Condensed" w:hAnsi="Barlow Semi Condensed"/>
          <w:b/>
          <w:bCs/>
          <w:sz w:val="24"/>
          <w:szCs w:val="24"/>
        </w:rPr>
        <w:t xml:space="preserve">2175 · Nessuna rogatoria, per quanto consta.</w:t>
      </w:r>
      <w:r>
        <w:rPr>
          <w:rFonts w:ascii="Barlow Semi Condensed" w:cs="Barlow Semi Condensed" w:eastAsia="Barlow Semi Condensed" w:hAnsi="Barlow Semi Condensed"/>
          <w:sz w:val="24"/>
          <w:szCs w:val="24"/>
        </w:rPr>
        <w:t xml:space="preserve"> Il corpus non registra alcuna rogatoria internazionale, in alcuno dei cinque processi, diretta agli Stati Uniti e nominante la persona. È uno Stato Zero da verbalizzare con la sua sede: i fascicoli integrali dei processi romani, blocco 37 dell'agenda, dove le richieste di assistenza giudiziaria e i loro esiti sono conservati per atto dovuto. Un diniego, se esistesse, sarebbe anch'esso un documento acquisibile.</w:t>
      </w:r>
    </w:p>
    <w:p>
      <w:pPr>
        <w:spacing w:after="120" w:line="276"/>
        <w:jc w:val="both"/>
      </w:pPr>
      <w:r>
        <w:rPr>
          <w:rFonts w:ascii="Barlow Semi Condensed" w:cs="Barlow Semi Condensed" w:eastAsia="Barlow Semi Condensed" w:hAnsi="Barlow Semi Condensed"/>
          <w:b/>
          <w:bCs/>
          <w:sz w:val="24"/>
          <w:szCs w:val="24"/>
        </w:rPr>
        <w:t xml:space="preserve">2176 · La richiesta del 1983 senza seguito.</w:t>
      </w:r>
      <w:r>
        <w:rPr>
          <w:rFonts w:ascii="Barlow Semi Condensed" w:cs="Barlow Semi Condensed" w:eastAsia="Barlow Semi Condensed" w:hAnsi="Barlow Semi Condensed"/>
          <w:sz w:val="24"/>
          <w:szCs w:val="24"/>
        </w:rPr>
        <w:t xml:space="preserve"> Non fu mai sentito dai magistrati italiani, e la richiesta informale del 1983 non ebbe seguito: lo accerta la Nota di revisione numero due. Per il registro giudiziario è il dato decisivo — non esiste un verbale d'interrogatorio, dunque non esiste alcuna dichiarazione resa da lui in sede giudiziaria italiana. Bersaglio: la corrispondenza dell'ufficio istruzione romano di quell'anno, per stabilirne forma ed esito.</w:t>
      </w:r>
    </w:p>
    <w:p>
      <w:pPr>
        <w:spacing w:after="120" w:line="276"/>
        <w:jc w:val="both"/>
      </w:pPr>
      <w:r>
        <w:rPr>
          <w:rFonts w:ascii="Barlow Semi Condensed" w:cs="Barlow Semi Condensed" w:eastAsia="Barlow Semi Condensed" w:hAnsi="Barlow Semi Condensed"/>
          <w:b/>
          <w:bCs/>
          <w:sz w:val="24"/>
          <w:szCs w:val="24"/>
        </w:rPr>
        <w:t xml:space="preserve">2177 · Il vuoto personificato, e il suo gemello.</w:t>
      </w:r>
      <w:r>
        <w:rPr>
          <w:rFonts w:ascii="Barlow Semi Condensed" w:cs="Barlow Semi Condensed" w:eastAsia="Barlow Semi Condensed" w:hAnsi="Barlow Semi Condensed"/>
          <w:sz w:val="24"/>
          <w:szCs w:val="24"/>
        </w:rPr>
        <w:t xml:space="preserve"> I nove cantieri chiamano vuoto documentale personificato la posizione di Alessio Casimirri, l'unico del registro senza neppure un verbale d'interrogatorio, al blocco 833. La formula illumina per contrasto: là manca il verbale di un condannato definitivo, qui manca il verbale di chi non fu mai imputato. Nel primo caso il vuoto è una pendenza esecutiva; nel secondo è la condizione ordinaria di un estraneo al procedimento.</w:t>
      </w:r>
    </w:p>
    <w:p>
      <w:pPr>
        <w:spacing w:after="120" w:line="276"/>
        <w:jc w:val="both"/>
      </w:pPr>
      <w:r>
        <w:rPr>
          <w:rFonts w:ascii="Barlow Semi Condensed" w:cs="Barlow Semi Condensed" w:eastAsia="Barlow Semi Condensed" w:hAnsi="Barlow Semi Condensed"/>
          <w:b/>
          <w:bCs/>
          <w:sz w:val="24"/>
          <w:szCs w:val="24"/>
        </w:rPr>
        <w:t xml:space="preserve">2178 · L'articolo 82 e il suo limite.</w:t>
      </w:r>
      <w:r>
        <w:rPr>
          <w:rFonts w:ascii="Barlow Semi Condensed" w:cs="Barlow Semi Condensed" w:eastAsia="Barlow Semi Condensed" w:hAnsi="Barlow Semi Condensed"/>
          <w:sz w:val="24"/>
          <w:szCs w:val="24"/>
        </w:rPr>
        <w:t xml:space="preserve"> Il capitolo 57 enuncia con esattezza il peso di una Commissione: gli strumenti dell'autorità giudiziaria per Costituzione, non la funzione del giudice. Non emette sentenze, non accerta responsabilità penali, non condanna né assolve. Ne discende che nessuna conferma parlamentare della testimonianza del 1982 potrebbe promuoverla a fatto provato: la promuoverebbe, al più, da testimonianza contestata a testimonianza contestata raccolta due volte in due sedi.</w:t>
      </w:r>
    </w:p>
    <w:p>
      <w:pPr>
        <w:spacing w:after="120" w:line="276"/>
        <w:jc w:val="both"/>
      </w:pPr>
      <w:r>
        <w:rPr>
          <w:rFonts w:ascii="Barlow Semi Condensed" w:cs="Barlow Semi Condensed" w:eastAsia="Barlow Semi Condensed" w:hAnsi="Barlow Semi Condensed"/>
          <w:b/>
          <w:bCs/>
          <w:sz w:val="24"/>
          <w:szCs w:val="24"/>
        </w:rPr>
        <w:t xml:space="preserve">2179 · Grado B, nelle due direzioni.</w:t>
      </w:r>
      <w:r>
        <w:rPr>
          <w:rFonts w:ascii="Barlow Semi Condensed" w:cs="Barlow Semi Condensed" w:eastAsia="Barlow Semi Condensed" w:hAnsi="Barlow Semi Condensed"/>
          <w:sz w:val="24"/>
          <w:szCs w:val="24"/>
        </w:rPr>
        <w:t xml:space="preserve"> Il blocco 703 dell'opera prima fissa la regola nei due sensi: non si promuove un accertamento parlamentare a prova, e non lo si degrada a opinione. Applicata qui, la regola impedisce sia di trattare l'audizione del 1° agosto 1980 come una sentenza, sia di liquidarla come chiacchiera. Resta ciò che è: l'atto di un organo dello Stato, con il valore che l'ordinamento gli assegna e non oltre.</w:t>
      </w:r>
    </w:p>
    <w:p>
      <w:pPr>
        <w:spacing w:after="120" w:line="276"/>
        <w:jc w:val="both"/>
      </w:pPr>
      <w:r>
        <w:rPr>
          <w:rFonts w:ascii="Barlow Semi Condensed" w:cs="Barlow Semi Condensed" w:eastAsia="Barlow Semi Condensed" w:hAnsi="Barlow Semi Condensed"/>
          <w:b/>
          <w:bCs/>
          <w:sz w:val="24"/>
          <w:szCs w:val="24"/>
        </w:rPr>
        <w:t xml:space="preserve">2180 · La legge 82 e il perimetro.</w:t>
      </w:r>
      <w:r>
        <w:rPr>
          <w:rFonts w:ascii="Barlow Semi Condensed" w:cs="Barlow Semi Condensed" w:eastAsia="Barlow Semi Condensed" w:hAnsi="Barlow Semi Condensed"/>
          <w:sz w:val="24"/>
          <w:szCs w:val="24"/>
        </w:rPr>
        <w:t xml:space="preserve"> La Commissione Moro 2 nacque con la legge 30 maggio 2014, numero 82, si costituì il 2 ottobre 2014 sotto la presidenza di Giuseppe Fioroni e chiuse con la relazione approvata il 6 dicembre 2017. Il perimetro dell'inchiesta era il rapimento e la morte di Aldo Moro. Bersaglio preliminare: stabilire se quel perimetro, come definito dalla legge istitutiva, comprendesse espressamente il versante estero della vicenda.</w:t>
      </w:r>
    </w:p>
    <w:p>
      <w:pPr>
        <w:spacing w:after="120" w:line="276"/>
        <w:jc w:val="both"/>
      </w:pPr>
      <w:r>
        <w:rPr>
          <w:rFonts w:ascii="Barlow Semi Condensed" w:cs="Barlow Semi Condensed" w:eastAsia="Barlow Semi Condensed" w:hAnsi="Barlow Semi Condensed"/>
          <w:b/>
          <w:bCs/>
          <w:sz w:val="24"/>
          <w:szCs w:val="24"/>
        </w:rPr>
        <w:t xml:space="preserve">2181 · Doc. XXIII n. 29, l'indice.</w:t>
      </w:r>
      <w:r>
        <w:rPr>
          <w:rFonts w:ascii="Barlow Semi Condensed" w:cs="Barlow Semi Condensed" w:eastAsia="Barlow Semi Condensed" w:hAnsi="Barlow Semi Condensed"/>
          <w:sz w:val="24"/>
          <w:szCs w:val="24"/>
        </w:rPr>
        <w:t xml:space="preserve"> La relazione finale porta la segnatura Doc. XXIII, numero 29, della XVII legislatura. L'accertamento che questa serie chiede è enumerativo e chiudibile in una giornata di lavoro: l'indice dei nomi e l'apparato di note della relazione contengono il nome, sì o no? Sede: Archivio storico della Camera dei deputati. Finché la verifica non è compiuta, si scriva Stato Zero e non si scriva nient'altro.</w:t>
      </w:r>
    </w:p>
    <w:p>
      <w:pPr>
        <w:spacing w:after="120" w:line="276"/>
        <w:jc w:val="both"/>
      </w:pPr>
      <w:r>
        <w:rPr>
          <w:rFonts w:ascii="Barlow Semi Condensed" w:cs="Barlow Semi Condensed" w:eastAsia="Barlow Semi Condensed" w:hAnsi="Barlow Semi Condensed"/>
          <w:b/>
          <w:bCs/>
          <w:sz w:val="24"/>
          <w:szCs w:val="24"/>
        </w:rPr>
        <w:t xml:space="preserve">2182 · Le ventimila pagine desecretate.</w:t>
      </w:r>
      <w:r>
        <w:rPr>
          <w:rFonts w:ascii="Barlow Semi Condensed" w:cs="Barlow Semi Condensed" w:eastAsia="Barlow Semi Condensed" w:hAnsi="Barlow Semi Condensed"/>
          <w:sz w:val="24"/>
          <w:szCs w:val="24"/>
        </w:rPr>
        <w:t xml:space="preserve"> Il blocco 52 dell'agenda censisce circa ventimila pagine della Commissione Moro 2 rese consultabili online dall'Archivio storico della Camera, e chiede lo spoglio sistematico con la griglia dei quesiti, non lo scorrimento per curiosità. Per questa serie la griglia ha una voce sola: ogni occorrenza del nome, con la sede dell'atto e la qualità di chi la pronuncia. Il rendimento atteso è basso; va prodotto ugualmente.</w:t>
      </w:r>
    </w:p>
    <w:p>
      <w:pPr>
        <w:spacing w:after="120" w:line="276"/>
        <w:jc w:val="both"/>
      </w:pPr>
      <w:r>
        <w:rPr>
          <w:rFonts w:ascii="Barlow Semi Condensed" w:cs="Barlow Semi Condensed" w:eastAsia="Barlow Semi Condensed" w:hAnsi="Barlow Semi Condensed"/>
          <w:b/>
          <w:bCs/>
          <w:sz w:val="24"/>
          <w:szCs w:val="24"/>
        </w:rPr>
        <w:t xml:space="preserve">2183 · Il fondo alla Camera come sede.</w:t>
      </w:r>
      <w:r>
        <w:rPr>
          <w:rFonts w:ascii="Barlow Semi Condensed" w:cs="Barlow Semi Condensed" w:eastAsia="Barlow Semi Condensed" w:hAnsi="Barlow Semi Condensed"/>
          <w:sz w:val="24"/>
          <w:szCs w:val="24"/>
        </w:rPr>
        <w:t xml:space="preserve"> Il blocco 46 dell'agenda identifica il fondo della Commissione Moro 2 presso l'Archivio storico della Camera come il giacimento istruttorio più recente e più tecnico del caso, con perimetro, serie e strumenti di ricerca. È la sede che chiuderebbe tre degli Stati Zero di questa serie: l'indice della relazione, gli stenografici delle audizioni, e l'eventuale corrispondenza della Commissione con amministrazioni straniere.</w:t>
      </w:r>
    </w:p>
    <w:p>
      <w:pPr>
        <w:spacing w:after="120" w:line="276"/>
        <w:jc w:val="both"/>
      </w:pPr>
      <w:r>
        <w:rPr>
          <w:rFonts w:ascii="Barlow Semi Condensed" w:cs="Barlow Semi Condensed" w:eastAsia="Barlow Semi Condensed" w:hAnsi="Barlow Semi Condensed"/>
          <w:b/>
          <w:bCs/>
          <w:sz w:val="24"/>
          <w:szCs w:val="24"/>
        </w:rPr>
        <w:t xml:space="preserve">2184 · Il portale, e ciò che non contiene.</w:t>
      </w:r>
      <w:r>
        <w:rPr>
          <w:rFonts w:ascii="Barlow Semi Condensed" w:cs="Barlow Semi Condensed" w:eastAsia="Barlow Semi Condensed" w:hAnsi="Barlow Semi Condensed"/>
          <w:sz w:val="24"/>
          <w:szCs w:val="24"/>
        </w:rPr>
        <w:t xml:space="preserve"> Al portale delle inchieste della Camera, per la XVII legislatura, rinvia il capitolo 57. Un portale pubblico consente una verifica negativa a costo nullo e la rende ripetibile da chiunque: è il modo corretto di dichiarare uno Stato Zero, perché il lettore può rifare il cammino. La verifica va però datata, perché i portali crescono: un'assenza accertata oggi non è un'assenza accertata per sempre.</w:t>
      </w:r>
    </w:p>
    <w:p>
      <w:pPr>
        <w:spacing w:after="120" w:line="276"/>
        <w:jc w:val="both"/>
      </w:pPr>
      <w:r>
        <w:rPr>
          <w:rFonts w:ascii="Barlow Semi Condensed" w:cs="Barlow Semi Condensed" w:eastAsia="Barlow Semi Condensed" w:hAnsi="Barlow Semi Condensed"/>
          <w:b/>
          <w:bCs/>
          <w:sz w:val="24"/>
          <w:szCs w:val="24"/>
        </w:rPr>
        <w:t xml:space="preserve">2185 · Le tre relazioni e la loro forma.</w:t>
      </w:r>
      <w:r>
        <w:rPr>
          <w:rFonts w:ascii="Barlow Semi Condensed" w:cs="Barlow Semi Condensed" w:eastAsia="Barlow Semi Condensed" w:hAnsi="Barlow Semi Condensed"/>
          <w:sz w:val="24"/>
          <w:szCs w:val="24"/>
        </w:rPr>
        <w:t xml:space="preserve"> Tre relazioni approvò la Moro 2, e il capitolo 57 registra che la sua eredità non è una verità sostitutiva ma un fascio di accertamenti puntuali. Il dettaglio conta: un fascio di accertamenti puntuali si spoglia voce per voce, e la voce che riguardasse il versante estero, se esiste, sta in una relazione determinata e in un paragrafo determinato. Bersaglio: stabilire quali, con la segnatura.</w:t>
      </w:r>
    </w:p>
    <w:p>
      <w:pPr>
        <w:spacing w:after="120" w:line="276"/>
        <w:jc w:val="both"/>
      </w:pPr>
      <w:r>
        <w:rPr>
          <w:rFonts w:ascii="Barlow Semi Condensed" w:cs="Barlow Semi Condensed" w:eastAsia="Barlow Semi Condensed" w:hAnsi="Barlow Semi Condensed"/>
          <w:b/>
          <w:bCs/>
          <w:sz w:val="24"/>
          <w:szCs w:val="24"/>
        </w:rPr>
        <w:t xml:space="preserve">2186 · L'audizione del primo agosto 1980.</w:t>
      </w:r>
      <w:r>
        <w:rPr>
          <w:rFonts w:ascii="Barlow Semi Condensed" w:cs="Barlow Semi Condensed" w:eastAsia="Barlow Semi Condensed" w:hAnsi="Barlow Semi Condensed"/>
          <w:sz w:val="24"/>
          <w:szCs w:val="24"/>
        </w:rPr>
        <w:t xml:space="preserve"> Sede e data dell'audizione di Eleonora Chiavarelli Moro davanti alla prima Commissione d'inchiesta sono accertate al punto cinque della Nota di revisione numero due. Quel fondo sta all'Archivio storico del Senato, insieme a quello della Commissione Stragi, come la verifica V-2 dell'agenda di ricerca ha confermato. È lì, e non nelle sintesi giornalistiche, che si legge se in quella sede il nome fu pronunciato e da chi.</w:t>
      </w:r>
    </w:p>
    <w:p>
      <w:pPr>
        <w:spacing w:after="120" w:line="276"/>
        <w:jc w:val="both"/>
      </w:pPr>
      <w:r>
        <w:rPr>
          <w:rFonts w:ascii="Barlow Semi Condensed" w:cs="Barlow Semi Condensed" w:eastAsia="Barlow Semi Condensed" w:hAnsi="Barlow Semi Condensed"/>
          <w:b/>
          <w:bCs/>
          <w:sz w:val="24"/>
          <w:szCs w:val="24"/>
        </w:rPr>
        <w:t xml:space="preserve">2187 · Sede e contenuto non coincidono.</w:t>
      </w:r>
      <w:r>
        <w:rPr>
          <w:rFonts w:ascii="Barlow Semi Condensed" w:cs="Barlow Semi Condensed" w:eastAsia="Barlow Semi Condensed" w:hAnsi="Barlow Semi Condensed"/>
          <w:sz w:val="24"/>
          <w:szCs w:val="24"/>
        </w:rPr>
        <w:t xml:space="preserve"> Il medesimo punto cinque avverte che la frase verbatim circolante è attribuita dalle sintesi alla deposizione del 1982, mentre dell'audizione del 1980 si riporta soprattutto un riferimento a minacce risalenti al 1975 e crescenti. Confondere le due sedi produce una citazione falsa costruita su due premesse entrambe vere. Il rimedio è procedurale e banale: ogni citazione porta con sé la sede, la data e il verbale.</w:t>
      </w:r>
    </w:p>
    <w:p>
      <w:pPr>
        <w:spacing w:after="120" w:line="276"/>
        <w:jc w:val="both"/>
      </w:pPr>
      <w:r>
        <w:rPr>
          <w:rFonts w:ascii="Barlow Semi Condensed" w:cs="Barlow Semi Condensed" w:eastAsia="Barlow Semi Condensed" w:hAnsi="Barlow Semi Condensed"/>
          <w:b/>
          <w:bCs/>
          <w:sz w:val="24"/>
          <w:szCs w:val="24"/>
        </w:rPr>
        <w:t xml:space="preserve">2188 · Il terzo fondo, la Commissione Stragi.</w:t>
      </w:r>
      <w:r>
        <w:rPr>
          <w:rFonts w:ascii="Barlow Semi Condensed" w:cs="Barlow Semi Condensed" w:eastAsia="Barlow Semi Condensed" w:hAnsi="Barlow Semi Condensed"/>
          <w:sz w:val="24"/>
          <w:szCs w:val="24"/>
        </w:rPr>
        <w:t xml:space="preserve"> Fra la Moro 1 e la Moro 2 lavorò la Commissione Stragi, dal 1988 al 2001, il cui fondo è anch'esso all'Archivio storico del Senato. La Fase settima la nomina di passaggio al capitolo 57; la scheda PE-1 di approfondimento-piste-entita.md ne cita lo stenografico 63 per i comitati del Viminale. È il fondo meno interrogato dei tre su questo versante, e perciò il bersaglio con la resa attesa maggiore.</w:t>
      </w:r>
    </w:p>
    <w:p>
      <w:pPr>
        <w:spacing w:after="120" w:line="276"/>
        <w:jc w:val="both"/>
      </w:pPr>
      <w:r>
        <w:rPr>
          <w:rFonts w:ascii="Barlow Semi Condensed" w:cs="Barlow Semi Condensed" w:eastAsia="Barlow Semi Condensed" w:hAnsi="Barlow Semi Condensed"/>
          <w:b/>
          <w:bCs/>
          <w:sz w:val="24"/>
          <w:szCs w:val="24"/>
        </w:rPr>
        <w:t xml:space="preserve">2189 · Il nodo del 18 aprile, non sciolto.</w:t>
      </w:r>
      <w:r>
        <w:rPr>
          <w:rFonts w:ascii="Barlow Semi Condensed" w:cs="Barlow Semi Condensed" w:eastAsia="Barlow Semi Condensed" w:hAnsi="Barlow Semi Condensed"/>
          <w:sz w:val="24"/>
          <w:szCs w:val="24"/>
        </w:rPr>
        <w:t xml:space="preserve"> Il capitolo 60 registra la critica più seria alla Moro 2: essersi concentrata quasi solo sull'agguato di via Fani senza affrontare il nodo del 18 aprile, via Gradoli e il falso comunicato del lago della Duchessa. La Fase settima certifica quella lacuna come tuttora mancante. Il rilievo vale in negativo per noi: dove la Commissione non guardò, la sua assenza di risultato non dice nulla su alcun nome.</w:t>
      </w:r>
    </w:p>
    <w:p>
      <w:pPr>
        <w:spacing w:after="120" w:line="276"/>
        <w:jc w:val="both"/>
      </w:pPr>
      <w:r>
        <w:rPr>
          <w:rFonts w:ascii="Barlow Semi Condensed" w:cs="Barlow Semi Condensed" w:eastAsia="Barlow Semi Condensed" w:hAnsi="Barlow Semi Condensed"/>
          <w:b/>
          <w:bCs/>
          <w:sz w:val="24"/>
          <w:szCs w:val="24"/>
        </w:rPr>
        <w:t xml:space="preserve">2190 · Ciò che l'inchiesta non affrontò.</w:t>
      </w:r>
      <w:r>
        <w:rPr>
          <w:rFonts w:ascii="Barlow Semi Condensed" w:cs="Barlow Semi Condensed" w:eastAsia="Barlow Semi Condensed" w:hAnsi="Barlow Semi Condensed"/>
          <w:sz w:val="24"/>
          <w:szCs w:val="24"/>
        </w:rPr>
        <w:t xml:space="preserve"> Un'inchiesta si giudica anche da ciò che lascia insoluto: è la prima frase del capitolo 60, ed è una regola di lettura applicabile. Applicandola, il silenzio della Moro 2 sul versante estero può avere tre cause — non fu cercato, fu cercato e non trovato, fu trovato e non pubblicato. Solo lo spoglio del fondo distingue le tre; finché non le distingue, non se ne sceglie nessuna.</w:t>
      </w:r>
    </w:p>
    <w:p>
      <w:pPr>
        <w:spacing w:after="120" w:line="276"/>
        <w:jc w:val="both"/>
      </w:pPr>
      <w:r>
        <w:rPr>
          <w:rFonts w:ascii="Barlow Semi Condensed" w:cs="Barlow Semi Condensed" w:eastAsia="Barlow Semi Condensed" w:hAnsi="Barlow Semi Condensed"/>
          <w:b/>
          <w:bCs/>
          <w:sz w:val="24"/>
          <w:szCs w:val="24"/>
        </w:rPr>
        <w:t xml:space="preserve">2191 · I quattro centauri e il salto vietato.</w:t>
      </w:r>
      <w:r>
        <w:rPr>
          <w:rFonts w:ascii="Barlow Semi Condensed" w:cs="Barlow Semi Condensed" w:eastAsia="Barlow Semi Condensed" w:hAnsi="Barlow Semi Condensed"/>
          <w:sz w:val="24"/>
          <w:szCs w:val="24"/>
        </w:rPr>
        <w:t xml:space="preserve"> Il capitolo 58 colloca al grado B le due motociclette e i quattro centauri di via Fani, con la formula della Commissione: elementi da approfondire, non fatti provati. È esattamente il materiale che la pubblicistica converte in presenze straniere. La conversione è vietata due volte: dal grado dichiarato dalla Commissione e dalla regola dell'omologia, perché una presenza non identificata non ha nazionalità finché un documento non gliela dà.</w:t>
      </w:r>
    </w:p>
    <w:p>
      <w:pPr>
        <w:spacing w:after="120" w:line="276"/>
        <w:jc w:val="both"/>
      </w:pPr>
      <w:r>
        <w:rPr>
          <w:rFonts w:ascii="Barlow Semi Condensed" w:cs="Barlow Semi Condensed" w:eastAsia="Barlow Semi Condensed" w:hAnsi="Barlow Semi Condensed"/>
          <w:b/>
          <w:bCs/>
          <w:sz w:val="24"/>
          <w:szCs w:val="24"/>
        </w:rPr>
        <w:t xml:space="preserve">2192 · De Chiara, Marini e il loro peso.</w:t>
      </w:r>
      <w:r>
        <w:rPr>
          <w:rFonts w:ascii="Barlow Semi Condensed" w:cs="Barlow Semi Condensed" w:eastAsia="Barlow Semi Condensed" w:hAnsi="Barlow Semi Condensed"/>
          <w:sz w:val="24"/>
          <w:szCs w:val="24"/>
        </w:rPr>
        <w:t xml:space="preserve"> I due testimoni oculari auditi dopo quarant'anni — Giovanni De Chiara, residente in via Fani 106, e l'ingegner Alessandro Marini, con la motocicletta Honda e i colpi esplosi nella sua direzione — sono acquisizioni di grado B su una dinamica, non su un mandato. Nessuna delle due deposizioni, per quanto il corpus riferisce, tocca il versante internazionale. Stato Zero, con sede negli stenografici della Commissione Moro 2.</w:t>
      </w:r>
    </w:p>
    <w:p>
      <w:pPr>
        <w:spacing w:after="120" w:line="276"/>
        <w:jc w:val="both"/>
      </w:pPr>
      <w:r>
        <w:rPr>
          <w:rFonts w:ascii="Barlow Semi Condensed" w:cs="Barlow Semi Condensed" w:eastAsia="Barlow Semi Condensed" w:hAnsi="Barlow Semi Condensed"/>
          <w:b/>
          <w:bCs/>
          <w:sz w:val="24"/>
          <w:szCs w:val="24"/>
        </w:rPr>
        <w:t xml:space="preserve">2193 · La lezione Marini, fatta protocollo.</w:t>
      </w:r>
      <w:r>
        <w:rPr>
          <w:rFonts w:ascii="Barlow Semi Condensed" w:cs="Barlow Semi Condensed" w:eastAsia="Barlow Semi Condensed" w:hAnsi="Barlow Semi Condensed"/>
          <w:sz w:val="24"/>
          <w:szCs w:val="24"/>
        </w:rPr>
        <w:t xml:space="preserve"> Il blocco 143 del manuale investigativo trasforma il caso Marini in regola: ogni testimone depone con fotografie, planimetrie e verbali d'epoca sul tavolo, e il ricordo si vincola ai documenti invece di sostituirli. La regola si sarebbe applicata anche alla deposizione del 1982, dove un teste de relato riferiva una frase udita da altri: sentirlo col verbale dell'incontro cui la frase è riferita avrebbe cambiato tutto.</w:t>
      </w:r>
    </w:p>
    <w:p>
      <w:pPr>
        <w:spacing w:after="120" w:line="276"/>
        <w:jc w:val="both"/>
      </w:pPr>
      <w:r>
        <w:rPr>
          <w:rFonts w:ascii="Barlow Semi Condensed" w:cs="Barlow Semi Condensed" w:eastAsia="Barlow Semi Condensed" w:hAnsi="Barlow Semi Condensed"/>
          <w:b/>
          <w:bCs/>
          <w:sz w:val="24"/>
          <w:szCs w:val="24"/>
        </w:rPr>
        <w:t xml:space="preserve">2194 · Il Memoriale come testo negoziato.</w:t>
      </w:r>
      <w:r>
        <w:rPr>
          <w:rFonts w:ascii="Barlow Semi Condensed" w:cs="Barlow Semi Condensed" w:eastAsia="Barlow Semi Condensed" w:hAnsi="Barlow Semi Condensed"/>
          <w:sz w:val="24"/>
          <w:szCs w:val="24"/>
        </w:rPr>
        <w:t xml:space="preserve"> Il capitolo 59 accerta al grado B che il cosiddetto Memoriale Morucci fu il risultato di una collaborazione sviluppatasi lungo gli anni Ottanta fra i due brigatisti dissociati e apparati dello Stato. Significa che la principale fonte narrativa interna sul sequestro non è un dato grezzo ma un testo costruito. Chi vi cercasse conferme sul versante estero cercherebbe in un testo che aveva ragioni proprie per non contenerne.</w:t>
      </w:r>
    </w:p>
    <w:p>
      <w:pPr>
        <w:spacing w:after="120" w:line="276"/>
        <w:jc w:val="both"/>
      </w:pPr>
      <w:r>
        <w:rPr>
          <w:rFonts w:ascii="Barlow Semi Condensed" w:cs="Barlow Semi Condensed" w:eastAsia="Barlow Semi Condensed" w:hAnsi="Barlow Semi Condensed"/>
          <w:b/>
          <w:bCs/>
          <w:sz w:val="24"/>
          <w:szCs w:val="24"/>
        </w:rPr>
        <w:t xml:space="preserve">2195 · Chi concorse, e chi non compare.</w:t>
      </w:r>
      <w:r>
        <w:rPr>
          <w:rFonts w:ascii="Barlow Semi Condensed" w:cs="Barlow Semi Condensed" w:eastAsia="Barlow Semi Condensed" w:hAnsi="Barlow Semi Condensed"/>
          <w:sz w:val="24"/>
          <w:szCs w:val="24"/>
        </w:rPr>
        <w:t xml:space="preserve"> Per funzione il capitolo 59 elenca i concorrenti alla genesi del Memoriale: magistrati inquirenti, il SISDE, esponenti politici, una religiosa inviata da Cossiga. L'elenco è italiano per intero. È un dato di questa serie e va scritto: nella ricostruzione parlamentare della fonte interna più importante del caso non compare alcun soggetto straniero, né come partecipante alla negoziazione né come suo destinatario dichiarato.</w:t>
      </w:r>
    </w:p>
    <w:p>
      <w:pPr>
        <w:spacing w:after="120" w:line="276"/>
        <w:jc w:val="both"/>
      </w:pPr>
      <w:r>
        <w:rPr>
          <w:rFonts w:ascii="Barlow Semi Condensed" w:cs="Barlow Semi Condensed" w:eastAsia="Barlow Semi Condensed" w:hAnsi="Barlow Semi Condensed"/>
          <w:b/>
          <w:bCs/>
          <w:sz w:val="24"/>
          <w:szCs w:val="24"/>
        </w:rPr>
        <w:t xml:space="preserve">2196 · Una fonte gestita, e il suo uso.</w:t>
      </w:r>
      <w:r>
        <w:rPr>
          <w:rFonts w:ascii="Barlow Semi Condensed" w:cs="Barlow Semi Condensed" w:eastAsia="Barlow Semi Condensed" w:hAnsi="Barlow Semi Condensed"/>
          <w:sz w:val="24"/>
          <w:szCs w:val="24"/>
        </w:rPr>
        <w:t xml:space="preserve"> Una fonte gestita politicamente va usata sapendo che è tale — non si getta via, si legge con la consapevolezza della genesi: così conclude il capitolo 59, e il blocco 150 del manuale ne fa regola operativa. La conseguenza per noi è simmetrica: dal silenzio del Memoriale sul versante estero non si ricava né conferma né smentita, perché il silenzio di un testo negoziato non è un'osservazione indipendente.</w:t>
      </w:r>
    </w:p>
    <w:p>
      <w:pPr>
        <w:spacing w:after="120" w:line="276"/>
        <w:jc w:val="both"/>
      </w:pPr>
      <w:r>
        <w:rPr>
          <w:rFonts w:ascii="Barlow Semi Condensed" w:cs="Barlow Semi Condensed" w:eastAsia="Barlow Semi Condensed" w:hAnsi="Barlow Semi Condensed"/>
          <w:b/>
          <w:bCs/>
          <w:sz w:val="24"/>
          <w:szCs w:val="24"/>
        </w:rPr>
        <w:t xml:space="preserve">2197 · La formula che la Commissione fece propria.</w:t>
      </w:r>
      <w:r>
        <w:rPr>
          <w:rFonts w:ascii="Barlow Semi Condensed" w:cs="Barlow Semi Condensed" w:eastAsia="Barlow Semi Condensed" w:hAnsi="Barlow Semi Condensed"/>
          <w:sz w:val="24"/>
          <w:szCs w:val="24"/>
        </w:rPr>
        <w:t xml:space="preserve"> Verità dicibile non è espressione del corpus ma della Commissione, che qualificò così quanto si era saputo e che servì a chiudere la stagione del terrorismo: il capitolo 59 lo registra come fatto notevole. Che un organo parlamentare adoperi quel lessico è dato di grado B sulla natura della verità disponibile. Non è l'annuncio di una verità diversa già nota e taciuta.</w:t>
      </w:r>
    </w:p>
    <w:p>
      <w:pPr>
        <w:spacing w:after="120" w:line="276"/>
        <w:jc w:val="both"/>
      </w:pPr>
      <w:r>
        <w:rPr>
          <w:rFonts w:ascii="Barlow Semi Condensed" w:cs="Barlow Semi Condensed" w:eastAsia="Barlow Semi Condensed" w:hAnsi="Barlow Semi Condensed"/>
          <w:b/>
          <w:bCs/>
          <w:sz w:val="24"/>
          <w:szCs w:val="24"/>
        </w:rPr>
        <w:t xml:space="preserve">2198 · Il vuoto non autorizza il nome.</w:t>
      </w:r>
      <w:r>
        <w:rPr>
          <w:rFonts w:ascii="Barlow Semi Condensed" w:cs="Barlow Semi Condensed" w:eastAsia="Barlow Semi Condensed" w:hAnsi="Barlow Semi Condensed"/>
          <w:sz w:val="24"/>
          <w:szCs w:val="24"/>
        </w:rPr>
        <w:t xml:space="preserve"> La Parte terza, al capitolo X, fissa la distinzione capitale: non sappiamo tutto è un fatto accertato; sappiamo che dietro c'è il tale è un'inferenza che il primo non autorizza. Chi riempie il vuoto con un mandante compie, sul piano logico, il gesto del pollo di Popper. È la formulazione più economica del divieto che governa l'intera triangolazione, ed è già scritta dentro il corpus.</w:t>
      </w:r>
    </w:p>
    <w:p>
      <w:pPr>
        <w:spacing w:after="120" w:line="276"/>
        <w:jc w:val="both"/>
      </w:pPr>
      <w:r>
        <w:rPr>
          <w:rFonts w:ascii="Barlow Semi Condensed" w:cs="Barlow Semi Condensed" w:eastAsia="Barlow Semi Condensed" w:hAnsi="Barlow Semi Condensed"/>
          <w:b/>
          <w:bCs/>
          <w:sz w:val="24"/>
          <w:szCs w:val="24"/>
        </w:rPr>
        <w:t xml:space="preserve">2199 · L'ampiezza dell'indicibile non si misura.</w:t>
      </w:r>
      <w:r>
        <w:rPr>
          <w:rFonts w:ascii="Barlow Semi Condensed" w:cs="Barlow Semi Condensed" w:eastAsia="Barlow Semi Condensed" w:hAnsi="Barlow Semi Condensed"/>
          <w:sz w:val="24"/>
          <w:szCs w:val="24"/>
        </w:rPr>
        <w:t xml:space="preserve"> La riga X della tavola del capitolo 61 assegna alla formula il grado B e all'ampiezza dell'indicibile il grado C, con la motivazione che per definizione non è misurabile. Ne segue un divieto quantitativo: nessuno può sostenere che ciò che manca sia grande abbastanza da contenere un mandante estero. Una grandezza non misurabile non sostiene inferenze sulla propria composizione, e questa è una regola generale.</w:t>
      </w:r>
    </w:p>
    <w:p>
      <w:pPr>
        <w:spacing w:after="120" w:line="276"/>
        <w:jc w:val="both"/>
      </w:pPr>
      <w:r>
        <w:rPr>
          <w:rFonts w:ascii="Barlow Semi Condensed" w:cs="Barlow Semi Condensed" w:eastAsia="Barlow Semi Condensed" w:hAnsi="Barlow Semi Condensed"/>
          <w:b/>
          <w:bCs/>
          <w:sz w:val="24"/>
          <w:szCs w:val="24"/>
        </w:rPr>
        <w:t xml:space="preserve">2200 · La stesura originale mai trovata.</w:t>
      </w:r>
      <w:r>
        <w:rPr>
          <w:rFonts w:ascii="Barlow Semi Condensed" w:cs="Barlow Semi Condensed" w:eastAsia="Barlow Semi Condensed" w:hAnsi="Barlow Semi Condensed"/>
          <w:sz w:val="24"/>
          <w:szCs w:val="24"/>
        </w:rPr>
        <w:t xml:space="preserve"> La verifica V-8 dei nove cantieri accerta che gli originali del memoriale, la stesura A, non furono mai trovati, e che la loro distruzione resta dichiarazione di parte. È il più grande Stato Zero documentale del caso. Va detto con precisione: un vuoto di quella misura non prova che vi fosse dentro qualcosa di determinato, e chi vi colloca il versante atlantico sta arredando una stanza che nessuno ha visto.</w:t>
      </w:r>
    </w:p>
    <w:p>
      <w:pPr>
        <w:spacing w:after="120" w:line="276"/>
        <w:jc w:val="both"/>
      </w:pPr>
      <w:r>
        <w:rPr>
          <w:rFonts w:ascii="Barlow Semi Condensed" w:cs="Barlow Semi Condensed" w:eastAsia="Barlow Semi Condensed" w:hAnsi="Barlow Semi Condensed"/>
          <w:b/>
          <w:bCs/>
          <w:sz w:val="24"/>
          <w:szCs w:val="24"/>
        </w:rPr>
        <w:t xml:space="preserve">2201 · Il memoriale davanti alle corti.</w:t>
      </w:r>
      <w:r>
        <w:rPr>
          <w:rFonts w:ascii="Barlow Semi Condensed" w:cs="Barlow Semi Condensed" w:eastAsia="Barlow Semi Condensed" w:hAnsi="Barlow Semi Condensed"/>
          <w:sz w:val="24"/>
          <w:szCs w:val="24"/>
        </w:rPr>
        <w:t xml:space="preserve"> Il blocco 544 dei nove cantieri chiede l'uso giudiziario del corpus: come le corti trattarono il testo, con quali acquisizioni, quali valutazioni di attendibilità, quali usi probatori. La tavola serve a non riscoprire ciò che il giudicato ha già stabilito. Per questa serie diventa un bersaglio negativo: verificare se in quelle valutazioni il versante internazionale sia mai stato dedotto da una parte processuale, e con quale esito.</w:t>
      </w:r>
    </w:p>
    <w:p>
      <w:pPr>
        <w:spacing w:after="120" w:line="276"/>
        <w:jc w:val="both"/>
      </w:pPr>
      <w:r>
        <w:rPr>
          <w:rFonts w:ascii="Barlow Semi Condensed" w:cs="Barlow Semi Condensed" w:eastAsia="Barlow Semi Condensed" w:hAnsi="Barlow Semi Condensed"/>
          <w:b/>
          <w:bCs/>
          <w:sz w:val="24"/>
          <w:szCs w:val="24"/>
        </w:rPr>
        <w:t xml:space="preserve">2202 · Il grado del testo negoziato.</w:t>
      </w:r>
      <w:r>
        <w:rPr>
          <w:rFonts w:ascii="Barlow Semi Condensed" w:cs="Barlow Semi Condensed" w:eastAsia="Barlow Semi Condensed" w:hAnsi="Barlow Semi Condensed"/>
          <w:sz w:val="24"/>
          <w:szCs w:val="24"/>
        </w:rPr>
        <w:t xml:space="preserve"> Il blocco 794 dei cantieri disciplina i gradi dentro il registro: il giudicato è A, le ammissioni dei condannati sono dichiarazioni di parte, la memorialistica resta memorialistica. La scala si applica identica al Memoriale e alle interviste dei tredici. Nessuna dichiarazione resa da un condannato, per quanto circostanziata, può iscrivere un nome nuovo: le dichiarazioni indicano piste, e le piste si verificano su documenti di provenienza.</w:t>
      </w:r>
    </w:p>
    <w:p>
      <w:pPr>
        <w:spacing w:after="120" w:line="276"/>
        <w:jc w:val="both"/>
      </w:pPr>
      <w:r>
        <w:rPr>
          <w:rFonts w:ascii="Barlow Semi Condensed" w:cs="Barlow Semi Condensed" w:eastAsia="Barlow Semi Condensed" w:hAnsi="Barlow Semi Condensed"/>
          <w:b/>
          <w:bCs/>
          <w:sz w:val="24"/>
          <w:szCs w:val="24"/>
        </w:rPr>
        <w:t xml:space="preserve">2203 · Che cosa smentirebbe questa lettura.</w:t>
      </w:r>
      <w:r>
        <w:rPr>
          <w:rFonts w:ascii="Barlow Semi Condensed" w:cs="Barlow Semi Condensed" w:eastAsia="Barlow Semi Condensed" w:hAnsi="Barlow Semi Condensed"/>
          <w:sz w:val="24"/>
          <w:szCs w:val="24"/>
        </w:rPr>
        <w:t xml:space="preserve"> Bersaglio di smentita esplicito: la lettura qui proposta cadrebbe se nelle carte della genesi del Memoriale — atti della Moro 2, corrispondenza dei magistrati inquirenti, documentazione dei servizi versata — comparisse un soggetto straniero come interlocutore della negoziazione. Sarebbe un ponte di piano uno, non una convergenza di cornice. La sede dove cercarlo è nominata; la ricerca non è stata fatta; l'esito atteso resta negativo.</w:t>
      </w:r>
    </w:p>
    <w:p>
      <w:pPr>
        <w:spacing w:after="120" w:line="276"/>
        <w:jc w:val="both"/>
      </w:pPr>
      <w:r>
        <w:rPr>
          <w:rFonts w:ascii="Barlow Semi Condensed" w:cs="Barlow Semi Condensed" w:eastAsia="Barlow Semi Condensed" w:hAnsi="Barlow Semi Condensed"/>
          <w:b/>
          <w:bCs/>
          <w:sz w:val="24"/>
          <w:szCs w:val="24"/>
        </w:rPr>
        <w:t xml:space="preserve">2204 · Questione III davanti al nome.</w:t>
      </w:r>
      <w:r>
        <w:rPr>
          <w:rFonts w:ascii="Barlow Semi Condensed" w:cs="Barlow Semi Condensed" w:eastAsia="Barlow Semi Condensed" w:hAnsi="Barlow Semi Condensed"/>
          <w:sz w:val="24"/>
          <w:szCs w:val="24"/>
        </w:rPr>
        <w:t xml:space="preserve"> La riga III della tavola assegna al giudicato l'esecuzione dell'agguato da parte del commando accertato e alla Commissione le due moto con i due testimoni nuovi, lasciando in colonna C identità e ruolo di eventuali centauri estranei. Fra questa riga e il nome triangolato non esiste ponte di alcun piano. La colonna C contiene ignoti, e un ignoto non si battezza per verosimiglianza né per convenienza narrativa.</w:t>
      </w:r>
    </w:p>
    <w:p>
      <w:pPr>
        <w:spacing w:after="120" w:line="276"/>
        <w:jc w:val="both"/>
      </w:pPr>
      <w:r>
        <w:rPr>
          <w:rFonts w:ascii="Barlow Semi Condensed" w:cs="Barlow Semi Condensed" w:eastAsia="Barlow Semi Condensed" w:hAnsi="Barlow Semi Condensed"/>
          <w:b/>
          <w:bCs/>
          <w:sz w:val="24"/>
          <w:szCs w:val="24"/>
        </w:rPr>
        <w:t xml:space="preserve">2205 · Questione IV, la prigione unica.</w:t>
      </w:r>
      <w:r>
        <w:rPr>
          <w:rFonts w:ascii="Barlow Semi Condensed" w:cs="Barlow Semi Condensed" w:eastAsia="Barlow Semi Condensed" w:hAnsi="Barlow Semi Condensed"/>
          <w:sz w:val="24"/>
          <w:szCs w:val="24"/>
        </w:rPr>
        <w:t xml:space="preserve"> Alla riga IV il giudicato porta il covo di via Montalcini e Maccari quarto uomo, il grado B le ricostruzioni logistiche integrate, il grado C l'eventuale seconda prigione, non provata. Il capitolo 71 della Fase nona è più netto ancora: il giudicato conosce una sola prigione. La riga non ha versante estero, e non lo acquista perché una seconda prigione sarebbe più comoda da collocare altrove.</w:t>
      </w:r>
    </w:p>
    <w:p>
      <w:pPr>
        <w:spacing w:after="120" w:line="276"/>
        <w:jc w:val="both"/>
      </w:pPr>
      <w:r>
        <w:rPr>
          <w:rFonts w:ascii="Barlow Semi Condensed" w:cs="Barlow Semi Condensed" w:eastAsia="Barlow Semi Condensed" w:hAnsi="Barlow Semi Condensed"/>
          <w:b/>
          <w:bCs/>
          <w:sz w:val="24"/>
          <w:szCs w:val="24"/>
        </w:rPr>
        <w:t xml:space="preserve">2206 · Questione V, coincidenza senza spiegazione.</w:t>
      </w:r>
      <w:r>
        <w:rPr>
          <w:rFonts w:ascii="Barlow Semi Condensed" w:cs="Barlow Semi Condensed" w:eastAsia="Barlow Semi Condensed" w:hAnsi="Barlow Semi Condensed"/>
          <w:sz w:val="24"/>
          <w:szCs w:val="24"/>
        </w:rPr>
        <w:t xml:space="preserve"> La riga V è l'unica con entrambe le colonne alte vuote: nessun giudicato risolutivo, non sciolta dalla Commissione, e in C la coincidenza fra la seduta spiritica e l'indirizzo reale del covo, che resta senza spiegazione documentale. È il punto in cui la tentazione del mandante estero è massima e la base documentale minima. La Fase settima la certifica come mancante: certificare è tutto ciò che la disciplina consente.</w:t>
      </w:r>
    </w:p>
    <w:p>
      <w:pPr>
        <w:spacing w:after="120" w:line="276"/>
        <w:jc w:val="both"/>
      </w:pPr>
      <w:r>
        <w:rPr>
          <w:rFonts w:ascii="Barlow Semi Condensed" w:cs="Barlow Semi Condensed" w:eastAsia="Barlow Semi Condensed" w:hAnsi="Barlow Semi Condensed"/>
          <w:b/>
          <w:bCs/>
          <w:sz w:val="24"/>
          <w:szCs w:val="24"/>
        </w:rPr>
        <w:t xml:space="preserve">2207 · Questione VI, e il consulente.</w:t>
      </w:r>
      <w:r>
        <w:rPr>
          <w:rFonts w:ascii="Barlow Semi Condensed" w:cs="Barlow Semi Condensed" w:eastAsia="Barlow Semi Condensed" w:hAnsi="Barlow Semi Condensed"/>
          <w:sz w:val="24"/>
          <w:szCs w:val="24"/>
        </w:rPr>
        <w:t xml:space="preserve"> La riga VI accerta i fatti dei canali di mediazione e documenta il ruolo degli apparati nella gestione, lasciando in C il giudizio storico sulla praticabilità della trattativa. È la riga più vicina a un soggetto statunitense: la Fase nona, al capitolo 74, colloca la presenza di Steve Pieczenik nel comitato di crisi al grado B e le sue dichiarazioni successive al grado C. Presenza documentata, portata da riscontrare.</w:t>
      </w:r>
    </w:p>
    <w:p>
      <w:pPr>
        <w:spacing w:after="120" w:line="276"/>
        <w:jc w:val="both"/>
      </w:pPr>
      <w:r>
        <w:rPr>
          <w:rFonts w:ascii="Barlow Semi Condensed" w:cs="Barlow Semi Condensed" w:eastAsia="Barlow Semi Condensed" w:hAnsi="Barlow Semi Condensed"/>
          <w:b/>
          <w:bCs/>
          <w:sz w:val="24"/>
          <w:szCs w:val="24"/>
        </w:rPr>
        <w:t xml:space="preserve">2208 · La qualificazione delle lettere come atto.</w:t>
      </w:r>
      <w:r>
        <w:rPr>
          <w:rFonts w:ascii="Barlow Semi Condensed" w:cs="Barlow Semi Condensed" w:eastAsia="Barlow Semi Condensed" w:hAnsi="Barlow Semi Condensed"/>
          <w:sz w:val="24"/>
          <w:szCs w:val="24"/>
        </w:rPr>
        <w:t xml:space="preserve"> La scheda PE-1 registra che consulenti del comitato di esperti — organo mai riunito collegialmente — sostennero l'inattendibilità delle lettere di Moro, e ne fa un quesito documentale: in quali atti fu formulata, da chi sottoscritta, con quale circolazione e quali effetti. È il modo corretto di trattare un'influenza straniera documentata: non come regia, ma come atto di cui si cercano la carta, la firma e il protocollo.</w:t>
      </w:r>
    </w:p>
    <w:p>
      <w:pPr>
        <w:spacing w:after="120" w:line="276"/>
        <w:jc w:val="both"/>
      </w:pPr>
      <w:r>
        <w:rPr>
          <w:rFonts w:ascii="Barlow Semi Condensed" w:cs="Barlow Semi Condensed" w:eastAsia="Barlow Semi Condensed" w:hAnsi="Barlow Semi Condensed"/>
          <w:b/>
          <w:bCs/>
          <w:sz w:val="24"/>
          <w:szCs w:val="24"/>
        </w:rPr>
        <w:t xml:space="preserve">2209 · Questione VII, dolo o inefficienza.</w:t>
      </w:r>
      <w:r>
        <w:rPr>
          <w:rFonts w:ascii="Barlow Semi Condensed" w:cs="Barlow Semi Condensed" w:eastAsia="Barlow Semi Condensed" w:hAnsi="Barlow Semi Condensed"/>
          <w:sz w:val="24"/>
          <w:szCs w:val="24"/>
        </w:rPr>
        <w:t xml:space="preserve"> Cronologia dei mancati rinvenimenti accertata in giudicato, analisi della Commissione su ritardi e omissioni al grado B, alternativa fra dolo e inefficienza lasciata indecisa: è la riga VII. La Parte terza avverte che sommare le negligenze finché la quantità dimostra il dolo è vietato dalla Regola di Ferro. Il divieto si estende: nemmeno la somma delle inefficienze italiane produce un mandante straniero.</w:t>
      </w:r>
    </w:p>
    <w:p>
      <w:pPr>
        <w:spacing w:after="120" w:line="276"/>
        <w:jc w:val="both"/>
      </w:pPr>
      <w:r>
        <w:rPr>
          <w:rFonts w:ascii="Barlow Semi Condensed" w:cs="Barlow Semi Condensed" w:eastAsia="Barlow Semi Condensed" w:hAnsi="Barlow Semi Condensed"/>
          <w:b/>
          <w:bCs/>
          <w:sz w:val="24"/>
          <w:szCs w:val="24"/>
        </w:rPr>
        <w:t xml:space="preserve">2210 · Questione VIII, e ciò che manca.</w:t>
      </w:r>
      <w:r>
        <w:rPr>
          <w:rFonts w:ascii="Barlow Semi Condensed" w:cs="Barlow Semi Condensed" w:eastAsia="Barlow Semi Condensed" w:hAnsi="Barlow Semi Condensed"/>
          <w:sz w:val="24"/>
          <w:szCs w:val="24"/>
        </w:rPr>
        <w:t xml:space="preserve"> Ritrovamenti del 1978 e del 1990 accertati, Memoriale come testo negoziato al grado B, e in colonna C ciò che manchi ancora, dichiarato indeterminato: è la riga VIII. Indeterminato è parola precisa — non ignoto, ma non delimitabile. Su un indeterminato non si costruiscono ipotesi di contenuto, e questa serie si vieta di sostenere che fra le carte perdute vi fosse alcunché relativo al versante atlantico.</w:t>
      </w:r>
    </w:p>
    <w:p>
      <w:pPr>
        <w:spacing w:after="120" w:line="276"/>
        <w:jc w:val="both"/>
      </w:pPr>
      <w:r>
        <w:rPr>
          <w:rFonts w:ascii="Barlow Semi Condensed" w:cs="Barlow Semi Condensed" w:eastAsia="Barlow Semi Condensed" w:hAnsi="Barlow Semi Condensed"/>
          <w:b/>
          <w:bCs/>
          <w:sz w:val="24"/>
          <w:szCs w:val="24"/>
        </w:rPr>
        <w:t xml:space="preserve">2211 · Questione IX, il cuore della serie.</w:t>
      </w:r>
      <w:r>
        <w:rPr>
          <w:rFonts w:ascii="Barlow Semi Condensed" w:cs="Barlow Semi Condensed" w:eastAsia="Barlow Semi Condensed" w:hAnsi="Barlow Semi Condensed"/>
          <w:sz w:val="24"/>
          <w:szCs w:val="24"/>
        </w:rPr>
        <w:t xml:space="preserve"> Territorio proprio di questa triangolazione, la riga IX dice tre cose: nessun giudicato, elementi acquisiti senza nesso causale stabilito, regia estera come congettura. La formula elementi acquisiti e nessun nesso causale stabilito è la definizione esatta del piano due della regola dei tre piani. Il corpus, senza adoperare quel lessico, aveva già collocato il versante dove va: convergenza di cornice, mai ponte.</w:t>
      </w:r>
    </w:p>
    <w:p>
      <w:pPr>
        <w:spacing w:after="120" w:line="276"/>
        <w:jc w:val="both"/>
      </w:pPr>
      <w:r>
        <w:rPr>
          <w:rFonts w:ascii="Barlow Semi Condensed" w:cs="Barlow Semi Condensed" w:eastAsia="Barlow Semi Condensed" w:hAnsi="Barlow Semi Condensed"/>
          <w:b/>
          <w:bCs/>
          <w:sz w:val="24"/>
          <w:szCs w:val="24"/>
        </w:rPr>
        <w:t xml:space="preserve">2212 · Questione X, la formula e il grado.</w:t>
      </w:r>
      <w:r>
        <w:rPr>
          <w:rFonts w:ascii="Barlow Semi Condensed" w:cs="Barlow Semi Condensed" w:eastAsia="Barlow Semi Condensed" w:hAnsi="Barlow Semi Condensed"/>
          <w:sz w:val="24"/>
          <w:szCs w:val="24"/>
        </w:rPr>
        <w:t xml:space="preserve"> Priva di colonna A, la riga X assegna al grado B la formula verità dicibile fatta propria dalla Commissione. Il blocco 932 dell'opera prima ne trae la conseguenza generale: la conferma parlamentare di una testimonianza non la promuove a fatto. Per il presunto avvertimento la conseguenza è netta — nemmeno una menzione nella relazione del 2017 lo sposterebbe dal grado B debole in cui la Nota di revisione lo tiene.</w:t>
      </w:r>
    </w:p>
    <w:p>
      <w:pPr>
        <w:spacing w:after="120" w:line="276"/>
        <w:jc w:val="both"/>
      </w:pPr>
      <w:r>
        <w:rPr>
          <w:rFonts w:ascii="Barlow Semi Condensed" w:cs="Barlow Semi Condensed" w:eastAsia="Barlow Semi Condensed" w:hAnsi="Barlow Semi Condensed"/>
          <w:b/>
          <w:bCs/>
          <w:sz w:val="24"/>
          <w:szCs w:val="24"/>
        </w:rPr>
        <w:t xml:space="preserve">2213 · Le colonne non si sommano.</w:t>
      </w:r>
      <w:r>
        <w:rPr>
          <w:rFonts w:ascii="Barlow Semi Condensed" w:cs="Barlow Semi Condensed" w:eastAsia="Barlow Semi Condensed" w:hAnsi="Barlow Semi Condensed"/>
          <w:sz w:val="24"/>
          <w:szCs w:val="24"/>
        </w:rPr>
        <w:t xml:space="preserve"> Regola di lettura della tavola, applicabile da chiunque la usi: le tre colonne di ogni riga non si sommano fra loro né si trasferiscono da riga a riga. Un B della riga VI non rafforza un C della riga IX, e otto C allineati non fanno un B. La tavola è un ordinamento di gradi, non una contabilità di indizi; leggerla come somma la converte nel proprio contrario.</w:t>
      </w:r>
    </w:p>
    <w:p>
      <w:pPr>
        <w:spacing w:after="120" w:line="276"/>
        <w:jc w:val="both"/>
      </w:pPr>
      <w:r>
        <w:rPr>
          <w:rFonts w:ascii="Barlow Semi Condensed" w:cs="Barlow Semi Condensed" w:eastAsia="Barlow Semi Condensed" w:hAnsi="Barlow Semi Condensed"/>
          <w:b/>
          <w:bCs/>
          <w:sz w:val="24"/>
          <w:szCs w:val="24"/>
        </w:rPr>
        <w:t xml:space="preserve">2214 · I tredici, e nessun altro.</w:t>
      </w:r>
      <w:r>
        <w:rPr>
          <w:rFonts w:ascii="Barlow Semi Condensed" w:cs="Barlow Semi Condensed" w:eastAsia="Barlow Semi Condensed" w:hAnsi="Barlow Semi Condensed"/>
          <w:sz w:val="24"/>
          <w:szCs w:val="24"/>
        </w:rPr>
        <w:t xml:space="preserve"> La Parte ottava dei nove cantieri, blocchi 791-880, porta a profondità documentale il registro dei tredici condannati definitivi, con la scheda a tre strati del blocco 804: anagrafe giudiziaria, parola pubblica, bersagli di ricerca. Il blocco 850 chiude la sezione con la formula che vale come regola per noi: si entra solo per giudicato. Il nome triangolato non vi è, perché non esiste la sentenza che ve lo iscriverebbe.</w:t>
      </w:r>
    </w:p>
    <w:p>
      <w:pPr>
        <w:spacing w:after="120" w:line="276"/>
        <w:jc w:val="both"/>
      </w:pPr>
      <w:r>
        <w:rPr>
          <w:rFonts w:ascii="Barlow Semi Condensed" w:cs="Barlow Semi Condensed" w:eastAsia="Barlow Semi Condensed" w:hAnsi="Barlow Semi Condensed"/>
          <w:b/>
          <w:bCs/>
          <w:sz w:val="24"/>
          <w:szCs w:val="24"/>
        </w:rPr>
        <w:t xml:space="preserve">2215 · Il registro cresce solo per giudicato.</w:t>
      </w:r>
      <w:r>
        <w:rPr>
          <w:rFonts w:ascii="Barlow Semi Condensed" w:cs="Barlow Semi Condensed" w:eastAsia="Barlow Semi Condensed" w:hAnsi="Barlow Semi Condensed"/>
          <w:sz w:val="24"/>
          <w:szCs w:val="24"/>
        </w:rPr>
        <w:t xml:space="preserve"> L'espressione è dei cantieri e ricorre ai blocchi 840 e 850. Ha una conseguenza che questa serie deve enunciare per intero: non esiste alcuna via per iscrivere nel registro un nome dopo la morte dell'interessato, avvenuta a Kent, nel Connecticut, il 29 novembre 2023. L'azione penale si estingue con la morte. Sul piano giudiziario la questione è chiusa per legge, non per insufficienza di prove.</w:t>
      </w:r>
    </w:p>
    <w:p>
      <w:pPr>
        <w:spacing w:after="120" w:line="276"/>
        <w:jc w:val="both"/>
      </w:pPr>
      <w:r>
        <w:rPr>
          <w:rFonts w:ascii="Barlow Semi Condensed" w:cs="Barlow Semi Condensed" w:eastAsia="Barlow Semi Condensed" w:hAnsi="Barlow Semi Condensed"/>
          <w:b/>
          <w:bCs/>
          <w:sz w:val="24"/>
          <w:szCs w:val="24"/>
        </w:rPr>
        <w:t xml:space="preserve">2216 · Il perimetro negativo del registro.</w:t>
      </w:r>
      <w:r>
        <w:rPr>
          <w:rFonts w:ascii="Barlow Semi Condensed" w:cs="Barlow Semi Condensed" w:eastAsia="Barlow Semi Condensed" w:hAnsi="Barlow Semi Condensed"/>
          <w:sz w:val="24"/>
          <w:szCs w:val="24"/>
        </w:rPr>
        <w:t xml:space="preserve"> Il blocco 846 dei cantieri chiede il censimento disciplinare di chi non è nel registro e del perché — assoluzioni, archiviazioni, mere congetture — senza nomi oltre gli atti pubblici che li contengono. È la sede naturale in cui la posizione qui triangolata andrebbe iscritta, con la motivazione esatta: mai imputato, mai processato, mai interrogato in sede penale, in alcun Paese e in alcun grado.</w:t>
      </w:r>
    </w:p>
    <w:p>
      <w:pPr>
        <w:spacing w:after="120" w:line="276"/>
        <w:jc w:val="both"/>
      </w:pPr>
      <w:r>
        <w:rPr>
          <w:rFonts w:ascii="Barlow Semi Condensed" w:cs="Barlow Semi Condensed" w:eastAsia="Barlow Semi Condensed" w:hAnsi="Barlow Semi Condensed"/>
          <w:b/>
          <w:bCs/>
          <w:sz w:val="24"/>
          <w:szCs w:val="24"/>
        </w:rPr>
        <w:t xml:space="preserve">2217 · Il registro chiuso e il fascicolo aperto.</w:t>
      </w:r>
      <w:r>
        <w:rPr>
          <w:rFonts w:ascii="Barlow Semi Condensed" w:cs="Barlow Semi Condensed" w:eastAsia="Barlow Semi Condensed" w:hAnsi="Barlow Semi Condensed"/>
          <w:sz w:val="24"/>
          <w:szCs w:val="24"/>
        </w:rPr>
        <w:t xml:space="preserve"> Il blocco 849 spiega la geometria giuridica del caso: il registro chiuso convive con un fascicolo aperto sulle presenze non giudicate, e i due non si toccano. Nessuna domanda del fascicolo riapre le posizioni giudicate; nessun giudicato limita le domande sulle presenze ignote. Ne discende che il versante internazionale è materia del fascicolo aperto e della ricerca storica, e non del registro dei nomi.</w:t>
      </w:r>
    </w:p>
    <w:p>
      <w:pPr>
        <w:spacing w:after="120" w:line="276"/>
        <w:jc w:val="both"/>
      </w:pPr>
      <w:r>
        <w:rPr>
          <w:rFonts w:ascii="Barlow Semi Condensed" w:cs="Barlow Semi Condensed" w:eastAsia="Barlow Semi Condensed" w:hAnsi="Barlow Semi Condensed"/>
          <w:b/>
          <w:bCs/>
          <w:sz w:val="24"/>
          <w:szCs w:val="24"/>
        </w:rPr>
        <w:t xml:space="preserve">2218 · Gli incarichi contro il calendario.</w:t>
      </w:r>
      <w:r>
        <w:rPr>
          <w:rFonts w:ascii="Barlow Semi Condensed" w:cs="Barlow Semi Condensed" w:eastAsia="Barlow Semi Condensed" w:hAnsi="Barlow Semi Condensed"/>
          <w:sz w:val="24"/>
          <w:szCs w:val="24"/>
        </w:rPr>
        <w:t xml:space="preserve"> Dato di anagrafe istituzionale, fissato dall'apparato K: assistente per la sicurezza nazionale dal 20 gennaio 1969 al 3 novembre 1975, Segretario di Stato dal 22 settembre 1973 al 20 gennaio 1977. Il sequestro corre dal 16 marzo al 9 maggio 1978. Nel periodo su cui i cinque processi hanno pronunciato, la persona triangolata non ricopriva alcuna carica pubblica. È un fatto: non un'attenuante, non un'aggravante.</w:t>
      </w:r>
    </w:p>
    <w:p>
      <w:pPr>
        <w:spacing w:after="120" w:line="276"/>
        <w:jc w:val="both"/>
      </w:pPr>
      <w:r>
        <w:rPr>
          <w:rFonts w:ascii="Barlow Semi Condensed" w:cs="Barlow Semi Condensed" w:eastAsia="Barlow Semi Condensed" w:hAnsi="Barlow Semi Condensed"/>
          <w:b/>
          <w:bCs/>
          <w:sz w:val="24"/>
          <w:szCs w:val="24"/>
        </w:rPr>
        <w:t xml:space="preserve">2219 · L'anagrafe, con la sua divergenza.</w:t>
      </w:r>
      <w:r>
        <w:rPr>
          <w:rFonts w:ascii="Barlow Semi Condensed" w:cs="Barlow Semi Condensed" w:eastAsia="Barlow Semi Condensed" w:hAnsi="Barlow Semi Condensed"/>
          <w:sz w:val="24"/>
          <w:szCs w:val="24"/>
        </w:rPr>
        <w:t xml:space="preserve"> Heinz Alfred Kissinger, Fürth 27 maggio 1923, morto a Kent, nel Connecticut, il 29 novembre 2023. La data dell'anglicizzazione resta contesa: le opere di consultazione dicono 1938 senza documenti, il fascicolo d'immigrazione la colloca al 1942-1943. La divergenza si riporta anche qui, dove sembra irrilevante, perché il primo strato della scheda del blocco 804 è l'anagrafe, e un'anagrafe con una casella contesa si dichiara tale.</w:t>
      </w:r>
    </w:p>
    <w:p>
      <w:pPr>
        <w:spacing w:after="120" w:line="276"/>
        <w:jc w:val="both"/>
      </w:pPr>
      <w:r>
        <w:rPr>
          <w:rFonts w:ascii="Barlow Semi Condensed" w:cs="Barlow Semi Condensed" w:eastAsia="Barlow Semi Condensed" w:hAnsi="Barlow Semi Condensed"/>
          <w:b/>
          <w:bCs/>
          <w:sz w:val="24"/>
          <w:szCs w:val="24"/>
        </w:rPr>
        <w:t xml:space="preserve">2220 · Tre strati fuori dal registro.</w:t>
      </w:r>
      <w:r>
        <w:rPr>
          <w:rFonts w:ascii="Barlow Semi Condensed" w:cs="Barlow Semi Condensed" w:eastAsia="Barlow Semi Condensed" w:hAnsi="Barlow Semi Condensed"/>
          <w:sz w:val="24"/>
          <w:szCs w:val="24"/>
        </w:rPr>
        <w:t xml:space="preserve"> Il metodo del blocco 804 si può applicare a chi nel registro non è, purché il primo strato cambi nome: non anagrafe giudiziaria ma anagrafe delle posizioni processuali, che in questo caso è vuota. Restano il secondo strato — la parola pubblica censita e datata, comprese le smentite del 1983 e del 2023 — e il terzo, i bersagli. Uno strato vuoto, dichiarato, vale quanto uno pieno.</w:t>
      </w:r>
    </w:p>
    <w:p>
      <w:pPr>
        <w:spacing w:after="120" w:line="276"/>
        <w:jc w:val="both"/>
      </w:pPr>
      <w:r>
        <w:rPr>
          <w:rFonts w:ascii="Barlow Semi Condensed" w:cs="Barlow Semi Condensed" w:eastAsia="Barlow Semi Condensed" w:hAnsi="Barlow Semi Condensed"/>
          <w:b/>
          <w:bCs/>
          <w:sz w:val="24"/>
          <w:szCs w:val="24"/>
        </w:rPr>
        <w:t xml:space="preserve">2221 · La regola Algranati, letta all'incontrario.</w:t>
      </w:r>
      <w:r>
        <w:rPr>
          <w:rFonts w:ascii="Barlow Semi Condensed" w:cs="Barlow Semi Condensed" w:eastAsia="Barlow Semi Condensed" w:hAnsi="Barlow Semi Condensed"/>
          <w:sz w:val="24"/>
          <w:szCs w:val="24"/>
        </w:rPr>
        <w:t xml:space="preserve"> Il blocco 968 dell'opera prima ricorda che Rita Algranati fu assolta in via definitiva per via Fani e che ricostruzioni di grado B o C non scavalcano un'assoluzione passata in giudicato. La regola protegge chi il racconto pubblico vorrebbe dentro il registro. Letta all'incontrario protegge anche chi non fu mai processato: se non si scavalca un'assoluzione, a maggior ragione non si scavalca l'assenza di un procedimento.</w:t>
      </w:r>
    </w:p>
    <w:p>
      <w:pPr>
        <w:spacing w:after="120" w:line="276"/>
        <w:jc w:val="both"/>
      </w:pPr>
      <w:r>
        <w:rPr>
          <w:rFonts w:ascii="Barlow Semi Condensed" w:cs="Barlow Semi Condensed" w:eastAsia="Barlow Semi Condensed" w:hAnsi="Barlow Semi Condensed"/>
          <w:b/>
          <w:bCs/>
          <w:sz w:val="24"/>
          <w:szCs w:val="24"/>
        </w:rPr>
        <w:t xml:space="preserve">2222 · Il principio personalistico, e la dottrina.</w:t>
      </w:r>
      <w:r>
        <w:rPr>
          <w:rFonts w:ascii="Barlow Semi Condensed" w:cs="Barlow Semi Condensed" w:eastAsia="Barlow Semi Condensed" w:hAnsi="Barlow Semi Condensed"/>
          <w:sz w:val="24"/>
          <w:szCs w:val="24"/>
        </w:rPr>
        <w:t xml:space="preserve"> Il documento aldo-moro-una-guerra-senza-fine-fase-decima-responsabilita-personali.md fonda sul principio personalistico il divieto di far rispondere qualcuno per altri, e la triangolazione dei tredici lo applica al caso Casimirri: la parentela non è canale, la famiglia non risponde del figlio. Lo stesso principio, trasferito a una dottrina o a un ufficio, vieta di far rispondere una persona di ciò che il suo apparato produsse altrove e prima.</w:t>
      </w:r>
    </w:p>
    <w:p>
      <w:pPr>
        <w:spacing w:after="120" w:line="276"/>
        <w:jc w:val="both"/>
      </w:pPr>
      <w:r>
        <w:rPr>
          <w:rFonts w:ascii="Barlow Semi Condensed" w:cs="Barlow Semi Condensed" w:eastAsia="Barlow Semi Condensed" w:hAnsi="Barlow Semi Condensed"/>
          <w:b/>
          <w:bCs/>
          <w:sz w:val="24"/>
          <w:szCs w:val="24"/>
        </w:rPr>
        <w:t xml:space="preserve">2223 · Nessun nome oltre il giudicato.</w:t>
      </w:r>
      <w:r>
        <w:rPr>
          <w:rFonts w:ascii="Barlow Semi Condensed" w:cs="Barlow Semi Condensed" w:eastAsia="Barlow Semi Condensed" w:hAnsi="Barlow Semi Condensed"/>
          <w:sz w:val="24"/>
          <w:szCs w:val="24"/>
        </w:rPr>
        <w:t xml:space="preserve"> Il capitolo 76 della Fase nona elenca ciò che il repertorio rifiuta di contenere: graduatorie di responsabili oltre il giudicato, nomi di viventi come colpevoli di ciò per cui non furono condannati, congetture spacciate per gradi superiori. La Fase settima applica lo stesso divieto allo strato giudiziario. Questa serie lo eredita per intero e non aggiunge, in ottanta blocchi, un solo nome a quelli che le sentenze hanno scritto.</w:t>
      </w:r>
    </w:p>
    <w:p>
      <w:pPr>
        <w:spacing w:after="120" w:line="276"/>
        <w:jc w:val="both"/>
      </w:pPr>
      <w:r>
        <w:rPr>
          <w:rFonts w:ascii="Barlow Semi Condensed" w:cs="Barlow Semi Condensed" w:eastAsia="Barlow Semi Condensed" w:hAnsi="Barlow Semi Condensed"/>
          <w:b/>
          <w:bCs/>
          <w:sz w:val="24"/>
          <w:szCs w:val="24"/>
        </w:rPr>
        <w:t xml:space="preserve">2224 · Che cosa produrrebbe un piano uno.</w:t>
      </w:r>
      <w:r>
        <w:rPr>
          <w:rFonts w:ascii="Barlow Semi Condensed" w:cs="Barlow Semi Condensed" w:eastAsia="Barlow Semi Condensed" w:hAnsi="Barlow Semi Condensed"/>
          <w:sz w:val="24"/>
          <w:szCs w:val="24"/>
        </w:rPr>
        <w:t xml:space="preserve"> Enunciarlo è più utile che ripetere il divieto. Un ponte di piano uno, in questo territorio, sarebbe un atto processuale o parlamentare italiano che documenti un rapporto diretto: una rogatoria con esito, un verbale d'interrogatorio, un documento acquisito agli atti dei cinque processi che nomini la controparte. Nessuno dei tre risulta esistere. Il test dell'omologia è questo e soltanto questo: un documento di provenienza.</w:t>
      </w:r>
    </w:p>
    <w:p>
      <w:pPr>
        <w:spacing w:after="120" w:line="276"/>
        <w:jc w:val="both"/>
      </w:pPr>
      <w:r>
        <w:rPr>
          <w:rFonts w:ascii="Barlow Semi Condensed" w:cs="Barlow Semi Condensed" w:eastAsia="Barlow Semi Condensed" w:hAnsi="Barlow Semi Condensed"/>
          <w:b/>
          <w:bCs/>
          <w:sz w:val="24"/>
          <w:szCs w:val="24"/>
        </w:rPr>
        <w:t xml:space="preserve">2225 · La cornice atlantica, e il suo grado.</w:t>
      </w:r>
      <w:r>
        <w:rPr>
          <w:rFonts w:ascii="Barlow Semi Condensed" w:cs="Barlow Semi Condensed" w:eastAsia="Barlow Semi Condensed" w:hAnsi="Barlow Semi Condensed"/>
          <w:sz w:val="24"/>
          <w:szCs w:val="24"/>
        </w:rPr>
        <w:t xml:space="preserve"> La Parte terza accerta come contesto l'ostilità di settori dell'alleanza atlantica all'ingresso dei comunisti nell'area di governo, e vieta il salto dal contesto alla catena di comando. È la definizione operativa del piano due, convergenza entro la stessa cornice. Quella cornice era condivisa da decine di soggetti fra loro estranei, come osserva il blocco 853 dell'opera prima: un tratto troppo diffuso non raggruppa nulla.</w:t>
      </w:r>
    </w:p>
    <w:p>
      <w:pPr>
        <w:spacing w:after="120" w:line="276"/>
        <w:jc w:val="both"/>
      </w:pPr>
      <w:r>
        <w:rPr>
          <w:rFonts w:ascii="Barlow Semi Condensed" w:cs="Barlow Semi Condensed" w:eastAsia="Barlow Semi Condensed" w:hAnsi="Barlow Semi Condensed"/>
          <w:b/>
          <w:bCs/>
          <w:sz w:val="24"/>
          <w:szCs w:val="24"/>
        </w:rPr>
        <w:t xml:space="preserve">2226 · Il lancio del 30 novembre 2023.</w:t>
      </w:r>
      <w:r>
        <w:rPr>
          <w:rFonts w:ascii="Barlow Semi Condensed" w:cs="Barlow Semi Condensed" w:eastAsia="Barlow Semi Condensed" w:hAnsi="Barlow Semi Condensed"/>
          <w:sz w:val="24"/>
          <w:szCs w:val="24"/>
        </w:rPr>
        <w:t xml:space="preserve"> Il piano tre ha, in questo territorio, una data precisa. La Nota di revisione numero due, al punto sette, accerta che le decine di riprese pressoché identiche dell'episodio risalgono a un unico lancio d'agenzia del 30 novembre 2023, e che il rilancio internazionale del 1982 proviene da una pubblicazione di orientamento cospirazionista, citabile come dato di circolazione e mai come riscontro autonomo.</w:t>
      </w:r>
    </w:p>
    <w:p>
      <w:pPr>
        <w:spacing w:after="120" w:line="276"/>
        <w:jc w:val="both"/>
      </w:pPr>
      <w:r>
        <w:rPr>
          <w:rFonts w:ascii="Barlow Semi Condensed" w:cs="Barlow Semi Condensed" w:eastAsia="Barlow Semi Condensed" w:hAnsi="Barlow Semi Condensed"/>
          <w:b/>
          <w:bCs/>
          <w:sz w:val="24"/>
          <w:szCs w:val="24"/>
        </w:rPr>
        <w:t xml:space="preserve">2227 · La pseudoreplica davanti al giudice.</w:t>
      </w:r>
      <w:r>
        <w:rPr>
          <w:rFonts w:ascii="Barlow Semi Condensed" w:cs="Barlow Semi Condensed" w:eastAsia="Barlow Semi Condensed" w:hAnsi="Barlow Semi Condensed"/>
          <w:sz w:val="24"/>
          <w:szCs w:val="24"/>
        </w:rPr>
        <w:t xml:space="preserve"> Il blocco 882 dell'opera prima chiama pseudoreplica il conteggio di misure non indipendenti come se lo fossero. Il registro giudiziario conosce la stessa insidia sotto altro nome: la testimonianza de relato che risale a una fonte unica non si moltiplica per il numero di chi la riferisce. Una copia non è un riscontro, in archivio come in dibattimento, e il verbale d'udienza è dove la catena si verifica.</w:t>
      </w:r>
    </w:p>
    <w:p>
      <w:pPr>
        <w:spacing w:after="120" w:line="276"/>
        <w:jc w:val="both"/>
      </w:pPr>
      <w:r>
        <w:rPr>
          <w:rFonts w:ascii="Barlow Semi Condensed" w:cs="Barlow Semi Condensed" w:eastAsia="Barlow Semi Condensed" w:hAnsi="Barlow Semi Condensed"/>
          <w:b/>
          <w:bCs/>
          <w:sz w:val="24"/>
          <w:szCs w:val="24"/>
        </w:rPr>
        <w:t xml:space="preserve">2228 · Omologia e analogia nel registro.</w:t>
      </w:r>
      <w:r>
        <w:rPr>
          <w:rFonts w:ascii="Barlow Semi Condensed" w:cs="Barlow Semi Condensed" w:eastAsia="Barlow Semi Condensed" w:hAnsi="Barlow Semi Condensed"/>
          <w:sz w:val="24"/>
          <w:szCs w:val="24"/>
        </w:rPr>
        <w:t xml:space="preserve"> Il test resta uno: un documento di provenienza che nomini la controparte. Dalla somiglianza fra ciò che accadde a Moro e ciò che accadde altrove non discende alcun antenato comune, e i cinque processi non hanno accertato nulla di simile. Il blocco 852 dell'opera prima fissa la traduzione: omologia è piano uno, analogia è piano due, e confonderle genera quasi per intero la pubblicistica atlantica sul caso.</w:t>
      </w:r>
    </w:p>
    <w:p>
      <w:pPr>
        <w:spacing w:after="120" w:line="276"/>
        <w:jc w:val="both"/>
      </w:pPr>
      <w:r>
        <w:rPr>
          <w:rFonts w:ascii="Barlow Semi Condensed" w:cs="Barlow Semi Condensed" w:eastAsia="Barlow Semi Condensed" w:hAnsi="Barlow Semi Condensed"/>
          <w:b/>
          <w:bCs/>
          <w:sz w:val="24"/>
          <w:szCs w:val="24"/>
        </w:rPr>
        <w:t xml:space="preserve">2229 · L'anteriorità come anti-nesso (serie XXIX).</w:t>
      </w:r>
      <w:r>
        <w:rPr>
          <w:rFonts w:ascii="Barlow Semi Condensed" w:cs="Barlow Semi Condensed" w:eastAsia="Barlow Semi Condensed" w:hAnsi="Barlow Semi Condensed"/>
          <w:sz w:val="24"/>
          <w:szCs w:val="24"/>
        </w:rPr>
        <w:t xml:space="preserve"> Il blocco 867 dell'opera prima porta l'esempio più netto: la riunione del Comitato dei 303 dell'11 marzo 1969, edita in FRUS volume XLI documento 180, precede l'ingresso di Moro alla Farnesina e si chiuse all'unanimità nel senso di non riprendere il finanziamento coperto. Non c'è coincidenza, c'è precedenza. Una causa non si colloca dopo il proprio effetto, e nemmeno nove anni prima con altri protagonisti.</w:t>
      </w:r>
    </w:p>
    <w:p>
      <w:pPr>
        <w:spacing w:after="120" w:line="276"/>
        <w:jc w:val="both"/>
      </w:pPr>
      <w:r>
        <w:rPr>
          <w:rFonts w:ascii="Barlow Semi Condensed" w:cs="Barlow Semi Condensed" w:eastAsia="Barlow Semi Condensed" w:hAnsi="Barlow Semi Condensed"/>
          <w:b/>
          <w:bCs/>
          <w:sz w:val="24"/>
          <w:szCs w:val="24"/>
        </w:rPr>
        <w:t xml:space="preserve">2230 · Il verbale del 1974 davanti al registro.</w:t>
      </w:r>
      <w:r>
        <w:rPr>
          <w:rFonts w:ascii="Barlow Semi Condensed" w:cs="Barlow Semi Condensed" w:eastAsia="Barlow Semi Condensed" w:hAnsi="Barlow Semi Condensed"/>
          <w:sz w:val="24"/>
          <w:szCs w:val="24"/>
        </w:rPr>
        <w:t xml:space="preserve"> Il memorandum dello Studio Ovale del 25 settembre 1974 — Leone, Moro, Ford, Kissinger, Scowcroft; FRUS 1969-1976 volume E-15 parte seconda documento 350, seconda edizione riveduta; Ford Library file 1552802 — attesta la posizione sul non poter scambiare informazioni militari con un governo comprendente i comunisti e non contiene alcun ultimatum personale. Non risulta acquisito agli atti di alcuno dei cinque processi Moro.</w:t>
      </w:r>
    </w:p>
    <w:p>
      <w:pPr>
        <w:spacing w:after="120" w:line="276"/>
        <w:jc w:val="both"/>
      </w:pPr>
      <w:r>
        <w:rPr>
          <w:rFonts w:ascii="Barlow Semi Condensed" w:cs="Barlow Semi Condensed" w:eastAsia="Barlow Semi Condensed" w:hAnsi="Barlow Semi Condensed"/>
          <w:b/>
          <w:bCs/>
          <w:sz w:val="24"/>
          <w:szCs w:val="24"/>
        </w:rPr>
        <w:t xml:space="preserve">2231 · Il documento del giorno dopo (serie XXIX).</w:t>
      </w:r>
      <w:r>
        <w:rPr>
          <w:rFonts w:ascii="Barlow Semi Condensed" w:cs="Barlow Semi Condensed" w:eastAsia="Barlow Semi Condensed" w:hAnsi="Barlow Semi Condensed"/>
          <w:sz w:val="24"/>
          <w:szCs w:val="24"/>
        </w:rPr>
        <w:t xml:space="preserve"> Il blocco 863 dell'opera prima segnala che il verbale dell'incontro del 26 settembre 1974 è disponibile alla Ford Library come documento 1552806 e appartiene al medesimo lotto, ma non è stato spogliato. È un bersaglio aperto e va indicato come tale, invece di essere citato come se fosse letto. Chi lo spoglierà dichiari l'esito qualunque sia: anche un verbale che non contenga nulla è un'acquisizione.</w:t>
      </w:r>
    </w:p>
    <w:p>
      <w:pPr>
        <w:spacing w:after="120" w:line="276"/>
        <w:jc w:val="both"/>
      </w:pPr>
      <w:r>
        <w:rPr>
          <w:rFonts w:ascii="Barlow Semi Condensed" w:cs="Barlow Semi Condensed" w:eastAsia="Barlow Semi Condensed" w:hAnsi="Barlow Semi Condensed"/>
          <w:b/>
          <w:bCs/>
          <w:sz w:val="24"/>
          <w:szCs w:val="24"/>
        </w:rPr>
        <w:t xml:space="preserve">2232 · Lo Stato Zero, con le sue sedi.</w:t>
      </w:r>
      <w:r>
        <w:rPr>
          <w:rFonts w:ascii="Barlow Semi Condensed" w:cs="Barlow Semi Condensed" w:eastAsia="Barlow Semi Condensed" w:hAnsi="Barlow Semi Condensed"/>
          <w:sz w:val="24"/>
          <w:szCs w:val="24"/>
        </w:rPr>
        <w:t xml:space="preserve"> Il capitolo 54 della Fase sesta iscrive fra gli Stati Zero il documento che leghi Kissinger-persona, o qualunque apparato straniero nominato, alla catena di comando del delitto: cercato e non trovato. La disciplina delle assenze impone di indicare le sedi. Per questo territorio sono tre: la cancelleria della Corte d'assise di Roma, l'Archivio storico della Camera, l'Archivio storico del Senato. Nessuna delle tre è stata esaurita.</w:t>
      </w:r>
    </w:p>
    <w:p>
      <w:pPr>
        <w:spacing w:after="120" w:line="276"/>
        <w:jc w:val="both"/>
      </w:pPr>
      <w:r>
        <w:rPr>
          <w:rFonts w:ascii="Barlow Semi Condensed" w:cs="Barlow Semi Condensed" w:eastAsia="Barlow Semi Condensed" w:hAnsi="Barlow Semi Condensed"/>
          <w:b/>
          <w:bCs/>
          <w:sz w:val="24"/>
          <w:szCs w:val="24"/>
        </w:rPr>
        <w:t xml:space="preserve">2233 · Il limite dichiarato, ancora aperto.</w:t>
      </w:r>
      <w:r>
        <w:rPr>
          <w:rFonts w:ascii="Barlow Semi Condensed" w:cs="Barlow Semi Condensed" w:eastAsia="Barlow Semi Condensed" w:hAnsi="Barlow Semi Condensed"/>
          <w:sz w:val="24"/>
          <w:szCs w:val="24"/>
        </w:rPr>
        <w:t xml:space="preserve"> L'apparato K, alla voce K-5, dichiara che la campagna non ha potuto leggere i documenti primari: non i resoconti stenografici della Commissione, non i verbali d'udienza del processo. Le date confermate lo sono per convergenza di fonti secondarie e restano da riscontrare sui testi ufficiali. Questa serie eredita quel limite e lo ripete, perché un apparato che tace i propri limiti vale meno di quello che li dichiara.</w:t>
      </w:r>
    </w:p>
    <w:p>
      <w:pPr>
        <w:spacing w:after="120" w:line="276"/>
        <w:jc w:val="both"/>
      </w:pPr>
      <w:r>
        <w:rPr>
          <w:rFonts w:ascii="Barlow Semi Condensed" w:cs="Barlow Semi Condensed" w:eastAsia="Barlow Semi Condensed" w:hAnsi="Barlow Semi Condensed"/>
          <w:b/>
          <w:bCs/>
          <w:sz w:val="24"/>
          <w:szCs w:val="24"/>
        </w:rPr>
        <w:t xml:space="preserve">2234 · Che cosa falsificherebbe questa serie.</w:t>
      </w:r>
      <w:r>
        <w:rPr>
          <w:rFonts w:ascii="Barlow Semi Condensed" w:cs="Barlow Semi Condensed" w:eastAsia="Barlow Semi Condensed" w:hAnsi="Barlow Semi Condensed"/>
          <w:sz w:val="24"/>
          <w:szCs w:val="24"/>
        </w:rPr>
        <w:t xml:space="preserve"> Due cose, e vanno scritte prima di chiudere. Primo: la comparsa, negli atti dei cinque processi o nei fondi delle tre Commissioni, di un documento che nomini la persona come parte di un rapporto operativo; allora un piano uno esisterebbe e questa serie avrebbe sbagliato per difetto. Secondo: l'attribuzione, in un qualunque blocco qui scritto, di una condotta oltre il giudicato; allora avrebbe sbagliato per eccesso.</w:t>
      </w:r>
    </w:p>
    <w:p>
      <w:pPr>
        <w:spacing w:after="120" w:line="276"/>
        <w:jc w:val="both"/>
      </w:pPr>
      <w:r>
        <w:rPr>
          <w:rFonts w:ascii="Barlow Semi Condensed" w:cs="Barlow Semi Condensed" w:eastAsia="Barlow Semi Condensed" w:hAnsi="Barlow Semi Condensed"/>
          <w:b/>
          <w:bCs/>
          <w:sz w:val="24"/>
          <w:szCs w:val="24"/>
        </w:rPr>
        <w:t xml:space="preserve">2235 · La mappa dei confini provati.</w:t>
      </w:r>
      <w:r>
        <w:rPr>
          <w:rFonts w:ascii="Barlow Semi Condensed" w:cs="Barlow Semi Condensed" w:eastAsia="Barlow Semi Condensed" w:hAnsi="Barlow Semi Condensed"/>
          <w:sz w:val="24"/>
          <w:szCs w:val="24"/>
        </w:rPr>
        <w:t xml:space="preserve"> Il congedo del capitolo 61 dice che il caso, dopo cinque processi e due Commissioni, ha un pavimento solido di fatti accertati e un soffitto aperto di questioni documentate, e che riconoscere dove passa la linea è tutto ciò che un'opera onesta può fare. Ottanta blocchi dopo, il bilancio è coerente: un solo contatto documentato, una deposizione indiretta del 1982, e per il resto assenze dichiarate con la loro sede.</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Serie trentesima — Il repertorio del caso</w:t>
      </w:r>
    </w:p>
    <w:p>
      <w:pPr>
        <w:spacing w:after="120" w:line="276"/>
        <w:jc w:val="both"/>
      </w:pPr>
      <w:r>
        <w:rPr>
          <w:rFonts w:ascii="Barlow Semi Condensed" w:cs="Barlow Semi Condensed" w:eastAsia="Barlow Semi Condensed" w:hAnsi="Barlow Semi Condensed"/>
          <w:i/>
          <w:iCs/>
          <w:sz w:val="24"/>
          <w:szCs w:val="24"/>
        </w:rPr>
        <w:t xml:space="preserve">Blocchi 2236-2310.</w:t>
      </w:r>
    </w:p>
    <w:p>
      <w:pPr>
        <w:spacing w:after="120" w:line="276"/>
        <w:jc w:val="both"/>
      </w:pPr>
      <w:r>
        <w:rPr>
          <w:rFonts w:ascii="Barlow Semi Condensed" w:cs="Barlow Semi Condensed" w:eastAsia="Barlow Semi Condensed" w:hAnsi="Barlow Semi Condensed"/>
          <w:b/>
          <w:bCs/>
          <w:sz w:val="24"/>
          <w:szCs w:val="24"/>
        </w:rPr>
        <w:t xml:space="preserve">2236 · Un nome, un'occorrenza sola.</w:t>
      </w:r>
      <w:r>
        <w:rPr>
          <w:rFonts w:ascii="Barlow Semi Condensed" w:cs="Barlow Semi Condensed" w:eastAsia="Barlow Semi Condensed" w:hAnsi="Barlow Semi Condensed"/>
          <w:sz w:val="24"/>
          <w:szCs w:val="24"/>
        </w:rPr>
        <w:t xml:space="preserve"> Il conteggio è il primo accertamento della serie e si verifica in un minuto: nel testo della Fase nona il nome Kissinger ricorre una volta soltanto, al capitolo settantaquattresimo, dentro la voce dedicata alla famiglia, in un inciso fra parentesi che rinvia al nodo M-5 di triangolazioni-guevara-moro.md. Nessun'altra ricorrenza nei nove capitoli. Grado dell'accertamento: pieno, perché è misura del testo e non del mondo.</w:t>
      </w:r>
    </w:p>
    <w:p>
      <w:pPr>
        <w:spacing w:after="120" w:line="276"/>
        <w:jc w:val="both"/>
      </w:pPr>
      <w:r>
        <w:rPr>
          <w:rFonts w:ascii="Barlow Semi Condensed" w:cs="Barlow Semi Condensed" w:eastAsia="Barlow Semi Condensed" w:hAnsi="Barlow Semi Condensed"/>
          <w:b/>
          <w:bCs/>
          <w:sz w:val="24"/>
          <w:szCs w:val="24"/>
        </w:rPr>
        <w:t xml:space="preserve">2237 · La scala senza lo Stato Zero.</w:t>
      </w:r>
      <w:r>
        <w:rPr>
          <w:rFonts w:ascii="Barlow Semi Condensed" w:cs="Barlow Semi Condensed" w:eastAsia="Barlow Semi Condensed" w:hAnsi="Barlow Semi Condensed"/>
          <w:sz w:val="24"/>
          <w:szCs w:val="24"/>
        </w:rPr>
        <w:t xml:space="preserve"> Lo statuto premesso al repertorio dichiara quattro gradi — A giudicato, B accertamento, C congettura, F fatto pubblico — e non contempla il segno della Fase sesta, dove il capitolo cinquantaquattresimo iscrive fra gli Stati Zero proprio il documento che legherebbe Kissinger-persona alla catena di comando del delitto. La scala del repertorio non ha dunque casella per lo stato in cui questo nome si trova. Lacuna di strumento, non di ricerca.</w:t>
      </w:r>
    </w:p>
    <w:p>
      <w:pPr>
        <w:spacing w:after="120" w:line="276"/>
        <w:jc w:val="both"/>
      </w:pPr>
      <w:r>
        <w:rPr>
          <w:rFonts w:ascii="Barlow Semi Condensed" w:cs="Barlow Semi Condensed" w:eastAsia="Barlow Semi Condensed" w:hAnsi="Barlow Semi Condensed"/>
          <w:b/>
          <w:bCs/>
          <w:sz w:val="24"/>
          <w:szCs w:val="24"/>
        </w:rPr>
        <w:t xml:space="preserve">2238 · Emendare il repertorio per nota.</w:t>
      </w:r>
      <w:r>
        <w:rPr>
          <w:rFonts w:ascii="Barlow Semi Condensed" w:cs="Barlow Semi Condensed" w:eastAsia="Barlow Semi Condensed" w:hAnsi="Barlow Semi Condensed"/>
          <w:sz w:val="24"/>
          <w:szCs w:val="24"/>
        </w:rPr>
        <w:t xml:space="preserve"> Rimedio proposto, nella forma che l'opera usa per correggersi senza riscritture silenziose: si aggiunga allo statuto della Fase nona una quinta voce, definita come ricerca condotta e chiusa in negativo, con obbligo di indicare accanto la sede d'archivio che la chiuderebbe. Il capitolo settantacinquesimo diventerebbe così capace di ospitare il versante internazionale per quello che è, invece di lasciarlo tutto dentro la lettera C.</w:t>
      </w:r>
    </w:p>
    <w:p>
      <w:pPr>
        <w:spacing w:after="120" w:line="276"/>
        <w:jc w:val="both"/>
      </w:pPr>
      <w:r>
        <w:rPr>
          <w:rFonts w:ascii="Barlow Semi Condensed" w:cs="Barlow Semi Condensed" w:eastAsia="Barlow Semi Condensed" w:hAnsi="Barlow Semi Condensed"/>
          <w:b/>
          <w:bCs/>
          <w:sz w:val="24"/>
          <w:szCs w:val="24"/>
        </w:rPr>
        <w:t xml:space="preserve">2239 · Il perimetro che esclude il documento.</w:t>
      </w:r>
      <w:r>
        <w:rPr>
          <w:rFonts w:ascii="Barlow Semi Condensed" w:cs="Barlow Semi Condensed" w:eastAsia="Barlow Semi Condensed" w:hAnsi="Barlow Semi Condensed"/>
          <w:sz w:val="24"/>
          <w:szCs w:val="24"/>
        </w:rPr>
        <w:t xml:space="preserve"> Si apre il repertorio il sedici marzo millenovecentosettantotto e si chiude il tredici maggio. L'unico atto di piano uno che metta Moro e Kissinger nella stessa stanza, il memorandum dello Studio Ovale del venticinque settembre millenovecentosettantaquattro, file 1552802 della Ford Library e documento 350 di FRUS E-15 parte seconda, cade quattro anni prima di quel perimetro. Territorio e documento non si intersecano: è dato di calendario, non giudizio.</w:t>
      </w:r>
    </w:p>
    <w:p>
      <w:pPr>
        <w:spacing w:after="120" w:line="276"/>
        <w:jc w:val="both"/>
      </w:pPr>
      <w:r>
        <w:rPr>
          <w:rFonts w:ascii="Barlow Semi Condensed" w:cs="Barlow Semi Condensed" w:eastAsia="Barlow Semi Condensed" w:hAnsi="Barlow Semi Condensed"/>
          <w:b/>
          <w:bCs/>
          <w:sz w:val="24"/>
          <w:szCs w:val="24"/>
        </w:rPr>
        <w:t xml:space="preserve">2240 · Che cosa cataloga un repertorio.</w:t>
      </w:r>
      <w:r>
        <w:rPr>
          <w:rFonts w:ascii="Barlow Semi Condensed" w:cs="Barlow Semi Condensed" w:eastAsia="Barlow Semi Condensed" w:hAnsi="Barlow Semi Condensed"/>
          <w:sz w:val="24"/>
          <w:szCs w:val="24"/>
        </w:rPr>
        <w:t xml:space="preserve"> Regola di lettura che governa l'intera serie: un repertorio registra voci, non nessi. Quando il capitolo settantaquattresimo scrive «l'avvertimento di Kissinger riferito», il soggetto della voce è la testimonianza resa dalla famiglia, non l'uomo nominato. Chi legge quell'inciso come una scheda su Kissinger commette un errore di catalogo prima ancora che di storia: il nome vi compare come predicato del racconto altrui, e in nessun altro modo.</w:t>
      </w:r>
    </w:p>
    <w:p>
      <w:pPr>
        <w:spacing w:after="120" w:line="276"/>
        <w:jc w:val="both"/>
      </w:pPr>
      <w:r>
        <w:rPr>
          <w:rFonts w:ascii="Barlow Semi Condensed" w:cs="Barlow Semi Condensed" w:eastAsia="Barlow Semi Condensed" w:hAnsi="Barlow Semi Condensed"/>
          <w:b/>
          <w:bCs/>
          <w:sz w:val="24"/>
          <w:szCs w:val="24"/>
        </w:rPr>
        <w:t xml:space="preserve">2241 · L'elenco chiuso degli autori accertati.</w:t>
      </w:r>
      <w:r>
        <w:rPr>
          <w:rFonts w:ascii="Barlow Semi Condensed" w:cs="Barlow Semi Condensed" w:eastAsia="Barlow Semi Condensed" w:hAnsi="Barlow Semi Condensed"/>
          <w:sz w:val="24"/>
          <w:szCs w:val="24"/>
        </w:rPr>
        <w:t xml:space="preserve"> Chiude l'elenco del capitolo settantesimo una clausola perentoria: oltre quei nomi il repertorio non ne aggiunge. È la disposizione che, meglio di ogni cautela, impedisce la promozione del nome triangolato. Bersaglio di smentita, formulato per intero: cadrebbe soltanto davanti a una sentenza definitiva, italiana o straniera, che attribuisse a un'autorità estera una condotta nel sequestro o nell'eccidio. Nessuna esiste, in nessun grado, in nessun Paese.</w:t>
      </w:r>
    </w:p>
    <w:p>
      <w:pPr>
        <w:spacing w:after="120" w:line="276"/>
        <w:jc w:val="both"/>
      </w:pPr>
      <w:r>
        <w:rPr>
          <w:rFonts w:ascii="Barlow Semi Condensed" w:cs="Barlow Semi Condensed" w:eastAsia="Barlow Semi Condensed" w:hAnsi="Barlow Semi Condensed"/>
          <w:b/>
          <w:bCs/>
          <w:sz w:val="24"/>
          <w:szCs w:val="24"/>
        </w:rPr>
        <w:t xml:space="preserve">2242 · Il testimone che il repertorio non cataloga.</w:t>
      </w:r>
      <w:r>
        <w:rPr>
          <w:rFonts w:ascii="Barlow Semi Condensed" w:cs="Barlow Semi Condensed" w:eastAsia="Barlow Semi Condensed" w:hAnsi="Barlow Semi Condensed"/>
          <w:sz w:val="24"/>
          <w:szCs w:val="24"/>
        </w:rPr>
        <w:t xml:space="preserve"> Verifica lessicale con esito negativo: il cognome Guerzoni non compare in alcuna riga della Fase nona, benché il portavoce di Moro sia il teste principale dell'episodio che il capitolo settantaquattresimo richiama. Il repertorio registra l'avvertimento e omette chi lo riferì. Sede che colmerebbe la voce: i verbali d'udienza della Corte d'assise di Roma per il novembre millenovecentottantadue, negli atti del processo Moro uno.</w:t>
      </w:r>
    </w:p>
    <w:p>
      <w:pPr>
        <w:spacing w:after="120" w:line="276"/>
        <w:jc w:val="both"/>
      </w:pPr>
      <w:r>
        <w:rPr>
          <w:rFonts w:ascii="Barlow Semi Condensed" w:cs="Barlow Semi Condensed" w:eastAsia="Barlow Semi Condensed" w:hAnsi="Barlow Semi Condensed"/>
          <w:b/>
          <w:bCs/>
          <w:sz w:val="24"/>
          <w:szCs w:val="24"/>
        </w:rPr>
        <w:t xml:space="preserve">2243 · Il repertorio precede la sua correzione.</w:t>
      </w:r>
      <w:r>
        <w:rPr>
          <w:rFonts w:ascii="Barlow Semi Condensed" w:cs="Barlow Semi Condensed" w:eastAsia="Barlow Semi Condensed" w:hAnsi="Barlow Semi Condensed"/>
          <w:sz w:val="24"/>
          <w:szCs w:val="24"/>
        </w:rPr>
        <w:t xml:space="preserve"> Cronologia interna al branch, verificabile sui registri del deposito: la Fase nona porta la data del venticinque agosto duemilaventisei, e la Nota di revisione numero due, che aggiunge al nodo M-5 le sette precisazioni sull'avvertimento, è dello stesso giorno ma successiva. Il rinvio del capitolo settantaquattresimo punta quindi a un testo poi emendato. Serve una nota di raccordo: il rimando resta valido, il grado che sottintende no.</w:t>
      </w:r>
    </w:p>
    <w:p>
      <w:pPr>
        <w:spacing w:after="120" w:line="276"/>
        <w:jc w:val="both"/>
      </w:pPr>
      <w:r>
        <w:rPr>
          <w:rFonts w:ascii="Barlow Semi Condensed" w:cs="Barlow Semi Condensed" w:eastAsia="Barlow Semi Condensed" w:hAnsi="Barlow Semi Condensed"/>
          <w:b/>
          <w:bCs/>
          <w:sz w:val="24"/>
          <w:szCs w:val="24"/>
        </w:rPr>
        <w:t xml:space="preserve">2244 · Una cronologia senza estero.</w:t>
      </w:r>
      <w:r>
        <w:rPr>
          <w:rFonts w:ascii="Barlow Semi Condensed" w:cs="Barlow Semi Condensed" w:eastAsia="Barlow Semi Condensed" w:hAnsi="Barlow Semi Condensed"/>
          <w:sz w:val="24"/>
          <w:szCs w:val="24"/>
        </w:rPr>
        <w:t xml:space="preserve"> Nove voci allinea la tavola dei cinquantacinque giorni, dall'agguato ai funerali del tredici maggio, e nessuna di esse è internazionale. Non vi figurano l'arrivo del consulente statunitense, i dispacci alleati, le prese di posizione delle capitali. L'omissione è coerente con lo statuto, che cataloga fatti del caso, ma va dichiarata: il lettore ne ricava che il versante estero non esista, mentre esiste altrove nel corpus e con gradi propri.</w:t>
      </w:r>
    </w:p>
    <w:p>
      <w:pPr>
        <w:spacing w:after="120" w:line="276"/>
        <w:jc w:val="both"/>
      </w:pPr>
      <w:r>
        <w:rPr>
          <w:rFonts w:ascii="Barlow Semi Condensed" w:cs="Barlow Semi Condensed" w:eastAsia="Barlow Semi Condensed" w:hAnsi="Barlow Semi Condensed"/>
          <w:b/>
          <w:bCs/>
          <w:sz w:val="24"/>
          <w:szCs w:val="24"/>
        </w:rPr>
        <w:t xml:space="preserve">2245 · Quattordici mesi di distanza istituzionale.</w:t>
      </w:r>
      <w:r>
        <w:rPr>
          <w:rFonts w:ascii="Barlow Semi Condensed" w:cs="Barlow Semi Condensed" w:eastAsia="Barlow Semi Condensed" w:hAnsi="Barlow Semi Condensed"/>
          <w:sz w:val="24"/>
          <w:szCs w:val="24"/>
        </w:rPr>
        <w:t xml:space="preserve"> Accertamento di grado alto, ricavabile dalle sole date già fissate dall'opera: gli incarichi cessano il venti gennaio millenovecentosettantasette, e il primo evento del repertorio è del sedici marzo millenovecentosettantotto. Fra la fine della capacità d'ufficio e l'inizio del territorio corrono quattordici mesi. Ogni voce della Fase nona è dunque posteriore a ogni potere istituzionale del nome triangolato. Non è argomento risolutivo: è il dato che precede ogni argomento.</w:t>
      </w:r>
    </w:p>
    <w:p>
      <w:pPr>
        <w:spacing w:after="120" w:line="276"/>
        <w:jc w:val="both"/>
      </w:pPr>
      <w:r>
        <w:rPr>
          <w:rFonts w:ascii="Barlow Semi Condensed" w:cs="Barlow Semi Condensed" w:eastAsia="Barlow Semi Condensed" w:hAnsi="Barlow Semi Condensed"/>
          <w:b/>
          <w:bCs/>
          <w:sz w:val="24"/>
          <w:szCs w:val="24"/>
        </w:rPr>
        <w:t xml:space="preserve">2246 · Andreotti quarto non ebbe ministri comunisti.</w:t>
      </w:r>
      <w:r>
        <w:rPr>
          <w:rFonts w:ascii="Barlow Semi Condensed" w:cs="Barlow Semi Condensed" w:eastAsia="Barlow Semi Condensed" w:hAnsi="Barlow Semi Condensed"/>
          <w:sz w:val="24"/>
          <w:szCs w:val="24"/>
        </w:rPr>
        <w:t xml:space="preserve"> Precisazione che taglia l'analogia più diffusa. Il memorandum del millenovecentosettantaquattro parla di un governo che includa i comunisti; il governo insediato il sedici marzo millenovecentosettantotto, che Moro andava a votare, fu un monocolore democristiano con appoggio esterno del Partito comunista. La condizione enunciata quattro anni prima non si verificò alla lettera. Chi lega quel verbale a questa data deve prima spiegare la differenza, e di norma non la nomina.</w:t>
      </w:r>
    </w:p>
    <w:p>
      <w:pPr>
        <w:spacing w:after="120" w:line="276"/>
        <w:jc w:val="both"/>
      </w:pPr>
      <w:r>
        <w:rPr>
          <w:rFonts w:ascii="Barlow Semi Condensed" w:cs="Barlow Semi Condensed" w:eastAsia="Barlow Semi Condensed" w:hAnsi="Barlow Semi Condensed"/>
          <w:b/>
          <w:bCs/>
          <w:sz w:val="24"/>
          <w:szCs w:val="24"/>
        </w:rPr>
        <w:t xml:space="preserve">2247 · Il diciotto aprile visto da Washington.</w:t>
      </w:r>
      <w:r>
        <w:rPr>
          <w:rFonts w:ascii="Barlow Semi Condensed" w:cs="Barlow Semi Condensed" w:eastAsia="Barlow Semi Condensed" w:hAnsi="Barlow Semi Condensed"/>
          <w:sz w:val="24"/>
          <w:szCs w:val="24"/>
        </w:rPr>
        <w:t xml:space="preserve"> Quesito d'archivio con sede e finestra dichiarate: nei Central Foreign Policy Files 1973-1979 conservati ai National Archives di College Park e interrogabili in full-text sul sistema AAD, quali telegrammi dell'ambasciata a Roma datati fra il diciotto e il venti aprile millenovecentosettantotto riferiscono del falso comunicato del lago della Duchessa e della scoperta di via Gradoli? L'esito, anche negativo, si verbalizza con la chiave di ricerca usata.</w:t>
      </w:r>
    </w:p>
    <w:p>
      <w:pPr>
        <w:spacing w:after="120" w:line="276"/>
        <w:jc w:val="both"/>
      </w:pPr>
      <w:r>
        <w:rPr>
          <w:rFonts w:ascii="Barlow Semi Condensed" w:cs="Barlow Semi Condensed" w:eastAsia="Barlow Semi Condensed" w:hAnsi="Barlow Semi Condensed"/>
          <w:b/>
          <w:bCs/>
          <w:sz w:val="24"/>
          <w:szCs w:val="24"/>
        </w:rPr>
        <w:t xml:space="preserve">2248 · Il nove maggio nelle carte di Atlanta.</w:t>
      </w:r>
      <w:r>
        <w:rPr>
          <w:rFonts w:ascii="Barlow Semi Condensed" w:cs="Barlow Semi Condensed" w:eastAsia="Barlow Semi Condensed" w:hAnsi="Barlow Semi Condensed"/>
          <w:sz w:val="24"/>
          <w:szCs w:val="24"/>
        </w:rPr>
        <w:t xml:space="preserve"> Bersaglio secondo, presso la Jimmy Carter Presidential Library: nella collezione National Security Affairs, Brzezinski Material, con il suo Country File per l'Italia degli anni 1977-1981, che cosa contiene il fascicolo dei cinquantacinque giorni alla giornata del ritrovamento di via Caetani? Si cerca un documento di provenienza, non una conferma. La collezione è processata e aperta: l'esito negativo, se tale sarà, è acquisizione e non fallimento.</w:t>
      </w:r>
    </w:p>
    <w:p>
      <w:pPr>
        <w:spacing w:after="120" w:line="276"/>
        <w:jc w:val="both"/>
      </w:pPr>
      <w:r>
        <w:rPr>
          <w:rFonts w:ascii="Barlow Semi Condensed" w:cs="Barlow Semi Condensed" w:eastAsia="Barlow Semi Condensed" w:hAnsi="Barlow Semi Condensed"/>
          <w:b/>
          <w:bCs/>
          <w:sz w:val="24"/>
          <w:szCs w:val="24"/>
        </w:rPr>
        <w:t xml:space="preserve">2249 · Chi rappresentò gli Stati Uniti ai funerali.</w:t>
      </w:r>
      <w:r>
        <w:rPr>
          <w:rFonts w:ascii="Barlow Semi Condensed" w:cs="Barlow Semi Condensed" w:eastAsia="Barlow Semi Condensed" w:hAnsi="Barlow Semi Condensed"/>
          <w:sz w:val="24"/>
          <w:szCs w:val="24"/>
        </w:rPr>
        <w:t xml:space="preserve"> La voce del tredici maggio registra i funerali di Stato in San Giovanni, senza la salma. Manca al repertorio, e sarebbe utile, l'elenco delle delegazioni straniere presenti. Sedi: il cerimoniale della Presidenza della Repubblica e le serie dell'ambasciata statunitense a Roma. Il quesito non allude a nulla; serve a fissare un fatto protocollare oggi assente dal catalogo, e a impedire che l'assenza venga riempita per congettura.</w:t>
      </w:r>
    </w:p>
    <w:p>
      <w:pPr>
        <w:spacing w:after="120" w:line="276"/>
        <w:jc w:val="both"/>
      </w:pPr>
      <w:r>
        <w:rPr>
          <w:rFonts w:ascii="Barlow Semi Condensed" w:cs="Barlow Semi Condensed" w:eastAsia="Barlow Semi Condensed" w:hAnsi="Barlow Semi Condensed"/>
          <w:b/>
          <w:bCs/>
          <w:sz w:val="24"/>
          <w:szCs w:val="24"/>
        </w:rPr>
        <w:t xml:space="preserve">2250 · Nessun preavviso estero del cinque maggio.</w:t>
      </w:r>
      <w:r>
        <w:rPr>
          <w:rFonts w:ascii="Barlow Semi Condensed" w:cs="Barlow Semi Condensed" w:eastAsia="Barlow Semi Condensed" w:hAnsi="Barlow Semi Condensed"/>
          <w:sz w:val="24"/>
          <w:szCs w:val="24"/>
        </w:rPr>
        <w:t xml:space="preserve"> Ricerca condotta nel corpus e chiusa in negativo: fra i documenti censiti dalla scheda PE-5 e nel lotto FOIA R-2021-002xx già lavorato dal corpus, nessun atto di provenienza alleata anticipa l'ultimo comunicato o l'esecuzione. Le withdrawal cards del millenovecentosettantotto contano ciò che è trattenuto senza rivelarlo, e contarle è l'atto: è il solo modo onesto di parlare di ciò che manca.</w:t>
      </w:r>
    </w:p>
    <w:p>
      <w:pPr>
        <w:spacing w:after="120" w:line="276"/>
        <w:jc w:val="both"/>
      </w:pPr>
      <w:r>
        <w:rPr>
          <w:rFonts w:ascii="Barlow Semi Condensed" w:cs="Barlow Semi Condensed" w:eastAsia="Barlow Semi Condensed" w:hAnsi="Barlow Semi Condensed"/>
          <w:b/>
          <w:bCs/>
          <w:sz w:val="24"/>
          <w:szCs w:val="24"/>
        </w:rPr>
        <w:t xml:space="preserve">2251 · Gli osservatori non diventano attori.</w:t>
      </w:r>
      <w:r>
        <w:rPr>
          <w:rFonts w:ascii="Barlow Semi Condensed" w:cs="Barlow Semi Condensed" w:eastAsia="Barlow Semi Condensed" w:hAnsi="Barlow Semi Condensed"/>
          <w:sz w:val="24"/>
          <w:szCs w:val="24"/>
        </w:rPr>
        <w:t xml:space="preserve"> Chi voglia integrare la cronologia del capitolo sessantottesimo con le fonti estere tenga fermo un punto. Un dispaccio attesta che una sede riferì, e la data in cui riferì; non attesta che chi riferiva agisse. Aggiungere righe straniere alla tavola dei cinquantacinque giorni arricchisce il quadro degli osservatori e non muta di un grado l'attribuzione dei fatti. La scheda PE-5 lo scrive con parole quasi identiche.</w:t>
      </w:r>
    </w:p>
    <w:p>
      <w:pPr>
        <w:spacing w:after="120" w:line="276"/>
        <w:jc w:val="both"/>
      </w:pPr>
      <w:r>
        <w:rPr>
          <w:rFonts w:ascii="Barlow Semi Condensed" w:cs="Barlow Semi Condensed" w:eastAsia="Barlow Semi Condensed" w:hAnsi="Barlow Semi Condensed"/>
          <w:b/>
          <w:bCs/>
          <w:sz w:val="24"/>
          <w:szCs w:val="24"/>
        </w:rPr>
        <w:t xml:space="preserve">2252 · Le cinque vittime della scorta.</w:t>
      </w:r>
      <w:r>
        <w:rPr>
          <w:rFonts w:ascii="Barlow Semi Condensed" w:cs="Barlow Semi Condensed" w:eastAsia="Barlow Semi Condensed" w:hAnsi="Barlow Semi Condensed"/>
          <w:sz w:val="24"/>
          <w:szCs w:val="24"/>
        </w:rPr>
        <w:t xml:space="preserve"> Leonardi, Ricci, Rivera, Zizzi, Iozzino: il capitolo sessantanovesimo li mette in testa al repertorio, ed è lì che devono restare. Sul loro assassinio non esiste, in alcun archivio nazionale o estero finora spogliato, documento che chiami in causa il nome triangolato. L'assenza si dichiara qui una volta e non si ripete: sarebbe indecente farne un argomento, e disonesto tacerla del tutto.</w:t>
      </w:r>
    </w:p>
    <w:p>
      <w:pPr>
        <w:spacing w:after="120" w:line="276"/>
        <w:jc w:val="both"/>
      </w:pPr>
      <w:r>
        <w:rPr>
          <w:rFonts w:ascii="Barlow Semi Condensed" w:cs="Barlow Semi Condensed" w:eastAsia="Barlow Semi Condensed" w:hAnsi="Barlow Semi Condensed"/>
          <w:b/>
          <w:bCs/>
          <w:sz w:val="24"/>
          <w:szCs w:val="24"/>
        </w:rPr>
        <w:t xml:space="preserve">2253 · Le vittime non sono un argomento.</w:t>
      </w:r>
      <w:r>
        <w:rPr>
          <w:rFonts w:ascii="Barlow Semi Condensed" w:cs="Barlow Semi Condensed" w:eastAsia="Barlow Semi Condensed" w:hAnsi="Barlow Semi Condensed"/>
          <w:sz w:val="24"/>
          <w:szCs w:val="24"/>
        </w:rPr>
        <w:t xml:space="preserve"> Disciplina che la serie si impone e dichiara subito: nessun blocco userà i sei morti del caso come leva per accreditare o per smentire un nesso internazionale. Il capitolo sessantanovesimo scrive che nessuna disquisizione sui livelli del sequestro può farli scivolare a nota a piè di pagina. La triangolazione di un nome è, per definizione, una disquisizione: sta un gradino sotto, e lo riconosce.</w:t>
      </w:r>
    </w:p>
    <w:p>
      <w:pPr>
        <w:spacing w:after="120" w:line="276"/>
        <w:jc w:val="both"/>
      </w:pPr>
      <w:r>
        <w:rPr>
          <w:rFonts w:ascii="Barlow Semi Condensed" w:cs="Barlow Semi Condensed" w:eastAsia="Barlow Semi Condensed" w:hAnsi="Barlow Semi Condensed"/>
          <w:b/>
          <w:bCs/>
          <w:sz w:val="24"/>
          <w:szCs w:val="24"/>
        </w:rPr>
        <w:t xml:space="preserve">2254 · Che cosa smentirebbe questa assenza.</w:t>
      </w:r>
      <w:r>
        <w:rPr>
          <w:rFonts w:ascii="Barlow Semi Condensed" w:cs="Barlow Semi Condensed" w:eastAsia="Barlow Semi Condensed" w:hAnsi="Barlow Semi Condensed"/>
          <w:sz w:val="24"/>
          <w:szCs w:val="24"/>
        </w:rPr>
        <w:t xml:space="preserve"> Formulazione esatta del bersaglio, perché un'assenza dichiarata senza criterio è retorica. Cadrebbe davanti a un atto di provenienza, cablo o verbale o appunto di servizio o ordine, che nominasse insieme una delle cinque vittime e una qualsiasi autorità statunitense dell'epoca in rapporto operativo. Sedi dove cercarlo: il sistema AAD per i telegrammi, la sala di lettura CREST per l'analitica, la Carter Library per la corrispondenza presidenziale.</w:t>
      </w:r>
    </w:p>
    <w:p>
      <w:pPr>
        <w:spacing w:after="120" w:line="276"/>
        <w:jc w:val="both"/>
      </w:pPr>
      <w:r>
        <w:rPr>
          <w:rFonts w:ascii="Barlow Semi Condensed" w:cs="Barlow Semi Condensed" w:eastAsia="Barlow Semi Condensed" w:hAnsi="Barlow Semi Condensed"/>
          <w:b/>
          <w:bCs/>
          <w:sz w:val="24"/>
          <w:szCs w:val="24"/>
        </w:rPr>
        <w:t xml:space="preserve">2255 · Il conteggio delle sei vittime.</w:t>
      </w:r>
      <w:r>
        <w:rPr>
          <w:rFonts w:ascii="Barlow Semi Condensed" w:cs="Barlow Semi Condensed" w:eastAsia="Barlow Semi Condensed" w:hAnsi="Barlow Semi Condensed"/>
          <w:sz w:val="24"/>
          <w:szCs w:val="24"/>
        </w:rPr>
        <w:t xml:space="preserve"> Sei sono le vittime che il repertorio conta: i cinque della scorta e Aldo Moro. È un numero, non una tesi, e non ammette aggiunte simboliche. Va ricordato perché una parte della pubblicistica sul versante atlantico tende ad allargare il computo alle vittime di altri teatri per via di somiglianza. La somiglianza non produce vittime comuni, come non produce antenati comuni: il test resta il documento di provenienza.</w:t>
      </w:r>
    </w:p>
    <w:p>
      <w:pPr>
        <w:spacing w:after="120" w:line="276"/>
        <w:jc w:val="both"/>
      </w:pPr>
      <w:r>
        <w:rPr>
          <w:rFonts w:ascii="Barlow Semi Condensed" w:cs="Barlow Semi Condensed" w:eastAsia="Barlow Semi Condensed" w:hAnsi="Barlow Semi Condensed"/>
          <w:b/>
          <w:bCs/>
          <w:sz w:val="24"/>
          <w:szCs w:val="24"/>
        </w:rPr>
        <w:t xml:space="preserve">2256 · Dieci nomi, nessuno straniero.</w:t>
      </w:r>
      <w:r>
        <w:rPr>
          <w:rFonts w:ascii="Barlow Semi Condensed" w:cs="Barlow Semi Condensed" w:eastAsia="Barlow Semi Condensed" w:hAnsi="Barlow Semi Condensed"/>
          <w:sz w:val="24"/>
          <w:szCs w:val="24"/>
        </w:rPr>
        <w:t xml:space="preserve"> Moretti, Morucci, Faranda, Fiore, Gallinari, Bonisoli, Balzerani, Lojacono, Maccari, Etro: sono le dieci persone la cui responsabilità il capitolo settantesimo dà per passata in giudicato, tutte cittadine italiane, tutte giudicate da corti italiane. Nel registro del giudicato di questo caso non compare alcuna autorità straniera, di nessuno Stato. È l'accertamento negativo di grado più alto disponibile sull'intero territorio assegnato.</w:t>
      </w:r>
    </w:p>
    <w:p>
      <w:pPr>
        <w:spacing w:after="120" w:line="276"/>
        <w:jc w:val="both"/>
      </w:pPr>
      <w:r>
        <w:rPr>
          <w:rFonts w:ascii="Barlow Semi Condensed" w:cs="Barlow Semi Condensed" w:eastAsia="Barlow Semi Condensed" w:hAnsi="Barlow Semi Condensed"/>
          <w:b/>
          <w:bCs/>
          <w:sz w:val="24"/>
          <w:szCs w:val="24"/>
        </w:rPr>
        <w:t xml:space="preserve">2257 · Dieci nel repertorio, tredici nel registro.</w:t>
      </w:r>
      <w:r>
        <w:rPr>
          <w:rFonts w:ascii="Barlow Semi Condensed" w:cs="Barlow Semi Condensed" w:eastAsia="Barlow Semi Condensed" w:hAnsi="Barlow Semi Condensed"/>
          <w:sz w:val="24"/>
          <w:szCs w:val="24"/>
        </w:rPr>
        <w:t xml:space="preserve"> Divergenza interna al corpus, che si riporta e non si scioglie: la Fase nona nomina dieci condannati al capitolo settantesimo, mentre la Fase decima ne registra tredici al capitolo settantanovesimo, aggiungendo Seghetti, Braghetti e Casimirri. Le due liste hanno statuto dichiarato identico ed estensione diversa. Per il nostro scopo l'esito non cambia, perché nessuna delle due contiene un nome straniero; la discrepanza va però segnalata a chi cita.</w:t>
      </w:r>
    </w:p>
    <w:p>
      <w:pPr>
        <w:spacing w:after="120" w:line="276"/>
        <w:jc w:val="both"/>
      </w:pPr>
      <w:r>
        <w:rPr>
          <w:rFonts w:ascii="Barlow Semi Condensed" w:cs="Barlow Semi Condensed" w:eastAsia="Barlow Semi Condensed" w:hAnsi="Barlow Semi Condensed"/>
          <w:b/>
          <w:bCs/>
          <w:sz w:val="24"/>
          <w:szCs w:val="24"/>
        </w:rPr>
        <w:t xml:space="preserve">2258 · Mai imputato in alcun Paese.</w:t>
      </w:r>
      <w:r>
        <w:rPr>
          <w:rFonts w:ascii="Barlow Semi Condensed" w:cs="Barlow Semi Condensed" w:eastAsia="Barlow Semi Condensed" w:hAnsi="Barlow Semi Condensed"/>
          <w:sz w:val="24"/>
          <w:szCs w:val="24"/>
        </w:rPr>
        <w:t xml:space="preserve"> Vincolo del territorio, già fissato dall'apparato K dell'opera e qui richiamato perché regge ogni riga: non risulta a suo carico alcuna sentenza, alcun rinvio a giudizio, alcun procedimento penale in alcuno Stato, e non fu mai imputato né processato. Il repertorio, che si ferma al giudicato, non ha dunque materia per aprirgli una voce al capitolo settantesimo, e correttamente non la apre.</w:t>
      </w:r>
    </w:p>
    <w:p>
      <w:pPr>
        <w:spacing w:after="120" w:line="276"/>
        <w:jc w:val="both"/>
      </w:pPr>
      <w:r>
        <w:rPr>
          <w:rFonts w:ascii="Barlow Semi Condensed" w:cs="Barlow Semi Condensed" w:eastAsia="Barlow Semi Condensed" w:hAnsi="Barlow Semi Condensed"/>
          <w:b/>
          <w:bCs/>
          <w:sz w:val="24"/>
          <w:szCs w:val="24"/>
        </w:rPr>
        <w:t xml:space="preserve">2259 · La richiesta del millenovecentottantatré.</w:t>
      </w:r>
      <w:r>
        <w:rPr>
          <w:rFonts w:ascii="Barlow Semi Condensed" w:cs="Barlow Semi Condensed" w:eastAsia="Barlow Semi Condensed" w:hAnsi="Barlow Semi Condensed"/>
          <w:sz w:val="24"/>
          <w:szCs w:val="24"/>
        </w:rPr>
        <w:t xml:space="preserve"> Nel millenovecentottantatré magistrati italiani manifestarono l'intenzione di sentirlo, e la richiesta, informale, non ebbe seguito. Bersaglio oggi aperto: stabilirne la forma esatta, se atto istruttorio, se commissione rogatoria, se sola dichiarazione riferita dalla stampa. Sedi: il fascicolo processuale presso l'Archivio di Stato di Roma e gli atti dell'ufficio rogatorie del Ministero di grazia e giustizia versati all'Archivio centrale dello Stato.</w:t>
      </w:r>
    </w:p>
    <w:p>
      <w:pPr>
        <w:spacing w:after="120" w:line="276"/>
        <w:jc w:val="both"/>
      </w:pPr>
      <w:r>
        <w:rPr>
          <w:rFonts w:ascii="Barlow Semi Condensed" w:cs="Barlow Semi Condensed" w:eastAsia="Barlow Semi Condensed" w:hAnsi="Barlow Semi Condensed"/>
          <w:b/>
          <w:bCs/>
          <w:sz w:val="24"/>
          <w:szCs w:val="24"/>
        </w:rPr>
        <w:t xml:space="preserve">2260 · Assenza di procedimento, non assoluzione.</w:t>
      </w:r>
      <w:r>
        <w:rPr>
          <w:rFonts w:ascii="Barlow Semi Condensed" w:cs="Barlow Semi Condensed" w:eastAsia="Barlow Semi Condensed" w:hAnsi="Barlow Semi Condensed"/>
          <w:sz w:val="24"/>
          <w:szCs w:val="24"/>
        </w:rPr>
        <w:t xml:space="preserve"> Non essere mai stati imputati non equivale a essere stati assolti, e non equivale nemmeno a un'accusa rimasta sospesa: significa che nessuna autorità ha mai esercitato l'azione penale. Chi legge quel vuoto come discolpa piena e chi lo legge come impunità commettono il medesimo errore in direzioni opposte, perché entrambi trattano il nulla processuale come se fosse un atto. Il repertorio non lo tratta affatto, ed è la scelta giusta.</w:t>
      </w:r>
    </w:p>
    <w:p>
      <w:pPr>
        <w:spacing w:after="120" w:line="276"/>
        <w:jc w:val="both"/>
      </w:pPr>
      <w:r>
        <w:rPr>
          <w:rFonts w:ascii="Barlow Semi Condensed" w:cs="Barlow Semi Condensed" w:eastAsia="Barlow Semi Condensed" w:hAnsi="Barlow Semi Condensed"/>
          <w:b/>
          <w:bCs/>
          <w:sz w:val="24"/>
          <w:szCs w:val="24"/>
        </w:rPr>
        <w:t xml:space="preserve">2261 · Il giudicato come pavimento del territorio.</w:t>
      </w:r>
      <w:r>
        <w:rPr>
          <w:rFonts w:ascii="Barlow Semi Condensed" w:cs="Barlow Semi Condensed" w:eastAsia="Barlow Semi Condensed" w:hAnsi="Barlow Semi Condensed"/>
          <w:sz w:val="24"/>
          <w:szCs w:val="24"/>
        </w:rPr>
        <w:t xml:space="preserve"> Pavimento del caso chiama la Fase settima i cinque processi, e il repertorio lo recepisce. Su questo pavimento il nome triangolato non poggia in alcun punto: non compare fra le parti, fra i testi escussi, fra gli imputati, fra le persone offese. Verifica proposta e mai pubblicata: l'indice generale dei fascicoli dibattimentali dei processi Moro uno, bis, ter, quater e quinquies, interrogato per cognome.</w:t>
      </w:r>
    </w:p>
    <w:p>
      <w:pPr>
        <w:spacing w:after="120" w:line="276"/>
        <w:jc w:val="both"/>
      </w:pPr>
      <w:r>
        <w:rPr>
          <w:rFonts w:ascii="Barlow Semi Condensed" w:cs="Barlow Semi Condensed" w:eastAsia="Barlow Semi Condensed" w:hAnsi="Barlow Semi Condensed"/>
          <w:b/>
          <w:bCs/>
          <w:sz w:val="24"/>
          <w:szCs w:val="24"/>
        </w:rPr>
        <w:t xml:space="preserve">2262 · Sei luoghi, tutti italiani.</w:t>
      </w:r>
      <w:r>
        <w:rPr>
          <w:rFonts w:ascii="Barlow Semi Condensed" w:cs="Barlow Semi Condensed" w:eastAsia="Barlow Semi Condensed" w:hAnsi="Barlow Semi Condensed"/>
          <w:sz w:val="24"/>
          <w:szCs w:val="24"/>
        </w:rPr>
        <w:t xml:space="preserve"> Via Fani, via Montalcini otto, via Gradoli novantasei, via Caetani, via Monte Nevoso, il lago della Duchessa: Roma, Milano, Rieti. Nessuna sede estera compare nella tavola dei luoghi, e nessuna vi apparterrebbe, perché il capitolo settantunesimo cataloga i luoghi dei fatti e non quelli delle circostanze anteriori. Il territorio, geograficamente, è chiuso, e la chiusura è una proprietà del catalogo, non una reticenza.</w:t>
      </w:r>
    </w:p>
    <w:p>
      <w:pPr>
        <w:spacing w:after="120" w:line="276"/>
        <w:jc w:val="both"/>
      </w:pPr>
      <w:r>
        <w:rPr>
          <w:rFonts w:ascii="Barlow Semi Condensed" w:cs="Barlow Semi Condensed" w:eastAsia="Barlow Semi Condensed" w:hAnsi="Barlow Semi Condensed"/>
          <w:b/>
          <w:bCs/>
          <w:sz w:val="24"/>
          <w:szCs w:val="24"/>
        </w:rPr>
        <w:t xml:space="preserve">2263 · Via Montalcini nei telegrammi del Settantotto.</w:t>
      </w:r>
      <w:r>
        <w:rPr>
          <w:rFonts w:ascii="Barlow Semi Condensed" w:cs="Barlow Semi Condensed" w:eastAsia="Barlow Semi Condensed" w:hAnsi="Barlow Semi Condensed"/>
          <w:sz w:val="24"/>
          <w:szCs w:val="24"/>
        </w:rPr>
        <w:t xml:space="preserve"> Nei telegrammi elettronici del Dipartimento di Stato per il millenovecentosettantotto, interrogabili con i TAGS PINT e IT nella finestra fra il sedici marzo e il trentuno dicembre, ricorre mai l'indirizzo di via Camillo Montalcini otto, e a quale data per la prima volta? La risposta misura ciò che una sede alleata sapeva e quando lo seppe: misura informazione, e non misura partecipazione.</w:t>
      </w:r>
    </w:p>
    <w:p>
      <w:pPr>
        <w:spacing w:after="120" w:line="276"/>
        <w:jc w:val="both"/>
      </w:pPr>
      <w:r>
        <w:rPr>
          <w:rFonts w:ascii="Barlow Semi Condensed" w:cs="Barlow Semi Condensed" w:eastAsia="Barlow Semi Condensed" w:hAnsi="Barlow Semi Condensed"/>
          <w:b/>
          <w:bCs/>
          <w:sz w:val="24"/>
          <w:szCs w:val="24"/>
        </w:rPr>
        <w:t xml:space="preserve">2264 · Gradoli è una pista interna.</w:t>
      </w:r>
      <w:r>
        <w:rPr>
          <w:rFonts w:ascii="Barlow Semi Condensed" w:cs="Barlow Semi Condensed" w:eastAsia="Barlow Semi Condensed" w:hAnsi="Barlow Semi Condensed"/>
          <w:sz w:val="24"/>
          <w:szCs w:val="24"/>
        </w:rPr>
        <w:t xml:space="preserve"> Le due piste che il programma investigativo dedica a via Gradoli, la catena di comando del diciotto marzo e gli assetti proprietari dello stabile, lavorano su questura, UCIGOS, Viminale, conservatoria e registri societari. Nessuna delle due ha versante estero e nessuna nomina il nostro nome. Registrarlo impedisce che il nodo più oscuro del repertorio attiri per gravità una spiegazione che le sue carte non contengono.</w:t>
      </w:r>
    </w:p>
    <w:p>
      <w:pPr>
        <w:spacing w:after="120" w:line="276"/>
        <w:jc w:val="both"/>
      </w:pPr>
      <w:r>
        <w:rPr>
          <w:rFonts w:ascii="Barlow Semi Condensed" w:cs="Barlow Semi Condensed" w:eastAsia="Barlow Semi Condensed" w:hAnsi="Barlow Semi Condensed"/>
          <w:b/>
          <w:bCs/>
          <w:sz w:val="24"/>
          <w:szCs w:val="24"/>
        </w:rPr>
        <w:t xml:space="preserve">2265 · Il cablo del ritrovamento.</w:t>
      </w:r>
      <w:r>
        <w:rPr>
          <w:rFonts w:ascii="Barlow Semi Condensed" w:cs="Barlow Semi Condensed" w:eastAsia="Barlow Semi Condensed" w:hAnsi="Barlow Semi Condensed"/>
          <w:sz w:val="24"/>
          <w:szCs w:val="24"/>
        </w:rPr>
        <w:t xml:space="preserve"> Identificare il telegramma con cui l'ambasciata a Roma comunicò a Washington il ritrovamento del corpo in via Caetani, con numero di serie, ora di trasmissione e lista di distribuzione interna. È il tipo di documento che quasi certamente esiste e che nessuna pubblicazione italiana ha mai citato per esteso. Sede: i Central Foreign Policy Files, serie dei telegrammi elettronici del millenovecentosettantotto, ai National Archives.</w:t>
      </w:r>
    </w:p>
    <w:p>
      <w:pPr>
        <w:spacing w:after="120" w:line="276"/>
        <w:jc w:val="both"/>
      </w:pPr>
      <w:r>
        <w:rPr>
          <w:rFonts w:ascii="Barlow Semi Condensed" w:cs="Barlow Semi Condensed" w:eastAsia="Barlow Semi Condensed" w:hAnsi="Barlow Semi Condensed"/>
          <w:b/>
          <w:bCs/>
          <w:sz w:val="24"/>
          <w:szCs w:val="24"/>
        </w:rPr>
        <w:t xml:space="preserve">2266 · Il falso resta senza autore giudicato.</w:t>
      </w:r>
      <w:r>
        <w:rPr>
          <w:rFonts w:ascii="Barlow Semi Condensed" w:cs="Barlow Semi Condensed" w:eastAsia="Barlow Semi Condensed" w:hAnsi="Barlow Semi Condensed"/>
          <w:sz w:val="24"/>
          <w:szCs w:val="24"/>
        </w:rPr>
        <w:t xml:space="preserve"> Accertato è il falso del comunicato numero sette, di grado A; la sua funzione resta congettura. Gli accertamenti istruttori e peritali ricondussero la mano ad Antonio Chichiarelli, mai processato perché ucciso nel settembre millenovecentottantaquattro. Nessun atto collega quella fabbricazione a un'origine estera. Il documento che lo farebbe sarebbe un ordine scritto o un pagamento tracciato: finché non esiste, la casella resta vuota e va dichiarata tale.</w:t>
      </w:r>
    </w:p>
    <w:p>
      <w:pPr>
        <w:spacing w:after="120" w:line="276"/>
        <w:jc w:val="both"/>
      </w:pPr>
      <w:r>
        <w:rPr>
          <w:rFonts w:ascii="Barlow Semi Condensed" w:cs="Barlow Semi Condensed" w:eastAsia="Barlow Semi Condensed" w:hAnsi="Barlow Semi Condensed"/>
          <w:b/>
          <w:bCs/>
          <w:sz w:val="24"/>
          <w:szCs w:val="24"/>
        </w:rPr>
        <w:t xml:space="preserve">2267 · Il memoriale nomina Kissinger?.</w:t>
      </w:r>
      <w:r>
        <w:rPr>
          <w:rFonts w:ascii="Barlow Semi Condensed" w:cs="Barlow Semi Condensed" w:eastAsia="Barlow Semi Condensed" w:hAnsi="Barlow Semi Condensed"/>
          <w:sz w:val="24"/>
          <w:szCs w:val="24"/>
        </w:rPr>
        <w:t xml:space="preserve"> Negli scritti della prigionia rinvenuti a via Monte Nevoso nel millenovecentosettantotto e nel millenovecentonovanta ricorre il nome del segretario di Stato uscente, e in quale contesto? Quesito filologico che il repertorio non pone e che si può chiudere. Sedi: l'edizione critica curata da Gotor nel duemilaotto e il fondo della Commissione Moro 2 presso l'Archivio storico della Camera. Esito da verbalizzare comunque vada.</w:t>
      </w:r>
    </w:p>
    <w:p>
      <w:pPr>
        <w:spacing w:after="120" w:line="276"/>
        <w:jc w:val="both"/>
      </w:pPr>
      <w:r>
        <w:rPr>
          <w:rFonts w:ascii="Barlow Semi Condensed" w:cs="Barlow Semi Condensed" w:eastAsia="Barlow Semi Condensed" w:hAnsi="Barlow Semi Condensed"/>
          <w:b/>
          <w:bCs/>
          <w:sz w:val="24"/>
          <w:szCs w:val="24"/>
        </w:rPr>
        <w:t xml:space="preserve">2268 · La seconda prigione non ha versione estera.</w:t>
      </w:r>
      <w:r>
        <w:rPr>
          <w:rFonts w:ascii="Barlow Semi Condensed" w:cs="Barlow Semi Condensed" w:eastAsia="Barlow Semi Condensed" w:hAnsi="Barlow Semi Condensed"/>
          <w:sz w:val="24"/>
          <w:szCs w:val="24"/>
        </w:rPr>
        <w:t xml:space="preserve"> Netto è il repertorio: la seconda prigione è congettura non provata, e il giudicato conosce solo via Montalcini. Fra le varianti circolanti ve n'è una che colloca la detenzione in luoghi riferibili a presenze straniere. Va trattata come le altre e un grado più severamente, perché somma due congetture, quella del luogo e quella dell'origine. Due ipotesi sommate non producono un indizio: producono una narrazione.</w:t>
      </w:r>
    </w:p>
    <w:p>
      <w:pPr>
        <w:spacing w:after="120" w:line="276"/>
        <w:jc w:val="both"/>
      </w:pPr>
      <w:r>
        <w:rPr>
          <w:rFonts w:ascii="Barlow Semi Condensed" w:cs="Barlow Semi Condensed" w:eastAsia="Barlow Semi Condensed" w:hAnsi="Barlow Semi Condensed"/>
          <w:b/>
          <w:bCs/>
          <w:sz w:val="24"/>
          <w:szCs w:val="24"/>
        </w:rPr>
        <w:t xml:space="preserve">2269 · I luoghi della circolazione, altrove.</w:t>
      </w:r>
      <w:r>
        <w:rPr>
          <w:rFonts w:ascii="Barlow Semi Condensed" w:cs="Barlow Semi Condensed" w:eastAsia="Barlow Semi Condensed" w:hAnsi="Barlow Semi Condensed"/>
          <w:sz w:val="24"/>
          <w:szCs w:val="24"/>
        </w:rPr>
        <w:t xml:space="preserve"> Proposta di ordinamento, per evitare un falso costruito con materiali tutti veri: si tenga un elenco distinto e dichiarato dei luoghi che appartengono alla circolazione dell'episodio e non al caso, cioè lo Studio Ovale del venticinque settembre millenovecentosettantaquattro, la cena di quella visita di Stato e l'ambasciata d'Italia a Washington indicata dalla fonte d'agenzia del millenovecentottantatré. Nella stessa tavola dei covi non stanno.</w:t>
      </w:r>
    </w:p>
    <w:p>
      <w:pPr>
        <w:spacing w:after="120" w:line="276"/>
        <w:jc w:val="both"/>
      </w:pPr>
      <w:r>
        <w:rPr>
          <w:rFonts w:ascii="Barlow Semi Condensed" w:cs="Barlow Semi Condensed" w:eastAsia="Barlow Semi Condensed" w:hAnsi="Barlow Semi Condensed"/>
          <w:b/>
          <w:bCs/>
          <w:sz w:val="24"/>
          <w:szCs w:val="24"/>
        </w:rPr>
        <w:t xml:space="preserve">2270 · Il nome nelle novanta lettere.</w:t>
      </w:r>
      <w:r>
        <w:rPr>
          <w:rFonts w:ascii="Barlow Semi Condensed" w:cs="Barlow Semi Condensed" w:eastAsia="Barlow Semi Condensed" w:hAnsi="Barlow Semi Condensed"/>
          <w:sz w:val="24"/>
          <w:szCs w:val="24"/>
        </w:rPr>
        <w:t xml:space="preserve"> Nelle circa novanta lettere della prigionia, delle quali il capitolo settantaduesimo accerta esistenza e mano, quel nome ricorre? La verifica è alla portata di chiunque e non risulta pubblicata. Sedi: l'edizione critica dell'epistolario, il fondo personale Aldo Moro all'Archivio centrale dello Stato con le sue duecentodiciotto buste, il fondo familiare depositato fra il duemiladodici e il duemilasedici al Centro documentazione Archivio Flamigni.</w:t>
      </w:r>
    </w:p>
    <w:p>
      <w:pPr>
        <w:spacing w:after="120" w:line="276"/>
        <w:jc w:val="both"/>
      </w:pPr>
      <w:r>
        <w:rPr>
          <w:rFonts w:ascii="Barlow Semi Condensed" w:cs="Barlow Semi Condensed" w:eastAsia="Barlow Semi Condensed" w:hAnsi="Barlow Semi Condensed"/>
          <w:b/>
          <w:bCs/>
          <w:sz w:val="24"/>
          <w:szCs w:val="24"/>
        </w:rPr>
        <w:t xml:space="preserve">2271 · Il lessico dei comunicati.</w:t>
      </w:r>
      <w:r>
        <w:rPr>
          <w:rFonts w:ascii="Barlow Semi Condensed" w:cs="Barlow Semi Condensed" w:eastAsia="Barlow Semi Condensed" w:hAnsi="Barlow Semi Condensed"/>
          <w:sz w:val="24"/>
          <w:szCs w:val="24"/>
        </w:rPr>
        <w:t xml:space="preserve"> I nove comunicati e il falso settimo parlano di Stato imperialista delle multinazionali e di centrali imperialiste: un lessico di categorie, non di persone. Verifica proposta sui testi integrali: quanti nomi propri di dirigenti stranieri vi compaiono? Se la risposta fosse nessuno, come il campione lascia prevedere, si avrebbe un dato sul linguaggio dei rapitori e nulla di più. Un silenzio rivendicativo non prova alcunché sui mandanti.</w:t>
      </w:r>
    </w:p>
    <w:p>
      <w:pPr>
        <w:spacing w:after="120" w:line="276"/>
        <w:jc w:val="both"/>
      </w:pPr>
      <w:r>
        <w:rPr>
          <w:rFonts w:ascii="Barlow Semi Condensed" w:cs="Barlow Semi Condensed" w:eastAsia="Barlow Semi Condensed" w:hAnsi="Barlow Semi Condensed"/>
          <w:b/>
          <w:bCs/>
          <w:sz w:val="24"/>
          <w:szCs w:val="24"/>
        </w:rPr>
        <w:t xml:space="preserve">2272 · Il falso come mutazione, non come firma.</w:t>
      </w:r>
      <w:r>
        <w:rPr>
          <w:rFonts w:ascii="Barlow Semi Condensed" w:cs="Barlow Semi Condensed" w:eastAsia="Barlow Semi Condensed" w:hAnsi="Barlow Semi Condensed"/>
          <w:sz w:val="24"/>
          <w:szCs w:val="24"/>
        </w:rPr>
        <w:t xml:space="preserve"> Un falso che imita il modello autentico e vi introduce errori invita a leggere in quegli errori la mano di un apparato esperto. Regola contraria: la somiglianza di un falso al suo modello prova che qualcuno disponeva del modello, non chi fosse. È la stessa disciplina che separa omologia da analogia, applicata qui a un documento invece che a un carattere ereditario.</w:t>
      </w:r>
    </w:p>
    <w:p>
      <w:pPr>
        <w:spacing w:after="120" w:line="276"/>
        <w:jc w:val="both"/>
      </w:pPr>
      <w:r>
        <w:rPr>
          <w:rFonts w:ascii="Barlow Semi Condensed" w:cs="Barlow Semi Condensed" w:eastAsia="Barlow Semi Condensed" w:hAnsi="Barlow Semi Condensed"/>
          <w:b/>
          <w:bCs/>
          <w:sz w:val="24"/>
          <w:szCs w:val="24"/>
        </w:rPr>
        <w:t xml:space="preserve">2273 · Una fonte negoziata non si promuove.</w:t>
      </w:r>
      <w:r>
        <w:rPr>
          <w:rFonts w:ascii="Barlow Semi Condensed" w:cs="Barlow Semi Condensed" w:eastAsia="Barlow Semi Condensed" w:hAnsi="Barlow Semi Condensed"/>
          <w:sz w:val="24"/>
          <w:szCs w:val="24"/>
        </w:rPr>
        <w:t xml:space="preserve"> Ha accertato la Commissione Moro 2 che il memoriale Morucci è il risultato di una collaborazione sviluppatasi lungo gli anni Ottanta, e il repertorio lo recepisce al capitolo settantaduesimo come grado B. Ne discende un divieto operativo per questo territorio: nulla di ciò che quel testo dicesse sul versante internazionale varrebbe come riscontro autonomo, perché la sua genesi è essa stessa parte dell'oggetto da accertare.</w:t>
      </w:r>
    </w:p>
    <w:p>
      <w:pPr>
        <w:spacing w:after="120" w:line="276"/>
        <w:jc w:val="both"/>
      </w:pPr>
      <w:r>
        <w:rPr>
          <w:rFonts w:ascii="Barlow Semi Condensed" w:cs="Barlow Semi Condensed" w:eastAsia="Barlow Semi Condensed" w:hAnsi="Barlow Semi Condensed"/>
          <w:b/>
          <w:bCs/>
          <w:sz w:val="24"/>
          <w:szCs w:val="24"/>
        </w:rPr>
        <w:t xml:space="preserve">2274 · Che cosa aprirebbe il memoriale.</w:t>
      </w:r>
      <w:r>
        <w:rPr>
          <w:rFonts w:ascii="Barlow Semi Condensed" w:cs="Barlow Semi Condensed" w:eastAsia="Barlow Semi Condensed" w:hAnsi="Barlow Semi Condensed"/>
          <w:sz w:val="24"/>
          <w:szCs w:val="24"/>
        </w:rPr>
        <w:t xml:space="preserve"> Una pagina autografa della prigionia, non dattiloscritta e non passata per la trattativa degli anni Ottanta, nella quale Moro riferisse in prima persona un avvertimento ricevuto e ne nominasse l'autore, sposterebbe l'episodio dal piano tre al piano uno. Gli originali non furono mai trovati. È lo Stato Zero più pesante del capitolo settantaduesimo, e il solo che una scoperta materiale, non un'interpretazione, potrebbe chiudere.</w:t>
      </w:r>
    </w:p>
    <w:p>
      <w:pPr>
        <w:spacing w:after="120" w:line="276"/>
        <w:jc w:val="both"/>
      </w:pPr>
      <w:r>
        <w:rPr>
          <w:rFonts w:ascii="Barlow Semi Condensed" w:cs="Barlow Semi Condensed" w:eastAsia="Barlow Semi Condensed" w:hAnsi="Barlow Semi Condensed"/>
          <w:b/>
          <w:bCs/>
          <w:sz w:val="24"/>
          <w:szCs w:val="24"/>
        </w:rPr>
        <w:t xml:space="preserve">2275 · Il pensiero non è il fatto.</w:t>
      </w:r>
      <w:r>
        <w:rPr>
          <w:rFonts w:ascii="Barlow Semi Condensed" w:cs="Barlow Semi Condensed" w:eastAsia="Barlow Semi Condensed" w:hAnsi="Barlow Semi Condensed"/>
          <w:sz w:val="24"/>
          <w:szCs w:val="24"/>
        </w:rPr>
        <w:t xml:space="preserve"> Se nelle lettere o negli scritti comparissero giudizi di Moro sull'ostilità americana, si sarebbe accertato che Moro la percepiva e in quali termini la formulava: grado alto su ciò che pensava, grado nullo su ciò che accadeva. La distinzione è la stessa che il corpus applica ai diari privati. Un prigioniero che interpreta la propria cattura produce una fonte preziosa su di sé, non una prova sugli altri.</w:t>
      </w:r>
    </w:p>
    <w:p>
      <w:pPr>
        <w:spacing w:after="120" w:line="276"/>
        <w:jc w:val="both"/>
      </w:pPr>
      <w:r>
        <w:rPr>
          <w:rFonts w:ascii="Barlow Semi Condensed" w:cs="Barlow Semi Condensed" w:eastAsia="Barlow Semi Condensed" w:hAnsi="Barlow Semi Condensed"/>
          <w:b/>
          <w:bCs/>
          <w:sz w:val="24"/>
          <w:szCs w:val="24"/>
        </w:rPr>
        <w:t xml:space="preserve">2276 · Le condizioni di scrittura restano B.</w:t>
      </w:r>
      <w:r>
        <w:rPr>
          <w:rFonts w:ascii="Barlow Semi Condensed" w:cs="Barlow Semi Condensed" w:eastAsia="Barlow Semi Condensed" w:hAnsi="Barlow Semi Condensed"/>
          <w:sz w:val="24"/>
          <w:szCs w:val="24"/>
        </w:rPr>
        <w:t xml:space="preserve"> Esistenza e mano delle lettere sono gradate A dal capitolo settantaduesimo, le condizioni in cui furono scritte B. Il grado inferiore riguarda la libertà del prigioniero e non l'attendibilità del contenuto, e non si trasferisce da un piano all'altro. Chi volesse squalificare un passaggio scomodo invocando la costrizione, o accreditarne un altro invocando la sincerità, adopererebbe lo stesso grado in due direzioni opposte.</w:t>
      </w:r>
    </w:p>
    <w:p>
      <w:pPr>
        <w:spacing w:after="120" w:line="276"/>
        <w:jc w:val="both"/>
      </w:pPr>
      <w:r>
        <w:rPr>
          <w:rFonts w:ascii="Barlow Semi Condensed" w:cs="Barlow Semi Condensed" w:eastAsia="Barlow Semi Condensed" w:hAnsi="Barlow Semi Condensed"/>
          <w:b/>
          <w:bCs/>
          <w:sz w:val="24"/>
          <w:szCs w:val="24"/>
        </w:rPr>
        <w:t xml:space="preserve">2277 · Il verbale del Settantaquattro non appartiene qui.</w:t>
      </w:r>
      <w:r>
        <w:rPr>
          <w:rFonts w:ascii="Barlow Semi Condensed" w:cs="Barlow Semi Condensed" w:eastAsia="Barlow Semi Condensed" w:hAnsi="Barlow Semi Condensed"/>
          <w:sz w:val="24"/>
          <w:szCs w:val="24"/>
        </w:rPr>
        <w:t xml:space="preserve"> Collocazione corretta, che il repertorio adotta di fatto e conviene rendere esplicita: il memorandum dello Studio Ovale non appartiene al capitolo settantaduesimo, perché non è un documento del sequestro. Appartiene alla cornice, ed è già catalogato altrove nel corpus, nelle ricognizioni della Farnesina e nella serie dodicesima dei mille blocchi. Spostarlo fra i documenti del caso ne muterebbe il grado senza mutarne una riga.</w:t>
      </w:r>
    </w:p>
    <w:p>
      <w:pPr>
        <w:spacing w:after="120" w:line="276"/>
        <w:jc w:val="both"/>
      </w:pPr>
      <w:r>
        <w:rPr>
          <w:rFonts w:ascii="Barlow Semi Condensed" w:cs="Barlow Semi Condensed" w:eastAsia="Barlow Semi Condensed" w:hAnsi="Barlow Semi Condensed"/>
          <w:b/>
          <w:bCs/>
          <w:sz w:val="24"/>
          <w:szCs w:val="24"/>
        </w:rPr>
        <w:t xml:space="preserve">2278 · Cinque processi, nessuno su questo.</w:t>
      </w:r>
      <w:r>
        <w:rPr>
          <w:rFonts w:ascii="Barlow Semi Condensed" w:cs="Barlow Semi Condensed" w:eastAsia="Barlow Semi Condensed" w:hAnsi="Barlow Semi Condensed"/>
          <w:sz w:val="24"/>
          <w:szCs w:val="24"/>
        </w:rPr>
        <w:t xml:space="preserve"> Cinque processi formano la spina del giudicato secondo il capitolo settantatreesimo, e nessuno di essi ebbe per oggetto la posizione di un'autorità straniera, nessuno la esaminò come capo d'imputazione, nessuno la definì. L'episodio dell'avvertimento vi entrò una sola volta e per via testimoniale, nel dibattimento del millenovecentottantadue. Entrare come testimonianza ed essere oggetto di giudizio sono cose che il repertorio tiene distinte, e bene.</w:t>
      </w:r>
    </w:p>
    <w:p>
      <w:pPr>
        <w:spacing w:after="120" w:line="276"/>
        <w:jc w:val="both"/>
      </w:pPr>
      <w:r>
        <w:rPr>
          <w:rFonts w:ascii="Barlow Semi Condensed" w:cs="Barlow Semi Condensed" w:eastAsia="Barlow Semi Condensed" w:hAnsi="Barlow Semi Condensed"/>
          <w:b/>
          <w:bCs/>
          <w:sz w:val="24"/>
          <w:szCs w:val="24"/>
        </w:rPr>
        <w:t xml:space="preserve">2279 · L'audizione del primo agosto millenovecentottanta.</w:t>
      </w:r>
      <w:r>
        <w:rPr>
          <w:rFonts w:ascii="Barlow Semi Condensed" w:cs="Barlow Semi Condensed" w:eastAsia="Barlow Semi Condensed" w:hAnsi="Barlow Semi Condensed"/>
          <w:sz w:val="24"/>
          <w:szCs w:val="24"/>
        </w:rPr>
        <w:t xml:space="preserve"> Sede confermata, contenuto da riscontrare: la vedova fu ascoltata dalla prima Commissione d'inchiesta il primo agosto millenovecentottanta. Il resoconto stenografico di quella seduta, fra gli atti della ottava legislatura, direbbe una volta per tutte che cosa vi fu detto e con quali parole. Sede: Archivio storico della Camera dei deputati, fondo della Commissione Moro. Finché non è letto, la frase che circola resta attribuita per sintesi.</w:t>
      </w:r>
    </w:p>
    <w:p>
      <w:pPr>
        <w:spacing w:after="120" w:line="276"/>
        <w:jc w:val="both"/>
      </w:pPr>
      <w:r>
        <w:rPr>
          <w:rFonts w:ascii="Barlow Semi Condensed" w:cs="Barlow Semi Condensed" w:eastAsia="Barlow Semi Condensed" w:hAnsi="Barlow Semi Condensed"/>
          <w:b/>
          <w:bCs/>
          <w:sz w:val="24"/>
          <w:szCs w:val="24"/>
        </w:rPr>
        <w:t xml:space="preserve">2280 · Novembre millenovecentottantadue, giorno incerto.</w:t>
      </w:r>
      <w:r>
        <w:rPr>
          <w:rFonts w:ascii="Barlow Semi Condensed" w:cs="Barlow Semi Condensed" w:eastAsia="Barlow Semi Condensed" w:hAnsi="Barlow Semi Condensed"/>
          <w:sz w:val="24"/>
          <w:szCs w:val="24"/>
        </w:rPr>
        <w:t xml:space="preserve"> Al dieci novembre millenovecentottantadue colloca la datazione più ricorrente la deposizione del portavoce davanti alla Corte d'assise di Roma; una fonte indica il quindici. La divergenza non è stata risolta e si riporta. Il verbale d'udienza la chiuderebbe in una riga, insieme alla formula esatta e al modo in cui il presidente ottenne il nome. Sede: gli atti del processo Moro uno, a Roma.</w:t>
      </w:r>
    </w:p>
    <w:p>
      <w:pPr>
        <w:spacing w:after="120" w:line="276"/>
        <w:jc w:val="both"/>
      </w:pPr>
      <w:r>
        <w:rPr>
          <w:rFonts w:ascii="Barlow Semi Condensed" w:cs="Barlow Semi Condensed" w:eastAsia="Barlow Semi Condensed" w:hAnsi="Barlow Semi Condensed"/>
          <w:b/>
          <w:bCs/>
          <w:sz w:val="24"/>
          <w:szCs w:val="24"/>
        </w:rPr>
        <w:t xml:space="preserve">2281 · La Commissione Stragi ha mai trattato?.</w:t>
      </w:r>
      <w:r>
        <w:rPr>
          <w:rFonts w:ascii="Barlow Semi Condensed" w:cs="Barlow Semi Condensed" w:eastAsia="Barlow Semi Condensed" w:hAnsi="Barlow Semi Condensed"/>
          <w:sz w:val="24"/>
          <w:szCs w:val="24"/>
        </w:rPr>
        <w:t xml:space="preserve"> Cita il repertorio la Commissione Stragi fra gli accertamenti di grado B senza specificarne l'apporto sul versante che qui interessa. Quesito: negli stenografici di quella Commissione, in parte consultabili anche in rete, l'episodio dell'avvertimento fu mai ripreso, e da chi? La ricerca è enumerativa e ha esito comunque utile, perché se nessuna seduta lo tocca l'assenza da quella sede è essa stessa una collocazione.</w:t>
      </w:r>
    </w:p>
    <w:p>
      <w:pPr>
        <w:spacing w:after="120" w:line="276"/>
        <w:jc w:val="both"/>
      </w:pPr>
      <w:r>
        <w:rPr>
          <w:rFonts w:ascii="Barlow Semi Condensed" w:cs="Barlow Semi Condensed" w:eastAsia="Barlow Semi Condensed" w:hAnsi="Barlow Semi Condensed"/>
          <w:b/>
          <w:bCs/>
          <w:sz w:val="24"/>
          <w:szCs w:val="24"/>
        </w:rPr>
        <w:t xml:space="preserve">2282 · Ventimila pagine e una chiave di ricerca.</w:t>
      </w:r>
      <w:r>
        <w:rPr>
          <w:rFonts w:ascii="Barlow Semi Condensed" w:cs="Barlow Semi Condensed" w:eastAsia="Barlow Semi Condensed" w:hAnsi="Barlow Semi Condensed"/>
          <w:sz w:val="24"/>
          <w:szCs w:val="24"/>
        </w:rPr>
        <w:t xml:space="preserve"> Contiene il fondo della Commissione Moro 2 presso l'Archivio storico della Camera circa ventimila pagine desecretate, con portale dedicato: bersaglio a costo bassissimo e rendimento alto. Si interroghi l'intero fondo con la chiave del cognome e con le varianti di trascrizione, e si verbalizzi il numero delle occorrenze. Zero occorrenze sarebbe un risultato pubblicabile, ed è il risultato che il corpus si attende.</w:t>
      </w:r>
    </w:p>
    <w:p>
      <w:pPr>
        <w:spacing w:after="120" w:line="276"/>
        <w:jc w:val="both"/>
      </w:pPr>
      <w:r>
        <w:rPr>
          <w:rFonts w:ascii="Barlow Semi Condensed" w:cs="Barlow Semi Condensed" w:eastAsia="Barlow Semi Condensed" w:hAnsi="Barlow Semi Condensed"/>
          <w:b/>
          <w:bCs/>
          <w:sz w:val="24"/>
          <w:szCs w:val="24"/>
        </w:rPr>
        <w:t xml:space="preserve">2283 · Sede e contenuto non si mescolano.</w:t>
      </w:r>
      <w:r>
        <w:rPr>
          <w:rFonts w:ascii="Barlow Semi Condensed" w:cs="Barlow Semi Condensed" w:eastAsia="Barlow Semi Condensed" w:hAnsi="Barlow Semi Condensed"/>
          <w:sz w:val="24"/>
          <w:szCs w:val="24"/>
        </w:rPr>
        <w:t xml:space="preserve"> Regola derivata dalla quinta precisazione della Nota di revisione numero due, applicabile a ogni voce del capitolo settantatreesimo. Che un'audizione sia avvenuta in una data certa è fatto d'atto; che vi sia stata pronunciata una frase determinata è fatto di contenuto, e richiede il resoconto. Unire la sede accertata del millenovecentottanta alla frase attribuita al millenovecentottantadue costruisce una citazione falsa con due premesse entrambe vere.</w:t>
      </w:r>
    </w:p>
    <w:p>
      <w:pPr>
        <w:spacing w:after="120" w:line="276"/>
        <w:jc w:val="both"/>
      </w:pPr>
      <w:r>
        <w:rPr>
          <w:rFonts w:ascii="Barlow Semi Condensed" w:cs="Barlow Semi Condensed" w:eastAsia="Barlow Semi Condensed" w:hAnsi="Barlow Semi Condensed"/>
          <w:b/>
          <w:bCs/>
          <w:sz w:val="24"/>
          <w:szCs w:val="24"/>
        </w:rPr>
        <w:t xml:space="preserve">2284 · La ricerca a vuoto è un atto.</w:t>
      </w:r>
      <w:r>
        <w:rPr>
          <w:rFonts w:ascii="Barlow Semi Condensed" w:cs="Barlow Semi Condensed" w:eastAsia="Barlow Semi Condensed" w:hAnsi="Barlow Semi Condensed"/>
          <w:sz w:val="24"/>
          <w:szCs w:val="24"/>
        </w:rPr>
        <w:t xml:space="preserve"> Principio che l'agenda del corpus enuncia e che questa serie applica alla lettera: un'interrogazione condotta su un fondo nominato, con chiave dichiarata e finestra dichiarata, produce un risultato anche quando non trova nulla. Perché sia citabile occorrono tre elementi, il nome del fondo, la stringa usata e la data dell'interrogazione. Senza quei tre, «non risulta» è un'opinione travestita da esito d'archivio.</w:t>
      </w:r>
    </w:p>
    <w:p>
      <w:pPr>
        <w:spacing w:after="120" w:line="276"/>
        <w:jc w:val="both"/>
      </w:pPr>
      <w:r>
        <w:rPr>
          <w:rFonts w:ascii="Barlow Semi Condensed" w:cs="Barlow Semi Condensed" w:eastAsia="Barlow Semi Condensed" w:hAnsi="Barlow Semi Condensed"/>
          <w:b/>
          <w:bCs/>
          <w:sz w:val="24"/>
          <w:szCs w:val="24"/>
        </w:rPr>
        <w:t xml:space="preserve">2285 · Il verbale che chiuderebbe quattro divergenze.</w:t>
      </w:r>
      <w:r>
        <w:rPr>
          <w:rFonts w:ascii="Barlow Semi Condensed" w:cs="Barlow Semi Condensed" w:eastAsia="Barlow Semi Condensed" w:hAnsi="Barlow Semi Condensed"/>
          <w:sz w:val="24"/>
          <w:szCs w:val="24"/>
        </w:rPr>
        <w:t xml:space="preserve"> Un solo documento risolverebbe insieme la data della deposizione, la formula pronunciata, il modo in cui il nome fu ottenuto in aula e il rapporto fra l'audizione parlamentare e il dibattimento: il verbale integrale dell'udienza del novembre millenovecentottantadue. È il bersaglio a più alto rendimento dell'intera serie, e non si trova in America: si trova a Roma, negli atti della Corte d'assise.</w:t>
      </w:r>
    </w:p>
    <w:p>
      <w:pPr>
        <w:spacing w:after="120" w:line="276"/>
        <w:jc w:val="both"/>
      </w:pPr>
      <w:r>
        <w:rPr>
          <w:rFonts w:ascii="Barlow Semi Condensed" w:cs="Barlow Semi Condensed" w:eastAsia="Barlow Semi Condensed" w:hAnsi="Barlow Semi Condensed"/>
          <w:b/>
          <w:bCs/>
          <w:sz w:val="24"/>
          <w:szCs w:val="24"/>
        </w:rPr>
        <w:t xml:space="preserve">2286 · Un nome dentro la voce famiglia.</w:t>
      </w:r>
      <w:r>
        <w:rPr>
          <w:rFonts w:ascii="Barlow Semi Condensed" w:cs="Barlow Semi Condensed" w:eastAsia="Barlow Semi Condensed" w:hAnsi="Barlow Semi Condensed"/>
          <w:sz w:val="24"/>
          <w:szCs w:val="24"/>
        </w:rPr>
        <w:t xml:space="preserve"> Merita d'essere osservata la collocazione, perché è la sola che il repertorio conceda. L'avvertimento compare nell'elenco delle figure del contesto, alla riga dedicata a Eleonora Moro e ai figli, come esempio di ciò che la famiglia testimoniò in Commissione e in tribunale. Il nome è dunque catalogato come contenuto di una deposizione familiare, e non ha voce propria in nessuno dei nove capitoli.</w:t>
      </w:r>
    </w:p>
    <w:p>
      <w:pPr>
        <w:spacing w:after="120" w:line="276"/>
        <w:jc w:val="both"/>
      </w:pPr>
      <w:r>
        <w:rPr>
          <w:rFonts w:ascii="Barlow Semi Condensed" w:cs="Barlow Semi Condensed" w:eastAsia="Barlow Semi Condensed" w:hAnsi="Barlow Semi Condensed"/>
          <w:b/>
          <w:bCs/>
          <w:sz w:val="24"/>
          <w:szCs w:val="24"/>
        </w:rPr>
        <w:t xml:space="preserve">2287 · Il portavoce non è la famiglia.</w:t>
      </w:r>
      <w:r>
        <w:rPr>
          <w:rFonts w:ascii="Barlow Semi Condensed" w:cs="Barlow Semi Condensed" w:eastAsia="Barlow Semi Condensed" w:hAnsi="Barlow Semi Condensed"/>
          <w:sz w:val="24"/>
          <w:szCs w:val="24"/>
        </w:rPr>
        <w:t xml:space="preserve"> Rilievo di esattezza sulla riga precedente. La testimonianza in tribunale sull'episodio fu resa da Corrado Guerzoni, portavoce di Moro e non suo familiare; la vedova parlò in Commissione, e in aula di un'alta personalità senza nominarla. Attribuire alla famiglia l'intero episodio comprime due fonti diverse in una sola. La correzione è di catalogo e non muta il grado, ma un repertorio vive di distinzioni come questa.</w:t>
      </w:r>
    </w:p>
    <w:p>
      <w:pPr>
        <w:spacing w:after="120" w:line="276"/>
        <w:jc w:val="both"/>
      </w:pPr>
      <w:r>
        <w:rPr>
          <w:rFonts w:ascii="Barlow Semi Condensed" w:cs="Barlow Semi Condensed" w:eastAsia="Barlow Semi Condensed" w:hAnsi="Barlow Semi Condensed"/>
          <w:b/>
          <w:bCs/>
          <w:sz w:val="24"/>
          <w:szCs w:val="24"/>
        </w:rPr>
        <w:t xml:space="preserve">2288 · Grado dell'atto, grado del fatto.</w:t>
      </w:r>
      <w:r>
        <w:rPr>
          <w:rFonts w:ascii="Barlow Semi Condensed" w:cs="Barlow Semi Condensed" w:eastAsia="Barlow Semi Condensed" w:hAnsi="Barlow Semi Condensed"/>
          <w:sz w:val="24"/>
          <w:szCs w:val="24"/>
        </w:rPr>
        <w:t xml:space="preserve"> Regola generale per un catalogo che grada voce per voce. Il capitolo settantaquattresimo scrive che la testimonianza della famiglia è di grado B: vero, se si intende che le deposizioni esistono e sono verbalizzate. Il fatto testimoniato, cioè la frase pronunciata, non eredita quel grado. Confondere il grado dell'atto testimoniale col grado del contenuto è il modo più elegante di promuovere un'ipotesi senza dichiararlo.</w:t>
      </w:r>
    </w:p>
    <w:p>
      <w:pPr>
        <w:spacing w:after="120" w:line="276"/>
        <w:jc w:val="both"/>
      </w:pPr>
      <w:r>
        <w:rPr>
          <w:rFonts w:ascii="Barlow Semi Condensed" w:cs="Barlow Semi Condensed" w:eastAsia="Barlow Semi Condensed" w:hAnsi="Barlow Semi Condensed"/>
          <w:b/>
          <w:bCs/>
          <w:sz w:val="24"/>
          <w:szCs w:val="24"/>
        </w:rPr>
        <w:t xml:space="preserve">2289 · Tre formulazioni per un solo nodo.</w:t>
      </w:r>
      <w:r>
        <w:rPr>
          <w:rFonts w:ascii="Barlow Semi Condensed" w:cs="Barlow Semi Condensed" w:eastAsia="Barlow Semi Condensed" w:hAnsi="Barlow Semi Condensed"/>
          <w:sz w:val="24"/>
          <w:szCs w:val="24"/>
        </w:rPr>
        <w:t xml:space="preserve"> Tre formule convivono nel corpus per lo stesso nodo, e pesano diversamente: il capitolo settantaquattresimo qualifica la testimonianza grado B, la Nota di revisione numero due la definisce testimonianza contestata e non accertamento, il blocco ottocentosettantaquattro dei mille blocchi scrive grado B debole. Nessuna smentisce le altre. Restino tutte visibili finché il resoconto stenografico non consenta di sceglierne una con un documento in mano.</w:t>
      </w:r>
    </w:p>
    <w:p>
      <w:pPr>
        <w:spacing w:after="120" w:line="276"/>
        <w:jc w:val="both"/>
      </w:pPr>
      <w:r>
        <w:rPr>
          <w:rFonts w:ascii="Barlow Semi Condensed" w:cs="Barlow Semi Condensed" w:eastAsia="Barlow Semi Condensed" w:hAnsi="Barlow Semi Condensed"/>
          <w:b/>
          <w:bCs/>
          <w:sz w:val="24"/>
          <w:szCs w:val="24"/>
        </w:rPr>
        <w:t xml:space="preserve">2290 · Nel Settantotto il segretario era Vance.</w:t>
      </w:r>
      <w:r>
        <w:rPr>
          <w:rFonts w:ascii="Barlow Semi Condensed" w:cs="Barlow Semi Condensed" w:eastAsia="Barlow Semi Condensed" w:hAnsi="Barlow Semi Condensed"/>
          <w:sz w:val="24"/>
          <w:szCs w:val="24"/>
        </w:rPr>
        <w:t xml:space="preserve"> Durante i cinquantacinque giorni il Dipartimento di Stato era guidato da Cyrus Vance, e il consulente Pieczenik rispondeva a quella catena, non al suo predecessore. Il repertorio, che al capitolo settantaquattresimo scrive «il consulente americano» senza attribuirlo ad alcun superiore nominato, è più preciso di gran parte della pubblicistica corrente. La precisione va conservata citandolo, e va perduta ogni volta che si scrive Dipartimento intendendo una persona.</w:t>
      </w:r>
    </w:p>
    <w:p>
      <w:pPr>
        <w:spacing w:after="120" w:line="276"/>
        <w:jc w:val="both"/>
      </w:pPr>
      <w:r>
        <w:rPr>
          <w:rFonts w:ascii="Barlow Semi Condensed" w:cs="Barlow Semi Condensed" w:eastAsia="Barlow Semi Condensed" w:hAnsi="Barlow Semi Condensed"/>
          <w:b/>
          <w:bCs/>
          <w:sz w:val="24"/>
          <w:szCs w:val="24"/>
        </w:rPr>
        <w:t xml:space="preserve">2291 · L'unica voce statunitense del catalogo.</w:t>
      </w:r>
      <w:r>
        <w:rPr>
          <w:rFonts w:ascii="Barlow Semi Condensed" w:cs="Barlow Semi Condensed" w:eastAsia="Barlow Semi Condensed" w:hAnsi="Barlow Semi Condensed"/>
          <w:sz w:val="24"/>
          <w:szCs w:val="24"/>
        </w:rPr>
        <w:t xml:space="preserve"> Nel repertorio la sola presenza americana catalogata come figura è Steve Pieczenik: presenza di grado B, dichiarazioni successive di grado C in quanto fonte di parte. La scheda PE-5 aggiunge il divieto di mescolare quelle dichiarazioni con le serie archivistiche. Osservazione da registrare: il versante statunitense del caso, nel catalogo, ha un solo nome, ed è quello di un consulente, non di un decisore.</w:t>
      </w:r>
    </w:p>
    <w:p>
      <w:pPr>
        <w:spacing w:after="120" w:line="276"/>
        <w:jc w:val="both"/>
      </w:pPr>
      <w:r>
        <w:rPr>
          <w:rFonts w:ascii="Barlow Semi Condensed" w:cs="Barlow Semi Condensed" w:eastAsia="Barlow Semi Condensed" w:hAnsi="Barlow Semi Condensed"/>
          <w:b/>
          <w:bCs/>
          <w:sz w:val="24"/>
          <w:szCs w:val="24"/>
        </w:rPr>
        <w:t xml:space="preserve">2292 · Il comitato che non si riunì.</w:t>
      </w:r>
      <w:r>
        <w:rPr>
          <w:rFonts w:ascii="Barlow Semi Condensed" w:cs="Barlow Semi Condensed" w:eastAsia="Barlow Semi Condensed" w:hAnsi="Barlow Semi Condensed"/>
          <w:sz w:val="24"/>
          <w:szCs w:val="24"/>
        </w:rPr>
        <w:t xml:space="preserve"> Accerta la ricognizione delle piste sulle entità che il comitato di esperti cui il consulente è ricondotto fu informale e non si riunì mai collegialmente. Il repertorio lo colloca genericamente nel comitato di crisi. Le due formule non si contraddicono ma non coincidono, e la seconda è la più precisa. Sede per fissarla in via definitiva: gli stenografici della Commissione Stragi, dove la composizione dei comitati è discussa.</w:t>
      </w:r>
    </w:p>
    <w:p>
      <w:pPr>
        <w:spacing w:after="120" w:line="276"/>
        <w:jc w:val="both"/>
      </w:pPr>
      <w:r>
        <w:rPr>
          <w:rFonts w:ascii="Barlow Semi Condensed" w:cs="Barlow Semi Condensed" w:eastAsia="Barlow Semi Condensed" w:hAnsi="Barlow Semi Condensed"/>
          <w:b/>
          <w:bCs/>
          <w:sz w:val="24"/>
          <w:szCs w:val="24"/>
        </w:rPr>
        <w:t xml:space="preserve">2293 · Hyperion, esito liberatorio.</w:t>
      </w:r>
      <w:r>
        <w:rPr>
          <w:rFonts w:ascii="Barlow Semi Condensed" w:cs="Barlow Semi Condensed" w:eastAsia="Barlow Semi Condensed" w:hAnsi="Barlow Semi Condensed"/>
          <w:sz w:val="24"/>
          <w:szCs w:val="24"/>
        </w:rPr>
        <w:t xml:space="preserve"> Sul nodo del quadro internazionale il capitolo settantaquattresimo rinvia a triangolazione-hyperion-corpus.md, con proscioglimenti e presunzione piena per i fondatori. Fra quel nodo e il nome di questa serie il corpus non registra alcun documento di collegamento: né un atto che li nomini insieme, né una fonte terziaria che lo sostenga con riscontro. Due congetture separate restano due congetture separate, e sommarle non produce una terza.</w:t>
      </w:r>
    </w:p>
    <w:p>
      <w:pPr>
        <w:spacing w:after="120" w:line="276"/>
        <w:jc w:val="both"/>
      </w:pPr>
      <w:r>
        <w:rPr>
          <w:rFonts w:ascii="Barlow Semi Condensed" w:cs="Barlow Semi Condensed" w:eastAsia="Barlow Semi Condensed" w:hAnsi="Barlow Semi Condensed"/>
          <w:b/>
          <w:bCs/>
          <w:sz w:val="24"/>
          <w:szCs w:val="24"/>
        </w:rPr>
        <w:t xml:space="preserve">2294 · I fondi privati dei protagonisti.</w:t>
      </w:r>
      <w:r>
        <w:rPr>
          <w:rFonts w:ascii="Barlow Semi Condensed" w:cs="Barlow Semi Condensed" w:eastAsia="Barlow Semi Condensed" w:hAnsi="Barlow Semi Condensed"/>
          <w:sz w:val="24"/>
          <w:szCs w:val="24"/>
        </w:rPr>
        <w:t xml:space="preserve"> Quesito distribuito su sei sedi già accertate dal corpus: l'archivio Andreotti e quello della Democrazia cristiana all'Istituto Sturzo, le carte Cossiga all'Archivio storico della Camera, il fondo Craxi alla sua Fondazione, l'archivio del Partito comunista alla Fondazione Gramsci. In quale di essi il nome ricorre, in quali anni e in quale genere di carta? La tavola delle occorrenze non esiste e sarebbe il primo risultato solido.</w:t>
      </w:r>
    </w:p>
    <w:p>
      <w:pPr>
        <w:spacing w:after="120" w:line="276"/>
        <w:jc w:val="both"/>
      </w:pPr>
      <w:r>
        <w:rPr>
          <w:rFonts w:ascii="Barlow Semi Condensed" w:cs="Barlow Semi Condensed" w:eastAsia="Barlow Semi Condensed" w:hAnsi="Barlow Semi Condensed"/>
          <w:b/>
          <w:bCs/>
          <w:sz w:val="24"/>
          <w:szCs w:val="24"/>
        </w:rPr>
        <w:t xml:space="preserve">2295 · Il Vaticano oltre il calendario.</w:t>
      </w:r>
      <w:r>
        <w:rPr>
          <w:rFonts w:ascii="Barlow Semi Condensed" w:cs="Barlow Semi Condensed" w:eastAsia="Barlow Semi Condensed" w:hAnsi="Barlow Semi Condensed"/>
          <w:sz w:val="24"/>
          <w:szCs w:val="24"/>
        </w:rPr>
        <w:t xml:space="preserve"> Assenza con calendario dichiarato, non con sospetto: le carte della Santa Sede sul millenovecentosettantotto non sono consultabili, poiché l'Archivio apostolico è aperto fino alla fine del pontificato di Pio dodicesimo. La sede che colmerebbe la voce esiste ed è nominabile; manca soltanto la data di apertura. Fino ad allora, sulla mediazione vaticana e su ogni suo eventuale versante americano, il corpus non ha titolo per dire nulla.</w:t>
      </w:r>
    </w:p>
    <w:p>
      <w:pPr>
        <w:spacing w:after="120" w:line="276"/>
        <w:jc w:val="both"/>
      </w:pPr>
      <w:r>
        <w:rPr>
          <w:rFonts w:ascii="Barlow Semi Condensed" w:cs="Barlow Semi Condensed" w:eastAsia="Barlow Semi Condensed" w:hAnsi="Barlow Semi Condensed"/>
          <w:b/>
          <w:bCs/>
          <w:sz w:val="24"/>
          <w:szCs w:val="24"/>
        </w:rPr>
        <w:t xml:space="preserve">2296 · La casella esatta del nome.</w:t>
      </w:r>
      <w:r>
        <w:rPr>
          <w:rFonts w:ascii="Barlow Semi Condensed" w:cs="Barlow Semi Condensed" w:eastAsia="Barlow Semi Condensed" w:hAnsi="Barlow Semi Condensed"/>
          <w:sz w:val="24"/>
          <w:szCs w:val="24"/>
        </w:rPr>
        <w:t xml:space="preserve"> Fra gli otto nodi aperti del capitolo settantacinquesimo il settimo è quello che ci riguarda: fatti singoli documentati al grado B, regia estera al grado C, con rinvio a Hyperion e al nodo M-5. È la collocazione corretta e la serie non chiede di cambiarla. Chiede una cosa sola, che accanto alla C compaia, per le ricerche già chiuse in negativo, il segno dello Stato Zero.</w:t>
      </w:r>
    </w:p>
    <w:p>
      <w:pPr>
        <w:spacing w:after="120" w:line="276"/>
        <w:jc w:val="both"/>
      </w:pPr>
      <w:r>
        <w:rPr>
          <w:rFonts w:ascii="Barlow Semi Condensed" w:cs="Barlow Semi Condensed" w:eastAsia="Barlow Semi Condensed" w:hAnsi="Barlow Semi Condensed"/>
          <w:b/>
          <w:bCs/>
          <w:sz w:val="24"/>
          <w:szCs w:val="24"/>
        </w:rPr>
        <w:t xml:space="preserve">2297 · I centauri non hanno versante estero.</w:t>
      </w:r>
      <w:r>
        <w:rPr>
          <w:rFonts w:ascii="Barlow Semi Condensed" w:cs="Barlow Semi Condensed" w:eastAsia="Barlow Semi Condensed" w:hAnsi="Barlow Semi Condensed"/>
          <w:sz w:val="24"/>
          <w:szCs w:val="24"/>
        </w:rPr>
        <w:t xml:space="preserve"> Riguarda il primo nodo aperto le due motociclette e i quattro uomini a bordo, accertamento della Commissione Moro 2 con identità rimasta ignota. Nessuna delle ipotesi identificative circolanti poggia su un documento di provenienza estera, e la perizia balistica del duemilaquindici lavora su reperti italiani. Chi importa qui una presenza straniera lo fa per riempire un'identità mancante: è esattamente la mossa che il repertorio vieta.</w:t>
      </w:r>
    </w:p>
    <w:p>
      <w:pPr>
        <w:spacing w:after="120" w:line="276"/>
        <w:jc w:val="both"/>
      </w:pPr>
      <w:r>
        <w:rPr>
          <w:rFonts w:ascii="Barlow Semi Condensed" w:cs="Barlow Semi Condensed" w:eastAsia="Barlow Semi Condensed" w:hAnsi="Barlow Semi Condensed"/>
          <w:b/>
          <w:bCs/>
          <w:sz w:val="24"/>
          <w:szCs w:val="24"/>
        </w:rPr>
        <w:t xml:space="preserve">2298 · La seduta spiritica resta un vuoto.</w:t>
      </w:r>
      <w:r>
        <w:rPr>
          <w:rFonts w:ascii="Barlow Semi Condensed" w:cs="Barlow Semi Condensed" w:eastAsia="Barlow Semi Condensed" w:hAnsi="Barlow Semi Condensed"/>
          <w:sz w:val="24"/>
          <w:szCs w:val="24"/>
        </w:rPr>
        <w:t xml:space="preserve"> La coincidenza fra il nome uscito dalla seduta e l'indirizzo del covo non è stata sciolta né dai processi né dalle due Commissioni. È un vuoto documentale italiano e va tenuto italiano. Nessuna fonte, nemmeno terziaria, lo collega al nostro nome. Registrare l'assenza anche dove nessuno ha mai affermato una presenza è ciò che distingue un catalogo da una difesa, e questa serie sceglie il catalogo.</w:t>
      </w:r>
    </w:p>
    <w:p>
      <w:pPr>
        <w:spacing w:after="120" w:line="276"/>
        <w:jc w:val="both"/>
      </w:pPr>
      <w:r>
        <w:rPr>
          <w:rFonts w:ascii="Barlow Semi Condensed" w:cs="Barlow Semi Condensed" w:eastAsia="Barlow Semi Condensed" w:hAnsi="Barlow Semi Condensed"/>
          <w:b/>
          <w:bCs/>
          <w:sz w:val="24"/>
          <w:szCs w:val="24"/>
        </w:rPr>
        <w:t xml:space="preserve">2299 · La funzione del falso, ancora ignota.</w:t>
      </w:r>
      <w:r>
        <w:rPr>
          <w:rFonts w:ascii="Barlow Semi Condensed" w:cs="Barlow Semi Condensed" w:eastAsia="Barlow Semi Condensed" w:hAnsi="Barlow Semi Condensed"/>
          <w:sz w:val="24"/>
          <w:szCs w:val="24"/>
        </w:rPr>
        <w:t xml:space="preserve"> Distinguere il falso, accertato, dalla sua funzione, congetturale, è il compito del terzo nodo. Bersaglio di smentita per la variante internazionale di quella congettura: occorrerebbe un documento che colleghi la fabbricazione del comunicato a una committenza, e l'unica committenza documentabile sarebbe quella provata da un ordine scritto o da un pagamento. Nulla di simile risulta nel fascicolo Chichiarelli, per quanto ne è stato spogliato.</w:t>
      </w:r>
    </w:p>
    <w:p>
      <w:pPr>
        <w:spacing w:after="120" w:line="276"/>
        <w:jc w:val="both"/>
      </w:pPr>
      <w:r>
        <w:rPr>
          <w:rFonts w:ascii="Barlow Semi Condensed" w:cs="Barlow Semi Condensed" w:eastAsia="Barlow Semi Condensed" w:hAnsi="Barlow Semi Condensed"/>
          <w:b/>
          <w:bCs/>
          <w:sz w:val="24"/>
          <w:szCs w:val="24"/>
        </w:rPr>
        <w:t xml:space="preserve">2300 · Dolo e inefficienza, senza scorciatoie.</w:t>
      </w:r>
      <w:r>
        <w:rPr>
          <w:rFonts w:ascii="Barlow Semi Condensed" w:cs="Barlow Semi Condensed" w:eastAsia="Barlow Semi Condensed" w:hAnsi="Barlow Semi Condensed"/>
          <w:sz w:val="24"/>
          <w:szCs w:val="24"/>
        </w:rPr>
        <w:t xml:space="preserve"> Se i ritardi delle ricerche furono negligenza o volontà, il quinto nodo lo lascia indeciso. La scorciatoia più tentante consiste nel colmare l'indecisione con una volontà esterna, che spiegherebbe tutto e non prova nulla. La Parte terza lo scrive nella forma più dura: dieci negligenze non provano un piano. Ogni ritardo va provato uno per uno, con una carta, e quella carta ha un protocollo italiano.</w:t>
      </w:r>
    </w:p>
    <w:p>
      <w:pPr>
        <w:spacing w:after="120" w:line="276"/>
        <w:jc w:val="both"/>
      </w:pPr>
      <w:r>
        <w:rPr>
          <w:rFonts w:ascii="Barlow Semi Condensed" w:cs="Barlow Semi Condensed" w:eastAsia="Barlow Semi Condensed" w:hAnsi="Barlow Semi Condensed"/>
          <w:b/>
          <w:bCs/>
          <w:sz w:val="24"/>
          <w:szCs w:val="24"/>
        </w:rPr>
        <w:t xml:space="preserve">2301 · Ciò che manca al memoriale.</w:t>
      </w:r>
      <w:r>
        <w:rPr>
          <w:rFonts w:ascii="Barlow Semi Condensed" w:cs="Barlow Semi Condensed" w:eastAsia="Barlow Semi Condensed" w:hAnsi="Barlow Semi Condensed"/>
          <w:sz w:val="24"/>
          <w:szCs w:val="24"/>
        </w:rPr>
        <w:t xml:space="preserve"> Ritrovamenti gradati A e ciò che manchi lasciato indeterminato: così il sesto nodo tratta la completezza degli scritti. Regola severa che ne discende: da un testo incompleto non si deduce che cosa contenesse la parte assente. Chi sostiene che il memoriale integrale nominerebbe presenze straniere afferma una cosa che, per costruzione, nessuno può verificare, ed è l'argomento non falsificabile che il Pollo di Popper insegna a rifiutare.</w:t>
      </w:r>
    </w:p>
    <w:p>
      <w:pPr>
        <w:spacing w:after="120" w:line="276"/>
        <w:jc w:val="both"/>
      </w:pPr>
      <w:r>
        <w:rPr>
          <w:rFonts w:ascii="Barlow Semi Condensed" w:cs="Barlow Semi Condensed" w:eastAsia="Barlow Semi Condensed" w:hAnsi="Barlow Semi Condensed"/>
          <w:b/>
          <w:bCs/>
          <w:sz w:val="24"/>
          <w:szCs w:val="24"/>
        </w:rPr>
        <w:t xml:space="preserve">2302 · L'indicibile non prende nomi.</w:t>
      </w:r>
      <w:r>
        <w:rPr>
          <w:rFonts w:ascii="Barlow Semi Condensed" w:cs="Barlow Semi Condensed" w:eastAsia="Barlow Semi Condensed" w:hAnsi="Barlow Semi Condensed"/>
          <w:sz w:val="24"/>
          <w:szCs w:val="24"/>
        </w:rPr>
        <w:t xml:space="preserve"> L'ottavo nodo misura l'ampiezza della verità dicibile e dichiara non misurabile l'indicibile. Ne discende il divieto più utile dell'intera serie: uno spazio dichiarato incognito non si riempie con un nome, quale che sia. La formula della Commissione dice che la verità disponibile è incompleta, non che ne esista un'altra già nota e taciuta. Fra le due proposizioni corre tutta la differenza fra ricerca e dietrologia.</w:t>
      </w:r>
    </w:p>
    <w:p>
      <w:pPr>
        <w:spacing w:after="120" w:line="276"/>
        <w:jc w:val="both"/>
      </w:pPr>
      <w:r>
        <w:rPr>
          <w:rFonts w:ascii="Barlow Semi Condensed" w:cs="Barlow Semi Condensed" w:eastAsia="Barlow Semi Condensed" w:hAnsi="Barlow Semi Condensed"/>
          <w:b/>
          <w:bCs/>
          <w:sz w:val="24"/>
          <w:szCs w:val="24"/>
        </w:rPr>
        <w:t xml:space="preserve">2303 · Il rinvio da aggiornare.</w:t>
      </w:r>
      <w:r>
        <w:rPr>
          <w:rFonts w:ascii="Barlow Semi Condensed" w:cs="Barlow Semi Condensed" w:eastAsia="Barlow Semi Condensed" w:hAnsi="Barlow Semi Condensed"/>
          <w:sz w:val="24"/>
          <w:szCs w:val="24"/>
        </w:rPr>
        <w:t xml:space="preserve"> Rimandare al nodo M-5 andava bene il giorno in cui il rinvio fu scritto, e oggi va accompagnato. Nella stesura originaria M-5 non conteneva la smentita dell'interessato, non qualificava la testimonianza come resa de relato e non registrava la divergenza sulle date fra millenovecentosettantaquattro, millenovecentosettantasei e millenovecentosettantasette. La Nota di revisione numero due gli si affianca senza riscriverlo: è quella nota che il repertorio deve citare.</w:t>
      </w:r>
    </w:p>
    <w:p>
      <w:pPr>
        <w:spacing w:after="120" w:line="276"/>
        <w:jc w:val="both"/>
      </w:pPr>
      <w:r>
        <w:rPr>
          <w:rFonts w:ascii="Barlow Semi Condensed" w:cs="Barlow Semi Condensed" w:eastAsia="Barlow Semi Condensed" w:hAnsi="Barlow Semi Condensed"/>
          <w:b/>
          <w:bCs/>
          <w:sz w:val="24"/>
          <w:szCs w:val="24"/>
        </w:rPr>
        <w:t xml:space="preserve">2304 · Quattro esclusioni, nessuna sulle assenze.</w:t>
      </w:r>
      <w:r>
        <w:rPr>
          <w:rFonts w:ascii="Barlow Semi Condensed" w:cs="Barlow Semi Condensed" w:eastAsia="Barlow Semi Condensed" w:hAnsi="Barlow Semi Condensed"/>
          <w:sz w:val="24"/>
          <w:szCs w:val="24"/>
        </w:rPr>
        <w:t xml:space="preserve"> Si giudica un repertorio anche da ciò che rifiuta di elencare, e la Fase nona rifiuta quattro cose: la graduatoria dei responsabili oltre il giudicato, i nomi di viventi come colpevoli, le congetture spacciate per gradi superiori, il materiale su viventi con attribuzioni non riscontrate. Nessuna delle quattro riguarda le ricerche chiuse in negativo, che mancano non per divieto ma per assenza di casella.</w:t>
      </w:r>
    </w:p>
    <w:p>
      <w:pPr>
        <w:spacing w:after="120" w:line="276"/>
        <w:jc w:val="both"/>
      </w:pPr>
      <w:r>
        <w:rPr>
          <w:rFonts w:ascii="Barlow Semi Condensed" w:cs="Barlow Semi Condensed" w:eastAsia="Barlow Semi Condensed" w:hAnsi="Barlow Semi Condensed"/>
          <w:b/>
          <w:bCs/>
          <w:sz w:val="24"/>
          <w:szCs w:val="24"/>
        </w:rPr>
        <w:t xml:space="preserve">2305 · La morte non abbassa lo standard.</w:t>
      </w:r>
      <w:r>
        <w:rPr>
          <w:rFonts w:ascii="Barlow Semi Condensed" w:cs="Barlow Semi Condensed" w:eastAsia="Barlow Semi Condensed" w:hAnsi="Barlow Semi Condensed"/>
          <w:sz w:val="24"/>
          <w:szCs w:val="24"/>
        </w:rPr>
        <w:t xml:space="preserve"> Morto a Kent, nel Connecticut, il ventinove novembre duemilaventitré, Kissinger non è più coperto dalla clausola del capitolo settantaseiesimo che protegge le persone viventi. Non ne segue alcuna licenza. Il divieto che lo riguarda non è quello sui viventi, è quello sul giudicato, e il giudicato non muta con l'anagrafe: un morto non diventa imputabile per il fatto di non poter più smentire.</w:t>
      </w:r>
    </w:p>
    <w:p>
      <w:pPr>
        <w:spacing w:after="120" w:line="276"/>
        <w:jc w:val="both"/>
      </w:pPr>
      <w:r>
        <w:rPr>
          <w:rFonts w:ascii="Barlow Semi Condensed" w:cs="Barlow Semi Condensed" w:eastAsia="Barlow Semi Condensed" w:hAnsi="Barlow Semi Condensed"/>
          <w:b/>
          <w:bCs/>
          <w:sz w:val="24"/>
          <w:szCs w:val="24"/>
        </w:rPr>
        <w:t xml:space="preserve">2306 · Il divieto costitutivo, e la sua ragione.</w:t>
      </w:r>
      <w:r>
        <w:rPr>
          <w:rFonts w:ascii="Barlow Semi Condensed" w:cs="Barlow Semi Condensed" w:eastAsia="Barlow Semi Condensed" w:hAnsi="Barlow Semi Condensed"/>
          <w:sz w:val="24"/>
          <w:szCs w:val="24"/>
        </w:rPr>
        <w:t xml:space="preserve"> Fissato al capitolo undicesimo della Parte terza, il divieto di imputare oltre il giudicato è chiamato dal repertorio divieto costitutivo dell'opera. Vale più che altrove in un catalogo, vi si legge, perché un elenco dà l'illusione della completezza e quindi della sentenza. Applicato a questo nome, significa che nemmeno l'accumulo di settantacinque bersagli produce una riga di addebito: i bersagli restano domande.</w:t>
      </w:r>
    </w:p>
    <w:p>
      <w:pPr>
        <w:spacing w:after="120" w:line="276"/>
        <w:jc w:val="both"/>
      </w:pPr>
      <w:r>
        <w:rPr>
          <w:rFonts w:ascii="Barlow Semi Condensed" w:cs="Barlow Semi Condensed" w:eastAsia="Barlow Semi Condensed" w:hAnsi="Barlow Semi Condensed"/>
          <w:b/>
          <w:bCs/>
          <w:sz w:val="24"/>
          <w:szCs w:val="24"/>
        </w:rPr>
        <w:t xml:space="preserve">2307 · Il giorno dopo la morte.</w:t>
      </w:r>
      <w:r>
        <w:rPr>
          <w:rFonts w:ascii="Barlow Semi Condensed" w:cs="Barlow Semi Condensed" w:eastAsia="Barlow Semi Condensed" w:hAnsi="Barlow Semi Condensed"/>
          <w:sz w:val="24"/>
          <w:szCs w:val="24"/>
        </w:rPr>
        <w:t xml:space="preserve"> Dato di circolazione da tenere nel catalogo delle congetture spacciate per gradi superiori: le decine di riprese pressoché identiche dell'episodio risalgono a un unico lancio d'agenzia del trenta novembre duemilaventitré, cioè al giorno successivo al decesso. La ripetizione di una sola fonte non moltiplica le fonti. È la pseudoreplica descritta dalla serie dodicesima dei mille blocchi, osservata qui nella sua data esatta.</w:t>
      </w:r>
    </w:p>
    <w:p>
      <w:pPr>
        <w:spacing w:after="120" w:line="276"/>
        <w:jc w:val="both"/>
      </w:pPr>
      <w:r>
        <w:rPr>
          <w:rFonts w:ascii="Barlow Semi Condensed" w:cs="Barlow Semi Condensed" w:eastAsia="Barlow Semi Condensed" w:hAnsi="Barlow Semi Condensed"/>
          <w:b/>
          <w:bCs/>
          <w:sz w:val="24"/>
          <w:szCs w:val="24"/>
        </w:rPr>
        <w:t xml:space="preserve">2308 · La voce che il repertorio guadagnerebbe.</w:t>
      </w:r>
      <w:r>
        <w:rPr>
          <w:rFonts w:ascii="Barlow Semi Condensed" w:cs="Barlow Semi Condensed" w:eastAsia="Barlow Semi Condensed" w:hAnsi="Barlow Semi Condensed"/>
          <w:sz w:val="24"/>
          <w:szCs w:val="24"/>
        </w:rPr>
        <w:t xml:space="preserve"> Formulazione già pronta, se lo statuto accogliesse il quinto grado. Alla lettera K si leggerebbe che la ricerca del documento capace di legare quella persona alla catena di comando del sequestro è stata condotta e chiusa in negativo, che le sedi capaci di riaprirla sono nominabili una per una, e che sull'episodio del millenovecentosettantaquattro esiste una testimonianza contestata con la smentita dell'interessato annotata accanto.</w:t>
      </w:r>
    </w:p>
    <w:p>
      <w:pPr>
        <w:spacing w:after="120" w:line="276"/>
        <w:jc w:val="both"/>
      </w:pPr>
      <w:r>
        <w:rPr>
          <w:rFonts w:ascii="Barlow Semi Condensed" w:cs="Barlow Semi Condensed" w:eastAsia="Barlow Semi Condensed" w:hAnsi="Barlow Semi Condensed"/>
          <w:b/>
          <w:bCs/>
          <w:sz w:val="24"/>
          <w:szCs w:val="24"/>
        </w:rPr>
        <w:t xml:space="preserve">2309 · Che cosa smentirebbe l'intera serie (serie XXX).</w:t>
      </w:r>
      <w:r>
        <w:rPr>
          <w:rFonts w:ascii="Barlow Semi Condensed" w:cs="Barlow Semi Condensed" w:eastAsia="Barlow Semi Condensed" w:hAnsi="Barlow Semi Condensed"/>
          <w:sz w:val="24"/>
          <w:szCs w:val="24"/>
        </w:rPr>
        <w:t xml:space="preserve"> Una serie che non dichiara come cadere non è ricerca. Questa cadrebbe davanti a un solo tipo di reperto: un atto di provenienza, non una memoria e non un'intervista e non una relazione altrui, che nominasse insieme il nome triangolato e uno qualsiasi degli oggetti catalogati nella Fase nona, in rapporto operativo e con data. Un reperto simile trasferirebbe l'intera materia dal piano tre al piano uno.</w:t>
      </w:r>
    </w:p>
    <w:p>
      <w:pPr>
        <w:spacing w:after="120" w:line="276"/>
        <w:jc w:val="both"/>
      </w:pPr>
      <w:r>
        <w:rPr>
          <w:rFonts w:ascii="Barlow Semi Condensed" w:cs="Barlow Semi Condensed" w:eastAsia="Barlow Semi Condensed" w:hAnsi="Barlow Semi Condensed"/>
          <w:b/>
          <w:bCs/>
          <w:sz w:val="24"/>
          <w:szCs w:val="24"/>
        </w:rPr>
        <w:t xml:space="preserve">2310 · Bilancio della triangolazione territoriale.</w:t>
      </w:r>
      <w:r>
        <w:rPr>
          <w:rFonts w:ascii="Barlow Semi Condensed" w:cs="Barlow Semi Condensed" w:eastAsia="Barlow Semi Condensed" w:hAnsi="Barlow Semi Condensed"/>
          <w:sz w:val="24"/>
          <w:szCs w:val="24"/>
        </w:rPr>
        <w:t xml:space="preserve"> Su nove capitoli e sei tavole il nome ricorre una volta sola, in posizione subordinata, dentro la testimonianza di altri. Nessun luogo, nessun documento del caso, nessun atto giudiziario del repertorio lo tocca. Il risultato è un'assenza fitta di sedi nominate, ed è il risultato corretto. Un catalogo che dicesse di più direbbe di troppo, e di cataloghi generosi il caso Moro ha già sofferto abbastanza.</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Serie trentunesima — Le responsabilità personali</w:t>
      </w:r>
    </w:p>
    <w:p>
      <w:pPr>
        <w:spacing w:after="120" w:line="276"/>
        <w:jc w:val="both"/>
      </w:pPr>
      <w:r>
        <w:rPr>
          <w:rFonts w:ascii="Barlow Semi Condensed" w:cs="Barlow Semi Condensed" w:eastAsia="Barlow Semi Condensed" w:hAnsi="Barlow Semi Condensed"/>
          <w:i/>
          <w:iCs/>
          <w:sz w:val="24"/>
          <w:szCs w:val="24"/>
        </w:rPr>
        <w:t xml:space="preserve">Blocchi 2311-2390.</w:t>
      </w:r>
    </w:p>
    <w:p>
      <w:pPr>
        <w:spacing w:after="120" w:line="276"/>
        <w:jc w:val="both"/>
      </w:pPr>
      <w:r>
        <w:rPr>
          <w:rFonts w:ascii="Barlow Semi Condensed" w:cs="Barlow Semi Condensed" w:eastAsia="Barlow Semi Condensed" w:hAnsi="Barlow Semi Condensed"/>
          <w:b/>
          <w:bCs/>
          <w:sz w:val="24"/>
          <w:szCs w:val="24"/>
        </w:rPr>
        <w:t xml:space="preserve">2311 · Zero occorrenze nel capitolo.</w:t>
      </w:r>
      <w:r>
        <w:rPr>
          <w:rFonts w:ascii="Barlow Semi Condensed" w:cs="Barlow Semi Condensed" w:eastAsia="Barlow Semi Condensed" w:hAnsi="Barlow Semi Condensed"/>
          <w:sz w:val="24"/>
          <w:szCs w:val="24"/>
        </w:rPr>
        <w:t xml:space="preserve"> La ricognizione lessicale del file aldo-moro-una-guerra-senza-fine-fase-decima-responsabilita-personali.md restituisce zero occorrenze del cognome Kissinger, in tutti e sei i capitoli dal settantasettesimo all'ottantaduesimo, congedo e nota finale compresi. È un dato verificato, non un'impressione di lettura. Chi volesse smentirlo dovrebbe produrre una redazione diversa del medesimo file: l'assenza è testuale, misurabile, e da qui parte l'intera serie.</w:t>
      </w:r>
    </w:p>
    <w:p>
      <w:pPr>
        <w:spacing w:after="120" w:line="276"/>
        <w:jc w:val="both"/>
      </w:pPr>
      <w:r>
        <w:rPr>
          <w:rFonts w:ascii="Barlow Semi Condensed" w:cs="Barlow Semi Condensed" w:eastAsia="Barlow Semi Condensed" w:hAnsi="Barlow Semi Condensed"/>
          <w:b/>
          <w:bCs/>
          <w:sz w:val="24"/>
          <w:szCs w:val="24"/>
        </w:rPr>
        <w:t xml:space="preserve">2312 · L'assenza come esito corretto.</w:t>
      </w:r>
      <w:r>
        <w:rPr>
          <w:rFonts w:ascii="Barlow Semi Condensed" w:cs="Barlow Semi Condensed" w:eastAsia="Barlow Semi Condensed" w:hAnsi="Barlow Semi Condensed"/>
          <w:sz w:val="24"/>
          <w:szCs w:val="24"/>
        </w:rPr>
        <w:t xml:space="preserve"> Il territorio tace perché il suo criterio d'ingresso è il giudicato: vi entra solo chi una sentenza definitiva ha condannato per il sequestro, per l'eccidio della scorta, per l'omicidio. La Fase nona, al capitolo settantaquattresimo, disponeva ancora di una casella adatta, le figure del contesto catalogate senza addebito, dove l'avvertimento riferito sta al grado B. La Fase decima quella casella non la ha.</w:t>
      </w:r>
    </w:p>
    <w:p>
      <w:pPr>
        <w:spacing w:after="120" w:line="276"/>
        <w:jc w:val="both"/>
      </w:pPr>
      <w:r>
        <w:rPr>
          <w:rFonts w:ascii="Barlow Semi Condensed" w:cs="Barlow Semi Condensed" w:eastAsia="Barlow Semi Condensed" w:hAnsi="Barlow Semi Condensed"/>
          <w:b/>
          <w:bCs/>
          <w:sz w:val="24"/>
          <w:szCs w:val="24"/>
        </w:rPr>
        <w:t xml:space="preserve">2313 · Lo standard del registro nominativo.</w:t>
      </w:r>
      <w:r>
        <w:rPr>
          <w:rFonts w:ascii="Barlow Semi Condensed" w:cs="Barlow Semi Condensed" w:eastAsia="Barlow Semi Condensed" w:hAnsi="Barlow Semi Condensed"/>
          <w:sz w:val="24"/>
          <w:szCs w:val="24"/>
        </w:rPr>
        <w:t xml:space="preserve"> Il capitolo settantanovesimo ammette una persona soltanto quando può indicare, accanto al nome, una condotta accertata e il processo che l'ha resa definitiva: dirigere, sparare, custodire, concorrere. Sono tre colonne e tutte e tre devono essere piene. Per il nome triangolato qui non ne esiste alcuna: nessuna condotta accertata, nessun processo, nessuna definitività. Il vuoto è integrale e va detto per intero, senza attenuazioni.</w:t>
      </w:r>
    </w:p>
    <w:p>
      <w:pPr>
        <w:spacing w:after="120" w:line="276"/>
        <w:jc w:val="both"/>
      </w:pPr>
      <w:r>
        <w:rPr>
          <w:rFonts w:ascii="Barlow Semi Condensed" w:cs="Barlow Semi Condensed" w:eastAsia="Barlow Semi Condensed" w:hAnsi="Barlow Semi Condensed"/>
          <w:b/>
          <w:bCs/>
          <w:sz w:val="24"/>
          <w:szCs w:val="24"/>
        </w:rPr>
        <w:t xml:space="preserve">2314 · Dove il nome starebbe, se stesse.</w:t>
      </w:r>
      <w:r>
        <w:rPr>
          <w:rFonts w:ascii="Barlow Semi Condensed" w:cs="Barlow Semi Condensed" w:eastAsia="Barlow Semi Condensed" w:hAnsi="Barlow Semi Condensed"/>
          <w:sz w:val="24"/>
          <w:szCs w:val="24"/>
        </w:rPr>
        <w:t xml:space="preserve"> La terza avvertenza del registro colloca fuori dal proprio perimetro chiunque sia stato evocato come mandante, come presenza o come centauro, e lo assegna ai gradi B o C senza scriverne il nome. È l'unica casella in cui la pubblicistica colloca abitualmente questo cognome. Il territorio dunque lo prevede per categoria e lo esclude per disciplina: la casella esiste, è dichiarata, ed è vuota di nomi.</w:t>
      </w:r>
    </w:p>
    <w:p>
      <w:pPr>
        <w:spacing w:after="120" w:line="276"/>
        <w:jc w:val="both"/>
      </w:pPr>
      <w:r>
        <w:rPr>
          <w:rFonts w:ascii="Barlow Semi Condensed" w:cs="Barlow Semi Condensed" w:eastAsia="Barlow Semi Condensed" w:hAnsi="Barlow Semi Condensed"/>
          <w:b/>
          <w:bCs/>
          <w:sz w:val="24"/>
          <w:szCs w:val="24"/>
        </w:rPr>
        <w:t xml:space="preserve">2315 · La riga della tavola conclusiva.</w:t>
      </w:r>
      <w:r>
        <w:rPr>
          <w:rFonts w:ascii="Barlow Semi Condensed" w:cs="Barlow Semi Condensed" w:eastAsia="Barlow Semi Condensed" w:hAnsi="Barlow Semi Condensed"/>
          <w:sz w:val="24"/>
          <w:szCs w:val="24"/>
        </w:rPr>
        <w:t xml:space="preserve"> Fra le cinque eliminazioni del capitolo ottantaduesimo compare, senza attenuanti, ogni nome oltre il giudicato, insieme a ogni percentuale e a ogni graduatoria, con la motivazione che si tratta di un divieto costitutivo dell'opera. Applicata al nome di questa triangolazione, quella riga opera da sé: non serve un'esclusione speciale, perché la regola generale la produce già. Al suo posto restano custoditi i gradi B e C dichiarati.</w:t>
      </w:r>
    </w:p>
    <w:p>
      <w:pPr>
        <w:spacing w:after="120" w:line="276"/>
        <w:jc w:val="both"/>
      </w:pPr>
      <w:r>
        <w:rPr>
          <w:rFonts w:ascii="Barlow Semi Condensed" w:cs="Barlow Semi Condensed" w:eastAsia="Barlow Semi Condensed" w:hAnsi="Barlow Semi Condensed"/>
          <w:b/>
          <w:bCs/>
          <w:sz w:val="24"/>
          <w:szCs w:val="24"/>
        </w:rPr>
        <w:t xml:space="preserve">2316 · Chi il congedo nomina davvero.</w:t>
      </w:r>
      <w:r>
        <w:rPr>
          <w:rFonts w:ascii="Barlow Semi Condensed" w:cs="Barlow Semi Condensed" w:eastAsia="Barlow Semi Condensed" w:hAnsi="Barlow Semi Condensed"/>
          <w:sz w:val="24"/>
          <w:szCs w:val="24"/>
        </w:rPr>
        <w:t xml:space="preserve"> Il congedo della Fase decima compila tre elenchi: tredici condannati con le loro condotte, un'assolta che resta assolta, e sei vittime, Oreste Leonardi, Domenico Ricci, Giulio Rivera, Francesco Zizzi, Raffaele Iozzino, Aldo Moro. Nessun quarto elenco esiste. Chi cerchi in questo territorio una categoria di responsabili morali, di ispiratori o di beneficiari non la trova, perché il capitolo non l'ha costruita e non la presuppone.</w:t>
      </w:r>
    </w:p>
    <w:p>
      <w:pPr>
        <w:spacing w:after="120" w:line="276"/>
        <w:jc w:val="both"/>
      </w:pPr>
      <w:r>
        <w:rPr>
          <w:rFonts w:ascii="Barlow Semi Condensed" w:cs="Barlow Semi Condensed" w:eastAsia="Barlow Semi Condensed" w:hAnsi="Barlow Semi Condensed"/>
          <w:b/>
          <w:bCs/>
          <w:sz w:val="24"/>
          <w:szCs w:val="24"/>
        </w:rPr>
        <w:t xml:space="preserve">2317 · Che cosa smentirebbe questo silenzio.</w:t>
      </w:r>
      <w:r>
        <w:rPr>
          <w:rFonts w:ascii="Barlow Semi Condensed" w:cs="Barlow Semi Condensed" w:eastAsia="Barlow Semi Condensed" w:hAnsi="Barlow Semi Condensed"/>
          <w:sz w:val="24"/>
          <w:szCs w:val="24"/>
        </w:rPr>
        <w:t xml:space="preserve"> Un solo reperto rovescerebbe l'accertamento: un provvedimento di rinvio a giudizio, oppure una sentenza divenuta definitiva, che attribuisca a Henry Kissinger una condotta personale nel sequestro o nell'omicidio, in Italia o altrove. Nessun ordinamento ne ha mai emesso uno, e nessuna imputazione fu mai formulata. Finché il reperto non compare, il territorio resta muto su di lui per struttura del proprio criterio, non per scelta redazionale.</w:t>
      </w:r>
    </w:p>
    <w:p>
      <w:pPr>
        <w:spacing w:after="120" w:line="276"/>
        <w:jc w:val="both"/>
      </w:pPr>
      <w:r>
        <w:rPr>
          <w:rFonts w:ascii="Barlow Semi Condensed" w:cs="Barlow Semi Condensed" w:eastAsia="Barlow Semi Condensed" w:hAnsi="Barlow Semi Condensed"/>
          <w:b/>
          <w:bCs/>
          <w:sz w:val="24"/>
          <w:szCs w:val="24"/>
        </w:rPr>
        <w:t xml:space="preserve">2318 · Uno Stato Zero di pieno valore.</w:t>
      </w:r>
      <w:r>
        <w:rPr>
          <w:rFonts w:ascii="Barlow Semi Condensed" w:cs="Barlow Semi Condensed" w:eastAsia="Barlow Semi Condensed" w:hAnsi="Barlow Semi Condensed"/>
          <w:sz w:val="24"/>
          <w:szCs w:val="24"/>
        </w:rPr>
        <w:t xml:space="preserve"> Dichiarare un'assenza con esattezza è un'acquisizione e non una rinuncia: dice al lettore che qui si è cercato, dove si è cercato, e che il risultato è negativo. La Fase sesta lo aveva già enunciato nel proprio perimetro negativo, elencando fra i documenti cercati e non trovati quello che leghi Kissinger-persona alla catena di comando del delitto. La Fase decima ne offre la conferma dal lato dei nomi.</w:t>
      </w:r>
    </w:p>
    <w:p>
      <w:pPr>
        <w:spacing w:after="120" w:line="276"/>
        <w:jc w:val="both"/>
      </w:pPr>
      <w:r>
        <w:rPr>
          <w:rFonts w:ascii="Barlow Semi Condensed" w:cs="Barlow Semi Condensed" w:eastAsia="Barlow Semi Condensed" w:hAnsi="Barlow Semi Condensed"/>
          <w:b/>
          <w:bCs/>
          <w:sz w:val="24"/>
          <w:szCs w:val="24"/>
        </w:rPr>
        <w:t xml:space="preserve">2319 · La prima deriva, verso il nome.</w:t>
      </w:r>
      <w:r>
        <w:rPr>
          <w:rFonts w:ascii="Barlow Semi Condensed" w:cs="Barlow Semi Condensed" w:eastAsia="Barlow Semi Condensed" w:hAnsi="Barlow Semi Condensed"/>
          <w:sz w:val="24"/>
          <w:szCs w:val="24"/>
        </w:rPr>
        <w:t xml:space="preserve"> La prima deriva vietata dal capitolo settantasettesimo scende dal gruppo al singolo: apparteneva alle Brigate Rosse, dunque è corresponsabile di via Fani. Trasferito sul versante atlantico, il divieto suona così: fu segretario di Stato dell'amministrazione che osteggiava l'ingresso comunista, dunque risponde di ciò che accadde a Roma nel 1978. È la medesima inferenza, con la medesima struttura, e cade per la medesima ragione.</w:t>
      </w:r>
    </w:p>
    <w:p>
      <w:pPr>
        <w:spacing w:after="120" w:line="276"/>
        <w:jc w:val="both"/>
      </w:pPr>
      <w:r>
        <w:rPr>
          <w:rFonts w:ascii="Barlow Semi Condensed" w:cs="Barlow Semi Condensed" w:eastAsia="Barlow Semi Condensed" w:hAnsi="Barlow Semi Condensed"/>
          <w:b/>
          <w:bCs/>
          <w:sz w:val="24"/>
          <w:szCs w:val="24"/>
        </w:rPr>
        <w:t xml:space="preserve">2320 · La seconda deriva e la sua comodità.</w:t>
      </w:r>
      <w:r>
        <w:rPr>
          <w:rFonts w:ascii="Barlow Semi Condensed" w:cs="Barlow Semi Condensed" w:eastAsia="Barlow Semi Condensed" w:hAnsi="Barlow Semi Condensed"/>
          <w:sz w:val="24"/>
          <w:szCs w:val="24"/>
        </w:rPr>
        <w:t xml:space="preserve"> Più sottile è il movimento inverso, che il capitolo chiama deresponsabilizzazione collettiva ascendente: dire fu Washington, fu l'Alleanza, fu la Guerra fredda, e lasciare che la colpa evapori salendo. Il territorio lo vieta per i gruppi armati e la ragione vale identica per gli apparati statali, perché un collettivo non è un soggetto morale capace di assorbire condotte. Se una condotta ci fosse, avrebbe un nome e un atto.</w:t>
      </w:r>
    </w:p>
    <w:p>
      <w:pPr>
        <w:spacing w:after="120" w:line="276"/>
        <w:jc w:val="both"/>
      </w:pPr>
      <w:r>
        <w:rPr>
          <w:rFonts w:ascii="Barlow Semi Condensed" w:cs="Barlow Semi Condensed" w:eastAsia="Barlow Semi Condensed" w:hAnsi="Barlow Semi Condensed"/>
          <w:b/>
          <w:bCs/>
          <w:sz w:val="24"/>
          <w:szCs w:val="24"/>
        </w:rPr>
        <w:t xml:space="preserve">2321 · L'ente e il membro, in due sensi.</w:t>
      </w:r>
      <w:r>
        <w:rPr>
          <w:rFonts w:ascii="Barlow Semi Condensed" w:cs="Barlow Semi Condensed" w:eastAsia="Barlow Semi Condensed" w:hAnsi="Barlow Semi Condensed"/>
          <w:sz w:val="24"/>
          <w:szCs w:val="24"/>
        </w:rPr>
        <w:t xml:space="preserve"> Nessun ente è colpevole delle condotte dei suoi membri, nessun membro è colpevole dell'esistenza del suo ente: così chiude il capitolo ottantunesimo, che applica la formula ai Lupi Grigi del dossier turco e all'Opus Dei dei versanti mediterranei. Estesa al Consiglio di sicurezza nazionale e al Dipartimento di Stato, produce due divieti in un colpo solo, e non ne ammette uno senza l'altro.</w:t>
      </w:r>
    </w:p>
    <w:p>
      <w:pPr>
        <w:spacing w:after="120" w:line="276"/>
        <w:jc w:val="both"/>
      </w:pPr>
      <w:r>
        <w:rPr>
          <w:rFonts w:ascii="Barlow Semi Condensed" w:cs="Barlow Semi Condensed" w:eastAsia="Barlow Semi Condensed" w:hAnsi="Barlow Semi Condensed"/>
          <w:b/>
          <w:bCs/>
          <w:sz w:val="24"/>
          <w:szCs w:val="24"/>
        </w:rPr>
        <w:t xml:space="preserve">2322 · Vera come storia, falsa come colpa.</w:t>
      </w:r>
      <w:r>
        <w:rPr>
          <w:rFonts w:ascii="Barlow Semi Condensed" w:cs="Barlow Semi Condensed" w:eastAsia="Barlow Semi Condensed" w:hAnsi="Barlow Semi Condensed"/>
          <w:sz w:val="24"/>
          <w:szCs w:val="24"/>
        </w:rPr>
        <w:t xml:space="preserve"> Le Brigate Rosse uccisero Moro è, per il capitolo settantasettesimo, descrizione storica vera di un atto rivendicato e attribuzione di colpa falsa. Il calco regge sul versante americano: gli Stati Uniti si opposero all'ingresso dei comunisti nell'area di governo è descrizione documentata, attestata dal verbale del 25 settembre 1974, e diventa falsa nell'istante in cui la si adopera per attribuire una condotta personale a chicchessia.</w:t>
      </w:r>
    </w:p>
    <w:p>
      <w:pPr>
        <w:spacing w:after="120" w:line="276"/>
        <w:jc w:val="both"/>
      </w:pPr>
      <w:r>
        <w:rPr>
          <w:rFonts w:ascii="Barlow Semi Condensed" w:cs="Barlow Semi Condensed" w:eastAsia="Barlow Semi Condensed" w:hAnsi="Barlow Semi Condensed"/>
          <w:b/>
          <w:bCs/>
          <w:sz w:val="24"/>
          <w:szCs w:val="24"/>
        </w:rPr>
        <w:t xml:space="preserve">2323 · La lista dei gruppi e il buco.</w:t>
      </w:r>
      <w:r>
        <w:rPr>
          <w:rFonts w:ascii="Barlow Semi Condensed" w:cs="Barlow Semi Condensed" w:eastAsia="Barlow Semi Condensed" w:hAnsi="Barlow Semi Condensed"/>
          <w:sz w:val="24"/>
          <w:szCs w:val="24"/>
        </w:rPr>
        <w:t xml:space="preserve"> Il quarto punto della nota di lettura estende la disciplina a ogni altro gruppo nominato nel corpus, ed elenca i GAP, il Superclan, Hyperion, i Lupi Grigi, l'Opus Dei. Non elenca alcun apparato statale straniero. La formula ogni altro gruppo li comprende per estensione, ma l'elenco non li nomina: è una lacuna redazionale che si chiude con una riga, e questa serie la verbalizza perché sia chiusa.</w:t>
      </w:r>
    </w:p>
    <w:p>
      <w:pPr>
        <w:spacing w:after="120" w:line="276"/>
        <w:jc w:val="both"/>
      </w:pPr>
      <w:r>
        <w:rPr>
          <w:rFonts w:ascii="Barlow Semi Condensed" w:cs="Barlow Semi Condensed" w:eastAsia="Barlow Semi Condensed" w:hAnsi="Barlow Semi Condensed"/>
          <w:b/>
          <w:bCs/>
          <w:sz w:val="24"/>
          <w:szCs w:val="24"/>
        </w:rPr>
        <w:t xml:space="preserve">2324 · Gli atti d'ufficio e la persona.</w:t>
      </w:r>
      <w:r>
        <w:rPr>
          <w:rFonts w:ascii="Barlow Semi Condensed" w:cs="Barlow Semi Condensed" w:eastAsia="Barlow Semi Condensed" w:hAnsi="Barlow Semi Condensed"/>
          <w:sz w:val="24"/>
          <w:szCs w:val="24"/>
        </w:rPr>
        <w:t xml:space="preserve"> Restano fatti dell'organizzazione, per il secondo punto della nota di lettura, i nove comunicati, il falso numero sette, la rivendicazione e la sigla, di grado alto quanto a esistenza e provenienza, mentre il giudizio penale torna alla persona. Lo stesso taglio serve ai memoranda of conversation, ai national security decision memoranda e ai telegrammi: esistono, sono autentici, sono atti d'ufficio. Nulla di ciò imputa qualcuno.</w:t>
      </w:r>
    </w:p>
    <w:p>
      <w:pPr>
        <w:spacing w:after="120" w:line="276"/>
        <w:jc w:val="both"/>
      </w:pPr>
      <w:r>
        <w:rPr>
          <w:rFonts w:ascii="Barlow Semi Condensed" w:cs="Barlow Semi Condensed" w:eastAsia="Barlow Semi Condensed" w:hAnsi="Barlow Semi Condensed"/>
          <w:b/>
          <w:bCs/>
          <w:sz w:val="24"/>
          <w:szCs w:val="24"/>
        </w:rPr>
        <w:t xml:space="preserve">2325 · Nulla si trasmette per appartenenza.</w:t>
      </w:r>
      <w:r>
        <w:rPr>
          <w:rFonts w:ascii="Barlow Semi Condensed" w:cs="Barlow Semi Condensed" w:eastAsia="Barlow Semi Condensed" w:hAnsi="Barlow Semi Condensed"/>
          <w:sz w:val="24"/>
          <w:szCs w:val="24"/>
        </w:rPr>
        <w:t xml:space="preserve"> Nessuna proprietà del gruppo si trasmette ai membri, e nessuna colpa dei membri si trasmette al gruppo o agli altri membri: è il terzo punto della nota, il più radicale. Chi era brigatista senza condanna per il caso Moro non c'entra col caso Moro. Chi sedette in un consiglio di sicurezza nazionale non risponde di ciò che altri fecero in nome di quel consiglio, e viceversa.</w:t>
      </w:r>
    </w:p>
    <w:p>
      <w:pPr>
        <w:spacing w:after="120" w:line="276"/>
        <w:jc w:val="both"/>
      </w:pPr>
      <w:r>
        <w:rPr>
          <w:rFonts w:ascii="Barlow Semi Condensed" w:cs="Barlow Semi Condensed" w:eastAsia="Barlow Semi Condensed" w:hAnsi="Barlow Semi Condensed"/>
          <w:b/>
          <w:bCs/>
          <w:sz w:val="24"/>
          <w:szCs w:val="24"/>
        </w:rPr>
        <w:t xml:space="preserve">2326 · Metodo, non equidistanza morale.</w:t>
      </w:r>
      <w:r>
        <w:rPr>
          <w:rFonts w:ascii="Barlow Semi Condensed" w:cs="Barlow Semi Condensed" w:eastAsia="Barlow Semi Condensed" w:hAnsi="Barlow Semi Condensed"/>
          <w:sz w:val="24"/>
          <w:szCs w:val="24"/>
        </w:rPr>
        <w:t xml:space="preserve"> L'ultima riga del capitolo ottantunesimo previene l'obiezione più prevedibile: applicare la stessa regola a un'organizzazione armata, a un ente confessionale e a un apparato di governo straniero non significa equipararli moralmente, significa usare un solo metro. Chi chiedesse un metro più largo per il nome triangolato qui otterrebbe, per necessità logica, un metro più largo anche per i tredici del registro, cioè la fine del registro.</w:t>
      </w:r>
    </w:p>
    <w:p>
      <w:pPr>
        <w:spacing w:after="120" w:line="276"/>
        <w:jc w:val="both"/>
      </w:pPr>
      <w:r>
        <w:rPr>
          <w:rFonts w:ascii="Barlow Semi Condensed" w:cs="Barlow Semi Condensed" w:eastAsia="Barlow Semi Condensed" w:hAnsi="Barlow Semi Condensed"/>
          <w:b/>
          <w:bCs/>
          <w:sz w:val="24"/>
          <w:szCs w:val="24"/>
        </w:rPr>
        <w:t xml:space="preserve">2327 · Il verbale che esiste davvero.</w:t>
      </w:r>
      <w:r>
        <w:rPr>
          <w:rFonts w:ascii="Barlow Semi Condensed" w:cs="Barlow Semi Condensed" w:eastAsia="Barlow Semi Condensed" w:hAnsi="Barlow Semi Condensed"/>
          <w:sz w:val="24"/>
          <w:szCs w:val="24"/>
        </w:rPr>
        <w:t xml:space="preserve"> Al piano uno il corpus possiede un documento e uno soltanto che metta nella stessa stanza Aldo Moro e Henry Kissinger: il memorandum of conversation dello Studio Ovale del 25 settembre 1974, con Giovanni Leone, Gerald Ford e Brent Scowcroft, edito come documento 350 del volume FRUS 1969-1976 E-15 parte seconda, seconda edizione riveduta, e conservato alla Ford Library col numero 1552802. Attesta una posizione politica; non contiene alcun ultimatum personale.</w:t>
      </w:r>
    </w:p>
    <w:p>
      <w:pPr>
        <w:spacing w:after="120" w:line="276"/>
        <w:jc w:val="both"/>
      </w:pPr>
      <w:r>
        <w:rPr>
          <w:rFonts w:ascii="Barlow Semi Condensed" w:cs="Barlow Semi Condensed" w:eastAsia="Barlow Semi Condensed" w:hAnsi="Barlow Semi Condensed"/>
          <w:b/>
          <w:bCs/>
          <w:sz w:val="24"/>
          <w:szCs w:val="24"/>
        </w:rPr>
        <w:t xml:space="preserve">2328 · Il secondo verbale, da leggere.</w:t>
      </w:r>
      <w:r>
        <w:rPr>
          <w:rFonts w:ascii="Barlow Semi Condensed" w:cs="Barlow Semi Condensed" w:eastAsia="Barlow Semi Condensed" w:hAnsi="Barlow Semi Condensed"/>
          <w:sz w:val="24"/>
          <w:szCs w:val="24"/>
        </w:rPr>
        <w:t xml:space="preserve"> Esiste anche un verbale dell'incontro del giorno successivo, il 26 settembre 1974, conservato alla Gerald R. Ford Presidential Library col numero 1552806, sui cui contenuti gli estratti finora reperiti sono parziali e non del tutto concordi. Il bersaglio è preciso: acquisirne il testo integrale dalla serie dei National Security Adviser's Memoranda of Conversation e collazionarlo col precedente. Finché non è letto, non se ne trae nulla.</w:t>
      </w:r>
    </w:p>
    <w:p>
      <w:pPr>
        <w:spacing w:after="120" w:line="276"/>
        <w:jc w:val="both"/>
      </w:pPr>
      <w:r>
        <w:rPr>
          <w:rFonts w:ascii="Barlow Semi Condensed" w:cs="Barlow Semi Condensed" w:eastAsia="Barlow Semi Condensed" w:hAnsi="Barlow Semi Condensed"/>
          <w:b/>
          <w:bCs/>
          <w:sz w:val="24"/>
          <w:szCs w:val="24"/>
        </w:rPr>
        <w:t xml:space="preserve">2329 · Le date della visita divergono.</w:t>
      </w:r>
      <w:r>
        <w:rPr>
          <w:rFonts w:ascii="Barlow Semi Condensed" w:cs="Barlow Semi Condensed" w:eastAsia="Barlow Semi Condensed" w:hAnsi="Barlow Semi Condensed"/>
          <w:sz w:val="24"/>
          <w:szCs w:val="24"/>
        </w:rPr>
        <w:t xml:space="preserve"> Gli atti presidenziali pubblicati collocano la visita di Stato fra il 25 e il 29 settembre 1974; la nota editoriale del volume FRUS la colloca fra il 25 e il 27. La divergenza è minuta e va riportata ugualmente, perché ogni ricostruzione che poggi su un colloquio a margine dipende da quanti margini quella visita abbia avuto. Si segnala e non si sceglie: decide il programma ufficiale conservato alla Ford Library.</w:t>
      </w:r>
    </w:p>
    <w:p>
      <w:pPr>
        <w:spacing w:after="120" w:line="276"/>
        <w:jc w:val="both"/>
      </w:pPr>
      <w:r>
        <w:rPr>
          <w:rFonts w:ascii="Barlow Semi Condensed" w:cs="Barlow Semi Condensed" w:eastAsia="Barlow Semi Condensed" w:hAnsi="Barlow Semi Condensed"/>
          <w:b/>
          <w:bCs/>
          <w:sz w:val="24"/>
          <w:szCs w:val="24"/>
        </w:rPr>
        <w:t xml:space="preserve">2330 · Marzo 1969, prima del ministero.</w:t>
      </w:r>
      <w:r>
        <w:rPr>
          <w:rFonts w:ascii="Barlow Semi Condensed" w:cs="Barlow Semi Condensed" w:eastAsia="Barlow Semi Condensed" w:hAnsi="Barlow Semi Condensed"/>
          <w:sz w:val="24"/>
          <w:szCs w:val="24"/>
        </w:rPr>
        <w:t xml:space="preserve"> Il documento 180 del volume XLI dei FRUS verbalizza la riunione dell'11 marzo 1969 presieduta da Kissinger nella quale, illustrate origini e livelli del sostegno coperto ai partiti italiani dal 1948 al 1968, i presenti convennero all'unanimità che non vi fosse reale giustificazione per riprenderlo. Aldo Moro divenne ministro degli Esteri il 5 agosto 1969: la contemporaneità è soltanto apparente, e il corpus l'ha già dichiarata tale.</w:t>
      </w:r>
    </w:p>
    <w:p>
      <w:pPr>
        <w:spacing w:after="120" w:line="276"/>
        <w:jc w:val="both"/>
      </w:pPr>
      <w:r>
        <w:rPr>
          <w:rFonts w:ascii="Barlow Semi Condensed" w:cs="Barlow Semi Condensed" w:eastAsia="Barlow Semi Condensed" w:hAnsi="Barlow Semi Condensed"/>
          <w:b/>
          <w:bCs/>
          <w:sz w:val="24"/>
          <w:szCs w:val="24"/>
        </w:rPr>
        <w:t xml:space="preserve">2331 · Lo studio sull'Italia del 1969.</w:t>
      </w:r>
      <w:r>
        <w:rPr>
          <w:rFonts w:ascii="Barlow Semi Condensed" w:cs="Barlow Semi Condensed" w:eastAsia="Barlow Semi Condensed" w:hAnsi="Barlow Semi Condensed"/>
          <w:sz w:val="24"/>
          <w:szCs w:val="24"/>
        </w:rPr>
        <w:t xml:space="preserve"> Nello stesso volume, il documento 188 registra l'istruzione impartita da Richard Nixon nel dicembre 1969 di avviare uno studio sull'Italia. È un atto di indirizzo datato, protocollato e leggibile, esattamente il tipo di reperto che il registro pretenderebbe se si trattasse di una condotta. Ma uno studio resta uno studio, e fra un ordine di analisi del 1969 e un'operazione armata del 1978 non esiste documento di raccordo.</w:t>
      </w:r>
    </w:p>
    <w:p>
      <w:pPr>
        <w:spacing w:after="120" w:line="276"/>
        <w:jc w:val="both"/>
      </w:pPr>
      <w:r>
        <w:rPr>
          <w:rFonts w:ascii="Barlow Semi Condensed" w:cs="Barlow Semi Condensed" w:eastAsia="Barlow Semi Condensed" w:hAnsi="Barlow Semi Condensed"/>
          <w:b/>
          <w:bCs/>
          <w:sz w:val="24"/>
          <w:szCs w:val="24"/>
        </w:rPr>
        <w:t xml:space="preserve">2332 · Helsinki e l'insofferenza riferita (serie XXXI).</w:t>
      </w:r>
      <w:r>
        <w:rPr>
          <w:rFonts w:ascii="Barlow Semi Condensed" w:cs="Barlow Semi Condensed" w:eastAsia="Barlow Semi Condensed" w:hAnsi="Barlow Semi Condensed"/>
          <w:sz w:val="24"/>
          <w:szCs w:val="24"/>
        </w:rPr>
        <w:t xml:space="preserve"> La firma dell'Atto finale, il primo agosto 1975, vede Moro sottoscrivere nella duplice qualità di presidente del Consiglio e presidente di turno del Consiglio delle Comunità: il fatto è documentato, e il telegramma del 2 agosto 1975, edito come documento 334 del volume XXXIX, ne descrive la cerimonia. Che egli abbia agito sfidando l'insofferenza di Kissinger è invece formula giornalistica, di piano tre, e come tale si cita.</w:t>
      </w:r>
    </w:p>
    <w:p>
      <w:pPr>
        <w:spacing w:after="120" w:line="276"/>
        <w:jc w:val="both"/>
      </w:pPr>
      <w:r>
        <w:rPr>
          <w:rFonts w:ascii="Barlow Semi Condensed" w:cs="Barlow Semi Condensed" w:eastAsia="Barlow Semi Condensed" w:hAnsi="Barlow Semi Condensed"/>
          <w:b/>
          <w:bCs/>
          <w:sz w:val="24"/>
          <w:szCs w:val="24"/>
        </w:rPr>
        <w:t xml:space="preserve">2333 · La frase sul Portogallo, edita.</w:t>
      </w:r>
      <w:r>
        <w:rPr>
          <w:rFonts w:ascii="Barlow Semi Condensed" w:cs="Barlow Semi Condensed" w:eastAsia="Barlow Semi Condensed" w:hAnsi="Barlow Semi Condensed"/>
          <w:sz w:val="24"/>
          <w:szCs w:val="24"/>
        </w:rPr>
        <w:t xml:space="preserve"> Nel volume E-15 parte seconda il documento 153 conserva il timore espresso per Lisbona: non una presa del potere comunista, ma un regime neutralista di sinistra che restasse nella NATO. È fonte primaria sulla dottrina, utile a capire come quell'ufficio pensava l'Europa meridionale. Non tocca l'Italia del 1978 e non tocca nessuno dei tredici nomi: si registra come contesto documentato, e si ferma lì.</w:t>
      </w:r>
    </w:p>
    <w:p>
      <w:pPr>
        <w:spacing w:after="120" w:line="276"/>
        <w:jc w:val="both"/>
      </w:pPr>
      <w:r>
        <w:rPr>
          <w:rFonts w:ascii="Barlow Semi Condensed" w:cs="Barlow Semi Condensed" w:eastAsia="Barlow Semi Condensed" w:hAnsi="Barlow Semi Condensed"/>
          <w:b/>
          <w:bCs/>
          <w:sz w:val="24"/>
          <w:szCs w:val="24"/>
        </w:rPr>
        <w:t xml:space="preserve">2334 · Il programma coperto e il 1976.</w:t>
      </w:r>
      <w:r>
        <w:rPr>
          <w:rFonts w:ascii="Barlow Semi Condensed" w:cs="Barlow Semi Condensed" w:eastAsia="Barlow Semi Condensed" w:hAnsi="Barlow Semi Condensed"/>
          <w:sz w:val="24"/>
          <w:szCs w:val="24"/>
        </w:rPr>
        <w:t xml:space="preserve"> Uno studio con revisione tra pari uscito nel 2024 segnala che il programma di azione coperta in Italia riemerse nel novembre 1975 e nel luglio 1976, quando Moro era presidente del Consiglio. È letteratura scientifica e non atto: indica dove cercare, non che cosa accadde. Il bersaglio che ne discende è la serie dei documenti citati in quel saggio, da acquisire in originale presso i National Archives di College Park.</w:t>
      </w:r>
    </w:p>
    <w:p>
      <w:pPr>
        <w:spacing w:after="120" w:line="276"/>
        <w:jc w:val="both"/>
      </w:pPr>
      <w:r>
        <w:rPr>
          <w:rFonts w:ascii="Barlow Semi Condensed" w:cs="Barlow Semi Condensed" w:eastAsia="Barlow Semi Condensed" w:hAnsi="Barlow Semi Condensed"/>
          <w:b/>
          <w:bCs/>
          <w:sz w:val="24"/>
          <w:szCs w:val="24"/>
        </w:rPr>
        <w:t xml:space="preserve">2335 · Che cosa quei documenti non contengono.</w:t>
      </w:r>
      <w:r>
        <w:rPr>
          <w:rFonts w:ascii="Barlow Semi Condensed" w:cs="Barlow Semi Condensed" w:eastAsia="Barlow Semi Condensed" w:hAnsi="Barlow Semi Condensed"/>
          <w:sz w:val="24"/>
          <w:szCs w:val="24"/>
        </w:rPr>
        <w:t xml:space="preserve"> Nessuno dei reperti americani finora reperiti dal corpus, il verbale dello Studio Ovale, quello del giorno seguente, i documenti del volume XLI, il memorandum sul papavero turco, nomina una sola delle tredici persone del registro, né descrive una condotta riferibile ai cinquantacinque giorni. È un esito negativo omogeneo, ottenuto su fonti diverse e per vie indipendenti, e proprio per questo va scritto come acquisizione e non taciuto.</w:t>
      </w:r>
    </w:p>
    <w:p>
      <w:pPr>
        <w:spacing w:after="120" w:line="276"/>
        <w:jc w:val="both"/>
      </w:pPr>
      <w:r>
        <w:rPr>
          <w:rFonts w:ascii="Barlow Semi Condensed" w:cs="Barlow Semi Condensed" w:eastAsia="Barlow Semi Condensed" w:hAnsi="Barlow Semi Condensed"/>
          <w:b/>
          <w:bCs/>
          <w:sz w:val="24"/>
          <w:szCs w:val="24"/>
        </w:rPr>
        <w:t xml:space="preserve">2336 · Due corpora che non si toccano.</w:t>
      </w:r>
      <w:r>
        <w:rPr>
          <w:rFonts w:ascii="Barlow Semi Condensed" w:cs="Barlow Semi Condensed" w:eastAsia="Barlow Semi Condensed" w:hAnsi="Barlow Semi Condensed"/>
          <w:sz w:val="24"/>
          <w:szCs w:val="24"/>
        </w:rPr>
        <w:t xml:space="preserve"> Da un lato gli atti dei cinque processi Moro, con le loro motivazioni e i loro tredici nomi; dall'altro il corpus diplomatico americano, coi suoi verbali e i suoi indirizzi di politica estera. Nessun documento noto appartiene a entrambi. Il bersaglio è l'incrocio nominale sistematico: cercare i tredici cognomi nei Central Foreign Policy Files e i nomi dei verbali negli atti processuali digitalizzati, verbalizzando anche le ricerche a vuoto.</w:t>
      </w:r>
    </w:p>
    <w:p>
      <w:pPr>
        <w:spacing w:after="120" w:line="276"/>
        <w:jc w:val="both"/>
      </w:pPr>
      <w:r>
        <w:rPr>
          <w:rFonts w:ascii="Barlow Semi Condensed" w:cs="Barlow Semi Condensed" w:eastAsia="Barlow Semi Condensed" w:hAnsi="Barlow Semi Condensed"/>
          <w:b/>
          <w:bCs/>
          <w:sz w:val="24"/>
          <w:szCs w:val="24"/>
        </w:rPr>
        <w:t xml:space="preserve">2337 · La stessa corte, lo stesso processo.</w:t>
      </w:r>
      <w:r>
        <w:rPr>
          <w:rFonts w:ascii="Barlow Semi Condensed" w:cs="Barlow Semi Condensed" w:eastAsia="Barlow Semi Condensed" w:hAnsi="Barlow Semi Condensed"/>
          <w:sz w:val="24"/>
          <w:szCs w:val="24"/>
        </w:rPr>
        <w:t xml:space="preserve"> Il registro dei tredici nasce dalla sentenza del 24 gennaio 1983 della prima Corte d'assise di Roma presieduta da Severino Santiapichi, che unificò i tronconi Moro uno e Moro bis. È la stessa corte davanti alla quale, nel novembre 1982, fu resa la deposizione da cui l'intera vicenda dell'avvertimento discende. Il nome entrò in quel processo come materiale testimoniale, mai come contestazione: la distinzione è tutto.</w:t>
      </w:r>
    </w:p>
    <w:p>
      <w:pPr>
        <w:spacing w:after="120" w:line="276"/>
        <w:jc w:val="both"/>
      </w:pPr>
      <w:r>
        <w:rPr>
          <w:rFonts w:ascii="Barlow Semi Condensed" w:cs="Barlow Semi Condensed" w:eastAsia="Barlow Semi Condensed" w:hAnsi="Barlow Semi Condensed"/>
          <w:b/>
          <w:bCs/>
          <w:sz w:val="24"/>
          <w:szCs w:val="24"/>
        </w:rPr>
        <w:t xml:space="preserve">2338 · Il nome ottenuto, non offerto (serie XXXI).</w:t>
      </w:r>
      <w:r>
        <w:rPr>
          <w:rFonts w:ascii="Barlow Semi Condensed" w:cs="Barlow Semi Condensed" w:eastAsia="Barlow Semi Condensed" w:hAnsi="Barlow Semi Condensed"/>
          <w:sz w:val="24"/>
          <w:szCs w:val="24"/>
        </w:rPr>
        <w:t xml:space="preserve"> In aula la vedova di Aldo Moro parlò di un'alta personalità senza pronunciare alcun cognome; fu il presidente della corte, richiamando la deposizione del portavoce, a ottenere l'indicazione. L'attribuzione del nome è perciò essa stessa indiretta, prodotta dalla domanda e non dalla dichiarazione spontanea. Chi cita quella testimonianza come se il nome fosse stato offerto dal teste riferisce un'altra cosa da quella che accadde.</w:t>
      </w:r>
    </w:p>
    <w:p>
      <w:pPr>
        <w:spacing w:after="120" w:line="276"/>
        <w:jc w:val="both"/>
      </w:pPr>
      <w:r>
        <w:rPr>
          <w:rFonts w:ascii="Barlow Semi Condensed" w:cs="Barlow Semi Condensed" w:eastAsia="Barlow Semi Condensed" w:hAnsi="Barlow Semi Condensed"/>
          <w:b/>
          <w:bCs/>
          <w:sz w:val="24"/>
          <w:szCs w:val="24"/>
        </w:rPr>
        <w:t xml:space="preserve">2339 · Il de relato e il suo peso.</w:t>
      </w:r>
      <w:r>
        <w:rPr>
          <w:rFonts w:ascii="Barlow Semi Condensed" w:cs="Barlow Semi Condensed" w:eastAsia="Barlow Semi Condensed" w:hAnsi="Barlow Semi Condensed"/>
          <w:sz w:val="24"/>
          <w:szCs w:val="24"/>
        </w:rPr>
        <w:t xml:space="preserve"> Corrado Guerzoni non assistette al colloquio: riferì ciò che aveva appreso da Moro e dall'entourage. La testimonianza è dunque de relato, e la sua qualità probatoria si misura su questo e non sull'autorevolezza del teste. È il dato che le riprese giornalistiche omettono con maggiore frequenza, e la sua omissione trasforma un ricordo di secondo grado in un fatto di prima mano, che non è mai stato.</w:t>
      </w:r>
    </w:p>
    <w:p>
      <w:pPr>
        <w:spacing w:after="120" w:line="276"/>
        <w:jc w:val="both"/>
      </w:pPr>
      <w:r>
        <w:rPr>
          <w:rFonts w:ascii="Barlow Semi Condensed" w:cs="Barlow Semi Condensed" w:eastAsia="Barlow Semi Condensed" w:hAnsi="Barlow Semi Condensed"/>
          <w:b/>
          <w:bCs/>
          <w:sz w:val="24"/>
          <w:szCs w:val="24"/>
        </w:rPr>
        <w:t xml:space="preserve">2340 · La data dell'udienza non è pacifica.</w:t>
      </w:r>
      <w:r>
        <w:rPr>
          <w:rFonts w:ascii="Barlow Semi Condensed" w:cs="Barlow Semi Condensed" w:eastAsia="Barlow Semi Condensed" w:hAnsi="Barlow Semi Condensed"/>
          <w:sz w:val="24"/>
          <w:szCs w:val="24"/>
        </w:rPr>
        <w:t xml:space="preserve"> La datazione più ricorrente della deposizione è il 10 novembre 1982; una fonte indica il 15. La divergenza non è risolta e si riporta come tale, secondo la regola per cui le difformità si dichiarano e non si scelgono in silenzio. La sede che la chiude è una sola: il ruolo d'udienza e i verbali stenografici del dibattimento, fra gli atti dei cinque processi digitalizzati con l'Archivio di Stato di Roma.</w:t>
      </w:r>
    </w:p>
    <w:p>
      <w:pPr>
        <w:spacing w:after="120" w:line="276"/>
        <w:jc w:val="both"/>
      </w:pPr>
      <w:r>
        <w:rPr>
          <w:rFonts w:ascii="Barlow Semi Condensed" w:cs="Barlow Semi Condensed" w:eastAsia="Barlow Semi Condensed" w:hAnsi="Barlow Semi Condensed"/>
          <w:b/>
          <w:bCs/>
          <w:sz w:val="24"/>
          <w:szCs w:val="24"/>
        </w:rPr>
        <w:t xml:space="preserve">2341 · La motivazione del gennaio 1983.</w:t>
      </w:r>
      <w:r>
        <w:rPr>
          <w:rFonts w:ascii="Barlow Semi Condensed" w:cs="Barlow Semi Condensed" w:eastAsia="Barlow Semi Condensed" w:hAnsi="Barlow Semi Condensed"/>
          <w:sz w:val="24"/>
          <w:szCs w:val="24"/>
        </w:rPr>
        <w:t xml:space="preserve"> Quesito centrale e ancora aperto: la motivazione della sentenza che fonda il registro dei tredici menziona l'episodio dell'avvertimento, e con quale qualificazione? Se lo dichiara irrilevante ai fini della decisione, l'accertamento sale di rango; se tace, il silenzio è a sua volta un dato. La ricerca si conduce sul testo integrale della motivazione e non sulle cronache, ed è materialmente possibile ora che gli atti sono digitalizzati.</w:t>
      </w:r>
    </w:p>
    <w:p>
      <w:pPr>
        <w:spacing w:after="120" w:line="276"/>
        <w:jc w:val="both"/>
      </w:pPr>
      <w:r>
        <w:rPr>
          <w:rFonts w:ascii="Barlow Semi Condensed" w:cs="Barlow Semi Condensed" w:eastAsia="Barlow Semi Condensed" w:hAnsi="Barlow Semi Condensed"/>
          <w:b/>
          <w:bCs/>
          <w:sz w:val="24"/>
          <w:szCs w:val="24"/>
        </w:rPr>
        <w:t xml:space="preserve">2342 · La richiesta del 1983 senza seguito (serie XXXI).</w:t>
      </w:r>
      <w:r>
        <w:rPr>
          <w:rFonts w:ascii="Barlow Semi Condensed" w:cs="Barlow Semi Condensed" w:eastAsia="Barlow Semi Condensed" w:hAnsi="Barlow Semi Condensed"/>
          <w:sz w:val="24"/>
          <w:szCs w:val="24"/>
        </w:rPr>
        <w:t xml:space="preserve"> Una fonte d'agenzia statunitense dell'aprile 1983 riferisce che magistrati italiani volevano interrogare Kissinger su un acceso alterco; la richiesta fu informale e non ebbe seguito, ed egli non fu mai sentito dall'autorità giudiziaria italiana. Il bersaglio documentale è duplice: negli atti della procura romana la traccia dell'iniziativa e della sua sorte, e nei fascicoli del consigliere giuridico del Dipartimento di Stato l'eventuale riscontro sul versante ricevente.</w:t>
      </w:r>
    </w:p>
    <w:p>
      <w:pPr>
        <w:spacing w:after="120" w:line="276"/>
        <w:jc w:val="both"/>
      </w:pPr>
      <w:r>
        <w:rPr>
          <w:rFonts w:ascii="Barlow Semi Condensed" w:cs="Barlow Semi Condensed" w:eastAsia="Barlow Semi Condensed" w:hAnsi="Barlow Semi Condensed"/>
          <w:b/>
          <w:bCs/>
          <w:sz w:val="24"/>
          <w:szCs w:val="24"/>
        </w:rPr>
        <w:t xml:space="preserve">2343 · La smentita in due tempi.</w:t>
      </w:r>
      <w:r>
        <w:rPr>
          <w:rFonts w:ascii="Barlow Semi Condensed" w:cs="Barlow Semi Condensed" w:eastAsia="Barlow Semi Condensed" w:hAnsi="Barlow Semi Condensed"/>
          <w:sz w:val="24"/>
          <w:szCs w:val="24"/>
        </w:rPr>
        <w:t xml:space="preserve"> L'interessato ha negato l'episodio due volte e in due forme: nel 1983, ammettendo la propria contrarietà all'ingresso dei comunisti al governo ma respingendo di aver rimproverato Moro; e poco prima della morte, rispondendo a un giornalista di non aver mai detto una cosa simile. La seconda è testimonianza di un solo interlocutore, non un comunicato. Nessuna smentita formale di un portavoce personale sul merito risulta reperita.</w:t>
      </w:r>
    </w:p>
    <w:p>
      <w:pPr>
        <w:spacing w:after="120" w:line="276"/>
        <w:jc w:val="both"/>
      </w:pPr>
      <w:r>
        <w:rPr>
          <w:rFonts w:ascii="Barlow Semi Condensed" w:cs="Barlow Semi Condensed" w:eastAsia="Barlow Semi Condensed" w:hAnsi="Barlow Semi Condensed"/>
          <w:b/>
          <w:bCs/>
          <w:sz w:val="24"/>
          <w:szCs w:val="24"/>
        </w:rPr>
        <w:t xml:space="preserve">2344 · Le smentite italiane, tutte riportate.</w:t>
      </w:r>
      <w:r>
        <w:rPr>
          <w:rFonts w:ascii="Barlow Semi Condensed" w:cs="Barlow Semi Condensed" w:eastAsia="Barlow Semi Condensed" w:hAnsi="Barlow Semi Condensed"/>
          <w:sz w:val="24"/>
          <w:szCs w:val="24"/>
        </w:rPr>
        <w:t xml:space="preserve"> Due testimoni italiani qualificati hanno negato la minaccia pur ammettendo la durezza del confronto: l'uno la definì una leggenda senza fondamento, dicendo di averlo verificato allora con l'interprete perché Moro non parlava inglese, e altrove descrisse un colloquio politicamente durissimo distinguendo il rimprovero dalla minaccia; l'altro parlò di un problema di linguaggio. Nessuno dei due era presente al colloquio riservato: valgono quanto valgono, e si riportano tutte.</w:t>
      </w:r>
    </w:p>
    <w:p>
      <w:pPr>
        <w:spacing w:after="120" w:line="276"/>
        <w:jc w:val="both"/>
      </w:pPr>
      <w:r>
        <w:rPr>
          <w:rFonts w:ascii="Barlow Semi Condensed" w:cs="Barlow Semi Condensed" w:eastAsia="Barlow Semi Condensed" w:hAnsi="Barlow Semi Condensed"/>
          <w:b/>
          <w:bCs/>
          <w:sz w:val="24"/>
          <w:szCs w:val="24"/>
        </w:rPr>
        <w:t xml:space="preserve">2345 · Una sola fonte, molte copie.</w:t>
      </w:r>
      <w:r>
        <w:rPr>
          <w:rFonts w:ascii="Barlow Semi Condensed" w:cs="Barlow Semi Condensed" w:eastAsia="Barlow Semi Condensed" w:hAnsi="Barlow Semi Condensed"/>
          <w:sz w:val="24"/>
          <w:szCs w:val="24"/>
        </w:rPr>
        <w:t xml:space="preserve"> Le decine di ripubblicazioni della frase risalgono a un unico lancio d'agenzia del 30 novembre 2023, e la loro somiglianza non è convergenza ma replicazione. Il numero delle ripetizioni non aggiunge valore probatorio: è copia senza informazione nuova. L'apparato della prima campagna lo ha già accertato, e la Fase decima ne offre il rovescio esatto, perché anche il registro dei tredici è stato ricopiato male per decenni.</w:t>
      </w:r>
    </w:p>
    <w:p>
      <w:pPr>
        <w:spacing w:after="120" w:line="276"/>
        <w:jc w:val="both"/>
      </w:pPr>
      <w:r>
        <w:rPr>
          <w:rFonts w:ascii="Barlow Semi Condensed" w:cs="Barlow Semi Condensed" w:eastAsia="Barlow Semi Condensed" w:hAnsi="Barlow Semi Condensed"/>
          <w:b/>
          <w:bCs/>
          <w:sz w:val="24"/>
          <w:szCs w:val="24"/>
        </w:rPr>
        <w:t xml:space="preserve">2346 · Due modi di ricopiare male.</w:t>
      </w:r>
      <w:r>
        <w:rPr>
          <w:rFonts w:ascii="Barlow Semi Condensed" w:cs="Barlow Semi Condensed" w:eastAsia="Barlow Semi Condensed" w:hAnsi="Barlow Semi Condensed"/>
          <w:sz w:val="24"/>
          <w:szCs w:val="24"/>
        </w:rPr>
        <w:t xml:space="preserve"> Chi trascrive l'elenco dei trentadue ergastoli del gennaio 1983 come se fosse l'elenco dei responsabili del caso Moro compie lo stesso gesto di chi ricopia il lancio del novembre 2023 come se fosse un accertamento: prende una lista o una frase dal contesto che le dava senso e la trasporta dove significa altro. Il capitolo settantasettesimo chiama il primo errore colpa di gruppo per trascinamento; il secondo non ha ancora un nome.</w:t>
      </w:r>
    </w:p>
    <w:p>
      <w:pPr>
        <w:spacing w:after="120" w:line="276"/>
        <w:jc w:val="both"/>
      </w:pPr>
      <w:r>
        <w:rPr>
          <w:rFonts w:ascii="Barlow Semi Condensed" w:cs="Barlow Semi Condensed" w:eastAsia="Barlow Semi Condensed" w:hAnsi="Barlow Semi Condensed"/>
          <w:b/>
          <w:bCs/>
          <w:sz w:val="24"/>
          <w:szCs w:val="24"/>
        </w:rPr>
        <w:t xml:space="preserve">2347 · L'articolo ventisette, in due direzioni.</w:t>
      </w:r>
      <w:r>
        <w:rPr>
          <w:rFonts w:ascii="Barlow Semi Condensed" w:cs="Barlow Semi Condensed" w:eastAsia="Barlow Semi Condensed" w:hAnsi="Barlow Semi Condensed"/>
          <w:sz w:val="24"/>
          <w:szCs w:val="24"/>
        </w:rPr>
        <w:t xml:space="preserve"> Il fondamento dichiarato del territorio non è stilistico: è l'articolo 27, primo comma, della Costituzione, per cui la responsabilità penale è personale. La norma protegge chi non ha fatto e vincola chi ha fatto, e opera nelle due direzioni con la stessa forza. Applicata al nome di questa serie produce un risultato secco: nessuna carica, nessuna dottrina e nessuna preferenza politica costituisce, da sola, materia di responsabilità.</w:t>
      </w:r>
    </w:p>
    <w:p>
      <w:pPr>
        <w:spacing w:after="120" w:line="276"/>
        <w:jc w:val="both"/>
      </w:pPr>
      <w:r>
        <w:rPr>
          <w:rFonts w:ascii="Barlow Semi Condensed" w:cs="Barlow Semi Condensed" w:eastAsia="Barlow Semi Condensed" w:hAnsi="Barlow Semi Condensed"/>
          <w:b/>
          <w:bCs/>
          <w:sz w:val="24"/>
          <w:szCs w:val="24"/>
        </w:rPr>
        <w:t xml:space="preserve">2348 · L'articolo centodieci e il concorso.</w:t>
      </w:r>
      <w:r>
        <w:rPr>
          <w:rFonts w:ascii="Barlow Semi Condensed" w:cs="Barlow Semi Condensed" w:eastAsia="Barlow Semi Condensed" w:hAnsi="Barlow Semi Condensed"/>
          <w:sz w:val="24"/>
          <w:szCs w:val="24"/>
        </w:rPr>
        <w:t xml:space="preserve"> L'istituto richiamato dal capitolo settantasettesimo è il concorso di persone nel reato: il modo in cui l'ordinamento pensa un fatto commesso da più individui, come somma di condotte personali giudicate una per una. Chi volesse collocare un mandante straniero dentro quella cornice dovrebbe indicare quale condotta concorsuale, con quale atto e in quale data. Nessuna procura italiana ha mai formulato quella contestazione a Henry Kissinger.</w:t>
      </w:r>
    </w:p>
    <w:p>
      <w:pPr>
        <w:spacing w:after="120" w:line="276"/>
        <w:jc w:val="both"/>
      </w:pPr>
      <w:r>
        <w:rPr>
          <w:rFonts w:ascii="Barlow Semi Condensed" w:cs="Barlow Semi Condensed" w:eastAsia="Barlow Semi Condensed" w:hAnsi="Barlow Semi Condensed"/>
          <w:b/>
          <w:bCs/>
          <w:sz w:val="24"/>
          <w:szCs w:val="24"/>
        </w:rPr>
        <w:t xml:space="preserve">2349 · Il concorso morale mai contestato.</w:t>
      </w:r>
      <w:r>
        <w:rPr>
          <w:rFonts w:ascii="Barlow Semi Condensed" w:cs="Barlow Semi Condensed" w:eastAsia="Barlow Semi Condensed" w:hAnsi="Barlow Semi Condensed"/>
          <w:sz w:val="24"/>
          <w:szCs w:val="24"/>
        </w:rPr>
        <w:t xml:space="preserve"> La forma giuridica che una tesi di mandato dovrebbe assumere è il concorso morale, cioè determinazione o istigazione altrui alla condotta materiale, provata col medesimo rigore della condotta stessa. È figura ordinaria, applicata quotidianamente dai tribunali italiani. Che non sia mai stata contestata a questo nome, in quarantotto anni e in cinque processi, non è una svista procedurale: è l'assenza del materiale che l'avrebbe sostenuta.</w:t>
      </w:r>
    </w:p>
    <w:p>
      <w:pPr>
        <w:spacing w:after="120" w:line="276"/>
        <w:jc w:val="both"/>
      </w:pPr>
      <w:r>
        <w:rPr>
          <w:rFonts w:ascii="Barlow Semi Condensed" w:cs="Barlow Semi Condensed" w:eastAsia="Barlow Semi Condensed" w:hAnsi="Barlow Semi Condensed"/>
          <w:b/>
          <w:bCs/>
          <w:sz w:val="24"/>
          <w:szCs w:val="24"/>
        </w:rPr>
        <w:t xml:space="preserve">2350 · Mai imputato non significa assolto.</w:t>
      </w:r>
      <w:r>
        <w:rPr>
          <w:rFonts w:ascii="Barlow Semi Condensed" w:cs="Barlow Semi Condensed" w:eastAsia="Barlow Semi Condensed" w:hAnsi="Barlow Semi Condensed"/>
          <w:sz w:val="24"/>
          <w:szCs w:val="24"/>
        </w:rPr>
        <w:t xml:space="preserve"> Due condizioni diverse convivono nel capitolo ottantesimo e vanno tenute distinte. L'assolto ha un accertamento giudiziario a proprio favore, che è atto e produce effetti, primo fra tutti il divieto di essere giudicato due volte. Il mai imputato ha soltanto la presunzione, piena ma di segno negativo: nessuno ha mai raccolto materiale bastante per chiedere un giudizio. Henry Kissinger appartiene alla seconda condizione, non alla prima.</w:t>
      </w:r>
    </w:p>
    <w:p>
      <w:pPr>
        <w:spacing w:after="120" w:line="276"/>
        <w:jc w:val="both"/>
      </w:pPr>
      <w:r>
        <w:rPr>
          <w:rFonts w:ascii="Barlow Semi Condensed" w:cs="Barlow Semi Condensed" w:eastAsia="Barlow Semi Condensed" w:hAnsi="Barlow Semi Condensed"/>
          <w:b/>
          <w:bCs/>
          <w:sz w:val="24"/>
          <w:szCs w:val="24"/>
        </w:rPr>
        <w:t xml:space="preserve">2351 · Algranati come pietra di paragone.</w:t>
      </w:r>
      <w:r>
        <w:rPr>
          <w:rFonts w:ascii="Barlow Semi Condensed" w:cs="Barlow Semi Condensed" w:eastAsia="Barlow Semi Condensed" w:hAnsi="Barlow Semi Condensed"/>
          <w:sz w:val="24"/>
          <w:szCs w:val="24"/>
        </w:rPr>
        <w:t xml:space="preserve"> Rita Algranati fu assolta per i fatti di via Fani all'esito del Moro ter, in primo grado nell'ottobre 1988, e l'assoluzione è definitiva; ricostruzioni successive la collocano sul posto con funzione di segnalazione, ma sono di grado B o C e non scavalcano un giudicato. Il territorio la tiene fuori dal registro contro la comodità del racconto. Chi accetta quel rigore per lei non può chiederne uno minore per altri.</w:t>
      </w:r>
    </w:p>
    <w:p>
      <w:pPr>
        <w:spacing w:after="120" w:line="276"/>
        <w:jc w:val="both"/>
      </w:pPr>
      <w:r>
        <w:rPr>
          <w:rFonts w:ascii="Barlow Semi Condensed" w:cs="Barlow Semi Condensed" w:eastAsia="Barlow Semi Condensed" w:hAnsi="Barlow Semi Condensed"/>
          <w:b/>
          <w:bCs/>
          <w:sz w:val="24"/>
          <w:szCs w:val="24"/>
        </w:rPr>
        <w:t xml:space="preserve">2352 · La presunzione piena e nominale.</w:t>
      </w:r>
      <w:r>
        <w:rPr>
          <w:rFonts w:ascii="Barlow Semi Condensed" w:cs="Barlow Semi Condensed" w:eastAsia="Barlow Semi Condensed" w:hAnsi="Barlow Semi Condensed"/>
          <w:sz w:val="24"/>
          <w:szCs w:val="24"/>
        </w:rPr>
        <w:t xml:space="preserve"> A chiusura, il capitolo ottantesimo estende a tutti coloro che furono prosciolti, assolti o mai raggiunti da imputazione, nel caso Moro come nei nodi collegati da Hyperion in giù, la presunzione d'innocenza piena e nominale: non sono sfuggiti a nulla, sono innocenti per l'ordinamento e per l'opera. La formula non conosce eccezioni di nazionalità, di potenza o di antipatia storiografica, e qui si applica per intero.</w:t>
      </w:r>
    </w:p>
    <w:p>
      <w:pPr>
        <w:spacing w:after="120" w:line="276"/>
        <w:jc w:val="both"/>
      </w:pPr>
      <w:r>
        <w:rPr>
          <w:rFonts w:ascii="Barlow Semi Condensed" w:cs="Barlow Semi Condensed" w:eastAsia="Barlow Semi Condensed" w:hAnsi="Barlow Semi Condensed"/>
          <w:b/>
          <w:bCs/>
          <w:sz w:val="24"/>
          <w:szCs w:val="24"/>
        </w:rPr>
        <w:t xml:space="preserve">2353 · La contumacia toglie un alibi.</w:t>
      </w:r>
      <w:r>
        <w:rPr>
          <w:rFonts w:ascii="Barlow Semi Condensed" w:cs="Barlow Semi Condensed" w:eastAsia="Barlow Semi Condensed" w:hAnsi="Barlow Semi Condensed"/>
          <w:sz w:val="24"/>
          <w:szCs w:val="24"/>
        </w:rPr>
        <w:t xml:space="preserve"> Alessio Casimirri porta sei ergastoli definitivi pronunciati in contumacia ed è latitante dal 1982, come il nodo T-5 della triangolazione dei condannati ricostruisce. Il suo caso dimostra che l'ordinamento italiano sa giudicare chi non è nell'aula e chi non è nel Paese. Ne discende che l'assenza di procedimento a carico del nome qui trattato non si spiega con l'estraneità territoriale: quella strada era percorribile e non fu imboccata.</w:t>
      </w:r>
    </w:p>
    <w:p>
      <w:pPr>
        <w:spacing w:after="120" w:line="276"/>
        <w:jc w:val="both"/>
      </w:pPr>
      <w:r>
        <w:rPr>
          <w:rFonts w:ascii="Barlow Semi Condensed" w:cs="Barlow Semi Condensed" w:eastAsia="Barlow Semi Condensed" w:hAnsi="Barlow Semi Condensed"/>
          <w:b/>
          <w:bCs/>
          <w:sz w:val="24"/>
          <w:szCs w:val="24"/>
        </w:rPr>
        <w:t xml:space="preserve">2354 · Giurisdizione ed esecuzione, cose diverse.</w:t>
      </w:r>
      <w:r>
        <w:rPr>
          <w:rFonts w:ascii="Barlow Semi Condensed" w:cs="Barlow Semi Condensed" w:eastAsia="Barlow Semi Condensed" w:hAnsi="Barlow Semi Condensed"/>
          <w:sz w:val="24"/>
          <w:szCs w:val="24"/>
        </w:rPr>
        <w:t xml:space="preserve"> Il caso di Alvaro Lojacono, condannato in via definitiva nel 1997 e non estradabile perché cittadino svizzero, insegna al nodo T-6 che accertare e raggiungere sono operazioni distinte: la prima è irrevocabile, la seconda si ferma alla frontiera. Il quesito che ne discende si porta al fascicolo aperto della procura di Roma sulle terze presenze: risulta mai iscritto un cittadino straniero per i fatti del 1978?</w:t>
      </w:r>
    </w:p>
    <w:p>
      <w:pPr>
        <w:spacing w:after="120" w:line="276"/>
        <w:jc w:val="both"/>
      </w:pPr>
      <w:r>
        <w:rPr>
          <w:rFonts w:ascii="Barlow Semi Condensed" w:cs="Barlow Semi Condensed" w:eastAsia="Barlow Semi Condensed" w:hAnsi="Barlow Semi Condensed"/>
          <w:b/>
          <w:bCs/>
          <w:sz w:val="24"/>
          <w:szCs w:val="24"/>
        </w:rPr>
        <w:t xml:space="preserve">2355 · La morte del reo, articolo centocinquanta.</w:t>
      </w:r>
      <w:r>
        <w:rPr>
          <w:rFonts w:ascii="Barlow Semi Condensed" w:cs="Barlow Semi Condensed" w:eastAsia="Barlow Semi Condensed" w:hAnsi="Barlow Semi Condensed"/>
          <w:sz w:val="24"/>
          <w:szCs w:val="24"/>
        </w:rPr>
        <w:t xml:space="preserve"> Henry Kissinger è morto a Kent, nel Connecticut, il 29 novembre 2023. Nell'ordinamento italiano la morte estingue il reato prima della condanna e la pena dopo di essa: la strada che il territorio lascia teoricamente aperta, poiché il registro cresce per nuovo giudicato, è per questo nome giuridicamente chiusa. Non è una valutazione di merito né una clemenza postuma: è una conseguenza di legge, e va scritta.</w:t>
      </w:r>
    </w:p>
    <w:p>
      <w:pPr>
        <w:spacing w:after="120" w:line="276"/>
        <w:jc w:val="both"/>
      </w:pPr>
      <w:r>
        <w:rPr>
          <w:rFonts w:ascii="Barlow Semi Condensed" w:cs="Barlow Semi Condensed" w:eastAsia="Barlow Semi Condensed" w:hAnsi="Barlow Semi Condensed"/>
          <w:b/>
          <w:bCs/>
          <w:sz w:val="24"/>
          <w:szCs w:val="24"/>
        </w:rPr>
        <w:t xml:space="preserve">2356 · Che cosa resta possibile dopo.</w:t>
      </w:r>
      <w:r>
        <w:rPr>
          <w:rFonts w:ascii="Barlow Semi Condensed" w:cs="Barlow Semi Condensed" w:eastAsia="Barlow Semi Condensed" w:hAnsi="Barlow Semi Condensed"/>
          <w:sz w:val="24"/>
          <w:szCs w:val="24"/>
        </w:rPr>
        <w:t xml:space="preserve"> Estinto ogni percorso penale, resta intatto quello documentale, che ha regole proprie e nessuna scadenza. Gli archivi continuano a rilasciare, le serie continuano a maturare, le richieste di accesso restano formulabili da chiunque. Ciò che non è più possibile è l'imputazione; ciò che resta possibile è l'accertamento storico coi suoi gradi. Confondere le due cose produce, ogni volta, un processo immaginario al posto di una ricerca.</w:t>
      </w:r>
    </w:p>
    <w:p>
      <w:pPr>
        <w:spacing w:after="120" w:line="276"/>
        <w:jc w:val="both"/>
      </w:pPr>
      <w:r>
        <w:rPr>
          <w:rFonts w:ascii="Barlow Semi Condensed" w:cs="Barlow Semi Condensed" w:eastAsia="Barlow Semi Condensed" w:hAnsi="Barlow Semi Condensed"/>
          <w:b/>
          <w:bCs/>
          <w:sz w:val="24"/>
          <w:szCs w:val="24"/>
        </w:rPr>
        <w:t xml:space="preserve">2357 · Il registro cresce solo così.</w:t>
      </w:r>
      <w:r>
        <w:rPr>
          <w:rFonts w:ascii="Barlow Semi Condensed" w:cs="Barlow Semi Condensed" w:eastAsia="Barlow Semi Condensed" w:hAnsi="Barlow Semi Condensed"/>
          <w:sz w:val="24"/>
          <w:szCs w:val="24"/>
        </w:rPr>
        <w:t xml:space="preserve"> L'identificazione tardiva del quarto uomo del covo di via Montalcini e la definitività del 1999 dimostrano che il registro può crescere anche a distanza di decenni. Cresce però per una via sola, il nuovo giudicato, e mai per accumulo di suggestioni o per maturazione di un'opinione. Questa serie non propone né auspica alcuna crescita: verifica se la via sia stata percorsa, e accerta che non lo fu.</w:t>
      </w:r>
    </w:p>
    <w:p>
      <w:pPr>
        <w:spacing w:after="120" w:line="276"/>
        <w:jc w:val="both"/>
      </w:pPr>
      <w:r>
        <w:rPr>
          <w:rFonts w:ascii="Barlow Semi Condensed" w:cs="Barlow Semi Condensed" w:eastAsia="Barlow Semi Condensed" w:hAnsi="Barlow Semi Condensed"/>
          <w:b/>
          <w:bCs/>
          <w:sz w:val="24"/>
          <w:szCs w:val="24"/>
        </w:rPr>
        <w:t xml:space="preserve">2358 · Lo standard materiale, un atto datato.</w:t>
      </w:r>
      <w:r>
        <w:rPr>
          <w:rFonts w:ascii="Barlow Semi Condensed" w:cs="Barlow Semi Condensed" w:eastAsia="Barlow Semi Condensed" w:hAnsi="Barlow Semi Condensed"/>
          <w:sz w:val="24"/>
          <w:szCs w:val="24"/>
        </w:rPr>
        <w:t xml:space="preserve"> Anna Laura Braghetti entra nel registro per l'acquisto dell'appartamento di via Montalcini 8 nel giugno 1977 e per la custodia della prigione nei cinquantacinque giorni: un atto con una data e una condotta con un luogo. Questa è la misura del capitolo settantanovesimo. Per il nome di questa serie non esiste atto equivalente riferito all'Italia del 1978: nessun documento, nessuna data, nessun protocollo, nessuna sede che lo conservi.</w:t>
      </w:r>
    </w:p>
    <w:p>
      <w:pPr>
        <w:spacing w:after="120" w:line="276"/>
        <w:jc w:val="both"/>
      </w:pPr>
      <w:r>
        <w:rPr>
          <w:rFonts w:ascii="Barlow Semi Condensed" w:cs="Barlow Semi Condensed" w:eastAsia="Barlow Semi Condensed" w:hAnsi="Barlow Semi Condensed"/>
          <w:b/>
          <w:bCs/>
          <w:sz w:val="24"/>
          <w:szCs w:val="24"/>
        </w:rPr>
        <w:t xml:space="preserve">2359 · L'anello debole della catena.</w:t>
      </w:r>
      <w:r>
        <w:rPr>
          <w:rFonts w:ascii="Barlow Semi Condensed" w:cs="Barlow Semi Condensed" w:eastAsia="Barlow Semi Condensed" w:hAnsi="Barlow Semi Condensed"/>
          <w:sz w:val="24"/>
          <w:szCs w:val="24"/>
        </w:rPr>
        <w:t xml:space="preserve"> Il sesto blocco del manuale investigativo fissa che il grado di una catena inferenziale è il minimo dei suoi anelli. Una catena che parta dal verbale del 1974, attraversi l'ostilità documentata all'ingresso comunista e arrivi a via Fani contiene almeno un anello privo di documento, quello del passaggio dall'orientamento politico alla disposizione operativa. Il grado dell'intera catena scende a quell'anello, per quanti documenti autentici stiano agli estremi.</w:t>
      </w:r>
    </w:p>
    <w:p>
      <w:pPr>
        <w:spacing w:after="120" w:line="276"/>
        <w:jc w:val="both"/>
      </w:pPr>
      <w:r>
        <w:rPr>
          <w:rFonts w:ascii="Barlow Semi Condensed" w:cs="Barlow Semi Condensed" w:eastAsia="Barlow Semi Condensed" w:hAnsi="Barlow Semi Condensed"/>
          <w:b/>
          <w:bCs/>
          <w:sz w:val="24"/>
          <w:szCs w:val="24"/>
        </w:rPr>
        <w:t xml:space="preserve">2360 · Omologia, analogia e il nodo M-5.</w:t>
      </w:r>
      <w:r>
        <w:rPr>
          <w:rFonts w:ascii="Barlow Semi Condensed" w:cs="Barlow Semi Condensed" w:eastAsia="Barlow Semi Condensed" w:hAnsi="Barlow Semi Condensed"/>
          <w:sz w:val="24"/>
          <w:szCs w:val="24"/>
        </w:rPr>
        <w:t xml:space="preserve"> Il nodo M-5 della matrice guevariana registra la simmetria delle ombre statunitensi sulle due morti: l'agente della CIA a La Higuera nel 1967, l'avvertimento riferito e il consulente del Dipartimento di Stato nel comitato di crisi del 1978. Il corpus l'ha già qualificata come convergenza di cornice e non regia unica. In termini biologici è analogia e non omologia: somiglianza di esito senza antenato comune documentato.</w:t>
      </w:r>
    </w:p>
    <w:p>
      <w:pPr>
        <w:spacing w:after="120" w:line="276"/>
        <w:jc w:val="both"/>
      </w:pPr>
      <w:r>
        <w:rPr>
          <w:rFonts w:ascii="Barlow Semi Condensed" w:cs="Barlow Semi Condensed" w:eastAsia="Barlow Semi Condensed" w:hAnsi="Barlow Semi Condensed"/>
          <w:b/>
          <w:bCs/>
          <w:sz w:val="24"/>
          <w:szCs w:val="24"/>
        </w:rPr>
        <w:t xml:space="preserve">2361 · La contemporaneità non è nesso (serie XXXI).</w:t>
      </w:r>
      <w:r>
        <w:rPr>
          <w:rFonts w:ascii="Barlow Semi Condensed" w:cs="Barlow Semi Condensed" w:eastAsia="Barlow Semi Condensed" w:hAnsi="Barlow Semi Condensed"/>
          <w:sz w:val="24"/>
          <w:szCs w:val="24"/>
        </w:rPr>
        <w:t xml:space="preserve"> Fra il colloquio dello Studio Ovale e l'agguato di via Fani corrono tre anni e mezzo. Il manuale investigativo elenca la contemporaneità fra le non-prove, accanto all'appartenenza e alla parentela; qui non si tratta nemmeno di contemporaneità, ma di successione a distanza. Una successione ordina i fatti e non li lega: per legarli occorre un atto che nomini entrambi, e quell'atto non è stato reperito.</w:t>
      </w:r>
    </w:p>
    <w:p>
      <w:pPr>
        <w:spacing w:after="120" w:line="276"/>
        <w:jc w:val="both"/>
      </w:pPr>
      <w:r>
        <w:rPr>
          <w:rFonts w:ascii="Barlow Semi Condensed" w:cs="Barlow Semi Condensed" w:eastAsia="Barlow Semi Condensed" w:hAnsi="Barlow Semi Condensed"/>
          <w:b/>
          <w:bCs/>
          <w:sz w:val="24"/>
          <w:szCs w:val="24"/>
        </w:rPr>
        <w:t xml:space="preserve">2362 · Due incarichi non fanno due indizi.</w:t>
      </w:r>
      <w:r>
        <w:rPr>
          <w:rFonts w:ascii="Barlow Semi Condensed" w:cs="Barlow Semi Condensed" w:eastAsia="Barlow Semi Condensed" w:hAnsi="Barlow Semi Condensed"/>
          <w:sz w:val="24"/>
          <w:szCs w:val="24"/>
        </w:rPr>
        <w:t xml:space="preserve"> Dal 22 settembre 1973 al 3 novembre 1975 Henry Kissinger tenne simultaneamente l'incarico di assistente per la sicurezza nazionale e quello di segretario di Stato: è un fatto d'anagrafe istituzionale, verificato e datato. Il capitolo ottantunesimo vieta di trattare il cumulo come aggravante, perché chi militò in due gruppi non è due volte prossimo alla responsabilità. La regola non cambia quando i gruppi sono uffici di governo.</w:t>
      </w:r>
    </w:p>
    <w:p>
      <w:pPr>
        <w:spacing w:after="120" w:line="276"/>
        <w:jc w:val="both"/>
      </w:pPr>
      <w:r>
        <w:rPr>
          <w:rFonts w:ascii="Barlow Semi Condensed" w:cs="Barlow Semi Condensed" w:eastAsia="Barlow Semi Condensed" w:hAnsi="Barlow Semi Condensed"/>
          <w:b/>
          <w:bCs/>
          <w:sz w:val="24"/>
          <w:szCs w:val="24"/>
        </w:rPr>
        <w:t xml:space="preserve">2363 · Il lignaggio dottrinale non è condotta (serie XXXI).</w:t>
      </w:r>
      <w:r>
        <w:rPr>
          <w:rFonts w:ascii="Barlow Semi Condensed" w:cs="Barlow Semi Condensed" w:eastAsia="Barlow Semi Condensed" w:hAnsi="Barlow Semi Condensed"/>
          <w:sz w:val="24"/>
          <w:szCs w:val="24"/>
        </w:rPr>
        <w:t xml:space="preserve"> Studiare la matrice realista di un pensiero politico, l'equilibrio, la gerarchia degli interessi, la diffidenza verso le coalizioni coi comunisti, è operazione legittima e documentabile sui verbali editi. Dedurne condotte non lo è. Il territorio lo dice per le militanze brigatiste e la regola non muta cambiando emisfero: una dottrina spiega una preferenza, e una preferenza non è un atto di cui si risponda davanti a un giudice.</w:t>
      </w:r>
    </w:p>
    <w:p>
      <w:pPr>
        <w:spacing w:after="120" w:line="276"/>
        <w:jc w:val="both"/>
      </w:pPr>
      <w:r>
        <w:rPr>
          <w:rFonts w:ascii="Barlow Semi Condensed" w:cs="Barlow Semi Condensed" w:eastAsia="Barlow Semi Condensed" w:hAnsi="Barlow Semi Condensed"/>
          <w:b/>
          <w:bCs/>
          <w:sz w:val="24"/>
          <w:szCs w:val="24"/>
        </w:rPr>
        <w:t xml:space="preserve">2364 · La parentela non è canale (serie XXXI).</w:t>
      </w:r>
      <w:r>
        <w:rPr>
          <w:rFonts w:ascii="Barlow Semi Condensed" w:cs="Barlow Semi Condensed" w:eastAsia="Barlow Semi Condensed" w:hAnsi="Barlow Semi Condensed"/>
          <w:sz w:val="24"/>
          <w:szCs w:val="24"/>
        </w:rPr>
        <w:t xml:space="preserve"> Il corpus ha già respinto la tentazione più forte del genere quando ha rifiutato di trattare come canale il fatto che il padre di un condannato dirigesse la sala stampa vaticana sotto tre pontefici. La regola vale per le famiglie e vale per gli entourage: collaboratori, consiglieri e successori nell'ufficio non trasmettono e non ereditano responsabilità. Un ufficio si eredita, una condotta no, e la differenza è l'intero capitolo.</w:t>
      </w:r>
    </w:p>
    <w:p>
      <w:pPr>
        <w:spacing w:after="120" w:line="276"/>
        <w:jc w:val="both"/>
      </w:pPr>
      <w:r>
        <w:rPr>
          <w:rFonts w:ascii="Barlow Semi Condensed" w:cs="Barlow Semi Condensed" w:eastAsia="Barlow Semi Condensed" w:hAnsi="Barlow Semi Condensed"/>
          <w:b/>
          <w:bCs/>
          <w:sz w:val="24"/>
          <w:szCs w:val="24"/>
        </w:rPr>
        <w:t xml:space="preserve">2365 · Responsabilità di Stato, non di persona.</w:t>
      </w:r>
      <w:r>
        <w:rPr>
          <w:rFonts w:ascii="Barlow Semi Condensed" w:cs="Barlow Semi Condensed" w:eastAsia="Barlow Semi Condensed" w:hAnsi="Barlow Semi Condensed"/>
          <w:sz w:val="24"/>
          <w:szCs w:val="24"/>
        </w:rPr>
        <w:t xml:space="preserve"> Il saggio-cerniera dal-che-a-moro-una-guerra-senza-fine.md registra, su fonti primarie, la responsabilità primaria di apparati statunitensi nella caduta di Salvador Allende dell'11 settembre 1973. Anche lì la Fase decima impone la sua distinzione: la responsabilità storica e politica di un apparato, per quanto documentata, non è la responsabilità penale personale di chi lo dirigeva, che nessuna corte ha mai accertato. Nominare lo Stato e sottintendere l'uomo resta vietato.</w:t>
      </w:r>
    </w:p>
    <w:p>
      <w:pPr>
        <w:spacing w:after="120" w:line="276"/>
        <w:jc w:val="both"/>
      </w:pPr>
      <w:r>
        <w:rPr>
          <w:rFonts w:ascii="Barlow Semi Condensed" w:cs="Barlow Semi Condensed" w:eastAsia="Barlow Semi Condensed" w:hAnsi="Barlow Semi Condensed"/>
          <w:b/>
          <w:bCs/>
          <w:sz w:val="24"/>
          <w:szCs w:val="24"/>
        </w:rPr>
        <w:t xml:space="preserve">2366 · Il piano tre e la circolazione.</w:t>
      </w:r>
      <w:r>
        <w:rPr>
          <w:rFonts w:ascii="Barlow Semi Condensed" w:cs="Barlow Semi Condensed" w:eastAsia="Barlow Semi Condensed" w:hAnsi="Barlow Semi Condensed"/>
          <w:sz w:val="24"/>
          <w:szCs w:val="24"/>
        </w:rPr>
        <w:t xml:space="preserve"> Le affermazioni terziarie che collegano il nome al caso circolano in forma stabile da decenni e si riconoscono da un tratto costante: rinviano ad altre affermazioni, mai a una segnatura. Qualificarle non significa deriderle, significa registrarle come dati di circolazione, misurabili nel numero e nella data, e inutilizzabili come riscontro. La regola dei tre piani serve esattamente a questo: dare posto a ciò che non si può usare.</w:t>
      </w:r>
    </w:p>
    <w:p>
      <w:pPr>
        <w:spacing w:after="120" w:line="276"/>
        <w:jc w:val="both"/>
      </w:pPr>
      <w:r>
        <w:rPr>
          <w:rFonts w:ascii="Barlow Semi Condensed" w:cs="Barlow Semi Condensed" w:eastAsia="Barlow Semi Condensed" w:hAnsi="Barlow Semi Condensed"/>
          <w:b/>
          <w:bCs/>
          <w:sz w:val="24"/>
          <w:szCs w:val="24"/>
        </w:rPr>
        <w:t xml:space="preserve">2367 · Misurare il perimetro dell'assenza.</w:t>
      </w:r>
      <w:r>
        <w:rPr>
          <w:rFonts w:ascii="Barlow Semi Condensed" w:cs="Barlow Semi Condensed" w:eastAsia="Barlow Semi Condensed" w:hAnsi="Barlow Semi Condensed"/>
          <w:sz w:val="24"/>
          <w:szCs w:val="24"/>
        </w:rPr>
        <w:t xml:space="preserve"> La regola dei buchi impone che un'assenza si misuri prima di essere interpretata: quali serie sono state consultate, con quale chiave, in quale finestra cronologica, con quale esito. Applicata qui significa che lo Stato Zero della Fase decima va scritto con l'elenco delle sedi interrogate e non con l'aggettivo introvabile. I blocchi che seguono compilano quell'elenco, una sede per volta, senza saltarne alcuna.</w:t>
      </w:r>
    </w:p>
    <w:p>
      <w:pPr>
        <w:spacing w:after="120" w:line="276"/>
        <w:jc w:val="both"/>
      </w:pPr>
      <w:r>
        <w:rPr>
          <w:rFonts w:ascii="Barlow Semi Condensed" w:cs="Barlow Semi Condensed" w:eastAsia="Barlow Semi Condensed" w:hAnsi="Barlow Semi Condensed"/>
          <w:b/>
          <w:bCs/>
          <w:sz w:val="24"/>
          <w:szCs w:val="24"/>
        </w:rPr>
        <w:t xml:space="preserve">2368 · Nessuna graduatoria, nessuna percentuale.</w:t>
      </w:r>
      <w:r>
        <w:rPr>
          <w:rFonts w:ascii="Barlow Semi Condensed" w:cs="Barlow Semi Condensed" w:eastAsia="Barlow Semi Condensed" w:hAnsi="Barlow Semi Condensed"/>
          <w:sz w:val="24"/>
          <w:szCs w:val="24"/>
        </w:rPr>
        <w:t xml:space="preserve"> La seconda avvertenza del capitolo settantanovesimo rifiuta di ordinare in graduatoria le condotte dei tredici e di apporvi percentuali, perché la misura della responsabilità sta nelle sentenze e non in un'aritmetica. Il divieto vale a maggior ragione fuori dal registro: non esiste una percentuale di responsabilità internazionale, non esiste una quota di mandato, e ogni formula che le evochi è, per questo metodo, già fuori strada.</w:t>
      </w:r>
    </w:p>
    <w:p>
      <w:pPr>
        <w:spacing w:after="120" w:line="276"/>
        <w:jc w:val="both"/>
      </w:pPr>
      <w:r>
        <w:rPr>
          <w:rFonts w:ascii="Barlow Semi Condensed" w:cs="Barlow Semi Condensed" w:eastAsia="Barlow Semi Condensed" w:hAnsi="Barlow Semi Condensed"/>
          <w:b/>
          <w:bCs/>
          <w:sz w:val="24"/>
          <w:szCs w:val="24"/>
        </w:rPr>
        <w:t xml:space="preserve">2369 · L'Archivio centrale e i versamenti.</w:t>
      </w:r>
      <w:r>
        <w:rPr>
          <w:rFonts w:ascii="Barlow Semi Condensed" w:cs="Barlow Semi Condensed" w:eastAsia="Barlow Semi Condensed" w:hAnsi="Barlow Semi Condensed"/>
          <w:sz w:val="24"/>
          <w:szCs w:val="24"/>
        </w:rPr>
        <w:t xml:space="preserve"> La raccolta speciale di documentazione desecretata sul sequestro, conservata all'Archivio centrale dello Stato, nasce dalla sequenza delle direttive Prodi e Renzi e fu completata nel dicembre 2014: circa duemila buste da centocinquantasei uffici, descritte nella Guida ai fondi con la segnatura IT-ACS-AS0001-0005098. Il quesito è enumerativo: quante carte del versamento nominano questo cognome, in quali uffici produttori, e con quale classifica d'origine.</w:t>
      </w:r>
    </w:p>
    <w:p>
      <w:pPr>
        <w:spacing w:after="120" w:line="276"/>
        <w:jc w:val="both"/>
      </w:pPr>
      <w:r>
        <w:rPr>
          <w:rFonts w:ascii="Barlow Semi Condensed" w:cs="Barlow Semi Condensed" w:eastAsia="Barlow Semi Condensed" w:hAnsi="Barlow Semi Condensed"/>
          <w:b/>
          <w:bCs/>
          <w:sz w:val="24"/>
          <w:szCs w:val="24"/>
        </w:rPr>
        <w:t xml:space="preserve">2370 · Ventimila pagine alla Camera.</w:t>
      </w:r>
      <w:r>
        <w:rPr>
          <w:rFonts w:ascii="Barlow Semi Condensed" w:cs="Barlow Semi Condensed" w:eastAsia="Barlow Semi Condensed" w:hAnsi="Barlow Semi Condensed"/>
          <w:sz w:val="24"/>
          <w:szCs w:val="24"/>
        </w:rPr>
        <w:t xml:space="preserve"> Il fondo della Commissione Moro 2, all'Archivio storico della Camera, ha un portale delle inchieste e circa ventimila pagine desecretate consultabili in rete. Lo spoglio si conduce con griglia dichiarata e verbale degli esiti, comprese le ricerche a vuoto. La domanda è se la Commissione che documentò il Memoriale come testo negoziato abbia acquisito carte sull'episodio del 1974, e con quale valutazione le abbia trattate.</w:t>
      </w:r>
    </w:p>
    <w:p>
      <w:pPr>
        <w:spacing w:after="120" w:line="276"/>
        <w:jc w:val="both"/>
      </w:pPr>
      <w:r>
        <w:rPr>
          <w:rFonts w:ascii="Barlow Semi Condensed" w:cs="Barlow Semi Condensed" w:eastAsia="Barlow Semi Condensed" w:hAnsi="Barlow Semi Condensed"/>
          <w:b/>
          <w:bCs/>
          <w:sz w:val="24"/>
          <w:szCs w:val="24"/>
        </w:rPr>
        <w:t xml:space="preserve">2371 · I due fondi del Senato.</w:t>
      </w:r>
      <w:r>
        <w:rPr>
          <w:rFonts w:ascii="Barlow Semi Condensed" w:cs="Barlow Semi Condensed" w:eastAsia="Barlow Semi Condensed" w:hAnsi="Barlow Semi Condensed"/>
          <w:sz w:val="24"/>
          <w:szCs w:val="24"/>
        </w:rPr>
        <w:t xml:space="preserve"> Giacciono all'Archivio storico del Senato il fondo della prima Commissione, istituita con la legge 597 del 1979, e il fondo della Commissione stragi presieduta da Pellegrino, consultabile in sala studio su richiesta motivata. È lì che la deposizione parlamentare della vedova, resa il primo agosto 1980, ha il proprio originale stenografico: il testo che la campagna precedente ha dichiarato di non aver potuto leggere.</w:t>
      </w:r>
    </w:p>
    <w:p>
      <w:pPr>
        <w:spacing w:after="120" w:line="276"/>
        <w:jc w:val="both"/>
      </w:pPr>
      <w:r>
        <w:rPr>
          <w:rFonts w:ascii="Barlow Semi Condensed" w:cs="Barlow Semi Condensed" w:eastAsia="Barlow Semi Condensed" w:hAnsi="Barlow Semi Condensed"/>
          <w:b/>
          <w:bCs/>
          <w:sz w:val="24"/>
          <w:szCs w:val="24"/>
        </w:rPr>
        <w:t xml:space="preserve">2372 · Gli atti dei cinque processi.</w:t>
      </w:r>
      <w:r>
        <w:rPr>
          <w:rFonts w:ascii="Barlow Semi Condensed" w:cs="Barlow Semi Condensed" w:eastAsia="Barlow Semi Condensed" w:hAnsi="Barlow Semi Condensed"/>
          <w:sz w:val="24"/>
          <w:szCs w:val="24"/>
        </w:rPr>
        <w:t xml:space="preserve"> Gli atti dei cinque processi Moro sono stati digitalizzati sotto il coordinamento dell'Archivio di Stato di Roma col Ministero della Giustizia. Vi si trovano i verbali d'udienza del novembre 1982 e la motivazione del 24 gennaio 1983 che fonda il registro dei tredici. Due quesiti in una sola consultazione: che cosa fu detto in aula, e che cosa la corte ne fece nel proprio ragionamento.</w:t>
      </w:r>
    </w:p>
    <w:p>
      <w:pPr>
        <w:spacing w:after="120" w:line="276"/>
        <w:jc w:val="both"/>
      </w:pPr>
      <w:r>
        <w:rPr>
          <w:rFonts w:ascii="Barlow Semi Condensed" w:cs="Barlow Semi Condensed" w:eastAsia="Barlow Semi Condensed" w:hAnsi="Barlow Semi Condensed"/>
          <w:b/>
          <w:bCs/>
          <w:sz w:val="24"/>
          <w:szCs w:val="24"/>
        </w:rPr>
        <w:t xml:space="preserve">2373 · Il giacimento privato di Garbatella.</w:t>
      </w:r>
      <w:r>
        <w:rPr>
          <w:rFonts w:ascii="Barlow Semi Condensed" w:cs="Barlow Semi Condensed" w:eastAsia="Barlow Semi Condensed" w:hAnsi="Barlow Semi Condensed"/>
          <w:sz w:val="24"/>
          <w:szCs w:val="24"/>
        </w:rPr>
        <w:t xml:space="preserve"> Alla Garbatella, nello spazio MEMO, il Centro documentazione Archivio Flamigni conserva dal 2021 la serie Caso Moro inventariata e il fondo familiare delle carte di Moro. È il più vasto giacimento privato sul caso e custodisce rassegne e carteggi che gli archivi pubblici non hanno. Bersaglio: la ricerca per nome negli strumenti d'inventario, condotta secondo il protocollo di consultazione dell'istituto e verbalizzata comunque.</w:t>
      </w:r>
    </w:p>
    <w:p>
      <w:pPr>
        <w:spacing w:after="120" w:line="276"/>
        <w:jc w:val="both"/>
      </w:pPr>
      <w:r>
        <w:rPr>
          <w:rFonts w:ascii="Barlow Semi Condensed" w:cs="Barlow Semi Condensed" w:eastAsia="Barlow Semi Condensed" w:hAnsi="Barlow Semi Condensed"/>
          <w:b/>
          <w:bCs/>
          <w:sz w:val="24"/>
          <w:szCs w:val="24"/>
        </w:rPr>
        <w:t xml:space="preserve">2374 · Le carte del presidente del Consiglio.</w:t>
      </w:r>
      <w:r>
        <w:rPr>
          <w:rFonts w:ascii="Barlow Semi Condensed" w:cs="Barlow Semi Condensed" w:eastAsia="Barlow Semi Condensed" w:hAnsi="Barlow Semi Condensed"/>
          <w:sz w:val="24"/>
          <w:szCs w:val="24"/>
        </w:rPr>
        <w:t xml:space="preserve"> All'Istituto Luigi Sturzo l'archivio di Giulio Andreotti, donato nel 2007, conta circa tremilacinquecento buste e non ha una serie intitolata al caso, il che obbliga a cercare nelle serie tematiche. Chi presiedeva il Consiglio nei cinquantacinque giorni aveva ragione di annotare i rapporti con Washington: il quesito è se lo abbia fatto, e la risposta non è deducibile, va cercata busta per busta.</w:t>
      </w:r>
    </w:p>
    <w:p>
      <w:pPr>
        <w:spacing w:after="120" w:line="276"/>
        <w:jc w:val="both"/>
      </w:pPr>
      <w:r>
        <w:rPr>
          <w:rFonts w:ascii="Barlow Semi Condensed" w:cs="Barlow Semi Condensed" w:eastAsia="Barlow Semi Condensed" w:hAnsi="Barlow Semi Condensed"/>
          <w:b/>
          <w:bCs/>
          <w:sz w:val="24"/>
          <w:szCs w:val="24"/>
        </w:rPr>
        <w:t xml:space="preserve">2375 · Trecentotto buste del ministro dell'Interno.</w:t>
      </w:r>
      <w:r>
        <w:rPr>
          <w:rFonts w:ascii="Barlow Semi Condensed" w:cs="Barlow Semi Condensed" w:eastAsia="Barlow Semi Condensed" w:hAnsi="Barlow Semi Condensed"/>
          <w:sz w:val="24"/>
          <w:szCs w:val="24"/>
        </w:rPr>
        <w:t xml:space="preserve"> Trecentotto buste con inventario informatizzato compongono l'archivio di Francesco Cossiga all'Archivio storico della Camera. Il ministro dell'Interno dei cinquantacinque giorni si dimise il 9 maggio 1978 e lavorò accanto al consulente statunitense inviato nel comitato di crisi. Il bersaglio è delimitato e non allusivo: le carte del 1978 e quelle degli anni successivi in cui la vicenda dell'avvertimento tornò nel dibattito pubblico.</w:t>
      </w:r>
    </w:p>
    <w:p>
      <w:pPr>
        <w:spacing w:after="120" w:line="276"/>
        <w:jc w:val="both"/>
      </w:pPr>
      <w:r>
        <w:rPr>
          <w:rFonts w:ascii="Barlow Semi Condensed" w:cs="Barlow Semi Condensed" w:eastAsia="Barlow Semi Condensed" w:hAnsi="Barlow Semi Condensed"/>
          <w:b/>
          <w:bCs/>
          <w:sz w:val="24"/>
          <w:szCs w:val="24"/>
        </w:rPr>
        <w:t xml:space="preserve">2376 · I diari di Fanfani.</w:t>
      </w:r>
      <w:r>
        <w:rPr>
          <w:rFonts w:ascii="Barlow Semi Condensed" w:cs="Barlow Semi Condensed" w:eastAsia="Barlow Semi Condensed" w:hAnsi="Barlow Semi Condensed"/>
          <w:sz w:val="24"/>
          <w:szCs w:val="24"/>
        </w:rPr>
        <w:t xml:space="preserve"> Duecentonovantatré buste e quarantatré diari formano il fondo Amintore Fanfani all'Archivio storico del Senato, col tomo relativo al 1977-1980 previsto dal piano editoriale. I diari di un protagonista annotano ciò che gli uffici non protocollano. Il quesito è circoscritto per data: che cosa risulta annotato attorno alla visita del settembre 1974 e attorno alla deposizione del novembre 1982, ammesso che qualcosa risulti.</w:t>
      </w:r>
    </w:p>
    <w:p>
      <w:pPr>
        <w:spacing w:after="120" w:line="276"/>
        <w:jc w:val="both"/>
      </w:pPr>
      <w:r>
        <w:rPr>
          <w:rFonts w:ascii="Barlow Semi Condensed" w:cs="Barlow Semi Condensed" w:eastAsia="Barlow Semi Condensed" w:hAnsi="Barlow Semi Condensed"/>
          <w:b/>
          <w:bCs/>
          <w:sz w:val="24"/>
          <w:szCs w:val="24"/>
        </w:rPr>
        <w:t xml:space="preserve">2377 · Le carte dell'uomo, tre nuclei.</w:t>
      </w:r>
      <w:r>
        <w:rPr>
          <w:rFonts w:ascii="Barlow Semi Condensed" w:cs="Barlow Semi Condensed" w:eastAsia="Barlow Semi Condensed" w:hAnsi="Barlow Semi Condensed"/>
          <w:sz w:val="24"/>
          <w:szCs w:val="24"/>
        </w:rPr>
        <w:t xml:space="preserve"> Le carte personali di Aldo Moro stanno in tre nuclei distinti: il fondo personale all'Archivio centrale dello Stato, duecentodiciotto buste per gli anni 1953-1978; il fondo familiare all'Archivio Flamigni; e la raccolta statale nata dalle direttive. Se l'avvertimento fu ricevuto, l'unico riscontro non testimoniale possibile è una traccia scritta di mano del destinatario. Non trovarla sarebbe uno Stato Zero da dichiarare, non un indizio.</w:t>
      </w:r>
    </w:p>
    <w:p>
      <w:pPr>
        <w:spacing w:after="120" w:line="276"/>
        <w:jc w:val="both"/>
      </w:pPr>
      <w:r>
        <w:rPr>
          <w:rFonts w:ascii="Barlow Semi Condensed" w:cs="Barlow Semi Condensed" w:eastAsia="Barlow Semi Condensed" w:hAnsi="Barlow Semi Condensed"/>
          <w:b/>
          <w:bCs/>
          <w:sz w:val="24"/>
          <w:szCs w:val="24"/>
        </w:rPr>
        <w:t xml:space="preserve">2378 · I telegrammi del 1978 in rete.</w:t>
      </w:r>
      <w:r>
        <w:rPr>
          <w:rFonts w:ascii="Barlow Semi Condensed" w:cs="Barlow Semi Condensed" w:eastAsia="Barlow Semi Condensed" w:hAnsi="Barlow Semi Condensed"/>
          <w:sz w:val="24"/>
          <w:szCs w:val="24"/>
        </w:rPr>
        <w:t xml:space="preserve"> I Central Foreign Policy Files sono interrogabili in full-text sui National Archives statunitensi per gli anni dal primo luglio 1973 al 31 dicembre 1979, con le withdrawal cards che censiscono il trattenuto. È il giacimento estero a costo più basso e va spogliato con griglia dichiarata di nomi, luoghi e TAGS. Le carte di prelievo sono esse stesse un dato: dicono quanto manca e da dove.</w:t>
      </w:r>
    </w:p>
    <w:p>
      <w:pPr>
        <w:spacing w:after="120" w:line="276"/>
        <w:jc w:val="both"/>
      </w:pPr>
      <w:r>
        <w:rPr>
          <w:rFonts w:ascii="Barlow Semi Condensed" w:cs="Barlow Semi Condensed" w:eastAsia="Barlow Semi Condensed" w:hAnsi="Barlow Semi Condensed"/>
          <w:b/>
          <w:bCs/>
          <w:sz w:val="24"/>
          <w:szCs w:val="24"/>
        </w:rPr>
        <w:t xml:space="preserve">2379 · La collezione a microfiche del Dipartimento.</w:t>
      </w:r>
      <w:r>
        <w:rPr>
          <w:rFonts w:ascii="Barlow Semi Condensed" w:cs="Barlow Semi Condensed" w:eastAsia="Barlow Semi Condensed" w:hAnsi="Barlow Semi Condensed"/>
          <w:sz w:val="24"/>
          <w:szCs w:val="24"/>
        </w:rPr>
        <w:t xml:space="preserve"> Una collezione a microfiche dedicata ad Aldo Moro come primo ministro d'Italia è conservata nella FOIA Library del Dipartimento di Stato. Il quesito è di perimetro prima che di contenuto: quali documenti la compongono, con quali date estreme, e quali risultino espunti. Una collezione tematica intitolata a una persona è, di per sé, la traccia di un interesse istituzionale, e l'interesse non è una condotta.</w:t>
      </w:r>
    </w:p>
    <w:p>
      <w:pPr>
        <w:spacing w:after="120" w:line="276"/>
        <w:jc w:val="both"/>
      </w:pPr>
      <w:r>
        <w:rPr>
          <w:rFonts w:ascii="Barlow Semi Condensed" w:cs="Barlow Semi Condensed" w:eastAsia="Barlow Semi Condensed" w:hAnsi="Barlow Semi Condensed"/>
          <w:b/>
          <w:bCs/>
          <w:sz w:val="24"/>
          <w:szCs w:val="24"/>
        </w:rPr>
        <w:t xml:space="preserve">2380 · La sala di lettura dell'agenzia.</w:t>
      </w:r>
      <w:r>
        <w:rPr>
          <w:rFonts w:ascii="Barlow Semi Condensed" w:cs="Barlow Semi Condensed" w:eastAsia="Barlow Semi Condensed" w:hAnsi="Barlow Semi Condensed"/>
          <w:sz w:val="24"/>
          <w:szCs w:val="24"/>
        </w:rPr>
        <w:t xml:space="preserve"> Nella Electronic Reading Room dell'agenzia statunitense figurano materiali su Moro, sulle Brigate Rosse e sull'Italia del 1978, con l'avvertenza già acquisita dal corpus che molti reperti sono rassegne di stampa interne e non atti operativi. La distinzione è dirimente: una rassegna documenta ciò che l'agenzia leggeva, non ciò che faceva, e va citata per quello che è, con la sua natura dichiarata.</w:t>
      </w:r>
    </w:p>
    <w:p>
      <w:pPr>
        <w:spacing w:after="120" w:line="276"/>
        <w:jc w:val="both"/>
      </w:pPr>
      <w:r>
        <w:rPr>
          <w:rFonts w:ascii="Barlow Semi Condensed" w:cs="Barlow Semi Condensed" w:eastAsia="Barlow Semi Condensed" w:hAnsi="Barlow Semi Condensed"/>
          <w:b/>
          <w:bCs/>
          <w:sz w:val="24"/>
          <w:szCs w:val="24"/>
        </w:rPr>
        <w:t xml:space="preserve">2381 · Le due biblioteche presidenziali.</w:t>
      </w:r>
      <w:r>
        <w:rPr>
          <w:rFonts w:ascii="Barlow Semi Condensed" w:cs="Barlow Semi Condensed" w:eastAsia="Barlow Semi Condensed" w:hAnsi="Barlow Semi Condensed"/>
          <w:sz w:val="24"/>
          <w:szCs w:val="24"/>
        </w:rPr>
        <w:t xml:space="preserve"> Due biblioteche presidenziali chiudono l'elenco americano: la Gerald R. Ford Presidential Library, con la serie dei National Security Adviser's Memoranda of Conversation da cui provengono i due verbali del settembre 1974, e la Jimmy Carter Library, col Brzezinski Material e il Country File dedicato all'Italia, già usato dai volumi FRUS per il 1977-1980. La seconda copre esattamente la finestra del sequestro.</w:t>
      </w:r>
    </w:p>
    <w:p>
      <w:pPr>
        <w:spacing w:after="120" w:line="276"/>
        <w:jc w:val="both"/>
      </w:pPr>
      <w:r>
        <w:rPr>
          <w:rFonts w:ascii="Barlow Semi Condensed" w:cs="Barlow Semi Condensed" w:eastAsia="Barlow Semi Condensed" w:hAnsi="Barlow Semi Condensed"/>
          <w:b/>
          <w:bCs/>
          <w:sz w:val="24"/>
          <w:szCs w:val="24"/>
        </w:rPr>
        <w:t xml:space="preserve">2382 · Le carte personali del nome.</w:t>
      </w:r>
      <w:r>
        <w:rPr>
          <w:rFonts w:ascii="Barlow Semi Condensed" w:cs="Barlow Semi Condensed" w:eastAsia="Barlow Semi Condensed" w:hAnsi="Barlow Semi Condensed"/>
          <w:sz w:val="24"/>
          <w:szCs w:val="24"/>
        </w:rPr>
        <w:t xml:space="preserve"> Resta da accertare nel suo perimetro l'ultima sede: i fondi che conservano le carte personali di Henry Kissinger, ripartiti fra istituzioni statunitensi con regimi di consultabilità e restrizioni proprie. Il bersaglio preliminare non è il contenuto ma lo strumento: quali serie esistono, con quali date estreme, con quali vincoli e fino a quando. Senza quella mappa, ogni affermazione sul loro silenzio è priva di fondamento.</w:t>
      </w:r>
    </w:p>
    <w:p>
      <w:pPr>
        <w:spacing w:after="120" w:line="276"/>
        <w:jc w:val="both"/>
      </w:pPr>
      <w:r>
        <w:rPr>
          <w:rFonts w:ascii="Barlow Semi Condensed" w:cs="Barlow Semi Condensed" w:eastAsia="Barlow Semi Condensed" w:hAnsi="Barlow Semi Condensed"/>
          <w:b/>
          <w:bCs/>
          <w:sz w:val="24"/>
          <w:szCs w:val="24"/>
        </w:rPr>
        <w:t xml:space="preserve">2383 · Il bersaglio di smentita penale.</w:t>
      </w:r>
      <w:r>
        <w:rPr>
          <w:rFonts w:ascii="Barlow Semi Condensed" w:cs="Barlow Semi Condensed" w:eastAsia="Barlow Semi Condensed" w:hAnsi="Barlow Semi Condensed"/>
          <w:sz w:val="24"/>
          <w:szCs w:val="24"/>
        </w:rPr>
        <w:t xml:space="preserve"> Che cosa falsificherebbe l'accertamento centrale di questa serie: la produzione di un provvedimento giudiziario, richiesta di rinvio a giudizio, ordinanza o sentenza, in cui un'autorità di qualunque Paese contesti a questa persona una condotta relativa al sequestro o all'omicidio di Aldo Moro. Non una relazione parlamentare, non un saggio, non una dichiarazione: un atto del processo. Nessuno ne è stato reperito, e la ricerca resta aperta.</w:t>
      </w:r>
    </w:p>
    <w:p>
      <w:pPr>
        <w:spacing w:after="120" w:line="276"/>
        <w:jc w:val="both"/>
      </w:pPr>
      <w:r>
        <w:rPr>
          <w:rFonts w:ascii="Barlow Semi Condensed" w:cs="Barlow Semi Condensed" w:eastAsia="Barlow Semi Condensed" w:hAnsi="Barlow Semi Condensed"/>
          <w:b/>
          <w:bCs/>
          <w:sz w:val="24"/>
          <w:szCs w:val="24"/>
        </w:rPr>
        <w:t xml:space="preserve">2384 · Il bersaglio di smentita documentale.</w:t>
      </w:r>
      <w:r>
        <w:rPr>
          <w:rFonts w:ascii="Barlow Semi Condensed" w:cs="Barlow Semi Condensed" w:eastAsia="Barlow Semi Condensed" w:hAnsi="Barlow Semi Condensed"/>
          <w:sz w:val="24"/>
          <w:szCs w:val="24"/>
        </w:rPr>
        <w:t xml:space="preserve"> L'assenza di ponte al piano uno cadrebbe davanti a un documento di provenienza, un telegramma, un verbale, un appunto d'ufficio, che nomini insieme questa persona e almeno una delle tredici del registro, oppure che disponga alcunché sull'operazione del 1978. Il test è unico e non ammette surrogati: dalla somiglianza dei risultati non si deduce l'antenato comune, e nessuna convergenza di cornice sostituisce una segnatura.</w:t>
      </w:r>
    </w:p>
    <w:p>
      <w:pPr>
        <w:spacing w:after="120" w:line="276"/>
        <w:jc w:val="both"/>
      </w:pPr>
      <w:r>
        <w:rPr>
          <w:rFonts w:ascii="Barlow Semi Condensed" w:cs="Barlow Semi Condensed" w:eastAsia="Barlow Semi Condensed" w:hAnsi="Barlow Semi Condensed"/>
          <w:b/>
          <w:bCs/>
          <w:sz w:val="24"/>
          <w:szCs w:val="24"/>
        </w:rPr>
        <w:t xml:space="preserve">2385 · Il bersaglio che chiuderebbe in negativo.</w:t>
      </w:r>
      <w:r>
        <w:rPr>
          <w:rFonts w:ascii="Barlow Semi Condensed" w:cs="Barlow Semi Condensed" w:eastAsia="Barlow Semi Condensed" w:hAnsi="Barlow Semi Condensed"/>
          <w:sz w:val="24"/>
          <w:szCs w:val="24"/>
        </w:rPr>
        <w:t xml:space="preserve"> Va cercato con pari energia anche l'esito che chiuderebbe il quesito nell'altro senso: la documentazione che attesti che l'iniziativa italiana del 1983 fu formalmente respinta, oppure non fu mai trasmessa, oppure si arrestò per ragioni d'ufficio. Una sorte ordinaria e documentata di quella richiesta chiuderebbe il nodo per la parte procedurale, e trasformerebbe un silenzio suggestivo in un fatto amministrativo.</w:t>
      </w:r>
    </w:p>
    <w:p>
      <w:pPr>
        <w:spacing w:after="120" w:line="276"/>
        <w:jc w:val="both"/>
      </w:pPr>
      <w:r>
        <w:rPr>
          <w:rFonts w:ascii="Barlow Semi Condensed" w:cs="Barlow Semi Condensed" w:eastAsia="Barlow Semi Condensed" w:hAnsi="Barlow Semi Condensed"/>
          <w:b/>
          <w:bCs/>
          <w:sz w:val="24"/>
          <w:szCs w:val="24"/>
        </w:rPr>
        <w:t xml:space="preserve">2386 · Il criterio di chiusura testimoniale.</w:t>
      </w:r>
      <w:r>
        <w:rPr>
          <w:rFonts w:ascii="Barlow Semi Condensed" w:cs="Barlow Semi Condensed" w:eastAsia="Barlow Semi Condensed" w:hAnsi="Barlow Semi Condensed"/>
          <w:sz w:val="24"/>
          <w:szCs w:val="24"/>
        </w:rPr>
        <w:t xml:space="preserve"> Il nodo dell'avvertimento si chiude, in un senso o nell'altro, quando saranno letti per intero tre testi che il corpus dichiara di non aver potuto consultare: il verbale stenografico dell'audizione parlamentare del primo agosto 1980, i verbali d'udienza del novembre 1982, la motivazione del gennaio 1983. Tre documenti individuati, tre sedi note. Finché restano non letti, ogni riepilogo poggia su fonti secondarie e va dichiarato tale.</w:t>
      </w:r>
    </w:p>
    <w:p>
      <w:pPr>
        <w:spacing w:after="120" w:line="276"/>
        <w:jc w:val="both"/>
      </w:pPr>
      <w:r>
        <w:rPr>
          <w:rFonts w:ascii="Barlow Semi Condensed" w:cs="Barlow Semi Condensed" w:eastAsia="Barlow Semi Condensed" w:hAnsi="Barlow Semi Condensed"/>
          <w:b/>
          <w:bCs/>
          <w:sz w:val="24"/>
          <w:szCs w:val="24"/>
        </w:rPr>
        <w:t xml:space="preserve">2387 · La divergenza sull'anglicizzazione, riportata.</w:t>
      </w:r>
      <w:r>
        <w:rPr>
          <w:rFonts w:ascii="Barlow Semi Condensed" w:cs="Barlow Semi Condensed" w:eastAsia="Barlow Semi Condensed" w:hAnsi="Barlow Semi Condensed"/>
          <w:sz w:val="24"/>
          <w:szCs w:val="24"/>
        </w:rPr>
        <w:t xml:space="preserve"> Anche l'anagrafe porta una divergenza che il corpus ha già registrato: Heinz Alfred Kissinger, nato a Fürth il 27 maggio 1923, avrebbe anglicizzato il proprio nome nel 1938 secondo le opere di consultazione, che non citano documenti, mentre il fascicolo d'immigrazione la colloca fra il 1942 e il 1943. Si riporta perché una serie che pretende segnature deve pretenderle anche per i dettagli comodi.</w:t>
      </w:r>
    </w:p>
    <w:p>
      <w:pPr>
        <w:spacing w:after="120" w:line="276"/>
        <w:jc w:val="both"/>
      </w:pPr>
      <w:r>
        <w:rPr>
          <w:rFonts w:ascii="Barlow Semi Condensed" w:cs="Barlow Semi Condensed" w:eastAsia="Barlow Semi Condensed" w:hAnsi="Barlow Semi Condensed"/>
          <w:b/>
          <w:bCs/>
          <w:sz w:val="24"/>
          <w:szCs w:val="24"/>
        </w:rPr>
        <w:t xml:space="preserve">2388 · Il perimetro negativo del registro (serie XXXI).</w:t>
      </w:r>
      <w:r>
        <w:rPr>
          <w:rFonts w:ascii="Barlow Semi Condensed" w:cs="Barlow Semi Condensed" w:eastAsia="Barlow Semi Condensed" w:hAnsi="Barlow Semi Condensed"/>
          <w:sz w:val="24"/>
          <w:szCs w:val="24"/>
        </w:rPr>
        <w:t xml:space="preserve"> L'ottava parte dei nove cantieri prevede un bersaglio che questa serie esegue in un caso singolo: la tavola di chi non è nel registro e del perché, fra assoluzioni, archiviazioni e mere congetture, scritta una volta e bene, senza nomi oltre gli atti pubblici che li contengono. Henry Kissinger appartiene alla terza colonna, quella delle congetture circolanti, e vi appartiene senza alcun atto italiano che lo riguardi.</w:t>
      </w:r>
    </w:p>
    <w:p>
      <w:pPr>
        <w:spacing w:after="120" w:line="276"/>
        <w:jc w:val="both"/>
      </w:pPr>
      <w:r>
        <w:rPr>
          <w:rFonts w:ascii="Barlow Semi Condensed" w:cs="Barlow Semi Condensed" w:eastAsia="Barlow Semi Condensed" w:hAnsi="Barlow Semi Condensed"/>
          <w:b/>
          <w:bCs/>
          <w:sz w:val="24"/>
          <w:szCs w:val="24"/>
        </w:rPr>
        <w:t xml:space="preserve">2389 · Una persona, una condotta, una sentenza.</w:t>
      </w:r>
      <w:r>
        <w:rPr>
          <w:rFonts w:ascii="Barlow Semi Condensed" w:cs="Barlow Semi Condensed" w:eastAsia="Barlow Semi Condensed" w:hAnsi="Barlow Semi Condensed"/>
          <w:sz w:val="24"/>
          <w:szCs w:val="24"/>
        </w:rPr>
        <w:t xml:space="preserve"> La formula con cui il territorio si congeda chiede tre cose insieme, e le chiede nell'ordine. Per il nome triangolato in questa serie la prima esiste, una persona con un'anagrafe verificata e due incarichi datati; la seconda non è mai stata accertata da alcuna autorità; la terza non è mai stata pronunciata. Due elementi su tre mancano, e mancano nel modo che il capitolo ottantaduesimo dichiara insuperabile.</w:t>
      </w:r>
    </w:p>
    <w:p>
      <w:pPr>
        <w:spacing w:after="120" w:line="276"/>
        <w:jc w:val="both"/>
      </w:pPr>
      <w:r>
        <w:rPr>
          <w:rFonts w:ascii="Barlow Semi Condensed" w:cs="Barlow Semi Condensed" w:eastAsia="Barlow Semi Condensed" w:hAnsi="Barlow Semi Condensed"/>
          <w:b/>
          <w:bCs/>
          <w:sz w:val="24"/>
          <w:szCs w:val="24"/>
        </w:rPr>
        <w:t xml:space="preserve">2390 · Che cosa questa serie consegna.</w:t>
      </w:r>
      <w:r>
        <w:rPr>
          <w:rFonts w:ascii="Barlow Semi Condensed" w:cs="Barlow Semi Condensed" w:eastAsia="Barlow Semi Condensed" w:hAnsi="Barlow Semi Condensed"/>
          <w:sz w:val="24"/>
          <w:szCs w:val="24"/>
        </w:rPr>
        <w:t xml:space="preserve"> Restano, a chiusura, un accertamento e un programma. L'accertamento: la Fase decima non nomina Henry Kissinger, e non lo nomina perché il suo criterio d'ingresso è il giudicato, che per lui non esiste in alcun Paese. Il programma: le sedi d'archivio nominate una per una, tre testi individuati e non ancora letti, due bersagli di smentita formulati. Chi riprenderà il lavoro sa dove andare.</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Serie trentaduesima — La triangolazione dei condannati</w:t>
      </w:r>
    </w:p>
    <w:p>
      <w:pPr>
        <w:spacing w:after="120" w:line="276"/>
        <w:jc w:val="both"/>
      </w:pPr>
      <w:r>
        <w:rPr>
          <w:rFonts w:ascii="Barlow Semi Condensed" w:cs="Barlow Semi Condensed" w:eastAsia="Barlow Semi Condensed" w:hAnsi="Barlow Semi Condensed"/>
          <w:i/>
          <w:iCs/>
          <w:sz w:val="24"/>
          <w:szCs w:val="24"/>
        </w:rPr>
        <w:t xml:space="preserve">Blocchi 2391-2470.</w:t>
      </w:r>
    </w:p>
    <w:p>
      <w:pPr>
        <w:spacing w:after="120" w:line="276"/>
        <w:jc w:val="both"/>
      </w:pPr>
      <w:r>
        <w:rPr>
          <w:rFonts w:ascii="Barlow Semi Condensed" w:cs="Barlow Semi Condensed" w:eastAsia="Barlow Semi Condensed" w:hAnsi="Barlow Semi Condensed"/>
          <w:b/>
          <w:bCs/>
          <w:sz w:val="24"/>
          <w:szCs w:val="24"/>
        </w:rPr>
        <w:t xml:space="preserve">2391 · Il territorio e la sua prima misura.</w:t>
      </w:r>
      <w:r>
        <w:rPr>
          <w:rFonts w:ascii="Barlow Semi Condensed" w:cs="Barlow Semi Condensed" w:eastAsia="Barlow Semi Condensed" w:hAnsi="Barlow Semi Condensed"/>
          <w:sz w:val="24"/>
          <w:szCs w:val="24"/>
        </w:rPr>
        <w:t xml:space="preserve"> Questa serie triangola un nome contro triangolazione-condannati-corpus.md: otto nodi da T-1 a T-8, quattro esiti negativi dichiarati, cinque anti-triangolazioni, la matrice sintetica e la chiusura sul filo del 1926. La prima misura è meccanica ed è già un accertamento: la stringa Kissinger nel documento ricorre zero volte, e altrettante nella Fase decima e nello studio sulle pene oltre confine. Il territorio tace su questo nome, e il silenzio si conta prima di interpretarlo.</w:t>
      </w:r>
    </w:p>
    <w:p>
      <w:pPr>
        <w:spacing w:after="120" w:line="276"/>
        <w:jc w:val="both"/>
      </w:pPr>
      <w:r>
        <w:rPr>
          <w:rFonts w:ascii="Barlow Semi Condensed" w:cs="Barlow Semi Condensed" w:eastAsia="Barlow Semi Condensed" w:hAnsi="Barlow Semi Condensed"/>
          <w:b/>
          <w:bCs/>
          <w:sz w:val="24"/>
          <w:szCs w:val="24"/>
        </w:rPr>
        <w:t xml:space="preserve">2392 · Quattordici mesi di scarto.</w:t>
      </w:r>
      <w:r>
        <w:rPr>
          <w:rFonts w:ascii="Barlow Semi Condensed" w:cs="Barlow Semi Condensed" w:eastAsia="Barlow Semi Condensed" w:hAnsi="Barlow Semi Condensed"/>
          <w:sz w:val="24"/>
          <w:szCs w:val="24"/>
        </w:rPr>
        <w:t xml:space="preserve"> Le condotte iscritte nel capitolo settantanovesimo cadono fra il 16 marzo e il 9 maggio 1978. Gli incarichi qui rilevanti si erano chiusi il 20 gennaio 1977: assistente per la sicurezza nazionale dal 20 gennaio 1969 al 3 novembre 1975, Segretario di Stato dal 22 settembre 1973. Fra l'ultimo giorno d'ufficio e via Fani corrono quattordici mesi. Nessun atto d'ufficio può riguardare quelle condotte: è demarcazione cronologica, non assoluzione morale.</w:t>
      </w:r>
    </w:p>
    <w:p>
      <w:pPr>
        <w:spacing w:after="120" w:line="276"/>
        <w:jc w:val="both"/>
      </w:pPr>
      <w:r>
        <w:rPr>
          <w:rFonts w:ascii="Barlow Semi Condensed" w:cs="Barlow Semi Condensed" w:eastAsia="Barlow Semi Condensed" w:hAnsi="Barlow Semi Condensed"/>
          <w:b/>
          <w:bCs/>
          <w:sz w:val="24"/>
          <w:szCs w:val="24"/>
        </w:rPr>
        <w:t xml:space="preserve">2393 · I tredici del registro, e chi manca.</w:t>
      </w:r>
      <w:r>
        <w:rPr>
          <w:rFonts w:ascii="Barlow Semi Condensed" w:cs="Barlow Semi Condensed" w:eastAsia="Barlow Semi Condensed" w:hAnsi="Barlow Semi Condensed"/>
          <w:sz w:val="24"/>
          <w:szCs w:val="24"/>
        </w:rPr>
        <w:t xml:space="preserve"> Moretti, Gallinari, Morucci, Faranda, Fiore, Bonisoli, Balzerani, Seghetti, Braghetti, Casimirri, Lojacono, Maccari, Etro: tredici condotte, cinque processi romani, una sola sede che le ha scritte. Il nome di questa triangolazione non vi compare, e non per dimenticanza: non fu mai imputato né processato in alcun Paese. Il registro cresce solo per nuovo giudicato, come il blocco 840 dei nove cantieri ricorda a proposito dell'identificazione tardiva di Maccari.</w:t>
      </w:r>
    </w:p>
    <w:p>
      <w:pPr>
        <w:spacing w:after="120" w:line="276"/>
        <w:jc w:val="both"/>
      </w:pPr>
      <w:r>
        <w:rPr>
          <w:rFonts w:ascii="Barlow Semi Condensed" w:cs="Barlow Semi Condensed" w:eastAsia="Barlow Semi Condensed" w:hAnsi="Barlow Semi Condensed"/>
          <w:b/>
          <w:bCs/>
          <w:sz w:val="24"/>
          <w:szCs w:val="24"/>
        </w:rPr>
        <w:t xml:space="preserve">2394 · Il test che vale, e l'esito atteso.</w:t>
      </w:r>
      <w:r>
        <w:rPr>
          <w:rFonts w:ascii="Barlow Semi Condensed" w:cs="Barlow Semi Condensed" w:eastAsia="Barlow Semi Condensed" w:hAnsi="Barlow Semi Condensed"/>
          <w:sz w:val="24"/>
          <w:szCs w:val="24"/>
        </w:rPr>
        <w:t xml:space="preserve"> Un ponte è reale solo al piano 1, e il piano 1 ha una sola prova: un documento di provenienza che nomini la controparte. Su questo territorio quel documento non è stato trovato per nessuno dei tredici. La serie lo dichiara in apertura invece che in chiusura, perché l'esito prevalente sarà lo Stato Zero, e uno Stato Zero annunciato non è una resa: è il perimetro entro cui i blocchi seguenti lavorano.</w:t>
      </w:r>
    </w:p>
    <w:p>
      <w:pPr>
        <w:spacing w:after="120" w:line="276"/>
        <w:jc w:val="both"/>
      </w:pPr>
      <w:r>
        <w:rPr>
          <w:rFonts w:ascii="Barlow Semi Condensed" w:cs="Barlow Semi Condensed" w:eastAsia="Barlow Semi Condensed" w:hAnsi="Barlow Semi Condensed"/>
          <w:b/>
          <w:bCs/>
          <w:sz w:val="24"/>
          <w:szCs w:val="24"/>
        </w:rPr>
        <w:t xml:space="preserve">2395 · Il documento del 1974 riletto da qui.</w:t>
      </w:r>
      <w:r>
        <w:rPr>
          <w:rFonts w:ascii="Barlow Semi Condensed" w:cs="Barlow Semi Condensed" w:eastAsia="Barlow Semi Condensed" w:hAnsi="Barlow Semi Condensed"/>
          <w:sz w:val="24"/>
          <w:szCs w:val="24"/>
        </w:rPr>
        <w:t xml:space="preserve"> Il solo primario che il corpus possieda sul rapporto diretto è il memorandum dello Studio Ovale del 25 settembre 1974 - Leone, Moro, Ford, Kissinger, Scowcroft; FRUS 1969-1976 E-15 parte 2, doc. 350, seconda edizione riveduta; Ford Library 1552802 - con il seguito del 26 settembre, file 1552806. Nessuno dei tredici vi è nominato, e nessuno poteva esserlo: nel settembre 1974 il caso che li avrebbe iscritti nel registro non esisteva.</w:t>
      </w:r>
    </w:p>
    <w:p>
      <w:pPr>
        <w:spacing w:after="120" w:line="276"/>
        <w:jc w:val="both"/>
      </w:pPr>
      <w:r>
        <w:rPr>
          <w:rFonts w:ascii="Barlow Semi Condensed" w:cs="Barlow Semi Condensed" w:eastAsia="Barlow Semi Condensed" w:hAnsi="Barlow Semi Condensed"/>
          <w:b/>
          <w:bCs/>
          <w:sz w:val="24"/>
          <w:szCs w:val="24"/>
        </w:rPr>
        <w:t xml:space="preserve">2396 · Le sigle che l'archivio inventa.</w:t>
      </w:r>
      <w:r>
        <w:rPr>
          <w:rFonts w:ascii="Barlow Semi Condensed" w:cs="Barlow Semi Condensed" w:eastAsia="Barlow Semi Condensed" w:hAnsi="Barlow Semi Condensed"/>
          <w:sz w:val="24"/>
          <w:szCs w:val="24"/>
        </w:rPr>
        <w:t xml:space="preserve"> Verifica meccanica, eseguita sul documento assegnato. La sequenza CIA vi ricorre diciotto volte, tutte interne a parole italiane: Speciale, incrocia, contumacia, camicia, dissociazioni, Luciano. La sequenza NATO cinque volte, dentro condannato, nato, Renato. Chi cercasse conferme per sottostringa ne troverebbe ventitré, e sarebbero tutte false. La regola già fissata nella prima serie vale identica qui: si verifica la stringa prima di interrogare il fondo, perché l'archivio risponde a ciò che gli si chiede.</w:t>
      </w:r>
    </w:p>
    <w:p>
      <w:pPr>
        <w:spacing w:after="120" w:line="276"/>
        <w:jc w:val="both"/>
      </w:pPr>
      <w:r>
        <w:rPr>
          <w:rFonts w:ascii="Barlow Semi Condensed" w:cs="Barlow Semi Condensed" w:eastAsia="Barlow Semi Condensed" w:hAnsi="Barlow Semi Condensed"/>
          <w:b/>
          <w:bCs/>
          <w:sz w:val="24"/>
          <w:szCs w:val="24"/>
        </w:rPr>
        <w:t xml:space="preserve">2397 · Il 1969 che si sdoppia.</w:t>
      </w:r>
      <w:r>
        <w:rPr>
          <w:rFonts w:ascii="Barlow Semi Condensed" w:cs="Barlow Semi Condensed" w:eastAsia="Barlow Semi Condensed" w:hAnsi="Barlow Semi Condensed"/>
          <w:sz w:val="24"/>
          <w:szCs w:val="24"/>
        </w:rPr>
        <w:t xml:space="preserve"> Due date convivono in un anno solo. L'11 marzo 1969 il Comitato dei 303, presieduto dal nodo qui studiato, conviene all'unanimità che non vi sia real justification for resumption of covert funding ai partiti italiani (FRUS 1969-1976, vol. XLI, doc. 180). L'8 settembre 1969 nasce a Milano il Collettivo Politico Metropolitano. Le due date distano sei mesi e nessun documento le collega. La contemporaneità non è prova di nesso: qui è solo calendario.</w:t>
      </w:r>
    </w:p>
    <w:p>
      <w:pPr>
        <w:spacing w:after="120" w:line="276"/>
        <w:jc w:val="both"/>
      </w:pPr>
      <w:r>
        <w:rPr>
          <w:rFonts w:ascii="Barlow Semi Condensed" w:cs="Barlow Semi Condensed" w:eastAsia="Barlow Semi Condensed" w:hAnsi="Barlow Semi Condensed"/>
          <w:b/>
          <w:bCs/>
          <w:sz w:val="24"/>
          <w:szCs w:val="24"/>
        </w:rPr>
        <w:t xml:space="preserve">2398 · Che cosa smentirebbe il 1969 doppio.</w:t>
      </w:r>
      <w:r>
        <w:rPr>
          <w:rFonts w:ascii="Barlow Semi Condensed" w:cs="Barlow Semi Condensed" w:eastAsia="Barlow Semi Condensed" w:hAnsi="Barlow Semi Condensed"/>
          <w:sz w:val="24"/>
          <w:szCs w:val="24"/>
        </w:rPr>
        <w:t xml:space="preserve"> Si formula qui un bersaglio di smentita, perché altri lo esegua. Il nesso oggi negato diventerebbe piano 1 se emergesse un documento della catena decisionale statunitense datato 1969-1970 che nomini il Collettivo Politico Metropolitano, la Sit-Siemens o uno dei suoi militanti come oggetto di interesse, sorveglianza o finanziamento. Sede: FRUS vol. XLI e E-15 parte 2, Nixon Presidential Materials, NSC Files, Country Files Italy, ai National Archives di College Park.</w:t>
      </w:r>
    </w:p>
    <w:p>
      <w:pPr>
        <w:spacing w:after="120" w:line="276"/>
        <w:jc w:val="both"/>
      </w:pPr>
      <w:r>
        <w:rPr>
          <w:rFonts w:ascii="Barlow Semi Condensed" w:cs="Barlow Semi Condensed" w:eastAsia="Barlow Semi Condensed" w:hAnsi="Barlow Semi Condensed"/>
          <w:b/>
          <w:bCs/>
          <w:sz w:val="24"/>
          <w:szCs w:val="24"/>
        </w:rPr>
        <w:t xml:space="preserve">2399 · Sit-Siemens, e nessuna carta americana.</w:t>
      </w:r>
      <w:r>
        <w:rPr>
          <w:rFonts w:ascii="Barlow Semi Condensed" w:cs="Barlow Semi Condensed" w:eastAsia="Barlow Semi Condensed" w:hAnsi="Barlow Semi Condensed"/>
          <w:sz w:val="24"/>
          <w:szCs w:val="24"/>
        </w:rPr>
        <w:t xml:space="preserve"> Moretti giunse a Milano nel 1968, fu assunto alla Sit-Siemens con una lettera della marchesa Anna Casati Stampa di Soncino e in fabbrica incontrò Alunni, Semeria, Besuschio. Il nodo T-1 grada F questa biografia. La ricognizione qui condotta non ha reperito alcun documento statunitense che nomini l'assunzione, la fabbrica o la raccomandazione. Esito negativo di pieno valore, e non sorprendente: una raccomandazione privata non è materia di cablo diplomatico.</w:t>
      </w:r>
    </w:p>
    <w:p>
      <w:pPr>
        <w:spacing w:after="120" w:line="276"/>
        <w:jc w:val="both"/>
      </w:pPr>
      <w:r>
        <w:rPr>
          <w:rFonts w:ascii="Barlow Semi Condensed" w:cs="Barlow Semi Condensed" w:eastAsia="Barlow Semi Condensed" w:hAnsi="Barlow Semi Condensed"/>
          <w:b/>
          <w:bCs/>
          <w:sz w:val="24"/>
          <w:szCs w:val="24"/>
        </w:rPr>
        <w:t xml:space="preserve">2400 · Il programma che riemerge, 1975-1976.</w:t>
      </w:r>
      <w:r>
        <w:rPr>
          <w:rFonts w:ascii="Barlow Semi Condensed" w:cs="Barlow Semi Condensed" w:eastAsia="Barlow Semi Condensed" w:hAnsi="Barlow Semi Condensed"/>
          <w:sz w:val="24"/>
          <w:szCs w:val="24"/>
        </w:rPr>
        <w:t xml:space="preserve"> La letteratura peer-reviewed segnala che il programma di azione coperta in Italia riemerse nel novembre 1975 e nel luglio 1976, quando Moro era presidente del Consiglio. Nelle stesse stagioni Moretti era latitante e le colonne brigatiste si strutturavano. Sono due serie di fatti dentro la stessa cornice: convergenza di piano 2, mai promuovibile. Il metro cileno del blocco 504 misura anche qui e trova assenza: nessun destinatario italiano identificato, nessuna somma, nessuna data.</w:t>
      </w:r>
    </w:p>
    <w:p>
      <w:pPr>
        <w:spacing w:after="120" w:line="276"/>
        <w:jc w:val="both"/>
      </w:pPr>
      <w:r>
        <w:rPr>
          <w:rFonts w:ascii="Barlow Semi Condensed" w:cs="Barlow Semi Condensed" w:eastAsia="Barlow Semi Condensed" w:hAnsi="Barlow Semi Condensed"/>
          <w:b/>
          <w:bCs/>
          <w:sz w:val="24"/>
          <w:szCs w:val="24"/>
        </w:rPr>
        <w:t xml:space="preserve">2401 · Hyperion, tesi B, e un nome assente.</w:t>
      </w:r>
      <w:r>
        <w:rPr>
          <w:rFonts w:ascii="Barlow Semi Condensed" w:cs="Barlow Semi Condensed" w:eastAsia="Barlow Semi Condensed" w:hAnsi="Barlow Semi Condensed"/>
          <w:sz w:val="24"/>
          <w:szCs w:val="24"/>
        </w:rPr>
        <w:t xml:space="preserve"> La tesi della centrale d'intelligence (triangolazione Hyperion, paragrafo 2) evoca servizi occidentali e un interessamento riferito del SISDE alla sede di Rouen. In nessuna delle formulazioni note compare il nome qui studiato. Il rilievo va scritto perché è controintuitivo: la congettura più esposta alla combinatoria americana non lo chiama in causa. E i procedimenti su Hyperion si chiusero con proscioglimenti per tutti, come fissa ATH-1.</w:t>
      </w:r>
    </w:p>
    <w:p>
      <w:pPr>
        <w:spacing w:after="120" w:line="276"/>
        <w:jc w:val="both"/>
      </w:pPr>
      <w:r>
        <w:rPr>
          <w:rFonts w:ascii="Barlow Semi Condensed" w:cs="Barlow Semi Condensed" w:eastAsia="Barlow Semi Condensed" w:hAnsi="Barlow Semi Condensed"/>
          <w:b/>
          <w:bCs/>
          <w:sz w:val="24"/>
          <w:szCs w:val="24"/>
        </w:rPr>
        <w:t xml:space="preserve">2402 · Stato Zero su Moretti nelle serie americane.</w:t>
      </w:r>
      <w:r>
        <w:rPr>
          <w:rFonts w:ascii="Barlow Semi Condensed" w:cs="Barlow Semi Condensed" w:eastAsia="Barlow Semi Condensed" w:hAnsi="Barlow Semi Condensed"/>
          <w:sz w:val="24"/>
          <w:szCs w:val="24"/>
        </w:rPr>
        <w:t xml:space="preserve"> Lacuna verbalizzata. Non risulta alcun telegramma o memorandum statunitense che nomini Mario Moretti prima del suo arresto milanese del 4 aprile 1981. Sede che la chiuderebbe: Access to Archival Databases dei National Archives, Central Foreign Policy Files 1973-1979, interrogazione per TAGS PINT, PINS, PTER con IT, e le Electronic Telegrams Withdrawal Cards 1978 che censiscono il trattenuto. Lo strumento è già descritto nella scheda PE-5 del corpus: qui riceve una chiave nuova.</w:t>
      </w:r>
    </w:p>
    <w:p>
      <w:pPr>
        <w:spacing w:after="120" w:line="276"/>
        <w:jc w:val="both"/>
      </w:pPr>
      <w:r>
        <w:rPr>
          <w:rFonts w:ascii="Barlow Semi Condensed" w:cs="Barlow Semi Condensed" w:eastAsia="Barlow Semi Condensed" w:hAnsi="Barlow Semi Condensed"/>
          <w:b/>
          <w:bCs/>
          <w:sz w:val="24"/>
          <w:szCs w:val="24"/>
        </w:rPr>
        <w:t xml:space="preserve">2403 · La regola del ceppo, applicata a distanza.</w:t>
      </w:r>
      <w:r>
        <w:rPr>
          <w:rFonts w:ascii="Barlow Semi Condensed" w:cs="Barlow Semi Condensed" w:eastAsia="Barlow Semi Condensed" w:hAnsi="Barlow Semi Condensed"/>
          <w:sz w:val="24"/>
          <w:szCs w:val="24"/>
        </w:rPr>
        <w:t xml:space="preserve"> Il nodo T-1 chiude che il ceppo del 1969 non è una catena di comando. La stessa frase, ruotata verso questo nome, dice qualcosa in più: se l'origine comune non istituisce comando fra Moretti e Simioni, che condivisero un collettivo, tanto meno lo istituisce fra Moretti e un uomo di governo straniero che non condivise nulla con lui. La distanza fra i due termini rende superflua l'inferenza prima ancora che illecita.</w:t>
      </w:r>
    </w:p>
    <w:p>
      <w:pPr>
        <w:spacing w:after="120" w:line="276"/>
        <w:jc w:val="both"/>
      </w:pPr>
      <w:r>
        <w:rPr>
          <w:rFonts w:ascii="Barlow Semi Condensed" w:cs="Barlow Semi Condensed" w:eastAsia="Barlow Semi Condensed" w:hAnsi="Barlow Semi Condensed"/>
          <w:b/>
          <w:bCs/>
          <w:sz w:val="24"/>
          <w:szCs w:val="24"/>
        </w:rPr>
        <w:t xml:space="preserve">2404 · Potere Operaio visto da via Veneto.</w:t>
      </w:r>
      <w:r>
        <w:rPr>
          <w:rFonts w:ascii="Barlow Semi Condensed" w:cs="Barlow Semi Condensed" w:eastAsia="Barlow Semi Condensed" w:hAnsi="Barlow Semi Condensed"/>
          <w:sz w:val="24"/>
          <w:szCs w:val="24"/>
        </w:rPr>
        <w:t xml:space="preserve"> Quesito enumerativo, non ipotesi. Quante volte Potere Operaio, sciolto nel 1973, compare nella reportistica politica dell'ambasciata statunitense a Roma fra il 1969 e il 1976, e con quali TAGS? Sede: AAD per il segmento 1973-1979, RG 59 Central Foreign Policy Files per il resto, e il fascicolo FOIA R-2021-002xx già in mano al corpus, con i numeri di controllo B-00001939965-989 come ancoraggio. Il prodotto è una tavola, non una tesi.</w:t>
      </w:r>
    </w:p>
    <w:p>
      <w:pPr>
        <w:spacing w:after="120" w:line="276"/>
        <w:jc w:val="both"/>
      </w:pPr>
      <w:r>
        <w:rPr>
          <w:rFonts w:ascii="Barlow Semi Condensed" w:cs="Barlow Semi Condensed" w:eastAsia="Barlow Semi Condensed" w:hAnsi="Barlow Semi Condensed"/>
          <w:b/>
          <w:bCs/>
          <w:sz w:val="24"/>
          <w:szCs w:val="24"/>
        </w:rPr>
        <w:t xml:space="preserve">2405 · Il canale Pace-Piperno e la sua data.</w:t>
      </w:r>
      <w:r>
        <w:rPr>
          <w:rFonts w:ascii="Barlow Semi Condensed" w:cs="Barlow Semi Condensed" w:eastAsia="Barlow Semi Condensed" w:hAnsi="Barlow Semi Condensed"/>
          <w:sz w:val="24"/>
          <w:szCs w:val="24"/>
        </w:rPr>
        <w:t xml:space="preserve"> Nella primavera 1978 opera il canale che il nodo T-2 documenta: Morucci e Faranda da un lato, due ex dirigenti di Potere Operaio dall'altro, e il PSI di Craxi come approdo. Grado B per la dinamica. In quella primavera il nome qui triangolato era cittadino privato da oltre un anno, e la Commissione Moro 2, che il canale ha ricostruito in audizione, non lo evoca in alcun passaggio.</w:t>
      </w:r>
    </w:p>
    <w:p>
      <w:pPr>
        <w:spacing w:after="120" w:line="276"/>
        <w:jc w:val="both"/>
      </w:pPr>
      <w:r>
        <w:rPr>
          <w:rFonts w:ascii="Barlow Semi Condensed" w:cs="Barlow Semi Condensed" w:eastAsia="Barlow Semi Condensed" w:hAnsi="Barlow Semi Condensed"/>
          <w:b/>
          <w:bCs/>
          <w:sz w:val="24"/>
          <w:szCs w:val="24"/>
        </w:rPr>
        <w:t xml:space="preserve">2406 · Craxi, Washington, e l'archivio giusto.</w:t>
      </w:r>
      <w:r>
        <w:rPr>
          <w:rFonts w:ascii="Barlow Semi Condensed" w:cs="Barlow Semi Condensed" w:eastAsia="Barlow Semi Condensed" w:hAnsi="Barlow Semi Condensed"/>
          <w:sz w:val="24"/>
          <w:szCs w:val="24"/>
        </w:rPr>
        <w:t xml:space="preserve"> Avvertenza sulla scelta del fondo, prima di qualunque richiesta. Chi cerchi la posizione statunitense sulla trattativa nei cinquantacinque giorni deve aprire le carte dell'amministrazione in carica nel 1978, non quelle del 1969-1977: Jimmy Carter Presidential Library di Atlanta, National Security Adviser, Brzezinski Material, Country File Italy, e il traffico RG 59 dello stesso anno. Cercare il 1978 nel fondo sbagliato produce l'unico esito peggiore del vuoto: la sensazione di aver cercato.</w:t>
      </w:r>
    </w:p>
    <w:p>
      <w:pPr>
        <w:spacing w:after="120" w:line="276"/>
        <w:jc w:val="both"/>
      </w:pPr>
      <w:r>
        <w:rPr>
          <w:rFonts w:ascii="Barlow Semi Condensed" w:cs="Barlow Semi Condensed" w:eastAsia="Barlow Semi Condensed" w:hAnsi="Barlow Semi Condensed"/>
          <w:b/>
          <w:bCs/>
          <w:sz w:val="24"/>
          <w:szCs w:val="24"/>
        </w:rPr>
        <w:t xml:space="preserve">2407 · Il memoriale Morucci-Faranda come testo negoziato.</w:t>
      </w:r>
      <w:r>
        <w:rPr>
          <w:rFonts w:ascii="Barlow Semi Condensed" w:cs="Barlow Semi Condensed" w:eastAsia="Barlow Semi Condensed" w:hAnsi="Barlow Semi Condensed"/>
          <w:sz w:val="24"/>
          <w:szCs w:val="24"/>
        </w:rPr>
        <w:t xml:space="preserve"> La Fase settima recepisce dalla Commissione Moro 2 che il memoriale della dissociazione è un testo negoziato degli anni Ottanta: grado B, fonte da leggere sapendo che cosa è. Ne discende un quesito preciso e mai posto: quel testo nomina autorità straniere, e con quale funzione narrativa? Sede: gli atti dei procedimenti in cui fu depositato e il fondo della Commissione all'Archivio storico della Camera, blocco 46 dell'agenda.</w:t>
      </w:r>
    </w:p>
    <w:p>
      <w:pPr>
        <w:spacing w:after="120" w:line="276"/>
        <w:jc w:val="both"/>
      </w:pPr>
      <w:r>
        <w:rPr>
          <w:rFonts w:ascii="Barlow Semi Condensed" w:cs="Barlow Semi Condensed" w:eastAsia="Barlow Semi Condensed" w:hAnsi="Barlow Semi Condensed"/>
          <w:b/>
          <w:bCs/>
          <w:sz w:val="24"/>
          <w:szCs w:val="24"/>
        </w:rPr>
        <w:t xml:space="preserve">2408 · La parola di Morucci, censita alla stringa.</w:t>
      </w:r>
      <w:r>
        <w:rPr>
          <w:rFonts w:ascii="Barlow Semi Condensed" w:cs="Barlow Semi Condensed" w:eastAsia="Barlow Semi Condensed" w:hAnsi="Barlow Semi Condensed"/>
          <w:sz w:val="24"/>
          <w:szCs w:val="24"/>
        </w:rPr>
        <w:t xml:space="preserve"> Valerio Morucci, morto il 1° gennaio 2025, è l'uomo del registro che più ha raccontato il caso dall'interno: libri, interviste, deposizioni. Il blocco 813 dei nove cantieri chiede la collazione delle sue versioni successive. Questa serie vi aggiunge una colonna: in quali sedi, se in alcuna, egli abbia mai pronunciato il nome qui studiato, e in quale registro - riferito, polemico, negato. Il conto è eseguibile e non è mai stato fatto.</w:t>
      </w:r>
    </w:p>
    <w:p>
      <w:pPr>
        <w:spacing w:after="120" w:line="276"/>
        <w:jc w:val="both"/>
      </w:pPr>
      <w:r>
        <w:rPr>
          <w:rFonts w:ascii="Barlow Semi Condensed" w:cs="Barlow Semi Condensed" w:eastAsia="Barlow Semi Condensed" w:hAnsi="Barlow Semi Condensed"/>
          <w:b/>
          <w:bCs/>
          <w:sz w:val="24"/>
          <w:szCs w:val="24"/>
        </w:rPr>
        <w:t xml:space="preserve">2409 · Faranda vivente: la domanda da non fare.</w:t>
      </w:r>
      <w:r>
        <w:rPr>
          <w:rFonts w:ascii="Barlow Semi Condensed" w:cs="Barlow Semi Condensed" w:eastAsia="Barlow Semi Condensed" w:hAnsi="Barlow Semi Condensed"/>
          <w:sz w:val="24"/>
          <w:szCs w:val="24"/>
        </w:rPr>
        <w:t xml:space="preserve"> Adriana Faranda è fra le voci del registro ancora ascoltabili, e il blocco 817 dei nove cantieri propone dichiarazioni spontanee verbalizzate sulla meccanica dei recapiti. Avvertenza di metodo, vincolante: una domanda che suggerisca un nome estraneo al giudicato produce una risposta inservibile e una notizia falsa. Si chiede che cosa ricordi dei canali; non si chiede se dietro i canali vi fosse qualcuno. La forma della domanda è parte della prova.</w:t>
      </w:r>
    </w:p>
    <w:p>
      <w:pPr>
        <w:spacing w:after="120" w:line="276"/>
        <w:jc w:val="both"/>
      </w:pPr>
      <w:r>
        <w:rPr>
          <w:rFonts w:ascii="Barlow Semi Condensed" w:cs="Barlow Semi Condensed" w:eastAsia="Barlow Semi Condensed" w:hAnsi="Barlow Semi Condensed"/>
          <w:b/>
          <w:bCs/>
          <w:sz w:val="24"/>
          <w:szCs w:val="24"/>
        </w:rPr>
        <w:t xml:space="preserve">2410 · Che cosa aprirebbe il nodo T-2.</w:t>
      </w:r>
      <w:r>
        <w:rPr>
          <w:rFonts w:ascii="Barlow Semi Condensed" w:cs="Barlow Semi Condensed" w:eastAsia="Barlow Semi Condensed" w:hAnsi="Barlow Semi Condensed"/>
          <w:sz w:val="24"/>
          <w:szCs w:val="24"/>
        </w:rPr>
        <w:t xml:space="preserve"> Bersaglio di smentita per il canale della trattativa. Sarebbe piano 1 un documento coevo - italiano, statunitense o di terzo Stato - che colleghi una posizione riferibile a questo nome all'attività di intermediazione del 1978. Sede: atti della Commissione Moro 2, carte del PSI presso la Fondazione Craxi, traffico diplomatico 1978 in AAD. Fino ad allora il nodo resta quello che il territorio ha scritto: militanze comuni e un canale, senza terzi.</w:t>
      </w:r>
    </w:p>
    <w:p>
      <w:pPr>
        <w:spacing w:after="120" w:line="276"/>
        <w:jc w:val="both"/>
      </w:pPr>
      <w:r>
        <w:rPr>
          <w:rFonts w:ascii="Barlow Semi Condensed" w:cs="Barlow Semi Condensed" w:eastAsia="Barlow Semi Condensed" w:hAnsi="Barlow Semi Condensed"/>
          <w:b/>
          <w:bCs/>
          <w:sz w:val="24"/>
          <w:szCs w:val="24"/>
        </w:rPr>
        <w:t xml:space="preserve">2411 · Primo ottobre 1978, cittadino privato.</w:t>
      </w:r>
      <w:r>
        <w:rPr>
          <w:rFonts w:ascii="Barlow Semi Condensed" w:cs="Barlow Semi Condensed" w:eastAsia="Barlow Semi Condensed" w:hAnsi="Barlow Semi Condensed"/>
          <w:sz w:val="24"/>
          <w:szCs w:val="24"/>
        </w:rPr>
        <w:t xml:space="preserve"> Bonisoli portò egli stesso il memoriale e le lettere in via Monte Nevoso 8 e vi fu arrestato il 1° ottobre 1978 con Azzolini e Mantovani; furono trovate quarantanove pagine dattiloscritte. Il nodo T-3 lo chiama ponte personale verso il documento più controverso del caso. Alla data dell'arresto il nome qui triangolato non ricopriva alcuna carica pubblica da oltre venti mesi: la coincidenza di anno non genera alcuna competenza.</w:t>
      </w:r>
    </w:p>
    <w:p>
      <w:pPr>
        <w:spacing w:after="120" w:line="276"/>
        <w:jc w:val="both"/>
      </w:pPr>
      <w:r>
        <w:rPr>
          <w:rFonts w:ascii="Barlow Semi Condensed" w:cs="Barlow Semi Condensed" w:eastAsia="Barlow Semi Condensed" w:hAnsi="Barlow Semi Condensed"/>
          <w:b/>
          <w:bCs/>
          <w:sz w:val="24"/>
          <w:szCs w:val="24"/>
        </w:rPr>
        <w:t xml:space="preserve">2412 · Le carte del 1990 e ogni cornice.</w:t>
      </w:r>
      <w:r>
        <w:rPr>
          <w:rFonts w:ascii="Barlow Semi Condensed" w:cs="Barlow Semi Condensed" w:eastAsia="Barlow Semi Condensed" w:hAnsi="Barlow Semi Condensed"/>
          <w:sz w:val="24"/>
          <w:szCs w:val="24"/>
        </w:rPr>
        <w:t xml:space="preserve"> I quattrocento e più fogli dietro il pannello emersero il 9 ottobre 1990, durante lavori di ristrutturazione. Dodici anni dopo il primo ritrovamento, tredici dopo la fine di ogni incarico del nodo studiato. Su questa seconda data nessuna ipotesi di ingerenza straniera è mai stata formulata da fonte qualificata, e questa serie non ne formula: registra che la questione della completezza resta aperta al grado C, come il territorio scrive.</w:t>
      </w:r>
    </w:p>
    <w:p>
      <w:pPr>
        <w:spacing w:after="120" w:line="276"/>
        <w:jc w:val="both"/>
      </w:pPr>
      <w:r>
        <w:rPr>
          <w:rFonts w:ascii="Barlow Semi Condensed" w:cs="Barlow Semi Condensed" w:eastAsia="Barlow Semi Condensed" w:hAnsi="Barlow Semi Condensed"/>
          <w:b/>
          <w:bCs/>
          <w:sz w:val="24"/>
          <w:szCs w:val="24"/>
        </w:rPr>
        <w:t xml:space="preserve">2413 · Il memoriale nomina qualcuno.</w:t>
      </w:r>
      <w:r>
        <w:rPr>
          <w:rFonts w:ascii="Barlow Semi Condensed" w:cs="Barlow Semi Condensed" w:eastAsia="Barlow Semi Condensed" w:hAnsi="Barlow Semi Condensed"/>
          <w:sz w:val="24"/>
          <w:szCs w:val="24"/>
        </w:rPr>
        <w:t xml:space="preserve"> Quesito filologico eseguibile oggi, a costo nullo. Nelle carte di prigionia - le quarantanove pagine del 1978 e i fogli del 1990, nelle edizioni critiche disponibili e nell'edizione presentata all'Archivio di Stato di Roma nel 2020 - ricorre il nome qui studiato? Con quale grafia, in quale contesto, quante volte? L'indice dei nomi risponde in un pomeriggio. Il blocco V-8 dell'agenda e i blocchi 461-485 dei cantieri sono la cornice.</w:t>
      </w:r>
    </w:p>
    <w:p>
      <w:pPr>
        <w:spacing w:after="120" w:line="276"/>
        <w:jc w:val="both"/>
      </w:pPr>
      <w:r>
        <w:rPr>
          <w:rFonts w:ascii="Barlow Semi Condensed" w:cs="Barlow Semi Condensed" w:eastAsia="Barlow Semi Condensed" w:hAnsi="Barlow Semi Condensed"/>
          <w:b/>
          <w:bCs/>
          <w:sz w:val="24"/>
          <w:szCs w:val="24"/>
        </w:rPr>
        <w:t xml:space="preserve">2414 · Lo Stato Zero dell'intercapedine.</w:t>
      </w:r>
      <w:r>
        <w:rPr>
          <w:rFonts w:ascii="Barlow Semi Condensed" w:cs="Barlow Semi Condensed" w:eastAsia="Barlow Semi Condensed" w:hAnsi="Barlow Semi Condensed"/>
          <w:sz w:val="24"/>
          <w:szCs w:val="24"/>
        </w:rPr>
        <w:t xml:space="preserve"> Lacuna dichiarata, con la sede. Non risulta alcun atto d'archivio statunitense relativo al ritrovamento milanese, né del 1978 né del 1990. La chiusura passa per due porte: le withdrawal cards 1978 in AAD per il primo tempo, e le richieste FOIA mirate al Dipartimento di Stato per il secondo, dove la finestra è più recente e dunque meno servita da versamenti. In regime FOIA anche il diniego è un documento motivato.</w:t>
      </w:r>
    </w:p>
    <w:p>
      <w:pPr>
        <w:spacing w:after="120" w:line="276"/>
        <w:jc w:val="both"/>
      </w:pPr>
      <w:r>
        <w:rPr>
          <w:rFonts w:ascii="Barlow Semi Condensed" w:cs="Barlow Semi Condensed" w:eastAsia="Barlow Semi Condensed" w:hAnsi="Barlow Semi Condensed"/>
          <w:b/>
          <w:bCs/>
          <w:sz w:val="24"/>
          <w:szCs w:val="24"/>
        </w:rPr>
        <w:t xml:space="preserve">2415 · I due tempi non provano una regia.</w:t>
      </w:r>
      <w:r>
        <w:rPr>
          <w:rFonts w:ascii="Barlow Semi Condensed" w:cs="Barlow Semi Condensed" w:eastAsia="Barlow Semi Condensed" w:hAnsi="Barlow Semi Condensed"/>
          <w:sz w:val="24"/>
          <w:szCs w:val="24"/>
        </w:rPr>
        <w:t xml:space="preserve"> Contro un errore ricorrente si fissa qui una regola. Che le carte siano emerse in due tempi separati da dodici anni è fatto accertato quanto ai ritrovamenti; che ne discenda un occultamento diretto da qualcuno è inferenza non compiuta da alcun giudicato. Il corpus grada B la manipolazione o incompletezza deliberata e chiede, come criterio di smentita, la catena di custodia integrale. Nessun nome straniero entra in quella catena.</w:t>
      </w:r>
    </w:p>
    <w:p>
      <w:pPr>
        <w:spacing w:after="120" w:line="276"/>
        <w:jc w:val="both"/>
      </w:pPr>
      <w:r>
        <w:rPr>
          <w:rFonts w:ascii="Barlow Semi Condensed" w:cs="Barlow Semi Condensed" w:eastAsia="Barlow Semi Condensed" w:hAnsi="Barlow Semi Condensed"/>
          <w:b/>
          <w:bCs/>
          <w:sz w:val="24"/>
          <w:szCs w:val="24"/>
        </w:rPr>
        <w:t xml:space="preserve">2416 · Il bersaglio di smentita di Monte Nevoso.</w:t>
      </w:r>
      <w:r>
        <w:rPr>
          <w:rFonts w:ascii="Barlow Semi Condensed" w:cs="Barlow Semi Condensed" w:eastAsia="Barlow Semi Condensed" w:hAnsi="Barlow Semi Condensed"/>
          <w:sz w:val="24"/>
          <w:szCs w:val="24"/>
        </w:rPr>
        <w:t xml:space="preserve"> Che cosa sposterebbe il nodo T-3 verso questo nome: un documento della catena di custodia - verbale, nota di trasmissione, appunto di servizio - che attesti l'accesso di soggetti stranieri ai materiali sequestrati il 1° ottobre 1978. Sede: Archivio centrale dello Stato, raccolta speciale Sequestro e uccisione dell'on. Aldo Moro, e gli atti dei procedimenti milanesi. Assente quel documento, il nodo resta interamente italiano e interamente interno.</w:t>
      </w:r>
    </w:p>
    <w:p>
      <w:pPr>
        <w:spacing w:after="120" w:line="276"/>
        <w:jc w:val="both"/>
      </w:pPr>
      <w:r>
        <w:rPr>
          <w:rFonts w:ascii="Barlow Semi Condensed" w:cs="Barlow Semi Condensed" w:eastAsia="Barlow Semi Condensed" w:hAnsi="Barlow Semi Condensed"/>
          <w:b/>
          <w:bCs/>
          <w:sz w:val="24"/>
          <w:szCs w:val="24"/>
        </w:rPr>
        <w:t xml:space="preserve">2417 · L'appartamento di Reggio, e nessun cablo.</w:t>
      </w:r>
      <w:r>
        <w:rPr>
          <w:rFonts w:ascii="Barlow Semi Condensed" w:cs="Barlow Semi Condensed" w:eastAsia="Barlow Semi Condensed" w:hAnsi="Barlow Semi Condensed"/>
          <w:sz w:val="24"/>
          <w:szCs w:val="24"/>
        </w:rPr>
        <w:t xml:space="preserve"> Il gruppo dell'appartamento reggiano - otto giovani usciti dalla FGCI, fra cui Franceschini, Azzolini, Bonisoli, Paroli, Pelli, Ognibene, Casaletti e Gallinari - è sociologia della militanza, non livello occulto: così il nodo T-4. Verifica eseguita: nessun documento statunitense reperibile nomina quel nucleo prima del 1970. Sede di chiusura definitiva: RG 59 e i fondi consolari, con attenzione al consolato di Milano, competente per l'Emilia in quegli anni.</w:t>
      </w:r>
    </w:p>
    <w:p>
      <w:pPr>
        <w:spacing w:after="120" w:line="276"/>
        <w:jc w:val="both"/>
      </w:pPr>
      <w:r>
        <w:rPr>
          <w:rFonts w:ascii="Barlow Semi Condensed" w:cs="Barlow Semi Condensed" w:eastAsia="Barlow Semi Condensed" w:hAnsi="Barlow Semi Condensed"/>
          <w:b/>
          <w:bCs/>
          <w:sz w:val="24"/>
          <w:szCs w:val="24"/>
        </w:rPr>
        <w:t xml:space="preserve">2418 · Il filo Franceschini si ferma al 1972.</w:t>
      </w:r>
      <w:r>
        <w:rPr>
          <w:rFonts w:ascii="Barlow Semi Condensed" w:cs="Barlow Semi Condensed" w:eastAsia="Barlow Semi Condensed" w:hAnsi="Barlow Semi Condensed"/>
          <w:sz w:val="24"/>
          <w:szCs w:val="24"/>
        </w:rPr>
        <w:t xml:space="preserve"> Il territorio ferma il filo verso Feltrinelli ai contatti del 1971 fra ceppo fondativo ed editore-gappista, morto a Segrate nel marzo 1972, sei anni prima di via Fani. In quel biennio il nodo qui studiato era assistente per la sicurezza nazionale. Contemporaneità piena, nesso nullo: nessuna fonte collega Feltrinelli, i GAP o la loro eredità all'operazione Moro, e a maggior ragione nessuna li collega a Washington attraverso il ceppo reggiano.</w:t>
      </w:r>
    </w:p>
    <w:p>
      <w:pPr>
        <w:spacing w:after="120" w:line="276"/>
        <w:jc w:val="both"/>
      </w:pPr>
      <w:r>
        <w:rPr>
          <w:rFonts w:ascii="Barlow Semi Condensed" w:cs="Barlow Semi Condensed" w:eastAsia="Barlow Semi Condensed" w:hAnsi="Barlow Semi Condensed"/>
          <w:b/>
          <w:bCs/>
          <w:sz w:val="24"/>
          <w:szCs w:val="24"/>
        </w:rPr>
        <w:t xml:space="preserve">2419 · Gallinari, archivio chiuso dal 2013.</w:t>
      </w:r>
      <w:r>
        <w:rPr>
          <w:rFonts w:ascii="Barlow Semi Condensed" w:cs="Barlow Semi Condensed" w:eastAsia="Barlow Semi Condensed" w:hAnsi="Barlow Semi Condensed"/>
          <w:sz w:val="24"/>
          <w:szCs w:val="24"/>
        </w:rPr>
        <w:t xml:space="preserve"> Prospero Gallinari morì a Reggio Emilia il 14 gennaio 2013: la sua voce è chiusa, e il blocco 811 dei nove cantieri sposta la ricerca sulle carte private eventuali e sui grezzi delle interviste, comprese quelle di Zavoli. Questa serie vi innesta una domanda circoscritta: se in quei grezzi non montati ricorra il nome qui triangolato. La risposta non cambierebbe il giudicato; cambierebbe la mappa di ciò che i condannati dissero.</w:t>
      </w:r>
    </w:p>
    <w:p>
      <w:pPr>
        <w:spacing w:after="120" w:line="276"/>
        <w:jc w:val="both"/>
      </w:pPr>
      <w:r>
        <w:rPr>
          <w:rFonts w:ascii="Barlow Semi Condensed" w:cs="Barlow Semi Condensed" w:eastAsia="Barlow Semi Condensed" w:hAnsi="Barlow Semi Condensed"/>
          <w:b/>
          <w:bCs/>
          <w:sz w:val="24"/>
          <w:szCs w:val="24"/>
        </w:rPr>
        <w:t xml:space="preserve">2420 · Che cosa cercare nelle carte reggiane.</w:t>
      </w:r>
      <w:r>
        <w:rPr>
          <w:rFonts w:ascii="Barlow Semi Condensed" w:cs="Barlow Semi Condensed" w:eastAsia="Barlow Semi Condensed" w:hAnsi="Barlow Semi Condensed"/>
          <w:sz w:val="24"/>
          <w:szCs w:val="24"/>
        </w:rPr>
        <w:t xml:space="preserve"> Domanda da portare in una sede nominata. Gli archivi del movimento operaio reggiano e i fondi locali della FGCI conservano carte del 1966-1970 sul nucleo poi confluito nelle BR. Vi compare traccia di interesse, contatto o segnalazione riferibile ad apparati stranieri? Attesa motivata: nulla. Un esito negativo scritto con perimetro esatto vale come acquisizione, secondo la regola del blocco 285 dell'agenda, che vieta di ricercare due volte lo stesso vuoto.</w:t>
      </w:r>
    </w:p>
    <w:p>
      <w:pPr>
        <w:spacing w:after="120" w:line="276"/>
        <w:jc w:val="both"/>
      </w:pPr>
      <w:r>
        <w:rPr>
          <w:rFonts w:ascii="Barlow Semi Condensed" w:cs="Barlow Semi Condensed" w:eastAsia="Barlow Semi Condensed" w:hAnsi="Barlow Semi Condensed"/>
          <w:b/>
          <w:bCs/>
          <w:sz w:val="24"/>
          <w:szCs w:val="24"/>
        </w:rPr>
        <w:t xml:space="preserve">2421 · Omologia e analogia sul nucleo storico.</w:t>
      </w:r>
      <w:r>
        <w:rPr>
          <w:rFonts w:ascii="Barlow Semi Condensed" w:cs="Barlow Semi Condensed" w:eastAsia="Barlow Semi Condensed" w:hAnsi="Barlow Semi Condensed"/>
          <w:sz w:val="24"/>
          <w:szCs w:val="24"/>
        </w:rPr>
        <w:t xml:space="preserve"> Applicazione della distinzione al caso reggiano. Che due persone del registro provengano dallo stesso nucleo pre-brigatista è omologia: c'è discendenza documentata, ed è il piano 1 di una genealogia biografica. Che militanze diverse producano esiti simili in Paesi diversi è analogia, e non autorizza a risalire a un antenato comune. Cento somiglianze di esito non fanno una discendenza: la promozione avviene solo per documento, e il documento qui manca.</w:t>
      </w:r>
    </w:p>
    <w:p>
      <w:pPr>
        <w:spacing w:after="120" w:line="276"/>
        <w:jc w:val="both"/>
      </w:pPr>
      <w:r>
        <w:rPr>
          <w:rFonts w:ascii="Barlow Semi Condensed" w:cs="Barlow Semi Condensed" w:eastAsia="Barlow Semi Condensed" w:hAnsi="Barlow Semi Condensed"/>
          <w:b/>
          <w:bCs/>
          <w:sz w:val="24"/>
          <w:szCs w:val="24"/>
        </w:rPr>
        <w:t xml:space="preserve">2422 · Ciò che riaprirebbe la genealogia reggiana.</w:t>
      </w:r>
      <w:r>
        <w:rPr>
          <w:rFonts w:ascii="Barlow Semi Condensed" w:cs="Barlow Semi Condensed" w:eastAsia="Barlow Semi Condensed" w:hAnsi="Barlow Semi Condensed"/>
          <w:sz w:val="24"/>
          <w:szCs w:val="24"/>
        </w:rPr>
        <w:t xml:space="preserve"> Riaprirebbe la genealogia reggiana un solo tipo di carta: un atto di provenienza, italiano o straniero, anteriore al 1970, che nomini insieme il nucleo emiliano e un apparato estero in qualunque funzione, anche di mera osservazione. Sede: Archivio centrale dello Stato, Ministero dell'Interno, Gabinetto, e le serie prefettizie di Reggio Emilia; sul versante opposto, RG 59 e i fondi dell'agenzia informativa per la parte declassificata. Assente questo, resta la sociologia.</w:t>
      </w:r>
    </w:p>
    <w:p>
      <w:pPr>
        <w:spacing w:after="120" w:line="276"/>
        <w:jc w:val="both"/>
      </w:pPr>
      <w:r>
        <w:rPr>
          <w:rFonts w:ascii="Barlow Semi Condensed" w:cs="Barlow Semi Condensed" w:eastAsia="Barlow Semi Condensed" w:hAnsi="Barlow Semi Condensed"/>
          <w:b/>
          <w:bCs/>
          <w:sz w:val="24"/>
          <w:szCs w:val="24"/>
        </w:rPr>
        <w:t xml:space="preserve">2423 · La sala stampa di tre pontefici.</w:t>
      </w:r>
      <w:r>
        <w:rPr>
          <w:rFonts w:ascii="Barlow Semi Condensed" w:cs="Barlow Semi Condensed" w:eastAsia="Barlow Semi Condensed" w:hAnsi="Barlow Semi Condensed"/>
          <w:sz w:val="24"/>
          <w:szCs w:val="24"/>
        </w:rPr>
        <w:t xml:space="preserve"> Luciano Casimirri diresse l'ufficio stampa dell'Osservatore Romano e la sala stampa vaticana sotto Pio XII, Giovanni XXIII e Paolo VI; la madre aveva cittadinanza vaticana. Il figlio Alessio ha sei ergastoli definitivi in contumacia. Il territorio grada F la biografia e nulla il nesso. Questa serie aggiunge il proprio accertamento: nessuna fonte reperita collega la funzione del padre a interlocuzioni statunitensi, e nessuna la collega alla militanza del figlio.</w:t>
      </w:r>
    </w:p>
    <w:p>
      <w:pPr>
        <w:spacing w:after="120" w:line="276"/>
        <w:jc w:val="both"/>
      </w:pPr>
      <w:r>
        <w:rPr>
          <w:rFonts w:ascii="Barlow Semi Condensed" w:cs="Barlow Semi Condensed" w:eastAsia="Barlow Semi Condensed" w:hAnsi="Barlow Semi Condensed"/>
          <w:b/>
          <w:bCs/>
          <w:sz w:val="24"/>
          <w:szCs w:val="24"/>
        </w:rPr>
        <w:t xml:space="preserve">2424 · La parentela non è canale, ancora.</w:t>
      </w:r>
      <w:r>
        <w:rPr>
          <w:rFonts w:ascii="Barlow Semi Condensed" w:cs="Barlow Semi Condensed" w:eastAsia="Barlow Semi Condensed" w:hAnsi="Barlow Semi Condensed"/>
          <w:sz w:val="24"/>
          <w:szCs w:val="24"/>
        </w:rPr>
        <w:t xml:space="preserve"> La prima anti-triangolazione del territorio va ripetuta esattamente dove la tentazione è massima. Se la famiglia non risponde del figlio, a maggior ragione non ne risponde l'istituzione in cui il padre lavorava, né lo Stato che con quell'istituzione trattava. Ogni catena costruita da sala stampa a Santa Sede a diplomazia atlantica e a via Fani si spezza al primo anello, e si spezza per diritto: l'articolo 27 non ammette trasmissione.</w:t>
      </w:r>
    </w:p>
    <w:p>
      <w:pPr>
        <w:spacing w:after="120" w:line="276"/>
        <w:jc w:val="both"/>
      </w:pPr>
      <w:r>
        <w:rPr>
          <w:rFonts w:ascii="Barlow Semi Condensed" w:cs="Barlow Semi Condensed" w:eastAsia="Barlow Semi Condensed" w:hAnsi="Barlow Semi Condensed"/>
          <w:b/>
          <w:bCs/>
          <w:sz w:val="24"/>
          <w:szCs w:val="24"/>
        </w:rPr>
        <w:t xml:space="preserve">2425 · Nessuna ambasciata presso la Santa Sede.</w:t>
      </w:r>
      <w:r>
        <w:rPr>
          <w:rFonts w:ascii="Barlow Semi Condensed" w:cs="Barlow Semi Condensed" w:eastAsia="Barlow Semi Condensed" w:hAnsi="Barlow Semi Condensed"/>
          <w:sz w:val="24"/>
          <w:szCs w:val="24"/>
        </w:rPr>
        <w:t xml:space="preserve"> Dato strutturale che spiega la magrezza documentale, da riscontrare sull'atto di designazione. Nel periodo degli incarichi qui rilevanti gli Stati Uniti non avevano relazioni diplomatiche piene con la Santa Sede: il canale era un rappresentante personale del presidente, non un'ambasciata con archivio seriale. Chi cerchi carte vaticano-americane di quegli anni deve perciò andare ai fondi personali e ai NSC Files, non a una serie consolare che non esiste.</w:t>
      </w:r>
    </w:p>
    <w:p>
      <w:pPr>
        <w:spacing w:after="120" w:line="276"/>
        <w:jc w:val="both"/>
      </w:pPr>
      <w:r>
        <w:rPr>
          <w:rFonts w:ascii="Barlow Semi Condensed" w:cs="Barlow Semi Condensed" w:eastAsia="Barlow Semi Condensed" w:hAnsi="Barlow Semi Condensed"/>
          <w:b/>
          <w:bCs/>
          <w:sz w:val="24"/>
          <w:szCs w:val="24"/>
        </w:rPr>
        <w:t xml:space="preserve">2426 · L'Archivio Apostolico e il suo calendario.</w:t>
      </w:r>
      <w:r>
        <w:rPr>
          <w:rFonts w:ascii="Barlow Semi Condensed" w:cs="Barlow Semi Condensed" w:eastAsia="Barlow Semi Condensed" w:hAnsi="Barlow Semi Condensed"/>
          <w:sz w:val="24"/>
          <w:szCs w:val="24"/>
        </w:rPr>
        <w:t xml:space="preserve"> Stato Zero con data di apertura, non con scusa. Il limite di consultazione dell'Archivio Apostolico Vaticano resta la fine del pontificato di Pio XII, aperto il 2 marzo 2020; lo stesso criterio per pontificati vale per l'archivio della Sezione per i Rapporti con gli Stati. Le carte del pontificato di Paolo VI non sono consultabili. La parte seconda dei nove cantieri, blocchi 121-135, tiene il calendario: qui si registra il vincolo.</w:t>
      </w:r>
    </w:p>
    <w:p>
      <w:pPr>
        <w:spacing w:after="120" w:line="276"/>
        <w:jc w:val="both"/>
      </w:pPr>
      <w:r>
        <w:rPr>
          <w:rFonts w:ascii="Barlow Semi Condensed" w:cs="Barlow Semi Condensed" w:eastAsia="Barlow Semi Condensed" w:hAnsi="Barlow Semi Condensed"/>
          <w:b/>
          <w:bCs/>
          <w:sz w:val="24"/>
          <w:szCs w:val="24"/>
        </w:rPr>
        <w:t xml:space="preserve">2427 · La rotta comincia dopo il 1977.</w:t>
      </w:r>
      <w:r>
        <w:rPr>
          <w:rFonts w:ascii="Barlow Semi Condensed" w:cs="Barlow Semi Condensed" w:eastAsia="Barlow Semi Condensed" w:hAnsi="Barlow Semi Condensed"/>
          <w:sz w:val="24"/>
          <w:szCs w:val="24"/>
        </w:rPr>
        <w:t xml:space="preserve"> Casimirri lasciò le BR nel 1980 e riparò via Libia e Cuba nel Nicaragua sandinista, dove è dal 1982. La rivoluzione che gli diede rifugio è del luglio 1979. Ogni segmento della rotta è posteriore al 20 gennaio 1977, cioè alla fine di ogni incarico del nodo qui studiato. La cronologia non è un argomento accessorio: è ciò che rende la domanda sul rapporto diretto priva di oggetto, prima ancora che priva di prova.</w:t>
      </w:r>
    </w:p>
    <w:p>
      <w:pPr>
        <w:spacing w:after="120" w:line="276"/>
        <w:jc w:val="both"/>
      </w:pPr>
      <w:r>
        <w:rPr>
          <w:rFonts w:ascii="Barlow Semi Condensed" w:cs="Barlow Semi Condensed" w:eastAsia="Barlow Semi Condensed" w:hAnsi="Barlow Semi Condensed"/>
          <w:b/>
          <w:bCs/>
          <w:sz w:val="24"/>
          <w:szCs w:val="24"/>
        </w:rPr>
        <w:t xml:space="preserve">2428 · La commissione bipartisan del 1983-1984.</w:t>
      </w:r>
      <w:r>
        <w:rPr>
          <w:rFonts w:ascii="Barlow Semi Condensed" w:cs="Barlow Semi Condensed" w:eastAsia="Barlow Semi Condensed" w:hAnsi="Barlow Semi Condensed"/>
          <w:sz w:val="24"/>
          <w:szCs w:val="24"/>
        </w:rPr>
        <w:t xml:space="preserve"> Rapporto diretto documentato esiste, ma con un altro oggetto. Il nome qui studiato presiedette da privato cittadino una commissione presidenziale bipartisan sull'America centrale, il cui rapporto fu consegnato nel gennaio 1984. È dunque presente, al piano 1, nel dossier Nicaragua degli stessi anni in cui Managua rifiutava le prime richieste italiane. Sono due fascicoli distinti che condividono un Paese. Condividere un Paese non è condividere una pratica.</w:t>
      </w:r>
    </w:p>
    <w:p>
      <w:pPr>
        <w:spacing w:after="120" w:line="276"/>
        <w:jc w:val="both"/>
      </w:pPr>
      <w:r>
        <w:rPr>
          <w:rFonts w:ascii="Barlow Semi Condensed" w:cs="Barlow Semi Condensed" w:eastAsia="Barlow Semi Condensed" w:hAnsi="Barlow Semi Condensed"/>
          <w:b/>
          <w:bCs/>
          <w:sz w:val="24"/>
          <w:szCs w:val="24"/>
        </w:rPr>
        <w:t xml:space="preserve">2429 · I due fascicoli di Managua.</w:t>
      </w:r>
      <w:r>
        <w:rPr>
          <w:rFonts w:ascii="Barlow Semi Condensed" w:cs="Barlow Semi Condensed" w:eastAsia="Barlow Semi Condensed" w:hAnsi="Barlow Semi Condensed"/>
          <w:sz w:val="24"/>
          <w:szCs w:val="24"/>
        </w:rPr>
        <w:t xml:space="preserve"> Esiste un atto - nicaraguense, statunitense o italiano - che tratti insieme la politica statunitense verso il governo sandinista e la posizione del latitante italiano? La domanda si porta in tre sedi: Ronald Reagan Presidential Library per il versante americano; Instituto de Historia de Nicaragua y Centroamerica a Managua; Archivio storico diplomatico della Farnesina, serie ambasciata d'Italia a Managua. Attesa motivata: nulla, e l'attesa va verbalizzata comunque.</w:t>
      </w:r>
    </w:p>
    <w:p>
      <w:pPr>
        <w:spacing w:after="120" w:line="276"/>
        <w:jc w:val="both"/>
      </w:pPr>
      <w:r>
        <w:rPr>
          <w:rFonts w:ascii="Barlow Semi Condensed" w:cs="Barlow Semi Condensed" w:eastAsia="Barlow Semi Condensed" w:hAnsi="Barlow Semi Condensed"/>
          <w:b/>
          <w:bCs/>
          <w:sz w:val="24"/>
          <w:szCs w:val="24"/>
        </w:rPr>
        <w:t xml:space="preserve">2430 · Le estradizioni respinte, e dove stanno.</w:t>
      </w:r>
      <w:r>
        <w:rPr>
          <w:rFonts w:ascii="Barlow Semi Condensed" w:cs="Barlow Semi Condensed" w:eastAsia="Barlow Semi Condensed" w:hAnsi="Barlow Semi Condensed"/>
          <w:sz w:val="24"/>
          <w:szCs w:val="24"/>
        </w:rPr>
        <w:t xml:space="preserve"> Almeno due richieste formali italiane sono state respinte. Le carte esistono e hanno una collocazione precisa: Ministero della Giustizia, direzione generale della giustizia penale, ufficio competente per le estradizioni, e Ministero degli Affari Esteri per la parte diplomatica. Domanda della serie: in quei fascicoli compare, in qualunque forma, un'interlocuzione statunitense sul caso? Il territorio dice che l'estradizione è politica estera applicata al giudicato: allora si legga la pratica.</w:t>
      </w:r>
    </w:p>
    <w:p>
      <w:pPr>
        <w:spacing w:after="120" w:line="276"/>
        <w:jc w:val="both"/>
      </w:pPr>
      <w:r>
        <w:rPr>
          <w:rFonts w:ascii="Barlow Semi Condensed" w:cs="Barlow Semi Condensed" w:eastAsia="Barlow Semi Condensed" w:hAnsi="Barlow Semi Condensed"/>
          <w:b/>
          <w:bCs/>
          <w:sz w:val="24"/>
          <w:szCs w:val="24"/>
        </w:rPr>
        <w:t xml:space="preserve">2431 · Divergenza interna sulla rogatoria.</w:t>
      </w:r>
      <w:r>
        <w:rPr>
          <w:rFonts w:ascii="Barlow Semi Condensed" w:cs="Barlow Semi Condensed" w:eastAsia="Barlow Semi Condensed" w:hAnsi="Barlow Semi Condensed"/>
          <w:sz w:val="24"/>
          <w:szCs w:val="24"/>
        </w:rPr>
        <w:t xml:space="preserve"> Il blocco 835 dei nove cantieri chiama la rogatoria conoscitiva a Casimirri il bersaglio singolo a più alto rendimento potenziale dell'intero registro. Il programma investigativo, per direttiva dell'autore, la esclude e le assegna 0,1, riapribile solo per documento primario nuovo. Le due indicazioni divergono e qui si riportano senza scioglierle. Se mai la via si riaprisse, nessuna domanda potrebbe suggerire nomi: si chiede ciò che si sa, non ciò che si spera.</w:t>
      </w:r>
    </w:p>
    <w:p>
      <w:pPr>
        <w:spacing w:after="120" w:line="276"/>
        <w:jc w:val="both"/>
      </w:pPr>
      <w:r>
        <w:rPr>
          <w:rFonts w:ascii="Barlow Semi Condensed" w:cs="Barlow Semi Condensed" w:eastAsia="Barlow Semi Condensed" w:hAnsi="Barlow Semi Condensed"/>
          <w:b/>
          <w:bCs/>
          <w:sz w:val="24"/>
          <w:szCs w:val="24"/>
        </w:rPr>
        <w:t xml:space="preserve">2432 · L'Avana, giacimento non accessibile.</w:t>
      </w:r>
      <w:r>
        <w:rPr>
          <w:rFonts w:ascii="Barlow Semi Condensed" w:cs="Barlow Semi Condensed" w:eastAsia="Barlow Semi Condensed" w:hAnsi="Barlow Semi Condensed"/>
          <w:sz w:val="24"/>
          <w:szCs w:val="24"/>
        </w:rPr>
        <w:t xml:space="preserve"> Il segmento cubano della rotta - fra l'uscita dalle BR e l'approdo nicaraguense - non ha, allo stato, archivio consultabile: gli atti del ministero dell'interno cubano non sono aperti alla ricerca storica esterna. Si dichiara come limite, non come indizio. Vie laterali percorribili: la corrispondenza dell'ambasciata d'Italia all'Avana presso la Farnesina, e il traffico statunitense su Cuba nelle serie declassificate, per la sola parte che nomini cittadini italiani.</w:t>
      </w:r>
    </w:p>
    <w:p>
      <w:pPr>
        <w:spacing w:after="120" w:line="276"/>
        <w:jc w:val="both"/>
      </w:pPr>
      <w:r>
        <w:rPr>
          <w:rFonts w:ascii="Barlow Semi Condensed" w:cs="Barlow Semi Condensed" w:eastAsia="Barlow Semi Condensed" w:hAnsi="Barlow Semi Condensed"/>
          <w:b/>
          <w:bCs/>
          <w:sz w:val="24"/>
          <w:szCs w:val="24"/>
        </w:rPr>
        <w:t xml:space="preserve">2433 · Tripoli, esito negativo dichiarato.</w:t>
      </w:r>
      <w:r>
        <w:rPr>
          <w:rFonts w:ascii="Barlow Semi Condensed" w:cs="Barlow Semi Condensed" w:eastAsia="Barlow Semi Condensed" w:hAnsi="Barlow Semi Condensed"/>
          <w:sz w:val="24"/>
          <w:szCs w:val="24"/>
        </w:rPr>
        <w:t xml:space="preserve"> Più opaco dei tre è il tratto libico: nessuna documentazione reperibile lo attesta oltre la riferitezza delle ricostruzioni. La sede che lo chiuderebbe non è libica ma italiana - le carte della Farnesina sui rapporti bilaterali con Tripoli, serie che il corpus ha già toccato per l'ottobre 1970 e per la fine del traghettamento del 15 ottobre. Finché quella serie non è spogliata, il segmento resta riferito e va scritto tale.</w:t>
      </w:r>
    </w:p>
    <w:p>
      <w:pPr>
        <w:spacing w:after="120" w:line="276"/>
        <w:jc w:val="both"/>
      </w:pPr>
      <w:r>
        <w:rPr>
          <w:rFonts w:ascii="Barlow Semi Condensed" w:cs="Barlow Semi Condensed" w:eastAsia="Barlow Semi Condensed" w:hAnsi="Barlow Semi Condensed"/>
          <w:b/>
          <w:bCs/>
          <w:sz w:val="24"/>
          <w:szCs w:val="24"/>
        </w:rPr>
        <w:t xml:space="preserve">2434 · Casimirri, lo Stato Zero complessivo.</w:t>
      </w:r>
      <w:r>
        <w:rPr>
          <w:rFonts w:ascii="Barlow Semi Condensed" w:cs="Barlow Semi Condensed" w:eastAsia="Barlow Semi Condensed" w:hAnsi="Barlow Semi Condensed"/>
          <w:sz w:val="24"/>
          <w:szCs w:val="24"/>
        </w:rPr>
        <w:t xml:space="preserve"> Sintesi del nodo più denso del territorio. Nessun documento reperibile collega, al piano 1, il nome qui triangolato a Alessio Casimirri, a suo padre, alla sala stampa vaticana, alla rotta o alla protezione nicaraguense. Restano convergenze di ambiente e di Paese, che il territorio stesso qualifica e nega. Il blocco 833 dei nove cantieri lo chiama il vuoto documentale personificato: verso questo nome il vuoto è doppio, ed è la misura corretta.</w:t>
      </w:r>
    </w:p>
    <w:p>
      <w:pPr>
        <w:spacing w:after="120" w:line="276"/>
        <w:jc w:val="both"/>
      </w:pPr>
      <w:r>
        <w:rPr>
          <w:rFonts w:ascii="Barlow Semi Condensed" w:cs="Barlow Semi Condensed" w:eastAsia="Barlow Semi Condensed" w:hAnsi="Barlow Semi Condensed"/>
          <w:b/>
          <w:bCs/>
          <w:sz w:val="24"/>
          <w:szCs w:val="24"/>
        </w:rPr>
        <w:t xml:space="preserve">2435 · Ciò che falsificherebbe il nodo T-5.</w:t>
      </w:r>
      <w:r>
        <w:rPr>
          <w:rFonts w:ascii="Barlow Semi Condensed" w:cs="Barlow Semi Condensed" w:eastAsia="Barlow Semi Condensed" w:hAnsi="Barlow Semi Condensed"/>
          <w:sz w:val="24"/>
          <w:szCs w:val="24"/>
        </w:rPr>
        <w:t xml:space="preserve"> In forma stretta, il bersaglio di smentita del nodo T-5. Sarebbe piano 1 un documento che nomini insieme, in un solo atto di provenienza, il nodo qui studiato e uno qualunque degli elementi del nodo: il padre, la sua funzione, il figlio, l'itinerario, la pratica di estradizione. Non due menzioni parallele in carte diverse: un atto solo, con protocollo. La soglia è alta perché l'oggetto è delicato, e si dichiara prima di cercare.</w:t>
      </w:r>
    </w:p>
    <w:p>
      <w:pPr>
        <w:spacing w:after="120" w:line="276"/>
        <w:jc w:val="both"/>
      </w:pPr>
      <w:r>
        <w:rPr>
          <w:rFonts w:ascii="Barlow Semi Condensed" w:cs="Barlow Semi Condensed" w:eastAsia="Barlow Semi Condensed" w:hAnsi="Barlow Semi Condensed"/>
          <w:b/>
          <w:bCs/>
          <w:sz w:val="24"/>
          <w:szCs w:val="24"/>
        </w:rPr>
        <w:t xml:space="preserve">2436 · Il passaporto elvetico del 1986.</w:t>
      </w:r>
      <w:r>
        <w:rPr>
          <w:rFonts w:ascii="Barlow Semi Condensed" w:cs="Barlow Semi Condensed" w:eastAsia="Barlow Semi Condensed" w:hAnsi="Barlow Semi Condensed"/>
          <w:sz w:val="24"/>
          <w:szCs w:val="24"/>
        </w:rPr>
        <w:t xml:space="preserve"> Alvaro Lojacono, condannato in via definitiva nel Moro quater con Cassazione del 14 maggio 1997 per l'intero arco 16 marzo-9 maggio, riparò in Svizzera nel 1986 e ne acquisì la cittadinanza per parte di madre. Berna non estrada i propri cittadini senza il loro consenso. Il meccanismo è una regola di ordinamento, non una scelta politica su questo caso, e non ammette terzi: non c'è spazio strutturale per un intervento straniero.</w:t>
      </w:r>
    </w:p>
    <w:p>
      <w:pPr>
        <w:spacing w:after="120" w:line="276"/>
        <w:jc w:val="both"/>
      </w:pPr>
      <w:r>
        <w:rPr>
          <w:rFonts w:ascii="Barlow Semi Condensed" w:cs="Barlow Semi Condensed" w:eastAsia="Barlow Semi Condensed" w:hAnsi="Barlow Semi Condensed"/>
          <w:b/>
          <w:bCs/>
          <w:sz w:val="24"/>
          <w:szCs w:val="24"/>
        </w:rPr>
        <w:t xml:space="preserve">2437 · Berna, e nessun documento pertinente.</w:t>
      </w:r>
      <w:r>
        <w:rPr>
          <w:rFonts w:ascii="Barlow Semi Condensed" w:cs="Barlow Semi Condensed" w:eastAsia="Barlow Semi Condensed" w:hAnsi="Barlow Semi Condensed"/>
          <w:sz w:val="24"/>
          <w:szCs w:val="24"/>
        </w:rPr>
        <w:t xml:space="preserve"> Lacuna verbalizzata con la sede che la chiuderebbe. Non risulta alcun atto che colleghi il nome qui triangolato alla posizione elvetica del condannato. Sedi: Archivio federale svizzero a Berna, serie del Dipartimento politico federale e poi degli affari esteri; Ufficio federale di giustizia per le pratiche estradizionali. Regola d'accesso e termini di protezione vanno accertati prima della richiesta: un rifiuto motivato è comunque una carta, e va acquisito.</w:t>
      </w:r>
    </w:p>
    <w:p>
      <w:pPr>
        <w:spacing w:after="120" w:line="276"/>
        <w:jc w:val="both"/>
      </w:pPr>
      <w:r>
        <w:rPr>
          <w:rFonts w:ascii="Barlow Semi Condensed" w:cs="Barlow Semi Condensed" w:eastAsia="Barlow Semi Condensed" w:hAnsi="Barlow Semi Condensed"/>
          <w:b/>
          <w:bCs/>
          <w:sz w:val="24"/>
          <w:szCs w:val="24"/>
        </w:rPr>
        <w:t xml:space="preserve">2438 · L'esecuzione oltre confine come funzione.</w:t>
      </w:r>
      <w:r>
        <w:rPr>
          <w:rFonts w:ascii="Barlow Semi Condensed" w:cs="Barlow Semi Condensed" w:eastAsia="Barlow Semi Condensed" w:hAnsi="Barlow Semi Condensed"/>
          <w:sz w:val="24"/>
          <w:szCs w:val="24"/>
        </w:rPr>
        <w:t xml:space="preserve"> Dal parallelo Casimirri-Lojacono il territorio ricava una legge del caso: l'esecuzione del giudicato oltre confine è funzione dei rapporti fra Stati, non della forza delle sentenze. Verso questo nome la legge si applica al contrario ed è istruttiva: non essendovi mai stata imputazione, non vi è nulla da eseguire, nulla da chiedere e nessuna frontiera in mezzo. La simmetria mostra dove finisce il diritto penale e comincia la storia.</w:t>
      </w:r>
    </w:p>
    <w:p>
      <w:pPr>
        <w:spacing w:after="120" w:line="276"/>
        <w:jc w:val="both"/>
      </w:pPr>
      <w:r>
        <w:rPr>
          <w:rFonts w:ascii="Barlow Semi Condensed" w:cs="Barlow Semi Condensed" w:eastAsia="Barlow Semi Condensed" w:hAnsi="Barlow Semi Condensed"/>
          <w:b/>
          <w:bCs/>
          <w:sz w:val="24"/>
          <w:szCs w:val="24"/>
        </w:rPr>
        <w:t xml:space="preserve">2439 · Il fascicolo svizzero, spoglio alla stringa.</w:t>
      </w:r>
      <w:r>
        <w:rPr>
          <w:rFonts w:ascii="Barlow Semi Condensed" w:cs="Barlow Semi Condensed" w:eastAsia="Barlow Semi Condensed" w:hAnsi="Barlow Semi Condensed"/>
          <w:sz w:val="24"/>
          <w:szCs w:val="24"/>
        </w:rPr>
        <w:t xml:space="preserve"> Come giacimento, il blocco 838 dei nove cantieri indica il fascicolo elvetico: gli atti dei procedimenti svizzeri che riguardarono il condannato, nelle regole d'accesso di quel Paese. Questa serie vi aggiunge un'operazione minima e verificabile: lo spoglio dell'indice dei nomi alla ricerca della stringa qui studiata. Un indice si legge in un'ora e produce, in entrambi i casi, un dato definitivo: presenza da qualificare, o assenza da verbalizzare.</w:t>
      </w:r>
    </w:p>
    <w:p>
      <w:pPr>
        <w:spacing w:after="120" w:line="276"/>
        <w:jc w:val="both"/>
      </w:pPr>
      <w:r>
        <w:rPr>
          <w:rFonts w:ascii="Barlow Semi Condensed" w:cs="Barlow Semi Condensed" w:eastAsia="Barlow Semi Condensed" w:hAnsi="Barlow Semi Condensed"/>
          <w:b/>
          <w:bCs/>
          <w:sz w:val="24"/>
          <w:szCs w:val="24"/>
        </w:rPr>
        <w:t xml:space="preserve">2440 · Lo Stato Zero ticinese.</w:t>
      </w:r>
      <w:r>
        <w:rPr>
          <w:rFonts w:ascii="Barlow Semi Condensed" w:cs="Barlow Semi Condensed" w:eastAsia="Barlow Semi Condensed" w:hAnsi="Barlow Semi Condensed"/>
          <w:sz w:val="24"/>
          <w:szCs w:val="24"/>
        </w:rPr>
        <w:t xml:space="preserve"> Si dichiara, con il perimetro. Cercato: qualunque atto svizzero, giudiziario o amministrativo, che nomini insieme il condannato e il nodo di questa triangolazione. Trovato: nulla. Cercato dove: nelle fonti pubbliche accessibili al corpus, non negli archivi in sede. Il vuoto è perciò provvisorio e va scritto tale: è assenza di riscontro nelle fonti battute, non assenza accertata in archivio. La distinzione fra le due è la differenza fra rigore e presunzione.</w:t>
      </w:r>
    </w:p>
    <w:p>
      <w:pPr>
        <w:spacing w:after="120" w:line="276"/>
        <w:jc w:val="both"/>
      </w:pPr>
      <w:r>
        <w:rPr>
          <w:rFonts w:ascii="Barlow Semi Condensed" w:cs="Barlow Semi Condensed" w:eastAsia="Barlow Semi Condensed" w:hAnsi="Barlow Semi Condensed"/>
          <w:b/>
          <w:bCs/>
          <w:sz w:val="24"/>
          <w:szCs w:val="24"/>
        </w:rPr>
        <w:t xml:space="preserve">2441 · Il bersaglio di smentita di T-6.</w:t>
      </w:r>
      <w:r>
        <w:rPr>
          <w:rFonts w:ascii="Barlow Semi Condensed" w:cs="Barlow Semi Condensed" w:eastAsia="Barlow Semi Condensed" w:hAnsi="Barlow Semi Condensed"/>
          <w:sz w:val="24"/>
          <w:szCs w:val="24"/>
        </w:rPr>
        <w:t xml:space="preserve"> Aprirebbe il nodo svizzero un documento diplomatico - italiano, elvetico o statunitense - che colleghi la vicenda estradizionale a un'interlocuzione riferibile a questo nome. Nulla lo lascia attendere: la cittadinanza per parte di madre fu acquisita nel 1986, nove anni dopo la fine di ogni incarico. Il bersaglio si scrive comunque, perché una serie che formuli soltanto bersagli plausibili non è falsificabile: è autobiografia del ricercatore.</w:t>
      </w:r>
    </w:p>
    <w:p>
      <w:pPr>
        <w:spacing w:after="120" w:line="276"/>
        <w:jc w:val="both"/>
      </w:pPr>
      <w:r>
        <w:rPr>
          <w:rFonts w:ascii="Barlow Semi Condensed" w:cs="Barlow Semi Condensed" w:eastAsia="Barlow Semi Condensed" w:hAnsi="Barlow Semi Condensed"/>
          <w:b/>
          <w:bCs/>
          <w:sz w:val="24"/>
          <w:szCs w:val="24"/>
        </w:rPr>
        <w:t xml:space="preserve">2442 · Il prigioniero, 1998, e il marchio.</w:t>
      </w:r>
      <w:r>
        <w:rPr>
          <w:rFonts w:ascii="Barlow Semi Condensed" w:cs="Barlow Semi Condensed" w:eastAsia="Barlow Semi Condensed" w:hAnsi="Barlow Semi Condensed"/>
          <w:sz w:val="24"/>
          <w:szCs w:val="24"/>
        </w:rPr>
        <w:t xml:space="preserve"> Anna Laura Braghetti scrisse con Paola Tavella il racconto della prigione, pubblicato nel 1998 dalla casa editrice fondata da Giangiacomo Feltrinelli. Il territorio lo registra come convergenza editoriale, di catalogo, non come nesso fra persone: lo stesso marchio che veicolò il mito del Che pubblicò vent'anni dopo la memoria della carceriera. È il tema del vettore, ed è qui che questa serie ha la sua sola domanda editoriale da porre.</w:t>
      </w:r>
    </w:p>
    <w:p>
      <w:pPr>
        <w:spacing w:after="120" w:line="276"/>
        <w:jc w:val="both"/>
      </w:pPr>
      <w:r>
        <w:rPr>
          <w:rFonts w:ascii="Barlow Semi Condensed" w:cs="Barlow Semi Condensed" w:eastAsia="Barlow Semi Condensed" w:hAnsi="Barlow Semi Condensed"/>
          <w:b/>
          <w:bCs/>
          <w:sz w:val="24"/>
          <w:szCs w:val="24"/>
        </w:rPr>
        <w:t xml:space="preserve">2443 · Chi pubblicò in Italia quelle memorie.</w:t>
      </w:r>
      <w:r>
        <w:rPr>
          <w:rFonts w:ascii="Barlow Semi Condensed" w:cs="Barlow Semi Condensed" w:eastAsia="Barlow Semi Condensed" w:hAnsi="Barlow Semi Condensed"/>
          <w:sz w:val="24"/>
          <w:szCs w:val="24"/>
        </w:rPr>
        <w:t xml:space="preserve"> Quesito bibliografico, eseguibile in una sessione di catalogo. Quali editori italiani hanno pubblicato le opere del nodo qui studiato, dal 1957 in avanti, e in quali anni? Il marchio Feltrinelli compare fra loro? Sede: Opac SBN e Bibliografia nazionale italiana presso la Biblioteca nazionale centrale di Firenze. La domanda non cerca un nesso: cerca il dato che permetterebbe, o vieterebbe, di scrivere una frase sulla coincidenza di catalogo.</w:t>
      </w:r>
    </w:p>
    <w:p>
      <w:pPr>
        <w:spacing w:after="120" w:line="276"/>
        <w:jc w:val="both"/>
      </w:pPr>
      <w:r>
        <w:rPr>
          <w:rFonts w:ascii="Barlow Semi Condensed" w:cs="Barlow Semi Condensed" w:eastAsia="Barlow Semi Condensed" w:hAnsi="Barlow Semi Condensed"/>
          <w:b/>
          <w:bCs/>
          <w:sz w:val="24"/>
          <w:szCs w:val="24"/>
        </w:rPr>
        <w:t xml:space="preserve">2444 · Il catalogo non è un nesso.</w:t>
      </w:r>
      <w:r>
        <w:rPr>
          <w:rFonts w:ascii="Barlow Semi Condensed" w:cs="Barlow Semi Condensed" w:eastAsia="Barlow Semi Condensed" w:hAnsi="Barlow Semi Condensed"/>
          <w:sz w:val="24"/>
          <w:szCs w:val="24"/>
        </w:rPr>
        <w:t xml:space="preserve"> Si fissa una regola prima di conoscere la risposta del blocco precedente. Anche nel caso in cui i due nomi condividessero un editore, il fatto resterebbe una coincidenza di catalogo: gli editori pubblicano per linea, mercato e occasione, non per affinità fra gli autori. Il corpus ha già trattato così la convergenza Feltrinelli-Braghetti. Nessuna inferenza discende da un colophon, e chi la trae ha confuso l'indice con la trama.</w:t>
      </w:r>
    </w:p>
    <w:p>
      <w:pPr>
        <w:spacing w:after="120" w:line="276"/>
        <w:jc w:val="both"/>
      </w:pPr>
      <w:r>
        <w:rPr>
          <w:rFonts w:ascii="Barlow Semi Condensed" w:cs="Barlow Semi Condensed" w:eastAsia="Barlow Semi Condensed" w:hAnsi="Barlow Semi Condensed"/>
          <w:b/>
          <w:bCs/>
          <w:sz w:val="24"/>
          <w:szCs w:val="24"/>
        </w:rPr>
        <w:t xml:space="preserve">2445 · Buongiorno, notte, e l'ombra aggiunta.</w:t>
      </w:r>
      <w:r>
        <w:rPr>
          <w:rFonts w:ascii="Barlow Semi Condensed" w:cs="Barlow Semi Condensed" w:eastAsia="Barlow Semi Condensed" w:hAnsi="Barlow Semi Condensed"/>
          <w:sz w:val="24"/>
          <w:szCs w:val="24"/>
        </w:rPr>
        <w:t xml:space="preserve"> Dal libro Bellocchio trasse liberamente il film del 2003, il cui personaggio principale è ispirato a Braghetti e a Faranda. Il cinema del caso è un vettore secondario potente, e tende ad aggiungere ombre che gli atti non contengono. La regola: un'immagine cinematografica non è una fonte sul fatto rappresentato, e vale come fonte solo su se stessa e sul momento in cui fu prodotta. Il corpus lo scrive per ogni film.</w:t>
      </w:r>
    </w:p>
    <w:p>
      <w:pPr>
        <w:spacing w:after="120" w:line="276"/>
        <w:jc w:val="both"/>
      </w:pPr>
      <w:r>
        <w:rPr>
          <w:rFonts w:ascii="Barlow Semi Condensed" w:cs="Barlow Semi Condensed" w:eastAsia="Barlow Semi Condensed" w:hAnsi="Barlow Semi Condensed"/>
          <w:b/>
          <w:bCs/>
          <w:sz w:val="24"/>
          <w:szCs w:val="24"/>
        </w:rPr>
        <w:t xml:space="preserve">2446 · Il lancio del 30 novembre 2023 (serie XXXII).</w:t>
      </w:r>
      <w:r>
        <w:rPr>
          <w:rFonts w:ascii="Barlow Semi Condensed" w:cs="Barlow Semi Condensed" w:eastAsia="Barlow Semi Condensed" w:hAnsi="Barlow Semi Condensed"/>
          <w:sz w:val="24"/>
          <w:szCs w:val="24"/>
        </w:rPr>
        <w:t xml:space="preserve"> Accertamento già fissato dall'opera, che qui protegge un altro territorio. La moltiplicazione delle fonti sul presunto avvertimento è apparente: risale a un unico lancio d'agenzia del 30 novembre 2023, il giorno dopo la morte. La replicazione non aggiunge valore probatorio. Chi triangoli i condannati con questo nome incontrerà quel materiale ovunque: è una sola fonte riflessa molte volte, e va contata una volta sola, come vuole la disciplina della catena di copia.</w:t>
      </w:r>
    </w:p>
    <w:p>
      <w:pPr>
        <w:spacing w:after="120" w:line="276"/>
        <w:jc w:val="both"/>
      </w:pPr>
      <w:r>
        <w:rPr>
          <w:rFonts w:ascii="Barlow Semi Condensed" w:cs="Barlow Semi Condensed" w:eastAsia="Barlow Semi Condensed" w:hAnsi="Barlow Semi Condensed"/>
          <w:b/>
          <w:bCs/>
          <w:sz w:val="24"/>
          <w:szCs w:val="24"/>
        </w:rPr>
        <w:t xml:space="preserve">2447 · Braghetti, la parola e la stringa.</w:t>
      </w:r>
      <w:r>
        <w:rPr>
          <w:rFonts w:ascii="Barlow Semi Condensed" w:cs="Barlow Semi Condensed" w:eastAsia="Barlow Semi Condensed" w:hAnsi="Barlow Semi Condensed"/>
          <w:sz w:val="24"/>
          <w:szCs w:val="24"/>
        </w:rPr>
        <w:t xml:space="preserve"> La custode della prigione è morta nel 2025 e il suo corpus è chiuso: il libro del 1998, le interviste, gli interventi sulla giustizia riparativa. Il blocco 831 dei nove cantieri chiede la collazione libro-atti. Questa serie aggiunge la colonna della stringa: se in quel corpus il nome qui triangolato compaia mai, e in quale funzione. Esito atteso: nessuna occorrenza. Il conto va comunque eseguito, perché un'attesa non è un accertamento.</w:t>
      </w:r>
    </w:p>
    <w:p>
      <w:pPr>
        <w:spacing w:after="120" w:line="276"/>
        <w:jc w:val="both"/>
      </w:pPr>
      <w:r>
        <w:rPr>
          <w:rFonts w:ascii="Barlow Semi Condensed" w:cs="Barlow Semi Condensed" w:eastAsia="Barlow Semi Condensed" w:hAnsi="Barlow Semi Condensed"/>
          <w:b/>
          <w:bCs/>
          <w:sz w:val="24"/>
          <w:szCs w:val="24"/>
        </w:rPr>
        <w:t xml:space="preserve">2448 · Ciò che smentirebbe il nodo editoriale.</w:t>
      </w:r>
      <w:r>
        <w:rPr>
          <w:rFonts w:ascii="Barlow Semi Condensed" w:cs="Barlow Semi Condensed" w:eastAsia="Barlow Semi Condensed" w:hAnsi="Barlow Semi Condensed"/>
          <w:sz w:val="24"/>
          <w:szCs w:val="24"/>
        </w:rPr>
        <w:t xml:space="preserve"> Smentirebbe il nodo editoriale un documento d'impresa - contratto, verbale di redazione, corrispondenza - che leghi la decisione di pubblicare la memoria della prigione a una sollecitazione esterna al mondo editoriale. Sede: archivio storico della Fondazione Giangiacomo Feltrinelli a Milano, per la parte versata e consultabile. Assente questo, il nodo resta ciò che il territorio ha scritto: un fatto di catalogo, e la storia di un vettore.</w:t>
      </w:r>
    </w:p>
    <w:p>
      <w:pPr>
        <w:spacing w:after="120" w:line="276"/>
        <w:jc w:val="both"/>
      </w:pPr>
      <w:r>
        <w:rPr>
          <w:rFonts w:ascii="Barlow Semi Condensed" w:cs="Barlow Semi Condensed" w:eastAsia="Barlow Semi Condensed" w:hAnsi="Barlow Semi Condensed"/>
          <w:b/>
          <w:bCs/>
          <w:sz w:val="24"/>
          <w:szCs w:val="24"/>
        </w:rPr>
        <w:t xml:space="preserve">2449 · Bachelet, febbraio 1980, fascicolo proprio.</w:t>
      </w:r>
      <w:r>
        <w:rPr>
          <w:rFonts w:ascii="Barlow Semi Condensed" w:cs="Barlow Semi Condensed" w:eastAsia="Barlow Semi Condensed" w:hAnsi="Barlow Semi Condensed"/>
          <w:sz w:val="24"/>
          <w:szCs w:val="24"/>
        </w:rPr>
        <w:t xml:space="preserve"> Seghetti presentò Braghetti a Moretti nella fase preparatoria dell'acquisto di via Montalcini, nel giugno 1977; i due parteciparono nel febbraio 1980 all'omicidio di Vittorio Bachelet, vicepresidente del CSM. Il nodo T-8 esiste per una sola ragione di metodo: le condotte successive hanno le loro sentenze e i loro fascicoli, e non rifluiscono nel caso Moro. Verso questo nome la regola opera identica: nessun fatto del 1980 può essere retrodatato in cornice.</w:t>
      </w:r>
    </w:p>
    <w:p>
      <w:pPr>
        <w:spacing w:after="120" w:line="276"/>
        <w:jc w:val="both"/>
      </w:pPr>
      <w:r>
        <w:rPr>
          <w:rFonts w:ascii="Barlow Semi Condensed" w:cs="Barlow Semi Condensed" w:eastAsia="Barlow Semi Condensed" w:hAnsi="Barlow Semi Condensed"/>
          <w:b/>
          <w:bCs/>
          <w:sz w:val="24"/>
          <w:szCs w:val="24"/>
        </w:rPr>
        <w:t xml:space="preserve">2450 · Una persona, una condotta, una sentenza (serie XXXII).</w:t>
      </w:r>
      <w:r>
        <w:rPr>
          <w:rFonts w:ascii="Barlow Semi Condensed" w:cs="Barlow Semi Condensed" w:eastAsia="Barlow Semi Condensed" w:hAnsi="Barlow Semi Condensed"/>
          <w:sz w:val="24"/>
          <w:szCs w:val="24"/>
        </w:rPr>
        <w:t xml:space="preserve"> La formula di chiusura della Fase decima si rovescia e conserva il suo senso. Tredici persone hanno ciascuna una condotta e una sentenza; il nodo di questa triangolazione non ha né l'una né l'altra, in nessun ordinamento. Le due proposizioni sono simmetriche e discendono dallo stesso principio: la responsabilità è personale e nasce dalla condotta accertata. Chi volesse trattarle diversamente dovrebbe rinunciare al principio in entrambi i casi.</w:t>
      </w:r>
    </w:p>
    <w:p>
      <w:pPr>
        <w:spacing w:after="120" w:line="276"/>
        <w:jc w:val="both"/>
      </w:pPr>
      <w:r>
        <w:rPr>
          <w:rFonts w:ascii="Barlow Semi Condensed" w:cs="Barlow Semi Condensed" w:eastAsia="Barlow Semi Condensed" w:hAnsi="Barlow Semi Condensed"/>
          <w:b/>
          <w:bCs/>
          <w:sz w:val="24"/>
          <w:szCs w:val="24"/>
        </w:rPr>
        <w:t xml:space="preserve">2451 · La simmetria che protegge tutti (serie XXXII).</w:t>
      </w:r>
      <w:r>
        <w:rPr>
          <w:rFonts w:ascii="Barlow Semi Condensed" w:cs="Barlow Semi Condensed" w:eastAsia="Barlow Semi Condensed" w:hAnsi="Barlow Semi Condensed"/>
          <w:sz w:val="24"/>
          <w:szCs w:val="24"/>
        </w:rPr>
        <w:t xml:space="preserve"> Il capitolo ottantunesimo vieta di sommare le appartenenze in colpa, e nomina insieme i GAP, il Superclan, Hyperion, i Lupi Grigi e l'Opus Dei. La stessa clausola copre incarichi di governo, scuole dottrinali e consiglierati: nessun ente è colpevole delle condotte dei suoi membri, nessun membro dell'esistenza del suo ente. La simmetria non è equidistanza morale, è metodo - e vale per un ministero straniero come per un collettivo milanese.</w:t>
      </w:r>
    </w:p>
    <w:p>
      <w:pPr>
        <w:spacing w:after="120" w:line="276"/>
        <w:jc w:val="both"/>
      </w:pPr>
      <w:r>
        <w:rPr>
          <w:rFonts w:ascii="Barlow Semi Condensed" w:cs="Barlow Semi Condensed" w:eastAsia="Barlow Semi Condensed" w:hAnsi="Barlow Semi Condensed"/>
          <w:b/>
          <w:bCs/>
          <w:sz w:val="24"/>
          <w:szCs w:val="24"/>
        </w:rPr>
        <w:t xml:space="preserve">2452 · Stato Zero sulle condotte successive.</w:t>
      </w:r>
      <w:r>
        <w:rPr>
          <w:rFonts w:ascii="Barlow Semi Condensed" w:cs="Barlow Semi Condensed" w:eastAsia="Barlow Semi Condensed" w:hAnsi="Barlow Semi Condensed"/>
          <w:sz w:val="24"/>
          <w:szCs w:val="24"/>
        </w:rPr>
        <w:t xml:space="preserve"> Verbale di vuoto per il nodo T-8. Cercato: qualunque atto dei procedimenti sulle condotte successive dei condannati - Bachelet, Palma, Tartaglione e gli altri fascicoli - che nomini il nodo qui studiato. Trovato: nulla nelle fonti battute. Sede che chiuderebbe: gli indici dei nomi delle sentenze di quei procedimenti, presso l'archivio della Corte d'assise di Roma e l'Archivio di Stato competente. Un indice consultato vale più di una congettura elegante.</w:t>
      </w:r>
    </w:p>
    <w:p>
      <w:pPr>
        <w:spacing w:after="120" w:line="276"/>
        <w:jc w:val="both"/>
      </w:pPr>
      <w:r>
        <w:rPr>
          <w:rFonts w:ascii="Barlow Semi Condensed" w:cs="Barlow Semi Condensed" w:eastAsia="Barlow Semi Condensed" w:hAnsi="Barlow Semi Condensed"/>
          <w:b/>
          <w:bCs/>
          <w:sz w:val="24"/>
          <w:szCs w:val="24"/>
        </w:rPr>
        <w:t xml:space="preserve">2453 · Il consulente del 1978 (serie XXXII).</w:t>
      </w:r>
      <w:r>
        <w:rPr>
          <w:rFonts w:ascii="Barlow Semi Condensed" w:cs="Barlow Semi Condensed" w:eastAsia="Barlow Semi Condensed" w:hAnsi="Barlow Semi Condensed"/>
          <w:sz w:val="24"/>
          <w:szCs w:val="24"/>
        </w:rPr>
        <w:t xml:space="preserve"> Precisazione necessaria, perché la sostituzione è l'errore più frequente. La presenza statunitense documentata nei cinquantacinque giorni è quella di un consulente del Dipartimento di Stato affiancato al ministro dell'Interno nel comitato di crisi, e le sue dichiarazioni postume hanno grado C, fonte di parte, come la scheda PE-5 avverte. Non è la stessa persona, non è la stessa amministrazione, non è lo stesso decennio. Scambiarle è un falso positivo perfetto.</w:t>
      </w:r>
    </w:p>
    <w:p>
      <w:pPr>
        <w:spacing w:after="120" w:line="276"/>
        <w:jc w:val="both"/>
      </w:pPr>
      <w:r>
        <w:rPr>
          <w:rFonts w:ascii="Barlow Semi Condensed" w:cs="Barlow Semi Condensed" w:eastAsia="Barlow Semi Condensed" w:hAnsi="Barlow Semi Condensed"/>
          <w:b/>
          <w:bCs/>
          <w:sz w:val="24"/>
          <w:szCs w:val="24"/>
        </w:rPr>
        <w:t xml:space="preserve">2454 · I quattro a triangolazione vuota.</w:t>
      </w:r>
      <w:r>
        <w:rPr>
          <w:rFonts w:ascii="Barlow Semi Condensed" w:cs="Barlow Semi Condensed" w:eastAsia="Barlow Semi Condensed" w:hAnsi="Barlow Semi Condensed"/>
          <w:sz w:val="24"/>
          <w:szCs w:val="24"/>
        </w:rPr>
        <w:t xml:space="preserve"> Fiore, Balzerani, Maccari, Etro: per nessuno dei quattro il territorio ha trovato ponti documentati oltre la militanza già giudicata. Sono, nel lessico del corpus, posizioni a triangolazione vuota. Verso questo nome il vuoto è doppio, e la duplicazione va scritta: non solo non escono dal dominio brigatista, ma non incontrano neppure la cornice internazionale nella quale il nome vive. Quattro assenze su tredici, dichiarate due volte.</w:t>
      </w:r>
    </w:p>
    <w:p>
      <w:pPr>
        <w:spacing w:after="120" w:line="276"/>
        <w:jc w:val="both"/>
      </w:pPr>
      <w:r>
        <w:rPr>
          <w:rFonts w:ascii="Barlow Semi Condensed" w:cs="Barlow Semi Condensed" w:eastAsia="Barlow Semi Condensed" w:hAnsi="Barlow Semi Condensed"/>
          <w:b/>
          <w:bCs/>
          <w:sz w:val="24"/>
          <w:szCs w:val="24"/>
        </w:rPr>
        <w:t xml:space="preserve">2455 · Algranati, pietra di paragone doppia.</w:t>
      </w:r>
      <w:r>
        <w:rPr>
          <w:rFonts w:ascii="Barlow Semi Condensed" w:cs="Barlow Semi Condensed" w:eastAsia="Barlow Semi Condensed" w:hAnsi="Barlow Semi Condensed"/>
          <w:sz w:val="24"/>
          <w:szCs w:val="24"/>
        </w:rPr>
        <w:t xml:space="preserve"> Rita Algranati fu assolta per via Fani nel Moro ter, primo grado ottobre 1988, e l'assoluzione è definitiva; fu poi condannata per altri fatti e catturata al Cairo il 14 gennaio 2004. Il blocco 845 dei nove cantieri la custodisce come regola. La sua funzione qui è una seconda: se un'assoluzione tiene contro la comodità del racconto, tiene anche l'assenza di imputazione. La pietra di paragone misura in entrambe le direzioni.</w:t>
      </w:r>
    </w:p>
    <w:p>
      <w:pPr>
        <w:spacing w:after="120" w:line="276"/>
        <w:jc w:val="both"/>
      </w:pPr>
      <w:r>
        <w:rPr>
          <w:rFonts w:ascii="Barlow Semi Condensed" w:cs="Barlow Semi Condensed" w:eastAsia="Barlow Semi Condensed" w:hAnsi="Barlow Semi Condensed"/>
          <w:b/>
          <w:bCs/>
          <w:sz w:val="24"/>
          <w:szCs w:val="24"/>
        </w:rPr>
        <w:t xml:space="preserve">2456 · Il fronte latinoamericano, fuori rotta.</w:t>
      </w:r>
      <w:r>
        <w:rPr>
          <w:rFonts w:ascii="Barlow Semi Condensed" w:cs="Barlow Semi Condensed" w:eastAsia="Barlow Semi Condensed" w:hAnsi="Barlow Semi Condensed"/>
          <w:sz w:val="24"/>
          <w:szCs w:val="24"/>
        </w:rPr>
        <w:t xml:space="preserve"> Fuori dalla rotta di Casimirri non esiste, dichiara il territorio, alcun ponte biografico fra i tredici e il fronte guevariano, e il legame fra i due fronti resta ideologico e di immagine. Il blocco 708 dell'opera aveva già previsto la bassa co-occorrenza documentale fra il fronte del 1967 e questo nodo, spiegandola con la specializzazione dei fondi. Le due acquisizioni convergono e si confermano a vicenda.</w:t>
      </w:r>
    </w:p>
    <w:p>
      <w:pPr>
        <w:spacing w:after="120" w:line="276"/>
        <w:jc w:val="both"/>
      </w:pPr>
      <w:r>
        <w:rPr>
          <w:rFonts w:ascii="Barlow Semi Condensed" w:cs="Barlow Semi Condensed" w:eastAsia="Barlow Semi Condensed" w:hAnsi="Barlow Semi Condensed"/>
          <w:b/>
          <w:bCs/>
          <w:sz w:val="24"/>
          <w:szCs w:val="24"/>
        </w:rPr>
        <w:t xml:space="preserve">2457 · L'attentato del 1981, perimetro chiuso.</w:t>
      </w:r>
      <w:r>
        <w:rPr>
          <w:rFonts w:ascii="Barlow Semi Condensed" w:cs="Barlow Semi Condensed" w:eastAsia="Barlow Semi Condensed" w:hAnsi="Barlow Semi Condensed"/>
          <w:sz w:val="24"/>
          <w:szCs w:val="24"/>
        </w:rPr>
        <w:t xml:space="preserve"> Ogni collegamento fra i tredici e la vicenda del maggio 1981 in piazza San Pietro è escluso per completezza, a chiusura di ogni suggestione. Questa serie estende la dichiarazione: alla data dell'attentato il nodo qui studiato era fuori da ogni carica da oltre quattro anni. Due perimetri negativi che si sovrappongono non si sommano in indizio: restano due assenze, e vanno lette separatamente da chi le cita.</w:t>
      </w:r>
    </w:p>
    <w:p>
      <w:pPr>
        <w:spacing w:after="120" w:line="276"/>
        <w:jc w:val="both"/>
      </w:pPr>
      <w:r>
        <w:rPr>
          <w:rFonts w:ascii="Barlow Semi Condensed" w:cs="Barlow Semi Condensed" w:eastAsia="Barlow Semi Condensed" w:hAnsi="Barlow Semi Condensed"/>
          <w:b/>
          <w:bCs/>
          <w:sz w:val="24"/>
          <w:szCs w:val="24"/>
        </w:rPr>
        <w:t xml:space="preserve">2458 · Prima anti-triangolazione, verificata.</w:t>
      </w:r>
      <w:r>
        <w:rPr>
          <w:rFonts w:ascii="Barlow Semi Condensed" w:cs="Barlow Semi Condensed" w:eastAsia="Barlow Semi Condensed" w:hAnsi="Barlow Semi Condensed"/>
          <w:sz w:val="24"/>
          <w:szCs w:val="24"/>
        </w:rPr>
        <w:t xml:space="preserve"> La parentela non è canale. Applicata: il padre alla sala stampa vaticana non collega il figlio alla Santa Sede, e la Santa Sede non è collegata da nessuna carta reperibile alla diplomazia atlantica di questo nome in materia di terrorismo italiano. La catena a tre anelli si spezza al primo e non arriva al secondo. Verificato sul territorio e sulle fonti battute; esito negativo di pieno valore, senza scoperta e senza sorpresa.</w:t>
      </w:r>
    </w:p>
    <w:p>
      <w:pPr>
        <w:spacing w:after="120" w:line="276"/>
        <w:jc w:val="both"/>
      </w:pPr>
      <w:r>
        <w:rPr>
          <w:rFonts w:ascii="Barlow Semi Condensed" w:cs="Barlow Semi Condensed" w:eastAsia="Barlow Semi Condensed" w:hAnsi="Barlow Semi Condensed"/>
          <w:b/>
          <w:bCs/>
          <w:sz w:val="24"/>
          <w:szCs w:val="24"/>
        </w:rPr>
        <w:t xml:space="preserve">2459 · Seconda anti-triangolazione, verificata.</w:t>
      </w:r>
      <w:r>
        <w:rPr>
          <w:rFonts w:ascii="Barlow Semi Condensed" w:cs="Barlow Semi Condensed" w:eastAsia="Barlow Semi Condensed" w:hAnsi="Barlow Semi Condensed"/>
          <w:sz w:val="24"/>
          <w:szCs w:val="24"/>
        </w:rPr>
        <w:t xml:space="preserve"> L'origine comune non è regia. Applicata: il Collettivo Politico Metropolitano e l'appartamento reggiano spiegano formazioni e reti, non comandi, e i proscioglimenti di Hyperion restano proscioglimenti. Ne segue una conseguenza specifica per questa serie: se un ceppo condiviso non istituisce comando fra chi lo condivise, nessuna cornice geopolitica - più larga e più tenue di un ceppo - può istituirlo fra un governo straniero e chi in quel ceppo si formò.</w:t>
      </w:r>
    </w:p>
    <w:p>
      <w:pPr>
        <w:spacing w:after="120" w:line="276"/>
        <w:jc w:val="both"/>
      </w:pPr>
      <w:r>
        <w:rPr>
          <w:rFonts w:ascii="Barlow Semi Condensed" w:cs="Barlow Semi Condensed" w:eastAsia="Barlow Semi Condensed" w:hAnsi="Barlow Semi Condensed"/>
          <w:b/>
          <w:bCs/>
          <w:sz w:val="24"/>
          <w:szCs w:val="24"/>
        </w:rPr>
        <w:t xml:space="preserve">2460 · Terza anti-triangolazione, verificata.</w:t>
      </w:r>
      <w:r>
        <w:rPr>
          <w:rFonts w:ascii="Barlow Semi Condensed" w:cs="Barlow Semi Condensed" w:eastAsia="Barlow Semi Condensed" w:hAnsi="Barlow Semi Condensed"/>
          <w:sz w:val="24"/>
          <w:szCs w:val="24"/>
        </w:rPr>
        <w:t xml:space="preserve"> La rotta non è filiazione. Applicata: Cuba e Managua sono geografia della latitanza, e la geografia non trasporta genealogie. Vale anche a parti invertite: che un nome sia documentato nel dossier centroamericano degli anni Ottanta non lo colloca sulla rotta di un latitante italiano, così come la rotta del latitante non lo colloca in quel dossier. Due presenze in un Paese sono due presenze, non un incontro.</w:t>
      </w:r>
    </w:p>
    <w:p>
      <w:pPr>
        <w:spacing w:after="120" w:line="276"/>
        <w:jc w:val="both"/>
      </w:pPr>
      <w:r>
        <w:rPr>
          <w:rFonts w:ascii="Barlow Semi Condensed" w:cs="Barlow Semi Condensed" w:eastAsia="Barlow Semi Condensed" w:hAnsi="Barlow Semi Condensed"/>
          <w:b/>
          <w:bCs/>
          <w:sz w:val="24"/>
          <w:szCs w:val="24"/>
        </w:rPr>
        <w:t xml:space="preserve">2461 · Quarta anti-triangolazione, verificata.</w:t>
      </w:r>
      <w:r>
        <w:rPr>
          <w:rFonts w:ascii="Barlow Semi Condensed" w:cs="Barlow Semi Condensed" w:eastAsia="Barlow Semi Condensed" w:hAnsi="Barlow Semi Condensed"/>
          <w:sz w:val="24"/>
          <w:szCs w:val="24"/>
        </w:rPr>
        <w:t xml:space="preserve"> Il canale non è complicità. Applicata: l'intermediazione del 1978 è censita come tale e nulla si attribuisce a chi non è nel registro; per chiunque non vi figuri vale la presunzione d'innocenza piena e nominale. La clausola copre gli intermediari italiani e copre, con la stessa forza e senza sconti di segno opposto, il nome straniero di questa triangolazione. Una regola che valesse a senso unico non sarebbe una regola.</w:t>
      </w:r>
    </w:p>
    <w:p>
      <w:pPr>
        <w:spacing w:after="120" w:line="276"/>
        <w:jc w:val="both"/>
      </w:pPr>
      <w:r>
        <w:rPr>
          <w:rFonts w:ascii="Barlow Semi Condensed" w:cs="Barlow Semi Condensed" w:eastAsia="Barlow Semi Condensed" w:hAnsi="Barlow Semi Condensed"/>
          <w:b/>
          <w:bCs/>
          <w:sz w:val="24"/>
          <w:szCs w:val="24"/>
        </w:rPr>
        <w:t xml:space="preserve">2462 · Quinta anti-triangolazione, verificata.</w:t>
      </w:r>
      <w:r>
        <w:rPr>
          <w:rFonts w:ascii="Barlow Semi Condensed" w:cs="Barlow Semi Condensed" w:eastAsia="Barlow Semi Condensed" w:hAnsi="Barlow Semi Condensed"/>
          <w:sz w:val="24"/>
          <w:szCs w:val="24"/>
        </w:rPr>
        <w:t xml:space="preserve"> Il registro resta chiuso. Applicata: nessun ponte di questa serie aggiunge nomi, sposta gradi o insinua responsabilità. I tredici restano tredici, gli assolti assolti, i prosciolti prosciolti, e chi non fu mai imputato resta chi non fu mai imputato. È la clausola che rende inutile discutere se la serie abbia trovato poco: non doveva trovare, doveva misurare, e la misura è il suo prodotto.</w:t>
      </w:r>
    </w:p>
    <w:p>
      <w:pPr>
        <w:spacing w:after="120" w:line="276"/>
        <w:jc w:val="both"/>
      </w:pPr>
      <w:r>
        <w:rPr>
          <w:rFonts w:ascii="Barlow Semi Condensed" w:cs="Barlow Semi Condensed" w:eastAsia="Barlow Semi Condensed" w:hAnsi="Barlow Semi Condensed"/>
          <w:b/>
          <w:bCs/>
          <w:sz w:val="24"/>
          <w:szCs w:val="24"/>
        </w:rPr>
        <w:t xml:space="preserve">2463 · La colonna vuota della matrice.</w:t>
      </w:r>
      <w:r>
        <w:rPr>
          <w:rFonts w:ascii="Barlow Semi Condensed" w:cs="Barlow Semi Condensed" w:eastAsia="Barlow Semi Condensed" w:hAnsi="Barlow Semi Condensed"/>
          <w:sz w:val="24"/>
          <w:szCs w:val="24"/>
        </w:rPr>
        <w:t xml:space="preserve"> Operazione conclusiva sul territorio. Alla matrice sintetica - dieci righe fra persone e gruppi, con ponte, dominio e grado - si aggiunge una colonna intestata a questo nome. Dopo la ricognizione qui condotta, la colonna risulta vuota in tutte le righe: nessun piano 1, in nessun dominio, per nessuna delle tredici posizioni. Una colonna vuota disegnata accanto a una piena è il modo più economico di mostrare una differenza di regime probatorio.</w:t>
      </w:r>
    </w:p>
    <w:p>
      <w:pPr>
        <w:spacing w:after="120" w:line="276"/>
        <w:jc w:val="both"/>
      </w:pPr>
      <w:r>
        <w:rPr>
          <w:rFonts w:ascii="Barlow Semi Condensed" w:cs="Barlow Semi Condensed" w:eastAsia="Barlow Semi Condensed" w:hAnsi="Barlow Semi Condensed"/>
          <w:b/>
          <w:bCs/>
          <w:sz w:val="24"/>
          <w:szCs w:val="24"/>
        </w:rPr>
        <w:t xml:space="preserve">2464 · Il censimento della parola pubblica.</w:t>
      </w:r>
      <w:r>
        <w:rPr>
          <w:rFonts w:ascii="Barlow Semi Condensed" w:cs="Barlow Semi Condensed" w:eastAsia="Barlow Semi Condensed" w:hAnsi="Barlow Semi Condensed"/>
          <w:sz w:val="24"/>
          <w:szCs w:val="24"/>
        </w:rPr>
        <w:t xml:space="preserve"> Strumento proposto, con i suoi indirizzi. I blocchi 807, 810, 813, 816, 819, 822, 825, 828, 831, 834, 837, 840 e 843 dei nove cantieri censiscono la parola pubblica di ciascuno dei tredici; il blocco 851 la mette in tavola comparata. Si chiede di aggiungervi una colonna alla stringa qui studiata: chi la pronunciò, quando, dove, in quale registro. Il risultato, quale che sia, è un dato sulla memoria dei condannati.</w:t>
      </w:r>
    </w:p>
    <w:p>
      <w:pPr>
        <w:spacing w:after="120" w:line="276"/>
        <w:jc w:val="both"/>
      </w:pPr>
      <w:r>
        <w:rPr>
          <w:rFonts w:ascii="Barlow Semi Condensed" w:cs="Barlow Semi Condensed" w:eastAsia="Barlow Semi Condensed" w:hAnsi="Barlow Semi Condensed"/>
          <w:b/>
          <w:bCs/>
          <w:sz w:val="24"/>
          <w:szCs w:val="24"/>
        </w:rPr>
        <w:t xml:space="preserve">2465 · Le sedi che chiuderebbero l'insieme.</w:t>
      </w:r>
      <w:r>
        <w:rPr>
          <w:rFonts w:ascii="Barlow Semi Condensed" w:cs="Barlow Semi Condensed" w:eastAsia="Barlow Semi Condensed" w:hAnsi="Barlow Semi Condensed"/>
          <w:sz w:val="24"/>
          <w:szCs w:val="24"/>
        </w:rPr>
        <w:t xml:space="preserve"> Elenco delle porte, perché uno Stato Zero senza indirizzo è una lamentela. Per il versante americano: Ford Library per i memorandum di conversazione, Carter Library per il 1978, National Archives di College Park per RG 59 e per l'AAD con le schede di ritiro. Per il versante italiano: Archivio centrale dello Stato, Archivio storico della Camera per il fondo della Commissione Moro 2, Archivio storico del Senato per la Commissione stragi.</w:t>
      </w:r>
    </w:p>
    <w:p>
      <w:pPr>
        <w:spacing w:after="120" w:line="276"/>
        <w:jc w:val="both"/>
      </w:pPr>
      <w:r>
        <w:rPr>
          <w:rFonts w:ascii="Barlow Semi Condensed" w:cs="Barlow Semi Condensed" w:eastAsia="Barlow Semi Condensed" w:hAnsi="Barlow Semi Condensed"/>
          <w:b/>
          <w:bCs/>
          <w:sz w:val="24"/>
          <w:szCs w:val="24"/>
        </w:rPr>
        <w:t xml:space="preserve">2466 · Il fondo personale e la sua clausola.</w:t>
      </w:r>
      <w:r>
        <w:rPr>
          <w:rFonts w:ascii="Barlow Semi Condensed" w:cs="Barlow Semi Condensed" w:eastAsia="Barlow Semi Condensed" w:hAnsi="Barlow Semi Condensed"/>
          <w:sz w:val="24"/>
          <w:szCs w:val="24"/>
        </w:rPr>
        <w:t xml:space="preserve"> Le carte personali del nodo qui studiato sono depositate in due sedi statunitensi, con clausole di consultabilità legate alla morte del depositante, avvenuta il 29 novembre 2023. La verifica del regime esatto - quali serie, quali termini, quale procedura di richiesta - è essa stessa un bersaglio d'archivio di questa serie, e va eseguita prima di dichiarare definitivo qualunque esito negativo. Una clausola che scade cambia lo stato di una lacuna.</w:t>
      </w:r>
    </w:p>
    <w:p>
      <w:pPr>
        <w:spacing w:after="120" w:line="276"/>
        <w:jc w:val="both"/>
      </w:pPr>
      <w:r>
        <w:rPr>
          <w:rFonts w:ascii="Barlow Semi Condensed" w:cs="Barlow Semi Condensed" w:eastAsia="Barlow Semi Condensed" w:hAnsi="Barlow Semi Condensed"/>
          <w:b/>
          <w:bCs/>
          <w:sz w:val="24"/>
          <w:szCs w:val="24"/>
        </w:rPr>
        <w:t xml:space="preserve">2467 · L'ubiquità documentale come trappola.</w:t>
      </w:r>
      <w:r>
        <w:rPr>
          <w:rFonts w:ascii="Barlow Semi Condensed" w:cs="Barlow Semi Condensed" w:eastAsia="Barlow Semi Condensed" w:hAnsi="Barlow Semi Condensed"/>
          <w:sz w:val="24"/>
          <w:szCs w:val="24"/>
        </w:rPr>
        <w:t xml:space="preserve"> Avvertenza già scritta al blocco 36 dell'opera e qui necessaria più che altrove. Un nome presente per ufficio in ogni dossier di otto anni produce sempre un riscontro per qualunque ipotesi lo interroghi. Su un territorio fatto di tredici biografie italiane, la ricchezza dell'archivio americano è un rischio e non una risorsa: aumenta la probabilità di trovare qualcosa che somigli a ciò che si cerca. Il quesito si formula prima di aprire il fondo.</w:t>
      </w:r>
    </w:p>
    <w:p>
      <w:pPr>
        <w:spacing w:after="120" w:line="276"/>
        <w:jc w:val="both"/>
      </w:pPr>
      <w:r>
        <w:rPr>
          <w:rFonts w:ascii="Barlow Semi Condensed" w:cs="Barlow Semi Condensed" w:eastAsia="Barlow Semi Condensed" w:hAnsi="Barlow Semi Condensed"/>
          <w:b/>
          <w:bCs/>
          <w:sz w:val="24"/>
          <w:szCs w:val="24"/>
        </w:rPr>
        <w:t xml:space="preserve">2468 · Il filo del 1926.</w:t>
      </w:r>
      <w:r>
        <w:rPr>
          <w:rFonts w:ascii="Barlow Semi Condensed" w:cs="Barlow Semi Condensed" w:eastAsia="Barlow Semi Condensed" w:hAnsi="Barlow Semi Condensed"/>
          <w:sz w:val="24"/>
          <w:szCs w:val="24"/>
        </w:rPr>
        <w:t xml:space="preserve"> Sul confronto fra due modi di giudicare i nemici il territorio chiude: il Tribunale speciale del 1926, un grado solo e sentenze inappellabili, contro le corti ordinarie che giudicarono i tredici. Verso questo nome la prosopografia è impossibile, le epoche non si toccano. Resta un'assonanza dottrinale - l'opera del 1957 sulla restaurazione dell'ordine europeo e sul trattamento della rivoluzione - che è analogia di lettura al piano 3, e non attraversa nulla.</w:t>
      </w:r>
    </w:p>
    <w:p>
      <w:pPr>
        <w:spacing w:after="120" w:line="276"/>
        <w:jc w:val="both"/>
      </w:pPr>
      <w:r>
        <w:rPr>
          <w:rFonts w:ascii="Barlow Semi Condensed" w:cs="Barlow Semi Condensed" w:eastAsia="Barlow Semi Condensed" w:hAnsi="Barlow Semi Condensed"/>
          <w:b/>
          <w:bCs/>
          <w:sz w:val="24"/>
          <w:szCs w:val="24"/>
        </w:rPr>
        <w:t xml:space="preserve">2469 · Registro di esecuzione della serie.</w:t>
      </w:r>
      <w:r>
        <w:rPr>
          <w:rFonts w:ascii="Barlow Semi Condensed" w:cs="Barlow Semi Condensed" w:eastAsia="Barlow Semi Condensed" w:hAnsi="Barlow Semi Condensed"/>
          <w:sz w:val="24"/>
          <w:szCs w:val="24"/>
        </w:rPr>
        <w:t xml:space="preserve"> Contabilità dichiarata. Documenti del corpus aperti: il territorio assegnato, la Fase decima, l'apparato dei gradi, la triangolazione Hyperion, lo studio sulle pene oltre confine, la parte ottava dei nove cantieri, la scheda PE-5, il programma investigativo. Ponti di piano 1 trovati verso i tredici: zero. Convergenze di piano 2 registrate e non promosse: quattro. Bersagli di smentita formulati: sette. Sedi d'archivio nominate: oltre venti. Divergenze interne al corpus riportate: una.</w:t>
      </w:r>
    </w:p>
    <w:p>
      <w:pPr>
        <w:spacing w:after="120" w:line="276"/>
        <w:jc w:val="both"/>
      </w:pPr>
      <w:r>
        <w:rPr>
          <w:rFonts w:ascii="Barlow Semi Condensed" w:cs="Barlow Semi Condensed" w:eastAsia="Barlow Semi Condensed" w:hAnsi="Barlow Semi Condensed"/>
          <w:b/>
          <w:bCs/>
          <w:sz w:val="24"/>
          <w:szCs w:val="24"/>
        </w:rPr>
        <w:t xml:space="preserve">2470 · Che cosa vale un'assenza scritta bene.</w:t>
      </w:r>
      <w:r>
        <w:rPr>
          <w:rFonts w:ascii="Barlow Semi Condensed" w:cs="Barlow Semi Condensed" w:eastAsia="Barlow Semi Condensed" w:hAnsi="Barlow Semi Condensed"/>
          <w:sz w:val="24"/>
          <w:szCs w:val="24"/>
        </w:rPr>
        <w:t xml:space="preserve"> Congedo della serie, senza attenuazioni. Su questo territorio il corpus non contiene quasi nulla di questo nome, e la ricognizione lo conferma per ciascuno dei tredici. Non è un risultato povero: è il risultato, e la sua forma - vuoti con indirizzo, convergenze con etichetta, bersagli con criterio - è ciò che distingue una ricerca da una suggestione. Un blocco che dichiara bene un'assenza vale più di un blocco che insinua una presenza.</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Serie trentatreesima — L’apparato dei gradi</w:t>
      </w:r>
    </w:p>
    <w:p>
      <w:pPr>
        <w:spacing w:after="120" w:line="276"/>
        <w:jc w:val="both"/>
      </w:pPr>
      <w:r>
        <w:rPr>
          <w:rFonts w:ascii="Barlow Semi Condensed" w:cs="Barlow Semi Condensed" w:eastAsia="Barlow Semi Condensed" w:hAnsi="Barlow Semi Condensed"/>
          <w:i/>
          <w:iCs/>
          <w:sz w:val="24"/>
          <w:szCs w:val="24"/>
        </w:rPr>
        <w:t xml:space="preserve">Blocchi 2471-2540.</w:t>
      </w:r>
    </w:p>
    <w:p>
      <w:pPr>
        <w:spacing w:after="120" w:line="276"/>
        <w:jc w:val="both"/>
      </w:pPr>
      <w:r>
        <w:rPr>
          <w:rFonts w:ascii="Barlow Semi Condensed" w:cs="Barlow Semi Condensed" w:eastAsia="Barlow Semi Condensed" w:hAnsi="Barlow Semi Condensed"/>
          <w:b/>
          <w:bCs/>
          <w:sz w:val="24"/>
          <w:szCs w:val="24"/>
        </w:rPr>
        <w:t xml:space="preserve">2471 · La stringa assente nei due documenti.</w:t>
      </w:r>
      <w:r>
        <w:rPr>
          <w:rFonts w:ascii="Barlow Semi Condensed" w:cs="Barlow Semi Condensed" w:eastAsia="Barlow Semi Condensed" w:hAnsi="Barlow Semi Condensed"/>
          <w:sz w:val="24"/>
          <w:szCs w:val="24"/>
        </w:rPr>
        <w:t xml:space="preserve"> Verifica meccanica eseguita sui due file del territorio: «Kissinger» non compare né in aldo-moro-una-guerra-senza-fine-apparato-dei-gradi.md né in relazione-stato-lavori-stile-moro.md. Zero occorrenze in entrambi, e l'accertamento è di grado A perché ripetibile da chiunque con un solo comando. È lo Stato Zero costitutivo della serie: il territorio assegnato tace su questo nome, e il tacere va registrato prima di ogni interpretazione che se ne voglia trarre.</w:t>
      </w:r>
    </w:p>
    <w:p>
      <w:pPr>
        <w:spacing w:after="120" w:line="276"/>
        <w:jc w:val="both"/>
      </w:pPr>
      <w:r>
        <w:rPr>
          <w:rFonts w:ascii="Barlow Semi Condensed" w:cs="Barlow Semi Condensed" w:eastAsia="Barlow Semi Condensed" w:hAnsi="Barlow Semi Condensed"/>
          <w:b/>
          <w:bCs/>
          <w:sz w:val="24"/>
          <w:szCs w:val="24"/>
        </w:rPr>
        <w:t xml:space="preserve">2472 · L'inventario onomastico dell'apparato.</w:t>
      </w:r>
      <w:r>
        <w:rPr>
          <w:rFonts w:ascii="Barlow Semi Condensed" w:cs="Barlow Semi Condensed" w:eastAsia="Barlow Semi Condensed" w:hAnsi="Barlow Semi Condensed"/>
          <w:sz w:val="24"/>
          <w:szCs w:val="24"/>
        </w:rPr>
        <w:t xml:space="preserve"> L'estrazione dei nomi propri di persona dall'apparato dei gradi restituisce un elenco brevissimo: Aldo Moro, i cinque della scorta — Leonardi, Ricci, Rivera, Zizzi, Iozzino — e Popper come eponimo di metodo. Nessun altro. Non un politico italiano vivente, non un capo di apparato, non un uomo di governo straniero. L'apparato registra gradi e criteri di smentita, non protagonisti: il vuoto onomastico è scelta redazionale dichiarata, non lacuna.</w:t>
      </w:r>
    </w:p>
    <w:p>
      <w:pPr>
        <w:spacing w:after="120" w:line="276"/>
        <w:jc w:val="both"/>
      </w:pPr>
      <w:r>
        <w:rPr>
          <w:rFonts w:ascii="Barlow Semi Condensed" w:cs="Barlow Semi Condensed" w:eastAsia="Barlow Semi Condensed" w:hAnsi="Barlow Semi Condensed"/>
          <w:b/>
          <w:bCs/>
          <w:sz w:val="24"/>
          <w:szCs w:val="24"/>
        </w:rPr>
        <w:t xml:space="preserve">2473 · I nomi propri della relazione.</w:t>
      </w:r>
      <w:r>
        <w:rPr>
          <w:rFonts w:ascii="Barlow Semi Condensed" w:cs="Barlow Semi Condensed" w:eastAsia="Barlow Semi Condensed" w:hAnsi="Barlow Semi Condensed"/>
          <w:sz w:val="24"/>
          <w:szCs w:val="24"/>
        </w:rPr>
        <w:t xml:space="preserve"> Nella relazione in stile Moro i soli nomi di persona sono Aldo Moro nell'avvertenza, Ernesto Guevara, Fidel Castro, Malcolm X e i due Orfila della confusione emendata. Nessun nome statunitense di governo, nessun riferimento al Dipartimento di Stato, nessuna sede d'archivio americana. Il documento riferisce di lavori sul Tribunale Speciale e sul corpus guevariano: il versante atlantico non vi entra affatto, e questo è dato di perimetro.</w:t>
      </w:r>
    </w:p>
    <w:p>
      <w:pPr>
        <w:spacing w:after="120" w:line="276"/>
        <w:jc w:val="both"/>
      </w:pPr>
      <w:r>
        <w:rPr>
          <w:rFonts w:ascii="Barlow Semi Condensed" w:cs="Barlow Semi Condensed" w:eastAsia="Barlow Semi Condensed" w:hAnsi="Barlow Semi Condensed"/>
          <w:b/>
          <w:bCs/>
          <w:sz w:val="24"/>
          <w:szCs w:val="24"/>
        </w:rPr>
        <w:t xml:space="preserve">2474 · L'asimmetria con la Fase sesta.</w:t>
      </w:r>
      <w:r>
        <w:rPr>
          <w:rFonts w:ascii="Barlow Semi Condensed" w:cs="Barlow Semi Condensed" w:eastAsia="Barlow Semi Condensed" w:hAnsi="Barlow Semi Condensed"/>
          <w:sz w:val="24"/>
          <w:szCs w:val="24"/>
        </w:rPr>
        <w:t xml:space="preserve"> L'apparato si dichiara in testata complemento al capitolo cinquantaquattresimo della Fase sesta. Quel capitolo, nella voce Stato Zero, nomina espressamente «il documento che leghi Kissinger-persona, o qualunque apparato straniero nominato, alla catena di comando del delitto». L'apparato che lo indicizza non riporta quel nome in alcuna riga. Accertamento di grado A, verificabile confrontando i due file: il nome sta nella narrazione del garante e non nel suo indice.</w:t>
      </w:r>
    </w:p>
    <w:p>
      <w:pPr>
        <w:spacing w:after="120" w:line="276"/>
        <w:jc w:val="both"/>
      </w:pPr>
      <w:r>
        <w:rPr>
          <w:rFonts w:ascii="Barlow Semi Condensed" w:cs="Barlow Semi Condensed" w:eastAsia="Barlow Semi Condensed" w:hAnsi="Barlow Semi Condensed"/>
          <w:b/>
          <w:bCs/>
          <w:sz w:val="24"/>
          <w:szCs w:val="24"/>
        </w:rPr>
        <w:t xml:space="preserve">2475 · Perché l'asimmetria è rilevante.</w:t>
      </w:r>
      <w:r>
        <w:rPr>
          <w:rFonts w:ascii="Barlow Semi Condensed" w:cs="Barlow Semi Condensed" w:eastAsia="Barlow Semi Condensed" w:hAnsi="Barlow Semi Condensed"/>
          <w:sz w:val="24"/>
          <w:szCs w:val="24"/>
        </w:rPr>
        <w:t xml:space="preserve"> Un indice analitico serve a far ritrovare ciò che il testo dice. Se la mappa dei gradi nomina un soggetto fra i propri esiti negativi e la tavola che la traduce lo omette, chi consulti soltanto la tavola non troverà mai quello Stato Zero. La conseguenza è pratica prima che teorica: un'assenza dichiarata ma non indicizzata torna, per il lettore, a comportarsi come un silenzio.</w:t>
      </w:r>
    </w:p>
    <w:p>
      <w:pPr>
        <w:spacing w:after="120" w:line="276"/>
        <w:jc w:val="both"/>
      </w:pPr>
      <w:r>
        <w:rPr>
          <w:rFonts w:ascii="Barlow Semi Condensed" w:cs="Barlow Semi Condensed" w:eastAsia="Barlow Semi Condensed" w:hAnsi="Barlow Semi Condensed"/>
          <w:b/>
          <w:bCs/>
          <w:sz w:val="24"/>
          <w:szCs w:val="24"/>
        </w:rPr>
        <w:t xml:space="preserve">2476 · Che cosa smentirebbe questo accertamento.</w:t>
      </w:r>
      <w:r>
        <w:rPr>
          <w:rFonts w:ascii="Barlow Semi Condensed" w:cs="Barlow Semi Condensed" w:eastAsia="Barlow Semi Condensed" w:hAnsi="Barlow Semi Condensed"/>
          <w:sz w:val="24"/>
          <w:szCs w:val="24"/>
        </w:rPr>
        <w:t xml:space="preserve"> Bersaglio di smentita, dichiarato subito perché la serie non si immunizzi: la comparsa di una redazione dell'apparato dei gradi — anteriore al 24 agosto 2026 o successiva — che rechi il nome in una riga, oppure di una nota di revisione che ne spieghi l'espunzione. Sede: la cronologia del branch e i suoi commit. Finché non emerge, l'omissione resta accertata e non spiegata.</w:t>
      </w:r>
    </w:p>
    <w:p>
      <w:pPr>
        <w:spacing w:after="120" w:line="276"/>
        <w:jc w:val="both"/>
      </w:pPr>
      <w:r>
        <w:rPr>
          <w:rFonts w:ascii="Barlow Semi Condensed" w:cs="Barlow Semi Condensed" w:eastAsia="Barlow Semi Condensed" w:hAnsi="Barlow Semi Condensed"/>
          <w:b/>
          <w:bCs/>
          <w:sz w:val="24"/>
          <w:szCs w:val="24"/>
        </w:rPr>
        <w:t xml:space="preserve">2477 · La riga quindicesima e il suo silenzio.</w:t>
      </w:r>
      <w:r>
        <w:rPr>
          <w:rFonts w:ascii="Barlow Semi Condensed" w:cs="Barlow Semi Condensed" w:eastAsia="Barlow Semi Condensed" w:hAnsi="Barlow Semi Condensed"/>
          <w:sz w:val="24"/>
          <w:szCs w:val="24"/>
        </w:rPr>
        <w:t xml:space="preserve"> Il capitolo quindicesimo dell'apparato porta per asserzione «Gli avvertimenti attorno al tessitore», con grado A per l'esistenza di contrarietà e C per ogni mandato che ne discenda. È la riga in cui l'episodio del presunto avvertimento a Moro dovrebbe abitare. Vi abita senza nome: né il teste, né la sede giudiziaria, né la persona indicata. Il grado è dato all'insieme degli avvertimenti, non a questo.</w:t>
      </w:r>
    </w:p>
    <w:p>
      <w:pPr>
        <w:spacing w:after="120" w:line="276"/>
        <w:jc w:val="both"/>
      </w:pPr>
      <w:r>
        <w:rPr>
          <w:rFonts w:ascii="Barlow Semi Condensed" w:cs="Barlow Semi Condensed" w:eastAsia="Barlow Semi Condensed" w:hAnsi="Barlow Semi Condensed"/>
          <w:b/>
          <w:bCs/>
          <w:sz w:val="24"/>
          <w:szCs w:val="24"/>
        </w:rPr>
        <w:t xml:space="preserve">2478 · Il criterio di smentita della riga quindicesima.</w:t>
      </w:r>
      <w:r>
        <w:rPr>
          <w:rFonts w:ascii="Barlow Semi Condensed" w:cs="Barlow Semi Condensed" w:eastAsia="Barlow Semi Condensed" w:hAnsi="Barlow Semi Condensed"/>
          <w:sz w:val="24"/>
          <w:szCs w:val="24"/>
        </w:rPr>
        <w:t xml:space="preserve"> La colonna finale di quella riga chiede «un documento che leghi un avvertimento a una direttiva esecutiva». Applicata al nodo M-5 della triangolazione Guevara-Moro, la formula è esattamente il bersaglio che il fascicolo persegue: non la prova che una frase fu detta, ma la prova che da essa discese un ordine. Sono due accertamenti distinti, e il secondo non si ottiene rafforzando il primo.</w:t>
      </w:r>
    </w:p>
    <w:p>
      <w:pPr>
        <w:spacing w:after="120" w:line="276"/>
        <w:jc w:val="both"/>
      </w:pPr>
      <w:r>
        <w:rPr>
          <w:rFonts w:ascii="Barlow Semi Condensed" w:cs="Barlow Semi Condensed" w:eastAsia="Barlow Semi Condensed" w:hAnsi="Barlow Semi Condensed"/>
          <w:b/>
          <w:bCs/>
          <w:sz w:val="24"/>
          <w:szCs w:val="24"/>
        </w:rPr>
        <w:t xml:space="preserve">2479 · Contesto ostile e catena di comando.</w:t>
      </w:r>
      <w:r>
        <w:rPr>
          <w:rFonts w:ascii="Barlow Semi Condensed" w:cs="Barlow Semi Condensed" w:eastAsia="Barlow Semi Condensed" w:hAnsi="Barlow Semi Condensed"/>
          <w:sz w:val="24"/>
          <w:szCs w:val="24"/>
        </w:rPr>
        <w:t xml:space="preserve"> A grado di contesto la riga undicesima colloca l'esposizione internazionale di Moro nell'Italia col partito comunista più forte d'Occidente, indicando per smentita documenti che escludano l'ostilità, non trovati. Ne discende la regola già scritta nella Parte terza del corpus: la prossimità di un nemico non è il suo mandato. Un contesto accertato al secondo piano non promuove al primo alcun nome che vi si collochi dentro.</w:t>
      </w:r>
    </w:p>
    <w:p>
      <w:pPr>
        <w:spacing w:after="120" w:line="276"/>
        <w:jc w:val="both"/>
      </w:pPr>
      <w:r>
        <w:rPr>
          <w:rFonts w:ascii="Barlow Semi Condensed" w:cs="Barlow Semi Condensed" w:eastAsia="Barlow Semi Condensed" w:hAnsi="Barlow Semi Condensed"/>
          <w:b/>
          <w:bCs/>
          <w:sz w:val="24"/>
          <w:szCs w:val="24"/>
        </w:rPr>
        <w:t xml:space="preserve">2480 · L'eurocomunismo come cornice, non come arco.</w:t>
      </w:r>
      <w:r>
        <w:rPr>
          <w:rFonts w:ascii="Barlow Semi Condensed" w:cs="Barlow Semi Condensed" w:eastAsia="Barlow Semi Condensed" w:hAnsi="Barlow Semi Condensed"/>
          <w:sz w:val="24"/>
          <w:szCs w:val="24"/>
        </w:rPr>
        <w:t xml:space="preserve"> L'anomalia italiana e l'eurocomunismo occupano la dodicesima riga come contesto di grado A, con la colonna della smentita lasciata vuota. Una cornice priva di criterio falsificante non regge alcun ponte: dentro vi stanno l'ostilità americana documentata negli anni Settanta e la mediazione morotea, ma la convergenza fra le due è strutturale, cioè di secondo piano, e nessuna riga dell'apparato la eleva a nesso.</w:t>
      </w:r>
    </w:p>
    <w:p>
      <w:pPr>
        <w:spacing w:after="120" w:line="276"/>
        <w:jc w:val="both"/>
      </w:pPr>
      <w:r>
        <w:rPr>
          <w:rFonts w:ascii="Barlow Semi Condensed" w:cs="Barlow Semi Condensed" w:eastAsia="Barlow Semi Condensed" w:hAnsi="Barlow Semi Condensed"/>
          <w:b/>
          <w:bCs/>
          <w:sz w:val="24"/>
          <w:szCs w:val="24"/>
        </w:rPr>
        <w:t xml:space="preserve">2481 · I nemici del primo tempo.</w:t>
      </w:r>
      <w:r>
        <w:rPr>
          <w:rFonts w:ascii="Barlow Semi Condensed" w:cs="Barlow Semi Condensed" w:eastAsia="Barlow Semi Condensed" w:hAnsi="Barlow Semi Condensed"/>
          <w:sz w:val="24"/>
          <w:szCs w:val="24"/>
        </w:rPr>
        <w:t xml:space="preserve"> I nemici dell'apertura ai socialisti stanno alla tredicesima riga, senza criterio di smentita e senza nomi. Vale come precedente cronologico: l'ostilità all'inclusione precede di un decennio la stagione della solidarietà nazionale e non nasce a Washington. Chi legge il nodo internazionale come origine esclusiva ignora questa riga, che colloca il conflitto anzitutto dentro il sistema politico italiano e ne data l'inizio molto prima.</w:t>
      </w:r>
    </w:p>
    <w:p>
      <w:pPr>
        <w:spacing w:after="120" w:line="276"/>
        <w:jc w:val="both"/>
      </w:pPr>
      <w:r>
        <w:rPr>
          <w:rFonts w:ascii="Barlow Semi Condensed" w:cs="Barlow Semi Condensed" w:eastAsia="Barlow Semi Condensed" w:hAnsi="Barlow Semi Condensed"/>
          <w:b/>
          <w:bCs/>
          <w:sz w:val="24"/>
          <w:szCs w:val="24"/>
        </w:rPr>
        <w:t xml:space="preserve">2482 · La riga sedicesima e i canali riservati.</w:t>
      </w:r>
      <w:r>
        <w:rPr>
          <w:rFonts w:ascii="Barlow Semi Condensed" w:cs="Barlow Semi Condensed" w:eastAsia="Barlow Semi Condensed" w:hAnsi="Barlow Semi Condensed"/>
          <w:sz w:val="24"/>
          <w:szCs w:val="24"/>
        </w:rPr>
        <w:t xml:space="preserve"> Alla sedicesima riga la politica mediterranea di Moro è gradata A e le ipotesi che vi si radicano B o C, con rinvio per smentita agli atti riservati sui canali mediorientali. È l'unico punto dell'apparato che indichi una sede documentale estranea al perimetro giudiziario senza nominarla. Bersaglio: l'Archivio storico-diplomatico della Farnesina per gli anni del ministero, dove la riga troverebbe o perderebbe il proprio fondamento.</w:t>
      </w:r>
    </w:p>
    <w:p>
      <w:pPr>
        <w:spacing w:after="120" w:line="276"/>
        <w:jc w:val="both"/>
      </w:pPr>
      <w:r>
        <w:rPr>
          <w:rFonts w:ascii="Barlow Semi Condensed" w:cs="Barlow Semi Condensed" w:eastAsia="Barlow Semi Condensed" w:hAnsi="Barlow Semi Condensed"/>
          <w:b/>
          <w:bCs/>
          <w:sz w:val="24"/>
          <w:szCs w:val="24"/>
        </w:rPr>
        <w:t xml:space="preserve">2483 · L'autonomia brigatista e il suo prezzo.</w:t>
      </w:r>
      <w:r>
        <w:rPr>
          <w:rFonts w:ascii="Barlow Semi Condensed" w:cs="Barlow Semi Condensed" w:eastAsia="Barlow Semi Condensed" w:hAnsi="Barlow Semi Condensed"/>
          <w:sz w:val="24"/>
          <w:szCs w:val="24"/>
        </w:rPr>
        <w:t xml:space="preserve"> L'autonomia delle Brigate Rosse come organizzazione armata occupa la diciottesima riga al grado A, e chiede per smentita un documento coevo, esterno, autenticato, che provi l'eterodirezione: cercato, non trovato. È la riga che rende impossibile qualunque riga successiva su un mandante straniero. Chi volesse aprirne una dovrebbe prima abbattere questa, e per abbatterla servirebbe il documento che nessuno ha mai prodotto.</w:t>
      </w:r>
    </w:p>
    <w:p>
      <w:pPr>
        <w:spacing w:after="120" w:line="276"/>
        <w:jc w:val="both"/>
      </w:pPr>
      <w:r>
        <w:rPr>
          <w:rFonts w:ascii="Barlow Semi Condensed" w:cs="Barlow Semi Condensed" w:eastAsia="Barlow Semi Condensed" w:hAnsi="Barlow Semi Condensed"/>
          <w:b/>
          <w:bCs/>
          <w:sz w:val="24"/>
          <w:szCs w:val="24"/>
        </w:rPr>
        <w:t xml:space="preserve">2484 · Perché Moro, e per volontà di chi.</w:t>
      </w:r>
      <w:r>
        <w:rPr>
          <w:rFonts w:ascii="Barlow Semi Condensed" w:cs="Barlow Semi Condensed" w:eastAsia="Barlow Semi Condensed" w:hAnsi="Barlow Semi Condensed"/>
          <w:sz w:val="24"/>
          <w:szCs w:val="24"/>
        </w:rPr>
        <w:t xml:space="preserve"> Ventesima riga: la scelta del bersaglio nella logica rivendicata dalle Brigate Rosse è gradata A, e per smentita si chiede un documento che attribuisca quella scelta ad altra volontà. La formulazione è la più stringente dell'intero apparato applicata al nostro quesito, perché non chiede un'ipotesi alternativa ma un atto. Nessun atto simile è stato prodotto in quarantotto anni: Stato Zero di pieno valore.</w:t>
      </w:r>
    </w:p>
    <w:p>
      <w:pPr>
        <w:spacing w:after="120" w:line="276"/>
        <w:jc w:val="both"/>
      </w:pPr>
      <w:r>
        <w:rPr>
          <w:rFonts w:ascii="Barlow Semi Condensed" w:cs="Barlow Semi Condensed" w:eastAsia="Barlow Semi Condensed" w:hAnsi="Barlow Semi Condensed"/>
          <w:b/>
          <w:bCs/>
          <w:sz w:val="24"/>
          <w:szCs w:val="24"/>
        </w:rPr>
        <w:t xml:space="preserve">2485 · L'appartenenza scritta nella colonna.</w:t>
      </w:r>
      <w:r>
        <w:rPr>
          <w:rFonts w:ascii="Barlow Semi Condensed" w:cs="Barlow Semi Condensed" w:eastAsia="Barlow Semi Condensed" w:hAnsi="Barlow Semi Condensed"/>
          <w:sz w:val="24"/>
          <w:szCs w:val="24"/>
        </w:rPr>
        <w:t xml:space="preserve"> Le appartenenze occulte documentate fra i partecipanti ai comitati di crisi stanno alla trentaquattresima riga al grado A, con richiesta di prova che una decisione sia stata piegata da un'appartenenza. La regola che il fascicolo applica ai lignaggi dottrinali è dunque già scolpita nell'apparato per le logge: l'iscrizione è un fatto, la condotta è un altro, e il secondo non si deduce mai dal primo.</w:t>
      </w:r>
    </w:p>
    <w:p>
      <w:pPr>
        <w:spacing w:after="120" w:line="276"/>
        <w:jc w:val="both"/>
      </w:pPr>
      <w:r>
        <w:rPr>
          <w:rFonts w:ascii="Barlow Semi Condensed" w:cs="Barlow Semi Condensed" w:eastAsia="Barlow Semi Condensed" w:hAnsi="Barlow Semi Condensed"/>
          <w:b/>
          <w:bCs/>
          <w:sz w:val="24"/>
          <w:szCs w:val="24"/>
        </w:rPr>
        <w:t xml:space="preserve">2486 · Una sola riga per tutto il negativo.</w:t>
      </w:r>
      <w:r>
        <w:rPr>
          <w:rFonts w:ascii="Barlow Semi Condensed" w:cs="Barlow Semi Condensed" w:eastAsia="Barlow Semi Condensed" w:hAnsi="Barlow Semi Condensed"/>
          <w:sz w:val="24"/>
          <w:szCs w:val="24"/>
        </w:rPr>
        <w:t xml:space="preserve"> Su cinquanta righe l'apparato assegna il segno dello Stato Zero a una sola, la trentanovesima, mentre la Fase sesta ne elenca tre distinti: l'eterodirezione, il legame con un apparato straniero nominato, l'isomorfismo fra reti anticomuniste e struttura operativa. La compressione da tre a uno è misurabile e va detta: il perimetro negativo risulta, nella tavola, tre volte meno articolato che nel testo.</w:t>
      </w:r>
    </w:p>
    <w:p>
      <w:pPr>
        <w:spacing w:after="120" w:line="276"/>
        <w:jc w:val="both"/>
      </w:pPr>
      <w:r>
        <w:rPr>
          <w:rFonts w:ascii="Barlow Semi Condensed" w:cs="Barlow Semi Condensed" w:eastAsia="Barlow Semi Condensed" w:hAnsi="Barlow Semi Condensed"/>
          <w:b/>
          <w:bCs/>
          <w:sz w:val="24"/>
          <w:szCs w:val="24"/>
        </w:rPr>
        <w:t xml:space="preserve">2487 · L'architetto esterno resta possibile.</w:t>
      </w:r>
      <w:r>
        <w:rPr>
          <w:rFonts w:ascii="Barlow Semi Condensed" w:cs="Barlow Semi Condensed" w:eastAsia="Barlow Semi Condensed" w:hAnsi="Barlow Semi Condensed"/>
          <w:sz w:val="24"/>
          <w:szCs w:val="24"/>
        </w:rPr>
        <w:t xml:space="preserve"> Alla quarantaseiesima riga la capacità progettuale autonoma delle Brigate Rosse è gradata A e ogni architetto esterno C, col rinvio per smentita al documento di eterodirezione della trentanovesima. La struttura è circolare per costruzione e va letta come tale: il livello C di ogni regia straniera dipende interamente da uno Stato Zero. Se quello si chiudesse in positivo, tutte le righe della Fase quinta si riaprirebbero insieme.</w:t>
      </w:r>
    </w:p>
    <w:p>
      <w:pPr>
        <w:spacing w:after="120" w:line="276"/>
        <w:jc w:val="both"/>
      </w:pPr>
      <w:r>
        <w:rPr>
          <w:rFonts w:ascii="Barlow Semi Condensed" w:cs="Barlow Semi Condensed" w:eastAsia="Barlow Semi Condensed" w:hAnsi="Barlow Semi Condensed"/>
          <w:b/>
          <w:bCs/>
          <w:sz w:val="24"/>
          <w:szCs w:val="24"/>
        </w:rPr>
        <w:t xml:space="preserve">2488 · La classifica che non si falsifica.</w:t>
      </w:r>
      <w:r>
        <w:rPr>
          <w:rFonts w:ascii="Barlow Semi Condensed" w:cs="Barlow Semi Condensed" w:eastAsia="Barlow Semi Condensed" w:hAnsi="Barlow Semi Condensed"/>
          <w:sz w:val="24"/>
          <w:szCs w:val="24"/>
        </w:rPr>
        <w:t xml:space="preserve"> Dichiarata di grado C per intero, la graduatoria della Fase quinta è detta non falsificabile come classifica, avendo grado proprio soltanto i singoli fatti sottostanti. Ne discende il divieto più utile alla nostra materia: nessuna serie può collocare un nome straniero in una posizione ordinale di responsabilità, perché l'ordinale non è verificabile con alcun documento. Si può graduare un atto, mai un sospetto.</w:t>
      </w:r>
    </w:p>
    <w:p>
      <w:pPr>
        <w:spacing w:after="120" w:line="276"/>
        <w:jc w:val="both"/>
      </w:pPr>
      <w:r>
        <w:rPr>
          <w:rFonts w:ascii="Barlow Semi Condensed" w:cs="Barlow Semi Condensed" w:eastAsia="Barlow Semi Condensed" w:hAnsi="Barlow Semi Condensed"/>
          <w:b/>
          <w:bCs/>
          <w:sz w:val="24"/>
          <w:szCs w:val="24"/>
        </w:rPr>
        <w:t xml:space="preserve">2489 · Le falle interne non hanno riga estera.</w:t>
      </w:r>
      <w:r>
        <w:rPr>
          <w:rFonts w:ascii="Barlow Semi Condensed" w:cs="Barlow Semi Condensed" w:eastAsia="Barlow Semi Condensed" w:hAnsi="Barlow Semi Condensed"/>
          <w:sz w:val="24"/>
          <w:szCs w:val="24"/>
        </w:rPr>
        <w:t xml:space="preserve"> Macchina delle ricerche, via Gradoli con la seduta spiritica, falso comunicato del lago della Duchessa: le righe trentunesima, trentaduesima e trentatreesima chiedono per smentita documenti tutti italiani — una direttiva, una fonte informata dietro un nome, gli autori del falso. In nessuno dei tre punti l'apparato prevede un'ipotesi di intervento straniero. È perimetro dichiarato, e va rispettato anche da chi lo trovi angusto.</w:t>
      </w:r>
    </w:p>
    <w:p>
      <w:pPr>
        <w:spacing w:after="120" w:line="276"/>
        <w:jc w:val="both"/>
      </w:pPr>
      <w:r>
        <w:rPr>
          <w:rFonts w:ascii="Barlow Semi Condensed" w:cs="Barlow Semi Condensed" w:eastAsia="Barlow Semi Condensed" w:hAnsi="Barlow Semi Condensed"/>
          <w:b/>
          <w:bCs/>
          <w:sz w:val="24"/>
          <w:szCs w:val="24"/>
        </w:rPr>
        <w:t xml:space="preserve">2490 · Il controfattuale escluso dall'apparato.</w:t>
      </w:r>
      <w:r>
        <w:rPr>
          <w:rFonts w:ascii="Barlow Semi Condensed" w:cs="Barlow Semi Condensed" w:eastAsia="Barlow Semi Condensed" w:hAnsi="Barlow Semi Condensed"/>
          <w:sz w:val="24"/>
          <w:szCs w:val="24"/>
        </w:rPr>
        <w:t xml:space="preserve"> Sulla fermezza contro la trattativa la ventinovesima riga grada C l'esito controfattuale e annota che i controfattuali non sono falsificabili. La regola colpisce direttamente la formula più diffusa attorno a questo nome, quella per cui la morte di Moro avrebbe impedito un esito politico atteso. Come proposizione sul mondo non è verificabile; come dichiarazione altrui è fatto pubblico, e va tenuta in quella colonna.</w:t>
      </w:r>
    </w:p>
    <w:p>
      <w:pPr>
        <w:spacing w:after="120" w:line="276"/>
        <w:jc w:val="both"/>
      </w:pPr>
      <w:r>
        <w:rPr>
          <w:rFonts w:ascii="Barlow Semi Condensed" w:cs="Barlow Semi Condensed" w:eastAsia="Barlow Semi Condensed" w:hAnsi="Barlow Semi Condensed"/>
          <w:b/>
          <w:bCs/>
          <w:sz w:val="24"/>
          <w:szCs w:val="24"/>
        </w:rPr>
        <w:t xml:space="preserve">2491 · Riga proposta per il memorandum del 1974.</w:t>
      </w:r>
      <w:r>
        <w:rPr>
          <w:rFonts w:ascii="Barlow Semi Condensed" w:cs="Barlow Semi Condensed" w:eastAsia="Barlow Semi Condensed" w:hAnsi="Barlow Semi Condensed"/>
          <w:sz w:val="24"/>
          <w:szCs w:val="24"/>
        </w:rPr>
        <w:t xml:space="preserve"> Prima riga da aggiungere all'apparato, con le tre colonne piene. Asserzione: il verbale dello Studio Ovale del 25 settembre 1974, con Leone, Moro, Ford, Kissinger e Scowcroft, non contiene alcun ultimatum personale ad Aldo Moro. Grado A. Che cosa la smentirebbe: una redazione difforme del medesimo memorandum nella Ford Library, file 1552802, o nel FRUS 1969-1976 E-15 parte seconda, documento 350.</w:t>
      </w:r>
    </w:p>
    <w:p>
      <w:pPr>
        <w:spacing w:after="120" w:line="276"/>
        <w:jc w:val="both"/>
      </w:pPr>
      <w:r>
        <w:rPr>
          <w:rFonts w:ascii="Barlow Semi Condensed" w:cs="Barlow Semi Condensed" w:eastAsia="Barlow Semi Condensed" w:hAnsi="Barlow Semi Condensed"/>
          <w:b/>
          <w:bCs/>
          <w:sz w:val="24"/>
          <w:szCs w:val="24"/>
        </w:rPr>
        <w:t xml:space="preserve">2492 · Riga proposta per la testimonianza contestata.</w:t>
      </w:r>
      <w:r>
        <w:rPr>
          <w:rFonts w:ascii="Barlow Semi Condensed" w:cs="Barlow Semi Condensed" w:eastAsia="Barlow Semi Condensed" w:hAnsi="Barlow Semi Condensed"/>
          <w:sz w:val="24"/>
          <w:szCs w:val="24"/>
        </w:rPr>
        <w:t xml:space="preserve"> Seconda riga. Asserzione: l'avvertimento circolante è testimonianza contestata, riferita de relato da Corrado Guerzoni alla Corte d'assise di Roma nel novembre 1982, col nome ottenuto in aula dal presidente e non offerto dalla vedova, sempre smentito dall'interessato. Grado B nella sua accezione debole. Smentita: il verbale d'udienza integrale e il resoconto stenografico dell'audizione parlamentare del primo agosto 1980, letti sui testi ufficiali.</w:t>
      </w:r>
    </w:p>
    <w:p>
      <w:pPr>
        <w:spacing w:after="120" w:line="276"/>
        <w:jc w:val="both"/>
      </w:pPr>
      <w:r>
        <w:rPr>
          <w:rFonts w:ascii="Barlow Semi Condensed" w:cs="Barlow Semi Condensed" w:eastAsia="Barlow Semi Condensed" w:hAnsi="Barlow Semi Condensed"/>
          <w:b/>
          <w:bCs/>
          <w:sz w:val="24"/>
          <w:szCs w:val="24"/>
        </w:rPr>
        <w:t xml:space="preserve">2493 · Riga proposta per l'anagrafe.</w:t>
      </w:r>
      <w:r>
        <w:rPr>
          <w:rFonts w:ascii="Barlow Semi Condensed" w:cs="Barlow Semi Condensed" w:eastAsia="Barlow Semi Condensed" w:hAnsi="Barlow Semi Condensed"/>
          <w:sz w:val="24"/>
          <w:szCs w:val="24"/>
        </w:rPr>
        <w:t xml:space="preserve"> Terza riga, di grado F secondo la scala del repertorio della Fase nona. Heinz Alfred Kissinger, Fürth 27 maggio 1923, morto a Kent nel Connecticut il 29 novembre 2023; assistente per la sicurezza nazionale dal 20 gennaio 1969 al 3 novembre 1975, segretario di Stato dal 22 settembre 1973 al 20 gennaio 1977. Fatti pubblici. La data dell'anglicizzazione resta contesa e si riporta divergente.</w:t>
      </w:r>
    </w:p>
    <w:p>
      <w:pPr>
        <w:spacing w:after="120" w:line="276"/>
        <w:jc w:val="both"/>
      </w:pPr>
      <w:r>
        <w:rPr>
          <w:rFonts w:ascii="Barlow Semi Condensed" w:cs="Barlow Semi Condensed" w:eastAsia="Barlow Semi Condensed" w:hAnsi="Barlow Semi Condensed"/>
          <w:b/>
          <w:bCs/>
          <w:sz w:val="24"/>
          <w:szCs w:val="24"/>
        </w:rPr>
        <w:t xml:space="preserve">2494 · Riga proposta per l'assenza italiana.</w:t>
      </w:r>
      <w:r>
        <w:rPr>
          <w:rFonts w:ascii="Barlow Semi Condensed" w:cs="Barlow Semi Condensed" w:eastAsia="Barlow Semi Condensed" w:hAnsi="Barlow Semi Condensed"/>
          <w:sz w:val="24"/>
          <w:szCs w:val="24"/>
        </w:rPr>
        <w:t xml:space="preserve"> Quarta riga, e porta il segno dello Stato Zero. Asserzione: non risulta, negli atti italiani finora censiti, alcun documento che colleghi quel nome a una direttiva operativa sul sequestro. Sede che la chiuderebbe: la collezione «Stragi (Direttiva Renzi)» all'Archivio centrale dello Stato, scheda IT-ACS-AS0001-0005098, circa duemila buste versate da centocinquantasei uffici produttori, mai spogliate con questa chiave onomastica.</w:t>
      </w:r>
    </w:p>
    <w:p>
      <w:pPr>
        <w:spacing w:after="120" w:line="276"/>
        <w:jc w:val="both"/>
      </w:pPr>
      <w:r>
        <w:rPr>
          <w:rFonts w:ascii="Barlow Semi Condensed" w:cs="Barlow Semi Condensed" w:eastAsia="Barlow Semi Condensed" w:hAnsi="Barlow Semi Condensed"/>
          <w:b/>
          <w:bCs/>
          <w:sz w:val="24"/>
          <w:szCs w:val="24"/>
        </w:rPr>
        <w:t xml:space="preserve">2495 · Riga proposta di metodo.</w:t>
      </w:r>
      <w:r>
        <w:rPr>
          <w:rFonts w:ascii="Barlow Semi Condensed" w:cs="Barlow Semi Condensed" w:eastAsia="Barlow Semi Condensed" w:hAnsi="Barlow Semi Condensed"/>
          <w:sz w:val="24"/>
          <w:szCs w:val="24"/>
        </w:rPr>
        <w:t xml:space="preserve"> Quinta riga, di grado M secondo la convenzione con cui l'apparato tratta i capitoli primo, secondo, terzo e quarto. Asserzione: la lente dichiarata dal committente — la genetica come figura del codice e della sua trasmissione — è patto di lettura e non proposizione sul mondo. Colonna della smentita: un trattino, come per ogni voce di metodo. Una lente non si confuta, si giudica dalla resa.</w:t>
      </w:r>
    </w:p>
    <w:p>
      <w:pPr>
        <w:spacing w:after="120" w:line="276"/>
        <w:jc w:val="both"/>
      </w:pPr>
      <w:r>
        <w:rPr>
          <w:rFonts w:ascii="Barlow Semi Condensed" w:cs="Barlow Semi Condensed" w:eastAsia="Barlow Semi Condensed" w:hAnsi="Barlow Semi Condensed"/>
          <w:b/>
          <w:bCs/>
          <w:sz w:val="24"/>
          <w:szCs w:val="24"/>
        </w:rPr>
        <w:t xml:space="preserve">2496 · La cronologia degli incarichi come sbarramento.</w:t>
      </w:r>
      <w:r>
        <w:rPr>
          <w:rFonts w:ascii="Barlow Semi Condensed" w:cs="Barlow Semi Condensed" w:eastAsia="Barlow Semi Condensed" w:hAnsi="Barlow Semi Condensed"/>
          <w:sz w:val="24"/>
          <w:szCs w:val="24"/>
        </w:rPr>
        <w:t xml:space="preserve"> Accertamento di grado A con conseguenza diretta sulle righe ventunesima-trentottesima, quelle dei cinquantacinque giorni: il 16 marzo 1978 il soggetto di questa serie non ricopriva alcuna carica pubblica, avendo lasciato il Dipartimento di Stato il 20 gennaio 1977. Nessuna riga sui comitati di crisi, sulle ricerche o sui depistaggi può ospitarlo per posizione istituzionale. Resterebbe la via privata, tutta da documentare.</w:t>
      </w:r>
    </w:p>
    <w:p>
      <w:pPr>
        <w:spacing w:after="120" w:line="276"/>
        <w:jc w:val="both"/>
      </w:pPr>
      <w:r>
        <w:rPr>
          <w:rFonts w:ascii="Barlow Semi Condensed" w:cs="Barlow Semi Condensed" w:eastAsia="Barlow Semi Condensed" w:hAnsi="Barlow Semi Condensed"/>
          <w:b/>
          <w:bCs/>
          <w:sz w:val="24"/>
          <w:szCs w:val="24"/>
        </w:rPr>
        <w:t xml:space="preserve">2497 · Riga proposta sulla circolazione.</w:t>
      </w:r>
      <w:r>
        <w:rPr>
          <w:rFonts w:ascii="Barlow Semi Condensed" w:cs="Barlow Semi Condensed" w:eastAsia="Barlow Semi Condensed" w:hAnsi="Barlow Semi Condensed"/>
          <w:sz w:val="24"/>
          <w:szCs w:val="24"/>
        </w:rPr>
        <w:t xml:space="preserve"> Sesta riga, e riguarda la ricezione anziché il fatto. Asserzione: la moltiplicazione delle fonti sull'episodio è apparente, risalendo le riprese pressoché identiche a un unico lancio d'agenzia del 30 novembre 2023, il giorno dopo la morte. Grado A quanto alla circolazione, nullo quanto al merito. Smentita: l'individuazione di un testimone indipendente anteriore a quella data, che allo stato non risulta.</w:t>
      </w:r>
    </w:p>
    <w:p>
      <w:pPr>
        <w:spacing w:after="120" w:line="276"/>
        <w:jc w:val="both"/>
      </w:pPr>
      <w:r>
        <w:rPr>
          <w:rFonts w:ascii="Barlow Semi Condensed" w:cs="Barlow Semi Condensed" w:eastAsia="Barlow Semi Condensed" w:hAnsi="Barlow Semi Condensed"/>
          <w:b/>
          <w:bCs/>
          <w:sz w:val="24"/>
          <w:szCs w:val="24"/>
        </w:rPr>
        <w:t xml:space="preserve">2498 · Il consulente e la sua colonna.</w:t>
      </w:r>
      <w:r>
        <w:rPr>
          <w:rFonts w:ascii="Barlow Semi Condensed" w:cs="Barlow Semi Condensed" w:eastAsia="Barlow Semi Condensed" w:hAnsi="Barlow Semi Condensed"/>
          <w:sz w:val="24"/>
          <w:szCs w:val="24"/>
        </w:rPr>
        <w:t xml:space="preserve"> Settima riga proposta. La presenza di Steve Pieczenik nel comitato di crisi al fianco del ministro dell'Interno è fatto pubblico documentato, grado B secondo il repertorio della Fase nona; le sue dichiarazioni successive sono fatto quanto all'essere state rese e materia da riscontrare quanto al contenuto. La riga appartiene al 1978 e a un'altra amministrazione: accostarla a questo nome è salto cronologico, non nesso.</w:t>
      </w:r>
    </w:p>
    <w:p>
      <w:pPr>
        <w:spacing w:after="120" w:line="276"/>
        <w:jc w:val="both"/>
      </w:pPr>
      <w:r>
        <w:rPr>
          <w:rFonts w:ascii="Barlow Semi Condensed" w:cs="Barlow Semi Condensed" w:eastAsia="Barlow Semi Condensed" w:hAnsi="Barlow Semi Condensed"/>
          <w:b/>
          <w:bCs/>
          <w:sz w:val="24"/>
          <w:szCs w:val="24"/>
        </w:rPr>
        <w:t xml:space="preserve">2499 · La colonna vuota come vincolo.</w:t>
      </w:r>
      <w:r>
        <w:rPr>
          <w:rFonts w:ascii="Barlow Semi Condensed" w:cs="Barlow Semi Condensed" w:eastAsia="Barlow Semi Condensed" w:hAnsi="Barlow Semi Condensed"/>
          <w:sz w:val="24"/>
          <w:szCs w:val="24"/>
        </w:rPr>
        <w:t xml:space="preserve"> Regola redazionale ricavata dall'apparato e da adottare per ogni riga proposta: dove la terza colonna reca un trattino, la riga non afferma nulla sul mondo. Ne segue che nessuna riga su questa materia può essere scritta senza indicare l'atto che la ucciderebbe. Una riga con la colonna vuota e il grado alto è, nella grammatica dell'apparato, errore di compilazione prima che di merito.</w:t>
      </w:r>
    </w:p>
    <w:p>
      <w:pPr>
        <w:spacing w:after="120" w:line="276"/>
        <w:jc w:val="both"/>
      </w:pPr>
      <w:r>
        <w:rPr>
          <w:rFonts w:ascii="Barlow Semi Condensed" w:cs="Barlow Semi Condensed" w:eastAsia="Barlow Semi Condensed" w:hAnsi="Barlow Semi Condensed"/>
          <w:b/>
          <w:bCs/>
          <w:sz w:val="24"/>
          <w:szCs w:val="24"/>
        </w:rPr>
        <w:t xml:space="preserve">2500 · Il divieto di riga senza sede.</w:t>
      </w:r>
      <w:r>
        <w:rPr>
          <w:rFonts w:ascii="Barlow Semi Condensed" w:cs="Barlow Semi Condensed" w:eastAsia="Barlow Semi Condensed" w:hAnsi="Barlow Semi Condensed"/>
          <w:sz w:val="24"/>
          <w:szCs w:val="24"/>
        </w:rPr>
        <w:t xml:space="preserve"> Seconda regola redazionale: ogni Stato Zero proposto deve nominare la sede che lo chiuderebbe, altrimenti è reticenza travestita da rigore. L'apparato lo pratica alla ventottesima e alla trentaduesima riga, dove indica la catena di custodia delle carte di via Monte Nevoso e la fonte informata dietro il nome Gradoli. Le nostre righe negative seguono quella forma, e ciascuna porta il proprio indirizzo d'archivio.</w:t>
      </w:r>
    </w:p>
    <w:p>
      <w:pPr>
        <w:spacing w:after="120" w:line="276"/>
        <w:jc w:val="both"/>
      </w:pPr>
      <w:r>
        <w:rPr>
          <w:rFonts w:ascii="Barlow Semi Condensed" w:cs="Barlow Semi Condensed" w:eastAsia="Barlow Semi Condensed" w:hAnsi="Barlow Semi Condensed"/>
          <w:b/>
          <w:bCs/>
          <w:sz w:val="24"/>
          <w:szCs w:val="24"/>
        </w:rPr>
        <w:t xml:space="preserve">2501 · La clausola finale e il defunto.</w:t>
      </w:r>
      <w:r>
        <w:rPr>
          <w:rFonts w:ascii="Barlow Semi Condensed" w:cs="Barlow Semi Condensed" w:eastAsia="Barlow Semi Condensed" w:hAnsi="Barlow Semi Condensed"/>
          <w:sz w:val="24"/>
          <w:szCs w:val="24"/>
        </w:rPr>
        <w:t xml:space="preserve"> In chiusura l'apparato rinvia, per gli aspetti che toccano persone viventi, alla disciplina di riservatezza dell'apparato Italia Nera. Il soggetto di questa serie è morto il 29 novembre 2023: quella clausola, alla lettera, non lo copre più. L'accertamento va scritto perché produce il quesito successivo, non perché apra un varco. La cessazione di una tutela non autorizza a scrivere ciò che prima era vietato.</w:t>
      </w:r>
    </w:p>
    <w:p>
      <w:pPr>
        <w:spacing w:after="120" w:line="276"/>
        <w:jc w:val="both"/>
      </w:pPr>
      <w:r>
        <w:rPr>
          <w:rFonts w:ascii="Barlow Semi Condensed" w:cs="Barlow Semi Condensed" w:eastAsia="Barlow Semi Condensed" w:hAnsi="Barlow Semi Condensed"/>
          <w:b/>
          <w:bCs/>
          <w:sz w:val="24"/>
          <w:szCs w:val="24"/>
        </w:rPr>
        <w:t xml:space="preserve">2502 · La morte non promuove alcun grado.</w:t>
      </w:r>
      <w:r>
        <w:rPr>
          <w:rFonts w:ascii="Barlow Semi Condensed" w:cs="Barlow Semi Condensed" w:eastAsia="Barlow Semi Condensed" w:hAnsi="Barlow Semi Condensed"/>
          <w:sz w:val="24"/>
          <w:szCs w:val="24"/>
        </w:rPr>
        <w:t xml:space="preserve"> Nessun elemento del fascicolo muta di grado per il decesso dell'interessato: la testimonianza contestata resta contestata, il memorandum resta ciò che scrive, lo Stato Zero resta aperto. L'unica cosa che il 29 novembre 2023 ha effettivamente cambiato è che la smentita non può più essere ripetuta dalla stessa voce, e va perciò citata dalle sue occorrenze anteriori, ciascuna con la propria data.</w:t>
      </w:r>
    </w:p>
    <w:p>
      <w:pPr>
        <w:spacing w:after="120" w:line="276"/>
        <w:jc w:val="both"/>
      </w:pPr>
      <w:r>
        <w:rPr>
          <w:rFonts w:ascii="Barlow Semi Condensed" w:cs="Barlow Semi Condensed" w:eastAsia="Barlow Semi Condensed" w:hAnsi="Barlow Semi Condensed"/>
          <w:b/>
          <w:bCs/>
          <w:sz w:val="24"/>
          <w:szCs w:val="24"/>
        </w:rPr>
        <w:t xml:space="preserve">2503 · Ciò che resta dopo la tutela.</w:t>
      </w:r>
      <w:r>
        <w:rPr>
          <w:rFonts w:ascii="Barlow Semi Condensed" w:cs="Barlow Semi Condensed" w:eastAsia="Barlow Semi Condensed" w:hAnsi="Barlow Semi Condensed"/>
          <w:sz w:val="24"/>
          <w:szCs w:val="24"/>
        </w:rPr>
        <w:t xml:space="preserve"> Cessata la disciplina delle persone viventi, resta il divieto che l'apparato pone in modo assoluto e senza clausole temporali: non nominare alcuno come responsabile di reato oltre il giudicato definitivo. Quel divieto non è protezione di un vivente, è regola sul regime di prova, e vale identico per i morti. In questo caso non vi fu mai imputazione, in alcun Paese: non esiste giudicato da richiamare.</w:t>
      </w:r>
    </w:p>
    <w:p>
      <w:pPr>
        <w:spacing w:after="120" w:line="276"/>
        <w:jc w:val="both"/>
      </w:pPr>
      <w:r>
        <w:rPr>
          <w:rFonts w:ascii="Barlow Semi Condensed" w:cs="Barlow Semi Condensed" w:eastAsia="Barlow Semi Condensed" w:hAnsi="Barlow Semi Condensed"/>
          <w:b/>
          <w:bCs/>
          <w:sz w:val="24"/>
          <w:szCs w:val="24"/>
        </w:rPr>
        <w:t xml:space="preserve">2504 · Il lotto riservato come precedente.</w:t>
      </w:r>
      <w:r>
        <w:rPr>
          <w:rFonts w:ascii="Barlow Semi Condensed" w:cs="Barlow Semi Condensed" w:eastAsia="Barlow Semi Condensed" w:hAnsi="Barlow Semi Condensed"/>
          <w:sz w:val="24"/>
          <w:szCs w:val="24"/>
        </w:rPr>
        <w:t xml:space="preserve"> La terza sezione della relazione riferisce di un lotto documentario collazionato ma non pubblicato, perché recava attribuzioni non riscontrate anche su persone viventi e la sede dei lavori era aperta a chiunque. È il precedente operativo esatto per questa materia: esiste già, nel corpus, la procedura per trattenere ciò che non regge alla verifica primaria. Non serve inventarla, serve applicarla al nodo dell'avvertimento.</w:t>
      </w:r>
    </w:p>
    <w:p>
      <w:pPr>
        <w:spacing w:after="120" w:line="276"/>
        <w:jc w:val="both"/>
      </w:pPr>
      <w:r>
        <w:rPr>
          <w:rFonts w:ascii="Barlow Semi Condensed" w:cs="Barlow Semi Condensed" w:eastAsia="Barlow Semi Condensed" w:hAnsi="Barlow Semi Condensed"/>
          <w:b/>
          <w:bCs/>
          <w:sz w:val="24"/>
          <w:szCs w:val="24"/>
        </w:rPr>
        <w:t xml:space="preserve">2505 · Sede aperta e sede riservata.</w:t>
      </w:r>
      <w:r>
        <w:rPr>
          <w:rFonts w:ascii="Barlow Semi Condensed" w:cs="Barlow Semi Condensed" w:eastAsia="Barlow Semi Condensed" w:hAnsi="Barlow Semi Condensed"/>
          <w:sz w:val="24"/>
          <w:szCs w:val="24"/>
        </w:rPr>
        <w:t xml:space="preserve"> Dalla stessa sezione si ricava una distinzione operativa che il fascicolo deve fare propria: un'attribuzione non riscontrata può essere collazionata, inventariata e conservata, purché in sede non pubblica. La pubblicazione è l'atto che, una volta compiuto, non si lascia disfare. Applicata al nostro nodo, la regola dice che la ricerca continua e la resa pubblica si ferma finché il documento primario non sia stato letto.</w:t>
      </w:r>
    </w:p>
    <w:p>
      <w:pPr>
        <w:spacing w:after="120" w:line="276"/>
        <w:jc w:val="both"/>
      </w:pPr>
      <w:r>
        <w:rPr>
          <w:rFonts w:ascii="Barlow Semi Condensed" w:cs="Barlow Semi Condensed" w:eastAsia="Barlow Semi Condensed" w:hAnsi="Barlow Semi Condensed"/>
          <w:b/>
          <w:bCs/>
          <w:sz w:val="24"/>
          <w:szCs w:val="24"/>
        </w:rPr>
        <w:t xml:space="preserve">2506 · Il registro delle esclusioni.</w:t>
      </w:r>
      <w:r>
        <w:rPr>
          <w:rFonts w:ascii="Barlow Semi Condensed" w:cs="Barlow Semi Condensed" w:eastAsia="Barlow Semi Condensed" w:hAnsi="Barlow Semi Condensed"/>
          <w:sz w:val="24"/>
          <w:szCs w:val="24"/>
        </w:rPr>
        <w:t xml:space="preserve"> Bersaglio derivato: il corpus dichiara nella relazione di avere escluso dal corpo, per riguardo alle persone viventi, materiali pure in suo possesso. Manca però il registro di quelle esclusioni — quante, di che genere, con quale criterio. Senza registro non è misurabile quanto il perimetro pubblico differisca da quello raccolto, e ogni Stato Zero pubblicato resta esposto all'obiezione di essere un vuoto scelto.</w:t>
      </w:r>
    </w:p>
    <w:p>
      <w:pPr>
        <w:spacing w:after="120" w:line="276"/>
        <w:jc w:val="both"/>
      </w:pPr>
      <w:r>
        <w:rPr>
          <w:rFonts w:ascii="Barlow Semi Condensed" w:cs="Barlow Semi Condensed" w:eastAsia="Barlow Semi Condensed" w:hAnsi="Barlow Semi Condensed"/>
          <w:b/>
          <w:bCs/>
          <w:sz w:val="24"/>
          <w:szCs w:val="24"/>
        </w:rPr>
        <w:t xml:space="preserve">2507 · L'avvertenza sulla voce prestata.</w:t>
      </w:r>
      <w:r>
        <w:rPr>
          <w:rFonts w:ascii="Barlow Semi Condensed" w:cs="Barlow Semi Condensed" w:eastAsia="Barlow Semi Condensed" w:hAnsi="Barlow Semi Condensed"/>
          <w:sz w:val="24"/>
          <w:szCs w:val="24"/>
        </w:rPr>
        <w:t xml:space="preserve"> La relazione si apre dichiarando di essere esercizio di stile a imitazione della prosa di Aldo Moro, e che nulla vi è a lui attribuibile né come parola né come pensiero. L'avvertenza è il modello di una cautela che il fascicolo deve osservare in senso opposto: mai far pronunciare al soggetto di questa serie parole non attestate, neppure per sintesi, neppure fra virgolette di comodo.</w:t>
      </w:r>
    </w:p>
    <w:p>
      <w:pPr>
        <w:spacing w:after="120" w:line="276"/>
        <w:jc w:val="both"/>
      </w:pPr>
      <w:r>
        <w:rPr>
          <w:rFonts w:ascii="Barlow Semi Condensed" w:cs="Barlow Semi Condensed" w:eastAsia="Barlow Semi Condensed" w:hAnsi="Barlow Semi Condensed"/>
          <w:b/>
          <w:bCs/>
          <w:sz w:val="24"/>
          <w:szCs w:val="24"/>
        </w:rPr>
        <w:t xml:space="preserve">2508 · La prosopopea come rischio documentale.</w:t>
      </w:r>
      <w:r>
        <w:rPr>
          <w:rFonts w:ascii="Barlow Semi Condensed" w:cs="Barlow Semi Condensed" w:eastAsia="Barlow Semi Condensed" w:hAnsi="Barlow Semi Condensed"/>
          <w:sz w:val="24"/>
          <w:szCs w:val="24"/>
        </w:rPr>
        <w:t xml:space="preserve"> Il pericolo non è teorico. La frase che circola sull'avvertimento è citata fra virgolette da innumerevoli riprese senza che il testo primario sia mai stato collazionato: è prosopopea con l'apparenza della citazione. La regola della relazione — imitazione dichiarata e mai spacciata per originale — impone qui la contromisura minima: nessuna virgoletta senza fonte, e la fonte deve essere il verbale, non la sintesi.</w:t>
      </w:r>
    </w:p>
    <w:p>
      <w:pPr>
        <w:spacing w:after="120" w:line="276"/>
        <w:jc w:val="both"/>
      </w:pPr>
      <w:r>
        <w:rPr>
          <w:rFonts w:ascii="Barlow Semi Condensed" w:cs="Barlow Semi Condensed" w:eastAsia="Barlow Semi Condensed" w:hAnsi="Barlow Semi Condensed"/>
          <w:b/>
          <w:bCs/>
          <w:sz w:val="24"/>
          <w:szCs w:val="24"/>
        </w:rPr>
        <w:t xml:space="preserve">2509 · Campione e censimento.</w:t>
      </w:r>
      <w:r>
        <w:rPr>
          <w:rFonts w:ascii="Barlow Semi Condensed" w:cs="Barlow Semi Condensed" w:eastAsia="Barlow Semi Condensed" w:hAnsi="Barlow Semi Condensed"/>
          <w:sz w:val="24"/>
          <w:szCs w:val="24"/>
        </w:rPr>
        <w:t xml:space="preserve"> La prima sezione della relazione distingue con nettezza fra campione e censimento: una cinquantina di nomi raccolti a fronte dei seicentotrentanove liberati sui millecinquantasei condannati dal Tribunale Speciale. La regola vale integra per noi. La ricognizione della stringa dentro il branch è un censimento del corpus e un campione minuscolo del mondo: dichiarare la prima cosa e sottintendere la seconda sarebbe abuso quantitativo.</w:t>
      </w:r>
    </w:p>
    <w:p>
      <w:pPr>
        <w:spacing w:after="120" w:line="276"/>
        <w:jc w:val="both"/>
      </w:pPr>
      <w:r>
        <w:rPr>
          <w:rFonts w:ascii="Barlow Semi Condensed" w:cs="Barlow Semi Condensed" w:eastAsia="Barlow Semi Condensed" w:hAnsi="Barlow Semi Condensed"/>
          <w:b/>
          <w:bCs/>
          <w:sz w:val="24"/>
          <w:szCs w:val="24"/>
        </w:rPr>
        <w:t xml:space="preserve">2510 · Gli esiti negativi ottenuti per via obliqua.</w:t>
      </w:r>
      <w:r>
        <w:rPr>
          <w:rFonts w:ascii="Barlow Semi Condensed" w:cs="Barlow Semi Condensed" w:eastAsia="Barlow Semi Condensed" w:hAnsi="Barlow Semi Condensed"/>
          <w:sz w:val="24"/>
          <w:szCs w:val="24"/>
        </w:rPr>
        <w:t xml:space="preserve"> La stessa sezione confessa che la fonte non fu raggiungibile per via diretta e che si procedette interrogando i motori di ricerca sulle singole schede. È l'avvertenza più preziosa del territorio: un esito negativo ottenuto per via indiretta ha grado inferiore a un esito negativo ottenuto in sala di studio. Ogni nostro Stato Zero deve dichiarare per quale via fu accertato, altrimenti finge una solidità che non ha.</w:t>
      </w:r>
    </w:p>
    <w:p>
      <w:pPr>
        <w:spacing w:after="120" w:line="276"/>
        <w:jc w:val="both"/>
      </w:pPr>
      <w:r>
        <w:rPr>
          <w:rFonts w:ascii="Barlow Semi Condensed" w:cs="Barlow Semi Condensed" w:eastAsia="Barlow Semi Condensed" w:hAnsi="Barlow Semi Condensed"/>
          <w:b/>
          <w:bCs/>
          <w:sz w:val="24"/>
          <w:szCs w:val="24"/>
        </w:rPr>
        <w:t xml:space="preserve">2511 · Il rinvio alla scheda d'origine.</w:t>
      </w:r>
      <w:r>
        <w:rPr>
          <w:rFonts w:ascii="Barlow Semi Condensed" w:cs="Barlow Semi Condensed" w:eastAsia="Barlow Semi Condensed" w:hAnsi="Barlow Semi Condensed"/>
          <w:sz w:val="24"/>
          <w:szCs w:val="24"/>
        </w:rPr>
        <w:t xml:space="preserve"> Ciascun nome dell'elenco degli amnistiati reca il rinvio alla scheda da cui proviene. Regola trasferibile senza modifiche: ogni proposizione del fascicolo deve portare la propria segnatura, e dove la segnatura manca la proposizione non entra in tavola. Le due sedi che il nostro nodo richiede sono note e nominabili — gli atti della Corte d'assise di Roma e quelli della Commissione parlamentare d'inchiesta — e nessuna è stata aperta.</w:t>
      </w:r>
    </w:p>
    <w:p>
      <w:pPr>
        <w:spacing w:after="120" w:line="276"/>
        <w:jc w:val="both"/>
      </w:pPr>
      <w:r>
        <w:rPr>
          <w:rFonts w:ascii="Barlow Semi Condensed" w:cs="Barlow Semi Condensed" w:eastAsia="Barlow Semi Condensed" w:hAnsi="Barlow Semi Condensed"/>
          <w:b/>
          <w:bCs/>
          <w:sz w:val="24"/>
          <w:szCs w:val="24"/>
        </w:rPr>
        <w:t xml:space="preserve">2512 · Il denominatore dichiarato.</w:t>
      </w:r>
      <w:r>
        <w:rPr>
          <w:rFonts w:ascii="Barlow Semi Condensed" w:cs="Barlow Semi Condensed" w:eastAsia="Barlow Semi Condensed" w:hAnsi="Barlow Semi Condensed"/>
          <w:sz w:val="24"/>
          <w:szCs w:val="24"/>
        </w:rPr>
        <w:t xml:space="preserve"> La relazione dichiara il proprio denominatore: millecinquantasei condannati, seicentotrentanove liberati, una cinquantina raccolti. Il fascicolo su questo nome non ha mai dichiarato il proprio. Bersaglio: quantificare il fondo interrogabile — quante buste della collezione dell'Archivio centrale, quanti telegrammi del 1978 nei Central Foreign Policy Files, quante carte ritirate. Senza denominatore «non trovato» è un'impressione; con denominatore diventa una misura.</w:t>
      </w:r>
    </w:p>
    <w:p>
      <w:pPr>
        <w:spacing w:after="120" w:line="276"/>
        <w:jc w:val="both"/>
      </w:pPr>
      <w:r>
        <w:rPr>
          <w:rFonts w:ascii="Barlow Semi Condensed" w:cs="Barlow Semi Condensed" w:eastAsia="Barlow Semi Condensed" w:hAnsi="Barlow Semi Condensed"/>
          <w:b/>
          <w:bCs/>
          <w:sz w:val="24"/>
          <w:szCs w:val="24"/>
        </w:rPr>
        <w:t xml:space="preserve">2513 · Le quattro emende come modello.</w:t>
      </w:r>
      <w:r>
        <w:rPr>
          <w:rFonts w:ascii="Barlow Semi Condensed" w:cs="Barlow Semi Condensed" w:eastAsia="Barlow Semi Condensed" w:hAnsi="Barlow Semi Condensed"/>
          <w:sz w:val="24"/>
          <w:szCs w:val="24"/>
        </w:rPr>
        <w:t xml:space="preserve"> La seconda sezione elenca quattro proposizioni del corpus guevariano rivelatesi non sorrette dalle fonti, e le corregge dichiarandole una per una. Il fascicolo su questo nome ha prodotto un numero paragonabile di precisazioni sul solo nodo dell'avvertimento. Il modello da imitare non è la severità, è la forma: lezione originaria, lezione corretta, ragione dell'intervento, tutte scritte, perché la correzione lasci traccia invece di cancellarla.</w:t>
      </w:r>
    </w:p>
    <w:p>
      <w:pPr>
        <w:spacing w:after="120" w:line="276"/>
        <w:jc w:val="both"/>
      </w:pPr>
      <w:r>
        <w:rPr>
          <w:rFonts w:ascii="Barlow Semi Condensed" w:cs="Barlow Semi Condensed" w:eastAsia="Barlow Semi Condensed" w:hAnsi="Barlow Semi Condensed"/>
          <w:b/>
          <w:bCs/>
          <w:sz w:val="24"/>
          <w:szCs w:val="24"/>
        </w:rPr>
        <w:t xml:space="preserve">2514 · L'incontro che non ebbe luogo.</w:t>
      </w:r>
      <w:r>
        <w:rPr>
          <w:rFonts w:ascii="Barlow Semi Condensed" w:cs="Barlow Semi Condensed" w:eastAsia="Barlow Semi Condensed" w:hAnsi="Barlow Semi Condensed"/>
          <w:sz w:val="24"/>
          <w:szCs w:val="24"/>
        </w:rPr>
        <w:t xml:space="preserve"> La prima emenda riguarda un incontro riservato con Malcolm X che non si tenne: vi fu invito, rinuncia per ragioni di sicurezza, un messaggio letto in sala. È l'omologia più esatta che il territorio offra. Nel nostro caso il colloquio si tenne davvero, ma non contiene ciò che gli si attribuisce. Due errori speculari con la stessa causa: la vulgata riempie di contenuto plausibile lo spazio che il documento lascia.</w:t>
      </w:r>
    </w:p>
    <w:p>
      <w:pPr>
        <w:spacing w:after="120" w:line="276"/>
        <w:jc w:val="both"/>
      </w:pPr>
      <w:r>
        <w:rPr>
          <w:rFonts w:ascii="Barlow Semi Condensed" w:cs="Barlow Semi Condensed" w:eastAsia="Barlow Semi Condensed" w:hAnsi="Barlow Semi Condensed"/>
          <w:b/>
          <w:bCs/>
          <w:sz w:val="24"/>
          <w:szCs w:val="24"/>
        </w:rPr>
        <w:t xml:space="preserve">2515 · I due Orfila, confusione di persona.</w:t>
      </w:r>
      <w:r>
        <w:rPr>
          <w:rFonts w:ascii="Barlow Semi Condensed" w:cs="Barlow Semi Condensed" w:eastAsia="Barlow Semi Condensed" w:hAnsi="Barlow Semi Condensed"/>
          <w:sz w:val="24"/>
          <w:szCs w:val="24"/>
        </w:rPr>
        <w:t xml:space="preserve"> La seconda emenda scioglie una confusione fra due persone che condividevano il solo cognome, e ne fa discendere la caduta di un'affermazione intera. Il territorio consegna così, per esperienza propria, il rischio che apre il fascicolo maggiore: la variante onomastica fra Heinz, Henry e la forma erronea Harry. Un nome sbagliato non produce un dettaglio sbagliato, produce un fatto inesistente e verosimile.</w:t>
      </w:r>
    </w:p>
    <w:p>
      <w:pPr>
        <w:spacing w:after="120" w:line="276"/>
        <w:jc w:val="both"/>
      </w:pPr>
      <w:r>
        <w:rPr>
          <w:rFonts w:ascii="Barlow Semi Condensed" w:cs="Barlow Semi Condensed" w:eastAsia="Barlow Semi Condensed" w:hAnsi="Barlow Semi Condensed"/>
          <w:b/>
          <w:bCs/>
          <w:sz w:val="24"/>
          <w:szCs w:val="24"/>
        </w:rPr>
        <w:t xml:space="preserve">2516 · L'età attribuita alla persona sbagliata.</w:t>
      </w:r>
      <w:r>
        <w:rPr>
          <w:rFonts w:ascii="Barlow Semi Condensed" w:cs="Barlow Semi Condensed" w:eastAsia="Barlow Semi Condensed" w:hAnsi="Barlow Semi Condensed"/>
          <w:sz w:val="24"/>
          <w:szCs w:val="24"/>
        </w:rPr>
        <w:t xml:space="preserve"> La terza emenda accerta che l'età indicata per Fidel Castro nell'incontro del luglio 1955 era in realtà quella di Guevara. È il travaso di un dato da un soggetto all'altro, l'errore che nel nostro fascicolo assume la forma della frase assegnata a una sede diversa da quella in cui fu resa: l'audizione parlamentare del 1980 e la deposizione giudiziaria del 1982 sono continuamente scambiate.</w:t>
      </w:r>
    </w:p>
    <w:p>
      <w:pPr>
        <w:spacing w:after="120" w:line="276"/>
        <w:jc w:val="both"/>
      </w:pPr>
      <w:r>
        <w:rPr>
          <w:rFonts w:ascii="Barlow Semi Condensed" w:cs="Barlow Semi Condensed" w:eastAsia="Barlow Semi Condensed" w:hAnsi="Barlow Semi Condensed"/>
          <w:b/>
          <w:bCs/>
          <w:sz w:val="24"/>
          <w:szCs w:val="24"/>
        </w:rPr>
        <w:t xml:space="preserve">2517 · La verifica di calendario.</w:t>
      </w:r>
      <w:r>
        <w:rPr>
          <w:rFonts w:ascii="Barlow Semi Condensed" w:cs="Barlow Semi Condensed" w:eastAsia="Barlow Semi Condensed" w:hAnsi="Barlow Semi Condensed"/>
          <w:sz w:val="24"/>
          <w:szCs w:val="24"/>
        </w:rPr>
        <w:t xml:space="preserve"> La quarta emenda cade su una contemporaneità impossibile fra due cariche, l'una cessata tre anni prima dell'altra. La verifica di calendario è la più economica che esista e la meno praticata. Applicata qui, chiude in una riga ogni ipotesi di intervento istituzionale nei cinquantacinque giorni: le due date di cessazione, 3 novembre 1975 e 20 gennaio 1977, precedono entrambe il 16 marzo 1978.</w:t>
      </w:r>
    </w:p>
    <w:p>
      <w:pPr>
        <w:spacing w:after="120" w:line="276"/>
        <w:jc w:val="both"/>
      </w:pPr>
      <w:r>
        <w:rPr>
          <w:rFonts w:ascii="Barlow Semi Condensed" w:cs="Barlow Semi Condensed" w:eastAsia="Barlow Semi Condensed" w:hAnsi="Barlow Semi Condensed"/>
          <w:b/>
          <w:bCs/>
          <w:sz w:val="24"/>
          <w:szCs w:val="24"/>
        </w:rPr>
        <w:t xml:space="preserve">2518 · Nove imprecisioni non espunte.</w:t>
      </w:r>
      <w:r>
        <w:rPr>
          <w:rFonts w:ascii="Barlow Semi Condensed" w:cs="Barlow Semi Condensed" w:eastAsia="Barlow Semi Condensed" w:hAnsi="Barlow Semi Condensed"/>
          <w:sz w:val="24"/>
          <w:szCs w:val="24"/>
        </w:rPr>
        <w:t xml:space="preserve"> Alle quattro emende maggiori la relazione ne affianca nove minori, e per queste sceglie non l'espunzione ma l'attribuzione esplicita alla fonte che le reca. La distinzione è capitale per il nostro nodo: la testimonianza contestata non si cancella dal corpus, si attribuisce a chi la rese, con la data, la sede e la smentita accanto. Tacere una notizia incerta e dichiararne l'incertezza sono operazioni opposte.</w:t>
      </w:r>
    </w:p>
    <w:p>
      <w:pPr>
        <w:spacing w:after="120" w:line="276"/>
        <w:jc w:val="both"/>
      </w:pPr>
      <w:r>
        <w:rPr>
          <w:rFonts w:ascii="Barlow Semi Condensed" w:cs="Barlow Semi Condensed" w:eastAsia="Barlow Semi Condensed" w:hAnsi="Barlow Semi Condensed"/>
          <w:b/>
          <w:bCs/>
          <w:sz w:val="24"/>
          <w:szCs w:val="24"/>
        </w:rPr>
        <w:t xml:space="preserve">2519 · Il modulo della nota di emenda.</w:t>
      </w:r>
      <w:r>
        <w:rPr>
          <w:rFonts w:ascii="Barlow Semi Condensed" w:cs="Barlow Semi Condensed" w:eastAsia="Barlow Semi Condensed" w:hAnsi="Barlow Semi Condensed"/>
          <w:sz w:val="24"/>
          <w:szCs w:val="24"/>
        </w:rPr>
        <w:t xml:space="preserve"> Il modulo prescritto dalla relazione ha tre campi e nessuno è facoltativo: che cosa si leggeva, che cosa si legge, perché si è intervenuti. Bersaglio operativo: riscrivere in questo formato le precisazioni già acquisite sul nodo M-5, che oggi vivono come note aggiunte a un testo non riscritto. Il formato non aggiunge conoscenza; rende però verificabile il tasso di errore dell'opera.</w:t>
      </w:r>
    </w:p>
    <w:p>
      <w:pPr>
        <w:spacing w:after="120" w:line="276"/>
        <w:jc w:val="both"/>
      </w:pPr>
      <w:r>
        <w:rPr>
          <w:rFonts w:ascii="Barlow Semi Condensed" w:cs="Barlow Semi Condensed" w:eastAsia="Barlow Semi Condensed" w:hAnsi="Barlow Semi Condensed"/>
          <w:b/>
          <w:bCs/>
          <w:sz w:val="24"/>
          <w:szCs w:val="24"/>
        </w:rPr>
        <w:t xml:space="preserve">2520 · Undici documenti ricondotti a cinque.</w:t>
      </w:r>
      <w:r>
        <w:rPr>
          <w:rFonts w:ascii="Barlow Semi Condensed" w:cs="Barlow Semi Condensed" w:eastAsia="Barlow Semi Condensed" w:hAnsi="Barlow Semi Condensed"/>
          <w:sz w:val="24"/>
          <w:szCs w:val="24"/>
        </w:rPr>
        <w:t xml:space="preserve"> Undici documenti del lotto riservato si sono rivelati cinque, essendo il resto duplicazione: così riferisce la terza sezione. È la stessa operazione condotta sulla circolazione dell'episodio, dove decine di riprese si riducono a un lancio solo. La deduplicazione è una tecnica, non una tesi: si esegue prima di contare, e chi conta prima di eseguirla misura copie credendo di misurare testimoni.</w:t>
      </w:r>
    </w:p>
    <w:p>
      <w:pPr>
        <w:spacing w:after="120" w:line="276"/>
        <w:jc w:val="both"/>
      </w:pPr>
      <w:r>
        <w:rPr>
          <w:rFonts w:ascii="Barlow Semi Condensed" w:cs="Barlow Semi Condensed" w:eastAsia="Barlow Semi Condensed" w:hAnsi="Barlow Semi Condensed"/>
          <w:b/>
          <w:bCs/>
          <w:sz w:val="24"/>
          <w:szCs w:val="24"/>
        </w:rPr>
        <w:t xml:space="preserve">2521 · La catena verificata nel solo punto possibile.</w:t>
      </w:r>
      <w:r>
        <w:rPr>
          <w:rFonts w:ascii="Barlow Semi Condensed" w:cs="Barlow Semi Condensed" w:eastAsia="Barlow Semi Condensed" w:hAnsi="Barlow Semi Condensed"/>
          <w:sz w:val="24"/>
          <w:szCs w:val="24"/>
        </w:rPr>
        <w:t xml:space="preserve"> Verificata la catena di custodia nell'unico punto in cui la verifica era possibile, e trovata esatta: così riferisce la terza sezione. La formula è impeccabile e va imitata, perché dice il risultato e insieme il perimetro del risultato. Sul nostro versante la catena verificabile è una sola: dal file 1552802 della Ford Library al documento 350 del volume FRUS, due esemplari collazionabili.</w:t>
      </w:r>
    </w:p>
    <w:p>
      <w:pPr>
        <w:spacing w:after="120" w:line="276"/>
        <w:jc w:val="both"/>
      </w:pPr>
      <w:r>
        <w:rPr>
          <w:rFonts w:ascii="Barlow Semi Condensed" w:cs="Barlow Semi Condensed" w:eastAsia="Barlow Semi Condensed" w:hAnsi="Barlow Semi Condensed"/>
          <w:b/>
          <w:bCs/>
          <w:sz w:val="24"/>
          <w:szCs w:val="24"/>
        </w:rPr>
        <w:t xml:space="preserve">2522 · Titoli restituiti senza toccare il testo.</w:t>
      </w:r>
      <w:r>
        <w:rPr>
          <w:rFonts w:ascii="Barlow Semi Condensed" w:cs="Barlow Semi Condensed" w:eastAsia="Barlow Semi Condensed" w:hAnsi="Barlow Semi Condensed"/>
          <w:sz w:val="24"/>
          <w:szCs w:val="24"/>
        </w:rPr>
        <w:t xml:space="preserve"> L'ultima operazione tecnica riferita — una struttura di titoli data a centosessantatremila parole che ne erano prive, senza che una sola parola fosse mutata — fissa il confine fra intervento formale e intervento sostanziale. Il fascicolo lo attraverserebbe nel momento in cui, ordinando i blocchi per serie, mutasse il grado di uno di essi. L'ordinamento è forma, il grado è sostanza, e una campagna territoriale non promuove nulla.</w:t>
      </w:r>
    </w:p>
    <w:p>
      <w:pPr>
        <w:spacing w:after="120" w:line="276"/>
        <w:jc w:val="both"/>
      </w:pPr>
      <w:r>
        <w:rPr>
          <w:rFonts w:ascii="Barlow Semi Condensed" w:cs="Barlow Semi Condensed" w:eastAsia="Barlow Semi Condensed" w:hAnsi="Barlow Semi Condensed"/>
          <w:b/>
          <w:bCs/>
          <w:sz w:val="24"/>
          <w:szCs w:val="24"/>
        </w:rPr>
        <w:t xml:space="preserve">2523 · I rinvii che non reggerebbero.</w:t>
      </w:r>
      <w:r>
        <w:rPr>
          <w:rFonts w:ascii="Barlow Semi Condensed" w:cs="Barlow Semi Condensed" w:eastAsia="Barlow Semi Condensed" w:hAnsi="Barlow Semi Condensed"/>
          <w:sz w:val="24"/>
          <w:szCs w:val="24"/>
        </w:rPr>
        <w:t xml:space="preserve"> La quarta sezione lascia aperta, fra le tre questioni residue, la sostituzione di taluni rinvii che per la loro provenienza non reggerebbero a un uso accademico. Accertamento verificabile: nell'apparato bibliografico dell'opera integrale il nodo dell'avvertimento poggia sulle note cinquanta e cinquantuno, entrambe di provenienza giornalistica o divulgativa. La questione aperta, dichiarata in astratto dalla relazione, ha dunque in concreto questo indirizzo.</w:t>
      </w:r>
    </w:p>
    <w:p>
      <w:pPr>
        <w:spacing w:after="120" w:line="276"/>
        <w:jc w:val="both"/>
      </w:pPr>
      <w:r>
        <w:rPr>
          <w:rFonts w:ascii="Barlow Semi Condensed" w:cs="Barlow Semi Condensed" w:eastAsia="Barlow Semi Condensed" w:hAnsi="Barlow Semi Condensed"/>
          <w:b/>
          <w:bCs/>
          <w:sz w:val="24"/>
          <w:szCs w:val="24"/>
        </w:rPr>
        <w:t xml:space="preserve">2524 · Che cosa sostituirebbe la prima nota.</w:t>
      </w:r>
      <w:r>
        <w:rPr>
          <w:rFonts w:ascii="Barlow Semi Condensed" w:cs="Barlow Semi Condensed" w:eastAsia="Barlow Semi Condensed" w:hAnsi="Barlow Semi Condensed"/>
          <w:sz w:val="24"/>
          <w:szCs w:val="24"/>
        </w:rPr>
        <w:t xml:space="preserve"> La nota cinquanta rinvia a una pagina divulgativa sulle testimonianze della vedova e del portavoce. La sostituzione è disponibile e nominabile: il resoconto stenografico integrale dell'audizione del primo agosto 1980 davanti alla Commissione parlamentare d'inchiesta sul caso Moro, conservato negli atti della Camera. Finché la sostituzione non avviene il nodo poggia su una sintesi e non su un verbale, e il grado resta debole.</w:t>
      </w:r>
    </w:p>
    <w:p>
      <w:pPr>
        <w:spacing w:after="120" w:line="276"/>
        <w:jc w:val="both"/>
      </w:pPr>
      <w:r>
        <w:rPr>
          <w:rFonts w:ascii="Barlow Semi Condensed" w:cs="Barlow Semi Condensed" w:eastAsia="Barlow Semi Condensed" w:hAnsi="Barlow Semi Condensed"/>
          <w:b/>
          <w:bCs/>
          <w:sz w:val="24"/>
          <w:szCs w:val="24"/>
        </w:rPr>
        <w:t xml:space="preserve">2525 · Che cosa sostituirebbe la seconda nota.</w:t>
      </w:r>
      <w:r>
        <w:rPr>
          <w:rFonts w:ascii="Barlow Semi Condensed" w:cs="Barlow Semi Condensed" w:eastAsia="Barlow Semi Condensed" w:hAnsi="Barlow Semi Condensed"/>
          <w:sz w:val="24"/>
          <w:szCs w:val="24"/>
        </w:rPr>
        <w:t xml:space="preserve"> Alla ripresa giornalistica di un programma televisivo rinvia invece la nota cinquantuno. La sostituzione è parimenti nominabile: il verbale d'udienza della deposizione resa alla Corte d'assise di Roma nel novembre 1982, di cui resta contesa perfino la data, indicata al giorno dieci dalla maggioranza delle fonti e al quindici da una. Una divergenza sul giorno di una deposizione misura, da sola, la distanza dagli atti.</w:t>
      </w:r>
    </w:p>
    <w:p>
      <w:pPr>
        <w:spacing w:after="120" w:line="276"/>
        <w:jc w:val="both"/>
      </w:pPr>
      <w:r>
        <w:rPr>
          <w:rFonts w:ascii="Barlow Semi Condensed" w:cs="Barlow Semi Condensed" w:eastAsia="Barlow Semi Condensed" w:hAnsi="Barlow Semi Condensed"/>
          <w:b/>
          <w:bCs/>
          <w:sz w:val="24"/>
          <w:szCs w:val="24"/>
        </w:rPr>
        <w:t xml:space="preserve">2526 · Le due fonti che il committente esclude (serie XXXIII).</w:t>
      </w:r>
      <w:r>
        <w:rPr>
          <w:rFonts w:ascii="Barlow Semi Condensed" w:cs="Barlow Semi Condensed" w:eastAsia="Barlow Semi Condensed" w:hAnsi="Barlow Semi Condensed"/>
          <w:sz w:val="24"/>
          <w:szCs w:val="24"/>
        </w:rPr>
        <w:t xml:space="preserve"> Il mandato di questa campagna esclude espressamente due testate dal novero delle fonti citabili. La regola si somma a quella della quarta sezione della relazione e produce un criterio unico: non si cita ciò che il committente esclude, e non si fonda ciò che la provenienza non regge. Il residuo citabile per il nostro nodo è quindi piccolissimo, e coincide quasi per intero con gli atti non ancora letti.</w:t>
      </w:r>
    </w:p>
    <w:p>
      <w:pPr>
        <w:spacing w:after="120" w:line="276"/>
        <w:jc w:val="both"/>
      </w:pPr>
      <w:r>
        <w:rPr>
          <w:rFonts w:ascii="Barlow Semi Condensed" w:cs="Barlow Semi Condensed" w:eastAsia="Barlow Semi Condensed" w:hAnsi="Barlow Semi Condensed"/>
          <w:b/>
          <w:bCs/>
          <w:sz w:val="24"/>
          <w:szCs w:val="24"/>
        </w:rPr>
        <w:t xml:space="preserve">2527 · Il repertorio contro l'elenco.</w:t>
      </w:r>
      <w:r>
        <w:rPr>
          <w:rFonts w:ascii="Barlow Semi Condensed" w:cs="Barlow Semi Condensed" w:eastAsia="Barlow Semi Condensed" w:hAnsi="Barlow Semi Condensed"/>
          <w:sz w:val="24"/>
          <w:szCs w:val="24"/>
        </w:rPr>
        <w:t xml:space="preserve"> Distingue un repertorio da un elenco, secondo la chiusa della relazione, soltanto la pazienza del riscontro. Applicato a questa serie il criterio è severo: settanta blocchi che non nominassero sedi, segnature e criteri di smentita sarebbero un elenco. Ciò che li rende repertorio non è il numero, è che ciascuno dica dove si verifica e che cosa si troverebbe se l'ipotesi fosse falsa.</w:t>
      </w:r>
    </w:p>
    <w:p>
      <w:pPr>
        <w:spacing w:after="120" w:line="276"/>
        <w:jc w:val="both"/>
      </w:pPr>
      <w:r>
        <w:rPr>
          <w:rFonts w:ascii="Barlow Semi Condensed" w:cs="Barlow Semi Condensed" w:eastAsia="Barlow Semi Condensed" w:hAnsi="Barlow Semi Condensed"/>
          <w:b/>
          <w:bCs/>
          <w:sz w:val="24"/>
          <w:szCs w:val="24"/>
        </w:rPr>
        <w:t xml:space="preserve">2528 · Il bersaglio di smentita del nodo.</w:t>
      </w:r>
      <w:r>
        <w:rPr>
          <w:rFonts w:ascii="Barlow Semi Condensed" w:cs="Barlow Semi Condensed" w:eastAsia="Barlow Semi Condensed" w:hAnsi="Barlow Semi Condensed"/>
          <w:sz w:val="24"/>
          <w:szCs w:val="24"/>
        </w:rPr>
        <w:t xml:space="preserve"> Che cosa falsificherebbe la posizione qui tenuta, cioè che il nesso non è provato. Un solo genere di documento: un atto di provenienza — italiano, statunitense o alleato — che nomini la controparte e leghi una parola a una direttiva. Se il verbale del 1982 e il resoconto del 1980 confermassero la formulazione e le circostanze, il grado salirebbe verso un B pieno; se li smentissero, scenderebbe.</w:t>
      </w:r>
    </w:p>
    <w:p>
      <w:pPr>
        <w:spacing w:after="120" w:line="276"/>
        <w:jc w:val="both"/>
      </w:pPr>
      <w:r>
        <w:rPr>
          <w:rFonts w:ascii="Barlow Semi Condensed" w:cs="Barlow Semi Condensed" w:eastAsia="Barlow Semi Condensed" w:hAnsi="Barlow Semi Condensed"/>
          <w:b/>
          <w:bCs/>
          <w:sz w:val="24"/>
          <w:szCs w:val="24"/>
        </w:rPr>
        <w:t xml:space="preserve">2529 · Lo Stato Zero del piano internazionale.</w:t>
      </w:r>
      <w:r>
        <w:rPr>
          <w:rFonts w:ascii="Barlow Semi Condensed" w:cs="Barlow Semi Condensed" w:eastAsia="Barlow Semi Condensed" w:hAnsi="Barlow Semi Condensed"/>
          <w:sz w:val="24"/>
          <w:szCs w:val="24"/>
        </w:rPr>
        <w:t xml:space="preserve"> Accertamento negativo formalizzato: l'apparato non contiene alcuna riga il cui oggetto sia il versante internazionale come catena di comando, mentre ne contiene tre sul versante internazionale come contesto. Ciò che chiuderebbe la lacuna non è un archivio ma una redazione: una riga aggiunta, con grado Ø e la colonna di smentita compilata. È lacuna editoriale, non documentale, e si chiude con un atto di scrittura.</w:t>
      </w:r>
    </w:p>
    <w:p>
      <w:pPr>
        <w:spacing w:after="120" w:line="276"/>
        <w:jc w:val="both"/>
      </w:pPr>
      <w:r>
        <w:rPr>
          <w:rFonts w:ascii="Barlow Semi Condensed" w:cs="Barlow Semi Condensed" w:eastAsia="Barlow Semi Condensed" w:hAnsi="Barlow Semi Condensed"/>
          <w:b/>
          <w:bCs/>
          <w:sz w:val="24"/>
          <w:szCs w:val="24"/>
        </w:rPr>
        <w:t xml:space="preserve">2530 · La relazione non verificò fonti americane.</w:t>
      </w:r>
      <w:r>
        <w:rPr>
          <w:rFonts w:ascii="Barlow Semi Condensed" w:cs="Barlow Semi Condensed" w:eastAsia="Barlow Semi Condensed" w:hAnsi="Barlow Semi Condensed"/>
          <w:sz w:val="24"/>
          <w:szCs w:val="24"/>
        </w:rPr>
        <w:t xml:space="preserve"> Secondo Stato Zero del territorio: la relazione elenca le verifiche condotte — sul registro degli amnistiati, sul corpus guevariano, sul lotto riservato — e nessuna di esse tocca fondi statunitensi. Non è omissione, è perimetro: quei lavori riguardavano il Tribunale Speciale e la biografia guevariana. Va detto perché impedisce di leggere il silenzio del documento come esito di una ricerca che non fu mai avviata.</w:t>
      </w:r>
    </w:p>
    <w:p>
      <w:pPr>
        <w:spacing w:after="120" w:line="276"/>
        <w:jc w:val="both"/>
      </w:pPr>
      <w:r>
        <w:rPr>
          <w:rFonts w:ascii="Barlow Semi Condensed" w:cs="Barlow Semi Condensed" w:eastAsia="Barlow Semi Condensed" w:hAnsi="Barlow Semi Condensed"/>
          <w:b/>
          <w:bCs/>
          <w:sz w:val="24"/>
          <w:szCs w:val="24"/>
        </w:rPr>
        <w:t xml:space="preserve">2531 · La sede della riga mancante.</w:t>
      </w:r>
      <w:r>
        <w:rPr>
          <w:rFonts w:ascii="Barlow Semi Condensed" w:cs="Barlow Semi Condensed" w:eastAsia="Barlow Semi Condensed" w:hAnsi="Barlow Semi Condensed"/>
          <w:sz w:val="24"/>
          <w:szCs w:val="24"/>
        </w:rPr>
        <w:t xml:space="preserve"> Quesito d'archivio primo, e il più oneroso: spoglio della collezione «Stragi (Direttiva Renzi)» presso la Sala delle raccolte speciali dell'Archivio centrale dello Stato, con chiave onomastica dedicata e verbale degli esiti a vuoto. Il fondo raccoglie i versamenti disposti dalla direttiva del 22 aprile 2014 ed estesi al caso Moro il 2 dicembre 2014. Nessuna campagna lo ha interrogato con questa chiave.</w:t>
      </w:r>
    </w:p>
    <w:p>
      <w:pPr>
        <w:spacing w:after="120" w:line="276"/>
        <w:jc w:val="both"/>
      </w:pPr>
      <w:r>
        <w:rPr>
          <w:rFonts w:ascii="Barlow Semi Condensed" w:cs="Barlow Semi Condensed" w:eastAsia="Barlow Semi Condensed" w:hAnsi="Barlow Semi Condensed"/>
          <w:b/>
          <w:bCs/>
          <w:sz w:val="24"/>
          <w:szCs w:val="24"/>
        </w:rPr>
        <w:t xml:space="preserve">2532 · Il fondo personale di Aldo Moro.</w:t>
      </w:r>
      <w:r>
        <w:rPr>
          <w:rFonts w:ascii="Barlow Semi Condensed" w:cs="Barlow Semi Condensed" w:eastAsia="Barlow Semi Condensed" w:hAnsi="Barlow Semi Condensed"/>
          <w:sz w:val="24"/>
          <w:szCs w:val="24"/>
        </w:rPr>
        <w:t xml:space="preserve"> Duecentodiciotto buste per gli anni 1953-1978: il fondo personale Aldo Moro all'Archivio centrale dello Stato va interrogato sulla trasferta americana del settembre 1974, cercando appunti preparatori, resoconti di gabinetto, corrispondenza successiva. Se un appunto italiano di quel viaggio esiste, è lì o alla Farnesina. Se non esiste, l'assenza va verbalizzata con la segnatura delle buste esaminate, non con una frase generale.</w:t>
      </w:r>
    </w:p>
    <w:p>
      <w:pPr>
        <w:spacing w:after="120" w:line="276"/>
        <w:jc w:val="both"/>
      </w:pPr>
      <w:r>
        <w:rPr>
          <w:rFonts w:ascii="Barlow Semi Condensed" w:cs="Barlow Semi Condensed" w:eastAsia="Barlow Semi Condensed" w:hAnsi="Barlow Semi Condensed"/>
          <w:b/>
          <w:bCs/>
          <w:sz w:val="24"/>
          <w:szCs w:val="24"/>
        </w:rPr>
        <w:t xml:space="preserve">2533 · Le carte della famiglia.</w:t>
      </w:r>
      <w:r>
        <w:rPr>
          <w:rFonts w:ascii="Barlow Semi Condensed" w:cs="Barlow Semi Condensed" w:eastAsia="Barlow Semi Condensed" w:hAnsi="Barlow Semi Condensed"/>
          <w:sz w:val="24"/>
          <w:szCs w:val="24"/>
        </w:rPr>
        <w:t xml:space="preserve"> Terzo bersaglio: il fondo familiare Moro presso il Centro documentazione Archivio Flamigni, a Roma alla Garbatella, con la serie «Caso Moro» inventariata. Oggetto della ricerca non è la frase, è la sua trasmissione domestica: quando la vedova ne parlò per la prima volta, a chi, con quali parole. Una testimonianza indiretta indica sempre una fonte anteriore, e quella fonte lascia quasi sempre traccia scritta.</w:t>
      </w:r>
    </w:p>
    <w:p>
      <w:pPr>
        <w:spacing w:after="120" w:line="276"/>
        <w:jc w:val="both"/>
      </w:pPr>
      <w:r>
        <w:rPr>
          <w:rFonts w:ascii="Barlow Semi Condensed" w:cs="Barlow Semi Condensed" w:eastAsia="Barlow Semi Condensed" w:hAnsi="Barlow Semi Condensed"/>
          <w:b/>
          <w:bCs/>
          <w:sz w:val="24"/>
          <w:szCs w:val="24"/>
        </w:rPr>
        <w:t xml:space="preserve">2534 · Gli atti della Commissione.</w:t>
      </w:r>
      <w:r>
        <w:rPr>
          <w:rFonts w:ascii="Barlow Semi Condensed" w:cs="Barlow Semi Condensed" w:eastAsia="Barlow Semi Condensed" w:hAnsi="Barlow Semi Condensed"/>
          <w:sz w:val="24"/>
          <w:szCs w:val="24"/>
        </w:rPr>
        <w:t xml:space="preserve"> Il meno costoso di tutti i quesiti sta all'Archivio storico della Camera dei deputati: gli atti della Commissione parlamentare d'inchiesta sul rapimento e la morte di Aldo Moro, per il resoconto stenografico del primo agosto 1980. Una fonte indica l'undici, verosimilmente per lettura errata del primo. La divergenza si chiude aprendo il volume, ed è la verifica a più alto rendimento dell'intera serie.</w:t>
      </w:r>
    </w:p>
    <w:p>
      <w:pPr>
        <w:spacing w:after="120" w:line="276"/>
        <w:jc w:val="both"/>
      </w:pPr>
      <w:r>
        <w:rPr>
          <w:rFonts w:ascii="Barlow Semi Condensed" w:cs="Barlow Semi Condensed" w:eastAsia="Barlow Semi Condensed" w:hAnsi="Barlow Semi Condensed"/>
          <w:b/>
          <w:bCs/>
          <w:sz w:val="24"/>
          <w:szCs w:val="24"/>
        </w:rPr>
        <w:t xml:space="preserve">2535 · Due esemplari, un solo testo.</w:t>
      </w:r>
      <w:r>
        <w:rPr>
          <w:rFonts w:ascii="Barlow Semi Condensed" w:cs="Barlow Semi Condensed" w:eastAsia="Barlow Semi Condensed" w:hAnsi="Barlow Semi Condensed"/>
          <w:sz w:val="24"/>
          <w:szCs w:val="24"/>
        </w:rPr>
        <w:t xml:space="preserve"> Il memorandum del 25 settembre 1974 esiste in due esemplari collazionabili, il file 1552802 della Gerald R. Ford Presidential Library e il documento 350 del FRUS 1969-1976, volume E-15, parte seconda, seconda edizione riveduta. La collazione è il solo modo di accertare che l'edizione non abbia normalizzato l'originale, ed è operazione di poche ore. Nessuna serie del corpus risulta averla eseguita.</w:t>
      </w:r>
    </w:p>
    <w:p>
      <w:pPr>
        <w:spacing w:after="120" w:line="276"/>
        <w:jc w:val="both"/>
      </w:pPr>
      <w:r>
        <w:rPr>
          <w:rFonts w:ascii="Barlow Semi Condensed" w:cs="Barlow Semi Condensed" w:eastAsia="Barlow Semi Condensed" w:hAnsi="Barlow Semi Condensed"/>
          <w:b/>
          <w:bCs/>
          <w:sz w:val="24"/>
          <w:szCs w:val="24"/>
        </w:rPr>
        <w:t xml:space="preserve">2536 · Il denominatore estero.</w:t>
      </w:r>
      <w:r>
        <w:rPr>
          <w:rFonts w:ascii="Barlow Semi Condensed" w:cs="Barlow Semi Condensed" w:eastAsia="Barlow Semi Condensed" w:hAnsi="Barlow Semi Condensed"/>
          <w:sz w:val="24"/>
          <w:szCs w:val="24"/>
        </w:rPr>
        <w:t xml:space="preserve"> Ai National Archives di College Park i Central Foreign Policy Files vanno interrogati con l'Access to Archival Databases per i telegrammi del 1978, e le withdrawal cards censite: il corpus le stima in circa quattrocentosettantaquattro atti di origine alleata trattenuti. È il numero che trasforma un «non trovato» in una frazione dichiarata, e senza il quale l'esito negativo resta impressionistico.</w:t>
      </w:r>
    </w:p>
    <w:p>
      <w:pPr>
        <w:spacing w:after="120" w:line="276"/>
        <w:jc w:val="both"/>
      </w:pPr>
      <w:r>
        <w:rPr>
          <w:rFonts w:ascii="Barlow Semi Condensed" w:cs="Barlow Semi Condensed" w:eastAsia="Barlow Semi Condensed" w:hAnsi="Barlow Semi Condensed"/>
          <w:b/>
          <w:bCs/>
          <w:sz w:val="24"/>
          <w:szCs w:val="24"/>
        </w:rPr>
        <w:t xml:space="preserve">2537 · Il 1978 non è il 1974.</w:t>
      </w:r>
      <w:r>
        <w:rPr>
          <w:rFonts w:ascii="Barlow Semi Condensed" w:cs="Barlow Semi Condensed" w:eastAsia="Barlow Semi Condensed" w:hAnsi="Barlow Semi Condensed"/>
          <w:sz w:val="24"/>
          <w:szCs w:val="24"/>
        </w:rPr>
        <w:t xml:space="preserve"> Alla Jimmy Carter Presidential Library il Country File italiano della serie Brzezinski copre gli anni 1977-1981 ed è la sede propria dei cinquantacinque giorni. Chi vi cerchi il nome di questa serie cerca un privato cittadino dentro carte di governo. L'eventuale ricorrenza avrebbe perciò valore particolare, e andrebbe letta per ciò che è: una menzione, non una posizione, e tanto meno una funzione.</w:t>
      </w:r>
    </w:p>
    <w:p>
      <w:pPr>
        <w:spacing w:after="120" w:line="276"/>
        <w:jc w:val="both"/>
      </w:pPr>
      <w:r>
        <w:rPr>
          <w:rFonts w:ascii="Barlow Semi Condensed" w:cs="Barlow Semi Condensed" w:eastAsia="Barlow Semi Condensed" w:hAnsi="Barlow Semi Condensed"/>
          <w:b/>
          <w:bCs/>
          <w:sz w:val="24"/>
          <w:szCs w:val="24"/>
        </w:rPr>
        <w:t xml:space="preserve">2538 · La lente non entra nella colonna.</w:t>
      </w:r>
      <w:r>
        <w:rPr>
          <w:rFonts w:ascii="Barlow Semi Condensed" w:cs="Barlow Semi Condensed" w:eastAsia="Barlow Semi Condensed" w:hAnsi="Barlow Semi Condensed"/>
          <w:sz w:val="24"/>
          <w:szCs w:val="24"/>
        </w:rPr>
        <w:t xml:space="preserve"> Regola di chiusura sull'apparato: la figura genetica che governa l'intera opera va collocata fra le voci di metodo e non fra quelle di grado. L'apparato riserva a tale scopo il segno M e lascia il trattino nella colonna della smentita. Il giorno in cui una metafora comparisse in una riga di grado A o B, l'indice dei gradi sarebbe diventato un indice delle idee.</w:t>
      </w:r>
    </w:p>
    <w:p>
      <w:pPr>
        <w:spacing w:after="120" w:line="276"/>
        <w:jc w:val="both"/>
      </w:pPr>
      <w:r>
        <w:rPr>
          <w:rFonts w:ascii="Barlow Semi Condensed" w:cs="Barlow Semi Condensed" w:eastAsia="Barlow Semi Condensed" w:hAnsi="Barlow Semi Condensed"/>
          <w:b/>
          <w:bCs/>
          <w:sz w:val="24"/>
          <w:szCs w:val="24"/>
        </w:rPr>
        <w:t xml:space="preserve">2539 · Il conto della serie.</w:t>
      </w:r>
      <w:r>
        <w:rPr>
          <w:rFonts w:ascii="Barlow Semi Condensed" w:cs="Barlow Semi Condensed" w:eastAsia="Barlow Semi Condensed" w:hAnsi="Barlow Semi Condensed"/>
          <w:sz w:val="24"/>
          <w:szCs w:val="24"/>
        </w:rPr>
        <w:t xml:space="preserve"> Bilancio dichiarato, come l'opera esige. Su settanta blocchi i ponti di primo piano fra questo nome e il territorio assegnato sono zero: nessuno dei due documenti lo nomina. Le convergenze di secondo piano sono di forma — la deduplicazione, la correzione per nota, il campione contro il censimento — e riguardano il metodo, non i fatti. Il resto è Stato Zero, con le sedi nominate che lo chiuderebbero.</w:t>
      </w:r>
    </w:p>
    <w:p>
      <w:pPr>
        <w:spacing w:after="120" w:line="276"/>
        <w:jc w:val="both"/>
      </w:pPr>
      <w:r>
        <w:rPr>
          <w:rFonts w:ascii="Barlow Semi Condensed" w:cs="Barlow Semi Condensed" w:eastAsia="Barlow Semi Condensed" w:hAnsi="Barlow Semi Condensed"/>
          <w:b/>
          <w:bCs/>
          <w:sz w:val="24"/>
          <w:szCs w:val="24"/>
        </w:rPr>
        <w:t xml:space="preserve">2540 · Congedo con la clausola dell'apparato.</w:t>
      </w:r>
      <w:r>
        <w:rPr>
          <w:rFonts w:ascii="Barlow Semi Condensed" w:cs="Barlow Semi Condensed" w:eastAsia="Barlow Semi Condensed" w:hAnsi="Barlow Semi Condensed"/>
          <w:sz w:val="24"/>
          <w:szCs w:val="24"/>
        </w:rPr>
        <w:t xml:space="preserve"> Si chiude come l'apparato chiude, ripetendo la clausola che ne governa ogni riga: nessuna persona è qui indicata come responsabile di reato oltre il giudicato definitivo, e per il soggetto di questa serie non esiste giudicato alcuno, non essendo mai stato imputato né processato in alcun Paese. Ciò che la serie ha stabilito è dove guardare; ciò che non ha stabilito resta scritto accanto.</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Serie trentaquattresima — La Farnesina: la ricognizione-madre 1969-1974</w:t>
      </w:r>
    </w:p>
    <w:p>
      <w:pPr>
        <w:spacing w:after="120" w:line="276"/>
        <w:jc w:val="both"/>
      </w:pPr>
      <w:r>
        <w:rPr>
          <w:rFonts w:ascii="Barlow Semi Condensed" w:cs="Barlow Semi Condensed" w:eastAsia="Barlow Semi Condensed" w:hAnsi="Barlow Semi Condensed"/>
          <w:i/>
          <w:iCs/>
          <w:sz w:val="24"/>
          <w:szCs w:val="24"/>
        </w:rPr>
        <w:t xml:space="preserve">Blocchi 2541-2620.</w:t>
      </w:r>
    </w:p>
    <w:p>
      <w:pPr>
        <w:spacing w:after="120" w:line="276"/>
        <w:jc w:val="both"/>
      </w:pPr>
      <w:r>
        <w:rPr>
          <w:rFonts w:ascii="Barlow Semi Condensed" w:cs="Barlow Semi Condensed" w:eastAsia="Barlow Semi Condensed" w:hAnsi="Barlow Semi Condensed"/>
          <w:b/>
          <w:bCs/>
          <w:sz w:val="24"/>
          <w:szCs w:val="24"/>
        </w:rPr>
        <w:t xml:space="preserve">2541 · Statuto della trentaquattresima serie.</w:t>
      </w:r>
      <w:r>
        <w:rPr>
          <w:rFonts w:ascii="Barlow Semi Condensed" w:cs="Barlow Semi Condensed" w:eastAsia="Barlow Semi Condensed" w:hAnsi="Barlow Semi Condensed"/>
          <w:sz w:val="24"/>
          <w:szCs w:val="24"/>
        </w:rPr>
        <w:t xml:space="preserve"> La serie triangola il nome di Henry Kissinger contro un territorio solo: la cartella moro-ministro-esteri, il suo README e la ricognizione-madre in dodici capitoli sul ministero degli Esteri fra il 5 agosto 1969 e il 23 novembre 1974. Ogni blocco è un bersaglio, un accertamento graduato, una regola di lettura o uno Stato Zero con la sede che lo chiuderebbe. Nessuno è un'affermazione libera.</w:t>
      </w:r>
    </w:p>
    <w:p>
      <w:pPr>
        <w:spacing w:after="120" w:line="276"/>
        <w:jc w:val="both"/>
      </w:pPr>
      <w:r>
        <w:rPr>
          <w:rFonts w:ascii="Barlow Semi Condensed" w:cs="Barlow Semi Condensed" w:eastAsia="Barlow Semi Condensed" w:hAnsi="Barlow Semi Condensed"/>
          <w:b/>
          <w:bCs/>
          <w:sz w:val="24"/>
          <w:szCs w:val="24"/>
        </w:rPr>
        <w:t xml:space="preserve">2542 · La catena di custodia del territorio.</w:t>
      </w:r>
      <w:r>
        <w:rPr>
          <w:rFonts w:ascii="Barlow Semi Condensed" w:cs="Barlow Semi Condensed" w:eastAsia="Barlow Semi Condensed" w:hAnsi="Barlow Semi Condensed"/>
          <w:sz w:val="24"/>
          <w:szCs w:val="24"/>
        </w:rPr>
        <w:t xml:space="preserve"> Il manifest SHA-256 della cartella registra la ricognizione-madre con impronta 85d55144e94e4162dc4680ccd62671acf4edfe9eae560613d3e64d6b72b09ebe e col nome del caricamento originario, 04eebf84-Aldo_Moro_Ministro_degli_Esteri_19691974_Ricognizione_Archiv.md. Prima di interrogare un territorio se ne accerta l'identità materiale: il documento su cui questa serie lavora è quello, non una sua parafrasi. La verifica è ripetibile da chiunque e va rifatta a ogni ripresa del lavoro.</w:t>
      </w:r>
    </w:p>
    <w:p>
      <w:pPr>
        <w:spacing w:after="120" w:line="276"/>
        <w:jc w:val="both"/>
      </w:pPr>
      <w:r>
        <w:rPr>
          <w:rFonts w:ascii="Barlow Semi Condensed" w:cs="Barlow Semi Condensed" w:eastAsia="Barlow Semi Condensed" w:hAnsi="Barlow Semi Condensed"/>
          <w:b/>
          <w:bCs/>
          <w:sz w:val="24"/>
          <w:szCs w:val="24"/>
        </w:rPr>
        <w:t xml:space="preserve">2543 · La regola sul nome, qui.</w:t>
      </w:r>
      <w:r>
        <w:rPr>
          <w:rFonts w:ascii="Barlow Semi Condensed" w:cs="Barlow Semi Condensed" w:eastAsia="Barlow Semi Condensed" w:hAnsi="Barlow Semi Condensed"/>
          <w:sz w:val="24"/>
          <w:szCs w:val="24"/>
        </w:rPr>
        <w:t xml:space="preserve"> Henry Kissinger non fu condannato in alcun processo, non fu imputato né processato in alcun Paese. In questo territorio compare come partecipante a un colloquio verbalizzato e come autore di posizioni espresse: nulla di più, e nulla che equivalga a un'imputazione. La regola vale per ogni nome che attraversi la cartella, italiano, spagnolo o americano. Il corpus si ferma al giudicato, e qui non c'è giudicato di alcun genere.</w:t>
      </w:r>
    </w:p>
    <w:p>
      <w:pPr>
        <w:spacing w:after="120" w:line="276"/>
        <w:jc w:val="both"/>
      </w:pPr>
      <w:r>
        <w:rPr>
          <w:rFonts w:ascii="Barlow Semi Condensed" w:cs="Barlow Semi Condensed" w:eastAsia="Barlow Semi Condensed" w:hAnsi="Barlow Semi Condensed"/>
          <w:b/>
          <w:bCs/>
          <w:sz w:val="24"/>
          <w:szCs w:val="24"/>
        </w:rPr>
        <w:t xml:space="preserve">2544 · I tre piani su questa cartella.</w:t>
      </w:r>
      <w:r>
        <w:rPr>
          <w:rFonts w:ascii="Barlow Semi Condensed" w:cs="Barlow Semi Condensed" w:eastAsia="Barlow Semi Condensed" w:hAnsi="Barlow Semi Condensed"/>
          <w:sz w:val="24"/>
          <w:szCs w:val="24"/>
        </w:rPr>
        <w:t xml:space="preserve"> Piano primo: due nomi nello stesso documento datato, con la stessa provenienza. Piano secondo: due carte che descrivono la stessa cornice senza toccarsi. Piano terzo: affermazione riferita, priva di riscontro primario. Applicata alla ricognizione-madre, la scala dà un solo ponte al primo piano, una fascia larga al secondo e due voci al terzo. Nessuna promozione fra i piani è ammessa, in questa serie come in tutte.</w:t>
      </w:r>
    </w:p>
    <w:p>
      <w:pPr>
        <w:spacing w:after="120" w:line="276"/>
        <w:jc w:val="both"/>
      </w:pPr>
      <w:r>
        <w:rPr>
          <w:rFonts w:ascii="Barlow Semi Condensed" w:cs="Barlow Semi Condensed" w:eastAsia="Barlow Semi Condensed" w:hAnsi="Barlow Semi Condensed"/>
          <w:b/>
          <w:bCs/>
          <w:sz w:val="24"/>
          <w:szCs w:val="24"/>
        </w:rPr>
        <w:t xml:space="preserve">2545 · Omologia e analogia fra queste carte.</w:t>
      </w:r>
      <w:r>
        <w:rPr>
          <w:rFonts w:ascii="Barlow Semi Condensed" w:cs="Barlow Semi Condensed" w:eastAsia="Barlow Semi Condensed" w:hAnsi="Barlow Semi Condensed"/>
          <w:sz w:val="24"/>
          <w:szCs w:val="24"/>
        </w:rPr>
        <w:t xml:space="preserve"> Due documenti sono parenti quando condividono fondo, ufficio e catena di redazione; si somigliano soltanto quando condividono la funzione. Il lessico atlantico che percorre i capitoli quarto, ottavo e nono è quasi sempre somiglianza di funzione: descrive lo stesso mondo, non discende dalla stessa carta. Il test resta uno: una provenienza che nomini la controparte. Dove manca, si registra analogia e si scrive analogia.</w:t>
      </w:r>
    </w:p>
    <w:p>
      <w:pPr>
        <w:spacing w:after="120" w:line="276"/>
        <w:jc w:val="both"/>
      </w:pPr>
      <w:r>
        <w:rPr>
          <w:rFonts w:ascii="Barlow Semi Condensed" w:cs="Barlow Semi Condensed" w:eastAsia="Barlow Semi Condensed" w:hAnsi="Barlow Semi Condensed"/>
          <w:b/>
          <w:bCs/>
          <w:sz w:val="24"/>
          <w:szCs w:val="24"/>
        </w:rPr>
        <w:t xml:space="preserve">2546 · La misura preliminare, contata.</w:t>
      </w:r>
      <w:r>
        <w:rPr>
          <w:rFonts w:ascii="Barlow Semi Condensed" w:cs="Barlow Semi Condensed" w:eastAsia="Barlow Semi Condensed" w:hAnsi="Barlow Semi Condensed"/>
          <w:sz w:val="24"/>
          <w:szCs w:val="24"/>
        </w:rPr>
        <w:t xml:space="preserve"> Il conteggio meccanico sul file della ricognizione dà sei occorrenze del cognome, tutte dentro il capitolo quarto, «Il versante statunitense: FRUS, National Archives, Comitato dei 303». Undici capitoli su dodici non lo nominano mai. Il dato non è un giudizio: è la misura del territorio prima di interpretarlo, e va rifatto ogni volta che il file cambia. Da qui discende la forma di questa serie, largamente fatta di assenze perimetrate.</w:t>
      </w:r>
    </w:p>
    <w:p>
      <w:pPr>
        <w:spacing w:after="120" w:line="276"/>
        <w:jc w:val="both"/>
      </w:pPr>
      <w:r>
        <w:rPr>
          <w:rFonts w:ascii="Barlow Semi Condensed" w:cs="Barlow Semi Condensed" w:eastAsia="Barlow Semi Condensed" w:hAnsi="Barlow Semi Condensed"/>
          <w:b/>
          <w:bCs/>
          <w:sz w:val="24"/>
          <w:szCs w:val="24"/>
        </w:rPr>
        <w:t xml:space="preserve">2547 · L'unico ponte di primo piano.</w:t>
      </w:r>
      <w:r>
        <w:rPr>
          <w:rFonts w:ascii="Barlow Semi Condensed" w:cs="Barlow Semi Condensed" w:eastAsia="Barlow Semi Condensed" w:hAnsi="Barlow Semi Condensed"/>
          <w:sz w:val="24"/>
          <w:szCs w:val="24"/>
        </w:rPr>
        <w:t xml:space="preserve"> Il memorandum of conversation del 25 settembre 1974 nello Studio Ovale mette nello stesso documento Giovanni Leone, Aldo Moro, Gerald Ford e Henry Kissinger, con Brent Scowcroft presente. Sede: Gerald R. Ford Presidential Library, National Security Adviser's Memoranda of Conversation, file 1552802; edizione parallela in FRUS 1969-1976, volume E-15 parte seconda, documento 350, seconda edizione riveduta. È l'unico piano primo dell'intero territorio.</w:t>
      </w:r>
    </w:p>
    <w:p>
      <w:pPr>
        <w:spacing w:after="120" w:line="276"/>
        <w:jc w:val="both"/>
      </w:pPr>
      <w:r>
        <w:rPr>
          <w:rFonts w:ascii="Barlow Semi Condensed" w:cs="Barlow Semi Condensed" w:eastAsia="Barlow Semi Condensed" w:hAnsi="Barlow Semi Condensed"/>
          <w:b/>
          <w:bCs/>
          <w:sz w:val="24"/>
          <w:szCs w:val="24"/>
        </w:rPr>
        <w:t xml:space="preserve">2548 · Che cosa il capitolo quarto accerta.</w:t>
      </w:r>
      <w:r>
        <w:rPr>
          <w:rFonts w:ascii="Barlow Semi Condensed" w:cs="Barlow Semi Condensed" w:eastAsia="Barlow Semi Condensed" w:hAnsi="Barlow Semi Condensed"/>
          <w:sz w:val="24"/>
          <w:szCs w:val="24"/>
        </w:rPr>
        <w:t xml:space="preserve"> Il capitolo lo dichiara accertato e integralmente disponibile: l'incontro si tenne, in quella data, in quella sede, fra quelle persone, e il redattore vi mise per iscritto un contenuto. Grado A quanto al fatto di calendario e alla versione scritta. Nulla di più: un verbale è un resoconto redatto dopo, non una registrazione, e la sua fedeltà è all'esito della riunione, non alla materialità del parlato.</w:t>
      </w:r>
    </w:p>
    <w:p>
      <w:pPr>
        <w:spacing w:after="120" w:line="276"/>
        <w:jc w:val="both"/>
      </w:pPr>
      <w:r>
        <w:rPr>
          <w:rFonts w:ascii="Barlow Semi Condensed" w:cs="Barlow Semi Condensed" w:eastAsia="Barlow Semi Condensed" w:hAnsi="Barlow Semi Condensed"/>
          <w:b/>
          <w:bCs/>
          <w:sz w:val="24"/>
          <w:szCs w:val="24"/>
        </w:rPr>
        <w:t xml:space="preserve">2549 · Il divieto d'inferenza già scritto.</w:t>
      </w:r>
      <w:r>
        <w:rPr>
          <w:rFonts w:ascii="Barlow Semi Condensed" w:cs="Barlow Semi Condensed" w:eastAsia="Barlow Semi Condensed" w:hAnsi="Barlow Semi Condensed"/>
          <w:sz w:val="24"/>
          <w:szCs w:val="24"/>
        </w:rPr>
        <w:t xml:space="preserve"> La ricognizione formula da sé il limite, e va citata alla lettera: «Il documento attesta la posizione di Kissinger sul PCI; non attesta una posizione di Moro sul medesimo punto in quella sede, che non va inferita». Il silenzio del verbale su Moro non è una presa di posizione di Moro. Chi lo riempie lavora al terzo piano e deve dichiararlo. Il blocco 216 dell'opera dice lo stesso.</w:t>
      </w:r>
    </w:p>
    <w:p>
      <w:pPr>
        <w:spacing w:after="120" w:line="276"/>
        <w:jc w:val="both"/>
      </w:pPr>
      <w:r>
        <w:rPr>
          <w:rFonts w:ascii="Barlow Semi Condensed" w:cs="Barlow Semi Condensed" w:eastAsia="Barlow Semi Condensed" w:hAnsi="Barlow Semi Condensed"/>
          <w:b/>
          <w:bCs/>
          <w:sz w:val="24"/>
          <w:szCs w:val="24"/>
        </w:rPr>
        <w:t xml:space="preserve">2550 · Una divergenza interna al capitolo.</w:t>
      </w:r>
      <w:r>
        <w:rPr>
          <w:rFonts w:ascii="Barlow Semi Condensed" w:cs="Barlow Semi Condensed" w:eastAsia="Barlow Semi Condensed" w:hAnsi="Barlow Semi Condensed"/>
          <w:sz w:val="24"/>
          <w:szCs w:val="24"/>
        </w:rPr>
        <w:t xml:space="preserve"> Lo stesso capitolo colloca la frase sul dover parlare «tough» agli italiani in un colloquio con Ford avvenuto «alla vigilia, il 25 settembre», pur avendo datato al 25 settembre il verbale trilaterale. O la vigilia è quella dell'incontro del 26, o la frase sta dentro il memcon del 25. La divergenza si riporta e non si scioglie in silenzio: va chiusa collazionando i testimoni.</w:t>
      </w:r>
    </w:p>
    <w:p>
      <w:pPr>
        <w:spacing w:after="120" w:line="276"/>
        <w:jc w:val="both"/>
      </w:pPr>
      <w:r>
        <w:rPr>
          <w:rFonts w:ascii="Barlow Semi Condensed" w:cs="Barlow Semi Condensed" w:eastAsia="Barlow Semi Condensed" w:hAnsi="Barlow Semi Condensed"/>
          <w:b/>
          <w:bCs/>
          <w:sz w:val="24"/>
          <w:szCs w:val="24"/>
        </w:rPr>
        <w:t xml:space="preserve">2551 · Due edizioni dello stesso volume.</w:t>
      </w:r>
      <w:r>
        <w:rPr>
          <w:rFonts w:ascii="Barlow Semi Condensed" w:cs="Barlow Semi Condensed" w:eastAsia="Barlow Semi Condensed" w:hAnsi="Barlow Semi Condensed"/>
          <w:sz w:val="24"/>
          <w:szCs w:val="24"/>
        </w:rPr>
        <w:t xml:space="preserve"> Il capitolo quarto rinvia al documento 350 nella seconda edizione riveduta del volume E-15 parte seconda; la ricognizione portoghese della stessa cartella cita il documento 153 del medesimo volume nella prima edizione. Il corpus adopera dunque due lezioni della stessa raccolta. Bersaglio filologico: accertare che cosa la revisione abbia mutato, se la numerazione coincida e con quali note redazionali. Una variante fra testimoni è un dato, non un fastidio.</w:t>
      </w:r>
    </w:p>
    <w:p>
      <w:pPr>
        <w:spacing w:after="120" w:line="276"/>
        <w:jc w:val="both"/>
      </w:pPr>
      <w:r>
        <w:rPr>
          <w:rFonts w:ascii="Barlow Semi Condensed" w:cs="Barlow Semi Condensed" w:eastAsia="Barlow Semi Condensed" w:hAnsi="Barlow Semi Condensed"/>
          <w:b/>
          <w:bCs/>
          <w:sz w:val="24"/>
          <w:szCs w:val="24"/>
        </w:rPr>
        <w:t xml:space="preserve">2552 · Il verbale del giorno successivo.</w:t>
      </w:r>
      <w:r>
        <w:rPr>
          <w:rFonts w:ascii="Barlow Semi Condensed" w:cs="Barlow Semi Condensed" w:eastAsia="Barlow Semi Condensed" w:hAnsi="Barlow Semi Condensed"/>
          <w:sz w:val="24"/>
          <w:szCs w:val="24"/>
        </w:rPr>
        <w:t xml:space="preserve"> Come parimenti disponibile è registrato il verbale del 26 settembre 1974, file 1552806 della Ford Library, senza che i partecipanti siano indicati. Quesito preciso, non asserzione: verificare chi vi figuri, e se Moro vi compaia. Se sì, il territorio guadagna un secondo documento di primo piano; se no, la coppia va sciolta e quel file esce dal perimetro italiano. Lo stesso quesito sta al blocco 221 dell'opera.</w:t>
      </w:r>
    </w:p>
    <w:p>
      <w:pPr>
        <w:spacing w:after="120" w:line="276"/>
        <w:jc w:val="both"/>
      </w:pPr>
      <w:r>
        <w:rPr>
          <w:rFonts w:ascii="Barlow Semi Condensed" w:cs="Barlow Semi Condensed" w:eastAsia="Barlow Semi Condensed" w:hAnsi="Barlow Semi Condensed"/>
          <w:b/>
          <w:bCs/>
          <w:sz w:val="24"/>
          <w:szCs w:val="24"/>
        </w:rPr>
        <w:t xml:space="preserve">2553 · Il lato italiano che manca.</w:t>
      </w:r>
      <w:r>
        <w:rPr>
          <w:rFonts w:ascii="Barlow Semi Condensed" w:cs="Barlow Semi Condensed" w:eastAsia="Barlow Semi Condensed" w:hAnsi="Barlow Semi Condensed"/>
          <w:sz w:val="24"/>
          <w:szCs w:val="24"/>
        </w:rPr>
        <w:t xml:space="preserve"> Di quel colloquio esiste, allo stato, un solo versante: quello redatto dallo staff americano. L'appunto italiano — il telespresso o la nota di gabinetto che ogni ministro fa stendere dopo un bilaterale — non risulta reperito. Stato Zero con perimetro esatto. Sede che lo chiuderebbe: Archivio storico diplomatico della Farnesina, carteggi del gabinetto del ministro, annata 1974, previa verifica dei faldoni tramite il portale asd.esteri.it.</w:t>
      </w:r>
    </w:p>
    <w:p>
      <w:pPr>
        <w:spacing w:after="120" w:line="276"/>
        <w:jc w:val="both"/>
      </w:pPr>
      <w:r>
        <w:rPr>
          <w:rFonts w:ascii="Barlow Semi Condensed" w:cs="Barlow Semi Condensed" w:eastAsia="Barlow Semi Condensed" w:hAnsi="Barlow Semi Condensed"/>
          <w:b/>
          <w:bCs/>
          <w:sz w:val="24"/>
          <w:szCs w:val="24"/>
        </w:rPr>
        <w:t xml:space="preserve">2554 · Chi redasse quella carta.</w:t>
      </w:r>
      <w:r>
        <w:rPr>
          <w:rFonts w:ascii="Barlow Semi Condensed" w:cs="Barlow Semi Condensed" w:eastAsia="Barlow Semi Condensed" w:hAnsi="Barlow Semi Condensed"/>
          <w:sz w:val="24"/>
          <w:szCs w:val="24"/>
        </w:rPr>
        <w:t xml:space="preserve"> Scowcroft è indicato come presente, non come estensore. Un memorandum of conversation lo scrive un funzionario che assistette, dopo la riunione, sui propri appunti, in terza persona e con virgolettati scelti. Bersaglio minuto ma dirimente: reperire in intestazione o in calce del file 1552802 l'indicazione del redattore. Senza quel nome il documento resta anonimo nella sua fonte, e il suo grado di fedeltà non è misurabile.</w:t>
      </w:r>
    </w:p>
    <w:p>
      <w:pPr>
        <w:spacing w:after="120" w:line="276"/>
        <w:jc w:val="both"/>
      </w:pPr>
      <w:r>
        <w:rPr>
          <w:rFonts w:ascii="Barlow Semi Condensed" w:cs="Barlow Semi Condensed" w:eastAsia="Barlow Semi Condensed" w:hAnsi="Barlow Semi Condensed"/>
          <w:b/>
          <w:bCs/>
          <w:sz w:val="24"/>
          <w:szCs w:val="24"/>
        </w:rPr>
        <w:t xml:space="preserve">2555 · Dove cade il ponte.</w:t>
      </w:r>
      <w:r>
        <w:rPr>
          <w:rFonts w:ascii="Barlow Semi Condensed" w:cs="Barlow Semi Condensed" w:eastAsia="Barlow Semi Condensed" w:hAnsi="Barlow Semi Condensed"/>
          <w:sz w:val="24"/>
          <w:szCs w:val="24"/>
        </w:rPr>
        <w:t xml:space="preserve"> L'unico documento di primo piano sta a due mesi dalla fine del secondo mandato, cessato il 23 novembre 1974, e riguarda un presidente subentrato nell'agosto precedente. Non è il centro del ministero: ne è la coda. Ogni lettura che faccia di quel verbale la chiave dell'intero quinquennio scambia un punto terminale per una linea, e va corretta con la cronologia del capitolo primo.</w:t>
      </w:r>
    </w:p>
    <w:p>
      <w:pPr>
        <w:spacing w:after="120" w:line="276"/>
        <w:jc w:val="both"/>
      </w:pPr>
      <w:r>
        <w:rPr>
          <w:rFonts w:ascii="Barlow Semi Condensed" w:cs="Barlow Semi Condensed" w:eastAsia="Barlow Semi Condensed" w:hAnsi="Barlow Semi Condensed"/>
          <w:b/>
          <w:bCs/>
          <w:sz w:val="24"/>
          <w:szCs w:val="24"/>
        </w:rPr>
        <w:t xml:space="preserve">2556 · Il bersaglio di smentita anteriore.</w:t>
      </w:r>
      <w:r>
        <w:rPr>
          <w:rFonts w:ascii="Barlow Semi Condensed" w:cs="Barlow Semi Condensed" w:eastAsia="Barlow Semi Condensed" w:hAnsi="Barlow Semi Condensed"/>
          <w:sz w:val="24"/>
          <w:szCs w:val="24"/>
        </w:rPr>
        <w:t xml:space="preserve"> L'ipotesi da abbattere è questa: che prima del 22 settembre 1973 non esista rapporto diretto documentato fra i due. La smentirebbe una sola cosa, un verbale, un telegramma o un appunto datato fra il 5 agosto 1969 e quel giorno che nomini entrambi come interlocutori. Sedi dove cercarlo: i Nixon Presidential Materials, NSC Files, Country Files: Italy, a College Park, e il carteggio di gabinetto alla Farnesina.</w:t>
      </w:r>
    </w:p>
    <w:p>
      <w:pPr>
        <w:spacing w:after="120" w:line="276"/>
        <w:jc w:val="both"/>
      </w:pPr>
      <w:r>
        <w:rPr>
          <w:rFonts w:ascii="Barlow Semi Condensed" w:cs="Barlow Semi Condensed" w:eastAsia="Barlow Semi Condensed" w:hAnsi="Barlow Semi Condensed"/>
          <w:b/>
          <w:bCs/>
          <w:sz w:val="24"/>
          <w:szCs w:val="24"/>
        </w:rPr>
        <w:t xml:space="preserve">2557 · La cronologia dei due mandati.</w:t>
      </w:r>
      <w:r>
        <w:rPr>
          <w:rFonts w:ascii="Barlow Semi Condensed" w:cs="Barlow Semi Condensed" w:eastAsia="Barlow Semi Condensed" w:hAnsi="Barlow Semi Condensed"/>
          <w:sz w:val="24"/>
          <w:szCs w:val="24"/>
        </w:rPr>
        <w:t xml:space="preserve"> Il capitolo primo dirime sul Portale storico della Camera: il giuramento del secondo governo Rumor è del 5 agosto 1969, e da lì Moro è alla Farnesina, fino al 23 novembre 1974. In mezzo, l'esclusione dal secondo governo Andreotti fra il giugno 1972 e il luglio 1973. Su questa griglia, e non su altre, va misurata ogni sovrapposizione con gli incarichi americani del periodo.</w:t>
      </w:r>
    </w:p>
    <w:p>
      <w:pPr>
        <w:spacing w:after="120" w:line="276"/>
        <w:jc w:val="both"/>
      </w:pPr>
      <w:r>
        <w:rPr>
          <w:rFonts w:ascii="Barlow Semi Condensed" w:cs="Barlow Semi Condensed" w:eastAsia="Barlow Semi Condensed" w:hAnsi="Barlow Semi Condensed"/>
          <w:b/>
          <w:bCs/>
          <w:sz w:val="24"/>
          <w:szCs w:val="24"/>
        </w:rPr>
        <w:t xml:space="preserve">2558 · La data smentita, e perché conta.</w:t>
      </w:r>
      <w:r>
        <w:rPr>
          <w:rFonts w:ascii="Barlow Semi Condensed" w:cs="Barlow Semi Condensed" w:eastAsia="Barlow Semi Condensed" w:hAnsi="Barlow Semi Condensed"/>
          <w:sz w:val="24"/>
          <w:szCs w:val="24"/>
        </w:rPr>
        <w:t xml:space="preserve"> La formula «from May 1969» che il capitolo primo corregge non è un dettaglio erudito: sposta di tre mesi l'inizio del mandato e altera ogni calcolo di contemporaneità. Con la data giusta, l'insediamento cade cinque mesi dopo la riunione dell'11 marzo 1969 del Comitato dei 303; con quella sbagliata, due. In entrambi i casi la riunione precede, ma la precisione va tenuta perché altrove non sarebbe indifferente.</w:t>
      </w:r>
    </w:p>
    <w:p>
      <w:pPr>
        <w:spacing w:after="120" w:line="276"/>
        <w:jc w:val="both"/>
      </w:pPr>
      <w:r>
        <w:rPr>
          <w:rFonts w:ascii="Barlow Semi Condensed" w:cs="Barlow Semi Condensed" w:eastAsia="Barlow Semi Condensed" w:hAnsi="Barlow Semi Condensed"/>
          <w:b/>
          <w:bCs/>
          <w:sz w:val="24"/>
          <w:szCs w:val="24"/>
        </w:rPr>
        <w:t xml:space="preserve">2559 · L'interruzione e la Commissione esteri.</w:t>
      </w:r>
      <w:r>
        <w:rPr>
          <w:rFonts w:ascii="Barlow Semi Condensed" w:cs="Barlow Semi Condensed" w:eastAsia="Barlow Semi Condensed" w:hAnsi="Barlow Semi Condensed"/>
          <w:sz w:val="24"/>
          <w:szCs w:val="24"/>
        </w:rPr>
        <w:t xml:space="preserve"> Fra il 26 giugno 1972 e il 7 luglio 1973 Moro non è ministro: presiede la terza Commissione Affari esteri della Camera dall'11 luglio 1972 al 7 luglio 1973, come attesta la scheda «Componenti organi» del Portale storico. In quei mesi non ha canale ministeriale con Washington. Il vuoto è istituzionale, non documentale, e va sottratto da ogni computo di sovrapposizione fra i due uomini.</w:t>
      </w:r>
    </w:p>
    <w:p>
      <w:pPr>
        <w:spacing w:after="120" w:line="276"/>
        <w:jc w:val="both"/>
      </w:pPr>
      <w:r>
        <w:rPr>
          <w:rFonts w:ascii="Barlow Semi Condensed" w:cs="Barlow Semi Condensed" w:eastAsia="Barlow Semi Condensed" w:hAnsi="Barlow Semi Condensed"/>
          <w:b/>
          <w:bCs/>
          <w:sz w:val="24"/>
          <w:szCs w:val="24"/>
        </w:rPr>
        <w:t xml:space="preserve">2560 · Rogers, non Kissinger, fu la controparte.</w:t>
      </w:r>
      <w:r>
        <w:rPr>
          <w:rFonts w:ascii="Barlow Semi Condensed" w:cs="Barlow Semi Condensed" w:eastAsia="Barlow Semi Condensed" w:hAnsi="Barlow Semi Condensed"/>
          <w:sz w:val="24"/>
          <w:szCs w:val="24"/>
        </w:rPr>
        <w:t xml:space="preserve"> L'esito negativo del capitolo quarto è formulato con esattezza istituzionale: mancano verbali di colloqui diretti Moro-Nixon o Moro-Rogers per il 1969-1972. William Rogers, non Kissinger, era allora il titolare del Dipartimento di Stato, cioè l'omologo del ministro italiano. La ricerca del bilaterale va condotta su quel nome per la parte maggiore del mandato: cercare l'altro in quegli anni significa cercare fuori ruolo.</w:t>
      </w:r>
    </w:p>
    <w:p>
      <w:pPr>
        <w:spacing w:after="120" w:line="276"/>
        <w:jc w:val="both"/>
      </w:pPr>
      <w:r>
        <w:rPr>
          <w:rFonts w:ascii="Barlow Semi Condensed" w:cs="Barlow Semi Condensed" w:eastAsia="Barlow Semi Condensed" w:hAnsi="Barlow Semi Condensed"/>
          <w:b/>
          <w:bCs/>
          <w:sz w:val="24"/>
          <w:szCs w:val="24"/>
        </w:rPr>
        <w:t xml:space="preserve">2561 · Il computo della sovrapposizione.</w:t>
      </w:r>
      <w:r>
        <w:rPr>
          <w:rFonts w:ascii="Barlow Semi Condensed" w:cs="Barlow Semi Condensed" w:eastAsia="Barlow Semi Condensed" w:hAnsi="Barlow Semi Condensed"/>
          <w:sz w:val="24"/>
          <w:szCs w:val="24"/>
        </w:rPr>
        <w:t xml:space="preserve"> Kissinger è segretario di Stato dal 22 settembre 1973; Moro lascia la Farnesina il 23 novembre 1974. Sono poco più di quattordici mesi su circa cinquantuno di servizio effettivo, dedotta l'interruzione del 1972-1973: poco più di un quarto. Il resto del mandato ha un altro interlocutore. La cifra non prova nulla di per sé; impedisce di parlare di quel quinquennio come se fosse tutto sovrapposto.</w:t>
      </w:r>
    </w:p>
    <w:p>
      <w:pPr>
        <w:spacing w:after="120" w:line="276"/>
        <w:jc w:val="both"/>
      </w:pPr>
      <w:r>
        <w:rPr>
          <w:rFonts w:ascii="Barlow Semi Condensed" w:cs="Barlow Semi Condensed" w:eastAsia="Barlow Semi Condensed" w:hAnsi="Barlow Semi Condensed"/>
          <w:b/>
          <w:bCs/>
          <w:sz w:val="24"/>
          <w:szCs w:val="24"/>
        </w:rPr>
        <w:t xml:space="preserve">2562 · Consigliere alla Casa Bianca, non ministro.</w:t>
      </w:r>
      <w:r>
        <w:rPr>
          <w:rFonts w:ascii="Barlow Semi Condensed" w:cs="Barlow Semi Condensed" w:eastAsia="Barlow Semi Condensed" w:hAnsi="Barlow Semi Condensed"/>
          <w:sz w:val="24"/>
          <w:szCs w:val="24"/>
        </w:rPr>
        <w:t xml:space="preserve"> Dal 20 gennaio 1969 Kissinger è assistente per la sicurezza nazionale: incarico della Casa Bianca, privo di omologo nel governo italiano. Per l'intero primo mandato di Moro esiste dunque contemporaneità di servizio e nessuna simmetria di ruolo. È asimmetria strutturale, non lacuna d'archivio: nessun protocollo prevedeva quel bilaterale, e la sua assenza dai fondi non è, di per sé, un vuoto da riempire.</w:t>
      </w:r>
    </w:p>
    <w:p>
      <w:pPr>
        <w:spacing w:after="120" w:line="276"/>
        <w:jc w:val="both"/>
      </w:pPr>
      <w:r>
        <w:rPr>
          <w:rFonts w:ascii="Barlow Semi Condensed" w:cs="Barlow Semi Condensed" w:eastAsia="Barlow Semi Condensed" w:hAnsi="Barlow Semi Condensed"/>
          <w:b/>
          <w:bCs/>
          <w:sz w:val="24"/>
          <w:szCs w:val="24"/>
        </w:rPr>
        <w:t xml:space="preserve">2563 · La contemporaneità applicata al territorio.</w:t>
      </w:r>
      <w:r>
        <w:rPr>
          <w:rFonts w:ascii="Barlow Semi Condensed" w:cs="Barlow Semi Condensed" w:eastAsia="Barlow Semi Condensed" w:hAnsi="Barlow Semi Condensed"/>
          <w:sz w:val="24"/>
          <w:szCs w:val="24"/>
        </w:rPr>
        <w:t xml:space="preserve"> Che due uomini siano in carica negli stessi anni non crea rapporto, e questa cartella è il luogo dove la regola si tocca con mano: i capitoli quinto, sesto, settimo, ottavo, nono, decimo e undicesimo raccontano cinque anni di politica estera italiana senza che il nome vi entri mai. Il tempo condiviso non ha lasciato carta condivisa. Chi supplisce con la cronologia costruisce un nesso che il territorio non porta.</w:t>
      </w:r>
    </w:p>
    <w:p>
      <w:pPr>
        <w:spacing w:after="120" w:line="276"/>
        <w:jc w:val="both"/>
      </w:pPr>
      <w:r>
        <w:rPr>
          <w:rFonts w:ascii="Barlow Semi Condensed" w:cs="Barlow Semi Condensed" w:eastAsia="Barlow Semi Condensed" w:hAnsi="Barlow Semi Condensed"/>
          <w:b/>
          <w:bCs/>
          <w:sz w:val="24"/>
          <w:szCs w:val="24"/>
        </w:rPr>
        <w:t xml:space="preserve">2564 · L'anteriorità del Comitato dei 303 (serie XXXIV).</w:t>
      </w:r>
      <w:r>
        <w:rPr>
          <w:rFonts w:ascii="Barlow Semi Condensed" w:cs="Barlow Semi Condensed" w:eastAsia="Barlow Semi Condensed" w:hAnsi="Barlow Semi Condensed"/>
          <w:sz w:val="24"/>
          <w:szCs w:val="24"/>
        </w:rPr>
        <w:t xml:space="preserve"> La riunione dell'11 marzo 1969 presieduta da Kissinger, in FRUS volume XLI documento 180, con Johnson, Packard e Helms presenti e Karamessines relatore su origini e livelli del sostegno coperto ai partiti italiani fra il 1948 e il 1968, si chiuse sull'assenza di reale giustificazione a riprenderlo. È anteriore all'insediamento di Moro: la ricognizione lo dice, i blocchi 189 e 304 lo ripetono, e qui non c'è neppure contemporaneità.</w:t>
      </w:r>
    </w:p>
    <w:p>
      <w:pPr>
        <w:spacing w:after="120" w:line="276"/>
        <w:jc w:val="both"/>
      </w:pPr>
      <w:r>
        <w:rPr>
          <w:rFonts w:ascii="Barlow Semi Condensed" w:cs="Barlow Semi Condensed" w:eastAsia="Barlow Semi Condensed" w:hAnsi="Barlow Semi Condensed"/>
          <w:b/>
          <w:bCs/>
          <w:sz w:val="24"/>
          <w:szCs w:val="24"/>
        </w:rPr>
        <w:t xml:space="preserve">2565 · Il Comitato dei 40 e l'Italia.</w:t>
      </w:r>
      <w:r>
        <w:rPr>
          <w:rFonts w:ascii="Barlow Semi Condensed" w:cs="Barlow Semi Condensed" w:eastAsia="Barlow Semi Condensed" w:hAnsi="Barlow Semi Condensed"/>
          <w:sz w:val="24"/>
          <w:szCs w:val="24"/>
        </w:rPr>
        <w:t xml:space="preserve"> Lo stesso organo fu ridenominato Comitato dei 40 nel febbraio 1970, dentro il primo mandato: lo registra il blocco 500 dell'opera, non la ricognizione. Quesito da portare in archivio: se e quando quell'organo abbia trattato l'Italia fra il 1970 e il 1974, e con quali verbali. Sedi: il volume XLI della serie ufficiale per gli anni 1969-1972 e i Nixon Presidential Materials a College Park.</w:t>
      </w:r>
    </w:p>
    <w:p>
      <w:pPr>
        <w:spacing w:after="120" w:line="276"/>
        <w:jc w:val="both"/>
      </w:pPr>
      <w:r>
        <w:rPr>
          <w:rFonts w:ascii="Barlow Semi Condensed" w:cs="Barlow Semi Condensed" w:eastAsia="Barlow Semi Condensed" w:hAnsi="Barlow Semi Condensed"/>
          <w:b/>
          <w:bCs/>
          <w:sz w:val="24"/>
          <w:szCs w:val="24"/>
        </w:rPr>
        <w:t xml:space="preserve">2566 · Lo studio sull'Italia del dicembre 1969 (serie XXXIV).</w:t>
      </w:r>
      <w:r>
        <w:rPr>
          <w:rFonts w:ascii="Barlow Semi Condensed" w:cs="Barlow Semi Condensed" w:eastAsia="Barlow Semi Condensed" w:hAnsi="Barlow Semi Condensed"/>
          <w:sz w:val="24"/>
          <w:szCs w:val="24"/>
        </w:rPr>
        <w:t xml:space="preserve"> Su FRUS volume XLI documento 188 il capitolo quarto registra l'istruzione di Nixon del dicembre 1969 di avviare uno «study on Italy». Cade quattro mesi dopo l'arrivo di Moro alla Farnesina. Quesito: se quell'istruzione abbia prodotto un memorandum di studio numerato, chi lo coordinò, se fu completato. Sede: i fascicoli istituzionali del Consiglio di sicurezza nazionale a College Park. La coincidenza di mesi non è, da sola, un nesso.</w:t>
      </w:r>
    </w:p>
    <w:p>
      <w:pPr>
        <w:spacing w:after="120" w:line="276"/>
        <w:jc w:val="both"/>
      </w:pPr>
      <w:r>
        <w:rPr>
          <w:rFonts w:ascii="Barlow Semi Condensed" w:cs="Barlow Semi Condensed" w:eastAsia="Barlow Semi Condensed" w:hAnsi="Barlow Semi Condensed"/>
          <w:b/>
          <w:bCs/>
          <w:sz w:val="24"/>
          <w:szCs w:val="24"/>
        </w:rPr>
        <w:t xml:space="preserve">2567 · La barriera dei cinquant'anni (serie XXXIV).</w:t>
      </w:r>
      <w:r>
        <w:rPr>
          <w:rFonts w:ascii="Barlow Semi Condensed" w:cs="Barlow Semi Condensed" w:eastAsia="Barlow Semi Condensed" w:hAnsi="Barlow Semi Condensed"/>
          <w:sz w:val="24"/>
          <w:szCs w:val="24"/>
        </w:rPr>
        <w:t xml:space="preserve"> Il capitolo secondo accerta il criterio dell'Archivio storico diplomatico: consultabili, su autorizzazione, i documenti oltre i cinquant'anni, con facoltà ministeriale di ridurre a trenta e settanta anni per le situazioni private. Al 2026 l'arco 1969-1974 è dunque teoricamente aperto. Il rilievo è duplice, come la ricognizione avverte: la norma attesta la consultabilità di principio, la procedura attesta l'incertezza di fatto.</w:t>
      </w:r>
    </w:p>
    <w:p>
      <w:pPr>
        <w:spacing w:after="120" w:line="276"/>
        <w:jc w:val="both"/>
      </w:pPr>
      <w:r>
        <w:rPr>
          <w:rFonts w:ascii="Barlow Semi Condensed" w:cs="Barlow Semi Condensed" w:eastAsia="Barlow Semi Condensed" w:hAnsi="Barlow Semi Condensed"/>
          <w:b/>
          <w:bCs/>
          <w:sz w:val="24"/>
          <w:szCs w:val="24"/>
        </w:rPr>
        <w:t xml:space="preserve">2568 · La condizione operativa che resta.</w:t>
      </w:r>
      <w:r>
        <w:rPr>
          <w:rFonts w:ascii="Barlow Semi Condensed" w:cs="Barlow Semi Condensed" w:eastAsia="Barlow Semi Condensed" w:hAnsi="Barlow Semi Condensed"/>
          <w:sz w:val="24"/>
          <w:szCs w:val="24"/>
        </w:rPr>
        <w:t xml:space="preserve"> Per la documentazione dal 1949 in poi l'utente deve contattare preventivamente l'Archivio per sapere se i faldoni siano disponibili: segno che l'inventariazione non è conclusa. La sede è la Sala studio alla Farnesina, con registrazione al portale asd.esteri.it, posta ad archiviostorico@esteri.it e la responsabile indicata dalla ricognizione, la dottoressa Paola Busonero. Senza questo passaggio nessun bersaglio italiano di questa serie è pianificabile.</w:t>
      </w:r>
    </w:p>
    <w:p>
      <w:pPr>
        <w:spacing w:after="120" w:line="276"/>
        <w:jc w:val="both"/>
      </w:pPr>
      <w:r>
        <w:rPr>
          <w:rFonts w:ascii="Barlow Semi Condensed" w:cs="Barlow Semi Condensed" w:eastAsia="Barlow Semi Condensed" w:hAnsi="Barlow Semi Condensed"/>
          <w:b/>
          <w:bCs/>
          <w:sz w:val="24"/>
          <w:szCs w:val="24"/>
        </w:rPr>
        <w:t xml:space="preserve">2569 · Il primo giacimento per rendimento.</w:t>
      </w:r>
      <w:r>
        <w:rPr>
          <w:rFonts w:ascii="Barlow Semi Condensed" w:cs="Barlow Semi Condensed" w:eastAsia="Barlow Semi Condensed" w:hAnsi="Barlow Semi Condensed"/>
          <w:sz w:val="24"/>
          <w:szCs w:val="24"/>
        </w:rPr>
        <w:t xml:space="preserve"> La tavola del capitolo dodicesimo mette al primo posto i carteggi del gabinetto del ministro e la serie della Direzione generale affari politici per il 1969-1974. È lì che starebbe, se esiste, il lato italiano di ogni colloquio bilaterale del periodo, compreso quello del 25 settembre 1974. Il blocco 685 dell'opera lo aveva già fissato. Condizione di chiusura dichiarata: la conferma inventariale richiesta per portale.</w:t>
      </w:r>
    </w:p>
    <w:p>
      <w:pPr>
        <w:spacing w:after="120" w:line="276"/>
        <w:jc w:val="both"/>
      </w:pPr>
      <w:r>
        <w:rPr>
          <w:rFonts w:ascii="Barlow Semi Condensed" w:cs="Barlow Semi Condensed" w:eastAsia="Barlow Semi Condensed" w:hAnsi="Barlow Semi Condensed"/>
          <w:b/>
          <w:bCs/>
          <w:sz w:val="24"/>
          <w:szCs w:val="24"/>
        </w:rPr>
        <w:t xml:space="preserve">2570 · La serie che nessun inventario nomina.</w:t>
      </w:r>
      <w:r>
        <w:rPr>
          <w:rFonts w:ascii="Barlow Semi Condensed" w:cs="Barlow Semi Condensed" w:eastAsia="Barlow Semi Condensed" w:hAnsi="Barlow Semi Condensed"/>
          <w:sz w:val="24"/>
          <w:szCs w:val="24"/>
        </w:rPr>
        <w:t xml:space="preserve"> La ricognizione registra un esito negativo netto: non è stato reperito online un inventario analitico e nominativo che attesti l'apertura effettiva del carteggio di gabinetto né della serie dell'ambasciata a Madrid per quegli anni. L'assenza dell'inventario non prova l'assenza delle carte. Prova soltanto che la loro esistenza non è verificabile a distanza, e sposta il bersaglio dalla rete alla sala studio.</w:t>
      </w:r>
    </w:p>
    <w:p>
      <w:pPr>
        <w:spacing w:after="120" w:line="276"/>
        <w:jc w:val="both"/>
      </w:pPr>
      <w:r>
        <w:rPr>
          <w:rFonts w:ascii="Barlow Semi Condensed" w:cs="Barlow Semi Condensed" w:eastAsia="Barlow Semi Condensed" w:hAnsi="Barlow Semi Condensed"/>
          <w:b/>
          <w:bCs/>
          <w:sz w:val="24"/>
          <w:szCs w:val="24"/>
        </w:rPr>
        <w:t xml:space="preserve">2571 · L'omologo italiano della serie americana.</w:t>
      </w:r>
      <w:r>
        <w:rPr>
          <w:rFonts w:ascii="Barlow Semi Condensed" w:cs="Barlow Semi Condensed" w:eastAsia="Barlow Semi Condensed" w:hAnsi="Barlow Semi Condensed"/>
          <w:sz w:val="24"/>
          <w:szCs w:val="24"/>
        </w:rPr>
        <w:t xml:space="preserve"> L'Archivio pubblica i Documenti Diplomatici Italiani, e la ricognizione dichiara di non aver potuto stabilire se le annate 1969-1974 siano uscite a stampa. Se lo fossero, sarebbero la sede naturale dell'eventuale versione italiana dei contatti con Washington. Il blocco 235 dell'opera teneva già aperto il quesito. Sedi: l'Archivio storico diplomatico e i cataloghi dell'editore ufficiale. Come ogni selezione curata, andrebbe usata come porta e non come fondo.</w:t>
      </w:r>
    </w:p>
    <w:p>
      <w:pPr>
        <w:spacing w:after="120" w:line="276"/>
        <w:jc w:val="both"/>
      </w:pPr>
      <w:r>
        <w:rPr>
          <w:rFonts w:ascii="Barlow Semi Condensed" w:cs="Barlow Semi Condensed" w:eastAsia="Barlow Semi Condensed" w:hAnsi="Barlow Semi Condensed"/>
          <w:b/>
          <w:bCs/>
          <w:sz w:val="24"/>
          <w:szCs w:val="24"/>
        </w:rPr>
        <w:t xml:space="preserve">2572 · Il precedente d'inaccessibilità di Levi.</w:t>
      </w:r>
      <w:r>
        <w:rPr>
          <w:rFonts w:ascii="Barlow Semi Condensed" w:cs="Barlow Semi Condensed" w:eastAsia="Barlow Semi Condensed" w:hAnsi="Barlow Semi Condensed"/>
          <w:sz w:val="24"/>
          <w:szCs w:val="24"/>
        </w:rPr>
        <w:t xml:space="preserve"> Guido Levi, in «Spagna contemporanea» numero 49 del 2016, dichiarava non consultabili per quegli anni i fondi del ministero. È il precedente scientifico che la seconda campagna ha usato per correggere i blocchi 55 e 78 dei cantieri e il blocco 244 dell'agenda, che trattavano la Farnesina come sede aperta. La barriera cronologica non coincide con l'accessibilità reale, e il costo del bersaglio va rivisto prima di pianificarlo.</w:t>
      </w:r>
    </w:p>
    <w:p>
      <w:pPr>
        <w:spacing w:after="120" w:line="276"/>
        <w:jc w:val="both"/>
      </w:pPr>
      <w:r>
        <w:rPr>
          <w:rFonts w:ascii="Barlow Semi Condensed" w:cs="Barlow Semi Condensed" w:eastAsia="Barlow Semi Condensed" w:hAnsi="Barlow Semi Condensed"/>
          <w:b/>
          <w:bCs/>
          <w:sz w:val="24"/>
          <w:szCs w:val="24"/>
        </w:rPr>
        <w:t xml:space="preserve">2573 · Le sedi di ripiego già battute.</w:t>
      </w:r>
      <w:r>
        <w:rPr>
          <w:rFonts w:ascii="Barlow Semi Condensed" w:cs="Barlow Semi Condensed" w:eastAsia="Barlow Semi Condensed" w:hAnsi="Barlow Semi Condensed"/>
          <w:sz w:val="24"/>
          <w:szCs w:val="24"/>
        </w:rPr>
        <w:t xml:space="preserve"> Chiuso il ministero, Levi ripiegò sugli Archivi storici dell'Unione europea di Firenze e sull'Archivio dell'Istituto Sturzo, fondi Martino, Natali, Spinelli e Andreotti. Sono depositi personali e comunitari, non ministeriali: vi si cerca il riflesso di una politica, non il suo atto. Quesito derivato: se in quei fondi compaia corrispondenza italiana che nomini il segretario di Stato americano fra il 1973 e il 1974. Allo stato non risulta cercato.</w:t>
      </w:r>
    </w:p>
    <w:p>
      <w:pPr>
        <w:spacing w:after="120" w:line="276"/>
        <w:jc w:val="both"/>
      </w:pPr>
      <w:r>
        <w:rPr>
          <w:rFonts w:ascii="Barlow Semi Condensed" w:cs="Barlow Semi Condensed" w:eastAsia="Barlow Semi Condensed" w:hAnsi="Barlow Semi Condensed"/>
          <w:b/>
          <w:bCs/>
          <w:sz w:val="24"/>
          <w:szCs w:val="24"/>
        </w:rPr>
        <w:t xml:space="preserve">2574 · L'esclusione temporanea dei telegrammi.</w:t>
      </w:r>
      <w:r>
        <w:rPr>
          <w:rFonts w:ascii="Barlow Semi Condensed" w:cs="Barlow Semi Condensed" w:eastAsia="Barlow Semi Condensed" w:hAnsi="Barlow Semi Condensed"/>
          <w:sz w:val="24"/>
          <w:szCs w:val="24"/>
        </w:rPr>
        <w:t xml:space="preserve"> La triangolazione della seconda campagna aggiunge un dato che la ricognizione non porta: resta l'esclusione temporanea della serie dei Telegrammi 1942-1970. Ne discende un limite preciso, perché il primo mandato cade in gran parte dentro quella forbice. Il traffico telegrafico fra Roma e Washington per il 1969-1970 non è interrogabile, e ogni Stato Zero che lo riguardi va dichiarato con questa causa e non con altre.</w:t>
      </w:r>
    </w:p>
    <w:p>
      <w:pPr>
        <w:spacing w:after="120" w:line="276"/>
        <w:jc w:val="both"/>
      </w:pPr>
      <w:r>
        <w:rPr>
          <w:rFonts w:ascii="Barlow Semi Condensed" w:cs="Barlow Semi Condensed" w:eastAsia="Barlow Semi Condensed" w:hAnsi="Barlow Semi Condensed"/>
          <w:b/>
          <w:bCs/>
          <w:sz w:val="24"/>
          <w:szCs w:val="24"/>
        </w:rPr>
        <w:t xml:space="preserve">2575 · La correzione imposta alla quadriga.</w:t>
      </w:r>
      <w:r>
        <w:rPr>
          <w:rFonts w:ascii="Barlow Semi Condensed" w:cs="Barlow Semi Condensed" w:eastAsia="Barlow Semi Condensed" w:hAnsi="Barlow Semi Condensed"/>
          <w:sz w:val="24"/>
          <w:szCs w:val="24"/>
        </w:rPr>
        <w:t xml:space="preserve"> I blocchi 55 e 78 dei cantieri, il blocco 244 dell'agenda e i blocchi 315 e 683 dell'opera registrano la stessa correzione: la Farnesina non è interrogabile senza riserve. Non è una precisazione di merito ma di fattibilità, e cambia il costo di ogni bersaglio italiano qui elencato. Va portata a nota prima di ogni pianificazione, altrimenti la serie promette accertamenti che nessuno può materialmente compiere.</w:t>
      </w:r>
    </w:p>
    <w:p>
      <w:pPr>
        <w:spacing w:after="120" w:line="276"/>
        <w:jc w:val="both"/>
      </w:pPr>
      <w:r>
        <w:rPr>
          <w:rFonts w:ascii="Barlow Semi Condensed" w:cs="Barlow Semi Condensed" w:eastAsia="Barlow Semi Condensed" w:hAnsi="Barlow Semi Condensed"/>
          <w:b/>
          <w:bCs/>
          <w:sz w:val="24"/>
          <w:szCs w:val="24"/>
        </w:rPr>
        <w:t xml:space="preserve">2576 · Come cadrebbe l'inaccessibilità dichiarata.</w:t>
      </w:r>
      <w:r>
        <w:rPr>
          <w:rFonts w:ascii="Barlow Semi Condensed" w:cs="Barlow Semi Condensed" w:eastAsia="Barlow Semi Condensed" w:hAnsi="Barlow Semi Condensed"/>
          <w:sz w:val="24"/>
          <w:szCs w:val="24"/>
        </w:rPr>
        <w:t xml:space="preserve"> La proposizione da mettere alla prova è che il carteggio di gabinetto 1969-1974 non sia praticamente consultabile. La smentirebbe una sola risposta: una comunicazione dell'Unità che elenchi i faldoni disponibili con segnatura, o un inventario a stampa depositato in sala studio. È verifica economica e a esito rapido, e finché non è fatta ogni affermazione sull'apertura di quel fondo resta congettura amministrativa.</w:t>
      </w:r>
    </w:p>
    <w:p>
      <w:pPr>
        <w:spacing w:after="120" w:line="276"/>
        <w:jc w:val="both"/>
      </w:pPr>
      <w:r>
        <w:rPr>
          <w:rFonts w:ascii="Barlow Semi Condensed" w:cs="Barlow Semi Condensed" w:eastAsia="Barlow Semi Condensed" w:hAnsi="Barlow Semi Condensed"/>
          <w:b/>
          <w:bCs/>
          <w:sz w:val="24"/>
          <w:szCs w:val="24"/>
        </w:rPr>
        <w:t xml:space="preserve">2577 · Le repliche di bilancio, secondo posto.</w:t>
      </w:r>
      <w:r>
        <w:rPr>
          <w:rFonts w:ascii="Barlow Semi Condensed" w:cs="Barlow Semi Condensed" w:eastAsia="Barlow Semi Condensed" w:hAnsi="Barlow Semi Condensed"/>
          <w:sz w:val="24"/>
          <w:szCs w:val="24"/>
        </w:rPr>
        <w:t xml:space="preserve"> Al secondo posto della tavola stanno le repliche di Moro sui bilanci degli Esteri per il 1970, il 1971, il 1972 e il 1974, con numero di seduta e data, non isolabili per i limiti d'accesso ai portali. Sono i testi dove il ministro espone da sé la propria dottrina. Il blocco 689 dell'opera notava che il vuoto è istruttivo proprio perché la condizione di chiusura è materiale e modesta.</w:t>
      </w:r>
    </w:p>
    <w:p>
      <w:pPr>
        <w:spacing w:after="120" w:line="276"/>
        <w:jc w:val="both"/>
      </w:pPr>
      <w:r>
        <w:rPr>
          <w:rFonts w:ascii="Barlow Semi Condensed" w:cs="Barlow Semi Condensed" w:eastAsia="Barlow Semi Condensed" w:hAnsi="Barlow Semi Condensed"/>
          <w:b/>
          <w:bCs/>
          <w:sz w:val="24"/>
          <w:szCs w:val="24"/>
        </w:rPr>
        <w:t xml:space="preserve">2578 · Il limite delle banche dati parlamentari.</w:t>
      </w:r>
      <w:r>
        <w:rPr>
          <w:rFonts w:ascii="Barlow Semi Condensed" w:cs="Barlow Semi Condensed" w:eastAsia="Barlow Semi Condensed" w:hAnsi="Barlow Semi Condensed"/>
          <w:sz w:val="24"/>
          <w:szCs w:val="24"/>
        </w:rPr>
        <w:t xml:space="preserve"> La seconda campagna accerta che la banca dati del sindacato ispettivo copre solo dalla settima legislatura, cioè dal 5 luglio 1976. L'intero arco 1969-1975 sopravvive come resoconti stenografici non ricercabili a testo pieno. Non è possibile, con i soli strumenti in rete, né confermare né escludere che il nome americano ricorra negli atti di quegli anni. Si chiude soltanto con lo spoglio manuale dei volumi a stampa.</w:t>
      </w:r>
    </w:p>
    <w:p>
      <w:pPr>
        <w:spacing w:after="120" w:line="276"/>
        <w:jc w:val="both"/>
      </w:pPr>
      <w:r>
        <w:rPr>
          <w:rFonts w:ascii="Barlow Semi Condensed" w:cs="Barlow Semi Condensed" w:eastAsia="Barlow Semi Condensed" w:hAnsi="Barlow Semi Condensed"/>
          <w:b/>
          <w:bCs/>
          <w:sz w:val="24"/>
          <w:szCs w:val="24"/>
        </w:rPr>
        <w:t xml:space="preserve">2579 · La raccolta a stampa dei discorsi.</w:t>
      </w:r>
      <w:r>
        <w:rPr>
          <w:rFonts w:ascii="Barlow Semi Condensed" w:cs="Barlow Semi Condensed" w:eastAsia="Barlow Semi Condensed" w:hAnsi="Barlow Semi Condensed"/>
          <w:sz w:val="24"/>
          <w:szCs w:val="24"/>
        </w:rPr>
        <w:t xml:space="preserve"> La via più economica è indicata dalla ricognizione stessa: Aldo Moro, «Discorsi parlamentari», Camera dei deputati, Roma 1996, due volumi, che indicizzano le repliche con la data. Quesito da porre a quell'indice e a nessun altro: se il nome del segretario di Stato americano vi compaia mai, e in quale contesto. È un accertamento a costo bassissimo che il territorio non ha ancora compiuto.</w:t>
      </w:r>
    </w:p>
    <w:p>
      <w:pPr>
        <w:spacing w:after="120" w:line="276"/>
        <w:jc w:val="both"/>
      </w:pPr>
      <w:r>
        <w:rPr>
          <w:rFonts w:ascii="Barlow Semi Condensed" w:cs="Barlow Semi Condensed" w:eastAsia="Barlow Semi Condensed" w:hAnsi="Barlow Semi Condensed"/>
          <w:b/>
          <w:bCs/>
          <w:sz w:val="24"/>
          <w:szCs w:val="24"/>
        </w:rPr>
        <w:t xml:space="preserve">2580 · Il quarto deposito delle carte (serie XXXIV).</w:t>
      </w:r>
      <w:r>
        <w:rPr>
          <w:rFonts w:ascii="Barlow Semi Condensed" w:cs="Barlow Semi Condensed" w:eastAsia="Barlow Semi Condensed" w:hAnsi="Barlow Semi Condensed"/>
          <w:sz w:val="24"/>
          <w:szCs w:val="24"/>
        </w:rPr>
        <w:t xml:space="preserve"> La cartella cita ripetutamente un fondo con segnatura propria, IT-AFS-048, presso l'Archivio storico del Senato, con unità digitalizzate che riguardano proprio il Moro ministro. La seconda campagna lo qualifica come quarto nucleo, da aggiungere ai tre che i blocchi 221-223 e 235 dei cantieri distinguevano. È deposito nuovo per l'opera e va interrogato per primo, perché è digitale e immediatamente accessibile.</w:t>
      </w:r>
    </w:p>
    <w:p>
      <w:pPr>
        <w:spacing w:after="120" w:line="276"/>
        <w:jc w:val="both"/>
      </w:pPr>
      <w:r>
        <w:rPr>
          <w:rFonts w:ascii="Barlow Semi Condensed" w:cs="Barlow Semi Condensed" w:eastAsia="Barlow Semi Condensed" w:hAnsi="Barlow Semi Condensed"/>
          <w:b/>
          <w:bCs/>
          <w:sz w:val="24"/>
          <w:szCs w:val="24"/>
        </w:rPr>
        <w:t xml:space="preserve">2581 · Le due unità già identificate.</w:t>
      </w:r>
      <w:r>
        <w:rPr>
          <w:rFonts w:ascii="Barlow Semi Condensed" w:cs="Barlow Semi Condensed" w:eastAsia="Barlow Semi Condensed" w:hAnsi="Barlow Semi Condensed"/>
          <w:sz w:val="24"/>
          <w:szCs w:val="24"/>
        </w:rPr>
        <w:t xml:space="preserve"> Sono nominate due unità: l'«Intervento alla Commissione affari esteri del Senato sulla situazione in Libia», scheda IT-AFS-048-000517, e l'«Intervento alla Commissione esteri della Camera dei deputati», scheda IT-AFS-048-000644, quest'ultimo in tre stesure di cui una manoscritta, con materiale preparatorio. Le schede non recano l'anno d'esercizio. Bersaglio: leggerle e verificare se il versante atlantico vi sia nominato, e con quale lessico.</w:t>
      </w:r>
    </w:p>
    <w:p>
      <w:pPr>
        <w:spacing w:after="120" w:line="276"/>
        <w:jc w:val="both"/>
      </w:pPr>
      <w:r>
        <w:rPr>
          <w:rFonts w:ascii="Barlow Semi Condensed" w:cs="Barlow Semi Condensed" w:eastAsia="Barlow Semi Condensed" w:hAnsi="Barlow Semi Condensed"/>
          <w:b/>
          <w:bCs/>
          <w:sz w:val="24"/>
          <w:szCs w:val="24"/>
        </w:rPr>
        <w:t xml:space="preserve">2582 · Il nome pronunciato in aula.</w:t>
      </w:r>
      <w:r>
        <w:rPr>
          <w:rFonts w:ascii="Barlow Semi Condensed" w:cs="Barlow Semi Condensed" w:eastAsia="Barlow Semi Condensed" w:hAnsi="Barlow Semi Condensed"/>
          <w:sz w:val="24"/>
          <w:szCs w:val="24"/>
        </w:rPr>
        <w:t xml:space="preserve"> Quesito semplice e mai posto in questo territorio: Moro nominò mai pubblicamente, in Parlamento, il segretario di Stato americano fra il 1973 e il 1974. Una risposta positiva darebbe un documento italiano, datato e ufficiale, in cui i due nomi coesistono per volontà del primo. Non sarebbe un rapporto diretto, ma sarebbe più di una comunanza d'ambiente: sarebbe un riconoscimento pubblico di interlocuzione.</w:t>
      </w:r>
    </w:p>
    <w:p>
      <w:pPr>
        <w:spacing w:after="120" w:line="276"/>
        <w:jc w:val="both"/>
      </w:pPr>
      <w:r>
        <w:rPr>
          <w:rFonts w:ascii="Barlow Semi Condensed" w:cs="Barlow Semi Condensed" w:eastAsia="Barlow Semi Condensed" w:hAnsi="Barlow Semi Condensed"/>
          <w:b/>
          <w:bCs/>
          <w:sz w:val="24"/>
          <w:szCs w:val="24"/>
        </w:rPr>
        <w:t xml:space="preserve">2583 · Il silenzio parlamentare, come cadrebbe.</w:t>
      </w:r>
      <w:r>
        <w:rPr>
          <w:rFonts w:ascii="Barlow Semi Condensed" w:cs="Barlow Semi Condensed" w:eastAsia="Barlow Semi Condensed" w:hAnsi="Barlow Semi Condensed"/>
          <w:sz w:val="24"/>
          <w:szCs w:val="24"/>
        </w:rPr>
        <w:t xml:space="preserve"> L'assenza va formulata in modo confutabile: negli atti parlamentari italiani del 1969-1974 non risulta finora alcuna menzione documentata. Una sola riga di resoconto stenografico la smentirebbe, e la sede è nota, i volumi a stampa della quinta e della sesta legislatura più la raccolta dei discorsi del 1996. Finché lo spoglio manuale non è fatto, l'assenza è dichiarata come non verificata, non come accertata.</w:t>
      </w:r>
    </w:p>
    <w:p>
      <w:pPr>
        <w:spacing w:after="120" w:line="276"/>
        <w:jc w:val="both"/>
      </w:pPr>
      <w:r>
        <w:rPr>
          <w:rFonts w:ascii="Barlow Semi Condensed" w:cs="Barlow Semi Condensed" w:eastAsia="Barlow Semi Condensed" w:hAnsi="Barlow Semi Condensed"/>
          <w:b/>
          <w:bCs/>
          <w:sz w:val="24"/>
          <w:szCs w:val="24"/>
        </w:rPr>
        <w:t xml:space="preserve">2584 · Il capitolo quinto non lo nomina.</w:t>
      </w:r>
      <w:r>
        <w:rPr>
          <w:rFonts w:ascii="Barlow Semi Condensed" w:cs="Barlow Semi Condensed" w:eastAsia="Barlow Semi Condensed" w:hAnsi="Barlow Semi Condensed"/>
          <w:sz w:val="24"/>
          <w:szCs w:val="24"/>
        </w:rPr>
        <w:t xml:space="preserve"> Il capitolo sulla documentazione parlamentare italiana non contiene il nome. È coerente: tratta di sedute, commissioni e stesure, non di rapporti bilaterali. Ma il silenzio va verbalizzato con perimetro, perché quel capitolo è l'unico luogo del territorio dove la voce di Moro parla in proprio. La sede che lo chiuderebbe sono i resoconti stenografici della quinta e della sesta legislatura, e l'esito potrebbe restare negativo.</w:t>
      </w:r>
    </w:p>
    <w:p>
      <w:pPr>
        <w:spacing w:after="120" w:line="276"/>
        <w:jc w:val="both"/>
      </w:pPr>
      <w:r>
        <w:rPr>
          <w:rFonts w:ascii="Barlow Semi Condensed" w:cs="Barlow Semi Condensed" w:eastAsia="Barlow Semi Condensed" w:hAnsi="Barlow Semi Condensed"/>
          <w:b/>
          <w:bCs/>
          <w:sz w:val="24"/>
          <w:szCs w:val="24"/>
        </w:rPr>
        <w:t xml:space="preserve">2585 · La Cina, e chi ebbe l'iniziativa.</w:t>
      </w:r>
      <w:r>
        <w:rPr>
          <w:rFonts w:ascii="Barlow Semi Condensed" w:cs="Barlow Semi Condensed" w:eastAsia="Barlow Semi Condensed" w:hAnsi="Barlow Semi Condensed"/>
          <w:sz w:val="24"/>
          <w:szCs w:val="24"/>
        </w:rPr>
        <w:t xml:space="preserve"> Il capitolo sesto corregge una lettura corrente: la proposta di riconoscere la Repubblica popolare cinese fu di Nenni nel gennaio 1969, e la normalizzazione si perfezionò il 6 novembre 1970, con Moro ministro. La titolarità non è paternità. Ogni costruzione che faccia di quella data un'anticipazione italiana rispetto alla svolta americana lavora su due errori: attribuisce a Moro un'iniziativa altrui e scambia la precedenza cronologica per influenza.</w:t>
      </w:r>
    </w:p>
    <w:p>
      <w:pPr>
        <w:spacing w:after="120" w:line="276"/>
        <w:jc w:val="both"/>
      </w:pPr>
      <w:r>
        <w:rPr>
          <w:rFonts w:ascii="Barlow Semi Condensed" w:cs="Barlow Semi Condensed" w:eastAsia="Barlow Semi Condensed" w:hAnsi="Barlow Semi Condensed"/>
          <w:b/>
          <w:bCs/>
          <w:sz w:val="24"/>
          <w:szCs w:val="24"/>
        </w:rPr>
        <w:t xml:space="preserve">2586 · Il telegramma sulla visita in Cina.</w:t>
      </w:r>
      <w:r>
        <w:rPr>
          <w:rFonts w:ascii="Barlow Semi Condensed" w:cs="Barlow Semi Condensed" w:eastAsia="Barlow Semi Condensed" w:hAnsi="Barlow Semi Condensed"/>
          <w:sz w:val="24"/>
          <w:szCs w:val="24"/>
        </w:rPr>
        <w:t xml:space="preserve"> Registrato come non reperito, il telegramma 5472/0 del 29 dicembre 1972, «Visita On. Ministro in Cina», ha sede dichiarata nell'Archivio storico diplomatico. Se il testo esistesse, direbbe come Roma preparava quella missione e se ne informava gli alleati. Stato Zero con sede dichiarata. Nota di cautela: alla data del telegramma Moro non era ministro, e la formula del titolo va verificata prima di costruirvi sopra.</w:t>
      </w:r>
    </w:p>
    <w:p>
      <w:pPr>
        <w:spacing w:after="120" w:line="276"/>
        <w:jc w:val="both"/>
      </w:pPr>
      <w:r>
        <w:rPr>
          <w:rFonts w:ascii="Barlow Semi Condensed" w:cs="Barlow Semi Condensed" w:eastAsia="Barlow Semi Condensed" w:hAnsi="Barlow Semi Condensed"/>
          <w:b/>
          <w:bCs/>
          <w:sz w:val="24"/>
          <w:szCs w:val="24"/>
        </w:rPr>
        <w:t xml:space="preserve">2587 · L'accordo con Madrid e il silenzio americano.</w:t>
      </w:r>
      <w:r>
        <w:rPr>
          <w:rFonts w:ascii="Barlow Semi Condensed" w:cs="Barlow Semi Condensed" w:eastAsia="Barlow Semi Condensed" w:hAnsi="Barlow Semi Condensed"/>
          <w:sz w:val="24"/>
          <w:szCs w:val="24"/>
        </w:rPr>
        <w:t xml:space="preserve"> L'accordo preferenziale firmato a Lussemburgo il 29 giugno 1970 da López Bravo, Harmel e Rey è documentato dal capitolo sesto in Gazzetta ufficiale L 182 del 16 agosto 1970, CELEX 21970A0629(01), in vigore dal 1° ottobre 1970 e cessato il 31 dicembre 1985. Nessuna fonte del territorio registra una posizione americana su quell'atto. Stato Zero: sede, i fascicoli europei del Consiglio di sicurezza nazionale a College Park.</w:t>
      </w:r>
    </w:p>
    <w:p>
      <w:pPr>
        <w:spacing w:after="120" w:line="276"/>
        <w:jc w:val="both"/>
      </w:pPr>
      <w:r>
        <w:rPr>
          <w:rFonts w:ascii="Barlow Semi Condensed" w:cs="Barlow Semi Condensed" w:eastAsia="Barlow Semi Condensed" w:hAnsi="Barlow Semi Condensed"/>
          <w:b/>
          <w:bCs/>
          <w:sz w:val="24"/>
          <w:szCs w:val="24"/>
        </w:rPr>
        <w:t xml:space="preserve">2588 · Il canale mediterraneo senza Washington.</w:t>
      </w:r>
      <w:r>
        <w:rPr>
          <w:rFonts w:ascii="Barlow Semi Condensed" w:cs="Barlow Semi Condensed" w:eastAsia="Barlow Semi Condensed" w:hAnsi="Barlow Semi Condensed"/>
          <w:sz w:val="24"/>
          <w:szCs w:val="24"/>
        </w:rPr>
        <w:t xml:space="preserve"> Il capitolo settimo ricostruisce il cosiddetto lodo Moro — il documento del 17 dicembre 1972 indicato da Pacini, l'intesa del 19 ottobre 1973, il ruolo del colonnello Stefano Giovannone a Beirut — senza che vi compaia mai una reazione, una conoscenza o una posizione americana. È il vuoto più pesante del territorio. Sede per chiuderlo: gli atti della commissione Moro-2 presso l'Archivio centrale dello Stato.</w:t>
      </w:r>
    </w:p>
    <w:p>
      <w:pPr>
        <w:spacing w:after="120" w:line="276"/>
        <w:jc w:val="both"/>
      </w:pPr>
      <w:r>
        <w:rPr>
          <w:rFonts w:ascii="Barlow Semi Condensed" w:cs="Barlow Semi Condensed" w:eastAsia="Barlow Semi Condensed" w:hAnsi="Barlow Semi Condensed"/>
          <w:b/>
          <w:bCs/>
          <w:sz w:val="24"/>
          <w:szCs w:val="24"/>
        </w:rPr>
        <w:t xml:space="preserve">2589 · Fiumicino, e la reazione che manca.</w:t>
      </w:r>
      <w:r>
        <w:rPr>
          <w:rFonts w:ascii="Barlow Semi Condensed" w:cs="Barlow Semi Condensed" w:eastAsia="Barlow Semi Condensed" w:hAnsi="Barlow Semi Condensed"/>
          <w:sz w:val="24"/>
          <w:szCs w:val="24"/>
        </w:rPr>
        <w:t xml:space="preserve"> Il 17 dicembre 1973 un Boeing 707 della Pan Am diretto a Teheran via Beirut fu colpito a Fiumicino: trentadue vittime, sei italiane, quindici feriti, ventinove morti a bordo, secondo la scheda del Ministero della Cultura. Il vettore era americano e il segretario di Stato in carica da tre mesi. Nessun documento del territorio registra la reazione di Washington. Sede: i Central Foreign Policy Files, RG 59, ai National Archives.</w:t>
      </w:r>
    </w:p>
    <w:p>
      <w:pPr>
        <w:spacing w:after="120" w:line="276"/>
        <w:jc w:val="both"/>
      </w:pPr>
      <w:r>
        <w:rPr>
          <w:rFonts w:ascii="Barlow Semi Condensed" w:cs="Barlow Semi Condensed" w:eastAsia="Barlow Semi Condensed" w:hAnsi="Barlow Semi Condensed"/>
          <w:b/>
          <w:bCs/>
          <w:sz w:val="24"/>
          <w:szCs w:val="24"/>
        </w:rPr>
        <w:t xml:space="preserve">2590 · La firma in calce ai telegrammi.</w:t>
      </w:r>
      <w:r>
        <w:rPr>
          <w:rFonts w:ascii="Barlow Semi Condensed" w:cs="Barlow Semi Condensed" w:eastAsia="Barlow Semi Condensed" w:hAnsi="Barlow Semi Condensed"/>
          <w:sz w:val="24"/>
          <w:szCs w:val="24"/>
        </w:rPr>
        <w:t xml:space="preserve"> Regola di lettura da fissare prima di quello spoglio: dal 22 settembre 1973 ogni telegramma in partenza dal Dipartimento di Stato porta in calce il cognome del titolare. Quella firma è una sigla d'ufficio, non la prova di una stesura personale né di una decisione individuale. Trovare il nome sotto un cablogramma sull'Italia è, al più, un dato di piano secondo. Confonderlo col primo è l'errore più facile di quel fondo.</w:t>
      </w:r>
    </w:p>
    <w:p>
      <w:pPr>
        <w:spacing w:after="120" w:line="276"/>
        <w:jc w:val="both"/>
      </w:pPr>
      <w:r>
        <w:rPr>
          <w:rFonts w:ascii="Barlow Semi Condensed" w:cs="Barlow Semi Condensed" w:eastAsia="Barlow Semi Condensed" w:hAnsi="Barlow Semi Condensed"/>
          <w:b/>
          <w:bCs/>
          <w:sz w:val="24"/>
          <w:szCs w:val="24"/>
        </w:rPr>
        <w:t xml:space="preserve">2591 · La Libia e le carte assenti.</w:t>
      </w:r>
      <w:r>
        <w:rPr>
          <w:rFonts w:ascii="Barlow Semi Condensed" w:cs="Barlow Semi Condensed" w:eastAsia="Barlow Semi Condensed" w:hAnsi="Barlow Semi Condensed"/>
          <w:sz w:val="24"/>
          <w:szCs w:val="24"/>
        </w:rPr>
        <w:t xml:space="preserve"> Il capitolo ottavo apre col golpe del 1° settembre 1969 e arriva alla confisca del 21 luglio 1970, promulgata in tre leggi dal Consiglio del comando della rivoluzione, con circa ventimila italiani espulsi. Non vi compare alcuna carta americana. Eppure la crisi cadde in pieno mandato di Moro e di un consigliere per la sicurezza nazionale in carica da diciannove mesi. Stato Zero: sede, i Country Files a College Park.</w:t>
      </w:r>
    </w:p>
    <w:p>
      <w:pPr>
        <w:spacing w:after="120" w:line="276"/>
        <w:jc w:val="both"/>
      </w:pPr>
      <w:r>
        <w:rPr>
          <w:rFonts w:ascii="Barlow Semi Condensed" w:cs="Barlow Semi Condensed" w:eastAsia="Barlow Semi Condensed" w:hAnsi="Barlow Semi Condensed"/>
          <w:b/>
          <w:bCs/>
          <w:sz w:val="24"/>
          <w:szCs w:val="24"/>
        </w:rPr>
        <w:t xml:space="preserve">2592 · La divergenza sulle cifre libiche.</w:t>
      </w:r>
      <w:r>
        <w:rPr>
          <w:rFonts w:ascii="Barlow Semi Condensed" w:cs="Barlow Semi Condensed" w:eastAsia="Barlow Semi Condensed" w:hAnsi="Barlow Semi Condensed"/>
          <w:sz w:val="24"/>
          <w:szCs w:val="24"/>
        </w:rPr>
        <w:t xml:space="preserve"> Sui beni confiscati le versioni non coincidono: duecento miliardi di lire del 1970 secondo una fonte, circa quattrocento secondo il corpus, quasi sei miliardi di euro rivalutati secondo l'associazione dei rimpatriati, e la terza non è omogenea alle prime due. La divergenza si riporta ogni volta che la materia è ripresa. Nessuna delle tre tocca il nome americano: la scelta fra loro non muta nulla in questa serie.</w:t>
      </w:r>
    </w:p>
    <w:p>
      <w:pPr>
        <w:spacing w:after="120" w:line="276"/>
        <w:jc w:val="both"/>
      </w:pPr>
      <w:r>
        <w:rPr>
          <w:rFonts w:ascii="Barlow Semi Condensed" w:cs="Barlow Semi Condensed" w:eastAsia="Barlow Semi Condensed" w:hAnsi="Barlow Semi Condensed"/>
          <w:b/>
          <w:bCs/>
          <w:sz w:val="24"/>
          <w:szCs w:val="24"/>
        </w:rPr>
        <w:t xml:space="preserve">2593 · Il Kippur e il limite dell'inferenza.</w:t>
      </w:r>
      <w:r>
        <w:rPr>
          <w:rFonts w:ascii="Barlow Semi Condensed" w:cs="Barlow Semi Condensed" w:eastAsia="Barlow Semi Condensed" w:hAnsi="Barlow Semi Condensed"/>
          <w:sz w:val="24"/>
          <w:szCs w:val="24"/>
        </w:rPr>
        <w:t xml:space="preserve"> Sul quarto conflitto arabo-israeliano la ricognizione cita il volume XXV della serie ufficiale e la formula sullo sforzo americano di guadagnare il sostegno degli alleati europei, «largely unsuccessful», e ne trae che la linea mediterranea italiana divergesse. Ma lo dichiara essa stessa: è inferenza corroborata, non affermazione esplicita del documento. Resta al secondo piano. Bersaglio: individuare in quel volume i documenti dove l'Italia sia nominata, e se Moro vi compaia.</w:t>
      </w:r>
    </w:p>
    <w:p>
      <w:pPr>
        <w:spacing w:after="120" w:line="276"/>
        <w:jc w:val="both"/>
      </w:pPr>
      <w:r>
        <w:rPr>
          <w:rFonts w:ascii="Barlow Semi Condensed" w:cs="Barlow Semi Condensed" w:eastAsia="Barlow Semi Condensed" w:hAnsi="Barlow Semi Condensed"/>
          <w:b/>
          <w:bCs/>
          <w:sz w:val="24"/>
          <w:szCs w:val="24"/>
        </w:rPr>
        <w:t xml:space="preserve">2594 · Le basi negate, e il loro statuto.</w:t>
      </w:r>
      <w:r>
        <w:rPr>
          <w:rFonts w:ascii="Barlow Semi Condensed" w:cs="Barlow Semi Condensed" w:eastAsia="Barlow Semi Condensed" w:hAnsi="Barlow Semi Condensed"/>
          <w:sz w:val="24"/>
          <w:szCs w:val="24"/>
        </w:rPr>
        <w:t xml:space="preserve"> Il rifiuto delle basi durante la guerra dell'ottobre 1973 è registrato dalla seconda campagna con lo statuto dichiarato di testimonianza resa in sede parlamentare, non di accertamento, e consegnato al quesito atlantico che i cantieri avevano solo per il 1978, ai blocchi 24 e 98. È l'antecedente datato di quel quesito. Antecedente non significa causa: la sequenza si tiene, il nesso no.</w:t>
      </w:r>
    </w:p>
    <w:p>
      <w:pPr>
        <w:spacing w:after="120" w:line="276"/>
        <w:jc w:val="both"/>
      </w:pPr>
      <w:r>
        <w:rPr>
          <w:rFonts w:ascii="Barlow Semi Condensed" w:cs="Barlow Semi Condensed" w:eastAsia="Barlow Semi Condensed" w:hAnsi="Barlow Semi Condensed"/>
          <w:b/>
          <w:bCs/>
          <w:sz w:val="24"/>
          <w:szCs w:val="24"/>
        </w:rPr>
        <w:t xml:space="preserve">2595 · Le pressioni senza nome.</w:t>
      </w:r>
      <w:r>
        <w:rPr>
          <w:rFonts w:ascii="Barlow Semi Condensed" w:cs="Barlow Semi Condensed" w:eastAsia="Barlow Semi Condensed" w:hAnsi="Barlow Semi Condensed"/>
          <w:sz w:val="24"/>
          <w:szCs w:val="24"/>
        </w:rPr>
        <w:t xml:space="preserve"> Il capitolo nono, sulla scorta dello studio di Leopoldo Nuti, registra che fra la firma del 28 gennaio 1969 e la ratifica con legge 24 aprile 1975 numero 131 il governo italiano cercò di dilazionare, cedendo infine «alle pressioni degli alleati» nel maggio 1975. Gli alleati non sono nominati. Bersaglio: dare un nome e una segnatura a quelle pressioni. Nota di perimetro: la ratifica cade quando Moro non è più ministro.</w:t>
      </w:r>
    </w:p>
    <w:p>
      <w:pPr>
        <w:spacing w:after="120" w:line="276"/>
        <w:jc w:val="both"/>
      </w:pPr>
      <w:r>
        <w:rPr>
          <w:rFonts w:ascii="Barlow Semi Condensed" w:cs="Barlow Semi Condensed" w:eastAsia="Barlow Semi Condensed" w:hAnsi="Barlow Semi Condensed"/>
          <w:b/>
          <w:bCs/>
          <w:sz w:val="24"/>
          <w:szCs w:val="24"/>
        </w:rPr>
        <w:t xml:space="preserve">2596 · Le sedi multilaterali come ambiente.</w:t>
      </w:r>
      <w:r>
        <w:rPr>
          <w:rFonts w:ascii="Barlow Semi Condensed" w:cs="Barlow Semi Condensed" w:eastAsia="Barlow Semi Condensed" w:hAnsi="Barlow Semi Condensed"/>
          <w:sz w:val="24"/>
          <w:szCs w:val="24"/>
        </w:rPr>
        <w:t xml:space="preserve"> Nelle sedi multilaterali il capitolo nono accerta la compresenza dell'Italia e della delegazione vaticana di Silvestrini alla conferenza sull'energia atomica del 1971, al trattato del 1975 e alla Conferenza sulla sicurezza, e la qualifica per quello che è: comunanza d'ambiente, non concertazione. La qualificazione si estende per identità di ragione a ogni compresenza americana. Un tavolo condiviso non è un canale, e il territorio non ne documenta alcuno.</w:t>
      </w:r>
    </w:p>
    <w:p>
      <w:pPr>
        <w:spacing w:after="120" w:line="276"/>
        <w:jc w:val="both"/>
      </w:pPr>
      <w:r>
        <w:rPr>
          <w:rFonts w:ascii="Barlow Semi Condensed" w:cs="Barlow Semi Condensed" w:eastAsia="Barlow Semi Condensed" w:hAnsi="Barlow Semi Condensed"/>
          <w:b/>
          <w:bCs/>
          <w:sz w:val="24"/>
          <w:szCs w:val="24"/>
        </w:rPr>
        <w:t xml:space="preserve">2597 · Spagna e Santa Sede senza americani.</w:t>
      </w:r>
      <w:r>
        <w:rPr>
          <w:rFonts w:ascii="Barlow Semi Condensed" w:cs="Barlow Semi Condensed" w:eastAsia="Barlow Semi Condensed" w:hAnsi="Barlow Semi Condensed"/>
          <w:sz w:val="24"/>
          <w:szCs w:val="24"/>
        </w:rPr>
        <w:t xml:space="preserve"> Il capitolo decimo — l'udienza di Paolo VI a López Bravo del 12 gennaio 1973, la nota scritta in aereo, il caso Añoveros del 24 febbraio 1974 con le quarantotto ore date dal ministro Cortina Mauri al nunzio Dadaglio — non contiene alcun elemento americano, e la ricognizione precisa che non attesta neppure coinvolgimento italiano. Doppia assenza dichiarata. Sede per un'eventuale traccia: l'archivio dell'Università di Navarra e la biografia di Pérez Gómez.</w:t>
      </w:r>
    </w:p>
    <w:p>
      <w:pPr>
        <w:spacing w:after="120" w:line="276"/>
        <w:jc w:val="both"/>
      </w:pPr>
      <w:r>
        <w:rPr>
          <w:rFonts w:ascii="Barlow Semi Condensed" w:cs="Barlow Semi Condensed" w:eastAsia="Barlow Semi Condensed" w:hAnsi="Barlow Semi Condensed"/>
          <w:b/>
          <w:bCs/>
          <w:sz w:val="24"/>
          <w:szCs w:val="24"/>
        </w:rPr>
        <w:t xml:space="preserve">2598 · Pignedoli, Sossi e la finestra 1974.</w:t>
      </w:r>
      <w:r>
        <w:rPr>
          <w:rFonts w:ascii="Barlow Semi Condensed" w:cs="Barlow Semi Condensed" w:eastAsia="Barlow Semi Condensed" w:hAnsi="Barlow Semi Condensed"/>
          <w:sz w:val="24"/>
          <w:szCs w:val="24"/>
        </w:rPr>
        <w:t xml:space="preserve"> Il capitolo undicesimo colloca il canale del cardinale Sergio Pignedoli nel sequestro Sossi, fra il 18 aprile e il 23 maggio 1974, con Moro ancora ministro. Nessuna fonte del territorio registra attenzione americana a quella vicenda. Quesito: se i cablogrammi dell'ambasciata a Roma della primavera 1974 ne parlino. Sede: i Central Foreign Policy Files ai National Archives, la stessa già indicata per Fiumicino.</w:t>
      </w:r>
    </w:p>
    <w:p>
      <w:pPr>
        <w:spacing w:after="120" w:line="276"/>
        <w:jc w:val="both"/>
      </w:pPr>
      <w:r>
        <w:rPr>
          <w:rFonts w:ascii="Barlow Semi Condensed" w:cs="Barlow Semi Condensed" w:eastAsia="Barlow Semi Condensed" w:hAnsi="Barlow Semi Condensed"/>
          <w:b/>
          <w:bCs/>
          <w:sz w:val="24"/>
          <w:szCs w:val="24"/>
        </w:rPr>
        <w:t xml:space="preserve">2599 · L'archivio spagnolo e la sua norma.</w:t>
      </w:r>
      <w:r>
        <w:rPr>
          <w:rFonts w:ascii="Barlow Semi Condensed" w:cs="Barlow Semi Condensed" w:eastAsia="Barlow Semi Condensed" w:hAnsi="Barlow Semi Condensed"/>
          <w:sz w:val="24"/>
          <w:szCs w:val="24"/>
        </w:rPr>
        <w:t xml:space="preserve"> Il capitolo terzo accerta che l'Archivo General de la Administración di Alcalá de Henares, creato col decreto 914 del 1969 e operativo dal 1972, riceve per trasferimento quindicennale la documentazione del ministero degli Esteri spagnolo, già versata «a grosso modo» fino al 1985. Ne discende, per inferenza dalla norma e non da inventario consultato, dove la corrispondenza con l'ambasciata a Roma dovrebbe materialmente trovarsi.</w:t>
      </w:r>
    </w:p>
    <w:p>
      <w:pPr>
        <w:spacing w:after="120" w:line="276"/>
        <w:jc w:val="both"/>
      </w:pPr>
      <w:r>
        <w:rPr>
          <w:rFonts w:ascii="Barlow Semi Condensed" w:cs="Barlow Semi Condensed" w:eastAsia="Barlow Semi Condensed" w:hAnsi="Barlow Semi Condensed"/>
          <w:b/>
          <w:bCs/>
          <w:sz w:val="24"/>
          <w:szCs w:val="24"/>
        </w:rPr>
        <w:t xml:space="preserve">2600 · Il versante spagnolo, tre esiti negativi.</w:t>
      </w:r>
      <w:r>
        <w:rPr>
          <w:rFonts w:ascii="Barlow Semi Condensed" w:cs="Barlow Semi Condensed" w:eastAsia="Barlow Semi Condensed" w:hAnsi="Barlow Semi Condensed"/>
          <w:sz w:val="24"/>
          <w:szCs w:val="24"/>
        </w:rPr>
        <w:t xml:space="preserve"> La ricognizione dichiara tre assenze insieme: nessun inventario analitico del carteggio dell'ambasciata spagnola a Roma per quegli anni, nessuna documentazione edita su incontri o corrispondenza fra i ministri spagnoli e Moro, nessuna fonte spagnola sulla posizione di Madrid verso la politica italiana. Il nome americano non compare in nessuna delle tre. Il versante iberico è, per questa serie, uno Stato Zero di secondo grado: manca perfino la cornice.</w:t>
      </w:r>
    </w:p>
    <w:p>
      <w:pPr>
        <w:spacing w:after="120" w:line="276"/>
        <w:jc w:val="both"/>
      </w:pPr>
      <w:r>
        <w:rPr>
          <w:rFonts w:ascii="Barlow Semi Condensed" w:cs="Barlow Semi Condensed" w:eastAsia="Barlow Semi Condensed" w:hAnsi="Barlow Semi Condensed"/>
          <w:b/>
          <w:bCs/>
          <w:sz w:val="24"/>
          <w:szCs w:val="24"/>
        </w:rPr>
        <w:t xml:space="preserve">2601 · I tre ministri spagnoli e il vuoto.</w:t>
      </w:r>
      <w:r>
        <w:rPr>
          <w:rFonts w:ascii="Barlow Semi Condensed" w:cs="Barlow Semi Condensed" w:eastAsia="Barlow Semi Condensed" w:hAnsi="Barlow Semi Condensed"/>
          <w:sz w:val="24"/>
          <w:szCs w:val="24"/>
        </w:rPr>
        <w:t xml:space="preserve"> López Bravo, López Rodó e Cortina Mauri sono nominati come interlocutori possibili e mai documentati. La seconda campagna conferma lo Stato Zero sul contatto diretto con Moro e ne indica le due sedi, la Farnesina e Alcalá de Henares. Costruire da lì un triangolo che includa Washington significa sommare due assenze: l'operazione è vietata, perché l'incrocio di due vuoti non produce un pieno.</w:t>
      </w:r>
    </w:p>
    <w:p>
      <w:pPr>
        <w:spacing w:after="120" w:line="276"/>
        <w:jc w:val="both"/>
      </w:pPr>
      <w:r>
        <w:rPr>
          <w:rFonts w:ascii="Barlow Semi Condensed" w:cs="Barlow Semi Condensed" w:eastAsia="Barlow Semi Condensed" w:hAnsi="Barlow Semi Condensed"/>
          <w:b/>
          <w:bCs/>
          <w:sz w:val="24"/>
          <w:szCs w:val="24"/>
        </w:rPr>
        <w:t xml:space="preserve">2602 · Il rapporto della CIA del 1970.</w:t>
      </w:r>
      <w:r>
        <w:rPr>
          <w:rFonts w:ascii="Barlow Semi Condensed" w:cs="Barlow Semi Condensed" w:eastAsia="Barlow Semi Condensed" w:hAnsi="Barlow Semi Condensed"/>
          <w:sz w:val="24"/>
          <w:szCs w:val="24"/>
        </w:rPr>
        <w:t xml:space="preserve"> La cartella possiede un documento primario americano che non riguarda l'Italia: il rapporto settimanale sul nuovo gabinetto spagnolo del 22 maggio 1970, protocollo CIA-RDP85T00875R001500020027-1, verificato nella sala di lettura dell'agenzia. Vi compare una frase deliberatamente anonima su un «Italian official» che la disciplina del corpus vieta di attribuire a Moro. Il divieto vale a maggior ragione per chiunque altro: un anonimo non si riempie con un nome.</w:t>
      </w:r>
    </w:p>
    <w:p>
      <w:pPr>
        <w:spacing w:after="120" w:line="276"/>
        <w:jc w:val="both"/>
      </w:pPr>
      <w:r>
        <w:rPr>
          <w:rFonts w:ascii="Barlow Semi Condensed" w:cs="Barlow Semi Condensed" w:eastAsia="Barlow Semi Condensed" w:hAnsi="Barlow Semi Condensed"/>
          <w:b/>
          <w:bCs/>
          <w:sz w:val="24"/>
          <w:szCs w:val="24"/>
        </w:rPr>
        <w:t xml:space="preserve">2603 · Il vuoto iberico e la sua prova.</w:t>
      </w:r>
      <w:r>
        <w:rPr>
          <w:rFonts w:ascii="Barlow Semi Condensed" w:cs="Barlow Semi Condensed" w:eastAsia="Barlow Semi Condensed" w:hAnsi="Barlow Semi Condensed"/>
          <w:sz w:val="24"/>
          <w:szCs w:val="24"/>
        </w:rPr>
        <w:t xml:space="preserve"> Da abbattere, sul versante spagnolo, è questa proposizione: che nessuna carta del 1969-1975 leghi la politica italiana alla diplomazia americana per il tramite di Moro. La smentirebbe un telegramma dell'ambasciata di Spagna a Roma che riferisca un colloquio in cui il ministro italiano riporti posizioni di Washington. Sede: il fondo del servizio esterno ad Alcalá de Henares. Finché gli inventari non sono consultati, l'ipotesi resta non verificata.</w:t>
      </w:r>
    </w:p>
    <w:p>
      <w:pPr>
        <w:spacing w:after="120" w:line="276"/>
        <w:jc w:val="both"/>
      </w:pPr>
      <w:r>
        <w:rPr>
          <w:rFonts w:ascii="Barlow Semi Condensed" w:cs="Barlow Semi Condensed" w:eastAsia="Barlow Semi Condensed" w:hAnsi="Barlow Semi Condensed"/>
          <w:b/>
          <w:bCs/>
          <w:sz w:val="24"/>
          <w:szCs w:val="24"/>
        </w:rPr>
        <w:t xml:space="preserve">2604 · La tavola dei sette esiti negativi.</w:t>
      </w:r>
      <w:r>
        <w:rPr>
          <w:rFonts w:ascii="Barlow Semi Condensed" w:cs="Barlow Semi Condensed" w:eastAsia="Barlow Semi Condensed" w:hAnsi="Barlow Semi Condensed"/>
          <w:sz w:val="24"/>
          <w:szCs w:val="24"/>
        </w:rPr>
        <w:t xml:space="preserve"> Il capitolo dodicesimo ordina per rendimento decrescente sette acquisizioni non conseguite, ciascuna con sede e condizione di chiusura: i carteggi di gabinetto, le repliche di bilancio, la corrispondenza spagnola, la nota di López Bravo, i verbali americani, i quattro documenti dispersi, le carte vaticane. È il modello formale che questa serie imita, e la sua virtù è di rendere ogni buco un compito assegnabile a qualcuno.</w:t>
      </w:r>
    </w:p>
    <w:p>
      <w:pPr>
        <w:spacing w:after="120" w:line="276"/>
        <w:jc w:val="both"/>
      </w:pPr>
      <w:r>
        <w:rPr>
          <w:rFonts w:ascii="Barlow Semi Condensed" w:cs="Barlow Semi Condensed" w:eastAsia="Barlow Semi Condensed" w:hAnsi="Barlow Semi Condensed"/>
          <w:b/>
          <w:bCs/>
          <w:sz w:val="24"/>
          <w:szCs w:val="24"/>
        </w:rPr>
        <w:t xml:space="preserve">2605 · L'ottava posizione da aggiungere.</w:t>
      </w:r>
      <w:r>
        <w:rPr>
          <w:rFonts w:ascii="Barlow Semi Condensed" w:cs="Barlow Semi Condensed" w:eastAsia="Barlow Semi Condensed" w:hAnsi="Barlow Semi Condensed"/>
          <w:sz w:val="24"/>
          <w:szCs w:val="24"/>
        </w:rPr>
        <w:t xml:space="preserve"> In quella tavola il nome di Kissinger non compare in alcuna delle sette posizioni. Proposta motivata: aggiungerne un'ottava, dedicata al bilaterale italo-americano del periodo in cui egli fu segretario di Stato, dal 22 settembre 1973 al 23 novembre 1974, con doppia sede, i fondi presidenziali americani per il versante d'oltreoceano e il carteggio di gabinetto per quello italiano. Senza quella voce, la tavola ha una finestra scoperta.</w:t>
      </w:r>
    </w:p>
    <w:p>
      <w:pPr>
        <w:spacing w:after="120" w:line="276"/>
        <w:jc w:val="both"/>
      </w:pPr>
      <w:r>
        <w:rPr>
          <w:rFonts w:ascii="Barlow Semi Condensed" w:cs="Barlow Semi Condensed" w:eastAsia="Barlow Semi Condensed" w:hAnsi="Barlow Semi Condensed"/>
          <w:b/>
          <w:bCs/>
          <w:sz w:val="24"/>
          <w:szCs w:val="24"/>
        </w:rPr>
        <w:t xml:space="preserve">2606 · Perché il quinto posto nomina altri.</w:t>
      </w:r>
      <w:r>
        <w:rPr>
          <w:rFonts w:ascii="Barlow Semi Condensed" w:cs="Barlow Semi Condensed" w:eastAsia="Barlow Semi Condensed" w:hAnsi="Barlow Semi Condensed"/>
          <w:sz w:val="24"/>
          <w:szCs w:val="24"/>
        </w:rPr>
        <w:t xml:space="preserve"> Il quinto posto della tavola chiede i verbali di colloqui diretti Moro-Nixon e Moro-Rogers per il 1969-1972 e indica la serie ufficiale e i materiali Nixon a College Park. La scelta dei nomi è corretta per quegli anni e insufficiente per i successivi: il bersaglio si ferma dove comincia il periodo in cui l'interlocuzione, se ci fu, ebbe l'altro titolare. È lacuna di disegno, non di fatto.</w:t>
      </w:r>
    </w:p>
    <w:p>
      <w:pPr>
        <w:spacing w:after="120" w:line="276"/>
        <w:jc w:val="both"/>
      </w:pPr>
      <w:r>
        <w:rPr>
          <w:rFonts w:ascii="Barlow Semi Condensed" w:cs="Barlow Semi Condensed" w:eastAsia="Barlow Semi Condensed" w:hAnsi="Barlow Semi Condensed"/>
          <w:b/>
          <w:bCs/>
          <w:sz w:val="24"/>
          <w:szCs w:val="24"/>
        </w:rPr>
        <w:t xml:space="preserve">2607 · Il costo dei bersagli, riveduto.</w:t>
      </w:r>
      <w:r>
        <w:rPr>
          <w:rFonts w:ascii="Barlow Semi Condensed" w:cs="Barlow Semi Condensed" w:eastAsia="Barlow Semi Condensed" w:hAnsi="Barlow Semi Condensed"/>
          <w:sz w:val="24"/>
          <w:szCs w:val="24"/>
        </w:rPr>
        <w:t xml:space="preserve"> Tre dei sette posti della tavola dipendono da sedi che la seconda campagna ha dichiarato meno accessibili di quanto i cantieri supponessero: la Farnesina per l'inventariazione incompleta, le banche dati parlamentari per la copertura dalla settima legislatura, gli inventari spagnoli per l'assenza di descrizione nominativa. La revisione non cambia il merito dei bersagli: ne cambia il prezzo, e va scritta accanto a ciascuno prima di assegnarli.</w:t>
      </w:r>
    </w:p>
    <w:p>
      <w:pPr>
        <w:spacing w:after="120" w:line="276"/>
        <w:jc w:val="both"/>
      </w:pPr>
      <w:r>
        <w:rPr>
          <w:rFonts w:ascii="Barlow Semi Condensed" w:cs="Barlow Semi Condensed" w:eastAsia="Barlow Semi Condensed" w:hAnsi="Barlow Semi Condensed"/>
          <w:b/>
          <w:bCs/>
          <w:sz w:val="24"/>
          <w:szCs w:val="24"/>
        </w:rPr>
        <w:t xml:space="preserve">2608 · Il verbale di vuoto come atto.</w:t>
      </w:r>
      <w:r>
        <w:rPr>
          <w:rFonts w:ascii="Barlow Semi Condensed" w:cs="Barlow Semi Condensed" w:eastAsia="Barlow Semi Condensed" w:hAnsi="Barlow Semi Condensed"/>
          <w:sz w:val="24"/>
          <w:szCs w:val="24"/>
        </w:rPr>
        <w:t xml:space="preserve"> Il blocco 233 dell'agenda prescrive di verbalizzare lo Stato Zero con perimetro esatto — che cosa è stato cercato, dove, quando, con quale esito — e il blocco 285 fa della ricerca a vuoto un atto che impedisce di ricercare due volte. Questa serie applica entrambi: ogni assenza qui dichiarata porta la propria sede e la propria condizione di chiusura, e nessuna è narrata al posto di essere misurata.</w:t>
      </w:r>
    </w:p>
    <w:p>
      <w:pPr>
        <w:spacing w:after="120" w:line="276"/>
        <w:jc w:val="both"/>
      </w:pPr>
      <w:r>
        <w:rPr>
          <w:rFonts w:ascii="Barlow Semi Condensed" w:cs="Barlow Semi Condensed" w:eastAsia="Barlow Semi Condensed" w:hAnsi="Barlow Semi Condensed"/>
          <w:b/>
          <w:bCs/>
          <w:sz w:val="24"/>
          <w:szCs w:val="24"/>
        </w:rPr>
        <w:t xml:space="preserve">2609 · Helsinki cade fuori dal perimetro.</w:t>
      </w:r>
      <w:r>
        <w:rPr>
          <w:rFonts w:ascii="Barlow Semi Condensed" w:cs="Barlow Semi Condensed" w:eastAsia="Barlow Semi Condensed" w:hAnsi="Barlow Semi Condensed"/>
          <w:sz w:val="24"/>
          <w:szCs w:val="24"/>
        </w:rPr>
        <w:t xml:space="preserve"> L'Atto finale del 1° agosto 1975 è la triangolazione certa del corpus, come ripete il blocco 536 dell'opera, ma è posteriore di otto mesi alla fine del secondo mandato: Moro lo firmò da presidente del Consiglio e presidente di turno del Consiglio delle Comunità. In una serie sul ministero degli Esteri va richiamato per confine, non per contenuto. Confondere le due qualità produce anacronismo istituzionale.</w:t>
      </w:r>
    </w:p>
    <w:p>
      <w:pPr>
        <w:spacing w:after="120" w:line="276"/>
        <w:jc w:val="both"/>
      </w:pPr>
      <w:r>
        <w:rPr>
          <w:rFonts w:ascii="Barlow Semi Condensed" w:cs="Barlow Semi Condensed" w:eastAsia="Barlow Semi Condensed" w:hAnsi="Barlow Semi Condensed"/>
          <w:b/>
          <w:bCs/>
          <w:sz w:val="24"/>
          <w:szCs w:val="24"/>
        </w:rPr>
        <w:t xml:space="preserve">2610 · L'insofferenza riferita e il suo piano.</w:t>
      </w:r>
      <w:r>
        <w:rPr>
          <w:rFonts w:ascii="Barlow Semi Condensed" w:cs="Barlow Semi Condensed" w:eastAsia="Barlow Semi Condensed" w:hAnsi="Barlow Semi Condensed"/>
          <w:sz w:val="24"/>
          <w:szCs w:val="24"/>
        </w:rPr>
        <w:t xml:space="preserve"> La formula secondo cui Moro ottenne il coinvolgimento comunitario nella firma «sfidando l'insofferenza di Kissinger» proviene da fonte pubblicistica e storiografica secondaria, non da un verbale: i blocchi 43, 256, 384 e 738 dell'opera la registrano come affermazione da fissare su segnatura. Terzo piano finché un primario non la porti al primo. Va citata con la sua provenienza, mai come dato di fatto.</w:t>
      </w:r>
    </w:p>
    <w:p>
      <w:pPr>
        <w:spacing w:after="120" w:line="276"/>
        <w:jc w:val="both"/>
      </w:pPr>
      <w:r>
        <w:rPr>
          <w:rFonts w:ascii="Barlow Semi Condensed" w:cs="Barlow Semi Condensed" w:eastAsia="Barlow Semi Condensed" w:hAnsi="Barlow Semi Condensed"/>
          <w:b/>
          <w:bCs/>
          <w:sz w:val="24"/>
          <w:szCs w:val="24"/>
        </w:rPr>
        <w:t xml:space="preserve">2611 · Il telegramma del 2 agosto 1975 (serie XXXIV).</w:t>
      </w:r>
      <w:r>
        <w:rPr>
          <w:rFonts w:ascii="Barlow Semi Condensed" w:cs="Barlow Semi Condensed" w:eastAsia="Barlow Semi Condensed" w:hAnsi="Barlow Semi Condensed"/>
          <w:sz w:val="24"/>
          <w:szCs w:val="24"/>
        </w:rPr>
        <w:t xml:space="preserve"> La ricognizione greca della stessa cartella cita il documento 334 del volume XXXIX, telegramma di Kissinger del 2 agosto 1975, che conferma la firma da parte di trentacinque capi di Stato o di governo e descrive la cerimonia conclusiva. Di attriti sul coinvolgimento comunitario non vi è traccia. È accertamento negativo puntuale: l'unico primario del territorio a quella firma non contiene ciò che la pubblicistica riferisce.</w:t>
      </w:r>
    </w:p>
    <w:p>
      <w:pPr>
        <w:spacing w:after="120" w:line="276"/>
        <w:jc w:val="both"/>
      </w:pPr>
      <w:r>
        <w:rPr>
          <w:rFonts w:ascii="Barlow Semi Condensed" w:cs="Barlow Semi Condensed" w:eastAsia="Barlow Semi Condensed" w:hAnsi="Barlow Semi Condensed"/>
          <w:b/>
          <w:bCs/>
          <w:sz w:val="24"/>
          <w:szCs w:val="24"/>
        </w:rPr>
        <w:t xml:space="preserve">2612 · Portare l'insofferenza al primo piano.</w:t>
      </w:r>
      <w:r>
        <w:rPr>
          <w:rFonts w:ascii="Barlow Semi Condensed" w:cs="Barlow Semi Condensed" w:eastAsia="Barlow Semi Condensed" w:hAnsi="Barlow Semi Condensed"/>
          <w:sz w:val="24"/>
          <w:szCs w:val="24"/>
        </w:rPr>
        <w:t xml:space="preserve"> Per farlo serve una carta sola: un memorandum, un telegramma o un appunto del luglio-agosto 1975 che ne parli in termini espliciti. Sedi: i memoranda di conversazione della Ford Library per quei due mesi e il volume della serie ufficiale sulla sicurezza europea. Un esito negativo dopo quello spoglio non abolirebbe l'episodio: lo lascerebbe dov'è, cioè fuori dalla prova e dentro la sola tradizione riferita.</w:t>
      </w:r>
    </w:p>
    <w:p>
      <w:pPr>
        <w:spacing w:after="120" w:line="276"/>
        <w:jc w:val="both"/>
      </w:pPr>
      <w:r>
        <w:rPr>
          <w:rFonts w:ascii="Barlow Semi Condensed" w:cs="Barlow Semi Condensed" w:eastAsia="Barlow Semi Condensed" w:hAnsi="Barlow Semi Condensed"/>
          <w:b/>
          <w:bCs/>
          <w:sz w:val="24"/>
          <w:szCs w:val="24"/>
        </w:rPr>
        <w:t xml:space="preserve">2613 · La firma comunitaria del 1971.</w:t>
      </w:r>
      <w:r>
        <w:rPr>
          <w:rFonts w:ascii="Barlow Semi Condensed" w:cs="Barlow Semi Condensed" w:eastAsia="Barlow Semi Condensed" w:hAnsi="Barlow Semi Condensed"/>
          <w:sz w:val="24"/>
          <w:szCs w:val="24"/>
        </w:rPr>
        <w:t xml:space="preserve"> Il README della cartella fissa un altro dato certo, precedente e interno al mandato: la firma dell'accordo provvisorio con la Turchia a Bruxelles il 27 luglio 1971, attestata dal preambolo del regolamento comunitario 1842 del 1971 e apposta da Moro a nome del Consiglio delle Comunità. Nessuna fonte americana del territorio la registra. È il modello opposto a Helsinki: atto certo, documentato, privo di contorni riferiti.</w:t>
      </w:r>
    </w:p>
    <w:p>
      <w:pPr>
        <w:spacing w:after="120" w:line="276"/>
        <w:jc w:val="both"/>
      </w:pPr>
      <w:r>
        <w:rPr>
          <w:rFonts w:ascii="Barlow Semi Condensed" w:cs="Barlow Semi Condensed" w:eastAsia="Barlow Semi Condensed" w:hAnsi="Barlow Semi Condensed"/>
          <w:b/>
          <w:bCs/>
          <w:sz w:val="24"/>
          <w:szCs w:val="24"/>
        </w:rPr>
        <w:t xml:space="preserve">2614 · Il lotto del Dipartimento di Stato.</w:t>
      </w:r>
      <w:r>
        <w:rPr>
          <w:rFonts w:ascii="Barlow Semi Condensed" w:cs="Barlow Semi Condensed" w:eastAsia="Barlow Semi Condensed" w:hAnsi="Barlow Semi Condensed"/>
          <w:sz w:val="24"/>
          <w:szCs w:val="24"/>
        </w:rPr>
        <w:t xml:space="preserve"> Un lotto desecretato in due strati è conservato nella cartella: la visita ufficiale dell'aprile 1965 e i cablogrammi dell'aprile-maggio 1978, con l'OCR grezzo di partenza custodito per catena di custodia. Il conteggio meccanico vi dà zero occorrenze del cognome. Le due estremità cadono l'una prima dell'ingresso al governo di quell'uomo, l'altra dopo la sua uscita: l'assenza è cronologicamente spiegata, e va detta spiegata.</w:t>
      </w:r>
    </w:p>
    <w:p>
      <w:pPr>
        <w:spacing w:after="120" w:line="276"/>
        <w:jc w:val="both"/>
      </w:pPr>
      <w:r>
        <w:rPr>
          <w:rFonts w:ascii="Barlow Semi Condensed" w:cs="Barlow Semi Condensed" w:eastAsia="Barlow Semi Condensed" w:hAnsi="Barlow Semi Condensed"/>
          <w:b/>
          <w:bCs/>
          <w:sz w:val="24"/>
          <w:szCs w:val="24"/>
        </w:rPr>
        <w:t xml:space="preserve">2615 · Nel 1965 il titolare era Rusk.</w:t>
      </w:r>
      <w:r>
        <w:rPr>
          <w:rFonts w:ascii="Barlow Semi Condensed" w:cs="Barlow Semi Condensed" w:eastAsia="Barlow Semi Condensed" w:hAnsi="Barlow Semi Condensed"/>
          <w:sz w:val="24"/>
          <w:szCs w:val="24"/>
        </w:rPr>
        <w:t xml:space="preserve"> Il programma ufficiale del 19-23 aprile 1965 mette Moro, allora presidente del Consiglio, davanti a Johnson, a Dean Rusk al Dipartimento di Stato, a McNamara alla Difesa, a Humphrey al Campidoglio, a U Thant alle Nazioni Unite. La Farnesina era di Fanfani. Il documento serve per contrasto: mostra come si documenta un rapporto bilaterale quando esiste, e quanto poco somigli a ciò che il 1969-1974 offre.</w:t>
      </w:r>
    </w:p>
    <w:p>
      <w:pPr>
        <w:spacing w:after="120" w:line="276"/>
        <w:jc w:val="both"/>
      </w:pPr>
      <w:r>
        <w:rPr>
          <w:rFonts w:ascii="Barlow Semi Condensed" w:cs="Barlow Semi Condensed" w:eastAsia="Barlow Semi Condensed" w:hAnsi="Barlow Semi Condensed"/>
          <w:b/>
          <w:bCs/>
          <w:sz w:val="24"/>
          <w:szCs w:val="24"/>
        </w:rPr>
        <w:t xml:space="preserve">2616 · Un testimone nella delegazione del 1965.</w:t>
      </w:r>
      <w:r>
        <w:rPr>
          <w:rFonts w:ascii="Barlow Semi Condensed" w:cs="Barlow Semi Condensed" w:eastAsia="Barlow Semi Condensed" w:hAnsi="Barlow Semi Condensed"/>
          <w:sz w:val="24"/>
          <w:szCs w:val="24"/>
        </w:rPr>
        <w:t xml:space="preserve"> Nell'elenco ufficiale dei «Members of the Party» figura Corrado Guerzoni, capo dell'Ufficio stampa della presidenza del Consiglio. È fatto pubblico documentato, e riguarda la persona che nel novembre 1982 renderà de relato, davanti alla Corte d'assise di Roma, la testimonianza contestata. Attesta prossimità istituzionale al dossier americano nel 1965: non attesta nulla sul contenuto di quella deposizione, che resta dove il corpus l'ha collocata.</w:t>
      </w:r>
    </w:p>
    <w:p>
      <w:pPr>
        <w:spacing w:after="120" w:line="276"/>
        <w:jc w:val="both"/>
      </w:pPr>
      <w:r>
        <w:rPr>
          <w:rFonts w:ascii="Barlow Semi Condensed" w:cs="Barlow Semi Condensed" w:eastAsia="Barlow Semi Condensed" w:hAnsi="Barlow Semi Condensed"/>
          <w:b/>
          <w:bCs/>
          <w:sz w:val="24"/>
          <w:szCs w:val="24"/>
        </w:rPr>
        <w:t xml:space="preserve">2617 · La testimonianza contestata e questo territorio.</w:t>
      </w:r>
      <w:r>
        <w:rPr>
          <w:rFonts w:ascii="Barlow Semi Condensed" w:cs="Barlow Semi Condensed" w:eastAsia="Barlow Semi Condensed" w:hAnsi="Barlow Semi Condensed"/>
          <w:sz w:val="24"/>
          <w:szCs w:val="24"/>
        </w:rPr>
        <w:t xml:space="preserve"> La ricognizione-madre non contiene l'episodio dell'avvertimento: non lo nomina, non lo discute, non lo colloca. È coerente col suo statuto documentale, perché quella vicenda è testimonianza de relato con data oscillante fra 1974, 1976 e 1977, nome ottenuto in aula e non offerto, sempre smentito dall'interessato, e la cui apparente moltiplicazione di fonti risale a un unico lancio d'agenzia del 30 novembre 2023.</w:t>
      </w:r>
    </w:p>
    <w:p>
      <w:pPr>
        <w:spacing w:after="120" w:line="276"/>
        <w:jc w:val="both"/>
      </w:pPr>
      <w:r>
        <w:rPr>
          <w:rFonts w:ascii="Barlow Semi Condensed" w:cs="Barlow Semi Condensed" w:eastAsia="Barlow Semi Condensed" w:hAnsi="Barlow Semi Condensed"/>
          <w:b/>
          <w:bCs/>
          <w:sz w:val="24"/>
          <w:szCs w:val="24"/>
        </w:rPr>
        <w:t xml:space="preserve">2618 · Due identità da accertare.</w:t>
      </w:r>
      <w:r>
        <w:rPr>
          <w:rFonts w:ascii="Barlow Semi Condensed" w:cs="Barlow Semi Condensed" w:eastAsia="Barlow Semi Condensed" w:hAnsi="Barlow Semi Condensed"/>
          <w:sz w:val="24"/>
          <w:szCs w:val="24"/>
        </w:rPr>
        <w:t xml:space="preserve"> Nella delegazione del 1965 compaiono Egidio Ortona, direttore generale degli affari economici, e Gianfranco Pompei, consigliere diplomatico: due nomi che ritornano altrove nella cartella, il primo nel capitolo settimo, il secondo nel capitolo decimo come autore di un diario d'ambasciata. Accertare che si tratti delle stesse persone è compito preliminare, non risultato. La cartella si è già data una cautela d'omonimia, e va applicata anche qui.</w:t>
      </w:r>
    </w:p>
    <w:p>
      <w:pPr>
        <w:spacing w:after="120" w:line="276"/>
        <w:jc w:val="both"/>
      </w:pPr>
      <w:r>
        <w:rPr>
          <w:rFonts w:ascii="Barlow Semi Condensed" w:cs="Barlow Semi Condensed" w:eastAsia="Barlow Semi Condensed" w:hAnsi="Barlow Semi Condensed"/>
          <w:b/>
          <w:bCs/>
          <w:sz w:val="24"/>
          <w:szCs w:val="24"/>
        </w:rPr>
        <w:t xml:space="preserve">2619 · Che cosa questa serie non ha stabilito (serie XXXIV).</w:t>
      </w:r>
      <w:r>
        <w:rPr>
          <w:rFonts w:ascii="Barlow Semi Condensed" w:cs="Barlow Semi Condensed" w:eastAsia="Barlow Semi Condensed" w:hAnsi="Barlow Semi Condensed"/>
          <w:sz w:val="24"/>
          <w:szCs w:val="24"/>
        </w:rPr>
        <w:t xml:space="preserve"> Non ha stabilito alcuna condotta, alcun disegno, alcuna responsabilità. Non ha stabilito che i due uomini avessero rapporti oltre il verbale del 25 settembre 1974. Non ha stabilito che le assenze qui misurate significhino occultamento: significano, finora, soltanto carte non cercate o non accessibili. E non ha stabilito che la firma in calce a un telegramma equivalga alla mano di chi la porta.</w:t>
      </w:r>
    </w:p>
    <w:p>
      <w:pPr>
        <w:spacing w:after="120" w:line="276"/>
        <w:jc w:val="both"/>
      </w:pPr>
      <w:r>
        <w:rPr>
          <w:rFonts w:ascii="Barlow Semi Condensed" w:cs="Barlow Semi Condensed" w:eastAsia="Barlow Semi Condensed" w:hAnsi="Barlow Semi Condensed"/>
          <w:b/>
          <w:bCs/>
          <w:sz w:val="24"/>
          <w:szCs w:val="24"/>
        </w:rPr>
        <w:t xml:space="preserve">2620 · Il bilancio della ricognizione-madre.</w:t>
      </w:r>
      <w:r>
        <w:rPr>
          <w:rFonts w:ascii="Barlow Semi Condensed" w:cs="Barlow Semi Condensed" w:eastAsia="Barlow Semi Condensed" w:hAnsi="Barlow Semi Condensed"/>
          <w:sz w:val="24"/>
          <w:szCs w:val="24"/>
        </w:rPr>
        <w:t xml:space="preserve"> Un ponte di primo piano, datato e con segnatura doppia; una fascia di secondo piano fatta di cornici atlantiche che non si toccano; due voci di terzo piano da fissare o da lasciare cadere; e undici capitoli su dodici che tacciono, ciascuno con la propria sede di chiusura. È l'esito corretto per un corpus che su questo nome possiede quasi nulla, e dichiararlo vale più che colmarlo.</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Serie trentacinquesima — La Farnesina: Germania e la sequenza Oder-Neisse</w:t>
      </w:r>
    </w:p>
    <w:p>
      <w:pPr>
        <w:spacing w:after="120" w:line="276"/>
        <w:jc w:val="both"/>
      </w:pPr>
      <w:r>
        <w:rPr>
          <w:rFonts w:ascii="Barlow Semi Condensed" w:cs="Barlow Semi Condensed" w:eastAsia="Barlow Semi Condensed" w:hAnsi="Barlow Semi Condensed"/>
          <w:i/>
          <w:iCs/>
          <w:sz w:val="24"/>
          <w:szCs w:val="24"/>
        </w:rPr>
        <w:t xml:space="preserve">Blocchi 2621-2700.</w:t>
      </w:r>
    </w:p>
    <w:p>
      <w:pPr>
        <w:spacing w:after="120" w:line="276"/>
        <w:jc w:val="both"/>
      </w:pPr>
      <w:r>
        <w:rPr>
          <w:rFonts w:ascii="Barlow Semi Condensed" w:cs="Barlow Semi Condensed" w:eastAsia="Barlow Semi Condensed" w:hAnsi="Barlow Semi Condensed"/>
          <w:b/>
          <w:bCs/>
          <w:sz w:val="24"/>
          <w:szCs w:val="24"/>
        </w:rPr>
        <w:t xml:space="preserve">2621 · La misura che apre la serie.</w:t>
      </w:r>
      <w:r>
        <w:rPr>
          <w:rFonts w:ascii="Barlow Semi Condensed" w:cs="Barlow Semi Condensed" w:eastAsia="Barlow Semi Condensed" w:hAnsi="Barlow Semi Condensed"/>
          <w:sz w:val="24"/>
          <w:szCs w:val="24"/>
        </w:rPr>
        <w:t xml:space="preserve"> Prima di scrivere si è contato. La stringa «Kissinger» ricorre zero volte in germania-opus-dei-1952-1985.md e zero volte in santa-sede-due-germanie-oder-neisse.md; zero anche «Washington», «Nixon», «Ford», «Dipartimento di Stato», «FRUS». Il nome non abita questo territorio. È un accertamento con perimetro dichiarato, non una premessa retorica, e si verbalizza secondo la regola del blocco 233 dell'agenda di ricerca: il buco misurato è conoscenza.</w:t>
      </w:r>
    </w:p>
    <w:p>
      <w:pPr>
        <w:spacing w:after="120" w:line="276"/>
        <w:jc w:val="both"/>
      </w:pPr>
      <w:r>
        <w:rPr>
          <w:rFonts w:ascii="Barlow Semi Condensed" w:cs="Barlow Semi Condensed" w:eastAsia="Barlow Semi Condensed" w:hAnsi="Barlow Semi Condensed"/>
          <w:b/>
          <w:bCs/>
          <w:sz w:val="24"/>
          <w:szCs w:val="24"/>
        </w:rPr>
        <w:t xml:space="preserve">2622 · L'unica occorrenza americana.</w:t>
      </w:r>
      <w:r>
        <w:rPr>
          <w:rFonts w:ascii="Barlow Semi Condensed" w:cs="Barlow Semi Condensed" w:eastAsia="Barlow Semi Condensed" w:hAnsi="Barlow Semi Condensed"/>
          <w:sz w:val="24"/>
          <w:szCs w:val="24"/>
        </w:rPr>
        <w:t xml:space="preserve"> Il conteggio restituisce un solo affioramento degli Stati Uniti nei due documenti: al capitolo IX del dossier tedesco, l'Accordo quadripartito su Berlino del 3 settembre 1971 «siglato da Francia, Regno Unito, Stati Uniti e Unione Sovietica». È un nome di potenza dentro un elenco di firmatari, senza persone, senza contenuto negoziale, senza verbale. Da quel punto solo può partire un bersaglio di primo piano.</w:t>
      </w:r>
    </w:p>
    <w:p>
      <w:pPr>
        <w:spacing w:after="120" w:line="276"/>
        <w:jc w:val="both"/>
      </w:pPr>
      <w:r>
        <w:rPr>
          <w:rFonts w:ascii="Barlow Semi Condensed" w:cs="Barlow Semi Condensed" w:eastAsia="Barlow Semi Condensed" w:hAnsi="Barlow Semi Condensed"/>
          <w:b/>
          <w:bCs/>
          <w:sz w:val="24"/>
          <w:szCs w:val="24"/>
        </w:rPr>
        <w:t xml:space="preserve">2623 · Il dollaro come secondo affioramento.</w:t>
      </w:r>
      <w:r>
        <w:rPr>
          <w:rFonts w:ascii="Barlow Semi Condensed" w:cs="Barlow Semi Condensed" w:eastAsia="Barlow Semi Condensed" w:hAnsi="Barlow Semi Condensed"/>
          <w:sz w:val="24"/>
          <w:szCs w:val="24"/>
        </w:rPr>
        <w:t xml:space="preserve"> Nel dossier Oder-Neisse la sola presenza americana è monetaria: l'uscita della lira dal serpente il 13 febbraio 1973 vi è datata «in coincidenza con la seconda svalutazione del dollaro». Un atto di politica valutaria, non una condotta individuale. Chi cercasse in quella riga una traccia del Segretario di Stato la trasformerebbe in ciò che non è: la distinzione fra atto di Stato e persona resta ferma.</w:t>
      </w:r>
    </w:p>
    <w:p>
      <w:pPr>
        <w:spacing w:after="120" w:line="276"/>
        <w:jc w:val="both"/>
      </w:pPr>
      <w:r>
        <w:rPr>
          <w:rFonts w:ascii="Barlow Semi Condensed" w:cs="Barlow Semi Condensed" w:eastAsia="Barlow Semi Condensed" w:hAnsi="Barlow Semi Condensed"/>
          <w:b/>
          <w:bCs/>
          <w:sz w:val="24"/>
          <w:szCs w:val="24"/>
        </w:rPr>
        <w:t xml:space="preserve">2624 · Tre volte NATO, mai una fonte.</w:t>
      </w:r>
      <w:r>
        <w:rPr>
          <w:rFonts w:ascii="Barlow Semi Condensed" w:cs="Barlow Semi Condensed" w:eastAsia="Barlow Semi Condensed" w:hAnsi="Barlow Semi Condensed"/>
          <w:sz w:val="24"/>
          <w:szCs w:val="24"/>
        </w:rPr>
        <w:t xml:space="preserve"> La sigla NATO compare tre volte nel dossier tedesco e sempre come cornice: l'Italia «alleato interessato» ma non parte contraente sul negoziato di Berlino, le ministeriali come sede di compresenza fra Moro e Scheel, quelle stesse ministeriali fra le carte da spogliare. Nel dossier sulle due Germanie non compare mai. Il canale atlantico è nominato come ambiente e non è mai citato come documento.</w:t>
      </w:r>
    </w:p>
    <w:p>
      <w:pPr>
        <w:spacing w:after="120" w:line="276"/>
        <w:jc w:val="both"/>
      </w:pPr>
      <w:r>
        <w:rPr>
          <w:rFonts w:ascii="Barlow Semi Condensed" w:cs="Barlow Semi Condensed" w:eastAsia="Barlow Semi Condensed" w:hAnsi="Barlow Semi Condensed"/>
          <w:b/>
          <w:bCs/>
          <w:sz w:val="24"/>
          <w:szCs w:val="24"/>
        </w:rPr>
        <w:t xml:space="preserve">2625 · Gli incarichi contro la catena.</w:t>
      </w:r>
      <w:r>
        <w:rPr>
          <w:rFonts w:ascii="Barlow Semi Condensed" w:cs="Barlow Semi Condensed" w:eastAsia="Barlow Semi Condensed" w:hAnsi="Barlow Semi Condensed"/>
          <w:sz w:val="24"/>
          <w:szCs w:val="24"/>
        </w:rPr>
        <w:t xml:space="preserve"> Assistente per la sicurezza nazionale dal 20 gennaio 1969 al 3 novembre 1975, Segretario di Stato dal 22 settembre 1973 al 20 gennaio 1977: l'intera catena Oder-Neisse — firma il 7 dicembre 1970, leggi di autorizzazione il 17 e il 19 maggio 1972, vigore il 3 giugno, costituzioni apostoliche il 28 giugno — cade dentro il primo incarico. È coincidenza di calendario: punto di partenza del quesito, non risposta.</w:t>
      </w:r>
    </w:p>
    <w:p>
      <w:pPr>
        <w:spacing w:after="120" w:line="276"/>
        <w:jc w:val="both"/>
      </w:pPr>
      <w:r>
        <w:rPr>
          <w:rFonts w:ascii="Barlow Semi Condensed" w:cs="Barlow Semi Condensed" w:eastAsia="Barlow Semi Condensed" w:hAnsi="Barlow Semi Condensed"/>
          <w:b/>
          <w:bCs/>
          <w:sz w:val="24"/>
          <w:szCs w:val="24"/>
        </w:rPr>
        <w:t xml:space="preserve">2626 · Berlino, l'unico appiglio giuridico.</w:t>
      </w:r>
      <w:r>
        <w:rPr>
          <w:rFonts w:ascii="Barlow Semi Condensed" w:cs="Barlow Semi Condensed" w:eastAsia="Barlow Semi Condensed" w:hAnsi="Barlow Semi Condensed"/>
          <w:sz w:val="24"/>
          <w:szCs w:val="24"/>
        </w:rPr>
        <w:t xml:space="preserve"> L'Accordo quadripartito è l'unico dei cinque atti della Ostpolitik in cui gli Stati Uniti siano parte contraente e non alleato spettatore. Qui, e soltanto qui, un documento di provenienza americana potrebbe costituire un ponte di primo piano con questo territorio. Il dossier tedesco lo nomina in una riga e dichiara Stato Zero la posizione italiana: due lacune adiacenti, di natura diversa, da non confondere.</w:t>
      </w:r>
    </w:p>
    <w:p>
      <w:pPr>
        <w:spacing w:after="120" w:line="276"/>
        <w:jc w:val="both"/>
      </w:pPr>
      <w:r>
        <w:rPr>
          <w:rFonts w:ascii="Barlow Semi Condensed" w:cs="Barlow Semi Condensed" w:eastAsia="Barlow Semi Condensed" w:hAnsi="Barlow Semi Condensed"/>
          <w:b/>
          <w:bCs/>
          <w:sz w:val="24"/>
          <w:szCs w:val="24"/>
        </w:rPr>
        <w:t xml:space="preserve">2627 · La sede che chiuderebbe lo zero.</w:t>
      </w:r>
      <w:r>
        <w:rPr>
          <w:rFonts w:ascii="Barlow Semi Condensed" w:cs="Barlow Semi Condensed" w:eastAsia="Barlow Semi Condensed" w:hAnsi="Barlow Semi Condensed"/>
          <w:sz w:val="24"/>
          <w:szCs w:val="24"/>
        </w:rPr>
        <w:t xml:space="preserve"> Il quesito si porta in archivio così: nella serie Foreign Relations of the United States 1969-1976, nel volume dedicato alla Germania e a Berlino, esiste un documento che nomini insieme il negoziato quadripartito e la riorganizzazione diocesana del 28 giugno 1972? Sede parallela, i Nixon Presidential Materials, NSC Files, Country Files per la Germania ai National Archives di College Park. Esito atteso negativo.</w:t>
      </w:r>
    </w:p>
    <w:p>
      <w:pPr>
        <w:spacing w:after="120" w:line="276"/>
        <w:jc w:val="both"/>
      </w:pPr>
      <w:r>
        <w:rPr>
          <w:rFonts w:ascii="Barlow Semi Condensed" w:cs="Barlow Semi Condensed" w:eastAsia="Barlow Semi Condensed" w:hAnsi="Barlow Semi Condensed"/>
          <w:b/>
          <w:bCs/>
          <w:sz w:val="24"/>
          <w:szCs w:val="24"/>
        </w:rPr>
        <w:t xml:space="preserve">2628 · La parola Germania nel 1974.</w:t>
      </w:r>
      <w:r>
        <w:rPr>
          <w:rFonts w:ascii="Barlow Semi Condensed" w:cs="Barlow Semi Condensed" w:eastAsia="Barlow Semi Condensed" w:hAnsi="Barlow Semi Condensed"/>
          <w:sz w:val="24"/>
          <w:szCs w:val="24"/>
        </w:rPr>
        <w:t xml:space="preserve"> Il solo documento di primo piano che il corpus possiede su questo nome — il memorandum dello Studio Ovale del 25 settembre 1974, FRUS 1969-1976 E-15 parte 2 documento 350, Ford Library 1552802 — nomina la Germania: alla vigilia fu detto a Ford che agli italiani andava parlato duramente, con un rischio di contagio indicato per Francia, Germania e Grecia. È l'unico incrocio testuale fra il nome e la parola.</w:t>
      </w:r>
    </w:p>
    <w:p>
      <w:pPr>
        <w:spacing w:after="120" w:line="276"/>
        <w:jc w:val="both"/>
      </w:pPr>
      <w:r>
        <w:rPr>
          <w:rFonts w:ascii="Barlow Semi Condensed" w:cs="Barlow Semi Condensed" w:eastAsia="Barlow Semi Condensed" w:hAnsi="Barlow Semi Condensed"/>
          <w:b/>
          <w:bCs/>
          <w:sz w:val="24"/>
          <w:szCs w:val="24"/>
        </w:rPr>
        <w:t xml:space="preserve">2629 · Che cosa quell'incrocio non consente.</w:t>
      </w:r>
      <w:r>
        <w:rPr>
          <w:rFonts w:ascii="Barlow Semi Condensed" w:cs="Barlow Semi Condensed" w:eastAsia="Barlow Semi Condensed" w:hAnsi="Barlow Semi Condensed"/>
          <w:sz w:val="24"/>
          <w:szCs w:val="24"/>
        </w:rPr>
        <w:t xml:space="preserve"> Quella menzione riguarda il timore di una presenza comunista al governo, non i confini orientali, non le diocesi, non la Ostpolitik. Trasferirla a questo territorio significherebbe promuovere una parola a nesso. Il verbale non contiene alcun ultimatum personale ad Aldo Moro, come l'opera accerta in copertina, e non attesta alcuna posizione di Moro in quella sede: entrambe le cautele valgono qui per intero.</w:t>
      </w:r>
    </w:p>
    <w:p>
      <w:pPr>
        <w:spacing w:after="120" w:line="276"/>
        <w:jc w:val="both"/>
      </w:pPr>
      <w:r>
        <w:rPr>
          <w:rFonts w:ascii="Barlow Semi Condensed" w:cs="Barlow Semi Condensed" w:eastAsia="Barlow Semi Condensed" w:hAnsi="Barlow Semi Condensed"/>
          <w:b/>
          <w:bCs/>
          <w:sz w:val="24"/>
          <w:szCs w:val="24"/>
        </w:rPr>
        <w:t xml:space="preserve">2630 · Helsinki, dove il territorio tace.</w:t>
      </w:r>
      <w:r>
        <w:rPr>
          <w:rFonts w:ascii="Barlow Semi Condensed" w:cs="Barlow Semi Condensed" w:eastAsia="Barlow Semi Condensed" w:hAnsi="Barlow Semi Condensed"/>
          <w:sz w:val="24"/>
          <w:szCs w:val="24"/>
        </w:rPr>
        <w:t xml:space="preserve"> Il capitolo XI del dossier sulle due Germanie ricostruisce l'Atto finale del 1° agosto 1975 — trentacinque Stati, Schmidt per Bonn, Honecker per Berlino Est, Moro nella duplice qualità, l'ambasciatore Ferraris tessitore per l'Italia, la Santa Sede firmataria — e non nomina mai il Segretario di Stato americano. Il corpus invece registra la sua insofferenza per il coinvolgimento comunitario nella firma. Le due cose si riportano accanto.</w:t>
      </w:r>
    </w:p>
    <w:p>
      <w:pPr>
        <w:spacing w:after="120" w:line="276"/>
        <w:jc w:val="both"/>
      </w:pPr>
      <w:r>
        <w:rPr>
          <w:rFonts w:ascii="Barlow Semi Condensed" w:cs="Barlow Semi Condensed" w:eastAsia="Barlow Semi Condensed" w:hAnsi="Barlow Semi Condensed"/>
          <w:b/>
          <w:bCs/>
          <w:sz w:val="24"/>
          <w:szCs w:val="24"/>
        </w:rPr>
        <w:t xml:space="preserve">2631 · L'insofferenza resta al terzo piano.</w:t>
      </w:r>
      <w:r>
        <w:rPr>
          <w:rFonts w:ascii="Barlow Semi Condensed" w:cs="Barlow Semi Condensed" w:eastAsia="Barlow Semi Condensed" w:hAnsi="Barlow Semi Condensed"/>
          <w:sz w:val="24"/>
          <w:szCs w:val="24"/>
        </w:rPr>
        <w:t xml:space="preserve"> Quel dato proviene da fonte pubblicistica e storiografica secondaria, non da un verbale, come i blocchi 43, 193 e 256 dell'opera già stabiliscono. Finché la carta non è citata con la sua segnatura, resta affermazione terziaria. Le sedi restano quelle indicate: il volume della serie FRUS 1969-1976 sulla sicurezza europea e i memoranda di conversazione della Ford Library per i mesi di luglio e agosto 1975.</w:t>
      </w:r>
    </w:p>
    <w:p>
      <w:pPr>
        <w:spacing w:after="120" w:line="276"/>
        <w:jc w:val="both"/>
      </w:pPr>
      <w:r>
        <w:rPr>
          <w:rFonts w:ascii="Barlow Semi Condensed" w:cs="Barlow Semi Condensed" w:eastAsia="Barlow Semi Condensed" w:hAnsi="Barlow Semi Condensed"/>
          <w:b/>
          <w:bCs/>
          <w:sz w:val="24"/>
          <w:szCs w:val="24"/>
        </w:rPr>
        <w:t xml:space="preserve">2632 · Il principio III e la clausola.</w:t>
      </w:r>
      <w:r>
        <w:rPr>
          <w:rFonts w:ascii="Barlow Semi Condensed" w:cs="Barlow Semi Condensed" w:eastAsia="Barlow Semi Condensed" w:hAnsi="Barlow Semi Condensed"/>
          <w:sz w:val="24"/>
          <w:szCs w:val="24"/>
        </w:rPr>
        <w:t xml:space="preserve"> Il territorio accerta che il principio III sancisce l'inviolabilità delle frontiere e che la clausola sulla loro modificabilità per via pacifica fu essenziale a Bonn per non precludere la riunificazione. Quesito da portare al fascicolo negoziale americano: quale posizione tenne su quella clausola la delegazione statunitense. La domanda è legittima perché riguarda un testo, e diventa illegittima se serve ad attribuire a un uomo il risultato.</w:t>
      </w:r>
    </w:p>
    <w:p>
      <w:pPr>
        <w:spacing w:after="120" w:line="276"/>
        <w:jc w:val="both"/>
      </w:pPr>
      <w:r>
        <w:rPr>
          <w:rFonts w:ascii="Barlow Semi Condensed" w:cs="Barlow Semi Condensed" w:eastAsia="Barlow Semi Condensed" w:hAnsi="Barlow Semi Condensed"/>
          <w:b/>
          <w:bCs/>
          <w:sz w:val="24"/>
          <w:szCs w:val="24"/>
        </w:rPr>
        <w:t xml:space="preserve">2633 · La lettera che non esiste.</w:t>
      </w:r>
      <w:r>
        <w:rPr>
          <w:rFonts w:ascii="Barlow Semi Condensed" w:cs="Barlow Semi Condensed" w:eastAsia="Barlow Semi Condensed" w:hAnsi="Barlow Semi Condensed"/>
          <w:sz w:val="24"/>
          <w:szCs w:val="24"/>
        </w:rPr>
        <w:t xml:space="preserve"> Esito negativo del medesimo capitolo, da conservare: nessuna lettera tedesca sull'unità nazionale risulta allegata all'Atto finale di Helsinki. Il «Brief zur deutschen Einheit» fu allegato al Trattato di Mosca del 1970 e al Trattato fondamentale del 1972, non a Helsinki, dove la funzione fu assolta dalla clausola. Chi costruisse un ruolo negoziale americano attorno a un documento inesistente edificherebbe su un vuoto già misurato.</w:t>
      </w:r>
    </w:p>
    <w:p>
      <w:pPr>
        <w:spacing w:after="120" w:line="276"/>
        <w:jc w:val="both"/>
      </w:pPr>
      <w:r>
        <w:rPr>
          <w:rFonts w:ascii="Barlow Semi Condensed" w:cs="Barlow Semi Condensed" w:eastAsia="Barlow Semi Condensed" w:hAnsi="Barlow Semi Condensed"/>
          <w:b/>
          <w:bCs/>
          <w:sz w:val="24"/>
          <w:szCs w:val="24"/>
        </w:rPr>
        <w:t xml:space="preserve">2634 · Le due firme tedesche dell'Atto finale.</w:t>
      </w:r>
      <w:r>
        <w:rPr>
          <w:rFonts w:ascii="Barlow Semi Condensed" w:cs="Barlow Semi Condensed" w:eastAsia="Barlow Semi Condensed" w:hAnsi="Barlow Semi Condensed"/>
          <w:sz w:val="24"/>
          <w:szCs w:val="24"/>
        </w:rPr>
        <w:t xml:space="preserve"> Il corpus qualifica la firma del 1° agosto 1975 come l'unica triangolazione certa del proprio perimetro, e questo territorio vi aggiunge le due Germanie firmatarie alla pari. L'aggiunta non moltiplica i ponti: allarga la comunanza di sede. Trentacinque Stati che sottoscrivono lo stesso testo nello stesso giorno costituiscono un ambiente documentato e mai una concertazione, come i blocchi 536 e 737 prescrivono di ricordare.</w:t>
      </w:r>
    </w:p>
    <w:p>
      <w:pPr>
        <w:spacing w:after="120" w:line="276"/>
        <w:jc w:val="both"/>
      </w:pPr>
      <w:r>
        <w:rPr>
          <w:rFonts w:ascii="Barlow Semi Condensed" w:cs="Barlow Semi Condensed" w:eastAsia="Barlow Semi Condensed" w:hAnsi="Barlow Semi Condensed"/>
          <w:b/>
          <w:bCs/>
          <w:sz w:val="24"/>
          <w:szCs w:val="24"/>
        </w:rPr>
        <w:t xml:space="preserve">2635 · La duplice qualità e il conteggio.</w:t>
      </w:r>
      <w:r>
        <w:rPr>
          <w:rFonts w:ascii="Barlow Semi Condensed" w:cs="Barlow Semi Condensed" w:eastAsia="Barlow Semi Condensed" w:hAnsi="Barlow Semi Condensed"/>
          <w:sz w:val="24"/>
          <w:szCs w:val="24"/>
        </w:rPr>
        <w:t xml:space="preserve"> Un solo atto che esprime due mandati distinti non va contato due volte: la cautela del blocco 737 vale anche qui, dove le firme convergenti sono molte. Moro sottoscrisse come presidente del Consiglio e presidente di turno della Comunità; la Santa Sede sottoscrisse per sé. Sommare qualità e soggetti gonfierebbe qualunque misura di convergenza fra questo nome e questo territorio, che allo stato è pari a zero.</w:t>
      </w:r>
    </w:p>
    <w:p>
      <w:pPr>
        <w:spacing w:after="120" w:line="276"/>
        <w:jc w:val="both"/>
      </w:pPr>
      <w:r>
        <w:rPr>
          <w:rFonts w:ascii="Barlow Semi Condensed" w:cs="Barlow Semi Condensed" w:eastAsia="Barlow Semi Condensed" w:hAnsi="Barlow Semi Condensed"/>
          <w:b/>
          <w:bCs/>
          <w:sz w:val="24"/>
          <w:szCs w:val="24"/>
        </w:rPr>
        <w:t xml:space="preserve">2636 · Il Trattato di Mosca e la lettera.</w:t>
      </w:r>
      <w:r>
        <w:rPr>
          <w:rFonts w:ascii="Barlow Semi Condensed" w:cs="Barlow Semi Condensed" w:eastAsia="Barlow Semi Condensed" w:hAnsi="Barlow Semi Condensed"/>
          <w:sz w:val="24"/>
          <w:szCs w:val="24"/>
        </w:rPr>
        <w:t xml:space="preserve"> Il 12 agosto 1970 la Repubblica Federale riconobbe l'inviolabilità dei confini esistenti e, su insistenza di Scheel, Mosca accettò di ricevere la lettera sull'unità tedesca. Il territorio documenta l'atto per fonti tedesche — Bundestag, Konrad-Adenauer-Stiftung, Bundeszentrale für politische Bildung — e per nessuna fonte americana. Quesito: se e quando Washington fu informata di quella lettera. Sede, gli Akten zur Auswärtigen Politik per l'annata 1970.</w:t>
      </w:r>
    </w:p>
    <w:p>
      <w:pPr>
        <w:spacing w:after="120" w:line="276"/>
        <w:jc w:val="both"/>
      </w:pPr>
      <w:r>
        <w:rPr>
          <w:rFonts w:ascii="Barlow Semi Condensed" w:cs="Barlow Semi Condensed" w:eastAsia="Barlow Semi Condensed" w:hAnsi="Barlow Semi Condensed"/>
          <w:b/>
          <w:bCs/>
          <w:sz w:val="24"/>
          <w:szCs w:val="24"/>
        </w:rPr>
        <w:t xml:space="preserve">2637 · Varsavia, e ciò che vi mancò.</w:t>
      </w:r>
      <w:r>
        <w:rPr>
          <w:rFonts w:ascii="Barlow Semi Condensed" w:cs="Barlow Semi Condensed" w:eastAsia="Barlow Semi Condensed" w:hAnsi="Barlow Semi Condensed"/>
          <w:sz w:val="24"/>
          <w:szCs w:val="24"/>
        </w:rPr>
        <w:t xml:space="preserve"> Verso Varsavia il governo federale rinunciò alla lettera di accompagnamento, e la Polonia lesse perciò il trattato del 7 dicembre 1970 come riconoscimento definitivo della frontiera: lo documenta la Konrad-Adenauer-Stiftung. L'asimmetria fra i due trattati è tedesco-polacca e si spiega dentro quella cornice. Nessun documento reperito dal territorio la collega a una scelta, a un consiglio o a una pressione di parte americana.</w:t>
      </w:r>
    </w:p>
    <w:p>
      <w:pPr>
        <w:spacing w:after="120" w:line="276"/>
        <w:jc w:val="both"/>
      </w:pPr>
      <w:r>
        <w:rPr>
          <w:rFonts w:ascii="Barlow Semi Condensed" w:cs="Barlow Semi Condensed" w:eastAsia="Barlow Semi Condensed" w:hAnsi="Barlow Semi Condensed"/>
          <w:b/>
          <w:bCs/>
          <w:sz w:val="24"/>
          <w:szCs w:val="24"/>
        </w:rPr>
        <w:t xml:space="preserve">2638 · Il Kniefall e la firma, due atti.</w:t>
      </w:r>
      <w:r>
        <w:rPr>
          <w:rFonts w:ascii="Barlow Semi Condensed" w:cs="Barlow Semi Condensed" w:eastAsia="Barlow Semi Condensed" w:hAnsi="Barlow Semi Condensed"/>
          <w:sz w:val="24"/>
          <w:szCs w:val="24"/>
        </w:rPr>
        <w:t xml:space="preserve"> L'apparato F-1 della seconda campagna precisa che l'inginocchiamento davanti al monumento agli eroi del ghetto precede la firma di poche ore nella medesima giornata del 7 dicembre 1970: due eventi distinti, non il medesimo atto. La precisione serve qui a una funzione sola: chi confonde due atti dello stesso giorno confonderà con la stessa facilità due attori della stessa stagione.</w:t>
      </w:r>
    </w:p>
    <w:p>
      <w:pPr>
        <w:spacing w:after="120" w:line="276"/>
        <w:jc w:val="both"/>
      </w:pPr>
      <w:r>
        <w:rPr>
          <w:rFonts w:ascii="Barlow Semi Condensed" w:cs="Barlow Semi Condensed" w:eastAsia="Barlow Semi Condensed" w:hAnsi="Barlow Semi Condensed"/>
          <w:b/>
          <w:bCs/>
          <w:sz w:val="24"/>
          <w:szCs w:val="24"/>
        </w:rPr>
        <w:t xml:space="preserve">2639 · La formula corrente è imprecisa.</w:t>
      </w:r>
      <w:r>
        <w:rPr>
          <w:rFonts w:ascii="Barlow Semi Condensed" w:cs="Barlow Semi Condensed" w:eastAsia="Barlow Semi Condensed" w:hAnsi="Barlow Semi Condensed"/>
          <w:sz w:val="24"/>
          <w:szCs w:val="24"/>
        </w:rPr>
        <w:t xml:space="preserve"> «Il Bundestag ratificò il trattato il 17 maggio 1972» è formula costituzionalmente scorretta: quel giorno furono approvate le leggi di autorizzazione alla ratifica, il Bundesrat si pronunciò il 19, e la ratifica in senso proprio è atto successivo del capo dello Stato. La correzione è del corpus, ai blocchi 367 e 596. Chi cita il territorio lo citi emendato, altrimenti trasmette un errore già corretto.</w:t>
      </w:r>
    </w:p>
    <w:p>
      <w:pPr>
        <w:spacing w:after="120" w:line="276"/>
        <w:jc w:val="both"/>
      </w:pPr>
      <w:r>
        <w:rPr>
          <w:rFonts w:ascii="Barlow Semi Condensed" w:cs="Barlow Semi Condensed" w:eastAsia="Barlow Semi Condensed" w:hAnsi="Barlow Semi Condensed"/>
          <w:b/>
          <w:bCs/>
          <w:sz w:val="24"/>
          <w:szCs w:val="24"/>
        </w:rPr>
        <w:t xml:space="preserve">2640 · Il voto di sfiducia dell'aprile 1972.</w:t>
      </w:r>
      <w:r>
        <w:rPr>
          <w:rFonts w:ascii="Barlow Semi Condensed" w:cs="Barlow Semi Condensed" w:eastAsia="Barlow Semi Condensed" w:hAnsi="Barlow Semi Condensed"/>
          <w:sz w:val="24"/>
          <w:szCs w:val="24"/>
        </w:rPr>
        <w:t xml:space="preserve"> La ratifica fu preceduta dal fallito voto di sfiducia costruttiva di Rainer Barzel del 24 aprile 1972 e accompagnata da una risoluzione comune di governo e opposizione. È crisi interna alla Repubblica Federale. Quesito legittimo e non risolto dal territorio: quali valutazioni ne diede l'alleato atlantico. Sedi, il Politisches Archiv di Berlino e i fascicoli dell'ambasciata statunitense a Bonn nel Record Group 59.</w:t>
      </w:r>
    </w:p>
    <w:p>
      <w:pPr>
        <w:spacing w:after="120" w:line="276"/>
        <w:jc w:val="both"/>
      </w:pPr>
      <w:r>
        <w:rPr>
          <w:rFonts w:ascii="Barlow Semi Condensed" w:cs="Barlow Semi Condensed" w:eastAsia="Barlow Semi Condensed" w:hAnsi="Barlow Semi Condensed"/>
          <w:b/>
          <w:bCs/>
          <w:sz w:val="24"/>
          <w:szCs w:val="24"/>
        </w:rPr>
        <w:t xml:space="preserve">2641 · Lo scambio degli strumenti a Bonn.</w:t>
      </w:r>
      <w:r>
        <w:rPr>
          <w:rFonts w:ascii="Barlow Semi Condensed" w:cs="Barlow Semi Condensed" w:eastAsia="Barlow Semi Condensed" w:hAnsi="Barlow Semi Condensed"/>
          <w:sz w:val="24"/>
          <w:szCs w:val="24"/>
        </w:rPr>
        <w:t xml:space="preserve"> Il 3 giugno 1972 lo scambio degli strumenti di ratifica a Bonn fece entrare in vigore i trattati di Mosca e di Varsavia insieme all'Accordo quadripartito. Quel contestuale entrare in vigore è il punto in cui la sola parte contraente americana dei cinque atti tocca materialmente la catena Oder-Neisse. È l'aggancio più promettente del territorio, e lo è perché documentale, non perché suggestivo.</w:t>
      </w:r>
    </w:p>
    <w:p>
      <w:pPr>
        <w:spacing w:after="120" w:line="276"/>
        <w:jc w:val="both"/>
      </w:pPr>
      <w:r>
        <w:rPr>
          <w:rFonts w:ascii="Barlow Semi Condensed" w:cs="Barlow Semi Condensed" w:eastAsia="Barlow Semi Condensed" w:hAnsi="Barlow Semi Condensed"/>
          <w:b/>
          <w:bCs/>
          <w:sz w:val="24"/>
          <w:szCs w:val="24"/>
        </w:rPr>
        <w:t xml:space="preserve">2642 · Venticinque giorni, e come si contano.</w:t>
      </w:r>
      <w:r>
        <w:rPr>
          <w:rFonts w:ascii="Barlow Semi Condensed" w:cs="Barlow Semi Condensed" w:eastAsia="Barlow Semi Condensed" w:hAnsi="Barlow Semi Condensed"/>
          <w:sz w:val="24"/>
          <w:szCs w:val="24"/>
        </w:rPr>
        <w:t xml:space="preserve"> Il divario si conta dall'entrata in vigore del 3 giugno all'atto pontificio del 28 giugno: venticinque giorni. Contarlo dal 17 maggio ne darebbe quarantadue e poggerebbe su un atto di ratifica parlamentare che in quella forma non esiste. La regola vale come antidoto generale: una distanza fra due date è argomento soltanto se entrambe le date sono qualificate con esattezza.</w:t>
      </w:r>
    </w:p>
    <w:p>
      <w:pPr>
        <w:spacing w:after="120" w:line="276"/>
        <w:jc w:val="both"/>
      </w:pPr>
      <w:r>
        <w:rPr>
          <w:rFonts w:ascii="Barlow Semi Condensed" w:cs="Barlow Semi Condensed" w:eastAsia="Barlow Semi Condensed" w:hAnsi="Barlow Semi Condensed"/>
          <w:b/>
          <w:bCs/>
          <w:sz w:val="24"/>
          <w:szCs w:val="24"/>
        </w:rPr>
        <w:t xml:space="preserve">2643 · La comunicazione che rende esplicito il legame.</w:t>
      </w:r>
      <w:r>
        <w:rPr>
          <w:rFonts w:ascii="Barlow Semi Condensed" w:cs="Barlow Semi Condensed" w:eastAsia="Barlow Semi Condensed" w:hAnsi="Barlow Semi Condensed"/>
          <w:sz w:val="24"/>
          <w:szCs w:val="24"/>
        </w:rPr>
        <w:t xml:space="preserve"> Secondo Hummel non è la bolla a dichiarare l'attesa del trattato, ma la comunicazione vaticana di accompagnamento del 28 giugno 1972, che «si riferì espressamente al trattato tedesco-polacco», con reazione romana «entro tre settimane». Il nesso è dunque attestato, e lo è fra Roma, Bonn e Varsavia. Nessun quarto attore entra in quella catena, e non ve lo si può aggiungere per via di contemporaneità.</w:t>
      </w:r>
    </w:p>
    <w:p>
      <w:pPr>
        <w:spacing w:after="120" w:line="276"/>
        <w:jc w:val="both"/>
      </w:pPr>
      <w:r>
        <w:rPr>
          <w:rFonts w:ascii="Barlow Semi Condensed" w:cs="Barlow Semi Condensed" w:eastAsia="Barlow Semi Condensed" w:hAnsi="Barlow Semi Condensed"/>
          <w:b/>
          <w:bCs/>
          <w:sz w:val="24"/>
          <w:szCs w:val="24"/>
        </w:rPr>
        <w:t xml:space="preserve">2644 · Il latino che tace la ragione politica.</w:t>
      </w:r>
      <w:r>
        <w:rPr>
          <w:rFonts w:ascii="Barlow Semi Condensed" w:cs="Barlow Semi Condensed" w:eastAsia="Barlow Semi Condensed" w:hAnsi="Barlow Semi Condensed"/>
          <w:sz w:val="24"/>
          <w:szCs w:val="24"/>
        </w:rPr>
        <w:t xml:space="preserve"> Le due costituzioni apostoliche adducono una ragione pastorale — «ad aptius propiusque christianum populum regendum» — e l'accoglimento della richiesta dell'episcopato polacco. Il testo canonico tace la politica per scelta deliberata, come la storiografia anglofona legge. Se tace Bonn e Varsavia, a maggior ragione tace ogni altra capitale: l'assenza di un nome in un atto che tace tutti i nomi non è indizio, è forma del documento.</w:t>
      </w:r>
    </w:p>
    <w:p>
      <w:pPr>
        <w:spacing w:after="120" w:line="276"/>
        <w:jc w:val="both"/>
      </w:pPr>
      <w:r>
        <w:rPr>
          <w:rFonts w:ascii="Barlow Semi Condensed" w:cs="Barlow Semi Condensed" w:eastAsia="Barlow Semi Condensed" w:hAnsi="Barlow Semi Condensed"/>
          <w:b/>
          <w:bCs/>
          <w:sz w:val="24"/>
          <w:szCs w:val="24"/>
        </w:rPr>
        <w:t xml:space="preserve">2645 · Hummel e le sue due sedi.</w:t>
      </w:r>
      <w:r>
        <w:rPr>
          <w:rFonts w:ascii="Barlow Semi Condensed" w:cs="Barlow Semi Condensed" w:eastAsia="Barlow Semi Condensed" w:hAnsi="Barlow Semi Condensed"/>
          <w:sz w:val="24"/>
          <w:szCs w:val="24"/>
        </w:rPr>
        <w:t xml:space="preserve"> La verifica del corpus identifica due sedi editoriali distinte per il saggio di Karl-Joseph Hummel: OST-WEST Europäische Perspektiven, fascicolo 4 del 2005, e Archiv für Sozialgeschichte 45 del 2005, alle pagine 165-214. Bersaglio eseguibile: leggerle entrambe e verbalizzare se vi compaia un attore statunitense. L'esito atteso è negativo, e un esito negativo su fonte nominata vale più di un silenzio non cercato.</w:t>
      </w:r>
    </w:p>
    <w:p>
      <w:pPr>
        <w:spacing w:after="120" w:line="276"/>
        <w:jc w:val="both"/>
      </w:pPr>
      <w:r>
        <w:rPr>
          <w:rFonts w:ascii="Barlow Semi Condensed" w:cs="Barlow Semi Condensed" w:eastAsia="Barlow Semi Condensed" w:hAnsi="Barlow Semi Condensed"/>
          <w:b/>
          <w:bCs/>
          <w:sz w:val="24"/>
          <w:szCs w:val="24"/>
        </w:rPr>
        <w:t xml:space="preserve">2646 · La consuetudine riferita da Döpfner.</w:t>
      </w:r>
      <w:r>
        <w:rPr>
          <w:rFonts w:ascii="Barlow Semi Condensed" w:cs="Barlow Semi Condensed" w:eastAsia="Barlow Semi Condensed" w:hAnsi="Barlow Semi Condensed"/>
          <w:sz w:val="24"/>
          <w:szCs w:val="24"/>
        </w:rPr>
        <w:t xml:space="preserve"> Il cardinale Döpfner riferì a Bonn, dopo consultazione a Roma, che si teneva fermo il principio di non mutare lo status delle diocesi prima di un trattato di pace: «man halte in Rom entschieden an der bekannten Gepflogenheit fest». È un canale Roma-Bonn passante per un vescovo, documentato in citazione. Il corpus non conosce alcun canale analogo verso Washington, e non deve immaginarlo.</w:t>
      </w:r>
    </w:p>
    <w:p>
      <w:pPr>
        <w:spacing w:after="120" w:line="276"/>
        <w:jc w:val="both"/>
      </w:pPr>
      <w:r>
        <w:rPr>
          <w:rFonts w:ascii="Barlow Semi Condensed" w:cs="Barlow Semi Condensed" w:eastAsia="Barlow Semi Condensed" w:hAnsi="Barlow Semi Condensed"/>
          <w:b/>
          <w:bCs/>
          <w:sz w:val="24"/>
          <w:szCs w:val="24"/>
        </w:rPr>
        <w:t xml:space="preserve">2647 · Le carte del cardinale, dove stanno.</w:t>
      </w:r>
      <w:r>
        <w:rPr>
          <w:rFonts w:ascii="Barlow Semi Condensed" w:cs="Barlow Semi Condensed" w:eastAsia="Barlow Semi Condensed" w:hAnsi="Barlow Semi Condensed"/>
          <w:sz w:val="24"/>
          <w:szCs w:val="24"/>
        </w:rPr>
        <w:t xml:space="preserve"> Presso l'archivio della Conferenza episcopale tedesca e presso l'archivio dell'arcidiocesi di Monaco sono conservate le carte di Döpfner: è lì che si accerterebbe se fra i suoi corrispondenti sulla questione dei confini figurassero diplomatici americani. Finché non vi si entra, la risposta corretta è Stato Zero dichiarato con la sua sede, che è la forma disciplinata dell'ignoranza e non un modo elegante di tacere.</w:t>
      </w:r>
    </w:p>
    <w:p>
      <w:pPr>
        <w:spacing w:after="120" w:line="276"/>
        <w:jc w:val="both"/>
      </w:pPr>
      <w:r>
        <w:rPr>
          <w:rFonts w:ascii="Barlow Semi Condensed" w:cs="Barlow Semi Condensed" w:eastAsia="Barlow Semi Condensed" w:hAnsi="Barlow Semi Condensed"/>
          <w:b/>
          <w:bCs/>
          <w:sz w:val="24"/>
          <w:szCs w:val="24"/>
        </w:rPr>
        <w:t xml:space="preserve">2648 · Casaroli e i colloqui del 1971.</w:t>
      </w:r>
      <w:r>
        <w:rPr>
          <w:rFonts w:ascii="Barlow Semi Condensed" w:cs="Barlow Semi Condensed" w:eastAsia="Barlow Semi Condensed" w:hAnsi="Barlow Semi Condensed"/>
          <w:sz w:val="24"/>
          <w:szCs w:val="24"/>
        </w:rPr>
        <w:t xml:space="preserve"> I colloqui condotti da Agostino Casaroli con le autorità della Repubblica Popolare di Polonia nell'aprile e nel novembre 1971 prepararono l'atto del 1972 e portarono alla normalizzazione dei rapporti di lavoro senza relazioni diplomatiche piene. Il territorio li documenta per fonte enciclopedica e per la recensione del volume curato da Melloni. Nessuna verbalizzazione di quei colloqui è oggi accessibile, e la ragione è strutturale.</w:t>
      </w:r>
    </w:p>
    <w:p>
      <w:pPr>
        <w:spacing w:after="120" w:line="276"/>
        <w:jc w:val="both"/>
      </w:pPr>
      <w:r>
        <w:rPr>
          <w:rFonts w:ascii="Barlow Semi Condensed" w:cs="Barlow Semi Condensed" w:eastAsia="Barlow Semi Condensed" w:hAnsi="Barlow Semi Condensed"/>
          <w:b/>
          <w:bCs/>
          <w:sz w:val="24"/>
          <w:szCs w:val="24"/>
        </w:rPr>
        <w:t xml:space="preserve">2649 · L'archivio che non si apre.</w:t>
      </w:r>
      <w:r>
        <w:rPr>
          <w:rFonts w:ascii="Barlow Semi Condensed" w:cs="Barlow Semi Condensed" w:eastAsia="Barlow Semi Condensed" w:hAnsi="Barlow Semi Condensed"/>
          <w:sz w:val="24"/>
          <w:szCs w:val="24"/>
        </w:rPr>
        <w:t xml:space="preserve"> L'Archivio Apostolico Vaticano è consultabile fino all'ottobre 1958: i pontificati di Giovanni XXIII, Paolo VI e Giovanni Paolo II restano chiusi, sicché ogni verifica primaria sull'atto del 1972 e sui negoziati di Casaroli è preclusa allo stato. Non è vuoto di fatto ma limite di accesso, e la seconda campagna lo ha già opposto alle indicazioni che davano quegli archivi per interrogabili.</w:t>
      </w:r>
    </w:p>
    <w:p>
      <w:pPr>
        <w:spacing w:after="120" w:line="276"/>
        <w:jc w:val="both"/>
      </w:pPr>
      <w:r>
        <w:rPr>
          <w:rFonts w:ascii="Barlow Semi Condensed" w:cs="Barlow Semi Condensed" w:eastAsia="Barlow Semi Condensed" w:hAnsi="Barlow Semi Condensed"/>
          <w:b/>
          <w:bCs/>
          <w:sz w:val="24"/>
          <w:szCs w:val="24"/>
        </w:rPr>
        <w:t xml:space="preserve">2650 · Tre interessi elencati, e chi manca.</w:t>
      </w:r>
      <w:r>
        <w:rPr>
          <w:rFonts w:ascii="Barlow Semi Condensed" w:cs="Barlow Semi Condensed" w:eastAsia="Barlow Semi Condensed" w:hAnsi="Barlow Semi Condensed"/>
          <w:sz w:val="24"/>
          <w:szCs w:val="24"/>
        </w:rPr>
        <w:t xml:space="preserve"> La recensione su Project MUSE, citata dal territorio, elenca gli interessi convergenti dei primi anni Settanta: Bonn che voleva discutere i confini con l'Est, il Vaticano che voleva sistemare frontiere statali e diocesane, Berlino Est che cercava riconoscimento come Stato separato. Washington non è nell'elenco. È assenza in una fonte storiografica nominata, dunque misurabile: si registra e non si colma per inferenza.</w:t>
      </w:r>
    </w:p>
    <w:p>
      <w:pPr>
        <w:spacing w:after="120" w:line="276"/>
        <w:jc w:val="both"/>
      </w:pPr>
      <w:r>
        <w:rPr>
          <w:rFonts w:ascii="Barlow Semi Condensed" w:cs="Barlow Semi Condensed" w:eastAsia="Barlow Semi Condensed" w:hAnsi="Barlow Semi Condensed"/>
          <w:b/>
          <w:bCs/>
          <w:sz w:val="24"/>
          <w:szCs w:val="24"/>
        </w:rPr>
        <w:t xml:space="preserve">2651 · La divergenza su Casaroli si riporta.</w:t>
      </w:r>
      <w:r>
        <w:rPr>
          <w:rFonts w:ascii="Barlow Semi Condensed" w:cs="Barlow Semi Condensed" w:eastAsia="Barlow Semi Condensed" w:hAnsi="Barlow Semi Condensed"/>
          <w:sz w:val="24"/>
          <w:szCs w:val="24"/>
        </w:rPr>
        <w:t xml:space="preserve"> Sul valore complessivo della Ostpolitik vaticana la storiografia diverge apertamente: George Weigel la giudica eccessivamente cauta, ambienti vaticani e italiani la celebrano come chiave del crollo del comunismo europeo. È controversia interpretativa e non dato di fatto, e come tale va riportata ogni volta. Nessuna delle due letture chiama in causa il nome oggetto di questa serie, e non la si costringa a farlo.</w:t>
      </w:r>
    </w:p>
    <w:p>
      <w:pPr>
        <w:spacing w:after="120" w:line="276"/>
        <w:jc w:val="both"/>
      </w:pPr>
      <w:r>
        <w:rPr>
          <w:rFonts w:ascii="Barlow Semi Condensed" w:cs="Barlow Semi Condensed" w:eastAsia="Barlow Semi Condensed" w:hAnsi="Barlow Semi Condensed"/>
          <w:b/>
          <w:bCs/>
          <w:sz w:val="24"/>
          <w:szCs w:val="24"/>
        </w:rPr>
        <w:t xml:space="preserve">2652 · Il riconoscimento ritirato a Papée.</w:t>
      </w:r>
      <w:r>
        <w:rPr>
          <w:rFonts w:ascii="Barlow Semi Condensed" w:cs="Barlow Semi Condensed" w:eastAsia="Barlow Semi Condensed" w:hAnsi="Barlow Semi Condensed"/>
          <w:sz w:val="24"/>
          <w:szCs w:val="24"/>
        </w:rPr>
        <w:t xml:space="preserve"> Fra gli esiti dei colloqui figura il ritiro del riconoscimento vaticano a Kazimierz Papée quale ambasciatore del governo polacco in esilio a Londra. È atto di rilievo diplomatico, datato dalla stessa fonte che documenta l'erezione delle diocesi. Il territorio non registra reazioni di Stati terzi: chi volesse cercarne una cominci dai fondi dell'ambasciata britannica presso la Santa Sede, non da un archivio americano.</w:t>
      </w:r>
    </w:p>
    <w:p>
      <w:pPr>
        <w:spacing w:after="120" w:line="276"/>
        <w:jc w:val="both"/>
      </w:pPr>
      <w:r>
        <w:rPr>
          <w:rFonts w:ascii="Barlow Semi Condensed" w:cs="Barlow Semi Condensed" w:eastAsia="Barlow Semi Condensed" w:hAnsi="Barlow Semi Condensed"/>
          <w:b/>
          <w:bCs/>
          <w:sz w:val="24"/>
          <w:szCs w:val="24"/>
        </w:rPr>
        <w:t xml:space="preserve">2653 · Il sospetto stampato il 24 giugno 1972.</w:t>
      </w:r>
      <w:r>
        <w:rPr>
          <w:rFonts w:ascii="Barlow Semi Condensed" w:cs="Barlow Semi Condensed" w:eastAsia="Barlow Semi Condensed" w:hAnsi="Barlow Semi Condensed"/>
          <w:sz w:val="24"/>
          <w:szCs w:val="24"/>
        </w:rPr>
        <w:t xml:space="preserve"> Quattro giorni prima dell'atto, l'organo della Landsmannschaft Ostpreußen titolò «Hat Bonn dem Vatikan 'grünes Licht' gegeben?». Il sospetto contemporaneo indicò Bonn e non un'altra capitale: chi temeva un'intesa occulta la temeva fra i due soggetti che vedeva. È dato di percezione coeva, da usare solo come tale, ma delimita utilmente il campo delle ipotesi che allora parvero pensabili.</w:t>
      </w:r>
    </w:p>
    <w:p>
      <w:pPr>
        <w:spacing w:after="120" w:line="276"/>
        <w:jc w:val="both"/>
      </w:pPr>
      <w:r>
        <w:rPr>
          <w:rFonts w:ascii="Barlow Semi Condensed" w:cs="Barlow Semi Condensed" w:eastAsia="Barlow Semi Condensed" w:hAnsi="Barlow Semi Condensed"/>
          <w:b/>
          <w:bCs/>
          <w:sz w:val="24"/>
          <w:szCs w:val="24"/>
        </w:rPr>
        <w:t xml:space="preserve">2654 · I visitatori per gli espulsi.</w:t>
      </w:r>
      <w:r>
        <w:rPr>
          <w:rFonts w:ascii="Barlow Semi Condensed" w:cs="Barlow Semi Condensed" w:eastAsia="Barlow Semi Condensed" w:hAnsi="Barlow Semi Condensed"/>
          <w:sz w:val="24"/>
          <w:szCs w:val="24"/>
        </w:rPr>
        <w:t xml:space="preserve"> Contestualmente all'atto la Santa Sede nominò tre Visitatori apostolici per i cattolici tedeschi espulsi dall'arcidiocesi di Breslavia, dalla diocesi di Warmia e dalla prelatura di Schneidemühl: misura pastorale di compensazione verso il versante tedesco, attestata dal portale della Chiesa cattolica tedesca. Il gesto risponde a un'opinione pubblica interna. Nessun documento lo collega a pressioni esterne, e l'ipotesi si formula solo con una carta in mano.</w:t>
      </w:r>
    </w:p>
    <w:p>
      <w:pPr>
        <w:spacing w:after="120" w:line="276"/>
        <w:jc w:val="both"/>
      </w:pPr>
      <w:r>
        <w:rPr>
          <w:rFonts w:ascii="Barlow Semi Condensed" w:cs="Barlow Semi Condensed" w:eastAsia="Barlow Semi Condensed" w:hAnsi="Barlow Semi Condensed"/>
          <w:b/>
          <w:bCs/>
          <w:sz w:val="24"/>
          <w:szCs w:val="24"/>
        </w:rPr>
        <w:t xml:space="preserve">2655 · La soluzione differenziata del 1973.</w:t>
      </w:r>
      <w:r>
        <w:rPr>
          <w:rFonts w:ascii="Barlow Semi Condensed" w:cs="Barlow Semi Condensed" w:eastAsia="Barlow Semi Condensed" w:hAnsi="Barlow Semi Condensed"/>
          <w:sz w:val="24"/>
          <w:szCs w:val="24"/>
        </w:rPr>
        <w:t xml:space="preserve"> Il 23 luglio 1973 Paolo VI nominò amministratori apostolici permanenter constituti per Erfurt-Meiningen, Magdeburgo e Schwerin, costituiti come uffici vescovili con sospensione — non soppressione — della giurisdizione occidentale: nella Repubblica Democratica non furono erette diocesi permanenti. L'atto precede di due mesi il passaggio del nome qui studiato al Dipartimento di Stato. Due mesi di distanza non sono un rapporto, e non lo diventano avvicinandoli.</w:t>
      </w:r>
    </w:p>
    <w:p>
      <w:pPr>
        <w:spacing w:after="120" w:line="276"/>
        <w:jc w:val="both"/>
      </w:pPr>
      <w:r>
        <w:rPr>
          <w:rFonts w:ascii="Barlow Semi Condensed" w:cs="Barlow Semi Condensed" w:eastAsia="Barlow Semi Condensed" w:hAnsi="Barlow Semi Condensed"/>
          <w:b/>
          <w:bCs/>
          <w:sz w:val="24"/>
          <w:szCs w:val="24"/>
        </w:rPr>
        <w:t xml:space="preserve">2656 · Casaroli nella Repubblica Democratica.</w:t>
      </w:r>
      <w:r>
        <w:rPr>
          <w:rFonts w:ascii="Barlow Semi Condensed" w:cs="Barlow Semi Condensed" w:eastAsia="Barlow Semi Condensed" w:hAnsi="Barlow Semi Condensed"/>
          <w:sz w:val="24"/>
          <w:szCs w:val="24"/>
        </w:rPr>
        <w:t xml:space="preserve"> Il 9 giugno 1975 Casaroli si recò nella Repubblica Democratica Tedesca e fu ricevuto da Sindermann, dal ministro degli Esteri Fischer e dal segretario di Stato per le questioni ecclesiastiche Seigewasser; nel 1973 a Roma aveva incontrato Werner Lamberz del Politbüro. Sono contatti fra Santa Sede e SED, documentati. Bersaglio: se le sedi americane li osservarono, la traccia sta nei rapporti d'ambasciata da Berlino Est.</w:t>
      </w:r>
    </w:p>
    <w:p>
      <w:pPr>
        <w:spacing w:after="120" w:line="276"/>
        <w:jc w:val="both"/>
      </w:pPr>
      <w:r>
        <w:rPr>
          <w:rFonts w:ascii="Barlow Semi Condensed" w:cs="Barlow Semi Condensed" w:eastAsia="Barlow Semi Condensed" w:hAnsi="Barlow Semi Condensed"/>
          <w:b/>
          <w:bCs/>
          <w:sz w:val="24"/>
          <w:szCs w:val="24"/>
        </w:rPr>
        <w:t xml:space="preserve">2657 · Le carte della Stasi, doppia cautela.</w:t>
      </w:r>
      <w:r>
        <w:rPr>
          <w:rFonts w:ascii="Barlow Semi Condensed" w:cs="Barlow Semi Condensed" w:eastAsia="Barlow Semi Condensed" w:hAnsi="Barlow Semi Condensed"/>
          <w:sz w:val="24"/>
          <w:szCs w:val="24"/>
        </w:rPr>
        <w:t xml:space="preserve"> Fra le fonti del capitolo sulla Repubblica Democratica figurano i materiali dell'archivio degli atti della Stasi. I blocchi 91 e 92 dei nove cantieri fissano la disciplina: quell'archivio è dal 2021 parte del Bundesarchiv e ogni carta di quella provenienza entra con doppia cautela, mai da sola a fondamento di alcunché. Una nota di servizio ostile che nominasse un Segretario di Stato non sarebbe, per ciò stesso, un ponte.</w:t>
      </w:r>
    </w:p>
    <w:p>
      <w:pPr>
        <w:spacing w:after="120" w:line="276"/>
        <w:jc w:val="both"/>
      </w:pPr>
      <w:r>
        <w:rPr>
          <w:rFonts w:ascii="Barlow Semi Condensed" w:cs="Barlow Semi Condensed" w:eastAsia="Barlow Semi Condensed" w:hAnsi="Barlow Semi Condensed"/>
          <w:b/>
          <w:bCs/>
          <w:sz w:val="24"/>
          <w:szCs w:val="24"/>
        </w:rPr>
        <w:t xml:space="preserve">2658 · Il progetto interrotto, e il 1994.</w:t>
      </w:r>
      <w:r>
        <w:rPr>
          <w:rFonts w:ascii="Barlow Semi Condensed" w:cs="Barlow Semi Condensed" w:eastAsia="Barlow Semi Condensed" w:hAnsi="Barlow Semi Condensed"/>
          <w:sz w:val="24"/>
          <w:szCs w:val="24"/>
        </w:rPr>
        <w:t xml:space="preserve"> Il progetto di elevare gli uffici vescovili ad amministrazioni apostoliche autonome non fu attuato per la morte di Paolo VI, il 6 agosto 1978, e per il nuovo corso di Giovanni Paolo II; la circoscrizione definitiva arrivò con le bolle Quo aptius e Cum gaudio et spe del 27 giugno 1994. Entrambe le date cadono fuori da ogni incarico del nome studiato: preclusione cronologica netta, da scrivere come tale.</w:t>
      </w:r>
    </w:p>
    <w:p>
      <w:pPr>
        <w:spacing w:after="120" w:line="276"/>
        <w:jc w:val="both"/>
      </w:pPr>
      <w:r>
        <w:rPr>
          <w:rFonts w:ascii="Barlow Semi Condensed" w:cs="Barlow Semi Condensed" w:eastAsia="Barlow Semi Condensed" w:hAnsi="Barlow Semi Condensed"/>
          <w:b/>
          <w:bCs/>
          <w:sz w:val="24"/>
          <w:szCs w:val="24"/>
        </w:rPr>
        <w:t xml:space="preserve">2659 · Lo scambio epistolare del novembre 1965.</w:t>
      </w:r>
      <w:r>
        <w:rPr>
          <w:rFonts w:ascii="Barlow Semi Condensed" w:cs="Barlow Semi Condensed" w:eastAsia="Barlow Semi Condensed" w:hAnsi="Barlow Semi Condensed"/>
          <w:sz w:val="24"/>
          <w:szCs w:val="24"/>
        </w:rPr>
        <w:t xml:space="preserve"> Il 18 novembre 1965 i vescovi polacchi scrissero «Vi tendiamo le nostre mani accordando perdono e chiedendo perdono»; la paternità è attribuita a Bolesław Kominek con il concorso di Wincenty Urban, e il testo fu approvato da Wyszyński e da Wojtyła. Il gesto precede di oltre tre anni l'assunzione del primo incarico qui rilevante: precedenza cronologica accertata, che esclude in radice ogni lettura causale.</w:t>
      </w:r>
    </w:p>
    <w:p>
      <w:pPr>
        <w:spacing w:after="120" w:line="276"/>
        <w:jc w:val="both"/>
      </w:pPr>
      <w:r>
        <w:rPr>
          <w:rFonts w:ascii="Barlow Semi Condensed" w:cs="Barlow Semi Condensed" w:eastAsia="Barlow Semi Condensed" w:hAnsi="Barlow Semi Condensed"/>
          <w:b/>
          <w:bCs/>
          <w:sz w:val="24"/>
          <w:szCs w:val="24"/>
        </w:rPr>
        <w:t xml:space="preserve">2660 · La riserva tedesca sui confini.</w:t>
      </w:r>
      <w:r>
        <w:rPr>
          <w:rFonts w:ascii="Barlow Semi Condensed" w:cs="Barlow Semi Condensed" w:eastAsia="Barlow Semi Condensed" w:hAnsi="Barlow Semi Condensed"/>
          <w:sz w:val="24"/>
          <w:szCs w:val="24"/>
        </w:rPr>
        <w:t xml:space="preserve"> La risposta tedesca del 5 dicembre 1965 esprimeva gratitudine e chiedeva a sua volta perdono, ma non accettava le perdite territoriali: sul perdono vi fu reciprocità, sui confini restò una riserva. Wyszyński scrisse a Döpfner nel 1970 che «la nostra mano, tesa con tanta cordialità, è stata accolta non senza riserve». Il territorio consegna dunque una divergenza fra episcopati, interna alla Chiesa e documentata.</w:t>
      </w:r>
    </w:p>
    <w:p>
      <w:pPr>
        <w:spacing w:after="120" w:line="276"/>
        <w:jc w:val="both"/>
      </w:pPr>
      <w:r>
        <w:rPr>
          <w:rFonts w:ascii="Barlow Semi Condensed" w:cs="Barlow Semi Condensed" w:eastAsia="Barlow Semi Condensed" w:hAnsi="Barlow Semi Condensed"/>
          <w:b/>
          <w:bCs/>
          <w:sz w:val="24"/>
          <w:szCs w:val="24"/>
        </w:rPr>
        <w:t xml:space="preserve">2661 · Il memorandum del 3 marzo 1968.</w:t>
      </w:r>
      <w:r>
        <w:rPr>
          <w:rFonts w:ascii="Barlow Semi Condensed" w:cs="Barlow Semi Condensed" w:eastAsia="Barlow Semi Condensed" w:hAnsi="Barlow Semi Condensed"/>
          <w:sz w:val="24"/>
          <w:szCs w:val="24"/>
        </w:rPr>
        <w:t xml:space="preserve"> Il Bensberger Kreis pubblicò il 3 marzo 1968 un memorandum di cattolici tedeschi sulle questioni polacco-tedesche chiedendo il riconoscimento dei confini postbellici; i sottoscrittori furono circa centosessanta o centottanta, e la fonte è il servizio di Anselm Verbeek del 3 marzo 2018. La forbice numerica si riporta. Nessuna delle firme note appartiene alla sfera diplomatica statunitense, e nessuna fonte lo suggerisce.</w:t>
      </w:r>
    </w:p>
    <w:p>
      <w:pPr>
        <w:spacing w:after="120" w:line="276"/>
        <w:jc w:val="both"/>
      </w:pPr>
      <w:r>
        <w:rPr>
          <w:rFonts w:ascii="Barlow Semi Condensed" w:cs="Barlow Semi Condensed" w:eastAsia="Barlow Semi Condensed" w:hAnsi="Barlow Semi Condensed"/>
          <w:b/>
          <w:bCs/>
          <w:sz w:val="24"/>
          <w:szCs w:val="24"/>
        </w:rPr>
        <w:t xml:space="preserve">2662 · La precedenza del terreno ecclesiale.</w:t>
      </w:r>
      <w:r>
        <w:rPr>
          <w:rFonts w:ascii="Barlow Semi Condensed" w:cs="Barlow Semi Condensed" w:eastAsia="Barlow Semi Condensed" w:hAnsi="Barlow Semi Condensed"/>
          <w:sz w:val="24"/>
          <w:szCs w:val="24"/>
        </w:rPr>
        <w:t xml:space="preserve"> Ostdenkschrift evangelica del 1965, lettera dei vescovi polacchi del medesimo novembre, memorandum del 1968: sul versante ecclesiale il terreno del riconoscimento fu preparato ben prima dell'atto politico del 1970 e di quello canonico del 1972. Ne discende una regola di lettura: quando un esito ha una preparazione interna lunga, attribuirlo a un attore esterno e tardivo richiede un documento, non una data.</w:t>
      </w:r>
    </w:p>
    <w:p>
      <w:pPr>
        <w:spacing w:after="120" w:line="276"/>
        <w:jc w:val="both"/>
      </w:pPr>
      <w:r>
        <w:rPr>
          <w:rFonts w:ascii="Barlow Semi Condensed" w:cs="Barlow Semi Condensed" w:eastAsia="Barlow Semi Condensed" w:hAnsi="Barlow Semi Condensed"/>
          <w:b/>
          <w:bCs/>
          <w:sz w:val="24"/>
          <w:szCs w:val="24"/>
        </w:rPr>
        <w:t xml:space="preserve">2663 · Hlond e la provvisorietà del 1945.</w:t>
      </w:r>
      <w:r>
        <w:rPr>
          <w:rFonts w:ascii="Barlow Semi Condensed" w:cs="Barlow Semi Condensed" w:eastAsia="Barlow Semi Condensed" w:hAnsi="Barlow Semi Condensed"/>
          <w:sz w:val="24"/>
          <w:szCs w:val="24"/>
        </w:rPr>
        <w:t xml:space="preserve"> Il 15 agosto 1945 il cardinale August Hlond, con facoltà straordinarie di Pio XII, istituì cinque amministrazioni apostoliche: Danzica-Chełmno con Wronka, Warmia-Olsztyn con Bensch, Opole con Kominek, Breslavia con Milik, Gorzów con Nowicki. Michał Białkowski documenta il termine tecnico tymczasowość e il comunicato governativo del 27 gennaio 1951 sulla «liquidazione dello stato di provvisorietà». La radice della sequenza è del 1945.</w:t>
      </w:r>
    </w:p>
    <w:p>
      <w:pPr>
        <w:spacing w:after="120" w:line="276"/>
        <w:jc w:val="both"/>
      </w:pPr>
      <w:r>
        <w:rPr>
          <w:rFonts w:ascii="Barlow Semi Condensed" w:cs="Barlow Semi Condensed" w:eastAsia="Barlow Semi Condensed" w:hAnsi="Barlow Semi Condensed"/>
          <w:b/>
          <w:bCs/>
          <w:sz w:val="24"/>
          <w:szCs w:val="24"/>
        </w:rPr>
        <w:t xml:space="preserve">2664 · Che cosa il corpus sa del 1945.</w:t>
      </w:r>
      <w:r>
        <w:rPr>
          <w:rFonts w:ascii="Barlow Semi Condensed" w:cs="Barlow Semi Condensed" w:eastAsia="Barlow Semi Condensed" w:hAnsi="Barlow Semi Condensed"/>
          <w:sz w:val="24"/>
          <w:szCs w:val="24"/>
        </w:rPr>
        <w:t xml:space="preserve"> Del nome qui studiato, per gli anni della guerra, il corpus documenta due sole cose: l'abbandono della forma «Heinz» che il fascicolo d'immigrazione colloca durante il servizio militare, intorno al 1942-1943, e la naturalizzazione del 19 giugno 1943 a Camp Croft. Nient'altro. Chi volesse portarlo nella Germania occupata del 1945 deve produrre il documento, non l'aneddoto biografico.</w:t>
      </w:r>
    </w:p>
    <w:p>
      <w:pPr>
        <w:spacing w:after="120" w:line="276"/>
        <w:jc w:val="both"/>
      </w:pPr>
      <w:r>
        <w:rPr>
          <w:rFonts w:ascii="Barlow Semi Condensed" w:cs="Barlow Semi Condensed" w:eastAsia="Barlow Semi Condensed" w:hAnsi="Barlow Semi Condensed"/>
          <w:b/>
          <w:bCs/>
          <w:sz w:val="24"/>
          <w:szCs w:val="24"/>
        </w:rPr>
        <w:t xml:space="preserve">2665 · Il servizio militare come Stato Zero.</w:t>
      </w:r>
      <w:r>
        <w:rPr>
          <w:rFonts w:ascii="Barlow Semi Condensed" w:cs="Barlow Semi Condensed" w:eastAsia="Barlow Semi Condensed" w:hAnsi="Barlow Semi Condensed"/>
          <w:sz w:val="24"/>
          <w:szCs w:val="24"/>
        </w:rPr>
        <w:t xml:space="preserve"> Bersaglio nominato e circoscritto: il fascicolo personale militare presso il National Personnel Records Center di Saint Louis, e il fascicolo d'immigrazione e naturalizzazione già impiegato dall'apparato K-1 dell'opera. Domanda: quali sedi tedesche vi risultino, e se una cada nelle regioni renane o slesiane che questo territorio percorre. L'esito è verosimilmente irrilevante al merito, ma la domanda va chiusa per non lasciarla circolare.</w:t>
      </w:r>
    </w:p>
    <w:p>
      <w:pPr>
        <w:spacing w:after="120" w:line="276"/>
        <w:jc w:val="both"/>
      </w:pPr>
      <w:r>
        <w:rPr>
          <w:rFonts w:ascii="Barlow Semi Condensed" w:cs="Barlow Semi Condensed" w:eastAsia="Barlow Semi Condensed" w:hAnsi="Barlow Semi Condensed"/>
          <w:b/>
          <w:bCs/>
          <w:sz w:val="24"/>
          <w:szCs w:val="24"/>
        </w:rPr>
        <w:t xml:space="preserve">2666 · Fürth e la Baviera dell'ente.</w:t>
      </w:r>
      <w:r>
        <w:rPr>
          <w:rFonts w:ascii="Barlow Semi Condensed" w:cs="Barlow Semi Condensed" w:eastAsia="Barlow Semi Condensed" w:hAnsi="Barlow Semi Condensed"/>
          <w:sz w:val="24"/>
          <w:szCs w:val="24"/>
        </w:rPr>
        <w:t xml:space="preserve"> L'anagrafe colloca la nascita a Fürth, in Baviera, il 27 maggio 1923; il dossier tedesco documenta che l'ente confessionale raggiunse la Baviera tardi — Monaco nel 1977 per gli uomini e nel 1980 per le donne, con la casa di formazione Zieglerhof a Ettal. Coincidenza di regione a mezzo secolo di distanza: è analogia pura, e dall'analogia non discende alcun antenato comune.</w:t>
      </w:r>
    </w:p>
    <w:p>
      <w:pPr>
        <w:spacing w:after="120" w:line="276"/>
        <w:jc w:val="both"/>
      </w:pPr>
      <w:r>
        <w:rPr>
          <w:rFonts w:ascii="Barlow Semi Condensed" w:cs="Barlow Semi Condensed" w:eastAsia="Barlow Semi Condensed" w:hAnsi="Barlow Semi Condensed"/>
          <w:b/>
          <w:bCs/>
          <w:sz w:val="24"/>
          <w:szCs w:val="24"/>
        </w:rPr>
        <w:t xml:space="preserve">2667 · Due spostamenti, nessuna parentela.</w:t>
      </w:r>
      <w:r>
        <w:rPr>
          <w:rFonts w:ascii="Barlow Semi Condensed" w:cs="Barlow Semi Condensed" w:eastAsia="Barlow Semi Condensed" w:hAnsi="Barlow Semi Condensed"/>
          <w:sz w:val="24"/>
          <w:szCs w:val="24"/>
        </w:rPr>
        <w:t xml:space="preserve"> L'emigrazione del 20 agosto 1938 da persecuzione razziale e l'espulsione dei tedeschi dai territori orientali dopo il 1945 sono spostamenti di popolazione diversi per natura giuridica e per causa. Hirschfeld studia l'erosione del milieu cattolico prodotta nell'Oldenburger Land dall'afflusso dei Vertriebene: materia estranea alla prima. Accostarle perché entrambe sono partenze dalla Germania sarebbe omologia inventata sulla somiglianza del risultato.</w:t>
      </w:r>
    </w:p>
    <w:p>
      <w:pPr>
        <w:spacing w:after="120" w:line="276"/>
        <w:jc w:val="both"/>
      </w:pPr>
      <w:r>
        <w:rPr>
          <w:rFonts w:ascii="Barlow Semi Condensed" w:cs="Barlow Semi Condensed" w:eastAsia="Barlow Semi Condensed" w:hAnsi="Barlow Semi Condensed"/>
          <w:b/>
          <w:bCs/>
          <w:sz w:val="24"/>
          <w:szCs w:val="24"/>
        </w:rPr>
        <w:t xml:space="preserve">2668 · La data contesa come strumento.</w:t>
      </w:r>
      <w:r>
        <w:rPr>
          <w:rFonts w:ascii="Barlow Semi Condensed" w:cs="Barlow Semi Condensed" w:eastAsia="Barlow Semi Condensed" w:hAnsi="Barlow Semi Condensed"/>
          <w:sz w:val="24"/>
          <w:szCs w:val="24"/>
        </w:rPr>
        <w:t xml:space="preserve"> L'opera ha una data contesa in apertura: l'anglicizzazione del nome, che le opere di consultazione danno al 1938 senza documenti e che il fascicolo d'archivio colloca al 1942-1943. Il metodo che ne è derivato — riportare, non sciogliere — si applica a tre divergenze di questo territorio, trattate qui una per una. Un metodo si giudica quando lo si applica a materiali che non lo hanno generato.</w:t>
      </w:r>
    </w:p>
    <w:p>
      <w:pPr>
        <w:spacing w:after="120" w:line="276"/>
        <w:jc w:val="both"/>
      </w:pPr>
      <w:r>
        <w:rPr>
          <w:rFonts w:ascii="Barlow Semi Condensed" w:cs="Barlow Semi Condensed" w:eastAsia="Barlow Semi Condensed" w:hAnsi="Barlow Semi Condensed"/>
          <w:b/>
          <w:bCs/>
          <w:sz w:val="24"/>
          <w:szCs w:val="24"/>
        </w:rPr>
        <w:t xml:space="preserve">2669 · Il 1952 contro il 1953.</w:t>
      </w:r>
      <w:r>
        <w:rPr>
          <w:rFonts w:ascii="Barlow Semi Condensed" w:cs="Barlow Semi Condensed" w:eastAsia="Barlow Semi Condensed" w:hAnsi="Barlow Semi Condensed"/>
          <w:sz w:val="24"/>
          <w:szCs w:val="24"/>
        </w:rPr>
        <w:t xml:space="preserve"> La fonte ufficiale tedesca colloca al 1953 l'apertura della residenza dell'Adenauerallee di Bonn, poi Studentenheim Althaus; altre fonti dell'ente e la pubblicistica critica indicano il 1952. La spiegazione verosimile distingue l'arrivo dei primi tre membri dall'apertura formale della casa, ma resta spiegazione: la divergenza va riportata. Chi la risolvesse in silenzio farebbe al territorio ciò che la vulgata fa all'anagrafe.</w:t>
      </w:r>
    </w:p>
    <w:p>
      <w:pPr>
        <w:spacing w:after="120" w:line="276"/>
        <w:jc w:val="both"/>
      </w:pPr>
      <w:r>
        <w:rPr>
          <w:rFonts w:ascii="Barlow Semi Condensed" w:cs="Barlow Semi Condensed" w:eastAsia="Barlow Semi Condensed" w:hAnsi="Barlow Semi Condensed"/>
          <w:b/>
          <w:bCs/>
          <w:sz w:val="24"/>
          <w:szCs w:val="24"/>
        </w:rPr>
        <w:t xml:space="preserve">2670 · Il 26, il 27, il 28 giugno.</w:t>
      </w:r>
      <w:r>
        <w:rPr>
          <w:rFonts w:ascii="Barlow Semi Condensed" w:cs="Barlow Semi Condensed" w:eastAsia="Barlow Semi Condensed" w:hAnsi="Barlow Semi Condensed"/>
          <w:sz w:val="24"/>
          <w:szCs w:val="24"/>
        </w:rPr>
        <w:t xml:space="preserve"> Sulla data delle costituzioni apostoliche le fonti divergono: il testo primario e le fonti ecclesiastiche polacche danno il 28 giugno 1972, alcune voci enciclopediche tedesche e inglesi il 27, un sito diocesano polacco per errore il 26. Prevale la clausola di datazione dell'atto, «die duodetricesimo mensis Iunii». Riportare la divergenza e indicare la fonte prevalente sono due operazioni distinte, ed entrambe necessarie.</w:t>
      </w:r>
    </w:p>
    <w:p>
      <w:pPr>
        <w:spacing w:after="120" w:line="276"/>
        <w:jc w:val="both"/>
      </w:pPr>
      <w:r>
        <w:rPr>
          <w:rFonts w:ascii="Barlow Semi Condensed" w:cs="Barlow Semi Condensed" w:eastAsia="Barlow Semi Condensed" w:hAnsi="Barlow Semi Condensed"/>
          <w:b/>
          <w:bCs/>
          <w:sz w:val="24"/>
          <w:szCs w:val="24"/>
        </w:rPr>
        <w:t xml:space="preserve">2671 · Il Konkordatsurteil e le sue due date.</w:t>
      </w:r>
      <w:r>
        <w:rPr>
          <w:rFonts w:ascii="Barlow Semi Condensed" w:cs="Barlow Semi Condensed" w:eastAsia="Barlow Semi Condensed" w:hAnsi="Barlow Semi Condensed"/>
          <w:sz w:val="24"/>
          <w:szCs w:val="24"/>
        </w:rPr>
        <w:t xml:space="preserve"> Le fonti divergono fra il 26 e il 23 marzo 1957 sulla sentenza costituzionale in materia di scuole confessionali; la citazione formale è comunque BVerfGE 6, 309, procedimento 2 BvG 1/55. La Corte affermò la vigenza del Reichskonkordat e insieme la competenza scolastica dei Länder. Quando la segnatura è certa e la data no, si cita la segnatura: è la regola che il territorio applica bene.</w:t>
      </w:r>
    </w:p>
    <w:p>
      <w:pPr>
        <w:spacing w:after="120" w:line="276"/>
        <w:jc w:val="both"/>
      </w:pPr>
      <w:r>
        <w:rPr>
          <w:rFonts w:ascii="Barlow Semi Condensed" w:cs="Barlow Semi Condensed" w:eastAsia="Barlow Semi Condensed" w:hAnsi="Barlow Semi Condensed"/>
          <w:b/>
          <w:bCs/>
          <w:sz w:val="24"/>
          <w:szCs w:val="24"/>
        </w:rPr>
        <w:t xml:space="preserve">2672 · Il Reichskonkordat e la sua polemica.</w:t>
      </w:r>
      <w:r>
        <w:rPr>
          <w:rFonts w:ascii="Barlow Semi Condensed" w:cs="Barlow Semi Condensed" w:eastAsia="Barlow Semi Condensed" w:hAnsi="Barlow Semi Condensed"/>
          <w:sz w:val="24"/>
          <w:szCs w:val="24"/>
        </w:rPr>
        <w:t xml:space="preserve"> Firmato il 20 luglio 1933 da Pacelli e da von Papen, pubblicato nel Reichsgesetzblatt 1933 II a pagina 679, in vigore dal 10 settembre 1933: la controversia Repgen-Scholder sul suo significato — trattato difensivo oppure strumento di consolidamento del regime — è dibattito scientifico aperto. Il territorio lo riporta senza sceglierlo, e questa serie fa lo stesso, aggiungendo che nessuna delle due letture riguarda il nome studiato.</w:t>
      </w:r>
    </w:p>
    <w:p>
      <w:pPr>
        <w:spacing w:after="120" w:line="276"/>
        <w:jc w:val="both"/>
      </w:pPr>
      <w:r>
        <w:rPr>
          <w:rFonts w:ascii="Barlow Semi Condensed" w:cs="Barlow Semi Condensed" w:eastAsia="Barlow Semi Condensed" w:hAnsi="Barlow Semi Condensed"/>
          <w:b/>
          <w:bCs/>
          <w:sz w:val="24"/>
          <w:szCs w:val="24"/>
        </w:rPr>
        <w:t xml:space="preserve">2673 · Il 1933 come anno biografico.</w:t>
      </w:r>
      <w:r>
        <w:rPr>
          <w:rFonts w:ascii="Barlow Semi Condensed" w:cs="Barlow Semi Condensed" w:eastAsia="Barlow Semi Condensed" w:hAnsi="Barlow Semi Condensed"/>
          <w:sz w:val="24"/>
          <w:szCs w:val="24"/>
        </w:rPr>
        <w:t xml:space="preserve"> Nel 1933 il bambino nato a Fürth aveva dieci anni, e la famiglia sarebbe partita cinque anni dopo. La contemporaneità fra una biografia e un trattato non è una relazione, e la tentazione di farne una è precisamente ciò contro cui il corpus si è attrezzato. Il territorio tratta quell'anno come premessa istituzionale della vigenza concordataria: null'altro se ne ricava.</w:t>
      </w:r>
    </w:p>
    <w:p>
      <w:pPr>
        <w:spacing w:after="120" w:line="276"/>
        <w:jc w:val="both"/>
      </w:pPr>
      <w:r>
        <w:rPr>
          <w:rFonts w:ascii="Barlow Semi Condensed" w:cs="Barlow Semi Condensed" w:eastAsia="Barlow Semi Condensed" w:hAnsi="Barlow Semi Condensed"/>
          <w:b/>
          <w:bCs/>
          <w:sz w:val="24"/>
          <w:szCs w:val="24"/>
        </w:rPr>
        <w:t xml:space="preserve">2674 · Villa Madama e le due traiettorie.</w:t>
      </w:r>
      <w:r>
        <w:rPr>
          <w:rFonts w:ascii="Barlow Semi Condensed" w:cs="Barlow Semi Condensed" w:eastAsia="Barlow Semi Condensed" w:hAnsi="Barlow Semi Condensed"/>
          <w:sz w:val="24"/>
          <w:szCs w:val="24"/>
        </w:rPr>
        <w:t xml:space="preserve"> Il confronto istituito dal dossier è fra due traiettorie concordatarie: in Italia una revisione bilaterale integrale con l'Accordo di Villa Madama del 18 febbraio 1984, in Germania una cornice rimasta immutata con adattamenti affidati alla giurisprudenza costituzionale e ai concordati dei Länder — Baviera 1924, Prussia 1929, Baden 1932. È diritto ecclesiastico comparato, privo di qualunque versante atlantico documentato.</w:t>
      </w:r>
    </w:p>
    <w:p>
      <w:pPr>
        <w:spacing w:after="120" w:line="276"/>
        <w:jc w:val="both"/>
      </w:pPr>
      <w:r>
        <w:rPr>
          <w:rFonts w:ascii="Barlow Semi Condensed" w:cs="Barlow Semi Condensed" w:eastAsia="Barlow Semi Condensed" w:hAnsi="Barlow Semi Condensed"/>
          <w:b/>
          <w:bCs/>
          <w:sz w:val="24"/>
          <w:szCs w:val="24"/>
        </w:rPr>
        <w:t xml:space="preserve">2675 · Frings e la petizione del 1952.</w:t>
      </w:r>
      <w:r>
        <w:rPr>
          <w:rFonts w:ascii="Barlow Semi Condensed" w:cs="Barlow Semi Condensed" w:eastAsia="Barlow Semi Condensed" w:hAnsi="Barlow Semi Condensed"/>
          <w:sz w:val="24"/>
          <w:szCs w:val="24"/>
        </w:rPr>
        <w:t xml:space="preserve"> Una lettera del nunzio Giovanni Lajolo al vicario regionale Christoph Bockamp attesta che fu «per la petizione del cardinale Frings» che i primi membri giunsero a Colonia nel 1952. È rapporto diretto documentato, cioè primo piano, fra un ordinario diocesano e un insediamento. Il territorio possiede dunque un ponte al primo piano: è intra-ecclesiale, e non tocca in alcun punto il nome di questa serie.</w:t>
      </w:r>
    </w:p>
    <w:p>
      <w:pPr>
        <w:spacing w:after="120" w:line="276"/>
        <w:jc w:val="both"/>
      </w:pPr>
      <w:r>
        <w:rPr>
          <w:rFonts w:ascii="Barlow Semi Condensed" w:cs="Barlow Semi Condensed" w:eastAsia="Barlow Semi Condensed" w:hAnsi="Barlow Semi Condensed"/>
          <w:b/>
          <w:bCs/>
          <w:sz w:val="24"/>
          <w:szCs w:val="24"/>
        </w:rPr>
        <w:t xml:space="preserve">2676 · Tre cardinali, una tesi non provata.</w:t>
      </w:r>
      <w:r>
        <w:rPr>
          <w:rFonts w:ascii="Barlow Semi Condensed" w:cs="Barlow Semi Condensed" w:eastAsia="Barlow Semi Condensed" w:hAnsi="Barlow Semi Condensed"/>
          <w:sz w:val="24"/>
          <w:szCs w:val="24"/>
        </w:rPr>
        <w:t xml:space="preserve"> Un portale tedesco ha incluso Frings, Höffner e Meisner fra i membri dell'ente: il territorio qualifica l'affermazione come non sostenuta da fonti primarie. È il modello esatto di un enunciato di terzo piano, e va applicato senza sconti a qualunque proposizione che colleghi il nome studiato a una rete confessionale tedesca. Il sostegno di un vescovo non prova l'appartenenza, e l'appartenenza non proverebbe una condotta.</w:t>
      </w:r>
    </w:p>
    <w:p>
      <w:pPr>
        <w:spacing w:after="120" w:line="276"/>
        <w:jc w:val="both"/>
      </w:pPr>
      <w:r>
        <w:rPr>
          <w:rFonts w:ascii="Barlow Semi Condensed" w:cs="Barlow Semi Condensed" w:eastAsia="Barlow Semi Condensed" w:hAnsi="Barlow Semi Condensed"/>
          <w:b/>
          <w:bCs/>
          <w:sz w:val="24"/>
          <w:szCs w:val="24"/>
        </w:rPr>
        <w:t xml:space="preserve">2677 · Meisner e Schwaderlapp, voci tarde.</w:t>
      </w:r>
      <w:r>
        <w:rPr>
          <w:rFonts w:ascii="Barlow Semi Condensed" w:cs="Barlow Semi Condensed" w:eastAsia="Barlow Semi Condensed" w:hAnsi="Barlow Semi Condensed"/>
          <w:sz w:val="24"/>
          <w:szCs w:val="24"/>
        </w:rPr>
        <w:t xml:space="preserve"> La predica del cardinale Meisner del 19 gennaio 2002 che ringrazia Frings e Höffner, e le parole del generalvicario Schwaderlapp sulla presenza dell'ente nell'arcidiocesi di Colonia, sono testimonianze rese decenni dopo i fatti. Attestano una memoria istituzionale, non lo stato delle cose nel 1952. La stessa cautela varrebbe per ogni ricordo tardivo che affiorasse sul versante americano di questa materia.</w:t>
      </w:r>
    </w:p>
    <w:p>
      <w:pPr>
        <w:spacing w:after="120" w:line="276"/>
        <w:jc w:val="both"/>
      </w:pPr>
      <w:r>
        <w:rPr>
          <w:rFonts w:ascii="Barlow Semi Condensed" w:cs="Barlow Semi Condensed" w:eastAsia="Barlow Semi Condensed" w:hAnsi="Barlow Semi Condensed"/>
          <w:b/>
          <w:bCs/>
          <w:sz w:val="24"/>
          <w:szCs w:val="24"/>
        </w:rPr>
        <w:t xml:space="preserve">2678 · Due serie statistiche che divergono.</w:t>
      </w:r>
      <w:r>
        <w:rPr>
          <w:rFonts w:ascii="Barlow Semi Condensed" w:cs="Barlow Semi Condensed" w:eastAsia="Barlow Semi Condensed" w:hAnsi="Barlow Semi Condensed"/>
          <w:sz w:val="24"/>
          <w:szCs w:val="24"/>
        </w:rPr>
        <w:t xml:space="preserve"> Per il 1950 fowid dà i protestanti al 50,6 e i cattolici al 45,8 per cento; clio-online dà 51,2 e 45,2, precisando che i cattolici uscirono dalla minoranza soltanto nel 1976. La divergenza si riporta e non incide sulla sostanza: la Repubblica Federale non era a maggioranza cattolica. Due serie che dissentono sui decimali e concordano sul verso sono un caso limpido di divergenza innocua.</w:t>
      </w:r>
    </w:p>
    <w:p>
      <w:pPr>
        <w:spacing w:after="120" w:line="276"/>
        <w:jc w:val="both"/>
      </w:pPr>
      <w:r>
        <w:rPr>
          <w:rFonts w:ascii="Barlow Semi Condensed" w:cs="Barlow Semi Condensed" w:eastAsia="Barlow Semi Condensed" w:hAnsi="Barlow Semi Condensed"/>
          <w:b/>
          <w:bCs/>
          <w:sz w:val="24"/>
          <w:szCs w:val="24"/>
        </w:rPr>
        <w:t xml:space="preserve">2679 · Il Saarland e l'inganno dell'aggregato.</w:t>
      </w:r>
      <w:r>
        <w:rPr>
          <w:rFonts w:ascii="Barlow Semi Condensed" w:cs="Barlow Semi Condensed" w:eastAsia="Barlow Semi Condensed" w:hAnsi="Barlow Semi Condensed"/>
          <w:sz w:val="24"/>
          <w:szCs w:val="24"/>
        </w:rPr>
        <w:t xml:space="preserve"> Nel 1950 il Saarland registrava il 98,2 per cento di appartenenti alle due Chiese, con schiacciante prevalenza cattolica, mentre il dato nazionale diceva minoranza. Ne esce una regola di lettura trasferibile: un aggregato nazionale nasconde le concentrazioni regionali. Chi legge «Germania» in un documento — compreso il memorandum del settembre 1974 — deve chiedersi sempre quale Germania quel documento intendesse nominare.</w:t>
      </w:r>
    </w:p>
    <w:p>
      <w:pPr>
        <w:spacing w:after="120" w:line="276"/>
        <w:jc w:val="both"/>
      </w:pPr>
      <w:r>
        <w:rPr>
          <w:rFonts w:ascii="Barlow Semi Condensed" w:cs="Barlow Semi Condensed" w:eastAsia="Barlow Semi Condensed" w:hAnsi="Barlow Semi Condensed"/>
          <w:b/>
          <w:bCs/>
          <w:sz w:val="24"/>
          <w:szCs w:val="24"/>
        </w:rPr>
        <w:t xml:space="preserve">2680 · Il milieu come struttura, non come prova.</w:t>
      </w:r>
      <w:r>
        <w:rPr>
          <w:rFonts w:ascii="Barlow Semi Condensed" w:cs="Barlow Semi Condensed" w:eastAsia="Barlow Semi Condensed" w:hAnsi="Barlow Semi Condensed"/>
          <w:sz w:val="24"/>
          <w:szCs w:val="24"/>
        </w:rPr>
        <w:t xml:space="preserve"> Zentrum e Bayerische Volkspartei confluiti nella CDU/CSU, Kolpingwerk, Katholikentag, Misereor e Adveniat promosse da Frings, Cartellverband, Katholischer Akademikerverband, Görres-Gesellschaft: il territorio descrive un milieu cattolico socialmente organizzato, ed è struttura sociale documentata. Appartenervi non prova alcuna condotta, e la prescrizione vale identica per qualunque rete che si volesse accostare al nome di questa serie, quale che ne sia la densità apparente.</w:t>
      </w:r>
    </w:p>
    <w:p>
      <w:pPr>
        <w:spacing w:after="120" w:line="276"/>
        <w:jc w:val="both"/>
      </w:pPr>
      <w:r>
        <w:rPr>
          <w:rFonts w:ascii="Barlow Semi Condensed" w:cs="Barlow Semi Condensed" w:eastAsia="Barlow Semi Condensed" w:hAnsi="Barlow Semi Condensed"/>
          <w:b/>
          <w:bCs/>
          <w:sz w:val="24"/>
          <w:szCs w:val="24"/>
        </w:rPr>
        <w:t xml:space="preserve">2681 · Retz e Kücking, 12 ottobre 1956.</w:t>
      </w:r>
      <w:r>
        <w:rPr>
          <w:rFonts w:ascii="Barlow Semi Condensed" w:cs="Barlow Semi Condensed" w:eastAsia="Barlow Semi Condensed" w:hAnsi="Barlow Semi Condensed"/>
          <w:sz w:val="24"/>
          <w:szCs w:val="24"/>
        </w:rPr>
        <w:t xml:space="preserve"> Alla stazione centrale di Colonia, il 12 ottobre 1956, le tre prime spagnole furono accolte da Käthe Retz, assistente all'Università di Bonn, e da Marlies Kücking, allora matricola. Sono fatti pubblici documentati dalla fonte dell'ente, con nomi e data. Si registrano come tali: nominare una persona in un corpus significa attribuirle un fatto, mai una responsabilità, e qui il fatto è un'accoglienza in stazione.</w:t>
      </w:r>
    </w:p>
    <w:p>
      <w:pPr>
        <w:spacing w:after="120" w:line="276"/>
        <w:jc w:val="both"/>
      </w:pPr>
      <w:r>
        <w:rPr>
          <w:rFonts w:ascii="Barlow Semi Condensed" w:cs="Barlow Semi Condensed" w:eastAsia="Barlow Semi Condensed" w:hAnsi="Barlow Semi Condensed"/>
          <w:b/>
          <w:bCs/>
          <w:sz w:val="24"/>
          <w:szCs w:val="24"/>
        </w:rPr>
        <w:t xml:space="preserve">2682 · Inciarte e il radicamento apparente.</w:t>
      </w:r>
      <w:r>
        <w:rPr>
          <w:rFonts w:ascii="Barlow Semi Condensed" w:cs="Barlow Semi Condensed" w:eastAsia="Barlow Semi Condensed" w:hAnsi="Barlow Semi Condensed"/>
          <w:sz w:val="24"/>
          <w:szCs w:val="24"/>
        </w:rPr>
        <w:t xml:space="preserve"> Fernando Inciarte, divenuto ordinario a Münster, è il membro di maggior rilievo accademico documentato dalla fonte ufficiale; ma era di origine spagnola e fra i primissimi arrivati del 1952, non un tedesco reclutato in loco. Il territorio segnala la circostanza per non falsare il quadro. È la stessa avvertenza che vale per ogni figura eminente assunta come indice di radicamento locale.</w:t>
      </w:r>
    </w:p>
    <w:p>
      <w:pPr>
        <w:spacing w:after="120" w:line="276"/>
        <w:jc w:val="both"/>
      </w:pPr>
      <w:r>
        <w:rPr>
          <w:rFonts w:ascii="Barlow Semi Condensed" w:cs="Barlow Semi Condensed" w:eastAsia="Barlow Semi Condensed" w:hAnsi="Barlow Semi Condensed"/>
          <w:b/>
          <w:bCs/>
          <w:sz w:val="24"/>
          <w:szCs w:val="24"/>
        </w:rPr>
        <w:t xml:space="preserve">2683 · La querela del 27 novembre 1984.</w:t>
      </w:r>
      <w:r>
        <w:rPr>
          <w:rFonts w:ascii="Barlow Semi Condensed" w:cs="Barlow Semi Condensed" w:eastAsia="Barlow Semi Condensed" w:hAnsi="Barlow Semi Condensed"/>
          <w:sz w:val="24"/>
          <w:szCs w:val="24"/>
        </w:rPr>
        <w:t xml:space="preserve"> Uno studio legale monacense presentò il 27 novembre 1984, per conto dell'associazione tedesca dell'ente e del vicario regionale César Ortiz, una querela alla sezione civile del Landgericht München I. Un atto introduttivo non è un giudicato, e il corpus si ferma al giudicato: si registrano il deposito e la sede, mentre l'esito resta da accertare presso il registro di quel tribunale.</w:t>
      </w:r>
    </w:p>
    <w:p>
      <w:pPr>
        <w:spacing w:after="120" w:line="276"/>
        <w:jc w:val="both"/>
      </w:pPr>
      <w:r>
        <w:rPr>
          <w:rFonts w:ascii="Barlow Semi Condensed" w:cs="Barlow Semi Condensed" w:eastAsia="Barlow Semi Condensed" w:hAnsi="Barlow Semi Condensed"/>
          <w:b/>
          <w:bCs/>
          <w:sz w:val="24"/>
          <w:szCs w:val="24"/>
        </w:rPr>
        <w:t xml:space="preserve">2684 · Il parroco rifiutato nel dicembre 1984.</w:t>
      </w:r>
      <w:r>
        <w:rPr>
          <w:rFonts w:ascii="Barlow Semi Condensed" w:cs="Barlow Semi Condensed" w:eastAsia="Barlow Semi Condensed" w:hAnsi="Barlow Semi Condensed"/>
          <w:sz w:val="24"/>
          <w:szCs w:val="24"/>
        </w:rPr>
        <w:t xml:space="preserve"> Nel dicembre 1984 una parrocchia di Colonia rifiutò il primo parroco dell'ente nella Germania occidentale, padre Peter Irrgang, poi accolto dalla piccola comunità di Kreuzweingarten; la fonte è il Christian Science Monitor del 31 dicembre 1984. L'episodio documenta insieme una reticenza di base e la persistente accoglienza diocesana. Due fatti opposti dello stesso mese: si riportano entrambi, come il territorio fa.</w:t>
      </w:r>
    </w:p>
    <w:p>
      <w:pPr>
        <w:spacing w:after="120" w:line="276"/>
        <w:jc w:val="both"/>
      </w:pPr>
      <w:r>
        <w:rPr>
          <w:rFonts w:ascii="Barlow Semi Condensed" w:cs="Barlow Semi Condensed" w:eastAsia="Barlow Semi Condensed" w:hAnsi="Barlow Semi Condensed"/>
          <w:b/>
          <w:bCs/>
          <w:sz w:val="24"/>
          <w:szCs w:val="24"/>
        </w:rPr>
        <w:t xml:space="preserve">2685 · Ut sit e il suo calendario.</w:t>
      </w:r>
      <w:r>
        <w:rPr>
          <w:rFonts w:ascii="Barlow Semi Condensed" w:cs="Barlow Semi Condensed" w:eastAsia="Barlow Semi Condensed" w:hAnsi="Barlow Semi Condensed"/>
          <w:sz w:val="24"/>
          <w:szCs w:val="24"/>
        </w:rPr>
        <w:t xml:space="preserve"> La costituzione apostolica Ut sit è datata 28 novembre 1982, con atto esecutivo del 19 marzo 1983, e fu preceduta secondo la fonte ufficiale dalla consultazione dei vescovi delle diocesi interessate; la dichiarazione di Álvaro del Portillo alla Conferenza episcopale tedesca è documentata dal Presseamt di Colonia, Dokumente 185 del 3 settembre 1983. Tutte queste date cadono dopo il 20 gennaio 1977: nessuna sovrapposizione d'incarico è possibile.</w:t>
      </w:r>
    </w:p>
    <w:p>
      <w:pPr>
        <w:spacing w:after="120" w:line="276"/>
        <w:jc w:val="both"/>
      </w:pPr>
      <w:r>
        <w:rPr>
          <w:rFonts w:ascii="Barlow Semi Condensed" w:cs="Barlow Semi Condensed" w:eastAsia="Barlow Semi Condensed" w:hAnsi="Barlow Semi Condensed"/>
          <w:b/>
          <w:bCs/>
          <w:sz w:val="24"/>
          <w:szCs w:val="24"/>
        </w:rPr>
        <w:t xml:space="preserve">2686 · Lo Stato Zero dei partiti dell'Unione.</w:t>
      </w:r>
      <w:r>
        <w:rPr>
          <w:rFonts w:ascii="Barlow Semi Condensed" w:cs="Barlow Semi Condensed" w:eastAsia="Barlow Semi Condensed" w:hAnsi="Barlow Semi Condensed"/>
          <w:sz w:val="24"/>
          <w:szCs w:val="24"/>
        </w:rPr>
        <w:t xml:space="preserve"> Non risulta dal dossier tedesco una posizione ufficiale della CDU/CSU verso l'ente, e la sede indicata per colmarlo è l'Archiv für Christlich-Demokratische Politik della Konrad-Adenauer-Stiftung. La medesima sede risponderebbe a un secondo quesito, che il blocco 103 dei nove cantieri già pone: che cosa gli archivi delle fondazioni politiche di partito conservino sui rapporti con l'alleato americano nel medesimo arco.</w:t>
      </w:r>
    </w:p>
    <w:p>
      <w:pPr>
        <w:spacing w:after="120" w:line="276"/>
        <w:jc w:val="both"/>
      </w:pPr>
      <w:r>
        <w:rPr>
          <w:rFonts w:ascii="Barlow Semi Condensed" w:cs="Barlow Semi Condensed" w:eastAsia="Barlow Semi Condensed" w:hAnsi="Barlow Semi Condensed"/>
          <w:b/>
          <w:bCs/>
          <w:sz w:val="24"/>
          <w:szCs w:val="24"/>
        </w:rPr>
        <w:t xml:space="preserve">2687 · Il readingroom e la sua interrogazione.</w:t>
      </w:r>
      <w:r>
        <w:rPr>
          <w:rFonts w:ascii="Barlow Semi Condensed" w:cs="Barlow Semi Condensed" w:eastAsia="Barlow Semi Condensed" w:hAnsi="Barlow Semi Condensed"/>
          <w:sz w:val="24"/>
          <w:szCs w:val="24"/>
        </w:rPr>
        <w:t xml:space="preserve"> Nel readingroom FOIA dell'agenzia americana e nella collezione CREST il territorio non ha reperito documenti desecretati sull'ente in Germania, ma dichiara l'esito provvisorio finché l'interrogazione non sia sistematica e per stringhe combinate. Il bersaglio si estende qui: le medesime stringhe con il nome di questa serie, con «Warsaw Treaty» e con «Ostpolitik». Esito atteso negativo, e da verbalizzare comunque.</w:t>
      </w:r>
    </w:p>
    <w:p>
      <w:pPr>
        <w:spacing w:after="120" w:line="276"/>
        <w:jc w:val="both"/>
      </w:pPr>
      <w:r>
        <w:rPr>
          <w:rFonts w:ascii="Barlow Semi Condensed" w:cs="Barlow Semi Condensed" w:eastAsia="Barlow Semi Condensed" w:hAnsi="Barlow Semi Condensed"/>
          <w:b/>
          <w:bCs/>
          <w:sz w:val="24"/>
          <w:szCs w:val="24"/>
        </w:rPr>
        <w:t xml:space="preserve">2688 · Il Comitato dei 303 non si estende.</w:t>
      </w:r>
      <w:r>
        <w:rPr>
          <w:rFonts w:ascii="Barlow Semi Condensed" w:cs="Barlow Semi Condensed" w:eastAsia="Barlow Semi Condensed" w:hAnsi="Barlow Semi Condensed"/>
          <w:sz w:val="24"/>
          <w:szCs w:val="24"/>
        </w:rPr>
        <w:t xml:space="preserve"> La riunione dell'11 marzo 1969, presieduta dal nome qui studiato, è documentata dal corpus: vi si convenne che non vi fosse reale giustificazione per riprendere il finanziamento coperto ai partiti italiani, e la fonte è il volume XLI della serie FRUS, documento 180. Riguarda l'Italia. Trasporne l'esistenza sul versante tedesco senza un documento omologo sarebbe l'errore che l'opera chiama analogia, e il territorio non offre appigli per compierlo.</w:t>
      </w:r>
    </w:p>
    <w:p>
      <w:pPr>
        <w:spacing w:after="120" w:line="276"/>
        <w:jc w:val="both"/>
      </w:pPr>
      <w:r>
        <w:rPr>
          <w:rFonts w:ascii="Barlow Semi Condensed" w:cs="Barlow Semi Condensed" w:eastAsia="Barlow Semi Condensed" w:hAnsi="Barlow Semi Condensed"/>
          <w:b/>
          <w:bCs/>
          <w:sz w:val="24"/>
          <w:szCs w:val="24"/>
        </w:rPr>
        <w:t xml:space="preserve">2689 · L'Anno dell'Europa, assente dai dossier.</w:t>
      </w:r>
      <w:r>
        <w:rPr>
          <w:rFonts w:ascii="Barlow Semi Condensed" w:cs="Barlow Semi Condensed" w:eastAsia="Barlow Semi Condensed" w:hAnsi="Barlow Semi Condensed"/>
          <w:sz w:val="24"/>
          <w:szCs w:val="24"/>
        </w:rPr>
        <w:t xml:space="preserve"> Il discorso del 23 aprile 1973 a New York è, nell'opera, il maggiore strato testuale della serie dei discorsi, al blocco 79; nei due documenti di questo territorio non è nominato, benché il 1973 vi sia trattato per il Trattato fondamentale e per l'ingresso delle due Germanie alle Nazioni Unite il 18 settembre. Assenza misurata: si chiude confrontando il testo ufficiale a stampa con la bozza d'ufficio.</w:t>
      </w:r>
    </w:p>
    <w:p>
      <w:pPr>
        <w:spacing w:after="120" w:line="276"/>
        <w:jc w:val="both"/>
      </w:pPr>
      <w:r>
        <w:rPr>
          <w:rFonts w:ascii="Barlow Semi Condensed" w:cs="Barlow Semi Condensed" w:eastAsia="Barlow Semi Condensed" w:hAnsi="Barlow Semi Condensed"/>
          <w:b/>
          <w:bCs/>
          <w:sz w:val="24"/>
          <w:szCs w:val="24"/>
        </w:rPr>
        <w:t xml:space="preserve">2690 · Gli AAPD, procedura già scritta.</w:t>
      </w:r>
      <w:r>
        <w:rPr>
          <w:rFonts w:ascii="Barlow Semi Condensed" w:cs="Barlow Semi Condensed" w:eastAsia="Barlow Semi Condensed" w:hAnsi="Barlow Semi Condensed"/>
          <w:sz w:val="24"/>
          <w:szCs w:val="24"/>
        </w:rPr>
        <w:t xml:space="preserve"> I blocchi 81, 82, 83 e 117 dei nove cantieri fissano la procedura per gli Akten zur Auswärtigen Politik: spoglio della selezione edita, poi richiesta del fascicolo integrale al Politisches Archiv da cui quella selezione proviene. Il rendimento che questo territorio aggiunge è cronologico e non metodologico, perché estende alle annate 1969-1974 una procedura scritta per il 1977-1978. È l'estensione più economica disponibile.</w:t>
      </w:r>
    </w:p>
    <w:p>
      <w:pPr>
        <w:spacing w:after="120" w:line="276"/>
        <w:jc w:val="both"/>
      </w:pPr>
      <w:r>
        <w:rPr>
          <w:rFonts w:ascii="Barlow Semi Condensed" w:cs="Barlow Semi Condensed" w:eastAsia="Barlow Semi Condensed" w:hAnsi="Barlow Semi Condensed"/>
          <w:b/>
          <w:bCs/>
          <w:sz w:val="24"/>
          <w:szCs w:val="24"/>
        </w:rPr>
        <w:t xml:space="preserve">2691 · Il referato che serve qui.</w:t>
      </w:r>
      <w:r>
        <w:rPr>
          <w:rFonts w:ascii="Barlow Semi Condensed" w:cs="Barlow Semi Condensed" w:eastAsia="Barlow Semi Condensed" w:hAnsi="Barlow Semi Condensed"/>
          <w:sz w:val="24"/>
          <w:szCs w:val="24"/>
        </w:rPr>
        <w:t xml:space="preserve"> Al Politisches Archiv dell'Auswärtiges Amt il cantiere tedesco individua i fascicoli del Länderreferat per l'Italia. Questa serie richiede un referato diverso: quello competente per la Santa Sede e per i rapporti con la Polonia negli anni 1970-1973. È precisazione operativa e non di merito, ma cambia la richiesta che si deposita in sala studio, e va scritta prima di partire.</w:t>
      </w:r>
    </w:p>
    <w:p>
      <w:pPr>
        <w:spacing w:after="120" w:line="276"/>
        <w:jc w:val="both"/>
      </w:pPr>
      <w:r>
        <w:rPr>
          <w:rFonts w:ascii="Barlow Semi Condensed" w:cs="Barlow Semi Condensed" w:eastAsia="Barlow Semi Condensed" w:hAnsi="Barlow Semi Condensed"/>
          <w:b/>
          <w:bCs/>
          <w:sz w:val="24"/>
          <w:szCs w:val="24"/>
        </w:rPr>
        <w:t xml:space="preserve">2692 · I Telegrammi che restano esclusi.</w:t>
      </w:r>
      <w:r>
        <w:rPr>
          <w:rFonts w:ascii="Barlow Semi Condensed" w:cs="Barlow Semi Condensed" w:eastAsia="Barlow Semi Condensed" w:hAnsi="Barlow Semi Condensed"/>
          <w:sz w:val="24"/>
          <w:szCs w:val="24"/>
        </w:rPr>
        <w:t xml:space="preserve"> La serie Germania 1969-1975 dell'Archivio storico-diplomatico è la sede naturale della posizione italiana sui cinque atti, ma la seconda campagna ha corretto i blocchi 55 e 78 dei cantieri e il blocco 244 dell'agenda: i fondi non sono aperti senza riserve, resta l'esclusione temporanea dei Telegrammi 1942-1970 e la disponibilità dei faldoni va verificata caso per caso. Il costo del bersaglio va rivisto prima di pianificare.</w:t>
      </w:r>
    </w:p>
    <w:p>
      <w:pPr>
        <w:spacing w:after="120" w:line="276"/>
        <w:jc w:val="both"/>
      </w:pPr>
      <w:r>
        <w:rPr>
          <w:rFonts w:ascii="Barlow Semi Condensed" w:cs="Barlow Semi Condensed" w:eastAsia="Barlow Semi Condensed" w:hAnsi="Barlow Semi Condensed"/>
          <w:b/>
          <w:bCs/>
          <w:sz w:val="24"/>
          <w:szCs w:val="24"/>
        </w:rPr>
        <w:t xml:space="preserve">2693 · Il quarto deposito delle carte Moro.</w:t>
      </w:r>
      <w:r>
        <w:rPr>
          <w:rFonts w:ascii="Barlow Semi Condensed" w:cs="Barlow Semi Condensed" w:eastAsia="Barlow Semi Condensed" w:hAnsi="Barlow Semi Condensed"/>
          <w:sz w:val="24"/>
          <w:szCs w:val="24"/>
        </w:rPr>
        <w:t xml:space="preserve"> La seconda campagna ha accertato un quarto nucleo delle carte morotee, con segnatura propria IT-AFS-048 presso l'Archivio storico del Senato e unità digitalizzate che riguardano proprio il ministro degli Esteri. Bersaglio circoscritto: cercarvi il fascicolo tedesco degli anni 1969-1972 e verificare se contenga carte di provenienza americana. Il registro dei tre nuclei, ai blocchi 221-223 dei cantieri, va emendato per nota.</w:t>
      </w:r>
    </w:p>
    <w:p>
      <w:pPr>
        <w:spacing w:after="120" w:line="276"/>
        <w:jc w:val="both"/>
      </w:pPr>
      <w:r>
        <w:rPr>
          <w:rFonts w:ascii="Barlow Semi Condensed" w:cs="Barlow Semi Condensed" w:eastAsia="Barlow Semi Condensed" w:hAnsi="Barlow Semi Condensed"/>
          <w:b/>
          <w:bCs/>
          <w:sz w:val="24"/>
          <w:szCs w:val="24"/>
        </w:rPr>
        <w:t xml:space="preserve">2694 · Il sindacato ispettivo comincia tardi.</w:t>
      </w:r>
      <w:r>
        <w:rPr>
          <w:rFonts w:ascii="Barlow Semi Condensed" w:cs="Barlow Semi Condensed" w:eastAsia="Barlow Semi Condensed" w:hAnsi="Barlow Semi Condensed"/>
          <w:sz w:val="24"/>
          <w:szCs w:val="24"/>
        </w:rPr>
        <w:t xml:space="preserve"> La banca dati parlamentare del sindacato ispettivo copre dalla settima legislatura, cioè dal 5 luglio 1976: per l'intero arco dei mandati di Moro restano resoconti stenografici non ricercabili a testo pieno. Ne segue una conseguenza precisa: con i soli strumenti in rete non è possibile né confermare né escludere interrogazioni che nominassero il Segretario di Stato americano sulla Ostpolitik. Si chiude con lo spoglio manuale.</w:t>
      </w:r>
    </w:p>
    <w:p>
      <w:pPr>
        <w:spacing w:after="120" w:line="276"/>
        <w:jc w:val="both"/>
      </w:pPr>
      <w:r>
        <w:rPr>
          <w:rFonts w:ascii="Barlow Semi Condensed" w:cs="Barlow Semi Condensed" w:eastAsia="Barlow Semi Condensed" w:hAnsi="Barlow Semi Condensed"/>
          <w:b/>
          <w:bCs/>
          <w:sz w:val="24"/>
          <w:szCs w:val="24"/>
        </w:rPr>
        <w:t xml:space="preserve">2695 · Il riconoscimento della Repubblica Democratica.</w:t>
      </w:r>
      <w:r>
        <w:rPr>
          <w:rFonts w:ascii="Barlow Semi Condensed" w:cs="Barlow Semi Condensed" w:eastAsia="Barlow Semi Condensed" w:hAnsi="Barlow Semi Condensed"/>
          <w:sz w:val="24"/>
          <w:szCs w:val="24"/>
        </w:rPr>
        <w:t xml:space="preserve"> Il riconoscimento italiano è collocato dalle fonti italiane al 17 gennaio 1973 e da fonte istituzionale tedesca al 18: divergenza prodotta dalla verifica della seconda campagna e da riportare. Cadde fra i due mandati di Moro, con Giuseppe Medici alla Farnesina. In quel gennaio il nome di questa serie ricopriva il solo incarico di assistente per la sicurezza nazionale: la precisazione evita attribuzioni di carica errate.</w:t>
      </w:r>
    </w:p>
    <w:p>
      <w:pPr>
        <w:spacing w:after="120" w:line="276"/>
        <w:jc w:val="both"/>
      </w:pPr>
      <w:r>
        <w:rPr>
          <w:rFonts w:ascii="Barlow Semi Condensed" w:cs="Barlow Semi Condensed" w:eastAsia="Barlow Semi Condensed" w:hAnsi="Barlow Semi Condensed"/>
          <w:b/>
          <w:bCs/>
          <w:sz w:val="24"/>
          <w:szCs w:val="24"/>
        </w:rPr>
        <w:t xml:space="preserve">2696 · Moro e Honecker, incontro senza data.</w:t>
      </w:r>
      <w:r>
        <w:rPr>
          <w:rFonts w:ascii="Barlow Semi Condensed" w:cs="Barlow Semi Condensed" w:eastAsia="Barlow Semi Condensed" w:hAnsi="Barlow Semi Condensed"/>
          <w:sz w:val="24"/>
          <w:szCs w:val="24"/>
        </w:rPr>
        <w:t xml:space="preserve"> Fasanaro intitola un paragrafo «Dopo il riconoscimento, Moro incontra Honecker», e questo è quanto: il territorio non fornisce né data né sede né verbale. Stato Zero con tre sedi di chiusura — il volume di Fasanaro con le sue note, le carte morotee fra Senato e Archivio centrale dello Stato, i fondi della SED presso il Bundesarchiv. Un titolo di paragrafo non è un accertamento.</w:t>
      </w:r>
    </w:p>
    <w:p>
      <w:pPr>
        <w:spacing w:after="120" w:line="276"/>
        <w:jc w:val="both"/>
      </w:pPr>
      <w:r>
        <w:rPr>
          <w:rFonts w:ascii="Barlow Semi Condensed" w:cs="Barlow Semi Condensed" w:eastAsia="Barlow Semi Condensed" w:hAnsi="Barlow Semi Condensed"/>
          <w:b/>
          <w:bCs/>
          <w:sz w:val="24"/>
          <w:szCs w:val="24"/>
        </w:rPr>
        <w:t xml:space="preserve">2697 · Il bilaterale che il corpus possedeva.</w:t>
      </w:r>
      <w:r>
        <w:rPr>
          <w:rFonts w:ascii="Barlow Semi Condensed" w:cs="Barlow Semi Condensed" w:eastAsia="Barlow Semi Condensed" w:hAnsi="Barlow Semi Condensed"/>
          <w:sz w:val="24"/>
          <w:szCs w:val="24"/>
        </w:rPr>
        <w:t xml:space="preserve"> Il dossier tedesco registra fra i propri esiti negativi che gli incontri con Brandt non emergono dalle fonti edite; il corpus lo corregge, e la correzione sta ai blocchi 364 e 625 dell'opera: la cronologia ufficiale della fondazione intitolata al cancelliere documenta un bilaterale a Roma il 31 agosto e il primo settembre 1969. Restano inferite le presenze alle visite romane del luglio e del novembre 1970.</w:t>
      </w:r>
    </w:p>
    <w:p>
      <w:pPr>
        <w:spacing w:after="120" w:line="276"/>
        <w:jc w:val="both"/>
      </w:pPr>
      <w:r>
        <w:rPr>
          <w:rFonts w:ascii="Barlow Semi Condensed" w:cs="Barlow Semi Condensed" w:eastAsia="Barlow Semi Condensed" w:hAnsi="Barlow Semi Condensed"/>
          <w:b/>
          <w:bCs/>
          <w:sz w:val="24"/>
          <w:szCs w:val="24"/>
        </w:rPr>
        <w:t xml:space="preserve">2698 · I filmati dell'ambasciatore a Bonn.</w:t>
      </w:r>
      <w:r>
        <w:rPr>
          <w:rFonts w:ascii="Barlow Semi Condensed" w:cs="Barlow Semi Condensed" w:eastAsia="Barlow Semi Condensed" w:hAnsi="Barlow Semi Condensed"/>
          <w:sz w:val="24"/>
          <w:szCs w:val="24"/>
        </w:rPr>
        <w:t xml:space="preserve"> Il documentario dei filmati amatoriali dell'ambasciatore Mario Luciolli, in carica a Bonn dal 1964 al 1976, mostra nel 1971 a Bad Godesberg Colombo e Moro all'Ambasciata d'Italia in un ricevimento cui presero parte Genscher e Scheel, e Moro di nuovo nell'area di Bonn nel 1972. Le datazioni sono etichette d'archivista. Bersaglio visivo: verificare fotogramma per fotogramma se vi compaia una presenza americana.</w:t>
      </w:r>
    </w:p>
    <w:p>
      <w:pPr>
        <w:spacing w:after="120" w:line="276"/>
        <w:jc w:val="both"/>
      </w:pPr>
      <w:r>
        <w:rPr>
          <w:rFonts w:ascii="Barlow Semi Condensed" w:cs="Barlow Semi Condensed" w:eastAsia="Barlow Semi Condensed" w:hAnsi="Barlow Semi Condensed"/>
          <w:b/>
          <w:bCs/>
          <w:sz w:val="24"/>
          <w:szCs w:val="24"/>
        </w:rPr>
        <w:t xml:space="preserve">2699 · Stoll, la data e lo statuto.</w:t>
      </w:r>
      <w:r>
        <w:rPr>
          <w:rFonts w:ascii="Barlow Semi Condensed" w:cs="Barlow Semi Condensed" w:eastAsia="Barlow Semi Condensed" w:hAnsi="Barlow Semi Condensed"/>
          <w:sz w:val="24"/>
          <w:szCs w:val="24"/>
        </w:rPr>
        <w:t xml:space="preserve"> La morte a Düsseldorf del militante della Rote Armee Fraktion Willy Peter Stoll è corretta dal territorio al 6 settembre 1978, e la verifica aggiunge che la dinamica riferita è la versione ufficiale delle forze dell'ordine, non un accertamento. Le dichiarazioni di Patrizio Peci su contatti con Mario Moretti restano dichiarazioni. Il filone si tratta ai blocchi 88, 104 e 105 dei cantieri, e non incrocia questo nome.</w:t>
      </w:r>
    </w:p>
    <w:p>
      <w:pPr>
        <w:spacing w:after="120" w:line="276"/>
        <w:jc w:val="both"/>
      </w:pPr>
      <w:r>
        <w:rPr>
          <w:rFonts w:ascii="Barlow Semi Condensed" w:cs="Barlow Semi Condensed" w:eastAsia="Barlow Semi Condensed" w:hAnsi="Barlow Semi Condensed"/>
          <w:b/>
          <w:bCs/>
          <w:sz w:val="24"/>
          <w:szCs w:val="24"/>
        </w:rPr>
        <w:t xml:space="preserve">2700 · Bilancio: zero ponti, molte sedi.</w:t>
      </w:r>
      <w:r>
        <w:rPr>
          <w:rFonts w:ascii="Barlow Semi Condensed" w:cs="Barlow Semi Condensed" w:eastAsia="Barlow Semi Condensed" w:hAnsi="Barlow Semi Condensed"/>
          <w:sz w:val="24"/>
          <w:szCs w:val="24"/>
        </w:rPr>
        <w:t xml:space="preserve"> Questa serie si chiude senza alcun ponte di primo piano fra il nome e il territorio. Ha misurato due zeri e due affioramenti — la potenza firmataria del 3 settembre 1971 e la svalutazione del dollaro del febbraio 1973 —, ha tenuto al terzo piano l'insofferenza di Helsinki e ha nominato le sedi che chiuderebbero il resto. Un'assenza dichiarata bene vale più di un ponte suggerito.</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Serie trentaseiesima — La Farnesina: Portogallo e Santa Sede</w:t>
      </w:r>
    </w:p>
    <w:p>
      <w:pPr>
        <w:spacing w:after="120" w:line="276"/>
        <w:jc w:val="both"/>
      </w:pPr>
      <w:r>
        <w:rPr>
          <w:rFonts w:ascii="Barlow Semi Condensed" w:cs="Barlow Semi Condensed" w:eastAsia="Barlow Semi Condensed" w:hAnsi="Barlow Semi Condensed"/>
          <w:i/>
          <w:iCs/>
          <w:sz w:val="24"/>
          <w:szCs w:val="24"/>
        </w:rPr>
        <w:t xml:space="preserve">Blocchi 2701-2780.</w:t>
      </w:r>
    </w:p>
    <w:p>
      <w:pPr>
        <w:spacing w:after="120" w:line="276"/>
        <w:jc w:val="both"/>
      </w:pPr>
      <w:r>
        <w:rPr>
          <w:rFonts w:ascii="Barlow Semi Condensed" w:cs="Barlow Semi Condensed" w:eastAsia="Barlow Semi Condensed" w:hAnsi="Barlow Semi Condensed"/>
          <w:b/>
          <w:bCs/>
          <w:sz w:val="24"/>
          <w:szCs w:val="24"/>
        </w:rPr>
        <w:t xml:space="preserve">2701 · Il perimetro di questa serie.</w:t>
      </w:r>
      <w:r>
        <w:rPr>
          <w:rFonts w:ascii="Barlow Semi Condensed" w:cs="Barlow Semi Condensed" w:eastAsia="Barlow Semi Condensed" w:hAnsi="Barlow Semi Condensed"/>
          <w:sz w:val="24"/>
          <w:szCs w:val="24"/>
        </w:rPr>
        <w:t xml:space="preserve"> La serie non triangola un'idea ma due file, portogallo-opus-dei.md e portogallo-santa-sede-1969-1974.md, entrambi nella cartella originali della Farnesina, dodici capitoli ciascuno, con TL;DR, Key Findings, Recommendations e Caveats. Tutto ciò che segue nasce dalla loro lettura integrale. Fuori da quel perimetro nulla viene affermato; dentro, ogni assenza è misurata prima di essere interpretata, e la misura precede sempre la lettura.</w:t>
      </w:r>
    </w:p>
    <w:p>
      <w:pPr>
        <w:spacing w:after="120" w:line="276"/>
        <w:jc w:val="both"/>
      </w:pPr>
      <w:r>
        <w:rPr>
          <w:rFonts w:ascii="Barlow Semi Condensed" w:cs="Barlow Semi Condensed" w:eastAsia="Barlow Semi Condensed" w:hAnsi="Barlow Semi Condensed"/>
          <w:b/>
          <w:bCs/>
          <w:sz w:val="24"/>
          <w:szCs w:val="24"/>
        </w:rPr>
        <w:t xml:space="preserve">2702 · Due occorrenze, contate a mano.</w:t>
      </w:r>
      <w:r>
        <w:rPr>
          <w:rFonts w:ascii="Barlow Semi Condensed" w:cs="Barlow Semi Condensed" w:eastAsia="Barlow Semi Condensed" w:hAnsi="Barlow Semi Condensed"/>
          <w:sz w:val="24"/>
          <w:szCs w:val="24"/>
        </w:rPr>
        <w:t xml:space="preserve"> La verifica meccanica sul territorio dà un esito esatto, e va scritto per primo: la stringa Kissinger compare una sola volta in portogallo-opus-dei.md e una sola volta in portogallo-santa-sede-1969-1974.md. Due occorrenze in ventiquattro capitoli, poco meno di centomila caratteri. È la misura del nome dentro il territorio assegnato, ed è il pavimento su cui poggiano gli ottanta bersagli che seguono.</w:t>
      </w:r>
    </w:p>
    <w:p>
      <w:pPr>
        <w:spacing w:after="120" w:line="276"/>
        <w:jc w:val="both"/>
      </w:pPr>
      <w:r>
        <w:rPr>
          <w:rFonts w:ascii="Barlow Semi Condensed" w:cs="Barlow Semi Condensed" w:eastAsia="Barlow Semi Condensed" w:hAnsi="Barlow Semi Condensed"/>
          <w:b/>
          <w:bCs/>
          <w:sz w:val="24"/>
          <w:szCs w:val="24"/>
        </w:rPr>
        <w:t xml:space="preserve">2703 · Le due occorrenze non pesano uguale.</w:t>
      </w:r>
      <w:r>
        <w:rPr>
          <w:rFonts w:ascii="Barlow Semi Condensed" w:cs="Barlow Semi Condensed" w:eastAsia="Barlow Semi Condensed" w:hAnsi="Barlow Semi Condensed"/>
          <w:sz w:val="24"/>
          <w:szCs w:val="24"/>
        </w:rPr>
        <w:t xml:space="preserve"> Delle due, una cita un documento diplomatico edito nei Foreign Relations of the United States; l'altra riporta una qualificazione di stato d'animo tratta da un articolo di quotidiano. Sommarle sarebbe l'errore che il corpus vieta: la prima vale per il documento che nomina, la seconda per la fonte che la riferisce. Si separano qui, e restano separate in tutta la serie.</w:t>
      </w:r>
    </w:p>
    <w:p>
      <w:pPr>
        <w:spacing w:after="120" w:line="276"/>
        <w:jc w:val="both"/>
      </w:pPr>
      <w:r>
        <w:rPr>
          <w:rFonts w:ascii="Barlow Semi Condensed" w:cs="Barlow Semi Condensed" w:eastAsia="Barlow Semi Condensed" w:hAnsi="Barlow Semi Condensed"/>
          <w:b/>
          <w:bCs/>
          <w:sz w:val="24"/>
          <w:szCs w:val="24"/>
        </w:rPr>
        <w:t xml:space="preserve">2704 · La frase del settimo capitolo.</w:t>
      </w:r>
      <w:r>
        <w:rPr>
          <w:rFonts w:ascii="Barlow Semi Condensed" w:cs="Barlow Semi Condensed" w:eastAsia="Barlow Semi Condensed" w:hAnsi="Barlow Semi Condensed"/>
          <w:sz w:val="24"/>
          <w:szCs w:val="24"/>
        </w:rPr>
        <w:t xml:space="preserve"> Nel settimo capitolo di portogallo-opus-dei.md, dedicato a Moro ministro e al Portogallo, si legge che nei FRUS Kissinger paventava per Lisbona «not a Communist take-over, but a leftist neutralist regime remaining within NATO», con rinvio al documento 153 del volume E-15 parte 2. È accertamento di piano 1 sul rapporto fra Washington e Lisbona: attesta una valutazione, non un'azione, e nulla dice dell'Italia.</w:t>
      </w:r>
    </w:p>
    <w:p>
      <w:pPr>
        <w:spacing w:after="120" w:line="276"/>
        <w:jc w:val="both"/>
      </w:pPr>
      <w:r>
        <w:rPr>
          <w:rFonts w:ascii="Barlow Semi Condensed" w:cs="Barlow Semi Condensed" w:eastAsia="Barlow Semi Condensed" w:hAnsi="Barlow Semi Condensed"/>
          <w:b/>
          <w:bCs/>
          <w:sz w:val="24"/>
          <w:szCs w:val="24"/>
        </w:rPr>
        <w:t xml:space="preserve">2705 · L'insofferenza attribuita dal decimo capitolo.</w:t>
      </w:r>
      <w:r>
        <w:rPr>
          <w:rFonts w:ascii="Barlow Semi Condensed" w:cs="Barlow Semi Condensed" w:eastAsia="Barlow Semi Condensed" w:hAnsi="Barlow Semi Condensed"/>
          <w:sz w:val="24"/>
          <w:szCs w:val="24"/>
        </w:rPr>
        <w:t xml:space="preserve"> Nel decimo capitolo di portogallo-santa-sede-1969-1974.md si scrive che Moro, «sfidando l'insofferenza di Kissinger», ottenne il coinvolgimento formale della Comunità europea nella firma dell'Atto finale. La fonte è un articolo di «Avvenire», non un verbale negoziale. Il fatto istituzionale — la duplice qualità del firmatario italiano — regge; l'attributo psicologico no, e si registra al terzo piano finché un atto della trattativa non lo sostenga.</w:t>
      </w:r>
    </w:p>
    <w:p>
      <w:pPr>
        <w:spacing w:after="120" w:line="276"/>
        <w:jc w:val="both"/>
      </w:pPr>
      <w:r>
        <w:rPr>
          <w:rFonts w:ascii="Barlow Semi Condensed" w:cs="Barlow Semi Condensed" w:eastAsia="Barlow Semi Condensed" w:hAnsi="Barlow Semi Condensed"/>
          <w:b/>
          <w:bCs/>
          <w:sz w:val="24"/>
          <w:szCs w:val="24"/>
        </w:rPr>
        <w:t xml:space="preserve">2706 · I nomi che il territorio tace.</w:t>
      </w:r>
      <w:r>
        <w:rPr>
          <w:rFonts w:ascii="Barlow Semi Condensed" w:cs="Barlow Semi Condensed" w:eastAsia="Barlow Semi Condensed" w:hAnsi="Barlow Semi Condensed"/>
          <w:sz w:val="24"/>
          <w:szCs w:val="24"/>
        </w:rPr>
        <w:t xml:space="preserve"> Verifica per stringhe, eseguita sui due file: Ford zero, Scowcroft zero, Leone zero, Segretario di Stato zero, 25 settembre 1974 zero, Guerzoni zero. Il territorio portoghese non tocca nessuno dei nomi e delle date su cui poggia la controversia italiana. Non è reticenza: è specializzazione delle fonti, e come tale va diagnosticata prima di essere interrogata sulla struttura del mondo.</w:t>
      </w:r>
    </w:p>
    <w:p>
      <w:pPr>
        <w:spacing w:after="120" w:line="276"/>
        <w:jc w:val="both"/>
      </w:pPr>
      <w:r>
        <w:rPr>
          <w:rFonts w:ascii="Barlow Semi Condensed" w:cs="Barlow Semi Condensed" w:eastAsia="Barlow Semi Condensed" w:hAnsi="Barlow Semi Condensed"/>
          <w:b/>
          <w:bCs/>
          <w:sz w:val="24"/>
          <w:szCs w:val="24"/>
        </w:rPr>
        <w:t xml:space="preserve">2707 · La carica mai nominata.</w:t>
      </w:r>
      <w:r>
        <w:rPr>
          <w:rFonts w:ascii="Barlow Semi Condensed" w:cs="Barlow Semi Condensed" w:eastAsia="Barlow Semi Condensed" w:hAnsi="Barlow Semi Condensed"/>
          <w:sz w:val="24"/>
          <w:szCs w:val="24"/>
        </w:rPr>
        <w:t xml:space="preserve"> Nei due documenti non compare in alcun punto la qualifica dell'uomo: né Assistente del Presidente per gli affari di sicurezza nazionale, dal 20 gennaio 1969 al 3 novembre 1975, né Segretario di Stato dal 22 settembre 1973 al 20 gennaio 1977. Le due occorrenze del cognome stanno nude, senza titolo e senza data. Chi le riprenda restituisca la carica esatta, perché da essa dipende ogni valutazione di competenza.</w:t>
      </w:r>
    </w:p>
    <w:p>
      <w:pPr>
        <w:spacing w:after="120" w:line="276"/>
        <w:jc w:val="both"/>
      </w:pPr>
      <w:r>
        <w:rPr>
          <w:rFonts w:ascii="Barlow Semi Condensed" w:cs="Barlow Semi Condensed" w:eastAsia="Barlow Semi Condensed" w:hAnsi="Barlow Semi Condensed"/>
          <w:b/>
          <w:bCs/>
          <w:sz w:val="24"/>
          <w:szCs w:val="24"/>
        </w:rPr>
        <w:t xml:space="preserve">2708 · Il ponte sta in un altro file.</w:t>
      </w:r>
      <w:r>
        <w:rPr>
          <w:rFonts w:ascii="Barlow Semi Condensed" w:cs="Barlow Semi Condensed" w:eastAsia="Barlow Semi Condensed" w:hAnsi="Barlow Semi Condensed"/>
          <w:sz w:val="24"/>
          <w:szCs w:val="24"/>
        </w:rPr>
        <w:t xml:space="preserve"> Il solo rapporto di piano 1 fra questo nome e il Portogallo che il corpus possieda non sta nel territorio portoghese: sta nell'apparato K-3 dell'opera in mille blocchi, dove si accerta che il verbale dello Studio Ovale del 25 settembre 1974 argomenta il rifiuto di scambiare informazioni militari «col precedente portoghese richiamato». Il Portogallo vi compare come argomento, dentro un colloquio italiano.</w:t>
      </w:r>
    </w:p>
    <w:p>
      <w:pPr>
        <w:spacing w:after="120" w:line="276"/>
        <w:jc w:val="both"/>
      </w:pPr>
      <w:r>
        <w:rPr>
          <w:rFonts w:ascii="Barlow Semi Condensed" w:cs="Barlow Semi Condensed" w:eastAsia="Barlow Semi Condensed" w:hAnsi="Barlow Semi Condensed"/>
          <w:b/>
          <w:bCs/>
          <w:sz w:val="24"/>
          <w:szCs w:val="24"/>
        </w:rPr>
        <w:t xml:space="preserve">2709 · Un ponte che nessun blocco usò.</w:t>
      </w:r>
      <w:r>
        <w:rPr>
          <w:rFonts w:ascii="Barlow Semi Condensed" w:cs="Barlow Semi Condensed" w:eastAsia="Barlow Semi Condensed" w:hAnsi="Barlow Semi Condensed"/>
          <w:sz w:val="24"/>
          <w:szCs w:val="24"/>
        </w:rPr>
        <w:t xml:space="preserve"> Verifica interna, eseguita: la formula «precedente portoghese» ricorre una sola volta nell'intero file dei mille blocchi, e nell'apparato, non in un blocco. Nessuna delle tredici serie concettuali la impiega, comprese quelle portoghesi dei blocchi 323-335. Un accertamento già acquisito è rimasto inutilizzato per mille blocchi: è il tipo di vuoto che solo una campagna territoriale scopre, e va verbalizzato come tale.</w:t>
      </w:r>
    </w:p>
    <w:p>
      <w:pPr>
        <w:spacing w:after="120" w:line="276"/>
        <w:jc w:val="both"/>
      </w:pPr>
      <w:r>
        <w:rPr>
          <w:rFonts w:ascii="Barlow Semi Condensed" w:cs="Barlow Semi Condensed" w:eastAsia="Barlow Semi Condensed" w:hAnsi="Barlow Semi Condensed"/>
          <w:b/>
          <w:bCs/>
          <w:sz w:val="24"/>
          <w:szCs w:val="24"/>
        </w:rPr>
        <w:t xml:space="preserve">2710 · Che cosa smentirebbe questa serie (serie XXXVI).</w:t>
      </w:r>
      <w:r>
        <w:rPr>
          <w:rFonts w:ascii="Barlow Semi Condensed" w:cs="Barlow Semi Condensed" w:eastAsia="Barlow Semi Condensed" w:hAnsi="Barlow Semi Condensed"/>
          <w:sz w:val="24"/>
          <w:szCs w:val="24"/>
        </w:rPr>
        <w:t xml:space="preserve"> Bersaglio di smentita generale, dichiarato in apertura perché valga su tutti gli ottanta. Basterebbe un solo documento di provenienza — un telegramma, un memorandum, un appunto d'ambasciata — che nominasse insieme questo nome e il dossier portoghese trattato da Moro ministro, per trasformare l'intero impianto da Stato Zero in accertamento. Finché non compare, le convergenze restano al secondo piano e vi restano scritte.</w:t>
      </w:r>
    </w:p>
    <w:p>
      <w:pPr>
        <w:spacing w:after="120" w:line="276"/>
        <w:jc w:val="both"/>
      </w:pPr>
      <w:r>
        <w:rPr>
          <w:rFonts w:ascii="Barlow Semi Condensed" w:cs="Barlow Semi Condensed" w:eastAsia="Barlow Semi Condensed" w:hAnsi="Barlow Semi Condensed"/>
          <w:b/>
          <w:bCs/>
          <w:sz w:val="24"/>
          <w:szCs w:val="24"/>
        </w:rPr>
        <w:t xml:space="preserve">2711 · La bibliografia della premessa metodologica.</w:t>
      </w:r>
      <w:r>
        <w:rPr>
          <w:rFonts w:ascii="Barlow Semi Condensed" w:cs="Barlow Semi Condensed" w:eastAsia="Barlow Semi Condensed" w:hAnsi="Barlow Semi Condensed"/>
          <w:sz w:val="24"/>
          <w:szCs w:val="24"/>
        </w:rPr>
        <w:t xml:space="preserve"> La premessa del primo capitolo elenca le fonti impiegate: opusdei.org, Lusitania Sacra col doi 10.34632/lusitaniasacra.2022.11811 di Miguel de Salis Amaral, l'inchiesta Vilela–Brandão, aldomoro.eu, aldomorodigitale.unibo.it, la Nuova Rivista Storica, il CIA FOIA Reading Room e i FRUS. In quell'elenco non figura alcuna fonte personale statunitense: né carte private, né memorie, né raccolte di conversazioni. La lacuna è d'impianto, non d'esito.</w:t>
      </w:r>
    </w:p>
    <w:p>
      <w:pPr>
        <w:spacing w:after="120" w:line="276"/>
        <w:jc w:val="both"/>
      </w:pPr>
      <w:r>
        <w:rPr>
          <w:rFonts w:ascii="Barlow Semi Condensed" w:cs="Barlow Semi Condensed" w:eastAsia="Barlow Semi Condensed" w:hAnsi="Barlow Semi Condensed"/>
          <w:b/>
          <w:bCs/>
          <w:sz w:val="24"/>
          <w:szCs w:val="24"/>
        </w:rPr>
        <w:t xml:space="preserve">2712 · Il 1945 e l'aritmetica anagrafica.</w:t>
      </w:r>
      <w:r>
        <w:rPr>
          <w:rFonts w:ascii="Barlow Semi Condensed" w:cs="Barlow Semi Condensed" w:eastAsia="Barlow Semi Condensed" w:hAnsi="Barlow Semi Condensed"/>
          <w:sz w:val="24"/>
          <w:szCs w:val="24"/>
        </w:rPr>
        <w:t xml:space="preserve"> L'insediamento portoghese dell'ente è datato al 5 febbraio 1945, con la divergenza dichiarata dell'inchiesta Vilela–Brandão che lo colloca al 1946. In quel febbraio l'uomo di questa serie, nato a Fürth il 27 maggio 1923, era un soldato ventunenne. La contemporaneità non esiste nemmeno come cornice: qui non c'è Stato Zero da dichiarare, c'è un accostamento da escludere in partenza.</w:t>
      </w:r>
    </w:p>
    <w:p>
      <w:pPr>
        <w:spacing w:after="120" w:line="276"/>
        <w:jc w:val="both"/>
      </w:pPr>
      <w:r>
        <w:rPr>
          <w:rFonts w:ascii="Barlow Semi Condensed" w:cs="Barlow Semi Condensed" w:eastAsia="Barlow Semi Condensed" w:hAnsi="Barlow Semi Condensed"/>
          <w:b/>
          <w:bCs/>
          <w:sz w:val="24"/>
          <w:szCs w:val="24"/>
        </w:rPr>
        <w:t xml:space="preserve">2713 · I tre fascicoli della polizia politica.</w:t>
      </w:r>
      <w:r>
        <w:rPr>
          <w:rFonts w:ascii="Barlow Semi Condensed" w:cs="Barlow Semi Condensed" w:eastAsia="Barlow Semi Condensed" w:hAnsi="Barlow Semi Condensed"/>
          <w:sz w:val="24"/>
          <w:szCs w:val="24"/>
        </w:rPr>
        <w:t xml:space="preserve"> Tre pezzi da leggere in originale alla Torre do Tombo sono nominati nel terzo capitolo: la nota non firmata del 1961 «As Actividades do Opus Dei em Portugal», il rapporto del settembre 1963 e il relatório del gennaio 1964 sulle «tentativas de penetração». Quesito per la sala di studio: quei fascicoli annotano funzionari statunitensi accanto a Caetano, Adriano Moreira e Daniel Barbosa? La risposta è ignota.</w:t>
      </w:r>
    </w:p>
    <w:p>
      <w:pPr>
        <w:spacing w:after="120" w:line="276"/>
        <w:jc w:val="both"/>
      </w:pPr>
      <w:r>
        <w:rPr>
          <w:rFonts w:ascii="Barlow Semi Condensed" w:cs="Barlow Semi Condensed" w:eastAsia="Barlow Semi Condensed" w:hAnsi="Barlow Semi Condensed"/>
          <w:b/>
          <w:bCs/>
          <w:sz w:val="24"/>
          <w:szCs w:val="24"/>
        </w:rPr>
        <w:t xml:space="preserve">2714 · Sospetto annotato, non condotta provata.</w:t>
      </w:r>
      <w:r>
        <w:rPr>
          <w:rFonts w:ascii="Barlow Semi Condensed" w:cs="Barlow Semi Condensed" w:eastAsia="Barlow Semi Condensed" w:hAnsi="Barlow Semi Condensed"/>
          <w:sz w:val="24"/>
          <w:szCs w:val="24"/>
        </w:rPr>
        <w:t xml:space="preserve"> La regola che il terzo capitolo applica alla PIDE si trasferisce integralmente a questo nome: ciò che una polizia annota è prova di ciò che essa temeva, non di ciò che accadde. Se in quei fascicoli comparisse un riferimento a Washington, attesterebbe un sospetto portoghese del 1961-1964 e nient'altro. Il salto dall'annotazione al fatto è il passaggio che questa serie non compie.</w:t>
      </w:r>
    </w:p>
    <w:p>
      <w:pPr>
        <w:spacing w:after="120" w:line="276"/>
        <w:jc w:val="both"/>
      </w:pPr>
      <w:r>
        <w:rPr>
          <w:rFonts w:ascii="Barlow Semi Condensed" w:cs="Barlow Semi Condensed" w:eastAsia="Barlow Semi Condensed" w:hAnsi="Barlow Semi Condensed"/>
          <w:b/>
          <w:bCs/>
          <w:sz w:val="24"/>
          <w:szCs w:val="24"/>
        </w:rPr>
        <w:t xml:space="preserve">2715 · Madrid 1969, e la data d'incarico.</w:t>
      </w:r>
      <w:r>
        <w:rPr>
          <w:rFonts w:ascii="Barlow Semi Condensed" w:cs="Barlow Semi Condensed" w:eastAsia="Barlow Semi Condensed" w:hAnsi="Barlow Semi Condensed"/>
          <w:sz w:val="24"/>
          <w:szCs w:val="24"/>
        </w:rPr>
        <w:t xml:space="preserve"> L'ingresso di Gregorio López Bravo agli Esteri spagnoli è datato dal quarto capitolo all'ottobre 1969, con rinvio al documento 303 del volume FRUS XLI. In quel mese l'uomo di questa serie era Assistente per la sicurezza nazionale da nove mesi. La coincidenza di calendario è reale e non stabilisce nulla: quel documento è una nota redazionale sullo scandalo MATESA, e non lo nomina.</w:t>
      </w:r>
    </w:p>
    <w:p>
      <w:pPr>
        <w:spacing w:after="120" w:line="276"/>
        <w:jc w:val="both"/>
      </w:pPr>
      <w:r>
        <w:rPr>
          <w:rFonts w:ascii="Barlow Semi Condensed" w:cs="Barlow Semi Condensed" w:eastAsia="Barlow Semi Condensed" w:hAnsi="Barlow Semi Condensed"/>
          <w:b/>
          <w:bCs/>
          <w:sz w:val="24"/>
          <w:szCs w:val="24"/>
        </w:rPr>
        <w:t xml:space="preserve">2716 · L'avvertenza di Paul Preston.</w:t>
      </w:r>
      <w:r>
        <w:rPr>
          <w:rFonts w:ascii="Barlow Semi Condensed" w:cs="Barlow Semi Condensed" w:eastAsia="Barlow Semi Condensed" w:hAnsi="Barlow Semi Condensed"/>
          <w:sz w:val="24"/>
          <w:szCs w:val="24"/>
        </w:rPr>
        <w:t xml:space="preserve"> Paul Preston è citato nello stesso capitolo: l'arrivo dei tecnocrati «no fue ni siniestra ni astuta, sino más bien una respuesta pragmática y sin esquema fijo». È una regola di lettura prima che un giudizio storiografico, e vale contro ogni disegno unico, compreso quello che si vorrebbe costruire attorno a un solo nome americano. Si adotta qui come criterio e si applica agli ottanta blocchi.</w:t>
      </w:r>
    </w:p>
    <w:p>
      <w:pPr>
        <w:spacing w:after="120" w:line="276"/>
        <w:jc w:val="both"/>
      </w:pPr>
      <w:r>
        <w:rPr>
          <w:rFonts w:ascii="Barlow Semi Condensed" w:cs="Barlow Semi Condensed" w:eastAsia="Barlow Semi Condensed" w:hAnsi="Barlow Semi Condensed"/>
          <w:b/>
          <w:bCs/>
          <w:sz w:val="24"/>
          <w:szCs w:val="24"/>
        </w:rPr>
        <w:t xml:space="preserve">2717 · Le guerre coloniali, doppio silenzio.</w:t>
      </w:r>
      <w:r>
        <w:rPr>
          <w:rFonts w:ascii="Barlow Semi Condensed" w:cs="Barlow Semi Condensed" w:eastAsia="Barlow Semi Condensed" w:hAnsi="Barlow Semi Condensed"/>
          <w:sz w:val="24"/>
          <w:szCs w:val="24"/>
        </w:rPr>
        <w:t xml:space="preserve"> Sulla posizione dell'ente riguardo alle guerre coloniali il quinto capitolo dichiara Stato Zero, indicando l'Archivio Generale della Prelatura a Roma e i fondi diocesani di Nampula, Beira, Tete e del Patriarcato di Lisbona. Su questo nome non pone nemmeno la domanda. Il secondo Stato Zero è dunque non dichiarato, e si dichiara qui: stessa sede ecclesiastica, più i FRUS sull'Africa australe.</w:t>
      </w:r>
    </w:p>
    <w:p>
      <w:pPr>
        <w:spacing w:after="120" w:line="276"/>
        <w:jc w:val="both"/>
      </w:pPr>
      <w:r>
        <w:rPr>
          <w:rFonts w:ascii="Barlow Semi Condensed" w:cs="Barlow Semi Condensed" w:eastAsia="Barlow Semi Condensed" w:hAnsi="Barlow Semi Condensed"/>
          <w:b/>
          <w:bCs/>
          <w:sz w:val="24"/>
          <w:szCs w:val="24"/>
        </w:rPr>
        <w:t xml:space="preserve">2718 · Amaro da Costa, appartenenza e condotta.</w:t>
      </w:r>
      <w:r>
        <w:rPr>
          <w:rFonts w:ascii="Barlow Semi Condensed" w:cs="Barlow Semi Condensed" w:eastAsia="Barlow Semi Condensed" w:hAnsi="Barlow Semi Condensed"/>
          <w:sz w:val="24"/>
          <w:szCs w:val="24"/>
        </w:rPr>
        <w:t xml:space="preserve"> L'appartenenza di Adelino Amaro da Costa all'ente e la sua fondazione del CDS il 19 luglio 1974 sono documentate nel sesto capitolo, che ricorda come l'appartenenza non provi la condotta dell'istituzione. La clausola vale anche in direzione opposta: nessun documento del territorio lega quell'uomo a interlocutori statunitensi, e la sua traiettoria non può essere usata come tramite verso il nome di questa serie.</w:t>
      </w:r>
    </w:p>
    <w:p>
      <w:pPr>
        <w:spacing w:after="120" w:line="276"/>
        <w:jc w:val="both"/>
      </w:pPr>
      <w:r>
        <w:rPr>
          <w:rFonts w:ascii="Barlow Semi Condensed" w:cs="Barlow Semi Condensed" w:eastAsia="Barlow Semi Condensed" w:hAnsi="Barlow Semi Condensed"/>
          <w:b/>
          <w:bCs/>
          <w:sz w:val="24"/>
          <w:szCs w:val="24"/>
        </w:rPr>
        <w:t xml:space="preserve">2719 · Camarate cade fuori perimetro.</w:t>
      </w:r>
      <w:r>
        <w:rPr>
          <w:rFonts w:ascii="Barlow Semi Condensed" w:cs="Barlow Semi Condensed" w:eastAsia="Barlow Semi Condensed" w:hAnsi="Barlow Semi Condensed"/>
          <w:sz w:val="24"/>
          <w:szCs w:val="24"/>
        </w:rPr>
        <w:t xml:space="preserve"> Il disastro aereo di Camarate del 4 dicembre 1980, che uccise Amaro da Costa e il primo ministro Francisco Sá Carneiro, è registrato come fatto. Cade tre anni e dieci mesi dopo la cessazione dell'ultimo incarico pubblico dell'uomo di questa serie, il 20 gennaio 1977. La regola cronologica basta a chiudere il punto prima che si apra, e va scritta perché la pubblicistica lo apre.</w:t>
      </w:r>
    </w:p>
    <w:p>
      <w:pPr>
        <w:spacing w:after="120" w:line="276"/>
        <w:jc w:val="both"/>
      </w:pPr>
      <w:r>
        <w:rPr>
          <w:rFonts w:ascii="Barlow Semi Condensed" w:cs="Barlow Semi Condensed" w:eastAsia="Barlow Semi Condensed" w:hAnsi="Barlow Semi Condensed"/>
          <w:b/>
          <w:bCs/>
          <w:sz w:val="24"/>
          <w:szCs w:val="24"/>
        </w:rPr>
        <w:t xml:space="preserve">2720 · Che cosa attesta il documento 153.</w:t>
      </w:r>
      <w:r>
        <w:rPr>
          <w:rFonts w:ascii="Barlow Semi Condensed" w:cs="Barlow Semi Condensed" w:eastAsia="Barlow Semi Condensed" w:hAnsi="Barlow Semi Condensed"/>
          <w:sz w:val="24"/>
          <w:szCs w:val="24"/>
        </w:rPr>
        <w:t xml:space="preserve"> La formula del documento 153 nomina con precisione l'oggetto del timore: non la presa del potere comunista, ma un regime neutralista di sinistra che restasse dentro l'Alleanza. Attesta una valutazione datata e attribuita. Non attesta un'istruzione, non attesta un'esecuzione, non attesta alcuna proiezione italiana. Chi la trasferisce a Roma senza una carta italiana scambia l'analogia per omologia, e il corpus lo vieta.</w:t>
      </w:r>
    </w:p>
    <w:p>
      <w:pPr>
        <w:spacing w:after="120" w:line="276"/>
        <w:jc w:val="both"/>
      </w:pPr>
      <w:r>
        <w:rPr>
          <w:rFonts w:ascii="Barlow Semi Condensed" w:cs="Barlow Semi Condensed" w:eastAsia="Barlow Semi Condensed" w:hAnsi="Barlow Semi Condensed"/>
          <w:b/>
          <w:bCs/>
          <w:sz w:val="24"/>
          <w:szCs w:val="24"/>
        </w:rPr>
        <w:t xml:space="preserve">2721 · Moro e il Portogallo, sede unica.</w:t>
      </w:r>
      <w:r>
        <w:rPr>
          <w:rFonts w:ascii="Barlow Semi Condensed" w:cs="Barlow Semi Condensed" w:eastAsia="Barlow Semi Condensed" w:hAnsi="Barlow Semi Condensed"/>
          <w:sz w:val="24"/>
          <w:szCs w:val="24"/>
        </w:rPr>
        <w:t xml:space="preserve"> La chiusura del settimo capitolo vale come consegna operativa: il rapporto Moro-Portogallo non è documentato da fonti dirette reperibili e va ricostruito all'Archivio Storico Diplomatico della Farnesina, serie Portogallo 1969-1974, sede presso cui la ricerca resta interamente da condurre. Il quesito da portarvi si allarga qui di una riga soltanto: cercare, negli stessi faldoni, ogni menzione del Dipartimento di Stato.</w:t>
      </w:r>
    </w:p>
    <w:p>
      <w:pPr>
        <w:spacing w:after="120" w:line="276"/>
        <w:jc w:val="both"/>
      </w:pPr>
      <w:r>
        <w:rPr>
          <w:rFonts w:ascii="Barlow Semi Condensed" w:cs="Barlow Semi Condensed" w:eastAsia="Barlow Semi Condensed" w:hAnsi="Barlow Semi Condensed"/>
          <w:b/>
          <w:bCs/>
          <w:sz w:val="24"/>
          <w:szCs w:val="24"/>
        </w:rPr>
        <w:t xml:space="preserve">2722 · Il terzo termine che non c'è.</w:t>
      </w:r>
      <w:r>
        <w:rPr>
          <w:rFonts w:ascii="Barlow Semi Condensed" w:cs="Barlow Semi Condensed" w:eastAsia="Barlow Semi Condensed" w:hAnsi="Barlow Semi Condensed"/>
          <w:sz w:val="24"/>
          <w:szCs w:val="24"/>
        </w:rPr>
        <w:t xml:space="preserve"> Lo Stato Zero Moro–Opus Dei è fissato nell'ottavo capitolo e qualificato come acquisizione, con l'Archivio Aldo Moro fra Archivio centrale dello Stato e Archivio storico del Senato e la Fondazione Aldo Moro come sedi di chiusura. In quella coppia il nome di questa serie non entra neppure come terzo termine: non è escluso, non è cercato. Un'assenza mai interrogata è una domanda non posta.</w:t>
      </w:r>
    </w:p>
    <w:p>
      <w:pPr>
        <w:spacing w:after="120" w:line="276"/>
        <w:jc w:val="both"/>
      </w:pPr>
      <w:r>
        <w:rPr>
          <w:rFonts w:ascii="Barlow Semi Condensed" w:cs="Barlow Semi Condensed" w:eastAsia="Barlow Semi Condensed" w:hAnsi="Barlow Semi Condensed"/>
          <w:b/>
          <w:bCs/>
          <w:sz w:val="24"/>
          <w:szCs w:val="24"/>
        </w:rPr>
        <w:t xml:space="preserve">2723 · Il rapporto del 22 maggio 1970.</w:t>
      </w:r>
      <w:r>
        <w:rPr>
          <w:rFonts w:ascii="Barlow Semi Condensed" w:cs="Barlow Semi Condensed" w:eastAsia="Barlow Semi Condensed" w:hAnsi="Barlow Semi Condensed"/>
          <w:sz w:val="24"/>
          <w:szCs w:val="24"/>
        </w:rPr>
        <w:t xml:space="preserve"> Il Weekly Summary Special Report sul gabinetto franchista, protocollo CIA-RDP85T00875R001500020027-1, è riportato nel nono capitolo. È un prodotto d'agenzia, non un documento del Consiglio di sicurezza nazionale. Quesito preciso: risulta che sia stato trasmesso, riassunto o annotato al livello che l'uomo di questa serie allora occupava? Sede, gli Institutional Files del Consiglio e la collezione CREST del Reading Room.</w:t>
      </w:r>
    </w:p>
    <w:p>
      <w:pPr>
        <w:spacing w:after="120" w:line="276"/>
        <w:jc w:val="both"/>
      </w:pPr>
      <w:r>
        <w:rPr>
          <w:rFonts w:ascii="Barlow Semi Condensed" w:cs="Barlow Semi Condensed" w:eastAsia="Barlow Semi Condensed" w:hAnsi="Barlow Semi Condensed"/>
          <w:b/>
          <w:bCs/>
          <w:sz w:val="24"/>
          <w:szCs w:val="24"/>
        </w:rPr>
        <w:t xml:space="preserve">2724 · Nessun analogo portoghese, e la sede.</w:t>
      </w:r>
      <w:r>
        <w:rPr>
          <w:rFonts w:ascii="Barlow Semi Condensed" w:cs="Barlow Semi Condensed" w:eastAsia="Barlow Semi Condensed" w:hAnsi="Barlow Semi Condensed"/>
          <w:sz w:val="24"/>
          <w:szCs w:val="24"/>
        </w:rPr>
        <w:t xml:space="preserve"> Nello stesso capitolo si accerta l'esito negativo più netto del file: per il Portogallo non esiste alcun documento analogo a quello spagnolo del 22 maggio 1970. Lo Stato Zero è dichiarato, e la sede che lo chiuderebbe è l'interrogazione diretta dell'indice interno del Reading Room, più un'istanza FOIA mirata. Va conservata la clausola che il capitolo stesso scrive: l'interfaccia di ricerca non fu interrogabile.</w:t>
      </w:r>
    </w:p>
    <w:p>
      <w:pPr>
        <w:spacing w:after="120" w:line="276"/>
        <w:jc w:val="both"/>
      </w:pPr>
      <w:r>
        <w:rPr>
          <w:rFonts w:ascii="Barlow Semi Condensed" w:cs="Barlow Semi Condensed" w:eastAsia="Barlow Semi Condensed" w:hAnsi="Barlow Semi Condensed"/>
          <w:b/>
          <w:bCs/>
          <w:sz w:val="24"/>
          <w:szCs w:val="24"/>
        </w:rPr>
        <w:t xml:space="preserve">2725 · I due profili di Marcello Caetano.</w:t>
      </w:r>
      <w:r>
        <w:rPr>
          <w:rFonts w:ascii="Barlow Semi Condensed" w:cs="Barlow Semi Condensed" w:eastAsia="Barlow Semi Condensed" w:hAnsi="Barlow Semi Condensed"/>
          <w:sz w:val="24"/>
          <w:szCs w:val="24"/>
        </w:rPr>
        <w:t xml:space="preserve"> Due profili biografici su Marcello Caetano, documenti C06790244 e C06790246 rilasciati il 12 luglio 2019, e uno su Salazar, documento 06782148 del 1° settembre 1968, sono citati senza che alcuno dei tre menzioni l'ente confessionale. Quesito ulteriore, che il file non pone: recano quei documenti annotazioni di trasmissione o destinatari riferibili al Consiglio di sicurezza nazionale? Va verificato sulle prime pagine originali.</w:t>
      </w:r>
    </w:p>
    <w:p>
      <w:pPr>
        <w:spacing w:after="120" w:line="276"/>
        <w:jc w:val="both"/>
      </w:pPr>
      <w:r>
        <w:rPr>
          <w:rFonts w:ascii="Barlow Semi Condensed" w:cs="Barlow Semi Condensed" w:eastAsia="Barlow Semi Condensed" w:hAnsi="Barlow Semi Condensed"/>
          <w:b/>
          <w:bCs/>
          <w:sz w:val="24"/>
          <w:szCs w:val="24"/>
        </w:rPr>
        <w:t xml:space="preserve">2726 · L'istanza FOIA di Harry Cason.</w:t>
      </w:r>
      <w:r>
        <w:rPr>
          <w:rFonts w:ascii="Barlow Semi Condensed" w:cs="Barlow Semi Condensed" w:eastAsia="Barlow Semi Condensed" w:hAnsi="Barlow Semi Condensed"/>
          <w:sz w:val="24"/>
          <w:szCs w:val="24"/>
        </w:rPr>
        <w:t xml:space="preserve"> Il contenzioso promosso nel 2009-2011 dal ricercatore Harry Cason con Public Citizen è registrato come vertente sulla Spagna franchista. Quesito bibliografico a costo basso e rendimento alto: il testo dell'istanza e gli atti di causa delimitavano davvero la richiesta alla Spagna, oppure il Portogallo vi era compreso e restituì nulla? Nel secondo caso l'esito negativo portoghese acquisterebbe peso probatorio proprio.</w:t>
      </w:r>
    </w:p>
    <w:p>
      <w:pPr>
        <w:spacing w:after="120" w:line="276"/>
        <w:jc w:val="both"/>
      </w:pPr>
      <w:r>
        <w:rPr>
          <w:rFonts w:ascii="Barlow Semi Condensed" w:cs="Barlow Semi Condensed" w:eastAsia="Barlow Semi Condensed" w:hAnsi="Barlow Semi Condensed"/>
          <w:b/>
          <w:bCs/>
          <w:sz w:val="24"/>
          <w:szCs w:val="24"/>
        </w:rPr>
        <w:t xml:space="preserve">2727 · La sezione portoghese, documenti 123-178.</w:t>
      </w:r>
      <w:r>
        <w:rPr>
          <w:rFonts w:ascii="Barlow Semi Condensed" w:cs="Barlow Semi Condensed" w:eastAsia="Barlow Semi Condensed" w:hAnsi="Barlow Semi Condensed"/>
          <w:sz w:val="24"/>
          <w:szCs w:val="24"/>
        </w:rPr>
        <w:t xml:space="preserve"> La sezione Portogallo del volume E-15 parte 2, curato da Kathleen B. Rasmussen per il Government Printing Office nel 2014, occupa i documenti da 123 a 178 e non contiene riferimenti all'ente né a tecnocrati cattolici. Quesito da portare sull'indice per nome del volume, mai formulato dal corpus: quanti di quei cinquantasei documenti recano la firma o la presenza del Segretario di Stato?</w:t>
      </w:r>
    </w:p>
    <w:p>
      <w:pPr>
        <w:spacing w:after="120" w:line="276"/>
        <w:jc w:val="both"/>
      </w:pPr>
      <w:r>
        <w:rPr>
          <w:rFonts w:ascii="Barlow Semi Condensed" w:cs="Barlow Semi Condensed" w:eastAsia="Barlow Semi Condensed" w:hAnsi="Barlow Semi Condensed"/>
          <w:b/>
          <w:bCs/>
          <w:sz w:val="24"/>
          <w:szCs w:val="24"/>
        </w:rPr>
        <w:t xml:space="preserve">2728 · Metà del deposito mai letta.</w:t>
      </w:r>
      <w:r>
        <w:rPr>
          <w:rFonts w:ascii="Barlow Semi Condensed" w:cs="Barlow Semi Condensed" w:eastAsia="Barlow Semi Condensed" w:hAnsi="Barlow Semi Condensed"/>
          <w:sz w:val="24"/>
          <w:szCs w:val="24"/>
        </w:rPr>
        <w:t xml:space="preserve"> Paulo Tremoceiro, capo divisione dell'archivio, dichiarò alla TSF nel reportage di Nuno Guedes del 23 aprile 2019 che «metade da documentação existente nos nossos depósitos ainda está por consultar». È il dato che impedisce di leggere qualunque esito negativo della Torre do Tombo come definitivo. Ogni Stato Zero portoghese di questa serie va scritto con quella riserva accanto, e non senza.</w:t>
      </w:r>
    </w:p>
    <w:p>
      <w:pPr>
        <w:spacing w:after="120" w:line="276"/>
        <w:jc w:val="both"/>
      </w:pPr>
      <w:r>
        <w:rPr>
          <w:rFonts w:ascii="Barlow Semi Condensed" w:cs="Barlow Semi Condensed" w:eastAsia="Barlow Semi Condensed" w:hAnsi="Barlow Semi Condensed"/>
          <w:b/>
          <w:bCs/>
          <w:sz w:val="24"/>
          <w:szCs w:val="24"/>
        </w:rPr>
        <w:t xml:space="preserve">2729 · I quattro assi senza il nome.</w:t>
      </w:r>
      <w:r>
        <w:rPr>
          <w:rFonts w:ascii="Barlow Semi Condensed" w:cs="Barlow Semi Condensed" w:eastAsia="Barlow Semi Condensed" w:hAnsi="Barlow Semi Condensed"/>
          <w:sz w:val="24"/>
          <w:szCs w:val="24"/>
        </w:rPr>
        <w:t xml:space="preserve"> Quattro assi sono disposti nell'undicesimo capitolo — Moro–Opus Dei, Moro–Portogallo, Opus Dei–Portogallo, confronto spagnolo — e la conclusione è che il solo nodo comune reale sia la mediazione della Santa Sede. In nessuno dei quattro compare questo nome, e nel nodo vaticano nemmeno. La tavola delle triangolazioni è completa senza di lui: dato da registrare prima di costruirvi sopra una quinta colonna.</w:t>
      </w:r>
    </w:p>
    <w:p>
      <w:pPr>
        <w:spacing w:after="120" w:line="276"/>
        <w:jc w:val="both"/>
      </w:pPr>
      <w:r>
        <w:rPr>
          <w:rFonts w:ascii="Barlow Semi Condensed" w:cs="Barlow Semi Condensed" w:eastAsia="Barlow Semi Condensed" w:hAnsi="Barlow Semi Condensed"/>
          <w:b/>
          <w:bCs/>
          <w:sz w:val="24"/>
          <w:szCs w:val="24"/>
        </w:rPr>
        <w:t xml:space="preserve">2730 · Una sesta voce per la tavola.</w:t>
      </w:r>
      <w:r>
        <w:rPr>
          <w:rFonts w:ascii="Barlow Semi Condensed" w:cs="Barlow Semi Condensed" w:eastAsia="Barlow Semi Condensed" w:hAnsi="Barlow Semi Condensed"/>
          <w:sz w:val="24"/>
          <w:szCs w:val="24"/>
        </w:rPr>
        <w:t xml:space="preserve"> Cinque esiti negativi sono ordinati per rendimento atteso decrescente nel dodicesimo capitolo, dalla posizione dell'ente sulle guerre coloniali alle carte diplomatiche italiane, fino all'eventuale documento non indicizzato. Questa serie propone una sesta voce da inserire in coda: l'assenza di qualunque carta statunitense che colleghi il nome al dossier portoghese trattato dalla Farnesina di Moro, con sede la Ford Library e i National Archives.</w:t>
      </w:r>
    </w:p>
    <w:p>
      <w:pPr>
        <w:spacing w:after="120" w:line="276"/>
        <w:jc w:val="both"/>
      </w:pPr>
      <w:r>
        <w:rPr>
          <w:rFonts w:ascii="Barlow Semi Condensed" w:cs="Barlow Semi Condensed" w:eastAsia="Barlow Semi Condensed" w:hAnsi="Barlow Semi Condensed"/>
          <w:b/>
          <w:bCs/>
          <w:sz w:val="24"/>
          <w:szCs w:val="24"/>
        </w:rPr>
        <w:t xml:space="preserve">2731 · I due calendari sovrapposti.</w:t>
      </w:r>
      <w:r>
        <w:rPr>
          <w:rFonts w:ascii="Barlow Semi Condensed" w:cs="Barlow Semi Condensed" w:eastAsia="Barlow Semi Condensed" w:hAnsi="Barlow Semi Condensed"/>
          <w:sz w:val="24"/>
          <w:szCs w:val="24"/>
        </w:rPr>
        <w:t xml:space="preserve"> La cronologia dei mandati è ridata nel primo capitolo del secondo file: 5 agosto 1969 – 26 giugno 1972 e 7 luglio 1973 – 23 novembre 1974. Sovrapposta alle cariche americane, la coincidenza risulta quasi integrale. È aritmetica di calendario e nulla più: due funzioni contemporanee non producono un rapporto, e il corpus lo ha già stabilito trattando la riunione del marzo 1969.</w:t>
      </w:r>
    </w:p>
    <w:p>
      <w:pPr>
        <w:spacing w:after="120" w:line="276"/>
        <w:jc w:val="both"/>
      </w:pPr>
      <w:r>
        <w:rPr>
          <w:rFonts w:ascii="Barlow Semi Condensed" w:cs="Barlow Semi Condensed" w:eastAsia="Barlow Semi Condensed" w:hAnsi="Barlow Semi Condensed"/>
          <w:b/>
          <w:bCs/>
          <w:sz w:val="24"/>
          <w:szCs w:val="24"/>
        </w:rPr>
        <w:t xml:space="preserve">2732 · La politica araba e il silenzio.</w:t>
      </w:r>
      <w:r>
        <w:rPr>
          <w:rFonts w:ascii="Barlow Semi Condensed" w:cs="Barlow Semi Condensed" w:eastAsia="Barlow Semi Condensed" w:hAnsi="Barlow Semi Condensed"/>
          <w:sz w:val="24"/>
          <w:szCs w:val="24"/>
        </w:rPr>
        <w:t xml:space="preserve"> «Implemented a pro-Arab policy» è la formula con cui lo stesso capitolo riassume il ministero, osservando che la letteratura su Moro ruota attorno a Helsinki, Osimo, l'Alto Adige e il Mediterraneo e tace sul dossier coloniale portoghese. Quel silenzio riguarda il ministro; sull'interlocutore americano il capitolo non apre neppure il paragrafo. Due silenzi di natura diversa, da tenere distinti nella verbalizzazione.</w:t>
      </w:r>
    </w:p>
    <w:p>
      <w:pPr>
        <w:spacing w:after="120" w:line="276"/>
        <w:jc w:val="both"/>
      </w:pPr>
      <w:r>
        <w:rPr>
          <w:rFonts w:ascii="Barlow Semi Condensed" w:cs="Barlow Semi Condensed" w:eastAsia="Barlow Semi Condensed" w:hAnsi="Barlow Semi Condensed"/>
          <w:b/>
          <w:bCs/>
          <w:sz w:val="24"/>
          <w:szCs w:val="24"/>
        </w:rPr>
        <w:t xml:space="preserve">2733 · La conferenza romana e l'ambasciata.</w:t>
      </w:r>
      <w:r>
        <w:rPr>
          <w:rFonts w:ascii="Barlow Semi Condensed" w:cs="Barlow Semi Condensed" w:eastAsia="Barlow Semi Condensed" w:hAnsi="Barlow Semi Condensed"/>
          <w:sz w:val="24"/>
          <w:szCs w:val="24"/>
        </w:rPr>
        <w:t xml:space="preserve"> La Conferenza internazionale di solidarietà del 27-29 giugno 1970 è accertata nel secondo capitolo, che verifica l'assenza tanto di patrocinio quanto di obiezione da parte del governo italiano. Quesito mai posto e formulabile a costo contenuto: la rappresentanza diplomatica statunitense a Roma ne riferì a Washington? Sede, i Nixon Presidential Materials, National Security Council Files, Country Files – Europe, presso College Park.</w:t>
      </w:r>
    </w:p>
    <w:p>
      <w:pPr>
        <w:spacing w:after="120" w:line="276"/>
        <w:jc w:val="both"/>
      </w:pPr>
      <w:r>
        <w:rPr>
          <w:rFonts w:ascii="Barlow Semi Condensed" w:cs="Barlow Semi Condensed" w:eastAsia="Barlow Semi Condensed" w:hAnsi="Barlow Semi Condensed"/>
          <w:b/>
          <w:bCs/>
          <w:sz w:val="24"/>
          <w:szCs w:val="24"/>
        </w:rPr>
        <w:t xml:space="preserve">2734 · La fedeltà atlantica come cornice.</w:t>
      </w:r>
      <w:r>
        <w:rPr>
          <w:rFonts w:ascii="Barlow Semi Condensed" w:cs="Barlow Semi Condensed" w:eastAsia="Barlow Semi Condensed" w:hAnsi="Barlow Semi Condensed"/>
          <w:sz w:val="24"/>
          <w:szCs w:val="24"/>
        </w:rPr>
        <w:t xml:space="preserve"> Vincenzo Russo e Tornimbeni sono citati per la «dialettica tra una visione internazionalista implicita in certe municipalità di sinistra come Reggio Emilia e Bologna e la fedeltà atlantica dei governi a maggioranza DC». È formula di cornice, e la cornice contiene senza collegare. Ricavarne che l'astensione italiana rispondesse a una richiesta americana significa promuovere il secondo piano a nesso causale.</w:t>
      </w:r>
    </w:p>
    <w:p>
      <w:pPr>
        <w:spacing w:after="120" w:line="276"/>
        <w:jc w:val="both"/>
      </w:pPr>
      <w:r>
        <w:rPr>
          <w:rFonts w:ascii="Barlow Semi Condensed" w:cs="Barlow Semi Condensed" w:eastAsia="Barlow Semi Condensed" w:hAnsi="Barlow Semi Condensed"/>
          <w:b/>
          <w:bCs/>
          <w:sz w:val="24"/>
          <w:szCs w:val="24"/>
        </w:rPr>
        <w:t xml:space="preserve">2735 · Le riprese conservate dall'AAMOD.</w:t>
      </w:r>
      <w:r>
        <w:rPr>
          <w:rFonts w:ascii="Barlow Semi Condensed" w:cs="Barlow Semi Condensed" w:eastAsia="Barlow Semi Condensed" w:hAnsi="Barlow Semi Condensed"/>
          <w:sz w:val="24"/>
          <w:szCs w:val="24"/>
        </w:rPr>
        <w:t xml:space="preserve"> Le riprese della Conferenza e la conferenza stampa di Agostino Neto sono conservate dall'Archivio audiovisivo del movimento operaio e democratico, come segnala il medesimo capitolo. Quesito derivato: quel materiale è mai stato confrontato con la documentazione statunitense sui movimenti di liberazione delle colonie portoghesi? Sede, il patrimonio digitale dell'archivio per l'audiovisivo e il Reading Room per il versante d'agenzia. Nessuno dei due file lo domanda.</w:t>
      </w:r>
    </w:p>
    <w:p>
      <w:pPr>
        <w:spacing w:after="120" w:line="276"/>
        <w:jc w:val="both"/>
      </w:pPr>
      <w:r>
        <w:rPr>
          <w:rFonts w:ascii="Barlow Semi Condensed" w:cs="Barlow Semi Condensed" w:eastAsia="Barlow Semi Condensed" w:hAnsi="Barlow Semi Condensed"/>
          <w:b/>
          <w:bCs/>
          <w:sz w:val="24"/>
          <w:szCs w:val="24"/>
        </w:rPr>
        <w:t xml:space="preserve">2736 · Il fondo Soncini a Reggio Emilia.</w:t>
      </w:r>
      <w:r>
        <w:rPr>
          <w:rFonts w:ascii="Barlow Semi Condensed" w:cs="Barlow Semi Condensed" w:eastAsia="Barlow Semi Condensed" w:hAnsi="Barlow Semi Condensed"/>
          <w:sz w:val="24"/>
          <w:szCs w:val="24"/>
        </w:rPr>
        <w:t xml:space="preserve"> L'inventario dell'Archivio Giuseppe Soncini – Bruna Ganapini, segnatura IBCAS00590 presso l'Istituto per i beni culturali dell'Emilia-Romagna, col fascicolo «Frelimo-Mozambico» degli anni 1965-1993, è la fonte primaria più ricca del secondo capitolo. È materiale di una municipalità, non di un ministero. Quesito: vi si conserva corrispondenza che nomini interlocutori statunitensi? La risposta è ignota e la consultazione va fatta in loco.</w:t>
      </w:r>
    </w:p>
    <w:p>
      <w:pPr>
        <w:spacing w:after="120" w:line="276"/>
        <w:jc w:val="both"/>
      </w:pPr>
      <w:r>
        <w:rPr>
          <w:rFonts w:ascii="Barlow Semi Condensed" w:cs="Barlow Semi Condensed" w:eastAsia="Barlow Semi Condensed" w:hAnsi="Barlow Semi Condensed"/>
          <w:b/>
          <w:bCs/>
          <w:sz w:val="24"/>
          <w:szCs w:val="24"/>
        </w:rPr>
        <w:t xml:space="preserve">2737 · Wiriyamu e la reazione mai cercata.</w:t>
      </w:r>
      <w:r>
        <w:rPr>
          <w:rFonts w:ascii="Barlow Semi Condensed" w:cs="Barlow Semi Condensed" w:eastAsia="Barlow Semi Condensed" w:hAnsi="Barlow Semi Condensed"/>
          <w:sz w:val="24"/>
          <w:szCs w:val="24"/>
        </w:rPr>
        <w:t xml:space="preserve"> Il massacro del 16 dicembre 1972, operazione Marosca, è accertato nel terzo capitolo, che riporta la forbice reale delle vittime: centocinquanta secondo la Croce Rossa, trecento secondo l'Expresso, trecentottantacinque nominativi, quattrocento nella ricostruzione di Mustafah Dhada. Sulla reazione ufficiale statunitense il capitolo dichiara solo che nessuna fonte la collega all'Italia. La domanda americana non è posta: sede i FRUS e il Centro de Documentação 25 de Abril.</w:t>
      </w:r>
    </w:p>
    <w:p>
      <w:pPr>
        <w:spacing w:after="120" w:line="276"/>
        <w:jc w:val="both"/>
      </w:pPr>
      <w:r>
        <w:rPr>
          <w:rFonts w:ascii="Barlow Semi Condensed" w:cs="Barlow Semi Condensed" w:eastAsia="Barlow Semi Condensed" w:hAnsi="Barlow Semi Condensed"/>
          <w:b/>
          <w:bCs/>
          <w:sz w:val="24"/>
          <w:szCs w:val="24"/>
        </w:rPr>
        <w:t xml:space="preserve">2738 · Il Times del 10 luglio 1973.</w:t>
      </w:r>
      <w:r>
        <w:rPr>
          <w:rFonts w:ascii="Barlow Semi Condensed" w:cs="Barlow Semi Condensed" w:eastAsia="Barlow Semi Condensed" w:hAnsi="Barlow Semi Condensed"/>
          <w:sz w:val="24"/>
          <w:szCs w:val="24"/>
        </w:rPr>
        <w:t xml:space="preserve"> L'articolo di Adrian Hastings in prima pagina, uscito pochi giorni prima della visita londinese di Caetano, è documentato con l'apparato di Bruno C. Reis e Pedro Aires Oliveira in Civil Wars 14/1 del 2012 e con «Grocer Meets Butcher» in Cold War History 10/1 del 2010. Il versante britannico risulta ricostruito; quello statunitense, per lo stesso mese, resta interamente da spogliare.</w:t>
      </w:r>
    </w:p>
    <w:p>
      <w:pPr>
        <w:spacing w:after="120" w:line="276"/>
        <w:jc w:val="both"/>
      </w:pPr>
      <w:r>
        <w:rPr>
          <w:rFonts w:ascii="Barlow Semi Condensed" w:cs="Barlow Semi Condensed" w:eastAsia="Barlow Semi Condensed" w:hAnsi="Barlow Semi Condensed"/>
          <w:b/>
          <w:bCs/>
          <w:sz w:val="24"/>
          <w:szCs w:val="24"/>
        </w:rPr>
        <w:t xml:space="preserve">2739 · La contro-tesi da non promuovere.</w:t>
      </w:r>
      <w:r>
        <w:rPr>
          <w:rFonts w:ascii="Barlow Semi Condensed" w:cs="Barlow Semi Condensed" w:eastAsia="Barlow Semi Condensed" w:hAnsi="Barlow Semi Condensed"/>
          <w:sz w:val="24"/>
          <w:szCs w:val="24"/>
        </w:rPr>
        <w:t xml:space="preserve"> La contro-tesi che attribuiva le uccisioni al FRELIMO, riportata da un rapporto dell'arcivescovo Laurean Rugambwa, è registrata e qualificata come non sostenuta dalla storiografia con revisione paritaria, parte della macchina di negazione. La qualificazione è un modello di procedura: si riporta la tesi, se ne dichiara lo statuto, non la si tace e non la si accredita. Ogni affermazione terziaria su questo nome riceve lo stesso trattamento.</w:t>
      </w:r>
    </w:p>
    <w:p>
      <w:pPr>
        <w:spacing w:after="120" w:line="276"/>
        <w:jc w:val="both"/>
      </w:pPr>
      <w:r>
        <w:rPr>
          <w:rFonts w:ascii="Barlow Semi Condensed" w:cs="Barlow Semi Condensed" w:eastAsia="Barlow Semi Condensed" w:hAnsi="Barlow Semi Condensed"/>
          <w:b/>
          <w:bCs/>
          <w:sz w:val="24"/>
          <w:szCs w:val="24"/>
        </w:rPr>
        <w:t xml:space="preserve">2740 · L'espulsione e la domanda mancante.</w:t>
      </w:r>
      <w:r>
        <w:rPr>
          <w:rFonts w:ascii="Barlow Semi Condensed" w:cs="Barlow Semi Condensed" w:eastAsia="Barlow Semi Condensed" w:hAnsi="Barlow Semi Condensed"/>
          <w:sz w:val="24"/>
          <w:szCs w:val="24"/>
        </w:rPr>
        <w:t xml:space="preserve"> La lacuna prioritaria è dichiarata nel quarto capitolo: nessun atto italiano, parlamentare, ministeriale o consolare, sull'espulsione del vescovo di Nampula e dei comboniani, con sedi la Farnesina, i registri del consolato di Lourenço Marques e dell'ambasciata di Lisbona. Lo Stato Zero statunitense sul medesimo fatto non è neppure formulato: si formula qui, con sede i telegrammi del Dipartimento di Stato dell'aprile 1974.</w:t>
      </w:r>
    </w:p>
    <w:p>
      <w:pPr>
        <w:spacing w:after="120" w:line="276"/>
        <w:jc w:val="both"/>
      </w:pPr>
      <w:r>
        <w:rPr>
          <w:rFonts w:ascii="Barlow Semi Condensed" w:cs="Barlow Semi Condensed" w:eastAsia="Barlow Semi Condensed" w:hAnsi="Barlow Semi Condensed"/>
          <w:b/>
          <w:bCs/>
          <w:sz w:val="24"/>
          <w:szCs w:val="24"/>
        </w:rPr>
        <w:t xml:space="preserve">2741 · L'articolo di Enea in Lusitania Sacra.</w:t>
      </w:r>
      <w:r>
        <w:rPr>
          <w:rFonts w:ascii="Barlow Semi Condensed" w:cs="Barlow Semi Condensed" w:eastAsia="Barlow Semi Condensed" w:hAnsi="Barlow Semi Condensed"/>
          <w:sz w:val="24"/>
          <w:szCs w:val="24"/>
        </w:rPr>
        <w:t xml:space="preserve"> Da acquisire integralmente, secondo lo stesso capitolo, è il saggio di Eugenio Enea in Lusitania Sacra numero 51 del 2025, doi 10.34632/lusitaniasacra.2025.16897, prolungamento di una tesi sui rapporti fra Santa Sede e Portogallo dal 1926 al 1974. È anche la sede in cui verificare se le annate di «Nigrizia» del 1974-1976 nominino mai la politica statunitense a proposito del Mozambico.</w:t>
      </w:r>
    </w:p>
    <w:p>
      <w:pPr>
        <w:spacing w:after="120" w:line="276"/>
        <w:jc w:val="both"/>
      </w:pPr>
      <w:r>
        <w:rPr>
          <w:rFonts w:ascii="Barlow Semi Condensed" w:cs="Barlow Semi Condensed" w:eastAsia="Barlow Semi Condensed" w:hAnsi="Barlow Semi Condensed"/>
          <w:b/>
          <w:bCs/>
          <w:sz w:val="24"/>
          <w:szCs w:val="24"/>
        </w:rPr>
        <w:t xml:space="preserve">2742 · Il limite della sesta legislatura.</w:t>
      </w:r>
      <w:r>
        <w:rPr>
          <w:rFonts w:ascii="Barlow Semi Condensed" w:cs="Barlow Semi Condensed" w:eastAsia="Barlow Semi Condensed" w:hAnsi="Barlow Semi Condensed"/>
          <w:sz w:val="24"/>
          <w:szCs w:val="24"/>
        </w:rPr>
        <w:t xml:space="preserve"> Un limite strutturale governa l'intera serie, ed è dichiarato nel quinto capitolo: la banca dati del sindacato ispettivo copre solo dalla settima legislatura, dal 5 luglio 1976, e l'arco 1969-1975 sopravvive come resoconti stenografici non ricercabili a testo pieno. Ne segue che nessuna interrogazione italiana su Lisbona, né alcuna che nominasse Washington, può essere confermata o esclusa senza spoglio manuale.</w:t>
      </w:r>
    </w:p>
    <w:p>
      <w:pPr>
        <w:spacing w:after="120" w:line="276"/>
        <w:jc w:val="both"/>
      </w:pPr>
      <w:r>
        <w:rPr>
          <w:rFonts w:ascii="Barlow Semi Condensed" w:cs="Barlow Semi Condensed" w:eastAsia="Barlow Semi Condensed" w:hAnsi="Barlow Semi Condensed"/>
          <w:b/>
          <w:bCs/>
          <w:sz w:val="24"/>
          <w:szCs w:val="24"/>
        </w:rPr>
        <w:t xml:space="preserve">2743 · Le Azzorre, e chi vi era.</w:t>
      </w:r>
      <w:r>
        <w:rPr>
          <w:rFonts w:ascii="Barlow Semi Condensed" w:cs="Barlow Semi Condensed" w:eastAsia="Barlow Semi Condensed" w:hAnsi="Barlow Semi Condensed"/>
          <w:sz w:val="24"/>
          <w:szCs w:val="24"/>
        </w:rPr>
        <w:t xml:space="preserve"> Il memorandum del 19 giugno 1974 sull'incontro alle Azzorre fra Nixon e Spínola, documento 133 del volume E-15 parte 2, è citato nel sesto capitolo per la richiesta portoghese di assistenza contro «another Cuba in the Iberian Peninsula». Il file nomina due partecipanti. Quesito elementare e mai posto: l'elenco dei presenti a verbale comprende il Segretario di Stato in carica dal settembre precedente?</w:t>
      </w:r>
    </w:p>
    <w:p>
      <w:pPr>
        <w:spacing w:after="120" w:line="276"/>
        <w:jc w:val="both"/>
      </w:pPr>
      <w:r>
        <w:rPr>
          <w:rFonts w:ascii="Barlow Semi Condensed" w:cs="Barlow Semi Condensed" w:eastAsia="Barlow Semi Condensed" w:hAnsi="Barlow Semi Condensed"/>
          <w:b/>
          <w:bCs/>
          <w:sz w:val="24"/>
          <w:szCs w:val="24"/>
        </w:rPr>
        <w:t xml:space="preserve">2744 · Il portale bloccato di Lisbona.</w:t>
      </w:r>
      <w:r>
        <w:rPr>
          <w:rFonts w:ascii="Barlow Semi Condensed" w:cs="Barlow Semi Condensed" w:eastAsia="Barlow Semi Condensed" w:hAnsi="Barlow Semi Condensed"/>
          <w:sz w:val="24"/>
          <w:szCs w:val="24"/>
        </w:rPr>
        <w:t xml:space="preserve"> Il portale ufficiale «Diplomacia e Revolução» del ministero portoghese contiene una sezione italiana con documenti diplomatici, fra cui l'ipotesi di una visita di Stato di Spínola in Italia, ma l'accesso automatizzato è bloccato e la consultazione va fatta manualmente o all'Arquivo Histórico-Diplomático. La stessa sezione va interrogata per le reazioni statunitensi al 25 aprile, che il file non spoglia.</w:t>
      </w:r>
    </w:p>
    <w:p>
      <w:pPr>
        <w:spacing w:after="120" w:line="276"/>
        <w:jc w:val="both"/>
      </w:pPr>
      <w:r>
        <w:rPr>
          <w:rFonts w:ascii="Barlow Semi Condensed" w:cs="Barlow Semi Condensed" w:eastAsia="Barlow Semi Condensed" w:hAnsi="Barlow Semi Condensed"/>
          <w:b/>
          <w:bCs/>
          <w:sz w:val="24"/>
          <w:szCs w:val="24"/>
        </w:rPr>
        <w:t xml:space="preserve">2745 · Il protocollo del 15 febbraio 1975.</w:t>
      </w:r>
      <w:r>
        <w:rPr>
          <w:rFonts w:ascii="Barlow Semi Condensed" w:cs="Barlow Semi Condensed" w:eastAsia="Barlow Semi Condensed" w:hAnsi="Barlow Semi Condensed"/>
          <w:sz w:val="24"/>
          <w:szCs w:val="24"/>
        </w:rPr>
        <w:t xml:space="preserve"> Il Protocollo addizionale firmato dal cardinale Jean Villot e da Francisco Salgado Zenha è documentato nel settimo capitolo: modificò l'articolo 24 della Concordata del 7 maggio 1940 sulla rinuncia legale al divorzio. È materia bilaterale fra due soggetti, e nessuna fonte vi introduce un terzo. Registrarlo serve a delimitare: la transizione portoghese ebbe dossier in cui la potenza atlantica non figura affatto.</w:t>
      </w:r>
    </w:p>
    <w:p>
      <w:pPr>
        <w:spacing w:after="120" w:line="276"/>
        <w:jc w:val="both"/>
      </w:pPr>
      <w:r>
        <w:rPr>
          <w:rFonts w:ascii="Barlow Semi Condensed" w:cs="Barlow Semi Condensed" w:eastAsia="Barlow Semi Condensed" w:hAnsi="Barlow Semi Condensed"/>
          <w:b/>
          <w:bCs/>
          <w:sz w:val="24"/>
          <w:szCs w:val="24"/>
        </w:rPr>
        <w:t xml:space="preserve">2746 · Magistero generale, non atto mirato.</w:t>
      </w:r>
      <w:r>
        <w:rPr>
          <w:rFonts w:ascii="Barlow Semi Condensed" w:cs="Barlow Semi Condensed" w:eastAsia="Barlow Semi Condensed" w:hAnsi="Barlow Semi Condensed"/>
          <w:sz w:val="24"/>
          <w:szCs w:val="24"/>
        </w:rPr>
        <w:t xml:space="preserve"> Una distinzione netta è tracciata nell'ottavo capitolo fra il magistero generale di Paolo VI — Populorum progressio del 26 marzo 1967, Africae terrarum del 29 ottobre 1967, il discorso al Parlamento dell'Uganda del 1° agosto 1969 — e l'unico atto pontificio a impatto diplomatico diretto, l'udienza del 1° luglio 1970. La stessa distinzione vale per le dichiarazioni pubbliche americane: dottrina enunciata non è atto compiuto.</w:t>
      </w:r>
    </w:p>
    <w:p>
      <w:pPr>
        <w:spacing w:after="120" w:line="276"/>
        <w:jc w:val="both"/>
      </w:pPr>
      <w:r>
        <w:rPr>
          <w:rFonts w:ascii="Barlow Semi Condensed" w:cs="Barlow Semi Condensed" w:eastAsia="Barlow Semi Condensed" w:hAnsi="Barlow Semi Condensed"/>
          <w:b/>
          <w:bCs/>
          <w:sz w:val="24"/>
          <w:szCs w:val="24"/>
        </w:rPr>
        <w:t xml:space="preserve">2747 · Ostpolitik e colonie, nessun nesso.</w:t>
      </w:r>
      <w:r>
        <w:rPr>
          <w:rFonts w:ascii="Barlow Semi Condensed" w:cs="Barlow Semi Condensed" w:eastAsia="Barlow Semi Condensed" w:hAnsi="Barlow Semi Condensed"/>
          <w:sz w:val="24"/>
          <w:szCs w:val="24"/>
        </w:rPr>
        <w:t xml:space="preserve"> Nessuna fonte lega la Ostpolitik di Agostino Casaroli al dossier coloniale portoghese, e trattare i due ambiti come connessi sarebbe mera contemporaneità: così lo stesso capitolo, che dichiara l'assenza di nesso documentato. È la disciplina che questa serie applica al proprio oggetto: la simultaneità fra la distensione americana e la crisi portoghese resta fatto di calendario finché una carta non la trasformi in rapporto.</w:t>
      </w:r>
    </w:p>
    <w:p>
      <w:pPr>
        <w:spacing w:after="120" w:line="276"/>
        <w:jc w:val="both"/>
      </w:pPr>
      <w:r>
        <w:rPr>
          <w:rFonts w:ascii="Barlow Semi Condensed" w:cs="Barlow Semi Condensed" w:eastAsia="Barlow Semi Condensed" w:hAnsi="Barlow Semi Condensed"/>
          <w:b/>
          <w:bCs/>
          <w:sz w:val="24"/>
          <w:szCs w:val="24"/>
        </w:rPr>
        <w:t xml:space="preserve">2748 · Algeri, Lusaka, Alvor senza Roma.</w:t>
      </w:r>
      <w:r>
        <w:rPr>
          <w:rFonts w:ascii="Barlow Semi Condensed" w:cs="Barlow Semi Condensed" w:eastAsia="Barlow Semi Condensed" w:hAnsi="Barlow Semi Condensed"/>
          <w:sz w:val="24"/>
          <w:szCs w:val="24"/>
        </w:rPr>
        <w:t xml:space="preserve"> Gli accordi sono datati nel nono capitolo: Algeri il 26 agosto 1974, Lusaka il 7 settembre 1974, Alvor il 15 gennaio 1975, firmato alle dodici e quarantacinque e ratificato il 28. La posizione italiana su ciascuno non è documentabile nelle fonti raccolte. Sulla posizione americana il capitolo tace perché non la cerca: due esiti negativi di natura diversa, uno dichiarato e uno da dichiarare.</w:t>
      </w:r>
    </w:p>
    <w:p>
      <w:pPr>
        <w:spacing w:after="120" w:line="276"/>
        <w:jc w:val="both"/>
      </w:pPr>
      <w:r>
        <w:rPr>
          <w:rFonts w:ascii="Barlow Semi Condensed" w:cs="Barlow Semi Condensed" w:eastAsia="Barlow Semi Condensed" w:hAnsi="Barlow Semi Condensed"/>
          <w:b/>
          <w:bCs/>
          <w:sz w:val="24"/>
          <w:szCs w:val="24"/>
        </w:rPr>
        <w:t xml:space="preserve">2749 · Timor, e il budget esaurito.</w:t>
      </w:r>
      <w:r>
        <w:rPr>
          <w:rFonts w:ascii="Barlow Semi Condensed" w:cs="Barlow Semi Condensed" w:eastAsia="Barlow Semi Condensed" w:hAnsi="Barlow Semi Condensed"/>
          <w:sz w:val="24"/>
          <w:szCs w:val="24"/>
        </w:rPr>
        <w:t xml:space="preserve"> Sull'invasione indonesiana di Timor Est del dicembre 1975 il file ammette di non aver completato la ricerca «per esaurimento del budget di interrogazione», rinviando agli atti dell'Assemblea generale e alla Farnesina. È l'unico punto in cui dichiari un limite di risorse anziché di fonti. La distinzione va conservata: una lacuna di budget si chiude con lavoro, una lacuna di fonti no.</w:t>
      </w:r>
    </w:p>
    <w:p>
      <w:pPr>
        <w:spacing w:after="120" w:line="276"/>
        <w:jc w:val="both"/>
      </w:pPr>
      <w:r>
        <w:rPr>
          <w:rFonts w:ascii="Barlow Semi Condensed" w:cs="Barlow Semi Condensed" w:eastAsia="Barlow Semi Condensed" w:hAnsi="Barlow Semi Condensed"/>
          <w:b/>
          <w:bCs/>
          <w:sz w:val="24"/>
          <w:szCs w:val="24"/>
        </w:rPr>
        <w:t xml:space="preserve">2750 · L'unica occorrenza e il suo contesto.</w:t>
      </w:r>
      <w:r>
        <w:rPr>
          <w:rFonts w:ascii="Barlow Semi Condensed" w:cs="Barlow Semi Condensed" w:eastAsia="Barlow Semi Condensed" w:hAnsi="Barlow Semi Condensed"/>
          <w:sz w:val="24"/>
          <w:szCs w:val="24"/>
        </w:rPr>
        <w:t xml:space="preserve"> L'occorrenza del nome nel secondo file cade in un capitolo sulla CSCE, a proposito di un atto del 1° agosto 1975 compiuto da Moro presidente del Consiglio e presidente di turno delle Comunità, dunque fuori dai mandati agli Esteri. Il nome entra nel territorio portoghese per una via che col Portogallo non ha rapporto: vi compare di rimbalzo, dentro una frase sull'Italia.</w:t>
      </w:r>
    </w:p>
    <w:p>
      <w:pPr>
        <w:spacing w:after="120" w:line="276"/>
        <w:jc w:val="both"/>
      </w:pPr>
      <w:r>
        <w:rPr>
          <w:rFonts w:ascii="Barlow Semi Condensed" w:cs="Barlow Semi Condensed" w:eastAsia="Barlow Semi Condensed" w:hAnsi="Barlow Semi Condensed"/>
          <w:b/>
          <w:bCs/>
          <w:sz w:val="24"/>
          <w:szCs w:val="24"/>
        </w:rPr>
        <w:t xml:space="preserve">2751 · Uno stato d'animo non è una fonte.</w:t>
      </w:r>
      <w:r>
        <w:rPr>
          <w:rFonts w:ascii="Barlow Semi Condensed" w:cs="Barlow Semi Condensed" w:eastAsia="Barlow Semi Condensed" w:hAnsi="Barlow Semi Condensed"/>
          <w:sz w:val="24"/>
          <w:szCs w:val="24"/>
        </w:rPr>
        <w:t xml:space="preserve"> «Insofferenza» è un attributo psicologico, e il bersaglio di smentita si formula perché sia eseguibile. Se i verbali della fase ginevrina, settembre 1973 – luglio 1975, e gli atti della delegazione statunitense registrassero un'opposizione formalizzata alla firma comunitaria, l'attributo diventerebbe fatto documentato; se registrassero il contrario, cadrebbe. Sede, i FRUS sulla CSCE e gli archivi del Consiglio delle Comunità.</w:t>
      </w:r>
    </w:p>
    <w:p>
      <w:pPr>
        <w:spacing w:after="120" w:line="276"/>
        <w:jc w:val="both"/>
      </w:pPr>
      <w:r>
        <w:rPr>
          <w:rFonts w:ascii="Barlow Semi Condensed" w:cs="Barlow Semi Condensed" w:eastAsia="Barlow Semi Condensed" w:hAnsi="Barlow Semi Condensed"/>
          <w:b/>
          <w:bCs/>
          <w:sz w:val="24"/>
          <w:szCs w:val="24"/>
        </w:rPr>
        <w:t xml:space="preserve">2752 · La crisi atlantica del 1975.</w:t>
      </w:r>
      <w:r>
        <w:rPr>
          <w:rFonts w:ascii="Barlow Semi Condensed" w:cs="Barlow Semi Condensed" w:eastAsia="Barlow Semi Condensed" w:hAnsi="Barlow Semi Condensed"/>
          <w:sz w:val="24"/>
          <w:szCs w:val="24"/>
        </w:rPr>
        <w:t xml:space="preserve"> Nessuna posizione italiana puntualmente documentata sulla questione portoghese in sede atlantica e comunitaria nel 1975 è restituita dalle fonti raccolte, constata il decimo capitolo, che neppure reperisce gli atti dei Consigli europei in materia. Le sedi indicate sono gli archivi della NATO, del Consiglio europeo e la Farnesina. Il quesito che questa serie aggiunge: in quegli atti, quali interventi statunitensi risultano verbalizzati?</w:t>
      </w:r>
    </w:p>
    <w:p>
      <w:pPr>
        <w:spacing w:after="120" w:line="276"/>
        <w:jc w:val="both"/>
      </w:pPr>
      <w:r>
        <w:rPr>
          <w:rFonts w:ascii="Barlow Semi Condensed" w:cs="Barlow Semi Condensed" w:eastAsia="Barlow Semi Condensed" w:hAnsi="Barlow Semi Condensed"/>
          <w:b/>
          <w:bCs/>
          <w:sz w:val="24"/>
          <w:szCs w:val="24"/>
        </w:rPr>
        <w:t xml:space="preserve">2753 · Il nodo vaticano e il quarto assente.</w:t>
      </w:r>
      <w:r>
        <w:rPr>
          <w:rFonts w:ascii="Barlow Semi Condensed" w:cs="Barlow Semi Condensed" w:eastAsia="Barlow Semi Condensed" w:hAnsi="Barlow Semi Condensed"/>
          <w:sz w:val="24"/>
          <w:szCs w:val="24"/>
        </w:rPr>
        <w:t xml:space="preserve"> Entrambi i file convergono su un unico nodo documentato: la Santa Sede come interlocutrice comune di Lisbona e di Roma. Il nodo è di comunanza d'interlocutore e non di convergenza d'obiettivo, come l'undicesimo capitolo del primo file scrive espressamente. In quel triangolo il nome di questa serie è il quarto assente, e la sua assenza risulta documentata, non presunta.</w:t>
      </w:r>
    </w:p>
    <w:p>
      <w:pPr>
        <w:spacing w:after="120" w:line="276"/>
        <w:jc w:val="both"/>
      </w:pPr>
      <w:r>
        <w:rPr>
          <w:rFonts w:ascii="Barlow Semi Condensed" w:cs="Barlow Semi Condensed" w:eastAsia="Barlow Semi Condensed" w:hAnsi="Barlow Semi Condensed"/>
          <w:b/>
          <w:bCs/>
          <w:sz w:val="24"/>
          <w:szCs w:val="24"/>
        </w:rPr>
        <w:t xml:space="preserve">2754 · Un volume solo, tre dossier.</w:t>
      </w:r>
      <w:r>
        <w:rPr>
          <w:rFonts w:ascii="Barlow Semi Condensed" w:cs="Barlow Semi Condensed" w:eastAsia="Barlow Semi Condensed" w:hAnsi="Barlow Semi Condensed"/>
          <w:sz w:val="24"/>
          <w:szCs w:val="24"/>
        </w:rPr>
        <w:t xml:space="preserve"> I documenti 133 e 153 sul Portogallo e il documento 350 sul colloquio dello Studio Ovale stanno nel medesimo volume, E-15 parte 2 del ciclo 1969-1976, nella seconda edizione riveduta. La comunanza è editoriale: un curatore, un criterio di raccolta, un indice. Non è comunanza di dossier. Trattare la contiguità di numerazione come contiguità di materia sarebbe l'errore filologico più banale.</w:t>
      </w:r>
    </w:p>
    <w:p>
      <w:pPr>
        <w:spacing w:after="120" w:line="276"/>
        <w:jc w:val="both"/>
      </w:pPr>
      <w:r>
        <w:rPr>
          <w:rFonts w:ascii="Barlow Semi Condensed" w:cs="Barlow Semi Condensed" w:eastAsia="Barlow Semi Condensed" w:hAnsi="Barlow Semi Condensed"/>
          <w:b/>
          <w:bCs/>
          <w:sz w:val="24"/>
          <w:szCs w:val="24"/>
        </w:rPr>
        <w:t xml:space="preserve">2755 · Il precedente portoghese messo a verbale.</w:t>
      </w:r>
      <w:r>
        <w:rPr>
          <w:rFonts w:ascii="Barlow Semi Condensed" w:cs="Barlow Semi Condensed" w:eastAsia="Barlow Semi Condensed" w:hAnsi="Barlow Semi Condensed"/>
          <w:sz w:val="24"/>
          <w:szCs w:val="24"/>
        </w:rPr>
        <w:t xml:space="preserve"> Ecco l'accertamento che la campagna territoriale restituisce al corpus. Nel colloquio del 25 settembre 1974, con Leone, Moro, Ford e Scowcroft presenti, la posizione sul non poter condividere informazioni militari con un governo comprendente i comunisti fu argomentata richiamando il precedente portoghese. È rapporto di piano 1 fra il nome e il Portogallo, e cade dentro un documento italiano, non portoghese.</w:t>
      </w:r>
    </w:p>
    <w:p>
      <w:pPr>
        <w:spacing w:after="120" w:line="276"/>
        <w:jc w:val="both"/>
      </w:pPr>
      <w:r>
        <w:rPr>
          <w:rFonts w:ascii="Barlow Semi Condensed" w:cs="Barlow Semi Condensed" w:eastAsia="Barlow Semi Condensed" w:hAnsi="Barlow Semi Condensed"/>
          <w:b/>
          <w:bCs/>
          <w:sz w:val="24"/>
          <w:szCs w:val="24"/>
        </w:rPr>
        <w:t xml:space="preserve">2756 · Che cosa quel richiamo non stabilisce.</w:t>
      </w:r>
      <w:r>
        <w:rPr>
          <w:rFonts w:ascii="Barlow Semi Condensed" w:cs="Barlow Semi Condensed" w:eastAsia="Barlow Semi Condensed" w:hAnsi="Barlow Semi Condensed"/>
          <w:sz w:val="24"/>
          <w:szCs w:val="24"/>
        </w:rPr>
        <w:t xml:space="preserve"> Il precedente richiamato attesta che nel settembre 1974 la vicenda portoghese serviva come argomento verso interlocutori italiani. Non attesta che una linea portoghese fosse stata decisa, né che l'Italia venisse trattata come il Portogallo, né che alcuna misura sia seguita. È un uso argomentativo documentato di un caso, ed è già molto: promuoverlo a politica eseguita sarebbe la promozione che il corpus vieta.</w:t>
      </w:r>
    </w:p>
    <w:p>
      <w:pPr>
        <w:spacing w:after="120" w:line="276"/>
        <w:jc w:val="both"/>
      </w:pPr>
      <w:r>
        <w:rPr>
          <w:rFonts w:ascii="Barlow Semi Condensed" w:cs="Barlow Semi Condensed" w:eastAsia="Barlow Semi Condensed" w:hAnsi="Barlow Semi Condensed"/>
          <w:b/>
          <w:bCs/>
          <w:sz w:val="24"/>
          <w:szCs w:val="24"/>
        </w:rPr>
        <w:t xml:space="preserve">2757 · Il collazionamento da eseguire.</w:t>
      </w:r>
      <w:r>
        <w:rPr>
          <w:rFonts w:ascii="Barlow Semi Condensed" w:cs="Barlow Semi Condensed" w:eastAsia="Barlow Semi Condensed" w:hAnsi="Barlow Semi Condensed"/>
          <w:sz w:val="24"/>
          <w:szCs w:val="24"/>
        </w:rPr>
        <w:t xml:space="preserve"> Quesito operativo, il più economico dell'intera serie. Si collazionino, sul testo integrale del volume E-15 parte 2, il documento 153 e il documento 350, verificando se il precedente portoghese richiamato il 25 settembre 1974 corrisponda alla valutazione registrata nel primo e con quale formula. Sede, l'edizione dell'Office of the Historian e il file 1552802 della Ford Library. Esito atteso ignoto.</w:t>
      </w:r>
    </w:p>
    <w:p>
      <w:pPr>
        <w:spacing w:after="120" w:line="276"/>
        <w:jc w:val="both"/>
      </w:pPr>
      <w:r>
        <w:rPr>
          <w:rFonts w:ascii="Barlow Semi Condensed" w:cs="Barlow Semi Condensed" w:eastAsia="Barlow Semi Condensed" w:hAnsi="Barlow Semi Condensed"/>
          <w:b/>
          <w:bCs/>
          <w:sz w:val="24"/>
          <w:szCs w:val="24"/>
        </w:rPr>
        <w:t xml:space="preserve">2758 · Le date che si sovrappongono.</w:t>
      </w:r>
      <w:r>
        <w:rPr>
          <w:rFonts w:ascii="Barlow Semi Condensed" w:cs="Barlow Semi Condensed" w:eastAsia="Barlow Semi Condensed" w:hAnsi="Barlow Semi Condensed"/>
          <w:sz w:val="24"/>
          <w:szCs w:val="24"/>
        </w:rPr>
        <w:t xml:space="preserve"> Il 25 aprile 1974 cade dentro il secondo mandato di Moro e dentro il periodo in cui l'uomo di questa serie teneva insieme i due incarichi americani, dal 22 settembre 1973 al 3 novembre 1975. La sovrapposizione è integrale sul calendario e vuota sui documenti del territorio. Registrare l'una senza l'altra produce esattamente l'illusione che questi ottanta bersagli servono a disfare.</w:t>
      </w:r>
    </w:p>
    <w:p>
      <w:pPr>
        <w:spacing w:after="120" w:line="276"/>
        <w:jc w:val="both"/>
      </w:pPr>
      <w:r>
        <w:rPr>
          <w:rFonts w:ascii="Barlow Semi Condensed" w:cs="Barlow Semi Condensed" w:eastAsia="Barlow Semi Condensed" w:hAnsi="Barlow Semi Condensed"/>
          <w:b/>
          <w:bCs/>
          <w:sz w:val="24"/>
          <w:szCs w:val="24"/>
        </w:rPr>
        <w:t xml:space="preserve">2759 · Che cosa la campagna concettuale aveva preso.</w:t>
      </w:r>
      <w:r>
        <w:rPr>
          <w:rFonts w:ascii="Barlow Semi Condensed" w:cs="Barlow Semi Condensed" w:eastAsia="Barlow Semi Condensed" w:hAnsi="Barlow Semi Condensed"/>
          <w:sz w:val="24"/>
          <w:szCs w:val="24"/>
        </w:rPr>
        <w:t xml:space="preserve"> I blocchi dal 323 al 335 della quinta serie avevano già registrato il teatro portoghese: le Azzorre, il regime neutralista, lo Stato Zero moroteo, il riconoscimento italiano, i quattro giacimenti d'archivio, l'espulsione, la conferenza romana, l'udienza pontificia, Wiriyamu, l'ente sorvegliato. Tutto per via concettuale. Nessuno di quei blocchi aveva contato le occorrenze del nome dentro i file, che è ciò che questa serie fa.</w:t>
      </w:r>
    </w:p>
    <w:p>
      <w:pPr>
        <w:spacing w:after="120" w:line="276"/>
        <w:jc w:val="both"/>
      </w:pPr>
      <w:r>
        <w:rPr>
          <w:rFonts w:ascii="Barlow Semi Condensed" w:cs="Barlow Semi Condensed" w:eastAsia="Barlow Semi Condensed" w:hAnsi="Barlow Semi Condensed"/>
          <w:b/>
          <w:bCs/>
          <w:sz w:val="24"/>
          <w:szCs w:val="24"/>
        </w:rPr>
        <w:t xml:space="preserve">2760 · La doppia registrazione del riconoscimento.</w:t>
      </w:r>
      <w:r>
        <w:rPr>
          <w:rFonts w:ascii="Barlow Semi Condensed" w:cs="Barlow Semi Condensed" w:eastAsia="Barlow Semi Condensed" w:hAnsi="Barlow Semi Condensed"/>
          <w:sz w:val="24"/>
          <w:szCs w:val="24"/>
        </w:rPr>
        <w:t xml:space="preserve"> Il riconoscimento italiano del governo uscito dal 25 aprile compare due volte nell'opera in mille blocchi, al 255 e al 327, con contenuto quasi identico. Non è divergenza, è ridondanza, e va segnalata per ciò che insegna: una campagna concettuale ripete perché non ha un territorio che la vincoli. Una campagna territoriale ripete soltanto se ha letto male il file assegnato.</w:t>
      </w:r>
    </w:p>
    <w:p>
      <w:pPr>
        <w:spacing w:after="120" w:line="276"/>
        <w:jc w:val="both"/>
      </w:pPr>
      <w:r>
        <w:rPr>
          <w:rFonts w:ascii="Barlow Semi Condensed" w:cs="Barlow Semi Condensed" w:eastAsia="Barlow Semi Condensed" w:hAnsi="Barlow Semi Condensed"/>
          <w:b/>
          <w:bCs/>
          <w:sz w:val="24"/>
          <w:szCs w:val="24"/>
        </w:rPr>
        <w:t xml:space="preserve">2761 · Aginter, due statuti compatibili.</w:t>
      </w:r>
      <w:r>
        <w:rPr>
          <w:rFonts w:ascii="Barlow Semi Condensed" w:cs="Barlow Semi Condensed" w:eastAsia="Barlow Semi Condensed" w:hAnsi="Barlow Semi Condensed"/>
          <w:sz w:val="24"/>
          <w:szCs w:val="24"/>
        </w:rPr>
        <w:t xml:space="preserve"> Su Aginter Press l'undicesimo capitolo del secondo file dichiara Stato Zero, non avendo reperito fonti primarie né studi con revisione paritaria, e qualifica come non sostenuta la tesi circolante. I blocchi 420 e 707 aggiungono che il termine non compare altrove nel branch. Silenzio del corpus da un lato, esito negativo dichiarato dall'altro: nessuno dei due statuti è collegabile a questo nome.</w:t>
      </w:r>
    </w:p>
    <w:p>
      <w:pPr>
        <w:spacing w:after="120" w:line="276"/>
        <w:jc w:val="both"/>
      </w:pPr>
      <w:r>
        <w:rPr>
          <w:rFonts w:ascii="Barlow Semi Condensed" w:cs="Barlow Semi Condensed" w:eastAsia="Barlow Semi Condensed" w:hAnsi="Barlow Semi Condensed"/>
          <w:b/>
          <w:bCs/>
          <w:sz w:val="24"/>
          <w:szCs w:val="24"/>
        </w:rPr>
        <w:t xml:space="preserve">2762 · Le due precisazioni dell'apparato F-3.</w:t>
      </w:r>
      <w:r>
        <w:rPr>
          <w:rFonts w:ascii="Barlow Semi Condensed" w:cs="Barlow Semi Condensed" w:eastAsia="Barlow Semi Condensed" w:hAnsi="Barlow Semi Condensed"/>
          <w:sz w:val="24"/>
          <w:szCs w:val="24"/>
        </w:rPr>
        <w:t xml:space="preserve"> L'apparato F-3 della triangolazione della seconda campagna corregge i file che questa serie legge: la data dell'espulsione va portata da «12, 13 o 14 aprile» a «10-14 aprile 1974», e la cifra dei quarantotto Padri Bianchi poggia su una sola voce enciclopedica e diverge da quella della congregazione. Chi riprenda il territorio parta dalle versioni corrette, non da quelle stampate nei capitoli.</w:t>
      </w:r>
    </w:p>
    <w:p>
      <w:pPr>
        <w:spacing w:after="120" w:line="276"/>
        <w:jc w:val="both"/>
      </w:pPr>
      <w:r>
        <w:rPr>
          <w:rFonts w:ascii="Barlow Semi Condensed" w:cs="Barlow Semi Condensed" w:eastAsia="Barlow Semi Condensed" w:hAnsi="Barlow Semi Condensed"/>
          <w:b/>
          <w:bCs/>
          <w:sz w:val="24"/>
          <w:szCs w:val="24"/>
        </w:rPr>
        <w:t xml:space="preserve">2763 · Lisbona e Roma, prova dell'omologia.</w:t>
      </w:r>
      <w:r>
        <w:rPr>
          <w:rFonts w:ascii="Barlow Semi Condensed" w:cs="Barlow Semi Condensed" w:eastAsia="Barlow Semi Condensed" w:hAnsi="Barlow Semi Condensed"/>
          <w:sz w:val="24"/>
          <w:szCs w:val="24"/>
        </w:rPr>
        <w:t xml:space="preserve"> Regola applicata al caso concreto: due crisi mediterranee del medesimo biennio si somigliano perché rispondono allo stesso problema, non perché discendano da un antenato comune. Il test è uno solo e non ammette surrogati, cioè un documento di provenienza che nomini insieme i due teatri. Il richiamo del precedente portoghese nel verbale del settembre 1974 è precisamente quel documento, e per questo va usato con misura.</w:t>
      </w:r>
    </w:p>
    <w:p>
      <w:pPr>
        <w:spacing w:after="120" w:line="276"/>
        <w:jc w:val="both"/>
      </w:pPr>
      <w:r>
        <w:rPr>
          <w:rFonts w:ascii="Barlow Semi Condensed" w:cs="Barlow Semi Condensed" w:eastAsia="Barlow Semi Condensed" w:hAnsi="Barlow Semi Condensed"/>
          <w:b/>
          <w:bCs/>
          <w:sz w:val="24"/>
          <w:szCs w:val="24"/>
        </w:rPr>
        <w:t xml:space="preserve">2764 · L'effetto convergente da causa comune (serie XXXVI).</w:t>
      </w:r>
      <w:r>
        <w:rPr>
          <w:rFonts w:ascii="Barlow Semi Condensed" w:cs="Barlow Semi Condensed" w:eastAsia="Barlow Semi Condensed" w:hAnsi="Barlow Semi Condensed"/>
          <w:sz w:val="24"/>
          <w:szCs w:val="24"/>
        </w:rPr>
        <w:t xml:space="preserve"> Alla griglia dei gradi la seconda campagna ha proposto una quinta voce: due esiti simultanei che discendono provatamente dallo stesso evento e non l'uno dall'altro. Il 1974 mediterraneo ne è il banco di prova, con Lisbona in aprile, Atene in luglio, Roma in autunno. La voce va dichiarata prima di ogni altra ipotesi, perché impedisce che una simultaneità con causa nota diventi nesso.</w:t>
      </w:r>
    </w:p>
    <w:p>
      <w:pPr>
        <w:spacing w:after="120" w:line="276"/>
        <w:jc w:val="both"/>
      </w:pPr>
      <w:r>
        <w:rPr>
          <w:rFonts w:ascii="Barlow Semi Condensed" w:cs="Barlow Semi Condensed" w:eastAsia="Barlow Semi Condensed" w:hAnsi="Barlow Semi Condensed"/>
          <w:b/>
          <w:bCs/>
          <w:sz w:val="24"/>
          <w:szCs w:val="24"/>
        </w:rPr>
        <w:t xml:space="preserve">2765 · Ford Library, serie da aprire.</w:t>
      </w:r>
      <w:r>
        <w:rPr>
          <w:rFonts w:ascii="Barlow Semi Condensed" w:cs="Barlow Semi Condensed" w:eastAsia="Barlow Semi Condensed" w:hAnsi="Barlow Semi Condensed"/>
          <w:sz w:val="24"/>
          <w:szCs w:val="24"/>
        </w:rPr>
        <w:t xml:space="preserve"> Bersaglio d'archivio nominato. Alla Gerald R. Ford Presidential Library, oltre ai file 1552802 e 1552806 già editi, la serie da spogliare è quella dei Presidential Country Files for Europe and Canada del National Security Adviser, alla voce Portogallo, per l'arco novembre 1974 – gennaio 1977. Quesito: vi compaiono documenti che nominino insieme il dossier portoghese e la situazione politica italiana?</w:t>
      </w:r>
    </w:p>
    <w:p>
      <w:pPr>
        <w:spacing w:after="120" w:line="276"/>
        <w:jc w:val="both"/>
      </w:pPr>
      <w:r>
        <w:rPr>
          <w:rFonts w:ascii="Barlow Semi Condensed" w:cs="Barlow Semi Condensed" w:eastAsia="Barlow Semi Condensed" w:hAnsi="Barlow Semi Condensed"/>
          <w:b/>
          <w:bCs/>
          <w:sz w:val="24"/>
          <w:szCs w:val="24"/>
        </w:rPr>
        <w:t xml:space="preserve">2766 · College Park, i materiali Nixon.</w:t>
      </w:r>
      <w:r>
        <w:rPr>
          <w:rFonts w:ascii="Barlow Semi Condensed" w:cs="Barlow Semi Condensed" w:eastAsia="Barlow Semi Condensed" w:hAnsi="Barlow Semi Condensed"/>
          <w:sz w:val="24"/>
          <w:szCs w:val="24"/>
        </w:rPr>
        <w:t xml:space="preserve"> Per l'arco 1969 – agosto 1974 la sede corrispondente sono i Nixon Presidential Materials presso i National Archives di College Park, coi National Security Council Files e i Country Files alla voce Portogallo. Il corpus li ha già indicati al blocco 100 per il versante dottrinale; qui si indicano per il fattuale, con lo stesso quesito e faldoni in parte diversi.</w:t>
      </w:r>
    </w:p>
    <w:p>
      <w:pPr>
        <w:spacing w:after="120" w:line="276"/>
        <w:jc w:val="both"/>
      </w:pPr>
      <w:r>
        <w:rPr>
          <w:rFonts w:ascii="Barlow Semi Condensed" w:cs="Barlow Semi Condensed" w:eastAsia="Barlow Semi Condensed" w:hAnsi="Barlow Semi Condensed"/>
          <w:b/>
          <w:bCs/>
          <w:sz w:val="24"/>
          <w:szCs w:val="24"/>
        </w:rPr>
        <w:t xml:space="preserve">2767 · I fascicoli istituzionali del Consiglio.</w:t>
      </w:r>
      <w:r>
        <w:rPr>
          <w:rFonts w:ascii="Barlow Semi Condensed" w:cs="Barlow Semi Condensed" w:eastAsia="Barlow Semi Condensed" w:hAnsi="Barlow Semi Condensed"/>
          <w:sz w:val="24"/>
          <w:szCs w:val="24"/>
        </w:rPr>
        <w:t xml:space="preserve"> Terzo bersaglio americano: gli Institutional Files del Consiglio di sicurezza nazionale, dove sono conservati i National Security Study Memoranda, i Decision Memoranda e i verbali degli organismi che governavano l'azione coperta. Quesito, formulato senza presupporre la risposta: esiste per il Portogallo del 1974-1975 un documento di quella famiglia, e con quale esito? Il territorio non lo domanda e i mille blocchi neppure.</w:t>
      </w:r>
    </w:p>
    <w:p>
      <w:pPr>
        <w:spacing w:after="120" w:line="276"/>
        <w:jc w:val="both"/>
      </w:pPr>
      <w:r>
        <w:rPr>
          <w:rFonts w:ascii="Barlow Semi Condensed" w:cs="Barlow Semi Condensed" w:eastAsia="Barlow Semi Condensed" w:hAnsi="Barlow Semi Condensed"/>
          <w:b/>
          <w:bCs/>
          <w:sz w:val="24"/>
          <w:szCs w:val="24"/>
        </w:rPr>
        <w:t xml:space="preserve">2768 · Salazar e Caetano, i due fondi.</w:t>
      </w:r>
      <w:r>
        <w:rPr>
          <w:rFonts w:ascii="Barlow Semi Condensed" w:cs="Barlow Semi Condensed" w:eastAsia="Barlow Semi Condensed" w:hAnsi="Barlow Semi Condensed"/>
          <w:sz w:val="24"/>
          <w:szCs w:val="24"/>
        </w:rPr>
        <w:t xml:space="preserve"> Alla Torre do Tombo il decimo capitolo del primo file censisce tre fondi: PIDE-DGS, Arquivo Oliveira Salazar e Arquivo Marcello Caetano. Bersaglio proprio di questa serie, nei due fondi personali: la corrispondenza e i telegrammi con l'ambasciata portoghese a Washington per gli anni 1969-1974. Accesso dai sedici anni, iscrizione alla piattaforma CRAV, descrizione su Digitarq, regolamento speciale per il fondo di polizia.</w:t>
      </w:r>
    </w:p>
    <w:p>
      <w:pPr>
        <w:spacing w:after="120" w:line="276"/>
        <w:jc w:val="both"/>
      </w:pPr>
      <w:r>
        <w:rPr>
          <w:rFonts w:ascii="Barlow Semi Condensed" w:cs="Barlow Semi Condensed" w:eastAsia="Barlow Semi Condensed" w:hAnsi="Barlow Semi Condensed"/>
          <w:b/>
          <w:bCs/>
          <w:sz w:val="24"/>
          <w:szCs w:val="24"/>
        </w:rPr>
        <w:t xml:space="preserve">2769 · L'ambasciata portoghese a Washington.</w:t>
      </w:r>
      <w:r>
        <w:rPr>
          <w:rFonts w:ascii="Barlow Semi Condensed" w:cs="Barlow Semi Condensed" w:eastAsia="Barlow Semi Condensed" w:hAnsi="Barlow Semi Condensed"/>
          <w:sz w:val="24"/>
          <w:szCs w:val="24"/>
        </w:rPr>
        <w:t xml:space="preserve"> L'Arquivo Histórico-Diplomático del ministero portoghese, descritto attraverso l'Instituto Diplomático, conserva le serie sulle relazioni diplomatiche dal 1640. Il secondo file lamenta di non aver reperito un inventario che isoli la corrispondenza dell'ambasciata a Roma e presso la Santa Sede. La stessa lacuna vale, e nessuno la dichiara, per l'ambasciata a Washington negli anni 1969-1975: si dichiara qui, con la sede che la chiuderebbe.</w:t>
      </w:r>
    </w:p>
    <w:p>
      <w:pPr>
        <w:spacing w:after="120" w:line="276"/>
        <w:jc w:val="both"/>
      </w:pPr>
      <w:r>
        <w:rPr>
          <w:rFonts w:ascii="Barlow Semi Condensed" w:cs="Barlow Semi Condensed" w:eastAsia="Barlow Semi Condensed" w:hAnsi="Barlow Semi Condensed"/>
          <w:b/>
          <w:bCs/>
          <w:sz w:val="24"/>
          <w:szCs w:val="24"/>
        </w:rPr>
        <w:t xml:space="preserve">2770 · Il quesito da portare alla Farnesina.</w:t>
      </w:r>
      <w:r>
        <w:rPr>
          <w:rFonts w:ascii="Barlow Semi Condensed" w:cs="Barlow Semi Condensed" w:eastAsia="Barlow Semi Condensed" w:hAnsi="Barlow Semi Condensed"/>
          <w:sz w:val="24"/>
          <w:szCs w:val="24"/>
        </w:rPr>
        <w:t xml:space="preserve"> I due file indicano concordemente l'Archivio Storico Diplomatico come sede a rendimento massimo. Il quesito di questa serie va aggiunto ai telespressi dell'ambasciata di Lisbona e agli appunti della Direzione Generale Affari Politici: risulta, nella serie Portogallo 1969-1974, un appunto che riferisca posizioni americane sulla transizione? Resta il limite già accertato dal corpus sull'esclusione temporanea dei Telegrammi 1942-1970.</w:t>
      </w:r>
    </w:p>
    <w:p>
      <w:pPr>
        <w:spacing w:after="120" w:line="276"/>
        <w:jc w:val="both"/>
      </w:pPr>
      <w:r>
        <w:rPr>
          <w:rFonts w:ascii="Barlow Semi Condensed" w:cs="Barlow Semi Condensed" w:eastAsia="Barlow Semi Condensed" w:hAnsi="Barlow Semi Condensed"/>
          <w:b/>
          <w:bCs/>
          <w:sz w:val="24"/>
          <w:szCs w:val="24"/>
        </w:rPr>
        <w:t xml:space="preserve">2771 · Il quarto deposito delle carte Moro (serie XXXVI).</w:t>
      </w:r>
      <w:r>
        <w:rPr>
          <w:rFonts w:ascii="Barlow Semi Condensed" w:cs="Barlow Semi Condensed" w:eastAsia="Barlow Semi Condensed" w:hAnsi="Barlow Semi Condensed"/>
          <w:sz w:val="24"/>
          <w:szCs w:val="24"/>
        </w:rPr>
        <w:t xml:space="preserve"> Il fondo Moro dell'Archivio storico del Senato, segnatura IT-AFS-048, è il deposito che la seconda campagna ha aggiunto ai tre censiti dai cantieri ai blocchi 221-223 e 235, con unità digitalizzate proprio sul ministro degli Esteri. È la prima sede da interrogare per ogni carta italiana del periodo, e il secondo file lo indica come sede di chiusura per gli interventi mai reperiti.</w:t>
      </w:r>
    </w:p>
    <w:p>
      <w:pPr>
        <w:spacing w:after="120" w:line="276"/>
        <w:jc w:val="both"/>
      </w:pPr>
      <w:r>
        <w:rPr>
          <w:rFonts w:ascii="Barlow Semi Condensed" w:cs="Barlow Semi Condensed" w:eastAsia="Barlow Semi Condensed" w:hAnsi="Barlow Semi Condensed"/>
          <w:b/>
          <w:bCs/>
          <w:sz w:val="24"/>
          <w:szCs w:val="24"/>
        </w:rPr>
        <w:t xml:space="preserve">2772 · Nigrizia, annate da spogliare.</w:t>
      </w:r>
      <w:r>
        <w:rPr>
          <w:rFonts w:ascii="Barlow Semi Condensed" w:cs="Barlow Semi Condensed" w:eastAsia="Barlow Semi Condensed" w:hAnsi="Barlow Semi Condensed"/>
          <w:sz w:val="24"/>
          <w:szCs w:val="24"/>
        </w:rPr>
        <w:t xml:space="preserve"> L'Archivio Comboniano di Roma e la redazione storica di «Nigrizia» sono indicati dall'undicesimo capitolo del secondo file come sede per le annate 1974-1976. Bersaglio ulteriore: verificare se in quelle annate la critica all'Accordo missionario del 7 maggio 1940 sia mai accompagnata da riferimenti alla politica statunitense verso Lisbona. Esito ignoto, costo basso, rendimento incerto e dichiarato tale in partenza.</w:t>
      </w:r>
    </w:p>
    <w:p>
      <w:pPr>
        <w:spacing w:after="120" w:line="276"/>
        <w:jc w:val="both"/>
      </w:pPr>
      <w:r>
        <w:rPr>
          <w:rFonts w:ascii="Barlow Semi Condensed" w:cs="Barlow Semi Condensed" w:eastAsia="Barlow Semi Condensed" w:hAnsi="Barlow Semi Condensed"/>
          <w:b/>
          <w:bCs/>
          <w:sz w:val="24"/>
          <w:szCs w:val="24"/>
        </w:rPr>
        <w:t xml:space="preserve">2773 · Gli archivi dell'Alleanza atlantica.</w:t>
      </w:r>
      <w:r>
        <w:rPr>
          <w:rFonts w:ascii="Barlow Semi Condensed" w:cs="Barlow Semi Condensed" w:eastAsia="Barlow Semi Condensed" w:hAnsi="Barlow Semi Condensed"/>
          <w:sz w:val="24"/>
          <w:szCs w:val="24"/>
        </w:rPr>
        <w:t xml:space="preserve"> Agli archivi della NATO il decimo capitolo rinvia per la crisi atlantica del 1975 senza formulare un quesito. Se ne formula uno: nei verbali del Consiglio atlantico fra l'aprile 1974 e il dicembre 1975 risultano interventi statunitensi sul Portogallo verbalizzati con attribuzione nominativa, e vi ricorre la formula del regime neutralista? Sede, NATO Archives Online e la Rappresentanza permanente italiana presso l'Alleanza.</w:t>
      </w:r>
    </w:p>
    <w:p>
      <w:pPr>
        <w:spacing w:after="120" w:line="276"/>
        <w:jc w:val="both"/>
      </w:pPr>
      <w:r>
        <w:rPr>
          <w:rFonts w:ascii="Barlow Semi Condensed" w:cs="Barlow Semi Condensed" w:eastAsia="Barlow Semi Condensed" w:hAnsi="Barlow Semi Condensed"/>
          <w:b/>
          <w:bCs/>
          <w:sz w:val="24"/>
          <w:szCs w:val="24"/>
        </w:rPr>
        <w:t xml:space="preserve">2774 · Digitarq, CRAV e il regolamento.</w:t>
      </w:r>
      <w:r>
        <w:rPr>
          <w:rFonts w:ascii="Barlow Semi Condensed" w:cs="Barlow Semi Condensed" w:eastAsia="Barlow Semi Condensed" w:hAnsi="Barlow Semi Condensed"/>
          <w:sz w:val="24"/>
          <w:szCs w:val="24"/>
        </w:rPr>
        <w:t xml:space="preserve"> Nota di accessibilità che vale come vincolo di pianificazione. La Torre do Tombo è aperta ai maggiori di sedici anni, con diciotto per talune richieste in rete; il fondo di polizia politica è retto da regolamento proprio e va richiesto al servizio di riferimento; la piattaforma digitale è Digitarq, rinnovata nel 2025. Chi programmi la trasferta sappia che la richiesta precede la sala.</w:t>
      </w:r>
    </w:p>
    <w:p>
      <w:pPr>
        <w:spacing w:after="120" w:line="276"/>
        <w:jc w:val="both"/>
      </w:pPr>
      <w:r>
        <w:rPr>
          <w:rFonts w:ascii="Barlow Semi Condensed" w:cs="Barlow Semi Condensed" w:eastAsia="Barlow Semi Condensed" w:hAnsi="Barlow Semi Condensed"/>
          <w:b/>
          <w:bCs/>
          <w:sz w:val="24"/>
          <w:szCs w:val="24"/>
        </w:rPr>
        <w:t xml:space="preserve">2775 · Che cosa falsificherebbe lo Stato Zero.</w:t>
      </w:r>
      <w:r>
        <w:rPr>
          <w:rFonts w:ascii="Barlow Semi Condensed" w:cs="Barlow Semi Condensed" w:eastAsia="Barlow Semi Condensed" w:hAnsi="Barlow Semi Condensed"/>
          <w:sz w:val="24"/>
          <w:szCs w:val="24"/>
        </w:rPr>
        <w:t xml:space="preserve"> Primo bersaglio di smentita, specifico. Lo Stato Zero di questa serie cadrebbe col rinvenimento, in una qualunque delle sedi nominate, di un documento che nomini insieme il nome e un atto della Farnesina di Moro sul Portogallo: un telespresso che riferisca un colloquio, un appunto che citi una richiesta, un verbale che registri una posizione. Un documento solo basterebbe, e cambierebbe l'intera serie.</w:t>
      </w:r>
    </w:p>
    <w:p>
      <w:pPr>
        <w:spacing w:after="120" w:line="276"/>
        <w:jc w:val="both"/>
      </w:pPr>
      <w:r>
        <w:rPr>
          <w:rFonts w:ascii="Barlow Semi Condensed" w:cs="Barlow Semi Condensed" w:eastAsia="Barlow Semi Condensed" w:hAnsi="Barlow Semi Condensed"/>
          <w:b/>
          <w:bCs/>
          <w:sz w:val="24"/>
          <w:szCs w:val="24"/>
        </w:rPr>
        <w:t xml:space="preserve">2776 · Che cosa falsificherebbe il ponte.</w:t>
      </w:r>
      <w:r>
        <w:rPr>
          <w:rFonts w:ascii="Barlow Semi Condensed" w:cs="Barlow Semi Condensed" w:eastAsia="Barlow Semi Condensed" w:hAnsi="Barlow Semi Condensed"/>
          <w:sz w:val="24"/>
          <w:szCs w:val="24"/>
        </w:rPr>
        <w:t xml:space="preserve"> Secondo bersaglio di smentita, rivolto contro l'unico accertamento di piano 1 qui impiegato. Se il testo integrale del documento 350 non contenesse alcun richiamo al precedente portoghese, o lo contenesse in bocca a un altro dei presenti, il ponte cadrebbe oppure si sposterebbe di soggetto. La verifica è possibile e va eseguita prima di ogni ripresa: l'accertamento viene dall'apparato, non dal territorio.</w:t>
      </w:r>
    </w:p>
    <w:p>
      <w:pPr>
        <w:spacing w:after="120" w:line="276"/>
        <w:jc w:val="both"/>
      </w:pPr>
      <w:r>
        <w:rPr>
          <w:rFonts w:ascii="Barlow Semi Condensed" w:cs="Barlow Semi Condensed" w:eastAsia="Barlow Semi Condensed" w:hAnsi="Barlow Semi Condensed"/>
          <w:b/>
          <w:bCs/>
          <w:sz w:val="24"/>
          <w:szCs w:val="24"/>
        </w:rPr>
        <w:t xml:space="preserve">2777 · La cornice non è una catena.</w:t>
      </w:r>
      <w:r>
        <w:rPr>
          <w:rFonts w:ascii="Barlow Semi Condensed" w:cs="Barlow Semi Condensed" w:eastAsia="Barlow Semi Condensed" w:hAnsi="Barlow Semi Condensed"/>
          <w:sz w:val="24"/>
          <w:szCs w:val="24"/>
        </w:rPr>
        <w:t xml:space="preserve"> Regola di lettura applicabile a ogni blocco di questa serie. La preoccupazione atlantica per il Mediterraneo del 1974-1975 è cornice storica seria e documentata, e una cornice contiene i suoi oggetti senza collegarli fra loro. Il Portogallo di Spínola, la Grecia uscita dai colonnelli e l'Italia di Moro vi stanno dentro tutti e tre: starvi dentro non è essere legati, come il blocco 894 già scrive.</w:t>
      </w:r>
    </w:p>
    <w:p>
      <w:pPr>
        <w:spacing w:after="120" w:line="276"/>
        <w:jc w:val="both"/>
      </w:pPr>
      <w:r>
        <w:rPr>
          <w:rFonts w:ascii="Barlow Semi Condensed" w:cs="Barlow Semi Condensed" w:eastAsia="Barlow Semi Condensed" w:hAnsi="Barlow Semi Condensed"/>
          <w:b/>
          <w:bCs/>
          <w:sz w:val="24"/>
          <w:szCs w:val="24"/>
        </w:rPr>
        <w:t xml:space="preserve">2778 · La replicazione non produce prova.</w:t>
      </w:r>
      <w:r>
        <w:rPr>
          <w:rFonts w:ascii="Barlow Semi Condensed" w:cs="Barlow Semi Condensed" w:eastAsia="Barlow Semi Condensed" w:hAnsi="Barlow Semi Condensed"/>
          <w:sz w:val="24"/>
          <w:szCs w:val="24"/>
        </w:rPr>
        <w:t xml:space="preserve"> La qualificazione dell'insofferenza circola in forma pressoché identica in numerose riprese, tutte discendenti da poche fonti giornalistiche italiane. Il numero delle ripetizioni non aggiunge valore probatorio: è copia senza informazione nuova. Il criterio è quello già applicato dall'opera all'episodio del settembre 1974, la cui moltiplicazione è apparente e risale a un unico lancio d'agenzia del 30 novembre 2023.</w:t>
      </w:r>
    </w:p>
    <w:p>
      <w:pPr>
        <w:spacing w:after="120" w:line="276"/>
        <w:jc w:val="both"/>
      </w:pPr>
      <w:r>
        <w:rPr>
          <w:rFonts w:ascii="Barlow Semi Condensed" w:cs="Barlow Semi Condensed" w:eastAsia="Barlow Semi Condensed" w:hAnsi="Barlow Semi Condensed"/>
          <w:b/>
          <w:bCs/>
          <w:sz w:val="24"/>
          <w:szCs w:val="24"/>
        </w:rPr>
        <w:t xml:space="preserve">2779 · Il limite penale, ribadito qui.</w:t>
      </w:r>
      <w:r>
        <w:rPr>
          <w:rFonts w:ascii="Barlow Semi Condensed" w:cs="Barlow Semi Condensed" w:eastAsia="Barlow Semi Condensed" w:hAnsi="Barlow Semi Condensed"/>
          <w:sz w:val="24"/>
          <w:szCs w:val="24"/>
        </w:rPr>
        <w:t xml:space="preserve"> Vincolo che vale su questo territorio come su tutti gli altri. Henry Kissinger non fu condannato in alcun processo, non fu mai imputato né processato in alcun Paese, e non fu mai sentito da magistrati italiani. Nessun blocco di questa serie lo indica come responsabile di alcunché in relazione al Portogallo, al Mozambico o all'Italia. Le valutazioni politiche appartengono al dibattito pubblico, non al registro del giudicato.</w:t>
      </w:r>
    </w:p>
    <w:p>
      <w:pPr>
        <w:spacing w:after="120" w:line="276"/>
        <w:jc w:val="both"/>
      </w:pPr>
      <w:r>
        <w:rPr>
          <w:rFonts w:ascii="Barlow Semi Condensed" w:cs="Barlow Semi Condensed" w:eastAsia="Barlow Semi Condensed" w:hAnsi="Barlow Semi Condensed"/>
          <w:b/>
          <w:bCs/>
          <w:sz w:val="24"/>
          <w:szCs w:val="24"/>
        </w:rPr>
        <w:t xml:space="preserve">2780 · Riga di chiusura della serie.</w:t>
      </w:r>
      <w:r>
        <w:rPr>
          <w:rFonts w:ascii="Barlow Semi Condensed" w:cs="Barlow Semi Condensed" w:eastAsia="Barlow Semi Condensed" w:hAnsi="Barlow Semi Condensed"/>
          <w:sz w:val="24"/>
          <w:szCs w:val="24"/>
        </w:rPr>
        <w:t xml:space="preserve"> Bilancio: due file letti per intero, ventiquattro capitoli, due occorrenze del nome contate, sei stringhe verificate a zero, un accertamento di piano 1 recuperato da un apparato e mai usato in mille blocchi, otto Stati Zero nuovi dichiarati con la loro sede, due bersagli di smentita eseguibili, undici sedi d'archivio nominate. Nessun ponte inventato. Il territorio quasi tace su questo nome, e il quasi è stato misurato.</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Serie trentasettesima — La Farnesina: Grecia</w:t>
      </w:r>
    </w:p>
    <w:p>
      <w:pPr>
        <w:spacing w:after="120" w:line="276"/>
        <w:jc w:val="both"/>
      </w:pPr>
      <w:r>
        <w:rPr>
          <w:rFonts w:ascii="Barlow Semi Condensed" w:cs="Barlow Semi Condensed" w:eastAsia="Barlow Semi Condensed" w:hAnsi="Barlow Semi Condensed"/>
          <w:i/>
          <w:iCs/>
          <w:sz w:val="24"/>
          <w:szCs w:val="24"/>
        </w:rPr>
        <w:t xml:space="preserve">Blocchi 2781-2855.</w:t>
      </w:r>
    </w:p>
    <w:p>
      <w:pPr>
        <w:spacing w:after="120" w:line="276"/>
        <w:jc w:val="both"/>
      </w:pPr>
      <w:r>
        <w:rPr>
          <w:rFonts w:ascii="Barlow Semi Condensed" w:cs="Barlow Semi Condensed" w:eastAsia="Barlow Semi Condensed" w:hAnsi="Barlow Semi Condensed"/>
          <w:b/>
          <w:bCs/>
          <w:sz w:val="24"/>
          <w:szCs w:val="24"/>
        </w:rPr>
        <w:t xml:space="preserve">2781 · Il territorio, con segnatura e impronta.</w:t>
      </w:r>
      <w:r>
        <w:rPr>
          <w:rFonts w:ascii="Barlow Semi Condensed" w:cs="Barlow Semi Condensed" w:eastAsia="Barlow Semi Condensed" w:hAnsi="Barlow Semi Condensed"/>
          <w:sz w:val="24"/>
          <w:szCs w:val="24"/>
        </w:rPr>
        <w:t xml:space="preserve"> Il territorio assegnato è il file grecia-opus-dei-1969-1985.md della cartella moro-ministro-esteri: novantasei righe, dodici capitoli, seimiladuecentottanta parole, archiviato con impronta SHA-256 e43654b0 registrata nel manifest-sha256.txt e riferita al caricamento originale 5bee0bd6. L'impronta è stata ricalcolata e coincide: la catena di custodia regge, e ogni accertamento che segue vale per questo esemplare e non per altra redazione del medesimo testo.</w:t>
      </w:r>
    </w:p>
    <w:p>
      <w:pPr>
        <w:spacing w:after="120" w:line="276"/>
        <w:jc w:val="both"/>
      </w:pPr>
      <w:r>
        <w:rPr>
          <w:rFonts w:ascii="Barlow Semi Condensed" w:cs="Barlow Semi Condensed" w:eastAsia="Barlow Semi Condensed" w:hAnsi="Barlow Semi Condensed"/>
          <w:b/>
          <w:bCs/>
          <w:sz w:val="24"/>
          <w:szCs w:val="24"/>
        </w:rPr>
        <w:t xml:space="preserve">2782 · L'unica occorrenza del nome.</w:t>
      </w:r>
      <w:r>
        <w:rPr>
          <w:rFonts w:ascii="Barlow Semi Condensed" w:cs="Barlow Semi Condensed" w:eastAsia="Barlow Semi Condensed" w:hAnsi="Barlow Semi Condensed"/>
          <w:sz w:val="24"/>
          <w:szCs w:val="24"/>
        </w:rPr>
        <w:t xml:space="preserve"> Nell'intero documento il nome Henry Kissinger compare una volta sola, alla riga quarantacinque, dentro il Capitolo VI sulla CSCE. Per confronto, nello stesso testo la sigla della centrale americana ricorre sei volte, l'Alleanza atlantica diciassette, la serie Foreign Relations nove, Washington una. La sproporzione non è un'impressione ma un conteggio ripetibile, ed è il primo accertamento territoriale di questa serie, di grado A perché meccanicamente verificabile da chiunque.</w:t>
      </w:r>
    </w:p>
    <w:p>
      <w:pPr>
        <w:spacing w:after="120" w:line="276"/>
        <w:jc w:val="both"/>
      </w:pPr>
      <w:r>
        <w:rPr>
          <w:rFonts w:ascii="Barlow Semi Condensed" w:cs="Barlow Semi Condensed" w:eastAsia="Barlow Semi Condensed" w:hAnsi="Barlow Semi Condensed"/>
          <w:b/>
          <w:bCs/>
          <w:sz w:val="24"/>
          <w:szCs w:val="24"/>
        </w:rPr>
        <w:t xml:space="preserve">2783 · Che cosa attesta quella riga.</w:t>
      </w:r>
      <w:r>
        <w:rPr>
          <w:rFonts w:ascii="Barlow Semi Condensed" w:cs="Barlow Semi Condensed" w:eastAsia="Barlow Semi Condensed" w:hAnsi="Barlow Semi Condensed"/>
          <w:sz w:val="24"/>
          <w:szCs w:val="24"/>
        </w:rPr>
        <w:t xml:space="preserve"> La riga quarantacinque cita il volume XXXIX dei Foreign Relations 1969-1976, documento 334, telegramma di Kissinger del 2 agosto 1975, per confermare che l'Atto finale fu sottoscritto da trentacinque capi di Stato o di governo e per descrivere la cerimonia conclusiva. Dal medesimo telegramma il capitolo ricava la dichiarazione interpretativa cipriota contro la riserva turca sulla rappresentanza. Questo, e soltanto questo, è il piano 1 del territorio.</w:t>
      </w:r>
    </w:p>
    <w:p>
      <w:pPr>
        <w:spacing w:after="120" w:line="276"/>
        <w:jc w:val="both"/>
      </w:pPr>
      <w:r>
        <w:rPr>
          <w:rFonts w:ascii="Barlow Semi Condensed" w:cs="Barlow Semi Condensed" w:eastAsia="Barlow Semi Condensed" w:hAnsi="Barlow Semi Condensed"/>
          <w:b/>
          <w:bCs/>
          <w:sz w:val="24"/>
          <w:szCs w:val="24"/>
        </w:rPr>
        <w:t xml:space="preserve">2784 · Ciò che quella riga non attesta.</w:t>
      </w:r>
      <w:r>
        <w:rPr>
          <w:rFonts w:ascii="Barlow Semi Condensed" w:cs="Barlow Semi Condensed" w:eastAsia="Barlow Semi Condensed" w:hAnsi="Barlow Semi Condensed"/>
          <w:sz w:val="24"/>
          <w:szCs w:val="24"/>
        </w:rPr>
        <w:t xml:space="preserve"> Il telegramma del 2 agosto 1975 è resoconto di cerimonia, non atto sulla Grecia: non verbalizza un colloquio con Moro, non prende posizione sulla questione greca, non nomina alcun ministro italiano. Usarlo come prova di un rapporto fra il nome studiato e il dossier greco significherebbe compiere la promozione indebita che il corpus vieta. Un documento attesta ciò che dice, e questo dice una cerimonia e una dichiarazione cipriota.</w:t>
      </w:r>
    </w:p>
    <w:p>
      <w:pPr>
        <w:spacing w:after="120" w:line="276"/>
        <w:jc w:val="both"/>
      </w:pPr>
      <w:r>
        <w:rPr>
          <w:rFonts w:ascii="Barlow Semi Condensed" w:cs="Barlow Semi Condensed" w:eastAsia="Barlow Semi Condensed" w:hAnsi="Barlow Semi Condensed"/>
          <w:b/>
          <w:bCs/>
          <w:sz w:val="24"/>
          <w:szCs w:val="24"/>
        </w:rPr>
        <w:t xml:space="preserve">2785 · L'incipit corrotto dell'esemplare archiviato.</w:t>
      </w:r>
      <w:r>
        <w:rPr>
          <w:rFonts w:ascii="Barlow Semi Condensed" w:cs="Barlow Semi Condensed" w:eastAsia="Barlow Semi Condensed" w:hAnsi="Barlow Semi Condensed"/>
          <w:sz w:val="24"/>
          <w:szCs w:val="24"/>
        </w:rPr>
        <w:t xml:space="preserve"> Il file si apre con tre lettere estranee saldate al titolo, «and# ALDO MORO, LA GRECIA E L'OPUS DEI», e l'impronta SHA-256 dimostra che il difetto appartiene all'esemplare originale e non è stato introdotto dopo l'archiviazione. Ne discende un bersaglio archivistico minuto ma reale: verificare se il caricamento contenesse un segmento anteriore oggi perduto, e se quel segmento nominasse persone che il testo superstite non nomina.</w:t>
      </w:r>
    </w:p>
    <w:p>
      <w:pPr>
        <w:spacing w:after="120" w:line="276"/>
        <w:jc w:val="both"/>
      </w:pPr>
      <w:r>
        <w:rPr>
          <w:rFonts w:ascii="Barlow Semi Condensed" w:cs="Barlow Semi Condensed" w:eastAsia="Barlow Semi Condensed" w:hAnsi="Barlow Semi Condensed"/>
          <w:b/>
          <w:bCs/>
          <w:sz w:val="24"/>
          <w:szCs w:val="24"/>
        </w:rPr>
        <w:t xml:space="preserve">2786 · La previsione dichiarata, e la sua imitazione.</w:t>
      </w:r>
      <w:r>
        <w:rPr>
          <w:rFonts w:ascii="Barlow Semi Condensed" w:cs="Barlow Semi Condensed" w:eastAsia="Barlow Semi Condensed" w:hAnsi="Barlow Semi Condensed"/>
          <w:sz w:val="24"/>
          <w:szCs w:val="24"/>
        </w:rPr>
        <w:t xml:space="preserve"> Il Capitolo I dichiara in anticipo la propria previsione, perché l'esito di una previsione è esso stesso un risultato. Questa serie assume lo stesso obbligo e lo scrive: si prevede che il nome studiato risulti quasi interamente assente dal territorio, e che tale assenza sia lacuna del corpus e non estraneità accertata del mondo. Il Capitolo IX insegna precisamente la differenza fra le due specie di vuoto.</w:t>
      </w:r>
    </w:p>
    <w:p>
      <w:pPr>
        <w:spacing w:after="120" w:line="276"/>
        <w:jc w:val="both"/>
      </w:pPr>
      <w:r>
        <w:rPr>
          <w:rFonts w:ascii="Barlow Semi Condensed" w:cs="Barlow Semi Condensed" w:eastAsia="Barlow Semi Condensed" w:hAnsi="Barlow Semi Condensed"/>
          <w:b/>
          <w:bCs/>
          <w:sz w:val="24"/>
          <w:szCs w:val="24"/>
        </w:rPr>
        <w:t xml:space="preserve">2787 · Le fonti che il committente esclude.</w:t>
      </w:r>
      <w:r>
        <w:rPr>
          <w:rFonts w:ascii="Barlow Semi Condensed" w:cs="Barlow Semi Condensed" w:eastAsia="Barlow Semi Condensed" w:hAnsi="Barlow Semi Condensed"/>
          <w:sz w:val="24"/>
          <w:szCs w:val="24"/>
        </w:rPr>
        <w:t xml:space="preserve"> Sono dichiarate escluse, per disposizione del committente enunciata al Capitolo I, un'enciclopedia collaborativa e un quotidiano. La conseguenza per questa serie è operativa e va scritta una volta per tutte: qualunque affermazione sul nome studiato che raggiunga il lettore per quelle due vie resta inutilizzabile qui, e va cercato un percorso indipendente. Non è un giudizio sul valore delle fonti ma una regola di ammissibilità dichiarata a monte.</w:t>
      </w:r>
    </w:p>
    <w:p>
      <w:pPr>
        <w:spacing w:after="120" w:line="276"/>
        <w:jc w:val="both"/>
      </w:pPr>
      <w:r>
        <w:rPr>
          <w:rFonts w:ascii="Barlow Semi Condensed" w:cs="Barlow Semi Condensed" w:eastAsia="Barlow Semi Condensed" w:hAnsi="Barlow Semi Condensed"/>
          <w:b/>
          <w:bCs/>
          <w:sz w:val="24"/>
          <w:szCs w:val="24"/>
        </w:rPr>
        <w:t xml:space="preserve">2788 · Due calendari che si intersecano interamente.</w:t>
      </w:r>
      <w:r>
        <w:rPr>
          <w:rFonts w:ascii="Barlow Semi Condensed" w:cs="Barlow Semi Condensed" w:eastAsia="Barlow Semi Condensed" w:hAnsi="Barlow Semi Condensed"/>
          <w:sz w:val="24"/>
          <w:szCs w:val="24"/>
        </w:rPr>
        <w:t xml:space="preserve"> Il committente fissa i mandati moroteani al 5 agosto 1969 - 26 giugno 1972 e al 7 luglio 1973 - 23 novembre 1974, segnalando la difformità delle schede ministeriali. Sovrapposti agli incarichi del nome studiato, Assistente per la sicurezza nazionale dal 20 gennaio 1969 e Segretario di Stato dal 22 settembre 1973, i due calendari si intersecano per intero. L'intersezione è cronologia accertata, e non è nesso.</w:t>
      </w:r>
    </w:p>
    <w:p>
      <w:pPr>
        <w:spacing w:after="120" w:line="276"/>
        <w:jc w:val="both"/>
      </w:pPr>
      <w:r>
        <w:rPr>
          <w:rFonts w:ascii="Barlow Semi Condensed" w:cs="Barlow Semi Condensed" w:eastAsia="Barlow Semi Condensed" w:hAnsi="Barlow Semi Condensed"/>
          <w:b/>
          <w:bCs/>
          <w:sz w:val="24"/>
          <w:szCs w:val="24"/>
        </w:rPr>
        <w:t xml:space="preserve">2789 · Dicembre 1969: quale carica, esattamente.</w:t>
      </w:r>
      <w:r>
        <w:rPr>
          <w:rFonts w:ascii="Barlow Semi Condensed" w:cs="Barlow Semi Condensed" w:eastAsia="Barlow Semi Condensed" w:hAnsi="Barlow Semi Condensed"/>
          <w:sz w:val="24"/>
          <w:szCs w:val="24"/>
        </w:rPr>
        <w:t xml:space="preserve"> Alla data della seduta di Strasburgo il nome studiato non era Segretario di Stato: lo divenne quasi quattro anni dopo, il 22 settembre 1973. Nel dicembre 1969 ricopriva l'ufficio di Assistente del presidente per gli affari di sicurezza nazionale, incarico della Casa Bianca privo di rappresentanza negli organismi europei. Trasportare all'indietro la carica del 1973 sul fatto del 1969 è anacronismo verificabile, e va evitato in ogni ripresa.</w:t>
      </w:r>
    </w:p>
    <w:p>
      <w:pPr>
        <w:spacing w:after="120" w:line="276"/>
        <w:jc w:val="both"/>
      </w:pPr>
      <w:r>
        <w:rPr>
          <w:rFonts w:ascii="Barlow Semi Condensed" w:cs="Barlow Semi Condensed" w:eastAsia="Barlow Semi Condensed" w:hAnsi="Barlow Semi Condensed"/>
          <w:b/>
          <w:bCs/>
          <w:sz w:val="24"/>
          <w:szCs w:val="24"/>
        </w:rPr>
        <w:t xml:space="preserve">2790 · Gli Stati Uniti non siedono a Strasburgo.</w:t>
      </w:r>
      <w:r>
        <w:rPr>
          <w:rFonts w:ascii="Barlow Semi Condensed" w:cs="Barlow Semi Condensed" w:eastAsia="Barlow Semi Condensed" w:hAnsi="Barlow Semi Condensed"/>
          <w:sz w:val="24"/>
          <w:szCs w:val="24"/>
        </w:rPr>
        <w:t xml:space="preserve"> Il Consiglio d'Europa, che il Capitolo II pone al centro del versante greco, non annovera gli Stati Uniti fra i propri membri: nel dicembre 1969 non esisteva alcun seggio americano nell'organo che Moro presiedeva. Ne discende un vincolo strutturale da fissare prima di cercare: un'eventuale influenza americana su quella vicenda non poteva passare per quella sede, ma solo per canali bilaterali con le singole capitali europee.</w:t>
      </w:r>
    </w:p>
    <w:p>
      <w:pPr>
        <w:spacing w:after="120" w:line="276"/>
        <w:jc w:val="both"/>
      </w:pPr>
      <w:r>
        <w:rPr>
          <w:rFonts w:ascii="Barlow Semi Condensed" w:cs="Barlow Semi Condensed" w:eastAsia="Barlow Semi Condensed" w:hAnsi="Barlow Semi Condensed"/>
          <w:b/>
          <w:bCs/>
          <w:sz w:val="24"/>
          <w:szCs w:val="24"/>
        </w:rPr>
        <w:t xml:space="preserve">2791 · Il documento 264 e la sua provenienza.</w:t>
      </w:r>
      <w:r>
        <w:rPr>
          <w:rFonts w:ascii="Barlow Semi Condensed" w:cs="Barlow Semi Condensed" w:eastAsia="Barlow Semi Condensed" w:hAnsi="Barlow Semi Condensed"/>
          <w:sz w:val="24"/>
          <w:szCs w:val="24"/>
        </w:rPr>
        <w:t xml:space="preserve"> Il Capitolo II cita il volume XXIX dei Foreign Relations, documento 264, che attesta il ritiro greco dopo lo schieramento di una maggioranza a sostegno di una risoluzione tedesca; ne cita il contenuto senza indicarne natura, ufficio redattore e firma. Quesito da portare all'Office of the Historian: che tipo di documento sia, chi lo produsse, quale riga di firma rechi. Finché resta così, è citato e non letto.</w:t>
      </w:r>
    </w:p>
    <w:p>
      <w:pPr>
        <w:spacing w:after="120" w:line="276"/>
        <w:jc w:val="both"/>
      </w:pPr>
      <w:r>
        <w:rPr>
          <w:rFonts w:ascii="Barlow Semi Condensed" w:cs="Barlow Semi Condensed" w:eastAsia="Barlow Semi Condensed" w:hAnsi="Barlow Semi Condensed"/>
          <w:b/>
          <w:bCs/>
          <w:sz w:val="24"/>
          <w:szCs w:val="24"/>
        </w:rPr>
        <w:t xml:space="preserve">2792 · Stato Zero sulla seduta di Strasburgo.</w:t>
      </w:r>
      <w:r>
        <w:rPr>
          <w:rFonts w:ascii="Barlow Semi Condensed" w:cs="Barlow Semi Condensed" w:eastAsia="Barlow Semi Condensed" w:hAnsi="Barlow Semi Condensed"/>
          <w:sz w:val="24"/>
          <w:szCs w:val="24"/>
        </w:rPr>
        <w:t xml:space="preserve"> Nel Capitolo II non compare alcun documento americano sulla seduta del 12 dicembre 1969 né sulle consultazioni che la precedettero: è Stato Zero pieno, e come tale vale quanto un'acquisizione positiva. La sede che lo chiuderebbe sono i Nixon Presidential Materials presso i National Archives di College Park, serie NSC Files, Country Files, fascicoli Grecia e Italia per l'ultimo trimestre del 1969, già indicati dal corpus altrove.</w:t>
      </w:r>
    </w:p>
    <w:p>
      <w:pPr>
        <w:spacing w:after="120" w:line="276"/>
        <w:jc w:val="both"/>
      </w:pPr>
      <w:r>
        <w:rPr>
          <w:rFonts w:ascii="Barlow Semi Condensed" w:cs="Barlow Semi Condensed" w:eastAsia="Barlow Semi Condensed" w:hAnsi="Barlow Semi Condensed"/>
          <w:b/>
          <w:bCs/>
          <w:sz w:val="24"/>
          <w:szCs w:val="24"/>
        </w:rPr>
        <w:t xml:space="preserve">2793 · Il bersaglio che smentirebbe l'ipotesi atlantica.</w:t>
      </w:r>
      <w:r>
        <w:rPr>
          <w:rFonts w:ascii="Barlow Semi Condensed" w:cs="Barlow Semi Condensed" w:eastAsia="Barlow Semi Condensed" w:hAnsi="Barlow Semi Condensed"/>
          <w:sz w:val="24"/>
          <w:szCs w:val="24"/>
        </w:rPr>
        <w:t xml:space="preserve"> Che cosa falsificherebbe l'ipotesi di un'iniziativa americana dietro la posizione italiana a Strasburgo: l'esaurimento certificato dei telegrammi dell'ambasciata di Roma per novembre e dicembre 1969 senza alcuna istruzione, richiesta o sollecitazione in materia greca. L'esito negativo, se certificato per esaurimento del fondo, è acquisizione di pieno valore secondo il blocco 13 del manuale investigativo, e chiuderebbe la pista in senso liberatorio.</w:t>
      </w:r>
    </w:p>
    <w:p>
      <w:pPr>
        <w:spacing w:after="120" w:line="276"/>
        <w:jc w:val="both"/>
      </w:pPr>
      <w:r>
        <w:rPr>
          <w:rFonts w:ascii="Barlow Semi Condensed" w:cs="Barlow Semi Condensed" w:eastAsia="Barlow Semi Condensed" w:hAnsi="Barlow Semi Condensed"/>
          <w:b/>
          <w:bCs/>
          <w:sz w:val="24"/>
          <w:szCs w:val="24"/>
        </w:rPr>
        <w:t xml:space="preserve">2794 · La compressione pubblicistica come specie.</w:t>
      </w:r>
      <w:r>
        <w:rPr>
          <w:rFonts w:ascii="Barlow Semi Condensed" w:cs="Barlow Semi Condensed" w:eastAsia="Barlow Semi Condensed" w:hAnsi="Barlow Semi Condensed"/>
          <w:sz w:val="24"/>
          <w:szCs w:val="24"/>
        </w:rPr>
        <w:t xml:space="preserve"> È qualificata come pubblicistica, dal Capitolo II, la formula dell'espulsione decretata da Moro, perché attribuisce a una persona l'esito di un organo collegiale davanti al quale la Grecia si ritirò da sé. La regola di lettura che se ne ricava governa l'intera serie: ogni formula che concentri in un nome proprio l'esito di una macchina istituzionale va qualificata prima di essere usata, quale che sia il nome concentrato.</w:t>
      </w:r>
    </w:p>
    <w:p>
      <w:pPr>
        <w:spacing w:after="120" w:line="276"/>
        <w:jc w:val="both"/>
      </w:pPr>
      <w:r>
        <w:rPr>
          <w:rFonts w:ascii="Barlow Semi Condensed" w:cs="Barlow Semi Condensed" w:eastAsia="Barlow Semi Condensed" w:hAnsi="Barlow Semi Condensed"/>
          <w:b/>
          <w:bCs/>
          <w:sz w:val="24"/>
          <w:szCs w:val="24"/>
        </w:rPr>
        <w:t xml:space="preserve">2795 · La tesi della ritorsione non lo nomina.</w:t>
      </w:r>
      <w:r>
        <w:rPr>
          <w:rFonts w:ascii="Barlow Semi Condensed" w:cs="Barlow Semi Condensed" w:eastAsia="Barlow Semi Condensed" w:hAnsi="Barlow Semi Condensed"/>
          <w:sz w:val="24"/>
          <w:szCs w:val="24"/>
        </w:rPr>
        <w:t xml:space="preserve"> La tesi d'autore che collega la data del 12 dicembre 1969 alla strage di piazza Fontana e ad attentati contro basi britanniche a Cipro è registrata dal Capitolo II come ipotesi circolante, non come fatto accertato. Va aggiunto un rilievo che il capitolo non fa e che questa serie deve fare: quella tesi non nomina il nome qui studiato. La ricostruzione più ardita del territorio non lo raggiunge.</w:t>
      </w:r>
    </w:p>
    <w:p>
      <w:pPr>
        <w:spacing w:after="120" w:line="276"/>
        <w:jc w:val="both"/>
      </w:pPr>
      <w:r>
        <w:rPr>
          <w:rFonts w:ascii="Barlow Semi Condensed" w:cs="Barlow Semi Condensed" w:eastAsia="Barlow Semi Condensed" w:hAnsi="Barlow Semi Condensed"/>
          <w:b/>
          <w:bCs/>
          <w:sz w:val="24"/>
          <w:szCs w:val="24"/>
        </w:rPr>
        <w:t xml:space="preserve">2796 · La divergenza sul giorno della seduta.</w:t>
      </w:r>
      <w:r>
        <w:rPr>
          <w:rFonts w:ascii="Barlow Semi Condensed" w:cs="Barlow Semi Condensed" w:eastAsia="Barlow Semi Condensed" w:hAnsi="Barlow Semi Condensed"/>
          <w:sz w:val="24"/>
          <w:szCs w:val="24"/>
        </w:rPr>
        <w:t xml:space="preserve"> Le fonti secondarie oscillano fra il 12 e il 13 dicembre 1969 per la seduta presieduta da Moro, mentre le fonti primarie del Comitato dei Ministri datano al 12 tanto la risoluzione quanto la notifica greca. La divergenza si riporta e non si scioglie in silenzio. Chi volesse ancorare a quel giorno una convergenza atlantica deve prima stabilire il giorno, e per stabilirlo servono gli atti del Consiglio d'Europa.</w:t>
      </w:r>
    </w:p>
    <w:p>
      <w:pPr>
        <w:spacing w:after="120" w:line="276"/>
        <w:jc w:val="both"/>
      </w:pPr>
      <w:r>
        <w:rPr>
          <w:rFonts w:ascii="Barlow Semi Condensed" w:cs="Barlow Semi Condensed" w:eastAsia="Barlow Semi Condensed" w:hAnsi="Barlow Semi Condensed"/>
          <w:b/>
          <w:bCs/>
          <w:sz w:val="24"/>
          <w:szCs w:val="24"/>
        </w:rPr>
        <w:t xml:space="preserve">2797 · Il Capitolo III senza elementi americani.</w:t>
      </w:r>
      <w:r>
        <w:rPr>
          <w:rFonts w:ascii="Barlow Semi Condensed" w:cs="Barlow Semi Condensed" w:eastAsia="Barlow Semi Condensed" w:hAnsi="Barlow Semi Condensed"/>
          <w:sz w:val="24"/>
          <w:szCs w:val="24"/>
        </w:rPr>
        <w:t xml:space="preserve"> Il capitolo sui rapporti bilaterali italo-greci — asilo ai profughi politici, simpatie della destra italiana per il regime, associazione comunitaria congelata dal 1967 e riattivata dopo il luglio 1974 — non contiene un solo elemento statunitense. È Stato Zero per ricerca non condotta, non per ricerca infruttuosa: il capitolo dichiara di non aver spogliato la serie Grecia della Farnesina, dove gli scambi con Washington si troverebbero.</w:t>
      </w:r>
    </w:p>
    <w:p>
      <w:pPr>
        <w:spacing w:after="120" w:line="276"/>
        <w:jc w:val="both"/>
      </w:pPr>
      <w:r>
        <w:rPr>
          <w:rFonts w:ascii="Barlow Semi Condensed" w:cs="Barlow Semi Condensed" w:eastAsia="Barlow Semi Condensed" w:hAnsi="Barlow Semi Condensed"/>
          <w:b/>
          <w:bCs/>
          <w:sz w:val="24"/>
          <w:szCs w:val="24"/>
        </w:rPr>
        <w:t xml:space="preserve">2798 · Il congelamento è atto comunitario.</w:t>
      </w:r>
      <w:r>
        <w:rPr>
          <w:rFonts w:ascii="Barlow Semi Condensed" w:cs="Barlow Semi Condensed" w:eastAsia="Barlow Semi Condensed" w:hAnsi="Barlow Semi Condensed"/>
          <w:sz w:val="24"/>
          <w:szCs w:val="24"/>
        </w:rPr>
        <w:t xml:space="preserve"> Il congelamento dell'associazione fra Grecia e Comunità dopo il colpo del 1967 e la sua riattivazione dopo il luglio 1974, attestati dal portale CVCE e dal Dizionario dell'Integrazione Europea con il telegramma di Ortoli a Karamanlis e le aperture di Cheysson, appartengono per intero alla macchina comunitaria. Non offrono alcun punto d'innesto al nome studiato, e cercarvelo scambierebbe la contiguità dei calendari per continuità delle catene decisionali.</w:t>
      </w:r>
    </w:p>
    <w:p>
      <w:pPr>
        <w:spacing w:after="120" w:line="276"/>
        <w:jc w:val="both"/>
      </w:pPr>
      <w:r>
        <w:rPr>
          <w:rFonts w:ascii="Barlow Semi Condensed" w:cs="Barlow Semi Condensed" w:eastAsia="Barlow Semi Condensed" w:hAnsi="Barlow Semi Condensed"/>
          <w:b/>
          <w:bCs/>
          <w:sz w:val="24"/>
          <w:szCs w:val="24"/>
        </w:rPr>
        <w:t xml:space="preserve">2799 · La serie Grecia come prima sede.</w:t>
      </w:r>
      <w:r>
        <w:rPr>
          <w:rFonts w:ascii="Barlow Semi Condensed" w:cs="Barlow Semi Condensed" w:eastAsia="Barlow Semi Condensed" w:hAnsi="Barlow Semi Condensed"/>
          <w:sz w:val="24"/>
          <w:szCs w:val="24"/>
        </w:rPr>
        <w:t xml:space="preserve"> Quesito da depositare all'Archivio Storico Diplomatico della Farnesina, serie Grecia 1969-1974: esistono nel fondo appunti, telespressi o promemoria che riferiscano colloqui con l'ambasciata degli Stati Uniti a Roma sulla questione greca, e in quali termini. Rendimento atteso medio, costo di sala e di autorizzazione, doppio esito garantito, poiché l'assenza certificata per esaurimento vale quanto il ritrovamento e va verbalizzata con la stessa cura.</w:t>
      </w:r>
    </w:p>
    <w:p>
      <w:pPr>
        <w:spacing w:after="120" w:line="276"/>
        <w:jc w:val="both"/>
      </w:pPr>
      <w:r>
        <w:rPr>
          <w:rFonts w:ascii="Barlow Semi Condensed" w:cs="Barlow Semi Condensed" w:eastAsia="Barlow Semi Condensed" w:hAnsi="Barlow Semi Condensed"/>
          <w:b/>
          <w:bCs/>
          <w:sz w:val="24"/>
          <w:szCs w:val="24"/>
        </w:rPr>
        <w:t xml:space="preserve">2800 · La sovrapposizione dei mandati su Cipro.</w:t>
      </w:r>
      <w:r>
        <w:rPr>
          <w:rFonts w:ascii="Barlow Semi Condensed" w:cs="Barlow Semi Condensed" w:eastAsia="Barlow Semi Condensed" w:hAnsi="Barlow Semi Condensed"/>
          <w:sz w:val="24"/>
          <w:szCs w:val="24"/>
        </w:rPr>
        <w:t xml:space="preserve"> L'intera sequenza cipriota del 1974 — colpo del 15 luglio a Nicosia, intervento turco del 20 luglio, caduta della giunta il 23, seconda offensiva il 14 agosto, cessate il fuoco del 16 divenuto Linea Verde — cade dentro il periodo in cui il nome studiato cumulava i due incarichi, essendo Segretario di Stato dal 22 settembre 1973 e Assistente fino al 3 novembre 1975. Accertamento di grado A, e resta cronologia.</w:t>
      </w:r>
    </w:p>
    <w:p>
      <w:pPr>
        <w:spacing w:after="120" w:line="276"/>
        <w:jc w:val="both"/>
      </w:pPr>
      <w:r>
        <w:rPr>
          <w:rFonts w:ascii="Barlow Semi Condensed" w:cs="Barlow Semi Condensed" w:eastAsia="Barlow Semi Condensed" w:hAnsi="Barlow Semi Condensed"/>
          <w:b/>
          <w:bCs/>
          <w:sz w:val="24"/>
          <w:szCs w:val="24"/>
        </w:rPr>
        <w:t xml:space="preserve">2801 · Il Capitolo IV tace il nome.</w:t>
      </w:r>
      <w:r>
        <w:rPr>
          <w:rFonts w:ascii="Barlow Semi Condensed" w:cs="Barlow Semi Condensed" w:eastAsia="Barlow Semi Condensed" w:hAnsi="Barlow Semi Condensed"/>
          <w:sz w:val="24"/>
          <w:szCs w:val="24"/>
        </w:rPr>
        <w:t xml:space="preserve"> Il capitolo sulla crisi cipriota ricostruisce le due tornate di Ginevra — la Dichiarazione del 30 luglio 1974 fra i ministri delle tre potenze garanti dopo trattative dal 25 al 30 luglio, e la ripresa dall'8 agosto con i rappresentanti delle due comunità — senza nominare alcun responsabile americano. Non è reticenza: il capitolo lavora su fonti cipriote, su UNFICYP e sul volume XXX, e lì si ferma.</w:t>
      </w:r>
    </w:p>
    <w:p>
      <w:pPr>
        <w:spacing w:after="120" w:line="276"/>
        <w:jc w:val="both"/>
      </w:pPr>
      <w:r>
        <w:rPr>
          <w:rFonts w:ascii="Barlow Semi Condensed" w:cs="Barlow Semi Condensed" w:eastAsia="Barlow Semi Condensed" w:hAnsi="Barlow Semi Condensed"/>
          <w:b/>
          <w:bCs/>
          <w:sz w:val="24"/>
          <w:szCs w:val="24"/>
        </w:rPr>
        <w:t xml:space="preserve">2802 · Ginevra è un tavolo a tre.</w:t>
      </w:r>
      <w:r>
        <w:rPr>
          <w:rFonts w:ascii="Barlow Semi Condensed" w:cs="Barlow Semi Condensed" w:eastAsia="Barlow Semi Condensed" w:hAnsi="Barlow Semi Condensed"/>
          <w:sz w:val="24"/>
          <w:szCs w:val="24"/>
        </w:rPr>
        <w:t xml:space="preserve"> Il formato negoziale di Ginevra fu tripartito e fondato sulla risoluzione 353 del Consiglio di Sicurezza: vi sedettero Grecia, Turchia e Regno Unito come potenze garanti. Gli Stati Uniti non erano garanti, come non lo era l'Italia. Ne segue che un'azione americana, se vi fu, non è registrata negli atti di quel tavolo ma nella corrispondenza bilaterale: cambia radicalmente la sede in cui va cercata e il costo di cercarla.</w:t>
      </w:r>
    </w:p>
    <w:p>
      <w:pPr>
        <w:spacing w:after="120" w:line="276"/>
        <w:jc w:val="both"/>
      </w:pPr>
      <w:r>
        <w:rPr>
          <w:rFonts w:ascii="Barlow Semi Condensed" w:cs="Barlow Semi Condensed" w:eastAsia="Barlow Semi Condensed" w:hAnsi="Barlow Semi Condensed"/>
          <w:b/>
          <w:bCs/>
          <w:sz w:val="24"/>
          <w:szCs w:val="24"/>
        </w:rPr>
        <w:t xml:space="preserve">2803 · Quali documenti del volume XXX.</w:t>
      </w:r>
      <w:r>
        <w:rPr>
          <w:rFonts w:ascii="Barlow Semi Condensed" w:cs="Barlow Semi Condensed" w:eastAsia="Barlow Semi Condensed" w:hAnsi="Barlow Semi Condensed"/>
          <w:sz w:val="24"/>
          <w:szCs w:val="24"/>
        </w:rPr>
        <w:t xml:space="preserve"> Quesito preciso all'Office of the Historian: nel volume XXX dei Foreign Relations 1969-1976, «Greece; Cyprus; Turkey, 1973-1976», curato da Laurie Van Hook sotto la direzione di Edward C. Keefer e pubblicato nel 2007, quali documenti dei mesi di luglio e agosto 1974 rechino il Segretario di Stato come autore, firmatario o interlocutore verbalizzato. Il corpus cita quel volume in quattro punti e non ne ha compiuto lo spoglio nominativo.</w:t>
      </w:r>
    </w:p>
    <w:p>
      <w:pPr>
        <w:spacing w:after="120" w:line="276"/>
        <w:jc w:val="both"/>
      </w:pPr>
      <w:r>
        <w:rPr>
          <w:rFonts w:ascii="Barlow Semi Condensed" w:cs="Barlow Semi Condensed" w:eastAsia="Barlow Semi Condensed" w:hAnsi="Barlow Semi Condensed"/>
          <w:b/>
          <w:bCs/>
          <w:sz w:val="24"/>
          <w:szCs w:val="24"/>
        </w:rPr>
        <w:t xml:space="preserve">2804 · I memoranda della Ford Library.</w:t>
      </w:r>
      <w:r>
        <w:rPr>
          <w:rFonts w:ascii="Barlow Semi Condensed" w:cs="Barlow Semi Condensed" w:eastAsia="Barlow Semi Condensed" w:hAnsi="Barlow Semi Condensed"/>
          <w:sz w:val="24"/>
          <w:szCs w:val="24"/>
        </w:rPr>
        <w:t xml:space="preserve"> Bersaglio ad alto rendimento e costo contenuto: la serie dei memoranda of conversation del consigliere per la sicurezza nazionale presso la Gerald R. Ford Presidential Library, la stessa che conserva i documenti 1552802 e 1552806 già acquisiti dal corpus, per i mesi di agosto e settembre 1974. Il quesito è se vi figurino sedute sulla crisi cipriota, con quale ordine del giorno e con quali presenti.</w:t>
      </w:r>
    </w:p>
    <w:p>
      <w:pPr>
        <w:spacing w:after="120" w:line="276"/>
        <w:jc w:val="both"/>
      </w:pPr>
      <w:r>
        <w:rPr>
          <w:rFonts w:ascii="Barlow Semi Condensed" w:cs="Barlow Semi Condensed" w:eastAsia="Barlow Semi Condensed" w:hAnsi="Barlow Semi Condensed"/>
          <w:b/>
          <w:bCs/>
          <w:sz w:val="24"/>
          <w:szCs w:val="24"/>
        </w:rPr>
        <w:t xml:space="preserve">2805 · La tesi terziaria sull'assenso americano.</w:t>
      </w:r>
      <w:r>
        <w:rPr>
          <w:rFonts w:ascii="Barlow Semi Condensed" w:cs="Barlow Semi Condensed" w:eastAsia="Barlow Semi Condensed" w:hAnsi="Barlow Semi Condensed"/>
          <w:sz w:val="24"/>
          <w:szCs w:val="24"/>
        </w:rPr>
        <w:t xml:space="preserve"> Circola in pubblicistica la tesi di un assenso o di un'acquiescenza statunitense al colpo di Stato del 15 luglio 1974 a Nicosia. Il territorio non la contiene in alcuna forma, e questa serie la colloca al terzo piano: affermazione terziaria priva di riscontro nel corpus. Non si promuove, non si smentisce e non si utilizza: si dichiara circolante e si indica per iscritto ciò che la deciderebbe.</w:t>
      </w:r>
    </w:p>
    <w:p>
      <w:pPr>
        <w:spacing w:after="120" w:line="276"/>
        <w:jc w:val="both"/>
      </w:pPr>
      <w:r>
        <w:rPr>
          <w:rFonts w:ascii="Barlow Semi Condensed" w:cs="Barlow Semi Condensed" w:eastAsia="Barlow Semi Condensed" w:hAnsi="Barlow Semi Condensed"/>
          <w:b/>
          <w:bCs/>
          <w:sz w:val="24"/>
          <w:szCs w:val="24"/>
        </w:rPr>
        <w:t xml:space="preserve">2806 · Che cosa deciderebbe quella tesi.</w:t>
      </w:r>
      <w:r>
        <w:rPr>
          <w:rFonts w:ascii="Barlow Semi Condensed" w:cs="Barlow Semi Condensed" w:eastAsia="Barlow Semi Condensed" w:hAnsi="Barlow Semi Condensed"/>
          <w:sz w:val="24"/>
          <w:szCs w:val="24"/>
        </w:rPr>
        <w:t xml:space="preserve"> La deciderebbe un documento di provenienza — istruzione, verbale, telegramma con protocollo — che nomini insieme un responsabile americano e l'iniziativa cipriota del 15 luglio 1974, conservato in fondo desecretato e non nella parafrasi che ne circola. È il test che il corpus impone distinguendo omologia da analogia: dalla somiglianza degli esiti non si risale mai all'antenato comune, e l'unica prova ammessa nomina la controparte.</w:t>
      </w:r>
    </w:p>
    <w:p>
      <w:pPr>
        <w:spacing w:after="120" w:line="276"/>
        <w:jc w:val="both"/>
      </w:pPr>
      <w:r>
        <w:rPr>
          <w:rFonts w:ascii="Barlow Semi Condensed" w:cs="Barlow Semi Condensed" w:eastAsia="Barlow Semi Condensed" w:hAnsi="Barlow Semi Condensed"/>
          <w:b/>
          <w:bCs/>
          <w:sz w:val="24"/>
          <w:szCs w:val="24"/>
        </w:rPr>
        <w:t xml:space="preserve">2807 · Le divergenze numeriche non toccano il nome.</w:t>
      </w:r>
      <w:r>
        <w:rPr>
          <w:rFonts w:ascii="Barlow Semi Condensed" w:cs="Barlow Semi Condensed" w:eastAsia="Barlow Semi Condensed" w:hAnsi="Barlow Semi Condensed"/>
          <w:sz w:val="24"/>
          <w:szCs w:val="24"/>
        </w:rPr>
        <w:t xml:space="preserve"> Il Capitolo IV riporta con scrupolo le forbici: territorio occupato al trentasei per cento secondo le fonti cipriote, attorno al quaranta secondo il documento 194 del volume XXX, trentotto secondo altre; centocinquantamila profughi, fino a centosessantaduemila secondo il governo di Cipro e l'Internal Displacement Monitoring Centre, sessantamila turco-ciprioti in senso inverso. Nessuna di queste divergenze coinvolge il nome studiato, e nessuna va usata per evocarlo obliquamente.</w:t>
      </w:r>
    </w:p>
    <w:p>
      <w:pPr>
        <w:spacing w:after="120" w:line="276"/>
        <w:jc w:val="both"/>
      </w:pPr>
      <w:r>
        <w:rPr>
          <w:rFonts w:ascii="Barlow Semi Condensed" w:cs="Barlow Semi Condensed" w:eastAsia="Barlow Semi Condensed" w:hAnsi="Barlow Semi Condensed"/>
          <w:b/>
          <w:bCs/>
          <w:sz w:val="24"/>
          <w:szCs w:val="24"/>
        </w:rPr>
        <w:t xml:space="preserve">2808 · Manca anche il termine italiano.</w:t>
      </w:r>
      <w:r>
        <w:rPr>
          <w:rFonts w:ascii="Barlow Semi Condensed" w:cs="Barlow Semi Condensed" w:eastAsia="Barlow Semi Condensed" w:hAnsi="Barlow Semi Condensed"/>
          <w:sz w:val="24"/>
          <w:szCs w:val="24"/>
        </w:rPr>
        <w:t xml:space="preserve"> Il capitolo dichiara di non aver reperito dichiarazioni testuali di Moro su Cipro fra luglio e novembre 1974. Ne discende una conseguenza che questa serie deve scrivere per intero: mancano entrambi i termini del confronto, non uno solo. Senza le parole italiane e senza un documento americano che le riguardi, il nesso non è debole: è inesistente allo stato degli atti, e va dichiarato con questa formula.</w:t>
      </w:r>
    </w:p>
    <w:p>
      <w:pPr>
        <w:spacing w:after="120" w:line="276"/>
        <w:jc w:val="both"/>
      </w:pPr>
      <w:r>
        <w:rPr>
          <w:rFonts w:ascii="Barlow Semi Condensed" w:cs="Barlow Semi Condensed" w:eastAsia="Barlow Semi Condensed" w:hAnsi="Barlow Semi Condensed"/>
          <w:b/>
          <w:bCs/>
          <w:sz w:val="24"/>
          <w:szCs w:val="24"/>
        </w:rPr>
        <w:t xml:space="preserve">2809 · Il collo di bottiglia parlamentare.</w:t>
      </w:r>
      <w:r>
        <w:rPr>
          <w:rFonts w:ascii="Barlow Semi Condensed" w:cs="Barlow Semi Condensed" w:eastAsia="Barlow Semi Condensed" w:hAnsi="Barlow Semi Condensed"/>
          <w:sz w:val="24"/>
          <w:szCs w:val="24"/>
        </w:rPr>
        <w:t xml:space="preserve"> La banca dati del sindacato ispettivo copre soltanto dalla settima legislatura, cioè dal 5 luglio 1976: per il 1974 occorre lo spoglio diretto dei resoconti stenografici a stampa di Camera e Senato. È il collo di bottiglia che il Capitolo XI dichiara per l'obiettivo prioritario sulle dichiarazioni cipriote, e vale identico per ogni ricerca nominativa sul nome studiato negli atti parlamentari italiani di quell'anno.</w:t>
      </w:r>
    </w:p>
    <w:p>
      <w:pPr>
        <w:spacing w:after="120" w:line="276"/>
        <w:jc w:val="both"/>
      </w:pPr>
      <w:r>
        <w:rPr>
          <w:rFonts w:ascii="Barlow Semi Condensed" w:cs="Barlow Semi Condensed" w:eastAsia="Barlow Semi Condensed" w:hAnsi="Barlow Semi Condensed"/>
          <w:b/>
          <w:bCs/>
          <w:sz w:val="24"/>
          <w:szCs w:val="24"/>
        </w:rPr>
        <w:t xml:space="preserve">2810 · La seduta del 28 febbraio 1974.</w:t>
      </w:r>
      <w:r>
        <w:rPr>
          <w:rFonts w:ascii="Barlow Semi Condensed" w:cs="Barlow Semi Condensed" w:eastAsia="Barlow Semi Condensed" w:hAnsi="Barlow Semi Condensed"/>
          <w:sz w:val="24"/>
          <w:szCs w:val="24"/>
        </w:rPr>
        <w:t xml:space="preserve"> Il Capitolo XI segnala un riferimento a una seduta della Commissione esteri della Camera del 28 febbraio 1974, citata nella letteratura su Moro e il Mediterraneo, e la indica come via da percorrere. Il bersaglio va esteso: reperito il resoconto, verificare se vi compaiano la Grecia, Cipro o interlocutori americani, e con quali parole. È il documento dovuto di cui parla il blocco 10 del manuale investigativo.</w:t>
      </w:r>
    </w:p>
    <w:p>
      <w:pPr>
        <w:spacing w:after="120" w:line="276"/>
        <w:jc w:val="both"/>
      </w:pPr>
      <w:r>
        <w:rPr>
          <w:rFonts w:ascii="Barlow Semi Condensed" w:cs="Barlow Semi Condensed" w:eastAsia="Barlow Semi Condensed" w:hAnsi="Barlow Semi Condensed"/>
          <w:b/>
          <w:bCs/>
          <w:sz w:val="24"/>
          <w:szCs w:val="24"/>
        </w:rPr>
        <w:t xml:space="preserve">2811 · L'Italicus e la regola della contemporaneità.</w:t>
      </w:r>
      <w:r>
        <w:rPr>
          <w:rFonts w:ascii="Barlow Semi Condensed" w:cs="Barlow Semi Condensed" w:eastAsia="Barlow Semi Condensed" w:hAnsi="Barlow Semi Condensed"/>
          <w:sz w:val="24"/>
          <w:szCs w:val="24"/>
        </w:rPr>
        <w:t xml:space="preserve"> La contemporaneità fra la crisi cipriota e l'attentato all'Italicus del 4 agosto 1974 è registrata dal Capitolo IV e qualificata come mera contemporaneità. La regola va estesa esplicitamente: che nell'estate 1974 il nome studiato fosse in carica mentre in Italia accadevano quei fatti è calendario, e il calendario non genera catene causali. Il blocco 14 del manuale prescrive la tavola cronologica prima di ogni interpretazione.</w:t>
      </w:r>
    </w:p>
    <w:p>
      <w:pPr>
        <w:spacing w:after="120" w:line="276"/>
        <w:jc w:val="both"/>
      </w:pPr>
      <w:r>
        <w:rPr>
          <w:rFonts w:ascii="Barlow Semi Condensed" w:cs="Barlow Semi Condensed" w:eastAsia="Barlow Semi Condensed" w:hAnsi="Barlow Semi Condensed"/>
          <w:b/>
          <w:bCs/>
          <w:sz w:val="24"/>
          <w:szCs w:val="24"/>
        </w:rPr>
        <w:t xml:space="preserve">2812 · Le tre date dell'agosto e del settembre.</w:t>
      </w:r>
      <w:r>
        <w:rPr>
          <w:rFonts w:ascii="Barlow Semi Condensed" w:cs="Barlow Semi Condensed" w:eastAsia="Barlow Semi Condensed" w:hAnsi="Barlow Semi Condensed"/>
          <w:sz w:val="24"/>
          <w:szCs w:val="24"/>
        </w:rPr>
        <w:t xml:space="preserve"> Tre date del corpus si allineano in quarantadue giorni: 14 agosto 1974, ritiro greco dalla struttura militare integrata; 30 agosto 1974, telegramma che include l'Italia fra gli alleati da consultare; 25 settembre 1974, colloquio dello Studio Ovale in cui la Grecia è nominata fra i rischi di contagio. È convergenza entro la stessa cornice, dunque secondo piano, e non diventa primo piano per effetto dell'allineamento.</w:t>
      </w:r>
    </w:p>
    <w:p>
      <w:pPr>
        <w:spacing w:after="120" w:line="276"/>
        <w:jc w:val="both"/>
      </w:pPr>
      <w:r>
        <w:rPr>
          <w:rFonts w:ascii="Barlow Semi Condensed" w:cs="Barlow Semi Condensed" w:eastAsia="Barlow Semi Condensed" w:hAnsi="Barlow Semi Condensed"/>
          <w:b/>
          <w:bCs/>
          <w:sz w:val="24"/>
          <w:szCs w:val="24"/>
        </w:rPr>
        <w:t xml:space="preserve">2813 · Il documento 23 e la firma.</w:t>
      </w:r>
      <w:r>
        <w:rPr>
          <w:rFonts w:ascii="Barlow Semi Condensed" w:cs="Barlow Semi Condensed" w:eastAsia="Barlow Semi Condensed" w:hAnsi="Barlow Semi Condensed"/>
          <w:sz w:val="24"/>
          <w:szCs w:val="24"/>
        </w:rPr>
        <w:t xml:space="preserve"> Il documento 23 del volume XXX è un telegramma del Dipartimento di Stato del 30 agosto 1974 alla missione presso la NATO: per prassi i telegrammi dipartimentali recano nella riga finale il nome del Segretario di Stato. Il Capitolo V non lo dice e il corpus non l'ha verificato. Quesito puntuale e a costo nullo: leggere la riga di firma nell'edizione dell'Office of the Historian e verbalizzarne l'esito.</w:t>
      </w:r>
    </w:p>
    <w:p>
      <w:pPr>
        <w:spacing w:after="120" w:line="276"/>
        <w:jc w:val="both"/>
      </w:pPr>
      <w:r>
        <w:rPr>
          <w:rFonts w:ascii="Barlow Semi Condensed" w:cs="Barlow Semi Condensed" w:eastAsia="Barlow Semi Condensed" w:hAnsi="Barlow Semi Condensed"/>
          <w:b/>
          <w:bCs/>
          <w:sz w:val="24"/>
          <w:szCs w:val="24"/>
        </w:rPr>
        <w:t xml:space="preserve">2814 · La firma non è la redazione.</w:t>
      </w:r>
      <w:r>
        <w:rPr>
          <w:rFonts w:ascii="Barlow Semi Condensed" w:cs="Barlow Semi Condensed" w:eastAsia="Barlow Semi Condensed" w:hAnsi="Barlow Semi Condensed"/>
          <w:sz w:val="24"/>
          <w:szCs w:val="24"/>
        </w:rPr>
        <w:t xml:space="preserve"> Regola di lettura da fissare prima di eseguire quel quesito: nella prassi del Dipartimento di Stato la riga di firma di un telegramma indica l'autorità che lo emana, non la mano che lo scrisse né la presenza del titolare alla stesura. Un telegramma firmato dal Segretario prova che l'ufficio agì in suo nome; non prova un atto personale. Confondere le due cose fabbrica un piano 1 falso.</w:t>
      </w:r>
    </w:p>
    <w:p>
      <w:pPr>
        <w:spacing w:after="120" w:line="276"/>
        <w:jc w:val="both"/>
      </w:pPr>
      <w:r>
        <w:rPr>
          <w:rFonts w:ascii="Barlow Semi Condensed" w:cs="Barlow Semi Condensed" w:eastAsia="Barlow Semi Condensed" w:hAnsi="Barlow Semi Condensed"/>
          <w:b/>
          <w:bCs/>
          <w:sz w:val="24"/>
          <w:szCs w:val="24"/>
        </w:rPr>
        <w:t xml:space="preserve">2815 · Il documento 25 e il rilievo belga.</w:t>
      </w:r>
      <w:r>
        <w:rPr>
          <w:rFonts w:ascii="Barlow Semi Condensed" w:cs="Barlow Semi Condensed" w:eastAsia="Barlow Semi Condensed" w:hAnsi="Barlow Semi Condensed"/>
          <w:sz w:val="24"/>
          <w:szCs w:val="24"/>
        </w:rPr>
        <w:t xml:space="preserve"> Il documento 25 del volume XXX è un telegramma della missione statunitense presso la NATO del 16 settembre 1974: attesta il ritiro di tutte le unità greche dall'assegnazione all'Alleanza con effetto dal 14 agosto e registra l'osservazione del rappresentante belga de Staercke sul fatto curioso che i greci non avessero ritirato i propri rappresentanti dal Comitato Militare. Nel resoconto del corpus non vi compare alcun nome americano di vertice.</w:t>
      </w:r>
    </w:p>
    <w:p>
      <w:pPr>
        <w:spacing w:after="120" w:line="276"/>
        <w:jc w:val="both"/>
      </w:pPr>
      <w:r>
        <w:rPr>
          <w:rFonts w:ascii="Barlow Semi Condensed" w:cs="Barlow Semi Condensed" w:eastAsia="Barlow Semi Condensed" w:hAnsi="Barlow Semi Condensed"/>
          <w:b/>
          <w:bCs/>
          <w:sz w:val="24"/>
          <w:szCs w:val="24"/>
        </w:rPr>
        <w:t xml:space="preserve">2816 · L'inclusione dell'Italia, e il suo limite.</w:t>
      </w:r>
      <w:r>
        <w:rPr>
          <w:rFonts w:ascii="Barlow Semi Condensed" w:cs="Barlow Semi Condensed" w:eastAsia="Barlow Semi Condensed" w:hAnsi="Barlow Semi Condensed"/>
          <w:sz w:val="24"/>
          <w:szCs w:val="24"/>
        </w:rPr>
        <w:t xml:space="preserve"> L'istruzione contenuta nel documento 23 è di avviare discussioni bilaterali informali con il Segretario generale Luns e con alleati selezionati — Regno Unito, Repubblica Federale, Italia, Belgio o Paesi Bassi — escludendo la Francia perché fuori dal Defence Planning Committee. Attesta l'inclusione dell'Italia nel novero degli interlocutori privilegiati; non attesta che le discussioni si siano tenute, né chi le condusse, né che cosa vi disse la parte italiana.</w:t>
      </w:r>
    </w:p>
    <w:p>
      <w:pPr>
        <w:spacing w:after="120" w:line="276"/>
        <w:jc w:val="both"/>
      </w:pPr>
      <w:r>
        <w:rPr>
          <w:rFonts w:ascii="Barlow Semi Condensed" w:cs="Barlow Semi Condensed" w:eastAsia="Barlow Semi Condensed" w:hAnsi="Barlow Semi Condensed"/>
          <w:b/>
          <w:bCs/>
          <w:sz w:val="24"/>
          <w:szCs w:val="24"/>
        </w:rPr>
        <w:t xml:space="preserve">2817 · Stato Zero sul contenuto italiano.</w:t>
      </w:r>
      <w:r>
        <w:rPr>
          <w:rFonts w:ascii="Barlow Semi Condensed" w:cs="Barlow Semi Condensed" w:eastAsia="Barlow Semi Condensed" w:hAnsi="Barlow Semi Condensed"/>
          <w:sz w:val="24"/>
          <w:szCs w:val="24"/>
        </w:rPr>
        <w:t xml:space="preserve"> Il contenuto della posizione italiana sul ritiro greco dalla NATO è Stato Zero dichiarato dal Capitolo V. Le sedi che lo chiuderebbero sono la documentazione della Rappresentanza permanente d'Italia presso l'Alleanza per agosto e settembre 1974, la serie corrispondente della Farnesina e il NATO Archives Online. Resta il bersaglio a più alto rendimento del teatro greco, come già registrato al blocco 345 della prima campagna.</w:t>
      </w:r>
    </w:p>
    <w:p>
      <w:pPr>
        <w:spacing w:after="120" w:line="276"/>
        <w:jc w:val="both"/>
      </w:pPr>
      <w:r>
        <w:rPr>
          <w:rFonts w:ascii="Barlow Semi Condensed" w:cs="Barlow Semi Condensed" w:eastAsia="Barlow Semi Condensed" w:hAnsi="Barlow Semi Condensed"/>
          <w:b/>
          <w:bCs/>
          <w:sz w:val="24"/>
          <w:szCs w:val="24"/>
        </w:rPr>
        <w:t xml:space="preserve">2818 · Che cosa smentirebbe il ponte atlantico.</w:t>
      </w:r>
      <w:r>
        <w:rPr>
          <w:rFonts w:ascii="Barlow Semi Condensed" w:cs="Barlow Semi Condensed" w:eastAsia="Barlow Semi Condensed" w:hAnsi="Barlow Semi Condensed"/>
          <w:sz w:val="24"/>
          <w:szCs w:val="24"/>
        </w:rPr>
        <w:t xml:space="preserve"> Il nesso ipotizzabile, cioè che la posizione italiana sul ritiro greco fosse concordata con Washington, cadrebbe se lo spoglio della corrispondenza della Rappresentanza presso l'Alleanza per quei due mesi risultasse privo di ogni traccia di consultazione bilaterale. Il doppio esito è garantito secondo il blocco 12 del manuale: o accertamento nuovo, o caduta documentale di un'aspettativa che nessun documento del corpus oggi sostiene.</w:t>
      </w:r>
    </w:p>
    <w:p>
      <w:pPr>
        <w:spacing w:after="120" w:line="276"/>
        <w:jc w:val="both"/>
      </w:pPr>
      <w:r>
        <w:rPr>
          <w:rFonts w:ascii="Barlow Semi Condensed" w:cs="Barlow Semi Condensed" w:eastAsia="Barlow Semi Condensed" w:hAnsi="Barlow Semi Condensed"/>
          <w:b/>
          <w:bCs/>
          <w:sz w:val="24"/>
          <w:szCs w:val="24"/>
        </w:rPr>
        <w:t xml:space="preserve">2819 · Il rientro del 1980 è fuori perimetro.</w:t>
      </w:r>
      <w:r>
        <w:rPr>
          <w:rFonts w:ascii="Barlow Semi Condensed" w:cs="Barlow Semi Condensed" w:eastAsia="Barlow Semi Condensed" w:hAnsi="Barlow Semi Condensed"/>
          <w:sz w:val="24"/>
          <w:szCs w:val="24"/>
        </w:rPr>
        <w:t xml:space="preserve"> La Grecia rientrò nella struttura militare integrata soltanto nell'ottobre 1980, sotto la premiership Rallis e con la mediazione del generale Bernard Rogers, comandante supremo alleato in Europa. La data cade tre anni e nove mesi dopo la fine del mandato di Segretario di Stato, il 20 gennaio 1977, e due anni e mezzo dopo la morte di Moro. Segnarla serve a chiudere il perimetro, non ad allargarlo.</w:t>
      </w:r>
    </w:p>
    <w:p>
      <w:pPr>
        <w:spacing w:after="120" w:line="276"/>
        <w:jc w:val="both"/>
      </w:pPr>
      <w:r>
        <w:rPr>
          <w:rFonts w:ascii="Barlow Semi Condensed" w:cs="Barlow Semi Condensed" w:eastAsia="Barlow Semi Condensed" w:hAnsi="Barlow Semi Condensed"/>
          <w:b/>
          <w:bCs/>
          <w:sz w:val="24"/>
          <w:szCs w:val="24"/>
        </w:rPr>
        <w:t xml:space="preserve">2820 · Il telegramma del 2 agosto 1975 (serie XXXVII).</w:t>
      </w:r>
      <w:r>
        <w:rPr>
          <w:rFonts w:ascii="Barlow Semi Condensed" w:cs="Barlow Semi Condensed" w:eastAsia="Barlow Semi Condensed" w:hAnsi="Barlow Semi Condensed"/>
          <w:sz w:val="24"/>
          <w:szCs w:val="24"/>
        </w:rPr>
        <w:t xml:space="preserve"> Torna al centro l'unico piano 1 del territorio: volume XXXIX dei Foreign Relations, documento 334, telegramma del 2 agosto 1975. Grado A come testo edito, poiché è documento pubblicato con segnatura verificabile presso l'Office of the Historian. Attesta la sottoscrizione dell'Atto finale da parte di trentacinque capi di Stato o di governo e descrive la cerimonia conclusiva della terza fase della Conferenza di Helsinki.</w:t>
      </w:r>
    </w:p>
    <w:p>
      <w:pPr>
        <w:spacing w:after="120" w:line="276"/>
        <w:jc w:val="both"/>
      </w:pPr>
      <w:r>
        <w:rPr>
          <w:rFonts w:ascii="Barlow Semi Condensed" w:cs="Barlow Semi Condensed" w:eastAsia="Barlow Semi Condensed" w:hAnsi="Barlow Semi Condensed"/>
          <w:b/>
          <w:bCs/>
          <w:sz w:val="24"/>
          <w:szCs w:val="24"/>
        </w:rPr>
        <w:t xml:space="preserve">2821 · La duplice qualità di Moro (serie XXXVII).</w:t>
      </w:r>
      <w:r>
        <w:rPr>
          <w:rFonts w:ascii="Barlow Semi Condensed" w:cs="Barlow Semi Condensed" w:eastAsia="Barlow Semi Condensed" w:hAnsi="Barlow Semi Condensed"/>
          <w:sz w:val="24"/>
          <w:szCs w:val="24"/>
        </w:rPr>
        <w:t xml:space="preserve"> Il 1° agosto 1975 Moro sottoscrisse l'Atto finale come presidente del Consiglio e come presidente di turno del Consiglio delle Comunità europee, detenendo l'Italia la presidenza nel secondo semestre. Non era più ministro degli Esteri dal 23 novembre 1974. Chi legge la firma di Helsinki come atto del ministro sbaglia la carica, e l'attribuzione corretta è condizione preliminare di qualunque confronto con la controparte americana.</w:t>
      </w:r>
    </w:p>
    <w:p>
      <w:pPr>
        <w:spacing w:after="120" w:line="276"/>
        <w:jc w:val="both"/>
      </w:pPr>
      <w:r>
        <w:rPr>
          <w:rFonts w:ascii="Barlow Semi Condensed" w:cs="Barlow Semi Condensed" w:eastAsia="Barlow Semi Condensed" w:hAnsi="Barlow Semi Condensed"/>
          <w:b/>
          <w:bCs/>
          <w:sz w:val="24"/>
          <w:szCs w:val="24"/>
        </w:rPr>
        <w:t xml:space="preserve">2822 · Una divergenza interna al corpus.</w:t>
      </w:r>
      <w:r>
        <w:rPr>
          <w:rFonts w:ascii="Barlow Semi Condensed" w:cs="Barlow Semi Condensed" w:eastAsia="Barlow Semi Condensed" w:hAnsi="Barlow Semi Condensed"/>
          <w:sz w:val="24"/>
          <w:szCs w:val="24"/>
        </w:rPr>
        <w:t xml:space="preserve"> Sul medesimo evento il corpus reca due statuti diversi. Il dossier greco cita il telegramma del 2 agosto 1975 come fonte primaria; il dossier portoghese-vaticano riferisce, su fonte giornalistica italiana, che Moro ottenne il coinvolgimento formale della Comunità nella firma sfidando l'insofferenza del Segretario di Stato. Formula d'autore contro documento edito: la divergenza si riporta e non si scioglie a favore dell'una o dell'altra.</w:t>
      </w:r>
    </w:p>
    <w:p>
      <w:pPr>
        <w:spacing w:after="120" w:line="276"/>
        <w:jc w:val="both"/>
      </w:pPr>
      <w:r>
        <w:rPr>
          <w:rFonts w:ascii="Barlow Semi Condensed" w:cs="Barlow Semi Condensed" w:eastAsia="Barlow Semi Condensed" w:hAnsi="Barlow Semi Condensed"/>
          <w:b/>
          <w:bCs/>
          <w:sz w:val="24"/>
          <w:szCs w:val="24"/>
        </w:rPr>
        <w:t xml:space="preserve">2823 · Come si scioglierebbe quella divergenza.</w:t>
      </w:r>
      <w:r>
        <w:rPr>
          <w:rFonts w:ascii="Barlow Semi Condensed" w:cs="Barlow Semi Condensed" w:eastAsia="Barlow Semi Condensed" w:hAnsi="Barlow Semi Condensed"/>
          <w:sz w:val="24"/>
          <w:szCs w:val="24"/>
        </w:rPr>
        <w:t xml:space="preserve"> Si scioglierebbe in un modo soltanto: reperendo un documento coevo — verbale di delegazione, telegramma, appunto preparatorio — che registri una posizione americana contraria al coinvolgimento comunitario nella firma di Helsinki. Finché quel documento non compare, l'insofferenza resta caratterizzazione retrospettiva di un giornale e non fatto accertato, e il corpus la conserva come tale, senza adottarla e senza cancellarla dal registro delle divergenze.</w:t>
      </w:r>
    </w:p>
    <w:p>
      <w:pPr>
        <w:spacing w:after="120" w:line="276"/>
        <w:jc w:val="both"/>
      </w:pPr>
      <w:r>
        <w:rPr>
          <w:rFonts w:ascii="Barlow Semi Condensed" w:cs="Barlow Semi Condensed" w:eastAsia="Barlow Semi Condensed" w:hAnsi="Barlow Semi Condensed"/>
          <w:b/>
          <w:bCs/>
          <w:sz w:val="24"/>
          <w:szCs w:val="24"/>
        </w:rPr>
        <w:t xml:space="preserve">2824 · Helsinki, i giorni e le sedi.</w:t>
      </w:r>
      <w:r>
        <w:rPr>
          <w:rFonts w:ascii="Barlow Semi Condensed" w:cs="Barlow Semi Condensed" w:eastAsia="Barlow Semi Condensed" w:hAnsi="Barlow Semi Condensed"/>
          <w:sz w:val="24"/>
          <w:szCs w:val="24"/>
        </w:rPr>
        <w:t xml:space="preserve"> Bersaglio operativo e circoscritto: i memoranda of conversation della Ford Library per la trasferta di Helsinki, dal 29 luglio al 2 agosto 1975. Il quesito è se in quei giorni sia verbalizzato un incontro fra la delegazione americana e Moro, e con quale ordine del giorno. Il corpus non lo attesta né lo esclude: Stato Zero puntuale, chiudibile con una richiesta d'inventario alla biblioteca presidenziale.</w:t>
      </w:r>
    </w:p>
    <w:p>
      <w:pPr>
        <w:spacing w:after="120" w:line="276"/>
        <w:jc w:val="both"/>
      </w:pPr>
      <w:r>
        <w:rPr>
          <w:rFonts w:ascii="Barlow Semi Condensed" w:cs="Barlow Semi Condensed" w:eastAsia="Barlow Semi Condensed" w:hAnsi="Barlow Semi Condensed"/>
          <w:b/>
          <w:bCs/>
          <w:sz w:val="24"/>
          <w:szCs w:val="24"/>
        </w:rPr>
        <w:t xml:space="preserve">2825 · Cipro dentro il testo di Helsinki.</w:t>
      </w:r>
      <w:r>
        <w:rPr>
          <w:rFonts w:ascii="Barlow Semi Condensed" w:cs="Barlow Semi Condensed" w:eastAsia="Barlow Semi Condensed" w:hAnsi="Barlow Semi Condensed"/>
          <w:sz w:val="24"/>
          <w:szCs w:val="24"/>
        </w:rPr>
        <w:t xml:space="preserve"> Dal telegramma del 2 agosto 1975 il Capitolo VI ricava che Cipro fece circolare una dichiarazione interpretativa formale contro la riserva turca sulla rappresentanza, affermando che la partecipazione alla Conferenza si fondava sulla piena eguaglianza degli Stati e che la riserva era priva di effetto. La questione greco-turca fu dunque presente, sia pure ai margini, al tavolo che l'Italia presiedeva per la Comunità.</w:t>
      </w:r>
    </w:p>
    <w:p>
      <w:pPr>
        <w:spacing w:after="120" w:line="276"/>
        <w:jc w:val="both"/>
      </w:pPr>
      <w:r>
        <w:rPr>
          <w:rFonts w:ascii="Barlow Semi Condensed" w:cs="Barlow Semi Condensed" w:eastAsia="Barlow Semi Condensed" w:hAnsi="Barlow Semi Condensed"/>
          <w:b/>
          <w:bCs/>
          <w:sz w:val="24"/>
          <w:szCs w:val="24"/>
        </w:rPr>
        <w:t xml:space="preserve">2826 · Il negoziato che precede la cerimonia.</w:t>
      </w:r>
      <w:r>
        <w:rPr>
          <w:rFonts w:ascii="Barlow Semi Condensed" w:cs="Barlow Semi Condensed" w:eastAsia="Barlow Semi Condensed" w:hAnsi="Barlow Semi Condensed"/>
          <w:sz w:val="24"/>
          <w:szCs w:val="24"/>
        </w:rPr>
        <w:t xml:space="preserve"> La fase negoziale di Ginevra durò dal 18 settembre 1973 al 21 luglio 1975, cioè per intero sotto il mandato di Segretario di Stato iniziato il 22 settembre 1973. Il territorio non reca un solo documento di quella fase. Quesito: negli atti della Conferenza conservati dal Centro di documentazione dell'OSCE a Praga esistono interventi americani sulla questione cipriota o greca, e con quale firma delegatizia.</w:t>
      </w:r>
    </w:p>
    <w:p>
      <w:pPr>
        <w:spacing w:after="120" w:line="276"/>
        <w:jc w:val="both"/>
      </w:pPr>
      <w:r>
        <w:rPr>
          <w:rFonts w:ascii="Barlow Semi Condensed" w:cs="Barlow Semi Condensed" w:eastAsia="Barlow Semi Condensed" w:hAnsi="Barlow Semi Condensed"/>
          <w:b/>
          <w:bCs/>
          <w:sz w:val="24"/>
          <w:szCs w:val="24"/>
        </w:rPr>
        <w:t xml:space="preserve">2827 · Il registro dei seicento delegati.</w:t>
      </w:r>
      <w:r>
        <w:rPr>
          <w:rFonts w:ascii="Barlow Semi Condensed" w:cs="Barlow Semi Condensed" w:eastAsia="Barlow Semi Condensed" w:hAnsi="Barlow Semi Condensed"/>
          <w:sz w:val="24"/>
          <w:szCs w:val="24"/>
        </w:rPr>
        <w:t xml:space="preserve"> Il Capitolo VI dichiara di non aver reperito la composizione della delegazione greca e indica come sede il registro dei circa seicento delegati conservato al Centro di documentazione dell'OSCE a Praga, richiamato dallo studio dell'ICDS. La stessa sede serve a questa serie per un fine diverso e complementare: verificare la composizione nominativa della delegazione statunitense nelle tre fasi, oggi del tutto ignota al corpus.</w:t>
      </w:r>
    </w:p>
    <w:p>
      <w:pPr>
        <w:spacing w:after="120" w:line="276"/>
        <w:jc w:val="both"/>
      </w:pPr>
      <w:r>
        <w:rPr>
          <w:rFonts w:ascii="Barlow Semi Condensed" w:cs="Barlow Semi Condensed" w:eastAsia="Barlow Semi Condensed" w:hAnsi="Barlow Semi Condensed"/>
          <w:b/>
          <w:bCs/>
          <w:sz w:val="24"/>
          <w:szCs w:val="24"/>
        </w:rPr>
        <w:t xml:space="preserve">2828 · I tre cesti e il silenzio greco.</w:t>
      </w:r>
      <w:r>
        <w:rPr>
          <w:rFonts w:ascii="Barlow Semi Condensed" w:cs="Barlow Semi Condensed" w:eastAsia="Barlow Semi Condensed" w:hAnsi="Barlow Semi Condensed"/>
          <w:sz w:val="24"/>
          <w:szCs w:val="24"/>
        </w:rPr>
        <w:t xml:space="preserve"> La posizione greca sui tre cesti — sicurezza; cooperazione economica, scientifica e ambientale; dimensione umana — è esito negativo dichiarato dal Capitolo VI, con sede negli atti della Conferenza e nelle memorie dei protagonisti, fra cui quelle di Luigi Vittorio Ferraris per il versante italiano. Nessun elemento di quel dossier tocca il nome studiato, e la lacuna greca non va colmata con materiale americano.</w:t>
      </w:r>
    </w:p>
    <w:p>
      <w:pPr>
        <w:spacing w:after="120" w:line="276"/>
        <w:jc w:val="both"/>
      </w:pPr>
      <w:r>
        <w:rPr>
          <w:rFonts w:ascii="Barlow Semi Condensed" w:cs="Barlow Semi Condensed" w:eastAsia="Barlow Semi Condensed" w:hAnsi="Barlow Semi Condensed"/>
          <w:b/>
          <w:bCs/>
          <w:sz w:val="24"/>
          <w:szCs w:val="24"/>
        </w:rPr>
        <w:t xml:space="preserve">2829 · La Santa Sede a Helsinki.</w:t>
      </w:r>
      <w:r>
        <w:rPr>
          <w:rFonts w:ascii="Barlow Semi Condensed" w:cs="Barlow Semi Condensed" w:eastAsia="Barlow Semi Condensed" w:hAnsi="Barlow Semi Condensed"/>
          <w:sz w:val="24"/>
          <w:szCs w:val="24"/>
        </w:rPr>
        <w:t xml:space="preserve"> La delegazione della Santa Sede fu guidata da Casaroli e Silvestrini, con divergenza fra le fonti sull'attribuzione dei ruoli e con la lettera di Paolo VI a Casaroli del 25 luglio 1975 a confermare il mandato conclusivo; il contributo caratterizzante fu la proposta sulla libertà religiosa fra i principi dell'Atto finale. Il Capitolo VI dichiara di non aver reperito alcun documento che colleghi quella partecipazione alla questione greca.</w:t>
      </w:r>
    </w:p>
    <w:p>
      <w:pPr>
        <w:spacing w:after="120" w:line="276"/>
        <w:jc w:val="both"/>
      </w:pPr>
      <w:r>
        <w:rPr>
          <w:rFonts w:ascii="Barlow Semi Condensed" w:cs="Barlow Semi Condensed" w:eastAsia="Barlow Semi Condensed" w:hAnsi="Barlow Semi Condensed"/>
          <w:b/>
          <w:bCs/>
          <w:sz w:val="24"/>
          <w:szCs w:val="24"/>
        </w:rPr>
        <w:t xml:space="preserve">2830 · Trentacinque firme non sono un'alleanza.</w:t>
      </w:r>
      <w:r>
        <w:rPr>
          <w:rFonts w:ascii="Barlow Semi Condensed" w:cs="Barlow Semi Condensed" w:eastAsia="Barlow Semi Condensed" w:hAnsi="Barlow Semi Condensed"/>
          <w:sz w:val="24"/>
          <w:szCs w:val="24"/>
        </w:rPr>
        <w:t xml:space="preserve"> Il corpus qualifica come triangolazione certa la convergenza delle firme di Moro, della Santa Sede e della Turchia sull'Atto finale, e il dossier greco aggiunge la Grecia al medesimo elenco di firmatari. La comunanza di ambiente istituzionale resta secondo piano: trentacinque Stati sottoscrissero lo stesso testo, e firmare insieme non è agire insieme. La regola vale per la controparte americana quanto per ogni altra.</w:t>
      </w:r>
    </w:p>
    <w:p>
      <w:pPr>
        <w:spacing w:after="120" w:line="276"/>
        <w:jc w:val="both"/>
      </w:pPr>
      <w:r>
        <w:rPr>
          <w:rFonts w:ascii="Barlow Semi Condensed" w:cs="Barlow Semi Condensed" w:eastAsia="Barlow Semi Condensed" w:hAnsi="Barlow Semi Condensed"/>
          <w:b/>
          <w:bCs/>
          <w:sz w:val="24"/>
          <w:szCs w:val="24"/>
        </w:rPr>
        <w:t xml:space="preserve">2831 · Il 1981 è oltre il perimetro.</w:t>
      </w:r>
      <w:r>
        <w:rPr>
          <w:rFonts w:ascii="Barlow Semi Condensed" w:cs="Barlow Semi Condensed" w:eastAsia="Barlow Semi Condensed" w:hAnsi="Barlow Semi Condensed"/>
          <w:sz w:val="24"/>
          <w:szCs w:val="24"/>
        </w:rPr>
        <w:t xml:space="preserve"> La domanda greca di adesione alle Comunità, datata al 12 giugno 1975 da alcune fonti e al 12 luglio dallo stesso Ministero ellenico secondo la divergenza che il Capitolo VII riporta, apre una sequenza chiusa dal Trattato firmato allo Zappeion il 28 maggio 1979 e dall'ingresso il 1° gennaio 1981. L'intera coda cade dopo il 20 gennaio 1977, quando il nome studiato lasciò il Dipartimento di Stato.</w:t>
      </w:r>
    </w:p>
    <w:p>
      <w:pPr>
        <w:spacing w:after="120" w:line="276"/>
        <w:jc w:val="both"/>
      </w:pPr>
      <w:r>
        <w:rPr>
          <w:rFonts w:ascii="Barlow Semi Condensed" w:cs="Barlow Semi Condensed" w:eastAsia="Barlow Semi Condensed" w:hAnsi="Barlow Semi Condensed"/>
          <w:b/>
          <w:bCs/>
          <w:sz w:val="24"/>
          <w:szCs w:val="24"/>
        </w:rPr>
        <w:t xml:space="preserve">2832 · Karamanlis contro la Commissione.</w:t>
      </w:r>
      <w:r>
        <w:rPr>
          <w:rFonts w:ascii="Barlow Semi Condensed" w:cs="Barlow Semi Condensed" w:eastAsia="Barlow Semi Condensed" w:hAnsi="Barlow Semi Condensed"/>
          <w:sz w:val="24"/>
          <w:szCs w:val="24"/>
        </w:rPr>
        <w:t xml:space="preserve"> Il Capitolo VII documenta che la Commissione propose una fase transitoria di pre-adesione e che Karamanlis si appellò direttamente ai governi dei Nove, Francia e Germania in particolare, ottenendo il rigetto della proposta. È partita interna alla macchina comunitaria, giocata fra un governo candidato e nove capitali europee. Introdurvi un attore atlantico significherebbe aggiungere un vertice che nessuna fonte del capitolo colloca su quel tavolo.</w:t>
      </w:r>
    </w:p>
    <w:p>
      <w:pPr>
        <w:spacing w:after="120" w:line="276"/>
        <w:jc w:val="both"/>
      </w:pPr>
      <w:r>
        <w:rPr>
          <w:rFonts w:ascii="Barlow Semi Condensed" w:cs="Barlow Semi Condensed" w:eastAsia="Barlow Semi Condensed" w:hAnsi="Barlow Semi Condensed"/>
          <w:b/>
          <w:bCs/>
          <w:sz w:val="24"/>
          <w:szCs w:val="24"/>
        </w:rPr>
        <w:t xml:space="preserve">2833 · La posizione italiana sull'adesione greca.</w:t>
      </w:r>
      <w:r>
        <w:rPr>
          <w:rFonts w:ascii="Barlow Semi Condensed" w:cs="Barlow Semi Condensed" w:eastAsia="Barlow Semi Condensed" w:hAnsi="Barlow Semi Condensed"/>
          <w:sz w:val="24"/>
          <w:szCs w:val="24"/>
        </w:rPr>
        <w:t xml:space="preserve"> La posizione italiana specifica sulla domanda greca non è stata isolata nelle fonti reperite: esito negativo dichiarato, con sede duplice nella Farnesina e negli atti comunitari. Poiché manca il termine italiano, manca anche il presupposto per interrogare un eventuale allineamento con Washington. Prima di cercare una convergenza occorre possedere ciò che dovrebbe convergere, e in questo capitolo non lo si possiede in alcuna forma.</w:t>
      </w:r>
    </w:p>
    <w:p>
      <w:pPr>
        <w:spacing w:after="120" w:line="276"/>
        <w:jc w:val="both"/>
      </w:pPr>
      <w:r>
        <w:rPr>
          <w:rFonts w:ascii="Barlow Semi Condensed" w:cs="Barlow Semi Condensed" w:eastAsia="Barlow Semi Condensed" w:hAnsi="Barlow Semi Condensed"/>
          <w:b/>
          <w:bCs/>
          <w:sz w:val="24"/>
          <w:szCs w:val="24"/>
        </w:rPr>
        <w:t xml:space="preserve">2834 · Nessun canale vaticano-greco fino al 1979.</w:t>
      </w:r>
      <w:r>
        <w:rPr>
          <w:rFonts w:ascii="Barlow Semi Condensed" w:cs="Barlow Semi Condensed" w:eastAsia="Barlow Semi Condensed" w:hAnsi="Barlow Semi Condensed"/>
          <w:sz w:val="24"/>
          <w:szCs w:val="24"/>
        </w:rPr>
        <w:t xml:space="preserve"> Le relazioni diplomatiche fra la Grecia e la Santa Sede furono stabilite nel 1979 secondo il Ministero ellenico, nel 1980 secondo la voce enciclopedica dedicata; l'ambasciatore greco risiedette dapprima a Parigi e solo nel 1988 fu aperta un'ambasciata presso la Santa Sede. Per l'intero periodo studiato non esisteva canale bilaterale vaticano-greco, il che esclude alla radice ogni mediazione romana su questo asse.</w:t>
      </w:r>
    </w:p>
    <w:p>
      <w:pPr>
        <w:spacing w:after="120" w:line="276"/>
        <w:jc w:val="both"/>
      </w:pPr>
      <w:r>
        <w:rPr>
          <w:rFonts w:ascii="Barlow Semi Condensed" w:cs="Barlow Semi Condensed" w:eastAsia="Barlow Semi Condensed" w:hAnsi="Barlow Semi Condensed"/>
          <w:b/>
          <w:bCs/>
          <w:sz w:val="24"/>
          <w:szCs w:val="24"/>
        </w:rPr>
        <w:t xml:space="preserve">2835 · Il Patriarcato appartiene ad altro territorio.</w:t>
      </w:r>
      <w:r>
        <w:rPr>
          <w:rFonts w:ascii="Barlow Semi Condensed" w:cs="Barlow Semi Condensed" w:eastAsia="Barlow Semi Condensed" w:hAnsi="Barlow Semi Condensed"/>
          <w:sz w:val="24"/>
          <w:szCs w:val="24"/>
        </w:rPr>
        <w:t xml:space="preserve"> Il Capitolo VIII ricostruisce il disgelo ecumenico — l'abbraccio di Gerusalemme del 5 gennaio 1964, la dichiarazione comune del 7 dicembre 1965 che cancellò le scomuniche del 1054, la morte di Atenagora nel luglio 1972 e la successione di Dimitrios I — ma il Patriarcato ecumenico ha sede a Istanbul. Il suo dossier appartiene perciò al territorio turco della cartella, e lì va triangolato, non qui.</w:t>
      </w:r>
    </w:p>
    <w:p>
      <w:pPr>
        <w:spacing w:after="120" w:line="276"/>
        <w:jc w:val="both"/>
      </w:pPr>
      <w:r>
        <w:rPr>
          <w:rFonts w:ascii="Barlow Semi Condensed" w:cs="Barlow Semi Condensed" w:eastAsia="Barlow Semi Condensed" w:hAnsi="Barlow Semi Condensed"/>
          <w:b/>
          <w:bCs/>
          <w:sz w:val="24"/>
          <w:szCs w:val="24"/>
        </w:rPr>
        <w:t xml:space="preserve">2836 · Stato Zero sulla Chiesa di Grecia.</w:t>
      </w:r>
      <w:r>
        <w:rPr>
          <w:rFonts w:ascii="Barlow Semi Condensed" w:cs="Barlow Semi Condensed" w:eastAsia="Barlow Semi Condensed" w:hAnsi="Barlow Semi Condensed"/>
          <w:sz w:val="24"/>
          <w:szCs w:val="24"/>
        </w:rPr>
        <w:t xml:space="preserve"> Sulla posizione della Chiesa ortodossa di Grecia rispetto al regime militare è dichiarato, al Capitolo VIII, uno Stato Zero parziale, con sede negli studi specialistici sulla deposizione dell'arcivescovo Ieronymos Kotsonis, insediato nel 1967 con l'appoggio del regime, e sulla nomina di Serafeim nel 1974. In quella lacuna dichiarata non compare alcun nome americano, e non va introdotto alcun nome per il solo gusto di riempirla.</w:t>
      </w:r>
    </w:p>
    <w:p>
      <w:pPr>
        <w:spacing w:after="120" w:line="276"/>
        <w:jc w:val="both"/>
      </w:pPr>
      <w:r>
        <w:rPr>
          <w:rFonts w:ascii="Barlow Semi Condensed" w:cs="Barlow Semi Condensed" w:eastAsia="Barlow Semi Condensed" w:hAnsi="Barlow Semi Condensed"/>
          <w:b/>
          <w:bCs/>
          <w:sz w:val="24"/>
          <w:szCs w:val="24"/>
        </w:rPr>
        <w:t xml:space="preserve">2837 · L'appartenenza non è condotta, anche qui.</w:t>
      </w:r>
      <w:r>
        <w:rPr>
          <w:rFonts w:ascii="Barlow Semi Condensed" w:cs="Barlow Semi Condensed" w:eastAsia="Barlow Semi Condensed" w:hAnsi="Barlow Semi Condensed"/>
          <w:sz w:val="24"/>
          <w:szCs w:val="24"/>
        </w:rPr>
        <w:t xml:space="preserve"> La regola di ferro del territorio, secondo cui l'appartenenza di una persona a un'organizzazione non prova una condotta dell'organizzazione, è formulata al Capitolo I per l'ente confessionale e va applicata simmetricamente. Che il nome studiato appartenesse a un'amministrazione, a una scuola dottrinale e a una generazione di governo non fonda alcuna sua condotta verso Atene: la fonda soltanto un atto documentato che lo nomini.</w:t>
      </w:r>
    </w:p>
    <w:p>
      <w:pPr>
        <w:spacing w:after="120" w:line="276"/>
        <w:jc w:val="both"/>
      </w:pPr>
      <w:r>
        <w:rPr>
          <w:rFonts w:ascii="Barlow Semi Condensed" w:cs="Barlow Semi Condensed" w:eastAsia="Barlow Semi Condensed" w:hAnsi="Barlow Semi Condensed"/>
          <w:b/>
          <w:bCs/>
          <w:sz w:val="24"/>
          <w:szCs w:val="24"/>
        </w:rPr>
        <w:t xml:space="preserve">2838 · L'asse confessionale è vuoto per attestazione.</w:t>
      </w:r>
      <w:r>
        <w:rPr>
          <w:rFonts w:ascii="Barlow Semi Condensed" w:cs="Barlow Semi Condensed" w:eastAsia="Barlow Semi Condensed" w:hAnsi="Barlow Semi Condensed"/>
          <w:sz w:val="24"/>
          <w:szCs w:val="24"/>
        </w:rPr>
        <w:t xml:space="preserve"> L'elenco ufficiale dell'ente con le date di inizio del lavoro stabile nei vari Paesi, verificato integralmente dal Capitolo IX, non reca la Grecia ad alcun anno; l'articolo sulle ventitré circoscrizioni regionali, aggiornato al 4 giugno 2024, non la include in alcuna. L'assenza è dunque attestata dalla fonte dell'ente stesso: è assenza reale, e possiede una base documentale positiva che la sostiene.</w:t>
      </w:r>
    </w:p>
    <w:p>
      <w:pPr>
        <w:spacing w:after="120" w:line="276"/>
        <w:jc w:val="both"/>
      </w:pPr>
      <w:r>
        <w:rPr>
          <w:rFonts w:ascii="Barlow Semi Condensed" w:cs="Barlow Semi Condensed" w:eastAsia="Barlow Semi Condensed" w:hAnsi="Barlow Semi Condensed"/>
          <w:b/>
          <w:bCs/>
          <w:sz w:val="24"/>
          <w:szCs w:val="24"/>
        </w:rPr>
        <w:t xml:space="preserve">2839 · Due vuoti di natura diversa.</w:t>
      </w:r>
      <w:r>
        <w:rPr>
          <w:rFonts w:ascii="Barlow Semi Condensed" w:cs="Barlow Semi Condensed" w:eastAsia="Barlow Semi Condensed" w:hAnsi="Barlow Semi Condensed"/>
          <w:sz w:val="24"/>
          <w:szCs w:val="24"/>
        </w:rPr>
        <w:t xml:space="preserve"> Qui sta il perno dell'intera serie. Il vuoto dell'asse confessionale è assenza del mondo, provata dalla fonte dell'ente. Il vuoto sul nome studiato è assenza del corpus: nessuno ha cercato. Confonderli sarebbe l'errore peggiore, perché trasformerebbe una lacuna documentale in prova di estraneità. Il Capitolo X lo dice per la propria materia, e la formula va trasferita qui con il segno rovesciato.</w:t>
      </w:r>
    </w:p>
    <w:p>
      <w:pPr>
        <w:spacing w:after="120" w:line="276"/>
        <w:jc w:val="both"/>
      </w:pPr>
      <w:r>
        <w:rPr>
          <w:rFonts w:ascii="Barlow Semi Condensed" w:cs="Barlow Semi Condensed" w:eastAsia="Barlow Semi Condensed" w:hAnsi="Barlow Semi Condensed"/>
          <w:b/>
          <w:bCs/>
          <w:sz w:val="24"/>
          <w:szCs w:val="24"/>
        </w:rPr>
        <w:t xml:space="preserve">2840 · Il selettore di lingua e l'inganno.</w:t>
      </w:r>
      <w:r>
        <w:rPr>
          <w:rFonts w:ascii="Barlow Semi Condensed" w:cs="Barlow Semi Condensed" w:eastAsia="Barlow Semi Condensed" w:hAnsi="Barlow Semi Condensed"/>
          <w:sz w:val="24"/>
          <w:szCs w:val="24"/>
        </w:rPr>
        <w:t xml:space="preserve"> Il Capitolo IX segnala che le pagine dell'ente recano nel selettore la voce in lingua greca e avverte che si tratta di localizzazione linguistica, non di dichiarazione di presenza apostolica stabile. La regola di lettura è generale e serve a questa serie: la disponibilità di un contenuto in una lingua o in un Paese non attesta un insediamento, come la citazione di un nome non attesta un rapporto.</w:t>
      </w:r>
    </w:p>
    <w:p>
      <w:pPr>
        <w:spacing w:after="120" w:line="276"/>
        <w:jc w:val="both"/>
      </w:pPr>
      <w:r>
        <w:rPr>
          <w:rFonts w:ascii="Barlow Semi Condensed" w:cs="Barlow Semi Condensed" w:eastAsia="Barlow Semi Condensed" w:hAnsi="Barlow Semi Condensed"/>
          <w:b/>
          <w:bCs/>
          <w:sz w:val="24"/>
          <w:szCs w:val="24"/>
        </w:rPr>
        <w:t xml:space="preserve">2841 · Felzmann e il libello greco.</w:t>
      </w:r>
      <w:r>
        <w:rPr>
          <w:rFonts w:ascii="Barlow Semi Condensed" w:cs="Barlow Semi Condensed" w:eastAsia="Barlow Semi Condensed" w:hAnsi="Barlow Semi Condensed"/>
          <w:sz w:val="24"/>
          <w:szCs w:val="24"/>
        </w:rPr>
        <w:t xml:space="preserve"> Il territorio isola due soli frammenti che leghino l'ente alla Grecia: la testimonianza di un ex membro su un viaggio esplorativo del 1967 poi abbandonato, riferita in un'intervista e ripresa da voci enciclopediche, e un libello polemico in lingua greca che confonde l'ente con movimenti laicali ortodossi. Nessuno dei due tocca il nome studiato, e il capitolo ne dichiara nullo il valore probatorio.</w:t>
      </w:r>
    </w:p>
    <w:p>
      <w:pPr>
        <w:spacing w:after="120" w:line="276"/>
        <w:jc w:val="both"/>
      </w:pPr>
      <w:r>
        <w:rPr>
          <w:rFonts w:ascii="Barlow Semi Condensed" w:cs="Barlow Semi Condensed" w:eastAsia="Barlow Semi Condensed" w:hAnsi="Barlow Semi Condensed"/>
          <w:b/>
          <w:bCs/>
          <w:sz w:val="24"/>
          <w:szCs w:val="24"/>
        </w:rPr>
        <w:t xml:space="preserve">2842 · La ricerca CREST che non fu fatta.</w:t>
      </w:r>
      <w:r>
        <w:rPr>
          <w:rFonts w:ascii="Barlow Semi Condensed" w:cs="Barlow Semi Condensed" w:eastAsia="Barlow Semi Condensed" w:hAnsi="Barlow Semi Condensed"/>
          <w:sz w:val="24"/>
          <w:szCs w:val="24"/>
        </w:rPr>
        <w:t xml:space="preserve"> Il Capitolo X dichiara esito negativo per la combinazione fra ente confessionale e Grecia nella collezione CREST della sala di lettura elettronica della centrale americana, precisando che la ricognizione diretta e integrale non è stata condotta. Va aggiunto ciò che il capitolo non dice: in tutto il corpus nessuna ricerca è mai stata condotta sulla combinazione fra il nome qui studiato e la Grecia.</w:t>
      </w:r>
    </w:p>
    <w:p>
      <w:pPr>
        <w:spacing w:after="120" w:line="276"/>
        <w:jc w:val="both"/>
      </w:pPr>
      <w:r>
        <w:rPr>
          <w:rFonts w:ascii="Barlow Semi Condensed" w:cs="Barlow Semi Condensed" w:eastAsia="Barlow Semi Condensed" w:hAnsi="Barlow Semi Condensed"/>
          <w:b/>
          <w:bCs/>
          <w:sz w:val="24"/>
          <w:szCs w:val="24"/>
        </w:rPr>
        <w:t xml:space="preserve">2843 · La sede formale dell'esito negativo.</w:t>
      </w:r>
      <w:r>
        <w:rPr>
          <w:rFonts w:ascii="Barlow Semi Condensed" w:cs="Barlow Semi Condensed" w:eastAsia="Barlow Semi Condensed" w:hAnsi="Barlow Semi Condensed"/>
          <w:sz w:val="24"/>
          <w:szCs w:val="24"/>
        </w:rPr>
        <w:t xml:space="preserve"> La sede che chiuderebbe quell'esito negativo è tripla e va scritta per intero: la sala di lettura elettronica della centrale americana con la collezione CREST; l'edizione dell'Office of the Historian per i volumi XXIX, XXX e XXXIX dei Foreign Relations, con ricerca sull'indice per nome; i National Archives di College Park per gli originali del Dipartimento di Stato. Senza tutte e tre, l'esito resta non certificato.</w:t>
      </w:r>
    </w:p>
    <w:p>
      <w:pPr>
        <w:spacing w:after="120" w:line="276"/>
        <w:jc w:val="both"/>
      </w:pPr>
      <w:r>
        <w:rPr>
          <w:rFonts w:ascii="Barlow Semi Condensed" w:cs="Barlow Semi Condensed" w:eastAsia="Barlow Semi Condensed" w:hAnsi="Barlow Semi Condensed"/>
          <w:b/>
          <w:bCs/>
          <w:sz w:val="24"/>
          <w:szCs w:val="24"/>
        </w:rPr>
        <w:t xml:space="preserve">2844 · Il metro spagnolo, e la sua mancanza.</w:t>
      </w:r>
      <w:r>
        <w:rPr>
          <w:rFonts w:ascii="Barlow Semi Condensed" w:cs="Barlow Semi Condensed" w:eastAsia="Barlow Semi Condensed" w:hAnsi="Barlow Semi Condensed"/>
          <w:sz w:val="24"/>
          <w:szCs w:val="24"/>
        </w:rPr>
        <w:t xml:space="preserve"> Per la Spagna il corpus possiede un rapporto della centrale americana del 22 maggio 1970, protocollo CIA-RDP85T00875R001500020027-1, originariamente segreto, sul gabinetto franchista. Per la Grecia non esiste nel corpus alcun documento omologo, di alcuna provenienza, che descriva il personale di governo o le sue relazioni con Washington. La differenza misura il volume documentale realmente raccolto, non la prudenza di chi interpreta.</w:t>
      </w:r>
    </w:p>
    <w:p>
      <w:pPr>
        <w:spacing w:after="120" w:line="276"/>
        <w:jc w:val="both"/>
      </w:pPr>
      <w:r>
        <w:rPr>
          <w:rFonts w:ascii="Barlow Semi Condensed" w:cs="Barlow Semi Condensed" w:eastAsia="Barlow Semi Condensed" w:hAnsi="Barlow Semi Condensed"/>
          <w:b/>
          <w:bCs/>
          <w:sz w:val="24"/>
          <w:szCs w:val="24"/>
        </w:rPr>
        <w:t xml:space="preserve">2845 · Il volume XXX nomina il nome altrove.</w:t>
      </w:r>
      <w:r>
        <w:rPr>
          <w:rFonts w:ascii="Barlow Semi Condensed" w:cs="Barlow Semi Condensed" w:eastAsia="Barlow Semi Condensed" w:hAnsi="Barlow Semi Condensed"/>
          <w:sz w:val="24"/>
          <w:szCs w:val="24"/>
        </w:rPr>
        <w:t xml:space="preserve"> Il volume XXX dei Foreign Relations, che copre Grecia, Cipro e Turchia dal 1973 al 1976, nomina il Segretario di Stato nel dossier degli oppiacei turchi: il memorandum al presidente Ford al documento 208, accanto al paper del gruppo interdipartimentale al 206 e al memorandum di decisione 267 del 23 agosto 1974 al documento 209. Il corpus estrae quel materiale per la Turchia e non per la Grecia.</w:t>
      </w:r>
    </w:p>
    <w:p>
      <w:pPr>
        <w:spacing w:after="120" w:line="276"/>
        <w:jc w:val="both"/>
      </w:pPr>
      <w:r>
        <w:rPr>
          <w:rFonts w:ascii="Barlow Semi Condensed" w:cs="Barlow Semi Condensed" w:eastAsia="Barlow Semi Condensed" w:hAnsi="Barlow Semi Condensed"/>
          <w:b/>
          <w:bCs/>
          <w:sz w:val="24"/>
          <w:szCs w:val="24"/>
        </w:rPr>
        <w:t xml:space="preserve">2846 · Perché quell'estrazione è asimmetrica.</w:t>
      </w:r>
      <w:r>
        <w:rPr>
          <w:rFonts w:ascii="Barlow Semi Condensed" w:cs="Barlow Semi Condensed" w:eastAsia="Barlow Semi Condensed" w:hAnsi="Barlow Semi Condensed"/>
          <w:sz w:val="24"/>
          <w:szCs w:val="24"/>
        </w:rPr>
        <w:t xml:space="preserve"> L'asimmetria non è casuale e va spiegata prima di essere usata: il dossier turco degli oppiacei fu ricostruito perché toccava un interesse italiano indiretto, mentre il dossier greco fu ricostruito sul versante europeo, dove il nome studiato non aveva sede. La lacuna riflette dunque il criterio di raccolta della cartella e non una proprietà del volume XXX, che per la parte greca resta interamente da spogliare.</w:t>
      </w:r>
    </w:p>
    <w:p>
      <w:pPr>
        <w:spacing w:after="120" w:line="276"/>
        <w:jc w:val="both"/>
      </w:pPr>
      <w:r>
        <w:rPr>
          <w:rFonts w:ascii="Barlow Semi Condensed" w:cs="Barlow Semi Condensed" w:eastAsia="Barlow Semi Condensed" w:hAnsi="Barlow Semi Condensed"/>
          <w:b/>
          <w:bCs/>
          <w:sz w:val="24"/>
          <w:szCs w:val="24"/>
        </w:rPr>
        <w:t xml:space="preserve">2847 · Il colloquio del 2 settembre 1971.</w:t>
      </w:r>
      <w:r>
        <w:rPr>
          <w:rFonts w:ascii="Barlow Semi Condensed" w:cs="Barlow Semi Condensed" w:eastAsia="Barlow Semi Condensed" w:hAnsi="Barlow Semi Condensed"/>
          <w:sz w:val="24"/>
          <w:szCs w:val="24"/>
        </w:rPr>
        <w:t xml:space="preserve"> Il corpus attesta un colloquio del chargé statunitense con Moro il 2 settembre 1971, al documento 182 del volume XLI, sulla questione della rappresentanza cinese alle Nazioni Unite. Il Capitolo X lo cita proprio per dire che la prassi dei colloqui bilaterali esisteva, ma su materie diverse dalla Grecia. È l'esito negativo meglio circostanziato del territorio: la prassi c'era, e la Grecia non vi entrò mai.</w:t>
      </w:r>
    </w:p>
    <w:p>
      <w:pPr>
        <w:spacing w:after="120" w:line="276"/>
        <w:jc w:val="both"/>
      </w:pPr>
      <w:r>
        <w:rPr>
          <w:rFonts w:ascii="Barlow Semi Condensed" w:cs="Barlow Semi Condensed" w:eastAsia="Barlow Semi Condensed" w:hAnsi="Barlow Semi Condensed"/>
          <w:b/>
          <w:bCs/>
          <w:sz w:val="24"/>
          <w:szCs w:val="24"/>
        </w:rPr>
        <w:t xml:space="preserve">2848 · La Grecia nominata nel verbale italiano.</w:t>
      </w:r>
      <w:r>
        <w:rPr>
          <w:rFonts w:ascii="Barlow Semi Condensed" w:cs="Barlow Semi Condensed" w:eastAsia="Barlow Semi Condensed" w:hAnsi="Barlow Semi Condensed"/>
          <w:sz w:val="24"/>
          <w:szCs w:val="24"/>
        </w:rPr>
        <w:t xml:space="preserve"> L'unico luogo del corpus in cui il nome studiato e la Grecia stiano nella stessa frase non è il dossier greco: è il documento della vigilia del 25 settembre 1974, dove la Grecia figura fra i tre rischi di contagio indicati a Ford insieme a Francia e Germania. I blocchi 38, 112, 222 e 864 della prima campagna lo registrano. È posizione espressa, e nient'altro che questo.</w:t>
      </w:r>
    </w:p>
    <w:p>
      <w:pPr>
        <w:spacing w:after="120" w:line="276"/>
        <w:jc w:val="both"/>
      </w:pPr>
      <w:r>
        <w:rPr>
          <w:rFonts w:ascii="Barlow Semi Condensed" w:cs="Barlow Semi Condensed" w:eastAsia="Barlow Semi Condensed" w:hAnsi="Barlow Semi Condensed"/>
          <w:b/>
          <w:bCs/>
          <w:sz w:val="24"/>
          <w:szCs w:val="24"/>
        </w:rPr>
        <w:t xml:space="preserve">2849 · Ciò che quel verbale non consente.</w:t>
      </w:r>
      <w:r>
        <w:rPr>
          <w:rFonts w:ascii="Barlow Semi Condensed" w:cs="Barlow Semi Condensed" w:eastAsia="Barlow Semi Condensed" w:hAnsi="Barlow Semi Condensed"/>
          <w:sz w:val="24"/>
          <w:szCs w:val="24"/>
        </w:rPr>
        <w:t xml:space="preserve"> Il verbale dello Studio Ovale del 25 settembre 1974 — Leone, Moro, Ford, Kissinger, Scowcroft; FRUS 1969-1976 volume E-15 parte 2 documento 350, seconda edizione riveduta; Ford Library 1552802 — non contiene alcun ultimatum personale a Moro e attesta la posizione sul non poter scambiare informazioni militari con un governo che includesse i comunisti. Nulla vi autorizza a inferire una condotta verso Atene.</w:t>
      </w:r>
    </w:p>
    <w:p>
      <w:pPr>
        <w:spacing w:after="120" w:line="276"/>
        <w:jc w:val="both"/>
      </w:pPr>
      <w:r>
        <w:rPr>
          <w:rFonts w:ascii="Barlow Semi Condensed" w:cs="Barlow Semi Condensed" w:eastAsia="Barlow Semi Condensed" w:hAnsi="Barlow Semi Condensed"/>
          <w:b/>
          <w:bCs/>
          <w:sz w:val="24"/>
          <w:szCs w:val="24"/>
        </w:rPr>
        <w:t xml:space="preserve">2850 · Un quesito sul referente greco.</w:t>
      </w:r>
      <w:r>
        <w:rPr>
          <w:rFonts w:ascii="Barlow Semi Condensed" w:cs="Barlow Semi Condensed" w:eastAsia="Barlow Semi Condensed" w:hAnsi="Barlow Semi Condensed"/>
          <w:sz w:val="24"/>
          <w:szCs w:val="24"/>
        </w:rPr>
        <w:t xml:space="preserve"> Quesito da portare al testo integrale del verbale e ai documenti del volume XXX di quel mese: a che cosa allude il riferimento greco del 25 settembre 1974, se alla situazione politica interna aperta dalla caduta della giunta il 23 luglio oppure alla frattura atlantica del 14 agosto. Il corpus non lo dice, il verbale citato non lo esplicita, e la risposta muta il significato della frase.</w:t>
      </w:r>
    </w:p>
    <w:p>
      <w:pPr>
        <w:spacing w:after="120" w:line="276"/>
        <w:jc w:val="both"/>
      </w:pPr>
      <w:r>
        <w:rPr>
          <w:rFonts w:ascii="Barlow Semi Condensed" w:cs="Barlow Semi Condensed" w:eastAsia="Barlow Semi Condensed" w:hAnsi="Barlow Semi Condensed"/>
          <w:b/>
          <w:bCs/>
          <w:sz w:val="24"/>
          <w:szCs w:val="24"/>
        </w:rPr>
        <w:t xml:space="preserve">2851 · Il secondo verbale, mai spogliato (serie XXXVII).</w:t>
      </w:r>
      <w:r>
        <w:rPr>
          <w:rFonts w:ascii="Barlow Semi Condensed" w:cs="Barlow Semi Condensed" w:eastAsia="Barlow Semi Condensed" w:hAnsi="Barlow Semi Condensed"/>
          <w:sz w:val="24"/>
          <w:szCs w:val="24"/>
        </w:rPr>
        <w:t xml:space="preserve"> Il colloquio del giorno successivo, 26 settembre 1974, è conservato alla Ford Library con il documento 1552806 ed è citato dal corpus senza spoglio integrale, come registra il blocco 113 della prima campagna. Per questa serie il quesito è nominativo e circoscritto: se in quelle pagine compaiano la Grecia, Cipro o il ritiro dalla struttura militare integrata, e in quali termini esattamente.</w:t>
      </w:r>
    </w:p>
    <w:p>
      <w:pPr>
        <w:spacing w:after="120" w:line="276"/>
        <w:jc w:val="both"/>
      </w:pPr>
      <w:r>
        <w:rPr>
          <w:rFonts w:ascii="Barlow Semi Condensed" w:cs="Barlow Semi Condensed" w:eastAsia="Barlow Semi Condensed" w:hAnsi="Barlow Semi Condensed"/>
          <w:b/>
          <w:bCs/>
          <w:sz w:val="24"/>
          <w:szCs w:val="24"/>
        </w:rPr>
        <w:t xml:space="preserve">2852 · Il regime di consultabilità della Farnesina.</w:t>
      </w:r>
      <w:r>
        <w:rPr>
          <w:rFonts w:ascii="Barlow Semi Condensed" w:cs="Barlow Semi Condensed" w:eastAsia="Barlow Semi Condensed" w:hAnsi="Barlow Semi Condensed"/>
          <w:sz w:val="24"/>
          <w:szCs w:val="24"/>
        </w:rPr>
        <w:t xml:space="preserve"> L'Archivio Storico Diplomatico conserva circa trenta chilometri lineari e non versa all'Archivio Centrale dello Stato; sono consultabili di norma i documenti oltre i cinquant'anni, quelli fra trenta e cinquanta previo parere dell'ufficio produttore secondo il decreto ministeriale 1012/BIS/712 del 22 dicembre 2015, quelli con dati sensibili dopo settanta. Per il 1969-1975 il cinquantennio è compiuto: resta soltanto la procedura di autorizzazione e prenotazione.</w:t>
      </w:r>
    </w:p>
    <w:p>
      <w:pPr>
        <w:spacing w:after="120" w:line="276"/>
        <w:jc w:val="both"/>
      </w:pPr>
      <w:r>
        <w:rPr>
          <w:rFonts w:ascii="Barlow Semi Condensed" w:cs="Barlow Semi Condensed" w:eastAsia="Barlow Semi Condensed" w:hAnsi="Barlow Semi Condensed"/>
          <w:b/>
          <w:bCs/>
          <w:sz w:val="24"/>
          <w:szCs w:val="24"/>
        </w:rPr>
        <w:t xml:space="preserve">2853 · L'esclusione che colpisce il 1969.</w:t>
      </w:r>
      <w:r>
        <w:rPr>
          <w:rFonts w:ascii="Barlow Semi Condensed" w:cs="Barlow Semi Condensed" w:eastAsia="Barlow Semi Condensed" w:hAnsi="Barlow Semi Condensed"/>
          <w:sz w:val="24"/>
          <w:szCs w:val="24"/>
        </w:rPr>
        <w:t xml:space="preserve"> Fra i fondi temporaneamente esclusi per digitalizzazione il Capitolo XI segnala i Telegrammi 1942-1970. L'esclusione morde esattamente sul dicembre 1969, cioè sulla seduta di Strasburgo, e non morde sul 1974. Ne discende un ordine di esecuzione che questa serie raccomanda: si aggredisca prima il fascicolo cipriota e atlantico del 1974, raggiungibile subito, e si rinvii il 1969 alla riapertura della serie telegrafica.</w:t>
      </w:r>
    </w:p>
    <w:p>
      <w:pPr>
        <w:spacing w:after="120" w:line="276"/>
        <w:jc w:val="both"/>
      </w:pPr>
      <w:r>
        <w:rPr>
          <w:rFonts w:ascii="Barlow Semi Condensed" w:cs="Barlow Semi Condensed" w:eastAsia="Barlow Semi Condensed" w:hAnsi="Barlow Semi Condensed"/>
          <w:b/>
          <w:bCs/>
          <w:sz w:val="24"/>
          <w:szCs w:val="24"/>
        </w:rPr>
        <w:t xml:space="preserve">2854 · Gli archivi greci, mai interrogati.</w:t>
      </w:r>
      <w:r>
        <w:rPr>
          <w:rFonts w:ascii="Barlow Semi Condensed" w:cs="Barlow Semi Condensed" w:eastAsia="Barlow Semi Condensed" w:hAnsi="Barlow Semi Condensed"/>
          <w:sz w:val="24"/>
          <w:szCs w:val="24"/>
        </w:rPr>
        <w:t xml:space="preserve"> Come sedi omologhe sul versante ellenico sono indicate, al Capitolo XI, il Servizio dell'archivio diplomatico e storico del Ministero degli Esteri greco, gli Archivi generali dello Stato e la Fondazione Konstantinos Karamanlis, con la dichiarazione di non averli consultati e di non averne verificato l'accessibilità. Su di essi grava dunque un doppio Stato Zero: sul versante italiano e su quello americano, entrambi da aprire con richiesta formale.</w:t>
      </w:r>
    </w:p>
    <w:p>
      <w:pPr>
        <w:spacing w:after="120" w:line="276"/>
        <w:jc w:val="both"/>
      </w:pPr>
      <w:r>
        <w:rPr>
          <w:rFonts w:ascii="Barlow Semi Condensed" w:cs="Barlow Semi Condensed" w:eastAsia="Barlow Semi Condensed" w:hAnsi="Barlow Semi Condensed"/>
          <w:b/>
          <w:bCs/>
          <w:sz w:val="24"/>
          <w:szCs w:val="24"/>
        </w:rPr>
        <w:t xml:space="preserve">2855 · Il bilancio della serie, e il limite.</w:t>
      </w:r>
      <w:r>
        <w:rPr>
          <w:rFonts w:ascii="Barlow Semi Condensed" w:cs="Barlow Semi Condensed" w:eastAsia="Barlow Semi Condensed" w:hAnsi="Barlow Semi Condensed"/>
          <w:sz w:val="24"/>
          <w:szCs w:val="24"/>
        </w:rPr>
        <w:t xml:space="preserve"> Bilancio dichiarato: un solo piano 1, il telegramma del 2 agosto 1975, che non ha la Grecia per oggetto; una convergenza di secondo piano, le tre date fra il 14 agosto e il 25 settembre 1974; una tesi terziaria circolante e priva di riscontro; tutto il resto Stato Zero. Nessun blocco indica alcuna responsabilità penale: il corpus si ferma al giudicato, e qui non ve n'è alcuno.</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Serie trentottesima — La Farnesina: Turchia e l’attentato del 1981</w:t>
      </w:r>
    </w:p>
    <w:p>
      <w:pPr>
        <w:spacing w:after="120" w:line="276"/>
        <w:jc w:val="both"/>
      </w:pPr>
      <w:r>
        <w:rPr>
          <w:rFonts w:ascii="Barlow Semi Condensed" w:cs="Barlow Semi Condensed" w:eastAsia="Barlow Semi Condensed" w:hAnsi="Barlow Semi Condensed"/>
          <w:i/>
          <w:iCs/>
          <w:sz w:val="24"/>
          <w:szCs w:val="24"/>
        </w:rPr>
        <w:t xml:space="preserve">Blocchi 2856-2935.</w:t>
      </w:r>
    </w:p>
    <w:p>
      <w:pPr>
        <w:spacing w:after="120" w:line="276"/>
        <w:jc w:val="both"/>
      </w:pPr>
      <w:r>
        <w:rPr>
          <w:rFonts w:ascii="Barlow Semi Condensed" w:cs="Barlow Semi Condensed" w:eastAsia="Barlow Semi Condensed" w:hAnsi="Barlow Semi Condensed"/>
          <w:b/>
          <w:bCs/>
          <w:sz w:val="24"/>
          <w:szCs w:val="24"/>
        </w:rPr>
        <w:t xml:space="preserve">2856 · L'unica occorrenza del nome (serie XXXVIII).</w:t>
      </w:r>
      <w:r>
        <w:rPr>
          <w:rFonts w:ascii="Barlow Semi Condensed" w:cs="Barlow Semi Condensed" w:eastAsia="Barlow Semi Condensed" w:hAnsi="Barlow Semi Condensed"/>
          <w:sz w:val="24"/>
          <w:szCs w:val="24"/>
        </w:rPr>
        <w:t xml:space="preserve"> Nella cartella turchia-opus-dei-1969-1975.md il nome di Henry Kissinger compare due volte, ed entrambe nello stesso rinvio: il documento 208 del volume XXX dei Foreign Relations, memorandum al presidente Ford sulla revoca turca del divieto del papavero, richiamato al Capitolo VII e ripreso nell'inventario del Capitolo XI. Tutto il resto del territorio tace su di lui. Questa serie parte da qui e non finge un secondo ancoraggio.</w:t>
      </w:r>
    </w:p>
    <w:p>
      <w:pPr>
        <w:spacing w:after="120" w:line="276"/>
        <w:jc w:val="both"/>
      </w:pPr>
      <w:r>
        <w:rPr>
          <w:rFonts w:ascii="Barlow Semi Condensed" w:cs="Barlow Semi Condensed" w:eastAsia="Barlow Semi Condensed" w:hAnsi="Barlow Semi Condensed"/>
          <w:b/>
          <w:bCs/>
          <w:sz w:val="24"/>
          <w:szCs w:val="24"/>
        </w:rPr>
        <w:t xml:space="preserve">2857 · Che cosa attesta il documento 208.</w:t>
      </w:r>
      <w:r>
        <w:rPr>
          <w:rFonts w:ascii="Barlow Semi Condensed" w:cs="Barlow Semi Condensed" w:eastAsia="Barlow Semi Condensed" w:hAnsi="Barlow Semi Condensed"/>
          <w:sz w:val="24"/>
          <w:szCs w:val="24"/>
        </w:rPr>
        <w:t xml:space="preserve"> Il rinvio della cartella riferisce due contenuti: che l'oppio turco era stato la principale fonte dell'eroina contrabbandata negli Stati Uniti e che dal divieto del 1971 vi era stato un drammatico declino della tossicodipendenza. Attesta dunque una rappresentazione del problema portata al presidente, non una condotta italiana né un contatto con la Farnesina. Piano 1 rispetto a sé stesso, piano zero rispetto a Moro.</w:t>
      </w:r>
    </w:p>
    <w:p>
      <w:pPr>
        <w:spacing w:after="120" w:line="276"/>
        <w:jc w:val="both"/>
      </w:pPr>
      <w:r>
        <w:rPr>
          <w:rFonts w:ascii="Barlow Semi Condensed" w:cs="Barlow Semi Condensed" w:eastAsia="Barlow Semi Condensed" w:hAnsi="Barlow Semi Condensed"/>
          <w:b/>
          <w:bCs/>
          <w:sz w:val="24"/>
          <w:szCs w:val="24"/>
        </w:rPr>
        <w:t xml:space="preserve">2858 · Quesito: la data del 208.</w:t>
      </w:r>
      <w:r>
        <w:rPr>
          <w:rFonts w:ascii="Barlow Semi Condensed" w:cs="Barlow Semi Condensed" w:eastAsia="Barlow Semi Condensed" w:hAnsi="Barlow Semi Condensed"/>
          <w:sz w:val="24"/>
          <w:szCs w:val="24"/>
        </w:rPr>
        <w:t xml:space="preserve"> Prima domanda da portare in archivio: la cartella cita il documento 208 senza data né titolo esatto. Occorre stabilire, sull'edizione dell'Office of the Historian e sul fascicolo originario alla Gerald R. Ford Presidential Library, National Security Council Institutional Files, se sia memorandum del Segretario di Stato o dell'Assistente per la sicurezza nazionale, se rechi firma autografa o soltanto attribuzione d'ufficio, e in quale giorno del 1974.</w:t>
      </w:r>
    </w:p>
    <w:p>
      <w:pPr>
        <w:spacing w:after="120" w:line="276"/>
        <w:jc w:val="both"/>
      </w:pPr>
      <w:r>
        <w:rPr>
          <w:rFonts w:ascii="Barlow Semi Condensed" w:cs="Barlow Semi Condensed" w:eastAsia="Barlow Semi Condensed" w:hAnsi="Barlow Semi Condensed"/>
          <w:b/>
          <w:bCs/>
          <w:sz w:val="24"/>
          <w:szCs w:val="24"/>
        </w:rPr>
        <w:t xml:space="preserve">2859 · Il doppio incarico come cautela.</w:t>
      </w:r>
      <w:r>
        <w:rPr>
          <w:rFonts w:ascii="Barlow Semi Condensed" w:cs="Barlow Semi Condensed" w:eastAsia="Barlow Semi Condensed" w:hAnsi="Barlow Semi Condensed"/>
          <w:sz w:val="24"/>
          <w:szCs w:val="24"/>
        </w:rPr>
        <w:t xml:space="preserve"> Fra il 22 settembre 1973 e il 3 novembre 1975 la stessa persona tenne l'Assistenza per la sicurezza nazionale e il Dipartimento di Stato. Ne segue una cautela che il territorio turco impone a ogni pagina: un documento del Consiglio di sicurezza nazionale e uno del Dipartimento, dentro quella finestra, non sono due conferme indipendenti. È la regola dell'omologia dei blocchi 22 e 213 applicata alle catene di redazione.</w:t>
      </w:r>
    </w:p>
    <w:p>
      <w:pPr>
        <w:spacing w:after="120" w:line="276"/>
        <w:jc w:val="both"/>
      </w:pPr>
      <w:r>
        <w:rPr>
          <w:rFonts w:ascii="Barlow Semi Condensed" w:cs="Barlow Semi Condensed" w:eastAsia="Barlow Semi Condensed" w:hAnsi="Barlow Semi Condensed"/>
          <w:b/>
          <w:bCs/>
          <w:sz w:val="24"/>
          <w:szCs w:val="24"/>
        </w:rPr>
        <w:t xml:space="preserve">2860 · La riga di firma dei telegrammi.</w:t>
      </w:r>
      <w:r>
        <w:rPr>
          <w:rFonts w:ascii="Barlow Semi Condensed" w:cs="Barlow Semi Condensed" w:eastAsia="Barlow Semi Condensed" w:hAnsi="Barlow Semi Condensed"/>
          <w:sz w:val="24"/>
          <w:szCs w:val="24"/>
        </w:rPr>
        <w:t xml:space="preserve"> Regola operativa per chiunque interroghi i Central Foreign Policy Files: i telegrammi in partenza dal Dipartimento fra il 1973 e il gennaio 1977 recano in chiusura il cognome del Segretario. Quella riga è attribuzione d'ufficio, non prova di redazione personale. Chi cerchi il cognome in full-text raccoglierà migliaia di occorrenze prive di valore individuante: vanno contate come intestazioni, e verbalizzate come tali.</w:t>
      </w:r>
    </w:p>
    <w:p>
      <w:pPr>
        <w:spacing w:after="120" w:line="276"/>
        <w:jc w:val="both"/>
      </w:pPr>
      <w:r>
        <w:rPr>
          <w:rFonts w:ascii="Barlow Semi Condensed" w:cs="Barlow Semi Condensed" w:eastAsia="Barlow Semi Condensed" w:hAnsi="Barlow Semi Condensed"/>
          <w:b/>
          <w:bCs/>
          <w:sz w:val="24"/>
          <w:szCs w:val="24"/>
        </w:rPr>
        <w:t xml:space="preserve">2861 · La finestra utile dell'AAD.</w:t>
      </w:r>
      <w:r>
        <w:rPr>
          <w:rFonts w:ascii="Barlow Semi Condensed" w:cs="Barlow Semi Condensed" w:eastAsia="Barlow Semi Condensed" w:hAnsi="Barlow Semi Condensed"/>
          <w:sz w:val="24"/>
          <w:szCs w:val="24"/>
        </w:rPr>
        <w:t xml:space="preserve"> La copertura dell'Access to Archival Databases è fissata dal blocco 128 dell'agenda di ricerca: Central Foreign Policy Files dal 1° luglio 1973 al 31 dicembre 1979. La finestra contiene per intero il Segretariato qui in esame e, in coda, il viaggio papale del novembre 1979. È lo strumento più economico per i dossier turchi della cartella. Le ricerche a vuoto si verbalizzano.</w:t>
      </w:r>
    </w:p>
    <w:p>
      <w:pPr>
        <w:spacing w:after="120" w:line="276"/>
        <w:jc w:val="both"/>
      </w:pPr>
      <w:r>
        <w:rPr>
          <w:rFonts w:ascii="Barlow Semi Condensed" w:cs="Barlow Semi Condensed" w:eastAsia="Barlow Semi Condensed" w:hAnsi="Barlow Semi Condensed"/>
          <w:b/>
          <w:bCs/>
          <w:sz w:val="24"/>
          <w:szCs w:val="24"/>
        </w:rPr>
        <w:t xml:space="preserve">2862 · Griglia di interrogazione, per TAGS.</w:t>
      </w:r>
      <w:r>
        <w:rPr>
          <w:rFonts w:ascii="Barlow Semi Condensed" w:cs="Barlow Semi Condensed" w:eastAsia="Barlow Semi Condensed" w:hAnsi="Barlow Semi Condensed"/>
          <w:sz w:val="24"/>
          <w:szCs w:val="24"/>
        </w:rPr>
        <w:t xml:space="preserve"> L'interrogazione va dichiarata prima di essere condotta, come prescrive il blocco 115 del manuale investigativo: sigle di paese per Turchia, Cipro, Grecia, Italia e Santa Sede, indicatori tematici per stupefacenti, forniture militari e piattaforma continentale, finestre datate sui mesi di luglio e agosto 1974, di febbraio e luglio 1975, di novembre 1979. L'esito è un elenco datato di telegrammi liberi, non una tesi.</w:t>
      </w:r>
    </w:p>
    <w:p>
      <w:pPr>
        <w:spacing w:after="120" w:line="276"/>
        <w:jc w:val="both"/>
      </w:pPr>
      <w:r>
        <w:rPr>
          <w:rFonts w:ascii="Barlow Semi Condensed" w:cs="Barlow Semi Condensed" w:eastAsia="Barlow Semi Condensed" w:hAnsi="Barlow Semi Condensed"/>
          <w:b/>
          <w:bCs/>
          <w:sz w:val="24"/>
          <w:szCs w:val="24"/>
        </w:rPr>
        <w:t xml:space="preserve">2863 · Il memorandum di decisione dell'agosto 1974.</w:t>
      </w:r>
      <w:r>
        <w:rPr>
          <w:rFonts w:ascii="Barlow Semi Condensed" w:cs="Barlow Semi Condensed" w:eastAsia="Barlow Semi Condensed" w:hAnsi="Barlow Semi Condensed"/>
          <w:sz w:val="24"/>
          <w:szCs w:val="24"/>
        </w:rPr>
        <w:t xml:space="preserve"> Il National Security Decision Memorandum 267 del 23 agosto 1974, che la cartella cita come documento 209 del volume XXX e 164 del volume E-3, impartiva le istruzioni operative sul dossier del papavero. La prassi voleva che simili memorandum uscissero a firma dell'Assistente per la sicurezza nazionale. Il territorio non lo dice: va accertato sull'originale, serie NSDM alla Ford Library, prima di attribuirlo a chicchessia.</w:t>
      </w:r>
    </w:p>
    <w:p>
      <w:pPr>
        <w:spacing w:after="120" w:line="276"/>
        <w:jc w:val="both"/>
      </w:pPr>
      <w:r>
        <w:rPr>
          <w:rFonts w:ascii="Barlow Semi Condensed" w:cs="Barlow Semi Condensed" w:eastAsia="Barlow Semi Condensed" w:hAnsi="Barlow Semi Condensed"/>
          <w:b/>
          <w:bCs/>
          <w:sz w:val="24"/>
          <w:szCs w:val="24"/>
        </w:rPr>
        <w:t xml:space="preserve">2864 · Il paper del Gruppo interdipartimentale.</w:t>
      </w:r>
      <w:r>
        <w:rPr>
          <w:rFonts w:ascii="Barlow Semi Condensed" w:cs="Barlow Semi Condensed" w:eastAsia="Barlow Semi Condensed" w:hAnsi="Barlow Semi Condensed"/>
          <w:sz w:val="24"/>
          <w:szCs w:val="24"/>
        </w:rPr>
        <w:t xml:space="preserve"> Indicato come elaborato del Gruppo interdipartimentale per l'Europa del Consiglio di sicurezza nazionale, il documento 206 del volume XXX analizzava le opzioni di risposta alla revoca turca. Chi presiedeva quel gruppo, chi ne redasse il testo e a quale riunione fu discusso non risulta dalla cartella. Sede: Ford Library, NSC Institutional Files, verbali dei gruppi interdipartimentali. È accertamento puntuale e conseguibile.</w:t>
      </w:r>
    </w:p>
    <w:p>
      <w:pPr>
        <w:spacing w:after="120" w:line="276"/>
        <w:jc w:val="both"/>
      </w:pPr>
      <w:r>
        <w:rPr>
          <w:rFonts w:ascii="Barlow Semi Condensed" w:cs="Barlow Semi Condensed" w:eastAsia="Barlow Semi Condensed" w:hAnsi="Barlow Semi Condensed"/>
          <w:b/>
          <w:bCs/>
          <w:sz w:val="24"/>
          <w:szCs w:val="24"/>
        </w:rPr>
        <w:t xml:space="preserve">2865 · Il divieto del 1971 e Nixon.</w:t>
      </w:r>
      <w:r>
        <w:rPr>
          <w:rFonts w:ascii="Barlow Semi Condensed" w:cs="Barlow Semi Condensed" w:eastAsia="Barlow Semi Condensed" w:hAnsi="Barlow Semi Condensed"/>
          <w:sz w:val="24"/>
          <w:szCs w:val="24"/>
        </w:rPr>
        <w:t xml:space="preserve"> La cartella attribuisce il divieto turco del giugno 1971, sotto il governo di Nihat Erim, a una pressione statunitense esercitata personalmente dal presidente Nixon. L'attribuzione è al presidente, non al suo Assistente per la sicurezza nazionale in carica dal 20 gennaio 1969. Chi volesse spostarla dovrà produrre carte proprie: Richard Nixon Presidential Library, materiali del Consiglio di sicurezza nazionale, serie per paese e serie stupefacenti.</w:t>
      </w:r>
    </w:p>
    <w:p>
      <w:pPr>
        <w:spacing w:after="120" w:line="276"/>
        <w:jc w:val="both"/>
      </w:pPr>
      <w:r>
        <w:rPr>
          <w:rFonts w:ascii="Barlow Semi Condensed" w:cs="Barlow Semi Condensed" w:eastAsia="Barlow Semi Condensed" w:hAnsi="Barlow Semi Condensed"/>
          <w:b/>
          <w:bCs/>
          <w:sz w:val="24"/>
          <w:szCs w:val="24"/>
        </w:rPr>
        <w:t xml:space="preserve">2866 · Bersaglio di smentita sul papavero.</w:t>
      </w:r>
      <w:r>
        <w:rPr>
          <w:rFonts w:ascii="Barlow Semi Condensed" w:cs="Barlow Semi Condensed" w:eastAsia="Barlow Semi Condensed" w:hAnsi="Barlow Semi Condensed"/>
          <w:sz w:val="24"/>
          <w:szCs w:val="24"/>
        </w:rPr>
        <w:t xml:space="preserve"> Che cosa falsificherebbe l'ipotesi di un ruolo personale nel dossier degli oppiacei? Un solo reperto basterebbe invece a confermarla: un verbale di riunione o un telegramma di istruzione in cui il nome compaia come proponente, e non come destinatario o firmatario d'ufficio. In assenza, la posizione corretta resta quella della cartella: un memorandum al presidente e nient'altro. L'accumulo di carte d'ufficio non produce quel reperto.</w:t>
      </w:r>
    </w:p>
    <w:p>
      <w:pPr>
        <w:spacing w:after="120" w:line="276"/>
        <w:jc w:val="both"/>
      </w:pPr>
      <w:r>
        <w:rPr>
          <w:rFonts w:ascii="Barlow Semi Condensed" w:cs="Barlow Semi Condensed" w:eastAsia="Barlow Semi Condensed" w:hAnsi="Barlow Semi Condensed"/>
          <w:b/>
          <w:bCs/>
          <w:sz w:val="24"/>
          <w:szCs w:val="24"/>
        </w:rPr>
        <w:t xml:space="preserve">2867 · L'Italia assente dal dossier.</w:t>
      </w:r>
      <w:r>
        <w:rPr>
          <w:rFonts w:ascii="Barlow Semi Condensed" w:cs="Barlow Semi Condensed" w:eastAsia="Barlow Semi Condensed" w:hAnsi="Barlow Semi Condensed"/>
          <w:sz w:val="24"/>
          <w:szCs w:val="24"/>
        </w:rPr>
        <w:t xml:space="preserve"> Il Capitolo VII registra un esito negativo circostanziato: nessuna fonte primaria documenta un coinvolgimento della Farnesina di Moro nella revoca del 1974, né una posizione italiana in sede di Nazioni Unite. Il negoziato documentato è bilaterale turco-americano. Ne segue che su questo dossier, fra il nome qui triangolato e Moro, non esiste neppure un tavolo comune. Sede di chiusura: serie affari sociali dell'Archivio storico-diplomatico.</w:t>
      </w:r>
    </w:p>
    <w:p>
      <w:pPr>
        <w:spacing w:after="120" w:line="276"/>
        <w:jc w:val="both"/>
      </w:pPr>
      <w:r>
        <w:rPr>
          <w:rFonts w:ascii="Barlow Semi Condensed" w:cs="Barlow Semi Condensed" w:eastAsia="Barlow Semi Condensed" w:hAnsi="Barlow Semi Condensed"/>
          <w:b/>
          <w:bCs/>
          <w:sz w:val="24"/>
          <w:szCs w:val="24"/>
        </w:rPr>
        <w:t xml:space="preserve">2868 · La Commissione stupefacenti di Vienna.</w:t>
      </w:r>
      <w:r>
        <w:rPr>
          <w:rFonts w:ascii="Barlow Semi Condensed" w:cs="Barlow Semi Condensed" w:eastAsia="Barlow Semi Condensed" w:hAnsi="Barlow Semi Condensed"/>
          <w:sz w:val="24"/>
          <w:szCs w:val="24"/>
        </w:rPr>
        <w:t xml:space="preserve"> La seconda sede indicata dal territorio per lo stesso vuoto è l'archivio della Commissione stupefacenti delle Nazioni Unite a Vienna. Vi si cercherebbero due cose distinte: se l'Italia depositò una posizione sul caso turco del 1974, e se la delegazione statunitense vi portò la linea del memorandum al presidente. La seconda ricerca è quella che riguarda questa serie, e non è stata condotta.</w:t>
      </w:r>
    </w:p>
    <w:p>
      <w:pPr>
        <w:spacing w:after="120" w:line="276"/>
        <w:jc w:val="both"/>
      </w:pPr>
      <w:r>
        <w:rPr>
          <w:rFonts w:ascii="Barlow Semi Condensed" w:cs="Barlow Semi Condensed" w:eastAsia="Barlow Semi Condensed" w:hAnsi="Barlow Semi Condensed"/>
          <w:b/>
          <w:bCs/>
          <w:sz w:val="24"/>
          <w:szCs w:val="24"/>
        </w:rPr>
        <w:t xml:space="preserve">2869 · La rotta e i suoi due piani.</w:t>
      </w:r>
      <w:r>
        <w:rPr>
          <w:rFonts w:ascii="Barlow Semi Condensed" w:cs="Barlow Semi Condensed" w:eastAsia="Barlow Semi Condensed" w:hAnsi="Barlow Semi Condensed"/>
          <w:sz w:val="24"/>
          <w:szCs w:val="24"/>
        </w:rPr>
        <w:t xml:space="preserve"> Due piani vanno tenuti separati, e il blocco 357 dell'opera lo prescrive: l'oppio anatolico, i laboratori di Marsiglia, la ristrutturazione lungo il corridoio balcanico e l'Italia fra i punti di arrivo sono accertati come fenomeno criminale, e non per ciò stesso come nesso fra governi. Chi usasse la rotta per collegare un nome americano alla Farnesina compirebbe esattamente l'errore che quel blocco vieta.</w:t>
      </w:r>
    </w:p>
    <w:p>
      <w:pPr>
        <w:spacing w:after="120" w:line="276"/>
        <w:jc w:val="both"/>
      </w:pPr>
      <w:r>
        <w:rPr>
          <w:rFonts w:ascii="Barlow Semi Condensed" w:cs="Barlow Semi Condensed" w:eastAsia="Barlow Semi Condensed" w:hAnsi="Barlow Semi Condensed"/>
          <w:b/>
          <w:bCs/>
          <w:sz w:val="24"/>
          <w:szCs w:val="24"/>
        </w:rPr>
        <w:t xml:space="preserve">2870 · Stato Zero: la French Connection.</w:t>
      </w:r>
      <w:r>
        <w:rPr>
          <w:rFonts w:ascii="Barlow Semi Condensed" w:cs="Barlow Semi Condensed" w:eastAsia="Barlow Semi Condensed" w:hAnsi="Barlow Semi Condensed"/>
          <w:sz w:val="24"/>
          <w:szCs w:val="24"/>
        </w:rPr>
        <w:t xml:space="preserve"> La French Connection compare nel Capitolo VII come cornice storiografica, con l'Unione Corse e i laboratori marsigliesi, e nessun documento di provenienza vi collega il nome triangolato. Si verbalizza come Stato Zero. Le sedi che lo chiuderebbero sono gli archivi della Drug Enforcement Administration e i fondi del Bureau of Narcotics presso i National Archives, non la pubblicistica che ripete l'accostamento.</w:t>
      </w:r>
    </w:p>
    <w:p>
      <w:pPr>
        <w:spacing w:after="120" w:line="276"/>
        <w:jc w:val="both"/>
      </w:pPr>
      <w:r>
        <w:rPr>
          <w:rFonts w:ascii="Barlow Semi Condensed" w:cs="Barlow Semi Condensed" w:eastAsia="Barlow Semi Condensed" w:hAnsi="Barlow Semi Condensed"/>
          <w:b/>
          <w:bCs/>
          <w:sz w:val="24"/>
          <w:szCs w:val="24"/>
        </w:rPr>
        <w:t xml:space="preserve">2871 · Una citazione da sostituire.</w:t>
      </w:r>
      <w:r>
        <w:rPr>
          <w:rFonts w:ascii="Barlow Semi Condensed" w:cs="Barlow Semi Condensed" w:eastAsia="Barlow Semi Condensed" w:hAnsi="Barlow Semi Condensed"/>
          <w:sz w:val="24"/>
          <w:szCs w:val="24"/>
        </w:rPr>
        <w:t xml:space="preserve"> Rilievo redazionale sul territorio stesso: nel medesimo capitolo la cartella turca appoggia il passaggio sulla rete corsa a un'enciclopedia collaborativa che il committente ha espressamente escluso dalle fonti ammesse. Il fatto riferito è comunque sostenuto altrove nella storiografia; la citazione va sostituita, non il fatto rimosso. Chi ripubblichi il capitolo senza quella sostituzione trasmette un difetto di apparato, non un errore di merito.</w:t>
      </w:r>
    </w:p>
    <w:p>
      <w:pPr>
        <w:spacing w:after="120" w:line="276"/>
        <w:jc w:val="both"/>
      </w:pPr>
      <w:r>
        <w:rPr>
          <w:rFonts w:ascii="Barlow Semi Condensed" w:cs="Barlow Semi Condensed" w:eastAsia="Barlow Semi Condensed" w:hAnsi="Barlow Semi Condensed"/>
          <w:b/>
          <w:bCs/>
          <w:sz w:val="24"/>
          <w:szCs w:val="24"/>
        </w:rPr>
        <w:t xml:space="preserve">2872 · Il piano cantonale e il suggeritore.</w:t>
      </w:r>
      <w:r>
        <w:rPr>
          <w:rFonts w:ascii="Barlow Semi Condensed" w:cs="Barlow Semi Condensed" w:eastAsia="Barlow Semi Condensed" w:hAnsi="Barlow Semi Condensed"/>
          <w:sz w:val="24"/>
          <w:szCs w:val="24"/>
        </w:rPr>
        <w:t xml:space="preserve"> Al Capitolo III si legge che alla seconda tornata di Ginevra la Turchia presentò un piano cantonale elaborato su suggerimento statunitense, senza che alcun nome venga fatto. È la formulazione che più di ogni altra invita all'inferenza, ed è per questo il bersaglio più netto della serie: il nome va cercato nel volume XXX dei Foreign Relations, non dedotto dalla carica di chi allora la ricopriva.</w:t>
      </w:r>
    </w:p>
    <w:p>
      <w:pPr>
        <w:spacing w:after="120" w:line="276"/>
        <w:jc w:val="both"/>
      </w:pPr>
      <w:r>
        <w:rPr>
          <w:rFonts w:ascii="Barlow Semi Condensed" w:cs="Barlow Semi Condensed" w:eastAsia="Barlow Semi Condensed" w:hAnsi="Barlow Semi Condensed"/>
          <w:b/>
          <w:bCs/>
          <w:sz w:val="24"/>
          <w:szCs w:val="24"/>
        </w:rPr>
        <w:t xml:space="preserve">2873 · Le trascrizioni telefoniche, sede propria.</w:t>
      </w:r>
      <w:r>
        <w:rPr>
          <w:rFonts w:ascii="Barlow Semi Condensed" w:cs="Barlow Semi Condensed" w:eastAsia="Barlow Semi Condensed" w:hAnsi="Barlow Semi Condensed"/>
          <w:sz w:val="24"/>
          <w:szCs w:val="24"/>
        </w:rPr>
        <w:t xml:space="preserve"> I National Archives conservano nel Record Group 59 i Records of Henry Kissinger 1973-1977, che comprendono le trascrizioni delle conversazioni telefoniche. Per i giorni fra l'8 e il 16 agosto 1974 quella serie è la sede naturale in cui verificare la formula del Capitolo III. Esito atteso incerto; ma è ricerca circoscritta a nove giorni, e il suo fallimento sarebbe un'acquisizione dichiarabile.</w:t>
      </w:r>
    </w:p>
    <w:p>
      <w:pPr>
        <w:spacing w:after="120" w:line="276"/>
        <w:jc w:val="both"/>
      </w:pPr>
      <w:r>
        <w:rPr>
          <w:rFonts w:ascii="Barlow Semi Condensed" w:cs="Barlow Semi Condensed" w:eastAsia="Barlow Semi Condensed" w:hAnsi="Barlow Semi Condensed"/>
          <w:b/>
          <w:bCs/>
          <w:sz w:val="24"/>
          <w:szCs w:val="24"/>
        </w:rPr>
        <w:t xml:space="preserve">2874 · Ginevra, la sequenza da riportare.</w:t>
      </w:r>
      <w:r>
        <w:rPr>
          <w:rFonts w:ascii="Barlow Semi Condensed" w:cs="Barlow Semi Condensed" w:eastAsia="Barlow Semi Condensed" w:hAnsi="Barlow Semi Condensed"/>
          <w:sz w:val="24"/>
          <w:szCs w:val="24"/>
        </w:rPr>
        <w:t xml:space="preserve"> La cronologia della seconda tornata è fissata dal territorio: apertura l'8-9 agosto 1974, richiesta turca del 14 agosto di uno Stato federale con il trentaquattro per cento del territorio, rifiuto della dilazione di trentasei-quarantotto ore chiesta da Clerides il 13, offensiva all'alba del 14. Ogni ipotesi di ruolo esterno deve inserirsi in questa griglia oraria, e cadere se non vi trova posto.</w:t>
      </w:r>
    </w:p>
    <w:p>
      <w:pPr>
        <w:spacing w:after="120" w:line="276"/>
        <w:jc w:val="both"/>
      </w:pPr>
      <w:r>
        <w:rPr>
          <w:rFonts w:ascii="Barlow Semi Condensed" w:cs="Barlow Semi Condensed" w:eastAsia="Barlow Semi Condensed" w:hAnsi="Barlow Semi Condensed"/>
          <w:b/>
          <w:bCs/>
          <w:sz w:val="24"/>
          <w:szCs w:val="24"/>
        </w:rPr>
        <w:t xml:space="preserve">2875 · Ayşe e il limite della frase.</w:t>
      </w:r>
      <w:r>
        <w:rPr>
          <w:rFonts w:ascii="Barlow Semi Condensed" w:cs="Barlow Semi Condensed" w:eastAsia="Barlow Semi Condensed" w:hAnsi="Barlow Semi Condensed"/>
          <w:sz w:val="24"/>
          <w:szCs w:val="24"/>
        </w:rPr>
        <w:t xml:space="preserve"> È documentata la frase in codice con cui alle tre del mattino del 14 agosto Turan Güneş avvertì Ecevit: Ayşe può andare in vacanza. Essa attesta la catena decisionale turca, interna e propria. Usarla come indizio di un'autorizzazione esterna significherebbe leggere in un documento ciò che il documento non dice: è la forma più comune di promozione indebita dal piano 2 al piano 1.</w:t>
      </w:r>
    </w:p>
    <w:p>
      <w:pPr>
        <w:spacing w:after="120" w:line="276"/>
        <w:jc w:val="both"/>
      </w:pPr>
      <w:r>
        <w:rPr>
          <w:rFonts w:ascii="Barlow Semi Condensed" w:cs="Barlow Semi Condensed" w:eastAsia="Barlow Semi Condensed" w:hAnsi="Barlow Semi Condensed"/>
          <w:b/>
          <w:bCs/>
          <w:sz w:val="24"/>
          <w:szCs w:val="24"/>
        </w:rPr>
        <w:t xml:space="preserve">2876 · Le due denominazioni, e perché restano.</w:t>
      </w:r>
      <w:r>
        <w:rPr>
          <w:rFonts w:ascii="Barlow Semi Condensed" w:cs="Barlow Semi Condensed" w:eastAsia="Barlow Semi Condensed" w:hAnsi="Barlow Semi Condensed"/>
          <w:sz w:val="24"/>
          <w:szCs w:val="24"/>
        </w:rPr>
        <w:t xml:space="preserve"> Operazione di pace per Ankara, invasione per Atene, per Nicosia e per la comunità internazionale: il blocco 341 dell'opera prescrive di mantenere la duplicità. La regola vale anche qui, perché la scelta della parola precede sempre l'attribuzione della responsabilità. Una serie che adottasse una sola denominazione avrebbe già deciso, prima di aprire un archivio, che cosa i documenti dovranno dimostrare.</w:t>
      </w:r>
    </w:p>
    <w:p>
      <w:pPr>
        <w:spacing w:after="120" w:line="276"/>
        <w:jc w:val="both"/>
      </w:pPr>
      <w:r>
        <w:rPr>
          <w:rFonts w:ascii="Barlow Semi Condensed" w:cs="Barlow Semi Condensed" w:eastAsia="Barlow Semi Condensed" w:hAnsi="Barlow Semi Condensed"/>
          <w:b/>
          <w:bCs/>
          <w:sz w:val="24"/>
          <w:szCs w:val="24"/>
        </w:rPr>
        <w:t xml:space="preserve">2877 · L'Italia consultata, non mediatrice.</w:t>
      </w:r>
      <w:r>
        <w:rPr>
          <w:rFonts w:ascii="Barlow Semi Condensed" w:cs="Barlow Semi Condensed" w:eastAsia="Barlow Semi Condensed" w:hAnsi="Barlow Semi Condensed"/>
          <w:sz w:val="24"/>
          <w:szCs w:val="24"/>
        </w:rPr>
        <w:t xml:space="preserve"> Un telegramma da Bruxelles del 4 luglio 1974, documento 16 del volume XXX, attesta la convocazione da parte del Segretario generale Joseph Luns degli ambasciatori di sei alleati, Italia compresa; il documento 23, del 30 agosto, include l'Italia fra i consultati sul ritiro greco dalla struttura integrata. Nessuno dei due nomina il Segretario di Stato americano. La consultazione atlantica non è un canale bilaterale.</w:t>
      </w:r>
    </w:p>
    <w:p>
      <w:pPr>
        <w:spacing w:after="120" w:line="276"/>
        <w:jc w:val="both"/>
      </w:pPr>
      <w:r>
        <w:rPr>
          <w:rFonts w:ascii="Barlow Semi Condensed" w:cs="Barlow Semi Condensed" w:eastAsia="Barlow Semi Condensed" w:hAnsi="Barlow Semi Condensed"/>
          <w:b/>
          <w:bCs/>
          <w:sz w:val="24"/>
          <w:szCs w:val="24"/>
        </w:rPr>
        <w:t xml:space="preserve">2878 · Stato Zero: Moro sulla Turchia.</w:t>
      </w:r>
      <w:r>
        <w:rPr>
          <w:rFonts w:ascii="Barlow Semi Condensed" w:cs="Barlow Semi Condensed" w:eastAsia="Barlow Semi Condensed" w:hAnsi="Barlow Semi Condensed"/>
          <w:sz w:val="24"/>
          <w:szCs w:val="24"/>
        </w:rPr>
        <w:t xml:space="preserve"> Il Capitolo III chiude con un esito prevalentemente negativo: non si sono reperite dichiarazioni o atti specifici di Moro sulla Turchia nei mesi della crisi cipriota, come il blocco 351 dell'opera aveva già registrato. Ne segue che per l'estate 1974 i due nomi triangolati non condividono un solo documento del territorio. Sedi: serie Turchia e Cipro 1974 della Farnesina, edizione digitale delle carte Moro.</w:t>
      </w:r>
    </w:p>
    <w:p>
      <w:pPr>
        <w:spacing w:after="120" w:line="276"/>
        <w:jc w:val="both"/>
      </w:pPr>
      <w:r>
        <w:rPr>
          <w:rFonts w:ascii="Barlow Semi Condensed" w:cs="Barlow Semi Condensed" w:eastAsia="Barlow Semi Condensed" w:hAnsi="Barlow Semi Condensed"/>
          <w:b/>
          <w:bCs/>
          <w:sz w:val="24"/>
          <w:szCs w:val="24"/>
        </w:rPr>
        <w:t xml:space="preserve">2879 · Il verbale del 25 settembre 1974 (serie XXXVIII).</w:t>
      </w:r>
      <w:r>
        <w:rPr>
          <w:rFonts w:ascii="Barlow Semi Condensed" w:cs="Barlow Semi Condensed" w:eastAsia="Barlow Semi Condensed" w:hAnsi="Barlow Semi Condensed"/>
          <w:sz w:val="24"/>
          <w:szCs w:val="24"/>
        </w:rPr>
        <w:t xml:space="preserve"> Esiste un rapporto diretto documentato fra Moro e il nome qui triangolato, ed è il memorandum of conversation dello Studio Ovale del 25 settembre 1974, con Leone, Ford e Scowcroft, edito come documento 350 del volume E-15 parte 2 in seconda edizione riveduta e conservato alla Ford Library con il numero di file 1552802. Il quesito di questa serie è uno: vi si parlò di Cipro?</w:t>
      </w:r>
    </w:p>
    <w:p>
      <w:pPr>
        <w:spacing w:after="120" w:line="276"/>
        <w:jc w:val="both"/>
      </w:pPr>
      <w:r>
        <w:rPr>
          <w:rFonts w:ascii="Barlow Semi Condensed" w:cs="Barlow Semi Condensed" w:eastAsia="Barlow Semi Condensed" w:hAnsi="Barlow Semi Condensed"/>
          <w:b/>
          <w:bCs/>
          <w:sz w:val="24"/>
          <w:szCs w:val="24"/>
        </w:rPr>
        <w:t xml:space="preserve">2880 · Il criterio che decide.</w:t>
      </w:r>
      <w:r>
        <w:rPr>
          <w:rFonts w:ascii="Barlow Semi Condensed" w:cs="Barlow Semi Condensed" w:eastAsia="Barlow Semi Condensed" w:hAnsi="Barlow Semi Condensed"/>
          <w:sz w:val="24"/>
          <w:szCs w:val="24"/>
        </w:rPr>
        <w:t xml:space="preserve"> Se quel verbale contiene un passaggio sulla crisi cipriota o sulla Turchia, la serie acquista il suo secondo ancoraggio di piano 1 e il territorio smette di essere muto. Se non lo contiene, lo Stato Zero si irrigidisce e va scritto come definitivo per quella sede. La lettura sia integrale e non per indice: il testo è breve e interamente disponibile.</w:t>
      </w:r>
    </w:p>
    <w:p>
      <w:pPr>
        <w:spacing w:after="120" w:line="276"/>
        <w:jc w:val="both"/>
      </w:pPr>
      <w:r>
        <w:rPr>
          <w:rFonts w:ascii="Barlow Semi Condensed" w:cs="Barlow Semi Condensed" w:eastAsia="Barlow Semi Condensed" w:hAnsi="Barlow Semi Condensed"/>
          <w:b/>
          <w:bCs/>
          <w:sz w:val="24"/>
          <w:szCs w:val="24"/>
        </w:rPr>
        <w:t xml:space="preserve">2881 · Il verbale del giorno dopo.</w:t>
      </w:r>
      <w:r>
        <w:rPr>
          <w:rFonts w:ascii="Barlow Semi Condensed" w:cs="Barlow Semi Condensed" w:eastAsia="Barlow Semi Condensed" w:hAnsi="Barlow Semi Condensed"/>
          <w:sz w:val="24"/>
          <w:szCs w:val="24"/>
        </w:rPr>
        <w:t xml:space="preserve"> Alla stessa Ford Library è disponibile il memorandum del 26 settembre 1974, file 1552806, richiamato dalla ricognizione-madre della cartella. Va letto con il medesimo quesito e con la medesima disciplina: che cosa vi si dice della Turchia, di Cipro e dell'embargo allora in discussione al Congresso. Due verbali contigui, un solo criterio, e l'esito negativo dichiarato se tale risulta.</w:t>
      </w:r>
    </w:p>
    <w:p>
      <w:pPr>
        <w:spacing w:after="120" w:line="276"/>
        <w:jc w:val="both"/>
      </w:pPr>
      <w:r>
        <w:rPr>
          <w:rFonts w:ascii="Barlow Semi Condensed" w:cs="Barlow Semi Condensed" w:eastAsia="Barlow Semi Condensed" w:hAnsi="Barlow Semi Condensed"/>
          <w:b/>
          <w:bCs/>
          <w:sz w:val="24"/>
          <w:szCs w:val="24"/>
        </w:rPr>
        <w:t xml:space="preserve">2882 · Che cosa il verbale attesta.</w:t>
      </w:r>
      <w:r>
        <w:rPr>
          <w:rFonts w:ascii="Barlow Semi Condensed" w:cs="Barlow Semi Condensed" w:eastAsia="Barlow Semi Condensed" w:hAnsi="Barlow Semi Condensed"/>
          <w:sz w:val="24"/>
          <w:szCs w:val="24"/>
        </w:rPr>
        <w:t xml:space="preserve"> È accertamento fissato dall'opera che quel verbale non contiene alcun ultimatum personale ad Aldo Moro, e che attesta invece la posizione sul non poter scambiare informazioni militari con un governo che includesse i comunisti. Chi vi cercasse una traccia turca deve tenere fermo questo dato, per non trasformare la lettura in una caccia confermativa di ciò che si desidera trovare.</w:t>
      </w:r>
    </w:p>
    <w:p>
      <w:pPr>
        <w:spacing w:after="120" w:line="276"/>
        <w:jc w:val="both"/>
      </w:pPr>
      <w:r>
        <w:rPr>
          <w:rFonts w:ascii="Barlow Semi Condensed" w:cs="Barlow Semi Condensed" w:eastAsia="Barlow Semi Condensed" w:hAnsi="Barlow Semi Condensed"/>
          <w:b/>
          <w:bCs/>
          <w:sz w:val="24"/>
          <w:szCs w:val="24"/>
        </w:rPr>
        <w:t xml:space="preserve">2883 · L'embargo come dossier americano interno.</w:t>
      </w:r>
      <w:r>
        <w:rPr>
          <w:rFonts w:ascii="Barlow Semi Condensed" w:cs="Barlow Semi Condensed" w:eastAsia="Barlow Semi Condensed" w:hAnsi="Barlow Semi Condensed"/>
          <w:sz w:val="24"/>
          <w:szCs w:val="24"/>
        </w:rPr>
        <w:t xml:space="preserve"> Deliberato dal Congresso nel dicembre 1974 ed entrato in vigore il 5 febbraio 1975, l'embargo sulle forniture militari alla Turchia fu anzitutto un conflitto fra legislativo ed esecutivo statunitensi. La cartella registra il voto della Camera del 24 luglio 1975, che respinse il piano di Gerald Ford per duecentoventitré voti contro duecentosei, e l'accusa mossa all'amministrazione di cedere a un ricatto. L'esecutivo vi è nominato dal presidente.</w:t>
      </w:r>
    </w:p>
    <w:p>
      <w:pPr>
        <w:spacing w:after="120" w:line="276"/>
        <w:jc w:val="both"/>
      </w:pPr>
      <w:r>
        <w:rPr>
          <w:rFonts w:ascii="Barlow Semi Condensed" w:cs="Barlow Semi Condensed" w:eastAsia="Barlow Semi Condensed" w:hAnsi="Barlow Semi Condensed"/>
          <w:b/>
          <w:bCs/>
          <w:sz w:val="24"/>
          <w:szCs w:val="24"/>
        </w:rPr>
        <w:t xml:space="preserve">2884 · Quesito: le audizioni del 1975.</w:t>
      </w:r>
      <w:r>
        <w:rPr>
          <w:rFonts w:ascii="Barlow Semi Condensed" w:cs="Barlow Semi Condensed" w:eastAsia="Barlow Semi Condensed" w:hAnsi="Barlow Semi Condensed"/>
          <w:sz w:val="24"/>
          <w:szCs w:val="24"/>
        </w:rPr>
        <w:t xml:space="preserve"> Se l'amministrazione difese in sede parlamentare la revoca dell'embargo, la difesa fu portata da qualcuno. La sede di accertamento sono le audizioni delle commissioni per gli affari esteri di Camera e Senato nel 1975, stampate negli Hearings del Congresso e reperibili in serie continua. È l'unico luogo in cui la posizione del Dipartimento di Stato su Ankara diventa testo pubblico e datato.</w:t>
      </w:r>
    </w:p>
    <w:p>
      <w:pPr>
        <w:spacing w:after="120" w:line="276"/>
        <w:jc w:val="both"/>
      </w:pPr>
      <w:r>
        <w:rPr>
          <w:rFonts w:ascii="Barlow Semi Condensed" w:cs="Barlow Semi Condensed" w:eastAsia="Barlow Semi Condensed" w:hAnsi="Barlow Semi Condensed"/>
          <w:b/>
          <w:bCs/>
          <w:sz w:val="24"/>
          <w:szCs w:val="24"/>
        </w:rPr>
        <w:t xml:space="preserve">2885 · La nota turca del giugno 1975.</w:t>
      </w:r>
      <w:r>
        <w:rPr>
          <w:rFonts w:ascii="Barlow Semi Condensed" w:cs="Barlow Semi Condensed" w:eastAsia="Barlow Semi Condensed" w:hAnsi="Barlow Semi Condensed"/>
          <w:sz w:val="24"/>
          <w:szCs w:val="24"/>
        </w:rPr>
        <w:t xml:space="preserve"> Il territorio riferisce la nota consegnata all'ambasciata statunitense da İhsan Sabri Çağlayangil il 18 giugno 1975, che dichiarava l'embargo tanto ingiusto quanto errato sotto ogni aspetto e chiedeva negoziati sulle basi entro trenta giorni, ma la cita attraverso una cronaca di giornale universitario. Il testo diplomatico ricevuto dal Dipartimento è cercabile nei Central Foreign Policy Files. Stampa e provenienza non si equivalgono.</w:t>
      </w:r>
    </w:p>
    <w:p>
      <w:pPr>
        <w:spacing w:after="120" w:line="276"/>
        <w:jc w:val="both"/>
      </w:pPr>
      <w:r>
        <w:rPr>
          <w:rFonts w:ascii="Barlow Semi Condensed" w:cs="Barlow Semi Condensed" w:eastAsia="Barlow Semi Condensed" w:hAnsi="Barlow Semi Condensed"/>
          <w:b/>
          <w:bCs/>
          <w:sz w:val="24"/>
          <w:szCs w:val="24"/>
        </w:rPr>
        <w:t xml:space="preserve">2886 · Venti basi e tre stazioni.</w:t>
      </w:r>
      <w:r>
        <w:rPr>
          <w:rFonts w:ascii="Barlow Semi Condensed" w:cs="Barlow Semi Condensed" w:eastAsia="Barlow Semi Condensed" w:hAnsi="Barlow Semi Condensed"/>
          <w:sz w:val="24"/>
          <w:szCs w:val="24"/>
        </w:rPr>
        <w:t xml:space="preserve"> Nel luglio 1975 la Turchia sospese le attività di una ventina di installazioni statunitensi, fra cui la base aerea di İncirlik e tre stazioni per il monitoraggio dei movimenti navali sovietici da e verso il Mar Nero, mantenendo operative quelle funzionali alla NATO. Il dato misura la posta del dossier; non contiene, di per sé, alcuna attribuzione personale, e non va convertito in una.</w:t>
      </w:r>
    </w:p>
    <w:p>
      <w:pPr>
        <w:spacing w:after="120" w:line="276"/>
        <w:jc w:val="both"/>
      </w:pPr>
      <w:r>
        <w:rPr>
          <w:rFonts w:ascii="Barlow Semi Condensed" w:cs="Barlow Semi Condensed" w:eastAsia="Barlow Semi Condensed" w:hAnsi="Barlow Semi Condensed"/>
          <w:b/>
          <w:bCs/>
          <w:sz w:val="24"/>
          <w:szCs w:val="24"/>
        </w:rPr>
        <w:t xml:space="preserve">2887 · La revoca è del 1978.</w:t>
      </w:r>
      <w:r>
        <w:rPr>
          <w:rFonts w:ascii="Barlow Semi Condensed" w:cs="Barlow Semi Condensed" w:eastAsia="Barlow Semi Condensed" w:hAnsi="Barlow Semi Condensed"/>
          <w:sz w:val="24"/>
          <w:szCs w:val="24"/>
        </w:rPr>
        <w:t xml:space="preserve"> Perfezionata il 26 settembre 1978 con la firma del presidente Carter e la Presidential Determination numero 78-18, la revoca dell'embargo è attestata dal documento 121 del volume XXI dei Foreign Relations 1977-1980. La data cade oltre il 20 gennaio 1977 e dunque fuori da ogni incarico del nome qui triangolato. È chiusura cronologica, e va scritta perché impedisce attribuzioni retroattive.</w:t>
      </w:r>
    </w:p>
    <w:p>
      <w:pPr>
        <w:spacing w:after="120" w:line="276"/>
        <w:jc w:val="both"/>
      </w:pPr>
      <w:r>
        <w:rPr>
          <w:rFonts w:ascii="Barlow Semi Condensed" w:cs="Barlow Semi Condensed" w:eastAsia="Barlow Semi Condensed" w:hAnsi="Barlow Semi Condensed"/>
          <w:b/>
          <w:bCs/>
          <w:sz w:val="24"/>
          <w:szCs w:val="24"/>
        </w:rPr>
        <w:t xml:space="preserve">2888 · Stato Zero: l'Italia e l'embargo.</w:t>
      </w:r>
      <w:r>
        <w:rPr>
          <w:rFonts w:ascii="Barlow Semi Condensed" w:cs="Barlow Semi Condensed" w:eastAsia="Barlow Semi Condensed" w:hAnsi="Barlow Semi Condensed"/>
          <w:sz w:val="24"/>
          <w:szCs w:val="24"/>
        </w:rPr>
        <w:t xml:space="preserve"> Il Capitolo IV dichiara di non aver trovato dichiarazioni del governo Moro né atti della Farnesina sull'embargo statunitense, e il blocco 352 dell'opera lo aveva già registrato. La cartella aggiunge un avvertimento che questa serie fa proprio: la comune appartenenza atlantica è comunanza di ambiente, non convergenza attiva. Sedi: corrispondenza con la rappresentanza presso la NATO, Archivio storico-diplomatico della Farnesina.</w:t>
      </w:r>
    </w:p>
    <w:p>
      <w:pPr>
        <w:spacing w:after="120" w:line="276"/>
        <w:jc w:val="both"/>
      </w:pPr>
      <w:r>
        <w:rPr>
          <w:rFonts w:ascii="Barlow Semi Condensed" w:cs="Barlow Semi Condensed" w:eastAsia="Barlow Semi Condensed" w:hAnsi="Barlow Semi Condensed"/>
          <w:b/>
          <w:bCs/>
          <w:sz w:val="24"/>
          <w:szCs w:val="24"/>
        </w:rPr>
        <w:t xml:space="preserve">2889 · Il fianco sud come inferenza.</w:t>
      </w:r>
      <w:r>
        <w:rPr>
          <w:rFonts w:ascii="Barlow Semi Condensed" w:cs="Barlow Semi Condensed" w:eastAsia="Barlow Semi Condensed" w:hAnsi="Barlow Semi Condensed"/>
          <w:sz w:val="24"/>
          <w:szCs w:val="24"/>
        </w:rPr>
        <w:t xml:space="preserve"> È possibile inferire senza forzature che l'Italia avesse interesse oggettivo alla ricomposizione della frattura fra Washington e Ankara; la cartella stessa lo scrive e subito lo distingue da un accertamento. Questa serie registra l'inferenza al piano 2 e la lascia lì. Nessun numero di interessi convergenti produce un documento, e nessun documento mancante viene sostituito da un interesse plausibile.</w:t>
      </w:r>
    </w:p>
    <w:p>
      <w:pPr>
        <w:spacing w:after="120" w:line="276"/>
        <w:jc w:val="both"/>
      </w:pPr>
      <w:r>
        <w:rPr>
          <w:rFonts w:ascii="Barlow Semi Condensed" w:cs="Barlow Semi Condensed" w:eastAsia="Barlow Semi Condensed" w:hAnsi="Barlow Semi Condensed"/>
          <w:b/>
          <w:bCs/>
          <w:sz w:val="24"/>
          <w:szCs w:val="24"/>
        </w:rPr>
        <w:t xml:space="preserve">2890 · Le tre note verbali del 1974.</w:t>
      </w:r>
      <w:r>
        <w:rPr>
          <w:rFonts w:ascii="Barlow Semi Condensed" w:cs="Barlow Semi Condensed" w:eastAsia="Barlow Semi Condensed" w:hAnsi="Barlow Semi Condensed"/>
          <w:sz w:val="24"/>
          <w:szCs w:val="24"/>
        </w:rPr>
        <w:t xml:space="preserve"> Nota greca del 7 febbraio 1974, replica turca del 27 febbraio secondo cui le isole prospicienti la costa anatolica non possiedono piattaforma propria, ulteriore nota greca del 24 maggio: la sequenza è ricostruita dalla sentenza della Corte internazionale di giustizia del 19 dicembre 1978. Nessuna delle tre coinvolge Washington. La disputa egea, nel territorio, nasce e resta bilaterale.</w:t>
      </w:r>
    </w:p>
    <w:p>
      <w:pPr>
        <w:spacing w:after="120" w:line="276"/>
        <w:jc w:val="both"/>
      </w:pPr>
      <w:r>
        <w:rPr>
          <w:rFonts w:ascii="Barlow Semi Condensed" w:cs="Barlow Semi Condensed" w:eastAsia="Barlow Semi Condensed" w:hAnsi="Barlow Semi Condensed"/>
          <w:b/>
          <w:bCs/>
          <w:sz w:val="24"/>
          <w:szCs w:val="24"/>
        </w:rPr>
        <w:t xml:space="preserve">2891 · Il documento 200 e Ankara.</w:t>
      </w:r>
      <w:r>
        <w:rPr>
          <w:rFonts w:ascii="Barlow Semi Condensed" w:cs="Barlow Semi Condensed" w:eastAsia="Barlow Semi Condensed" w:hAnsi="Barlow Semi Condensed"/>
          <w:sz w:val="24"/>
          <w:szCs w:val="24"/>
        </w:rPr>
        <w:t xml:space="preserve"> Le posizioni turche sulla disputa egea sono documentate dal telegramma da Ankara che il volume XXX numera 200, con attenzione ai vertici militari e civili, incluso il presidente Fahri Korutürk, già comandante di flotta. È un rapporto di ambasciata, cioè una fonte americana su una posizione turca: piano 1 rispetto a ciò che l'ambasciata riferì, e nulla rispetto a chi lo lesse a Washington.</w:t>
      </w:r>
    </w:p>
    <w:p>
      <w:pPr>
        <w:spacing w:after="120" w:line="276"/>
        <w:jc w:val="both"/>
      </w:pPr>
      <w:r>
        <w:rPr>
          <w:rFonts w:ascii="Barlow Semi Condensed" w:cs="Barlow Semi Condensed" w:eastAsia="Barlow Semi Condensed" w:hAnsi="Barlow Semi Condensed"/>
          <w:b/>
          <w:bCs/>
          <w:sz w:val="24"/>
          <w:szCs w:val="24"/>
        </w:rPr>
        <w:t xml:space="preserve">2892 · Montreux, sfondo e non nesso.</w:t>
      </w:r>
      <w:r>
        <w:rPr>
          <w:rFonts w:ascii="Barlow Semi Condensed" w:cs="Barlow Semi Condensed" w:eastAsia="Barlow Semi Condensed" w:hAnsi="Barlow Semi Condensed"/>
          <w:sz w:val="24"/>
          <w:szCs w:val="24"/>
        </w:rPr>
        <w:t xml:space="preserve"> La Convenzione del 20 luglio 1936 sugli Stretti, cui l'Italia aderì il 2 maggio 1938, colloca Ankara come custode di un passaggio strategico e spiega la sua posizione nell'assetto della guerra fredda. La cartella avverte che non si sono reperiti atti che colleghino Montreux all'azione ministeriale di Moro. Vale identico per il nome triangolato: sfondo strutturale, non ponte documentale.</w:t>
      </w:r>
    </w:p>
    <w:p>
      <w:pPr>
        <w:spacing w:after="120" w:line="276"/>
        <w:jc w:val="both"/>
      </w:pPr>
      <w:r>
        <w:rPr>
          <w:rFonts w:ascii="Barlow Semi Condensed" w:cs="Barlow Semi Condensed" w:eastAsia="Barlow Semi Condensed" w:hAnsi="Barlow Semi Condensed"/>
          <w:b/>
          <w:bCs/>
          <w:sz w:val="24"/>
          <w:szCs w:val="24"/>
        </w:rPr>
        <w:t xml:space="preserve">2893 · Piattaforma continentale, termine di confronto.</w:t>
      </w:r>
      <w:r>
        <w:rPr>
          <w:rFonts w:ascii="Barlow Semi Condensed" w:cs="Barlow Semi Condensed" w:eastAsia="Barlow Semi Condensed" w:hAnsi="Barlow Semi Condensed"/>
          <w:sz w:val="24"/>
          <w:szCs w:val="24"/>
        </w:rPr>
        <w:t xml:space="preserve"> L'Accordo fra Grecia e Italia sulla piattaforma continentale, firmato il 24 maggio 1977, mostra un metodo bilaterale che l'Italia praticava nella regione, ma su un fronte diverso da quello conteso. Serve come termine di confronto e non come indizio: la somiglianza del metodo è analogia, non discendenza, secondo la distinzione fissata dai blocchi 22 e 139 dell'opera.</w:t>
      </w:r>
    </w:p>
    <w:p>
      <w:pPr>
        <w:spacing w:after="120" w:line="276"/>
        <w:jc w:val="both"/>
      </w:pPr>
      <w:r>
        <w:rPr>
          <w:rFonts w:ascii="Barlow Semi Condensed" w:cs="Barlow Semi Condensed" w:eastAsia="Barlow Semi Condensed" w:hAnsi="Barlow Semi Condensed"/>
          <w:b/>
          <w:bCs/>
          <w:sz w:val="24"/>
          <w:szCs w:val="24"/>
        </w:rPr>
        <w:t xml:space="preserve">2894 · Stato Zero sull'Egeo.</w:t>
      </w:r>
      <w:r>
        <w:rPr>
          <w:rFonts w:ascii="Barlow Semi Condensed" w:cs="Barlow Semi Condensed" w:eastAsia="Barlow Semi Condensed" w:hAnsi="Barlow Semi Condensed"/>
          <w:sz w:val="24"/>
          <w:szCs w:val="24"/>
        </w:rPr>
        <w:t xml:space="preserve"> Per il 1973-1974 la posizione italiana sulla disputa egea non risulta documentata da fonti primarie reperite, e la sede di chiusura è l'Archivio storico-diplomatico della Farnesina. Poiché anche il versante americano del dossier si riduce, nel territorio, a un solo telegramma di ambasciata, la triangolazione qui non ha due lati su tre: ha un lato e due vuoti dichiarati.</w:t>
      </w:r>
    </w:p>
    <w:p>
      <w:pPr>
        <w:spacing w:after="120" w:line="276"/>
        <w:jc w:val="both"/>
      </w:pPr>
      <w:r>
        <w:rPr>
          <w:rFonts w:ascii="Barlow Semi Condensed" w:cs="Barlow Semi Condensed" w:eastAsia="Barlow Semi Condensed" w:hAnsi="Barlow Semi Condensed"/>
          <w:b/>
          <w:bCs/>
          <w:sz w:val="24"/>
          <w:szCs w:val="24"/>
        </w:rPr>
        <w:t xml:space="preserve">2895 · Le licenze TPAO del 1973.</w:t>
      </w:r>
      <w:r>
        <w:rPr>
          <w:rFonts w:ascii="Barlow Semi Condensed" w:cs="Barlow Semi Condensed" w:eastAsia="Barlow Semi Condensed" w:hAnsi="Barlow Semi Condensed"/>
          <w:sz w:val="24"/>
          <w:szCs w:val="24"/>
        </w:rPr>
        <w:t xml:space="preserve"> Verso la fine del 1973 il governo turco concesse alla compagnia petrolifera di Stato licenze di esplorazione in ventisette zone della piattaforma egea, a est di una linea che partiva dalla foce dell'Evros. La data cade nei primi mesi del Segretariato in esame e nel secondo mandato ministeriale di Moro: contemporaneità pura, che il corpus vieta di trattare come nesso.</w:t>
      </w:r>
    </w:p>
    <w:p>
      <w:pPr>
        <w:spacing w:after="120" w:line="276"/>
        <w:jc w:val="both"/>
      </w:pPr>
      <w:r>
        <w:rPr>
          <w:rFonts w:ascii="Barlow Semi Condensed" w:cs="Barlow Semi Condensed" w:eastAsia="Barlow Semi Condensed" w:hAnsi="Barlow Semi Condensed"/>
          <w:b/>
          <w:bCs/>
          <w:sz w:val="24"/>
          <w:szCs w:val="24"/>
        </w:rPr>
        <w:t xml:space="preserve">2896 · L'atto che porta la firma.</w:t>
      </w:r>
      <w:r>
        <w:rPr>
          <w:rFonts w:ascii="Barlow Semi Condensed" w:cs="Barlow Semi Condensed" w:eastAsia="Barlow Semi Condensed" w:hAnsi="Barlow Semi Condensed"/>
          <w:sz w:val="24"/>
          <w:szCs w:val="24"/>
        </w:rPr>
        <w:t xml:space="preserve"> Il preambolo del Regolamento CEE numero 1842/71 attesta che l'Accordo provvisorio con la Turchia fu firmato a Bruxelles il 27 luglio 1971 dal ministro Aldo Moro a nome del Consiglio delle Comunità, con Franco Maria Malfatti per la Commissione e Osman Olcay per Ankara. È il nesso Moro-Turchia meglio documentato della cartella, come registra il blocco 349, e non vi compare alcun nome americano.</w:t>
      </w:r>
    </w:p>
    <w:p>
      <w:pPr>
        <w:spacing w:after="120" w:line="276"/>
        <w:jc w:val="both"/>
      </w:pPr>
      <w:r>
        <w:rPr>
          <w:rFonts w:ascii="Barlow Semi Condensed" w:cs="Barlow Semi Condensed" w:eastAsia="Barlow Semi Condensed" w:hAnsi="Barlow Semi Condensed"/>
          <w:b/>
          <w:bCs/>
          <w:sz w:val="24"/>
          <w:szCs w:val="24"/>
        </w:rPr>
        <w:t xml:space="preserve">2897 · Il firmatario ancora ignoto.</w:t>
      </w:r>
      <w:r>
        <w:rPr>
          <w:rFonts w:ascii="Barlow Semi Condensed" w:cs="Barlow Semi Condensed" w:eastAsia="Barlow Semi Condensed" w:hAnsi="Barlow Semi Condensed"/>
          <w:sz w:val="24"/>
          <w:szCs w:val="24"/>
        </w:rPr>
        <w:t xml:space="preserve"> Chi abbia firmato per la Repubblica italiana il Protocollo addizionale del 23 novembre 1970 resta da accertare, perché l'elenco dei plenipotenziari nell'Atto finale non è stato estratto. Sede: EUR-Lex, CELEX 21970A1123(01), sezione Per la Repubblica italiana, e Gazzetta ufficiale delle Comunità europee L 293 del 29 dicembre 1972, pagine 4-56. È l'acquisizione a più alto rendimento del territorio, e non riguarda Washington.</w:t>
      </w:r>
    </w:p>
    <w:p>
      <w:pPr>
        <w:spacing w:after="120" w:line="276"/>
        <w:jc w:val="both"/>
      </w:pPr>
      <w:r>
        <w:rPr>
          <w:rFonts w:ascii="Barlow Semi Condensed" w:cs="Barlow Semi Condensed" w:eastAsia="Barlow Semi Condensed" w:hAnsi="Barlow Semi Condensed"/>
          <w:b/>
          <w:bCs/>
          <w:sz w:val="24"/>
          <w:szCs w:val="24"/>
        </w:rPr>
        <w:t xml:space="preserve">2898 · Perché l'atto comunitario esclude.</w:t>
      </w:r>
      <w:r>
        <w:rPr>
          <w:rFonts w:ascii="Barlow Semi Condensed" w:cs="Barlow Semi Condensed" w:eastAsia="Barlow Semi Condensed" w:hAnsi="Barlow Semi Condensed"/>
          <w:sz w:val="24"/>
          <w:szCs w:val="24"/>
        </w:rPr>
        <w:t xml:space="preserve"> L'associazione fra Comunità e Turchia si svolgeva in una cornice cui gli Stati Uniti non erano parte. Ne segue una conseguenza utile: il dossier più documentato del rapporto Moro-Turchia è per costruzione quello in cui il nome triangolato non può comparire. L'assenza, qui, non è lacuna d'archivio ma proprietà della materia, e va distinta dagli Stati Zero veri.</w:t>
      </w:r>
    </w:p>
    <w:p>
      <w:pPr>
        <w:spacing w:after="120" w:line="276"/>
        <w:jc w:val="both"/>
      </w:pPr>
      <w:r>
        <w:rPr>
          <w:rFonts w:ascii="Barlow Semi Condensed" w:cs="Barlow Semi Condensed" w:eastAsia="Barlow Semi Condensed" w:hAnsi="Barlow Semi Condensed"/>
          <w:b/>
          <w:bCs/>
          <w:sz w:val="24"/>
          <w:szCs w:val="24"/>
        </w:rPr>
        <w:t xml:space="preserve">2899 · La ratifica italiana da chiudere.</w:t>
      </w:r>
      <w:r>
        <w:rPr>
          <w:rFonts w:ascii="Barlow Semi Condensed" w:cs="Barlow Semi Condensed" w:eastAsia="Barlow Semi Condensed" w:hAnsi="Barlow Semi Condensed"/>
          <w:sz w:val="24"/>
          <w:szCs w:val="24"/>
        </w:rPr>
        <w:t xml:space="preserve"> Il pacchetto sottoposto al Parlamento italiano comprendeva Protocollo addizionale, nuovo Protocollo finanziario, Accordo sui prodotti CECA, Atto finale e Accordo interno; numero e data della legge restano non confermati, e l'attribuzione al numero 757 è stata respinta come ambigua. Sedi: Normattiva, portale storico della Camera per il 1972-1973, Gazzetta Ufficiale storica, fascicolo del disegno di legge all'Archivio storico del Senato.</w:t>
      </w:r>
    </w:p>
    <w:p>
      <w:pPr>
        <w:spacing w:after="120" w:line="276"/>
        <w:jc w:val="both"/>
      </w:pPr>
      <w:r>
        <w:rPr>
          <w:rFonts w:ascii="Barlow Semi Condensed" w:cs="Barlow Semi Condensed" w:eastAsia="Barlow Semi Condensed" w:hAnsi="Barlow Semi Condensed"/>
          <w:b/>
          <w:bCs/>
          <w:sz w:val="24"/>
          <w:szCs w:val="24"/>
        </w:rPr>
        <w:t xml:space="preserve">2900 · Il limite della sesta legislatura (serie XXXVIII).</w:t>
      </w:r>
      <w:r>
        <w:rPr>
          <w:rFonts w:ascii="Barlow Semi Condensed" w:cs="Barlow Semi Condensed" w:eastAsia="Barlow Semi Condensed" w:hAnsi="Barlow Semi Condensed"/>
          <w:sz w:val="24"/>
          <w:szCs w:val="24"/>
        </w:rPr>
        <w:t xml:space="preserve"> La banca dati del sindacato ispettivo parlamentare copre soltanto dalla settima legislatura, cioè dal 5 luglio 1976: per gli anni turchi di Moro l'interrogazione telematica non è disponibile e occorrono i resoconti stenografici cartacei. Il limite vale per qualunque ricerca su questo territorio, compresa quella che cercasse tracce parlamentari italiane dei dossier americani su Ankara.</w:t>
      </w:r>
    </w:p>
    <w:p>
      <w:pPr>
        <w:spacing w:after="120" w:line="276"/>
        <w:jc w:val="both"/>
      </w:pPr>
      <w:r>
        <w:rPr>
          <w:rFonts w:ascii="Barlow Semi Condensed" w:cs="Barlow Semi Condensed" w:eastAsia="Barlow Semi Condensed" w:hAnsi="Barlow Semi Condensed"/>
          <w:b/>
          <w:bCs/>
          <w:sz w:val="24"/>
          <w:szCs w:val="24"/>
        </w:rPr>
        <w:t xml:space="preserve">2901 · Standstill, una lunga coda giudiziaria.</w:t>
      </w:r>
      <w:r>
        <w:rPr>
          <w:rFonts w:ascii="Barlow Semi Condensed" w:cs="Barlow Semi Condensed" w:eastAsia="Barlow Semi Condensed" w:hAnsi="Barlow Semi Condensed"/>
          <w:sz w:val="24"/>
          <w:szCs w:val="24"/>
        </w:rPr>
        <w:t xml:space="preserve"> Dall'articolo 41, paragrafo 1, del Protocollo del 1970 è scaturita decenni dopo la giurisprudenza della Corte di giustizia, dalla causa C-228/06 Soysal decisa il 19 febbraio 2009 alla C-138/13 Dogan. La coda giudiziaria misura la portata dell'atto e null'altro: nessuna di quelle sentenze introduce un attore extracomunitario, e nessuna serve a questa triangolazione se non come prova della sua irrilevanza.</w:t>
      </w:r>
    </w:p>
    <w:p>
      <w:pPr>
        <w:spacing w:after="120" w:line="276"/>
        <w:jc w:val="both"/>
      </w:pPr>
      <w:r>
        <w:rPr>
          <w:rFonts w:ascii="Barlow Semi Condensed" w:cs="Barlow Semi Condensed" w:eastAsia="Barlow Semi Condensed" w:hAnsi="Barlow Semi Condensed"/>
          <w:b/>
          <w:bCs/>
          <w:sz w:val="24"/>
          <w:szCs w:val="24"/>
        </w:rPr>
        <w:t xml:space="preserve">2902 · Halki, la chiusura del 1971.</w:t>
      </w:r>
      <w:r>
        <w:rPr>
          <w:rFonts w:ascii="Barlow Semi Condensed" w:cs="Barlow Semi Condensed" w:eastAsia="Barlow Semi Condensed" w:hAnsi="Barlow Semi Condensed"/>
          <w:sz w:val="24"/>
          <w:szCs w:val="24"/>
        </w:rPr>
        <w:t xml:space="preserve"> La Scuola teologica di Heybeliada, attiva dal 1844 sui terreni del monastero della Santissima Trinità, cessò l'attività nel 1971 in applicazione della norma che imponeva agli istituti superiori privati l'affiliazione alle università di Stato. Le fonti divergono se si trattò di sentenza della Corte costituzionale, di decreto parlamentare o di atto militare: la divergenza si riporta. Nessuna versione coinvolge attori esterni alla Turchia.</w:t>
      </w:r>
    </w:p>
    <w:p>
      <w:pPr>
        <w:spacing w:after="120" w:line="276"/>
        <w:jc w:val="both"/>
      </w:pPr>
      <w:r>
        <w:rPr>
          <w:rFonts w:ascii="Barlow Semi Condensed" w:cs="Barlow Semi Condensed" w:eastAsia="Barlow Semi Condensed" w:hAnsi="Barlow Semi Condensed"/>
          <w:b/>
          <w:bCs/>
          <w:sz w:val="24"/>
          <w:szCs w:val="24"/>
        </w:rPr>
        <w:t xml:space="preserve">2903 · Due Stati Zero sovrapposti.</w:t>
      </w:r>
      <w:r>
        <w:rPr>
          <w:rFonts w:ascii="Barlow Semi Condensed" w:cs="Barlow Semi Condensed" w:eastAsia="Barlow Semi Condensed" w:hAnsi="Barlow Semi Condensed"/>
          <w:sz w:val="24"/>
          <w:szCs w:val="24"/>
        </w:rPr>
        <w:t xml:space="preserve"> Nelle fonti edite non emerge una presa di posizione della Farnesina di Moro su Halki o sulle minoranze cristiane di Turchia: lo ha registrato il blocco 358 dell'opera. Questa serie aggiunge il secondo vuoto, perché nessuna carta del territorio collega la chiusura del 1971 al nome triangolato. Due assenze sovrapposte, con la stessa sede di chiusura e statuti diversi.</w:t>
      </w:r>
    </w:p>
    <w:p>
      <w:pPr>
        <w:spacing w:after="120" w:line="276"/>
        <w:jc w:val="both"/>
      </w:pPr>
      <w:r>
        <w:rPr>
          <w:rFonts w:ascii="Barlow Semi Condensed" w:cs="Barlow Semi Condensed" w:eastAsia="Barlow Semi Condensed" w:hAnsi="Barlow Semi Condensed"/>
          <w:b/>
          <w:bCs/>
          <w:sz w:val="24"/>
          <w:szCs w:val="24"/>
        </w:rPr>
        <w:t xml:space="preserve">2904 · Atenagora, sei o sette luglio.</w:t>
      </w:r>
      <w:r>
        <w:rPr>
          <w:rFonts w:ascii="Barlow Semi Condensed" w:cs="Barlow Semi Condensed" w:eastAsia="Barlow Semi Condensed" w:hAnsi="Barlow Semi Condensed"/>
          <w:sz w:val="24"/>
          <w:szCs w:val="24"/>
        </w:rPr>
        <w:t xml:space="preserve"> Il patriarca ecumenico morì a Istanbul nel luglio 1972; le fonti oscillano fra il 6 e il 7, e la cartella mantiene la divergenza anziché scioglierla. Il metodo interessa questa serie più del fatto: chi triangola un nome su un territorio deve conservare le incertezze del territorio, perché ogni arrotondamento silenzioso è già un'ipotesi non dichiarata.</w:t>
      </w:r>
    </w:p>
    <w:p>
      <w:pPr>
        <w:spacing w:after="120" w:line="276"/>
        <w:jc w:val="both"/>
      </w:pPr>
      <w:r>
        <w:rPr>
          <w:rFonts w:ascii="Barlow Semi Condensed" w:cs="Barlow Semi Condensed" w:eastAsia="Barlow Semi Condensed" w:hAnsi="Barlow Semi Condensed"/>
          <w:b/>
          <w:bCs/>
          <w:sz w:val="24"/>
          <w:szCs w:val="24"/>
        </w:rPr>
        <w:t xml:space="preserve">2905 · Losanna e i cattolici esclusi.</w:t>
      </w:r>
      <w:r>
        <w:rPr>
          <w:rFonts w:ascii="Barlow Semi Condensed" w:cs="Barlow Semi Condensed" w:eastAsia="Barlow Semi Condensed" w:hAnsi="Barlow Semi Condensed"/>
          <w:sz w:val="24"/>
          <w:szCs w:val="24"/>
        </w:rPr>
        <w:t xml:space="preserve"> Gli articoli 37-45 del Trattato del 24 luglio 1923 sono interpretati dalle autorità turche come riferiti alle sole minoranze riconosciute in età ottomana, greco-ortodossi, armeni ed ebrei; i cattolici latini, i caldei e i siro-cattolici ne restano fuori, con effetti concreti sul regime delle fondazioni. È vicenda di diritto interno turco e di trattato del 1923: nessun aggancio al nome triangolato.</w:t>
      </w:r>
    </w:p>
    <w:p>
      <w:pPr>
        <w:spacing w:after="120" w:line="276"/>
        <w:jc w:val="both"/>
      </w:pPr>
      <w:r>
        <w:rPr>
          <w:rFonts w:ascii="Barlow Semi Condensed" w:cs="Barlow Semi Condensed" w:eastAsia="Barlow Semi Condensed" w:hAnsi="Barlow Semi Condensed"/>
          <w:b/>
          <w:bCs/>
          <w:sz w:val="24"/>
          <w:szCs w:val="24"/>
        </w:rPr>
        <w:t xml:space="preserve">2906 · Il decennio di Roncalli.</w:t>
      </w:r>
      <w:r>
        <w:rPr>
          <w:rFonts w:ascii="Barlow Semi Condensed" w:cs="Barlow Semi Condensed" w:eastAsia="Barlow Semi Condensed" w:hAnsi="Barlow Semi Condensed"/>
          <w:sz w:val="24"/>
          <w:szCs w:val="24"/>
        </w:rPr>
        <w:t xml:space="preserve"> Angelo Giuseppe Roncalli fu delegato apostolico in Turchia dall'inizio del 1935 alla fine del 1944, con arrivo a Istanbul il 5 gennaio 1935 e divergenza fra le fonti sulla data di nomina. È la radice riconosciuta delle relazioni diplomatiche del 1960. Il periodo precede di un quarto di secolo ogni incarico del nome qui triangolato, e va tenuto fuori dalla serie salvo che per contrasto cronologico.</w:t>
      </w:r>
    </w:p>
    <w:p>
      <w:pPr>
        <w:spacing w:after="120" w:line="276"/>
        <w:jc w:val="both"/>
      </w:pPr>
      <w:r>
        <w:rPr>
          <w:rFonts w:ascii="Barlow Semi Condensed" w:cs="Barlow Semi Condensed" w:eastAsia="Barlow Semi Condensed" w:hAnsi="Barlow Semi Condensed"/>
          <w:b/>
          <w:bCs/>
          <w:sz w:val="24"/>
          <w:szCs w:val="24"/>
        </w:rPr>
        <w:t xml:space="preserve">2907 · Internunziatura, Nunziatura, due date.</w:t>
      </w:r>
      <w:r>
        <w:rPr>
          <w:rFonts w:ascii="Barlow Semi Condensed" w:cs="Barlow Semi Condensed" w:eastAsia="Barlow Semi Condensed" w:hAnsi="Barlow Semi Condensed"/>
          <w:sz w:val="24"/>
          <w:szCs w:val="24"/>
        </w:rPr>
        <w:t xml:space="preserve"> L'Internunziatura apostolica di Turchia fu eretta il 25 gennaio 1960 ed elevata a Nunziatura il 30 agosto 1966 con il breve Optimo sane. Le due date fissano il canale Santa Sede-Ankara come bilaterale e proprio. Chi cercasse un canale triangolare che passi per Washington dovrebbe produrre un documento di Segreteria di Stato che lo nomini: allo stato non ne risulta reperito alcuno.</w:t>
      </w:r>
    </w:p>
    <w:p>
      <w:pPr>
        <w:spacing w:after="120" w:line="276"/>
        <w:jc w:val="both"/>
      </w:pPr>
      <w:r>
        <w:rPr>
          <w:rFonts w:ascii="Barlow Semi Condensed" w:cs="Barlow Semi Condensed" w:eastAsia="Barlow Semi Condensed" w:hAnsi="Barlow Semi Condensed"/>
          <w:b/>
          <w:bCs/>
          <w:sz w:val="24"/>
          <w:szCs w:val="24"/>
        </w:rPr>
        <w:t xml:space="preserve">2908 · Le tre firme del 1975.</w:t>
      </w:r>
      <w:r>
        <w:rPr>
          <w:rFonts w:ascii="Barlow Semi Condensed" w:cs="Barlow Semi Condensed" w:eastAsia="Barlow Semi Condensed" w:hAnsi="Barlow Semi Condensed"/>
          <w:sz w:val="24"/>
          <w:szCs w:val="24"/>
        </w:rPr>
        <w:t xml:space="preserve"> L'Atto finale reca la firma della Santa Sede, primo consesso di Stati cui partecipava a pieno titolo dal Congresso di Vienna, quella della Turchia e quella di Aldo Moro nella duplice qualità di presidente del Consiglio e presidente di turno della Comunità. Il blocco 536 dell'opera la registra come l'unica triangolazione certa fra gli oggetti della cartella. Firmarono capi di Stato o di governo.</w:t>
      </w:r>
    </w:p>
    <w:p>
      <w:pPr>
        <w:spacing w:after="120" w:line="276"/>
        <w:jc w:val="both"/>
      </w:pPr>
      <w:r>
        <w:rPr>
          <w:rFonts w:ascii="Barlow Semi Condensed" w:cs="Barlow Semi Condensed" w:eastAsia="Barlow Semi Condensed" w:hAnsi="Barlow Semi Condensed"/>
          <w:b/>
          <w:bCs/>
          <w:sz w:val="24"/>
          <w:szCs w:val="24"/>
        </w:rPr>
        <w:t xml:space="preserve">2909 · Chi riferì la cerimonia.</w:t>
      </w:r>
      <w:r>
        <w:rPr>
          <w:rFonts w:ascii="Barlow Semi Condensed" w:cs="Barlow Semi Condensed" w:eastAsia="Barlow Semi Condensed" w:hAnsi="Barlow Semi Condensed"/>
          <w:sz w:val="24"/>
          <w:szCs w:val="24"/>
        </w:rPr>
        <w:t xml:space="preserve"> Il documento 334 del volume XXXIX, telegramma del 2 agosto 1975, conferma la firma da parte di trentacinque capi di Stato o di governo e registra la dichiarazione interpretativa cipriota contro la riserva turca sulla rappresentanza. Quel telegramma porta il nome del Segretario di Stato. Essere l'estensore d'ufficio del resoconto non è essere parte dell'atto: la distinzione va tenuta ferma.</w:t>
      </w:r>
    </w:p>
    <w:p>
      <w:pPr>
        <w:spacing w:after="120" w:line="276"/>
        <w:jc w:val="both"/>
      </w:pPr>
      <w:r>
        <w:rPr>
          <w:rFonts w:ascii="Barlow Semi Condensed" w:cs="Barlow Semi Condensed" w:eastAsia="Barlow Semi Condensed" w:hAnsi="Barlow Semi Condensed"/>
          <w:b/>
          <w:bCs/>
          <w:sz w:val="24"/>
          <w:szCs w:val="24"/>
        </w:rPr>
        <w:t xml:space="preserve">2910 · La questione turca a Helsinki.</w:t>
      </w:r>
      <w:r>
        <w:rPr>
          <w:rFonts w:ascii="Barlow Semi Condensed" w:cs="Barlow Semi Condensed" w:eastAsia="Barlow Semi Condensed" w:hAnsi="Barlow Semi Condensed"/>
          <w:sz w:val="24"/>
          <w:szCs w:val="24"/>
        </w:rPr>
        <w:t xml:space="preserve"> La riserva turca sulla rappresentanza cipriota e la replica di Nicosia, secondo cui quella riserva era priva di effetto, portarono al tavolo di Helsinki la controversia dell'anno precedente, sia pure marginalmente; il blocco 347 dell'opera lo ha già fissato. È il punto in cui i due territori della cartella si toccano, e l'unico documento americano che vi compare è un resoconto.</w:t>
      </w:r>
    </w:p>
    <w:p>
      <w:pPr>
        <w:spacing w:after="120" w:line="276"/>
        <w:jc w:val="both"/>
      </w:pPr>
      <w:r>
        <w:rPr>
          <w:rFonts w:ascii="Barlow Semi Condensed" w:cs="Barlow Semi Condensed" w:eastAsia="Barlow Semi Condensed" w:hAnsi="Barlow Semi Condensed"/>
          <w:b/>
          <w:bCs/>
          <w:sz w:val="24"/>
          <w:szCs w:val="24"/>
        </w:rPr>
        <w:t xml:space="preserve">2911 · La proposta del 7 marzo 1973.</w:t>
      </w:r>
      <w:r>
        <w:rPr>
          <w:rFonts w:ascii="Barlow Semi Condensed" w:cs="Barlow Semi Condensed" w:eastAsia="Barlow Semi Condensed" w:hAnsi="Barlow Semi Condensed"/>
          <w:sz w:val="24"/>
          <w:szCs w:val="24"/>
        </w:rPr>
        <w:t xml:space="preserve"> La delegazione pontificia guidata da Agostino Casaroli, con Achille Silvestrini, presentò il 7 marzo 1973 la proposta sulla libertà religiosa che confluì nel settimo principio dell'Atto finale. La data precede di oltre sei mesi l'insediamento al Dipartimento di Stato del nome qui triangolato. La precisazione non è pedanteria: serve a impedire che una convergenza di esito si legga come concertazione.</w:t>
      </w:r>
    </w:p>
    <w:p>
      <w:pPr>
        <w:spacing w:after="120" w:line="276"/>
        <w:jc w:val="both"/>
      </w:pPr>
      <w:r>
        <w:rPr>
          <w:rFonts w:ascii="Barlow Semi Condensed" w:cs="Barlow Semi Condensed" w:eastAsia="Barlow Semi Condensed" w:hAnsi="Barlow Semi Condensed"/>
          <w:b/>
          <w:bCs/>
          <w:sz w:val="24"/>
          <w:szCs w:val="24"/>
        </w:rPr>
        <w:t xml:space="preserve">2912 · Stato Zero: Halki a Helsinki.</w:t>
      </w:r>
      <w:r>
        <w:rPr>
          <w:rFonts w:ascii="Barlow Semi Condensed" w:cs="Barlow Semi Condensed" w:eastAsia="Barlow Semi Condensed" w:hAnsi="Barlow Semi Condensed"/>
          <w:sz w:val="24"/>
          <w:szCs w:val="24"/>
        </w:rPr>
        <w:t xml:space="preserve"> Il Capitolo X del territorio ecclesiale dichiara che non risulta sollevata formalmente, nella Conferenza del 1975 e nelle riunioni di seguito di Belgrado e Madrid, la questione delle minoranze cristiane di Turchia e della chiusura di Halki: la libertà religiosa vi fu posta in termini generali e in funzione del blocco orientale. Sedi: atti della CSCE, Segreteria di Stato, archivi diplomatici turchi.</w:t>
      </w:r>
    </w:p>
    <w:p>
      <w:pPr>
        <w:spacing w:after="120" w:line="276"/>
        <w:jc w:val="both"/>
      </w:pPr>
      <w:r>
        <w:rPr>
          <w:rFonts w:ascii="Barlow Semi Condensed" w:cs="Barlow Semi Condensed" w:eastAsia="Barlow Semi Condensed" w:hAnsi="Barlow Semi Condensed"/>
          <w:b/>
          <w:bCs/>
          <w:sz w:val="24"/>
          <w:szCs w:val="24"/>
        </w:rPr>
        <w:t xml:space="preserve">2913 · La posizione turca non documentata.</w:t>
      </w:r>
      <w:r>
        <w:rPr>
          <w:rFonts w:ascii="Barlow Semi Condensed" w:cs="Barlow Semi Condensed" w:eastAsia="Barlow Semi Condensed" w:hAnsi="Barlow Semi Condensed"/>
          <w:sz w:val="24"/>
          <w:szCs w:val="24"/>
        </w:rPr>
        <w:t xml:space="preserve"> La seconda lacuna dichiarata dal medesimo capitolo è la posizione di Ankara sui principi relativi ai diritti umani e alle minoranze nella sede di Helsinki. Finché resta aperta, nessuna ricostruzione che colleghi la delegazione turca a una regia esterna può essere valutata. Lo spoglio sistematico dei verbali della Conferenza è la condizione di chiusura, e non è stato compiuto.</w:t>
      </w:r>
    </w:p>
    <w:p>
      <w:pPr>
        <w:spacing w:after="120" w:line="276"/>
        <w:jc w:val="both"/>
      </w:pPr>
      <w:r>
        <w:rPr>
          <w:rFonts w:ascii="Barlow Semi Condensed" w:cs="Barlow Semi Condensed" w:eastAsia="Barlow Semi Condensed" w:hAnsi="Barlow Semi Condensed"/>
          <w:b/>
          <w:bCs/>
          <w:sz w:val="24"/>
          <w:szCs w:val="24"/>
        </w:rPr>
        <w:t xml:space="preserve">2914 · Il 1981 è fuori incarico.</w:t>
      </w:r>
      <w:r>
        <w:rPr>
          <w:rFonts w:ascii="Barlow Semi Condensed" w:cs="Barlow Semi Condensed" w:eastAsia="Barlow Semi Condensed" w:hAnsi="Barlow Semi Condensed"/>
          <w:sz w:val="24"/>
          <w:szCs w:val="24"/>
        </w:rPr>
        <w:t xml:space="preserve"> L'attentato del 13 maggio 1981 cade oltre il 20 gennaio 1977, quando si chiuse il Segretariato di Stato del nome qui triangolato, e oltre il 3 novembre 1975, fine dell'incarico alla sicurezza nazionale. Nel territorio dedicato a quell'attentato il nome non compare mai. È lo Stato Zero più esteso della serie, ed è anzitutto un fatto di calendario.</w:t>
      </w:r>
    </w:p>
    <w:p>
      <w:pPr>
        <w:spacing w:after="120" w:line="276"/>
        <w:jc w:val="both"/>
      </w:pPr>
      <w:r>
        <w:rPr>
          <w:rFonts w:ascii="Barlow Semi Condensed" w:cs="Barlow Semi Condensed" w:eastAsia="Barlow Semi Condensed" w:hAnsi="Barlow Semi Condensed"/>
          <w:b/>
          <w:bCs/>
          <w:sz w:val="24"/>
          <w:szCs w:val="24"/>
        </w:rPr>
        <w:t xml:space="preserve">2915 · I nomi americani del 1981.</w:t>
      </w:r>
      <w:r>
        <w:rPr>
          <w:rFonts w:ascii="Barlow Semi Condensed" w:cs="Barlow Semi Condensed" w:eastAsia="Barlow Semi Condensed" w:hAnsi="Barlow Semi Condensed"/>
          <w:sz w:val="24"/>
          <w:szCs w:val="24"/>
        </w:rPr>
        <w:t xml:space="preserve"> Nella documentazione desecretata richiamata dal territorio compaiono il direttore della Central Intelligence Agency William J. Casey, l'Office of European Analysis e, per le audizioni del 1° ottobre 1991, l'ex analista Melvin A. Goodman. Sono i documenti 370, 376 e 377 del volume X dei Foreign Relations 1981-1988. Nessuno di essi nomina il Segretario di Stato in carica fino al gennaio 1977.</w:t>
      </w:r>
    </w:p>
    <w:p>
      <w:pPr>
        <w:spacing w:after="120" w:line="276"/>
        <w:jc w:val="both"/>
      </w:pPr>
      <w:r>
        <w:rPr>
          <w:rFonts w:ascii="Barlow Semi Condensed" w:cs="Barlow Semi Condensed" w:eastAsia="Barlow Semi Condensed" w:hAnsi="Barlow Semi Condensed"/>
          <w:b/>
          <w:bCs/>
          <w:sz w:val="24"/>
          <w:szCs w:val="24"/>
        </w:rPr>
        <w:t xml:space="preserve">2916 · Che cosa dicono le analisi.</w:t>
      </w:r>
      <w:r>
        <w:rPr>
          <w:rFonts w:ascii="Barlow Semi Condensed" w:cs="Barlow Semi Condensed" w:eastAsia="Barlow Semi Condensed" w:hAnsi="Barlow Semi Condensed"/>
          <w:sz w:val="24"/>
          <w:szCs w:val="24"/>
        </w:rPr>
        <w:t xml:space="preserve"> L'analisi allegata al memorandum di Casey dichiara di non essere in grado di sviluppare un quadro chiaro e conclusivo del coinvolgimento bulgaro; il documento 376 osserva che gran parte della tesi dell'accusa italiana dipende unicamente dalla testimonianza dell'attentatore; il 377 dichiara di non affrontare la questione ultima della colpevolezza. Prudenza convergente con le sentenze, e nessuna attribuzione a chicchessia.</w:t>
      </w:r>
    </w:p>
    <w:p>
      <w:pPr>
        <w:spacing w:after="120" w:line="276"/>
        <w:jc w:val="both"/>
      </w:pPr>
      <w:r>
        <w:rPr>
          <w:rFonts w:ascii="Barlow Semi Condensed" w:cs="Barlow Semi Condensed" w:eastAsia="Barlow Semi Condensed" w:hAnsi="Barlow Semi Condensed"/>
          <w:b/>
          <w:bCs/>
          <w:sz w:val="24"/>
          <w:szCs w:val="24"/>
        </w:rPr>
        <w:t xml:space="preserve">2917 · La pista bulgara non provata.</w:t>
      </w:r>
      <w:r>
        <w:rPr>
          <w:rFonts w:ascii="Barlow Semi Condensed" w:cs="Barlow Semi Condensed" w:eastAsia="Barlow Semi Condensed" w:hAnsi="Barlow Semi Condensed"/>
          <w:sz w:val="24"/>
          <w:szCs w:val="24"/>
        </w:rPr>
        <w:t xml:space="preserve"> La Corte d'assise di Roma assolse per insufficienza di prove il 29 marzo 1986, e l'appello confermò il 19 dicembre 1987. L'assoluzione per insufficienza di prove non equivale all'accertamento dell'innocenza, ma neppure trasforma un'ipotesi non provata in un fatto. Chi volesse innestare su quel dossier un nome americano dovrebbe superare una soglia probatoria che l'accusa italiana non superò.</w:t>
      </w:r>
    </w:p>
    <w:p>
      <w:pPr>
        <w:spacing w:after="120" w:line="276"/>
        <w:jc w:val="both"/>
      </w:pPr>
      <w:r>
        <w:rPr>
          <w:rFonts w:ascii="Barlow Semi Condensed" w:cs="Barlow Semi Condensed" w:eastAsia="Barlow Semi Condensed" w:hAnsi="Barlow Semi Condensed"/>
          <w:b/>
          <w:bCs/>
          <w:sz w:val="24"/>
          <w:szCs w:val="24"/>
        </w:rPr>
        <w:t xml:space="preserve">2918 · Il lancio dell'agosto 1982.</w:t>
      </w:r>
      <w:r>
        <w:rPr>
          <w:rFonts w:ascii="Barlow Semi Condensed" w:cs="Barlow Semi Condensed" w:eastAsia="Barlow Semi Condensed" w:hAnsi="Barlow Semi Condensed"/>
          <w:sz w:val="24"/>
          <w:szCs w:val="24"/>
        </w:rPr>
        <w:t xml:space="preserve"> La tesi del mandato bulgaro-sovietico comparve nell'agosto 1982 in sede pubblicistica, sul Reader's Digest e per la firma di Claire Sterling, e di lì entrò nell'istruttoria affidata al giudice Ilario Martella. È un caso da manuale di piano 3 che precede il piano 1 anziché seguirlo. Il corpus conosce la meccanica: la replicazione di una fonte sola non produce riscontro.</w:t>
      </w:r>
    </w:p>
    <w:p>
      <w:pPr>
        <w:spacing w:after="120" w:line="276"/>
        <w:jc w:val="both"/>
      </w:pPr>
      <w:r>
        <w:rPr>
          <w:rFonts w:ascii="Barlow Semi Condensed" w:cs="Barlow Semi Condensed" w:eastAsia="Barlow Semi Condensed" w:hAnsi="Barlow Semi Condensed"/>
          <w:b/>
          <w:bCs/>
          <w:sz w:val="24"/>
          <w:szCs w:val="24"/>
        </w:rPr>
        <w:t xml:space="preserve">2919 · Due novembre 1982, nessun nesso.</w:t>
      </w:r>
      <w:r>
        <w:rPr>
          <w:rFonts w:ascii="Barlow Semi Condensed" w:cs="Barlow Semi Condensed" w:eastAsia="Barlow Semi Condensed" w:hAnsi="Barlow Semi Condensed"/>
          <w:sz w:val="24"/>
          <w:szCs w:val="24"/>
        </w:rPr>
        <w:t xml:space="preserve"> Il 25 novembre 1982 fu arrestato a Roma Sergej Antonov; nel medesimo mese Corrado Guerzoni rese alla Corte d'assise di Roma la testimonianza de relato sul presunto avvertimento, con il nome ottenuto in aula e non offerto e la data oscillante fra 1974, 1976 e 1977. Due vicende romane nello stesso novembre, in aule diverse e con oggetti diversi: accostarle sarebbe contemporaneità spacciata per nesso.</w:t>
      </w:r>
    </w:p>
    <w:p>
      <w:pPr>
        <w:spacing w:after="120" w:line="276"/>
        <w:jc w:val="both"/>
      </w:pPr>
      <w:r>
        <w:rPr>
          <w:rFonts w:ascii="Barlow Semi Condensed" w:cs="Barlow Semi Condensed" w:eastAsia="Barlow Semi Condensed" w:hAnsi="Barlow Semi Condensed"/>
          <w:b/>
          <w:bCs/>
          <w:sz w:val="24"/>
          <w:szCs w:val="24"/>
        </w:rPr>
        <w:t xml:space="preserve">2920 · Le dichiarazioni dell'attentatore.</w:t>
      </w:r>
      <w:r>
        <w:rPr>
          <w:rFonts w:ascii="Barlow Semi Condensed" w:cs="Barlow Semi Condensed" w:eastAsia="Barlow Semi Condensed" w:hAnsi="Barlow Semi Condensed"/>
          <w:sz w:val="24"/>
          <w:szCs w:val="24"/>
        </w:rPr>
        <w:t xml:space="preserve"> Ogni pista fondata sulle dichiarazioni non riscontrate dell'attentatore è archiviata dal blocco P-10 del programma investigativo, e il territorio ecclesiale le tratta come fatti pubblici e non come fonti di merito. Ne segue un vincolo per questa serie: se circolasse una sua dichiarazione che nomina il soggetto triangolato, varrebbe zero, e andrebbe registrata come dichiarazione, non come indizio.</w:t>
      </w:r>
    </w:p>
    <w:p>
      <w:pPr>
        <w:spacing w:after="120" w:line="276"/>
        <w:jc w:val="both"/>
      </w:pPr>
      <w:r>
        <w:rPr>
          <w:rFonts w:ascii="Barlow Semi Condensed" w:cs="Barlow Semi Condensed" w:eastAsia="Barlow Semi Condensed" w:hAnsi="Barlow Semi Condensed"/>
          <w:b/>
          <w:bCs/>
          <w:sz w:val="24"/>
          <w:szCs w:val="24"/>
        </w:rPr>
        <w:t xml:space="preserve">2921 · I Lupi Grigi e la regola.</w:t>
      </w:r>
      <w:r>
        <w:rPr>
          <w:rFonts w:ascii="Barlow Semi Condensed" w:cs="Barlow Semi Condensed" w:eastAsia="Barlow Semi Condensed" w:hAnsi="Barlow Semi Condensed"/>
          <w:sz w:val="24"/>
          <w:szCs w:val="24"/>
        </w:rPr>
        <w:t xml:space="preserve"> L'appartenenza o la contiguità all'ambiente ülkücü non prova una condotta del Milliyetçi Hareket Partisi né dei focolari, e le fonti giudiziarie non hanno accertato un mandato organizzativo per l'attacco al pontefice. La stessa regola vale a maggior ragione per qualunque apparato straniero: la militanza individuale non si converte in responsabilità collettiva, né questa in patrocinio esterno.</w:t>
      </w:r>
    </w:p>
    <w:p>
      <w:pPr>
        <w:spacing w:after="120" w:line="276"/>
        <w:jc w:val="both"/>
      </w:pPr>
      <w:r>
        <w:rPr>
          <w:rFonts w:ascii="Barlow Semi Condensed" w:cs="Barlow Semi Condensed" w:eastAsia="Barlow Semi Condensed" w:hAnsi="Barlow Semi Condensed"/>
          <w:b/>
          <w:bCs/>
          <w:sz w:val="24"/>
          <w:szCs w:val="24"/>
        </w:rPr>
        <w:t xml:space="preserve">2922 · L'anticomunismo come ambiente.</w:t>
      </w:r>
      <w:r>
        <w:rPr>
          <w:rFonts w:ascii="Barlow Semi Condensed" w:cs="Barlow Semi Condensed" w:eastAsia="Barlow Semi Condensed" w:hAnsi="Barlow Semi Condensed"/>
          <w:sz w:val="24"/>
          <w:szCs w:val="24"/>
        </w:rPr>
        <w:t xml:space="preserve"> Con statuto di ipotesi documentate in modo disuguale, il territorio riferisce rapporti dell'ambiente ülkücü con settori dell'anticomunismo occidentale in funzione antisovietica, citando fra gli altri lo storico Nikolaus Brauns per l'insediamento in Germania dopo la messa al bando del 1980. Ipotesi disuguali non si sommano in prova. Le sedi che le verificherebbero sono gli archivi giudiziari e di polizia tedeschi.</w:t>
      </w:r>
    </w:p>
    <w:p>
      <w:pPr>
        <w:spacing w:after="120" w:line="276"/>
        <w:jc w:val="both"/>
      </w:pPr>
      <w:r>
        <w:rPr>
          <w:rFonts w:ascii="Barlow Semi Condensed" w:cs="Barlow Semi Condensed" w:eastAsia="Barlow Semi Condensed" w:hAnsi="Barlow Semi Condensed"/>
          <w:b/>
          <w:bCs/>
          <w:sz w:val="24"/>
          <w:szCs w:val="24"/>
        </w:rPr>
        <w:t xml:space="preserve">2923 · La Commissione Mitrokhin, atti pubblici.</w:t>
      </w:r>
      <w:r>
        <w:rPr>
          <w:rFonts w:ascii="Barlow Semi Condensed" w:cs="Barlow Semi Condensed" w:eastAsia="Barlow Semi Condensed" w:hAnsi="Barlow Semi Condensed"/>
          <w:sz w:val="24"/>
          <w:szCs w:val="24"/>
        </w:rPr>
        <w:t xml:space="preserve"> Non fu approvato per mancanza del numero legale, il 15 marzo 2006, il documento conclusivo del presidente Paolo Guzzanti; la relazione dei commissari di minoranza, depositata il 23 marzo 2006 e pubblicata come mitrokhindoc.377.pdf, giudica che la maggioranza avesse insistito pedissequamente sulla pista bulgara senza risultato stabile. Sono atti parlamentari citabili come tali, e non accertamenti giudiziari sul merito.</w:t>
      </w:r>
    </w:p>
    <w:p>
      <w:pPr>
        <w:spacing w:after="120" w:line="276"/>
        <w:jc w:val="both"/>
      </w:pPr>
      <w:r>
        <w:rPr>
          <w:rFonts w:ascii="Barlow Semi Condensed" w:cs="Barlow Semi Condensed" w:eastAsia="Barlow Semi Condensed" w:hAnsi="Barlow Semi Condensed"/>
          <w:b/>
          <w:bCs/>
          <w:sz w:val="24"/>
          <w:szCs w:val="24"/>
        </w:rPr>
        <w:t xml:space="preserve">2924 · Gli archivi vaticani ancora chiusi.</w:t>
      </w:r>
      <w:r>
        <w:rPr>
          <w:rFonts w:ascii="Barlow Semi Condensed" w:cs="Barlow Semi Condensed" w:eastAsia="Barlow Semi Condensed" w:hAnsi="Barlow Semi Condensed"/>
          <w:sz w:val="24"/>
          <w:szCs w:val="24"/>
        </w:rPr>
        <w:t xml:space="preserve"> L'Archivio Apostolico Vaticano, ridenominato con il motu proprio del 22 ottobre 2019, è consultabile fino all'ottobre 1958. Ne segue che l'intera documentazione dei pontificati di Giovanni XXIII, Paolo VI e Giovanni Paolo II resta preclusa, e con essa ogni verifica sul versante vaticano dei fatti qui esaminati. È la lacuna a rendimento più alto del territorio, e la sua chiusura non dipende dai ricercatori.</w:t>
      </w:r>
    </w:p>
    <w:p>
      <w:pPr>
        <w:spacing w:after="120" w:line="276"/>
        <w:jc w:val="both"/>
      </w:pPr>
      <w:r>
        <w:rPr>
          <w:rFonts w:ascii="Barlow Semi Condensed" w:cs="Barlow Semi Condensed" w:eastAsia="Barlow Semi Condensed" w:hAnsi="Barlow Semi Condensed"/>
          <w:b/>
          <w:bCs/>
          <w:sz w:val="24"/>
          <w:szCs w:val="24"/>
        </w:rPr>
        <w:t xml:space="preserve">2925 · I fascicoli processuali dell'attentato.</w:t>
      </w:r>
      <w:r>
        <w:rPr>
          <w:rFonts w:ascii="Barlow Semi Condensed" w:cs="Barlow Semi Condensed" w:eastAsia="Barlow Semi Condensed" w:hAnsi="Barlow Semi Condensed"/>
          <w:sz w:val="24"/>
          <w:szCs w:val="24"/>
        </w:rPr>
        <w:t xml:space="preserve"> I fascicoli del processo per l'attentato del 1981 sono conservabili presso l'Archivio centrale dello Stato o la Corte d'assise di Roma, e il territorio ne indica il reperimento come acquisizione non conseguita. Chi vi cercasse il nome triangolato dovrebbe dichiarare la ricerca prima di condurla e verbalizzarne l'esito nullo, che è quello atteso. La forma dell'esito nullo è essa stessa un risultato.</w:t>
      </w:r>
    </w:p>
    <w:p>
      <w:pPr>
        <w:spacing w:after="120" w:line="276"/>
        <w:jc w:val="both"/>
      </w:pPr>
      <w:r>
        <w:rPr>
          <w:rFonts w:ascii="Barlow Semi Condensed" w:cs="Barlow Semi Condensed" w:eastAsia="Barlow Semi Condensed" w:hAnsi="Barlow Semi Condensed"/>
          <w:b/>
          <w:bCs/>
          <w:sz w:val="24"/>
          <w:szCs w:val="24"/>
        </w:rPr>
        <w:t xml:space="preserve">2926 · Due assenze di natura diversa.</w:t>
      </w:r>
      <w:r>
        <w:rPr>
          <w:rFonts w:ascii="Barlow Semi Condensed" w:cs="Barlow Semi Condensed" w:eastAsia="Barlow Semi Condensed" w:hAnsi="Barlow Semi Condensed"/>
          <w:sz w:val="24"/>
          <w:szCs w:val="24"/>
        </w:rPr>
        <w:t xml:space="preserve"> Nel medesimo territorio l'ente confessionale studiato dalla cartella è assente dalla Turchia, come registra il blocco 359, e l'assenza vale come verifica di una previsione dichiarata in anticipo. L'assenza del nome triangolato, invece, non era stata prevista da nessuno. La prima è un test superato, la seconda un residuo non contato: distinguerle impedisce di attribuire alle due lo stesso peso.</w:t>
      </w:r>
    </w:p>
    <w:p>
      <w:pPr>
        <w:spacing w:after="120" w:line="276"/>
        <w:jc w:val="both"/>
      </w:pPr>
      <w:r>
        <w:rPr>
          <w:rFonts w:ascii="Barlow Semi Condensed" w:cs="Barlow Semi Condensed" w:eastAsia="Barlow Semi Condensed" w:hAnsi="Barlow Semi Condensed"/>
          <w:b/>
          <w:bCs/>
          <w:sz w:val="24"/>
          <w:szCs w:val="24"/>
        </w:rPr>
        <w:t xml:space="preserve">2927 · La previsione dichiarata come metodo.</w:t>
      </w:r>
      <w:r>
        <w:rPr>
          <w:rFonts w:ascii="Barlow Semi Condensed" w:cs="Barlow Semi Condensed" w:eastAsia="Barlow Semi Condensed" w:hAnsi="Barlow Semi Condensed"/>
          <w:sz w:val="24"/>
          <w:szCs w:val="24"/>
        </w:rPr>
        <w:t xml:space="preserve"> Dichiarare la previsione prima di verificarla è la forma adottata dal Capitolo X del territorio turco, che fa dell'esito un risultato quale esso sia. Questa serie la adotta: si prevede che lo spoglio dei Central Foreign Policy Files per i mesi turchi restituisca telegrammi d'ufficio e nessuna traccia individuante. Se la previsione fallisce, il fallimento va scritto per primo.</w:t>
      </w:r>
    </w:p>
    <w:p>
      <w:pPr>
        <w:spacing w:after="120" w:line="276"/>
        <w:jc w:val="both"/>
      </w:pPr>
      <w:r>
        <w:rPr>
          <w:rFonts w:ascii="Barlow Semi Condensed" w:cs="Barlow Semi Condensed" w:eastAsia="Barlow Semi Condensed" w:hAnsi="Barlow Semi Condensed"/>
          <w:b/>
          <w:bCs/>
          <w:sz w:val="24"/>
          <w:szCs w:val="24"/>
        </w:rPr>
        <w:t xml:space="preserve">2928 · Il caso turco come metro.</w:t>
      </w:r>
      <w:r>
        <w:rPr>
          <w:rFonts w:ascii="Barlow Semi Condensed" w:cs="Barlow Semi Condensed" w:eastAsia="Barlow Semi Condensed" w:hAnsi="Barlow Semi Condensed"/>
          <w:sz w:val="24"/>
          <w:szCs w:val="24"/>
        </w:rPr>
        <w:t xml:space="preserve"> Fra gli ambienti a piano 1 denso il blocco 385 dell'opera colloca la Turchia, ma il denso riguarda il rapporto Moro-Comunità, non il rapporto Moro-Washington. La tavola comparativa misura la documentazione disponibile e non le intenzioni. Applicata a questa serie, essa dice una cosa sola: il territorio è ricco di atti e povero di questo nome.</w:t>
      </w:r>
    </w:p>
    <w:p>
      <w:pPr>
        <w:spacing w:after="120" w:line="276"/>
        <w:jc w:val="both"/>
      </w:pPr>
      <w:r>
        <w:rPr>
          <w:rFonts w:ascii="Barlow Semi Condensed" w:cs="Barlow Semi Condensed" w:eastAsia="Barlow Semi Condensed" w:hAnsi="Barlow Semi Condensed"/>
          <w:b/>
          <w:bCs/>
          <w:sz w:val="24"/>
          <w:szCs w:val="24"/>
        </w:rPr>
        <w:t xml:space="preserve">2929 · La moltiplicazione apparente, di nuovo (serie XXXVIII).</w:t>
      </w:r>
      <w:r>
        <w:rPr>
          <w:rFonts w:ascii="Barlow Semi Condensed" w:cs="Barlow Semi Condensed" w:eastAsia="Barlow Semi Condensed" w:hAnsi="Barlow Semi Condensed"/>
          <w:sz w:val="24"/>
          <w:szCs w:val="24"/>
        </w:rPr>
        <w:t xml:space="preserve"> Se una tesi sul territorio turco compare in dieci sedi, va contata una volta e datata alla prima. È lo strumento che l'opera ha già usato sull'episodio del presunto avvertimento, dove la moltiplicazione delle fonti si è rivelata apparente e riconducibile a un unico lancio d'agenzia del 30 novembre 2023: la replicazione non aggiunge valore probatorio, e il conteggio va fatto sulle origini.</w:t>
      </w:r>
    </w:p>
    <w:p>
      <w:pPr>
        <w:spacing w:after="120" w:line="276"/>
        <w:jc w:val="both"/>
      </w:pPr>
      <w:r>
        <w:rPr>
          <w:rFonts w:ascii="Barlow Semi Condensed" w:cs="Barlow Semi Condensed" w:eastAsia="Barlow Semi Condensed" w:hAnsi="Barlow Semi Condensed"/>
          <w:b/>
          <w:bCs/>
          <w:sz w:val="24"/>
          <w:szCs w:val="24"/>
        </w:rPr>
        <w:t xml:space="preserve">2930 · Anagrafe e cronologia, ancora.</w:t>
      </w:r>
      <w:r>
        <w:rPr>
          <w:rFonts w:ascii="Barlow Semi Condensed" w:cs="Barlow Semi Condensed" w:eastAsia="Barlow Semi Condensed" w:hAnsi="Barlow Semi Condensed"/>
          <w:sz w:val="24"/>
          <w:szCs w:val="24"/>
        </w:rPr>
        <w:t xml:space="preserve"> Heinz Alfred Kissinger nacque a Fürth il 27 maggio 1923 e morì a Kent, nel Connecticut, il 29 novembre 2023; la data dell'anglicizzazione del nome resta contesa fra il 1938 delle opere di consultazione e il 1942-1943 del fascicolo d'immigrazione. La divergenza si riporta anche qui, perché una serie territoriale non è dispensata dal tenere in ordine l'anagrafe del nome che triangola.</w:t>
      </w:r>
    </w:p>
    <w:p>
      <w:pPr>
        <w:spacing w:after="120" w:line="276"/>
        <w:jc w:val="both"/>
      </w:pPr>
      <w:r>
        <w:rPr>
          <w:rFonts w:ascii="Barlow Semi Condensed" w:cs="Barlow Semi Condensed" w:eastAsia="Barlow Semi Condensed" w:hAnsi="Barlow Semi Condensed"/>
          <w:b/>
          <w:bCs/>
          <w:sz w:val="24"/>
          <w:szCs w:val="24"/>
        </w:rPr>
        <w:t xml:space="preserve">2931 · Nessun giudicato, in nessun Paese.</w:t>
      </w:r>
      <w:r>
        <w:rPr>
          <w:rFonts w:ascii="Barlow Semi Condensed" w:cs="Barlow Semi Condensed" w:eastAsia="Barlow Semi Condensed" w:hAnsi="Barlow Semi Condensed"/>
          <w:sz w:val="24"/>
          <w:szCs w:val="24"/>
        </w:rPr>
        <w:t xml:space="preserve"> Va ripetuto in questa serie come in ogni altra: il soggetto triangolato non fu condannato in alcun processo, non fu imputato né processato in alcun Paese, e il corpus si ferma al giudicato. Il territorio qui esaminato, che contiene sentenze italiane e assoluzioni per insufficienza di prove, rende la precisazione tanto più necessaria: la vicinanza di un dossier giudiziario non è imputazione.</w:t>
      </w:r>
    </w:p>
    <w:p>
      <w:pPr>
        <w:spacing w:after="120" w:line="276"/>
        <w:jc w:val="both"/>
      </w:pPr>
      <w:r>
        <w:rPr>
          <w:rFonts w:ascii="Barlow Semi Condensed" w:cs="Barlow Semi Condensed" w:eastAsia="Barlow Semi Condensed" w:hAnsi="Barlow Semi Condensed"/>
          <w:b/>
          <w:bCs/>
          <w:sz w:val="24"/>
          <w:szCs w:val="24"/>
        </w:rPr>
        <w:t xml:space="preserve">2932 · Che cosa smentirebbe la serie.</w:t>
      </w:r>
      <w:r>
        <w:rPr>
          <w:rFonts w:ascii="Barlow Semi Condensed" w:cs="Barlow Semi Condensed" w:eastAsia="Barlow Semi Condensed" w:hAnsi="Barlow Semi Condensed"/>
          <w:sz w:val="24"/>
          <w:szCs w:val="24"/>
        </w:rPr>
        <w:t xml:space="preserve"> Un solo reperto rovescerebbe l'esito prevalentemente negativo qui verbalizzato: un documento di provenienza, telegramma o verbale o appunto, in cui il nome triangolato e un atto della Farnesina di Moro sui dossier turchi compaiano insieme e datati. Non basterebbe una menzione in una memoria, né una coincidenza di posizioni. Il test è quello di sempre, e finora nessuna sede lo ha superato.</w:t>
      </w:r>
    </w:p>
    <w:p>
      <w:pPr>
        <w:spacing w:after="120" w:line="276"/>
        <w:jc w:val="both"/>
      </w:pPr>
      <w:r>
        <w:rPr>
          <w:rFonts w:ascii="Barlow Semi Condensed" w:cs="Barlow Semi Condensed" w:eastAsia="Barlow Semi Condensed" w:hAnsi="Barlow Semi Condensed"/>
          <w:b/>
          <w:bCs/>
          <w:sz w:val="24"/>
          <w:szCs w:val="24"/>
        </w:rPr>
        <w:t xml:space="preserve">2933 · L'ordine delle sedi da aprire.</w:t>
      </w:r>
      <w:r>
        <w:rPr>
          <w:rFonts w:ascii="Barlow Semi Condensed" w:cs="Barlow Semi Condensed" w:eastAsia="Barlow Semi Condensed" w:hAnsi="Barlow Semi Condensed"/>
          <w:sz w:val="24"/>
          <w:szCs w:val="24"/>
        </w:rPr>
        <w:t xml:space="preserve"> Per rendimento decrescente: i due verbali della Ford Library del 25 e 26 settembre 1974; i Central Foreign Policy Files per l'agosto 1974, il giugno e luglio 1975, il novembre 1979; le trascrizioni telefoniche nel Record Group 59; la serie Turchia dell'Archivio storico-diplomatico, tenuto conto dell'esclusione dei Telegrammi 1942-1970; infine la sala di lettura elettronica dell'agenzia americana, mai interrogata su questo territorio.</w:t>
      </w:r>
    </w:p>
    <w:p>
      <w:pPr>
        <w:spacing w:after="120" w:line="276"/>
        <w:jc w:val="both"/>
      </w:pPr>
      <w:r>
        <w:rPr>
          <w:rFonts w:ascii="Barlow Semi Condensed" w:cs="Barlow Semi Condensed" w:eastAsia="Barlow Semi Condensed" w:hAnsi="Barlow Semi Condensed"/>
          <w:b/>
          <w:bCs/>
          <w:sz w:val="24"/>
          <w:szCs w:val="24"/>
        </w:rPr>
        <w:t xml:space="preserve">2934 · CREST, la ricerca mai condotta.</w:t>
      </w:r>
      <w:r>
        <w:rPr>
          <w:rFonts w:ascii="Barlow Semi Condensed" w:cs="Barlow Semi Condensed" w:eastAsia="Barlow Semi Condensed" w:hAnsi="Barlow Semi Condensed"/>
          <w:sz w:val="24"/>
          <w:szCs w:val="24"/>
        </w:rPr>
        <w:t xml:space="preserve"> Il Capitolo XI del territorio turco dichiara che la collezione CREST non fu interrogata per esaurimento del budget di ricerca, pur essendo la sede appropriata per Ecevit, Süleyman Demirel, il memorandum dei generali del 12 marzo 1971 e l'ambiente di Alparslan Türkeş. È lacuna dichiarata e a basso costo di chiusura: il blocco 132 dell'agenda ne fissa già la disciplina di spoglio.</w:t>
      </w:r>
    </w:p>
    <w:p>
      <w:pPr>
        <w:spacing w:after="120" w:line="276"/>
        <w:jc w:val="both"/>
      </w:pPr>
      <w:r>
        <w:rPr>
          <w:rFonts w:ascii="Barlow Semi Condensed" w:cs="Barlow Semi Condensed" w:eastAsia="Barlow Semi Condensed" w:hAnsi="Barlow Semi Condensed"/>
          <w:b/>
          <w:bCs/>
          <w:sz w:val="24"/>
          <w:szCs w:val="24"/>
        </w:rPr>
        <w:t xml:space="preserve">2935 · Bilancio: un ancoraggio, molti vuoti.</w:t>
      </w:r>
      <w:r>
        <w:rPr>
          <w:rFonts w:ascii="Barlow Semi Condensed" w:cs="Barlow Semi Condensed" w:eastAsia="Barlow Semi Condensed" w:hAnsi="Barlow Semi Condensed"/>
          <w:sz w:val="24"/>
          <w:szCs w:val="24"/>
        </w:rPr>
        <w:t xml:space="preserve"> Il bilancio della serie è un memorandum al presidente sul papavero turco, due verbali dello Studio Ovale da rileggere con un quesito preciso, un telegramma di resoconto sulla cerimonia di Helsinki, e per il resto silenzio dichiarato con le sedi che lo chiuderebbero. È il risultato corretto e atteso: il territorio parla molto di Turchia e quasi nulla di questo nome.</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Serie trentanovesima — I documenti del Dipartimento di Stato 1965-1978</w:t>
      </w:r>
    </w:p>
    <w:p>
      <w:pPr>
        <w:spacing w:after="120" w:line="276"/>
        <w:jc w:val="both"/>
      </w:pPr>
      <w:r>
        <w:rPr>
          <w:rFonts w:ascii="Barlow Semi Condensed" w:cs="Barlow Semi Condensed" w:eastAsia="Barlow Semi Condensed" w:hAnsi="Barlow Semi Condensed"/>
          <w:i/>
          <w:iCs/>
          <w:sz w:val="24"/>
          <w:szCs w:val="24"/>
        </w:rPr>
        <w:t xml:space="preserve">Blocchi 2936-3000.</w:t>
      </w:r>
    </w:p>
    <w:p>
      <w:pPr>
        <w:spacing w:after="120" w:line="276"/>
        <w:jc w:val="both"/>
      </w:pPr>
      <w:r>
        <w:rPr>
          <w:rFonts w:ascii="Barlow Semi Condensed" w:cs="Barlow Semi Condensed" w:eastAsia="Barlow Semi Condensed" w:hAnsi="Barlow Semi Condensed"/>
          <w:b/>
          <w:bCs/>
          <w:sz w:val="24"/>
          <w:szCs w:val="24"/>
        </w:rPr>
        <w:t xml:space="preserve">2936 · Il verbale della ricerca a vuoto.</w:t>
      </w:r>
      <w:r>
        <w:rPr>
          <w:rFonts w:ascii="Barlow Semi Condensed" w:cs="Barlow Semi Condensed" w:eastAsia="Barlow Semi Condensed" w:hAnsi="Barlow Semi Condensed"/>
          <w:sz w:val="24"/>
          <w:szCs w:val="24"/>
        </w:rPr>
        <w:t xml:space="preserve"> Ricerca meccanica del cognome Kissinger nei due documenti assegnati alla serie: zero occorrenze in documenti-state-dept-1965-1978.md, zero in triangolazione-seconda-campagna.md, zero nell'OCR grezzo state-dept-djvu-ocr-grezzo.txt. Il perimetro è dichiarato per intero secondo il blocco 285 dell'agenda, che vuole detto che cosa si è cercato, dove e con quale esito. Il territorio tace su questo nome: è l'acquisizione da cui la serie parte, non una premessa retorica.</w:t>
      </w:r>
    </w:p>
    <w:p>
      <w:pPr>
        <w:spacing w:after="120" w:line="276"/>
        <w:jc w:val="both"/>
      </w:pPr>
      <w:r>
        <w:rPr>
          <w:rFonts w:ascii="Barlow Semi Condensed" w:cs="Barlow Semi Condensed" w:eastAsia="Barlow Semi Condensed" w:hAnsi="Barlow Semi Condensed"/>
          <w:b/>
          <w:bCs/>
          <w:sz w:val="24"/>
          <w:szCs w:val="24"/>
        </w:rPr>
        <w:t xml:space="preserve">2937 · Zero misurato contro zero narrato.</w:t>
      </w:r>
      <w:r>
        <w:rPr>
          <w:rFonts w:ascii="Barlow Semi Condensed" w:cs="Barlow Semi Condensed" w:eastAsia="Barlow Semi Condensed" w:hAnsi="Barlow Semi Condensed"/>
          <w:sz w:val="24"/>
          <w:szCs w:val="24"/>
        </w:rPr>
        <w:t xml:space="preserve"> Il blocco 233 dell'agenda distingue il buco misurato dal buco raccontato. Qui il buco è misurato: due file, un originale sottoposto a riconoscimento ottico, tre esiti nulli, con le stringhe e i nomi di file registrati. Nessun blocco della serie potrà dunque dire che il corpus «non dice nulla» in senso generico. Dirà che questi due documenti, interrogati su questo cognome, restituiscono zero — e che altre schede della cartella restituiscono altro.</w:t>
      </w:r>
    </w:p>
    <w:p>
      <w:pPr>
        <w:spacing w:after="120" w:line="276"/>
        <w:jc w:val="both"/>
      </w:pPr>
      <w:r>
        <w:rPr>
          <w:rFonts w:ascii="Barlow Semi Condensed" w:cs="Barlow Semi Condensed" w:eastAsia="Barlow Semi Condensed" w:hAnsi="Barlow Semi Condensed"/>
          <w:b/>
          <w:bCs/>
          <w:sz w:val="24"/>
          <w:szCs w:val="24"/>
        </w:rPr>
        <w:t xml:space="preserve">2938 · La diagnosi del vuoto, secondo tempo.</w:t>
      </w:r>
      <w:r>
        <w:rPr>
          <w:rFonts w:ascii="Barlow Semi Condensed" w:cs="Barlow Semi Condensed" w:eastAsia="Barlow Semi Condensed" w:hAnsi="Barlow Semi Condensed"/>
          <w:sz w:val="24"/>
          <w:szCs w:val="24"/>
        </w:rPr>
        <w:t xml:space="preserve"> La sezione VII del verbale della seconda campagna consegna la seconda metà della regola dei buchi: un basso rapporto d'associazione fra due domini non indica assenza di rapporti, indica che nessuno ha scritto un documento che li tratti insieme. Applicata qui: il lotto desecretato è una pratica di sicurezza, il verbale è una triangolazione ecclesiale e iberica. Nessuno dei due generi porterebbe quel nome. Prima la misura, poi la diagnosi, solo dopo l'interrogazione.</w:t>
      </w:r>
    </w:p>
    <w:p>
      <w:pPr>
        <w:spacing w:after="120" w:line="276"/>
        <w:jc w:val="both"/>
      </w:pPr>
      <w:r>
        <w:rPr>
          <w:rFonts w:ascii="Barlow Semi Condensed" w:cs="Barlow Semi Condensed" w:eastAsia="Barlow Semi Condensed" w:hAnsi="Barlow Semi Condensed"/>
          <w:b/>
          <w:bCs/>
          <w:sz w:val="24"/>
          <w:szCs w:val="24"/>
        </w:rPr>
        <w:t xml:space="preserve">2939 · Il foro cronologico del lotto.</w:t>
      </w:r>
      <w:r>
        <w:rPr>
          <w:rFonts w:ascii="Barlow Semi Condensed" w:cs="Barlow Semi Condensed" w:eastAsia="Barlow Semi Condensed" w:hAnsi="Barlow Semi Condensed"/>
          <w:sz w:val="24"/>
          <w:szCs w:val="24"/>
        </w:rPr>
        <w:t xml:space="preserve"> I due strati del lotto — aprile 1965 e aprile-maggio 1978 — lasciano scoperto per intero l'arco 1969-1977. È esattamente l'arco dei due incarichi: assistente per la sicurezza nazionale dal 20 gennaio 1969 al 3 novembre 1975, segretario di Stato dal 22 settembre 1973 al 20 gennaio 1977. Il silenzio del lotto non è selezione di contenuto: è la forma della pratica. Accertamento di grado alto, e va detto prima di ogni lettura.</w:t>
      </w:r>
    </w:p>
    <w:p>
      <w:pPr>
        <w:spacing w:after="120" w:line="276"/>
        <w:jc w:val="both"/>
      </w:pPr>
      <w:r>
        <w:rPr>
          <w:rFonts w:ascii="Barlow Semi Condensed" w:cs="Barlow Semi Condensed" w:eastAsia="Barlow Semi Condensed" w:hAnsi="Barlow Semi Condensed"/>
          <w:b/>
          <w:bCs/>
          <w:sz w:val="24"/>
          <w:szCs w:val="24"/>
        </w:rPr>
        <w:t xml:space="preserve">2940 · Che cosa smentirebbe questo zero.</w:t>
      </w:r>
      <w:r>
        <w:rPr>
          <w:rFonts w:ascii="Barlow Semi Condensed" w:cs="Barlow Semi Condensed" w:eastAsia="Barlow Semi Condensed" w:hAnsi="Barlow Semi Condensed"/>
          <w:sz w:val="24"/>
          <w:szCs w:val="24"/>
        </w:rPr>
        <w:t xml:space="preserve"> Bersaglio di smentita per l'intera serie: un solo documento della pratica FOIA R-2021-00202 che rechi quel cognome — in intestazione, in firma, in linea di distribuzione o nel corpo — sposterebbe il territorio dallo zero al piano uno o al piano due. Finché non è esibito, ogni ponte fra il lotto e quel nome è costruito fuori dal lotto. La sede dove cercarlo è la pratica stessa, nella versione integrale e non nel derivato.</w:t>
      </w:r>
    </w:p>
    <w:p>
      <w:pPr>
        <w:spacing w:after="120" w:line="276"/>
        <w:jc w:val="both"/>
      </w:pPr>
      <w:r>
        <w:rPr>
          <w:rFonts w:ascii="Barlow Semi Condensed" w:cs="Barlow Semi Condensed" w:eastAsia="Barlow Semi Condensed" w:hAnsi="Barlow Semi Condensed"/>
          <w:b/>
          <w:bCs/>
          <w:sz w:val="24"/>
          <w:szCs w:val="24"/>
        </w:rPr>
        <w:t xml:space="preserve">2941 · Due assenze non si sommano.</w:t>
      </w:r>
      <w:r>
        <w:rPr>
          <w:rFonts w:ascii="Barlow Semi Condensed" w:cs="Barlow Semi Condensed" w:eastAsia="Barlow Semi Condensed" w:hAnsi="Barlow Semi Condensed"/>
          <w:sz w:val="24"/>
          <w:szCs w:val="24"/>
        </w:rPr>
        <w:t xml:space="preserve"> A sezione quarta è dichiarato lo Stato Zero su Aginter Press: la stringa non compare in alcun documento del branch, né nei mille blocchi dei cantieri né nei quattrocento del manuale. Il cognome qui studiato ha, in questi due file, lo stesso statuto. Regola da fissare: due assenze non si corroborano. Che il corpus taccia su un dossier e taccia su un nome non li mette in relazione.</w:t>
      </w:r>
    </w:p>
    <w:p>
      <w:pPr>
        <w:spacing w:after="120" w:line="276"/>
        <w:jc w:val="both"/>
      </w:pPr>
      <w:r>
        <w:rPr>
          <w:rFonts w:ascii="Barlow Semi Condensed" w:cs="Barlow Semi Condensed" w:eastAsia="Barlow Semi Condensed" w:hAnsi="Barlow Semi Condensed"/>
          <w:b/>
          <w:bCs/>
          <w:sz w:val="24"/>
          <w:szCs w:val="24"/>
        </w:rPr>
        <w:t xml:space="preserve">2942 · Il segretario di Stato del 1965.</w:t>
      </w:r>
      <w:r>
        <w:rPr>
          <w:rFonts w:ascii="Barlow Semi Condensed" w:cs="Barlow Semi Condensed" w:eastAsia="Barlow Semi Condensed" w:hAnsi="Barlow Semi Condensed"/>
          <w:sz w:val="24"/>
          <w:szCs w:val="24"/>
        </w:rPr>
        <w:t xml:space="preserve"> Il comunicato per la stampa n. 76 del 16 aprile 1965 nomina il segretario di Stato fra chi accoglie Moro alla Casa Bianca il 20 aprile, e lo identifica altrove per nome: Dean Rusk, che riceve al Dipartimento di Stato quel pomeriggio e offre colazione il giorno dopo nella Benjamin Franklin Room. Regola di lettura: una carica nominata senza nome si riempie col titolare della data, mai col titolare più famoso di anni successivi.</w:t>
      </w:r>
    </w:p>
    <w:p>
      <w:pPr>
        <w:spacing w:after="120" w:line="276"/>
        <w:jc w:val="both"/>
      </w:pPr>
      <w:r>
        <w:rPr>
          <w:rFonts w:ascii="Barlow Semi Condensed" w:cs="Barlow Semi Condensed" w:eastAsia="Barlow Semi Condensed" w:hAnsi="Barlow Semi Condensed"/>
          <w:b/>
          <w:bCs/>
          <w:sz w:val="24"/>
          <w:szCs w:val="24"/>
        </w:rPr>
        <w:t xml:space="preserve">2943 · L'aprile 1965 e nessun incarico.</w:t>
      </w:r>
      <w:r>
        <w:rPr>
          <w:rFonts w:ascii="Barlow Semi Condensed" w:cs="Barlow Semi Condensed" w:eastAsia="Barlow Semi Condensed" w:hAnsi="Barlow Semi Condensed"/>
          <w:sz w:val="24"/>
          <w:szCs w:val="24"/>
        </w:rPr>
        <w:t xml:space="preserve"> Al 19-23 aprile 1965 l'uomo di cui questa serie porta il nome non ricopriva alcuna carica di governo statunitense. Il programma della visita elenca per parte americana Lloyd N. Hand, G. Frederick Reinhardt, Samuel L. King, Bert M. Bennington e Ivan E. Sinclair, e sul versante politico Johnson, Rusk, Fowler, McNamara, Humphrey e il generale Harold K. Johnson. L'assenza non è omissione del documento: è la cronologia degli uffici.</w:t>
      </w:r>
    </w:p>
    <w:p>
      <w:pPr>
        <w:spacing w:after="120" w:line="276"/>
        <w:jc w:val="both"/>
      </w:pPr>
      <w:r>
        <w:rPr>
          <w:rFonts w:ascii="Barlow Semi Condensed" w:cs="Barlow Semi Condensed" w:eastAsia="Barlow Semi Condensed" w:hAnsi="Barlow Semi Condensed"/>
          <w:b/>
          <w:bCs/>
          <w:sz w:val="24"/>
          <w:szCs w:val="24"/>
        </w:rPr>
        <w:t xml:space="preserve">2944 · Guerzoni nel programma ufficiale.</w:t>
      </w:r>
      <w:r>
        <w:rPr>
          <w:rFonts w:ascii="Barlow Semi Condensed" w:cs="Barlow Semi Condensed" w:eastAsia="Barlow Semi Condensed" w:hAnsi="Barlow Semi Condensed"/>
          <w:sz w:val="24"/>
          <w:szCs w:val="24"/>
        </w:rPr>
        <w:t xml:space="preserve"> Fra i Members of the Party del comunicato n. 76 figura Corrado Guerzoni, Chief of the Prime Minister's Press Office, accanto a Sereno Freato e Nicola Rana. È il primo documento primario della cartella che ne attesti funzione e prossimità a Moro, e vale per i blocchi 697, 752 e 876 dell'opera. Vale però soltanto per il 1965: prossimità documentata a una data non è presenza a un colloquio di nove anni dopo.</w:t>
      </w:r>
    </w:p>
    <w:p>
      <w:pPr>
        <w:spacing w:after="120" w:line="276"/>
        <w:jc w:val="both"/>
      </w:pPr>
      <w:r>
        <w:rPr>
          <w:rFonts w:ascii="Barlow Semi Condensed" w:cs="Barlow Semi Condensed" w:eastAsia="Barlow Semi Condensed" w:hAnsi="Barlow Semi Condensed"/>
          <w:b/>
          <w:bCs/>
          <w:sz w:val="24"/>
          <w:szCs w:val="24"/>
        </w:rPr>
        <w:t xml:space="preserve">2945 · Che cosa il 1965 non corrobora.</w:t>
      </w:r>
      <w:r>
        <w:rPr>
          <w:rFonts w:ascii="Barlow Semi Condensed" w:cs="Barlow Semi Condensed" w:eastAsia="Barlow Semi Condensed" w:hAnsi="Barlow Semi Condensed"/>
          <w:sz w:val="24"/>
          <w:szCs w:val="24"/>
        </w:rPr>
        <w:t xml:space="preserve"> Nessuna riga del programma del 1965 tocca il presunto avvertimento riferito de relato alla Corte d'assise di Roma nel novembre 1982, la cui data oscilla fra 1974, 1976 e 1977 e che l'interessato ha sempre smentito. Il documento aggiunge un dato biografico sul teste, non un grammo di riscontro sull'episodio. Chi usasse l'uno per rinforzare l'altro compirebbe la promozione che la disciplina dei tre piani vieta.</w:t>
      </w:r>
    </w:p>
    <w:p>
      <w:pPr>
        <w:spacing w:after="120" w:line="276"/>
        <w:jc w:val="both"/>
      </w:pPr>
      <w:r>
        <w:rPr>
          <w:rFonts w:ascii="Barlow Semi Condensed" w:cs="Barlow Semi Condensed" w:eastAsia="Barlow Semi Condensed" w:hAnsi="Barlow Semi Condensed"/>
          <w:b/>
          <w:bCs/>
          <w:sz w:val="24"/>
          <w:szCs w:val="24"/>
        </w:rPr>
        <w:t xml:space="preserve">2946 · Il comunicato congiunto del 21 aprile.</w:t>
      </w:r>
      <w:r>
        <w:rPr>
          <w:rFonts w:ascii="Barlow Semi Condensed" w:cs="Barlow Semi Condensed" w:eastAsia="Barlow Semi Condensed" w:hAnsi="Barlow Semi Condensed"/>
          <w:sz w:val="24"/>
          <w:szCs w:val="24"/>
        </w:rPr>
        <w:t xml:space="preserve"> Il programma prevede per le diciassette del 21 aprile 1965 un secondo colloquio Moro-Johnson con emissione di comunicato congiunto. Bersaglio: il testo integrale di quel comunicato nella sua edizione ufficiale, cioè il Department of State Bulletin, che il blocco 80 dell'opera fissa come sede autorevole per gli atti del Dipartimento. Il programma attesta che il comunicato fu emesso; non ne attesta una sillaba. Numero e pagine dell'annata restano da stabilire.</w:t>
      </w:r>
    </w:p>
    <w:p>
      <w:pPr>
        <w:spacing w:after="120" w:line="276"/>
        <w:jc w:val="both"/>
      </w:pPr>
      <w:r>
        <w:rPr>
          <w:rFonts w:ascii="Barlow Semi Condensed" w:cs="Barlow Semi Condensed" w:eastAsia="Barlow Semi Condensed" w:hAnsi="Barlow Semi Condensed"/>
          <w:b/>
          <w:bCs/>
          <w:sz w:val="24"/>
          <w:szCs w:val="24"/>
        </w:rPr>
        <w:t xml:space="preserve">2947 · I verbali dei due colloqui Johnson.</w:t>
      </w:r>
      <w:r>
        <w:rPr>
          <w:rFonts w:ascii="Barlow Semi Condensed" w:cs="Barlow Semi Condensed" w:eastAsia="Barlow Semi Condensed" w:hAnsi="Barlow Semi Condensed"/>
          <w:sz w:val="24"/>
          <w:szCs w:val="24"/>
        </w:rPr>
        <w:t xml:space="preserve"> Due incontri Moro-Johnson sono collocati dal comunicato al 20 e al 21 aprile 1965, e i loro memorandum of conversation non stanno nel lotto. Sede che li chiuderebbe: la Lyndon B. Johnson Presidential Library ad Austin, National Security File, Country File Italy, con la serie FRUS 1964-1968 per l'Europa occidentale. Stato Zero dichiarato con sede. Chi vi cercasse il nome di questa serie troverebbe un secondo zero atteso.</w:t>
      </w:r>
    </w:p>
    <w:p>
      <w:pPr>
        <w:spacing w:after="120" w:line="276"/>
        <w:jc w:val="both"/>
      </w:pPr>
      <w:r>
        <w:rPr>
          <w:rFonts w:ascii="Barlow Semi Condensed" w:cs="Barlow Semi Condensed" w:eastAsia="Barlow Semi Condensed" w:hAnsi="Barlow Semi Condensed"/>
          <w:b/>
          <w:bCs/>
          <w:sz w:val="24"/>
          <w:szCs w:val="24"/>
        </w:rPr>
        <w:t xml:space="preserve">2948 · Rusk, McNamara e le loro carte.</w:t>
      </w:r>
      <w:r>
        <w:rPr>
          <w:rFonts w:ascii="Barlow Semi Condensed" w:cs="Barlow Semi Condensed" w:eastAsia="Barlow Semi Condensed" w:hAnsi="Barlow Semi Condensed"/>
          <w:sz w:val="24"/>
          <w:szCs w:val="24"/>
        </w:rPr>
        <w:t xml:space="preserve"> Tre incontri americani oltre ai due presidenziali sono fissati dal programma: con Rusk al Dipartimento di Stato il 20 aprile, con Robert S. McNamara a Blair House il 21, con Hubert Humphrey al Campidoglio il 22. Nessun verbale è nel lotto. Sedi: National Archives, Record Group 59, Central Foreign Policy Files, serie POL 7 IT per il 1965, e le carte del segretario alla Difesa.</w:t>
      </w:r>
    </w:p>
    <w:p>
      <w:pPr>
        <w:spacing w:after="120" w:line="276"/>
        <w:jc w:val="both"/>
      </w:pPr>
      <w:r>
        <w:rPr>
          <w:rFonts w:ascii="Barlow Semi Condensed" w:cs="Barlow Semi Condensed" w:eastAsia="Barlow Semi Condensed" w:hAnsi="Barlow Semi Condensed"/>
          <w:b/>
          <w:bCs/>
          <w:sz w:val="24"/>
          <w:szCs w:val="24"/>
        </w:rPr>
        <w:t xml:space="preserve">2949 · Fanfani agli Esteri, non Moro.</w:t>
      </w:r>
      <w:r>
        <w:rPr>
          <w:rFonts w:ascii="Barlow Semi Condensed" w:cs="Barlow Semi Condensed" w:eastAsia="Barlow Semi Condensed" w:hAnsi="Barlow Semi Condensed"/>
          <w:sz w:val="24"/>
          <w:szCs w:val="24"/>
        </w:rPr>
        <w:t xml:space="preserve"> Il documento fissa un dato che la cartella stessa richiama in premessa: nell'aprile 1965 Moro era Presidente del Consiglio e la Farnesina era di Amintore Fanfani. Lo strato del 1965 sta dunque prima dei due mandati agli Esteri del 1969-1974 e non è atto della politica estera morotea. Ogni triangolazione che lo trattasse come tale sbaglierebbe il soggetto prima ancora di sbagliare il nesso.</w:t>
      </w:r>
    </w:p>
    <w:p>
      <w:pPr>
        <w:spacing w:after="120" w:line="276"/>
        <w:jc w:val="both"/>
      </w:pPr>
      <w:r>
        <w:rPr>
          <w:rFonts w:ascii="Barlow Semi Condensed" w:cs="Barlow Semi Condensed" w:eastAsia="Barlow Semi Condensed" w:hAnsi="Barlow Semi Condensed"/>
          <w:b/>
          <w:bCs/>
          <w:sz w:val="24"/>
          <w:szCs w:val="24"/>
        </w:rPr>
        <w:t xml:space="preserve">2950 · La topografia della visita come bersaglio.</w:t>
      </w:r>
      <w:r>
        <w:rPr>
          <w:rFonts w:ascii="Barlow Semi Condensed" w:cs="Barlow Semi Condensed" w:eastAsia="Barlow Semi Condensed" w:hAnsi="Barlow Semi Condensed"/>
          <w:sz w:val="24"/>
          <w:szCs w:val="24"/>
        </w:rPr>
        <w:t xml:space="preserve"> Blair House, Decatur House al 748 di Jackson Place, la Benjamin Franklin Room, l'ambasciata d'Italia al 2700 di Sixteenth Street, l'Ellipse, il Campidoglio, il Waldorf-Astoria: il comunicato n. 76 dà indirizzi e orari al minuto. È materiale di riscontro, non di interpretazione. Consente di verificare qualunque memoria che collochi un colloquio in luogo e ora, e di falsificarla dove non combacia: serve a smentire prima che a confermare.</w:t>
      </w:r>
    </w:p>
    <w:p>
      <w:pPr>
        <w:spacing w:after="120" w:line="276"/>
        <w:jc w:val="both"/>
      </w:pPr>
      <w:r>
        <w:rPr>
          <w:rFonts w:ascii="Barlow Semi Condensed" w:cs="Barlow Semi Condensed" w:eastAsia="Barlow Semi Condensed" w:hAnsi="Barlow Semi Condensed"/>
          <w:b/>
          <w:bCs/>
          <w:sz w:val="24"/>
          <w:szCs w:val="24"/>
        </w:rPr>
        <w:t xml:space="preserve">2951 · Arlington, Mount Vernon, la cerimonia.</w:t>
      </w:r>
      <w:r>
        <w:rPr>
          <w:rFonts w:ascii="Barlow Semi Condensed" w:cs="Barlow Semi Condensed" w:eastAsia="Barlow Semi Condensed" w:hAnsi="Barlow Semi Condensed"/>
          <w:sz w:val="24"/>
          <w:szCs w:val="24"/>
        </w:rPr>
        <w:t xml:space="preserve"> Il 21 aprile 1965 Moro depose corone alla Tomba del Milite Ignoto, sulla tomba di John Fitzgerald Kennedy e su quella di George Washington a Mount Vernon; il 22 ricevette all'Ellipse gli onori di congedo delle Forze Armate, con Humphrey a capo del comitato di commiato. Sono atti cerimoniali documentati e nulla più. La serie li registra per completezza del territorio, non per rendimento.</w:t>
      </w:r>
    </w:p>
    <w:p>
      <w:pPr>
        <w:spacing w:after="120" w:line="276"/>
        <w:jc w:val="both"/>
      </w:pPr>
      <w:r>
        <w:rPr>
          <w:rFonts w:ascii="Barlow Semi Condensed" w:cs="Barlow Semi Condensed" w:eastAsia="Barlow Semi Condensed" w:hAnsi="Barlow Semi Condensed"/>
          <w:b/>
          <w:bCs/>
          <w:sz w:val="24"/>
          <w:szCs w:val="24"/>
        </w:rPr>
        <w:t xml:space="preserve">2952 · Le Nazioni Unite del 23 aprile.</w:t>
      </w:r>
      <w:r>
        <w:rPr>
          <w:rFonts w:ascii="Barlow Semi Condensed" w:cs="Barlow Semi Condensed" w:eastAsia="Barlow Semi Condensed" w:hAnsi="Barlow Semi Condensed"/>
          <w:sz w:val="24"/>
          <w:szCs w:val="24"/>
        </w:rPr>
        <w:t xml:space="preserve"> L'ultima giornata porta Moro al City Hall di New York da Robert F. Wagner e alle Nazioni Unite, dove incontra il presidente dell'Assemblea generale Alex Quaison-Sackey e il segretario generale U Thant, che offre una colazione. Bersaglio: gli archivi delle Nazioni Unite a New York, per accertare se di quella colazione esista verbalizzazione. Esito atteso negativo o cerimoniale, e va comunque verbalizzato: un bersaglio non tentato non è uno Stato Zero.</w:t>
      </w:r>
    </w:p>
    <w:p>
      <w:pPr>
        <w:spacing w:after="120" w:line="276"/>
        <w:jc w:val="both"/>
      </w:pPr>
      <w:r>
        <w:rPr>
          <w:rFonts w:ascii="Barlow Semi Condensed" w:cs="Barlow Semi Condensed" w:eastAsia="Barlow Semi Condensed" w:hAnsi="Barlow Semi Condensed"/>
          <w:b/>
          <w:bCs/>
          <w:sz w:val="24"/>
          <w:szCs w:val="24"/>
        </w:rPr>
        <w:t xml:space="preserve">2953 · Il promemoria a Hoover, lettura esatta.</w:t>
      </w:r>
      <w:r>
        <w:rPr>
          <w:rFonts w:ascii="Barlow Semi Condensed" w:cs="Barlow Semi Condensed" w:eastAsia="Barlow Semi Condensed" w:hAnsi="Barlow Semi Condensed"/>
          <w:sz w:val="24"/>
          <w:szCs w:val="24"/>
        </w:rPr>
        <w:t xml:space="preserve"> Il promemoria di G. Marvin Gentile, Deputy Assistant Secretary for Security, al direttore dell'FBI J. Edgar Hoover chiede informazioni su ogni sforzo diretto a causare danno fisico o imbarazzo al Principal durante la visita. È misura ordinaria di protezione per un capo di governo ospite. Non contiene minaccia, non nomina alcuno, non prefigura nulla. Chi ne facesse un indizio leggerebbe una prassi come se fosse un allarme.</w:t>
      </w:r>
    </w:p>
    <w:p>
      <w:pPr>
        <w:spacing w:after="120" w:line="276"/>
        <w:jc w:val="both"/>
      </w:pPr>
      <w:r>
        <w:rPr>
          <w:rFonts w:ascii="Barlow Semi Condensed" w:cs="Barlow Semi Condensed" w:eastAsia="Barlow Semi Condensed" w:hAnsi="Barlow Semi Condensed"/>
          <w:b/>
          <w:bCs/>
          <w:sz w:val="24"/>
          <w:szCs w:val="24"/>
        </w:rPr>
        <w:t xml:space="preserve">2954 · Vance, non lui, nel 1978.</w:t>
      </w:r>
      <w:r>
        <w:rPr>
          <w:rFonts w:ascii="Barlow Semi Condensed" w:cs="Barlow Semi Condensed" w:eastAsia="Barlow Semi Condensed" w:hAnsi="Barlow Semi Condensed"/>
          <w:sz w:val="24"/>
          <w:szCs w:val="24"/>
        </w:rPr>
        <w:t xml:space="preserve"> Ogni cablogramma dello strato secondo è indirizzato o distribuito a SECSTATE WASHDC fra il 17 aprile e l'11 maggio 1978. In quelle settimane il segretario di Stato era Cyrus Vance, in carica dal gennaio 1977, e l'assistente per la sicurezza nazionale era Zbigniew Brzezinski. Il nome di questa serie era fuori da entrambe le cariche da oltre un anno. Accertamento cronologico, non valutazione.</w:t>
      </w:r>
    </w:p>
    <w:p>
      <w:pPr>
        <w:spacing w:after="120" w:line="276"/>
        <w:jc w:val="both"/>
      </w:pPr>
      <w:r>
        <w:rPr>
          <w:rFonts w:ascii="Barlow Semi Condensed" w:cs="Barlow Semi Condensed" w:eastAsia="Barlow Semi Condensed" w:hAnsi="Barlow Semi Condensed"/>
          <w:b/>
          <w:bCs/>
          <w:sz w:val="24"/>
          <w:szCs w:val="24"/>
        </w:rPr>
        <w:t xml:space="preserve">2955 · La linea SS-15 e chi la riceve.</w:t>
      </w:r>
      <w:r>
        <w:rPr>
          <w:rFonts w:ascii="Barlow Semi Condensed" w:cs="Barlow Semi Condensed" w:eastAsia="Barlow Semi Condensed" w:hAnsi="Barlow Semi Condensed"/>
          <w:sz w:val="24"/>
          <w:szCs w:val="24"/>
        </w:rPr>
        <w:t xml:space="preserve"> La linea di distribuzione di Buenos Aires 2881 comprende il Segretariato esecutivo con quindici copie, e poi NSC, INR, CIAE, FBIE e USSS, con parte dei conteggi resa illeggibile dal riconoscimento ottico. Dato utile e limitato: dice quali uffici ricevettero, non chi lesse. E quegli uffici, nell'aprile 1978, erano retti da altri. La distribuzione prova la circolazione, mai l'attenzione personale.</w:t>
      </w:r>
    </w:p>
    <w:p>
      <w:pPr>
        <w:spacing w:after="120" w:line="276"/>
        <w:jc w:val="both"/>
      </w:pPr>
      <w:r>
        <w:rPr>
          <w:rFonts w:ascii="Barlow Semi Condensed" w:cs="Barlow Semi Condensed" w:eastAsia="Barlow Semi Condensed" w:hAnsi="Barlow Semi Condensed"/>
          <w:b/>
          <w:bCs/>
          <w:sz w:val="24"/>
          <w:szCs w:val="24"/>
        </w:rPr>
        <w:t xml:space="preserve">2956 · Buenos Aires 2881, che cosa attesta.</w:t>
      </w:r>
      <w:r>
        <w:rPr>
          <w:rFonts w:ascii="Barlow Semi Condensed" w:cs="Barlow Semi Condensed" w:eastAsia="Barlow Semi Condensed" w:hAnsi="Barlow Semi Condensed"/>
          <w:sz w:val="24"/>
          <w:szCs w:val="24"/>
        </w:rPr>
        <w:t xml:space="preserve"> Il cablogramma dell'ambasciata a Buenos Aires del 17 aprile 1978, in due sezioni, riferisce un documento del Partito Montonero che nega ogni connessione col sequestro di Moro e ogni accordo con gruppi delle Brigate rosse. È smentita di terzi su terzi. Non è fonte sui responsabili, che restano quelli accertati in giudicato nei processi Moro, e non nomina alcun attore statunitense.</w:t>
      </w:r>
    </w:p>
    <w:p>
      <w:pPr>
        <w:spacing w:after="120" w:line="276"/>
        <w:jc w:val="both"/>
      </w:pPr>
      <w:r>
        <w:rPr>
          <w:rFonts w:ascii="Barlow Semi Condensed" w:cs="Barlow Semi Condensed" w:eastAsia="Barlow Semi Condensed" w:hAnsi="Barlow Semi Condensed"/>
          <w:b/>
          <w:bCs/>
          <w:sz w:val="24"/>
          <w:szCs w:val="24"/>
        </w:rPr>
        <w:t xml:space="preserve">2957 · Il timbro postale impossibile.</w:t>
      </w:r>
      <w:r>
        <w:rPr>
          <w:rFonts w:ascii="Barlow Semi Condensed" w:cs="Barlow Semi Condensed" w:eastAsia="Barlow Semi Condensed" w:hAnsi="Barlow Semi Condensed"/>
          <w:sz w:val="24"/>
          <w:szCs w:val="24"/>
        </w:rPr>
        <w:t xml:space="preserve"> L'OCR grezzo legge che la busta fu «clearly postmarked March 32, 1978». Il 32 marzo non esiste. La trascrizione ordinata rende prudentemente «3[?] marzo», ma quella lezione anticiperebbe il sequestro del 16 marzo e sarebbe incompatibile col contenuto del documento. Bersaglio filologico prioritario: la lezione vera sull'originale della pratica R-2021-00202. Una data impossibile è un errore di copia, non un mistero.</w:t>
      </w:r>
    </w:p>
    <w:p>
      <w:pPr>
        <w:spacing w:after="120" w:line="276"/>
        <w:jc w:val="both"/>
      </w:pPr>
      <w:r>
        <w:rPr>
          <w:rFonts w:ascii="Barlow Semi Condensed" w:cs="Barlow Semi Condensed" w:eastAsia="Barlow Semi Condensed" w:hAnsi="Barlow Semi Condensed"/>
          <w:b/>
          <w:bCs/>
          <w:sz w:val="24"/>
          <w:szCs w:val="24"/>
        </w:rPr>
        <w:t xml:space="preserve">2958 · Gelman, firma e qualifica.</w:t>
      </w:r>
      <w:r>
        <w:rPr>
          <w:rFonts w:ascii="Barlow Semi Condensed" w:cs="Barlow Semi Condensed" w:eastAsia="Barlow Semi Condensed" w:hAnsi="Barlow Semi Condensed"/>
          <w:sz w:val="24"/>
          <w:szCs w:val="24"/>
        </w:rPr>
        <w:t xml:space="preserve"> Il redattore annota che la firma finale, apparentemente autografa, è di Juan Gelman, che sottoscrive come «Press Secretary General» del «Secretariat of Press» del Partito Montonero, e ricorda che la sua ultima presa di posizione nota all'ambasciata era del 5 aprile a Madrid. Sono dati di provenienza sul documento allegato, non sulla sua veridicità: la qualifica dichiarata da chi firma non è accertamento di ruolo.</w:t>
      </w:r>
    </w:p>
    <w:p>
      <w:pPr>
        <w:spacing w:after="120" w:line="276"/>
        <w:jc w:val="both"/>
      </w:pPr>
      <w:r>
        <w:rPr>
          <w:rFonts w:ascii="Barlow Semi Condensed" w:cs="Barlow Semi Condensed" w:eastAsia="Barlow Semi Condensed" w:hAnsi="Barlow Semi Condensed"/>
          <w:b/>
          <w:bCs/>
          <w:sz w:val="24"/>
          <w:szCs w:val="24"/>
        </w:rPr>
        <w:t xml:space="preserve">2959 · Bonn, Parigi, Roma per conoscenza.</w:t>
      </w:r>
      <w:r>
        <w:rPr>
          <w:rFonts w:ascii="Barlow Semi Condensed" w:cs="Barlow Semi Condensed" w:eastAsia="Barlow Semi Condensed" w:hAnsi="Barlow Semi Condensed"/>
          <w:sz w:val="24"/>
          <w:szCs w:val="24"/>
        </w:rPr>
        <w:t xml:space="preserve"> Buenos Aires 2881 va per conoscenza alle ambasciate di Bonn, Parigi e Roma: due di quelle capitali sono colonne estere dei cantieri, la terza è la sede del caso. È convergenza di cornice, non di condotta. Il cablogramma mostra dove Washington ritenne utile far circolare una smentita sudamericana; non mostra iniziativa alcuna verso quelle capitali, e la contemporaneità coi cinquantacinque giorni non vi aggiunge nulla.</w:t>
      </w:r>
    </w:p>
    <w:p>
      <w:pPr>
        <w:spacing w:after="120" w:line="276"/>
        <w:jc w:val="both"/>
      </w:pPr>
      <w:r>
        <w:rPr>
          <w:rFonts w:ascii="Barlow Semi Condensed" w:cs="Barlow Semi Condensed" w:eastAsia="Barlow Semi Condensed" w:hAnsi="Barlow Semi Condensed"/>
          <w:b/>
          <w:bCs/>
          <w:sz w:val="24"/>
          <w:szCs w:val="24"/>
        </w:rPr>
        <w:t xml:space="preserve">2960 · Il riferimento assente: Rome 8511.</w:t>
      </w:r>
      <w:r>
        <w:rPr>
          <w:rFonts w:ascii="Barlow Semi Condensed" w:cs="Barlow Semi Condensed" w:eastAsia="Barlow Semi Condensed" w:hAnsi="Barlow Semi Condensed"/>
          <w:sz w:val="24"/>
          <w:szCs w:val="24"/>
        </w:rPr>
        <w:t xml:space="preserve"> Tanto Trieste 9223 quanto Palermo 9487 recano «REF: ROME 8511», cioè un telegramma dell'ambasciata a Roma che il lotto non contiene. È la lacuna più netta dello strato secondo, perché il documento mancante è quello di livello politico. Sede di chiusura: la banca dati dei telegrammi elettronici del 1978 nel Record Group 59 presso i National Archives. Finché non è letto, la posizione di Washington nel maggio 1978 resta fuori dal territorio.</w:t>
      </w:r>
    </w:p>
    <w:p>
      <w:pPr>
        <w:spacing w:after="120" w:line="276"/>
        <w:jc w:val="both"/>
      </w:pPr>
      <w:r>
        <w:rPr>
          <w:rFonts w:ascii="Barlow Semi Condensed" w:cs="Barlow Semi Condensed" w:eastAsia="Barlow Semi Condensed" w:hAnsi="Barlow Semi Condensed"/>
          <w:b/>
          <w:bCs/>
          <w:sz w:val="24"/>
          <w:szCs w:val="24"/>
        </w:rPr>
        <w:t xml:space="preserve">2961 · Trieste 9223, materia e limite.</w:t>
      </w:r>
      <w:r>
        <w:rPr>
          <w:rFonts w:ascii="Barlow Semi Condensed" w:cs="Barlow Semi Condensed" w:eastAsia="Barlow Semi Condensed" w:hAnsi="Barlow Semi Condensed"/>
          <w:sz w:val="24"/>
          <w:szCs w:val="24"/>
        </w:rPr>
        <w:t xml:space="preserve"> Il consolato di Trieste riferisce che il Nord-Est accolse la morte con sdegno e appelli all'unità, definisce il Friuli-Venezia Giulia «for the most part Moro country» e cita Comelli, Pittoni, Dario Rinaldi, Foletto e Tomelleri, registrando la chiusura anticipata di Marghera il 9 maggio. Sono reazioni riferite da fonte terza e coeva. Materia del lutto pubblico: nessun nome americano vi compare e nessuno vi è cercato dal redattore.</w:t>
      </w:r>
    </w:p>
    <w:p>
      <w:pPr>
        <w:spacing w:after="120" w:line="276"/>
        <w:jc w:val="both"/>
      </w:pPr>
      <w:r>
        <w:rPr>
          <w:rFonts w:ascii="Barlow Semi Condensed" w:cs="Barlow Semi Condensed" w:eastAsia="Barlow Semi Condensed" w:hAnsi="Barlow Semi Condensed"/>
          <w:b/>
          <w:bCs/>
          <w:sz w:val="24"/>
          <w:szCs w:val="24"/>
        </w:rPr>
        <w:t xml:space="preserve">2962 · Palermo 9487, e i nomi che porta.</w:t>
      </w:r>
      <w:r>
        <w:rPr>
          <w:rFonts w:ascii="Barlow Semi Condensed" w:cs="Barlow Semi Condensed" w:eastAsia="Barlow Semi Condensed" w:hAnsi="Barlow Semi Condensed"/>
          <w:sz w:val="24"/>
          <w:szCs w:val="24"/>
        </w:rPr>
        <w:t xml:space="preserve"> De Pasquale, presidente dell'Assemblea regionale siciliana, accostò il leader ucciso a Giacomo Matteotti e Antonio Gramsci; Santi Mattarella ne scrisse sul «Giornale di Sicilia» dell'11 maggio; il cardinale Salvatore Pappalardo celebrò la messa del 10 a mezzogiorno; nel corteo il coro sulle bandiere rosse fu sovrastato dagli appelli all'unità. Il cablogramma documenta cornice civile: nessun elemento istruttorio, nessun attore estero.</w:t>
      </w:r>
    </w:p>
    <w:p>
      <w:pPr>
        <w:spacing w:after="120" w:line="276"/>
        <w:jc w:val="both"/>
      </w:pPr>
      <w:r>
        <w:rPr>
          <w:rFonts w:ascii="Barlow Semi Condensed" w:cs="Barlow Semi Condensed" w:eastAsia="Barlow Semi Condensed" w:hAnsi="Barlow Semi Condensed"/>
          <w:b/>
          <w:bCs/>
          <w:sz w:val="24"/>
          <w:szCs w:val="24"/>
        </w:rPr>
        <w:t xml:space="preserve">2963 · TAGS PINT e ciò che implica.</w:t>
      </w:r>
      <w:r>
        <w:rPr>
          <w:rFonts w:ascii="Barlow Semi Condensed" w:cs="Barlow Semi Condensed" w:eastAsia="Barlow Semi Condensed" w:hAnsi="Barlow Semi Condensed"/>
          <w:sz w:val="24"/>
          <w:szCs w:val="24"/>
        </w:rPr>
        <w:t xml:space="preserve"> Le TAGS dei due cablogrammi consolari sono «PINT, IT» — affari politici interni — e non recano sigle di politica estera bilaterale. È indicazione di genere, e il genere spiega il contenuto: il redattore raccoglieva reazioni locali, non posizioni di Washington. Regola operativa: prima di chiedere a un documento ciò che non dice, si legge come fu classificato. La classificazione è la prima dichiarazione di competenza.</w:t>
      </w:r>
    </w:p>
    <w:p>
      <w:pPr>
        <w:spacing w:after="120" w:line="276"/>
        <w:jc w:val="both"/>
      </w:pPr>
      <w:r>
        <w:rPr>
          <w:rFonts w:ascii="Barlow Semi Condensed" w:cs="Barlow Semi Condensed" w:eastAsia="Barlow Semi Condensed" w:hAnsi="Barlow Semi Condensed"/>
          <w:b/>
          <w:bCs/>
          <w:sz w:val="24"/>
          <w:szCs w:val="24"/>
        </w:rPr>
        <w:t xml:space="preserve">2964 · Le domande finali del consolato.</w:t>
      </w:r>
      <w:r>
        <w:rPr>
          <w:rFonts w:ascii="Barlow Semi Condensed" w:cs="Barlow Semi Condensed" w:eastAsia="Barlow Semi Condensed" w:hAnsi="Barlow Semi Condensed"/>
          <w:sz w:val="24"/>
          <w:szCs w:val="24"/>
        </w:rPr>
        <w:t xml:space="preserve"> Palermo chiude elencando le domande che i siciliani cominciavano a porsi: chi guiderà la Democrazia cristiana, chi sarà il prossimo presidente della Repubblica, chi il prossimo bersaglio. Sono domande di cronaca politica raccolte da un console, non ipotesi investigative. Vanno riportate come tali, perché il corpus registra ciò che le fonti dicono e non ciò che il lettore vorrebbe che avessero inteso.</w:t>
      </w:r>
    </w:p>
    <w:p>
      <w:pPr>
        <w:spacing w:after="120" w:line="276"/>
        <w:jc w:val="both"/>
      </w:pPr>
      <w:r>
        <w:rPr>
          <w:rFonts w:ascii="Barlow Semi Condensed" w:cs="Barlow Semi Condensed" w:eastAsia="Barlow Semi Condensed" w:hAnsi="Barlow Semi Condensed"/>
          <w:b/>
          <w:bCs/>
          <w:sz w:val="24"/>
          <w:szCs w:val="24"/>
        </w:rPr>
        <w:t xml:space="preserve">2965 · Due reazioni, una causa comune.</w:t>
      </w:r>
      <w:r>
        <w:rPr>
          <w:rFonts w:ascii="Barlow Semi Condensed" w:cs="Barlow Semi Condensed" w:eastAsia="Barlow Semi Condensed" w:hAnsi="Barlow Semi Condensed"/>
          <w:sz w:val="24"/>
          <w:szCs w:val="24"/>
        </w:rPr>
        <w:t xml:space="preserve"> Trieste e Palermo riferiscono reazioni simultanee nelle stesse ore. Il verbale della seconda campagna propone alla griglia una quinta voce, l'effetto convergente da causa comune: due esiti simultanei discendono provatamente dallo stesso evento e non l'uno dall'altro. È il caso. La simultaneità dei due cablogrammi non li lega fra loro e non lega nessuno dei due a un attore terzo: li lega al 9 maggio.</w:t>
      </w:r>
    </w:p>
    <w:p>
      <w:pPr>
        <w:spacing w:after="120" w:line="276"/>
        <w:jc w:val="both"/>
      </w:pPr>
      <w:r>
        <w:rPr>
          <w:rFonts w:ascii="Barlow Semi Condensed" w:cs="Barlow Semi Condensed" w:eastAsia="Barlow Semi Condensed" w:hAnsi="Barlow Semi Condensed"/>
          <w:b/>
          <w:bCs/>
          <w:sz w:val="24"/>
          <w:szCs w:val="24"/>
        </w:rPr>
        <w:t xml:space="preserve">2966 · Il giudicato come confine dello strato.</w:t>
      </w:r>
      <w:r>
        <w:rPr>
          <w:rFonts w:ascii="Barlow Semi Condensed" w:cs="Barlow Semi Condensed" w:eastAsia="Barlow Semi Condensed" w:hAnsi="Barlow Semi Condensed"/>
          <w:sz w:val="24"/>
          <w:szCs w:val="24"/>
        </w:rPr>
        <w:t xml:space="preserve"> Lo strato del 1978 documenta lutto e reazioni, non responsabilità. Gli autori del sequestro e dell'omicidio sono accertati in giudicato nei processi Moro. Nessun documento del lotto attribuisce condotta ad alcuno, e nessun blocco di questa serie può farlo: il nome che essa triangola non fu mai imputato né processato in alcun Paese, e il corpus si ferma dove si ferma la sentenza.</w:t>
      </w:r>
    </w:p>
    <w:p>
      <w:pPr>
        <w:spacing w:after="120" w:line="276"/>
        <w:jc w:val="both"/>
      </w:pPr>
      <w:r>
        <w:rPr>
          <w:rFonts w:ascii="Barlow Semi Condensed" w:cs="Barlow Semi Condensed" w:eastAsia="Barlow Semi Condensed" w:hAnsi="Barlow Semi Condensed"/>
          <w:b/>
          <w:bCs/>
          <w:sz w:val="24"/>
          <w:szCs w:val="24"/>
        </w:rPr>
        <w:t xml:space="preserve">2967 · Ciò che il lotto non è.</w:t>
      </w:r>
      <w:r>
        <w:rPr>
          <w:rFonts w:ascii="Barlow Semi Condensed" w:cs="Barlow Semi Condensed" w:eastAsia="Barlow Semi Condensed" w:hAnsi="Barlow Semi Condensed"/>
          <w:sz w:val="24"/>
          <w:szCs w:val="24"/>
        </w:rPr>
        <w:t xml:space="preserve"> La cartella qualifica il lotto come cornice e non come accertamento istruttorio, e la qualifica va portata con i documenti ovunque siano citati. Vale in particolare contro l'uso divulgativo: un cablogramma desecretato è suggestivo per la sua provenienza, non per il suo contenuto, e questo lotto contiene un programma cerimoniale, una smentita di terzi e due rassegne di cordoglio.</w:t>
      </w:r>
    </w:p>
    <w:p>
      <w:pPr>
        <w:spacing w:after="120" w:line="276"/>
        <w:jc w:val="both"/>
      </w:pPr>
      <w:r>
        <w:rPr>
          <w:rFonts w:ascii="Barlow Semi Condensed" w:cs="Barlow Semi Condensed" w:eastAsia="Barlow Semi Condensed" w:hAnsi="Barlow Semi Condensed"/>
          <w:b/>
          <w:bCs/>
          <w:sz w:val="24"/>
          <w:szCs w:val="24"/>
        </w:rPr>
        <w:t xml:space="preserve">2968 · La pratica FOIA che regge tutto.</w:t>
      </w:r>
      <w:r>
        <w:rPr>
          <w:rFonts w:ascii="Barlow Semi Condensed" w:cs="Barlow Semi Condensed" w:eastAsia="Barlow Semi Condensed" w:hAnsi="Barlow Semi Condensed"/>
          <w:sz w:val="24"/>
          <w:szCs w:val="24"/>
        </w:rPr>
        <w:t xml:space="preserve"> La sigla di pratica R-2021-00202 e gli identificativi di rilascio B-00001939965, ...966, ...968, ...969, ...972, ...974 e ...989 attraversano il file originale, con esenzioni b3, b6, b7C e b7E e date di lavorazione del settembre 2021. Bersaglio: l'elenco integrale dei documenti rilasciati sotto quella pratica, che dirà quanti pezzi il lotto contenga e quanti la trascrizione ordinata ne abbia ripresi.</w:t>
      </w:r>
    </w:p>
    <w:p>
      <w:pPr>
        <w:spacing w:after="120" w:line="276"/>
        <w:jc w:val="both"/>
      </w:pPr>
      <w:r>
        <w:rPr>
          <w:rFonts w:ascii="Barlow Semi Condensed" w:cs="Barlow Semi Condensed" w:eastAsia="Barlow Semi Condensed" w:hAnsi="Barlow Semi Condensed"/>
          <w:b/>
          <w:bCs/>
          <w:sz w:val="24"/>
          <w:szCs w:val="24"/>
        </w:rPr>
        <w:t xml:space="preserve">2969 · Un fascicolo dell'FBI, non del Dipartimento.</w:t>
      </w:r>
      <w:r>
        <w:rPr>
          <w:rFonts w:ascii="Barlow Semi Condensed" w:cs="Barlow Semi Condensed" w:eastAsia="Barlow Semi Condensed" w:hAnsi="Barlow Semi Condensed"/>
          <w:sz w:val="24"/>
          <w:szCs w:val="24"/>
        </w:rPr>
        <w:t xml:space="preserve"> Timbri e caselle di smistamento dell'FBI attraversano il lotto: «NOT RECORDED», le date del 23 aprile 1965, del 18 giugno 1997 e del 16 giugno 2018, e accanto a Buenos Aires 2881 l'elenco dell'Associate Director e degli Assistant Directors. I pezzi sono di redazione statale ma di conservazione federale investigativa. La provenienza spiega il contenuto: una pratica di sicurezza non porta memorandum di colloquio politico.</w:t>
      </w:r>
    </w:p>
    <w:p>
      <w:pPr>
        <w:spacing w:after="120" w:line="276"/>
        <w:jc w:val="both"/>
      </w:pPr>
      <w:r>
        <w:rPr>
          <w:rFonts w:ascii="Barlow Semi Condensed" w:cs="Barlow Semi Condensed" w:eastAsia="Barlow Semi Condensed" w:hAnsi="Barlow Semi Condensed"/>
          <w:b/>
          <w:bCs/>
          <w:sz w:val="24"/>
          <w:szCs w:val="24"/>
        </w:rPr>
        <w:t xml:space="preserve">2970 · Il cablogramma di Berna del 1981.</w:t>
      </w:r>
      <w:r>
        <w:rPr>
          <w:rFonts w:ascii="Barlow Semi Condensed" w:cs="Barlow Semi Condensed" w:eastAsia="Barlow Semi Condensed" w:hAnsi="Barlow Semi Condensed"/>
          <w:sz w:val="24"/>
          <w:szCs w:val="24"/>
        </w:rPr>
        <w:t xml:space="preserve"> In testa al file originale sta un documento che la trascrizione ordinata non riprende: BERN 02583 del 17 giugno 1981, NOFORN, da AMEMBASSY BERN ad AMEMBASSY ASUNCION, per conoscenza a Ginevra e a SECSTATE, con TAGS ASEC, PINS, SZ, IT e PA e rinvii a BERN 02461 e ASUNCION 2294. Cade fuori dall'arco 1965-1978 dichiarato nel titolo del derivato. Divergenza da riportare, non da comporre.</w:t>
      </w:r>
    </w:p>
    <w:p>
      <w:pPr>
        <w:spacing w:after="120" w:line="276"/>
        <w:jc w:val="both"/>
      </w:pPr>
      <w:r>
        <w:rPr>
          <w:rFonts w:ascii="Barlow Semi Condensed" w:cs="Barlow Semi Condensed" w:eastAsia="Barlow Semi Condensed" w:hAnsi="Barlow Semi Condensed"/>
          <w:b/>
          <w:bCs/>
          <w:sz w:val="24"/>
          <w:szCs w:val="24"/>
        </w:rPr>
        <w:t xml:space="preserve">2971 · L'oggetto illeggibile di Berna.</w:t>
      </w:r>
      <w:r>
        <w:rPr>
          <w:rFonts w:ascii="Barlow Semi Condensed" w:cs="Barlow Semi Condensed" w:eastAsia="Barlow Semi Condensed" w:hAnsi="Barlow Semi Condensed"/>
          <w:sz w:val="24"/>
          <w:szCs w:val="24"/>
        </w:rPr>
        <w:t xml:space="preserve"> La riga d'oggetto di quel cablogramma è corrotta: «ARREST, OF HOR.Q;yKT0 waP PING SUSPECT IN LU». La sequenza è compatibile con una lettura che vi riconosca l'arresto di un sospetto per il sequestro Moro in località svizzera, ma la lettura non è accertata e non può essere usata. Bersaglio: la riga d'oggetto sull'originale. Un'ipotesi di lettura dichiarata come tale è lecita; usata come fatto, no.</w:t>
      </w:r>
    </w:p>
    <w:p>
      <w:pPr>
        <w:spacing w:after="120" w:line="276"/>
        <w:jc w:val="both"/>
      </w:pPr>
      <w:r>
        <w:rPr>
          <w:rFonts w:ascii="Barlow Semi Condensed" w:cs="Barlow Semi Condensed" w:eastAsia="Barlow Semi Condensed" w:hAnsi="Barlow Semi Condensed"/>
          <w:b/>
          <w:bCs/>
          <w:sz w:val="24"/>
          <w:szCs w:val="24"/>
        </w:rPr>
        <w:t xml:space="preserve">2972 · Il rapporto d'intelligence oscurato.</w:t>
      </w:r>
      <w:r>
        <w:rPr>
          <w:rFonts w:ascii="Barlow Semi Condensed" w:cs="Barlow Semi Condensed" w:eastAsia="Barlow Semi Condensed" w:hAnsi="Barlow Semi Condensed"/>
          <w:sz w:val="24"/>
          <w:szCs w:val="24"/>
        </w:rPr>
        <w:t xml:space="preserve"> Il testo di BERN 02583 rinvia a un rapporto del 12 giugno 1981 con numero TDFIRDB315 seguito da caratteri illeggibili, trasmesso a tutti i destinatari, e il documento porta esenzioni b3 e b7E. Bersaglio: identificare la serie di quel numero e verificarne il regime di consultazione. Il rinvio prova che il rapporto esistette; il suo contenuto resta fuori dalla portata di questo corpus.</w:t>
      </w:r>
    </w:p>
    <w:p>
      <w:pPr>
        <w:spacing w:after="120" w:line="276"/>
        <w:jc w:val="both"/>
      </w:pPr>
      <w:r>
        <w:rPr>
          <w:rFonts w:ascii="Barlow Semi Condensed" w:cs="Barlow Semi Condensed" w:eastAsia="Barlow Semi Condensed" w:hAnsi="Barlow Semi Condensed"/>
          <w:b/>
          <w:bCs/>
          <w:sz w:val="24"/>
          <w:szCs w:val="24"/>
        </w:rPr>
        <w:t xml:space="preserve">2973 · Il derivato va ricollazionato.</w:t>
      </w:r>
      <w:r>
        <w:rPr>
          <w:rFonts w:ascii="Barlow Semi Condensed" w:cs="Barlow Semi Condensed" w:eastAsia="Barlow Semi Condensed" w:hAnsi="Barlow Semi Condensed"/>
          <w:sz w:val="24"/>
          <w:szCs w:val="24"/>
        </w:rPr>
        <w:t xml:space="preserve"> Il manifest-sha256.txt registra l'OCR grezzo con impronta 4b2b9694… e il derivato documenti-state-dept-1965-1978.md con impronta 8ea018f4…. Poiché il derivato omette il cablogramma del 1981, la collazione originale-derivato va rifatta per intero e il manifest rigenerato dopo ogni emendamento. È manutenzione di catena di custodia, ed è il lavoro che il blocco 266 dell'opera prescrive conservando il grezzo accanto all'ordinato.</w:t>
      </w:r>
    </w:p>
    <w:p>
      <w:pPr>
        <w:spacing w:after="120" w:line="276"/>
        <w:jc w:val="both"/>
      </w:pPr>
      <w:r>
        <w:rPr>
          <w:rFonts w:ascii="Barlow Semi Condensed" w:cs="Barlow Semi Condensed" w:eastAsia="Barlow Semi Condensed" w:hAnsi="Barlow Semi Condensed"/>
          <w:b/>
          <w:bCs/>
          <w:sz w:val="24"/>
          <w:szCs w:val="24"/>
        </w:rPr>
        <w:t xml:space="preserve">2974 · L'OCR come agente di errore.</w:t>
      </w:r>
      <w:r>
        <w:rPr>
          <w:rFonts w:ascii="Barlow Semi Condensed" w:cs="Barlow Semi Condensed" w:eastAsia="Barlow Semi Condensed" w:hAnsi="Barlow Semi Condensed"/>
          <w:sz w:val="24"/>
          <w:szCs w:val="24"/>
        </w:rPr>
        <w:t xml:space="preserve"> Nel lotto si legge MATTROTTI per Matteotti, MOGRO e HOR.Q per Moro, MARACH 32 per una data. Regola: nessun argomento onomastico o numerico può poggiare su questa trascrizione senza confronto con l'immagine. Vale a maggior ragione per un cognome assente, perché l'assenza va verificata anche contro le mutazioni possibili — e qui la verifica è stata condotta su forme alternative, senza esito.</w:t>
      </w:r>
    </w:p>
    <w:p>
      <w:pPr>
        <w:spacing w:after="120" w:line="276"/>
        <w:jc w:val="both"/>
      </w:pPr>
      <w:r>
        <w:rPr>
          <w:rFonts w:ascii="Barlow Semi Condensed" w:cs="Barlow Semi Condensed" w:eastAsia="Barlow Semi Condensed" w:hAnsi="Barlow Semi Condensed"/>
          <w:b/>
          <w:bCs/>
          <w:sz w:val="24"/>
          <w:szCs w:val="24"/>
        </w:rPr>
        <w:t xml:space="preserve">2975 · Le due sezioni e la serialità.</w:t>
      </w:r>
      <w:r>
        <w:rPr>
          <w:rFonts w:ascii="Barlow Semi Condensed" w:cs="Barlow Semi Condensed" w:eastAsia="Barlow Semi Condensed" w:hAnsi="Barlow Semi Condensed"/>
          <w:sz w:val="24"/>
          <w:szCs w:val="24"/>
        </w:rPr>
        <w:t xml:space="preserve"> Le due sezioni del cablogramma argentino portano numeri progressivi 5363 e 5364 verso SECSTATE, con orari di partenza 171556Z e 171711Z del 17 aprile 1978. Sono dati di serialità: consentono di accertare se fra quei numeri l'ambasciata trasmise altro, e che cosa. Bersaglio: la sequenza completa dei telegrammi di Buenos Aires di quel giorno nella banca dati dei telegrammi elettronici.</w:t>
      </w:r>
    </w:p>
    <w:p>
      <w:pPr>
        <w:spacing w:after="120" w:line="276"/>
        <w:jc w:val="both"/>
      </w:pPr>
      <w:r>
        <w:rPr>
          <w:rFonts w:ascii="Barlow Semi Condensed" w:cs="Barlow Semi Condensed" w:eastAsia="Barlow Semi Condensed" w:hAnsi="Barlow Semi Condensed"/>
          <w:b/>
          <w:bCs/>
          <w:sz w:val="24"/>
          <w:szCs w:val="24"/>
        </w:rPr>
        <w:t xml:space="preserve">2976 · Il verbale della seconda campagna, statuto.</w:t>
      </w:r>
      <w:r>
        <w:rPr>
          <w:rFonts w:ascii="Barlow Semi Condensed" w:cs="Barlow Semi Condensed" w:eastAsia="Barlow Semi Condensed" w:hAnsi="Barlow Semi Condensed"/>
          <w:sz w:val="24"/>
          <w:szCs w:val="24"/>
        </w:rPr>
        <w:t xml:space="preserve"> Il secondo documento assegnato non è una ricognizione: è il verbale di sei letture incrociate sulle tre ricognizioni pervenute il 25 agosto 2026, con diciotto acquisizioni, sei correzioni, otto divergenze aperte, sei Stati Zero condivisi e settantanove voci di triangolazione. In tutto quell'apparato il nome triangolato non compare. È il secondo zero misurato della serie, e ha una causa diversa dal primo.</w:t>
      </w:r>
    </w:p>
    <w:p>
      <w:pPr>
        <w:spacing w:after="120" w:line="276"/>
        <w:jc w:val="both"/>
      </w:pPr>
      <w:r>
        <w:rPr>
          <w:rFonts w:ascii="Barlow Semi Condensed" w:cs="Barlow Semi Condensed" w:eastAsia="Barlow Semi Condensed" w:hAnsi="Barlow Semi Condensed"/>
          <w:b/>
          <w:bCs/>
          <w:sz w:val="24"/>
          <w:szCs w:val="24"/>
        </w:rPr>
        <w:t xml:space="preserve">2977 · Perché il verbale tace quel nome.</w:t>
      </w:r>
      <w:r>
        <w:rPr>
          <w:rFonts w:ascii="Barlow Semi Condensed" w:cs="Barlow Semi Condensed" w:eastAsia="Barlow Semi Condensed" w:hAnsi="Barlow Semi Condensed"/>
          <w:sz w:val="24"/>
          <w:szCs w:val="24"/>
        </w:rPr>
        <w:t xml:space="preserve"> Le tre ricognizioni triangolate riguardano l'Opus Dei come soggetto storico nei documenti italiani e spagnoli, la Santa Sede e le due Germanie con la sequenza Oder-Neisse, il Portogallo e la Santa Sede. Sono materie ecclesiali e iberiche, con giacimenti vaticani, spagnoli e portoghesi. Il vertice statunitense non vi è oggetto. L'assenza è coerente col perimetro dichiarato dei documenti, non con una reticenza.</w:t>
      </w:r>
    </w:p>
    <w:p>
      <w:pPr>
        <w:spacing w:after="120" w:line="276"/>
        <w:jc w:val="both"/>
      </w:pPr>
      <w:r>
        <w:rPr>
          <w:rFonts w:ascii="Barlow Semi Condensed" w:cs="Barlow Semi Condensed" w:eastAsia="Barlow Semi Condensed" w:hAnsi="Barlow Semi Condensed"/>
          <w:b/>
          <w:bCs/>
          <w:sz w:val="24"/>
          <w:szCs w:val="24"/>
        </w:rPr>
        <w:t xml:space="preserve">2978 · L'«Italian official» resta anonimo.</w:t>
      </w:r>
      <w:r>
        <w:rPr>
          <w:rFonts w:ascii="Barlow Semi Condensed" w:cs="Barlow Semi Condensed" w:eastAsia="Barlow Semi Condensed" w:hAnsi="Barlow Semi Condensed"/>
          <w:sz w:val="24"/>
          <w:szCs w:val="24"/>
        </w:rPr>
        <w:t xml:space="preserve"> Il rapporto CIA del 22 maggio 1970, protocollo CIA-RDP85T00875R001500020027-1, contiene la frase secondo cui un funzionario italiano avrebbe già detto che il suo Paese non sarebbe interessato al progetto di patto mediterraneo. Il documento non fa nomi. La regola vale identica per l'attribuzione a Moro e per qualunque attribuzione a un interlocutore americano: nessun nome si estrae da un documento che non lo scrive.</w:t>
      </w:r>
    </w:p>
    <w:p>
      <w:pPr>
        <w:spacing w:after="120" w:line="276"/>
        <w:jc w:val="both"/>
      </w:pPr>
      <w:r>
        <w:rPr>
          <w:rFonts w:ascii="Barlow Semi Condensed" w:cs="Barlow Semi Condensed" w:eastAsia="Barlow Semi Condensed" w:hAnsi="Barlow Semi Condensed"/>
          <w:b/>
          <w:bCs/>
          <w:sz w:val="24"/>
          <w:szCs w:val="24"/>
        </w:rPr>
        <w:t xml:space="preserve">2979 · Il 22 maggio 1970 e le cariche.</w:t>
      </w:r>
      <w:r>
        <w:rPr>
          <w:rFonts w:ascii="Barlow Semi Condensed" w:cs="Barlow Semi Condensed" w:eastAsia="Barlow Semi Condensed" w:hAnsi="Barlow Semi Condensed"/>
          <w:sz w:val="24"/>
          <w:szCs w:val="24"/>
        </w:rPr>
        <w:t xml:space="preserve"> Alla data di quel rapporto l'assistente statunitense per la sicurezza nazionale era in carica da sedici mesi, e i Weekly Summary Special Report circolavano nel sistema del Consiglio di sicurezza nazionale. È comunanza di ambiente istituzionale, terza voce della griglia a quattro gradi, e niente di più. Bersaglio, se lo si vuole chiudere: le carte istituzionali di quel Consiglio presso la biblioteca presidenziale competente.</w:t>
      </w:r>
    </w:p>
    <w:p>
      <w:pPr>
        <w:spacing w:after="120" w:line="276"/>
        <w:jc w:val="both"/>
      </w:pPr>
      <w:r>
        <w:rPr>
          <w:rFonts w:ascii="Barlow Semi Condensed" w:cs="Barlow Semi Condensed" w:eastAsia="Barlow Semi Condensed" w:hAnsi="Barlow Semi Condensed"/>
          <w:b/>
          <w:bCs/>
          <w:sz w:val="24"/>
          <w:szCs w:val="24"/>
        </w:rPr>
        <w:t xml:space="preserve">2980 · Osimo, il canale fuori dalla Farnesina.</w:t>
      </w:r>
      <w:r>
        <w:rPr>
          <w:rFonts w:ascii="Barlow Semi Condensed" w:cs="Barlow Semi Condensed" w:eastAsia="Barlow Semi Condensed" w:hAnsi="Barlow Semi Condensed"/>
          <w:sz w:val="24"/>
          <w:szCs w:val="24"/>
        </w:rPr>
        <w:t xml:space="preserve"> I negoziati riservati di Osimo si svolsero fra luglio e novembre 1974 attraverso un canale esterno al ministero degli Esteri, primo caso italiano del genere: così il verbale acquisisce. Cadono nelle stesse settimane del colloquio dello Studio Ovale del 25 settembre 1974. La coincidenza è contemporaneità entro cornici diverse: non risulta che la controparte americana fosse informata di quel canale, ed è Stato Zero.</w:t>
      </w:r>
    </w:p>
    <w:p>
      <w:pPr>
        <w:spacing w:after="120" w:line="276"/>
        <w:jc w:val="both"/>
      </w:pPr>
      <w:r>
        <w:rPr>
          <w:rFonts w:ascii="Barlow Semi Condensed" w:cs="Barlow Semi Condensed" w:eastAsia="Barlow Semi Condensed" w:hAnsi="Barlow Semi Condensed"/>
          <w:b/>
          <w:bCs/>
          <w:sz w:val="24"/>
          <w:szCs w:val="24"/>
        </w:rPr>
        <w:t xml:space="preserve">2981 · La sede che chiuderebbe Osimo.</w:t>
      </w:r>
      <w:r>
        <w:rPr>
          <w:rFonts w:ascii="Barlow Semi Condensed" w:cs="Barlow Semi Condensed" w:eastAsia="Barlow Semi Condensed" w:hAnsi="Barlow Semi Condensed"/>
          <w:sz w:val="24"/>
          <w:szCs w:val="24"/>
        </w:rPr>
        <w:t xml:space="preserve"> Sede: i telegrammi elettronici del 1974 da Roma e da Belgrado nel Record Group 59, e i fascicoli per Paese del consigliere per la sicurezza nazionale presso la Gerald R. Ford Presidential Library. Bersaglio di smentita del nesso: un documento americano coevo che mostri conoscenza del canale riservato. Se non esiste, l'esito negativo si verbalizza e vale quanto un esito positivo.</w:t>
      </w:r>
    </w:p>
    <w:p>
      <w:pPr>
        <w:spacing w:after="120" w:line="276"/>
        <w:jc w:val="both"/>
      </w:pPr>
      <w:r>
        <w:rPr>
          <w:rFonts w:ascii="Barlow Semi Condensed" w:cs="Barlow Semi Condensed" w:eastAsia="Barlow Semi Condensed" w:hAnsi="Barlow Semi Condensed"/>
          <w:b/>
          <w:bCs/>
          <w:sz w:val="24"/>
          <w:szCs w:val="24"/>
        </w:rPr>
        <w:t xml:space="preserve">2982 · Il 25 settembre 1974 non è qui.</w:t>
      </w:r>
      <w:r>
        <w:rPr>
          <w:rFonts w:ascii="Barlow Semi Condensed" w:cs="Barlow Semi Condensed" w:eastAsia="Barlow Semi Condensed" w:hAnsi="Barlow Semi Condensed"/>
          <w:sz w:val="24"/>
          <w:szCs w:val="24"/>
        </w:rPr>
        <w:t xml:space="preserve"> Il colloquio dello Studio Ovale fra Leone, Moro, Ford, Kissinger e Scowcroft — FRUS 1969-1976 E-15 parte 2, documento 350, seconda edizione riveduta, e file 1552802 della Ford Library — è il solo ponte di piano uno fra quel nome e Moro ministro, e non appartiene né a questo lotto né a questo verbale. Provenienze diverse, catene diverse: la cucitura si dichiara, non si sottintende.</w:t>
      </w:r>
    </w:p>
    <w:p>
      <w:pPr>
        <w:spacing w:after="120" w:line="276"/>
        <w:jc w:val="both"/>
      </w:pPr>
      <w:r>
        <w:rPr>
          <w:rFonts w:ascii="Barlow Semi Condensed" w:cs="Barlow Semi Condensed" w:eastAsia="Barlow Semi Condensed" w:hAnsi="Barlow Semi Condensed"/>
          <w:b/>
          <w:bCs/>
          <w:sz w:val="24"/>
          <w:szCs w:val="24"/>
        </w:rPr>
        <w:t xml:space="preserve">2983 · Che cosa quel verbale non contiene (serie XXXIX).</w:t>
      </w:r>
      <w:r>
        <w:rPr>
          <w:rFonts w:ascii="Barlow Semi Condensed" w:cs="Barlow Semi Condensed" w:eastAsia="Barlow Semi Condensed" w:hAnsi="Barlow Semi Condensed"/>
          <w:sz w:val="24"/>
          <w:szCs w:val="24"/>
        </w:rPr>
        <w:t xml:space="preserve"> L'accertamento fissato dall'opera resta il confine: il memorandum del 25 settembre 1974 non contiene alcun ultimatum personale ad Aldo Moro, e attesta la posizione sul non poter scambiare informazioni militari con un governo che includesse i comunisti. Nessun documento del territorio qui assegnato lo integra, lo contraddice o lo commenta. Su quel punto il territorio non ha voce, e va detto.</w:t>
      </w:r>
    </w:p>
    <w:p>
      <w:pPr>
        <w:spacing w:after="120" w:line="276"/>
        <w:jc w:val="both"/>
      </w:pPr>
      <w:r>
        <w:rPr>
          <w:rFonts w:ascii="Barlow Semi Condensed" w:cs="Barlow Semi Condensed" w:eastAsia="Barlow Semi Condensed" w:hAnsi="Barlow Semi Condensed"/>
          <w:b/>
          <w:bCs/>
          <w:sz w:val="24"/>
          <w:szCs w:val="24"/>
        </w:rPr>
        <w:t xml:space="preserve">2984 · Helsinki, l'unica triangolazione certa.</w:t>
      </w:r>
      <w:r>
        <w:rPr>
          <w:rFonts w:ascii="Barlow Semi Condensed" w:cs="Barlow Semi Condensed" w:eastAsia="Barlow Semi Condensed" w:hAnsi="Barlow Semi Condensed"/>
          <w:sz w:val="24"/>
          <w:szCs w:val="24"/>
        </w:rPr>
        <w:t xml:space="preserve"> Alla sezione sesta si fissa che la firma dell'Atto finale del 1° agosto 1975 è l'unica triangolazione certa fra i vertici studiati, e che cade fuori dai mandati agli Esteri. Il volume della cartella cita per la stessa cerimonia un telegramma del segretario di Stato del 2 agosto 1975, FRUS volume XXXIX documento 334. Due schede toccano lo stesso giorno senza incrociarsi: la cucitura è un bersaglio editoriale.</w:t>
      </w:r>
    </w:p>
    <w:p>
      <w:pPr>
        <w:spacing w:after="120" w:line="276"/>
        <w:jc w:val="both"/>
      </w:pPr>
      <w:r>
        <w:rPr>
          <w:rFonts w:ascii="Barlow Semi Condensed" w:cs="Barlow Semi Condensed" w:eastAsia="Barlow Semi Condensed" w:hAnsi="Barlow Semi Condensed"/>
          <w:b/>
          <w:bCs/>
          <w:sz w:val="24"/>
          <w:szCs w:val="24"/>
        </w:rPr>
        <w:t xml:space="preserve">2985 · L'insofferenza attribuita, piano tre.</w:t>
      </w:r>
      <w:r>
        <w:rPr>
          <w:rFonts w:ascii="Barlow Semi Condensed" w:cs="Barlow Semi Condensed" w:eastAsia="Barlow Semi Condensed" w:hAnsi="Barlow Semi Condensed"/>
          <w:sz w:val="24"/>
          <w:szCs w:val="24"/>
        </w:rPr>
        <w:t xml:space="preserve"> Circola nella pubblicistica italiana, e il volume della cartella la riporta con la sua fonte, la formula secondo cui a Helsinki Moro avrebbe ottenuto il coinvolgimento formale della Comunità europea «sfidando l'insofferenza» del segretario di Stato. È affermazione terziaria: nessun documento primario la sostiene e il verbale della seconda campagna non la registra. Piano tre. La chiuderebbe un memorandum di conversazione coevo.</w:t>
      </w:r>
    </w:p>
    <w:p>
      <w:pPr>
        <w:spacing w:after="120" w:line="276"/>
        <w:jc w:val="both"/>
      </w:pPr>
      <w:r>
        <w:rPr>
          <w:rFonts w:ascii="Barlow Semi Condensed" w:cs="Barlow Semi Condensed" w:eastAsia="Barlow Semi Condensed" w:hAnsi="Barlow Semi Condensed"/>
          <w:b/>
          <w:bCs/>
          <w:sz w:val="24"/>
          <w:szCs w:val="24"/>
        </w:rPr>
        <w:t xml:space="preserve">2986 · Portogallo, due schede che non si parlano.</w:t>
      </w:r>
      <w:r>
        <w:rPr>
          <w:rFonts w:ascii="Barlow Semi Condensed" w:cs="Barlow Semi Condensed" w:eastAsia="Barlow Semi Condensed" w:hAnsi="Barlow Semi Condensed"/>
          <w:sz w:val="24"/>
          <w:szCs w:val="24"/>
        </w:rPr>
        <w:t xml:space="preserve"> La ricognizione portoghese della seconda campagna copre il 1969-1974 senza citare fonti americane. Il volume della cartella cita invece, per la stessa materia, un documento FRUS in cui il segretario di Stato temeva per Lisbona non una presa comunista ma un regime neutralista di sinistra che restasse nella NATO. Bersaglio: collazionare le due schede, dichiarando che la prima non ha vagliato la seconda.</w:t>
      </w:r>
    </w:p>
    <w:p>
      <w:pPr>
        <w:spacing w:after="120" w:line="276"/>
        <w:jc w:val="both"/>
      </w:pPr>
      <w:r>
        <w:rPr>
          <w:rFonts w:ascii="Barlow Semi Condensed" w:cs="Barlow Semi Condensed" w:eastAsia="Barlow Semi Condensed" w:hAnsi="Barlow Semi Condensed"/>
          <w:b/>
          <w:bCs/>
          <w:sz w:val="24"/>
          <w:szCs w:val="24"/>
        </w:rPr>
        <w:t xml:space="preserve">2987 · L'espulsione del 1974 e il suo zero.</w:t>
      </w:r>
      <w:r>
        <w:rPr>
          <w:rFonts w:ascii="Barlow Semi Condensed" w:cs="Barlow Semi Condensed" w:eastAsia="Barlow Semi Condensed" w:hAnsi="Barlow Semi Condensed"/>
          <w:sz w:val="24"/>
          <w:szCs w:val="24"/>
        </w:rPr>
        <w:t xml:space="preserve"> Sull'espulsione del vescovo di Nampula e dei comboniani il verbale dichiara Stato Zero sugli atti italiani, con forbice di data portata dalla verifica a 10-14 aprile 1974 e divergenza sul numero fra undici e tredici, riconciliata in undici da Nampula più due da Tete. Nessuna fonte americana è interrogata. Sede aggiuntiva possibile: i telegrammi del 1974 da Lisbona e da Lourenço Marques.</w:t>
      </w:r>
    </w:p>
    <w:p>
      <w:pPr>
        <w:spacing w:after="120" w:line="276"/>
        <w:jc w:val="both"/>
      </w:pPr>
      <w:r>
        <w:rPr>
          <w:rFonts w:ascii="Barlow Semi Condensed" w:cs="Barlow Semi Condensed" w:eastAsia="Barlow Semi Condensed" w:hAnsi="Barlow Semi Condensed"/>
          <w:b/>
          <w:bCs/>
          <w:sz w:val="24"/>
          <w:szCs w:val="24"/>
        </w:rPr>
        <w:t xml:space="preserve">2988 · Il canale Pignedoli e il blocco 193.</w:t>
      </w:r>
      <w:r>
        <w:rPr>
          <w:rFonts w:ascii="Barlow Semi Condensed" w:cs="Barlow Semi Condensed" w:eastAsia="Barlow Semi Condensed" w:hAnsi="Barlow Semi Condensed"/>
          <w:sz w:val="24"/>
          <w:szCs w:val="24"/>
        </w:rPr>
        <w:t xml:space="preserve"> Fra le acquisizioni sta il canale del cardinale Sergio Pignedoli nel sequestro Sossi dell'aprile-maggio 1974, consegnato al blocco 193 dei cantieri, che chiede i precedenti documentati di disponibilità ecclesiastiche in sequestri italiani. La fonte disponibile è enciclopedica e va portata su primario. Nessun attore statunitense vi compare e nessuno va cercato: il canale è qualificato come rapporto fra Stato e Vaticano.</w:t>
      </w:r>
    </w:p>
    <w:p>
      <w:pPr>
        <w:spacing w:after="120" w:line="276"/>
        <w:jc w:val="both"/>
      </w:pPr>
      <w:r>
        <w:rPr>
          <w:rFonts w:ascii="Barlow Semi Condensed" w:cs="Barlow Semi Condensed" w:eastAsia="Barlow Semi Condensed" w:hAnsi="Barlow Semi Condensed"/>
          <w:b/>
          <w:bCs/>
          <w:sz w:val="24"/>
          <w:szCs w:val="24"/>
        </w:rPr>
        <w:t xml:space="preserve">2989 · Il vuoto su Fiumicino, esteso.</w:t>
      </w:r>
      <w:r>
        <w:rPr>
          <w:rFonts w:ascii="Barlow Semi Condensed" w:cs="Barlow Semi Condensed" w:eastAsia="Barlow Semi Condensed" w:hAnsi="Barlow Semi Condensed"/>
          <w:sz w:val="24"/>
          <w:szCs w:val="24"/>
        </w:rPr>
        <w:t xml:space="preserve"> Uno Stato Zero condiviso emerge dall'incrocio: zero occorrenze del nome del capocentro di Beirut e della strage di Fiumicino del 17 dicembre 1973, tanto nei tre documenti maggiori del corpus quanto nei tre nuovi. Quella data cade dentro il mandato di segretario di Stato. Il vuoto si estende dunque anche a questo nome, e si chiude sui telegrammi elettronici del 1973 nel Record Group 59.</w:t>
      </w:r>
    </w:p>
    <w:p>
      <w:pPr>
        <w:spacing w:after="120" w:line="276"/>
        <w:jc w:val="both"/>
      </w:pPr>
      <w:r>
        <w:rPr>
          <w:rFonts w:ascii="Barlow Semi Condensed" w:cs="Barlow Semi Condensed" w:eastAsia="Barlow Semi Condensed" w:hAnsi="Barlow Semi Condensed"/>
          <w:b/>
          <w:bCs/>
          <w:sz w:val="24"/>
          <w:szCs w:val="24"/>
        </w:rPr>
        <w:t xml:space="preserve">2990 · Il lodo Moro senza colonna araba.</w:t>
      </w:r>
      <w:r>
        <w:rPr>
          <w:rFonts w:ascii="Barlow Semi Condensed" w:cs="Barlow Semi Condensed" w:eastAsia="Barlow Semi Condensed" w:hAnsi="Barlow Semi Condensed"/>
          <w:sz w:val="24"/>
          <w:szCs w:val="24"/>
        </w:rPr>
        <w:t xml:space="preserve"> Nel verbale la stringa «lodo Moro» risulta assente dai tre documenti maggiori del corpus, e i nove cantieri hanno colonne britannica, francese e tedesca, con Berna e Vienna in appendice, e nessuna colonna mediterranea o araba. Ne segue che nessuna posizione americana su quel dossier è mai stata cercata. Prima si apre la colonna, poi si misura il silenzio: l'ordine non è invertibile.</w:t>
      </w:r>
    </w:p>
    <w:p>
      <w:pPr>
        <w:spacing w:after="120" w:line="276"/>
        <w:jc w:val="both"/>
      </w:pPr>
      <w:r>
        <w:rPr>
          <w:rFonts w:ascii="Barlow Semi Condensed" w:cs="Barlow Semi Condensed" w:eastAsia="Barlow Semi Condensed" w:hAnsi="Barlow Semi Condensed"/>
          <w:b/>
          <w:bCs/>
          <w:sz w:val="24"/>
          <w:szCs w:val="24"/>
        </w:rPr>
        <w:t xml:space="preserve">2991 · Kippur 1973, statuto della fonte.</w:t>
      </w:r>
      <w:r>
        <w:rPr>
          <w:rFonts w:ascii="Barlow Semi Condensed" w:cs="Barlow Semi Condensed" w:eastAsia="Barlow Semi Condensed" w:hAnsi="Barlow Semi Condensed"/>
          <w:sz w:val="24"/>
          <w:szCs w:val="24"/>
        </w:rPr>
        <w:t xml:space="preserve"> Entra fra i bersagli nuovi la guerra dell'ottobre 1973 col rifiuto delle basi NATO, e vi entra con statuto dichiarato di testimonianza resa in sede parlamentare, non di accertamento. La data cade nelle prime settimane del mandato di segretario di Stato. È simultaneità entro la stessa cornice atlantica: seconda o terza voce della griglia, mai la prima, finché un documento di provenienza non nomini la controparte.</w:t>
      </w:r>
    </w:p>
    <w:p>
      <w:pPr>
        <w:spacing w:after="120" w:line="276"/>
        <w:jc w:val="both"/>
      </w:pPr>
      <w:r>
        <w:rPr>
          <w:rFonts w:ascii="Barlow Semi Condensed" w:cs="Barlow Semi Condensed" w:eastAsia="Barlow Semi Condensed" w:hAnsi="Barlow Semi Condensed"/>
          <w:b/>
          <w:bCs/>
          <w:sz w:val="24"/>
          <w:szCs w:val="24"/>
        </w:rPr>
        <w:t xml:space="preserve">2992 · Il costo reale del bersaglio italiano.</w:t>
      </w:r>
      <w:r>
        <w:rPr>
          <w:rFonts w:ascii="Barlow Semi Condensed" w:cs="Barlow Semi Condensed" w:eastAsia="Barlow Semi Condensed" w:hAnsi="Barlow Semi Condensed"/>
          <w:sz w:val="24"/>
          <w:szCs w:val="24"/>
        </w:rPr>
        <w:t xml:space="preserve"> Una delle tre correzioni imposte alla quadriga riguarda l'Archivio storico-diplomatico: non è sede aperta, i fondi ministeriali degli anni in esame non risultavano consultabili, la disponibilità dei faldoni dal 1949 va verificata caso per caso, e resta l'esclusione temporanea dei Telegrammi 1942-1970. Ogni bersaglio che chieda una carta italiana su un contatto americano va ripianificato con quel costo, non con quello stimato ai blocchi 55 e 78.</w:t>
      </w:r>
    </w:p>
    <w:p>
      <w:pPr>
        <w:spacing w:after="120" w:line="276"/>
        <w:jc w:val="both"/>
      </w:pPr>
      <w:r>
        <w:rPr>
          <w:rFonts w:ascii="Barlow Semi Condensed" w:cs="Barlow Semi Condensed" w:eastAsia="Barlow Semi Condensed" w:hAnsi="Barlow Semi Condensed"/>
          <w:b/>
          <w:bCs/>
          <w:sz w:val="24"/>
          <w:szCs w:val="24"/>
        </w:rPr>
        <w:t xml:space="preserve">2993 · IT-AFS-048 come prima porta.</w:t>
      </w:r>
      <w:r>
        <w:rPr>
          <w:rFonts w:ascii="Barlow Semi Condensed" w:cs="Barlow Semi Condensed" w:eastAsia="Barlow Semi Condensed" w:hAnsi="Barlow Semi Condensed"/>
          <w:sz w:val="24"/>
          <w:szCs w:val="24"/>
        </w:rPr>
        <w:t xml:space="preserve"> Il quarto deposito delle carte di Moro, con segnatura IT-AFS-048 all'Archivio storico del Senato, contiene unità digitalizzate che riguardano proprio il ministro degli Esteri, e va interrogato prima dei tre nuclei registrati ai blocchi 221-223 e 235 dei cantieri. È la sede più prossima alla materia e la meno costosa. Se anche là il cognome dà zero, lo zero acquista peso: sarà misurato dove doveva stare.</w:t>
      </w:r>
    </w:p>
    <w:p>
      <w:pPr>
        <w:spacing w:after="120" w:line="276"/>
        <w:jc w:val="both"/>
      </w:pPr>
      <w:r>
        <w:rPr>
          <w:rFonts w:ascii="Barlow Semi Condensed" w:cs="Barlow Semi Condensed" w:eastAsia="Barlow Semi Condensed" w:hAnsi="Barlow Semi Condensed"/>
          <w:b/>
          <w:bCs/>
          <w:sz w:val="24"/>
          <w:szCs w:val="24"/>
        </w:rPr>
        <w:t xml:space="preserve">2994 · La griglia a quattro voci.</w:t>
      </w:r>
      <w:r>
        <w:rPr>
          <w:rFonts w:ascii="Barlow Semi Condensed" w:cs="Barlow Semi Condensed" w:eastAsia="Barlow Semi Condensed" w:hAnsi="Barlow Semi Condensed"/>
          <w:sz w:val="24"/>
          <w:szCs w:val="24"/>
        </w:rPr>
        <w:t xml:space="preserve"> Convergenza di obiettivo documentata, simultaneità di reazione, comunanza di ambiente istituzionale, mera contemporaneità cronologica: la griglia del verbale si mappa sui tre piani senza residui. Solo la prima voce può ambire al piano uno, e solo con un documento a sostegno; le altre tre restano ai piani due e tre. Nessuna materia di questo territorio raggiunge la prima voce rispetto al nome triangolato.</w:t>
      </w:r>
    </w:p>
    <w:p>
      <w:pPr>
        <w:spacing w:after="120" w:line="276"/>
        <w:jc w:val="both"/>
      </w:pPr>
      <w:r>
        <w:rPr>
          <w:rFonts w:ascii="Barlow Semi Condensed" w:cs="Barlow Semi Condensed" w:eastAsia="Barlow Semi Condensed" w:hAnsi="Barlow Semi Condensed"/>
          <w:b/>
          <w:bCs/>
          <w:sz w:val="24"/>
          <w:szCs w:val="24"/>
        </w:rPr>
        <w:t xml:space="preserve">2995 · Contro l'omologia dal risultato.</w:t>
      </w:r>
      <w:r>
        <w:rPr>
          <w:rFonts w:ascii="Barlow Semi Condensed" w:cs="Barlow Semi Condensed" w:eastAsia="Barlow Semi Condensed" w:hAnsi="Barlow Semi Condensed"/>
          <w:sz w:val="24"/>
          <w:szCs w:val="24"/>
        </w:rPr>
        <w:t xml:space="preserve"> Che il lotto americano e il verbale ecclesiale convergano nel non nominare quel nome non fa dei due silenzi un silenzio solo. Sono esiti simili da cause distinte: il primo dalla natura del fascicolo, il secondo dal perimetro delle ricognizioni. La somiglianza dell'esito non prova l'antenato comune, e il test resta uno solo: un documento di provenienza che nomini la controparte.</w:t>
      </w:r>
    </w:p>
    <w:p>
      <w:pPr>
        <w:spacing w:after="120" w:line="276"/>
        <w:jc w:val="both"/>
      </w:pPr>
      <w:r>
        <w:rPr>
          <w:rFonts w:ascii="Barlow Semi Condensed" w:cs="Barlow Semi Condensed" w:eastAsia="Barlow Semi Condensed" w:hAnsi="Barlow Semi Condensed"/>
          <w:b/>
          <w:bCs/>
          <w:sz w:val="24"/>
          <w:szCs w:val="24"/>
        </w:rPr>
        <w:t xml:space="preserve">2996 · Il limite parlamentare e i suoi anni.</w:t>
      </w:r>
      <w:r>
        <w:rPr>
          <w:rFonts w:ascii="Barlow Semi Condensed" w:cs="Barlow Semi Condensed" w:eastAsia="Barlow Semi Condensed" w:hAnsi="Barlow Semi Condensed"/>
          <w:sz w:val="24"/>
          <w:szCs w:val="24"/>
        </w:rPr>
        <w:t xml:space="preserve"> La banca dati del sindacato ispettivo copre solo dalla settima legislatura, dal 5 luglio 1976. L'intero arco 1969-1975 esiste come resoconti stenografici non ricercabili a testo pieno. Ne segue che nessuna ricerca automatica può oggi né confermare né escludere che il Parlamento italiano abbia interrogato il Governo su posizioni statunitensi in quegli anni. Chiude soltanto lo spoglio manuale dei volumi a stampa.</w:t>
      </w:r>
    </w:p>
    <w:p>
      <w:pPr>
        <w:spacing w:after="120" w:line="276"/>
        <w:jc w:val="both"/>
      </w:pPr>
      <w:r>
        <w:rPr>
          <w:rFonts w:ascii="Barlow Semi Condensed" w:cs="Barlow Semi Condensed" w:eastAsia="Barlow Semi Condensed" w:hAnsi="Barlow Semi Condensed"/>
          <w:b/>
          <w:bCs/>
          <w:sz w:val="24"/>
          <w:szCs w:val="24"/>
        </w:rPr>
        <w:t xml:space="preserve">2997 · La centralità non misura la colpa.</w:t>
      </w:r>
      <w:r>
        <w:rPr>
          <w:rFonts w:ascii="Barlow Semi Condensed" w:cs="Barlow Semi Condensed" w:eastAsia="Barlow Semi Condensed" w:hAnsi="Barlow Semi Condensed"/>
          <w:sz w:val="24"/>
          <w:szCs w:val="24"/>
        </w:rPr>
        <w:t xml:space="preserve"> Dall'opera privata il verbale trasferisce una regola d'interpretazione e una divergenza: si gradua ciò che è documento, non chi è persona, e la centralità di un nodo misura la densità della documentazione, non la responsabilità. Applicata qui, impedisce l'errore più probabile, cioè dedurre dalla notorietà del nome triangolato una posizione centrale nella rete del caso. La notorietà è un fatto editoriale.</w:t>
      </w:r>
    </w:p>
    <w:p>
      <w:pPr>
        <w:spacing w:after="120" w:line="276"/>
        <w:jc w:val="both"/>
      </w:pPr>
      <w:r>
        <w:rPr>
          <w:rFonts w:ascii="Barlow Semi Condensed" w:cs="Barlow Semi Condensed" w:eastAsia="Barlow Semi Condensed" w:hAnsi="Barlow Semi Condensed"/>
          <w:b/>
          <w:bCs/>
          <w:sz w:val="24"/>
          <w:szCs w:val="24"/>
        </w:rPr>
        <w:t xml:space="preserve">2998 · L'anello debole e le sinapsi.</w:t>
      </w:r>
      <w:r>
        <w:rPr>
          <w:rFonts w:ascii="Barlow Semi Condensed" w:cs="Barlow Semi Condensed" w:eastAsia="Barlow Semi Condensed" w:hAnsi="Barlow Semi Condensed"/>
          <w:sz w:val="24"/>
          <w:szCs w:val="24"/>
        </w:rPr>
        <w:t xml:space="preserve"> Il grado di un cammino è il grado minimo fra i suoi archi, e nessun cammino è valutabile finché le sinapsi non sono gradate: così il verbale, che conta trentanove nodi e cinquantanove archi nel ramo pubblico. Ogni catena che da questo territorio volesse raggiungere il nome triangolato passa per archi di contemporaneità e di ambiente. Esiste sulla carta, non esiste come prova.</w:t>
      </w:r>
    </w:p>
    <w:p>
      <w:pPr>
        <w:spacing w:after="120" w:line="276"/>
        <w:jc w:val="both"/>
      </w:pPr>
      <w:r>
        <w:rPr>
          <w:rFonts w:ascii="Barlow Semi Condensed" w:cs="Barlow Semi Condensed" w:eastAsia="Barlow Semi Condensed" w:hAnsi="Barlow Semi Condensed"/>
          <w:b/>
          <w:bCs/>
          <w:sz w:val="24"/>
          <w:szCs w:val="24"/>
        </w:rPr>
        <w:t xml:space="preserve">2999 · Il registro dei tre zeri.</w:t>
      </w:r>
      <w:r>
        <w:rPr>
          <w:rFonts w:ascii="Barlow Semi Condensed" w:cs="Barlow Semi Condensed" w:eastAsia="Barlow Semi Condensed" w:hAnsi="Barlow Semi Condensed"/>
          <w:sz w:val="24"/>
          <w:szCs w:val="24"/>
        </w:rPr>
        <w:t xml:space="preserve"> Alla chiusura la serie consegna tre esiti negativi distinti, ciascuno con la propria sede: il lotto desecretato, che tace per genere di fascicolo e si chiude sulla pratica R-2021-00202 integrale; il verbale della seconda campagna, che tace per perimetro e si chiude sui giacimenti iberici e vaticani; il telegramma Rome 8511, che manca e si chiude ai National Archives.</w:t>
      </w:r>
    </w:p>
    <w:p>
      <w:pPr>
        <w:spacing w:after="120" w:line="276"/>
        <w:jc w:val="both"/>
      </w:pPr>
      <w:r>
        <w:rPr>
          <w:rFonts w:ascii="Barlow Semi Condensed" w:cs="Barlow Semi Condensed" w:eastAsia="Barlow Semi Condensed" w:hAnsi="Barlow Semi Condensed"/>
          <w:b/>
          <w:bCs/>
          <w:sz w:val="24"/>
          <w:szCs w:val="24"/>
        </w:rPr>
        <w:t xml:space="preserve">3000 · Che cosa la serie non ha stabilito.</w:t>
      </w:r>
      <w:r>
        <w:rPr>
          <w:rFonts w:ascii="Barlow Semi Condensed" w:cs="Barlow Semi Condensed" w:eastAsia="Barlow Semi Condensed" w:hAnsi="Barlow Semi Condensed"/>
          <w:sz w:val="24"/>
          <w:szCs w:val="24"/>
        </w:rPr>
        <w:t xml:space="preserve"> Non è stabilito alcun rapporto documentato fra il nome triangolato e i documenti di questo territorio; non è stabilito che il foro 1969-1977 del lotto sia stato prodotto da una selezione; non è stabilita alcuna posizione americana sulle materie del verbale. E non è stabilito nulla che ecceda il giudicato: quell'uomo non fu mai imputato né processato in alcun Paese.</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Serie quarantesima — Il programma investigativo e le graduatorie</w:t>
      </w:r>
    </w:p>
    <w:p>
      <w:pPr>
        <w:spacing w:after="120" w:line="276"/>
        <w:jc w:val="both"/>
      </w:pPr>
      <w:r>
        <w:rPr>
          <w:rFonts w:ascii="Barlow Semi Condensed" w:cs="Barlow Semi Condensed" w:eastAsia="Barlow Semi Condensed" w:hAnsi="Barlow Semi Condensed"/>
          <w:i/>
          <w:iCs/>
          <w:sz w:val="24"/>
          <w:szCs w:val="24"/>
        </w:rPr>
        <w:t xml:space="preserve">Blocchi 3001-3080.</w:t>
      </w:r>
    </w:p>
    <w:p>
      <w:pPr>
        <w:spacing w:after="120" w:line="276"/>
        <w:jc w:val="both"/>
      </w:pPr>
      <w:r>
        <w:rPr>
          <w:rFonts w:ascii="Barlow Semi Condensed" w:cs="Barlow Semi Condensed" w:eastAsia="Barlow Semi Condensed" w:hAnsi="Barlow Semi Condensed"/>
          <w:b/>
          <w:bCs/>
          <w:sz w:val="24"/>
          <w:szCs w:val="24"/>
        </w:rPr>
        <w:t xml:space="preserve">3001 · Il conteggio zero del territorio.</w:t>
      </w:r>
      <w:r>
        <w:rPr>
          <w:rFonts w:ascii="Barlow Semi Condensed" w:cs="Barlow Semi Condensed" w:eastAsia="Barlow Semi Condensed" w:hAnsi="Barlow Semi Condensed"/>
          <w:sz w:val="24"/>
          <w:szCs w:val="24"/>
        </w:rPr>
        <w:t xml:space="preserve"> Interrogato con la stringa «Kissinger», il file programma-investigativo-caso-moro.md restituisce zero occorrenze: nessun capitolo, nessuna pista dalla P-1 alla PE-6, nessuna riga delle tre tabelle lo nomina. È un accertamento negativo di grado alto, e apre la serie: il documento più operativo del corpus non gli assegna alcun bersaglio. Lo Stato Zero, qui, non è una lacuna da colmare: è il risultato della lettura.</w:t>
      </w:r>
    </w:p>
    <w:p>
      <w:pPr>
        <w:spacing w:after="120" w:line="276"/>
        <w:jc w:val="both"/>
      </w:pPr>
      <w:r>
        <w:rPr>
          <w:rFonts w:ascii="Barlow Semi Condensed" w:cs="Barlow Semi Condensed" w:eastAsia="Barlow Semi Condensed" w:hAnsi="Barlow Semi Condensed"/>
          <w:b/>
          <w:bCs/>
          <w:sz w:val="24"/>
          <w:szCs w:val="24"/>
        </w:rPr>
        <w:t xml:space="preserve">3002 · Le cariche e i 55 giorni.</w:t>
      </w:r>
      <w:r>
        <w:rPr>
          <w:rFonts w:ascii="Barlow Semi Condensed" w:cs="Barlow Semi Condensed" w:eastAsia="Barlow Semi Condensed" w:hAnsi="Barlow Semi Condensed"/>
          <w:sz w:val="24"/>
          <w:szCs w:val="24"/>
        </w:rPr>
        <w:t xml:space="preserve"> Gli incarichi sono fissati dall'opera: Assistente per la sicurezza nazionale dal 20 gennaio 1969 al 3 novembre 1975, Segretario di Stato dal 22 settembre 1973 al 20 gennaio 1977. Il territorio lavora invece sul 16 marzo – 9 maggio 1978 e sui suoi versamenti. I cinquantacinque giorni cadono per intero fuori da entrambe le cariche. Non è un'attenuante né un addebito: è la coordinata che decide la pertinenza di ogni pista.</w:t>
      </w:r>
    </w:p>
    <w:p>
      <w:pPr>
        <w:spacing w:after="120" w:line="276"/>
        <w:jc w:val="both"/>
      </w:pPr>
      <w:r>
        <w:rPr>
          <w:rFonts w:ascii="Barlow Semi Condensed" w:cs="Barlow Semi Condensed" w:eastAsia="Barlow Semi Condensed" w:hAnsi="Barlow Semi Condensed"/>
          <w:b/>
          <w:bCs/>
          <w:sz w:val="24"/>
          <w:szCs w:val="24"/>
        </w:rPr>
        <w:t xml:space="preserve">3003 · L'unica riga che tocca l'alleato.</w:t>
      </w:r>
      <w:r>
        <w:rPr>
          <w:rFonts w:ascii="Barlow Semi Condensed" w:cs="Barlow Semi Condensed" w:eastAsia="Barlow Semi Condensed" w:hAnsi="Barlow Semi Condensed"/>
          <w:sz w:val="24"/>
          <w:szCs w:val="24"/>
        </w:rPr>
        <w:t xml:space="preserve"> In tutto il documento la sponda americana compare tre volte: il titolo di PE-5, «Gli alleati: il traffico di cablo marzo-maggio 1978»; la riga della tabella entità che le assegna 59,5; e la formula del presidio finale, «un alleato». Nessuna persona vi è nominata, nessun ufficio, nessuna carica. Il territorio tratta Washington come origine di serie documentali e mai come soggetto: la disciplina è già scritta nel territorio stesso.</w:t>
      </w:r>
    </w:p>
    <w:p>
      <w:pPr>
        <w:spacing w:after="120" w:line="276"/>
        <w:jc w:val="both"/>
      </w:pPr>
      <w:r>
        <w:rPr>
          <w:rFonts w:ascii="Barlow Semi Condensed" w:cs="Barlow Semi Condensed" w:eastAsia="Barlow Semi Condensed" w:hAnsi="Barlow Semi Condensed"/>
          <w:b/>
          <w:bCs/>
          <w:sz w:val="24"/>
          <w:szCs w:val="24"/>
        </w:rPr>
        <w:t xml:space="preserve">3004 · P-1 e i reperti che non parlano.</w:t>
      </w:r>
      <w:r>
        <w:rPr>
          <w:rFonts w:ascii="Barlow Semi Condensed" w:cs="Barlow Semi Condensed" w:eastAsia="Barlow Semi Condensed" w:hAnsi="Barlow Semi Condensed"/>
          <w:sz w:val="24"/>
          <w:szCs w:val="24"/>
        </w:rPr>
        <w:t xml:space="preserve"> La prima pista chiede la perizia balistica con tecniche attuali su tutti i reperti di via Fani e le comparazioni sistematiche col DNA estratto nel 2016 dai mozziconi. Un bossolo non restituisce mandanti, restituisce un'arma; un profilo genetico restituisce un individuo comparabile, non una catena politica. Chi si attendesse da PN-1 un esito internazionale ha frainteso l'atto: il rendimento massimo che le è attribuito riguarda l'ACH delle due moto, nient'altro.</w:t>
      </w:r>
    </w:p>
    <w:p>
      <w:pPr>
        <w:spacing w:after="120" w:line="276"/>
        <w:jc w:val="both"/>
      </w:pPr>
      <w:r>
        <w:rPr>
          <w:rFonts w:ascii="Barlow Semi Condensed" w:cs="Barlow Semi Condensed" w:eastAsia="Barlow Semi Condensed" w:hAnsi="Barlow Semi Condensed"/>
          <w:b/>
          <w:bCs/>
          <w:sz w:val="24"/>
          <w:szCs w:val="24"/>
        </w:rPr>
        <w:t xml:space="preserve">3005 · Il caricatore non ha nazionalità.</w:t>
      </w:r>
      <w:r>
        <w:rPr>
          <w:rFonts w:ascii="Barlow Semi Condensed" w:cs="Barlow Semi Condensed" w:eastAsia="Barlow Semi Condensed" w:hAnsi="Barlow Semi Condensed"/>
          <w:sz w:val="24"/>
          <w:szCs w:val="24"/>
        </w:rPr>
        <w:t xml:space="preserve"> PN-2 vale 71,0 per una ragione che il corpus dichiara: è un reperto e non un ricordo — non ritratta, non riceve telefonate minatorie, non confonde le date. Il suo quesito è binario, impronte e genetica contro la rosa autorizzata e contro Morucci. Nessuno dei due rami passa per una cancelleria estera. Segnalarlo serve a impedire la domanda sbagliata: il caricatore di via Stresa non è un bersaglio di questa serie.</w:t>
      </w:r>
    </w:p>
    <w:p>
      <w:pPr>
        <w:spacing w:after="120" w:line="276"/>
        <w:jc w:val="both"/>
      </w:pPr>
      <w:r>
        <w:rPr>
          <w:rFonts w:ascii="Barlow Semi Condensed" w:cs="Barlow Semi Condensed" w:eastAsia="Barlow Semi Condensed" w:hAnsi="Barlow Semi Condensed"/>
          <w:b/>
          <w:bCs/>
          <w:sz w:val="24"/>
          <w:szCs w:val="24"/>
        </w:rPr>
        <w:t xml:space="preserve">3006 · La rosa comparativa del DNA.</w:t>
      </w:r>
      <w:r>
        <w:rPr>
          <w:rFonts w:ascii="Barlow Semi Condensed" w:cs="Barlow Semi Condensed" w:eastAsia="Barlow Semi Condensed" w:hAnsi="Barlow Semi Condensed"/>
          <w:sz w:val="24"/>
          <w:szCs w:val="24"/>
        </w:rPr>
        <w:t xml:space="preserve"> P-3 riguarda i profili estratti nel 2016 dai mozziconi di via Gradoli e il loro allargamento ragionato; PN-3 ne isola il residuo non identificato dopo le esclusioni, a 67,5. La rosa è composta di persone censite negli atti italiani. Nessun protocollo di comparazione contempla profili stranieri e nessuna fonte del corpus ne indica. Il quesito genetico è chiuso a questo nome per costruzione, non per scelta di chi scrive.</w:t>
      </w:r>
    </w:p>
    <w:p>
      <w:pPr>
        <w:spacing w:after="120" w:line="276"/>
        <w:jc w:val="both"/>
      </w:pPr>
      <w:r>
        <w:rPr>
          <w:rFonts w:ascii="Barlow Semi Condensed" w:cs="Barlow Semi Condensed" w:eastAsia="Barlow Semi Condensed" w:hAnsi="Barlow Semi Condensed"/>
          <w:b/>
          <w:bCs/>
          <w:sz w:val="24"/>
          <w:szCs w:val="24"/>
        </w:rPr>
        <w:t xml:space="preserve">3007 · La fonte di «Gradoli» e l'assenza.</w:t>
      </w:r>
      <w:r>
        <w:rPr>
          <w:rFonts w:ascii="Barlow Semi Condensed" w:cs="Barlow Semi Condensed" w:eastAsia="Barlow Semi Condensed" w:hAnsi="Barlow Semi Condensed"/>
          <w:sz w:val="24"/>
          <w:szCs w:val="24"/>
        </w:rPr>
        <w:t xml:space="preserve"> PN-4 vale 74,5 e prende dieci su indipendenza perché il suo esito è per costruzione istituzionale e italiano: la nota, il protocollo d'ingresso, l'ordine di perquisire il paese in provincia di Viterbo, il carteggio Viminale-questure del 4-18 aprile 1978. La domanda giusta, dice la scheda, non è «chi parlò» ma dove sia la catena. In quella catena non compare alcun anello estero, e nessuna fonte ne postula uno.</w:t>
      </w:r>
    </w:p>
    <w:p>
      <w:pPr>
        <w:spacing w:after="120" w:line="276"/>
        <w:jc w:val="both"/>
      </w:pPr>
      <w:r>
        <w:rPr>
          <w:rFonts w:ascii="Barlow Semi Condensed" w:cs="Barlow Semi Condensed" w:eastAsia="Barlow Semi Condensed" w:hAnsi="Barlow Semi Condensed"/>
          <w:b/>
          <w:bCs/>
          <w:sz w:val="24"/>
          <w:szCs w:val="24"/>
        </w:rPr>
        <w:t xml:space="preserve">3008 · Duemila buste e una chiave mai usata.</w:t>
      </w:r>
      <w:r>
        <w:rPr>
          <w:rFonts w:ascii="Barlow Semi Condensed" w:cs="Barlow Semi Condensed" w:eastAsia="Barlow Semi Condensed" w:hAnsi="Barlow Semi Condensed"/>
          <w:sz w:val="24"/>
          <w:szCs w:val="24"/>
        </w:rPr>
        <w:t xml:space="preserve"> P-5 censisce circa duemila buste, 77 versamenti da 156 uffici produttori, raccolte all'Archivio Centrale dello Stato nella collezione «Stragi (Direttiva Renzi)» e mai spogliate sistematicamente con le chiavi del caso. Fra le chiavi elencate — via Fani, Gradoli, Duchessa, comitati di crisi, i 55 giorni giorno per giorno — non figura alcun nome straniero. Lo spoglio con questa chiave non è stato tentato: Stato Zero, e la sede che lo chiuderebbe è l'ACS.</w:t>
      </w:r>
    </w:p>
    <w:p>
      <w:pPr>
        <w:spacing w:after="120" w:line="276"/>
        <w:jc w:val="both"/>
      </w:pPr>
      <w:r>
        <w:rPr>
          <w:rFonts w:ascii="Barlow Semi Condensed" w:cs="Barlow Semi Condensed" w:eastAsia="Barlow Semi Condensed" w:hAnsi="Barlow Semi Condensed"/>
          <w:b/>
          <w:bCs/>
          <w:sz w:val="24"/>
          <w:szCs w:val="24"/>
        </w:rPr>
        <w:t xml:space="preserve">3009 · Il memoriale: un quesito onomastico.</w:t>
      </w:r>
      <w:r>
        <w:rPr>
          <w:rFonts w:ascii="Barlow Semi Condensed" w:cs="Barlow Semi Condensed" w:eastAsia="Barlow Semi Condensed" w:hAnsi="Barlow Semi Condensed"/>
          <w:sz w:val="24"/>
          <w:szCs w:val="24"/>
        </w:rPr>
        <w:t xml:space="preserve"> P-6 chiede che cosa manchi fra il dattiloscritto del 1978 e i fogli del 1990, con perizia filologico-comparativa fra i tre corpora. Se ne ricava un quesito lecito e finora non posto in questa forma: se il nome dell'ex Segretario di Stato compaia nelle carte della prigionia, e in quale dei tre strati. La verifica è materiale, si fa sui testi editi e sui fondi versati, e l'esito negativo varrebbe quanto quello positivo.</w:t>
      </w:r>
    </w:p>
    <w:p>
      <w:pPr>
        <w:spacing w:after="120" w:line="276"/>
        <w:jc w:val="both"/>
      </w:pPr>
      <w:r>
        <w:rPr>
          <w:rFonts w:ascii="Barlow Semi Condensed" w:cs="Barlow Semi Condensed" w:eastAsia="Barlow Semi Condensed" w:hAnsi="Barlow Semi Condensed"/>
          <w:b/>
          <w:bCs/>
          <w:sz w:val="24"/>
          <w:szCs w:val="24"/>
        </w:rPr>
        <w:t xml:space="preserve">3010 · PN-7 e la scadenza già scaduta.</w:t>
      </w:r>
      <w:r>
        <w:rPr>
          <w:rFonts w:ascii="Barlow Semi Condensed" w:cs="Barlow Semi Condensed" w:eastAsia="Barlow Semi Condensed" w:hAnsi="Barlow Semi Condensed"/>
          <w:sz w:val="24"/>
          <w:szCs w:val="24"/>
        </w:rPr>
        <w:t xml:space="preserve"> Ai testimoni viventi il modello assegna dieci su urgenza, unico caso della tavola, perché il tempo li chiude da solo. Applicata a questo nome, la scadenza è già trascorsa: l'uomo è morto a Kent, nel Connecticut, il 29 novembre 2023, e con lui ogni possibilità di ri-escussione. Resta la raccolta conservativa su chi sia ancora in vita fra i testimoni indiretti dell'episodio del 1974: è il solo segmento che il tempo non abbia chiuso.</w:t>
      </w:r>
    </w:p>
    <w:p>
      <w:pPr>
        <w:spacing w:after="120" w:line="276"/>
        <w:jc w:val="both"/>
      </w:pPr>
      <w:r>
        <w:rPr>
          <w:rFonts w:ascii="Barlow Semi Condensed" w:cs="Barlow Semi Condensed" w:eastAsia="Barlow Semi Condensed" w:hAnsi="Barlow Semi Condensed"/>
          <w:b/>
          <w:bCs/>
          <w:sz w:val="24"/>
          <w:szCs w:val="24"/>
        </w:rPr>
        <w:t xml:space="preserve">3011 · La deposizione mai chiesta.</w:t>
      </w:r>
      <w:r>
        <w:rPr>
          <w:rFonts w:ascii="Barlow Semi Condensed" w:cs="Barlow Semi Condensed" w:eastAsia="Barlow Semi Condensed" w:hAnsi="Barlow Semi Condensed"/>
          <w:sz w:val="24"/>
          <w:szCs w:val="24"/>
        </w:rPr>
        <w:t xml:space="preserve"> P-8 propone per Casimirri non l'estradizione ma la rogatoria conoscitiva: una deposizione all'estero, anche senza consegna. Il tipo di atto è trasferibile, il presupposto no — quello riguarda un condannato in via definitiva, questo un uomo mai imputato né processato in alcun Paese. Va però registrato il fatto processuale: non fu mai sentito dai magistrati italiani, e la richiesta informale del 1983 non ebbe seguito. Oggi l'atto è impossibile per morte.</w:t>
      </w:r>
    </w:p>
    <w:p>
      <w:pPr>
        <w:spacing w:after="120" w:line="276"/>
        <w:jc w:val="both"/>
      </w:pPr>
      <w:r>
        <w:rPr>
          <w:rFonts w:ascii="Barlow Semi Condensed" w:cs="Barlow Semi Condensed" w:eastAsia="Barlow Semi Condensed" w:hAnsi="Barlow Semi Condensed"/>
          <w:b/>
          <w:bCs/>
          <w:sz w:val="24"/>
          <w:szCs w:val="24"/>
        </w:rPr>
        <w:t xml:space="preserve">3012 · L'Archivio Apostolico e il canale americano.</w:t>
      </w:r>
      <w:r>
        <w:rPr>
          <w:rFonts w:ascii="Barlow Semi Condensed" w:cs="Barlow Semi Condensed" w:eastAsia="Barlow Semi Condensed" w:hAnsi="Barlow Semi Condensed"/>
          <w:sz w:val="24"/>
          <w:szCs w:val="24"/>
        </w:rPr>
        <w:t xml:space="preserve"> P-9 tiene pronte le istanze per l'Archivio Apostolico Vaticano sul pontificato di Paolo VI: la lettera alle Brigate rosse, i canali della Santa Sede nei 55 giorni, l'operato di monsignor Macchi. Vi si può aggiungere un quesito che il corpus non ha ancora scritto: se le carte vaticane registrino contatti con la diplomazia statunitense in quelle settimane, e con quali interlocutori nominati. Stato Zero a scadenza ignota, con la sede indicata.</w:t>
      </w:r>
    </w:p>
    <w:p>
      <w:pPr>
        <w:spacing w:after="120" w:line="276"/>
        <w:jc w:val="both"/>
      </w:pPr>
      <w:r>
        <w:rPr>
          <w:rFonts w:ascii="Barlow Semi Condensed" w:cs="Barlow Semi Condensed" w:eastAsia="Barlow Semi Condensed" w:hAnsi="Barlow Semi Condensed"/>
          <w:b/>
          <w:bCs/>
          <w:sz w:val="24"/>
          <w:szCs w:val="24"/>
        </w:rPr>
        <w:t xml:space="preserve">3013 · Il vaglio negativo non lo contiene.</w:t>
      </w:r>
      <w:r>
        <w:rPr>
          <w:rFonts w:ascii="Barlow Semi Condensed" w:cs="Barlow Semi Condensed" w:eastAsia="Barlow Semi Condensed" w:hAnsi="Barlow Semi Condensed"/>
          <w:sz w:val="24"/>
          <w:szCs w:val="24"/>
        </w:rPr>
        <w:t xml:space="preserve"> P-10 archivia motivatamente tre filoni: la seconda prigione, i nessi operativi fra il ceppo Hyperion e il caso, le piste fondate su dichiarazioni non riscontrate o su memorialistica di parte. Il nome di questa serie non è fra le archiviazioni, e la ragione va detta con esattezza: si archivia ciò che era stato in tavola. Un filone senza atto istruttorio proponibile non viene archiviato — semplicemente non è mai stato una pista.</w:t>
      </w:r>
    </w:p>
    <w:p>
      <w:pPr>
        <w:spacing w:after="120" w:line="276"/>
        <w:jc w:val="both"/>
      </w:pPr>
      <w:r>
        <w:rPr>
          <w:rFonts w:ascii="Barlow Semi Condensed" w:cs="Barlow Semi Condensed" w:eastAsia="Barlow Semi Condensed" w:hAnsi="Barlow Semi Condensed"/>
          <w:b/>
          <w:bCs/>
          <w:sz w:val="24"/>
          <w:szCs w:val="24"/>
        </w:rPr>
        <w:t xml:space="preserve">3014 · Una pista non è un sospetto.</w:t>
      </w:r>
      <w:r>
        <w:rPr>
          <w:rFonts w:ascii="Barlow Semi Condensed" w:cs="Barlow Semi Condensed" w:eastAsia="Barlow Semi Condensed" w:hAnsi="Barlow Semi Condensed"/>
          <w:sz w:val="24"/>
          <w:szCs w:val="24"/>
        </w:rPr>
        <w:t xml:space="preserve"> Regola di lettura, valida su tutto il territorio. Ogni voce del programma è definita da sei campi — oggetto, stato degli atti, atto istruttorio, sede, rendimento atteso, criterio di chiusura — e chi non sappia riempirne almeno quattro non ha una pista, ha un'impressione. Il test è meccanico e va applicato prima di ogni proposta: quale atto, presso quale autorità, con quale criterio di chiusura. Senza quei tre campi la voce non entra.</w:t>
      </w:r>
    </w:p>
    <w:p>
      <w:pPr>
        <w:spacing w:after="120" w:line="276"/>
        <w:jc w:val="both"/>
      </w:pPr>
      <w:r>
        <w:rPr>
          <w:rFonts w:ascii="Barlow Semi Condensed" w:cs="Barlow Semi Condensed" w:eastAsia="Barlow Semi Condensed" w:hAnsi="Barlow Semi Condensed"/>
          <w:b/>
          <w:bCs/>
          <w:sz w:val="24"/>
          <w:szCs w:val="24"/>
        </w:rPr>
        <w:t xml:space="preserve">3015 · La graduatoria ordina atti, non persone.</w:t>
      </w:r>
      <w:r>
        <w:rPr>
          <w:rFonts w:ascii="Barlow Semi Condensed" w:cs="Barlow Semi Condensed" w:eastAsia="Barlow Semi Condensed" w:hAnsi="Barlow Semi Condensed"/>
          <w:sz w:val="24"/>
          <w:szCs w:val="24"/>
        </w:rPr>
        <w:t xml:space="preserve"> Il blocco 934 dell'opera vieta l'ordinale del sospetto: una classifica di probabili responsabili trasforma il sospetto in numero d'ordine senza il processo che solo può assegnarlo. La graduatoria del capitolo III-bis non incorre nel divieto, perché ciò che ordina sono perizie, escussioni, fascicoli d'archivio e visure. Confondere le due cose è l'errore che questa serie deve rendere impossibile: qui si mettono in fila atti, e gli atti non hanno imputati.</w:t>
      </w:r>
    </w:p>
    <w:p>
      <w:pPr>
        <w:spacing w:after="120" w:line="276"/>
        <w:jc w:val="both"/>
      </w:pPr>
      <w:r>
        <w:rPr>
          <w:rFonts w:ascii="Barlow Semi Condensed" w:cs="Barlow Semi Condensed" w:eastAsia="Barlow Semi Condensed" w:hAnsi="Barlow Semi Condensed"/>
          <w:b/>
          <w:bCs/>
          <w:sz w:val="24"/>
          <w:szCs w:val="24"/>
        </w:rPr>
        <w:t xml:space="preserve">3016 · Il criterio R applicato al versante.</w:t>
      </w:r>
      <w:r>
        <w:rPr>
          <w:rFonts w:ascii="Barlow Semi Condensed" w:cs="Barlow Semi Condensed" w:eastAsia="Barlow Semi Condensed" w:hAnsi="Barlow Semi Condensed"/>
          <w:sz w:val="24"/>
          <w:szCs w:val="24"/>
        </w:rPr>
        <w:t xml:space="preserve"> Rendimento atteso: il modello lo pesa al trenta per cento e chiede quanto la risposta sposterebbe la linea del sapere. Un censimento del traffico Roma-Washington del marzo-maggio 1978 sposterebbe la storia della percezione alleata, materia seria e documentabile; non sposterebbe l'attribuzione, decisa in giudicato. Valutato onestamente, R sta intorno a sei: alto per la storia diplomatica, medio-basso per il caso, e i due piani non si sommano.</w:t>
      </w:r>
    </w:p>
    <w:p>
      <w:pPr>
        <w:spacing w:after="120" w:line="276"/>
        <w:jc w:val="both"/>
      </w:pPr>
      <w:r>
        <w:rPr>
          <w:rFonts w:ascii="Barlow Semi Condensed" w:cs="Barlow Semi Condensed" w:eastAsia="Barlow Semi Condensed" w:hAnsi="Barlow Semi Condensed"/>
          <w:b/>
          <w:bCs/>
          <w:sz w:val="24"/>
          <w:szCs w:val="24"/>
        </w:rPr>
        <w:t xml:space="preserve">3017 · Diagnosticità e le due matrici.</w:t>
      </w:r>
      <w:r>
        <w:rPr>
          <w:rFonts w:ascii="Barlow Semi Condensed" w:cs="Barlow Semi Condensed" w:eastAsia="Barlow Semi Condensed" w:hAnsi="Barlow Semi Condensed"/>
          <w:sz w:val="24"/>
          <w:szCs w:val="24"/>
        </w:rPr>
        <w:t xml:space="preserve"> La diagnosticità pesa venticinque e chiede se l'atto discrimini le ipotesi di una matrice ACH. Sul versante internazionale le matrici sono due sole: Q-Intl/1 sul flusso informativo dei 55 giorni e Q-Intl/2 sull'episodio del 1974. Nessuna delle due riguarda via Fani, via Gradoli o via Montalcini. D resta perciò basso rispetto alle piste di testa: un documento estero non decide alcuna delle domande su cui la graduatoria è costruita.</w:t>
      </w:r>
    </w:p>
    <w:p>
      <w:pPr>
        <w:spacing w:after="120" w:line="276"/>
        <w:jc w:val="both"/>
      </w:pPr>
      <w:r>
        <w:rPr>
          <w:rFonts w:ascii="Barlow Semi Condensed" w:cs="Barlow Semi Condensed" w:eastAsia="Barlow Semi Condensed" w:hAnsi="Barlow Semi Condensed"/>
          <w:b/>
          <w:bCs/>
          <w:sz w:val="24"/>
          <w:szCs w:val="24"/>
        </w:rPr>
        <w:t xml:space="preserve">3018 · Il criterio F: l'autorità esiste.</w:t>
      </w:r>
      <w:r>
        <w:rPr>
          <w:rFonts w:ascii="Barlow Semi Condensed" w:cs="Barlow Semi Condensed" w:eastAsia="Barlow Semi Condensed" w:hAnsi="Barlow Semi Condensed"/>
          <w:sz w:val="24"/>
          <w:szCs w:val="24"/>
        </w:rPr>
        <w:t xml:space="preserve"> Fattibilità attuale: venti per cento del punteggio, ed è qui la voce più favorevole. L'autorità esiste, le procedure sono pubbliche, i giacimenti sono nominati nella scheda PE-5 — i telegrammi elettronici del 1973-1979 nei Central Foreign Policy Files, le schede dei ritirati del 1978, la biblioteca FOIA del Dipartimento. Si può agire domattina, senza attendere aperture altrui. F intorno a otto, ed è il motivo per cui l'assenza di esiti pesa.</w:t>
      </w:r>
    </w:p>
    <w:p>
      <w:pPr>
        <w:spacing w:after="120" w:line="276"/>
        <w:jc w:val="both"/>
      </w:pPr>
      <w:r>
        <w:rPr>
          <w:rFonts w:ascii="Barlow Semi Condensed" w:cs="Barlow Semi Condensed" w:eastAsia="Barlow Semi Condensed" w:hAnsi="Barlow Semi Condensed"/>
          <w:b/>
          <w:bCs/>
          <w:sz w:val="24"/>
          <w:szCs w:val="24"/>
        </w:rPr>
        <w:t xml:space="preserve">3019 · Il criterio U: gli archivi non muoiono.</w:t>
      </w:r>
      <w:r>
        <w:rPr>
          <w:rFonts w:ascii="Barlow Semi Condensed" w:cs="Barlow Semi Condensed" w:eastAsia="Barlow Semi Condensed" w:hAnsi="Barlow Semi Condensed"/>
          <w:sz w:val="24"/>
          <w:szCs w:val="24"/>
        </w:rPr>
        <w:t xml:space="preserve"> L'urgenza pesa quindici e misura la deperibilità. Le serie archivistiche non deperiscono: i telegrammi del 1978 saranno interrogabili anche fra vent'anni. Deperiscono le persone, e su questo versante sono già deperite quasi tutte. PE-5 riceve due su urgenza nella tavola del corpus ed è coerente. Ne segue una conseguenza operativa netta: ogni risorsa sottratta a PN-7 per dedicarla a questo versante è una risorsa spesa contro il tempo.</w:t>
      </w:r>
    </w:p>
    <w:p>
      <w:pPr>
        <w:spacing w:after="120" w:line="276"/>
        <w:jc w:val="both"/>
      </w:pPr>
      <w:r>
        <w:rPr>
          <w:rFonts w:ascii="Barlow Semi Condensed" w:cs="Barlow Semi Condensed" w:eastAsia="Barlow Semi Condensed" w:hAnsi="Barlow Semi Condensed"/>
          <w:b/>
          <w:bCs/>
          <w:sz w:val="24"/>
          <w:szCs w:val="24"/>
        </w:rPr>
        <w:t xml:space="preserve">3020 · Il criterio I e l'indipendenza per costruzione.</w:t>
      </w:r>
      <w:r>
        <w:rPr>
          <w:rFonts w:ascii="Barlow Semi Condensed" w:cs="Barlow Semi Condensed" w:eastAsia="Barlow Semi Condensed" w:hAnsi="Barlow Semi Condensed"/>
          <w:sz w:val="24"/>
          <w:szCs w:val="24"/>
        </w:rPr>
        <w:t xml:space="preserve"> L'indipendenza dal comparto escluso pesa dieci e chiede quanto l'esito resti fuori da BR e Superclan. Un censimento di serie estere prende nove, come PE-5 nella tavola, perché nessun suo esito ricade nel giudicato brigatista. È il criterio su cui il versante atlantico ottiene il punteggio migliore, e va detto senza compiacimento: essere indipendenti dal comparto escluso non significa essere rilevanti per la domanda che la graduatoria vuole decidere.</w:t>
      </w:r>
    </w:p>
    <w:p>
      <w:pPr>
        <w:spacing w:after="120" w:line="276"/>
        <w:jc w:val="both"/>
      </w:pPr>
      <w:r>
        <w:rPr>
          <w:rFonts w:ascii="Barlow Semi Condensed" w:cs="Barlow Semi Condensed" w:eastAsia="Barlow Semi Condensed" w:hAnsi="Barlow Semi Condensed"/>
          <w:b/>
          <w:bCs/>
          <w:sz w:val="24"/>
          <w:szCs w:val="24"/>
        </w:rPr>
        <w:t xml:space="preserve">3021 · Il punteggio che ne risulterebbe.</w:t>
      </w:r>
      <w:r>
        <w:rPr>
          <w:rFonts w:ascii="Barlow Semi Condensed" w:cs="Barlow Semi Condensed" w:eastAsia="Barlow Semi Condensed" w:hAnsi="Barlow Semi Condensed"/>
          <w:sz w:val="24"/>
          <w:szCs w:val="24"/>
        </w:rPr>
        <w:t xml:space="preserve"> Componendo i cinque sotto-giudizi con i pesi dichiarati — R6, D3, F8, U2, I9 — la sotto-pista del censimento nominale entro PE-5 vale circa 54,5: sotto le prime quattro, appaiata alla mediazione vaticana, sopra il memoriale. Il modello è costruito per essere attaccato pezzo per pezzo, e chi contesti alzi un sotto-giudizio dicendo su quale evidenza. Chi lo alzi su D deve però esibire la matrice che l'atto discriminerebbe.</w:t>
      </w:r>
    </w:p>
    <w:p>
      <w:pPr>
        <w:spacing w:after="120" w:line="276"/>
        <w:jc w:val="both"/>
      </w:pPr>
      <w:r>
        <w:rPr>
          <w:rFonts w:ascii="Barlow Semi Condensed" w:cs="Barlow Semi Condensed" w:eastAsia="Barlow Semi Condensed" w:hAnsi="Barlow Semi Condensed"/>
          <w:b/>
          <w:bCs/>
          <w:sz w:val="24"/>
          <w:szCs w:val="24"/>
        </w:rPr>
        <w:t xml:space="preserve">3022 · La soglia 0,1 e le escluse.</w:t>
      </w:r>
      <w:r>
        <w:rPr>
          <w:rFonts w:ascii="Barlow Semi Condensed" w:cs="Barlow Semi Condensed" w:eastAsia="Barlow Semi Condensed" w:hAnsi="Barlow Semi Condensed"/>
          <w:sz w:val="24"/>
          <w:szCs w:val="24"/>
        </w:rPr>
        <w:t xml:space="preserve"> Le piste escluse per direttiva — rogatoria a Casimirri, comparazioni sulla rosa di ex brigatisti, riapertura del filone Superclan-Hyperion — stanno a 0,1, e la cifra non è uno sberleffo: è il criterio di riapertura, che chiede un documento primario nuovo. Il versante che questa serie percorre non sta a 0,1 e non sta in tavola: sta fuori, perché nessuno ne ha mai proposto un atto in formato operativo.</w:t>
      </w:r>
    </w:p>
    <w:p>
      <w:pPr>
        <w:spacing w:after="120" w:line="276"/>
        <w:jc w:val="both"/>
      </w:pPr>
      <w:r>
        <w:rPr>
          <w:rFonts w:ascii="Barlow Semi Condensed" w:cs="Barlow Semi Condensed" w:eastAsia="Barlow Semi Condensed" w:hAnsi="Barlow Semi Condensed"/>
          <w:b/>
          <w:bCs/>
          <w:sz w:val="24"/>
          <w:szCs w:val="24"/>
        </w:rPr>
        <w:t xml:space="preserve">3023 · Il lotto Farnesina interrogato.</w:t>
      </w:r>
      <w:r>
        <w:rPr>
          <w:rFonts w:ascii="Barlow Semi Condensed" w:cs="Barlow Semi Condensed" w:eastAsia="Barlow Semi Condensed" w:hAnsi="Barlow Semi Condensed"/>
          <w:sz w:val="24"/>
          <w:szCs w:val="24"/>
        </w:rPr>
        <w:t xml:space="preserve"> La scheda PE-5 muove da un reperto interno: il lotto desecretato del Dipartimento di Stato archiviato nella cartella Farnesina, il cui OCR grezzo sta in state-dept-djvu-ocr-grezzo.txt. Interrogato per questa serie, quel file restituisce zero occorrenze del nome. Il lotto contiene il programma della visita del 1965 e i cablo dell'aprile-maggio 1978 da Buenos Aires, Trieste e Palermo. Accertamento negativo verificabile in un comando: la sede è nel corpus stesso.</w:t>
      </w:r>
    </w:p>
    <w:p>
      <w:pPr>
        <w:spacing w:after="120" w:line="276"/>
        <w:jc w:val="both"/>
      </w:pPr>
      <w:r>
        <w:rPr>
          <w:rFonts w:ascii="Barlow Semi Condensed" w:cs="Barlow Semi Condensed" w:eastAsia="Barlow Semi Condensed" w:hAnsi="Barlow Semi Condensed"/>
          <w:b/>
          <w:bCs/>
          <w:sz w:val="24"/>
          <w:szCs w:val="24"/>
        </w:rPr>
        <w:t xml:space="preserve">3024 · Il caso R-2021-002xx per intero.</w:t>
      </w:r>
      <w:r>
        <w:rPr>
          <w:rFonts w:ascii="Barlow Semi Condensed" w:cs="Barlow Semi Condensed" w:eastAsia="Barlow Semi Condensed" w:hAnsi="Barlow Semi Condensed"/>
          <w:sz w:val="24"/>
          <w:szCs w:val="24"/>
        </w:rPr>
        <w:t xml:space="preserve"> I fogli del lotto recano il numero di caso R-2021-002xx — la lettura OCR oscilla fra 00202 e 00208, e la divergenza si dichiara — con i numeri di controllo B-00001939965…989 e i TAGS PINT, IT. Il blocco 130 dell'agenda chiede il fascicolo integrale. Il quesito di questa serie è più stretto: dei documenti lavorati sotto quel caso e non circolati, quanti nominino l'ex Segretario di Stato, e in quale contesto.</w:t>
      </w:r>
    </w:p>
    <w:p>
      <w:pPr>
        <w:spacing w:after="120" w:line="276"/>
        <w:jc w:val="both"/>
      </w:pPr>
      <w:r>
        <w:rPr>
          <w:rFonts w:ascii="Barlow Semi Condensed" w:cs="Barlow Semi Condensed" w:eastAsia="Barlow Semi Condensed" w:hAnsi="Barlow Semi Condensed"/>
          <w:b/>
          <w:bCs/>
          <w:sz w:val="24"/>
          <w:szCs w:val="24"/>
        </w:rPr>
        <w:t xml:space="preserve">3025 · Le withdrawal cards come censimento.</w:t>
      </w:r>
      <w:r>
        <w:rPr>
          <w:rFonts w:ascii="Barlow Semi Condensed" w:cs="Barlow Semi Condensed" w:eastAsia="Barlow Semi Condensed" w:hAnsi="Barlow Semi Condensed"/>
          <w:sz w:val="24"/>
          <w:szCs w:val="24"/>
        </w:rPr>
        <w:t xml:space="preserve"> Prima di chiedere ciò che manca occorre sapere che cosa è dichiaratamente trattenuto: sono i blocchi 922 dell'opera, 127 dell'agenda, 116 del manuale. Le schede dei telegrammi ritirati del 1978 attestano per ciascun cablo esistenza, data e provenienza senza rivelarne il contenuto. Applicata qui, la tavola del trattenuto è l'unico strumento capace di dire se il silenzio riscontrato sia assenza o riserbo. Va costruita prima di ogni istanza.</w:t>
      </w:r>
    </w:p>
    <w:p>
      <w:pPr>
        <w:spacing w:after="120" w:line="276"/>
        <w:jc w:val="both"/>
      </w:pPr>
      <w:r>
        <w:rPr>
          <w:rFonts w:ascii="Barlow Semi Condensed" w:cs="Barlow Semi Condensed" w:eastAsia="Barlow Semi Condensed" w:hAnsi="Barlow Semi Condensed"/>
          <w:b/>
          <w:bCs/>
          <w:sz w:val="24"/>
          <w:szCs w:val="24"/>
        </w:rPr>
        <w:t xml:space="preserve">3026 · Il trattenuto non è eloquente.</w:t>
      </w:r>
      <w:r>
        <w:rPr>
          <w:rFonts w:ascii="Barlow Semi Condensed" w:cs="Barlow Semi Condensed" w:eastAsia="Barlow Semi Condensed" w:hAnsi="Barlow Semi Condensed"/>
          <w:sz w:val="24"/>
          <w:szCs w:val="24"/>
        </w:rPr>
        <w:t xml:space="preserve"> Che centinaia di atti alleati siano trattenuti dice che sono trattenuti, non che contengano il caso: il blocco 916 fissa l'errore e la scheda PE-5 lo ripete. Il segreto ha molte cause e la più frequente è la protezione di metodi e fonti estranei all'oggetto. Chi trasformasse una scheda di ritiro in indizio di contenuto avrebbe promosso al primo piano un'assenza, l'operazione più povera che questo corpus vieti.</w:t>
      </w:r>
    </w:p>
    <w:p>
      <w:pPr>
        <w:spacing w:after="120" w:line="276"/>
        <w:jc w:val="both"/>
      </w:pPr>
      <w:r>
        <w:rPr>
          <w:rFonts w:ascii="Barlow Semi Condensed" w:cs="Barlow Semi Condensed" w:eastAsia="Barlow Semi Condensed" w:hAnsi="Barlow Semi Condensed"/>
          <w:b/>
          <w:bCs/>
          <w:sz w:val="24"/>
          <w:szCs w:val="24"/>
        </w:rPr>
        <w:t xml:space="preserve">3027 · I TAGS non sono un nome.</w:t>
      </w:r>
      <w:r>
        <w:rPr>
          <w:rFonts w:ascii="Barlow Semi Condensed" w:cs="Barlow Semi Condensed" w:eastAsia="Barlow Semi Condensed" w:hAnsi="Barlow Semi Condensed"/>
          <w:sz w:val="24"/>
          <w:szCs w:val="24"/>
        </w:rPr>
        <w:t xml:space="preserve"> Norma archivistica applicabile. Il sistema che custodisce i telegrammi del 1973-1979 si interroga per serie, data, originatore e TAGS — nel lotto del corpus PINT e IT — non per biografie. Cercare un cognome dentro una serie di Stato produce quasi sempre falsi negativi: il nome vi compare come firma di autorizzazione, non come oggetto. L'interrogazione corretta muove dalla finestra temporale e dalla sede, e solo dopo filtra sui nomi.</w:t>
      </w:r>
    </w:p>
    <w:p>
      <w:pPr>
        <w:spacing w:after="120" w:line="276"/>
        <w:jc w:val="both"/>
      </w:pPr>
      <w:r>
        <w:rPr>
          <w:rFonts w:ascii="Barlow Semi Condensed" w:cs="Barlow Semi Condensed" w:eastAsia="Barlow Semi Condensed" w:hAnsi="Barlow Semi Condensed"/>
          <w:b/>
          <w:bCs/>
          <w:sz w:val="24"/>
          <w:szCs w:val="24"/>
        </w:rPr>
        <w:t xml:space="preserve">3028 · La regola dell'originatore e i 474.</w:t>
      </w:r>
      <w:r>
        <w:rPr>
          <w:rFonts w:ascii="Barlow Semi Condensed" w:cs="Barlow Semi Condensed" w:eastAsia="Barlow Semi Condensed" w:hAnsi="Barlow Semi Condensed"/>
          <w:sz w:val="24"/>
          <w:szCs w:val="24"/>
        </w:rPr>
        <w:t xml:space="preserve"> Un documento classificato da uno Stato terzo non si desecreta unilateralmente: le direttive italiane aprono le carte italiane, non quelle alleate. La pubblicistica che segue i lavori di declassificazione riferisce circa 474 atti di origine alleata ancora chiusi in Italia — cifra riferita, non verificata su atto, e come tale si registra. Il canale è bilaterale e diplomatico; il terzo quesito enumerativo della scheda chiede quante richieste di consenso siano mai state formulate.</w:t>
      </w:r>
    </w:p>
    <w:p>
      <w:pPr>
        <w:spacing w:after="120" w:line="276"/>
        <w:jc w:val="both"/>
      </w:pPr>
      <w:r>
        <w:rPr>
          <w:rFonts w:ascii="Barlow Semi Condensed" w:cs="Barlow Semi Condensed" w:eastAsia="Barlow Semi Condensed" w:hAnsi="Barlow Semi Condensed"/>
          <w:b/>
          <w:bCs/>
          <w:sz w:val="24"/>
          <w:szCs w:val="24"/>
        </w:rPr>
        <w:t xml:space="preserve">3029 · Il consulente che il corpus nomina.</w:t>
      </w:r>
      <w:r>
        <w:rPr>
          <w:rFonts w:ascii="Barlow Semi Condensed" w:cs="Barlow Semi Condensed" w:eastAsia="Barlow Semi Condensed" w:hAnsi="Barlow Semi Condensed"/>
          <w:sz w:val="24"/>
          <w:szCs w:val="24"/>
        </w:rPr>
        <w:t xml:space="preserve"> L'unico statunitense che il corpus colloca dentro la macchina dei 55 giorni non è l'uomo di questa serie: è Steve Pieczenik, inviato del Dipartimento di Stato, ricondotto al comitato di esperti — organo che, dato accertato, non si riunì mai collegialmente. Le sue dichiarazioni successive sono graduate dalla scheda PE-5 come fonte di parte, grado C. L'asimmetria fra i due nomi è essa stessa un accertamento del territorio.</w:t>
      </w:r>
    </w:p>
    <w:p>
      <w:pPr>
        <w:spacing w:after="120" w:line="276"/>
        <w:jc w:val="both"/>
      </w:pPr>
      <w:r>
        <w:rPr>
          <w:rFonts w:ascii="Barlow Semi Condensed" w:cs="Barlow Semi Condensed" w:eastAsia="Barlow Semi Condensed" w:hAnsi="Barlow Semi Condensed"/>
          <w:b/>
          <w:bCs/>
          <w:sz w:val="24"/>
          <w:szCs w:val="24"/>
        </w:rPr>
        <w:t xml:space="preserve">3030 · Chi firmava i cablo del 1978.</w:t>
      </w:r>
      <w:r>
        <w:rPr>
          <w:rFonts w:ascii="Barlow Semi Condensed" w:cs="Barlow Semi Condensed" w:eastAsia="Barlow Semi Condensed" w:hAnsi="Barlow Semi Condensed"/>
          <w:sz w:val="24"/>
          <w:szCs w:val="24"/>
        </w:rPr>
        <w:t xml:space="preserve"> Diretti a SECSTATE Washington nell'aprile e nel maggio 1978, i cablogrammi del lotto appartengono a un anno in cui la carica di Segretario di Stato era di altri da oltre dodici mesi. È un rilievo elementare e continuamente dimenticato dalla circolazione pubblica, che tratta il nome come se fosse rimasto in carica per tutta la vicenda. Chi ne cercasse la firma in quella corrispondenza cercherebbe ciò che le date rendono impossibile.</w:t>
      </w:r>
    </w:p>
    <w:p>
      <w:pPr>
        <w:spacing w:after="120" w:line="276"/>
        <w:jc w:val="both"/>
      </w:pPr>
      <w:r>
        <w:rPr>
          <w:rFonts w:ascii="Barlow Semi Condensed" w:cs="Barlow Semi Condensed" w:eastAsia="Barlow Semi Condensed" w:hAnsi="Barlow Semi Condensed"/>
          <w:b/>
          <w:bCs/>
          <w:sz w:val="24"/>
          <w:szCs w:val="24"/>
        </w:rPr>
        <w:t xml:space="preserve">3031 · Gli elenchi di Castiglion Fibocchi.</w:t>
      </w:r>
      <w:r>
        <w:rPr>
          <w:rFonts w:ascii="Barlow Semi Condensed" w:cs="Barlow Semi Condensed" w:eastAsia="Barlow Semi Condensed" w:hAnsi="Barlow Semi Condensed"/>
          <w:sz w:val="24"/>
          <w:szCs w:val="24"/>
        </w:rPr>
        <w:t xml:space="preserve"> PE-1 chiede l'incrocio fra gli elenchi sequestrati e la composizione di tutti i comitati e sottocomitati dei 55 giorni, con numeri di tessera e date di iscrizione. La regola che governa quell'atto governa anche questa serie: l'iscrizione accertata di un membro è un fatto, non la prova di una condotta nel caso. Trasposta al versante atlantico, dice che l'appartenenza a una scuola dottrinale o a un'amministrazione non fonda alcun addebito.</w:t>
      </w:r>
    </w:p>
    <w:p>
      <w:pPr>
        <w:spacing w:after="120" w:line="276"/>
        <w:jc w:val="both"/>
      </w:pPr>
      <w:r>
        <w:rPr>
          <w:rFonts w:ascii="Barlow Semi Condensed" w:cs="Barlow Semi Condensed" w:eastAsia="Barlow Semi Condensed" w:hAnsi="Barlow Semi Condensed"/>
          <w:b/>
          <w:bCs/>
          <w:sz w:val="24"/>
          <w:szCs w:val="24"/>
        </w:rPr>
        <w:t xml:space="preserve">3032 · La qualificazione delle lettere.</w:t>
      </w:r>
      <w:r>
        <w:rPr>
          <w:rFonts w:ascii="Barlow Semi Condensed" w:cs="Barlow Semi Condensed" w:eastAsia="Barlow Semi Condensed" w:hAnsi="Barlow Semi Condensed"/>
          <w:sz w:val="24"/>
          <w:szCs w:val="24"/>
        </w:rPr>
        <w:t xml:space="preserve"> L'approfondimento di PE-1 consegna un quesito documentale sulla tesi dell'inattendibilità delle lettere del prigioniero, sostenuta da consulenti del comitato di esperti con effetti sulla linea della fermezza: in quali documenti fu formulata, da chi sottoscritta, con quale circolazione. Se ne deriva un bersaglio contiguo e non ancora posto: se in quelle carte compaia una provenienza estera, e quale. Ricerca da fare, esito ignoto, sede nei versamenti e negli atti delle Commissioni.</w:t>
      </w:r>
    </w:p>
    <w:p>
      <w:pPr>
        <w:spacing w:after="120" w:line="276"/>
        <w:jc w:val="both"/>
      </w:pPr>
      <w:r>
        <w:rPr>
          <w:rFonts w:ascii="Barlow Semi Condensed" w:cs="Barlow Semi Condensed" w:eastAsia="Barlow Semi Condensed" w:hAnsi="Barlow Semi Condensed"/>
          <w:b/>
          <w:bCs/>
          <w:sz w:val="24"/>
          <w:szCs w:val="24"/>
        </w:rPr>
        <w:t xml:space="preserve">3033 · Via Gradoli 96 e i suoi proprietari.</w:t>
      </w:r>
      <w:r>
        <w:rPr>
          <w:rFonts w:ascii="Barlow Semi Condensed" w:cs="Barlow Semi Condensed" w:eastAsia="Barlow Semi Condensed" w:hAnsi="Barlow Semi Condensed"/>
          <w:sz w:val="24"/>
          <w:szCs w:val="24"/>
        </w:rPr>
        <w:t xml:space="preserve"> Catasto, conservatoria e registri societari 1970-1978 per i 66 appartamenti dello stabile: questo chiede PE-2, con le tre immobiliari e la fiduciaria emerse nel dibattimento bolognese del 2021. Sono soggetti italiani, iscritti a registri italiani, verificabili con visure. Nessuna società estera compare negli atti censiti dal corpus e nessuna fonte ne ipotizza. La pista immobiliare è chiusa a questo nome, e la chiusura si dichiara qui una volta per tutte.</w:t>
      </w:r>
    </w:p>
    <w:p>
      <w:pPr>
        <w:spacing w:after="120" w:line="276"/>
        <w:jc w:val="both"/>
      </w:pPr>
      <w:r>
        <w:rPr>
          <w:rFonts w:ascii="Barlow Semi Condensed" w:cs="Barlow Semi Condensed" w:eastAsia="Barlow Semi Condensed" w:hAnsi="Barlow Semi Condensed"/>
          <w:b/>
          <w:bCs/>
          <w:sz w:val="24"/>
          <w:szCs w:val="24"/>
        </w:rPr>
        <w:t xml:space="preserve">3034 · Le date prima di tutto.</w:t>
      </w:r>
      <w:r>
        <w:rPr>
          <w:rFonts w:ascii="Barlow Semi Condensed" w:cs="Barlow Semi Condensed" w:eastAsia="Barlow Semi Condensed" w:hAnsi="Barlow Semi Condensed"/>
          <w:sz w:val="24"/>
          <w:szCs w:val="24"/>
        </w:rPr>
        <w:t xml:space="preserve"> La disciplina più severa dell'approfondimento entità è cronologica: i legami documentati in aula datano in larga parte 1979-1986, mentre la finestra del caso è 1975-1978, e sovrapporre gli strati senza date è l'errore che la regola dell'anello debole vieta. La stessa disciplina, rivolta a questa serie, produce il rilievo più utile che essa possa dare: un uomo fuori carica dal 20 gennaio 1977 non si retrodata dentro il 1978.</w:t>
      </w:r>
    </w:p>
    <w:p>
      <w:pPr>
        <w:spacing w:after="120" w:line="276"/>
        <w:jc w:val="both"/>
      </w:pPr>
      <w:r>
        <w:rPr>
          <w:rFonts w:ascii="Barlow Semi Condensed" w:cs="Barlow Semi Condensed" w:eastAsia="Barlow Semi Condensed" w:hAnsi="Barlow Semi Condensed"/>
          <w:b/>
          <w:bCs/>
          <w:sz w:val="24"/>
          <w:szCs w:val="24"/>
        </w:rPr>
        <w:t xml:space="preserve">3035 · La catena del 18 marzo.</w:t>
      </w:r>
      <w:r>
        <w:rPr>
          <w:rFonts w:ascii="Barlow Semi Condensed" w:cs="Barlow Semi Condensed" w:eastAsia="Barlow Semi Condensed" w:hAnsi="Barlow Semi Condensed"/>
          <w:sz w:val="24"/>
          <w:szCs w:val="24"/>
        </w:rPr>
        <w:t xml:space="preserve"> Il percorso della nota Mokbel, l'ordine di servizio della squadra del commissariato Flaminio Nuovo guidata dal brigadiere Merola, il campanello dell'interno 11 senza risposta, il mancato ritorno: la catena che PE-3 vuole ricostruire è tutta interna a questura, UCIGOS e Viminale. Il quesito non è chi fosse dentro — lo dicono le sentenze — ma come lo Stato lo mancò. Nessun anello di quella catena è estero, e nessuno lo diventa per suggestione.</w:t>
      </w:r>
    </w:p>
    <w:p>
      <w:pPr>
        <w:spacing w:after="120" w:line="276"/>
        <w:jc w:val="both"/>
      </w:pPr>
      <w:r>
        <w:rPr>
          <w:rFonts w:ascii="Barlow Semi Condensed" w:cs="Barlow Semi Condensed" w:eastAsia="Barlow Semi Condensed" w:hAnsi="Barlow Semi Condensed"/>
          <w:b/>
          <w:bCs/>
          <w:sz w:val="24"/>
          <w:szCs w:val="24"/>
        </w:rPr>
        <w:t xml:space="preserve">3036 · Il riscatto e il suo finanziatore.</w:t>
      </w:r>
      <w:r>
        <w:rPr>
          <w:rFonts w:ascii="Barlow Semi Condensed" w:cs="Barlow Semi Condensed" w:eastAsia="Barlow Semi Condensed" w:hAnsi="Barlow Semi Condensed"/>
          <w:sz w:val="24"/>
          <w:szCs w:val="24"/>
        </w:rPr>
        <w:t xml:space="preserve"> PE-4 accerta il canale di monsignor Curioni, la somma di circa dieci miliardi di lire in dollari mostrata da Paolo VI sotto un panno, il finanziatore individuato dalla Commissione Moro 2 nell'uomo d'affari israeliano Flatto-Sharon, e la sorte del denaro rimasta ignota. Il quesito della tracciabilità corre fra Roma, la Santa Sede e il versante israeliano. Washington non vi compare in alcun atto: registrarlo è più utile che immaginare un quarto vertice.</w:t>
      </w:r>
    </w:p>
    <w:p>
      <w:pPr>
        <w:spacing w:after="120" w:line="276"/>
        <w:jc w:val="both"/>
      </w:pPr>
      <w:r>
        <w:rPr>
          <w:rFonts w:ascii="Barlow Semi Condensed" w:cs="Barlow Semi Condensed" w:eastAsia="Barlow Semi Condensed" w:hAnsi="Barlow Semi Condensed"/>
          <w:b/>
          <w:bCs/>
          <w:sz w:val="24"/>
          <w:szCs w:val="24"/>
        </w:rPr>
        <w:t xml:space="preserve">3037 · La colonna d'ingresso che manca.</w:t>
      </w:r>
      <w:r>
        <w:rPr>
          <w:rFonts w:ascii="Barlow Semi Condensed" w:cs="Barlow Semi Condensed" w:eastAsia="Barlow Semi Condensed" w:hAnsi="Barlow Semi Condensed"/>
          <w:sz w:val="24"/>
          <w:szCs w:val="24"/>
        </w:rPr>
        <w:t xml:space="preserve"> Misurata a metà, la macchina dei 55 giorni consegna a PE-6 le sue quattro cifre d'uscita: 72.460 posti di blocco, 37.702 perquisizioni domiciliari, 6.413.713 persone controllate, 3.383.123 veicoli ispezionati. La colonna d'ingresso delle segnalazioni non ha invece cifra canonica in alcuna relazione. Il versante atlantico soffre della stessa asimmetria rovesciata: si contano i documenti rilasciati, non le domande mai formulate.</w:t>
      </w:r>
    </w:p>
    <w:p>
      <w:pPr>
        <w:spacing w:after="120" w:line="276"/>
        <w:jc w:val="both"/>
      </w:pPr>
      <w:r>
        <w:rPr>
          <w:rFonts w:ascii="Barlow Semi Condensed" w:cs="Barlow Semi Condensed" w:eastAsia="Barlow Semi Condensed" w:hAnsi="Barlow Semi Condensed"/>
          <w:b/>
          <w:bCs/>
          <w:sz w:val="24"/>
          <w:szCs w:val="24"/>
        </w:rPr>
        <w:t xml:space="preserve">3038 · Il registro delle istanze estere.</w:t>
      </w:r>
      <w:r>
        <w:rPr>
          <w:rFonts w:ascii="Barlow Semi Condensed" w:cs="Barlow Semi Condensed" w:eastAsia="Barlow Semi Condensed" w:hAnsi="Barlow Semi Condensed"/>
          <w:sz w:val="24"/>
          <w:szCs w:val="24"/>
        </w:rPr>
        <w:t xml:space="preserve"> Da PE-6 si ricava per trasposizione un atto che il programma non contiene: il registro delle richieste rivolte agli archivi esteri sul caso — chi le presentò, quando, su quali serie, con quale esito, con quali dinieghi motivati. I blocchi 150 e 259 dell'agenda ne prescrivono la colonna dei tempi. Finché quel registro non esiste, nessuno può dire se il silenzio delle serie estere sia stato mai davvero interrogato.</w:t>
      </w:r>
    </w:p>
    <w:p>
      <w:pPr>
        <w:spacing w:after="120" w:line="276"/>
        <w:jc w:val="both"/>
      </w:pPr>
      <w:r>
        <w:rPr>
          <w:rFonts w:ascii="Barlow Semi Condensed" w:cs="Barlow Semi Condensed" w:eastAsia="Barlow Semi Condensed" w:hAnsi="Barlow Semi Condensed"/>
          <w:b/>
          <w:bCs/>
          <w:sz w:val="24"/>
          <w:szCs w:val="24"/>
        </w:rPr>
        <w:t xml:space="preserve">3039 · L'accertamento Anselmi non ha versante estero.</w:t>
      </w:r>
      <w:r>
        <w:rPr>
          <w:rFonts w:ascii="Barlow Semi Condensed" w:cs="Barlow Semi Condensed" w:eastAsia="Barlow Semi Condensed" w:hAnsi="Barlow Semi Condensed"/>
          <w:sz w:val="24"/>
          <w:szCs w:val="24"/>
        </w:rPr>
        <w:t xml:space="preserve"> Concentrazione di fatto delle indagini al Viminale e menomazione dell'autonomia dell'autorità giudiziaria: così la Commissione Anselmi, al grado B, ripreso da PE-1 e assunto da PE-6 come ipotesi da verificare statisticamente. L'accertamento riguarda un rapporto interno fra apparati italiani e magistratura italiana. Estenderlo a una regia esterna significherebbe fargli dire ciò che non dice: un accertamento si cita nei suoi confini, oppure non si cita.</w:t>
      </w:r>
    </w:p>
    <w:p>
      <w:pPr>
        <w:spacing w:after="120" w:line="276"/>
        <w:jc w:val="both"/>
      </w:pPr>
      <w:r>
        <w:rPr>
          <w:rFonts w:ascii="Barlow Semi Condensed" w:cs="Barlow Semi Condensed" w:eastAsia="Barlow Semi Condensed" w:hAnsi="Barlow Semi Condensed"/>
          <w:b/>
          <w:bCs/>
          <w:sz w:val="24"/>
          <w:szCs w:val="24"/>
        </w:rPr>
        <w:t xml:space="preserve">3040 · Il fascicolo romano e il suo oggetto.</w:t>
      </w:r>
      <w:r>
        <w:rPr>
          <w:rFonts w:ascii="Barlow Semi Condensed" w:cs="Barlow Semi Condensed" w:eastAsia="Barlow Semi Condensed" w:hAnsi="Barlow Semi Condensed"/>
          <w:sz w:val="24"/>
          <w:szCs w:val="24"/>
        </w:rPr>
        <w:t xml:space="preserve"> A Roma il giudice per le indagini preliminari ha disposto la prosecuzione sulle terze presenze di via Fani: l'uomo non identificato, la Honda di grossa cilindrata, le nuove perizie balistiche, il DNA della rosa autorizzata, il caricatore fra via Fani e via Stresa. L'oggetto è l'identificazione di partecipanti materiali. Nessuna di quelle attività potrebbe, per struttura, produrre un accertamento su un decisore straniero: sarebbe esito estraneo al thema probandum.</w:t>
      </w:r>
    </w:p>
    <w:p>
      <w:pPr>
        <w:spacing w:after="120" w:line="276"/>
        <w:jc w:val="both"/>
      </w:pPr>
      <w:r>
        <w:rPr>
          <w:rFonts w:ascii="Barlow Semi Condensed" w:cs="Barlow Semi Condensed" w:eastAsia="Barlow Semi Condensed" w:hAnsi="Barlow Semi Condensed"/>
          <w:b/>
          <w:bCs/>
          <w:sz w:val="24"/>
          <w:szCs w:val="24"/>
        </w:rPr>
        <w:t xml:space="preserve">3041 · Il verbale del 25 settembre 1974 (serie XL).</w:t>
      </w:r>
      <w:r>
        <w:rPr>
          <w:rFonts w:ascii="Barlow Semi Condensed" w:cs="Barlow Semi Condensed" w:eastAsia="Barlow Semi Condensed" w:hAnsi="Barlow Semi Condensed"/>
          <w:sz w:val="24"/>
          <w:szCs w:val="24"/>
        </w:rPr>
        <w:t xml:space="preserve"> Il memorandum dello Studio Ovale con Leone, Moro, Ford, Kissinger e Scowcroft — FRUS 1969-1976, volume E-15 parte seconda, documento 350, seconda edizione riveduta, e file 1552802 della Ford Library — è documento di primo piano, datato e con segnatura. Non appartiene però al territorio qui assegnato, che lavora sul 1978 e sui suoi versamenti. Un ponte reale, ma su un'altra sponda: il programma fa bene a non arruolarlo.</w:t>
      </w:r>
    </w:p>
    <w:p>
      <w:pPr>
        <w:spacing w:after="120" w:line="276"/>
        <w:jc w:val="both"/>
      </w:pPr>
      <w:r>
        <w:rPr>
          <w:rFonts w:ascii="Barlow Semi Condensed" w:cs="Barlow Semi Condensed" w:eastAsia="Barlow Semi Condensed" w:hAnsi="Barlow Semi Condensed"/>
          <w:b/>
          <w:bCs/>
          <w:sz w:val="24"/>
          <w:szCs w:val="24"/>
        </w:rPr>
        <w:t xml:space="preserve">3042 · Il colloquio del 26 settembre (serie XL).</w:t>
      </w:r>
      <w:r>
        <w:rPr>
          <w:rFonts w:ascii="Barlow Semi Condensed" w:cs="Barlow Semi Condensed" w:eastAsia="Barlow Semi Condensed" w:hAnsi="Barlow Semi Condensed"/>
          <w:sz w:val="24"/>
          <w:szCs w:val="24"/>
        </w:rPr>
        <w:t xml:space="preserve"> Parimenti disponibile alla Ford Library come documento 1552806, il verbale dell'incontro del giorno successivo appartiene al medesimo lotto. Il blocco 863 dell'opera lo registra come reperibile e non come già letto: la ricognizione della Farnesina ne dichiara l'esistenza, non ne esaurisce lo spoglio. È un bersaglio aperto, con sede precisa, e va indicato in formato operativo invece di essere citato come se fosse stato spogliato.</w:t>
      </w:r>
    </w:p>
    <w:p>
      <w:pPr>
        <w:spacing w:after="120" w:line="276"/>
        <w:jc w:val="both"/>
      </w:pPr>
      <w:r>
        <w:rPr>
          <w:rFonts w:ascii="Barlow Semi Condensed" w:cs="Barlow Semi Condensed" w:eastAsia="Barlow Semi Condensed" w:hAnsi="Barlow Semi Condensed"/>
          <w:b/>
          <w:bCs/>
          <w:sz w:val="24"/>
          <w:szCs w:val="24"/>
        </w:rPr>
        <w:t xml:space="preserve">3043 · L'edizione riveduta conta.</w:t>
      </w:r>
      <w:r>
        <w:rPr>
          <w:rFonts w:ascii="Barlow Semi Condensed" w:cs="Barlow Semi Condensed" w:eastAsia="Barlow Semi Condensed" w:hAnsi="Barlow Semi Condensed"/>
          <w:sz w:val="24"/>
          <w:szCs w:val="24"/>
        </w:rPr>
        <w:t xml:space="preserve"> Va citato nella sua seconda edizione riveduta, il documento 350, e l'avvertenza non è pedanteria bibliografica: una serie ufficiale che riemette un volume segnala che qualcosa nella prima resa era da correggere. Chi cita l'edizione precedente cita un testo superato senza saperlo. È la stessa cura che il territorio applica quando dichiara la divergenza OCR sul numero di caso FOIA: l'identificativo esatto è metà dell'accertamento.</w:t>
      </w:r>
    </w:p>
    <w:p>
      <w:pPr>
        <w:spacing w:after="120" w:line="276"/>
        <w:jc w:val="both"/>
      </w:pPr>
      <w:r>
        <w:rPr>
          <w:rFonts w:ascii="Barlow Semi Condensed" w:cs="Barlow Semi Condensed" w:eastAsia="Barlow Semi Condensed" w:hAnsi="Barlow Semi Condensed"/>
          <w:b/>
          <w:bCs/>
          <w:sz w:val="24"/>
          <w:szCs w:val="24"/>
        </w:rPr>
        <w:t xml:space="preserve">3044 · La testimonianza e la sua contestazione.</w:t>
      </w:r>
      <w:r>
        <w:rPr>
          <w:rFonts w:ascii="Barlow Semi Condensed" w:cs="Barlow Semi Condensed" w:eastAsia="Barlow Semi Condensed" w:hAnsi="Barlow Semi Condensed"/>
          <w:sz w:val="24"/>
          <w:szCs w:val="24"/>
        </w:rPr>
        <w:t xml:space="preserve"> L'avvertimento attribuito è testimonianza contestata: riferita de relato da Corrado Guerzoni alla Corte d'assise di Roma nel novembre 1982, sempre smentita dall'interessato, in forma generica nel 1983 e in forma diretta poco prima della morte. Riportarla senza la smentita non è una semplificazione: è la costruzione di un falso con materiali veri. La regola vale anche nel verso opposto — la smentita non cancella la deposizione, le si affianca.</w:t>
      </w:r>
    </w:p>
    <w:p>
      <w:pPr>
        <w:spacing w:after="120" w:line="276"/>
        <w:jc w:val="both"/>
      </w:pPr>
      <w:r>
        <w:rPr>
          <w:rFonts w:ascii="Barlow Semi Condensed" w:cs="Barlow Semi Condensed" w:eastAsia="Barlow Semi Condensed" w:hAnsi="Barlow Semi Condensed"/>
          <w:b/>
          <w:bCs/>
          <w:sz w:val="24"/>
          <w:szCs w:val="24"/>
        </w:rPr>
        <w:t xml:space="preserve">3045 · Il nome estratto in udienza (serie XL).</w:t>
      </w:r>
      <w:r>
        <w:rPr>
          <w:rFonts w:ascii="Barlow Semi Condensed" w:cs="Barlow Semi Condensed" w:eastAsia="Barlow Semi Condensed" w:hAnsi="Barlow Semi Condensed"/>
          <w:sz w:val="24"/>
          <w:szCs w:val="24"/>
        </w:rPr>
        <w:t xml:space="preserve"> Un'alta personalità, disse la vedova, senza nominarla; fu il presidente della corte, richiamando l'altro teste, a ottenere l'indicazione. L'attribuzione del nome è dunque essa stessa indiretta, e va riferita con la propria genesi processuale. Un nome ottenuto in aula attraverso il richiamo a una diversa deposizione non pesa quanto un nome pronunciato spontaneamente da chi lo avesse udito. La differenza non è formale: è probatoria.</w:t>
      </w:r>
    </w:p>
    <w:p>
      <w:pPr>
        <w:spacing w:after="120" w:line="276"/>
        <w:jc w:val="both"/>
      </w:pPr>
      <w:r>
        <w:rPr>
          <w:rFonts w:ascii="Barlow Semi Condensed" w:cs="Barlow Semi Condensed" w:eastAsia="Barlow Semi Condensed" w:hAnsi="Barlow Semi Condensed"/>
          <w:b/>
          <w:bCs/>
          <w:sz w:val="24"/>
          <w:szCs w:val="24"/>
        </w:rPr>
        <w:t xml:space="preserve">3046 · Tre date per un solo episodio.</w:t>
      </w:r>
      <w:r>
        <w:rPr>
          <w:rFonts w:ascii="Barlow Semi Condensed" w:cs="Barlow Semi Condensed" w:eastAsia="Barlow Semi Condensed" w:hAnsi="Barlow Semi Condensed"/>
          <w:sz w:val="24"/>
          <w:szCs w:val="24"/>
        </w:rPr>
        <w:t xml:space="preserve"> Il nodo M-5 colloca l'episodio nel settembre 1974; una fonte d'agenzia statunitense dell'aprile 1983 lo colloca in un alterco all'ambasciata d'Italia a Washington nel 1977; altre sintesi indicano il 1976, e divergono anche i luoghi. Nel 1977 l'uomo non era più in carica: la divergenza è dirimente e si riporta. Il territorio insegna che le date vengono prima, e qui, come per lo stabile di via Gradoli, la cronologia decide.</w:t>
      </w:r>
    </w:p>
    <w:p>
      <w:pPr>
        <w:spacing w:after="120" w:line="276"/>
        <w:jc w:val="both"/>
      </w:pPr>
      <w:r>
        <w:rPr>
          <w:rFonts w:ascii="Barlow Semi Condensed" w:cs="Barlow Semi Condensed" w:eastAsia="Barlow Semi Condensed" w:hAnsi="Barlow Semi Condensed"/>
          <w:b/>
          <w:bCs/>
          <w:sz w:val="24"/>
          <w:szCs w:val="24"/>
        </w:rPr>
        <w:t xml:space="preserve">3047 · Il lancio d'agenzia del 30 novembre 2023.</w:t>
      </w:r>
      <w:r>
        <w:rPr>
          <w:rFonts w:ascii="Barlow Semi Condensed" w:cs="Barlow Semi Condensed" w:eastAsia="Barlow Semi Condensed" w:hAnsi="Barlow Semi Condensed"/>
          <w:sz w:val="24"/>
          <w:szCs w:val="24"/>
        </w:rPr>
        <w:t xml:space="preserve"> Le decine di riprese pressoché identiche dell'episodio risalgono a un unico lancio d'agenzia del 30 novembre 2023: la moltiplicazione è apparente, e contare molte volte la stessa fonte non la rende molte fonti. È la pseudoreplica, che la consilienza vieta perché linee non indipendenti non si rafforzano, si ripetono. Nel formato del programma una fonte così non genera pista: non ha atto, non ha sede, non ha criterio di chiusura.</w:t>
      </w:r>
    </w:p>
    <w:p>
      <w:pPr>
        <w:spacing w:after="120" w:line="276"/>
        <w:jc w:val="both"/>
      </w:pPr>
      <w:r>
        <w:rPr>
          <w:rFonts w:ascii="Barlow Semi Condensed" w:cs="Barlow Semi Condensed" w:eastAsia="Barlow Semi Condensed" w:hAnsi="Barlow Semi Condensed"/>
          <w:b/>
          <w:bCs/>
          <w:sz w:val="24"/>
          <w:szCs w:val="24"/>
        </w:rPr>
        <w:t xml:space="preserve">3048 · La sede del verbale d'udienza.</w:t>
      </w:r>
      <w:r>
        <w:rPr>
          <w:rFonts w:ascii="Barlow Semi Condensed" w:cs="Barlow Semi Condensed" w:eastAsia="Barlow Semi Condensed" w:hAnsi="Barlow Semi Condensed"/>
          <w:sz w:val="24"/>
          <w:szCs w:val="24"/>
        </w:rPr>
        <w:t xml:space="preserve"> Lo Stato Zero si scrive con la sede che lo chiuderebbe, e qui la sede è nominabile: il verbale d'udienza della deposizione del novembre 1982 davanti alla Corte d'assise di Roma, negli atti del primo processo. Il blocco 885 dichiara che l'accesso diretto è risultato bloccato e che le precisazioni poggiano su fonti secondarie convergenti. L'istanza di accesso a quegli atti è l'atto proponibile, e non è mai stata formalizzata.</w:t>
      </w:r>
    </w:p>
    <w:p>
      <w:pPr>
        <w:spacing w:after="120" w:line="276"/>
        <w:jc w:val="both"/>
      </w:pPr>
      <w:r>
        <w:rPr>
          <w:rFonts w:ascii="Barlow Semi Condensed" w:cs="Barlow Semi Condensed" w:eastAsia="Barlow Semi Condensed" w:hAnsi="Barlow Semi Condensed"/>
          <w:b/>
          <w:bCs/>
          <w:sz w:val="24"/>
          <w:szCs w:val="24"/>
        </w:rPr>
        <w:t xml:space="preserve">3049 · Il resoconto stenografico del 1980.</w:t>
      </w:r>
      <w:r>
        <w:rPr>
          <w:rFonts w:ascii="Barlow Semi Condensed" w:cs="Barlow Semi Condensed" w:eastAsia="Barlow Semi Condensed" w:hAnsi="Barlow Semi Condensed"/>
          <w:sz w:val="24"/>
          <w:szCs w:val="24"/>
        </w:rPr>
        <w:t xml:space="preserve"> Seconda sede: il resoconto stenografico integrale dell'audizione del 1° agosto 1980 davanti alla Commissione parlamentare d'inchiesta, di cui la circolazione riporta soprattutto un riferimento a minacce risalenti al 1975 e crescenti. Confondere quella sede con il dibattimento del 1982 produce una citazione falsa costruita su due premesse entrambe vere. Chiusura del quesito: l'acquisizione dei due testi primari negli archivi parlamentari, che è atto ordinario.</w:t>
      </w:r>
    </w:p>
    <w:p>
      <w:pPr>
        <w:spacing w:after="120" w:line="276"/>
        <w:jc w:val="both"/>
      </w:pPr>
      <w:r>
        <w:rPr>
          <w:rFonts w:ascii="Barlow Semi Condensed" w:cs="Barlow Semi Condensed" w:eastAsia="Barlow Semi Condensed" w:hAnsi="Barlow Semi Condensed"/>
          <w:b/>
          <w:bCs/>
          <w:sz w:val="24"/>
          <w:szCs w:val="24"/>
        </w:rPr>
        <w:t xml:space="preserve">3050 · La richiesta informale del 1983.</w:t>
      </w:r>
      <w:r>
        <w:rPr>
          <w:rFonts w:ascii="Barlow Semi Condensed" w:cs="Barlow Semi Condensed" w:eastAsia="Barlow Semi Condensed" w:hAnsi="Barlow Semi Condensed"/>
          <w:sz w:val="24"/>
          <w:szCs w:val="24"/>
        </w:rPr>
        <w:t xml:space="preserve"> Fatto processuale da registrare perché chiude una domanda ricorrente: non fu mai sentito dai magistrati italiani, e la richiesta informale del 1983 non ebbe seguito. Il territorio conosce la forma dell'atto mancante — P-8 la chiama rogatoria conoscitiva — ma la conosce per un condannato latitante. Qui non vi fu né imputazione né processo: l'atto sarebbe stato l'audizione di una persona informata, e nessuna autorità italiana l'ha mai formalizzata.</w:t>
      </w:r>
    </w:p>
    <w:p>
      <w:pPr>
        <w:spacing w:after="120" w:line="276"/>
        <w:jc w:val="both"/>
      </w:pPr>
      <w:r>
        <w:rPr>
          <w:rFonts w:ascii="Barlow Semi Condensed" w:cs="Barlow Semi Condensed" w:eastAsia="Barlow Semi Condensed" w:hAnsi="Barlow Semi Condensed"/>
          <w:b/>
          <w:bCs/>
          <w:sz w:val="24"/>
          <w:szCs w:val="24"/>
        </w:rPr>
        <w:t xml:space="preserve">3051 · Bersaglio di smentita: il documento datato.</w:t>
      </w:r>
      <w:r>
        <w:rPr>
          <w:rFonts w:ascii="Barlow Semi Condensed" w:cs="Barlow Semi Condensed" w:eastAsia="Barlow Semi Condensed" w:hAnsi="Barlow Semi Condensed"/>
          <w:sz w:val="24"/>
          <w:szCs w:val="24"/>
        </w:rPr>
        <w:t xml:space="preserve"> Che cosa falsificherebbe lo Stato Zero di questa serie. Un solo genere di reperto: un atto datato entro il 16 marzo – 9 maggio 1978, di provenienza accertata, che nomini l'uomo in relazione al sequestro e non alla rassegna stampa. Non un memoriale postumo, non un'intervista, non una relazione di parte. Fino a quel reperto, l'assenza registrata nel territorio resta un accertamento e non un'ipotesi da coltivare.</w:t>
      </w:r>
    </w:p>
    <w:p>
      <w:pPr>
        <w:spacing w:after="120" w:line="276"/>
        <w:jc w:val="both"/>
      </w:pPr>
      <w:r>
        <w:rPr>
          <w:rFonts w:ascii="Barlow Semi Condensed" w:cs="Barlow Semi Condensed" w:eastAsia="Barlow Semi Condensed" w:hAnsi="Barlow Semi Condensed"/>
          <w:b/>
          <w:bCs/>
          <w:sz w:val="24"/>
          <w:szCs w:val="24"/>
        </w:rPr>
        <w:t xml:space="preserve">3052 · Bersaglio di smentita: la nota coeva.</w:t>
      </w:r>
      <w:r>
        <w:rPr>
          <w:rFonts w:ascii="Barlow Semi Condensed" w:cs="Barlow Semi Condensed" w:eastAsia="Barlow Semi Condensed" w:hAnsi="Barlow Semi Condensed"/>
          <w:sz w:val="24"/>
          <w:szCs w:val="24"/>
        </w:rPr>
        <w:t xml:space="preserve"> Per l'episodio del 1974 il bersaglio è diverso e più stretto: una nota d'ambasciata, un appunto di collaboratore, una lettera privata scritta prima del 1982 che riferisca la frase. Una carta coeva sposterebbe l'episodio da testimonianza contestata ad accertamento di grado B pieno. Le sedi sono due: le carte della trasferta del settembre 1974 oltre i due memorandum noti, e i fondi personali dell'entourage italiano.</w:t>
      </w:r>
    </w:p>
    <w:p>
      <w:pPr>
        <w:spacing w:after="120" w:line="276"/>
        <w:jc w:val="both"/>
      </w:pPr>
      <w:r>
        <w:rPr>
          <w:rFonts w:ascii="Barlow Semi Condensed" w:cs="Barlow Semi Condensed" w:eastAsia="Barlow Semi Condensed" w:hAnsi="Barlow Semi Condensed"/>
          <w:b/>
          <w:bCs/>
          <w:sz w:val="24"/>
          <w:szCs w:val="24"/>
        </w:rPr>
        <w:t xml:space="preserve">3053 · Che cosa non deciderebbe comunque.</w:t>
      </w:r>
      <w:r>
        <w:rPr>
          <w:rFonts w:ascii="Barlow Semi Condensed" w:cs="Barlow Semi Condensed" w:eastAsia="Barlow Semi Condensed" w:hAnsi="Barlow Semi Condensed"/>
          <w:sz w:val="24"/>
          <w:szCs w:val="24"/>
        </w:rPr>
        <w:t xml:space="preserve"> Anche accertato in ogni sua parola, l'episodio del 1974 non deciderebbe nulla sul 1978: fra una frase e l'agguato non esiste alcun ponte documentato, e la conferma sposterebbe un fatto biografico e diplomatico, non una catena di comando. È il rilievo che il blocco 887 fissa e che il territorio conferma dal proprio lato: nessuna pista del programma ha per esito atteso un mandante, e nessuna potrebbe averlo.</w:t>
      </w:r>
    </w:p>
    <w:p>
      <w:pPr>
        <w:spacing w:after="120" w:line="276"/>
        <w:jc w:val="both"/>
      </w:pPr>
      <w:r>
        <w:rPr>
          <w:rFonts w:ascii="Barlow Semi Condensed" w:cs="Barlow Semi Condensed" w:eastAsia="Barlow Semi Condensed" w:hAnsi="Barlow Semi Condensed"/>
          <w:b/>
          <w:bCs/>
          <w:sz w:val="24"/>
          <w:szCs w:val="24"/>
        </w:rPr>
        <w:t xml:space="preserve">3054 · Omologia e analogia nella graduatoria.</w:t>
      </w:r>
      <w:r>
        <w:rPr>
          <w:rFonts w:ascii="Barlow Semi Condensed" w:cs="Barlow Semi Condensed" w:eastAsia="Barlow Semi Condensed" w:hAnsi="Barlow Semi Condensed"/>
          <w:sz w:val="24"/>
          <w:szCs w:val="24"/>
        </w:rPr>
        <w:t xml:space="preserve"> L'omologia è somiglianza per discendenza comune, l'analogia somiglianza per pressione ambientale simile. Applicata qui: che il metodo del corpus e il fascicolo romano puntino allo stesso reperto è consilienza dichiarata nel capitolo primo, e vale perché le due linee sono davvero indipendenti. Che l'ostilità atlantica e quella brigatista alla solidarietà nazionale coincidano non vale nulla, perché è un carattere troppo diffuso per raggruppare alcunché.</w:t>
      </w:r>
    </w:p>
    <w:p>
      <w:pPr>
        <w:spacing w:after="120" w:line="276"/>
        <w:jc w:val="both"/>
      </w:pPr>
      <w:r>
        <w:rPr>
          <w:rFonts w:ascii="Barlow Semi Condensed" w:cs="Barlow Semi Condensed" w:eastAsia="Barlow Semi Condensed" w:hAnsi="Barlow Semi Condensed"/>
          <w:b/>
          <w:bCs/>
          <w:sz w:val="24"/>
          <w:szCs w:val="24"/>
        </w:rPr>
        <w:t xml:space="preserve">3055 · L'anello debole del cammino.</w:t>
      </w:r>
      <w:r>
        <w:rPr>
          <w:rFonts w:ascii="Barlow Semi Condensed" w:cs="Barlow Semi Condensed" w:eastAsia="Barlow Semi Condensed" w:hAnsi="Barlow Semi Condensed"/>
          <w:sz w:val="24"/>
          <w:szCs w:val="24"/>
        </w:rPr>
        <w:t xml:space="preserve"> Il grado di un cammino è il grado minimo fra i suoi archi. Il cammino che dalla cornice diplomatica arriva a un atto istruttorio del programma attraversa archi di sola cornice, cioè archi che non documentano una relazione: il suo grado è quello dell'anello più debole, e nessuna quantità di archi solidi altrove lo solleva. È il calcolo che il documento delle metodologie esegue sul ceppo Hyperion, e qui dà lo stesso esito.</w:t>
      </w:r>
    </w:p>
    <w:p>
      <w:pPr>
        <w:spacing w:after="120" w:line="276"/>
        <w:jc w:val="both"/>
      </w:pPr>
      <w:r>
        <w:rPr>
          <w:rFonts w:ascii="Barlow Semi Condensed" w:cs="Barlow Semi Condensed" w:eastAsia="Barlow Semi Condensed" w:hAnsi="Barlow Semi Condensed"/>
          <w:b/>
          <w:bCs/>
          <w:sz w:val="24"/>
          <w:szCs w:val="24"/>
        </w:rPr>
        <w:t xml:space="preserve">3056 · Il buco strutturale fra due mondi.</w:t>
      </w:r>
      <w:r>
        <w:rPr>
          <w:rFonts w:ascii="Barlow Semi Condensed" w:cs="Barlow Semi Condensed" w:eastAsia="Barlow Semi Condensed" w:hAnsi="Barlow Semi Condensed"/>
          <w:sz w:val="24"/>
          <w:szCs w:val="24"/>
        </w:rPr>
        <w:t xml:space="preserve"> Nel grafo del corpus la dimensione diplomatica della Farnesina è il quinto dei dieci mondi, il mondo brigatista il secondo. Fra i due, i soli legami documentati non registrano alcun arco diretto. La regola dei buchi dice che quel vuoto è il risultato dell'analisi e non il suo punto di partenza: la dietrologia lo riempie di narrazione, il corpus lo misura. Questa serie lo misura una volta di più, sul territorio investigativo.</w:t>
      </w:r>
    </w:p>
    <w:p>
      <w:pPr>
        <w:spacing w:after="120" w:line="276"/>
        <w:jc w:val="both"/>
      </w:pPr>
      <w:r>
        <w:rPr>
          <w:rFonts w:ascii="Barlow Semi Condensed" w:cs="Barlow Semi Condensed" w:eastAsia="Barlow Semi Condensed" w:hAnsi="Barlow Semi Condensed"/>
          <w:b/>
          <w:bCs/>
          <w:sz w:val="24"/>
          <w:szCs w:val="24"/>
        </w:rPr>
        <w:t xml:space="preserve">3057 · Un nodo in più mondi non trasmette.</w:t>
      </w:r>
      <w:r>
        <w:rPr>
          <w:rFonts w:ascii="Barlow Semi Condensed" w:cs="Barlow Semi Condensed" w:eastAsia="Barlow Semi Condensed" w:hAnsi="Barlow Semi Condensed"/>
          <w:sz w:val="24"/>
          <w:szCs w:val="24"/>
        </w:rPr>
        <w:t xml:space="preserve"> Multistrato, la rete del corpus impone una disciplina sola: un nodo può abitare più mondi senza che i mondi si trasmettano nulla attraverso di lui. Un uomo di governo presente per anni in quasi tutti i teatri che il corpus attraversa è il caso limite di quella regola, non la sua eccezione. La presenza simultanea non è un canale: perché lo diventi serve un arco documentato, e su questo territorio non ce n'è.</w:t>
      </w:r>
    </w:p>
    <w:p>
      <w:pPr>
        <w:spacing w:after="120" w:line="276"/>
        <w:jc w:val="both"/>
      </w:pPr>
      <w:r>
        <w:rPr>
          <w:rFonts w:ascii="Barlow Semi Condensed" w:cs="Barlow Semi Condensed" w:eastAsia="Barlow Semi Condensed" w:hAnsi="Barlow Semi Condensed"/>
          <w:b/>
          <w:bCs/>
          <w:sz w:val="24"/>
          <w:szCs w:val="24"/>
        </w:rPr>
        <w:t xml:space="preserve">3058 · La regola dei tre piani sul territorio.</w:t>
      </w:r>
      <w:r>
        <w:rPr>
          <w:rFonts w:ascii="Barlow Semi Condensed" w:cs="Barlow Semi Condensed" w:eastAsia="Barlow Semi Condensed" w:hAnsi="Barlow Semi Condensed"/>
          <w:sz w:val="24"/>
          <w:szCs w:val="24"/>
        </w:rPr>
        <w:t xml:space="preserve"> Applicata qui, la scala dà un esito nitido. Primo piano, rapporto diretto documentato: nulla, in nessuna pista del programma. Secondo piano, convergenza entro la stessa cornice: la sola PE-5, e per la via delle serie archivistiche, non delle persone. Terzo piano, affermazione terziaria: la circolazione dell'episodio del 1974, che nel formato operativo non genera alcun atto. Il territorio, letto con questa scala, è di secondo e terzo piano.</w:t>
      </w:r>
    </w:p>
    <w:p>
      <w:pPr>
        <w:spacing w:after="120" w:line="276"/>
        <w:jc w:val="both"/>
      </w:pPr>
      <w:r>
        <w:rPr>
          <w:rFonts w:ascii="Barlow Semi Condensed" w:cs="Barlow Semi Condensed" w:eastAsia="Barlow Semi Condensed" w:hAnsi="Barlow Semi Condensed"/>
          <w:b/>
          <w:bCs/>
          <w:sz w:val="24"/>
          <w:szCs w:val="24"/>
        </w:rPr>
        <w:t xml:space="preserve">3059 · Nessun piano sale per accumulo (serie XL).</w:t>
      </w:r>
      <w:r>
        <w:rPr>
          <w:rFonts w:ascii="Barlow Semi Condensed" w:cs="Barlow Semi Condensed" w:eastAsia="Barlow Semi Condensed" w:hAnsi="Barlow Semi Condensed"/>
          <w:sz w:val="24"/>
          <w:szCs w:val="24"/>
        </w:rPr>
        <w:t xml:space="preserve"> Dieci convergenze di cornice non fanno un rapporto diretto, come dieci indizi possibili non fanno un probabile: il salto lo produce un documento. Chi sommasse l'ostilità documentata, la presenza del consulente, la classificazione dei 474 atti alleati e la testimonianza contestata crederebbe di avere una pista; avrebbe quattro voci di piano diverso, e la somma di piani diversi non produce un piano superiore. Produce soltanto la sensazione di averlo.</w:t>
      </w:r>
    </w:p>
    <w:p>
      <w:pPr>
        <w:spacing w:after="120" w:line="276"/>
        <w:jc w:val="both"/>
      </w:pPr>
      <w:r>
        <w:rPr>
          <w:rFonts w:ascii="Barlow Semi Condensed" w:cs="Barlow Semi Condensed" w:eastAsia="Barlow Semi Condensed" w:hAnsi="Barlow Semi Condensed"/>
          <w:b/>
          <w:bCs/>
          <w:sz w:val="24"/>
          <w:szCs w:val="24"/>
        </w:rPr>
        <w:t xml:space="preserve">3060 · La domanda che chiede un verdetto (serie XL).</w:t>
      </w:r>
      <w:r>
        <w:rPr>
          <w:rFonts w:ascii="Barlow Semi Condensed" w:cs="Barlow Semi Condensed" w:eastAsia="Barlow Semi Condensed" w:hAnsi="Barlow Semi Condensed"/>
          <w:sz w:val="24"/>
          <w:szCs w:val="24"/>
        </w:rPr>
        <w:t xml:space="preserve"> «Ci fu una regia straniera?» chiede un verdetto invece di un'evidenza, e una matrice aperta da mezzo secolo lo è precisamente perché le si è chiesta la cosa sbagliata. Nel formato del territorio la riformulazione è obbligata: quale atto, presso quale autorità, con quale criterio di chiusura. Riformulare non è ammorbidire — è trasformare una domanda che nessun documento può soddisfare in una domanda che un fascicolo può.</w:t>
      </w:r>
    </w:p>
    <w:p>
      <w:pPr>
        <w:spacing w:after="120" w:line="276"/>
        <w:jc w:val="both"/>
      </w:pPr>
      <w:r>
        <w:rPr>
          <w:rFonts w:ascii="Barlow Semi Condensed" w:cs="Barlow Semi Condensed" w:eastAsia="Barlow Semi Condensed" w:hAnsi="Barlow Semi Condensed"/>
          <w:b/>
          <w:bCs/>
          <w:sz w:val="24"/>
          <w:szCs w:val="24"/>
        </w:rPr>
        <w:t xml:space="preserve">3061 · Q-Intl/1 in formato pista.</w:t>
      </w:r>
      <w:r>
        <w:rPr>
          <w:rFonts w:ascii="Barlow Semi Condensed" w:cs="Barlow Semi Condensed" w:eastAsia="Barlow Semi Condensed" w:hAnsi="Barlow Semi Condensed"/>
          <w:sz w:val="24"/>
          <w:szCs w:val="24"/>
        </w:rPr>
        <w:t xml:space="preserve"> Scritta nei sei campi del programma, la questione del flusso informativo diventa lavorabile. Oggetto: che cosa gli alleati appresero e riferirono nei 55 giorni. Stato: serie in parte libere, in parte trattenute, mai censite. Atto: interrogazione sistematica dei telegrammi elettronici e delle schede di ritiro, finestra 16 marzo – 31 dicembre 1978. Sede: National Archives e biblioteca FOIA. Chiusura: la tavola rilasciato-trattenuto, che oggi non esiste.</w:t>
      </w:r>
    </w:p>
    <w:p>
      <w:pPr>
        <w:spacing w:after="120" w:line="276"/>
        <w:jc w:val="both"/>
      </w:pPr>
      <w:r>
        <w:rPr>
          <w:rFonts w:ascii="Barlow Semi Condensed" w:cs="Barlow Semi Condensed" w:eastAsia="Barlow Semi Condensed" w:hAnsi="Barlow Semi Condensed"/>
          <w:b/>
          <w:bCs/>
          <w:sz w:val="24"/>
          <w:szCs w:val="24"/>
        </w:rPr>
        <w:t xml:space="preserve">3062 · L'evidenza discriminante del flusso.</w:t>
      </w:r>
      <w:r>
        <w:rPr>
          <w:rFonts w:ascii="Barlow Semi Condensed" w:cs="Barlow Semi Condensed" w:eastAsia="Barlow Semi Condensed" w:hAnsi="Barlow Semi Condensed"/>
          <w:sz w:val="24"/>
          <w:szCs w:val="24"/>
        </w:rPr>
        <w:t xml:space="preserve"> Discrimina un solo genere di documento: un atto estero datato entro i 55 giorni che contenga un'informazione operativa sul sequestro non desumibile dalle fonti pubbliche italiane dell'epoca. Il metro è la cronologia pubblica minuto per minuto, che il corpus possiede. Tutto il resto — valutazioni, rassegne, previsioni — è percezione alleata, materia di storia diplomatica. La distinzione fra informazione operativa e valutazione è l'intera diagnosticità di questa pista.</w:t>
      </w:r>
    </w:p>
    <w:p>
      <w:pPr>
        <w:spacing w:after="120" w:line="276"/>
        <w:jc w:val="both"/>
      </w:pPr>
      <w:r>
        <w:rPr>
          <w:rFonts w:ascii="Barlow Semi Condensed" w:cs="Barlow Semi Condensed" w:eastAsia="Barlow Semi Condensed" w:hAnsi="Barlow Semi Condensed"/>
          <w:b/>
          <w:bCs/>
          <w:sz w:val="24"/>
          <w:szCs w:val="24"/>
        </w:rPr>
        <w:t xml:space="preserve">3063 · Chiusura nei due sensi.</w:t>
      </w:r>
      <w:r>
        <w:rPr>
          <w:rFonts w:ascii="Barlow Semi Condensed" w:cs="Barlow Semi Condensed" w:eastAsia="Barlow Semi Condensed" w:hAnsi="Barlow Semi Condensed"/>
          <w:sz w:val="24"/>
          <w:szCs w:val="24"/>
        </w:rPr>
        <w:t xml:space="preserve"> Chiude nei due sensi, ed è la qualità migliore che una pista possa avere. Se lo spoglio integrale dei fondi accessibili non produce alcun atto di quel genere, l'ipotesi più banale resta la meno incoerente e il quesito retrocede a storia della percezione. Se un atto simile emerge, si apre un accertamento con sede e segnatura. Nessuno dei due esiti nomina un responsabile, ed è per questo che la pista è proponibile.</w:t>
      </w:r>
    </w:p>
    <w:p>
      <w:pPr>
        <w:spacing w:after="120" w:line="276"/>
        <w:jc w:val="both"/>
      </w:pPr>
      <w:r>
        <w:rPr>
          <w:rFonts w:ascii="Barlow Semi Condensed" w:cs="Barlow Semi Condensed" w:eastAsia="Barlow Semi Condensed" w:hAnsi="Barlow Semi Condensed"/>
          <w:b/>
          <w:bCs/>
          <w:sz w:val="24"/>
          <w:szCs w:val="24"/>
        </w:rPr>
        <w:t xml:space="preserve">3064 · L'avvocato del diavolo di questa serie.</w:t>
      </w:r>
      <w:r>
        <w:rPr>
          <w:rFonts w:ascii="Barlow Semi Condensed" w:cs="Barlow Semi Condensed" w:eastAsia="Barlow Semi Condensed" w:hAnsi="Barlow Semi Condensed"/>
          <w:sz w:val="24"/>
          <w:szCs w:val="24"/>
        </w:rPr>
        <w:t xml:space="preserve"> Il manuale prescrive che in ogni matrice un membro difenda d'ufficio l'ipotesi meno gradita e che la difesa sia verbalizzata prima della chiusura. Qui l'ipotesi meno gradita è che il nome conti e che il silenzio del territorio misuri soltanto una ricerca mai fatta. La difesa si verbalizza così: nessuno ha mai spogliato le duemila buste con questa chiave. Obiezione seria, che si chiude con lo spoglio e non con una replica.</w:t>
      </w:r>
    </w:p>
    <w:p>
      <w:pPr>
        <w:spacing w:after="120" w:line="276"/>
        <w:jc w:val="both"/>
      </w:pPr>
      <w:r>
        <w:rPr>
          <w:rFonts w:ascii="Barlow Semi Condensed" w:cs="Barlow Semi Condensed" w:eastAsia="Barlow Semi Condensed" w:hAnsi="Barlow Semi Condensed"/>
          <w:b/>
          <w:bCs/>
          <w:sz w:val="24"/>
          <w:szCs w:val="24"/>
        </w:rPr>
        <w:t xml:space="preserve">3065 · La Nota di revisione come modello (serie XL).</w:t>
      </w:r>
      <w:r>
        <w:rPr>
          <w:rFonts w:ascii="Barlow Semi Condensed" w:cs="Barlow Semi Condensed" w:eastAsia="Barlow Semi Condensed" w:hAnsi="Barlow Semi Condensed"/>
          <w:sz w:val="24"/>
          <w:szCs w:val="24"/>
        </w:rPr>
        <w:t xml:space="preserve"> Retrocedere un'evidenza propria: è ciò che la Nota di revisione numero uno fa alla matrice sulle due moto, dopo che il teste ammise ai consulenti della Moro 2 che il parabrezza non era stato infranto dai colpi, com'è visibile nelle fotografie del mattino stesso. La riga scende da diagnostica a controversa. Questa serie adotta quel modello: una retrocessione dichiarata vale più di una conferma comoda.</w:t>
      </w:r>
    </w:p>
    <w:p>
      <w:pPr>
        <w:spacing w:after="120" w:line="276"/>
        <w:jc w:val="both"/>
      </w:pPr>
      <w:r>
        <w:rPr>
          <w:rFonts w:ascii="Barlow Semi Condensed" w:cs="Barlow Semi Condensed" w:eastAsia="Barlow Semi Condensed" w:hAnsi="Barlow Semi Condensed"/>
          <w:b/>
          <w:bCs/>
          <w:sz w:val="24"/>
          <w:szCs w:val="24"/>
        </w:rPr>
        <w:t xml:space="preserve">3066 · Correggere contro se stessi.</w:t>
      </w:r>
      <w:r>
        <w:rPr>
          <w:rFonts w:ascii="Barlow Semi Condensed" w:cs="Barlow Semi Condensed" w:eastAsia="Barlow Semi Condensed" w:hAnsi="Barlow Semi Condensed"/>
          <w:sz w:val="24"/>
          <w:szCs w:val="24"/>
        </w:rPr>
        <w:t xml:space="preserve"> Dal caso del parabrezza si ricava una conseguenza che il territorio enuncia e che questa serie estende: nessuna testimonianza decide più nulla, da sola, su via Fani — decidono i reperti. Trasposta al versante internazionale, la regola dice che una deposizione de relato del 1982, per quanto autorevole la sede, non può reggere da sola alcun nesso. Servono carte coeve, e la loro ricerca è l'atto che manca.</w:t>
      </w:r>
    </w:p>
    <w:p>
      <w:pPr>
        <w:spacing w:after="120" w:line="276"/>
        <w:jc w:val="both"/>
      </w:pPr>
      <w:r>
        <w:rPr>
          <w:rFonts w:ascii="Barlow Semi Condensed" w:cs="Barlow Semi Condensed" w:eastAsia="Barlow Semi Condensed" w:hAnsi="Barlow Semi Condensed"/>
          <w:b/>
          <w:bCs/>
          <w:sz w:val="24"/>
          <w:szCs w:val="24"/>
        </w:rPr>
        <w:t xml:space="preserve">3067 · Il presidio primo applicato.</w:t>
      </w:r>
      <w:r>
        <w:rPr>
          <w:rFonts w:ascii="Barlow Semi Condensed" w:cs="Barlow Semi Condensed" w:eastAsia="Barlow Semi Condensed" w:hAnsi="Barlow Semi Condensed"/>
          <w:sz w:val="24"/>
          <w:szCs w:val="24"/>
        </w:rPr>
        <w:t xml:space="preserve"> Il primo presidio del capitolo quarto stabilisce che nessuna pista contiene un nome come esito atteso: contiene un reperto, un documento, una deposizione, e se un atto identificherà qualcuno lo dirà un giudice. Questa serie ne è l'applicazione più esposta, perché lavora su un nome. L'esito atteso resta però documentale: una tavola del trattenuto, un fascicolo FOIA integrale, due testi primari negli archivi parlamentari. Nessun altro esito è ammissibile.</w:t>
      </w:r>
    </w:p>
    <w:p>
      <w:pPr>
        <w:spacing w:after="120" w:line="276"/>
        <w:jc w:val="both"/>
      </w:pPr>
      <w:r>
        <w:rPr>
          <w:rFonts w:ascii="Barlow Semi Condensed" w:cs="Barlow Semi Condensed" w:eastAsia="Barlow Semi Condensed" w:hAnsi="Barlow Semi Condensed"/>
          <w:b/>
          <w:bCs/>
          <w:sz w:val="24"/>
          <w:szCs w:val="24"/>
        </w:rPr>
        <w:t xml:space="preserve">3068 · Il registro resta chiuso.</w:t>
      </w:r>
      <w:r>
        <w:rPr>
          <w:rFonts w:ascii="Barlow Semi Condensed" w:cs="Barlow Semi Condensed" w:eastAsia="Barlow Semi Condensed" w:hAnsi="Barlow Semi Condensed"/>
          <w:sz w:val="24"/>
          <w:szCs w:val="24"/>
        </w:rPr>
        <w:t xml:space="preserve"> Con il terzo presidio il territorio stabilisce che i tredici del giudicato non crescono per suggestione, che gli assolti restano assolti e che le percentuali di colpa non esistono. La disciplina dell'opera aggiunge il caso limite: qui si tratta di un uomo mai condannato, mai imputato, mai processato in alcun Paese. Il registro resta chiuso nelle due direzioni — non si aggiungono nomi, e non si aggiungono gradi a chi ne resta fuori.</w:t>
      </w:r>
    </w:p>
    <w:p>
      <w:pPr>
        <w:spacing w:after="120" w:line="276"/>
        <w:jc w:val="both"/>
      </w:pPr>
      <w:r>
        <w:rPr>
          <w:rFonts w:ascii="Barlow Semi Condensed" w:cs="Barlow Semi Condensed" w:eastAsia="Barlow Semi Condensed" w:hAnsi="Barlow Semi Condensed"/>
          <w:b/>
          <w:bCs/>
          <w:sz w:val="24"/>
          <w:szCs w:val="24"/>
        </w:rPr>
        <w:t xml:space="preserve">3069 · La priorità è falsificabile.</w:t>
      </w:r>
      <w:r>
        <w:rPr>
          <w:rFonts w:ascii="Barlow Semi Condensed" w:cs="Barlow Semi Condensed" w:eastAsia="Barlow Semi Condensed" w:hAnsi="Barlow Semi Condensed"/>
          <w:sz w:val="24"/>
          <w:szCs w:val="24"/>
        </w:rPr>
        <w:t xml:space="preserve"> Quarto presidio: la matrice del capitolo terzo è essa stessa un'asserzione soggetta a critica, e chi ritenga più fruttuosa un'altra gerarchia deve dire quale evidenza la giustifichi. Chi volesse portare il versante atlantico sopra i settanta punti deve perciò indicare la matrice che un documento estero discriminerebbe, e nominarla. Finché nessuna è nominata, la posizione bassa non è un pregiudizio del modello: è il modello applicato onestamente.</w:t>
      </w:r>
    </w:p>
    <w:p>
      <w:pPr>
        <w:spacing w:after="120" w:line="276"/>
        <w:jc w:val="both"/>
      </w:pPr>
      <w:r>
        <w:rPr>
          <w:rFonts w:ascii="Barlow Semi Condensed" w:cs="Barlow Semi Condensed" w:eastAsia="Barlow Semi Condensed" w:hAnsi="Barlow Semi Condensed"/>
          <w:b/>
          <w:bCs/>
          <w:sz w:val="24"/>
          <w:szCs w:val="24"/>
        </w:rPr>
        <w:t xml:space="preserve">3070 · Il corpus non è tribunale parallelo.</w:t>
      </w:r>
      <w:r>
        <w:rPr>
          <w:rFonts w:ascii="Barlow Semi Condensed" w:cs="Barlow Semi Condensed" w:eastAsia="Barlow Semi Condensed" w:hAnsi="Barlow Semi Condensed"/>
          <w:sz w:val="24"/>
          <w:szCs w:val="24"/>
        </w:rPr>
        <w:t xml:space="preserve"> Contribuente di metodo e non tribunale parallelo: così il quinto presidio definisce il corpus, che offre quesiti scritti, piste ordinate e criteri di chiusura a chi ha i poteri che esso non ha e non vuole. È la ragione per cui questa serie può nominare un uomo senza addebitargli nulla: ne fa una stringa di ricerca, non un soggetto processuale. Confondere le due cose trasformerebbe un programma d'archivio in un atto d'accusa.</w:t>
      </w:r>
    </w:p>
    <w:p>
      <w:pPr>
        <w:spacing w:after="120" w:line="276"/>
        <w:jc w:val="both"/>
      </w:pPr>
      <w:r>
        <w:rPr>
          <w:rFonts w:ascii="Barlow Semi Condensed" w:cs="Barlow Semi Condensed" w:eastAsia="Barlow Semi Condensed" w:hAnsi="Barlow Semi Condensed"/>
          <w:b/>
          <w:bCs/>
          <w:sz w:val="24"/>
          <w:szCs w:val="24"/>
        </w:rPr>
        <w:t xml:space="preserve">3071 · Il metodo dei cold case, quattro voci.</w:t>
      </w:r>
      <w:r>
        <w:rPr>
          <w:rFonts w:ascii="Barlow Semi Condensed" w:cs="Barlow Semi Condensed" w:eastAsia="Barlow Semi Condensed" w:hAnsi="Barlow Semi Condensed"/>
          <w:sz w:val="24"/>
          <w:szCs w:val="24"/>
        </w:rPr>
        <w:t xml:space="preserve"> Lo statuto del documento elenca le leve del metodo: re-inventario dei reperti, scienze forensi sopravvenute, ri-escussione dei testimoni viventi, archivi sbloccati. Delle quattro, tre non toccano questa serie — non ci sono reperti da re-inventariare, nessuna scienza forense si applica a un colloquio, i testimoni sono morti. Resta la quarta, e vale per intero: è l'unica leva su cui il versante internazionale possa ancora essere lavorato.</w:t>
      </w:r>
    </w:p>
    <w:p>
      <w:pPr>
        <w:spacing w:after="120" w:line="276"/>
        <w:jc w:val="both"/>
      </w:pPr>
      <w:r>
        <w:rPr>
          <w:rFonts w:ascii="Barlow Semi Condensed" w:cs="Barlow Semi Condensed" w:eastAsia="Barlow Semi Condensed" w:hAnsi="Barlow Semi Condensed"/>
          <w:b/>
          <w:bCs/>
          <w:sz w:val="24"/>
          <w:szCs w:val="24"/>
        </w:rPr>
        <w:t xml:space="preserve">3072 · La direttiva del 22 aprile 2014.</w:t>
      </w:r>
      <w:r>
        <w:rPr>
          <w:rFonts w:ascii="Barlow Semi Condensed" w:cs="Barlow Semi Condensed" w:eastAsia="Barlow Semi Condensed" w:hAnsi="Barlow Semi Condensed"/>
          <w:sz w:val="24"/>
          <w:szCs w:val="24"/>
        </w:rPr>
        <w:t xml:space="preserve"> La direttiva del Presidente del Consiglio del 22 aprile 2014, pubblicata nella Gazzetta Ufficiale n. 100 del 2 maggio 2014, dispose la declassificazione e il versamento all'Archivio Centrale dello Stato della documentazione sulle stragi. È l'atto che rende possibile P-5, definita strutturale perché alimenta tutte le altre. Nulla in essa riguarda documenti di origine estera: la regola dell'originatore resta fuori dal suo perimetro, e va detto.</w:t>
      </w:r>
    </w:p>
    <w:p>
      <w:pPr>
        <w:spacing w:after="120" w:line="276"/>
        <w:jc w:val="both"/>
      </w:pPr>
      <w:r>
        <w:rPr>
          <w:rFonts w:ascii="Barlow Semi Condensed" w:cs="Barlow Semi Condensed" w:eastAsia="Barlow Semi Condensed" w:hAnsi="Barlow Semi Condensed"/>
          <w:b/>
          <w:bCs/>
          <w:sz w:val="24"/>
          <w:szCs w:val="24"/>
        </w:rPr>
        <w:t xml:space="preserve">3073 · L'estensione del 2 dicembre 2014.</w:t>
      </w:r>
      <w:r>
        <w:rPr>
          <w:rFonts w:ascii="Barlow Semi Condensed" w:cs="Barlow Semi Condensed" w:eastAsia="Barlow Semi Condensed" w:hAnsi="Barlow Semi Condensed"/>
          <w:sz w:val="24"/>
          <w:szCs w:val="24"/>
        </w:rPr>
        <w:t xml:space="preserve"> L'estensione arrivò il 2 dicembre 2014, quando l'obbligo fu riferito espressamente al sequestro e all'omicidio di Aldo Moro; i versamenti erano avviati dal 1° agosto 2014. La sequenza va tenuta ferma perché fissa la data da cui il giacimento è interrogabile con le chiavi del caso. Da allora nessuna pubblicazione risulta aver spogliato il fondo con la chiave di questa serie: è la lacuna che il blocco precedente misura.</w:t>
      </w:r>
    </w:p>
    <w:p>
      <w:pPr>
        <w:spacing w:after="120" w:line="276"/>
        <w:jc w:val="both"/>
      </w:pPr>
      <w:r>
        <w:rPr>
          <w:rFonts w:ascii="Barlow Semi Condensed" w:cs="Barlow Semi Condensed" w:eastAsia="Barlow Semi Condensed" w:hAnsi="Barlow Semi Condensed"/>
          <w:b/>
          <w:bCs/>
          <w:sz w:val="24"/>
          <w:szCs w:val="24"/>
        </w:rPr>
        <w:t xml:space="preserve">3074 · La sala delle raccolte speciali.</w:t>
      </w:r>
      <w:r>
        <w:rPr>
          <w:rFonts w:ascii="Barlow Semi Condensed" w:cs="Barlow Semi Condensed" w:eastAsia="Barlow Semi Condensed" w:hAnsi="Barlow Semi Condensed"/>
          <w:sz w:val="24"/>
          <w:szCs w:val="24"/>
        </w:rPr>
        <w:t xml:space="preserve"> P-4 indica come sede la Sala delle raccolte speciali dell'Archivio Centrale dello Stato e gli archivi del Ministero dell'Interno; P-5 indica l'ACS senza ulteriori specificazioni. Per questa serie la sede è la stessa e la richiesta è formulabile in una riga: se nei versamenti del Viminale esistano atti dei 55 giorni che riferiscano contatti con l'ambasciata statunitense, e con quali interlocutori. Fattibilità alta, rendimento ignoto, nessuna istanza mai depositata.</w:t>
      </w:r>
    </w:p>
    <w:p>
      <w:pPr>
        <w:spacing w:after="120" w:line="276"/>
        <w:jc w:val="both"/>
      </w:pPr>
      <w:r>
        <w:rPr>
          <w:rFonts w:ascii="Barlow Semi Condensed" w:cs="Barlow Semi Condensed" w:eastAsia="Barlow Semi Condensed" w:hAnsi="Barlow Semi Condensed"/>
          <w:b/>
          <w:bCs/>
          <w:sz w:val="24"/>
          <w:szCs w:val="24"/>
        </w:rPr>
        <w:t xml:space="preserve">3075 · L'Archivio storico diplomatico, serie 1978.</w:t>
      </w:r>
      <w:r>
        <w:rPr>
          <w:rFonts w:ascii="Barlow Semi Condensed" w:cs="Barlow Semi Condensed" w:eastAsia="Barlow Semi Condensed" w:hAnsi="Barlow Semi Condensed"/>
          <w:sz w:val="24"/>
          <w:szCs w:val="24"/>
        </w:rPr>
        <w:t xml:space="preserve"> Fra gli archivi che si apriranno, P-9 nomina le serie 1978 dell'Archivio Storico Diplomatico della Farnesina, con le istanze pronte al giorno dell'apertura. È la sede italiana del versante atlantico, speculare a quella americana: i telespressi e i rapporti della sede di Washington nei 55 giorni. Il quesito da scrivere fin d'ora è enumerativo e non interpretativo — quanti atti, di quale genere, con quali destinatari — e non richiede alcun nome.</w:t>
      </w:r>
    </w:p>
    <w:p>
      <w:pPr>
        <w:spacing w:after="120" w:line="276"/>
        <w:jc w:val="both"/>
      </w:pPr>
      <w:r>
        <w:rPr>
          <w:rFonts w:ascii="Barlow Semi Condensed" w:cs="Barlow Semi Condensed" w:eastAsia="Barlow Semi Condensed" w:hAnsi="Barlow Semi Condensed"/>
          <w:b/>
          <w:bCs/>
          <w:sz w:val="24"/>
          <w:szCs w:val="24"/>
        </w:rPr>
        <w:t xml:space="preserve">3076 · La sede italiana a Washington.</w:t>
      </w:r>
      <w:r>
        <w:rPr>
          <w:rFonts w:ascii="Barlow Semi Condensed" w:cs="Barlow Semi Condensed" w:eastAsia="Barlow Semi Condensed" w:hAnsi="Barlow Semi Condensed"/>
          <w:sz w:val="24"/>
          <w:szCs w:val="24"/>
        </w:rPr>
        <w:t xml:space="preserve"> Il traffico che PE-5 chiama Roma-Washington ha due capi, e il territorio ne nomina uno solo. Il capo italiano — ciò che l'ambasciata riferì alla Farnesina fra marzo e maggio 1978 — non è oggetto di alcuna pista, di alcun punteggio, di alcuna riga di tabella. È una lacuna simmetrica e finora non verbalizzata: si chiude all'Archivio Storico Diplomatico, e la sua chiusura non dipende da alcun consenso estero.</w:t>
      </w:r>
    </w:p>
    <w:p>
      <w:pPr>
        <w:spacing w:after="120" w:line="276"/>
        <w:jc w:val="both"/>
      </w:pPr>
      <w:r>
        <w:rPr>
          <w:rFonts w:ascii="Barlow Semi Condensed" w:cs="Barlow Semi Condensed" w:eastAsia="Barlow Semi Condensed" w:hAnsi="Barlow Semi Condensed"/>
          <w:b/>
          <w:bCs/>
          <w:sz w:val="24"/>
          <w:szCs w:val="24"/>
        </w:rPr>
        <w:t xml:space="preserve">3077 · Il verbale del vuoto di questa serie.</w:t>
      </w:r>
      <w:r>
        <w:rPr>
          <w:rFonts w:ascii="Barlow Semi Condensed" w:cs="Barlow Semi Condensed" w:eastAsia="Barlow Semi Condensed" w:hAnsi="Barlow Semi Condensed"/>
          <w:sz w:val="24"/>
          <w:szCs w:val="24"/>
        </w:rPr>
        <w:t xml:space="preserve"> Ogni ricerca a vuoto si verbalizza con perimetro esatto — che cosa è stato cercato, dove, quando — perché il verbale impedisce di cercare due volte e fonda lo Stato Zero. Perimetro di questa serie: il programma investigativo e i suoi due approfondimenti, il lotto del Dipartimento di Stato nella cartella Farnesina, il documento delle metodologie. Esito: nessuna occorrenza nel territorio, nessuna nel lotto. Ricognizione del 26 agosto 2026.</w:t>
      </w:r>
    </w:p>
    <w:p>
      <w:pPr>
        <w:spacing w:after="120" w:line="276"/>
        <w:jc w:val="both"/>
      </w:pPr>
      <w:r>
        <w:rPr>
          <w:rFonts w:ascii="Barlow Semi Condensed" w:cs="Barlow Semi Condensed" w:eastAsia="Barlow Semi Condensed" w:hAnsi="Barlow Semi Condensed"/>
          <w:b/>
          <w:bCs/>
          <w:sz w:val="24"/>
          <w:szCs w:val="24"/>
        </w:rPr>
        <w:t xml:space="preserve">3078 · La disciplina delle fonti in questo territorio.</w:t>
      </w:r>
      <w:r>
        <w:rPr>
          <w:rFonts w:ascii="Barlow Semi Condensed" w:cs="Barlow Semi Condensed" w:eastAsia="Barlow Semi Condensed" w:hAnsi="Barlow Semi Condensed"/>
          <w:sz w:val="24"/>
          <w:szCs w:val="24"/>
        </w:rPr>
        <w:t xml:space="preserve"> Due testate sono state escluse dal committente dal novero delle fonti utilizzabili, e nessun blocco di questa serie vi attinge. La disciplina non è formale: su un terreno dove la pubblicistica ha costruito più che altrove, il perimetro delle fonti ammesse è parte del metodo. Le fonti impiegate qui sono i file del corpus, gli atti che essi citano e le segnature che essi riportano, tutte nominate e tutte verificabili.</w:t>
      </w:r>
    </w:p>
    <w:p>
      <w:pPr>
        <w:spacing w:after="120" w:line="276"/>
        <w:jc w:val="both"/>
      </w:pPr>
      <w:r>
        <w:rPr>
          <w:rFonts w:ascii="Barlow Semi Condensed" w:cs="Barlow Semi Condensed" w:eastAsia="Barlow Semi Condensed" w:hAnsi="Barlow Semi Condensed"/>
          <w:b/>
          <w:bCs/>
          <w:sz w:val="24"/>
          <w:szCs w:val="24"/>
        </w:rPr>
        <w:t xml:space="preserve">3079 · L'auto-misurazione del rendimento.</w:t>
      </w:r>
      <w:r>
        <w:rPr>
          <w:rFonts w:ascii="Barlow Semi Condensed" w:cs="Barlow Semi Condensed" w:eastAsia="Barlow Semi Condensed" w:hAnsi="Barlow Semi Condensed"/>
          <w:sz w:val="24"/>
          <w:szCs w:val="24"/>
        </w:rPr>
        <w:t xml:space="preserve"> Questa serie dichiara in anticipo il proprio rendimento, come il corpus prescrive quando si auto-misura: prevalenza di Stati Zero, nessun ponte di primo piano, un solo punto di saldatura documentale in PE-5. Chi cercasse qui un guadagno di conoscenza sul mandante non ne troverà. Il guadagno è di altra natura: il territorio investigativo risulta, per la prima volta, interrogato su questo nome e verbalizzato nel proprio silenzio.</w:t>
      </w:r>
    </w:p>
    <w:p>
      <w:pPr>
        <w:spacing w:after="120" w:line="276"/>
        <w:jc w:val="both"/>
      </w:pPr>
      <w:r>
        <w:rPr>
          <w:rFonts w:ascii="Barlow Semi Condensed" w:cs="Barlow Semi Condensed" w:eastAsia="Barlow Semi Condensed" w:hAnsi="Barlow Semi Condensed"/>
          <w:b/>
          <w:bCs/>
          <w:sz w:val="24"/>
          <w:szCs w:val="24"/>
        </w:rPr>
        <w:t xml:space="preserve">3080 · Congedo: un silenzio ben dichiarato.</w:t>
      </w:r>
      <w:r>
        <w:rPr>
          <w:rFonts w:ascii="Barlow Semi Condensed" w:cs="Barlow Semi Condensed" w:eastAsia="Barlow Semi Condensed" w:hAnsi="Barlow Semi Condensed"/>
          <w:sz w:val="24"/>
          <w:szCs w:val="24"/>
        </w:rPr>
        <w:t xml:space="preserve"> Ventiquattro piste, tre tabelle, due graduatorie a punteggio, un fascicolo aperto a Roma e circa duemila buste versate: il programma investigativo è il documento più operativo del corpus, e non nomina quest'uomo neppure una volta. La serie si chiude su quel dato, senza aggiungervi nulla. Un blocco che dichiara bene un'assenza vale più di uno che suggerisce una presenza, e ottanta bersagli servivano a dichiararla bene.</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Serie quarantunesima — Le piste di testa</w:t>
      </w:r>
    </w:p>
    <w:p>
      <w:pPr>
        <w:spacing w:after="120" w:line="276"/>
        <w:jc w:val="both"/>
      </w:pPr>
      <w:r>
        <w:rPr>
          <w:rFonts w:ascii="Barlow Semi Condensed" w:cs="Barlow Semi Condensed" w:eastAsia="Barlow Semi Condensed" w:hAnsi="Barlow Semi Condensed"/>
          <w:i/>
          <w:iCs/>
          <w:sz w:val="24"/>
          <w:szCs w:val="24"/>
        </w:rPr>
        <w:t xml:space="preserve">Blocchi 3081-3155.</w:t>
      </w:r>
    </w:p>
    <w:p>
      <w:pPr>
        <w:spacing w:after="120" w:line="276"/>
        <w:jc w:val="both"/>
      </w:pPr>
      <w:r>
        <w:rPr>
          <w:rFonts w:ascii="Barlow Semi Condensed" w:cs="Barlow Semi Condensed" w:eastAsia="Barlow Semi Condensed" w:hAnsi="Barlow Semi Condensed"/>
          <w:b/>
          <w:bCs/>
          <w:sz w:val="24"/>
          <w:szCs w:val="24"/>
        </w:rPr>
        <w:t xml:space="preserve">3081 · Il territorio e il quesito.</w:t>
      </w:r>
      <w:r>
        <w:rPr>
          <w:rFonts w:ascii="Barlow Semi Condensed" w:cs="Barlow Semi Condensed" w:eastAsia="Barlow Semi Condensed" w:hAnsi="Barlow Semi Condensed"/>
          <w:sz w:val="24"/>
          <w:szCs w:val="24"/>
        </w:rPr>
        <w:t xml:space="preserve"> La serie triangola un solo nome contro un solo documento: l'approfondimento delle piste di testa, cioè le quattro schede sopra i settanta punti — PN-1 a 89,0, PN-7 a 77,5, PN-4 a 74,5, PN-2 a 71,0 — e la Nota di revisione n. 1 che le precede. Non si cerca una presenza: si cerca dove il testo nomini Henry Kissinger, dove convergano soltanto cornici, e dove taccia del tutto.</w:t>
      </w:r>
    </w:p>
    <w:p>
      <w:pPr>
        <w:spacing w:after="120" w:line="276"/>
        <w:jc w:val="both"/>
      </w:pPr>
      <w:r>
        <w:rPr>
          <w:rFonts w:ascii="Barlow Semi Condensed" w:cs="Barlow Semi Condensed" w:eastAsia="Barlow Semi Condensed" w:hAnsi="Barlow Semi Condensed"/>
          <w:b/>
          <w:bCs/>
          <w:sz w:val="24"/>
          <w:szCs w:val="24"/>
        </w:rPr>
        <w:t xml:space="preserve">3082 · Lo spoglio lessicale, eseguito.</w:t>
      </w:r>
      <w:r>
        <w:rPr>
          <w:rFonts w:ascii="Barlow Semi Condensed" w:cs="Barlow Semi Condensed" w:eastAsia="Barlow Semi Condensed" w:hAnsi="Barlow Semi Condensed"/>
          <w:sz w:val="24"/>
          <w:szCs w:val="24"/>
        </w:rPr>
        <w:t xml:space="preserve"> Il file è stato interrogato per intero, con verifica a confini di parola: «Kissinger», «Stati Uniti», «statunitense», «americano», «Washington», «atlantico», «internazionale», «FOIA» e «NARA» non vi compaiono, in nessuna forma flessa. L'accertamento è meccanico e chiunque riapra il documento lo ripete in un minuto. Non è un'impressione di lettura: è un censimento negativo su testo chiuso, e come tale ha grado pieno.</w:t>
      </w:r>
    </w:p>
    <w:p>
      <w:pPr>
        <w:spacing w:after="120" w:line="276"/>
        <w:jc w:val="both"/>
      </w:pPr>
      <w:r>
        <w:rPr>
          <w:rFonts w:ascii="Barlow Semi Condensed" w:cs="Barlow Semi Condensed" w:eastAsia="Barlow Semi Condensed" w:hAnsi="Barlow Semi Condensed"/>
          <w:b/>
          <w:bCs/>
          <w:sz w:val="24"/>
          <w:szCs w:val="24"/>
        </w:rPr>
        <w:t xml:space="preserve">3083 · Stato Zero primo, con la sede.</w:t>
      </w:r>
      <w:r>
        <w:rPr>
          <w:rFonts w:ascii="Barlow Semi Condensed" w:cs="Barlow Semi Condensed" w:eastAsia="Barlow Semi Condensed" w:hAnsi="Barlow Semi Condensed"/>
          <w:sz w:val="24"/>
          <w:szCs w:val="24"/>
        </w:rPr>
        <w:t xml:space="preserve"> Si verbalizza dunque il primo esito negativo: dal territorio assegnato non risulta alcun rapporto di piano 1 fra Henry Kissinger e le quattro piste di testa. La sede che lo chiuderebbe non è il documento, già letto per intero: sono il fascicolo della Procura di Roma sulle terze presenze e l'inventario dei corpi di reato depositati presso il Tribunale e la Corte d'assise di Roma.</w:t>
      </w:r>
    </w:p>
    <w:p>
      <w:pPr>
        <w:spacing w:after="120" w:line="276"/>
        <w:jc w:val="both"/>
      </w:pPr>
      <w:r>
        <w:rPr>
          <w:rFonts w:ascii="Barlow Semi Condensed" w:cs="Barlow Semi Condensed" w:eastAsia="Barlow Semi Condensed" w:hAnsi="Barlow Semi Condensed"/>
          <w:b/>
          <w:bCs/>
          <w:sz w:val="24"/>
          <w:szCs w:val="24"/>
        </w:rPr>
        <w:t xml:space="preserve">3084 · Che cosa qui sarebbe un ponte.</w:t>
      </w:r>
      <w:r>
        <w:rPr>
          <w:rFonts w:ascii="Barlow Semi Condensed" w:cs="Barlow Semi Condensed" w:eastAsia="Barlow Semi Condensed" w:hAnsi="Barlow Semi Condensed"/>
          <w:sz w:val="24"/>
          <w:szCs w:val="24"/>
        </w:rPr>
        <w:t xml:space="preserve"> Perché un ponte esista su questo terreno serve un oggetto preciso: un documento di provenienza che nomini insieme la controparte e il reperto — un verbale di movimentazione, una nota di trasmissione, una richiesta di comparazione, una relazione peritale con firma estera. Nessuna delle quattro schede ne contiene uno. La somiglianza fra cornici storiche non produce quel documento, e senza quel documento non si scrive nulla.</w:t>
      </w:r>
    </w:p>
    <w:p>
      <w:pPr>
        <w:spacing w:after="120" w:line="276"/>
        <w:jc w:val="both"/>
      </w:pPr>
      <w:r>
        <w:rPr>
          <w:rFonts w:ascii="Barlow Semi Condensed" w:cs="Barlow Semi Condensed" w:eastAsia="Barlow Semi Condensed" w:hAnsi="Barlow Semi Condensed"/>
          <w:b/>
          <w:bCs/>
          <w:sz w:val="24"/>
          <w:szCs w:val="24"/>
        </w:rPr>
        <w:t xml:space="preserve">3085 · Perché questo territorio è severo.</w:t>
      </w:r>
      <w:r>
        <w:rPr>
          <w:rFonts w:ascii="Barlow Semi Condensed" w:cs="Barlow Semi Condensed" w:eastAsia="Barlow Semi Condensed" w:hAnsi="Barlow Semi Condensed"/>
          <w:sz w:val="24"/>
          <w:szCs w:val="24"/>
        </w:rPr>
        <w:t xml:space="preserve"> Le quattro piste di testa hanno una proprietà che le rende ostili a ogni triangolazione dottrinale: poggiano su ciò che non ritratta — novantuno bossoli, un caricatore, deposizioni da raccogliere, carte d'ufficio protocollate. Nessuna di esse è una pista di idee. Un nome che non compaia su un reperto, in un verbale o in un protocollo non ha qui alcun luogo dove appoggiarsi, e va detto senza attenuazioni.</w:t>
      </w:r>
    </w:p>
    <w:p>
      <w:pPr>
        <w:spacing w:after="120" w:line="276"/>
        <w:jc w:val="both"/>
      </w:pPr>
      <w:r>
        <w:rPr>
          <w:rFonts w:ascii="Barlow Semi Condensed" w:cs="Barlow Semi Condensed" w:eastAsia="Barlow Semi Condensed" w:hAnsi="Barlow Semi Condensed"/>
          <w:b/>
          <w:bCs/>
          <w:sz w:val="24"/>
          <w:szCs w:val="24"/>
        </w:rPr>
        <w:t xml:space="preserve">3086 · I tre piani calati sulle schede.</w:t>
      </w:r>
      <w:r>
        <w:rPr>
          <w:rFonts w:ascii="Barlow Semi Condensed" w:cs="Barlow Semi Condensed" w:eastAsia="Barlow Semi Condensed" w:hAnsi="Barlow Semi Condensed"/>
          <w:sz w:val="24"/>
          <w:szCs w:val="24"/>
        </w:rPr>
        <w:t xml:space="preserve"> Applicata qui, la regola dei tre piani dà un esito ordinato. Piano 1: nessuna occorrenza. Piano 2: la cornice atlantica del 1974 e il caso italiano del 1978 stanno dentro lo stesso quadro internazionale, e questo è tutto ciò che se ne può dire. Piano 3: le letture che negli ignoti di via Fani leggono una mano estera, circolanti e prive di riscontro. Nessun piano promuove l'altro.</w:t>
      </w:r>
    </w:p>
    <w:p>
      <w:pPr>
        <w:spacing w:after="120" w:line="276"/>
        <w:jc w:val="both"/>
      </w:pPr>
      <w:r>
        <w:rPr>
          <w:rFonts w:ascii="Barlow Semi Condensed" w:cs="Barlow Semi Condensed" w:eastAsia="Barlow Semi Condensed" w:hAnsi="Barlow Semi Condensed"/>
          <w:b/>
          <w:bCs/>
          <w:sz w:val="24"/>
          <w:szCs w:val="24"/>
        </w:rPr>
        <w:t xml:space="preserve">3087 · La ripartizione dei novantuno bossoli.</w:t>
      </w:r>
      <w:r>
        <w:rPr>
          <w:rFonts w:ascii="Barlow Semi Condensed" w:cs="Barlow Semi Condensed" w:eastAsia="Barlow Semi Condensed" w:hAnsi="Barlow Semi Condensed"/>
          <w:sz w:val="24"/>
          <w:szCs w:val="24"/>
        </w:rPr>
        <w:t xml:space="preserve"> La scheda PN-1 riporta la ripartizione storica: quarantanove bossoli a un'unica arma automatica, ventidue a un secondo FNAB-43, cinque a un TZ-45, tre a una Beretta M12, otto a una Smith &amp; Wesson nove millimetri. È l'inventario materiale più minuto che il corpus possieda su via Fani, e in nessuna delle sue cinque righe compare un elemento che rimandi a un'autorità straniera. L'assenza si registra qui.</w:t>
      </w:r>
    </w:p>
    <w:p>
      <w:pPr>
        <w:spacing w:after="120" w:line="276"/>
        <w:jc w:val="both"/>
      </w:pPr>
      <w:r>
        <w:rPr>
          <w:rFonts w:ascii="Barlow Semi Condensed" w:cs="Barlow Semi Condensed" w:eastAsia="Barlow Semi Condensed" w:hAnsi="Barlow Semi Condensed"/>
          <w:b/>
          <w:bCs/>
          <w:sz w:val="24"/>
          <w:szCs w:val="24"/>
        </w:rPr>
        <w:t xml:space="preserve">3088 · Una divergenza di laboratorio.</w:t>
      </w:r>
      <w:r>
        <w:rPr>
          <w:rFonts w:ascii="Barlow Semi Condensed" w:cs="Barlow Semi Condensed" w:eastAsia="Barlow Semi Condensed" w:hAnsi="Barlow Semi Condensed"/>
          <w:sz w:val="24"/>
          <w:szCs w:val="24"/>
        </w:rPr>
        <w:t xml:space="preserve"> Le tre stagioni peritali divergono: l'attribuzione originaria, la Salza-Benedetti degli anni Novanta che non riuscì a confermare i quarantanove a un'arma sola, l'esame del 2015 della Polizia di Stato per la Commissione Moro 2 che sostanzialmente riconfermò. La divergenza si riporta e non si scioglie. Va però qualificata per quello che è: un problema di comparatori e di metodo, non un varco per ipotesi di regia esterna.</w:t>
      </w:r>
    </w:p>
    <w:p>
      <w:pPr>
        <w:spacing w:after="120" w:line="276"/>
        <w:jc w:val="both"/>
      </w:pPr>
      <w:r>
        <w:rPr>
          <w:rFonts w:ascii="Barlow Semi Condensed" w:cs="Barlow Semi Condensed" w:eastAsia="Barlow Semi Condensed" w:hAnsi="Barlow Semi Condensed"/>
          <w:b/>
          <w:bCs/>
          <w:sz w:val="24"/>
          <w:szCs w:val="24"/>
        </w:rPr>
        <w:t xml:space="preserve">3089 · Il residuo, e ciò che non autorizza.</w:t>
      </w:r>
      <w:r>
        <w:rPr>
          <w:rFonts w:ascii="Barlow Semi Condensed" w:cs="Barlow Semi Condensed" w:eastAsia="Barlow Semi Condensed" w:hAnsi="Barlow Semi Condensed"/>
          <w:sz w:val="24"/>
          <w:szCs w:val="24"/>
        </w:rPr>
        <w:t xml:space="preserve"> Il quesito (c) della scheda chiede se esistano tracce fisiche non riconducibili alle armi del commando giudicato. Se un residuo emergesse, aprirebbe un'identificazione giudiziaria e nient'altro: un profilo ignoto è un ignoto, non una nazionalità. Il passaggio dal residuo alla mano straniera non è un'inferenza, è una sostituzione — e la scheda lo previene già, vietando di confondere la divergenza peritale con la prova del terzo uomo.</w:t>
      </w:r>
    </w:p>
    <w:p>
      <w:pPr>
        <w:spacing w:after="120" w:line="276"/>
        <w:jc w:val="both"/>
      </w:pPr>
      <w:r>
        <w:rPr>
          <w:rFonts w:ascii="Barlow Semi Condensed" w:cs="Barlow Semi Condensed" w:eastAsia="Barlow Semi Condensed" w:hAnsi="Barlow Semi Condensed"/>
          <w:b/>
          <w:bCs/>
          <w:sz w:val="24"/>
          <w:szCs w:val="24"/>
        </w:rPr>
        <w:t xml:space="preserve">3090 · Il tiratore d'eccezione, e la tentazione.</w:t>
      </w:r>
      <w:r>
        <w:rPr>
          <w:rFonts w:ascii="Barlow Semi Condensed" w:cs="Barlow Semi Condensed" w:eastAsia="Barlow Semi Condensed" w:hAnsi="Barlow Semi Condensed"/>
          <w:sz w:val="24"/>
          <w:szCs w:val="24"/>
        </w:rPr>
        <w:t xml:space="preserve"> Il tiratore d'eccezione estraneo al commando è qualificato dalla scheda come congettura interpretativa di grado C, costruita su un dato peritale controverso. È esattamente il punto in cui la pubblicistica introduce l'addestramento estero come spiegazione. Il corpus non lo fa, e la ragione è tecnica prima che prudenziale: nessun elemento della congettura contiene un attributo di provenienza. Un'ipotesi indeterminata non diventa determinata perché le si aggiunge un aggettivo.</w:t>
      </w:r>
    </w:p>
    <w:p>
      <w:pPr>
        <w:spacing w:after="120" w:line="276"/>
        <w:jc w:val="both"/>
      </w:pPr>
      <w:r>
        <w:rPr>
          <w:rFonts w:ascii="Barlow Semi Condensed" w:cs="Barlow Semi Condensed" w:eastAsia="Barlow Semi Condensed" w:hAnsi="Barlow Semi Condensed"/>
          <w:b/>
          <w:bCs/>
          <w:sz w:val="24"/>
          <w:szCs w:val="24"/>
        </w:rPr>
        <w:t xml:space="preserve">3091 · Omologia e analogia sui quarantanove colpi.</w:t>
      </w:r>
      <w:r>
        <w:rPr>
          <w:rFonts w:ascii="Barlow Semi Condensed" w:cs="Barlow Semi Condensed" w:eastAsia="Barlow Semi Condensed" w:hAnsi="Barlow Semi Condensed"/>
          <w:sz w:val="24"/>
          <w:szCs w:val="24"/>
        </w:rPr>
        <w:t xml:space="preserve"> Dalla perizia di tiro non si risale all'origine dell'addestramento: la somiglianza del risultato non prova l'antenato comune. Un'attribuzione mono-arma, se regge, descrive una mano ferma e nulla dice su dove quella mano imparò. Il test resta uno, e la scheda PN-1 non lo supera: un documento di provenienza che nomini la controparte. Finché manca, si è davanti a un'analogia, e le analogie non fondano genealogie.</w:t>
      </w:r>
    </w:p>
    <w:p>
      <w:pPr>
        <w:spacing w:after="120" w:line="276"/>
        <w:jc w:val="both"/>
      </w:pPr>
      <w:r>
        <w:rPr>
          <w:rFonts w:ascii="Barlow Semi Condensed" w:cs="Barlow Semi Condensed" w:eastAsia="Barlow Semi Condensed" w:hAnsi="Barlow Semi Condensed"/>
          <w:b/>
          <w:bCs/>
          <w:sz w:val="24"/>
          <w:szCs w:val="24"/>
        </w:rPr>
        <w:t xml:space="preserve">3092 · Catena di custodia, quesito nuovo.</w:t>
      </w:r>
      <w:r>
        <w:rPr>
          <w:rFonts w:ascii="Barlow Semi Condensed" w:cs="Barlow Semi Condensed" w:eastAsia="Barlow Semi Condensed" w:hAnsi="Barlow Semi Condensed"/>
          <w:sz w:val="24"/>
          <w:szCs w:val="24"/>
        </w:rPr>
        <w:t xml:space="preserve"> L'atto raffinato della scheda mette la ricostruzione della catena di custodia prima della scienza. Di qui nasce un quesito che il corpus non ha mai posto: nei quarantotto anni di movimentazioni, qualche reperto di via Fani fu mai trasmesso, in copia o in originale, a un laboratorio o a un organismo estero? Stato Zero. Lo chiuderebbero i registri di movimentazione dell'ufficio corpi di reato del Tribunale di Roma.</w:t>
      </w:r>
    </w:p>
    <w:p>
      <w:pPr>
        <w:spacing w:after="120" w:line="276"/>
        <w:jc w:val="both"/>
      </w:pPr>
      <w:r>
        <w:rPr>
          <w:rFonts w:ascii="Barlow Semi Condensed" w:cs="Barlow Semi Condensed" w:eastAsia="Barlow Semi Condensed" w:hAnsi="Barlow Semi Condensed"/>
          <w:b/>
          <w:bCs/>
          <w:sz w:val="24"/>
          <w:szCs w:val="24"/>
        </w:rPr>
        <w:t xml:space="preserve">3093 · Smith &amp; Wesson non è indizio.</w:t>
      </w:r>
      <w:r>
        <w:rPr>
          <w:rFonts w:ascii="Barlow Semi Condensed" w:cs="Barlow Semi Condensed" w:eastAsia="Barlow Semi Condensed" w:hAnsi="Barlow Semi Condensed"/>
          <w:sz w:val="24"/>
          <w:szCs w:val="24"/>
        </w:rPr>
        <w:t xml:space="preserve"> L'unico elemento statunitense presente nella scheda PN-1 è la casa costruttrice di una delle armi: otto bossoli di pistola Smith &amp; Wesson nove millimetri. La nazionalità di un fabbricante non è un attributo dell'atto, e trattarla come tale è il piano 3 nella sua forma più povera. Il rilievo si scrive proprio perché la tentazione è immediata: le armi circolano, i costruttori non sparano.</w:t>
      </w:r>
    </w:p>
    <w:p>
      <w:pPr>
        <w:spacing w:after="120" w:line="276"/>
        <w:jc w:val="both"/>
      </w:pPr>
      <w:r>
        <w:rPr>
          <w:rFonts w:ascii="Barlow Semi Condensed" w:cs="Barlow Semi Condensed" w:eastAsia="Barlow Semi Condensed" w:hAnsi="Barlow Semi Condensed"/>
          <w:b/>
          <w:bCs/>
          <w:sz w:val="24"/>
          <w:szCs w:val="24"/>
        </w:rPr>
        <w:t xml:space="preserve">3094 · Bersaglio di smentita per PN-1.</w:t>
      </w:r>
      <w:r>
        <w:rPr>
          <w:rFonts w:ascii="Barlow Semi Condensed" w:cs="Barlow Semi Condensed" w:eastAsia="Barlow Semi Condensed" w:hAnsi="Barlow Semi Condensed"/>
          <w:sz w:val="24"/>
          <w:szCs w:val="24"/>
        </w:rPr>
        <w:t xml:space="preserve"> Che cosa falsificherebbe l'ipotesi di un nesso fra questo nome e le presenze non attribuite di via Fani. Basterebbe l'esito (i) della scheda: tutte le tracce tornano alle armi del commando giudicato, e l'ipotesi delle presenze operative estranee perde il suo unico possibile fondamento fisico. Il nesso cadrebbe senza bisogno di discutere il 1974. Un bersaglio di smentita si scrive prima, e questo è già scritto nel territorio.</w:t>
      </w:r>
    </w:p>
    <w:p>
      <w:pPr>
        <w:spacing w:after="120" w:line="276"/>
        <w:jc w:val="both"/>
      </w:pPr>
      <w:r>
        <w:rPr>
          <w:rFonts w:ascii="Barlow Semi Condensed" w:cs="Barlow Semi Condensed" w:eastAsia="Barlow Semi Condensed" w:hAnsi="Barlow Semi Condensed"/>
          <w:b/>
          <w:bCs/>
          <w:sz w:val="24"/>
          <w:szCs w:val="24"/>
        </w:rPr>
        <w:t xml:space="preserve">3095 · Il quesito (a) non dipende da nessuno.</w:t>
      </w:r>
      <w:r>
        <w:rPr>
          <w:rFonts w:ascii="Barlow Semi Condensed" w:cs="Barlow Semi Condensed" w:eastAsia="Barlow Semi Condensed" w:hAnsi="Barlow Semi Condensed"/>
          <w:sz w:val="24"/>
          <w:szCs w:val="24"/>
        </w:rPr>
        <w:t xml:space="preserve"> Se i quarantanove bossoli siano davvero di un'arma sola si risolve con un comparatore e una scansione tridimensionale delle superfici di percussione ed estrazione, come il manuale investigativo prescrive ai blocchi 51-53. Non c'è variabile diplomatica nell'esito. Vale la pena dirlo perché l'ampiezza politica di un caso non rende politica ogni sua domanda: alcune restano di laboratorio, e questa lo è.</w:t>
      </w:r>
    </w:p>
    <w:p>
      <w:pPr>
        <w:spacing w:after="120" w:line="276"/>
        <w:jc w:val="both"/>
      </w:pPr>
      <w:r>
        <w:rPr>
          <w:rFonts w:ascii="Barlow Semi Condensed" w:cs="Barlow Semi Condensed" w:eastAsia="Barlow Semi Condensed" w:hAnsi="Barlow Semi Condensed"/>
          <w:b/>
          <w:bCs/>
          <w:sz w:val="24"/>
          <w:szCs w:val="24"/>
        </w:rPr>
        <w:t xml:space="preserve">3096 · Il quesito (b) e l'aritmetica dei reperti.</w:t>
      </w:r>
      <w:r>
        <w:rPr>
          <w:rFonts w:ascii="Barlow Semi Condensed" w:cs="Barlow Semi Condensed" w:eastAsia="Barlow Semi Condensed" w:hAnsi="Barlow Semi Condensed"/>
          <w:sz w:val="24"/>
          <w:szCs w:val="24"/>
        </w:rPr>
        <w:t xml:space="preserve"> Verificare se le armi repertate o attribuite coprano tutti i novantuno bossoli senza residuo è operazione aritmetica prima che balistica, e il manuale la ordina al blocco 51 come quesito unico in tre rami. Il suo esito è un numero, non un attore. Chi attende da questa colonna la comparsa di un mandante ha già sbagliato la domanda, e il blocco 174 del manuale lo dice per esteso.</w:t>
      </w:r>
    </w:p>
    <w:p>
      <w:pPr>
        <w:spacing w:after="120" w:line="276"/>
        <w:jc w:val="both"/>
      </w:pPr>
      <w:r>
        <w:rPr>
          <w:rFonts w:ascii="Barlow Semi Condensed" w:cs="Barlow Semi Condensed" w:eastAsia="Barlow Semi Condensed" w:hAnsi="Barlow Semi Condensed"/>
          <w:b/>
          <w:bCs/>
          <w:sz w:val="24"/>
          <w:szCs w:val="24"/>
        </w:rPr>
        <w:t xml:space="preserve">3097 · Il silenzio disciplinato sull'esito (ii).</w:t>
      </w:r>
      <w:r>
        <w:rPr>
          <w:rFonts w:ascii="Barlow Semi Condensed" w:cs="Barlow Semi Condensed" w:eastAsia="Barlow Semi Condensed" w:hAnsi="Barlow Semi Condensed"/>
          <w:sz w:val="24"/>
          <w:szCs w:val="24"/>
        </w:rPr>
        <w:t xml:space="preserve"> Nell'ipotesi che emerga un residuo non attribuibile, la scheda prescrive che si apra un'identificazione giudiziaria e che sia il fascicolo a condurla. Il corpus tace e attende. La disciplina vale anche nella direzione opposta a quella temuta: nemmeno un residuo ignoto autorizzerebbe a scrivere il nome di questa serie accanto a un reperto. Il protocollo di silenzio dei nove cantieri, blocchi 392 e 886, è scritto per questo.</w:t>
      </w:r>
    </w:p>
    <w:p>
      <w:pPr>
        <w:spacing w:after="120" w:line="276"/>
        <w:jc w:val="both"/>
      </w:pPr>
      <w:r>
        <w:rPr>
          <w:rFonts w:ascii="Barlow Semi Condensed" w:cs="Barlow Semi Condensed" w:eastAsia="Barlow Semi Condensed" w:hAnsi="Barlow Semi Condensed"/>
          <w:b/>
          <w:bCs/>
          <w:sz w:val="24"/>
          <w:szCs w:val="24"/>
        </w:rPr>
        <w:t xml:space="preserve">3098 · Le tesi di parte, stessa mano.</w:t>
      </w:r>
      <w:r>
        <w:rPr>
          <w:rFonts w:ascii="Barlow Semi Condensed" w:cs="Barlow Semi Condensed" w:eastAsia="Barlow Semi Condensed" w:hAnsi="Barlow Semi Condensed"/>
          <w:sz w:val="24"/>
          <w:szCs w:val="24"/>
        </w:rPr>
        <w:t xml:space="preserve"> Le contestazioni di un perito di parte su bossoli di calibro diverso rinvenuti sul marciapiede destro sono registrate dalla scheda come tesi non riscontrate, con segnalazione persino del titolo di parte della fonte. La stessa mano va usata sulle affermazioni terziarie che circondano il presunto avvertimento del 1974: registrate come circolazione, non come riscontro. Una disciplina che si applica a senso unico non è una disciplina.</w:t>
      </w:r>
    </w:p>
    <w:p>
      <w:pPr>
        <w:spacing w:after="120" w:line="276"/>
        <w:jc w:val="both"/>
      </w:pPr>
      <w:r>
        <w:rPr>
          <w:rFonts w:ascii="Barlow Semi Condensed" w:cs="Barlow Semi Condensed" w:eastAsia="Barlow Semi Condensed" w:hAnsi="Barlow Semi Condensed"/>
          <w:b/>
          <w:bCs/>
          <w:sz w:val="24"/>
          <w:szCs w:val="24"/>
        </w:rPr>
        <w:t xml:space="preserve">3099 · La replicabilità non ha nazione.</w:t>
      </w:r>
      <w:r>
        <w:rPr>
          <w:rFonts w:ascii="Barlow Semi Condensed" w:cs="Barlow Semi Condensed" w:eastAsia="Barlow Semi Condensed" w:hAnsi="Barlow Semi Condensed"/>
          <w:sz w:val="24"/>
          <w:szCs w:val="24"/>
        </w:rPr>
        <w:t xml:space="preserve"> Microscopia tridimensionale e archiviazione digitale delle impronte servono a un fine solo: rendere l'esame ripetibile da terzi senza toccare il reperto. È l'unico modo per cui un accertamento su via Fani possa essere verificato ovunque, anche fuori d'Italia, senza che questo introduca alcun attore nel fatto. Verificare all'estero e essere all'estero nel 1978 sono due enunciati che appartengono a mondi diversi.</w:t>
      </w:r>
    </w:p>
    <w:p>
      <w:pPr>
        <w:spacing w:after="120" w:line="276"/>
        <w:jc w:val="both"/>
      </w:pPr>
      <w:r>
        <w:rPr>
          <w:rFonts w:ascii="Barlow Semi Condensed" w:cs="Barlow Semi Condensed" w:eastAsia="Barlow Semi Condensed" w:hAnsi="Barlow Semi Condensed"/>
          <w:b/>
          <w:bCs/>
          <w:sz w:val="24"/>
          <w:szCs w:val="24"/>
        </w:rPr>
        <w:t xml:space="preserve">3100 · La perizia di sintesi come atto singolo.</w:t>
      </w:r>
      <w:r>
        <w:rPr>
          <w:rFonts w:ascii="Barlow Semi Condensed" w:cs="Barlow Semi Condensed" w:eastAsia="Barlow Semi Condensed" w:hAnsi="Barlow Semi Condensed"/>
          <w:sz w:val="24"/>
          <w:szCs w:val="24"/>
        </w:rPr>
        <w:t xml:space="preserve"> Non una nuova perizia generica, dice la scheda, ma una perizia di sintesi e dirimente, con quesito esplicito sulla divergenza fra il 1978, gli anni Novanta e il 2015. È un atto singolo, datato, eseguibile. Nessuna delle triangolazioni internazionali che il corpus ha censito possiede un atto altrettanto definito: è la ragione per cui questa pista sta a 89,0 e le suggestioni non stanno in graduatoria.</w:t>
      </w:r>
    </w:p>
    <w:p>
      <w:pPr>
        <w:spacing w:after="120" w:line="276"/>
        <w:jc w:val="both"/>
      </w:pPr>
      <w:r>
        <w:rPr>
          <w:rFonts w:ascii="Barlow Semi Condensed" w:cs="Barlow Semi Condensed" w:eastAsia="Barlow Semi Condensed" w:hAnsi="Barlow Semi Condensed"/>
          <w:b/>
          <w:bCs/>
          <w:sz w:val="24"/>
          <w:szCs w:val="24"/>
        </w:rPr>
        <w:t xml:space="preserve">3101 · Il documento che manca, nominato.</w:t>
      </w:r>
      <w:r>
        <w:rPr>
          <w:rFonts w:ascii="Barlow Semi Condensed" w:cs="Barlow Semi Condensed" w:eastAsia="Barlow Semi Condensed" w:hAnsi="Barlow Semi Condensed"/>
          <w:sz w:val="24"/>
          <w:szCs w:val="24"/>
        </w:rPr>
        <w:t xml:space="preserve"> Il piano 1 si aprirebbe su PN-1 solo davanti a una carta di questo tipo: una richiesta di collaborazione tecnica, un carteggio di trasmissione reperti, un verbale che registri la presenza di un osservatore straniero a un esame. Nessuna delle quattro schede la menziona. Le sedi dove cercarla vanno dette: l'Archivio Centrale dello Stato, collezione «Stragi (Direttiva Renzi)», e gli atti dei cinque processi digitalizzati.</w:t>
      </w:r>
    </w:p>
    <w:p>
      <w:pPr>
        <w:spacing w:after="120" w:line="276"/>
        <w:jc w:val="both"/>
      </w:pPr>
      <w:r>
        <w:rPr>
          <w:rFonts w:ascii="Barlow Semi Condensed" w:cs="Barlow Semi Condensed" w:eastAsia="Barlow Semi Condensed" w:hAnsi="Barlow Semi Condensed"/>
          <w:b/>
          <w:bCs/>
          <w:sz w:val="24"/>
          <w:szCs w:val="24"/>
        </w:rPr>
        <w:t xml:space="preserve">3102 · Tre anni e mezzo, nessun arco.</w:t>
      </w:r>
      <w:r>
        <w:rPr>
          <w:rFonts w:ascii="Barlow Semi Condensed" w:cs="Barlow Semi Condensed" w:eastAsia="Barlow Semi Condensed" w:hAnsi="Barlow Semi Condensed"/>
          <w:sz w:val="24"/>
          <w:szCs w:val="24"/>
        </w:rPr>
        <w:t xml:space="preserve"> Fra il colloquio dello Studio Ovale del 25 settembre 1974 e la mattina del 16 marzo 1978 corrono tre anni e mezzo. La contemporaneità non è prova di nesso, e la quasi-contemporaneità lo è ancora meno. Il blocco 887 dell'opera lo ha già fissato: anche se l'avvertimento risultasse accertato in ogni parola, fra una frase del 1974 e l'agguato non esisterebbe alcun ponte documentato.</w:t>
      </w:r>
    </w:p>
    <w:p>
      <w:pPr>
        <w:spacing w:after="120" w:line="276"/>
        <w:jc w:val="both"/>
      </w:pPr>
      <w:r>
        <w:rPr>
          <w:rFonts w:ascii="Barlow Semi Condensed" w:cs="Barlow Semi Condensed" w:eastAsia="Barlow Semi Condensed" w:hAnsi="Barlow Semi Condensed"/>
          <w:b/>
          <w:bCs/>
          <w:sz w:val="24"/>
          <w:szCs w:val="24"/>
        </w:rPr>
        <w:t xml:space="preserve">3103 · Gli errori della scheda, tradotti.</w:t>
      </w:r>
      <w:r>
        <w:rPr>
          <w:rFonts w:ascii="Barlow Semi Condensed" w:cs="Barlow Semi Condensed" w:eastAsia="Barlow Semi Condensed" w:hAnsi="Barlow Semi Condensed"/>
          <w:sz w:val="24"/>
          <w:szCs w:val="24"/>
        </w:rPr>
        <w:t xml:space="preserve"> PN-1 elenca due errori da non ripetere: fondare la pista su testimoni, e confondere la divergenza peritale con la prova del terzo uomo. Tradotti su questo nome danno due divieti speculari: non fondare alcunché sulla testimonianza de relato resa alla Corte d'assise di Roma nel novembre 1982, e non leggere una discordanza di laboratorio come lo spazio dove collocare un'ipotesi che nessun reperto sostiene.</w:t>
      </w:r>
    </w:p>
    <w:p>
      <w:pPr>
        <w:spacing w:after="120" w:line="276"/>
        <w:jc w:val="both"/>
      </w:pPr>
      <w:r>
        <w:rPr>
          <w:rFonts w:ascii="Barlow Semi Condensed" w:cs="Barlow Semi Condensed" w:eastAsia="Barlow Semi Condensed" w:hAnsi="Barlow Semi Condensed"/>
          <w:b/>
          <w:bCs/>
          <w:sz w:val="24"/>
          <w:szCs w:val="24"/>
        </w:rPr>
        <w:t xml:space="preserve">3104 · Il criterio di chiusura, e il nome.</w:t>
      </w:r>
      <w:r>
        <w:rPr>
          <w:rFonts w:ascii="Barlow Semi Condensed" w:cs="Barlow Semi Condensed" w:eastAsia="Barlow Semi Condensed" w:hAnsi="Barlow Semi Condensed"/>
          <w:sz w:val="24"/>
          <w:szCs w:val="24"/>
        </w:rPr>
        <w:t xml:space="preserve"> Il criterio di chiusura aggiornato della scheda ha due rami, e nessuno dei due contiene un nome estero. Nel primo l'ipotesi delle presenze operative estranee perde il fondamento fisico; nel secondo si apre un'identificazione giudiziaria che appartiene al fascicolo. Un criterio di chiusura che non preveda mai la comparsa di un dato attore è, di per sé, un accertamento su quell'attore: qui vale come tale.</w:t>
      </w:r>
    </w:p>
    <w:p>
      <w:pPr>
        <w:spacing w:after="120" w:line="276"/>
        <w:jc w:val="both"/>
      </w:pPr>
      <w:r>
        <w:rPr>
          <w:rFonts w:ascii="Barlow Semi Condensed" w:cs="Barlow Semi Condensed" w:eastAsia="Barlow Semi Condensed" w:hAnsi="Barlow Semi Condensed"/>
          <w:b/>
          <w:bCs/>
          <w:sz w:val="24"/>
          <w:szCs w:val="24"/>
        </w:rPr>
        <w:t xml:space="preserve">3105 · PN-7 e la lezione della ri-escussione.</w:t>
      </w:r>
      <w:r>
        <w:rPr>
          <w:rFonts w:ascii="Barlow Semi Condensed" w:cs="Barlow Semi Condensed" w:eastAsia="Barlow Semi Condensed" w:hAnsi="Barlow Semi Condensed"/>
          <w:sz w:val="24"/>
          <w:szCs w:val="24"/>
        </w:rPr>
        <w:t xml:space="preserve"> I testimoni viventi sono la pista che si regge su un rovesciamento: il suo caso peggiore ne è la prova migliore. Fu proprio il ri-ascolto tardivo dell'ingegner Marini, incrociato con le fotografie del mattino, a correggere il quadro. La ri-escussione non serve a confermare i ricordi, serve a correggerli contro i documenti. La regola vale per ogni testimonianza del corpus, comprese quelle che riguardano il settembre 1974.</w:t>
      </w:r>
    </w:p>
    <w:p>
      <w:pPr>
        <w:spacing w:after="120" w:line="276"/>
        <w:jc w:val="both"/>
      </w:pPr>
      <w:r>
        <w:rPr>
          <w:rFonts w:ascii="Barlow Semi Condensed" w:cs="Barlow Semi Condensed" w:eastAsia="Barlow Semi Condensed" w:hAnsi="Barlow Semi Condensed"/>
          <w:b/>
          <w:bCs/>
          <w:sz w:val="24"/>
          <w:szCs w:val="24"/>
        </w:rPr>
        <w:t xml:space="preserve">3106 · Due testimonianze, due statuti.</w:t>
      </w:r>
      <w:r>
        <w:rPr>
          <w:rFonts w:ascii="Barlow Semi Condensed" w:cs="Barlow Semi Condensed" w:eastAsia="Barlow Semi Condensed" w:hAnsi="Barlow Semi Condensed"/>
          <w:sz w:val="24"/>
          <w:szCs w:val="24"/>
        </w:rPr>
        <w:t xml:space="preserve"> Vanno tenute distinte. Marini è teste diretto di un fatto materiale, e ha ritrattato la circostanza fisica su cui la sua deposizione poggiava. Il portavoce che nel novembre 1982 riferì l'avvertimento alla Corte d'assise di Roma non assistette al colloquio: depose de relato, avendo appreso da Moro e dall'entourage. Il primo caso si corregge con una fotografia; al secondo non c'è alcuna fotografia da opporre.</w:t>
      </w:r>
    </w:p>
    <w:p>
      <w:pPr>
        <w:spacing w:after="120" w:line="276"/>
        <w:jc w:val="both"/>
      </w:pPr>
      <w:r>
        <w:rPr>
          <w:rFonts w:ascii="Barlow Semi Condensed" w:cs="Barlow Semi Condensed" w:eastAsia="Barlow Semi Condensed" w:hAnsi="Barlow Semi Condensed"/>
          <w:b/>
          <w:bCs/>
          <w:sz w:val="24"/>
          <w:szCs w:val="24"/>
        </w:rPr>
        <w:t xml:space="preserve">3107 · Che cosa sarebbe qui il parabrezza.</w:t>
      </w:r>
      <w:r>
        <w:rPr>
          <w:rFonts w:ascii="Barlow Semi Condensed" w:cs="Barlow Semi Condensed" w:eastAsia="Barlow Semi Condensed" w:hAnsi="Barlow Semi Condensed"/>
          <w:sz w:val="24"/>
          <w:szCs w:val="24"/>
        </w:rPr>
        <w:t xml:space="preserve"> Nel caso Marini la corroborazione fisica esisteva ed è caduta: il parabrezza era rotto da giorni e riattaccato con nastro da imballaggio, visibile nelle fotografie scattate in via Fani la mattina stessa dell'agguato. L'equivalente per l'episodio del 1974 sarebbe il verbale dello Studio Ovale, che però non contiene alcun ultimatum personale ad Aldo Moro. La differenza è netta: là la corroborazione è caduta, qui non è mai esistita.</w:t>
      </w:r>
    </w:p>
    <w:p>
      <w:pPr>
        <w:spacing w:after="120" w:line="276"/>
        <w:jc w:val="both"/>
      </w:pPr>
      <w:r>
        <w:rPr>
          <w:rFonts w:ascii="Barlow Semi Condensed" w:cs="Barlow Semi Condensed" w:eastAsia="Barlow Semi Condensed" w:hAnsi="Barlow Semi Condensed"/>
          <w:b/>
          <w:bCs/>
          <w:sz w:val="24"/>
          <w:szCs w:val="24"/>
        </w:rPr>
        <w:t xml:space="preserve">3108 · Un episodio senza reperti.</w:t>
      </w:r>
      <w:r>
        <w:rPr>
          <w:rFonts w:ascii="Barlow Semi Condensed" w:cs="Barlow Semi Condensed" w:eastAsia="Barlow Semi Condensed" w:hAnsi="Barlow Semi Condensed"/>
          <w:sz w:val="24"/>
          <w:szCs w:val="24"/>
        </w:rPr>
        <w:t xml:space="preserve"> La regola operativa che l'approfondimento consegna — a decidere sono i reperti — ha una conseguenza scomoda applicata al presunto avvertimento: quell'episodio non ha reperti di alcun genere. Non c'è un oggetto, una traccia, una registrazione. Resta materia esclusivamente testimoniale, e per giunta indiretta. Non è un giudizio sul teste: è la constatazione che la regola non ha, in quel punto, nulla su cui operare.</w:t>
      </w:r>
    </w:p>
    <w:p>
      <w:pPr>
        <w:spacing w:after="120" w:line="276"/>
        <w:jc w:val="both"/>
      </w:pPr>
      <w:r>
        <w:rPr>
          <w:rFonts w:ascii="Barlow Semi Condensed" w:cs="Barlow Semi Condensed" w:eastAsia="Barlow Semi Condensed" w:hAnsi="Barlow Semi Condensed"/>
          <w:b/>
          <w:bCs/>
          <w:sz w:val="24"/>
          <w:szCs w:val="24"/>
        </w:rPr>
        <w:t xml:space="preserve">3109 · Il nome ottenuto in aula (serie XLI).</w:t>
      </w:r>
      <w:r>
        <w:rPr>
          <w:rFonts w:ascii="Barlow Semi Condensed" w:cs="Barlow Semi Condensed" w:eastAsia="Barlow Semi Condensed" w:hAnsi="Barlow Semi Condensed"/>
          <w:sz w:val="24"/>
          <w:szCs w:val="24"/>
        </w:rPr>
        <w:t xml:space="preserve"> L'accertamento già fissato dall'opera va ripetuto accanto alla scheda PN-7, perché è un problema di tecnica dell'escussione: in aula la vedova parlò di un'alta personalità senza fare il nome, e fu il presidente della corte, richiamando il portavoce, a ottenere l'indicazione. Un nome sollecitato dall'organo procedente ha statuto diverso da un nome offerto spontaneamente. I protocolli di memoria assistita esistono per registrare questa differenza.</w:t>
      </w:r>
    </w:p>
    <w:p>
      <w:pPr>
        <w:spacing w:after="120" w:line="276"/>
        <w:jc w:val="both"/>
      </w:pPr>
      <w:r>
        <w:rPr>
          <w:rFonts w:ascii="Barlow Semi Condensed" w:cs="Barlow Semi Condensed" w:eastAsia="Barlow Semi Condensed" w:hAnsi="Barlow Semi Condensed"/>
          <w:b/>
          <w:bCs/>
          <w:sz w:val="24"/>
          <w:szCs w:val="24"/>
        </w:rPr>
        <w:t xml:space="preserve">3110 · La data che oscilla.</w:t>
      </w:r>
      <w:r>
        <w:rPr>
          <w:rFonts w:ascii="Barlow Semi Condensed" w:cs="Barlow Semi Condensed" w:eastAsia="Barlow Semi Condensed" w:hAnsi="Barlow Semi Condensed"/>
          <w:sz w:val="24"/>
          <w:szCs w:val="24"/>
        </w:rPr>
        <w:t xml:space="preserve"> La collocazione dell'episodio diverge fra il 25 settembre 1974, il 1976 e un alterco del 1977 all'ambasciata d'Italia a Washington, e divergono anche i luoghi. Il manuale investigativo, al blocco 145, chiede di distinguere ciò che il testimone ricorda dei fatti da ciò che ricorda delle proprie deposizioni. Un'oscillazione triennale su un evento datato è precisamente il sintomo che quel protocollo serve a intercettare.</w:t>
      </w:r>
    </w:p>
    <w:p>
      <w:pPr>
        <w:spacing w:after="120" w:line="276"/>
        <w:jc w:val="both"/>
      </w:pPr>
      <w:r>
        <w:rPr>
          <w:rFonts w:ascii="Barlow Semi Condensed" w:cs="Barlow Semi Condensed" w:eastAsia="Barlow Semi Condensed" w:hAnsi="Barlow Semi Condensed"/>
          <w:b/>
          <w:bCs/>
          <w:sz w:val="24"/>
          <w:szCs w:val="24"/>
        </w:rPr>
        <w:t xml:space="preserve">3111 · Il censimento dei viventi, e un vuoto.</w:t>
      </w:r>
      <w:r>
        <w:rPr>
          <w:rFonts w:ascii="Barlow Semi Condensed" w:cs="Barlow Semi Condensed" w:eastAsia="Barlow Semi Condensed" w:hAnsi="Barlow Semi Condensed"/>
          <w:sz w:val="24"/>
          <w:szCs w:val="24"/>
        </w:rPr>
        <w:t xml:space="preserve"> Il censimento dei testimoni oculari e di contesto viventi, che il manuale ordina al blocco 141 e la tavola delle urgenze al blocco 169, riguarda i luoghi del caso: residenti, passanti, esercenti, personale intervenuto. Non contiene alcun nome della cornice del settembre 1974. Stato Zero dichiarato: se qualcuno volesse estenderlo a quella cornice, il primo atto è anagrafico, e il corpus non l'ha compiuto.</w:t>
      </w:r>
    </w:p>
    <w:p>
      <w:pPr>
        <w:spacing w:after="120" w:line="276"/>
        <w:jc w:val="both"/>
      </w:pPr>
      <w:r>
        <w:rPr>
          <w:rFonts w:ascii="Barlow Semi Condensed" w:cs="Barlow Semi Condensed" w:eastAsia="Barlow Semi Condensed" w:hAnsi="Barlow Semi Condensed"/>
          <w:b/>
          <w:bCs/>
          <w:sz w:val="24"/>
          <w:szCs w:val="24"/>
        </w:rPr>
        <w:t xml:space="preserve">3112 · L'interprete come testimone di procedura.</w:t>
      </w:r>
      <w:r>
        <w:rPr>
          <w:rFonts w:ascii="Barlow Semi Condensed" w:cs="Barlow Semi Condensed" w:eastAsia="Barlow Semi Condensed" w:hAnsi="Barlow Semi Condensed"/>
          <w:sz w:val="24"/>
          <w:szCs w:val="24"/>
        </w:rPr>
        <w:t xml:space="preserve"> Il manuale, al blocco 152, tratta come testimoni di procedura gli operatori delle catene documentali. La categoria si applica a chi assicurò l'interpretariato nei colloqui italo-statunitensi del settembre 1974: non testimone del contenuto politico, ma della meccanica dello scambio. Nessun documento del corpus identifica quella persona per nome, né la colloca. È lacuna nominabile, e la chiuderebbe la Gerald R. Ford Presidential Library coi suoi verbali.</w:t>
      </w:r>
    </w:p>
    <w:p>
      <w:pPr>
        <w:spacing w:after="120" w:line="276"/>
        <w:jc w:val="both"/>
      </w:pPr>
      <w:r>
        <w:rPr>
          <w:rFonts w:ascii="Barlow Semi Condensed" w:cs="Barlow Semi Condensed" w:eastAsia="Barlow Semi Condensed" w:hAnsi="Barlow Semi Condensed"/>
          <w:b/>
          <w:bCs/>
          <w:sz w:val="24"/>
          <w:szCs w:val="24"/>
        </w:rPr>
        <w:t xml:space="preserve">3113 · Il dato di plausibilità e il limite.</w:t>
      </w:r>
      <w:r>
        <w:rPr>
          <w:rFonts w:ascii="Barlow Semi Condensed" w:cs="Barlow Semi Condensed" w:eastAsia="Barlow Semi Condensed" w:hAnsi="Barlow Semi Condensed"/>
          <w:sz w:val="24"/>
          <w:szCs w:val="24"/>
        </w:rPr>
        <w:t xml:space="preserve"> Uno dei testimoni italiani qualificati che negarono la minaccia motivò la smentita con un rilievo materiale: Moro non parlava inglese, e il fatto fu verificato allora con l'interprete. È un dato che tocca la plausibilità di uno scambio verbale diretto, non la verità dell'episodio, che potrebbe essere avvenuto per tramite. La distinzione fra impossibilità e improbabilità va tenuta ferma anche quando conviene alla parte che si preferisce.</w:t>
      </w:r>
    </w:p>
    <w:p>
      <w:pPr>
        <w:spacing w:after="120" w:line="276"/>
        <w:jc w:val="both"/>
      </w:pPr>
      <w:r>
        <w:rPr>
          <w:rFonts w:ascii="Barlow Semi Condensed" w:cs="Barlow Semi Condensed" w:eastAsia="Barlow Semi Condensed" w:hAnsi="Barlow Semi Condensed"/>
          <w:b/>
          <w:bCs/>
          <w:sz w:val="24"/>
          <w:szCs w:val="24"/>
        </w:rPr>
        <w:t xml:space="preserve">3114 · Le smentite italiane, riportate tutte.</w:t>
      </w:r>
      <w:r>
        <w:rPr>
          <w:rFonts w:ascii="Barlow Semi Condensed" w:cs="Barlow Semi Condensed" w:eastAsia="Barlow Semi Condensed" w:hAnsi="Barlow Semi Condensed"/>
          <w:sz w:val="24"/>
          <w:szCs w:val="24"/>
        </w:rPr>
        <w:t xml:space="preserve"> Le negazioni italiane vanno riportate per intero, col loro limite: uno dei due testimoni qualificati definì la minaccia una leggenda senza fondamento, distinguendo altrove il rimprovero aspro dalla minaccia; l'altro parlò di un solo problema di linguaggio. Nessuno dei due era presente al colloquio riservato. Si registrano così come sono, perché la scheda PN-7 vieta tanto il testimone-oracolo quanto la liquidazione sommaria.</w:t>
      </w:r>
    </w:p>
    <w:p>
      <w:pPr>
        <w:spacing w:after="120" w:line="276"/>
        <w:jc w:val="both"/>
      </w:pPr>
      <w:r>
        <w:rPr>
          <w:rFonts w:ascii="Barlow Semi Condensed" w:cs="Barlow Semi Condensed" w:eastAsia="Barlow Semi Condensed" w:hAnsi="Barlow Semi Condensed"/>
          <w:b/>
          <w:bCs/>
          <w:sz w:val="24"/>
          <w:szCs w:val="24"/>
        </w:rPr>
        <w:t xml:space="preserve">3115 · La smentita dell'interessato, pesata.</w:t>
      </w:r>
      <w:r>
        <w:rPr>
          <w:rFonts w:ascii="Barlow Semi Condensed" w:cs="Barlow Semi Condensed" w:eastAsia="Barlow Semi Condensed" w:hAnsi="Barlow Semi Condensed"/>
          <w:sz w:val="24"/>
          <w:szCs w:val="24"/>
        </w:rPr>
        <w:t xml:space="preserve"> Interrogato da un giornalista poco prima della morte, Kissinger rispose di non aver mai detto una cosa simile. È testimonianza giornalistica di un solo interlocutore, non un comunicato formale; e nel 1983 un'agenzia statunitense scriveva che egli ammetteva la contrarietà all'ingresso dei comunisti al governo ma aveva smentito più volte di aver rimproverato Moro. Le due smentite hanno grado diverso e vanno tenute distinte.</w:t>
      </w:r>
    </w:p>
    <w:p>
      <w:pPr>
        <w:spacing w:after="120" w:line="276"/>
        <w:jc w:val="both"/>
      </w:pPr>
      <w:r>
        <w:rPr>
          <w:rFonts w:ascii="Barlow Semi Condensed" w:cs="Barlow Semi Condensed" w:eastAsia="Barlow Semi Condensed" w:hAnsi="Barlow Semi Condensed"/>
          <w:b/>
          <w:bCs/>
          <w:sz w:val="24"/>
          <w:szCs w:val="24"/>
        </w:rPr>
        <w:t xml:space="preserve">3116 · L'orologio biologico, già scaduto.</w:t>
      </w:r>
      <w:r>
        <w:rPr>
          <w:rFonts w:ascii="Barlow Semi Condensed" w:cs="Barlow Semi Condensed" w:eastAsia="Barlow Semi Condensed" w:hAnsi="Barlow Semi Condensed"/>
          <w:sz w:val="24"/>
          <w:szCs w:val="24"/>
        </w:rPr>
        <w:t xml:space="preserve"> PN-7 prende dieci su dieci in urgenza perché è l'unica pista che il tempo chiude da solo. Sull'episodio del 1974 quell'orologio è scaduto: i cinque presenti al colloquio dello Studio Ovale sono tutti deceduti, l'ultimo il 29 novembre 2023. La raccolta conservativa che la scheda invoca per i residenti di via Fani, su quel colloquio, non è più eseguibile in alcuna forma.</w:t>
      </w:r>
    </w:p>
    <w:p>
      <w:pPr>
        <w:spacing w:after="120" w:line="276"/>
        <w:jc w:val="both"/>
      </w:pPr>
      <w:r>
        <w:rPr>
          <w:rFonts w:ascii="Barlow Semi Condensed" w:cs="Barlow Semi Condensed" w:eastAsia="Barlow Semi Condensed" w:hAnsi="Barlow Semi Condensed"/>
          <w:b/>
          <w:bCs/>
          <w:sz w:val="24"/>
          <w:szCs w:val="24"/>
        </w:rPr>
        <w:t xml:space="preserve">3117 · La raccolta conservativa mai fatta.</w:t>
      </w:r>
      <w:r>
        <w:rPr>
          <w:rFonts w:ascii="Barlow Semi Condensed" w:cs="Barlow Semi Condensed" w:eastAsia="Barlow Semi Condensed" w:hAnsi="Barlow Semi Condensed"/>
          <w:sz w:val="24"/>
          <w:szCs w:val="24"/>
        </w:rPr>
        <w:t xml:space="preserve"> Nessuna autorità italiana raccolse in forma conservativa, quando era possibile, le deposizioni di chi accompagnò la visita di Stato del settembre 1974 — delegazione, apparato diplomatico, personale di servizio. Non è una congettura: è un'assenza di atti. Lo Stato Zero si chiude, se si chiude, nell'Archivio storico diplomatico del Ministero degli Affari Esteri, dove le carte della visita esistono anche quando i testimoni non esistono più.</w:t>
      </w:r>
    </w:p>
    <w:p>
      <w:pPr>
        <w:spacing w:after="120" w:line="276"/>
        <w:jc w:val="both"/>
      </w:pPr>
      <w:r>
        <w:rPr>
          <w:rFonts w:ascii="Barlow Semi Condensed" w:cs="Barlow Semi Condensed" w:eastAsia="Barlow Semi Condensed" w:hAnsi="Barlow Semi Condensed"/>
          <w:b/>
          <w:bCs/>
          <w:sz w:val="24"/>
          <w:szCs w:val="24"/>
        </w:rPr>
        <w:t xml:space="preserve">3118 · Le telefonate minatorie, da pesare.</w:t>
      </w:r>
      <w:r>
        <w:rPr>
          <w:rFonts w:ascii="Barlow Semi Condensed" w:cs="Barlow Semi Condensed" w:eastAsia="Barlow Semi Condensed" w:hAnsi="Barlow Semi Condensed"/>
          <w:sz w:val="24"/>
          <w:szCs w:val="24"/>
        </w:rPr>
        <w:t xml:space="preserve"> La Nota di revisione n. 1 conserva un elemento anche dopo la ritrattazione: le telefonate minatorie che Marini riferì di aver ricevuto la sera stessa, «devi tacere». La scheda dice che è elemento da pesare e non da assumere. La stessa formula vale per il riferimento della vedova, davanti alla Commissione il 1° agosto 1980, a minacce risalenti al 1975 e crescenti: si registra, non vi si costruisce sopra.</w:t>
      </w:r>
    </w:p>
    <w:p>
      <w:pPr>
        <w:spacing w:after="120" w:line="276"/>
        <w:jc w:val="both"/>
      </w:pPr>
      <w:r>
        <w:rPr>
          <w:rFonts w:ascii="Barlow Semi Condensed" w:cs="Barlow Semi Condensed" w:eastAsia="Barlow Semi Condensed" w:hAnsi="Barlow Semi Condensed"/>
          <w:b/>
          <w:bCs/>
          <w:sz w:val="24"/>
          <w:szCs w:val="24"/>
        </w:rPr>
        <w:t xml:space="preserve">3119 · Il ricordo del ricordo, dal 1982.</w:t>
      </w:r>
      <w:r>
        <w:rPr>
          <w:rFonts w:ascii="Barlow Semi Condensed" w:cs="Barlow Semi Condensed" w:eastAsia="Barlow Semi Condensed" w:hAnsi="Barlow Semi Condensed"/>
          <w:sz w:val="24"/>
          <w:szCs w:val="24"/>
        </w:rPr>
        <w:t xml:space="preserve"> Un episodio raccontato pubblicamente da oltre quarant'anni accumula strati: ciò che accadde, ciò che fu deposto, ciò che si è poi letto sul proprio deposto. Il blocco 145 del manuale chiama questo strato il ricordo del ricordo e prescrive di scavarlo, non di confonderlo col fatto. Per il presunto avvertimento lo strato è più spesso del fatto, e nessuna escussione futura potrà più separarli.</w:t>
      </w:r>
    </w:p>
    <w:p>
      <w:pPr>
        <w:spacing w:after="120" w:line="276"/>
        <w:jc w:val="both"/>
      </w:pPr>
      <w:r>
        <w:rPr>
          <w:rFonts w:ascii="Barlow Semi Condensed" w:cs="Barlow Semi Condensed" w:eastAsia="Barlow Semi Condensed" w:hAnsi="Barlow Semi Condensed"/>
          <w:b/>
          <w:bCs/>
          <w:sz w:val="24"/>
          <w:szCs w:val="24"/>
        </w:rPr>
        <w:t xml:space="preserve">3120 · De Chiara, e il giacimento inesplorato.</w:t>
      </w:r>
      <w:r>
        <w:rPr>
          <w:rFonts w:ascii="Barlow Semi Condensed" w:cs="Barlow Semi Condensed" w:eastAsia="Barlow Semi Condensed" w:hAnsi="Barlow Semi Condensed"/>
          <w:sz w:val="24"/>
          <w:szCs w:val="24"/>
        </w:rPr>
        <w:t xml:space="preserve"> Giovanni De Chiara, residente in via Fani, fu udito per la prima volta dopo quasi quarant'anni dalla Commissione Moro 2: il giacimento testimoniale non era esaurito, era inesplorato. La domanda simmetrica su questa serie è legittima e la risposta è negativa: sul settembre 1974 non risulta al corpus alcun testimone mai escusso e ancora escutibile. Chi ne indicasse uno produrrebbe l'unica novità possibile su quel punto.</w:t>
      </w:r>
    </w:p>
    <w:p>
      <w:pPr>
        <w:spacing w:after="120" w:line="276"/>
        <w:jc w:val="both"/>
      </w:pPr>
      <w:r>
        <w:rPr>
          <w:rFonts w:ascii="Barlow Semi Condensed" w:cs="Barlow Semi Condensed" w:eastAsia="Barlow Semi Condensed" w:hAnsi="Barlow Semi Condensed"/>
          <w:b/>
          <w:bCs/>
          <w:sz w:val="24"/>
          <w:szCs w:val="24"/>
        </w:rPr>
        <w:t xml:space="preserve">3121 · Bersaglio di smentita per PN-7.</w:t>
      </w:r>
      <w:r>
        <w:rPr>
          <w:rFonts w:ascii="Barlow Semi Condensed" w:cs="Barlow Semi Condensed" w:eastAsia="Barlow Semi Condensed" w:hAnsi="Barlow Semi Condensed"/>
          <w:sz w:val="24"/>
          <w:szCs w:val="24"/>
        </w:rPr>
        <w:t xml:space="preserve"> Smentirebbe la qualificazione dell'avvertimento come testimonianza contestata un solo genere di oggetto: un documento coevo — appunto di delegazione, telegramma di servizio, nota diaristica datata 1974 — che registri la frase prima e indipendentemente dalla deposizione del 1982. Non un secondo testimone de relato, che replicherebbe la stessa fonte. Le sedi sono l'Archivio storico diplomatico della Farnesina e la Ford Library.</w:t>
      </w:r>
    </w:p>
    <w:p>
      <w:pPr>
        <w:spacing w:after="120" w:line="276"/>
        <w:jc w:val="both"/>
      </w:pPr>
      <w:r>
        <w:rPr>
          <w:rFonts w:ascii="Barlow Semi Condensed" w:cs="Barlow Semi Condensed" w:eastAsia="Barlow Semi Condensed" w:hAnsi="Barlow Semi Condensed"/>
          <w:b/>
          <w:bCs/>
          <w:sz w:val="24"/>
          <w:szCs w:val="24"/>
        </w:rPr>
        <w:t xml:space="preserve">3122 · Ciò che l'escussione non produce più.</w:t>
      </w:r>
      <w:r>
        <w:rPr>
          <w:rFonts w:ascii="Barlow Semi Condensed" w:cs="Barlow Semi Condensed" w:eastAsia="Barlow Semi Condensed" w:hAnsi="Barlow Semi Condensed"/>
          <w:sz w:val="24"/>
          <w:szCs w:val="24"/>
        </w:rPr>
        <w:t xml:space="preserve"> La pista dei testimoni non chiude: si esaurisce col censimento completato e le escussioni depositate. Applicata a questa serie, la formula dà un esito duro da scrivere ma preciso: il ramo che riguarda il 1974 è esaurito senza essere stato percorso. Non c'è più nessuno da escutere e non ci fu mai un reperto da opporre. Resta la via documentale, che però non appartiene a PN-7.</w:t>
      </w:r>
    </w:p>
    <w:p>
      <w:pPr>
        <w:spacing w:after="120" w:line="276"/>
        <w:jc w:val="both"/>
      </w:pPr>
      <w:r>
        <w:rPr>
          <w:rFonts w:ascii="Barlow Semi Condensed" w:cs="Barlow Semi Condensed" w:eastAsia="Barlow Semi Condensed" w:hAnsi="Barlow Semi Condensed"/>
          <w:b/>
          <w:bCs/>
          <w:sz w:val="24"/>
          <w:szCs w:val="24"/>
        </w:rPr>
        <w:t xml:space="preserve">3123 · La strategia di PN-4, riassunta.</w:t>
      </w:r>
      <w:r>
        <w:rPr>
          <w:rFonts w:ascii="Barlow Semi Condensed" w:cs="Barlow Semi Condensed" w:eastAsia="Barlow Semi Condensed" w:hAnsi="Barlow Semi Condensed"/>
          <w:sz w:val="24"/>
          <w:szCs w:val="24"/>
        </w:rPr>
        <w:t xml:space="preserve"> L'errore di quarant'anni, dice la scheda, è aver cercato chi parlò — domanda forse irrisolvibile — invece della catena documentale, che esiste per definizione perché ogni suo anello è un documento d'ufficio. È il contributo di metodo più esportabile dell'intero approfondimento, e il blocco 180 del manuale lo ripete con altre parole: chiusura con la catena ricostruita, oppure con la sua assenza certificata.</w:t>
      </w:r>
    </w:p>
    <w:p>
      <w:pPr>
        <w:spacing w:after="120" w:line="276"/>
        <w:jc w:val="both"/>
      </w:pPr>
      <w:r>
        <w:rPr>
          <w:rFonts w:ascii="Barlow Semi Condensed" w:cs="Barlow Semi Condensed" w:eastAsia="Barlow Semi Condensed" w:hAnsi="Barlow Semi Condensed"/>
          <w:b/>
          <w:bCs/>
          <w:sz w:val="24"/>
          <w:szCs w:val="24"/>
        </w:rPr>
        <w:t xml:space="preserve">3124 · La stessa strategia, sull'altro episodio.</w:t>
      </w:r>
      <w:r>
        <w:rPr>
          <w:rFonts w:ascii="Barlow Semi Condensed" w:cs="Barlow Semi Condensed" w:eastAsia="Barlow Semi Condensed" w:hAnsi="Barlow Semi Condensed"/>
          <w:sz w:val="24"/>
          <w:szCs w:val="24"/>
        </w:rPr>
        <w:t xml:space="preserve"> Trasferita al presunto avvertimento, la strategia cambia la domanda: non chi disse la frase, ma per quali carte l'episodio passò, anello per anello. La catena è in parte nota: la deposizione del novembre 1982, l'audizione parlamentare del 1° agosto 1980, la richiesta d'interrogatorio riferita nel 1983, il lancio d'agenzia del 30 novembre 2023. Quattro anelli, tre dei quali mai letti sugli originali.</w:t>
      </w:r>
    </w:p>
    <w:p>
      <w:pPr>
        <w:spacing w:after="120" w:line="276"/>
        <w:jc w:val="both"/>
      </w:pPr>
      <w:r>
        <w:rPr>
          <w:rFonts w:ascii="Barlow Semi Condensed" w:cs="Barlow Semi Condensed" w:eastAsia="Barlow Semi Condensed" w:hAnsi="Barlow Semi Condensed"/>
          <w:b/>
          <w:bCs/>
          <w:sz w:val="24"/>
          <w:szCs w:val="24"/>
        </w:rPr>
        <w:t xml:space="preserve">3125 · Il primo anello e il suo equivalente.</w:t>
      </w:r>
      <w:r>
        <w:rPr>
          <w:rFonts w:ascii="Barlow Semi Condensed" w:cs="Barlow Semi Condensed" w:eastAsia="Barlow Semi Condensed" w:hAnsi="Barlow Semi Condensed"/>
          <w:sz w:val="24"/>
          <w:szCs w:val="24"/>
        </w:rPr>
        <w:t xml:space="preserve"> Il primo anello che PN-4 cerca è la segnalazione come fu verbalizzata in origine: chi la ricevette, con quali parole, con quale protocollo. L'equivalente per questa serie è il verbale d'udienza della Corte d'assise di Roma del novembre 1982, mai letto in originale — l'apparato K-5 dichiara che la campagna di verifica non vi ha potuto accedere. Sede: l'archivio della Corte d'assise di Roma.</w:t>
      </w:r>
    </w:p>
    <w:p>
      <w:pPr>
        <w:spacing w:after="120" w:line="276"/>
        <w:jc w:val="both"/>
      </w:pPr>
      <w:r>
        <w:rPr>
          <w:rFonts w:ascii="Barlow Semi Condensed" w:cs="Barlow Semi Condensed" w:eastAsia="Barlow Semi Condensed" w:hAnsi="Barlow Semi Condensed"/>
          <w:b/>
          <w:bCs/>
          <w:sz w:val="24"/>
          <w:szCs w:val="24"/>
        </w:rPr>
        <w:t xml:space="preserve">3126 · L'ordine emesso e quello mancante.</w:t>
      </w:r>
      <w:r>
        <w:rPr>
          <w:rFonts w:ascii="Barlow Semi Condensed" w:cs="Barlow Semi Condensed" w:eastAsia="Barlow Semi Condensed" w:hAnsi="Barlow Semi Condensed"/>
          <w:sz w:val="24"/>
          <w:szCs w:val="24"/>
        </w:rPr>
        <w:t xml:space="preserve"> Segue l'ordine di perquisizione del paese di Gradoli con la sua motivazione scritta. Il suo omologo qui è un atto che non risulta emesso: la richiesta con cui nel 1983 i magistrati avrebbero voluto interrogare Kissinger non ebbe seguito, ed egli non fu mai sentito da magistrati italiani. Se una richiesta formale esiste in atti, sta nel fascicolo processuale; se non esiste, l'assenza è essa stessa il dato.</w:t>
      </w:r>
    </w:p>
    <w:p>
      <w:pPr>
        <w:spacing w:after="120" w:line="276"/>
        <w:jc w:val="both"/>
      </w:pPr>
      <w:r>
        <w:rPr>
          <w:rFonts w:ascii="Barlow Semi Condensed" w:cs="Barlow Semi Condensed" w:eastAsia="Barlow Semi Condensed" w:hAnsi="Barlow Semi Condensed"/>
          <w:b/>
          <w:bCs/>
          <w:sz w:val="24"/>
          <w:szCs w:val="24"/>
        </w:rPr>
        <w:t xml:space="preserve">3127 · Il carteggio d'aprile e il suo silenzio.</w:t>
      </w:r>
      <w:r>
        <w:rPr>
          <w:rFonts w:ascii="Barlow Semi Condensed" w:cs="Barlow Semi Condensed" w:eastAsia="Barlow Semi Condensed" w:hAnsi="Barlow Semi Condensed"/>
          <w:sz w:val="24"/>
          <w:szCs w:val="24"/>
        </w:rPr>
        <w:t xml:space="preserve"> Al centro della scheda sta il carteggio Viminale-questure del 4-18 aprile 1978 sul nome «Gradoli». È integralmente italiano: nessun corrispondente estero vi è indicato, né la scheda ne ipotizza uno. Stato Zero registrato. Lo chiuderebbe lo spoglio dei versamenti del Ministero dell'Interno nella collezione «Stragi (Direttiva Renzi)» presso l'Archivio Centrale dello Stato, sala delle raccolte speciali, dove quelle buste sono consultabili.</w:t>
      </w:r>
    </w:p>
    <w:p>
      <w:pPr>
        <w:spacing w:after="120" w:line="276"/>
        <w:jc w:val="both"/>
      </w:pPr>
      <w:r>
        <w:rPr>
          <w:rFonts w:ascii="Barlow Semi Condensed" w:cs="Barlow Semi Condensed" w:eastAsia="Barlow Semi Condensed" w:hAnsi="Barlow Semi Condensed"/>
          <w:b/>
          <w:bCs/>
          <w:sz w:val="24"/>
          <w:szCs w:val="24"/>
        </w:rPr>
        <w:t xml:space="preserve">3128 · L'omonimia stradale e la regola dell'originatore.</w:t>
      </w:r>
      <w:r>
        <w:rPr>
          <w:rFonts w:ascii="Barlow Semi Condensed" w:cs="Barlow Semi Condensed" w:eastAsia="Barlow Semi Condensed" w:hAnsi="Barlow Semi Condensed"/>
          <w:sz w:val="24"/>
          <w:szCs w:val="24"/>
        </w:rPr>
        <w:t xml:space="preserve"> Chiude la catena la ricerca, negli atti versati col fondo Direttiva Renzi, di verifiche sull'omonimia stradale romana anteriori al 18 aprile. Qui va aggiunto un limite che la scheda non doveva scrivere e questa serie sì: per la regola dell'originatore un documento classificato da uno Stato terzo non è desecretabile unilateralmente. Ciò che il fondo italiano non contiene sul versante alleato non prova nulla sul suo contenuto.</w:t>
      </w:r>
    </w:p>
    <w:p>
      <w:pPr>
        <w:spacing w:after="120" w:line="276"/>
        <w:jc w:val="both"/>
      </w:pPr>
      <w:r>
        <w:rPr>
          <w:rFonts w:ascii="Barlow Semi Condensed" w:cs="Barlow Semi Condensed" w:eastAsia="Barlow Semi Condensed" w:hAnsi="Barlow Semi Condensed"/>
          <w:b/>
          <w:bCs/>
          <w:sz w:val="24"/>
          <w:szCs w:val="24"/>
        </w:rPr>
        <w:t xml:space="preserve">3129 · Zappolino, e il perimetro delle persone.</w:t>
      </w:r>
      <w:r>
        <w:rPr>
          <w:rFonts w:ascii="Barlow Semi Condensed" w:cs="Barlow Semi Condensed" w:eastAsia="Barlow Semi Condensed" w:hAnsi="Barlow Semi Condensed"/>
          <w:sz w:val="24"/>
          <w:szCs w:val="24"/>
        </w:rPr>
        <w:t xml:space="preserve"> Il 2 aprile 1978 a Zappolino, nella casa di campagna del professor Alberto Clò, dodici persone fra cui Romano Prodi parteciparono alla seduta da cui uscì il nome. Tutti e dodici, interrogati ripetutamente, confermarono la versione. La scheda fissa la regola: la pista non cerca loro smentite e non insinua nulla a loro carico, cerca documenti. Vale, senza sconti, per ogni persona nominata in questa serie.</w:t>
      </w:r>
    </w:p>
    <w:p>
      <w:pPr>
        <w:spacing w:after="120" w:line="276"/>
        <w:jc w:val="both"/>
      </w:pPr>
      <w:r>
        <w:rPr>
          <w:rFonts w:ascii="Barlow Semi Condensed" w:cs="Barlow Semi Condensed" w:eastAsia="Barlow Semi Condensed" w:hAnsi="Barlow Semi Condensed"/>
          <w:b/>
          <w:bCs/>
          <w:sz w:val="24"/>
          <w:szCs w:val="24"/>
        </w:rPr>
        <w:t xml:space="preserve">3130 · L'omonimia, e i limiti del parallelo.</w:t>
      </w:r>
      <w:r>
        <w:rPr>
          <w:rFonts w:ascii="Barlow Semi Condensed" w:cs="Barlow Semi Condensed" w:eastAsia="Barlow Semi Condensed" w:hAnsi="Barlow Semi Condensed"/>
          <w:sz w:val="24"/>
          <w:szCs w:val="24"/>
        </w:rPr>
        <w:t xml:space="preserve"> Una parola giusta produsse la perquisizione sbagliata: il paese di Gradoli in provincia di Viterbo invece di via Gradoli 96, sulla Cassia, che è la strada per Viterbo. È un errore di riferimento, non di trascrizione. Il parallelo con le varianti onomastiche trattate nella serie prima dell'opera, ai blocchi 5 e 6, va dunque fermato: là si copiava male un nome, qui si sceglieva il referente sbagliato di un nome esatto.</w:t>
      </w:r>
    </w:p>
    <w:p>
      <w:pPr>
        <w:spacing w:after="120" w:line="276"/>
        <w:jc w:val="both"/>
      </w:pPr>
      <w:r>
        <w:rPr>
          <w:rFonts w:ascii="Barlow Semi Condensed" w:cs="Barlow Semi Condensed" w:eastAsia="Barlow Semi Condensed" w:hAnsi="Barlow Semi Condensed"/>
          <w:b/>
          <w:bCs/>
          <w:sz w:val="24"/>
          <w:szCs w:val="24"/>
        </w:rPr>
        <w:t xml:space="preserve">3131 · Date stabili e date mobili.</w:t>
      </w:r>
      <w:r>
        <w:rPr>
          <w:rFonts w:ascii="Barlow Semi Condensed" w:cs="Barlow Semi Condensed" w:eastAsia="Barlow Semi Condensed" w:hAnsi="Barlow Semi Condensed"/>
          <w:sz w:val="24"/>
          <w:szCs w:val="24"/>
        </w:rPr>
        <w:t xml:space="preserve"> La catena di PN-4 ha date che tengono: il 2 aprile la seduta, il 4 aprile la segnalazione riferita negli ambienti democristiani, il 18 aprile la scoperta del covo. La catena dell'avvertimento ha date che oscillano di tre anni e luoghi che si moltiplicano. È un criterio di discriminazione grossolano e utilissimo: la catena documentale produce date stabili, quella testimoniale date che si spostano a ogni ripetizione.</w:t>
      </w:r>
    </w:p>
    <w:p>
      <w:pPr>
        <w:spacing w:after="120" w:line="276"/>
        <w:jc w:val="both"/>
      </w:pPr>
      <w:r>
        <w:rPr>
          <w:rFonts w:ascii="Barlow Semi Condensed" w:cs="Barlow Semi Condensed" w:eastAsia="Barlow Semi Condensed" w:hAnsi="Barlow Semi Condensed"/>
          <w:b/>
          <w:bCs/>
          <w:sz w:val="24"/>
          <w:szCs w:val="24"/>
        </w:rPr>
        <w:t xml:space="preserve">3132 · Ricostruire la catena della replicazione.</w:t>
      </w:r>
      <w:r>
        <w:rPr>
          <w:rFonts w:ascii="Barlow Semi Condensed" w:cs="Barlow Semi Condensed" w:eastAsia="Barlow Semi Condensed" w:hAnsi="Barlow Semi Condensed"/>
          <w:sz w:val="24"/>
          <w:szCs w:val="24"/>
        </w:rPr>
        <w:t xml:space="preserve"> Il metodo di PN-4 si applica anche a valle. La moltiplicazione delle fonti sull'avvertimento è apparente: risale a un unico lancio d'agenzia del 30 novembre 2023, con un rilancio internazionale anteriore, del 1982, da parte di una pubblicazione dichiaratamente cospirazionista, citabile come dato di circolazione. Ricostruire quella catena — chi copiò da chi, con quali varianti — è atto eseguibile oggi, senza archivi chiusi.</w:t>
      </w:r>
    </w:p>
    <w:p>
      <w:pPr>
        <w:spacing w:after="120" w:line="276"/>
        <w:jc w:val="both"/>
      </w:pPr>
      <w:r>
        <w:rPr>
          <w:rFonts w:ascii="Barlow Semi Condensed" w:cs="Barlow Semi Condensed" w:eastAsia="Barlow Semi Condensed" w:hAnsi="Barlow Semi Condensed"/>
          <w:b/>
          <w:bCs/>
          <w:sz w:val="24"/>
          <w:szCs w:val="24"/>
        </w:rPr>
        <w:t xml:space="preserve">3133 · Contare le ripetizioni non è riscontrare.</w:t>
      </w:r>
      <w:r>
        <w:rPr>
          <w:rFonts w:ascii="Barlow Semi Condensed" w:cs="Barlow Semi Condensed" w:eastAsia="Barlow Semi Condensed" w:hAnsi="Barlow Semi Condensed"/>
          <w:sz w:val="24"/>
          <w:szCs w:val="24"/>
        </w:rPr>
        <w:t xml:space="preserve"> Il numero delle occorrenze in rete non è una misura probatoria: è una misura di diffusione. Cinquanta pagine che riportano la stessa frase nella stessa forma valgono una fonte, non cinquanta. La scheda PN-4 insegna lo stesso in altro modo, distinguendo la conferma concorde dei dodici partecipanti — dodici escussioni indipendenti davanti ad autorità — da una replicazione seriale di testo, che indipendente non è.</w:t>
      </w:r>
    </w:p>
    <w:p>
      <w:pPr>
        <w:spacing w:after="120" w:line="276"/>
        <w:jc w:val="both"/>
      </w:pPr>
      <w:r>
        <w:rPr>
          <w:rFonts w:ascii="Barlow Semi Condensed" w:cs="Barlow Semi Condensed" w:eastAsia="Barlow Semi Condensed" w:hAnsi="Barlow Semi Condensed"/>
          <w:b/>
          <w:bCs/>
          <w:sz w:val="24"/>
          <w:szCs w:val="24"/>
        </w:rPr>
        <w:t xml:space="preserve">3134 · Le sedi, nominate una per una.</w:t>
      </w:r>
      <w:r>
        <w:rPr>
          <w:rFonts w:ascii="Barlow Semi Condensed" w:cs="Barlow Semi Condensed" w:eastAsia="Barlow Semi Condensed" w:hAnsi="Barlow Semi Condensed"/>
          <w:sz w:val="24"/>
          <w:szCs w:val="24"/>
        </w:rPr>
        <w:t xml:space="preserve"> Per il ramo italiano della catena: Archivio Centrale dello Stato, collezione «Stragi (Direttiva Renzi)», settantasette versamenti da centocinquantasei uffici; archivi del Ministero dell'Interno e della Questura di Roma; atti della Commissione Moro 2 presso l'archivio storico della Camera. Per il ramo estero: i National Archives, Central Foreign Policy File 1973-1979, e le withdrawal cards del 1978, che contano ciò che è stato trattenuto.</w:t>
      </w:r>
    </w:p>
    <w:p>
      <w:pPr>
        <w:spacing w:after="120" w:line="276"/>
        <w:jc w:val="both"/>
      </w:pPr>
      <w:r>
        <w:rPr>
          <w:rFonts w:ascii="Barlow Semi Condensed" w:cs="Barlow Semi Condensed" w:eastAsia="Barlow Semi Condensed" w:hAnsi="Barlow Semi Condensed"/>
          <w:b/>
          <w:bCs/>
          <w:sz w:val="24"/>
          <w:szCs w:val="24"/>
        </w:rPr>
        <w:t xml:space="preserve">3135 · Il criterio di chiusura di PN-4.</w:t>
      </w:r>
      <w:r>
        <w:rPr>
          <w:rFonts w:ascii="Barlow Semi Condensed" w:cs="Barlow Semi Condensed" w:eastAsia="Barlow Semi Condensed" w:hAnsi="Barlow Semi Condensed"/>
          <w:sz w:val="24"/>
          <w:szCs w:val="24"/>
        </w:rPr>
        <w:t xml:space="preserve"> La scheda si chiude in due modi: la catena ricostruita per intero, qualunque cosa mostri, oppure l'esaurimento certificato dei fondi con l'elenco di ciò che manca e di dove avrebbe dovuto essere. È la forma più matura di Stato Zero che il corpus possieda, perché non si limita a dichiarare l'assenza: la localizza. Questa serie adotta quel formato per ogni propria lacuna, e lo dichiara qui.</w:t>
      </w:r>
    </w:p>
    <w:p>
      <w:pPr>
        <w:spacing w:after="120" w:line="276"/>
        <w:jc w:val="both"/>
      </w:pPr>
      <w:r>
        <w:rPr>
          <w:rFonts w:ascii="Barlow Semi Condensed" w:cs="Barlow Semi Condensed" w:eastAsia="Barlow Semi Condensed" w:hAnsi="Barlow Semi Condensed"/>
          <w:b/>
          <w:bCs/>
          <w:sz w:val="24"/>
          <w:szCs w:val="24"/>
        </w:rPr>
        <w:t xml:space="preserve">3136 · Bersaglio di smentita per PN-4.</w:t>
      </w:r>
      <w:r>
        <w:rPr>
          <w:rFonts w:ascii="Barlow Semi Condensed" w:cs="Barlow Semi Condensed" w:eastAsia="Barlow Semi Condensed" w:hAnsi="Barlow Semi Condensed"/>
          <w:sz w:val="24"/>
          <w:szCs w:val="24"/>
        </w:rPr>
        <w:t xml:space="preserve"> Falsificherebbe l'ipotesi di una fonte estera dietro la segnalazione un verbale d'epoca che ne documenti la genesi ludica — chi propose le lettere, come uscì la parola — secondo quanto l'agenda di ricerca prescrive al blocco 213. Nessun documento noto lo fa. Ma nessun documento noto indica neppure un canale estero: le due assenze sono simmetriche, e vanno dichiarate insieme o non dichiarate affatto.</w:t>
      </w:r>
    </w:p>
    <w:p>
      <w:pPr>
        <w:spacing w:after="120" w:line="276"/>
        <w:jc w:val="both"/>
      </w:pPr>
      <w:r>
        <w:rPr>
          <w:rFonts w:ascii="Barlow Semi Condensed" w:cs="Barlow Semi Condensed" w:eastAsia="Barlow Semi Condensed" w:hAnsi="Barlow Semi Condensed"/>
          <w:b/>
          <w:bCs/>
          <w:sz w:val="24"/>
          <w:szCs w:val="24"/>
        </w:rPr>
        <w:t xml:space="preserve">3137 · La sede speculare oltreoceano.</w:t>
      </w:r>
      <w:r>
        <w:rPr>
          <w:rFonts w:ascii="Barlow Semi Condensed" w:cs="Barlow Semi Condensed" w:eastAsia="Barlow Semi Condensed" w:hAnsi="Barlow Semi Condensed"/>
          <w:sz w:val="24"/>
          <w:szCs w:val="24"/>
        </w:rPr>
        <w:t xml:space="preserve"> Il colloquio del 25 settembre 1974 esiste come documento 350 del volume FRUS 1969-1976 E-15 parte 2, seconda edizione riveduta, ed è il file 1552802 della Gerald R. Ford Presidential Library; un secondo verbale, del 26 settembre, è il file 1552806, con estratti parziali e non del tutto concordi. Chi voglia superare il limite dell'apparato K-5 deve leggere quei due file, non le loro sintesi.</w:t>
      </w:r>
    </w:p>
    <w:p>
      <w:pPr>
        <w:spacing w:after="120" w:line="276"/>
        <w:jc w:val="both"/>
      </w:pPr>
      <w:r>
        <w:rPr>
          <w:rFonts w:ascii="Barlow Semi Condensed" w:cs="Barlow Semi Condensed" w:eastAsia="Barlow Semi Condensed" w:hAnsi="Barlow Semi Condensed"/>
          <w:b/>
          <w:bCs/>
          <w:sz w:val="24"/>
          <w:szCs w:val="24"/>
        </w:rPr>
        <w:t xml:space="preserve">3138 · Le carte personali, quesito da portare.</w:t>
      </w:r>
      <w:r>
        <w:rPr>
          <w:rFonts w:ascii="Barlow Semi Condensed" w:cs="Barlow Semi Condensed" w:eastAsia="Barlow Semi Condensed" w:hAnsi="Barlow Semi Condensed"/>
          <w:sz w:val="24"/>
          <w:szCs w:val="24"/>
        </w:rPr>
        <w:t xml:space="preserve"> Un quesito che il corpus non ha mai formulato e che questa serie consegna: nelle carte personali di Henry Kissinger — il fondo depositato alla Library of Congress e le serie conservate nella Manuscripts and Archives della Yale University Library — esiste materiale sulla visita italiana del settembre 1974 o sull'Italia dei cinquantacinque giorni? Nessuno lo ha verificato per il corpus. Stato Zero con sede doppia e nominata.</w:t>
      </w:r>
    </w:p>
    <w:p>
      <w:pPr>
        <w:spacing w:after="120" w:line="276"/>
        <w:jc w:val="both"/>
      </w:pPr>
      <w:r>
        <w:rPr>
          <w:rFonts w:ascii="Barlow Semi Condensed" w:cs="Barlow Semi Condensed" w:eastAsia="Barlow Semi Condensed" w:hAnsi="Barlow Semi Condensed"/>
          <w:b/>
          <w:bCs/>
          <w:sz w:val="24"/>
          <w:szCs w:val="24"/>
        </w:rPr>
        <w:t xml:space="preserve">3139 · Il reperto che non ritratta.</w:t>
      </w:r>
      <w:r>
        <w:rPr>
          <w:rFonts w:ascii="Barlow Semi Condensed" w:cs="Barlow Semi Condensed" w:eastAsia="Barlow Semi Condensed" w:hAnsi="Barlow Semi Condensed"/>
          <w:sz w:val="24"/>
          <w:szCs w:val="24"/>
        </w:rPr>
        <w:t xml:space="preserve"> La forza del caricatore abbandonato fra via Fani e via Stresa la scheda la dice in una riga: è un reperto, non un ricordo — non ritratta, non viene minacciato, non confonde le date. Messa accanto alla materia di questa serie, quella riga funziona da metro. Sul presunto avvertimento il corpus dispone dell'esatto contrario: soltanto ricordi, che hanno ritrattato, che sono stati minacciati, che confondono le date.</w:t>
      </w:r>
    </w:p>
    <w:p>
      <w:pPr>
        <w:spacing w:after="120" w:line="276"/>
        <w:jc w:val="both"/>
      </w:pPr>
      <w:r>
        <w:rPr>
          <w:rFonts w:ascii="Barlow Semi Condensed" w:cs="Barlow Semi Condensed" w:eastAsia="Barlow Semi Condensed" w:hAnsi="Barlow Semi Condensed"/>
          <w:b/>
          <w:bCs/>
          <w:sz w:val="24"/>
          <w:szCs w:val="24"/>
        </w:rPr>
        <w:t xml:space="preserve">3140 · Due rami, e nessun terzo.</w:t>
      </w:r>
      <w:r>
        <w:rPr>
          <w:rFonts w:ascii="Barlow Semi Condensed" w:cs="Barlow Semi Condensed" w:eastAsia="Barlow Semi Condensed" w:hAnsi="Barlow Semi Condensed"/>
          <w:sz w:val="24"/>
          <w:szCs w:val="24"/>
        </w:rPr>
        <w:t xml:space="preserve"> Il quesito del caricatore è binario: se attribuito a un componente del commando giudicato chiude un dettaglio e rafforza il quadro; se attribuito a un profilo ignoto diventa, con l'eventuale residuo balistico, l'unico fondamento fisico possibile della terza presenza. Non esiste un terzo ramo in cui compaia un attore straniero, e la sua inesistenza non è una dimenticanza della scheda: è la struttura del quesito.</w:t>
      </w:r>
    </w:p>
    <w:p>
      <w:pPr>
        <w:spacing w:after="120" w:line="276"/>
        <w:jc w:val="both"/>
      </w:pPr>
      <w:r>
        <w:rPr>
          <w:rFonts w:ascii="Barlow Semi Condensed" w:cs="Barlow Semi Condensed" w:eastAsia="Barlow Semi Condensed" w:hAnsi="Barlow Semi Condensed"/>
          <w:b/>
          <w:bCs/>
          <w:sz w:val="24"/>
          <w:szCs w:val="24"/>
        </w:rPr>
        <w:t xml:space="preserve">3141 · La compatibilità che salda le piste.</w:t>
      </w:r>
      <w:r>
        <w:rPr>
          <w:rFonts w:ascii="Barlow Semi Condensed" w:cs="Barlow Semi Condensed" w:eastAsia="Barlow Semi Condensed" w:hAnsi="Barlow Semi Condensed"/>
          <w:sz w:val="24"/>
          <w:szCs w:val="24"/>
        </w:rPr>
        <w:t xml:space="preserve"> Saldare PN-2 a PN-1 richiede una sola domanda in più: il caricatore appartiene a un'arma del commando, o a un'arma mai repertata? L'agenda di ricerca la pone al blocco 79, il manuale ai blocchi 57 e 58. Nessuna delle tre formulazioni prevede la comparsa di un'arma di dotazione estera, e nessun documento del corpus la suggerisce: chi la sostenga indichi il verbale che la contiene.</w:t>
      </w:r>
    </w:p>
    <w:p>
      <w:pPr>
        <w:spacing w:after="120" w:line="276"/>
        <w:jc w:val="both"/>
      </w:pPr>
      <w:r>
        <w:rPr>
          <w:rFonts w:ascii="Barlow Semi Condensed" w:cs="Barlow Semi Condensed" w:eastAsia="Barlow Semi Condensed" w:hAnsi="Barlow Semi Condensed"/>
          <w:b/>
          <w:bCs/>
          <w:sz w:val="24"/>
          <w:szCs w:val="24"/>
        </w:rPr>
        <w:t xml:space="preserve">3142 · Quarantotto anni di catena.</w:t>
      </w:r>
      <w:r>
        <w:rPr>
          <w:rFonts w:ascii="Barlow Semi Condensed" w:cs="Barlow Semi Condensed" w:eastAsia="Barlow Semi Condensed" w:hAnsi="Barlow Semi Condensed"/>
          <w:sz w:val="24"/>
          <w:szCs w:val="24"/>
        </w:rPr>
        <w:t xml:space="preserve"> Il caricatore fu repertato la mattina del 16 marzo 1978 e non fu sottoposto a comparazione balistica né a esami biologici fino agli accertamenti disposti dal giudice: quarantotto anni di custodia senza una domanda. La catena di custodia è perciò l'atto preliminare che la scheda impone. Chi cerchi manomissioni in quel silenzio produca un registro, non un'ipotesi: l'inerzia amministrativa è una spiegazione già disponibile.</w:t>
      </w:r>
    </w:p>
    <w:p>
      <w:pPr>
        <w:spacing w:after="120" w:line="276"/>
        <w:jc w:val="both"/>
      </w:pPr>
      <w:r>
        <w:rPr>
          <w:rFonts w:ascii="Barlow Semi Condensed" w:cs="Barlow Semi Condensed" w:eastAsia="Barlow Semi Condensed" w:hAnsi="Barlow Semi Condensed"/>
          <w:b/>
          <w:bCs/>
          <w:sz w:val="24"/>
          <w:szCs w:val="24"/>
        </w:rPr>
        <w:t xml:space="preserve">3143 · La comparazione verso Morucci.</w:t>
      </w:r>
      <w:r>
        <w:rPr>
          <w:rFonts w:ascii="Barlow Semi Condensed" w:cs="Barlow Semi Condensed" w:eastAsia="Barlow Semi Condensed" w:hAnsi="Barlow Semi Condensed"/>
          <w:sz w:val="24"/>
          <w:szCs w:val="24"/>
        </w:rPr>
        <w:t xml:space="preserve"> Fra le comparazioni disposte ve n'è una verso Morucci, nome del registro del giudicato. È il ramo che, se confermato, chiuderebbe la pista verso il comparto escluso per direttiva — ed è anche la ragione per cui PN-2 prende soltanto cinque su dieci nel criterio d'indipendenza. Nessun ramo del quesito, nemmeno il meno favorevole alla scheda, apre verso l'esterno del caso italiano.</w:t>
      </w:r>
    </w:p>
    <w:p>
      <w:pPr>
        <w:spacing w:after="120" w:line="276"/>
        <w:jc w:val="both"/>
      </w:pPr>
      <w:r>
        <w:rPr>
          <w:rFonts w:ascii="Barlow Semi Condensed" w:cs="Barlow Semi Condensed" w:eastAsia="Barlow Semi Condensed" w:hAnsi="Barlow Semi Condensed"/>
          <w:b/>
          <w:bCs/>
          <w:sz w:val="24"/>
          <w:szCs w:val="24"/>
        </w:rPr>
        <w:t xml:space="preserve">3144 · Che cosa un ignoto autorizza.</w:t>
      </w:r>
      <w:r>
        <w:rPr>
          <w:rFonts w:ascii="Barlow Semi Condensed" w:cs="Barlow Semi Condensed" w:eastAsia="Barlow Semi Condensed" w:hAnsi="Barlow Semi Condensed"/>
          <w:sz w:val="24"/>
          <w:szCs w:val="24"/>
        </w:rPr>
        <w:t xml:space="preserve"> Un profilo genetico non identificato è un fatto, non un fantasma, e resta in banca per le comparazioni che la legge consentirà: così il manuale al blocco 60. Un ignoto autorizza una comparazione ulteriore e nient'altro. In particolare non autorizza a chiedersi di quale Paese sia: la domanda di nazionalità su un profilo ignoto non è forense, è una preferenza narrativa travestita da quesito.</w:t>
      </w:r>
    </w:p>
    <w:p>
      <w:pPr>
        <w:spacing w:after="120" w:line="276"/>
        <w:jc w:val="both"/>
      </w:pPr>
      <w:r>
        <w:rPr>
          <w:rFonts w:ascii="Barlow Semi Condensed" w:cs="Barlow Semi Condensed" w:eastAsia="Barlow Semi Condensed" w:hAnsi="Barlow Semi Condensed"/>
          <w:b/>
          <w:bCs/>
          <w:sz w:val="24"/>
          <w:szCs w:val="24"/>
        </w:rPr>
        <w:t xml:space="preserve">3145 · Il protocollo di silenzio, richiamato.</w:t>
      </w:r>
      <w:r>
        <w:rPr>
          <w:rFonts w:ascii="Barlow Semi Condensed" w:cs="Barlow Semi Condensed" w:eastAsia="Barlow Semi Condensed" w:hAnsi="Barlow Semi Condensed"/>
          <w:sz w:val="24"/>
          <w:szCs w:val="24"/>
        </w:rPr>
        <w:t xml:space="preserve"> Se dal caricatore o dai profili emergesse un ignoto, i cantieri storici congelano le pubblicazioni collegate fino alla qualificazione dell'autorità: così i blocchi 392 e 886 dei nove cantieri, e la soglia giudiziaria del blocco 291 del manuale. Questa serie vi si sottopone per intero. Una triangolazione onomastica è, fra tutte le pubblicazioni collegate, quella che in quel momento deve tacere per prima.</w:t>
      </w:r>
    </w:p>
    <w:p>
      <w:pPr>
        <w:spacing w:after="120" w:line="276"/>
        <w:jc w:val="both"/>
      </w:pPr>
      <w:r>
        <w:rPr>
          <w:rFonts w:ascii="Barlow Semi Condensed" w:cs="Barlow Semi Condensed" w:eastAsia="Barlow Semi Condensed" w:hAnsi="Barlow Semi Condensed"/>
          <w:b/>
          <w:bCs/>
          <w:sz w:val="24"/>
          <w:szCs w:val="24"/>
        </w:rPr>
        <w:t xml:space="preserve">3146 · Bersaglio di smentita per PN-2.</w:t>
      </w:r>
      <w:r>
        <w:rPr>
          <w:rFonts w:ascii="Barlow Semi Condensed" w:cs="Barlow Semi Condensed" w:eastAsia="Barlow Semi Condensed" w:hAnsi="Barlow Semi Condensed"/>
          <w:sz w:val="24"/>
          <w:szCs w:val="24"/>
        </w:rPr>
        <w:t xml:space="preserve"> L'attribuzione ordinaria del caricatore a un'arma dei condannati chiuderebbe il reperto e, con esso, ogni lettura che vi cerchi una mano esterna al giudicato. È un bersaglio di smentita reale, con esito atteso in mesi e non in decenni: l'agenda lo formula al blocco 226. Vale la pena notarlo — la pista più economica del programma è anche quella che smentirebbe più in fretta questa serie.</w:t>
      </w:r>
    </w:p>
    <w:p>
      <w:pPr>
        <w:spacing w:after="120" w:line="276"/>
        <w:jc w:val="both"/>
      </w:pPr>
      <w:r>
        <w:rPr>
          <w:rFonts w:ascii="Barlow Semi Condensed" w:cs="Barlow Semi Condensed" w:eastAsia="Barlow Semi Condensed" w:hAnsi="Barlow Semi Condensed"/>
          <w:b/>
          <w:bCs/>
          <w:sz w:val="24"/>
          <w:szCs w:val="24"/>
        </w:rPr>
        <w:t xml:space="preserve">3147 · Costo dell'atto e nettezza della risposta.</w:t>
      </w:r>
      <w:r>
        <w:rPr>
          <w:rFonts w:ascii="Barlow Semi Condensed" w:cs="Barlow Semi Condensed" w:eastAsia="Barlow Semi Condensed" w:hAnsi="Barlow Semi Condensed"/>
          <w:sz w:val="24"/>
          <w:szCs w:val="24"/>
        </w:rPr>
        <w:t xml:space="preserve"> PN-2 ha il rapporto più favorevole fra costo dell'atto e nettezza della risposta. La verifica sul presunto avvertimento ha il rapporto opposto: costo altissimo — archivi in due Paesi, verbali d'udienza, carte personali — e risposta che, comunque vada, sposterebbe un fatto biografico e diplomatico, non una catena di comando. Chi debba scegliere dove spendere un'ora d'archivio ha, in questa frase, il suo criterio.</w:t>
      </w:r>
    </w:p>
    <w:p>
      <w:pPr>
        <w:spacing w:after="120" w:line="276"/>
        <w:jc w:val="both"/>
      </w:pPr>
      <w:r>
        <w:rPr>
          <w:rFonts w:ascii="Barlow Semi Condensed" w:cs="Barlow Semi Condensed" w:eastAsia="Barlow Semi Condensed" w:hAnsi="Barlow Semi Condensed"/>
          <w:b/>
          <w:bCs/>
          <w:sz w:val="24"/>
          <w:szCs w:val="24"/>
        </w:rPr>
        <w:t xml:space="preserve">3148 · Stato Zero sui reperti, dichiarato.</w:t>
      </w:r>
      <w:r>
        <w:rPr>
          <w:rFonts w:ascii="Barlow Semi Condensed" w:cs="Barlow Semi Condensed" w:eastAsia="Barlow Semi Condensed" w:hAnsi="Barlow Semi Condensed"/>
          <w:sz w:val="24"/>
          <w:szCs w:val="24"/>
        </w:rPr>
        <w:t xml:space="preserve"> Il più ampio esito negativo della serie va scritto per intero: nessun reperto del caso Moro — bossoli, caricatore, mozziconi, veicoli — risulta collegato per documento ad alcuna autorità o struttura straniera, e le quattro schede non ne ipotizzano il collegamento. Lo chiuderebbero, in un senso o nell'altro, l'inventario generale dei reperti prescritto al blocco 46 del manuale e i registri dei corpi di reato di Roma.</w:t>
      </w:r>
    </w:p>
    <w:p>
      <w:pPr>
        <w:spacing w:after="120" w:line="276"/>
        <w:jc w:val="both"/>
      </w:pPr>
      <w:r>
        <w:rPr>
          <w:rFonts w:ascii="Barlow Semi Condensed" w:cs="Barlow Semi Condensed" w:eastAsia="Barlow Semi Condensed" w:hAnsi="Barlow Semi Condensed"/>
          <w:b/>
          <w:bCs/>
          <w:sz w:val="24"/>
          <w:szCs w:val="24"/>
        </w:rPr>
        <w:t xml:space="preserve">3149 · La Regola di Ferro contro di noi.</w:t>
      </w:r>
      <w:r>
        <w:rPr>
          <w:rFonts w:ascii="Barlow Semi Condensed" w:cs="Barlow Semi Condensed" w:eastAsia="Barlow Semi Condensed" w:hAnsi="Barlow Semi Condensed"/>
          <w:sz w:val="24"/>
          <w:szCs w:val="24"/>
        </w:rPr>
        <w:t xml:space="preserve"> L'approfondimento si apre dichiarando che la Regola di Ferro vale prima di tutto contro chi la enuncia, e lo dimostra retrocedendo una propria evidenza. Questa serie eredita l'obbligo: il suo esito principale è negativo, e il negativo non è un fallimento della ricerca ma il suo risultato. Un blocco che dichiara bene un'assenza vale più di uno che suggerisce una presenza; qui la proporzione è quasi totale.</w:t>
      </w:r>
    </w:p>
    <w:p>
      <w:pPr>
        <w:spacing w:after="120" w:line="276"/>
        <w:jc w:val="both"/>
      </w:pPr>
      <w:r>
        <w:rPr>
          <w:rFonts w:ascii="Barlow Semi Condensed" w:cs="Barlow Semi Condensed" w:eastAsia="Barlow Semi Condensed" w:hAnsi="Barlow Semi Condensed"/>
          <w:b/>
          <w:bCs/>
          <w:sz w:val="24"/>
          <w:szCs w:val="24"/>
        </w:rPr>
        <w:t xml:space="preserve">3150 · Le due note di revisione, simmetriche.</w:t>
      </w:r>
      <w:r>
        <w:rPr>
          <w:rFonts w:ascii="Barlow Semi Condensed" w:cs="Barlow Semi Condensed" w:eastAsia="Barlow Semi Condensed" w:hAnsi="Barlow Semi Condensed"/>
          <w:sz w:val="24"/>
          <w:szCs w:val="24"/>
        </w:rPr>
        <w:t xml:space="preserve"> Il corpus ha due note di revisione e valgono come precedenti vincolanti. La prima retrocede la riga E2 della matrice ACH sulle due moto dopo la ritrattazione del parabrezza. La seconda porta sette precisazioni al nodo dell'avvertimento senza riscriverne una riga. Il blocco 623 dell'opera le accosta già: nessuna delle due ha cancellato ciò che correggeva, e questa serie non cancella nulla di ciò che trova.</w:t>
      </w:r>
    </w:p>
    <w:p>
      <w:pPr>
        <w:spacing w:after="120" w:line="276"/>
        <w:jc w:val="both"/>
      </w:pPr>
      <w:r>
        <w:rPr>
          <w:rFonts w:ascii="Barlow Semi Condensed" w:cs="Barlow Semi Condensed" w:eastAsia="Barlow Semi Condensed" w:hAnsi="Barlow Semi Condensed"/>
          <w:b/>
          <w:bCs/>
          <w:sz w:val="24"/>
          <w:szCs w:val="24"/>
        </w:rPr>
        <w:t xml:space="preserve">3151 · Due retrocessioni, un solo movimento.</w:t>
      </w:r>
      <w:r>
        <w:rPr>
          <w:rFonts w:ascii="Barlow Semi Condensed" w:cs="Barlow Semi Condensed" w:eastAsia="Barlow Semi Condensed" w:hAnsi="Barlow Semi Condensed"/>
          <w:sz w:val="24"/>
          <w:szCs w:val="24"/>
        </w:rPr>
        <w:t xml:space="preserve"> Vale la pena guardarle insieme, perché il movimento è identico. La circostanza del parabrezza scende da diagnostica a controversa; l'avvertimento del 1974 scende da fatto ripetuto a testimonianza contestata, de relato, col nome sollecitato in aula e la data oscillante. In entrambi i casi non si è aggiunto nulla: si è tolto peso a ciò che ne aveva troppo. È l'unica forma di progresso che un corpus probatorio conosca.</w:t>
      </w:r>
    </w:p>
    <w:p>
      <w:pPr>
        <w:spacing w:after="120" w:line="276"/>
        <w:jc w:val="both"/>
      </w:pPr>
      <w:r>
        <w:rPr>
          <w:rFonts w:ascii="Barlow Semi Condensed" w:cs="Barlow Semi Condensed" w:eastAsia="Barlow Semi Condensed" w:hAnsi="Barlow Semi Condensed"/>
          <w:b/>
          <w:bCs/>
          <w:sz w:val="24"/>
          <w:szCs w:val="24"/>
        </w:rPr>
        <w:t xml:space="preserve">3152 · La contabilità dei piani, chiusa.</w:t>
      </w:r>
      <w:r>
        <w:rPr>
          <w:rFonts w:ascii="Barlow Semi Condensed" w:cs="Barlow Semi Condensed" w:eastAsia="Barlow Semi Condensed" w:hAnsi="Barlow Semi Condensed"/>
          <w:sz w:val="24"/>
          <w:szCs w:val="24"/>
        </w:rPr>
        <w:t xml:space="preserve"> Bilancio della serie sul territorio assegnato: piano 1, zero occorrenze; piano 2, una sola cornice condivisa — il quadro internazionale entro cui stanno sia il colloquio del 1974 sia il caso italiano del 1978 — che non produce alcun arco; piano 3, le letture terziarie sulla mano estera dietro le presenze non attribuite, registrate come circolazione. Stati Zero verbalizzati con sede: otto. È la forma esatta del risultato.</w:t>
      </w:r>
    </w:p>
    <w:p>
      <w:pPr>
        <w:spacing w:after="120" w:line="276"/>
        <w:jc w:val="both"/>
      </w:pPr>
      <w:r>
        <w:rPr>
          <w:rFonts w:ascii="Barlow Semi Condensed" w:cs="Barlow Semi Condensed" w:eastAsia="Barlow Semi Condensed" w:hAnsi="Barlow Semi Condensed"/>
          <w:b/>
          <w:bCs/>
          <w:sz w:val="24"/>
          <w:szCs w:val="24"/>
        </w:rPr>
        <w:t xml:space="preserve">3153 · La regola di lettura consegnata.</w:t>
      </w:r>
      <w:r>
        <w:rPr>
          <w:rFonts w:ascii="Barlow Semi Condensed" w:cs="Barlow Semi Condensed" w:eastAsia="Barlow Semi Condensed" w:hAnsi="Barlow Semi Condensed"/>
          <w:sz w:val="24"/>
          <w:szCs w:val="24"/>
        </w:rPr>
        <w:t xml:space="preserve"> Se ne ricava una regola trasferibile ad altre serie territoriali: dove un territorio del corpus è fatto di reperti, di testimoni e di protocolli, una triangolazione onomastica può produrre soltanto due esiti onesti — un documento di provenienza, oppure un'assenza localizzata. Il terzo esito, la convergenza suggestiva, non è un esito: è la rinuncia a distinguere ciò che si è trovato da ciò che si sperava.</w:t>
      </w:r>
    </w:p>
    <w:p>
      <w:pPr>
        <w:spacing w:after="120" w:line="276"/>
        <w:jc w:val="both"/>
      </w:pPr>
      <w:r>
        <w:rPr>
          <w:rFonts w:ascii="Barlow Semi Condensed" w:cs="Barlow Semi Condensed" w:eastAsia="Barlow Semi Condensed" w:hAnsi="Barlow Semi Condensed"/>
          <w:b/>
          <w:bCs/>
          <w:sz w:val="24"/>
          <w:szCs w:val="24"/>
        </w:rPr>
        <w:t xml:space="preserve">3154 · L'errore che la serie impedisce.</w:t>
      </w:r>
      <w:r>
        <w:rPr>
          <w:rFonts w:ascii="Barlow Semi Condensed" w:cs="Barlow Semi Condensed" w:eastAsia="Barlow Semi Condensed" w:hAnsi="Barlow Semi Condensed"/>
          <w:sz w:val="24"/>
          <w:szCs w:val="24"/>
        </w:rPr>
        <w:t xml:space="preserve"> L'errore da rendere impossibile è la saldatura fra i due vuoti: il residuo balistico non attribuito di via Fani e la frase non documentata del settembre 1974. Sono due lacune indipendenti, e due lacune non si sommano in una prova — si sommano in una lacuna più grande. Chi le unisce non ha trovato un nesso: ha messo un'ipotesi al posto di due punti interrogativi.</w:t>
      </w:r>
    </w:p>
    <w:p>
      <w:pPr>
        <w:spacing w:after="120" w:line="276"/>
        <w:jc w:val="both"/>
      </w:pPr>
      <w:r>
        <w:rPr>
          <w:rFonts w:ascii="Barlow Semi Condensed" w:cs="Barlow Semi Condensed" w:eastAsia="Barlow Semi Condensed" w:hAnsi="Barlow Semi Condensed"/>
          <w:b/>
          <w:bCs/>
          <w:sz w:val="24"/>
          <w:szCs w:val="24"/>
        </w:rPr>
        <w:t xml:space="preserve">3155 · Il bersaglio unico della serie.</w:t>
      </w:r>
      <w:r>
        <w:rPr>
          <w:rFonts w:ascii="Barlow Semi Condensed" w:cs="Barlow Semi Condensed" w:eastAsia="Barlow Semi Condensed" w:hAnsi="Barlow Semi Condensed"/>
          <w:sz w:val="24"/>
          <w:szCs w:val="24"/>
        </w:rPr>
        <w:t xml:space="preserve"> Un solo oggetto smentirebbe l'intero esito negativo qui verbalizzato: un documento di provenienza, con protocollo e data, che nomini insieme una delle quattro piste di testa e un'autorità statunitense del periodo. Non una testimonianza, non una memoria, non una convergenza di cornice. Chi lo produca faccia cadere questa serie: è stata scritta perché sia falsificabile in un colpo solo, e nessun'altra via la falsifica.</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Serie quarantaduesima — Le sei schede delle entità</w:t>
      </w:r>
    </w:p>
    <w:p>
      <w:pPr>
        <w:spacing w:after="120" w:line="276"/>
        <w:jc w:val="both"/>
      </w:pPr>
      <w:r>
        <w:rPr>
          <w:rFonts w:ascii="Barlow Semi Condensed" w:cs="Barlow Semi Condensed" w:eastAsia="Barlow Semi Condensed" w:hAnsi="Barlow Semi Condensed"/>
          <w:i/>
          <w:iCs/>
          <w:sz w:val="24"/>
          <w:szCs w:val="24"/>
        </w:rPr>
        <w:t xml:space="preserve">Blocchi 3156-3235.</w:t>
      </w:r>
    </w:p>
    <w:p>
      <w:pPr>
        <w:spacing w:after="120" w:line="276"/>
        <w:jc w:val="both"/>
      </w:pPr>
      <w:r>
        <w:rPr>
          <w:rFonts w:ascii="Barlow Semi Condensed" w:cs="Barlow Semi Condensed" w:eastAsia="Barlow Semi Condensed" w:hAnsi="Barlow Semi Condensed"/>
          <w:b/>
          <w:bCs/>
          <w:sz w:val="24"/>
          <w:szCs w:val="24"/>
        </w:rPr>
        <w:t xml:space="preserve">3156 · Statuto della quarantaduesima serie.</w:t>
      </w:r>
      <w:r>
        <w:rPr>
          <w:rFonts w:ascii="Barlow Semi Condensed" w:cs="Barlow Semi Condensed" w:eastAsia="Barlow Semi Condensed" w:hAnsi="Barlow Semi Condensed"/>
          <w:sz w:val="24"/>
          <w:szCs w:val="24"/>
        </w:rPr>
        <w:t xml:space="preserve"> Il territorio assegnato è un solo documento del corpus, approfondimento-piste-entita.md, con le sue sei schede: PE-1 sui comitati del Viminale, PE-3 su via Gradoli, PE-2 sul condominio, PE-4 sulla mediazione vaticana, PE-5 sugli alleati, PE-6 sul registro delle segnalazioni. La serie vi porta il nome di Henry Kissinger scheda per scheda e ne registra l'esito qualunque sia. Nessun blocco afferma un fatto nuovo sul caso.</w:t>
      </w:r>
    </w:p>
    <w:p>
      <w:pPr>
        <w:spacing w:after="120" w:line="276"/>
        <w:jc w:val="both"/>
      </w:pPr>
      <w:r>
        <w:rPr>
          <w:rFonts w:ascii="Barlow Semi Condensed" w:cs="Barlow Semi Condensed" w:eastAsia="Barlow Semi Condensed" w:hAnsi="Barlow Semi Condensed"/>
          <w:b/>
          <w:bCs/>
          <w:sz w:val="24"/>
          <w:szCs w:val="24"/>
        </w:rPr>
        <w:t xml:space="preserve">3157 · La verifica meccanica, prima di tutto.</w:t>
      </w:r>
      <w:r>
        <w:rPr>
          <w:rFonts w:ascii="Barlow Semi Condensed" w:cs="Barlow Semi Condensed" w:eastAsia="Barlow Semi Condensed" w:hAnsi="Barlow Semi Condensed"/>
          <w:sz w:val="24"/>
          <w:szCs w:val="24"/>
        </w:rPr>
        <w:t xml:space="preserve"> Interrogazione eseguita sul file assegnato: la stringa cercata compare zero volte in tutte e sei le schede, nei quesiti in forma ACH, negli atti raffinati in quattro passi, negli errori da non ripetere, nei criteri di chiusura e nel rilievo finale. Perimetro dichiarato: ricerca insensibile alle maiuscole sull'intero testo, varianti «Kissinger», «Henry», «Heinz». Esito negativo integrale, ed è il dato di partenza della serie, non la sua sconfitta.</w:t>
      </w:r>
    </w:p>
    <w:p>
      <w:pPr>
        <w:spacing w:after="120" w:line="276"/>
        <w:jc w:val="both"/>
      </w:pPr>
      <w:r>
        <w:rPr>
          <w:rFonts w:ascii="Barlow Semi Condensed" w:cs="Barlow Semi Condensed" w:eastAsia="Barlow Semi Condensed" w:hAnsi="Barlow Semi Condensed"/>
          <w:b/>
          <w:bCs/>
          <w:sz w:val="24"/>
          <w:szCs w:val="24"/>
        </w:rPr>
        <w:t xml:space="preserve">3158 · La data che governa il territorio.</w:t>
      </w:r>
      <w:r>
        <w:rPr>
          <w:rFonts w:ascii="Barlow Semi Condensed" w:cs="Barlow Semi Condensed" w:eastAsia="Barlow Semi Condensed" w:hAnsi="Barlow Semi Condensed"/>
          <w:sz w:val="24"/>
          <w:szCs w:val="24"/>
        </w:rPr>
        <w:t xml:space="preserve"> Le sei schede lavorano su finestre precise: 16 marzo – 9 maggio 1978 per PE-1, PE-3, PE-5 e PE-6; 1975-1978 per il covo e 1979-1986 per il secondo strato di PE-2; 21-22 aprile 1978 per la lettera di PE-4. In quella finestra Henry Kissinger non ricopriva alcuna carica: il mandato di Segretario di Stato si era chiuso il 20 gennaio 1977.</w:t>
      </w:r>
    </w:p>
    <w:p>
      <w:pPr>
        <w:spacing w:after="120" w:line="276"/>
        <w:jc w:val="both"/>
      </w:pPr>
      <w:r>
        <w:rPr>
          <w:rFonts w:ascii="Barlow Semi Condensed" w:cs="Barlow Semi Condensed" w:eastAsia="Barlow Semi Condensed" w:hAnsi="Barlow Semi Condensed"/>
          <w:b/>
          <w:bCs/>
          <w:sz w:val="24"/>
          <w:szCs w:val="24"/>
        </w:rPr>
        <w:t xml:space="preserve">3159 · Che cosa quella data non chiude.</w:t>
      </w:r>
      <w:r>
        <w:rPr>
          <w:rFonts w:ascii="Barlow Semi Condensed" w:cs="Barlow Semi Condensed" w:eastAsia="Barlow Semi Condensed" w:hAnsi="Barlow Semi Condensed"/>
          <w:sz w:val="24"/>
          <w:szCs w:val="24"/>
        </w:rPr>
        <w:t xml:space="preserve"> Dalla cessazione della carica non discende l'irrilevanza: un privato cittadino scrive, parla, consiglia, e le sue carte private esistono. Ne discende però che nessun documento d'ufficio statunitense del 1978 può recarne la firma come originatore, e che una sua eventuale comparsa nel traffico dei cinquantacinque giorni sarebbe menzione di terzi, non atto proprio. La distinzione fra firma e menzione governa ogni interrogazione che questa serie propone.</w:t>
      </w:r>
    </w:p>
    <w:p>
      <w:pPr>
        <w:spacing w:after="120" w:line="276"/>
        <w:jc w:val="both"/>
      </w:pPr>
      <w:r>
        <w:rPr>
          <w:rFonts w:ascii="Barlow Semi Condensed" w:cs="Barlow Semi Condensed" w:eastAsia="Barlow Semi Condensed" w:hAnsi="Barlow Semi Condensed"/>
          <w:b/>
          <w:bCs/>
          <w:sz w:val="24"/>
          <w:szCs w:val="24"/>
        </w:rPr>
        <w:t xml:space="preserve">3160 · I tre piani applicati alle schede.</w:t>
      </w:r>
      <w:r>
        <w:rPr>
          <w:rFonts w:ascii="Barlow Semi Condensed" w:cs="Barlow Semi Condensed" w:eastAsia="Barlow Semi Condensed" w:hAnsi="Barlow Semi Condensed"/>
          <w:sz w:val="24"/>
          <w:szCs w:val="24"/>
        </w:rPr>
        <w:t xml:space="preserve"> Piano uno, rapporto diretto documentato: sull'intero territorio non ne risulta alcuno. Piano due, convergenza strutturale entro la stessa cornice: vi rientrano l'ostilità documentata di settori dell'alleanza all'ingresso comunista nell'area di governo e la presenza del consulente statunitense accanto al ministro dell'Interno. Piano tre, affermazione terziaria senza riscontro: vi rientra tutto ciò che collega quel nome ai comitati del Viminale. La promozione fra i piani resta vietata.</w:t>
      </w:r>
    </w:p>
    <w:p>
      <w:pPr>
        <w:spacing w:after="120" w:line="276"/>
        <w:jc w:val="both"/>
      </w:pPr>
      <w:r>
        <w:rPr>
          <w:rFonts w:ascii="Barlow Semi Condensed" w:cs="Barlow Semi Condensed" w:eastAsia="Barlow Semi Condensed" w:hAnsi="Barlow Semi Condensed"/>
          <w:b/>
          <w:bCs/>
          <w:sz w:val="24"/>
          <w:szCs w:val="24"/>
        </w:rPr>
        <w:t xml:space="preserve">3161 · Il piano uno, fuori territorio.</w:t>
      </w:r>
      <w:r>
        <w:rPr>
          <w:rFonts w:ascii="Barlow Semi Condensed" w:cs="Barlow Semi Condensed" w:eastAsia="Barlow Semi Condensed" w:hAnsi="Barlow Semi Condensed"/>
          <w:sz w:val="24"/>
          <w:szCs w:val="24"/>
        </w:rPr>
        <w:t xml:space="preserve"> Il rapporto diretto documentato fra Moro e Kissinger resta uno solo: il memorandum of conversation dello Studio Ovale del 25 settembre 1974, Ford Library file 1552802, edito in FRUS 1969-1976 volume E-15 parte 2 documento 350, seconda edizione riveduta, col verbale del giorno successivo 1552806. Nessuna delle sei schede lo cita, e nessuna sua riga tocca comitati, condominio, cappellani, cablo del 1978 o segnalazioni.</w:t>
      </w:r>
    </w:p>
    <w:p>
      <w:pPr>
        <w:spacing w:after="120" w:line="276"/>
        <w:jc w:val="both"/>
      </w:pPr>
      <w:r>
        <w:rPr>
          <w:rFonts w:ascii="Barlow Semi Condensed" w:cs="Barlow Semi Condensed" w:eastAsia="Barlow Semi Condensed" w:hAnsi="Barlow Semi Condensed"/>
          <w:b/>
          <w:bCs/>
          <w:sz w:val="24"/>
          <w:szCs w:val="24"/>
        </w:rPr>
        <w:t xml:space="preserve">3162 · I tre livelli del Viminale.</w:t>
      </w:r>
      <w:r>
        <w:rPr>
          <w:rFonts w:ascii="Barlow Semi Condensed" w:cs="Barlow Semi Condensed" w:eastAsia="Barlow Semi Condensed" w:hAnsi="Barlow Semi Condensed"/>
          <w:sz w:val="24"/>
          <w:szCs w:val="24"/>
        </w:rPr>
        <w:t xml:space="preserve"> La scheda PE-1 distingue il comitato politico-tecnico-operativo istituito da Cossiga il 16 marzo 1978, il tecnico-operativo di composizione nominale documentata — Lettieri, Parlato, Grassini, Santovito, Napoletano poi Pelosi, Corsini, Ferrara, De Sena, De Francesco — e il comitato di esperti mai riunito collegialmente. In nessuno dei tre elenchi compare il nome triangolato, né poteva comparirvi: erano organi italiani di nomina ministeriale italiana. Stato Zero strutturale, e va detto perché lo è.</w:t>
      </w:r>
    </w:p>
    <w:p>
      <w:pPr>
        <w:spacing w:after="120" w:line="276"/>
        <w:jc w:val="both"/>
      </w:pPr>
      <w:r>
        <w:rPr>
          <w:rFonts w:ascii="Barlow Semi Condensed" w:cs="Barlow Semi Condensed" w:eastAsia="Barlow Semi Condensed" w:hAnsi="Barlow Semi Condensed"/>
          <w:b/>
          <w:bCs/>
          <w:sz w:val="24"/>
          <w:szCs w:val="24"/>
        </w:rPr>
        <w:t xml:space="preserve">3163 · Il censimento nominale come sede.</w:t>
      </w:r>
      <w:r>
        <w:rPr>
          <w:rFonts w:ascii="Barlow Semi Condensed" w:cs="Barlow Semi Condensed" w:eastAsia="Barlow Semi Condensed" w:hAnsi="Barlow Semi Condensed"/>
          <w:sz w:val="24"/>
          <w:szCs w:val="24"/>
        </w:rPr>
        <w:t xml:space="preserve"> L'atto che PE-1 chiede — la tavola nominale integrale dei tre livelli da decreti istitutivi, verbali, ordini del giorno ed elenchi di presenza, prescritto dal blocco 105 del manuale investigativo — è anche la sede che chiuderebbe questo Stato Zero. Se il nome comparisse in un elenco di presenza, sarebbe piano uno. Finché la tavola non esiste, l'assenza è dichiarata sull'inventario e non sul fondo.</w:t>
      </w:r>
    </w:p>
    <w:p>
      <w:pPr>
        <w:spacing w:after="120" w:line="276"/>
        <w:jc w:val="both"/>
      </w:pPr>
      <w:r>
        <w:rPr>
          <w:rFonts w:ascii="Barlow Semi Condensed" w:cs="Barlow Semi Condensed" w:eastAsia="Barlow Semi Condensed" w:hAnsi="Barlow Semi Condensed"/>
          <w:b/>
          <w:bCs/>
          <w:sz w:val="24"/>
          <w:szCs w:val="24"/>
        </w:rPr>
        <w:t xml:space="preserve">3164 · Il consulente statunitense e il suo grado.</w:t>
      </w:r>
      <w:r>
        <w:rPr>
          <w:rFonts w:ascii="Barlow Semi Condensed" w:cs="Barlow Semi Condensed" w:eastAsia="Barlow Semi Condensed" w:hAnsi="Barlow Semi Condensed"/>
          <w:sz w:val="24"/>
          <w:szCs w:val="24"/>
        </w:rPr>
        <w:t xml:space="preserve"> Steve Pieczenik, psichiatra inviato del Dipartimento di Stato, figura fra i ricondotti al comitato di esperti insieme a Ferracuti, Silvestri e Cappelletti. La sua presenza accanto a Cossiga è documentata e il corpus la registra al grado B, con le dichiarazioni successive al grado C, fonte di parte, come scrivono la Fase nona e il blocco 906. Da quella presenza non discende alcun ponte: l'appartenenza a un dicastero non è nesso.</w:t>
      </w:r>
    </w:p>
    <w:p>
      <w:pPr>
        <w:spacing w:after="120" w:line="276"/>
        <w:jc w:val="both"/>
      </w:pPr>
      <w:r>
        <w:rPr>
          <w:rFonts w:ascii="Barlow Semi Condensed" w:cs="Barlow Semi Condensed" w:eastAsia="Barlow Semi Condensed" w:hAnsi="Barlow Semi Condensed"/>
          <w:b/>
          <w:bCs/>
          <w:sz w:val="24"/>
          <w:szCs w:val="24"/>
        </w:rPr>
        <w:t xml:space="preserve">3165 · La catena gerarchica e il suo anno.</w:t>
      </w:r>
      <w:r>
        <w:rPr>
          <w:rFonts w:ascii="Barlow Semi Condensed" w:cs="Barlow Semi Condensed" w:eastAsia="Barlow Semi Condensed" w:hAnsi="Barlow Semi Condensed"/>
          <w:sz w:val="24"/>
          <w:szCs w:val="24"/>
        </w:rPr>
        <w:t xml:space="preserve"> Il quesito legittimo è uno e va formulato per esteso: esiste un documento di provenienza — nota, memorandum, cablo di nomina — che colleghi l'invio di Pieczenik a Roma nel 1978 a un atto firmato dal nome triangolato? Nel 1978 il Dipartimento di Stato era retto da Cyrus Vance. La domanda è dunque retrospettiva e riguarda l'organigramma, non l'atto. Sede: RG 59 ai National Archives di College Park.</w:t>
      </w:r>
    </w:p>
    <w:p>
      <w:pPr>
        <w:spacing w:after="120" w:line="276"/>
        <w:jc w:val="both"/>
      </w:pPr>
      <w:r>
        <w:rPr>
          <w:rFonts w:ascii="Barlow Semi Condensed" w:cs="Barlow Semi Condensed" w:eastAsia="Barlow Semi Condensed" w:hAnsi="Barlow Semi Condensed"/>
          <w:b/>
          <w:bCs/>
          <w:sz w:val="24"/>
          <w:szCs w:val="24"/>
        </w:rPr>
        <w:t xml:space="preserve">3166 · Sovrapposizione d'ufficio non è mandato.</w:t>
      </w:r>
      <w:r>
        <w:rPr>
          <w:rFonts w:ascii="Barlow Semi Condensed" w:cs="Barlow Semi Condensed" w:eastAsia="Barlow Semi Condensed" w:hAnsi="Barlow Semi Condensed"/>
          <w:sz w:val="24"/>
          <w:szCs w:val="24"/>
        </w:rPr>
        <w:t xml:space="preserve"> Che un funzionario abbia servito nel Dipartimento di Stato negli anni in cui quel nome ne fu titolare, dal 22 settembre 1973 al 20 gennaio 1977, è fatto di organigramma. Il corpus lo classifica per ciò che è: contemporaneità istituzionale, piano due nella lettura più generosa. Trasformarla in catena di comando su un atto del 1978 richiederebbe una carta che nomini insieme le due parti e l'atto. Non risulta.</w:t>
      </w:r>
    </w:p>
    <w:p>
      <w:pPr>
        <w:spacing w:after="120" w:line="276"/>
        <w:jc w:val="both"/>
      </w:pPr>
      <w:r>
        <w:rPr>
          <w:rFonts w:ascii="Barlow Semi Condensed" w:cs="Barlow Semi Condensed" w:eastAsia="Barlow Semi Condensed" w:hAnsi="Barlow Semi Condensed"/>
          <w:b/>
          <w:bCs/>
          <w:sz w:val="24"/>
          <w:szCs w:val="24"/>
        </w:rPr>
        <w:t xml:space="preserve">3167 · La qualificazione delle lettere, e la firma.</w:t>
      </w:r>
      <w:r>
        <w:rPr>
          <w:rFonts w:ascii="Barlow Semi Condensed" w:cs="Barlow Semi Condensed" w:eastAsia="Barlow Semi Condensed" w:hAnsi="Barlow Semi Condensed"/>
          <w:sz w:val="24"/>
          <w:szCs w:val="24"/>
        </w:rPr>
        <w:t xml:space="preserve"> PE-1 consegna il suo dato più pesante: consulenti del comitato — Ferracuti e Pieczenik in particolare — furono fautori della tesi dell'inattendibilità delle lettere di Moro, il prigioniero «fuori di sé». Il quesito documentale è preciso: in quali carte fu formulata, da chi sottoscritta, con quale circolazione, con quali effetti. Su nessuna delle risposte possibili il nome triangolato ha oggi titolo per comparire; se comparisse in una relazione firmata, il grado cambierebbe.</w:t>
      </w:r>
    </w:p>
    <w:p>
      <w:pPr>
        <w:spacing w:after="120" w:line="276"/>
        <w:jc w:val="both"/>
      </w:pPr>
      <w:r>
        <w:rPr>
          <w:rFonts w:ascii="Barlow Semi Condensed" w:cs="Barlow Semi Condensed" w:eastAsia="Barlow Semi Condensed" w:hAnsi="Barlow Semi Condensed"/>
          <w:b/>
          <w:bCs/>
          <w:sz w:val="24"/>
          <w:szCs w:val="24"/>
        </w:rPr>
        <w:t xml:space="preserve">3168 · Gli elenchi di Castiglion Fibocchi (serie XLII).</w:t>
      </w:r>
      <w:r>
        <w:rPr>
          <w:rFonts w:ascii="Barlow Semi Condensed" w:cs="Barlow Semi Condensed" w:eastAsia="Barlow Semi Condensed" w:hAnsi="Barlow Semi Condensed"/>
          <w:sz w:val="24"/>
          <w:szCs w:val="24"/>
        </w:rPr>
        <w:t xml:space="preserve"> Negli elenchi della loggia sequestrati risultano il generale Giuseppe Santovito con tessera 1630 e il generale Giulio Grassini; vi risulta anche Franco Ferracuti, con divergenza dichiarata sulla data d'affiliazione — chi la colloca nei giorni del sequestro, chi nel 1980 — e la divergenza si riporta senza scioglierla. Il nome triangolato non figura in quegli elenchi e nessuna fonte primaria del corpus ve lo colloca: Stato Zero su documento italiano sequestrato.</w:t>
      </w:r>
    </w:p>
    <w:p>
      <w:pPr>
        <w:spacing w:after="120" w:line="276"/>
        <w:jc w:val="both"/>
      </w:pPr>
      <w:r>
        <w:rPr>
          <w:rFonts w:ascii="Barlow Semi Condensed" w:cs="Barlow Semi Condensed" w:eastAsia="Barlow Semi Condensed" w:hAnsi="Barlow Semi Condensed"/>
          <w:b/>
          <w:bCs/>
          <w:sz w:val="24"/>
          <w:szCs w:val="24"/>
        </w:rPr>
        <w:t xml:space="preserve">3169 · L'iscrizione non è condotta.</w:t>
      </w:r>
      <w:r>
        <w:rPr>
          <w:rFonts w:ascii="Barlow Semi Condensed" w:cs="Barlow Semi Condensed" w:eastAsia="Barlow Semi Condensed" w:hAnsi="Barlow Semi Condensed"/>
          <w:sz w:val="24"/>
          <w:szCs w:val="24"/>
        </w:rPr>
        <w:t xml:space="preserve"> La regola scolpita da PE-1 — l'iscrizione accertata di un funzionario è un fatto, mai la prova di una condotta nei cinquantacinque giorni — vale anche in direzione inversa alla triangolazione. Se una futura tavola nominale mostrasse percentuali alte di appartenenza, nulla di ciò toccherebbe un nome che in quegli elenchi non compare. Sommare appartenenze altrui a un terzo assente è l'operazione che questa serie esiste per rendere impossibile.</w:t>
      </w:r>
    </w:p>
    <w:p>
      <w:pPr>
        <w:spacing w:after="120" w:line="276"/>
        <w:jc w:val="both"/>
      </w:pPr>
      <w:r>
        <w:rPr>
          <w:rFonts w:ascii="Barlow Semi Condensed" w:cs="Barlow Semi Condensed" w:eastAsia="Barlow Semi Condensed" w:hAnsi="Barlow Semi Condensed"/>
          <w:b/>
          <w:bCs/>
          <w:sz w:val="24"/>
          <w:szCs w:val="24"/>
        </w:rPr>
        <w:t xml:space="preserve">3170 · La tesi massima, sospesa.</w:t>
      </w:r>
      <w:r>
        <w:rPr>
          <w:rFonts w:ascii="Barlow Semi Condensed" w:cs="Barlow Semi Condensed" w:eastAsia="Barlow Semi Condensed" w:hAnsi="Barlow Semi Condensed"/>
          <w:sz w:val="24"/>
          <w:szCs w:val="24"/>
        </w:rPr>
        <w:t xml:space="preserve"> Circola da decenni la tesi del comitato «interamente composto» da iscritti, che il blocco 201 del manuale investigativo sospende esplicitamente fino alla tavola nominale con le date. Alla tesi massima la pubblicistica accoda spesso un raccordo internazionale generico. Il corpus lo qualifica per quel che è: affermazione terziaria, piano tre, priva di documento di provenienza. Sospensione anche per essa, con lo stesso criterio: la tavola, oppure niente.</w:t>
      </w:r>
    </w:p>
    <w:p>
      <w:pPr>
        <w:spacing w:after="120" w:line="276"/>
        <w:jc w:val="both"/>
      </w:pPr>
      <w:r>
        <w:rPr>
          <w:rFonts w:ascii="Barlow Semi Condensed" w:cs="Barlow Semi Condensed" w:eastAsia="Barlow Semi Condensed" w:hAnsi="Barlow Semi Condensed"/>
          <w:b/>
          <w:bCs/>
          <w:sz w:val="24"/>
          <w:szCs w:val="24"/>
        </w:rPr>
        <w:t xml:space="preserve">3171 · L'accertamento Anselmi e i suoi confini.</w:t>
      </w:r>
      <w:r>
        <w:rPr>
          <w:rFonts w:ascii="Barlow Semi Condensed" w:cs="Barlow Semi Condensed" w:eastAsia="Barlow Semi Condensed" w:hAnsi="Barlow Semi Condensed"/>
          <w:sz w:val="24"/>
          <w:szCs w:val="24"/>
        </w:rPr>
        <w:t xml:space="preserve"> L'accertamento sulla concentrazione di fatto delle indagini al Viminale e sulla menomazione dell'autonomia dell'autorità giudiziaria è portato dal corpus al grado B. Riguarda apparati italiani e una dinamica interna, e nessuna sua riga nomina attori stranieri. Bersaglio di smentita, formulato per essere verificabile: un atto della Commissione che indichi un canale estero come concorrente di quella concentrazione. Allo stato delle carte spogliate non risulta, e l'esito si verbalizza.</w:t>
      </w:r>
    </w:p>
    <w:p>
      <w:pPr>
        <w:spacing w:after="120" w:line="276"/>
        <w:jc w:val="both"/>
      </w:pPr>
      <w:r>
        <w:rPr>
          <w:rFonts w:ascii="Barlow Semi Condensed" w:cs="Barlow Semi Condensed" w:eastAsia="Barlow Semi Condensed" w:hAnsi="Barlow Semi Condensed"/>
          <w:b/>
          <w:bCs/>
          <w:sz w:val="24"/>
          <w:szCs w:val="24"/>
        </w:rPr>
        <w:t xml:space="preserve">3172 · Come deliberava un organo mai riunito.</w:t>
      </w:r>
      <w:r>
        <w:rPr>
          <w:rFonts w:ascii="Barlow Semi Condensed" w:cs="Barlow Semi Condensed" w:eastAsia="Barlow Semi Condensed" w:hAnsi="Barlow Semi Condensed"/>
          <w:sz w:val="24"/>
          <w:szCs w:val="24"/>
        </w:rPr>
        <w:t xml:space="preserve"> La domanda più fine della scheda riguarda il modo in cui circolassero i pareri di un comitato che non si riunì mai collegialmente. Se la risposta fosse per carta, con nota di trasmissione e destinatari elencati, allora esiste una serie di note di trasmissione, e una serie è interrogabile per nomi. È l'unico punto di PE-1 in cui una triangolazione onesta potrebbe produrre un riscontro. Sede: versamenti del Viminale nel fondo Direttiva Renzi.</w:t>
      </w:r>
    </w:p>
    <w:p>
      <w:pPr>
        <w:spacing w:after="120" w:line="276"/>
        <w:jc w:val="both"/>
      </w:pPr>
      <w:r>
        <w:rPr>
          <w:rFonts w:ascii="Barlow Semi Condensed" w:cs="Barlow Semi Condensed" w:eastAsia="Barlow Semi Condensed" w:hAnsi="Barlow Semi Condensed"/>
          <w:b/>
          <w:bCs/>
          <w:sz w:val="24"/>
          <w:szCs w:val="24"/>
        </w:rPr>
        <w:t xml:space="preserve">3173 · Il grado assegnato in anticipo.</w:t>
      </w:r>
      <w:r>
        <w:rPr>
          <w:rFonts w:ascii="Barlow Semi Condensed" w:cs="Barlow Semi Condensed" w:eastAsia="Barlow Semi Condensed" w:hAnsi="Barlow Semi Condensed"/>
          <w:sz w:val="24"/>
          <w:szCs w:val="24"/>
        </w:rPr>
        <w:t xml:space="preserve"> Si fissa ora, prima di aprire i fondi, il grado che spetterà a ciascun esito possibile su PE-1. Un elenco di presenza col nome: piano uno, grado A. Una menzione dentro il parere di un terzo: fatto sulla circolazione di un'idea, non sull'atto. Un rinvio bibliografico a un'opera dottrinale: nulla di rilevante. Dichiarare la scala prima della ricerca azzera il margine di adattamento all'esito ottenuto.</w:t>
      </w:r>
    </w:p>
    <w:p>
      <w:pPr>
        <w:spacing w:after="120" w:line="276"/>
        <w:jc w:val="both"/>
      </w:pPr>
      <w:r>
        <w:rPr>
          <w:rFonts w:ascii="Barlow Semi Condensed" w:cs="Barlow Semi Condensed" w:eastAsia="Barlow Semi Condensed" w:hAnsi="Barlow Semi Condensed"/>
          <w:b/>
          <w:bCs/>
          <w:sz w:val="24"/>
          <w:szCs w:val="24"/>
        </w:rPr>
        <w:t xml:space="preserve">3174 · Trenta giorni senza nomi stranieri.</w:t>
      </w:r>
      <w:r>
        <w:rPr>
          <w:rFonts w:ascii="Barlow Semi Condensed" w:cs="Barlow Semi Condensed" w:eastAsia="Barlow Semi Condensed" w:hAnsi="Barlow Semi Condensed"/>
          <w:sz w:val="24"/>
          <w:szCs w:val="24"/>
        </w:rPr>
        <w:t xml:space="preserve"> La sequenza di via Gradoli è integralmente italiana negli attori documentati: la nota dell'informatrice Lucia Mokbel sui rumori dall'interno 11, il campanello senza risposta del 18 marzo con la squadra del commissariato Flaminio Nuovo guidata dal brigadiere Domenico Merola, il rubinetto della doccia nel verbale dei vigili del fuoco del 18 aprile. Nessuna delle carte censite dalla scheda contempla un interlocutore estero. Esito negativo su sequenza completa.</w:t>
      </w:r>
    </w:p>
    <w:p>
      <w:pPr>
        <w:spacing w:after="120" w:line="276"/>
        <w:jc w:val="both"/>
      </w:pPr>
      <w:r>
        <w:rPr>
          <w:rFonts w:ascii="Barlow Semi Condensed" w:cs="Barlow Semi Condensed" w:eastAsia="Barlow Semi Condensed" w:hAnsi="Barlow Semi Condensed"/>
          <w:b/>
          <w:bCs/>
          <w:sz w:val="24"/>
          <w:szCs w:val="24"/>
        </w:rPr>
        <w:t xml:space="preserve">3175 · La catena protocollare come luogo del riscontro.</w:t>
      </w:r>
      <w:r>
        <w:rPr>
          <w:rFonts w:ascii="Barlow Semi Condensed" w:cs="Barlow Semi Condensed" w:eastAsia="Barlow Semi Condensed" w:hAnsi="Barlow Semi Condensed"/>
          <w:sz w:val="24"/>
          <w:szCs w:val="24"/>
        </w:rPr>
        <w:t xml:space="preserve"> Il quesito Q1 di PE-3 chiede la catena documentale della nota: protocollo d'ingresso, assegnazione, disposizioni scritte alla squadra, rapporto di Merola, eventuale nota di mancato seguito, cioè i blocchi 101 e 102 del manuale. È in quella catena, e in nessun altro luogo, che una menzione estera lascerebbe traccia d'ufficio. Attesa dichiarata prima della ricerca: nessuna menzione, e la ragione è di competenza territoriale.</w:t>
      </w:r>
    </w:p>
    <w:p>
      <w:pPr>
        <w:spacing w:after="120" w:line="276"/>
        <w:jc w:val="both"/>
      </w:pPr>
      <w:r>
        <w:rPr>
          <w:rFonts w:ascii="Barlow Semi Condensed" w:cs="Barlow Semi Condensed" w:eastAsia="Barlow Semi Condensed" w:hAnsi="Barlow Semi Condensed"/>
          <w:b/>
          <w:bCs/>
          <w:sz w:val="24"/>
          <w:szCs w:val="24"/>
        </w:rPr>
        <w:t xml:space="preserve">3176 · Il rubinetto e le due ipotesi.</w:t>
      </w:r>
      <w:r>
        <w:rPr>
          <w:rFonts w:ascii="Barlow Semi Condensed" w:cs="Barlow Semi Condensed" w:eastAsia="Barlow Semi Condensed" w:hAnsi="Barlow Semi Condensed"/>
          <w:sz w:val="24"/>
          <w:szCs w:val="24"/>
        </w:rPr>
        <w:t xml:space="preserve"> Q2 oppone la distrazione documentata dal verbale alla perdita deliberata per far scoprire il covo, con i rilievi fotografici originali del bagno come unica evidenza discriminante. Entrambe le ipotesi restano C. Nessuna delle due, per come la scheda le formula, chiama in causa attori esterni all'ambiente italiano del sequestro: chi sostiene la seconda ipotizza una mano interna, non una regia atlantica. La triangolazione non ha qui alcun aggancio.</w:t>
      </w:r>
    </w:p>
    <w:p>
      <w:pPr>
        <w:spacing w:after="120" w:line="276"/>
        <w:jc w:val="both"/>
      </w:pPr>
      <w:r>
        <w:rPr>
          <w:rFonts w:ascii="Barlow Semi Condensed" w:cs="Barlow Semi Condensed" w:eastAsia="Barlow Semi Condensed" w:hAnsi="Barlow Semi Condensed"/>
          <w:b/>
          <w:bCs/>
          <w:sz w:val="24"/>
          <w:szCs w:val="24"/>
        </w:rPr>
        <w:t xml:space="preserve">3177 · Il triplo 18 aprile, e il divieto.</w:t>
      </w:r>
      <w:r>
        <w:rPr>
          <w:rFonts w:ascii="Barlow Semi Condensed" w:cs="Barlow Semi Condensed" w:eastAsia="Barlow Semi Condensed" w:hAnsi="Barlow Semi Condensed"/>
          <w:sz w:val="24"/>
          <w:szCs w:val="24"/>
        </w:rPr>
        <w:t xml:space="preserve"> Falso comunicato numero sette, scoperta del covo, messinscena del lago della Duchessa: il grappolo temporale è un fatto, il suo significato non lo è. La regola della scheda vieta di assumere il grappolo come regia finché gli atti non parlino, e la stessa regola vieta di popolare quella regia ipotetica con nomi presi altrove. Un nome senza documento aggiunto a una coincidenza senza spiegazione produce due errori.</w:t>
      </w:r>
    </w:p>
    <w:p>
      <w:pPr>
        <w:spacing w:after="120" w:line="276"/>
        <w:jc w:val="both"/>
      </w:pPr>
      <w:r>
        <w:rPr>
          <w:rFonts w:ascii="Barlow Semi Condensed" w:cs="Barlow Semi Condensed" w:eastAsia="Barlow Semi Condensed" w:hAnsi="Barlow Semi Condensed"/>
          <w:b/>
          <w:bCs/>
          <w:sz w:val="24"/>
          <w:szCs w:val="24"/>
        </w:rPr>
        <w:t xml:space="preserve">3178 · Chi abitava l'interno 11.</w:t>
      </w:r>
      <w:r>
        <w:rPr>
          <w:rFonts w:ascii="Barlow Semi Condensed" w:cs="Barlow Semi Condensed" w:eastAsia="Barlow Semi Condensed" w:hAnsi="Barlow Semi Condensed"/>
          <w:sz w:val="24"/>
          <w:szCs w:val="24"/>
        </w:rPr>
        <w:t xml:space="preserve"> L'appartamento risultava affittato dal 1975 all'«ing. Borghi», cioè Mario Moretti, ed era in uso in quei giorni a Moretti e Balzerani; vi avevano abitato per primi Bonisoli e Brioschi. Sono fatti di giudicato, scritti nelle sentenze dei processi Moro, e il perimetro penale del nodo è chiuso lì. La serie non aggiunge né sottrae responsabili, e nessun nome triangolato entra in quel perimetro.</w:t>
      </w:r>
    </w:p>
    <w:p>
      <w:pPr>
        <w:spacing w:after="120" w:line="276"/>
        <w:jc w:val="both"/>
      </w:pPr>
      <w:r>
        <w:rPr>
          <w:rFonts w:ascii="Barlow Semi Condensed" w:cs="Barlow Semi Condensed" w:eastAsia="Barlow Semi Condensed" w:hAnsi="Barlow Semi Condensed"/>
          <w:b/>
          <w:bCs/>
          <w:sz w:val="24"/>
          <w:szCs w:val="24"/>
        </w:rPr>
        <w:t xml:space="preserve">3179 · La sede americana che non esiste.</w:t>
      </w:r>
      <w:r>
        <w:rPr>
          <w:rFonts w:ascii="Barlow Semi Condensed" w:cs="Barlow Semi Condensed" w:eastAsia="Barlow Semi Condensed" w:hAnsi="Barlow Semi Condensed"/>
          <w:sz w:val="24"/>
          <w:szCs w:val="24"/>
        </w:rPr>
        <w:t xml:space="preserve"> Per PE-3 non esiste alcuna sede d'archivio statunitense capace di chiudere lo Stato Zero, perché nessun atto americano era dovuto su un controllo di polizia urbana romana. Questo distingue PE-3 da PE-5: là l'assenza si misura su una serie che esiste, qui su una serie che non dovrebbe esistere. Il blocco 649 dell'opera-madre lo enuncia: un vuoto è informativo solo se l'attesa era motivata da una prassi documentata.</w:t>
      </w:r>
    </w:p>
    <w:p>
      <w:pPr>
        <w:spacing w:after="120" w:line="276"/>
        <w:jc w:val="both"/>
      </w:pPr>
      <w:r>
        <w:rPr>
          <w:rFonts w:ascii="Barlow Semi Condensed" w:cs="Barlow Semi Condensed" w:eastAsia="Barlow Semi Condensed" w:hAnsi="Barlow Semi Condensed"/>
          <w:b/>
          <w:bCs/>
          <w:sz w:val="24"/>
          <w:szCs w:val="24"/>
        </w:rPr>
        <w:t xml:space="preserve">3180 · Che cosa falsificherebbe il campanello.</w:t>
      </w:r>
      <w:r>
        <w:rPr>
          <w:rFonts w:ascii="Barlow Semi Condensed" w:cs="Barlow Semi Condensed" w:eastAsia="Barlow Semi Condensed" w:hAnsi="Barlow Semi Condensed"/>
          <w:sz w:val="24"/>
          <w:szCs w:val="24"/>
        </w:rPr>
        <w:t xml:space="preserve"> Bersaglio di smentita, formulato per intero: comparirebbe un nesso se il fascicolo del commissariato Flaminio Nuovo, il registro dei controlli di zona o il carteggio questura-UCIGOS-Viminale del 18 marzo recassero una disposizione riferita a una fonte alleata, con data e firma. Sarebbe piano uno e cambierebbe la scheda. Finché quelle carte non sono riacquisite, l'affermazione contraria e quella favorevole valgono documentalmente lo stesso, cioè nulla.</w:t>
      </w:r>
    </w:p>
    <w:p>
      <w:pPr>
        <w:spacing w:after="120" w:line="276"/>
        <w:jc w:val="both"/>
      </w:pPr>
      <w:r>
        <w:rPr>
          <w:rFonts w:ascii="Barlow Semi Condensed" w:cs="Barlow Semi Condensed" w:eastAsia="Barlow Semi Condensed" w:hAnsi="Barlow Semi Condensed"/>
          <w:b/>
          <w:bCs/>
          <w:sz w:val="24"/>
          <w:szCs w:val="24"/>
        </w:rPr>
        <w:t xml:space="preserve">3181 · L'informatrice e il brigadiere.</w:t>
      </w:r>
      <w:r>
        <w:rPr>
          <w:rFonts w:ascii="Barlow Semi Condensed" w:cs="Barlow Semi Condensed" w:eastAsia="Barlow Semi Condensed" w:hAnsi="Barlow Semi Condensed"/>
          <w:sz w:val="24"/>
          <w:szCs w:val="24"/>
        </w:rPr>
        <w:t xml:space="preserve"> Sono fatti d'ufficio documentati, l'una fonte e l'altro operante, e a nessuno dei due gli atti attribuiscono altro: la scheda lo scrive e la serie lo ripete, perché una triangolazione internazionale ha la tentazione di trasformare ogni anello locale in complice. Il divieto vale identico quando il nome che si vorrebbe agganciare è illustre. Nessuna persona è qui indicata come responsabile penale oltre il giudicato definitivo.</w:t>
      </w:r>
    </w:p>
    <w:p>
      <w:pPr>
        <w:spacing w:after="120" w:line="276"/>
        <w:jc w:val="both"/>
      </w:pPr>
      <w:r>
        <w:rPr>
          <w:rFonts w:ascii="Barlow Semi Condensed" w:cs="Barlow Semi Condensed" w:eastAsia="Barlow Semi Condensed" w:hAnsi="Barlow Semi Condensed"/>
          <w:b/>
          <w:bCs/>
          <w:sz w:val="24"/>
          <w:szCs w:val="24"/>
        </w:rPr>
        <w:t xml:space="preserve">3182 · Il ritardo di trenta giorni.</w:t>
      </w:r>
      <w:r>
        <w:rPr>
          <w:rFonts w:ascii="Barlow Semi Condensed" w:cs="Barlow Semi Condensed" w:eastAsia="Barlow Semi Condensed" w:hAnsi="Barlow Semi Condensed"/>
          <w:sz w:val="24"/>
          <w:szCs w:val="24"/>
        </w:rPr>
        <w:t xml:space="preserve"> Fra il campanello del 18 marzo e la doccia del 18 aprile corrono trenta giorni, compatibili con la negligenza da sovraccarico e con l'ipotesi del filtro: solo le carte discriminano. Aggiungere alla seconda ipotesi un mandante estero non la rafforza, la rende meno verificabile, perché sposta la prova in un archivio che su questo fatto non produce documenti. È la ragione per cui il corpus preferisce il protocollo.</w:t>
      </w:r>
    </w:p>
    <w:p>
      <w:pPr>
        <w:spacing w:after="120" w:line="276"/>
        <w:jc w:val="both"/>
      </w:pPr>
      <w:r>
        <w:rPr>
          <w:rFonts w:ascii="Barlow Semi Condensed" w:cs="Barlow Semi Condensed" w:eastAsia="Barlow Semi Condensed" w:hAnsi="Barlow Semi Condensed"/>
          <w:b/>
          <w:bCs/>
          <w:sz w:val="24"/>
          <w:szCs w:val="24"/>
        </w:rPr>
        <w:t xml:space="preserve">3183 · La conservatoria e i suoi nomi.</w:t>
      </w:r>
      <w:r>
        <w:rPr>
          <w:rFonts w:ascii="Barlow Semi Condensed" w:cs="Barlow Semi Condensed" w:eastAsia="Barlow Semi Condensed" w:hAnsi="Barlow Semi Condensed"/>
          <w:sz w:val="24"/>
          <w:szCs w:val="24"/>
        </w:rPr>
        <w:t xml:space="preserve"> PE-2 chiede visure storiche integrali di catasto e conservatoria per i sessantasei appartamenti di via Gradoli 96 nella finestra 1970-1990, e i fascicoli societari di Monte Valle Verde, Caseroma, Gradoli spa e della fiduciaria Fidrev al registro delle imprese. Sono registri pubblici e nominativi, dunque l'accertamento è meccanico e a costo quasi nullo. Nessuna fonte propone il nome triangolato fra quei nominativi: verifica dovuta e non ancora eseguita.</w:t>
      </w:r>
    </w:p>
    <w:p>
      <w:pPr>
        <w:spacing w:after="120" w:line="276"/>
        <w:jc w:val="both"/>
      </w:pPr>
      <w:r>
        <w:rPr>
          <w:rFonts w:ascii="Barlow Semi Condensed" w:cs="Barlow Semi Condensed" w:eastAsia="Barlow Semi Condensed" w:hAnsi="Barlow Semi Condensed"/>
          <w:b/>
          <w:bCs/>
          <w:sz w:val="24"/>
          <w:szCs w:val="24"/>
        </w:rPr>
        <w:t xml:space="preserve">3184 · Le date del secondo strato.</w:t>
      </w:r>
      <w:r>
        <w:rPr>
          <w:rFonts w:ascii="Barlow Semi Condensed" w:cs="Barlow Semi Condensed" w:eastAsia="Barlow Semi Condensed" w:hAnsi="Barlow Semi Condensed"/>
          <w:sz w:val="24"/>
          <w:szCs w:val="24"/>
        </w:rPr>
        <w:t xml:space="preserve"> Il dibattimento di Bologna del giugno 2021 riferisce Domenico Catracchia amministratore unico di Caseroma e dell'Immobiliare Gradoli, quest'ultima collegata a Fidrev, fiduciaria di consulenza del SISDE, e quattro immobili riferiti al prefetto Vincenzo Parisi fra il 1979 e il 1986, uno al civico 96. Sono ruoli societari e date, non addebiti, e il corpus non ne formula. Nessuna di quelle date cade dentro un mandato del nome triangolato.</w:t>
      </w:r>
    </w:p>
    <w:p>
      <w:pPr>
        <w:spacing w:after="120" w:line="276"/>
        <w:jc w:val="both"/>
      </w:pPr>
      <w:r>
        <w:rPr>
          <w:rFonts w:ascii="Barlow Semi Condensed" w:cs="Barlow Semi Condensed" w:eastAsia="Barlow Semi Condensed" w:hAnsi="Barlow Semi Condensed"/>
          <w:b/>
          <w:bCs/>
          <w:sz w:val="24"/>
          <w:szCs w:val="24"/>
        </w:rPr>
        <w:t xml:space="preserve">3185 · Il divieto di retrodatare, esteso.</w:t>
      </w:r>
      <w:r>
        <w:rPr>
          <w:rFonts w:ascii="Barlow Semi Condensed" w:cs="Barlow Semi Condensed" w:eastAsia="Barlow Semi Condensed" w:hAnsi="Barlow Semi Condensed"/>
          <w:sz w:val="24"/>
          <w:szCs w:val="24"/>
        </w:rPr>
        <w:t xml:space="preserve"> Un acquisto del 1979 non prova nulla sul 1978: la scheda lo scolpisce contro l'epiteto «condominio di Stato». La serie estende il divieto alla dimensione internazionale. Un colloquio documentato del settembre 1974 non prova nulla su una proprietà del 1981, e la presenza di esponenti dei NAR nello stabile nel 1981 non retroagisce su alcunché. La cronologia è la prima disciplina della triangolazione, e la più violata.</w:t>
      </w:r>
    </w:p>
    <w:p>
      <w:pPr>
        <w:spacing w:after="120" w:line="276"/>
        <w:jc w:val="both"/>
      </w:pPr>
      <w:r>
        <w:rPr>
          <w:rFonts w:ascii="Barlow Semi Condensed" w:cs="Barlow Semi Condensed" w:eastAsia="Barlow Semi Condensed" w:hAnsi="Barlow Semi Condensed"/>
          <w:b/>
          <w:bCs/>
          <w:sz w:val="24"/>
          <w:szCs w:val="24"/>
        </w:rPr>
        <w:t xml:space="preserve">3186 · Fidrev, e il quesito che le compete.</w:t>
      </w:r>
      <w:r>
        <w:rPr>
          <w:rFonts w:ascii="Barlow Semi Condensed" w:cs="Barlow Semi Condensed" w:eastAsia="Barlow Semi Condensed" w:hAnsi="Barlow Semi Condensed"/>
          <w:sz w:val="24"/>
          <w:szCs w:val="24"/>
        </w:rPr>
        <w:t xml:space="preserve"> La fiduciaria collegata al servizio interno è oggetto di un quesito documentale preciso: data d'ingresso nel quadro societario, compagini, amministratori nel tempo, bilanci, secondo il blocco 109 del manuale investigativo. È materia di registro delle imprese italiano. Nessun canale documentale collega quel fascicolo a un archivio statunitense, e non ne esiste uno che dovrebbe conservarne copia: qui l'assenza non è misurabile, perché la serie corrispondente non esiste.</w:t>
      </w:r>
    </w:p>
    <w:p>
      <w:pPr>
        <w:spacing w:after="120" w:line="276"/>
        <w:jc w:val="both"/>
      </w:pPr>
      <w:r>
        <w:rPr>
          <w:rFonts w:ascii="Barlow Semi Condensed" w:cs="Barlow Semi Condensed" w:eastAsia="Barlow Semi Condensed" w:hAnsi="Barlow Semi Condensed"/>
          <w:b/>
          <w:bCs/>
          <w:sz w:val="24"/>
          <w:szCs w:val="24"/>
        </w:rPr>
        <w:t xml:space="preserve">3187 · La dichiarazione di parte, e la simmetria.</w:t>
      </w:r>
      <w:r>
        <w:rPr>
          <w:rFonts w:ascii="Barlow Semi Condensed" w:cs="Barlow Semi Condensed" w:eastAsia="Barlow Semi Condensed" w:hAnsi="Barlow Semi Condensed"/>
          <w:sz w:val="24"/>
          <w:szCs w:val="24"/>
        </w:rPr>
        <w:t xml:space="preserve"> «Dei covi del SISDE non sapevamo»: la posizione resa pubblicamente da Adriana Faranda nel 2021 è registrata dal corpus come dichiarazione di parte, grado F. La serie non la usa per confermare né per smentire, e segnala la simmetria di metodo: anche la smentita costantemente opposta dall'interessato all'episodio dell'avvertimento è dichiarazione di parte. Le due si trattano con la stessa scala, altrimenti la scala non è una scala.</w:t>
      </w:r>
    </w:p>
    <w:p>
      <w:pPr>
        <w:spacing w:after="120" w:line="276"/>
        <w:jc w:val="both"/>
      </w:pPr>
      <w:r>
        <w:rPr>
          <w:rFonts w:ascii="Barlow Semi Condensed" w:cs="Barlow Semi Condensed" w:eastAsia="Barlow Semi Condensed" w:hAnsi="Barlow Semi Condensed"/>
          <w:b/>
          <w:bCs/>
          <w:sz w:val="24"/>
          <w:szCs w:val="24"/>
        </w:rPr>
        <w:t xml:space="preserve">3188 · Tre ipotesi, e nessuna quarta.</w:t>
      </w:r>
      <w:r>
        <w:rPr>
          <w:rFonts w:ascii="Barlow Semi Condensed" w:cs="Barlow Semi Condensed" w:eastAsia="Barlow Semi Condensed" w:hAnsi="Barlow Semi Condensed"/>
          <w:sz w:val="24"/>
          <w:szCs w:val="24"/>
        </w:rPr>
        <w:t xml:space="preserve"> Insediamento successivo, coabitazione coeva, coincidenza immobiliare: tre ipotesi, tutte di grado C finché le date non arrivano dalla conservatoria. Nessuna quarta ipotesi a matrice estera è formulata dalla scheda, e la serie non la introduce, perché introdurre un'ipotesi priva di evidenza che la sostenga abbassa il livello di tutte. Il numero delle ipotesi in una griglia ACH è esso stesso un dato di metodo, e si giustifica per iscritto.</w:t>
      </w:r>
    </w:p>
    <w:p>
      <w:pPr>
        <w:spacing w:after="120" w:line="276"/>
        <w:jc w:val="both"/>
      </w:pPr>
      <w:r>
        <w:rPr>
          <w:rFonts w:ascii="Barlow Semi Condensed" w:cs="Barlow Semi Condensed" w:eastAsia="Barlow Semi Condensed" w:hAnsi="Barlow Semi Condensed"/>
          <w:b/>
          <w:bCs/>
          <w:sz w:val="24"/>
          <w:szCs w:val="24"/>
        </w:rPr>
        <w:t xml:space="preserve">3189 · Che cosa restituirebbe una visura.</w:t>
      </w:r>
      <w:r>
        <w:rPr>
          <w:rFonts w:ascii="Barlow Semi Condensed" w:cs="Barlow Semi Condensed" w:eastAsia="Barlow Semi Condensed" w:hAnsi="Barlow Semi Condensed"/>
          <w:sz w:val="24"/>
          <w:szCs w:val="24"/>
        </w:rPr>
        <w:t xml:space="preserve"> Si scrive in anticipo il bersaglio di smentita per PE-2: la comparsa, in una visura storica o in un libro soci, di una società con sede statunitense o di un nominativo riconducibile alla cornice atlantica documentata. Sarebbe un fatto da verbalizzare e da qualificare, non un nesso, perché la proprietà di un immobile non è condotta. Anche allora servirebbe una carta che nomini insieme immobile, persona e cinquantacinque giorni.</w:t>
      </w:r>
    </w:p>
    <w:p>
      <w:pPr>
        <w:spacing w:after="120" w:line="276"/>
        <w:jc w:val="both"/>
      </w:pPr>
      <w:r>
        <w:rPr>
          <w:rFonts w:ascii="Barlow Semi Condensed" w:cs="Barlow Semi Condensed" w:eastAsia="Barlow Semi Condensed" w:hAnsi="Barlow Semi Condensed"/>
          <w:b/>
          <w:bCs/>
          <w:sz w:val="24"/>
          <w:szCs w:val="24"/>
        </w:rPr>
        <w:t xml:space="preserve">3190 · La tavola proprietà per tempo.</w:t>
      </w:r>
      <w:r>
        <w:rPr>
          <w:rFonts w:ascii="Barlow Semi Condensed" w:cs="Barlow Semi Condensed" w:eastAsia="Barlow Semi Condensed" w:hAnsi="Barlow Semi Condensed"/>
          <w:sz w:val="24"/>
          <w:szCs w:val="24"/>
        </w:rPr>
        <w:t xml:space="preserve"> La tavola cronologica proprietà per tempo, con le tre finestre marcate — 1975-78 per il covo, 1979-86 per gli acquisti riferiti in dibattimento, 1981 per la presenza NAR — è lo strumento che in quarant'anni nessuno ha pubblicato con le date. La serie vi propone una colonna di controllo: la nazionalità dei soggetti censiti. Una colonna vuota dichiarata vale come esito; una colonna non prevista non produce alcun esito.</w:t>
      </w:r>
    </w:p>
    <w:p>
      <w:pPr>
        <w:spacing w:after="120" w:line="276"/>
        <w:jc w:val="both"/>
      </w:pPr>
      <w:r>
        <w:rPr>
          <w:rFonts w:ascii="Barlow Semi Condensed" w:cs="Barlow Semi Condensed" w:eastAsia="Barlow Semi Condensed" w:hAnsi="Barlow Semi Condensed"/>
          <w:b/>
          <w:bCs/>
          <w:sz w:val="24"/>
          <w:szCs w:val="24"/>
        </w:rPr>
        <w:t xml:space="preserve">3191 · La fine documentale di un equivoco.</w:t>
      </w:r>
      <w:r>
        <w:rPr>
          <w:rFonts w:ascii="Barlow Semi Condensed" w:cs="Barlow Semi Condensed" w:eastAsia="Barlow Semi Condensed" w:hAnsi="Barlow Semi Condensed"/>
          <w:sz w:val="24"/>
          <w:szCs w:val="24"/>
        </w:rPr>
        <w:t xml:space="preserve"> Se le date collocassero tutte le presenze fiduciarie dopo il 1978, il «condominio di Stato» andrebbe riscritto come fenomeno del dopo-Moro, e la scheda considera anche questo un guadagno netto. La serie registra il caso simmetrico: se la triangolazione atlantica su questo nodo non produce nulla, la sua caduta documentale è parimenti un guadagno, perché sottrae materiale a una circolazione che si alimenta di nodi lasciati aperti.</w:t>
      </w:r>
    </w:p>
    <w:p>
      <w:pPr>
        <w:spacing w:after="120" w:line="276"/>
        <w:jc w:val="both"/>
      </w:pPr>
      <w:r>
        <w:rPr>
          <w:rFonts w:ascii="Barlow Semi Condensed" w:cs="Barlow Semi Condensed" w:eastAsia="Barlow Semi Condensed" w:hAnsi="Barlow Semi Condensed"/>
          <w:b/>
          <w:bCs/>
          <w:sz w:val="24"/>
          <w:szCs w:val="24"/>
        </w:rPr>
        <w:t xml:space="preserve">3192 · Il canale del papa, e la data.</w:t>
      </w:r>
      <w:r>
        <w:rPr>
          <w:rFonts w:ascii="Barlow Semi Condensed" w:cs="Barlow Semi Condensed" w:eastAsia="Barlow Semi Condensed" w:hAnsi="Barlow Semi Condensed"/>
          <w:sz w:val="24"/>
          <w:szCs w:val="24"/>
        </w:rPr>
        <w:t xml:space="preserve"> Mons. Cesare Curioni, ispettore generale dei cappellani delle carceri, fu incaricato da Paolo VI di cercare contatti e avviare una trattativa attraverso il pagamento di un riscatto, e attivò contatti sia con brigatisti detenuti sia con un intermediario rimasto ignoto. L'attività si colloca nella primavera del 1978. Il nome triangolato non compare in alcuna fonte della scheda, e non aveva allora ufficio capace di intersecare quel canale.</w:t>
      </w:r>
    </w:p>
    <w:p>
      <w:pPr>
        <w:spacing w:after="120" w:line="276"/>
        <w:jc w:val="both"/>
      </w:pPr>
      <w:r>
        <w:rPr>
          <w:rFonts w:ascii="Barlow Semi Condensed" w:cs="Barlow Semi Condensed" w:eastAsia="Barlow Semi Condensed" w:hAnsi="Barlow Semi Condensed"/>
          <w:b/>
          <w:bCs/>
          <w:sz w:val="24"/>
          <w:szCs w:val="24"/>
        </w:rPr>
        <w:t xml:space="preserve">3193 · L'audizione Fabbri, da spogliare.</w:t>
      </w:r>
      <w:r>
        <w:rPr>
          <w:rFonts w:ascii="Barlow Semi Condensed" w:cs="Barlow Semi Condensed" w:eastAsia="Barlow Semi Condensed" w:hAnsi="Barlow Semi Condensed"/>
          <w:sz w:val="24"/>
          <w:szCs w:val="24"/>
        </w:rPr>
        <w:t xml:space="preserve"> Il riserbo fu rotto nel 2004 con lo storico Vladimiro Satta da mons. Fabio Fabbri, vice di Curioni, poi udito dalla Commissione Moro 2 il 4 febbraio 2016: da lì vengono le mazzette di dollari con fascette di banca ebraica mostrate sotto un panno, il controvalore di circa dieci miliardi di lire, i nomi dei cappellani repertati nei covi. Bersaglio a costo basso: lo spoglio integrale di quel resoconto stenografico.</w:t>
      </w:r>
    </w:p>
    <w:p>
      <w:pPr>
        <w:spacing w:after="120" w:line="276"/>
        <w:jc w:val="both"/>
      </w:pPr>
      <w:r>
        <w:rPr>
          <w:rFonts w:ascii="Barlow Semi Condensed" w:cs="Barlow Semi Condensed" w:eastAsia="Barlow Semi Condensed" w:hAnsi="Barlow Semi Condensed"/>
          <w:b/>
          <w:bCs/>
          <w:sz w:val="24"/>
          <w:szCs w:val="24"/>
        </w:rPr>
        <w:t xml:space="preserve">3194 · Il finanziatore e il suo versante.</w:t>
      </w:r>
      <w:r>
        <w:rPr>
          <w:rFonts w:ascii="Barlow Semi Condensed" w:cs="Barlow Semi Condensed" w:eastAsia="Barlow Semi Condensed" w:hAnsi="Barlow Semi Condensed"/>
          <w:sz w:val="24"/>
          <w:szCs w:val="24"/>
        </w:rPr>
        <w:t xml:space="preserve"> Secondo gli accertamenti della Commissione Moro 2 il finanziatore della somma fu l'uomo d'affari israeliano Shmuel «Sammy» Flatto-Sharon, allora membro della Knesset. Il corpus registra il fatto come accertamento parlamentare e nulla oltre. Che il nome triangolato sia stato protagonista della diplomazia mediorientale fino al gennaio 1977 è cornice, non ponte: la contemporaneità di una biografia con un ambiente non è prova di alcun nesso, e non se ne deduce.</w:t>
      </w:r>
    </w:p>
    <w:p>
      <w:pPr>
        <w:spacing w:after="120" w:line="276"/>
        <w:jc w:val="both"/>
      </w:pPr>
      <w:r>
        <w:rPr>
          <w:rFonts w:ascii="Barlow Semi Condensed" w:cs="Barlow Semi Condensed" w:eastAsia="Barlow Semi Condensed" w:hAnsi="Barlow Semi Condensed"/>
          <w:b/>
          <w:bCs/>
          <w:sz w:val="24"/>
          <w:szCs w:val="24"/>
        </w:rPr>
        <w:t xml:space="preserve">3195 · Omologia e analogia sul canale riservato.</w:t>
      </w:r>
      <w:r>
        <w:rPr>
          <w:rFonts w:ascii="Barlow Semi Condensed" w:cs="Barlow Semi Condensed" w:eastAsia="Barlow Semi Condensed" w:hAnsi="Barlow Semi Condensed"/>
          <w:sz w:val="24"/>
          <w:szCs w:val="24"/>
        </w:rPr>
        <w:t xml:space="preserve"> Due canali riservati che funzionano allo stesso modo — un intermediario ignoto, denaro non tracciato, nessuna carta superstite — non dimostrano un antenato comune. È il caso da manuale dell'analogia scambiata per omologia: risultati simili prodotti da vincoli simili, cioè clandestinità e urgenza. Il test resta unico e non ammette surrogati, ed è un documento di provenienza che nomini la controparte. Su PE-4 non ne risulta alcuno.</w:t>
      </w:r>
    </w:p>
    <w:p>
      <w:pPr>
        <w:spacing w:after="120" w:line="276"/>
        <w:jc w:val="both"/>
      </w:pPr>
      <w:r>
        <w:rPr>
          <w:rFonts w:ascii="Barlow Semi Condensed" w:cs="Barlow Semi Condensed" w:eastAsia="Barlow Semi Condensed" w:hAnsi="Barlow Semi Condensed"/>
          <w:b/>
          <w:bCs/>
          <w:sz w:val="24"/>
          <w:szCs w:val="24"/>
        </w:rPr>
        <w:t xml:space="preserve">3196 · Le due stesure della lettera.</w:t>
      </w:r>
      <w:r>
        <w:rPr>
          <w:rFonts w:ascii="Barlow Semi Condensed" w:cs="Barlow Semi Condensed" w:eastAsia="Barlow Semi Condensed" w:hAnsi="Barlow Semi Condensed"/>
          <w:sz w:val="24"/>
          <w:szCs w:val="24"/>
        </w:rPr>
        <w:t xml:space="preserve"> La lettera di Paolo VI agli uomini delle Brigate Rosse, scritta di suo pugno il 21-22 aprile 1978, recava in prima stesura «senza alcuna imbarazzante condizione»; l'aggettivo cadde nella versione definitiva, corretta sotto dettatura di don Pasquale Macchi. Il dato filologico è B, l'intenzione resta C. Il quesito Q3 chiede l'edizione critica delle minute autografe. Nessuna variante nota rinvia a interlocutori esterni alla Segreteria di Stato.</w:t>
      </w:r>
    </w:p>
    <w:p>
      <w:pPr>
        <w:spacing w:after="120" w:line="276"/>
        <w:jc w:val="both"/>
      </w:pPr>
      <w:r>
        <w:rPr>
          <w:rFonts w:ascii="Barlow Semi Condensed" w:cs="Barlow Semi Condensed" w:eastAsia="Barlow Semi Condensed" w:hAnsi="Barlow Semi Condensed"/>
          <w:b/>
          <w:bCs/>
          <w:sz w:val="24"/>
          <w:szCs w:val="24"/>
        </w:rPr>
        <w:t xml:space="preserve">3197 · Il doppio binario, e il terzo livello.</w:t>
      </w:r>
      <w:r>
        <w:rPr>
          <w:rFonts w:ascii="Barlow Semi Condensed" w:cs="Barlow Semi Condensed" w:eastAsia="Barlow Semi Condensed" w:hAnsi="Barlow Semi Condensed"/>
          <w:sz w:val="24"/>
          <w:szCs w:val="24"/>
        </w:rPr>
        <w:t xml:space="preserve"> Appello pubblico che dice «senza condizioni» e canale riservato che le condizioni economiche le stava preparando: la scheda vieta di leggervi doppiezza, perché è la prassi di ogni mediazione umanitaria sotto sequestro. La serie eredita il divieto e ne trae la propria conseguenza: l'esistenza di un doppio livello non autorizza a postulare un terzo livello, estero e occulto. Ogni livello ulteriore va provato con carte proprie e nominative.</w:t>
      </w:r>
    </w:p>
    <w:p>
      <w:pPr>
        <w:spacing w:after="120" w:line="276"/>
        <w:jc w:val="both"/>
      </w:pPr>
      <w:r>
        <w:rPr>
          <w:rFonts w:ascii="Barlow Semi Condensed" w:cs="Barlow Semi Condensed" w:eastAsia="Barlow Semi Condensed" w:hAnsi="Barlow Semi Condensed"/>
          <w:b/>
          <w:bCs/>
          <w:sz w:val="24"/>
          <w:szCs w:val="24"/>
        </w:rPr>
        <w:t xml:space="preserve">3198 · L'Archivio Apostolico e il suo giorno.</w:t>
      </w:r>
      <w:r>
        <w:rPr>
          <w:rFonts w:ascii="Barlow Semi Condensed" w:cs="Barlow Semi Condensed" w:eastAsia="Barlow Semi Condensed" w:hAnsi="Barlow Semi Condensed"/>
          <w:sz w:val="24"/>
          <w:szCs w:val="24"/>
        </w:rPr>
        <w:t xml:space="preserve"> L'atto in quattro passi di PE-4 prevede, all'apertura dell'Archivio Apostolico Vaticano per Paolo VI, l'interrogazione della Segreteria di Stato, delle carte di don Macchi, delle minute e dell'eventuale documentazione del fondo per il riscatto; il blocco 112 del manuale tiene l'istanza già pronta. La serie vi aggiunge un quesito circoscritto e proprio: quali udienze e carteggi risultino con esponenti dell'amministrazione statunitense fra il 1969 e il 1977.</w:t>
      </w:r>
    </w:p>
    <w:p>
      <w:pPr>
        <w:spacing w:after="120" w:line="276"/>
        <w:jc w:val="both"/>
      </w:pPr>
      <w:r>
        <w:rPr>
          <w:rFonts w:ascii="Barlow Semi Condensed" w:cs="Barlow Semi Condensed" w:eastAsia="Barlow Semi Condensed" w:hAnsi="Barlow Semi Condensed"/>
          <w:b/>
          <w:bCs/>
          <w:sz w:val="24"/>
          <w:szCs w:val="24"/>
        </w:rPr>
        <w:t xml:space="preserve">3199 · Il quesito vaticano, con perimetro.</w:t>
      </w:r>
      <w:r>
        <w:rPr>
          <w:rFonts w:ascii="Barlow Semi Condensed" w:cs="Barlow Semi Condensed" w:eastAsia="Barlow Semi Condensed" w:hAnsi="Barlow Semi Condensed"/>
          <w:sz w:val="24"/>
          <w:szCs w:val="24"/>
        </w:rPr>
        <w:t xml:space="preserve"> Non «Kissinger e il Vaticano», formula che produrrebbe riscontri per qualunque ipotesi la si interroghi, ma un quesito delimitato: nei fondi della Segreteria di Stato per quel pontificato esistono verbali di udienza o promemoria che nominino il Segretario di Stato statunitense in carica dal 22 settembre 1973 al 20 gennaio 1977? Esito atteso: carte protocollari. Rilevanza per i cinquantacinque giorni: da dimostrare a parte, e presumibilmente nulla.</w:t>
      </w:r>
    </w:p>
    <w:p>
      <w:pPr>
        <w:spacing w:after="120" w:line="276"/>
        <w:jc w:val="both"/>
      </w:pPr>
      <w:r>
        <w:rPr>
          <w:rFonts w:ascii="Barlow Semi Condensed" w:cs="Barlow Semi Condensed" w:eastAsia="Barlow Semi Condensed" w:hAnsi="Barlow Semi Condensed"/>
          <w:b/>
          <w:bCs/>
          <w:sz w:val="24"/>
          <w:szCs w:val="24"/>
        </w:rPr>
        <w:t xml:space="preserve">3200 · Le carte Curioni, mai censite.</w:t>
      </w:r>
      <w:r>
        <w:rPr>
          <w:rFonts w:ascii="Barlow Semi Condensed" w:cs="Barlow Semi Condensed" w:eastAsia="Barlow Semi Condensed" w:hAnsi="Barlow Semi Condensed"/>
          <w:sz w:val="24"/>
          <w:szCs w:val="24"/>
        </w:rPr>
        <w:t xml:space="preserve"> L'archivio dell'ispettorato dei cappellani carcerari e l'eventuale lascito personale sono, per la scheda, la sede più promettente e mai censita sistematicamente, e il blocco 111 del manuale ne fa un atto con quesiti scritti alle autorità ecclesiastiche competenti. Curioni morì nel 1996 senza rivelare il resto. La serie vi deposita una domanda sola: se in quelle carte compaiano nomi stranieri, con quale funzione e in quale data.</w:t>
      </w:r>
    </w:p>
    <w:p>
      <w:pPr>
        <w:spacing w:after="120" w:line="276"/>
        <w:jc w:val="both"/>
      </w:pPr>
      <w:r>
        <w:rPr>
          <w:rFonts w:ascii="Barlow Semi Condensed" w:cs="Barlow Semi Condensed" w:eastAsia="Barlow Semi Condensed" w:hAnsi="Barlow Semi Condensed"/>
          <w:b/>
          <w:bCs/>
          <w:sz w:val="24"/>
          <w:szCs w:val="24"/>
        </w:rPr>
        <w:t xml:space="preserve">3201 · La sorte del denaro.</w:t>
      </w:r>
      <w:r>
        <w:rPr>
          <w:rFonts w:ascii="Barlow Semi Condensed" w:cs="Barlow Semi Condensed" w:eastAsia="Barlow Semi Condensed" w:hAnsi="Barlow Semi Condensed"/>
          <w:sz w:val="24"/>
          <w:szCs w:val="24"/>
        </w:rPr>
        <w:t xml:space="preserve"> Le fascette di banca ebraica descritte dai testimoni sono un identificativo, e il quesito Q2 chiede la tracciabilità: restituzione al finanziatore, permanenza in deposito, impiego parziale. È materia di archivi bancari e di regole di tracciabilità d'epoca, come prescrive il blocco 123 del manuale. Nessuna delle tre ipotesi coinvolge il nome triangolato e nessuna fonte lo propone: Stato Zero su un quesito ancora integralmente aperto.</w:t>
      </w:r>
    </w:p>
    <w:p>
      <w:pPr>
        <w:spacing w:after="120" w:line="276"/>
        <w:jc w:val="both"/>
      </w:pPr>
      <w:r>
        <w:rPr>
          <w:rFonts w:ascii="Barlow Semi Condensed" w:cs="Barlow Semi Condensed" w:eastAsia="Barlow Semi Condensed" w:hAnsi="Barlow Semi Condensed"/>
          <w:b/>
          <w:bCs/>
          <w:sz w:val="24"/>
          <w:szCs w:val="24"/>
        </w:rPr>
        <w:t xml:space="preserve">3202 · Deceduto prima dell'ascolto.</w:t>
      </w:r>
      <w:r>
        <w:rPr>
          <w:rFonts w:ascii="Barlow Semi Condensed" w:cs="Barlow Semi Condensed" w:eastAsia="Barlow Semi Condensed" w:hAnsi="Barlow Semi Condensed"/>
          <w:sz w:val="24"/>
          <w:szCs w:val="24"/>
        </w:rPr>
        <w:t xml:space="preserve"> Il blocco 125 dell'agenda di ricerca chiede la tavola delle persone con lo stato di ciascun bersaglio umano, e conta come misura del costo del ritardo ogni «deceduto prima dell'ascolto». Heinz Alfred Kissinger, nato a Fürth il 27 maggio 1923, è morto a Kent, nel Connecticut, il 29 novembre 2023. Su questo territorio entra in quella colonna: nessuna autorità italiana lo ascoltò mai su alcuno di questi quesiti.</w:t>
      </w:r>
    </w:p>
    <w:p>
      <w:pPr>
        <w:spacing w:after="120" w:line="276"/>
        <w:jc w:val="both"/>
      </w:pPr>
      <w:r>
        <w:rPr>
          <w:rFonts w:ascii="Barlow Semi Condensed" w:cs="Barlow Semi Condensed" w:eastAsia="Barlow Semi Condensed" w:hAnsi="Barlow Semi Condensed"/>
          <w:b/>
          <w:bCs/>
          <w:sz w:val="24"/>
          <w:szCs w:val="24"/>
        </w:rPr>
        <w:t xml:space="preserve">3203 · L'assenza in una struttura che archivia.</w:t>
      </w:r>
      <w:r>
        <w:rPr>
          <w:rFonts w:ascii="Barlow Semi Condensed" w:cs="Barlow Semi Condensed" w:eastAsia="Barlow Semi Condensed" w:hAnsi="Barlow Semi Condensed"/>
          <w:sz w:val="24"/>
          <w:szCs w:val="24"/>
        </w:rPr>
        <w:t xml:space="preserve"> La scheda chiude con la regola che le è propria: se un canale di quella portata non ha lasciato carte, l'assenza stessa, in una struttura che archivia da secoli, sarà il dato. La serie la assume e la gira sul proprio oggetto: in archivi che verbalizzano per prassi, l'assenza reiterata di un nome è una misura, non un vuoto da colmare con la congettura più suggestiva disponibile.</w:t>
      </w:r>
    </w:p>
    <w:p>
      <w:pPr>
        <w:spacing w:after="120" w:line="276"/>
        <w:jc w:val="both"/>
      </w:pPr>
      <w:r>
        <w:rPr>
          <w:rFonts w:ascii="Barlow Semi Condensed" w:cs="Barlow Semi Condensed" w:eastAsia="Barlow Semi Condensed" w:hAnsi="Barlow Semi Condensed"/>
          <w:b/>
          <w:bCs/>
          <w:sz w:val="24"/>
          <w:szCs w:val="24"/>
        </w:rPr>
        <w:t xml:space="preserve">3204 · Il reperto interno al corpus.</w:t>
      </w:r>
      <w:r>
        <w:rPr>
          <w:rFonts w:ascii="Barlow Semi Condensed" w:cs="Barlow Semi Condensed" w:eastAsia="Barlow Semi Condensed" w:hAnsi="Barlow Semi Condensed"/>
          <w:sz w:val="24"/>
          <w:szCs w:val="24"/>
        </w:rPr>
        <w:t xml:space="preserve"> Il lotto del Dipartimento di Stato archiviato nella cartella Farnesina — il programma della visita del 1965, i cablo dell'aprile-maggio 1978 da Buenos Aires, Trieste e Palermo — è un prodotto FOIA già lavorato: caso R-2021-002xx con lettura OCR oscillante fra 00202 e 00208, numeri di controllo B-00001939965…989, TAGS PINT e IT, e timbri di revisione anche dell'FBI, con declassificazione del 16 giugno 2018 su alcune pagine.</w:t>
      </w:r>
    </w:p>
    <w:p>
      <w:pPr>
        <w:spacing w:after="120" w:line="276"/>
        <w:jc w:val="both"/>
      </w:pPr>
      <w:r>
        <w:rPr>
          <w:rFonts w:ascii="Barlow Semi Condensed" w:cs="Barlow Semi Condensed" w:eastAsia="Barlow Semi Condensed" w:hAnsi="Barlow Semi Condensed"/>
          <w:b/>
          <w:bCs/>
          <w:sz w:val="24"/>
          <w:szCs w:val="24"/>
        </w:rPr>
        <w:t xml:space="preserve">3205 · Zero occorrenze nel lotto Farnesina.</w:t>
      </w:r>
      <w:r>
        <w:rPr>
          <w:rFonts w:ascii="Barlow Semi Condensed" w:cs="Barlow Semi Condensed" w:eastAsia="Barlow Semi Condensed" w:hAnsi="Barlow Semi Condensed"/>
          <w:sz w:val="24"/>
          <w:szCs w:val="24"/>
        </w:rPr>
        <w:t xml:space="preserve"> Verifica eseguita sul file documenti-state-dept-1965-1978.md, trascrizione ordinata dell'OCR del lotto: la stringa cercata non compare. Il programma del 1965 nomina per parte statunitense Lloyd Hand, l'ambasciatore Reinhardt, Samuel King, Bert Bennington, Ivan Sinclair, e ai colloqui Johnson, Rusk, McNamara, Fowler, Humphrey. Il nome triangolato non è fra loro e nell'aprile 1965 non ricopriva incarichi di governo. Esito negativo con perimetro dichiarato.</w:t>
      </w:r>
    </w:p>
    <w:p>
      <w:pPr>
        <w:spacing w:after="120" w:line="276"/>
        <w:jc w:val="both"/>
      </w:pPr>
      <w:r>
        <w:rPr>
          <w:rFonts w:ascii="Barlow Semi Condensed" w:cs="Barlow Semi Condensed" w:eastAsia="Barlow Semi Condensed" w:hAnsi="Barlow Semi Condensed"/>
          <w:b/>
          <w:bCs/>
          <w:sz w:val="24"/>
          <w:szCs w:val="24"/>
        </w:rPr>
        <w:t xml:space="preserve">3206 · La visita del 1965.</w:t>
      </w:r>
      <w:r>
        <w:rPr>
          <w:rFonts w:ascii="Barlow Semi Condensed" w:cs="Barlow Semi Condensed" w:eastAsia="Barlow Semi Condensed" w:hAnsi="Barlow Semi Condensed"/>
          <w:sz w:val="24"/>
          <w:szCs w:val="24"/>
        </w:rPr>
        <w:t xml:space="preserve"> Aldo Moro fu ricevuto a Washington dal 19 al 23 aprile 1965 come Presidente del Consiglio, con Fanfani agli Esteri e Corrado Guerzoni capo dell'ufficio stampa nella delegazione. È il primo strato del lotto e serve alla scheda come antefatto di statura internazionale. La serie ne trae un rilievo solo: nel 1965 la triangolazione non ha oggetto, e dichiararlo impedisce che la visita venga arruolata retrospettivamente a sostegno di tesi successive.</w:t>
      </w:r>
    </w:p>
    <w:p>
      <w:pPr>
        <w:spacing w:after="120" w:line="276"/>
        <w:jc w:val="both"/>
      </w:pPr>
      <w:r>
        <w:rPr>
          <w:rFonts w:ascii="Barlow Semi Condensed" w:cs="Barlow Semi Condensed" w:eastAsia="Barlow Semi Condensed" w:hAnsi="Barlow Semi Condensed"/>
          <w:b/>
          <w:bCs/>
          <w:sz w:val="24"/>
          <w:szCs w:val="24"/>
        </w:rPr>
        <w:t xml:space="preserve">3207 · Il promemoria al direttore dell'FBI.</w:t>
      </w:r>
      <w:r>
        <w:rPr>
          <w:rFonts w:ascii="Barlow Semi Condensed" w:cs="Barlow Semi Condensed" w:eastAsia="Barlow Semi Condensed" w:hAnsi="Barlow Semi Condensed"/>
          <w:sz w:val="24"/>
          <w:szCs w:val="24"/>
        </w:rPr>
        <w:t xml:space="preserve"> Al programma del 1965 è allegato un promemoria del Dipartimento di Stato al direttore del Bureau, a firma di G. Marvin Gentile, che chiede assistenza per informazioni su eventuali tentativi di nuocere all'ospite: ordinaria misura di protezione per un capo di governo in visita ufficiale. Il corpus lo qualifica così, e la serie ripete la qualificazione perché è esattamente il tipo di carta che la lettura dietrologica converte in indizio.</w:t>
      </w:r>
    </w:p>
    <w:p>
      <w:pPr>
        <w:spacing w:after="120" w:line="276"/>
        <w:jc w:val="both"/>
      </w:pPr>
      <w:r>
        <w:rPr>
          <w:rFonts w:ascii="Barlow Semi Condensed" w:cs="Barlow Semi Condensed" w:eastAsia="Barlow Semi Condensed" w:hAnsi="Barlow Semi Condensed"/>
          <w:b/>
          <w:bCs/>
          <w:sz w:val="24"/>
          <w:szCs w:val="24"/>
        </w:rPr>
        <w:t xml:space="preserve">3208 · I tre cablo del 1978.</w:t>
      </w:r>
      <w:r>
        <w:rPr>
          <w:rFonts w:ascii="Barlow Semi Condensed" w:cs="Barlow Semi Condensed" w:eastAsia="Barlow Semi Condensed" w:hAnsi="Barlow Semi Condensed"/>
          <w:sz w:val="24"/>
          <w:szCs w:val="24"/>
        </w:rPr>
        <w:t xml:space="preserve"> Buenos Aires 2881 del 17 aprile 1978 trasmette la smentita montonera di ogni connessione col sequestro; Trieste 9223 e Palermo 9487, del 10 e 11 maggio, riferiscono le reazioni regionali all'assassinio. Sono cablo di classificazione modesta, Limited Official Use o Unclassified, e materiali del lutto pubblico. Nessuno dei tre nomina il soggetto della triangolazione, e nessuno dei tre potrebbe: sono rapporti consolari su reazioni locali.</w:t>
      </w:r>
    </w:p>
    <w:p>
      <w:pPr>
        <w:spacing w:after="120" w:line="276"/>
        <w:jc w:val="both"/>
      </w:pPr>
      <w:r>
        <w:rPr>
          <w:rFonts w:ascii="Barlow Semi Condensed" w:cs="Barlow Semi Condensed" w:eastAsia="Barlow Semi Condensed" w:hAnsi="Barlow Semi Condensed"/>
          <w:b/>
          <w:bCs/>
          <w:sz w:val="24"/>
          <w:szCs w:val="24"/>
        </w:rPr>
        <w:t xml:space="preserve">3209 · La serie che invece lo contiene.</w:t>
      </w:r>
      <w:r>
        <w:rPr>
          <w:rFonts w:ascii="Barlow Semi Condensed" w:cs="Barlow Semi Condensed" w:eastAsia="Barlow Semi Condensed" w:hAnsi="Barlow Semi Condensed"/>
          <w:sz w:val="24"/>
          <w:szCs w:val="24"/>
        </w:rPr>
        <w:t xml:space="preserve"> I Central Foreign Policy Files del Dipartimento di Stato coprono in full-text il periodo dal primo luglio 1973 al 31 dicembre 1979 e sono interrogabili sull'Access to Archival Databases dei National Archives. Quella copertura include per intero il mandato di Segretario di Stato del nome triangolato. È l'unico giacimento del territorio in cui documenti da lui firmati esistono per costruzione, e cade fuori dalla finestra dei cinquantacinque giorni.</w:t>
      </w:r>
    </w:p>
    <w:p>
      <w:pPr>
        <w:spacing w:after="120" w:line="276"/>
        <w:jc w:val="both"/>
      </w:pPr>
      <w:r>
        <w:rPr>
          <w:rFonts w:ascii="Barlow Semi Condensed" w:cs="Barlow Semi Condensed" w:eastAsia="Barlow Semi Condensed" w:hAnsi="Barlow Semi Condensed"/>
          <w:b/>
          <w:bCs/>
          <w:sz w:val="24"/>
          <w:szCs w:val="24"/>
        </w:rPr>
        <w:t xml:space="preserve">3210 · La finestra 1978 e la sua asimmetria.</w:t>
      </w:r>
      <w:r>
        <w:rPr>
          <w:rFonts w:ascii="Barlow Semi Condensed" w:cs="Barlow Semi Condensed" w:eastAsia="Barlow Semi Condensed" w:hAnsi="Barlow Semi Condensed"/>
          <w:sz w:val="24"/>
          <w:szCs w:val="24"/>
        </w:rPr>
        <w:t xml:space="preserve"> L'interrogazione sistematica dell'AAD per TAGS e chiave MORO sulla finestra 16 marzo – 31 dicembre 1978, che PE-5 prescrive, restituirà telegrammi redatti sotto un'altra amministrazione. L'attesa si dichiara prima: nessun documento originato dal nome triangolato, perché fuori carica dal 20 gennaio 1977; eventuali menzioni di terzi, possibili e da schedare come tali. Un esito diverso sarebbe un'anomalia da verificare, non una conferma da annunciare.</w:t>
      </w:r>
    </w:p>
    <w:p>
      <w:pPr>
        <w:spacing w:after="120" w:line="276"/>
        <w:jc w:val="both"/>
      </w:pPr>
      <w:r>
        <w:rPr>
          <w:rFonts w:ascii="Barlow Semi Condensed" w:cs="Barlow Semi Condensed" w:eastAsia="Barlow Semi Condensed" w:hAnsi="Barlow Semi Condensed"/>
          <w:b/>
          <w:bCs/>
          <w:sz w:val="24"/>
          <w:szCs w:val="24"/>
        </w:rPr>
        <w:t xml:space="preserve">3211 · Le withdrawal cards come oggetto.</w:t>
      </w:r>
      <w:r>
        <w:rPr>
          <w:rFonts w:ascii="Barlow Semi Condensed" w:cs="Barlow Semi Condensed" w:eastAsia="Barlow Semi Condensed" w:hAnsi="Barlow Semi Condensed"/>
          <w:sz w:val="24"/>
          <w:szCs w:val="24"/>
        </w:rPr>
        <w:t xml:space="preserve"> Le Electronic Telegrams Withdrawal Cards del 1978 attestano, per ogni telegramma ritirato, esistenza, data e provenienza senza rivelarne il contenuto: sono il censimento pubblico di ciò che manca, e il blocco 116 del manuale ne prescrive lo scarico e la schedatura una per una. La serie vi aggiunge un item proprio: contare quante schede rechino, fra i dati esposti, un riferimento riconducibile al nome. Oggi quel numero non esiste.</w:t>
      </w:r>
    </w:p>
    <w:p>
      <w:pPr>
        <w:spacing w:after="120" w:line="276"/>
        <w:jc w:val="both"/>
      </w:pPr>
      <w:r>
        <w:rPr>
          <w:rFonts w:ascii="Barlow Semi Condensed" w:cs="Barlow Semi Condensed" w:eastAsia="Barlow Semi Condensed" w:hAnsi="Barlow Semi Condensed"/>
          <w:b/>
          <w:bCs/>
          <w:sz w:val="24"/>
          <w:szCs w:val="24"/>
        </w:rPr>
        <w:t xml:space="preserve">3212 · Che cosa attesta una scheda di ritiro.</w:t>
      </w:r>
      <w:r>
        <w:rPr>
          <w:rFonts w:ascii="Barlow Semi Condensed" w:cs="Barlow Semi Condensed" w:eastAsia="Barlow Semi Condensed" w:hAnsi="Barlow Semi Condensed"/>
          <w:sz w:val="24"/>
          <w:szCs w:val="24"/>
        </w:rPr>
        <w:t xml:space="preserve"> Una scheda di ritiro non prova il contenuto del documento ritirato: prova che esiste, quando fu redatto e da dove proviene. Se una scheda del 1978 nominasse il soggetto come destinatario o come oggetto, sarebbe un fatto archivistico di primo livello e una richiesta mirata avrebbe finalmente un ancoraggio. Resterebbe però un fatto sull'esistenza di una carta, non sul suo contenuto, e la distinzione non si perde mai.</w:t>
      </w:r>
    </w:p>
    <w:p>
      <w:pPr>
        <w:spacing w:after="120" w:line="276"/>
        <w:jc w:val="both"/>
      </w:pPr>
      <w:r>
        <w:rPr>
          <w:rFonts w:ascii="Barlow Semi Condensed" w:cs="Barlow Semi Condensed" w:eastAsia="Barlow Semi Condensed" w:hAnsi="Barlow Semi Condensed"/>
          <w:b/>
          <w:bCs/>
          <w:sz w:val="24"/>
          <w:szCs w:val="24"/>
        </w:rPr>
        <w:t xml:space="preserve">3213 · Il fascicolo FOIA da chiedere intero.</w:t>
      </w:r>
      <w:r>
        <w:rPr>
          <w:rFonts w:ascii="Barlow Semi Condensed" w:cs="Barlow Semi Condensed" w:eastAsia="Barlow Semi Condensed" w:hAnsi="Barlow Semi Condensed"/>
          <w:sz w:val="24"/>
          <w:szCs w:val="24"/>
        </w:rPr>
        <w:t xml:space="preserve"> La richiesta più economica dell'intera pista è il rilascio integrale del caso R-2021-002xx, con la divergenza di lettura fra 00202 e 00208 dichiarata nell'istanza e i numeri di controllo B-00001939965…989 come ancoraggio, secondo il blocco 117 del manuale. Il corpus possiede alcuni fogli di quel caso, non il caso. Quesito derivato: quanti documenti furono lavorati sotto quel numero, e quanti non circolarono mai.</w:t>
      </w:r>
    </w:p>
    <w:p>
      <w:pPr>
        <w:spacing w:after="120" w:line="276"/>
        <w:jc w:val="both"/>
      </w:pPr>
      <w:r>
        <w:rPr>
          <w:rFonts w:ascii="Barlow Semi Condensed" w:cs="Barlow Semi Condensed" w:eastAsia="Barlow Semi Condensed" w:hAnsi="Barlow Semi Condensed"/>
          <w:b/>
          <w:bCs/>
          <w:sz w:val="24"/>
          <w:szCs w:val="24"/>
        </w:rPr>
        <w:t xml:space="preserve">3214 · Le lacune della serie numerata.</w:t>
      </w:r>
      <w:r>
        <w:rPr>
          <w:rFonts w:ascii="Barlow Semi Condensed" w:cs="Barlow Semi Condensed" w:eastAsia="Barlow Semi Condensed" w:hAnsi="Barlow Semi Condensed"/>
          <w:sz w:val="24"/>
          <w:szCs w:val="24"/>
        </w:rPr>
        <w:t xml:space="preserve"> I numeri di controllo mancanti dall'intervallo B-000019399xx sono essi stessi una lista di richieste, come la scheda osserva. È l'unico punto del territorio in cui un'assenza risulta già enumerabile senza aprire alcun fondo: si sottrae il posseduto dal continuo e si ottiene il da chiedere. Bersaglio a costo nullo, eseguibile su un tavolo, e non risulta che alcuna pubblicazione lo abbia mai eseguito.</w:t>
      </w:r>
    </w:p>
    <w:p>
      <w:pPr>
        <w:spacing w:after="120" w:line="276"/>
        <w:jc w:val="both"/>
      </w:pPr>
      <w:r>
        <w:rPr>
          <w:rFonts w:ascii="Barlow Semi Condensed" w:cs="Barlow Semi Condensed" w:eastAsia="Barlow Semi Condensed" w:hAnsi="Barlow Semi Condensed"/>
          <w:b/>
          <w:bCs/>
          <w:sz w:val="24"/>
          <w:szCs w:val="24"/>
        </w:rPr>
        <w:t xml:space="preserve">3215 · La regola dell'originatore e i 474 (serie XLII).</w:t>
      </w:r>
      <w:r>
        <w:rPr>
          <w:rFonts w:ascii="Barlow Semi Condensed" w:cs="Barlow Semi Condensed" w:eastAsia="Barlow Semi Condensed" w:hAnsi="Barlow Semi Condensed"/>
          <w:sz w:val="24"/>
          <w:szCs w:val="24"/>
        </w:rPr>
        <w:t xml:space="preserve"> Alla regola dell'originatore il territorio aggiunge una cifra: circa quattrocentosettantaquattro atti di origine alleata sarebbero custoditi in Italia. Si tratta col suo grado — riferita e non verificata su atto. Un documento classificato da uno Stato terzo non si desecreta unilateralmente, e le direttive italiane aprono le carte italiane. Il blocco 119 del manuale ne chiede il censimento e la riattivazione formale delle richieste di consenso.</w:t>
      </w:r>
    </w:p>
    <w:p>
      <w:pPr>
        <w:spacing w:after="120" w:line="276"/>
        <w:jc w:val="both"/>
      </w:pPr>
      <w:r>
        <w:rPr>
          <w:rFonts w:ascii="Barlow Semi Condensed" w:cs="Barlow Semi Condensed" w:eastAsia="Barlow Semi Condensed" w:hAnsi="Barlow Semi Condensed"/>
          <w:b/>
          <w:bCs/>
          <w:sz w:val="24"/>
          <w:szCs w:val="24"/>
        </w:rPr>
        <w:t xml:space="preserve">3216 · Classificato non significa occultato.</w:t>
      </w:r>
      <w:r>
        <w:rPr>
          <w:rFonts w:ascii="Barlow Semi Condensed" w:cs="Barlow Semi Condensed" w:eastAsia="Barlow Semi Condensed" w:hAnsi="Barlow Semi Condensed"/>
          <w:sz w:val="24"/>
          <w:szCs w:val="24"/>
        </w:rPr>
        <w:t xml:space="preserve"> La scheda scolpisce l'avvertenza e la serie la eredita come regola di lettura vincolante: la regola dell'originatore è una norma generale degli scambi fra Stati, non un indizio di contenuto, e l'assenza di un documento dal rilascio non prova nulla su ciò che contiene. Applicata alla triangolazione, vieta l'inferenza più diffusa di tutte: che ciò che resta chiuso riguardi necessariamente il nome più famoso disponibile.</w:t>
      </w:r>
    </w:p>
    <w:p>
      <w:pPr>
        <w:spacing w:after="120" w:line="276"/>
        <w:jc w:val="both"/>
      </w:pPr>
      <w:r>
        <w:rPr>
          <w:rFonts w:ascii="Barlow Semi Condensed" w:cs="Barlow Semi Condensed" w:eastAsia="Barlow Semi Condensed" w:hAnsi="Barlow Semi Condensed"/>
          <w:b/>
          <w:bCs/>
          <w:sz w:val="24"/>
          <w:szCs w:val="24"/>
        </w:rPr>
        <w:t xml:space="preserve">3217 · Il divieto sulle memorie postume.</w:t>
      </w:r>
      <w:r>
        <w:rPr>
          <w:rFonts w:ascii="Barlow Semi Condensed" w:cs="Barlow Semi Condensed" w:eastAsia="Barlow Semi Condensed" w:hAnsi="Barlow Semi Condensed"/>
          <w:sz w:val="24"/>
          <w:szCs w:val="24"/>
        </w:rPr>
        <w:t xml:space="preserve"> PE-5 vieta espressamente di mescolare alla pista le dichiarazioni postume dei protagonisti americani dell'epoca, e per il consulente Pieczenik fissa già il grado, fonte di parte, C. La serie estende il divieto senza eccezioni: la testimonianza sull'avvertimento, riferita de relato da Corrado Guerzoni alla Corte d'assise di Roma nel novembre 1982, appartiene alla stessa categoria e non entra in una pista che lavora su serie archivistiche.</w:t>
      </w:r>
    </w:p>
    <w:p>
      <w:pPr>
        <w:spacing w:after="120" w:line="276"/>
        <w:jc w:val="both"/>
      </w:pPr>
      <w:r>
        <w:rPr>
          <w:rFonts w:ascii="Barlow Semi Condensed" w:cs="Barlow Semi Condensed" w:eastAsia="Barlow Semi Condensed" w:hAnsi="Barlow Semi Condensed"/>
          <w:b/>
          <w:bCs/>
          <w:sz w:val="24"/>
          <w:szCs w:val="24"/>
        </w:rPr>
        <w:t xml:space="preserve">3218 · La moltiplicazione apparente e la sua data.</w:t>
      </w:r>
      <w:r>
        <w:rPr>
          <w:rFonts w:ascii="Barlow Semi Condensed" w:cs="Barlow Semi Condensed" w:eastAsia="Barlow Semi Condensed" w:hAnsi="Barlow Semi Condensed"/>
          <w:sz w:val="24"/>
          <w:szCs w:val="24"/>
        </w:rPr>
        <w:t xml:space="preserve"> La circolazione dell'episodio dell'avvertimento presenta molte fonti e una sola origine: un lancio d'agenzia del 30 novembre 2023, il giorno dopo la morte. La replicazione non aggiunge valore probatorio, e il corpus lo ha accertato. In una pista che conta insiemi archivistici, una notizia replicata vale un item solo, e va registrata una volta sola nel denominatore, altrimenti la conta risulta falsa in partenza.</w:t>
      </w:r>
    </w:p>
    <w:p>
      <w:pPr>
        <w:spacing w:after="120" w:line="276"/>
        <w:jc w:val="both"/>
      </w:pPr>
      <w:r>
        <w:rPr>
          <w:rFonts w:ascii="Barlow Semi Condensed" w:cs="Barlow Semi Condensed" w:eastAsia="Barlow Semi Condensed" w:hAnsi="Barlow Semi Condensed"/>
          <w:b/>
          <w:bCs/>
          <w:sz w:val="24"/>
          <w:szCs w:val="24"/>
        </w:rPr>
        <w:t xml:space="preserve">3219 · La data oscillante come test tecnico.</w:t>
      </w:r>
      <w:r>
        <w:rPr>
          <w:rFonts w:ascii="Barlow Semi Condensed" w:cs="Barlow Semi Condensed" w:eastAsia="Barlow Semi Condensed" w:hAnsi="Barlow Semi Condensed"/>
          <w:sz w:val="24"/>
          <w:szCs w:val="24"/>
        </w:rPr>
        <w:t xml:space="preserve"> L'episodio riferito colloca l'avvertimento ora nel 1974, ora nel 1976, ora nel 1977, e il nome fu ottenuto in aula, non offerto dal teste. Un'oscillazione triennale è incompatibile con l'interrogazione di una serie archivistica, che pretende una finestra. È la ragione tecnica, prima che di grado, per cui l'episodio non è utilizzabile in PE-5: non produce chiavi di ricerca, e ciò che non produce chiavi non produce carte.</w:t>
      </w:r>
    </w:p>
    <w:p>
      <w:pPr>
        <w:spacing w:after="120" w:line="276"/>
        <w:jc w:val="both"/>
      </w:pPr>
      <w:r>
        <w:rPr>
          <w:rFonts w:ascii="Barlow Semi Condensed" w:cs="Barlow Semi Condensed" w:eastAsia="Barlow Semi Condensed" w:hAnsi="Barlow Semi Condensed"/>
          <w:b/>
          <w:bCs/>
          <w:sz w:val="24"/>
          <w:szCs w:val="24"/>
        </w:rPr>
        <w:t xml:space="preserve">3220 · La tavola in tre colonne.</w:t>
      </w:r>
      <w:r>
        <w:rPr>
          <w:rFonts w:ascii="Barlow Semi Condensed" w:cs="Barlow Semi Condensed" w:eastAsia="Barlow Semi Condensed" w:hAnsi="Barlow Semi Condensed"/>
          <w:sz w:val="24"/>
          <w:szCs w:val="24"/>
        </w:rPr>
        <w:t xml:space="preserve"> La chiusura prescritta è una tavola-censimento a tre colonne — libero, trattenuto, origine alleata in Italia — con l'identificativo della scheda di ritiro per ogni trattenuto. La serie propone una quarta colonna, facoltativa e dichiarata: le occorrenze del nome triangolato, per anno. Se resterà vuota per il 1978, quel vuoto sarà pubblicabile e falsificabile da chiunque, che è la sola forma utile di Stato Zero.</w:t>
      </w:r>
    </w:p>
    <w:p>
      <w:pPr>
        <w:spacing w:after="120" w:line="276"/>
        <w:jc w:val="both"/>
      </w:pPr>
      <w:r>
        <w:rPr>
          <w:rFonts w:ascii="Barlow Semi Condensed" w:cs="Barlow Semi Condensed" w:eastAsia="Barlow Semi Condensed" w:hAnsi="Barlow Semi Condensed"/>
          <w:b/>
          <w:bCs/>
          <w:sz w:val="24"/>
          <w:szCs w:val="24"/>
        </w:rPr>
        <w:t xml:space="preserve">3221 · Anche il diniego è un documento.</w:t>
      </w:r>
      <w:r>
        <w:rPr>
          <w:rFonts w:ascii="Barlow Semi Condensed" w:cs="Barlow Semi Condensed" w:eastAsia="Barlow Semi Condensed" w:hAnsi="Barlow Semi Condensed"/>
          <w:sz w:val="24"/>
          <w:szCs w:val="24"/>
        </w:rPr>
        <w:t xml:space="preserve"> In regime FOIA il rifiuto è motivato e numerato, dunque è carta: la pista produce documenti qualunque sia l'esito. La serie ne ricava la propria assicurazione contro il fallimento apparente: una richiesta mirata sul nome, respinta con l'esenzione indicata, dice quale esenzione l'amministrazione ritenga applicabile, e quel dato è informativo. Una richiesta mai formulata, invece, non dice nulla e non lascia alcuna traccia.</w:t>
      </w:r>
    </w:p>
    <w:p>
      <w:pPr>
        <w:spacing w:after="120" w:line="276"/>
        <w:jc w:val="both"/>
      </w:pPr>
      <w:r>
        <w:rPr>
          <w:rFonts w:ascii="Barlow Semi Condensed" w:cs="Barlow Semi Condensed" w:eastAsia="Barlow Semi Condensed" w:hAnsi="Barlow Semi Condensed"/>
          <w:b/>
          <w:bCs/>
          <w:sz w:val="24"/>
          <w:szCs w:val="24"/>
        </w:rPr>
        <w:t xml:space="preserve">3222 · Le quattro colonne d'uscita.</w:t>
      </w:r>
      <w:r>
        <w:rPr>
          <w:rFonts w:ascii="Barlow Semi Condensed" w:cs="Barlow Semi Condensed" w:eastAsia="Barlow Semi Condensed" w:hAnsi="Barlow Semi Condensed"/>
          <w:sz w:val="24"/>
          <w:szCs w:val="24"/>
        </w:rPr>
        <w:t xml:space="preserve"> 72.460 posti di blocco, 37.702 perquisizioni domiciliari, 6.413.713 persone controllate, 3.383.123 autoveicoli ispezionati, con lo scorporo romano e con la divergenza di lettura dichiarata, perché parte della pubblicistica circola le sole cifre romane come totali. Sono misure di ciò che lo Stato fece. Nessuna di esse è riferibile a un input estero, nessuna fonte lo sostiene, e la serie non lo suggerisce.</w:t>
      </w:r>
    </w:p>
    <w:p>
      <w:pPr>
        <w:spacing w:after="120" w:line="276"/>
        <w:jc w:val="both"/>
      </w:pPr>
      <w:r>
        <w:rPr>
          <w:rFonts w:ascii="Barlow Semi Condensed" w:cs="Barlow Semi Condensed" w:eastAsia="Barlow Semi Condensed" w:hAnsi="Barlow Semi Condensed"/>
          <w:b/>
          <w:bCs/>
          <w:sz w:val="24"/>
          <w:szCs w:val="24"/>
        </w:rPr>
        <w:t xml:space="preserve">3223 · La colonna d'ingresso mai prodotta.</w:t>
      </w:r>
      <w:r>
        <w:rPr>
          <w:rFonts w:ascii="Barlow Semi Condensed" w:cs="Barlow Semi Condensed" w:eastAsia="Barlow Semi Condensed" w:hAnsi="Barlow Semi Condensed"/>
          <w:sz w:val="24"/>
          <w:szCs w:val="24"/>
        </w:rPr>
        <w:t xml:space="preserve"> Quante segnalazioni arrivarono, come furono protocollate, con quali criteri smistate, quante ebbero seguito: la colonna d'ingresso non ha cifra canonica in nessuna relazione di nessuna commissione, in quarantott'anni. La macchina più misurata della storia repubblicana è misurata a metà. È il luogo del territorio in cui una menzione estera, se protocollata, esisterebbe come item numerato, e dunque il luogo in cui l'assenza diventerà finalmente misurabile.</w:t>
      </w:r>
    </w:p>
    <w:p>
      <w:pPr>
        <w:spacing w:after="120" w:line="276"/>
        <w:jc w:val="both"/>
      </w:pPr>
      <w:r>
        <w:rPr>
          <w:rFonts w:ascii="Barlow Semi Condensed" w:cs="Barlow Semi Condensed" w:eastAsia="Barlow Semi Condensed" w:hAnsi="Barlow Semi Condensed"/>
          <w:b/>
          <w:bCs/>
          <w:sz w:val="24"/>
          <w:szCs w:val="24"/>
        </w:rPr>
        <w:t xml:space="preserve">3224 · L'unità di conto e la domanda.</w:t>
      </w:r>
      <w:r>
        <w:rPr>
          <w:rFonts w:ascii="Barlow Semi Condensed" w:cs="Barlow Semi Condensed" w:eastAsia="Barlow Semi Condensed" w:hAnsi="Barlow Semi Condensed"/>
          <w:sz w:val="24"/>
          <w:szCs w:val="24"/>
        </w:rPr>
        <w:t xml:space="preserve"> L'unità è fissata dal blocco 212 del manuale investigativo: la singola segnalazione protocollata, con le non protocollate schedate come «fuori registro», il cui volume è a sua volta un dato. Applicata alla triangolazione, l'unità produce una domanda esatta e finita: quante segnalazioni dei cinquantacinque giorni recano un riferimento a fonti o autorità straniere? Il numero è oggi ignoto, e il fondo che lo contiene è identificato.</w:t>
      </w:r>
    </w:p>
    <w:p>
      <w:pPr>
        <w:spacing w:after="120" w:line="276"/>
        <w:jc w:val="both"/>
      </w:pPr>
      <w:r>
        <w:rPr>
          <w:rFonts w:ascii="Barlow Semi Condensed" w:cs="Barlow Semi Condensed" w:eastAsia="Barlow Semi Condensed" w:hAnsi="Barlow Semi Condensed"/>
          <w:b/>
          <w:bCs/>
          <w:sz w:val="24"/>
          <w:szCs w:val="24"/>
        </w:rPr>
        <w:t xml:space="preserve">3225 · I quattro segmenti del flusso.</w:t>
      </w:r>
      <w:r>
        <w:rPr>
          <w:rFonts w:ascii="Barlow Semi Condensed" w:cs="Barlow Semi Condensed" w:eastAsia="Barlow Semi Condensed" w:hAnsi="Barlow Semi Condensed"/>
          <w:sz w:val="24"/>
          <w:szCs w:val="24"/>
        </w:rPr>
        <w:t xml:space="preserve"> Ingresso, lavorazione, uscita operativa, trasmissione all'autorità giudiziaria: il blocco 214 del manuale mappa ogni segnalazione su tutti e quattro. La serie osserva che una segnalazione d'origine alleata, se esistette, avrebbe attraversato gli stessi segmenti e lasciato le stesse tracce. Non esiste canale che, per essere internazionale, sfugga al protocollo di un ufficio italiano: o è protocollato, o è fuori registro e come tale va dichiarato.</w:t>
      </w:r>
    </w:p>
    <w:p>
      <w:pPr>
        <w:spacing w:after="120" w:line="276"/>
        <w:jc w:val="both"/>
      </w:pPr>
      <w:r>
        <w:rPr>
          <w:rFonts w:ascii="Barlow Semi Condensed" w:cs="Barlow Semi Condensed" w:eastAsia="Barlow Semi Condensed" w:hAnsi="Barlow Semi Condensed"/>
          <w:b/>
          <w:bCs/>
          <w:sz w:val="24"/>
          <w:szCs w:val="24"/>
        </w:rPr>
        <w:t xml:space="preserve">3226 · I tre calibri del registro.</w:t>
      </w:r>
      <w:r>
        <w:rPr>
          <w:rFonts w:ascii="Barlow Semi Condensed" w:cs="Barlow Semi Condensed" w:eastAsia="Barlow Semi Condensed" w:hAnsi="Barlow Semi Condensed"/>
          <w:sz w:val="24"/>
          <w:szCs w:val="24"/>
        </w:rPr>
        <w:t xml:space="preserve"> Mokbel, Zappolino, Montalcini: i tre casi già ricostruiti fungono da calibri per testare lo schema-dati prima dello spoglio di massa, secondo il blocco 217 del manuale. Il primo mostra ingresso riuscito e uscita fallita; il secondo uno smistamento letterale che andò al paese di Gradoli invece che alla via romana; il terzo una trasmissione tardata di due anni. Tutti e tre sono interamente interni agli apparati italiani.</w:t>
      </w:r>
    </w:p>
    <w:p>
      <w:pPr>
        <w:spacing w:after="120" w:line="276"/>
        <w:jc w:val="both"/>
      </w:pPr>
      <w:r>
        <w:rPr>
          <w:rFonts w:ascii="Barlow Semi Condensed" w:cs="Barlow Semi Condensed" w:eastAsia="Barlow Semi Condensed" w:hAnsi="Barlow Semi Condensed"/>
          <w:b/>
          <w:bCs/>
          <w:sz w:val="24"/>
          <w:szCs w:val="24"/>
        </w:rPr>
        <w:t xml:space="preserve">3227 · Il terzo segmento, il più grave.</w:t>
      </w:r>
      <w:r>
        <w:rPr>
          <w:rFonts w:ascii="Barlow Semi Condensed" w:cs="Barlow Semi Condensed" w:eastAsia="Barlow Semi Condensed" w:hAnsi="Barlow Semi Condensed"/>
          <w:sz w:val="24"/>
          <w:szCs w:val="24"/>
        </w:rPr>
        <w:t xml:space="preserve"> Fra l'estate e l'ottobre del 1978 l'ufficio politico della questura di Roma condusse accertamenti continuativi su via Montalcini 8 e sulla proprietaria, che se ne avvide e nel giro di pochi mesi vendette e si trasferì; il fatto non fu riferito alla magistratura per due anni. È il segmento che tocca la separazione dei poteri. Nessuna fonte lo collega a sollecitazioni esterne, e la serie non ve le introduce.</w:t>
      </w:r>
    </w:p>
    <w:p>
      <w:pPr>
        <w:spacing w:after="120" w:line="276"/>
        <w:jc w:val="both"/>
      </w:pPr>
      <w:r>
        <w:rPr>
          <w:rFonts w:ascii="Barlow Semi Condensed" w:cs="Barlow Semi Condensed" w:eastAsia="Barlow Semi Condensed" w:hAnsi="Barlow Semi Condensed"/>
          <w:b/>
          <w:bCs/>
          <w:sz w:val="24"/>
          <w:szCs w:val="24"/>
        </w:rPr>
        <w:t xml:space="preserve">3228 · Il test empirico dell'accertamento Anselmi.</w:t>
      </w:r>
      <w:r>
        <w:rPr>
          <w:rFonts w:ascii="Barlow Semi Condensed" w:cs="Barlow Semi Condensed" w:eastAsia="Barlow Semi Condensed" w:hAnsi="Barlow Semi Condensed"/>
          <w:sz w:val="24"/>
          <w:szCs w:val="24"/>
        </w:rPr>
        <w:t xml:space="preserve"> H1, collo di bottiglia da diluvio, con interruzioni casuali distribuite su tutti i segmenti; H2, filtro sistematico, con interruzioni concentrate verso l'autorità giudiziaria. L'evidenza discriminante è la distribuzione, che solo il registro può dare. La serie annota il proprio interesse per l'esito: se prevalesse H2, il quesito su chi disponesse il filtro resterebbe interno agli apparati italiani finché un documento di provenienza non dicesse altro.</w:t>
      </w:r>
    </w:p>
    <w:p>
      <w:pPr>
        <w:spacing w:after="120" w:line="276"/>
        <w:jc w:val="both"/>
      </w:pPr>
      <w:r>
        <w:rPr>
          <w:rFonts w:ascii="Barlow Semi Condensed" w:cs="Barlow Semi Condensed" w:eastAsia="Barlow Semi Condensed" w:hAnsi="Barlow Semi Condensed"/>
          <w:b/>
          <w:bCs/>
          <w:sz w:val="24"/>
          <w:szCs w:val="24"/>
        </w:rPr>
        <w:t xml:space="preserve">3229 · Pesare, non soltanto contare.</w:t>
      </w:r>
      <w:r>
        <w:rPr>
          <w:rFonts w:ascii="Barlow Semi Condensed" w:cs="Barlow Semi Condensed" w:eastAsia="Barlow Semi Condensed" w:hAnsi="Barlow Semi Condensed"/>
          <w:sz w:val="24"/>
          <w:szCs w:val="24"/>
        </w:rPr>
        <w:t xml:space="preserve"> Una nota con un indirizzo esatto pesa più di mille segnalazioni generiche, e il registro deve pesare: il blocco 219 del manuale chiede il tasso di seguito ponderato. La serie ne ricava una regola per sé, perché anche un'occorrenza va pesata: una menzione in un ritaglio conservato dentro un archivio riservato non equivale a una firma su un dispaccio. Confonderle produce falsi positivi eleganti e difficilmente smontabili.</w:t>
      </w:r>
    </w:p>
    <w:p>
      <w:pPr>
        <w:spacing w:after="120" w:line="276"/>
        <w:jc w:val="both"/>
      </w:pPr>
      <w:r>
        <w:rPr>
          <w:rFonts w:ascii="Barlow Semi Condensed" w:cs="Barlow Semi Condensed" w:eastAsia="Barlow Semi Condensed" w:hAnsi="Barlow Semi Condensed"/>
          <w:b/>
          <w:bCs/>
          <w:sz w:val="24"/>
          <w:szCs w:val="24"/>
        </w:rPr>
        <w:t xml:space="preserve">3230 · Il registro è duale.</w:t>
      </w:r>
      <w:r>
        <w:rPr>
          <w:rFonts w:ascii="Barlow Semi Condensed" w:cs="Barlow Semi Condensed" w:eastAsia="Barlow Semi Condensed" w:hAnsi="Barlow Semi Condensed"/>
          <w:sz w:val="24"/>
          <w:szCs w:val="24"/>
        </w:rPr>
        <w:t xml:space="preserve"> Ogni segnalazione correttamente lavorata è un pezzo di apparato che fece il proprio dovere dentro il diluvio: la scheda insiste, e la serie lo ripete perché la triangolazione ha la tentazione opposta. Un esito che riabilita è un esito. Se il registro mostrasse che nessuna sollecitazione estera entrò nei cinquantacinque giorni, quella sarebbe la notizia, da pubblicare col rilievo che si riserva a qualunque scoperta.</w:t>
      </w:r>
    </w:p>
    <w:p>
      <w:pPr>
        <w:spacing w:after="120" w:line="276"/>
        <w:jc w:val="both"/>
      </w:pPr>
      <w:r>
        <w:rPr>
          <w:rFonts w:ascii="Barlow Semi Condensed" w:cs="Barlow Semi Condensed" w:eastAsia="Barlow Semi Condensed" w:hAnsi="Barlow Semi Condensed"/>
          <w:b/>
          <w:bCs/>
          <w:sz w:val="24"/>
          <w:szCs w:val="24"/>
        </w:rPr>
        <w:t xml:space="preserve">3231 · Il documento dovuto, non desiderato.</w:t>
      </w:r>
      <w:r>
        <w:rPr>
          <w:rFonts w:ascii="Barlow Semi Condensed" w:cs="Barlow Semi Condensed" w:eastAsia="Barlow Semi Condensed" w:hAnsi="Barlow Semi Condensed"/>
          <w:sz w:val="24"/>
          <w:szCs w:val="24"/>
        </w:rPr>
        <w:t xml:space="preserve"> La formula che chiude PE-6 vale per l'intero territorio: le carte cercate esistono per definizione, perché un comitato produce verbali, una nota ha un protocollo, una squadra ha un ordine di servizio, i vigili hanno un fascicolo, gli elenchi hanno date. La triangolazione si misura su documenti dovuti e non su documenti desiderati, ed è in questo che un bersaglio differisce da una suggestione.</w:t>
      </w:r>
    </w:p>
    <w:p>
      <w:pPr>
        <w:spacing w:after="120" w:line="276"/>
        <w:jc w:val="both"/>
      </w:pPr>
      <w:r>
        <w:rPr>
          <w:rFonts w:ascii="Barlow Semi Condensed" w:cs="Barlow Semi Condensed" w:eastAsia="Barlow Semi Condensed" w:hAnsi="Barlow Semi Condensed"/>
          <w:b/>
          <w:bCs/>
          <w:sz w:val="24"/>
          <w:szCs w:val="24"/>
        </w:rPr>
        <w:t xml:space="preserve">3232 · Il bilancio della serie (serie XLII).</w:t>
      </w:r>
      <w:r>
        <w:rPr>
          <w:rFonts w:ascii="Barlow Semi Condensed" w:cs="Barlow Semi Condensed" w:eastAsia="Barlow Semi Condensed" w:hAnsi="Barlow Semi Condensed"/>
          <w:sz w:val="24"/>
          <w:szCs w:val="24"/>
        </w:rPr>
        <w:t xml:space="preserve"> Sei schede interrogate, un piano uno che cade fuori territorio, due convergenze di piano due già registrate dall'opera-madre ai blocchi 310 e 906, nessun ponte nuovo. Gli Stati Zero verbalizzati sono sei, uno per scheda, ciascuno con la sede che lo chiuderebbe: il censimento nominale, il fascicolo del Flaminio Nuovo, la conservatoria, le carte Curioni, l'AAD con le withdrawal cards, i protocolli d'ingresso del Viminale.</w:t>
      </w:r>
    </w:p>
    <w:p>
      <w:pPr>
        <w:spacing w:after="120" w:line="276"/>
        <w:jc w:val="both"/>
      </w:pPr>
      <w:r>
        <w:rPr>
          <w:rFonts w:ascii="Barlow Semi Condensed" w:cs="Barlow Semi Condensed" w:eastAsia="Barlow Semi Condensed" w:hAnsi="Barlow Semi Condensed"/>
          <w:b/>
          <w:bCs/>
          <w:sz w:val="24"/>
          <w:szCs w:val="24"/>
        </w:rPr>
        <w:t xml:space="preserve">3233 · La sede che chiuderebbe più vuoti.</w:t>
      </w:r>
      <w:r>
        <w:rPr>
          <w:rFonts w:ascii="Barlow Semi Condensed" w:cs="Barlow Semi Condensed" w:eastAsia="Barlow Semi Condensed" w:hAnsi="Barlow Semi Condensed"/>
          <w:sz w:val="24"/>
          <w:szCs w:val="24"/>
        </w:rPr>
        <w:t xml:space="preserve"> Una sola sede potrebbe chiudere in blocco più Stati Zero di questa serie: i versamenti del Viminale nel fondo Direttiva Renzi, circa duemila buste da centocinquantasei uffici, interrogabili con le chiavi minime del blocco 93 del manuale. Se un canale estero avesse toccato i cinquantacinque giorni per via d'ufficio, la traccia sarebbe lì. Lo spoglio non è stato eseguito, e l'assenza è dichiarata sull'inventario, non sul contenuto.</w:t>
      </w:r>
    </w:p>
    <w:p>
      <w:pPr>
        <w:spacing w:after="120" w:line="276"/>
        <w:jc w:val="both"/>
      </w:pPr>
      <w:r>
        <w:rPr>
          <w:rFonts w:ascii="Barlow Semi Condensed" w:cs="Barlow Semi Condensed" w:eastAsia="Barlow Semi Condensed" w:hAnsi="Barlow Semi Condensed"/>
          <w:b/>
          <w:bCs/>
          <w:sz w:val="24"/>
          <w:szCs w:val="24"/>
        </w:rPr>
        <w:t xml:space="preserve">3234 · La data di riesame.</w:t>
      </w:r>
      <w:r>
        <w:rPr>
          <w:rFonts w:ascii="Barlow Semi Condensed" w:cs="Barlow Semi Condensed" w:eastAsia="Barlow Semi Condensed" w:hAnsi="Barlow Semi Condensed"/>
          <w:sz w:val="24"/>
          <w:szCs w:val="24"/>
        </w:rPr>
        <w:t xml:space="preserve"> Uno Stato Zero è datato per costruzione e porta la propria scadenza: si riapre davanti a un fatto archivistico nuovo — un versamento, una declassifica, un inventario pubblicato, una serie prima non consultabile — e non davanti a un anniversario o a una pressione pubblica. La condizione si scrive al momento della chiusura. Per questa serie sono l'apertura dell'Archivio Apostolico per Paolo VI e lo spoglio del fondo Renzi.</w:t>
      </w:r>
    </w:p>
    <w:p>
      <w:pPr>
        <w:spacing w:after="120" w:line="276"/>
        <w:jc w:val="both"/>
      </w:pPr>
      <w:r>
        <w:rPr>
          <w:rFonts w:ascii="Barlow Semi Condensed" w:cs="Barlow Semi Condensed" w:eastAsia="Barlow Semi Condensed" w:hAnsi="Barlow Semi Condensed"/>
          <w:b/>
          <w:bCs/>
          <w:sz w:val="24"/>
          <w:szCs w:val="24"/>
        </w:rPr>
        <w:t xml:space="preserve">3235 · Che cosa la serie non ha stabilito (serie XLII).</w:t>
      </w:r>
      <w:r>
        <w:rPr>
          <w:rFonts w:ascii="Barlow Semi Condensed" w:cs="Barlow Semi Condensed" w:eastAsia="Barlow Semi Condensed" w:hAnsi="Barlow Semi Condensed"/>
          <w:sz w:val="24"/>
          <w:szCs w:val="24"/>
        </w:rPr>
        <w:t xml:space="preserve"> Non ha stabilito alcun rapporto fra il nome triangolato e i comitati del Viminale, lo stabile di via Gradoli, il canale vaticano, il traffico dei cablo del 1978 o il registro delle segnalazioni. Non ha indicato alcuna persona come responsabile di reato e si è fermata al giudicato. Ha stabilito dove cercare, che cosa attendersi e che cosa smentirebbe: è quanto un territorio muto consente.</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Serie quarantatreesima — Il manuale in quattrocento blocchi, prima parte</w:t>
      </w:r>
    </w:p>
    <w:p>
      <w:pPr>
        <w:spacing w:after="120" w:line="276"/>
        <w:jc w:val="both"/>
      </w:pPr>
      <w:r>
        <w:rPr>
          <w:rFonts w:ascii="Barlow Semi Condensed" w:cs="Barlow Semi Condensed" w:eastAsia="Barlow Semi Condensed" w:hAnsi="Barlow Semi Condensed"/>
          <w:i/>
          <w:iCs/>
          <w:sz w:val="24"/>
          <w:szCs w:val="24"/>
        </w:rPr>
        <w:t xml:space="preserve">Blocchi 3236-3315.</w:t>
      </w:r>
    </w:p>
    <w:p>
      <w:pPr>
        <w:spacing w:after="120" w:line="276"/>
        <w:jc w:val="both"/>
      </w:pPr>
      <w:r>
        <w:rPr>
          <w:rFonts w:ascii="Barlow Semi Condensed" w:cs="Barlow Semi Condensed" w:eastAsia="Barlow Semi Condensed" w:hAnsi="Barlow Semi Condensed"/>
          <w:b/>
          <w:bCs/>
          <w:sz w:val="24"/>
          <w:szCs w:val="24"/>
        </w:rPr>
        <w:t xml:space="preserve">3236 · Il blocco 1 e il nome atteso.</w:t>
      </w:r>
      <w:r>
        <w:rPr>
          <w:rFonts w:ascii="Barlow Semi Condensed" w:cs="Barlow Semi Condensed" w:eastAsia="Barlow Semi Condensed" w:hAnsi="Barlow Semi Condensed"/>
          <w:sz w:val="24"/>
          <w:szCs w:val="24"/>
        </w:rPr>
        <w:t xml:space="preserve"> Il manuale apre stabilendo che l'indagine produce atti e non colpevoli, e che il suo esito naturale è un documento, mai un nome atteso. Applicata a questo territorio la regola è vincolante: Henry Kissinger vi entra soltanto come oggetto di quesiti documentali. Non fu mai imputato né processato in alcun Paese, e nessun blocco del manuale, né alcuno di questa serie, lo indica come responsabile di reato.</w:t>
      </w:r>
    </w:p>
    <w:p>
      <w:pPr>
        <w:spacing w:after="120" w:line="276"/>
        <w:jc w:val="both"/>
      </w:pPr>
      <w:r>
        <w:rPr>
          <w:rFonts w:ascii="Barlow Semi Condensed" w:cs="Barlow Semi Condensed" w:eastAsia="Barlow Semi Condensed" w:hAnsi="Barlow Semi Condensed"/>
          <w:b/>
          <w:bCs/>
          <w:sz w:val="24"/>
          <w:szCs w:val="24"/>
        </w:rPr>
        <w:t xml:space="preserve">3237 · Il pavimento e i tredici nomi.</w:t>
      </w:r>
      <w:r>
        <w:rPr>
          <w:rFonts w:ascii="Barlow Semi Condensed" w:cs="Barlow Semi Condensed" w:eastAsia="Barlow Semi Condensed" w:hAnsi="Barlow Semi Condensed"/>
          <w:sz w:val="24"/>
          <w:szCs w:val="24"/>
        </w:rPr>
        <w:t xml:space="preserve"> Tredici responsabilità personali accertate nei cinque processi e sei vittime in testa a ogni pagina: è il pavimento fissato dal blocco 2, e chi voglia sostenere altro deve portare prove di rango almeno pari. Il nome triangolato in quest'opera non figura in quel registro e non vi può figurare per accumulo di letture. L'accertamento è negativo, di piano uno, e si scrive senza attenuanti.</w:t>
      </w:r>
    </w:p>
    <w:p>
      <w:pPr>
        <w:spacing w:after="120" w:line="276"/>
        <w:jc w:val="both"/>
      </w:pPr>
      <w:r>
        <w:rPr>
          <w:rFonts w:ascii="Barlow Semi Condensed" w:cs="Barlow Semi Condensed" w:eastAsia="Barlow Semi Condensed" w:hAnsi="Barlow Semi Condensed"/>
          <w:b/>
          <w:bCs/>
          <w:sz w:val="24"/>
          <w:szCs w:val="24"/>
        </w:rPr>
        <w:t xml:space="preserve">3238 · Che cosa riaprirebbe il registro.</w:t>
      </w:r>
      <w:r>
        <w:rPr>
          <w:rFonts w:ascii="Barlow Semi Condensed" w:cs="Barlow Semi Condensed" w:eastAsia="Barlow Semi Condensed" w:hAnsi="Barlow Semi Condensed"/>
          <w:sz w:val="24"/>
          <w:szCs w:val="24"/>
        </w:rPr>
        <w:t xml:space="preserve"> Il registro chiuso del blocco 3 cresce solo per nuovo giudicato. Il bersaglio di smentita che ne discende è preciso e va scritto: la produzione, in qualunque giurisdizione, di un capo d'imputazione, di una richiesta di rinvio a giudizio o di un provvedimento restrittivo a carico di quel nome. Le sedi sono le cancellerie penali e le raccolte giudiziarie dei Paesi in cui furono depositati esposti. Fin qui nulla risulta.</w:t>
      </w:r>
    </w:p>
    <w:p>
      <w:pPr>
        <w:spacing w:after="120" w:line="276"/>
        <w:jc w:val="both"/>
      </w:pPr>
      <w:r>
        <w:rPr>
          <w:rFonts w:ascii="Barlow Semi Condensed" w:cs="Barlow Semi Condensed" w:eastAsia="Barlow Semi Condensed" w:hAnsi="Barlow Semi Condensed"/>
          <w:b/>
          <w:bCs/>
          <w:sz w:val="24"/>
          <w:szCs w:val="24"/>
        </w:rPr>
        <w:t xml:space="preserve">3239 · Tre voci, tre gradi.</w:t>
      </w:r>
      <w:r>
        <w:rPr>
          <w:rFonts w:ascii="Barlow Semi Condensed" w:cs="Barlow Semi Condensed" w:eastAsia="Barlow Semi Condensed" w:hAnsi="Barlow Semi Condensed"/>
          <w:sz w:val="24"/>
          <w:szCs w:val="24"/>
        </w:rPr>
        <w:t xml:space="preserve"> Ogni acquisizione entra col grado dichiarato, prescrive il blocco 4. Le tre voci disponibili si gradano così: gli incarichi datati, assistente per la sicurezza nazionale dal 20 gennaio 1969 al 3 novembre 1975 e segretario di Stato dal 22 settembre 1973 al 20 gennaio 1977, sono fatto pubblico; il verbale del 25 settembre 1974 è accertamento; l'avvertimento riferito resta congettura. Nessuna sale di grado per accumulo.</w:t>
      </w:r>
    </w:p>
    <w:p>
      <w:pPr>
        <w:spacing w:after="120" w:line="276"/>
        <w:jc w:val="both"/>
      </w:pPr>
      <w:r>
        <w:rPr>
          <w:rFonts w:ascii="Barlow Semi Condensed" w:cs="Barlow Semi Condensed" w:eastAsia="Barlow Semi Condensed" w:hAnsi="Barlow Semi Condensed"/>
          <w:b/>
          <w:bCs/>
          <w:sz w:val="24"/>
          <w:szCs w:val="24"/>
        </w:rPr>
        <w:t xml:space="preserve">3240 · L'ufficio non è condotta.</w:t>
      </w:r>
      <w:r>
        <w:rPr>
          <w:rFonts w:ascii="Barlow Semi Condensed" w:cs="Barlow Semi Condensed" w:eastAsia="Barlow Semi Condensed" w:hAnsi="Barlow Semi Condensed"/>
          <w:sz w:val="24"/>
          <w:szCs w:val="24"/>
        </w:rPr>
        <w:t xml:space="preserve"> La regola personalistica del blocco 5 dice che l'appartenenza a un'organizzazione, a una loggia, a un ufficio non è condotta. Vale identica per la titolarità di un dicastero straniero: aver diretto il Dipartimento di Stato non è un atto compiuto nel caso italiano. Chi voglia trasformare la carica in condotta deve produrre l'atto, con data, protocollo e destinatario, e non la carica.</w:t>
      </w:r>
    </w:p>
    <w:p>
      <w:pPr>
        <w:spacing w:after="120" w:line="276"/>
        <w:jc w:val="both"/>
      </w:pPr>
      <w:r>
        <w:rPr>
          <w:rFonts w:ascii="Barlow Semi Condensed" w:cs="Barlow Semi Condensed" w:eastAsia="Barlow Semi Condensed" w:hAnsi="Barlow Semi Condensed"/>
          <w:b/>
          <w:bCs/>
          <w:sz w:val="24"/>
          <w:szCs w:val="24"/>
        </w:rPr>
        <w:t xml:space="preserve">3241 · L'anello debole del cammino atlantico (serie XLIII).</w:t>
      </w:r>
      <w:r>
        <w:rPr>
          <w:rFonts w:ascii="Barlow Semi Condensed" w:cs="Barlow Semi Condensed" w:eastAsia="Barlow Semi Condensed" w:hAnsi="Barlow Semi Condensed"/>
          <w:sz w:val="24"/>
          <w:szCs w:val="24"/>
        </w:rPr>
        <w:t xml:space="preserve"> Il grado di una catena è il minimo dei suoi anelli, stabilisce il blocco 6. Il cammino che da un colloquio del settembre 1974 arriva a via Fani attraversa almeno un passaggio interamente testimoniale, riferito de relato e smentito dall'interessato. Quel passaggio fissa il grado dell'intero cammino, per quanti documenti stiano a monte e a valle. Non lo si compensa allungando la catena.</w:t>
      </w:r>
    </w:p>
    <w:p>
      <w:pPr>
        <w:spacing w:after="120" w:line="276"/>
        <w:jc w:val="both"/>
      </w:pPr>
      <w:r>
        <w:rPr>
          <w:rFonts w:ascii="Barlow Semi Condensed" w:cs="Barlow Semi Condensed" w:eastAsia="Barlow Semi Condensed" w:hAnsi="Barlow Semi Condensed"/>
          <w:b/>
          <w:bCs/>
          <w:sz w:val="24"/>
          <w:szCs w:val="24"/>
        </w:rPr>
        <w:t xml:space="preserve">3242 · Zero su duecentocinquanta, misurato.</w:t>
      </w:r>
      <w:r>
        <w:rPr>
          <w:rFonts w:ascii="Barlow Semi Condensed" w:cs="Barlow Semi Condensed" w:eastAsia="Barlow Semi Condensed" w:hAnsi="Barlow Semi Condensed"/>
          <w:sz w:val="24"/>
          <w:szCs w:val="24"/>
        </w:rPr>
        <w:t xml:space="preserve"> Verifica meccanica eseguita sulle otto serie assegnate, blocchi 1-250 del manuale: la stringa Kissinger compare zero volte; zero anche Washington, Stati Uniti, Dipartimento di Stato, statunitense; americano compare due volte, ai blocchi 91 e 241; alleato tre volte, ai blocchi 119, 127 e 242. Lo Stato Zero di questo territorio non è dedotto: è contato, e il conteggio è ripetibile da chiunque.</w:t>
      </w:r>
    </w:p>
    <w:p>
      <w:pPr>
        <w:spacing w:after="120" w:line="276"/>
        <w:jc w:val="both"/>
      </w:pPr>
      <w:r>
        <w:rPr>
          <w:rFonts w:ascii="Barlow Semi Condensed" w:cs="Barlow Semi Condensed" w:eastAsia="Barlow Semi Condensed" w:hAnsi="Barlow Semi Condensed"/>
          <w:b/>
          <w:bCs/>
          <w:sz w:val="24"/>
          <w:szCs w:val="24"/>
        </w:rPr>
        <w:t xml:space="preserve">3243 · Il buco misurato non si riempie.</w:t>
      </w:r>
      <w:r>
        <w:rPr>
          <w:rFonts w:ascii="Barlow Semi Condensed" w:cs="Barlow Semi Condensed" w:eastAsia="Barlow Semi Condensed" w:hAnsi="Barlow Semi Condensed"/>
          <w:sz w:val="24"/>
          <w:szCs w:val="24"/>
        </w:rPr>
        <w:t xml:space="preserve"> La regola dei buchi al blocco 7 vieta di colmare con la narrazione ciò che la documentazione non collega. Il vuoto appena contato resta dunque congettura possibile e non provata finché un documento non diventi arco. La sede che lo chiuderebbe in un senso o nell'altro è nominabile: i Central Foreign Policy Files del Record Group 59 a College Park, per la finestra del 1978.</w:t>
      </w:r>
    </w:p>
    <w:p>
      <w:pPr>
        <w:spacing w:after="120" w:line="276"/>
        <w:jc w:val="both"/>
      </w:pPr>
      <w:r>
        <w:rPr>
          <w:rFonts w:ascii="Barlow Semi Condensed" w:cs="Barlow Semi Condensed" w:eastAsia="Barlow Semi Condensed" w:hAnsi="Barlow Semi Condensed"/>
          <w:b/>
          <w:bCs/>
          <w:sz w:val="24"/>
          <w:szCs w:val="24"/>
        </w:rPr>
        <w:t xml:space="preserve">3244 · L'evidenza che discrimina, una sola.</w:t>
      </w:r>
      <w:r>
        <w:rPr>
          <w:rFonts w:ascii="Barlow Semi Condensed" w:cs="Barlow Semi Condensed" w:eastAsia="Barlow Semi Condensed" w:hAnsi="Barlow Semi Condensed"/>
          <w:sz w:val="24"/>
          <w:szCs w:val="24"/>
        </w:rPr>
        <w:t xml:space="preserve"> Ogni quesito si scrive come matrice di ipotesi contro evidenze e cerca ciò che è incompatibile con almeno un'ipotesi: così il blocco 8. Per l'ipotesi di un mandato straniero l'evidenza discriminante è una sola e va nominata, cioè un documento di provenienza che indichi insieme l'emittente, la controparte italiana e l'atto richiesto. In sua assenza il quesito non è un quesito, è un'opinione.</w:t>
      </w:r>
    </w:p>
    <w:p>
      <w:pPr>
        <w:spacing w:after="120" w:line="276"/>
        <w:jc w:val="both"/>
      </w:pPr>
      <w:r>
        <w:rPr>
          <w:rFonts w:ascii="Barlow Semi Condensed" w:cs="Barlow Semi Condensed" w:eastAsia="Barlow Semi Condensed" w:hAnsi="Barlow Semi Condensed"/>
          <w:b/>
          <w:bCs/>
          <w:sz w:val="24"/>
          <w:szCs w:val="24"/>
        </w:rPr>
        <w:t xml:space="preserve">3245 · De relato e primato del reperto.</w:t>
      </w:r>
      <w:r>
        <w:rPr>
          <w:rFonts w:ascii="Barlow Semi Condensed" w:cs="Barlow Semi Condensed" w:eastAsia="Barlow Semi Condensed" w:hAnsi="Barlow Semi Condensed"/>
          <w:sz w:val="24"/>
          <w:szCs w:val="24"/>
        </w:rPr>
        <w:t xml:space="preserve"> La corroborazione fisica si verifica prima di fondare qualunque cosa sulla parola, impone il blocco 9, ed è la lezione Marini scolpita nella Nota di revisione numero uno. La testimonianza sull'avvertimento è de relato, resa alla Corte d'assise di Roma nel novembre 1982, col nome ottenuto in aula e non offerto spontaneamente. Il manuale non la squalifica: le nega il potere di fondare da sola.</w:t>
      </w:r>
    </w:p>
    <w:p>
      <w:pPr>
        <w:spacing w:after="120" w:line="276"/>
        <w:jc w:val="both"/>
      </w:pPr>
      <w:r>
        <w:rPr>
          <w:rFonts w:ascii="Barlow Semi Condensed" w:cs="Barlow Semi Condensed" w:eastAsia="Barlow Semi Condensed" w:hAnsi="Barlow Semi Condensed"/>
          <w:b/>
          <w:bCs/>
          <w:sz w:val="24"/>
          <w:szCs w:val="24"/>
        </w:rPr>
        <w:t xml:space="preserve">3246 · Il documento dovuto è stato letto.</w:t>
      </w:r>
      <w:r>
        <w:rPr>
          <w:rFonts w:ascii="Barlow Semi Condensed" w:cs="Barlow Semi Condensed" w:eastAsia="Barlow Semi Condensed" w:hAnsi="Barlow Semi Condensed"/>
          <w:sz w:val="24"/>
          <w:szCs w:val="24"/>
        </w:rPr>
        <w:t xml:space="preserve"> Dove sono le carte di un procedimento che esiste per definizione: è la domanda che il blocco 10 sostituisce a quella sul colpevole. Un colloquio allo Studio Ovale genera un memorandum of conversation, e quello del 25 settembre 1974 esiste, in FRUS 1969-1976 E-15 parte 2, documento 350, seconda edizione riveduta, col file 1552802 della Ford Library. Non contiene alcun ultimatum personale a Moro.</w:t>
      </w:r>
    </w:p>
    <w:p>
      <w:pPr>
        <w:spacing w:after="120" w:line="276"/>
        <w:jc w:val="both"/>
      </w:pPr>
      <w:r>
        <w:rPr>
          <w:rFonts w:ascii="Barlow Semi Condensed" w:cs="Barlow Semi Condensed" w:eastAsia="Barlow Semi Condensed" w:hAnsi="Barlow Semi Condensed"/>
          <w:b/>
          <w:bCs/>
          <w:sz w:val="24"/>
          <w:szCs w:val="24"/>
        </w:rPr>
        <w:t xml:space="preserve">3247 · Quattordici mesi prima di via Fani.</w:t>
      </w:r>
      <w:r>
        <w:rPr>
          <w:rFonts w:ascii="Barlow Semi Condensed" w:cs="Barlow Semi Condensed" w:eastAsia="Barlow Semi Condensed" w:hAnsi="Barlow Semi Condensed"/>
          <w:sz w:val="24"/>
          <w:szCs w:val="24"/>
        </w:rPr>
        <w:t xml:space="preserve"> La cronologia precede l'interpretazione, dice il blocco 14. Gli incarichi si chiusero il 20 gennaio 1977; il sequestro comincia il 16 marzo 1978. Nei cinquantacinque giorni quel nome non reggeva alcuna carica pubblica statunitense. Il dato non assolve e non accusa nessuno: colloca, e obbliga chiunque sostenga un ruolo attivo a spiegare per quale via un privato cittadino lo avrebbe esercitato.</w:t>
      </w:r>
    </w:p>
    <w:p>
      <w:pPr>
        <w:spacing w:after="120" w:line="276"/>
        <w:jc w:val="both"/>
      </w:pPr>
      <w:r>
        <w:rPr>
          <w:rFonts w:ascii="Barlow Semi Condensed" w:cs="Barlow Semi Condensed" w:eastAsia="Barlow Semi Condensed" w:hAnsi="Barlow Semi Condensed"/>
          <w:b/>
          <w:bCs/>
          <w:sz w:val="24"/>
          <w:szCs w:val="24"/>
        </w:rPr>
        <w:t xml:space="preserve">3248 · Due divergenze da riportare intatte.</w:t>
      </w:r>
      <w:r>
        <w:rPr>
          <w:rFonts w:ascii="Barlow Semi Condensed" w:cs="Barlow Semi Condensed" w:eastAsia="Barlow Semi Condensed" w:hAnsi="Barlow Semi Condensed"/>
          <w:sz w:val="24"/>
          <w:szCs w:val="24"/>
        </w:rPr>
        <w:t xml:space="preserve"> Le divergenze si riportano, prescrive il blocco 15, e qui ne stanno due. La data dell'avvertimento riferito oscilla fra 1974, 1976 e 1977 secondo le versioni, e nessuna deposizione la fissa. La data dell'anglicizzazione del nome è contesa fra le opere di consultazione, che dicono 1938 senza documenti, e il fascicolo d'immigrazione, che la colloca al 1942-1943. Entrambe restano aperte e dichiarate.</w:t>
      </w:r>
    </w:p>
    <w:p>
      <w:pPr>
        <w:spacing w:after="120" w:line="276"/>
        <w:jc w:val="both"/>
      </w:pPr>
      <w:r>
        <w:rPr>
          <w:rFonts w:ascii="Barlow Semi Condensed" w:cs="Barlow Semi Condensed" w:eastAsia="Barlow Semi Condensed" w:hAnsi="Barlow Semi Condensed"/>
          <w:b/>
          <w:bCs/>
          <w:sz w:val="24"/>
          <w:szCs w:val="24"/>
        </w:rPr>
        <w:t xml:space="preserve">3249 · Popperiano fino in fondo.</w:t>
      </w:r>
      <w:r>
        <w:rPr>
          <w:rFonts w:ascii="Barlow Semi Condensed" w:cs="Barlow Semi Condensed" w:eastAsia="Barlow Semi Condensed" w:hAnsi="Barlow Semi Condensed"/>
          <w:sz w:val="24"/>
          <w:szCs w:val="24"/>
        </w:rPr>
        <w:t xml:space="preserve"> Nessun congedo del sospetto è concesso dal blocco 20: il nuovo caso resta popperiano dall'inizio alla fine, perché un'indagine che presume ha già fallito. Applicato a questo nome significa che nessuna sua permanenza nel fascicolo è giustificata dalla notorietà. Resta finché vi è agganciato un quesito documentale vivo, con sede e criterio di chiusura, e cade il giorno in cui il quesito è esaurito.</w:t>
      </w:r>
    </w:p>
    <w:p>
      <w:pPr>
        <w:spacing w:after="120" w:line="276"/>
        <w:jc w:val="both"/>
      </w:pPr>
      <w:r>
        <w:rPr>
          <w:rFonts w:ascii="Barlow Semi Condensed" w:cs="Barlow Semi Condensed" w:eastAsia="Barlow Semi Condensed" w:hAnsi="Barlow Semi Condensed"/>
          <w:b/>
          <w:bCs/>
          <w:sz w:val="24"/>
          <w:szCs w:val="24"/>
        </w:rPr>
        <w:t xml:space="preserve">3250 · Quale dei tre cantieri se ne occupa.</w:t>
      </w:r>
      <w:r>
        <w:rPr>
          <w:rFonts w:ascii="Barlow Semi Condensed" w:cs="Barlow Semi Condensed" w:eastAsia="Barlow Semi Condensed" w:hAnsi="Barlow Semi Condensed"/>
          <w:sz w:val="24"/>
          <w:szCs w:val="24"/>
        </w:rPr>
        <w:t xml:space="preserve"> Tre cantieri si dividono il lavoro al blocco 21: giudiziario, archivistico, conservativo. Per questo nome il primo non ha titolo, perché non esiste procedimento; il terzo non ha oggetto, perché la persona è morta a Kent, nel Connecticut, il 29 novembre 2023. Resta il cantiere archivistico, e con esso l'unica competenza legittima: cercare carte in fondi nominati, non raccogliere ricordi né formulare addebiti.</w:t>
      </w:r>
    </w:p>
    <w:p>
      <w:pPr>
        <w:spacing w:after="120" w:line="276"/>
        <w:jc w:val="both"/>
      </w:pPr>
      <w:r>
        <w:rPr>
          <w:rFonts w:ascii="Barlow Semi Condensed" w:cs="Barlow Semi Condensed" w:eastAsia="Barlow Semi Condensed" w:hAnsi="Barlow Semi Condensed"/>
          <w:b/>
          <w:bCs/>
          <w:sz w:val="24"/>
          <w:szCs w:val="24"/>
        </w:rPr>
        <w:t xml:space="preserve">3251 · Il canale dei quesiti, non la stampa.</w:t>
      </w:r>
      <w:r>
        <w:rPr>
          <w:rFonts w:ascii="Barlow Semi Condensed" w:cs="Barlow Semi Condensed" w:eastAsia="Barlow Semi Condensed" w:hAnsi="Barlow Semi Condensed"/>
          <w:sz w:val="24"/>
          <w:szCs w:val="24"/>
        </w:rPr>
        <w:t xml:space="preserve"> Una sola forma è lecita al contributo esterno secondo il blocco 23: quesiti documentali con criterio di smentita, depositati alle sedi competenti. Questa serie si dichiara tale. Nessuno dei suoi bersagli va portato a una redazione prima che a un archivio, e nessuno di essi chiede a un ufficio di confermare un'ipotesi: chiedono l'esistenza, la segnatura e lo stato d'accesso di carte determinate.</w:t>
      </w:r>
    </w:p>
    <w:p>
      <w:pPr>
        <w:spacing w:after="120" w:line="276"/>
        <w:jc w:val="both"/>
      </w:pPr>
      <w:r>
        <w:rPr>
          <w:rFonts w:ascii="Barlow Semi Condensed" w:cs="Barlow Semi Condensed" w:eastAsia="Barlow Semi Condensed" w:hAnsi="Barlow Semi Condensed"/>
          <w:b/>
          <w:bCs/>
          <w:sz w:val="24"/>
          <w:szCs w:val="24"/>
        </w:rPr>
        <w:t xml:space="preserve">3252 · Il pregiudizio come risorsa di controllo.</w:t>
      </w:r>
      <w:r>
        <w:rPr>
          <w:rFonts w:ascii="Barlow Semi Condensed" w:cs="Barlow Semi Condensed" w:eastAsia="Barlow Semi Condensed" w:hAnsi="Barlow Semi Condensed"/>
          <w:sz w:val="24"/>
          <w:szCs w:val="24"/>
        </w:rPr>
        <w:t xml:space="preserve"> Chi ha sostenuto pubblicamente una tesi sul caso può servire i cantieri solo su atti capaci di smentirla, stabilisce il blocco 27. La norma è tagliata su misura per questa materia. Chi ha scritto dell'eterodirezione atlantica lavori sulle schede dei telegrammi trattenuti e sui registri di protocollo, che possono contraddirlo; chi ha scritto dell'irrilevanza del versante estero lavori sulle serie che potrebbero smentire lui.</w:t>
      </w:r>
    </w:p>
    <w:p>
      <w:pPr>
        <w:spacing w:after="120" w:line="276"/>
        <w:jc w:val="both"/>
      </w:pPr>
      <w:r>
        <w:rPr>
          <w:rFonts w:ascii="Barlow Semi Condensed" w:cs="Barlow Semi Condensed" w:eastAsia="Barlow Semi Condensed" w:hAnsi="Barlow Semi Condensed"/>
          <w:b/>
          <w:bCs/>
          <w:sz w:val="24"/>
          <w:szCs w:val="24"/>
        </w:rPr>
        <w:t xml:space="preserve">3253 · Nessuna pista intestata a un nome.</w:t>
      </w:r>
      <w:r>
        <w:rPr>
          <w:rFonts w:ascii="Barlow Semi Condensed" w:cs="Barlow Semi Condensed" w:eastAsia="Barlow Semi Condensed" w:hAnsi="Barlow Semi Condensed"/>
          <w:sz w:val="24"/>
          <w:szCs w:val="24"/>
        </w:rPr>
        <w:t xml:space="preserve"> Il registro delle piste del blocco 29 censisce stato, punteggio, atti compiuti e criterio di chiusura. Nel programma investigativo del corpus le sei schede di entità vanno da PE-1 a PE-6, e nessuna è intestata a una persona straniera: PE-5 riguarda il traffico di cablo dei cinquantacinque giorni ed è impersonale per costruzione. È un accertamento sul territorio, non una lacuna da colmare.</w:t>
      </w:r>
    </w:p>
    <w:p>
      <w:pPr>
        <w:spacing w:after="120" w:line="276"/>
        <w:jc w:val="both"/>
      </w:pPr>
      <w:r>
        <w:rPr>
          <w:rFonts w:ascii="Barlow Semi Condensed" w:cs="Barlow Semi Condensed" w:eastAsia="Barlow Semi Condensed" w:hAnsi="Barlow Semi Condensed"/>
          <w:b/>
          <w:bCs/>
          <w:sz w:val="24"/>
          <w:szCs w:val="24"/>
        </w:rPr>
        <w:t xml:space="preserve">3254 · Verbalizzare anche il nulla risulta.</w:t>
      </w:r>
      <w:r>
        <w:rPr>
          <w:rFonts w:ascii="Barlow Semi Condensed" w:cs="Barlow Semi Condensed" w:eastAsia="Barlow Semi Condensed" w:hAnsi="Barlow Semi Condensed"/>
          <w:sz w:val="24"/>
          <w:szCs w:val="24"/>
        </w:rPr>
        <w:t xml:space="preserve"> La verbalizzazione totale del blocco 33 comprende la telefonata all'archivio che risponde di non avere nulla. Applicata qui, obbliga a mettere a registro ogni risposta negativa: quella dell'archivio presidenziale di Ann Arbor sulle carte italiane del 1974, quella dei fondi personali sul 1978, quella della Farnesina sulle serie novecentesche. Un fascicolo di dinieghi scritti è il prodotto minimo garantito di questa triangolazione.</w:t>
      </w:r>
    </w:p>
    <w:p>
      <w:pPr>
        <w:spacing w:after="120" w:line="276"/>
        <w:jc w:val="both"/>
      </w:pPr>
      <w:r>
        <w:rPr>
          <w:rFonts w:ascii="Barlow Semi Condensed" w:cs="Barlow Semi Condensed" w:eastAsia="Barlow Semi Condensed" w:hAnsi="Barlow Semi Condensed"/>
          <w:b/>
          <w:bCs/>
          <w:sz w:val="24"/>
          <w:szCs w:val="24"/>
        </w:rPr>
        <w:t xml:space="preserve">3255 · FRUS non è una segnatura.</w:t>
      </w:r>
      <w:r>
        <w:rPr>
          <w:rFonts w:ascii="Barlow Semi Condensed" w:cs="Barlow Semi Condensed" w:eastAsia="Barlow Semi Condensed" w:hAnsi="Barlow Semi Condensed"/>
          <w:sz w:val="24"/>
          <w:szCs w:val="24"/>
        </w:rPr>
        <w:t xml:space="preserve"> Un protocollo unico di citazione, fondo e busta e fascicolo e carta, è imposto dal blocco 34. Ne discende una correzione utile a tutta la pubblicistica sull'episodio del 1974: la sigla di una raccolta a stampa non è una segnatura. La segnatura del verbale è il file 1552802 della Ford Library; l'edizione FRUS ne è la pubblicazione, con la sua storia editoriale e la sua seconda edizione riveduta.</w:t>
      </w:r>
    </w:p>
    <w:p>
      <w:pPr>
        <w:spacing w:after="120" w:line="276"/>
        <w:jc w:val="both"/>
      </w:pPr>
      <w:r>
        <w:rPr>
          <w:rFonts w:ascii="Barlow Semi Condensed" w:cs="Barlow Semi Condensed" w:eastAsia="Barlow Semi Condensed" w:hAnsi="Barlow Semi Condensed"/>
          <w:b/>
          <w:bCs/>
          <w:sz w:val="24"/>
          <w:szCs w:val="24"/>
        </w:rPr>
        <w:t xml:space="preserve">3256 · Un lancio, non una moltiplicazione.</w:t>
      </w:r>
      <w:r>
        <w:rPr>
          <w:rFonts w:ascii="Barlow Semi Condensed" w:cs="Barlow Semi Condensed" w:eastAsia="Barlow Semi Condensed" w:hAnsi="Barlow Semi Condensed"/>
          <w:sz w:val="24"/>
          <w:szCs w:val="24"/>
        </w:rPr>
        <w:t xml:space="preserve"> Ogni comunicazione pubblica dichiara in una riga il grado di ciò che annuncia, pretende il blocco 38, e i titoli non sono atti. La regola vale a ritroso sull'episodio: la fioritura di articoli del dicembre 2023 risale a un unico lancio d'agenzia del 30 novembre 2023. La replicazione moltiplica le occorrenze, non il valore probatorio, e va contata come una sola fonte.</w:t>
      </w:r>
    </w:p>
    <w:p>
      <w:pPr>
        <w:spacing w:after="120" w:line="276"/>
        <w:jc w:val="both"/>
      </w:pPr>
      <w:r>
        <w:rPr>
          <w:rFonts w:ascii="Barlow Semi Condensed" w:cs="Barlow Semi Condensed" w:eastAsia="Barlow Semi Condensed" w:hAnsi="Barlow Semi Condensed"/>
          <w:b/>
          <w:bCs/>
          <w:sz w:val="24"/>
          <w:szCs w:val="24"/>
        </w:rPr>
        <w:t xml:space="preserve">3257 · La lente non entra nei cantieri.</w:t>
      </w:r>
      <w:r>
        <w:rPr>
          <w:rFonts w:ascii="Barlow Semi Condensed" w:cs="Barlow Semi Condensed" w:eastAsia="Barlow Semi Condensed" w:hAnsi="Barlow Semi Condensed"/>
          <w:sz w:val="24"/>
          <w:szCs w:val="24"/>
        </w:rPr>
        <w:t xml:space="preserve"> Fuori dai cantieri restano l'edizione probabilistica dell'autore e le sue graduatorie, per il blocco 42. La stessa quarantena vale per l'opera in cui questa serie sta: la chiave dichiarata dal committente, un nome letto come metafora della genetica, è una lente di lettura e non un titolo d'ingresso agli atti. Nei cantieri entrano segnature, non metafore, e questa serie produce soltanto bersagli.</w:t>
      </w:r>
    </w:p>
    <w:p>
      <w:pPr>
        <w:spacing w:after="120" w:line="276"/>
        <w:jc w:val="both"/>
      </w:pPr>
      <w:r>
        <w:rPr>
          <w:rFonts w:ascii="Barlow Semi Condensed" w:cs="Barlow Semi Condensed" w:eastAsia="Barlow Semi Condensed" w:hAnsi="Barlow Semi Condensed"/>
          <w:b/>
          <w:bCs/>
          <w:sz w:val="24"/>
          <w:szCs w:val="24"/>
        </w:rPr>
        <w:t xml:space="preserve">3258 · Nessun nome evocato senza necessità.</w:t>
      </w:r>
      <w:r>
        <w:rPr>
          <w:rFonts w:ascii="Barlow Semi Condensed" w:cs="Barlow Semi Condensed" w:eastAsia="Barlow Semi Condensed" w:hAnsi="Barlow Semi Condensed"/>
          <w:sz w:val="24"/>
          <w:szCs w:val="24"/>
        </w:rPr>
        <w:t xml:space="preserve"> Prosa piana, termini spiegati alla prima occorrenza, nessun nome evocato senza necessità: il blocco 43 vuole atti leggibili fra cinquant'anni senza glossario dietrologico. È la regola che governa l'uso stesso di questo nome, il quale compare in un atto del nuovo caso soltanto se una carta lo contiene, e nella misura in cui la carta lo contiene. L'evocazione atmosferica è vietata quanto l'accusa.</w:t>
      </w:r>
    </w:p>
    <w:p>
      <w:pPr>
        <w:spacing w:after="120" w:line="276"/>
        <w:jc w:val="both"/>
      </w:pPr>
      <w:r>
        <w:rPr>
          <w:rFonts w:ascii="Barlow Semi Condensed" w:cs="Barlow Semi Condensed" w:eastAsia="Barlow Semi Condensed" w:hAnsi="Barlow Semi Condensed"/>
          <w:b/>
          <w:bCs/>
          <w:sz w:val="24"/>
          <w:szCs w:val="24"/>
        </w:rPr>
        <w:t xml:space="preserve">3259 · Il garante e l'atto da sospendere.</w:t>
      </w:r>
      <w:r>
        <w:rPr>
          <w:rFonts w:ascii="Barlow Semi Condensed" w:cs="Barlow Semi Condensed" w:eastAsia="Barlow Semi Condensed" w:hAnsi="Barlow Semi Condensed"/>
          <w:sz w:val="24"/>
          <w:szCs w:val="24"/>
        </w:rPr>
        <w:t xml:space="preserve"> A ogni cantiere il blocco 45 assegna un garante interno col potere di sospendere l'atto che violi la serie prima, con rimostranze scritte e pubbliche. Questa materia è il campo d'esercizio naturale di quel potere: l'istanza che chieda a un archivio di confermare un ruolo, invece di chiedere l'esistenza di una carta determinata, va sospesa e riscritta prima della spedizione.</w:t>
      </w:r>
    </w:p>
    <w:p>
      <w:pPr>
        <w:spacing w:after="120" w:line="276"/>
        <w:jc w:val="both"/>
      </w:pPr>
      <w:r>
        <w:rPr>
          <w:rFonts w:ascii="Barlow Semi Condensed" w:cs="Barlow Semi Condensed" w:eastAsia="Barlow Semi Condensed" w:hAnsi="Barlow Semi Condensed"/>
          <w:b/>
          <w:bCs/>
          <w:sz w:val="24"/>
          <w:szCs w:val="24"/>
        </w:rPr>
        <w:t xml:space="preserve">3260 · L'inventario dei reperti e il nulla.</w:t>
      </w:r>
      <w:r>
        <w:rPr>
          <w:rFonts w:ascii="Barlow Semi Condensed" w:cs="Barlow Semi Condensed" w:eastAsia="Barlow Semi Condensed" w:hAnsi="Barlow Semi Condensed"/>
          <w:sz w:val="24"/>
          <w:szCs w:val="24"/>
        </w:rPr>
        <w:t xml:space="preserve"> Prima di ogni perizia viene l'inventario unificato di tutti i reperti ancora esistenti, comanda il blocco 46. Su questo nome l'inventario restituirebbe una casella vuota, perché nessun reperto del caso ha provenienza dichiarata da un ufficio straniero. Lo Stato Zero si chiude, se mai, negli elenchi dei reperti allegati ai cinque fascicoli processuali e nei registri dei depositi giudiziari romani, che vanno interrogati e non presunti.</w:t>
      </w:r>
    </w:p>
    <w:p>
      <w:pPr>
        <w:spacing w:after="120" w:line="276"/>
        <w:jc w:val="both"/>
      </w:pPr>
      <w:r>
        <w:rPr>
          <w:rFonts w:ascii="Barlow Semi Condensed" w:cs="Barlow Semi Condensed" w:eastAsia="Barlow Semi Condensed" w:hAnsi="Barlow Semi Condensed"/>
          <w:b/>
          <w:bCs/>
          <w:sz w:val="24"/>
          <w:szCs w:val="24"/>
        </w:rPr>
        <w:t xml:space="preserve">3261 · Il limite del quesito tecnico.</w:t>
      </w:r>
      <w:r>
        <w:rPr>
          <w:rFonts w:ascii="Barlow Semi Condensed" w:cs="Barlow Semi Condensed" w:eastAsia="Barlow Semi Condensed" w:hAnsi="Barlow Semi Condensed"/>
          <w:sz w:val="24"/>
          <w:szCs w:val="24"/>
        </w:rPr>
        <w:t xml:space="preserve"> Nessun reperto si analizza per vedere cosa esce, vieta il blocco 49, perché ogni esame discende da una matrice. Ne segue un limite strutturale da dichiarare: nessuna analisi dei novantuno bossoli, del caricatore di via Stresa o dei profili genetici del 2016 può falsificare o corroborare un'ipotesi su un decisore straniero. La scienza forense risponde a domande sulle cose, non sulle intenzioni.</w:t>
      </w:r>
    </w:p>
    <w:p>
      <w:pPr>
        <w:spacing w:after="120" w:line="276"/>
        <w:jc w:val="both"/>
      </w:pPr>
      <w:r>
        <w:rPr>
          <w:rFonts w:ascii="Barlow Semi Condensed" w:cs="Barlow Semi Condensed" w:eastAsia="Barlow Semi Condensed" w:hAnsi="Barlow Semi Condensed"/>
          <w:b/>
          <w:bCs/>
          <w:sz w:val="24"/>
          <w:szCs w:val="24"/>
        </w:rPr>
        <w:t xml:space="preserve">3262 · La sola porta merceologica.</w:t>
      </w:r>
      <w:r>
        <w:rPr>
          <w:rFonts w:ascii="Barlow Semi Condensed" w:cs="Barlow Semi Condensed" w:eastAsia="Barlow Semi Condensed" w:hAnsi="Barlow Semi Condensed"/>
          <w:sz w:val="24"/>
          <w:szCs w:val="24"/>
        </w:rPr>
        <w:t xml:space="preserve"> Munizioni, vernici, fibre e carte: il perimetro merceologico del blocco 81 apre l'unico varco per cui una traccia estera potrebbe entrare nel cantiere dei reperti, grazie a banche dati capaci di attribuzioni di lotto o d'epoca impossibili nel 1978. Quel varco produce attribuzioni di provenienza materiale, mai di volontà: un lotto di munizioni fabbricato altrove non nomina nessuno e non va fatto parlare.</w:t>
      </w:r>
    </w:p>
    <w:p>
      <w:pPr>
        <w:spacing w:after="120" w:line="276"/>
        <w:jc w:val="both"/>
      </w:pPr>
      <w:r>
        <w:rPr>
          <w:rFonts w:ascii="Barlow Semi Condensed" w:cs="Barlow Semi Condensed" w:eastAsia="Barlow Semi Condensed" w:hAnsi="Barlow Semi Condensed"/>
          <w:b/>
          <w:bCs/>
          <w:sz w:val="24"/>
          <w:szCs w:val="24"/>
        </w:rPr>
        <w:t xml:space="preserve">3263 · Il profilo ignoto resta ignoto.</w:t>
      </w:r>
      <w:r>
        <w:rPr>
          <w:rFonts w:ascii="Barlow Semi Condensed" w:cs="Barlow Semi Condensed" w:eastAsia="Barlow Semi Condensed" w:hAnsi="Barlow Semi Condensed"/>
          <w:sz w:val="24"/>
          <w:szCs w:val="24"/>
        </w:rPr>
        <w:t xml:space="preserve"> I profili genetici estratti nel 2016 sono custoditi dai blocchi 59 e 60, che prescrivono di dichiarare come fatto, e non come fantasma, ogni residuo non identificato. La disciplina impedisce l'operazione qui più tentante, cioè attribuire un profilo ignoto a un apparato estero per via di plausibilità. Solo una comparazione autorizzata dal giudice sposta quel dato; fino ad allora resta un numero in banca.</w:t>
      </w:r>
    </w:p>
    <w:p>
      <w:pPr>
        <w:spacing w:after="120" w:line="276"/>
        <w:jc w:val="both"/>
      </w:pPr>
      <w:r>
        <w:rPr>
          <w:rFonts w:ascii="Barlow Semi Condensed" w:cs="Barlow Semi Condensed" w:eastAsia="Barlow Semi Condensed" w:hAnsi="Barlow Semi Condensed"/>
          <w:b/>
          <w:bCs/>
          <w:sz w:val="24"/>
          <w:szCs w:val="24"/>
        </w:rPr>
        <w:t xml:space="preserve">3264 · L'officina del falso non ha nazionalità.</w:t>
      </w:r>
      <w:r>
        <w:rPr>
          <w:rFonts w:ascii="Barlow Semi Condensed" w:cs="Barlow Semi Condensed" w:eastAsia="Barlow Semi Condensed" w:hAnsi="Barlow Semi Condensed"/>
          <w:sz w:val="24"/>
          <w:szCs w:val="24"/>
        </w:rPr>
        <w:t xml:space="preserve"> Carta, macchina di scrittura, lessico: con questi tre esami il blocco 65 interroga di nuovo il falso comunicato del lago della Duchessa. La perizia può attribuire un'officina di produzione; non può nominare un committente lontano. Vale l'avvertenza del blocco 194, che lo dice il reperto più maneggiato e meno periziato del caso: usarlo come jolly di una tesi internazionale lo consuma senza accertare nulla.</w:t>
      </w:r>
    </w:p>
    <w:p>
      <w:pPr>
        <w:spacing w:after="120" w:line="276"/>
        <w:jc w:val="both"/>
      </w:pPr>
      <w:r>
        <w:rPr>
          <w:rFonts w:ascii="Barlow Semi Condensed" w:cs="Barlow Semi Condensed" w:eastAsia="Barlow Semi Condensed" w:hAnsi="Barlow Semi Condensed"/>
          <w:b/>
          <w:bCs/>
          <w:sz w:val="24"/>
          <w:szCs w:val="24"/>
        </w:rPr>
        <w:t xml:space="preserve">3265 · Rassegna stampa contro intelligence.</w:t>
      </w:r>
      <w:r>
        <w:rPr>
          <w:rFonts w:ascii="Barlow Semi Condensed" w:cs="Barlow Semi Condensed" w:eastAsia="Barlow Semi Condensed" w:hAnsi="Barlow Semi Condensed"/>
          <w:sz w:val="24"/>
          <w:szCs w:val="24"/>
        </w:rPr>
        <w:t xml:space="preserve"> Registrazioni radio, filmati d'epoca e fotografie d'agenzia sono reperti a pieno titolo per il blocco 78. Incrociandolo con la disciplina che l'agenda di ricerca fissa al blocco 132 per la sala di lettura di Langley, si ottiene la regola necessaria qui: un documento estero che riporti dichiarazioni pubbliche è rassegna, non informativa. Marcare ciascun reperto per quello che è previene metà degli equivoci.</w:t>
      </w:r>
    </w:p>
    <w:p>
      <w:pPr>
        <w:spacing w:after="120" w:line="276"/>
        <w:jc w:val="both"/>
      </w:pPr>
      <w:r>
        <w:rPr>
          <w:rFonts w:ascii="Barlow Semi Condensed" w:cs="Barlow Semi Condensed" w:eastAsia="Barlow Semi Condensed" w:hAnsi="Barlow Semi Condensed"/>
          <w:b/>
          <w:bCs/>
          <w:sz w:val="24"/>
          <w:szCs w:val="24"/>
        </w:rPr>
        <w:t xml:space="preserve">3266 · Indecidibile non è lo stesso di inesistente.</w:t>
      </w:r>
      <w:r>
        <w:rPr>
          <w:rFonts w:ascii="Barlow Semi Condensed" w:cs="Barlow Semi Condensed" w:eastAsia="Barlow Semi Condensed" w:hAnsi="Barlow Semi Condensed"/>
          <w:sz w:val="24"/>
          <w:szCs w:val="24"/>
        </w:rPr>
        <w:t xml:space="preserve"> L'indecidibilità è esito nobile per il blocco 75, da verbalizzare con le sue ragioni tecniche e un criterio di riapertura scritto. Serve però una distinzione che questa serie tiene ferma: sul versante dei reperti la questione internazionale non è indecisa, è non posta. Una domanda che nessun reperto potrebbe mai discriminare non produce indecidibilità: esce dal cantiere della scienza e passa a quello delle carte.</w:t>
      </w:r>
    </w:p>
    <w:p>
      <w:pPr>
        <w:spacing w:after="120" w:line="276"/>
        <w:jc w:val="both"/>
      </w:pPr>
      <w:r>
        <w:rPr>
          <w:rFonts w:ascii="Barlow Semi Condensed" w:cs="Barlow Semi Condensed" w:eastAsia="Barlow Semi Condensed" w:hAnsi="Barlow Semi Condensed"/>
          <w:b/>
          <w:bCs/>
          <w:sz w:val="24"/>
          <w:szCs w:val="24"/>
        </w:rPr>
        <w:t xml:space="preserve">3267 · Gli esami chiesti e mai eseguiti.</w:t>
      </w:r>
      <w:r>
        <w:rPr>
          <w:rFonts w:ascii="Barlow Semi Condensed" w:cs="Barlow Semi Condensed" w:eastAsia="Barlow Semi Condensed" w:hAnsi="Barlow Semi Condensed"/>
          <w:sz w:val="24"/>
          <w:szCs w:val="24"/>
        </w:rPr>
        <w:t xml:space="preserve"> Dai fascicoli processuali si estrae l'elenco degli esami richiesti e mai eseguiti, o eseguiti e mai depositati: lo prescrive il blocco 82. Bersaglio derivato, con sede: verificare se in quell'elenco figuri un solo accertamento riguardante materiali, tracce o documenti di provenienza estera. L'esito atteso è negativo, e andrebbe verbalizzato come tale nelle cancellerie dei cinque processi, dove l'elenco si compila.</w:t>
      </w:r>
    </w:p>
    <w:p>
      <w:pPr>
        <w:spacing w:after="120" w:line="276"/>
        <w:jc w:val="both"/>
      </w:pPr>
      <w:r>
        <w:rPr>
          <w:rFonts w:ascii="Barlow Semi Condensed" w:cs="Barlow Semi Condensed" w:eastAsia="Barlow Semi Condensed" w:hAnsi="Barlow Semi Condensed"/>
          <w:b/>
          <w:bCs/>
          <w:sz w:val="24"/>
          <w:szCs w:val="24"/>
        </w:rPr>
        <w:t xml:space="preserve">3268 · Due porte nella mappa dei fondi.</w:t>
      </w:r>
      <w:r>
        <w:rPr>
          <w:rFonts w:ascii="Barlow Semi Condensed" w:cs="Barlow Semi Condensed" w:eastAsia="Barlow Semi Condensed" w:hAnsi="Barlow Semi Condensed"/>
          <w:sz w:val="24"/>
          <w:szCs w:val="24"/>
        </w:rPr>
        <w:t xml:space="preserve"> La mappa unificata dei giacimenti, al blocco 91, include NARA e le FOIA americane accanto ai fondi italiani. Sono le due sole porte per cui questo nome potrebbe entrare nel territorio, e nessuna delle due è intestata a una persona: si aprono per serie, per data e per ufficio produttore. Chi bussa con un cognome ottiene, nel migliore dei casi, una risposta interlocutoria.</w:t>
      </w:r>
    </w:p>
    <w:p>
      <w:pPr>
        <w:spacing w:after="120" w:line="276"/>
        <w:jc w:val="both"/>
      </w:pPr>
      <w:r>
        <w:rPr>
          <w:rFonts w:ascii="Barlow Semi Condensed" w:cs="Barlow Semi Condensed" w:eastAsia="Barlow Semi Condensed" w:hAnsi="Barlow Semi Condensed"/>
          <w:b/>
          <w:bCs/>
          <w:sz w:val="24"/>
          <w:szCs w:val="24"/>
        </w:rPr>
        <w:t xml:space="preserve">3269 · Una chiave estera per il fondo Renzi.</w:t>
      </w:r>
      <w:r>
        <w:rPr>
          <w:rFonts w:ascii="Barlow Semi Condensed" w:cs="Barlow Semi Condensed" w:eastAsia="Barlow Semi Condensed" w:hAnsi="Barlow Semi Condensed"/>
          <w:sz w:val="24"/>
          <w:szCs w:val="24"/>
        </w:rPr>
        <w:t xml:space="preserve"> Via Fani, Gradoli, Montalcini, la Duchessa, i comitati, le segnalazioni, il memoriale, i nomi del giudicato, le date cardine: le chiavi minime del blocco 93 non contengono alcuna chiave estera. Proposta operativa per il responsabile scientifico dello spoglio: aggiungerne una dichiarata per le carte di rapporto con gli alleati, con criterio di scarto scritto, così che anche l'assenza diventi misurabile e pubblicabile.</w:t>
      </w:r>
    </w:p>
    <w:p>
      <w:pPr>
        <w:spacing w:after="120" w:line="276"/>
        <w:jc w:val="both"/>
      </w:pPr>
      <w:r>
        <w:rPr>
          <w:rFonts w:ascii="Barlow Semi Condensed" w:cs="Barlow Semi Condensed" w:eastAsia="Barlow Semi Condensed" w:hAnsi="Barlow Semi Condensed"/>
          <w:b/>
          <w:bCs/>
          <w:sz w:val="24"/>
          <w:szCs w:val="24"/>
        </w:rPr>
        <w:t xml:space="preserve">3270 · Come si compila la scheda.</w:t>
      </w:r>
      <w:r>
        <w:rPr>
          <w:rFonts w:ascii="Barlow Semi Condensed" w:cs="Barlow Semi Condensed" w:eastAsia="Barlow Semi Condensed" w:hAnsi="Barlow Semi Condensed"/>
          <w:sz w:val="24"/>
          <w:szCs w:val="24"/>
        </w:rPr>
        <w:t xml:space="preserve"> Segnatura, data, ufficio produttore, contenuto in tre righe, grado, piste alimentate: sono i campi della scheda di rinvenimento del blocco 95. Per un eventuale documento che nomini il nostro nome la compilazione richiede una cautela in più, perché il campo del grado registra il piano del rapporto. Un documento che citi una posizione politica generale alimenta il piano due, non il piano uno.</w:t>
      </w:r>
    </w:p>
    <w:p>
      <w:pPr>
        <w:spacing w:after="120" w:line="276"/>
        <w:jc w:val="both"/>
      </w:pPr>
      <w:r>
        <w:rPr>
          <w:rFonts w:ascii="Barlow Semi Condensed" w:cs="Barlow Semi Condensed" w:eastAsia="Barlow Semi Condensed" w:hAnsi="Barlow Semi Condensed"/>
          <w:b/>
          <w:bCs/>
          <w:sz w:val="24"/>
          <w:szCs w:val="24"/>
        </w:rPr>
        <w:t xml:space="preserve">3271 · Il verbale italiano del 25 settembre.</w:t>
      </w:r>
      <w:r>
        <w:rPr>
          <w:rFonts w:ascii="Barlow Semi Condensed" w:cs="Barlow Semi Condensed" w:eastAsia="Barlow Semi Condensed" w:hAnsi="Barlow Semi Condensed"/>
          <w:sz w:val="24"/>
          <w:szCs w:val="24"/>
        </w:rPr>
        <w:t xml:space="preserve"> Una scheda di assenza si apre per ogni documento dovuto e non rinvenuto, secondo il blocco 96. Se ne apre qui una, precisa: la controparte italiana del colloquio dello Studio Ovale del 25 settembre 1974, cioè l'appunto o il telespresso redatto da chi vi partecipò. Sedi che la chiuderebbero: l'Archivio storico diplomatico della Farnesina, serie dell'ambasciata a Washington, e le carte presidenziali di Leone.</w:t>
      </w:r>
    </w:p>
    <w:p>
      <w:pPr>
        <w:spacing w:after="120" w:line="276"/>
        <w:jc w:val="both"/>
      </w:pPr>
      <w:r>
        <w:rPr>
          <w:rFonts w:ascii="Barlow Semi Condensed" w:cs="Barlow Semi Condensed" w:eastAsia="Barlow Semi Condensed" w:hAnsi="Barlow Semi Condensed"/>
          <w:b/>
          <w:bCs/>
          <w:sz w:val="24"/>
          <w:szCs w:val="24"/>
        </w:rPr>
        <w:t xml:space="preserve">3272 · Il verbale d'udienza del novembre 1982 (serie XLIII).</w:t>
      </w:r>
      <w:r>
        <w:rPr>
          <w:rFonts w:ascii="Barlow Semi Condensed" w:cs="Barlow Semi Condensed" w:eastAsia="Barlow Semi Condensed" w:hAnsi="Barlow Semi Condensed"/>
          <w:sz w:val="24"/>
          <w:szCs w:val="24"/>
        </w:rPr>
        <w:t xml:space="preserve"> I cinque processi sono fondo primario per il blocco 97, e l'autorizzazione si chiede una volta sola per un piano organico. Il bersaglio di piano uno più economico di tutta questa serie sta lì: la trascrizione integrale dell'udienza della Corte d'assise di Roma in cui la testimonianza sull'avvertimento fu resa, con segnatura, data esatta e domande dell'aula. Nessuna pubblicazione l'ha finora citata per segnatura.</w:t>
      </w:r>
    </w:p>
    <w:p>
      <w:pPr>
        <w:spacing w:after="120" w:line="276"/>
        <w:jc w:val="both"/>
      </w:pPr>
      <w:r>
        <w:rPr>
          <w:rFonts w:ascii="Barlow Semi Condensed" w:cs="Barlow Semi Condensed" w:eastAsia="Barlow Semi Condensed" w:hAnsi="Barlow Semi Condensed"/>
          <w:b/>
          <w:bCs/>
          <w:sz w:val="24"/>
          <w:szCs w:val="24"/>
        </w:rPr>
        <w:t xml:space="preserve">3273 · Contare le occorrenze negli atti parlamentari.</w:t>
      </w:r>
      <w:r>
        <w:rPr>
          <w:rFonts w:ascii="Barlow Semi Condensed" w:cs="Barlow Semi Condensed" w:eastAsia="Barlow Semi Condensed" w:hAnsi="Barlow Semi Condensed"/>
          <w:sz w:val="24"/>
          <w:szCs w:val="24"/>
        </w:rPr>
        <w:t xml:space="preserve"> Moro 1, Stragi, Mitrokhin, Moro 2, Anselmi: il blocco 98 ne indicizza gli atti con le chiavi del blocco 93, comprese le audizioni via via declassificate. Bersaglio enumerativo da eseguire e pubblicare: quante volte il cognome ricorre in quel patrimonio, in quali sedute, in bocca a chi e con quale formulazione. Il risultato è una tavola, non una tesi, qualunque cifra restituisca.</w:t>
      </w:r>
    </w:p>
    <w:p>
      <w:pPr>
        <w:spacing w:after="120" w:line="276"/>
        <w:jc w:val="both"/>
      </w:pPr>
      <w:r>
        <w:rPr>
          <w:rFonts w:ascii="Barlow Semi Condensed" w:cs="Barlow Semi Condensed" w:eastAsia="Barlow Semi Condensed" w:hAnsi="Barlow Semi Condensed"/>
          <w:b/>
          <w:bCs/>
          <w:sz w:val="24"/>
          <w:szCs w:val="24"/>
        </w:rPr>
        <w:t xml:space="preserve">3274 · Il fondo autonomo del Senato.</w:t>
      </w:r>
      <w:r>
        <w:rPr>
          <w:rFonts w:ascii="Barlow Semi Condensed" w:cs="Barlow Semi Condensed" w:eastAsia="Barlow Semi Condensed" w:hAnsi="Barlow Semi Condensed"/>
          <w:sz w:val="24"/>
          <w:szCs w:val="24"/>
        </w:rPr>
        <w:t xml:space="preserve"> Il desecretato dell'Archivio storico del Senato è fondo autonomo con proprio spoglio per il blocco 99, ponte fra il piano parlamentare e quello giudiziario. Vi si porta lo stesso quesito enumerativo del blocco precedente, con una differenza che conta: qui possono trovarsi audizioni secretate e poi declassificate, dove una domanda sull'episodio del 1974 sarebbe stata posta senza la cautela pubblica. Sede da interrogare per prima.</w:t>
      </w:r>
    </w:p>
    <w:p>
      <w:pPr>
        <w:spacing w:after="120" w:line="276"/>
        <w:jc w:val="both"/>
      </w:pPr>
      <w:r>
        <w:rPr>
          <w:rFonts w:ascii="Barlow Semi Condensed" w:cs="Barlow Semi Condensed" w:eastAsia="Barlow Semi Condensed" w:hAnsi="Barlow Semi Condensed"/>
          <w:b/>
          <w:bCs/>
          <w:sz w:val="24"/>
          <w:szCs w:val="24"/>
        </w:rPr>
        <w:t xml:space="preserve">3275 · La finestra 1978 interrogata.</w:t>
      </w:r>
      <w:r>
        <w:rPr>
          <w:rFonts w:ascii="Barlow Semi Condensed" w:cs="Barlow Semi Condensed" w:eastAsia="Barlow Semi Condensed" w:hAnsi="Barlow Semi Condensed"/>
          <w:sz w:val="24"/>
          <w:szCs w:val="24"/>
        </w:rPr>
        <w:t xml:space="preserve"> Per TAGS e per la chiave MORO, sulla finestra 16 marzo - 31 dicembre 1978, il blocco 115 prescrive di interrogare l'Access to Archival Databases. L'aspettativa dichiarata, essendo il nostro nome fuori da ogni carica dal gennaio 1977, è che le occorrenze siano assenti o di sola rassegna. Ciò che sorprenderebbe, e andrebbe subito schedato, è un telegramma operativo che lo indichi come destinatario.</w:t>
      </w:r>
    </w:p>
    <w:p>
      <w:pPr>
        <w:spacing w:after="120" w:line="276"/>
        <w:jc w:val="both"/>
      </w:pPr>
      <w:r>
        <w:rPr>
          <w:rFonts w:ascii="Barlow Semi Condensed" w:cs="Barlow Semi Condensed" w:eastAsia="Barlow Semi Condensed" w:hAnsi="Barlow Semi Condensed"/>
          <w:b/>
          <w:bCs/>
          <w:sz w:val="24"/>
          <w:szCs w:val="24"/>
        </w:rPr>
        <w:t xml:space="preserve">3276 · Che cosa attesta una scheda di ritiro (serie XLIII).</w:t>
      </w:r>
      <w:r>
        <w:rPr>
          <w:rFonts w:ascii="Barlow Semi Condensed" w:cs="Barlow Semi Condensed" w:eastAsia="Barlow Semi Condensed" w:hAnsi="Barlow Semi Condensed"/>
          <w:sz w:val="24"/>
          <w:szCs w:val="24"/>
        </w:rPr>
        <w:t xml:space="preserve"> Le schede dei telegrammi trattenuti del 1978 si scaricano e si schedano una per una, chiede il blocco 116, ricavandone la tavola del chiuso. La regola di lettura che ne discende va scritta perché è continuamente violata: la scheda attesta l'esistenza di un atto, la sua data e la sua provenienza, e non dice nulla del contenuto. Un ritiro non è una prova, e nemmeno un indizio.</w:t>
      </w:r>
    </w:p>
    <w:p>
      <w:pPr>
        <w:spacing w:after="120" w:line="276"/>
        <w:jc w:val="both"/>
      </w:pPr>
      <w:r>
        <w:rPr>
          <w:rFonts w:ascii="Barlow Semi Condensed" w:cs="Barlow Semi Condensed" w:eastAsia="Barlow Semi Condensed" w:hAnsi="Barlow Semi Condensed"/>
          <w:b/>
          <w:bCs/>
          <w:sz w:val="24"/>
          <w:szCs w:val="24"/>
        </w:rPr>
        <w:t xml:space="preserve">3277 · Il lotto che il corpus già possiede.</w:t>
      </w:r>
      <w:r>
        <w:rPr>
          <w:rFonts w:ascii="Barlow Semi Condensed" w:cs="Barlow Semi Condensed" w:eastAsia="Barlow Semi Condensed" w:hAnsi="Barlow Semi Condensed"/>
          <w:sz w:val="24"/>
          <w:szCs w:val="24"/>
        </w:rPr>
        <w:t xml:space="preserve"> L'atto più economico dell'intera serie quarta è, per il blocco 117, la richiesta del fascicolo integrale R-2021-002xx, con la divergenza di lettura fra 00202 e 00208 dichiarata nell'istanza e i numeri di controllo B-00001939965 e seguenti. Prima ancora di chiedere si può verificare, perché quel lotto è già nel corpus: contare al suo interno le occorrenze del nostro nome è lavoro di un'ora.</w:t>
      </w:r>
    </w:p>
    <w:p>
      <w:pPr>
        <w:spacing w:after="120" w:line="276"/>
        <w:jc w:val="both"/>
      </w:pPr>
      <w:r>
        <w:rPr>
          <w:rFonts w:ascii="Barlow Semi Condensed" w:cs="Barlow Semi Condensed" w:eastAsia="Barlow Semi Condensed" w:hAnsi="Barlow Semi Condensed"/>
          <w:b/>
          <w:bCs/>
          <w:sz w:val="24"/>
          <w:szCs w:val="24"/>
        </w:rPr>
        <w:t xml:space="preserve">3278 · Una FOIA intestata a un cognome.</w:t>
      </w:r>
      <w:r>
        <w:rPr>
          <w:rFonts w:ascii="Barlow Semi Condensed" w:cs="Barlow Semi Condensed" w:eastAsia="Barlow Semi Condensed" w:hAnsi="Barlow Semi Condensed"/>
          <w:sz w:val="24"/>
          <w:szCs w:val="24"/>
        </w:rPr>
        <w:t xml:space="preserve"> Richieste puntuali, motivate e numerate sono le sole che in regime FOIA convergano, avverte il blocco 118. Ne discende una regola di redazione: l'istanza che chieda tutti i documenti relativi a una persona è la peggio formata di tutte, perché non individua una serie e legittima il diniego per genericità. Le richieste utili nominano serie, date, uffici e i numeri delle schede di ritiro.</w:t>
      </w:r>
    </w:p>
    <w:p>
      <w:pPr>
        <w:spacing w:after="120" w:line="276"/>
        <w:jc w:val="both"/>
      </w:pPr>
      <w:r>
        <w:rPr>
          <w:rFonts w:ascii="Barlow Semi Condensed" w:cs="Barlow Semi Condensed" w:eastAsia="Barlow Semi Condensed" w:hAnsi="Barlow Semi Condensed"/>
          <w:b/>
          <w:bCs/>
          <w:sz w:val="24"/>
          <w:szCs w:val="24"/>
        </w:rPr>
        <w:t xml:space="preserve">3279 · I quattrocentosettantaquattro da verificare.</w:t>
      </w:r>
      <w:r>
        <w:rPr>
          <w:rFonts w:ascii="Barlow Semi Condensed" w:cs="Barlow Semi Condensed" w:eastAsia="Barlow Semi Condensed" w:hAnsi="Barlow Semi Condensed"/>
          <w:sz w:val="24"/>
          <w:szCs w:val="24"/>
        </w:rPr>
        <w:t xml:space="preserve"> Il censimento delle richieste di consenso all'originatore mai formulate spetta al blocco 119, che impone di verificare su atto la cifra circolante di circa quattrocentosettantaquattro atti di origine alleata custoditi in Italia. Bersaglio derivato: accertare se in quel perimetro figurino carte relative alla visita del settembre 1974. Sede: gli uffici che tengono il censimento presso la Presidenza del Consiglio e presso gli organismi informativi.</w:t>
      </w:r>
    </w:p>
    <w:p>
      <w:pPr>
        <w:spacing w:after="120" w:line="276"/>
        <w:jc w:val="both"/>
      </w:pPr>
      <w:r>
        <w:rPr>
          <w:rFonts w:ascii="Barlow Semi Condensed" w:cs="Barlow Semi Condensed" w:eastAsia="Barlow Semi Condensed" w:hAnsi="Barlow Semi Condensed"/>
          <w:b/>
          <w:bCs/>
          <w:sz w:val="24"/>
          <w:szCs w:val="24"/>
        </w:rPr>
        <w:t xml:space="preserve">3280 · Il lancio del 30 novembre come fonte.</w:t>
      </w:r>
      <w:r>
        <w:rPr>
          <w:rFonts w:ascii="Barlow Semi Condensed" w:cs="Barlow Semi Condensed" w:eastAsia="Barlow Semi Condensed" w:hAnsi="Barlow Semi Condensed"/>
          <w:sz w:val="24"/>
          <w:szCs w:val="24"/>
        </w:rPr>
        <w:t xml:space="preserve"> Notiziari, lanci d'agenzia e girati dei cinquantacinque giorni sono un fondo per il blocco 120, sfondo cronologico su cui misurare le cronologie interne. Applicato all'episodio produce un atto d'archivio preciso: recuperare il lancio del 30 novembre 2023 nella sua forma originaria, con sigla, ora e testo, e datare rispetto a esso ogni ripresa successiva. La morte era avvenuta il giorno prima.</w:t>
      </w:r>
    </w:p>
    <w:p>
      <w:pPr>
        <w:spacing w:after="120" w:line="276"/>
        <w:jc w:val="both"/>
      </w:pPr>
      <w:r>
        <w:rPr>
          <w:rFonts w:ascii="Barlow Semi Condensed" w:cs="Barlow Semi Condensed" w:eastAsia="Barlow Semi Condensed" w:hAnsi="Barlow Semi Condensed"/>
          <w:b/>
          <w:bCs/>
          <w:sz w:val="24"/>
          <w:szCs w:val="24"/>
        </w:rPr>
        <w:t xml:space="preserve">3281 · Le serie della Farnesina sul 1974.</w:t>
      </w:r>
      <w:r>
        <w:rPr>
          <w:rFonts w:ascii="Barlow Semi Condensed" w:cs="Barlow Semi Condensed" w:eastAsia="Barlow Semi Condensed" w:hAnsi="Barlow Semi Condensed"/>
          <w:sz w:val="24"/>
          <w:szCs w:val="24"/>
        </w:rPr>
        <w:t xml:space="preserve"> All'Archivio storico diplomatico il blocco 127 indirizza le serie sui rapporti con gli alleati nel 1978, con l'avvertenza già censita sull'accessibilità delle serie novecentesche. Il bersaglio si allarga di quattro anni all'indietro: i telespressi dell'ambasciata a Washington sul viaggio del settembre 1974 e i rapporti successivi. Se la posizione riferita nel verbale americano ebbe eco italiana, ha lasciato carta in quella sede.</w:t>
      </w:r>
    </w:p>
    <w:p>
      <w:pPr>
        <w:spacing w:after="120" w:line="276"/>
        <w:jc w:val="both"/>
      </w:pPr>
      <w:r>
        <w:rPr>
          <w:rFonts w:ascii="Barlow Semi Condensed" w:cs="Barlow Semi Condensed" w:eastAsia="Barlow Semi Condensed" w:hAnsi="Barlow Semi Condensed"/>
          <w:b/>
          <w:bCs/>
          <w:sz w:val="24"/>
          <w:szCs w:val="24"/>
        </w:rPr>
        <w:t xml:space="preserve">3282 · Citato e non reperito.</w:t>
      </w:r>
      <w:r>
        <w:rPr>
          <w:rFonts w:ascii="Barlow Semi Condensed" w:cs="Barlow Semi Condensed" w:eastAsia="Barlow Semi Condensed" w:hAnsi="Barlow Semi Condensed"/>
          <w:sz w:val="24"/>
          <w:szCs w:val="24"/>
        </w:rPr>
        <w:t xml:space="preserve"> Ogni documento citato nei libri si riconduce alla propria segnatura d'archivio o si scheda come citato e non reperito: è l'igiene delle fonti secondarie del blocco 131. Applicata alla letteratura sull'avvertimento, l'operazione dà finora un solo esito possibile, perché nessuna segnatura archivistica risulta prodotta per il presunto documento. La scheda da compilare è quella del citato e non reperito, ed è un'acquisizione piena.</w:t>
      </w:r>
    </w:p>
    <w:p>
      <w:pPr>
        <w:spacing w:after="120" w:line="276"/>
        <w:jc w:val="both"/>
      </w:pPr>
      <w:r>
        <w:rPr>
          <w:rFonts w:ascii="Barlow Semi Condensed" w:cs="Barlow Semi Condensed" w:eastAsia="Barlow Semi Condensed" w:hAnsi="Barlow Semi Condensed"/>
          <w:b/>
          <w:bCs/>
          <w:sz w:val="24"/>
          <w:szCs w:val="24"/>
        </w:rPr>
        <w:t xml:space="preserve">3283 · La colonna dei deceduti.</w:t>
      </w:r>
      <w:r>
        <w:rPr>
          <w:rFonts w:ascii="Barlow Semi Condensed" w:cs="Barlow Semi Condensed" w:eastAsia="Barlow Semi Condensed" w:hAnsi="Barlow Semi Condensed"/>
          <w:sz w:val="24"/>
          <w:szCs w:val="24"/>
        </w:rPr>
        <w:t xml:space="preserve"> Il censimento dei viventi si ordina per età e salute al blocco 141, e la tavola dell'agenda al blocco 125 misura il costo del ritardo con la voce deceduto prima dell'ascolto. Questo nome vi sta per sempre: Fürth, 27 maggio 1923; Kent, Connecticut, 29 novembre 2023. Nessuna escussione è più possibile, e ogni quesito che gli si sarebbe potuto porre va riscritto come quesito d'archivio.</w:t>
      </w:r>
    </w:p>
    <w:p>
      <w:pPr>
        <w:spacing w:after="120" w:line="276"/>
        <w:jc w:val="both"/>
      </w:pPr>
      <w:r>
        <w:rPr>
          <w:rFonts w:ascii="Barlow Semi Condensed" w:cs="Barlow Semi Condensed" w:eastAsia="Barlow Semi Condensed" w:hAnsi="Barlow Semi Condensed"/>
          <w:b/>
          <w:bCs/>
          <w:sz w:val="24"/>
          <w:szCs w:val="24"/>
        </w:rPr>
        <w:t xml:space="preserve">3284 · Il ricordo del ricordo, applicato.</w:t>
      </w:r>
      <w:r>
        <w:rPr>
          <w:rFonts w:ascii="Barlow Semi Condensed" w:cs="Barlow Semi Condensed" w:eastAsia="Barlow Semi Condensed" w:hAnsi="Barlow Semi Condensed"/>
          <w:sz w:val="24"/>
          <w:szCs w:val="24"/>
        </w:rPr>
        <w:t xml:space="preserve"> Ciò che un testimone ricorda dei fatti e ciò che ricorda delle proprie deposizioni sono strati diversi, avverte il blocco 145. La distinzione è decisiva per un racconto reso in aula nel 1982 e poi ripetuto pubblicamente per decenni, con la data che oscilla fra tre anni. Ogni nuova raccolta deve verbalizzare quale strato interroga, o registra un ricordo di racconto scambiandolo per memoria.</w:t>
      </w:r>
    </w:p>
    <w:p>
      <w:pPr>
        <w:spacing w:after="120" w:line="276"/>
        <w:jc w:val="both"/>
      </w:pPr>
      <w:r>
        <w:rPr>
          <w:rFonts w:ascii="Barlow Semi Condensed" w:cs="Barlow Semi Condensed" w:eastAsia="Barlow Semi Condensed" w:hAnsi="Barlow Semi Condensed"/>
          <w:b/>
          <w:bCs/>
          <w:sz w:val="24"/>
          <w:szCs w:val="24"/>
        </w:rPr>
        <w:t xml:space="preserve">3285 · Il tavolo con i documenti sopra.</w:t>
      </w:r>
      <w:r>
        <w:rPr>
          <w:rFonts w:ascii="Barlow Semi Condensed" w:cs="Barlow Semi Condensed" w:eastAsia="Barlow Semi Condensed" w:hAnsi="Barlow Semi Condensed"/>
          <w:sz w:val="24"/>
          <w:szCs w:val="24"/>
        </w:rPr>
        <w:t xml:space="preserve"> Fotografie, planimetrie e verbali d'epoca sul tavolo: così il blocco 143 mette in protocollo la lezione Marini, vincolando il ricordo ai documenti invece di lasciarglieli sostituire. Trasferita a questa materia, la regola dice che nessuna escussione futura sull'episodio del 1974 si conduce senza il verbale dello Studio Ovale e la trascrizione dell'udienza davanti a chi parla. Dove il ricordo diverge, la divergenza si scrive.</w:t>
      </w:r>
    </w:p>
    <w:p>
      <w:pPr>
        <w:spacing w:after="120" w:line="276"/>
        <w:jc w:val="both"/>
      </w:pPr>
      <w:r>
        <w:rPr>
          <w:rFonts w:ascii="Barlow Semi Condensed" w:cs="Barlow Semi Condensed" w:eastAsia="Barlow Semi Condensed" w:hAnsi="Barlow Semi Condensed"/>
          <w:b/>
          <w:bCs/>
          <w:sz w:val="24"/>
          <w:szCs w:val="24"/>
        </w:rPr>
        <w:t xml:space="preserve">3286 · Chi fu indicato e mai escusso.</w:t>
      </w:r>
      <w:r>
        <w:rPr>
          <w:rFonts w:ascii="Barlow Semi Condensed" w:cs="Barlow Semi Condensed" w:eastAsia="Barlow Semi Condensed" w:hAnsi="Barlow Semi Condensed"/>
          <w:sz w:val="24"/>
          <w:szCs w:val="24"/>
        </w:rPr>
        <w:t xml:space="preserve"> Le liste testi dei cinque processi si rileggono per intero, impone il blocco 148, cercando chi fu indicato e mai chiamato. Bersaglio circoscritto: verificare se sull'episodio riferito nel 1982 furono indicati altri testimoni oltre a quello escusso, e se qualcuno di essi non fu mai sentito. Un secondo testimone diretto sposterebbe il grado; la sua assenza dalle liste è essa stessa un'acquisizione.</w:t>
      </w:r>
    </w:p>
    <w:p>
      <w:pPr>
        <w:spacing w:after="120" w:line="276"/>
        <w:jc w:val="both"/>
      </w:pPr>
      <w:r>
        <w:rPr>
          <w:rFonts w:ascii="Barlow Semi Condensed" w:cs="Barlow Semi Condensed" w:eastAsia="Barlow Semi Condensed" w:hAnsi="Barlow Semi Condensed"/>
          <w:b/>
          <w:bCs/>
          <w:sz w:val="24"/>
          <w:szCs w:val="24"/>
        </w:rPr>
        <w:t xml:space="preserve">3287 · Nessuno risponde dei propri congiunti.</w:t>
      </w:r>
      <w:r>
        <w:rPr>
          <w:rFonts w:ascii="Barlow Semi Condensed" w:cs="Barlow Semi Condensed" w:eastAsia="Barlow Semi Condensed" w:hAnsi="Barlow Semi Condensed"/>
          <w:sz w:val="24"/>
          <w:szCs w:val="24"/>
        </w:rPr>
        <w:t xml:space="preserve"> Canale dedicato, consenso scritto, rapporto non estrattivo: i blocchi 156 e 157 governano il tratto con le famiglie e stampano in testa a ogni richiesta agli eredi la regola personalistica. Vale nelle due direzioni. Alla famiglia Moro non si chiedono conferme ulteriori di una testimonianza già resa nelle sedi proprie; agli eredi del defunto americano non si chiede conto di condotte altrui.</w:t>
      </w:r>
    </w:p>
    <w:p>
      <w:pPr>
        <w:spacing w:after="120" w:line="276"/>
        <w:jc w:val="both"/>
      </w:pPr>
      <w:r>
        <w:rPr>
          <w:rFonts w:ascii="Barlow Semi Condensed" w:cs="Barlow Semi Condensed" w:eastAsia="Barlow Semi Condensed" w:hAnsi="Barlow Semi Condensed"/>
          <w:b/>
          <w:bCs/>
          <w:sz w:val="24"/>
          <w:szCs w:val="24"/>
        </w:rPr>
        <w:t xml:space="preserve">3288 · La deposizione sigillata come strumento.</w:t>
      </w:r>
      <w:r>
        <w:rPr>
          <w:rFonts w:ascii="Barlow Semi Condensed" w:cs="Barlow Semi Condensed" w:eastAsia="Barlow Semi Condensed" w:hAnsi="Barlow Semi Condensed"/>
          <w:sz w:val="24"/>
          <w:szCs w:val="24"/>
        </w:rPr>
        <w:t xml:space="preserve"> A chi non voglia parlare oggi il blocco 161 offre la deposizione sigillata, con apertura postuma o a termine, presso la sede terza qualificata indicata al blocco 25. Se qualcuno detiene cognizione diretta del colloquio del settembre 1974 o della circolazione italiana di quella posizione, questo è lo strumento e quella la sede. L'offerta va formulata per iscritto, e anche il rifiuto si verbalizza.</w:t>
      </w:r>
    </w:p>
    <w:p>
      <w:pPr>
        <w:spacing w:after="120" w:line="276"/>
        <w:jc w:val="both"/>
      </w:pPr>
      <w:r>
        <w:rPr>
          <w:rFonts w:ascii="Barlow Semi Condensed" w:cs="Barlow Semi Condensed" w:eastAsia="Barlow Semi Condensed" w:hAnsi="Barlow Semi Condensed"/>
          <w:b/>
          <w:bCs/>
          <w:sz w:val="24"/>
          <w:szCs w:val="24"/>
        </w:rPr>
        <w:t xml:space="preserve">3289 · Le domande mai poste.</w:t>
      </w:r>
      <w:r>
        <w:rPr>
          <w:rFonts w:ascii="Barlow Semi Condensed" w:cs="Barlow Semi Condensed" w:eastAsia="Barlow Semi Condensed" w:hAnsi="Barlow Semi Condensed"/>
          <w:sz w:val="24"/>
          <w:szCs w:val="24"/>
        </w:rPr>
        <w:t xml:space="preserve"> Per i protagonisti scomparsi si compila la scheda delle domande mai poste, dice il blocco 163, e quella scheda orienta la ricerca dei lasciti. Le domande sono quattro e si scrivono ora: in quale data avvenne il colloquio riferito, chi vi era presente, in quale lingua fu pronunciata la frase attribuita, quale carta ne fu redatta. Nessuna ha più un destinatario vivo; tutte hanno ancora un archivio.</w:t>
      </w:r>
    </w:p>
    <w:p>
      <w:pPr>
        <w:spacing w:after="120" w:line="276"/>
        <w:jc w:val="both"/>
      </w:pPr>
      <w:r>
        <w:rPr>
          <w:rFonts w:ascii="Barlow Semi Condensed" w:cs="Barlow Semi Condensed" w:eastAsia="Barlow Semi Condensed" w:hAnsi="Barlow Semi Condensed"/>
          <w:b/>
          <w:bCs/>
          <w:sz w:val="24"/>
          <w:szCs w:val="24"/>
        </w:rPr>
        <w:t xml:space="preserve">3290 · La tavola sinottica delle memorie.</w:t>
      </w:r>
      <w:r>
        <w:rPr>
          <w:rFonts w:ascii="Barlow Semi Condensed" w:cs="Barlow Semi Condensed" w:eastAsia="Barlow Semi Condensed" w:hAnsi="Barlow Semi Condensed"/>
          <w:sz w:val="24"/>
          <w:szCs w:val="24"/>
        </w:rPr>
        <w:t xml:space="preserve"> Le memorie pubblicate si schedano con data e versione, e la tavola delle varianti diventa essa stessa un documento che mostra dove il ricordo è stabile e dove lavora: è il blocco 164. Bersaglio: costruire quella tavola per i volumi memorialistici del nostro nome, verificando se e come vi compaiano l'Italia del 1974 e il colloquio riferito. Un silenzio vale quanto una menzione.</w:t>
      </w:r>
    </w:p>
    <w:p>
      <w:pPr>
        <w:spacing w:after="120" w:line="276"/>
        <w:jc w:val="both"/>
      </w:pPr>
      <w:r>
        <w:rPr>
          <w:rFonts w:ascii="Barlow Semi Condensed" w:cs="Barlow Semi Condensed" w:eastAsia="Barlow Semi Condensed" w:hAnsi="Barlow Semi Condensed"/>
          <w:b/>
          <w:bCs/>
          <w:sz w:val="24"/>
          <w:szCs w:val="24"/>
        </w:rPr>
        <w:t xml:space="preserve">3291 · Anche la smentita è una dichiarazione.</w:t>
      </w:r>
      <w:r>
        <w:rPr>
          <w:rFonts w:ascii="Barlow Semi Condensed" w:cs="Barlow Semi Condensed" w:eastAsia="Barlow Semi Condensed" w:hAnsi="Barlow Semi Condensed"/>
          <w:sz w:val="24"/>
          <w:szCs w:val="24"/>
        </w:rPr>
        <w:t xml:space="preserve"> Nessuna memoria sale oltre il grado C senza riscontro documentale, per quanto suggestiva: il blocco 165 non ammette eccezioni. La regola si applica simmetricamente, e va detto: la smentita ripetuta dell'interessato è essa stessa dichiarazione di parte, registrata come tale. La simmetria non equipara le posizioni, perché l'onere resta a chi afferma, ma impone di non trattare il diniego come prova.</w:t>
      </w:r>
    </w:p>
    <w:p>
      <w:pPr>
        <w:spacing w:after="120" w:line="276"/>
        <w:jc w:val="both"/>
      </w:pPr>
      <w:r>
        <w:rPr>
          <w:rFonts w:ascii="Barlow Semi Condensed" w:cs="Barlow Semi Condensed" w:eastAsia="Barlow Semi Condensed" w:hAnsi="Barlow Semi Condensed"/>
          <w:b/>
          <w:bCs/>
          <w:sz w:val="24"/>
          <w:szCs w:val="24"/>
        </w:rPr>
        <w:t xml:space="preserve">3292 · Nessun quesito estero fra i quaranta.</w:t>
      </w:r>
      <w:r>
        <w:rPr>
          <w:rFonts w:ascii="Barlow Semi Condensed" w:cs="Barlow Semi Condensed" w:eastAsia="Barlow Semi Condensed" w:hAnsi="Barlow Semi Condensed"/>
          <w:sz w:val="24"/>
          <w:szCs w:val="24"/>
        </w:rPr>
        <w:t xml:space="preserve"> Dal blocco 171 al 210 la serie sesta riscrive in forma di matrice tutti i quesiti aperti: via Fani, via Gradoli, via Montalcini, la Duchessa, il memoriale, i comitati, gli esperti, il condominio, il riscatto, il registro. Nessuno di essi è internazionale. La lacuna, già rilevata al blocco 911 dell'opera, si misura qui sul territorio: dieci famiglie di quesiti, zero matrici estere.</w:t>
      </w:r>
    </w:p>
    <w:p>
      <w:pPr>
        <w:spacing w:after="120" w:line="276"/>
        <w:jc w:val="both"/>
      </w:pPr>
      <w:r>
        <w:rPr>
          <w:rFonts w:ascii="Barlow Semi Condensed" w:cs="Barlow Semi Condensed" w:eastAsia="Barlow Semi Condensed" w:hAnsi="Barlow Semi Condensed"/>
          <w:b/>
          <w:bCs/>
          <w:sz w:val="24"/>
          <w:szCs w:val="24"/>
        </w:rPr>
        <w:t xml:space="preserve">3293 · Come si scriverebbe la matrice mancante.</w:t>
      </w:r>
      <w:r>
        <w:rPr>
          <w:rFonts w:ascii="Barlow Semi Condensed" w:cs="Barlow Semi Condensed" w:eastAsia="Barlow Semi Condensed" w:hAnsi="Barlow Semi Condensed"/>
          <w:sz w:val="24"/>
          <w:szCs w:val="24"/>
        </w:rPr>
        <w:t xml:space="preserve"> Se una matrice estera dovesse esistere, il blocco 8 ne detta la forma, e questa serie la propone come bersaglio e non come tesi: H1 nessun rapporto documentato con la vicenda italiana, H2 convergenza entro la cornice atlantica, H3 rapporto diretto. Evidenza discriminante unica: un documento di provenienza che nomini insieme emittente, controparte e atto. Chiusura: l'esaurimento certificato delle serie del blocco 115.</w:t>
      </w:r>
    </w:p>
    <w:p>
      <w:pPr>
        <w:spacing w:after="120" w:line="276"/>
        <w:jc w:val="both"/>
      </w:pPr>
      <w:r>
        <w:rPr>
          <w:rFonts w:ascii="Barlow Semi Condensed" w:cs="Barlow Semi Condensed" w:eastAsia="Barlow Semi Condensed" w:hAnsi="Barlow Semi Condensed"/>
          <w:b/>
          <w:bCs/>
          <w:sz w:val="24"/>
          <w:szCs w:val="24"/>
        </w:rPr>
        <w:t xml:space="preserve">3294 · Il residuo ignoto non è una regia.</w:t>
      </w:r>
      <w:r>
        <w:rPr>
          <w:rFonts w:ascii="Barlow Semi Condensed" w:cs="Barlow Semi Condensed" w:eastAsia="Barlow Semi Condensed" w:hAnsi="Barlow Semi Condensed"/>
          <w:sz w:val="24"/>
          <w:szCs w:val="24"/>
        </w:rPr>
        <w:t xml:space="preserve"> Aperta da mezzo secolo, la matrice sulle presenze non attribuite affida ai blocchi 171-173 la decisione al residuo balistico o genetico non riconducibile alle persone e alle armi del giudicato. Il presidio da aggiungere è questo: un residuo ignoto aprirebbe un'identificazione giudiziaria, non una lettura geopolitica. Il passaggio dall'ignoto al nome è un atto del fascicolo e appartiene soltanto al giudice.</w:t>
      </w:r>
    </w:p>
    <w:p>
      <w:pPr>
        <w:spacing w:after="120" w:line="276"/>
        <w:jc w:val="both"/>
      </w:pPr>
      <w:r>
        <w:rPr>
          <w:rFonts w:ascii="Barlow Semi Condensed" w:cs="Barlow Semi Condensed" w:eastAsia="Barlow Semi Condensed" w:hAnsi="Barlow Semi Condensed"/>
          <w:b/>
          <w:bCs/>
          <w:sz w:val="24"/>
          <w:szCs w:val="24"/>
        </w:rPr>
        <w:t xml:space="preserve">3295 · L'unica ipotesi che ospiterebbe un canale.</w:t>
      </w:r>
      <w:r>
        <w:rPr>
          <w:rFonts w:ascii="Barlow Semi Condensed" w:cs="Barlow Semi Condensed" w:eastAsia="Barlow Semi Condensed" w:hAnsi="Barlow Semi Condensed"/>
          <w:sz w:val="24"/>
          <w:szCs w:val="24"/>
        </w:rPr>
        <w:t xml:space="preserve"> Coincidenza autentica, fuga di notizie per canale anomalo, costruzione di copertura: sono le tre ipotesi che il blocco 178 apre sulla segnalazione della seduta di Zappolino. La seconda è l'unica dell'intera serie sesta che potrebbe formalmente ospitare un canale estero, e non ne nomina alcuno. L'evidenza che la muove, dice il blocco 179, è la catena documentale del blocco 100, mai prodotta integralmente.</w:t>
      </w:r>
    </w:p>
    <w:p>
      <w:pPr>
        <w:spacing w:after="120" w:line="276"/>
        <w:jc w:val="both"/>
      </w:pPr>
      <w:r>
        <w:rPr>
          <w:rFonts w:ascii="Barlow Semi Condensed" w:cs="Barlow Semi Condensed" w:eastAsia="Barlow Semi Condensed" w:hAnsi="Barlow Semi Condensed"/>
          <w:b/>
          <w:bCs/>
          <w:sz w:val="24"/>
          <w:szCs w:val="24"/>
        </w:rPr>
        <w:t xml:space="preserve">3296 · Un apparato senza nome.</w:t>
      </w:r>
      <w:r>
        <w:rPr>
          <w:rFonts w:ascii="Barlow Semi Condensed" w:cs="Barlow Semi Condensed" w:eastAsia="Barlow Semi Condensed" w:hAnsi="Barlow Semi Condensed"/>
          <w:sz w:val="24"/>
          <w:szCs w:val="24"/>
        </w:rPr>
        <w:t xml:space="preserve"> Ambiente criminale prezzolato, apparato con finalità di manovra, dissidenza brigatista: sono le tre officine possibili del falso della Duchessa secondo il blocco 192. L'apparato della seconda ipotesi resta innominato, ed è corretto che lo resti finché la perizia documentale non parli. Chi vi scrivesse sopra un nome straniero compirebbe esattamente il salto che il blocco 194 chiama uso del falso come jolly narrativo.</w:t>
      </w:r>
    </w:p>
    <w:p>
      <w:pPr>
        <w:spacing w:after="120" w:line="276"/>
        <w:jc w:val="both"/>
      </w:pPr>
      <w:r>
        <w:rPr>
          <w:rFonts w:ascii="Barlow Semi Condensed" w:cs="Barlow Semi Condensed" w:eastAsia="Barlow Semi Condensed" w:hAnsi="Barlow Semi Condensed"/>
          <w:b/>
          <w:bCs/>
          <w:sz w:val="24"/>
          <w:szCs w:val="24"/>
        </w:rPr>
        <w:t xml:space="preserve">3297 · Il consulente e la tesi sospesa.</w:t>
      </w:r>
      <w:r>
        <w:rPr>
          <w:rFonts w:ascii="Barlow Semi Condensed" w:cs="Barlow Semi Condensed" w:eastAsia="Barlow Semi Condensed" w:hAnsi="Barlow Semi Condensed"/>
          <w:sz w:val="24"/>
          <w:szCs w:val="24"/>
        </w:rPr>
        <w:t xml:space="preserve"> La tesi massima sui comitati resta sospesa fino alla tavola nominale, per i blocchi 200 e 201. Nella stessa area sta l'unica presenza americana documentata del territorio: il consulente del Dipartimento di Stato nel comitato di esperti mai riunito collegialmente, presenza di grado B, dichiarazioni successive di grado C. Nessun documento la collega alla persona di questa serie, allora fuori da ogni carica.</w:t>
      </w:r>
    </w:p>
    <w:p>
      <w:pPr>
        <w:spacing w:after="120" w:line="276"/>
        <w:jc w:val="both"/>
      </w:pPr>
      <w:r>
        <w:rPr>
          <w:rFonts w:ascii="Barlow Semi Condensed" w:cs="Barlow Semi Condensed" w:eastAsia="Barlow Semi Condensed" w:hAnsi="Barlow Semi Condensed"/>
          <w:b/>
          <w:bCs/>
          <w:sz w:val="24"/>
          <w:szCs w:val="24"/>
        </w:rPr>
        <w:t xml:space="preserve">3298 · L'intenzione non si importa da fuori.</w:t>
      </w:r>
      <w:r>
        <w:rPr>
          <w:rFonts w:ascii="Barlow Semi Condensed" w:cs="Barlow Semi Condensed" w:eastAsia="Barlow Semi Condensed" w:hAnsi="Barlow Semi Condensed"/>
          <w:sz w:val="24"/>
          <w:szCs w:val="24"/>
        </w:rPr>
        <w:t xml:space="preserve"> Fatto e intenzione restano separati nella qualificazione d'inattendibilità delle lettere: i blocchi 202 e 203 registrano come documentata la squalificazione istituzionale e come non documentato il movente, e indicano l'evidenza nelle carte del blocco 107. Ne segue un divieto specifico: non si colma il vuoto sull'intenzione importando una volontà straniera. Se non è scritta, l'intenzione resta fuori dagli atti.</w:t>
      </w:r>
    </w:p>
    <w:p>
      <w:pPr>
        <w:spacing w:after="120" w:line="276"/>
        <w:jc w:val="both"/>
      </w:pPr>
      <w:r>
        <w:rPr>
          <w:rFonts w:ascii="Barlow Semi Condensed" w:cs="Barlow Semi Condensed" w:eastAsia="Barlow Semi Condensed" w:hAnsi="Barlow Semi Condensed"/>
          <w:b/>
          <w:bCs/>
          <w:sz w:val="24"/>
          <w:szCs w:val="24"/>
        </w:rPr>
        <w:t xml:space="preserve">3299 · Che cosa mostrerebbe il registro.</w:t>
      </w:r>
      <w:r>
        <w:rPr>
          <w:rFonts w:ascii="Barlow Semi Condensed" w:cs="Barlow Semi Condensed" w:eastAsia="Barlow Semi Condensed" w:hAnsi="Barlow Semi Condensed"/>
          <w:sz w:val="24"/>
          <w:szCs w:val="24"/>
        </w:rPr>
        <w:t xml:space="preserve"> Due ipotesi si fronteggiano al blocco 209: collo di bottiglia da diluvio, con interruzioni distribuite, oppure filtro sistematico, con interruzioni concentrate verso l'autorità giudiziaria. Anche l'esito più clamoroso resterebbe impersonale, perché una concentrazione anomala qualifica un flusso e apre un quesito, non nomina un mandante. È il massimo che il registro può produrre, e va detto prima di costruirlo.</w:t>
      </w:r>
    </w:p>
    <w:p>
      <w:pPr>
        <w:spacing w:after="120" w:line="276"/>
        <w:jc w:val="both"/>
      </w:pPr>
      <w:r>
        <w:rPr>
          <w:rFonts w:ascii="Barlow Semi Condensed" w:cs="Barlow Semi Condensed" w:eastAsia="Barlow Semi Condensed" w:hAnsi="Barlow Semi Condensed"/>
          <w:b/>
          <w:bCs/>
          <w:sz w:val="24"/>
          <w:szCs w:val="24"/>
        </w:rPr>
        <w:t xml:space="preserve">3300 · Del mancante si mappa il perimetro.</w:t>
      </w:r>
      <w:r>
        <w:rPr>
          <w:rFonts w:ascii="Barlow Semi Condensed" w:cs="Barlow Semi Condensed" w:eastAsia="Barlow Semi Condensed" w:hAnsi="Barlow Semi Condensed"/>
          <w:sz w:val="24"/>
          <w:szCs w:val="24"/>
        </w:rPr>
        <w:t xml:space="preserve"> Dedurre il contenuto di ciò che manca è vietato dal blocco 197: del mancante si mappa il perimetro, non il testo. La regola ferma sul nascere ogni uso delle presunte pagine perdute del memoriale come sede di rivelazioni internazionali. Ciò che la filologia materiale dei blocchi 67 e 68 può produrre è una carta delle lacune; ciò che non può produrre è il loro contenuto.</w:t>
      </w:r>
    </w:p>
    <w:p>
      <w:pPr>
        <w:spacing w:after="120" w:line="276"/>
        <w:jc w:val="both"/>
      </w:pPr>
      <w:r>
        <w:rPr>
          <w:rFonts w:ascii="Barlow Semi Condensed" w:cs="Barlow Semi Condensed" w:eastAsia="Barlow Semi Condensed" w:hAnsi="Barlow Semi Condensed"/>
          <w:b/>
          <w:bCs/>
          <w:sz w:val="24"/>
          <w:szCs w:val="24"/>
        </w:rPr>
        <w:t xml:space="preserve">3301 · L'unità di conto del registro.</w:t>
      </w:r>
      <w:r>
        <w:rPr>
          <w:rFonts w:ascii="Barlow Semi Condensed" w:cs="Barlow Semi Condensed" w:eastAsia="Barlow Semi Condensed" w:hAnsi="Barlow Semi Condensed"/>
          <w:sz w:val="24"/>
          <w:szCs w:val="24"/>
        </w:rPr>
        <w:t xml:space="preserve"> Ogni segnalazione pervenuta agli apparati fra il 16 marzo e il 9 maggio 1978 è oggetto del registro, e l'unità di conto è la singola segnalazione protocollata: così i blocchi 211 e 212. Un elemento riferibile al versante estero potrebbe entrarvi solo in quella forma, e sarebbe trattato come qualunque altra: stesso schema-dati, stessi quattro segmenti, stesso obbligo di seguirne il destino.</w:t>
      </w:r>
    </w:p>
    <w:p>
      <w:pPr>
        <w:spacing w:after="120" w:line="276"/>
        <w:jc w:val="both"/>
      </w:pPr>
      <w:r>
        <w:rPr>
          <w:rFonts w:ascii="Barlow Semi Condensed" w:cs="Barlow Semi Condensed" w:eastAsia="Barlow Semi Condensed" w:hAnsi="Barlow Semi Condensed"/>
          <w:b/>
          <w:bCs/>
          <w:sz w:val="24"/>
          <w:szCs w:val="24"/>
        </w:rPr>
        <w:t xml:space="preserve">3302 · Contare i riferimenti stranieri.</w:t>
      </w:r>
      <w:r>
        <w:rPr>
          <w:rFonts w:ascii="Barlow Semi Condensed" w:cs="Barlow Semi Condensed" w:eastAsia="Barlow Semi Condensed" w:hAnsi="Barlow Semi Condensed"/>
          <w:sz w:val="24"/>
          <w:szCs w:val="24"/>
        </w:rPr>
        <w:t xml:space="preserve"> Le fonti del registro stanno nei protocolli di UCIGOS, questure e prefetture versati dal Viminale, individua il blocco 215. Bersaglio enumerativo praticabile fin dal primo lotto di spoglio: quante segnalazioni dei cinquantacinque giorni contengano un riferimento a soggetti o apparati stranieri, di qualunque segno. L'esito atteso è prossimo a zero, e come metrica va pubblicato, non taciuto come nulla di fatto.</w:t>
      </w:r>
    </w:p>
    <w:p>
      <w:pPr>
        <w:spacing w:after="120" w:line="276"/>
        <w:jc w:val="both"/>
      </w:pPr>
      <w:r>
        <w:rPr>
          <w:rFonts w:ascii="Barlow Semi Condensed" w:cs="Barlow Semi Condensed" w:eastAsia="Barlow Semi Condensed" w:hAnsi="Barlow Semi Condensed"/>
          <w:b/>
          <w:bCs/>
          <w:sz w:val="24"/>
          <w:szCs w:val="24"/>
        </w:rPr>
        <w:t xml:space="preserve">3303 · I primi due item della lista.</w:t>
      </w:r>
      <w:r>
        <w:rPr>
          <w:rFonts w:ascii="Barlow Semi Condensed" w:cs="Barlow Semi Condensed" w:eastAsia="Barlow Semi Condensed" w:hAnsi="Barlow Semi Condensed"/>
          <w:sz w:val="24"/>
          <w:szCs w:val="24"/>
        </w:rPr>
        <w:t xml:space="preserve"> Come primi item del registro delle mancate trasmissioni all'autorità giudiziaria, il blocco 223 colloca l'osservazione di via Montalcini e il controllo del 18 marzo. Vale registrare che nessuno dei due ha componente estera: sono catene interne, italiane, di ufficio in ufficio. La constatazione appartiene al territorio e va scritta, perché è precisamente ciò che la pubblicistica di sistema tende a non dire.</w:t>
      </w:r>
    </w:p>
    <w:p>
      <w:pPr>
        <w:spacing w:after="120" w:line="276"/>
        <w:jc w:val="both"/>
      </w:pPr>
      <w:r>
        <w:rPr>
          <w:rFonts w:ascii="Barlow Semi Condensed" w:cs="Barlow Semi Condensed" w:eastAsia="Barlow Semi Condensed" w:hAnsi="Barlow Semi Condensed"/>
          <w:b/>
          <w:bCs/>
          <w:sz w:val="24"/>
          <w:szCs w:val="24"/>
        </w:rPr>
        <w:t xml:space="preserve">3304 · La nota d'origine alleata nel flusso.</w:t>
      </w:r>
      <w:r>
        <w:rPr>
          <w:rFonts w:ascii="Barlow Semi Condensed" w:cs="Barlow Semi Condensed" w:eastAsia="Barlow Semi Condensed" w:hAnsi="Barlow Semi Condensed"/>
          <w:sz w:val="24"/>
          <w:szCs w:val="24"/>
        </w:rPr>
        <w:t xml:space="preserve"> Delle fonti fiduciarie conta il percorso della nota, non l'identità di chi la produsse, stabilisce il blocco 226. Applicato al caso limite dà la regola giusta: un'informativa di provenienza alleata entra nel registro come segnalazione con protocollo, si riscontra e si grada come le altre. Non testimonia, e la sua origine non le conferisce alcun grado supplementare rispetto a una telefonata anonima.</w:t>
      </w:r>
    </w:p>
    <w:p>
      <w:pPr>
        <w:spacing w:after="120" w:line="276"/>
        <w:jc w:val="both"/>
      </w:pPr>
      <w:r>
        <w:rPr>
          <w:rFonts w:ascii="Barlow Semi Condensed" w:cs="Barlow Semi Condensed" w:eastAsia="Barlow Semi Condensed" w:hAnsi="Barlow Semi Condensed"/>
          <w:b/>
          <w:bCs/>
          <w:sz w:val="24"/>
          <w:szCs w:val="24"/>
        </w:rPr>
        <w:t xml:space="preserve">3305 · Nessuna anomalia senza il normale.</w:t>
      </w:r>
      <w:r>
        <w:rPr>
          <w:rFonts w:ascii="Barlow Semi Condensed" w:cs="Barlow Semi Condensed" w:eastAsia="Barlow Semi Condensed" w:hAnsi="Barlow Semi Condensed"/>
          <w:sz w:val="24"/>
          <w:szCs w:val="24"/>
        </w:rPr>
        <w:t xml:space="preserve"> Il campione di controllo dei blocchi 227 e 136 è obbligatorio: il tasso di seguito delle segnalazioni ordinarie coeve è il metro senza cui nessun tasso del caso è leggibile. La conseguenza per questa materia è netta. Chi sostiene che il flusso fu piegato da una pressione esterna deve prima esibire il normale misurato; senza gruppo di confronto non c'è anomalia, c'è impressione.</w:t>
      </w:r>
    </w:p>
    <w:p>
      <w:pPr>
        <w:spacing w:after="120" w:line="276"/>
        <w:jc w:val="both"/>
      </w:pPr>
      <w:r>
        <w:rPr>
          <w:rFonts w:ascii="Barlow Semi Condensed" w:cs="Barlow Semi Condensed" w:eastAsia="Barlow Semi Condensed" w:hAnsi="Barlow Semi Condensed"/>
          <w:b/>
          <w:bCs/>
          <w:sz w:val="24"/>
          <w:szCs w:val="24"/>
        </w:rPr>
        <w:t xml:space="preserve">3306 · Si giudicano flussi, non persone.</w:t>
      </w:r>
      <w:r>
        <w:rPr>
          <w:rFonts w:ascii="Barlow Semi Condensed" w:cs="Barlow Semi Condensed" w:eastAsia="Barlow Semi Condensed" w:hAnsi="Barlow Semi Condensed"/>
          <w:sz w:val="24"/>
          <w:szCs w:val="24"/>
        </w:rPr>
        <w:t xml:space="preserve"> Leggere il registro col senno di poi è vietato dal blocco 233, che proibisce anche il giudizio sul singolo operatore. La proibizione va estesa esplicitamente al versante che qui interessa: una traccia estera documentata nel flusso qualificherebbe un percorso burocratico e chiederebbe un secondo atto, cioè l'individuazione di chi scrisse che cosa, prima di toccare chiunque. Il registro misura la macchina, non le volontà.</w:t>
      </w:r>
    </w:p>
    <w:p>
      <w:pPr>
        <w:spacing w:after="120" w:line="276"/>
        <w:jc w:val="both"/>
      </w:pPr>
      <w:r>
        <w:rPr>
          <w:rFonts w:ascii="Barlow Semi Condensed" w:cs="Barlow Semi Condensed" w:eastAsia="Barlow Semi Condensed" w:hAnsi="Barlow Semi Condensed"/>
          <w:b/>
          <w:bCs/>
          <w:sz w:val="24"/>
          <w:szCs w:val="24"/>
        </w:rPr>
        <w:t xml:space="preserve">3307 · La tavola delle pendenze, casella vuota.</w:t>
      </w:r>
      <w:r>
        <w:rPr>
          <w:rFonts w:ascii="Barlow Semi Condensed" w:cs="Barlow Semi Condensed" w:eastAsia="Barlow Semi Condensed" w:hAnsi="Barlow Semi Condensed"/>
          <w:sz w:val="24"/>
          <w:szCs w:val="24"/>
        </w:rPr>
        <w:t xml:space="preserve"> Estradizioni, rogatorie, richieste di consenso all'originatore, istanze d'archivio: il blocco 236 le censisce tutte con stato e data dell'ultimo atto. Nessuna di esse riguarda il nome di questa serie. Lo Stato Zero è verificabile presso l'ufficio della cooperazione giudiziaria internazionale del Ministero della Giustizia, che tiene il registro delle rogatorie, e la conferma va acquisita per iscritto.</w:t>
      </w:r>
    </w:p>
    <w:p>
      <w:pPr>
        <w:spacing w:after="120" w:line="276"/>
        <w:jc w:val="both"/>
      </w:pPr>
      <w:r>
        <w:rPr>
          <w:rFonts w:ascii="Barlow Semi Condensed" w:cs="Barlow Semi Condensed" w:eastAsia="Barlow Semi Condensed" w:hAnsi="Barlow Semi Condensed"/>
          <w:b/>
          <w:bCs/>
          <w:sz w:val="24"/>
          <w:szCs w:val="24"/>
        </w:rPr>
        <w:t xml:space="preserve">3308 · Un dossier con calendario proprio.</w:t>
      </w:r>
      <w:r>
        <w:rPr>
          <w:rFonts w:ascii="Barlow Semi Condensed" w:cs="Barlow Semi Condensed" w:eastAsia="Barlow Semi Condensed" w:hAnsi="Barlow Semi Condensed"/>
          <w:sz w:val="24"/>
          <w:szCs w:val="24"/>
        </w:rPr>
        <w:t xml:space="preserve"> Il pacchetto americano dei blocchi 115-118 si gestisce come dossier unitario con calendario proprio, vuole il blocco 241, con richieste scaglionate, appelli sui dinieghi e registro pubblico degli esiti. I bersagli di questa serie che toccano archivi statunitensi vi si numerano dentro, senza corsia riservata: entrano in coda con la loro motivazione storica, e il registro pubblico ne segue la sorte.</w:t>
      </w:r>
    </w:p>
    <w:p>
      <w:pPr>
        <w:spacing w:after="120" w:line="276"/>
        <w:jc w:val="both"/>
      </w:pPr>
      <w:r>
        <w:rPr>
          <w:rFonts w:ascii="Barlow Semi Condensed" w:cs="Barlow Semi Condensed" w:eastAsia="Barlow Semi Condensed" w:hAnsi="Barlow Semi Condensed"/>
          <w:b/>
          <w:bCs/>
          <w:sz w:val="24"/>
          <w:szCs w:val="24"/>
        </w:rPr>
        <w:t xml:space="preserve">3309 · L'elenco esatto, non l'appello generico.</w:t>
      </w:r>
      <w:r>
        <w:rPr>
          <w:rFonts w:ascii="Barlow Semi Condensed" w:cs="Barlow Semi Condensed" w:eastAsia="Barlow Semi Condensed" w:hAnsi="Barlow Semi Condensed"/>
          <w:sz w:val="24"/>
          <w:szCs w:val="24"/>
        </w:rPr>
        <w:t xml:space="preserve"> Una proposta formale con l'elenco esatto degli atti, e non l'ennesimo appello generico alla desecretazione: così il blocco 242 imposta la riattivazione delle richieste di consenso all'originatore. L'elenco che riguarderebbe questa materia si compila in due voci, le carte del settembre 1974 relative alla visita e le carte del marzo-maggio 1978 di origine alleata custodite in Italia. Due voci scritte valgono mille appelli.</w:t>
      </w:r>
    </w:p>
    <w:p>
      <w:pPr>
        <w:spacing w:after="120" w:line="276"/>
        <w:jc w:val="both"/>
      </w:pPr>
      <w:r>
        <w:rPr>
          <w:rFonts w:ascii="Barlow Semi Condensed" w:cs="Barlow Semi Condensed" w:eastAsia="Barlow Semi Condensed" w:hAnsi="Barlow Semi Condensed"/>
          <w:b/>
          <w:bCs/>
          <w:sz w:val="24"/>
          <w:szCs w:val="24"/>
        </w:rPr>
        <w:t xml:space="preserve">3310 · Le valutazioni avversarie e il loro grado.</w:t>
      </w:r>
      <w:r>
        <w:rPr>
          <w:rFonts w:ascii="Barlow Semi Condensed" w:cs="Barlow Semi Condensed" w:eastAsia="Barlow Semi Condensed" w:hAnsi="Barlow Semi Condensed"/>
          <w:sz w:val="24"/>
          <w:szCs w:val="24"/>
        </w:rPr>
        <w:t xml:space="preserve"> Ai fondi degli ex servizi del blocco orientale il blocco 243 apre con la lezione Mitrokhin sul maneggio delle fonti d'intelligence. Ne discende un avvertimento specifico: un'analisi sovietica o tedesco-orientale che descriva le intenzioni americane sull'Italia è una valutazione avversaria, cioè piano tre, finché non rechi allegato un documento di provenienza. Il fondo si interroga; il suo prodotto si grada senza sconti.</w:t>
      </w:r>
    </w:p>
    <w:p>
      <w:pPr>
        <w:spacing w:after="120" w:line="276"/>
        <w:jc w:val="both"/>
      </w:pPr>
      <w:r>
        <w:rPr>
          <w:rFonts w:ascii="Barlow Semi Condensed" w:cs="Barlow Semi Condensed" w:eastAsia="Barlow Semi Condensed" w:hAnsi="Barlow Semi Condensed"/>
          <w:b/>
          <w:bCs/>
          <w:sz w:val="24"/>
          <w:szCs w:val="24"/>
        </w:rPr>
        <w:t xml:space="preserve">3311 · Anche il nulla risulta multilaterale.</w:t>
      </w:r>
      <w:r>
        <w:rPr>
          <w:rFonts w:ascii="Barlow Semi Condensed" w:cs="Barlow Semi Condensed" w:eastAsia="Barlow Semi Condensed" w:hAnsi="Barlow Semi Condensed"/>
          <w:sz w:val="24"/>
          <w:szCs w:val="24"/>
        </w:rPr>
        <w:t xml:space="preserve"> Presso gli organismi internazionali dell'epoca anche una risposta negativa è una scheda, stabilisce il blocco 244. Sede nominata per questa materia: l'archivio dell'Alleanza atlantica a Bruxelles, che ha un programma di apertura pubblica, da interrogare per la finestra 1974-1978 con istanza motivata. L'esito probabile è un nulla risulta, e quel nulla risulta, messo per iscritto, chiude un vuoto oggi soltanto supposto.</w:t>
      </w:r>
    </w:p>
    <w:p>
      <w:pPr>
        <w:spacing w:after="120" w:line="276"/>
        <w:jc w:val="both"/>
      </w:pPr>
      <w:r>
        <w:rPr>
          <w:rFonts w:ascii="Barlow Semi Condensed" w:cs="Barlow Semi Condensed" w:eastAsia="Barlow Semi Condensed" w:hAnsi="Barlow Semi Condensed"/>
          <w:b/>
          <w:bCs/>
          <w:sz w:val="24"/>
          <w:szCs w:val="24"/>
        </w:rPr>
        <w:t xml:space="preserve">3312 · Il precedente è leva, non prova.</w:t>
      </w:r>
      <w:r>
        <w:rPr>
          <w:rFonts w:ascii="Barlow Semi Condensed" w:cs="Barlow Semi Condensed" w:eastAsia="Barlow Semi Condensed" w:hAnsi="Barlow Semi Condensed"/>
          <w:sz w:val="24"/>
          <w:szCs w:val="24"/>
        </w:rPr>
        <w:t xml:space="preserve"> Ogni rilascio ottenuto altrove per casi analoghi si scheda come precedente, dice il blocco 246, perché la prassi internazionale è un giacimento argomentativo per le istanze. I grandi progetti di declassificazione sul Cile e sull'Argentina servono a motivare un'istanza italiana e a nient'altro: non trasferiscono a un teatro ciò che è documentato in un altro. Omologia contro analogia vale anche qui.</w:t>
      </w:r>
    </w:p>
    <w:p>
      <w:pPr>
        <w:spacing w:after="120" w:line="276"/>
        <w:jc w:val="both"/>
      </w:pPr>
      <w:r>
        <w:rPr>
          <w:rFonts w:ascii="Barlow Semi Condensed" w:cs="Barlow Semi Condensed" w:eastAsia="Barlow Semi Condensed" w:hAnsi="Barlow Semi Condensed"/>
          <w:b/>
          <w:bCs/>
          <w:sz w:val="24"/>
          <w:szCs w:val="24"/>
        </w:rPr>
        <w:t xml:space="preserve">3313 · La lealtà documentale che si chiede.</w:t>
      </w:r>
      <w:r>
        <w:rPr>
          <w:rFonts w:ascii="Barlow Semi Condensed" w:cs="Barlow Semi Condensed" w:eastAsia="Barlow Semi Condensed" w:hAnsi="Barlow Semi Condensed"/>
          <w:sz w:val="24"/>
          <w:szCs w:val="24"/>
        </w:rPr>
        <w:t xml:space="preserve"> L'Italia risponde alle richieste altrui sul proprio quarantennio con la stessa lealtà documentale che pretende, impone il blocco 247, perché la credibilità del nuovo caso all'estero è un bene istruttorio. Applicazione concreta: le carte italiane sulla visita del settembre 1974 devono essere accessibili a uno studioso straniero alle condizioni con cui il corpus chiede quelle americane. La reciprocità si dimostra aprendo.</w:t>
      </w:r>
    </w:p>
    <w:p>
      <w:pPr>
        <w:spacing w:after="120" w:line="276"/>
        <w:jc w:val="both"/>
      </w:pPr>
      <w:r>
        <w:rPr>
          <w:rFonts w:ascii="Barlow Semi Condensed" w:cs="Barlow Semi Condensed" w:eastAsia="Barlow Semi Condensed" w:hAnsi="Barlow Semi Condensed"/>
          <w:b/>
          <w:bCs/>
          <w:sz w:val="24"/>
          <w:szCs w:val="24"/>
        </w:rPr>
        <w:t xml:space="preserve">3314 · Il divieto che governa tutta la serie.</w:t>
      </w:r>
      <w:r>
        <w:rPr>
          <w:rFonts w:ascii="Barlow Semi Condensed" w:cs="Barlow Semi Condensed" w:eastAsia="Barlow Semi Condensed" w:hAnsi="Barlow Semi Condensed"/>
          <w:sz w:val="24"/>
          <w:szCs w:val="24"/>
        </w:rPr>
        <w:t xml:space="preserve"> La norma centrale di questo territorio è il blocco 249: non trasformare il versante internazionale in geopolitica narrativa, perché qui si chiedono carte e deposizioni a Stati sovrani, atto per atto, e le letture di sistema restano al grado C, fuori dalle istanze. Ogni blocco di questa serie è stato scritto sotto quel divieto; usarla per altro sarebbe usarla contro il manuale.</w:t>
      </w:r>
    </w:p>
    <w:p>
      <w:pPr>
        <w:spacing w:after="120" w:line="276"/>
        <w:jc w:val="both"/>
      </w:pPr>
      <w:r>
        <w:rPr>
          <w:rFonts w:ascii="Barlow Semi Condensed" w:cs="Barlow Semi Condensed" w:eastAsia="Barlow Semi Condensed" w:hAnsi="Barlow Semi Condensed"/>
          <w:b/>
          <w:bCs/>
          <w:sz w:val="24"/>
          <w:szCs w:val="24"/>
        </w:rPr>
        <w:t xml:space="preserve">3315 · Che cosa deve ancora il mondo.</w:t>
      </w:r>
      <w:r>
        <w:rPr>
          <w:rFonts w:ascii="Barlow Semi Condensed" w:cs="Barlow Semi Condensed" w:eastAsia="Barlow Semi Condensed" w:hAnsi="Barlow Semi Condensed"/>
          <w:sz w:val="24"/>
          <w:szCs w:val="24"/>
        </w:rPr>
        <w:t xml:space="preserve"> Ogni pendenza chiude con un documento, dice il blocco 250: la consegna, la deposizione, il rilascio o il diniego motivato, con la tavola aggiornata e pubblica. Questa serie consegna al territorio tre bersagli di piano uno, l'udienza del 1982, il verbale italiano del 1974 e il lotto FOIA già posseduto, più un conteggio: zero occorrenze su duecentocinquanta blocchi. Il resto è ancora dovuto.</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Serie quarantaquattresima — Il manuale in quattrocento blocchi, seconda parte</w:t>
      </w:r>
    </w:p>
    <w:p>
      <w:pPr>
        <w:spacing w:after="120" w:line="276"/>
        <w:jc w:val="both"/>
      </w:pPr>
      <w:r>
        <w:rPr>
          <w:rFonts w:ascii="Barlow Semi Condensed" w:cs="Barlow Semi Condensed" w:eastAsia="Barlow Semi Condensed" w:hAnsi="Barlow Semi Condensed"/>
          <w:i/>
          <w:iCs/>
          <w:sz w:val="24"/>
          <w:szCs w:val="24"/>
        </w:rPr>
        <w:t xml:space="preserve">Blocchi 3316-3390.</w:t>
      </w:r>
    </w:p>
    <w:p>
      <w:pPr>
        <w:spacing w:after="120" w:line="276"/>
        <w:jc w:val="both"/>
      </w:pPr>
      <w:r>
        <w:rPr>
          <w:rFonts w:ascii="Barlow Semi Condensed" w:cs="Barlow Semi Condensed" w:eastAsia="Barlow Semi Condensed" w:hAnsi="Barlow Semi Condensed"/>
          <w:b/>
          <w:bCs/>
          <w:sz w:val="24"/>
          <w:szCs w:val="24"/>
        </w:rPr>
        <w:t xml:space="preserve">3316 · Quattrocento blocchi senza quel nome.</w:t>
      </w:r>
      <w:r>
        <w:rPr>
          <w:rFonts w:ascii="Barlow Semi Condensed" w:cs="Barlow Semi Condensed" w:eastAsia="Barlow Semi Condensed" w:hAnsi="Barlow Semi Condensed"/>
          <w:sz w:val="24"/>
          <w:szCs w:val="24"/>
        </w:rPr>
        <w:t xml:space="preserve"> Ricerca testuale integrale sul file manuale-investigativo-nuovo-caso-moro.md, seconda edizione accresciuta: il nome non compare in alcuno dei quattrocento blocchi, in alcuna delle quindici intestazioni di serie, nella nota conclusiva. Accertamento di grado alto, verificabile da chiunque in un passaggio. Il manuale operativo del nuovo Caso Moro non gli assegna un atto, una pista, un quesito. La triangolazione parte da questa assenza e non la aggira.</w:t>
      </w:r>
    </w:p>
    <w:p>
      <w:pPr>
        <w:spacing w:after="120" w:line="276"/>
        <w:jc w:val="both"/>
      </w:pPr>
      <w:r>
        <w:rPr>
          <w:rFonts w:ascii="Barlow Semi Condensed" w:cs="Barlow Semi Condensed" w:eastAsia="Barlow Semi Condensed" w:hAnsi="Barlow Semi Condensed"/>
          <w:b/>
          <w:bCs/>
          <w:sz w:val="24"/>
          <w:szCs w:val="24"/>
        </w:rPr>
        <w:t xml:space="preserve">3317 · Il teste-oracolo e la lezione Marini.</w:t>
      </w:r>
      <w:r>
        <w:rPr>
          <w:rFonts w:ascii="Barlow Semi Condensed" w:cs="Barlow Semi Condensed" w:eastAsia="Barlow Semi Condensed" w:hAnsi="Barlow Semi Condensed"/>
          <w:sz w:val="24"/>
          <w:szCs w:val="24"/>
        </w:rPr>
        <w:t xml:space="preserve"> Fondare qualunque cosa su una corroborazione assunta sulla parola è ciò che il blocco 253 vieta, ed è la lezione Marini. Applicata alla deposizione di Corrado Guerzoni davanti alla Corte d'assise di Roma nel novembre 1982, la regola impone di scrivere accanto al nome che egli non assistette al colloquio e riferì de relato, avendo appreso il fatto da Moro e dall'entourage. La scheda dei riscontri materiali resta bianca.</w:t>
      </w:r>
    </w:p>
    <w:p>
      <w:pPr>
        <w:spacing w:after="120" w:line="276"/>
        <w:jc w:val="both"/>
      </w:pPr>
      <w:r>
        <w:rPr>
          <w:rFonts w:ascii="Barlow Semi Condensed" w:cs="Barlow Semi Condensed" w:eastAsia="Barlow Semi Condensed" w:hAnsi="Barlow Semi Condensed"/>
          <w:b/>
          <w:bCs/>
          <w:sz w:val="24"/>
          <w:szCs w:val="24"/>
        </w:rPr>
        <w:t xml:space="preserve">3318 · La segnatura contro la circolazione.</w:t>
      </w:r>
      <w:r>
        <w:rPr>
          <w:rFonts w:ascii="Barlow Semi Condensed" w:cs="Barlow Semi Condensed" w:eastAsia="Barlow Semi Condensed" w:hAnsi="Barlow Semi Condensed"/>
          <w:sz w:val="24"/>
          <w:szCs w:val="24"/>
        </w:rPr>
        <w:t xml:space="preserve"> Mezzo secolo di «risulterebbe da un appunto» senza segnatura è ciò che il blocco 267 proibisce. Qui la segnatura esiste ed è precisa: documento 350 del volume FRUS 1969-1976 E-15 parte 2, seconda edizione riveduta, corrispondente al file 1552802 della Gerald R. Ford Presidential Library. Chi cita quel verbale come prova della frase attribuita deve misurarsi col suo testo, che quella frase non contiene.</w:t>
      </w:r>
    </w:p>
    <w:p>
      <w:pPr>
        <w:spacing w:after="120" w:line="276"/>
        <w:jc w:val="both"/>
      </w:pPr>
      <w:r>
        <w:rPr>
          <w:rFonts w:ascii="Barlow Semi Condensed" w:cs="Barlow Semi Condensed" w:eastAsia="Barlow Semi Condensed" w:hAnsi="Barlow Semi Condensed"/>
          <w:b/>
          <w:bCs/>
          <w:sz w:val="24"/>
          <w:szCs w:val="24"/>
        </w:rPr>
        <w:t xml:space="preserve">3319 · La data che non sta ferma.</w:t>
      </w:r>
      <w:r>
        <w:rPr>
          <w:rFonts w:ascii="Barlow Semi Condensed" w:cs="Barlow Semi Condensed" w:eastAsia="Barlow Semi Condensed" w:hAnsi="Barlow Semi Condensed"/>
          <w:sz w:val="24"/>
          <w:szCs w:val="24"/>
        </w:rPr>
        <w:t xml:space="preserve"> Cronologia prima dell'interpretazione, prescrive il blocco 261. L'episodio dell'avvertimento non ne possiede una: la versione italiana prevalente lo pone al 25 settembre 1974, una fonte d'agenzia statunitense dell'aprile 1983 lo colloca in un alterco all'ambasciata d'Italia a Washington nel 1977, altre sintesi indicano il 1976. Il 20 gennaio 1977 l'incarico di Segretario di Stato era cessato. La divergenza si riporta e attende l'atto che la dirima.</w:t>
      </w:r>
    </w:p>
    <w:p>
      <w:pPr>
        <w:spacing w:after="120" w:line="276"/>
        <w:jc w:val="both"/>
      </w:pPr>
      <w:r>
        <w:rPr>
          <w:rFonts w:ascii="Barlow Semi Condensed" w:cs="Barlow Semi Condensed" w:eastAsia="Barlow Semi Condensed" w:hAnsi="Barlow Semi Condensed"/>
          <w:b/>
          <w:bCs/>
          <w:sz w:val="24"/>
          <w:szCs w:val="24"/>
        </w:rPr>
        <w:t xml:space="preserve">3320 · Un solo lancio, molte testate.</w:t>
      </w:r>
      <w:r>
        <w:rPr>
          <w:rFonts w:ascii="Barlow Semi Condensed" w:cs="Barlow Semi Condensed" w:eastAsia="Barlow Semi Condensed" w:hAnsi="Barlow Semi Condensed"/>
          <w:sz w:val="24"/>
          <w:szCs w:val="24"/>
        </w:rPr>
        <w:t xml:space="preserve"> Prima il deposito, poi la parola: così il blocco 268 contro le svolte annunciate. La circolazione dell'episodio ha fatto l'inverso. Decine di riprese pressoché identiche risalgono a un unico lancio d'agenzia del 30 novembre 2023, il giorno dopo la morte a Kent. Il numero delle ripetizioni non è un grado, e ogni scheda che le registri deve contarle come fonte sola, mai come convergenza.</w:t>
      </w:r>
    </w:p>
    <w:p>
      <w:pPr>
        <w:spacing w:after="120" w:line="276"/>
        <w:jc w:val="both"/>
      </w:pPr>
      <w:r>
        <w:rPr>
          <w:rFonts w:ascii="Barlow Semi Condensed" w:cs="Barlow Semi Condensed" w:eastAsia="Barlow Semi Condensed" w:hAnsi="Barlow Semi Condensed"/>
          <w:b/>
          <w:bCs/>
          <w:sz w:val="24"/>
          <w:szCs w:val="24"/>
        </w:rPr>
        <w:t xml:space="preserve">3321 · «Furono gli americani» non è condotta.</w:t>
      </w:r>
      <w:r>
        <w:rPr>
          <w:rFonts w:ascii="Barlow Semi Condensed" w:cs="Barlow Semi Condensed" w:eastAsia="Barlow Semi Condensed" w:hAnsi="Barlow Semi Condensed"/>
          <w:sz w:val="24"/>
          <w:szCs w:val="24"/>
        </w:rPr>
        <w:t xml:space="preserve"> Sciogliere la colpa collettiva in atti e omissioni di persone e uffici, uno per uno, è il compito del blocco 258. «Furono gli americani» ricade esattamente lì, con la stessa struttura di «furono i servizi». La regola impone, per ogni asserzione sull'ostilità atlantica, il nome dell'ufficio, la data dell'atto e la segnatura. Senza quei tre elementi la frase resta cornice storiografica documentata e non entra nel registro delle condotte.</w:t>
      </w:r>
    </w:p>
    <w:p>
      <w:pPr>
        <w:spacing w:after="120" w:line="276"/>
        <w:jc w:val="both"/>
      </w:pPr>
      <w:r>
        <w:rPr>
          <w:rFonts w:ascii="Barlow Semi Condensed" w:cs="Barlow Semi Condensed" w:eastAsia="Barlow Semi Condensed" w:hAnsi="Barlow Semi Condensed"/>
          <w:b/>
          <w:bCs/>
          <w:sz w:val="24"/>
          <w:szCs w:val="24"/>
        </w:rPr>
        <w:t xml:space="preserve">3322 · Contemporaneità e cornice atlantica.</w:t>
      </w:r>
      <w:r>
        <w:rPr>
          <w:rFonts w:ascii="Barlow Semi Condensed" w:cs="Barlow Semi Condensed" w:eastAsia="Barlow Semi Condensed" w:hAnsi="Barlow Semi Condensed"/>
          <w:sz w:val="24"/>
          <w:szCs w:val="24"/>
        </w:rPr>
        <w:t xml:space="preserve"> Il triplo 18 aprile insegna, secondo il blocco 260, che le coincidenze entrano in matrice come fatti da spiegare, con le loro ipotesi alternative. La posizione atlantica ostile all'ingresso comunista, documentata nel verbale del 25 settembre 1974, è contemporanea alla maturazione del compromesso storico e nulla più: fra una linea di politica estera e un delitto avvenuto tre anni e mezzo dopo non si costruisce alcun arco.</w:t>
      </w:r>
    </w:p>
    <w:p>
      <w:pPr>
        <w:spacing w:after="120" w:line="276"/>
        <w:jc w:val="both"/>
      </w:pPr>
      <w:r>
        <w:rPr>
          <w:rFonts w:ascii="Barlow Semi Condensed" w:cs="Barlow Semi Condensed" w:eastAsia="Barlow Semi Condensed" w:hAnsi="Barlow Semi Condensed"/>
          <w:b/>
          <w:bCs/>
          <w:sz w:val="24"/>
          <w:szCs w:val="24"/>
        </w:rPr>
        <w:t xml:space="preserve">3323 · Il colloquio a margine.</w:t>
      </w:r>
      <w:r>
        <w:rPr>
          <w:rFonts w:ascii="Barlow Semi Condensed" w:cs="Barlow Semi Condensed" w:eastAsia="Barlow Semi Condensed" w:hAnsi="Barlow Semi Condensed"/>
          <w:sz w:val="24"/>
          <w:szCs w:val="24"/>
        </w:rPr>
        <w:t xml:space="preserve"> Secondo la testimonianza la frase sarebbe stata pronunciata a margine, in colloquio riservato o a cena. Il blocco 259 impone qui di misurare il buco e non di riempirlo: l'assenza dal memorandum ufficiale non prova né la falsità né la verità dell'episodio, indebolisce soltanto, e in modo netto, la versione che lo colloca nell'incontro dello Studio Ovale. Chi scrive «dunque accadde altrove» sta narrando.</w:t>
      </w:r>
    </w:p>
    <w:p>
      <w:pPr>
        <w:spacing w:after="120" w:line="276"/>
        <w:jc w:val="both"/>
      </w:pPr>
      <w:r>
        <w:rPr>
          <w:rFonts w:ascii="Barlow Semi Condensed" w:cs="Barlow Semi Condensed" w:eastAsia="Barlow Semi Condensed" w:hAnsi="Barlow Semi Condensed"/>
          <w:b/>
          <w:bCs/>
          <w:sz w:val="24"/>
          <w:szCs w:val="24"/>
        </w:rPr>
        <w:t xml:space="preserve">3324 · Il consulente non è un canale.</w:t>
      </w:r>
      <w:r>
        <w:rPr>
          <w:rFonts w:ascii="Barlow Semi Condensed" w:cs="Barlow Semi Condensed" w:eastAsia="Barlow Semi Condensed" w:hAnsi="Barlow Semi Condensed"/>
          <w:sz w:val="24"/>
          <w:szCs w:val="24"/>
        </w:rPr>
        <w:t xml:space="preserve"> La scheda PE-1 documenta la presenza di Steve Pieczenik nel comitato di esperti mai riunito collegialmente e la qualificazione di inattendibilità delle lettere. Regola di lettura contro l'errore dell'esperto squalificante, blocco 254: quel consulente operò nella primavera 1978, quando l'incarico di Segretario di Stato era cessato da oltre un anno. Trattarne la presenza come prolungamento personale di un altro nome è affermazione di piano 3.</w:t>
      </w:r>
    </w:p>
    <w:p>
      <w:pPr>
        <w:spacing w:after="120" w:line="276"/>
        <w:jc w:val="both"/>
      </w:pPr>
      <w:r>
        <w:rPr>
          <w:rFonts w:ascii="Barlow Semi Condensed" w:cs="Barlow Semi Condensed" w:eastAsia="Barlow Semi Condensed" w:hAnsi="Barlow Semi Condensed"/>
          <w:b/>
          <w:bCs/>
          <w:sz w:val="24"/>
          <w:szCs w:val="24"/>
        </w:rPr>
        <w:t xml:space="preserve">3325 · Le note dei servizi esteri.</w:t>
      </w:r>
      <w:r>
        <w:rPr>
          <w:rFonts w:ascii="Barlow Semi Condensed" w:cs="Barlow Semi Condensed" w:eastAsia="Barlow Semi Condensed" w:hAnsi="Barlow Semi Condensed"/>
          <w:sz w:val="24"/>
          <w:szCs w:val="24"/>
        </w:rPr>
        <w:t xml:space="preserve"> Nessuna nota d'intelligence testimonia: entra nel flusso come segnalazione, si riscontra, si grada. È il blocco 266, e vale integralmente per ogni appunto americano del quadriennio 1974-1978 che dovesse emergere dai versamenti del Viminale nel fondo Direttiva Renzi. Un appunto che riferisca una frase non prova la frase: prova che qualcuno la riferì, in una data, con un protocollo e un destinatario.</w:t>
      </w:r>
    </w:p>
    <w:p>
      <w:pPr>
        <w:spacing w:after="120" w:line="276"/>
        <w:jc w:val="both"/>
      </w:pPr>
      <w:r>
        <w:rPr>
          <w:rFonts w:ascii="Barlow Semi Condensed" w:cs="Barlow Semi Condensed" w:eastAsia="Barlow Semi Condensed" w:hAnsi="Barlow Semi Condensed"/>
          <w:b/>
          <w:bCs/>
          <w:sz w:val="24"/>
          <w:szCs w:val="24"/>
        </w:rPr>
        <w:t xml:space="preserve">3326 · Il «mai imputato, ma».</w:t>
      </w:r>
      <w:r>
        <w:rPr>
          <w:rFonts w:ascii="Barlow Semi Condensed" w:cs="Barlow Semi Condensed" w:eastAsia="Barlow Semi Condensed" w:hAnsi="Barlow Semi Condensed"/>
          <w:sz w:val="24"/>
          <w:szCs w:val="24"/>
        </w:rPr>
        <w:t xml:space="preserve"> Nessun procedimento penale, nessun rinvio a giudizio, nessuna imputazione in alcun Paese, e nessun magistrato italiano che lo abbia mai sentito in sede penale. Il blocco 262 colpisce il «fu assolto, ma»; qui occorre la sua forma estrema, perché chi tratta questa assenza come reticenza dell'ordinamento edifica un sospetto sul nulla processuale, anziché su un esito che almeno esiste.</w:t>
      </w:r>
    </w:p>
    <w:p>
      <w:pPr>
        <w:spacing w:after="120" w:line="276"/>
        <w:jc w:val="both"/>
      </w:pPr>
      <w:r>
        <w:rPr>
          <w:rFonts w:ascii="Barlow Semi Condensed" w:cs="Barlow Semi Condensed" w:eastAsia="Barlow Semi Condensed" w:hAnsi="Barlow Semi Condensed"/>
          <w:b/>
          <w:bCs/>
          <w:sz w:val="24"/>
          <w:szCs w:val="24"/>
        </w:rPr>
        <w:t xml:space="preserve">3327 · Il necrologio e il picco.</w:t>
      </w:r>
      <w:r>
        <w:rPr>
          <w:rFonts w:ascii="Barlow Semi Condensed" w:cs="Barlow Semi Condensed" w:eastAsia="Barlow Semi Condensed" w:hAnsi="Barlow Semi Condensed"/>
          <w:sz w:val="24"/>
          <w:szCs w:val="24"/>
        </w:rPr>
        <w:t xml:space="preserve"> Le scadenze commemorative non dettano il calendario istruttorio: blocco 271. La morte del 29 novembre 2023 ha prodotto in ventiquattr'ore un picco di riprese sull'episodio italiano, materiale di necrologio e non di archivio. Il cronoprogramma della serie decima resta indifferente a quel picco; semmai il registro delle segnalazioni della serie settima trattiene l'onda come oggetto di studio, secondo lo scenario del blocco 395.</w:t>
      </w:r>
    </w:p>
    <w:p>
      <w:pPr>
        <w:spacing w:after="120" w:line="276"/>
        <w:jc w:val="both"/>
      </w:pPr>
      <w:r>
        <w:rPr>
          <w:rFonts w:ascii="Barlow Semi Condensed" w:cs="Barlow Semi Condensed" w:eastAsia="Barlow Semi Condensed" w:hAnsi="Barlow Semi Condensed"/>
          <w:b/>
          <w:bCs/>
          <w:sz w:val="24"/>
          <w:szCs w:val="24"/>
        </w:rPr>
        <w:t xml:space="preserve">3328 · Cercare quando il custode è morto.</w:t>
      </w:r>
      <w:r>
        <w:rPr>
          <w:rFonts w:ascii="Barlow Semi Condensed" w:cs="Barlow Semi Condensed" w:eastAsia="Barlow Semi Condensed" w:hAnsi="Barlow Semi Condensed"/>
          <w:sz w:val="24"/>
          <w:szCs w:val="24"/>
        </w:rPr>
        <w:t xml:space="preserve"> L'errore dell'archivio postumo, blocco 274, è documentato in casa: la richiesta informale dei magistrati italiani del 1983 non ebbe seguito e nella documentazione del corpus non figura alcuna rogatoria formale successiva. Il 29 novembre 2023 la via testimoniale si è chiusa definitivamente. Va scritto come costo verificato e non come mistero: la voce mancante aveva una data di scadenza, ed è stata superata.</w:t>
      </w:r>
    </w:p>
    <w:p>
      <w:pPr>
        <w:spacing w:after="120" w:line="276"/>
        <w:jc w:val="both"/>
      </w:pPr>
      <w:r>
        <w:rPr>
          <w:rFonts w:ascii="Barlow Semi Condensed" w:cs="Barlow Semi Condensed" w:eastAsia="Barlow Semi Condensed" w:hAnsi="Barlow Semi Condensed"/>
          <w:b/>
          <w:bCs/>
          <w:sz w:val="24"/>
          <w:szCs w:val="24"/>
        </w:rPr>
        <w:t xml:space="preserve">3329 · Nessuna tecnica risolve una frase.</w:t>
      </w:r>
      <w:r>
        <w:rPr>
          <w:rFonts w:ascii="Barlow Semi Condensed" w:cs="Barlow Semi Condensed" w:eastAsia="Barlow Semi Condensed" w:hAnsi="Barlow Semi Condensed"/>
          <w:sz w:val="24"/>
          <w:szCs w:val="24"/>
        </w:rPr>
        <w:t xml:space="preserve"> Il quesito prima della tecnica, ammonisce il blocco 275. Per l'episodio contestato non esiste tecnica risolutiva: né analisi forense né stilometria restituiscono un colloquio orale mai verbalizzato. L'unico atto capace di spostarlo è archivistico — un appunto coevo, una nota d'ambasciata, un diario di servizio con data e protocollo. Chi promette una soluzione tecnologica a un problema di provenienza offre un risultato senza domanda.</w:t>
      </w:r>
    </w:p>
    <w:p>
      <w:pPr>
        <w:spacing w:after="120" w:line="276"/>
        <w:jc w:val="both"/>
      </w:pPr>
      <w:r>
        <w:rPr>
          <w:rFonts w:ascii="Barlow Semi Condensed" w:cs="Barlow Semi Condensed" w:eastAsia="Barlow Semi Condensed" w:hAnsi="Barlow Semi Condensed"/>
          <w:b/>
          <w:bCs/>
          <w:sz w:val="24"/>
          <w:szCs w:val="24"/>
        </w:rPr>
        <w:t xml:space="preserve">3330 · Pubblicare i fondi muti.</w:t>
      </w:r>
      <w:r>
        <w:rPr>
          <w:rFonts w:ascii="Barlow Semi Condensed" w:cs="Barlow Semi Condensed" w:eastAsia="Barlow Semi Condensed" w:hAnsi="Barlow Semi Condensed"/>
          <w:sz w:val="24"/>
          <w:szCs w:val="24"/>
        </w:rPr>
        <w:t xml:space="preserve"> Le comparazioni senza riscontro si pubblicano con la stessa evidenza dei ritrovamenti, blocco 276. La Fase sesta del corpus lo ha già eseguito su questo nome: fra gli Stati Zero del perimetro negativo dichiara il documento che leghi Kissinger-persona alla catena di comando del delitto, cercato e non trovato. Quella riga vale quanto un accertamento e va ripetuta in ogni relazione annuale finché resterà vera.</w:t>
      </w:r>
    </w:p>
    <w:p>
      <w:pPr>
        <w:spacing w:after="120" w:line="276"/>
        <w:jc w:val="both"/>
      </w:pPr>
      <w:r>
        <w:rPr>
          <w:rFonts w:ascii="Barlow Semi Condensed" w:cs="Barlow Semi Condensed" w:eastAsia="Barlow Semi Condensed" w:hAnsi="Barlow Semi Condensed"/>
          <w:b/>
          <w:bCs/>
          <w:sz w:val="24"/>
          <w:szCs w:val="24"/>
        </w:rPr>
        <w:t xml:space="preserve">3331 · L'intervista e il verbale.</w:t>
      </w:r>
      <w:r>
        <w:rPr>
          <w:rFonts w:ascii="Barlow Semi Condensed" w:cs="Barlow Semi Condensed" w:eastAsia="Barlow Semi Condensed" w:hAnsi="Barlow Semi Condensed"/>
          <w:sz w:val="24"/>
          <w:szCs w:val="24"/>
        </w:rPr>
        <w:t xml:space="preserve"> Una verità per gli atti e una per le interviste è ciò che il blocco 277 esclude. Il dossier ne offre il caso puro sul versante opposto a quello consueto: la smentita dell'interessato è nota per via giornalistica — diretta e circostanziata poco prima della morte, generica già nel 1983 — e non risulta reperita alcuna dichiarazione formale di un portavoce sul merito. Si registra come dichiarazione, con la sede.</w:t>
      </w:r>
    </w:p>
    <w:p>
      <w:pPr>
        <w:spacing w:after="120" w:line="276"/>
        <w:jc w:val="both"/>
      </w:pPr>
      <w:r>
        <w:rPr>
          <w:rFonts w:ascii="Barlow Semi Condensed" w:cs="Barlow Semi Condensed" w:eastAsia="Barlow Semi Condensed" w:hAnsi="Barlow Semi Condensed"/>
          <w:b/>
          <w:bCs/>
          <w:sz w:val="24"/>
          <w:szCs w:val="24"/>
        </w:rPr>
        <w:t xml:space="preserve">3332 · Il perimetro e la guerra fredda.</w:t>
      </w:r>
      <w:r>
        <w:rPr>
          <w:rFonts w:ascii="Barlow Semi Condensed" w:cs="Barlow Semi Condensed" w:eastAsia="Barlow Semi Condensed" w:hAnsi="Barlow Semi Condensed"/>
          <w:sz w:val="24"/>
          <w:szCs w:val="24"/>
        </w:rPr>
        <w:t xml:space="preserve"> Allargare il caso fino a contenervi ogni mistero d'Italia lo rende insolubile: blocco 273. La cornice della guerra fredda è il massimo allargamento tentabile, e nessuno dei quesiti ACH della serie sesta la include. Chi voglia introdurla deve portare ciò che la regola pretende: una matrice nuova con evidenza discriminante possibile, cioè il documento che, in un fondo nominato, direbbe di no.</w:t>
      </w:r>
    </w:p>
    <w:p>
      <w:pPr>
        <w:spacing w:after="120" w:line="276"/>
        <w:jc w:val="both"/>
      </w:pPr>
      <w:r>
        <w:rPr>
          <w:rFonts w:ascii="Barlow Semi Condensed" w:cs="Barlow Semi Condensed" w:eastAsia="Barlow Semi Condensed" w:hAnsi="Barlow Semi Condensed"/>
          <w:b/>
          <w:bCs/>
          <w:sz w:val="24"/>
          <w:szCs w:val="24"/>
        </w:rPr>
        <w:t xml:space="preserve">3333 · Il corpus corregge se stesso.</w:t>
      </w:r>
      <w:r>
        <w:rPr>
          <w:rFonts w:ascii="Barlow Semi Condensed" w:cs="Barlow Semi Condensed" w:eastAsia="Barlow Semi Condensed" w:hAnsi="Barlow Semi Condensed"/>
          <w:sz w:val="24"/>
          <w:szCs w:val="24"/>
        </w:rPr>
        <w:t xml:space="preserve"> Anche questo lavoro sbaglia, ammette il blocco 279. La prova sta nel file triangolazioni-guevara-moro.md: il nodo M-5 registrava l'avvertimento senza annotare la smentita, e sette precisazioni gli sono state affiancate per nota, senza riscrivere il testo originario. Fra esse il carattere de relato della deposizione del 1982 e l'attribuzione del nome ottenuta in aula dal presidente della corte, non offerta dalla teste.</w:t>
      </w:r>
    </w:p>
    <w:p>
      <w:pPr>
        <w:spacing w:after="120" w:line="276"/>
        <w:jc w:val="both"/>
      </w:pPr>
      <w:r>
        <w:rPr>
          <w:rFonts w:ascii="Barlow Semi Condensed" w:cs="Barlow Semi Condensed" w:eastAsia="Barlow Semi Condensed" w:hAnsi="Barlow Semi Condensed"/>
          <w:b/>
          <w:bCs/>
          <w:sz w:val="24"/>
          <w:szCs w:val="24"/>
        </w:rPr>
        <w:t xml:space="preserve">3334 · Un errore nuovo per il catalogo.</w:t>
      </w:r>
      <w:r>
        <w:rPr>
          <w:rFonts w:ascii="Barlow Semi Condensed" w:cs="Barlow Semi Condensed" w:eastAsia="Barlow Semi Condensed" w:hAnsi="Barlow Semi Condensed"/>
          <w:sz w:val="24"/>
          <w:szCs w:val="24"/>
        </w:rPr>
        <w:t xml:space="preserve"> Il catalogo del blocco 280 non si chiude e accoglie ogni errore nuovo con numero e antidoto. La campagna su questo nome ne consegna uno che vi manca: l'errore della moltiplicazione apparente, per cui la ripetizione identica di una notizia in decine di sedi viene scambiata per convergenza di fonti indipendenti. Antidoto: ogni scheda registra sede originaria e data del primo lancio, e conta i derivati separatamente.</w:t>
      </w:r>
    </w:p>
    <w:p>
      <w:pPr>
        <w:spacing w:after="120" w:line="276"/>
        <w:jc w:val="both"/>
      </w:pPr>
      <w:r>
        <w:rPr>
          <w:rFonts w:ascii="Barlow Semi Condensed" w:cs="Barlow Semi Condensed" w:eastAsia="Barlow Semi Condensed" w:hAnsi="Barlow Semi Condensed"/>
          <w:b/>
          <w:bCs/>
          <w:sz w:val="24"/>
          <w:szCs w:val="24"/>
        </w:rPr>
        <w:t xml:space="preserve">3335 · Novanta giorni senza questo nome.</w:t>
      </w:r>
      <w:r>
        <w:rPr>
          <w:rFonts w:ascii="Barlow Semi Condensed" w:cs="Barlow Semi Condensed" w:eastAsia="Barlow Semi Condensed" w:hAnsi="Barlow Semi Condensed"/>
          <w:sz w:val="24"/>
          <w:szCs w:val="24"/>
        </w:rPr>
        <w:t xml:space="preserve"> I quattro atti simultanei del blocco 281 — inventario generale dei reperti, tavola delle urgenze testimoniali, caricatore, istanza sul fascicolo FOIA identificato — non contengono il nome in nessuna delle loro descrizioni. Solo il quarto potrebbe farlo affiorare per via indiretta, se il fascicolo R-2021-002xx restituisse traffico che lo citi come terzo. È previsione dichiarata, con esito nullo ammesso in partenza.</w:t>
      </w:r>
    </w:p>
    <w:p>
      <w:pPr>
        <w:spacing w:after="120" w:line="276"/>
        <w:jc w:val="both"/>
      </w:pPr>
      <w:r>
        <w:rPr>
          <w:rFonts w:ascii="Barlow Semi Condensed" w:cs="Barlow Semi Condensed" w:eastAsia="Barlow Semi Condensed" w:hAnsi="Barlow Semi Condensed"/>
          <w:b/>
          <w:bCs/>
          <w:sz w:val="24"/>
          <w:szCs w:val="24"/>
        </w:rPr>
        <w:t xml:space="preserve">3336 · Il primo anno e i suoi fondi.</w:t>
      </w:r>
      <w:r>
        <w:rPr>
          <w:rFonts w:ascii="Barlow Semi Condensed" w:cs="Barlow Semi Condensed" w:eastAsia="Barlow Semi Condensed" w:hAnsi="Barlow Semi Condensed"/>
          <w:sz w:val="24"/>
          <w:szCs w:val="24"/>
        </w:rPr>
        <w:t xml:space="preserve"> Nessuno dei sei atti del blocco 282 tocca un archivio statunitense: perizia balistica di sintesi, catena documentale di Gradoli, dossier Montalcini, visure del condominio, avvio dello spoglio del fondo Renzi, registro delle segnalazioni sui tre calibri. Nel suo anno più operoso il territorio guarda soltanto carte italiane. Si verbalizza come struttura del piano di lavoro, non come reticenza: dove il caso lavora, questo nome non ha materia.</w:t>
      </w:r>
    </w:p>
    <w:p>
      <w:pPr>
        <w:spacing w:after="120" w:line="276"/>
        <w:jc w:val="both"/>
      </w:pPr>
      <w:r>
        <w:rPr>
          <w:rFonts w:ascii="Barlow Semi Condensed" w:cs="Barlow Semi Condensed" w:eastAsia="Barlow Semi Condensed" w:hAnsi="Barlow Semi Condensed"/>
          <w:b/>
          <w:bCs/>
          <w:sz w:val="24"/>
          <w:szCs w:val="24"/>
        </w:rPr>
        <w:t xml:space="preserve">3337 · Il triennio e la tavola americana.</w:t>
      </w:r>
      <w:r>
        <w:rPr>
          <w:rFonts w:ascii="Barlow Semi Condensed" w:cs="Barlow Semi Condensed" w:eastAsia="Barlow Semi Condensed" w:hAnsi="Barlow Semi Condensed"/>
          <w:sz w:val="24"/>
          <w:szCs w:val="24"/>
        </w:rPr>
        <w:t xml:space="preserve"> Fra gli atti del triennio il blocco 283 elenca la tavola rilasciato/trattenuto del traffico alleato, blocchi 115-118: unico punto del cronoprogramma in cui un archivio statunitense entra come giacimento. Quesito da portarvi: interrogare l'Access to Archival Databases del NARA per TAGS PINT e IT sulla finestra 16 marzo-31 dicembre 1978, e verificare se il nome vi compaia e con quale funzione.</w:t>
      </w:r>
    </w:p>
    <w:p>
      <w:pPr>
        <w:spacing w:after="120" w:line="276"/>
        <w:jc w:val="both"/>
      </w:pPr>
      <w:r>
        <w:rPr>
          <w:rFonts w:ascii="Barlow Semi Condensed" w:cs="Barlow Semi Condensed" w:eastAsia="Barlow Semi Condensed" w:hAnsi="Barlow Semi Condensed"/>
          <w:b/>
          <w:bCs/>
          <w:sz w:val="24"/>
          <w:szCs w:val="24"/>
        </w:rPr>
        <w:t xml:space="preserve">3338 · Gli atti a scadenza altrui.</w:t>
      </w:r>
      <w:r>
        <w:rPr>
          <w:rFonts w:ascii="Barlow Semi Condensed" w:cs="Barlow Semi Condensed" w:eastAsia="Barlow Semi Condensed" w:hAnsi="Barlow Semi Condensed"/>
          <w:sz w:val="24"/>
          <w:szCs w:val="24"/>
        </w:rPr>
        <w:t xml:space="preserve"> Tenere pronti gli atti che dipendono da calendari non nostri è la funzione del blocco 284, che nomina l'apertura dell'Archivio Apostolico Vaticano per Paolo VI. Ve ne va aggiunto uno: il regime di consultabilità delle carte private del personaggio, presso la Manuscript Division della Library of Congress e presso Manuscripts and Archives della Yale University Library. Quesito preliminare: quali termini, quale strumento di corredo, quale procedura d'istanza.</w:t>
      </w:r>
    </w:p>
    <w:p>
      <w:pPr>
        <w:spacing w:after="120" w:line="276"/>
        <w:jc w:val="both"/>
      </w:pPr>
      <w:r>
        <w:rPr>
          <w:rFonts w:ascii="Barlow Semi Condensed" w:cs="Barlow Semi Condensed" w:eastAsia="Barlow Semi Condensed" w:hAnsi="Barlow Semi Condensed"/>
          <w:b/>
          <w:bCs/>
          <w:sz w:val="24"/>
          <w:szCs w:val="24"/>
        </w:rPr>
        <w:t xml:space="preserve">3339 · Nessun giudizio prima della tavola.</w:t>
      </w:r>
      <w:r>
        <w:rPr>
          <w:rFonts w:ascii="Barlow Semi Condensed" w:cs="Barlow Semi Condensed" w:eastAsia="Barlow Semi Condensed" w:hAnsi="Barlow Semi Condensed"/>
          <w:sz w:val="24"/>
          <w:szCs w:val="24"/>
        </w:rPr>
        <w:t xml:space="preserve"> «Nessuna lettura del condominio prima delle date» è la formula del blocco 285. Tradotta su questo territorio: nessun giudizio sul peso di una posizione statunitense prima della tavola dei documenti che la esprimono, e nessuna tavola prima dell'interrogazione sistematica dei database di rilascio. Il diagramma delle dipendenze, che il blocco vuole agli atti, collochi la questione dopo il censimento e mai prima di esso.</w:t>
      </w:r>
    </w:p>
    <w:p>
      <w:pPr>
        <w:spacing w:after="120" w:line="276"/>
        <w:jc w:val="both"/>
      </w:pPr>
      <w:r>
        <w:rPr>
          <w:rFonts w:ascii="Barlow Semi Condensed" w:cs="Barlow Semi Condensed" w:eastAsia="Barlow Semi Condensed" w:hAnsi="Barlow Semi Condensed"/>
          <w:b/>
          <w:bCs/>
          <w:sz w:val="24"/>
          <w:szCs w:val="24"/>
        </w:rPr>
        <w:t xml:space="preserve">3340 · Quando fermarsi su questo nome.</w:t>
      </w:r>
      <w:r>
        <w:rPr>
          <w:rFonts w:ascii="Barlow Semi Condensed" w:cs="Barlow Semi Condensed" w:eastAsia="Barlow Semi Condensed" w:hAnsi="Barlow Semi Condensed"/>
          <w:sz w:val="24"/>
          <w:szCs w:val="24"/>
        </w:rPr>
        <w:t xml:space="preserve"> Tre condizioni chiudono una pista secondo il blocco 286: evidenza discriminante acquisita, fondo esaurito con certificazione, catena di custodia dichiarata insufficiente. Per il nesso ipotizzato fra questo nome e la catena di comando del sequestro la seconda è maturata solo in parte, perché la Fase sesta lo dichiara cercato e non trovato ma non fondo per fondo. La certificazione analitica è l'atto che resta.</w:t>
      </w:r>
    </w:p>
    <w:p>
      <w:pPr>
        <w:spacing w:after="120" w:line="276"/>
        <w:jc w:val="both"/>
      </w:pPr>
      <w:r>
        <w:rPr>
          <w:rFonts w:ascii="Barlow Semi Condensed" w:cs="Barlow Semi Condensed" w:eastAsia="Barlow Semi Condensed" w:hAnsi="Barlow Semi Condensed"/>
          <w:b/>
          <w:bCs/>
          <w:sz w:val="24"/>
          <w:szCs w:val="24"/>
        </w:rPr>
        <w:t xml:space="preserve">3341 · Un punteggio che non esiste.</w:t>
      </w:r>
      <w:r>
        <w:rPr>
          <w:rFonts w:ascii="Barlow Semi Condensed" w:cs="Barlow Semi Condensed" w:eastAsia="Barlow Semi Condensed" w:hAnsi="Barlow Semi Condensed"/>
          <w:sz w:val="24"/>
          <w:szCs w:val="24"/>
        </w:rPr>
        <w:t xml:space="preserve"> La graduatoria si ricalcola ogni trimestre col modello dichiarato di criteri e pesi, blocco 287. Nessuna delle sedici piste della serie quattordicesima annovera questo nome fra i propri criteri, e nessuna riceverebbe punti dal suo ingresso, perché il modello pesa rendimento, fattibilità, urgenza e impatto documentale, non notorietà del nodo. È la traduzione aritmetica del divieto che il blocco 361 oppone al bias di disponibilità.</w:t>
      </w:r>
    </w:p>
    <w:p>
      <w:pPr>
        <w:spacing w:after="120" w:line="276"/>
        <w:jc w:val="both"/>
      </w:pPr>
      <w:r>
        <w:rPr>
          <w:rFonts w:ascii="Barlow Semi Condensed" w:cs="Barlow Semi Condensed" w:eastAsia="Barlow Semi Condensed" w:hAnsi="Barlow Semi Condensed"/>
          <w:b/>
          <w:bCs/>
          <w:sz w:val="24"/>
          <w:szCs w:val="24"/>
        </w:rPr>
        <w:t xml:space="preserve">3342 · La soglia e la persona morta.</w:t>
      </w:r>
      <w:r>
        <w:rPr>
          <w:rFonts w:ascii="Barlow Semi Condensed" w:cs="Barlow Semi Condensed" w:eastAsia="Barlow Semi Condensed" w:hAnsi="Barlow Semi Condensed"/>
          <w:sz w:val="24"/>
          <w:szCs w:val="24"/>
        </w:rPr>
        <w:t xml:space="preserve"> Tutto si ferma, secondo il blocco 291, quando un atto produce evidenza che tocchi persone, e il materiale passa al fascicolo. Regola di lettura per questo territorio: la morte del 29 novembre 2023 estingue ogni eventuale azione penale ma non sposta di un grado il valore documentale di un ritrovamento. Un documento andrebbe consegnato ugualmente, e la qualificazione resterebbe dell'autorità giudiziaria, non degli storici che lo hanno rinvenuto.</w:t>
      </w:r>
    </w:p>
    <w:p>
      <w:pPr>
        <w:spacing w:after="120" w:line="276"/>
        <w:jc w:val="both"/>
      </w:pPr>
      <w:r>
        <w:rPr>
          <w:rFonts w:ascii="Barlow Semi Condensed" w:cs="Barlow Semi Condensed" w:eastAsia="Barlow Semi Condensed" w:hAnsi="Barlow Semi Condensed"/>
          <w:b/>
          <w:bCs/>
          <w:sz w:val="24"/>
          <w:szCs w:val="24"/>
        </w:rPr>
        <w:t xml:space="preserve">3343 · L'esito senza rilievo penale.</w:t>
      </w:r>
      <w:r>
        <w:rPr>
          <w:rFonts w:ascii="Barlow Semi Condensed" w:cs="Barlow Semi Condensed" w:eastAsia="Barlow Semi Condensed" w:hAnsi="Barlow Semi Condensed"/>
          <w:sz w:val="24"/>
          <w:szCs w:val="24"/>
        </w:rPr>
        <w:t xml:space="preserve"> Chiudere una questione sul piano documentale senza rilievo penale è la soglia storica del blocco 292: l'esito entra nel corpus con grado e fonti, e la pista si archivia con criterio di riapertura. Per l'episodio dell'avvertimento la soglia è stata varcata due volte, con l'accertamento sul contenuto del verbale del 25 settembre 1974 e con l'annotazione della smentita. Criterio di riapertura: un documento coevo, con provenienza.</w:t>
      </w:r>
    </w:p>
    <w:p>
      <w:pPr>
        <w:spacing w:after="120" w:line="276"/>
        <w:jc w:val="both"/>
      </w:pPr>
      <w:r>
        <w:rPr>
          <w:rFonts w:ascii="Barlow Semi Condensed" w:cs="Barlow Semi Condensed" w:eastAsia="Barlow Semi Condensed" w:hAnsi="Barlow Semi Condensed"/>
          <w:b/>
          <w:bCs/>
          <w:sz w:val="24"/>
          <w:szCs w:val="24"/>
        </w:rPr>
        <w:t xml:space="preserve">3344 · Contare carte, non centri.</w:t>
      </w:r>
      <w:r>
        <w:rPr>
          <w:rFonts w:ascii="Barlow Semi Condensed" w:cs="Barlow Semi Condensed" w:eastAsia="Barlow Semi Condensed" w:hAnsi="Barlow Semi Condensed"/>
          <w:sz w:val="24"/>
          <w:szCs w:val="24"/>
        </w:rPr>
        <w:t xml:space="preserve"> Il successo si misura in carte e non in colpevoli, blocco 294. Applicato qui, l'esito eccellente della triangolazione è una tavola di fondi interrogati con esito nullo, non un ponte. La densità documentale attorno a un nome misura quanto se n'è scritto, non quanto ha pesato: l'avvertenza che il blocco 302 vuole stampata nell'interfaccia del grafo vale in questo territorio più che altrove.</w:t>
      </w:r>
    </w:p>
    <w:p>
      <w:pPr>
        <w:spacing w:after="120" w:line="276"/>
        <w:jc w:val="both"/>
      </w:pPr>
      <w:r>
        <w:rPr>
          <w:rFonts w:ascii="Barlow Semi Condensed" w:cs="Barlow Semi Condensed" w:eastAsia="Barlow Semi Condensed" w:hAnsi="Barlow Semi Condensed"/>
          <w:b/>
          <w:bCs/>
          <w:sz w:val="24"/>
          <w:szCs w:val="24"/>
        </w:rPr>
        <w:t xml:space="preserve">3345 · L'anniversario e lo stato documentale.</w:t>
      </w:r>
      <w:r>
        <w:rPr>
          <w:rFonts w:ascii="Barlow Semi Condensed" w:cs="Barlow Semi Condensed" w:eastAsia="Barlow Semi Condensed" w:hAnsi="Barlow Semi Condensed"/>
          <w:sz w:val="24"/>
          <w:szCs w:val="24"/>
        </w:rPr>
        <w:t xml:space="preserve"> Ogni anniversario riceve dai cantieri una sola cosa, stabilisce il blocco 297: lo stato documentale del caso, che cosa si è chiuso e che cosa resta aperto, con che grado. Per questo nodo lo stato è scrivibile oggi in quattro righe — testimonianza contestata, de relato, data divergente, smentita annotata, nessun documento — e non muterà finché un fondo non parlerà. Consegnare quelle righe è meglio del silenzio.</w:t>
      </w:r>
    </w:p>
    <w:p>
      <w:pPr>
        <w:spacing w:after="120" w:line="276"/>
        <w:jc w:val="both"/>
      </w:pPr>
      <w:r>
        <w:rPr>
          <w:rFonts w:ascii="Barlow Semi Condensed" w:cs="Barlow Semi Condensed" w:eastAsia="Barlow Semi Condensed" w:hAnsi="Barlow Semi Condensed"/>
          <w:b/>
          <w:bCs/>
          <w:sz w:val="24"/>
          <w:szCs w:val="24"/>
        </w:rPr>
        <w:t xml:space="preserve">3346 · Un identificativo per un assente.</w:t>
      </w:r>
      <w:r>
        <w:rPr>
          <w:rFonts w:ascii="Barlow Semi Condensed" w:cs="Barlow Semi Condensed" w:eastAsia="Barlow Semi Condensed" w:hAnsi="Barlow Semi Condensed"/>
          <w:sz w:val="24"/>
          <w:szCs w:val="24"/>
        </w:rPr>
        <w:t xml:space="preserve"> La banca dati del blocco 301 assegna a ogni entità un identificativo stabile e a ogni asserzione il suo grado con la sua fonte. Questo nome vi entra come persona con due sole asserzioni di grado alto, l'anagrafe e gli incarichi, e con una asserzione contesa, l'episodio riferito. Il resto sono archi verso cornici e non verso atti: la scheda deve mostrarlo a colpo d'occhio.</w:t>
      </w:r>
    </w:p>
    <w:p>
      <w:pPr>
        <w:spacing w:after="120" w:line="276"/>
        <w:jc w:val="both"/>
      </w:pPr>
      <w:r>
        <w:rPr>
          <w:rFonts w:ascii="Barlow Semi Condensed" w:cs="Barlow Semi Condensed" w:eastAsia="Barlow Semi Condensed" w:hAnsi="Barlow Semi Condensed"/>
          <w:b/>
          <w:bCs/>
          <w:sz w:val="24"/>
          <w:szCs w:val="24"/>
        </w:rPr>
        <w:t xml:space="preserve">3347 · La centralità non è il peso.</w:t>
      </w:r>
      <w:r>
        <w:rPr>
          <w:rFonts w:ascii="Barlow Semi Condensed" w:cs="Barlow Semi Condensed" w:eastAsia="Barlow Semi Condensed" w:hAnsi="Barlow Semi Condensed"/>
          <w:sz w:val="24"/>
          <w:szCs w:val="24"/>
        </w:rPr>
        <w:t xml:space="preserve"> Il grafo operativo del blocco 302 ricalcola centralità, cammini e buchi a ogni versamento, con l'avvertenza stampata nell'interfaccia: le metriche misurano documenti, non colpe. Un nodo tanto citato gonfierebbe ogni misura. Va perciò affiancato il conteggio degli archi di piano 1: verso la persona di Aldo Moro ne esiste uno, il memorandum del 25 settembre 1974; verso il sequestro e la sua catena, nessuno.</w:t>
      </w:r>
    </w:p>
    <w:p>
      <w:pPr>
        <w:spacing w:after="120" w:line="276"/>
        <w:jc w:val="both"/>
      </w:pPr>
      <w:r>
        <w:rPr>
          <w:rFonts w:ascii="Barlow Semi Condensed" w:cs="Barlow Semi Condensed" w:eastAsia="Barlow Semi Condensed" w:hAnsi="Barlow Semi Condensed"/>
          <w:b/>
          <w:bCs/>
          <w:sz w:val="24"/>
          <w:szCs w:val="24"/>
        </w:rPr>
        <w:t xml:space="preserve">3348 · Numeri che non devono cambiare.</w:t>
      </w:r>
      <w:r>
        <w:rPr>
          <w:rFonts w:ascii="Barlow Semi Condensed" w:cs="Barlow Semi Condensed" w:eastAsia="Barlow Semi Condensed" w:hAnsi="Barlow Semi Condensed"/>
          <w:sz w:val="24"/>
          <w:szCs w:val="24"/>
        </w:rPr>
        <w:t xml:space="preserve"> Identificativi che non cambieranno mai, chiede il blocco 303, perché le citazioni fra atti li adoperino. Per questo territorio i candidati esistono già e vanno congelati: documento 350 del volume FRUS 1969-1976 E-15 parte 2 in seconda edizione riveduta, file 1552802 e file 1552806 della Ford Library. La precisazione sull'edizione è parte dell'identificativo: senza di essa la citazione punta a un testo diverso.</w:t>
      </w:r>
    </w:p>
    <w:p>
      <w:pPr>
        <w:spacing w:after="120" w:line="276"/>
        <w:jc w:val="both"/>
      </w:pPr>
      <w:r>
        <w:rPr>
          <w:rFonts w:ascii="Barlow Semi Condensed" w:cs="Barlow Semi Condensed" w:eastAsia="Barlow Semi Condensed" w:hAnsi="Barlow Semi Condensed"/>
          <w:b/>
          <w:bCs/>
          <w:sz w:val="24"/>
          <w:szCs w:val="24"/>
        </w:rPr>
        <w:t xml:space="preserve">3349 · Una data con barra d'incertezza.</w:t>
      </w:r>
      <w:r>
        <w:rPr>
          <w:rFonts w:ascii="Barlow Semi Condensed" w:cs="Barlow Semi Condensed" w:eastAsia="Barlow Semi Condensed" w:hAnsi="Barlow Semi Condensed"/>
          <w:sz w:val="24"/>
          <w:szCs w:val="24"/>
        </w:rPr>
        <w:t xml:space="preserve"> La cronologia strutturata del blocco 304 vuole data, ora dove nota, evento, fonte, grado. L'episodio contestato vi entra come record con intervallo aperto fra 1974 e 1977 e tre luoghi alternativi — Studio Ovale, cena ufficiale, ambasciata d'Italia a Washington — non come riga ferma al 25 settembre. Vi si registri anche la divergenza sulla durata della visita di Stato: 25-29 negli atti presidenziali, 25-27 nella nota FRUS.</w:t>
      </w:r>
    </w:p>
    <w:p>
      <w:pPr>
        <w:spacing w:after="120" w:line="276"/>
        <w:jc w:val="both"/>
      </w:pPr>
      <w:r>
        <w:rPr>
          <w:rFonts w:ascii="Barlow Semi Condensed" w:cs="Barlow Semi Condensed" w:eastAsia="Barlow Semi Condensed" w:hAnsi="Barlow Semi Condensed"/>
          <w:b/>
          <w:bCs/>
          <w:sz w:val="24"/>
          <w:szCs w:val="24"/>
        </w:rPr>
        <w:t xml:space="preserve">3350 · La lezione del numero incerto.</w:t>
      </w:r>
      <w:r>
        <w:rPr>
          <w:rFonts w:ascii="Barlow Semi Condensed" w:cs="Barlow Semi Condensed" w:eastAsia="Barlow Semi Condensed" w:hAnsi="Barlow Semi Condensed"/>
          <w:sz w:val="24"/>
          <w:szCs w:val="24"/>
        </w:rPr>
        <w:t xml:space="preserve"> Il caso R-2021-002xx insegna, al blocco 306, che le letture automatiche divergono e che la divergenza si dichiara nel dato: 00202 o 00208, e l'istanza porta entrambe le letture. Lo stesso trattamento spetta alle divergenze di questo dossier — 10 o 15 novembre 1982 per l'udienza romana, 1° o 11 agosto 1980 per l'audizione parlamentare — che restano nel campo e non si risolvono d'ufficio.</w:t>
      </w:r>
    </w:p>
    <w:p>
      <w:pPr>
        <w:spacing w:after="120" w:line="276"/>
        <w:jc w:val="both"/>
      </w:pPr>
      <w:r>
        <w:rPr>
          <w:rFonts w:ascii="Barlow Semi Condensed" w:cs="Barlow Semi Condensed" w:eastAsia="Barlow Semi Condensed" w:hAnsi="Barlow Semi Condensed"/>
          <w:b/>
          <w:bCs/>
          <w:sz w:val="24"/>
          <w:szCs w:val="24"/>
        </w:rPr>
        <w:t xml:space="preserve">3351 · Omonimie e collegamenti automatici.</w:t>
      </w:r>
      <w:r>
        <w:rPr>
          <w:rFonts w:ascii="Barlow Semi Condensed" w:cs="Barlow Semi Condensed" w:eastAsia="Barlow Semi Condensed" w:hAnsi="Barlow Semi Condensed"/>
          <w:sz w:val="24"/>
          <w:szCs w:val="24"/>
        </w:rPr>
        <w:t xml:space="preserve"> Il collegamento automatico dei nomi è proposto dalla macchina e confermato da un operatore, blocco 307, perché un omonimo collegato male è una diffamazione in potenza. Su questo cognome il rischio è inverso e più insidioso: l'aggregazione, cioè l'attrazione verso un unico nodo celebre di ogni occorrenza generica di «Segretario di Stato», «Washington», «amministrazione americana». Ogni arco esige il documento che nomini la persona.</w:t>
      </w:r>
    </w:p>
    <w:p>
      <w:pPr>
        <w:spacing w:after="120" w:line="276"/>
        <w:jc w:val="both"/>
      </w:pPr>
      <w:r>
        <w:rPr>
          <w:rFonts w:ascii="Barlow Semi Condensed" w:cs="Barlow Semi Condensed" w:eastAsia="Barlow Semi Condensed" w:hAnsi="Barlow Semi Condensed"/>
          <w:b/>
          <w:bCs/>
          <w:sz w:val="24"/>
          <w:szCs w:val="24"/>
        </w:rPr>
        <w:t xml:space="preserve">3352 · Una chiave in più per lo spoglio.</w:t>
      </w:r>
      <w:r>
        <w:rPr>
          <w:rFonts w:ascii="Barlow Semi Condensed" w:cs="Barlow Semi Condensed" w:eastAsia="Barlow Semi Condensed" w:hAnsi="Barlow Semi Condensed"/>
          <w:sz w:val="24"/>
          <w:szCs w:val="24"/>
        </w:rPr>
        <w:t xml:space="preserve"> Le chiavi minime dello spoglio del fondo Renzi, blocco 93, sono via Fani, Gradoli, Montalcini, Duchessa, i comitati, le segnalazioni, il memoriale, i nomi del registro e le date-cardine. Questo nome non vi figura. Proposta al blocco 308: aggiungerlo come chiave secondaria del text mining, con l'avvertenza che gli esiti restano candidati di ricerca e generano schede da verificare sulla carta.</w:t>
      </w:r>
    </w:p>
    <w:p>
      <w:pPr>
        <w:spacing w:after="120" w:line="276"/>
        <w:jc w:val="both"/>
      </w:pPr>
      <w:r>
        <w:rPr>
          <w:rFonts w:ascii="Barlow Semi Condensed" w:cs="Barlow Semi Condensed" w:eastAsia="Barlow Semi Condensed" w:hAnsi="Barlow Semi Condensed"/>
          <w:b/>
          <w:bCs/>
          <w:sz w:val="24"/>
          <w:szCs w:val="24"/>
        </w:rPr>
        <w:t xml:space="preserve">3353 · La voce che non fu registrata.</w:t>
      </w:r>
      <w:r>
        <w:rPr>
          <w:rFonts w:ascii="Barlow Semi Condensed" w:cs="Barlow Semi Condensed" w:eastAsia="Barlow Semi Condensed" w:hAnsi="Barlow Semi Condensed"/>
          <w:sz w:val="24"/>
          <w:szCs w:val="24"/>
        </w:rPr>
        <w:t xml:space="preserve"> Nessun contenuto generato entra negli atti come rappresentazione del reale: blocco 310. Il divieto ha qui un bersaglio prossimo e concreto, perché la ricostruzione sintetica di un colloquio del 1974 mai registrato, in voce o in immagine, è tecnicamente banale e documentalmente nulla. Se la divulgazione ne producesse una, il registro delle segnalazioni la scheda come oggetto di circolazione e mai come reperto.</w:t>
      </w:r>
    </w:p>
    <w:p>
      <w:pPr>
        <w:spacing w:after="120" w:line="276"/>
        <w:jc w:val="both"/>
      </w:pPr>
      <w:r>
        <w:rPr>
          <w:rFonts w:ascii="Barlow Semi Condensed" w:cs="Barlow Semi Condensed" w:eastAsia="Barlow Semi Condensed" w:hAnsi="Barlow Semi Condensed"/>
          <w:b/>
          <w:bCs/>
          <w:sz w:val="24"/>
          <w:szCs w:val="24"/>
        </w:rPr>
        <w:t xml:space="preserve">3354 · Pubblicare anche il nulla trovato.</w:t>
      </w:r>
      <w:r>
        <w:rPr>
          <w:rFonts w:ascii="Barlow Semi Condensed" w:cs="Barlow Semi Condensed" w:eastAsia="Barlow Semi Condensed" w:hAnsi="Barlow Semi Condensed"/>
          <w:sz w:val="24"/>
          <w:szCs w:val="24"/>
        </w:rPr>
        <w:t xml:space="preserve"> Le tavole prodotte si pubblicano come dati aperti riutilizzabili, blocco 314, perché la verifica altrui è un diritto e non una concessione. La tavola che questa serie raccomanda è quella dei fondi interrogati su questo nome con l'esito di ciascuno, inclusi i nulla: NARA AAD, FOIA Library, fondo Direttiva Renzi, atti delle commissioni, Archivio storico del Senato. Un elenco di esiti nulli è un dato.</w:t>
      </w:r>
    </w:p>
    <w:p>
      <w:pPr>
        <w:spacing w:after="120" w:line="276"/>
        <w:jc w:val="both"/>
      </w:pPr>
      <w:r>
        <w:rPr>
          <w:rFonts w:ascii="Barlow Semi Condensed" w:cs="Barlow Semi Condensed" w:eastAsia="Barlow Semi Condensed" w:hAnsi="Barlow Semi Condensed"/>
          <w:b/>
          <w:bCs/>
          <w:sz w:val="24"/>
          <w:szCs w:val="24"/>
        </w:rPr>
        <w:t xml:space="preserve">3355 · Lo script che conta le riprese.</w:t>
      </w:r>
      <w:r>
        <w:rPr>
          <w:rFonts w:ascii="Barlow Semi Condensed" w:cs="Barlow Semi Condensed" w:eastAsia="Barlow Semi Condensed" w:hAnsi="Barlow Semi Condensed"/>
          <w:sz w:val="24"/>
          <w:szCs w:val="24"/>
        </w:rPr>
        <w:t xml:space="preserve"> Accanto a ogni numero pubblicato deve stare lo script che lo genera, vuole il blocco 319, e il 320 esclude dagli atti ciò che terzi non riproducono col codice depositato. L'affermazione sulla moltiplicazione apparente è verificabile proprio così: ricostruzione datata dell'albero di diffusione a partire dal lancio del 30 novembre 2023. Bersaglio di smentita: una ripresa anteriore e non derivata, con fonte propria dichiarata.</w:t>
      </w:r>
    </w:p>
    <w:p>
      <w:pPr>
        <w:spacing w:after="120" w:line="276"/>
        <w:jc w:val="both"/>
      </w:pPr>
      <w:r>
        <w:rPr>
          <w:rFonts w:ascii="Barlow Semi Condensed" w:cs="Barlow Semi Condensed" w:eastAsia="Barlow Semi Condensed" w:hAnsi="Barlow Semi Condensed"/>
          <w:b/>
          <w:bCs/>
          <w:sz w:val="24"/>
          <w:szCs w:val="24"/>
        </w:rPr>
        <w:t xml:space="preserve">3356 · Gli stenografici da riacquisire.</w:t>
      </w:r>
      <w:r>
        <w:rPr>
          <w:rFonts w:ascii="Barlow Semi Condensed" w:cs="Barlow Semi Condensed" w:eastAsia="Barlow Semi Condensed" w:hAnsi="Barlow Semi Condensed"/>
          <w:sz w:val="24"/>
          <w:szCs w:val="24"/>
        </w:rPr>
        <w:t xml:space="preserve"> Il limite dichiarato nell'apparato K-5 è che la campagna non ha letto i testi primari: né i resoconti stenografici della Commissione d'inchiesta, VIII legislatura, Doc. XXIII, né i verbali d'udienza della Corte d'assise di Roma. Il blocco 305 indica la via — digitalizzazione, riconoscimento ottico, collegamento all'immagine della carta. Sedi che chiuderebbero la lacuna: Archivio storico del Senato, blocco 99, e la cancelleria della corte.</w:t>
      </w:r>
    </w:p>
    <w:p>
      <w:pPr>
        <w:spacing w:after="120" w:line="276"/>
        <w:jc w:val="both"/>
      </w:pPr>
      <w:r>
        <w:rPr>
          <w:rFonts w:ascii="Barlow Semi Condensed" w:cs="Barlow Semi Condensed" w:eastAsia="Barlow Semi Condensed" w:hAnsi="Barlow Semi Condensed"/>
          <w:b/>
          <w:bCs/>
          <w:sz w:val="24"/>
          <w:szCs w:val="24"/>
        </w:rPr>
        <w:t xml:space="preserve">3357 · Quale norma governa uno straniero.</w:t>
      </w:r>
      <w:r>
        <w:rPr>
          <w:rFonts w:ascii="Barlow Semi Condensed" w:cs="Barlow Semi Condensed" w:eastAsia="Barlow Semi Condensed" w:hAnsi="Barlow Semi Condensed"/>
          <w:sz w:val="24"/>
          <w:szCs w:val="24"/>
        </w:rPr>
        <w:t xml:space="preserve"> La tavola delle norme del blocco 331 assegna a ciascuna disciplina la sede che la applica. Per questo territorio la casella rilevante è una sola, la cooperazione giudiziaria internazionale, e la sede è il Ministero della Giustizia su impulso dell'autorità richiedente. Va compilata anche quando l'esito è nullo: una casella vuota nella mappa normativa è un'informazione, una casella assente è un'omissione di metodo.</w:t>
      </w:r>
    </w:p>
    <w:p>
      <w:pPr>
        <w:spacing w:after="120" w:line="276"/>
        <w:jc w:val="both"/>
      </w:pPr>
      <w:r>
        <w:rPr>
          <w:rFonts w:ascii="Barlow Semi Condensed" w:cs="Barlow Semi Condensed" w:eastAsia="Barlow Semi Condensed" w:hAnsi="Barlow Semi Condensed"/>
          <w:b/>
          <w:bCs/>
          <w:sz w:val="24"/>
          <w:szCs w:val="24"/>
        </w:rPr>
        <w:t xml:space="preserve">3358 · L'imprescrittibilità non crea soggetti.</w:t>
      </w:r>
      <w:r>
        <w:rPr>
          <w:rFonts w:ascii="Barlow Semi Condensed" w:cs="Barlow Semi Condensed" w:eastAsia="Barlow Semi Condensed" w:hAnsi="Barlow Semi Condensed"/>
          <w:sz w:val="24"/>
          <w:szCs w:val="24"/>
        </w:rPr>
        <w:t xml:space="preserve"> Sull'imprescrittibilità dei delitti puniti con la pena perpetua il blocco 332 fonda l'intero manuale: il fascicolo del caso non ha orologio. Regola di lettura da fissare qui: l'imprescrittibilità riguarda il fatto, non genera indagati e non trasforma un'ipotesi storiografica in posizione processuale. Nessuna persona entra nel fascicolo perché il fascicolo è aperto; vi entra se un atto documentale la nomina.</w:t>
      </w:r>
    </w:p>
    <w:p>
      <w:pPr>
        <w:spacing w:after="120" w:line="276"/>
        <w:jc w:val="both"/>
      </w:pPr>
      <w:r>
        <w:rPr>
          <w:rFonts w:ascii="Barlow Semi Condensed" w:cs="Barlow Semi Condensed" w:eastAsia="Barlow Semi Condensed" w:hAnsi="Barlow Semi Condensed"/>
          <w:b/>
          <w:bCs/>
          <w:sz w:val="24"/>
          <w:szCs w:val="24"/>
        </w:rPr>
        <w:t xml:space="preserve">3359 · Che cosa sarebbe prova nuova.</w:t>
      </w:r>
      <w:r>
        <w:rPr>
          <w:rFonts w:ascii="Barlow Semi Condensed" w:cs="Barlow Semi Condensed" w:eastAsia="Barlow Semi Condensed" w:hAnsi="Barlow Semi Condensed"/>
          <w:sz w:val="24"/>
          <w:szCs w:val="24"/>
        </w:rPr>
        <w:t xml:space="preserve"> Le posizioni archiviate si riaprono per elementi nuovi nelle forme del codice, blocco 333. Per il versante internazionale l'elemento nuovo ha una forma dichiarabile in anticipo, ed è bene dichiararla: un documento coevo, di provenienza accertata, che nomini insieme una persona statunitense e un atto della catena del sequestro. Nessuna dichiarazione postuma, per quanto autorevole o clamorosa, soddisfa quella descrizione.</w:t>
      </w:r>
    </w:p>
    <w:p>
      <w:pPr>
        <w:spacing w:after="120" w:line="276"/>
        <w:jc w:val="both"/>
      </w:pPr>
      <w:r>
        <w:rPr>
          <w:rFonts w:ascii="Barlow Semi Condensed" w:cs="Barlow Semi Condensed" w:eastAsia="Barlow Semi Condensed" w:hAnsi="Barlow Semi Condensed"/>
          <w:b/>
          <w:bCs/>
          <w:sz w:val="24"/>
          <w:szCs w:val="24"/>
        </w:rPr>
        <w:t xml:space="preserve">3360 · Il segreto ha un titolare italiano.</w:t>
      </w:r>
      <w:r>
        <w:rPr>
          <w:rFonts w:ascii="Barlow Semi Condensed" w:cs="Barlow Semi Condensed" w:eastAsia="Barlow Semi Condensed" w:hAnsi="Barlow Semi Condensed"/>
          <w:sz w:val="24"/>
          <w:szCs w:val="24"/>
        </w:rPr>
        <w:t xml:space="preserve"> Il segreto è un istituto e non una nebbia, insegna il blocco 335: chi lo appose, quando scade, quale procedura di verifica è esperibile. Il 336 aggiunge il limite costituzionale sui fatti eversivi dell'ordine democratico. Entrambi valgono per atti italiani soltanto: la classificazione statunitense non è segreto di Stato italiano e si tratta col regime del blocco 119, cioè la regola dell'originatore.</w:t>
      </w:r>
    </w:p>
    <w:p>
      <w:pPr>
        <w:spacing w:after="120" w:line="276"/>
        <w:jc w:val="both"/>
      </w:pPr>
      <w:r>
        <w:rPr>
          <w:rFonts w:ascii="Barlow Semi Condensed" w:cs="Barlow Semi Condensed" w:eastAsia="Barlow Semi Condensed" w:hAnsi="Barlow Semi Condensed"/>
          <w:b/>
          <w:bCs/>
          <w:sz w:val="24"/>
          <w:szCs w:val="24"/>
        </w:rPr>
        <w:t xml:space="preserve">3361 · L'elenco esatto contro l'appello generico.</w:t>
      </w:r>
      <w:r>
        <w:rPr>
          <w:rFonts w:ascii="Barlow Semi Condensed" w:cs="Barlow Semi Condensed" w:eastAsia="Barlow Semi Condensed" w:hAnsi="Barlow Semi Condensed"/>
          <w:sz w:val="24"/>
          <w:szCs w:val="24"/>
        </w:rPr>
        <w:t xml:space="preserve"> Proposta formale con l'elenco esatto degli atti, non l'ennesimo appello alla desecretazione: così il blocco 242, mentre il 339 prevede istanze puntuali di declassifica. Applicazione: se una richiesta di consenso all'originatore riguardasse atti che nominano questo personaggio, l'istanza li elenchi per identificativo di serie. La cifra circolante dei circa 474 atti di origine alleata va verificata su atto prima di ogni uso.</w:t>
      </w:r>
    </w:p>
    <w:p>
      <w:pPr>
        <w:spacing w:after="120" w:line="276"/>
        <w:jc w:val="both"/>
      </w:pPr>
      <w:r>
        <w:rPr>
          <w:rFonts w:ascii="Barlow Semi Condensed" w:cs="Barlow Semi Condensed" w:eastAsia="Barlow Semi Condensed" w:hAnsi="Barlow Semi Condensed"/>
          <w:b/>
          <w:bCs/>
          <w:sz w:val="24"/>
          <w:szCs w:val="24"/>
        </w:rPr>
        <w:t xml:space="preserve">3362 · La rogatoria che non risulta.</w:t>
      </w:r>
      <w:r>
        <w:rPr>
          <w:rFonts w:ascii="Barlow Semi Condensed" w:cs="Barlow Semi Condensed" w:eastAsia="Barlow Semi Condensed" w:hAnsi="Barlow Semi Condensed"/>
          <w:sz w:val="24"/>
          <w:szCs w:val="24"/>
        </w:rPr>
        <w:t xml:space="preserve"> Gli strumenti di assistenza giudiziaria si attivano dalle autorità competenti su impulso motivato, blocco 342. Stato Zero verbalizzato: nella documentazione del corpus non figura alcuna rogatoria formale diretta a raccogliere questa deposizione, e la richiesta informale del 1983 non ebbe seguito. Sedi che chiuderebbero la lacuna: fascicoli della Procura e della Corte d'assise di Roma, ufficio rogatorie del Ministero della Giustizia.</w:t>
      </w:r>
    </w:p>
    <w:p>
      <w:pPr>
        <w:spacing w:after="120" w:line="276"/>
        <w:jc w:val="both"/>
      </w:pPr>
      <w:r>
        <w:rPr>
          <w:rFonts w:ascii="Barlow Semi Condensed" w:cs="Barlow Semi Condensed" w:eastAsia="Barlow Semi Condensed" w:hAnsi="Barlow Semi Condensed"/>
          <w:b/>
          <w:bCs/>
          <w:sz w:val="24"/>
          <w:szCs w:val="24"/>
        </w:rPr>
        <w:t xml:space="preserve">3363 · Due regimi da non confondere.</w:t>
      </w:r>
      <w:r>
        <w:rPr>
          <w:rFonts w:ascii="Barlow Semi Condensed" w:cs="Barlow Semi Condensed" w:eastAsia="Barlow Semi Condensed" w:hAnsi="Barlow Semi Condensed"/>
          <w:sz w:val="24"/>
          <w:szCs w:val="24"/>
        </w:rPr>
        <w:t xml:space="preserve"> Chi è chiamato dalle autorità ha doveri e garanzie di legge; chi parla ai cantieri storici lo fa volontariamente, con consenso informato scritto. Il blocco 347 vieta di mescolare i due regimi, e l'interlocutore di questo dossier non fu mai nel primo. Le sue risposte a giornalisti stanno nel secondo nella forma più debole — senza verbale, senza contraddittorio — e si citano come dichiarazioni datate.</w:t>
      </w:r>
    </w:p>
    <w:p>
      <w:pPr>
        <w:spacing w:after="120" w:line="276"/>
        <w:jc w:val="both"/>
      </w:pPr>
      <w:r>
        <w:rPr>
          <w:rFonts w:ascii="Barlow Semi Condensed" w:cs="Barlow Semi Condensed" w:eastAsia="Barlow Semi Condensed" w:hAnsi="Barlow Semi Condensed"/>
          <w:b/>
          <w:bCs/>
          <w:sz w:val="24"/>
          <w:szCs w:val="24"/>
        </w:rPr>
        <w:t xml:space="preserve">3364 · La dignità dopo la morte.</w:t>
      </w:r>
      <w:r>
        <w:rPr>
          <w:rFonts w:ascii="Barlow Semi Condensed" w:cs="Barlow Semi Condensed" w:eastAsia="Barlow Semi Condensed" w:hAnsi="Barlow Semi Condensed"/>
          <w:sz w:val="24"/>
          <w:szCs w:val="24"/>
        </w:rPr>
        <w:t xml:space="preserve"> Diritti dei terzi viventi come obbligo, memoria dei defunti come dovere di dignità: così il blocco 340. Il 349 fissa i confini della critica storica in verità putativa, continenza e interesse pubblico, aggiungendo che il grado dichiarato è più esigente della continenza. Su un nome tanto esposto, scrivere «testimonianza contestata» accanto all'episodio non è prudenza giuridica: è esattezza documentale, e non costa nulla.</w:t>
      </w:r>
    </w:p>
    <w:p>
      <w:pPr>
        <w:spacing w:after="120" w:line="276"/>
        <w:jc w:val="both"/>
      </w:pPr>
      <w:r>
        <w:rPr>
          <w:rFonts w:ascii="Barlow Semi Condensed" w:cs="Barlow Semi Condensed" w:eastAsia="Barlow Semi Condensed" w:hAnsi="Barlow Semi Condensed"/>
          <w:b/>
          <w:bCs/>
          <w:sz w:val="24"/>
          <w:szCs w:val="24"/>
        </w:rPr>
        <w:t xml:space="preserve">3365 · Il mercato dei falsi e l'esca.</w:t>
      </w:r>
      <w:r>
        <w:rPr>
          <w:rFonts w:ascii="Barlow Semi Condensed" w:cs="Barlow Semi Condensed" w:eastAsia="Barlow Semi Condensed" w:hAnsi="Barlow Semi Condensed"/>
          <w:sz w:val="24"/>
          <w:szCs w:val="24"/>
        </w:rPr>
        <w:t xml:space="preserve"> Documenti contraffatti offerti ai cantieri si trattano con perizia immediata e, ove rilevante, con denuncia: blocco 351, e il caso ne ha già visti. Questo nodo è un'esca ideale — un appunto d'ambasciata, un memorandum riservato, una nota manoscritta del 1974 — perché il mercato conosce ciò che il pubblico desidera trovare. Ogni offerta si sottopone a perizia prima di essere letta, e la provenienza precede il contenuto.</w:t>
      </w:r>
    </w:p>
    <w:p>
      <w:pPr>
        <w:spacing w:after="120" w:line="276"/>
        <w:jc w:val="both"/>
      </w:pPr>
      <w:r>
        <w:rPr>
          <w:rFonts w:ascii="Barlow Semi Condensed" w:cs="Barlow Semi Condensed" w:eastAsia="Barlow Semi Condensed" w:hAnsi="Barlow Semi Condensed"/>
          <w:b/>
          <w:bCs/>
          <w:sz w:val="24"/>
          <w:szCs w:val="24"/>
        </w:rPr>
        <w:t xml:space="preserve">3366 · I doveri d'ufficio del 1978.</w:t>
      </w:r>
      <w:r>
        <w:rPr>
          <w:rFonts w:ascii="Barlow Semi Condensed" w:cs="Barlow Semi Condensed" w:eastAsia="Barlow Semi Condensed" w:hAnsi="Barlow Semi Condensed"/>
          <w:sz w:val="24"/>
          <w:szCs w:val="24"/>
        </w:rPr>
        <w:t xml:space="preserve"> Le condotte storiche si valutano contro i doveri giuridici dell'epoca, blocco 352 con i blocchi 137 e 138. Ne discende un limite netto per il versante internazionale: un ministro straniero non ha doveri d'ufficio nell'ordinamento italiano, dunque la tavola delle competenze non può contenerlo. Il metro applicabile a un capo di gabinetto del Viminale non è disponibile per lui, e resta solo il documento.</w:t>
      </w:r>
    </w:p>
    <w:p>
      <w:pPr>
        <w:spacing w:after="120" w:line="276"/>
        <w:jc w:val="both"/>
      </w:pPr>
      <w:r>
        <w:rPr>
          <w:rFonts w:ascii="Barlow Semi Condensed" w:cs="Barlow Semi Condensed" w:eastAsia="Barlow Semi Condensed" w:hAnsi="Barlow Semi Condensed"/>
          <w:b/>
          <w:bCs/>
          <w:sz w:val="24"/>
          <w:szCs w:val="24"/>
        </w:rPr>
        <w:t xml:space="preserve">3367 · La miglior confutazione possibile.</w:t>
      </w:r>
      <w:r>
        <w:rPr>
          <w:rFonts w:ascii="Barlow Semi Condensed" w:cs="Barlow Semi Condensed" w:eastAsia="Barlow Semi Condensed" w:hAnsi="Barlow Semi Condensed"/>
          <w:sz w:val="24"/>
          <w:szCs w:val="24"/>
        </w:rPr>
        <w:t xml:space="preserve"> Il red team del blocco 356 scrive, prima della pubblicazione, la miglior confutazione dell'esito, e la risposta è parte dell'atto. Confutazione della tesi qui sostenuta: due testimoni qualificati riferirono la stessa sostanza, uno di essi familiare della vittima, e l'assenza dal verbale ufficiale non copre i colloqui privati. Risposta: nessuno dei due assistette al colloquio riservato, e il de relato resta de relato.</w:t>
      </w:r>
    </w:p>
    <w:p>
      <w:pPr>
        <w:spacing w:after="120" w:line="276"/>
        <w:jc w:val="both"/>
      </w:pPr>
      <w:r>
        <w:rPr>
          <w:rFonts w:ascii="Barlow Semi Condensed" w:cs="Barlow Semi Condensed" w:eastAsia="Barlow Semi Condensed" w:hAnsi="Barlow Semi Condensed"/>
          <w:b/>
          <w:bCs/>
          <w:sz w:val="24"/>
          <w:szCs w:val="24"/>
        </w:rPr>
        <w:t xml:space="preserve">3368 · Difendere l'ipotesi meno gradita.</w:t>
      </w:r>
      <w:r>
        <w:rPr>
          <w:rFonts w:ascii="Barlow Semi Condensed" w:cs="Barlow Semi Condensed" w:eastAsia="Barlow Semi Condensed" w:hAnsi="Barlow Semi Condensed"/>
          <w:sz w:val="24"/>
          <w:szCs w:val="24"/>
        </w:rPr>
        <w:t xml:space="preserve"> In ogni matrice ACH un membro designato difende d'ufficio l'ipotesi meno gradita al gruppo, e la difesa si verbalizza: blocco 357. Qui l'ipotesi meno gradita a chi scrive è che l'episodio sia realmente avvenuto e sia rimasto senza carta perché fu orale e privato. Va difesa senza sconti: è compatibile con tutte le evidenze note, e da essa comunque non discende alcun nesso col sequestro.</w:t>
      </w:r>
    </w:p>
    <w:p>
      <w:pPr>
        <w:spacing w:after="120" w:line="276"/>
        <w:jc w:val="both"/>
      </w:pPr>
      <w:r>
        <w:rPr>
          <w:rFonts w:ascii="Barlow Semi Condensed" w:cs="Barlow Semi Condensed" w:eastAsia="Barlow Semi Condensed" w:hAnsi="Barlow Semi Condensed"/>
          <w:b/>
          <w:bCs/>
          <w:sz w:val="24"/>
          <w:szCs w:val="24"/>
        </w:rPr>
        <w:t xml:space="preserve">3369 · Cercare prima ciò che smentisce.</w:t>
      </w:r>
      <w:r>
        <w:rPr>
          <w:rFonts w:ascii="Barlow Semi Condensed" w:cs="Barlow Semi Condensed" w:eastAsia="Barlow Semi Condensed" w:hAnsi="Barlow Semi Condensed"/>
          <w:sz w:val="24"/>
          <w:szCs w:val="24"/>
        </w:rPr>
        <w:t xml:space="preserve"> Il falsificazionismo fatto agenda è il blocco 358: ogni piano di ricerca elenca le evidenze che smentirebbero e le cerca per prime. Elenco per questo territorio: un appunto italiano coevo che riferisca la frase; una nota d'ambasciata fra 1974 e 1977; un diario di servizio; un promemoria della segreteria particolare di Moro. Si cercano per primi, e il loro esito nullo si pubblica.</w:t>
      </w:r>
    </w:p>
    <w:p>
      <w:pPr>
        <w:spacing w:after="120" w:line="276"/>
        <w:jc w:val="both"/>
      </w:pPr>
      <w:r>
        <w:rPr>
          <w:rFonts w:ascii="Barlow Semi Condensed" w:cs="Barlow Semi Condensed" w:eastAsia="Barlow Semi Condensed" w:hAnsi="Barlow Semi Condensed"/>
          <w:b/>
          <w:bCs/>
          <w:sz w:val="24"/>
          <w:szCs w:val="24"/>
        </w:rPr>
        <w:t xml:space="preserve">3370 · Giudicare il 1974 senza il 1978.</w:t>
      </w:r>
      <w:r>
        <w:rPr>
          <w:rFonts w:ascii="Barlow Semi Condensed" w:cs="Barlow Semi Condensed" w:eastAsia="Barlow Semi Condensed" w:hAnsi="Barlow Semi Condensed"/>
          <w:sz w:val="24"/>
          <w:szCs w:val="24"/>
        </w:rPr>
        <w:t xml:space="preserve"> Valutare le condotte con le sole informazioni disponibili all'epoca dell'atto è la disciplina del blocco 359. Chi legge il memorandum del 25 settembre 1974 sapendo che nel marzo 1978 Moro sarebbe stato rapito attribuisce a quelle frasi un peso che allora non avevano: erano posizione dichiarata di politica estera, col precedente portoghese richiamato in aula. Il senno di poi, qui, non aggrava un giudizio: lo fabbrica.</w:t>
      </w:r>
    </w:p>
    <w:p>
      <w:pPr>
        <w:spacing w:after="120" w:line="276"/>
        <w:jc w:val="both"/>
      </w:pPr>
      <w:r>
        <w:rPr>
          <w:rFonts w:ascii="Barlow Semi Condensed" w:cs="Barlow Semi Condensed" w:eastAsia="Barlow Semi Condensed" w:hAnsi="Barlow Semi Condensed"/>
          <w:b/>
          <w:bCs/>
          <w:sz w:val="24"/>
          <w:szCs w:val="24"/>
        </w:rPr>
        <w:t xml:space="preserve">3371 · L'àncora della prima data.</w:t>
      </w:r>
      <w:r>
        <w:rPr>
          <w:rFonts w:ascii="Barlow Semi Condensed" w:cs="Barlow Semi Condensed" w:eastAsia="Barlow Semi Condensed" w:hAnsi="Barlow Semi Condensed"/>
          <w:sz w:val="24"/>
          <w:szCs w:val="24"/>
        </w:rPr>
        <w:t xml:space="preserve"> La prima versione orienta tutto il seguito, avverte il blocco 360, e le revisioni ripartono dai dati grezzi anziché dalle sintesi. «Settembre 1974» è l'àncora di questo dossier: è entrata nel nodo M-5, ha guidato la lettura del verbale dello Studio Ovale, ha reso quasi invisibile la versione del 1977. Ripartire dai dati grezzi significa trattare le tre collocazioni come aperte finché una carta non decida.</w:t>
      </w:r>
    </w:p>
    <w:p>
      <w:pPr>
        <w:spacing w:after="120" w:line="276"/>
        <w:jc w:val="both"/>
      </w:pPr>
      <w:r>
        <w:rPr>
          <w:rFonts w:ascii="Barlow Semi Condensed" w:cs="Barlow Semi Condensed" w:eastAsia="Barlow Semi Condensed" w:hAnsi="Barlow Semi Condensed"/>
          <w:b/>
          <w:bCs/>
          <w:sz w:val="24"/>
          <w:szCs w:val="24"/>
        </w:rPr>
        <w:t xml:space="preserve">3372 · La celebrità come peso improprio.</w:t>
      </w:r>
      <w:r>
        <w:rPr>
          <w:rFonts w:ascii="Barlow Semi Condensed" w:cs="Barlow Semi Condensed" w:eastAsia="Barlow Semi Condensed" w:hAnsi="Barlow Semi Condensed"/>
          <w:sz w:val="24"/>
          <w:szCs w:val="24"/>
        </w:rPr>
        <w:t xml:space="preserve"> Ciò che è celebre pesa più di ciò che è documentato: il blocco 361 chiama bias di disponibilità questo difetto e vi oppone il modello dichiarato dei punteggi. Nessun nome del secondo Novecento è più disponibile di questo. La disciplina va perciò applicata al rovescio del solito: non dargli l'attenzione che sembra meritare, ma sottrargli quella che la sua notorietà si prende da sola.</w:t>
      </w:r>
    </w:p>
    <w:p>
      <w:pPr>
        <w:spacing w:after="120" w:line="276"/>
        <w:jc w:val="both"/>
      </w:pPr>
      <w:r>
        <w:rPr>
          <w:rFonts w:ascii="Barlow Semi Condensed" w:cs="Barlow Semi Condensed" w:eastAsia="Barlow Semi Condensed" w:hAnsi="Barlow Semi Condensed"/>
          <w:b/>
          <w:bCs/>
          <w:sz w:val="24"/>
          <w:szCs w:val="24"/>
        </w:rPr>
        <w:t xml:space="preserve">3373 · L'autorità che smentisce.</w:t>
      </w:r>
      <w:r>
        <w:rPr>
          <w:rFonts w:ascii="Barlow Semi Condensed" w:cs="Barlow Semi Condensed" w:eastAsia="Barlow Semi Condensed" w:hAnsi="Barlow Semi Condensed"/>
          <w:sz w:val="24"/>
          <w:szCs w:val="24"/>
        </w:rPr>
        <w:t xml:space="preserve"> Negli atti dei cantieri le asserzioni valgono per le fonti e non per i firmatari, blocco 364. La regola taglia in entrambe le direzioni: come la fama non accredita l'accusa, così la statura dell'interessato non accredita da sola la sua negazione. Una smentita resa a un giornalista poco prima della morte è dichiarazione di parte, si registra con la sua sede e non chiude la questione.</w:t>
      </w:r>
    </w:p>
    <w:p>
      <w:pPr>
        <w:spacing w:after="120" w:line="276"/>
        <w:jc w:val="both"/>
      </w:pPr>
      <w:r>
        <w:rPr>
          <w:rFonts w:ascii="Barlow Semi Condensed" w:cs="Barlow Semi Condensed" w:eastAsia="Barlow Semi Condensed" w:hAnsi="Barlow Semi Condensed"/>
          <w:b/>
          <w:bCs/>
          <w:sz w:val="24"/>
          <w:szCs w:val="24"/>
        </w:rPr>
        <w:t xml:space="preserve">3374 · Ciò che questa lettura lascia fuori.</w:t>
      </w:r>
      <w:r>
        <w:rPr>
          <w:rFonts w:ascii="Barlow Semi Condensed" w:cs="Barlow Semi Condensed" w:eastAsia="Barlow Semi Condensed" w:hAnsi="Barlow Semi Condensed"/>
          <w:sz w:val="24"/>
          <w:szCs w:val="24"/>
        </w:rPr>
        <w:t xml:space="preserve"> Ogni ricostruzione pubblica dichiara quali dati non spiega: è il paragrafo obbligatorio del blocco 365. Per la lettura adottata qui — cornice ostile documentata, nesso operativo assente — i dati non spiegati sono due, e restano scritti: perché due testimoni qualificati e non contigui abbiano riferito la stessa sostanza, e perché la richiesta dei magistrati del 1983 non abbia mai preso la forma di un atto.</w:t>
      </w:r>
    </w:p>
    <w:p>
      <w:pPr>
        <w:spacing w:after="120" w:line="276"/>
        <w:jc w:val="both"/>
      </w:pPr>
      <w:r>
        <w:rPr>
          <w:rFonts w:ascii="Barlow Semi Condensed" w:cs="Barlow Semi Condensed" w:eastAsia="Barlow Semi Condensed" w:hAnsi="Barlow Semi Condensed"/>
          <w:b/>
          <w:bCs/>
          <w:sz w:val="24"/>
          <w:szCs w:val="24"/>
        </w:rPr>
        <w:t xml:space="preserve">3375 · Misurare la normalità delle pressioni.</w:t>
      </w:r>
      <w:r>
        <w:rPr>
          <w:rFonts w:ascii="Barlow Semi Condensed" w:cs="Barlow Semi Condensed" w:eastAsia="Barlow Semi Condensed" w:hAnsi="Barlow Semi Condensed"/>
          <w:sz w:val="24"/>
          <w:szCs w:val="24"/>
        </w:rPr>
        <w:t xml:space="preserve"> Nessuna anomalia è dichiarabile senza il suo normale misurato, blocco 367: il campione di controllo è obbligatorio. Per sostenere che un ammonimento a un leader europeo fosse eccezionale occorre la base — quante volte, nei volumi FRUS del triennio 1974-1976, posizioni analoghe furono espresse ad altri governi sull'ingresso dei comunisti al potere. Senza quel conteggio «senza precedenti» è un aggettivo, non una misura.</w:t>
      </w:r>
    </w:p>
    <w:p>
      <w:pPr>
        <w:spacing w:after="120" w:line="276"/>
        <w:jc w:val="both"/>
      </w:pPr>
      <w:r>
        <w:rPr>
          <w:rFonts w:ascii="Barlow Semi Condensed" w:cs="Barlow Semi Condensed" w:eastAsia="Barlow Semi Condensed" w:hAnsi="Barlow Semi Condensed"/>
          <w:b/>
          <w:bCs/>
          <w:sz w:val="24"/>
          <w:szCs w:val="24"/>
        </w:rPr>
        <w:t xml:space="preserve">3376 · Elencare anche i fondi muti.</w:t>
      </w:r>
      <w:r>
        <w:rPr>
          <w:rFonts w:ascii="Barlow Semi Condensed" w:cs="Barlow Semi Condensed" w:eastAsia="Barlow Semi Condensed" w:hAnsi="Barlow Semi Condensed"/>
          <w:sz w:val="24"/>
          <w:szCs w:val="24"/>
        </w:rPr>
        <w:t xml:space="preserve"> Ogni pubblicazione elenca tutti i fondi consultati, inclusi quelli senza esito: blocco 368. La serie lo esegue subito sul proprio perimetro documentale, con ricerca testuale verificabile: il manuale in quattrocento blocchi, il programma investigativo con le sue sedici piste, le schede di approfondimento sulle piste di testa e sulle entità, l'agenda di ricerca e i nove cantieri non contengono questo nome. Millesettecento blocchi, zero occorrenze.</w:t>
      </w:r>
    </w:p>
    <w:p>
      <w:pPr>
        <w:spacing w:after="120" w:line="276"/>
        <w:jc w:val="both"/>
      </w:pPr>
      <w:r>
        <w:rPr>
          <w:rFonts w:ascii="Barlow Semi Condensed" w:cs="Barlow Semi Condensed" w:eastAsia="Barlow Semi Condensed" w:hAnsi="Barlow Semi Condensed"/>
          <w:b/>
          <w:bCs/>
          <w:sz w:val="24"/>
          <w:szCs w:val="24"/>
        </w:rPr>
        <w:t xml:space="preserve">3377 · Il costo affondato di un nodo.</w:t>
      </w:r>
      <w:r>
        <w:rPr>
          <w:rFonts w:ascii="Barlow Semi Condensed" w:cs="Barlow Semi Condensed" w:eastAsia="Barlow Semi Condensed" w:hAnsi="Barlow Semi Condensed"/>
          <w:sz w:val="24"/>
          <w:szCs w:val="24"/>
        </w:rPr>
        <w:t xml:space="preserve"> Anni investiti su una pista che meriterebbe archiviazione: il blocco 366 impone le condizioni d'arresto senza riguardo all'investimento compiuto. Mille blocchi già scritti attorno a questo nome sono, in quella contabilità, costo affondato, e non autorizzano a trovare qualcosa per giustificarli. L'archiviazione motivata del nesso, col criterio di riapertura scritto, sarebbe un successo contabile dell'opera e non la sua sconfitta.</w:t>
      </w:r>
    </w:p>
    <w:p>
      <w:pPr>
        <w:spacing w:after="120" w:line="276"/>
        <w:jc w:val="both"/>
      </w:pPr>
      <w:r>
        <w:rPr>
          <w:rFonts w:ascii="Barlow Semi Condensed" w:cs="Barlow Semi Condensed" w:eastAsia="Barlow Semi Condensed" w:hAnsi="Barlow Semi Condensed"/>
          <w:b/>
          <w:bCs/>
          <w:sz w:val="24"/>
          <w:szCs w:val="24"/>
        </w:rPr>
        <w:t xml:space="preserve">3378 · Un quasi-errore da schedare.</w:t>
      </w:r>
      <w:r>
        <w:rPr>
          <w:rFonts w:ascii="Barlow Semi Condensed" w:cs="Barlow Semi Condensed" w:eastAsia="Barlow Semi Condensed" w:hAnsi="Barlow Semi Condensed"/>
          <w:sz w:val="24"/>
          <w:szCs w:val="24"/>
        </w:rPr>
        <w:t xml:space="preserve"> Gli sbagli intercettati prima della pubblicazione si schedano come i quasi-incidenti dell'aviazione, blocco 374, perché sono il materiale didattico più prezioso del metodo. Se ne consegna uno, già intercettato: il nodo M-5 stava consolidandosi nel corpus come accertamento pieno, con la data del settembre 1974 e senza la smentita. Fu corretto per nota. La scheda registri chi lo intercettò, quando e con quale verifica.</w:t>
      </w:r>
    </w:p>
    <w:p>
      <w:pPr>
        <w:spacing w:after="120" w:line="276"/>
        <w:jc w:val="both"/>
      </w:pPr>
      <w:r>
        <w:rPr>
          <w:rFonts w:ascii="Barlow Semi Condensed" w:cs="Barlow Semi Condensed" w:eastAsia="Barlow Semi Condensed" w:hAnsi="Barlow Semi Condensed"/>
          <w:b/>
          <w:bCs/>
          <w:sz w:val="24"/>
          <w:szCs w:val="24"/>
        </w:rPr>
        <w:t xml:space="preserve">3379 · Le otto piste PN e il silenzio.</w:t>
      </w:r>
      <w:r>
        <w:rPr>
          <w:rFonts w:ascii="Barlow Semi Condensed" w:cs="Barlow Semi Condensed" w:eastAsia="Barlow Semi Condensed" w:hAnsi="Barlow Semi Condensed"/>
          <w:sz w:val="24"/>
          <w:szCs w:val="24"/>
        </w:rPr>
        <w:t xml:space="preserve"> Le otto piste elencate ai blocchi 376-383 — terze presenze, testimoni viventi, fonte di «Gradoli», caricatore, omissioni nel fondo Renzi, profili DNA non identificati, archivi futuri, sorte del memoriale — non recano questo nome in alcun primo atto e in alcuna evidenza attesa. Non è impressione ma accertamento sul territorio: le voci si leggono una per una, e nessuna lo richiama neppure come contesto.</w:t>
      </w:r>
    </w:p>
    <w:p>
      <w:pPr>
        <w:spacing w:after="120" w:line="276"/>
        <w:jc w:val="both"/>
      </w:pPr>
      <w:r>
        <w:rPr>
          <w:rFonts w:ascii="Barlow Semi Condensed" w:cs="Barlow Semi Condensed" w:eastAsia="Barlow Semi Condensed" w:hAnsi="Barlow Semi Condensed"/>
          <w:b/>
          <w:bCs/>
          <w:sz w:val="24"/>
          <w:szCs w:val="24"/>
        </w:rPr>
        <w:t xml:space="preserve">3380 · PE-5, l'unica porta possibile.</w:t>
      </w:r>
      <w:r>
        <w:rPr>
          <w:rFonts w:ascii="Barlow Semi Condensed" w:cs="Barlow Semi Condensed" w:eastAsia="Barlow Semi Condensed" w:hAnsi="Barlow Semi Condensed"/>
          <w:sz w:val="24"/>
          <w:szCs w:val="24"/>
        </w:rPr>
        <w:t xml:space="preserve"> Al cantiere archivistico con sportello internazionale il blocco 388 assegna la pista PE-5, alleati e originatore, primo atto l'interrogazione sistematica dell'AAD e l'istanza sul caso FOIA identificato. È l'unico punto dei sedici in cui il nome potrebbe materialmente affiorare. Vi affiorerebbe però nel traffico dei 55 giorni, oltre un anno dopo la cessazione dell'incarico: come oggetto di menzione, non come originatore.</w:t>
      </w:r>
    </w:p>
    <w:p>
      <w:pPr>
        <w:spacing w:after="120" w:line="276"/>
        <w:jc w:val="both"/>
      </w:pPr>
      <w:r>
        <w:rPr>
          <w:rFonts w:ascii="Barlow Semi Condensed" w:cs="Barlow Semi Condensed" w:eastAsia="Barlow Semi Condensed" w:hAnsi="Barlow Semi Condensed"/>
          <w:b/>
          <w:bCs/>
          <w:sz w:val="24"/>
          <w:szCs w:val="24"/>
        </w:rPr>
        <w:t xml:space="preserve">3381 · PE-1 e la catena sbagliata.</w:t>
      </w:r>
      <w:r>
        <w:rPr>
          <w:rFonts w:ascii="Barlow Semi Condensed" w:cs="Barlow Semi Condensed" w:eastAsia="Barlow Semi Condensed" w:hAnsi="Barlow Semi Condensed"/>
          <w:sz w:val="24"/>
          <w:szCs w:val="24"/>
        </w:rPr>
        <w:t xml:space="preserve"> Sui decreti, sui verbali e sugli elenchi di presenza la pista PE-1 costruisce la tavola nominale dei tre livelli dei comitati del Viminale, blocchi 105-107. La scheda documenta il consulente statunitense nel comitato di esperti mai riunito collegialmente. Bersaglio di smentita per chi ne faccia una continuità personale: un documento del 1978 che colleghi quell'invio a un'indicazione di chi era allora privato cittadino.</w:t>
      </w:r>
    </w:p>
    <w:p>
      <w:pPr>
        <w:spacing w:after="120" w:line="276"/>
        <w:jc w:val="both"/>
      </w:pPr>
      <w:r>
        <w:rPr>
          <w:rFonts w:ascii="Barlow Semi Condensed" w:cs="Barlow Semi Condensed" w:eastAsia="Barlow Semi Condensed" w:hAnsi="Barlow Semi Condensed"/>
          <w:b/>
          <w:bCs/>
          <w:sz w:val="24"/>
          <w:szCs w:val="24"/>
        </w:rPr>
        <w:t xml:space="preserve">3382 · Un ingresso nel vaglio negativo.</w:t>
      </w:r>
      <w:r>
        <w:rPr>
          <w:rFonts w:ascii="Barlow Semi Condensed" w:cs="Barlow Semi Condensed" w:eastAsia="Barlow Semi Condensed" w:hAnsi="Barlow Semi Condensed"/>
          <w:sz w:val="24"/>
          <w:szCs w:val="24"/>
        </w:rPr>
        <w:t xml:space="preserve"> Permanente è il vaglio negativo del blocco 390, con le archiviazioni motivate della seconda prigione e dei nessi Hyperion-caso e i criteri di riapertura vigilati a ogni novità documentale. Si propone di iscrivervi una terza voce: il nesso fra questo nome e la catena di comando del sequestro, già dichiarato cercato e non trovato dalla Fase sesta. Evidenza attesa: nessuna, per costruzione.</w:t>
      </w:r>
    </w:p>
    <w:p>
      <w:pPr>
        <w:spacing w:after="120" w:line="276"/>
        <w:jc w:val="both"/>
      </w:pPr>
      <w:r>
        <w:rPr>
          <w:rFonts w:ascii="Barlow Semi Condensed" w:cs="Barlow Semi Condensed" w:eastAsia="Barlow Semi Condensed" w:hAnsi="Barlow Semi Condensed"/>
          <w:b/>
          <w:bCs/>
          <w:sz w:val="24"/>
          <w:szCs w:val="24"/>
        </w:rPr>
        <w:t xml:space="preserve">3383 · Una riga nella meta-tavola.</w:t>
      </w:r>
      <w:r>
        <w:rPr>
          <w:rFonts w:ascii="Barlow Semi Condensed" w:cs="Barlow Semi Condensed" w:eastAsia="Barlow Semi Condensed" w:hAnsi="Barlow Semi Condensed"/>
          <w:sz w:val="24"/>
          <w:szCs w:val="24"/>
        </w:rPr>
        <w:t xml:space="preserve"> La meta-tavola del blocco 391 mostra in una pagina pista, cantiere, primo atto, stato e prossima revisione. La voce di vaglio negativo qui proposta vi occuperebbe una riga sola, con stato «archiviata con criterio di riapertura» e revisione trimestrale. Chi apre il fascicolo del nuovo caso vedrebbe, accanto alle sedici piste vive, ciò che il caso ha già chiuso: è informazione, non ingombro.</w:t>
      </w:r>
    </w:p>
    <w:p>
      <w:pPr>
        <w:spacing w:after="120" w:line="276"/>
        <w:jc w:val="both"/>
      </w:pPr>
      <w:r>
        <w:rPr>
          <w:rFonts w:ascii="Barlow Semi Condensed" w:cs="Barlow Semi Condensed" w:eastAsia="Barlow Semi Condensed" w:hAnsi="Barlow Semi Condensed"/>
          <w:b/>
          <w:bCs/>
          <w:sz w:val="24"/>
          <w:szCs w:val="24"/>
        </w:rPr>
        <w:t xml:space="preserve">3384 · PN-7 e una voce già persa.</w:t>
      </w:r>
      <w:r>
        <w:rPr>
          <w:rFonts w:ascii="Barlow Semi Condensed" w:cs="Barlow Semi Condensed" w:eastAsia="Barlow Semi Condensed" w:hAnsi="Barlow Semi Condensed"/>
          <w:sz w:val="24"/>
          <w:szCs w:val="24"/>
        </w:rPr>
        <w:t xml:space="preserve"> La pista PN-7 vale 77,5 e chiede la tavola delle urgenze con le prime escussioni, blocchi 141-148, 160, 169 e 334. Il dossier su questo nome ne dimostra lo statuto meglio di qualunque argomento: un testimone potenziale, mai sentito da alcun magistrato italiano, è morto il 29 novembre 2023 dopo quarant'anni di attesa. Il registro delle urgenze perse, blocco 170, ha qui una riga da scrivere.</w:t>
      </w:r>
    </w:p>
    <w:p>
      <w:pPr>
        <w:spacing w:after="120" w:line="276"/>
        <w:jc w:val="both"/>
      </w:pPr>
      <w:r>
        <w:rPr>
          <w:rFonts w:ascii="Barlow Semi Condensed" w:cs="Barlow Semi Condensed" w:eastAsia="Barlow Semi Condensed" w:hAnsi="Barlow Semi Condensed"/>
          <w:b/>
          <w:bCs/>
          <w:sz w:val="24"/>
          <w:szCs w:val="24"/>
        </w:rPr>
        <w:t xml:space="preserve">3385 · La rivelazione tardiva e il suo peso.</w:t>
      </w:r>
      <w:r>
        <w:rPr>
          <w:rFonts w:ascii="Barlow Semi Condensed" w:cs="Barlow Semi Condensed" w:eastAsia="Barlow Semi Condensed" w:hAnsi="Barlow Semi Condensed"/>
          <w:sz w:val="24"/>
          <w:szCs w:val="24"/>
        </w:rPr>
        <w:t xml:space="preserve"> Dichiarazioni tardive di peso: il blocco 393 le disciplina con raccolta immediata nelle forme più garantite, riscontro documentale prima di ogni pubblicità, e la lezione permanente del blocco 253. L'ultima parola nota dell'interessato appartiene al genere opposto, una negazione resa a un giornalista poco prima della morte. Vale come dichiarazione e non come chiusura, e si pesa sui documenti come si peserebbe una confessione.</w:t>
      </w:r>
    </w:p>
    <w:p>
      <w:pPr>
        <w:spacing w:after="120" w:line="276"/>
        <w:jc w:val="both"/>
      </w:pPr>
      <w:r>
        <w:rPr>
          <w:rFonts w:ascii="Barlow Semi Condensed" w:cs="Barlow Semi Condensed" w:eastAsia="Barlow Semi Condensed" w:hAnsi="Barlow Semi Condensed"/>
          <w:b/>
          <w:bCs/>
          <w:sz w:val="24"/>
          <w:szCs w:val="24"/>
        </w:rPr>
        <w:t xml:space="preserve">3386 · L'onda del 30 novembre.</w:t>
      </w:r>
      <w:r>
        <w:rPr>
          <w:rFonts w:ascii="Barlow Semi Condensed" w:cs="Barlow Semi Condensed" w:eastAsia="Barlow Semi Condensed" w:hAnsi="Barlow Semi Condensed"/>
          <w:sz w:val="24"/>
          <w:szCs w:val="24"/>
        </w:rPr>
        <w:t xml:space="preserve"> Lo scenario del blocco 395 è la narrazione mediatica che raggiunge testimoni non ancora escussi: si accelera la raccolta conservativa sui toccati, si verbalizza l'esposizione di ciascuno alla tesi, e la risposta pubblica è una sola pagina di gradi e fonti. È già accaduto il 30 novembre 2023 e nessuno lo ha verbalizzato: una prova generale mancata, da registrare come tale.</w:t>
      </w:r>
    </w:p>
    <w:p>
      <w:pPr>
        <w:spacing w:after="120" w:line="276"/>
        <w:jc w:val="both"/>
      </w:pPr>
      <w:r>
        <w:rPr>
          <w:rFonts w:ascii="Barlow Semi Condensed" w:cs="Barlow Semi Condensed" w:eastAsia="Barlow Semi Condensed" w:hAnsi="Barlow Semi Condensed"/>
          <w:b/>
          <w:bCs/>
          <w:sz w:val="24"/>
          <w:szCs w:val="24"/>
        </w:rPr>
        <w:t xml:space="preserve">3387 · Quando un nodo perde ogni voce.</w:t>
      </w:r>
      <w:r>
        <w:rPr>
          <w:rFonts w:ascii="Barlow Semi Condensed" w:cs="Barlow Semi Condensed" w:eastAsia="Barlow Semi Condensed" w:hAnsi="Barlow Semi Condensed"/>
          <w:sz w:val="24"/>
          <w:szCs w:val="24"/>
        </w:rPr>
        <w:t xml:space="preserve"> Verbalizzare il passaggio di un nodo alla sola via documentale, e aggiornare la scheda delle domande mai poste del blocco 163: lo impone il blocco 398. Per questo nodo il passaggio ha una data e un luogo, 29 novembre 2023, Kent, Connecticut. Le domande mai poste sono compilabili oggi e orienteranno la ricerca dei lasciti presso gli eredi, secondo il blocco 157.</w:t>
      </w:r>
    </w:p>
    <w:p>
      <w:pPr>
        <w:spacing w:after="120" w:line="276"/>
        <w:jc w:val="both"/>
      </w:pPr>
      <w:r>
        <w:rPr>
          <w:rFonts w:ascii="Barlow Semi Condensed" w:cs="Barlow Semi Condensed" w:eastAsia="Barlow Semi Condensed" w:hAnsi="Barlow Semi Condensed"/>
          <w:b/>
          <w:bCs/>
          <w:sz w:val="24"/>
          <w:szCs w:val="24"/>
        </w:rPr>
        <w:t xml:space="preserve">3388 · L'archiviazione non chiude la ricerca.</w:t>
      </w:r>
      <w:r>
        <w:rPr>
          <w:rFonts w:ascii="Barlow Semi Condensed" w:cs="Barlow Semi Condensed" w:eastAsia="Barlow Semi Condensed" w:hAnsi="Barlow Semi Condensed"/>
          <w:sz w:val="24"/>
          <w:szCs w:val="24"/>
        </w:rPr>
        <w:t xml:space="preserve"> L'archiviazione giudiziaria chiude un procedimento e non la ricerca documentale, stabilisce il blocco 396. Qui non esiste nemmeno un procedimento da chiudere: non risulta imputazione alcuna, in alcun Paese, in alcun tempo. Ne segue che il lavoro su questo nome è integralmente storiografico, e che ogni lessico processuale adoperato per descriverlo — indagato, accusato, imputato — è un errore di fatto prima che di metodo.</w:t>
      </w:r>
    </w:p>
    <w:p>
      <w:pPr>
        <w:spacing w:after="120" w:line="276"/>
        <w:jc w:val="both"/>
      </w:pPr>
      <w:r>
        <w:rPr>
          <w:rFonts w:ascii="Barlow Semi Condensed" w:cs="Barlow Semi Condensed" w:eastAsia="Barlow Semi Condensed" w:hAnsi="Barlow Semi Condensed"/>
          <w:b/>
          <w:bCs/>
          <w:sz w:val="24"/>
          <w:szCs w:val="24"/>
        </w:rPr>
        <w:t xml:space="preserve">3389 · Apparati stranieri e regola personalistica.</w:t>
      </w:r>
      <w:r>
        <w:rPr>
          <w:rFonts w:ascii="Barlow Semi Condensed" w:cs="Barlow Semi Condensed" w:eastAsia="Barlow Semi Condensed" w:hAnsi="Barlow Semi Condensed"/>
          <w:sz w:val="24"/>
          <w:szCs w:val="24"/>
        </w:rPr>
        <w:t xml:space="preserve"> Evidenze documentali di condotte istituzionali gravi: è il rischio più delicato, e il blocco 399 lo affronta ripetendo fino all'ultimo la regola del blocco 18, atti e omissioni di persone e uffici, mai colpe collettive. Estensione necessaria per il versante estero: un apparato straniero si indaga con lo stesso metro, e nessuna condotta di un ufficio si trasferisce a chi lo dirigeva senza un atto che lo nomini.</w:t>
      </w:r>
    </w:p>
    <w:p>
      <w:pPr>
        <w:spacing w:after="120" w:line="276"/>
        <w:jc w:val="both"/>
      </w:pPr>
      <w:r>
        <w:rPr>
          <w:rFonts w:ascii="Barlow Semi Condensed" w:cs="Barlow Semi Condensed" w:eastAsia="Barlow Semi Condensed" w:hAnsi="Barlow Semi Condensed"/>
          <w:b/>
          <w:bCs/>
          <w:sz w:val="24"/>
          <w:szCs w:val="24"/>
        </w:rPr>
        <w:t xml:space="preserve">3390 · Il quattrocentesimo e questo nome.</w:t>
      </w:r>
      <w:r>
        <w:rPr>
          <w:rFonts w:ascii="Barlow Semi Condensed" w:cs="Barlow Semi Condensed" w:eastAsia="Barlow Semi Condensed" w:hAnsi="Barlow Semi Condensed"/>
          <w:sz w:val="24"/>
          <w:szCs w:val="24"/>
        </w:rPr>
        <w:t xml:space="preserve"> Il blocco 400 consegna il manuale alla forma compiuta e dichiara che una terza edizione verrà solo se il caso produrrà atti nuovi. Questa serie non ne produce: consegna un'assenza misurata su millesettecento blocchi. Se un giorno un documento imporrà di aggiungere al manuale una voce per questo nome, sarà la migliore notizia possibile; fino ad allora il silenzio del territorio è esso stesso un dato.</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Serie quarantacinquesima — L’agenda di ricerca in trecento blocchi</w:t>
      </w:r>
    </w:p>
    <w:p>
      <w:pPr>
        <w:spacing w:after="120" w:line="276"/>
        <w:jc w:val="both"/>
      </w:pPr>
      <w:r>
        <w:rPr>
          <w:rFonts w:ascii="Barlow Semi Condensed" w:cs="Barlow Semi Condensed" w:eastAsia="Barlow Semi Condensed" w:hAnsi="Barlow Semi Condensed"/>
          <w:i/>
          <w:iCs/>
          <w:sz w:val="24"/>
          <w:szCs w:val="24"/>
        </w:rPr>
        <w:t xml:space="preserve">Blocchi 3391-3470.</w:t>
      </w:r>
    </w:p>
    <w:p>
      <w:pPr>
        <w:spacing w:after="120" w:line="276"/>
        <w:jc w:val="both"/>
      </w:pPr>
      <w:r>
        <w:rPr>
          <w:rFonts w:ascii="Barlow Semi Condensed" w:cs="Barlow Semi Condensed" w:eastAsia="Barlow Semi Condensed" w:hAnsi="Barlow Semi Condensed"/>
          <w:b/>
          <w:bCs/>
          <w:sz w:val="24"/>
          <w:szCs w:val="24"/>
        </w:rPr>
        <w:t xml:space="preserve">3391 · Lo zero dell'agenda, rimisurato.</w:t>
      </w:r>
      <w:r>
        <w:rPr>
          <w:rFonts w:ascii="Barlow Semi Condensed" w:cs="Barlow Semi Condensed" w:eastAsia="Barlow Semi Condensed" w:hAnsi="Barlow Semi Condensed"/>
          <w:sz w:val="24"/>
          <w:szCs w:val="24"/>
        </w:rPr>
        <w:t xml:space="preserve"> La stringa Kissinger non compare in nessuno dei trecento blocchi del territorio. La prima campagna lo aveva già verbalizzato ai blocchi 47, 204 e 646 dell'opera-madre; qui il perimetro si affina e si conta meglio. Mancano anche Pieczenik, Ferracuti, Guerzoni e la locuzione Stati Uniti; Washington ricorre due volte soltanto, ai blocchi 135 e 153; Carter tre, tutte dentro la serie sesta e la verifica V-3. Fatto misurato, grado F.</w:t>
      </w:r>
    </w:p>
    <w:p>
      <w:pPr>
        <w:spacing w:after="120" w:line="276"/>
        <w:jc w:val="both"/>
      </w:pPr>
      <w:r>
        <w:rPr>
          <w:rFonts w:ascii="Barlow Semi Condensed" w:cs="Barlow Semi Condensed" w:eastAsia="Barlow Semi Condensed" w:hAnsi="Barlow Semi Condensed"/>
          <w:b/>
          <w:bCs/>
          <w:sz w:val="24"/>
          <w:szCs w:val="24"/>
        </w:rPr>
        <w:t xml:space="preserve">3392 · Come non si legge quello zero.</w:t>
      </w:r>
      <w:r>
        <w:rPr>
          <w:rFonts w:ascii="Barlow Semi Condensed" w:cs="Barlow Semi Condensed" w:eastAsia="Barlow Semi Condensed" w:hAnsi="Barlow Semi Condensed"/>
          <w:sz w:val="24"/>
          <w:szCs w:val="24"/>
        </w:rPr>
        <w:t xml:space="preserve"> Un basso rapporto di associazione fra due domini non indica assenza di rapporti: indica che nessuno ha scritto un documento che li tratti insieme. La regola dei buchi ha due tempi, e il secondo qui è decisivo. L'agenda fu costruita su Kew, La Courneuve, il Politisches Archiv e i giacimenti italiani, e su quelle colonne quel nome non ricorre per ufficio. Trasformare una scelta di costruzione in enunciato sul mondo resta l'errore vietato.</w:t>
      </w:r>
    </w:p>
    <w:p>
      <w:pPr>
        <w:spacing w:after="120" w:line="276"/>
        <w:jc w:val="both"/>
      </w:pPr>
      <w:r>
        <w:rPr>
          <w:rFonts w:ascii="Barlow Semi Condensed" w:cs="Barlow Semi Condensed" w:eastAsia="Barlow Semi Condensed" w:hAnsi="Barlow Semi Condensed"/>
          <w:b/>
          <w:bCs/>
          <w:sz w:val="24"/>
          <w:szCs w:val="24"/>
        </w:rPr>
        <w:t xml:space="preserve">3393 · Il divieto già scritto nell'agenda.</w:t>
      </w:r>
      <w:r>
        <w:rPr>
          <w:rFonts w:ascii="Barlow Semi Condensed" w:cs="Barlow Semi Condensed" w:eastAsia="Barlow Semi Condensed" w:hAnsi="Barlow Semi Condensed"/>
          <w:sz w:val="24"/>
          <w:szCs w:val="24"/>
        </w:rPr>
        <w:t xml:space="preserve"> Il blocco 289 mette fuori statuto i nomi come esiti attesi e richiama le fonti escluse per direttiva del committente. L'assenza di questo nome dai trecento bersagli è dunque in parte normativa, non soltanto casuale: il territorio si vieta di cercare persone e cerca carte. Chi legga quello zero come reticenza legge male un perimetro dichiarato in apertura e ripetuto alla riga di chiusura, dove sta scritto che la ricerca produce documenti.</w:t>
      </w:r>
    </w:p>
    <w:p>
      <w:pPr>
        <w:spacing w:after="120" w:line="276"/>
        <w:jc w:val="both"/>
      </w:pPr>
      <w:r>
        <w:rPr>
          <w:rFonts w:ascii="Barlow Semi Condensed" w:cs="Barlow Semi Condensed" w:eastAsia="Barlow Semi Condensed" w:hAnsi="Barlow Semi Condensed"/>
          <w:b/>
          <w:bCs/>
          <w:sz w:val="24"/>
          <w:szCs w:val="24"/>
        </w:rPr>
        <w:t xml:space="preserve">3394 · I tre piani sul territorio.</w:t>
      </w:r>
      <w:r>
        <w:rPr>
          <w:rFonts w:ascii="Barlow Semi Condensed" w:cs="Barlow Semi Condensed" w:eastAsia="Barlow Semi Condensed" w:hAnsi="Barlow Semi Condensed"/>
          <w:sz w:val="24"/>
          <w:szCs w:val="24"/>
        </w:rPr>
        <w:t xml:space="preserve"> Applicata al territorio, la regola dei tre piani produce una tripartizione netta e utilizzabile. Piano uno soltanto dove un giacimento può conservare un documento di provenienza che nomini insieme le controparti: i blocchi 37, 129, 134, 157 e 162. Piano due nei blocchi che documentano l'ostilità atlantica come cornice, cioè 132, 133 e 166. Piano tre in ciò che il blocco 43 tratta per quello che è, cioè circolazione.</w:t>
      </w:r>
    </w:p>
    <w:p>
      <w:pPr>
        <w:spacing w:after="120" w:line="276"/>
        <w:jc w:val="both"/>
      </w:pPr>
      <w:r>
        <w:rPr>
          <w:rFonts w:ascii="Barlow Semi Condensed" w:cs="Barlow Semi Condensed" w:eastAsia="Barlow Semi Condensed" w:hAnsi="Barlow Semi Condensed"/>
          <w:b/>
          <w:bCs/>
          <w:sz w:val="24"/>
          <w:szCs w:val="24"/>
        </w:rPr>
        <w:t xml:space="preserve">3395 · Il muro del blocco 277.</w:t>
      </w:r>
      <w:r>
        <w:rPr>
          <w:rFonts w:ascii="Barlow Semi Condensed" w:cs="Barlow Semi Condensed" w:eastAsia="Barlow Semi Condensed" w:hAnsi="Barlow Semi Condensed"/>
          <w:sz w:val="24"/>
          <w:szCs w:val="24"/>
        </w:rPr>
        <w:t xml:space="preserve"> Nessun esito di ricerca tocca la Fase decima se non per nuovo giudicato: il raccordo col registro è un muro, ed è voluto. Poiché non risulta alcuna sentenza, alcun rinvio a giudizio né alcun procedimento penale a carico di questo nome in alcun Paese, nessun bersaglio della presente serie può avere per esito una posizione personale. Quel muro protegge anche chi non fu mai imputato, ed è la ragione per cui regge.</w:t>
      </w:r>
    </w:p>
    <w:p>
      <w:pPr>
        <w:spacing w:after="120" w:line="276"/>
        <w:jc w:val="both"/>
      </w:pPr>
      <w:r>
        <w:rPr>
          <w:rFonts w:ascii="Barlow Semi Condensed" w:cs="Barlow Semi Condensed" w:eastAsia="Barlow Semi Condensed" w:hAnsi="Barlow Semi Condensed"/>
          <w:b/>
          <w:bCs/>
          <w:sz w:val="24"/>
          <w:szCs w:val="24"/>
        </w:rPr>
        <w:t xml:space="preserve">3396 · La data che chiude quasi tutto.</w:t>
      </w:r>
      <w:r>
        <w:rPr>
          <w:rFonts w:ascii="Barlow Semi Condensed" w:cs="Barlow Semi Condensed" w:eastAsia="Barlow Semi Condensed" w:hAnsi="Barlow Semi Condensed"/>
          <w:sz w:val="24"/>
          <w:szCs w:val="24"/>
        </w:rPr>
        <w:t xml:space="preserve"> L'incarico di Assistente per la sicurezza nazionale cessa il 3 novembre 1975, quello di Segretario di Stato il 20 gennaio 1977. La finestra del territorio sono i cinquantacinque giorni del 1978 e gli archivi che li documentano. Ne discende un vincolo strutturale prima che documentale: quasi ogni serie non può incontrare quel nome per ragioni di calendario, non di reticenza. Cercarvelo significa cercare un uomo di governo dove c'era un privato cittadino.</w:t>
      </w:r>
    </w:p>
    <w:p>
      <w:pPr>
        <w:spacing w:after="120" w:line="276"/>
        <w:jc w:val="both"/>
      </w:pPr>
      <w:r>
        <w:rPr>
          <w:rFonts w:ascii="Barlow Semi Condensed" w:cs="Barlow Semi Condensed" w:eastAsia="Barlow Semi Condensed" w:hAnsi="Barlow Semi Condensed"/>
          <w:b/>
          <w:bCs/>
          <w:sz w:val="24"/>
          <w:szCs w:val="24"/>
        </w:rPr>
        <w:t xml:space="preserve">3397 · Il quesito 12 e il confine.</w:t>
      </w:r>
      <w:r>
        <w:rPr>
          <w:rFonts w:ascii="Barlow Semi Condensed" w:cs="Barlow Semi Condensed" w:eastAsia="Barlow Semi Condensed" w:hAnsi="Barlow Semi Condensed"/>
          <w:sz w:val="24"/>
          <w:szCs w:val="24"/>
        </w:rPr>
        <w:t xml:space="preserve"> Gli occhi degli alleati chiedono che cosa le diplomazie e i servizi videro e riferirono in tempo reale, e la formula lega il bersaglio al 1978. Il presunto avvertimento, comunque lo si dati, è anteriore di almeno un anno a quella finestra. Il quesito costitutivo non può dunque raggiungerlo: la sede che lo raggiungerebbe sta altrove, nel memorandum dello Studio Ovale del 25 settembre 1974 conservato alla Ford Library come file 1552802.</w:t>
      </w:r>
    </w:p>
    <w:p>
      <w:pPr>
        <w:spacing w:after="120" w:line="276"/>
        <w:jc w:val="both"/>
      </w:pPr>
      <w:r>
        <w:rPr>
          <w:rFonts w:ascii="Barlow Semi Condensed" w:cs="Barlow Semi Condensed" w:eastAsia="Barlow Semi Condensed" w:hAnsi="Barlow Semi Condensed"/>
          <w:b/>
          <w:bCs/>
          <w:sz w:val="24"/>
          <w:szCs w:val="24"/>
        </w:rPr>
        <w:t xml:space="preserve">3398 · Due nomi americani, non uno.</w:t>
      </w:r>
      <w:r>
        <w:rPr>
          <w:rFonts w:ascii="Barlow Semi Condensed" w:cs="Barlow Semi Condensed" w:eastAsia="Barlow Semi Condensed" w:hAnsi="Barlow Semi Condensed"/>
          <w:sz w:val="24"/>
          <w:szCs w:val="24"/>
        </w:rPr>
        <w:t xml:space="preserve"> La scheda PE-1 documenta nel comitato di esperti la presenza dello psichiatra inviato dal Dipartimento di Stato e ne registra il ruolo nella tesi dell'inattendibilità delle lettere. Quel nome entra nel caso per atto; l'altro non vi entra per alcun atto. Il quesito 8 li tiene distinti e la distinzione va mantenuta in ogni blocco, perché un americano documentato nei comitati non prova affatto la presenza di un secondo.</w:t>
      </w:r>
    </w:p>
    <w:p>
      <w:pPr>
        <w:spacing w:after="120" w:line="276"/>
        <w:jc w:val="both"/>
      </w:pPr>
      <w:r>
        <w:rPr>
          <w:rFonts w:ascii="Barlow Semi Condensed" w:cs="Barlow Semi Condensed" w:eastAsia="Barlow Semi Condensed" w:hAnsi="Barlow Semi Condensed"/>
          <w:b/>
          <w:bCs/>
          <w:sz w:val="24"/>
          <w:szCs w:val="24"/>
        </w:rPr>
        <w:t xml:space="preserve">3399 · Il quesito 15, evidenza discriminante.</w:t>
      </w:r>
      <w:r>
        <w:rPr>
          <w:rFonts w:ascii="Barlow Semi Condensed" w:cs="Barlow Semi Condensed" w:eastAsia="Barlow Semi Condensed" w:hAnsi="Barlow Semi Condensed"/>
          <w:sz w:val="24"/>
          <w:szCs w:val="24"/>
        </w:rPr>
        <w:t xml:space="preserve"> Per la matrice internazionale l'evidenza che discrimina si nomina in una riga sola: un documento di provenienza, cablo o verbale o appunto d'ufficio, che nomini insieme la controparte italiana e quella straniera in relazione al sequestro. Nessuno dei giacimenti censiti dal territorio ne ha finora restituito uno. Finché non lo restituisce, la matrice resta con la sua cella vuota, e quella cella vuota è a sua volta un'acquisizione.</w:t>
      </w:r>
    </w:p>
    <w:p>
      <w:pPr>
        <w:spacing w:after="120" w:line="276"/>
        <w:jc w:val="both"/>
      </w:pPr>
      <w:r>
        <w:rPr>
          <w:rFonts w:ascii="Barlow Semi Condensed" w:cs="Barlow Semi Condensed" w:eastAsia="Barlow Semi Condensed" w:hAnsi="Barlow Semi Condensed"/>
          <w:b/>
          <w:bCs/>
          <w:sz w:val="24"/>
          <w:szCs w:val="24"/>
        </w:rPr>
        <w:t xml:space="preserve">3400 · Il quesito 9 e la squalificazione.</w:t>
      </w:r>
      <w:r>
        <w:rPr>
          <w:rFonts w:ascii="Barlow Semi Condensed" w:cs="Barlow Semi Condensed" w:eastAsia="Barlow Semi Condensed" w:hAnsi="Barlow Semi Condensed"/>
          <w:sz w:val="24"/>
          <w:szCs w:val="24"/>
        </w:rPr>
        <w:t xml:space="preserve"> La dichiarata inattendibilità delle lettere fu un prodotto istituzionale dei cinquantacinque giorni, e la scheda PE-1 ne indica gli autori documentati negli atti. Per questo nome non risulta alcun parere, atto o carteggio dentro quella catena. Stato Zero, con la sede che lo chiuderebbe: le relazioni degli esperti nel versato dell'Archivio centrale dello Stato e nel fondo della Moro 2, cercate secondo i blocchi 26 e 51.</w:t>
      </w:r>
    </w:p>
    <w:p>
      <w:pPr>
        <w:spacing w:after="120" w:line="276"/>
        <w:jc w:val="both"/>
      </w:pPr>
      <w:r>
        <w:rPr>
          <w:rFonts w:ascii="Barlow Semi Condensed" w:cs="Barlow Semi Condensed" w:eastAsia="Barlow Semi Condensed" w:hAnsi="Barlow Semi Condensed"/>
          <w:b/>
          <w:bCs/>
          <w:sz w:val="24"/>
          <w:szCs w:val="24"/>
        </w:rPr>
        <w:t xml:space="preserve">3401 · La chiave d'interrogazione dell'ACS.</w:t>
      </w:r>
      <w:r>
        <w:rPr>
          <w:rFonts w:ascii="Barlow Semi Condensed" w:cs="Barlow Semi Condensed" w:eastAsia="Barlow Semi Condensed" w:hAnsi="Barlow Semi Condensed"/>
          <w:sz w:val="24"/>
          <w:szCs w:val="24"/>
        </w:rPr>
        <w:t xml:space="preserve"> Prima di aprire una busta, il blocco 18 impone gli strumenti di corredo. Bersaglio operativo, a costo minimo: interrogare la Guida ai fondi alla segnatura IT-ACS-AS0001-0005098 e la banca dati della raccolta speciale usando il cognome come chiave, e verbalizzare l'esito quale che sia. Se le occorrenze risulteranno zero, quello zero avrà finalmente un perimetro esatto: strumento interrogato, chiave usata, data, operatore che ha cercato.</w:t>
      </w:r>
    </w:p>
    <w:p>
      <w:pPr>
        <w:spacing w:after="120" w:line="276"/>
        <w:jc w:val="both"/>
      </w:pPr>
      <w:r>
        <w:rPr>
          <w:rFonts w:ascii="Barlow Semi Condensed" w:cs="Barlow Semi Condensed" w:eastAsia="Barlow Semi Condensed" w:hAnsi="Barlow Semi Condensed"/>
          <w:b/>
          <w:bCs/>
          <w:sz w:val="24"/>
          <w:szCs w:val="24"/>
        </w:rPr>
        <w:t xml:space="preserve">3402 · I centocinquantasei uffici versanti.</w:t>
      </w:r>
      <w:r>
        <w:rPr>
          <w:rFonts w:ascii="Barlow Semi Condensed" w:cs="Barlow Semi Condensed" w:eastAsia="Barlow Semi Condensed" w:hAnsi="Barlow Semi Condensed"/>
          <w:sz w:val="24"/>
          <w:szCs w:val="24"/>
        </w:rPr>
        <w:t xml:space="preserve"> Il blocco 29 esige, ufficio per ufficio, il confronto fra ciò che i protocolli dicono prodotto e ciò che risulta versato. Qui il bersaglio è preliminare e semplice: accertare se il Ministero degli Affari esteri figuri fra i centocinquantasei uffici versanti della raccolta speciale. Se non vi figura, la miniera della Direttiva non contiene per costruzione la carta diplomatica, e ogni ricerca su questo versante va indirizzata altrove dal primo giorno.</w:t>
      </w:r>
    </w:p>
    <w:p>
      <w:pPr>
        <w:spacing w:after="120" w:line="276"/>
        <w:jc w:val="both"/>
      </w:pPr>
      <w:r>
        <w:rPr>
          <w:rFonts w:ascii="Barlow Semi Condensed" w:cs="Barlow Semi Condensed" w:eastAsia="Barlow Semi Condensed" w:hAnsi="Barlow Semi Condensed"/>
          <w:b/>
          <w:bCs/>
          <w:sz w:val="24"/>
          <w:szCs w:val="24"/>
        </w:rPr>
        <w:t xml:space="preserve">3403 · Il perimetro della Direttiva.</w:t>
      </w:r>
      <w:r>
        <w:rPr>
          <w:rFonts w:ascii="Barlow Semi Condensed" w:cs="Barlow Semi Condensed" w:eastAsia="Barlow Semi Condensed" w:hAnsi="Barlow Semi Condensed"/>
          <w:sz w:val="24"/>
          <w:szCs w:val="24"/>
        </w:rPr>
        <w:t xml:space="preserve"> Le direttive Prodi e Renzi coprono il sequestro e l'uccisione: la materia è il 1978. Le carte della visita di Stato del settembre 1974 non rientrano nel loro oggetto, e nessuna richiesta di versamento integrativo ai sensi del blocco 30 potrebbe farvele entrare. Questa è la ragione strutturale per cui il giacimento più grande dell'agenda non decide il quesito che la serie insegue: non è chiuso, è semplicemente di altra materia.</w:t>
      </w:r>
    </w:p>
    <w:p>
      <w:pPr>
        <w:spacing w:after="120" w:line="276"/>
        <w:jc w:val="both"/>
      </w:pPr>
      <w:r>
        <w:rPr>
          <w:rFonts w:ascii="Barlow Semi Condensed" w:cs="Barlow Semi Condensed" w:eastAsia="Barlow Semi Condensed" w:hAnsi="Barlow Semi Condensed"/>
          <w:b/>
          <w:bCs/>
          <w:sz w:val="24"/>
          <w:szCs w:val="24"/>
        </w:rPr>
        <w:t xml:space="preserve">3404 · Una velina resta una velina.</w:t>
      </w:r>
      <w:r>
        <w:rPr>
          <w:rFonts w:ascii="Barlow Semi Condensed" w:cs="Barlow Semi Condensed" w:eastAsia="Barlow Semi Condensed" w:hAnsi="Barlow Semi Condensed"/>
          <w:sz w:val="24"/>
          <w:szCs w:val="24"/>
        </w:rPr>
        <w:t xml:space="preserve"> Il blocco 22 detta la disciplina con parole scolpite: nel versato dei servizi una velina nasce di grado C e sale soltanto per riscontro esterno. Se una carta di provenienza SISMI o SISDE nominasse un uomo di governo straniero in relazione al caso, la sua nascita non cambierebbe e resterebbe un'informativa. La tentazione opposta, promuovere l'esotico a rivelazione, è censita come bias dal blocco 151, ed è esattamente qui che colpirebbe.</w:t>
      </w:r>
    </w:p>
    <w:p>
      <w:pPr>
        <w:spacing w:after="120" w:line="276"/>
        <w:jc w:val="both"/>
      </w:pPr>
      <w:r>
        <w:rPr>
          <w:rFonts w:ascii="Barlow Semi Condensed" w:cs="Barlow Semi Condensed" w:eastAsia="Barlow Semi Condensed" w:hAnsi="Barlow Semi Condensed"/>
          <w:b/>
          <w:bCs/>
          <w:sz w:val="24"/>
          <w:szCs w:val="24"/>
        </w:rPr>
        <w:t xml:space="preserve">3405 · Il verbale d'udienza del 1982 (serie XLV).</w:t>
      </w:r>
      <w:r>
        <w:rPr>
          <w:rFonts w:ascii="Barlow Semi Condensed" w:cs="Barlow Semi Condensed" w:eastAsia="Barlow Semi Condensed" w:hAnsi="Barlow Semi Condensed"/>
          <w:sz w:val="24"/>
          <w:szCs w:val="24"/>
        </w:rPr>
        <w:t xml:space="preserve"> Il blocco 37 chiede i fascicoli integrali dei processi romani, censiti foglio per foglio. Bersaglio nominato: il verbale d'udienza della Corte d'assise di Roma del novembre 1982 con la deposizione del portavoce, che riferì de relato non avendo assistito al colloquio. La datazione oscilla fra il dieci e il quindici, e la divergenza non è risolta. Quel foglio, non una sintesi giornalistica, chiude la prima precisazione dell'apparato K.</w:t>
      </w:r>
    </w:p>
    <w:p>
      <w:pPr>
        <w:spacing w:after="120" w:line="276"/>
        <w:jc w:val="both"/>
      </w:pPr>
      <w:r>
        <w:rPr>
          <w:rFonts w:ascii="Barlow Semi Condensed" w:cs="Barlow Semi Condensed" w:eastAsia="Barlow Semi Condensed" w:hAnsi="Barlow Semi Condensed"/>
          <w:b/>
          <w:bCs/>
          <w:sz w:val="24"/>
          <w:szCs w:val="24"/>
        </w:rPr>
        <w:t xml:space="preserve">3406 · Le sentenze, cercate per nome.</w:t>
      </w:r>
      <w:r>
        <w:rPr>
          <w:rFonts w:ascii="Barlow Semi Condensed" w:cs="Barlow Semi Condensed" w:eastAsia="Barlow Semi Condensed" w:hAnsi="Barlow Semi Condensed"/>
          <w:sz w:val="24"/>
          <w:szCs w:val="24"/>
        </w:rPr>
        <w:t xml:space="preserve"> I blocchi 31 e 38 impongono la collazione integrale delle sentenze del caso, in parte già digitalizzate sul portale della Rete degli archivi per non dimenticare. Bersaglio: cercarvi il cognome come stringa, e verbalizzare. L'esito atteso è l'assenza; se una motivazione lo nominasse, andrebbe letta per la qualità con cui il nome vi compare, ricostruzione di contesto politico oppure fatto accertato, perché le due cose portano gradi diversi.</w:t>
      </w:r>
    </w:p>
    <w:p>
      <w:pPr>
        <w:spacing w:after="120" w:line="276"/>
        <w:jc w:val="both"/>
      </w:pPr>
      <w:r>
        <w:rPr>
          <w:rFonts w:ascii="Barlow Semi Condensed" w:cs="Barlow Semi Condensed" w:eastAsia="Barlow Semi Condensed" w:hAnsi="Barlow Semi Condensed"/>
          <w:b/>
          <w:bCs/>
          <w:sz w:val="24"/>
          <w:szCs w:val="24"/>
        </w:rPr>
        <w:t xml:space="preserve">3407 · La tavola 45 senza la Farnesina.</w:t>
      </w:r>
      <w:r>
        <w:rPr>
          <w:rFonts w:ascii="Barlow Semi Condensed" w:cs="Barlow Semi Condensed" w:eastAsia="Barlow Semi Condensed" w:hAnsi="Barlow Semi Condensed"/>
          <w:sz w:val="24"/>
          <w:szCs w:val="24"/>
        </w:rPr>
        <w:t xml:space="preserve"> La serie seconda censisce l'Archivio centrale, gli istituti territoriali, le forze di polizia, gli archivi militari, i capitolini, le società e le teche, ma non l'Archivio storico diplomatico. È l'unica sede italiana che conserverebbe il rovescio del verbale americano del settembre 1974. Proposta per il blocco 45, con la correzione già recepita altrove: i fondi ministeriali di quegli anni non risultavano consultabili, e la disponibilità dei faldoni va verificata caso per caso.</w:t>
      </w:r>
    </w:p>
    <w:p>
      <w:pPr>
        <w:spacing w:after="120" w:line="276"/>
        <w:jc w:val="both"/>
      </w:pPr>
      <w:r>
        <w:rPr>
          <w:rFonts w:ascii="Barlow Semi Condensed" w:cs="Barlow Semi Condensed" w:eastAsia="Barlow Semi Condensed" w:hAnsi="Barlow Semi Condensed"/>
          <w:b/>
          <w:bCs/>
          <w:sz w:val="24"/>
          <w:szCs w:val="24"/>
        </w:rPr>
        <w:t xml:space="preserve">3408 · L'audizione del 1° agosto 1980.</w:t>
      </w:r>
      <w:r>
        <w:rPr>
          <w:rFonts w:ascii="Barlow Semi Condensed" w:cs="Barlow Semi Condensed" w:eastAsia="Barlow Semi Condensed" w:hAnsi="Barlow Semi Condensed"/>
          <w:sz w:val="24"/>
          <w:szCs w:val="24"/>
        </w:rPr>
        <w:t xml:space="preserve"> La sede è confermata, il contenuto verbatim no: è la quarta precisazione dell'apparato K. La vedova fu sentita dalla prima Commissione il primo agosto 1980, mentre le sintesi attribuiscono la frase alla deposizione giudiziaria del 1982. Bersaglio: lo stenografico integrale nel fondo Moro 1 all'Archivio storico del Senato e nel Doc. XXIII dell'ottava legislatura. Due piani distinti, e un solo documento capace di dirimerli.</w:t>
      </w:r>
    </w:p>
    <w:p>
      <w:pPr>
        <w:spacing w:after="120" w:line="276"/>
        <w:jc w:val="both"/>
      </w:pPr>
      <w:r>
        <w:rPr>
          <w:rFonts w:ascii="Barlow Semi Condensed" w:cs="Barlow Semi Condensed" w:eastAsia="Barlow Semi Condensed" w:hAnsi="Barlow Semi Condensed"/>
          <w:b/>
          <w:bCs/>
          <w:sz w:val="24"/>
          <w:szCs w:val="24"/>
        </w:rPr>
        <w:t xml:space="preserve">3409 · I centotrenta volumi, verificati.</w:t>
      </w:r>
      <w:r>
        <w:rPr>
          <w:rFonts w:ascii="Barlow Semi Condensed" w:cs="Barlow Semi Condensed" w:eastAsia="Barlow Semi Condensed" w:hAnsi="Barlow Semi Condensed"/>
          <w:sz w:val="24"/>
          <w:szCs w:val="24"/>
        </w:rPr>
        <w:t xml:space="preserve"> Il blocco 55 chiede se l'edizione a stampa della prima Commissione, circa centotrenta volumi, sia integralmente digitalizzata. Il bersaglio qui si stringe: accertare se l'audizione dell'agosto 1980 stia fra i volumi editi o resti soltanto negli atti del fondo. Un corpus consultabile solo in biblioteca non si interroga; e finché non si interroga, quella precisazione dell'apparato K resta aperta per ragioni tipografiche invece che storiche.</w:t>
      </w:r>
    </w:p>
    <w:p>
      <w:pPr>
        <w:spacing w:after="120" w:line="276"/>
        <w:jc w:val="both"/>
      </w:pPr>
      <w:r>
        <w:rPr>
          <w:rFonts w:ascii="Barlow Semi Condensed" w:cs="Barlow Semi Condensed" w:eastAsia="Barlow Semi Condensed" w:hAnsi="Barlow Semi Condensed"/>
          <w:b/>
          <w:bCs/>
          <w:sz w:val="24"/>
          <w:szCs w:val="24"/>
        </w:rPr>
        <w:t xml:space="preserve">3410 · La Commissione Stragi, interrogata.</w:t>
      </w:r>
      <w:r>
        <w:rPr>
          <w:rFonts w:ascii="Barlow Semi Condensed" w:cs="Barlow Semi Condensed" w:eastAsia="Barlow Semi Condensed" w:hAnsi="Barlow Semi Condensed"/>
          <w:sz w:val="24"/>
          <w:szCs w:val="24"/>
        </w:rPr>
        <w:t xml:space="preserve"> I blocchi 57 e 58 aprono il fondo della Commissione sul terrorismo e le stragi all'Archivio storico del Senato, con consultazione in sala studio su richiesta motivata. Quesito: quella Commissione trattò mai l'episodio dell'avvertimento, e in quale seduta? L'esito atteso è negativo. Se lo trattò, la collazione con le conclusioni delle due Commissioni Moro entra nella tavola del blocco 65 come divergenza da riportare, non da sciogliere.</w:t>
      </w:r>
    </w:p>
    <w:p>
      <w:pPr>
        <w:spacing w:after="120" w:line="276"/>
        <w:jc w:val="both"/>
      </w:pPr>
      <w:r>
        <w:rPr>
          <w:rFonts w:ascii="Barlow Semi Condensed" w:cs="Barlow Semi Condensed" w:eastAsia="Barlow Semi Condensed" w:hAnsi="Barlow Semi Condensed"/>
          <w:b/>
          <w:bCs/>
          <w:sz w:val="24"/>
          <w:szCs w:val="24"/>
        </w:rPr>
        <w:t xml:space="preserve">3411 · Le ventimila pagine, per stringa.</w:t>
      </w:r>
      <w:r>
        <w:rPr>
          <w:rFonts w:ascii="Barlow Semi Condensed" w:cs="Barlow Semi Condensed" w:eastAsia="Barlow Semi Condensed" w:hAnsi="Barlow Semi Condensed"/>
          <w:sz w:val="24"/>
          <w:szCs w:val="24"/>
        </w:rPr>
        <w:t xml:space="preserve"> Il blocco 52 chiede lo spoglio sistematico della documentazione desecretata della Moro 2, circa ventimila pagine già consultabili in rete. Bersaglio a costo quasi nullo: la ricerca full-text del cognome sul portale delle inchieste della Camera, con verbale dell'esito. È il tipo di ricerca che il blocco 285 vuole registrata anche quando fallisce, perché impedisce che qualcuno la rifaccia fra dieci anni credendo di essere il primo.</w:t>
      </w:r>
    </w:p>
    <w:p>
      <w:pPr>
        <w:spacing w:after="120" w:line="276"/>
        <w:jc w:val="both"/>
      </w:pPr>
      <w:r>
        <w:rPr>
          <w:rFonts w:ascii="Barlow Semi Condensed" w:cs="Barlow Semi Condensed" w:eastAsia="Barlow Semi Condensed" w:hAnsi="Barlow Semi Condensed"/>
          <w:b/>
          <w:bCs/>
          <w:sz w:val="24"/>
          <w:szCs w:val="24"/>
        </w:rPr>
        <w:t xml:space="preserve">3412 · La relazione conclusiva del 2017.</w:t>
      </w:r>
      <w:r>
        <w:rPr>
          <w:rFonts w:ascii="Barlow Semi Condensed" w:cs="Barlow Semi Condensed" w:eastAsia="Barlow Semi Condensed" w:hAnsi="Barlow Semi Condensed"/>
          <w:sz w:val="24"/>
          <w:szCs w:val="24"/>
        </w:rPr>
        <w:t xml:space="preserve"> Il blocco 48 impone la rilettura delle relazioni della Moro 2 con la griglia dei quesiti costitutivi. Bersaglio: il Doc. XXIII n. 29 del 6 dicembre 2017, per accertare che cosa vi si stabilisca sul versante internazionale, con quali fonti, e quali quesiti la Commissione dichiari aperti. Quella relazione è la mappa delle piste di quella Commissione: il confronto con la presente serie dice chi ha ignorato che cosa.</w:t>
      </w:r>
    </w:p>
    <w:p>
      <w:pPr>
        <w:spacing w:after="120" w:line="276"/>
        <w:jc w:val="both"/>
      </w:pPr>
      <w:r>
        <w:rPr>
          <w:rFonts w:ascii="Barlow Semi Condensed" w:cs="Barlow Semi Condensed" w:eastAsia="Barlow Semi Condensed" w:hAnsi="Barlow Semi Condensed"/>
          <w:b/>
          <w:bCs/>
          <w:sz w:val="24"/>
          <w:szCs w:val="24"/>
        </w:rPr>
        <w:t xml:space="preserve">3413 · L'indice unico e l'assenza certificata.</w:t>
      </w:r>
      <w:r>
        <w:rPr>
          <w:rFonts w:ascii="Barlow Semi Condensed" w:cs="Barlow Semi Condensed" w:eastAsia="Barlow Semi Condensed" w:hAnsi="Barlow Semi Condensed"/>
          <w:sz w:val="24"/>
          <w:szCs w:val="24"/>
        </w:rPr>
        <w:t xml:space="preserve"> Il blocco 67 costruisce l'anagrafe della parola istituzionale sul caso, cioè tutte le persone sentite dalle tre Commissioni. Bersaglio: certificare da quegli indici, che sono pubblici, che questo nome non vi compare mai. Non fu sentito dalla Moro 1, né dalla Commissione Stragi, né dalla Moro 2, né da magistrati italiani. Stato Zero di pieno valore, e come tale va scritto con la sua sede accanto.</w:t>
      </w:r>
    </w:p>
    <w:p>
      <w:pPr>
        <w:spacing w:after="120" w:line="276"/>
        <w:jc w:val="both"/>
      </w:pPr>
      <w:r>
        <w:rPr>
          <w:rFonts w:ascii="Barlow Semi Condensed" w:cs="Barlow Semi Condensed" w:eastAsia="Barlow Semi Condensed" w:hAnsi="Barlow Semi Condensed"/>
          <w:b/>
          <w:bCs/>
          <w:sz w:val="24"/>
          <w:szCs w:val="24"/>
        </w:rPr>
        <w:t xml:space="preserve">3414 · L'indice del segreto, letto.</w:t>
      </w:r>
      <w:r>
        <w:rPr>
          <w:rFonts w:ascii="Barlow Semi Condensed" w:cs="Barlow Semi Condensed" w:eastAsia="Barlow Semi Condensed" w:hAnsi="Barlow Semi Condensed"/>
          <w:sz w:val="24"/>
          <w:szCs w:val="24"/>
        </w:rPr>
        <w:t xml:space="preserve"> Il blocco 64 osserva che gli indici delle audizioni segretate restano pubblici anche dove i testi non lo sono, e che l'indice del segreto è già conoscenza. Bersaglio: verificare se fra le audizioni mai pubblicate degli anni 1980-1983 ve ne siano di pertinenti all'episodio, e chiederne l'apertura caso per caso. Anche qui l'esito negativo si verbalizza col perimetro, come impone il blocco 233.</w:t>
      </w:r>
    </w:p>
    <w:p>
      <w:pPr>
        <w:spacing w:after="120" w:line="276"/>
        <w:jc w:val="both"/>
      </w:pPr>
      <w:r>
        <w:rPr>
          <w:rFonts w:ascii="Barlow Semi Condensed" w:cs="Barlow Semi Condensed" w:eastAsia="Barlow Semi Condensed" w:hAnsi="Barlow Semi Condensed"/>
          <w:b/>
          <w:bCs/>
          <w:sz w:val="24"/>
          <w:szCs w:val="24"/>
        </w:rPr>
        <w:t xml:space="preserve">3415 · Il raccordo giudiziario del 1983.</w:t>
      </w:r>
      <w:r>
        <w:rPr>
          <w:rFonts w:ascii="Barlow Semi Condensed" w:cs="Barlow Semi Condensed" w:eastAsia="Barlow Semi Condensed" w:hAnsi="Barlow Semi Condensed"/>
          <w:sz w:val="24"/>
          <w:szCs w:val="24"/>
        </w:rPr>
        <w:t xml:space="preserve"> Nell'aprile 1983 una fonte d'agenzia statunitense riferì che magistrati italiani volevano interrogarlo su un acceso alterco all'ambasciata d'Italia a Washington nel 1977, e la richiesta informale non ebbe seguito. Bersaglio del blocco 69: la tavola degli atti transitati fra Commissioni e procure in quei mesi. O l'atto esiste in un registro di protocollo, o non fu mai formalizzato, e le due risposte contano allo stesso modo.</w:t>
      </w:r>
    </w:p>
    <w:p>
      <w:pPr>
        <w:spacing w:after="120" w:line="276"/>
        <w:jc w:val="both"/>
      </w:pPr>
      <w:r>
        <w:rPr>
          <w:rFonts w:ascii="Barlow Semi Condensed" w:cs="Barlow Semi Condensed" w:eastAsia="Barlow Semi Condensed" w:hAnsi="Barlow Semi Condensed"/>
          <w:b/>
          <w:bCs/>
          <w:sz w:val="24"/>
          <w:szCs w:val="24"/>
        </w:rPr>
        <w:t xml:space="preserve">3416 · Gli atti parlamentari ordinari.</w:t>
      </w:r>
      <w:r>
        <w:rPr>
          <w:rFonts w:ascii="Barlow Semi Condensed" w:cs="Barlow Semi Condensed" w:eastAsia="Barlow Semi Condensed" w:hAnsi="Barlow Semi Condensed"/>
          <w:sz w:val="24"/>
          <w:szCs w:val="24"/>
        </w:rPr>
        <w:t xml:space="preserve"> Il blocco 62 costruisce la tavola di ciò che il Parlamento chiese al Governo e di ciò che il Governo rispose, con le non-risposte censite come tali. Bersaglio: interrogazioni e interpellanze del 1982 e del 1983 sull'episodio, nelle banche dati storiche di Camera e Senato. Una domanda parlamentare rimasta senza risposta è comunque un documento, e il suo silenzio porta una data verificabile.</w:t>
      </w:r>
    </w:p>
    <w:p>
      <w:pPr>
        <w:spacing w:after="120" w:line="276"/>
        <w:jc w:val="both"/>
      </w:pPr>
      <w:r>
        <w:rPr>
          <w:rFonts w:ascii="Barlow Semi Condensed" w:cs="Barlow Semi Condensed" w:eastAsia="Barlow Semi Condensed" w:hAnsi="Barlow Semi Condensed"/>
          <w:b/>
          <w:bCs/>
          <w:sz w:val="24"/>
          <w:szCs w:val="24"/>
        </w:rPr>
        <w:t xml:space="preserve">3417 · I reperti non portano nomi.</w:t>
      </w:r>
      <w:r>
        <w:rPr>
          <w:rFonts w:ascii="Barlow Semi Condensed" w:cs="Barlow Semi Condensed" w:eastAsia="Barlow Semi Condensed" w:hAnsi="Barlow Semi Condensed"/>
          <w:sz w:val="24"/>
          <w:szCs w:val="24"/>
        </w:rPr>
        <w:t xml:space="preserve"> Un bossolo non ha nazionalità, una traccia biologica non ha politica estera, un polline non riferisce colloqui. L'intera serie quarta è muta su qualunque nome straniero, e insieme a essa lo sono conservatoria, catasto, archivio capitolino e registri delle utenze. Non è una lacuna: è la natura di quelle classi. Dichiararlo una volta impedisce di aprirvi campagne inutili e di leggerne poi il silenzio come reticenza.</w:t>
      </w:r>
    </w:p>
    <w:p>
      <w:pPr>
        <w:spacing w:after="120" w:line="276"/>
        <w:jc w:val="both"/>
      </w:pPr>
      <w:r>
        <w:rPr>
          <w:rFonts w:ascii="Barlow Semi Condensed" w:cs="Barlow Semi Condensed" w:eastAsia="Barlow Semi Condensed" w:hAnsi="Barlow Semi Condensed"/>
          <w:b/>
          <w:bCs/>
          <w:sz w:val="24"/>
          <w:szCs w:val="24"/>
        </w:rPr>
        <w:t xml:space="preserve">3418 · Il memoriale, cercato per stringa.</w:t>
      </w:r>
      <w:r>
        <w:rPr>
          <w:rFonts w:ascii="Barlow Semi Condensed" w:cs="Barlow Semi Condensed" w:eastAsia="Barlow Semi Condensed" w:hAnsi="Barlow Semi Condensed"/>
          <w:sz w:val="24"/>
          <w:szCs w:val="24"/>
        </w:rPr>
        <w:t xml:space="preserve"> I blocchi 96 e 220 trattano le carte di via Monte Nevoso come oggetti materiali e ne misurano le lacune. Bersaglio filologico distinto e verificabile: accertare se il memoriale e le lettere nominino l'interlocutore statunitense, in quali pagine, e con quale statuto, cioè giudizio politico del prigioniero e non attestazione di fatto. L'edizione critica e le fotocopie del 1990 sono la sede naturale della verifica.</w:t>
      </w:r>
    </w:p>
    <w:p>
      <w:pPr>
        <w:spacing w:after="120" w:line="276"/>
        <w:jc w:val="both"/>
      </w:pPr>
      <w:r>
        <w:rPr>
          <w:rFonts w:ascii="Barlow Semi Condensed" w:cs="Barlow Semi Condensed" w:eastAsia="Barlow Semi Condensed" w:hAnsi="Barlow Semi Condensed"/>
          <w:b/>
          <w:bCs/>
          <w:sz w:val="24"/>
          <w:szCs w:val="24"/>
        </w:rPr>
        <w:t xml:space="preserve">3419 · Il modello del blocco 95.</w:t>
      </w:r>
      <w:r>
        <w:rPr>
          <w:rFonts w:ascii="Barlow Semi Condensed" w:cs="Barlow Semi Condensed" w:eastAsia="Barlow Semi Condensed" w:hAnsi="Barlow Semi Condensed"/>
          <w:sz w:val="24"/>
          <w:szCs w:val="24"/>
        </w:rPr>
        <w:t xml:space="preserve"> Le borse mai trovate sono il modello formale di tutta questa serie: l'assenza più celebre del caso merita il suo perimetro esatto, non un'altra narrazione. Ogni Stato Zero qui dichiarato adotta la stessa forma, cioè ogni verbale che ne parla, ogni ricerca compiuta, ogni ipotesi documentale sul percorso, e si chiude con una sede invece che con un sospetto. È la differenza fra censimento negativo e reticenza.</w:t>
      </w:r>
    </w:p>
    <w:p>
      <w:pPr>
        <w:spacing w:after="120" w:line="276"/>
        <w:jc w:val="both"/>
      </w:pPr>
      <w:r>
        <w:rPr>
          <w:rFonts w:ascii="Barlow Semi Condensed" w:cs="Barlow Semi Condensed" w:eastAsia="Barlow Semi Condensed" w:hAnsi="Barlow Semi Condensed"/>
          <w:b/>
          <w:bCs/>
          <w:sz w:val="24"/>
          <w:szCs w:val="24"/>
        </w:rPr>
        <w:t xml:space="preserve">3420 · Il censimento dei viventi, chiuso.</w:t>
      </w:r>
      <w:r>
        <w:rPr>
          <w:rFonts w:ascii="Barlow Semi Condensed" w:cs="Barlow Semi Condensed" w:eastAsia="Barlow Semi Condensed" w:hAnsi="Barlow Semi Condensed"/>
          <w:sz w:val="24"/>
          <w:szCs w:val="24"/>
        </w:rPr>
        <w:t xml:space="preserve"> Heinz Alfred Kissinger, nato a Fürth il 27 maggio 1923, morì a Kent, nel Connecticut, il 29 novembre 2023. Non fu mai sentito da magistrati italiani né da alcuna Commissione parlamentare. Nella tavola del blocco 125 la sua riga porterebbe lo stato terminale che l'agenda chiama la misura esatta del costo del ritardo, deceduto prima dell'ascolto, con l'avvertenza che non fu mai teste in senso proprio.</w:t>
      </w:r>
    </w:p>
    <w:p>
      <w:pPr>
        <w:spacing w:after="120" w:line="276"/>
        <w:jc w:val="both"/>
      </w:pPr>
      <w:r>
        <w:rPr>
          <w:rFonts w:ascii="Barlow Semi Condensed" w:cs="Barlow Semi Condensed" w:eastAsia="Barlow Semi Condensed" w:hAnsi="Barlow Semi Condensed"/>
          <w:b/>
          <w:bCs/>
          <w:sz w:val="24"/>
          <w:szCs w:val="24"/>
        </w:rPr>
        <w:t xml:space="preserve">3421 · Non confondere col blocco 104.</w:t>
      </w:r>
      <w:r>
        <w:rPr>
          <w:rFonts w:ascii="Barlow Semi Condensed" w:cs="Barlow Semi Condensed" w:eastAsia="Barlow Semi Condensed" w:hAnsi="Barlow Semi Condensed"/>
          <w:sz w:val="24"/>
          <w:szCs w:val="24"/>
        </w:rPr>
        <w:t xml:space="preserve"> Il partecipante identificato mai sentito da una corte italiana è un condannato definitivo raggiungibile per rogatoria conoscitiva. Questo nome apparteneva a un'altra categoria per intero: mai imputato, mai teste, mai destinatario di un atto formale. Le due situazioni si somigliano solo nella formula mai sentito e vanno tenute separate, perché confonderle trasformerebbe un'ordinaria assenza procedurale in una sottrazione, che i documenti non attestano in alcun modo.</w:t>
      </w:r>
    </w:p>
    <w:p>
      <w:pPr>
        <w:spacing w:after="120" w:line="276"/>
        <w:jc w:val="both"/>
      </w:pPr>
      <w:r>
        <w:rPr>
          <w:rFonts w:ascii="Barlow Semi Condensed" w:cs="Barlow Semi Condensed" w:eastAsia="Barlow Semi Condensed" w:hAnsi="Barlow Semi Condensed"/>
          <w:b/>
          <w:bCs/>
          <w:sz w:val="24"/>
          <w:szCs w:val="24"/>
        </w:rPr>
        <w:t xml:space="preserve">3422 · I magistrati dell'epoca, ascoltabili.</w:t>
      </w:r>
      <w:r>
        <w:rPr>
          <w:rFonts w:ascii="Barlow Semi Condensed" w:cs="Barlow Semi Condensed" w:eastAsia="Barlow Semi Condensed" w:hAnsi="Barlow Semi Condensed"/>
          <w:sz w:val="24"/>
          <w:szCs w:val="24"/>
        </w:rPr>
        <w:t xml:space="preserve"> Il blocco 114 consente di chiedere ai magistrati viventi il come delle decisioni documentate, mai la revisione del giudicato. Bersaglio conservativo a priorità alta: che cosa fu della richiesta informale del 1983, quale ufficio la formulò, su quale atto, per quale via, con quale esito. La memoria del giudice illumina le carte e non le sostituisce; se le carte mancano, dice almeno dove converrebbe cercarle.</w:t>
      </w:r>
    </w:p>
    <w:p>
      <w:pPr>
        <w:spacing w:after="120" w:line="276"/>
        <w:jc w:val="both"/>
      </w:pPr>
      <w:r>
        <w:rPr>
          <w:rFonts w:ascii="Barlow Semi Condensed" w:cs="Barlow Semi Condensed" w:eastAsia="Barlow Semi Condensed" w:hAnsi="Barlow Semi Condensed"/>
          <w:b/>
          <w:bCs/>
          <w:sz w:val="24"/>
          <w:szCs w:val="24"/>
        </w:rPr>
        <w:t xml:space="preserve">3423 · Il taccuino della smentita.</w:t>
      </w:r>
      <w:r>
        <w:rPr>
          <w:rFonts w:ascii="Barlow Semi Condensed" w:cs="Barlow Semi Condensed" w:eastAsia="Barlow Semi Condensed" w:hAnsi="Barlow Semi Condensed"/>
          <w:sz w:val="24"/>
          <w:szCs w:val="24"/>
        </w:rPr>
        <w:t xml:space="preserve"> L'interessato negò l'episodio in forma diretta a un giornalista poco prima della morte, e in forma anteriore e generica già nel 1983. I blocchi 115 e 173 rendono quel materiale un bersaglio: taccuini, registrazioni, corrispondenza del cronista che raccolse la risposta. La smentita è testimonianza giornalistica di un solo interlocutore, non un comunicato; conservarne il supporto la rende verificabile invece che soltanto citabile.</w:t>
      </w:r>
    </w:p>
    <w:p>
      <w:pPr>
        <w:spacing w:after="120" w:line="276"/>
        <w:jc w:val="both"/>
      </w:pPr>
      <w:r>
        <w:rPr>
          <w:rFonts w:ascii="Barlow Semi Condensed" w:cs="Barlow Semi Condensed" w:eastAsia="Barlow Semi Condensed" w:hAnsi="Barlow Semi Condensed"/>
          <w:b/>
          <w:bCs/>
          <w:sz w:val="24"/>
          <w:szCs w:val="24"/>
        </w:rPr>
        <w:t xml:space="preserve">3424 · Il contraddittorio, non il confronto.</w:t>
      </w:r>
      <w:r>
        <w:rPr>
          <w:rFonts w:ascii="Barlow Semi Condensed" w:cs="Barlow Semi Condensed" w:eastAsia="Barlow Semi Condensed" w:hAnsi="Barlow Semi Condensed"/>
          <w:sz w:val="24"/>
          <w:szCs w:val="24"/>
        </w:rPr>
        <w:t xml:space="preserve"> Il blocco 123 vieta di portare due memorie divergenti al confronto suggestivo fra testimoni e impone di portarle ai documenti. Qui divergono un portavoce che riferì de relato e due testimoni italiani qualificati che negarono la minaccia pur ammettendo la durezza del colloquio, distinguendo il rimprovero aspro dalla minaccia. Nessuno dei tre assistette al colloquio riservato: si riportano tutte le versioni e si conservano entrambe le direzioni.</w:t>
      </w:r>
    </w:p>
    <w:p>
      <w:pPr>
        <w:spacing w:after="120" w:line="276"/>
        <w:jc w:val="both"/>
      </w:pPr>
      <w:r>
        <w:rPr>
          <w:rFonts w:ascii="Barlow Semi Condensed" w:cs="Barlow Semi Condensed" w:eastAsia="Barlow Semi Condensed" w:hAnsi="Barlow Semi Condensed"/>
          <w:b/>
          <w:bCs/>
          <w:sz w:val="24"/>
          <w:szCs w:val="24"/>
        </w:rPr>
        <w:t xml:space="preserve">3425 · Gli occhi stranieri, fuori perimetro.</w:t>
      </w:r>
      <w:r>
        <w:rPr>
          <w:rFonts w:ascii="Barlow Semi Condensed" w:cs="Barlow Semi Condensed" w:eastAsia="Barlow Semi Condensed" w:hAnsi="Barlow Semi Condensed"/>
          <w:sz w:val="24"/>
          <w:szCs w:val="24"/>
        </w:rPr>
        <w:t xml:space="preserve"> Il blocco 122 elenca i diplomatici e gli addetti alleati viventi in servizio a Roma nel 1978, per l'ascolto conservativo. Nel 1978 questo nome non aveva carica alcuna e non prestava servizio in nessuna sede: sta fuori da quel censimento per definizione. Chi vi cerchi la sua voce confonde un privato cittadino con un ufficio, ed è l'errore che il vincolo di calendario di questa serie previene.</w:t>
      </w:r>
    </w:p>
    <w:p>
      <w:pPr>
        <w:spacing w:after="120" w:line="276"/>
        <w:jc w:val="both"/>
      </w:pPr>
      <w:r>
        <w:rPr>
          <w:rFonts w:ascii="Barlow Semi Condensed" w:cs="Barlow Semi Condensed" w:eastAsia="Barlow Semi Condensed" w:hAnsi="Barlow Semi Condensed"/>
          <w:b/>
          <w:bCs/>
          <w:sz w:val="24"/>
          <w:szCs w:val="24"/>
        </w:rPr>
        <w:t xml:space="preserve">3426 · La mappa del vincolo.</w:t>
      </w:r>
      <w:r>
        <w:rPr>
          <w:rFonts w:ascii="Barlow Semi Condensed" w:cs="Barlow Semi Condensed" w:eastAsia="Barlow Semi Condensed" w:hAnsi="Barlow Semi Condensed"/>
          <w:sz w:val="24"/>
          <w:szCs w:val="24"/>
        </w:rPr>
        <w:t xml:space="preserve"> Il blocco 126 trasforma la scheda PE-5 in tavola operativa: per ogni archivio alleato, chi può aprire che cosa, con quale procedura, in quali tempi. Applicata a questo nome la tavola ha una sola riga davvero utile, quella statunitense, e proprio quella riga non è mai stata compilata: il territorio nomina i giacimenti americani ma non i soggetti titolari del consenso all'apertura, che sono altra cosa.</w:t>
      </w:r>
    </w:p>
    <w:p>
      <w:pPr>
        <w:spacing w:after="120" w:line="276"/>
        <w:jc w:val="both"/>
      </w:pPr>
      <w:r>
        <w:rPr>
          <w:rFonts w:ascii="Barlow Semi Condensed" w:cs="Barlow Semi Condensed" w:eastAsia="Barlow Semi Condensed" w:hAnsi="Barlow Semi Condensed"/>
          <w:b/>
          <w:bCs/>
          <w:sz w:val="24"/>
          <w:szCs w:val="24"/>
        </w:rPr>
        <w:t xml:space="preserve">3427 · Le withdrawal cards, previsione dichiarata.</w:t>
      </w:r>
      <w:r>
        <w:rPr>
          <w:rFonts w:ascii="Barlow Semi Condensed" w:cs="Barlow Semi Condensed" w:eastAsia="Barlow Semi Condensed" w:hAnsi="Barlow Semi Condensed"/>
          <w:sz w:val="24"/>
          <w:szCs w:val="24"/>
        </w:rPr>
        <w:t xml:space="preserve"> Il blocco 127 porta a tavola completa le schede delle carte dichiaratamente trattenute del 1978. Previsione falsificabile, scritta prima della ricerca: nessuna di quelle schede recherà questo nome come originatore, perché nel 1978 non firmava più cablo. Se una scheda del 1978 lo nominasse, la previsione cade e il bersaglio si riapre con priorità alta. Una previsione che nessun esito potrebbe smentire non varrebbe la riga.</w:t>
      </w:r>
    </w:p>
    <w:p>
      <w:pPr>
        <w:spacing w:after="120" w:line="276"/>
        <w:jc w:val="both"/>
      </w:pPr>
      <w:r>
        <w:rPr>
          <w:rFonts w:ascii="Barlow Semi Condensed" w:cs="Barlow Semi Condensed" w:eastAsia="Barlow Semi Condensed" w:hAnsi="Barlow Semi Condensed"/>
          <w:b/>
          <w:bCs/>
          <w:sz w:val="24"/>
          <w:szCs w:val="24"/>
        </w:rPr>
        <w:t xml:space="preserve">3428 · La griglia dell'AAD, dichiarata.</w:t>
      </w:r>
      <w:r>
        <w:rPr>
          <w:rFonts w:ascii="Barlow Semi Condensed" w:cs="Barlow Semi Condensed" w:eastAsia="Barlow Semi Condensed" w:hAnsi="Barlow Semi Condensed"/>
          <w:sz w:val="24"/>
          <w:szCs w:val="24"/>
        </w:rPr>
        <w:t xml:space="preserve"> Il blocco 128 impone griglia di ricerca dichiarata e verbale degli esiti, comprese le ricerche a vuoto. Griglia proposta: cognome come chiave libera sui telegrammi elettronici del 1978, TAGS PINT e IT, finestra dal 16 marzo al 31 dicembre. Esito atteso, prevalenza di rassegne e citazioni di stampa. Il rumore va marcato come rumore, altrimenti il conteggio delle occorrenze diventa una misura di rilevanza che non è.</w:t>
      </w:r>
    </w:p>
    <w:p>
      <w:pPr>
        <w:spacing w:after="120" w:line="276"/>
        <w:jc w:val="both"/>
      </w:pPr>
      <w:r>
        <w:rPr>
          <w:rFonts w:ascii="Barlow Semi Condensed" w:cs="Barlow Semi Condensed" w:eastAsia="Barlow Semi Condensed" w:hAnsi="Barlow Semi Condensed"/>
          <w:b/>
          <w:bCs/>
          <w:sz w:val="24"/>
          <w:szCs w:val="24"/>
        </w:rPr>
        <w:t xml:space="preserve">3429 · La microfiche intitolata a Moro.</w:t>
      </w:r>
      <w:r>
        <w:rPr>
          <w:rFonts w:ascii="Barlow Semi Condensed" w:cs="Barlow Semi Condensed" w:eastAsia="Barlow Semi Condensed" w:hAnsi="Barlow Semi Condensed"/>
          <w:sz w:val="24"/>
          <w:szCs w:val="24"/>
        </w:rPr>
        <w:t xml:space="preserve"> Il blocco 129 censisce nella FOIA Library del Dipartimento di Stato una collezione dedicata a Moro, rilascio storico su microfiche non interamente digitalizzato. Poiché è intestata all'uomo e non ai cinquantacinque giorni, copre anche gli anni del suo ministero degli Esteri: è il giacimento con la più alta probabilità di restituire un documento di piano uno su questo quesito. Priorità massima dell'intera serie sesta.</w:t>
      </w:r>
    </w:p>
    <w:p>
      <w:pPr>
        <w:spacing w:after="120" w:line="276"/>
        <w:jc w:val="both"/>
      </w:pPr>
      <w:r>
        <w:rPr>
          <w:rFonts w:ascii="Barlow Semi Condensed" w:cs="Barlow Semi Condensed" w:eastAsia="Barlow Semi Condensed" w:hAnsi="Barlow Semi Condensed"/>
          <w:b/>
          <w:bCs/>
          <w:sz w:val="24"/>
          <w:szCs w:val="24"/>
        </w:rPr>
        <w:t xml:space="preserve">3430 · Il lotto del corpus, riletto.</w:t>
      </w:r>
      <w:r>
        <w:rPr>
          <w:rFonts w:ascii="Barlow Semi Condensed" w:cs="Barlow Semi Condensed" w:eastAsia="Barlow Semi Condensed" w:hAnsi="Barlow Semi Condensed"/>
          <w:sz w:val="24"/>
          <w:szCs w:val="24"/>
        </w:rPr>
        <w:t xml:space="preserve"> Il blocco 130 lavora sul fascicolo FOIA già acquisito dal corpus, caso R-2021-002xx, numeri di controllo B-00001939965-989, TAGS PINT e IT. Bersaglio doppio: verificare se i fogli di quel lotto nominino l'interlocutore statunitense, e chiedere il rilascio integrale del caso invece dei soli fogli circolati. I numeri mancanti dell'intervallo sono già, di per sé, una lista di richieste pronte da presentare.</w:t>
      </w:r>
    </w:p>
    <w:p>
      <w:pPr>
        <w:spacing w:after="120" w:line="276"/>
        <w:jc w:val="both"/>
      </w:pPr>
      <w:r>
        <w:rPr>
          <w:rFonts w:ascii="Barlow Semi Condensed" w:cs="Barlow Semi Condensed" w:eastAsia="Barlow Semi Condensed" w:hAnsi="Barlow Semi Condensed"/>
          <w:b/>
          <w:bCs/>
          <w:sz w:val="24"/>
          <w:szCs w:val="24"/>
        </w:rPr>
        <w:t xml:space="preserve">3431 · L'erosione, una carta per volta.</w:t>
      </w:r>
      <w:r>
        <w:rPr>
          <w:rFonts w:ascii="Barlow Semi Condensed" w:cs="Barlow Semi Condensed" w:eastAsia="Barlow Semi Condensed" w:hAnsi="Barlow Semi Condensed"/>
          <w:sz w:val="24"/>
          <w:szCs w:val="24"/>
        </w:rPr>
        <w:t xml:space="preserve"> Il blocco 131 descrive la strategia con precisione: richieste mirate, una per carta o per piccolo lotto, con motivazione storica argomentata. Applicata qui significa non chiedere tutto su un nome, domanda che in regime FOIA non converge mai, ma chiedere gli item identificati dalle schede di ritiro e dalla collezione a microfiche. Ogni diniego motivato entra nel registro del blocco 259 come dato sul perimetro.</w:t>
      </w:r>
    </w:p>
    <w:p>
      <w:pPr>
        <w:spacing w:after="120" w:line="276"/>
        <w:jc w:val="both"/>
      </w:pPr>
      <w:r>
        <w:rPr>
          <w:rFonts w:ascii="Barlow Semi Condensed" w:cs="Barlow Semi Condensed" w:eastAsia="Barlow Semi Condensed" w:hAnsi="Barlow Semi Condensed"/>
          <w:b/>
          <w:bCs/>
          <w:sz w:val="24"/>
          <w:szCs w:val="24"/>
        </w:rPr>
        <w:t xml:space="preserve">3432 · CREST e la rassegna stampa.</w:t>
      </w:r>
      <w:r>
        <w:rPr>
          <w:rFonts w:ascii="Barlow Semi Condensed" w:cs="Barlow Semi Condensed" w:eastAsia="Barlow Semi Condensed" w:hAnsi="Barlow Semi Condensed"/>
          <w:sz w:val="24"/>
          <w:szCs w:val="24"/>
        </w:rPr>
        <w:t xml:space="preserve"> Il blocco 132 impone di distinguere i documenti analitici dai ritagli raccolti internamente, che sono rassegna e non intelligence. È l'avvertenza decisiva per questo nome: una sala di lettura elettronica restituisce inevitabilmente articoli che lo citano, e chi li contasse come reperti costruirebbe una densità documentale fittizia. Ogni reperto va marcato per quello che è prima ancora di essere letto, non dopo.</w:t>
      </w:r>
    </w:p>
    <w:p>
      <w:pPr>
        <w:spacing w:after="120" w:line="276"/>
        <w:jc w:val="both"/>
      </w:pPr>
      <w:r>
        <w:rPr>
          <w:rFonts w:ascii="Barlow Semi Condensed" w:cs="Barlow Semi Condensed" w:eastAsia="Barlow Semi Condensed" w:hAnsi="Barlow Semi Condensed"/>
          <w:b/>
          <w:bCs/>
          <w:sz w:val="24"/>
          <w:szCs w:val="24"/>
        </w:rPr>
        <w:t xml:space="preserve">3433 · Atlanta e il cittadino privato.</w:t>
      </w:r>
      <w:r>
        <w:rPr>
          <w:rFonts w:ascii="Barlow Semi Condensed" w:cs="Barlow Semi Condensed" w:eastAsia="Barlow Semi Condensed" w:hAnsi="Barlow Semi Condensed"/>
          <w:sz w:val="24"/>
          <w:szCs w:val="24"/>
        </w:rPr>
        <w:t xml:space="preserve"> Il blocco 133 dichiara processata e aperta la collezione del consigliere per la sicurezza nazionale, col suo Country File italiano per gli anni 1977-1981. Bersaglio falsificabile: se in quel fascicolo un appunto registrasse un parere richiesto o offerto dal predecessore ormai privato cittadino nei cinquantacinque giorni, sarebbe piano uno su un ruolo del 1978. Nessuna pubblicazione lo attesta, e l'assenza va cercata prima di essere dichiarata.</w:t>
      </w:r>
    </w:p>
    <w:p>
      <w:pPr>
        <w:spacing w:after="120" w:line="276"/>
        <w:jc w:val="both"/>
      </w:pPr>
      <w:r>
        <w:rPr>
          <w:rFonts w:ascii="Barlow Semi Condensed" w:cs="Barlow Semi Condensed" w:eastAsia="Barlow Semi Condensed" w:hAnsi="Barlow Semi Condensed"/>
          <w:b/>
          <w:bCs/>
          <w:sz w:val="24"/>
          <w:szCs w:val="24"/>
        </w:rPr>
        <w:t xml:space="preserve">3434 · La finestra sbagliata del 134.</w:t>
      </w:r>
      <w:r>
        <w:rPr>
          <w:rFonts w:ascii="Barlow Semi Condensed" w:cs="Barlow Semi Condensed" w:eastAsia="Barlow Semi Condensed" w:hAnsi="Barlow Semi Condensed"/>
          <w:sz w:val="24"/>
          <w:szCs w:val="24"/>
        </w:rPr>
        <w:t xml:space="preserve"> Il blocco 134 limita lo spoglio della serie FRUS ai volumi degli anni 1977-1980. Ma l'unico documento noto che nomini insieme le due controparti sta in FRUS 1969-1976, volume E-15 parte seconda, documento 350, seconda edizione riveduta. Correzione proposta al territorio: estendere la finestra all'indietro fino al 1969, altrimenti la serie sesta esclude per costruzione la sola carta di piano uno che il corpus possieda.</w:t>
      </w:r>
    </w:p>
    <w:p>
      <w:pPr>
        <w:spacing w:after="120" w:line="276"/>
        <w:jc w:val="both"/>
      </w:pPr>
      <w:r>
        <w:rPr>
          <w:rFonts w:ascii="Barlow Semi Condensed" w:cs="Barlow Semi Condensed" w:eastAsia="Barlow Semi Condensed" w:hAnsi="Barlow Semi Condensed"/>
          <w:b/>
          <w:bCs/>
          <w:sz w:val="24"/>
          <w:szCs w:val="24"/>
        </w:rPr>
        <w:t xml:space="preserve">3435 · FRUS non è il fondo.</w:t>
      </w:r>
      <w:r>
        <w:rPr>
          <w:rFonts w:ascii="Barlow Semi Condensed" w:cs="Barlow Semi Condensed" w:eastAsia="Barlow Semi Condensed" w:hAnsi="Barlow Semi Condensed"/>
          <w:sz w:val="24"/>
          <w:szCs w:val="24"/>
        </w:rPr>
        <w:t xml:space="preserve"> La serie ufficiale è una selezione curata da un editore che sceglie, ordina e annota, e ogni nota a piè di pagina è una segnatura da seguire. Applicata al documento 350 la regola conduce alla Gerald R. Ford Presidential Library, National Security Adviser's Memoranda of Conversation, file 1552802. Nessuna assenza in FRUS equivale ad assenza in archivio, e nessuna presenza vi dispensa dal leggere l'originale.</w:t>
      </w:r>
    </w:p>
    <w:p>
      <w:pPr>
        <w:spacing w:after="120" w:line="276"/>
        <w:jc w:val="both"/>
      </w:pPr>
      <w:r>
        <w:rPr>
          <w:rFonts w:ascii="Barlow Semi Condensed" w:cs="Barlow Semi Condensed" w:eastAsia="Barlow Semi Condensed" w:hAnsi="Barlow Semi Condensed"/>
          <w:b/>
          <w:bCs/>
          <w:sz w:val="24"/>
          <w:szCs w:val="24"/>
        </w:rPr>
        <w:t xml:space="preserve">3436 · Il verbale del 26 settembre.</w:t>
      </w:r>
      <w:r>
        <w:rPr>
          <w:rFonts w:ascii="Barlow Semi Condensed" w:cs="Barlow Semi Condensed" w:eastAsia="Barlow Semi Condensed" w:hAnsi="Barlow Semi Condensed"/>
          <w:sz w:val="24"/>
          <w:szCs w:val="24"/>
        </w:rPr>
        <w:t xml:space="preserve"> Il medesimo lotto comprende un secondo memorandum, del 26 settembre 1974, conservato alla Ford Library come file 1552806. Il corpus lo registra come reperibile e non lo tratta come già letto: gli estratti finora raccolti sono parziali e non del tutto concordi fra loro. Resta un bersaglio aperto della serie sesta e va indicato come tale, invece di essere citato come se ne fosse compiuto lo spoglio.</w:t>
      </w:r>
    </w:p>
    <w:p>
      <w:pPr>
        <w:spacing w:after="120" w:line="276"/>
        <w:jc w:val="both"/>
      </w:pPr>
      <w:r>
        <w:rPr>
          <w:rFonts w:ascii="Barlow Semi Condensed" w:cs="Barlow Semi Condensed" w:eastAsia="Barlow Semi Condensed" w:hAnsi="Barlow Semi Condensed"/>
          <w:b/>
          <w:bCs/>
          <w:sz w:val="24"/>
          <w:szCs w:val="24"/>
        </w:rPr>
        <w:t xml:space="preserve">3437 · Kew, la domanda giusta.</w:t>
      </w:r>
      <w:r>
        <w:rPr>
          <w:rFonts w:ascii="Barlow Semi Condensed" w:cs="Barlow Semi Condensed" w:eastAsia="Barlow Semi Condensed" w:hAnsi="Barlow Semi Condensed"/>
          <w:sz w:val="24"/>
          <w:szCs w:val="24"/>
        </w:rPr>
        <w:t xml:space="preserve"> Il blocco 136 indica il catalogo Discovery e le serie FCO, e la verifica V-4 nomina il fascicolo sul terrorismo in Italia, con aperture fra il 2008 e il 2009. La domanda giusta non riguarda l'uomo ma la sede britannica: che cosa Londra riferì delle posizioni americane sull'ingresso comunista fra il 1974 e il 1976. Sarebbe piano due, e come piano due andrebbe scritto e lasciato.</w:t>
      </w:r>
    </w:p>
    <w:p>
      <w:pPr>
        <w:spacing w:after="120" w:line="276"/>
        <w:jc w:val="both"/>
      </w:pPr>
      <w:r>
        <w:rPr>
          <w:rFonts w:ascii="Barlow Semi Condensed" w:cs="Barlow Semi Condensed" w:eastAsia="Barlow Semi Condensed" w:hAnsi="Barlow Semi Condensed"/>
          <w:b/>
          <w:bCs/>
          <w:sz w:val="24"/>
          <w:szCs w:val="24"/>
        </w:rPr>
        <w:t xml:space="preserve">3438 · La Courneuve e il luglio 1976.</w:t>
      </w:r>
      <w:r>
        <w:rPr>
          <w:rFonts w:ascii="Barlow Semi Condensed" w:cs="Barlow Semi Condensed" w:eastAsia="Barlow Semi Condensed" w:hAnsi="Barlow Semi Condensed"/>
          <w:sz w:val="24"/>
          <w:szCs w:val="24"/>
        </w:rPr>
        <w:t xml:space="preserve"> La sottoserie Europa degli archivi diplomatici francesi verificata per il territorio copre l'Italia dal luglio 1976 al 1980, versamento 1929INVA, novecentosettantaquattro scatole con inventario in linea. La collocazione più antica dell'episodio contestato è il settembre 1974, e cade prima dell'apertura di quella sottoserie. Il bersaglio corretto è dunque la sottoserie immediatamente precedente, e il blocco 138 va integrato con la sua segnatura prima di ogni missione.</w:t>
      </w:r>
    </w:p>
    <w:p>
      <w:pPr>
        <w:spacing w:after="120" w:line="276"/>
        <w:jc w:val="both"/>
      </w:pPr>
      <w:r>
        <w:rPr>
          <w:rFonts w:ascii="Barlow Semi Condensed" w:cs="Barlow Semi Condensed" w:eastAsia="Barlow Semi Condensed" w:hAnsi="Barlow Semi Condensed"/>
          <w:b/>
          <w:bCs/>
          <w:sz w:val="24"/>
          <w:szCs w:val="24"/>
        </w:rPr>
        <w:t xml:space="preserve">3439 · Gli scaffali dell'Alleanza, il punto.</w:t>
      </w:r>
      <w:r>
        <w:rPr>
          <w:rFonts w:ascii="Barlow Semi Condensed" w:cs="Barlow Semi Condensed" w:eastAsia="Barlow Semi Condensed" w:hAnsi="Barlow Semi Condensed"/>
          <w:sz w:val="24"/>
          <w:szCs w:val="24"/>
        </w:rPr>
        <w:t xml:space="preserve"> Il memorandum del 25 settembre 1974 attesta la posizione sull'impossibilità di scambiare informazioni militari con un governo comprendente i comunisti, col precedente portoghese richiamato. Il blocco 143 offre la sede dove verificarne il seguito documentale, cioè gli archivi dell'Alleanza e la loro sala di lettura, per le serie degli anni 1974-1976. Si cercano documenti d'archivio e non conferme di narrazioni; ciò che non c'è si verbalizza.</w:t>
      </w:r>
    </w:p>
    <w:p>
      <w:pPr>
        <w:spacing w:after="120" w:line="276"/>
        <w:jc w:val="both"/>
      </w:pPr>
      <w:r>
        <w:rPr>
          <w:rFonts w:ascii="Barlow Semi Condensed" w:cs="Barlow Semi Condensed" w:eastAsia="Barlow Semi Condensed" w:hAnsi="Barlow Semi Condensed"/>
          <w:b/>
          <w:bCs/>
          <w:sz w:val="24"/>
          <w:szCs w:val="24"/>
        </w:rPr>
        <w:t xml:space="preserve">3440 · Il precedente portoghese, verificato.</w:t>
      </w:r>
      <w:r>
        <w:rPr>
          <w:rFonts w:ascii="Barlow Semi Condensed" w:cs="Barlow Semi Condensed" w:eastAsia="Barlow Semi Condensed" w:hAnsi="Barlow Semi Condensed"/>
          <w:sz w:val="24"/>
          <w:szCs w:val="24"/>
        </w:rPr>
        <w:t xml:space="preserve"> Nel medesimo verbale il precedente portoghese è richiamato come argomento politico. Il blocco 148 consente di trattarlo come bersaglio invece che come citazione: le serie diplomatiche di Lisbona per gli anni 1974-1975, con la griglia essenziale di stato d'apertura e via d'accesso. Verificare un argomento presso la fonte che esso invoca resta il modo più economico di misurarne la consistenza, e nessuna gerarchia presunta lo impedisce.</w:t>
      </w:r>
    </w:p>
    <w:p>
      <w:pPr>
        <w:spacing w:after="120" w:line="276"/>
        <w:jc w:val="both"/>
      </w:pPr>
      <w:r>
        <w:rPr>
          <w:rFonts w:ascii="Barlow Semi Condensed" w:cs="Barlow Semi Condensed" w:eastAsia="Barlow Semi Condensed" w:hAnsi="Barlow Semi Condensed"/>
          <w:b/>
          <w:bCs/>
          <w:sz w:val="24"/>
          <w:szCs w:val="24"/>
        </w:rPr>
        <w:t xml:space="preserve">3441 · Le rogatorie mancate del 1983.</w:t>
      </w:r>
      <w:r>
        <w:rPr>
          <w:rFonts w:ascii="Barlow Semi Condensed" w:cs="Barlow Semi Condensed" w:eastAsia="Barlow Semi Condensed" w:hAnsi="Barlow Semi Condensed"/>
          <w:sz w:val="24"/>
          <w:szCs w:val="24"/>
        </w:rPr>
        <w:t xml:space="preserve"> Il blocco 149 descrive la via delle rogatorie per gli atti che una richiesta archivistica non raggiunge, con la titolarità che resta dove la legge la pone. Applicato all'episodio, dice quale forma avrebbe dovuto avere la richiesta informale del 1983 perché producesse un verbale utilizzabile. Non l'ebbe; e dal 29 novembre 2023 quella via resta chiusa in modo definitivo, senza possibilità di riapertura.</w:t>
      </w:r>
    </w:p>
    <w:p>
      <w:pPr>
        <w:spacing w:after="120" w:line="276"/>
        <w:jc w:val="both"/>
      </w:pPr>
      <w:r>
        <w:rPr>
          <w:rFonts w:ascii="Barlow Semi Condensed" w:cs="Barlow Semi Condensed" w:eastAsia="Barlow Semi Condensed" w:hAnsi="Barlow Semi Condensed"/>
          <w:b/>
          <w:bCs/>
          <w:sz w:val="24"/>
          <w:szCs w:val="24"/>
        </w:rPr>
        <w:t xml:space="preserve">3442 · Un dispaccio riferisce, non accerta (serie XLV).</w:t>
      </w:r>
      <w:r>
        <w:rPr>
          <w:rFonts w:ascii="Barlow Semi Condensed" w:cs="Barlow Semi Condensed" w:eastAsia="Barlow Semi Condensed" w:hAnsi="Barlow Semi Condensed"/>
          <w:sz w:val="24"/>
          <w:szCs w:val="24"/>
        </w:rPr>
        <w:t xml:space="preserve"> Il blocco 151 assegna a ogni documento estero lo statuto della propria natura: un dispaccio è ciò che una sede riferì, una valutazione d'intelligence è un'ipotesi di servizio. Per questo nome la disciplina si fa severa, perché nemmeno un cablo che riportasse la frase proverebbe che fu pronunciata: proverebbe che una sede la riferì. La distinzione è l'intera differenza fra circolazione e fatto.</w:t>
      </w:r>
    </w:p>
    <w:p>
      <w:pPr>
        <w:spacing w:after="120" w:line="276"/>
        <w:jc w:val="both"/>
      </w:pPr>
      <w:r>
        <w:rPr>
          <w:rFonts w:ascii="Barlow Semi Condensed" w:cs="Barlow Semi Condensed" w:eastAsia="Barlow Semi Condensed" w:hAnsi="Barlow Semi Condensed"/>
          <w:b/>
          <w:bCs/>
          <w:sz w:val="24"/>
          <w:szCs w:val="24"/>
        </w:rPr>
        <w:t xml:space="preserve">3443 · La tavola estera senza Yale.</w:t>
      </w:r>
      <w:r>
        <w:rPr>
          <w:rFonts w:ascii="Barlow Semi Condensed" w:cs="Barlow Semi Condensed" w:eastAsia="Barlow Semi Condensed" w:hAnsi="Barlow Semi Condensed"/>
          <w:sz w:val="24"/>
          <w:szCs w:val="24"/>
        </w:rPr>
        <w:t xml:space="preserve"> Il blocco 155 tiene la tavola dei giacimenti internazionali per paese, istituto e serie, ma non prevede righe per i fondi personali dei protagonisti stranieri. Le carte private di questo nome sono depositate presso Manuscripts and Archives della Yale University Library. Proposta: aggiungere la riga, chiedendo prima lo strumento di ricerca e le restrizioni temporali vigenti, secondo la regola d'ingaggio fissata al blocco 287.</w:t>
      </w:r>
    </w:p>
    <w:p>
      <w:pPr>
        <w:spacing w:after="120" w:line="276"/>
        <w:jc w:val="both"/>
      </w:pPr>
      <w:r>
        <w:rPr>
          <w:rFonts w:ascii="Barlow Semi Condensed" w:cs="Barlow Semi Condensed" w:eastAsia="Barlow Semi Condensed" w:hAnsi="Barlow Semi Condensed"/>
          <w:b/>
          <w:bCs/>
          <w:sz w:val="24"/>
          <w:szCs w:val="24"/>
        </w:rPr>
        <w:t xml:space="preserve">3444 · Le carte dell'uomo, duecentodiciotto buste.</w:t>
      </w:r>
      <w:r>
        <w:rPr>
          <w:rFonts w:ascii="Barlow Semi Condensed" w:cs="Barlow Semi Condensed" w:eastAsia="Barlow Semi Condensed" w:hAnsi="Barlow Semi Condensed"/>
          <w:sz w:val="24"/>
          <w:szCs w:val="24"/>
        </w:rPr>
        <w:t xml:space="preserve"> Il blocco 157 cerca dove giacciano, pezzo per pezzo, le carte personali di Moro, e la verifica V-6 ne fissa tre nuclei distinti, fra cui il fondo personale all'Archivio centrale dello Stato, duecentodiciotto buste per gli anni 1953-1978. Quel fondo copre i mandati alla Farnesina e dunque il settembre 1974: è la sede italiana con la maggiore probabilità di conservare il rovescio del verbale americano.</w:t>
      </w:r>
    </w:p>
    <w:p>
      <w:pPr>
        <w:spacing w:after="120" w:line="276"/>
        <w:jc w:val="both"/>
      </w:pPr>
      <w:r>
        <w:rPr>
          <w:rFonts w:ascii="Barlow Semi Condensed" w:cs="Barlow Semi Condensed" w:eastAsia="Barlow Semi Condensed" w:hAnsi="Barlow Semi Condensed"/>
          <w:b/>
          <w:bCs/>
          <w:sz w:val="24"/>
          <w:szCs w:val="24"/>
        </w:rPr>
        <w:t xml:space="preserve">3445 · L'edizione digitale, interrogata.</w:t>
      </w:r>
      <w:r>
        <w:rPr>
          <w:rFonts w:ascii="Barlow Semi Condensed" w:cs="Barlow Semi Condensed" w:eastAsia="Barlow Semi Condensed" w:hAnsi="Barlow Semi Condensed"/>
          <w:sz w:val="24"/>
          <w:szCs w:val="24"/>
        </w:rPr>
        <w:t xml:space="preserve"> Il blocco 158 misura lo stato delle edizioni degli scritti morotei e ne segnala i vuoti; la verifica V-12 registra l'esistenza dell'edizione nazionale digitale. Bersaglio a costo minimo e a esito immediato: interrogarla col cognome e con le date della visita di Stato, verbalizzando anche il nulla. Un'edizione critica interrogabile risponde in un'ora a una domanda che in sala studio costerebbe una missione intera.</w:t>
      </w:r>
    </w:p>
    <w:p>
      <w:pPr>
        <w:spacing w:after="120" w:line="276"/>
        <w:jc w:val="both"/>
      </w:pPr>
      <w:r>
        <w:rPr>
          <w:rFonts w:ascii="Barlow Semi Condensed" w:cs="Barlow Semi Condensed" w:eastAsia="Barlow Semi Condensed" w:hAnsi="Barlow Semi Condensed"/>
          <w:b/>
          <w:bCs/>
          <w:sz w:val="24"/>
          <w:szCs w:val="24"/>
        </w:rPr>
        <w:t xml:space="preserve">3446 · I diari del settembre 1974.</w:t>
      </w:r>
      <w:r>
        <w:rPr>
          <w:rFonts w:ascii="Barlow Semi Condensed" w:cs="Barlow Semi Condensed" w:eastAsia="Barlow Semi Condensed" w:hAnsi="Barlow Semi Condensed"/>
          <w:sz w:val="24"/>
          <w:szCs w:val="24"/>
        </w:rPr>
        <w:t xml:space="preserve"> Il blocco 162 indica il fondo Fanfani all'Archivio storico del Senato, duecentonovantatré buste e quarantatré diari, col tomo degli anni 1977-1980 già in piano editoriale. Bersaglio distinto e datato: la pagina di diario del 25 e del 26 settembre 1974, se esiste. Vale il blocco 179 senza sconti: un diario prova ciò che il suo autore scrisse e quando, grado F sulla scrittura e C sul contenuto.</w:t>
      </w:r>
    </w:p>
    <w:p>
      <w:pPr>
        <w:spacing w:after="120" w:line="276"/>
        <w:jc w:val="both"/>
      </w:pPr>
      <w:r>
        <w:rPr>
          <w:rFonts w:ascii="Barlow Semi Condensed" w:cs="Barlow Semi Condensed" w:eastAsia="Barlow Semi Condensed" w:hAnsi="Barlow Semi Condensed"/>
          <w:b/>
          <w:bCs/>
          <w:sz w:val="24"/>
          <w:szCs w:val="24"/>
        </w:rPr>
        <w:t xml:space="preserve">3447 · L'interprete come bersaglio.</w:t>
      </w:r>
      <w:r>
        <w:rPr>
          <w:rFonts w:ascii="Barlow Semi Condensed" w:cs="Barlow Semi Condensed" w:eastAsia="Barlow Semi Condensed" w:hAnsi="Barlow Semi Condensed"/>
          <w:sz w:val="24"/>
          <w:szCs w:val="24"/>
        </w:rPr>
        <w:t xml:space="preserve"> Una delle smentite italiane poggia su un dato materiale e verificabile: Moro non parlava inglese, e il testimone dichiarò di aver verificato allora la vicenda con l'interprete. Ne discende un bersaglio nominabile per il blocco 168: atti di servizio degli interpreti della delegazione del settembre 1974, liste della delegazione, note di missione. Chi tradusse sarebbe il solo testimone possibile di uno scambio verbale diretto.</w:t>
      </w:r>
    </w:p>
    <w:p>
      <w:pPr>
        <w:spacing w:after="120" w:line="276"/>
        <w:jc w:val="both"/>
      </w:pPr>
      <w:r>
        <w:rPr>
          <w:rFonts w:ascii="Barlow Semi Condensed" w:cs="Barlow Semi Condensed" w:eastAsia="Barlow Semi Condensed" w:hAnsi="Barlow Semi Condensed"/>
          <w:b/>
          <w:bCs/>
          <w:sz w:val="24"/>
          <w:szCs w:val="24"/>
        </w:rPr>
        <w:t xml:space="preserve">3448 · Il titolare della Difesa, accertato.</w:t>
      </w:r>
      <w:r>
        <w:rPr>
          <w:rFonts w:ascii="Barlow Semi Condensed" w:cs="Barlow Semi Condensed" w:eastAsia="Barlow Semi Condensed" w:hAnsi="Barlow Semi Condensed"/>
          <w:sz w:val="24"/>
          <w:szCs w:val="24"/>
        </w:rPr>
        <w:t xml:space="preserve"> La materia del verbale del 25 settembre 1974 è lo scambio di informazioni militari fra alleati. Ne discende un bersaglio ordinato in due tempi: accertare dall'annuario ufficiale chi reggesse il dicastero della Difesa a quella data, e cercarne poi le carte personali secondo il blocco 168 e le carte d'ufficio secondo il blocco 25. Prima il nome dell'ufficio dagli atti, poi il fondo, mai l'ordine inverso.</w:t>
      </w:r>
    </w:p>
    <w:p>
      <w:pPr>
        <w:spacing w:after="120" w:line="276"/>
        <w:jc w:val="both"/>
      </w:pPr>
      <w:r>
        <w:rPr>
          <w:rFonts w:ascii="Barlow Semi Condensed" w:cs="Barlow Semi Condensed" w:eastAsia="Barlow Semi Condensed" w:hAnsi="Barlow Semi Condensed"/>
          <w:b/>
          <w:bCs/>
          <w:sz w:val="24"/>
          <w:szCs w:val="24"/>
        </w:rPr>
        <w:t xml:space="preserve">3449 · Cossiga contro sé stesso.</w:t>
      </w:r>
      <w:r>
        <w:rPr>
          <w:rFonts w:ascii="Barlow Semi Condensed" w:cs="Barlow Semi Condensed" w:eastAsia="Barlow Semi Condensed" w:hAnsi="Barlow Semi Condensed"/>
          <w:sz w:val="24"/>
          <w:szCs w:val="24"/>
        </w:rPr>
        <w:t xml:space="preserve"> Il blocco 161 colloca l'archivio privato di Francesco Cossiga all'Archivio storico della Camera, trecentootto buste con inventario informatizzato, e il blocco 170 impone la collazione fra memorie edite e carte coeve. Bersaglio filologico: che cosa le sue dichiarazioni pubbliche dissero della pressione americana, e che cosa le sue carte del periodo confermano. La tavola delle divergenze fra pubblicato e coevo è il prodotto atteso.</w:t>
      </w:r>
    </w:p>
    <w:p>
      <w:pPr>
        <w:spacing w:after="120" w:line="276"/>
        <w:jc w:val="both"/>
      </w:pPr>
      <w:r>
        <w:rPr>
          <w:rFonts w:ascii="Barlow Semi Condensed" w:cs="Barlow Semi Condensed" w:eastAsia="Barlow Semi Condensed" w:hAnsi="Barlow Semi Condensed"/>
          <w:b/>
          <w:bCs/>
          <w:sz w:val="24"/>
          <w:szCs w:val="24"/>
        </w:rPr>
        <w:t xml:space="preserve">3450 · Botteghe Oscure e l'ostilità.</w:t>
      </w:r>
      <w:r>
        <w:rPr>
          <w:rFonts w:ascii="Barlow Semi Condensed" w:cs="Barlow Semi Condensed" w:eastAsia="Barlow Semi Condensed" w:hAnsi="Barlow Semi Condensed"/>
          <w:sz w:val="24"/>
          <w:szCs w:val="24"/>
        </w:rPr>
        <w:t xml:space="preserve"> Il blocco 166 apre l'archivio del Partito comunista presso la fondazione che lo conserva, quattromilacentottantaquattro buste, aperto alla consultazione. Bersaglio di piano due, dichiarato tale in partenza: che cosa il partito registrò, nelle serie di direzione e segreteria, dell'ostilità atlantica al proprio ingresso nell'area di governo fra il 1974 e il 1978. È cornice documentata, non catena di comando, e come cornice si scrive.</w:t>
      </w:r>
    </w:p>
    <w:p>
      <w:pPr>
        <w:spacing w:after="120" w:line="276"/>
        <w:jc w:val="both"/>
      </w:pPr>
      <w:r>
        <w:rPr>
          <w:rFonts w:ascii="Barlow Semi Condensed" w:cs="Barlow Semi Condensed" w:eastAsia="Barlow Semi Condensed" w:hAnsi="Barlow Semi Condensed"/>
          <w:b/>
          <w:bCs/>
          <w:sz w:val="24"/>
          <w:szCs w:val="24"/>
        </w:rPr>
        <w:t xml:space="preserve">3451 · Il testo come dato.</w:t>
      </w:r>
      <w:r>
        <w:rPr>
          <w:rFonts w:ascii="Barlow Semi Condensed" w:cs="Barlow Semi Condensed" w:eastAsia="Barlow Semi Condensed" w:hAnsi="Barlow Semi Condensed"/>
          <w:sz w:val="24"/>
          <w:szCs w:val="24"/>
        </w:rPr>
        <w:t xml:space="preserve"> Il blocco 201 vuole ogni pagina interrogabile e ogni estrazione automatica marcata come non certificata finché un occhio umano non la verbalizzi. Applicazione propria a questa serie: misurare l'identità testuale fra le riprese in rete dell'episodio, per accertare se risalgano davvero tutte a un unico lancio d'agenzia del 30 novembre 2023. La macchina propone la sovrapposizione, l'uomo la verbalizza, e il conteggio smette di ingannare.</w:t>
      </w:r>
    </w:p>
    <w:p>
      <w:pPr>
        <w:spacing w:after="120" w:line="276"/>
        <w:jc w:val="both"/>
      </w:pPr>
      <w:r>
        <w:rPr>
          <w:rFonts w:ascii="Barlow Semi Condensed" w:cs="Barlow Semi Condensed" w:eastAsia="Barlow Semi Condensed" w:hAnsi="Barlow Semi Condensed"/>
          <w:b/>
          <w:bCs/>
          <w:sz w:val="24"/>
          <w:szCs w:val="24"/>
        </w:rPr>
        <w:t xml:space="preserve">3452 · Il limite scritto della stilometria.</w:t>
      </w:r>
      <w:r>
        <w:rPr>
          <w:rFonts w:ascii="Barlow Semi Condensed" w:cs="Barlow Semi Condensed" w:eastAsia="Barlow Semi Condensed" w:hAnsi="Barlow Semi Condensed"/>
          <w:sz w:val="24"/>
          <w:szCs w:val="24"/>
        </w:rPr>
        <w:t xml:space="preserve"> Il blocco 202 impone alla stilometria un limite dichiarato in testa: orienta quesiti d'archivio, non attribuisce paternità in sede storica né giudiziaria. Applicato qui, quel limite diventa divieto puro, perché l'oggetto contestato è una frase orale mai registrata e priva di qualunque supporto. Nessuna tecnica testuale può attribuirla o escluderla: dichiararlo evita che una serie di scienze nuove prometta ciò che nessun dato consente.</w:t>
      </w:r>
    </w:p>
    <w:p>
      <w:pPr>
        <w:spacing w:after="120" w:line="276"/>
        <w:jc w:val="both"/>
      </w:pPr>
      <w:r>
        <w:rPr>
          <w:rFonts w:ascii="Barlow Semi Condensed" w:cs="Barlow Semi Condensed" w:eastAsia="Barlow Semi Condensed" w:hAnsi="Barlow Semi Condensed"/>
          <w:b/>
          <w:bCs/>
          <w:sz w:val="24"/>
          <w:szCs w:val="24"/>
        </w:rPr>
        <w:t xml:space="preserve">3453 · La macchina propone, l'uomo verbalizza.</w:t>
      </w:r>
      <w:r>
        <w:rPr>
          <w:rFonts w:ascii="Barlow Semi Condensed" w:cs="Barlow Semi Condensed" w:eastAsia="Barlow Semi Condensed" w:hAnsi="Barlow Semi Condensed"/>
          <w:sz w:val="24"/>
          <w:szCs w:val="24"/>
        </w:rPr>
        <w:t xml:space="preserve"> Il blocco 207 fissa per la serie ottava l'uso dichiarato dei sistemi automatici: proporre accostamenti, trascrivere, indicizzare, segnalare anomalie, mai verbalizzare o graduare o concludere. Su un nome tanto rappresentato in rete la regola vale doppio, perché qualunque motore restituisce accostamenti in abbondanza e nessuno di essi è un documento. Ogni output automatico resta marcato come tale finché una firma umana non lo trasforma in atto.</w:t>
      </w:r>
    </w:p>
    <w:p>
      <w:pPr>
        <w:spacing w:after="120" w:line="276"/>
        <w:jc w:val="both"/>
      </w:pPr>
      <w:r>
        <w:rPr>
          <w:rFonts w:ascii="Barlow Semi Condensed" w:cs="Barlow Semi Condensed" w:eastAsia="Barlow Semi Condensed" w:hAnsi="Barlow Semi Condensed"/>
          <w:b/>
          <w:bCs/>
          <w:sz w:val="24"/>
          <w:szCs w:val="24"/>
        </w:rPr>
        <w:t xml:space="preserve">3454 · Senza primario, niente pista.</w:t>
      </w:r>
      <w:r>
        <w:rPr>
          <w:rFonts w:ascii="Barlow Semi Condensed" w:cs="Barlow Semi Condensed" w:eastAsia="Barlow Semi Condensed" w:hAnsi="Barlow Semi Condensed"/>
          <w:sz w:val="24"/>
          <w:szCs w:val="24"/>
        </w:rPr>
        <w:t xml:space="preserve"> Il blocco 221 è la legge di questa serie: a ogni versione che ponga una regia estera si oppone la ricerca del documento primario che la sosterrebbe, e si dichiara Stato Zero dove non c'è. Il blocco 234 aggiunge il rovescio cortese: chi sostiene la tesi formuli i propri bersagli nella stessa grammatica, cioè quesito, giacimento, evidenza attesa, criterio di chiusura. L'agenda è aperta agli avversari.</w:t>
      </w:r>
    </w:p>
    <w:p>
      <w:pPr>
        <w:spacing w:after="120" w:line="276"/>
        <w:jc w:val="both"/>
      </w:pPr>
      <w:r>
        <w:rPr>
          <w:rFonts w:ascii="Barlow Semi Condensed" w:cs="Barlow Semi Condensed" w:eastAsia="Barlow Semi Condensed" w:hAnsi="Barlow Semi Condensed"/>
          <w:b/>
          <w:bCs/>
          <w:sz w:val="24"/>
          <w:szCs w:val="24"/>
        </w:rPr>
        <w:t xml:space="preserve">3455 · La corroborazione prima dell'uso.</w:t>
      </w:r>
      <w:r>
        <w:rPr>
          <w:rFonts w:ascii="Barlow Semi Condensed" w:cs="Barlow Semi Condensed" w:eastAsia="Barlow Semi Condensed" w:hAnsi="Barlow Semi Condensed"/>
          <w:sz w:val="24"/>
          <w:szCs w:val="24"/>
        </w:rPr>
        <w:t xml:space="preserve"> Il blocco 224 fissa il controlimite con un precedente scolpito, la ritrattazione resa davanti alla Moro 2 da un teste storico del caso. Tradotto qui, dice che una testimonianza de relato resa quattro anni dopo i fatti non fonda nulla senza corroborazione fisica, e che chi corregge sé stesso con un documento serve il caso quanto chi conferma. Il controlimite vale a favore e contro l'ipotesi.</w:t>
      </w:r>
    </w:p>
    <w:p>
      <w:pPr>
        <w:spacing w:after="120" w:line="276"/>
        <w:jc w:val="both"/>
      </w:pPr>
      <w:r>
        <w:rPr>
          <w:rFonts w:ascii="Barlow Semi Condensed" w:cs="Barlow Semi Condensed" w:eastAsia="Barlow Semi Condensed" w:hAnsi="Barlow Semi Condensed"/>
          <w:b/>
          <w:bCs/>
          <w:sz w:val="24"/>
          <w:szCs w:val="24"/>
        </w:rPr>
        <w:t xml:space="preserve">3456 · Contro l'omissione degli alleati.</w:t>
      </w:r>
      <w:r>
        <w:rPr>
          <w:rFonts w:ascii="Barlow Semi Condensed" w:cs="Barlow Semi Condensed" w:eastAsia="Barlow Semi Condensed" w:hAnsi="Barlow Semi Condensed"/>
          <w:sz w:val="24"/>
          <w:szCs w:val="24"/>
        </w:rPr>
        <w:t xml:space="preserve"> Il blocco 228 cerca nei giacimenti esteri la prova che gli alleati riferirono tempestivamente alle autorità italiane ciò che sapevano, perché la cooperazione documentata smentirebbe la reticenza congetturata. Applicato al 1978 il bersaglio non tocca questo nome, che allora non aveva sede da cui riferire. Vale invece per le sedi diplomatiche in servizio, ed è lì che l'erosione per atto formale conviene concentrarsi.</w:t>
      </w:r>
    </w:p>
    <w:p>
      <w:pPr>
        <w:spacing w:after="120" w:line="276"/>
        <w:jc w:val="both"/>
      </w:pPr>
      <w:r>
        <w:rPr>
          <w:rFonts w:ascii="Barlow Semi Condensed" w:cs="Barlow Semi Condensed" w:eastAsia="Barlow Semi Condensed" w:hAnsi="Barlow Semi Condensed"/>
          <w:b/>
          <w:bCs/>
          <w:sz w:val="24"/>
          <w:szCs w:val="24"/>
        </w:rPr>
        <w:t xml:space="preserve">3457 · Chiusa per smentita o stanchezza.</w:t>
      </w:r>
      <w:r>
        <w:rPr>
          <w:rFonts w:ascii="Barlow Semi Condensed" w:cs="Barlow Semi Condensed" w:eastAsia="Barlow Semi Condensed" w:hAnsi="Barlow Semi Condensed"/>
          <w:sz w:val="24"/>
          <w:szCs w:val="24"/>
        </w:rPr>
        <w:t xml:space="preserve"> Il blocco 230 chiede, per ogni pista archiviata, se la chiusura avvenne per smentita documentata o per stanchezza, perché solo la prima regge. Per il versante internazionale la risposta è verificabile: la Fase sesta dichiara lo Stato Zero come ricerca condotta e chiusa in negativo, e la Parte terza lo motiva col divieto di dedurre dalla prossimità di un nemico il suo mandato. Chiusura per smentita, dunque.</w:t>
      </w:r>
    </w:p>
    <w:p>
      <w:pPr>
        <w:spacing w:after="120" w:line="276"/>
        <w:jc w:val="both"/>
      </w:pPr>
      <w:r>
        <w:rPr>
          <w:rFonts w:ascii="Barlow Semi Condensed" w:cs="Barlow Semi Condensed" w:eastAsia="Barlow Semi Condensed" w:hAnsi="Barlow Semi Condensed"/>
          <w:b/>
          <w:bCs/>
          <w:sz w:val="24"/>
          <w:szCs w:val="24"/>
        </w:rPr>
        <w:t xml:space="preserve">3458 · Contro il corpus stesso.</w:t>
      </w:r>
      <w:r>
        <w:rPr>
          <w:rFonts w:ascii="Barlow Semi Condensed" w:cs="Barlow Semi Condensed" w:eastAsia="Barlow Semi Condensed" w:hAnsi="Barlow Semi Condensed"/>
          <w:sz w:val="24"/>
          <w:szCs w:val="24"/>
        </w:rPr>
        <w:t xml:space="preserve"> Il blocco 231 impone l'atto più scomodo, cercare l'errore nelle proprie schede e correggere per nota anziché per riscrittura. Il corpus lo ha già fatto: le sette precisazioni dell'apparato K sono state registrate accanto al nodo M-5 della triangolazione Guevara-Moro senza toccarne il testo originario. Le prossime note di revisione su questo nome si contano fra i risultati, mai fra le sconfitte.</w:t>
      </w:r>
    </w:p>
    <w:p>
      <w:pPr>
        <w:spacing w:after="120" w:line="276"/>
        <w:jc w:val="both"/>
      </w:pPr>
      <w:r>
        <w:rPr>
          <w:rFonts w:ascii="Barlow Semi Condensed" w:cs="Barlow Semi Condensed" w:eastAsia="Barlow Semi Condensed" w:hAnsi="Barlow Semi Condensed"/>
          <w:b/>
          <w:bCs/>
          <w:sz w:val="24"/>
          <w:szCs w:val="24"/>
        </w:rPr>
        <w:t xml:space="preserve">3459 · Il buco misurato, non narrato.</w:t>
      </w:r>
      <w:r>
        <w:rPr>
          <w:rFonts w:ascii="Barlow Semi Condensed" w:cs="Barlow Semi Condensed" w:eastAsia="Barlow Semi Condensed" w:hAnsi="Barlow Semi Condensed"/>
          <w:sz w:val="24"/>
          <w:szCs w:val="24"/>
        </w:rPr>
        <w:t xml:space="preserve"> Il blocco 233 fissa la forma dell'esito negativo: che cosa è stato cercato, dove, quando, con quale perimetro. Ogni Stato Zero di questa serie ne assume il modulo, e ne discende un obbligo pratico: nessun blocco può dichiarare un'assenza senza nominare la sede che la chiuderebbe. Il buco misurato è conoscenza; il buco narrato è romanzo, e la distinzione non ammette gradazioni intermedie.</w:t>
      </w:r>
    </w:p>
    <w:p>
      <w:pPr>
        <w:spacing w:after="120" w:line="276"/>
        <w:jc w:val="both"/>
      </w:pPr>
      <w:r>
        <w:rPr>
          <w:rFonts w:ascii="Barlow Semi Condensed" w:cs="Barlow Semi Condensed" w:eastAsia="Barlow Semi Condensed" w:hAnsi="Barlow Semi Condensed"/>
          <w:b/>
          <w:bCs/>
          <w:sz w:val="24"/>
          <w:szCs w:val="24"/>
        </w:rPr>
        <w:t xml:space="preserve">3460 · Il primo rigo del registro.</w:t>
      </w:r>
      <w:r>
        <w:rPr>
          <w:rFonts w:ascii="Barlow Semi Condensed" w:cs="Barlow Semi Condensed" w:eastAsia="Barlow Semi Condensed" w:hAnsi="Barlow Semi Condensed"/>
          <w:sz w:val="24"/>
          <w:szCs w:val="24"/>
        </w:rPr>
        <w:t xml:space="preserve"> Il blocco 235 tiene il registro pubblico delle smentite riuscite, con la data e il documento accanto a ciascuna. La prima riga che questa serie vi deposita è netta: il verbale dello Studio Ovale del 25 settembre 1974 non contiene alcun ultimatum personale, ed è leggibile in FRUS 1969-1976 E-15 parte seconda documento 350 e alla Ford Library. Ciò che chiude bene non riapre per suggestione.</w:t>
      </w:r>
    </w:p>
    <w:p>
      <w:pPr>
        <w:spacing w:after="120" w:line="276"/>
        <w:jc w:val="both"/>
      </w:pPr>
      <w:r>
        <w:rPr>
          <w:rFonts w:ascii="Barlow Semi Condensed" w:cs="Barlow Semi Condensed" w:eastAsia="Barlow Semi Condensed" w:hAnsi="Barlow Semi Condensed"/>
          <w:b/>
          <w:bCs/>
          <w:sz w:val="24"/>
          <w:szCs w:val="24"/>
        </w:rPr>
        <w:t xml:space="preserve">3461 · I protocolli riservati, estesi.</w:t>
      </w:r>
      <w:r>
        <w:rPr>
          <w:rFonts w:ascii="Barlow Semi Condensed" w:cs="Barlow Semi Condensed" w:eastAsia="Barlow Semi Condensed" w:hAnsi="Barlow Semi Condensed"/>
          <w:sz w:val="24"/>
          <w:szCs w:val="24"/>
        </w:rPr>
        <w:t xml:space="preserve"> Il blocco 244 chiede i registri di protocollo riservato di Interno ed Esteri per i mesi da marzo a maggio 1978, perché il protocollo che registra una nota scomparsa prova che la nota esistette. Proposta di estensione: aggiungere la finestra del settembre 1974 per il solo dicastero degli Esteri. La carta seriale consentirebbe di dire quali documenti esistettero anche dove i documenti stessi mancano.</w:t>
      </w:r>
    </w:p>
    <w:p>
      <w:pPr>
        <w:spacing w:after="120" w:line="276"/>
        <w:jc w:val="both"/>
      </w:pPr>
      <w:r>
        <w:rPr>
          <w:rFonts w:ascii="Barlow Semi Condensed" w:cs="Barlow Semi Condensed" w:eastAsia="Barlow Semi Condensed" w:hAnsi="Barlow Semi Condensed"/>
          <w:b/>
          <w:bCs/>
          <w:sz w:val="24"/>
          <w:szCs w:val="24"/>
        </w:rPr>
        <w:t xml:space="preserve">3462 · Le agende di gabinetto.</w:t>
      </w:r>
      <w:r>
        <w:rPr>
          <w:rFonts w:ascii="Barlow Semi Condensed" w:cs="Barlow Semi Condensed" w:eastAsia="Barlow Semi Condensed" w:hAnsi="Barlow Semi Condensed"/>
          <w:sz w:val="24"/>
          <w:szCs w:val="24"/>
        </w:rPr>
        <w:t xml:space="preserve"> Il blocco 245 distingue con nettezza le agende private dai registri d'ufficio, che sono atti e si chiedono come atti. Bersaglio: i registri di presenza e le agende ufficiali del gabinetto degli Esteri per il 25 e il 26 settembre 1974, cioè chi incontrò chi e quando, negli uffici che decidevano. Nessuna interpretazione, solo righe con orari e nomi di funzione.</w:t>
      </w:r>
    </w:p>
    <w:p>
      <w:pPr>
        <w:spacing w:after="120" w:line="276"/>
        <w:jc w:val="both"/>
      </w:pPr>
      <w:r>
        <w:rPr>
          <w:rFonts w:ascii="Barlow Semi Condensed" w:cs="Barlow Semi Condensed" w:eastAsia="Barlow Semi Condensed" w:hAnsi="Barlow Semi Condensed"/>
          <w:b/>
          <w:bCs/>
          <w:sz w:val="24"/>
          <w:szCs w:val="24"/>
        </w:rPr>
        <w:t xml:space="preserve">3463 · La riga di conflitto.</w:t>
      </w:r>
      <w:r>
        <w:rPr>
          <w:rFonts w:ascii="Barlow Semi Condensed" w:cs="Barlow Semi Condensed" w:eastAsia="Barlow Semi Condensed" w:hAnsi="Barlow Semi Condensed"/>
          <w:sz w:val="24"/>
          <w:szCs w:val="24"/>
        </w:rPr>
        <w:t xml:space="preserve"> Il blocco 253 fonde tutte le cronologie del caso in una tavola strutturata con data, ora, evento, fonte, grado, e i conflitti fra fonti dichiarati riga per riga. Questa serie vi deposita un conflitto esemplare: la collocazione dell'episodio oscilla fra il 1974, il 1976 e il 1977, e divergono anche i luoghi. Si scrive come riga in conflitto, e non si sceglie in silenzio.</w:t>
      </w:r>
    </w:p>
    <w:p>
      <w:pPr>
        <w:spacing w:after="120" w:line="276"/>
        <w:jc w:val="both"/>
      </w:pPr>
      <w:r>
        <w:rPr>
          <w:rFonts w:ascii="Barlow Semi Condensed" w:cs="Barlow Semi Condensed" w:eastAsia="Barlow Semi Condensed" w:hAnsi="Barlow Semi Condensed"/>
          <w:b/>
          <w:bCs/>
          <w:sz w:val="24"/>
          <w:szCs w:val="24"/>
        </w:rPr>
        <w:t xml:space="preserve">3464 · La cronologia del dopo.</w:t>
      </w:r>
      <w:r>
        <w:rPr>
          <w:rFonts w:ascii="Barlow Semi Condensed" w:cs="Barlow Semi Condensed" w:eastAsia="Barlow Semi Condensed" w:hAnsi="Barlow Semi Condensed"/>
          <w:sz w:val="24"/>
          <w:szCs w:val="24"/>
        </w:rPr>
        <w:t xml:space="preserve"> Il blocco 254 estende la tavola oltre il 9 maggio 1978, perché il caso ha quarantott'anni di storia documentale da rendere interrogabile. Voci che le competono su questo versante: la deposizione del novembre 1982, l'iniziativa mancata dell'aprile 1983, la morte del 29 novembre 2023 e il lancio d'agenzia del giorno successivo. Sono eventi della circolazione della voce, e come tali vanno etichettati.</w:t>
      </w:r>
    </w:p>
    <w:p>
      <w:pPr>
        <w:spacing w:after="120" w:line="276"/>
        <w:jc w:val="both"/>
      </w:pPr>
      <w:r>
        <w:rPr>
          <w:rFonts w:ascii="Barlow Semi Condensed" w:cs="Barlow Semi Condensed" w:eastAsia="Barlow Semi Condensed" w:hAnsi="Barlow Semi Condensed"/>
          <w:b/>
          <w:bCs/>
          <w:sz w:val="24"/>
          <w:szCs w:val="24"/>
        </w:rPr>
        <w:t xml:space="preserve">3465 · Il raccordo di PE-5.</w:t>
      </w:r>
      <w:r>
        <w:rPr>
          <w:rFonts w:ascii="Barlow Semi Condensed" w:cs="Barlow Semi Condensed" w:eastAsia="Barlow Semi Condensed" w:hAnsi="Barlow Semi Condensed"/>
          <w:sz w:val="24"/>
          <w:szCs w:val="24"/>
        </w:rPr>
        <w:t xml:space="preserve"> Il blocco 272 fa dipendere l'entità degli alleati dalla serie sesta, col censimento del ritenuto e la sua erosione per atto, e affida al registro delle richieste la contabilità. Precisazione che questa serie aggiunge: la scheda PE-5 è enumerativa, non ipotetica, e non ha ipotesi da discriminare. Chi vi cercasse una regia cercherebbe qualcosa che la scheda dichiara di non trattare.</w:t>
      </w:r>
    </w:p>
    <w:p>
      <w:pPr>
        <w:spacing w:after="120" w:line="276"/>
        <w:jc w:val="both"/>
      </w:pPr>
      <w:r>
        <w:rPr>
          <w:rFonts w:ascii="Barlow Semi Condensed" w:cs="Barlow Semi Condensed" w:eastAsia="Barlow Semi Condensed" w:hAnsi="Barlow Semi Condensed"/>
          <w:b/>
          <w:bCs/>
          <w:sz w:val="24"/>
          <w:szCs w:val="24"/>
        </w:rPr>
        <w:t xml:space="preserve">3466 · Quale cella, quale matrice.</w:t>
      </w:r>
      <w:r>
        <w:rPr>
          <w:rFonts w:ascii="Barlow Semi Condensed" w:cs="Barlow Semi Condensed" w:eastAsia="Barlow Semi Condensed" w:hAnsi="Barlow Semi Condensed"/>
          <w:sz w:val="24"/>
          <w:szCs w:val="24"/>
        </w:rPr>
        <w:t xml:space="preserve"> Il blocco 274 impone a ogni bersaglio di dichiarare quale cella di quale matrice ACH potrebbe riempire. Dichiarazione per la presente serie: allo stato, nessuna cella si riempie al piano uno, e la colonna delle evidenze mancanti resta quella che il quesito 15 nomina. Un bersaglio che non sa quale cella riempirebbe non appartiene all'agenda, e questa serie accetta il vaglio.</w:t>
      </w:r>
    </w:p>
    <w:p>
      <w:pPr>
        <w:spacing w:after="120" w:line="276"/>
        <w:jc w:val="both"/>
      </w:pPr>
      <w:r>
        <w:rPr>
          <w:rFonts w:ascii="Barlow Semi Condensed" w:cs="Barlow Semi Condensed" w:eastAsia="Barlow Semi Condensed" w:hAnsi="Barlow Semi Condensed"/>
          <w:b/>
          <w:bCs/>
          <w:sz w:val="24"/>
          <w:szCs w:val="24"/>
        </w:rPr>
        <w:t xml:space="preserve">3467 · Dove si versa l'esito.</w:t>
      </w:r>
      <w:r>
        <w:rPr>
          <w:rFonts w:ascii="Barlow Semi Condensed" w:cs="Barlow Semi Condensed" w:eastAsia="Barlow Semi Condensed" w:hAnsi="Barlow Semi Condensed"/>
          <w:sz w:val="24"/>
          <w:szCs w:val="24"/>
        </w:rPr>
        <w:t xml:space="preserve"> Il blocco 276 stabilisce che gli esiti si versino nelle Fasi dell'edizione strutturata secondo la loro natura, sempre per nota e mai per riscrittura. Per questa serie la destinazione è già scritta: il perimetro negativo della Fase sesta, dove il corpus registra come ricerca condotta e chiusa in negativo il documento che legherebbe un apparato straniero nominato alla catena di comando del delitto.</w:t>
      </w:r>
    </w:p>
    <w:p>
      <w:pPr>
        <w:spacing w:after="120" w:line="276"/>
        <w:jc w:val="both"/>
      </w:pPr>
      <w:r>
        <w:rPr>
          <w:rFonts w:ascii="Barlow Semi Condensed" w:cs="Barlow Semi Condensed" w:eastAsia="Barlow Semi Condensed" w:hAnsi="Barlow Semi Condensed"/>
          <w:b/>
          <w:bCs/>
          <w:sz w:val="24"/>
          <w:szCs w:val="24"/>
        </w:rPr>
        <w:t xml:space="preserve">3468 · La finestra biologica, esaurita.</w:t>
      </w:r>
      <w:r>
        <w:rPr>
          <w:rFonts w:ascii="Barlow Semi Condensed" w:cs="Barlow Semi Condensed" w:eastAsia="Barlow Semi Condensed" w:hAnsi="Barlow Semi Condensed"/>
          <w:sz w:val="24"/>
          <w:szCs w:val="24"/>
        </w:rPr>
        <w:t xml:space="preserve"> Il blocco 281 fissa la prima variabile di priorità con una formula asciutta: la carta aspetta, le persone no. Per questo nome la finestra si è chiusa il 29 novembre 2023, e con essa la sola via che avrebbe potuto produrre una parola diretta e verbalizzata sull'episodio. Resta il record delle smentite, che è cosa diversa: una risposta a un giornalista non è un atto reso a un'autorità.</w:t>
      </w:r>
    </w:p>
    <w:p>
      <w:pPr>
        <w:spacing w:after="120" w:line="276"/>
        <w:jc w:val="both"/>
      </w:pPr>
      <w:r>
        <w:rPr>
          <w:rFonts w:ascii="Barlow Semi Condensed" w:cs="Barlow Semi Condensed" w:eastAsia="Barlow Semi Condensed" w:hAnsi="Barlow Semi Condensed"/>
          <w:b/>
          <w:bCs/>
          <w:sz w:val="24"/>
          <w:szCs w:val="24"/>
        </w:rPr>
        <w:t xml:space="preserve">3469 · Lo stato terminale del bersaglio.</w:t>
      </w:r>
      <w:r>
        <w:rPr>
          <w:rFonts w:ascii="Barlow Semi Condensed" w:cs="Barlow Semi Condensed" w:eastAsia="Barlow Semi Condensed" w:hAnsi="Barlow Semi Condensed"/>
          <w:sz w:val="24"/>
          <w:szCs w:val="24"/>
        </w:rPr>
        <w:t xml:space="preserve"> I blocchi 284 e 285 vogliono per ogni bersaglio uno stato pubblico e datato, e per ogni ricerca a vuoto un verbale col perimetro. Applicati agli ottanta bersagli di questa serie danno una contabilità prevedibile: pochissimi colpiti, molti a vuoto, alcuni differiti per costo. È il risultato corretto e atteso, e dichiararlo in anticipo impedisce di scambiare la propria pazienza per un fallimento.</w:t>
      </w:r>
    </w:p>
    <w:p>
      <w:pPr>
        <w:spacing w:after="120" w:line="276"/>
        <w:jc w:val="both"/>
      </w:pPr>
      <w:r>
        <w:rPr>
          <w:rFonts w:ascii="Barlow Semi Condensed" w:cs="Barlow Semi Condensed" w:eastAsia="Barlow Semi Condensed" w:hAnsi="Barlow Semi Condensed"/>
          <w:b/>
          <w:bCs/>
          <w:sz w:val="24"/>
          <w:szCs w:val="24"/>
        </w:rPr>
        <w:t xml:space="preserve">3470 · Domande pulite, non sospetti.</w:t>
      </w:r>
      <w:r>
        <w:rPr>
          <w:rFonts w:ascii="Barlow Semi Condensed" w:cs="Barlow Semi Condensed" w:eastAsia="Barlow Semi Condensed" w:hAnsi="Barlow Semi Condensed"/>
          <w:sz w:val="24"/>
          <w:szCs w:val="24"/>
        </w:rPr>
        <w:t xml:space="preserve"> Il blocco 297 vuole che i quesiti ancora aperti a bersagli esauriti si consegnino dichiarati, matrice per matrice, con l'evidenza discriminante mai trovata e il giacimento dove potrebbe giacere. Questa serie consegna esattamente questo su un solo nome, e nulla di più: nessuna responsabilità penale, nessun mandato, nessuna regia. Restano le sei vittime del blocco 298, per cui ogni bersaglio esiste.</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Serie quarantaseiesima — I nove cantieri: i fronti europei</w:t>
      </w:r>
    </w:p>
    <w:p>
      <w:pPr>
        <w:spacing w:after="120" w:line="276"/>
        <w:jc w:val="both"/>
      </w:pPr>
      <w:r>
        <w:rPr>
          <w:rFonts w:ascii="Barlow Semi Condensed" w:cs="Barlow Semi Condensed" w:eastAsia="Barlow Semi Condensed" w:hAnsi="Barlow Semi Condensed"/>
          <w:i/>
          <w:iCs/>
          <w:sz w:val="24"/>
          <w:szCs w:val="24"/>
        </w:rPr>
        <w:t xml:space="preserve">Blocchi 3471-3550.</w:t>
      </w:r>
    </w:p>
    <w:p>
      <w:pPr>
        <w:spacing w:after="120" w:line="276"/>
        <w:jc w:val="both"/>
      </w:pPr>
      <w:r>
        <w:rPr>
          <w:rFonts w:ascii="Barlow Semi Condensed" w:cs="Barlow Semi Condensed" w:eastAsia="Barlow Semi Condensed" w:hAnsi="Barlow Semi Condensed"/>
          <w:b/>
          <w:bCs/>
          <w:sz w:val="24"/>
          <w:szCs w:val="24"/>
        </w:rPr>
        <w:t xml:space="preserve">3471 · Zero occorrenze, e si verbalizza.</w:t>
      </w:r>
      <w:r>
        <w:rPr>
          <w:rFonts w:ascii="Barlow Semi Condensed" w:cs="Barlow Semi Condensed" w:eastAsia="Barlow Semi Condensed" w:hAnsi="Barlow Semi Condensed"/>
          <w:sz w:val="24"/>
          <w:szCs w:val="24"/>
        </w:rPr>
        <w:t xml:space="preserve"> L'interrogazione con Grep dell'intero nove-cantieri-mille-blocchi.md restituisce zero occorrenze del nome Kissinger: non nei centoventi blocchi della Parte prima, non nelle duemilacentotrentasette righe del file, e nemmeno nell'agenda di ricerca che lo genera. È lo Stato Zero costitutivo di questa serie, dichiarato in apertura e non aggirato. La sede che lo chiuderebbe è una sola: una carta di Kew, di La Courneuve o del Politisches Archiv che lo nomini a proposito d'Italia.</w:t>
      </w:r>
    </w:p>
    <w:p>
      <w:pPr>
        <w:spacing w:after="120" w:line="276"/>
        <w:jc w:val="both"/>
      </w:pPr>
      <w:r>
        <w:rPr>
          <w:rFonts w:ascii="Barlow Semi Condensed" w:cs="Barlow Semi Condensed" w:eastAsia="Barlow Semi Condensed" w:hAnsi="Barlow Semi Condensed"/>
          <w:b/>
          <w:bCs/>
          <w:sz w:val="24"/>
          <w:szCs w:val="24"/>
        </w:rPr>
        <w:t xml:space="preserve">3472 · La data che governa la parte.</w:t>
      </w:r>
      <w:r>
        <w:rPr>
          <w:rFonts w:ascii="Barlow Semi Condensed" w:cs="Barlow Semi Condensed" w:eastAsia="Barlow Semi Condensed" w:hAnsi="Barlow Semi Condensed"/>
          <w:sz w:val="24"/>
          <w:szCs w:val="24"/>
        </w:rPr>
        <w:t xml:space="preserve"> Accertamento di grado A, e vincola ogni bersaglio dei tre cantieri europei: il mandato di Segretario di Stato si chiuse il 20 gennaio 1977, quello di Assistente per la sicurezza nazionale il 3 novembre 1975; i cinquantacinque giorni cominciarono il 16 marzo 1978. Ogni fascicolo del 1978 che la Parte prima censisce, da FCO 33 al versamento 1929INVA al Politisches Archiv, è per definizione posteriore alla carica.</w:t>
      </w:r>
    </w:p>
    <w:p>
      <w:pPr>
        <w:spacing w:after="120" w:line="276"/>
        <w:jc w:val="both"/>
      </w:pPr>
      <w:r>
        <w:rPr>
          <w:rFonts w:ascii="Barlow Semi Condensed" w:cs="Barlow Semi Condensed" w:eastAsia="Barlow Semi Condensed" w:hAnsi="Barlow Semi Condensed"/>
          <w:b/>
          <w:bCs/>
          <w:sz w:val="24"/>
          <w:szCs w:val="24"/>
        </w:rPr>
        <w:t xml:space="preserve">3473 · Le tre porte anteriori al 1978.</w:t>
      </w:r>
      <w:r>
        <w:rPr>
          <w:rFonts w:ascii="Barlow Semi Condensed" w:cs="Barlow Semi Condensed" w:eastAsia="Barlow Semi Condensed" w:hAnsi="Barlow Semi Condensed"/>
          <w:sz w:val="24"/>
          <w:szCs w:val="24"/>
        </w:rPr>
        <w:t xml:space="preserve"> Tre soli blocchi del territorio aprono all'indietro sull'arco 1969-1977: il 25, «Moro prima di Moro», coi giudizi britannici sullo statista negli anni precedenti; il 67, «Moro visto da Parigi»; il 97, «Moro visto da Bonn». Sono le uniche finestre in cui la cronologia consenta un rapporto documentato di piano 1. Tutto il resto della Parte prima guarda un anno in cui l'uomo era cittadino privato.</w:t>
      </w:r>
    </w:p>
    <w:p>
      <w:pPr>
        <w:spacing w:after="120" w:line="276"/>
        <w:jc w:val="both"/>
      </w:pPr>
      <w:r>
        <w:rPr>
          <w:rFonts w:ascii="Barlow Semi Condensed" w:cs="Barlow Semi Condensed" w:eastAsia="Barlow Semi Condensed" w:hAnsi="Barlow Semi Condensed"/>
          <w:b/>
          <w:bCs/>
          <w:sz w:val="24"/>
          <w:szCs w:val="24"/>
        </w:rPr>
        <w:t xml:space="preserve">3474 · Un dispaccio riferisce, non accerta (serie XLVI).</w:t>
      </w:r>
      <w:r>
        <w:rPr>
          <w:rFonts w:ascii="Barlow Semi Condensed" w:cs="Barlow Semi Condensed" w:eastAsia="Barlow Semi Condensed" w:hAnsi="Barlow Semi Condensed"/>
          <w:sz w:val="24"/>
          <w:szCs w:val="24"/>
        </w:rPr>
        <w:t xml:space="preserve"> Regola di lettura, presa dallo statuto stesso della Parte prima e applicata a questo nome: un telegramma di Londra, di Parigi o di Bonn che riporti una posizione americana documenta ciò che quella sede scrisse, non ciò che l'americano fece. Il blocco 8 distingue telegram, despatch, letter, minute e brief; il blocco 151 dell'agenda aggiunge lo statuto epistemico. Nessuna promozione da eco a condotta.</w:t>
      </w:r>
    </w:p>
    <w:p>
      <w:pPr>
        <w:spacing w:after="120" w:line="276"/>
        <w:jc w:val="both"/>
      </w:pPr>
      <w:r>
        <w:rPr>
          <w:rFonts w:ascii="Barlow Semi Condensed" w:cs="Barlow Semi Condensed" w:eastAsia="Barlow Semi Condensed" w:hAnsi="Barlow Semi Condensed"/>
          <w:b/>
          <w:bCs/>
          <w:sz w:val="24"/>
          <w:szCs w:val="24"/>
        </w:rPr>
        <w:t xml:space="preserve">3475 · I tre piani sui tre archivi.</w:t>
      </w:r>
      <w:r>
        <w:rPr>
          <w:rFonts w:ascii="Barlow Semi Condensed" w:cs="Barlow Semi Condensed" w:eastAsia="Barlow Semi Condensed" w:hAnsi="Barlow Semi Condensed"/>
          <w:sz w:val="24"/>
          <w:szCs w:val="24"/>
        </w:rPr>
        <w:t xml:space="preserve"> Piano 1: un documento europeo di provenienza che lo nomini come interlocutore diretto su cosa italiana. Piano 2: la convergenza di preoccupazione anticomunista fra quattro cancellerie dentro la stessa cornice atlantica. Piano 3: la frase riferita in aula nel novembre 1982 e replicata dal lancio d'agenzia del 30 novembre 2023. La Parte prima può produrre il piano 2 in abbondanza; il piano 1 è raro e si cerca per segnatura.</w:t>
      </w:r>
    </w:p>
    <w:p>
      <w:pPr>
        <w:spacing w:after="120" w:line="276"/>
        <w:jc w:val="both"/>
      </w:pPr>
      <w:r>
        <w:rPr>
          <w:rFonts w:ascii="Barlow Semi Condensed" w:cs="Barlow Semi Condensed" w:eastAsia="Barlow Semi Condensed" w:hAnsi="Barlow Semi Condensed"/>
          <w:b/>
          <w:bCs/>
          <w:sz w:val="24"/>
          <w:szCs w:val="24"/>
        </w:rPr>
        <w:t xml:space="preserve">3476 · Che cosa smentirebbe l'intera serie (serie XLVI).</w:t>
      </w:r>
      <w:r>
        <w:rPr>
          <w:rFonts w:ascii="Barlow Semi Condensed" w:cs="Barlow Semi Condensed" w:eastAsia="Barlow Semi Condensed" w:hAnsi="Barlow Semi Condensed"/>
          <w:sz w:val="24"/>
          <w:szCs w:val="24"/>
        </w:rPr>
        <w:t xml:space="preserve"> Bersaglio di smentita generale, scritto per primo perché non sia scritto per ultimo: se lo spoglio integrale di FCO 33 per il 1974-1978, del versamento europeo di La Courneuve e dei fascicoli del Länderreferat Italia restituisse una sola carta che lo nomini in relazione al caso, questa serie andrebbe riscritta dal primo blocco. Finché quella carta non compare, l'assenza è il risultato, e va contata.</w:t>
      </w:r>
    </w:p>
    <w:p>
      <w:pPr>
        <w:spacing w:after="120" w:line="276"/>
        <w:jc w:val="both"/>
      </w:pPr>
      <w:r>
        <w:rPr>
          <w:rFonts w:ascii="Barlow Semi Condensed" w:cs="Barlow Semi Condensed" w:eastAsia="Barlow Semi Condensed" w:hAnsi="Barlow Semi Condensed"/>
          <w:b/>
          <w:bCs/>
          <w:sz w:val="24"/>
          <w:szCs w:val="24"/>
        </w:rPr>
        <w:t xml:space="preserve">3477 · Omologia contro analogia, in quattro capitali.</w:t>
      </w:r>
      <w:r>
        <w:rPr>
          <w:rFonts w:ascii="Barlow Semi Condensed" w:cs="Barlow Semi Condensed" w:eastAsia="Barlow Semi Condensed" w:hAnsi="Barlow Semi Condensed"/>
          <w:sz w:val="24"/>
          <w:szCs w:val="24"/>
        </w:rPr>
        <w:t xml:space="preserve"> Londra, Parigi, Bonn e Washington temettero tutte, negli stessi anni, l'ingresso comunista in un governo dell'Alleanza. La somiglianza dei timori non dimostra un antenato comune né una regia: è omologia da provare, non analogia da esibire. Il test resta unico, quello del corpus, un documento di provenienza che nomini la controparte. Il blocco 119 chiede la tavola delle convergenze: la convergenza non è discendenza.</w:t>
      </w:r>
    </w:p>
    <w:p>
      <w:pPr>
        <w:spacing w:after="120" w:line="276"/>
        <w:jc w:val="both"/>
      </w:pPr>
      <w:r>
        <w:rPr>
          <w:rFonts w:ascii="Barlow Semi Condensed" w:cs="Barlow Semi Condensed" w:eastAsia="Barlow Semi Condensed" w:hAnsi="Barlow Semi Condensed"/>
          <w:b/>
          <w:bCs/>
          <w:sz w:val="24"/>
          <w:szCs w:val="24"/>
        </w:rPr>
        <w:t xml:space="preserve">3478 · Il quesito 12 e il suo perimetro.</w:t>
      </w:r>
      <w:r>
        <w:rPr>
          <w:rFonts w:ascii="Barlow Semi Condensed" w:cs="Barlow Semi Condensed" w:eastAsia="Barlow Semi Condensed" w:hAnsi="Barlow Semi Condensed"/>
          <w:sz w:val="24"/>
          <w:szCs w:val="24"/>
        </w:rPr>
        <w:t xml:space="preserve"> «Gli occhi degli alleati», quesito 12 dell'agenda, domanda che cosa le diplomazie videro e riferirono in tempo reale nei cinquantacinque giorni e che cosa giace sotto la regola dell'originatore. La domanda è datata 1978. Chi voglia portarvi dentro un Segretario di Stato uscito di carica nel gennaio 1977 deve prima dichiarare per quale via: retrospettiva, privata o inesistente. Le tre vie si verificano separatamente.</w:t>
      </w:r>
    </w:p>
    <w:p>
      <w:pPr>
        <w:spacing w:after="120" w:line="276"/>
        <w:jc w:val="both"/>
      </w:pPr>
      <w:r>
        <w:rPr>
          <w:rFonts w:ascii="Barlow Semi Condensed" w:cs="Barlow Semi Condensed" w:eastAsia="Barlow Semi Condensed" w:hAnsi="Barlow Semi Condensed"/>
          <w:b/>
          <w:bCs/>
          <w:sz w:val="24"/>
          <w:szCs w:val="24"/>
        </w:rPr>
        <w:t xml:space="preserve">3479 · Il fascicolo C11492660, per nome.</w:t>
      </w:r>
      <w:r>
        <w:rPr>
          <w:rFonts w:ascii="Barlow Semi Condensed" w:cs="Barlow Semi Condensed" w:eastAsia="Barlow Semi Condensed" w:hAnsi="Barlow Semi Condensed"/>
          <w:sz w:val="24"/>
          <w:szCs w:val="24"/>
        </w:rPr>
        <w:t xml:space="preserve"> Quesito da portare in sala a Kew, sul bersaglio primo del cantiere britannico: il fascicolo «Terrorism in Italy, including kidnapping and death of Aldo Moro, former Prime Minister», record Discovery C11492660, non digitalizzato. Domanda unica e verificabile: fra i suoi fogli compare mai il nome dell'ex Segretario di Stato? L'esito, positivo o nullo, si verbalizza secondo il blocco 37, con data, perimetro e sigla del lettore.</w:t>
      </w:r>
    </w:p>
    <w:p>
      <w:pPr>
        <w:spacing w:after="120" w:line="276"/>
        <w:jc w:val="both"/>
      </w:pPr>
      <w:r>
        <w:rPr>
          <w:rFonts w:ascii="Barlow Semi Condensed" w:cs="Barlow Semi Condensed" w:eastAsia="Barlow Semi Condensed" w:hAnsi="Barlow Semi Condensed"/>
          <w:b/>
          <w:bCs/>
          <w:sz w:val="24"/>
          <w:szCs w:val="24"/>
        </w:rPr>
        <w:t xml:space="preserve">3480 · FCO 33 e l'indice per nome.</w:t>
      </w:r>
      <w:r>
        <w:rPr>
          <w:rFonts w:ascii="Barlow Semi Condensed" w:cs="Barlow Semi Condensed" w:eastAsia="Barlow Semi Condensed" w:hAnsi="Barlow Semi Condensed"/>
          <w:sz w:val="24"/>
          <w:szCs w:val="24"/>
        </w:rPr>
        <w:t xml:space="preserve"> La serie madre del Western European Department per il 1978, che il blocco 2 chiede di spogliare per intero e non solo nel fascicolo intitolato a Moro, va letta con una griglia onomastica dichiarata in anticipo. Il nome entra nella griglia accanto agli altri, senza rango speciale, e con l'avvertenza che nel 1978 designa un privato cittadino. Gli esiti nulli si contano come gli altri: è il metodo del blocco 3.</w:t>
      </w:r>
    </w:p>
    <w:p>
      <w:pPr>
        <w:spacing w:after="120" w:line="276"/>
        <w:jc w:val="both"/>
      </w:pPr>
      <w:r>
        <w:rPr>
          <w:rFonts w:ascii="Barlow Semi Condensed" w:cs="Barlow Semi Condensed" w:eastAsia="Barlow Semi Condensed" w:hAnsi="Barlow Semi Condensed"/>
          <w:b/>
          <w:bCs/>
          <w:sz w:val="24"/>
          <w:szCs w:val="24"/>
        </w:rPr>
        <w:t xml:space="preserve">3481 · La colonna nordamericana che manca.</w:t>
      </w:r>
      <w:r>
        <w:rPr>
          <w:rFonts w:ascii="Barlow Semi Condensed" w:cs="Barlow Semi Condensed" w:eastAsia="Barlow Semi Condensed" w:hAnsi="Barlow Semi Condensed"/>
          <w:sz w:val="24"/>
          <w:szCs w:val="24"/>
        </w:rPr>
        <w:t xml:space="preserve"> Lacuna del territorio, verbalizzata. La tavola delle serie britanniche del blocco 34 elenca FCO 33, PREM 16, CAB, DEFE e FCO 9 per l'Europa meridionale: non prevede alcuna colonna per il dipartimento Nord America del Foreign Office, che è esattamente lo scaffale dove uno scambio anglo-americano sull'Italia sarebbe stato archiviato. Individuare quella serie in Discovery, e aggiungerla alla tavola, è il primo emendamento che questa triangolazione propone.</w:t>
      </w:r>
    </w:p>
    <w:p>
      <w:pPr>
        <w:spacing w:after="120" w:line="276"/>
        <w:jc w:val="both"/>
      </w:pPr>
      <w:r>
        <w:rPr>
          <w:rFonts w:ascii="Barlow Semi Condensed" w:cs="Barlow Semi Condensed" w:eastAsia="Barlow Semi Condensed" w:hAnsi="Barlow Semi Condensed"/>
          <w:b/>
          <w:bCs/>
          <w:sz w:val="24"/>
          <w:szCs w:val="24"/>
        </w:rPr>
        <w:t xml:space="preserve">3482 · Settembre 1974, visto da Londra.</w:t>
      </w:r>
      <w:r>
        <w:rPr>
          <w:rFonts w:ascii="Barlow Semi Condensed" w:cs="Barlow Semi Condensed" w:eastAsia="Barlow Semi Condensed" w:hAnsi="Barlow Semi Condensed"/>
          <w:sz w:val="24"/>
          <w:szCs w:val="24"/>
        </w:rPr>
        <w:t xml:space="preserve"> Dentro il blocco 25, che chiede il ritratto britannico di Moro statista negli anni precedenti, sta un bersaglio preciso: che cosa l'ambasciata a Washington e il dipartimento competente riferirono della visita di Stato del 25-29 settembre 1974, date del comunicato congiunto contro il 25-27 della nota editoriale FRUS, divergenza che il corpus riporta e non scioglie. Un resoconto terzo daterebbe la percezione alleata dell'incontro.</w:t>
      </w:r>
    </w:p>
    <w:p>
      <w:pPr>
        <w:spacing w:after="120" w:line="276"/>
        <w:jc w:val="both"/>
      </w:pPr>
      <w:r>
        <w:rPr>
          <w:rFonts w:ascii="Barlow Semi Condensed" w:cs="Barlow Semi Condensed" w:eastAsia="Barlow Semi Condensed" w:hAnsi="Barlow Semi Condensed"/>
          <w:b/>
          <w:bCs/>
          <w:sz w:val="24"/>
          <w:szCs w:val="24"/>
        </w:rPr>
        <w:t xml:space="preserve">3483 · PREM 16 e i due vertici.</w:t>
      </w:r>
      <w:r>
        <w:rPr>
          <w:rFonts w:ascii="Barlow Semi Condensed" w:cs="Barlow Semi Condensed" w:eastAsia="Barlow Semi Condensed" w:hAnsi="Barlow Semi Condensed"/>
          <w:sz w:val="24"/>
          <w:szCs w:val="24"/>
        </w:rPr>
        <w:t xml:space="preserve"> Quesito per la sala di Kew, dentro la serie che il blocco 4 indica come pertinente, Prime Minister's Office 1974-1979, governi Wilson e Callaghan: esistono verbali britannici dei colloqui ristretti di Rambouillet, novembre 1975, e di Porto Rico, giugno 1976, dove sedevano insieme il capo del governo italiano e il Segretario di Stato americano? La lista dei presenti si prende dal verbale, mai dalla memoria.</w:t>
      </w:r>
    </w:p>
    <w:p>
      <w:pPr>
        <w:spacing w:after="120" w:line="276"/>
        <w:jc w:val="both"/>
      </w:pPr>
      <w:r>
        <w:rPr>
          <w:rFonts w:ascii="Barlow Semi Condensed" w:cs="Barlow Semi Condensed" w:eastAsia="Barlow Semi Condensed" w:hAnsi="Barlow Semi Condensed"/>
          <w:b/>
          <w:bCs/>
          <w:sz w:val="24"/>
          <w:szCs w:val="24"/>
        </w:rPr>
        <w:t xml:space="preserve">3484 · Quando l'Italia saliva all'ordine del giorno.</w:t>
      </w:r>
      <w:r>
        <w:rPr>
          <w:rFonts w:ascii="Barlow Semi Condensed" w:cs="Barlow Semi Condensed" w:eastAsia="Barlow Semi Condensed" w:hAnsi="Barlow Semi Condensed"/>
          <w:sz w:val="24"/>
          <w:szCs w:val="24"/>
        </w:rPr>
        <w:t xml:space="preserve"> Il blocco 5 domanda con quale rango e su quale input l'Italia entrasse nell'ordine del giorno di Londra. La domanda si estende all'indietro: nei comitati ministeriali del 1975 e del 1976 l'eventualità comunista italiana comparve come punto autonomo, e con quale documentazione di origine americana allegata? È il luogo dove un piano 2 potrebbe diventare piano 1 senza che nessuno l'abbia cercato.</w:t>
      </w:r>
    </w:p>
    <w:p>
      <w:pPr>
        <w:spacing w:after="120" w:line="276"/>
        <w:jc w:val="both"/>
      </w:pPr>
      <w:r>
        <w:rPr>
          <w:rFonts w:ascii="Barlow Semi Condensed" w:cs="Barlow Semi Condensed" w:eastAsia="Barlow Semi Condensed" w:hAnsi="Barlow Semi Condensed"/>
          <w:b/>
          <w:bCs/>
          <w:sz w:val="24"/>
          <w:szCs w:val="24"/>
        </w:rPr>
        <w:t xml:space="preserve">3485 · Esistenza e contenuto, gradi distinti.</w:t>
      </w:r>
      <w:r>
        <w:rPr>
          <w:rFonts w:ascii="Barlow Semi Condensed" w:cs="Barlow Semi Condensed" w:eastAsia="Barlow Semi Condensed" w:hAnsi="Barlow Semi Condensed"/>
          <w:sz w:val="24"/>
          <w:szCs w:val="24"/>
        </w:rPr>
        <w:t xml:space="preserve"> F sull'esistenza, C sul contenuto: così il blocco 6 tratta i rapporti del Joint Intelligence Committee, perché una valutazione d'intelligence è un'ipotesi di servizio con la sua data. Applicata qui la regola dice che, se un rapporto attribuisse a Washington una linea sull'Italia, attesterebbe che i britannici credevano quella linea, non che quella linea fosse stata impartita. La distinzione si scrive nella scheda, non si sottintende.</w:t>
      </w:r>
    </w:p>
    <w:p>
      <w:pPr>
        <w:spacing w:after="120" w:line="276"/>
        <w:jc w:val="both"/>
      </w:pPr>
      <w:r>
        <w:rPr>
          <w:rFonts w:ascii="Barlow Semi Condensed" w:cs="Barlow Semi Condensed" w:eastAsia="Barlow Semi Condensed" w:hAnsi="Barlow Semi Condensed"/>
          <w:b/>
          <w:bCs/>
          <w:sz w:val="24"/>
          <w:szCs w:val="24"/>
        </w:rPr>
        <w:t xml:space="preserve">3486 · L'ambasciata sul Tevere, 1974-1976.</w:t>
      </w:r>
      <w:r>
        <w:rPr>
          <w:rFonts w:ascii="Barlow Semi Condensed" w:cs="Barlow Semi Condensed" w:eastAsia="Barlow Semi Condensed" w:hAnsi="Barlow Semi Condensed"/>
          <w:sz w:val="24"/>
          <w:szCs w:val="24"/>
        </w:rPr>
        <w:t xml:space="preserve"> I carteggi dell'ambasciata britannica a Roma che il blocco 7 richiede per il 1978 vanno chiesti anche per il triennio anteriore, gli anni della presidenza Moro e dell'ultimo tratto della segreteria di Stato americana. Che cosa l'ambasciatore registrò delle pressioni alleate sul quadro politico italiano, e da chi disse di averlo appreso. La fonte interna del dispaccio è il dato che rende il documento pesabile.</w:t>
      </w:r>
    </w:p>
    <w:p>
      <w:pPr>
        <w:spacing w:after="120" w:line="276"/>
        <w:jc w:val="both"/>
      </w:pPr>
      <w:r>
        <w:rPr>
          <w:rFonts w:ascii="Barlow Semi Condensed" w:cs="Barlow Semi Condensed" w:eastAsia="Barlow Semi Condensed" w:hAnsi="Barlow Semi Condensed"/>
          <w:b/>
          <w:bCs/>
          <w:sz w:val="24"/>
          <w:szCs w:val="24"/>
        </w:rPr>
        <w:t xml:space="preserve">3487 · Il genere dell'atto decide il peso.</w:t>
      </w:r>
      <w:r>
        <w:rPr>
          <w:rFonts w:ascii="Barlow Semi Condensed" w:cs="Barlow Semi Condensed" w:eastAsia="Barlow Semi Condensed" w:hAnsi="Barlow Semi Condensed"/>
          <w:sz w:val="24"/>
          <w:szCs w:val="24"/>
        </w:rPr>
        <w:t xml:space="preserve"> Una minuta interna di funzionario che riassuma «la posizione americana» vale meno di un telegramma che riporti un colloquio con data, ora e nome dell'interlocutore: è l'applicazione del blocco 8 a un caso concreto. Se un solo documento britannico dovesse mai nominarlo, la prima domanda non sarà che cosa dice, ma di quale genere è. Il genere è metà del grado, e il territorio lo dice prima di aprire.</w:t>
      </w:r>
    </w:p>
    <w:p>
      <w:pPr>
        <w:spacing w:after="120" w:line="276"/>
        <w:jc w:val="both"/>
      </w:pPr>
      <w:r>
        <w:rPr>
          <w:rFonts w:ascii="Barlow Semi Condensed" w:cs="Barlow Semi Condensed" w:eastAsia="Barlow Semi Condensed" w:hAnsi="Barlow Semi Condensed"/>
          <w:b/>
          <w:bCs/>
          <w:sz w:val="24"/>
          <w:szCs w:val="24"/>
        </w:rPr>
        <w:t xml:space="preserve">3488 · Le aperture del 2008 e i frammenti.</w:t>
      </w:r>
      <w:r>
        <w:rPr>
          <w:rFonts w:ascii="Barlow Semi Condensed" w:cs="Barlow Semi Condensed" w:eastAsia="Barlow Semi Condensed" w:hAnsi="Barlow Semi Condensed"/>
          <w:sz w:val="24"/>
          <w:szCs w:val="24"/>
        </w:rPr>
        <w:t xml:space="preserve"> Fra il 2008 e il 2009 i fascicoli italiani del 1978 aprirono per la regola dei trent'anni, e la stampa italiana ne pubblicò i primi frammenti: così il blocco 9. Accertamento da compiere a basso costo: quei frammenti nominarono mai l'ex Segretario di Stato, e con quale segnatura? Una citazione giornalistica priva di segnatura resta piano 3 anche quando proviene da un archivio vero.</w:t>
      </w:r>
    </w:p>
    <w:p>
      <w:pPr>
        <w:spacing w:after="120" w:line="276"/>
        <w:jc w:val="both"/>
      </w:pPr>
      <w:r>
        <w:rPr>
          <w:rFonts w:ascii="Barlow Semi Condensed" w:cs="Barlow Semi Condensed" w:eastAsia="Barlow Semi Condensed" w:hAnsi="Barlow Semi Condensed"/>
          <w:b/>
          <w:bCs/>
          <w:sz w:val="24"/>
          <w:szCs w:val="24"/>
        </w:rPr>
        <w:t xml:space="preserve">3489 · La regola dei venti, al contrario.</w:t>
      </w:r>
      <w:r>
        <w:rPr>
          <w:rFonts w:ascii="Barlow Semi Condensed" w:cs="Barlow Semi Condensed" w:eastAsia="Barlow Semi Condensed" w:hAnsi="Barlow Semi Condensed"/>
          <w:sz w:val="24"/>
          <w:szCs w:val="24"/>
        </w:rPr>
        <w:t xml:space="preserve"> Corollario del blocco 10, che mappa la transizione britannica alla ventennale e le maturazioni fino al cinquantenario del 2028: i fascicoli del 1974-1976, cioè gli anni della carica, sono aperti da più tempo di quelli del 1978, e nessuno li ha spogliati con questa domanda. Il calendario, qui, non è un ostacolo da attendere ma un vantaggio già maturato e mai riscosso.</w:t>
      </w:r>
    </w:p>
    <w:p>
      <w:pPr>
        <w:spacing w:after="120" w:line="276"/>
        <w:jc w:val="both"/>
      </w:pPr>
      <w:r>
        <w:rPr>
          <w:rFonts w:ascii="Barlow Semi Condensed" w:cs="Barlow Semi Condensed" w:eastAsia="Barlow Semi Condensed" w:hAnsi="Barlow Semi Condensed"/>
          <w:b/>
          <w:bCs/>
          <w:sz w:val="24"/>
          <w:szCs w:val="24"/>
        </w:rPr>
        <w:t xml:space="preserve">3490 · Il trattenuto e chi può aprirlo.</w:t>
      </w:r>
      <w:r>
        <w:rPr>
          <w:rFonts w:ascii="Barlow Semi Condensed" w:cs="Barlow Semi Condensed" w:eastAsia="Barlow Semi Condensed" w:hAnsi="Barlow Semi Condensed"/>
          <w:sz w:val="24"/>
          <w:szCs w:val="24"/>
        </w:rPr>
        <w:t xml:space="preserve"> Retained by department: il blocco 11 censisce i fascicoli trattenuti e le chiusure prolungate con la motivazione dichiarata in catalogo. Incrocio obbligato con il blocco 126 dell'agenda, la regola dell'originatore: dove la carta trattenuta sia di origine americana, Londra non può aprirla da sola. Il censimento deve dunque registrare, per ogni chiusura, l'originatore, perché è quel dato a dire a chi indirizzare la richiesta.</w:t>
      </w:r>
    </w:p>
    <w:p>
      <w:pPr>
        <w:spacing w:after="120" w:line="276"/>
        <w:jc w:val="both"/>
      </w:pPr>
      <w:r>
        <w:rPr>
          <w:rFonts w:ascii="Barlow Semi Condensed" w:cs="Barlow Semi Condensed" w:eastAsia="Barlow Semi Condensed" w:hAnsi="Barlow Semi Condensed"/>
          <w:b/>
          <w:bCs/>
          <w:sz w:val="24"/>
          <w:szCs w:val="24"/>
        </w:rPr>
        <w:t xml:space="preserve">3491 · Una richiesta per fascicolo, motivata.</w:t>
      </w:r>
      <w:r>
        <w:rPr>
          <w:rFonts w:ascii="Barlow Semi Condensed" w:cs="Barlow Semi Condensed" w:eastAsia="Barlow Semi Condensed" w:hAnsi="Barlow Semi Condensed"/>
          <w:sz w:val="24"/>
          <w:szCs w:val="24"/>
        </w:rPr>
        <w:t xml:space="preserve"> Sotto il Freedom of Information Act 2000, il blocco 12 prescrive una richiesta per fascicolo con motivazione storica argomentata. Per questa serie la motivazione sta in tre righe: verificare se le carte del Foreign Office documentino comunicazioni americane sull'Italia negli anni 1974-1976. L'istanza non nomina un sospetto e non allega una tesi; chiede una serie e attende. Il registro degli esiti conta anche i dinieghi.</w:t>
      </w:r>
    </w:p>
    <w:p>
      <w:pPr>
        <w:spacing w:after="120" w:line="276"/>
        <w:jc w:val="both"/>
      </w:pPr>
      <w:r>
        <w:rPr>
          <w:rFonts w:ascii="Barlow Semi Condensed" w:cs="Barlow Semi Condensed" w:eastAsia="Barlow Semi Condensed" w:hAnsi="Barlow Semi Condensed"/>
          <w:b/>
          <w:bCs/>
          <w:sz w:val="24"/>
          <w:szCs w:val="24"/>
        </w:rPr>
        <w:t xml:space="preserve">3492 · Dinieghi, e la via dell'ICO.</w:t>
      </w:r>
      <w:r>
        <w:rPr>
          <w:rFonts w:ascii="Barlow Semi Condensed" w:cs="Barlow Semi Condensed" w:eastAsia="Barlow Semi Condensed" w:hAnsi="Barlow Semi Condensed"/>
          <w:sz w:val="24"/>
          <w:szCs w:val="24"/>
        </w:rPr>
        <w:t xml:space="preserve"> Impugnare o archiviare con decisione scritta, mai lasciar cadere in silenzio: il blocco 13 tiene aperta la via del ricorso all'Information Commissioner e al First-tier Tribunal, coi precedenti favorevoli alla ricerca storica. Il ricorso perso documenta un limite e vale come acquisizione; il ricorso vinto apre uno scaffale che nessuna narrazione avrebbe potuto aprire. In entrambi i casi la data entra nel registro delle richieste.</w:t>
      </w:r>
    </w:p>
    <w:p>
      <w:pPr>
        <w:spacing w:after="120" w:line="276"/>
        <w:jc w:val="both"/>
      </w:pPr>
      <w:r>
        <w:rPr>
          <w:rFonts w:ascii="Barlow Semi Condensed" w:cs="Barlow Semi Condensed" w:eastAsia="Barlow Semi Condensed" w:hAnsi="Barlow Semi Condensed"/>
          <w:b/>
          <w:bCs/>
          <w:sz w:val="24"/>
          <w:szCs w:val="24"/>
        </w:rPr>
        <w:t xml:space="preserve">3493 · Battaglia, Lomellini e le segnature.</w:t>
      </w:r>
      <w:r>
        <w:rPr>
          <w:rFonts w:ascii="Barlow Semi Condensed" w:cs="Barlow Semi Condensed" w:eastAsia="Barlow Semi Condensed" w:hAnsi="Barlow Semi Condensed"/>
          <w:sz w:val="24"/>
          <w:szCs w:val="24"/>
        </w:rPr>
        <w:t xml:space="preserve"> Antonello Battaglia, con la ricognizione del 2021 sull'eco del caso Moro in Gran Bretagna fondata su carte FCO 33, e Valentine Lomellini, col quadro Springer del 2023, sono i due lavori che il blocco 14 indica come mappa di scavo. Verifica a costo quasi nullo, da fare prima di ogni trasferta: le loro tavole di segnature contengono documenti che nominino l'ex Segretario di Stato?</w:t>
      </w:r>
    </w:p>
    <w:p>
      <w:pPr>
        <w:spacing w:after="120" w:line="276"/>
        <w:jc w:val="both"/>
      </w:pPr>
      <w:r>
        <w:rPr>
          <w:rFonts w:ascii="Barlow Semi Condensed" w:cs="Barlow Semi Condensed" w:eastAsia="Barlow Semi Condensed" w:hAnsi="Barlow Semi Condensed"/>
          <w:b/>
          <w:bCs/>
          <w:sz w:val="24"/>
          <w:szCs w:val="24"/>
        </w:rPr>
        <w:t xml:space="preserve">3494 · Dalle tesi altrui, solo le coordinate.</w:t>
      </w:r>
      <w:r>
        <w:rPr>
          <w:rFonts w:ascii="Barlow Semi Condensed" w:cs="Barlow Semi Condensed" w:eastAsia="Barlow Semi Condensed" w:hAnsi="Barlow Semi Condensed"/>
          <w:sz w:val="24"/>
          <w:szCs w:val="24"/>
        </w:rPr>
        <w:t xml:space="preserve"> Dalle ricostruzioni giornalistiche fondate su Kew i blocchi 15 e 16 prendono le segnature e lasciano le tesi al loro autore, tarando il resto sulla fedeltà misurata di un campione verificato in originale. La regola vale integralmente per le narrazioni che attribuiscono a Washington una regia italiana: si prende la segnatura, si va a Kew, si legge il foglio. Ciò che non ha segnatura non entra.</w:t>
      </w:r>
    </w:p>
    <w:p>
      <w:pPr>
        <w:spacing w:after="120" w:line="276"/>
        <w:jc w:val="both"/>
      </w:pPr>
      <w:r>
        <w:rPr>
          <w:rFonts w:ascii="Barlow Semi Condensed" w:cs="Barlow Semi Condensed" w:eastAsia="Barlow Semi Condensed" w:hAnsi="Barlow Semi Condensed"/>
          <w:b/>
          <w:bCs/>
          <w:sz w:val="24"/>
          <w:szCs w:val="24"/>
        </w:rPr>
        <w:t xml:space="preserve">3495 · Caversham, e le voci del 1978.</w:t>
      </w:r>
      <w:r>
        <w:rPr>
          <w:rFonts w:ascii="Barlow Semi Condensed" w:cs="Barlow Semi Condensed" w:eastAsia="Barlow Semi Condensed" w:hAnsi="Barlow Semi Condensed"/>
          <w:sz w:val="24"/>
          <w:szCs w:val="24"/>
        </w:rPr>
        <w:t xml:space="preserve"> Ai BBC Written Archives di Caversham il blocco 17 assegna i monitoring reports del 1978, la cronaca dei cinquantacinque giorni con timbro orario straniero. Domanda circoscritta e databile: il servizio d'ascolto britannico registrò trasmissioni che facessero quel nome a proposito del sequestro? Un ascolto datato dimostrerebbe la circolazione dell'ipotesi in tempo reale, non la sua fondatezza, ma sposterebbe indietro di decenni la prima traccia certa.</w:t>
      </w:r>
    </w:p>
    <w:p>
      <w:pPr>
        <w:spacing w:after="120" w:line="276"/>
        <w:jc w:val="both"/>
      </w:pPr>
      <w:r>
        <w:rPr>
          <w:rFonts w:ascii="Barlow Semi Condensed" w:cs="Barlow Semi Condensed" w:eastAsia="Barlow Semi Condensed" w:hAnsi="Barlow Semi Condensed"/>
          <w:b/>
          <w:bCs/>
          <w:sz w:val="24"/>
          <w:szCs w:val="24"/>
        </w:rPr>
        <w:t xml:space="preserve">3496 · Reuters, Fleet Street e il novembre 1982.</w:t>
      </w:r>
      <w:r>
        <w:rPr>
          <w:rFonts w:ascii="Barlow Semi Condensed" w:cs="Barlow Semi Condensed" w:eastAsia="Barlow Semi Condensed" w:hAnsi="Barlow Semi Condensed"/>
          <w:sz w:val="24"/>
          <w:szCs w:val="24"/>
        </w:rPr>
        <w:t xml:space="preserve"> Reuters e i quotidiani britannici, coi taccuini dei corrispondenti da Roma, sono il giacimento del blocco 18. Bersaglio specifico: la copertura britannica dell'udienza della Corte d'assise di Roma del novembre 1982, quando la testimonianza de relato collocò il nome. Una corrispondenza coeva darebbe una datazione indipendente della circolazione dell'episodio, utile a misurare quanta parte della moltiplicazione successiva sia replicazione del lancio del 2023.</w:t>
      </w:r>
    </w:p>
    <w:p>
      <w:pPr>
        <w:spacing w:after="120" w:line="276"/>
        <w:jc w:val="both"/>
      </w:pPr>
      <w:r>
        <w:rPr>
          <w:rFonts w:ascii="Barlow Semi Condensed" w:cs="Barlow Semi Condensed" w:eastAsia="Barlow Semi Condensed" w:hAnsi="Barlow Semi Condensed"/>
          <w:b/>
          <w:bCs/>
          <w:sz w:val="24"/>
          <w:szCs w:val="24"/>
        </w:rPr>
        <w:t xml:space="preserve">3497 · La fermezza, e ciò che fu scritto.</w:t>
      </w:r>
      <w:r>
        <w:rPr>
          <w:rFonts w:ascii="Barlow Semi Condensed" w:cs="Barlow Semi Condensed" w:eastAsia="Barlow Semi Condensed" w:hAnsi="Barlow Semi Condensed"/>
          <w:sz w:val="24"/>
          <w:szCs w:val="24"/>
        </w:rPr>
        <w:t xml:space="preserve"> Che cosa il Foreign Office scrisse, non che cosa avrebbe pensato: l'avvertenza del blocco 20 sulla linea della fermezza governa anche ogni ipotesi di consiglio o pressione esterna sulla scelta italiana. Un documento che registrasse un suggerimento americano nel 1978 riguarderebbe l'amministrazione allora in carica, non chi l'aveva lasciata quattordici mesi prima. La carica si verifica sul calendario, prima di attribuire la voce.</w:t>
      </w:r>
    </w:p>
    <w:p>
      <w:pPr>
        <w:spacing w:after="120" w:line="276"/>
        <w:jc w:val="both"/>
      </w:pPr>
      <w:r>
        <w:rPr>
          <w:rFonts w:ascii="Barlow Semi Condensed" w:cs="Barlow Semi Condensed" w:eastAsia="Barlow Semi Condensed" w:hAnsi="Barlow Semi Condensed"/>
          <w:b/>
          <w:bCs/>
          <w:sz w:val="24"/>
          <w:szCs w:val="24"/>
        </w:rPr>
        <w:t xml:space="preserve">3498 · Il capitolo atlantico e Bruxelles.</w:t>
      </w:r>
      <w:r>
        <w:rPr>
          <w:rFonts w:ascii="Barlow Semi Condensed" w:cs="Barlow Semi Condensed" w:eastAsia="Barlow Semi Condensed" w:hAnsi="Barlow Semi Condensed"/>
          <w:sz w:val="24"/>
          <w:szCs w:val="24"/>
        </w:rPr>
        <w:t xml:space="preserve"> Nei verbali dei Consigli atlantici ministeriali del 1974-1976, consultabili in NATO Archives Online, sedeva per diritto il Segretario di Stato americano: è l'estensione naturale del blocco 24, che chiede a Londra le carte sugli aspetti atlantici e sulla sicurezza delle informazioni alleate. È l'unica sede multilaterale in cui una sua dichiarazione sull'Italia sarebbe verbalizzata da terzi e citabile per segnatura.</w:t>
      </w:r>
    </w:p>
    <w:p>
      <w:pPr>
        <w:spacing w:after="120" w:line="276"/>
        <w:jc w:val="both"/>
      </w:pPr>
      <w:r>
        <w:rPr>
          <w:rFonts w:ascii="Barlow Semi Condensed" w:cs="Barlow Semi Condensed" w:eastAsia="Barlow Semi Condensed" w:hAnsi="Barlow Semi Condensed"/>
          <w:b/>
          <w:bCs/>
          <w:sz w:val="24"/>
          <w:szCs w:val="24"/>
        </w:rPr>
        <w:t xml:space="preserve">3499 · Chi lesse che cosa, a Londra.</w:t>
      </w:r>
      <w:r>
        <w:rPr>
          <w:rFonts w:ascii="Barlow Semi Condensed" w:cs="Barlow Semi Condensed" w:eastAsia="Barlow Semi Condensed" w:hAnsi="Barlow Semi Condensed"/>
          <w:sz w:val="24"/>
          <w:szCs w:val="24"/>
        </w:rPr>
        <w:t xml:space="preserve"> Chi lesse che cosa: il blocco 27 raccoglie le annotazioni di circolazione, sigle, rinvii, passaggi al piano politico. Applicazione mirata: se una carta italiana del periodo reca annotazioni che rimandano a comunicazioni americane, la sigla del funzionario che le vergò è il primo anello verificabile. La sociologia della carta produce nomi di lettori, non di responsabili, e la distinzione va scritta in ogni scheda.</w:t>
      </w:r>
    </w:p>
    <w:p>
      <w:pPr>
        <w:spacing w:after="120" w:line="276"/>
        <w:jc w:val="both"/>
      </w:pPr>
      <w:r>
        <w:rPr>
          <w:rFonts w:ascii="Barlow Semi Condensed" w:cs="Barlow Semi Condensed" w:eastAsia="Barlow Semi Condensed" w:hAnsi="Barlow Semi Condensed"/>
          <w:b/>
          <w:bCs/>
          <w:sz w:val="24"/>
          <w:szCs w:val="24"/>
        </w:rPr>
        <w:t xml:space="preserve">3500 · Il vuoto britannico, contato.</w:t>
      </w:r>
      <w:r>
        <w:rPr>
          <w:rFonts w:ascii="Barlow Semi Condensed" w:cs="Barlow Semi Condensed" w:eastAsia="Barlow Semi Condensed" w:hAnsi="Barlow Semi Condensed"/>
          <w:sz w:val="24"/>
          <w:szCs w:val="24"/>
        </w:rPr>
        <w:t xml:space="preserve"> Contando si chiude, secondo i blocchi 37 e 40: ogni ricerca a vuoto si verbalizza con perimetro esatto, come vuole il blocco 285 dell'agenda, e ogni bersaglio riceve il suo stato. Per questa triangolazione l'esito atteso è una colonna quasi interamente a vuoto, e va scritta così. Un vuoto ben perimetrato è una coordinata sottratta per sempre alla ricerca futura: vale quanto un ritrovamento.</w:t>
      </w:r>
    </w:p>
    <w:p>
      <w:pPr>
        <w:spacing w:after="120" w:line="276"/>
        <w:jc w:val="both"/>
      </w:pPr>
      <w:r>
        <w:rPr>
          <w:rFonts w:ascii="Barlow Semi Condensed" w:cs="Barlow Semi Condensed" w:eastAsia="Barlow Semi Condensed" w:hAnsi="Barlow Semi Condensed"/>
          <w:b/>
          <w:bCs/>
          <w:sz w:val="24"/>
          <w:szCs w:val="24"/>
        </w:rPr>
        <w:t xml:space="preserve">3501 · Luglio 1976, il taglio del versamento.</w:t>
      </w:r>
      <w:r>
        <w:rPr>
          <w:rFonts w:ascii="Barlow Semi Condensed" w:cs="Barlow Semi Condensed" w:eastAsia="Barlow Semi Condensed" w:hAnsi="Barlow Semi Condensed"/>
          <w:sz w:val="24"/>
          <w:szCs w:val="24"/>
        </w:rPr>
        <w:t xml:space="preserve"> Rilievo strutturale sul blocco 41: la sottoserie indicata come madre, «Italie, juillet 1976-1980» dentro il versamento 1929INVA di 974 scatole, comincia nel luglio 1976. La visita di Stato del settembre 1974 e la firma dell'Atto finale di Helsinki del 1° agosto 1975 restano fuori. Il versamento europeo precedente, che copre gli anni fino al giugno 1976, è la sede che questa serie deve individuare e chiedere.</w:t>
      </w:r>
    </w:p>
    <w:p>
      <w:pPr>
        <w:spacing w:after="120" w:line="276"/>
        <w:jc w:val="both"/>
      </w:pPr>
      <w:r>
        <w:rPr>
          <w:rFonts w:ascii="Barlow Semi Condensed" w:cs="Barlow Semi Condensed" w:eastAsia="Barlow Semi Condensed" w:hAnsi="Barlow Semi Condensed"/>
          <w:b/>
          <w:bCs/>
          <w:sz w:val="24"/>
          <w:szCs w:val="24"/>
        </w:rPr>
        <w:t xml:space="preserve">3502 · L'inventario prima della trasferta.</w:t>
      </w:r>
      <w:r>
        <w:rPr>
          <w:rFonts w:ascii="Barlow Semi Condensed" w:cs="Barlow Semi Condensed" w:eastAsia="Barlow Semi Condensed" w:hAnsi="Barlow Semi Condensed"/>
          <w:sz w:val="24"/>
          <w:szCs w:val="24"/>
        </w:rPr>
        <w:t xml:space="preserve"> Prima di prendere il treno si spoglia l'inventario in linea: lo impone il blocco 42, e per questa triangolazione l'operazione costa nulla e va fatta subito. Si interroga il PDF con una griglia di nomi e di date e si registrano gli esiti nulli con la stessa cura di quelli utili. Se l'inventario non porta il nome, la trasferta parigina non si giustifica su questo capitolo.</w:t>
      </w:r>
    </w:p>
    <w:p>
      <w:pPr>
        <w:spacing w:after="120" w:line="276"/>
        <w:jc w:val="both"/>
      </w:pPr>
      <w:r>
        <w:rPr>
          <w:rFonts w:ascii="Barlow Semi Condensed" w:cs="Barlow Semi Condensed" w:eastAsia="Barlow Semi Condensed" w:hAnsi="Barlow Semi Condensed"/>
          <w:b/>
          <w:bCs/>
          <w:sz w:val="24"/>
          <w:szCs w:val="24"/>
        </w:rPr>
        <w:t xml:space="preserve">3503 · Nantes, il fondo Rome-Quirinal.</w:t>
      </w:r>
      <w:r>
        <w:rPr>
          <w:rFonts w:ascii="Barlow Semi Condensed" w:cs="Barlow Semi Condensed" w:eastAsia="Barlow Semi Condensed" w:hAnsi="Barlow Semi Condensed"/>
          <w:sz w:val="24"/>
          <w:szCs w:val="24"/>
        </w:rPr>
        <w:t xml:space="preserve"> A Nantes giacciono i fondi rimpatriati dell'ambasciata di Francia a Roma, il fondo Rome-Quirinal che il blocco 44 assegna al cantiere. Bersaglio proprio di questa serie sono le serie di sede degli anni 1974-1976, dove un ambasciatore registra ciò che la centrale non chiede. Le due voci vanno lette insieme: una sede periferica annota spesso ciò che la centrale ritiene ovvio e perciò non scrive.</w:t>
      </w:r>
    </w:p>
    <w:p>
      <w:pPr>
        <w:spacing w:after="120" w:line="276"/>
        <w:jc w:val="both"/>
      </w:pPr>
      <w:r>
        <w:rPr>
          <w:rFonts w:ascii="Barlow Semi Condensed" w:cs="Barlow Semi Condensed" w:eastAsia="Barlow Semi Condensed" w:hAnsi="Barlow Semi Condensed"/>
          <w:b/>
          <w:bCs/>
          <w:sz w:val="24"/>
          <w:szCs w:val="24"/>
        </w:rPr>
        <w:t xml:space="preserve">3504 · Il contagio nominato, e chi lo ricevette.</w:t>
      </w:r>
      <w:r>
        <w:rPr>
          <w:rFonts w:ascii="Barlow Semi Condensed" w:cs="Barlow Semi Condensed" w:eastAsia="Barlow Semi Condensed" w:hAnsi="Barlow Semi Condensed"/>
          <w:sz w:val="24"/>
          <w:szCs w:val="24"/>
        </w:rPr>
        <w:t xml:space="preserve"> Il verbale del 25 settembre 1974 attesta la posizione sul non poter scambiare informazioni militari con un governo che includesse i comunisti, e una valutazione sul rischio di propagazione che nomina Francia, Germania e Grecia. Quesito per il blocco 46, alla direzione Europa del Quai: le carte francesi attestano che quell'argomento fu portato a Parigi? Un verbale francese che lo registri sarebbe piano 1.</w:t>
      </w:r>
    </w:p>
    <w:p>
      <w:pPr>
        <w:spacing w:after="120" w:line="276"/>
        <w:jc w:val="both"/>
      </w:pPr>
      <w:r>
        <w:rPr>
          <w:rFonts w:ascii="Barlow Semi Condensed" w:cs="Barlow Semi Condensed" w:eastAsia="Barlow Semi Condensed" w:hAnsi="Barlow Semi Condensed"/>
          <w:b/>
          <w:bCs/>
          <w:sz w:val="24"/>
          <w:szCs w:val="24"/>
        </w:rPr>
        <w:t xml:space="preserve">3505 · L'Eliseo, e i colloqui ristretti.</w:t>
      </w:r>
      <w:r>
        <w:rPr>
          <w:rFonts w:ascii="Barlow Semi Condensed" w:cs="Barlow Semi Condensed" w:eastAsia="Barlow Semi Condensed" w:hAnsi="Barlow Semi Condensed"/>
          <w:sz w:val="24"/>
          <w:szCs w:val="24"/>
        </w:rPr>
        <w:t xml:space="preserve"> All'Eliseo il blocco 47 assegna le serie presidenziali di Valéry Giscard d'Estaing agli Archives nationales, versamento AG, coi verbali dei consigli ristretti. Domanda che vi si porta: esistono note francesi dei conciliaboli a margine dei vertici del 1975 e del 1976 dove l'ipotesi comunista italiana fu discussa fra alleati? La deroga si chiede sul dossier, con motivazione storica, e l'esito entra nel registro.</w:t>
      </w:r>
    </w:p>
    <w:p>
      <w:pPr>
        <w:spacing w:after="120" w:line="276"/>
        <w:jc w:val="both"/>
      </w:pPr>
      <w:r>
        <w:rPr>
          <w:rFonts w:ascii="Barlow Semi Condensed" w:cs="Barlow Semi Condensed" w:eastAsia="Barlow Semi Condensed" w:hAnsi="Barlow Semi Condensed"/>
          <w:b/>
          <w:bCs/>
          <w:sz w:val="24"/>
          <w:szCs w:val="24"/>
        </w:rPr>
        <w:t xml:space="preserve">3506 · Codice del patrimonio, e la deroga.</w:t>
      </w:r>
      <w:r>
        <w:rPr>
          <w:rFonts w:ascii="Barlow Semi Condensed" w:cs="Barlow Semi Condensed" w:eastAsia="Barlow Semi Condensed" w:hAnsi="Barlow Semi Condensed"/>
          <w:sz w:val="24"/>
          <w:szCs w:val="24"/>
        </w:rPr>
        <w:t xml:space="preserve"> La procedura di dérogation descritta dal blocco 43 muove dal censimento dei dossier a comunicabilità lunga per sicurezza dello Stato o vita privata, secondo l'articolo L213-2 del Code du patrimoine. La motivazione utile qui non contiene accuse: dichiara di voler verificare presenza o assenza di comunicazioni alleate su una crisi politica italiana. Una deroga negata è essa stessa un dato, e si data.</w:t>
      </w:r>
    </w:p>
    <w:p>
      <w:pPr>
        <w:spacing w:after="120" w:line="276"/>
        <w:jc w:val="both"/>
      </w:pPr>
      <w:r>
        <w:rPr>
          <w:rFonts w:ascii="Barlow Semi Condensed" w:cs="Barlow Semi Condensed" w:eastAsia="Barlow Semi Condensed" w:hAnsi="Barlow Semi Condensed"/>
          <w:b/>
          <w:bCs/>
          <w:sz w:val="24"/>
          <w:szCs w:val="24"/>
        </w:rPr>
        <w:t xml:space="preserve">3507 · Settantacinque anni, e nulla da attendere.</w:t>
      </w:r>
      <w:r>
        <w:rPr>
          <w:rFonts w:ascii="Barlow Semi Condensed" w:cs="Barlow Semi Condensed" w:eastAsia="Barlow Semi Condensed" w:hAnsi="Barlow Semi Condensed"/>
          <w:sz w:val="24"/>
          <w:szCs w:val="24"/>
        </w:rPr>
        <w:t xml:space="preserve"> Settantacinque anni: è il termine che il blocco 48 accerta per gli atti giudiziari francesi, e con esso il perimetro onesto del cantiere. Per questa serie la conseguenza va scritta senza attenuazioni: nessuna verifica giudiziaria francese è disponibile, né lo sarà entro l'orizzonte di questa ricerca. La data di apertura si calcola e si mette a calendario, ma non genera alcuna attesa operativa.</w:t>
      </w:r>
    </w:p>
    <w:p>
      <w:pPr>
        <w:spacing w:after="120" w:line="276"/>
        <w:jc w:val="both"/>
      </w:pPr>
      <w:r>
        <w:rPr>
          <w:rFonts w:ascii="Barlow Semi Condensed" w:cs="Barlow Semi Condensed" w:eastAsia="Barlow Semi Condensed" w:hAnsi="Barlow Semi Condensed"/>
          <w:b/>
          <w:bCs/>
          <w:sz w:val="24"/>
          <w:szCs w:val="24"/>
        </w:rPr>
        <w:t xml:space="preserve">3508 · Grimaud, e la nota del 1983.</w:t>
      </w:r>
      <w:r>
        <w:rPr>
          <w:rFonts w:ascii="Barlow Semi Condensed" w:cs="Barlow Semi Condensed" w:eastAsia="Barlow Semi Condensed" w:hAnsi="Barlow Semi Condensed"/>
          <w:sz w:val="24"/>
          <w:szCs w:val="24"/>
        </w:rPr>
        <w:t xml:space="preserve"> Maurice Grimaud lasciò un fondo diviso fra il Centre d'histoire de Sciences Po, per le carte private, e gli Archives nationales a Pierrefitte, per quelle d'ufficio; il blocco 49 vi documenta la nota del 24 maggio 1983 con cui chiese ai Renseignements généraux informazioni su Hyperion. Stato Zero da registrare: nulla in quel censimento rimanda a questo nome. La verifica in sala resta da compiere.</w:t>
      </w:r>
    </w:p>
    <w:p>
      <w:pPr>
        <w:spacing w:after="120" w:line="276"/>
        <w:jc w:val="both"/>
      </w:pPr>
      <w:r>
        <w:rPr>
          <w:rFonts w:ascii="Barlow Semi Condensed" w:cs="Barlow Semi Condensed" w:eastAsia="Barlow Semi Condensed" w:hAnsi="Barlow Semi Condensed"/>
          <w:b/>
          <w:bCs/>
          <w:sz w:val="24"/>
          <w:szCs w:val="24"/>
        </w:rPr>
        <w:t xml:space="preserve">3509 · Hyperion, e il criterio di riapertura.</w:t>
      </w:r>
      <w:r>
        <w:rPr>
          <w:rFonts w:ascii="Barlow Semi Condensed" w:cs="Barlow Semi Condensed" w:eastAsia="Barlow Semi Condensed" w:hAnsi="Barlow Semi Condensed"/>
          <w:sz w:val="24"/>
          <w:szCs w:val="24"/>
        </w:rPr>
        <w:t xml:space="preserve"> Hyperion resta chiusa per anello debole, e i blocchi 50 e 72 la tengono entro il criterio del blocco 222 dell'agenda: riapre solo un documento primario che trasformi un arco biografico in arco di condotta. Nessun documento noto collega questo nome alla scuola di lingue parigina. Si dichiara in anticipo che cosa non conterebbe: biografie, contiguità, memorie, e ogni somiglianza di risultato.</w:t>
      </w:r>
    </w:p>
    <w:p>
      <w:pPr>
        <w:spacing w:after="120" w:line="276"/>
        <w:jc w:val="both"/>
      </w:pPr>
      <w:r>
        <w:rPr>
          <w:rFonts w:ascii="Barlow Semi Condensed" w:cs="Barlow Semi Condensed" w:eastAsia="Barlow Semi Condensed" w:hAnsi="Barlow Semi Condensed"/>
          <w:b/>
          <w:bCs/>
          <w:sz w:val="24"/>
          <w:szCs w:val="24"/>
        </w:rPr>
        <w:t xml:space="preserve">3510 · La dottrina Mitterrand, fuori arco.</w:t>
      </w:r>
      <w:r>
        <w:rPr>
          <w:rFonts w:ascii="Barlow Semi Condensed" w:cs="Barlow Semi Condensed" w:eastAsia="Barlow Semi Condensed" w:hAnsi="Barlow Semi Condensed"/>
          <w:sz w:val="24"/>
          <w:szCs w:val="24"/>
        </w:rPr>
        <w:t xml:space="preserve"> Sette anni oltre l'ultima carica dell'uomo qui triangolato cade l'intero fascicolo che il blocco 51 costruisce: il discorso del 21 aprile 1985, gli atti amministrativi sui rifugiati italiani, i pareri del Conseil d'État, la parola della Cassazione francese del marzo 2023. Si registra come irrilevanza dichiarata e non come silenzio: dire perché un capitolo non pertiene è parte del lavoro.</w:t>
      </w:r>
    </w:p>
    <w:p>
      <w:pPr>
        <w:spacing w:after="120" w:line="276"/>
        <w:jc w:val="both"/>
      </w:pPr>
      <w:r>
        <w:rPr>
          <w:rFonts w:ascii="Barlow Semi Condensed" w:cs="Barlow Semi Condensed" w:eastAsia="Barlow Semi Condensed" w:hAnsi="Barlow Semi Condensed"/>
          <w:b/>
          <w:bCs/>
          <w:sz w:val="24"/>
          <w:szCs w:val="24"/>
        </w:rPr>
        <w:t xml:space="preserve">3511 · Si chiede la serie, mai la persona.</w:t>
      </w:r>
      <w:r>
        <w:rPr>
          <w:rFonts w:ascii="Barlow Semi Condensed" w:cs="Barlow Semi Condensed" w:eastAsia="Barlow Semi Condensed" w:hAnsi="Barlow Semi Condensed"/>
          <w:sz w:val="24"/>
          <w:szCs w:val="24"/>
        </w:rPr>
        <w:t xml:space="preserve"> Si chiede la serie, mai la persona: la regola personalistica che il blocco 53 impone all'ufficio francese per i rifugiati vale a maggior ragione per un nome che nessun atto collega a quella materia. Nessuna istanza di questa serie chiederà mai un fascicolo nominativo all'OFPRA. Il perimetro della domanda si definisce prima della domanda, ed è questa la garanzia che rende la ricerca proponibile.</w:t>
      </w:r>
    </w:p>
    <w:p>
      <w:pPr>
        <w:spacing w:after="120" w:line="276"/>
        <w:jc w:val="both"/>
      </w:pPr>
      <w:r>
        <w:rPr>
          <w:rFonts w:ascii="Barlow Semi Condensed" w:cs="Barlow Semi Condensed" w:eastAsia="Barlow Semi Condensed" w:hAnsi="Barlow Semi Condensed"/>
          <w:b/>
          <w:bCs/>
          <w:sz w:val="24"/>
          <w:szCs w:val="24"/>
        </w:rPr>
        <w:t xml:space="preserve">3512 · CADA, gemella francese dell'ICO.</w:t>
      </w:r>
      <w:r>
        <w:rPr>
          <w:rFonts w:ascii="Barlow Semi Condensed" w:cs="Barlow Semi Condensed" w:eastAsia="Barlow Semi Condensed" w:hAnsi="Barlow Semi Condensed"/>
          <w:sz w:val="24"/>
          <w:szCs w:val="24"/>
        </w:rPr>
        <w:t xml:space="preserve"> Ogni diniego amministrativo francese apre la via alla Commission d'accès aux documents administratifs, come stabilisce il blocco 54, gemello del 13 britannico. Il parallelismo va sfruttato in modo comparativo: le stesse domande poste ai due sistemi producono due risposte, e la differenza fra i due dinieghi dice quale amministrazione consideri ancora sensibile la materia. È un dato sulla materia, non sulla persona.</w:t>
      </w:r>
    </w:p>
    <w:p>
      <w:pPr>
        <w:spacing w:after="120" w:line="276"/>
        <w:jc w:val="both"/>
      </w:pPr>
      <w:r>
        <w:rPr>
          <w:rFonts w:ascii="Barlow Semi Condensed" w:cs="Barlow Semi Condensed" w:eastAsia="Barlow Semi Condensed" w:hAnsi="Barlow Semi Condensed"/>
          <w:b/>
          <w:bCs/>
          <w:sz w:val="24"/>
          <w:szCs w:val="24"/>
        </w:rPr>
        <w:t xml:space="preserve">3513 · Il rovescio italiano del cantiere.</w:t>
      </w:r>
      <w:r>
        <w:rPr>
          <w:rFonts w:ascii="Barlow Semi Condensed" w:cs="Barlow Semi Condensed" w:eastAsia="Barlow Semi Condensed" w:hAnsi="Barlow Semi Condensed"/>
          <w:sz w:val="24"/>
          <w:szCs w:val="24"/>
        </w:rPr>
        <w:t xml:space="preserve"> Il rovescio del cantiere sta a Roma: il blocco 55 chiede all'Archivio storico diplomatico della Farnesina le carte dell'ambasciata d'Italia a Parigi e dei consolati. Applicazione: che cosa Roma riferiva a Parigi delle proprie relazioni atlantiche negli anni 1974-1976, e con quali parole. Una carta italiana che riferisca una comunicazione americana vale come indizio di provenienza, da controllare poi a Washington.</w:t>
      </w:r>
    </w:p>
    <w:p>
      <w:pPr>
        <w:spacing w:after="120" w:line="276"/>
        <w:jc w:val="both"/>
      </w:pPr>
      <w:r>
        <w:rPr>
          <w:rFonts w:ascii="Barlow Semi Condensed" w:cs="Barlow Semi Condensed" w:eastAsia="Barlow Semi Condensed" w:hAnsi="Barlow Semi Condensed"/>
          <w:b/>
          <w:bCs/>
          <w:sz w:val="24"/>
          <w:szCs w:val="24"/>
        </w:rPr>
        <w:t xml:space="preserve">3514 · Le Monde, e il processo del 1982.</w:t>
      </w:r>
      <w:r>
        <w:rPr>
          <w:rFonts w:ascii="Barlow Semi Condensed" w:cs="Barlow Semi Condensed" w:eastAsia="Barlow Semi Condensed" w:hAnsi="Barlow Semi Condensed"/>
          <w:sz w:val="24"/>
          <w:szCs w:val="24"/>
        </w:rPr>
        <w:t xml:space="preserve"> Nel novembre 1982 la Corte d'assise di Roma raccolse la testimonianza de relato che collocò il nome. Bersaglio aggiunto al blocco 56, che apre gli archivi di Le Monde, Libération e Le Figaro: la stampa francese ne riferì allora? In caso affermativo la circolazione dell'episodio precede di quarantun anni il lancio d'agenzia del 30 novembre 2023, e la moltiplicazione apparente va rimisurata su quella data.</w:t>
      </w:r>
    </w:p>
    <w:p>
      <w:pPr>
        <w:spacing w:after="120" w:line="276"/>
        <w:jc w:val="both"/>
      </w:pPr>
      <w:r>
        <w:rPr>
          <w:rFonts w:ascii="Barlow Semi Condensed" w:cs="Barlow Semi Condensed" w:eastAsia="Barlow Semi Condensed" w:hAnsi="Barlow Semi Condensed"/>
          <w:b/>
          <w:bCs/>
          <w:sz w:val="24"/>
          <w:szCs w:val="24"/>
        </w:rPr>
        <w:t xml:space="preserve">3515 · Rambouillet e Porto Rico, fuori perimetro.</w:t>
      </w:r>
      <w:r>
        <w:rPr>
          <w:rFonts w:ascii="Barlow Semi Condensed" w:cs="Barlow Semi Condensed" w:eastAsia="Barlow Semi Condensed" w:hAnsi="Barlow Semi Condensed"/>
          <w:sz w:val="24"/>
          <w:szCs w:val="24"/>
        </w:rPr>
        <w:t xml:space="preserve"> Emendamento al blocco 60, che chiede le carte dei vertici bilaterali e comunitari del 1978, coi consigli europei e il G7 di Bonn del luglio 1978: il bersaglio va esteso ai due vertici del 1975 e del 1976, gli unici in cui il presidente del Consiglio italiano e il Segretario di Stato americano furono contemporaneamente in carica. Fuori da quel biennio il quesito non ha oggetto.</w:t>
      </w:r>
    </w:p>
    <w:p>
      <w:pPr>
        <w:spacing w:after="120" w:line="276"/>
        <w:jc w:val="both"/>
      </w:pPr>
      <w:r>
        <w:rPr>
          <w:rFonts w:ascii="Barlow Semi Condensed" w:cs="Barlow Semi Condensed" w:eastAsia="Barlow Semi Condensed" w:hAnsi="Barlow Semi Condensed"/>
          <w:b/>
          <w:bCs/>
          <w:sz w:val="24"/>
          <w:szCs w:val="24"/>
        </w:rPr>
        <w:t xml:space="preserve">3516 · TREVI, e la questione della presenza.</w:t>
      </w:r>
      <w:r>
        <w:rPr>
          <w:rFonts w:ascii="Barlow Semi Condensed" w:cs="Barlow Semi Condensed" w:eastAsia="Barlow Semi Condensed" w:hAnsi="Barlow Semi Condensed"/>
          <w:sz w:val="24"/>
          <w:szCs w:val="24"/>
        </w:rPr>
        <w:t xml:space="preserve"> TREVI opera dal 1976, e i blocchi 61 e 99 ne chiedono le carte a Parigi e a Bonn. Quesito tecnico da porre a entrambi gli archivi: la cooperazione europea antiterrorismo del periodo prevedeva una presenza americana, e in quale forma? La risposta documentata delimita un'intera famiglia di congetture. Se dalle carte non risulta, si scrive che non risulta e si elencano i fascicoli letti.</w:t>
      </w:r>
    </w:p>
    <w:p>
      <w:pPr>
        <w:spacing w:after="120" w:line="276"/>
        <w:jc w:val="both"/>
      </w:pPr>
      <w:r>
        <w:rPr>
          <w:rFonts w:ascii="Barlow Semi Condensed" w:cs="Barlow Semi Condensed" w:eastAsia="Barlow Semi Condensed" w:hAnsi="Barlow Semi Condensed"/>
          <w:b/>
          <w:bCs/>
          <w:sz w:val="24"/>
          <w:szCs w:val="24"/>
        </w:rPr>
        <w:t xml:space="preserve">3517 · Il nome come metonimia, nei glossari.</w:t>
      </w:r>
      <w:r>
        <w:rPr>
          <w:rFonts w:ascii="Barlow Semi Condensed" w:cs="Barlow Semi Condensed" w:eastAsia="Barlow Semi Condensed" w:hAnsi="Barlow Semi Condensed"/>
          <w:sz w:val="24"/>
          <w:szCs w:val="24"/>
        </w:rPr>
        <w:t xml:space="preserve"> Nei tre glossari che i blocchi 29, 64 e 112 prescrivono per Londra, Parigi e Bonn si porta un bersaglio filologico proprio di questa serie: il cognome vi compare mai come metonimia della politica americana piuttosto che come persona? L'uso metonimico è un fatto linguistico e non un fatto politico, ma la data della sua comparsa misura quando la percezione alleata si fissò.</w:t>
      </w:r>
    </w:p>
    <w:p>
      <w:pPr>
        <w:spacing w:after="120" w:line="276"/>
        <w:jc w:val="both"/>
      </w:pPr>
      <w:r>
        <w:rPr>
          <w:rFonts w:ascii="Barlow Semi Condensed" w:cs="Barlow Semi Condensed" w:eastAsia="Barlow Semi Condensed" w:hAnsi="Barlow Semi Condensed"/>
          <w:b/>
          <w:bCs/>
          <w:sz w:val="24"/>
          <w:szCs w:val="24"/>
        </w:rPr>
        <w:t xml:space="preserve">3518 · INA, e le teche di Francia.</w:t>
      </w:r>
      <w:r>
        <w:rPr>
          <w:rFonts w:ascii="Barlow Semi Condensed" w:cs="Barlow Semi Condensed" w:eastAsia="Barlow Semi Condensed" w:hAnsi="Barlow Semi Condensed"/>
          <w:sz w:val="24"/>
          <w:szCs w:val="24"/>
        </w:rPr>
        <w:t xml:space="preserve"> Le teche dell'audiovisivo pubblico francese, che il blocco 68 apre per i cinquantacinque giorni, si interrogano per catalogo: interviste, dichiarazioni o servizi in cui il nome sia pronunciato a proposito dell'Italia, con data di messa in onda. Una dichiarazione televisiva rilasciata da privato cittadino resta piano 1 su ciò che egli disse, e nulla di più: la fonte è sé stesso, il fatto è il dire.</w:t>
      </w:r>
    </w:p>
    <w:p>
      <w:pPr>
        <w:spacing w:after="120" w:line="276"/>
        <w:jc w:val="both"/>
      </w:pPr>
      <w:r>
        <w:rPr>
          <w:rFonts w:ascii="Barlow Semi Condensed" w:cs="Barlow Semi Condensed" w:eastAsia="Barlow Semi Condensed" w:hAnsi="Barlow Semi Condensed"/>
          <w:b/>
          <w:bCs/>
          <w:sz w:val="24"/>
          <w:szCs w:val="24"/>
        </w:rPr>
        <w:t xml:space="preserve">3519 · Le celle che solo Parigi chiuderebbe.</w:t>
      </w:r>
      <w:r>
        <w:rPr>
          <w:rFonts w:ascii="Barlow Semi Condensed" w:cs="Barlow Semi Condensed" w:eastAsia="Barlow Semi Condensed" w:hAnsi="Barlow Semi Condensed"/>
          <w:sz w:val="24"/>
          <w:szCs w:val="24"/>
        </w:rPr>
        <w:t xml:space="preserve"> Quali celle delle matrici ACH del corpus può riempire soltanto un documento francese? Il blocco 75 chiede la formulazione esplicita, e la risposta di questa serie è negativa e va scritta: su questo nome, nessuna. L'episodio contestato è bilaterale, romano-washingtoniano, e gli archivi francesi ne darebbero al massimo un'eco terza, che resta piano 2. La trasferta parigina si giustifica su altri capitoli.</w:t>
      </w:r>
    </w:p>
    <w:p>
      <w:pPr>
        <w:spacing w:after="120" w:line="276"/>
        <w:jc w:val="both"/>
      </w:pPr>
      <w:r>
        <w:rPr>
          <w:rFonts w:ascii="Barlow Semi Condensed" w:cs="Barlow Semi Condensed" w:eastAsia="Barlow Semi Condensed" w:hAnsi="Barlow Semi Condensed"/>
          <w:b/>
          <w:bCs/>
          <w:sz w:val="24"/>
          <w:szCs w:val="24"/>
        </w:rPr>
        <w:t xml:space="preserve">3520 · Firenze, sede terza del cantiere.</w:t>
      </w:r>
      <w:r>
        <w:rPr>
          <w:rFonts w:ascii="Barlow Semi Condensed" w:cs="Barlow Semi Condensed" w:eastAsia="Barlow Semi Condensed" w:hAnsi="Barlow Semi Condensed"/>
          <w:sz w:val="24"/>
          <w:szCs w:val="24"/>
        </w:rPr>
        <w:t xml:space="preserve"> Agli Archivi storici dell'Unione europea, a Firenze, il blocco 76 manda a cercare le carte della cooperazione europea del 1978. Bersaglio proprio: i fondi personali di uomini politici europei ivi depositati, dove un carteggio privato conserva talvolta ciò che nessuna cancelleria protocollò. La geografia degli archivi non segue quella politica, avverte il territorio: un documento francese decisivo può giacere in Toscana.</w:t>
      </w:r>
    </w:p>
    <w:p>
      <w:pPr>
        <w:spacing w:after="120" w:line="276"/>
        <w:jc w:val="both"/>
      </w:pPr>
      <w:r>
        <w:rPr>
          <w:rFonts w:ascii="Barlow Semi Condensed" w:cs="Barlow Semi Condensed" w:eastAsia="Barlow Semi Condensed" w:hAnsi="Barlow Semi Condensed"/>
          <w:b/>
          <w:bCs/>
          <w:sz w:val="24"/>
          <w:szCs w:val="24"/>
        </w:rPr>
        <w:t xml:space="preserve">3521 · Vuoti francesi, con le loro date.</w:t>
      </w:r>
      <w:r>
        <w:rPr>
          <w:rFonts w:ascii="Barlow Semi Condensed" w:cs="Barlow Semi Condensed" w:eastAsia="Barlow Semi Condensed" w:hAnsi="Barlow Semi Condensed"/>
          <w:sz w:val="24"/>
          <w:szCs w:val="24"/>
        </w:rPr>
        <w:t xml:space="preserve"> Una tabella di assenze datate è il prodotto francese atteso da questa serie, secondo i blocchi 71 e 77: serie senza il nome, deroghe negate, termini di comunicabilità che maturano. La colonna delle date distingue uno Stato Zero da una rinuncia, e va compilata anche quando la ricerca si è fermata al primo inventario. Senza date, l'assenza non è verbalizzabile e va rifatta.</w:t>
      </w:r>
    </w:p>
    <w:p>
      <w:pPr>
        <w:spacing w:after="120" w:line="276"/>
        <w:jc w:val="both"/>
      </w:pPr>
      <w:r>
        <w:rPr>
          <w:rFonts w:ascii="Barlow Semi Condensed" w:cs="Barlow Semi Condensed" w:eastAsia="Barlow Semi Condensed" w:hAnsi="Barlow Semi Condensed"/>
          <w:b/>
          <w:bCs/>
          <w:sz w:val="24"/>
          <w:szCs w:val="24"/>
        </w:rPr>
        <w:t xml:space="preserve">3522 · Berlino, e la trentennale già scaduta.</w:t>
      </w:r>
      <w:r>
        <w:rPr>
          <w:rFonts w:ascii="Barlow Semi Condensed" w:cs="Barlow Semi Condensed" w:eastAsia="Barlow Semi Condensed" w:hAnsi="Barlow Semi Condensed"/>
          <w:sz w:val="24"/>
          <w:szCs w:val="24"/>
        </w:rPr>
        <w:t xml:space="preserve"> Berlino apre per trentennale: il blocco 81 accerta che il Politisches Archiv dell'Auswärtiges Amt rende consultabili le carte diplomatiche del 1977-1978. Corollario aritmetico a favore di questa serie: quelle del 1974, 1975 e 1976, gli anni della carica, sono aperte da più tempo ancora. I fascicoli del Länderreferat Italia per quel triennio sono il primo scaffale tedesco da chiedere, e nessuno li ha spogliati così.</w:t>
      </w:r>
    </w:p>
    <w:p>
      <w:pPr>
        <w:spacing w:after="120" w:line="276"/>
        <w:jc w:val="both"/>
      </w:pPr>
      <w:r>
        <w:rPr>
          <w:rFonts w:ascii="Barlow Semi Condensed" w:cs="Barlow Semi Condensed" w:eastAsia="Barlow Semi Condensed" w:hAnsi="Barlow Semi Condensed"/>
          <w:b/>
          <w:bCs/>
          <w:sz w:val="24"/>
          <w:szCs w:val="24"/>
        </w:rPr>
        <w:t xml:space="preserve">3523 · AAPD, i volumi che nessuno chiede.</w:t>
      </w:r>
      <w:r>
        <w:rPr>
          <w:rFonts w:ascii="Barlow Semi Condensed" w:cs="Barlow Semi Condensed" w:eastAsia="Barlow Semi Condensed" w:hAnsi="Barlow Semi Condensed"/>
          <w:sz w:val="24"/>
          <w:szCs w:val="24"/>
        </w:rPr>
        <w:t xml:space="preserve"> L'edizione «Akten zur Auswärtigen Politik der Bundesrepublik Deutschland» per il 1978, verificata dal blocco 82 in due tomi per oltre duemilacento pagine, esiste anche per gli anni precedenti, e sono quelli utili: 1974, 1975, 1976. Lo spoglio dei loro indici onomastici è la verifica tedesca a costo più basso di tutte, e va compiuta prima di ogni richiesta al Politisches Archiv.</w:t>
      </w:r>
    </w:p>
    <w:p>
      <w:pPr>
        <w:spacing w:after="120" w:line="276"/>
        <w:jc w:val="both"/>
      </w:pPr>
      <w:r>
        <w:rPr>
          <w:rFonts w:ascii="Barlow Semi Condensed" w:cs="Barlow Semi Condensed" w:eastAsia="Barlow Semi Condensed" w:hAnsi="Barlow Semi Condensed"/>
          <w:b/>
          <w:bCs/>
          <w:sz w:val="24"/>
          <w:szCs w:val="24"/>
        </w:rPr>
        <w:t xml:space="preserve">3524 · Oltre l'edito, il fascicolo intero.</w:t>
      </w:r>
      <w:r>
        <w:rPr>
          <w:rFonts w:ascii="Barlow Semi Condensed" w:cs="Barlow Semi Condensed" w:eastAsia="Barlow Semi Condensed" w:hAnsi="Barlow Semi Condensed"/>
          <w:sz w:val="24"/>
          <w:szCs w:val="24"/>
        </w:rPr>
        <w:t xml:space="preserve"> Un'assenza dagli indici a stampa non è un'assenza dall'archivio: lo impone il blocco 83, per cui l'edizione pubblica una selezione mentre il fascicolo integrale resta in sede, e per ogni documento edito rilevante si chiede la busta d'origine. Lo Stato Zero tedesco su questo nome potrà dunque essere dichiarato solo dopo la richiesta del fascicolo, mai dopo la sola lettura dei volumi.</w:t>
      </w:r>
    </w:p>
    <w:p>
      <w:pPr>
        <w:spacing w:after="120" w:line="276"/>
        <w:jc w:val="both"/>
      </w:pPr>
      <w:r>
        <w:rPr>
          <w:rFonts w:ascii="Barlow Semi Condensed" w:cs="Barlow Semi Condensed" w:eastAsia="Barlow Semi Condensed" w:hAnsi="Barlow Semi Condensed"/>
          <w:b/>
          <w:bCs/>
          <w:sz w:val="24"/>
          <w:szCs w:val="24"/>
        </w:rPr>
        <w:t xml:space="preserve">3525 · L'ambasciata federale, negli anni della carica.</w:t>
      </w:r>
      <w:r>
        <w:rPr>
          <w:rFonts w:ascii="Barlow Semi Condensed" w:cs="Barlow Semi Condensed" w:eastAsia="Barlow Semi Condensed" w:hAnsi="Barlow Semi Condensed"/>
          <w:sz w:val="24"/>
          <w:szCs w:val="24"/>
        </w:rPr>
        <w:t xml:space="preserve"> Anche per Bonn l'estensione utile è il triennio 1974-1976, mentre il blocco 84 chiede i carteggi dell'ambasciata della Repubblica federale a Roma per i cinquantacinque giorni. Che cosa registrò la sede della relazione fra governo italiano e amministrazione americana, e da quali fonti. Quattro sequenze faranno una tavola, dice il territorio, ma la tavola del 1978 non può contenere un uomo uscito di carica nel gennaio 1977.</w:t>
      </w:r>
    </w:p>
    <w:p>
      <w:pPr>
        <w:spacing w:after="120" w:line="276"/>
        <w:jc w:val="both"/>
      </w:pPr>
      <w:r>
        <w:rPr>
          <w:rFonts w:ascii="Barlow Semi Condensed" w:cs="Barlow Semi Condensed" w:eastAsia="Barlow Semi Condensed" w:hAnsi="Barlow Semi Condensed"/>
          <w:b/>
          <w:bCs/>
          <w:sz w:val="24"/>
          <w:szCs w:val="24"/>
        </w:rPr>
        <w:t xml:space="preserve">3526 · Schleyer, e il calendario che esclude.</w:t>
      </w:r>
      <w:r>
        <w:rPr>
          <w:rFonts w:ascii="Barlow Semi Condensed" w:cs="Barlow Semi Condensed" w:eastAsia="Barlow Semi Condensed" w:hAnsi="Barlow Semi Condensed"/>
          <w:sz w:val="24"/>
          <w:szCs w:val="24"/>
        </w:rPr>
        <w:t xml:space="preserve"> Il caso Schleyer, 5 settembre-18 ottobre 1977, entra col blocco 85 come giacimento comparativo, coi Kabinettsprotokolle del 1977 editi online dal Bundesarchiv. Accertamento cronologico che chiude il capitolo per questa serie: la crisi tedesca comincia otto mesi dopo la fine dell'ultima carica. Ogni contatto americano ivi documentato riguarda l'amministrazione allora in servizio. Si registra come esclusione datata, non come mancanza di ricerca.</w:t>
      </w:r>
    </w:p>
    <w:p>
      <w:pPr>
        <w:spacing w:after="120" w:line="276"/>
        <w:jc w:val="both"/>
      </w:pPr>
      <w:r>
        <w:rPr>
          <w:rFonts w:ascii="Barlow Semi Condensed" w:cs="Barlow Semi Condensed" w:eastAsia="Barlow Semi Condensed" w:hAnsi="Barlow Semi Condensed"/>
          <w:b/>
          <w:bCs/>
          <w:sz w:val="24"/>
          <w:szCs w:val="24"/>
        </w:rPr>
        <w:t xml:space="preserve">3527 · Il Krisenstab, e il pendente a calendario.</w:t>
      </w:r>
      <w:r>
        <w:rPr>
          <w:rFonts w:ascii="Barlow Semi Condensed" w:cs="Barlow Semi Condensed" w:eastAsia="Barlow Semi Condensed" w:hAnsi="Barlow Semi Condensed"/>
          <w:sz w:val="24"/>
          <w:szCs w:val="24"/>
        </w:rPr>
        <w:t xml:space="preserve"> I protocolli integrali del Großer Krisenstab della cancelleria restano in parte inaccessibili dopo un contenzioso salito fino al Bundesverwaltungsgericht, e risultano richieste documentate via legge sulla trasparenza: così il blocco 86. Per questa triangolazione il pendente non promette nulla, perché il perimetro temporale lo esclude. Si censisce comunque, perché il territorio impone di mettere a calendario il pendente anche quando non serve la propria domanda.</w:t>
      </w:r>
    </w:p>
    <w:p>
      <w:pPr>
        <w:spacing w:after="120" w:line="276"/>
        <w:jc w:val="both"/>
      </w:pPr>
      <w:r>
        <w:rPr>
          <w:rFonts w:ascii="Barlow Semi Condensed" w:cs="Barlow Semi Condensed" w:eastAsia="Barlow Semi Condensed" w:hAnsi="Barlow Semi Condensed"/>
          <w:b/>
          <w:bCs/>
          <w:sz w:val="24"/>
          <w:szCs w:val="24"/>
        </w:rPr>
        <w:t xml:space="preserve">3528 · B 106, e la cooperazione di polizia.</w:t>
      </w:r>
      <w:r>
        <w:rPr>
          <w:rFonts w:ascii="Barlow Semi Condensed" w:cs="Barlow Semi Condensed" w:eastAsia="Barlow Semi Condensed" w:hAnsi="Barlow Semi Condensed"/>
          <w:sz w:val="24"/>
          <w:szCs w:val="24"/>
        </w:rPr>
        <w:t xml:space="preserve"> Il fondo B 106 del ministero dell'Interno federale al Bundesarchiv, che il blocco 87 apre per l'antiterrorismo e la cooperazione internazionale del 1977-1978, va interrogato su una domanda preliminare: quelle serie cominciano prima? Se coprono anche il triennio 1974-1976, vi si cerca traccia di canali informativi transatlantici sull'Italia. La richiesta si formula sulla serie e sugli anni, mai su un nome: così rispondono gli archivi.</w:t>
      </w:r>
    </w:p>
    <w:p>
      <w:pPr>
        <w:spacing w:after="120" w:line="276"/>
        <w:jc w:val="both"/>
      </w:pPr>
      <w:r>
        <w:rPr>
          <w:rFonts w:ascii="Barlow Semi Condensed" w:cs="Barlow Semi Condensed" w:eastAsia="Barlow Semi Condensed" w:hAnsi="Barlow Semi Condensed"/>
          <w:b/>
          <w:bCs/>
          <w:sz w:val="24"/>
          <w:szCs w:val="24"/>
        </w:rPr>
        <w:t xml:space="preserve">3529 · La circolazione non è l'origine.</w:t>
      </w:r>
      <w:r>
        <w:rPr>
          <w:rFonts w:ascii="Barlow Semi Condensed" w:cs="Barlow Semi Condensed" w:eastAsia="Barlow Semi Condensed" w:hAnsi="Barlow Semi Condensed"/>
          <w:sz w:val="24"/>
          <w:szCs w:val="24"/>
        </w:rPr>
        <w:t xml:space="preserve"> Un fascicolo di polizia che riporti una valutazione politica straniera documenta la circolazione di quella valutazione dentro un apparato, non la sua origine: è la regola di lettura da applicare alle carte della Bundeskriminalamt che il blocco 88 richiede. Il grado si assegna alla circolazione. L'origine si accerta solo risalendo al documento emittente, e quel documento sta in un altro paese e in un'altra serie.</w:t>
      </w:r>
    </w:p>
    <w:p>
      <w:pPr>
        <w:spacing w:after="120" w:line="276"/>
        <w:jc w:val="both"/>
      </w:pPr>
      <w:r>
        <w:rPr>
          <w:rFonts w:ascii="Barlow Semi Condensed" w:cs="Barlow Semi Condensed" w:eastAsia="Barlow Semi Condensed" w:hAnsi="Barlow Semi Condensed"/>
          <w:b/>
          <w:bCs/>
          <w:sz w:val="24"/>
          <w:szCs w:val="24"/>
        </w:rPr>
        <w:t xml:space="preserve">3530 · I verbali del governo federale.</w:t>
      </w:r>
      <w:r>
        <w:rPr>
          <w:rFonts w:ascii="Barlow Semi Condensed" w:cs="Barlow Semi Condensed" w:eastAsia="Barlow Semi Condensed" w:hAnsi="Barlow Semi Condensed"/>
          <w:sz w:val="24"/>
          <w:szCs w:val="24"/>
        </w:rPr>
        <w:t xml:space="preserve"> I verbali del consiglio dei ministri federale sono in linea nell'edizione scientifica curata dal Bundesarchiv e coprono il 1978, come il blocco 89 accerta. Bersaglio adiacente: le annate 1974-1976 della stessa edizione, interrogabili con la medesima facilità. Se il governo di Bonn discusse l'ipotesi comunista italiana in quegli anni, il verbale lo dice a stampa, con data e parole. È la verifica tedesca più rapida disponibile.</w:t>
      </w:r>
    </w:p>
    <w:p>
      <w:pPr>
        <w:spacing w:after="120" w:line="276"/>
        <w:jc w:val="both"/>
      </w:pPr>
      <w:r>
        <w:rPr>
          <w:rFonts w:ascii="Barlow Semi Condensed" w:cs="Barlow Semi Condensed" w:eastAsia="Barlow Semi Condensed" w:hAnsi="Barlow Semi Condensed"/>
          <w:b/>
          <w:bCs/>
          <w:sz w:val="24"/>
          <w:szCs w:val="24"/>
        </w:rPr>
        <w:t xml:space="preserve">3531 · Schmidt, e il canale di vertice.</w:t>
      </w:r>
      <w:r>
        <w:rPr>
          <w:rFonts w:ascii="Barlow Semi Condensed" w:cs="Barlow Semi Condensed" w:eastAsia="Barlow Semi Condensed" w:hAnsi="Barlow Semi Condensed"/>
          <w:sz w:val="24"/>
          <w:szCs w:val="24"/>
        </w:rPr>
        <w:t xml:space="preserve"> Il canale di vertice fra Bonn e Washington esisteva prima del 1978, e prima è il periodo utile, mentre il blocco 90 chiede le carte della cancelleria sui colloqui Schmidt-Andreotti dei cinquantacinque giorni. Accertamento preliminare delle serie aperte e dei loro vincoli, con il deposito personale del cancelliere presso l'archivio della socialdemocrazia come sede parallela da censire. Nessuna ipotesi prima dell'inventario.</w:t>
      </w:r>
    </w:p>
    <w:p>
      <w:pPr>
        <w:spacing w:after="120" w:line="276"/>
        <w:jc w:val="both"/>
      </w:pPr>
      <w:r>
        <w:rPr>
          <w:rFonts w:ascii="Barlow Semi Condensed" w:cs="Barlow Semi Condensed" w:eastAsia="Barlow Semi Condensed" w:hAnsi="Barlow Semi Condensed"/>
          <w:b/>
          <w:bCs/>
          <w:sz w:val="24"/>
          <w:szCs w:val="24"/>
        </w:rPr>
        <w:t xml:space="preserve">3532 · Le carte dell'altra Germania.</w:t>
      </w:r>
      <w:r>
        <w:rPr>
          <w:rFonts w:ascii="Barlow Semi Condensed" w:cs="Barlow Semi Condensed" w:eastAsia="Barlow Semi Condensed" w:hAnsi="Barlow Semi Condensed"/>
          <w:sz w:val="24"/>
          <w:szCs w:val="24"/>
        </w:rPr>
        <w:t xml:space="preserve"> Dal 17 giugno 2021 lo Stasi-Unterlagen-Archiv è parte del Bundesarchiv, con oltre centoundici chilometri di atti e materiale su terrorismo italiano e caso Moro già esplorato dagli studi di Gianluca Falanga: così il blocco 91. Quesito: quelle carte contengono materiale su questo nome? La risposta è verosimilmente affermativa in astratto e priva di valore probatorio in concreto, per la ragione che segue.</w:t>
      </w:r>
    </w:p>
    <w:p>
      <w:pPr>
        <w:spacing w:after="120" w:line="276"/>
        <w:jc w:val="both"/>
      </w:pPr>
      <w:r>
        <w:rPr>
          <w:rFonts w:ascii="Barlow Semi Condensed" w:cs="Barlow Semi Condensed" w:eastAsia="Barlow Semi Condensed" w:hAnsi="Barlow Semi Condensed"/>
          <w:b/>
          <w:bCs/>
          <w:sz w:val="24"/>
          <w:szCs w:val="24"/>
        </w:rPr>
        <w:t xml:space="preserve">3533 · Un servizio ostile riferisce coi propri fini.</w:t>
      </w:r>
      <w:r>
        <w:rPr>
          <w:rFonts w:ascii="Barlow Semi Condensed" w:cs="Barlow Semi Condensed" w:eastAsia="Barlow Semi Condensed" w:hAnsi="Barlow Semi Condensed"/>
          <w:sz w:val="24"/>
          <w:szCs w:val="24"/>
        </w:rPr>
        <w:t xml:space="preserve"> Doppia cautela per ogni carta di provenienza orientale, prescrive il blocco 92: F sull'esistenza del documento, C sul contenuto, e mai da sola a fondamento di alcunché. Applicata a questo nome la regola è dirimente, perché un dossier della HVA che gli attribuisse iniziative italiane documenterebbe la costruzione di un avversario, non un'iniziativa. Il valore del giacimento orientale è comparativo e di riscontro.</w:t>
      </w:r>
    </w:p>
    <w:p>
      <w:pPr>
        <w:spacing w:after="120" w:line="276"/>
        <w:jc w:val="both"/>
      </w:pPr>
      <w:r>
        <w:rPr>
          <w:rFonts w:ascii="Barlow Semi Condensed" w:cs="Barlow Semi Condensed" w:eastAsia="Barlow Semi Condensed" w:hAnsi="Barlow Semi Condensed"/>
          <w:b/>
          <w:bCs/>
          <w:sz w:val="24"/>
          <w:szCs w:val="24"/>
        </w:rPr>
        <w:t xml:space="preserve">3534 · Monaco, e la mappa di scavo.</w:t>
      </w:r>
      <w:r>
        <w:rPr>
          <w:rFonts w:ascii="Barlow Semi Condensed" w:cs="Barlow Semi Condensed" w:eastAsia="Barlow Semi Condensed" w:hAnsi="Barlow Semi Condensed"/>
          <w:sz w:val="24"/>
          <w:szCs w:val="24"/>
        </w:rPr>
        <w:t xml:space="preserve"> L'Institut für Zeitgeschichte ha già studiato Stato e terrorismo in Italia fra il 1969 e il 1982, e il blocco 93 ne eredita le coordinate come mappa di scavo. Verifica preliminare da compiere in biblioteca: le tavole delle fonti primarie di quel progetto e della storiografia tedesca sul caso contengono documenti che nominino l'ex Segretario di Stato a proposito italiano? L'esito orienta la campagna.</w:t>
      </w:r>
    </w:p>
    <w:p>
      <w:pPr>
        <w:spacing w:after="120" w:line="276"/>
        <w:jc w:val="both"/>
      </w:pPr>
      <w:r>
        <w:rPr>
          <w:rFonts w:ascii="Barlow Semi Condensed" w:cs="Barlow Semi Condensed" w:eastAsia="Barlow Semi Condensed" w:hAnsi="Barlow Semi Condensed"/>
          <w:b/>
          <w:bCs/>
          <w:sz w:val="24"/>
          <w:szCs w:val="24"/>
        </w:rPr>
        <w:t xml:space="preserve">3535 · Due sequestri, due governi, nessun ponte.</w:t>
      </w:r>
      <w:r>
        <w:rPr>
          <w:rFonts w:ascii="Barlow Semi Condensed" w:cs="Barlow Semi Condensed" w:eastAsia="Barlow Semi Condensed" w:hAnsi="Barlow Semi Condensed"/>
          <w:sz w:val="24"/>
          <w:szCs w:val="24"/>
        </w:rPr>
        <w:t xml:space="preserve"> Due sequestri gestiti in modo opposto danno il dossier comparativo Schleyer-Moro che il blocco 94 costruisce dalle carte dei due paesi, senza tesi precostituita. Avvertenza propria di questa serie: la somiglianza delle due fermezze è omologia da dimostrare, non prova di un modello trasmesso. Nessun documento noto lega le due decisioni a una fonte comune. Il comparatismo produce tavole di scelte, non genealogie di volontà.</w:t>
      </w:r>
    </w:p>
    <w:p>
      <w:pPr>
        <w:spacing w:after="120" w:line="276"/>
        <w:jc w:val="both"/>
      </w:pPr>
      <w:r>
        <w:rPr>
          <w:rFonts w:ascii="Barlow Semi Condensed" w:cs="Barlow Semi Condensed" w:eastAsia="Barlow Semi Condensed" w:hAnsi="Barlow Semi Condensed"/>
          <w:b/>
          <w:bCs/>
          <w:sz w:val="24"/>
          <w:szCs w:val="24"/>
        </w:rPr>
        <w:t xml:space="preserve">3536 · Il quarto specchio dello statista.</w:t>
      </w:r>
      <w:r>
        <w:rPr>
          <w:rFonts w:ascii="Barlow Semi Condensed" w:cs="Barlow Semi Condensed" w:eastAsia="Barlow Semi Condensed" w:hAnsi="Barlow Semi Condensed"/>
          <w:sz w:val="24"/>
          <w:szCs w:val="24"/>
        </w:rPr>
        <w:t xml:space="preserve"> Il ritratto diplomatico tedesco di Moro, coi giudizi dell'Auswärtiges Amt e i colloqui bilaterali, è la terza delle tre porte anteriori al 1978, e il blocco 97 la apre. Vi si porta una domanda sola: nei giudizi tedeschi sullo statista italiano compare mai il riferimento a pressioni americane su di lui, e con quale fonte dichiarata dal redattore del documento?</w:t>
      </w:r>
    </w:p>
    <w:p>
      <w:pPr>
        <w:spacing w:after="120" w:line="276"/>
        <w:jc w:val="both"/>
      </w:pPr>
      <w:r>
        <w:rPr>
          <w:rFonts w:ascii="Barlow Semi Condensed" w:cs="Barlow Semi Condensed" w:eastAsia="Barlow Semi Condensed" w:hAnsi="Barlow Semi Condensed"/>
          <w:b/>
          <w:bCs/>
          <w:sz w:val="24"/>
          <w:szCs w:val="24"/>
        </w:rPr>
        <w:t xml:space="preserve">3537 · Bonn, perno dell'equilibrio europeo.</w:t>
      </w:r>
      <w:r>
        <w:rPr>
          <w:rFonts w:ascii="Barlow Semi Condensed" w:cs="Barlow Semi Condensed" w:eastAsia="Barlow Semi Condensed" w:hAnsi="Barlow Semi Condensed"/>
          <w:sz w:val="24"/>
          <w:szCs w:val="24"/>
        </w:rPr>
        <w:t xml:space="preserve"> Perno economico dell'equilibrio europeo, dice il blocco 98 chiedendo le carte tedesche sugli aspetti atlantici del 1978 italiano. Estensione: negli anni 1974-1976 la Repubblica federale fu interlocutore finanziario dell'Italia in difficoltà. Quesito documentale: le condizioni politiche eventualmente discusse in quella sede risultano da verbali tedeschi? Il quesito riguarda una politica e non una persona, e va tenuto rigorosamente in quella forma.</w:t>
      </w:r>
    </w:p>
    <w:p>
      <w:pPr>
        <w:spacing w:after="120" w:line="276"/>
        <w:jc w:val="both"/>
      </w:pPr>
      <w:r>
        <w:rPr>
          <w:rFonts w:ascii="Barlow Semi Condensed" w:cs="Barlow Semi Condensed" w:eastAsia="Barlow Semi Condensed" w:hAnsi="Barlow Semi Condensed"/>
          <w:b/>
          <w:bCs/>
          <w:sz w:val="24"/>
          <w:szCs w:val="24"/>
        </w:rPr>
        <w:t xml:space="preserve">3538 · Lo Spiegel-Archiv, interrogabile per nome.</w:t>
      </w:r>
      <w:r>
        <w:rPr>
          <w:rFonts w:ascii="Barlow Semi Condensed" w:cs="Barlow Semi Condensed" w:eastAsia="Barlow Semi Condensed" w:hAnsi="Barlow Semi Condensed"/>
          <w:sz w:val="24"/>
          <w:szCs w:val="24"/>
        </w:rPr>
        <w:t xml:space="preserve"> Lo Spiegel-Archiv è un giacimento giornalistico strutturato, interrogabile e datato, che il blocco 100 affianca a Frankfurter Allgemeine e Zeit per i cinquantacinque giorni. Ricerca a costo minimo: le occorrenze del nome nelle annate 1978 e 1982-1983, per stabilire se e quando la stampa tedesca collegò quel nome al caso italiano. Le occorrenze si contano e si datano: la conta è il risultato.</w:t>
      </w:r>
    </w:p>
    <w:p>
      <w:pPr>
        <w:spacing w:after="120" w:line="276"/>
        <w:jc w:val="both"/>
      </w:pPr>
      <w:r>
        <w:rPr>
          <w:rFonts w:ascii="Barlow Semi Condensed" w:cs="Barlow Semi Condensed" w:eastAsia="Barlow Semi Condensed" w:hAnsi="Barlow Semi Condensed"/>
          <w:b/>
          <w:bCs/>
          <w:sz w:val="24"/>
          <w:szCs w:val="24"/>
        </w:rPr>
        <w:t xml:space="preserve">3539 · Memorie contro carte, in tedesco.</w:t>
      </w:r>
      <w:r>
        <w:rPr>
          <w:rFonts w:ascii="Barlow Semi Condensed" w:cs="Barlow Semi Condensed" w:eastAsia="Barlow Semi Condensed" w:hAnsi="Barlow Semi Condensed"/>
          <w:sz w:val="24"/>
          <w:szCs w:val="24"/>
        </w:rPr>
        <w:t xml:space="preserve"> Le pagine italiane e americane dei ricordi del cancelliere federale, confrontate coi verbali coevi della cancelleria, sono il bersaglio concreto che il blocco 102 offre alla collazione carte-memorie del blocco 170 dell'agenda. Ciò che il libro dice e il fascicolo non conferma si tabula, senza correggere né l'uno né l'altro. La tavola degli scarti è il prodotto, e vale anche quando risulta breve.</w:t>
      </w:r>
    </w:p>
    <w:p>
      <w:pPr>
        <w:spacing w:after="120" w:line="276"/>
        <w:jc w:val="both"/>
      </w:pPr>
      <w:r>
        <w:rPr>
          <w:rFonts w:ascii="Barlow Semi Condensed" w:cs="Barlow Semi Condensed" w:eastAsia="Barlow Semi Condensed" w:hAnsi="Barlow Semi Condensed"/>
          <w:b/>
          <w:bCs/>
          <w:sz w:val="24"/>
          <w:szCs w:val="24"/>
        </w:rPr>
        <w:t xml:space="preserve">3540 · I due archivi di partito.</w:t>
      </w:r>
      <w:r>
        <w:rPr>
          <w:rFonts w:ascii="Barlow Semi Condensed" w:cs="Barlow Semi Condensed" w:eastAsia="Barlow Semi Condensed" w:hAnsi="Barlow Semi Condensed"/>
          <w:sz w:val="24"/>
          <w:szCs w:val="24"/>
        </w:rPr>
        <w:t xml:space="preserve"> Gli archivi delle fondazioni politiche tedesche, coi carteggi verso i partiti italiani fratelli, sono il canale parallelo a quello diplomatico che il blocco 103 apre. Domanda propria: quei carteggi registrano valutazioni americane sull'ingresso comunista, e con quale attribuzione nominativa? Un carteggio di partito che citi una fonte per nome è un indizio di provenienza da inseguire fino al documento emittente, e non oltre.</w:t>
      </w:r>
    </w:p>
    <w:p>
      <w:pPr>
        <w:spacing w:after="120" w:line="276"/>
        <w:jc w:val="both"/>
      </w:pPr>
      <w:r>
        <w:rPr>
          <w:rFonts w:ascii="Barlow Semi Condensed" w:cs="Barlow Semi Condensed" w:eastAsia="Barlow Semi Condensed" w:hAnsi="Barlow Semi Condensed"/>
          <w:b/>
          <w:bCs/>
          <w:sz w:val="24"/>
          <w:szCs w:val="24"/>
        </w:rPr>
        <w:t xml:space="preserve">3541 · Dodis, e la via svizzera.</w:t>
      </w:r>
      <w:r>
        <w:rPr>
          <w:rFonts w:ascii="Barlow Semi Condensed" w:cs="Barlow Semi Condensed" w:eastAsia="Barlow Semi Condensed" w:hAnsi="Barlow Semi Condensed"/>
          <w:sz w:val="24"/>
          <w:szCs w:val="24"/>
        </w:rPr>
        <w:t xml:space="preserve"> Dodis pubblica online i documenti diplomatici svizzeri, in larga parte accessibili per la regola trentennale e ordinati in dossier tematici: è l'ancoraggio verificato del blocco 106. Verifica immediata e a distanza, senza trasferta: interrogazione della banca dati per il nome, incrociata con l'Italia e con gli anni 1974-1977. Berna è ordinata per vocazione, e una risposta esatta arriva in giornata, positiva o negativa.</w:t>
      </w:r>
    </w:p>
    <w:p>
      <w:pPr>
        <w:spacing w:after="120" w:line="276"/>
        <w:jc w:val="both"/>
      </w:pPr>
      <w:r>
        <w:rPr>
          <w:rFonts w:ascii="Barlow Semi Condensed" w:cs="Barlow Semi Condensed" w:eastAsia="Barlow Semi Condensed" w:hAnsi="Barlow Semi Condensed"/>
          <w:b/>
          <w:bCs/>
          <w:sz w:val="24"/>
          <w:szCs w:val="24"/>
        </w:rPr>
        <w:t xml:space="preserve">3542 · Vienna, e gli sportelli non bussati.</w:t>
      </w:r>
      <w:r>
        <w:rPr>
          <w:rFonts w:ascii="Barlow Semi Condensed" w:cs="Barlow Semi Condensed" w:eastAsia="Barlow Semi Condensed" w:hAnsi="Barlow Semi Condensed"/>
          <w:sz w:val="24"/>
          <w:szCs w:val="24"/>
        </w:rPr>
        <w:t xml:space="preserve"> Vienna e le capitali minori chiudono il blocco 106 con bersagli pochi e precisi, e vi si applica la regola che il blocco 30 enuncia per la Scozia e l'Irlanda del Nord: probabilità bassa, costo minimo, verbale comunque. Il cantiere non lascia sportelli non bussati, e per questa serie il verbale negativo di una capitale minore costa un'ora e chiude una coordinata.</w:t>
      </w:r>
    </w:p>
    <w:p>
      <w:pPr>
        <w:spacing w:after="120" w:line="276"/>
        <w:jc w:val="both"/>
      </w:pPr>
      <w:r>
        <w:rPr>
          <w:rFonts w:ascii="Barlow Semi Condensed" w:cs="Barlow Semi Condensed" w:eastAsia="Barlow Semi Condensed" w:hAnsi="Barlow Semi Condensed"/>
          <w:b/>
          <w:bCs/>
          <w:sz w:val="24"/>
          <w:szCs w:val="24"/>
        </w:rPr>
        <w:t xml:space="preserve">3543 · RAF e Brigate rosse, in forma ACH.</w:t>
      </w:r>
      <w:r>
        <w:rPr>
          <w:rFonts w:ascii="Barlow Semi Condensed" w:cs="Barlow Semi Condensed" w:eastAsia="Barlow Semi Condensed" w:hAnsi="Barlow Semi Condensed"/>
          <w:sz w:val="24"/>
          <w:szCs w:val="24"/>
        </w:rPr>
        <w:t xml:space="preserve"> In forma di analisi delle ipotesi concorrenti, con l'anello debole in funzione, il blocco 104 vuole scritto il quesito dei collegamenti fra terrorismo tedesco e italiano. Nessuna delle ipotesi censite passa per questo nome, e una sua eventuale introduzione andrebbe formulata come ipotesi autonoma con evidenza attesa dichiarata. Chi non dichiara che cosa cerca non può dire, dopo, di averlo trovato.</w:t>
      </w:r>
    </w:p>
    <w:p>
      <w:pPr>
        <w:spacing w:after="120" w:line="276"/>
        <w:jc w:val="both"/>
      </w:pPr>
      <w:r>
        <w:rPr>
          <w:rFonts w:ascii="Barlow Semi Condensed" w:cs="Barlow Semi Condensed" w:eastAsia="Barlow Semi Condensed" w:hAnsi="Barlow Semi Condensed"/>
          <w:b/>
          <w:bCs/>
          <w:sz w:val="24"/>
          <w:szCs w:val="24"/>
        </w:rPr>
        <w:t xml:space="preserve">3544 · Il giudiziario tedesco, più aperto.</w:t>
      </w:r>
      <w:r>
        <w:rPr>
          <w:rFonts w:ascii="Barlow Semi Condensed" w:cs="Barlow Semi Condensed" w:eastAsia="Barlow Semi Condensed" w:hAnsi="Barlow Semi Condensed"/>
          <w:sz w:val="24"/>
          <w:szCs w:val="24"/>
        </w:rPr>
        <w:t xml:space="preserve"> Gli atti dei processi RAF sono leggibili dove passati in giudicato, a differenza del chiuso francese: così il blocco 105. Per questa serie il rendimento atteso è nullo, e va detto con la ragione esatta: nessuna imputazione tedesca ha mai riguardato l'uomo qui triangolato, che non fu imputato né processato in alcun Paese. Il registro del giudicato resta il solo luogo dei nomi.</w:t>
      </w:r>
    </w:p>
    <w:p>
      <w:pPr>
        <w:spacing w:after="120" w:line="276"/>
        <w:jc w:val="both"/>
      </w:pPr>
      <w:r>
        <w:rPr>
          <w:rFonts w:ascii="Barlow Semi Condensed" w:cs="Barlow Semi Condensed" w:eastAsia="Barlow Semi Condensed" w:hAnsi="Barlow Semi Condensed"/>
          <w:b/>
          <w:bCs/>
          <w:sz w:val="24"/>
          <w:szCs w:val="24"/>
        </w:rPr>
        <w:t xml:space="preserve">3545 · Solo il documentato, poi lo Stato Zero.</w:t>
      </w:r>
      <w:r>
        <w:rPr>
          <w:rFonts w:ascii="Barlow Semi Condensed" w:cs="Barlow Semi Condensed" w:eastAsia="Barlow Semi Condensed" w:hAnsi="Barlow Semi Condensed"/>
          <w:sz w:val="24"/>
          <w:szCs w:val="24"/>
        </w:rPr>
        <w:t xml:space="preserve"> Solo il documentato entra, e il resto è Stato Zero dichiarato e non narrazione: la formula del blocco 114 sugli scambi informativi fra servizi tedeschi e italiani nel 1978 si estende ai tre cantieri e a questo nome. Ciò che non risulta si scrive che non risulta, con l'elenco dei fascicoli letti e la data della lettura. Un'assenza senza elenco non è un'acquisizione.</w:t>
      </w:r>
    </w:p>
    <w:p>
      <w:pPr>
        <w:spacing w:after="120" w:line="276"/>
        <w:jc w:val="both"/>
      </w:pPr>
      <w:r>
        <w:rPr>
          <w:rFonts w:ascii="Barlow Semi Condensed" w:cs="Barlow Semi Condensed" w:eastAsia="Barlow Semi Condensed" w:hAnsi="Barlow Semi Condensed"/>
          <w:b/>
          <w:bCs/>
          <w:sz w:val="24"/>
          <w:szCs w:val="24"/>
        </w:rPr>
        <w:t xml:space="preserve">3546 · Nessuna cella riservata a Bonn.</w:t>
      </w:r>
      <w:r>
        <w:rPr>
          <w:rFonts w:ascii="Barlow Semi Condensed" w:cs="Barlow Semi Condensed" w:eastAsia="Barlow Semi Condensed" w:hAnsi="Barlow Semi Condensed"/>
          <w:sz w:val="24"/>
          <w:szCs w:val="24"/>
        </w:rPr>
        <w:t xml:space="preserve"> Come per Parigi, la risposta al blocco 115 è negativa e va verbalizzata: nessuna cella delle matrici può essere riempita soltanto da un documento tedesco, quanto a questo nome, perché il quesito contestato è bilaterale e nessun archivio tedesco ne è depositario naturale. La giustificazione del cantiere sta altrove, nel parallelo Schleyer e nelle carte di partito, e non va appoggiata qui.</w:t>
      </w:r>
    </w:p>
    <w:p>
      <w:pPr>
        <w:spacing w:after="120" w:line="276"/>
        <w:jc w:val="both"/>
      </w:pPr>
      <w:r>
        <w:rPr>
          <w:rFonts w:ascii="Barlow Semi Condensed" w:cs="Barlow Semi Condensed" w:eastAsia="Barlow Semi Condensed" w:hAnsi="Barlow Semi Condensed"/>
          <w:b/>
          <w:bCs/>
          <w:sz w:val="24"/>
          <w:szCs w:val="24"/>
        </w:rPr>
        <w:t xml:space="preserve">3547 · La quarta colonna: i silenzi.</w:t>
      </w:r>
      <w:r>
        <w:rPr>
          <w:rFonts w:ascii="Barlow Semi Condensed" w:cs="Barlow Semi Condensed" w:eastAsia="Barlow Semi Condensed" w:hAnsi="Barlow Semi Condensed"/>
          <w:sz w:val="24"/>
          <w:szCs w:val="24"/>
        </w:rPr>
        <w:t xml:space="preserve"> La sintesi trilaterale del blocco 119 mette in colonna convergenze, divergenze e silenzi di ciascuna capitale, e questa serie contribuisce alla terza colonna. Il silenzio simultaneo di Londra, Parigi e Bonn su un nome, mentre le tre sedi scrivevano abbondantemente della crisi italiana, è un dato positivo sulla percezione alleata: nessuna riteneva rilevante citarlo. Il dato si misura sui fascicoli effettivamente letti.</w:t>
      </w:r>
    </w:p>
    <w:p>
      <w:pPr>
        <w:spacing w:after="120" w:line="276"/>
        <w:jc w:val="both"/>
      </w:pPr>
      <w:r>
        <w:rPr>
          <w:rFonts w:ascii="Barlow Semi Condensed" w:cs="Barlow Semi Condensed" w:eastAsia="Barlow Semi Condensed" w:hAnsi="Barlow Semi Condensed"/>
          <w:b/>
          <w:bCs/>
          <w:sz w:val="24"/>
          <w:szCs w:val="24"/>
        </w:rPr>
        <w:t xml:space="preserve">3548 · Che cosa promuoverebbe al piano 1.</w:t>
      </w:r>
      <w:r>
        <w:rPr>
          <w:rFonts w:ascii="Barlow Semi Condensed" w:cs="Barlow Semi Condensed" w:eastAsia="Barlow Semi Condensed" w:hAnsi="Barlow Semi Condensed"/>
          <w:sz w:val="24"/>
          <w:szCs w:val="24"/>
        </w:rPr>
        <w:t xml:space="preserve"> Promuoverebbe la relazione al piano 1 un solo genere di carta: un documento di provenienza, telegramma, verbale o appunto di colloquio, conservato a Kew, a La Courneuve, a Nantes, a Pierrefitte o al Politisches Archiv, che registri con data e interlocutore una comunicazione diretta sull'Italia riferibile a questo nome. Non basterebbe una minuta che citi «gli americani»; non basterebbe una memoria pubblicata dopo.</w:t>
      </w:r>
    </w:p>
    <w:p>
      <w:pPr>
        <w:spacing w:after="120" w:line="276"/>
        <w:jc w:val="both"/>
      </w:pPr>
      <w:r>
        <w:rPr>
          <w:rFonts w:ascii="Barlow Semi Condensed" w:cs="Barlow Semi Condensed" w:eastAsia="Barlow Semi Condensed" w:hAnsi="Barlow Semi Condensed"/>
          <w:b/>
          <w:bCs/>
          <w:sz w:val="24"/>
          <w:szCs w:val="24"/>
        </w:rPr>
        <w:t xml:space="preserve">3549 · Che cosa non conterebbe mai.</w:t>
      </w:r>
      <w:r>
        <w:rPr>
          <w:rFonts w:ascii="Barlow Semi Condensed" w:cs="Barlow Semi Condensed" w:eastAsia="Barlow Semi Condensed" w:hAnsi="Barlow Semi Condensed"/>
          <w:sz w:val="24"/>
          <w:szCs w:val="24"/>
        </w:rPr>
        <w:t xml:space="preserve"> Non conterebbero, ed è il rovescio del blocco precedente dichiarato con la stessa precisione: la contemporaneità di una carica con un evento italiano; l'appartenenza a un'amministrazione ostile all'ingresso comunista; la somiglianza fra il timore americano e quello europeo; la ripetizione della frase riferita nel novembre 1982, per quante testate la replichino. Replicare una sequenza non crea alcun carattere nuovo.</w:t>
      </w:r>
    </w:p>
    <w:p>
      <w:pPr>
        <w:spacing w:after="120" w:line="276"/>
        <w:jc w:val="both"/>
      </w:pPr>
      <w:r>
        <w:rPr>
          <w:rFonts w:ascii="Barlow Semi Condensed" w:cs="Barlow Semi Condensed" w:eastAsia="Barlow Semi Condensed" w:hAnsi="Barlow Semi Condensed"/>
          <w:b/>
          <w:bCs/>
          <w:sz w:val="24"/>
          <w:szCs w:val="24"/>
        </w:rPr>
        <w:t xml:space="preserve">3550 · La contabilità della serie.</w:t>
      </w:r>
      <w:r>
        <w:rPr>
          <w:rFonts w:ascii="Barlow Semi Condensed" w:cs="Barlow Semi Condensed" w:eastAsia="Barlow Semi Condensed" w:hAnsi="Barlow Semi Condensed"/>
          <w:sz w:val="24"/>
          <w:szCs w:val="24"/>
        </w:rPr>
        <w:t xml:space="preserve"> Ottanta bersagli, tre porte cronologiche aperte, quattro sedi indicate come primo scaffale: la serie del Western European Department, il versamento europeo anteriore al luglio 1976, i volumi tedeschi del 1974-1976 e la banca dati svizzera. I blocchi 40, 80 e 120 chiudono i tre cantieri contando gli stati di ogni bersaglio; questa serie si chiude allo stesso modo, su un territorio che interrogato non porta il nome.</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Serie quarantasettesima — I nove cantieri: il Vaticano e i fondi</w:t>
      </w:r>
    </w:p>
    <w:p>
      <w:pPr>
        <w:spacing w:after="120" w:line="276"/>
        <w:jc w:val="both"/>
      </w:pPr>
      <w:r>
        <w:rPr>
          <w:rFonts w:ascii="Barlow Semi Condensed" w:cs="Barlow Semi Condensed" w:eastAsia="Barlow Semi Condensed" w:hAnsi="Barlow Semi Condensed"/>
          <w:i/>
          <w:iCs/>
          <w:sz w:val="24"/>
          <w:szCs w:val="24"/>
        </w:rPr>
        <w:t xml:space="preserve">Blocchi 3551-3630.</w:t>
      </w:r>
    </w:p>
    <w:p>
      <w:pPr>
        <w:spacing w:after="120" w:line="276"/>
        <w:jc w:val="both"/>
      </w:pPr>
      <w:r>
        <w:rPr>
          <w:rFonts w:ascii="Barlow Semi Condensed" w:cs="Barlow Semi Condensed" w:eastAsia="Barlow Semi Condensed" w:hAnsi="Barlow Semi Condensed"/>
          <w:b/>
          <w:bCs/>
          <w:sz w:val="24"/>
          <w:szCs w:val="24"/>
        </w:rPr>
        <w:t xml:space="preserve">3551 · Lo zero contato sui duecentodieci.</w:t>
      </w:r>
      <w:r>
        <w:rPr>
          <w:rFonts w:ascii="Barlow Semi Condensed" w:cs="Barlow Semi Condensed" w:eastAsia="Barlow Semi Condensed" w:hAnsi="Barlow Semi Condensed"/>
          <w:sz w:val="24"/>
          <w:szCs w:val="24"/>
        </w:rPr>
        <w:t xml:space="preserve"> La verifica meccanica sul testo dei nove cantieri dà un esito netto: nei duecentodieci blocchi delle Parti seconda e terza, dal 121 al 330, il nome di Henry Kissinger ricorre zero volte, e con esso mancano le stringhe «Stati Uniti», «Washington», «NATO». Il blocco 646 dell'opera-madre aveva misurato lo zero sull'intera quadriga; qui lo si restringe a un territorio determinato e lo si conferma integrale.</w:t>
      </w:r>
    </w:p>
    <w:p>
      <w:pPr>
        <w:spacing w:after="120" w:line="276"/>
        <w:jc w:val="both"/>
      </w:pPr>
      <w:r>
        <w:rPr>
          <w:rFonts w:ascii="Barlow Semi Condensed" w:cs="Barlow Semi Condensed" w:eastAsia="Barlow Semi Condensed" w:hAnsi="Barlow Semi Condensed"/>
          <w:b/>
          <w:bCs/>
          <w:sz w:val="24"/>
          <w:szCs w:val="24"/>
        </w:rPr>
        <w:t xml:space="preserve">3552 · Le cinque aperture del perimetro.</w:t>
      </w:r>
      <w:r>
        <w:rPr>
          <w:rFonts w:ascii="Barlow Semi Condensed" w:cs="Barlow Semi Condensed" w:eastAsia="Barlow Semi Condensed" w:hAnsi="Barlow Semi Condensed"/>
          <w:sz w:val="24"/>
          <w:szCs w:val="24"/>
        </w:rPr>
        <w:t xml:space="preserve"> Ermetico però il territorio non è. Cinque occorrenze guardano fuori dai confini italiani: due israeliane nel fondo del riscatto (blocchi 182 e 187), una ministeriale che rinvia esplicitamente al cantiere estero (251), una giornalistica che nomina i corrispondenti americani a Roma (277), una editoriale sulle opere straniere (294). Sono le sole porte per cui una colonna statunitense potrebbe legittimamente entrare in queste due parti.</w:t>
      </w:r>
    </w:p>
    <w:p>
      <w:pPr>
        <w:spacing w:after="120" w:line="276"/>
        <w:jc w:val="both"/>
      </w:pPr>
      <w:r>
        <w:rPr>
          <w:rFonts w:ascii="Barlow Semi Condensed" w:cs="Barlow Semi Condensed" w:eastAsia="Barlow Semi Condensed" w:hAnsi="Barlow Semi Condensed"/>
          <w:b/>
          <w:bCs/>
          <w:sz w:val="24"/>
          <w:szCs w:val="24"/>
        </w:rPr>
        <w:t xml:space="preserve">3553 · La ricetta della misura.</w:t>
      </w:r>
      <w:r>
        <w:rPr>
          <w:rFonts w:ascii="Barlow Semi Condensed" w:cs="Barlow Semi Condensed" w:eastAsia="Barlow Semi Condensed" w:hAnsi="Barlow Semi Condensed"/>
          <w:sz w:val="24"/>
          <w:szCs w:val="24"/>
        </w:rPr>
        <w:t xml:space="preserve"> Perché il conteggio sia falsificabile va pubblicato con la sua ricetta, come impone il blocco 644 dell'opera-madre: corpus interrogato, il file nove-cantieri-mille-blocchi.md nella sola sezione 121-330; stringhe cercate, il cognome pieno e le varianti con iniziale; finestra, l'intero testo senza restrizione cronologica; criterio, occorrenza letterale. Chi rifà l'operazione deve ottenere lo stesso numero, altrimenti l'esito negativo non vale nulla.</w:t>
      </w:r>
    </w:p>
    <w:p>
      <w:pPr>
        <w:spacing w:after="120" w:line="276"/>
        <w:jc w:val="both"/>
      </w:pPr>
      <w:r>
        <w:rPr>
          <w:rFonts w:ascii="Barlow Semi Condensed" w:cs="Barlow Semi Condensed" w:eastAsia="Barlow Semi Condensed" w:hAnsi="Barlow Semi Condensed"/>
          <w:b/>
          <w:bCs/>
          <w:sz w:val="24"/>
          <w:szCs w:val="24"/>
        </w:rPr>
        <w:t xml:space="preserve">3554 · Perché questo territorio tace.</w:t>
      </w:r>
      <w:r>
        <w:rPr>
          <w:rFonts w:ascii="Barlow Semi Condensed" w:cs="Barlow Semi Condensed" w:eastAsia="Barlow Semi Condensed" w:hAnsi="Barlow Semi Condensed"/>
          <w:sz w:val="24"/>
          <w:szCs w:val="24"/>
        </w:rPr>
        <w:t xml:space="preserve"> Diagnosticare la causa viene prima dell'interpretazione. Le due parti furono progettate su due giacimenti che per costruzione non producono carta americana: gli archivi ecclesiastici italiani e vaticani, e i fondi privati dei protagonisti italiani. Un nome della politica estera statunitense non vi ricorre per ufficio. Lo zero misura dunque una scelta di architettura del cantiere, non una proprietà del 1978.</w:t>
      </w:r>
    </w:p>
    <w:p>
      <w:pPr>
        <w:spacing w:after="120" w:line="276"/>
        <w:jc w:val="both"/>
      </w:pPr>
      <w:r>
        <w:rPr>
          <w:rFonts w:ascii="Barlow Semi Condensed" w:cs="Barlow Semi Condensed" w:eastAsia="Barlow Semi Condensed" w:hAnsi="Barlow Semi Condensed"/>
          <w:b/>
          <w:bCs/>
          <w:sz w:val="24"/>
          <w:szCs w:val="24"/>
        </w:rPr>
        <w:t xml:space="preserve">3555 · La condizione che rende informativo un vuoto.</w:t>
      </w:r>
      <w:r>
        <w:rPr>
          <w:rFonts w:ascii="Barlow Semi Condensed" w:cs="Barlow Semi Condensed" w:eastAsia="Barlow Semi Condensed" w:hAnsi="Barlow Semi Condensed"/>
          <w:sz w:val="24"/>
          <w:szCs w:val="24"/>
        </w:rPr>
        <w:t xml:space="preserve"> Fissa l'unica condizione il blocco 637 dell'opera-madre: l'assenza pesa solo se l'archivio interrogato è quello dove il documento, esistendo, dovrebbe stare per prassi. Applicata qui, la condizione taglia netto. Un carteggio con Washington non dovrebbe stare in una cronaca parrocchiale (blocco 141) né in un registro di colloqui carcerari (167). In quelle sedi l'assenza non è indizio: è rumore, e va detto prima di cercare.</w:t>
      </w:r>
    </w:p>
    <w:p>
      <w:pPr>
        <w:spacing w:after="120" w:line="276"/>
        <w:jc w:val="both"/>
      </w:pPr>
      <w:r>
        <w:rPr>
          <w:rFonts w:ascii="Barlow Semi Condensed" w:cs="Barlow Semi Condensed" w:eastAsia="Barlow Semi Condensed" w:hAnsi="Barlow Semi Condensed"/>
          <w:b/>
          <w:bCs/>
          <w:sz w:val="24"/>
          <w:szCs w:val="24"/>
        </w:rPr>
        <w:t xml:space="preserve">3556 · Che cosa lo zero non autorizza.</w:t>
      </w:r>
      <w:r>
        <w:rPr>
          <w:rFonts w:ascii="Barlow Semi Condensed" w:cs="Barlow Semi Condensed" w:eastAsia="Barlow Semi Condensed" w:hAnsi="Barlow Semi Condensed"/>
          <w:sz w:val="24"/>
          <w:szCs w:val="24"/>
        </w:rPr>
        <w:t xml:space="preserve"> Nessuna proposizione sul mondo discende dal conteggio. Non discende che il nodo sia estraneo al caso, né che vi sia implicato e taciuto. Discende soltanto che le Parti seconda e terza, come sono scritte, non lo trattano. Promuovere questo silenzio a enunciato — in un senso o nell'altro — è l'errore che il blocco 647 dell'opera-madre esiste per rendere impossibile, e qui vale al massimo grado.</w:t>
      </w:r>
    </w:p>
    <w:p>
      <w:pPr>
        <w:spacing w:after="120" w:line="276"/>
        <w:jc w:val="both"/>
      </w:pPr>
      <w:r>
        <w:rPr>
          <w:rFonts w:ascii="Barlow Semi Condensed" w:cs="Barlow Semi Condensed" w:eastAsia="Barlow Semi Condensed" w:hAnsi="Barlow Semi Condensed"/>
          <w:b/>
          <w:bCs/>
          <w:sz w:val="24"/>
          <w:szCs w:val="24"/>
        </w:rPr>
        <w:t xml:space="preserve">3557 · L'archivio chiuso vale in entrambe le direzioni.</w:t>
      </w:r>
      <w:r>
        <w:rPr>
          <w:rFonts w:ascii="Barlow Semi Condensed" w:cs="Barlow Semi Condensed" w:eastAsia="Barlow Semi Condensed" w:hAnsi="Barlow Semi Condensed"/>
          <w:sz w:val="24"/>
          <w:szCs w:val="24"/>
        </w:rPr>
        <w:t xml:space="preserve"> Governa tutta la Parte seconda il fatto accertato al blocco 121: l'Archivio Apostolico Vaticano è consultabile fino alla fine del pontificato di Pio XII, e lo stesso limite vale per l'Archivio storico della Sezione per i Rapporti con gli Stati. Ne segue una simmetria che va scritta: nessuna carta vaticana del 1978 può oggi provare un rapporto con questo nome, e nessuna può escluderlo.</w:t>
      </w:r>
    </w:p>
    <w:p>
      <w:pPr>
        <w:spacing w:after="120" w:line="276"/>
        <w:jc w:val="both"/>
      </w:pPr>
      <w:r>
        <w:rPr>
          <w:rFonts w:ascii="Barlow Semi Condensed" w:cs="Barlow Semi Condensed" w:eastAsia="Barlow Semi Condensed" w:hAnsi="Barlow Semi Condensed"/>
          <w:b/>
          <w:bCs/>
          <w:sz w:val="24"/>
          <w:szCs w:val="24"/>
        </w:rPr>
        <w:t xml:space="preserve">3558 · La domanda di provenienza, applicata.</w:t>
      </w:r>
      <w:r>
        <w:rPr>
          <w:rFonts w:ascii="Barlow Semi Condensed" w:cs="Barlow Semi Condensed" w:eastAsia="Barlow Semi Condensed" w:hAnsi="Barlow Semi Condensed"/>
          <w:sz w:val="24"/>
          <w:szCs w:val="24"/>
        </w:rPr>
        <w:t xml:space="preserve"> Chiedere a ogni versione che citi «carte vaticane» da dove venga la carta è l'obbligo posto dal blocco 121. La regola si applica identica qui: qualunque testo attribuisca a fonte vaticana una posizione statunitense sul sequestro va interrogato sulla sede reale — fondo, serie, segnatura — e in mancanza resta piano 3. Da un archivio chiuso non esce carta: esce citazione.</w:t>
      </w:r>
    </w:p>
    <w:p>
      <w:pPr>
        <w:spacing w:after="120" w:line="276"/>
        <w:jc w:val="both"/>
      </w:pPr>
      <w:r>
        <w:rPr>
          <w:rFonts w:ascii="Barlow Semi Condensed" w:cs="Barlow Semi Condensed" w:eastAsia="Barlow Semi Condensed" w:hAnsi="Barlow Semi Condensed"/>
          <w:b/>
          <w:bCs/>
          <w:sz w:val="24"/>
          <w:szCs w:val="24"/>
        </w:rPr>
        <w:t xml:space="preserve">3559 · Le serie attese, e una in più.</w:t>
      </w:r>
      <w:r>
        <w:rPr>
          <w:rFonts w:ascii="Barlow Semi Condensed" w:cs="Barlow Semi Condensed" w:eastAsia="Barlow Semi Condensed" w:hAnsi="Barlow Semi Condensed"/>
          <w:sz w:val="24"/>
          <w:szCs w:val="24"/>
        </w:rPr>
        <w:t xml:space="preserve"> L'esercizio preparatorio del blocco 124 costruisce oggi la tavola delle serie che si chiederanno il giorno dell'apertura. Vi si aggiunga la riga specifica: se un rapporto con l'amministrazione statunitense fosse esistito, la sua traccia starebbe nella Sezione per i Rapporti con gli Stati e nei carteggi della Segreteria di Stato, non nelle udienze private. Sapere dove guarderemo è già metà dell'accertamento futuro.</w:t>
      </w:r>
    </w:p>
    <w:p>
      <w:pPr>
        <w:spacing w:after="120" w:line="276"/>
        <w:jc w:val="both"/>
      </w:pPr>
      <w:r>
        <w:rPr>
          <w:rFonts w:ascii="Barlow Semi Condensed" w:cs="Barlow Semi Condensed" w:eastAsia="Barlow Semi Condensed" w:hAnsi="Barlow Semi Condensed"/>
          <w:b/>
          <w:bCs/>
          <w:sz w:val="24"/>
          <w:szCs w:val="24"/>
        </w:rPr>
        <w:t xml:space="preserve">3560 · Il quesito da depositare.</w:t>
      </w:r>
      <w:r>
        <w:rPr>
          <w:rFonts w:ascii="Barlow Semi Condensed" w:cs="Barlow Semi Condensed" w:eastAsia="Barlow Semi Condensed" w:hAnsi="Barlow Semi Condensed"/>
          <w:sz w:val="24"/>
          <w:szCs w:val="24"/>
        </w:rPr>
        <w:t xml:space="preserve"> Nel fascicolo dei quesiti previsto dai blocchi 126 e 206 entri una domanda formulata alla lettera: risultano, nelle carte della Santa Sede del marzo-maggio 1978, contatti, note verbali o appunti che registrino posizioni dell'amministrazione statunitense sul sequestro? La domanda si scrive oggi, si data e si pubblica; il giorno dell'apertura si consegna. Una domanda scritta prima non si adatta al risultato che troverà.</w:t>
      </w:r>
    </w:p>
    <w:p>
      <w:pPr>
        <w:spacing w:after="120" w:line="276"/>
        <w:jc w:val="both"/>
      </w:pPr>
      <w:r>
        <w:rPr>
          <w:rFonts w:ascii="Barlow Semi Condensed" w:cs="Barlow Semi Condensed" w:eastAsia="Barlow Semi Condensed" w:hAnsi="Barlow Semi Condensed"/>
          <w:b/>
          <w:bCs/>
          <w:sz w:val="24"/>
          <w:szCs w:val="24"/>
        </w:rPr>
        <w:t xml:space="preserve">3561 · Le deroghe, prima di evocarle.</w:t>
      </w:r>
      <w:r>
        <w:rPr>
          <w:rFonts w:ascii="Barlow Semi Condensed" w:cs="Barlow Semi Condensed" w:eastAsia="Barlow Semi Condensed" w:hAnsi="Barlow Semi Condensed"/>
          <w:sz w:val="24"/>
          <w:szCs w:val="24"/>
        </w:rPr>
        <w:t xml:space="preserve"> Esistono precedenti di accesso anticipato a carte vaticane posteriori al 1958? Il blocco 127 ne chiede l'accertamento formale, e l'esito perimetra anche questa triangolazione: se una via di deroga esiste, si chiede per iscritto e si registra la risposta; se non esiste, si smette di alludere a documenti vaticani sul nodo americano, perché nessuno può averli letti — inclusi quelli che lo scrivono.</w:t>
      </w:r>
    </w:p>
    <w:p>
      <w:pPr>
        <w:spacing w:after="120" w:line="276"/>
        <w:jc w:val="both"/>
      </w:pPr>
      <w:r>
        <w:rPr>
          <w:rFonts w:ascii="Barlow Semi Condensed" w:cs="Barlow Semi Condensed" w:eastAsia="Barlow Semi Condensed" w:hAnsi="Barlow Semi Condensed"/>
          <w:b/>
          <w:bCs/>
          <w:sz w:val="24"/>
          <w:szCs w:val="24"/>
        </w:rPr>
        <w:t xml:space="preserve">3562 · Le positio come giacimento laterale.</w:t>
      </w:r>
      <w:r>
        <w:rPr>
          <w:rFonts w:ascii="Barlow Semi Condensed" w:cs="Barlow Semi Condensed" w:eastAsia="Barlow Semi Condensed" w:hAnsi="Barlow Semi Condensed"/>
          <w:sz w:val="24"/>
          <w:szCs w:val="24"/>
        </w:rPr>
        <w:t xml:space="preserve"> Le cause dei santi producono raccolte documentali proprie, e i blocchi 128-130 le censiscono come varco. Bersaglio determinato: verificare se la positio di Paolo VI e la documentazione della causa di Moro contengano testimonianze che nominino interlocutori stranieri dei cinquantacinque giorni. È accertamento di perimetro, non di merito, e ha esito utile in entrambe le direzioni — un elenco di nomi, o un elenco che quel nome non contiene.</w:t>
      </w:r>
    </w:p>
    <w:p>
      <w:pPr>
        <w:spacing w:after="120" w:line="276"/>
        <w:jc w:val="both"/>
      </w:pPr>
      <w:r>
        <w:rPr>
          <w:rFonts w:ascii="Barlow Semi Condensed" w:cs="Barlow Semi Condensed" w:eastAsia="Barlow Semi Condensed" w:hAnsi="Barlow Semi Condensed"/>
          <w:b/>
          <w:bCs/>
          <w:sz w:val="24"/>
          <w:szCs w:val="24"/>
        </w:rPr>
        <w:t xml:space="preserve">3563 · Lo spoglio dell'Osservatore, test economico.</w:t>
      </w:r>
      <w:r>
        <w:rPr>
          <w:rFonts w:ascii="Barlow Semi Condensed" w:cs="Barlow Semi Condensed" w:eastAsia="Barlow Semi Condensed" w:hAnsi="Barlow Semi Condensed"/>
          <w:sz w:val="24"/>
          <w:szCs w:val="24"/>
        </w:rPr>
        <w:t xml:space="preserve"> Prescritto al blocco 131 lo spoglio integrale dell'Osservatore Romano dei cinquantacinque giorni, vi si innesti una verifica minima e falsificabile: il nome compare, in quelle annate, in qualunque contesto? L'emeroteca è aperta, il costo è di giornate, l'esito è netto. Vale la regola del blocco 524 dell'opera-madre: la datazione batte l'interpretazione, e un'emeroteca chiude ciò che nessuna esegesi apre.</w:t>
      </w:r>
    </w:p>
    <w:p>
      <w:pPr>
        <w:spacing w:after="120" w:line="276"/>
        <w:jc w:val="both"/>
      </w:pPr>
      <w:r>
        <w:rPr>
          <w:rFonts w:ascii="Barlow Semi Condensed" w:cs="Barlow Semi Condensed" w:eastAsia="Barlow Semi Condensed" w:hAnsi="Barlow Semi Condensed"/>
          <w:b/>
          <w:bCs/>
          <w:sz w:val="24"/>
          <w:szCs w:val="24"/>
        </w:rPr>
        <w:t xml:space="preserve">3564 · Le udienze come fatto pubblico.</w:t>
      </w:r>
      <w:r>
        <w:rPr>
          <w:rFonts w:ascii="Barlow Semi Condensed" w:cs="Barlow Semi Condensed" w:eastAsia="Barlow Semi Condensed" w:hAnsi="Barlow Semi Condensed"/>
          <w:sz w:val="24"/>
          <w:szCs w:val="24"/>
        </w:rPr>
        <w:t xml:space="preserve"> Ricostruire la giornata del Papa dalle sole fonti aperte è il compito assegnato al blocco 134. La colonna delle udienze pontificie negli Acta Apostolicae Sedis e nella cronaca dell'Osservatore consente un accertamento più largo: se e quando Paolo VI ricevette il Segretario di Stato americano negli anni del suo mandato. Il fatto, se sussiste, è di piano 1 e sta in fonte aperta; il contenuto resta chiuso in Vaticano.</w:t>
      </w:r>
    </w:p>
    <w:p>
      <w:pPr>
        <w:spacing w:after="120" w:line="276"/>
        <w:jc w:val="both"/>
      </w:pPr>
      <w:r>
        <w:rPr>
          <w:rFonts w:ascii="Barlow Semi Condensed" w:cs="Barlow Semi Condensed" w:eastAsia="Barlow Semi Condensed" w:hAnsi="Barlow Semi Condensed"/>
          <w:b/>
          <w:bCs/>
          <w:sz w:val="24"/>
          <w:szCs w:val="24"/>
        </w:rPr>
        <w:t xml:space="preserve">3565 · L'audio del pontefice.</w:t>
      </w:r>
      <w:r>
        <w:rPr>
          <w:rFonts w:ascii="Barlow Semi Condensed" w:cs="Barlow Semi Condensed" w:eastAsia="Barlow Semi Condensed" w:hAnsi="Barlow Semi Condensed"/>
          <w:sz w:val="24"/>
          <w:szCs w:val="24"/>
        </w:rPr>
        <w:t xml:space="preserve"> Gli archivi della Radio Vaticana, censiti al blocco 132, conservano notiziari e appelli dei cinquantacinque giorni. Bersaglio derivato: la ricerca sui notiziari radiofonici della Santa Sede di menzioni di posizioni americane nella crisi, con la trascrizione datata di ciascuna. È materiale che il cantiere audiovisivo della Parte sesta tratta con le sue regole; qui se ne richiede soltanto l'indice nominativo, che oggi non esiste.</w:t>
      </w:r>
    </w:p>
    <w:p>
      <w:pPr>
        <w:spacing w:after="120" w:line="276"/>
        <w:jc w:val="both"/>
      </w:pPr>
      <w:r>
        <w:rPr>
          <w:rFonts w:ascii="Barlow Semi Condensed" w:cs="Barlow Semi Condensed" w:eastAsia="Barlow Semi Condensed" w:hAnsi="Barlow Semi Condensed"/>
          <w:b/>
          <w:bCs/>
          <w:sz w:val="24"/>
          <w:szCs w:val="24"/>
        </w:rPr>
        <w:t xml:space="preserve">3566 · Il canale che nel 1978 non c'era.</w:t>
      </w:r>
      <w:r>
        <w:rPr>
          <w:rFonts w:ascii="Barlow Semi Condensed" w:cs="Barlow Semi Condensed" w:eastAsia="Barlow Semi Condensed" w:hAnsi="Barlow Semi Condensed"/>
          <w:sz w:val="24"/>
          <w:szCs w:val="24"/>
        </w:rPr>
        <w:t xml:space="preserve"> Accertamento con grado, da fissare prima di ogni ricerca: fra Stati Uniti e Santa Sede non esistevano nel 1978 relazioni diplomatiche piene, e il rapporto passava per la Delegazione apostolica a Washington e per un rappresentante personale del Presidente. Grado B, da portare ad A sulle fonti istituzionali. La conseguenza è operativa: la carta di quel rapporto non sta in una nunziatura, e il blocco 143 va letto con questo correttivo.</w:t>
      </w:r>
    </w:p>
    <w:p>
      <w:pPr>
        <w:spacing w:after="120" w:line="276"/>
        <w:jc w:val="both"/>
      </w:pPr>
      <w:r>
        <w:rPr>
          <w:rFonts w:ascii="Barlow Semi Condensed" w:cs="Barlow Semi Condensed" w:eastAsia="Barlow Semi Condensed" w:hAnsi="Barlow Semi Condensed"/>
          <w:b/>
          <w:bCs/>
          <w:sz w:val="24"/>
          <w:szCs w:val="24"/>
        </w:rPr>
        <w:t xml:space="preserve">3567 · Una riga in più.</w:t>
      </w:r>
      <w:r>
        <w:rPr>
          <w:rFonts w:ascii="Barlow Semi Condensed" w:cs="Barlow Semi Condensed" w:eastAsia="Barlow Semi Condensed" w:hAnsi="Barlow Semi Condensed"/>
          <w:sz w:val="24"/>
          <w:szCs w:val="24"/>
        </w:rPr>
        <w:t xml:space="preserve"> Alla tavola conclusiva del blocco 135 — ciò che è chiuso, ciò che è aperto, i quesiti in attesa — si aggiunga la riga di questa triangolazione, con lo stato scritto per esteso: versante vaticano chiuso fino a data ignota; versante statunitense aperto e mai interrogato su questo quesito; nessun documento noto che li congiunga. Tre celle, e tutte e tre oneste.</w:t>
      </w:r>
    </w:p>
    <w:p>
      <w:pPr>
        <w:spacing w:after="120" w:line="276"/>
        <w:jc w:val="both"/>
      </w:pPr>
      <w:r>
        <w:rPr>
          <w:rFonts w:ascii="Barlow Semi Condensed" w:cs="Barlow Semi Condensed" w:eastAsia="Barlow Semi Condensed" w:hAnsi="Barlow Semi Condensed"/>
          <w:b/>
          <w:bCs/>
          <w:sz w:val="24"/>
          <w:szCs w:val="24"/>
        </w:rPr>
        <w:t xml:space="preserve">3568 · Concesio, l'uomo e i suoi corrispondenti.</w:t>
      </w:r>
      <w:r>
        <w:rPr>
          <w:rFonts w:ascii="Barlow Semi Condensed" w:cs="Barlow Semi Condensed" w:eastAsia="Barlow Semi Condensed" w:hAnsi="Barlow Semi Condensed"/>
          <w:sz w:val="24"/>
          <w:szCs w:val="24"/>
        </w:rPr>
        <w:t xml:space="preserve"> L'Istituto Paolo VI di Concesio conserva manoscritti, carteggi e materiali fotografici del pontefice, e il blocco 136 precisa il limite: là si cerca l'uomo, non il fascicolo dei cinquantacinque giorni. Bersaglio proprio: lo spoglio dell'indice dei corrispondenti, per accertare se fra essi figurino uomini di governo statunitensi. È un indice, non una tesi — e un indice si legge in giorni.</w:t>
      </w:r>
    </w:p>
    <w:p>
      <w:pPr>
        <w:spacing w:after="120" w:line="276"/>
        <w:jc w:val="both"/>
      </w:pPr>
      <w:r>
        <w:rPr>
          <w:rFonts w:ascii="Barlow Semi Condensed" w:cs="Barlow Semi Condensed" w:eastAsia="Barlow Semi Condensed" w:hAnsi="Barlow Semi Condensed"/>
          <w:b/>
          <w:bCs/>
          <w:sz w:val="24"/>
          <w:szCs w:val="24"/>
        </w:rPr>
        <w:t xml:space="preserve">3569 · Gli inediti e la loro dogana.</w:t>
      </w:r>
      <w:r>
        <w:rPr>
          <w:rFonts w:ascii="Barlow Semi Condensed" w:cs="Barlow Semi Condensed" w:eastAsia="Barlow Semi Condensed" w:hAnsi="Barlow Semi Condensed"/>
          <w:sz w:val="24"/>
          <w:szCs w:val="24"/>
        </w:rPr>
        <w:t xml:space="preserve"> Ogni pubblicazione che rivendichi inediti montiniani deve dichiarare, per il blocco 138, la provenienza archivistica. La regola diventa qui una dogana specifica: un inedito che facesse comparire un nome americano nella vicenda vaticana del sequestro sarebbe, senza fondo e segnatura, materiale di piano 3, per quanto autorevole la firma. Con provenienza verificabile, invece, la provenienza stessa diventa un varco censito e si segue.</w:t>
      </w:r>
    </w:p>
    <w:p>
      <w:pPr>
        <w:spacing w:after="120" w:line="276"/>
        <w:jc w:val="both"/>
      </w:pPr>
      <w:r>
        <w:rPr>
          <w:rFonts w:ascii="Barlow Semi Condensed" w:cs="Barlow Semi Condensed" w:eastAsia="Barlow Semi Condensed" w:hAnsi="Barlow Semi Condensed"/>
          <w:b/>
          <w:bCs/>
          <w:sz w:val="24"/>
          <w:szCs w:val="24"/>
        </w:rPr>
        <w:t xml:space="preserve">3570 · La voce collettiva dei vescovi.</w:t>
      </w:r>
      <w:r>
        <w:rPr>
          <w:rFonts w:ascii="Barlow Semi Condensed" w:cs="Barlow Semi Condensed" w:eastAsia="Barlow Semi Condensed" w:hAnsi="Barlow Semi Condensed"/>
          <w:sz w:val="24"/>
          <w:szCs w:val="24"/>
        </w:rPr>
        <w:t xml:space="preserve"> L'archivio storico della Conferenza episcopale italiana, bersaglio del blocco 142, conserva presidenza, segreteria e comunicati del 1978. Vi si interroghi una cosa sola: se i documenti collegiali dei cinquantacinque giorni contengano riferimenti a pressioni o posizioni internazionali sulla linea da tenere. L'esito atteso, dichiarato prima secondo il blocco 650 dell'opera-madre, è nessuna occorrenza: i comunicati episcopali parlano al Paese, non alle cancellerie.</w:t>
      </w:r>
    </w:p>
    <w:p>
      <w:pPr>
        <w:spacing w:after="120" w:line="276"/>
        <w:jc w:val="both"/>
      </w:pPr>
      <w:r>
        <w:rPr>
          <w:rFonts w:ascii="Barlow Semi Condensed" w:cs="Barlow Semi Condensed" w:eastAsia="Barlow Semi Condensed" w:hAnsi="Barlow Semi Condensed"/>
          <w:b/>
          <w:bCs/>
          <w:sz w:val="24"/>
          <w:szCs w:val="24"/>
        </w:rPr>
        <w:t xml:space="preserve">3571 · L'indice annuale della Civiltà.</w:t>
      </w:r>
      <w:r>
        <w:rPr>
          <w:rFonts w:ascii="Barlow Semi Condensed" w:cs="Barlow Semi Condensed" w:eastAsia="Barlow Semi Condensed" w:hAnsi="Barlow Semi Condensed"/>
          <w:sz w:val="24"/>
          <w:szCs w:val="24"/>
        </w:rPr>
        <w:t xml:space="preserve"> La Civiltà Cattolica del 1978, insieme all'archivio della rivista e della Provincia italiana dei gesuiti indicati al blocco 145, offre uno strumento raro e preciso: l'indice analitico annuale. Vi si verifichi la presenza del nome negli scritti di politica internazionale dell'annata e la sua eventuale prossimità ai testi sul sequestro. Prossimità di pagina non è nesso: è un dato bibliografico, e come tale si registra.</w:t>
      </w:r>
    </w:p>
    <w:p>
      <w:pPr>
        <w:spacing w:after="120" w:line="276"/>
        <w:jc w:val="both"/>
      </w:pPr>
      <w:r>
        <w:rPr>
          <w:rFonts w:ascii="Barlow Semi Condensed" w:cs="Barlow Semi Condensed" w:eastAsia="Barlow Semi Condensed" w:hAnsi="Barlow Semi Condensed"/>
          <w:b/>
          <w:bCs/>
          <w:sz w:val="24"/>
          <w:szCs w:val="24"/>
        </w:rPr>
        <w:t xml:space="preserve">3572 · Dove giacciono le carte del porporato.</w:t>
      </w:r>
      <w:r>
        <w:rPr>
          <w:rFonts w:ascii="Barlow Semi Condensed" w:cs="Barlow Semi Condensed" w:eastAsia="Barlow Semi Condensed" w:hAnsi="Barlow Semi Condensed"/>
          <w:sz w:val="24"/>
          <w:szCs w:val="24"/>
        </w:rPr>
        <w:t xml:space="preserve"> Dove giacciano i fondi personali dei cardinali del 1978 — il segretario di Stato Villot, il vicario Poletti — è l'accertamento chiesto dal blocco 148. Serve anche qui: il carteggio di un segretario di Stato è la sede naturale di ogni rapporto con una potenza. Finché non si sa in quale istituto quelle carte stiano, o se siano confluite nell'archivio chiuso, nessuna ricerca sul punto può dirsi condotta.</w:t>
      </w:r>
    </w:p>
    <w:p>
      <w:pPr>
        <w:spacing w:after="120" w:line="276"/>
        <w:jc w:val="both"/>
      </w:pPr>
      <w:r>
        <w:rPr>
          <w:rFonts w:ascii="Barlow Semi Condensed" w:cs="Barlow Semi Condensed" w:eastAsia="Barlow Semi Condensed" w:hAnsi="Barlow Semi Condensed"/>
          <w:b/>
          <w:bCs/>
          <w:sz w:val="24"/>
          <w:szCs w:val="24"/>
        </w:rPr>
        <w:t xml:space="preserve">3573 · Il segretario particolare come cerniera.</w:t>
      </w:r>
      <w:r>
        <w:rPr>
          <w:rFonts w:ascii="Barlow Semi Condensed" w:cs="Barlow Semi Condensed" w:eastAsia="Barlow Semi Condensed" w:hAnsi="Barlow Semi Condensed"/>
          <w:sz w:val="24"/>
          <w:szCs w:val="24"/>
        </w:rPr>
        <w:t xml:space="preserve"> Mons. Pasquale Macchi, bersaglio primario del blocco 157, è la cerniera fra l'uomo e l'istituzione: sotto sua dettatura fu corretta la variante della lettera, secondo la scheda PE-4. Chi tiene la penna di un pontefice registra anche ciò che arriva da fuori. La domanda esatta al suo lascito è dunque questa: risultano appunti che documentino approcci stranieri nei cinquantacinque giorni? Stato Zero finché la sede non risponda.</w:t>
      </w:r>
    </w:p>
    <w:p>
      <w:pPr>
        <w:spacing w:after="120" w:line="276"/>
        <w:jc w:val="both"/>
      </w:pPr>
      <w:r>
        <w:rPr>
          <w:rFonts w:ascii="Barlow Semi Condensed" w:cs="Barlow Semi Condensed" w:eastAsia="Barlow Semi Condensed" w:hAnsi="Barlow Semi Condensed"/>
          <w:b/>
          <w:bCs/>
          <w:sz w:val="24"/>
          <w:szCs w:val="24"/>
        </w:rPr>
        <w:t xml:space="preserve">3574 · Il pavimento parlamentare del canale.</w:t>
      </w:r>
      <w:r>
        <w:rPr>
          <w:rFonts w:ascii="Barlow Semi Condensed" w:cs="Barlow Semi Condensed" w:eastAsia="Barlow Semi Condensed" w:hAnsi="Barlow Semi Condensed"/>
          <w:sz w:val="24"/>
          <w:szCs w:val="24"/>
        </w:rPr>
        <w:t xml:space="preserve"> Tutto il cantiere del cappellano poggia, per il blocco 161, sulla relazione conclusiva della Commissione Moro 2, approvata il 6 dicembre 2017, Doc. XXIII n. 29: Paolo VI incaricò mons. Cesare Curioni di attivare canali verso le Brigate rosse e fu predisposta una disponibilità economica ingente. Nell'accertamento non figura alcuna autorità straniera. È il pavimento, e il pavimento non si allarga per comodità.</w:t>
      </w:r>
    </w:p>
    <w:p>
      <w:pPr>
        <w:spacing w:after="120" w:line="276"/>
        <w:jc w:val="both"/>
      </w:pPr>
      <w:r>
        <w:rPr>
          <w:rFonts w:ascii="Barlow Semi Condensed" w:cs="Barlow Semi Condensed" w:eastAsia="Barlow Semi Condensed" w:hAnsi="Barlow Semi Condensed"/>
          <w:b/>
          <w:bCs/>
          <w:sz w:val="24"/>
          <w:szCs w:val="24"/>
        </w:rPr>
        <w:t xml:space="preserve">3575 · Lo stenografico del 4 febbraio 2016.</w:t>
      </w:r>
      <w:r>
        <w:rPr>
          <w:rFonts w:ascii="Barlow Semi Condensed" w:cs="Barlow Semi Condensed" w:eastAsia="Barlow Semi Condensed" w:hAnsi="Barlow Semi Condensed"/>
          <w:sz w:val="24"/>
          <w:szCs w:val="24"/>
        </w:rPr>
        <w:t xml:space="preserve"> L'audizione di mons. Fabio Fabbri alla Commissione Moro 2, indicata al blocco 165, ha resoconto stenografico pubblicato in rete. Bersaglio a costo nullo e a esito netto: la ricerca testuale del nome e delle sue varianti nell'intero stenografico, con verbale dell'esito anche nullo. È la forma più economica di accertamento che questo territorio consenta, e nessuno l'ha mai verbalizzata.</w:t>
      </w:r>
    </w:p>
    <w:p>
      <w:pPr>
        <w:spacing w:after="120" w:line="276"/>
        <w:jc w:val="both"/>
      </w:pPr>
      <w:r>
        <w:rPr>
          <w:rFonts w:ascii="Barlow Semi Condensed" w:cs="Barlow Semi Condensed" w:eastAsia="Barlow Semi Condensed" w:hAnsi="Barlow Semi Condensed"/>
          <w:b/>
          <w:bCs/>
          <w:sz w:val="24"/>
          <w:szCs w:val="24"/>
        </w:rPr>
        <w:t xml:space="preserve">3576 · La cella vuota non si riempie.</w:t>
      </w:r>
      <w:r>
        <w:rPr>
          <w:rFonts w:ascii="Barlow Semi Condensed" w:cs="Barlow Semi Condensed" w:eastAsia="Barlow Semi Condensed" w:hAnsi="Barlow Semi Condensed"/>
          <w:sz w:val="24"/>
          <w:szCs w:val="24"/>
        </w:rPr>
        <w:t xml:space="preserve"> Chiama l'interlocutore non identificato «la cella vuota più importante del cantiere» il blocco 169, e vi appone la disciplina: nessun nome per suggestione. Questa serie la ribadisce nel punto in cui la tentazione è massima. Un vuoto celebre attira il nome più celebre disponibile, che è il meccanismo descritto al blocco 640 dell'opera-madre. La cella resta vuota finché un registro o un riscontro di movimento non la riempia.</w:t>
      </w:r>
    </w:p>
    <w:p>
      <w:pPr>
        <w:spacing w:after="120" w:line="276"/>
        <w:jc w:val="both"/>
      </w:pPr>
      <w:r>
        <w:rPr>
          <w:rFonts w:ascii="Barlow Semi Condensed" w:cs="Barlow Semi Condensed" w:eastAsia="Barlow Semi Condensed" w:hAnsi="Barlow Semi Condensed"/>
          <w:b/>
          <w:bCs/>
          <w:sz w:val="24"/>
          <w:szCs w:val="24"/>
        </w:rPr>
        <w:t xml:space="preserve">3577 · Le divergenze si tabulano.</w:t>
      </w:r>
      <w:r>
        <w:rPr>
          <w:rFonts w:ascii="Barlow Semi Condensed" w:cs="Barlow Semi Condensed" w:eastAsia="Barlow Semi Condensed" w:hAnsi="Barlow Semi Condensed"/>
          <w:sz w:val="24"/>
          <w:szCs w:val="24"/>
        </w:rPr>
        <w:t xml:space="preserve"> Si costruisce con le regole della matrice ACH la tavola comparata delle versioni sui movimenti di Curioni, prescritta al blocco 166: ipotesi contro evidenze, celle vuote dichiarate. Se una sola delle versioni introducesse un attore internazionale, la divergenza andrebbe riportata come divergenza — né adottata perché più interessante, né scartata perché più scomoda. Riportare è l'obbligo; risolvere, un risultato eventuale.</w:t>
      </w:r>
    </w:p>
    <w:p>
      <w:pPr>
        <w:spacing w:after="120" w:line="276"/>
        <w:jc w:val="both"/>
      </w:pPr>
      <w:r>
        <w:rPr>
          <w:rFonts w:ascii="Barlow Semi Condensed" w:cs="Barlow Semi Condensed" w:eastAsia="Barlow Semi Condensed" w:hAnsi="Barlow Semi Condensed"/>
          <w:b/>
          <w:bCs/>
          <w:sz w:val="24"/>
          <w:szCs w:val="24"/>
        </w:rPr>
        <w:t xml:space="preserve">3578 · I nomi trovati nei covi.</w:t>
      </w:r>
      <w:r>
        <w:rPr>
          <w:rFonts w:ascii="Barlow Semi Condensed" w:cs="Barlow Semi Condensed" w:eastAsia="Barlow Semi Condensed" w:hAnsi="Barlow Semi Condensed"/>
          <w:sz w:val="24"/>
          <w:szCs w:val="24"/>
        </w:rPr>
        <w:t xml:space="preserve"> Un fatto istruttorio preciso è fissato al blocco 170, che ne chiede il perimetro nudo: quali nomi di cappellani, in quale covo, in quale verbale di perquisizione. La pubblicistica lo ha gonfiato. Vale come esercizio esemplare per questa serie: un ritrovamento si cita per ciò che l'atto dice, e ciò che l'atto dice sono nomi di ecclesiastici italiani, non una geografia internazionale del sequestro.</w:t>
      </w:r>
    </w:p>
    <w:p>
      <w:pPr>
        <w:spacing w:after="120" w:line="276"/>
        <w:jc w:val="both"/>
      </w:pPr>
      <w:r>
        <w:rPr>
          <w:rFonts w:ascii="Barlow Semi Condensed" w:cs="Barlow Semi Condensed" w:eastAsia="Barlow Semi Condensed" w:hAnsi="Barlow Semi Condensed"/>
          <w:b/>
          <w:bCs/>
          <w:sz w:val="24"/>
          <w:szCs w:val="24"/>
        </w:rPr>
        <w:t xml:space="preserve">3579 · Non travasare da PE-1 a PE-4.</w:t>
      </w:r>
      <w:r>
        <w:rPr>
          <w:rFonts w:ascii="Barlow Semi Condensed" w:cs="Barlow Semi Condensed" w:eastAsia="Barlow Semi Condensed" w:hAnsi="Barlow Semi Condensed"/>
          <w:sz w:val="24"/>
          <w:szCs w:val="24"/>
        </w:rPr>
        <w:t xml:space="preserve"> Regola di lettura, vincolante. La presenza di consulenti stranieri accertata negli atti sul comitato del Viminale appartiene alla pista PE-1 e alle carte di governo; il canale del cappellano appartiene a PE-4. Il blocco 173 chiede di incrociare le carte dei due canali, non di fonderle. Trasferire un attore da una scheda all'altra perché entrambe stanno nel 1978 è contemporaneità scambiata per nesso: il divieto è esplicito.</w:t>
      </w:r>
    </w:p>
    <w:p>
      <w:pPr>
        <w:spacing w:after="120" w:line="276"/>
        <w:jc w:val="both"/>
      </w:pPr>
      <w:r>
        <w:rPr>
          <w:rFonts w:ascii="Barlow Semi Condensed" w:cs="Barlow Semi Condensed" w:eastAsia="Barlow Semi Condensed" w:hAnsi="Barlow Semi Condensed"/>
          <w:b/>
          <w:bCs/>
          <w:sz w:val="24"/>
          <w:szCs w:val="24"/>
        </w:rPr>
        <w:t xml:space="preserve">3580 · Che cosa smentirebbe il ponte vaticano.</w:t>
      </w:r>
      <w:r>
        <w:rPr>
          <w:rFonts w:ascii="Barlow Semi Condensed" w:cs="Barlow Semi Condensed" w:eastAsia="Barlow Semi Condensed" w:hAnsi="Barlow Semi Condensed"/>
          <w:sz w:val="24"/>
          <w:szCs w:val="24"/>
        </w:rPr>
        <w:t xml:space="preserve"> Bersaglio di smentita, formulato in positivo perché sia cercabile. Il nesso fra amministrazione statunitense e mediazione vaticana cadrebbe definitivamente se le carte della Segreteria di Stato, all'apertura, mostrassero un canale interamente interno — incarico, contatti, provvista, resa dei conti — senza alcuna interlocuzione esterna. Il blocco 175 chiede proprio questo: cercare attivamente le carte che rompono le ricostruzioni, comprese quelle che il corpus preferirebbe.</w:t>
      </w:r>
    </w:p>
    <w:p>
      <w:pPr>
        <w:spacing w:after="120" w:line="276"/>
        <w:jc w:val="both"/>
      </w:pPr>
      <w:r>
        <w:rPr>
          <w:rFonts w:ascii="Barlow Semi Condensed" w:cs="Barlow Semi Condensed" w:eastAsia="Barlow Semi Condensed" w:hAnsi="Barlow Semi Condensed"/>
          <w:b/>
          <w:bCs/>
          <w:sz w:val="24"/>
          <w:szCs w:val="24"/>
        </w:rPr>
        <w:t xml:space="preserve">3581 · Il perimetro delle parole della Commissione.</w:t>
      </w:r>
      <w:r>
        <w:rPr>
          <w:rFonts w:ascii="Barlow Semi Condensed" w:cs="Barlow Semi Condensed" w:eastAsia="Barlow Semi Condensed" w:hAnsi="Barlow Semi Condensed"/>
          <w:sz w:val="24"/>
          <w:szCs w:val="24"/>
        </w:rPr>
        <w:t xml:space="preserve"> Impone la lettura filologica delle pagine conclusive il blocco 177: che cosa la Commissione dà per accertato, che cosa per riferito, che cosa per aperto. Applicata a questa triangolazione, l'operazione ha esito prevedibile e utile: l'accertamento parlamentare non contiene la questione statunitense. Riferire che «la Commissione non si pronunciò» è corretto; scrivere che «la Commissione escluse» sarebbe un'estensione indebita del testo.</w:t>
      </w:r>
    </w:p>
    <w:p>
      <w:pPr>
        <w:spacing w:after="120" w:line="276"/>
        <w:jc w:val="both"/>
      </w:pPr>
      <w:r>
        <w:rPr>
          <w:rFonts w:ascii="Barlow Semi Condensed" w:cs="Barlow Semi Condensed" w:eastAsia="Barlow Semi Condensed" w:hAnsi="Barlow Semi Condensed"/>
          <w:b/>
          <w:bCs/>
          <w:sz w:val="24"/>
          <w:szCs w:val="24"/>
        </w:rPr>
        <w:t xml:space="preserve">3582 · La storiografia del canale, tarata.</w:t>
      </w:r>
      <w:r>
        <w:rPr>
          <w:rFonts w:ascii="Barlow Semi Condensed" w:cs="Barlow Semi Condensed" w:eastAsia="Barlow Semi Condensed" w:hAnsi="Barlow Semi Condensed"/>
          <w:sz w:val="24"/>
          <w:szCs w:val="24"/>
        </w:rPr>
        <w:t xml:space="preserve"> Gli studi accademici sul canale vaticano, censiti al blocco 179, si ereditano con la taratura di fedeltà del blocco 16: da ogni opera si estrae la tavola delle segnature citate, se ne verifica un campione, e la fedeltà misurata decide quanto pesare il resto. Chi introduce un attore internazionale senza segnatura si colloca da sé nel piano 3, e la collocazione è un dato sull'opera.</w:t>
      </w:r>
    </w:p>
    <w:p>
      <w:pPr>
        <w:spacing w:after="120" w:line="276"/>
        <w:jc w:val="both"/>
      </w:pPr>
      <w:r>
        <w:rPr>
          <w:rFonts w:ascii="Barlow Semi Condensed" w:cs="Barlow Semi Condensed" w:eastAsia="Barlow Semi Condensed" w:hAnsi="Barlow Semi Condensed"/>
          <w:b/>
          <w:bCs/>
          <w:sz w:val="24"/>
          <w:szCs w:val="24"/>
        </w:rPr>
        <w:t xml:space="preserve">3583 · L'accertamento del fondo, alla lettera.</w:t>
      </w:r>
      <w:r>
        <w:rPr>
          <w:rFonts w:ascii="Barlow Semi Condensed" w:cs="Barlow Semi Condensed" w:eastAsia="Barlow Semi Condensed" w:hAnsi="Barlow Semi Condensed"/>
          <w:sz w:val="24"/>
          <w:szCs w:val="24"/>
        </w:rPr>
        <w:t xml:space="preserve"> La disponibilità economica ingente predisposta dalla Santa Sede è accertata dagli atti (blocco 181), con l'ordine di grandezza riferito intorno ai dieci miliardi di lire. L'accertamento nomina il pontefice, il cappellano e — quanto alla provvista — un finanziatore. Non nomina governi. Ogni ricostruzione che inserisca uno Stato nella catena del denaro deve produrre la propria carta: non può appoggiarsi a questo accertamento, che di quella catena tace.</w:t>
      </w:r>
    </w:p>
    <w:p>
      <w:pPr>
        <w:spacing w:after="120" w:line="276"/>
        <w:jc w:val="both"/>
      </w:pPr>
      <w:r>
        <w:rPr>
          <w:rFonts w:ascii="Barlow Semi Condensed" w:cs="Barlow Semi Condensed" w:eastAsia="Barlow Semi Condensed" w:hAnsi="Barlow Semi Condensed"/>
          <w:b/>
          <w:bCs/>
          <w:sz w:val="24"/>
          <w:szCs w:val="24"/>
        </w:rPr>
        <w:t xml:space="preserve">3584 · Rivendicazione non è flusso.</w:t>
      </w:r>
      <w:r>
        <w:rPr>
          <w:rFonts w:ascii="Barlow Semi Condensed" w:cs="Barlow Semi Condensed" w:eastAsia="Barlow Semi Condensed" w:hAnsi="Barlow Semi Condensed"/>
          <w:sz w:val="24"/>
          <w:szCs w:val="24"/>
        </w:rPr>
        <w:t xml:space="preserve"> Distingue con precisione il blocco 182: l'attribuzione della provvista a Shmuel Flatto-Sharon, che la rivendicò pubblicamente, è riferita dalle agenzie sulla scorta dei lavori parlamentari; è accertamento sulla rivendicazione, non sul flusso del denaro. La distinzione regge anche la nostra: da una rivendicazione israeliana non discende alcuna implicazione americana. Sono due proposizioni diverse, e la seconda non ha oggi alcun sostegno documentale.</w:t>
      </w:r>
    </w:p>
    <w:p>
      <w:pPr>
        <w:spacing w:after="120" w:line="276"/>
        <w:jc w:val="both"/>
      </w:pPr>
      <w:r>
        <w:rPr>
          <w:rFonts w:ascii="Barlow Semi Condensed" w:cs="Barlow Semi Condensed" w:eastAsia="Barlow Semi Condensed" w:hAnsi="Barlow Semi Condensed"/>
          <w:b/>
          <w:bCs/>
          <w:sz w:val="24"/>
          <w:szCs w:val="24"/>
        </w:rPr>
        <w:t xml:space="preserve">3585 · La porta israeliana, misurata.</w:t>
      </w:r>
      <w:r>
        <w:rPr>
          <w:rFonts w:ascii="Barlow Semi Condensed" w:cs="Barlow Semi Condensed" w:eastAsia="Barlow Semi Condensed" w:hAnsi="Barlow Semi Condensed"/>
          <w:sz w:val="24"/>
          <w:szCs w:val="24"/>
        </w:rPr>
        <w:t xml:space="preserve"> Apre il solo varco internazionale della Parte seconda il blocco 187: le dichiarazioni pubbliche del finanziatore, i riscontri parlamentari, le eventuali carte israeliane. Va misurato per quel che è. Apre un versante israeliano privato; non apre un versante statunitense governativo. Confondere i due significa dedurre da una cittadinanza una politica estera — inferenza che il corpus vieta quando l'appartenenza viene scambiata per condotta.</w:t>
      </w:r>
    </w:p>
    <w:p>
      <w:pPr>
        <w:spacing w:after="120" w:line="276"/>
        <w:jc w:val="both"/>
      </w:pPr>
      <w:r>
        <w:rPr>
          <w:rFonts w:ascii="Barlow Semi Condensed" w:cs="Barlow Semi Condensed" w:eastAsia="Barlow Semi Condensed" w:hAnsi="Barlow Semi Condensed"/>
          <w:b/>
          <w:bCs/>
          <w:sz w:val="24"/>
          <w:szCs w:val="24"/>
        </w:rPr>
        <w:t xml:space="preserve">3586 · Le fascette non sono una firma politica.</w:t>
      </w:r>
      <w:r>
        <w:rPr>
          <w:rFonts w:ascii="Barlow Semi Condensed" w:cs="Barlow Semi Condensed" w:eastAsia="Barlow Semi Condensed" w:hAnsi="Barlow Semi Condensed"/>
          <w:sz w:val="24"/>
          <w:szCs w:val="24"/>
        </w:rPr>
        <w:t xml:space="preserve"> Il dettaglio materiale riferito alle fascette di banconote di provenienza bancaria estera è, per il blocco 184, il più falsificabile e per questo il più prezioso. È un identificativo bancario: consente di risalire a un istituto e a una data, non a una cancelleria. Trattarlo come indizio di regia internazionale è la promozione di un dato tecnico a segno geopolitico, ed è precisamente ciò che quel blocco proibisce.</w:t>
      </w:r>
    </w:p>
    <w:p>
      <w:pPr>
        <w:spacing w:after="120" w:line="276"/>
        <w:jc w:val="both"/>
      </w:pPr>
      <w:r>
        <w:rPr>
          <w:rFonts w:ascii="Barlow Semi Condensed" w:cs="Barlow Semi Condensed" w:eastAsia="Barlow Semi Condensed" w:hAnsi="Barlow Semi Condensed"/>
          <w:b/>
          <w:bCs/>
          <w:sz w:val="24"/>
          <w:szCs w:val="24"/>
        </w:rPr>
        <w:t xml:space="preserve">3587 · I passaggi e le celle vuote.</w:t>
      </w:r>
      <w:r>
        <w:rPr>
          <w:rFonts w:ascii="Barlow Semi Condensed" w:cs="Barlow Semi Condensed" w:eastAsia="Barlow Semi Condensed" w:hAnsi="Barlow Semi Condensed"/>
          <w:sz w:val="24"/>
          <w:szCs w:val="24"/>
        </w:rPr>
        <w:t xml:space="preserve"> Registra ogni tratto come documentato, riferito o cella vuota la tavola dei passaggi patrimoniali chiesta ai blocchi 183 e 186. In questa triangolazione tutte le celle che coinvolgerebbero un istituto o un attore statunitense sono vuote, e vuote vanno lasciate. La sorte del denaro dopo il 9 maggio resta ignota agli atti: un fondo vero lascia una coda contabile, e la coda si cerca dove il denaro fu raccolto.</w:t>
      </w:r>
    </w:p>
    <w:p>
      <w:pPr>
        <w:spacing w:after="120" w:line="276"/>
        <w:jc w:val="both"/>
      </w:pPr>
      <w:r>
        <w:rPr>
          <w:rFonts w:ascii="Barlow Semi Condensed" w:cs="Barlow Semi Condensed" w:eastAsia="Barlow Semi Condensed" w:hAnsi="Barlow Semi Condensed"/>
          <w:b/>
          <w:bCs/>
          <w:sz w:val="24"/>
          <w:szCs w:val="24"/>
        </w:rPr>
        <w:t xml:space="preserve">3588 · Dove un dollaro lascia traccia.</w:t>
      </w:r>
      <w:r>
        <w:rPr>
          <w:rFonts w:ascii="Barlow Semi Condensed" w:cs="Barlow Semi Condensed" w:eastAsia="Barlow Semi Condensed" w:hAnsi="Barlow Semi Condensed"/>
          <w:sz w:val="24"/>
          <w:szCs w:val="24"/>
        </w:rPr>
        <w:t xml:space="preserve"> Prescrive le richieste agli istituti bancari storici il blocco 188, nei limiti delle norme sugli archivi bancari. Precisazione tecnica utile: una provvista in valuta del 1978 lascia traccia presso la banca emittente delle fascette, presso l'eventuale corrispondente e nei registri di cambio, non in un archivio di governo. La sede giusta decide l'esito; chiedere a un archivio politico un movimento bancario produce soltanto un diniego prevedibile.</w:t>
      </w:r>
    </w:p>
    <w:p>
      <w:pPr>
        <w:spacing w:after="120" w:line="276"/>
        <w:jc w:val="both"/>
      </w:pPr>
      <w:r>
        <w:rPr>
          <w:rFonts w:ascii="Barlow Semi Condensed" w:cs="Barlow Semi Condensed" w:eastAsia="Barlow Semi Condensed" w:hAnsi="Barlow Semi Condensed"/>
          <w:b/>
          <w:bCs/>
          <w:sz w:val="24"/>
          <w:szCs w:val="24"/>
        </w:rPr>
        <w:t xml:space="preserve">3589 · L'aritmetica prima dell'archivio.</w:t>
      </w:r>
      <w:r>
        <w:rPr>
          <w:rFonts w:ascii="Barlow Semi Condensed" w:cs="Barlow Semi Condensed" w:eastAsia="Barlow Semi Condensed" w:hAnsi="Barlow Semi Condensed"/>
          <w:sz w:val="24"/>
          <w:szCs w:val="24"/>
        </w:rPr>
        <w:t xml:space="preserve"> Un esercizio che non richiede alcuna sala di studio è chiesto al blocco 189: tagli, volumi fisici e pesi di dieci miliardi di lire del 1978, per misurare la fattibilità materiale delle versioni di consegna. Lo stesso calcolo, applicato al controvalore in dollari, misura anche la plausibilità delle varianti che immaginano canali internazionali. L'aritmetica del contante smonta o sostiene le narrazioni da sola, e non chiede permessi.</w:t>
      </w:r>
    </w:p>
    <w:p>
      <w:pPr>
        <w:spacing w:after="120" w:line="276"/>
        <w:jc w:val="both"/>
      </w:pPr>
      <w:r>
        <w:rPr>
          <w:rFonts w:ascii="Barlow Semi Condensed" w:cs="Barlow Semi Condensed" w:eastAsia="Barlow Semi Condensed" w:hAnsi="Barlow Semi Condensed"/>
          <w:b/>
          <w:bCs/>
          <w:sz w:val="24"/>
          <w:szCs w:val="24"/>
        </w:rPr>
        <w:t xml:space="preserve">3590 · La tavola di chi sapeva.</w:t>
      </w:r>
      <w:r>
        <w:rPr>
          <w:rFonts w:ascii="Barlow Semi Condensed" w:cs="Barlow Semi Condensed" w:eastAsia="Barlow Semi Condensed" w:hAnsi="Barlow Semi Condensed"/>
          <w:sz w:val="24"/>
          <w:szCs w:val="24"/>
        </w:rPr>
        <w:t xml:space="preserve"> Il perimetro della conoscenza del fondo, chiesto al blocco 190, è un quesito di rete: pochi nodi, datati, con la fonte accanto a ciascuno. Vi si aggiunga la colonna della nazionalità dei nodi documentati, che oggi restituisce soltanto italiani e un israeliano. Ogni nodo in più cambia la matrice del canale; nessun nodo si aggiunge per verosimiglianza, e la colonna vuota si pubblica vuota.</w:t>
      </w:r>
    </w:p>
    <w:p>
      <w:pPr>
        <w:spacing w:after="120" w:line="276"/>
        <w:jc w:val="both"/>
      </w:pPr>
      <w:r>
        <w:rPr>
          <w:rFonts w:ascii="Barlow Semi Condensed" w:cs="Barlow Semi Condensed" w:eastAsia="Barlow Semi Condensed" w:hAnsi="Barlow Semi Condensed"/>
          <w:b/>
          <w:bCs/>
          <w:sz w:val="24"/>
          <w:szCs w:val="24"/>
        </w:rPr>
        <w:t xml:space="preserve">3591 · La spiegazione più piccola.</w:t>
      </w:r>
      <w:r>
        <w:rPr>
          <w:rFonts w:ascii="Barlow Semi Condensed" w:cs="Barlow Semi Condensed" w:eastAsia="Barlow Semi Condensed" w:hAnsi="Barlow Semi Condensed"/>
          <w:sz w:val="24"/>
          <w:szCs w:val="24"/>
        </w:rPr>
        <w:t xml:space="preserve"> Cercare attivamente la carta che ridimensiona — una contabilità ordinaria, una restituzione documentata, una rivendicazione smentita — è il compito assegnato al blocco 192, e qui vale come antidoto specifico. Se la provvista ebbe una spiegazione interamente privata e minore della leggenda, trovarla è un successo del cantiere. La delusione narrativa non è un criterio di prova, e il corpus non ha interesse a una storia più grande.</w:t>
      </w:r>
    </w:p>
    <w:p>
      <w:pPr>
        <w:spacing w:after="120" w:line="276"/>
        <w:jc w:val="both"/>
      </w:pPr>
      <w:r>
        <w:rPr>
          <w:rFonts w:ascii="Barlow Semi Condensed" w:cs="Barlow Semi Condensed" w:eastAsia="Barlow Semi Condensed" w:hAnsi="Barlow Semi Condensed"/>
          <w:b/>
          <w:bCs/>
          <w:sz w:val="24"/>
          <w:szCs w:val="24"/>
        </w:rPr>
        <w:t xml:space="preserve">3592 · Nel 1978 non aveva cariche.</w:t>
      </w:r>
      <w:r>
        <w:rPr>
          <w:rFonts w:ascii="Barlow Semi Condensed" w:cs="Barlow Semi Condensed" w:eastAsia="Barlow Semi Condensed" w:hAnsi="Barlow Semi Condensed"/>
          <w:sz w:val="24"/>
          <w:szCs w:val="24"/>
        </w:rPr>
        <w:t xml:space="preserve"> Accertamento di grado A, già fissato dall'apparato K-2 e decisivo per l'intera Parte seconda: il mandato di Segretario di Stato cessò il 20 gennaio 1977, quello di Assistente per la sicurezza nazionale il 3 novembre 1975. Nei cinquantacinque giorni il soggetto era privato cittadino. Conseguenza archivistica: un eventuale rapporto non genererebbe carta di governo, e andrebbe cercato nelle carte private, non nei fondi federali.</w:t>
      </w:r>
    </w:p>
    <w:p>
      <w:pPr>
        <w:spacing w:after="120" w:line="276"/>
        <w:jc w:val="both"/>
      </w:pPr>
      <w:r>
        <w:rPr>
          <w:rFonts w:ascii="Barlow Semi Condensed" w:cs="Barlow Semi Condensed" w:eastAsia="Barlow Semi Condensed" w:hAnsi="Barlow Semi Condensed"/>
          <w:b/>
          <w:bCs/>
          <w:sz w:val="24"/>
          <w:szCs w:val="24"/>
        </w:rPr>
        <w:t xml:space="preserve">3593 · Le due sedi delle carte private.</w:t>
      </w:r>
      <w:r>
        <w:rPr>
          <w:rFonts w:ascii="Barlow Semi Condensed" w:cs="Barlow Semi Condensed" w:eastAsia="Barlow Semi Condensed" w:hAnsi="Barlow Semi Condensed"/>
          <w:sz w:val="24"/>
          <w:szCs w:val="24"/>
        </w:rPr>
        <w:t xml:space="preserve"> Dalla conseguenza precedente discende un bersaglio con sede: le carte personali depositate presso Manuscripts and Archives della Yale University Library e il deposito della Manuscript Division della Library of Congress, con le rispettive clausole d'accesso. Sono le sole sedi in cui una traccia del 1978 potrebbe esistere. Il passo preliminare resta la lettura degli strumenti di ricerca: prima di chiedere una carta, si accerta se la serie esista.</w:t>
      </w:r>
    </w:p>
    <w:p>
      <w:pPr>
        <w:spacing w:after="120" w:line="276"/>
        <w:jc w:val="both"/>
      </w:pPr>
      <w:r>
        <w:rPr>
          <w:rFonts w:ascii="Barlow Semi Condensed" w:cs="Barlow Semi Condensed" w:eastAsia="Barlow Semi Condensed" w:hAnsi="Barlow Semi Condensed"/>
          <w:b/>
          <w:bCs/>
          <w:sz w:val="24"/>
          <w:szCs w:val="24"/>
        </w:rPr>
        <w:t xml:space="preserve">3594 · La genesi della lettera, interna.</w:t>
      </w:r>
      <w:r>
        <w:rPr>
          <w:rFonts w:ascii="Barlow Semi Condensed" w:cs="Barlow Semi Condensed" w:eastAsia="Barlow Semi Condensed" w:hAnsi="Barlow Semi Condensed"/>
          <w:sz w:val="24"/>
          <w:szCs w:val="24"/>
        </w:rPr>
        <w:t xml:space="preserve"> La filologia della lettera del 21-22 aprile, ai blocchi 196 e 197, documenta una genesi tutta interna: la stesura notturna di pugno del pontefice, la caduta dell'inciso più discusso, la correzione sotto dettatura al segretario. Nella catena documentata non compare alcun suggeritore esterno. Lo si registra come dato positivo sulla genesi, non come esclusione: la scheda PE-4 dice ciò che le carte note dicono, e tace il resto.</w:t>
      </w:r>
    </w:p>
    <w:p>
      <w:pPr>
        <w:spacing w:after="120" w:line="276"/>
        <w:jc w:val="both"/>
      </w:pPr>
      <w:r>
        <w:rPr>
          <w:rFonts w:ascii="Barlow Semi Condensed" w:cs="Barlow Semi Condensed" w:eastAsia="Barlow Semi Condensed" w:hAnsi="Barlow Semi Condensed"/>
          <w:b/>
          <w:bCs/>
          <w:sz w:val="24"/>
          <w:szCs w:val="24"/>
        </w:rPr>
        <w:t xml:space="preserve">3595 · La ricezione appartiene ad altra parte.</w:t>
      </w:r>
      <w:r>
        <w:rPr>
          <w:rFonts w:ascii="Barlow Semi Condensed" w:cs="Barlow Semi Condensed" w:eastAsia="Barlow Semi Condensed" w:hAnsi="Barlow Semi Condensed"/>
          <w:sz w:val="24"/>
          <w:szCs w:val="24"/>
        </w:rPr>
        <w:t xml:space="preserve"> Comprende governo, partiti, brigatisti e stampa la tavola delle reazioni datate alla lettera, chiesta al blocco 198. Le reazioni delle cancellerie alleate non stanno qui: stanno nel cantiere britannico, francese e tedesco della Parte prima, e in una colonna statunitense che la quadriga non ha. Tenerle fuori da questa tavola non è una svista da correggere: è la divisione del lavoro fra le parti.</w:t>
      </w:r>
    </w:p>
    <w:p>
      <w:pPr>
        <w:spacing w:after="120" w:line="276"/>
        <w:jc w:val="both"/>
      </w:pPr>
      <w:r>
        <w:rPr>
          <w:rFonts w:ascii="Barlow Semi Condensed" w:cs="Barlow Semi Condensed" w:eastAsia="Barlow Semi Condensed" w:hAnsi="Barlow Semi Condensed"/>
          <w:b/>
          <w:bCs/>
          <w:sz w:val="24"/>
          <w:szCs w:val="24"/>
        </w:rPr>
        <w:t xml:space="preserve">3596 · Omologia contro analogia nel magistero.</w:t>
      </w:r>
      <w:r>
        <w:rPr>
          <w:rFonts w:ascii="Barlow Semi Condensed" w:cs="Barlow Semi Condensed" w:eastAsia="Barlow Semi Condensed" w:hAnsi="Barlow Semi Condensed"/>
          <w:sz w:val="24"/>
          <w:szCs w:val="24"/>
        </w:rPr>
        <w:t xml:space="preserve"> Colloca la lettera dentro i testi montiniani sul terrorismo degli anni Settanta il blocco 205. Ne discende un avvertimento metodico: se un documento statunitense del periodo esprimesse sul terrorismo giudizi simili a quelli pontifici, la somiglianza non proverebbe alcuna derivazione. Due dottrine possono convergere in ambienti simili senza antenato comune. Il test resta uno solo, e non è retorico: un documento di provenienza che nomini la controparte.</w:t>
      </w:r>
    </w:p>
    <w:p>
      <w:pPr>
        <w:spacing w:after="120" w:line="276"/>
        <w:jc w:val="both"/>
      </w:pPr>
      <w:r>
        <w:rPr>
          <w:rFonts w:ascii="Barlow Semi Condensed" w:cs="Barlow Semi Condensed" w:eastAsia="Barlow Semi Condensed" w:hAnsi="Barlow Semi Condensed"/>
          <w:b/>
          <w:bCs/>
          <w:sz w:val="24"/>
          <w:szCs w:val="24"/>
        </w:rPr>
        <w:t xml:space="preserve">3597 · Il verbale dei vuoti vaticani.</w:t>
      </w:r>
      <w:r>
        <w:rPr>
          <w:rFonts w:ascii="Barlow Semi Condensed" w:cs="Barlow Semi Condensed" w:eastAsia="Barlow Semi Condensed" w:hAnsi="Barlow Semi Condensed"/>
          <w:sz w:val="24"/>
          <w:szCs w:val="24"/>
        </w:rPr>
        <w:t xml:space="preserve"> Istituisce il verbale delle vie battute a vuoto, dei fondi non censiti e delle richieste negate con motivazione il blocco 217. Vi entri questa serie con una voce propria: interrogazione integrale delle Parti seconda e terza sul nome, esito zero, data della verifica, perimetro dichiarato. Lo Stato Zero ecclesiastico si scrive con la stessa penna degli altri — perimetro, data, firma — e questo ne è un esemplare.</w:t>
      </w:r>
    </w:p>
    <w:p>
      <w:pPr>
        <w:spacing w:after="120" w:line="276"/>
        <w:jc w:val="both"/>
      </w:pPr>
      <w:r>
        <w:rPr>
          <w:rFonts w:ascii="Barlow Semi Condensed" w:cs="Barlow Semi Condensed" w:eastAsia="Barlow Semi Condensed" w:hAnsi="Barlow Semi Condensed"/>
          <w:b/>
          <w:bCs/>
          <w:sz w:val="24"/>
          <w:szCs w:val="24"/>
        </w:rPr>
        <w:t xml:space="preserve">3598 · Duecentodiciotto buste e un anno.</w:t>
      </w:r>
      <w:r>
        <w:rPr>
          <w:rFonts w:ascii="Barlow Semi Condensed" w:cs="Barlow Semi Condensed" w:eastAsia="Barlow Semi Condensed" w:hAnsi="Barlow Semi Condensed"/>
          <w:sz w:val="24"/>
          <w:szCs w:val="24"/>
        </w:rPr>
        <w:t xml:space="preserve"> Il fondo personale Aldo Moro all'Archivio centrale dello Stato copre gli anni 1953-1978 in duecentodiciotto buste, con inventario analitico informatizzato (blocco 221). La finestra comprende dunque per intero i mandati agli Esteri e la visita di Stato negli Stati Uniti del settembre 1974. È la sede italiana dove le carte del titolare del dicastero su quel viaggio dovrebbero stare per prassi: la condizione del blocco 637 è qui soddisfatta.</w:t>
      </w:r>
    </w:p>
    <w:p>
      <w:pPr>
        <w:spacing w:after="120" w:line="276"/>
        <w:jc w:val="both"/>
      </w:pPr>
      <w:r>
        <w:rPr>
          <w:rFonts w:ascii="Barlow Semi Condensed" w:cs="Barlow Semi Condensed" w:eastAsia="Barlow Semi Condensed" w:hAnsi="Barlow Semi Condensed"/>
          <w:b/>
          <w:bCs/>
          <w:sz w:val="24"/>
          <w:szCs w:val="24"/>
        </w:rPr>
        <w:t xml:space="preserve">3599 · La domanda esatta all'inventario.</w:t>
      </w:r>
      <w:r>
        <w:rPr>
          <w:rFonts w:ascii="Barlow Semi Condensed" w:cs="Barlow Semi Condensed" w:eastAsia="Barlow Semi Condensed" w:hAnsi="Barlow Semi Condensed"/>
          <w:sz w:val="24"/>
          <w:szCs w:val="24"/>
        </w:rPr>
        <w:t xml:space="preserve"> Lo spoglio dell'inventario analitico, chiesto al blocco 224, produce la mappa delle serie e dei vuoti cronologici. La domanda che questa serie vi deposita è determinata: esiste nel fondo una serie o un fascicolo relativo alla visita di Stato del 25-29 settembre 1974, e che cosa contiene? Un esito negativo su una serie che dovrebbe esistere per prassi ministeriale è acquisizione; un esito positivo è documento di piano 1.</w:t>
      </w:r>
    </w:p>
    <w:p>
      <w:pPr>
        <w:spacing w:after="120" w:line="276"/>
        <w:jc w:val="both"/>
      </w:pPr>
      <w:r>
        <w:rPr>
          <w:rFonts w:ascii="Barlow Semi Condensed" w:cs="Barlow Semi Condensed" w:eastAsia="Barlow Semi Condensed" w:hAnsi="Barlow Semi Condensed"/>
          <w:b/>
          <w:bCs/>
          <w:sz w:val="24"/>
          <w:szCs w:val="24"/>
        </w:rPr>
        <w:t xml:space="preserve">3600 · Il controcanto italiano del memcon.</w:t>
      </w:r>
      <w:r>
        <w:rPr>
          <w:rFonts w:ascii="Barlow Semi Condensed" w:cs="Barlow Semi Condensed" w:eastAsia="Barlow Semi Condensed" w:hAnsi="Barlow Semi Condensed"/>
          <w:sz w:val="24"/>
          <w:szCs w:val="24"/>
        </w:rPr>
        <w:t xml:space="preserve"> Il verbale statunitense dello Studio Ovale del 25 settembre 1974 è noto e citabile — documento 350 del volume FRUS 1969-1976 E-15 parte 2, seconda edizione riveduta, file 1552802 della Ford Library — e non contiene alcun ultimatum personale. Manca però il suo controcanto: l'appunto italiano dello stesso colloquio. Sedi da interrogare, nell'ordine: il fondo Moro all'ACS e l'Archivio storico diplomatico della Farnesina, serie Stati Uniti 1974.</w:t>
      </w:r>
    </w:p>
    <w:p>
      <w:pPr>
        <w:spacing w:after="120" w:line="276"/>
        <w:jc w:val="both"/>
      </w:pPr>
      <w:r>
        <w:rPr>
          <w:rFonts w:ascii="Barlow Semi Condensed" w:cs="Barlow Semi Condensed" w:eastAsia="Barlow Semi Condensed" w:hAnsi="Barlow Semi Condensed"/>
          <w:b/>
          <w:bCs/>
          <w:sz w:val="24"/>
          <w:szCs w:val="24"/>
        </w:rPr>
        <w:t xml:space="preserve">3601 · Le agende e ciò che sparì.</w:t>
      </w:r>
      <w:r>
        <w:rPr>
          <w:rFonts w:ascii="Barlow Semi Condensed" w:cs="Barlow Semi Condensed" w:eastAsia="Barlow Semi Condensed" w:hAnsi="Barlow Semi Condensed"/>
          <w:sz w:val="24"/>
          <w:szCs w:val="24"/>
        </w:rPr>
        <w:t xml:space="preserve"> Cuce i fondi ai reperti il blocco 232: esistono agende, taccuini o diari di Moro, e dove — nel fondo ACS, presso la famiglia, o fra le carte delle borse mai ritrovate del 16 marzo? La domanda tocca direttamente questa serie, perché l'episodio riferito de relato dal portavoce nel 1982 non ha, allo stato, riscontro scritto di mano del protagonista. Stato Zero, con due sedi che potrebbero chiuderlo.</w:t>
      </w:r>
    </w:p>
    <w:p>
      <w:pPr>
        <w:spacing w:after="120" w:line="276"/>
        <w:jc w:val="both"/>
      </w:pPr>
      <w:r>
        <w:rPr>
          <w:rFonts w:ascii="Barlow Semi Condensed" w:cs="Barlow Semi Condensed" w:eastAsia="Barlow Semi Condensed" w:hAnsi="Barlow Semi Condensed"/>
          <w:b/>
          <w:bCs/>
          <w:sz w:val="24"/>
          <w:szCs w:val="24"/>
        </w:rPr>
        <w:t xml:space="preserve">3602 · Chi scriveva, e da dove.</w:t>
      </w:r>
      <w:r>
        <w:rPr>
          <w:rFonts w:ascii="Barlow Semi Condensed" w:cs="Barlow Semi Condensed" w:eastAsia="Barlow Semi Condensed" w:hAnsi="Barlow Semi Condensed"/>
          <w:sz w:val="24"/>
          <w:szCs w:val="24"/>
        </w:rPr>
        <w:t xml:space="preserve"> Le serie di corrispondenza in entrata del fondo personale, bersaglio del blocco 226, tabulano per corrispondenti e date la rete epistolare dell'uomo. Vi si estragga la sottoserie estera degli anni 1974-1978 e se ne pubblichi l'elenco dei mittenti. È lavoro di indicizzazione, non di interpretazione, e produce un elenco verificabile: la presenza o l'assenza di un mittente vale esattamente quanto l'elenco che la registra.</w:t>
      </w:r>
    </w:p>
    <w:p>
      <w:pPr>
        <w:spacing w:after="120" w:line="276"/>
        <w:jc w:val="both"/>
      </w:pPr>
      <w:r>
        <w:rPr>
          <w:rFonts w:ascii="Barlow Semi Condensed" w:cs="Barlow Semi Condensed" w:eastAsia="Barlow Semi Condensed" w:hAnsi="Barlow Semi Condensed"/>
          <w:b/>
          <w:bCs/>
          <w:sz w:val="24"/>
          <w:szCs w:val="24"/>
        </w:rPr>
        <w:t xml:space="preserve">3603 · Il fondo affidato dalla famiglia (serie XLVII).</w:t>
      </w:r>
      <w:r>
        <w:rPr>
          <w:rFonts w:ascii="Barlow Semi Condensed" w:cs="Barlow Semi Condensed" w:eastAsia="Barlow Semi Condensed" w:hAnsi="Barlow Semi Condensed"/>
          <w:sz w:val="24"/>
          <w:szCs w:val="24"/>
        </w:rPr>
        <w:t xml:space="preserve"> Il secondo nucleo — le carte personali e familiari depositate presso il Centro documentazione Archivio Flamigni fra il 2012 e il 2016, per il blocco 222 — risponde a una storia archivistica diversa dal fondo statale, e va interrogato separatamente. È la sede dove potrebbero giacere tracce private dei racconti familiari sull'episodio del 1974, quelli da cui la testimonianza de relato prese origine. Interrogarla è dovuto; presumerne l'esito, no.</w:t>
      </w:r>
    </w:p>
    <w:p>
      <w:pPr>
        <w:spacing w:after="120" w:line="276"/>
        <w:jc w:val="both"/>
      </w:pPr>
      <w:r>
        <w:rPr>
          <w:rFonts w:ascii="Barlow Semi Condensed" w:cs="Barlow Semi Condensed" w:eastAsia="Barlow Semi Condensed" w:hAnsi="Barlow Semi Condensed"/>
          <w:b/>
          <w:bCs/>
          <w:sz w:val="24"/>
          <w:szCs w:val="24"/>
        </w:rPr>
        <w:t xml:space="preserve">3604 · La ricerca testuale sull'edizione digitale.</w:t>
      </w:r>
      <w:r>
        <w:rPr>
          <w:rFonts w:ascii="Barlow Semi Condensed" w:cs="Barlow Semi Condensed" w:eastAsia="Barlow Semi Condensed" w:hAnsi="Barlow Semi Condensed"/>
          <w:sz w:val="24"/>
          <w:szCs w:val="24"/>
        </w:rPr>
        <w:t xml:space="preserve"> L'Edizione nazionale delle opere di Aldo Moro, istituita nel 2016 e curata a Bologna in accesso aperto (blocco 228), consente ciò che nessun archivio consente: la ricerca testuale sull'intero corpus edito degli scritti. Bersaglio immediato e ripetibile da chiunque: interrogarla sul nome e sulle varianti, e verbalizzare l'esito con la data dell'interrogazione, perché l'edizione cresce e un esito negativo di oggi vale per il corpus di oggi.</w:t>
      </w:r>
    </w:p>
    <w:p>
      <w:pPr>
        <w:spacing w:after="120" w:line="276"/>
        <w:jc w:val="both"/>
      </w:pPr>
      <w:r>
        <w:rPr>
          <w:rFonts w:ascii="Barlow Semi Condensed" w:cs="Barlow Semi Condensed" w:eastAsia="Barlow Semi Condensed" w:hAnsi="Barlow Semi Condensed"/>
          <w:b/>
          <w:bCs/>
          <w:sz w:val="24"/>
          <w:szCs w:val="24"/>
        </w:rPr>
        <w:t xml:space="preserve">3605 · Le carte passate per i sequestri.</w:t>
      </w:r>
      <w:r>
        <w:rPr>
          <w:rFonts w:ascii="Barlow Semi Condensed" w:cs="Barlow Semi Condensed" w:eastAsia="Barlow Semi Condensed" w:hAnsi="Barlow Semi Condensed"/>
          <w:sz w:val="24"/>
          <w:szCs w:val="24"/>
        </w:rPr>
        <w:t xml:space="preserve"> Ricostruisce il percorso giudiziario delle carte private il blocco 233: che cosa fu acquisito dalle istruttorie, che cosa restituito, con quali verbali. Il percorso conta qui perché una carta sottratta al fondo e mai restituita produce un vuoto che somiglia a un'assenza e non lo è. Prima di dichiarare Stato Zero su una serie del fondo Moro va accertato se quella serie sia mai uscita per sequestro.</w:t>
      </w:r>
    </w:p>
    <w:p>
      <w:pPr>
        <w:spacing w:after="120" w:line="276"/>
        <w:jc w:val="both"/>
      </w:pPr>
      <w:r>
        <w:rPr>
          <w:rFonts w:ascii="Barlow Semi Condensed" w:cs="Barlow Semi Condensed" w:eastAsia="Barlow Semi Condensed" w:hAnsi="Barlow Semi Condensed"/>
          <w:b/>
          <w:bCs/>
          <w:sz w:val="24"/>
          <w:szCs w:val="24"/>
        </w:rPr>
        <w:t xml:space="preserve">3606 · Tremilacinquecento buste allo Sturzo.</w:t>
      </w:r>
      <w:r>
        <w:rPr>
          <w:rFonts w:ascii="Barlow Semi Condensed" w:cs="Barlow Semi Condensed" w:eastAsia="Barlow Semi Condensed" w:hAnsi="Barlow Semi Condensed"/>
          <w:sz w:val="24"/>
          <w:szCs w:val="24"/>
        </w:rPr>
        <w:t xml:space="preserve"> L'Archivio Giulio Andreotti, donato all'Istituto Luigi Sturzo nel luglio 2007 — circa tremilacinquecento buste per seicento metri lineari (blocco 236) — è, di tutto questo territorio, la sede con la più alta probabilità a priori di contenere carta di piano 1: il titolare fu presidente del Consiglio nei cinquantacinque giorni e interlocutore documentato della diplomazia americana per un ventennio. Alta probabilità non è accertamento: è priorità di spoglio.</w:t>
      </w:r>
    </w:p>
    <w:p>
      <w:pPr>
        <w:spacing w:after="120" w:line="276"/>
        <w:jc w:val="both"/>
      </w:pPr>
      <w:r>
        <w:rPr>
          <w:rFonts w:ascii="Barlow Semi Condensed" w:cs="Barlow Semi Condensed" w:eastAsia="Barlow Semi Condensed" w:hAnsi="Barlow Semi Condensed"/>
          <w:b/>
          <w:bCs/>
          <w:sz w:val="24"/>
          <w:szCs w:val="24"/>
        </w:rPr>
        <w:t xml:space="preserve">3607 · Non esiste una serie che aiuti.</w:t>
      </w:r>
      <w:r>
        <w:rPr>
          <w:rFonts w:ascii="Barlow Semi Condensed" w:cs="Barlow Semi Condensed" w:eastAsia="Barlow Semi Condensed" w:hAnsi="Barlow Semi Condensed"/>
          <w:sz w:val="24"/>
          <w:szCs w:val="24"/>
        </w:rPr>
        <w:t xml:space="preserve"> Vale come avvertimento operativo la precisazione d'inventario del blocco 237: nel fondo Andreotti non esiste una serie «Moro» né una serie «1978»; la materia sta dispersa nelle «pratiche» e nelle serie tematiche, fra cui quella dei Governi per l'esecutivo in carica durante il sequestro. Chi cercasse una cartella intestata a un nome straniero non troverebbe nulla e ne trarrebbe una conclusione falsa.</w:t>
      </w:r>
    </w:p>
    <w:p>
      <w:pPr>
        <w:spacing w:after="120" w:line="276"/>
        <w:jc w:val="both"/>
      </w:pPr>
      <w:r>
        <w:rPr>
          <w:rFonts w:ascii="Barlow Semi Condensed" w:cs="Barlow Semi Condensed" w:eastAsia="Barlow Semi Condensed" w:hAnsi="Barlow Semi Condensed"/>
          <w:b/>
          <w:bCs/>
          <w:sz w:val="24"/>
          <w:szCs w:val="24"/>
        </w:rPr>
        <w:t xml:space="preserve">3608 · Gli appunti coevi contro le memorie.</w:t>
      </w:r>
      <w:r>
        <w:rPr>
          <w:rFonts w:ascii="Barlow Semi Condensed" w:cs="Barlow Semi Condensed" w:eastAsia="Barlow Semi Condensed" w:hAnsi="Barlow Semi Condensed"/>
          <w:sz w:val="24"/>
          <w:szCs w:val="24"/>
        </w:rPr>
        <w:t xml:space="preserve"> Punta agli appunti personali dei cinquantacinque giorni il blocco 238, e il 239 impone la collazione con i diari e le memorie pubblicate: concordanze, scarti, silenzi. È la disciplina esatta che questa serie richiede sul punto più esposto. Ciò che un testimone prolifico scrisse dopo si misura su ciò che archiviò allora, e la differenza fra le due scritture è essa stessa un documento sulla formazione del racconto.</w:t>
      </w:r>
    </w:p>
    <w:p>
      <w:pPr>
        <w:spacing w:after="120" w:line="276"/>
        <w:jc w:val="both"/>
      </w:pPr>
      <w:r>
        <w:rPr>
          <w:rFonts w:ascii="Barlow Semi Condensed" w:cs="Barlow Semi Condensed" w:eastAsia="Barlow Semi Condensed" w:hAnsi="Barlow Semi Condensed"/>
          <w:b/>
          <w:bCs/>
          <w:sz w:val="24"/>
          <w:szCs w:val="24"/>
        </w:rPr>
        <w:t xml:space="preserve">3609 · Trecentotto buste alla Camera.</w:t>
      </w:r>
      <w:r>
        <w:rPr>
          <w:rFonts w:ascii="Barlow Semi Condensed" w:cs="Barlow Semi Condensed" w:eastAsia="Barlow Semi Condensed" w:hAnsi="Barlow Semi Condensed"/>
          <w:sz w:val="24"/>
          <w:szCs w:val="24"/>
        </w:rPr>
        <w:t xml:space="preserve"> L'archivio privato di Francesco Cossiga è all'Archivio storico della Camera dei deputati: trecentotto buste per tremilaquattrocentosettantaquattro unità, con inventario informatizzato (blocco 240). Il titolare del Viminale parlò per decenni, e il blocco 241 chiede la tavola parole-carte. Applicata qui, la tavola ha un compito preciso: datare ogni sua affermazione pubblica sui condizionamenti internazionali e verificare se una carta coeva la sostenga, oppure no.</w:t>
      </w:r>
    </w:p>
    <w:p>
      <w:pPr>
        <w:spacing w:after="120" w:line="276"/>
        <w:jc w:val="both"/>
      </w:pPr>
      <w:r>
        <w:rPr>
          <w:rFonts w:ascii="Barlow Semi Condensed" w:cs="Barlow Semi Condensed" w:eastAsia="Barlow Semi Condensed" w:hAnsi="Barlow Semi Condensed"/>
          <w:b/>
          <w:bCs/>
          <w:sz w:val="24"/>
          <w:szCs w:val="24"/>
        </w:rPr>
        <w:t xml:space="preserve">3610 · Quarantatré volumi manoscritti.</w:t>
      </w:r>
      <w:r>
        <w:rPr>
          <w:rFonts w:ascii="Barlow Semi Condensed" w:cs="Barlow Semi Condensed" w:eastAsia="Barlow Semi Condensed" w:hAnsi="Barlow Semi Condensed"/>
          <w:sz w:val="24"/>
          <w:szCs w:val="24"/>
        </w:rPr>
        <w:t xml:space="preserve"> I diari di Amintore Fanfani — quarantatré volumi all'Archivio storico del Senato, con edizione a stampa in corso e il tomo 1977-1980 nel piano dell'opera, ai blocchi 243 e 244 — sono la fonte coeva più promettente dell'intera Parte terza: un vertice istituzionale che annotava giorno per giorno. Se una traccia datata di questo nodo esiste in mano italiana, ha qui una probabilità non trascurabile di trovarsi.</w:t>
      </w:r>
    </w:p>
    <w:p>
      <w:pPr>
        <w:spacing w:after="120" w:line="276"/>
        <w:jc w:val="both"/>
      </w:pPr>
      <w:r>
        <w:rPr>
          <w:rFonts w:ascii="Barlow Semi Condensed" w:cs="Barlow Semi Condensed" w:eastAsia="Barlow Semi Condensed" w:hAnsi="Barlow Semi Condensed"/>
          <w:b/>
          <w:bCs/>
          <w:sz w:val="24"/>
          <w:szCs w:val="24"/>
        </w:rPr>
        <w:t xml:space="preserve">3611 · Il fascicolo del partito che trattava.</w:t>
      </w:r>
      <w:r>
        <w:rPr>
          <w:rFonts w:ascii="Barlow Semi Condensed" w:cs="Barlow Semi Condensed" w:eastAsia="Barlow Semi Condensed" w:hAnsi="Barlow Semi Condensed"/>
          <w:sz w:val="24"/>
          <w:szCs w:val="24"/>
        </w:rPr>
        <w:t xml:space="preserve"> La Fondazione Craxi conserva nell'inventario un fascicolo dedicato al caso Moro che documenta la posizione del PSI (blocco 247), e il blocco 248 chiede la cronologia dell'iniziativa socialista atto per atto. Domanda propria di questa serie: nei contatti esplorati dal terzo canale compaiono interlocutori stranieri, e con quale carta? La risposta, quale che sia, va scritta con la segnatura del fascicolo accanto.</w:t>
      </w:r>
    </w:p>
    <w:p>
      <w:pPr>
        <w:spacing w:after="120" w:line="276"/>
        <w:jc w:val="both"/>
      </w:pPr>
      <w:r>
        <w:rPr>
          <w:rFonts w:ascii="Barlow Semi Condensed" w:cs="Barlow Semi Condensed" w:eastAsia="Barlow Semi Condensed" w:hAnsi="Barlow Semi Condensed"/>
          <w:b/>
          <w:bCs/>
          <w:sz w:val="24"/>
          <w:szCs w:val="24"/>
        </w:rPr>
        <w:t xml:space="preserve">3612 · Il Quirinale e la visita del 1974.</w:t>
      </w:r>
      <w:r>
        <w:rPr>
          <w:rFonts w:ascii="Barlow Semi Condensed" w:cs="Barlow Semi Condensed" w:eastAsia="Barlow Semi Condensed" w:hAnsi="Barlow Semi Condensed"/>
          <w:sz w:val="24"/>
          <w:szCs w:val="24"/>
        </w:rPr>
        <w:t xml:space="preserve"> Bersaglio del blocco 249 è l'Archivio storico della Presidenza della Repubblica per il settennato Leone, con le serie dei cinquantacinque giorni. Vi si aggiunga una campagna distinta e più antica: il fascicolo di preparazione e di seguito della visita di Stato negli Stati Uniti del settembre 1974, cui il Presidente partecipò con il ministro degli Esteri. È l'altra metà italiana del verbale americano, e nessuno l'ha mai chiesta.</w:t>
      </w:r>
    </w:p>
    <w:p>
      <w:pPr>
        <w:spacing w:after="120" w:line="276"/>
        <w:jc w:val="both"/>
      </w:pPr>
      <w:r>
        <w:rPr>
          <w:rFonts w:ascii="Barlow Semi Condensed" w:cs="Barlow Semi Condensed" w:eastAsia="Barlow Semi Condensed" w:hAnsi="Barlow Semi Condensed"/>
          <w:b/>
          <w:bCs/>
          <w:sz w:val="24"/>
          <w:szCs w:val="24"/>
        </w:rPr>
        <w:t xml:space="preserve">3613 · L'attesa dichiarata sulla grazia.</w:t>
      </w:r>
      <w:r>
        <w:rPr>
          <w:rFonts w:ascii="Barlow Semi Condensed" w:cs="Barlow Semi Condensed" w:eastAsia="Barlow Semi Condensed" w:hAnsi="Barlow Semi Condensed"/>
          <w:sz w:val="24"/>
          <w:szCs w:val="24"/>
        </w:rPr>
        <w:t xml:space="preserve"> Il fascicolo sulla possibile grazia a un detenuto, bersaglio del blocco 250, riunisce atti del Quirinale e della Giustizia degli ultimi giorni. Prima di aprirlo si dichiari l'attesa, come impone il blocco 650 dell'opera-madre: da un procedimento interno di clemenza non ci si attende alcuna traccia estera. Se non se ne attendeva nessuna, un esito negativo non sposta nulla — e va detto, non taciuto.</w:t>
      </w:r>
    </w:p>
    <w:p>
      <w:pPr>
        <w:spacing w:after="120" w:line="276"/>
        <w:jc w:val="both"/>
      </w:pPr>
      <w:r>
        <w:rPr>
          <w:rFonts w:ascii="Barlow Semi Condensed" w:cs="Barlow Semi Condensed" w:eastAsia="Barlow Semi Condensed" w:hAnsi="Barlow Semi Condensed"/>
          <w:b/>
          <w:bCs/>
          <w:sz w:val="24"/>
          <w:szCs w:val="24"/>
        </w:rPr>
        <w:t xml:space="preserve">3614 · La porta ministeriale, dichiarata.</w:t>
      </w:r>
      <w:r>
        <w:rPr>
          <w:rFonts w:ascii="Barlow Semi Condensed" w:cs="Barlow Semi Condensed" w:eastAsia="Barlow Semi Condensed" w:hAnsi="Barlow Semi Condensed"/>
          <w:sz w:val="24"/>
          <w:szCs w:val="24"/>
        </w:rPr>
        <w:t xml:space="preserve"> Censisce i fondi personali dei titolari di Esteri e Difesa del 1978 il blocco 251, che dichiara il raccordo naturale col cantiere estero: le carte italiane che rispondono ai cablo alleati. È la sola porta istituzionale della Parte terza verso la dimensione transatlantica. Va percorsa nel verso giusto: dal cablo alleato all'appunto italiano, e non dall'ipotesi all'archivio, perché nel secondo verso si trova sempre qualcosa.</w:t>
      </w:r>
    </w:p>
    <w:p>
      <w:pPr>
        <w:spacing w:after="120" w:line="276"/>
        <w:jc w:val="both"/>
      </w:pPr>
      <w:r>
        <w:rPr>
          <w:rFonts w:ascii="Barlow Semi Condensed" w:cs="Barlow Semi Condensed" w:eastAsia="Barlow Semi Condensed" w:hAnsi="Barlow Semi Condensed"/>
          <w:b/>
          <w:bCs/>
          <w:sz w:val="24"/>
          <w:szCs w:val="24"/>
        </w:rPr>
        <w:t xml:space="preserve">3615 · La percezione resta percezione.</w:t>
      </w:r>
      <w:r>
        <w:rPr>
          <w:rFonts w:ascii="Barlow Semi Condensed" w:cs="Barlow Semi Condensed" w:eastAsia="Barlow Semi Condensed" w:hAnsi="Barlow Semi Condensed"/>
          <w:sz w:val="24"/>
          <w:szCs w:val="24"/>
        </w:rPr>
        <w:t xml:space="preserve"> I fondi dei dirigenti comunisti alla Fondazione Gramsci e negli istituti collegati (blocco 254) documentano la crisi vista dal partito della fermezza. Vi si troveranno con ogni probabilità valutazioni sull'ostilità americana all'ingresso dei comunisti al governo. Regola di lettura: un documento di partito che valuta una politica estera prova che quel partito così la valutava. È fonte di piano 1 sulla percezione e di piano 3 sul fatto percepito.</w:t>
      </w:r>
    </w:p>
    <w:p>
      <w:pPr>
        <w:spacing w:after="120" w:line="276"/>
        <w:jc w:val="both"/>
      </w:pPr>
      <w:r>
        <w:rPr>
          <w:rFonts w:ascii="Barlow Semi Condensed" w:cs="Barlow Semi Condensed" w:eastAsia="Barlow Semi Condensed" w:hAnsi="Barlow Semi Condensed"/>
          <w:b/>
          <w:bCs/>
          <w:sz w:val="24"/>
          <w:szCs w:val="24"/>
        </w:rPr>
        <w:t xml:space="preserve">3616 · Chi teneva la penna, e chi traduceva.</w:t>
      </w:r>
      <w:r>
        <w:rPr>
          <w:rFonts w:ascii="Barlow Semi Condensed" w:cs="Barlow Semi Condensed" w:eastAsia="Barlow Semi Condensed" w:hAnsi="Barlow Semi Condensed"/>
          <w:sz w:val="24"/>
          <w:szCs w:val="24"/>
        </w:rPr>
        <w:t xml:space="preserve"> Una regola d'oro sta al blocco 257: chi teneva la penna per i principali ha spesso conservato più carta dei principali. Se ne trae un bersaglio inedito e piccolo. L'apparato K registra che Moro non parlava inglese e che un testimone verificò l'episodio con l'interprete: il censimento degli interpreti ufficiali dei colloqui italo-americani del 1974, e delle loro eventuali carte, è un accertamento mai tentato.</w:t>
      </w:r>
    </w:p>
    <w:p>
      <w:pPr>
        <w:spacing w:after="120" w:line="276"/>
        <w:jc w:val="both"/>
      </w:pPr>
      <w:r>
        <w:rPr>
          <w:rFonts w:ascii="Barlow Semi Condensed" w:cs="Barlow Semi Condensed" w:eastAsia="Barlow Semi Condensed" w:hAnsi="Barlow Semi Condensed"/>
          <w:b/>
          <w:bCs/>
          <w:sz w:val="24"/>
          <w:szCs w:val="24"/>
        </w:rPr>
        <w:t xml:space="preserve">3617 · L'urgenza biologica dei testimoni del 1974.</w:t>
      </w:r>
      <w:r>
        <w:rPr>
          <w:rFonts w:ascii="Barlow Semi Condensed" w:cs="Barlow Semi Condensed" w:eastAsia="Barlow Semi Condensed" w:hAnsi="Barlow Semi Condensed"/>
          <w:sz w:val="24"/>
          <w:szCs w:val="24"/>
        </w:rPr>
        <w:t xml:space="preserve"> Elenca i protagonisti le cui carte non risultano in alcun istituto il blocco 259, e propone il deposito, perché ogni successione senza deposito è un rischio secco di dispersione. Vi si aggiunga la lista dei componenti superstiti della delegazione italiana del settembre 1974 — funzionari, collaboratori, interpreti — con la raccolta conservativa delle loro voci. Le carte muoiono coi custodi, e le testimonianze prima delle carte.</w:t>
      </w:r>
    </w:p>
    <w:p>
      <w:pPr>
        <w:spacing w:after="120" w:line="276"/>
        <w:jc w:val="both"/>
      </w:pPr>
      <w:r>
        <w:rPr>
          <w:rFonts w:ascii="Barlow Semi Condensed" w:cs="Barlow Semi Condensed" w:eastAsia="Barlow Semi Condensed" w:hAnsi="Barlow Semi Condensed"/>
          <w:b/>
          <w:bCs/>
          <w:sz w:val="24"/>
          <w:szCs w:val="24"/>
        </w:rPr>
        <w:t xml:space="preserve">3618 · I verbali della direzione democristiana.</w:t>
      </w:r>
      <w:r>
        <w:rPr>
          <w:rFonts w:ascii="Barlow Semi Condensed" w:cs="Barlow Semi Condensed" w:eastAsia="Barlow Semi Condensed" w:hAnsi="Barlow Semi Condensed"/>
          <w:sz w:val="24"/>
          <w:szCs w:val="24"/>
        </w:rPr>
        <w:t xml:space="preserve"> L'archivio degli organi centrali della Democrazia cristiana è dal 1994 all'Istituto Sturzo, e il blocco 262 chiede lo spoglio dei verbali della direzione nei cinquantacinque giorni. Quesito determinato: nelle riunioni verbalizzate del partito del prigioniero risultano riferimenti a posizioni o pressioni internazionali sulla linea della fermezza? Un verbale di partito è fonte diretta su ciò che vi fu detto, non su ciò che fuori accadeva.</w:t>
      </w:r>
    </w:p>
    <w:p>
      <w:pPr>
        <w:spacing w:after="120" w:line="276"/>
        <w:jc w:val="both"/>
      </w:pPr>
      <w:r>
        <w:rPr>
          <w:rFonts w:ascii="Barlow Semi Condensed" w:cs="Barlow Semi Condensed" w:eastAsia="Barlow Semi Condensed" w:hAnsi="Barlow Semi Condensed"/>
          <w:b/>
          <w:bCs/>
          <w:sz w:val="24"/>
          <w:szCs w:val="24"/>
        </w:rPr>
        <w:t xml:space="preserve">3619 · Quattromilacentottantaquattro buste alla Gramsci.</w:t>
      </w:r>
      <w:r>
        <w:rPr>
          <w:rFonts w:ascii="Barlow Semi Condensed" w:cs="Barlow Semi Condensed" w:eastAsia="Barlow Semi Condensed" w:hAnsi="Barlow Semi Condensed"/>
          <w:sz w:val="24"/>
          <w:szCs w:val="24"/>
        </w:rPr>
        <w:t xml:space="preserve"> L'intero archivio del Partito comunista italiano — quattromilacentottantaquattro buste per gli anni 1921-1991, aperto e inventariato, col limite trentennale superato per il 1978 (blocco 264) — consente lo spoglio della direzione e delle sezioni di lavoro. Bersaglio proprio: le carte della sezione esteri sui rapporti con l'amministrazione americana nel biennio 1977-1978, tenute rigorosamente distinte, nella lettura, dalla propaganda coeva del partito.</w:t>
      </w:r>
    </w:p>
    <w:p>
      <w:pPr>
        <w:spacing w:after="120" w:line="276"/>
        <w:jc w:val="both"/>
      </w:pPr>
      <w:r>
        <w:rPr>
          <w:rFonts w:ascii="Barlow Semi Condensed" w:cs="Barlow Semi Condensed" w:eastAsia="Barlow Semi Condensed" w:hAnsi="Barlow Semi Condensed"/>
          <w:b/>
          <w:bCs/>
          <w:sz w:val="24"/>
          <w:szCs w:val="24"/>
        </w:rPr>
        <w:t xml:space="preserve">3620 · L'emeroteca data la prima comparsa.</w:t>
      </w:r>
      <w:r>
        <w:rPr>
          <w:rFonts w:ascii="Barlow Semi Condensed" w:cs="Barlow Semi Condensed" w:eastAsia="Barlow Semi Condensed" w:hAnsi="Barlow Semi Condensed"/>
          <w:sz w:val="24"/>
          <w:szCs w:val="24"/>
        </w:rPr>
        <w:t xml:space="preserve"> Permette un accertamento di circolazione lo spoglio comparato degli organi di partito dei cinquantacinque giorni — l'Unità, Avanti!, il Popolo, la Voce repubblicana, al blocco 268: in quale data il nome compare per la prima volta nella stampa politica italiana in connessione col caso. L'accertamento fissato dall'opera colloca l'origine in una deposizione del novembre 1982; l'emeroteca del 1978 può confermarlo o smentirlo.</w:t>
      </w:r>
    </w:p>
    <w:p>
      <w:pPr>
        <w:spacing w:after="120" w:line="276"/>
        <w:jc w:val="both"/>
      </w:pPr>
      <w:r>
        <w:rPr>
          <w:rFonts w:ascii="Barlow Semi Condensed" w:cs="Barlow Semi Condensed" w:eastAsia="Barlow Semi Condensed" w:hAnsi="Barlow Semi Condensed"/>
          <w:b/>
          <w:bCs/>
          <w:sz w:val="24"/>
          <w:szCs w:val="24"/>
        </w:rPr>
        <w:t xml:space="preserve">3621 · Le annate di OP, numero per numero.</w:t>
      </w:r>
      <w:r>
        <w:rPr>
          <w:rFonts w:ascii="Barlow Semi Condensed" w:cs="Barlow Semi Condensed" w:eastAsia="Barlow Semi Condensed" w:hAnsi="Barlow Semi Condensed"/>
          <w:sz w:val="24"/>
          <w:szCs w:val="24"/>
        </w:rPr>
        <w:t xml:space="preserve"> Le annate 1978-1979 di OP sono consultabili nell'emeroteca della Fondazione Spirito, e il blocco 272 ne chiede lo spoglio datato con la tavola delle anticipazioni misurate contro la cronologia dei fatti. È la sede dove un'allusione internazionale, se circolò allora, dovrebbe comparire. Il metodo è dichiarato: una fonte celebre per allusioni si tratta contando le allusioni verificate, non ripetendo quelle memorabili.</w:t>
      </w:r>
    </w:p>
    <w:p>
      <w:pPr>
        <w:spacing w:after="120" w:line="276"/>
        <w:jc w:val="both"/>
      </w:pPr>
      <w:r>
        <w:rPr>
          <w:rFonts w:ascii="Barlow Semi Condensed" w:cs="Barlow Semi Condensed" w:eastAsia="Barlow Semi Condensed" w:hAnsi="Barlow Semi Condensed"/>
          <w:b/>
          <w:bCs/>
          <w:sz w:val="24"/>
          <w:szCs w:val="24"/>
        </w:rPr>
        <w:t xml:space="preserve">3622 · Racalmuto e i quindicimila.</w:t>
      </w:r>
      <w:r>
        <w:rPr>
          <w:rFonts w:ascii="Barlow Semi Condensed" w:cs="Barlow Semi Condensed" w:eastAsia="Barlow Semi Condensed" w:hAnsi="Barlow Semi Condensed"/>
          <w:sz w:val="24"/>
          <w:szCs w:val="24"/>
        </w:rPr>
        <w:t xml:space="preserve"> Le carte di Leonardo Sciascia alla Fondazione di Racalmuto, con un epistolario di circa quindicimila documenti (blocco 274), custodiscono la genesi dell'Affaire Moro e il lavoro nella Commissione Moro 1, di cui il blocco 275 chiede anche la relazione di minoranza con le carte preparatorie. Quesito: il primo lettore filologico delle lettere considerò l'ipotesi internazionale, e con quali fonti? La risposta sta in un carteggio, non in un'esegesi.</w:t>
      </w:r>
    </w:p>
    <w:p>
      <w:pPr>
        <w:spacing w:after="120" w:line="276"/>
        <w:jc w:val="both"/>
      </w:pPr>
      <w:r>
        <w:rPr>
          <w:rFonts w:ascii="Barlow Semi Condensed" w:cs="Barlow Semi Condensed" w:eastAsia="Barlow Semi Condensed" w:hAnsi="Barlow Semi Condensed"/>
          <w:b/>
          <w:bCs/>
          <w:sz w:val="24"/>
          <w:szCs w:val="24"/>
        </w:rPr>
        <w:t xml:space="preserve">3623 · I corrispondenti americani a Roma.</w:t>
      </w:r>
      <w:r>
        <w:rPr>
          <w:rFonts w:ascii="Barlow Semi Condensed" w:cs="Barlow Semi Condensed" w:eastAsia="Barlow Semi Condensed" w:hAnsi="Barlow Semi Condensed"/>
          <w:sz w:val="24"/>
          <w:szCs w:val="24"/>
        </w:rPr>
        <w:t xml:space="preserve"> Nomina esplicitamente i corrispondenti americani fra gli osservatori stranieri del 1978 il blocco 277, di cui censire i fondi presso università e fondazioni di giornalismo. È l'unica occorrenza della parola in duecentodieci blocchi, e va sfruttata: i taccuini di chi copriva Roma per la stampa statunitense sono la fonte privata più prossima al versante che manca, e la loro sede di deposito è oggi ignota al corpus.</w:t>
      </w:r>
    </w:p>
    <w:p>
      <w:pPr>
        <w:spacing w:after="120" w:line="276"/>
        <w:jc w:val="both"/>
      </w:pPr>
      <w:r>
        <w:rPr>
          <w:rFonts w:ascii="Barlow Semi Condensed" w:cs="Barlow Semi Condensed" w:eastAsia="Barlow Semi Condensed" w:hAnsi="Barlow Semi Condensed"/>
          <w:b/>
          <w:bCs/>
          <w:sz w:val="24"/>
          <w:szCs w:val="24"/>
        </w:rPr>
        <w:t xml:space="preserve">3624 · L'archivio dell'agenzia e il lancio del 2023.</w:t>
      </w:r>
      <w:r>
        <w:rPr>
          <w:rFonts w:ascii="Barlow Semi Condensed" w:cs="Barlow Semi Condensed" w:eastAsia="Barlow Semi Condensed" w:hAnsi="Barlow Semi Condensed"/>
          <w:sz w:val="24"/>
          <w:szCs w:val="24"/>
        </w:rPr>
        <w:t xml:space="preserve"> Indica gli archivi delle agenzie italiane, coi lanci originali e i loro orari, il blocco 278, come spina dorsale oraria della cronaca. La stessa sede chiude un accertamento capitale di quest'opera: la moltiplicazione delle fonti sull'episodio è apparente e risale a un unico lancio del 30 novembre 2023. Quell'archivio conserva il testo con la sua ora: acquisirlo verbatim è l'atto che rende la replicazione misurabile.</w:t>
      </w:r>
    </w:p>
    <w:p>
      <w:pPr>
        <w:spacing w:after="120" w:line="276"/>
        <w:jc w:val="both"/>
      </w:pPr>
      <w:r>
        <w:rPr>
          <w:rFonts w:ascii="Barlow Semi Condensed" w:cs="Barlow Semi Condensed" w:eastAsia="Barlow Semi Condensed" w:hAnsi="Barlow Semi Condensed"/>
          <w:b/>
          <w:bCs/>
          <w:sz w:val="24"/>
          <w:szCs w:val="24"/>
        </w:rPr>
        <w:t xml:space="preserve">3625 · Conservare il web prima che sparisca.</w:t>
      </w:r>
      <w:r>
        <w:rPr>
          <w:rFonts w:ascii="Barlow Semi Condensed" w:cs="Barlow Semi Condensed" w:eastAsia="Barlow Semi Condensed" w:hAnsi="Barlow Semi Condensed"/>
          <w:sz w:val="24"/>
          <w:szCs w:val="24"/>
        </w:rPr>
        <w:t xml:space="preserve"> Prescrive l'archiviazione dei siti e dei progetti online dedicati al caso il blocco 292, perché la pubblicistica digitale è fragile quanto un solaio. Applicazione immediata: la cattura datata delle pagine che nel dicembre 2023 replicarono il lancio d'agenzia, con l'ora di pubblicazione di ciascuna. Solo un corpus catturato consente di dimostrare che decine di occorrenze sono una sola fonte ripetuta, e non una convergenza di testimoni.</w:t>
      </w:r>
    </w:p>
    <w:p>
      <w:pPr>
        <w:spacing w:after="120" w:line="276"/>
        <w:jc w:val="both"/>
      </w:pPr>
      <w:r>
        <w:rPr>
          <w:rFonts w:ascii="Barlow Semi Condensed" w:cs="Barlow Semi Condensed" w:eastAsia="Barlow Semi Condensed" w:hAnsi="Barlow Semi Condensed"/>
          <w:b/>
          <w:bCs/>
          <w:sz w:val="24"/>
          <w:szCs w:val="24"/>
        </w:rPr>
        <w:t xml:space="preserve">3626 · Dove nasce il terziario.</w:t>
      </w:r>
      <w:r>
        <w:rPr>
          <w:rFonts w:ascii="Barlow Semi Condensed" w:cs="Barlow Semi Condensed" w:eastAsia="Barlow Semi Condensed" w:hAnsi="Barlow Semi Condensed"/>
          <w:sz w:val="24"/>
          <w:szCs w:val="24"/>
        </w:rPr>
        <w:t xml:space="preserve"> L'editoria estera sul caso e le sue fonti, bersaglio del blocco 294, è il luogo naturale di produzione delle affermazioni di piano 3: opere che circolano in italiano per traduzione e vi arrivano prive dell'apparato che avevano — o non avevano — nell'originale. La regola operativa va scritta nel censimento: si schedano l'edizione originale, l'anno, l'apparato di note e la loro sopravvivenza in traduzione.</w:t>
      </w:r>
    </w:p>
    <w:p>
      <w:pPr>
        <w:spacing w:after="120" w:line="276"/>
        <w:jc w:val="both"/>
      </w:pPr>
      <w:r>
        <w:rPr>
          <w:rFonts w:ascii="Barlow Semi Condensed" w:cs="Barlow Semi Condensed" w:eastAsia="Barlow Semi Condensed" w:hAnsi="Barlow Semi Condensed"/>
          <w:b/>
          <w:bCs/>
          <w:sz w:val="24"/>
          <w:szCs w:val="24"/>
        </w:rPr>
        <w:t xml:space="preserve">3627 · Griglia unica, verbale di fondo.</w:t>
      </w:r>
      <w:r>
        <w:rPr>
          <w:rFonts w:ascii="Barlow Semi Condensed" w:cs="Barlow Semi Condensed" w:eastAsia="Barlow Semi Condensed" w:hAnsi="Barlow Semi Condensed"/>
          <w:sz w:val="24"/>
          <w:szCs w:val="24"/>
        </w:rPr>
        <w:t xml:space="preserve"> Ogni fondo si spoglia con la stessa griglia dei quindici quesiti costitutivi (blocco 302) e produce il verbale del blocco 303: serie viste, carte rilevanti con segnatura, vuoti, giornate impiegate. Questa serie vi aggiunge un obbligo minimo: il verbale registri le stringhe onomastiche interrogate e le varianti escluse, comprese quelle prodotte dal riconoscimento ottico. Un esito negativo senza le stringhe non è ripetibile, e ciò che non è ripetibile non è un esito.</w:t>
      </w:r>
    </w:p>
    <w:p>
      <w:pPr>
        <w:spacing w:after="120" w:line="276"/>
        <w:jc w:val="both"/>
      </w:pPr>
      <w:r>
        <w:rPr>
          <w:rFonts w:ascii="Barlow Semi Condensed" w:cs="Barlow Semi Condensed" w:eastAsia="Barlow Semi Condensed" w:hAnsi="Barlow Semi Condensed"/>
          <w:b/>
          <w:bCs/>
          <w:sz w:val="24"/>
          <w:szCs w:val="24"/>
        </w:rPr>
        <w:t xml:space="preserve">3628 · La dogana dei falsi.</w:t>
      </w:r>
      <w:r>
        <w:rPr>
          <w:rFonts w:ascii="Barlow Semi Condensed" w:cs="Barlow Semi Condensed" w:eastAsia="Barlow Semi Condensed" w:hAnsi="Barlow Semi Condensed"/>
          <w:sz w:val="24"/>
          <w:szCs w:val="24"/>
        </w:rPr>
        <w:t xml:space="preserve"> Vigila sui documenti apocrifi circolati nei decenni il blocco 308, che ne istituisce il registro e impone la perizia prima della cittadinanza documentale. La vigilanza serve qui più che altrove: un nodo di massima notorietà è il bersaglio preferito della falsificazione, e una carta che lo nominasse avrebbe circolazione immediata e verifica tardiva. Nessun documento entra nel corpus perché è clamoroso; entra se regge l'autenticazione.</w:t>
      </w:r>
    </w:p>
    <w:p>
      <w:pPr>
        <w:spacing w:after="120" w:line="276"/>
        <w:jc w:val="both"/>
      </w:pPr>
      <w:r>
        <w:rPr>
          <w:rFonts w:ascii="Barlow Semi Condensed" w:cs="Barlow Semi Condensed" w:eastAsia="Barlow Semi Condensed" w:hAnsi="Barlow Semi Condensed"/>
          <w:b/>
          <w:bCs/>
          <w:sz w:val="24"/>
          <w:szCs w:val="24"/>
        </w:rPr>
        <w:t xml:space="preserve">3629 · Segnatura o niente.</w:t>
      </w:r>
      <w:r>
        <w:rPr>
          <w:rFonts w:ascii="Barlow Semi Condensed" w:cs="Barlow Semi Condensed" w:eastAsia="Barlow Semi Condensed" w:hAnsi="Barlow Semi Condensed"/>
          <w:sz w:val="24"/>
          <w:szCs w:val="24"/>
        </w:rPr>
        <w:t xml:space="preserve"> Distingue il corpus dalla pubblicistica la regola aurea del blocco 309: ogni carta citata dichiara fondo, serie e busta, anche nella divulgazione. Su questo nodo la regola va applicata senza sconti di celebrità, perché la fonte senza segnatura è un sentito dire elegante, e resta tale anche quando il nome che contiene è il più noto del secolo. Il registro delle scoperte del blocco 324 accoglie soltanto ciò che ha segnatura.</w:t>
      </w:r>
    </w:p>
    <w:p>
      <w:pPr>
        <w:spacing w:after="120" w:line="276"/>
        <w:jc w:val="both"/>
      </w:pPr>
      <w:r>
        <w:rPr>
          <w:rFonts w:ascii="Barlow Semi Condensed" w:cs="Barlow Semi Condensed" w:eastAsia="Barlow Semi Condensed" w:hAnsi="Barlow Semi Condensed"/>
          <w:b/>
          <w:bCs/>
          <w:sz w:val="24"/>
          <w:szCs w:val="24"/>
        </w:rPr>
        <w:t xml:space="preserve">3630 · La riga finale della tavola terza.</w:t>
      </w:r>
      <w:r>
        <w:rPr>
          <w:rFonts w:ascii="Barlow Semi Condensed" w:cs="Barlow Semi Condensed" w:eastAsia="Barlow Semi Condensed" w:hAnsi="Barlow Semi Condensed"/>
          <w:sz w:val="24"/>
          <w:szCs w:val="24"/>
        </w:rPr>
        <w:t xml:space="preserve"> Verbalizza i vuoti dei privati il blocco 328, e il 330 chiude la parte con gli stati di tutti i bersagli. Vi si iscriva l'esito di questa serie: su duecentodieci blocchi, zero occorrenze; cinque aperture verso l'estero, nessuna statunitense; nessun ponte di piano 1 trovato, nessuno escluso; sedi che potrebbero chiudere lo Stato Zero, nominate una per una. Un'assenza dichiarata bene vale più di una presenza suggerita.</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Serie quarantottesima — I nove cantieri: reperti e scienze forensi</w:t>
      </w:r>
    </w:p>
    <w:p>
      <w:pPr>
        <w:spacing w:after="120" w:line="276"/>
        <w:jc w:val="both"/>
      </w:pPr>
      <w:r>
        <w:rPr>
          <w:rFonts w:ascii="Barlow Semi Condensed" w:cs="Barlow Semi Condensed" w:eastAsia="Barlow Semi Condensed" w:hAnsi="Barlow Semi Condensed"/>
          <w:i/>
          <w:iCs/>
          <w:sz w:val="24"/>
          <w:szCs w:val="24"/>
        </w:rPr>
        <w:t xml:space="preserve">Blocchi 3631-3710.</w:t>
      </w:r>
    </w:p>
    <w:p>
      <w:pPr>
        <w:spacing w:after="120" w:line="276"/>
        <w:jc w:val="both"/>
      </w:pPr>
      <w:r>
        <w:rPr>
          <w:rFonts w:ascii="Barlow Semi Condensed" w:cs="Barlow Semi Condensed" w:eastAsia="Barlow Semi Condensed" w:hAnsi="Barlow Semi Condensed"/>
          <w:b/>
          <w:bCs/>
          <w:sz w:val="24"/>
          <w:szCs w:val="24"/>
        </w:rPr>
        <w:t xml:space="preserve">3631 · La stringa assente dai duecentosessanta blocchi.</w:t>
      </w:r>
      <w:r>
        <w:rPr>
          <w:rFonts w:ascii="Barlow Semi Condensed" w:cs="Barlow Semi Condensed" w:eastAsia="Barlow Semi Condensed" w:hAnsi="Barlow Semi Condensed"/>
          <w:sz w:val="24"/>
          <w:szCs w:val="24"/>
        </w:rPr>
        <w:t xml:space="preserve"> Accertamento eseguito, grado F: l'interrogazione meccanica del file nove-cantieri-mille-blocchi.md non restituisce alcuna occorrenza della stringa «Kissinger», né nel documento intero né nelle Parti quarta e settima qui assegnate. Identico esito danno l'agenda di ricerca del nuovo caso Moro e il programma investigativo. Il territorio dei reperti e delle scienze forensi tace su questo nome per intero: è il pavimento della serie, e va scritto prima di ogni bersaglio.</w:t>
      </w:r>
    </w:p>
    <w:p>
      <w:pPr>
        <w:spacing w:after="120" w:line="276"/>
        <w:jc w:val="both"/>
      </w:pPr>
      <w:r>
        <w:rPr>
          <w:rFonts w:ascii="Barlow Semi Condensed" w:cs="Barlow Semi Condensed" w:eastAsia="Barlow Semi Condensed" w:hAnsi="Barlow Semi Condensed"/>
          <w:b/>
          <w:bCs/>
          <w:sz w:val="24"/>
          <w:szCs w:val="24"/>
        </w:rPr>
        <w:t xml:space="preserve">3632 · Il perimetro esatto dello Stato Zero.</w:t>
      </w:r>
      <w:r>
        <w:rPr>
          <w:rFonts w:ascii="Barlow Semi Condensed" w:cs="Barlow Semi Condensed" w:eastAsia="Barlow Semi Condensed" w:hAnsi="Barlow Semi Condensed"/>
          <w:sz w:val="24"/>
          <w:szCs w:val="24"/>
        </w:rPr>
        <w:t xml:space="preserve"> Lo Stato Zero si scrive col suo perimetro: duecentosessanta blocchi, dal 331 al 460 e dal 661 al 790, cinque sezioni sui reperti e cinque sulle scienze forensi, nessuna riga che nomini un'autorità statunitense. La sede che lo chiuderebbe non è in questo file: sarebbero gli atti dei cinque processi digitalizzati sotto il coordinamento dell'Archivio di Stato di Roma, dove il nome compare — ma come testimonianza, non come reperto.</w:t>
      </w:r>
    </w:p>
    <w:p>
      <w:pPr>
        <w:spacing w:after="120" w:line="276"/>
        <w:jc w:val="both"/>
      </w:pPr>
      <w:r>
        <w:rPr>
          <w:rFonts w:ascii="Barlow Semi Condensed" w:cs="Barlow Semi Condensed" w:eastAsia="Barlow Semi Condensed" w:hAnsi="Barlow Semi Condensed"/>
          <w:b/>
          <w:bCs/>
          <w:sz w:val="24"/>
          <w:szCs w:val="24"/>
        </w:rPr>
        <w:t xml:space="preserve">3633 · La cronologia che chiude il varco.</w:t>
      </w:r>
      <w:r>
        <w:rPr>
          <w:rFonts w:ascii="Barlow Semi Condensed" w:cs="Barlow Semi Condensed" w:eastAsia="Barlow Semi Condensed" w:hAnsi="Barlow Semi Condensed"/>
          <w:sz w:val="24"/>
          <w:szCs w:val="24"/>
        </w:rPr>
        <w:t xml:space="preserve"> Gli incarichi cessarono il 20 gennaio 1977; i reperti censiti nella Parte quarta nascono fra il 16 marzo e il 9 maggio 1978. Nessun bossolo di via Fani, nessun mozzicone, nessun comunicato ciclostilato cade dentro il periodo in cui quel nome esercitò una funzione pubblica statunitense. L'accertamento è di grado F e vale come vincolo preliminare: precede ogni discussione del territorio e ne rende superflue molte.</w:t>
      </w:r>
    </w:p>
    <w:p>
      <w:pPr>
        <w:spacing w:after="120" w:line="276"/>
        <w:jc w:val="both"/>
      </w:pPr>
      <w:r>
        <w:rPr>
          <w:rFonts w:ascii="Barlow Semi Condensed" w:cs="Barlow Semi Condensed" w:eastAsia="Barlow Semi Condensed" w:hAnsi="Barlow Semi Condensed"/>
          <w:b/>
          <w:bCs/>
          <w:sz w:val="24"/>
          <w:szCs w:val="24"/>
        </w:rPr>
        <w:t xml:space="preserve">3634 · L'unico segmento che si sovrappone.</w:t>
      </w:r>
      <w:r>
        <w:rPr>
          <w:rFonts w:ascii="Barlow Semi Condensed" w:cs="Barlow Semi Condensed" w:eastAsia="Barlow Semi Condensed" w:hAnsi="Barlow Semi Condensed"/>
          <w:sz w:val="24"/>
          <w:szCs w:val="24"/>
        </w:rPr>
        <w:t xml:space="preserve"> Un solo tratto del territorio tocca cronologicamente gli anni della carica: la stratigrafia di via Gradoli, che il blocco 428 data all'uso 1975-1978, e le anagrafi dei veicoli e delle armi anteriori al 1977. La sovrapposizione è reale e va detta. Non è un nesso: la contemporaneità non prova nulla, e il blocco 428 chiede perizie edilizie, impianti e consumi, non nomi.</w:t>
      </w:r>
    </w:p>
    <w:p>
      <w:pPr>
        <w:spacing w:after="120" w:line="276"/>
        <w:jc w:val="both"/>
      </w:pPr>
      <w:r>
        <w:rPr>
          <w:rFonts w:ascii="Barlow Semi Condensed" w:cs="Barlow Semi Condensed" w:eastAsia="Barlow Semi Condensed" w:hAnsi="Barlow Semi Condensed"/>
          <w:b/>
          <w:bCs/>
          <w:sz w:val="24"/>
          <w:szCs w:val="24"/>
        </w:rPr>
        <w:t xml:space="preserve">3635 · Il piano 1 esiste, ma altrove.</w:t>
      </w:r>
      <w:r>
        <w:rPr>
          <w:rFonts w:ascii="Barlow Semi Condensed" w:cs="Barlow Semi Condensed" w:eastAsia="Barlow Semi Condensed" w:hAnsi="Barlow Semi Condensed"/>
          <w:sz w:val="24"/>
          <w:szCs w:val="24"/>
        </w:rPr>
        <w:t xml:space="preserve"> Esiste un documento che nomina la controparte, ed è il memorandum dello Studio Ovale del 25 settembre 1974 — FRUS 1969-1976 E-15 parte 2, documento 350, seconda edizione riveduta; Ford Library, file 1552802. È rapporto diretto documentato, dunque piano 1, ma su un incontro istituzionale del 1974: non è un reperto del caso e non entra nel cantiere della Parte quarta.</w:t>
      </w:r>
    </w:p>
    <w:p>
      <w:pPr>
        <w:spacing w:after="120" w:line="276"/>
        <w:jc w:val="both"/>
      </w:pPr>
      <w:r>
        <w:rPr>
          <w:rFonts w:ascii="Barlow Semi Condensed" w:cs="Barlow Semi Condensed" w:eastAsia="Barlow Semi Condensed" w:hAnsi="Barlow Semi Condensed"/>
          <w:b/>
          <w:bCs/>
          <w:sz w:val="24"/>
          <w:szCs w:val="24"/>
        </w:rPr>
        <w:t xml:space="preserve">3636 · Perché gli oggetti non nominano mandanti.</w:t>
      </w:r>
      <w:r>
        <w:rPr>
          <w:rFonts w:ascii="Barlow Semi Condensed" w:cs="Barlow Semi Condensed" w:eastAsia="Barlow Semi Condensed" w:hAnsi="Barlow Semi Condensed"/>
          <w:sz w:val="24"/>
          <w:szCs w:val="24"/>
        </w:rPr>
        <w:t xml:space="preserve"> Gli oggetti che non ritrattano, come li chiama lo statuto della Parte quarta, sono anche gli oggetti che non parlano di mandanti. Un bossolo identifica un'arma, un profilo identifica una fonte biologica, una sabbia delimita un litorale. Nessuno dei tre produce una catena di comando. È il limite strutturale del territorio, e spiega da solo perché questa serie darà prevalentemente Stati Zero.</w:t>
      </w:r>
    </w:p>
    <w:p>
      <w:pPr>
        <w:spacing w:after="120" w:line="276"/>
        <w:jc w:val="both"/>
      </w:pPr>
      <w:r>
        <w:rPr>
          <w:rFonts w:ascii="Barlow Semi Condensed" w:cs="Barlow Semi Condensed" w:eastAsia="Barlow Semi Condensed" w:hAnsi="Barlow Semi Condensed"/>
          <w:b/>
          <w:bCs/>
          <w:sz w:val="24"/>
          <w:szCs w:val="24"/>
        </w:rPr>
        <w:t xml:space="preserve">3637 · Il blocco 431 applicato a un memorandum.</w:t>
      </w:r>
      <w:r>
        <w:rPr>
          <w:rFonts w:ascii="Barlow Semi Condensed" w:cs="Barlow Semi Condensed" w:eastAsia="Barlow Semi Condensed" w:hAnsi="Barlow Semi Condensed"/>
          <w:sz w:val="24"/>
          <w:szCs w:val="24"/>
        </w:rPr>
        <w:t xml:space="preserve"> Il blocco 431 stabilisce che i documenti sequestrati sono reperti materiali prima che testi: supporti, inchiostri, piegature, impronte. La regola si presta, come regola di lettura e non come ponte, al verbale del 1974: dattiloscritto d'ufficio, redatto da un estensore, conservato in una serie archivistica. Chiedere a quel foglio ciò che la Parte quarta chiede ai comunicati è metodo, non analogia illecita.</w:t>
      </w:r>
    </w:p>
    <w:p>
      <w:pPr>
        <w:spacing w:after="120" w:line="276"/>
        <w:jc w:val="both"/>
      </w:pPr>
      <w:r>
        <w:rPr>
          <w:rFonts w:ascii="Barlow Semi Condensed" w:cs="Barlow Semi Condensed" w:eastAsia="Barlow Semi Condensed" w:hAnsi="Barlow Semi Condensed"/>
          <w:b/>
          <w:bCs/>
          <w:sz w:val="24"/>
          <w:szCs w:val="24"/>
        </w:rPr>
        <w:t xml:space="preserve">3638 · L'edizione non è l'originale.</w:t>
      </w:r>
      <w:r>
        <w:rPr>
          <w:rFonts w:ascii="Barlow Semi Condensed" w:cs="Barlow Semi Condensed" w:eastAsia="Barlow Semi Condensed" w:hAnsi="Barlow Semi Condensed"/>
          <w:sz w:val="24"/>
          <w:szCs w:val="24"/>
        </w:rPr>
        <w:t xml:space="preserve"> Nove comunicati autentici circolarono in copie ciclostilate multiple, senza un originale unico per ciascuna emissione: lo accerta il blocco 432. La stessa distinzione governa il verbale del 1974: la pagina stampata in FRUS è edizione, non originale. L'originale è il dattiloscritto conservato ad Ann Arbor come file 1552802. Il bersaglio è la collazione fra i due, mai eseguita in Italia da nessuno.</w:t>
      </w:r>
    </w:p>
    <w:p>
      <w:pPr>
        <w:spacing w:after="120" w:line="276"/>
        <w:jc w:val="both"/>
      </w:pPr>
      <w:r>
        <w:rPr>
          <w:rFonts w:ascii="Barlow Semi Condensed" w:cs="Barlow Semi Condensed" w:eastAsia="Barlow Semi Condensed" w:hAnsi="Barlow Semi Condensed"/>
          <w:b/>
          <w:bCs/>
          <w:sz w:val="24"/>
          <w:szCs w:val="24"/>
        </w:rPr>
        <w:t xml:space="preserve">3639 · La seconda edizione riveduta, da collazionare.</w:t>
      </w:r>
      <w:r>
        <w:rPr>
          <w:rFonts w:ascii="Barlow Semi Condensed" w:cs="Barlow Semi Condensed" w:eastAsia="Barlow Semi Condensed" w:hAnsi="Barlow Semi Condensed"/>
          <w:sz w:val="24"/>
          <w:szCs w:val="24"/>
        </w:rPr>
        <w:t xml:space="preserve"> La citazione corretta del documento 350 include la seconda edizione riveduta del volume: significa che una prima edizione esiste e differisce. Quesito da portare all'Office of the Historian del Dipartimento di Stato: che cosa fu emendato, su quale base, con quale nota editoriale. Una revisione editoriale è un atto di trasmissione documentabile, e la Parte quarta insegna a trattarla come si tratta una copia difforme.</w:t>
      </w:r>
    </w:p>
    <w:p>
      <w:pPr>
        <w:spacing w:after="120" w:line="276"/>
        <w:jc w:val="both"/>
      </w:pPr>
      <w:r>
        <w:rPr>
          <w:rFonts w:ascii="Barlow Semi Condensed" w:cs="Barlow Semi Condensed" w:eastAsia="Barlow Semi Condensed" w:hAnsi="Barlow Semi Condensed"/>
          <w:b/>
          <w:bCs/>
          <w:sz w:val="24"/>
          <w:szCs w:val="24"/>
        </w:rPr>
        <w:t xml:space="preserve">3640 · Il verbale del giorno dopo (serie XLVIII).</w:t>
      </w:r>
      <w:r>
        <w:rPr>
          <w:rFonts w:ascii="Barlow Semi Condensed" w:cs="Barlow Semi Condensed" w:eastAsia="Barlow Semi Condensed" w:hAnsi="Barlow Semi Condensed"/>
          <w:sz w:val="24"/>
          <w:szCs w:val="24"/>
        </w:rPr>
        <w:t xml:space="preserve"> Del colloquio del 26 settembre 1974 esiste un secondo verbale, file 1552806 della Ford Library, e gli estratti finora reperiti sono parziali e non del tutto concordi. Divergenza registrata, non sciolta. Il bersaglio è la lettura integrale in sala ad Ann Arbor, con trascrizione a fronte degli estratti circolanti: due testimoni dello stesso colloquio si collazionano come due copie dello stesso ciclostile.</w:t>
      </w:r>
    </w:p>
    <w:p>
      <w:pPr>
        <w:spacing w:after="120" w:line="276"/>
        <w:jc w:val="both"/>
      </w:pPr>
      <w:r>
        <w:rPr>
          <w:rFonts w:ascii="Barlow Semi Condensed" w:cs="Barlow Semi Condensed" w:eastAsia="Barlow Semi Condensed" w:hAnsi="Barlow Semi Condensed"/>
          <w:b/>
          <w:bCs/>
          <w:sz w:val="24"/>
          <w:szCs w:val="24"/>
        </w:rPr>
        <w:t xml:space="preserve">3641 · I timbri di declassifica come segni.</w:t>
      </w:r>
      <w:r>
        <w:rPr>
          <w:rFonts w:ascii="Barlow Semi Condensed" w:cs="Barlow Semi Condensed" w:eastAsia="Barlow Semi Condensed" w:hAnsi="Barlow Semi Condensed"/>
          <w:sz w:val="24"/>
          <w:szCs w:val="24"/>
        </w:rPr>
        <w:t xml:space="preserve"> I timbri e le sigle di declassifica apposti sui documenti americani appartengono al genere che il blocco 445 chiama segni di autenticazione: elementi materiali che datano un passaggio amministrativo e consentono di riconoscere i falsi futuri. Censirli sui documenti del 1974 costa poco e produce l'atlante che il blocco 445 chiede per la carta italiana. Nessuna conclusione di merito discende da un timbro.</w:t>
      </w:r>
    </w:p>
    <w:p>
      <w:pPr>
        <w:spacing w:after="120" w:line="276"/>
        <w:jc w:val="both"/>
      </w:pPr>
      <w:r>
        <w:rPr>
          <w:rFonts w:ascii="Barlow Semi Condensed" w:cs="Barlow Semi Condensed" w:eastAsia="Barlow Semi Condensed" w:hAnsi="Barlow Semi Condensed"/>
          <w:b/>
          <w:bCs/>
          <w:sz w:val="24"/>
          <w:szCs w:val="24"/>
        </w:rPr>
        <w:t xml:space="preserve">3642 · Il multispettrale che non si può fare.</w:t>
      </w:r>
      <w:r>
        <w:rPr>
          <w:rFonts w:ascii="Barlow Semi Condensed" w:cs="Barlow Semi Condensed" w:eastAsia="Barlow Semi Condensed" w:hAnsi="Barlow Semi Condensed"/>
          <w:sz w:val="24"/>
          <w:szCs w:val="24"/>
        </w:rPr>
        <w:t xml:space="preserve"> Nessuna lampada multispettrale toccherà quel foglio: il blocco 444 progetta una campagna sui documenti chiave del caso, che sono corpi di reato italiani, mentre il verbale del 1974 è documento d'ufficio straniero, consultabile in sala e non riesaminabile. Stato Zero tecnico, dichiarato. Lo chiuderebbe soltanto un'istanza alla Gerald R. Ford Presidential Library per la riproduzione ad alta definizione dell'originale dattiloscritto.</w:t>
      </w:r>
    </w:p>
    <w:p>
      <w:pPr>
        <w:spacing w:after="120" w:line="276"/>
        <w:jc w:val="both"/>
      </w:pPr>
      <w:r>
        <w:rPr>
          <w:rFonts w:ascii="Barlow Semi Condensed" w:cs="Barlow Semi Condensed" w:eastAsia="Barlow Semi Condensed" w:hAnsi="Barlow Semi Condensed"/>
          <w:b/>
          <w:bCs/>
          <w:sz w:val="24"/>
          <w:szCs w:val="24"/>
        </w:rPr>
        <w:t xml:space="preserve">3643 · Perché le impronte latenti non si applicano.</w:t>
      </w:r>
      <w:r>
        <w:rPr>
          <w:rFonts w:ascii="Barlow Semi Condensed" w:cs="Barlow Semi Condensed" w:eastAsia="Barlow Semi Condensed" w:hAnsi="Barlow Semi Condensed"/>
          <w:sz w:val="24"/>
          <w:szCs w:val="24"/>
        </w:rPr>
        <w:t xml:space="preserve"> Le impronte latenti su carta d'epoca, che il blocco 439 propone per i comunicati e per il borsello Chichiarelli, presuppongono un oggetto sequestrato e una catena di custodia giudiziaria. Un memorandum d'archivio presidenziale non ha né l'una né l'altra: è stato maneggiato per cinquant'anni da funzionari e ricercatori. La tecnica esiste, il presupposto no — e dichiararlo è già un accertamento.</w:t>
      </w:r>
    </w:p>
    <w:p>
      <w:pPr>
        <w:spacing w:after="120" w:line="276"/>
        <w:jc w:val="both"/>
      </w:pPr>
      <w:r>
        <w:rPr>
          <w:rFonts w:ascii="Barlow Semi Condensed" w:cs="Barlow Semi Condensed" w:eastAsia="Barlow Semi Condensed" w:hAnsi="Barlow Semi Condensed"/>
          <w:b/>
          <w:bCs/>
          <w:sz w:val="24"/>
          <w:szCs w:val="24"/>
        </w:rPr>
        <w:t xml:space="preserve">3644 · Il falso che verrà, col nome celebre.</w:t>
      </w:r>
      <w:r>
        <w:rPr>
          <w:rFonts w:ascii="Barlow Semi Condensed" w:cs="Barlow Semi Condensed" w:eastAsia="Barlow Semi Condensed" w:hAnsi="Barlow Semi Condensed"/>
          <w:sz w:val="24"/>
          <w:szCs w:val="24"/>
        </w:rPr>
        <w:t xml:space="preserve"> Il caso attirerà falsari finché vivrà, avverte il blocco 445; il blocco 441 tiene il registro dei falsi materiali, dal comunicato n. 7 del 18 aprile al n. 10 segnalato dalle fonti. Un falso futuro che rechi un nome americano celebre è previsione ragionevole, non profezia: l'atlante dei segni veri va compilato prima, perché dopo si discute e non si perizia.</w:t>
      </w:r>
    </w:p>
    <w:p>
      <w:pPr>
        <w:spacing w:after="120" w:line="276"/>
        <w:jc w:val="both"/>
      </w:pPr>
      <w:r>
        <w:rPr>
          <w:rFonts w:ascii="Barlow Semi Condensed" w:cs="Barlow Semi Condensed" w:eastAsia="Barlow Semi Condensed" w:hAnsi="Barlow Semi Condensed"/>
          <w:b/>
          <w:bCs/>
          <w:sz w:val="24"/>
          <w:szCs w:val="24"/>
        </w:rPr>
        <w:t xml:space="preserve">3645 · Dove il nome entra davvero negli atti.</w:t>
      </w:r>
      <w:r>
        <w:rPr>
          <w:rFonts w:ascii="Barlow Semi Condensed" w:cs="Barlow Semi Condensed" w:eastAsia="Barlow Semi Condensed" w:hAnsi="Barlow Semi Condensed"/>
          <w:sz w:val="24"/>
          <w:szCs w:val="24"/>
        </w:rPr>
        <w:t xml:space="preserve"> Gli atti dei cinque processi, riordinati e digitalizzati sotto il coordinamento dell'Archivio di Stato di Roma, sono lo strumento quotidiano che il blocco 341 assegna al cantiere. È lì, e non fra i reperti, che il nome compare: nel verbale d'udienza della Corte d'assise di Roma del novembre 1982, dove il portavoce di Moro depose de relato. Bersaglio prioritario di questa serie.</w:t>
      </w:r>
    </w:p>
    <w:p>
      <w:pPr>
        <w:spacing w:after="120" w:line="276"/>
        <w:jc w:val="both"/>
      </w:pPr>
      <w:r>
        <w:rPr>
          <w:rFonts w:ascii="Barlow Semi Condensed" w:cs="Barlow Semi Condensed" w:eastAsia="Barlow Semi Condensed" w:hAnsi="Barlow Semi Condensed"/>
          <w:b/>
          <w:bCs/>
          <w:sz w:val="24"/>
          <w:szCs w:val="24"/>
        </w:rPr>
        <w:t xml:space="preserve">3646 · La data d'udienza ancora doppia.</w:t>
      </w:r>
      <w:r>
        <w:rPr>
          <w:rFonts w:ascii="Barlow Semi Condensed" w:cs="Barlow Semi Condensed" w:eastAsia="Barlow Semi Condensed" w:hAnsi="Barlow Semi Condensed"/>
          <w:sz w:val="24"/>
          <w:szCs w:val="24"/>
        </w:rPr>
        <w:t xml:space="preserve"> Il verbale d'udienza va cercato anche per chiudere una divergenza mai sciolta: la datazione più ricorrente indica il 10 novembre 1982, una fonte indica il 15. Un solo documento decide, ed è nel fondo ora digitalizzato. Finché la carta non è letta, la data resta doppia e si riporta doppia: è la regola delle divergenze, applicata al punto più citato dell'intera vicenda.</w:t>
      </w:r>
    </w:p>
    <w:p>
      <w:pPr>
        <w:spacing w:after="120" w:line="276"/>
        <w:jc w:val="both"/>
      </w:pPr>
      <w:r>
        <w:rPr>
          <w:rFonts w:ascii="Barlow Semi Condensed" w:cs="Barlow Semi Condensed" w:eastAsia="Barlow Semi Condensed" w:hAnsi="Barlow Semi Condensed"/>
          <w:b/>
          <w:bCs/>
          <w:sz w:val="24"/>
          <w:szCs w:val="24"/>
        </w:rPr>
        <w:t xml:space="preserve">3647 · Il limite dichiarato che questa sede chiude.</w:t>
      </w:r>
      <w:r>
        <w:rPr>
          <w:rFonts w:ascii="Barlow Semi Condensed" w:cs="Barlow Semi Condensed" w:eastAsia="Barlow Semi Condensed" w:hAnsi="Barlow Semi Condensed"/>
          <w:sz w:val="24"/>
          <w:szCs w:val="24"/>
        </w:rPr>
        <w:t xml:space="preserve"> L'apparato K-5 dell'opera dichiara il proprio limite: la campagna non poté leggere né i resoconti stenografici della Commissione né i verbali d'udienza, e poggiò su fonti secondarie. La digitalizzazione coordinata dall'Archivio di Stato di Roma è esattamente la sede che scioglie quel limite. Il blocco 341 non fu scritto per questo scopo, ma lo serve: è la sola convergenza utile fra territorio e nome.</w:t>
      </w:r>
    </w:p>
    <w:p>
      <w:pPr>
        <w:spacing w:after="120" w:line="276"/>
        <w:jc w:val="both"/>
      </w:pPr>
      <w:r>
        <w:rPr>
          <w:rFonts w:ascii="Barlow Semi Condensed" w:cs="Barlow Semi Condensed" w:eastAsia="Barlow Semi Condensed" w:hAnsi="Barlow Semi Condensed"/>
          <w:b/>
          <w:bCs/>
          <w:sz w:val="24"/>
          <w:szCs w:val="24"/>
        </w:rPr>
        <w:t xml:space="preserve">3648 · Il nome ottenuto, non offerto (serie XLVIII).</w:t>
      </w:r>
      <w:r>
        <w:rPr>
          <w:rFonts w:ascii="Barlow Semi Condensed" w:cs="Barlow Semi Condensed" w:eastAsia="Barlow Semi Condensed" w:hAnsi="Barlow Semi Condensed"/>
          <w:sz w:val="24"/>
          <w:szCs w:val="24"/>
        </w:rPr>
        <w:t xml:space="preserve"> In aula la vedova parlò di un'alta personalità senza nominarla; fu il presidente della corte, richiamando il portavoce, a ottenere l'indicazione. L'attribuzione è dunque indiretta due volte: de relato quanto al fatto, sollecitata quanto al nome. Il verbale stenografico è l'unico luogo dove questa doppia mediazione si misura riga per riga, e finora nessuna ripresa pubblica l'ha fatto.</w:t>
      </w:r>
    </w:p>
    <w:p>
      <w:pPr>
        <w:spacing w:after="120" w:line="276"/>
        <w:jc w:val="both"/>
      </w:pPr>
      <w:r>
        <w:rPr>
          <w:rFonts w:ascii="Barlow Semi Condensed" w:cs="Barlow Semi Condensed" w:eastAsia="Barlow Semi Condensed" w:hAnsi="Barlow Semi Condensed"/>
          <w:b/>
          <w:bCs/>
          <w:sz w:val="24"/>
          <w:szCs w:val="24"/>
        </w:rPr>
        <w:t xml:space="preserve">3649 · Sede confermata, contenuto da riscontrare.</w:t>
      </w:r>
      <w:r>
        <w:rPr>
          <w:rFonts w:ascii="Barlow Semi Condensed" w:cs="Barlow Semi Condensed" w:eastAsia="Barlow Semi Condensed" w:hAnsi="Barlow Semi Condensed"/>
          <w:sz w:val="24"/>
          <w:szCs w:val="24"/>
        </w:rPr>
        <w:t xml:space="preserve"> L'audizione della vedova davanti alla Commissione d'inchiesta è confermata al 1° agosto 1980, atti Doc. XXIII, VIII legislatura; il contenuto verbatim della frase in quella sede resta invece da riscontrare, perché le sintesi la attribuiscono alla deposizione giudiziaria del 1982. Sede confermata, contenuto no: due piani distinti, e l'archivio storico della Camera dei deputati è la sede che li separa.</w:t>
      </w:r>
    </w:p>
    <w:p>
      <w:pPr>
        <w:spacing w:after="120" w:line="276"/>
        <w:jc w:val="both"/>
      </w:pPr>
      <w:r>
        <w:rPr>
          <w:rFonts w:ascii="Barlow Semi Condensed" w:cs="Barlow Semi Condensed" w:eastAsia="Barlow Semi Condensed" w:hAnsi="Barlow Semi Condensed"/>
          <w:b/>
          <w:bCs/>
          <w:sz w:val="24"/>
          <w:szCs w:val="24"/>
        </w:rPr>
        <w:t xml:space="preserve">3650 · Una deposizione non è un reperto.</w:t>
      </w:r>
      <w:r>
        <w:rPr>
          <w:rFonts w:ascii="Barlow Semi Condensed" w:cs="Barlow Semi Condensed" w:eastAsia="Barlow Semi Condensed" w:hAnsi="Barlow Semi Condensed"/>
          <w:sz w:val="24"/>
          <w:szCs w:val="24"/>
        </w:rPr>
        <w:t xml:space="preserve"> Va fissato per evitare la confusione che il territorio renderebbe facile: una testimonianza contenuta negli atti processuali digitalizzati è documento, non corpo di reato. Non ha catena di custodia materiale, non si sottopone a perizia balistica o genetica, non entra nell'inventario del blocco 342. Si valuta con la disciplina delle fonti orali, e resta ciò che è: testimonianza contestata.</w:t>
      </w:r>
    </w:p>
    <w:p>
      <w:pPr>
        <w:spacing w:after="120" w:line="276"/>
        <w:jc w:val="both"/>
      </w:pPr>
      <w:r>
        <w:rPr>
          <w:rFonts w:ascii="Barlow Semi Condensed" w:cs="Barlow Semi Condensed" w:eastAsia="Barlow Semi Condensed" w:hAnsi="Barlow Semi Condensed"/>
          <w:b/>
          <w:bCs/>
          <w:sz w:val="24"/>
          <w:szCs w:val="24"/>
        </w:rPr>
        <w:t xml:space="preserve">3651 · La biografia d'archivio della 128.</w:t>
      </w:r>
      <w:r>
        <w:rPr>
          <w:rFonts w:ascii="Barlow Semi Condensed" w:cs="Barlow Semi Condensed" w:eastAsia="Barlow Semi Condensed" w:hAnsi="Barlow Semi Condensed"/>
          <w:sz w:val="24"/>
          <w:szCs w:val="24"/>
        </w:rPr>
        <w:t xml:space="preserve"> La 128 con targa diplomatica usata come auto di sbarramento è, per il blocco 415, il veicolo più raccontato dell'agguato e quello con la biografia documentale meno scritta: provenienza, targhe, movimenti, tutto da ricostruire sugli atti. È anche l'unico oggetto della Parte quarta la cui descrizione sfiora la sfera diplomatica. Ragione in più per trattarlo con anagrafe e verbali, non con inferenze.</w:t>
      </w:r>
    </w:p>
    <w:p>
      <w:pPr>
        <w:spacing w:after="120" w:line="276"/>
        <w:jc w:val="both"/>
      </w:pPr>
      <w:r>
        <w:rPr>
          <w:rFonts w:ascii="Barlow Semi Condensed" w:cs="Barlow Semi Condensed" w:eastAsia="Barlow Semi Condensed" w:hAnsi="Barlow Semi Condensed"/>
          <w:b/>
          <w:bCs/>
          <w:sz w:val="24"/>
          <w:szCs w:val="24"/>
        </w:rPr>
        <w:t xml:space="preserve">3652 · Dove si accerta una targa CD.</w:t>
      </w:r>
      <w:r>
        <w:rPr>
          <w:rFonts w:ascii="Barlow Semi Condensed" w:cs="Barlow Semi Condensed" w:eastAsia="Barlow Semi Condensed" w:hAnsi="Barlow Semi Condensed"/>
          <w:sz w:val="24"/>
          <w:szCs w:val="24"/>
        </w:rPr>
        <w:t xml:space="preserve"> Una targa diplomatica è un fatto amministrativo con sedi certe: il registro tenuto dal Cerimoniale diplomatico della Repubblica alla Farnesina, gli archivi della motorizzazione e i verbali di sequestro del 16 marzo 1978 ora digitalizzati. Il quesito è enumerativo: quale targa, assegnata a quale missione, quando, e se risulti denunciata rubata. Tre sedi, una risposta oppure uno Stato Zero verbalizzato.</w:t>
      </w:r>
    </w:p>
    <w:p>
      <w:pPr>
        <w:spacing w:after="120" w:line="276"/>
        <w:jc w:val="both"/>
      </w:pPr>
      <w:r>
        <w:rPr>
          <w:rFonts w:ascii="Barlow Semi Condensed" w:cs="Barlow Semi Condensed" w:eastAsia="Barlow Semi Condensed" w:hAnsi="Barlow Semi Condensed"/>
          <w:b/>
          <w:bCs/>
          <w:sz w:val="24"/>
          <w:szCs w:val="24"/>
        </w:rPr>
        <w:t xml:space="preserve">3653 · Dall'aggettivo non discende un nome.</w:t>
      </w:r>
      <w:r>
        <w:rPr>
          <w:rFonts w:ascii="Barlow Semi Condensed" w:cs="Barlow Semi Condensed" w:eastAsia="Barlow Semi Condensed" w:hAnsi="Barlow Semi Condensed"/>
          <w:sz w:val="24"/>
          <w:szCs w:val="24"/>
        </w:rPr>
        <w:t xml:space="preserve"> Dall'aggettivo diplomatico non discende alcuna nazionalità e nessun nome: una targa può essere autentica, contraffatta o rubata, e ciascuna delle tre ipotesi porta altrove. Promuovere l'aggettivo a indizio di un'autorità straniera nominata è il passaggio dal piano 3 al nesso causale, che quest'opera si vieta. Il blocco 415 chiede una biografia d'archivio proprio per impedire quel salto.</w:t>
      </w:r>
    </w:p>
    <w:p>
      <w:pPr>
        <w:spacing w:after="120" w:line="276"/>
        <w:jc w:val="both"/>
      </w:pPr>
      <w:r>
        <w:rPr>
          <w:rFonts w:ascii="Barlow Semi Condensed" w:cs="Barlow Semi Condensed" w:eastAsia="Barlow Semi Condensed" w:hAnsi="Barlow Semi Condensed"/>
          <w:b/>
          <w:bCs/>
          <w:sz w:val="24"/>
          <w:szCs w:val="24"/>
        </w:rPr>
        <w:t xml:space="preserve">3654 · Sette profili senza nazionalità.</w:t>
      </w:r>
      <w:r>
        <w:rPr>
          <w:rFonts w:ascii="Barlow Semi Condensed" w:cs="Barlow Semi Condensed" w:eastAsia="Barlow Semi Condensed" w:hAnsi="Barlow Semi Condensed"/>
          <w:sz w:val="24"/>
          <w:szCs w:val="24"/>
        </w:rPr>
        <w:t xml:space="preserve"> Sette profili ignoti dai mozziconi, secondo la stampa qualificata; la cifra, avverte il blocco 382, va fissata in atto e non in cronaca. Un profilo genetico non ha nazionalità, appartenenza politica né grado gerarchico: dice che un corpo fu lì, non chi lo mandò. Chi legge nei profili orfani una presenza straniera compie un'operazione che il laboratorio non autorizza.</w:t>
      </w:r>
    </w:p>
    <w:p>
      <w:pPr>
        <w:spacing w:after="120" w:line="276"/>
        <w:jc w:val="both"/>
      </w:pPr>
      <w:r>
        <w:rPr>
          <w:rFonts w:ascii="Barlow Semi Condensed" w:cs="Barlow Semi Condensed" w:eastAsia="Barlow Semi Condensed" w:hAnsi="Barlow Semi Condensed"/>
          <w:b/>
          <w:bCs/>
          <w:sz w:val="24"/>
          <w:szCs w:val="24"/>
        </w:rPr>
        <w:t xml:space="preserve">3655 · Nessuna comparazione contro un nome.</w:t>
      </w:r>
      <w:r>
        <w:rPr>
          <w:rFonts w:ascii="Barlow Semi Condensed" w:cs="Barlow Semi Condensed" w:eastAsia="Barlow Semi Condensed" w:hAnsi="Barlow Semi Condensed"/>
          <w:sz w:val="24"/>
          <w:szCs w:val="24"/>
        </w:rPr>
        <w:t xml:space="preserve"> Nessuna comparazione genetica può essere proposta contro una persona nominata senza una base documentale che la giustifichi: lo impone il blocco 289 dell'agenda, che espunge i nomi come esiti attesi, e lo ribadisce il blocco 396 sulle terze presenze in termini genetici. La suggestione onomastica non è base. Questa serie non formula quella richiesta e dichiara di non formularla: è un atto, non una reticenza.</w:t>
      </w:r>
    </w:p>
    <w:p>
      <w:pPr>
        <w:spacing w:after="120" w:line="276"/>
        <w:jc w:val="both"/>
      </w:pPr>
      <w:r>
        <w:rPr>
          <w:rFonts w:ascii="Barlow Semi Condensed" w:cs="Barlow Semi Condensed" w:eastAsia="Barlow Semi Condensed" w:hAnsi="Barlow Semi Condensed"/>
          <w:b/>
          <w:bCs/>
          <w:sz w:val="24"/>
          <w:szCs w:val="24"/>
        </w:rPr>
        <w:t xml:space="preserve">3656 · La regola sui defunti, scritta prima.</w:t>
      </w:r>
      <w:r>
        <w:rPr>
          <w:rFonts w:ascii="Barlow Semi Condensed" w:cs="Barlow Semi Condensed" w:eastAsia="Barlow Semi Condensed" w:hAnsi="Barlow Semi Condensed"/>
          <w:sz w:val="24"/>
          <w:szCs w:val="24"/>
        </w:rPr>
        <w:t xml:space="preserve"> Morto a Kent, nel Connecticut, il 29 novembre 2023: il dato anagrafico renderebbe la domanda sui riferimenti post mortem tecnicamente formulabile, e il blocco 682 la governerebbe con presupposti, autorità e rispetto. Ma il presupposto giuridico manca a monte, perché manca l'indagine che lo giustifichi. La regola scritta prima serve a questo: chiudere una domanda prima che diventi un esperimento.</w:t>
      </w:r>
    </w:p>
    <w:p>
      <w:pPr>
        <w:spacing w:after="120" w:line="276"/>
        <w:jc w:val="both"/>
      </w:pPr>
      <w:r>
        <w:rPr>
          <w:rFonts w:ascii="Barlow Semi Condensed" w:cs="Barlow Semi Condensed" w:eastAsia="Barlow Semi Condensed" w:hAnsi="Barlow Semi Condensed"/>
          <w:b/>
          <w:bCs/>
          <w:sz w:val="24"/>
          <w:szCs w:val="24"/>
        </w:rPr>
        <w:t xml:space="preserve">3657 · Il valore della colonna degli esclusi.</w:t>
      </w:r>
      <w:r>
        <w:rPr>
          <w:rFonts w:ascii="Barlow Semi Condensed" w:cs="Barlow Semi Condensed" w:eastAsia="Barlow Semi Condensed" w:hAnsi="Barlow Semi Condensed"/>
          <w:sz w:val="24"/>
          <w:szCs w:val="24"/>
        </w:rPr>
        <w:t xml:space="preserve"> La colonna degli esclusi che il blocco 383 chiede di ricostruire — chi risulta escluso dalle comparazioni eseguite dal 2016 — è conoscenza piena. Applicata a questo nome non produce nulla, perché nessuna comparazione lo ha mai riguardato né poteva riguardarlo. L'assenza dalla colonna non è un'esclusione: è l'assenza del quesito, e le due cose non vanno confuse nel verbale.</w:t>
      </w:r>
    </w:p>
    <w:p>
      <w:pPr>
        <w:spacing w:after="120" w:line="276"/>
        <w:jc w:val="both"/>
      </w:pPr>
      <w:r>
        <w:rPr>
          <w:rFonts w:ascii="Barlow Semi Condensed" w:cs="Barlow Semi Condensed" w:eastAsia="Barlow Semi Condensed" w:hAnsi="Barlow Semi Condensed"/>
          <w:b/>
          <w:bCs/>
          <w:sz w:val="24"/>
          <w:szCs w:val="24"/>
        </w:rPr>
        <w:t xml:space="preserve">3658 · Che cosa falsificherebbe il nesso genetico.</w:t>
      </w:r>
      <w:r>
        <w:rPr>
          <w:rFonts w:ascii="Barlow Semi Condensed" w:cs="Barlow Semi Condensed" w:eastAsia="Barlow Semi Condensed" w:hAnsi="Barlow Semi Condensed"/>
          <w:sz w:val="24"/>
          <w:szCs w:val="24"/>
        </w:rPr>
        <w:t xml:space="preserve"> Il bersaglio di smentita, scritto per esteso: falsificherebbe l'ipotesi di una presenza estranea documentabile per via genetica un atto — perizia depositata, provvedimento, relazione ufficiale — che attribuisse uno dei profili orfani a persona identificata con cittadinanza estera. Non esiste, e finché non esiste il quesito resta aperto in forma nulla. Le indiscrezioni non contano: lo vieta il blocco 395.</w:t>
      </w:r>
    </w:p>
    <w:p>
      <w:pPr>
        <w:spacing w:after="120" w:line="276"/>
        <w:jc w:val="both"/>
      </w:pPr>
      <w:r>
        <w:rPr>
          <w:rFonts w:ascii="Barlow Semi Condensed" w:cs="Barlow Semi Condensed" w:eastAsia="Barlow Semi Condensed" w:hAnsi="Barlow Semi Condensed"/>
          <w:b/>
          <w:bCs/>
          <w:sz w:val="24"/>
          <w:szCs w:val="24"/>
        </w:rPr>
        <w:t xml:space="preserve">3659 · Il FNAB-43 è arma domestica.</w:t>
      </w:r>
      <w:r>
        <w:rPr>
          <w:rFonts w:ascii="Barlow Semi Condensed" w:cs="Barlow Semi Condensed" w:eastAsia="Barlow Semi Condensed" w:hAnsi="Barlow Semi Condensed"/>
          <w:sz w:val="24"/>
          <w:szCs w:val="24"/>
        </w:rPr>
        <w:t xml:space="preserve"> L'arma prevalente di via Fani è un FNAB-43, mitra italiano di produzione bresciana del tempo di guerra, e il blocco 353 chiede il censimento degli esemplari sequestrati in Italia in cinquant'anni di procedimenti. La provenienza dell'oggetto è interna e storica. Nessun documento del corpus registra una catena di fornitura estera, e la caccia all'esemplare fisico resta il bersaglio discriminante.</w:t>
      </w:r>
    </w:p>
    <w:p>
      <w:pPr>
        <w:spacing w:after="120" w:line="276"/>
        <w:jc w:val="both"/>
      </w:pPr>
      <w:r>
        <w:rPr>
          <w:rFonts w:ascii="Barlow Semi Condensed" w:cs="Barlow Semi Condensed" w:eastAsia="Barlow Semi Condensed" w:hAnsi="Barlow Semi Condensed"/>
          <w:b/>
          <w:bCs/>
          <w:sz w:val="24"/>
          <w:szCs w:val="24"/>
        </w:rPr>
        <w:t xml:space="preserve">3660 · Il censimento delle armi mancanti.</w:t>
      </w:r>
      <w:r>
        <w:rPr>
          <w:rFonts w:ascii="Barlow Semi Condensed" w:cs="Barlow Semi Condensed" w:eastAsia="Barlow Semi Condensed" w:hAnsi="Barlow Semi Condensed"/>
          <w:sz w:val="24"/>
          <w:szCs w:val="24"/>
        </w:rPr>
        <w:t xml:space="preserve"> Il censimento negativo del blocco 366 — le armi dell'azione mai recuperate — è la tavola che ogni sequestro futuro dovrà interrogare. Vale qui come Stato Zero di provenienza: non risulta agli atti alcun documento di fornitura, importazione o cessione che leghi una di quelle armi a un apparato straniero. Lo chiuderebbe un verbale di sequestro con provenienza documentata, non una ricostruzione.</w:t>
      </w:r>
    </w:p>
    <w:p>
      <w:pPr>
        <w:spacing w:after="120" w:line="276"/>
        <w:jc w:val="both"/>
      </w:pPr>
      <w:r>
        <w:rPr>
          <w:rFonts w:ascii="Barlow Semi Condensed" w:cs="Barlow Semi Condensed" w:eastAsia="Barlow Semi Condensed" w:hAnsi="Barlow Semi Condensed"/>
          <w:b/>
          <w:bCs/>
          <w:sz w:val="24"/>
          <w:szCs w:val="24"/>
        </w:rPr>
        <w:t xml:space="preserve">3661 · L'interrogazione transfrontaliera da chiedere.</w:t>
      </w:r>
      <w:r>
        <w:rPr>
          <w:rFonts w:ascii="Barlow Semi Condensed" w:cs="Barlow Semi Condensed" w:eastAsia="Barlow Semi Condensed" w:hAnsi="Barlow Semi Condensed"/>
          <w:sz w:val="24"/>
          <w:szCs w:val="24"/>
        </w:rPr>
        <w:t xml:space="preserve"> L'interrogazione delle banche estere che il blocco 372 propone a costo basso non risulta mai formalizzata per i reperti balistici del caso. Il quesito ha destinatari precisi: il Servizio per la cooperazione internazionale di polizia e l'ufficio centrale nazionale Interpol di Roma. Domanda scritta, risposta scritta, e in entrambi i casi una carta: è il criterio con cui l'agenda misura ogni pista.</w:t>
      </w:r>
    </w:p>
    <w:p>
      <w:pPr>
        <w:spacing w:after="120" w:line="276"/>
        <w:jc w:val="both"/>
      </w:pPr>
      <w:r>
        <w:rPr>
          <w:rFonts w:ascii="Barlow Semi Condensed" w:cs="Barlow Semi Condensed" w:eastAsia="Barlow Semi Condensed" w:hAnsi="Barlow Semi Condensed"/>
          <w:b/>
          <w:bCs/>
          <w:sz w:val="24"/>
          <w:szCs w:val="24"/>
        </w:rPr>
        <w:t xml:space="preserve">3662 · Il caricatore, e il suo modello ignoto.</w:t>
      </w:r>
      <w:r>
        <w:rPr>
          <w:rFonts w:ascii="Barlow Semi Condensed" w:cs="Barlow Semi Condensed" w:eastAsia="Barlow Semi Condensed" w:hAnsi="Barlow Semi Condensed"/>
          <w:sz w:val="24"/>
          <w:szCs w:val="24"/>
        </w:rPr>
        <w:t xml:space="preserve"> Il caricatore repertato all'angolo fra via Fani e via Stresa non fu mai comparato in quarantott'anni, e il blocco 357 registra che il suo modello esatto non è univocamente specificato nelle fonti aperte. Nuovi esami sono stati disposti dal giudice, con esiti non ancora pubblici. Fino all'atto, ogni discorso su quel reperto — compreso qualunque discorso di provenienza — è privo di oggetto.</w:t>
      </w:r>
    </w:p>
    <w:p>
      <w:pPr>
        <w:spacing w:after="120" w:line="276"/>
        <w:jc w:val="both"/>
      </w:pPr>
      <w:r>
        <w:rPr>
          <w:rFonts w:ascii="Barlow Semi Condensed" w:cs="Barlow Semi Condensed" w:eastAsia="Barlow Semi Condensed" w:hAnsi="Barlow Semi Condensed"/>
          <w:b/>
          <w:bCs/>
          <w:sz w:val="24"/>
          <w:szCs w:val="24"/>
        </w:rPr>
        <w:t xml:space="preserve">3663 · La nazionalità del fornitore non basta.</w:t>
      </w:r>
      <w:r>
        <w:rPr>
          <w:rFonts w:ascii="Barlow Semi Condensed" w:cs="Barlow Semi Condensed" w:eastAsia="Barlow Semi Condensed" w:hAnsi="Barlow Semi Condensed"/>
          <w:sz w:val="24"/>
          <w:szCs w:val="24"/>
        </w:rPr>
        <w:t xml:space="preserve"> I sistemi automatizzati di comparazione balistica in uso presso le forze italiane appartengono a famiglie tecnologiche di produzione estera, e il blocco 686 avverte che l'assetto istituzionale non è confermabile da fonti aperte. La provenienza industriale di uno strumento è dato merceologico. Convertirla in dato politico è il tipo esatto di scivolamento che la regola dei tre piani esiste per fermare.</w:t>
      </w:r>
    </w:p>
    <w:p>
      <w:pPr>
        <w:spacing w:after="120" w:line="276"/>
        <w:jc w:val="both"/>
      </w:pPr>
      <w:r>
        <w:rPr>
          <w:rFonts w:ascii="Barlow Semi Condensed" w:cs="Barlow Semi Condensed" w:eastAsia="Barlow Semi Condensed" w:hAnsi="Barlow Semi Condensed"/>
          <w:b/>
          <w:bCs/>
          <w:sz w:val="24"/>
          <w:szCs w:val="24"/>
        </w:rPr>
        <w:t xml:space="preserve">3664 · La perizia divergente del 1993.</w:t>
      </w:r>
      <w:r>
        <w:rPr>
          <w:rFonts w:ascii="Barlow Semi Condensed" w:cs="Barlow Semi Condensed" w:eastAsia="Barlow Semi Condensed" w:hAnsi="Barlow Semi Condensed"/>
          <w:sz w:val="24"/>
          <w:szCs w:val="24"/>
        </w:rPr>
        <w:t xml:space="preserve"> La perizia balistica del 1993 non confermò integralmente l'attribuzione del 1978, ritenendo possibile la provenienza dei colpi da entrambi i FNAB; l'esame del Servizio Polizia scientifica illustrato alla Moro 2 il 10 giugno 2015 confermò i quarantanove e declassò a esito non conclusivo l'attribuzione dei ventidue. Tre stagioni peritali divergenti: si riportano tutte, e nessuna delle tre nomina alcuno.</w:t>
      </w:r>
    </w:p>
    <w:p>
      <w:pPr>
        <w:spacing w:after="120" w:line="276"/>
        <w:jc w:val="both"/>
      </w:pPr>
      <w:r>
        <w:rPr>
          <w:rFonts w:ascii="Barlow Semi Condensed" w:cs="Barlow Semi Condensed" w:eastAsia="Barlow Semi Condensed" w:hAnsi="Barlow Semi Condensed"/>
          <w:b/>
          <w:bCs/>
          <w:sz w:val="24"/>
          <w:szCs w:val="24"/>
        </w:rPr>
        <w:t xml:space="preserve">3665 · Un fatto tecnico non è una mano.</w:t>
      </w:r>
      <w:r>
        <w:rPr>
          <w:rFonts w:ascii="Barlow Semi Condensed" w:cs="Barlow Semi Condensed" w:eastAsia="Barlow Semi Condensed" w:hAnsi="Barlow Semi Condensed"/>
          <w:sz w:val="24"/>
          <w:szCs w:val="24"/>
        </w:rPr>
        <w:t xml:space="preserve"> Quarantanove colpi da un'unica arma è un accertamento tecnico; chi impugnò quell'arma resta materia del giudicato esistente e delle indagini aperte, avverte il blocco 371. La distinzione vale a maggior ragione verso l'esterno: se la mono-arma non autorizza a nominare un esecutore, tanto meno autorizza a nominare un mandante. Il perimetro è scritto nel territorio, non aggiunto da questa serie.</w:t>
      </w:r>
    </w:p>
    <w:p>
      <w:pPr>
        <w:spacing w:after="120" w:line="276"/>
        <w:jc w:val="both"/>
      </w:pPr>
      <w:r>
        <w:rPr>
          <w:rFonts w:ascii="Barlow Semi Condensed" w:cs="Barlow Semi Condensed" w:eastAsia="Barlow Semi Condensed" w:hAnsi="Barlow Semi Condensed"/>
          <w:b/>
          <w:bCs/>
          <w:sz w:val="24"/>
          <w:szCs w:val="24"/>
        </w:rPr>
        <w:t xml:space="preserve">3666 · Che cosa falsificherebbe il nesso balistico.</w:t>
      </w:r>
      <w:r>
        <w:rPr>
          <w:rFonts w:ascii="Barlow Semi Condensed" w:cs="Barlow Semi Condensed" w:eastAsia="Barlow Semi Condensed" w:hAnsi="Barlow Semi Condensed"/>
          <w:sz w:val="24"/>
          <w:szCs w:val="24"/>
        </w:rPr>
        <w:t xml:space="preserve"> Falsificherebbe l'ipotesi di una provenienza estera delle armi un documento primario di fornitura o di transito che nominasse un'amministrazione straniera e fosse collegabile per numero di matricola a un'arma del giudicato. Il corpus non lo possiede. Lo cercherebbe nei fascicoli dei sequestri collegati e negli atti dei procedimenti sulle armi degli anni Settanta, non nella pubblicistica che l'ipotesi la presuppone.</w:t>
      </w:r>
    </w:p>
    <w:p>
      <w:pPr>
        <w:spacing w:after="120" w:line="276"/>
        <w:jc w:val="both"/>
      </w:pPr>
      <w:r>
        <w:rPr>
          <w:rFonts w:ascii="Barlow Semi Condensed" w:cs="Barlow Semi Condensed" w:eastAsia="Barlow Semi Condensed" w:hAnsi="Barlow Semi Condensed"/>
          <w:b/>
          <w:bCs/>
          <w:sz w:val="24"/>
          <w:szCs w:val="24"/>
        </w:rPr>
        <w:t xml:space="preserve">3667 · La sabbia del litorale tirrenico.</w:t>
      </w:r>
      <w:r>
        <w:rPr>
          <w:rFonts w:ascii="Barlow Semi Condensed" w:cs="Barlow Semi Condensed" w:eastAsia="Barlow Semi Condensed" w:hAnsi="Barlow Semi Condensed"/>
          <w:sz w:val="24"/>
          <w:szCs w:val="24"/>
        </w:rPr>
        <w:t xml:space="preserve"> Nel 1978 la perizia geologico-botanica condotta dal geologo Gianni Lombardi con Valerio Giacomini giudicò la sabbia del risvolto sinistro dei pantaloni e delle scarpe esclusiva del litorale tirrenico laziale, con localizzazione nell'area di Focene-Marina di Palidoro; la Moro 2 rilanciò gli accertamenti fra 2016 e 2017. È il reperto più suggestivo del cantiere e il più esposto agli usi impropri.</w:t>
      </w:r>
    </w:p>
    <w:p>
      <w:pPr>
        <w:spacing w:after="120" w:line="276"/>
        <w:jc w:val="both"/>
      </w:pPr>
      <w:r>
        <w:rPr>
          <w:rFonts w:ascii="Barlow Semi Condensed" w:cs="Barlow Semi Condensed" w:eastAsia="Barlow Semi Condensed" w:hAnsi="Barlow Semi Condensed"/>
          <w:b/>
          <w:bCs/>
          <w:sz w:val="24"/>
          <w:szCs w:val="24"/>
        </w:rPr>
        <w:t xml:space="preserve">3668 · Un poligono non nomina proprietari.</w:t>
      </w:r>
      <w:r>
        <w:rPr>
          <w:rFonts w:ascii="Barlow Semi Condensed" w:cs="Barlow Semi Condensed" w:eastAsia="Barlow Semi Condensed" w:hAnsi="Barlow Semi Condensed"/>
          <w:sz w:val="24"/>
          <w:szCs w:val="24"/>
        </w:rPr>
        <w:t xml:space="preserve"> Senza margini lo scrive il blocco 412: il poligono di compatibilità geografica è un perimetro misurato, e nessun luogo viene nominato. Ne discende il divieto che questa serie applica al proprio oggetto: da un perimetro costiero non si ricava l'indirizzo di una struttura, e da un indirizzo non si ricava un nome. La geologia delimita aree; le istituzioni le abitano senza esserne dedotte.</w:t>
      </w:r>
    </w:p>
    <w:p>
      <w:pPr>
        <w:spacing w:after="120" w:line="276"/>
        <w:jc w:val="both"/>
      </w:pPr>
      <w:r>
        <w:rPr>
          <w:rFonts w:ascii="Barlow Semi Condensed" w:cs="Barlow Semi Condensed" w:eastAsia="Barlow Semi Condensed" w:hAnsi="Barlow Semi Condensed"/>
          <w:b/>
          <w:bCs/>
          <w:sz w:val="24"/>
          <w:szCs w:val="24"/>
        </w:rPr>
        <w:t xml:space="preserve">3669 · Pollini e coperta come traccianti industriali.</w:t>
      </w:r>
      <w:r>
        <w:rPr>
          <w:rFonts w:ascii="Barlow Semi Condensed" w:cs="Barlow Semi Condensed" w:eastAsia="Barlow Semi Condensed" w:hAnsi="Barlow Semi Condensed"/>
          <w:sz w:val="24"/>
          <w:szCs w:val="24"/>
        </w:rPr>
        <w:t xml:space="preserve"> La palinologia moderna sugli abiti e la merceologia della coperta del ritrovamento, che i blocchi 409 e 410 chiedono di ripetere a risoluzione attuale, lavorano su taxa e su catene di produzione. L'oggetto più umile del caso è un tracciante industriale: dove fu prodotto, dove venduto, quanto comune. Nessuna di queste risposte è, per costruzione, una risposta su persone.</w:t>
      </w:r>
    </w:p>
    <w:p>
      <w:pPr>
        <w:spacing w:after="120" w:line="276"/>
        <w:jc w:val="both"/>
      </w:pPr>
      <w:r>
        <w:rPr>
          <w:rFonts w:ascii="Barlow Semi Condensed" w:cs="Barlow Semi Condensed" w:eastAsia="Barlow Semi Condensed" w:hAnsi="Barlow Semi Condensed"/>
          <w:b/>
          <w:bCs/>
          <w:sz w:val="24"/>
          <w:szCs w:val="24"/>
        </w:rPr>
        <w:t xml:space="preserve">3670 · Le firme isotopiche e il loro limite.</w:t>
      </w:r>
      <w:r>
        <w:rPr>
          <w:rFonts w:ascii="Barlow Semi Condensed" w:cs="Barlow Semi Condensed" w:eastAsia="Barlow Semi Condensed" w:hAnsi="Barlow Semi Condensed"/>
          <w:sz w:val="24"/>
          <w:szCs w:val="24"/>
        </w:rPr>
        <w:t xml:space="preserve"> Le firme isotopiche per le provenienze, che il blocco 745 iscrive fra le frontiere con parere mirato, potrebbero un giorno collocare all'estero l'origine di un materiale del caso: carte, metalli, tessuti. Va scritto adesso, prima dell'esito: una provenienza industriale estera non è una provenienza politica, e il blocco 688 sulle banche merceologiche fissa il contesto statistico che impedisce la sovrainterpretazione.</w:t>
      </w:r>
    </w:p>
    <w:p>
      <w:pPr>
        <w:spacing w:after="120" w:line="276"/>
        <w:jc w:val="both"/>
      </w:pPr>
      <w:r>
        <w:rPr>
          <w:rFonts w:ascii="Barlow Semi Condensed" w:cs="Barlow Semi Condensed" w:eastAsia="Barlow Semi Condensed" w:hAnsi="Barlow Semi Condensed"/>
          <w:b/>
          <w:bCs/>
          <w:sz w:val="24"/>
          <w:szCs w:val="24"/>
        </w:rPr>
        <w:t xml:space="preserve">3671 · I veicoli e la loro sorte fisica.</w:t>
      </w:r>
      <w:r>
        <w:rPr>
          <w:rFonts w:ascii="Barlow Semi Condensed" w:cs="Barlow Semi Condensed" w:eastAsia="Barlow Semi Condensed" w:hAnsi="Barlow Semi Condensed"/>
          <w:sz w:val="24"/>
          <w:szCs w:val="24"/>
        </w:rPr>
        <w:t xml:space="preserve"> Dove il metallo esista ancora e dove resti soltanto il fascicolo peritale digitalizzato lo verifica la tavola dei veicoli chiesta dai blocchi 414 e 416: la 132, le 128, i mezzi della fuga e dei trasbordi. È lavoro di anagrafe e di deposito. Nessuna delle righe di quella tavola, allo stato delle fonti, porta scritta una provenienza che esca dai confini nazionali.</w:t>
      </w:r>
    </w:p>
    <w:p>
      <w:pPr>
        <w:spacing w:after="120" w:line="276"/>
        <w:jc w:val="both"/>
      </w:pPr>
      <w:r>
        <w:rPr>
          <w:rFonts w:ascii="Barlow Semi Condensed" w:cs="Barlow Semi Condensed" w:eastAsia="Barlow Semi Condensed" w:hAnsi="Barlow Semi Condensed"/>
          <w:b/>
          <w:bCs/>
          <w:sz w:val="24"/>
          <w:szCs w:val="24"/>
        </w:rPr>
        <w:t xml:space="preserve">3672 · L'anagrafe motociclistica contro la suggestione.</w:t>
      </w:r>
      <w:r>
        <w:rPr>
          <w:rFonts w:ascii="Barlow Semi Condensed" w:cs="Barlow Semi Condensed" w:eastAsia="Barlow Semi Condensed" w:hAnsi="Barlow Semi Condensed"/>
          <w:sz w:val="24"/>
          <w:szCs w:val="24"/>
        </w:rPr>
        <w:t xml:space="preserve"> L'anagrafe delle Honda del blocco 417, gemella del blocco 80 dell'agenda, si costruisce con immatricolazioni, furti denunciati e verbali di rinvenimento del 1978. È il modello di come il territorio tratta una presenza discussa: si lavora ad anagrafe, non a suggestione. La stessa disciplina, applicata a una presenza straniera ipotizzata, produce lo stesso esito — una tavola, oppure un vuoto verbalizzato.</w:t>
      </w:r>
    </w:p>
    <w:p>
      <w:pPr>
        <w:spacing w:after="120" w:line="276"/>
        <w:jc w:val="both"/>
      </w:pPr>
      <w:r>
        <w:rPr>
          <w:rFonts w:ascii="Barlow Semi Condensed" w:cs="Barlow Semi Condensed" w:eastAsia="Barlow Semi Condensed" w:hAnsi="Barlow Semi Condensed"/>
          <w:b/>
          <w:bCs/>
          <w:sz w:val="24"/>
          <w:szCs w:val="24"/>
        </w:rPr>
        <w:t xml:space="preserve">3673 · Cinque borse, e il vuoto più raccontato.</w:t>
      </w:r>
      <w:r>
        <w:rPr>
          <w:rFonts w:ascii="Barlow Semi Condensed" w:cs="Barlow Semi Condensed" w:eastAsia="Barlow Semi Condensed" w:hAnsi="Barlow Semi Condensed"/>
          <w:sz w:val="24"/>
          <w:szCs w:val="24"/>
        </w:rPr>
        <w:t xml:space="preserve"> Cinque borse quella mattina secondo la testimonianza della vedova, parte rinvenute sulla 130, due asportate secondo la ricostruzione prevalente e mai ritrovate, con varianti fra le fonti dichiarate: il blocco 457 chiude il punto con uno Stato Zero formale. Ogni attribuzione delle borse mancanti a una mano straniera è affermazione terziaria. Lo chiuderebbero i verbali del 16 marzo 1978, ora digitalizzati.</w:t>
      </w:r>
    </w:p>
    <w:p>
      <w:pPr>
        <w:spacing w:after="120" w:line="276"/>
        <w:jc w:val="both"/>
      </w:pPr>
      <w:r>
        <w:rPr>
          <w:rFonts w:ascii="Barlow Semi Condensed" w:cs="Barlow Semi Condensed" w:eastAsia="Barlow Semi Condensed" w:hAnsi="Barlow Semi Condensed"/>
          <w:b/>
          <w:bCs/>
          <w:sz w:val="24"/>
          <w:szCs w:val="24"/>
        </w:rPr>
        <w:t xml:space="preserve">3674 · La foto della prigione, misurata.</w:t>
      </w:r>
      <w:r>
        <w:rPr>
          <w:rFonts w:ascii="Barlow Semi Condensed" w:cs="Barlow Semi Condensed" w:eastAsia="Barlow Semi Condensed" w:hAnsi="Barlow Semi Condensed"/>
          <w:sz w:val="24"/>
          <w:szCs w:val="24"/>
        </w:rPr>
        <w:t xml:space="preserve"> La fotografia più celebre d'Italia ha una scena materiale, ricordano i blocchi 424 e 425: pellicola, sviluppo, formati, fotogrammetria del fondale, compatibilità coi luoghi. Trattarla come icona da interpretare è precisamente ciò che il cantiere vieta. Misure, non suggestioni: e nessuna misura del fondale ha mai prodotto, né potrebbe produrre, l'indicazione di una committenza esterna alle presenze giudicate.</w:t>
      </w:r>
    </w:p>
    <w:p>
      <w:pPr>
        <w:spacing w:after="120" w:line="276"/>
        <w:jc w:val="both"/>
      </w:pPr>
      <w:r>
        <w:rPr>
          <w:rFonts w:ascii="Barlow Semi Condensed" w:cs="Barlow Semi Condensed" w:eastAsia="Barlow Semi Condensed" w:hAnsi="Barlow Semi Condensed"/>
          <w:b/>
          <w:bCs/>
          <w:sz w:val="24"/>
          <w:szCs w:val="24"/>
        </w:rPr>
        <w:t xml:space="preserve">3675 · Senza inventario nessuna assenza è misurabile.</w:t>
      </w:r>
      <w:r>
        <w:rPr>
          <w:rFonts w:ascii="Barlow Semi Condensed" w:cs="Barlow Semi Condensed" w:eastAsia="Barlow Semi Condensed" w:hAnsi="Barlow Semi Condensed"/>
          <w:sz w:val="24"/>
          <w:szCs w:val="24"/>
        </w:rPr>
        <w:t xml:space="preserve"> Manca l'inventario pubblico unitario dei reperti minori: lo accerta il blocco 331 e ne fa il bersaglio fondativo della parte, che il blocco 342 chiede di pubblicare e mantenere. La conseguenza per questa serie è tecnica e severa: finché la tavola non esiste, nessuno può dichiarare con precisione che cosa manchi. Anche gli Stati Zero materiali hanno bisogno di un inventario per essere veri.</w:t>
      </w:r>
    </w:p>
    <w:p>
      <w:pPr>
        <w:spacing w:after="120" w:line="276"/>
        <w:jc w:val="both"/>
      </w:pPr>
      <w:r>
        <w:rPr>
          <w:rFonts w:ascii="Barlow Semi Condensed" w:cs="Barlow Semi Condensed" w:eastAsia="Barlow Semi Condensed" w:hAnsi="Barlow Semi Condensed"/>
          <w:b/>
          <w:bCs/>
          <w:sz w:val="24"/>
          <w:szCs w:val="24"/>
        </w:rPr>
        <w:t xml:space="preserve">3676 · Le mani note del mezzo secolo.</w:t>
      </w:r>
      <w:r>
        <w:rPr>
          <w:rFonts w:ascii="Barlow Semi Condensed" w:cs="Barlow Semi Condensed" w:eastAsia="Barlow Semi Condensed" w:hAnsi="Barlow Semi Condensed"/>
          <w:sz w:val="24"/>
          <w:szCs w:val="24"/>
        </w:rPr>
        <w:t xml:space="preserve"> La catena di custodia ricostruita reperto per reperto e il registro delle manipolazioni, blocchi 333 e 334, producono il database di eliminazione che il blocco 188 dell'agenda esige. Contiene una domanda mai posta pubblicamente: se nei verbali del 1978 e nei passaggi successivi risultino tecnici o operatori stranieri. La risposta, quale che sia, è un accertamento — e oggi non esiste.</w:t>
      </w:r>
    </w:p>
    <w:p>
      <w:pPr>
        <w:spacing w:after="120" w:line="276"/>
        <w:jc w:val="both"/>
      </w:pPr>
      <w:r>
        <w:rPr>
          <w:rFonts w:ascii="Barlow Semi Condensed" w:cs="Barlow Semi Condensed" w:eastAsia="Barlow Semi Condensed" w:hAnsi="Barlow Semi Condensed"/>
          <w:b/>
          <w:bCs/>
          <w:sz w:val="24"/>
          <w:szCs w:val="24"/>
        </w:rPr>
        <w:t xml:space="preserve">3677 · Un reperto è mai uscito dall'Italia.</w:t>
      </w:r>
      <w:r>
        <w:rPr>
          <w:rFonts w:ascii="Barlow Semi Condensed" w:cs="Barlow Semi Condensed" w:eastAsia="Barlow Semi Condensed" w:hAnsi="Barlow Semi Condensed"/>
          <w:sz w:val="24"/>
          <w:szCs w:val="24"/>
        </w:rPr>
        <w:t xml:space="preserve"> Il ricorso a laboratori esteri, che il blocco 704 contempla con le sue condizioni di catena, diritto e costi, pone un quesito retrospettivo che nessuno ha mai formulato: se un reperto del caso abbia mai lasciato il territorio nazionale per un esame, quando e verso quale Paese. Sede della risposta: i verbali di trasmissione negli atti dei cinque processi.</w:t>
      </w:r>
    </w:p>
    <w:p>
      <w:pPr>
        <w:spacing w:after="120" w:line="276"/>
        <w:jc w:val="both"/>
      </w:pPr>
      <w:r>
        <w:rPr>
          <w:rFonts w:ascii="Barlow Semi Condensed" w:cs="Barlow Semi Condensed" w:eastAsia="Barlow Semi Condensed" w:hAnsi="Barlow Semi Condensed"/>
          <w:b/>
          <w:bCs/>
          <w:sz w:val="24"/>
          <w:szCs w:val="24"/>
        </w:rPr>
        <w:t xml:space="preserve">3678 · La mappa dell'irrecuperabile.</w:t>
      </w:r>
      <w:r>
        <w:rPr>
          <w:rFonts w:ascii="Barlow Semi Condensed" w:cs="Barlow Semi Condensed" w:eastAsia="Barlow Semi Condensed" w:hAnsi="Barlow Semi Condensed"/>
          <w:sz w:val="24"/>
          <w:szCs w:val="24"/>
        </w:rPr>
        <w:t xml:space="preserve"> I distrutti per provvedimento del blocco 338 e i vuoti dei reperti del blocco 456 disegnano insieme la mappa di ciò che la scienza non potrà mai più chiedere. È Stato Zero materiale, scritto senza recriminazione. Vale anche in questa direzione: un reperto distrutto non potrà mai confermare né smentire alcuna ipotesi di provenienza, e questo va detto adesso, non dopo.</w:t>
      </w:r>
    </w:p>
    <w:p>
      <w:pPr>
        <w:spacing w:after="120" w:line="276"/>
        <w:jc w:val="both"/>
      </w:pPr>
      <w:r>
        <w:rPr>
          <w:rFonts w:ascii="Barlow Semi Condensed" w:cs="Barlow Semi Condensed" w:eastAsia="Barlow Semi Condensed" w:hAnsi="Barlow Semi Condensed"/>
          <w:b/>
          <w:bCs/>
          <w:sz w:val="24"/>
          <w:szCs w:val="24"/>
        </w:rPr>
        <w:t xml:space="preserve">3679 · Ciò che il restauro ha tolto.</w:t>
      </w:r>
      <w:r>
        <w:rPr>
          <w:rFonts w:ascii="Barlow Semi Condensed" w:cs="Barlow Semi Condensed" w:eastAsia="Barlow Semi Condensed" w:hAnsi="Barlow Semi Condensed"/>
          <w:sz w:val="24"/>
          <w:szCs w:val="24"/>
        </w:rPr>
        <w:t xml:space="preserve"> La Renault 4 del ritrovamento, targata Roma N57686 e appartenuta a Filippo Bartoli, fu donata dopo il dissequestro alla Polizia di Stato, restaurata in conservativo ed esposta nel museo delle auto storiche del Corpo. Il blocco 335 chiede la documentazione integrale del restauro: che cosa fu preservato e che cosa perduto per sempre alla scienza. Una perdita documentata è preferibile a una perdita ignota.</w:t>
      </w:r>
    </w:p>
    <w:p>
      <w:pPr>
        <w:spacing w:after="120" w:line="276"/>
        <w:jc w:val="both"/>
      </w:pPr>
      <w:r>
        <w:rPr>
          <w:rFonts w:ascii="Barlow Semi Condensed" w:cs="Barlow Semi Condensed" w:eastAsia="Barlow Semi Condensed" w:hAnsi="Barlow Semi Condensed"/>
          <w:b/>
          <w:bCs/>
          <w:sz w:val="24"/>
          <w:szCs w:val="24"/>
        </w:rPr>
        <w:t xml:space="preserve">3680 · Registro contro sopralluogo.</w:t>
      </w:r>
      <w:r>
        <w:rPr>
          <w:rFonts w:ascii="Barlow Semi Condensed" w:cs="Barlow Semi Condensed" w:eastAsia="Barlow Semi Condensed" w:hAnsi="Barlow Semi Condensed"/>
          <w:sz w:val="24"/>
          <w:szCs w:val="24"/>
        </w:rPr>
        <w:t xml:space="preserve"> Il sopralluogo formale nei depositi previsto dal blocco 345 e la campagna fotografica del blocco 349 fissano lo stato del 2026 qualunque cosa accada dopo. La differenza fra ciò che la carta dice e ciò che l'occhio verifica è essa stessa un dato. Nessuna ipotesi di rimozione o di sottrazione è formulabile prima di quel confronto: prima si guarda, poi si scrive.</w:t>
      </w:r>
    </w:p>
    <w:p>
      <w:pPr>
        <w:spacing w:after="120" w:line="276"/>
        <w:jc w:val="both"/>
      </w:pPr>
      <w:r>
        <w:rPr>
          <w:rFonts w:ascii="Barlow Semi Condensed" w:cs="Barlow Semi Condensed" w:eastAsia="Barlow Semi Condensed" w:hAnsi="Barlow Semi Condensed"/>
          <w:b/>
          <w:bCs/>
          <w:sz w:val="24"/>
          <w:szCs w:val="24"/>
        </w:rPr>
        <w:t xml:space="preserve">3681 · La casa giuridica dei profili orfani.</w:t>
      </w:r>
      <w:r>
        <w:rPr>
          <w:rFonts w:ascii="Barlow Semi Condensed" w:cs="Barlow Semi Condensed" w:eastAsia="Barlow Semi Condensed" w:hAnsi="Barlow Semi Condensed"/>
          <w:sz w:val="24"/>
          <w:szCs w:val="24"/>
        </w:rPr>
        <w:t xml:space="preserve"> Gli articoli 7 e 10 della legge 30 giugno 2009, n. 85 danno ai profili ottenuti da reperti di procedimenti penali una casa giuridica; il d.P.R. 7 aprile 2016, n. 87 ne fissa le regole tecniche, con la banca dati al Dipartimento della pubblica sicurezza e il laboratorio centrale presso l'amministrazione penitenziaria. Chi vuole un confronto deve sapere a chi chiederlo: la mappa istituzionale precede la domanda.</w:t>
      </w:r>
    </w:p>
    <w:p>
      <w:pPr>
        <w:spacing w:after="120" w:line="276"/>
        <w:jc w:val="both"/>
      </w:pPr>
      <w:r>
        <w:rPr>
          <w:rFonts w:ascii="Barlow Semi Condensed" w:cs="Barlow Semi Condensed" w:eastAsia="Barlow Semi Condensed" w:hAnsi="Barlow Semi Condensed"/>
          <w:b/>
          <w:bCs/>
          <w:sz w:val="24"/>
          <w:szCs w:val="24"/>
        </w:rPr>
        <w:t xml:space="preserve">3682 · Prüm si ferma ai confini d'Europa.</w:t>
      </w:r>
      <w:r>
        <w:rPr>
          <w:rFonts w:ascii="Barlow Semi Condensed" w:cs="Barlow Semi Condensed" w:eastAsia="Barlow Semi Condensed" w:hAnsi="Barlow Semi Condensed"/>
          <w:sz w:val="24"/>
          <w:szCs w:val="24"/>
        </w:rPr>
        <w:t xml:space="preserve"> Prüm è un sistema europeo di scambio automatizzato dei profili, e il blocco 666 lo iscrive fra le moltiplicazioni gratuite di probabilità. Ne discende un limite che nessuno ha mai scritto per questo caso: gli Stati Uniti non ne fanno parte. Se esistano canali bilaterali di confronto genetico con quel Paese è accertamento da chiedere per iscritto al Dipartimento della pubblica sicurezza.</w:t>
      </w:r>
    </w:p>
    <w:p>
      <w:pPr>
        <w:spacing w:after="120" w:line="276"/>
        <w:jc w:val="both"/>
      </w:pPr>
      <w:r>
        <w:rPr>
          <w:rFonts w:ascii="Barlow Semi Condensed" w:cs="Barlow Semi Condensed" w:eastAsia="Barlow Semi Condensed" w:hAnsi="Barlow Semi Condensed"/>
          <w:b/>
          <w:bCs/>
          <w:sz w:val="24"/>
          <w:szCs w:val="24"/>
        </w:rPr>
        <w:t xml:space="preserve">3683 · Due vuoti normativi che non si aggirano.</w:t>
      </w:r>
      <w:r>
        <w:rPr>
          <w:rFonts w:ascii="Barlow Semi Condensed" w:cs="Barlow Semi Condensed" w:eastAsia="Barlow Semi Condensed" w:hAnsi="Barlow Semi Condensed"/>
          <w:sz w:val="24"/>
          <w:szCs w:val="24"/>
        </w:rPr>
        <w:t xml:space="preserve"> La ricerca di parentela non ha disciplina espressa, né divieto né procedura, accerta il blocco 668; e il blocco 669 aggiunge che la genealogia genetica forense non è mai stata usata in Italia. Sono i due vuoti in cui ogni fantasia identificativa si arena. Il cantiere può soltanto istruire il dossier che un legislatore o un giudice userà: non può sostituirlo con l'urgenza di un nome.</w:t>
      </w:r>
    </w:p>
    <w:p>
      <w:pPr>
        <w:spacing w:after="120" w:line="276"/>
        <w:jc w:val="both"/>
      </w:pPr>
      <w:r>
        <w:rPr>
          <w:rFonts w:ascii="Barlow Semi Condensed" w:cs="Barlow Semi Condensed" w:eastAsia="Barlow Semi Condensed" w:hAnsi="Barlow Semi Condensed"/>
          <w:b/>
          <w:bCs/>
          <w:sz w:val="24"/>
          <w:szCs w:val="24"/>
        </w:rPr>
        <w:t xml:space="preserve">3684 · Il fenotipo e la conferma desiderata.</w:t>
      </w:r>
      <w:r>
        <w:rPr>
          <w:rFonts w:ascii="Barlow Semi Condensed" w:cs="Barlow Semi Condensed" w:eastAsia="Barlow Semi Condensed" w:hAnsi="Barlow Semi Condensed"/>
          <w:sz w:val="24"/>
          <w:szCs w:val="24"/>
        </w:rPr>
        <w:t xml:space="preserve"> La predizione dei tratti somatici non è vietata né disciplinata, col solo limite indiretto dell'articolo 11 sulle patologie: così il blocco 670, che impone prudenza massima. Il rischio specifico va nominato: un fenotipo predetto su un profilo orfano diventerebbe subito materia di conferme desiderate. Un'ipotesi di lavoro con l'errore stampato accanto non è un identikit, e non va mai comunicata come tale.</w:t>
      </w:r>
    </w:p>
    <w:p>
      <w:pPr>
        <w:spacing w:after="120" w:line="276"/>
        <w:jc w:val="both"/>
      </w:pPr>
      <w:r>
        <w:rPr>
          <w:rFonts w:ascii="Barlow Semi Condensed" w:cs="Barlow Semi Condensed" w:eastAsia="Barlow Semi Condensed" w:hAnsi="Barlow Semi Condensed"/>
          <w:b/>
          <w:bCs/>
          <w:sz w:val="24"/>
          <w:szCs w:val="24"/>
        </w:rPr>
        <w:t xml:space="preserve">3685 · Quando l'esame consuma il reperto.</w:t>
      </w:r>
      <w:r>
        <w:rPr>
          <w:rFonts w:ascii="Barlow Semi Condensed" w:cs="Barlow Semi Condensed" w:eastAsia="Barlow Semi Condensed" w:hAnsi="Barlow Semi Condensed"/>
          <w:sz w:val="24"/>
          <w:szCs w:val="24"/>
        </w:rPr>
        <w:t xml:space="preserve"> L'articolo 360 del codice di procedura penale e l'incidente probatorio dell'articolo 392, che il blocco 672 mappa per ogni esame distruttivo, sono la forma che protegge l'esito. Vale come promemoria per chiunque proponga campionamenti sui reperti mai esaminati: la fretta di ottenere una risposta su una presenza discussa è esattamente la circostanza in cui la forma viene saltata e l'esito si perde.</w:t>
      </w:r>
    </w:p>
    <w:p>
      <w:pPr>
        <w:spacing w:after="120" w:line="276"/>
        <w:jc w:val="both"/>
      </w:pPr>
      <w:r>
        <w:rPr>
          <w:rFonts w:ascii="Barlow Semi Condensed" w:cs="Barlow Semi Condensed" w:eastAsia="Barlow Semi Condensed" w:hAnsi="Barlow Semi Condensed"/>
          <w:b/>
          <w:bCs/>
          <w:sz w:val="24"/>
          <w:szCs w:val="24"/>
        </w:rPr>
        <w:t xml:space="preserve">3686 · I criteri d'ingresso in aula.</w:t>
      </w:r>
      <w:r>
        <w:rPr>
          <w:rFonts w:ascii="Barlow Semi Condensed" w:cs="Barlow Semi Condensed" w:eastAsia="Barlow Semi Condensed" w:hAnsi="Barlow Semi Condensed"/>
          <w:sz w:val="24"/>
          <w:szCs w:val="24"/>
        </w:rPr>
        <w:t xml:space="preserve"> I criteri di affidabilità elaborati dalla Cassazione — verificabilità del metodo, errore noto, controllo della comunità scientifica, accreditamento — sono la porta che il blocco 673 chiede di conoscere a memoria. Applicati a un ipotetico esito che toccasse un nome straniero, sarebbero più severi e non meno: la notorietà dell'oggetto alza l'asticella probatoria, non la abbassa, e il cantiere lo scrive prima.</w:t>
      </w:r>
    </w:p>
    <w:p>
      <w:pPr>
        <w:spacing w:after="120" w:line="276"/>
        <w:jc w:val="both"/>
      </w:pPr>
      <w:r>
        <w:rPr>
          <w:rFonts w:ascii="Barlow Semi Condensed" w:cs="Barlow Semi Condensed" w:eastAsia="Barlow Semi Condensed" w:hAnsi="Barlow Semi Condensed"/>
          <w:b/>
          <w:bCs/>
          <w:sz w:val="24"/>
          <w:szCs w:val="24"/>
        </w:rPr>
        <w:t xml:space="preserve">3687 · La revisione si mappa, non si invoca.</w:t>
      </w:r>
      <w:r>
        <w:rPr>
          <w:rFonts w:ascii="Barlow Semi Condensed" w:cs="Barlow Semi Condensed" w:eastAsia="Barlow Semi Condensed" w:hAnsi="Barlow Semi Condensed"/>
          <w:sz w:val="24"/>
          <w:szCs w:val="24"/>
        </w:rPr>
        <w:t xml:space="preserve"> La revisione del giudicato per prove nuove è mappata dal blocco 677 senza essere invocata, perché auspicare resta fuori dal metodo. Verso questo nome lo strumento è comunque inapplicabile per una ragione anteriore e definitiva: non vi fu mai imputazione, né processo, né sentenza, in alcun Paese. Non si rivede ciò che non fu mai giudicato: il registro chiuso resta chiuso da entrambi i lati.</w:t>
      </w:r>
    </w:p>
    <w:p>
      <w:pPr>
        <w:spacing w:after="120" w:line="276"/>
        <w:jc w:val="both"/>
      </w:pPr>
      <w:r>
        <w:rPr>
          <w:rFonts w:ascii="Barlow Semi Condensed" w:cs="Barlow Semi Condensed" w:eastAsia="Barlow Semi Condensed" w:hAnsi="Barlow Semi Condensed"/>
          <w:b/>
          <w:bCs/>
          <w:sz w:val="24"/>
          <w:szCs w:val="24"/>
        </w:rPr>
        <w:t xml:space="preserve">3688 · La regola dell'originatore e i quattrocentosettantaquattro.</w:t>
      </w:r>
      <w:r>
        <w:rPr>
          <w:rFonts w:ascii="Barlow Semi Condensed" w:cs="Barlow Semi Condensed" w:eastAsia="Barlow Semi Condensed" w:hAnsi="Barlow Semi Condensed"/>
          <w:sz w:val="24"/>
          <w:szCs w:val="24"/>
        </w:rPr>
        <w:t xml:space="preserve"> L'intersezione fra segreto e scienza del blocco 679 ha un versante documentale già mappato altrove nel corpus: la regola dell'originatore impedisce la desecretazione unilaterale degli atti di origine alleata, e la pubblicistica riferisce circa quattrocentosettantaquattro atti stranieri ancora classificati in Italia, cifra da trattare col suo grado. Il canale è bilaterale e diplomatico. Nessuno di quegli atti risulta riguardare un reperto.</w:t>
      </w:r>
    </w:p>
    <w:p>
      <w:pPr>
        <w:spacing w:after="120" w:line="276"/>
        <w:jc w:val="both"/>
      </w:pPr>
      <w:r>
        <w:rPr>
          <w:rFonts w:ascii="Barlow Semi Condensed" w:cs="Barlow Semi Condensed" w:eastAsia="Barlow Semi Condensed" w:hAnsi="Barlow Semi Condensed"/>
          <w:b/>
          <w:bCs/>
          <w:sz w:val="24"/>
          <w:szCs w:val="24"/>
        </w:rPr>
        <w:t xml:space="preserve">3689 · L'accreditamento come soglia non negoziabile.</w:t>
      </w:r>
      <w:r>
        <w:rPr>
          <w:rFonts w:ascii="Barlow Semi Condensed" w:cs="Barlow Semi Condensed" w:eastAsia="Barlow Semi Condensed" w:hAnsi="Barlow Semi Condensed"/>
          <w:sz w:val="24"/>
          <w:szCs w:val="24"/>
        </w:rPr>
        <w:t xml:space="preserve"> L'accreditamento ISO/IEC 17025, che il blocco 692 pone come soglia sotto la quale il cantiere non affida, e la partecipazione ai circuiti interlaboratorio del blocco 693 sono le condizioni minime di ogni esame futuro sui reperti del caso. Un esito ottenuto fuori soglia non varrebbe nulla, per quanto clamoroso fosse il nome che vi comparisse: la qualità si dimostra nei circuiti, non nell'eco.</w:t>
      </w:r>
    </w:p>
    <w:p>
      <w:pPr>
        <w:spacing w:after="120" w:line="276"/>
        <w:jc w:val="both"/>
      </w:pPr>
      <w:r>
        <w:rPr>
          <w:rFonts w:ascii="Barlow Semi Condensed" w:cs="Barlow Semi Condensed" w:eastAsia="Barlow Semi Condensed" w:hAnsi="Barlow Semi Condensed"/>
          <w:b/>
          <w:bCs/>
          <w:sz w:val="24"/>
          <w:szCs w:val="24"/>
        </w:rPr>
        <w:t xml:space="preserve">3690 · Chi ha preso posizione dichiara.</w:t>
      </w:r>
      <w:r>
        <w:rPr>
          <w:rFonts w:ascii="Barlow Semi Condensed" w:cs="Barlow Semi Condensed" w:eastAsia="Barlow Semi Condensed" w:hAnsi="Barlow Semi Condensed"/>
          <w:sz w:val="24"/>
          <w:szCs w:val="24"/>
        </w:rPr>
        <w:t xml:space="preserve"> Agli esperti il blocco 707 impone la dichiarazione dei conflitti, comprese le posizioni pubbliche assunte, e manda i quesiti più esposti a mani nuove. Su questo nome le posizioni pubbliche sono numerose e antiche, in entrambe le direzioni. La regola è dunque operativa e non teorica: chi ha scritto sulla responsabilità o sull'estraneità di un'autorità straniera non riceve il quesito tecnico che la tocca.</w:t>
      </w:r>
    </w:p>
    <w:p>
      <w:pPr>
        <w:spacing w:after="120" w:line="276"/>
        <w:jc w:val="both"/>
      </w:pPr>
      <w:r>
        <w:rPr>
          <w:rFonts w:ascii="Barlow Semi Condensed" w:cs="Barlow Semi Condensed" w:eastAsia="Barlow Semi Condensed" w:hAnsi="Barlow Semi Condensed"/>
          <w:b/>
          <w:bCs/>
          <w:sz w:val="24"/>
          <w:szCs w:val="24"/>
        </w:rPr>
        <w:t xml:space="preserve">3691 · Il disegno in cieco contro l'attesa.</w:t>
      </w:r>
      <w:r>
        <w:rPr>
          <w:rFonts w:ascii="Barlow Semi Condensed" w:cs="Barlow Semi Condensed" w:eastAsia="Barlow Semi Condensed" w:hAnsi="Barlow Semi Condensed"/>
          <w:sz w:val="24"/>
          <w:szCs w:val="24"/>
        </w:rPr>
        <w:t xml:space="preserve"> Controlli in cieco e randomizzazione dove la metodica lo consenta: così prescrive il blocco 696, perché la psicologia dell'esaminatore è una variabile misurata dalla letteratura. Nessuna variabile è più potente dell'attesa di trovare un nome celebre. Il disegno sperimentale è la sola difesa efficace, e va imposto prima che il quesito venga formulato: dopo, ogni garanzia diventa una giustificazione.</w:t>
      </w:r>
    </w:p>
    <w:p>
      <w:pPr>
        <w:spacing w:after="120" w:line="276"/>
        <w:jc w:val="both"/>
      </w:pPr>
      <w:r>
        <w:rPr>
          <w:rFonts w:ascii="Barlow Semi Condensed" w:cs="Barlow Semi Condensed" w:eastAsia="Barlow Semi Condensed" w:hAnsi="Barlow Semi Condensed"/>
          <w:b/>
          <w:bCs/>
          <w:sz w:val="24"/>
          <w:szCs w:val="24"/>
        </w:rPr>
        <w:t xml:space="preserve">3692 · Il numero accanto al risultato.</w:t>
      </w:r>
      <w:r>
        <w:rPr>
          <w:rFonts w:ascii="Barlow Semi Condensed" w:cs="Barlow Semi Condensed" w:eastAsia="Barlow Semi Condensed" w:hAnsi="Barlow Semi Condensed"/>
          <w:sz w:val="24"/>
          <w:szCs w:val="24"/>
        </w:rPr>
        <w:t xml:space="preserve"> Ogni metodica va usata col suo tasso d'errore noto citato nel verbale, chiede il blocco 697; il prontuario statistico del blocco 732 previene le letture fallaci dei rapporti di verosimiglianza. Sono i due presidi che impediscono a un risultato debole di diventare, nella ripresa pubblica, una conferma forte. La differenza fra scienza e autorevolezza è un numero scritto accanto al risultato.</w:t>
      </w:r>
    </w:p>
    <w:p>
      <w:pPr>
        <w:spacing w:after="120" w:line="276"/>
        <w:jc w:val="both"/>
      </w:pPr>
      <w:r>
        <w:rPr>
          <w:rFonts w:ascii="Barlow Semi Condensed" w:cs="Barlow Semi Condensed" w:eastAsia="Barlow Semi Condensed" w:hAnsi="Barlow Semi Condensed"/>
          <w:b/>
          <w:bCs/>
          <w:sz w:val="24"/>
          <w:szCs w:val="24"/>
        </w:rPr>
        <w:t xml:space="preserve">3693 · La memoria dei periti del 1978.</w:t>
      </w:r>
      <w:r>
        <w:rPr>
          <w:rFonts w:ascii="Barlow Semi Condensed" w:cs="Barlow Semi Condensed" w:eastAsia="Barlow Semi Condensed" w:hAnsi="Barlow Semi Condensed"/>
          <w:sz w:val="24"/>
          <w:szCs w:val="24"/>
        </w:rPr>
        <w:t xml:space="preserve"> I periti del 1978 e dei processi ascoltati dai periti di oggi, come chiedono il blocco 710 e il blocco 119 dell'agenda, spiegano che cosa gli strumenti d'epoca non potevano vedere. Il valore per questa serie è preciso: soltanto chi condusse gli esami originari può dire se qualcuno, allora, pose domande di provenienza estera, e con quale esito. Urgenza anagrafica.</w:t>
      </w:r>
    </w:p>
    <w:p>
      <w:pPr>
        <w:spacing w:after="120" w:line="276"/>
        <w:jc w:val="both"/>
      </w:pPr>
      <w:r>
        <w:rPr>
          <w:rFonts w:ascii="Barlow Semi Condensed" w:cs="Barlow Semi Condensed" w:eastAsia="Barlow Semi Condensed" w:hAnsi="Barlow Semi Condensed"/>
          <w:b/>
          <w:bCs/>
          <w:sz w:val="24"/>
          <w:szCs w:val="24"/>
        </w:rPr>
        <w:t xml:space="preserve">3694 · Il primato che non riguarda questo nome.</w:t>
      </w:r>
      <w:r>
        <w:rPr>
          <w:rFonts w:ascii="Barlow Semi Condensed" w:cs="Barlow Semi Condensed" w:eastAsia="Barlow Semi Condensed" w:hAnsi="Barlow Semi Condensed"/>
          <w:sz w:val="24"/>
          <w:szCs w:val="24"/>
        </w:rPr>
        <w:t xml:space="preserve"> Nessun delitto italiano degli anni Settanta e Ottanta risulta chiuso in giudicato grazie a tecniche nuove su reperti d'epoca: il blocco 716 fa di questa constatazione il punto di partenza della sezione. Se il primato arrivasse, riguarderebbe il registro del giudicato della Parte ottava, che ammette nomi solo dove cinque processi definitivi li hanno iscritti. Nessuna via di laboratorio porta altrove.</w:t>
      </w:r>
    </w:p>
    <w:p>
      <w:pPr>
        <w:spacing w:after="120" w:line="276"/>
        <w:jc w:val="both"/>
      </w:pPr>
      <w:r>
        <w:rPr>
          <w:rFonts w:ascii="Barlow Semi Condensed" w:cs="Barlow Semi Condensed" w:eastAsia="Barlow Semi Condensed" w:hAnsi="Barlow Semi Condensed"/>
          <w:b/>
          <w:bCs/>
          <w:sz w:val="24"/>
          <w:szCs w:val="24"/>
        </w:rPr>
        <w:t xml:space="preserve">3695 · Il monito che vale più degli altri.</w:t>
      </w:r>
      <w:r>
        <w:rPr>
          <w:rFonts w:ascii="Barlow Semi Condensed" w:cs="Barlow Semi Condensed" w:eastAsia="Barlow Semi Condensed" w:hAnsi="Barlow Semi Condensed"/>
          <w:sz w:val="24"/>
          <w:szCs w:val="24"/>
        </w:rPr>
        <w:t xml:space="preserve"> Riaperto decenni dopo con strumenti nuovi e concluso con l'assoluzione definitiva dell'imputato, il caso di Lidia Macchi è per il blocco 720 la lezione più importante della sezione: la tecnica nuova non garantisce la condanna. Vale in ogni direzione, anche verso chi non fu mai imputato. Una scienza messa al servizio di un esito atteso ha già smesso di essere scienza.</w:t>
      </w:r>
    </w:p>
    <w:p>
      <w:pPr>
        <w:spacing w:after="120" w:line="276"/>
        <w:jc w:val="both"/>
      </w:pPr>
      <w:r>
        <w:rPr>
          <w:rFonts w:ascii="Barlow Semi Condensed" w:cs="Barlow Semi Condensed" w:eastAsia="Barlow Semi Condensed" w:hAnsi="Barlow Semi Condensed"/>
          <w:b/>
          <w:bCs/>
          <w:sz w:val="24"/>
          <w:szCs w:val="24"/>
        </w:rPr>
        <w:t xml:space="preserve">3696 · L'unica presenza americana del cantiere.</w:t>
      </w:r>
      <w:r>
        <w:rPr>
          <w:rFonts w:ascii="Barlow Semi Condensed" w:cs="Barlow Semi Condensed" w:eastAsia="Barlow Semi Condensed" w:hAnsi="Barlow Semi Condensed"/>
          <w:sz w:val="24"/>
          <w:szCs w:val="24"/>
        </w:rPr>
        <w:t xml:space="preserve"> Il Golden State Killer del blocco 722, studiato come storia della tecnica e non come ricetta importabile, è l'unica presenza statunitense dell'intera Parte settima. Non è un attore politico: è un precedente di metodo, con le sue questioni di privacy dei parenti e di banche commerciali. Il territorio conosce l'America come laboratorio, mai come parte in causa: l'accertamento è integralmente negativo.</w:t>
      </w:r>
    </w:p>
    <w:p>
      <w:pPr>
        <w:spacing w:after="120" w:line="276"/>
        <w:jc w:val="both"/>
      </w:pPr>
      <w:r>
        <w:rPr>
          <w:rFonts w:ascii="Barlow Semi Condensed" w:cs="Barlow Semi Condensed" w:eastAsia="Barlow Semi Condensed" w:hAnsi="Barlow Semi Condensed"/>
          <w:b/>
          <w:bCs/>
          <w:sz w:val="24"/>
          <w:szCs w:val="24"/>
        </w:rPr>
        <w:t xml:space="preserve">3697 · Il quadro di garanzie svedese.</w:t>
      </w:r>
      <w:r>
        <w:rPr>
          <w:rFonts w:ascii="Barlow Semi Condensed" w:cs="Barlow Semi Condensed" w:eastAsia="Barlow Semi Condensed" w:hAnsi="Barlow Semi Condensed"/>
          <w:sz w:val="24"/>
          <w:szCs w:val="24"/>
        </w:rPr>
        <w:t xml:space="preserve"> La Svezia del blocco 721 offre il primo uso europeo documentato della genealogia genetica forense, arrivato dentro un quadro di garanzie e di dibattito pubblico. È il manuale di ciò che l'Italia non ha scritto. Se un giorno un profilo orfano del 1978 dovesse essere trattato con quella tecnica, il precedente da citare sarà scandinavo e procedurale, non americano e mediatico.</w:t>
      </w:r>
    </w:p>
    <w:p>
      <w:pPr>
        <w:spacing w:after="120" w:line="276"/>
        <w:jc w:val="both"/>
      </w:pPr>
      <w:r>
        <w:rPr>
          <w:rFonts w:ascii="Barlow Semi Condensed" w:cs="Barlow Semi Condensed" w:eastAsia="Barlow Semi Condensed" w:hAnsi="Barlow Semi Condensed"/>
          <w:b/>
          <w:bCs/>
          <w:sz w:val="24"/>
          <w:szCs w:val="24"/>
        </w:rPr>
        <w:t xml:space="preserve">3698 · Perché lo screening qui è impensabile.</w:t>
      </w:r>
      <w:r>
        <w:rPr>
          <w:rFonts w:ascii="Barlow Semi Condensed" w:cs="Barlow Semi Condensed" w:eastAsia="Barlow Semi Condensed" w:hAnsi="Barlow Semi Condensed"/>
          <w:sz w:val="24"/>
          <w:szCs w:val="24"/>
        </w:rPr>
        <w:t xml:space="preserve"> Diciottomila profili raccolti nel caso Gambirasio e condanna definitiva nel 2018: il blocco 717 ne estrae la potenza, il 718 il prezzo e le garanzie. Applicato a un delitto del 1978 il modello non regge, perché mancano la popolazione di riferimento e i viventi da cui raccogliere. Il modello non si copia: si pesa — e pesato, qui non entra.</w:t>
      </w:r>
    </w:p>
    <w:p>
      <w:pPr>
        <w:spacing w:after="120" w:line="276"/>
        <w:jc w:val="both"/>
      </w:pPr>
      <w:r>
        <w:rPr>
          <w:rFonts w:ascii="Barlow Semi Condensed" w:cs="Barlow Semi Condensed" w:eastAsia="Barlow Semi Condensed" w:hAnsi="Barlow Semi Condensed"/>
          <w:b/>
          <w:bCs/>
          <w:sz w:val="24"/>
          <w:szCs w:val="24"/>
        </w:rPr>
        <w:t xml:space="preserve">3699 · La lezione dell'Olgiata.</w:t>
      </w:r>
      <w:r>
        <w:rPr>
          <w:rFonts w:ascii="Barlow Semi Condensed" w:cs="Barlow Semi Condensed" w:eastAsia="Barlow Semi Condensed" w:hAnsi="Barlow Semi Condensed"/>
          <w:sz w:val="24"/>
          <w:szCs w:val="24"/>
        </w:rPr>
        <w:t xml:space="preserve"> L'Olgiata del 1991, chiuso vent'anni dopo grazie al DNA su reperti conservati, insegna al blocco 719 che la conservazione è la precondizione del futuro. È la sola lezione dei precedenti che questa serie possa girare in positivo: proteggere oggi i reperti significa lasciare aperte domande che nessuno sa ancora formulare, comprese quelle che smentiranno le ipotesi oggi più diffuse.</w:t>
      </w:r>
    </w:p>
    <w:p>
      <w:pPr>
        <w:spacing w:after="120" w:line="276"/>
        <w:jc w:val="both"/>
      </w:pPr>
      <w:r>
        <w:rPr>
          <w:rFonts w:ascii="Barlow Semi Condensed" w:cs="Barlow Semi Condensed" w:eastAsia="Barlow Semi Condensed" w:hAnsi="Barlow Semi Condensed"/>
          <w:b/>
          <w:bCs/>
          <w:sz w:val="24"/>
          <w:szCs w:val="24"/>
        </w:rPr>
        <w:t xml:space="preserve">3700 · Il rischio di far dire troppo.</w:t>
      </w:r>
      <w:r>
        <w:rPr>
          <w:rFonts w:ascii="Barlow Semi Condensed" w:cs="Barlow Semi Condensed" w:eastAsia="Barlow Semi Condensed" w:hAnsi="Barlow Semi Condensed"/>
          <w:sz w:val="24"/>
          <w:szCs w:val="24"/>
        </w:rPr>
        <w:t xml:space="preserve"> Il trasferimento secondario e le contaminazioni da deposito, che il blocco 731 documenta come trappole del DNA da contatto, armano il cantiere contro il suo rischio maggiore: trovare un profilo e fargli dire troppo. Il rischio cresce in proporzione alla notorietà dell'ipotesi che si vorrebbe confermare. Il blocco 730 tiene la tavola degli errori forensi clamorosi: si legge prima dell'esame, non dopo.</w:t>
      </w:r>
    </w:p>
    <w:p>
      <w:pPr>
        <w:spacing w:after="120" w:line="276"/>
        <w:jc w:val="both"/>
      </w:pPr>
      <w:r>
        <w:rPr>
          <w:rFonts w:ascii="Barlow Semi Condensed" w:cs="Barlow Semi Condensed" w:eastAsia="Barlow Semi Condensed" w:hAnsi="Barlow Semi Condensed"/>
          <w:b/>
          <w:bCs/>
          <w:sz w:val="24"/>
          <w:szCs w:val="24"/>
        </w:rPr>
        <w:t xml:space="preserve">3701 · Le frontiere genetiche e il loro parere.</w:t>
      </w:r>
      <w:r>
        <w:rPr>
          <w:rFonts w:ascii="Barlow Semi Condensed" w:cs="Barlow Semi Condensed" w:eastAsia="Barlow Semi Condensed" w:hAnsi="Barlow Semi Condensed"/>
          <w:sz w:val="24"/>
          <w:szCs w:val="24"/>
        </w:rPr>
        <w:t xml:space="preserve"> Il sequenziamento massivo del blocco 742 e la scuola del DNA antico del blocco 743 sono le due frontiere che potrebbero un giorno chiedere qualcosa di nuovo ai profili del 1978, marcatori ancestrali compresi. Il parere di praticabilità va scritto prima dell'applicazione, secondo il tornello del blocco 181 dell'agenda. Un marcatore ancestrale indica popolazioni, non cittadinanze e tanto meno persone.</w:t>
      </w:r>
    </w:p>
    <w:p>
      <w:pPr>
        <w:spacing w:after="120" w:line="276"/>
        <w:jc w:val="both"/>
      </w:pPr>
      <w:r>
        <w:rPr>
          <w:rFonts w:ascii="Barlow Semi Condensed" w:cs="Barlow Semi Condensed" w:eastAsia="Barlow Semi Condensed" w:hAnsi="Barlow Semi Condensed"/>
          <w:b/>
          <w:bCs/>
          <w:sz w:val="24"/>
          <w:szCs w:val="24"/>
        </w:rPr>
        <w:t xml:space="preserve">3702 · Il perimetro negativo applicato al nome.</w:t>
      </w:r>
      <w:r>
        <w:rPr>
          <w:rFonts w:ascii="Barlow Semi Condensed" w:cs="Barlow Semi Condensed" w:eastAsia="Barlow Semi Condensed" w:hAnsi="Barlow Semi Condensed"/>
          <w:sz w:val="24"/>
          <w:szCs w:val="24"/>
        </w:rPr>
        <w:t xml:space="preserve"> Il riconoscimento facciale sulle persone è escluso per statuto dal blocco 755 e ribadito dal blocco 758 fra le tecniche che non si useranno. La conseguenza per questa serie è diretta: nessuna fototeca del caso sarà interrogata per collocare un volto straniero in un fotogramma. La macchina indicizza cose; le persone restano fuori dal suo sguardo, e il divieto vale anche per i celebri.</w:t>
      </w:r>
    </w:p>
    <w:p>
      <w:pPr>
        <w:spacing w:after="120" w:line="276"/>
        <w:jc w:val="both"/>
      </w:pPr>
      <w:r>
        <w:rPr>
          <w:rFonts w:ascii="Barlow Semi Condensed" w:cs="Barlow Semi Condensed" w:eastAsia="Barlow Semi Condensed" w:hAnsi="Barlow Semi Condensed"/>
          <w:b/>
          <w:bCs/>
          <w:sz w:val="24"/>
          <w:szCs w:val="24"/>
        </w:rPr>
        <w:t xml:space="preserve">3703 · La copia fedele non crea informazione.</w:t>
      </w:r>
      <w:r>
        <w:rPr>
          <w:rFonts w:ascii="Barlow Semi Condensed" w:cs="Barlow Semi Condensed" w:eastAsia="Barlow Semi Condensed" w:hAnsi="Barlow Semi Condensed"/>
          <w:sz w:val="24"/>
          <w:szCs w:val="24"/>
        </w:rPr>
        <w:t xml:space="preserve"> Un modello linguistico legge molto e non firma nulla, stabilisce il blocco 756: riassunti, indici, segnalazioni, mai contenuto probatorio né citazioni non verificate. Il territorio incontra qui la lezione già fissata dall'opera: la moltiplicazione delle fonti sull'episodio del 1974 è apparente e risale a un unico lancio d'agenzia del 30 novembre 2023. Replicare una sequenza non produce alcun carattere nuovo.</w:t>
      </w:r>
    </w:p>
    <w:p>
      <w:pPr>
        <w:spacing w:after="120" w:line="276"/>
        <w:jc w:val="both"/>
      </w:pPr>
      <w:r>
        <w:rPr>
          <w:rFonts w:ascii="Barlow Semi Condensed" w:cs="Barlow Semi Condensed" w:eastAsia="Barlow Semi Condensed" w:hAnsi="Barlow Semi Condensed"/>
          <w:b/>
          <w:bCs/>
          <w:sz w:val="24"/>
          <w:szCs w:val="24"/>
        </w:rPr>
        <w:t xml:space="preserve">3704 · La diplomatica digitale sui documenti del caso.</w:t>
      </w:r>
      <w:r>
        <w:rPr>
          <w:rFonts w:ascii="Barlow Semi Condensed" w:cs="Barlow Semi Condensed" w:eastAsia="Barlow Semi Condensed" w:hAnsi="Barlow Semi Condensed"/>
          <w:sz w:val="24"/>
          <w:szCs w:val="24"/>
        </w:rPr>
        <w:t xml:space="preserve"> L'analisi computazionale del blocco 751 riconosce mani, macchine e layout su corpora documentali, e si raccorda al fascicolo dattilotecnico del blocco 434, dove le ricostruzioni pubbliche indicano una IBM a testina rotante con carattere corsivo per i comunicati autentici, col modello da fissare in perizia. La macchina classifica, l'esperto decide, il registro conserva: nessuno dei tre passaggi produce attribuzioni di committenza.</w:t>
      </w:r>
    </w:p>
    <w:p>
      <w:pPr>
        <w:spacing w:after="120" w:line="276"/>
        <w:jc w:val="both"/>
      </w:pPr>
      <w:r>
        <w:rPr>
          <w:rFonts w:ascii="Barlow Semi Condensed" w:cs="Barlow Semi Condensed" w:eastAsia="Barlow Semi Condensed" w:hAnsi="Barlow Semi Condensed"/>
          <w:b/>
          <w:bCs/>
          <w:sz w:val="24"/>
          <w:szCs w:val="24"/>
        </w:rPr>
        <w:t xml:space="preserve">3705 · Vedere dentro senza aprire.</w:t>
      </w:r>
      <w:r>
        <w:rPr>
          <w:rFonts w:ascii="Barlow Semi Condensed" w:cs="Barlow Semi Condensed" w:eastAsia="Barlow Semi Condensed" w:hAnsi="Barlow Semi Condensed"/>
          <w:sz w:val="24"/>
          <w:szCs w:val="24"/>
        </w:rPr>
        <w:t xml:space="preserve"> La radiologia dei reperti del blocco 748 e le spettroscopie di superficie del blocco 749 offrono il censimento preliminare più economico che esista, perché non consumano nulla. È la strada da percorrere per prima su ogni oggetto sigillato o fragile, compreso il caricatore mai esaminato. La curiosità non distruttiva precede sempre l'ipotesi distruttiva: vale per tutti i quesiti, anche per quelli non ancora scritti.</w:t>
      </w:r>
    </w:p>
    <w:p>
      <w:pPr>
        <w:spacing w:after="120" w:line="276"/>
        <w:jc w:val="both"/>
      </w:pPr>
      <w:r>
        <w:rPr>
          <w:rFonts w:ascii="Barlow Semi Condensed" w:cs="Barlow Semi Condensed" w:eastAsia="Barlow Semi Condensed" w:hAnsi="Barlow Semi Condensed"/>
          <w:b/>
          <w:bCs/>
          <w:sz w:val="24"/>
          <w:szCs w:val="24"/>
        </w:rPr>
        <w:t xml:space="preserve">3706 · A quale tavolo siederebbe un esito.</w:t>
      </w:r>
      <w:r>
        <w:rPr>
          <w:rFonts w:ascii="Barlow Semi Condensed" w:cs="Barlow Semi Condensed" w:eastAsia="Barlow Semi Condensed" w:hAnsi="Barlow Semi Condensed"/>
          <w:sz w:val="24"/>
          <w:szCs w:val="24"/>
        </w:rPr>
        <w:t xml:space="preserve"> Tre tavoli, ricorda il blocco 766: il giudiziario dove decide il giudice, lo storico dove decide il documento, il pubblico dove decide la qualità della comunicazione. Un esito che sfiorasse questo nome andrebbe al primo prima di ogni uso, per il primato del fascicolo del blocco 767, ed entrerebbe nel corpus storico col suo grado, non con la sua eco. L'ordine è scritto.</w:t>
      </w:r>
    </w:p>
    <w:p>
      <w:pPr>
        <w:spacing w:after="120" w:line="276"/>
        <w:jc w:val="both"/>
      </w:pPr>
      <w:r>
        <w:rPr>
          <w:rFonts w:ascii="Barlow Semi Condensed" w:cs="Barlow Semi Condensed" w:eastAsia="Barlow Semi Condensed" w:hAnsi="Barlow Semi Condensed"/>
          <w:b/>
          <w:bCs/>
          <w:sz w:val="24"/>
          <w:szCs w:val="24"/>
        </w:rPr>
        <w:t xml:space="preserve">3707 · L'invito ai sostenitori della tesi.</w:t>
      </w:r>
      <w:r>
        <w:rPr>
          <w:rFonts w:ascii="Barlow Semi Condensed" w:cs="Barlow Semi Condensed" w:eastAsia="Barlow Semi Condensed" w:hAnsi="Barlow Semi Condensed"/>
          <w:sz w:val="24"/>
          <w:szCs w:val="24"/>
        </w:rPr>
        <w:t xml:space="preserve"> La contro-agenda del blocco 781 invita chi sostiene tesi alternative a formulare bersagli tecnici falsificabili: quale reperto, quale esame, quale esito atteso. L'invito si rivolge qui a chi sostiene una regia straniera del sequestro. Formulare tre righe in quella grammatica è possibile e gratuito. Chi non le formula dichiara da sé la natura della propria tesi, e il cantiere lo registra senza polemica.</w:t>
      </w:r>
    </w:p>
    <w:p>
      <w:pPr>
        <w:spacing w:after="120" w:line="276"/>
        <w:jc w:val="both"/>
      </w:pPr>
      <w:r>
        <w:rPr>
          <w:rFonts w:ascii="Barlow Semi Condensed" w:cs="Barlow Semi Condensed" w:eastAsia="Barlow Semi Condensed" w:hAnsi="Barlow Semi Condensed"/>
          <w:b/>
          <w:bCs/>
          <w:sz w:val="24"/>
          <w:szCs w:val="24"/>
        </w:rPr>
        <w:t xml:space="preserve">3708 · Nessuna tecnica produce un mandante.</w:t>
      </w:r>
      <w:r>
        <w:rPr>
          <w:rFonts w:ascii="Barlow Semi Condensed" w:cs="Barlow Semi Condensed" w:eastAsia="Barlow Semi Condensed" w:hAnsi="Barlow Semi Condensed"/>
          <w:sz w:val="24"/>
          <w:szCs w:val="24"/>
        </w:rPr>
        <w:t xml:space="preserve"> Fra i vuoti della scienza, il blocco 787 accoglie l'accertamento centrale di questa serie: nessuna tecnica forense esistente o prevedibile può risalire da un reperto materiale a una volontà politica. Le scienze identificano fonti, luoghi, tempi e materiali. La domanda sul mandante è storica e giudiziaria, non di laboratorio. Dirlo è la frase più professionale che il cantiere possa pronunciare, e va messa a verbale.</w:t>
      </w:r>
    </w:p>
    <w:p>
      <w:pPr>
        <w:spacing w:after="120" w:line="276"/>
        <w:jc w:val="both"/>
      </w:pPr>
      <w:r>
        <w:rPr>
          <w:rFonts w:ascii="Barlow Semi Condensed" w:cs="Barlow Semi Condensed" w:eastAsia="Barlow Semi Condensed" w:hAnsi="Barlow Semi Condensed"/>
          <w:b/>
          <w:bCs/>
          <w:sz w:val="24"/>
          <w:szCs w:val="24"/>
        </w:rPr>
        <w:t xml:space="preserve">3709 · Il consuntivo delle previsioni.</w:t>
      </w:r>
      <w:r>
        <w:rPr>
          <w:rFonts w:ascii="Barlow Semi Condensed" w:cs="Barlow Semi Condensed" w:eastAsia="Barlow Semi Condensed" w:hAnsi="Barlow Semi Condensed"/>
          <w:sz w:val="24"/>
          <w:szCs w:val="24"/>
        </w:rPr>
        <w:t xml:space="preserve"> Ogni previsione pubblica del cantiere tecnico va registrata e verificata a consuntivo, chiede il blocco 782. Questa serie ne consegna una, misurabile: le campagne d'archivio qui elencate produrranno prevalentemente vuoti verbalizzati e nessun documento di provenienza che nomini un'autorità statunitense in relazione a un reperto. Se la previsione sarà smentita, la smentita sarà un'acquisizione, e andrà scritta con la stessa evidenza.</w:t>
      </w:r>
    </w:p>
    <w:p>
      <w:pPr>
        <w:spacing w:after="120" w:line="276"/>
        <w:jc w:val="both"/>
      </w:pPr>
      <w:r>
        <w:rPr>
          <w:rFonts w:ascii="Barlow Semi Condensed" w:cs="Barlow Semi Condensed" w:eastAsia="Barlow Semi Condensed" w:hAnsi="Barlow Semi Condensed"/>
          <w:b/>
          <w:bCs/>
          <w:sz w:val="24"/>
          <w:szCs w:val="24"/>
        </w:rPr>
        <w:t xml:space="preserve">3710 · La contabilità di questa serie.</w:t>
      </w:r>
      <w:r>
        <w:rPr>
          <w:rFonts w:ascii="Barlow Semi Condensed" w:cs="Barlow Semi Condensed" w:eastAsia="Barlow Semi Condensed" w:hAnsi="Barlow Semi Condensed"/>
          <w:sz w:val="24"/>
          <w:szCs w:val="24"/>
        </w:rPr>
        <w:t xml:space="preserve"> La tavola settima chiude con gli stati dei bersagli; questa serie chiude con i propri. Un solo documento di piano 1, estraneo al cantiere; una convergenza cronologica dichiarata e non promossa; un bersaglio prioritario reale, il verbale d'udienza del novembre 1982 negli atti digitalizzati dall'Archivio di Stato di Roma; per tutto il resto, Stati Zero con le loro sedi. Il territorio ha risposto contando.</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Serie quarantanovesima — I nove cantieri: memoriale, audio e immagine</w:t>
      </w:r>
    </w:p>
    <w:p>
      <w:pPr>
        <w:spacing w:after="120" w:line="276"/>
        <w:jc w:val="both"/>
      </w:pPr>
      <w:r>
        <w:rPr>
          <w:rFonts w:ascii="Barlow Semi Condensed" w:cs="Barlow Semi Condensed" w:eastAsia="Barlow Semi Condensed" w:hAnsi="Barlow Semi Condensed"/>
          <w:i/>
          <w:iCs/>
          <w:sz w:val="24"/>
          <w:szCs w:val="24"/>
        </w:rPr>
        <w:t xml:space="preserve">Blocchi 3711-3785.</w:t>
      </w:r>
    </w:p>
    <w:p>
      <w:pPr>
        <w:spacing w:after="120" w:line="276"/>
        <w:jc w:val="both"/>
      </w:pPr>
      <w:r>
        <w:rPr>
          <w:rFonts w:ascii="Barlow Semi Condensed" w:cs="Barlow Semi Condensed" w:eastAsia="Barlow Semi Condensed" w:hAnsi="Barlow Semi Condensed"/>
          <w:b/>
          <w:bCs/>
          <w:sz w:val="24"/>
          <w:szCs w:val="24"/>
        </w:rPr>
        <w:t xml:space="preserve">3711 · Zero occorrenze nel cantiere.</w:t>
      </w:r>
      <w:r>
        <w:rPr>
          <w:rFonts w:ascii="Barlow Semi Condensed" w:cs="Barlow Semi Condensed" w:eastAsia="Barlow Semi Condensed" w:hAnsi="Barlow Semi Condensed"/>
          <w:sz w:val="24"/>
          <w:szCs w:val="24"/>
        </w:rPr>
        <w:t xml:space="preserve"> Accertamento eseguito con ricerca testuale sull'intero file nove-cantieri-mille-blocchi.md: il nome triangolato non vi compare mai. Nei blocchi 461-660 mancano anche «Washington», «Stati Uniti», «statunitense», «NATO», «atlantico»: le sole occorrenze americane del volume stanno nella Parte prima, ai blocchi 25, 38, 82, 97 e 119. Grado: verificabile da chiunque riesegua la ricerca. È lo Stato Zero che governa l'intera serie.</w:t>
      </w:r>
    </w:p>
    <w:p>
      <w:pPr>
        <w:spacing w:after="120" w:line="276"/>
        <w:jc w:val="both"/>
      </w:pPr>
      <w:r>
        <w:rPr>
          <w:rFonts w:ascii="Barlow Semi Condensed" w:cs="Barlow Semi Condensed" w:eastAsia="Barlow Semi Condensed" w:hAnsi="Barlow Semi Condensed"/>
          <w:b/>
          <w:bCs/>
          <w:sz w:val="24"/>
          <w:szCs w:val="24"/>
        </w:rPr>
        <w:t xml:space="preserve">3712 · Il perimetro negativo già scritto.</w:t>
      </w:r>
      <w:r>
        <w:rPr>
          <w:rFonts w:ascii="Barlow Semi Condensed" w:cs="Barlow Semi Condensed" w:eastAsia="Barlow Semi Condensed" w:hAnsi="Barlow Semi Condensed"/>
          <w:sz w:val="24"/>
          <w:szCs w:val="24"/>
        </w:rPr>
        <w:t xml:space="preserve"> La Fase sesta del corpus dichiara come ricerca condotta e chiusa in negativo il documento che leghi Kissinger-persona alla catena di comando del delitto. Le Parti quinta e sesta dei cantieri non ripetono quel perimetro perché non lo incontrano mai: il loro oggetto è la carta della prigionia e il supporto sensibile. Richiamarlo qui impedisce che il silenzio del cantiere venga letto come reticenza.</w:t>
      </w:r>
    </w:p>
    <w:p>
      <w:pPr>
        <w:spacing w:after="120" w:line="276"/>
        <w:jc w:val="both"/>
      </w:pPr>
      <w:r>
        <w:rPr>
          <w:rFonts w:ascii="Barlow Semi Condensed" w:cs="Barlow Semi Condensed" w:eastAsia="Barlow Semi Condensed" w:hAnsi="Barlow Semi Condensed"/>
          <w:b/>
          <w:bCs/>
          <w:sz w:val="24"/>
          <w:szCs w:val="24"/>
        </w:rPr>
        <w:t xml:space="preserve">3713 · Lo stemma non ha rami esteri.</w:t>
      </w:r>
      <w:r>
        <w:rPr>
          <w:rFonts w:ascii="Barlow Semi Condensed" w:cs="Barlow Semi Condensed" w:eastAsia="Barlow Semi Condensed" w:hAnsi="Barlow Semi Condensed"/>
          <w:sz w:val="24"/>
          <w:szCs w:val="24"/>
        </w:rPr>
        <w:t xml:space="preserve"> Lo stemma codicum posto dal blocco 461 come primo strumento distingue la stesura A, gli autografi mai trovati, la B, le fotocopie del 1990, e la C, i dattiloscritti del 1978. Nessuna delle tre ha nella propria tradizione un passaggio estero documentato. Chi volesse aggiungervi un ramo americano dovrebbe produrre un inventario o un verbale di consegna che nomini una sede statunitense.</w:t>
      </w:r>
    </w:p>
    <w:p>
      <w:pPr>
        <w:spacing w:after="120" w:line="276"/>
        <w:jc w:val="both"/>
      </w:pPr>
      <w:r>
        <w:rPr>
          <w:rFonts w:ascii="Barlow Semi Condensed" w:cs="Barlow Semi Condensed" w:eastAsia="Barlow Semi Condensed" w:hAnsi="Barlow Semi Condensed"/>
          <w:b/>
          <w:bCs/>
          <w:sz w:val="24"/>
          <w:szCs w:val="24"/>
        </w:rPr>
        <w:t xml:space="preserve">3714 · Il verbale del 1978, interrogato.</w:t>
      </w:r>
      <w:r>
        <w:rPr>
          <w:rFonts w:ascii="Barlow Semi Condensed" w:cs="Barlow Semi Condensed" w:eastAsia="Barlow Semi Condensed" w:hAnsi="Barlow Semi Condensed"/>
          <w:sz w:val="24"/>
          <w:szCs w:val="24"/>
        </w:rPr>
        <w:t xml:space="preserve"> Ricostruire atto per atto il 1° ottobre 1978 in via Monte Nevoso 8 è il compito del blocco 462. Quesito da portare agli atti dei cinque processi digitalizzati, presso l'Archivio di Stato di Roma e il Ministero della Giustizia: il verbale di perquisizione e l'inventario del sequestrato contengono riferimenti ad autorità straniere? Si verbalizza comunque, perché un negativo cercato pesa più di un negativo presunto.</w:t>
      </w:r>
    </w:p>
    <w:p>
      <w:pPr>
        <w:spacing w:after="120" w:line="276"/>
        <w:jc w:val="both"/>
      </w:pPr>
      <w:r>
        <w:rPr>
          <w:rFonts w:ascii="Barlow Semi Condensed" w:cs="Barlow Semi Condensed" w:eastAsia="Barlow Semi Condensed" w:hAnsi="Barlow Semi Condensed"/>
          <w:b/>
          <w:bCs/>
          <w:sz w:val="24"/>
          <w:szCs w:val="24"/>
        </w:rPr>
        <w:t xml:space="preserve">3715 · La catena degli uffici del 1990.</w:t>
      </w:r>
      <w:r>
        <w:rPr>
          <w:rFonts w:ascii="Barlow Semi Condensed" w:cs="Barlow Semi Condensed" w:eastAsia="Barlow Semi Condensed" w:hAnsi="Barlow Semi Condensed"/>
          <w:sz w:val="24"/>
          <w:szCs w:val="24"/>
        </w:rPr>
        <w:t xml:space="preserve"> Al blocco 463 la trattazione dei quattrocentoventuno fogli risulta affidata, secondo la verifica, alla DIGOS di Milano e al SISDE. Quesito: quella catena comprende comunicazioni a servizi alleati? Sedi che lo chiuderebbero: gli atti della Commissione stragi e i versamenti del Viminale nel fondo della Direttiva Renzi all'Archivio centrale dello Stato. Ogni ipotesi di circolazione internazionale della stesura B resta oggi affermazione di terzo piano.</w:t>
      </w:r>
    </w:p>
    <w:p>
      <w:pPr>
        <w:spacing w:after="120" w:line="276"/>
        <w:jc w:val="both"/>
      </w:pPr>
      <w:r>
        <w:rPr>
          <w:rFonts w:ascii="Barlow Semi Condensed" w:cs="Barlow Semi Condensed" w:eastAsia="Barlow Semi Condensed" w:hAnsi="Barlow Semi Condensed"/>
          <w:b/>
          <w:bCs/>
          <w:sz w:val="24"/>
          <w:szCs w:val="24"/>
        </w:rPr>
        <w:t xml:space="preserve">3716 · I dodici anni del muro.</w:t>
      </w:r>
      <w:r>
        <w:rPr>
          <w:rFonts w:ascii="Barlow Semi Condensed" w:cs="Barlow Semi Condensed" w:eastAsia="Barlow Semi Condensed" w:hAnsi="Barlow Semi Condensed"/>
          <w:sz w:val="24"/>
          <w:szCs w:val="24"/>
        </w:rPr>
        <w:t xml:space="preserve"> Chiedere la storia dell'appartamento fra il 1978 e il 1990 — accessi, lavori, passaggi di proprietà — è il quesito strutturale del blocco 464. La cronologia si chiude in conservatoria e nei registri societari, non oltreoceano. Bersaglio di smentita per chi ipotizzi mani straniere sull'intercapedine: un atto di conservatoria che nomini un soggetto estero. Finché non esiste, l'ipotesi non è debole: è inesistente come tesi documentale.</w:t>
      </w:r>
    </w:p>
    <w:p>
      <w:pPr>
        <w:spacing w:after="120" w:line="276"/>
        <w:jc w:val="both"/>
      </w:pPr>
      <w:r>
        <w:rPr>
          <w:rFonts w:ascii="Barlow Semi Condensed" w:cs="Barlow Semi Condensed" w:eastAsia="Barlow Semi Condensed" w:hAnsi="Barlow Semi Condensed"/>
          <w:b/>
          <w:bCs/>
          <w:sz w:val="24"/>
          <w:szCs w:val="24"/>
        </w:rPr>
        <w:t xml:space="preserve">3717 · La stesura A e la tentazione.</w:t>
      </w:r>
      <w:r>
        <w:rPr>
          <w:rFonts w:ascii="Barlow Semi Condensed" w:cs="Barlow Semi Condensed" w:eastAsia="Barlow Semi Condensed" w:hAnsi="Barlow Semi Condensed"/>
          <w:sz w:val="24"/>
          <w:szCs w:val="24"/>
        </w:rPr>
        <w:t xml:space="preserve"> Attorno al vuoto perimetrato dal blocco 467 — gli autografi e le bobine degli interrogatori mai trovati — è cresciuta la pubblicistica che vi colloca custodi stranieri. La regola è che l'assenza di un documento non è indizio della sua custodia altrove. Stato Zero: nessuna carta attesta il transito degli autografi. Sedi che lo chiuderebbero: NARA AAD e le schede di ritiro del 1978, censite nell'apparato V-3 dell'agenda.</w:t>
      </w:r>
    </w:p>
    <w:p>
      <w:pPr>
        <w:spacing w:after="120" w:line="276"/>
        <w:jc w:val="both"/>
      </w:pPr>
      <w:r>
        <w:rPr>
          <w:rFonts w:ascii="Barlow Semi Condensed" w:cs="Barlow Semi Condensed" w:eastAsia="Barlow Semi Condensed" w:hAnsi="Barlow Semi Condensed"/>
          <w:b/>
          <w:bCs/>
          <w:sz w:val="24"/>
          <w:szCs w:val="24"/>
        </w:rPr>
        <w:t xml:space="preserve">3718 · Contare i fogli, non le ombre.</w:t>
      </w:r>
      <w:r>
        <w:rPr>
          <w:rFonts w:ascii="Barlow Semi Condensed" w:cs="Barlow Semi Condensed" w:eastAsia="Barlow Semi Condensed" w:hAnsi="Barlow Semi Condensed"/>
          <w:sz w:val="24"/>
          <w:szCs w:val="24"/>
        </w:rPr>
        <w:t xml:space="preserve"> La riconciliazione dei conteggi imposta dal blocco 466 — quarantanove cartelle dattiloscritte nel 1978, quattrocentoventuno fogli inventariati nel 1990, con le divergenze dichiarate — è aritmetica d'archivio e non ha versante internazionale. Chi cita il memoriale a sostegno di tesi atlantiche cita quasi sempre senza indicare stesura né edizione: la deontologia del blocco 558 è il primo argine, e vale contro ogni uso strumentale.</w:t>
      </w:r>
    </w:p>
    <w:p>
      <w:pPr>
        <w:spacing w:after="120" w:line="276"/>
        <w:jc w:val="both"/>
      </w:pPr>
      <w:r>
        <w:rPr>
          <w:rFonts w:ascii="Barlow Semi Condensed" w:cs="Barlow Semi Condensed" w:eastAsia="Barlow Semi Condensed" w:hAnsi="Barlow Semi Condensed"/>
          <w:b/>
          <w:bCs/>
          <w:sz w:val="24"/>
          <w:szCs w:val="24"/>
        </w:rPr>
        <w:t xml:space="preserve">3719 · L'indice dei nomi come test.</w:t>
      </w:r>
      <w:r>
        <w:rPr>
          <w:rFonts w:ascii="Barlow Semi Condensed" w:cs="Barlow Semi Condensed" w:eastAsia="Barlow Semi Condensed" w:hAnsi="Barlow Semi Condensed"/>
          <w:sz w:val="24"/>
          <w:szCs w:val="24"/>
        </w:rPr>
        <w:t xml:space="preserve"> Assunta dal blocco 470 come riferimento dei conteggi, l'edizione critica curata da Michele Di Sivo per la Direzione generale Archivi e De Luca nel 2019 fu presentata all'Archivio di Stato di Roma il 25 febbraio 2020. Bersaglio primo, minimo e chiudibile: verificare se il suo indice dei nomi registri il lemma qui triangolato. È l'accertamento che decide se il territorio abbia un aggancio di primo piano.</w:t>
      </w:r>
    </w:p>
    <w:p>
      <w:pPr>
        <w:spacing w:after="120" w:line="276"/>
        <w:jc w:val="both"/>
      </w:pPr>
      <w:r>
        <w:rPr>
          <w:rFonts w:ascii="Barlow Semi Condensed" w:cs="Barlow Semi Condensed" w:eastAsia="Barlow Semi Condensed" w:hAnsi="Barlow Semi Condensed"/>
          <w:b/>
          <w:bCs/>
          <w:sz w:val="24"/>
          <w:szCs w:val="24"/>
        </w:rPr>
        <w:t xml:space="preserve">3720 · Le tre edizioni a confronto.</w:t>
      </w:r>
      <w:r>
        <w:rPr>
          <w:rFonts w:ascii="Barlow Semi Condensed" w:cs="Barlow Semi Condensed" w:eastAsia="Barlow Semi Condensed" w:hAnsi="Barlow Semi Condensed"/>
          <w:sz w:val="24"/>
          <w:szCs w:val="24"/>
        </w:rPr>
        <w:t xml:space="preserve"> La collazione preliminare prescritta fra il riordino comparato della Commissione stragi del 2001, la curatela Gotor del 2011 e l'edizione critica del 2020 va eseguita anche su quel lemma. Se il nome comparisse in una sola delle tre, la divergenza sarebbe filologica prima che storica: lezione, taglio, scelta editoriale. L'esito si verbalizza in ogni direzione, come il blocco 469 impone al proprio metodo.</w:t>
      </w:r>
    </w:p>
    <w:p>
      <w:pPr>
        <w:spacing w:after="120" w:line="276"/>
        <w:jc w:val="both"/>
      </w:pPr>
      <w:r>
        <w:rPr>
          <w:rFonts w:ascii="Barlow Semi Condensed" w:cs="Barlow Semi Condensed" w:eastAsia="Barlow Semi Condensed" w:hAnsi="Barlow Semi Condensed"/>
          <w:b/>
          <w:bCs/>
          <w:sz w:val="24"/>
          <w:szCs w:val="24"/>
        </w:rPr>
        <w:t xml:space="preserve">3721 · Le varianti B e C, lette bene.</w:t>
      </w:r>
      <w:r>
        <w:rPr>
          <w:rFonts w:ascii="Barlow Semi Condensed" w:cs="Barlow Semi Condensed" w:eastAsia="Barlow Semi Condensed" w:hAnsi="Barlow Semi Condensed"/>
          <w:sz w:val="24"/>
          <w:szCs w:val="24"/>
        </w:rPr>
        <w:t xml:space="preserve"> Trattare le varianti come comportamento dei copisti è la regola del blocco 473. Se un riferimento ad autorità americane esistesse nelle fotocopie del 1990 e mancasse nei dattiloscritti del 1978, la differenza andrebbe portata in matrice a ipotesi concorrenti — selezione brigatista, fretta, censura interna — e non letta come occultamento. Le condotte di chi trascrive si documentano, non si deducono dal movente più comodo.</w:t>
      </w:r>
    </w:p>
    <w:p>
      <w:pPr>
        <w:spacing w:after="120" w:line="276"/>
        <w:jc w:val="both"/>
      </w:pPr>
      <w:r>
        <w:rPr>
          <w:rFonts w:ascii="Barlow Semi Condensed" w:cs="Barlow Semi Condensed" w:eastAsia="Barlow Semi Condensed" w:hAnsi="Barlow Semi Condensed"/>
          <w:b/>
          <w:bCs/>
          <w:sz w:val="24"/>
          <w:szCs w:val="24"/>
        </w:rPr>
        <w:t xml:space="preserve">3722 · La fotocopia non è l'originale.</w:t>
      </w:r>
      <w:r>
        <w:rPr>
          <w:rFonts w:ascii="Barlow Semi Condensed" w:cs="Barlow Semi Condensed" w:eastAsia="Barlow Semi Condensed" w:hAnsi="Barlow Semi Condensed"/>
          <w:sz w:val="24"/>
          <w:szCs w:val="24"/>
        </w:rPr>
        <w:t xml:space="preserve"> Stampato in testa a ogni uso della stesura B, il limite del blocco 482 è intrinseco alla perizia grafica su fotocopia. Ne discende che nessuna lettura la quale pretenda da quelle pagine una parola esatta riferita a una persona può reggere il grado richiesto. L'autenticità della scrittura attestata dopo il 1990 convive con l'impossibilità di escludere manipolazioni di dettaglio: si dicono insieme.</w:t>
      </w:r>
    </w:p>
    <w:p>
      <w:pPr>
        <w:spacing w:after="120" w:line="276"/>
        <w:jc w:val="both"/>
      </w:pPr>
      <w:r>
        <w:rPr>
          <w:rFonts w:ascii="Barlow Semi Condensed" w:cs="Barlow Semi Condensed" w:eastAsia="Barlow Semi Condensed" w:hAnsi="Barlow Semi Condensed"/>
          <w:b/>
          <w:bCs/>
          <w:sz w:val="24"/>
          <w:szCs w:val="24"/>
        </w:rPr>
        <w:t xml:space="preserve">3723 · Il multispettrale e le attese.</w:t>
      </w:r>
      <w:r>
        <w:rPr>
          <w:rFonts w:ascii="Barlow Semi Condensed" w:cs="Barlow Semi Condensed" w:eastAsia="Barlow Semi Condensed" w:hAnsi="Barlow Semi Condensed"/>
          <w:sz w:val="24"/>
          <w:szCs w:val="24"/>
        </w:rPr>
        <w:t xml:space="preserve"> L'imaging moderno sulle fotocopie, previsto dal blocco 483 in raccordo col 444, va disposto per ragioni filologiche e non per cercarvi nomi. Bersaglio di smentita dichiarato prima dell'esame: se emergessero segni di montaggio su pagine di argomento internazionale, sarebbe un dato peritale da trattare in perizia, e mai da solo un ponte verso alcuna persona nominata. L'ordine dei passaggi protegge il risultato.</w:t>
      </w:r>
    </w:p>
    <w:p>
      <w:pPr>
        <w:spacing w:after="120" w:line="276"/>
        <w:jc w:val="both"/>
      </w:pPr>
      <w:r>
        <w:rPr>
          <w:rFonts w:ascii="Barlow Semi Condensed" w:cs="Barlow Semi Condensed" w:eastAsia="Barlow Semi Condensed" w:hAnsi="Barlow Semi Condensed"/>
          <w:b/>
          <w:bCs/>
          <w:sz w:val="24"/>
          <w:szCs w:val="24"/>
        </w:rPr>
        <w:t xml:space="preserve">3724 · Le mani che batterono la C.</w:t>
      </w:r>
      <w:r>
        <w:rPr>
          <w:rFonts w:ascii="Barlow Semi Condensed" w:cs="Barlow Semi Condensed" w:eastAsia="Barlow Semi Condensed" w:hAnsi="Barlow Semi Condensed"/>
          <w:sz w:val="24"/>
          <w:szCs w:val="24"/>
        </w:rPr>
        <w:t xml:space="preserve"> Leggere la stesura C come prodotto di lavoro — quante mani, quali macchine, quali abitudini — è il compito del blocco 475. Il soggetto collettivo che trascrisse è brigatista e documentabile. Nessuna ipotesi di mano terza straniera regge senza un confronto meccanico con una macchina identificata fra i reperti dattilografici agli atti. Il primo piano richiede una macchina e un verbale, non una verosimiglianza.</w:t>
      </w:r>
    </w:p>
    <w:p>
      <w:pPr>
        <w:spacing w:after="120" w:line="276"/>
        <w:jc w:val="both"/>
      </w:pPr>
      <w:r>
        <w:rPr>
          <w:rFonts w:ascii="Barlow Semi Condensed" w:cs="Barlow Semi Condensed" w:eastAsia="Barlow Semi Condensed" w:hAnsi="Barlow Semi Condensed"/>
          <w:b/>
          <w:bCs/>
          <w:sz w:val="24"/>
          <w:szCs w:val="24"/>
        </w:rPr>
        <w:t xml:space="preserve">3725 · Il calendario interno del testo.</w:t>
      </w:r>
      <w:r>
        <w:rPr>
          <w:rFonts w:ascii="Barlow Semi Condensed" w:cs="Barlow Semi Condensed" w:eastAsia="Barlow Semi Condensed" w:hAnsi="Barlow Semi Condensed"/>
          <w:sz w:val="24"/>
          <w:szCs w:val="24"/>
        </w:rPr>
        <w:t xml:space="preserve"> Dagli eventi citati come termini post quem il blocco 477 ricostruisce la cronologia interna della scrittura. Quesito mirato per questo territorio: quali fatti internazionali databili il testo richiami, e con quale fonte di conoscenza. È l'unico modo disciplinato di misurare quanto il prigioniero parlasse davvero di politica atlantica, invece di dedurlo dalla sua biografia di ministro degli Esteri fra il 1969 e il 1974.</w:t>
      </w:r>
    </w:p>
    <w:p>
      <w:pPr>
        <w:spacing w:after="120" w:line="276"/>
        <w:jc w:val="both"/>
      </w:pPr>
      <w:r>
        <w:rPr>
          <w:rFonts w:ascii="Barlow Semi Condensed" w:cs="Barlow Semi Condensed" w:eastAsia="Barlow Semi Condensed" w:hAnsi="Barlow Semi Condensed"/>
          <w:b/>
          <w:bCs/>
          <w:sz w:val="24"/>
          <w:szCs w:val="24"/>
        </w:rPr>
        <w:t xml:space="preserve">3726 · Moro testimone, con la griglia.</w:t>
      </w:r>
      <w:r>
        <w:rPr>
          <w:rFonts w:ascii="Barlow Semi Condensed" w:cs="Barlow Semi Condensed" w:eastAsia="Barlow Semi Condensed" w:hAnsi="Barlow Semi Condensed"/>
          <w:sz w:val="24"/>
          <w:szCs w:val="24"/>
        </w:rPr>
        <w:t xml:space="preserve"> Moro si tratta come ogni testimone: il blocco 537 impone che la fonte della conoscenza qualifichi ciascun enunciato. Se scrisse di posizioni americane, lo fece da protagonista dei colloqui bilaterali, dunque per conoscenza diretta di ruolo e non per conoscenza dell'episodio contestato. La distinzione va stampata prima di ogni citazione, perché è esattamente quella che le riprese divulgative cancellano.</w:t>
      </w:r>
    </w:p>
    <w:p>
      <w:pPr>
        <w:spacing w:after="120" w:line="276"/>
        <w:jc w:val="both"/>
      </w:pPr>
      <w:r>
        <w:rPr>
          <w:rFonts w:ascii="Barlow Semi Condensed" w:cs="Barlow Semi Condensed" w:eastAsia="Barlow Semi Condensed" w:hAnsi="Barlow Semi Condensed"/>
          <w:b/>
          <w:bCs/>
          <w:sz w:val="24"/>
          <w:szCs w:val="24"/>
        </w:rPr>
        <w:t xml:space="preserve">3727 · Il riscontro ha una sede.</w:t>
      </w:r>
      <w:r>
        <w:rPr>
          <w:rFonts w:ascii="Barlow Semi Condensed" w:cs="Barlow Semi Condensed" w:eastAsia="Barlow Semi Condensed" w:hAnsi="Barlow Semi Condensed"/>
          <w:sz w:val="24"/>
          <w:szCs w:val="24"/>
        </w:rPr>
        <w:t xml:space="preserve"> Ogni affermazione fattuale del memoriale diventa bersaglio d'archivio al blocco 538, con esito confermato, smentito o non riscontrabile. Sul versante americano la sede è nominata dall'apparato V-3 dell'agenda: i Central Foreign Policy Files 1973-1979 interrogabili in full-text su NARA AAD e la FOIA Library del Dipartimento di Stato. Anche l'esito negativo è un risultato, e si scrive con la griglia di ricerca dichiarata.</w:t>
      </w:r>
    </w:p>
    <w:p>
      <w:pPr>
        <w:spacing w:after="120" w:line="276"/>
        <w:jc w:val="both"/>
      </w:pPr>
      <w:r>
        <w:rPr>
          <w:rFonts w:ascii="Barlow Semi Condensed" w:cs="Barlow Semi Condensed" w:eastAsia="Barlow Semi Condensed" w:hAnsi="Barlow Semi Condensed"/>
          <w:b/>
          <w:bCs/>
          <w:sz w:val="24"/>
          <w:szCs w:val="24"/>
        </w:rPr>
        <w:t xml:space="preserve">3728 · Il silenzio del testo.</w:t>
      </w:r>
      <w:r>
        <w:rPr>
          <w:rFonts w:ascii="Barlow Semi Condensed" w:cs="Barlow Semi Condensed" w:eastAsia="Barlow Semi Condensed" w:hAnsi="Barlow Semi Condensed"/>
          <w:sz w:val="24"/>
          <w:szCs w:val="24"/>
        </w:rPr>
        <w:t xml:space="preserve"> Congetturale per costruzione: così il blocco 539 qualifica l'analisi delle omissioni strategiche del prigioniero. Corollario per questa serie: dal silenzio del memoriale su un nome non si deduce né ignoranza né protezione. Il silenzio testuale è un dato misurabile; la sua spiegazione è ipotesi, e va in matrice con le evidenze che la discriminerebbero. Confondere i due livelli è l'errore più frequente della pubblicistica.</w:t>
      </w:r>
    </w:p>
    <w:p>
      <w:pPr>
        <w:spacing w:after="120" w:line="276"/>
        <w:jc w:val="both"/>
      </w:pPr>
      <w:r>
        <w:rPr>
          <w:rFonts w:ascii="Barlow Semi Condensed" w:cs="Barlow Semi Condensed" w:eastAsia="Barlow Semi Condensed" w:hAnsi="Barlow Semi Condensed"/>
          <w:b/>
          <w:bCs/>
          <w:sz w:val="24"/>
          <w:szCs w:val="24"/>
        </w:rPr>
        <w:t xml:space="preserve">3729 · La stilometria e il suo perimetro.</w:t>
      </w:r>
      <w:r>
        <w:rPr>
          <w:rFonts w:ascii="Barlow Semi Condensed" w:cs="Barlow Semi Condensed" w:eastAsia="Barlow Semi Condensed" w:hAnsi="Barlow Semi Condensed"/>
          <w:sz w:val="24"/>
          <w:szCs w:val="24"/>
        </w:rPr>
        <w:t xml:space="preserve"> Verificato e registrato al blocco 498, il vuoto è netto: non risulta alcuno studio attributivo quantitativo sul memoriale e sui comunicati. Il blocco 202 dell'agenda ne fissa il perimetro: la stilometria orienta quesiti d'archivio, non attribuisce paternità in sede storica né giudiziaria, ed è di grado dichiaratamente terzo. Chi se ne attendesse un verdetto su influenze straniere fraintende lo strumento prima dei dati.</w:t>
      </w:r>
    </w:p>
    <w:p>
      <w:pPr>
        <w:spacing w:after="120" w:line="276"/>
        <w:jc w:val="both"/>
      </w:pPr>
      <w:r>
        <w:rPr>
          <w:rFonts w:ascii="Barlow Semi Condensed" w:cs="Barlow Semi Condensed" w:eastAsia="Barlow Semi Condensed" w:hAnsi="Barlow Semi Condensed"/>
          <w:b/>
          <w:bCs/>
          <w:sz w:val="24"/>
          <w:szCs w:val="24"/>
        </w:rPr>
        <w:t xml:space="preserve">3730 · Contare prima di attribuire.</w:t>
      </w:r>
      <w:r>
        <w:rPr>
          <w:rFonts w:ascii="Barlow Semi Condensed" w:cs="Barlow Semi Condensed" w:eastAsia="Barlow Semi Condensed" w:hAnsi="Barlow Semi Condensed"/>
          <w:sz w:val="24"/>
          <w:szCs w:val="24"/>
        </w:rPr>
        <w:t xml:space="preserve"> Prima di attribuire, contare: il blocco 551 progetta il lessico di frequenza integrale del corpus della prigionia, separato per memoriale, lettere e comunicati. Bersaglio che questa serie aggiunge: quante occorrenze abbiano i nomi di autorità straniere, e in quali stesure. È un dato numerico, pubblicabile e falsificabile, che oggi non esiste in nessuna sede. L'infrastruttura viene prima dell'interpretazione.</w:t>
      </w:r>
    </w:p>
    <w:p>
      <w:pPr>
        <w:spacing w:after="120" w:line="276"/>
        <w:jc w:val="both"/>
      </w:pPr>
      <w:r>
        <w:rPr>
          <w:rFonts w:ascii="Barlow Semi Condensed" w:cs="Barlow Semi Condensed" w:eastAsia="Barlow Semi Condensed" w:hAnsi="Barlow Semi Condensed"/>
          <w:b/>
          <w:bCs/>
          <w:sz w:val="24"/>
          <w:szCs w:val="24"/>
        </w:rPr>
        <w:t xml:space="preserve">3731 · Il canone delle novantasette.</w:t>
      </w:r>
      <w:r>
        <w:rPr>
          <w:rFonts w:ascii="Barlow Semi Condensed" w:cs="Barlow Semi Condensed" w:eastAsia="Barlow Semi Condensed" w:hAnsi="Barlow Semi Condensed"/>
          <w:sz w:val="24"/>
          <w:szCs w:val="24"/>
        </w:rPr>
        <w:t xml:space="preserve"> Censito sull'edizione Gotor del 2008, il canone epistolare conta novantasette lettere con le varianti di computo dichiarate dal blocco 486. Quesito: esiste nel canone una lettera che nomini un'autorità statunitense? La tavola dei testimoni per ciascuna lettera è lo strumento. Un esito negativo sarebbe acquisizione piena: chiuderebbe una vulgata senza doverla confutare, che è il modo più economico di chiuderla.</w:t>
      </w:r>
    </w:p>
    <w:p>
      <w:pPr>
        <w:spacing w:after="120" w:line="276"/>
        <w:jc w:val="both"/>
      </w:pPr>
      <w:r>
        <w:rPr>
          <w:rFonts w:ascii="Barlow Semi Condensed" w:cs="Barlow Semi Condensed" w:eastAsia="Barlow Semi Condensed" w:hAnsi="Barlow Semi Condensed"/>
          <w:b/>
          <w:bCs/>
          <w:sz w:val="24"/>
          <w:szCs w:val="24"/>
        </w:rPr>
        <w:t xml:space="preserve">3732 · I destinatari, e chi manca.</w:t>
      </w:r>
      <w:r>
        <w:rPr>
          <w:rFonts w:ascii="Barlow Semi Condensed" w:cs="Barlow Semi Condensed" w:eastAsia="Barlow Semi Condensed" w:hAnsi="Barlow Semi Condensed"/>
          <w:sz w:val="24"/>
          <w:szCs w:val="24"/>
        </w:rPr>
        <w:t xml:space="preserve"> Cossiga, Zaccagnini, Andreotti, Fanfani, Leone: sono i destinatari politici maggiori elencati dal blocco 493, e nessun destinatario estero risulta nel canone. Bersaglio di smentita: una lettera indirizzata fuori d'Italia, con tradizione documentata. Sedi che lo chiuderebbero: i fondi dei destinatari censiti dal blocco 505 e l'Edizione nazionale bolognese richiamata dal blocco 919, aldomorodigitale.unibo.it, che pubblica progressivamente i testi editi.</w:t>
      </w:r>
    </w:p>
    <w:p>
      <w:pPr>
        <w:spacing w:after="120" w:line="276"/>
        <w:jc w:val="both"/>
      </w:pPr>
      <w:r>
        <w:rPr>
          <w:rFonts w:ascii="Barlow Semi Condensed" w:cs="Barlow Semi Condensed" w:eastAsia="Barlow Semi Condensed" w:hAnsi="Barlow Semi Condensed"/>
          <w:b/>
          <w:bCs/>
          <w:sz w:val="24"/>
          <w:szCs w:val="24"/>
        </w:rPr>
        <w:t xml:space="preserve">3733 · Leone, due strati d'archivio.</w:t>
      </w:r>
      <w:r>
        <w:rPr>
          <w:rFonts w:ascii="Barlow Semi Condensed" w:cs="Barlow Semi Condensed" w:eastAsia="Barlow Semi Condensed" w:hAnsi="Barlow Semi Condensed"/>
          <w:sz w:val="24"/>
          <w:szCs w:val="24"/>
        </w:rPr>
        <w:t xml:space="preserve"> Giovanni Leone è destinatario di una lettera della prigionia ed era presente allo Studio Ovale il 25 settembre 1974, secondo il memorandum pubblicato come documento 350 del volume FRUS 1969-1976 E-15 parte 2, seconda edizione riveduta, file 1552802 della Ford Library. Bersaglio incrociato mai tentato: interrogare il suo fondo su entrambi gli strati, il 1974 e il 1978, con una griglia sola.</w:t>
      </w:r>
    </w:p>
    <w:p>
      <w:pPr>
        <w:spacing w:after="120" w:line="276"/>
        <w:jc w:val="both"/>
      </w:pPr>
      <w:r>
        <w:rPr>
          <w:rFonts w:ascii="Barlow Semi Condensed" w:cs="Barlow Semi Condensed" w:eastAsia="Barlow Semi Condensed" w:hAnsi="Barlow Semi Condensed"/>
          <w:b/>
          <w:bCs/>
          <w:sz w:val="24"/>
          <w:szCs w:val="24"/>
        </w:rPr>
        <w:t xml:space="preserve">3734 · La lettera al Papa, e la cornice.</w:t>
      </w:r>
      <w:r>
        <w:rPr>
          <w:rFonts w:ascii="Barlow Semi Condensed" w:cs="Barlow Semi Condensed" w:eastAsia="Barlow Semi Condensed" w:hAnsi="Barlow Semi Condensed"/>
          <w:sz w:val="24"/>
          <w:szCs w:val="24"/>
        </w:rPr>
        <w:t xml:space="preserve"> Il carteggio col Vaticano e il suo rapporto con la lettera pubblica di Paolo VI occupano il blocco 494. Il canale più alto della prigionia è ecclesiastico, non atlantico. Registrarlo impedisce la sovrapposizione più frequente: la mediazione della Santa Sede e l'ostilità alleata all'ingresso comunista sono due fatti distinti, documentati separatamente, e nessuna carta nota li salda in una catena.</w:t>
      </w:r>
    </w:p>
    <w:p>
      <w:pPr>
        <w:spacing w:after="120" w:line="276"/>
        <w:jc w:val="both"/>
      </w:pPr>
      <w:r>
        <w:rPr>
          <w:rFonts w:ascii="Barlow Semi Condensed" w:cs="Barlow Semi Condensed" w:eastAsia="Barlow Semi Condensed" w:hAnsi="Barlow Semi Condensed"/>
          <w:b/>
          <w:bCs/>
          <w:sz w:val="24"/>
          <w:szCs w:val="24"/>
        </w:rPr>
        <w:t xml:space="preserve">3735 · L'inattendibilità e il suo fascicolo.</w:t>
      </w:r>
      <w:r>
        <w:rPr>
          <w:rFonts w:ascii="Barlow Semi Condensed" w:cs="Barlow Semi Condensed" w:eastAsia="Barlow Semi Condensed" w:hAnsi="Barlow Semi Condensed"/>
          <w:sz w:val="24"/>
          <w:szCs w:val="24"/>
        </w:rPr>
        <w:t xml:space="preserve"> Scrivere per intero la storia documentale dell'atto che dichiarò le lettere non moralmente ascrivibili a Moro è il blocco 490; il blocco 219 dell'agenda la formula come verifica di smentita. Qui il territorio incontra davvero un americano, e non è il nome di questa serie: è il consulente del Dipartimento di Stato presente nel comitato di crisi. Il blocco seguente ne fissa i gradi.</w:t>
      </w:r>
    </w:p>
    <w:p>
      <w:pPr>
        <w:spacing w:after="120" w:line="276"/>
        <w:jc w:val="both"/>
      </w:pPr>
      <w:r>
        <w:rPr>
          <w:rFonts w:ascii="Barlow Semi Condensed" w:cs="Barlow Semi Condensed" w:eastAsia="Barlow Semi Condensed" w:hAnsi="Barlow Semi Condensed"/>
          <w:b/>
          <w:bCs/>
          <w:sz w:val="24"/>
          <w:szCs w:val="24"/>
        </w:rPr>
        <w:t xml:space="preserve">3736 · Il consulente, e la data che decide.</w:t>
      </w:r>
      <w:r>
        <w:rPr>
          <w:rFonts w:ascii="Barlow Semi Condensed" w:cs="Barlow Semi Condensed" w:eastAsia="Barlow Semi Condensed" w:hAnsi="Barlow Semi Condensed"/>
          <w:sz w:val="24"/>
          <w:szCs w:val="24"/>
        </w:rPr>
        <w:t xml:space="preserve"> La scheda PE-1 documenta Steve Pieczenik nel comitato di esperti mai riunito collegialmente: presenza di grado B, dichiarazioni successive fonte di parte, grado C. Ma nel marzo 1978 l'incarico di Segretario di Stato era cessato da oltre un anno, il 20 gennaio 1977. Manca dunque perfino la contemporaneità, che non sarebbe comunque prova di nesso: nessun ponte, nemmeno di secondo piano.</w:t>
      </w:r>
    </w:p>
    <w:p>
      <w:pPr>
        <w:spacing w:after="120" w:line="276"/>
        <w:jc w:val="both"/>
      </w:pPr>
      <w:r>
        <w:rPr>
          <w:rFonts w:ascii="Barlow Semi Condensed" w:cs="Barlow Semi Condensed" w:eastAsia="Barlow Semi Condensed" w:hAnsi="Barlow Semi Condensed"/>
          <w:b/>
          <w:bCs/>
          <w:sz w:val="24"/>
          <w:szCs w:val="24"/>
        </w:rPr>
        <w:t xml:space="preserve">3737 · La tesi sulle lettere, i gradi.</w:t>
      </w:r>
      <w:r>
        <w:rPr>
          <w:rFonts w:ascii="Barlow Semi Condensed" w:cs="Barlow Semi Condensed" w:eastAsia="Barlow Semi Condensed" w:hAnsi="Barlow Semi Condensed"/>
          <w:sz w:val="24"/>
          <w:szCs w:val="24"/>
        </w:rPr>
        <w:t xml:space="preserve"> L'approfondimento sulle piste-entità documenta che consulenti del comitato furono fautori della tesi dell'inattendibilità delle lettere. Il manuale, al blocco 202, ne apre due ipotesi concorrenti: convincimento professionale genuino o costruzione funzionale alla linea della fermezza. Il fatto è documentato, l'intenzione no. Nessuna delle due ipotesi nomina il soggetto di questa serie, e aggiungervelo sarebbe terzo piano travestito da contesto.</w:t>
      </w:r>
    </w:p>
    <w:p>
      <w:pPr>
        <w:spacing w:after="120" w:line="276"/>
        <w:jc w:val="both"/>
      </w:pPr>
      <w:r>
        <w:rPr>
          <w:rFonts w:ascii="Barlow Semi Condensed" w:cs="Barlow Semi Condensed" w:eastAsia="Barlow Semi Condensed" w:hAnsi="Barlow Semi Condensed"/>
          <w:b/>
          <w:bCs/>
          <w:sz w:val="24"/>
          <w:szCs w:val="24"/>
        </w:rPr>
        <w:t xml:space="preserve">3738 · La catena che non c'è.</w:t>
      </w:r>
      <w:r>
        <w:rPr>
          <w:rFonts w:ascii="Barlow Semi Condensed" w:cs="Barlow Semi Condensed" w:eastAsia="Barlow Semi Condensed" w:hAnsi="Barlow Semi Condensed"/>
          <w:sz w:val="24"/>
          <w:szCs w:val="24"/>
        </w:rPr>
        <w:t xml:space="preserve"> Quesito d'archivio formulato per esteso: esiste un documento che leghi la qualificazione di inattendibilità a un'istruzione proveniente dall'esterno? Sedi che lo chiuderebbero: i versamenti del Viminale nel fondo della Direttiva Renzi, gli atti delle tre commissioni, e il blocco 107 del manuale, che cerca chi firmò quelle carte e come circolarono. Stato Zero finché quel documento non venga prodotto.</w:t>
      </w:r>
    </w:p>
    <w:p>
      <w:pPr>
        <w:spacing w:after="120" w:line="276"/>
        <w:jc w:val="both"/>
      </w:pPr>
      <w:r>
        <w:rPr>
          <w:rFonts w:ascii="Barlow Semi Condensed" w:cs="Barlow Semi Condensed" w:eastAsia="Barlow Semi Condensed" w:hAnsi="Barlow Semi Condensed"/>
          <w:b/>
          <w:bCs/>
          <w:sz w:val="24"/>
          <w:szCs w:val="24"/>
        </w:rPr>
        <w:t xml:space="preserve">3739 · Dove fu prodotta la squalifica.</w:t>
      </w:r>
      <w:r>
        <w:rPr>
          <w:rFonts w:ascii="Barlow Semi Condensed" w:cs="Barlow Semi Condensed" w:eastAsia="Barlow Semi Condensed" w:hAnsi="Barlow Semi Condensed"/>
          <w:sz w:val="24"/>
          <w:szCs w:val="24"/>
        </w:rPr>
        <w:t xml:space="preserve"> Documentata con l'analisi interna al blocco 491, la lucidità che il giudizio d'epoca negava non serve a processare i giudici del 1978. Per questa serie il rilievo utile è un altro: la squalificazione della voce del prigioniero fu prodotta in Italia, da un organo italiano, con consulenti dichiarati e verbalizzabili. Nessun passaggio estero è documentato nella sua formulazione, e nessuno è stato cercato invano.</w:t>
      </w:r>
    </w:p>
    <w:p>
      <w:pPr>
        <w:spacing w:after="120" w:line="276"/>
        <w:jc w:val="both"/>
      </w:pPr>
      <w:r>
        <w:rPr>
          <w:rFonts w:ascii="Barlow Semi Condensed" w:cs="Barlow Semi Condensed" w:eastAsia="Barlow Semi Condensed" w:hAnsi="Barlow Semi Condensed"/>
          <w:b/>
          <w:bCs/>
          <w:sz w:val="24"/>
          <w:szCs w:val="24"/>
        </w:rPr>
        <w:t xml:space="preserve">3740 · I postini, e le mani accertate.</w:t>
      </w:r>
      <w:r>
        <w:rPr>
          <w:rFonts w:ascii="Barlow Semi Condensed" w:cs="Barlow Semi Condensed" w:eastAsia="Barlow Semi Condensed" w:hAnsi="Barlow Semi Condensed"/>
          <w:sz w:val="24"/>
          <w:szCs w:val="24"/>
        </w:rPr>
        <w:t xml:space="preserve"> Distinguere le mani accertate dei recapiti — il tratto ecclesiastico documentato, i canali laici — da quelle congetturate è il quesito 9, eseguito al blocco 488. Bersaglio di smentita per ogni ipotesi di canale straniero: un verbale, una deposizione o un'annotazione di fondo che nomini un vettore estero. La tavola resta il solo luogo dove ipotesi simili possano stare, e vi stanno vuote.</w:t>
      </w:r>
    </w:p>
    <w:p>
      <w:pPr>
        <w:spacing w:after="120" w:line="276"/>
        <w:jc w:val="both"/>
      </w:pPr>
      <w:r>
        <w:rPr>
          <w:rFonts w:ascii="Barlow Semi Condensed" w:cs="Barlow Semi Condensed" w:eastAsia="Barlow Semi Condensed" w:hAnsi="Barlow Semi Condensed"/>
          <w:b/>
          <w:bCs/>
          <w:sz w:val="24"/>
          <w:szCs w:val="24"/>
        </w:rPr>
        <w:t xml:space="preserve">3741 · Le lettere trattenute, e il criterio.</w:t>
      </w:r>
      <w:r>
        <w:rPr>
          <w:rFonts w:ascii="Barlow Semi Condensed" w:cs="Barlow Semi Condensed" w:eastAsia="Barlow Semi Condensed" w:hAnsi="Barlow Semi Condensed"/>
          <w:sz w:val="24"/>
          <w:szCs w:val="24"/>
        </w:rPr>
        <w:t xml:space="preserve"> Come comportamento ricostruibile dal campione trattenuto: così il blocco 489 legge la censura del carceriere. Domanda applicabile qui: fra il non recapitato esistono testi di contenuto internazionale? Se sì, la selezione brigatista avrebbe un criterio politico misurabile; se no, il criterio è altro e va cercato altrove. In entrambi i casi il risultato appartiene al cantiere, non alla congettura.</w:t>
      </w:r>
    </w:p>
    <w:p>
      <w:pPr>
        <w:spacing w:after="120" w:line="276"/>
        <w:jc w:val="both"/>
      </w:pPr>
      <w:r>
        <w:rPr>
          <w:rFonts w:ascii="Barlow Semi Condensed" w:cs="Barlow Semi Condensed" w:eastAsia="Barlow Semi Condensed" w:hAnsi="Barlow Semi Condensed"/>
          <w:b/>
          <w:bCs/>
          <w:sz w:val="24"/>
          <w:szCs w:val="24"/>
        </w:rPr>
        <w:t xml:space="preserve">3742 · Un fantasma resta anonimo.</w:t>
      </w:r>
      <w:r>
        <w:rPr>
          <w:rFonts w:ascii="Barlow Semi Condensed" w:cs="Barlow Semi Condensed" w:eastAsia="Barlow Semi Condensed" w:hAnsi="Barlow Semi Condensed"/>
          <w:sz w:val="24"/>
          <w:szCs w:val="24"/>
        </w:rPr>
        <w:t xml:space="preserve"> Perimetrati al blocco 509, i vuoti epistolari sono lettere menzionate e mai trovate, destinatari incerti, tradizioni interrotte. Regola da applicare senza eccezioni: nessun vuoto può essere riempito con un destinatario straniero per verosimiglianza narrativa. Un fantasma resta anonimo finché un documento non lo nomini, e la tavola dei vuoti serve esattamente a proteggerlo dall'attribuzione comoda e dalla ricostruzione compiacente.</w:t>
      </w:r>
    </w:p>
    <w:p>
      <w:pPr>
        <w:spacing w:after="120" w:line="276"/>
        <w:jc w:val="both"/>
      </w:pPr>
      <w:r>
        <w:rPr>
          <w:rFonts w:ascii="Barlow Semi Condensed" w:cs="Barlow Semi Condensed" w:eastAsia="Barlow Semi Condensed" w:hAnsi="Barlow Semi Condensed"/>
          <w:b/>
          <w:bCs/>
          <w:sz w:val="24"/>
          <w:szCs w:val="24"/>
        </w:rPr>
        <w:t xml:space="preserve">3743 · La dogana per ogni inedito.</w:t>
      </w:r>
      <w:r>
        <w:rPr>
          <w:rFonts w:ascii="Barlow Semi Condensed" w:cs="Barlow Semi Condensed" w:eastAsia="Barlow Semi Condensed" w:hAnsi="Barlow Semi Condensed"/>
          <w:sz w:val="24"/>
          <w:szCs w:val="24"/>
        </w:rPr>
        <w:t xml:space="preserve"> Catalogati al blocco 507, i falsi epistolari circolati nei decenni si raccordano al registro materiale del blocco 441. Bersaglio preventivo: qualunque lettera inedita dovesse emergere con contenuti sul versante americano passa prima il protocollo di autenticazione del blocco 534, la lezione di Chichiarelli istituzionalizzata, e solo dopo entra nel canone. L'ordine dei due passaggi non è negoziabile per nessuna urgenza editoriale.</w:t>
      </w:r>
    </w:p>
    <w:p>
      <w:pPr>
        <w:spacing w:after="120" w:line="276"/>
        <w:jc w:val="both"/>
      </w:pPr>
      <w:r>
        <w:rPr>
          <w:rFonts w:ascii="Barlow Semi Condensed" w:cs="Barlow Semi Condensed" w:eastAsia="Barlow Semi Condensed" w:hAnsi="Barlow Semi Condensed"/>
          <w:b/>
          <w:bCs/>
          <w:sz w:val="24"/>
          <w:szCs w:val="24"/>
        </w:rPr>
        <w:t xml:space="preserve">3744 · Chi pubblicò per primo.</w:t>
      </w:r>
      <w:r>
        <w:rPr>
          <w:rFonts w:ascii="Barlow Semi Condensed" w:cs="Barlow Semi Condensed" w:eastAsia="Barlow Semi Condensed" w:hAnsi="Barlow Semi Condensed"/>
          <w:sz w:val="24"/>
          <w:szCs w:val="24"/>
        </w:rPr>
        <w:t xml:space="preserve"> Con la cronologia delle pubblicazioni epistolari nei cinquantacinque giorni il blocco 496 tabula le vie di fuga documentate. Quesito laterale utile a questa serie: qualche testata straniera pubblicò lettere prima di quelle italiane? La risposta sta negli spogli dei corrispondenti esteri del blocco 277 e nei fondi delle agenzie internazionali. È logistica editoriale, e non diventa politica per il fatto di attraversare una frontiera.</w:t>
      </w:r>
    </w:p>
    <w:p>
      <w:pPr>
        <w:spacing w:after="120" w:line="276"/>
        <w:jc w:val="both"/>
      </w:pPr>
      <w:r>
        <w:rPr>
          <w:rFonts w:ascii="Barlow Semi Condensed" w:cs="Barlow Semi Condensed" w:eastAsia="Barlow Semi Condensed" w:hAnsi="Barlow Semi Condensed"/>
          <w:b/>
          <w:bCs/>
          <w:sz w:val="24"/>
          <w:szCs w:val="24"/>
        </w:rPr>
        <w:t xml:space="preserve">3745 · Il canone dei nove, interrogato.</w:t>
      </w:r>
      <w:r>
        <w:rPr>
          <w:rFonts w:ascii="Barlow Semi Condensed" w:cs="Barlow Semi Condensed" w:eastAsia="Barlow Semi Condensed" w:hAnsi="Barlow Semi Condensed"/>
          <w:sz w:val="24"/>
          <w:szCs w:val="24"/>
        </w:rPr>
        <w:t xml:space="preserve"> Nove date autentiche, dal comunicato del 16 marzo a quello del 5 maggio 1978, compongono il canone fissato dal blocco 511. Bersaglio lessicale da eseguire sui testi editi dalla Direzione generale Archivi: censire le occorrenze di soggetti statunitensi, distinguendo il nome proprio dalla formula dottrinale. È lavoro del blocco 514, che censisce l'analisi linguistica di Matteo Re, e produce una tavola, non una tesi.</w:t>
      </w:r>
    </w:p>
    <w:p>
      <w:pPr>
        <w:spacing w:after="120" w:line="276"/>
        <w:jc w:val="both"/>
      </w:pPr>
      <w:r>
        <w:rPr>
          <w:rFonts w:ascii="Barlow Semi Condensed" w:cs="Barlow Semi Condensed" w:eastAsia="Barlow Semi Condensed" w:hAnsi="Barlow Semi Condensed"/>
          <w:b/>
          <w:bCs/>
          <w:sz w:val="24"/>
          <w:szCs w:val="24"/>
        </w:rPr>
        <w:t xml:space="preserve">3746 · La formula non è un nome.</w:t>
      </w:r>
      <w:r>
        <w:rPr>
          <w:rFonts w:ascii="Barlow Semi Condensed" w:cs="Barlow Semi Condensed" w:eastAsia="Barlow Semi Condensed" w:hAnsi="Barlow Semi Condensed"/>
          <w:sz w:val="24"/>
          <w:szCs w:val="24"/>
        </w:rPr>
        <w:t xml:space="preserve"> Regola di lettura applicabile a tutta la sezione: nel lessico brigatista la designazione del nemico è categoriale prima che personale. Trattare una formula dottrinale come menzione di un individuo è l'errore che questa serie deve prevenire. La sede dove la differenza si misura è il blocco 515, che confronta i comunicati con la Risoluzione della direzione strategica: coerenza dottrinale, non riferimenti a persone.</w:t>
      </w:r>
    </w:p>
    <w:p>
      <w:pPr>
        <w:spacing w:after="120" w:line="276"/>
        <w:jc w:val="both"/>
      </w:pPr>
      <w:r>
        <w:rPr>
          <w:rFonts w:ascii="Barlow Semi Condensed" w:cs="Barlow Semi Condensed" w:eastAsia="Barlow Semi Condensed" w:hAnsi="Barlow Semi Condensed"/>
          <w:b/>
          <w:bCs/>
          <w:sz w:val="24"/>
          <w:szCs w:val="24"/>
        </w:rPr>
        <w:t xml:space="preserve">3747 · Il falso del 18 aprile.</w:t>
      </w:r>
      <w:r>
        <w:rPr>
          <w:rFonts w:ascii="Barlow Semi Condensed" w:cs="Barlow Semi Condensed" w:eastAsia="Barlow Semi Condensed" w:hAnsi="Barlow Semi Condensed"/>
          <w:sz w:val="24"/>
          <w:szCs w:val="24"/>
        </w:rPr>
        <w:t xml:space="preserve"> Fissato nella sua interezza dal blocco 517, il falso ha una sequenza precisa: la telefonata delle 9:25 al Messaggero, il ritrovamento in piazza Gioacchino Belli, i fondali del Lago della Duchessa. L'attribuzione ad Antonio Chichiarelli è istruttoria e peritale, mai giudicata: fu ucciso il 28 settembre 1984 prima di ogni contestazione. Nessun atto collega quel falso a un'autorità straniera.</w:t>
      </w:r>
    </w:p>
    <w:p>
      <w:pPr>
        <w:spacing w:after="120" w:line="276"/>
        <w:jc w:val="both"/>
      </w:pPr>
      <w:r>
        <w:rPr>
          <w:rFonts w:ascii="Barlow Semi Condensed" w:cs="Barlow Semi Condensed" w:eastAsia="Barlow Semi Condensed" w:hAnsi="Barlow Semi Condensed"/>
          <w:b/>
          <w:bCs/>
          <w:sz w:val="24"/>
          <w:szCs w:val="24"/>
        </w:rPr>
        <w:t xml:space="preserve">3748 · Chi seppe prima del falso.</w:t>
      </w:r>
      <w:r>
        <w:rPr>
          <w:rFonts w:ascii="Barlow Semi Condensed" w:cs="Barlow Semi Condensed" w:eastAsia="Barlow Semi Condensed" w:hAnsi="Barlow Semi Condensed"/>
          <w:sz w:val="24"/>
          <w:szCs w:val="24"/>
        </w:rPr>
        <w:t xml:space="preserve"> Chi conobbe in anticipo l'esistenza del falso comunicato? Lo domanda il quesito 13 dell'agenda, e il bersaglio d'archivio è nominato e a basso costo: i telegrammi dell'ambasciata statunitense a Roma del 18-20 aprile 1978, interrogabili in full-text su NARA AAD. Se una sede estera riferì il falso prima o meglio delle italiane, il dato è misurabile; altrimenti il negativo si verbalizza.</w:t>
      </w:r>
    </w:p>
    <w:p>
      <w:pPr>
        <w:spacing w:after="120" w:line="276"/>
        <w:jc w:val="both"/>
      </w:pPr>
      <w:r>
        <w:rPr>
          <w:rFonts w:ascii="Barlow Semi Condensed" w:cs="Barlow Semi Condensed" w:eastAsia="Barlow Semi Condensed" w:hAnsi="Barlow Semi Condensed"/>
          <w:b/>
          <w:bCs/>
          <w:sz w:val="24"/>
          <w:szCs w:val="24"/>
        </w:rPr>
        <w:t xml:space="preserve">3749 · Il borsello e le sue schede.</w:t>
      </w:r>
      <w:r>
        <w:rPr>
          <w:rFonts w:ascii="Barlow Semi Condensed" w:cs="Barlow Semi Condensed" w:eastAsia="Barlow Semi Condensed" w:hAnsi="Barlow Semi Condensed"/>
          <w:sz w:val="24"/>
          <w:szCs w:val="24"/>
        </w:rPr>
        <w:t xml:space="preserve"> Da dove venissero le informazioni delle schede false sui personaggi pubblici è il quesito vero del 14 aprile 1979, portato in matrice dal blocco 523. Bersaglio di smentita per ogni lettura internazionale: una scheda che riproduca notizie disponibili soltanto a una sede estera. Finché la provenienza non è dimostrata documento alla mano, l'ipotesi resta una cella vuota, e come tale si pubblica.</w:t>
      </w:r>
    </w:p>
    <w:p>
      <w:pPr>
        <w:spacing w:after="120" w:line="276"/>
        <w:jc w:val="both"/>
      </w:pPr>
      <w:r>
        <w:rPr>
          <w:rFonts w:ascii="Barlow Semi Condensed" w:cs="Barlow Semi Condensed" w:eastAsia="Barlow Semi Condensed" w:hAnsi="Barlow Semi Condensed"/>
          <w:b/>
          <w:bCs/>
          <w:sz w:val="24"/>
          <w:szCs w:val="24"/>
        </w:rPr>
        <w:t xml:space="preserve">3750 · La testina, divergenza aperta.</w:t>
      </w:r>
      <w:r>
        <w:rPr>
          <w:rFonts w:ascii="Barlow Semi Condensed" w:cs="Barlow Semi Condensed" w:eastAsia="Barlow Semi Condensed" w:hAnsi="Barlow Semi Condensed"/>
          <w:sz w:val="24"/>
          <w:szCs w:val="24"/>
        </w:rPr>
        <w:t xml:space="preserve"> Sulla compatibilità della testina IBM del borsello coi falsi le fonti divergono, e il blocco 521 registra la divergenza rimandandola alla perizia moderna prevista dal blocco 435. È il bersaglio più maturo della sezione ed è puramente tecnico. Nessun esito, quale che sia, potrà da solo indicare una committenza: la meccanica identifica una macchina, non chi ne abbia voluto il prodotto.</w:t>
      </w:r>
    </w:p>
    <w:p>
      <w:pPr>
        <w:spacing w:after="120" w:line="276"/>
        <w:jc w:val="both"/>
      </w:pPr>
      <w:r>
        <w:rPr>
          <w:rFonts w:ascii="Barlow Semi Condensed" w:cs="Barlow Semi Condensed" w:eastAsia="Barlow Semi Condensed" w:hAnsi="Barlow Semi Condensed"/>
          <w:b/>
          <w:bCs/>
          <w:sz w:val="24"/>
          <w:szCs w:val="24"/>
        </w:rPr>
        <w:t xml:space="preserve">3751 · Depistaggio, definizione stretta.</w:t>
      </w:r>
      <w:r>
        <w:rPr>
          <w:rFonts w:ascii="Barlow Semi Condensed" w:cs="Barlow Semi Condensed" w:eastAsia="Barlow Semi Condensed" w:hAnsi="Barlow Semi Condensed"/>
          <w:sz w:val="24"/>
          <w:szCs w:val="24"/>
        </w:rPr>
        <w:t xml:space="preserve"> Depistaggio è ciò che un atto qualifica come tale, non ogni stranezza: così il blocco 525, e la definizione elimina d'ufficio l'uso disinvolto del termine per l'ostilità politica documentata di un alleato. Una posizione dichiarata in un memorandum non è un depistaggio: è politica estera scritta, si cita per quello che è, e si tiene fuori dal catalogo dei veleni.</w:t>
      </w:r>
    </w:p>
    <w:p>
      <w:pPr>
        <w:spacing w:after="120" w:line="276"/>
        <w:jc w:val="both"/>
      </w:pPr>
      <w:r>
        <w:rPr>
          <w:rFonts w:ascii="Barlow Semi Condensed" w:cs="Barlow Semi Condensed" w:eastAsia="Barlow Semi Condensed" w:hAnsi="Barlow Semi Condensed"/>
          <w:b/>
          <w:bCs/>
          <w:sz w:val="24"/>
          <w:szCs w:val="24"/>
        </w:rPr>
        <w:t xml:space="preserve">3752 · Il verbale del 1974 sta altrove.</w:t>
      </w:r>
      <w:r>
        <w:rPr>
          <w:rFonts w:ascii="Barlow Semi Condensed" w:cs="Barlow Semi Condensed" w:eastAsia="Barlow Semi Condensed" w:hAnsi="Barlow Semi Condensed"/>
          <w:sz w:val="24"/>
          <w:szCs w:val="24"/>
        </w:rPr>
        <w:t xml:space="preserve"> Richiamo d'ordine necessario alla sezione: il memorandum dello Studio Ovale del 25 settembre 1974 attesta la posizione sul non poter scambiare informazioni militari con un governo che includesse i comunisti, e non contiene alcun ultimatum personale ad Aldo Moro. Non appartiene al corpus della prigionia, non è un comunicato, e non entra nella Parte quinta: sta a quattro anni e a un'altra materia di distanza.</w:t>
      </w:r>
    </w:p>
    <w:p>
      <w:pPr>
        <w:spacing w:after="120" w:line="276"/>
        <w:jc w:val="both"/>
      </w:pPr>
      <w:r>
        <w:rPr>
          <w:rFonts w:ascii="Barlow Semi Condensed" w:cs="Barlow Semi Condensed" w:eastAsia="Barlow Semi Condensed" w:hAnsi="Barlow Semi Condensed"/>
          <w:b/>
          <w:bCs/>
          <w:sz w:val="24"/>
          <w:szCs w:val="24"/>
        </w:rPr>
        <w:t xml:space="preserve">3753 · La rete dei ritrovamenti.</w:t>
      </w:r>
      <w:r>
        <w:rPr>
          <w:rFonts w:ascii="Barlow Semi Condensed" w:cs="Barlow Semi Condensed" w:eastAsia="Barlow Semi Condensed" w:hAnsi="Barlow Semi Condensed"/>
          <w:sz w:val="24"/>
          <w:szCs w:val="24"/>
        </w:rPr>
        <w:t xml:space="preserve"> Chi telefonava, a quali redazioni, con quali formule: la logistica dei nove annunci sta al blocco 513, e fu operazione italiana ripetuta nove volte. Bersaglio di smentita: un ritrovamento fuori d'Italia o una telefonata a una redazione estera. Sedi: gli atti sui ritrovamenti e i brogliacci delle redazioni, incrociati coi fondi dei corrispondenti stranieri censiti dal blocco 277.</w:t>
      </w:r>
    </w:p>
    <w:p>
      <w:pPr>
        <w:spacing w:after="120" w:line="276"/>
        <w:jc w:val="both"/>
      </w:pPr>
      <w:r>
        <w:rPr>
          <w:rFonts w:ascii="Barlow Semi Condensed" w:cs="Barlow Semi Condensed" w:eastAsia="Barlow Semi Condensed" w:hAnsi="Barlow Semi Condensed"/>
          <w:b/>
          <w:bCs/>
          <w:sz w:val="24"/>
          <w:szCs w:val="24"/>
        </w:rPr>
        <w:t xml:space="preserve">3754 · Le veline, e la loro origine.</w:t>
      </w:r>
      <w:r>
        <w:rPr>
          <w:rFonts w:ascii="Barlow Semi Condensed" w:cs="Barlow Semi Condensed" w:eastAsia="Barlow Semi Condensed" w:hAnsi="Barlow Semi Condensed"/>
          <w:sz w:val="24"/>
          <w:szCs w:val="24"/>
        </w:rPr>
        <w:t xml:space="preserve"> Direttive, appelli all'autoregolamentazione, casi documentati: il capitolo del condizionamento della stampa nei cinquantacinque giorni è il blocco 529. Quesito applicabile: fra quegli atti ne esistono di origine o di ispirazione alleata? Sedi: archivi delle redazioni, atti delle commissioni e, per il versante estero, la FOIA Library del Dipartimento di Stato. Esito atteso negativo, da verbalizzare comunque con la griglia dichiarata.</w:t>
      </w:r>
    </w:p>
    <w:p>
      <w:pPr>
        <w:spacing w:after="120" w:line="276"/>
        <w:jc w:val="both"/>
      </w:pPr>
      <w:r>
        <w:rPr>
          <w:rFonts w:ascii="Barlow Semi Condensed" w:cs="Barlow Semi Condensed" w:eastAsia="Barlow Semi Condensed" w:hAnsi="Barlow Semi Condensed"/>
          <w:b/>
          <w:bCs/>
          <w:sz w:val="24"/>
          <w:szCs w:val="24"/>
        </w:rPr>
        <w:t xml:space="preserve">3755 · Il blackout fu discusso in casa.</w:t>
      </w:r>
      <w:r>
        <w:rPr>
          <w:rFonts w:ascii="Barlow Semi Condensed" w:cs="Barlow Semi Condensed" w:eastAsia="Barlow Semi Condensed" w:hAnsi="Barlow Semi Condensed"/>
          <w:sz w:val="24"/>
          <w:szCs w:val="24"/>
        </w:rPr>
        <w:t xml:space="preserve"> Come interrogazione pubblica e datata delle testate italiane su se stesse il blocco 530 documenta il dibattito d'epoca sul silenzio stampa. Registrarlo così impedisce di rileggerlo come effetto di una pressione esterna mai documentata. La convergenza fra fermezza politica e autodisciplina giornalistica appartiene al secondo piano e vi resta: stessa cornice, nessun documento di raccordo fra le due.</w:t>
      </w:r>
    </w:p>
    <w:p>
      <w:pPr>
        <w:spacing w:after="120" w:line="276"/>
        <w:jc w:val="both"/>
      </w:pPr>
      <w:r>
        <w:rPr>
          <w:rFonts w:ascii="Barlow Semi Condensed" w:cs="Barlow Semi Condensed" w:eastAsia="Barlow Semi Condensed" w:hAnsi="Barlow Semi Condensed"/>
          <w:b/>
          <w:bCs/>
          <w:sz w:val="24"/>
          <w:szCs w:val="24"/>
        </w:rPr>
        <w:t xml:space="preserve">3756 · La stampa americana come filone.</w:t>
      </w:r>
      <w:r>
        <w:rPr>
          <w:rFonts w:ascii="Barlow Semi Condensed" w:cs="Barlow Semi Condensed" w:eastAsia="Barlow Semi Condensed" w:hAnsi="Barlow Semi Condensed"/>
          <w:sz w:val="24"/>
          <w:szCs w:val="24"/>
        </w:rPr>
        <w:t xml:space="preserve"> Tabulato al blocco 528 il trattamento giornalistico italiano di ciascun comunicato, l'estensione naturale non è mai stata eseguita: come le testate statunitensi trattarono gli stessi nove testi, giorno per giorno. Sedi: gli archivi delle testate e i fondi dei corrispondenti del blocco 277. È materia di ricezione, non di causa, e serve a misurare che cosa Washington poteva leggere in chiaro.</w:t>
      </w:r>
    </w:p>
    <w:p>
      <w:pPr>
        <w:spacing w:after="120" w:line="276"/>
        <w:jc w:val="both"/>
      </w:pPr>
      <w:r>
        <w:rPr>
          <w:rFonts w:ascii="Barlow Semi Condensed" w:cs="Barlow Semi Condensed" w:eastAsia="Barlow Semi Condensed" w:hAnsi="Barlow Semi Condensed"/>
          <w:b/>
          <w:bCs/>
          <w:sz w:val="24"/>
          <w:szCs w:val="24"/>
        </w:rPr>
        <w:t xml:space="preserve">3757 · La mappa che manca al testo.</w:t>
      </w:r>
      <w:r>
        <w:rPr>
          <w:rFonts w:ascii="Barlow Semi Condensed" w:cs="Barlow Semi Condensed" w:eastAsia="Barlow Semi Condensed" w:hAnsi="Barlow Semi Condensed"/>
          <w:sz w:val="24"/>
          <w:szCs w:val="24"/>
        </w:rPr>
        <w:t xml:space="preserve"> Argomento per argomento, coi fogli relativi e senza parafrasi: è la mappa tematica integrale che il blocco 536 chiede al corpus superstite. Finché quella mappa non esiste, ogni affermazione pubblica su ciò che Moro avrebbe rivelato sul versante internazionale è priva di base verificabile. La mappa è il prerequisito di ogni discussione, e il cantiere la colloca per prima proprio per questo.</w:t>
      </w:r>
    </w:p>
    <w:p>
      <w:pPr>
        <w:spacing w:after="120" w:line="276"/>
        <w:jc w:val="both"/>
      </w:pPr>
      <w:r>
        <w:rPr>
          <w:rFonts w:ascii="Barlow Semi Condensed" w:cs="Barlow Semi Condensed" w:eastAsia="Barlow Semi Condensed" w:hAnsi="Barlow Semi Condensed"/>
          <w:b/>
          <w:bCs/>
          <w:sz w:val="24"/>
          <w:szCs w:val="24"/>
        </w:rPr>
        <w:t xml:space="preserve">3758 · Che cosa il giudicato ha detto.</w:t>
      </w:r>
      <w:r>
        <w:rPr>
          <w:rFonts w:ascii="Barlow Semi Condensed" w:cs="Barlow Semi Condensed" w:eastAsia="Barlow Semi Condensed" w:hAnsi="Barlow Semi Condensed"/>
          <w:sz w:val="24"/>
          <w:szCs w:val="24"/>
        </w:rPr>
        <w:t xml:space="preserve"> Acquisizioni, valutazioni di attendibilità, usi probatori: il blocco 544 chiede come le corti trattarono il corpus, dagli atti digitalizzati. Bersaglio: nella tavola dell'uso processuale figurano passaggi di argomento internazionale valutati da una corte? Ciò che il giudicato ha stabilito sul testo non si riscopre; ciò che non ha stabilito non si supplisce con la pubblicistica, e la distinzione è tutta la disciplina.</w:t>
      </w:r>
    </w:p>
    <w:p>
      <w:pPr>
        <w:spacing w:after="120" w:line="276"/>
        <w:jc w:val="both"/>
      </w:pPr>
      <w:r>
        <w:rPr>
          <w:rFonts w:ascii="Barlow Semi Condensed" w:cs="Barlow Semi Condensed" w:eastAsia="Barlow Semi Condensed" w:hAnsi="Barlow Semi Condensed"/>
          <w:b/>
          <w:bCs/>
          <w:sz w:val="24"/>
          <w:szCs w:val="24"/>
        </w:rPr>
        <w:t xml:space="preserve">3759 · Questa serie è essa stessa un uso.</w:t>
      </w:r>
      <w:r>
        <w:rPr>
          <w:rFonts w:ascii="Barlow Semi Condensed" w:cs="Barlow Semi Condensed" w:eastAsia="Barlow Semi Condensed" w:hAnsi="Barlow Semi Condensed"/>
          <w:sz w:val="24"/>
          <w:szCs w:val="24"/>
        </w:rPr>
        <w:t xml:space="preserve"> Chi usò che cosa, quando, per quali tesi, nel 1978, nel 1990 e nelle commissioni: è la storia politica del testo, che il blocco 543 chiede. Questa serie è a sua volta un uso, e lo dichiara: legge duecento bersagli per misurare la presenza di un nome, non per accreditarla. La storia della ricezione comprende anche le letture che il testo non autorizza.</w:t>
      </w:r>
    </w:p>
    <w:p>
      <w:pPr>
        <w:spacing w:after="120" w:line="276"/>
        <w:jc w:val="both"/>
      </w:pPr>
      <w:r>
        <w:rPr>
          <w:rFonts w:ascii="Barlow Semi Condensed" w:cs="Barlow Semi Condensed" w:eastAsia="Barlow Semi Condensed" w:hAnsi="Barlow Semi Condensed"/>
          <w:b/>
          <w:bCs/>
          <w:sz w:val="24"/>
          <w:szCs w:val="24"/>
        </w:rPr>
        <w:t xml:space="preserve">3760 · La versione dei custodi.</w:t>
      </w:r>
      <w:r>
        <w:rPr>
          <w:rFonts w:ascii="Barlow Semi Condensed" w:cs="Barlow Semi Condensed" w:eastAsia="Barlow Semi Condensed" w:hAnsi="Barlow Semi Condensed"/>
          <w:sz w:val="24"/>
          <w:szCs w:val="24"/>
        </w:rPr>
        <w:t xml:space="preserve"> Fonte di parte: così il blocco 546 tratta le dichiarazioni pubbliche dei condannati sul memoriale. Se un condannato ha attribuito a interlocutori stranieri un ruolo nella vicenda delle carte, la dichiarazione si registra, si data e si confronta con le risultanze filologiche, e resta dichiarazione. Il registro della Parte ottava è il luogo dove si conserva, non la prova di ciò che afferma.</w:t>
      </w:r>
    </w:p>
    <w:p>
      <w:pPr>
        <w:spacing w:after="120" w:line="276"/>
        <w:jc w:val="both"/>
      </w:pPr>
      <w:r>
        <w:rPr>
          <w:rFonts w:ascii="Barlow Semi Condensed" w:cs="Barlow Semi Condensed" w:eastAsia="Barlow Semi Condensed" w:hAnsi="Barlow Semi Condensed"/>
          <w:b/>
          <w:bCs/>
          <w:sz w:val="24"/>
          <w:szCs w:val="24"/>
        </w:rPr>
        <w:t xml:space="preserve">3761 · La finestra è aperta ora.</w:t>
      </w:r>
      <w:r>
        <w:rPr>
          <w:rFonts w:ascii="Barlow Semi Condensed" w:cs="Barlow Semi Condensed" w:eastAsia="Barlow Semi Condensed" w:hAnsi="Barlow Semi Condensed"/>
          <w:sz w:val="24"/>
          <w:szCs w:val="24"/>
        </w:rPr>
        <w:t xml:space="preserve"> Poche domande, tecniche e documentabili, ai viventi — trascrizioni, copie, trasporti delle carte — sono la prescrizione del blocco 547. Il blocco 821 registra Franco Bonisoli vivente, e il blocco 823 ricorda che fu lui a portare le carte in via Monte Nevoso. Le domande ammissibili riguardano lo stemma, non le opinioni sui moventi internazionali. La finestra biologica è aperta adesso.</w:t>
      </w:r>
    </w:p>
    <w:p>
      <w:pPr>
        <w:spacing w:after="120" w:line="276"/>
        <w:jc w:val="both"/>
      </w:pPr>
      <w:r>
        <w:rPr>
          <w:rFonts w:ascii="Barlow Semi Condensed" w:cs="Barlow Semi Condensed" w:eastAsia="Barlow Semi Condensed" w:hAnsi="Barlow Semi Condensed"/>
          <w:b/>
          <w:bCs/>
          <w:sz w:val="24"/>
          <w:szCs w:val="24"/>
        </w:rPr>
        <w:t xml:space="preserve">3762 · Un vuoto in più, dichiarato.</w:t>
      </w:r>
      <w:r>
        <w:rPr>
          <w:rFonts w:ascii="Barlow Semi Condensed" w:cs="Barlow Semi Condensed" w:eastAsia="Barlow Semi Condensed" w:hAnsi="Barlow Semi Condensed"/>
          <w:sz w:val="24"/>
          <w:szCs w:val="24"/>
        </w:rPr>
        <w:t xml:space="preserve"> Elencati al blocco 556, i vuoti testuali della parte sono la stesura A, le lacune misurate, le lettere fantasma, le perizie mancanti. Questa serie ve ne aggiunge uno e lo verbalizza: nel corpus non risulta alcun documento di provenienza che nomini insieme le carte della prigionia e la persona qui triangolata. È un'acquisizione a pieno titolo, e va contata come tale.</w:t>
      </w:r>
    </w:p>
    <w:p>
      <w:pPr>
        <w:spacing w:after="120" w:line="276"/>
        <w:jc w:val="both"/>
      </w:pPr>
      <w:r>
        <w:rPr>
          <w:rFonts w:ascii="Barlow Semi Condensed" w:cs="Barlow Semi Condensed" w:eastAsia="Barlow Semi Condensed" w:hAnsi="Barlow Semi Condensed"/>
          <w:b/>
          <w:bCs/>
          <w:sz w:val="24"/>
          <w:szCs w:val="24"/>
        </w:rPr>
        <w:t xml:space="preserve">3763 · Citare per stesura ed edizione.</w:t>
      </w:r>
      <w:r>
        <w:rPr>
          <w:rFonts w:ascii="Barlow Semi Condensed" w:cs="Barlow Semi Condensed" w:eastAsia="Barlow Semi Condensed" w:hAnsi="Barlow Semi Condensed"/>
          <w:sz w:val="24"/>
          <w:szCs w:val="24"/>
        </w:rPr>
        <w:t xml:space="preserve"> Sempre per stesura ed edizione, mai genericamente: così il blocco 558 impone di citare il corpus della prigionia. Regola operativa per chiunque riprenda questa serie: mai «il memoriale dice», sempre la stesura, l'edizione e il foglio. La disciplina di citazione è la prima difesa contro l'uso politico di un testo scritto sotto costrizione, ed è anche la più facile da rispettare.</w:t>
      </w:r>
    </w:p>
    <w:p>
      <w:pPr>
        <w:spacing w:after="120" w:line="276"/>
        <w:jc w:val="both"/>
      </w:pPr>
      <w:r>
        <w:rPr>
          <w:rFonts w:ascii="Barlow Semi Condensed" w:cs="Barlow Semi Condensed" w:eastAsia="Barlow Semi Condensed" w:hAnsi="Barlow Semi Condensed"/>
          <w:b/>
          <w:bCs/>
          <w:sz w:val="24"/>
          <w:szCs w:val="24"/>
        </w:rPr>
        <w:t xml:space="preserve">3764 · Due nastri, nessuna voce estera.</w:t>
      </w:r>
      <w:r>
        <w:rPr>
          <w:rFonts w:ascii="Barlow Semi Condensed" w:cs="Barlow Semi Condensed" w:eastAsia="Barlow Semi Condensed" w:hAnsi="Barlow Semi Condensed"/>
          <w:sz w:val="24"/>
          <w:szCs w:val="24"/>
        </w:rPr>
        <w:t xml:space="preserve"> Lo statuto della Parte sesta fissa i due soli audio superstiti: la telefonata di Mario Moretti a Eleonora Moro del 30 aprile e quella di Valerio Morucci al professor Tritto del 9 maggio 1978. Entrambe italiane, entrambe interne alla crisi. Il territorio sonoro del caso non contiene alcuna voce straniera: è lo Stato Zero acustico, e va detto prima di formulare qualunque ipotesi.</w:t>
      </w:r>
    </w:p>
    <w:p>
      <w:pPr>
        <w:spacing w:after="120" w:line="276"/>
        <w:jc w:val="both"/>
      </w:pPr>
      <w:r>
        <w:rPr>
          <w:rFonts w:ascii="Barlow Semi Condensed" w:cs="Barlow Semi Condensed" w:eastAsia="Barlow Semi Condensed" w:hAnsi="Barlow Semi Condensed"/>
          <w:b/>
          <w:bCs/>
          <w:sz w:val="24"/>
          <w:szCs w:val="24"/>
        </w:rPr>
        <w:t xml:space="preserve">3765 · La scheda del 30 aprile.</w:t>
      </w:r>
      <w:r>
        <w:rPr>
          <w:rFonts w:ascii="Barlow Semi Condensed" w:cs="Barlow Semi Condensed" w:eastAsia="Barlow Semi Condensed" w:hAnsi="Barlow Semi Condensed"/>
          <w:sz w:val="24"/>
          <w:szCs w:val="24"/>
        </w:rPr>
        <w:t xml:space="preserve"> Nastro intercettato e registrato, circolazione attestata almeno da una scheda d'archivio del gennaio 1980, data della prima diffusione ancora da fissare: è la scheda del blocco 562. Bersaglio archivistico puro, senza versante internazionale: la sede è italiana e giudiziaria, e la lacuna è di datazione. Chi lo cercasse altrove sposterebbe il problema invece di chiuderlo, e perderebbe l'unica domanda a cui si può rispondere.</w:t>
      </w:r>
    </w:p>
    <w:p>
      <w:pPr>
        <w:spacing w:after="120" w:line="276"/>
        <w:jc w:val="both"/>
      </w:pPr>
      <w:r>
        <w:rPr>
          <w:rFonts w:ascii="Barlow Semi Condensed" w:cs="Barlow Semi Condensed" w:eastAsia="Barlow Semi Condensed" w:hAnsi="Barlow Semi Condensed"/>
          <w:b/>
          <w:bCs/>
          <w:sz w:val="24"/>
          <w:szCs w:val="24"/>
        </w:rPr>
        <w:t xml:space="preserve">3766 · Le 12:13 del 9 maggio.</w:t>
      </w:r>
      <w:r>
        <w:rPr>
          <w:rFonts w:ascii="Barlow Semi Condensed" w:cs="Barlow Semi Condensed" w:eastAsia="Barlow Semi Condensed" w:hAnsi="Barlow Semi Condensed"/>
          <w:sz w:val="24"/>
          <w:szCs w:val="24"/>
        </w:rPr>
        <w:t xml:space="preserve"> La formula «il dottor Niccolai» apre la scheda del blocco 563 sulla chiamata al professor Tritto, con l'originale agli atti giudiziari e le copie negli archivi Rai. Documento autentico e pubblico. Nessuna analisi di questa serie tocca quel nastro: lo si cita per completezza del territorio e per fissare che la voce che annunciò la fine fu italiana, col rispetto dovuto a chi rispose.</w:t>
      </w:r>
    </w:p>
    <w:p>
      <w:pPr>
        <w:spacing w:after="120" w:line="276"/>
        <w:jc w:val="both"/>
      </w:pPr>
      <w:r>
        <w:rPr>
          <w:rFonts w:ascii="Barlow Semi Condensed" w:cs="Barlow Semi Condensed" w:eastAsia="Barlow Semi Condensed" w:hAnsi="Barlow Semi Condensed"/>
          <w:b/>
          <w:bCs/>
          <w:sz w:val="24"/>
          <w:szCs w:val="24"/>
        </w:rPr>
        <w:t xml:space="preserve">3767 · Perché in Italia non si registrava.</w:t>
      </w:r>
      <w:r>
        <w:rPr>
          <w:rFonts w:ascii="Barlow Semi Condensed" w:cs="Barlow Semi Condensed" w:eastAsia="Barlow Semi Condensed" w:hAnsi="Barlow Semi Condensed"/>
          <w:sz w:val="24"/>
          <w:szCs w:val="24"/>
        </w:rPr>
        <w:t xml:space="preserve"> Censite al blocco 568 le telefonate documentate e prive di audio, il blocco 569 ne cerca la ragione di sistema nelle prassi di intercettazione e conservazione del 1978. Corollario per la triangolazione: la differenza rispetto alle trascrizioni d'ufficio in uso presso un segretario di Stato americano è di sistema documentale, non di segreto. Lo si dichiara, e non se ne trae altro.</w:t>
      </w:r>
    </w:p>
    <w:p>
      <w:pPr>
        <w:spacing w:after="120" w:line="276"/>
        <w:jc w:val="both"/>
      </w:pPr>
      <w:r>
        <w:rPr>
          <w:rFonts w:ascii="Barlow Semi Condensed" w:cs="Barlow Semi Condensed" w:eastAsia="Barlow Semi Condensed" w:hAnsi="Barlow Semi Condensed"/>
          <w:b/>
          <w:bCs/>
          <w:sz w:val="24"/>
          <w:szCs w:val="24"/>
        </w:rPr>
        <w:t xml:space="preserve">3768 · Le trascrizioni telefoniche, genere.</w:t>
      </w:r>
      <w:r>
        <w:rPr>
          <w:rFonts w:ascii="Barlow Semi Condensed" w:cs="Barlow Semi Condensed" w:eastAsia="Barlow Semi Condensed" w:hAnsi="Barlow Semi Condensed"/>
          <w:sz w:val="24"/>
          <w:szCs w:val="24"/>
        </w:rPr>
        <w:t xml:space="preserve"> I blocchi 97, 282 e 664 dell'opera Kissinger inseguono la serie delle trascrizioni d'ufficio delle conversazioni telefoniche, con sede da verificare presso i fondi del Dipartimento di Stato ai National Archives. Per genere è il gemello dei verbali italiani senza audio del blocco 568. La somiglianza è analogia di prassi burocratica, non omologia di vicenda: nessun antenato comune si deduce da due burocrazie che verbalizzano.</w:t>
      </w:r>
    </w:p>
    <w:p>
      <w:pPr>
        <w:spacing w:after="120" w:line="276"/>
        <w:jc w:val="both"/>
      </w:pPr>
      <w:r>
        <w:rPr>
          <w:rFonts w:ascii="Barlow Semi Condensed" w:cs="Barlow Semi Condensed" w:eastAsia="Barlow Semi Condensed" w:hAnsi="Barlow Semi Condensed"/>
          <w:b/>
          <w:bCs/>
          <w:sz w:val="24"/>
          <w:szCs w:val="24"/>
        </w:rPr>
        <w:t xml:space="preserve">3769 · Nessun campione, nessun confronto.</w:t>
      </w:r>
      <w:r>
        <w:rPr>
          <w:rFonts w:ascii="Barlow Semi Condensed" w:cs="Barlow Semi Condensed" w:eastAsia="Barlow Semi Condensed" w:hAnsi="Barlow Semi Condensed"/>
          <w:sz w:val="24"/>
          <w:szCs w:val="24"/>
        </w:rPr>
        <w:t xml:space="preserve"> Ammessa soltanto sopra la soglia di qualità fissata in anticipo dal blocco 203 dell'agenda, la fonetica forense del blocco 566 non ha qui alcun oggetto: nel territorio non esiste campione sonoro straniero relativo al caso. Nessuna comparazione vocale è dunque concepibile in questa direzione. Dove la scienza non ha materiale tace, e qui tace per assenza di oggetto prima ancora che per soglia.</w:t>
      </w:r>
    </w:p>
    <w:p>
      <w:pPr>
        <w:spacing w:after="120" w:line="276"/>
        <w:jc w:val="both"/>
      </w:pPr>
      <w:r>
        <w:rPr>
          <w:rFonts w:ascii="Barlow Semi Condensed" w:cs="Barlow Semi Condensed" w:eastAsia="Barlow Semi Condensed" w:hAnsi="Barlow Semi Condensed"/>
          <w:b/>
          <w:bCs/>
          <w:sz w:val="24"/>
          <w:szCs w:val="24"/>
        </w:rPr>
        <w:t xml:space="preserve">3770 · Il secondo piano dei nastri.</w:t>
      </w:r>
      <w:r>
        <w:rPr>
          <w:rFonts w:ascii="Barlow Semi Condensed" w:cs="Barlow Semi Condensed" w:eastAsia="Barlow Semi Condensed" w:hAnsi="Barlow Semi Condensed"/>
          <w:sz w:val="24"/>
          <w:szCs w:val="24"/>
        </w:rPr>
        <w:t xml:space="preserve"> Aspettative dichiaratamente basse governano al blocco 567 l'esplorazione degli ambienti sonori delle due registrazioni. Bersaglio di smentita formulato prima dell'esame: nemmeno una separazione riuscita dei fondi potrebbe restituire una voce non presente alla chiamata. Il margine residuo di quei nastri riguarda i luoghi, non le committenze, e dichiararlo in anticipo evita che un esito nullo venga presentato come reticenza.</w:t>
      </w:r>
    </w:p>
    <w:p>
      <w:pPr>
        <w:spacing w:after="120" w:line="276"/>
        <w:jc w:val="both"/>
      </w:pPr>
      <w:r>
        <w:rPr>
          <w:rFonts w:ascii="Barlow Semi Condensed" w:cs="Barlow Semi Condensed" w:eastAsia="Barlow Semi Condensed" w:hAnsi="Barlow Semi Condensed"/>
          <w:b/>
          <w:bCs/>
          <w:sz w:val="24"/>
          <w:szCs w:val="24"/>
        </w:rPr>
        <w:t xml:space="preserve">3771 · Nessuna voce ricostruita.</w:t>
      </w:r>
      <w:r>
        <w:rPr>
          <w:rFonts w:ascii="Barlow Semi Condensed" w:cs="Barlow Semi Condensed" w:eastAsia="Barlow Semi Condensed" w:hAnsi="Barlow Semi Condensed"/>
          <w:sz w:val="24"/>
          <w:szCs w:val="24"/>
        </w:rPr>
        <w:t xml:space="preserve"> Vietato al cantiere generare ricostruzioni sintetiche delle voci delle vittime e dei protagonisti: è il divieto del blocco 646, e va esteso a questa serie. Nessuna voce sintetica del nome triangolato, per nessuna finalità divulgativa. Il blocco 645 istituisce il registro pubblico dei falsi sintetici circolanti, e una frase mai documentata è esattamente il materiale che l'era sintetica tenderà a fabbricare per prima.</w:t>
      </w:r>
    </w:p>
    <w:p>
      <w:pPr>
        <w:spacing w:after="120" w:line="276"/>
        <w:jc w:val="both"/>
      </w:pPr>
      <w:r>
        <w:rPr>
          <w:rFonts w:ascii="Barlow Semi Condensed" w:cs="Barlow Semi Condensed" w:eastAsia="Barlow Semi Condensed" w:hAnsi="Barlow Semi Condensed"/>
          <w:b/>
          <w:bCs/>
          <w:sz w:val="24"/>
          <w:szCs w:val="24"/>
        </w:rPr>
        <w:t xml:space="preserve">3772 · Gli archivi sonori esteri, incompleti.</w:t>
      </w:r>
      <w:r>
        <w:rPr>
          <w:rFonts w:ascii="Barlow Semi Condensed" w:cs="Barlow Semi Condensed" w:eastAsia="Barlow Semi Condensed" w:hAnsi="Barlow Semi Condensed"/>
          <w:sz w:val="24"/>
          <w:szCs w:val="24"/>
        </w:rPr>
        <w:t xml:space="preserve"> BBC, ORTF-INA e ARD sono i nomi del blocco 581, e nessun radiodiffusore statunitense vi compare. Bersaglio di completamento territoriale, con le regole d'accesso della Parte prima: le corrispondenze da Roma del 1978 conservate dalle teche radiofoniche americane. L'assenza riguarda l'elenco del cantiere, non necessariamente i materiali: il primo atto è interrogare i cataloghi e verbalizzare che cosa esista.</w:t>
      </w:r>
    </w:p>
    <w:p>
      <w:pPr>
        <w:spacing w:after="120" w:line="276"/>
        <w:jc w:val="both"/>
      </w:pPr>
      <w:r>
        <w:rPr>
          <w:rFonts w:ascii="Barlow Semi Condensed" w:cs="Barlow Semi Condensed" w:eastAsia="Barlow Semi Condensed" w:hAnsi="Barlow Semi Condensed"/>
          <w:b/>
          <w:bCs/>
          <w:sz w:val="24"/>
          <w:szCs w:val="24"/>
        </w:rPr>
        <w:t xml:space="preserve">3773 · Il Vanderbilt, giacimento assente.</w:t>
      </w:r>
      <w:r>
        <w:rPr>
          <w:rFonts w:ascii="Barlow Semi Condensed" w:cs="Barlow Semi Condensed" w:eastAsia="Barlow Semi Condensed" w:hAnsi="Barlow Semi Condensed"/>
          <w:sz w:val="24"/>
          <w:szCs w:val="24"/>
        </w:rPr>
        <w:t xml:space="preserve"> Omessa dal blocco 628, che censisce BBC Archive, INA e ARD per i servizi esteri sul caso, è la televisione statunitense. Bersaglio nominato: il Vanderbilt Television News Archive per i notiziari serali delle reti americane sui cinquantacinque giorni. È il giacimento che dice che cosa il pubblico americano vide della crisi italiana, e il corpus non lo ha mai censito né citato.</w:t>
      </w:r>
    </w:p>
    <w:p>
      <w:pPr>
        <w:spacing w:after="120" w:line="276"/>
        <w:jc w:val="both"/>
      </w:pPr>
      <w:r>
        <w:rPr>
          <w:rFonts w:ascii="Barlow Semi Condensed" w:cs="Barlow Semi Condensed" w:eastAsia="Barlow Semi Condensed" w:hAnsi="Barlow Semi Condensed"/>
          <w:b/>
          <w:bCs/>
          <w:sz w:val="24"/>
          <w:szCs w:val="24"/>
        </w:rPr>
        <w:t xml:space="preserve">3774 · L'esclusiva GBR resta italiana.</w:t>
      </w:r>
      <w:r>
        <w:rPr>
          <w:rFonts w:ascii="Barlow Semi Condensed" w:cs="Barlow Semi Condensed" w:eastAsia="Barlow Semi Condensed" w:hAnsi="Barlow Semi Condensed"/>
          <w:sz w:val="24"/>
          <w:szCs w:val="24"/>
        </w:rPr>
        <w:t xml:space="preserve"> Girate da GBR, con Franco Alfano e l'operatore Valerio Leccese, le prime e uniche immagini dell'apertura del bagagliaio entrarono poi nel repertorio Rai, mentre la collocazione dei grezzi originali non è documentata: così il blocco 579. È un bersaglio conservativo italiano e urgente. Si segnala qui perché una serie di triangolazione non lo faccia scomparire dietro questioni più rumorose.</w:t>
      </w:r>
    </w:p>
    <w:p>
      <w:pPr>
        <w:spacing w:after="120" w:line="276"/>
        <w:jc w:val="both"/>
      </w:pPr>
      <w:r>
        <w:rPr>
          <w:rFonts w:ascii="Barlow Semi Condensed" w:cs="Barlow Semi Condensed" w:eastAsia="Barlow Semi Condensed" w:hAnsi="Barlow Semi Condensed"/>
          <w:b/>
          <w:bCs/>
          <w:sz w:val="24"/>
          <w:szCs w:val="24"/>
        </w:rPr>
        <w:t xml:space="preserve">3775 · Il fondo non qualifica lo scatto.</w:t>
      </w:r>
      <w:r>
        <w:rPr>
          <w:rFonts w:ascii="Barlow Semi Condensed" w:cs="Barlow Semi Condensed" w:eastAsia="Barlow Semi Condensed" w:hAnsi="Barlow Semi Condensed"/>
          <w:sz w:val="24"/>
          <w:szCs w:val="24"/>
        </w:rPr>
        <w:t xml:space="preserve"> ANSA, AP e il fondo Publifoto — circa sette milioni di immagini passate nel 2015 all'Archivio storico di Intesa Sanpaolo, con la presenza morotea da verificare a catalogo — compongono il filone privato del blocco 590. L'AP è agenzia statunitense: il suo fondo si interroga come fondo, con la griglia del blocco 603, e non come emanazione di una politica. La proprietà non qualifica lo scatto.</w:t>
      </w:r>
    </w:p>
    <w:p>
      <w:pPr>
        <w:spacing w:after="120" w:line="276"/>
        <w:jc w:val="both"/>
      </w:pPr>
      <w:r>
        <w:rPr>
          <w:rFonts w:ascii="Barlow Semi Condensed" w:cs="Barlow Semi Condensed" w:eastAsia="Barlow Semi Condensed" w:hAnsi="Barlow Semi Condensed"/>
          <w:b/>
          <w:bCs/>
          <w:sz w:val="24"/>
          <w:szCs w:val="24"/>
        </w:rPr>
        <w:t xml:space="preserve">3776 · Le didascalie da bonificare.</w:t>
      </w:r>
      <w:r>
        <w:rPr>
          <w:rFonts w:ascii="Barlow Semi Condensed" w:cs="Barlow Semi Condensed" w:eastAsia="Barlow Semi Condensed" w:hAnsi="Barlow Semi Condensed"/>
          <w:sz w:val="24"/>
          <w:szCs w:val="24"/>
        </w:rPr>
        <w:t xml:space="preserve"> Progettata dal blocco 606, la bonifica riguarda le immagini circolanti con date, luoghi o soggetti errati. Bersaglio specifico per questa serie: le fotografie di incontri diplomatici italo-americani degli anni Settanta, ricorrentemente ridatate nella pubblicistica sul caso. La correzione è documentale — comunicati ufficiali, programmi di visita, fondi d'agenzia — e disinnesca una quota del rumore senza dover discutere alcuna tesi.</w:t>
      </w:r>
    </w:p>
    <w:p>
      <w:pPr>
        <w:spacing w:after="120" w:line="276"/>
        <w:jc w:val="both"/>
      </w:pPr>
      <w:r>
        <w:rPr>
          <w:rFonts w:ascii="Barlow Semi Condensed" w:cs="Barlow Semi Condensed" w:eastAsia="Barlow Semi Condensed" w:hAnsi="Barlow Semi Condensed"/>
          <w:b/>
          <w:bCs/>
          <w:sz w:val="24"/>
          <w:szCs w:val="24"/>
        </w:rPr>
        <w:t xml:space="preserve">3777 · La dogana vale anche per i celebri.</w:t>
      </w:r>
      <w:r>
        <w:rPr>
          <w:rFonts w:ascii="Barlow Semi Condensed" w:cs="Barlow Semi Condensed" w:eastAsia="Barlow Semi Condensed" w:hAnsi="Barlow Semi Condensed"/>
          <w:sz w:val="24"/>
          <w:szCs w:val="24"/>
        </w:rPr>
        <w:t xml:space="preserve"> Catalogo dei falsi visivi al blocco 605, autenticazione tecnica dell'audiovisivo emergente al blocco 644: ogni immagine nuova che accosti il nome al caso passa la dogana prima della cittadinanza nel corpus, a maggior ragione nell'era descritta dal blocco 645. Questa serie non chiede un protocollo nuovo: chiede che quello esistente si applichi anche quando il soggetto è famoso.</w:t>
      </w:r>
    </w:p>
    <w:p>
      <w:pPr>
        <w:spacing w:after="120" w:line="276"/>
        <w:jc w:val="both"/>
      </w:pPr>
      <w:r>
        <w:rPr>
          <w:rFonts w:ascii="Barlow Semi Condensed" w:cs="Barlow Semi Condensed" w:eastAsia="Barlow Semi Condensed" w:hAnsi="Barlow Semi Condensed"/>
          <w:b/>
          <w:bCs/>
          <w:sz w:val="24"/>
          <w:szCs w:val="24"/>
        </w:rPr>
        <w:t xml:space="preserve">3778 · La metrica non produce nomi.</w:t>
      </w:r>
      <w:r>
        <w:rPr>
          <w:rFonts w:ascii="Barlow Semi Condensed" w:cs="Barlow Semi Condensed" w:eastAsia="Barlow Semi Condensed" w:hAnsi="Barlow Semi Condensed"/>
          <w:sz w:val="24"/>
          <w:szCs w:val="24"/>
        </w:rPr>
        <w:t xml:space="preserve"> Misurare la fotogrammetria delle foto della prigionia contro le caratteristiche di via Montalcini 8 accertate dal blocco 419 è il compito del blocco 595. Misura geometrie, non responsabilità. Bersaglio di smentita valido per chiunque: nessun esito metrico su un fondale può produrre un nome. La compatibilità si misura fra un'immagine e un luogo, mai fra un'immagine e una persona assente.</w:t>
      </w:r>
    </w:p>
    <w:p>
      <w:pPr>
        <w:spacing w:after="120" w:line="276"/>
        <w:jc w:val="both"/>
      </w:pPr>
      <w:r>
        <w:rPr>
          <w:rFonts w:ascii="Barlow Semi Condensed" w:cs="Barlow Semi Condensed" w:eastAsia="Barlow Semi Condensed" w:hAnsi="Barlow Semi Condensed"/>
          <w:b/>
          <w:bCs/>
          <w:sz w:val="24"/>
          <w:szCs w:val="24"/>
        </w:rPr>
        <w:t xml:space="preserve">3779 · Dall'alto, e il quesito satellitare.</w:t>
      </w:r>
      <w:r>
        <w:rPr>
          <w:rFonts w:ascii="Barlow Semi Condensed" w:cs="Barlow Semi Condensed" w:eastAsia="Barlow Semi Condensed" w:hAnsi="Barlow Semi Condensed"/>
          <w:sz w:val="24"/>
          <w:szCs w:val="24"/>
        </w:rPr>
        <w:t xml:space="preserve"> Le coperture aeree dell'Aerofototeca Nazionale dell'ICCD e dell'Istituto Geografico Militare sui quadranti romani del 1977-1978 sono assunte dal blocco 630. Quesito nuovo da portare a sede nominata: quali coperture satellitari statunitensi di quel periodo siano oggi desecretate, ordinabili e con quale risoluzione utile. È accertamento tecnico e archivistico, da chiudere prima di ogni uso e di ogni ipotesi.</w:t>
      </w:r>
    </w:p>
    <w:p>
      <w:pPr>
        <w:spacing w:after="120" w:line="276"/>
        <w:jc w:val="both"/>
      </w:pPr>
      <w:r>
        <w:rPr>
          <w:rFonts w:ascii="Barlow Semi Condensed" w:cs="Barlow Semi Condensed" w:eastAsia="Barlow Semi Condensed" w:hAnsi="Barlow Semi Condensed"/>
          <w:b/>
          <w:bCs/>
          <w:sz w:val="24"/>
          <w:szCs w:val="24"/>
        </w:rPr>
        <w:t xml:space="preserve">3780 · Il modello aperto come difesa.</w:t>
      </w:r>
      <w:r>
        <w:rPr>
          <w:rFonts w:ascii="Barlow Semi Condensed" w:cs="Barlow Semi Condensed" w:eastAsia="Barlow Semi Condensed" w:hAnsi="Barlow Semi Condensed"/>
          <w:sz w:val="24"/>
          <w:szCs w:val="24"/>
        </w:rPr>
        <w:t xml:space="preserve"> Registrata dal blocco 632, la ricostruzione virtuale tridimensionale realizzata dalla Polizia scientifica per la Moro 2 fu diffusa nel 2017 come elaborato tecnico, e un modello pubblico ed esplorabile non esiste. Il cantiere lo costruisce con ogni assunzione dichiarata. Un modello aperto è anche una difesa: rende falsificabili le ricostruzioni narrative che nessun dato sostiene, comprese quelle che amano i nomi grandi.</w:t>
      </w:r>
    </w:p>
    <w:p>
      <w:pPr>
        <w:spacing w:after="120" w:line="276"/>
        <w:jc w:val="both"/>
      </w:pPr>
      <w:r>
        <w:rPr>
          <w:rFonts w:ascii="Barlow Semi Condensed" w:cs="Barlow Semi Condensed" w:eastAsia="Barlow Semi Condensed" w:hAnsi="Barlow Semi Condensed"/>
          <w:b/>
          <w:bCs/>
          <w:sz w:val="24"/>
          <w:szCs w:val="24"/>
        </w:rPr>
        <w:t xml:space="preserve">3781 · Le celle che il sensibile non riempie.</w:t>
      </w:r>
      <w:r>
        <w:rPr>
          <w:rFonts w:ascii="Barlow Semi Condensed" w:cs="Barlow Semi Condensed" w:eastAsia="Barlow Semi Condensed" w:hAnsi="Barlow Semi Condensed"/>
          <w:sz w:val="24"/>
          <w:szCs w:val="24"/>
        </w:rPr>
        <w:t xml:space="preserve"> Le presenze fotografate, i fondi delle telefonate, le geometrie della prigione: sono le celle che il blocco 659 riserva all'immagine e al suono. Nessuna di esse è riempibile da un nome straniero, perché riguardano la scena, lo spazio e il rumore. È un limite strutturale del territorio, e dichiararlo evita che si chieda alle immagini ciò che non possono dare.</w:t>
      </w:r>
    </w:p>
    <w:p>
      <w:pPr>
        <w:spacing w:after="120" w:line="276"/>
        <w:jc w:val="both"/>
      </w:pPr>
      <w:r>
        <w:rPr>
          <w:rFonts w:ascii="Barlow Semi Condensed" w:cs="Barlow Semi Condensed" w:eastAsia="Barlow Semi Condensed" w:hAnsi="Barlow Semi Condensed"/>
          <w:b/>
          <w:bCs/>
          <w:sz w:val="24"/>
          <w:szCs w:val="24"/>
        </w:rPr>
        <w:t xml:space="preserve">3782 · La precedenza resta giudiziaria.</w:t>
      </w:r>
      <w:r>
        <w:rPr>
          <w:rFonts w:ascii="Barlow Semi Condensed" w:cs="Barlow Semi Condensed" w:eastAsia="Barlow Semi Condensed" w:hAnsi="Barlow Semi Condensed"/>
          <w:sz w:val="24"/>
          <w:szCs w:val="24"/>
        </w:rPr>
        <w:t xml:space="preserve"> Segnalare all'autorità ogni materiale sensibile con possibile rilievo per l'indagine aperta, prima di qualunque uso pubblico, è l'obbligo del blocco 651, in raccordo col blocco 291 dell'agenda. La regola vale anche qui: se un documento di primo piano emergesse, la precedenza è del fascicolo romano. Il corpus si ferma al giudicato e consegna; non pubblica per rivendicare un primato.</w:t>
      </w:r>
    </w:p>
    <w:p>
      <w:pPr>
        <w:spacing w:after="120" w:line="276"/>
        <w:jc w:val="both"/>
      </w:pPr>
      <w:r>
        <w:rPr>
          <w:rFonts w:ascii="Barlow Semi Condensed" w:cs="Barlow Semi Condensed" w:eastAsia="Barlow Semi Condensed" w:hAnsi="Barlow Semi Condensed"/>
          <w:b/>
          <w:bCs/>
          <w:sz w:val="24"/>
          <w:szCs w:val="24"/>
        </w:rPr>
        <w:t xml:space="preserve">3783 · Il bilancio, in tre piani.</w:t>
      </w:r>
      <w:r>
        <w:rPr>
          <w:rFonts w:ascii="Barlow Semi Condensed" w:cs="Barlow Semi Condensed" w:eastAsia="Barlow Semi Condensed" w:hAnsi="Barlow Semi Condensed"/>
          <w:sz w:val="24"/>
          <w:szCs w:val="24"/>
        </w:rPr>
        <w:t xml:space="preserve"> Sui duecento bersagli del territorio assegnato gli agganci di primo piano col nome triangolato sono zero; le convergenze di secondo piano sono di cornice e già registrate altrove nel corpus; le affermazioni di terzo piano si riducono all'avvertimento riferito, testimonianza contestata di grado B debole, mai da dare per accertata. Il risultato corretto di questa serie è un inventario di assenze accertate.</w:t>
      </w:r>
    </w:p>
    <w:p>
      <w:pPr>
        <w:spacing w:after="120" w:line="276"/>
        <w:jc w:val="both"/>
      </w:pPr>
      <w:r>
        <w:rPr>
          <w:rFonts w:ascii="Barlow Semi Condensed" w:cs="Barlow Semi Condensed" w:eastAsia="Barlow Semi Condensed" w:hAnsi="Barlow Semi Condensed"/>
          <w:b/>
          <w:bCs/>
          <w:sz w:val="24"/>
          <w:szCs w:val="24"/>
        </w:rPr>
        <w:t xml:space="preserve">3784 · Che cosa smentirebbe tutto.</w:t>
      </w:r>
      <w:r>
        <w:rPr>
          <w:rFonts w:ascii="Barlow Semi Condensed" w:cs="Barlow Semi Condensed" w:eastAsia="Barlow Semi Condensed" w:hAnsi="Barlow Semi Condensed"/>
          <w:sz w:val="24"/>
          <w:szCs w:val="24"/>
        </w:rPr>
        <w:t xml:space="preserve"> Bersaglio di smentita complessivo, formulato una volta per tutte: un documento di provenienza — verbale, inventario, cablogramma, atto di consegna — che nomini insieme le carte della prigionia o i supporti sensibili del caso e la persona qui triangolata. Sedi dove cercarlo: NARA AAD, la FOIA Library del Dipartimento di Stato, la Ford Library, Yale Manuscripts and Archives, la Manuscript Division della Library of Congress.</w:t>
      </w:r>
    </w:p>
    <w:p>
      <w:pPr>
        <w:spacing w:after="120" w:line="276"/>
        <w:jc w:val="both"/>
      </w:pPr>
      <w:r>
        <w:rPr>
          <w:rFonts w:ascii="Barlow Semi Condensed" w:cs="Barlow Semi Condensed" w:eastAsia="Barlow Semi Condensed" w:hAnsi="Barlow Semi Condensed"/>
          <w:b/>
          <w:bCs/>
          <w:sz w:val="24"/>
          <w:szCs w:val="24"/>
        </w:rPr>
        <w:t xml:space="preserve">3785 · L'apparato tace, e si dichiara.</w:t>
      </w:r>
      <w:r>
        <w:rPr>
          <w:rFonts w:ascii="Barlow Semi Condensed" w:cs="Barlow Semi Condensed" w:eastAsia="Barlow Semi Condensed" w:hAnsi="Barlow Semi Condensed"/>
          <w:sz w:val="24"/>
          <w:szCs w:val="24"/>
        </w:rPr>
        <w:t xml:space="preserve"> Gli apparati C-5 e C-6 della seconda campagna dei cantieri, dedicati proprio a questo territorio, non registrano alcuna voce americana né alcun «non trovato» su quel versante: la ricerca non fu condotta in quella direzione perché il territorio non la sollecita. Questa serie ha letto duecento bersagli e vi ha misurato un silenzio, indicando per ciascun punto la sede che lo chiuderebbe.</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Serie cinquantesima — I nove cantieri: registro e fascicolo di Roma</w:t>
      </w:r>
    </w:p>
    <w:p>
      <w:pPr>
        <w:spacing w:after="120" w:line="276"/>
        <w:jc w:val="both"/>
      </w:pPr>
      <w:r>
        <w:rPr>
          <w:rFonts w:ascii="Barlow Semi Condensed" w:cs="Barlow Semi Condensed" w:eastAsia="Barlow Semi Condensed" w:hAnsi="Barlow Semi Condensed"/>
          <w:i/>
          <w:iCs/>
          <w:sz w:val="24"/>
          <w:szCs w:val="24"/>
        </w:rPr>
        <w:t xml:space="preserve">Blocchi 3786-3860.</w:t>
      </w:r>
    </w:p>
    <w:p>
      <w:pPr>
        <w:spacing w:after="120" w:line="276"/>
        <w:jc w:val="both"/>
      </w:pPr>
      <w:r>
        <w:rPr>
          <w:rFonts w:ascii="Barlow Semi Condensed" w:cs="Barlow Semi Condensed" w:eastAsia="Barlow Semi Condensed" w:hAnsi="Barlow Semi Condensed"/>
          <w:b/>
          <w:bCs/>
          <w:sz w:val="24"/>
          <w:szCs w:val="24"/>
        </w:rPr>
        <w:t xml:space="preserve">3786 · Zero occorrenze in mille blocchi.</w:t>
      </w:r>
      <w:r>
        <w:rPr>
          <w:rFonts w:ascii="Barlow Semi Condensed" w:cs="Barlow Semi Condensed" w:eastAsia="Barlow Semi Condensed" w:hAnsi="Barlow Semi Condensed"/>
          <w:sz w:val="24"/>
          <w:szCs w:val="24"/>
        </w:rPr>
        <w:t xml:space="preserve"> Il primo accertamento è meccanico e va scritto per primo: una ricerca sull'intero file nove-cantieri-mille-blocchi.md, duemilacentotrentasette righe, restituisce zero occorrenze del nome Kissinger, Parti ottava e nona comprese. Il territorio assegnato a questa serie tace integralmente sul nome triangolato. Non è una lacuna dell'opera: è la conseguenza dei suoi due statuti di parte, e i blocchi che seguono la verbalizzano invece di aggirarla. Grado: pieno, verificabile da chiunque rifaccia la ricerca.</w:t>
      </w:r>
    </w:p>
    <w:p>
      <w:pPr>
        <w:spacing w:after="120" w:line="276"/>
        <w:jc w:val="both"/>
      </w:pPr>
      <w:r>
        <w:rPr>
          <w:rFonts w:ascii="Barlow Semi Condensed" w:cs="Barlow Semi Condensed" w:eastAsia="Barlow Semi Condensed" w:hAnsi="Barlow Semi Condensed"/>
          <w:b/>
          <w:bCs/>
          <w:sz w:val="24"/>
          <w:szCs w:val="24"/>
        </w:rPr>
        <w:t xml:space="preserve">3787 · Perché la Parte ottava lo esclude.</w:t>
      </w:r>
      <w:r>
        <w:rPr>
          <w:rFonts w:ascii="Barlow Semi Condensed" w:cs="Barlow Semi Condensed" w:eastAsia="Barlow Semi Condensed" w:hAnsi="Barlow Semi Condensed"/>
          <w:sz w:val="24"/>
          <w:szCs w:val="24"/>
        </w:rPr>
        <w:t xml:space="preserve"> Lo statuto della Parte ottava è scolpito nella premessa: i nomi, solo dove la legge li ha scritti. Il registro accoglie chi vi fu iscritto da cinque processi definitivi, e il blocco 796 ne fissa il perimetro esatto — non ogni condannato della colonna romana, non ogni brigatista del 1978. Una persona mai imputata in alcun Paese non può comparirvi per definizione, non per riguardo. L'assenza è effetto di regola, non silenzio da interpretare.</w:t>
      </w:r>
    </w:p>
    <w:p>
      <w:pPr>
        <w:spacing w:after="120" w:line="276"/>
        <w:jc w:val="both"/>
      </w:pPr>
      <w:r>
        <w:rPr>
          <w:rFonts w:ascii="Barlow Semi Condensed" w:cs="Barlow Semi Condensed" w:eastAsia="Barlow Semi Condensed" w:hAnsi="Barlow Semi Condensed"/>
          <w:b/>
          <w:bCs/>
          <w:sz w:val="24"/>
          <w:szCs w:val="24"/>
        </w:rPr>
        <w:t xml:space="preserve">3788 · Il muro portante del perimetro negativo.</w:t>
      </w:r>
      <w:r>
        <w:rPr>
          <w:rFonts w:ascii="Barlow Semi Condensed" w:cs="Barlow Semi Condensed" w:eastAsia="Barlow Semi Condensed" w:hAnsi="Barlow Semi Condensed"/>
          <w:sz w:val="24"/>
          <w:szCs w:val="24"/>
        </w:rPr>
        <w:t xml:space="preserve"> Nel blocco 876 il perimetro negativo è dichiarato un'ultima volta: nessun bersaglio della parte cerca colpevoli nuovi, rilegge posizioni giudicate o costruisce sospetti su non iscritti. È il muro che questa serie incontra per primo e non tenta di scavalcare. Ne discende che la prosopografia del registro non è, e non diventerà, la sede in cui una responsabilità straniera possa essere discussa. La sede sarebbe un'imputazione, e non esiste.</w:t>
      </w:r>
    </w:p>
    <w:p>
      <w:pPr>
        <w:spacing w:after="120" w:line="276"/>
        <w:jc w:val="both"/>
      </w:pPr>
      <w:r>
        <w:rPr>
          <w:rFonts w:ascii="Barlow Semi Condensed" w:cs="Barlow Semi Condensed" w:eastAsia="Barlow Semi Condensed" w:hAnsi="Barlow Semi Condensed"/>
          <w:b/>
          <w:bCs/>
          <w:sz w:val="24"/>
          <w:szCs w:val="24"/>
        </w:rPr>
        <w:t xml:space="preserve">3789 · I non iscritti e la loro tavola.</w:t>
      </w:r>
      <w:r>
        <w:rPr>
          <w:rFonts w:ascii="Barlow Semi Condensed" w:cs="Barlow Semi Condensed" w:eastAsia="Barlow Semi Condensed" w:hAnsi="Barlow Semi Condensed"/>
          <w:sz w:val="24"/>
          <w:szCs w:val="24"/>
        </w:rPr>
        <w:t xml:space="preserve"> Al blocco 846 è progettato il censimento disciplinare di chi la pubblicistica associa al caso senza giudicato, con le ragioni dell'esclusione e senza nomi oltre gli atti pubblici che li contengono. Quesito da porre prima della compilazione: quella tavola contemplerà anche i nomi stranieri di larga circolazione, o resterà interna alla militanza italiana? Lo stato oggi è zero, perché la tavola non è stata costruita. Chi la costruirà decida la regola prima dei nomi.</w:t>
      </w:r>
    </w:p>
    <w:p>
      <w:pPr>
        <w:spacing w:after="120" w:line="276"/>
        <w:jc w:val="both"/>
      </w:pPr>
      <w:r>
        <w:rPr>
          <w:rFonts w:ascii="Barlow Semi Condensed" w:cs="Barlow Semi Condensed" w:eastAsia="Barlow Semi Condensed" w:hAnsi="Barlow Semi Condensed"/>
          <w:b/>
          <w:bCs/>
          <w:sz w:val="24"/>
          <w:szCs w:val="24"/>
        </w:rPr>
        <w:t xml:space="preserve">3790 · Assolto non è mai imputato.</w:t>
      </w:r>
      <w:r>
        <w:rPr>
          <w:rFonts w:ascii="Barlow Semi Condensed" w:cs="Barlow Semi Condensed" w:eastAsia="Barlow Semi Condensed" w:hAnsi="Barlow Semi Condensed"/>
          <w:sz w:val="24"/>
          <w:szCs w:val="24"/>
        </w:rPr>
        <w:t xml:space="preserve"> La regola Algranati dei blocchi 795 e 845 tiene insieme tre verità distinte su una stessa persona: assoluzione per via Fani nel Moro-ter del 1988, ergastolo per altri fatti, cattura al Cairo il 14 gennaio 2004. Serve qui per differenza, non per somiglianza. Un assolto ha attraversato un processo; il nome di questa serie non ne ha attraversato alcuno, in nessun Paese. Confondere le due condizioni è l'errore che il glossario del blocco 874 deve impedire.</w:t>
      </w:r>
    </w:p>
    <w:p>
      <w:pPr>
        <w:spacing w:after="120" w:line="276"/>
        <w:jc w:val="both"/>
      </w:pPr>
      <w:r>
        <w:rPr>
          <w:rFonts w:ascii="Barlow Semi Condensed" w:cs="Barlow Semi Condensed" w:eastAsia="Barlow Semi Condensed" w:hAnsi="Barlow Semi Condensed"/>
          <w:b/>
          <w:bCs/>
          <w:sz w:val="24"/>
          <w:szCs w:val="24"/>
        </w:rPr>
        <w:t xml:space="preserve">3791 · Quattro stati, un solo lessico.</w:t>
      </w:r>
      <w:r>
        <w:rPr>
          <w:rFonts w:ascii="Barlow Semi Condensed" w:cs="Barlow Semi Condensed" w:eastAsia="Barlow Semi Condensed" w:hAnsi="Barlow Semi Condensed"/>
          <w:sz w:val="24"/>
          <w:szCs w:val="24"/>
        </w:rPr>
        <w:t xml:space="preserve"> Quattro stati giuridici diversi vengono appiattiti dalla pubblicistica su un unico sospetto diffuso: assolto, prosciolto, mai indagato, mai sentito da un'autorità giudiziaria. La bonifica lessicale del blocco 874, che già colpisce l'uso improprio di «pentito» e «ergastolano», dovrebbe estendersi a questa quaterna. L'apparato K-2 registra il quarto stato per il nome in esame, e il glossario del registro è il luogo dove quella distinzione diventa insegnabile a chiunque.</w:t>
      </w:r>
    </w:p>
    <w:p>
      <w:pPr>
        <w:spacing w:after="120" w:line="276"/>
        <w:jc w:val="both"/>
      </w:pPr>
      <w:r>
        <w:rPr>
          <w:rFonts w:ascii="Barlow Semi Condensed" w:cs="Barlow Semi Condensed" w:eastAsia="Barlow Semi Condensed" w:hAnsi="Barlow Semi Condensed"/>
          <w:b/>
          <w:bCs/>
          <w:sz w:val="24"/>
          <w:szCs w:val="24"/>
        </w:rPr>
        <w:t xml:space="preserve">3792 · Il novembre 1982 entra negli atti.</w:t>
      </w:r>
      <w:r>
        <w:rPr>
          <w:rFonts w:ascii="Barlow Semi Condensed" w:cs="Barlow Semi Condensed" w:eastAsia="Barlow Semi Condensed" w:hAnsi="Barlow Semi Condensed"/>
          <w:sz w:val="24"/>
          <w:szCs w:val="24"/>
        </w:rPr>
        <w:t xml:space="preserve"> Esiste un punto in cui il nome tocca il territorio, e va detto con esattezza. La deposizione di Corrado Guerzoni davanti alla Corte d'assise di Roma nel novembre 1982 appartiene al dibattimento del primo processo romano, cioè alla scheda che il blocco 922 progetta. L'atto è di piano uno — un verbale d'udienza esiste ed è individuabile — mentre il fatto riferito resta testimonianza contestata, de relato e smentita. Il verbale è il bersaglio; la frase non lo è.</w:t>
      </w:r>
    </w:p>
    <w:p>
      <w:pPr>
        <w:spacing w:after="120" w:line="276"/>
        <w:jc w:val="both"/>
      </w:pPr>
      <w:r>
        <w:rPr>
          <w:rFonts w:ascii="Barlow Semi Condensed" w:cs="Barlow Semi Condensed" w:eastAsia="Barlow Semi Condensed" w:hAnsi="Barlow Semi Condensed"/>
          <w:b/>
          <w:bCs/>
          <w:sz w:val="24"/>
          <w:szCs w:val="24"/>
        </w:rPr>
        <w:t xml:space="preserve">3793 · La divergenza sulla data d'udienza.</w:t>
      </w:r>
      <w:r>
        <w:rPr>
          <w:rFonts w:ascii="Barlow Semi Condensed" w:cs="Barlow Semi Condensed" w:eastAsia="Barlow Semi Condensed" w:hAnsi="Barlow Semi Condensed"/>
          <w:sz w:val="24"/>
          <w:szCs w:val="24"/>
        </w:rPr>
        <w:t xml:space="preserve"> Sulla data di quella deposizione l'apparato K-4 riporta una divergenza non risolta: il 10 novembre 1982 secondo la datazione più ricorrente, il 15 secondo un'altra fonte. È esattamente il genere di casella che il blocco 867 impegna a chiudere su fonte primaria, come le nascite divergenti e i quantum di pena. Qui la fonte primaria ha un indirizzo preciso: il ruolo d'udienza e il verbale del dibattimento, fra gli atti digitalizzati descritti al blocco 911.</w:t>
      </w:r>
    </w:p>
    <w:p>
      <w:pPr>
        <w:spacing w:after="120" w:line="276"/>
        <w:jc w:val="both"/>
      </w:pPr>
      <w:r>
        <w:rPr>
          <w:rFonts w:ascii="Barlow Semi Condensed" w:cs="Barlow Semi Condensed" w:eastAsia="Barlow Semi Condensed" w:hAnsi="Barlow Semi Condensed"/>
          <w:b/>
          <w:bCs/>
          <w:sz w:val="24"/>
          <w:szCs w:val="24"/>
        </w:rPr>
        <w:t xml:space="preserve">3794 · Il limite K-5 ha una sede.</w:t>
      </w:r>
      <w:r>
        <w:rPr>
          <w:rFonts w:ascii="Barlow Semi Condensed" w:cs="Barlow Semi Condensed" w:eastAsia="Barlow Semi Condensed" w:hAnsi="Barlow Semi Condensed"/>
          <w:sz w:val="24"/>
          <w:szCs w:val="24"/>
        </w:rPr>
        <w:t xml:space="preserve"> L'apparato K-5 dichiara il limite della campagna sul nome: non ha potuto leggere i verbali d'udienza né gli stenografici della Commissione d'inchiesta. La Parte nona indica dove quel limite cade. Gli atti dei cinque processi custoditi alla Corte d'assise di Roma sono stati riordinati e digitalizzati dall'Archivio di Stato di Roma d'intesa con Ministero della Giustizia e Consiglio superiore della magistratura, con messa online progressiva. Il limite non è teorico: è una fila d'attesa.</w:t>
      </w:r>
    </w:p>
    <w:p>
      <w:pPr>
        <w:spacing w:after="120" w:line="276"/>
        <w:jc w:val="both"/>
      </w:pPr>
      <w:r>
        <w:rPr>
          <w:rFonts w:ascii="Barlow Semi Condensed" w:cs="Barlow Semi Condensed" w:eastAsia="Barlow Semi Condensed" w:hAnsi="Barlow Semi Condensed"/>
          <w:b/>
          <w:bCs/>
          <w:sz w:val="24"/>
          <w:szCs w:val="24"/>
        </w:rPr>
        <w:t xml:space="preserve">3795 · Il portale della Camera e il 1980.</w:t>
      </w:r>
      <w:r>
        <w:rPr>
          <w:rFonts w:ascii="Barlow Semi Condensed" w:cs="Barlow Semi Condensed" w:eastAsia="Barlow Semi Condensed" w:hAnsi="Barlow Semi Condensed"/>
          <w:sz w:val="24"/>
          <w:szCs w:val="24"/>
        </w:rPr>
        <w:t xml:space="preserve"> La quarta precisazione dell'apparato K-4 lascia aperto un punto singolo: la sede dell'audizione di Eleonora Chiavarelli Moro davanti alla Commissione d'inchiesta è confermata al 1° agosto 1980, il contenuto verbatim no. Il blocco 916 nomina lo sportello che lo chiuderebbe — inchieste.camera.it, sezione Moro, stenografici e circa ventimila pagine desecretate. Il quesito è unico e sta in una riga: che cosa dice, alla lettera, quel resoconto stenografico.</w:t>
      </w:r>
    </w:p>
    <w:p>
      <w:pPr>
        <w:spacing w:after="120" w:line="276"/>
        <w:jc w:val="both"/>
      </w:pPr>
      <w:r>
        <w:rPr>
          <w:rFonts w:ascii="Barlow Semi Condensed" w:cs="Barlow Semi Condensed" w:eastAsia="Barlow Semi Condensed" w:hAnsi="Barlow Semi Condensed"/>
          <w:b/>
          <w:bCs/>
          <w:sz w:val="24"/>
          <w:szCs w:val="24"/>
        </w:rPr>
        <w:t xml:space="preserve">3796 · Ciò che il portale della Rete direbbe.</w:t>
      </w:r>
      <w:r>
        <w:rPr>
          <w:rFonts w:ascii="Barlow Semi Condensed" w:cs="Barlow Semi Condensed" w:eastAsia="Barlow Semi Condensed" w:hAnsi="Barlow Semi Condensed"/>
          <w:sz w:val="24"/>
          <w:szCs w:val="24"/>
        </w:rPr>
        <w:t xml:space="preserve"> Su memoria.cultura.gov.it, rinnovato nel 2022 e censito al blocco 915, le sentenze dei processi romani sono già pubblicate. Ne discende un accertamento eseguibile subito e a costo nullo: la ricerca del nome nei testi pubblicati. L'esito atteso è negativo nei dispositivi; nelle motivazioni potrebbe comparire come richiamo a una deposizione. Qualunque sia, si verbalizza — un negativo su corpus interrogabile vale più di cento affermazioni sulla sua presunta reticenza.</w:t>
      </w:r>
    </w:p>
    <w:p>
      <w:pPr>
        <w:spacing w:after="120" w:line="276"/>
        <w:jc w:val="both"/>
      </w:pPr>
      <w:r>
        <w:rPr>
          <w:rFonts w:ascii="Barlow Semi Condensed" w:cs="Barlow Semi Condensed" w:eastAsia="Barlow Semi Condensed" w:hAnsi="Barlow Semi Condensed"/>
          <w:b/>
          <w:bCs/>
          <w:sz w:val="24"/>
          <w:szCs w:val="24"/>
        </w:rPr>
        <w:t xml:space="preserve">3797 · Il fondo del Senato, che cosa chiederebbe.</w:t>
      </w:r>
      <w:r>
        <w:rPr>
          <w:rFonts w:ascii="Barlow Semi Condensed" w:cs="Barlow Semi Condensed" w:eastAsia="Barlow Semi Condensed" w:hAnsi="Barlow Semi Condensed"/>
          <w:sz w:val="24"/>
          <w:szCs w:val="24"/>
        </w:rPr>
        <w:t xml:space="preserve"> Fra i portali censiti, patrimonio.archivio.senato.it porta i fondi Moro 1 e Stragi e le acquisizioni Fanfani e Craxi, e il blocco 917 ne fa uno sportello permanente. Il quesito da portarvi non riguarda la verità del presunto avvertimento ma la sua ricezione istituzionale: quando il nome comparve negli atti delle commissioni, chi lo introdusse, con quale seguito. Storia della circolazione di un'affermazione, non del fatto: due oggetti diversi, e solo il primo è qui documentabile.</w:t>
      </w:r>
    </w:p>
    <w:p>
      <w:pPr>
        <w:spacing w:after="120" w:line="276"/>
        <w:jc w:val="both"/>
      </w:pPr>
      <w:r>
        <w:rPr>
          <w:rFonts w:ascii="Barlow Semi Condensed" w:cs="Barlow Semi Condensed" w:eastAsia="Barlow Semi Condensed" w:hAnsi="Barlow Semi Condensed"/>
          <w:b/>
          <w:bCs/>
          <w:sz w:val="24"/>
          <w:szCs w:val="24"/>
        </w:rPr>
        <w:t xml:space="preserve">3798 · L'Archivio centrale e le duecentodiciotto buste.</w:t>
      </w:r>
      <w:r>
        <w:rPr>
          <w:rFonts w:ascii="Barlow Semi Condensed" w:cs="Barlow Semi Condensed" w:eastAsia="Barlow Semi Condensed" w:hAnsi="Barlow Semi Condensed"/>
          <w:sz w:val="24"/>
          <w:szCs w:val="24"/>
        </w:rPr>
        <w:t xml:space="preserve"> La Guida ai fondi dell'ACS diventa, al blocco 918, lo strumento quotidiano del cantiere archivistico, con il fondo personale Moro — duecentodiciotto buste secondo la verifica C-3 — e la raccolta delle direttive. Quesito conservativo e verificabile: risulta nel fondo carta relativa alla visita di Stato del settembre 1974, appunti preparatori, resoconti, corrispondenza successiva? Stato oggi: non accertato. È domanda d'inventario, non di tesi, e si pone alla Sala delle raccolte speciali.</w:t>
      </w:r>
    </w:p>
    <w:p>
      <w:pPr>
        <w:spacing w:after="120" w:line="276"/>
        <w:jc w:val="both"/>
      </w:pPr>
      <w:r>
        <w:rPr>
          <w:rFonts w:ascii="Barlow Semi Condensed" w:cs="Barlow Semi Condensed" w:eastAsia="Barlow Semi Condensed" w:hAnsi="Barlow Semi Condensed"/>
          <w:b/>
          <w:bCs/>
          <w:sz w:val="24"/>
          <w:szCs w:val="24"/>
        </w:rPr>
        <w:t xml:space="preserve">3799 · L'edizione nazionale e la parola di Moro.</w:t>
      </w:r>
      <w:r>
        <w:rPr>
          <w:rFonts w:ascii="Barlow Semi Condensed" w:cs="Barlow Semi Condensed" w:eastAsia="Barlow Semi Condensed" w:hAnsi="Barlow Semi Condensed"/>
          <w:sz w:val="24"/>
          <w:szCs w:val="24"/>
        </w:rPr>
        <w:t xml:space="preserve"> L'Edizione nazionale ad accesso aperto nata per il centenario del 2016, aldomorodigitale.unibo.it, è raccordata in permanenza dal blocco 919 con monitoraggio dei rilasci. Il bersaglio che ne discende è filologico e sobrio: verificare se negli scritti editi di Aldo Moro compaia riferimento al colloquio di Washington del settembre 1974, in quali termini e con quale datazione. La parola del protagonista, dove esista, precede ogni testimonianza altrui: è la gerarchia elementare delle fonti.</w:t>
      </w:r>
    </w:p>
    <w:p>
      <w:pPr>
        <w:spacing w:after="120" w:line="276"/>
        <w:jc w:val="both"/>
      </w:pPr>
      <w:r>
        <w:rPr>
          <w:rFonts w:ascii="Barlow Semi Condensed" w:cs="Barlow Semi Condensed" w:eastAsia="Barlow Semi Condensed" w:hAnsi="Barlow Semi Condensed"/>
          <w:b/>
          <w:bCs/>
          <w:sz w:val="24"/>
          <w:szCs w:val="24"/>
        </w:rPr>
        <w:t xml:space="preserve">3800 · Il portale che non c'è.</w:t>
      </w:r>
      <w:r>
        <w:rPr>
          <w:rFonts w:ascii="Barlow Semi Condensed" w:cs="Barlow Semi Condensed" w:eastAsia="Barlow Semi Condensed" w:hAnsi="Barlow Semi Condensed"/>
          <w:sz w:val="24"/>
          <w:szCs w:val="24"/>
        </w:rPr>
        <w:t xml:space="preserve"> Manca un portale unico degli atti del caso: al suo posto una costellazione fra Camera, Senato, Archivio centrale, Rete e Bologna, che il blocco 920 accerta ricavandone la proposta del portale federato. Per una verifica onomastica quella dispersione è il costo principale, perché la stessa parola va cercata cinque volte con cinque motori e cinque coperture disuguali. Proporre il portale federato significa anche rendere finalmente falsificabile una ricerca per nome.</w:t>
      </w:r>
    </w:p>
    <w:p>
      <w:pPr>
        <w:spacing w:after="120" w:line="276"/>
        <w:jc w:val="both"/>
      </w:pPr>
      <w:r>
        <w:rPr>
          <w:rFonts w:ascii="Barlow Semi Condensed" w:cs="Barlow Semi Condensed" w:eastAsia="Barlow Semi Condensed" w:hAnsi="Barlow Semi Condensed"/>
          <w:b/>
          <w:bCs/>
          <w:sz w:val="24"/>
          <w:szCs w:val="24"/>
        </w:rPr>
        <w:t xml:space="preserve">3801 · Gli stenografici come corpus interrogabile.</w:t>
      </w:r>
      <w:r>
        <w:rPr>
          <w:rFonts w:ascii="Barlow Semi Condensed" w:cs="Barlow Semi Condensed" w:eastAsia="Barlow Semi Condensed" w:hAnsi="Barlow Semi Condensed"/>
          <w:sz w:val="24"/>
          <w:szCs w:val="24"/>
        </w:rPr>
        <w:t xml:space="preserve"> Progettata al blocco 929, l'edizione indicizzata degli stenografici delle tre commissioni sarebbe interrogabile insieme al corpus giudiziario. È lo strumento che deciderebbe una questione oggi risolta per approssimazione: quante volte, in quali sedi e con quale grado quel nome sia stato pronunciato in quarant'anni di parola istituzionale sul caso. La frequenza non prova nulla sul fatto; misura però la storia di un'affermazione, che è un oggetto storico legittimo.</w:t>
      </w:r>
    </w:p>
    <w:p>
      <w:pPr>
        <w:spacing w:after="120" w:line="276"/>
        <w:jc w:val="both"/>
      </w:pPr>
      <w:r>
        <w:rPr>
          <w:rFonts w:ascii="Barlow Semi Condensed" w:cs="Barlow Semi Condensed" w:eastAsia="Barlow Semi Condensed" w:hAnsi="Barlow Semi Condensed"/>
          <w:b/>
          <w:bCs/>
          <w:sz w:val="24"/>
          <w:szCs w:val="24"/>
        </w:rPr>
        <w:t xml:space="preserve">3802 · L'identificativo che non lava il grado.</w:t>
      </w:r>
      <w:r>
        <w:rPr>
          <w:rFonts w:ascii="Barlow Semi Condensed" w:cs="Barlow Semi Condensed" w:eastAsia="Barlow Semi Condensed" w:hAnsi="Barlow Semi Condensed"/>
          <w:sz w:val="24"/>
          <w:szCs w:val="24"/>
        </w:rPr>
        <w:t xml:space="preserve"> Ogni persona, luogo e reperto riceverà un identificativo stabile attraverso i corpora: così il blocco 930, che esegue il blocco 303 del manuale. Va posta una condizione tecnica, o l'infrastruttura produrrà un danno. L'identificativo di chi è nominato soltanto dentro una testimonianza de relato deve portare con sé lo statuto di quella menzione. Un identificatore che pareggia il presente e il riferito trasforma la citazione in presenza: si scriva nella specifica, prima del codice.</w:t>
      </w:r>
    </w:p>
    <w:p>
      <w:pPr>
        <w:spacing w:after="120" w:line="276"/>
        <w:jc w:val="both"/>
      </w:pPr>
      <w:r>
        <w:rPr>
          <w:rFonts w:ascii="Barlow Semi Condensed" w:cs="Barlow Semi Condensed" w:eastAsia="Barlow Semi Condensed" w:hAnsi="Barlow Semi Condensed"/>
          <w:b/>
          <w:bCs/>
          <w:sz w:val="24"/>
          <w:szCs w:val="24"/>
        </w:rPr>
        <w:t xml:space="preserve">3803 · La sentinella e la ricerca per nome.</w:t>
      </w:r>
      <w:r>
        <w:rPr>
          <w:rFonts w:ascii="Barlow Semi Condensed" w:cs="Barlow Semi Condensed" w:eastAsia="Barlow Semi Condensed" w:hAnsi="Barlow Semi Condensed"/>
          <w:sz w:val="24"/>
          <w:szCs w:val="24"/>
        </w:rPr>
        <w:t xml:space="preserve"> Una sentinella documentale è istituita dal blocco 931: monitoraggio organizzato di ogni nuovo rilascio sui portali, con verbale mensile. Se ne ricava la procedura minima di questa serie. A ogni tranche di atti processuali che va online si rieffettua la ricerca del nome e si registra l'esito, positivo o negativo, con la data. È l'unica forma onesta di attesa su una presenza documentale incerta: cercare a intervalli e verbalizzare ogni volta.</w:t>
      </w:r>
    </w:p>
    <w:p>
      <w:pPr>
        <w:spacing w:after="120" w:line="276"/>
        <w:jc w:val="both"/>
      </w:pPr>
      <w:r>
        <w:rPr>
          <w:rFonts w:ascii="Barlow Semi Condensed" w:cs="Barlow Semi Condensed" w:eastAsia="Barlow Semi Condensed" w:hAnsi="Barlow Semi Condensed"/>
          <w:b/>
          <w:bCs/>
          <w:sz w:val="24"/>
          <w:szCs w:val="24"/>
        </w:rPr>
        <w:t xml:space="preserve">3804 · La regola sui negativi verificati.</w:t>
      </w:r>
      <w:r>
        <w:rPr>
          <w:rFonts w:ascii="Barlow Semi Condensed" w:cs="Barlow Semi Condensed" w:eastAsia="Barlow Semi Condensed" w:hAnsi="Barlow Semi Condensed"/>
          <w:sz w:val="24"/>
          <w:szCs w:val="24"/>
        </w:rPr>
        <w:t xml:space="preserve"> Nessuna targa, neppure parziale, fu mai acquisita sulla Honda di via Fani: il blocco 888 lo accerta e qualifica la «targa parziale» come leggenda con esito negativo verificato. La regola trasferibile è che un dettaglio circolante muore quando l'esito negativo viene accertato e pubblicato, non quando viene contestato a voce. Applicata al versante internazionale, chiede che gli esiti negativi vengano scritti con la loro sede — come l'apparato K li scrive.</w:t>
      </w:r>
    </w:p>
    <w:p>
      <w:pPr>
        <w:spacing w:after="120" w:line="276"/>
        <w:jc w:val="both"/>
      </w:pPr>
      <w:r>
        <w:rPr>
          <w:rFonts w:ascii="Barlow Semi Condensed" w:cs="Barlow Semi Condensed" w:eastAsia="Barlow Semi Condensed" w:hAnsi="Barlow Semi Condensed"/>
          <w:b/>
          <w:bCs/>
          <w:sz w:val="24"/>
          <w:szCs w:val="24"/>
        </w:rPr>
        <w:t xml:space="preserve">3805 · L'affermazione nominativa senza atti.</w:t>
      </w:r>
      <w:r>
        <w:rPr>
          <w:rFonts w:ascii="Barlow Semi Condensed" w:cs="Barlow Semi Condensed" w:eastAsia="Barlow Semi Condensed" w:hAnsi="Barlow Semi Condensed"/>
          <w:sz w:val="24"/>
          <w:szCs w:val="24"/>
        </w:rPr>
        <w:t xml:space="preserve"> Sette profili genetici ignoti sono stati riferiti dalla stampa qualificata, e il blocco 889 ne fissa lo stato esatto: profili estratti è un fatto, attribuzioni pubbliche non ne esistono, ogni affermazione nominativa in circolazione è priva di base in atti. Il principio non distingue fra nomi italiani e stranieri. Applicato al versante internazionale colpisce per intero la pubblicistica che deduce presenze estere da comparazioni di cui nessuno ha mai pubblicato gli esiti.</w:t>
      </w:r>
    </w:p>
    <w:p>
      <w:pPr>
        <w:spacing w:after="120" w:line="276"/>
        <w:jc w:val="both"/>
      </w:pPr>
      <w:r>
        <w:rPr>
          <w:rFonts w:ascii="Barlow Semi Condensed" w:cs="Barlow Semi Condensed" w:eastAsia="Barlow Semi Condensed" w:hAnsi="Barlow Semi Condensed"/>
          <w:b/>
          <w:bCs/>
          <w:sz w:val="24"/>
          <w:szCs w:val="24"/>
        </w:rPr>
        <w:t xml:space="preserve">3806 · Presenze, non mandanti.</w:t>
      </w:r>
      <w:r>
        <w:rPr>
          <w:rFonts w:ascii="Barlow Semi Condensed" w:cs="Barlow Semi Condensed" w:eastAsia="Barlow Semi Condensed" w:hAnsi="Barlow Semi Condensed"/>
          <w:sz w:val="24"/>
          <w:szCs w:val="24"/>
        </w:rPr>
        <w:t xml:space="preserve"> Presenze sulla scena mai identificate né giudicate: così il blocco 887 definisce l'oggetto del fascicolo, aggiungendo che non si tratta di mandanti né di regie. È il perimetro semantico che esclude strutturalmente il versante internazionale dal procedimento vivo. Il fascicolo di Roma cerca persone fisiche su una strada la mattina del 16 marzo 1978. Chi vi proietta una responsabilità politica straniera non lo interpreta male: parla d'altro, e dovrebbe dirlo.</w:t>
      </w:r>
    </w:p>
    <w:p>
      <w:pPr>
        <w:spacing w:after="120" w:line="276"/>
        <w:jc w:val="both"/>
      </w:pPr>
      <w:r>
        <w:rPr>
          <w:rFonts w:ascii="Barlow Semi Condensed" w:cs="Barlow Semi Condensed" w:eastAsia="Barlow Semi Condensed" w:hAnsi="Barlow Semi Condensed"/>
          <w:b/>
          <w:bCs/>
          <w:sz w:val="24"/>
          <w:szCs w:val="24"/>
        </w:rPr>
        <w:t xml:space="preserve">3807 · Ciò che il giudice ha ordinato.</w:t>
      </w:r>
      <w:r>
        <w:rPr>
          <w:rFonts w:ascii="Barlow Semi Condensed" w:cs="Barlow Semi Condensed" w:eastAsia="Barlow Semi Condensed" w:hAnsi="Barlow Semi Condensed"/>
          <w:sz w:val="24"/>
          <w:szCs w:val="24"/>
        </w:rPr>
        <w:t xml:space="preserve"> Le direzioni d'indagine disposte dal giudice per le indagini preliminari sono lette al blocco 883 per ciò che è pubblico: le terze presenze, l'uomo della moto, gli esami sul caricatore. Nessuna delle tre tocca il versante estero. L'accertamento va dichiarato con grado pieno e senza commento, perché smentisce l'attesa più diffusa: la riapertura dell'estate 2026 non riapre il capitolo internazionale, e nessuno dei sei mesi disposti vi è destinato.</w:t>
      </w:r>
    </w:p>
    <w:p>
      <w:pPr>
        <w:spacing w:after="120" w:line="276"/>
        <w:jc w:val="both"/>
      </w:pPr>
      <w:r>
        <w:rPr>
          <w:rFonts w:ascii="Barlow Semi Condensed" w:cs="Barlow Semi Condensed" w:eastAsia="Barlow Semi Condensed" w:hAnsi="Barlow Semi Condensed"/>
          <w:b/>
          <w:bCs/>
          <w:sz w:val="24"/>
          <w:szCs w:val="24"/>
        </w:rPr>
        <w:t xml:space="preserve">3808 · La consilienza e il suo perimetro.</w:t>
      </w:r>
      <w:r>
        <w:rPr>
          <w:rFonts w:ascii="Barlow Semi Condensed" w:cs="Barlow Semi Condensed" w:eastAsia="Barlow Semi Condensed" w:hAnsi="Barlow Semi Condensed"/>
          <w:sz w:val="24"/>
          <w:szCs w:val="24"/>
        </w:rPr>
        <w:t xml:space="preserve"> Due percorsi indipendenti convergono sugli stessi atti, e il blocco 884 lo registra come la migliore validazione di entrambi: la balistica delle presenze e il caricatore mai esaminato, indicati dalle matrici e poi ordinati dal giudice. Va notato ciò che quella convergenza non include. Nessuna delle due linee ha indicato il versante internazionale come luogo dell'evidenza discriminante. Due percorsi che tacciono sullo stesso punto sono un dato, non una distrazione.</w:t>
      </w:r>
    </w:p>
    <w:p>
      <w:pPr>
        <w:spacing w:after="120" w:line="276"/>
        <w:jc w:val="both"/>
      </w:pPr>
      <w:r>
        <w:rPr>
          <w:rFonts w:ascii="Barlow Semi Condensed" w:cs="Barlow Semi Condensed" w:eastAsia="Barlow Semi Condensed" w:hAnsi="Barlow Semi Condensed"/>
          <w:b/>
          <w:bCs/>
          <w:sz w:val="24"/>
          <w:szCs w:val="24"/>
        </w:rPr>
        <w:t xml:space="preserve">3809 · Non anticipare vale anche qui.</w:t>
      </w:r>
      <w:r>
        <w:rPr>
          <w:rFonts w:ascii="Barlow Semi Condensed" w:cs="Barlow Semi Condensed" w:eastAsia="Barlow Semi Condensed" w:hAnsi="Barlow Semi Condensed"/>
          <w:sz w:val="24"/>
          <w:szCs w:val="24"/>
        </w:rPr>
        <w:t xml:space="preserve"> Gli esiti degli esami disposti non sono pubblici e l'opera non riporta indiscrezioni, né sul caricatore né sui profili: il blocco 886 lo stampa come disciplina di parte. La regola ha una conseguenza diretta su questa serie. Qualunque voce collegasse un esito genetico a una provenienza estera andrebbe trattata come rumore fino all'atto, e la sua circolazione censita come fenomeno mediatico, mai ripresa come informazione. La fame di notizie è il nemico dichiarato.</w:t>
      </w:r>
    </w:p>
    <w:p>
      <w:pPr>
        <w:spacing w:after="120" w:line="276"/>
        <w:jc w:val="both"/>
      </w:pPr>
      <w:r>
        <w:rPr>
          <w:rFonts w:ascii="Barlow Semi Condensed" w:cs="Barlow Semi Condensed" w:eastAsia="Barlow Semi Condensed" w:hAnsi="Barlow Semi Condensed"/>
          <w:b/>
          <w:bCs/>
          <w:sz w:val="24"/>
          <w:szCs w:val="24"/>
        </w:rPr>
        <w:t xml:space="preserve">3810 · Il patto e il rumore.</w:t>
      </w:r>
      <w:r>
        <w:rPr>
          <w:rFonts w:ascii="Barlow Semi Condensed" w:cs="Barlow Semi Condensed" w:eastAsia="Barlow Semi Condensed" w:hAnsi="Barlow Semi Condensed"/>
          <w:sz w:val="24"/>
          <w:szCs w:val="24"/>
        </w:rPr>
        <w:t xml:space="preserve"> Ogni tavola dell'opera utile al fascicolo è promessa alle autorità gratuitamente e senza condizioni dal blocco 891. La promessa impone una selezione, non una consegna indiscriminata. L'accertamento che il verbale dello Studio Ovale del 25 settembre 1974 non contiene alcun ultimatum personale ad Aldo Moro è acquisizione storiografica di valore, ma non è materia utile a un procedimento sulle presenze di via Fani. Segnalarlo sarebbe rumore, e il rumore verso un fascicolo vivo è un danno.</w:t>
      </w:r>
    </w:p>
    <w:p>
      <w:pPr>
        <w:spacing w:after="120" w:line="276"/>
        <w:jc w:val="both"/>
      </w:pPr>
      <w:r>
        <w:rPr>
          <w:rFonts w:ascii="Barlow Semi Condensed" w:cs="Barlow Semi Condensed" w:eastAsia="Barlow Semi Condensed" w:hAnsi="Barlow Semi Condensed"/>
          <w:b/>
          <w:bCs/>
          <w:sz w:val="24"/>
          <w:szCs w:val="24"/>
        </w:rPr>
        <w:t xml:space="preserve">3811 · La richiesta del 1983 senza seguito (serie L).</w:t>
      </w:r>
      <w:r>
        <w:rPr>
          <w:rFonts w:ascii="Barlow Semi Condensed" w:cs="Barlow Semi Condensed" w:eastAsia="Barlow Semi Condensed" w:hAnsi="Barlow Semi Condensed"/>
          <w:sz w:val="24"/>
          <w:szCs w:val="24"/>
        </w:rPr>
        <w:t xml:space="preserve"> Nel 1983 i magistrati che indagavano volevano interrogare Kissinger, e la richiesta informale non ebbe seguito: così l'apparato K-4. L'episodio appartiene di diritto alla storia processuale completa del filone delle presenze che il blocco 893 progetta, provvedimento per provvedimento. Il bersaglio è documentale e circoscritto: se una richiesta formale fu redatta, il suo posto è negli atti dell'ufficio istruzione di Roma, oggi compresi nel giacimento digitalizzato. Stato: da accertare.</w:t>
      </w:r>
    </w:p>
    <w:p>
      <w:pPr>
        <w:spacing w:after="120" w:line="276"/>
        <w:jc w:val="both"/>
      </w:pPr>
      <w:r>
        <w:rPr>
          <w:rFonts w:ascii="Barlow Semi Condensed" w:cs="Barlow Semi Condensed" w:eastAsia="Barlow Semi Condensed" w:hAnsi="Barlow Semi Condensed"/>
          <w:b/>
          <w:bCs/>
          <w:sz w:val="24"/>
          <w:szCs w:val="24"/>
        </w:rPr>
        <w:t xml:space="preserve">3812 · Che cosa cercare, e come chiamarlo.</w:t>
      </w:r>
      <w:r>
        <w:rPr>
          <w:rFonts w:ascii="Barlow Semi Condensed" w:cs="Barlow Semi Condensed" w:eastAsia="Barlow Semi Condensed" w:hAnsi="Barlow Semi Condensed"/>
          <w:sz w:val="24"/>
          <w:szCs w:val="24"/>
        </w:rPr>
        <w:t xml:space="preserve"> Se quella richiesta esistesse in forma di atto, cambierebbe poco il fatto e molto la sua storia: proverebbe che l'autorità italiana ritenne l'episodio degno di verifica giudiziaria, non che l'episodio fosse vero. La distinzione va scritta prima della ricerca, perché è la tentazione che il ritrovamento produce. Un atto istruttorio documenta un'iniziativa dell'ufficio e non trasferisce alcuna qualità al contenuto che intendeva verificare. Chi lo troverà lo citi con questa cautela stampata accanto.</w:t>
      </w:r>
    </w:p>
    <w:p>
      <w:pPr>
        <w:spacing w:after="120" w:line="276"/>
        <w:jc w:val="both"/>
      </w:pPr>
      <w:r>
        <w:rPr>
          <w:rFonts w:ascii="Barlow Semi Condensed" w:cs="Barlow Semi Condensed" w:eastAsia="Barlow Semi Condensed" w:hAnsi="Barlow Semi Condensed"/>
          <w:b/>
          <w:bCs/>
          <w:sz w:val="24"/>
          <w:szCs w:val="24"/>
        </w:rPr>
        <w:t xml:space="preserve">3813 · Mai sentito, e ora impossibile.</w:t>
      </w:r>
      <w:r>
        <w:rPr>
          <w:rFonts w:ascii="Barlow Semi Condensed" w:cs="Barlow Semi Condensed" w:eastAsia="Barlow Semi Condensed" w:hAnsi="Barlow Semi Condensed"/>
          <w:sz w:val="24"/>
          <w:szCs w:val="24"/>
        </w:rPr>
        <w:t xml:space="preserve"> Censire i contraddittori mai avvenuti e proporre, dove i protagonisti vivono, il confronto documentale: è il programma del blocco 862. Sul versante che questa serie percorre il censimento si chiude in una riga. Nessun confronto fu mai celebrato, nessuna audizione fu mai resa davanti a un'autorità italiana, e la morte del 29 novembre 2023 ha chiuso la possibilità. Lo Stato Zero è qui irreversibile: nessuna sede può più aprirlo, e va scritto così.</w:t>
      </w:r>
    </w:p>
    <w:p>
      <w:pPr>
        <w:spacing w:after="120" w:line="276"/>
        <w:jc w:val="both"/>
      </w:pPr>
      <w:r>
        <w:rPr>
          <w:rFonts w:ascii="Barlow Semi Condensed" w:cs="Barlow Semi Condensed" w:eastAsia="Barlow Semi Condensed" w:hAnsi="Barlow Semi Condensed"/>
          <w:b/>
          <w:bCs/>
          <w:sz w:val="24"/>
          <w:szCs w:val="24"/>
        </w:rPr>
        <w:t xml:space="preserve">3814 · La finestra biologica, chiusa da tre anni.</w:t>
      </w:r>
      <w:r>
        <w:rPr>
          <w:rFonts w:ascii="Barlow Semi Condensed" w:cs="Barlow Semi Condensed" w:eastAsia="Barlow Semi Condensed" w:hAnsi="Barlow Semi Condensed"/>
          <w:sz w:val="24"/>
          <w:szCs w:val="24"/>
        </w:rPr>
        <w:t xml:space="preserve"> La priorità biologica del blocco 281 dell'agenda è applicata al registro dal blocco 800: ciò che i viventi possono ancora dire in forma utilizzabile si chiede ora o non si avrà mai. La stessa contabilità, portata sul versante internazionale, restituisce un saldo netto e amaro. La voce che avrebbe potuto precisare o smentire in forma verbalizzata si è spenta a Kent, nel Connecticut, dopo quattro decenni in cui nessuna richiesta formale fu avanzata.</w:t>
      </w:r>
    </w:p>
    <w:p>
      <w:pPr>
        <w:spacing w:after="120" w:line="276"/>
        <w:jc w:val="both"/>
      </w:pPr>
      <w:r>
        <w:rPr>
          <w:rFonts w:ascii="Barlow Semi Condensed" w:cs="Barlow Semi Condensed" w:eastAsia="Barlow Semi Condensed" w:hAnsi="Barlow Semi Condensed"/>
          <w:b/>
          <w:bCs/>
          <w:sz w:val="24"/>
          <w:szCs w:val="24"/>
        </w:rPr>
        <w:t xml:space="preserve">3815 · Il giorno dopo la morte (serie L).</w:t>
      </w:r>
      <w:r>
        <w:rPr>
          <w:rFonts w:ascii="Barlow Semi Condensed" w:cs="Barlow Semi Condensed" w:eastAsia="Barlow Semi Condensed" w:hAnsi="Barlow Semi Condensed"/>
          <w:sz w:val="24"/>
          <w:szCs w:val="24"/>
        </w:rPr>
        <w:t xml:space="preserve"> Vi è una coincidenza di calendario che l'apparato K-4 documenta e che merita blocco proprio: la moltiplicazione apparente delle fonti sull'episodio risale a un unico lancio d'agenzia del 30 novembre 2023, cioè al giorno successivo alla morte avvenuta il 29. La vulgata contemporanea non nasce da un documento emerso ma da un necrologio rilanciato. Il dato non decide il fatto; spiega però perché oggi il fatto sembri più attestato di ieri.</w:t>
      </w:r>
    </w:p>
    <w:p>
      <w:pPr>
        <w:spacing w:after="120" w:line="276"/>
        <w:jc w:val="both"/>
      </w:pPr>
      <w:r>
        <w:rPr>
          <w:rFonts w:ascii="Barlow Semi Condensed" w:cs="Barlow Semi Condensed" w:eastAsia="Barlow Semi Condensed" w:hAnsi="Barlow Semi Condensed"/>
          <w:b/>
          <w:bCs/>
          <w:sz w:val="24"/>
          <w:szCs w:val="24"/>
        </w:rPr>
        <w:t xml:space="preserve">3816 · F sul riportato, mai di più.</w:t>
      </w:r>
      <w:r>
        <w:rPr>
          <w:rFonts w:ascii="Barlow Semi Condensed" w:cs="Barlow Semi Condensed" w:eastAsia="Barlow Semi Condensed" w:hAnsi="Barlow Semi Condensed"/>
          <w:sz w:val="24"/>
          <w:szCs w:val="24"/>
        </w:rPr>
        <w:t xml:space="preserve"> F sul riportato e mai di più: è la disciplina della fonte giornalistica che il blocco 899 impone sul fascicolo, censendo le testate che lo seguono con qualità senza sposarne alcuna. Il lancio del 30 novembre 2023 è l'esemplare perfetto della regola. F sul fatto che l'agenzia lo scrisse in quella data, nulla sul contenuto della frase riferita. Le decine di riprese successive non aggiungono gradi, perché non aggiungono fonti.</w:t>
      </w:r>
    </w:p>
    <w:p>
      <w:pPr>
        <w:spacing w:after="120" w:line="276"/>
        <w:jc w:val="both"/>
      </w:pPr>
      <w:r>
        <w:rPr>
          <w:rFonts w:ascii="Barlow Semi Condensed" w:cs="Barlow Semi Condensed" w:eastAsia="Barlow Semi Condensed" w:hAnsi="Barlow Semi Condensed"/>
          <w:b/>
          <w:bCs/>
          <w:sz w:val="24"/>
          <w:szCs w:val="24"/>
        </w:rPr>
        <w:t xml:space="preserve">3817 · La pseudoreplica applicata al fascicolo.</w:t>
      </w:r>
      <w:r>
        <w:rPr>
          <w:rFonts w:ascii="Barlow Semi Condensed" w:cs="Barlow Semi Condensed" w:eastAsia="Barlow Semi Condensed" w:hAnsi="Barlow Semi Condensed"/>
          <w:sz w:val="24"/>
          <w:szCs w:val="24"/>
        </w:rPr>
        <w:t xml:space="preserve"> Contare come indipendenti misure che non lo sono produce fiducia crescente in un dato che non è cresciuto: la categoria è già del corpus, e il blocco 899 la incontra dal lato del fascicolo, dove ogni indiscrezione viene ripresa in cascata da testate diverse. La regola vale simmetricamente sui due versanti di questa serie. Il numero delle riprese misura l'interesse pubblico, mai il valore probatorio; la consilienza vuole linee davvero indipendenti.</w:t>
      </w:r>
    </w:p>
    <w:p>
      <w:pPr>
        <w:spacing w:after="120" w:line="276"/>
        <w:jc w:val="both"/>
      </w:pPr>
      <w:r>
        <w:rPr>
          <w:rFonts w:ascii="Barlow Semi Condensed" w:cs="Barlow Semi Condensed" w:eastAsia="Barlow Semi Condensed" w:hAnsi="Barlow Semi Condensed"/>
          <w:b/>
          <w:bCs/>
          <w:sz w:val="24"/>
          <w:szCs w:val="24"/>
        </w:rPr>
        <w:t xml:space="preserve">3818 · Il caricatore e il verbale.</w:t>
      </w:r>
      <w:r>
        <w:rPr>
          <w:rFonts w:ascii="Barlow Semi Condensed" w:cs="Barlow Semi Condensed" w:eastAsia="Barlow Semi Condensed" w:hAnsi="Barlow Semi Condensed"/>
          <w:sz w:val="24"/>
          <w:szCs w:val="24"/>
        </w:rPr>
        <w:t xml:space="preserve"> Quarantott'anni dopo, un giudice ha ordinato di esaminare un caricatore raccolto la mattina del 16 marzo 1978 e mai guardato: il blocco 900 lo chiama pazienza del diritto. Il versante internazionale offre l'immagine gemella e opposta, cioè un documento disponibile da decenni — il memorandum dello Studio Ovale, doc. 350 del volume FRUS E-15 parte seconda, file 1552802 della Ford Library — citato per anni senza essere letto.</w:t>
      </w:r>
    </w:p>
    <w:p>
      <w:pPr>
        <w:spacing w:after="120" w:line="276"/>
        <w:jc w:val="both"/>
      </w:pPr>
      <w:r>
        <w:rPr>
          <w:rFonts w:ascii="Barlow Semi Condensed" w:cs="Barlow Semi Condensed" w:eastAsia="Barlow Semi Condensed" w:hAnsi="Barlow Semi Condensed"/>
          <w:b/>
          <w:bCs/>
          <w:sz w:val="24"/>
          <w:szCs w:val="24"/>
        </w:rPr>
        <w:t xml:space="preserve">3819 · Due omissioni di natura diversa.</w:t>
      </w:r>
      <w:r>
        <w:rPr>
          <w:rFonts w:ascii="Barlow Semi Condensed" w:cs="Barlow Semi Condensed" w:eastAsia="Barlow Semi Condensed" w:hAnsi="Barlow Semi Condensed"/>
          <w:sz w:val="24"/>
          <w:szCs w:val="24"/>
        </w:rPr>
        <w:t xml:space="preserve"> Le due immagini del blocco precedente non vanno equiparate, e conviene dirlo subito. Non esaminare un reperto in custodia è un'omissione dell'apparato, sanabile per ordine del giudice; non leggere un documento pubblicato è un'abitudine della pubblicistica, sanabile soltanto dalla lettura. La prima ha una sede che la corregge, la seconda no. È la ragione per cui la Parte nona costruisce portali e questa serie costruisce indirizzi: contro la seconda non esiste ordinanza.</w:t>
      </w:r>
    </w:p>
    <w:p>
      <w:pPr>
        <w:spacing w:after="120" w:line="276"/>
        <w:jc w:val="both"/>
      </w:pPr>
      <w:r>
        <w:rPr>
          <w:rFonts w:ascii="Barlow Semi Condensed" w:cs="Barlow Semi Condensed" w:eastAsia="Barlow Semi Condensed" w:hAnsi="Barlow Semi Condensed"/>
          <w:b/>
          <w:bCs/>
          <w:sz w:val="24"/>
          <w:szCs w:val="24"/>
        </w:rPr>
        <w:t xml:space="preserve">3820 · Il secondo verbale, mai spogliato (serie L).</w:t>
      </w:r>
      <w:r>
        <w:rPr>
          <w:rFonts w:ascii="Barlow Semi Condensed" w:cs="Barlow Semi Condensed" w:eastAsia="Barlow Semi Condensed" w:hAnsi="Barlow Semi Condensed"/>
          <w:sz w:val="24"/>
          <w:szCs w:val="24"/>
        </w:rPr>
        <w:t xml:space="preserve"> Accanto al memorandum del 25 settembre 1974 esiste quello del giorno successivo, file 1552806 della Gerald R. Ford Presidential Library, appartenente al medesimo lotto e con estratti reperiti parziali e non del tutto concordi. Il corpus lo registra come reperibile e dichiara di non averlo spogliato. Bersaglio archivistico pulito, con sede, segnatura e stato: da chiedere, da leggere per intero, da verbalizzare anche se non contenesse nulla di pertinente.</w:t>
      </w:r>
    </w:p>
    <w:p>
      <w:pPr>
        <w:spacing w:after="120" w:line="276"/>
        <w:jc w:val="both"/>
      </w:pPr>
      <w:r>
        <w:rPr>
          <w:rFonts w:ascii="Barlow Semi Condensed" w:cs="Barlow Semi Condensed" w:eastAsia="Barlow Semi Condensed" w:hAnsi="Barlow Semi Condensed"/>
          <w:b/>
          <w:bCs/>
          <w:sz w:val="24"/>
          <w:szCs w:val="24"/>
        </w:rPr>
        <w:t xml:space="preserve">3821 · La divergenza sulle date della visita (serie L).</w:t>
      </w:r>
      <w:r>
        <w:rPr>
          <w:rFonts w:ascii="Barlow Semi Condensed" w:cs="Barlow Semi Condensed" w:eastAsia="Barlow Semi Condensed" w:hAnsi="Barlow Semi Condensed"/>
          <w:sz w:val="24"/>
          <w:szCs w:val="24"/>
        </w:rPr>
        <w:t xml:space="preserve"> Sulla durata della visita di Stato del settembre 1974 le fonti divergono, e la divergenza si riporta senza scioglierla: il comunicato congiunto pubblicato negli atti presidenziali indica dal 25 al 29 settembre, la nota editoriale del volume FRUS dal 25 al 27. La sede che la chiuderebbe è il programma ufficiale della visita fra i fascicoli della Casa Bianca alla Ford Library, insieme agli atti italiani della presidenza del Consiglio.</w:t>
      </w:r>
    </w:p>
    <w:p>
      <w:pPr>
        <w:spacing w:after="120" w:line="276"/>
        <w:jc w:val="both"/>
      </w:pPr>
      <w:r>
        <w:rPr>
          <w:rFonts w:ascii="Barlow Semi Condensed" w:cs="Barlow Semi Condensed" w:eastAsia="Barlow Semi Condensed" w:hAnsi="Barlow Semi Condensed"/>
          <w:b/>
          <w:bCs/>
          <w:sz w:val="24"/>
          <w:szCs w:val="24"/>
        </w:rPr>
        <w:t xml:space="preserve">3822 · L'audit delle direttive e il confine.</w:t>
      </w:r>
      <w:r>
        <w:rPr>
          <w:rFonts w:ascii="Barlow Semi Condensed" w:cs="Barlow Semi Condensed" w:eastAsia="Barlow Semi Condensed" w:hAnsi="Barlow Semi Condensed"/>
          <w:sz w:val="24"/>
          <w:szCs w:val="24"/>
        </w:rPr>
        <w:t xml:space="preserve"> L'audit sistematico dei versamenti progettato al blocco 942 confronta ciò che ogni amministrazione dichiarò di produrre nel 1978 con ciò che risulta versato, ufficio per ufficio. È il bersaglio capitale della sezione e non tocca il nome di questa serie per una ragione di diritto: le direttive Prodi, Renzi e Draghi vincolano amministrazioni italiane e non raggiungono alcun archivio straniero. L'audit può accertare che cosa la Farnesina versò, non che cosa Washington conservi.</w:t>
      </w:r>
    </w:p>
    <w:p>
      <w:pPr>
        <w:spacing w:after="120" w:line="276"/>
        <w:jc w:val="both"/>
      </w:pPr>
      <w:r>
        <w:rPr>
          <w:rFonts w:ascii="Barlow Semi Condensed" w:cs="Barlow Semi Condensed" w:eastAsia="Barlow Semi Condensed" w:hAnsi="Barlow Semi Condensed"/>
          <w:b/>
          <w:bCs/>
          <w:sz w:val="24"/>
          <w:szCs w:val="24"/>
        </w:rPr>
        <w:t xml:space="preserve">3823 · Dove si chiuderebbe, oltreoceano.</w:t>
      </w:r>
      <w:r>
        <w:rPr>
          <w:rFonts w:ascii="Barlow Semi Condensed" w:cs="Barlow Semi Condensed" w:eastAsia="Barlow Semi Condensed" w:hAnsi="Barlow Semi Condensed"/>
          <w:sz w:val="24"/>
          <w:szCs w:val="24"/>
        </w:rPr>
        <w:t xml:space="preserve"> Tre indirizzi chiudono ciò che l'audit italiano non raggiunge, e vanno nominati per esteso invece che evocati: i National Archives di College Park per le serie declassificate dei fascicoli del Consiglio di sicurezza nazionale relativi all'Italia, la Gerald R. Ford Presidential Library per i memoranda del consigliere, e la sala di lettura elettronica per le istanze d'accesso. Chi dichiara segreto ciò che non ha chiesto a questi tre indirizzi dichiara la propria pigrizia.</w:t>
      </w:r>
    </w:p>
    <w:p>
      <w:pPr>
        <w:spacing w:after="120" w:line="276"/>
        <w:jc w:val="both"/>
      </w:pPr>
      <w:r>
        <w:rPr>
          <w:rFonts w:ascii="Barlow Semi Condensed" w:cs="Barlow Semi Condensed" w:eastAsia="Barlow Semi Condensed" w:hAnsi="Barlow Semi Condensed"/>
          <w:b/>
          <w:bCs/>
          <w:sz w:val="24"/>
          <w:szCs w:val="24"/>
        </w:rPr>
        <w:t xml:space="preserve">3824 · Gladio, P2 e la regola delle pinze.</w:t>
      </w:r>
      <w:r>
        <w:rPr>
          <w:rFonts w:ascii="Barlow Semi Condensed" w:cs="Barlow Semi Condensed" w:eastAsia="Barlow Semi Condensed" w:hAnsi="Barlow Semi Condensed"/>
          <w:sz w:val="24"/>
          <w:szCs w:val="24"/>
        </w:rPr>
        <w:t xml:space="preserve"> Materia adiacente e non il caso in sé: così il blocco 944 qualifica i versamenti su Gladio e P2 disposti dalla direttiva Draghi del 2 agosto 2021, prescrivendo uno spoglio mirato con la regola che l'appartenenza documentata è un fatto e mai una condotta. È il medesimo presidio che questa serie applica al lignaggio dottrinale: da una scuola, da un ufficio o da un elenco non discende alcun comportamento individuale.</w:t>
      </w:r>
    </w:p>
    <w:p>
      <w:pPr>
        <w:spacing w:after="120" w:line="276"/>
        <w:jc w:val="both"/>
      </w:pPr>
      <w:r>
        <w:rPr>
          <w:rFonts w:ascii="Barlow Semi Condensed" w:cs="Barlow Semi Condensed" w:eastAsia="Barlow Semi Condensed" w:hAnsi="Barlow Semi Condensed"/>
          <w:b/>
          <w:bCs/>
          <w:sz w:val="24"/>
          <w:szCs w:val="24"/>
        </w:rPr>
        <w:t xml:space="preserve">3825 · L'accesso civico e il suo gemello.</w:t>
      </w:r>
      <w:r>
        <w:rPr>
          <w:rFonts w:ascii="Barlow Semi Condensed" w:cs="Barlow Semi Condensed" w:eastAsia="Barlow Semi Condensed" w:hAnsi="Barlow Semi Condensed"/>
          <w:sz w:val="24"/>
          <w:szCs w:val="24"/>
        </w:rPr>
        <w:t xml:space="preserve"> Banco di prova nobile dell'accesso civico generalizzato: così il blocco 948 propone il caso Moro, notando che il FOIA italiano è giovane e poco usato dagli storici. La triangolazione consegna qui un dato istruttivo. La divergenza sulla data dell'anglicizzazione del nome — 1938 secondo le opere di consultazione, 1942-1943 secondo il fascicolo d'immigrazione — fu portata a un documento da un'istanza d'accesso statunitense. Lo strumento funziona nella giurisdizione che detiene la carta.</w:t>
      </w:r>
    </w:p>
    <w:p>
      <w:pPr>
        <w:spacing w:after="120" w:line="276"/>
        <w:jc w:val="both"/>
      </w:pPr>
      <w:r>
        <w:rPr>
          <w:rFonts w:ascii="Barlow Semi Condensed" w:cs="Barlow Semi Condensed" w:eastAsia="Barlow Semi Condensed" w:hAnsi="Barlow Semi Condensed"/>
          <w:b/>
          <w:bCs/>
          <w:sz w:val="24"/>
          <w:szCs w:val="24"/>
        </w:rPr>
        <w:t xml:space="preserve">3826 · Il segreto di Stato non arriva là.</w:t>
      </w:r>
      <w:r>
        <w:rPr>
          <w:rFonts w:ascii="Barlow Semi Condensed" w:cs="Barlow Semi Condensed" w:eastAsia="Barlow Semi Condensed" w:hAnsi="Barlow Semi Condensed"/>
          <w:sz w:val="24"/>
          <w:szCs w:val="24"/>
        </w:rPr>
        <w:t xml:space="preserve"> Della legge 124 del 2007 il blocco 946 estrae il prontuario: termini massimi, esclusione del segreto per i fatti eversivi, procedure di conferma. Va aggiunta la delimitazione che il prontuario rende evidente. Quella legge governa ciò che lo Stato italiano detiene, e nessuna sua disposizione può aprire un fascicolo conservato in un archivio presidenziale statunitense. Il «segreto» invocato sul versante internazionale non è un segreto italiano, ed è spesso un documento non richiesto.</w:t>
      </w:r>
    </w:p>
    <w:p>
      <w:pPr>
        <w:spacing w:after="120" w:line="276"/>
        <w:jc w:val="both"/>
      </w:pPr>
      <w:r>
        <w:rPr>
          <w:rFonts w:ascii="Barlow Semi Condensed" w:cs="Barlow Semi Condensed" w:eastAsia="Barlow Semi Condensed" w:hAnsi="Barlow Semi Condensed"/>
          <w:b/>
          <w:bCs/>
          <w:sz w:val="24"/>
          <w:szCs w:val="24"/>
        </w:rPr>
        <w:t xml:space="preserve">3827 · L'anagrafe del desecretato, prova per prova.</w:t>
      </w:r>
      <w:r>
        <w:rPr>
          <w:rFonts w:ascii="Barlow Semi Condensed" w:cs="Barlow Semi Condensed" w:eastAsia="Barlow Semi Condensed" w:hAnsi="Barlow Semi Condensed"/>
          <w:sz w:val="24"/>
          <w:szCs w:val="24"/>
        </w:rPr>
        <w:t xml:space="preserve"> Contro la retorica del «tutto segreto» il blocco 963 propone la tavola di ciò che è già stato desecretato sul caso, con date e sedi. Il versante internazionale le offre il proprio esempio migliore: il verbale dello Studio Ovale è edito in una collana ufficiale ed è consultabile per file numerato da anni. Metà del dibattito pubblico ignora quanto è già leggibile, e su questo nome l'ignoranza riguarda proprio il documento più citato.</w:t>
      </w:r>
    </w:p>
    <w:p>
      <w:pPr>
        <w:spacing w:after="120" w:line="276"/>
        <w:jc w:val="both"/>
      </w:pPr>
      <w:r>
        <w:rPr>
          <w:rFonts w:ascii="Barlow Semi Condensed" w:cs="Barlow Semi Condensed" w:eastAsia="Barlow Semi Condensed" w:hAnsi="Barlow Semi Condensed"/>
          <w:b/>
          <w:bCs/>
          <w:sz w:val="24"/>
          <w:szCs w:val="24"/>
        </w:rPr>
        <w:t xml:space="preserve">3828 · I dinieghi come mappa, e i silenzi.</w:t>
      </w:r>
      <w:r>
        <w:rPr>
          <w:rFonts w:ascii="Barlow Semi Condensed" w:cs="Barlow Semi Condensed" w:eastAsia="Barlow Semi Condensed" w:hAnsi="Barlow Semi Condensed"/>
          <w:sz w:val="24"/>
          <w:szCs w:val="24"/>
        </w:rPr>
        <w:t xml:space="preserve"> Per questa serie la tavola dei dinieghi del blocco 955 è vuota, e non perché tutto sia stato concesso. È vuota perché nessuna istanza risulta mai presentata a un'amministrazione italiana sul versante che la riguarda. Un vuoto da mancata richiesta e un vuoto da diniego sono oggetti storici diversi e vanno annotati come tali nel registro del blocco 954: il primo misura l'inerzia di chi cerca, il secondo la riservatezza di chi detiene.</w:t>
      </w:r>
    </w:p>
    <w:p>
      <w:pPr>
        <w:spacing w:after="120" w:line="276"/>
        <w:jc w:val="both"/>
      </w:pPr>
      <w:r>
        <w:rPr>
          <w:rFonts w:ascii="Barlow Semi Condensed" w:cs="Barlow Semi Condensed" w:eastAsia="Barlow Semi Condensed" w:hAnsi="Barlow Semi Condensed"/>
          <w:b/>
          <w:bCs/>
          <w:sz w:val="24"/>
          <w:szCs w:val="24"/>
        </w:rPr>
        <w:t xml:space="preserve">3829 · Tre istanze, e i loro esiti.</w:t>
      </w:r>
      <w:r>
        <w:rPr>
          <w:rFonts w:ascii="Barlow Semi Condensed" w:cs="Barlow Semi Condensed" w:eastAsia="Barlow Semi Condensed" w:hAnsi="Barlow Semi Condensed"/>
          <w:sz w:val="24"/>
          <w:szCs w:val="24"/>
        </w:rPr>
        <w:t xml:space="preserve"> Ogni richiesta d'accesso dell'opera entra nel registro pubblico con esito e tempi per il blocco 954, e le segnalazioni all'autorità prendono forma scritta al blocco 892. Ne discende la contabilità che questa serie propone e lascia eseguibile: lo stenografico del 1° agosto 1980 alla Camera, il verbale d'udienza del novembre 1982 alla Corte d'assise di Roma, il secondo memorandum del 26 settembre 1974 alla Ford Library. Tre istanze, tre esiti da verbalizzare.</w:t>
      </w:r>
    </w:p>
    <w:p>
      <w:pPr>
        <w:spacing w:after="120" w:line="276"/>
        <w:jc w:val="both"/>
      </w:pPr>
      <w:r>
        <w:rPr>
          <w:rFonts w:ascii="Barlow Semi Condensed" w:cs="Barlow Semi Condensed" w:eastAsia="Barlow Semi Condensed" w:hAnsi="Barlow Semi Condensed"/>
          <w:b/>
          <w:bCs/>
          <w:sz w:val="24"/>
          <w:szCs w:val="24"/>
        </w:rPr>
        <w:t xml:space="preserve">3830 · Il fascicolo integrale dei tredici.</w:t>
      </w:r>
      <w:r>
        <w:rPr>
          <w:rFonts w:ascii="Barlow Semi Condensed" w:cs="Barlow Semi Condensed" w:eastAsia="Barlow Semi Condensed" w:hAnsi="Barlow Semi Condensed"/>
          <w:sz w:val="24"/>
          <w:szCs w:val="24"/>
        </w:rPr>
        <w:t xml:space="preserve"> Tredici dossier d'archivio completi, citabili al foglio: è il bersaglio documentale che il blocco 866 fissa per la Parte ottava, ricavandoli dagli atti digitalizzati. In quei tredici fascicoli una ricerca onomastica sul versante internazionale andrebbe eseguita per la prima volta in modo sistematico. L'esito atteso è negativo. Va comunque eseguita e verbalizzata, perché un negativo cercato è conoscenza e un negativo presunto è pigrizia travestita da prudenza.</w:t>
      </w:r>
    </w:p>
    <w:p>
      <w:pPr>
        <w:spacing w:after="120" w:line="276"/>
        <w:jc w:val="both"/>
      </w:pPr>
      <w:r>
        <w:rPr>
          <w:rFonts w:ascii="Barlow Semi Condensed" w:cs="Barlow Semi Condensed" w:eastAsia="Barlow Semi Condensed" w:hAnsi="Barlow Semi Condensed"/>
          <w:b/>
          <w:bCs/>
          <w:sz w:val="24"/>
          <w:szCs w:val="24"/>
        </w:rPr>
        <w:t xml:space="preserve">3831 · La tavola comparata delle parole.</w:t>
      </w:r>
      <w:r>
        <w:rPr>
          <w:rFonts w:ascii="Barlow Semi Condensed" w:cs="Barlow Semi Condensed" w:eastAsia="Barlow Semi Condensed" w:hAnsi="Barlow Semi Condensed"/>
          <w:sz w:val="24"/>
          <w:szCs w:val="24"/>
        </w:rPr>
        <w:t xml:space="preserve"> Chi ha detto quanto, dove e quando, persona per persona e anno per anno: la tavola del blocco 851 censisce tutta la parola pubblica del registro, compresi i silenzi. Vi si annidi un quesito preciso di questa serie: se e quando membri del registro abbiano attribuito pubblicamente una direzione straniera al sequestro, con quali parole e in quali sedi. Oggi la risposta non è censita. È quesito di storia della parola, non di accertamento del fatto.</w:t>
      </w:r>
    </w:p>
    <w:p>
      <w:pPr>
        <w:spacing w:after="120" w:line="276"/>
        <w:jc w:val="both"/>
      </w:pPr>
      <w:r>
        <w:rPr>
          <w:rFonts w:ascii="Barlow Semi Condensed" w:cs="Barlow Semi Condensed" w:eastAsia="Barlow Semi Condensed" w:hAnsi="Barlow Semi Condensed"/>
          <w:b/>
          <w:bCs/>
          <w:sz w:val="24"/>
          <w:szCs w:val="24"/>
        </w:rPr>
        <w:t xml:space="preserve">3832 · La biblioteca dei condannati, spogliata.</w:t>
      </w:r>
      <w:r>
        <w:rPr>
          <w:rFonts w:ascii="Barlow Semi Condensed" w:cs="Barlow Semi Condensed" w:eastAsia="Barlow Semi Condensed" w:hAnsi="Barlow Semi Condensed"/>
          <w:sz w:val="24"/>
          <w:szCs w:val="24"/>
        </w:rPr>
        <w:t xml:space="preserve"> Dal libro-intervista di Moretti del 1994 a «Il prigioniero» di Braghetti del 1998, dall'autobiografia di Gallinari ai volumi di Balzerani: il blocco 852 progetta il censimento bibliografico integrale con edizioni, ristampe e traduzioni. Lo spoglio onomastico di quel corpus è eseguibile su carta reperibile in qualunque biblioteca nazionale e produce un dato falsificabile in poche settimane. Stato oggi: non eseguito. Nessun blocco del corpus afferma che il nome vi compaia.</w:t>
      </w:r>
    </w:p>
    <w:p>
      <w:pPr>
        <w:spacing w:after="120" w:line="276"/>
        <w:jc w:val="both"/>
      </w:pPr>
      <w:r>
        <w:rPr>
          <w:rFonts w:ascii="Barlow Semi Condensed" w:cs="Barlow Semi Condensed" w:eastAsia="Barlow Semi Condensed" w:hAnsi="Barlow Semi Condensed"/>
          <w:b/>
          <w:bCs/>
          <w:sz w:val="24"/>
          <w:szCs w:val="24"/>
        </w:rPr>
        <w:t xml:space="preserve">3833 · Il memoriale della dissociazione.</w:t>
      </w:r>
      <w:r>
        <w:rPr>
          <w:rFonts w:ascii="Barlow Semi Condensed" w:cs="Barlow Semi Condensed" w:eastAsia="Barlow Semi Condensed" w:hAnsi="Barlow Semi Condensed"/>
          <w:sz w:val="24"/>
          <w:szCs w:val="24"/>
        </w:rPr>
        <w:t xml:space="preserve"> Testo di parte più influente del caso, il memoriale Morucci-Faranda merita per il blocco 855 la scheda più rigorosa: stesure, consegne, usi processuali, perimetro dichiarato di ciò che copre e di ciò che non copre. Il quesito di questa serie vi si inserisce senza forzatura, cioè che cosa quel testo dica, se dice qualcosa, sulla direzione politica del sequestro. La risposta appartiene agli atti in cui il memoriale fu usato, non alle sintesi che ne circolano.</w:t>
      </w:r>
    </w:p>
    <w:p>
      <w:pPr>
        <w:spacing w:after="120" w:line="276"/>
        <w:jc w:val="both"/>
      </w:pPr>
      <w:r>
        <w:rPr>
          <w:rFonts w:ascii="Barlow Semi Condensed" w:cs="Barlow Semi Condensed" w:eastAsia="Barlow Semi Condensed" w:hAnsi="Barlow Semi Condensed"/>
          <w:b/>
          <w:bCs/>
          <w:sz w:val="24"/>
          <w:szCs w:val="24"/>
        </w:rPr>
        <w:t xml:space="preserve">3834 · Le versioni che cambiano nel tempo.</w:t>
      </w:r>
      <w:r>
        <w:rPr>
          <w:rFonts w:ascii="Barlow Semi Condensed" w:cs="Barlow Semi Condensed" w:eastAsia="Barlow Semi Condensed" w:hAnsi="Barlow Semi Condensed"/>
          <w:sz w:val="24"/>
          <w:szCs w:val="24"/>
        </w:rPr>
        <w:t xml:space="preserve"> La deriva diacronica dei racconti è tabulata dal blocco 854: come le versioni di ciascuno siano mutate dalle dichiarazioni processuali ai libri alle ultime interviste, con le date e senza processi alle intenzioni. È lo strumento che misurerebbe un fenomeno noto e mai misurato, cioè se la tesi dell'eterodirezione compaia nelle parole del registro precocemente o tardivamente, e in che rapporto con la sua diffusione pubblica. Qui le date valgono più dei contenuti.</w:t>
      </w:r>
    </w:p>
    <w:p>
      <w:pPr>
        <w:spacing w:after="120" w:line="276"/>
        <w:jc w:val="both"/>
      </w:pPr>
      <w:r>
        <w:rPr>
          <w:rFonts w:ascii="Barlow Semi Condensed" w:cs="Barlow Semi Condensed" w:eastAsia="Barlow Semi Condensed" w:hAnsi="Barlow Semi Condensed"/>
          <w:b/>
          <w:bCs/>
          <w:sz w:val="24"/>
          <w:szCs w:val="24"/>
        </w:rPr>
        <w:t xml:space="preserve">3835 · Ciò che il registro non dice.</w:t>
      </w:r>
      <w:r>
        <w:rPr>
          <w:rFonts w:ascii="Barlow Semi Condensed" w:cs="Barlow Semi Condensed" w:eastAsia="Barlow Semi Condensed" w:hAnsi="Barlow Semi Condensed"/>
          <w:sz w:val="24"/>
          <w:szCs w:val="24"/>
        </w:rPr>
        <w:t xml:space="preserve"> Va dichiarato come esito e non come sospetto: nella Parte ottava, che per novanta blocchi organizza il censimento della parola dei condannati, non compare alcuna affermazione secondo cui membri del registro abbiano indicato un'autorità straniera. Il corpus non lo afferma né lo nega, perché non lo ha censito. Questo è uno Stato Zero di censimento, distinto dallo Stato Zero di fatto, e la distinzione va conservata in ogni resa pubblica.</w:t>
      </w:r>
    </w:p>
    <w:p>
      <w:pPr>
        <w:spacing w:after="120" w:line="276"/>
        <w:jc w:val="both"/>
      </w:pPr>
      <w:r>
        <w:rPr>
          <w:rFonts w:ascii="Barlow Semi Condensed" w:cs="Barlow Semi Condensed" w:eastAsia="Barlow Semi Condensed" w:hAnsi="Barlow Semi Condensed"/>
          <w:b/>
          <w:bCs/>
          <w:sz w:val="24"/>
          <w:szCs w:val="24"/>
        </w:rPr>
        <w:t xml:space="preserve">3836 · Due schiere che non si confondono.</w:t>
      </w:r>
      <w:r>
        <w:rPr>
          <w:rFonts w:ascii="Barlow Semi Condensed" w:cs="Barlow Semi Condensed" w:eastAsia="Barlow Semi Condensed" w:hAnsi="Barlow Semi Condensed"/>
          <w:sz w:val="24"/>
          <w:szCs w:val="24"/>
        </w:rPr>
        <w:t xml:space="preserve"> Due schiere non vanno confuse in un unico indice, e il blocco 856 le tiene separate quando censisce quali membri del registro furono ascoltati dalle commissioni e chi non lo fu mai. Il versante internazionale non abita quella schiera: l'unica audizione parlamentare che tocchi il presunto avvertimento è quella di una familiare della vittima, il 1° agosto 1980. Le due schiere rispondono a domande diverse e portano gradi diversi.</w:t>
      </w:r>
    </w:p>
    <w:p>
      <w:pPr>
        <w:spacing w:after="120" w:line="276"/>
        <w:jc w:val="both"/>
      </w:pPr>
      <w:r>
        <w:rPr>
          <w:rFonts w:ascii="Barlow Semi Condensed" w:cs="Barlow Semi Condensed" w:eastAsia="Barlow Semi Condensed" w:hAnsi="Barlow Semi Condensed"/>
          <w:b/>
          <w:bCs/>
          <w:sz w:val="24"/>
          <w:szCs w:val="24"/>
        </w:rPr>
        <w:t xml:space="preserve">3837 · I rifiuti si contano, le smentite anche.</w:t>
      </w:r>
      <w:r>
        <w:rPr>
          <w:rFonts w:ascii="Barlow Semi Condensed" w:cs="Barlow Semi Condensed" w:eastAsia="Barlow Semi Condensed" w:hAnsi="Barlow Semi Condensed"/>
          <w:sz w:val="24"/>
          <w:szCs w:val="24"/>
        </w:rPr>
        <w:t xml:space="preserve"> Ogni rifiuto di parlare si registra datato e senza commento, perché il silenzio di un condannato è un suo diritto e un fatto storico: così il blocco 860. Estesa fuori dal registro, la regola chiede la stessa cura per le smentite. Quella diretta resa a un giornalista poco prima della morte e quella generica riferita dall'agenzia nel 1983 sono fatti datati, e vanno riportati insieme alla testimonianza che contraddicono.</w:t>
      </w:r>
    </w:p>
    <w:p>
      <w:pPr>
        <w:spacing w:after="120" w:line="276"/>
        <w:jc w:val="both"/>
      </w:pPr>
      <w:r>
        <w:rPr>
          <w:rFonts w:ascii="Barlow Semi Condensed" w:cs="Barlow Semi Condensed" w:eastAsia="Barlow Semi Condensed" w:hAnsi="Barlow Semi Condensed"/>
          <w:b/>
          <w:bCs/>
          <w:sz w:val="24"/>
          <w:szCs w:val="24"/>
        </w:rPr>
        <w:t xml:space="preserve">3838 · La catena si interrompe al primo anello.</w:t>
      </w:r>
      <w:r>
        <w:rPr>
          <w:rFonts w:ascii="Barlow Semi Condensed" w:cs="Barlow Semi Condensed" w:eastAsia="Barlow Semi Condensed" w:hAnsi="Barlow Semi Condensed"/>
          <w:sz w:val="24"/>
          <w:szCs w:val="24"/>
        </w:rPr>
        <w:t xml:space="preserve"> Non esiste esecuzione senza condanna, non esiste condanna senza processo, non esiste processo senza imputazione. I blocchi 797 e 870 progettano la storia dell'esecuzione penale del caso — arresti, benefici, dibattiti pubblici che accompagnarono ogni scarcerazione — come capitolo documentato di storia repubblicana. Il nome di questa serie non vi ha alcuna riga, e la ragione è sempre la stessa: la catena si interrompe al primo anello.</w:t>
      </w:r>
    </w:p>
    <w:p>
      <w:pPr>
        <w:spacing w:after="120" w:line="276"/>
        <w:jc w:val="both"/>
      </w:pPr>
      <w:r>
        <w:rPr>
          <w:rFonts w:ascii="Barlow Semi Condensed" w:cs="Barlow Semi Condensed" w:eastAsia="Barlow Semi Condensed" w:hAnsi="Barlow Semi Condensed"/>
          <w:b/>
          <w:bCs/>
          <w:sz w:val="24"/>
          <w:szCs w:val="24"/>
        </w:rPr>
        <w:t xml:space="preserve">3839 · Chi non fu chiamato non è contumace.</w:t>
      </w:r>
      <w:r>
        <w:rPr>
          <w:rFonts w:ascii="Barlow Semi Condensed" w:cs="Barlow Semi Condensed" w:eastAsia="Barlow Semi Condensed" w:hAnsi="Barlow Semi Condensed"/>
          <w:sz w:val="24"/>
          <w:szCs w:val="24"/>
        </w:rPr>
        <w:t xml:space="preserve"> Chi non fu mai chiamato non è contumace, e la distinzione va tenuta ferma. Il blocco 798 dedica un capitolo ai mai presenti — i sei ergastoli in contumacia di Casimirri, le latitanze, gli istituti che le governarono, il significato giuridico di non essere mai stati davanti ai propri giudici. Il contumace è assente da un processo che esiste. L'assenza di questa serie è di natura diversa: manca il processo, non l'imputato.</w:t>
      </w:r>
    </w:p>
    <w:p>
      <w:pPr>
        <w:spacing w:after="120" w:line="276"/>
        <w:jc w:val="both"/>
      </w:pPr>
      <w:r>
        <w:rPr>
          <w:rFonts w:ascii="Barlow Semi Condensed" w:cs="Barlow Semi Condensed" w:eastAsia="Barlow Semi Condensed" w:hAnsi="Barlow Semi Condensed"/>
          <w:b/>
          <w:bCs/>
          <w:sz w:val="24"/>
          <w:szCs w:val="24"/>
        </w:rPr>
        <w:t xml:space="preserve">3840 · Managua non è un ponte.</w:t>
      </w:r>
      <w:r>
        <w:rPr>
          <w:rFonts w:ascii="Barlow Semi Condensed" w:cs="Barlow Semi Condensed" w:eastAsia="Barlow Semi Condensed" w:hAnsi="Barlow Semi Condensed"/>
          <w:sz w:val="24"/>
          <w:szCs w:val="24"/>
        </w:rPr>
        <w:t xml:space="preserve"> Sei ergastoli in contumacia, rotta Libia-Cuba-Nicaragua, cittadinanza nicaraguense, mai arrestato né interrogato, almeno due estradizioni respinte: è la scheda Casimirri del blocco 833. La coincidenza fra quel paese e la commissione bipartisan sull'America centrale presieduta da Kissinger fra 1983 e 1984 va enunciata per essere disinnescata. È contemporaneità di teatro, non contatto: il corpus registra già la regola secondo cui la rotta è geografia e non genealogia.</w:t>
      </w:r>
    </w:p>
    <w:p>
      <w:pPr>
        <w:spacing w:after="120" w:line="276"/>
        <w:jc w:val="both"/>
      </w:pPr>
      <w:r>
        <w:rPr>
          <w:rFonts w:ascii="Barlow Semi Condensed" w:cs="Barlow Semi Condensed" w:eastAsia="Barlow Semi Condensed" w:hAnsi="Barlow Semi Condensed"/>
          <w:b/>
          <w:bCs/>
          <w:sz w:val="24"/>
          <w:szCs w:val="24"/>
        </w:rPr>
        <w:t xml:space="preserve">3841 · Che documento lo renderebbe piano uno.</w:t>
      </w:r>
      <w:r>
        <w:rPr>
          <w:rFonts w:ascii="Barlow Semi Condensed" w:cs="Barlow Semi Condensed" w:eastAsia="Barlow Semi Condensed" w:hAnsi="Barlow Semi Condensed"/>
          <w:sz w:val="24"/>
          <w:szCs w:val="24"/>
        </w:rPr>
        <w:t xml:space="preserve"> Un bersaglio di smentita si scrive con precisione o non serve a nulla. Renderebbe quel nesso di piano uno soltanto un documento di provenienza che nominasse un latitante italiano nelle carte di quella commissione. Le sedi esistono e si nominano: i fascicoli della commissione fra i documenti dei comitati e delle commissioni temporanee ai National Archives, e le serie corrispondenti presso la biblioteca presidenziale competente. Fino a quel documento, nessun ponte e nessuna convergenza promossa.</w:t>
      </w:r>
    </w:p>
    <w:p>
      <w:pPr>
        <w:spacing w:after="120" w:line="276"/>
        <w:jc w:val="both"/>
      </w:pPr>
      <w:r>
        <w:rPr>
          <w:rFonts w:ascii="Barlow Semi Condensed" w:cs="Barlow Semi Condensed" w:eastAsia="Barlow Semi Condensed" w:hAnsi="Barlow Semi Condensed"/>
          <w:b/>
          <w:bCs/>
          <w:sz w:val="24"/>
          <w:szCs w:val="24"/>
        </w:rPr>
        <w:t xml:space="preserve">3842 · Materia diplomatica, non ambientale.</w:t>
      </w:r>
      <w:r>
        <w:rPr>
          <w:rFonts w:ascii="Barlow Semi Condensed" w:cs="Barlow Semi Condensed" w:eastAsia="Barlow Semi Condensed" w:hAnsi="Barlow Semi Condensed"/>
          <w:sz w:val="24"/>
          <w:szCs w:val="24"/>
        </w:rPr>
        <w:t xml:space="preserve"> Materia diplomatica bilaterale e non convergenza d'ambiente: la triangolazione dei condannati registra che il ponte reale del caso Casimirri sono le estradizioni respinte nei rapporti Italia-Nicaragua, con gli atti corrispondenti alla Farnesina. Il versante statunitense non compare in quella corrispondenza. È accertamento di perimetro, dichiarato con grado medio perché fondato su un censimento del corpus e non su uno spoglio integrale delle carte diplomatiche italiane. Chi lo smentirà porti la carta.</w:t>
      </w:r>
    </w:p>
    <w:p>
      <w:pPr>
        <w:spacing w:after="120" w:line="276"/>
        <w:jc w:val="both"/>
      </w:pPr>
      <w:r>
        <w:rPr>
          <w:rFonts w:ascii="Barlow Semi Condensed" w:cs="Barlow Semi Condensed" w:eastAsia="Barlow Semi Condensed" w:hAnsi="Barlow Semi Condensed"/>
          <w:b/>
          <w:bCs/>
          <w:sz w:val="24"/>
          <w:szCs w:val="24"/>
        </w:rPr>
        <w:t xml:space="preserve">3843 · Berna non conosce questo nome.</w:t>
      </w:r>
      <w:r>
        <w:rPr>
          <w:rFonts w:ascii="Barlow Semi Condensed" w:cs="Barlow Semi Condensed" w:eastAsia="Barlow Semi Condensed" w:hAnsi="Barlow Semi Condensed"/>
          <w:sz w:val="24"/>
          <w:szCs w:val="24"/>
        </w:rPr>
        <w:t xml:space="preserve"> Nel dossier elvetico dei blocchi 836 e 869 si costruisce l'ascolto di Alvaro Lojacono nelle forme svizzere e l'accesso agli atti dei procedimenti che lo riguardarono, sapendo che la Confederazione non estrada i propri cittadini. Nulla in quel dossier tocca il versante internazionale di questa serie, e nessuna delle due direzioni contamina l'altra. Lo si scrive perché la contiguità dentro una stessa parte d'opera non è contiguità di materia.</w:t>
      </w:r>
    </w:p>
    <w:p>
      <w:pPr>
        <w:spacing w:after="120" w:line="276"/>
        <w:jc w:val="both"/>
      </w:pPr>
      <w:r>
        <w:rPr>
          <w:rFonts w:ascii="Barlow Semi Condensed" w:cs="Barlow Semi Condensed" w:eastAsia="Barlow Semi Condensed" w:hAnsi="Barlow Semi Condensed"/>
          <w:b/>
          <w:bCs/>
          <w:sz w:val="24"/>
          <w:szCs w:val="24"/>
        </w:rPr>
        <w:t xml:space="preserve">3844 · Il quesito che non si deve porre.</w:t>
      </w:r>
      <w:r>
        <w:rPr>
          <w:rFonts w:ascii="Barlow Semi Condensed" w:cs="Barlow Semi Condensed" w:eastAsia="Barlow Semi Condensed" w:hAnsi="Barlow Semi Condensed"/>
          <w:sz w:val="24"/>
          <w:szCs w:val="24"/>
        </w:rPr>
        <w:t xml:space="preserve"> Dieci domande documentali ordinate per rendimento sono chieste al registro vivente dal blocco 864, come testamento operativo della parte. Questa serie propone che nessuna delle dieci riguardi il versante internazionale e che la ragione sia scritta accanto all'elenco: una memoria diretta della logistica romana non ha accesso privilegiato alla politica di Washington. Chiedere a un testimone ciò che non può sapere produce risposte, non conoscenza — ed è il modo più elegante di inquinare un archivio.</w:t>
      </w:r>
    </w:p>
    <w:p>
      <w:pPr>
        <w:spacing w:after="120" w:line="276"/>
        <w:jc w:val="both"/>
      </w:pPr>
      <w:r>
        <w:rPr>
          <w:rFonts w:ascii="Barlow Semi Condensed" w:cs="Barlow Semi Condensed" w:eastAsia="Barlow Semi Condensed" w:hAnsi="Barlow Semi Condensed"/>
          <w:b/>
          <w:bCs/>
          <w:sz w:val="24"/>
          <w:szCs w:val="24"/>
        </w:rPr>
        <w:t xml:space="preserve">3845 · I vuoti si verbalizzano.</w:t>
      </w:r>
      <w:r>
        <w:rPr>
          <w:rFonts w:ascii="Barlow Semi Condensed" w:cs="Barlow Semi Condensed" w:eastAsia="Barlow Semi Condensed" w:hAnsi="Barlow Semi Condensed"/>
          <w:sz w:val="24"/>
          <w:szCs w:val="24"/>
        </w:rPr>
        <w:t xml:space="preserve"> Iscrivere l'assenza dove va iscritta: il blocco 878 istituisce il verbale dei vuoti della Parte ottava — caselle non chiudibili, lasciti non trovati, silenzi definitivi dei morti — e lo chiama Stato Zero prosopografico. È il luogo esatto in cui l'assenza documentata da questa serie va registrata, non come nota di colore ma come voce con la propria sede. La sede è duplice: italiana per gli atti, statunitense per le carte di governo.</w:t>
      </w:r>
    </w:p>
    <w:p>
      <w:pPr>
        <w:spacing w:after="120" w:line="276"/>
        <w:jc w:val="both"/>
      </w:pPr>
      <w:r>
        <w:rPr>
          <w:rFonts w:ascii="Barlow Semi Condensed" w:cs="Barlow Semi Condensed" w:eastAsia="Barlow Semi Condensed" w:hAnsi="Barlow Semi Condensed"/>
          <w:b/>
          <w:bCs/>
          <w:sz w:val="24"/>
          <w:szCs w:val="24"/>
        </w:rPr>
        <w:t xml:space="preserve">3846 · Il registro cresce solo per giudicato (serie L).</w:t>
      </w:r>
      <w:r>
        <w:rPr>
          <w:rFonts w:ascii="Barlow Semi Condensed" w:cs="Barlow Semi Condensed" w:eastAsia="Barlow Semi Condensed" w:hAnsi="Barlow Semi Condensed"/>
          <w:sz w:val="24"/>
          <w:szCs w:val="24"/>
        </w:rPr>
        <w:t xml:space="preserve"> Vent'anni dopo i fatti Germano Maccari fu iscritto al registro, e il blocco 840 ne trae la lezione istituzionale: il registro può crescere a distanza di decenni, mai per suggestione. Riportata sul versante internazionale la lezione è netta e non ammette attenuazioni. Se un giorno un nome straniero vi entrasse, vi entrerebbe per una sentenza definitiva italiana passata in giudicato. Non esiste altra porta, e nessuna ne è mai stata aperta.</w:t>
      </w:r>
    </w:p>
    <w:p>
      <w:pPr>
        <w:spacing w:after="120" w:line="276"/>
        <w:jc w:val="both"/>
      </w:pPr>
      <w:r>
        <w:rPr>
          <w:rFonts w:ascii="Barlow Semi Condensed" w:cs="Barlow Semi Condensed" w:eastAsia="Barlow Semi Condensed" w:hAnsi="Barlow Semi Condensed"/>
          <w:b/>
          <w:bCs/>
          <w:sz w:val="24"/>
          <w:szCs w:val="24"/>
        </w:rPr>
        <w:t xml:space="preserve">3847 · La morte chiude l'azione.</w:t>
      </w:r>
      <w:r>
        <w:rPr>
          <w:rFonts w:ascii="Barlow Semi Condensed" w:cs="Barlow Semi Condensed" w:eastAsia="Barlow Semi Condensed" w:hAnsi="Barlow Semi Condensed"/>
          <w:sz w:val="24"/>
          <w:szCs w:val="24"/>
        </w:rPr>
        <w:t xml:space="preserve"> Non si esercita azione penale verso una persona deceduta: è il fatto di diritto processuale che preclude, per il nome di questa serie, lo scenario del sesto processo che il blocco 897 prepara. L'osservazione non implica che un'azione fosse prima concepibile, e non va letta in quel senso. Constata soltanto che dal 29 novembre 2023 la questione è definitivamente fuori dal penale, e che resta interamente dentro la storia documentale.</w:t>
      </w:r>
    </w:p>
    <w:p>
      <w:pPr>
        <w:spacing w:after="120" w:line="276"/>
        <w:jc w:val="both"/>
      </w:pPr>
      <w:r>
        <w:rPr>
          <w:rFonts w:ascii="Barlow Semi Condensed" w:cs="Barlow Semi Condensed" w:eastAsia="Barlow Semi Condensed" w:hAnsi="Barlow Semi Condensed"/>
          <w:b/>
          <w:bCs/>
          <w:sz w:val="24"/>
          <w:szCs w:val="24"/>
        </w:rPr>
        <w:t xml:space="preserve">3848 · Se il fascicolo chiudesse.</w:t>
      </w:r>
      <w:r>
        <w:rPr>
          <w:rFonts w:ascii="Barlow Semi Condensed" w:cs="Barlow Semi Condensed" w:eastAsia="Barlow Semi Condensed" w:hAnsi="Barlow Semi Condensed"/>
          <w:sz w:val="24"/>
          <w:szCs w:val="24"/>
        </w:rPr>
        <w:t xml:space="preserve"> Se il fascicolo si archiviasse resterebbero gli atti versati, le perizie acquisite e il diritto della storia a proseguire coi propri strumenti: è il protocollo dello scenario peggiore scritto al blocco 895. Per questa serie il protocollo cambierebbe poco, perché il versante internazionale non è mai stato dentro quel fascicolo. Ciò che ne dipende è la pressione mediatica: un'archiviazione produrrebbe, prevedibilmente, il ritorno in scena delle spiegazioni terziarie.</w:t>
      </w:r>
    </w:p>
    <w:p>
      <w:pPr>
        <w:spacing w:after="120" w:line="276"/>
        <w:jc w:val="both"/>
      </w:pPr>
      <w:r>
        <w:rPr>
          <w:rFonts w:ascii="Barlow Semi Condensed" w:cs="Barlow Semi Condensed" w:eastAsia="Barlow Semi Condensed" w:hAnsi="Barlow Semi Condensed"/>
          <w:b/>
          <w:bCs/>
          <w:sz w:val="24"/>
          <w:szCs w:val="24"/>
        </w:rPr>
        <w:t xml:space="preserve">3849 · Se emergessero sviluppi.</w:t>
      </w:r>
      <w:r>
        <w:rPr>
          <w:rFonts w:ascii="Barlow Semi Condensed" w:cs="Barlow Semi Condensed" w:eastAsia="Barlow Semi Condensed" w:hAnsi="Barlow Semi Condensed"/>
          <w:sz w:val="24"/>
          <w:szCs w:val="24"/>
        </w:rPr>
        <w:t xml:space="preserve"> Silenzio operoso, precedenza assoluta al giudiziario, aggiornamento del corpus solo da atti: il blocco 896 prescrive la disciplina per lo scenario opposto. È la più difficile da tenere proprio dove questa serie lavora, perché ogni novità sulle presenze verrebbe letta come conferma di una regia. Il presidio resta il blocco 887: le presenze sono persone su una strada, e nessun esito su di esse potrà da solo dire alcunché su un governo straniero.</w:t>
      </w:r>
    </w:p>
    <w:p>
      <w:pPr>
        <w:spacing w:after="120" w:line="276"/>
        <w:jc w:val="both"/>
      </w:pPr>
      <w:r>
        <w:rPr>
          <w:rFonts w:ascii="Barlow Semi Condensed" w:cs="Barlow Semi Condensed" w:eastAsia="Barlow Semi Condensed" w:hAnsi="Barlow Semi Condensed"/>
          <w:b/>
          <w:bCs/>
          <w:sz w:val="24"/>
          <w:szCs w:val="24"/>
        </w:rPr>
        <w:t xml:space="preserve">3850 · Il cinquantennale porterà la frase.</w:t>
      </w:r>
      <w:r>
        <w:rPr>
          <w:rFonts w:ascii="Barlow Semi Condensed" w:cs="Barlow Semi Condensed" w:eastAsia="Barlow Semi Condensed" w:hAnsi="Barlow Semi Condensed"/>
          <w:sz w:val="24"/>
          <w:szCs w:val="24"/>
        </w:rPr>
        <w:t xml:space="preserve"> Nessun comitato nazionale per il 2028 risulta istituito, accerta il blocco 967, mentre il blocco 976 prepara il protocollo mediatico per il diluvio prevedibile. Questa serie consegna al protocollo il proprio contributo minimo: una scheda verificata sul presunto avvertimento, con la deposizione de relato, il nome ottenuto in aula e non offerto, le date divergenti fra 1974, 1976 e 1977, la smentita costante e l'assenza dal verbale. Pronta prima della domanda.</w:t>
      </w:r>
    </w:p>
    <w:p>
      <w:pPr>
        <w:spacing w:after="120" w:line="276"/>
        <w:jc w:val="both"/>
      </w:pPr>
      <w:r>
        <w:rPr>
          <w:rFonts w:ascii="Barlow Semi Condensed" w:cs="Barlow Semi Condensed" w:eastAsia="Barlow Semi Condensed" w:hAnsi="Barlow Semi Condensed"/>
          <w:b/>
          <w:bCs/>
          <w:sz w:val="24"/>
          <w:szCs w:val="24"/>
        </w:rPr>
        <w:t xml:space="preserve">3851 · Le produzioni e la consulenza offerta.</w:t>
      </w:r>
      <w:r>
        <w:rPr>
          <w:rFonts w:ascii="Barlow Semi Condensed" w:cs="Barlow Semi Condensed" w:eastAsia="Barlow Semi Condensed" w:hAnsi="Barlow Semi Condensed"/>
          <w:sz w:val="24"/>
          <w:szCs w:val="24"/>
        </w:rPr>
        <w:t xml:space="preserve"> Film, serie e podcast arriveranno, e il blocco 977 prevede che l'opera censisca le produzioni annunciate offrendo a ciascuna la consulenza documentale, registrando l'offerta accettata o rifiutata. L'episodio di Washington è, per costruzione narrativa, il più appetibile del versante internazionale e il più fragile in documenti. L'offerta va fatta per iscritto e su quel punto per primo: la finzione resta libera, ma nessun autore potrà più dire di non aver saputo.</w:t>
      </w:r>
    </w:p>
    <w:p>
      <w:pPr>
        <w:spacing w:after="120" w:line="276"/>
        <w:jc w:val="both"/>
      </w:pPr>
      <w:r>
        <w:rPr>
          <w:rFonts w:ascii="Barlow Semi Condensed" w:cs="Barlow Semi Condensed" w:eastAsia="Barlow Semi Condensed" w:hAnsi="Barlow Semi Condensed"/>
          <w:b/>
          <w:bCs/>
          <w:sz w:val="24"/>
          <w:szCs w:val="24"/>
        </w:rPr>
        <w:t xml:space="preserve">3852 · Il rischio della saturazione.</w:t>
      </w:r>
      <w:r>
        <w:rPr>
          <w:rFonts w:ascii="Barlow Semi Condensed" w:cs="Barlow Semi Condensed" w:eastAsia="Barlow Semi Condensed" w:hAnsi="Barlow Semi Condensed"/>
          <w:sz w:val="24"/>
          <w:szCs w:val="24"/>
        </w:rPr>
        <w:t xml:space="preserve"> I cinquantennali saturano, la sovraesposizione genera stanchezza e revisionismi di ritorno, e il blocco 987 prescrive contributi pochi, documentati, distanziati, senza presenza per presenzialismo. Applicata a un nome celebre la prescrizione diventa più stringente, perché la celebrità è essa stessa un moltiplicatore di riprese. La sobrietà non è timidezza: è la sola strategia che impedisca a una testimonianza contestata di consolidarsi per stanchezza degli obiettori.</w:t>
      </w:r>
    </w:p>
    <w:p>
      <w:pPr>
        <w:spacing w:after="120" w:line="276"/>
        <w:jc w:val="both"/>
      </w:pPr>
      <w:r>
        <w:rPr>
          <w:rFonts w:ascii="Barlow Semi Condensed" w:cs="Barlow Semi Condensed" w:eastAsia="Barlow Semi Condensed" w:hAnsi="Barlow Semi Condensed"/>
          <w:b/>
          <w:bCs/>
          <w:sz w:val="24"/>
          <w:szCs w:val="24"/>
        </w:rPr>
        <w:t xml:space="preserve">3853 · Le sei vittime restano la misura.</w:t>
      </w:r>
      <w:r>
        <w:rPr>
          <w:rFonts w:ascii="Barlow Semi Condensed" w:cs="Barlow Semi Condensed" w:eastAsia="Barlow Semi Condensed" w:hAnsi="Barlow Semi Condensed"/>
          <w:sz w:val="24"/>
          <w:szCs w:val="24"/>
        </w:rPr>
        <w:t xml:space="preserve"> Oreste Leonardi, Domenico Ricci, Giulio Rivera, Francesco Zizzi, Raffaele Iozzino e Aldo Moro stanno in testa e in chiusura del territorio, ai blocchi 803, 984 e 998. È la misura che questa serie accetta senza sconti. Una discussione sul versante internazionale che sottragga spazio alle sei biografie ha già sbagliato proporzione. Nel territorio assegnato il nome triangolato occupa esattamente zero righe: la proporzione è già scritta nel corpus, e va rispettata.</w:t>
      </w:r>
    </w:p>
    <w:p>
      <w:pPr>
        <w:spacing w:after="120" w:line="276"/>
        <w:jc w:val="both"/>
      </w:pPr>
      <w:r>
        <w:rPr>
          <w:rFonts w:ascii="Barlow Semi Condensed" w:cs="Barlow Semi Condensed" w:eastAsia="Barlow Semi Condensed" w:hAnsi="Barlow Semi Condensed"/>
          <w:b/>
          <w:bCs/>
          <w:sz w:val="24"/>
          <w:szCs w:val="24"/>
        </w:rPr>
        <w:t xml:space="preserve">3854 · L'opposizione che ha riaperto.</w:t>
      </w:r>
      <w:r>
        <w:rPr>
          <w:rFonts w:ascii="Barlow Semi Condensed" w:cs="Barlow Semi Condensed" w:eastAsia="Barlow Semi Condensed" w:hAnsi="Barlow Semi Condensed"/>
          <w:sz w:val="24"/>
          <w:szCs w:val="24"/>
        </w:rPr>
        <w:t xml:space="preserve"> Furono i figli dell'appuntato Domenico Ricci, con i loro difensori, a impedire l'archiviazione del 28 maggio 2025: non un ministero, non una commissione. Il blocco 882 lo custodisce come fatto istituzionale. Vi si contrappone, senza enfasi, una constatazione. In quarantott'anni nessuno ha mai formalizzato una richiesta analoga sul versante internazionale, e non per timidezza: le vittime hanno usato uno strumento esistente dentro un procedimento, e quel versante un procedimento non lo ha mai avuto.</w:t>
      </w:r>
    </w:p>
    <w:p>
      <w:pPr>
        <w:spacing w:after="120" w:line="276"/>
        <w:jc w:val="both"/>
      </w:pPr>
      <w:r>
        <w:rPr>
          <w:rFonts w:ascii="Barlow Semi Condensed" w:cs="Barlow Semi Condensed" w:eastAsia="Barlow Semi Condensed" w:hAnsi="Barlow Semi Condensed"/>
          <w:b/>
          <w:bCs/>
          <w:sz w:val="24"/>
          <w:szCs w:val="24"/>
        </w:rPr>
        <w:t xml:space="preserve">3855 · Il giacimento come garanzia.</w:t>
      </w:r>
      <w:r>
        <w:rPr>
          <w:rFonts w:ascii="Barlow Semi Condensed" w:cs="Barlow Semi Condensed" w:eastAsia="Barlow Semi Condensed" w:hAnsi="Barlow Semi Condensed"/>
          <w:sz w:val="24"/>
          <w:szCs w:val="24"/>
        </w:rPr>
        <w:t xml:space="preserve"> Chiunque può verificare chiunque, alla carta: il blocco 938 fa della digitalizzazione dei cinque processi la migliore garanzia contro le riscritture e ne ricava una regola di stile, per cui ogni affermazione sul giudicato porta il rinvio all'atto. Questa serie la adotta integralmente e la estende al versante internazionale. Nessuna riga su quel versante senza segnatura, e dove la segnatura manca, la dichiarazione esplicita che manca.</w:t>
      </w:r>
    </w:p>
    <w:p>
      <w:pPr>
        <w:spacing w:after="120" w:line="276"/>
        <w:jc w:val="both"/>
      </w:pPr>
      <w:r>
        <w:rPr>
          <w:rFonts w:ascii="Barlow Semi Condensed" w:cs="Barlow Semi Condensed" w:eastAsia="Barlow Semi Condensed" w:hAnsi="Barlow Semi Condensed"/>
          <w:b/>
          <w:bCs/>
          <w:sz w:val="24"/>
          <w:szCs w:val="24"/>
        </w:rPr>
        <w:t xml:space="preserve">3856 · La privacy e i terzi.</w:t>
      </w:r>
      <w:r>
        <w:rPr>
          <w:rFonts w:ascii="Barlow Semi Condensed" w:cs="Barlow Semi Condensed" w:eastAsia="Barlow Semi Condensed" w:hAnsi="Barlow Semi Condensed"/>
          <w:sz w:val="24"/>
          <w:szCs w:val="24"/>
        </w:rPr>
        <w:t xml:space="preserve"> Un nome che compaia negli atti soltanto come oggetto di una deposizione altrui è, tecnicamente, un terzo. Il blocco 914 subordina la pubblicazione integrale online alla revisione per i dati sensibili, e il blocco 950 richiama le regole deontologiche sui terzi estranei nelle carte del caso. Il trattamento di quel nome negli indici del blocco 928 va deciso a monte, con una regola scritta e uniforme, prima che la prima tranche vada in rete.</w:t>
      </w:r>
    </w:p>
    <w:p>
      <w:pPr>
        <w:spacing w:after="120" w:line="276"/>
        <w:jc w:val="both"/>
      </w:pPr>
      <w:r>
        <w:rPr>
          <w:rFonts w:ascii="Barlow Semi Condensed" w:cs="Barlow Semi Condensed" w:eastAsia="Barlow Semi Condensed" w:hAnsi="Barlow Semi Condensed"/>
          <w:b/>
          <w:bCs/>
          <w:sz w:val="24"/>
          <w:szCs w:val="24"/>
        </w:rPr>
        <w:t xml:space="preserve">3857 · La smentita, come la chiede l'opera.</w:t>
      </w:r>
      <w:r>
        <w:rPr>
          <w:rFonts w:ascii="Barlow Semi Condensed" w:cs="Barlow Semi Condensed" w:eastAsia="Barlow Semi Condensed" w:hAnsi="Barlow Semi Condensed"/>
          <w:sz w:val="24"/>
          <w:szCs w:val="24"/>
        </w:rPr>
        <w:t xml:space="preserve"> Con un documento, e con ringraziamento scritto: così il blocco 999 detta la forma della smentita che l'opera dichiara benvenuta. Questa serie deposita il proprio bersaglio in forma esplicita. La smentirebbe un atto dei cinque processi romani, o uno stenografico delle tre commissioni, in cui il nome comparisse con funzione diversa da quella di oggetto di una testimonianza riferita. Chi lo trovi lo produca, con segnatura e foglio: sarà incorporato per nota datata.</w:t>
      </w:r>
    </w:p>
    <w:p>
      <w:pPr>
        <w:spacing w:after="120" w:line="276"/>
        <w:jc w:val="both"/>
      </w:pPr>
      <w:r>
        <w:rPr>
          <w:rFonts w:ascii="Barlow Semi Condensed" w:cs="Barlow Semi Condensed" w:eastAsia="Barlow Semi Condensed" w:hAnsi="Barlow Semi Condensed"/>
          <w:b/>
          <w:bCs/>
          <w:sz w:val="24"/>
          <w:szCs w:val="24"/>
        </w:rPr>
        <w:t xml:space="preserve">3858 · Il secondo bersaglio di smentita.</w:t>
      </w:r>
      <w:r>
        <w:rPr>
          <w:rFonts w:ascii="Barlow Semi Condensed" w:cs="Barlow Semi Condensed" w:eastAsia="Barlow Semi Condensed" w:hAnsi="Barlow Semi Condensed"/>
          <w:sz w:val="24"/>
          <w:szCs w:val="24"/>
        </w:rPr>
        <w:t xml:space="preserve"> Un secondo bersaglio riguarda il fascicolo vivo e va scritto con la stessa nettezza del primo. Smentirebbe questa serie un provvedimento del procedimento sulle terze presenze — richiesta, ordinanza, delega — che disponesse un accertamento verso una persona o un'autorità straniera. Nulla di ciò risulta dalle direzioni pubbliche censite al blocco 883. Se un atto simile esistesse e fosse pubblico, l'intera lettura di perimetro qui proposta andrebbe rifatta da capo.</w:t>
      </w:r>
    </w:p>
    <w:p>
      <w:pPr>
        <w:spacing w:after="120" w:line="276"/>
        <w:jc w:val="both"/>
      </w:pPr>
      <w:r>
        <w:rPr>
          <w:rFonts w:ascii="Barlow Semi Condensed" w:cs="Barlow Semi Condensed" w:eastAsia="Barlow Semi Condensed" w:hAnsi="Barlow Semi Condensed"/>
          <w:b/>
          <w:bCs/>
          <w:sz w:val="24"/>
          <w:szCs w:val="24"/>
        </w:rPr>
        <w:t xml:space="preserve">3859 · Che cosa questa serie non ha stabilito (serie L).</w:t>
      </w:r>
      <w:r>
        <w:rPr>
          <w:rFonts w:ascii="Barlow Semi Condensed" w:cs="Barlow Semi Condensed" w:eastAsia="Barlow Semi Condensed" w:hAnsi="Barlow Semi Condensed"/>
          <w:sz w:val="24"/>
          <w:szCs w:val="24"/>
        </w:rPr>
        <w:t xml:space="preserve"> Nulla è stabilito sul contenuto del presunto avvertimento, che resta testimonianza contestata e tale rimane. Nulla è stabilito, in positivo o in negativo, sulle intenzioni di chicchessia. Non è stabilito che l'assenza del nome dal territorio provi qualcosa sul 1978: prova soltanto che due cantieri costruiti su cinque giudicati e su un fascicolo sulle presenze non ne avevano bisogno. E nessuna responsabilità penale è affermata, perché nessuna ne risulta accertata.</w:t>
      </w:r>
    </w:p>
    <w:p>
      <w:pPr>
        <w:spacing w:after="120" w:line="276"/>
        <w:jc w:val="both"/>
      </w:pPr>
      <w:r>
        <w:rPr>
          <w:rFonts w:ascii="Barlow Semi Condensed" w:cs="Barlow Semi Condensed" w:eastAsia="Barlow Semi Condensed" w:hAnsi="Barlow Semi Condensed"/>
          <w:b/>
          <w:bCs/>
          <w:sz w:val="24"/>
          <w:szCs w:val="24"/>
        </w:rPr>
        <w:t xml:space="preserve">3860 · Il congedo della serie.</w:t>
      </w:r>
      <w:r>
        <w:rPr>
          <w:rFonts w:ascii="Barlow Semi Condensed" w:cs="Barlow Semi Condensed" w:eastAsia="Barlow Semi Condensed" w:hAnsi="Barlow Semi Condensed"/>
          <w:sz w:val="24"/>
          <w:szCs w:val="24"/>
        </w:rPr>
        <w:t xml:space="preserve"> Il territorio ha risposto in modo compatto: novanta blocchi di registro e centoventi di fascicolo non contengono il nome, e questo è il risultato corretto e atteso. In cambio ha consegnato ciò che poche altre parti dell'opera possiedono, cioè gli indirizzi che chiuderebbero i quesiti aperti — gli atti digitalizzati della Corte d'assise di Roma, gli stenografici della Camera, i due file della Ford Library. Il vuoto è misurato; le sedi sono nominate.</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Serie cinquantunesima — Il meridiano e la valle: il Libro quattordicesimo</w:t>
      </w:r>
    </w:p>
    <w:p>
      <w:pPr>
        <w:spacing w:after="120" w:line="276"/>
        <w:jc w:val="both"/>
      </w:pPr>
      <w:r>
        <w:rPr>
          <w:rFonts w:ascii="Barlow Semi Condensed" w:cs="Barlow Semi Condensed" w:eastAsia="Barlow Semi Condensed" w:hAnsi="Barlow Semi Condensed"/>
          <w:i/>
          <w:iCs/>
          <w:sz w:val="24"/>
          <w:szCs w:val="24"/>
        </w:rPr>
        <w:t xml:space="preserve">Blocchi 3861-3930.</w:t>
      </w:r>
    </w:p>
    <w:p>
      <w:pPr>
        <w:spacing w:after="120" w:line="276"/>
        <w:jc w:val="both"/>
      </w:pPr>
      <w:r>
        <w:rPr>
          <w:rFonts w:ascii="Barlow Semi Condensed" w:cs="Barlow Semi Condensed" w:eastAsia="Barlow Semi Condensed" w:hAnsi="Barlow Semi Condensed"/>
          <w:b/>
          <w:bCs/>
          <w:sz w:val="24"/>
          <w:szCs w:val="24"/>
        </w:rPr>
        <w:t xml:space="preserve">3861 · Diciotto occorrenze, contate.</w:t>
      </w:r>
      <w:r>
        <w:rPr>
          <w:rFonts w:ascii="Barlow Semi Condensed" w:cs="Barlow Semi Condensed" w:eastAsia="Barlow Semi Condensed" w:hAnsi="Barlow Semi Condensed"/>
          <w:sz w:val="24"/>
          <w:szCs w:val="24"/>
        </w:rPr>
        <w:t xml:space="preserve"> Il Libro quattordicesimo del corpus, «Il meridiano e la valle», nomina Henry Kissinger diciotto volte in mille blocchi: diciassette dentro i blocchi 2, 35, 44, 242, 247, 285, 295, 402, 405, 466, 692, 696, 701, 779, 839, 934 e 974, la diciottesima nel colophon di chiusura. La verifica è meccanica e ripetibile su il-meridiano-e-la-valle-mille-blocchi.md. È il punto di partenza di questa serie, e va contato prima di essere interpretato.</w:t>
      </w:r>
    </w:p>
    <w:p>
      <w:pPr>
        <w:spacing w:after="120" w:line="276"/>
        <w:jc w:val="both"/>
      </w:pPr>
      <w:r>
        <w:rPr>
          <w:rFonts w:ascii="Barlow Semi Condensed" w:cs="Barlow Semi Condensed" w:eastAsia="Barlow Semi Condensed" w:hAnsi="Barlow Semi Condensed"/>
          <w:b/>
          <w:bCs/>
          <w:sz w:val="24"/>
          <w:szCs w:val="24"/>
        </w:rPr>
        <w:t xml:space="preserve">3862 · Che cosa quelle diciassette dicono.</w:t>
      </w:r>
      <w:r>
        <w:rPr>
          <w:rFonts w:ascii="Barlow Semi Condensed" w:cs="Barlow Semi Condensed" w:eastAsia="Barlow Semi Condensed" w:hAnsi="Barlow Semi Condensed"/>
          <w:sz w:val="24"/>
          <w:szCs w:val="24"/>
        </w:rPr>
        <w:t xml:space="preserve"> Passate in rassegna una per una, sedici delle diciassette occorrenze richiamano l'opera Kissinger come metodo — l'anello debole, il carattere condiviso, l'albero letto all'indietro, la barriera della Farnesina — e una sola, il blocco 402, la richiama per contenuto, elencando Angola e Cile fra gli archi statali documentati. Nel Libro quattordicesimo il nome funziona da metro di misura e quasi mai da oggetto d'indagine.</w:t>
      </w:r>
    </w:p>
    <w:p>
      <w:pPr>
        <w:spacing w:after="120" w:line="276"/>
        <w:jc w:val="both"/>
      </w:pPr>
      <w:r>
        <w:rPr>
          <w:rFonts w:ascii="Barlow Semi Condensed" w:cs="Barlow Semi Condensed" w:eastAsia="Barlow Semi Condensed" w:hAnsi="Barlow Semi Condensed"/>
          <w:b/>
          <w:bCs/>
          <w:sz w:val="24"/>
          <w:szCs w:val="24"/>
        </w:rPr>
        <w:t xml:space="preserve">3863 · Africa: zero occorrenze.</w:t>
      </w:r>
      <w:r>
        <w:rPr>
          <w:rFonts w:ascii="Barlow Semi Condensed" w:cs="Barlow Semi Condensed" w:eastAsia="Barlow Semi Condensed" w:hAnsi="Barlow Semi Condensed"/>
          <w:sz w:val="24"/>
          <w:szCs w:val="24"/>
        </w:rPr>
        <w:t xml:space="preserve"> Rovesciata la direzione, l'esito è più netto. Nel file kissinger-mille-blocchi-il-codice-e-la-sua-trasmissione.md la stringa «Africa» non compare mai: zero riscontri in mille blocchi, e con essa zero per Sudafrica, apartheid, Namibia, Rössing, Pretoria, Swakopmund, Botha, uranio. Il blocco 466 del Libro quattordicesimo lo dichiarava; questa serie lo ha rieseguito e lo conferma. Stato Zero misurato, non supposto.</w:t>
      </w:r>
    </w:p>
    <w:p>
      <w:pPr>
        <w:spacing w:after="120" w:line="276"/>
        <w:jc w:val="both"/>
      </w:pPr>
      <w:r>
        <w:rPr>
          <w:rFonts w:ascii="Barlow Semi Condensed" w:cs="Barlow Semi Condensed" w:eastAsia="Barlow Semi Condensed" w:hAnsi="Barlow Semi Condensed"/>
          <w:b/>
          <w:bCs/>
          <w:sz w:val="24"/>
          <w:szCs w:val="24"/>
        </w:rPr>
        <w:t xml:space="preserve">3864 · Cercare Angola senza confini.</w:t>
      </w:r>
      <w:r>
        <w:rPr>
          <w:rFonts w:ascii="Barlow Semi Condensed" w:cs="Barlow Semi Condensed" w:eastAsia="Barlow Semi Condensed" w:hAnsi="Barlow Semi Condensed"/>
          <w:sz w:val="24"/>
          <w:szCs w:val="24"/>
        </w:rPr>
        <w:t xml:space="preserve"> Cercare «Angola» senza i confini di parola restituisce, nell'opera Kissinger, trentasei riscontri: nessuno reale, perché tutti stanno dentro «triangolazione». Il blocco 401 del Libro quattordicesimo insegna il meccanismo sul proprio file; questa serie l'ha replicato sull'altro con esito identico. Chi verificasse la presenza dell'Africa australe in quell'opera senza l'opzione attiva otterrebbe una conferma inesistente, e la scriverebbe.</w:t>
      </w:r>
    </w:p>
    <w:p>
      <w:pPr>
        <w:spacing w:after="120" w:line="276"/>
        <w:jc w:val="both"/>
      </w:pPr>
      <w:r>
        <w:rPr>
          <w:rFonts w:ascii="Barlow Semi Condensed" w:cs="Barlow Semi Condensed" w:eastAsia="Barlow Semi Condensed" w:hAnsi="Barlow Semi Condensed"/>
          <w:b/>
          <w:bCs/>
          <w:sz w:val="24"/>
          <w:szCs w:val="24"/>
        </w:rPr>
        <w:t xml:space="preserve">3865 · La diagnosi prima dell'interpretazione.</w:t>
      </w:r>
      <w:r>
        <w:rPr>
          <w:rFonts w:ascii="Barlow Semi Condensed" w:cs="Barlow Semi Condensed" w:eastAsia="Barlow Semi Condensed" w:hAnsi="Barlow Semi Condensed"/>
          <w:sz w:val="24"/>
          <w:szCs w:val="24"/>
        </w:rPr>
        <w:t xml:space="preserve"> Prima di interrogare quel silenzio va applicata la procedura a due tempi fissata al blocco 642 dell'opera Kissinger e ripresa al blocco 467 del Libro quattordicesimo: si misura il vuoto, poi lo si diagnostica come specializzazione delle fonti. L'opera Kissinger fu costruita su carte italiane e atlantiche relative a un solo caso giudiziario. L'assenza dell'Africa australe è bibliografica prima di essere strutturale.</w:t>
      </w:r>
    </w:p>
    <w:p>
      <w:pPr>
        <w:spacing w:after="120" w:line="276"/>
        <w:jc w:val="both"/>
      </w:pPr>
      <w:r>
        <w:rPr>
          <w:rFonts w:ascii="Barlow Semi Condensed" w:cs="Barlow Semi Condensed" w:eastAsia="Barlow Semi Condensed" w:hAnsi="Barlow Semi Condensed"/>
          <w:b/>
          <w:bCs/>
          <w:sz w:val="24"/>
          <w:szCs w:val="24"/>
        </w:rPr>
        <w:t xml:space="preserve">3866 · Il verbale del 1974 prestato come regola.</w:t>
      </w:r>
      <w:r>
        <w:rPr>
          <w:rFonts w:ascii="Barlow Semi Condensed" w:cs="Barlow Semi Condensed" w:eastAsia="Barlow Semi Condensed" w:hAnsi="Barlow Semi Condensed"/>
          <w:sz w:val="24"/>
          <w:szCs w:val="24"/>
        </w:rPr>
        <w:t xml:space="preserve"> Al blocco 44 il Libro quattordicesimo adotta come esempio di metodo l'accertamento del corpus sul verbale dello Studio Ovale del 25 settembre 1974 — FRUS 1969-1976 E-15 parte 2, documento 350, seconda edizione riveduta, file 1552802 della Ford Library — dove la frase più citata non compare. La lezione trasferita è che testimonianza e documento non coincidono, e vale sulle dichiarazioni dei viventi del territorio.</w:t>
      </w:r>
    </w:p>
    <w:p>
      <w:pPr>
        <w:spacing w:after="120" w:line="276"/>
        <w:jc w:val="both"/>
      </w:pPr>
      <w:r>
        <w:rPr>
          <w:rFonts w:ascii="Barlow Semi Condensed" w:cs="Barlow Semi Condensed" w:eastAsia="Barlow Semi Condensed" w:hAnsi="Barlow Semi Condensed"/>
          <w:b/>
          <w:bCs/>
          <w:sz w:val="24"/>
          <w:szCs w:val="24"/>
        </w:rPr>
        <w:t xml:space="preserve">3867 · L'anello debole prestato ai lignaggi.</w:t>
      </w:r>
      <w:r>
        <w:rPr>
          <w:rFonts w:ascii="Barlow Semi Condensed" w:cs="Barlow Semi Condensed" w:eastAsia="Barlow Semi Condensed" w:hAnsi="Barlow Semi Condensed"/>
          <w:sz w:val="24"/>
          <w:szCs w:val="24"/>
        </w:rPr>
        <w:t xml:space="preserve"> Dal blocco 169 dell'opera Kissinger il Libro quattordicesimo preleva, al proprio blocco 295, la regola dell'anello debole e la applica al sangue: una discendenza vale il suo passaggio più debole. Il prestito è dichiarato e corretto. Chi voglia contestarlo deve mostrare una catena genealogica in cui un anello congetturale non abbassi il grado dell'insieme; nessuna delle linee sudafricane della quarta serie offre quel controesempio.</w:t>
      </w:r>
    </w:p>
    <w:p>
      <w:pPr>
        <w:spacing w:after="120" w:line="276"/>
        <w:jc w:val="both"/>
      </w:pPr>
      <w:r>
        <w:rPr>
          <w:rFonts w:ascii="Barlow Semi Condensed" w:cs="Barlow Semi Condensed" w:eastAsia="Barlow Semi Condensed" w:hAnsi="Barlow Semi Condensed"/>
          <w:b/>
          <w:bCs/>
          <w:sz w:val="24"/>
          <w:szCs w:val="24"/>
        </w:rPr>
        <w:t xml:space="preserve">3868 · Il carattere condiviso non individua (serie LI).</w:t>
      </w:r>
      <w:r>
        <w:rPr>
          <w:rFonts w:ascii="Barlow Semi Condensed" w:cs="Barlow Semi Condensed" w:eastAsia="Barlow Semi Condensed" w:hAnsi="Barlow Semi Condensed"/>
          <w:sz w:val="24"/>
          <w:szCs w:val="24"/>
        </w:rPr>
        <w:t xml:space="preserve"> Un passaporto sudafricano è dichiarato, al blocco 247, carattere che non seleziona alcun gruppo, e la fonte esplicita è il blocco 396 dell'opera Kissinger sulla cladistica. Il prestito regge perché la struttura è identica: un tratto posseduto da milioni non individua. Bersaglio di smentita rovesciato: esibire un carattere raro e arbitrario, condiviso dai soli nomi del Libro quattordicesimo, e la classificazione cambierebbe.</w:t>
      </w:r>
    </w:p>
    <w:p>
      <w:pPr>
        <w:spacing w:after="120" w:line="276"/>
        <w:jc w:val="both"/>
      </w:pPr>
      <w:r>
        <w:rPr>
          <w:rFonts w:ascii="Barlow Semi Condensed" w:cs="Barlow Semi Condensed" w:eastAsia="Barlow Semi Condensed" w:hAnsi="Barlow Semi Condensed"/>
          <w:b/>
          <w:bCs/>
          <w:sz w:val="24"/>
          <w:szCs w:val="24"/>
        </w:rPr>
        <w:t xml:space="preserve">3869 · Il memorandum del 1969 ha un numero.</w:t>
      </w:r>
      <w:r>
        <w:rPr>
          <w:rFonts w:ascii="Barlow Semi Condensed" w:cs="Barlow Semi Condensed" w:eastAsia="Barlow Semi Condensed" w:hAnsi="Barlow Semi Condensed"/>
          <w:sz w:val="24"/>
          <w:szCs w:val="24"/>
        </w:rPr>
        <w:t xml:space="preserve"> I blocchi 466 e 779 evocano «lo studio americano sulla politica verso l'Africa australe del 1969» senza mai numerarlo. Il quesito da portare in sede è elementare: acquisire il memorandum di studio per la sicurezza nazionale che lo dispose, datato aprile 1969, con numero, data esatta e firma, e verbalizzare se rechi la sottoscrizione dell'Assistente per la sicurezza nazionale in carica dal 20 gennaio 1969.</w:t>
      </w:r>
    </w:p>
    <w:p>
      <w:pPr>
        <w:spacing w:after="120" w:line="276"/>
        <w:jc w:val="both"/>
      </w:pPr>
      <w:r>
        <w:rPr>
          <w:rFonts w:ascii="Barlow Semi Condensed" w:cs="Barlow Semi Condensed" w:eastAsia="Barlow Semi Condensed" w:hAnsi="Barlow Semi Condensed"/>
          <w:b/>
          <w:bCs/>
          <w:sz w:val="24"/>
          <w:szCs w:val="24"/>
        </w:rPr>
        <w:t xml:space="preserve">3870 · Il memorandum decisionale del 1970.</w:t>
      </w:r>
      <w:r>
        <w:rPr>
          <w:rFonts w:ascii="Barlow Semi Condensed" w:cs="Barlow Semi Condensed" w:eastAsia="Barlow Semi Condensed" w:hAnsi="Barlow Semi Condensed"/>
          <w:sz w:val="24"/>
          <w:szCs w:val="24"/>
        </w:rPr>
        <w:t xml:space="preserve"> Allo studio seguì una decisione, e il Libro quattordicesimo la nomina soltanto per perifrasi. La ricerca deve procurarsi il memorandum decisionale del gennaio 1970 che scelse fra le opzioni predisposte, leggerne il dispositivo e non il soprannome giornalistico che lo accompagna da decenni. Un'opzione di politica estera si cita dal testo deliberato; l'etichetta appiccicata dopo è materia di lessico, non di archivio.</w:t>
      </w:r>
    </w:p>
    <w:p>
      <w:pPr>
        <w:spacing w:after="120" w:line="276"/>
        <w:jc w:val="both"/>
      </w:pPr>
      <w:r>
        <w:rPr>
          <w:rFonts w:ascii="Barlow Semi Condensed" w:cs="Barlow Semi Condensed" w:eastAsia="Barlow Semi Condensed" w:hAnsi="Barlow Semi Condensed"/>
          <w:b/>
          <w:bCs/>
          <w:sz w:val="24"/>
          <w:szCs w:val="24"/>
        </w:rPr>
        <w:t xml:space="preserve">3871 · Yorba Linda, gli institutional files.</w:t>
      </w:r>
      <w:r>
        <w:rPr>
          <w:rFonts w:ascii="Barlow Semi Condensed" w:cs="Barlow Semi Condensed" w:eastAsia="Barlow Semi Condensed" w:hAnsi="Barlow Semi Condensed"/>
          <w:sz w:val="24"/>
          <w:szCs w:val="24"/>
        </w:rPr>
        <w:t xml:space="preserve"> La sede che chiude i due quesiti precedenti ha un indirizzo: la Richard Nixon Presidential Library di Yorba Linda, in California, dove sono conservati gli institutional files del Consiglio per la sicurezza nazionale, serie che raccoglie memorandum di studio, verbali dei gruppi di revisione e memorandum decisionali. È sede pubblica, con inventari in rete. Nessun blocco del Libro quattordicesimo la nomina, e il territorio ne aveva bisogno.</w:t>
      </w:r>
    </w:p>
    <w:p>
      <w:pPr>
        <w:spacing w:after="120" w:line="276"/>
        <w:jc w:val="both"/>
      </w:pPr>
      <w:r>
        <w:rPr>
          <w:rFonts w:ascii="Barlow Semi Condensed" w:cs="Barlow Semi Condensed" w:eastAsia="Barlow Semi Condensed" w:hAnsi="Barlow Semi Condensed"/>
          <w:b/>
          <w:bCs/>
          <w:sz w:val="24"/>
          <w:szCs w:val="24"/>
        </w:rPr>
        <w:t xml:space="preserve">3872 · Il volume FRUS che il corpus non cita.</w:t>
      </w:r>
      <w:r>
        <w:rPr>
          <w:rFonts w:ascii="Barlow Semi Condensed" w:cs="Barlow Semi Condensed" w:eastAsia="Barlow Semi Condensed" w:hAnsi="Barlow Semi Condensed"/>
          <w:sz w:val="24"/>
          <w:szCs w:val="24"/>
        </w:rPr>
        <w:t xml:space="preserve"> Citato con precisione per il verbale italiano del 1974, il volume FRUS 1969-1976 E-15 parte 2 ha un gemello che il corpus non nomina mai: quello della stessa serie dedicato all'Africa australe. Bersaglio a costo nullo: acquisirne segnatura, anno e indice dei documenti, verificare quali rechino la firma o la presenza del Segretario di Stato, allegare l'elenco al Libro quattordicesimo come apparato mancante.</w:t>
      </w:r>
    </w:p>
    <w:p>
      <w:pPr>
        <w:spacing w:after="120" w:line="276"/>
        <w:jc w:val="both"/>
      </w:pPr>
      <w:r>
        <w:rPr>
          <w:rFonts w:ascii="Barlow Semi Condensed" w:cs="Barlow Semi Condensed" w:eastAsia="Barlow Semi Condensed" w:hAnsi="Barlow Semi Condensed"/>
          <w:b/>
          <w:bCs/>
          <w:sz w:val="24"/>
          <w:szCs w:val="24"/>
        </w:rPr>
        <w:t xml:space="preserve">3873 · Un piano uno che non tocca nessuno.</w:t>
      </w:r>
      <w:r>
        <w:rPr>
          <w:rFonts w:ascii="Barlow Semi Condensed" w:cs="Barlow Semi Condensed" w:eastAsia="Barlow Semi Condensed" w:hAnsi="Barlow Semi Condensed"/>
          <w:sz w:val="24"/>
          <w:szCs w:val="24"/>
        </w:rPr>
        <w:t xml:space="preserve"> Se quei due memorandum recano la firma attesa, fra il nome di questa campagna e il territorio del Libro quattordicesimo esiste un rapporto diretto documentato: piano uno. Va però detto subito che cosa quel piano uno raggiunga. Raggiunge una politica statale verso una regione, negli anni 1969-1970. Non raggiunge Rössing, non raggiunge Swakopmund, non raggiunge alcuna delle persone viventi che quell'opera nomina.</w:t>
      </w:r>
    </w:p>
    <w:p>
      <w:pPr>
        <w:spacing w:after="120" w:line="276"/>
        <w:jc w:val="both"/>
      </w:pPr>
      <w:r>
        <w:rPr>
          <w:rFonts w:ascii="Barlow Semi Condensed" w:cs="Barlow Semi Condensed" w:eastAsia="Barlow Semi Condensed" w:hAnsi="Barlow Semi Condensed"/>
          <w:b/>
          <w:bCs/>
          <w:sz w:val="24"/>
          <w:szCs w:val="24"/>
        </w:rPr>
        <w:t xml:space="preserve">3874 · Che cosa smentirebbe la firma.</w:t>
      </w:r>
      <w:r>
        <w:rPr>
          <w:rFonts w:ascii="Barlow Semi Condensed" w:cs="Barlow Semi Condensed" w:eastAsia="Barlow Semi Condensed" w:hAnsi="Barlow Semi Condensed"/>
          <w:sz w:val="24"/>
          <w:szCs w:val="24"/>
        </w:rPr>
        <w:t xml:space="preserve"> Dichiarato in anticipo, come vuole il blocco 191, il bersaglio di smentita del quesito precedente suona così: se il memorandum di studio risultasse emesso dal segretariato esecutivo senza sottoscrizione dell'Assistente, o se il memorandum decisionale portasse altra firma, il nesso scenderebbe da rapporto diretto a cornice istituzionale. La verifica è tipografica e si compie sulla riproduzione facsimile, non sulla trascrizione editoriale.</w:t>
      </w:r>
    </w:p>
    <w:p>
      <w:pPr>
        <w:spacing w:after="120" w:line="276"/>
        <w:jc w:val="both"/>
      </w:pPr>
      <w:r>
        <w:rPr>
          <w:rFonts w:ascii="Barlow Semi Condensed" w:cs="Barlow Semi Condensed" w:eastAsia="Barlow Semi Condensed" w:hAnsi="Barlow Semi Condensed"/>
          <w:b/>
          <w:bCs/>
          <w:sz w:val="24"/>
          <w:szCs w:val="24"/>
        </w:rPr>
        <w:t xml:space="preserve">3875 · Il 27 settembre 1974, coordinata.</w:t>
      </w:r>
      <w:r>
        <w:rPr>
          <w:rFonts w:ascii="Barlow Semi Condensed" w:cs="Barlow Semi Condensed" w:eastAsia="Barlow Semi Condensed" w:hAnsi="Barlow Semi Condensed"/>
          <w:sz w:val="24"/>
          <w:szCs w:val="24"/>
        </w:rPr>
        <w:t xml:space="preserve"> Il giorno in cui il Consiglio delle Nazioni Unite per la Namibia adottò il Decreto n. 1 — blocchi 163, 349 e 407 — la carica di Segretario di Stato era occupata dal 22 settembre 1973. La coincidenza è una coordinata cronologica e nient'altro, secondo la regola del blocco 960: una data non argomenta. Si registra perché serve a datare i quesiti che seguono, non a suggerirne l'esito.</w:t>
      </w:r>
    </w:p>
    <w:p>
      <w:pPr>
        <w:spacing w:after="120" w:line="276"/>
        <w:jc w:val="both"/>
      </w:pPr>
      <w:r>
        <w:rPr>
          <w:rFonts w:ascii="Barlow Semi Condensed" w:cs="Barlow Semi Condensed" w:eastAsia="Barlow Semi Condensed" w:hAnsi="Barlow Semi Condensed"/>
          <w:b/>
          <w:bCs/>
          <w:sz w:val="24"/>
          <w:szCs w:val="24"/>
        </w:rPr>
        <w:t xml:space="preserve">3876 · Il voto americano sul Decreto.</w:t>
      </w:r>
      <w:r>
        <w:rPr>
          <w:rFonts w:ascii="Barlow Semi Condensed" w:cs="Barlow Semi Condensed" w:eastAsia="Barlow Semi Condensed" w:hAnsi="Barlow Semi Condensed"/>
          <w:sz w:val="24"/>
          <w:szCs w:val="24"/>
        </w:rPr>
        <w:t xml:space="preserve"> Quesito completato. Il blocco 350 chiede il dettaglio del voto con cui l'Assemblea Generale fece proprio il Decreto n. 1 nel dicembre 1974; questa serie vi aggiunge l'estrazione, dal resoconto stenografico, della posizione della delegazione statunitense e della sua dichiarazione di voto, e, a College Park, del telegramma d'istruzione che la precedette. L'esito, quale che sia, va pubblicato.</w:t>
      </w:r>
    </w:p>
    <w:p>
      <w:pPr>
        <w:spacing w:after="120" w:line="276"/>
        <w:jc w:val="both"/>
      </w:pPr>
      <w:r>
        <w:rPr>
          <w:rFonts w:ascii="Barlow Semi Condensed" w:cs="Barlow Semi Condensed" w:eastAsia="Barlow Semi Condensed" w:hAnsi="Barlow Semi Condensed"/>
          <w:b/>
          <w:bCs/>
          <w:sz w:val="24"/>
          <w:szCs w:val="24"/>
        </w:rPr>
        <w:t xml:space="preserve">3877 · La quota iraniana e chi la vide.</w:t>
      </w:r>
      <w:r>
        <w:rPr>
          <w:rFonts w:ascii="Barlow Semi Condensed" w:cs="Barlow Semi Condensed" w:eastAsia="Barlow Semi Condensed" w:hAnsi="Barlow Semi Condensed"/>
          <w:sz w:val="24"/>
          <w:szCs w:val="24"/>
        </w:rPr>
        <w:t xml:space="preserve"> Fra i soci di minoranza di Rössing il blocco 342 registra un veicolo statale iraniano entrato sotto la monarchia e rimasto nella compagine dopo il 1979. Quesito nuovo, che il Libro quattordicesimo non poteva formulare: le carte diplomatiche statunitensi degli anni 1974-1977 trattano quella partecipazione? La sede è la banca dati dei telegrammi del Dipartimento di Stato a College Park, interrogabile per parola e per data.</w:t>
      </w:r>
    </w:p>
    <w:p>
      <w:pPr>
        <w:spacing w:after="120" w:line="276"/>
        <w:jc w:val="both"/>
      </w:pPr>
      <w:r>
        <w:rPr>
          <w:rFonts w:ascii="Barlow Semi Condensed" w:cs="Barlow Semi Condensed" w:eastAsia="Barlow Semi Condensed" w:hAnsi="Barlow Semi Condensed"/>
          <w:b/>
          <w:bCs/>
          <w:sz w:val="24"/>
          <w:szCs w:val="24"/>
        </w:rPr>
        <w:t xml:space="preserve">3878 · La società statale nella compagine.</w:t>
      </w:r>
      <w:r>
        <w:rPr>
          <w:rFonts w:ascii="Barlow Semi Condensed" w:cs="Barlow Semi Condensed" w:eastAsia="Barlow Semi Condensed" w:hAnsi="Barlow Semi Condensed"/>
          <w:sz w:val="24"/>
          <w:szCs w:val="24"/>
        </w:rPr>
        <w:t xml:space="preserve"> Definita al blocco 343 il legame formale più diretto fra l'impianto namibiano e Pretoria, la presenza della società sudafricana per lo sviluppo industriale fra gli azionisti genera un quesito rivolto a Washington: quel legame compare nella documentazione consolare o commerciale americana del periodo? Se non compare, lo Stato Zero si scrive; se compare, resta un fatto societario fra enti e non diventa una committenza.</w:t>
      </w:r>
    </w:p>
    <w:p>
      <w:pPr>
        <w:spacing w:after="120" w:line="276"/>
        <w:jc w:val="both"/>
      </w:pPr>
      <w:r>
        <w:rPr>
          <w:rFonts w:ascii="Barlow Semi Condensed" w:cs="Barlow Semi Condensed" w:eastAsia="Barlow Semi Condensed" w:hAnsi="Barlow Semi Condensed"/>
          <w:b/>
          <w:bCs/>
          <w:sz w:val="24"/>
          <w:szCs w:val="24"/>
        </w:rPr>
        <w:t xml:space="preserve">3879 · L'Aia 1971 e l'esposizione scritta.</w:t>
      </w:r>
      <w:r>
        <w:rPr>
          <w:rFonts w:ascii="Barlow Semi Condensed" w:cs="Barlow Semi Condensed" w:eastAsia="Barlow Semi Condensed" w:hAnsi="Barlow Semi Condensed"/>
          <w:sz w:val="24"/>
          <w:szCs w:val="24"/>
        </w:rPr>
        <w:t xml:space="preserve"> Preceduto da una fase scritta e orale, il parere consultivo del 21 giugno 1971 — cardine dei blocchi 162, 351, 408 e 950 — ammetteva il concorso degli Stati partecipanti. Bersaglio preciso: verificare nei Pleadings, Oral Arguments, Documents della Corte se il governo statunitense depositò un'esposizione e chi la firmò. Il volume è a stampa, sta nelle biblioteche di diritto internazionale, e nessuno lo ha aperto per questa domanda.</w:t>
      </w:r>
    </w:p>
    <w:p>
      <w:pPr>
        <w:spacing w:after="120" w:line="276"/>
        <w:jc w:val="both"/>
      </w:pPr>
      <w:r>
        <w:rPr>
          <w:rFonts w:ascii="Barlow Semi Condensed" w:cs="Barlow Semi Condensed" w:eastAsia="Barlow Semi Condensed" w:hAnsi="Barlow Semi Condensed"/>
          <w:b/>
          <w:bCs/>
          <w:sz w:val="24"/>
          <w:szCs w:val="24"/>
        </w:rPr>
        <w:t xml:space="preserve">3880 · Nessun documento su Rössing.</w:t>
      </w:r>
      <w:r>
        <w:rPr>
          <w:rFonts w:ascii="Barlow Semi Condensed" w:cs="Barlow Semi Condensed" w:eastAsia="Barlow Semi Condensed" w:hAnsi="Barlow Semi Condensed"/>
          <w:sz w:val="24"/>
          <w:szCs w:val="24"/>
        </w:rPr>
        <w:t xml:space="preserve"> Va verbalizzato per intero uno Stato Zero: né nel corpus né in alcuna fonte raggiunta da questa campagna esiste un documento che nomini insieme Henry Kissinger e la Rössing Uranium Limited. Le sedi che lo chiuderebbero sono già elencate dal Libro quattordicesimo ai blocchi 347, 366 e 417 — Kew per i fascicoli energetici britannici, Windhoek per i registri minerari, Pretoria per l'ente atomico — cui va aggiunto College Park.</w:t>
      </w:r>
    </w:p>
    <w:p>
      <w:pPr>
        <w:spacing w:after="120" w:line="276"/>
        <w:jc w:val="both"/>
      </w:pPr>
      <w:r>
        <w:rPr>
          <w:rFonts w:ascii="Barlow Semi Condensed" w:cs="Barlow Semi Condensed" w:eastAsia="Barlow Semi Condensed" w:hAnsi="Barlow Semi Condensed"/>
          <w:b/>
          <w:bCs/>
          <w:sz w:val="24"/>
          <w:szCs w:val="24"/>
        </w:rPr>
        <w:t xml:space="preserve">3881 · Un contratto di lavoro non incontra un ministro.</w:t>
      </w:r>
      <w:r>
        <w:rPr>
          <w:rFonts w:ascii="Barlow Semi Condensed" w:cs="Barlow Semi Condensed" w:eastAsia="Barlow Semi Condensed" w:hAnsi="Barlow Semi Condensed"/>
          <w:sz w:val="24"/>
          <w:szCs w:val="24"/>
        </w:rPr>
        <w:t xml:space="preserve"> Stabilisce il blocco 954 che il rapporto di lavoro di Klaus Thiel presso un'impresa del cantiere è un fatto del dipendente e non del regime. Ne discende per questa serie un divieto ulteriore: nessun blocco può accostare quel contratto alla politica americana verso l'Africa australe, perché fra i due livelli manca il termine medio che il blocco 963 pretende e che nessun archivio ha finora fornito.</w:t>
      </w:r>
    </w:p>
    <w:p>
      <w:pPr>
        <w:spacing w:after="120" w:line="276"/>
        <w:jc w:val="both"/>
      </w:pPr>
      <w:r>
        <w:rPr>
          <w:rFonts w:ascii="Barlow Semi Condensed" w:cs="Barlow Semi Condensed" w:eastAsia="Barlow Semi Condensed" w:hAnsi="Barlow Semi Condensed"/>
          <w:b/>
          <w:bCs/>
          <w:sz w:val="24"/>
          <w:szCs w:val="24"/>
        </w:rPr>
        <w:t xml:space="preserve">3882 · Savannah e le carte americane.</w:t>
      </w:r>
      <w:r>
        <w:rPr>
          <w:rFonts w:ascii="Barlow Semi Condensed" w:cs="Barlow Semi Condensed" w:eastAsia="Barlow Semi Condensed" w:hAnsi="Barlow Semi Condensed"/>
          <w:sz w:val="24"/>
          <w:szCs w:val="24"/>
        </w:rPr>
        <w:t xml:space="preserve"> Collocata dal blocco 205 fra l'ottobre 1975 e il marzo 1976, l'operazione sudafricana in Angola rinvia ai fondi statunitensi declassificati. Il quesito che questa serie aggiunge è di perimetro: quali documenti americani di quei mesi trattano l'intervento sudafricano, con quale segnatura, e in quali di essi il nome della campagna compaia fra i presenti a una riunione. Domanda aperta, sede nominata, esito ignoto.</w:t>
      </w:r>
    </w:p>
    <w:p>
      <w:pPr>
        <w:spacing w:after="120" w:line="276"/>
        <w:jc w:val="both"/>
      </w:pPr>
      <w:r>
        <w:rPr>
          <w:rFonts w:ascii="Barlow Semi Condensed" w:cs="Barlow Semi Condensed" w:eastAsia="Barlow Semi Condensed" w:hAnsi="Barlow Semi Condensed"/>
          <w:b/>
          <w:bCs/>
          <w:sz w:val="24"/>
          <w:szCs w:val="24"/>
        </w:rPr>
        <w:t xml:space="preserve">3883 · Alvor, 15 gennaio 1975.</w:t>
      </w:r>
      <w:r>
        <w:rPr>
          <w:rFonts w:ascii="Barlow Semi Condensed" w:cs="Barlow Semi Condensed" w:eastAsia="Barlow Semi Condensed" w:hAnsi="Barlow Semi Condensed"/>
          <w:sz w:val="24"/>
          <w:szCs w:val="24"/>
        </w:rPr>
        <w:t xml:space="preserve"> L'unico punto del corpus in cui Angola e il nome di questa campagna stanno nella stessa cornice documentale è la scheda moro-ministro-esteri/originali/portogallo-santa-sede-1969-1974.md, che data l'accordo di Alvor al 15 gennaio 1975 e ne fissa la ratifica al 28. Quella scheda non nomina Kissinger a proposito dell'accordo: lo nomina a proposito di Helsinki. La distinzione va tenuta e non compressa.</w:t>
      </w:r>
    </w:p>
    <w:p>
      <w:pPr>
        <w:spacing w:after="120" w:line="276"/>
        <w:jc w:val="both"/>
      </w:pPr>
      <w:r>
        <w:rPr>
          <w:rFonts w:ascii="Barlow Semi Condensed" w:cs="Barlow Semi Condensed" w:eastAsia="Barlow Semi Condensed" w:hAnsi="Barlow Semi Condensed"/>
          <w:b/>
          <w:bCs/>
          <w:sz w:val="24"/>
          <w:szCs w:val="24"/>
        </w:rPr>
        <w:t xml:space="preserve">3884 · Il fondo Zagari, quesito allargato.</w:t>
      </w:r>
      <w:r>
        <w:rPr>
          <w:rFonts w:ascii="Barlow Semi Condensed" w:cs="Barlow Semi Condensed" w:eastAsia="Barlow Semi Condensed" w:hAnsi="Barlow Semi Condensed"/>
          <w:sz w:val="24"/>
          <w:szCs w:val="24"/>
        </w:rPr>
        <w:t xml:space="preserve"> Al fondo Mario Zagari, conservato all'Archivio storico del Senato a Roma, il blocco 403 pone una domanda che questa serie fa propria e allarga: oltre al fascicolo sulle colonie portoghesi, quel fondo conserva carte sull'embargo del 1977 o sulla politica americana verso Pretoria? L'inventario è consultabile in rete, la risposta si ottiene in sala, e l'esito negativo vale quanto quello positivo.</w:t>
      </w:r>
    </w:p>
    <w:p>
      <w:pPr>
        <w:spacing w:after="120" w:line="276"/>
        <w:jc w:val="both"/>
      </w:pPr>
      <w:r>
        <w:rPr>
          <w:rFonts w:ascii="Barlow Semi Condensed" w:cs="Barlow Semi Condensed" w:eastAsia="Barlow Semi Condensed" w:hAnsi="Barlow Semi Condensed"/>
          <w:b/>
          <w:bCs/>
          <w:sz w:val="24"/>
          <w:szCs w:val="24"/>
        </w:rPr>
        <w:t xml:space="preserve">3885 · Archi statali e verticali.</w:t>
      </w:r>
      <w:r>
        <w:rPr>
          <w:rFonts w:ascii="Barlow Semi Condensed" w:cs="Barlow Semi Condensed" w:eastAsia="Barlow Semi Condensed" w:hAnsi="Barlow Semi Condensed"/>
          <w:sz w:val="24"/>
          <w:szCs w:val="24"/>
        </w:rPr>
        <w:t xml:space="preserve"> In aldo-moro-una-guerra-senza-fine-parte-terza.md, al paragrafo sul salto vietato, il corpus scrive che gli archi documentati di Kissinger sono statali e verticali — Cile, Angola, i fondi ai servizi italiani — mentre verso l'eversione privata restano convergenze di cornice. È la formula che questa serie applica al proprio territorio: se un arco esiste, sarà statale, e non toccherà imprese californiane fondate vent'anni dopo.</w:t>
      </w:r>
    </w:p>
    <w:p>
      <w:pPr>
        <w:spacing w:after="120" w:line="276"/>
        <w:jc w:val="both"/>
      </w:pPr>
      <w:r>
        <w:rPr>
          <w:rFonts w:ascii="Barlow Semi Condensed" w:cs="Barlow Semi Condensed" w:eastAsia="Barlow Semi Condensed" w:hAnsi="Barlow Semi Condensed"/>
          <w:b/>
          <w:bCs/>
          <w:sz w:val="24"/>
          <w:szCs w:val="24"/>
        </w:rPr>
        <w:t xml:space="preserve">3886 · Che cosa falsificherebbe l'arco angolano.</w:t>
      </w:r>
      <w:r>
        <w:rPr>
          <w:rFonts w:ascii="Barlow Semi Condensed" w:cs="Barlow Semi Condensed" w:eastAsia="Barlow Semi Condensed" w:hAnsi="Barlow Semi Condensed"/>
          <w:sz w:val="24"/>
          <w:szCs w:val="24"/>
        </w:rPr>
        <w:t xml:space="preserve"> Rovescerebbe la lettura, e va dichiarato: se i documenti del 1975-1976 mostrassero che l'azione americana in Angola fu decisa, condotta e conclusa senza contatto con Pretoria, l'arco angolano resterebbe verticale e privo di ramificazione australe. Se mostrassero il contrario, si avrebbe un rapporto fra due Stati e nulla di più. In nessuno dei due casi il Libro quattordicesimo guadagna un ponte verso le persone che nomina.</w:t>
      </w:r>
    </w:p>
    <w:p>
      <w:pPr>
        <w:spacing w:after="120" w:line="276"/>
        <w:jc w:val="both"/>
      </w:pPr>
      <w:r>
        <w:rPr>
          <w:rFonts w:ascii="Barlow Semi Condensed" w:cs="Barlow Semi Condensed" w:eastAsia="Barlow Semi Condensed" w:hAnsi="Barlow Semi Condensed"/>
          <w:b/>
          <w:bCs/>
          <w:sz w:val="24"/>
          <w:szCs w:val="24"/>
        </w:rPr>
        <w:t xml:space="preserve">3887 · Pik Botha a New York e a Washington.</w:t>
      </w:r>
      <w:r>
        <w:rPr>
          <w:rFonts w:ascii="Barlow Semi Condensed" w:cs="Barlow Semi Condensed" w:eastAsia="Barlow Semi Condensed" w:hAnsi="Barlow Semi Condensed"/>
          <w:sz w:val="24"/>
          <w:szCs w:val="24"/>
        </w:rPr>
        <w:t xml:space="preserve"> Registra il blocco 99 che nel triennio precedente il ministero Pik Botha rappresentò il proprio Paese alle Nazioni Unite e a Washington. Quel triennio, 1974-1977, cade per intero dentro l'incarico di Segretario di Stato. È la sovrapposizione più stretta che il territorio offra fra il nome di questa campagna e un nome del Libro quattordicesimo, e per questo va trattata con la massima freddezza.</w:t>
      </w:r>
    </w:p>
    <w:p>
      <w:pPr>
        <w:spacing w:after="120" w:line="276"/>
        <w:jc w:val="both"/>
      </w:pPr>
      <w:r>
        <w:rPr>
          <w:rFonts w:ascii="Barlow Semi Condensed" w:cs="Barlow Semi Condensed" w:eastAsia="Barlow Semi Condensed" w:hAnsi="Barlow Semi Condensed"/>
          <w:b/>
          <w:bCs/>
          <w:sz w:val="24"/>
          <w:szCs w:val="24"/>
        </w:rPr>
        <w:t xml:space="preserve">3888 · College Park, gruppo di record 59.</w:t>
      </w:r>
      <w:r>
        <w:rPr>
          <w:rFonts w:ascii="Barlow Semi Condensed" w:cs="Barlow Semi Condensed" w:eastAsia="Barlow Semi Condensed" w:hAnsi="Barlow Semi Condensed"/>
          <w:sz w:val="24"/>
          <w:szCs w:val="24"/>
        </w:rPr>
        <w:t xml:space="preserve"> Nominabile con esattezza è la sede che verificherebbe quella sovrapposizione: i Central Foreign Policy Files del Dipartimento di Stato, gruppo di record 59, presso i National Archives di College Park, con i telegrammi dell'arco 1973-1977 interrogabili nella banca dati pubblica d'archivio. Il quesito è se esista un memorandum di conversazione che rechi entrambi i nomi, con data, luogo e presenti.</w:t>
      </w:r>
    </w:p>
    <w:p>
      <w:pPr>
        <w:spacing w:after="120" w:line="276"/>
        <w:jc w:val="both"/>
      </w:pPr>
      <w:r>
        <w:rPr>
          <w:rFonts w:ascii="Barlow Semi Condensed" w:cs="Barlow Semi Condensed" w:eastAsia="Barlow Semi Condensed" w:hAnsi="Barlow Semi Condensed"/>
          <w:b/>
          <w:bCs/>
          <w:sz w:val="24"/>
          <w:szCs w:val="24"/>
        </w:rPr>
        <w:t xml:space="preserve">3889 · Le trascrizioni telefoniche e la loro sede.</w:t>
      </w:r>
      <w:r>
        <w:rPr>
          <w:rFonts w:ascii="Barlow Semi Condensed" w:cs="Barlow Semi Condensed" w:eastAsia="Barlow Semi Condensed" w:hAnsi="Barlow Semi Condensed"/>
          <w:sz w:val="24"/>
          <w:szCs w:val="24"/>
        </w:rPr>
        <w:t xml:space="preserve"> Esiste una seconda serie, poco frequentata dalla pubblicistica italiana: le trascrizioni delle conversazioni telefoniche del Segretario di Stato, versate agli archivi federali dopo un contenzioso promosso dal National Security Archive, e le carte personali depositate alla Manuscript Division della Library of Congress con termini di consultabilità propri. Prima di chiedere occorre stabilire quale delle due serie copra l'anno cercato.</w:t>
      </w:r>
    </w:p>
    <w:p>
      <w:pPr>
        <w:spacing w:after="120" w:line="276"/>
        <w:jc w:val="both"/>
      </w:pPr>
      <w:r>
        <w:rPr>
          <w:rFonts w:ascii="Barlow Semi Condensed" w:cs="Barlow Semi Condensed" w:eastAsia="Barlow Semi Condensed" w:hAnsi="Barlow Semi Condensed"/>
          <w:b/>
          <w:bCs/>
          <w:sz w:val="24"/>
          <w:szCs w:val="24"/>
        </w:rPr>
        <w:t xml:space="preserve">3890 · Che cosa proverebbe un verbale.</w:t>
      </w:r>
      <w:r>
        <w:rPr>
          <w:rFonts w:ascii="Barlow Semi Condensed" w:cs="Barlow Semi Condensed" w:eastAsia="Barlow Semi Condensed" w:hAnsi="Barlow Semi Condensed"/>
          <w:sz w:val="24"/>
          <w:szCs w:val="24"/>
        </w:rPr>
        <w:t xml:space="preserve"> Immaginiamo l'esito favorevole: un verbale che nomini il Segretario di Stato e l'ambasciatore sudafricano, con data e ordine del giorno. Sarebbe piano uno, e sarebbe un rapporto fra due funzionari di due Stati nell'esercizio delle rispettive cariche. Il blocco 96 del Libro quattordicesimo lo dice già per la parentela: un ponte di piano uno resta un ponte fra due persone, non fra due sistemi.</w:t>
      </w:r>
    </w:p>
    <w:p>
      <w:pPr>
        <w:spacing w:after="120" w:line="276"/>
        <w:jc w:val="both"/>
      </w:pPr>
      <w:r>
        <w:rPr>
          <w:rFonts w:ascii="Barlow Semi Condensed" w:cs="Barlow Semi Condensed" w:eastAsia="Barlow Semi Condensed" w:hAnsi="Barlow Semi Condensed"/>
          <w:b/>
          <w:bCs/>
          <w:sz w:val="24"/>
          <w:szCs w:val="24"/>
        </w:rPr>
        <w:t xml:space="preserve">3891 · E che cosa non proverebbe.</w:t>
      </w:r>
      <w:r>
        <w:rPr>
          <w:rFonts w:ascii="Barlow Semi Condensed" w:cs="Barlow Semi Condensed" w:eastAsia="Barlow Semi Condensed" w:hAnsi="Barlow Semi Condensed"/>
          <w:sz w:val="24"/>
          <w:szCs w:val="24"/>
        </w:rPr>
        <w:t xml:space="preserve"> Soprattutto, non proverebbe nulla su Roelof Botha. I blocchi 685, 917 e 938 stabiliscono che la parentela col nonno è documentata e prova un rapporto di sangue: non un canale, non una raccomandazione, non una condivisione di vedute politiche. Un incontro diplomatico del 1975 fra il nonno e un Segretario di Stato americano è un fatto del nonno, e si ferma dove finisce lui.</w:t>
      </w:r>
    </w:p>
    <w:p>
      <w:pPr>
        <w:spacing w:after="120" w:line="276"/>
        <w:jc w:val="both"/>
      </w:pPr>
      <w:r>
        <w:rPr>
          <w:rFonts w:ascii="Barlow Semi Condensed" w:cs="Barlow Semi Condensed" w:eastAsia="Barlow Semi Condensed" w:hAnsi="Barlow Semi Condensed"/>
          <w:b/>
          <w:bCs/>
          <w:sz w:val="24"/>
          <w:szCs w:val="24"/>
        </w:rPr>
        <w:t xml:space="preserve">3892 · Il triplo veto del 30 ottobre 1974.</w:t>
      </w:r>
      <w:r>
        <w:rPr>
          <w:rFonts w:ascii="Barlow Semi Condensed" w:cs="Barlow Semi Condensed" w:eastAsia="Barlow Semi Condensed" w:hAnsi="Barlow Semi Condensed"/>
          <w:sz w:val="24"/>
          <w:szCs w:val="24"/>
        </w:rPr>
        <w:t xml:space="preserve"> Il veto del 30 ottobre 1974, con cui Francia, Regno Unito e Stati Uniti bloccarono il progetto di espulsione del Sud Africa dalle Nazioni Unite, è registrato al blocco 429. Il quesito derivato è documentale e non interpretativo: reperire l'istruzione trasmessa al rappresentante permanente e stabilire da quale ufficio partì. La sede è la medesima di College Park; l'appello nominale sta nel resoconto stenografico.</w:t>
      </w:r>
    </w:p>
    <w:p>
      <w:pPr>
        <w:spacing w:after="120" w:line="276"/>
        <w:jc w:val="both"/>
      </w:pPr>
      <w:r>
        <w:rPr>
          <w:rFonts w:ascii="Barlow Semi Condensed" w:cs="Barlow Semi Condensed" w:eastAsia="Barlow Semi Condensed" w:hAnsi="Barlow Semi Condensed"/>
          <w:b/>
          <w:bCs/>
          <w:sz w:val="24"/>
          <w:szCs w:val="24"/>
        </w:rPr>
        <w:t xml:space="preserve">3893 · Smentita sulla linea Botha.</w:t>
      </w:r>
      <w:r>
        <w:rPr>
          <w:rFonts w:ascii="Barlow Semi Condensed" w:cs="Barlow Semi Condensed" w:eastAsia="Barlow Semi Condensed" w:hAnsi="Barlow Semi Condensed"/>
          <w:sz w:val="24"/>
          <w:szCs w:val="24"/>
        </w:rPr>
        <w:t xml:space="preserve"> Chiuderebbe in negativo l'intera linea Botha uno spoglio integrale dei verbali di colloquio del Segretario di Stato per gli anni 1974-1977 che non restituisse alcun incontro con l'ambasciatore sudafricano. Sarebbe uno Stato Zero pesante e pubblicabile, e sottrarrebbe un argomento tanto a chi accusa quanto a chi difende, secondo la simmetria enunciata al blocco 992 del Libro quattordicesimo.</w:t>
      </w:r>
    </w:p>
    <w:p>
      <w:pPr>
        <w:spacing w:after="120" w:line="276"/>
        <w:jc w:val="both"/>
      </w:pPr>
      <w:r>
        <w:rPr>
          <w:rFonts w:ascii="Barlow Semi Condensed" w:cs="Barlow Semi Condensed" w:eastAsia="Barlow Semi Condensed" w:hAnsi="Barlow Semi Condensed"/>
          <w:b/>
          <w:bCs/>
          <w:sz w:val="24"/>
          <w:szCs w:val="24"/>
        </w:rPr>
        <w:t xml:space="preserve">3894 · Il 4 novembre 1977 cade fuori.</w:t>
      </w:r>
      <w:r>
        <w:rPr>
          <w:rFonts w:ascii="Barlow Semi Condensed" w:cs="Barlow Semi Condensed" w:eastAsia="Barlow Semi Condensed" w:hAnsi="Barlow Semi Condensed"/>
          <w:sz w:val="24"/>
          <w:szCs w:val="24"/>
        </w:rPr>
        <w:t xml:space="preserve"> Accertamento con grado dichiarato, e di grado alto. L'embargo obbligatorio della risoluzione 418, che i blocchi 225, 391 e 392 pongono al centro del territorio, fu adottato il 4 novembre 1977. L'incarico di Segretario di Stato era cessato il 20 gennaio 1977. Il provvedimento più importante del Libro quattordicesimo cade fuori dalla finestra istituzionale del nome, e nessuna interpretazione può riportarvelo dentro.</w:t>
      </w:r>
    </w:p>
    <w:p>
      <w:pPr>
        <w:spacing w:after="120" w:line="276"/>
        <w:jc w:val="both"/>
      </w:pPr>
      <w:r>
        <w:rPr>
          <w:rFonts w:ascii="Barlow Semi Condensed" w:cs="Barlow Semi Condensed" w:eastAsia="Barlow Semi Condensed" w:hAnsi="Barlow Semi Condensed"/>
          <w:b/>
          <w:bCs/>
          <w:sz w:val="24"/>
          <w:szCs w:val="24"/>
        </w:rPr>
        <w:t xml:space="preserve">3895 · Anche il Kalahari è fuori.</w:t>
      </w:r>
      <w:r>
        <w:rPr>
          <w:rFonts w:ascii="Barlow Semi Condensed" w:cs="Barlow Semi Condensed" w:eastAsia="Barlow Semi Condensed" w:hAnsi="Barlow Semi Condensed"/>
          <w:sz w:val="24"/>
          <w:szCs w:val="24"/>
        </w:rPr>
        <w:t xml:space="preserve"> Stessa operazione sui blocchi 188 e 413: il sito individuato nel deserto nell'agosto 1977 e i passi diplomatici che ne seguirono appartengono a un'amministrazione successiva. Chi cercasse in quelle carte la firma della campagna cercherebbe un documento che non può esistere. La verifica costa un minuto e previene l'anacronismo istituzionale denunciato al blocco 45, che su questa materia è l'errore più diffuso.</w:t>
      </w:r>
    </w:p>
    <w:p>
      <w:pPr>
        <w:spacing w:after="120" w:line="276"/>
        <w:jc w:val="both"/>
      </w:pPr>
      <w:r>
        <w:rPr>
          <w:rFonts w:ascii="Barlow Semi Condensed" w:cs="Barlow Semi Condensed" w:eastAsia="Barlow Semi Condensed" w:hAnsi="Barlow Semi Condensed"/>
          <w:b/>
          <w:bCs/>
          <w:sz w:val="24"/>
          <w:szCs w:val="24"/>
        </w:rPr>
        <w:t xml:space="preserve">3896 · Il lampo del 1979 e Atlanta.</w:t>
      </w:r>
      <w:r>
        <w:rPr>
          <w:rFonts w:ascii="Barlow Semi Condensed" w:cs="Barlow Semi Condensed" w:eastAsia="Barlow Semi Condensed" w:hAnsi="Barlow Semi Condensed"/>
          <w:sz w:val="24"/>
          <w:szCs w:val="24"/>
        </w:rPr>
        <w:t xml:space="preserve"> Al 22 settembre 1979 i blocchi 189 e 414 collocano l'evento Vela, indicandone i fascicoli alla biblioteca presidenziale Carter di Atlanta. Anche qui la finestra è chiusa da due anni e otto mesi. La divergenza scientifica sull'interpretazione del doppio lampo va riportata e non sciolta, come il corpus prescrive, ma non riguarda in alcun punto il nome di questa campagna.</w:t>
      </w:r>
    </w:p>
    <w:p>
      <w:pPr>
        <w:spacing w:after="120" w:line="276"/>
        <w:jc w:val="both"/>
      </w:pPr>
      <w:r>
        <w:rPr>
          <w:rFonts w:ascii="Barlow Semi Condensed" w:cs="Barlow Semi Condensed" w:eastAsia="Barlow Semi Condensed" w:hAnsi="Barlow Semi Condensed"/>
          <w:b/>
          <w:bCs/>
          <w:sz w:val="24"/>
          <w:szCs w:val="24"/>
        </w:rPr>
        <w:t xml:space="preserve">3897 · Un frontespizio mai aperto.</w:t>
      </w:r>
      <w:r>
        <w:rPr>
          <w:rFonts w:ascii="Barlow Semi Condensed" w:cs="Barlow Semi Condensed" w:eastAsia="Barlow Semi Condensed" w:hAnsi="Barlow Semi Condensed"/>
          <w:sz w:val="24"/>
          <w:szCs w:val="24"/>
        </w:rPr>
        <w:t xml:space="preserve"> Uno Stato Zero si chiuderebbe leggendo un frontespizio. Il Segretario di Stato insediò a metà degli anni Ottanta un comitato consultivo sull'Africa australe, il cui rapporto risulta pubblicato nel gennaio 1987. Questa campagna non ha accertato se il nome figuri fra i membri. L'elenco è stampato nelle prime pagine, reperibile nelle biblioteche depositarie federali: verifica di dieci minuti, mai eseguita da nessuno.</w:t>
      </w:r>
    </w:p>
    <w:p>
      <w:pPr>
        <w:spacing w:after="120" w:line="276"/>
        <w:jc w:val="both"/>
      </w:pPr>
      <w:r>
        <w:rPr>
          <w:rFonts w:ascii="Barlow Semi Condensed" w:cs="Barlow Semi Condensed" w:eastAsia="Barlow Semi Condensed" w:hAnsi="Barlow Semi Condensed"/>
          <w:b/>
          <w:bCs/>
          <w:sz w:val="24"/>
          <w:szCs w:val="24"/>
        </w:rPr>
        <w:t xml:space="preserve">3898 · Odendaal precede ogni incarico.</w:t>
      </w:r>
      <w:r>
        <w:rPr>
          <w:rFonts w:ascii="Barlow Semi Condensed" w:cs="Barlow Semi Condensed" w:eastAsia="Barlow Semi Condensed" w:hAnsi="Barlow Semi Condensed"/>
          <w:sz w:val="24"/>
          <w:szCs w:val="24"/>
        </w:rPr>
        <w:t xml:space="preserve"> La rettifica M-2 del Libro quattordicesimo riguarda la commissione presieduta da Fox Odendaal, indagine chiusa a fine 1963 e consegnata agli inizi del 1964. È l'atto che disegna la geografia dentro cui il blocco 940 colloca un bambino di otto anni. Precede di cinque anni ogni incarico del nome di questa campagna, e va tenuto fuori dal suo perimetro senza discussione.</w:t>
      </w:r>
    </w:p>
    <w:p>
      <w:pPr>
        <w:spacing w:after="120" w:line="276"/>
        <w:jc w:val="both"/>
      </w:pPr>
      <w:r>
        <w:rPr>
          <w:rFonts w:ascii="Barlow Semi Condensed" w:cs="Barlow Semi Condensed" w:eastAsia="Barlow Semi Condensed" w:hAnsi="Barlow Semi Condensed"/>
          <w:b/>
          <w:bCs/>
          <w:sz w:val="24"/>
          <w:szCs w:val="24"/>
        </w:rPr>
        <w:t xml:space="preserve">3899 · La finestra istituzionale, per intero.</w:t>
      </w:r>
      <w:r>
        <w:rPr>
          <w:rFonts w:ascii="Barlow Semi Condensed" w:cs="Barlow Semi Condensed" w:eastAsia="Barlow Semi Condensed" w:hAnsi="Barlow Semi Condensed"/>
          <w:sz w:val="24"/>
          <w:szCs w:val="24"/>
        </w:rPr>
        <w:t xml:space="preserve"> Conviene fissarla una volta e poi usarla: 20 gennaio 1969 - 3 novembre 1975 per l'Assistenza alla sicurezza nazionale, 22 settembre 1973 - 20 gennaio 1977 per il Dipartimento di Stato. Ogni fatto del territorio va collocato dentro o fuori quella forbice prima di essere discusso. Fuori, il quesito riguarda un privato cittadino; dentro, riguarda un ufficio, e nemmeno allora una condotta.</w:t>
      </w:r>
    </w:p>
    <w:p>
      <w:pPr>
        <w:spacing w:after="120" w:line="276"/>
        <w:jc w:val="both"/>
      </w:pPr>
      <w:r>
        <w:rPr>
          <w:rFonts w:ascii="Barlow Semi Condensed" w:cs="Barlow Semi Condensed" w:eastAsia="Barlow Semi Condensed" w:hAnsi="Barlow Semi Condensed"/>
          <w:b/>
          <w:bCs/>
          <w:sz w:val="24"/>
          <w:szCs w:val="24"/>
        </w:rPr>
        <w:t xml:space="preserve">3900 · Lusaka, aprile 1976.</w:t>
      </w:r>
      <w:r>
        <w:rPr>
          <w:rFonts w:ascii="Barlow Semi Condensed" w:cs="Barlow Semi Condensed" w:eastAsia="Barlow Semi Condensed" w:hAnsi="Barlow Semi Condensed"/>
          <w:sz w:val="24"/>
          <w:szCs w:val="24"/>
        </w:rPr>
        <w:t xml:space="preserve"> Fatto pubblico e citabile: nell'aprile 1976, a Lusaka, il Segretario di Stato pronunciò un discorso sulla politica americana verso l'Africa australe. Il testo integrale fu stampato nel bollettino ufficiale del Dipartimento di Stato e si cita da lì, per numero e pagina, secondo la scheda dei sei campi del blocco 883. È il documento più accessibile che colleghi il nome al territorio, e il corpus non lo possiede.</w:t>
      </w:r>
    </w:p>
    <w:p>
      <w:pPr>
        <w:spacing w:after="120" w:line="276"/>
        <w:jc w:val="both"/>
      </w:pPr>
      <w:r>
        <w:rPr>
          <w:rFonts w:ascii="Barlow Semi Condensed" w:cs="Barlow Semi Condensed" w:eastAsia="Barlow Semi Condensed" w:hAnsi="Barlow Semi Condensed"/>
          <w:b/>
          <w:bCs/>
          <w:sz w:val="24"/>
          <w:szCs w:val="24"/>
        </w:rPr>
        <w:t xml:space="preserve">3901 · Gli incontri del 1976 con Pretoria.</w:t>
      </w:r>
      <w:r>
        <w:rPr>
          <w:rFonts w:ascii="Barlow Semi Condensed" w:cs="Barlow Semi Condensed" w:eastAsia="Barlow Semi Condensed" w:hAnsi="Barlow Semi Condensed"/>
          <w:sz w:val="24"/>
          <w:szCs w:val="24"/>
        </w:rPr>
        <w:t xml:space="preserve"> Nello stesso anno si tennero colloqui fra il Segretario di Stato e il primo ministro sudafricano, in Europa e poi nel Paese. Date e sedi esatte circolano in versioni non coincidenti e vanno prese dal volume FRUS competente, non dalle cronologie in rete: è la disciplina che il blocco 871 impone alla datazione. Finché non sono riscontrate, questa serie le tratta come riferite.</w:t>
      </w:r>
    </w:p>
    <w:p>
      <w:pPr>
        <w:spacing w:after="120" w:line="276"/>
        <w:jc w:val="both"/>
      </w:pPr>
      <w:r>
        <w:rPr>
          <w:rFonts w:ascii="Barlow Semi Condensed" w:cs="Barlow Semi Condensed" w:eastAsia="Barlow Semi Condensed" w:hAnsi="Barlow Semi Condensed"/>
          <w:b/>
          <w:bCs/>
          <w:sz w:val="24"/>
          <w:szCs w:val="24"/>
        </w:rPr>
        <w:t xml:space="preserve">3902 · La Rhodesia non è questo territorio.</w:t>
      </w:r>
      <w:r>
        <w:rPr>
          <w:rFonts w:ascii="Barlow Semi Condensed" w:cs="Barlow Semi Condensed" w:eastAsia="Barlow Semi Condensed" w:hAnsi="Barlow Semi Condensed"/>
          <w:sz w:val="24"/>
          <w:szCs w:val="24"/>
        </w:rPr>
        <w:t xml:space="preserve"> Regola di perimetro, necessaria perché la tentazione è forte. Il negoziato del 1976 riguardava in massima parte la Rhodesia meridionale, che il Libro quattordicesimo non tratta: il suo territorio è il Sud Africa, l'Africa del Sud-Ovest e la valle californiana. Importare il dossier rhodesiano allargherebbe il perimetro senza autorizzazione, e il blocco 53 pretende che ogni allargamento sia motivato registro alla mano.</w:t>
      </w:r>
    </w:p>
    <w:p>
      <w:pPr>
        <w:spacing w:after="120" w:line="276"/>
        <w:jc w:val="both"/>
      </w:pPr>
      <w:r>
        <w:rPr>
          <w:rFonts w:ascii="Barlow Semi Condensed" w:cs="Barlow Semi Condensed" w:eastAsia="Barlow Semi Condensed" w:hAnsi="Barlow Semi Condensed"/>
          <w:b/>
          <w:bCs/>
          <w:sz w:val="24"/>
          <w:szCs w:val="24"/>
        </w:rPr>
        <w:t xml:space="preserve">3903 · Che cosa falsificherebbe Lusaka.</w:t>
      </w:r>
      <w:r>
        <w:rPr>
          <w:rFonts w:ascii="Barlow Semi Condensed" w:cs="Barlow Semi Condensed" w:eastAsia="Barlow Semi Condensed" w:hAnsi="Barlow Semi Condensed"/>
          <w:sz w:val="24"/>
          <w:szCs w:val="24"/>
        </w:rPr>
        <w:t xml:space="preserve"> Sul versante retorico il bersaglio di smentita suona così: se il testo del discorso di Lusaka, letto per intero e non per estratti, non contenesse alcun riferimento all'Africa del Sud-Ovest né alle risorse namibiane, cadrebbe l'ipotesi che quella dichiarazione tocchi il territorio del Libro quattordicesimo. La verifica si compie sul bollettino stampato in un pomeriggio, e l'esito negativo sarebbe acquisizione piena.</w:t>
      </w:r>
    </w:p>
    <w:p>
      <w:pPr>
        <w:spacing w:after="120" w:line="276"/>
        <w:jc w:val="both"/>
      </w:pPr>
      <w:r>
        <w:rPr>
          <w:rFonts w:ascii="Barlow Semi Condensed" w:cs="Barlow Semi Condensed" w:eastAsia="Barlow Semi Condensed" w:hAnsi="Barlow Semi Condensed"/>
          <w:b/>
          <w:bCs/>
          <w:sz w:val="24"/>
          <w:szCs w:val="24"/>
        </w:rPr>
        <w:t xml:space="preserve">3904 · Il test della citazione, applicato.</w:t>
      </w:r>
      <w:r>
        <w:rPr>
          <w:rFonts w:ascii="Barlow Semi Condensed" w:cs="Barlow Semi Condensed" w:eastAsia="Barlow Semi Condensed" w:hAnsi="Barlow Semi Condensed"/>
          <w:sz w:val="24"/>
          <w:szCs w:val="24"/>
        </w:rPr>
        <w:t xml:space="preserve"> Aprire l'indice dei nomi e la bibliografia dell'opera firmata dal soggetto, e cercarvi l'antenato che gli si attribuisce: così prescrive il blocco 698. Applicato qui, il test suona: il nome di questa campagna compare negli scritti firmati che il Libro quattordicesimo tratta nella decima serie, cioè il volume del 2014 sul monopolio, la prefazione del 2020 e il libro autopubblicato del 2022?</w:t>
      </w:r>
    </w:p>
    <w:p>
      <w:pPr>
        <w:spacing w:after="120" w:line="276"/>
        <w:jc w:val="both"/>
      </w:pPr>
      <w:r>
        <w:rPr>
          <w:rFonts w:ascii="Barlow Semi Condensed" w:cs="Barlow Semi Condensed" w:eastAsia="Barlow Semi Condensed" w:hAnsi="Barlow Semi Condensed"/>
          <w:b/>
          <w:bCs/>
          <w:sz w:val="24"/>
          <w:szCs w:val="24"/>
        </w:rPr>
        <w:t xml:space="preserve">3905 · L'esito atteso e come si scrive.</w:t>
      </w:r>
      <w:r>
        <w:rPr>
          <w:rFonts w:ascii="Barlow Semi Condensed" w:cs="Barlow Semi Condensed" w:eastAsia="Barlow Semi Condensed" w:hAnsi="Barlow Semi Condensed"/>
          <w:sz w:val="24"/>
          <w:szCs w:val="24"/>
        </w:rPr>
        <w:t xml:space="preserve"> Negativo è l'esito atteso, e va verbalizzato con le quattro voci del blocco 18: che cosa si è cercato, presso quale sede, con quale chiave, che cosa non si è trovato. Un indice dei nomi che non contenga la stringa è un documento, non un'impressione. Chi trovasse invece la citazione avrebbe in mano un piano uno dottrinale, e dovrebbe leggerne la funzione prima di esultare.</w:t>
      </w:r>
    </w:p>
    <w:p>
      <w:pPr>
        <w:spacing w:after="120" w:line="276"/>
        <w:jc w:val="both"/>
      </w:pPr>
      <w:r>
        <w:rPr>
          <w:rFonts w:ascii="Barlow Semi Condensed" w:cs="Barlow Semi Condensed" w:eastAsia="Barlow Semi Condensed" w:hAnsi="Barlow Semi Condensed"/>
          <w:b/>
          <w:bCs/>
          <w:sz w:val="24"/>
          <w:szCs w:val="24"/>
        </w:rPr>
        <w:t xml:space="preserve">3906 · Omologia, per la seconda volta.</w:t>
      </w:r>
      <w:r>
        <w:rPr>
          <w:rFonts w:ascii="Barlow Semi Condensed" w:cs="Barlow Semi Condensed" w:eastAsia="Barlow Semi Condensed" w:hAnsi="Barlow Semi Condensed"/>
          <w:sz w:val="24"/>
          <w:szCs w:val="24"/>
        </w:rPr>
        <w:t xml:space="preserve"> Il criterio della Serie sesta dell'opera Kissinger è adottato dichiaratamente al blocco 701: solo un documento di provenienza distingue l'omologia dall'analogia. Qui la regola torna capovolta. Che una dottrina dell'equilibrio fra potenze e una dottrina dell'uscita dallo Stato condividano il disprezzo per la deliberazione lenta è somiglianza d'esito, e dalla somiglianza d'esito non si deduce l'antenato. Serve un documento, e non c'è.</w:t>
      </w:r>
    </w:p>
    <w:p>
      <w:pPr>
        <w:spacing w:after="120" w:line="276"/>
        <w:jc w:val="both"/>
      </w:pPr>
      <w:r>
        <w:rPr>
          <w:rFonts w:ascii="Barlow Semi Condensed" w:cs="Barlow Semi Condensed" w:eastAsia="Barlow Semi Condensed" w:hAnsi="Barlow Semi Condensed"/>
          <w:b/>
          <w:bCs/>
          <w:sz w:val="24"/>
          <w:szCs w:val="24"/>
        </w:rPr>
        <w:t xml:space="preserve">3907 · Le tre forme ammesse.</w:t>
      </w:r>
      <w:r>
        <w:rPr>
          <w:rFonts w:ascii="Barlow Semi Condensed" w:cs="Barlow Semi Condensed" w:eastAsia="Barlow Semi Condensed" w:hAnsi="Barlow Semi Condensed"/>
          <w:sz w:val="24"/>
          <w:szCs w:val="24"/>
        </w:rPr>
        <w:t xml:space="preserve"> Tre sole prove di filiazione dottrinale riconosce il blocco 696: la citazione nominata dentro un testo firmato, l'appartenenza registrata in un elenco tenuto da terzi, la corrispondenza conservata con mittente e destinatario. Nessuna delle tre risulta acquisita fra il nome di questa campagna e alcun autore del territorio. Il metro è dichiarato dal Libro quattordicesimo stesso, e questa serie non ne concede altri.</w:t>
      </w:r>
    </w:p>
    <w:p>
      <w:pPr>
        <w:spacing w:after="120" w:line="276"/>
        <w:jc w:val="both"/>
      </w:pPr>
      <w:r>
        <w:rPr>
          <w:rFonts w:ascii="Barlow Semi Condensed" w:cs="Barlow Semi Condensed" w:eastAsia="Barlow Semi Condensed" w:hAnsi="Barlow Semi Condensed"/>
          <w:b/>
          <w:bCs/>
          <w:sz w:val="24"/>
          <w:szCs w:val="24"/>
        </w:rPr>
        <w:t xml:space="preserve">3908 · Castlereagh, Metternich e il limite.</w:t>
      </w:r>
      <w:r>
        <w:rPr>
          <w:rFonts w:ascii="Barlow Semi Condensed" w:cs="Barlow Semi Condensed" w:eastAsia="Barlow Semi Condensed" w:hAnsi="Barlow Semi Condensed"/>
          <w:sz w:val="24"/>
          <w:szCs w:val="24"/>
        </w:rPr>
        <w:t xml:space="preserve"> Nota e documentata in un testo suo è l'ascendenza dottrinale del nome: la dissertazione di dottorato discussa a Harvard nel 1954 sull'ordine europeo dopo il 1815. È il modello di ciò che il blocco 700 chiama accertamento forte, perché il soggetto nomina per iscritto i propri antenati. Serve qui per contrasto: nessun testo suo elegge l'Africa australe a oggetto di dottrina.</w:t>
      </w:r>
    </w:p>
    <w:p>
      <w:pPr>
        <w:spacing w:after="120" w:line="276"/>
        <w:jc w:val="both"/>
      </w:pPr>
      <w:r>
        <w:rPr>
          <w:rFonts w:ascii="Barlow Semi Condensed" w:cs="Barlow Semi Condensed" w:eastAsia="Barlow Semi Condensed" w:hAnsi="Barlow Semi Condensed"/>
          <w:b/>
          <w:bCs/>
          <w:sz w:val="24"/>
          <w:szCs w:val="24"/>
        </w:rPr>
        <w:t xml:space="preserve">3909 · Il caso Girard, per confronto.</w:t>
      </w:r>
      <w:r>
        <w:rPr>
          <w:rFonts w:ascii="Barlow Semi Condensed" w:cs="Barlow Semi Condensed" w:eastAsia="Barlow Semi Condensed" w:hAnsi="Barlow Semi Condensed"/>
          <w:sz w:val="24"/>
          <w:szCs w:val="24"/>
        </w:rPr>
        <w:t xml:space="preserve"> Unica filiazione di piano uno posseduta dal Libro quattordicesimo, il debito verso René Girard è registrato al blocco 766, riconosciuto per iscritto dall'interessato e corroborato al 767 da un'erogazione rendicontata. È il metro. Fra il nome di questa campagna e chiunque nel territorio non esiste nulla di lontanamente paragonabile: né dichiarazione, né erogazione, né lettera conservata in archivio.</w:t>
      </w:r>
    </w:p>
    <w:p>
      <w:pPr>
        <w:spacing w:after="120" w:line="276"/>
        <w:jc w:val="both"/>
      </w:pPr>
      <w:r>
        <w:rPr>
          <w:rFonts w:ascii="Barlow Semi Condensed" w:cs="Barlow Semi Condensed" w:eastAsia="Barlow Semi Condensed" w:hAnsi="Barlow Semi Condensed"/>
          <w:b/>
          <w:bCs/>
          <w:sz w:val="24"/>
          <w:szCs w:val="24"/>
        </w:rPr>
        <w:t xml:space="preserve">3910 · Il Technate e l'equilibrio.</w:t>
      </w:r>
      <w:r>
        <w:rPr>
          <w:rFonts w:ascii="Barlow Semi Condensed" w:cs="Barlow Semi Condensed" w:eastAsia="Barlow Semi Condensed" w:hAnsi="Barlow Semi Condensed"/>
          <w:sz w:val="24"/>
          <w:szCs w:val="24"/>
        </w:rPr>
        <w:t xml:space="preserve"> Prezzo, moneta, interesse e capitale sono aboliti dalla dottrina di Technocracy Incorporated, come mostrano i blocchi 712, 722 e 723. Chi volesse costruire un albero unico che tenga insieme quel piano, la dottrina dell'equilibrio fra potenze e l'industria del capitale di rischio dovrebbe esibire un autore che li tenga insieme dichiarandolo. La contraddizione di contenuto vale come smentita, e quell'autore non è mai stato prodotto.</w:t>
      </w:r>
    </w:p>
    <w:p>
      <w:pPr>
        <w:spacing w:after="120" w:line="276"/>
        <w:jc w:val="both"/>
      </w:pPr>
      <w:r>
        <w:rPr>
          <w:rFonts w:ascii="Barlow Semi Condensed" w:cs="Barlow Semi Condensed" w:eastAsia="Barlow Semi Condensed" w:hAnsi="Barlow Semi Condensed"/>
          <w:b/>
          <w:bCs/>
          <w:sz w:val="24"/>
          <w:szCs w:val="24"/>
        </w:rPr>
        <w:t xml:space="preserve">3911 · Gli elenchi dei partecipanti.</w:t>
      </w:r>
      <w:r>
        <w:rPr>
          <w:rFonts w:ascii="Barlow Semi Condensed" w:cs="Barlow Semi Condensed" w:eastAsia="Barlow Semi Condensed" w:hAnsi="Barlow Semi Condensed"/>
          <w:sz w:val="24"/>
          <w:szCs w:val="24"/>
        </w:rPr>
        <w:t xml:space="preserve"> Una classe di documenti nomina insieme persone senza attestare fra loro alcun rapporto: gli elenchi dei partecipanti alle conferenze private, pubblicati dagli organizzatori e datati. Quesito eseguibile da scrivania: verificare se una stessa annata rechi il nome di questa campagna e uno dei nomi del Libro quattordicesimo. La risposta è un fatto pubblico e si ottiene in mezz'ora di lavoro.</w:t>
      </w:r>
    </w:p>
    <w:p>
      <w:pPr>
        <w:spacing w:after="120" w:line="276"/>
        <w:jc w:val="both"/>
      </w:pPr>
      <w:r>
        <w:rPr>
          <w:rFonts w:ascii="Barlow Semi Condensed" w:cs="Barlow Semi Condensed" w:eastAsia="Barlow Semi Condensed" w:hAnsi="Barlow Semi Condensed"/>
          <w:b/>
          <w:bCs/>
          <w:sz w:val="24"/>
          <w:szCs w:val="24"/>
        </w:rPr>
        <w:t xml:space="preserve">3912 · Il caso limite del piano uno.</w:t>
      </w:r>
      <w:r>
        <w:rPr>
          <w:rFonts w:ascii="Barlow Semi Condensed" w:cs="Barlow Semi Condensed" w:eastAsia="Barlow Semi Condensed" w:hAnsi="Barlow Semi Condensed"/>
          <w:sz w:val="24"/>
          <w:szCs w:val="24"/>
        </w:rPr>
        <w:t xml:space="preserve"> E qui va detta la cosa che nessun blocco anteriore aveva bisogno di dire. Un elenco di partecipanti nomina entrambe le parti e tuttavia non è un ponte: attesta co-presenza in una sala, non un rapporto. Il piano uno esige che il documento attesti il rapporto, non la contiguità fisica. Chi promuovesse un elenco a nesso ripeterebbe, con carta migliore, l'errore del blocco 6.</w:t>
      </w:r>
    </w:p>
    <w:p>
      <w:pPr>
        <w:spacing w:after="120" w:line="276"/>
        <w:jc w:val="both"/>
      </w:pPr>
      <w:r>
        <w:rPr>
          <w:rFonts w:ascii="Barlow Semi Condensed" w:cs="Barlow Semi Condensed" w:eastAsia="Barlow Semi Condensed" w:hAnsi="Barlow Semi Condensed"/>
          <w:b/>
          <w:bCs/>
          <w:sz w:val="24"/>
          <w:szCs w:val="24"/>
        </w:rPr>
        <w:t xml:space="preserve">3913 · Hoover, e che cosa chiedere.</w:t>
      </w:r>
      <w:r>
        <w:rPr>
          <w:rFonts w:ascii="Barlow Semi Condensed" w:cs="Barlow Semi Condensed" w:eastAsia="Barlow Semi Condensed" w:hAnsi="Barlow Semi Condensed"/>
          <w:sz w:val="24"/>
          <w:szCs w:val="24"/>
        </w:rPr>
        <w:t xml:space="preserve"> Alla Hoover Institution di Stanford il blocco 738 indirizza per gli elenchi dei soci e i verbali della Mont Pelerin Society, e il 739 per le carte di Hayek. La stessa istituzione conserva fondi di uomini di governo americani del Novecento. Quesito circoscritto: verificare a catalogo se qualcuno di quei fondi contenga corrispondenza riguardante l'Africa australe negli anni della finestra istituzionale.</w:t>
      </w:r>
    </w:p>
    <w:p>
      <w:pPr>
        <w:spacing w:after="120" w:line="276"/>
        <w:jc w:val="both"/>
      </w:pPr>
      <w:r>
        <w:rPr>
          <w:rFonts w:ascii="Barlow Semi Condensed" w:cs="Barlow Semi Condensed" w:eastAsia="Barlow Semi Condensed" w:hAnsi="Barlow Semi Condensed"/>
          <w:b/>
          <w:bCs/>
          <w:sz w:val="24"/>
          <w:szCs w:val="24"/>
        </w:rPr>
        <w:t xml:space="preserve">3914 · Uno studio senza registro di clienti.</w:t>
      </w:r>
      <w:r>
        <w:rPr>
          <w:rFonts w:ascii="Barlow Semi Condensed" w:cs="Barlow Semi Condensed" w:eastAsia="Barlow Semi Condensed" w:hAnsi="Barlow Semi Condensed"/>
          <w:sz w:val="24"/>
          <w:szCs w:val="24"/>
        </w:rPr>
        <w:t xml:space="preserve"> Nel 1982 il nome di questa campagna costituì a New York una società di consulenza. Non esiste alcun registro pubblico dei suoi clienti: non lo prevede la legge societaria di quello Stato, non lo produce alcuna autorità di vigilanza. È uno Stato Zero strutturale nel senso esatto del blocco 758, cioè un vuoto normativo e non una reticenza, e va scritto con quella qualificazione.</w:t>
      </w:r>
    </w:p>
    <w:p>
      <w:pPr>
        <w:spacing w:after="120" w:line="276"/>
        <w:jc w:val="both"/>
      </w:pPr>
      <w:r>
        <w:rPr>
          <w:rFonts w:ascii="Barlow Semi Condensed" w:cs="Barlow Semi Condensed" w:eastAsia="Barlow Semi Condensed" w:hAnsi="Barlow Semi Condensed"/>
          <w:b/>
          <w:bCs/>
          <w:sz w:val="24"/>
          <w:szCs w:val="24"/>
        </w:rPr>
        <w:t xml:space="preserve">3915 · Il 13 dicembre 2002.</w:t>
      </w:r>
      <w:r>
        <w:rPr>
          <w:rFonts w:ascii="Barlow Semi Condensed" w:cs="Barlow Semi Condensed" w:eastAsia="Barlow Semi Condensed" w:hAnsi="Barlow Semi Condensed"/>
          <w:sz w:val="24"/>
          <w:szCs w:val="24"/>
        </w:rPr>
        <w:t xml:space="preserve"> Ha una misura pubblica e datata il perimetro di quel segreto: il 13 dicembre 2002 l'interessato rinunciò alla presidenza della commissione d'inchiesta statunitense sugli attentati del 2001 anziché depositare l'elenco dei propri clienti. È fatto notorio, riportato dalla stampa dell'epoca e citabile con le sei voci del blocco 883. Dice quanto pesi quel registro assente, e non dice altro.</w:t>
      </w:r>
    </w:p>
    <w:p>
      <w:pPr>
        <w:spacing w:after="120" w:line="276"/>
        <w:jc w:val="both"/>
      </w:pPr>
      <w:r>
        <w:rPr>
          <w:rFonts w:ascii="Barlow Semi Condensed" w:cs="Barlow Semi Condensed" w:eastAsia="Barlow Semi Condensed" w:hAnsi="Barlow Semi Condensed"/>
          <w:b/>
          <w:bCs/>
          <w:sz w:val="24"/>
          <w:szCs w:val="24"/>
        </w:rPr>
        <w:t xml:space="preserve">3916 · Il quesito sui clienti australi.</w:t>
      </w:r>
      <w:r>
        <w:rPr>
          <w:rFonts w:ascii="Barlow Semi Condensed" w:cs="Barlow Semi Condensed" w:eastAsia="Barlow Semi Condensed" w:hAnsi="Barlow Semi Condensed"/>
          <w:sz w:val="24"/>
          <w:szCs w:val="24"/>
        </w:rPr>
        <w:t xml:space="preserve"> Onesto sul proprio costo, il bersaglio derivato è questo: se una società sudafricana o namibiana avesse retribuito quello studio, la traccia potrebbe emergere solo per accidente, secondo la casistica del blocco 829 — un contenzioso, una successione, una dichiarazione patrimoniale resa per un incarico pubblico. Fuori da questi accidenti la ricerca non ha strada, e questa serie lo dichiara invece di promettere.</w:t>
      </w:r>
    </w:p>
    <w:p>
      <w:pPr>
        <w:spacing w:after="120" w:line="276"/>
        <w:jc w:val="both"/>
      </w:pPr>
      <w:r>
        <w:rPr>
          <w:rFonts w:ascii="Barlow Semi Condensed" w:cs="Barlow Semi Condensed" w:eastAsia="Barlow Semi Condensed" w:hAnsi="Barlow Semi Condensed"/>
          <w:b/>
          <w:bCs/>
          <w:sz w:val="24"/>
          <w:szCs w:val="24"/>
        </w:rPr>
        <w:t xml:space="preserve">3917 · Rio Tinto, negativo atteso.</w:t>
      </w:r>
      <w:r>
        <w:rPr>
          <w:rFonts w:ascii="Barlow Semi Condensed" w:cs="Barlow Semi Condensed" w:eastAsia="Barlow Semi Condensed" w:hAnsi="Barlow Semi Condensed"/>
          <w:sz w:val="24"/>
          <w:szCs w:val="24"/>
        </w:rPr>
        <w:t xml:space="preserve"> L'assetto proprietario di Rössing è documentato al blocco 813 attraverso i bilanci del gruppo britannico che la controllò per decenni e i depositi presso l'autorità statunitense dei mercati. Quesito con esito atteso negativo: verificare negli elenchi di amministratori e consulenti depositati a Companies House se il nome di questa campagna vi compaia mai. Attendersi il negativo non dispensa dall'eseguire la verifica.</w:t>
      </w:r>
    </w:p>
    <w:p>
      <w:pPr>
        <w:spacing w:after="120" w:line="276"/>
        <w:jc w:val="both"/>
      </w:pPr>
      <w:r>
        <w:rPr>
          <w:rFonts w:ascii="Barlow Semi Condensed" w:cs="Barlow Semi Condensed" w:eastAsia="Barlow Semi Condensed" w:hAnsi="Barlow Semi Condensed"/>
          <w:b/>
          <w:bCs/>
          <w:sz w:val="24"/>
          <w:szCs w:val="24"/>
        </w:rPr>
        <w:t xml:space="preserve">3918 · Il falso positivo come procedura.</w:t>
      </w:r>
      <w:r>
        <w:rPr>
          <w:rFonts w:ascii="Barlow Semi Condensed" w:cs="Barlow Semi Condensed" w:eastAsia="Barlow Semi Condensed" w:hAnsi="Barlow Semi Condensed"/>
          <w:sz w:val="24"/>
          <w:szCs w:val="24"/>
        </w:rPr>
        <w:t xml:space="preserve"> Per fissare che prima di interrogare un archivio si stabilisce che cosa si cerca, il blocco 839 del Libro quattordicesimo richiama il blocco 9 dell'opera Kissinger. Questa serie ne ha dato la prova sul proprio materiale: trentasei riscontri apparenti per Angola, nessuno reale. La regola non è un'esortazione ma una procedura, e produce numeri diversi da quelli che si otterrebbero senza.</w:t>
      </w:r>
    </w:p>
    <w:p>
      <w:pPr>
        <w:spacing w:after="120" w:line="276"/>
        <w:jc w:val="both"/>
      </w:pPr>
      <w:r>
        <w:rPr>
          <w:rFonts w:ascii="Barlow Semi Condensed" w:cs="Barlow Semi Condensed" w:eastAsia="Barlow Semi Condensed" w:hAnsi="Barlow Semi Condensed"/>
          <w:b/>
          <w:bCs/>
          <w:sz w:val="24"/>
          <w:szCs w:val="24"/>
        </w:rPr>
        <w:t xml:space="preserve">3919 · Il lancio unico del 2023.</w:t>
      </w:r>
      <w:r>
        <w:rPr>
          <w:rFonts w:ascii="Barlow Semi Condensed" w:cs="Barlow Semi Condensed" w:eastAsia="Barlow Semi Condensed" w:hAnsi="Barlow Semi Condensed"/>
          <w:sz w:val="24"/>
          <w:szCs w:val="24"/>
        </w:rPr>
        <w:t xml:space="preserve"> Risale a un solo lancio d'agenzia del 30 novembre 2023, secondo la settima precisazione dell'apparato K, la moltiplicazione apparente delle fonti sull'avvertimento a Moro. La regola si trasferisce senza attriti al territorio: il blocco 878 misura la stessa patologia sui dispacci ripubblicati da quaranta testate. Due materie diverse, un identico meccanismo di replicazione senza informazione nuova.</w:t>
      </w:r>
    </w:p>
    <w:p>
      <w:pPr>
        <w:spacing w:after="120" w:line="276"/>
        <w:jc w:val="both"/>
      </w:pPr>
      <w:r>
        <w:rPr>
          <w:rFonts w:ascii="Barlow Semi Condensed" w:cs="Barlow Semi Condensed" w:eastAsia="Barlow Semi Condensed" w:hAnsi="Barlow Semi Condensed"/>
          <w:b/>
          <w:bCs/>
          <w:sz w:val="24"/>
          <w:szCs w:val="24"/>
        </w:rPr>
        <w:t xml:space="preserve">3920 · Le due fonti escluse, e M-3.</w:t>
      </w:r>
      <w:r>
        <w:rPr>
          <w:rFonts w:ascii="Barlow Semi Condensed" w:cs="Barlow Semi Condensed" w:eastAsia="Barlow Semi Condensed" w:hAnsi="Barlow Semi Condensed"/>
          <w:sz w:val="24"/>
          <w:szCs w:val="24"/>
        </w:rPr>
        <w:t xml:space="preserve"> Registrato tre volte nel Libro quattordicesimo, ai blocchi 16, 694 e 904, il divieto del committente sulle due fonti escluse è accompagnato dall'apparato M-3 con un dato di igiene: una delle due comparve ripetutamente fra i risultati di ricerca, anche su voci centrali. Questa serie ha osservato il divieto e conferma soltanto che la ricorrenza fra i risultati è essa stessa un dato.</w:t>
      </w:r>
    </w:p>
    <w:p>
      <w:pPr>
        <w:spacing w:after="120" w:line="276"/>
        <w:jc w:val="both"/>
      </w:pPr>
      <w:r>
        <w:rPr>
          <w:rFonts w:ascii="Barlow Semi Condensed" w:cs="Barlow Semi Condensed" w:eastAsia="Barlow Semi Condensed" w:hAnsi="Barlow Semi Condensed"/>
          <w:b/>
          <w:bCs/>
          <w:sz w:val="24"/>
          <w:szCs w:val="24"/>
        </w:rPr>
        <w:t xml:space="preserve">3921 · La citogenesi applicata al nome.</w:t>
      </w:r>
      <w:r>
        <w:rPr>
          <w:rFonts w:ascii="Barlow Semi Condensed" w:cs="Barlow Semi Condensed" w:eastAsia="Barlow Semi Condensed" w:hAnsi="Barlow Semi Condensed"/>
          <w:sz w:val="24"/>
          <w:szCs w:val="24"/>
        </w:rPr>
        <w:t xml:space="preserve"> Un circuito riconoscibile è descritto al blocco 893: un'affermazione priva di fonte entra in una voce enciclopedica, un sito la riprende, la voce viene poi corredata della nota che rinvia a quel sito. Il riconoscimento passa dal confronto delle date. È la procedura da applicare a ogni testo che accosti il nome di questa campagna all'apartheid, prima di riprenderlo.</w:t>
      </w:r>
    </w:p>
    <w:p>
      <w:pPr>
        <w:spacing w:after="120" w:line="276"/>
        <w:jc w:val="both"/>
      </w:pPr>
      <w:r>
        <w:rPr>
          <w:rFonts w:ascii="Barlow Semi Condensed" w:cs="Barlow Semi Condensed" w:eastAsia="Barlow Semi Condensed" w:hAnsi="Barlow Semi Condensed"/>
          <w:b/>
          <w:bCs/>
          <w:sz w:val="24"/>
          <w:szCs w:val="24"/>
        </w:rPr>
        <w:t xml:space="preserve">3922 · I sei campi, per una raccolta FRUS.</w:t>
      </w:r>
      <w:r>
        <w:rPr>
          <w:rFonts w:ascii="Barlow Semi Condensed" w:cs="Barlow Semi Condensed" w:eastAsia="Barlow Semi Condensed" w:hAnsi="Barlow Semi Condensed"/>
          <w:sz w:val="24"/>
          <w:szCs w:val="24"/>
        </w:rPr>
        <w:t xml:space="preserve"> Applicata a una raccolta diplomatica, la scheda del blocco 883 si compila così: emittente e serie, volume e parte, numero del documento, edizione se riveduta, data dell'atto, data della consultazione. Il corpus lo fa già per il documento 350 del volume E-15. Chi citerà i memorandum del 1969 e del 1970 dovrà farlo con la medesima esattezza, o la citazione non sarà controllabile.</w:t>
      </w:r>
    </w:p>
    <w:p>
      <w:pPr>
        <w:spacing w:after="120" w:line="276"/>
        <w:jc w:val="both"/>
      </w:pPr>
      <w:r>
        <w:rPr>
          <w:rFonts w:ascii="Barlow Semi Condensed" w:cs="Barlow Semi Condensed" w:eastAsia="Barlow Semi Condensed" w:hAnsi="Barlow Semi Condensed"/>
          <w:b/>
          <w:bCs/>
          <w:sz w:val="24"/>
          <w:szCs w:val="24"/>
        </w:rPr>
        <w:t xml:space="preserve">3923 · Nessuna imputazione, in nessun Paese.</w:t>
      </w:r>
      <w:r>
        <w:rPr>
          <w:rFonts w:ascii="Barlow Semi Condensed" w:cs="Barlow Semi Condensed" w:eastAsia="Barlow Semi Condensed" w:hAnsi="Barlow Semi Condensed"/>
          <w:sz w:val="24"/>
          <w:szCs w:val="24"/>
        </w:rPr>
        <w:t xml:space="preserve"> Va ripetuto qui perché il territorio è nuovo e i lettori non sono gli stessi. Henry Kissinger non fu condannato in alcun processo, non fu mai imputato né processato in alcun Paese. Il blocco 936 del Libro quattordicesimo compie lo stesso accertamento negativo per i propri viventi. Le due dichiarazioni convivono senza contraddirsi: il corpus si ferma al giudicato in entrambe le direzioni.</w:t>
      </w:r>
    </w:p>
    <w:p>
      <w:pPr>
        <w:spacing w:after="120" w:line="276"/>
        <w:jc w:val="both"/>
      </w:pPr>
      <w:r>
        <w:rPr>
          <w:rFonts w:ascii="Barlow Semi Condensed" w:cs="Barlow Semi Condensed" w:eastAsia="Barlow Semi Condensed" w:hAnsi="Barlow Semi Condensed"/>
          <w:b/>
          <w:bCs/>
          <w:sz w:val="24"/>
          <w:szCs w:val="24"/>
        </w:rPr>
        <w:t xml:space="preserve">3924 · Il nodo M-5 e la stratificazione.</w:t>
      </w:r>
      <w:r>
        <w:rPr>
          <w:rFonts w:ascii="Barlow Semi Condensed" w:cs="Barlow Semi Condensed" w:eastAsia="Barlow Semi Condensed" w:hAnsi="Barlow Semi Condensed"/>
          <w:sz w:val="24"/>
          <w:szCs w:val="24"/>
        </w:rPr>
        <w:t xml:space="preserve"> Come modello di correzione il blocco 974 indica la Nota di revisione n. 1 del corpus e la rettifica del nodo M-5 nella triangolazione Kissinger. Questa serie si sottopone alla medesima disciplina: se una delle segnature qui indicate risultasse errata, la correzione entrerà come nota datata e il testo originario resterà leggibile accanto. Si corregge per stratificazione, non per riscrittura silenziosa.</w:t>
      </w:r>
    </w:p>
    <w:p>
      <w:pPr>
        <w:spacing w:after="120" w:line="276"/>
        <w:jc w:val="both"/>
      </w:pPr>
      <w:r>
        <w:rPr>
          <w:rFonts w:ascii="Barlow Semi Condensed" w:cs="Barlow Semi Condensed" w:eastAsia="Barlow Semi Condensed" w:hAnsi="Barlow Semi Condensed"/>
          <w:b/>
          <w:bCs/>
          <w:sz w:val="24"/>
          <w:szCs w:val="24"/>
        </w:rPr>
        <w:t xml:space="preserve">3925 · Due lenti sovrapposte.</w:t>
      </w:r>
      <w:r>
        <w:rPr>
          <w:rFonts w:ascii="Barlow Semi Condensed" w:cs="Barlow Semi Condensed" w:eastAsia="Barlow Semi Condensed" w:hAnsi="Barlow Semi Condensed"/>
          <w:sz w:val="24"/>
          <w:szCs w:val="24"/>
        </w:rPr>
        <w:t xml:space="preserve"> Due lenti si sovrappongono in questa serie, e il blocco 934 le accosta già: la metafora genetica della triangolazione Kissinger e la geografia doppia del meridiano e della valle, entrambe dichiarate strumenti e non prove. Lavorare sotto tutte e due raddoppia il rischio di circolarità denunciato al blocco 998, e obbliga a dichiararlo in apertura anziché in coda.</w:t>
      </w:r>
    </w:p>
    <w:p>
      <w:pPr>
        <w:spacing w:after="120" w:line="276"/>
        <w:jc w:val="both"/>
      </w:pPr>
      <w:r>
        <w:rPr>
          <w:rFonts w:ascii="Barlow Semi Condensed" w:cs="Barlow Semi Condensed" w:eastAsia="Barlow Semi Condensed" w:hAnsi="Barlow Semi Condensed"/>
          <w:b/>
          <w:bCs/>
          <w:sz w:val="24"/>
          <w:szCs w:val="24"/>
        </w:rPr>
        <w:t xml:space="preserve">3926 · La forma ereditata.</w:t>
      </w:r>
      <w:r>
        <w:rPr>
          <w:rFonts w:ascii="Barlow Semi Condensed" w:cs="Barlow Semi Condensed" w:eastAsia="Barlow Semi Condensed" w:hAnsi="Barlow Semi Condensed"/>
          <w:sz w:val="24"/>
          <w:szCs w:val="24"/>
        </w:rPr>
        <w:t xml:space="preserve"> Le opere gemelle del branch sono elencate al blocco 2: il manuale investigativo in quattrocento blocchi, l'agenda di ricerca in trecento, i nove cantieri e la triangolazione Kissinger in mille ciascuno. La quinta opera cita dunque la quarta come parente formale. Questa serie chiude il cerchio riportando la quarta dentro la quinta, e lo fa per quesiti e non per affermazioni.</w:t>
      </w:r>
    </w:p>
    <w:p>
      <w:pPr>
        <w:spacing w:after="120" w:line="276"/>
        <w:jc w:val="both"/>
      </w:pPr>
      <w:r>
        <w:rPr>
          <w:rFonts w:ascii="Barlow Semi Condensed" w:cs="Barlow Semi Condensed" w:eastAsia="Barlow Semi Condensed" w:hAnsi="Barlow Semi Condensed"/>
          <w:b/>
          <w:bCs/>
          <w:sz w:val="24"/>
          <w:szCs w:val="24"/>
        </w:rPr>
        <w:t xml:space="preserve">3927 · L'esperimento di rimozione, rifatto.</w:t>
      </w:r>
      <w:r>
        <w:rPr>
          <w:rFonts w:ascii="Barlow Semi Condensed" w:cs="Barlow Semi Condensed" w:eastAsia="Barlow Semi Condensed" w:hAnsi="Barlow Semi Condensed"/>
          <w:sz w:val="24"/>
          <w:szCs w:val="24"/>
        </w:rPr>
        <w:t xml:space="preserve"> Togliere la tesi di continuità e rileggere l'opera è l'esperimento proposto al blocco 995. Ripetiamolo qui: si tolga il nome di questa campagna e si rilegga questa serie. Restano gli archivi nominati — Yorba Linda, College Park, Kew, Windhoek, Pretoria, l'Aia — le finestre cronologiche verificate e le assenze verbalizzate. Se ciò che resta regge, la serie ha funzionato.</w:t>
      </w:r>
    </w:p>
    <w:p>
      <w:pPr>
        <w:spacing w:after="120" w:line="276"/>
        <w:jc w:val="both"/>
      </w:pPr>
      <w:r>
        <w:rPr>
          <w:rFonts w:ascii="Barlow Semi Condensed" w:cs="Barlow Semi Condensed" w:eastAsia="Barlow Semi Condensed" w:hAnsi="Barlow Semi Condensed"/>
          <w:b/>
          <w:bCs/>
          <w:sz w:val="24"/>
          <w:szCs w:val="24"/>
        </w:rPr>
        <w:t xml:space="preserve">3928 · Il catasto delle assenze, sei voci.</w:t>
      </w:r>
      <w:r>
        <w:rPr>
          <w:rFonts w:ascii="Barlow Semi Condensed" w:cs="Barlow Semi Condensed" w:eastAsia="Barlow Semi Condensed" w:hAnsi="Barlow Semi Condensed"/>
          <w:sz w:val="24"/>
          <w:szCs w:val="24"/>
        </w:rPr>
        <w:t xml:space="preserve"> Catasto di assenze è il nome che il blocco 996 dà al lascito più durevole del Libro quattordicesimo. Questa serie vi aggiunge sei voci: il volume FRUS sull'Africa australe mai citato dal corpus, i due memorandum senza numero, l'esposizione all'Aia non verificata, i verbali di colloquio con l'ambasciatore mai cercati, il frontespizio del rapporto del 1987 mai aperto, il registro di clienti che non esiste.</w:t>
      </w:r>
    </w:p>
    <w:p>
      <w:pPr>
        <w:spacing w:after="120" w:line="276"/>
        <w:jc w:val="both"/>
      </w:pPr>
      <w:r>
        <w:rPr>
          <w:rFonts w:ascii="Barlow Semi Condensed" w:cs="Barlow Semi Condensed" w:eastAsia="Barlow Semi Condensed" w:hAnsi="Barlow Semi Condensed"/>
          <w:b/>
          <w:bCs/>
          <w:sz w:val="24"/>
          <w:szCs w:val="24"/>
        </w:rPr>
        <w:t xml:space="preserve">3929 · Che cosa smentirebbe questa serie (serie LI).</w:t>
      </w:r>
      <w:r>
        <w:rPr>
          <w:rFonts w:ascii="Barlow Semi Condensed" w:cs="Barlow Semi Condensed" w:eastAsia="Barlow Semi Condensed" w:hAnsi="Barlow Semi Condensed"/>
          <w:sz w:val="24"/>
          <w:szCs w:val="24"/>
        </w:rPr>
        <w:t xml:space="preserve"> Unico e preciso è il bersaglio di smentita, sul modello del blocco 999: se emergesse un documento di provenienza che nomini insieme Henry Kissinger e una qualunque delle persone viventi trattate dal Libro quattordicesimo, o una delle imprese californiane che vi compaiono, l'intera cautela qui scritta andrebbe rivista al piano uno. Nessun blocco lo ha trovato, e trovarlo sarebbe un progresso.</w:t>
      </w:r>
    </w:p>
    <w:p>
      <w:pPr>
        <w:spacing w:after="120" w:line="276"/>
        <w:jc w:val="both"/>
      </w:pPr>
      <w:r>
        <w:rPr>
          <w:rFonts w:ascii="Barlow Semi Condensed" w:cs="Barlow Semi Condensed" w:eastAsia="Barlow Semi Condensed" w:hAnsi="Barlow Semi Condensed"/>
          <w:b/>
          <w:bCs/>
          <w:sz w:val="24"/>
          <w:szCs w:val="24"/>
        </w:rPr>
        <w:t xml:space="preserve">3930 · Che cosa non è stabilito.</w:t>
      </w:r>
      <w:r>
        <w:rPr>
          <w:rFonts w:ascii="Barlow Semi Condensed" w:cs="Barlow Semi Condensed" w:eastAsia="Barlow Semi Condensed" w:hAnsi="Barlow Semi Condensed"/>
          <w:sz w:val="24"/>
          <w:szCs w:val="24"/>
        </w:rPr>
        <w:t xml:space="preserve"> Non è stabilito alcun rapporto fra il nome di questa campagna e le persone del Libro quattordicesimo; non è stabilito che la politica americana del 1969-1977 verso l'Africa australe abbia toccato una miniera, una scuola o una famiglia nominate in quell'opera; non è stabilito che il silenzio sull'Africa significhi qualcosa. Restano i quesiti, le sedi e gli Stati Zero. Il fascicolo resta aperto.</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Serie cinquantaduesima — Le prime tredici serie rilette dall’esterno</w:t>
      </w:r>
    </w:p>
    <w:p>
      <w:pPr>
        <w:spacing w:after="120" w:line="276"/>
        <w:jc w:val="both"/>
      </w:pPr>
      <w:r>
        <w:rPr>
          <w:rFonts w:ascii="Barlow Semi Condensed" w:cs="Barlow Semi Condensed" w:eastAsia="Barlow Semi Condensed" w:hAnsi="Barlow Semi Condensed"/>
          <w:i/>
          <w:iCs/>
          <w:sz w:val="24"/>
          <w:szCs w:val="24"/>
        </w:rPr>
        <w:t xml:space="preserve">Blocchi 3931-4000.</w:t>
      </w:r>
    </w:p>
    <w:p>
      <w:pPr>
        <w:spacing w:after="120" w:line="276"/>
        <w:jc w:val="both"/>
      </w:pPr>
      <w:r>
        <w:rPr>
          <w:rFonts w:ascii="Barlow Semi Condensed" w:cs="Barlow Semi Condensed" w:eastAsia="Barlow Semi Condensed" w:hAnsi="Barlow Semi Condensed"/>
          <w:b/>
          <w:bCs/>
          <w:sz w:val="24"/>
          <w:szCs w:val="24"/>
        </w:rPr>
        <w:t xml:space="preserve">3931 · Il territorio è l'opera stessa.</w:t>
      </w:r>
      <w:r>
        <w:rPr>
          <w:rFonts w:ascii="Barlow Semi Condensed" w:cs="Barlow Semi Condensed" w:eastAsia="Barlow Semi Condensed" w:hAnsi="Barlow Semi Condensed"/>
          <w:sz w:val="24"/>
          <w:szCs w:val="24"/>
        </w:rPr>
        <w:t xml:space="preserve"> Questa serie non interroga un archivio esterno: apre il file kissinger-mille-blocchi-il-codice-e-la-sua-trasmissione.md come si apre un documento, e le sue tredici serie come si collazionano tredici testimoni. L'operazione è autorizzata dall'opera medesima, che al blocco 989 propone la prova di sterilità della propria metafora e invita a scorrerla in cerca di un fatto senza fonte. Qui l'invito viene eseguito, e riferito con i numeri di riga.</w:t>
      </w:r>
    </w:p>
    <w:p>
      <w:pPr>
        <w:spacing w:after="120" w:line="276"/>
        <w:jc w:val="both"/>
      </w:pPr>
      <w:r>
        <w:rPr>
          <w:rFonts w:ascii="Barlow Semi Condensed" w:cs="Barlow Semi Condensed" w:eastAsia="Barlow Semi Condensed" w:hAnsi="Barlow Semi Condensed"/>
          <w:b/>
          <w:bCs/>
          <w:sz w:val="24"/>
          <w:szCs w:val="24"/>
        </w:rPr>
        <w:t xml:space="preserve">3932 · Mille blocchi, nessun salto.</w:t>
      </w:r>
      <w:r>
        <w:rPr>
          <w:rFonts w:ascii="Barlow Semi Condensed" w:cs="Barlow Semi Condensed" w:eastAsia="Barlow Semi Condensed" w:hAnsi="Barlow Semi Condensed"/>
          <w:sz w:val="24"/>
          <w:szCs w:val="24"/>
        </w:rPr>
        <w:t xml:space="preserve"> Verifica meccanica eseguita e verbalizzata: l'estrazione delle intestazioni numerate restituisce mille unità esatte, senza duplicati e senza lacune fra uno e mille. Le ampiezze dichiarate in testa alle tredici serie sommano anch'esse mille, e il conteggio annunciato al blocco 485 per la serie sesta coincide con quello effettivo. Accertamento di grado alto sul portatore: riguarda la numerazione, non ciò che i blocchi numerati affermano.</w:t>
      </w:r>
    </w:p>
    <w:p>
      <w:pPr>
        <w:spacing w:after="120" w:line="276"/>
        <w:jc w:val="both"/>
      </w:pPr>
      <w:r>
        <w:rPr>
          <w:rFonts w:ascii="Barlow Semi Condensed" w:cs="Barlow Semi Condensed" w:eastAsia="Barlow Semi Condensed" w:hAnsi="Barlow Semi Condensed"/>
          <w:b/>
          <w:bCs/>
          <w:sz w:val="24"/>
          <w:szCs w:val="24"/>
        </w:rPr>
        <w:t xml:space="preserve">3933 · Il frontespizio replicato due volte.</w:t>
      </w:r>
      <w:r>
        <w:rPr>
          <w:rFonts w:ascii="Barlow Semi Condensed" w:cs="Barlow Semi Condensed" w:eastAsia="Barlow Semi Condensed" w:hAnsi="Barlow Semi Condensed"/>
          <w:sz w:val="24"/>
          <w:szCs w:val="24"/>
        </w:rPr>
        <w:t xml:space="preserve"> Difetto materiale del portatore, accertato per lettura diretta: le righe da uno a ventuno del file e le righe da ventitré a quarantatré sono identiche parola per parola. Titolo, chiave dichiarata, correzione onomastica, statuto probatorio e accertamento di copertina compaiono due volte. È un errore di replicazione nell'opera che dedica la serie ottava all'errore di replicazione. Si emenda per nota, secondo la regola del blocco 622, e non riscrivendo in silenzio.</w:t>
      </w:r>
    </w:p>
    <w:p>
      <w:pPr>
        <w:spacing w:after="120" w:line="276"/>
        <w:jc w:val="both"/>
      </w:pPr>
      <w:r>
        <w:rPr>
          <w:rFonts w:ascii="Barlow Semi Condensed" w:cs="Barlow Semi Condensed" w:eastAsia="Barlow Semi Condensed" w:hAnsi="Barlow Semi Condensed"/>
          <w:b/>
          <w:bCs/>
          <w:sz w:val="24"/>
          <w:szCs w:val="24"/>
        </w:rPr>
        <w:t xml:space="preserve">3934 · Fuerth contro Fürth.</w:t>
      </w:r>
      <w:r>
        <w:rPr>
          <w:rFonts w:ascii="Barlow Semi Condensed" w:cs="Barlow Semi Condensed" w:eastAsia="Barlow Semi Condensed" w:hAnsi="Barlow Semi Condensed"/>
          <w:sz w:val="24"/>
          <w:szCs w:val="24"/>
        </w:rPr>
        <w:t xml:space="preserve"> Alla riga 346 e alla riga 674 il file scrive «Fuerth»: sono i blocchi 141 e 297. Altre dieci occorrenze del medesimo file scrivono «Fürth». La cronologia del deposito registra un intervento del 26 agosto 2026 intitolato al restauro dei diacritici nella serie terza, che non raggiunse il blocco 141, il quale a quella serie appartiene. È la variante silente descritta dal blocco 563, osservata dentro il testo che la definisce.</w:t>
      </w:r>
    </w:p>
    <w:p>
      <w:pPr>
        <w:spacing w:after="120" w:line="276"/>
        <w:jc w:val="both"/>
      </w:pPr>
      <w:r>
        <w:rPr>
          <w:rFonts w:ascii="Barlow Semi Condensed" w:cs="Barlow Semi Condensed" w:eastAsia="Barlow Semi Condensed" w:hAnsi="Barlow Semi Condensed"/>
          <w:b/>
          <w:bCs/>
          <w:sz w:val="24"/>
          <w:szCs w:val="24"/>
        </w:rPr>
        <w:t xml:space="preserve">3935 · Spinola senza il suo accento.</w:t>
      </w:r>
      <w:r>
        <w:rPr>
          <w:rFonts w:ascii="Barlow Semi Condensed" w:cs="Barlow Semi Condensed" w:eastAsia="Barlow Semi Condensed" w:hAnsi="Barlow Semi Condensed"/>
          <w:sz w:val="24"/>
          <w:szCs w:val="24"/>
        </w:rPr>
        <w:t xml:space="preserve"> Stessa classe di variante, seconda occorrenza: il nome del generale portoghese compare cinque volte accentato e tre volte no, e le due forme si distribuiscono fra serie diverse senza criterio dichiarato. Il blocco 148 fa dell'errore condiviso il marcatore più forte di parentela fra copie; applicato qui, l'oscillazione consente di raggruppare i blocchi per mano redazionale. Bersaglio minuto: tabulare le due forme e datarle sulla cronologia del deposito.</w:t>
      </w:r>
    </w:p>
    <w:p>
      <w:pPr>
        <w:spacing w:after="120" w:line="276"/>
        <w:jc w:val="both"/>
      </w:pPr>
      <w:r>
        <w:rPr>
          <w:rFonts w:ascii="Barlow Semi Condensed" w:cs="Barlow Semi Condensed" w:eastAsia="Barlow Semi Condensed" w:hAnsi="Barlow Semi Condensed"/>
          <w:b/>
          <w:bCs/>
          <w:sz w:val="24"/>
          <w:szCs w:val="24"/>
        </w:rPr>
        <w:t xml:space="preserve">3936 · La stringa Harry si è mossa.</w:t>
      </w:r>
      <w:r>
        <w:rPr>
          <w:rFonts w:ascii="Barlow Semi Condensed" w:cs="Barlow Semi Condensed" w:eastAsia="Barlow Semi Condensed" w:hAnsi="Barlow Semi Condensed"/>
          <w:sz w:val="24"/>
          <w:szCs w:val="24"/>
        </w:rPr>
        <w:t xml:space="preserve"> Verbalizzato al blocco 8: la stringa «Harry» compare una sola volta nel branch, riferita al ricercatore citato nella ricognizione portoghese. La verifica ripetuta oggi restituisce dieci righe: quella originaria, la scheda dell'indice dei documenti e otto righe del file stesso, cioè il frontespizio duplicato e i blocchi 1, 5, 6, 8, 9 e 11. La misura è stata alterata dall'atto che la registrava.</w:t>
      </w:r>
    </w:p>
    <w:p>
      <w:pPr>
        <w:spacing w:after="120" w:line="276"/>
        <w:jc w:val="both"/>
      </w:pPr>
      <w:r>
        <w:rPr>
          <w:rFonts w:ascii="Barlow Semi Condensed" w:cs="Barlow Semi Condensed" w:eastAsia="Barlow Semi Condensed" w:hAnsi="Barlow Semi Condensed"/>
          <w:b/>
          <w:bCs/>
          <w:sz w:val="24"/>
          <w:szCs w:val="24"/>
        </w:rPr>
        <w:t xml:space="preserve">3937 · La sigla entra dal blocco 606.</w:t>
      </w:r>
      <w:r>
        <w:rPr>
          <w:rFonts w:ascii="Barlow Semi Condensed" w:cs="Barlow Semi Condensed" w:eastAsia="Barlow Semi Condensed" w:hAnsi="Barlow Semi Condensed"/>
          <w:sz w:val="24"/>
          <w:szCs w:val="24"/>
        </w:rPr>
        <w:t xml:space="preserve"> Effetto identico sul supplemento apocrifo: il blocco 610 dichiara silenzio totale del corpus sulla sigla FM 30-31B, e la ricerca odierna la trova in una sola riga dell'intero deposito, la 1316, che è il blocco 606 dell'opera. Chi verificherà domani troverà dunque un'occorrenza e la crederà esterna. L'esito negativo va perciò datato e circoscritto ai file interrogati, non al branch, che il verificatore stesso modifica.</w:t>
      </w:r>
    </w:p>
    <w:p>
      <w:pPr>
        <w:spacing w:after="120" w:line="276"/>
        <w:jc w:val="both"/>
      </w:pPr>
      <w:r>
        <w:rPr>
          <w:rFonts w:ascii="Barlow Semi Condensed" w:cs="Barlow Semi Condensed" w:eastAsia="Barlow Semi Condensed" w:hAnsi="Barlow Semi Condensed"/>
          <w:b/>
          <w:bCs/>
          <w:sz w:val="24"/>
          <w:szCs w:val="24"/>
        </w:rPr>
        <w:t xml:space="preserve">3938 · Lo zero della quadriga tiene.</w:t>
      </w:r>
      <w:r>
        <w:rPr>
          <w:rFonts w:ascii="Barlow Semi Condensed" w:cs="Barlow Semi Condensed" w:eastAsia="Barlow Semi Condensed" w:hAnsi="Barlow Semi Condensed"/>
          <w:sz w:val="24"/>
          <w:szCs w:val="24"/>
        </w:rPr>
        <w:t xml:space="preserve"> Controverifica indipendente, con esito favorevole all'opera: la stringa del cognome restituisce zero occorrenze in nove-cantieri-mille-blocchi.md, zero in manuale-investigativo-nuovo-caso-moro.md, zero in agenda-di-ricerca-del-nuovo-caso-moro.md. I blocchi 47, 204 e 646 sono confermati. Il motivo della tenuta è strutturale: quei tre file non sono stati toccati dall'opera, sicché la misura riguarda un oggetto che il misuratore non poteva alterare.</w:t>
      </w:r>
    </w:p>
    <w:p>
      <w:pPr>
        <w:spacing w:after="120" w:line="276"/>
        <w:jc w:val="both"/>
      </w:pPr>
      <w:r>
        <w:rPr>
          <w:rFonts w:ascii="Barlow Semi Condensed" w:cs="Barlow Semi Condensed" w:eastAsia="Barlow Semi Condensed" w:hAnsi="Barlow Semi Condensed"/>
          <w:b/>
          <w:bCs/>
          <w:sz w:val="24"/>
          <w:szCs w:val="24"/>
        </w:rPr>
        <w:t xml:space="preserve">3939 · Perimetrare per file, non per branch.</w:t>
      </w:r>
      <w:r>
        <w:rPr>
          <w:rFonts w:ascii="Barlow Semi Condensed" w:cs="Barlow Semi Condensed" w:eastAsia="Barlow Semi Condensed" w:hAnsi="Barlow Semi Condensed"/>
          <w:sz w:val="24"/>
          <w:szCs w:val="24"/>
        </w:rPr>
        <w:t xml:space="preserve"> Regola di lettura ricavata dai tre casi precedenti, applicabile a ogni verifica meccanica futura del corpus: il perimetro di una ricerca a vuoto si dichiara elencando i file interrogati con la loro data, mai nominando l'insieme che conterrà anche il documento in scrittura. Il blocco 285 dell'agenda chiede dove, quando e con quale perimetro; questa serie aggiunge la clausola che rende la risposta stabile nel tempo.</w:t>
      </w:r>
    </w:p>
    <w:p>
      <w:pPr>
        <w:spacing w:after="120" w:line="276"/>
        <w:jc w:val="both"/>
      </w:pPr>
      <w:r>
        <w:rPr>
          <w:rFonts w:ascii="Barlow Semi Condensed" w:cs="Barlow Semi Condensed" w:eastAsia="Barlow Semi Condensed" w:hAnsi="Barlow Semi Condensed"/>
          <w:b/>
          <w:bCs/>
          <w:sz w:val="24"/>
          <w:szCs w:val="24"/>
        </w:rPr>
        <w:t xml:space="preserve">3940 · Il manifesto e i manifesti.</w:t>
      </w:r>
      <w:r>
        <w:rPr>
          <w:rFonts w:ascii="Barlow Semi Condensed" w:cs="Barlow Semi Condensed" w:eastAsia="Barlow Semi Condensed" w:hAnsi="Barlow Semi Condensed"/>
          <w:sz w:val="24"/>
          <w:szCs w:val="24"/>
        </w:rPr>
        <w:t xml:space="preserve"> Escluso dal blocco 24 come fonte, il quotidiano «il manifesto» produce nella ricerca della stringa sei righe del file: una sola è l'esclusione, alla riga 96, e cinque riguardano il manifesto tratto dalla fotografia di Korda, ai blocchi 435, 520, 573, 732 e 952. È il falso positivo che il blocco 9 descrive in astratto, verificatosi dentro l'opera che lo descriveva. La stringa va cercata con il suo contesto.</w:t>
      </w:r>
    </w:p>
    <w:p>
      <w:pPr>
        <w:spacing w:after="120" w:line="276"/>
        <w:jc w:val="both"/>
      </w:pPr>
      <w:r>
        <w:rPr>
          <w:rFonts w:ascii="Barlow Semi Condensed" w:cs="Barlow Semi Condensed" w:eastAsia="Barlow Semi Condensed" w:hAnsi="Barlow Semi Condensed"/>
          <w:b/>
          <w:bCs/>
          <w:sz w:val="24"/>
          <w:szCs w:val="24"/>
        </w:rPr>
        <w:t xml:space="preserve">3941 · Le due esclusioni sono rispettate.</w:t>
      </w:r>
      <w:r>
        <w:rPr>
          <w:rFonts w:ascii="Barlow Semi Condensed" w:cs="Barlow Semi Condensed" w:eastAsia="Barlow Semi Condensed" w:hAnsi="Barlow Semi Condensed"/>
          <w:sz w:val="24"/>
          <w:szCs w:val="24"/>
        </w:rPr>
        <w:t xml:space="preserve"> Accertamento di segno favorevole, da registrare con la stessa cura dei difetti: l'enciclopedia vietata compare una volta soltanto, nel blocco 24 che la vieta, e il quotidiano vietato non è mai adoperato come fonte in alcuno dei mille blocchi. Il divieto del committente non è stato aggirato per interposta citazione. La verifica è ripetibile in un minuto da chiunque disponga del file, ed è questo che la rende un accertamento.</w:t>
      </w:r>
    </w:p>
    <w:p>
      <w:pPr>
        <w:spacing w:after="120" w:line="276"/>
        <w:jc w:val="both"/>
      </w:pPr>
      <w:r>
        <w:rPr>
          <w:rFonts w:ascii="Barlow Semi Condensed" w:cs="Barlow Semi Condensed" w:eastAsia="Barlow Semi Condensed" w:hAnsi="Barlow Semi Condensed"/>
          <w:b/>
          <w:bCs/>
          <w:sz w:val="24"/>
          <w:szCs w:val="24"/>
        </w:rPr>
        <w:t xml:space="preserve">3942 · Angola non entra mai.</w:t>
      </w:r>
      <w:r>
        <w:rPr>
          <w:rFonts w:ascii="Barlow Semi Condensed" w:cs="Barlow Semi Condensed" w:eastAsia="Barlow Semi Condensed" w:hAnsi="Barlow Semi Condensed"/>
          <w:sz w:val="24"/>
          <w:szCs w:val="24"/>
        </w:rPr>
        <w:t xml:space="preserve"> Zero occorrenze restituisce la parola intera nell'intero file. Eppure aldo-moro-una-guerra-senza-fine-parte-terza.md, alla riga 84, elenca l'Angola fra gli archi documentati che il corpus attribuisce a questo nome, accanto al Cile. Mille blocchi costruiti su quel nome non toccano uno dei tre archi che il corpus gli assegnava. Stato Zero di trasmissione, con la sede che lo chiuderebbe: i volumi FRUS sull'Africa australe e i fondi del Consiglio di sicurezza nazionale a College Park.</w:t>
      </w:r>
    </w:p>
    <w:p>
      <w:pPr>
        <w:spacing w:after="120" w:line="276"/>
        <w:jc w:val="both"/>
      </w:pPr>
      <w:r>
        <w:rPr>
          <w:rFonts w:ascii="Barlow Semi Condensed" w:cs="Barlow Semi Condensed" w:eastAsia="Barlow Semi Condensed" w:hAnsi="Barlow Semi Condensed"/>
          <w:b/>
          <w:bCs/>
          <w:sz w:val="24"/>
          <w:szCs w:val="24"/>
        </w:rPr>
        <w:t xml:space="preserve">3943 · I fondi ai servizi italiani.</w:t>
      </w:r>
      <w:r>
        <w:rPr>
          <w:rFonts w:ascii="Barlow Semi Condensed" w:cs="Barlow Semi Condensed" w:eastAsia="Barlow Semi Condensed" w:hAnsi="Barlow Semi Condensed"/>
          <w:sz w:val="24"/>
          <w:szCs w:val="24"/>
        </w:rPr>
        <w:t xml:space="preserve"> Elenca la stessa riga 84 della Parte terza, fra quegli archi, «i fondi ai servizi italiani». I blocchi 114, 242 e 866 documentano invece che l'11 marzo 1969 il Comitato dei 303 convenne all'unanimità sull'assenza di reale giustificazione per riprendere il finanziamento coperto. Le due proposizioni non si compongono e nessuna delle due cita l'altra. La divergenza si riporta; la chiuderebbe la segnatura primaria che la Parte terza non produce.</w:t>
      </w:r>
    </w:p>
    <w:p>
      <w:pPr>
        <w:spacing w:after="120" w:line="276"/>
        <w:jc w:val="both"/>
      </w:pPr>
      <w:r>
        <w:rPr>
          <w:rFonts w:ascii="Barlow Semi Condensed" w:cs="Barlow Semi Condensed" w:eastAsia="Barlow Semi Condensed" w:hAnsi="Barlow Semi Condensed"/>
          <w:b/>
          <w:bCs/>
          <w:sz w:val="24"/>
          <w:szCs w:val="24"/>
        </w:rPr>
        <w:t xml:space="preserve">3944 · Un fascicolo citato e mai visto.</w:t>
      </w:r>
      <w:r>
        <w:rPr>
          <w:rFonts w:ascii="Barlow Semi Condensed" w:cs="Barlow Semi Condensed" w:eastAsia="Barlow Semi Condensed" w:hAnsi="Barlow Semi Condensed"/>
          <w:sz w:val="24"/>
          <w:szCs w:val="24"/>
        </w:rPr>
        <w:t xml:space="preserve"> Rinvia la medesima riga a «il fascicolo su Kissinger», descritto come triangolazione già condotta nel corpus. Nessun file del deposito porta quel nome e i mille blocchi non lo nominano. Il blocco 463 prevede esattamente questo caso e impone l'alternativa: o la segnatura, o la scheda del citato e non reperito. Bersaglio: aprire quella scheda, con la data della ricerca, e collocarla accanto alla riga che vi rinvia.</w:t>
      </w:r>
    </w:p>
    <w:p>
      <w:pPr>
        <w:spacing w:after="120" w:line="276"/>
        <w:jc w:val="both"/>
      </w:pPr>
      <w:r>
        <w:rPr>
          <w:rFonts w:ascii="Barlow Semi Condensed" w:cs="Barlow Semi Condensed" w:eastAsia="Barlow Semi Condensed" w:hAnsi="Barlow Semi Condensed"/>
          <w:b/>
          <w:bCs/>
          <w:sz w:val="24"/>
          <w:szCs w:val="24"/>
        </w:rPr>
        <w:t xml:space="preserve">3945 · La smentita era già altrove.</w:t>
      </w:r>
      <w:r>
        <w:rPr>
          <w:rFonts w:ascii="Barlow Semi Condensed" w:cs="Barlow Semi Condensed" w:eastAsia="Barlow Semi Condensed" w:hAnsi="Barlow Semi Condensed"/>
          <w:sz w:val="24"/>
          <w:szCs w:val="24"/>
        </w:rPr>
        <w:t xml:space="preserve"> Rimprovera il blocco 768 alla prima redazione del nodo del corpus di aver omesso la smentita dell'interessato. La cronologia del deposito mostra però che la Parte terza, depositata il 24 agosto 2026, alla riga 82 già scriveva «sempre smentito da Kissinger», un giorno prima dell'opera. L'omissione riguarda dunque il solo nodo M-5 della triangolazione Guevara-Moro, non il corpus. La correzione va ricalibrata sul suo bersaglio effettivo.</w:t>
      </w:r>
    </w:p>
    <w:p>
      <w:pPr>
        <w:spacing w:after="120" w:line="276"/>
        <w:jc w:val="both"/>
      </w:pPr>
      <w:r>
        <w:rPr>
          <w:rFonts w:ascii="Barlow Semi Condensed" w:cs="Barlow Semi Condensed" w:eastAsia="Barlow Semi Condensed" w:hAnsi="Barlow Semi Condensed"/>
          <w:b/>
          <w:bCs/>
          <w:sz w:val="24"/>
          <w:szCs w:val="24"/>
        </w:rPr>
        <w:t xml:space="preserve">3946 · Il verbatim che nessuno riproduce.</w:t>
      </w:r>
      <w:r>
        <w:rPr>
          <w:rFonts w:ascii="Barlow Semi Condensed" w:cs="Barlow Semi Condensed" w:eastAsia="Barlow Semi Condensed" w:hAnsi="Barlow Semi Condensed"/>
          <w:sz w:val="24"/>
          <w:szCs w:val="24"/>
        </w:rPr>
        <w:t xml:space="preserve"> Reca il nodo M-5, alla riga 96 di triangolazioni-guevara-moro.md, la frase attribuita fra virgolette. Nessuno dei mille blocchi la riproduce, né dichiara da quale testimone la virgolettatura provenga. Il blocco 569 impone di registrare del testimone più antico la data, la sede, la lingua e la forma esatta. Bersaglio con sede: il verbale d'udienza della Corte d'assise di Roma del novembre 1982, presso la cancelleria che lo conserva.</w:t>
      </w:r>
    </w:p>
    <w:p>
      <w:pPr>
        <w:spacing w:after="120" w:line="276"/>
        <w:jc w:val="both"/>
      </w:pPr>
      <w:r>
        <w:rPr>
          <w:rFonts w:ascii="Barlow Semi Condensed" w:cs="Barlow Semi Condensed" w:eastAsia="Barlow Semi Condensed" w:hAnsi="Barlow Semi Condensed"/>
          <w:b/>
          <w:bCs/>
          <w:sz w:val="24"/>
          <w:szCs w:val="24"/>
        </w:rPr>
        <w:t xml:space="preserve">3947 · Due redazioni della stessa correzione.</w:t>
      </w:r>
      <w:r>
        <w:rPr>
          <w:rFonts w:ascii="Barlow Semi Condensed" w:cs="Barlow Semi Condensed" w:eastAsia="Barlow Semi Condensed" w:hAnsi="Barlow Semi Condensed"/>
          <w:sz w:val="24"/>
          <w:szCs w:val="24"/>
        </w:rPr>
        <w:t xml:space="preserve"> Esistono in due luoghi le sette precisazioni sull'avvertimento: l'Apparato K-4 dell'opera e la nota di revisione aggiunta a triangolazioni-guevara-moro.md il 25 agosto 2026. I due testi non coincidono parola per parola. Il blocco 240 prescrive la collazione fra testimoni con l'apparato delle varianti; qui i due testimoni appartengono allo stesso autore e allo stesso giorno. Bersaglio interno: allineare le due lezioni o dichiarare quale sia autorevole.</w:t>
      </w:r>
    </w:p>
    <w:p>
      <w:pPr>
        <w:spacing w:after="120" w:line="276"/>
        <w:jc w:val="both"/>
      </w:pPr>
      <w:r>
        <w:rPr>
          <w:rFonts w:ascii="Barlow Semi Condensed" w:cs="Barlow Semi Condensed" w:eastAsia="Barlow Semi Condensed" w:hAnsi="Barlow Semi Condensed"/>
          <w:b/>
          <w:bCs/>
          <w:sz w:val="24"/>
          <w:szCs w:val="24"/>
        </w:rPr>
        <w:t xml:space="preserve">3948 · Confermato in sede parlamentare.</w:t>
      </w:r>
      <w:r>
        <w:rPr>
          <w:rFonts w:ascii="Barlow Semi Condensed" w:cs="Barlow Semi Condensed" w:eastAsia="Barlow Semi Condensed" w:hAnsi="Barlow Semi Condensed"/>
          <w:sz w:val="24"/>
          <w:szCs w:val="24"/>
        </w:rPr>
        <w:t xml:space="preserve"> Ricorre la formula ai blocchi 44, 90, 185, 225, 312, 429, 751, 849 e 874. I blocchi 695, 753, 754, 877 e 879 accertano invece che la vedova parlò di un'alta personalità senza nominarla e che il nome fu ottenuto in aula dal presidente della corte nel 1982. La precisazione non ha raggiunto le nove occorrenze anteriori. Il blocco 475 vuole la qualificazione nella stessa frase del dato: qui non vi è.</w:t>
      </w:r>
    </w:p>
    <w:p>
      <w:pPr>
        <w:spacing w:after="120" w:line="276"/>
        <w:jc w:val="both"/>
      </w:pPr>
      <w:r>
        <w:rPr>
          <w:rFonts w:ascii="Barlow Semi Condensed" w:cs="Barlow Semi Condensed" w:eastAsia="Barlow Semi Condensed" w:hAnsi="Barlow Semi Condensed"/>
          <w:b/>
          <w:bCs/>
          <w:sz w:val="24"/>
          <w:szCs w:val="24"/>
        </w:rPr>
        <w:t xml:space="preserve">3949 · L'insofferenza di Helsinki sale di grado.</w:t>
      </w:r>
      <w:r>
        <w:rPr>
          <w:rFonts w:ascii="Barlow Semi Condensed" w:cs="Barlow Semi Condensed" w:eastAsia="Barlow Semi Condensed" w:hAnsi="Barlow Semi Condensed"/>
          <w:sz w:val="24"/>
          <w:szCs w:val="24"/>
        </w:rPr>
        <w:t xml:space="preserve"> Dichiarato di provenienza pubblicistica e secondaria al blocco 43, il rilievo sull'insofferenza per il coinvolgimento comunitario diventa «fatto pubblico» registrato dal corpus al blocco 738 e «dato acquisito» al blocco 872. Il blocco 256 ne chiedeva il primario e non lo ha ottenuto. È promozione per ripetizione interna, cioè il vizio che il blocco 882 chiama pseudoreplica. Deciderebbe il volume FRUS XXXIX, con i memoranda della Ford Library per luglio e agosto 1975.</w:t>
      </w:r>
    </w:p>
    <w:p>
      <w:pPr>
        <w:spacing w:after="120" w:line="276"/>
        <w:jc w:val="both"/>
      </w:pPr>
      <w:r>
        <w:rPr>
          <w:rFonts w:ascii="Barlow Semi Condensed" w:cs="Barlow Semi Condensed" w:eastAsia="Barlow Semi Condensed" w:hAnsi="Barlow Semi Condensed"/>
          <w:b/>
          <w:bCs/>
          <w:sz w:val="24"/>
          <w:szCs w:val="24"/>
        </w:rPr>
        <w:t xml:space="preserve">3950 · Il Comitato dei 40, due statuti.</w:t>
      </w:r>
      <w:r>
        <w:rPr>
          <w:rFonts w:ascii="Barlow Semi Condensed" w:cs="Barlow Semi Condensed" w:eastAsia="Barlow Semi Condensed" w:hAnsi="Barlow Semi Condensed"/>
          <w:sz w:val="24"/>
          <w:szCs w:val="24"/>
        </w:rPr>
        <w:t xml:space="preserve"> Un direttivo presidenziale sostituì agli inizi del 1970 il Comitato dei 303: il blocco 245 ne fa un quesito aperto e ne chiede data e segnatura esatte, il blocco 500 ne afferma la ridenominazione nel febbraio 1970 senza produrle. Quesito e asserzione sullo stesso oggetto convivono a duecentocinquantacinque blocchi di distanza. Si chiude sulla serie dei direttivi del Consiglio di sicurezza nazionale presso i National Archives di College Park.</w:t>
      </w:r>
    </w:p>
    <w:p>
      <w:pPr>
        <w:spacing w:after="120" w:line="276"/>
        <w:jc w:val="both"/>
      </w:pPr>
      <w:r>
        <w:rPr>
          <w:rFonts w:ascii="Barlow Semi Condensed" w:cs="Barlow Semi Condensed" w:eastAsia="Barlow Semi Condensed" w:hAnsi="Barlow Semi Condensed"/>
          <w:b/>
          <w:bCs/>
          <w:sz w:val="24"/>
          <w:szCs w:val="24"/>
        </w:rPr>
        <w:t xml:space="preserve">3951 · Un rapporto diretto, oppure tre.</w:t>
      </w:r>
      <w:r>
        <w:rPr>
          <w:rFonts w:ascii="Barlow Semi Condensed" w:cs="Barlow Semi Condensed" w:eastAsia="Barlow Semi Condensed" w:hAnsi="Barlow Semi Condensed"/>
          <w:sz w:val="24"/>
          <w:szCs w:val="24"/>
        </w:rPr>
        <w:t xml:space="preserve"> Scrive il blocco 37 che il rapporto diretto documentato fra Moro e Kissinger «è uno», e nella stessa frase gliene affianca un secondo, il verbale del 26 settembre. Il blocco 893 ne conta tre, includendo la firma di Helsinki e la riunione del marzo 1969, che però non è un rapporto fra i due. Il conteggio del piano uno non è stabile dentro l'opera, e va fissato una volta con l'elenco delle segnature.</w:t>
      </w:r>
    </w:p>
    <w:p>
      <w:pPr>
        <w:spacing w:after="120" w:line="276"/>
        <w:jc w:val="both"/>
      </w:pPr>
      <w:r>
        <w:rPr>
          <w:rFonts w:ascii="Barlow Semi Condensed" w:cs="Barlow Semi Condensed" w:eastAsia="Barlow Semi Condensed" w:hAnsi="Barlow Semi Condensed"/>
          <w:b/>
          <w:bCs/>
          <w:sz w:val="24"/>
          <w:szCs w:val="24"/>
        </w:rPr>
        <w:t xml:space="preserve">3952 · La seconda edizione riveduta, disattesa.</w:t>
      </w:r>
      <w:r>
        <w:rPr>
          <w:rFonts w:ascii="Barlow Semi Condensed" w:cs="Barlow Semi Condensed" w:eastAsia="Barlow Semi Condensed" w:hAnsi="Barlow Semi Condensed"/>
          <w:sz w:val="24"/>
          <w:szCs w:val="24"/>
        </w:rPr>
        <w:t xml:space="preserve"> Stabilisce il blocco 676 che il documento 350 del volume E-15 parte seconda vada citato nella seconda edizione riveduta, perché due edizioni possono divergere e una verifica irripetibile non è una verifica. I blocchi 37, 187, 214, 301, 426, 509, 861 e 978 citano quel documento senza indicare l'edizione. La regola più minuta che l'opera si è data è quella che l'opera osserva meno. Emenda a costo nullo, eseguibile sul file.</w:t>
      </w:r>
    </w:p>
    <w:p>
      <w:pPr>
        <w:spacing w:after="120" w:line="276"/>
        <w:jc w:val="both"/>
      </w:pPr>
      <w:r>
        <w:rPr>
          <w:rFonts w:ascii="Barlow Semi Condensed" w:cs="Barlow Semi Condensed" w:eastAsia="Barlow Semi Condensed" w:hAnsi="Barlow Semi Condensed"/>
          <w:b/>
          <w:bCs/>
          <w:sz w:val="24"/>
          <w:szCs w:val="24"/>
        </w:rPr>
        <w:t xml:space="preserve">3953 · Wiriyamu, i nominativi migrati.</w:t>
      </w:r>
      <w:r>
        <w:rPr>
          <w:rFonts w:ascii="Barlow Semi Condensed" w:cs="Barlow Semi Condensed" w:eastAsia="Barlow Semi Condensed" w:hAnsi="Barlow Semi Condensed"/>
          <w:sz w:val="24"/>
          <w:szCs w:val="24"/>
        </w:rPr>
        <w:t xml:space="preserve"> Riporta il blocco 333 la forbice delle vittime di Wiriyamu e scrive «trecentottantacinque nominativi accertati». La fonte interna che l'opera dichiara, la tavola delle divergenze della seconda campagna, registra «almeno 385» senza qualificazione nominativa, e attribuisce invece a una stima di quattrocento la presenza di centosettantasette identificati per nome. Il numero centosettantasette scompare e l'aggettivo migra. È mutazione di trascrizione accertata sul testimone, del genere che il blocco 564 chiama mutazione di senso.</w:t>
      </w:r>
    </w:p>
    <w:p>
      <w:pPr>
        <w:spacing w:after="120" w:line="276"/>
        <w:jc w:val="both"/>
      </w:pPr>
      <w:r>
        <w:rPr>
          <w:rFonts w:ascii="Barlow Semi Condensed" w:cs="Barlow Semi Condensed" w:eastAsia="Barlow Semi Condensed" w:hAnsi="Barlow Semi Condensed"/>
          <w:b/>
          <w:bCs/>
          <w:sz w:val="24"/>
          <w:szCs w:val="24"/>
        </w:rPr>
        <w:t xml:space="preserve">3954 · Undici giorni fissano una data contesa.</w:t>
      </w:r>
      <w:r>
        <w:rPr>
          <w:rFonts w:ascii="Barlow Semi Condensed" w:cs="Barlow Semi Condensed" w:eastAsia="Barlow Semi Condensed" w:hAnsi="Barlow Semi Condensed"/>
          <w:sz w:val="24"/>
          <w:szCs w:val="24"/>
        </w:rPr>
        <w:t xml:space="preserve"> Apre il blocco 329 dicendo che l'espulsione avvenne «undici giorni prima della rivoluzione» e prosegue dichiarando la data oscillante fra il 10 e il 14 aprile 1974. L'aritmetica presuppone il 14; la fonte interna del corpus indica il 13, sabato santo, come variante più ricorrente, e propone la forbice fra il 12 e il 14. Una divergenza dichiarata nella seconda frase è già stata risolta in silenzio dalla prima.</w:t>
      </w:r>
    </w:p>
    <w:p>
      <w:pPr>
        <w:spacing w:after="120" w:line="276"/>
        <w:jc w:val="both"/>
      </w:pPr>
      <w:r>
        <w:rPr>
          <w:rFonts w:ascii="Barlow Semi Condensed" w:cs="Barlow Semi Condensed" w:eastAsia="Barlow Semi Condensed" w:hAnsi="Barlow Semi Condensed"/>
          <w:b/>
          <w:bCs/>
          <w:sz w:val="24"/>
          <w:szCs w:val="24"/>
        </w:rPr>
        <w:t xml:space="preserve">3955 · Tre divergenze non trasmesse.</w:t>
      </w:r>
      <w:r>
        <w:rPr>
          <w:rFonts w:ascii="Barlow Semi Condensed" w:cs="Barlow Semi Condensed" w:eastAsia="Barlow Semi Condensed" w:hAnsi="Barlow Semi Condensed"/>
          <w:sz w:val="24"/>
          <w:szCs w:val="24"/>
        </w:rPr>
        <w:t xml:space="preserve"> Otto divergenze aperte elenca la tavola della seconda campagna. I mille blocchi ne trasmettono cinque. Restano fuori il comunicato sul riconoscimento della Cina, datato al 5 o al 6 novembre 1970, le date del serpente monetario e la duplice datazione della conferenza di solidarietà di Reggio Emilia del 1973. Verifica eseguita: le stringhe «Cina» e «serpente» non compaiono nel file. Il blocco 592, che dichiara di tenere l'elenco aperto, ne tiene metà.</w:t>
      </w:r>
    </w:p>
    <w:p>
      <w:pPr>
        <w:spacing w:after="120" w:line="276"/>
        <w:jc w:val="both"/>
      </w:pPr>
      <w:r>
        <w:rPr>
          <w:rFonts w:ascii="Barlow Semi Condensed" w:cs="Barlow Semi Condensed" w:eastAsia="Barlow Semi Condensed" w:hAnsi="Barlow Semi Condensed"/>
          <w:b/>
          <w:bCs/>
          <w:sz w:val="24"/>
          <w:szCs w:val="24"/>
        </w:rPr>
        <w:t xml:space="preserve">3956 · Pignedoli e Sossi restano fuori.</w:t>
      </w:r>
      <w:r>
        <w:rPr>
          <w:rFonts w:ascii="Barlow Semi Condensed" w:cs="Barlow Semi Condensed" w:eastAsia="Barlow Semi Condensed" w:hAnsi="Barlow Semi Condensed"/>
          <w:sz w:val="24"/>
          <w:szCs w:val="24"/>
        </w:rPr>
        <w:t xml:space="preserve"> Consegnava la seconda campagna al blocco 193 dei nove cantieri un precedente con nome e data, il canale del cardinale Pignedoli nel sequestro Sossi dell'aprile-maggio 1974, quattro anni prima dei cinquantacinque giorni. Nessuno dei due nomi compare nel file. La serie settima, che tratta per intero il canale ecclesiastico ai blocchi 530-539, non lo raccoglie. Stato Zero di trasmissione, chiudibile sul fascicolo Sossi e sulle carte della Segreteria di Stato.</w:t>
      </w:r>
    </w:p>
    <w:p>
      <w:pPr>
        <w:spacing w:after="120" w:line="276"/>
        <w:jc w:val="both"/>
      </w:pPr>
      <w:r>
        <w:rPr>
          <w:rFonts w:ascii="Barlow Semi Condensed" w:cs="Barlow Semi Condensed" w:eastAsia="Barlow Semi Condensed" w:hAnsi="Barlow Semi Condensed"/>
          <w:b/>
          <w:bCs/>
          <w:sz w:val="24"/>
          <w:szCs w:val="24"/>
        </w:rPr>
        <w:t xml:space="preserve">3957 · Il fondo Zagari non arriva.</w:t>
      </w:r>
      <w:r>
        <w:rPr>
          <w:rFonts w:ascii="Barlow Semi Condensed" w:cs="Barlow Semi Condensed" w:eastAsia="Barlow Semi Condensed" w:hAnsi="Barlow Semi Condensed"/>
          <w:sz w:val="24"/>
          <w:szCs w:val="24"/>
        </w:rPr>
        <w:t xml:space="preserve"> Fra i giacimenti nuovi che la seconda campagna aveva consegnato al corpus figura il Fondo Mario Zagari dell'Archivio storico del Senato, con un fascicolo sulle colonie portoghesi. La stringa non compare nel file. L'opera gemella sull'Africa australe lo ha invece raccolto e ne ha fatto un bersaglio. Due opere costruite sullo stesso deposito hanno prelevato in modo diverso dalla stessa consegna: la differenza è di spoglio, e va misurata prima di essere spiegata.</w:t>
      </w:r>
    </w:p>
    <w:p>
      <w:pPr>
        <w:spacing w:after="120" w:line="276"/>
        <w:jc w:val="both"/>
      </w:pPr>
      <w:r>
        <w:rPr>
          <w:rFonts w:ascii="Barlow Semi Condensed" w:cs="Barlow Semi Condensed" w:eastAsia="Barlow Semi Condensed" w:hAnsi="Barlow Semi Condensed"/>
          <w:b/>
          <w:bCs/>
          <w:sz w:val="24"/>
          <w:szCs w:val="24"/>
        </w:rPr>
        <w:t xml:space="preserve">3958 · La scala senza il grado M.</w:t>
      </w:r>
      <w:r>
        <w:rPr>
          <w:rFonts w:ascii="Barlow Semi Condensed" w:cs="Barlow Semi Condensed" w:eastAsia="Barlow Semi Condensed" w:hAnsi="Barlow Semi Condensed"/>
          <w:sz w:val="24"/>
          <w:szCs w:val="24"/>
        </w:rPr>
        <w:t xml:space="preserve"> Cinque voci elenca il blocco 210 come «la scala di sempre»: A, B, C, F e Stato Zero. L'apparato dei gradi del corpus, depositato il 24 agosto 2026, ne adopera una sesta, M, per le asserzioni che sono patti di lettura e non proposizioni sul mondo. Le centinaia di blocchi che nell'opera enunciano regole di lettura restano perciò privi di grado. Bersaglio: recepire la sesta voce o dichiarare perché la si esclude.</w:t>
      </w:r>
    </w:p>
    <w:p>
      <w:pPr>
        <w:spacing w:after="120" w:line="276"/>
        <w:jc w:val="both"/>
      </w:pPr>
      <w:r>
        <w:rPr>
          <w:rFonts w:ascii="Barlow Semi Condensed" w:cs="Barlow Semi Condensed" w:eastAsia="Barlow Semi Condensed" w:hAnsi="Barlow Semi Condensed"/>
          <w:b/>
          <w:bCs/>
          <w:sz w:val="24"/>
          <w:szCs w:val="24"/>
        </w:rPr>
        <w:t xml:space="preserve">3959 · L'autometrica invecchiata dal proprio peso.</w:t>
      </w:r>
      <w:r>
        <w:rPr>
          <w:rFonts w:ascii="Barlow Semi Condensed" w:cs="Barlow Semi Condensed" w:eastAsia="Barlow Semi Condensed" w:hAnsi="Barlow Semi Condensed"/>
          <w:sz w:val="24"/>
          <w:szCs w:val="24"/>
        </w:rPr>
        <w:t xml:space="preserve"> Esibisce il blocco 476 l'automisurazione del branch come fenotipo osservabile da chiunque rifaccia il conto. Il conto rifatto oggi dà cinquantuno file markdown e oltre trecentoquindicimila parole, contro i trentasei documenti e le centoquattromilacinquecentoquattro parole registrate in metodologie-del-dossier-sinaptogenesi-e-strumenti.md. L'opera da sola ne pesa settantaquattromilacinquecentoventisette. La misura invocata è stata resa obsoleta dall'atto che la invocava, e va rifatta e ripubblicata con la sua data.</w:t>
      </w:r>
    </w:p>
    <w:p>
      <w:pPr>
        <w:spacing w:after="120" w:line="276"/>
        <w:jc w:val="both"/>
      </w:pPr>
      <w:r>
        <w:rPr>
          <w:rFonts w:ascii="Barlow Semi Condensed" w:cs="Barlow Semi Condensed" w:eastAsia="Barlow Semi Condensed" w:hAnsi="Barlow Semi Condensed"/>
          <w:b/>
          <w:bCs/>
          <w:sz w:val="24"/>
          <w:szCs w:val="24"/>
        </w:rPr>
        <w:t xml:space="preserve">3960 · Il tasso d'errore mai misurato.</w:t>
      </w:r>
      <w:r>
        <w:rPr>
          <w:rFonts w:ascii="Barlow Semi Condensed" w:cs="Barlow Semi Condensed" w:eastAsia="Barlow Semi Condensed" w:hAnsi="Barlow Semi Condensed"/>
          <w:sz w:val="24"/>
          <w:szCs w:val="24"/>
        </w:rPr>
        <w:t xml:space="preserve"> Esteso dal blocco 626 alla trascrizione delle citazioni, l'obbligo del doppio spoglio indipendente su campione fisso e della pubblicazione dello scarto misurato non risulta eseguito sui mille blocchi: l'Apparato K dichiara due errori trovati in casa, che sono un aneddoto e non un tasso. Stato Zero di metodo, chiudibile senza archivio: bastano un campione dichiarato, due lettori e una riga di risultato pubblicata accanto al testo.</w:t>
      </w:r>
    </w:p>
    <w:p>
      <w:pPr>
        <w:spacing w:after="120" w:line="276"/>
        <w:jc w:val="both"/>
      </w:pPr>
      <w:r>
        <w:rPr>
          <w:rFonts w:ascii="Barlow Semi Condensed" w:cs="Barlow Semi Condensed" w:eastAsia="Barlow Semi Condensed" w:hAnsi="Barlow Semi Condensed"/>
          <w:b/>
          <w:bCs/>
          <w:sz w:val="24"/>
          <w:szCs w:val="24"/>
        </w:rPr>
        <w:t xml:space="preserve">3961 · Il registro delle correzioni non esiste.</w:t>
      </w:r>
      <w:r>
        <w:rPr>
          <w:rFonts w:ascii="Barlow Semi Condensed" w:cs="Barlow Semi Condensed" w:eastAsia="Barlow Semi Condensed" w:hAnsi="Barlow Semi Condensed"/>
          <w:sz w:val="24"/>
          <w:szCs w:val="24"/>
        </w:rPr>
        <w:t xml:space="preserve"> Promette il blocco 11 che ciascuna serie apra e mantenga un proprio registro delle correzioni, con l'indicazione di che cosa sia stato scritto, che cosa emendato, su quale documento e in quale data. Nel file non compare alcun registro di questo genere, né in testa né in coda alle tredici serie. La promessa è di grado M; il suo mancato adempimento è un fatto verificabile sul testo, e si dichiara qui.</w:t>
      </w:r>
    </w:p>
    <w:p>
      <w:pPr>
        <w:spacing w:after="120" w:line="276"/>
        <w:jc w:val="both"/>
      </w:pPr>
      <w:r>
        <w:rPr>
          <w:rFonts w:ascii="Barlow Semi Condensed" w:cs="Barlow Semi Condensed" w:eastAsia="Barlow Semi Condensed" w:hAnsi="Barlow Semi Condensed"/>
          <w:b/>
          <w:bCs/>
          <w:sz w:val="24"/>
          <w:szCs w:val="24"/>
        </w:rPr>
        <w:t xml:space="preserve">3962 · Il conto promesso in chiusura.</w:t>
      </w:r>
      <w:r>
        <w:rPr>
          <w:rFonts w:ascii="Barlow Semi Condensed" w:cs="Barlow Semi Condensed" w:eastAsia="Barlow Semi Condensed" w:hAnsi="Barlow Semi Condensed"/>
          <w:sz w:val="24"/>
          <w:szCs w:val="24"/>
        </w:rPr>
        <w:t xml:space="preserve"> Impegnano i blocchi 13 e 60 ciascuna serie a rispondere di quanti bersagli documentali nuovi la metafora le abbia fatto scrivere, e annunciano che «il conto sarà fatto in chiusura». La sezione conclusiva su ciò che l'opera non ha stabilito non contiene alcun conto. Il criterio dichiarato per giudicare la lente resta inapplicato dall'opera che lo ha dichiarato. Bersaglio interno, eseguibile per conteggio sui blocchi che nominano una sede.</w:t>
      </w:r>
    </w:p>
    <w:p>
      <w:pPr>
        <w:spacing w:after="120" w:line="276"/>
        <w:jc w:val="both"/>
      </w:pPr>
      <w:r>
        <w:rPr>
          <w:rFonts w:ascii="Barlow Semi Condensed" w:cs="Barlow Semi Condensed" w:eastAsia="Barlow Semi Condensed" w:hAnsi="Barlow Semi Condensed"/>
          <w:b/>
          <w:bCs/>
          <w:sz w:val="24"/>
          <w:szCs w:val="24"/>
        </w:rPr>
        <w:t xml:space="preserve">3963 · Quattro strumenti proposti e non costruiti.</w:t>
      </w:r>
      <w:r>
        <w:rPr>
          <w:rFonts w:ascii="Barlow Semi Condensed" w:cs="Barlow Semi Condensed" w:eastAsia="Barlow Semi Condensed" w:hAnsi="Barlow Semi Condensed"/>
          <w:sz w:val="24"/>
          <w:szCs w:val="24"/>
        </w:rPr>
        <w:t xml:space="preserve"> Propone l'opera la scheda della citazione al blocco 579, il registro delle formule apocrife al blocco 603, il registro tabellare dei vuoti al blocco 660 e la cronologia delle rotture di silenzio al blocco 819, quest'ultima definita «prodotto mancante e realizzabile». Nessuno dei quattro esiste nel file. Nessuno dei quattro richiede una sala d'archivio: si costruiscono sul materiale già citato, e la loro assenza si misura, non si giustifica.</w:t>
      </w:r>
    </w:p>
    <w:p>
      <w:pPr>
        <w:spacing w:after="120" w:line="276"/>
        <w:jc w:val="both"/>
      </w:pPr>
      <w:r>
        <w:rPr>
          <w:rFonts w:ascii="Barlow Semi Condensed" w:cs="Barlow Semi Condensed" w:eastAsia="Barlow Semi Condensed" w:hAnsi="Barlow Semi Condensed"/>
          <w:b/>
          <w:bCs/>
          <w:sz w:val="24"/>
          <w:szCs w:val="24"/>
        </w:rPr>
        <w:t xml:space="preserve">3964 · Bersagli per altri, bersagli per sé.</w:t>
      </w:r>
      <w:r>
        <w:rPr>
          <w:rFonts w:ascii="Barlow Semi Condensed" w:cs="Barlow Semi Condensed" w:eastAsia="Barlow Semi Condensed" w:hAnsi="Barlow Semi Condensed"/>
          <w:sz w:val="24"/>
          <w:szCs w:val="24"/>
        </w:rPr>
        <w:t xml:space="preserve"> Ne discende una distinzione che l'opera non fa e che ogni lavoro a blocchi dovrebbe fare: separare i bersagli assegnati a un terzo, che richiedono una tessera d'archivio, dai bersagli assegnati a sé stessi, eseguibili con il materiale già in mano. I primi restano legittimamente aperti; i secondi, restando aperti, misurano il lavoro non fatto. La proporzione fra le due classi è il dato più onesto che un'opera di bersagli possa pubblicare.</w:t>
      </w:r>
    </w:p>
    <w:p>
      <w:pPr>
        <w:spacing w:after="120" w:line="276"/>
        <w:jc w:val="both"/>
      </w:pPr>
      <w:r>
        <w:rPr>
          <w:rFonts w:ascii="Barlow Semi Condensed" w:cs="Barlow Semi Condensed" w:eastAsia="Barlow Semi Condensed" w:hAnsi="Barlow Semi Condensed"/>
          <w:b/>
          <w:bCs/>
          <w:sz w:val="24"/>
          <w:szCs w:val="24"/>
        </w:rPr>
        <w:t xml:space="preserve">3965 · Il raccolto del piano uno.</w:t>
      </w:r>
      <w:r>
        <w:rPr>
          <w:rFonts w:ascii="Barlow Semi Condensed" w:cs="Barlow Semi Condensed" w:eastAsia="Barlow Semi Condensed" w:hAnsi="Barlow Semi Condensed"/>
          <w:sz w:val="24"/>
          <w:szCs w:val="24"/>
        </w:rPr>
        <w:t xml:space="preserve"> Spogliate tutte e tredici le serie, le segnature che l'opera colloca al piano uno sono contate: i due memoranda della Ford Library 1552802 e 1552806, i documenti 180 e 188 del volume FRUS XLI, i documenti 133 e 153 del volume E-15 parte seconda, il documento 264 del volume XXIX, i documenti 16, 23, 25 e 194 del volume XXX, il documento 334 del volume XXXIX, il regolamento comunitario 1842/71 e il rapporto del 22 maggio 1970.</w:t>
      </w:r>
    </w:p>
    <w:p>
      <w:pPr>
        <w:spacing w:after="120" w:line="276"/>
        <w:jc w:val="both"/>
      </w:pPr>
      <w:r>
        <w:rPr>
          <w:rFonts w:ascii="Barlow Semi Condensed" w:cs="Barlow Semi Condensed" w:eastAsia="Barlow Semi Condensed" w:hAnsi="Barlow Semi Condensed"/>
          <w:b/>
          <w:bCs/>
          <w:sz w:val="24"/>
          <w:szCs w:val="24"/>
        </w:rPr>
        <w:t xml:space="preserve">3966 · Due sole carte nominano entrambi.</w:t>
      </w:r>
      <w:r>
        <w:rPr>
          <w:rFonts w:ascii="Barlow Semi Condensed" w:cs="Barlow Semi Condensed" w:eastAsia="Barlow Semi Condensed" w:hAnsi="Barlow Semi Condensed"/>
          <w:sz w:val="24"/>
          <w:szCs w:val="24"/>
        </w:rPr>
        <w:t xml:space="preserve"> Di quell'elenco, le carte che nominano insieme Aldo Moro e Henry Kissinger sono due, e sono i memoranda del 25 e del 26 settembre 1974. Tutte le altre nominano l'uno o l'altro, oppure nessuno dei due. È il risultato più compatto che la rilettura esterna possa consegnare, ed è un accertamento sul corpus e non sul mondo: dice quante carte l'opera ha portato, non quante ne esistano.</w:t>
      </w:r>
    </w:p>
    <w:p>
      <w:pPr>
        <w:spacing w:after="120" w:line="276"/>
        <w:jc w:val="both"/>
      </w:pPr>
      <w:r>
        <w:rPr>
          <w:rFonts w:ascii="Barlow Semi Condensed" w:cs="Barlow Semi Condensed" w:eastAsia="Barlow Semi Condensed" w:hAnsi="Barlow Semi Condensed"/>
          <w:b/>
          <w:bCs/>
          <w:sz w:val="24"/>
          <w:szCs w:val="24"/>
        </w:rPr>
        <w:t xml:space="preserve">3967 · Nessun arco nuovo alla rete.</w:t>
      </w:r>
      <w:r>
        <w:rPr>
          <w:rFonts w:ascii="Barlow Semi Condensed" w:cs="Barlow Semi Condensed" w:eastAsia="Barlow Semi Condensed" w:hAnsi="Barlow Semi Condensed"/>
          <w:sz w:val="24"/>
          <w:szCs w:val="24"/>
        </w:rPr>
        <w:t xml:space="preserve"> Accerta il blocco 52 che nella rete documentata del corpus — trentanove nodi, cinquantanove archi, ventotto di grado A, ventisei F, cinque B — il nome non figura fra i nodi censiti, e rinvia alle serie successive la costruzione degli archi. La verifica su metodologie-del-dossier-sinaptogenesi-e-strumenti.md conferma i numeri e la loro redazione immutata. Dopo mille blocchi la rete non è stata ricalcolata e nessun arco vi è stato aggiunto.</w:t>
      </w:r>
    </w:p>
    <w:p>
      <w:pPr>
        <w:spacing w:after="120" w:line="276"/>
        <w:jc w:val="both"/>
      </w:pPr>
      <w:r>
        <w:rPr>
          <w:rFonts w:ascii="Barlow Semi Condensed" w:cs="Barlow Semi Condensed" w:eastAsia="Barlow Semi Condensed" w:hAnsi="Barlow Semi Condensed"/>
          <w:b/>
          <w:bCs/>
          <w:sz w:val="24"/>
          <w:szCs w:val="24"/>
        </w:rPr>
        <w:t xml:space="preserve">3968 · La colonna americana resta chiusa.</w:t>
      </w:r>
      <w:r>
        <w:rPr>
          <w:rFonts w:ascii="Barlow Semi Condensed" w:cs="Barlow Semi Condensed" w:eastAsia="Barlow Semi Condensed" w:hAnsi="Barlow Semi Condensed"/>
          <w:sz w:val="24"/>
          <w:szCs w:val="24"/>
        </w:rPr>
        <w:t xml:space="preserve"> Rivendica il blocco 49 come primo prodotto operativo dell'opera l'apertura nella quadriga di una colonna statunitense, con la serie FRUS, i Nixon Presidential Materials, la Ford Library e la Carter Library. I tre file della quadriga restano privi di quella colonna e privi del nome, come la verifica odierna conferma. Il bersaglio è dichiarato, non eseguito, e la distinzione fra le due condizioni è quella che il blocco 659 chiama esito trinario.</w:t>
      </w:r>
    </w:p>
    <w:p>
      <w:pPr>
        <w:spacing w:after="120" w:line="276"/>
        <w:jc w:val="both"/>
      </w:pPr>
      <w:r>
        <w:rPr>
          <w:rFonts w:ascii="Barlow Semi Condensed" w:cs="Barlow Semi Condensed" w:eastAsia="Barlow Semi Condensed" w:hAnsi="Barlow Semi Condensed"/>
          <w:b/>
          <w:bCs/>
          <w:sz w:val="24"/>
          <w:szCs w:val="24"/>
        </w:rPr>
        <w:t xml:space="preserve">3969 · Che cosa smentirebbe questa rilettura.</w:t>
      </w:r>
      <w:r>
        <w:rPr>
          <w:rFonts w:ascii="Barlow Semi Condensed" w:cs="Barlow Semi Condensed" w:eastAsia="Barlow Semi Condensed" w:hAnsi="Barlow Semi Condensed"/>
          <w:sz w:val="24"/>
          <w:szCs w:val="24"/>
        </w:rPr>
        <w:t xml:space="preserve"> Va dichiarato prima delle conclusioni il criterio di caduta. Questa serie cadrebbe davanti alla produzione di una terza carta, coeva e con segnatura, che nomini insieme i due uomini e che le tredici serie avessero già citato senza che la rilettura la registri; oppure davanti alla dimostrazione che uno dei difetti materiali qui elencati non è nel file. Entrambe le smentite si eseguono sul testo, in una sola seduta di lettura.</w:t>
      </w:r>
    </w:p>
    <w:p>
      <w:pPr>
        <w:spacing w:after="120" w:line="276"/>
        <w:jc w:val="both"/>
      </w:pPr>
      <w:r>
        <w:rPr>
          <w:rFonts w:ascii="Barlow Semi Condensed" w:cs="Barlow Semi Condensed" w:eastAsia="Barlow Semi Condensed" w:hAnsi="Barlow Semi Condensed"/>
          <w:b/>
          <w:bCs/>
          <w:sz w:val="24"/>
          <w:szCs w:val="24"/>
        </w:rPr>
        <w:t xml:space="preserve">3970 · L'agenzia del 30 novembre 2023.</w:t>
      </w:r>
      <w:r>
        <w:rPr>
          <w:rFonts w:ascii="Barlow Semi Condensed" w:cs="Barlow Semi Condensed" w:eastAsia="Barlow Semi Condensed" w:hAnsi="Barlow Semi Condensed"/>
          <w:sz w:val="24"/>
          <w:szCs w:val="24"/>
        </w:rPr>
        <w:t xml:space="preserve"> Ripetuto ai blocchi 523, 572, 730, 758, 881 e 979 e nell'Apparato K-4, l'accertamento sulla moltiplicazione apparente delle fonti prende sempre la forma «un unico lancio d'agenzia del 30 novembre 2023». L'agenzia non è mai nominata, il lancio non ha numero e nessun blocco indica dove leggerlo. Il blocco 569 esige del testimone più antico data, sede, lingua e forma esatta. Bersaglio: identificare il dispaccio negli archivi delle agenzie.</w:t>
      </w:r>
    </w:p>
    <w:p>
      <w:pPr>
        <w:spacing w:after="120" w:line="276"/>
        <w:jc w:val="both"/>
      </w:pPr>
      <w:r>
        <w:rPr>
          <w:rFonts w:ascii="Barlow Semi Condensed" w:cs="Barlow Semi Condensed" w:eastAsia="Barlow Semi Condensed" w:hAnsi="Barlow Semi Condensed"/>
          <w:b/>
          <w:bCs/>
          <w:sz w:val="24"/>
          <w:szCs w:val="24"/>
        </w:rPr>
        <w:t xml:space="preserve">3971 · Il dispaccio dell'aprile 1983.</w:t>
      </w:r>
      <w:r>
        <w:rPr>
          <w:rFonts w:ascii="Barlow Semi Condensed" w:cs="Barlow Semi Condensed" w:eastAsia="Barlow Semi Condensed" w:hAnsi="Barlow Semi Condensed"/>
          <w:sz w:val="24"/>
          <w:szCs w:val="24"/>
        </w:rPr>
        <w:t xml:space="preserve"> Identica lacuna sull'altro capo della catena: la fonte che colloca l'alterco all'ambasciata d'Italia a Washington nel 1977 è citata più volte come «fonte d'agenzia statunitense dell'aprile 1983» e non è mai identificata. Su di essa poggia la divergenza di data che i blocchi 591 e 756 dichiarano dirimente. Una divergenza dirimente fondata su una fonte innominata non è ancora una divergenza accertata: è una divergenza riferita.</w:t>
      </w:r>
    </w:p>
    <w:p>
      <w:pPr>
        <w:spacing w:after="120" w:line="276"/>
        <w:jc w:val="both"/>
      </w:pPr>
      <w:r>
        <w:rPr>
          <w:rFonts w:ascii="Barlow Semi Condensed" w:cs="Barlow Semi Condensed" w:eastAsia="Barlow Semi Condensed" w:hAnsi="Barlow Semi Condensed"/>
          <w:b/>
          <w:bCs/>
          <w:sz w:val="24"/>
          <w:szCs w:val="24"/>
        </w:rPr>
        <w:t xml:space="preserve">3972 · La pubblicazione del 1982.</w:t>
      </w:r>
      <w:r>
        <w:rPr>
          <w:rFonts w:ascii="Barlow Semi Condensed" w:cs="Barlow Semi Condensed" w:eastAsia="Barlow Semi Condensed" w:hAnsi="Barlow Semi Condensed"/>
          <w:sz w:val="24"/>
          <w:szCs w:val="24"/>
        </w:rPr>
        <w:t xml:space="preserve"> Qualificato ai blocchi 731, 758 e 881 come proveniente da «una pubblicazione di orientamento cospirazionista», il rilancio internazionale del 1982 è citabile come dato di circolazione. Il blocco 611 impone però la forma corretta della citazione di un contestato, che consiste nel nominarlo e nel reggerlo con il verbo giusto. Senza il nome, il dato di circolazione non è verificabile e la qualificazione resta un giudizio. Sede: le emeroteche per l'annata 1982.</w:t>
      </w:r>
    </w:p>
    <w:p>
      <w:pPr>
        <w:spacing w:after="120" w:line="276"/>
        <w:jc w:val="both"/>
      </w:pPr>
      <w:r>
        <w:rPr>
          <w:rFonts w:ascii="Barlow Semi Condensed" w:cs="Barlow Semi Condensed" w:eastAsia="Barlow Semi Condensed" w:hAnsi="Barlow Semi Condensed"/>
          <w:b/>
          <w:bCs/>
          <w:sz w:val="24"/>
          <w:szCs w:val="24"/>
        </w:rPr>
        <w:t xml:space="preserve">3973 · Il saggio con revisione paritaria.</w:t>
      </w:r>
      <w:r>
        <w:rPr>
          <w:rFonts w:ascii="Barlow Semi Condensed" w:cs="Barlow Semi Condensed" w:eastAsia="Barlow Semi Condensed" w:hAnsi="Barlow Semi Condensed"/>
          <w:sz w:val="24"/>
          <w:szCs w:val="24"/>
        </w:rPr>
        <w:t xml:space="preserve"> Notizia secondaria più ripetuta dell'opera, il riemergere del programma coperto nel novembre 1975 e nel luglio 1976 ricorre ai blocchi 116, 248, 306, 425, 747 e 869. La fonte è sempre «un saggio peer-reviewed», una volta datato al 2024, mai con autore, titolo o rivista. Il blocco 249 prescrive di risalire alla sua nota per raggiungere il primario: senza gli estremi, quella procedura non è eseguibile da nessuno.</w:t>
      </w:r>
    </w:p>
    <w:p>
      <w:pPr>
        <w:spacing w:after="120" w:line="276"/>
        <w:jc w:val="both"/>
      </w:pPr>
      <w:r>
        <w:rPr>
          <w:rFonts w:ascii="Barlow Semi Condensed" w:cs="Barlow Semi Condensed" w:eastAsia="Barlow Semi Condensed" w:hAnsi="Barlow Semi Condensed"/>
          <w:b/>
          <w:bCs/>
          <w:sz w:val="24"/>
          <w:szCs w:val="24"/>
        </w:rPr>
        <w:t xml:space="preserve">3974 · Una promessa non è un bersaglio.</w:t>
      </w:r>
      <w:r>
        <w:rPr>
          <w:rFonts w:ascii="Barlow Semi Condensed" w:cs="Barlow Semi Condensed" w:eastAsia="Barlow Semi Condensed" w:hAnsi="Barlow Semi Condensed"/>
          <w:sz w:val="24"/>
          <w:szCs w:val="24"/>
        </w:rPr>
        <w:t xml:space="preserve"> Vale come regola generale ciò che i quattro casi precedenti impongono: un bersaglio la cui fonte è descritta e non nominata non è eseguibile da un terzo, e perciò non è un bersaglio ma una promessa. Il criterio di riuscita che l'opera si dà — che il lavoro sia eseguibile da altri e falsificabile — richiede in ogni rinvio a fonte secondaria almeno autore, sede e anno. Dove mancano, il blocco si riscrive.</w:t>
      </w:r>
    </w:p>
    <w:p>
      <w:pPr>
        <w:spacing w:after="120" w:line="276"/>
        <w:jc w:val="both"/>
      </w:pPr>
      <w:r>
        <w:rPr>
          <w:rFonts w:ascii="Barlow Semi Condensed" w:cs="Barlow Semi Condensed" w:eastAsia="Barlow Semi Condensed" w:hAnsi="Barlow Semi Condensed"/>
          <w:b/>
          <w:bCs/>
          <w:sz w:val="24"/>
          <w:szCs w:val="24"/>
        </w:rPr>
        <w:t xml:space="preserve">3975 · Il committente oppure l'autore.</w:t>
      </w:r>
      <w:r>
        <w:rPr>
          <w:rFonts w:ascii="Barlow Semi Condensed" w:cs="Barlow Semi Condensed" w:eastAsia="Barlow Semi Condensed" w:hAnsi="Barlow Semi Condensed"/>
          <w:sz w:val="24"/>
          <w:szCs w:val="24"/>
        </w:rPr>
        <w:t xml:space="preserve"> Al committente attribuiscono la chiave interpretativa il frontespizio e i blocchi 1, 12 e 991. All'autore la attribuiscono la scheda dell'indice dei documenti del branch e la guida alla lettura. Il blocco 991 fonda proprio su questo il diritto del lettore di sapere che cosa gli sia stato messo davanti «e da chi». Le tre redazioni non concordano sul chi, e la divergenza si riporta senza scioglierla.</w:t>
      </w:r>
    </w:p>
    <w:p>
      <w:pPr>
        <w:spacing w:after="120" w:line="276"/>
        <w:jc w:val="both"/>
      </w:pPr>
      <w:r>
        <w:rPr>
          <w:rFonts w:ascii="Barlow Semi Condensed" w:cs="Barlow Semi Condensed" w:eastAsia="Barlow Semi Condensed" w:hAnsi="Barlow Semi Condensed"/>
          <w:b/>
          <w:bCs/>
          <w:sz w:val="24"/>
          <w:szCs w:val="24"/>
        </w:rPr>
        <w:t xml:space="preserve">3976 · Il 2026 detto una volta sola.</w:t>
      </w:r>
      <w:r>
        <w:rPr>
          <w:rFonts w:ascii="Barlow Semi Condensed" w:cs="Barlow Semi Condensed" w:eastAsia="Barlow Semi Condensed" w:hAnsi="Barlow Semi Condensed"/>
          <w:sz w:val="24"/>
          <w:szCs w:val="24"/>
        </w:rPr>
        <w:t xml:space="preserve"> Datato «nel 2026» al blocco 6, l'errore del copista è l'unico punto in cui l'opera si colloca nel tempo. Il frontespizio non porta data di redazione, e nessuna delle tredici serie ne porta una. La cronologia del deposito colloca la prima stesura al 25 agosto 2026 e un intervento sulla serie terza al 26. Un'opera che esige la data su ogni esito negativo dovrebbe portarla anzitutto in testa a sé stessa.</w:t>
      </w:r>
    </w:p>
    <w:p>
      <w:pPr>
        <w:spacing w:after="120" w:line="276"/>
        <w:jc w:val="both"/>
      </w:pPr>
      <w:r>
        <w:rPr>
          <w:rFonts w:ascii="Barlow Semi Condensed" w:cs="Barlow Semi Condensed" w:eastAsia="Barlow Semi Condensed" w:hAnsi="Barlow Semi Condensed"/>
          <w:b/>
          <w:bCs/>
          <w:sz w:val="24"/>
          <w:szCs w:val="24"/>
        </w:rPr>
        <w:t xml:space="preserve">3977 · Gli Stati Zero senza riesame.</w:t>
      </w:r>
      <w:r>
        <w:rPr>
          <w:rFonts w:ascii="Barlow Semi Condensed" w:cs="Barlow Semi Condensed" w:eastAsia="Barlow Semi Condensed" w:hAnsi="Barlow Semi Condensed"/>
          <w:sz w:val="24"/>
          <w:szCs w:val="24"/>
        </w:rPr>
        <w:t xml:space="preserve"> Prescritta al blocco 655, la data di riesame di ogni verbale di vuoto è agganciata al calendario delle aperture, e l'opera avverte che un esito negativo non riesaminato per vent'anni è un ricordo e non un dato; il blocco 660 la iscrive fra le nove voci del registro. Nel file la parola compare due volte, e sono le due prescrizioni: nessuno degli Stati Zero dichiarati nelle tredici serie ne è dotato.</w:t>
      </w:r>
    </w:p>
    <w:p>
      <w:pPr>
        <w:spacing w:after="120" w:line="276"/>
        <w:jc w:val="both"/>
      </w:pPr>
      <w:r>
        <w:rPr>
          <w:rFonts w:ascii="Barlow Semi Condensed" w:cs="Barlow Semi Condensed" w:eastAsia="Barlow Semi Condensed" w:hAnsi="Barlow Semi Condensed"/>
          <w:b/>
          <w:bCs/>
          <w:sz w:val="24"/>
          <w:szCs w:val="24"/>
        </w:rPr>
        <w:t xml:space="preserve">3978 · Chi ha cercato non firma.</w:t>
      </w:r>
      <w:r>
        <w:rPr>
          <w:rFonts w:ascii="Barlow Semi Condensed" w:cs="Barlow Semi Condensed" w:eastAsia="Barlow Semi Condensed" w:hAnsi="Barlow Semi Condensed"/>
          <w:sz w:val="24"/>
          <w:szCs w:val="24"/>
        </w:rPr>
        <w:t xml:space="preserve"> Impone il blocco 658 che il verbale di ricerca porti il nome di chi l'ha condotta, perché la competenza dell'operatore è parte del dato e un esito negativo anonimo non è valutabile. L'Apparato K descrive tre campagne di verifica senza indicare alcun operatore, e le verifiche meccaniche dei blocchi 8, 47, 204, 335, 610 e 646 sono parimenti anonime. La regola vale anche per chi la scrive, e qui non ha valso.</w:t>
      </w:r>
    </w:p>
    <w:p>
      <w:pPr>
        <w:spacing w:after="120" w:line="276"/>
        <w:jc w:val="both"/>
      </w:pPr>
      <w:r>
        <w:rPr>
          <w:rFonts w:ascii="Barlow Semi Condensed" w:cs="Barlow Semi Condensed" w:eastAsia="Barlow Semi Condensed" w:hAnsi="Barlow Semi Condensed"/>
          <w:b/>
          <w:bCs/>
          <w:sz w:val="24"/>
          <w:szCs w:val="24"/>
        </w:rPr>
        <w:t xml:space="preserve">3979 · Il limite del proxy e dove viaggia.</w:t>
      </w:r>
      <w:r>
        <w:rPr>
          <w:rFonts w:ascii="Barlow Semi Condensed" w:cs="Barlow Semi Condensed" w:eastAsia="Barlow Semi Condensed" w:hAnsi="Barlow Semi Condensed"/>
          <w:sz w:val="24"/>
          <w:szCs w:val="24"/>
        </w:rPr>
        <w:t xml:space="preserve"> Ammette l'Apparato K-5 che la campagna non ha potuto leggere i documenti primari, che l'accesso diretto è risultato bloccato e che ogni conferma poggia su fonti secondarie convergenti. I blocchi 704, 766 e 885 portano quel limite dentro il corpo del testo. Il frontespizio, che annuncia l'accertamento sul verbale dello Studio Ovale come nuovo per il corpus, non lo porta. Il blocco 475 vuole la cautela nella stessa frase del dato.</w:t>
      </w:r>
    </w:p>
    <w:p>
      <w:pPr>
        <w:spacing w:after="120" w:line="276"/>
        <w:jc w:val="both"/>
      </w:pPr>
      <w:r>
        <w:rPr>
          <w:rFonts w:ascii="Barlow Semi Condensed" w:cs="Barlow Semi Condensed" w:eastAsia="Barlow Semi Condensed" w:hAnsi="Barlow Semi Condensed"/>
          <w:b/>
          <w:bCs/>
          <w:sz w:val="24"/>
          <w:szCs w:val="24"/>
        </w:rPr>
        <w:t xml:space="preserve">3980 · Il pavimento del giudicato regge.</w:t>
      </w:r>
      <w:r>
        <w:rPr>
          <w:rFonts w:ascii="Barlow Semi Condensed" w:cs="Barlow Semi Condensed" w:eastAsia="Barlow Semi Condensed" w:hAnsi="Barlow Semi Condensed"/>
          <w:sz w:val="24"/>
          <w:szCs w:val="24"/>
        </w:rPr>
        <w:t xml:space="preserve"> Controllo eseguito su tutte e tredici le serie con esito interamente favorevole: nessun blocco indica Henry Kissinger, né alcun altro, come responsabile di reato; la clausola è ripetuta ai blocchi 33, 63, 141, 209, 297, 430, 558, 714, 764, 933, 973 e 981. Nessun nome è aggiunto al registro delle condanne definitive. È il vincolo più esposto dell'opera, ed è quello che l'opera ha osservato senza una sola eccezione.</w:t>
      </w:r>
    </w:p>
    <w:p>
      <w:pPr>
        <w:spacing w:after="120" w:line="276"/>
        <w:jc w:val="both"/>
      </w:pPr>
      <w:r>
        <w:rPr>
          <w:rFonts w:ascii="Barlow Semi Condensed" w:cs="Barlow Semi Condensed" w:eastAsia="Barlow Semi Condensed" w:hAnsi="Barlow Semi Condensed"/>
          <w:b/>
          <w:bCs/>
          <w:sz w:val="24"/>
          <w:szCs w:val="24"/>
        </w:rPr>
        <w:t xml:space="preserve">3981 · Nessuna imputazione, verificata dall'esterno.</w:t>
      </w:r>
      <w:r>
        <w:rPr>
          <w:rFonts w:ascii="Barlow Semi Condensed" w:cs="Barlow Semi Condensed" w:eastAsia="Barlow Semi Condensed" w:hAnsi="Barlow Semi Condensed"/>
          <w:sz w:val="24"/>
          <w:szCs w:val="24"/>
        </w:rPr>
        <w:t xml:space="preserve"> Invariato ai blocchi 620, 760, 884 e 975, l'accertamento dell'Apparato K-2 — nessuna condanna, nessun rinvio a giudizio, nessun procedimento penale in alcun Paese, nessuna escussione da parte dei magistrati italiani — non registra mutazioni fra un'occorrenza e l'altra. Le due date dell'anagrafe, Fürth 27 maggio 1923 e Kent 29 novembre 2023, sono costanti salvo la grafia già rilevata. Su questo il portatore non ha introdotto varianti.</w:t>
      </w:r>
    </w:p>
    <w:p>
      <w:pPr>
        <w:spacing w:after="120" w:line="276"/>
        <w:jc w:val="both"/>
      </w:pPr>
      <w:r>
        <w:rPr>
          <w:rFonts w:ascii="Barlow Semi Condensed" w:cs="Barlow Semi Condensed" w:eastAsia="Barlow Semi Condensed" w:hAnsi="Barlow Semi Condensed"/>
          <w:b/>
          <w:bCs/>
          <w:sz w:val="24"/>
          <w:szCs w:val="24"/>
        </w:rPr>
        <w:t xml:space="preserve">3982 · Trentanove nodi, due interrogati.</w:t>
      </w:r>
      <w:r>
        <w:rPr>
          <w:rFonts w:ascii="Barlow Semi Condensed" w:cs="Barlow Semi Condensed" w:eastAsia="Barlow Semi Condensed" w:hAnsi="Barlow Semi Condensed"/>
          <w:sz w:val="24"/>
          <w:szCs w:val="24"/>
        </w:rPr>
        <w:t xml:space="preserve"> Trentanove nodi censisce la triangolazione Guevara-Moro. Le tredici serie ne interrogano due: il nodo E-3 sull'omonimia Orfila, richiamato al blocco 7, e il nodo M-5 sull'ombra statunitense, che ricorre in tutte e tredici le serie. I restanti trentasette non risultano mai interrogati per questo nome. Il rapporto di co-occorrenza che il blocco 643 definisce è qui calcolabile e basso, e misura lo spoglio prima di misurare il mondo.</w:t>
      </w:r>
    </w:p>
    <w:p>
      <w:pPr>
        <w:spacing w:after="120" w:line="276"/>
        <w:jc w:val="both"/>
      </w:pPr>
      <w:r>
        <w:rPr>
          <w:rFonts w:ascii="Barlow Semi Condensed" w:cs="Barlow Semi Condensed" w:eastAsia="Barlow Semi Condensed" w:hAnsi="Barlow Semi Condensed"/>
          <w:b/>
          <w:bCs/>
          <w:sz w:val="24"/>
          <w:szCs w:val="24"/>
        </w:rPr>
        <w:t xml:space="preserve">3983 · Il nodo E-16 non compare.</w:t>
      </w:r>
      <w:r>
        <w:rPr>
          <w:rFonts w:ascii="Barlow Semi Condensed" w:cs="Barlow Semi Condensed" w:eastAsia="Barlow Semi Condensed" w:hAnsi="Barlow Semi Condensed"/>
          <w:sz w:val="24"/>
          <w:szCs w:val="24"/>
        </w:rPr>
        <w:t xml:space="preserve"> Indica l'opera gemella sull'Africa australe, nel nodo E-16 della triangolazione Guevara-Moro, il discorso alle Nazioni Unite dell'11 dicembre 1964 come l'unico ponte documentato che il corpus possiede col proprio tema. La sigla non compare in alcuno dei mille blocchi. Due opere gemelle valutano diversamente lo stesso nodo del medesimo documento: la divergenza si riporta, e si chiuderebbe rileggendo il nodo e dichiarando per ciascuna opera se sia pertinente.</w:t>
      </w:r>
    </w:p>
    <w:p>
      <w:pPr>
        <w:spacing w:after="120" w:line="276"/>
        <w:jc w:val="both"/>
      </w:pPr>
      <w:r>
        <w:rPr>
          <w:rFonts w:ascii="Barlow Semi Condensed" w:cs="Barlow Semi Condensed" w:eastAsia="Barlow Semi Condensed" w:hAnsi="Barlow Semi Condensed"/>
          <w:b/>
          <w:bCs/>
          <w:sz w:val="24"/>
          <w:szCs w:val="24"/>
        </w:rPr>
        <w:t xml:space="preserve">3984 · Il Tribunale speciale non è toccato.</w:t>
      </w:r>
      <w:r>
        <w:rPr>
          <w:rFonts w:ascii="Barlow Semi Condensed" w:cs="Barlow Semi Condensed" w:eastAsia="Barlow Semi Condensed" w:hAnsi="Barlow Semi Condensed"/>
          <w:sz w:val="24"/>
          <w:szCs w:val="24"/>
        </w:rPr>
        <w:t xml:space="preserve"> Tre file sul Tribunale speciale fascista e uno sugli amnistiati stanno nel deposito, oltre alle triangolazioni sui condannati, su Hyperion e su Feltrinelli. La locuzione non compare nel file. La serie nona misura il silenzio degli archivi esterni e non misura il proprio: quali documenti del branch le tredici serie non abbiano mai aperto è un dato interno, calcolabile, e mai calcolato. Bersaglio: la tavola dei file citati contro quelli esistenti.</w:t>
      </w:r>
    </w:p>
    <w:p>
      <w:pPr>
        <w:spacing w:after="120" w:line="276"/>
        <w:jc w:val="both"/>
      </w:pPr>
      <w:r>
        <w:rPr>
          <w:rFonts w:ascii="Barlow Semi Condensed" w:cs="Barlow Semi Condensed" w:eastAsia="Barlow Semi Condensed" w:hAnsi="Barlow Semi Condensed"/>
          <w:b/>
          <w:bCs/>
          <w:sz w:val="24"/>
          <w:szCs w:val="24"/>
        </w:rPr>
        <w:t xml:space="preserve">3985 · Diciotto rinvii da un'opera successiva.</w:t>
      </w:r>
      <w:r>
        <w:rPr>
          <w:rFonts w:ascii="Barlow Semi Condensed" w:cs="Barlow Semi Condensed" w:eastAsia="Barlow Semi Condensed" w:hAnsi="Barlow Semi Condensed"/>
          <w:sz w:val="24"/>
          <w:szCs w:val="24"/>
        </w:rPr>
        <w:t xml:space="preserve"> Diciotto volte l'opera sull'Africa australe, depositata il 26 agosto 2026, rinvia alla triangolazione Kissinger, e non per il contenuto ma per le regole: il divieto della colpa ereditaria, il carattere condiviso del blocco 396, l'albero letto all'indietro del blocco 29, l'anello debole del blocco 169, il costo della Farnesina del blocco 683. Le tredici serie sono divenute fonte normativa per un'opera terza, e questo ne cambia lo statuto.</w:t>
      </w:r>
    </w:p>
    <w:p>
      <w:pPr>
        <w:spacing w:after="120" w:line="276"/>
        <w:jc w:val="both"/>
      </w:pPr>
      <w:r>
        <w:rPr>
          <w:rFonts w:ascii="Barlow Semi Condensed" w:cs="Barlow Semi Condensed" w:eastAsia="Barlow Semi Condensed" w:hAnsi="Barlow Semi Condensed"/>
          <w:b/>
          <w:bCs/>
          <w:sz w:val="24"/>
          <w:szCs w:val="24"/>
        </w:rPr>
        <w:t xml:space="preserve">3986 · L'errore congiuntivo fra due opere.</w:t>
      </w:r>
      <w:r>
        <w:rPr>
          <w:rFonts w:ascii="Barlow Semi Condensed" w:cs="Barlow Semi Condensed" w:eastAsia="Barlow Semi Condensed" w:hAnsi="Barlow Semi Condensed"/>
          <w:sz w:val="24"/>
          <w:szCs w:val="24"/>
        </w:rPr>
        <w:t xml:space="preserve"> Da qui un bersaglio filologico che il blocco 148 rende obbligatorio: se un difetto qui accertato ricompare identico nell'opera successiva, la ricorrenza è errore congiuntivo e documenta la derivazione fra i due testi. Il controllo è meccanico e si esegue sui due file, cercando le stesse varianti grafiche, le stesse fonti innominate e le stesse formule non aggiornate. L'esito, positivo o negativo, si verbalizza con la data della ricerca.</w:t>
      </w:r>
    </w:p>
    <w:p>
      <w:pPr>
        <w:spacing w:after="120" w:line="276"/>
        <w:jc w:val="both"/>
      </w:pPr>
      <w:r>
        <w:rPr>
          <w:rFonts w:ascii="Barlow Semi Condensed" w:cs="Barlow Semi Condensed" w:eastAsia="Barlow Semi Condensed" w:hAnsi="Barlow Semi Condensed"/>
          <w:b/>
          <w:bCs/>
          <w:sz w:val="24"/>
          <w:szCs w:val="24"/>
        </w:rPr>
        <w:t xml:space="preserve">3987 · La prima verifica dall'esterno.</w:t>
      </w:r>
      <w:r>
        <w:rPr>
          <w:rFonts w:ascii="Barlow Semi Condensed" w:cs="Barlow Semi Condensed" w:eastAsia="Barlow Semi Condensed" w:hAnsi="Barlow Semi Condensed"/>
          <w:sz w:val="24"/>
          <w:szCs w:val="24"/>
        </w:rPr>
        <w:t xml:space="preserve"> Esiste già un precedente, e va riconosciuto: l'opera sull'Africa australe ha eseguito sul territorio qui riletto una verifica meccanica autonoma, accertando zero occorrenze della materia africana australe nei mille blocchi. È la prima volta che un testo del corpus misura un altro testo del corpus dall'esterno. Questa serie prosegue quella pratica e ne propone la forma stabile: ogni opera del branch misurata da almeno una successiva, con il perimetro dichiarato.</w:t>
      </w:r>
    </w:p>
    <w:p>
      <w:pPr>
        <w:spacing w:after="120" w:line="276"/>
        <w:jc w:val="both"/>
      </w:pPr>
      <w:r>
        <w:rPr>
          <w:rFonts w:ascii="Barlow Semi Condensed" w:cs="Barlow Semi Condensed" w:eastAsia="Barlow Semi Condensed" w:hAnsi="Barlow Semi Condensed"/>
          <w:b/>
          <w:bCs/>
          <w:sz w:val="24"/>
          <w:szCs w:val="24"/>
        </w:rPr>
        <w:t xml:space="preserve">3988 · Il deposito come fondo di provenienza.</w:t>
      </w:r>
      <w:r>
        <w:rPr>
          <w:rFonts w:ascii="Barlow Semi Condensed" w:cs="Barlow Semi Condensed" w:eastAsia="Barlow Semi Condensed" w:hAnsi="Barlow Semi Condensed"/>
          <w:sz w:val="24"/>
          <w:szCs w:val="24"/>
        </w:rPr>
        <w:t xml:space="preserve"> Pretende l'opera da ogni carta la catena di custodia, ai blocchi 266 e 269, e non dichiara la propria. Eppure la possiede: la cronologia del deposito registra la prima stesura, il restauro dei diacritici della serie terza, la nota di revisione al nodo M-5 e l'ampliamento della Parte terza, ciascuno con identificativo e data. È l'unico fondo di provenienza che il testo abbia. Bersaglio a costo nullo: pubblicarne la tavola in appendice.</w:t>
      </w:r>
    </w:p>
    <w:p>
      <w:pPr>
        <w:spacing w:after="120" w:line="276"/>
        <w:jc w:val="both"/>
      </w:pPr>
      <w:r>
        <w:rPr>
          <w:rFonts w:ascii="Barlow Semi Condensed" w:cs="Barlow Semi Condensed" w:eastAsia="Barlow Semi Condensed" w:hAnsi="Barlow Semi Condensed"/>
          <w:b/>
          <w:bCs/>
          <w:sz w:val="24"/>
          <w:szCs w:val="24"/>
        </w:rPr>
        <w:t xml:space="preserve">3989 · Il restauro che non raggiunse il 141.</w:t>
      </w:r>
      <w:r>
        <w:rPr>
          <w:rFonts w:ascii="Barlow Semi Condensed" w:cs="Barlow Semi Condensed" w:eastAsia="Barlow Semi Condensed" w:hAnsi="Barlow Semi Condensed"/>
          <w:sz w:val="24"/>
          <w:szCs w:val="24"/>
        </w:rPr>
        <w:t xml:space="preserve"> L'intervento del 26 agosto 2026 è intitolato al restauro dei diacritici nella serie terza. Il blocco 141 appartiene alla serie terza e continua a leggere «Fuerth». O il restauro non fu esaustivo, o quella forma fu ritenuta corretta. La cronologia non lo dice, perché nessun messaggio di deposito dichiara il perimetro dell'intervento. Regola che ne discende: chi corregge dichiara che cosa ha corretto e che cosa ha deliberatamente lasciato.</w:t>
      </w:r>
    </w:p>
    <w:p>
      <w:pPr>
        <w:spacing w:after="120" w:line="276"/>
        <w:jc w:val="both"/>
      </w:pPr>
      <w:r>
        <w:rPr>
          <w:rFonts w:ascii="Barlow Semi Condensed" w:cs="Barlow Semi Condensed" w:eastAsia="Barlow Semi Condensed" w:hAnsi="Barlow Semi Condensed"/>
          <w:b/>
          <w:bCs/>
          <w:sz w:val="24"/>
          <w:szCs w:val="24"/>
        </w:rPr>
        <w:t xml:space="preserve">3990 · Il documento dovuto dell'opera.</w:t>
      </w:r>
      <w:r>
        <w:rPr>
          <w:rFonts w:ascii="Barlow Semi Condensed" w:cs="Barlow Semi Condensed" w:eastAsia="Barlow Semi Condensed" w:hAnsi="Barlow Semi Condensed"/>
          <w:sz w:val="24"/>
          <w:szCs w:val="24"/>
        </w:rPr>
        <w:t xml:space="preserve"> Richiamato ai blocchi 489 e 801, il blocco 10 del manuale stabilisce che un procedimento che esiste produce carta. Applicato all'opera: tre campagne di verifica producono necessariamente un materiale di lavoro, cioè le stringhe interrogate, gli esiti, le pagine consultate. Quel materiale non è depositato in alcun file del branch. La verifica esiste come racconto e non come carta, ed è la condizione che il blocco 463 rifiuta di accettare da altri.</w:t>
      </w:r>
    </w:p>
    <w:p>
      <w:pPr>
        <w:spacing w:after="120" w:line="276"/>
        <w:jc w:val="both"/>
      </w:pPr>
      <w:r>
        <w:rPr>
          <w:rFonts w:ascii="Barlow Semi Condensed" w:cs="Barlow Semi Condensed" w:eastAsia="Barlow Semi Condensed" w:hAnsi="Barlow Semi Condensed"/>
          <w:b/>
          <w:bCs/>
          <w:sz w:val="24"/>
          <w:szCs w:val="24"/>
        </w:rPr>
        <w:t xml:space="preserve">3991 · Il rinvio interno vale come arco.</w:t>
      </w:r>
      <w:r>
        <w:rPr>
          <w:rFonts w:ascii="Barlow Semi Condensed" w:cs="Barlow Semi Condensed" w:eastAsia="Barlow Semi Condensed" w:hAnsi="Barlow Semi Condensed"/>
          <w:sz w:val="24"/>
          <w:szCs w:val="24"/>
        </w:rPr>
        <w:t xml:space="preserve"> Si citano fra loro con frequenza alta i mille blocchi, e ogni rinvio è un arco di un grafo che nessuno ha costruito. Il blocco 168 impone di graduare la sinapsi e non il neurone: applicata al testo, la regola chiede che ogni rinvio interno porti il grado del blocco citato. Bersaglio calcolabile senza archivio: il grafo delle citazioni interne, con la misura di quali blocchi reggano il maggior numero di cammini.</w:t>
      </w:r>
    </w:p>
    <w:p>
      <w:pPr>
        <w:spacing w:after="120" w:line="276"/>
        <w:jc w:val="both"/>
      </w:pPr>
      <w:r>
        <w:rPr>
          <w:rFonts w:ascii="Barlow Semi Condensed" w:cs="Barlow Semi Condensed" w:eastAsia="Barlow Semi Condensed" w:hAnsi="Barlow Semi Condensed"/>
          <w:b/>
          <w:bCs/>
          <w:sz w:val="24"/>
          <w:szCs w:val="24"/>
        </w:rPr>
        <w:t xml:space="preserve">3992 · L'anello debole del rinvio.</w:t>
      </w:r>
      <w:r>
        <w:rPr>
          <w:rFonts w:ascii="Barlow Semi Condensed" w:cs="Barlow Semi Condensed" w:eastAsia="Barlow Semi Condensed" w:hAnsi="Barlow Semi Condensed"/>
          <w:sz w:val="24"/>
          <w:szCs w:val="24"/>
        </w:rPr>
        <w:t xml:space="preserve"> Corollario più severo della rilettura: il blocco 287 stabilisce che il grado di un cammino è il grado minimo fra i suoi archi. Un blocco che poggia su un altro blocco che poggia su una fonte secondaria innominata ha il grado di quella fonte, non il proprio. Applicata all'opera, la regola declassa ogni catena che passi per il riemergere del 1975 e del 1976, e sono sei blocchi in cinque serie.</w:t>
      </w:r>
    </w:p>
    <w:p>
      <w:pPr>
        <w:spacing w:after="120" w:line="276"/>
        <w:jc w:val="both"/>
      </w:pPr>
      <w:r>
        <w:rPr>
          <w:rFonts w:ascii="Barlow Semi Condensed" w:cs="Barlow Semi Condensed" w:eastAsia="Barlow Semi Condensed" w:hAnsi="Barlow Semi Condensed"/>
          <w:b/>
          <w:bCs/>
          <w:sz w:val="24"/>
          <w:szCs w:val="24"/>
        </w:rPr>
        <w:t xml:space="preserve">3993 · Il verbale ripetuto in nove serie.</w:t>
      </w:r>
      <w:r>
        <w:rPr>
          <w:rFonts w:ascii="Barlow Semi Condensed" w:cs="Barlow Semi Condensed" w:eastAsia="Barlow Semi Condensed" w:hAnsi="Barlow Semi Condensed"/>
          <w:sz w:val="24"/>
          <w:szCs w:val="24"/>
        </w:rPr>
        <w:t xml:space="preserve"> Compare il memorandum del 25 settembre 1974 ai blocchi 37, 101, 112, 187, 214, 215, 216, 301, 426, 509, 580, 739, 740, 741, 848, 861, 978 e 984: diciotto trattazioni di un solo documento distribuite su nove serie. Il blocco 882 avverte che contare misure non indipendenti come indipendenti produce fiducia crescente in un dato che non è cresciuto. Il documento è uno, e resta uno, quante che siano le riprese.</w:t>
      </w:r>
    </w:p>
    <w:p>
      <w:pPr>
        <w:spacing w:after="120" w:line="276"/>
        <w:jc w:val="both"/>
      </w:pPr>
      <w:r>
        <w:rPr>
          <w:rFonts w:ascii="Barlow Semi Condensed" w:cs="Barlow Semi Condensed" w:eastAsia="Barlow Semi Condensed" w:hAnsi="Barlow Semi Condensed"/>
          <w:b/>
          <w:bCs/>
          <w:sz w:val="24"/>
          <w:szCs w:val="24"/>
        </w:rPr>
        <w:t xml:space="preserve">3994 · La densità non è profondità.</w:t>
      </w:r>
      <w:r>
        <w:rPr>
          <w:rFonts w:ascii="Barlow Semi Condensed" w:cs="Barlow Semi Condensed" w:eastAsia="Barlow Semi Condensed" w:hAnsi="Barlow Semi Condensed"/>
          <w:sz w:val="24"/>
          <w:szCs w:val="24"/>
        </w:rPr>
        <w:t xml:space="preserve"> Chiunque usi opere a blocchi tenga fermo che la frequenza con cui un documento vi ricorre misura l'architettura dell'opera, non il peso del documento. Il corpus lo enuncia già per le reti, dove la centralità misura la densità della documentazione e non la responsabilità. Trasferita al testo, la regola dice che un verbale citato diciotto volte e uno citato una volta possono valere lo stesso, e che a deciderlo è la segnatura.</w:t>
      </w:r>
    </w:p>
    <w:p>
      <w:pPr>
        <w:spacing w:after="120" w:line="276"/>
        <w:jc w:val="both"/>
      </w:pPr>
      <w:r>
        <w:rPr>
          <w:rFonts w:ascii="Barlow Semi Condensed" w:cs="Barlow Semi Condensed" w:eastAsia="Barlow Semi Condensed" w:hAnsi="Barlow Semi Condensed"/>
          <w:b/>
          <w:bCs/>
          <w:sz w:val="24"/>
          <w:szCs w:val="24"/>
        </w:rPr>
        <w:t xml:space="preserve">3995 · Il verbale del 26 settembre resta chiuso.</w:t>
      </w:r>
      <w:r>
        <w:rPr>
          <w:rFonts w:ascii="Barlow Semi Condensed" w:cs="Barlow Semi Condensed" w:eastAsia="Barlow Semi Condensed" w:hAnsi="Barlow Semi Condensed"/>
          <w:sz w:val="24"/>
          <w:szCs w:val="24"/>
        </w:rPr>
        <w:t xml:space="preserve"> Aperto al blocco 113 e ripetuto ai blocchi 221, 510, 742 e 863, il bersaglio dello spoglio integrale del documento 1552806 non è stato eseguito, e il blocco 863 avverte espressamente che il corpus lo cita senza averlo esaurito. È l'unico bersaglio dell'opera che riguardi una carta già disponibile e già identificata: il costo è una seduta di lettura alla Gerald R. Ford Presidential Library, e nulla di più.</w:t>
      </w:r>
    </w:p>
    <w:p>
      <w:pPr>
        <w:spacing w:after="120" w:line="276"/>
        <w:jc w:val="both"/>
      </w:pPr>
      <w:r>
        <w:rPr>
          <w:rFonts w:ascii="Barlow Semi Condensed" w:cs="Barlow Semi Condensed" w:eastAsia="Barlow Semi Condensed" w:hAnsi="Barlow Semi Condensed"/>
          <w:b/>
          <w:bCs/>
          <w:sz w:val="24"/>
          <w:szCs w:val="24"/>
        </w:rPr>
        <w:t xml:space="preserve">3996 · Ciò che le tredici serie hanno aggiunto.</w:t>
      </w:r>
      <w:r>
        <w:rPr>
          <w:rFonts w:ascii="Barlow Semi Condensed" w:cs="Barlow Semi Condensed" w:eastAsia="Barlow Semi Condensed" w:hAnsi="Barlow Semi Condensed"/>
          <w:sz w:val="24"/>
          <w:szCs w:val="24"/>
        </w:rPr>
        <w:t xml:space="preserve"> Bilancio positivo, da scrivere con la stessa precisione dei difetti. L'opera ha aggiunto al corpus tre cose verificabili: l'accertamento che il verbale dello Studio Ovale non contiene alcun ultimatum personale, la divergenza documentata sulla data dell'anglicizzazione onomastica, e la misura dello zero della quadriga con il bersaglio che ne discende. Sono tre acquisizioni, e nessuna delle tre è un nesso. Il blocco 987 lo dichiara, e la rilettura lo conferma.</w:t>
      </w:r>
    </w:p>
    <w:p>
      <w:pPr>
        <w:spacing w:after="120" w:line="276"/>
        <w:jc w:val="both"/>
      </w:pPr>
      <w:r>
        <w:rPr>
          <w:rFonts w:ascii="Barlow Semi Condensed" w:cs="Barlow Semi Condensed" w:eastAsia="Barlow Semi Condensed" w:hAnsi="Barlow Semi Condensed"/>
          <w:b/>
          <w:bCs/>
          <w:sz w:val="24"/>
          <w:szCs w:val="24"/>
        </w:rPr>
        <w:t xml:space="preserve">3997 · Ciò che questa serie non stabilisce.</w:t>
      </w:r>
      <w:r>
        <w:rPr>
          <w:rFonts w:ascii="Barlow Semi Condensed" w:cs="Barlow Semi Condensed" w:eastAsia="Barlow Semi Condensed" w:hAnsi="Barlow Semi Condensed"/>
          <w:sz w:val="24"/>
          <w:szCs w:val="24"/>
        </w:rPr>
        <w:t xml:space="preserve"> Nulla di quanto precede riguarda Henry Alfred Kissinger. I difetti accertati sono difetti di un file, e un file non ha condotte. Non è stabilito che le omissioni qui elencate abbiano una causa comune, né che siano deliberate, né che un'opera con questi difetti sia meno affidabile di una senza: il blocco 597 distingue l'errore, che accade, dal falso, che si fa, e questa serie si ferma sul primo.</w:t>
      </w:r>
    </w:p>
    <w:p>
      <w:pPr>
        <w:spacing w:after="120" w:line="276"/>
        <w:jc w:val="both"/>
      </w:pPr>
      <w:r>
        <w:rPr>
          <w:rFonts w:ascii="Barlow Semi Condensed" w:cs="Barlow Semi Condensed" w:eastAsia="Barlow Semi Condensed" w:hAnsi="Barlow Semi Condensed"/>
          <w:b/>
          <w:bCs/>
          <w:sz w:val="24"/>
          <w:szCs w:val="24"/>
        </w:rPr>
        <w:t xml:space="preserve">3998 · La sede che chiuderebbe la serie.</w:t>
      </w:r>
      <w:r>
        <w:rPr>
          <w:rFonts w:ascii="Barlow Semi Condensed" w:cs="Barlow Semi Condensed" w:eastAsia="Barlow Semi Condensed" w:hAnsi="Barlow Semi Condensed"/>
          <w:sz w:val="24"/>
          <w:szCs w:val="24"/>
        </w:rPr>
        <w:t xml:space="preserve"> Chiuderebbero i bersagli qui aperti, ciascuno per la propria parte: la cronologia del deposito per la genesi del testo e per il perimetro delle correzioni; gli archivi delle agenzie per il dispaccio del 30 novembre 2023 e per quello dell'aprile 1983; la cancelleria della Corte d'assise di Roma per il verbale del novembre 1982; l'Archivio storico della Camera per l'audizione del 1° agosto 1980; la Ford Library per il documento 1552806.</w:t>
      </w:r>
    </w:p>
    <w:p>
      <w:pPr>
        <w:spacing w:after="120" w:line="276"/>
        <w:jc w:val="both"/>
      </w:pPr>
      <w:r>
        <w:rPr>
          <w:rFonts w:ascii="Barlow Semi Condensed" w:cs="Barlow Semi Condensed" w:eastAsia="Barlow Semi Condensed" w:hAnsi="Barlow Semi Condensed"/>
          <w:b/>
          <w:bCs/>
          <w:sz w:val="24"/>
          <w:szCs w:val="24"/>
        </w:rPr>
        <w:t xml:space="preserve">3999 · Come si rilegge un'opera dall'esterno.</w:t>
      </w:r>
      <w:r>
        <w:rPr>
          <w:rFonts w:ascii="Barlow Semi Condensed" w:cs="Barlow Semi Condensed" w:eastAsia="Barlow Semi Condensed" w:hAnsi="Barlow Semi Condensed"/>
          <w:sz w:val="24"/>
          <w:szCs w:val="24"/>
        </w:rPr>
        <w:t xml:space="preserve"> Replicabile è la procedura, e si consegna qui in forma stabile: si conta il portatore, si collazionano le occorrenze di ogni formula ricorrente, si verificano le verifiche meccaniche che l'opera dichiara, si confronta ogni rinvio interno con la fonte che nomina, si misura che cosa il territorio consegnato all'opera non abbia attraversato, e si dichiara ogni esito con la riga del file. Nessun passaggio richiede un archivio, e nessuno richiede fiducia.</w:t>
      </w:r>
    </w:p>
    <w:p>
      <w:pPr>
        <w:spacing w:after="120" w:line="276"/>
        <w:jc w:val="both"/>
      </w:pPr>
      <w:r>
        <w:rPr>
          <w:rFonts w:ascii="Barlow Semi Condensed" w:cs="Barlow Semi Condensed" w:eastAsia="Barlow Semi Condensed" w:hAnsi="Barlow Semi Condensed"/>
          <w:b/>
          <w:bCs/>
          <w:sz w:val="24"/>
          <w:szCs w:val="24"/>
        </w:rPr>
        <w:t xml:space="preserve">4000 · Riga di chiusura della serie (serie LII).</w:t>
      </w:r>
      <w:r>
        <w:rPr>
          <w:rFonts w:ascii="Barlow Semi Condensed" w:cs="Barlow Semi Condensed" w:eastAsia="Barlow Semi Condensed" w:hAnsi="Barlow Semi Condensed"/>
          <w:sz w:val="24"/>
          <w:szCs w:val="24"/>
        </w:rPr>
        <w:t xml:space="preserve"> Blocchi della serie: settanta. Difetti materiali accertati sul portatore: quattro, cioè il frontespizio duplicato, due oscillazioni grafiche e una mutazione di trascrizione. Verifiche meccaniche dell'opera confermate: una, lo zero della quadriga; falsificate dal tempo: due. Fonti secondarie innominate su cui poggiano bersagli dichiarati: quattro. Bersagli interni eseguibili senza archivio: quattordici. Nessi causali nuovi: nessuno. Persone indicate come responsabili di reato: nessuna, qui come nelle tredici serie rilette.</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Serie cinquantatreesima — La cronologia comparata 1923-2023</w:t>
      </w:r>
    </w:p>
    <w:p>
      <w:pPr>
        <w:spacing w:after="120" w:line="276"/>
        <w:jc w:val="both"/>
      </w:pPr>
      <w:r>
        <w:rPr>
          <w:rFonts w:ascii="Barlow Semi Condensed" w:cs="Barlow Semi Condensed" w:eastAsia="Barlow Semi Condensed" w:hAnsi="Barlow Semi Condensed"/>
          <w:i/>
          <w:iCs/>
          <w:sz w:val="24"/>
          <w:szCs w:val="24"/>
        </w:rPr>
        <w:t xml:space="preserve">Blocchi 4001-4080.</w:t>
      </w:r>
    </w:p>
    <w:p>
      <w:pPr>
        <w:spacing w:after="120" w:line="276"/>
        <w:jc w:val="both"/>
      </w:pPr>
      <w:r>
        <w:rPr>
          <w:rFonts w:ascii="Barlow Semi Condensed" w:cs="Barlow Semi Condensed" w:eastAsia="Barlow Semi Condensed" w:hAnsi="Barlow Semi Condensed"/>
          <w:b/>
          <w:bCs/>
          <w:sz w:val="24"/>
          <w:szCs w:val="24"/>
        </w:rPr>
        <w:t xml:space="preserve">4001 · L'asse che non lo contiene.</w:t>
      </w:r>
      <w:r>
        <w:rPr>
          <w:rFonts w:ascii="Barlow Semi Condensed" w:cs="Barlow Semi Condensed" w:eastAsia="Barlow Semi Condensed" w:hAnsi="Barlow Semi Condensed"/>
          <w:sz w:val="24"/>
          <w:szCs w:val="24"/>
        </w:rPr>
        <w:t xml:space="preserve"> La sola cronologia sinottica del corpus, cronologia-guevara-moro.html, corre dal 1916 al 1997 su tre fili dichiarati — Guevara, l'immagine, Moro — e non ne apre un quarto. Henry Kissinger non vi compare in alcuna scheda, in alcun anno, in alcuna nota di fonte. L'accertamento si dichiara al grado F: è una scelta editoriale documentata, non una lacuna d'archivio. Prima regola della serie: un asse che non contiene un nome non può essere interrogato su di lui.</w:t>
      </w:r>
    </w:p>
    <w:p>
      <w:pPr>
        <w:spacing w:after="120" w:line="276"/>
        <w:jc w:val="both"/>
      </w:pPr>
      <w:r>
        <w:rPr>
          <w:rFonts w:ascii="Barlow Semi Condensed" w:cs="Barlow Semi Condensed" w:eastAsia="Barlow Semi Condensed" w:hAnsi="Barlow Semi Condensed"/>
          <w:b/>
          <w:bCs/>
          <w:sz w:val="24"/>
          <w:szCs w:val="24"/>
        </w:rPr>
        <w:t xml:space="preserve">4002 · Le due estremità dell'arco.</w:t>
      </w:r>
      <w:r>
        <w:rPr>
          <w:rFonts w:ascii="Barlow Semi Condensed" w:cs="Barlow Semi Condensed" w:eastAsia="Barlow Semi Condensed" w:hAnsi="Barlow Semi Condensed"/>
          <w:sz w:val="24"/>
          <w:szCs w:val="24"/>
        </w:rPr>
        <w:t xml:space="preserve"> Nascita a Fürth il 27 maggio 1923, morte a Kent il 29 novembre 2023. La prima data cade dentro l'arco 1916-1997 della cronologia sinottica e non vi è registrata; la seconda ne resta fuori di ventisei anni. Il territorio assegnato è dunque più lungo dello strumento che dovrebbe misurarlo. Bersaglio primo: estendere la tavola oltre il 1997 come chiede il blocco 254 dell'agenda di ricerca, «la cronologia del dopo».</w:t>
      </w:r>
    </w:p>
    <w:p>
      <w:pPr>
        <w:spacing w:after="120" w:line="276"/>
        <w:jc w:val="both"/>
      </w:pPr>
      <w:r>
        <w:rPr>
          <w:rFonts w:ascii="Barlow Semi Condensed" w:cs="Barlow Semi Condensed" w:eastAsia="Barlow Semi Condensed" w:hAnsi="Barlow Semi Condensed"/>
          <w:b/>
          <w:bCs/>
          <w:sz w:val="24"/>
          <w:szCs w:val="24"/>
        </w:rPr>
        <w:t xml:space="preserve">4003 · Il 1923 dentro il corpus.</w:t>
      </w:r>
      <w:r>
        <w:rPr>
          <w:rFonts w:ascii="Barlow Semi Condensed" w:cs="Barlow Semi Condensed" w:eastAsia="Barlow Semi Condensed" w:hAnsi="Barlow Semi Condensed"/>
          <w:sz w:val="24"/>
          <w:szCs w:val="24"/>
        </w:rPr>
        <w:t xml:space="preserve"> Verifica meccanica eseguita sull'intero branch pubblico: la cifra 1923 vi compare in due soli luoghi utili, e nessuno riguarda il soggetto. La nascita ad Asso di monsignor Cesare Curioni, fissata dal blocco 162 dei nove cantieri, e il Trattato di Losanna del 24 luglio 1923, richiamato nella ricognizione turchia-opus-dei-1969-1975. Esito dichiarato con la stessa forza di un riscontro: nessuna occorrenza dell'anno di nascita tocca il nome.</w:t>
      </w:r>
    </w:p>
    <w:p>
      <w:pPr>
        <w:spacing w:after="120" w:line="276"/>
        <w:jc w:val="both"/>
      </w:pPr>
      <w:r>
        <w:rPr>
          <w:rFonts w:ascii="Barlow Semi Condensed" w:cs="Barlow Semi Condensed" w:eastAsia="Barlow Semi Condensed" w:hAnsi="Barlow Semi Condensed"/>
          <w:b/>
          <w:bCs/>
          <w:sz w:val="24"/>
          <w:szCs w:val="24"/>
        </w:rPr>
        <w:t xml:space="preserve">4004 · Due nati nel 1923.</w:t>
      </w:r>
      <w:r>
        <w:rPr>
          <w:rFonts w:ascii="Barlow Semi Condensed" w:cs="Barlow Semi Condensed" w:eastAsia="Barlow Semi Condensed" w:hAnsi="Barlow Semi Condensed"/>
          <w:sz w:val="24"/>
          <w:szCs w:val="24"/>
        </w:rPr>
        <w:t xml:space="preserve"> Curioni nacque nel 1923 e nel 1978 ricevette da Paolo VI l'incarico di attivare canali verso le Brigate rosse, accertato dalla relazione della Commissione Moro 2 del 6 dicembre 2017. Nel medesimo anno nacque il soggetto di quest'opera. La coincidenza è inerte e va scritta come inerte: la contemporaneità non è prova di nesso. Il bersaglio vero resta quello del blocco 162, fissare il giorno di nascita di Curioni su fonte anagrafica.</w:t>
      </w:r>
    </w:p>
    <w:p>
      <w:pPr>
        <w:spacing w:after="120" w:line="276"/>
        <w:jc w:val="both"/>
      </w:pPr>
      <w:r>
        <w:rPr>
          <w:rFonts w:ascii="Barlow Semi Condensed" w:cs="Barlow Semi Condensed" w:eastAsia="Barlow Semi Condensed" w:hAnsi="Barlow Semi Condensed"/>
          <w:b/>
          <w:bCs/>
          <w:sz w:val="24"/>
          <w:szCs w:val="24"/>
        </w:rPr>
        <w:t xml:space="preserve">4005 · Losanna, e il limite dell'anacronismo.</w:t>
      </w:r>
      <w:r>
        <w:rPr>
          <w:rFonts w:ascii="Barlow Semi Condensed" w:cs="Barlow Semi Condensed" w:eastAsia="Barlow Semi Condensed" w:hAnsi="Barlow Semi Condensed"/>
          <w:sz w:val="24"/>
          <w:szCs w:val="24"/>
        </w:rPr>
        <w:t xml:space="preserve"> Firmato il 24 luglio 1923, il Trattato di Losanna è l'unico atto internazionale che il corpus dati all'anno di nascita del soggetto, e governa ancora lo statuto restrittivo delle minoranze cristiane in Turchia secondo la ricognizione della cartella Farnesina. Bersaglio di smentita formulato per assurdo, e utile proprio per questo: qualunque documento che vi accostasse quel nome sarebbe falso per anagrafe prima ancora che per contenuto.</w:t>
      </w:r>
    </w:p>
    <w:p>
      <w:pPr>
        <w:spacing w:after="120" w:line="276"/>
        <w:jc w:val="both"/>
      </w:pPr>
      <w:r>
        <w:rPr>
          <w:rFonts w:ascii="Barlow Semi Condensed" w:cs="Barlow Semi Condensed" w:eastAsia="Barlow Semi Condensed" w:hAnsi="Barlow Semi Condensed"/>
          <w:b/>
          <w:bCs/>
          <w:sz w:val="24"/>
          <w:szCs w:val="24"/>
        </w:rPr>
        <w:t xml:space="preserve">4006 · La coincidenza d'anno come falso arco.</w:t>
      </w:r>
      <w:r>
        <w:rPr>
          <w:rFonts w:ascii="Barlow Semi Condensed" w:cs="Barlow Semi Condensed" w:eastAsia="Barlow Semi Condensed" w:hAnsi="Barlow Semi Condensed"/>
          <w:sz w:val="24"/>
          <w:szCs w:val="24"/>
        </w:rPr>
        <w:t xml:space="preserve"> Nella griglia che il blocco 177 di quest'opera fissa, reagire allo stesso fatto è già l'anello più basso della catena. Al di sotto sta la sola coincidenza d'anno, che non è nemmeno reazione: è calendario. La serie assume la regola e la applica riga per riga. Nella rete del corpus, che conta trentanove nodi e cinquantanove archi, una cifra condivisa fra due biografie non ne aggiunge alcuno.</w:t>
      </w:r>
    </w:p>
    <w:p>
      <w:pPr>
        <w:spacing w:after="120" w:line="276"/>
        <w:jc w:val="both"/>
      </w:pPr>
      <w:r>
        <w:rPr>
          <w:rFonts w:ascii="Barlow Semi Condensed" w:cs="Barlow Semi Condensed" w:eastAsia="Barlow Semi Condensed" w:hAnsi="Barlow Semi Condensed"/>
          <w:b/>
          <w:bCs/>
          <w:sz w:val="24"/>
          <w:szCs w:val="24"/>
        </w:rPr>
        <w:t xml:space="preserve">4007 · A che cosa serve una cronologia.</w:t>
      </w:r>
      <w:r>
        <w:rPr>
          <w:rFonts w:ascii="Barlow Semi Condensed" w:cs="Barlow Semi Condensed" w:eastAsia="Barlow Semi Condensed" w:hAnsi="Barlow Semi Condensed"/>
          <w:sz w:val="24"/>
          <w:szCs w:val="24"/>
        </w:rPr>
        <w:t xml:space="preserve"> Il manuale investigativo prescrive al blocco 14 la cronologia prima dell'interpretazione; l'agenda chiede ai blocchi 253 e 254 una tavola strutturata con data, ora, evento, fonte e grado, e i conflitti fra fonti dichiarati riga per riga. Questa serie lavora dentro quella prescrizione e non altrove: non racconta un secolo, verifica dove le date del corpus e quelle di un uomo si toccano, e dichiara quando non si toccano.</w:t>
      </w:r>
    </w:p>
    <w:p>
      <w:pPr>
        <w:spacing w:after="120" w:line="276"/>
        <w:jc w:val="both"/>
      </w:pPr>
      <w:r>
        <w:rPr>
          <w:rFonts w:ascii="Barlow Semi Condensed" w:cs="Barlow Semi Condensed" w:eastAsia="Barlow Semi Condensed" w:hAnsi="Barlow Semi Condensed"/>
          <w:b/>
          <w:bCs/>
          <w:sz w:val="24"/>
          <w:szCs w:val="24"/>
        </w:rPr>
        <w:t xml:space="preserve">4008 · La colonna vuota come esito.</w:t>
      </w:r>
      <w:r>
        <w:rPr>
          <w:rFonts w:ascii="Barlow Semi Condensed" w:cs="Barlow Semi Condensed" w:eastAsia="Barlow Semi Condensed" w:hAnsi="Barlow Semi Condensed"/>
          <w:sz w:val="24"/>
          <w:szCs w:val="24"/>
        </w:rPr>
        <w:t xml:space="preserve"> Bersaglio operativo, con sede e forma: aprire nella cronologia machine-readable dei blocchi 253 dell'agenda e 304 del manuale una colonna dedicata a questo nome, popolata soltanto dove esista un atto che lo attesti. La previsione è che risulti quasi interamente vuota. La cella vuota, dichiarata con la sede che la riempirebbe, è dato pubblicabile: è la regola dei buchi enunciata in metodologie-del-dossier-sinaptogenesi-e-strumenti.</w:t>
      </w:r>
    </w:p>
    <w:p>
      <w:pPr>
        <w:spacing w:after="120" w:line="276"/>
        <w:jc w:val="both"/>
      </w:pPr>
      <w:r>
        <w:rPr>
          <w:rFonts w:ascii="Barlow Semi Condensed" w:cs="Barlow Semi Condensed" w:eastAsia="Barlow Semi Condensed" w:hAnsi="Barlow Semi Condensed"/>
          <w:b/>
          <w:bCs/>
          <w:sz w:val="24"/>
          <w:szCs w:val="24"/>
        </w:rPr>
        <w:t xml:space="preserve">4009 · 1926, il primo strato istituzionale.</w:t>
      </w:r>
      <w:r>
        <w:rPr>
          <w:rFonts w:ascii="Barlow Semi Condensed" w:cs="Barlow Semi Condensed" w:eastAsia="Barlow Semi Condensed" w:hAnsi="Barlow Semi Condensed"/>
          <w:sz w:val="24"/>
          <w:szCs w:val="24"/>
        </w:rPr>
        <w:t xml:space="preserve"> La legge 25 novembre 1926 numero 2008 istituì il Tribunale Speciale, operativo dal febbraio 1927 al luglio 1943: è la data più antica dello strato istituzionale del corpus, e il soggetto di questa serie aveva allora tre anni. Regola di lettura applicabile: nessuna comparazione fra quel giudice di parte e la giurisdizione repubblicana passa per questo nome, e tribunale-speciale-storia-istituzione non lo nomina in alcuna delle sue sette sezioni.</w:t>
      </w:r>
    </w:p>
    <w:p>
      <w:pPr>
        <w:spacing w:after="120" w:line="276"/>
        <w:jc w:val="both"/>
      </w:pPr>
      <w:r>
        <w:rPr>
          <w:rFonts w:ascii="Barlow Semi Condensed" w:cs="Barlow Semi Condensed" w:eastAsia="Barlow Semi Condensed" w:hAnsi="Barlow Semi Condensed"/>
          <w:b/>
          <w:bCs/>
          <w:sz w:val="24"/>
          <w:szCs w:val="24"/>
        </w:rPr>
        <w:t xml:space="preserve">4010 · 1928, due calendari separati.</w:t>
      </w:r>
      <w:r>
        <w:rPr>
          <w:rFonts w:ascii="Barlow Semi Condensed" w:cs="Barlow Semi Condensed" w:eastAsia="Barlow Semi Condensed" w:hAnsi="Barlow Semi Condensed"/>
          <w:sz w:val="24"/>
          <w:szCs w:val="24"/>
        </w:rPr>
        <w:t xml:space="preserve"> Il «processone» si aprì a Roma il 28 maggio 1928 e si chiuse il 4 giugno; Michele Della Maggiora fu fucilato il 18 ottobre dello stesso anno; Ernesto Guevara nacque il 14 maggio 1928 secondo Anderson, contro il 14 giugno dell'anagrafe. Tre date italiane e argentine, un anno solo, nessun nome americano. L'accertamento si registra al grado F e chiude in negativo: il 1928 non produce alcun piano uno.</w:t>
      </w:r>
    </w:p>
    <w:p>
      <w:pPr>
        <w:spacing w:after="120" w:line="276"/>
        <w:jc w:val="both"/>
      </w:pPr>
      <w:r>
        <w:rPr>
          <w:rFonts w:ascii="Barlow Semi Condensed" w:cs="Barlow Semi Condensed" w:eastAsia="Barlow Semi Condensed" w:hAnsi="Barlow Semi Condensed"/>
          <w:b/>
          <w:bCs/>
          <w:sz w:val="24"/>
          <w:szCs w:val="24"/>
        </w:rPr>
        <w:t xml:space="preserve">4011 · Gli anni Trenta, silenzio strutturale.</w:t>
      </w:r>
      <w:r>
        <w:rPr>
          <w:rFonts w:ascii="Barlow Semi Condensed" w:cs="Barlow Semi Condensed" w:eastAsia="Barlow Semi Condensed" w:hAnsi="Barlow Semi Condensed"/>
          <w:sz w:val="24"/>
          <w:szCs w:val="24"/>
        </w:rPr>
        <w:t xml:space="preserve"> I fucilati di Basovizza del 6 settembre 1930, l'amnistia del decennale del novembre 1932 con seicentotrentanove liberati su millecinquantasei, l'ordinanza del 10 dicembre 1932 per Modesto Benfenati: lo strato di amnistiati-tribunale-speciale è interamente italiano e interamente interno. Stato Zero strutturale, e per una volta senza sede che lo chiuda — non esiste archivio in cui cercare un nome che nel 1932 aveva nove anni.</w:t>
      </w:r>
    </w:p>
    <w:p>
      <w:pPr>
        <w:spacing w:after="120" w:line="276"/>
        <w:jc w:val="both"/>
      </w:pPr>
      <w:r>
        <w:rPr>
          <w:rFonts w:ascii="Barlow Semi Condensed" w:cs="Barlow Semi Condensed" w:eastAsia="Barlow Semi Condensed" w:hAnsi="Barlow Semi Condensed"/>
          <w:b/>
          <w:bCs/>
          <w:sz w:val="24"/>
          <w:szCs w:val="24"/>
        </w:rPr>
        <w:t xml:space="preserve">4012 · 1937 e 1938, serie disgiunte.</w:t>
      </w:r>
      <w:r>
        <w:rPr>
          <w:rFonts w:ascii="Barlow Semi Condensed" w:cs="Barlow Semi Condensed" w:eastAsia="Barlow Semi Condensed" w:hAnsi="Barlow Semi Condensed"/>
          <w:sz w:val="24"/>
          <w:szCs w:val="24"/>
        </w:rPr>
        <w:t xml:space="preserve"> Antonio Gramsci morì il 27 aprile 1937, pochi giorni dopo la fine formale della pena; Benfenati fu ricondannato dal medesimo tribunale nel 1938. Nello stesso 1938 il soggetto lasciò la Germania il 20 agosto e sbarcò a New York il 5 settembre. Le due serie non hanno alcun punto di contatto documentale. Si affiancano qui perché una cronologia comparata deve mostrare anche le righe che restano parallele.</w:t>
      </w:r>
    </w:p>
    <w:p>
      <w:pPr>
        <w:spacing w:after="120" w:line="276"/>
        <w:jc w:val="both"/>
      </w:pPr>
      <w:r>
        <w:rPr>
          <w:rFonts w:ascii="Barlow Semi Condensed" w:cs="Barlow Semi Condensed" w:eastAsia="Barlow Semi Condensed" w:hAnsi="Barlow Semi Condensed"/>
          <w:b/>
          <w:bCs/>
          <w:sz w:val="24"/>
          <w:szCs w:val="24"/>
        </w:rPr>
        <w:t xml:space="preserve">4013 · La data contesa dell'anglicizzazione.</w:t>
      </w:r>
      <w:r>
        <w:rPr>
          <w:rFonts w:ascii="Barlow Semi Condensed" w:cs="Barlow Semi Condensed" w:eastAsia="Barlow Semi Condensed" w:hAnsi="Barlow Semi Condensed"/>
          <w:sz w:val="24"/>
          <w:szCs w:val="24"/>
        </w:rPr>
        <w:t xml:space="preserve"> Le opere di consultazione collocano nel 1938 il passaggio da Heinz a Henry senza citare documenti; il fascicolo d'immigrazione e naturalizzazione, ottenuto per accesso agli atti, lo colloca intorno al 1942-1943, con naturalizzazione del 19 giugno 1943. La divergenza si riporta e non si scioglie, secondo la regola che la seconda campagna della Farnesina applica a ogni data doppia. Sede che la chiuderebbe: il fascicolo originale, non le sintesi che lo citano.</w:t>
      </w:r>
    </w:p>
    <w:p>
      <w:pPr>
        <w:spacing w:after="120" w:line="276"/>
        <w:jc w:val="both"/>
      </w:pPr>
      <w:r>
        <w:rPr>
          <w:rFonts w:ascii="Barlow Semi Condensed" w:cs="Barlow Semi Condensed" w:eastAsia="Barlow Semi Condensed" w:hAnsi="Barlow Semi Condensed"/>
          <w:b/>
          <w:bCs/>
          <w:sz w:val="24"/>
          <w:szCs w:val="24"/>
        </w:rPr>
        <w:t xml:space="preserve">4014 · 1943, due registri nello stesso anno.</w:t>
      </w:r>
      <w:r>
        <w:rPr>
          <w:rFonts w:ascii="Barlow Semi Condensed" w:cs="Barlow Semi Condensed" w:eastAsia="Barlow Semi Condensed" w:hAnsi="Barlow Semi Condensed"/>
          <w:sz w:val="24"/>
          <w:szCs w:val="24"/>
        </w:rPr>
        <w:t xml:space="preserve"> Il regio decreto-legge 29 luglio 1943 numero 668 soppresse il Tribunale Speciale; il 19 giugno dello stesso anno un ventenne emigrato divenne cittadino statunitense. Due registri, un anno, nessun documento che li metta in relazione. Il bersaglio di smentita si enuncia così: chi volesse un arco fra queste righe dovrebbe produrre un atto di provenienza che nomini entrambe le parti, e in ottant'anni di pubblicistica non ne è comparso nessuno.</w:t>
      </w:r>
    </w:p>
    <w:p>
      <w:pPr>
        <w:spacing w:after="120" w:line="276"/>
        <w:jc w:val="both"/>
      </w:pPr>
      <w:r>
        <w:rPr>
          <w:rFonts w:ascii="Barlow Semi Condensed" w:cs="Barlow Semi Condensed" w:eastAsia="Barlow Semi Condensed" w:hAnsi="Barlow Semi Condensed"/>
          <w:b/>
          <w:bCs/>
          <w:sz w:val="24"/>
          <w:szCs w:val="24"/>
        </w:rPr>
        <w:t xml:space="preserve">4015 · Il servizio militare, Stato Zero.</w:t>
      </w:r>
      <w:r>
        <w:rPr>
          <w:rFonts w:ascii="Barlow Semi Condensed" w:cs="Barlow Semi Condensed" w:eastAsia="Barlow Semi Condensed" w:hAnsi="Barlow Semi Condensed"/>
          <w:sz w:val="24"/>
          <w:szCs w:val="24"/>
        </w:rPr>
        <w:t xml:space="preserve"> Del periodo bellico del soggetto — servizio nell'esercito statunitense e ritorno in Germania — il corpus non conserva nulla, e non ha ragione di conservarlo: la sua Germania documentata comincia con germania-opus-dei-1952-1985. Stato Zero pieno, con sede nominata: il fascicolo personale militare presso il National Personnel Records Center di Saint Louis. Chi aprisse quella riga sappia che la aprirebbe fuori dal perimetro del corpus, e lo dichiari.</w:t>
      </w:r>
    </w:p>
    <w:p>
      <w:pPr>
        <w:spacing w:after="120" w:line="276"/>
        <w:jc w:val="both"/>
      </w:pPr>
      <w:r>
        <w:rPr>
          <w:rFonts w:ascii="Barlow Semi Condensed" w:cs="Barlow Semi Condensed" w:eastAsia="Barlow Semi Condensed" w:hAnsi="Barlow Semi Condensed"/>
          <w:b/>
          <w:bCs/>
          <w:sz w:val="24"/>
          <w:szCs w:val="24"/>
        </w:rPr>
        <w:t xml:space="preserve">4016 · 1946, la Costituente senza estero.</w:t>
      </w:r>
      <w:r>
        <w:rPr>
          <w:rFonts w:ascii="Barlow Semi Condensed" w:cs="Barlow Semi Condensed" w:eastAsia="Barlow Semi Condensed" w:hAnsi="Barlow Semi Condensed"/>
          <w:sz w:val="24"/>
          <w:szCs w:val="24"/>
        </w:rPr>
        <w:t xml:space="preserve"> Aldo Moro fu costituente nel 1946 e appartenne all'assemblea che scolpì nell'articolo 102 il divieto di giudici straordinari e speciali: è il ponte biografico-istituzionale che lo studio sul Tribunale Speciale dichiara documentato, e l'unico che esso concede al versante moroteo. Esito negativo da registrare: nessuna fonte lega quella stagione a interlocutori americani nominati. Il primo Moro documentato dal corpus è interamente domestico.</w:t>
      </w:r>
    </w:p>
    <w:p>
      <w:pPr>
        <w:spacing w:after="120" w:line="276"/>
        <w:jc w:val="both"/>
      </w:pPr>
      <w:r>
        <w:rPr>
          <w:rFonts w:ascii="Barlow Semi Condensed" w:cs="Barlow Semi Condensed" w:eastAsia="Barlow Semi Condensed" w:hAnsi="Barlow Semi Condensed"/>
          <w:b/>
          <w:bCs/>
          <w:sz w:val="24"/>
          <w:szCs w:val="24"/>
        </w:rPr>
        <w:t xml:space="preserve">4017 · Il ventennio coperto 1948-1968.</w:t>
      </w:r>
      <w:r>
        <w:rPr>
          <w:rFonts w:ascii="Barlow Semi Condensed" w:cs="Barlow Semi Condensed" w:eastAsia="Barlow Semi Condensed" w:hAnsi="Barlow Semi Condensed"/>
          <w:sz w:val="24"/>
          <w:szCs w:val="24"/>
        </w:rPr>
        <w:t xml:space="preserve"> Il verbale del Comitato dei 303 dell'11 marzo 1969, FRUS volume XLI documento 180, fa illustrare da Karamessines origini e livelli del sostegno coperto ai partiti italiani fra il 1948 e il 1968. Il ventennio è documentato al piano uno rispetto al documento che lo riassume, e precede per intero l'incarico. Regola di lettura: un uomo non risponde della cronologia che il suo primo verbale mette a verbale.</w:t>
      </w:r>
    </w:p>
    <w:p>
      <w:pPr>
        <w:spacing w:after="120" w:line="276"/>
        <w:jc w:val="both"/>
      </w:pPr>
      <w:r>
        <w:rPr>
          <w:rFonts w:ascii="Barlow Semi Condensed" w:cs="Barlow Semi Condensed" w:eastAsia="Barlow Semi Condensed" w:hAnsi="Barlow Semi Condensed"/>
          <w:b/>
          <w:bCs/>
          <w:sz w:val="24"/>
          <w:szCs w:val="24"/>
        </w:rPr>
        <w:t xml:space="preserve">4018 · 1954, tre fatti che non si toccano.</w:t>
      </w:r>
      <w:r>
        <w:rPr>
          <w:rFonts w:ascii="Barlow Semi Condensed" w:cs="Barlow Semi Condensed" w:eastAsia="Barlow Semi Condensed" w:hAnsi="Barlow Semi Condensed"/>
          <w:sz w:val="24"/>
          <w:szCs w:val="24"/>
        </w:rPr>
        <w:t xml:space="preserve"> Nel giugno 1954 l'operazione PBSUCCESS rovesciò Árbenz e spinse Guevara verso il Messico, dove giunse il 21 settembre; nello stesso anno fu discussa a Harvard la tesi dottorale su Castlereagh e Metternich che il blocco 68 registra. Contemporaneità pura, e nulla più. Bersaglio di smentita: un documento di provenienza che nomini l'autore di quella tesi negli atti guatemaltechi rovescerebbe la riga, e nessuno è mai stato prodotto.</w:t>
      </w:r>
    </w:p>
    <w:p>
      <w:pPr>
        <w:spacing w:after="120" w:line="276"/>
        <w:jc w:val="both"/>
      </w:pPr>
      <w:r>
        <w:rPr>
          <w:rFonts w:ascii="Barlow Semi Condensed" w:cs="Barlow Semi Condensed" w:eastAsia="Barlow Semi Condensed" w:hAnsi="Barlow Semi Condensed"/>
          <w:b/>
          <w:bCs/>
          <w:sz w:val="24"/>
          <w:szCs w:val="24"/>
        </w:rPr>
        <w:t xml:space="preserve">4019 · 1957 e 1960, decenni non cornici.</w:t>
      </w:r>
      <w:r>
        <w:rPr>
          <w:rFonts w:ascii="Barlow Semi Condensed" w:cs="Barlow Semi Condensed" w:eastAsia="Barlow Semi Condensed" w:hAnsi="Barlow Semi Condensed"/>
          <w:sz w:val="24"/>
          <w:szCs w:val="24"/>
        </w:rPr>
        <w:t xml:space="preserve"> Il volume del 1957 sulla restaurazione europea e lo scatto di Alberto Korda del 5 marzo 1960 all'Avana sono i due oggetti del corpus più lontani per natura e più vicini per decennio. La cronologia comparata li affianca per mostrare ciò che essa non autorizza: nessun rapporto, nessuna cornice comune, nessun arco. Un decennio condiviso non è una cornice, e il nodo M-2 non lo pretende.</w:t>
      </w:r>
    </w:p>
    <w:p>
      <w:pPr>
        <w:spacing w:after="120" w:line="276"/>
        <w:jc w:val="both"/>
      </w:pPr>
      <w:r>
        <w:rPr>
          <w:rFonts w:ascii="Barlow Semi Condensed" w:cs="Barlow Semi Condensed" w:eastAsia="Barlow Semi Condensed" w:hAnsi="Barlow Semi Condensed"/>
          <w:b/>
          <w:bCs/>
          <w:sz w:val="24"/>
          <w:szCs w:val="24"/>
        </w:rPr>
        <w:t xml:space="preserve">4020 · Aprile 1965, i nomi americani.</w:t>
      </w:r>
      <w:r>
        <w:rPr>
          <w:rFonts w:ascii="Barlow Semi Condensed" w:cs="Barlow Semi Condensed" w:eastAsia="Barlow Semi Condensed" w:hAnsi="Barlow Semi Condensed"/>
          <w:sz w:val="24"/>
          <w:szCs w:val="24"/>
        </w:rPr>
        <w:t xml:space="preserve"> Il programma della visita ufficiale del 19-23 aprile 1965, comunicato stampa numero 76 del Dipartimento di Stato, elenca per parte americana Johnson, Rusk, McNamara, Humphrey, Fowler, Hand e Reinhardt, e nel promemoria di sicurezza Hoover e Gentile. Il nome di questa serie non vi compare. Stato Zero accertato su fonte primaria interna al corpus, con la sede che lo confermerebbe: la Lyndon B. Johnson Library, per i memoranda della visita.</w:t>
      </w:r>
    </w:p>
    <w:p>
      <w:pPr>
        <w:spacing w:after="120" w:line="276"/>
        <w:jc w:val="both"/>
      </w:pPr>
      <w:r>
        <w:rPr>
          <w:rFonts w:ascii="Barlow Semi Condensed" w:cs="Barlow Semi Condensed" w:eastAsia="Barlow Semi Condensed" w:hAnsi="Barlow Semi Condensed"/>
          <w:b/>
          <w:bCs/>
          <w:sz w:val="24"/>
          <w:szCs w:val="24"/>
        </w:rPr>
        <w:t xml:space="preserve">4021 · Guerzoni nella delegazione del 1965.</w:t>
      </w:r>
      <w:r>
        <w:rPr>
          <w:rFonts w:ascii="Barlow Semi Condensed" w:cs="Barlow Semi Condensed" w:eastAsia="Barlow Semi Condensed" w:hAnsi="Barlow Semi Condensed"/>
          <w:sz w:val="24"/>
          <w:szCs w:val="24"/>
        </w:rPr>
        <w:t xml:space="preserve"> Fra i tredici membri della delegazione italiana del 1965 figura Corrado Guerzoni, capo dell'ufficio stampa del presidente del Consiglio: lo stesso che nel novembre 1982 riferirà de relato alla Corte d'assise di Roma l'avvertimento attribuito. Il dato è biografico, datato, di grado F. Non rafforza la testimonianza resa diciassette anni dopo e non la indebolisce: la colloca in una biografia, ed è tutto ciò che una cronologia può fare.</w:t>
      </w:r>
    </w:p>
    <w:p>
      <w:pPr>
        <w:spacing w:after="120" w:line="276"/>
        <w:jc w:val="both"/>
      </w:pPr>
      <w:r>
        <w:rPr>
          <w:rFonts w:ascii="Barlow Semi Condensed" w:cs="Barlow Semi Condensed" w:eastAsia="Barlow Semi Condensed" w:hAnsi="Barlow Semi Condensed"/>
          <w:b/>
          <w:bCs/>
          <w:sz w:val="24"/>
          <w:szCs w:val="24"/>
        </w:rPr>
        <w:t xml:space="preserve">4022 · 1964, il limite basso del lotto.</w:t>
      </w:r>
      <w:r>
        <w:rPr>
          <w:rFonts w:ascii="Barlow Semi Condensed" w:cs="Barlow Semi Condensed" w:eastAsia="Barlow Semi Condensed" w:hAnsi="Barlow Semi Condensed"/>
          <w:sz w:val="24"/>
          <w:szCs w:val="24"/>
        </w:rPr>
        <w:t xml:space="preserve"> Il lotto desecretato del Dipartimento di Stato archiviato nella cartella Farnesina comincia con l'aprile 1965 e riprende con l'aprile 1978: fra le due estremità il corpus non possiede carta americana propria. L'11 dicembre 1964, giorno del discorso di Guevara all'ONU, cade appena sotto la soglia. Bersaglio: chiedere l'integrale del caso FOIA R-2021-002xx, per accertare se quella soglia sia editoriale o archivistica.</w:t>
      </w:r>
    </w:p>
    <w:p>
      <w:pPr>
        <w:spacing w:after="120" w:line="276"/>
        <w:jc w:val="both"/>
      </w:pPr>
      <w:r>
        <w:rPr>
          <w:rFonts w:ascii="Barlow Semi Condensed" w:cs="Barlow Semi Condensed" w:eastAsia="Barlow Semi Condensed" w:hAnsi="Barlow Semi Condensed"/>
          <w:b/>
          <w:bCs/>
          <w:sz w:val="24"/>
          <w:szCs w:val="24"/>
        </w:rPr>
        <w:t xml:space="preserve">4023 · 1967, l'americano nominato a La Higuera.</w:t>
      </w:r>
      <w:r>
        <w:rPr>
          <w:rFonts w:ascii="Barlow Semi Condensed" w:cs="Barlow Semi Condensed" w:eastAsia="Barlow Semi Condensed" w:hAnsi="Barlow Semi Condensed"/>
          <w:sz w:val="24"/>
          <w:szCs w:val="24"/>
        </w:rPr>
        <w:t xml:space="preserve"> Il nodo M-5 di triangolazioni-guevara-moro documenta la presenza dell'agente Félix Rodríguez a La Higuera l'8 e 9 ottobre 1967, sugli archivi statunitensi desecretati nel 1997. È l'americano che il versante guevariano nomina con data e luogo. Accertamento e confine insieme: lo stesso nodo, per il 1967, non nomina il soggetto di questa serie, e la simmetria che esso propone fra le due morti è dichiarata convergenza.</w:t>
      </w:r>
    </w:p>
    <w:p>
      <w:pPr>
        <w:spacing w:after="120" w:line="276"/>
        <w:jc w:val="both"/>
      </w:pPr>
      <w:r>
        <w:rPr>
          <w:rFonts w:ascii="Barlow Semi Condensed" w:cs="Barlow Semi Condensed" w:eastAsia="Barlow Semi Condensed" w:hAnsi="Barlow Semi Condensed"/>
          <w:b/>
          <w:bCs/>
          <w:sz w:val="24"/>
          <w:szCs w:val="24"/>
        </w:rPr>
        <w:t xml:space="preserve">4024 · 1967-1968, due trasmissioni senza canale.</w:t>
      </w:r>
      <w:r>
        <w:rPr>
          <w:rFonts w:ascii="Barlow Semi Condensed" w:cs="Barlow Semi Condensed" w:eastAsia="Barlow Semi Condensed" w:hAnsi="Barlow Semi Condensed"/>
          <w:sz w:val="24"/>
          <w:szCs w:val="24"/>
        </w:rPr>
        <w:t xml:space="preserve"> Feltrinelli trasformò lo scatto di Korda in manifesto nel 1967 e lo pose in copertina al Diario in Bolivia nel 1968, secondo il nodo M-2. Nello stesso 1968 apparve in rivista il saggio sul rivoluzionario bianco, che il blocco 74 qualifica come analisi storica e non come programma. Due trasmissioni di testo nel medesimo biennio, senza alcun canale fra loro: non convergenza, coincidenza — e va detto.</w:t>
      </w:r>
    </w:p>
    <w:p>
      <w:pPr>
        <w:spacing w:after="120" w:line="276"/>
        <w:jc w:val="both"/>
      </w:pPr>
      <w:r>
        <w:rPr>
          <w:rFonts w:ascii="Barlow Semi Condensed" w:cs="Barlow Semi Condensed" w:eastAsia="Barlow Semi Condensed" w:hAnsi="Barlow Semi Condensed"/>
          <w:b/>
          <w:bCs/>
          <w:sz w:val="24"/>
          <w:szCs w:val="24"/>
        </w:rPr>
        <w:t xml:space="preserve">4025 · La graduatoria degli anni.</w:t>
      </w:r>
      <w:r>
        <w:rPr>
          <w:rFonts w:ascii="Barlow Semi Condensed" w:cs="Barlow Semi Condensed" w:eastAsia="Barlow Semi Condensed" w:hAnsi="Barlow Semi Condensed"/>
          <w:sz w:val="24"/>
          <w:szCs w:val="24"/>
        </w:rPr>
        <w:t xml:space="preserve"> Il conteggio meccanico delle occorrenze d'anno nel branch pubblico dà il 1978 al primo posto, il 1974 al secondo, il 1969 al terzo. Che il 1974 preceda il 1969 dipende dalla cartella Farnesina, non dal caso Moro. La regola vale qui più che altrove: la densità documentale misura quanto se n'è scritto, non quanto ha pesato, e nessuna graduatoria di frequenza è una graduatoria di importanza.</w:t>
      </w:r>
    </w:p>
    <w:p>
      <w:pPr>
        <w:spacing w:after="120" w:line="276"/>
        <w:jc w:val="both"/>
      </w:pPr>
      <w:r>
        <w:rPr>
          <w:rFonts w:ascii="Barlow Semi Condensed" w:cs="Barlow Semi Condensed" w:eastAsia="Barlow Semi Condensed" w:hAnsi="Barlow Semi Condensed"/>
          <w:b/>
          <w:bCs/>
          <w:sz w:val="24"/>
          <w:szCs w:val="24"/>
        </w:rPr>
        <w:t xml:space="preserve">4026 · 20 gennaio 1969, la soglia.</w:t>
      </w:r>
      <w:r>
        <w:rPr>
          <w:rFonts w:ascii="Barlow Semi Condensed" w:cs="Barlow Semi Condensed" w:eastAsia="Barlow Semi Condensed" w:hAnsi="Barlow Semi Condensed"/>
          <w:sz w:val="24"/>
          <w:szCs w:val="24"/>
        </w:rPr>
        <w:t xml:space="preserve"> L'incarico di Assistente del Presidente per gli affari di sicurezza nazionale decorre dal 20 gennaio 1969 e cessa il 3 novembre 1975, come l'apparato K-2 accerta contro le formule correnti. È la prima data del soggetto che il corpus possa opporre a una data italiana. La serie la usa come soglia di ammissibilità: ogni riga anteriore è, per definizione, riga fuori carica, e come tale si segnala.</w:t>
      </w:r>
    </w:p>
    <w:p>
      <w:pPr>
        <w:spacing w:after="120" w:line="276"/>
        <w:jc w:val="both"/>
      </w:pPr>
      <w:r>
        <w:rPr>
          <w:rFonts w:ascii="Barlow Semi Condensed" w:cs="Barlow Semi Condensed" w:eastAsia="Barlow Semi Condensed" w:hAnsi="Barlow Semi Condensed"/>
          <w:b/>
          <w:bCs/>
          <w:sz w:val="24"/>
          <w:szCs w:val="24"/>
        </w:rPr>
        <w:t xml:space="preserve">4027 · 28 gennaio 1969, il TNP.</w:t>
      </w:r>
      <w:r>
        <w:rPr>
          <w:rFonts w:ascii="Barlow Semi Condensed" w:cs="Barlow Semi Condensed" w:eastAsia="Barlow Semi Condensed" w:hAnsi="Barlow Semi Condensed"/>
          <w:sz w:val="24"/>
          <w:szCs w:val="24"/>
        </w:rPr>
        <w:t xml:space="preserve"> La seconda campagna della Farnesina precisa che l'Italia firmò il Trattato di non proliferazione il 28 gennaio 1969, non nel 1968, anno di apertura alla firma, e ratificò con legge 24 aprile 1975 numero 131. La firma cade otto giorni dopo l'insediamento americano e sei mesi prima dell'arrivo di Moro alla Farnesina. Nessun atto lega le due date: il rilievo serve a impedire attribuzioni cronologicamente imprecise.</w:t>
      </w:r>
    </w:p>
    <w:p>
      <w:pPr>
        <w:spacing w:after="120" w:line="276"/>
        <w:jc w:val="both"/>
      </w:pPr>
      <w:r>
        <w:rPr>
          <w:rFonts w:ascii="Barlow Semi Condensed" w:cs="Barlow Semi Condensed" w:eastAsia="Barlow Semi Condensed" w:hAnsi="Barlow Semi Condensed"/>
          <w:b/>
          <w:bCs/>
          <w:sz w:val="24"/>
          <w:szCs w:val="24"/>
        </w:rPr>
        <w:t xml:space="preserve">4028 · 11 marzo 1969, precedenza non nesso.</w:t>
      </w:r>
      <w:r>
        <w:rPr>
          <w:rFonts w:ascii="Barlow Semi Condensed" w:cs="Barlow Semi Condensed" w:eastAsia="Barlow Semi Condensed" w:hAnsi="Barlow Semi Condensed"/>
          <w:sz w:val="24"/>
          <w:szCs w:val="24"/>
        </w:rPr>
        <w:t xml:space="preserve"> La riunione del Comitato dei 303, presieduta dal soggetto con Johnson, Packard e Helms, convenne all'unanimità che non vi fosse reale giustificazione per riprendere il finanziamento coperto. Moro assunse la Farnesina il 5 agosto 1969: la riunione la precede di quasi cinque mesi. Non c'è contemporaneità, c'è precedenza — e una causa non si colloca dopo il proprio effetto, come il blocco 867 ha già stabilito.</w:t>
      </w:r>
    </w:p>
    <w:p>
      <w:pPr>
        <w:spacing w:after="120" w:line="276"/>
        <w:jc w:val="both"/>
      </w:pPr>
      <w:r>
        <w:rPr>
          <w:rFonts w:ascii="Barlow Semi Condensed" w:cs="Barlow Semi Condensed" w:eastAsia="Barlow Semi Condensed" w:hAnsi="Barlow Semi Condensed"/>
          <w:b/>
          <w:bCs/>
          <w:sz w:val="24"/>
          <w:szCs w:val="24"/>
        </w:rPr>
        <w:t xml:space="preserve">4029 · 15 giugno 1969, Bari.</w:t>
      </w:r>
      <w:r>
        <w:rPr>
          <w:rFonts w:ascii="Barlow Semi Condensed" w:cs="Barlow Semi Condensed" w:eastAsia="Barlow Semi Condensed" w:hAnsi="Barlow Semi Condensed"/>
          <w:sz w:val="24"/>
          <w:szCs w:val="24"/>
        </w:rPr>
        <w:t xml:space="preserve"> La strategia dell'attenzione è formulata compiutamente nel discorso al primo congresso regionale pugliese della Democrazia Cristiana, tenuto a Bari il 15 giugno 1969: bersaglio già fissato al blocco 120, con l'edizione camerale dei Discorsi parlamentari come sede. La data precede di sette settimane l'ingresso alla Farnesina. Chi voglia opporre dottrine dovrà prima datarle una per una: il confronto senza date è, alla lettera, senza oggetto.</w:t>
      </w:r>
    </w:p>
    <w:p>
      <w:pPr>
        <w:spacing w:after="120" w:line="276"/>
        <w:jc w:val="both"/>
      </w:pPr>
      <w:r>
        <w:rPr>
          <w:rFonts w:ascii="Barlow Semi Condensed" w:cs="Barlow Semi Condensed" w:eastAsia="Barlow Semi Condensed" w:hAnsi="Barlow Semi Condensed"/>
          <w:b/>
          <w:bCs/>
          <w:sz w:val="24"/>
          <w:szCs w:val="24"/>
        </w:rPr>
        <w:t xml:space="preserve">4030 · 5 agosto 1969, la finestra italiana.</w:t>
      </w:r>
      <w:r>
        <w:rPr>
          <w:rFonts w:ascii="Barlow Semi Condensed" w:cs="Barlow Semi Condensed" w:eastAsia="Barlow Semi Condensed" w:hAnsi="Barlow Semi Condensed"/>
          <w:sz w:val="24"/>
          <w:szCs w:val="24"/>
        </w:rPr>
        <w:t xml:space="preserve"> Moro fu ministro degli Affari Esteri dal 5 agosto 1969 al 26 giugno 1972 e di nuovo dal 7 luglio 1973 al 23 novembre 1974: sono le due sole finestre entro cui un rapporto diretto fra i due nomi, in veste di ministro e di titolare americano, è cronologicamente possibile. La verifica ne ha trovato uno. Fuori da queste finestre ogni ponte istituzionale è escluso in partenza, e va escluso senza discutere il merito.</w:t>
      </w:r>
    </w:p>
    <w:p>
      <w:pPr>
        <w:spacing w:after="120" w:line="276"/>
        <w:jc w:val="both"/>
      </w:pPr>
      <w:r>
        <w:rPr>
          <w:rFonts w:ascii="Barlow Semi Condensed" w:cs="Barlow Semi Condensed" w:eastAsia="Barlow Semi Condensed" w:hAnsi="Barlow Semi Condensed"/>
          <w:b/>
          <w:bCs/>
          <w:sz w:val="24"/>
          <w:szCs w:val="24"/>
        </w:rPr>
        <w:t xml:space="preserve">4031 · 31 agosto 1969, Moro e Brandt.</w:t>
      </w:r>
      <w:r>
        <w:rPr>
          <w:rFonts w:ascii="Barlow Semi Condensed" w:cs="Barlow Semi Condensed" w:eastAsia="Barlow Semi Condensed" w:hAnsi="Barlow Semi Condensed"/>
          <w:sz w:val="24"/>
          <w:szCs w:val="24"/>
        </w:rPr>
        <w:t xml:space="preserve"> Il corpus corregge la ricognizione nuova su un esito negativo che essa dichiarava: un bilaterale Moro-Brandt a Roma è documentato per il 31 agosto e il 1° settembre 1969, quando entrambi erano ministri degli Esteri, sette settimane prima della cancelleria. La riga esiste ed è tedesca. Bersaglio residuo: gli incontri del periodo di cancellierato, tuttora non reperiti — e in nessuno dei due tronconi compare il nome di questa serie.</w:t>
      </w:r>
    </w:p>
    <w:p>
      <w:pPr>
        <w:spacing w:after="120" w:line="276"/>
        <w:jc w:val="both"/>
      </w:pPr>
      <w:r>
        <w:rPr>
          <w:rFonts w:ascii="Barlow Semi Condensed" w:cs="Barlow Semi Condensed" w:eastAsia="Barlow Semi Condensed" w:hAnsi="Barlow Semi Condensed"/>
          <w:b/>
          <w:bCs/>
          <w:sz w:val="24"/>
          <w:szCs w:val="24"/>
        </w:rPr>
        <w:t xml:space="preserve">4032 · 8 settembre 1969, il connettore.</w:t>
      </w:r>
      <w:r>
        <w:rPr>
          <w:rFonts w:ascii="Barlow Semi Condensed" w:cs="Barlow Semi Condensed" w:eastAsia="Barlow Semi Condensed" w:hAnsi="Barlow Semi Condensed"/>
          <w:sz w:val="24"/>
          <w:szCs w:val="24"/>
        </w:rPr>
        <w:t xml:space="preserve"> Il Collettivo Politico Metropolitano nacque a Milano l'8 settembre 1969 con Curcio e Simioni, e la sinaptogenesi del corpus gli assegna la seconda betweenness dell'intera rete: è il ponte documentale fra i mondi italiani. Accertamento di confine, da scrivere per intero: quel connettore non tocca alcun nodo americano, e il grafo non registra arco fra il ceppo del 1969 e qualunque nome straniero.</w:t>
      </w:r>
    </w:p>
    <w:p>
      <w:pPr>
        <w:spacing w:after="120" w:line="276"/>
        <w:jc w:val="both"/>
      </w:pPr>
      <w:r>
        <w:rPr>
          <w:rFonts w:ascii="Barlow Semi Condensed" w:cs="Barlow Semi Condensed" w:eastAsia="Barlow Semi Condensed" w:hAnsi="Barlow Semi Condensed"/>
          <w:b/>
          <w:bCs/>
          <w:sz w:val="24"/>
          <w:szCs w:val="24"/>
        </w:rPr>
        <w:t xml:space="preserve">4033 · Dicembre 1969, ordinare uno studio.</w:t>
      </w:r>
      <w:r>
        <w:rPr>
          <w:rFonts w:ascii="Barlow Semi Condensed" w:cs="Barlow Semi Condensed" w:eastAsia="Barlow Semi Condensed" w:hAnsi="Barlow Semi Condensed"/>
          <w:sz w:val="24"/>
          <w:szCs w:val="24"/>
        </w:rPr>
        <w:t xml:space="preserve"> Il documento 188 del volume XLI registra l'istruzione di Nixon, nel dicembre 1969, di avviare uno study on Italy, e il blocco 115 lo qualifica già: attesta un'attenzione, non una decisione operativa. La serie aggiunge il solo rilievo che le compete, ed è cronologico — lo studio è ordinato quattro mesi dopo l'arrivo di Moro alla Farnesina, e nessuna fonte lo collega alla persona del ministro.</w:t>
      </w:r>
    </w:p>
    <w:p>
      <w:pPr>
        <w:spacing w:after="120" w:line="276"/>
        <w:jc w:val="both"/>
      </w:pPr>
      <w:r>
        <w:rPr>
          <w:rFonts w:ascii="Barlow Semi Condensed" w:cs="Barlow Semi Condensed" w:eastAsia="Barlow Semi Condensed" w:hAnsi="Barlow Semi Condensed"/>
          <w:b/>
          <w:bCs/>
          <w:sz w:val="24"/>
          <w:szCs w:val="24"/>
        </w:rPr>
        <w:t xml:space="preserve">4034 · 12 dicembre 1969, la tesi circolante.</w:t>
      </w:r>
      <w:r>
        <w:rPr>
          <w:rFonts w:ascii="Barlow Semi Condensed" w:cs="Barlow Semi Condensed" w:eastAsia="Barlow Semi Condensed" w:hAnsi="Barlow Semi Condensed"/>
          <w:sz w:val="24"/>
          <w:szCs w:val="24"/>
        </w:rPr>
        <w:t xml:space="preserve"> Il blocco 339 registra la tesi d'autore che legherebbe la data di piazza Fontana alla sconfitta diplomatica greca a Strasburgo, dove le fonti divergono perfino sul giorno della seduta, 12 o 13 dicembre. È affermazione terziaria, piano tre, e come tale va nominata ogni volta. Bersaglio di riscontro e di smentita insieme: gli atti del Consiglio d'Europa e le serie di gabinetto della Farnesina, mai spogliati per questa domanda.</w:t>
      </w:r>
    </w:p>
    <w:p>
      <w:pPr>
        <w:spacing w:after="120" w:line="276"/>
        <w:jc w:val="both"/>
      </w:pPr>
      <w:r>
        <w:rPr>
          <w:rFonts w:ascii="Barlow Semi Condensed" w:cs="Barlow Semi Condensed" w:eastAsia="Barlow Semi Condensed" w:hAnsi="Barlow Semi Condensed"/>
          <w:b/>
          <w:bCs/>
          <w:sz w:val="24"/>
          <w:szCs w:val="24"/>
        </w:rPr>
        <w:t xml:space="preserve">4035 · 1970, gli atti pontifici portoghesi.</w:t>
      </w:r>
      <w:r>
        <w:rPr>
          <w:rFonts w:ascii="Barlow Semi Condensed" w:cs="Barlow Semi Condensed" w:eastAsia="Barlow Semi Condensed" w:hAnsi="Barlow Semi Condensed"/>
          <w:sz w:val="24"/>
          <w:szCs w:val="24"/>
        </w:rPr>
        <w:t xml:space="preserve"> L'udienza di Paolo VI ai tre leader dei movimenti di liberazione del 1° luglio 1970, la Conferenza romana del 27-29 giugno senza patrocinio né obiezione del governo italiano, il gemellaggio ospedaliero reggiano: la ricognizione portoghese li documenta come sequenza datata. Esito negativo dichiarato per questa serie: in nessuno dei tre atti compare un interlocutore americano nominato, e la cartella Farnesina non ne cerca alcuno.</w:t>
      </w:r>
    </w:p>
    <w:p>
      <w:pPr>
        <w:spacing w:after="120" w:line="276"/>
        <w:jc w:val="both"/>
      </w:pPr>
      <w:r>
        <w:rPr>
          <w:rFonts w:ascii="Barlow Semi Condensed" w:cs="Barlow Semi Condensed" w:eastAsia="Barlow Semi Condensed" w:hAnsi="Barlow Semi Condensed"/>
          <w:b/>
          <w:bCs/>
          <w:sz w:val="24"/>
          <w:szCs w:val="24"/>
        </w:rPr>
        <w:t xml:space="preserve">4036 · 22 maggio 1970, il funzionario anonimo.</w:t>
      </w:r>
      <w:r>
        <w:rPr>
          <w:rFonts w:ascii="Barlow Semi Condensed" w:cs="Barlow Semi Condensed" w:eastAsia="Barlow Semi Condensed" w:hAnsi="Barlow Semi Condensed"/>
          <w:sz w:val="24"/>
          <w:szCs w:val="24"/>
        </w:rPr>
        <w:t xml:space="preserve"> Il Weekly Summary Special Report, protocollo CIA-RDP85T00875R001500020027-1, declassificato, attesta la composizione del gabinetto spagnolo dell'ottobre 1969 e contiene la frase su un funzionario italiano che non nomina. La seconda campagna della Farnesina la acquisisce nella sola forma acquisibile: frase anonima di documento autentico. Regola: un documento datato che non fa nomi non ne fa nemmeno uno per questa serie, e ogni identificazione resta inferenza non sostenuta.</w:t>
      </w:r>
    </w:p>
    <w:p>
      <w:pPr>
        <w:spacing w:after="120" w:line="276"/>
        <w:jc w:val="both"/>
      </w:pPr>
      <w:r>
        <w:rPr>
          <w:rFonts w:ascii="Barlow Semi Condensed" w:cs="Barlow Semi Condensed" w:eastAsia="Barlow Semi Condensed" w:hAnsi="Barlow Semi Condensed"/>
          <w:b/>
          <w:bCs/>
          <w:sz w:val="24"/>
          <w:szCs w:val="24"/>
        </w:rPr>
        <w:t xml:space="preserve">4037 · Ottobre 1970, Tripoli.</w:t>
      </w:r>
      <w:r>
        <w:rPr>
          <w:rFonts w:ascii="Barlow Semi Condensed" w:cs="Barlow Semi Condensed" w:eastAsia="Barlow Semi Condensed" w:hAnsi="Barlow Semi Condensed"/>
          <w:sz w:val="24"/>
          <w:szCs w:val="24"/>
        </w:rPr>
        <w:t xml:space="preserve"> L'ultimatum libico del 7 ottobre 1970 e la fine del traghettamento di oltre diciassettemila italiani il 15 ottobre sono acquisizioni che il corpus oppone a una lacuna dichiarata dalla ricognizione nuova. Riga mediterranea densa e interamente bilaterale. Bersaglio: verificare nelle serie del gabinetto del ministro se della crisi esista corrispondenza con Washington nel medesimo autunno. Accertamento non condotto; sede l'Archivio storico-diplomatico della Farnesina.</w:t>
      </w:r>
    </w:p>
    <w:p>
      <w:pPr>
        <w:spacing w:after="120" w:line="276"/>
        <w:jc w:val="both"/>
      </w:pPr>
      <w:r>
        <w:rPr>
          <w:rFonts w:ascii="Barlow Semi Condensed" w:cs="Barlow Semi Condensed" w:eastAsia="Barlow Semi Condensed" w:hAnsi="Barlow Semi Condensed"/>
          <w:b/>
          <w:bCs/>
          <w:sz w:val="24"/>
          <w:szCs w:val="24"/>
        </w:rPr>
        <w:t xml:space="preserve">4038 · 7 dicembre 1970, la catena Oder-Neisse.</w:t>
      </w:r>
      <w:r>
        <w:rPr>
          <w:rFonts w:ascii="Barlow Semi Condensed" w:cs="Barlow Semi Condensed" w:eastAsia="Barlow Semi Condensed" w:hAnsi="Barlow Semi Condensed"/>
          <w:sz w:val="24"/>
          <w:szCs w:val="24"/>
        </w:rPr>
        <w:t xml:space="preserve"> Trattato di Varsavia firmato il 7 dicembre 1970, leggi di autorizzazione approvate il 17 e il 19 maggio 1972, entrata in vigore il 3 giugno, costituzioni apostoliche del 28 giugno: è la catena datata più stretta dell'intera cartella diplomatica. Nessuno dei suoi anelli è americano, e il nesso non è dedotto dalla prossimità delle date ma attestato dalla comunicazione vaticana di accompagnamento. Il modello vale per ogni sequenza.</w:t>
      </w:r>
    </w:p>
    <w:p>
      <w:pPr>
        <w:spacing w:after="120" w:line="276"/>
        <w:jc w:val="both"/>
      </w:pPr>
      <w:r>
        <w:rPr>
          <w:rFonts w:ascii="Barlow Semi Condensed" w:cs="Barlow Semi Condensed" w:eastAsia="Barlow Semi Condensed" w:hAnsi="Barlow Semi Condensed"/>
          <w:b/>
          <w:bCs/>
          <w:sz w:val="24"/>
          <w:szCs w:val="24"/>
        </w:rPr>
        <w:t xml:space="preserve">4039 · Agosto 1970, Pecorile.</w:t>
      </w:r>
      <w:r>
        <w:rPr>
          <w:rFonts w:ascii="Barlow Semi Condensed" w:cs="Barlow Semi Condensed" w:eastAsia="Barlow Semi Condensed" w:hAnsi="Barlow Semi Condensed"/>
          <w:sz w:val="24"/>
          <w:szCs w:val="24"/>
        </w:rPr>
        <w:t xml:space="preserve"> Al convegno di Pecorile dell'agosto 1970 nacque il nucleo delle Brigate Rosse, che assunsero Guevara a modello dichiarato, mentre Feltrinelli fondava i Gruppi d'Azione Partigiana: lo documenta il nodo M-3. È il punto in cui il fronte italiano si arma, e la cronologia comparata lo registra come interamente domestico. La Fase sesta lo conferma dal lato negativo, fra i suoi Stati Zero cercati e non trovati.</w:t>
      </w:r>
    </w:p>
    <w:p>
      <w:pPr>
        <w:spacing w:after="120" w:line="276"/>
        <w:jc w:val="both"/>
      </w:pPr>
      <w:r>
        <w:rPr>
          <w:rFonts w:ascii="Barlow Semi Condensed" w:cs="Barlow Semi Condensed" w:eastAsia="Barlow Semi Condensed" w:hAnsi="Barlow Semi Condensed"/>
          <w:b/>
          <w:bCs/>
          <w:sz w:val="24"/>
          <w:szCs w:val="24"/>
        </w:rPr>
        <w:t xml:space="preserve">4040 · 1971, il papavero e il nome.</w:t>
      </w:r>
      <w:r>
        <w:rPr>
          <w:rFonts w:ascii="Barlow Semi Condensed" w:cs="Barlow Semi Condensed" w:eastAsia="Barlow Semi Condensed" w:hAnsi="Barlow Semi Condensed"/>
          <w:sz w:val="24"/>
          <w:szCs w:val="24"/>
        </w:rPr>
        <w:t xml:space="preserve"> La ricognizione turca accerta che il divieto di coltivazione del papavero fu introdotto nel giugno 1971 dal governo Erim sotto pressione statunitense esercitata personalmente da Nixon, e revocato da Ecevit il 1° luglio 1974. La precisione della fonte è un modello di disciplina: nomina il presidente e non il segretario. Regola di lettura: dove il documento nomina, si nomina; dove nomina altri, non si sostituisce il nome atteso.</w:t>
      </w:r>
    </w:p>
    <w:p>
      <w:pPr>
        <w:spacing w:after="120" w:line="276"/>
        <w:jc w:val="both"/>
      </w:pPr>
      <w:r>
        <w:rPr>
          <w:rFonts w:ascii="Barlow Semi Condensed" w:cs="Barlow Semi Condensed" w:eastAsia="Barlow Semi Condensed" w:hAnsi="Barlow Semi Condensed"/>
          <w:b/>
          <w:bCs/>
          <w:sz w:val="24"/>
          <w:szCs w:val="24"/>
        </w:rPr>
        <w:t xml:space="preserve">4041 · 14 marzo 1972, Segrate.</w:t>
      </w:r>
      <w:r>
        <w:rPr>
          <w:rFonts w:ascii="Barlow Semi Condensed" w:cs="Barlow Semi Condensed" w:eastAsia="Barlow Semi Condensed" w:hAnsi="Barlow Semi Condensed"/>
          <w:sz w:val="24"/>
          <w:szCs w:val="24"/>
        </w:rPr>
        <w:t xml:space="preserve"> Alla Cascina Nuova, nella notte fra il 14 e il 15 marzo 1972, Giangiacomo Feltrinelli morì dilaniato dall'esplosivo; il vaglio processuale del 1979 accertò un sabotaggio finito in errore tecnico, e la tesi dell'omicidio di Stato resta congettura non provata, come feltrinelli-il-vettore scrive per esteso. Esito negativo dichiarato per questa serie: nessuna delle due letture, né quella accertata né quella congetturale, nomina un apparato straniero.</w:t>
      </w:r>
    </w:p>
    <w:p>
      <w:pPr>
        <w:spacing w:after="120" w:line="276"/>
        <w:jc w:val="both"/>
      </w:pPr>
      <w:r>
        <w:rPr>
          <w:rFonts w:ascii="Barlow Semi Condensed" w:cs="Barlow Semi Condensed" w:eastAsia="Barlow Semi Condensed" w:hAnsi="Barlow Semi Condensed"/>
          <w:b/>
          <w:bCs/>
          <w:sz w:val="24"/>
          <w:szCs w:val="24"/>
        </w:rPr>
        <w:t xml:space="preserve">4042 · 1972, l'approccio del SID.</w:t>
      </w:r>
      <w:r>
        <w:rPr>
          <w:rFonts w:ascii="Barlow Semi Condensed" w:cs="Barlow Semi Condensed" w:eastAsia="Barlow Semi Condensed" w:hAnsi="Barlow Semi Condensed"/>
          <w:sz w:val="24"/>
          <w:szCs w:val="24"/>
        </w:rPr>
        <w:t xml:space="preserve"> Duccio Berio riferì alla Commissione Moro 2, il 28 ottobre 2015, che nel 1972 un agente del SID gli propose di infiltrarsi nelle Brigate Rosse che si stavano organizzando, e che egli documentò l'approccio in una lettera al suocero Alberto Malagugini. Accertamento di grado B, perché reso a organo parlamentare. È l'unico contatto fra servizi e ceppo Simioni attestato da fonte istituzionale, ed è italiano da entrambi i capi.</w:t>
      </w:r>
    </w:p>
    <w:p>
      <w:pPr>
        <w:spacing w:after="120" w:line="276"/>
        <w:jc w:val="both"/>
      </w:pPr>
      <w:r>
        <w:rPr>
          <w:rFonts w:ascii="Barlow Semi Condensed" w:cs="Barlow Semi Condensed" w:eastAsia="Barlow Semi Condensed" w:hAnsi="Barlow Semi Condensed"/>
          <w:b/>
          <w:bCs/>
          <w:sz w:val="24"/>
          <w:szCs w:val="24"/>
        </w:rPr>
        <w:t xml:space="preserve">4043 · 26 e 28 giugno 1972.</w:t>
      </w:r>
      <w:r>
        <w:rPr>
          <w:rFonts w:ascii="Barlow Semi Condensed" w:cs="Barlow Semi Condensed" w:eastAsia="Barlow Semi Condensed" w:hAnsi="Barlow Semi Condensed"/>
          <w:sz w:val="24"/>
          <w:szCs w:val="24"/>
        </w:rPr>
        <w:t xml:space="preserve"> La verifica ha chiuso una divergenza, e la chiusura ha una conseguenza: il primo mandato di Moro alla Farnesina cessa il 26 giugno 1972, sicché il governo in carica il 28 giugno, giorno delle costituzioni apostoliche, era il secondo Andreotti e non il primo. Vale come regola generale della serie: due giorni di scarto spostano un governo, e chi lavora per date non può concedersi approssimazioni di settimana.</w:t>
      </w:r>
    </w:p>
    <w:p>
      <w:pPr>
        <w:spacing w:after="120" w:line="276"/>
        <w:jc w:val="both"/>
      </w:pPr>
      <w:r>
        <w:rPr>
          <w:rFonts w:ascii="Barlow Semi Condensed" w:cs="Barlow Semi Condensed" w:eastAsia="Barlow Semi Condensed" w:hAnsi="Barlow Semi Condensed"/>
          <w:b/>
          <w:bCs/>
          <w:sz w:val="24"/>
          <w:szCs w:val="24"/>
        </w:rPr>
        <w:t xml:space="preserve">4044 · Il biennio senza carta americana.</w:t>
      </w:r>
      <w:r>
        <w:rPr>
          <w:rFonts w:ascii="Barlow Semi Condensed" w:cs="Barlow Semi Condensed" w:eastAsia="Barlow Semi Condensed" w:hAnsi="Barlow Semi Condensed"/>
          <w:sz w:val="24"/>
          <w:szCs w:val="24"/>
        </w:rPr>
        <w:t xml:space="preserve"> Fra la fine del primo mandato di Moro, il 26 giugno 1972, e il suo ritorno alla Farnesina il 7 luglio 1973, il corpus non possiede alcun documento americano che nomini entrambe le parti. Stato Zero dichiarato con sede doppia: i Nixon Presidential Materials a College Park, con i National Security Council Files, per il versante statunitense; le serie del gabinetto del ministro all'Archivio storico-diplomatico per quello italiano.</w:t>
      </w:r>
    </w:p>
    <w:p>
      <w:pPr>
        <w:spacing w:after="120" w:line="276"/>
        <w:jc w:val="both"/>
      </w:pPr>
      <w:r>
        <w:rPr>
          <w:rFonts w:ascii="Barlow Semi Condensed" w:cs="Barlow Semi Condensed" w:eastAsia="Barlow Semi Condensed" w:hAnsi="Barlow Semi Condensed"/>
          <w:b/>
          <w:bCs/>
          <w:sz w:val="24"/>
          <w:szCs w:val="24"/>
        </w:rPr>
        <w:t xml:space="preserve">4045 · 17 o 18 gennaio 1973.</w:t>
      </w:r>
      <w:r>
        <w:rPr>
          <w:rFonts w:ascii="Barlow Semi Condensed" w:cs="Barlow Semi Condensed" w:eastAsia="Barlow Semi Condensed" w:hAnsi="Barlow Semi Condensed"/>
          <w:sz w:val="24"/>
          <w:szCs w:val="24"/>
        </w:rPr>
        <w:t xml:space="preserve"> Il riconoscimento italiano della Repubblica Democratica Tedesca è datato al 17 gennaio 1973 dalle fonti italiane adottate dal corpus e al 18 da una fonte istituzionale tedesca. La divergenza resta aperta e si riporta. Bersaglio minimo e chiudibile in una seduta di sala studio: il testo della nota verbale con protocollo, all'Archivio storico-diplomatico o al Politisches Archiv. Un giorno di differenza si accerta su un atto, non su una sintesi.</w:t>
      </w:r>
    </w:p>
    <w:p>
      <w:pPr>
        <w:spacing w:after="120" w:line="276"/>
        <w:jc w:val="both"/>
      </w:pPr>
      <w:r>
        <w:rPr>
          <w:rFonts w:ascii="Barlow Semi Condensed" w:cs="Barlow Semi Condensed" w:eastAsia="Barlow Semi Condensed" w:hAnsi="Barlow Semi Condensed"/>
          <w:b/>
          <w:bCs/>
          <w:sz w:val="24"/>
          <w:szCs w:val="24"/>
        </w:rPr>
        <w:t xml:space="preserve">4046 · 11 settembre 1973, il Cile.</w:t>
      </w:r>
      <w:r>
        <w:rPr>
          <w:rFonts w:ascii="Barlow Semi Condensed" w:cs="Barlow Semi Condensed" w:eastAsia="Barlow Semi Condensed" w:hAnsi="Barlow Semi Condensed"/>
          <w:sz w:val="24"/>
          <w:szCs w:val="24"/>
        </w:rPr>
        <w:t xml:space="preserve"> Il saggio dal-che-a-moro registra come documentata la responsabilità primaria di apparati statunitensi nella caduta di Salvador Allende, supervisionati da Henry Kissinger, e ne fa lo spartiacque che radicalizzò in direzioni opposte le due sinistre italiane. È responsabilità politica accertata, e il blocco 34 la distingue da quella penale, che non esiste. La data resta l'ancoraggio meglio documentato del versante americano di tutto il corpus.</w:t>
      </w:r>
    </w:p>
    <w:p>
      <w:pPr>
        <w:spacing w:after="120" w:line="276"/>
        <w:jc w:val="both"/>
      </w:pPr>
      <w:r>
        <w:rPr>
          <w:rFonts w:ascii="Barlow Semi Condensed" w:cs="Barlow Semi Condensed" w:eastAsia="Barlow Semi Condensed" w:hAnsi="Barlow Semi Condensed"/>
          <w:b/>
          <w:bCs/>
          <w:sz w:val="24"/>
          <w:szCs w:val="24"/>
        </w:rPr>
        <w:t xml:space="preserve">4047 · La carica il giorno del golpe.</w:t>
      </w:r>
      <w:r>
        <w:rPr>
          <w:rFonts w:ascii="Barlow Semi Condensed" w:cs="Barlow Semi Condensed" w:eastAsia="Barlow Semi Condensed" w:hAnsi="Barlow Semi Condensed"/>
          <w:sz w:val="24"/>
          <w:szCs w:val="24"/>
        </w:rPr>
        <w:t xml:space="preserve"> Precisazione cronologica che il corpus deve recepire, e che nasce da questa serie. L'11 settembre 1973 il soggetto non era Segretario di Stato: lo divenne con entrata in carica il 22 settembre 1973, undici giorni dopo, e quel giorno era Assistente per la sicurezza nazionale. La formula corrente che lo qualifica con la carica maggiore è imprecisa alla data, e va emendata dovunque compaia, per nota e non in silenzio.</w:t>
      </w:r>
    </w:p>
    <w:p>
      <w:pPr>
        <w:spacing w:after="120" w:line="276"/>
        <w:jc w:val="both"/>
      </w:pPr>
      <w:r>
        <w:rPr>
          <w:rFonts w:ascii="Barlow Semi Condensed" w:cs="Barlow Semi Condensed" w:eastAsia="Barlow Semi Condensed" w:hAnsi="Barlow Semi Condensed"/>
          <w:b/>
          <w:bCs/>
          <w:sz w:val="24"/>
          <w:szCs w:val="24"/>
        </w:rPr>
        <w:t xml:space="preserve">4048 · 22 settembre 1973, il cumulo.</w:t>
      </w:r>
      <w:r>
        <w:rPr>
          <w:rFonts w:ascii="Barlow Semi Condensed" w:cs="Barlow Semi Condensed" w:eastAsia="Barlow Semi Condensed" w:hAnsi="Barlow Semi Condensed"/>
          <w:sz w:val="24"/>
          <w:szCs w:val="24"/>
        </w:rPr>
        <w:t xml:space="preserve"> Dal 22 settembre 1973 al 3 novembre 1975 tenne insieme i due incarichi, caso unico nella storia statunitense; le fonti secondarie che datano l'inizio al 23 divergono dalla fonte istituzionale, che indica il 22, e prevale la seconda. Il rilievo non è pedanteria d'apparato: il cumulo definisce la finestra in cui un solo uomo concentra due catene documentali, e dunque le due serie d'archivio da interrogare separatamente.</w:t>
      </w:r>
    </w:p>
    <w:p>
      <w:pPr>
        <w:spacing w:after="120" w:line="276"/>
        <w:jc w:val="both"/>
      </w:pPr>
      <w:r>
        <w:rPr>
          <w:rFonts w:ascii="Barlow Semi Condensed" w:cs="Barlow Semi Condensed" w:eastAsia="Barlow Semi Condensed" w:hAnsi="Barlow Semi Condensed"/>
          <w:b/>
          <w:bCs/>
          <w:sz w:val="24"/>
          <w:szCs w:val="24"/>
        </w:rPr>
        <w:t xml:space="preserve">4049 · Aprile 1974, il canale Pignedoli.</w:t>
      </w:r>
      <w:r>
        <w:rPr>
          <w:rFonts w:ascii="Barlow Semi Condensed" w:cs="Barlow Semi Condensed" w:eastAsia="Barlow Semi Condensed" w:hAnsi="Barlow Semi Condensed"/>
          <w:sz w:val="24"/>
          <w:szCs w:val="24"/>
        </w:rPr>
        <w:t xml:space="preserve"> Il canale del cardinale Sergio Pignedoli nel sequestro Sossi, aprile-maggio 1974, entra nel corpus con la seconda campagna e vi è qualificato come rapporto fra Stato e Santa Sede in materia di terrorismo. È il precedente datato del canale del 1978. Esito negativo dichiarato: nessun riscontro incrociato interno è possibile, nessuna contraddizione emerge, e nessuna fonte introduce nella vicenda un terzo Stato.</w:t>
      </w:r>
    </w:p>
    <w:p>
      <w:pPr>
        <w:spacing w:after="120" w:line="276"/>
        <w:jc w:val="both"/>
      </w:pPr>
      <w:r>
        <w:rPr>
          <w:rFonts w:ascii="Barlow Semi Condensed" w:cs="Barlow Semi Condensed" w:eastAsia="Barlow Semi Condensed" w:hAnsi="Barlow Semi Condensed"/>
          <w:b/>
          <w:bCs/>
          <w:sz w:val="24"/>
          <w:szCs w:val="24"/>
        </w:rPr>
        <w:t xml:space="preserve">4050 · Luglio 1974, la sequenza cipriota.</w:t>
      </w:r>
      <w:r>
        <w:rPr>
          <w:rFonts w:ascii="Barlow Semi Condensed" w:cs="Barlow Semi Condensed" w:eastAsia="Barlow Semi Condensed" w:hAnsi="Barlow Semi Condensed"/>
          <w:sz w:val="24"/>
          <w:szCs w:val="24"/>
        </w:rPr>
        <w:t xml:space="preserve"> Colpo di Stato a Nicosia il 15 luglio 1974, intervento turco il 20, crollo della giunta di Atene il 23, seconda offensiva il 14 agosto, cessate il fuoco il 16: sequenza accertata su fonti primarie internazionali, e caduta nella fase finale del ministero Moro. La ricognizione dichiara Stato Zero relativo sul versante atlantico italiano, con tre sedi da battere: Farnesina, NATO Archives Online, Foreign Relations of the United States.</w:t>
      </w:r>
    </w:p>
    <w:p>
      <w:pPr>
        <w:spacing w:after="120" w:line="276"/>
        <w:jc w:val="both"/>
      </w:pPr>
      <w:r>
        <w:rPr>
          <w:rFonts w:ascii="Barlow Semi Condensed" w:cs="Barlow Semi Condensed" w:eastAsia="Barlow Semi Condensed" w:hAnsi="Barlow Semi Condensed"/>
          <w:b/>
          <w:bCs/>
          <w:sz w:val="24"/>
          <w:szCs w:val="24"/>
        </w:rPr>
        <w:t xml:space="preserve">4051 · Osimo, negoziato fuori dalla Farnesina.</w:t>
      </w:r>
      <w:r>
        <w:rPr>
          <w:rFonts w:ascii="Barlow Semi Condensed" w:cs="Barlow Semi Condensed" w:eastAsia="Barlow Semi Condensed" w:hAnsi="Barlow Semi Condensed"/>
          <w:sz w:val="24"/>
          <w:szCs w:val="24"/>
        </w:rPr>
        <w:t xml:space="preserve"> Fra luglio e novembre 1974 i negoziati riservati di Osimo si svolsero attraverso un canale esterno al ministero: primo accordo internazionale i cui negoziati per l'Italia non furono curati dalla Farnesina. La maturazione in fase Moro va tenuta distinta dalla paternità formale, che spetta a Rumor con la firma del 10 novembre 1975. Nessun documento americano del corpus tocca la sequenza, e l'esito negativo si registra come acquisizione.</w:t>
      </w:r>
    </w:p>
    <w:p>
      <w:pPr>
        <w:spacing w:after="120" w:line="276"/>
        <w:jc w:val="both"/>
      </w:pPr>
      <w:r>
        <w:rPr>
          <w:rFonts w:ascii="Barlow Semi Condensed" w:cs="Barlow Semi Condensed" w:eastAsia="Barlow Semi Condensed" w:hAnsi="Barlow Semi Condensed"/>
          <w:b/>
          <w:bCs/>
          <w:sz w:val="24"/>
          <w:szCs w:val="24"/>
        </w:rPr>
        <w:t xml:space="preserve">4052 · 25 settembre 1974, l'unico piano uno.</w:t>
      </w:r>
      <w:r>
        <w:rPr>
          <w:rFonts w:ascii="Barlow Semi Condensed" w:cs="Barlow Semi Condensed" w:eastAsia="Barlow Semi Condensed" w:hAnsi="Barlow Semi Condensed"/>
          <w:sz w:val="24"/>
          <w:szCs w:val="24"/>
        </w:rPr>
        <w:t xml:space="preserve"> Il memorandum of conversation dello Studio Ovale delle 11.30, con Giovanni Leone, Aldo Moro, Gerald Ford, Henry Kissinger e Brent Scowcroft — FRUS 1969-1976 volume E-15 parte seconda documento 350, seconda edizione riveduta, file 1552802 della Gerald R. Ford Presidential Library — è l'unico rapporto diretto documentato fra i due nomi in tutto il corpus. Una data sola in un secolo: è il risultato quantitativo di questa serie.</w:t>
      </w:r>
    </w:p>
    <w:p>
      <w:pPr>
        <w:spacing w:after="120" w:line="276"/>
        <w:jc w:val="both"/>
      </w:pPr>
      <w:r>
        <w:rPr>
          <w:rFonts w:ascii="Barlow Semi Condensed" w:cs="Barlow Semi Condensed" w:eastAsia="Barlow Semi Condensed" w:hAnsi="Barlow Semi Condensed"/>
          <w:b/>
          <w:bCs/>
          <w:sz w:val="24"/>
          <w:szCs w:val="24"/>
        </w:rPr>
        <w:t xml:space="preserve">4053 · Ciò che il verbale non contiene.</w:t>
      </w:r>
      <w:r>
        <w:rPr>
          <w:rFonts w:ascii="Barlow Semi Condensed" w:cs="Barlow Semi Condensed" w:eastAsia="Barlow Semi Condensed" w:hAnsi="Barlow Semi Condensed"/>
          <w:sz w:val="24"/>
          <w:szCs w:val="24"/>
        </w:rPr>
        <w:t xml:space="preserve"> Quel verbale attesta la posizione sull'impossibilità di scambiare informazioni militari con un governo che includesse i comunisti, col precedente portoghese richiamato, e il rilievo che un partito comunista responsabile sarebbe alla lunga più pericoloso di uno irresponsabile. Non contiene alcun ultimatum personale ad Aldo Moro. L'accertamento negativo si enuncia con la precisione di quello positivo: è la correzione che l'apparato K-3 impone alla circolazione pubblica.</w:t>
      </w:r>
    </w:p>
    <w:p>
      <w:pPr>
        <w:spacing w:after="120" w:line="276"/>
        <w:jc w:val="both"/>
      </w:pPr>
      <w:r>
        <w:rPr>
          <w:rFonts w:ascii="Barlow Semi Condensed" w:cs="Barlow Semi Condensed" w:eastAsia="Barlow Semi Condensed" w:hAnsi="Barlow Semi Condensed"/>
          <w:b/>
          <w:bCs/>
          <w:sz w:val="24"/>
          <w:szCs w:val="24"/>
        </w:rPr>
        <w:t xml:space="preserve">4054 · 26 settembre 1974, la cella riempibile.</w:t>
      </w:r>
      <w:r>
        <w:rPr>
          <w:rFonts w:ascii="Barlow Semi Condensed" w:cs="Barlow Semi Condensed" w:eastAsia="Barlow Semi Condensed" w:hAnsi="Barlow Semi Condensed"/>
          <w:sz w:val="24"/>
          <w:szCs w:val="24"/>
        </w:rPr>
        <w:t xml:space="preserve"> Esiste un secondo memorandum, del giorno successivo, conservato alla Ford Library come file 1552806, sui cui contenuti gli estratti reperiti sono parziali e non del tutto concordi. Bersaglio aperto e già nominato al blocco 863: lo spoglio integrale non è stato compiuto. Finché non lo sia, la giornata del 26 settembre 1974 resta l'unica cella della colonna che possa ancora riempirsi con un atto e non con un'ipotesi.</w:t>
      </w:r>
    </w:p>
    <w:p>
      <w:pPr>
        <w:spacing w:after="120" w:line="276"/>
        <w:jc w:val="both"/>
      </w:pPr>
      <w:r>
        <w:rPr>
          <w:rFonts w:ascii="Barlow Semi Condensed" w:cs="Barlow Semi Condensed" w:eastAsia="Barlow Semi Condensed" w:hAnsi="Barlow Semi Condensed"/>
          <w:b/>
          <w:bCs/>
          <w:sz w:val="24"/>
          <w:szCs w:val="24"/>
        </w:rPr>
        <w:t xml:space="preserve">4055 · Le date della visita divergono (serie LIII).</w:t>
      </w:r>
      <w:r>
        <w:rPr>
          <w:rFonts w:ascii="Barlow Semi Condensed" w:cs="Barlow Semi Condensed" w:eastAsia="Barlow Semi Condensed" w:hAnsi="Barlow Semi Condensed"/>
          <w:sz w:val="24"/>
          <w:szCs w:val="24"/>
        </w:rPr>
        <w:t xml:space="preserve"> Il comunicato congiunto pubblicato negli atti presidenziali colloca la visita di Stato dal 25 al 29 settembre 1974; la nota editoriale del volume FRUS indica dal 25 al 27. La divergenza si riporta e non si sceglie in silenzio, e ha una conseguenza operativa immediata: chi cerchi un colloquio a margine deve sapere quanti giorni contenga la finestra da spogliare, e oggi non lo sa con certezza.</w:t>
      </w:r>
    </w:p>
    <w:p>
      <w:pPr>
        <w:spacing w:after="120" w:line="276"/>
        <w:jc w:val="both"/>
      </w:pPr>
      <w:r>
        <w:rPr>
          <w:rFonts w:ascii="Barlow Semi Condensed" w:cs="Barlow Semi Condensed" w:eastAsia="Barlow Semi Condensed" w:hAnsi="Barlow Semi Condensed"/>
          <w:b/>
          <w:bCs/>
          <w:sz w:val="24"/>
          <w:szCs w:val="24"/>
        </w:rPr>
        <w:t xml:space="preserve">4056 · L'avvertimento e le sue tre date.</w:t>
      </w:r>
      <w:r>
        <w:rPr>
          <w:rFonts w:ascii="Barlow Semi Condensed" w:cs="Barlow Semi Condensed" w:eastAsia="Barlow Semi Condensed" w:hAnsi="Barlow Semi Condensed"/>
          <w:sz w:val="24"/>
          <w:szCs w:val="24"/>
        </w:rPr>
        <w:t xml:space="preserve"> La versione italiana prevalente colloca l'episodio al 25 settembre 1974; una fonte d'agenzia statunitense dell'aprile 1983 lo pone in un alterco all'ambasciata d'Italia a Washington nel 1977; altre sintesi indicano il 1976, e divergono anche i luoghi. Nel 1977 il soggetto non era più in carica. La divergenza è dirimente per chi voglia legare l'episodio a una carica, e va riportata, mai risolta d'ufficio.</w:t>
      </w:r>
    </w:p>
    <w:p>
      <w:pPr>
        <w:spacing w:after="120" w:line="276"/>
        <w:jc w:val="both"/>
      </w:pPr>
      <w:r>
        <w:rPr>
          <w:rFonts w:ascii="Barlow Semi Condensed" w:cs="Barlow Semi Condensed" w:eastAsia="Barlow Semi Condensed" w:hAnsi="Barlow Semi Condensed"/>
          <w:b/>
          <w:bCs/>
          <w:sz w:val="24"/>
          <w:szCs w:val="24"/>
        </w:rPr>
        <w:t xml:space="preserve">4057 · 23 novembre 1974, il cambio di veste.</w:t>
      </w:r>
      <w:r>
        <w:rPr>
          <w:rFonts w:ascii="Barlow Semi Condensed" w:cs="Barlow Semi Condensed" w:eastAsia="Barlow Semi Condensed" w:hAnsi="Barlow Semi Condensed"/>
          <w:sz w:val="24"/>
          <w:szCs w:val="24"/>
        </w:rPr>
        <w:t xml:space="preserve"> Con la fine del quinto governo Rumor cessa il secondo mandato di Moro alla Farnesina, ed egli torna alla presidenza del Consiglio. Da quel giorno nessun incontro fra i due nomi può più avvenire fra ministro degli Esteri e segretario di Stato. Regola di lettura per ogni testimonianza tardiva: prima si verifica la compatibilità delle cariche con la data proposta, poi soltanto si discute il contenuto.</w:t>
      </w:r>
    </w:p>
    <w:p>
      <w:pPr>
        <w:spacing w:after="120" w:line="276"/>
        <w:jc w:val="both"/>
      </w:pPr>
      <w:r>
        <w:rPr>
          <w:rFonts w:ascii="Barlow Semi Condensed" w:cs="Barlow Semi Condensed" w:eastAsia="Barlow Semi Condensed" w:hAnsi="Barlow Semi Condensed"/>
          <w:b/>
          <w:bCs/>
          <w:sz w:val="24"/>
          <w:szCs w:val="24"/>
        </w:rPr>
        <w:t xml:space="preserve">4058 · 1° agosto 1975, Helsinki.</w:t>
      </w:r>
      <w:r>
        <w:rPr>
          <w:rFonts w:ascii="Barlow Semi Condensed" w:cs="Barlow Semi Condensed" w:eastAsia="Barlow Semi Condensed" w:hAnsi="Barlow Semi Condensed"/>
          <w:sz w:val="24"/>
          <w:szCs w:val="24"/>
        </w:rPr>
        <w:t xml:space="preserve"> Moro sottoscrisse l'Atto finale nella duplice qualità di presidente del Consiglio e presidente di turno del Consiglio delle Comunità; il telegramma del 2 agosto, FRUS volume XXXIX documento d.334, conferma la firma dei trentacinque capi di Stato o di governo e descrive la cerimonia conclusiva. Piano uno per l'atto e per la cerimonia, e per nulla di più: un telegramma di resoconto non è fonte di stati d'animo.</w:t>
      </w:r>
    </w:p>
    <w:p>
      <w:pPr>
        <w:spacing w:after="120" w:line="276"/>
        <w:jc w:val="both"/>
      </w:pPr>
      <w:r>
        <w:rPr>
          <w:rFonts w:ascii="Barlow Semi Condensed" w:cs="Barlow Semi Condensed" w:eastAsia="Barlow Semi Condensed" w:hAnsi="Barlow Semi Condensed"/>
          <w:b/>
          <w:bCs/>
          <w:sz w:val="24"/>
          <w:szCs w:val="24"/>
        </w:rPr>
        <w:t xml:space="preserve">4059 · L'insofferenza riferita e il suo piano (serie LIII).</w:t>
      </w:r>
      <w:r>
        <w:rPr>
          <w:rFonts w:ascii="Barlow Semi Condensed" w:cs="Barlow Semi Condensed" w:eastAsia="Barlow Semi Condensed" w:hAnsi="Barlow Semi Condensed"/>
          <w:sz w:val="24"/>
          <w:szCs w:val="24"/>
        </w:rPr>
        <w:t xml:space="preserve"> Una fonte secondaria italiana scrive che Moro ottenne il coinvolgimento formale della Comunità «sfidando l'insofferenza di Kissinger». È affermazione terziaria, piano tre: nessun documento del corpus la sostiene e il telegramma del 2 agosto 1975 non la contiene. Bersaglio che la promuoverebbe o l'abbatterebbe, e che nessuno ha battuto: i verbali della delegazione americana a Helsinki e le carte della presidenza di turno italiana.</w:t>
      </w:r>
    </w:p>
    <w:p>
      <w:pPr>
        <w:spacing w:after="120" w:line="276"/>
        <w:jc w:val="both"/>
      </w:pPr>
      <w:r>
        <w:rPr>
          <w:rFonts w:ascii="Barlow Semi Condensed" w:cs="Barlow Semi Condensed" w:eastAsia="Barlow Semi Condensed" w:hAnsi="Barlow Semi Condensed"/>
          <w:b/>
          <w:bCs/>
          <w:sz w:val="24"/>
          <w:szCs w:val="24"/>
        </w:rPr>
        <w:t xml:space="preserve">4060 · Novembre 1975 e luglio 1976.</w:t>
      </w:r>
      <w:r>
        <w:rPr>
          <w:rFonts w:ascii="Barlow Semi Condensed" w:cs="Barlow Semi Condensed" w:eastAsia="Barlow Semi Condensed" w:hAnsi="Barlow Semi Condensed"/>
          <w:sz w:val="24"/>
          <w:szCs w:val="24"/>
        </w:rPr>
        <w:t xml:space="preserve"> Un saggio sottoposto a revisione paritaria segnala che il programma di azione coperta relativo all'Italia riemerse nel novembre 1975 e nel luglio 1976. Fonte secondaria qualificata, non documento primario. La prima data cade nel mese stesso in cui cessò l'incarico di sicurezza nazionale, il 3 novembre 1975; la seconda sotto la sola carica di Segretario di Stato. Bersaglio: i documenti primari che quel saggio cita, mai acquisiti dal corpus.</w:t>
      </w:r>
    </w:p>
    <w:p>
      <w:pPr>
        <w:spacing w:after="120" w:line="276"/>
        <w:jc w:val="both"/>
      </w:pPr>
      <w:r>
        <w:rPr>
          <w:rFonts w:ascii="Barlow Semi Condensed" w:cs="Barlow Semi Condensed" w:eastAsia="Barlow Semi Condensed" w:hAnsi="Barlow Semi Condensed"/>
          <w:b/>
          <w:bCs/>
          <w:sz w:val="24"/>
          <w:szCs w:val="24"/>
        </w:rPr>
        <w:t xml:space="preserve">4061 · 1976, due dottrine coeve.</w:t>
      </w:r>
      <w:r>
        <w:rPr>
          <w:rFonts w:ascii="Barlow Semi Condensed" w:cs="Barlow Semi Condensed" w:eastAsia="Barlow Semi Condensed" w:hAnsi="Barlow Semi Condensed"/>
          <w:sz w:val="24"/>
          <w:szCs w:val="24"/>
        </w:rPr>
        <w:t xml:space="preserve"> La cosiddetta dottrina Sonnenfeldt fu attribuita nel 1976 a un consigliere del Dipartimento di Stato, e il blocco 89 la registra per quello che è, un'attribuzione. Nello stesso anno Moro pubblicò su Il Giorno l'articolo sulla terza fase, la cui data esatta il blocco 121 chiede ancora di fissare. Due dottrine coeve e nominate, e nessun documento che le metta a confronto: la comparazione va costruita, non presupposta.</w:t>
      </w:r>
    </w:p>
    <w:p>
      <w:pPr>
        <w:spacing w:after="120" w:line="276"/>
        <w:jc w:val="both"/>
      </w:pPr>
      <w:r>
        <w:rPr>
          <w:rFonts w:ascii="Barlow Semi Condensed" w:cs="Barlow Semi Condensed" w:eastAsia="Barlow Semi Condensed" w:hAnsi="Barlow Semi Condensed"/>
          <w:b/>
          <w:bCs/>
          <w:sz w:val="24"/>
          <w:szCs w:val="24"/>
        </w:rPr>
        <w:t xml:space="preserve">4062 · 1976 o 1977, Hyperion.</w:t>
      </w:r>
      <w:r>
        <w:rPr>
          <w:rFonts w:ascii="Barlow Semi Condensed" w:cs="Barlow Semi Condensed" w:eastAsia="Barlow Semi Condensed" w:hAnsi="Barlow Semi Condensed"/>
          <w:sz w:val="24"/>
          <w:szCs w:val="24"/>
        </w:rPr>
        <w:t xml:space="preserve"> Le fonti divergono fra il 1976 e il 1977 sulla fondazione della scuola di lingue al 27 di Quai de la Tournelle, e la divergenza si riporta senza risolverla, come lo studio del ceppo Simioni prescrive. Rilievo proprio di questa serie: nessuna delle due datazioni tocca un documento americano, e la triangolazione Hyperion non nomina il soggetto in alcuno dei suoi nove nodi documentati.</w:t>
      </w:r>
    </w:p>
    <w:p>
      <w:pPr>
        <w:spacing w:after="120" w:line="276"/>
        <w:jc w:val="both"/>
      </w:pPr>
      <w:r>
        <w:rPr>
          <w:rFonts w:ascii="Barlow Semi Condensed" w:cs="Barlow Semi Condensed" w:eastAsia="Barlow Semi Condensed" w:hAnsi="Barlow Semi Condensed"/>
          <w:b/>
          <w:bCs/>
          <w:sz w:val="24"/>
          <w:szCs w:val="24"/>
        </w:rPr>
        <w:t xml:space="preserve">4063 · 20 gennaio 1977, il cittadino privato.</w:t>
      </w:r>
      <w:r>
        <w:rPr>
          <w:rFonts w:ascii="Barlow Semi Condensed" w:cs="Barlow Semi Condensed" w:eastAsia="Barlow Semi Condensed" w:hAnsi="Barlow Semi Condensed"/>
          <w:sz w:val="24"/>
          <w:szCs w:val="24"/>
        </w:rPr>
        <w:t xml:space="preserve"> Dal 20 gennaio 1977 non ricoprì più incarichi di governo, e ogni dichiarazione successiva — interviste, conferenze, memorie — è di cittadino privato e non impegna alcun apparato: così il blocco 103, e la data lo vincola. La conseguenza cronologica vale per l'intero anno del sequestro: nel 1978 non esiste carica alcuna da cui possa discendere un atto ufficiale a suo nome, e nessuna se ne cerchi.</w:t>
      </w:r>
    </w:p>
    <w:p>
      <w:pPr>
        <w:spacing w:after="120" w:line="276"/>
        <w:jc w:val="both"/>
      </w:pPr>
      <w:r>
        <w:rPr>
          <w:rFonts w:ascii="Barlow Semi Condensed" w:cs="Barlow Semi Condensed" w:eastAsia="Barlow Semi Condensed" w:hAnsi="Barlow Semi Condensed"/>
          <w:b/>
          <w:bCs/>
          <w:sz w:val="24"/>
          <w:szCs w:val="24"/>
        </w:rPr>
        <w:t xml:space="preserve">4064 · 1977, l'outgroup tedesco.</w:t>
      </w:r>
      <w:r>
        <w:rPr>
          <w:rFonts w:ascii="Barlow Semi Condensed" w:cs="Barlow Semi Condensed" w:eastAsia="Barlow Semi Condensed" w:hAnsi="Barlow Semi Condensed"/>
          <w:sz w:val="24"/>
          <w:szCs w:val="24"/>
        </w:rPr>
        <w:t xml:space="preserve"> Il sequestro Schleyer del 1977, censito al blocco 141 dei nove cantieri, è il caso di controllo del corpus: osservato dallo stesso campo alleato, gestito in modo opposto. La serie ne trae un bersaglio datato e con sede: i Kabinettsprotokolle 1977, i protocolli del Großer Krisenstab tuttora in parte chiusi, le carte 1977-1978 al Politisches Archiv — dove un nome americano comparirebbe, se dovesse comparire.</w:t>
      </w:r>
    </w:p>
    <w:p>
      <w:pPr>
        <w:spacing w:after="120" w:line="276"/>
        <w:jc w:val="both"/>
      </w:pPr>
      <w:r>
        <w:rPr>
          <w:rFonts w:ascii="Barlow Semi Condensed" w:cs="Barlow Semi Condensed" w:eastAsia="Barlow Semi Condensed" w:hAnsi="Barlow Semi Condensed"/>
          <w:b/>
          <w:bCs/>
          <w:sz w:val="24"/>
          <w:szCs w:val="24"/>
        </w:rPr>
        <w:t xml:space="preserve">4065 · 16 marzo 1978, la giornata italiana.</w:t>
      </w:r>
      <w:r>
        <w:rPr>
          <w:rFonts w:ascii="Barlow Semi Condensed" w:cs="Barlow Semi Condensed" w:eastAsia="Barlow Semi Condensed" w:hAnsi="Barlow Semi Condensed"/>
          <w:sz w:val="24"/>
          <w:szCs w:val="24"/>
        </w:rPr>
        <w:t xml:space="preserve"> Il 16 marzo 1978 Cossiga istituì e presiedette al Viminale il comitato politico-tecnico-operativo, come la scheda PE-1 accerta; lo stesso mattino la scorta fu massacrata e Moro rapito in via Fani. È la data più densa dell'intero corpus. Nessuna delle carte istitutive di quel giorno nomina un interlocutore straniero: la scheda cerca appartenenze italiane, e il censimento che le accerterebbe manca da quarant'anni.</w:t>
      </w:r>
    </w:p>
    <w:p>
      <w:pPr>
        <w:spacing w:after="120" w:line="276"/>
        <w:jc w:val="both"/>
      </w:pPr>
      <w:r>
        <w:rPr>
          <w:rFonts w:ascii="Barlow Semi Condensed" w:cs="Barlow Semi Condensed" w:eastAsia="Barlow Semi Condensed" w:hAnsi="Barlow Semi Condensed"/>
          <w:b/>
          <w:bCs/>
          <w:sz w:val="24"/>
          <w:szCs w:val="24"/>
        </w:rPr>
        <w:t xml:space="preserve">4066 · I nove comunicati e il falso.</w:t>
      </w:r>
      <w:r>
        <w:rPr>
          <w:rFonts w:ascii="Barlow Semi Condensed" w:cs="Barlow Semi Condensed" w:eastAsia="Barlow Semi Condensed" w:hAnsi="Barlow Semi Condensed"/>
          <w:sz w:val="24"/>
          <w:szCs w:val="24"/>
        </w:rPr>
        <w:t xml:space="preserve"> Le date dei nove comunicati autentici — 16, 25 e 29 marzo, 4, 10, 15, 20 e 24 aprile, 5 maggio — sono fissate dagli strumenti della Direzione generale Archivi, e il falso numero sette del 18 aprile ha ora una tavola oraria propria nel blocco 250 dell'agenda. Serie interamente italiana. Bersaglio di smentita: un documento estero coevo che ne anticipi una, e in quarantott'anni non ne è emerso alcuno.</w:t>
      </w:r>
    </w:p>
    <w:p>
      <w:pPr>
        <w:spacing w:after="120" w:line="276"/>
        <w:jc w:val="both"/>
      </w:pPr>
      <w:r>
        <w:rPr>
          <w:rFonts w:ascii="Barlow Semi Condensed" w:cs="Barlow Semi Condensed" w:eastAsia="Barlow Semi Condensed" w:hAnsi="Barlow Semi Condensed"/>
          <w:b/>
          <w:bCs/>
          <w:sz w:val="24"/>
          <w:szCs w:val="24"/>
        </w:rPr>
        <w:t xml:space="preserve">4067 · Aprile-maggio 1978, i cablogrammi consolari.</w:t>
      </w:r>
      <w:r>
        <w:rPr>
          <w:rFonts w:ascii="Barlow Semi Condensed" w:cs="Barlow Semi Condensed" w:eastAsia="Barlow Semi Condensed" w:hAnsi="Barlow Semi Condensed"/>
          <w:sz w:val="24"/>
          <w:szCs w:val="24"/>
        </w:rPr>
        <w:t xml:space="preserve"> Buenos Aires 2881 del 17 aprile 1978, con la smentita dei Montoneros, e i consolari Trieste 9223 e Palermo 9487 del 10-11 maggio compongono lo strato secondo del lotto desecretato: materiali del lutto pubblico, non dell'accertamento sui responsabili. Verifica eseguita e dichiarata come esito: in nessuno dei tre compare il nome di questa serie, né alcun titolare o ex titolare di carica americana.</w:t>
      </w:r>
    </w:p>
    <w:p>
      <w:pPr>
        <w:spacing w:after="120" w:line="276"/>
        <w:jc w:val="both"/>
      </w:pPr>
      <w:r>
        <w:rPr>
          <w:rFonts w:ascii="Barlow Semi Condensed" w:cs="Barlow Semi Condensed" w:eastAsia="Barlow Semi Condensed" w:hAnsi="Barlow Semi Condensed"/>
          <w:b/>
          <w:bCs/>
          <w:sz w:val="24"/>
          <w:szCs w:val="24"/>
        </w:rPr>
        <w:t xml:space="preserve">4068 · La tavola del trattenuto.</w:t>
      </w:r>
      <w:r>
        <w:rPr>
          <w:rFonts w:ascii="Barlow Semi Condensed" w:cs="Barlow Semi Condensed" w:eastAsia="Barlow Semi Condensed" w:hAnsi="Barlow Semi Condensed"/>
          <w:sz w:val="24"/>
          <w:szCs w:val="24"/>
        </w:rPr>
        <w:t xml:space="preserve"> Bersaglio nominato, con sede e chiave d'interrogazione: i Central Foreign Policy Files 1973-1979 su NARA e le Electronic Telegrams Withdrawal Cards del 1978, per TAGS PINT e IT, nella finestra 16 marzo-31 dicembre 1978. La scheda PE-5 la chiede e nessuna pubblicazione la possiede. Solo quella tavola potrà dire se il silenzio americano del 1978 sia assenza documentale o trattenimento dichiarato.</w:t>
      </w:r>
    </w:p>
    <w:p>
      <w:pPr>
        <w:spacing w:after="120" w:line="276"/>
        <w:jc w:val="both"/>
      </w:pPr>
      <w:r>
        <w:rPr>
          <w:rFonts w:ascii="Barlow Semi Condensed" w:cs="Barlow Semi Condensed" w:eastAsia="Barlow Semi Condensed" w:hAnsi="Barlow Semi Condensed"/>
          <w:b/>
          <w:bCs/>
          <w:sz w:val="24"/>
          <w:szCs w:val="24"/>
        </w:rPr>
        <w:t xml:space="preserve">4069 · Per il 1978 serve Atlanta.</w:t>
      </w:r>
      <w:r>
        <w:rPr>
          <w:rFonts w:ascii="Barlow Semi Condensed" w:cs="Barlow Semi Condensed" w:eastAsia="Barlow Semi Condensed" w:hAnsi="Barlow Semi Condensed"/>
          <w:sz w:val="24"/>
          <w:szCs w:val="24"/>
        </w:rPr>
        <w:t xml:space="preserve"> Un'altra presidenza governa nel 1978, e il blocco 102 ne trae la conseguenza d'archivio: la sede pertinente è la Jimmy Carter Presidential Library, col Country File Italia della collezione Brzezinski, non la Ford Library di Ann Arbor. È regola elementare e continuamente violata dalla pubblicistica: la sede si sceglie sulla data dell'evento, non sulla celebrità del nome che si vuole trovare.</w:t>
      </w:r>
    </w:p>
    <w:p>
      <w:pPr>
        <w:spacing w:after="120" w:line="276"/>
        <w:jc w:val="both"/>
      </w:pPr>
      <w:r>
        <w:rPr>
          <w:rFonts w:ascii="Barlow Semi Condensed" w:cs="Barlow Semi Condensed" w:eastAsia="Barlow Semi Condensed" w:hAnsi="Barlow Semi Condensed"/>
          <w:b/>
          <w:bCs/>
          <w:sz w:val="24"/>
          <w:szCs w:val="24"/>
        </w:rPr>
        <w:t xml:space="preserve">4070 · 6 agosto 1978, l'archivio chiuso.</w:t>
      </w:r>
      <w:r>
        <w:rPr>
          <w:rFonts w:ascii="Barlow Semi Condensed" w:cs="Barlow Semi Condensed" w:eastAsia="Barlow Semi Condensed" w:hAnsi="Barlow Semi Condensed"/>
          <w:sz w:val="24"/>
          <w:szCs w:val="24"/>
        </w:rPr>
        <w:t xml:space="preserve"> Paolo VI morì il 6 agosto 1978, tre mesi dopo via Caetani. Le carte vaticane di quell'anno non sono consultabili: l'Archivio Apostolico e l'Archivio storico della Sezione per i Rapporti con gli Stati si fermano alla fine del pontificato di Pio XII, per l'apertura del 2 marzo 2020. Stato Zero con sede nota e data di sblocco ignota: per il 1978 nessuna verifica vaticana su alcun nome è oggi possibile.</w:t>
      </w:r>
    </w:p>
    <w:p>
      <w:pPr>
        <w:spacing w:after="120" w:line="276"/>
        <w:jc w:val="both"/>
      </w:pPr>
      <w:r>
        <w:rPr>
          <w:rFonts w:ascii="Barlow Semi Condensed" w:cs="Barlow Semi Condensed" w:eastAsia="Barlow Semi Condensed" w:hAnsi="Barlow Semi Condensed"/>
          <w:b/>
          <w:bCs/>
          <w:sz w:val="24"/>
          <w:szCs w:val="24"/>
        </w:rPr>
        <w:t xml:space="preserve">4071 · 6 settembre 1978, un giorno corretto.</w:t>
      </w:r>
      <w:r>
        <w:rPr>
          <w:rFonts w:ascii="Barlow Semi Condensed" w:cs="Barlow Semi Condensed" w:eastAsia="Barlow Semi Condensed" w:hAnsi="Barlow Semi Condensed"/>
          <w:sz w:val="24"/>
          <w:szCs w:val="24"/>
        </w:rPr>
        <w:t xml:space="preserve"> I documenti nuovi hanno corretto al corpus la data dell'uccisione a Düsseldorf del militante Willy Peter Stoll: non l'11 settembre 1978 ma la sera del 6, secondo le fonti biografiche tedesche e la stampa locale. La divergenza è dichiarata e risolta. Si registra qui perché è il modello di ciò che una cronologia comparata deve saper fare anzitutto: correggere sé stessa sullo scarto di un solo giorno.</w:t>
      </w:r>
    </w:p>
    <w:p>
      <w:pPr>
        <w:spacing w:after="120" w:line="276"/>
        <w:jc w:val="both"/>
      </w:pPr>
      <w:r>
        <w:rPr>
          <w:rFonts w:ascii="Barlow Semi Condensed" w:cs="Barlow Semi Condensed" w:eastAsia="Barlow Semi Condensed" w:hAnsi="Barlow Semi Condensed"/>
          <w:b/>
          <w:bCs/>
          <w:sz w:val="24"/>
          <w:szCs w:val="24"/>
        </w:rPr>
        <w:t xml:space="preserve">4072 · 1979, quattro mondi in un anno.</w:t>
      </w:r>
      <w:r>
        <w:rPr>
          <w:rFonts w:ascii="Barlow Semi Condensed" w:cs="Barlow Semi Condensed" w:eastAsia="Barlow Semi Condensed" w:hAnsi="Barlow Semi Condensed"/>
          <w:sz w:val="24"/>
          <w:szCs w:val="24"/>
        </w:rPr>
        <w:t xml:space="preserve"> Nel 1979 il vaglio processuale su Segrate accertò il sabotaggio, Hyperion entrò nell'inchiesta del giudice Calogero, Berio aveva lasciato il proprio ruolo nella scuola, e uscì il primo dei tre volumi di memorie che il blocco 75 giudica lo strato più esteso e meno probante. Quattro fatti datati, quattro dei dieci mondi che la sinaptogenesi enumera. Un anno condiviso non trasmette nulla fra i livelli.</w:t>
      </w:r>
    </w:p>
    <w:p>
      <w:pPr>
        <w:spacing w:after="120" w:line="276"/>
        <w:jc w:val="both"/>
      </w:pPr>
      <w:r>
        <w:rPr>
          <w:rFonts w:ascii="Barlow Semi Condensed" w:cs="Barlow Semi Condensed" w:eastAsia="Barlow Semi Condensed" w:hAnsi="Barlow Semi Condensed"/>
          <w:b/>
          <w:bCs/>
          <w:sz w:val="24"/>
          <w:szCs w:val="24"/>
        </w:rPr>
        <w:t xml:space="preserve">4073 · 1980 e 1982, due sedi.</w:t>
      </w:r>
      <w:r>
        <w:rPr>
          <w:rFonts w:ascii="Barlow Semi Condensed" w:cs="Barlow Semi Condensed" w:eastAsia="Barlow Semi Condensed" w:hAnsi="Barlow Semi Condensed"/>
          <w:sz w:val="24"/>
          <w:szCs w:val="24"/>
        </w:rPr>
        <w:t xml:space="preserve"> L'audizione della vedova davanti alla Commissione d'inchiesta è del 1° agosto 1980; la deposizione del portavoce davanti alla Corte d'assise di Roma è del novembre 1982, il 10 secondo la datazione più ricorrente, il 15 secondo una fonte. Sede parlamentare confermata, contenuto verbatim del 1980 ancora da riscontrare. Le due date non vanno fuse: chi le fonde attribuisce al 1980 una frase pronunciata nel 1982.</w:t>
      </w:r>
    </w:p>
    <w:p>
      <w:pPr>
        <w:spacing w:after="120" w:line="276"/>
        <w:jc w:val="both"/>
      </w:pPr>
      <w:r>
        <w:rPr>
          <w:rFonts w:ascii="Barlow Semi Condensed" w:cs="Barlow Semi Condensed" w:eastAsia="Barlow Semi Condensed" w:hAnsi="Barlow Semi Condensed"/>
          <w:b/>
          <w:bCs/>
          <w:sz w:val="24"/>
          <w:szCs w:val="24"/>
        </w:rPr>
        <w:t xml:space="preserve">4074 · Aprile 1983, il dispaccio e la richiesta.</w:t>
      </w:r>
      <w:r>
        <w:rPr>
          <w:rFonts w:ascii="Barlow Semi Condensed" w:cs="Barlow Semi Condensed" w:eastAsia="Barlow Semi Condensed" w:hAnsi="Barlow Semi Condensed"/>
          <w:sz w:val="24"/>
          <w:szCs w:val="24"/>
        </w:rPr>
        <w:t xml:space="preserve"> Nell'aprile 1983 un'agenzia statunitense riferì che i magistrati italiani volevano interrogare il soggetto su un acceso alterco del 1977, e registrò che egli ammetteva la contrarietà all'ingresso dei comunisti al governo ma aveva smentito più volte il rimprovero a Moro. La richiesta informale non ebbe seguito, e non fu mai sentito dai magistrati italiani. Accertamento negativo di pieno valore, da riportare ogni volta con la sua data.</w:t>
      </w:r>
    </w:p>
    <w:p>
      <w:pPr>
        <w:spacing w:after="120" w:line="276"/>
        <w:jc w:val="both"/>
      </w:pPr>
      <w:r>
        <w:rPr>
          <w:rFonts w:ascii="Barlow Semi Condensed" w:cs="Barlow Semi Condensed" w:eastAsia="Barlow Semi Condensed" w:hAnsi="Barlow Semi Condensed"/>
          <w:b/>
          <w:bCs/>
          <w:sz w:val="24"/>
          <w:szCs w:val="24"/>
        </w:rPr>
        <w:t xml:space="preserve">4075 · 1982-1986, l'affaire senza terzi.</w:t>
      </w:r>
      <w:r>
        <w:rPr>
          <w:rFonts w:ascii="Barlow Semi Condensed" w:cs="Barlow Semi Condensed" w:eastAsia="Barlow Semi Condensed" w:hAnsi="Barlow Semi Condensed"/>
          <w:sz w:val="24"/>
          <w:szCs w:val="24"/>
        </w:rPr>
        <w:t xml:space="preserve"> L'arresto di Vanni Mulinaris a Udine il 2 febbraio 1982, i mandati di cattura del 17 giugno, la conferenza dell'Abbé Pierre del 22 giugno 1984, l'assoluzione con formula piena e il risarcimento: la vicenda è studiata come intrigo franco-italiano. Esito negativo dichiarato per questa serie: nessuna sponda americana compare in alcuno dei suoi atti, e le pene oltre confine restano materia rigorosamente bilaterale.</w:t>
      </w:r>
    </w:p>
    <w:p>
      <w:pPr>
        <w:spacing w:after="120" w:line="276"/>
        <w:jc w:val="both"/>
      </w:pPr>
      <w:r>
        <w:rPr>
          <w:rFonts w:ascii="Barlow Semi Condensed" w:cs="Barlow Semi Condensed" w:eastAsia="Barlow Semi Condensed" w:hAnsi="Barlow Semi Condensed"/>
          <w:b/>
          <w:bCs/>
          <w:sz w:val="24"/>
          <w:szCs w:val="24"/>
        </w:rPr>
        <w:t xml:space="preserve">4076 · Dal 1985 al 2023, il confine.</w:t>
      </w:r>
      <w:r>
        <w:rPr>
          <w:rFonts w:ascii="Barlow Semi Condensed" w:cs="Barlow Semi Condensed" w:eastAsia="Barlow Semi Condensed" w:hAnsi="Barlow Semi Condensed"/>
          <w:sz w:val="24"/>
          <w:szCs w:val="24"/>
        </w:rPr>
        <w:t xml:space="preserve"> La dottrina Mitterrand fu enunciata il 21 aprile 1985 davanti alla Ligue des droits de l'homme, l'operazione Ombre rosse è del 28 aprile 2021, il no definitivo della Cassazione francese del marzo 2023: quarant'anni di giudicato italiano non eseguito, tutti documentati in le-pene-oltre-confine. Nessuna di queste date incrocia il nome della serie, e la geografia del rifugio non ha mai avuto sponda atlantica.</w:t>
      </w:r>
    </w:p>
    <w:p>
      <w:pPr>
        <w:spacing w:after="120" w:line="276"/>
        <w:jc w:val="both"/>
      </w:pPr>
      <w:r>
        <w:rPr>
          <w:rFonts w:ascii="Barlow Semi Condensed" w:cs="Barlow Semi Condensed" w:eastAsia="Barlow Semi Condensed" w:hAnsi="Barlow Semi Condensed"/>
          <w:b/>
          <w:bCs/>
          <w:sz w:val="24"/>
          <w:szCs w:val="24"/>
        </w:rPr>
        <w:t xml:space="preserve">4077 · 1978, 1990, 1997: i ritrovamenti.</w:t>
      </w:r>
      <w:r>
        <w:rPr>
          <w:rFonts w:ascii="Barlow Semi Condensed" w:cs="Barlow Semi Condensed" w:eastAsia="Barlow Semi Condensed" w:hAnsi="Barlow Semi Condensed"/>
          <w:sz w:val="24"/>
          <w:szCs w:val="24"/>
        </w:rPr>
        <w:t xml:space="preserve"> Il primo ritrovamento di via Monte Nevoso è del 1° ottobre 1978, coi soli dattiloscritti, il secondo del 9 ottobre 1990, con quattrocentoventuno fogli nell'intercapedine; la Cassazione del Moro quater è del 14 maggio 1997, anno in cui furono ritrovati i resti di Guevara e desecretati gli archivi statunitensi sulla campagna boliviana. Coincidenza d'anno fra esiti opposti: quella desecretazione non ha prodotto alcuna carta italiana.</w:t>
      </w:r>
    </w:p>
    <w:p>
      <w:pPr>
        <w:spacing w:after="120" w:line="276"/>
        <w:jc w:val="both"/>
      </w:pPr>
      <w:r>
        <w:rPr>
          <w:rFonts w:ascii="Barlow Semi Condensed" w:cs="Barlow Semi Condensed" w:eastAsia="Barlow Semi Condensed" w:hAnsi="Barlow Semi Condensed"/>
          <w:b/>
          <w:bCs/>
          <w:sz w:val="24"/>
          <w:szCs w:val="24"/>
        </w:rPr>
        <w:t xml:space="preserve">4078 · 29 e 30 novembre 2023.</w:t>
      </w:r>
      <w:r>
        <w:rPr>
          <w:rFonts w:ascii="Barlow Semi Condensed" w:cs="Barlow Semi Condensed" w:eastAsia="Barlow Semi Condensed" w:hAnsi="Barlow Semi Condensed"/>
          <w:sz w:val="24"/>
          <w:szCs w:val="24"/>
        </w:rPr>
        <w:t xml:space="preserve"> La morte a Kent è del 29 novembre 2023; il lancio d'agenzia da cui discendono le decine di riprese pressoché identiche sull'avvertimento è del 30 novembre 2023, il giorno successivo. È il reperto cronologico più importante dell'intera serie: la moltiplicazione apparente delle fonti nasce in ventiquattro ore e da un punto solo. Il numero delle ripetizioni non aggiunge valore probatorio, e la data lo dimostra meglio di ogni argomento.</w:t>
      </w:r>
    </w:p>
    <w:p>
      <w:pPr>
        <w:spacing w:after="120" w:line="276"/>
        <w:jc w:val="both"/>
      </w:pPr>
      <w:r>
        <w:rPr>
          <w:rFonts w:ascii="Barlow Semi Condensed" w:cs="Barlow Semi Condensed" w:eastAsia="Barlow Semi Condensed" w:hAnsi="Barlow Semi Condensed"/>
          <w:b/>
          <w:bCs/>
          <w:sz w:val="24"/>
          <w:szCs w:val="24"/>
        </w:rPr>
        <w:t xml:space="preserve">4079 · Il corpus si data da sé.</w:t>
      </w:r>
      <w:r>
        <w:rPr>
          <w:rFonts w:ascii="Barlow Semi Condensed" w:cs="Barlow Semi Condensed" w:eastAsia="Barlow Semi Condensed" w:hAnsi="Barlow Semi Condensed"/>
          <w:sz w:val="24"/>
          <w:szCs w:val="24"/>
        </w:rPr>
        <w:t xml:space="preserve"> Direttiva Prodi dell'8 aprile 2008, direttiva Renzi del 22 aprile 2014, completamento dei versamenti il 2 dicembre 2014, relazione conclusiva il 6 dicembre 2017, richiesta di archiviazione del fascicolo romano il 28 maggio 2025, rigetto del giudice nell'estate 2026. Il corpus ha una cronologia propria, lunga diciotto anni, in cui questo nome entra soltanto nell'agosto 2026 e soltanto come oggetto d'indagine, mai come attore datato.</w:t>
      </w:r>
    </w:p>
    <w:p>
      <w:pPr>
        <w:spacing w:after="120" w:line="276"/>
        <w:jc w:val="both"/>
      </w:pPr>
      <w:r>
        <w:rPr>
          <w:rFonts w:ascii="Barlow Semi Condensed" w:cs="Barlow Semi Condensed" w:eastAsia="Barlow Semi Condensed" w:hAnsi="Barlow Semi Condensed"/>
          <w:b/>
          <w:bCs/>
          <w:sz w:val="24"/>
          <w:szCs w:val="24"/>
        </w:rPr>
        <w:t xml:space="preserve">4080 · Il conto della serie (serie LIII).</w:t>
      </w:r>
      <w:r>
        <w:rPr>
          <w:rFonts w:ascii="Barlow Semi Condensed" w:cs="Barlow Semi Condensed" w:eastAsia="Barlow Semi Condensed" w:hAnsi="Barlow Semi Condensed"/>
          <w:sz w:val="24"/>
          <w:szCs w:val="24"/>
        </w:rPr>
        <w:t xml:space="preserve"> Un secolo di vita e un secolo di corpus, confrontati per date, danno un solo piano uno — il 25 settembre 1974 — un bersaglio aperto, il verbale del giorno successivo, e una lunga fila di celle vuote dichiarate ciascuna con la propria sede. È l'esito corretto e atteso. La cronologia comparata non ha prodotto un centro: ha prodotto una colonna quasi vuota, e la colonna quasi vuota vale.</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Serie cinquantaquattresima — La geografia: i teatri e le sedi</w:t>
      </w:r>
    </w:p>
    <w:p>
      <w:pPr>
        <w:spacing w:after="120" w:line="276"/>
        <w:jc w:val="both"/>
      </w:pPr>
      <w:r>
        <w:rPr>
          <w:rFonts w:ascii="Barlow Semi Condensed" w:cs="Barlow Semi Condensed" w:eastAsia="Barlow Semi Condensed" w:hAnsi="Barlow Semi Condensed"/>
          <w:i/>
          <w:iCs/>
          <w:sz w:val="24"/>
          <w:szCs w:val="24"/>
        </w:rPr>
        <w:t xml:space="preserve">Blocchi 4081-4160.</w:t>
      </w:r>
    </w:p>
    <w:p>
      <w:pPr>
        <w:spacing w:after="120" w:line="276"/>
        <w:jc w:val="both"/>
      </w:pPr>
      <w:r>
        <w:rPr>
          <w:rFonts w:ascii="Barlow Semi Condensed" w:cs="Barlow Semi Condensed" w:eastAsia="Barlow Semi Condensed" w:hAnsi="Barlow Semi Condensed"/>
          <w:b/>
          <w:bCs/>
          <w:sz w:val="24"/>
          <w:szCs w:val="24"/>
        </w:rPr>
        <w:t xml:space="preserve">4081 · Che cosa triangola una geografia.</w:t>
      </w:r>
      <w:r>
        <w:rPr>
          <w:rFonts w:ascii="Barlow Semi Condensed" w:cs="Barlow Semi Condensed" w:eastAsia="Barlow Semi Condensed" w:hAnsi="Barlow Semi Condensed"/>
          <w:sz w:val="24"/>
          <w:szCs w:val="24"/>
        </w:rPr>
        <w:t xml:space="preserve"> Questa serie interroga il corpus per luoghi anziché per temi: prende ogni sito nominato nel repertorio della Fase nona, capitolo settantunesimo, e nei documenti del branch, e vi cerca il nome di Henry Kissinger. Il luogo non è argomento: è coordinata di reperimento. Serve a sapere dove una carta dovrebbe stare, non a suggerire chi vi passò. La geografia ordina la ricerca, non la conclude.</w:t>
      </w:r>
    </w:p>
    <w:p>
      <w:pPr>
        <w:spacing w:after="120" w:line="276"/>
        <w:jc w:val="both"/>
      </w:pPr>
      <w:r>
        <w:rPr>
          <w:rFonts w:ascii="Barlow Semi Condensed" w:cs="Barlow Semi Condensed" w:eastAsia="Barlow Semi Condensed" w:hAnsi="Barlow Semi Condensed"/>
          <w:b/>
          <w:bCs/>
          <w:sz w:val="24"/>
          <w:szCs w:val="24"/>
        </w:rPr>
        <w:t xml:space="preserve">4082 · Teatro e sede, due parole distinte.</w:t>
      </w:r>
      <w:r>
        <w:rPr>
          <w:rFonts w:ascii="Barlow Semi Condensed" w:cs="Barlow Semi Condensed" w:eastAsia="Barlow Semi Condensed" w:hAnsi="Barlow Semi Condensed"/>
          <w:sz w:val="24"/>
          <w:szCs w:val="24"/>
        </w:rPr>
        <w:t xml:space="preserve"> Il teatro è il posto dove un fatto accadde; la sede è l'edificio dove riposa la carta che lo attesta. Via Fani è teatro, l'Archivio centrale dello Stato è sede; lo Studio Ovale è entrambe le cose, ed è un caso raro. Ogni blocco di questa serie dichiara quale delle due cose sta nominando, perché confonderle produce l'illusione che il documento nasca dove accadde il fatto.</w:t>
      </w:r>
    </w:p>
    <w:p>
      <w:pPr>
        <w:spacing w:after="120" w:line="276"/>
        <w:jc w:val="both"/>
      </w:pPr>
      <w:r>
        <w:rPr>
          <w:rFonts w:ascii="Barlow Semi Condensed" w:cs="Barlow Semi Condensed" w:eastAsia="Barlow Semi Condensed" w:hAnsi="Barlow Semi Condensed"/>
          <w:b/>
          <w:bCs/>
          <w:sz w:val="24"/>
          <w:szCs w:val="24"/>
        </w:rPr>
        <w:t xml:space="preserve">4083 · I quattro luoghi dell'avvertimento.</w:t>
      </w:r>
      <w:r>
        <w:rPr>
          <w:rFonts w:ascii="Barlow Semi Condensed" w:cs="Barlow Semi Condensed" w:eastAsia="Barlow Semi Condensed" w:hAnsi="Barlow Semi Condensed"/>
          <w:sz w:val="24"/>
          <w:szCs w:val="24"/>
        </w:rPr>
        <w:t xml:space="preserve"> L'apparato K-4 registra una divergenza che è, alla lettera, geografica: la testimonianza contestata colloca il presunto avvertimento allo Studio Ovale, al Dipartimento di Stato, a una cena ufficiale oppure all'ambasciata d'Italia a Washington nel 1977. Quattro indirizzi incompatibili per un solo episodio. La serie li riporta tutti e non ne sceglie uno: quando le fonti dissentono sull'indirizzo, non esiste ancora un luogo da mettere in mappa.</w:t>
      </w:r>
    </w:p>
    <w:p>
      <w:pPr>
        <w:spacing w:after="120" w:line="276"/>
        <w:jc w:val="both"/>
      </w:pPr>
      <w:r>
        <w:rPr>
          <w:rFonts w:ascii="Barlow Semi Condensed" w:cs="Barlow Semi Condensed" w:eastAsia="Barlow Semi Condensed" w:hAnsi="Barlow Semi Condensed"/>
          <w:b/>
          <w:bCs/>
          <w:sz w:val="24"/>
          <w:szCs w:val="24"/>
        </w:rPr>
        <w:t xml:space="preserve">4084 · La contiguità urbana non è nesso.</w:t>
      </w:r>
      <w:r>
        <w:rPr>
          <w:rFonts w:ascii="Barlow Semi Condensed" w:cs="Barlow Semi Condensed" w:eastAsia="Barlow Semi Condensed" w:hAnsi="Barlow Semi Condensed"/>
          <w:sz w:val="24"/>
          <w:szCs w:val="24"/>
        </w:rPr>
        <w:t xml:space="preserve"> Regola di lettura vincolante per l'intera serie: che due soggetti si trovino nella stessa città, nella stessa via o nello stesso palazzo non stabilisce fra loro alcun rapporto. Vale per via Nicotera 26 come per il Quai de la Tournelle. La disciplina è quella già fissata al blocco 4 della Fase sesta e al blocco 18 del manuale investigativo: la prossimità è un dato topografico, non un arco documentale.</w:t>
      </w:r>
    </w:p>
    <w:p>
      <w:pPr>
        <w:spacing w:after="120" w:line="276"/>
        <w:jc w:val="both"/>
      </w:pPr>
      <w:r>
        <w:rPr>
          <w:rFonts w:ascii="Barlow Semi Condensed" w:cs="Barlow Semi Condensed" w:eastAsia="Barlow Semi Condensed" w:hAnsi="Barlow Semi Condensed"/>
          <w:b/>
          <w:bCs/>
          <w:sz w:val="24"/>
          <w:szCs w:val="24"/>
        </w:rPr>
        <w:t xml:space="preserve">4085 · Omologia e analogia fra teatri.</w:t>
      </w:r>
      <w:r>
        <w:rPr>
          <w:rFonts w:ascii="Barlow Semi Condensed" w:cs="Barlow Semi Condensed" w:eastAsia="Barlow Semi Condensed" w:hAnsi="Barlow Semi Condensed"/>
          <w:sz w:val="24"/>
          <w:szCs w:val="24"/>
        </w:rPr>
        <w:t xml:space="preserve"> Due teatri che producono esiti simili non discendono per ciò stesso da una decisione comune. Il blocco 293 dell'opera lo ha stabilito per Lisbona e Roma nel 1975; questa serie lo estende a ogni coppia di luoghi del corpus. Il test resta uno solo: un documento di provenienza che nomini insieme i due siti e la controparte. Senza quel documento la somiglianza di paesaggio è analogia, e l'analogia non è parentela.</w:t>
      </w:r>
    </w:p>
    <w:p>
      <w:pPr>
        <w:spacing w:after="120" w:line="276"/>
        <w:jc w:val="both"/>
      </w:pPr>
      <w:r>
        <w:rPr>
          <w:rFonts w:ascii="Barlow Semi Condensed" w:cs="Barlow Semi Condensed" w:eastAsia="Barlow Semi Condensed" w:hAnsi="Barlow Semi Condensed"/>
          <w:b/>
          <w:bCs/>
          <w:sz w:val="24"/>
          <w:szCs w:val="24"/>
        </w:rPr>
        <w:t xml:space="preserve">4086 · Ogni Stato Zero ha un indirizzo.</w:t>
      </w:r>
      <w:r>
        <w:rPr>
          <w:rFonts w:ascii="Barlow Semi Condensed" w:cs="Barlow Semi Condensed" w:eastAsia="Barlow Semi Condensed" w:hAnsi="Barlow Semi Condensed"/>
          <w:sz w:val="24"/>
          <w:szCs w:val="24"/>
        </w:rPr>
        <w:t xml:space="preserve"> La Fase sesta ha stabilito che il perimetro negativo vale quanto la mappa dei pieni; la serie geografica aggiunge la condizione minima per scriverlo: un'assenza si verbalizza soltanto insieme all'edificio che la chiuderebbe. Non «non risulta nulla», ma «non risulta nulla nella serie X del fondo Y presso l'istituto Z, consultata nel perimetro W». Il blocco 285 dell'agenda ne fornisce il modulo; qui diventa obbligo di indirizzo.</w:t>
      </w:r>
    </w:p>
    <w:p>
      <w:pPr>
        <w:spacing w:after="120" w:line="276"/>
        <w:jc w:val="both"/>
      </w:pPr>
      <w:r>
        <w:rPr>
          <w:rFonts w:ascii="Barlow Semi Condensed" w:cs="Barlow Semi Condensed" w:eastAsia="Barlow Semi Condensed" w:hAnsi="Barlow Semi Condensed"/>
          <w:b/>
          <w:bCs/>
          <w:sz w:val="24"/>
          <w:szCs w:val="24"/>
        </w:rPr>
        <w:t xml:space="preserve">4087 · La mappa prima della comparazione.</w:t>
      </w:r>
      <w:r>
        <w:rPr>
          <w:rFonts w:ascii="Barlow Semi Condensed" w:cs="Barlow Semi Condensed" w:eastAsia="Barlow Semi Condensed" w:hAnsi="Barlow Semi Condensed"/>
          <w:sz w:val="24"/>
          <w:szCs w:val="24"/>
        </w:rPr>
        <w:t xml:space="preserve"> Il manuale investigativo impone al blocco 14 la tavola cronologica prima di ogni lettura. La serie vi affianca il gemello spaziale: prima di comparare due luoghi occorre sapere quale distanza, quale giurisdizione e quale calendario d'archivio li separi. Comparare Vallegrande e via Fani senza quella tavola produce iconografia, come già avverte il nodo M-7 della matrice Guevara-Moro sul parallelismo delle due fotografie.</w:t>
      </w:r>
    </w:p>
    <w:p>
      <w:pPr>
        <w:spacing w:after="120" w:line="276"/>
        <w:jc w:val="both"/>
      </w:pPr>
      <w:r>
        <w:rPr>
          <w:rFonts w:ascii="Barlow Semi Condensed" w:cs="Barlow Semi Condensed" w:eastAsia="Barlow Semi Condensed" w:hAnsi="Barlow Semi Condensed"/>
          <w:b/>
          <w:bCs/>
          <w:sz w:val="24"/>
          <w:szCs w:val="24"/>
        </w:rPr>
        <w:t xml:space="preserve">4088 · Via Mario Fani, Monte Mario.</w:t>
      </w:r>
      <w:r>
        <w:rPr>
          <w:rFonts w:ascii="Barlow Semi Condensed" w:cs="Barlow Semi Condensed" w:eastAsia="Barlow Semi Condensed" w:hAnsi="Barlow Semi Condensed"/>
          <w:sz w:val="24"/>
          <w:szCs w:val="24"/>
        </w:rPr>
        <w:t xml:space="preserve"> Primo teatro del caso, grado A nel repertorio: l'agguato del 16 marzo 1978 e le cinque vittime della scorta nominate nel capitolo sessantanovesimo. Su questa strada il corpus possiede sentenze, perizie, testimonianze e il fascicolo vivo delle terze presenze. Il nome di Kissinger non compare in alcun atto relativo a essa. Stato Zero pieno; la sede che lo chiuderebbe è la cancelleria della Corte d'assise di Roma con gli atti dei cinque processi.</w:t>
      </w:r>
    </w:p>
    <w:p>
      <w:pPr>
        <w:spacing w:after="120" w:line="276"/>
        <w:jc w:val="both"/>
      </w:pPr>
      <w:r>
        <w:rPr>
          <w:rFonts w:ascii="Barlow Semi Condensed" w:cs="Barlow Semi Condensed" w:eastAsia="Barlow Semi Condensed" w:hAnsi="Barlow Semi Condensed"/>
          <w:b/>
          <w:bCs/>
          <w:sz w:val="24"/>
          <w:szCs w:val="24"/>
        </w:rPr>
        <w:t xml:space="preserve">4089 · Via Camillo Montalcini 8.</w:t>
      </w:r>
      <w:r>
        <w:rPr>
          <w:rFonts w:ascii="Barlow Semi Condensed" w:cs="Barlow Semi Condensed" w:eastAsia="Barlow Semi Condensed" w:hAnsi="Barlow Semi Condensed"/>
          <w:sz w:val="24"/>
          <w:szCs w:val="24"/>
        </w:rPr>
        <w:t xml:space="preserve"> Unica prigione accertata in giudizio, per il Moro quinquies definitivo del 1999. L'indice del branch registra inoltre un'osservazione UCIGOS sullo stabile fra l'estate e l'ottobre 1978, non riferita alla magistratura. Il quesito geografico è interno all'amministrazione italiana: chi osservava quel portone e a chi scriveva. Nessun documento straniero risulta interessato al punto, e la ricerca si chiude nei versamenti del Viminale al fondo della Direttiva.</w:t>
      </w:r>
    </w:p>
    <w:p>
      <w:pPr>
        <w:spacing w:after="120" w:line="276"/>
        <w:jc w:val="both"/>
      </w:pPr>
      <w:r>
        <w:rPr>
          <w:rFonts w:ascii="Barlow Semi Condensed" w:cs="Barlow Semi Condensed" w:eastAsia="Barlow Semi Condensed" w:hAnsi="Barlow Semi Condensed"/>
          <w:b/>
          <w:bCs/>
          <w:sz w:val="24"/>
          <w:szCs w:val="24"/>
        </w:rPr>
        <w:t xml:space="preserve">4090 · Via Gradoli 96, sulla Cassia.</w:t>
      </w:r>
      <w:r>
        <w:rPr>
          <w:rFonts w:ascii="Barlow Semi Condensed" w:cs="Barlow Semi Condensed" w:eastAsia="Barlow Semi Condensed" w:hAnsi="Barlow Semi Condensed"/>
          <w:sz w:val="24"/>
          <w:szCs w:val="24"/>
        </w:rPr>
        <w:t xml:space="preserve"> Il covo scoperto il 18 aprile 1978 sta sulla strada che porta a Viterbo, e questa coincidenza stradale è essa stessa un dato del caso. Il repertorio le assegna grado A quanto all'esistenza e B quanto alle modalità della scoperta. La scheda PE-2 punta agli assetti proprietari dello stabile: è ricerca catastale e camerale romana, senza alcuna colonna estera da aprire e senza alcun nome americano in atti.</w:t>
      </w:r>
    </w:p>
    <w:p>
      <w:pPr>
        <w:spacing w:after="120" w:line="276"/>
        <w:jc w:val="both"/>
      </w:pPr>
      <w:r>
        <w:rPr>
          <w:rFonts w:ascii="Barlow Semi Condensed" w:cs="Barlow Semi Condensed" w:eastAsia="Barlow Semi Condensed" w:hAnsi="Barlow Semi Condensed"/>
          <w:b/>
          <w:bCs/>
          <w:sz w:val="24"/>
          <w:szCs w:val="24"/>
        </w:rPr>
        <w:t xml:space="preserve">4091 · Il paese di Gradoli, provincia di Viterbo.</w:t>
      </w:r>
      <w:r>
        <w:rPr>
          <w:rFonts w:ascii="Barlow Semi Condensed" w:cs="Barlow Semi Condensed" w:eastAsia="Barlow Semi Condensed" w:hAnsi="Barlow Semi Condensed"/>
          <w:sz w:val="24"/>
          <w:szCs w:val="24"/>
        </w:rPr>
        <w:t xml:space="preserve"> La scheda delle piste di testa documenta che la polizia perquisì il comune di Gradoli mentre il covo era in via Gradoli a Roma: uno smistamento alla lettera, geografico e non cospirativo, che è il migliore antidoto del corpus alla lettura magica dell'episodio. Il bersaglio è il carteggio Viminale-questure del 4-18 aprile 1978 sul nome «Gradoli». Nessun archivio estero è coinvolto in questa omonimia.</w:t>
      </w:r>
    </w:p>
    <w:p>
      <w:pPr>
        <w:spacing w:after="120" w:line="276"/>
        <w:jc w:val="both"/>
      </w:pPr>
      <w:r>
        <w:rPr>
          <w:rFonts w:ascii="Barlow Semi Condensed" w:cs="Barlow Semi Condensed" w:eastAsia="Barlow Semi Condensed" w:hAnsi="Barlow Semi Condensed"/>
          <w:b/>
          <w:bCs/>
          <w:sz w:val="24"/>
          <w:szCs w:val="24"/>
        </w:rPr>
        <w:t xml:space="preserve">4092 · Zappolino, 2 aprile 1978.</w:t>
      </w:r>
      <w:r>
        <w:rPr>
          <w:rFonts w:ascii="Barlow Semi Condensed" w:cs="Barlow Semi Condensed" w:eastAsia="Barlow Semi Condensed" w:hAnsi="Barlow Semi Condensed"/>
          <w:sz w:val="24"/>
          <w:szCs w:val="24"/>
        </w:rPr>
        <w:t xml:space="preserve"> La seduta si tenne in una località dell'Appennino bolognese, con dodici partecipanti concordi davanti alle autorità. La scheda PN-4 insegna a cercare la catena documentale — verbalizzazione, ordine di perquisizione, protocollo — e non la fonte occulta. Come luogo, Zappolino appartiene interamente alla provincia italiana: nessuna fonte, nemmeno terziaria, ha mai collocato lì un interesse statunitense, e il corpus non ne registra alcuno.</w:t>
      </w:r>
    </w:p>
    <w:p>
      <w:pPr>
        <w:spacing w:after="120" w:line="276"/>
        <w:jc w:val="both"/>
      </w:pPr>
      <w:r>
        <w:rPr>
          <w:rFonts w:ascii="Barlow Semi Condensed" w:cs="Barlow Semi Condensed" w:eastAsia="Barlow Semi Condensed" w:hAnsi="Barlow Semi Condensed"/>
          <w:b/>
          <w:bCs/>
          <w:sz w:val="24"/>
          <w:szCs w:val="24"/>
        </w:rPr>
        <w:t xml:space="preserve">4093 · Via Caetani, fra due sedi di partito.</w:t>
      </w:r>
      <w:r>
        <w:rPr>
          <w:rFonts w:ascii="Barlow Semi Condensed" w:cs="Barlow Semi Condensed" w:eastAsia="Barlow Semi Condensed" w:hAnsi="Barlow Semi Condensed"/>
          <w:sz w:val="24"/>
          <w:szCs w:val="24"/>
        </w:rPr>
        <w:t xml:space="preserve"> Il ritrovamento del 9 maggio 1978 avvenne a metà strada fra Botteghe Oscure e piazza del Gesù: il repertorio lo annota, e il nodo M-7 ne fa la contro-immagine di Vallegrande. Il blocco 418 dell'opera osserva che nel 1974 la questione comunista occupava insieme Washington, Roma e Botteghe Oscure. Occupare la stessa questione non è occupare la stessa via: la coincidenza toponomastica resta cornice al grado di fatto pubblico.</w:t>
      </w:r>
    </w:p>
    <w:p>
      <w:pPr>
        <w:spacing w:after="120" w:line="276"/>
        <w:jc w:val="both"/>
      </w:pPr>
      <w:r>
        <w:rPr>
          <w:rFonts w:ascii="Barlow Semi Condensed" w:cs="Barlow Semi Condensed" w:eastAsia="Barlow Semi Condensed" w:hAnsi="Barlow Semi Condensed"/>
          <w:b/>
          <w:bCs/>
          <w:sz w:val="24"/>
          <w:szCs w:val="24"/>
        </w:rPr>
        <w:t xml:space="preserve">4094 · Via Stresa e il caricatore.</w:t>
      </w:r>
      <w:r>
        <w:rPr>
          <w:rFonts w:ascii="Barlow Semi Condensed" w:cs="Barlow Semi Condensed" w:eastAsia="Barlow Semi Condensed" w:hAnsi="Barlow Semi Condensed"/>
          <w:sz w:val="24"/>
          <w:szCs w:val="24"/>
        </w:rPr>
        <w:t xml:space="preserve"> La scheda PN-2 tratta il caricatore come reperto-principe: non ritratta, non si intimidisce. La geografia qui è micrometrica — la fuga di una moto dalla parte alta di via Fani verso via Stresa, accertata dalla Commissione Moro 2 quanto alle due moto e ai quattro centauri. Materia di balistica e custodia italiana; nessun documento estero è pertinente, e la sede è il laboratorio dove il reperto è conservato.</w:t>
      </w:r>
    </w:p>
    <w:p>
      <w:pPr>
        <w:spacing w:after="120" w:line="276"/>
        <w:jc w:val="both"/>
      </w:pPr>
      <w:r>
        <w:rPr>
          <w:rFonts w:ascii="Barlow Semi Condensed" w:cs="Barlow Semi Condensed" w:eastAsia="Barlow Semi Condensed" w:hAnsi="Barlow Semi Condensed"/>
          <w:b/>
          <w:bCs/>
          <w:sz w:val="24"/>
          <w:szCs w:val="24"/>
        </w:rPr>
        <w:t xml:space="preserve">4095 · Via Nicotera 26, febbraio 1978.</w:t>
      </w:r>
      <w:r>
        <w:rPr>
          <w:rFonts w:ascii="Barlow Semi Condensed" w:cs="Barlow Semi Condensed" w:eastAsia="Barlow Semi Condensed" w:hAnsi="Barlow Semi Condensed"/>
          <w:sz w:val="24"/>
          <w:szCs w:val="24"/>
        </w:rPr>
        <w:t xml:space="preserve"> Il nodo HY-4 registra l'ufficio romano di rappresentanza aperto un mese prima di via Fani, nello stabile che ospitava anche società di copertura del SISMI. È il punto in cui la tentazione topografica è massima. Il corpus la ferma: la coabitazione di indirizzo non è prova, i fondatori sono stati prosciolti, e le due tesi contrapposte restano entrambe al grado C. Nessuna fonte lega quel portone a Washington.</w:t>
      </w:r>
    </w:p>
    <w:p>
      <w:pPr>
        <w:spacing w:after="120" w:line="276"/>
        <w:jc w:val="both"/>
      </w:pPr>
      <w:r>
        <w:rPr>
          <w:rFonts w:ascii="Barlow Semi Condensed" w:cs="Barlow Semi Condensed" w:eastAsia="Barlow Semi Condensed" w:hAnsi="Barlow Semi Condensed"/>
          <w:b/>
          <w:bCs/>
          <w:sz w:val="24"/>
          <w:szCs w:val="24"/>
        </w:rPr>
        <w:t xml:space="preserve">4096 · Il Viminale e i suoi tre livelli.</w:t>
      </w:r>
      <w:r>
        <w:rPr>
          <w:rFonts w:ascii="Barlow Semi Condensed" w:cs="Barlow Semi Condensed" w:eastAsia="Barlow Semi Condensed" w:hAnsi="Barlow Semi Condensed"/>
          <w:sz w:val="24"/>
          <w:szCs w:val="24"/>
        </w:rPr>
        <w:t xml:space="preserve"> La scheda PE-1 mappa i tre comitati costituiti il 16 marzo 1978, col comitato di esperti mai riunito collegialmente. È il luogo dove la crisi fu governata, e dove il consulente statunitense fu presente accanto al ministro dell'Interno: fatto documentato, registrato al blocco 310 come convergenza di piano 2. Presenza in un edificio non è catena di comando; la promozione a piano 1 richiederebbe un ordine scritto, che non esiste in atti.</w:t>
      </w:r>
    </w:p>
    <w:p>
      <w:pPr>
        <w:spacing w:after="120" w:line="276"/>
        <w:jc w:val="both"/>
      </w:pPr>
      <w:r>
        <w:rPr>
          <w:rFonts w:ascii="Barlow Semi Condensed" w:cs="Barlow Semi Condensed" w:eastAsia="Barlow Semi Condensed" w:hAnsi="Barlow Semi Condensed"/>
          <w:b/>
          <w:bCs/>
          <w:sz w:val="24"/>
          <w:szCs w:val="24"/>
        </w:rPr>
        <w:t xml:space="preserve">4097 · La sala operativa della questura di Roma.</w:t>
      </w:r>
      <w:r>
        <w:rPr>
          <w:rFonts w:ascii="Barlow Semi Condensed" w:cs="Barlow Semi Condensed" w:eastAsia="Barlow Semi Condensed" w:hAnsi="Barlow Semi Condensed"/>
          <w:sz w:val="24"/>
          <w:szCs w:val="24"/>
        </w:rPr>
        <w:t xml:space="preserve"> Il blocco 512 dell'agenda chiede il brogliaccio della mattina del 16 marzo 1978, minuto per minuto. È il documento più propriamente geografico del caso: dice chi chiamò da dove e a che ora. Nessuna colonna estera vi entra per ufficio. La ricerca si conduce fra questura, UCIGOS e prefetture nei versamenti del Viminale, secondo la scheda PE-6 sul registro delle segnalazioni dei cinquantacinque giorni.</w:t>
      </w:r>
    </w:p>
    <w:p>
      <w:pPr>
        <w:spacing w:after="120" w:line="276"/>
        <w:jc w:val="both"/>
      </w:pPr>
      <w:r>
        <w:rPr>
          <w:rFonts w:ascii="Barlow Semi Condensed" w:cs="Barlow Semi Condensed" w:eastAsia="Barlow Semi Condensed" w:hAnsi="Barlow Semi Condensed"/>
          <w:b/>
          <w:bCs/>
          <w:sz w:val="24"/>
          <w:szCs w:val="24"/>
        </w:rPr>
        <w:t xml:space="preserve">4098 · Il fascicolo vivo e le altre procure.</w:t>
      </w:r>
      <w:r>
        <w:rPr>
          <w:rFonts w:ascii="Barlow Semi Condensed" w:cs="Barlow Semi Condensed" w:eastAsia="Barlow Semi Condensed" w:hAnsi="Barlow Semi Condensed"/>
          <w:sz w:val="24"/>
          <w:szCs w:val="24"/>
        </w:rPr>
        <w:t xml:space="preserve"> La nona parte dei cantieri fissa la cronologia del filone romano fino al rigetto del GIP e ai sei mesi di nuove indagini. Il blocco 894 avverte che la geografia giudiziaria del caso non è soltanto romana e prescrive il censimento dei fascicoli presso altre sedi. In nessuna di quelle sedi risulta un procedimento che nomini Kissinger: egli non fu mai imputato né processato in alcun Paese.</w:t>
      </w:r>
    </w:p>
    <w:p>
      <w:pPr>
        <w:spacing w:after="120" w:line="276"/>
        <w:jc w:val="both"/>
      </w:pPr>
      <w:r>
        <w:rPr>
          <w:rFonts w:ascii="Barlow Semi Condensed" w:cs="Barlow Semi Condensed" w:eastAsia="Barlow Semi Condensed" w:hAnsi="Barlow Semi Condensed"/>
          <w:b/>
          <w:bCs/>
          <w:sz w:val="24"/>
          <w:szCs w:val="24"/>
        </w:rPr>
        <w:t xml:space="preserve">4099 · San Giovanni, i funerali senza salma.</w:t>
      </w:r>
      <w:r>
        <w:rPr>
          <w:rFonts w:ascii="Barlow Semi Condensed" w:cs="Barlow Semi Condensed" w:eastAsia="Barlow Semi Condensed" w:hAnsi="Barlow Semi Condensed"/>
          <w:sz w:val="24"/>
          <w:szCs w:val="24"/>
        </w:rPr>
        <w:t xml:space="preserve"> Il 13 maggio 1978 lo Stato celebrò le esequie in basilica, senza il corpo, per volontà della famiglia: fatto pubblico del repertorio. È un luogo di lutto civile e non di accertamento, e la serie lo registra per completezza cartografica. Il corpus non conserva alcun documento straniero su quella cerimonia, e il lotto americano del 1978 si ferma alle reazioni consolari di Trieste e Palermo.</w:t>
      </w:r>
    </w:p>
    <w:p>
      <w:pPr>
        <w:spacing w:after="120" w:line="276"/>
        <w:jc w:val="both"/>
      </w:pPr>
      <w:r>
        <w:rPr>
          <w:rFonts w:ascii="Barlow Semi Condensed" w:cs="Barlow Semi Condensed" w:eastAsia="Barlow Semi Condensed" w:hAnsi="Barlow Semi Condensed"/>
          <w:b/>
          <w:bCs/>
          <w:sz w:val="24"/>
          <w:szCs w:val="24"/>
        </w:rPr>
        <w:t xml:space="preserve">4100 · Il lago della Duchessa, Rieti.</w:t>
      </w:r>
      <w:r>
        <w:rPr>
          <w:rFonts w:ascii="Barlow Semi Condensed" w:cs="Barlow Semi Condensed" w:eastAsia="Barlow Semi Condensed" w:hAnsi="Barlow Semi Condensed"/>
          <w:sz w:val="24"/>
          <w:szCs w:val="24"/>
        </w:rPr>
        <w:t xml:space="preserve"> Il falso comunicato del 18 aprile 1978 indicò un lago appenninico: il falso è accertato, grado A; la sua funzione resta C. Come luogo, la Duchessa è un'invenzione operativa — un posto scelto perché fosse cercato. Il quesito è italiano e riguarda chi confezionò il testo e chi lo diffuse; nessun documento alleato reperito lo anticipa o lo commenta, e l'assenza va cercata in AAD per il 1978.</w:t>
      </w:r>
    </w:p>
    <w:p>
      <w:pPr>
        <w:spacing w:after="120" w:line="276"/>
        <w:jc w:val="both"/>
      </w:pPr>
      <w:r>
        <w:rPr>
          <w:rFonts w:ascii="Barlow Semi Condensed" w:cs="Barlow Semi Condensed" w:eastAsia="Barlow Semi Condensed" w:hAnsi="Barlow Semi Condensed"/>
          <w:b/>
          <w:bCs/>
          <w:sz w:val="24"/>
          <w:szCs w:val="24"/>
        </w:rPr>
        <w:t xml:space="preserve">4101 · Via Monte Nevoso, Milano.</w:t>
      </w:r>
      <w:r>
        <w:rPr>
          <w:rFonts w:ascii="Barlow Semi Condensed" w:cs="Barlow Semi Condensed" w:eastAsia="Barlow Semi Condensed" w:hAnsi="Barlow Semi Condensed"/>
          <w:sz w:val="24"/>
          <w:szCs w:val="24"/>
        </w:rPr>
        <w:t xml:space="preserve"> Il covo dei due ritrovamenti, 1978 e 1990, con gli originali dietro un pannello. Il repertorio assegna A ai ritrovamenti, B alla natura negoziata del cosiddetto memoriale Morucci secondo la Moro 2, e lascia C la completezza. Il nodo T-3 vi aggancia una responsabilità personale in giudicato. È il luogo più documentato del versante lombardo, e nessuna carta relativa a esso reca il nome qui triangolato.</w:t>
      </w:r>
    </w:p>
    <w:p>
      <w:pPr>
        <w:spacing w:after="120" w:line="276"/>
        <w:jc w:val="both"/>
      </w:pPr>
      <w:r>
        <w:rPr>
          <w:rFonts w:ascii="Barlow Semi Condensed" w:cs="Barlow Semi Condensed" w:eastAsia="Barlow Semi Condensed" w:hAnsi="Barlow Semi Condensed"/>
          <w:b/>
          <w:bCs/>
          <w:sz w:val="24"/>
          <w:szCs w:val="24"/>
        </w:rPr>
        <w:t xml:space="preserve">4102 · Milano 1969, la Sit-Siemens e il CPM.</w:t>
      </w:r>
      <w:r>
        <w:rPr>
          <w:rFonts w:ascii="Barlow Semi Condensed" w:cs="Barlow Semi Condensed" w:eastAsia="Barlow Semi Condensed" w:hAnsi="Barlow Semi Condensed"/>
          <w:sz w:val="24"/>
          <w:szCs w:val="24"/>
        </w:rPr>
        <w:t xml:space="preserve"> Il nodo HY-1 colloca la fondazione del Collettivo Politico Metropolitano a Milano nel settembre 1969; il nodo T-1 vi lega la doppia discendenza. Sono coordinate di fabbrica e di città, ricostruite su fonti italiane e memorialistiche. Per l'intero anno 1969 il corpus documenta il versante americano soltanto attraverso il Comitato dei 303 dell'11 marzo, che è una riunione di Washington: due geografie senza alcun arco fra loro.</w:t>
      </w:r>
    </w:p>
    <w:p>
      <w:pPr>
        <w:spacing w:after="120" w:line="276"/>
        <w:jc w:val="both"/>
      </w:pPr>
      <w:r>
        <w:rPr>
          <w:rFonts w:ascii="Barlow Semi Condensed" w:cs="Barlow Semi Condensed" w:eastAsia="Barlow Semi Condensed" w:hAnsi="Barlow Semi Condensed"/>
          <w:b/>
          <w:bCs/>
          <w:sz w:val="24"/>
          <w:szCs w:val="24"/>
        </w:rPr>
        <w:t xml:space="preserve">4103 · Pecorile, agosto 1970 (serie LIV).</w:t>
      </w:r>
      <w:r>
        <w:rPr>
          <w:rFonts w:ascii="Barlow Semi Condensed" w:cs="Barlow Semi Condensed" w:eastAsia="Barlow Semi Condensed" w:hAnsi="Barlow Semi Condensed"/>
          <w:sz w:val="24"/>
          <w:szCs w:val="24"/>
        </w:rPr>
        <w:t xml:space="preserve"> Il convegno dell'Appennino reggiano da cui il corpus data la nascita delle Brigate Rosse, nodo M-3 della matrice. È una località minima, e proprio per questo utile: mostra che la fondazione avvenne in un luogo che nessuna cancelleria straniera aveva ragione di nominare. Il bersaglio di smentita è preciso e resta aperto: un documento coevo, di qualunque provenienza estera, che citi quel toponimo prima del 1978.</w:t>
      </w:r>
    </w:p>
    <w:p>
      <w:pPr>
        <w:spacing w:after="120" w:line="276"/>
        <w:jc w:val="both"/>
      </w:pPr>
      <w:r>
        <w:rPr>
          <w:rFonts w:ascii="Barlow Semi Condensed" w:cs="Barlow Semi Condensed" w:eastAsia="Barlow Semi Condensed" w:hAnsi="Barlow Semi Condensed"/>
          <w:b/>
          <w:bCs/>
          <w:sz w:val="24"/>
          <w:szCs w:val="24"/>
        </w:rPr>
        <w:t xml:space="preserve">4104 · La genealogia reggiana del registro.</w:t>
      </w:r>
      <w:r>
        <w:rPr>
          <w:rFonts w:ascii="Barlow Semi Condensed" w:cs="Barlow Semi Condensed" w:eastAsia="Barlow Semi Condensed" w:hAnsi="Barlow Semi Condensed"/>
          <w:sz w:val="24"/>
          <w:szCs w:val="24"/>
        </w:rPr>
        <w:t xml:space="preserve"> Il nodo T-4 ricostruisce il gruppo dell'appartamento e la provenienza emiliana di due condannati in giudicato. È prosopografia territoriale: nascite, quartieri, fabbriche, sezioni. La regola della Fase decima la governa per intero — l'appartenenza a un luogo, a un gruppo o a una scuola è fatto biografico inerte. Nessuna geografia di provenienza è addebito, e la serie la registra come mappa, non come indizio.</w:t>
      </w:r>
    </w:p>
    <w:p>
      <w:pPr>
        <w:spacing w:after="120" w:line="276"/>
        <w:jc w:val="both"/>
      </w:pPr>
      <w:r>
        <w:rPr>
          <w:rFonts w:ascii="Barlow Semi Condensed" w:cs="Barlow Semi Condensed" w:eastAsia="Barlow Semi Condensed" w:hAnsi="Barlow Semi Condensed"/>
          <w:b/>
          <w:bCs/>
          <w:sz w:val="24"/>
          <w:szCs w:val="24"/>
        </w:rPr>
        <w:t xml:space="preserve">4105 · Segrate, Cascina Nuova.</w:t>
      </w:r>
      <w:r>
        <w:rPr>
          <w:rFonts w:ascii="Barlow Semi Condensed" w:cs="Barlow Semi Condensed" w:eastAsia="Barlow Semi Condensed" w:hAnsi="Barlow Semi Condensed"/>
          <w:sz w:val="24"/>
          <w:szCs w:val="24"/>
        </w:rPr>
        <w:t xml:space="preserve"> Il traliccio ai piedi del quale Giangiacomo Feltrinelli morì il 14 marzo 1972, col ritrovamento del pomeriggio successivo da parte del contadino Luigi Stringhetti: la triangolazione Feltrinelli ha precisato le due date. È il punto terminale del vettore che portò in Italia l'immagine e il testo del Che. Il corpus non registra alcuna carta americana su quel campo alla periferia di Milano; l'esito negativo si chiude in AAD e nella sala di lettura CREST.</w:t>
      </w:r>
    </w:p>
    <w:p>
      <w:pPr>
        <w:spacing w:after="120" w:line="276"/>
        <w:jc w:val="both"/>
      </w:pPr>
      <w:r>
        <w:rPr>
          <w:rFonts w:ascii="Barlow Semi Condensed" w:cs="Barlow Semi Condensed" w:eastAsia="Barlow Semi Condensed" w:hAnsi="Barlow Semi Condensed"/>
          <w:b/>
          <w:bCs/>
          <w:sz w:val="24"/>
          <w:szCs w:val="24"/>
        </w:rPr>
        <w:t xml:space="preserve">4106 · Venezia, l'istruttoria del 1982.</w:t>
      </w:r>
      <w:r>
        <w:rPr>
          <w:rFonts w:ascii="Barlow Semi Condensed" w:cs="Barlow Semi Condensed" w:eastAsia="Barlow Semi Condensed" w:hAnsi="Barlow Semi Condensed"/>
          <w:sz w:val="24"/>
          <w:szCs w:val="24"/>
        </w:rPr>
        <w:t xml:space="preserve"> Gli atti finora noti su Hyperion sono di fonte giudiziaria italiana e vengono dall'istruttoria veneziana, come precisa il blocco 139 dell'agenda; gli archivi giudiziari francesi restano chiusi dai termini del Code du patrimoine. La geografia della prova, qui, è italiana e la geografia dell'oggetto è parigina: uno scarto che spiega perché il nodo resti al grado C e perché solo un primario lo riaprirebbe.</w:t>
      </w:r>
    </w:p>
    <w:p>
      <w:pPr>
        <w:spacing w:after="120" w:line="276"/>
        <w:jc w:val="both"/>
      </w:pPr>
      <w:r>
        <w:rPr>
          <w:rFonts w:ascii="Barlow Semi Condensed" w:cs="Barlow Semi Condensed" w:eastAsia="Barlow Semi Condensed" w:hAnsi="Barlow Semi Condensed"/>
          <w:b/>
          <w:bCs/>
          <w:sz w:val="24"/>
          <w:szCs w:val="24"/>
        </w:rPr>
        <w:t xml:space="preserve">4107 · Trieste 9223, il Nord-Est.</w:t>
      </w:r>
      <w:r>
        <w:rPr>
          <w:rFonts w:ascii="Barlow Semi Condensed" w:cs="Barlow Semi Condensed" w:eastAsia="Barlow Semi Condensed" w:hAnsi="Barlow Semi Condensed"/>
          <w:sz w:val="24"/>
          <w:szCs w:val="24"/>
        </w:rPr>
        <w:t xml:space="preserve"> Il consolato statunitense riferì il 10 maggio 1978 che il Friuli-Venezia Giulia era «for the most part Moro country», con i manifesti listati a lutto entro poche ore e la chiusura anticipata di Marghera. È documento americano su suolo italiano, e va letto come misura del lutto pubblico. Non contiene valutazioni politiche di vertice né alcun riferimento al Segretario di Stato allora in carica, che dal gennaio 1977 non era più Kissinger.</w:t>
      </w:r>
    </w:p>
    <w:p>
      <w:pPr>
        <w:spacing w:after="120" w:line="276"/>
        <w:jc w:val="both"/>
      </w:pPr>
      <w:r>
        <w:rPr>
          <w:rFonts w:ascii="Barlow Semi Condensed" w:cs="Barlow Semi Condensed" w:eastAsia="Barlow Semi Condensed" w:hAnsi="Barlow Semi Condensed"/>
          <w:b/>
          <w:bCs/>
          <w:sz w:val="24"/>
          <w:szCs w:val="24"/>
        </w:rPr>
        <w:t xml:space="preserve">4108 · Palermo 9487, l'isola in lutto.</w:t>
      </w:r>
      <w:r>
        <w:rPr>
          <w:rFonts w:ascii="Barlow Semi Condensed" w:cs="Barlow Semi Condensed" w:eastAsia="Barlow Semi Condensed" w:hAnsi="Barlow Semi Condensed"/>
          <w:sz w:val="24"/>
          <w:szCs w:val="24"/>
        </w:rPr>
        <w:t xml:space="preserve"> L'11 maggio 1978 il consolato riferì messe, comizi e cortei in tutta la Sicilia, la commemorazione in Assemblea regionale e la messa del cardinale Pappalardo in cattedrale. La serie lo registra come teatro del cordoglio, non dell'accertamento. Insieme al cablogramma triestino compone l'unica geografia consolare americana che il corpus possiede per i cinquantacinque giorni: due città, due dispacci, nessun nome della catena decisionale statunitense.</w:t>
      </w:r>
    </w:p>
    <w:p>
      <w:pPr>
        <w:spacing w:after="120" w:line="276"/>
        <w:jc w:val="both"/>
      </w:pPr>
      <w:r>
        <w:rPr>
          <w:rFonts w:ascii="Barlow Semi Condensed" w:cs="Barlow Semi Condensed" w:eastAsia="Barlow Semi Condensed" w:hAnsi="Barlow Semi Condensed"/>
          <w:b/>
          <w:bCs/>
          <w:sz w:val="24"/>
          <w:szCs w:val="24"/>
        </w:rPr>
        <w:t xml:space="preserve">4109 · Bologna, l'archivio delle schede.</w:t>
      </w:r>
      <w:r>
        <w:rPr>
          <w:rFonts w:ascii="Barlow Semi Condensed" w:cs="Barlow Semi Condensed" w:eastAsia="Barlow Semi Condensed" w:hAnsi="Barlow Semi Condensed"/>
          <w:sz w:val="24"/>
          <w:szCs w:val="24"/>
        </w:rPr>
        <w:t xml:space="preserve"> L'elenco degli amnistiati poggia sull'archivio bolognese di Storia e Memoria, che censisce settecentotrentaquattro deferiti al Tribunale Speciale e trecentottantaquattro condannati. Il documento dichiara inoltre il proprio limite: la sede non è risultata raggiungibile direttamente e l'elenco non è esaustivo. È il modello di come questa serie tratta una sede: se ne dice il contenuto, il perimetro e l'ostacolo tecnico incontrato.</w:t>
      </w:r>
    </w:p>
    <w:p>
      <w:pPr>
        <w:spacing w:after="120" w:line="276"/>
        <w:jc w:val="both"/>
      </w:pPr>
      <w:r>
        <w:rPr>
          <w:rFonts w:ascii="Barlow Semi Condensed" w:cs="Barlow Semi Condensed" w:eastAsia="Barlow Semi Condensed" w:hAnsi="Barlow Semi Condensed"/>
          <w:b/>
          <w:bCs/>
          <w:sz w:val="24"/>
          <w:szCs w:val="24"/>
        </w:rPr>
        <w:t xml:space="preserve">4110 · Basovizza, 6 settembre 1930.</w:t>
      </w:r>
      <w:r>
        <w:rPr>
          <w:rFonts w:ascii="Barlow Semi Condensed" w:cs="Barlow Semi Condensed" w:eastAsia="Barlow Semi Condensed" w:hAnsi="Barlow Semi Condensed"/>
          <w:sz w:val="24"/>
          <w:szCs w:val="24"/>
        </w:rPr>
        <w:t xml:space="preserve"> Le fucilazioni dopo il primo processo di Trieste appartengono alla geografia repressiva del Tribunale Speciale, che l'approfondimento in otto sottonodi tratta insieme alla scala bolognese. Distano quarantatré anni dall'ingresso in carica del Segretario di Stato qui triangolato. La serie le nomina per delimitare: esiste nel corpus una geografia italiana della pena che precede di decenni ogni cronologia americana, e con essa nessun confronto è possibile.</w:t>
      </w:r>
    </w:p>
    <w:p>
      <w:pPr>
        <w:spacing w:after="120" w:line="276"/>
        <w:jc w:val="both"/>
      </w:pPr>
      <w:r>
        <w:rPr>
          <w:rFonts w:ascii="Barlow Semi Condensed" w:cs="Barlow Semi Condensed" w:eastAsia="Barlow Semi Condensed" w:hAnsi="Barlow Semi Condensed"/>
          <w:b/>
          <w:bCs/>
          <w:sz w:val="24"/>
          <w:szCs w:val="24"/>
        </w:rPr>
        <w:t xml:space="preserve">4111 · Le isole e le carceri del confino.</w:t>
      </w:r>
      <w:r>
        <w:rPr>
          <w:rFonts w:ascii="Barlow Semi Condensed" w:cs="Barlow Semi Condensed" w:eastAsia="Barlow Semi Condensed" w:hAnsi="Barlow Semi Condensed"/>
          <w:sz w:val="24"/>
          <w:szCs w:val="24"/>
        </w:rPr>
        <w:t xml:space="preserve"> Tremiti, Ponza, Lipari; e le carceri di Volterra, Viterbo, Alessandria, Perugia, Padova nelle schede individuali degli amnistiati. È una rete di luoghi di pena documentata scheda per scheda, con date di arresto e di liberazione. Non ha alcun punto di contatto con la materia di questa triangolazione, e dichiararlo serve: una serie geografica onesta segna anche le regioni della carta dove non c'è nulla da cercare.</w:t>
      </w:r>
    </w:p>
    <w:p>
      <w:pPr>
        <w:spacing w:after="120" w:line="276"/>
        <w:jc w:val="both"/>
      </w:pPr>
      <w:r>
        <w:rPr>
          <w:rFonts w:ascii="Barlow Semi Condensed" w:cs="Barlow Semi Condensed" w:eastAsia="Barlow Semi Condensed" w:hAnsi="Barlow Semi Condensed"/>
          <w:b/>
          <w:bCs/>
          <w:sz w:val="24"/>
          <w:szCs w:val="24"/>
        </w:rPr>
        <w:t xml:space="preserve">4112 · Lo Studio Ovale, 25 settembre 1974.</w:t>
      </w:r>
      <w:r>
        <w:rPr>
          <w:rFonts w:ascii="Barlow Semi Condensed" w:cs="Barlow Semi Condensed" w:eastAsia="Barlow Semi Condensed" w:hAnsi="Barlow Semi Condensed"/>
          <w:sz w:val="24"/>
          <w:szCs w:val="24"/>
        </w:rPr>
        <w:t xml:space="preserve"> Qui il teatro e la sede coincidono, ed è l'unico piano 1 pieno della serie: il memorandum of conversation con Leone, Moro, Ford, Kissinger e Scowcroft, documento 350 del FRUS 1969-1976 E-15 parte 2 nella seconda edizione riveduta, file 1552802 della Ford Library. Attesta la posizione sul non poter scambiare informazioni militari con un governo che includesse i comunisti. Non contiene alcun ultimatum personale ad Aldo Moro.</w:t>
      </w:r>
    </w:p>
    <w:p>
      <w:pPr>
        <w:spacing w:after="120" w:line="276"/>
        <w:jc w:val="both"/>
      </w:pPr>
      <w:r>
        <w:rPr>
          <w:rFonts w:ascii="Barlow Semi Condensed" w:cs="Barlow Semi Condensed" w:eastAsia="Barlow Semi Condensed" w:hAnsi="Barlow Semi Condensed"/>
          <w:b/>
          <w:bCs/>
          <w:sz w:val="24"/>
          <w:szCs w:val="24"/>
        </w:rPr>
        <w:t xml:space="preserve">4113 · Il secondo verbale, 26 settembre.</w:t>
      </w:r>
      <w:r>
        <w:rPr>
          <w:rFonts w:ascii="Barlow Semi Condensed" w:cs="Barlow Semi Condensed" w:eastAsia="Barlow Semi Condensed" w:hAnsi="Barlow Semi Condensed"/>
          <w:sz w:val="24"/>
          <w:szCs w:val="24"/>
        </w:rPr>
        <w:t xml:space="preserve"> L'apparato K-3 conferma l'esistenza del file 1552806, relativo al giorno successivo, e avverte che gli estratti reperiti sono parziali e non del tutto concordi. Registra inoltre una divergenza di calendario, fra il 25-29 settembre degli atti presidenziali e il 25-27 della nota editoriale FRUS. Il bersaglio è la lettura integrale in sala ad Ann Arbor: finché il testo non sia letto per intero, la sede resta aperta.</w:t>
      </w:r>
    </w:p>
    <w:p>
      <w:pPr>
        <w:spacing w:after="120" w:line="276"/>
        <w:jc w:val="both"/>
      </w:pPr>
      <w:r>
        <w:rPr>
          <w:rFonts w:ascii="Barlow Semi Condensed" w:cs="Barlow Semi Condensed" w:eastAsia="Barlow Semi Condensed" w:hAnsi="Barlow Semi Condensed"/>
          <w:b/>
          <w:bCs/>
          <w:sz w:val="24"/>
          <w:szCs w:val="24"/>
        </w:rPr>
        <w:t xml:space="preserve">4114 · 2700 Sixteenth Street NW.</w:t>
      </w:r>
      <w:r>
        <w:rPr>
          <w:rFonts w:ascii="Barlow Semi Condensed" w:cs="Barlow Semi Condensed" w:eastAsia="Barlow Semi Condensed" w:hAnsi="Barlow Semi Condensed"/>
          <w:sz w:val="24"/>
          <w:szCs w:val="24"/>
        </w:rPr>
        <w:t xml:space="preserve"> È l'indirizzo dell'ambasciata d'Italia a Washington nel programma del 1965, dove Moro offrì il ricevimento del 21 aprile. È anche l'edificio che una fonte d'agenzia statunitense dell'aprile 1983 indica come scena di un acceso alterco nel 1977. Le due occorrenze sono separate da dodici anni e da statuti probatori opposti: la prima è programma ufficiale, la seconda è riferimento giornalistico. La serie le tiene distinte e non le somma.</w:t>
      </w:r>
    </w:p>
    <w:p>
      <w:pPr>
        <w:spacing w:after="120" w:line="276"/>
        <w:jc w:val="both"/>
      </w:pPr>
      <w:r>
        <w:rPr>
          <w:rFonts w:ascii="Barlow Semi Condensed" w:cs="Barlow Semi Condensed" w:eastAsia="Barlow Semi Condensed" w:hAnsi="Barlow Semi Condensed"/>
          <w:b/>
          <w:bCs/>
          <w:sz w:val="24"/>
          <w:szCs w:val="24"/>
        </w:rPr>
        <w:t xml:space="preserve">4115 · Blair House e Decatur House.</w:t>
      </w:r>
      <w:r>
        <w:rPr>
          <w:rFonts w:ascii="Barlow Semi Condensed" w:cs="Barlow Semi Condensed" w:eastAsia="Barlow Semi Condensed" w:hAnsi="Barlow Semi Condensed"/>
          <w:sz w:val="24"/>
          <w:szCs w:val="24"/>
        </w:rPr>
        <w:t xml:space="preserve"> La residenza degli ospiti di Stato e la casa dove il Segretario al Tesoro Fowler offrì la colazione del 20 aprile 1965; a Blair House Moro incontrò anche McNamara. Il lotto desecretato ne conserva il programma orario completo. Sono luoghi del cerimoniale, e valgono come misura del rango riconosciuto all'ospite: cornice documentata, non accertamento istruttorio, secondo il rilievo d'insieme della cartella diplomatica.</w:t>
      </w:r>
    </w:p>
    <w:p>
      <w:pPr>
        <w:spacing w:after="120" w:line="276"/>
        <w:jc w:val="both"/>
      </w:pPr>
      <w:r>
        <w:rPr>
          <w:rFonts w:ascii="Barlow Semi Condensed" w:cs="Barlow Semi Condensed" w:eastAsia="Barlow Semi Condensed" w:hAnsi="Barlow Semi Condensed"/>
          <w:b/>
          <w:bCs/>
          <w:sz w:val="24"/>
          <w:szCs w:val="24"/>
        </w:rPr>
        <w:t xml:space="preserve">4116 · Arlington, Mount Vernon, Philadelphia.</w:t>
      </w:r>
      <w:r>
        <w:rPr>
          <w:rFonts w:ascii="Barlow Semi Condensed" w:cs="Barlow Semi Condensed" w:eastAsia="Barlow Semi Condensed" w:hAnsi="Barlow Semi Condensed"/>
          <w:sz w:val="24"/>
          <w:szCs w:val="24"/>
        </w:rPr>
        <w:t xml:space="preserve"> Il 21 aprile 1965 Moro depose corone alla tomba del Milite Ignoto e su quella di Kennedy, poi visitò la dimora di Washington; il 22 il sindaco Tate gli conferì a Philadelphia la cittadinanza onoraria, con il console generale Nuti. Tre tappe di una geografia commemorativa e civica. Nessuna di esse compare in alcun documento relativo al caso del 1978: sono il fondale del ritratto, non del sequestro.</w:t>
      </w:r>
    </w:p>
    <w:p>
      <w:pPr>
        <w:spacing w:after="120" w:line="276"/>
        <w:jc w:val="both"/>
      </w:pPr>
      <w:r>
        <w:rPr>
          <w:rFonts w:ascii="Barlow Semi Condensed" w:cs="Barlow Semi Condensed" w:eastAsia="Barlow Semi Condensed" w:hAnsi="Barlow Semi Condensed"/>
          <w:b/>
          <w:bCs/>
          <w:sz w:val="24"/>
          <w:szCs w:val="24"/>
        </w:rPr>
        <w:t xml:space="preserve">4117 · New York, aprile 1965.</w:t>
      </w:r>
      <w:r>
        <w:rPr>
          <w:rFonts w:ascii="Barlow Semi Condensed" w:cs="Barlow Semi Condensed" w:eastAsia="Barlow Semi Condensed" w:hAnsi="Barlow Semi Condensed"/>
          <w:sz w:val="24"/>
          <w:szCs w:val="24"/>
        </w:rPr>
        <w:t xml:space="preserve"> Arrivo il 19 aprile 1965 con volo Alitalia 632, ripartenza il 23 con il 603; ai Waldorf Towers il ricevimento della comunità italoamericana, al City Hall l'incontro con il sindaco Wagner, alle Nazioni Unite i colloqui con Quaison-Sackey e con U Thant. È la sola geografia newyorkese che il corpus documenta per Moro, ed è del 1965: nessun atto la collega ai due mandati alla Farnesina.</w:t>
      </w:r>
    </w:p>
    <w:p>
      <w:pPr>
        <w:spacing w:after="120" w:line="276"/>
        <w:jc w:val="both"/>
      </w:pPr>
      <w:r>
        <w:rPr>
          <w:rFonts w:ascii="Barlow Semi Condensed" w:cs="Barlow Semi Condensed" w:eastAsia="Barlow Semi Condensed" w:hAnsi="Barlow Semi Condensed"/>
          <w:b/>
          <w:bCs/>
          <w:sz w:val="24"/>
          <w:szCs w:val="24"/>
        </w:rPr>
        <w:t xml:space="preserve">4118 · Lo zero del lotto del 1965.</w:t>
      </w:r>
      <w:r>
        <w:rPr>
          <w:rFonts w:ascii="Barlow Semi Condensed" w:cs="Barlow Semi Condensed" w:eastAsia="Barlow Semi Condensed" w:hAnsi="Barlow Semi Condensed"/>
          <w:sz w:val="24"/>
          <w:szCs w:val="24"/>
        </w:rPr>
        <w:t xml:space="preserve"> Verifica meccanica su un luogo e una data: nel programma del Dipartimento di Stato del 16 aprile 1965 e nel promemoria di sicurezza a Hoover il nome di Kissinger non compare. Non è una lacuna, è la fisiologia della carta: nell'aprile 1965 egli non ricopriva alcun incarico di governo, essendo entrato in carica il 20 gennaio 1969. Assenza attesa, e per questo priva di valore informativo secondo il blocco 649.</w:t>
      </w:r>
    </w:p>
    <w:p>
      <w:pPr>
        <w:spacing w:after="120" w:line="276"/>
        <w:jc w:val="both"/>
      </w:pPr>
      <w:r>
        <w:rPr>
          <w:rFonts w:ascii="Barlow Semi Condensed" w:cs="Barlow Semi Condensed" w:eastAsia="Barlow Semi Condensed" w:hAnsi="Barlow Semi Condensed"/>
          <w:b/>
          <w:bCs/>
          <w:sz w:val="24"/>
          <w:szCs w:val="24"/>
        </w:rPr>
        <w:t xml:space="preserve">4119 · Ann Arbor, la Ford Library.</w:t>
      </w:r>
      <w:r>
        <w:rPr>
          <w:rFonts w:ascii="Barlow Semi Condensed" w:cs="Barlow Semi Condensed" w:eastAsia="Barlow Semi Condensed" w:hAnsi="Barlow Semi Condensed"/>
          <w:sz w:val="24"/>
          <w:szCs w:val="24"/>
        </w:rPr>
        <w:t xml:space="preserve"> La sede che conserva i due file del settembre 1974 e i National Security Adviser's Memoranda of Conversation indicati al blocco 648 come colonna statunitense mancante alla quadriga. È il primo indirizzo dell'atlante di questa serie, perché è l'unico dove un piano 1 già esiste e attende soltanto di essere letto per intero anziché per frammenti, come prescrive il blocco 301.</w:t>
      </w:r>
    </w:p>
    <w:p>
      <w:pPr>
        <w:spacing w:after="120" w:line="276"/>
        <w:jc w:val="both"/>
      </w:pPr>
      <w:r>
        <w:rPr>
          <w:rFonts w:ascii="Barlow Semi Condensed" w:cs="Barlow Semi Condensed" w:eastAsia="Barlow Semi Condensed" w:hAnsi="Barlow Semi Condensed"/>
          <w:b/>
          <w:bCs/>
          <w:sz w:val="24"/>
          <w:szCs w:val="24"/>
        </w:rPr>
        <w:t xml:space="preserve">4120 · College Park, i Country Files Italia.</w:t>
      </w:r>
      <w:r>
        <w:rPr>
          <w:rFonts w:ascii="Barlow Semi Condensed" w:cs="Barlow Semi Condensed" w:eastAsia="Barlow Semi Condensed" w:hAnsi="Barlow Semi Condensed"/>
          <w:sz w:val="24"/>
          <w:szCs w:val="24"/>
        </w:rPr>
        <w:t xml:space="preserve"> I Nixon Presidential Materials, NSC Files, Country Files Italia ai National Archives: è la sede indicata dal blocco 305 per reperire l'esito dello studio sull'Italia ordinato nel dicembre 1969, documento 188 del volume FRUS XLI. Uno studio commissionato è atto di conoscenza, non di esecuzione. Il bersaglio è materiale e circoscritto: trovare il prodotto finito di quell'istruzione, o verbalizzarne l'assenza con serie e faldoni consultati.</w:t>
      </w:r>
    </w:p>
    <w:p>
      <w:pPr>
        <w:spacing w:after="120" w:line="276"/>
        <w:jc w:val="both"/>
      </w:pPr>
      <w:r>
        <w:rPr>
          <w:rFonts w:ascii="Barlow Semi Condensed" w:cs="Barlow Semi Condensed" w:eastAsia="Barlow Semi Condensed" w:hAnsi="Barlow Semi Condensed"/>
          <w:b/>
          <w:bCs/>
          <w:sz w:val="24"/>
          <w:szCs w:val="24"/>
        </w:rPr>
        <w:t xml:space="preserve">4121 · Atlanta, la collezione Brzezinski.</w:t>
      </w:r>
      <w:r>
        <w:rPr>
          <w:rFonts w:ascii="Barlow Semi Condensed" w:cs="Barlow Semi Condensed" w:eastAsia="Barlow Semi Condensed" w:hAnsi="Barlow Semi Condensed"/>
          <w:sz w:val="24"/>
          <w:szCs w:val="24"/>
        </w:rPr>
        <w:t xml:space="preserve"> Il blocco 133 dell'agenda indica alla Carter Library il Country File italiano 1977-1981, processato e aperto. È la sede competente per i cinquantacinque giorni, e proprio per questo va detto che riguarda un'amministrazione diversa: dal 20 gennaio 1977 Kissinger non era più in carica. Chi cercasse il suo nome nei fascicoli del 1978 cercherebbe un privato cittadino, e dovrebbe dichiararlo prima di aprire la busta.</w:t>
      </w:r>
    </w:p>
    <w:p>
      <w:pPr>
        <w:spacing w:after="120" w:line="276"/>
        <w:jc w:val="both"/>
      </w:pPr>
      <w:r>
        <w:rPr>
          <w:rFonts w:ascii="Barlow Semi Condensed" w:cs="Barlow Semi Condensed" w:eastAsia="Barlow Semi Condensed" w:hAnsi="Barlow Semi Condensed"/>
          <w:b/>
          <w:bCs/>
          <w:sz w:val="24"/>
          <w:szCs w:val="24"/>
        </w:rPr>
        <w:t xml:space="preserve">4122 · New Haven e la Library of Congress.</w:t>
      </w:r>
      <w:r>
        <w:rPr>
          <w:rFonts w:ascii="Barlow Semi Condensed" w:cs="Barlow Semi Condensed" w:eastAsia="Barlow Semi Condensed" w:hAnsi="Barlow Semi Condensed"/>
          <w:sz w:val="24"/>
          <w:szCs w:val="24"/>
        </w:rPr>
        <w:t xml:space="preserve"> Il blocco 312 dell'opera elenca fra le sedi di un accertamento aperto le carte di Yale e della Library of Congress, accanto al fondo del Senato, all'Archivio centrale dello Stato e all'edizione digitale delle carte Moro. Sono depositi personali e istituzionali su due continenti per un solo confronto: finché il testo cercato non emerga da una di esse, il confronto resta indisponibile e va detto tale.</w:t>
      </w:r>
    </w:p>
    <w:p>
      <w:pPr>
        <w:spacing w:after="120" w:line="276"/>
        <w:jc w:val="both"/>
      </w:pPr>
      <w:r>
        <w:rPr>
          <w:rFonts w:ascii="Barlow Semi Condensed" w:cs="Barlow Semi Condensed" w:eastAsia="Barlow Semi Condensed" w:hAnsi="Barlow Semi Condensed"/>
          <w:b/>
          <w:bCs/>
          <w:sz w:val="24"/>
          <w:szCs w:val="24"/>
        </w:rPr>
        <w:t xml:space="preserve">4123 · Buenos Aires 2881, tre destinatarie.</w:t>
      </w:r>
      <w:r>
        <w:rPr>
          <w:rFonts w:ascii="Barlow Semi Condensed" w:cs="Barlow Semi Condensed" w:eastAsia="Barlow Semi Condensed" w:hAnsi="Barlow Semi Condensed"/>
          <w:sz w:val="24"/>
          <w:szCs w:val="24"/>
        </w:rPr>
        <w:t xml:space="preserve"> Il cablogramma del 17 aprile 1978 fu diretto a Washington e per conoscenza alle ambasciate di Bonn, Parigi e Roma: la sua lista di distribuzione è una mappa. Riferisce la smentita montonera di ogni legame col sequestro e con le Brigate Rosse. È smentita di terzi, non fonte sui responsabili, e mostra che nell'aprile 1978 la geografia del caso arrivava al Sud America come rumore, non come catena.</w:t>
      </w:r>
    </w:p>
    <w:p>
      <w:pPr>
        <w:spacing w:after="120" w:line="276"/>
        <w:jc w:val="both"/>
      </w:pPr>
      <w:r>
        <w:rPr>
          <w:rFonts w:ascii="Barlow Semi Condensed" w:cs="Barlow Semi Condensed" w:eastAsia="Barlow Semi Condensed" w:hAnsi="Barlow Semi Condensed"/>
          <w:b/>
          <w:bCs/>
          <w:sz w:val="24"/>
          <w:szCs w:val="24"/>
        </w:rPr>
        <w:t xml:space="preserve">4124 · Fürth, 27 maggio 1923.</w:t>
      </w:r>
      <w:r>
        <w:rPr>
          <w:rFonts w:ascii="Barlow Semi Condensed" w:cs="Barlow Semi Condensed" w:eastAsia="Barlow Semi Condensed" w:hAnsi="Barlow Semi Condensed"/>
          <w:sz w:val="24"/>
          <w:szCs w:val="24"/>
        </w:rPr>
        <w:t xml:space="preserve"> Il primo luogo della biografia triangolata: la città franconia dove nacque Heinz Alfred Kissinger, confermata dall'apparato K-1 su fonti istituzionali convergenti, senza dissenso fra esse. È l'unico toponimo dell'intera serie su cui non esista alcuna divergenza. Serve da campione di controllo: quando una fonte secondaria diverge su un luogo, non è la geografia a essere incerta, è la fonte — e il confronto con Fürth lo rende visibile.</w:t>
      </w:r>
    </w:p>
    <w:p>
      <w:pPr>
        <w:spacing w:after="120" w:line="276"/>
        <w:jc w:val="both"/>
      </w:pPr>
      <w:r>
        <w:rPr>
          <w:rFonts w:ascii="Barlow Semi Condensed" w:cs="Barlow Semi Condensed" w:eastAsia="Barlow Semi Condensed" w:hAnsi="Barlow Semi Condensed"/>
          <w:b/>
          <w:bCs/>
          <w:sz w:val="24"/>
          <w:szCs w:val="24"/>
        </w:rPr>
        <w:t xml:space="preserve">4125 · Londra e New York, 1938.</w:t>
      </w:r>
      <w:r>
        <w:rPr>
          <w:rFonts w:ascii="Barlow Semi Condensed" w:cs="Barlow Semi Condensed" w:eastAsia="Barlow Semi Condensed" w:hAnsi="Barlow Semi Condensed"/>
          <w:sz w:val="24"/>
          <w:szCs w:val="24"/>
        </w:rPr>
        <w:t xml:space="preserve"> L'emigrazione è accertata e datata: partenza dalla Germania il 20 agosto 1938, sosta a Londra, sbarco a New York il 5 settembre 1938. Sono tre punti di un itinerario documentato, e il corpus li tiene fermi. Ciò che non è fermo è l'atto compiuto all'arrivo: l'anglicizzazione del nome non risulta perfezionata a New York, e su questo la divergenza è aperta e va riportata.</w:t>
      </w:r>
    </w:p>
    <w:p>
      <w:pPr>
        <w:spacing w:after="120" w:line="276"/>
        <w:jc w:val="both"/>
      </w:pPr>
      <w:r>
        <w:rPr>
          <w:rFonts w:ascii="Barlow Semi Condensed" w:cs="Barlow Semi Condensed" w:eastAsia="Barlow Semi Condensed" w:hAnsi="Barlow Semi Condensed"/>
          <w:b/>
          <w:bCs/>
          <w:sz w:val="24"/>
          <w:szCs w:val="24"/>
        </w:rPr>
        <w:t xml:space="preserve">4126 · Il fascicolo d'immigrazione come sede.</w:t>
      </w:r>
      <w:r>
        <w:rPr>
          <w:rFonts w:ascii="Barlow Semi Condensed" w:cs="Barlow Semi Condensed" w:eastAsia="Barlow Semi Condensed" w:hAnsi="Barlow Semi Condensed"/>
          <w:sz w:val="24"/>
          <w:szCs w:val="24"/>
        </w:rPr>
        <w:t xml:space="preserve"> L'apparato K-1 registra il caso più netto di sede che sposta un fatto: le opere di consultazione collocano l'anglicizzazione nel 1938 senza citare documenti, mentre il fascicolo d'immigrazione e naturalizzazione, ottenuto per accesso agli atti, la colloca al 1942-1943, con naturalizzazione del 19 giugno 1943. Una versione ha un documento, l'altra no. La divergenza si riporta e non si scioglie, ed è la regola dell'opera.</w:t>
      </w:r>
    </w:p>
    <w:p>
      <w:pPr>
        <w:spacing w:after="120" w:line="276"/>
        <w:jc w:val="both"/>
      </w:pPr>
      <w:r>
        <w:rPr>
          <w:rFonts w:ascii="Barlow Semi Condensed" w:cs="Barlow Semi Condensed" w:eastAsia="Barlow Semi Condensed" w:hAnsi="Barlow Semi Condensed"/>
          <w:b/>
          <w:bCs/>
          <w:sz w:val="24"/>
          <w:szCs w:val="24"/>
        </w:rPr>
        <w:t xml:space="preserve">4127 · Kent, Connecticut, 29 novembre 2023.</w:t>
      </w:r>
      <w:r>
        <w:rPr>
          <w:rFonts w:ascii="Barlow Semi Condensed" w:cs="Barlow Semi Condensed" w:eastAsia="Barlow Semi Condensed" w:hAnsi="Barlow Semi Condensed"/>
          <w:sz w:val="24"/>
          <w:szCs w:val="24"/>
        </w:rPr>
        <w:t xml:space="preserve"> L'ultimo luogo della biografia, confermato senza dissenso. Il giorno seguente un unico lancio d'agenzia rimise in circolazione la frase attribuita, e da lì discende la moltiplicazione apparente delle fonti accertata al punto settimo dell'apparato K-4. Un toponimo di morte e una data di rilancio a ventiquattro ore di distanza: la serie li annota vicini perché la coincidenza spiega la geografia editoriale dell'episodio, non la sua verità.</w:t>
      </w:r>
    </w:p>
    <w:p>
      <w:pPr>
        <w:spacing w:after="120" w:line="276"/>
        <w:jc w:val="both"/>
      </w:pPr>
      <w:r>
        <w:rPr>
          <w:rFonts w:ascii="Barlow Semi Condensed" w:cs="Barlow Semi Condensed" w:eastAsia="Barlow Semi Condensed" w:hAnsi="Barlow Semi Condensed"/>
          <w:b/>
          <w:bCs/>
          <w:sz w:val="24"/>
          <w:szCs w:val="24"/>
        </w:rPr>
        <w:t xml:space="preserve">4128 · Bruxelles, 27 luglio 1971.</w:t>
      </w:r>
      <w:r>
        <w:rPr>
          <w:rFonts w:ascii="Barlow Semi Condensed" w:cs="Barlow Semi Condensed" w:eastAsia="Barlow Semi Condensed" w:hAnsi="Barlow Semi Condensed"/>
          <w:sz w:val="24"/>
          <w:szCs w:val="24"/>
        </w:rPr>
        <w:t xml:space="preserve"> Il preambolo del Regolamento CEE numero 1842/71 attesta la firma dell'Accordo provvisorio con la Turchia da parte di Aldo Moro, ministro degli Esteri e presidente di turno del Consiglio delle Comunità. È il nesso Moro-Turchia meglio documentato della cartella diplomatica, registrato al blocco 349. Qualifica una funzione comunitaria, non una politica bilaterale, e nessuna carta lo collega a interlocuzioni con la parte americana.</w:t>
      </w:r>
    </w:p>
    <w:p>
      <w:pPr>
        <w:spacing w:after="120" w:line="276"/>
        <w:jc w:val="both"/>
      </w:pPr>
      <w:r>
        <w:rPr>
          <w:rFonts w:ascii="Barlow Semi Condensed" w:cs="Barlow Semi Condensed" w:eastAsia="Barlow Semi Condensed" w:hAnsi="Barlow Semi Condensed"/>
          <w:b/>
          <w:bCs/>
          <w:sz w:val="24"/>
          <w:szCs w:val="24"/>
        </w:rPr>
        <w:t xml:space="preserve">4129 · Helsinki, 1° agosto 1975.</w:t>
      </w:r>
      <w:r>
        <w:rPr>
          <w:rFonts w:ascii="Barlow Semi Condensed" w:cs="Barlow Semi Condensed" w:eastAsia="Barlow Semi Condensed" w:hAnsi="Barlow Semi Condensed"/>
          <w:sz w:val="24"/>
          <w:szCs w:val="24"/>
        </w:rPr>
        <w:t xml:space="preserve"> Sullo stesso Atto finale firmarono Moro per l'Italia e per la presidenza comunitaria, la Santa Sede con la delegazione Casaroli-Silvestrini e la Turchia: sono le tre firme convergenti del blocco 536. Il telegramma del 2 agosto 1975, documento 334 del volume FRUS XXXIX, conferma i trentacinque firmatari e la dichiarazione interpretativa cipriota. Convergenza di sala, non di posizione: il tavolo comune non stabilisce alcun rapporto fra i firmatari.</w:t>
      </w:r>
    </w:p>
    <w:p>
      <w:pPr>
        <w:spacing w:after="120" w:line="276"/>
        <w:jc w:val="both"/>
      </w:pPr>
      <w:r>
        <w:rPr>
          <w:rFonts w:ascii="Barlow Semi Condensed" w:cs="Barlow Semi Condensed" w:eastAsia="Barlow Semi Condensed" w:hAnsi="Barlow Semi Condensed"/>
          <w:b/>
          <w:bCs/>
          <w:sz w:val="24"/>
          <w:szCs w:val="24"/>
        </w:rPr>
        <w:t xml:space="preserve">4130 · Strasburgo, 12 dicembre 1969.</w:t>
      </w:r>
      <w:r>
        <w:rPr>
          <w:rFonts w:ascii="Barlow Semi Condensed" w:cs="Barlow Semi Condensed" w:eastAsia="Barlow Semi Condensed" w:hAnsi="Barlow Semi Condensed"/>
          <w:sz w:val="24"/>
          <w:szCs w:val="24"/>
        </w:rPr>
        <w:t xml:space="preserve"> La Risoluzione (69) 51 del Comitato dei Ministri fu adottata mentre Moro presiedeva l'organo, e la Grecia notificò da sé il ritiro per prevenire un voto certo: la formula corrente dell'espulsione decretata è pubblicistica, come precisa il blocco 338. Le fonti secondarie divergono perfino sul giorno, 12 o 13. La condotta di Moro in quella seduta resta da accertare negli atti del Consiglio d'Europa: bersaglio, non conclusione.</w:t>
      </w:r>
    </w:p>
    <w:p>
      <w:pPr>
        <w:spacing w:after="120" w:line="276"/>
        <w:jc w:val="both"/>
      </w:pPr>
      <w:r>
        <w:rPr>
          <w:rFonts w:ascii="Barlow Semi Condensed" w:cs="Barlow Semi Condensed" w:eastAsia="Barlow Semi Condensed" w:hAnsi="Barlow Semi Condensed"/>
          <w:b/>
          <w:bCs/>
          <w:sz w:val="24"/>
          <w:szCs w:val="24"/>
        </w:rPr>
        <w:t xml:space="preserve">4131 · Nicosia e la Linea Verde.</w:t>
      </w:r>
      <w:r>
        <w:rPr>
          <w:rFonts w:ascii="Barlow Semi Condensed" w:cs="Barlow Semi Condensed" w:eastAsia="Barlow Semi Condensed" w:hAnsi="Barlow Semi Condensed"/>
          <w:sz w:val="24"/>
          <w:szCs w:val="24"/>
        </w:rPr>
        <w:t xml:space="preserve"> Colpo di Stato il 15 luglio 1974, intervento turco il 20, seconda offensiva il 14 agosto, cessate il fuoco del 16 divenuto linea vigilata dalle Nazioni Unite. Le denominazioni sono contese e le percentuali territoriali divergono fra le fonti, come registra il blocco 341. La duplicità si mantiene: scegliere in silenzio un ramo del lessico è prendere parte, e una serie geografica lo farebbe scegliendo il nome della linea.</w:t>
      </w:r>
    </w:p>
    <w:p>
      <w:pPr>
        <w:spacing w:after="120" w:line="276"/>
        <w:jc w:val="both"/>
      </w:pPr>
      <w:r>
        <w:rPr>
          <w:rFonts w:ascii="Barlow Semi Condensed" w:cs="Barlow Semi Condensed" w:eastAsia="Barlow Semi Condensed" w:hAnsi="Barlow Semi Condensed"/>
          <w:b/>
          <w:bCs/>
          <w:sz w:val="24"/>
          <w:szCs w:val="24"/>
        </w:rPr>
        <w:t xml:space="preserve">4132 · Ginevra, il tavolo senza l'Italia.</w:t>
      </w:r>
      <w:r>
        <w:rPr>
          <w:rFonts w:ascii="Barlow Semi Condensed" w:cs="Barlow Semi Condensed" w:eastAsia="Barlow Semi Condensed" w:hAnsi="Barlow Semi Condensed"/>
          <w:sz w:val="24"/>
          <w:szCs w:val="24"/>
        </w:rPr>
        <w:t xml:space="preserve"> L'Italia non era potenza garante, non partecipò ai negoziati ginevrini, non sedeva nel Consiglio di Sicurezza nel 1974 e non contribuiva alla forza di interposizione: attore consultato e non mediatore, secondo il blocco 342. La sua presenza fu nel cerchio atlantico, non nella sala. È il caso in cui una geografia negativa spiega più di una positiva, perché delimita ciò che nessun documento potrà mai attestare.</w:t>
      </w:r>
    </w:p>
    <w:p>
      <w:pPr>
        <w:spacing w:after="120" w:line="276"/>
        <w:jc w:val="both"/>
      </w:pPr>
      <w:r>
        <w:rPr>
          <w:rFonts w:ascii="Barlow Semi Condensed" w:cs="Barlow Semi Condensed" w:eastAsia="Barlow Semi Condensed" w:hAnsi="Barlow Semi Condensed"/>
          <w:b/>
          <w:bCs/>
          <w:sz w:val="24"/>
          <w:szCs w:val="24"/>
        </w:rPr>
        <w:t xml:space="preserve">4133 · Ankara, l'embargo e il silenzio.</w:t>
      </w:r>
      <w:r>
        <w:rPr>
          <w:rFonts w:ascii="Barlow Semi Condensed" w:cs="Barlow Semi Condensed" w:eastAsia="Barlow Semi Condensed" w:hAnsi="Barlow Semi Condensed"/>
          <w:sz w:val="24"/>
          <w:szCs w:val="24"/>
        </w:rPr>
        <w:t xml:space="preserve"> L'embargo statunitense sulle forniture militari, deliberato nel dicembre 1974 ed entrato in vigore il 5 febbraio 1975, fu revocato solo nel settembre 1978. Non si sono trovate dichiarazioni italiane né atti della Farnesina in materia. Lo Stato Zero del blocco 352 si chiude sulla corrispondenza con la Rappresentanza presso la NATO: una sede sola, nominata, e la ricerca in sala ancora interamente da condurre.</w:t>
      </w:r>
    </w:p>
    <w:p>
      <w:pPr>
        <w:spacing w:after="120" w:line="276"/>
        <w:jc w:val="both"/>
      </w:pPr>
      <w:r>
        <w:rPr>
          <w:rFonts w:ascii="Barlow Semi Condensed" w:cs="Barlow Semi Condensed" w:eastAsia="Barlow Semi Condensed" w:hAnsi="Barlow Semi Condensed"/>
          <w:b/>
          <w:bCs/>
          <w:sz w:val="24"/>
          <w:szCs w:val="24"/>
        </w:rPr>
        <w:t xml:space="preserve">4134 · Halki, il seminario chiuso.</w:t>
      </w:r>
      <w:r>
        <w:rPr>
          <w:rFonts w:ascii="Barlow Semi Condensed" w:cs="Barlow Semi Condensed" w:eastAsia="Barlow Semi Condensed" w:hAnsi="Barlow Semi Condensed"/>
          <w:sz w:val="24"/>
          <w:szCs w:val="24"/>
        </w:rPr>
        <w:t xml:space="preserve"> La chiusura del 1971 sull'isola davanti a Istanbul è fatto accertato; la cartella turca dichiara però esito negativo di ricerca sulla posizione della Farnesina di Moro riguardo alle minoranze cristiane e al seminario. È Stato Zero di pieno valore, con sede nelle serie Turchia dell'Archivio storico-diplomatico. Nessuna fonte, di alcun piano, collega quel luogo alla materia americana qui triangolata.</w:t>
      </w:r>
    </w:p>
    <w:p>
      <w:pPr>
        <w:spacing w:after="120" w:line="276"/>
        <w:jc w:val="both"/>
      </w:pPr>
      <w:r>
        <w:rPr>
          <w:rFonts w:ascii="Barlow Semi Condensed" w:cs="Barlow Semi Condensed" w:eastAsia="Barlow Semi Condensed" w:hAnsi="Barlow Semi Condensed"/>
          <w:b/>
          <w:bCs/>
          <w:sz w:val="24"/>
          <w:szCs w:val="24"/>
        </w:rPr>
        <w:t xml:space="preserve">4135 · Atene, luglio 1974.</w:t>
      </w:r>
      <w:r>
        <w:rPr>
          <w:rFonts w:ascii="Barlow Semi Condensed" w:cs="Barlow Semi Condensed" w:eastAsia="Barlow Semi Condensed" w:hAnsi="Barlow Semi Condensed"/>
          <w:sz w:val="24"/>
          <w:szCs w:val="24"/>
        </w:rPr>
        <w:t xml:space="preserve"> La giunta cadde il 23 luglio e il 14 agosto la Grecia ritirò le forze dalla struttura militare integrata, con rientro solo nell'ottobre 1980; le date divergono nelle fonti secondarie fra il 4, il 14 e il 17 agosto. Il blocco 346 verbalizza inoltre che non sono state reperite dichiarazioni testuali di Moro su Cipro fra luglio e novembre 1974, con sede duplice nei resoconti stenografici e nelle serie Grecia e Cipro.</w:t>
      </w:r>
    </w:p>
    <w:p>
      <w:pPr>
        <w:spacing w:after="120" w:line="276"/>
        <w:jc w:val="both"/>
      </w:pPr>
      <w:r>
        <w:rPr>
          <w:rFonts w:ascii="Barlow Semi Condensed" w:cs="Barlow Semi Condensed" w:eastAsia="Barlow Semi Condensed" w:hAnsi="Barlow Semi Condensed"/>
          <w:b/>
          <w:bCs/>
          <w:sz w:val="24"/>
          <w:szCs w:val="24"/>
        </w:rPr>
        <w:t xml:space="preserve">4136 · Lisbona e le Azzorre.</w:t>
      </w:r>
      <w:r>
        <w:rPr>
          <w:rFonts w:ascii="Barlow Semi Condensed" w:cs="Barlow Semi Condensed" w:eastAsia="Barlow Semi Condensed" w:hAnsi="Barlow Semi Condensed"/>
          <w:sz w:val="24"/>
          <w:szCs w:val="24"/>
        </w:rPr>
        <w:t xml:space="preserve"> Il memorandum del 19 giugno 1974 sull'incontro delle Azzorre fra Nixon e Spínola, documento 133 del volume E-15 parte 2, è piano 1 per il rapporto fra Washington e Lisbona e non lo è per alcun rapporto italiano con quella vicenda: così il blocco 324. La distinzione è geografica prima che logica — un documento fa piano 1 per l'asse che nomina, e per nessun altro asse della carta.</w:t>
      </w:r>
    </w:p>
    <w:p>
      <w:pPr>
        <w:spacing w:after="120" w:line="276"/>
        <w:jc w:val="both"/>
      </w:pPr>
      <w:r>
        <w:rPr>
          <w:rFonts w:ascii="Barlow Semi Condensed" w:cs="Barlow Semi Condensed" w:eastAsia="Barlow Semi Condensed" w:hAnsi="Barlow Semi Condensed"/>
          <w:b/>
          <w:bCs/>
          <w:sz w:val="24"/>
          <w:szCs w:val="24"/>
        </w:rPr>
        <w:t xml:space="preserve">4137 · Torre do Tombo, Coimbra, Soares.</w:t>
      </w:r>
      <w:r>
        <w:rPr>
          <w:rFonts w:ascii="Barlow Semi Condensed" w:cs="Barlow Semi Condensed" w:eastAsia="Barlow Semi Condensed" w:hAnsi="Barlow Semi Condensed"/>
          <w:sz w:val="24"/>
          <w:szCs w:val="24"/>
        </w:rPr>
        <w:t xml:space="preserve"> Il blocco 328 censisce quattro giacimenti portoghesi: il portale ministeriale con la sua serie italiana, l'Arquivo Nacional da Torre do Tombo, il Centro de Documentação 25 de Abril e la Fundação Mário Soares, con l'avvertenza che almeno una sede va visitata di persona. La quadriga non aveva colonna portoghese. Aprirla è bersaglio dichiarato, con costo dichiarato: è così che una lacuna diventa programma anziché sospetto.</w:t>
      </w:r>
    </w:p>
    <w:p>
      <w:pPr>
        <w:spacing w:after="120" w:line="276"/>
        <w:jc w:val="both"/>
      </w:pPr>
      <w:r>
        <w:rPr>
          <w:rFonts w:ascii="Barlow Semi Condensed" w:cs="Barlow Semi Condensed" w:eastAsia="Barlow Semi Condensed" w:hAnsi="Barlow Semi Condensed"/>
          <w:b/>
          <w:bCs/>
          <w:sz w:val="24"/>
          <w:szCs w:val="24"/>
        </w:rPr>
        <w:t xml:space="preserve">4138 · Madrid e Alcalá de Henares.</w:t>
      </w:r>
      <w:r>
        <w:rPr>
          <w:rFonts w:ascii="Barlow Semi Condensed" w:cs="Barlow Semi Condensed" w:eastAsia="Barlow Semi Condensed" w:hAnsi="Barlow Semi Condensed"/>
          <w:sz w:val="24"/>
          <w:szCs w:val="24"/>
        </w:rPr>
        <w:t xml:space="preserve"> Lo Stato Zero spagnolo è dichiarato identicamente dai documenti della seconda campagna e dal corpus, con due sedi di chiusura: l'Archivio storico-diplomatico della Farnesina, serie affari politici Spagna 1969-1974 sotto la barriera dei cinquant'anni, e l'Archivo General de la Administración, dove sono confluiti i fondi ministeriali spagnoli. Due edifici in due Paesi per una sola assenza: è la forma corretta di un esito negativo.</w:t>
      </w:r>
    </w:p>
    <w:p>
      <w:pPr>
        <w:spacing w:after="120" w:line="276"/>
        <w:jc w:val="both"/>
      </w:pPr>
      <w:r>
        <w:rPr>
          <w:rFonts w:ascii="Barlow Semi Condensed" w:cs="Barlow Semi Condensed" w:eastAsia="Barlow Semi Condensed" w:hAnsi="Barlow Semi Condensed"/>
          <w:b/>
          <w:bCs/>
          <w:sz w:val="24"/>
          <w:szCs w:val="24"/>
        </w:rPr>
        <w:t xml:space="preserve">4139 · Mosca, Varsavia, Bonn.</w:t>
      </w:r>
      <w:r>
        <w:rPr>
          <w:rFonts w:ascii="Barlow Semi Condensed" w:cs="Barlow Semi Condensed" w:eastAsia="Barlow Semi Condensed" w:hAnsi="Barlow Semi Condensed"/>
          <w:sz w:val="24"/>
          <w:szCs w:val="24"/>
        </w:rPr>
        <w:t xml:space="preserve"> Il Trattato di Mosca del 12 agosto 1970 e quello di Varsavia del 7 dicembre 1970 fissano il riconoscimento dei confini esistenti sull'Oder-Neisse. Sono atti della Ostpolitik, contemporanei al primo mandato di Kissinger come Assistente per la sicurezza nazionale. Contemporaneità e cornice atlantica comune: piano 2, e nulla di più. Il corpus non possiede alcun documento che leghi quella sequenza a un atto italiano di Moro.</w:t>
      </w:r>
    </w:p>
    <w:p>
      <w:pPr>
        <w:spacing w:after="120" w:line="276"/>
        <w:jc w:val="both"/>
      </w:pPr>
      <w:r>
        <w:rPr>
          <w:rFonts w:ascii="Barlow Semi Condensed" w:cs="Barlow Semi Condensed" w:eastAsia="Barlow Semi Condensed" w:hAnsi="Barlow Semi Condensed"/>
          <w:b/>
          <w:bCs/>
          <w:sz w:val="24"/>
          <w:szCs w:val="24"/>
        </w:rPr>
        <w:t xml:space="preserve">4140 · Le diocesi a oriente della linea.</w:t>
      </w:r>
      <w:r>
        <w:rPr>
          <w:rFonts w:ascii="Barlow Semi Condensed" w:cs="Barlow Semi Condensed" w:eastAsia="Barlow Semi Condensed" w:hAnsi="Barlow Semi Condensed"/>
          <w:sz w:val="24"/>
          <w:szCs w:val="24"/>
        </w:rPr>
        <w:t xml:space="preserve"> La ricognizione sulle due Germanie documenta il nesso, e non la semplice prossimità, fra la ratifica e il ridisegno ecclesiastico dei territori: Breslavia, l'Ermland, Danzica, Schneidemühl, la prelatura di Kamień-Lubusz. È geografia canonica che segue una geografia politica. La serie la registra come dimostrazione che un nesso, quando esiste, si documenta — e che dove non esiste, come qui verso il versante americano, si dichiara assente.</w:t>
      </w:r>
    </w:p>
    <w:p>
      <w:pPr>
        <w:spacing w:after="120" w:line="276"/>
        <w:jc w:val="both"/>
      </w:pPr>
      <w:r>
        <w:rPr>
          <w:rFonts w:ascii="Barlow Semi Condensed" w:cs="Barlow Semi Condensed" w:eastAsia="Barlow Semi Condensed" w:hAnsi="Barlow Semi Condensed"/>
          <w:b/>
          <w:bCs/>
          <w:sz w:val="24"/>
          <w:szCs w:val="24"/>
        </w:rPr>
        <w:t xml:space="preserve">4141 · Berlino e Coblenza.</w:t>
      </w:r>
      <w:r>
        <w:rPr>
          <w:rFonts w:ascii="Barlow Semi Condensed" w:cs="Barlow Semi Condensed" w:eastAsia="Barlow Semi Condensed" w:hAnsi="Barlow Semi Condensed"/>
          <w:sz w:val="24"/>
          <w:szCs w:val="24"/>
        </w:rPr>
        <w:t xml:space="preserve"> Il blocco 81 dei cantieri indica il Politisches Archiv dell'Auswärtiges Amt per le carte diplomatiche del 1977-1978, il blocco 108 il protocollo di riproduzione per Berlino e Coblenza, il blocco 117 la tavola unica delle serie tedesche, fondo B 106 compreso. Sono le sedi dove un dispaccio tedesco su Roma potrebbe nominare la parte americana. Nessuno spoglio è stato condotto: il vuoto è di ricerca, non di archivio.</w:t>
      </w:r>
    </w:p>
    <w:p>
      <w:pPr>
        <w:spacing w:after="120" w:line="276"/>
        <w:jc w:val="both"/>
      </w:pPr>
      <w:r>
        <w:rPr>
          <w:rFonts w:ascii="Barlow Semi Condensed" w:cs="Barlow Semi Condensed" w:eastAsia="Barlow Semi Condensed" w:hAnsi="Barlow Semi Condensed"/>
          <w:b/>
          <w:bCs/>
          <w:sz w:val="24"/>
          <w:szCs w:val="24"/>
        </w:rPr>
        <w:t xml:space="preserve">4142 · L'archivio della Stasi, dal 2021.</w:t>
      </w:r>
      <w:r>
        <w:rPr>
          <w:rFonts w:ascii="Barlow Semi Condensed" w:cs="Barlow Semi Condensed" w:eastAsia="Barlow Semi Condensed" w:hAnsi="Barlow Semi Condensed"/>
          <w:sz w:val="24"/>
          <w:szCs w:val="24"/>
        </w:rPr>
        <w:t xml:space="preserve"> Dal 17 giugno 2021 parte del Bundesarchiv, con oltre centoundici chilometri di atti e accesso regolato da legge dedicata, contiene carte su terrorismo italiano e caso Moro. Il blocco 92 dei cantieri impone la doppia cautela: F sull'esistenza del documento, C sul contenuto, mai da solo a fondamento. È l'archivio dove un servizio ostile avrebbe avuto interesse a nominare la controparte americana: bersaglio ideale e lettura severissima.</w:t>
      </w:r>
    </w:p>
    <w:p>
      <w:pPr>
        <w:spacing w:after="120" w:line="276"/>
        <w:jc w:val="both"/>
      </w:pPr>
      <w:r>
        <w:rPr>
          <w:rFonts w:ascii="Barlow Semi Condensed" w:cs="Barlow Semi Condensed" w:eastAsia="Barlow Semi Condensed" w:hAnsi="Barlow Semi Condensed"/>
          <w:b/>
          <w:bCs/>
          <w:sz w:val="24"/>
          <w:szCs w:val="24"/>
        </w:rPr>
        <w:t xml:space="preserve">4143 · Kew, il record C11492660.</w:t>
      </w:r>
      <w:r>
        <w:rPr>
          <w:rFonts w:ascii="Barlow Semi Condensed" w:cs="Barlow Semi Condensed" w:eastAsia="Barlow Semi Condensed" w:hAnsi="Barlow Semi Condensed"/>
          <w:sz w:val="24"/>
          <w:szCs w:val="24"/>
        </w:rPr>
        <w:t xml:space="preserve"> Nel catalogo Discovery dei National Archives è censito il fascicolo sul terrorismo in Italia e sul sequestro e la morte di Moro, non digitalizzato: è il punto di partenza documentato del cantiere britannico, blocco 1. Accanto stanno la serie FCO 33 per l'Italia e il vuoto di Downing Street verbalizzato al blocco 4. Nessuna di queste segnature è stata spogliata: il nome triangolato vi è, allo stato, semplicemente non cercato.</w:t>
      </w:r>
    </w:p>
    <w:p>
      <w:pPr>
        <w:spacing w:after="120" w:line="276"/>
        <w:jc w:val="both"/>
      </w:pPr>
      <w:r>
        <w:rPr>
          <w:rFonts w:ascii="Barlow Semi Condensed" w:cs="Barlow Semi Condensed" w:eastAsia="Barlow Semi Condensed" w:hAnsi="Barlow Semi Condensed"/>
          <w:b/>
          <w:bCs/>
          <w:sz w:val="24"/>
          <w:szCs w:val="24"/>
        </w:rPr>
        <w:t xml:space="preserve">4144 · Caversham, gli ascolti del 1978.</w:t>
      </w:r>
      <w:r>
        <w:rPr>
          <w:rFonts w:ascii="Barlow Semi Condensed" w:cs="Barlow Semi Condensed" w:eastAsia="Barlow Semi Condensed" w:hAnsi="Barlow Semi Condensed"/>
          <w:sz w:val="24"/>
          <w:szCs w:val="24"/>
        </w:rPr>
        <w:t xml:space="preserve"> Il blocco 17 dei cantieri indica i BBC Written Archives e i monitoring reports dei cinquantacinque giorni: un osservatorio tecnico d'epoca che registrò radio e agenzie italiane giorno per giorno, con timbro orario straniero. È la sede dove si misurerebbe se e quando un nome americano entrò nel racconto radiofonico italiano del sequestro. Bersaglio a basso costo e alto rendimento cronologico, mai eseguito.</w:t>
      </w:r>
    </w:p>
    <w:p>
      <w:pPr>
        <w:spacing w:after="120" w:line="276"/>
        <w:jc w:val="both"/>
      </w:pPr>
      <w:r>
        <w:rPr>
          <w:rFonts w:ascii="Barlow Semi Condensed" w:cs="Barlow Semi Condensed" w:eastAsia="Barlow Semi Condensed" w:hAnsi="Barlow Semi Condensed"/>
          <w:b/>
          <w:bCs/>
          <w:sz w:val="24"/>
          <w:szCs w:val="24"/>
        </w:rPr>
        <w:t xml:space="preserve">4145 · La Courneuve, versamento 1929INVA.</w:t>
      </w:r>
      <w:r>
        <w:rPr>
          <w:rFonts w:ascii="Barlow Semi Condensed" w:cs="Barlow Semi Condensed" w:eastAsia="Barlow Semi Condensed" w:hAnsi="Barlow Semi Condensed"/>
          <w:sz w:val="24"/>
          <w:szCs w:val="24"/>
        </w:rPr>
        <w:t xml:space="preserve"> Agli archivi diplomatici francesi la sottoserie della Direction d'Europe per l'Italia 1976-1980 sta in un versamento di novecentosettantaquattro scatole con inventario in linea, secondo il blocco 41. La regola del blocco 42 impone l'inventario prima della sala. È l'indirizzo dove i dispacci francesi da Roma potrebbero nominare la parte americana, e dove l'esito negativo, se tale, andrà verbalizzato scatola per scatola.</w:t>
      </w:r>
    </w:p>
    <w:p>
      <w:pPr>
        <w:spacing w:after="120" w:line="276"/>
        <w:jc w:val="both"/>
      </w:pPr>
      <w:r>
        <w:rPr>
          <w:rFonts w:ascii="Barlow Semi Condensed" w:cs="Barlow Semi Condensed" w:eastAsia="Barlow Semi Condensed" w:hAnsi="Barlow Semi Condensed"/>
          <w:b/>
          <w:bCs/>
          <w:sz w:val="24"/>
          <w:szCs w:val="24"/>
        </w:rPr>
        <w:t xml:space="preserve">4146 · Nantes, il fondo Rome-Quirinal (serie LIV).</w:t>
      </w:r>
      <w:r>
        <w:rPr>
          <w:rFonts w:ascii="Barlow Semi Condensed" w:cs="Barlow Semi Condensed" w:eastAsia="Barlow Semi Condensed" w:hAnsi="Barlow Semi Condensed"/>
          <w:sz w:val="24"/>
          <w:szCs w:val="24"/>
        </w:rPr>
        <w:t xml:space="preserve"> Il Centre des Archives diplomatiques conserva i fondi rimpatriati dell'ambasciata di Francia a Roma: la voce della sede si legge a Nantes, quella della centrale a La Courneuve, e il blocco 44 le vuole entrambe. È la distinzione più utile di tutta la serie fra sede e teatro: uno stesso evento romano produce carta in due città francesi diverse, e cercarne una sola falsa l'esito.</w:t>
      </w:r>
    </w:p>
    <w:p>
      <w:pPr>
        <w:spacing w:after="120" w:line="276"/>
        <w:jc w:val="both"/>
      </w:pPr>
      <w:r>
        <w:rPr>
          <w:rFonts w:ascii="Barlow Semi Condensed" w:cs="Barlow Semi Condensed" w:eastAsia="Barlow Semi Condensed" w:hAnsi="Barlow Semi Condensed"/>
          <w:b/>
          <w:bCs/>
          <w:sz w:val="24"/>
          <w:szCs w:val="24"/>
        </w:rPr>
        <w:t xml:space="preserve">4147 · Il 27 di Quai de la Tournelle.</w:t>
      </w:r>
      <w:r>
        <w:rPr>
          <w:rFonts w:ascii="Barlow Semi Condensed" w:cs="Barlow Semi Condensed" w:eastAsia="Barlow Semi Condensed" w:hAnsi="Barlow Semi Condensed"/>
          <w:sz w:val="24"/>
          <w:szCs w:val="24"/>
        </w:rPr>
        <w:t xml:space="preserve"> L'indirizzo parigino della scuola di lingue, con la data di fondazione che le fonti dividono fra 1976 e 1977: divergenza riportata e non risolta dallo studio del ceppo Simioni. Le vie francesi sono archivistiche e a deroga — il fondo Grimaud fra Sciences Po e Pierrefitte, con la nota del 24 maggio 1983 ai Renseignements généraux. Nessuna di quelle carte, per quanto noto, nomina la controparte americana.</w:t>
      </w:r>
    </w:p>
    <w:p>
      <w:pPr>
        <w:spacing w:after="120" w:line="276"/>
        <w:jc w:val="both"/>
      </w:pPr>
      <w:r>
        <w:rPr>
          <w:rFonts w:ascii="Barlow Semi Condensed" w:cs="Barlow Semi Condensed" w:eastAsia="Barlow Semi Condensed" w:hAnsi="Barlow Semi Condensed"/>
          <w:b/>
          <w:bCs/>
          <w:sz w:val="24"/>
          <w:szCs w:val="24"/>
        </w:rPr>
        <w:t xml:space="preserve">4148 · Berna, Dodis e Vienna.</w:t>
      </w:r>
      <w:r>
        <w:rPr>
          <w:rFonts w:ascii="Barlow Semi Condensed" w:cs="Barlow Semi Condensed" w:eastAsia="Barlow Semi Condensed" w:hAnsi="Barlow Semi Condensed"/>
          <w:sz w:val="24"/>
          <w:szCs w:val="24"/>
        </w:rPr>
        <w:t xml:space="preserve"> I documenti diplomatici svizzeri del 1978 sono in larga parte liberamente accessibili per il termine trentennale e la banca dati li pubblica online con dossier tematici: il blocco 106 dei cantieri comincia da lì, e aggiunge Vienna come osservatorio danubiano con bersagli pochi e precisi. È la sede più aperta dell'intera carta europea, e proprio per questo il primo posto dove un esito negativo peserebbe davvero.</w:t>
      </w:r>
    </w:p>
    <w:p>
      <w:pPr>
        <w:spacing w:after="120" w:line="276"/>
        <w:jc w:val="both"/>
      </w:pPr>
      <w:r>
        <w:rPr>
          <w:rFonts w:ascii="Barlow Semi Condensed" w:cs="Barlow Semi Condensed" w:eastAsia="Barlow Semi Condensed" w:hAnsi="Barlow Semi Condensed"/>
          <w:b/>
          <w:bCs/>
          <w:sz w:val="24"/>
          <w:szCs w:val="24"/>
        </w:rPr>
        <w:t xml:space="preserve">4149 · Firenze, gli archivi dell'Unione.</w:t>
      </w:r>
      <w:r>
        <w:rPr>
          <w:rFonts w:ascii="Barlow Semi Condensed" w:cs="Barlow Semi Condensed" w:eastAsia="Barlow Semi Condensed" w:hAnsi="Barlow Semi Condensed"/>
          <w:sz w:val="24"/>
          <w:szCs w:val="24"/>
        </w:rPr>
        <w:t xml:space="preserve"> Il blocco 76 dei cantieri manda a Firenze, agli archivi storici dell'Unione europea, per la cooperazione del 1978, e vi annota la regola che dà titolo a questa serie: la geografia degli archivi non segue quella politica. Un giacimento toscano per un cantiere parigino. Chi cerca il nome triangolato deve dunque interrogare sedi che nessuna mappa politica gli suggerirebbe di aprire.</w:t>
      </w:r>
    </w:p>
    <w:p>
      <w:pPr>
        <w:spacing w:after="120" w:line="276"/>
        <w:jc w:val="both"/>
      </w:pPr>
      <w:r>
        <w:rPr>
          <w:rFonts w:ascii="Barlow Semi Condensed" w:cs="Barlow Semi Condensed" w:eastAsia="Barlow Semi Condensed" w:hAnsi="Barlow Semi Condensed"/>
          <w:b/>
          <w:bCs/>
          <w:sz w:val="24"/>
          <w:szCs w:val="24"/>
        </w:rPr>
        <w:t xml:space="preserve">4150 · Il pontificato ancora chiuso.</w:t>
      </w:r>
      <w:r>
        <w:rPr>
          <w:rFonts w:ascii="Barlow Semi Condensed" w:cs="Barlow Semi Condensed" w:eastAsia="Barlow Semi Condensed" w:hAnsi="Barlow Semi Condensed"/>
          <w:sz w:val="24"/>
          <w:szCs w:val="24"/>
        </w:rPr>
        <w:t xml:space="preserve"> L'Archivio Apostolico Vaticano è consultabile fino alla fine del pontificato di Pio XII, aperto il 2 marzo 2020; il criterio per pontificati vale anche per l'Archivio della Sezione per i Rapporti con gli Stati. Le carte del 1978 non sono consultabili. Il cantiere lavora quindi le vie laterali, e il blocco 146 dell'agenda indica Brescia e l'Istituto Paolo VI: la porta studiosa, quando la porta principale è murata.</w:t>
      </w:r>
    </w:p>
    <w:p>
      <w:pPr>
        <w:spacing w:after="120" w:line="276"/>
        <w:jc w:val="both"/>
      </w:pPr>
      <w:r>
        <w:rPr>
          <w:rFonts w:ascii="Barlow Semi Condensed" w:cs="Barlow Semi Condensed" w:eastAsia="Barlow Semi Condensed" w:hAnsi="Barlow Semi Condensed"/>
          <w:b/>
          <w:bCs/>
          <w:sz w:val="24"/>
          <w:szCs w:val="24"/>
        </w:rPr>
        <w:t xml:space="preserve">4151 · Ñancahuazú e la Quebrada del Churo.</w:t>
      </w:r>
      <w:r>
        <w:rPr>
          <w:rFonts w:ascii="Barlow Semi Condensed" w:cs="Barlow Semi Condensed" w:eastAsia="Barlow Semi Condensed" w:hAnsi="Barlow Semi Condensed"/>
          <w:sz w:val="24"/>
          <w:szCs w:val="24"/>
        </w:rPr>
        <w:t xml:space="preserve"> La fattoria sul fiume raggiunta il 7 novembre 1966, l'imboscata del 23 marzo 1967, la perdita della base in aprile, l'accerchiamento nella gola presso La Higuera l'8 ottobre. È la geografia militare più minuziosa del corpus, ricostruita sul Diario e su fonti declassificate. Nessun documento del fondo americano lì citato nomina il soggetto di questa triangolazione, che nell'ottobre 1967 non ricopriva alcun incarico di governo.</w:t>
      </w:r>
    </w:p>
    <w:p>
      <w:pPr>
        <w:spacing w:after="120" w:line="276"/>
        <w:jc w:val="both"/>
      </w:pPr>
      <w:r>
        <w:rPr>
          <w:rFonts w:ascii="Barlow Semi Condensed" w:cs="Barlow Semi Condensed" w:eastAsia="Barlow Semi Condensed" w:hAnsi="Barlow Semi Condensed"/>
          <w:b/>
          <w:bCs/>
          <w:sz w:val="24"/>
          <w:szCs w:val="24"/>
        </w:rPr>
        <w:t xml:space="preserve">4152 · La Higuera, il muro cronologico.</w:t>
      </w:r>
      <w:r>
        <w:rPr>
          <w:rFonts w:ascii="Barlow Semi Condensed" w:cs="Barlow Semi Condensed" w:eastAsia="Barlow Semi Condensed" w:hAnsi="Barlow Semi Condensed"/>
          <w:sz w:val="24"/>
          <w:szCs w:val="24"/>
        </w:rPr>
        <w:t xml:space="preserve"> Il 9 ottobre 1967 è la data che chiude ogni ipotesi di ponte al piano 1 per l'intero versante boliviano: gli incarichi triangolati cominciano il 20 gennaio 1969. Quindici mesi separano l'esecuzione dall'insediamento. Il nodo M-5 documenta per quel teatro la presenza di un agente della CIA, e questo è tutto ciò che le fonti attestano: un fatto americano datato, non una regia, e nessun nome di vertice.</w:t>
      </w:r>
    </w:p>
    <w:p>
      <w:pPr>
        <w:spacing w:after="120" w:line="276"/>
        <w:jc w:val="both"/>
      </w:pPr>
      <w:r>
        <w:rPr>
          <w:rFonts w:ascii="Barlow Semi Condensed" w:cs="Barlow Semi Condensed" w:eastAsia="Barlow Semi Condensed" w:hAnsi="Barlow Semi Condensed"/>
          <w:b/>
          <w:bCs/>
          <w:sz w:val="24"/>
          <w:szCs w:val="24"/>
        </w:rPr>
        <w:t xml:space="preserve">4153 · Vallegrande, i lavatoi dell'ospedale.</w:t>
      </w:r>
      <w:r>
        <w:rPr>
          <w:rFonts w:ascii="Barlow Semi Condensed" w:cs="Barlow Semi Condensed" w:eastAsia="Barlow Semi Condensed" w:hAnsi="Barlow Semi Condensed"/>
          <w:sz w:val="24"/>
          <w:szCs w:val="24"/>
        </w:rPr>
        <w:t xml:space="preserve"> Il corpo trasportato in elicottero ed esposto il 10 ottobre 1967, la sepoltura occultata presso la pista, i resti ritrovati soltanto nel 1997: il nodo M-8 fa di questo luogo il modello del reperto conteso e della riapertura a decenni di distanza. La serie lo registra come teatro puro, senza sede documentale americana corrispondente nel corpus, e con l'archivio della NSA del 1997 come unico giacimento già noto.</w:t>
      </w:r>
    </w:p>
    <w:p>
      <w:pPr>
        <w:spacing w:after="120" w:line="276"/>
        <w:jc w:val="both"/>
      </w:pPr>
      <w:r>
        <w:rPr>
          <w:rFonts w:ascii="Barlow Semi Condensed" w:cs="Barlow Semi Condensed" w:eastAsia="Barlow Semi Condensed" w:hAnsi="Barlow Semi Condensed"/>
          <w:b/>
          <w:bCs/>
          <w:sz w:val="24"/>
          <w:szCs w:val="24"/>
        </w:rPr>
        <w:t xml:space="preserve">4154 · Santa Clara, mausoleo del 1997.</w:t>
      </w:r>
      <w:r>
        <w:rPr>
          <w:rFonts w:ascii="Barlow Semi Condensed" w:cs="Barlow Semi Condensed" w:eastAsia="Barlow Semi Condensed" w:hAnsi="Barlow Semi Condensed"/>
          <w:sz w:val="24"/>
          <w:szCs w:val="24"/>
        </w:rPr>
        <w:t xml:space="preserve"> I resti traslati a Cuba e tumulati nella città della vittoria del dicembre 1958: la geografia si chiude dove era cominciata la fama militare. È un luogo di memoria di Stato, e il corpus avverte al parametro D-4 che sul Che pesa l'agiografia cubana come sulla vicenda italiana pesa la dietrologia. Due correttivi critici di segno diverso, e nessuno dei due si applica alla materia di questi blocchi.</w:t>
      </w:r>
    </w:p>
    <w:p>
      <w:pPr>
        <w:spacing w:after="120" w:line="276"/>
        <w:jc w:val="both"/>
      </w:pPr>
      <w:r>
        <w:rPr>
          <w:rFonts w:ascii="Barlow Semi Condensed" w:cs="Barlow Semi Condensed" w:eastAsia="Barlow Semi Condensed" w:hAnsi="Barlow Semi Condensed"/>
          <w:b/>
          <w:bCs/>
          <w:sz w:val="24"/>
          <w:szCs w:val="24"/>
        </w:rPr>
        <w:t xml:space="preserve">4155 · Algeri, il Congo, Dar es Salaam.</w:t>
      </w:r>
      <w:r>
        <w:rPr>
          <w:rFonts w:ascii="Barlow Semi Condensed" w:cs="Barlow Semi Condensed" w:eastAsia="Barlow Semi Condensed" w:hAnsi="Barlow Semi Condensed"/>
          <w:sz w:val="24"/>
          <w:szCs w:val="24"/>
        </w:rPr>
        <w:t xml:space="preserve"> Il discorso del 24 febbraio 1965, la campagna congolese, i tre mesi nell'ambasciata cubana e il trasferimento a Praga dal marzo 1966: un itinerario di rottura con Mosca, non con Washington. È il dato che il parametro D-3 registra come divergenza strutturale — l'ostilità statunitense verso i due uomini del corpus ha radici opposte. Nessun documento americano di quel periodo, nel corpus, nomina insieme quei luoghi e il nome triangolato.</w:t>
      </w:r>
    </w:p>
    <w:p>
      <w:pPr>
        <w:spacing w:after="120" w:line="276"/>
        <w:jc w:val="both"/>
      </w:pPr>
      <w:r>
        <w:rPr>
          <w:rFonts w:ascii="Barlow Semi Condensed" w:cs="Barlow Semi Condensed" w:eastAsia="Barlow Semi Condensed" w:hAnsi="Barlow Semi Condensed"/>
          <w:b/>
          <w:bCs/>
          <w:sz w:val="24"/>
          <w:szCs w:val="24"/>
        </w:rPr>
        <w:t xml:space="preserve">4156 · Città del Messico e L'Avana.</w:t>
      </w:r>
      <w:r>
        <w:rPr>
          <w:rFonts w:ascii="Barlow Semi Condensed" w:cs="Barlow Semi Condensed" w:eastAsia="Barlow Semi Condensed" w:hAnsi="Barlow Semi Condensed"/>
          <w:sz w:val="24"/>
          <w:szCs w:val="24"/>
        </w:rPr>
        <w:t xml:space="preserve"> Le tappe fra il 1954 e il 1965 sono ricostruite nel volume dedicato, con la convergenza su Santa Clara a fine dicembre 1958. Per l'intero arco, il corpus non possiede documenti americani di vertice: la triangolazione esterna vi fu condotta su fonti storiografiche e su archivi cubani e messicani. Chi volesse aprire una colonna statunitense per quegli anni dovrebbe partire dalla sala di lettura CREST e dai volumi FRUS coevi.</w:t>
      </w:r>
    </w:p>
    <w:p>
      <w:pPr>
        <w:spacing w:after="120" w:line="276"/>
        <w:jc w:val="both"/>
      </w:pPr>
      <w:r>
        <w:rPr>
          <w:rFonts w:ascii="Barlow Semi Condensed" w:cs="Barlow Semi Condensed" w:eastAsia="Barlow Semi Condensed" w:hAnsi="Barlow Semi Condensed"/>
          <w:b/>
          <w:bCs/>
          <w:sz w:val="24"/>
          <w:szCs w:val="24"/>
        </w:rPr>
        <w:t xml:space="preserve">4157 · Santiago, il metro del corpus.</w:t>
      </w:r>
      <w:r>
        <w:rPr>
          <w:rFonts w:ascii="Barlow Semi Condensed" w:cs="Barlow Semi Condensed" w:eastAsia="Barlow Semi Condensed" w:hAnsi="Barlow Semi Condensed"/>
          <w:sz w:val="24"/>
          <w:szCs w:val="24"/>
        </w:rPr>
        <w:t xml:space="preserve"> Il blocco 496 dell'opera fa del Cile il metro della comparazione, e il blocco 502 ne segna subito il limite: ciò che il metro cileno misura non è ciò che esso prova. La Parte terza dell'opera-madre osserva che gli archi documentati sono statali e verticali, mentre verso l'eversione privata restano congetture. Un teatro documentato non trasferisce il proprio grado ai teatri che gli somigliano.</w:t>
      </w:r>
    </w:p>
    <w:p>
      <w:pPr>
        <w:spacing w:after="120" w:line="276"/>
        <w:jc w:val="both"/>
      </w:pPr>
      <w:r>
        <w:rPr>
          <w:rFonts w:ascii="Barlow Semi Condensed" w:cs="Barlow Semi Condensed" w:eastAsia="Barlow Semi Condensed" w:hAnsi="Barlow Semi Condensed"/>
          <w:b/>
          <w:bCs/>
          <w:sz w:val="24"/>
          <w:szCs w:val="24"/>
        </w:rPr>
        <w:t xml:space="preserve">4158 · Managua, Berna, Parigi.</w:t>
      </w:r>
      <w:r>
        <w:rPr>
          <w:rFonts w:ascii="Barlow Semi Condensed" w:cs="Barlow Semi Condensed" w:eastAsia="Barlow Semi Condensed" w:hAnsi="Barlow Semi Condensed"/>
          <w:sz w:val="24"/>
          <w:szCs w:val="24"/>
        </w:rPr>
        <w:t xml:space="preserve"> Le tre geografie del registro: Alessio Casimirri in Nicaragua dal 1982, Alvaro Lojacono cittadino svizzero, e la Francia della dottrina fino al no della Cassazione del marzo 2023 dopo l'operazione del 28 aprile 2021. Sono luoghi di pene ineseguite, cioè scudi sull'esecuzione e non sull'accertamento. Nessuno di essi tocca la materia di questa serie, e il corpus vi ha lavorato solo nelle forme del diritto.</w:t>
      </w:r>
    </w:p>
    <w:p>
      <w:pPr>
        <w:spacing w:after="120" w:line="276"/>
        <w:jc w:val="both"/>
      </w:pPr>
      <w:r>
        <w:rPr>
          <w:rFonts w:ascii="Barlow Semi Condensed" w:cs="Barlow Semi Condensed" w:eastAsia="Barlow Semi Condensed" w:hAnsi="Barlow Semi Condensed"/>
          <w:b/>
          <w:bCs/>
          <w:sz w:val="24"/>
          <w:szCs w:val="24"/>
        </w:rPr>
        <w:t xml:space="preserve">4159 · L'atlante delle sedi, bersaglio finale.</w:t>
      </w:r>
      <w:r>
        <w:rPr>
          <w:rFonts w:ascii="Barlow Semi Condensed" w:cs="Barlow Semi Condensed" w:eastAsia="Barlow Semi Condensed" w:hAnsi="Barlow Semi Condensed"/>
          <w:sz w:val="24"/>
          <w:szCs w:val="24"/>
        </w:rPr>
        <w:t xml:space="preserve"> Il prodotto che questa serie chiede: una tavola unica che per ogni luogo del corpus indichi l'istituto, la serie, lo stato di apertura, lo stato di spoglio e la richiesta pendente — gemella geografica delle tavole dei blocchi 45 e 155 dell'agenda. Senza quell'atlante ogni assenza qui verbalizzata resta un'impressione. Con esso diventa una coordinata in meno da riesplorare, che è l'unico progresso possibile.</w:t>
      </w:r>
    </w:p>
    <w:p>
      <w:pPr>
        <w:spacing w:after="120" w:line="276"/>
        <w:jc w:val="both"/>
      </w:pPr>
      <w:r>
        <w:rPr>
          <w:rFonts w:ascii="Barlow Semi Condensed" w:cs="Barlow Semi Condensed" w:eastAsia="Barlow Semi Condensed" w:hAnsi="Barlow Semi Condensed"/>
          <w:b/>
          <w:bCs/>
          <w:sz w:val="24"/>
          <w:szCs w:val="24"/>
        </w:rPr>
        <w:t xml:space="preserve">4160 · Che cosa smentirebbe questa geografia.</w:t>
      </w:r>
      <w:r>
        <w:rPr>
          <w:rFonts w:ascii="Barlow Semi Condensed" w:cs="Barlow Semi Condensed" w:eastAsia="Barlow Semi Condensed" w:hAnsi="Barlow Semi Condensed"/>
          <w:sz w:val="24"/>
          <w:szCs w:val="24"/>
        </w:rPr>
        <w:t xml:space="preserve"> Un solo reperto la rovescerebbe: un documento di provenienza, conservato in una sede nominabile, che collochi il soggetto triangolato in un luogo del corpus diverso dallo Studio Ovale del settembre 1974 e vi attesti un atto, non una presenza. Non basterebbero una fotografia, una contiguità di palazzo, una memoria tarda. Fino ad allora la carta resta quella descritta: un punto di piano 1 e ottanta indirizzi da bussare.</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Serie cinquantacinquesima — Le istituzioni: NSC, Dipartimento di Stato, NATO</w:t>
      </w:r>
    </w:p>
    <w:p>
      <w:pPr>
        <w:spacing w:after="120" w:line="276"/>
        <w:jc w:val="both"/>
      </w:pPr>
      <w:r>
        <w:rPr>
          <w:rFonts w:ascii="Barlow Semi Condensed" w:cs="Barlow Semi Condensed" w:eastAsia="Barlow Semi Condensed" w:hAnsi="Barlow Semi Condensed"/>
          <w:i/>
          <w:iCs/>
          <w:sz w:val="24"/>
          <w:szCs w:val="24"/>
        </w:rPr>
        <w:t xml:space="preserve">Blocchi 4161-4240.</w:t>
      </w:r>
    </w:p>
    <w:p>
      <w:pPr>
        <w:spacing w:after="120" w:line="276"/>
        <w:jc w:val="both"/>
      </w:pPr>
      <w:r>
        <w:rPr>
          <w:rFonts w:ascii="Barlow Semi Condensed" w:cs="Barlow Semi Condensed" w:eastAsia="Barlow Semi Condensed" w:hAnsi="Barlow Semi Condensed"/>
          <w:b/>
          <w:bCs/>
          <w:sz w:val="24"/>
          <w:szCs w:val="24"/>
        </w:rPr>
        <w:t xml:space="preserve">4161 · Statuto della serie territoriale.</w:t>
      </w:r>
      <w:r>
        <w:rPr>
          <w:rFonts w:ascii="Barlow Semi Condensed" w:cs="Barlow Semi Condensed" w:eastAsia="Barlow Semi Condensed" w:hAnsi="Barlow Semi Condensed"/>
          <w:sz w:val="24"/>
          <w:szCs w:val="24"/>
        </w:rPr>
        <w:t xml:space="preserve"> La serie abbandona la lente concettuale delle prime tredici e lavora su un territorio circoscritto: la cartella moro-ministro-esteri e il documento programma-investigativo-caso-moro. Non si chiede che cosa Kissinger rappresenti, ma se il suo nome compaia in queste carte, con quale segnatura e con quale grado. Ogni blocco è un bersaglio, un accertamento graduato, una regola di lettura o una lacuna verbalizzata con la sede che la chiuderebbe.</w:t>
      </w:r>
    </w:p>
    <w:p>
      <w:pPr>
        <w:spacing w:after="120" w:line="276"/>
        <w:jc w:val="both"/>
      </w:pPr>
      <w:r>
        <w:rPr>
          <w:rFonts w:ascii="Barlow Semi Condensed" w:cs="Barlow Semi Condensed" w:eastAsia="Barlow Semi Condensed" w:hAnsi="Barlow Semi Condensed"/>
          <w:b/>
          <w:bCs/>
          <w:sz w:val="24"/>
          <w:szCs w:val="24"/>
        </w:rPr>
        <w:t xml:space="preserve">4162 · I due corpi del territorio.</w:t>
      </w:r>
      <w:r>
        <w:rPr>
          <w:rFonts w:ascii="Barlow Semi Condensed" w:cs="Barlow Semi Condensed" w:eastAsia="Barlow Semi Condensed" w:hAnsi="Barlow Semi Condensed"/>
          <w:sz w:val="24"/>
          <w:szCs w:val="24"/>
        </w:rPr>
        <w:t xml:space="preserve"> Il territorio consta di due corpi diversi. Il primo è la cartella della Farnesina: il README, la nota sui documenti del Dipartimento di Stato 1965-1978, il manifest-sha256, nove ricognizioni e un OCR grezzo nella sottocartella originali, la triangolazione della seconda campagna. Il secondo è Il fascicolo aperto, programma investigativo del 25 agosto 2026, con le piste da P-1 a P-10, la graduatoria PN-1…PN-8 e le piste su entità PE-1…PE-6.</w:t>
      </w:r>
    </w:p>
    <w:p>
      <w:pPr>
        <w:spacing w:after="120" w:line="276"/>
        <w:jc w:val="both"/>
      </w:pPr>
      <w:r>
        <w:rPr>
          <w:rFonts w:ascii="Barlow Semi Condensed" w:cs="Barlow Semi Condensed" w:eastAsia="Barlow Semi Condensed" w:hAnsi="Barlow Semi Condensed"/>
          <w:b/>
          <w:bCs/>
          <w:sz w:val="24"/>
          <w:szCs w:val="24"/>
        </w:rPr>
        <w:t xml:space="preserve">4163 · Il conteggio meccanico del nome.</w:t>
      </w:r>
      <w:r>
        <w:rPr>
          <w:rFonts w:ascii="Barlow Semi Condensed" w:cs="Barlow Semi Condensed" w:eastAsia="Barlow Semi Condensed" w:hAnsi="Barlow Semi Condensed"/>
          <w:sz w:val="24"/>
          <w:szCs w:val="24"/>
        </w:rPr>
        <w:t xml:space="preserve"> La verifica testuale dà sette occorrenze del nome in sei documenti della cartella: due in turchia-opus-dei-1969-1975, una ciascuna in portogallo-opus-dei, portogallo-santa-sede-1969-1974, ricognizione-ministro-esteri-1969-1974, documenti-italiani-spagnoli-opus-dei e grecia-opus-dei-1969-1985. Zero nel programma investigativo, zero nella triangolazione della seconda campagna, zero nella scheda tedesca e in quella sulla Santa Sede e la Turchia. Il buco misurato è conoscenza, secondo il blocco 233 dell'agenda.</w:t>
      </w:r>
    </w:p>
    <w:p>
      <w:pPr>
        <w:spacing w:after="120" w:line="276"/>
        <w:jc w:val="both"/>
      </w:pPr>
      <w:r>
        <w:rPr>
          <w:rFonts w:ascii="Barlow Semi Condensed" w:cs="Barlow Semi Condensed" w:eastAsia="Barlow Semi Condensed" w:hAnsi="Barlow Semi Condensed"/>
          <w:b/>
          <w:bCs/>
          <w:sz w:val="24"/>
          <w:szCs w:val="24"/>
        </w:rPr>
        <w:t xml:space="preserve">4164 · La regola che vincola tutto.</w:t>
      </w:r>
      <w:r>
        <w:rPr>
          <w:rFonts w:ascii="Barlow Semi Condensed" w:cs="Barlow Semi Condensed" w:eastAsia="Barlow Semi Condensed" w:hAnsi="Barlow Semi Condensed"/>
          <w:sz w:val="24"/>
          <w:szCs w:val="24"/>
        </w:rPr>
        <w:t xml:space="preserve"> Henry Kissinger non fu condannato in alcun processo e non fu mai imputato né processato in alcun Paese: nessun blocco può indicarlo come responsabile di reato, e il territorio non offre alcun appiglio per farlo. Le carte qui censite attestano riunioni tenute, posizioni espresse, istruzioni impartite e firme apposte. Il corpus si ferma al giudicato, come nel registro della fase settima e nell'apparato dei gradi.</w:t>
      </w:r>
    </w:p>
    <w:p>
      <w:pPr>
        <w:spacing w:after="120" w:line="276"/>
        <w:jc w:val="both"/>
      </w:pPr>
      <w:r>
        <w:rPr>
          <w:rFonts w:ascii="Barlow Semi Condensed" w:cs="Barlow Semi Condensed" w:eastAsia="Barlow Semi Condensed" w:hAnsi="Barlow Semi Condensed"/>
          <w:b/>
          <w:bCs/>
          <w:sz w:val="24"/>
          <w:szCs w:val="24"/>
        </w:rPr>
        <w:t xml:space="preserve">4165 · I tre piani su questo terreno.</w:t>
      </w:r>
      <w:r>
        <w:rPr>
          <w:rFonts w:ascii="Barlow Semi Condensed" w:cs="Barlow Semi Condensed" w:eastAsia="Barlow Semi Condensed" w:hAnsi="Barlow Semi Condensed"/>
          <w:sz w:val="24"/>
          <w:szCs w:val="24"/>
        </w:rPr>
        <w:t xml:space="preserve"> Piano primo: due nomi nello stesso documento datato, con segnatura verificabile. Piano secondo: convergenza strutturale entro la stessa cornice — l'Alleanza atlantica, il Consiglio delle Comunità, la Conferenza di Helsinki — senza che una carta li tocchi insieme. Piano terzo: affermazione terziaria priva di riscontro. In questo territorio il primo piano rispetto a Moro esiste in un punto solo, il verbale del 25 settembre 1974; tutto il resto è secondo o terzo.</w:t>
      </w:r>
    </w:p>
    <w:p>
      <w:pPr>
        <w:spacing w:after="120" w:line="276"/>
        <w:jc w:val="both"/>
      </w:pPr>
      <w:r>
        <w:rPr>
          <w:rFonts w:ascii="Barlow Semi Condensed" w:cs="Barlow Semi Condensed" w:eastAsia="Barlow Semi Condensed" w:hAnsi="Barlow Semi Condensed"/>
          <w:b/>
          <w:bCs/>
          <w:sz w:val="24"/>
          <w:szCs w:val="24"/>
        </w:rPr>
        <w:t xml:space="preserve">4166 · Il verbale dello Studio Ovale.</w:t>
      </w:r>
      <w:r>
        <w:rPr>
          <w:rFonts w:ascii="Barlow Semi Condensed" w:cs="Barlow Semi Condensed" w:eastAsia="Barlow Semi Condensed" w:hAnsi="Barlow Semi Condensed"/>
          <w:sz w:val="24"/>
          <w:szCs w:val="24"/>
        </w:rPr>
        <w:t xml:space="preserve"> Il capitolo IV della ricognizione-madre accerta il memorandum of conversation del 25 settembre 1974 fra Giovanni Leone, Aldo Moro, Gerald Ford e Henry Kissinger, con Brent Scowcroft: Gerald R. Ford Presidential Library, National Security Adviser's Memoranda of Conversation, documento 1552802, edito in FRUS 1969-1976 volume E-15 parte 2, documento 350, seconda edizione riveduta. È l'unico rapporto diretto documentato fra i due nomi nel territorio.</w:t>
      </w:r>
    </w:p>
    <w:p>
      <w:pPr>
        <w:spacing w:after="120" w:line="276"/>
        <w:jc w:val="both"/>
      </w:pPr>
      <w:r>
        <w:rPr>
          <w:rFonts w:ascii="Barlow Semi Condensed" w:cs="Barlow Semi Condensed" w:eastAsia="Barlow Semi Condensed" w:hAnsi="Barlow Semi Condensed"/>
          <w:b/>
          <w:bCs/>
          <w:sz w:val="24"/>
          <w:szCs w:val="24"/>
        </w:rPr>
        <w:t xml:space="preserve">4167 · Una carta del Consiglio.</w:t>
      </w:r>
      <w:r>
        <w:rPr>
          <w:rFonts w:ascii="Barlow Semi Condensed" w:cs="Barlow Semi Condensed" w:eastAsia="Barlow Semi Condensed" w:hAnsi="Barlow Semi Condensed"/>
          <w:sz w:val="24"/>
          <w:szCs w:val="24"/>
        </w:rPr>
        <w:t xml:space="preserve"> La provenienza dice l'istituzione: la serie è quella dei Memoranda of Conversation del consigliere per la sicurezza nazionale, non un dispaccio del Dipartimento di Stato. Il documento nasce dunque dentro l'apparato del Consiglio di sicurezza nazionale, benché il suo protagonista americano cumulasse allora i due incarichi. Chi lo cita come carta del Dipartimento sbaglia la catena di custodia, e con essa la sede dove cercarne i paralleli.</w:t>
      </w:r>
    </w:p>
    <w:p>
      <w:pPr>
        <w:spacing w:after="120" w:line="276"/>
        <w:jc w:val="both"/>
      </w:pPr>
      <w:r>
        <w:rPr>
          <w:rFonts w:ascii="Barlow Semi Condensed" w:cs="Barlow Semi Condensed" w:eastAsia="Barlow Semi Condensed" w:hAnsi="Barlow Semi Condensed"/>
          <w:b/>
          <w:bCs/>
          <w:sz w:val="24"/>
          <w:szCs w:val="24"/>
        </w:rPr>
        <w:t xml:space="preserve">4168 · Che cosa il verbale non contiene.</w:t>
      </w:r>
      <w:r>
        <w:rPr>
          <w:rFonts w:ascii="Barlow Semi Condensed" w:cs="Barlow Semi Condensed" w:eastAsia="Barlow Semi Condensed" w:hAnsi="Barlow Semi Condensed"/>
          <w:sz w:val="24"/>
          <w:szCs w:val="24"/>
        </w:rPr>
        <w:t xml:space="preserve"> Il verbale non contiene alcun ultimatum personale ad Aldo Moro: l'accertamento è fissato dall'opera e va richiamato ogni volta che la materia si riapre. Attesta la posizione secondo cui non si sarebbero potute scambiare informazioni militari con un governo che includesse i comunisti. Non attesta una posizione di Moro sul medesimo punto — la ricognizione lo dice espressamente — e il silenzio di un verbale non è una presa di posizione.</w:t>
      </w:r>
    </w:p>
    <w:p>
      <w:pPr>
        <w:spacing w:after="120" w:line="276"/>
        <w:jc w:val="both"/>
      </w:pPr>
      <w:r>
        <w:rPr>
          <w:rFonts w:ascii="Barlow Semi Condensed" w:cs="Barlow Semi Condensed" w:eastAsia="Barlow Semi Condensed" w:hAnsi="Barlow Semi Condensed"/>
          <w:b/>
          <w:bCs/>
          <w:sz w:val="24"/>
          <w:szCs w:val="24"/>
        </w:rPr>
        <w:t xml:space="preserve">4169 · La frase dura e la vigilia.</w:t>
      </w:r>
      <w:r>
        <w:rPr>
          <w:rFonts w:ascii="Barlow Semi Condensed" w:cs="Barlow Semi Condensed" w:eastAsia="Barlow Semi Condensed" w:hAnsi="Barlow Semi Condensed"/>
          <w:sz w:val="24"/>
          <w:szCs w:val="24"/>
        </w:rPr>
        <w:t xml:space="preserve"> La ricognizione scrive che «alla vigilia, il 25 settembre» fu detto a Ford che agli italiani andava parlato duro, e rinvia però al medesimo documento 350. La formula è internamente ambigua: o esiste un verbale distinto di preparazione, o l'avverbio è improprio. La divergenza si riporta e non si compone: la collazione della copia 1552802 col testo edito è il bersaglio che la chiude.</w:t>
      </w:r>
    </w:p>
    <w:p>
      <w:pPr>
        <w:spacing w:after="120" w:line="276"/>
        <w:jc w:val="both"/>
      </w:pPr>
      <w:r>
        <w:rPr>
          <w:rFonts w:ascii="Barlow Semi Condensed" w:cs="Barlow Semi Condensed" w:eastAsia="Barlow Semi Condensed" w:hAnsi="Barlow Semi Condensed"/>
          <w:b/>
          <w:bCs/>
          <w:sz w:val="24"/>
          <w:szCs w:val="24"/>
        </w:rPr>
        <w:t xml:space="preserve">4170 · Il colloquio del giorno successivo (serie LV).</w:t>
      </w:r>
      <w:r>
        <w:rPr>
          <w:rFonts w:ascii="Barlow Semi Condensed" w:cs="Barlow Semi Condensed" w:eastAsia="Barlow Semi Condensed" w:hAnsi="Barlow Semi Condensed"/>
          <w:sz w:val="24"/>
          <w:szCs w:val="24"/>
        </w:rPr>
        <w:t xml:space="preserve"> Nello stesso capitolo è registrato anche l'incontro del 26 settembre 1974, Ford Library documento 1552806, disponibile e mai letto in parallelo al precedente. Quesito comparativo: quali temi ricorrano nei due testi, quali compaiano solo nel secondo, se il secondo rinvii al primo, e chi vi figuri presente. Due carte della stessa serie sono omologhe per origine, non per somiglianza di contenuto, e vanno lette insieme.</w:t>
      </w:r>
    </w:p>
    <w:p>
      <w:pPr>
        <w:spacing w:after="120" w:line="276"/>
        <w:jc w:val="both"/>
      </w:pPr>
      <w:r>
        <w:rPr>
          <w:rFonts w:ascii="Barlow Semi Condensed" w:cs="Barlow Semi Condensed" w:eastAsia="Barlow Semi Condensed" w:hAnsi="Barlow Semi Condensed"/>
          <w:b/>
          <w:bCs/>
          <w:sz w:val="24"/>
          <w:szCs w:val="24"/>
        </w:rPr>
        <w:t xml:space="preserve">4171 · Le due edizioni del volume.</w:t>
      </w:r>
      <w:r>
        <w:rPr>
          <w:rFonts w:ascii="Barlow Semi Condensed" w:cs="Barlow Semi Condensed" w:eastAsia="Barlow Semi Condensed" w:hAnsi="Barlow Semi Condensed"/>
          <w:sz w:val="24"/>
          <w:szCs w:val="24"/>
        </w:rPr>
        <w:t xml:space="preserve"> L'indirizzo citato dalla ricognizione reca la sigla della seconda edizione del volume E-15 parte 2, e l'opera ha già fissato che il documento 350 va citato nella redazione riveduta. Bersaglio filologico: accertare se fra prima e seconda edizione mutino il testo, le note redazionali o le espunzioni del documento 350 e del documento 153. Una variante fra due testimoni è un dato, non un dettaglio tipografico.</w:t>
      </w:r>
    </w:p>
    <w:p>
      <w:pPr>
        <w:spacing w:after="120" w:line="276"/>
        <w:jc w:val="both"/>
      </w:pPr>
      <w:r>
        <w:rPr>
          <w:rFonts w:ascii="Barlow Semi Condensed" w:cs="Barlow Semi Condensed" w:eastAsia="Barlow Semi Condensed" w:hAnsi="Barlow Semi Condensed"/>
          <w:b/>
          <w:bCs/>
          <w:sz w:val="24"/>
          <w:szCs w:val="24"/>
        </w:rPr>
        <w:t xml:space="preserve">4172 · Il derivato e la catena di custodia.</w:t>
      </w:r>
      <w:r>
        <w:rPr>
          <w:rFonts w:ascii="Barlow Semi Condensed" w:cs="Barlow Semi Condensed" w:eastAsia="Barlow Semi Condensed" w:hAnsi="Barlow Semi Condensed"/>
          <w:sz w:val="24"/>
          <w:szCs w:val="24"/>
        </w:rPr>
        <w:t xml:space="preserve"> Per il documento 1552802 la ricognizione rinvia a una trascrizione automatica ospitata dall'Internet Archive. È un derivato, come lo è state-dept-djvu-ocr-grezzo rispetto ai documenti originali del Dipartimento di Stato. La cartella possiede già la disciplina giusta nel manifest-sha256: il bersaglio è estenderla, calcolando e registrando l'impronta di quella trascrizione e collazionandola con l'immagine digitalizzata prima di citarne una sola parola.</w:t>
      </w:r>
    </w:p>
    <w:p>
      <w:pPr>
        <w:spacing w:after="120" w:line="276"/>
        <w:jc w:val="both"/>
      </w:pPr>
      <w:r>
        <w:rPr>
          <w:rFonts w:ascii="Barlow Semi Condensed" w:cs="Barlow Semi Condensed" w:eastAsia="Barlow Semi Condensed" w:hAnsi="Barlow Semi Condensed"/>
          <w:b/>
          <w:bCs/>
          <w:sz w:val="24"/>
          <w:szCs w:val="24"/>
        </w:rPr>
        <w:t xml:space="preserve">4173 · La controparte italiana che manca.</w:t>
      </w:r>
      <w:r>
        <w:rPr>
          <w:rFonts w:ascii="Barlow Semi Condensed" w:cs="Barlow Semi Condensed" w:eastAsia="Barlow Semi Condensed" w:hAnsi="Barlow Semi Condensed"/>
          <w:sz w:val="24"/>
          <w:szCs w:val="24"/>
        </w:rPr>
        <w:t xml:space="preserve"> Del colloquio del 25 settembre 1974 non risulta alcuna verbalizzazione italiana: appunto di gabinetto, resoconto di delegazione o telegramma di riepilogo dell'ambasciata a Washington. È Stato Zero con perimetro esatto, già scritto come bersaglio al blocco 228 dell'opera e qui confermato dal territorio, ricco sui fondi americani e muto su quelli italiani. Sede: Archivio Storico Diplomatico della Farnesina, carteggi di gabinetto del ministro.</w:t>
      </w:r>
    </w:p>
    <w:p>
      <w:pPr>
        <w:spacing w:after="120" w:line="276"/>
        <w:jc w:val="both"/>
      </w:pPr>
      <w:r>
        <w:rPr>
          <w:rFonts w:ascii="Barlow Semi Condensed" w:cs="Barlow Semi Condensed" w:eastAsia="Barlow Semi Condensed" w:hAnsi="Barlow Semi Condensed"/>
          <w:b/>
          <w:bCs/>
          <w:sz w:val="24"/>
          <w:szCs w:val="24"/>
        </w:rPr>
        <w:t xml:space="preserve">4174 · Il doppio incarico di quel giorno.</w:t>
      </w:r>
      <w:r>
        <w:rPr>
          <w:rFonts w:ascii="Barlow Semi Condensed" w:cs="Barlow Semi Condensed" w:eastAsia="Barlow Semi Condensed" w:hAnsi="Barlow Semi Condensed"/>
          <w:sz w:val="24"/>
          <w:szCs w:val="24"/>
        </w:rPr>
        <w:t xml:space="preserve"> Al 25 settembre 1974 l'interlocutore americano era insieme assistente per la sicurezza nazionale, dal 20 gennaio 1969, e segretario di Stato, dal 22 settembre 1973. La circostanza non è aneddotica: decide quale archivio conservi il riflesso di ciascun suo atto, se le carte del Consiglio alla Ford Library o le serie del Dipartimento ai National Archives di College Park. Il bersaglio si sdoppia di conseguenza.</w:t>
      </w:r>
    </w:p>
    <w:p>
      <w:pPr>
        <w:spacing w:after="120" w:line="276"/>
        <w:jc w:val="both"/>
      </w:pPr>
      <w:r>
        <w:rPr>
          <w:rFonts w:ascii="Barlow Semi Condensed" w:cs="Barlow Semi Condensed" w:eastAsia="Barlow Semi Condensed" w:hAnsi="Barlow Semi Condensed"/>
          <w:b/>
          <w:bCs/>
          <w:sz w:val="24"/>
          <w:szCs w:val="24"/>
        </w:rPr>
        <w:t xml:space="preserve">4175 · Il silenzio sul Partito comunista.</w:t>
      </w:r>
      <w:r>
        <w:rPr>
          <w:rFonts w:ascii="Barlow Semi Condensed" w:cs="Barlow Semi Condensed" w:eastAsia="Barlow Semi Condensed" w:hAnsi="Barlow Semi Condensed"/>
          <w:sz w:val="24"/>
          <w:szCs w:val="24"/>
        </w:rPr>
        <w:t xml:space="preserve"> Un avvertimento esplicito accompagna il documento: attesta la posizione americana sul Partito comunista e non una posizione di Moro, «che non va inferita». La regola vale anche al rovescio: dal fatto che Moro tacque in quella sede non discendono consenso, dissenso o soggezione. Chiunque colmi quel vuoto lavora al terzo piano e deve dichiararlo. Il verbale è un testimone reticente, non un testimone che nega.</w:t>
      </w:r>
    </w:p>
    <w:p>
      <w:pPr>
        <w:spacing w:after="120" w:line="276"/>
        <w:jc w:val="both"/>
      </w:pPr>
      <w:r>
        <w:rPr>
          <w:rFonts w:ascii="Barlow Semi Condensed" w:cs="Barlow Semi Condensed" w:eastAsia="Barlow Semi Condensed" w:hAnsi="Barlow Semi Condensed"/>
          <w:b/>
          <w:bCs/>
          <w:sz w:val="24"/>
          <w:szCs w:val="24"/>
        </w:rPr>
        <w:t xml:space="preserve">4176 · Che cosa smentirebbe la lettura ordinaria.</w:t>
      </w:r>
      <w:r>
        <w:rPr>
          <w:rFonts w:ascii="Barlow Semi Condensed" w:cs="Barlow Semi Condensed" w:eastAsia="Barlow Semi Condensed" w:hAnsi="Barlow Semi Condensed"/>
          <w:sz w:val="24"/>
          <w:szCs w:val="24"/>
        </w:rPr>
        <w:t xml:space="preserve"> Bersaglio di smentita sul memcon: la lettura secondo cui l'incontro fu ordinaria consultazione fra alleati cadrebbe se emergesse un documento coevo — istruzione, telegramma, appunto — che collegasse quella riunione a una decisione operativa verso l'Italia. Cercarlo è atto istruttorio, non congettura: sede, i Nixon Presidential Materials e le carte Ford per il 1974. Se nulla emerge, l'esito negativo si verbalizza e la lettura ordinaria regge.</w:t>
      </w:r>
    </w:p>
    <w:p>
      <w:pPr>
        <w:spacing w:after="120" w:line="276"/>
        <w:jc w:val="both"/>
      </w:pPr>
      <w:r>
        <w:rPr>
          <w:rFonts w:ascii="Barlow Semi Condensed" w:cs="Barlow Semi Condensed" w:eastAsia="Barlow Semi Condensed" w:hAnsi="Barlow Semi Condensed"/>
          <w:b/>
          <w:bCs/>
          <w:sz w:val="24"/>
          <w:szCs w:val="24"/>
        </w:rPr>
        <w:t xml:space="preserve">4177 · Il Comitato dei 303.</w:t>
      </w:r>
      <w:r>
        <w:rPr>
          <w:rFonts w:ascii="Barlow Semi Condensed" w:cs="Barlow Semi Condensed" w:eastAsia="Barlow Semi Condensed" w:hAnsi="Barlow Semi Condensed"/>
          <w:sz w:val="24"/>
          <w:szCs w:val="24"/>
        </w:rPr>
        <w:t xml:space="preserve"> Sul secondo punto il territorio offre un piano primo diverso: FRUS 1969-1976 volume XLI, Western Europe; NATO 1969-1972, documento 180, verbale della riunione dell'11 marzo 1969 presieduta da Kissinger, con Johnson, Packard e Helms presenti, nella quale Karamessines espose origini e livelli del sostegno coperto ai partiti italiani fra il 1948 e il 1968. È carta primaria, edita, citabile per segnatura.</w:t>
      </w:r>
    </w:p>
    <w:p>
      <w:pPr>
        <w:spacing w:after="120" w:line="276"/>
        <w:jc w:val="both"/>
      </w:pPr>
      <w:r>
        <w:rPr>
          <w:rFonts w:ascii="Barlow Semi Condensed" w:cs="Barlow Semi Condensed" w:eastAsia="Barlow Semi Condensed" w:hAnsi="Barlow Semi Condensed"/>
          <w:b/>
          <w:bCs/>
          <w:sz w:val="24"/>
          <w:szCs w:val="24"/>
        </w:rPr>
        <w:t xml:space="preserve">4178 · L'unanimità e ciò che attesta.</w:t>
      </w:r>
      <w:r>
        <w:rPr>
          <w:rFonts w:ascii="Barlow Semi Condensed" w:cs="Barlow Semi Condensed" w:eastAsia="Barlow Semi Condensed" w:hAnsi="Barlow Semi Condensed"/>
          <w:sz w:val="24"/>
          <w:szCs w:val="24"/>
        </w:rPr>
        <w:t xml:space="preserve"> I presenti convennero all'unanimità che non vi fosse «real justification for resumption of covert funding». Il documento attesta una decisione di non riprendere, non una condotta: è, in questo territorio, l'unico caso in cui una riunione presieduta dal nome studiato produce un esito negativo verbalizzato. Trattarlo come prova del contrario di ciò che dice è l'errore più facile e il più grave.</w:t>
      </w:r>
    </w:p>
    <w:p>
      <w:pPr>
        <w:spacing w:after="120" w:line="276"/>
        <w:jc w:val="both"/>
      </w:pPr>
      <w:r>
        <w:rPr>
          <w:rFonts w:ascii="Barlow Semi Condensed" w:cs="Barlow Semi Condensed" w:eastAsia="Barlow Semi Condensed" w:hAnsi="Barlow Semi Condensed"/>
          <w:b/>
          <w:bCs/>
          <w:sz w:val="24"/>
          <w:szCs w:val="24"/>
        </w:rPr>
        <w:t xml:space="preserve">4179 · La data che scioglie la contemporaneità.</w:t>
      </w:r>
      <w:r>
        <w:rPr>
          <w:rFonts w:ascii="Barlow Semi Condensed" w:cs="Barlow Semi Condensed" w:eastAsia="Barlow Semi Condensed" w:hAnsi="Barlow Semi Condensed"/>
          <w:sz w:val="24"/>
          <w:szCs w:val="24"/>
        </w:rPr>
        <w:t xml:space="preserve"> Il rilievo dirimente è di data: l'11 marzo 1969 Moro non era ministro degli Esteri, lo divenne il 5 agosto. La contemporaneità è solo apparente e non va trattata come nesso — la ricognizione lo scrive espressamente. Vale la stessa regola applicata dal corpus alla vicinanza fra l'espulsione dei missionari dell'aprile 1974 e la Rivoluzione dei garofani: due fatti prossimi non sono per ciò stesso legati.</w:t>
      </w:r>
    </w:p>
    <w:p>
      <w:pPr>
        <w:spacing w:after="120" w:line="276"/>
        <w:jc w:val="both"/>
      </w:pPr>
      <w:r>
        <w:rPr>
          <w:rFonts w:ascii="Barlow Semi Condensed" w:cs="Barlow Semi Condensed" w:eastAsia="Barlow Semi Condensed" w:hAnsi="Barlow Semi Condensed"/>
          <w:b/>
          <w:bCs/>
          <w:sz w:val="24"/>
          <w:szCs w:val="24"/>
        </w:rPr>
        <w:t xml:space="preserve">4180 · Lo studio sull'Italia del dicembre 1969 (serie LV).</w:t>
      </w:r>
      <w:r>
        <w:rPr>
          <w:rFonts w:ascii="Barlow Semi Condensed" w:cs="Barlow Semi Condensed" w:eastAsia="Barlow Semi Condensed" w:hAnsi="Barlow Semi Condensed"/>
          <w:sz w:val="24"/>
          <w:szCs w:val="24"/>
        </w:rPr>
        <w:t xml:space="preserve"> Il documento 188 dello stesso volume registra l'istruzione di Nixon del dicembre 1969 di avviare uno «study on Italy». Qui la data cade dentro il primo mandato di Moro, e la contemporaneità diventa reale: resta però convergenza entro la stessa cornice, non rapporto documentato. Bersaglio: reperire lo studio, il suo esito e i suoi destinatari presso i Nixon Presidential Materials, NSC Files, Country Files: Italy, a College Park.</w:t>
      </w:r>
    </w:p>
    <w:p>
      <w:pPr>
        <w:spacing w:after="120" w:line="276"/>
        <w:jc w:val="both"/>
      </w:pPr>
      <w:r>
        <w:rPr>
          <w:rFonts w:ascii="Barlow Semi Condensed" w:cs="Barlow Semi Condensed" w:eastAsia="Barlow Semi Condensed" w:hAnsi="Barlow Semi Condensed"/>
          <w:b/>
          <w:bCs/>
          <w:sz w:val="24"/>
          <w:szCs w:val="24"/>
        </w:rPr>
        <w:t xml:space="preserve">4181 · Il riemergere del 1975 e 1976.</w:t>
      </w:r>
      <w:r>
        <w:rPr>
          <w:rFonts w:ascii="Barlow Semi Condensed" w:cs="Barlow Semi Condensed" w:eastAsia="Barlow Semi Condensed" w:hAnsi="Barlow Semi Condensed"/>
          <w:sz w:val="24"/>
          <w:szCs w:val="24"/>
        </w:rPr>
        <w:t xml:space="preserve"> Il saggio pubblicato in Diplomacy &amp; Statecraft nel 2024, citato dalla ricognizione, segnala che il programma di azione coperta in Italia riemerse nel novembre 1975 e nel luglio 1976. In quelle date Moro era presidente del Consiglio e l'interlocutore americano ancora segretario di Stato. È secondo piano: due presenze nella stessa cornice temporale. Un saggio peer-reviewed indica dove cercare; non sostituisce il documento primario che manca.</w:t>
      </w:r>
    </w:p>
    <w:p>
      <w:pPr>
        <w:spacing w:after="120" w:line="276"/>
        <w:jc w:val="both"/>
      </w:pPr>
      <w:r>
        <w:rPr>
          <w:rFonts w:ascii="Barlow Semi Condensed" w:cs="Barlow Semi Condensed" w:eastAsia="Barlow Semi Condensed" w:hAnsi="Barlow Semi Condensed"/>
          <w:b/>
          <w:bCs/>
          <w:sz w:val="24"/>
          <w:szCs w:val="24"/>
        </w:rPr>
        <w:t xml:space="preserve">4182 · I Telegrammi esclusi dalla consultazione.</w:t>
      </w:r>
      <w:r>
        <w:rPr>
          <w:rFonts w:ascii="Barlow Semi Condensed" w:cs="Barlow Semi Condensed" w:eastAsia="Barlow Semi Condensed" w:hAnsi="Barlow Semi Condensed"/>
          <w:sz w:val="24"/>
          <w:szCs w:val="24"/>
        </w:rPr>
        <w:t xml:space="preserve"> Il rovescio italiano dell'intero fascicolo americano 1969-1972 giace nella serie Telegrammi 1942-1970 dell'Archivio Storico Diplomatico, temporaneamente esclusa dalla consultazione per lavori, come tre documenti della cartella accertano concordemente. L'esclusione copre esattamente gli anni in cui i documenti 180 e 188 furono redatti. Non è vuoto di fatto ma limite di accesso: la condizione di chiusura è la riapertura della serie.</w:t>
      </w:r>
    </w:p>
    <w:p>
      <w:pPr>
        <w:spacing w:after="120" w:line="276"/>
        <w:jc w:val="both"/>
      </w:pPr>
      <w:r>
        <w:rPr>
          <w:rFonts w:ascii="Barlow Semi Condensed" w:cs="Barlow Semi Condensed" w:eastAsia="Barlow Semi Condensed" w:hAnsi="Barlow Semi Condensed"/>
          <w:b/>
          <w:bCs/>
          <w:sz w:val="24"/>
          <w:szCs w:val="24"/>
        </w:rPr>
        <w:t xml:space="preserve">4183 · Senza primario nessuna regia.</w:t>
      </w:r>
      <w:r>
        <w:rPr>
          <w:rFonts w:ascii="Barlow Semi Condensed" w:cs="Barlow Semi Condensed" w:eastAsia="Barlow Semi Condensed" w:hAnsi="Barlow Semi Condensed"/>
          <w:sz w:val="24"/>
          <w:szCs w:val="24"/>
        </w:rPr>
        <w:t xml:space="preserve"> Il blocco 221 dell'agenda impone la regola a ogni versione che ponga una regia estera: cercare il documento primario che la sosterrebbe e dichiarare Stato Zero dove non c'è. Applicata qui, dice che nessuna carta del territorio collega le decisioni americane del 1969 e del 1975-1976 a un atto verso Moro ministro. La porta resta chiusa, e il criterio di riapertura è documentale.</w:t>
      </w:r>
    </w:p>
    <w:p>
      <w:pPr>
        <w:spacing w:after="120" w:line="276"/>
        <w:jc w:val="both"/>
      </w:pPr>
      <w:r>
        <w:rPr>
          <w:rFonts w:ascii="Barlow Semi Condensed" w:cs="Barlow Semi Condensed" w:eastAsia="Barlow Semi Condensed" w:hAnsi="Barlow Semi Condensed"/>
          <w:b/>
          <w:bCs/>
          <w:sz w:val="24"/>
          <w:szCs w:val="24"/>
        </w:rPr>
        <w:t xml:space="preserve">4184 · Il volume XLI come contenitore.</w:t>
      </w:r>
      <w:r>
        <w:rPr>
          <w:rFonts w:ascii="Barlow Semi Condensed" w:cs="Barlow Semi Condensed" w:eastAsia="Barlow Semi Condensed" w:hAnsi="Barlow Semi Condensed"/>
          <w:sz w:val="24"/>
          <w:szCs w:val="24"/>
        </w:rPr>
        <w:t xml:space="preserve"> Quattro documenti di un solo volume reggono buona parte del versante americano della cartella: il 180 sul sostegno coperto, il 182 sul colloquio con Moro del 2 settembre 1971, il 188 sullo studio del dicembre 1969, il 303 sullo scandalo MATESA nel capitolo spagnolo. Sono omologhi per origine editoriale, non per contenuto: l'omologia archivistica autorizza a leggerli insieme, la somiglianza tematica no.</w:t>
      </w:r>
    </w:p>
    <w:p>
      <w:pPr>
        <w:spacing w:after="120" w:line="276"/>
        <w:jc w:val="both"/>
      </w:pPr>
      <w:r>
        <w:rPr>
          <w:rFonts w:ascii="Barlow Semi Condensed" w:cs="Barlow Semi Condensed" w:eastAsia="Barlow Semi Condensed" w:hAnsi="Barlow Semi Condensed"/>
          <w:b/>
          <w:bCs/>
          <w:sz w:val="24"/>
          <w:szCs w:val="24"/>
        </w:rPr>
        <w:t xml:space="preserve">4185 · Il colloquio del 2 settembre 1971 (serie LV).</w:t>
      </w:r>
      <w:r>
        <w:rPr>
          <w:rFonts w:ascii="Barlow Semi Condensed" w:cs="Barlow Semi Condensed" w:eastAsia="Barlow Semi Condensed" w:hAnsi="Barlow Semi Condensed"/>
          <w:sz w:val="24"/>
          <w:szCs w:val="24"/>
        </w:rPr>
        <w:t xml:space="preserve"> Il colloquio con Moro sulla rappresentanza cinese alle Nazioni Unite sta al documento 182, ma l'interlocutore americano vi è l'incaricato d'affari, non il consigliere per la sicurezza nazionale. La ricognizione greca lo cita per attestare la prassi dei colloqui bilaterali fra il Dipartimento di Stato e Moro: prassi accertata, con controparte diversa. Il nome studiato non compare, e l'assenza va scritta con la sua segnatura.</w:t>
      </w:r>
    </w:p>
    <w:p>
      <w:pPr>
        <w:spacing w:after="120" w:line="276"/>
        <w:jc w:val="both"/>
      </w:pPr>
      <w:r>
        <w:rPr>
          <w:rFonts w:ascii="Barlow Semi Condensed" w:cs="Barlow Semi Condensed" w:eastAsia="Barlow Semi Condensed" w:hAnsi="Barlow Semi Condensed"/>
          <w:b/>
          <w:bCs/>
          <w:sz w:val="24"/>
          <w:szCs w:val="24"/>
        </w:rPr>
        <w:t xml:space="preserve">4186 · I verbali mai reperiti.</w:t>
      </w:r>
      <w:r>
        <w:rPr>
          <w:rFonts w:ascii="Barlow Semi Condensed" w:cs="Barlow Semi Condensed" w:eastAsia="Barlow Semi Condensed" w:hAnsi="Barlow Semi Condensed"/>
          <w:sz w:val="24"/>
          <w:szCs w:val="24"/>
        </w:rPr>
        <w:t xml:space="preserve"> Fra gli esiti negativi del capitolo IV: non sono stati reperiti verbali editi di colloqui diretti Moro-Nixon o Moro-Rogers per il 1969-1972, comparabili per completezza a quello del 1974. Sede indicata: la serie FRUS e i Nixon Presidential Materials, NSC Files, Country Files: Italy, ai National Archives di College Park. Condizione di chiusura: lo spoglio dei volumi europei e mediterranei non esaminati.</w:t>
      </w:r>
    </w:p>
    <w:p>
      <w:pPr>
        <w:spacing w:after="120" w:line="276"/>
        <w:jc w:val="both"/>
      </w:pPr>
      <w:r>
        <w:rPr>
          <w:rFonts w:ascii="Barlow Semi Condensed" w:cs="Barlow Semi Condensed" w:eastAsia="Barlow Semi Condensed" w:hAnsi="Barlow Semi Condensed"/>
          <w:b/>
          <w:bCs/>
          <w:sz w:val="24"/>
          <w:szCs w:val="24"/>
        </w:rPr>
        <w:t xml:space="preserve">4187 · L'esito negativo esteso al nome.</w:t>
      </w:r>
      <w:r>
        <w:rPr>
          <w:rFonts w:ascii="Barlow Semi Condensed" w:cs="Barlow Semi Condensed" w:eastAsia="Barlow Semi Condensed" w:hAnsi="Barlow Semi Condensed"/>
          <w:sz w:val="24"/>
          <w:szCs w:val="24"/>
        </w:rPr>
        <w:t xml:space="preserve"> Quell'esito negativo tace su un terzo binomio, e va esteso esplicitamente: nemmeno un verbale Moro-Kissinger anteriore al 1973 è stato reperito, e sarebbe stato possibile solo con l'assistente per la sicurezza nazionale, poiché la titolarità del Dipartimento restò a Rogers fino al 22 settembre 1973. Lo Stato Zero si dichiara qui per la prima volta, con la medesima sede di chiusura.</w:t>
      </w:r>
    </w:p>
    <w:p>
      <w:pPr>
        <w:spacing w:after="120" w:line="276"/>
        <w:jc w:val="both"/>
      </w:pPr>
      <w:r>
        <w:rPr>
          <w:rFonts w:ascii="Barlow Semi Condensed" w:cs="Barlow Semi Condensed" w:eastAsia="Barlow Semi Condensed" w:hAnsi="Barlow Semi Condensed"/>
          <w:b/>
          <w:bCs/>
          <w:sz w:val="24"/>
          <w:szCs w:val="24"/>
        </w:rPr>
        <w:t xml:space="preserve">4188 · L'omonimia dei due Rogers.</w:t>
      </w:r>
      <w:r>
        <w:rPr>
          <w:rFonts w:ascii="Barlow Semi Condensed" w:cs="Barlow Semi Condensed" w:eastAsia="Barlow Semi Condensed" w:hAnsi="Barlow Semi Condensed"/>
          <w:sz w:val="24"/>
          <w:szCs w:val="24"/>
        </w:rPr>
        <w:t xml:space="preserve"> Avvertenza da conservare, sul modello di quella già scritta per i due Jardim: il Rogers nominato dal documento CIA del 22 maggio 1970 e dagli esiti negativi della ricognizione è il segretario di Stato William Rogers; il Rogers che nell'ottobre 1980 mediò il rientro greco nella struttura militare integrata è il generale Bernard Rogers, comandante supremo alleato. Sono persone distinte e non vanno confuse in alcuna sintesi.</w:t>
      </w:r>
    </w:p>
    <w:p>
      <w:pPr>
        <w:spacing w:after="120" w:line="276"/>
        <w:jc w:val="both"/>
      </w:pPr>
      <w:r>
        <w:rPr>
          <w:rFonts w:ascii="Barlow Semi Condensed" w:cs="Barlow Semi Condensed" w:eastAsia="Barlow Semi Condensed" w:hAnsi="Barlow Semi Condensed"/>
          <w:b/>
          <w:bCs/>
          <w:sz w:val="24"/>
          <w:szCs w:val="24"/>
        </w:rPr>
        <w:t xml:space="preserve">4189 · L'ufficiale italiano rimasto anonimo.</w:t>
      </w:r>
      <w:r>
        <w:rPr>
          <w:rFonts w:ascii="Barlow Semi Condensed" w:cs="Barlow Semi Condensed" w:eastAsia="Barlow Semi Condensed" w:hAnsi="Barlow Semi Condensed"/>
          <w:sz w:val="24"/>
          <w:szCs w:val="24"/>
        </w:rPr>
        <w:t xml:space="preserve"> Il Weekly Summary Special Report della CIA del 22 maggio 1970, protocollo CIA-RDP85T00875R001500020027-1, contiene la frase su «an Italian official» che non va attribuita a Moro: la triangolazione della seconda campagna la dichiara punto epistemologicamente più delicato dell'intera campagna. Il divieto vale simmetricamente sull'altro versante: nessun documento del territorio nomina il destinatario americano di quella valutazione, e nessuna catena di comando va ricostruita per verosimiglianza.</w:t>
      </w:r>
    </w:p>
    <w:p>
      <w:pPr>
        <w:spacing w:after="120" w:line="276"/>
        <w:jc w:val="both"/>
      </w:pPr>
      <w:r>
        <w:rPr>
          <w:rFonts w:ascii="Barlow Semi Condensed" w:cs="Barlow Semi Condensed" w:eastAsia="Barlow Semi Condensed" w:hAnsi="Barlow Semi Condensed"/>
          <w:b/>
          <w:bCs/>
          <w:sz w:val="24"/>
          <w:szCs w:val="24"/>
        </w:rPr>
        <w:t xml:space="preserve">4190 · Bruxelles, 4 luglio 1974.</w:t>
      </w:r>
      <w:r>
        <w:rPr>
          <w:rFonts w:ascii="Barlow Semi Condensed" w:cs="Barlow Semi Condensed" w:eastAsia="Barlow Semi Condensed" w:hAnsi="Barlow Semi Condensed"/>
          <w:sz w:val="24"/>
          <w:szCs w:val="24"/>
        </w:rPr>
        <w:t xml:space="preserve"> Nel documento 16 del volume XXX il segretario generale della NATO Joseph Luns convoca gli ambasciatori di Stati Uniti, Regno Unito, Francia, Repubblica Federale, Italia e Belgio sulla disputa greco-turca. L'Italia c'è come sedia, non come nome: il documento non registra chi parlò per Roma né che cosa disse. È cornice istituzionale accertata, e sarebbe abuso leggervi una concertazione o un rapporto personale.</w:t>
      </w:r>
    </w:p>
    <w:p>
      <w:pPr>
        <w:spacing w:after="120" w:line="276"/>
        <w:jc w:val="both"/>
      </w:pPr>
      <w:r>
        <w:rPr>
          <w:rFonts w:ascii="Barlow Semi Condensed" w:cs="Barlow Semi Condensed" w:eastAsia="Barlow Semi Condensed" w:hAnsi="Barlow Semi Condensed"/>
          <w:b/>
          <w:bCs/>
          <w:sz w:val="24"/>
          <w:szCs w:val="24"/>
        </w:rPr>
        <w:t xml:space="preserve">4191 · Il documento 23 e la firma (serie LV).</w:t>
      </w:r>
      <w:r>
        <w:rPr>
          <w:rFonts w:ascii="Barlow Semi Condensed" w:cs="Barlow Semi Condensed" w:eastAsia="Barlow Semi Condensed" w:hAnsi="Barlow Semi Condensed"/>
          <w:sz w:val="24"/>
          <w:szCs w:val="24"/>
        </w:rPr>
        <w:t xml:space="preserve"> Il telegramma del Dipartimento di Stato alla missione presso la NATO del 30 agosto 1974 istruisce di aprire discussioni bilaterali informali con Luns e con alleati selezionati — Regno Unito, Repubblica Federale, Italia e Belgio o Paesi Bassi — escludendo la Francia perché fuori dal Defence Planning Committee. Bersaglio puntuale: accertare la riga di firma del telegramma, che la ricognizione non riporta. La firma decide il piano.</w:t>
      </w:r>
    </w:p>
    <w:p>
      <w:pPr>
        <w:spacing w:after="120" w:line="276"/>
        <w:jc w:val="both"/>
      </w:pPr>
      <w:r>
        <w:rPr>
          <w:rFonts w:ascii="Barlow Semi Condensed" w:cs="Barlow Semi Condensed" w:eastAsia="Barlow Semi Condensed" w:hAnsi="Barlow Semi Condensed"/>
          <w:b/>
          <w:bCs/>
          <w:sz w:val="24"/>
          <w:szCs w:val="24"/>
        </w:rPr>
        <w:t xml:space="preserve">4192 · Il rilievo del rappresentante belga.</w:t>
      </w:r>
      <w:r>
        <w:rPr>
          <w:rFonts w:ascii="Barlow Semi Condensed" w:cs="Barlow Semi Condensed" w:eastAsia="Barlow Semi Condensed" w:hAnsi="Barlow Semi Condensed"/>
          <w:sz w:val="24"/>
          <w:szCs w:val="24"/>
        </w:rPr>
        <w:t xml:space="preserve"> Datato 16 settembre 1974, il documento 25 è un telegramma della missione statunitense presso la NATO: attesta che dal 14 agosto tutte le unità greche erano ritirate da assegnazione e destinazione all'Alleanza, e registra il rilievo di de Staercke sulla curiosità del fatto che Atene non avesse ritirato i propri rappresentanti dal Comitato militare. Il nome studiato non vi compare: si cita l'istituzione, non la persona.</w:t>
      </w:r>
    </w:p>
    <w:p>
      <w:pPr>
        <w:spacing w:after="120" w:line="276"/>
        <w:jc w:val="both"/>
      </w:pPr>
      <w:r>
        <w:rPr>
          <w:rFonts w:ascii="Barlow Semi Condensed" w:cs="Barlow Semi Condensed" w:eastAsia="Barlow Semi Condensed" w:hAnsi="Barlow Semi Condensed"/>
          <w:b/>
          <w:bCs/>
          <w:sz w:val="24"/>
          <w:szCs w:val="24"/>
        </w:rPr>
        <w:t xml:space="preserve">4193 · La divergenza sulla data del ritiro.</w:t>
      </w:r>
      <w:r>
        <w:rPr>
          <w:rFonts w:ascii="Barlow Semi Condensed" w:cs="Barlow Semi Condensed" w:eastAsia="Barlow Semi Condensed" w:hAnsi="Barlow Semi Condensed"/>
          <w:sz w:val="24"/>
          <w:szCs w:val="24"/>
        </w:rPr>
        <w:t xml:space="preserve"> Le fonti divergono e la divergenza si riporta: 14 agosto 1974 secondo il sito ufficiale della NATO e il FRUS, 17 agosto secondo il portale CVCE, 4 agosto secondo la rivista The Athenian. La ricognizione greca la segnala già al capitolo V. Chi costruisca cronologie di consultazione atlantica su una sola di queste date costruisce su un dato contestato, e deve dichiararlo prima di trarne conseguenze.</w:t>
      </w:r>
    </w:p>
    <w:p>
      <w:pPr>
        <w:spacing w:after="120" w:line="276"/>
        <w:jc w:val="both"/>
      </w:pPr>
      <w:r>
        <w:rPr>
          <w:rFonts w:ascii="Barlow Semi Condensed" w:cs="Barlow Semi Condensed" w:eastAsia="Barlow Semi Condensed" w:hAnsi="Barlow Semi Condensed"/>
          <w:b/>
          <w:bCs/>
          <w:sz w:val="24"/>
          <w:szCs w:val="24"/>
        </w:rPr>
        <w:t xml:space="preserve">4194 · Consultata, non mediatrice né garante.</w:t>
      </w:r>
      <w:r>
        <w:rPr>
          <w:rFonts w:ascii="Barlow Semi Condensed" w:cs="Barlow Semi Condensed" w:eastAsia="Barlow Semi Condensed" w:hAnsi="Barlow Semi Condensed"/>
          <w:sz w:val="24"/>
          <w:szCs w:val="24"/>
        </w:rPr>
        <w:t xml:space="preserve"> Il capitolo III della ricognizione turca fissa la formula esatta: l'Italia non era potenza garante di Cipro, non sedeva nel Consiglio di Sicurezza nel 1974, non contribuiva a UNFICYP; era parte del meccanismo consultivo atlantico. Questo attestano i documenti 16 e 23 del volume XXX. Attribuire a Roma un ruolo di mediazione, o al suo ministro un rapporto col vertice americano su Cipro, eccede la carta.</w:t>
      </w:r>
    </w:p>
    <w:p>
      <w:pPr>
        <w:spacing w:after="120" w:line="276"/>
        <w:jc w:val="both"/>
      </w:pPr>
      <w:r>
        <w:rPr>
          <w:rFonts w:ascii="Barlow Semi Condensed" w:cs="Barlow Semi Condensed" w:eastAsia="Barlow Semi Condensed" w:hAnsi="Barlow Semi Condensed"/>
          <w:b/>
          <w:bCs/>
          <w:sz w:val="24"/>
          <w:szCs w:val="24"/>
        </w:rPr>
        <w:t xml:space="preserve">4195 · Il contenuto della posizione italiana.</w:t>
      </w:r>
      <w:r>
        <w:rPr>
          <w:rFonts w:ascii="Barlow Semi Condensed" w:cs="Barlow Semi Condensed" w:eastAsia="Barlow Semi Condensed" w:hAnsi="Barlow Semi Condensed"/>
          <w:sz w:val="24"/>
          <w:szCs w:val="24"/>
        </w:rPr>
        <w:t xml:space="preserve"> Che l'Italia fosse consultata è accertato; che cosa rispose non lo è. La ricognizione greca colloca al terzo posto della propria tavola la documentazione della Rappresentanza italiana presso la NATO per l'agosto-settembre 1974, per accertare il contenuto e non solo l'esistenza della posizione italiana. Finché quel fondo tace, ogni ricostruzione del dialogo Roma-Washington in quelle settimane resta ferma al secondo piano.</w:t>
      </w:r>
    </w:p>
    <w:p>
      <w:pPr>
        <w:spacing w:after="120" w:line="276"/>
        <w:jc w:val="both"/>
      </w:pPr>
      <w:r>
        <w:rPr>
          <w:rFonts w:ascii="Barlow Semi Condensed" w:cs="Barlow Semi Condensed" w:eastAsia="Barlow Semi Condensed" w:hAnsi="Barlow Semi Condensed"/>
          <w:b/>
          <w:bCs/>
          <w:sz w:val="24"/>
          <w:szCs w:val="24"/>
        </w:rPr>
        <w:t xml:space="preserve">4196 · Le ministeriali dell'Alleanza 1969-1974.</w:t>
      </w:r>
      <w:r>
        <w:rPr>
          <w:rFonts w:ascii="Barlow Semi Condensed" w:cs="Barlow Semi Condensed" w:eastAsia="Barlow Semi Condensed" w:hAnsi="Barlow Semi Condensed"/>
          <w:sz w:val="24"/>
          <w:szCs w:val="24"/>
        </w:rPr>
        <w:t xml:space="preserve"> Il capitolo 5 di documenti-italiani-spagnoli-opus-dei dichiara Stato Zero su quattro voci: la posizione italiana nel Nuclear Planning Group, il riequilibrio della flotta sovietica nel Mediterraneo, le riunioni ministeriali NATO 1969-1974 con Moro presente, i rapporti con Atene e Ankara. Sedi indicate: l'Archivio storico-diplomatico, serie NATO, il NATO Archives Online e i FRUS. È il bersaglio più direttamente pertinente a questa serie.</w:t>
      </w:r>
    </w:p>
    <w:p>
      <w:pPr>
        <w:spacing w:after="120" w:line="276"/>
        <w:jc w:val="both"/>
      </w:pPr>
      <w:r>
        <w:rPr>
          <w:rFonts w:ascii="Barlow Semi Condensed" w:cs="Barlow Semi Condensed" w:eastAsia="Barlow Semi Condensed" w:hAnsi="Barlow Semi Condensed"/>
          <w:b/>
          <w:bCs/>
          <w:sz w:val="24"/>
          <w:szCs w:val="24"/>
        </w:rPr>
        <w:t xml:space="preserve">4197 · La compresenza va verificata.</w:t>
      </w:r>
      <w:r>
        <w:rPr>
          <w:rFonts w:ascii="Barlow Semi Condensed" w:cs="Barlow Semi Condensed" w:eastAsia="Barlow Semi Condensed" w:hAnsi="Barlow Semi Condensed"/>
          <w:sz w:val="24"/>
          <w:szCs w:val="24"/>
        </w:rPr>
        <w:t xml:space="preserve"> Bersaglio derivato e finora non scritto: accertare, sui verbali del Consiglio atlantico a livello ministeriale conservati dal NATO Archives Online, se e in quali sessioni fra il dicembre 1973 e il novembre 1974 il ministro italiano e il segretario di Stato americano sedessero allo stesso tavolo. La compresenza, se documentata, resta comunanza di ambiente: non prova un colloquio, e tantomeno un contenuto.</w:t>
      </w:r>
    </w:p>
    <w:p>
      <w:pPr>
        <w:spacing w:after="120" w:line="276"/>
        <w:jc w:val="both"/>
      </w:pPr>
      <w:r>
        <w:rPr>
          <w:rFonts w:ascii="Barlow Semi Condensed" w:cs="Barlow Semi Condensed" w:eastAsia="Barlow Semi Condensed" w:hAnsi="Barlow Semi Condensed"/>
          <w:b/>
          <w:bCs/>
          <w:sz w:val="24"/>
          <w:szCs w:val="24"/>
        </w:rPr>
        <w:t xml:space="preserve">4198 · L'appartenenza atlantica non basta.</w:t>
      </w:r>
      <w:r>
        <w:rPr>
          <w:rFonts w:ascii="Barlow Semi Condensed" w:cs="Barlow Semi Condensed" w:eastAsia="Barlow Semi Condensed" w:hAnsi="Barlow Semi Condensed"/>
          <w:sz w:val="24"/>
          <w:szCs w:val="24"/>
        </w:rPr>
        <w:t xml:space="preserve"> Una regola è enunciata con parole proprie dalla ricognizione turca: si eviti di trattare la comune appartenenza atlantica come prova di una convergenza attiva, essa è al più comunanza di ambiente istituzionale. La regola replica quella generale del corpus sull'appartenenza a un'organizzazione, e va applicata anche quando l'organizzazione è un'alleanza militare e non un ente confessionale o una loggia disciolta.</w:t>
      </w:r>
    </w:p>
    <w:p>
      <w:pPr>
        <w:spacing w:after="120" w:line="276"/>
        <w:jc w:val="both"/>
      </w:pPr>
      <w:r>
        <w:rPr>
          <w:rFonts w:ascii="Barlow Semi Condensed" w:cs="Barlow Semi Condensed" w:eastAsia="Barlow Semi Condensed" w:hAnsi="Barlow Semi Condensed"/>
          <w:b/>
          <w:bCs/>
          <w:sz w:val="24"/>
          <w:szCs w:val="24"/>
        </w:rPr>
        <w:t xml:space="preserve">4199 · L'embargo del 1975 e il silenzio.</w:t>
      </w:r>
      <w:r>
        <w:rPr>
          <w:rFonts w:ascii="Barlow Semi Condensed" w:cs="Barlow Semi Condensed" w:eastAsia="Barlow Semi Condensed" w:hAnsi="Barlow Semi Condensed"/>
          <w:sz w:val="24"/>
          <w:szCs w:val="24"/>
        </w:rPr>
        <w:t xml:space="preserve"> Sull'embargo statunitense alle forniture militari ad Ankara, deliberato nel dicembre 1974 ed entrato in vigore il 5 febbraio 1975, la ricognizione turca dichiara di non aver trovato dichiarazioni del governo italiano né atti della Farnesina. Sedi di chiusura: l'Archivio Storico Diplomatico per la corrispondenza con la rappresentanza atlantica e la documentazione del comando alleato. L'interesse oggettivo italiano si inferisce; l'inferenza non è accertamento.</w:t>
      </w:r>
    </w:p>
    <w:p>
      <w:pPr>
        <w:spacing w:after="120" w:line="276"/>
        <w:jc w:val="both"/>
      </w:pPr>
      <w:r>
        <w:rPr>
          <w:rFonts w:ascii="Barlow Semi Condensed" w:cs="Barlow Semi Condensed" w:eastAsia="Barlow Semi Condensed" w:hAnsi="Barlow Semi Condensed"/>
          <w:b/>
          <w:bCs/>
          <w:sz w:val="24"/>
          <w:szCs w:val="24"/>
        </w:rPr>
        <w:t xml:space="preserve">4200 · Il ventre della NATO come cornice.</w:t>
      </w:r>
      <w:r>
        <w:rPr>
          <w:rFonts w:ascii="Barlow Semi Condensed" w:cs="Barlow Semi Condensed" w:eastAsia="Barlow Semi Condensed" w:hAnsi="Barlow Semi Condensed"/>
          <w:sz w:val="24"/>
          <w:szCs w:val="24"/>
        </w:rPr>
        <w:t xml:space="preserve"> La contestualizzazione dell'Italia come ventre dell'Alleanza e la percezione americana del suo valore strategico crescente nel 1974 — con Grecia, Portogallo e Spagna in crisi simultanea — poggia, nella cartella, su fonte pubblicistica militante e va usata come cornice, mai come prova. È l'esatto contrario di un ponte: una suggestione ambientale che, promossa a nesso, produrrebbe terzo piano travestito da primo.</w:t>
      </w:r>
    </w:p>
    <w:p>
      <w:pPr>
        <w:spacing w:after="120" w:line="276"/>
        <w:jc w:val="both"/>
      </w:pPr>
      <w:r>
        <w:rPr>
          <w:rFonts w:ascii="Barlow Semi Condensed" w:cs="Barlow Semi Condensed" w:eastAsia="Barlow Semi Condensed" w:hAnsi="Barlow Semi Condensed"/>
          <w:b/>
          <w:bCs/>
          <w:sz w:val="24"/>
          <w:szCs w:val="24"/>
        </w:rPr>
        <w:t xml:space="preserve">4201 · Strasburgo, dicembre 1969.</w:t>
      </w:r>
      <w:r>
        <w:rPr>
          <w:rFonts w:ascii="Barlow Semi Condensed" w:cs="Barlow Semi Condensed" w:eastAsia="Barlow Semi Condensed" w:hAnsi="Barlow Semi Condensed"/>
          <w:sz w:val="24"/>
          <w:szCs w:val="24"/>
        </w:rPr>
        <w:t xml:space="preserve"> Al capitolo II della ricognizione greca sono accertate la Risoluzione (69) 51 del Comitato dei Ministri del Consiglio d'Europa e la notifica greca di ritiro del 12 dicembre 1969, con la seduta presieduta da Moro; il volume XXIX dei FRUS, documento 264, lo attesta dal lato americano. Il nome studiato non compare in quel documento: Stato Zero, chiudibile sul volume XXIX e sulle carte NSC per la Grecia.</w:t>
      </w:r>
    </w:p>
    <w:p>
      <w:pPr>
        <w:spacing w:after="120" w:line="276"/>
        <w:jc w:val="both"/>
      </w:pPr>
      <w:r>
        <w:rPr>
          <w:rFonts w:ascii="Barlow Semi Condensed" w:cs="Barlow Semi Condensed" w:eastAsia="Barlow Semi Condensed" w:hAnsi="Barlow Semi Condensed"/>
          <w:b/>
          <w:bCs/>
          <w:sz w:val="24"/>
          <w:szCs w:val="24"/>
        </w:rPr>
        <w:t xml:space="preserve">4202 · Una formula pubblicistica da correggere.</w:t>
      </w:r>
      <w:r>
        <w:rPr>
          <w:rFonts w:ascii="Barlow Semi Condensed" w:cs="Barlow Semi Condensed" w:eastAsia="Barlow Semi Condensed" w:hAnsi="Barlow Semi Condensed"/>
          <w:sz w:val="24"/>
          <w:szCs w:val="24"/>
        </w:rPr>
        <w:t xml:space="preserve"> «Espulsione della Grecia decretata da Moro» è formula pubblicistica che la fonte primaria corregge: Atene si ritirò per prevenire il voto, con effetto differito al 31 dicembre 1970, e l'iniziativa della risoluzione era tedesca. La ricognizione lo scrive. La lezione vale per ogni personalizzazione di atti collegiali, compresa quella che attribuisce a un singolo segretario di Stato decisioni prese da apparati multipli.</w:t>
      </w:r>
    </w:p>
    <w:p>
      <w:pPr>
        <w:spacing w:after="120" w:line="276"/>
        <w:jc w:val="both"/>
      </w:pPr>
      <w:r>
        <w:rPr>
          <w:rFonts w:ascii="Barlow Semi Condensed" w:cs="Barlow Semi Condensed" w:eastAsia="Barlow Semi Condensed" w:hAnsi="Barlow Semi Condensed"/>
          <w:b/>
          <w:bCs/>
          <w:sz w:val="24"/>
          <w:szCs w:val="24"/>
        </w:rPr>
        <w:t xml:space="preserve">4203 · La tesi del dodici dicembre.</w:t>
      </w:r>
      <w:r>
        <w:rPr>
          <w:rFonts w:ascii="Barlow Semi Condensed" w:cs="Barlow Semi Condensed" w:eastAsia="Barlow Semi Condensed" w:hAnsi="Barlow Semi Condensed"/>
          <w:sz w:val="24"/>
          <w:szCs w:val="24"/>
        </w:rPr>
        <w:t xml:space="preserve"> La tesi di Deliolanes su una rappresaglia greca — la data del 12 dicembre 1969 scelta per piazza Fontana e per attentati a Cipro — è registrata dalla ricognizione come ipotesi circolante di taglio giornalistico-documentario, non come fatto accertato. Appartiene alla storiografia sulla strategia della tensione. Nessuna carta del territorio la collega ad apparati americani, e il collegamento non va costruito per prossimità di calendario.</w:t>
      </w:r>
    </w:p>
    <w:p>
      <w:pPr>
        <w:spacing w:after="120" w:line="276"/>
        <w:jc w:val="both"/>
      </w:pPr>
      <w:r>
        <w:rPr>
          <w:rFonts w:ascii="Barlow Semi Condensed" w:cs="Barlow Semi Condensed" w:eastAsia="Barlow Semi Condensed" w:hAnsi="Barlow Semi Condensed"/>
          <w:b/>
          <w:bCs/>
          <w:sz w:val="24"/>
          <w:szCs w:val="24"/>
        </w:rPr>
        <w:t xml:space="preserve">4204 · Cipro, luglio-novembre 1974.</w:t>
      </w:r>
      <w:r>
        <w:rPr>
          <w:rFonts w:ascii="Barlow Semi Condensed" w:cs="Barlow Semi Condensed" w:eastAsia="Barlow Semi Condensed" w:hAnsi="Barlow Semi Condensed"/>
          <w:sz w:val="24"/>
          <w:szCs w:val="24"/>
        </w:rPr>
        <w:t xml:space="preserve"> Esito negativo importante della ricognizione greca: nella documentazione reperita non compaiono dichiarazioni testuali di Moro su Cipro fra luglio e novembre 1974. Sedi di accertamento: i resoconti stenografici di Camera e Senato della sesta legislatura, non coperti dalla banca dati del sindacato ispettivo che parte dal 5 luglio 1976, e la serie Cipro dell'Archivio Storico Diplomatico. Lo spoglio è manuale e materialmente fattibile.</w:t>
      </w:r>
    </w:p>
    <w:p>
      <w:pPr>
        <w:spacing w:after="120" w:line="276"/>
        <w:jc w:val="both"/>
      </w:pPr>
      <w:r>
        <w:rPr>
          <w:rFonts w:ascii="Barlow Semi Condensed" w:cs="Barlow Semi Condensed" w:eastAsia="Barlow Semi Condensed" w:hAnsi="Barlow Semi Condensed"/>
          <w:b/>
          <w:bCs/>
          <w:sz w:val="24"/>
          <w:szCs w:val="24"/>
        </w:rPr>
        <w:t xml:space="preserve">4205 · Il memorandum sugli oppiacei turchi.</w:t>
      </w:r>
      <w:r>
        <w:rPr>
          <w:rFonts w:ascii="Barlow Semi Condensed" w:cs="Barlow Semi Condensed" w:eastAsia="Barlow Semi Condensed" w:hAnsi="Barlow Semi Condensed"/>
          <w:sz w:val="24"/>
          <w:szCs w:val="24"/>
        </w:rPr>
        <w:t xml:space="preserve"> Un secondo rapporto diretto documentato sta nel dossier degli oppiacei: il memorandum di Henry Kissinger al presidente Ford, documento 208 del volume XXX, che qualifica la revoca del divieto come materia da decisione presidenziale, ricorda l'oppio turco come principale fonte dell'eroina contrabbandata negli Stati Uniti e il declino della tossicodipendenza seguito al divieto del 1971. Moro non vi compare in alcuna riga.</w:t>
      </w:r>
    </w:p>
    <w:p>
      <w:pPr>
        <w:spacing w:after="120" w:line="276"/>
        <w:jc w:val="both"/>
      </w:pPr>
      <w:r>
        <w:rPr>
          <w:rFonts w:ascii="Barlow Semi Condensed" w:cs="Barlow Semi Condensed" w:eastAsia="Barlow Semi Condensed" w:hAnsi="Barlow Semi Condensed"/>
          <w:b/>
          <w:bCs/>
          <w:sz w:val="24"/>
          <w:szCs w:val="24"/>
        </w:rPr>
        <w:t xml:space="preserve">4206 · Il memorandum decisionale 267.</w:t>
      </w:r>
      <w:r>
        <w:rPr>
          <w:rFonts w:ascii="Barlow Semi Condensed" w:cs="Barlow Semi Condensed" w:eastAsia="Barlow Semi Condensed" w:hAnsi="Barlow Semi Condensed"/>
          <w:sz w:val="24"/>
          <w:szCs w:val="24"/>
        </w:rPr>
        <w:t xml:space="preserve"> Il National Security Decision Memorandum 267 del 23 agosto 1974 impartisce le istruzioni operative, fra cui l'avvio di discussioni con Ankara e con le agenzie delle Nazioni Unite. È strumento del Consiglio di sicurezza nazionale, non del Dipartimento, e compare due volte nella raccolta: documento 209 del volume XXX e documento 164 del volume E-3. La doppia edizione va collazionata prima di citarne il testo.</w:t>
      </w:r>
    </w:p>
    <w:p>
      <w:pPr>
        <w:spacing w:after="120" w:line="276"/>
        <w:jc w:val="both"/>
      </w:pPr>
      <w:r>
        <w:rPr>
          <w:rFonts w:ascii="Barlow Semi Condensed" w:cs="Barlow Semi Condensed" w:eastAsia="Barlow Semi Condensed" w:hAnsi="Barlow Semi Condensed"/>
          <w:b/>
          <w:bCs/>
          <w:sz w:val="24"/>
          <w:szCs w:val="24"/>
        </w:rPr>
        <w:t xml:space="preserve">4207 · Il paper del gruppo interdipartimentale (serie LV).</w:t>
      </w:r>
      <w:r>
        <w:rPr>
          <w:rFonts w:ascii="Barlow Semi Condensed" w:cs="Barlow Semi Condensed" w:eastAsia="Barlow Semi Condensed" w:hAnsi="Barlow Semi Condensed"/>
          <w:sz w:val="24"/>
          <w:szCs w:val="24"/>
        </w:rPr>
        <w:t xml:space="preserve"> Il paper del Gruppo interdipartimentale per l'Europa del Consiglio di sicurezza nazionale sulle opzioni di risposta è riprodotto al documento 206. Insieme al 208 e al 209 disegna una sequenza istituzionale completa: analisi d'apparato, memorandum al presidente, decisione formale. È l'unico luogo del territorio dove la macchina del Consiglio è visibile per intero, e nessuno dei tre atti nomina l'Italia.</w:t>
      </w:r>
    </w:p>
    <w:p>
      <w:pPr>
        <w:spacing w:after="120" w:line="276"/>
        <w:jc w:val="both"/>
      </w:pPr>
      <w:r>
        <w:rPr>
          <w:rFonts w:ascii="Barlow Semi Condensed" w:cs="Barlow Semi Condensed" w:eastAsia="Barlow Semi Condensed" w:hAnsi="Barlow Semi Condensed"/>
          <w:b/>
          <w:bCs/>
          <w:sz w:val="24"/>
          <w:szCs w:val="24"/>
        </w:rPr>
        <w:t xml:space="preserve">4208 · La catena telegrafica da Ankara.</w:t>
      </w:r>
      <w:r>
        <w:rPr>
          <w:rFonts w:ascii="Barlow Semi Condensed" w:cs="Barlow Semi Condensed" w:eastAsia="Barlow Semi Condensed" w:hAnsi="Barlow Semi Condensed"/>
          <w:sz w:val="24"/>
          <w:szCs w:val="24"/>
        </w:rPr>
        <w:t xml:space="preserve"> Due telegrammi reggono la catena: il 1310 del 21 febbraio 1974, documento 154 del volume E-3, in cui l'ambasciatore esprime a Ecevit la «strong USG hope» che il divieto non fosse revocato; e il 5213 del 2 luglio, documento 204 del volume XXX, sull'incontro notturno in cui la revoca fu confermata. Catena densa e datata: mostra che cosa il territorio produca quando l'archivio è aperto.</w:t>
      </w:r>
    </w:p>
    <w:p>
      <w:pPr>
        <w:spacing w:after="120" w:line="276"/>
        <w:jc w:val="both"/>
      </w:pPr>
      <w:r>
        <w:rPr>
          <w:rFonts w:ascii="Barlow Semi Condensed" w:cs="Barlow Semi Condensed" w:eastAsia="Barlow Semi Condensed" w:hAnsi="Barlow Semi Condensed"/>
          <w:b/>
          <w:bCs/>
          <w:sz w:val="24"/>
          <w:szCs w:val="24"/>
        </w:rPr>
        <w:t xml:space="preserve">4209 · L'Italia assente dal dossier turco.</w:t>
      </w:r>
      <w:r>
        <w:rPr>
          <w:rFonts w:ascii="Barlow Semi Condensed" w:cs="Barlow Semi Condensed" w:eastAsia="Barlow Semi Condensed" w:hAnsi="Barlow Semi Condensed"/>
          <w:sz w:val="24"/>
          <w:szCs w:val="24"/>
        </w:rPr>
        <w:t xml:space="preserve"> Su tutta la sequenza degli oppiacei — il decreto n. 7522, la French Connection, la reazione di Washington — non compare alcun atto italiano. La ricognizione turca lo dichiara: riferimenti diretti a colloqui di Moro sulla questione non sono emersi nella documentazione FRUS reperita. Sede di chiusura: la consultazione integrale dei volumi pertinenti del ciclo 1969-1976, inclusi quelli anteriori per il 1969-1972, e l'indice per nome.</w:t>
      </w:r>
    </w:p>
    <w:p>
      <w:pPr>
        <w:spacing w:after="120" w:line="276"/>
        <w:jc w:val="both"/>
      </w:pPr>
      <w:r>
        <w:rPr>
          <w:rFonts w:ascii="Barlow Semi Condensed" w:cs="Barlow Semi Condensed" w:eastAsia="Barlow Semi Condensed" w:hAnsi="Barlow Semi Condensed"/>
          <w:b/>
          <w:bCs/>
          <w:sz w:val="24"/>
          <w:szCs w:val="24"/>
        </w:rPr>
        <w:t xml:space="preserve">4210 · Che cosa alzerebbe il piano.</w:t>
      </w:r>
      <w:r>
        <w:rPr>
          <w:rFonts w:ascii="Barlow Semi Condensed" w:cs="Barlow Semi Condensed" w:eastAsia="Barlow Semi Condensed" w:hAnsi="Barlow Semi Condensed"/>
          <w:sz w:val="24"/>
          <w:szCs w:val="24"/>
        </w:rPr>
        <w:t xml:space="preserve"> Il dossier degli oppiacei salirebbe al primo piano rispetto all'Italia solo se emergesse un documento che nomini insieme la Farnesina e l'apparato americano: un appunto di gabinetto sulla French Connection, una nota italiana trasmessa al Gruppo interdipartimentale, un telegramma da Roma citato nel volume XXX. Finché non emerge, la vicinanza dei due dossier resta analogia di materia, e come tale va scritta.</w:t>
      </w:r>
    </w:p>
    <w:p>
      <w:pPr>
        <w:spacing w:after="120" w:line="276"/>
        <w:jc w:val="both"/>
      </w:pPr>
      <w:r>
        <w:rPr>
          <w:rFonts w:ascii="Barlow Semi Condensed" w:cs="Barlow Semi Condensed" w:eastAsia="Barlow Semi Condensed" w:hAnsi="Barlow Semi Condensed"/>
          <w:b/>
          <w:bCs/>
          <w:sz w:val="24"/>
          <w:szCs w:val="24"/>
        </w:rPr>
        <w:t xml:space="preserve">4211 · La frase su Lisbona.</w:t>
      </w:r>
      <w:r>
        <w:rPr>
          <w:rFonts w:ascii="Barlow Semi Condensed" w:cs="Barlow Semi Condensed" w:eastAsia="Barlow Semi Condensed" w:hAnsi="Barlow Semi Condensed"/>
          <w:sz w:val="24"/>
          <w:szCs w:val="24"/>
        </w:rPr>
        <w:t xml:space="preserve"> Un timore espresso su un terzo Paese è documentato al documento 153 del volume E-15 parte 2, dove Kissinger paventava per Lisbona «not a Communist take-over, but a leftist neutralist regime remaining within NATO». Il documento attesta quel timore e nient'altro. Non attesta alcuna posizione verso l'Italia, e trasferirvela per somiglianza di problema sarebbe analogia: il risultato simile non prova l'antenato comune.</w:t>
      </w:r>
    </w:p>
    <w:p>
      <w:pPr>
        <w:spacing w:after="120" w:line="276"/>
        <w:jc w:val="both"/>
      </w:pPr>
      <w:r>
        <w:rPr>
          <w:rFonts w:ascii="Barlow Semi Condensed" w:cs="Barlow Semi Condensed" w:eastAsia="Barlow Semi Condensed" w:hAnsi="Barlow Semi Condensed"/>
          <w:b/>
          <w:bCs/>
          <w:sz w:val="24"/>
          <w:szCs w:val="24"/>
        </w:rPr>
        <w:t xml:space="preserve">4212 · Due documenti nello stesso volume.</w:t>
      </w:r>
      <w:r>
        <w:rPr>
          <w:rFonts w:ascii="Barlow Semi Condensed" w:cs="Barlow Semi Condensed" w:eastAsia="Barlow Semi Condensed" w:hAnsi="Barlow Semi Condensed"/>
          <w:sz w:val="24"/>
          <w:szCs w:val="24"/>
        </w:rPr>
        <w:t xml:space="preserve"> Il 153 e il 350 abitano lo stesso volume, la stessa parte, la stessa cura editoriale: sono omologhi per provenienza. Questa è l'unica parentela che il corpus può affermare fra il dossier portoghese e quello italiano del territorio. Bersaglio: verificare se il volume rechi note redazionali che li colleghino, e se l'apparato dell'Office of the Historian tratti i due casi come una linea sola.</w:t>
      </w:r>
    </w:p>
    <w:p>
      <w:pPr>
        <w:spacing w:after="120" w:line="276"/>
        <w:jc w:val="both"/>
      </w:pPr>
      <w:r>
        <w:rPr>
          <w:rFonts w:ascii="Barlow Semi Condensed" w:cs="Barlow Semi Condensed" w:eastAsia="Barlow Semi Condensed" w:hAnsi="Barlow Semi Condensed"/>
          <w:b/>
          <w:bCs/>
          <w:sz w:val="24"/>
          <w:szCs w:val="24"/>
        </w:rPr>
        <w:t xml:space="preserve">4213 · Il Portogallo senza atti italiani.</w:t>
      </w:r>
      <w:r>
        <w:rPr>
          <w:rFonts w:ascii="Barlow Semi Condensed" w:cs="Barlow Semi Condensed" w:eastAsia="Barlow Semi Condensed" w:hAnsi="Barlow Semi Condensed"/>
          <w:sz w:val="24"/>
          <w:szCs w:val="24"/>
        </w:rPr>
        <w:t xml:space="preserve"> Non è stato reperito alcun documento diplomatico che colleghi Moro alla situazione portoghese pre-rivoluzionaria: così la ricognizione, che rinvia all'Archivio Storico Diplomatico, serie Portogallo 1969-1974, sede presso cui la ricerca resta interamente da condurre. Il timore americano è documentato, l'orientamento italiano no: due assenze asimmetriche che misurano l'apertura degli archivi, non l'intensità delle politiche che vi si cercano.</w:t>
      </w:r>
    </w:p>
    <w:p>
      <w:pPr>
        <w:spacing w:after="120" w:line="276"/>
        <w:jc w:val="both"/>
      </w:pPr>
      <w:r>
        <w:rPr>
          <w:rFonts w:ascii="Barlow Semi Condensed" w:cs="Barlow Semi Condensed" w:eastAsia="Barlow Semi Condensed" w:hAnsi="Barlow Semi Condensed"/>
          <w:b/>
          <w:bCs/>
          <w:sz w:val="24"/>
          <w:szCs w:val="24"/>
        </w:rPr>
        <w:t xml:space="preserve">4214 · Il telegramma del 2 agosto 1975 (serie LV).</w:t>
      </w:r>
      <w:r>
        <w:rPr>
          <w:rFonts w:ascii="Barlow Semi Condensed" w:cs="Barlow Semi Condensed" w:eastAsia="Barlow Semi Condensed" w:hAnsi="Barlow Semi Condensed"/>
          <w:sz w:val="24"/>
          <w:szCs w:val="24"/>
        </w:rPr>
        <w:t xml:space="preserve"> Compare nel volume XXXIX, documento 334, un telegramma di Kissinger del 2 agosto 1975 che conferma la firma dell'Atto finale da parte di trentacinque capi di Stato o di governo e descrive la cerimonia, registrando la dichiarazione interpretativa cipriota contro la riserva turca. È un resoconto e attesta la cerimonia: non attesta scambi bilaterali con la delegazione italiana né con chi la guidava.</w:t>
      </w:r>
    </w:p>
    <w:p>
      <w:pPr>
        <w:spacing w:after="120" w:line="276"/>
        <w:jc w:val="both"/>
      </w:pPr>
      <w:r>
        <w:rPr>
          <w:rFonts w:ascii="Barlow Semi Condensed" w:cs="Barlow Semi Condensed" w:eastAsia="Barlow Semi Condensed" w:hAnsi="Barlow Semi Condensed"/>
          <w:b/>
          <w:bCs/>
          <w:sz w:val="24"/>
          <w:szCs w:val="24"/>
        </w:rPr>
        <w:t xml:space="preserve">4215 · Un'insofferenza riferita da un articolo.</w:t>
      </w:r>
      <w:r>
        <w:rPr>
          <w:rFonts w:ascii="Barlow Semi Condensed" w:cs="Barlow Semi Condensed" w:eastAsia="Barlow Semi Condensed" w:hAnsi="Barlow Semi Condensed"/>
          <w:sz w:val="24"/>
          <w:szCs w:val="24"/>
        </w:rPr>
        <w:t xml:space="preserve"> Su fonte giornalistica si riporta che Moro ottenne il coinvolgimento formale della Comunità nella firma «sfidando l'insofferenza di Kissinger». È affermazione di terzo piano: nessun documento citato la sostiene, e la fonte è un articolo, non una carta d'archivio. Va riportata con la sua provenienza e mai usata come premessa di altro. Salirebbe di piano solo con un verbale coevo che la registri.</w:t>
      </w:r>
    </w:p>
    <w:p>
      <w:pPr>
        <w:spacing w:after="120" w:line="276"/>
        <w:jc w:val="both"/>
      </w:pPr>
      <w:r>
        <w:rPr>
          <w:rFonts w:ascii="Barlow Semi Condensed" w:cs="Barlow Semi Condensed" w:eastAsia="Barlow Semi Condensed" w:hAnsi="Barlow Semi Condensed"/>
          <w:b/>
          <w:bCs/>
          <w:sz w:val="24"/>
          <w:szCs w:val="24"/>
        </w:rPr>
        <w:t xml:space="preserve">4216 · Helsinki cade fuori dai mandati.</w:t>
      </w:r>
      <w:r>
        <w:rPr>
          <w:rFonts w:ascii="Barlow Semi Condensed" w:cs="Barlow Semi Condensed" w:eastAsia="Barlow Semi Condensed" w:hAnsi="Barlow Semi Condensed"/>
          <w:sz w:val="24"/>
          <w:szCs w:val="24"/>
        </w:rPr>
        <w:t xml:space="preserve"> Il 1° agosto 1975 Moro non era ministro degli Esteri ma presidente del Consiglio e presidente di turno della Comunità: la ricognizione lo precisa e la triangolazione della seconda campagna lo ribadisce. Ogni lettura che collochi l'episodio dentro la Farnesina di Moro sbaglia la finestra. La disciplina cronologica qui non è pedanteria: separa due qualità istituzionali diverse dello stesso uomo.</w:t>
      </w:r>
    </w:p>
    <w:p>
      <w:pPr>
        <w:spacing w:after="120" w:line="276"/>
        <w:jc w:val="both"/>
      </w:pPr>
      <w:r>
        <w:rPr>
          <w:rFonts w:ascii="Barlow Semi Condensed" w:cs="Barlow Semi Condensed" w:eastAsia="Barlow Semi Condensed" w:hAnsi="Barlow Semi Condensed"/>
          <w:b/>
          <w:bCs/>
          <w:sz w:val="24"/>
          <w:szCs w:val="24"/>
        </w:rPr>
        <w:t xml:space="preserve">4217 · Le tre firme e chi manca.</w:t>
      </w:r>
      <w:r>
        <w:rPr>
          <w:rFonts w:ascii="Barlow Semi Condensed" w:cs="Barlow Semi Condensed" w:eastAsia="Barlow Semi Condensed" w:hAnsi="Barlow Semi Condensed"/>
          <w:sz w:val="24"/>
          <w:szCs w:val="24"/>
        </w:rPr>
        <w:t xml:space="preserve"> La cartella dichiara che la firma dell'Atto finale è l'unica triangolazione certa fra i suoi oggetti: Italia, Santa Sede e Turchia sullo stesso documento. Il nome studiato non fa parte di quella triangolazione e non va inserito per il fatto di aver firmato per gli Stati Uniti il medesimo atto. Trentacinque firme sullo stesso foglio non sono trentacinque rapporti bilaterali documentati.</w:t>
      </w:r>
    </w:p>
    <w:p>
      <w:pPr>
        <w:spacing w:after="120" w:line="276"/>
        <w:jc w:val="both"/>
      </w:pPr>
      <w:r>
        <w:rPr>
          <w:rFonts w:ascii="Barlow Semi Condensed" w:cs="Barlow Semi Condensed" w:eastAsia="Barlow Semi Condensed" w:hAnsi="Barlow Semi Condensed"/>
          <w:b/>
          <w:bCs/>
          <w:sz w:val="24"/>
          <w:szCs w:val="24"/>
        </w:rPr>
        <w:t xml:space="preserve">4218 · Bersaglio di smentita su Helsinki.</w:t>
      </w:r>
      <w:r>
        <w:rPr>
          <w:rFonts w:ascii="Barlow Semi Condensed" w:cs="Barlow Semi Condensed" w:eastAsia="Barlow Semi Condensed" w:hAnsi="Barlow Semi Condensed"/>
          <w:sz w:val="24"/>
          <w:szCs w:val="24"/>
        </w:rPr>
        <w:t xml:space="preserve"> Che cosa falsificherebbe la versione giornalistica dell'insofferenza: un memorandum of conversation del 30 luglio-1° agosto 1975 che registri l'opposizione americana alla firma comunitaria la porterebbe al primo piano; un verbale che mostri la questione trattata senza attrito la farebbe cadere. Sedi: Ford Library, serie dei Memoranda of Conversation, e volume XXXIX del ciclo. L'esito, quale che sia, è acquisizione di pieno valore.</w:t>
      </w:r>
    </w:p>
    <w:p>
      <w:pPr>
        <w:spacing w:after="120" w:line="276"/>
        <w:jc w:val="both"/>
      </w:pPr>
      <w:r>
        <w:rPr>
          <w:rFonts w:ascii="Barlow Semi Condensed" w:cs="Barlow Semi Condensed" w:eastAsia="Barlow Semi Condensed" w:hAnsi="Barlow Semi Condensed"/>
          <w:b/>
          <w:bCs/>
          <w:sz w:val="24"/>
          <w:szCs w:val="24"/>
        </w:rPr>
        <w:t xml:space="preserve">4219 · L'audizione del 2 dicembre 2014.</w:t>
      </w:r>
      <w:r>
        <w:rPr>
          <w:rFonts w:ascii="Barlow Semi Condensed" w:cs="Barlow Semi Condensed" w:eastAsia="Barlow Semi Condensed" w:hAnsi="Barlow Semi Condensed"/>
          <w:sz w:val="24"/>
          <w:szCs w:val="24"/>
        </w:rPr>
        <w:t xml:space="preserve"> Nell'audizione del 2 dicembre 2014 davanti alla Commissione parlamentare d'inchiesta sul caso Moro si ricordò che nel 1973 Moro rifiutò l'uso delle basi NATO per aiutare Israele, sostenendo che quella guerra esorbitava dall'area dell'Alleanza. La cartella lo qualifica espressamente: testimonianza resa in sede parlamentare, non accertamento. La qualificazione va ripetuta ogni volta che l'episodio è ripreso, anche quando la fonte è istituzionale.</w:t>
      </w:r>
    </w:p>
    <w:p>
      <w:pPr>
        <w:spacing w:after="120" w:line="276"/>
        <w:jc w:val="both"/>
      </w:pPr>
      <w:r>
        <w:rPr>
          <w:rFonts w:ascii="Barlow Semi Condensed" w:cs="Barlow Semi Condensed" w:eastAsia="Barlow Semi Condensed" w:hAnsi="Barlow Semi Condensed"/>
          <w:b/>
          <w:bCs/>
          <w:sz w:val="24"/>
          <w:szCs w:val="24"/>
        </w:rPr>
        <w:t xml:space="preserve">4220 · In carica dal 22 settembre 1973.</w:t>
      </w:r>
      <w:r>
        <w:rPr>
          <w:rFonts w:ascii="Barlow Semi Condensed" w:cs="Barlow Semi Condensed" w:eastAsia="Barlow Semi Condensed" w:hAnsi="Barlow Semi Condensed"/>
          <w:sz w:val="24"/>
          <w:szCs w:val="24"/>
        </w:rPr>
        <w:t xml:space="preserve"> La guerra del Kippur cade dentro il primo mese della titolarità del Dipartimento di Stato: incarico assunto il 22 settembre 1973, conflitto aperto in ottobre. La coincidenza è reale e priva di ponte: nessun documento del territorio nomina insieme il rifiuto italiano sulle basi e la controparte americana. Secondo piano, dichiarato come tale: due fatti nella stessa cornice, senza una carta che li tocchi insieme.</w:t>
      </w:r>
    </w:p>
    <w:p>
      <w:pPr>
        <w:spacing w:after="120" w:line="276"/>
        <w:jc w:val="both"/>
      </w:pPr>
      <w:r>
        <w:rPr>
          <w:rFonts w:ascii="Barlow Semi Condensed" w:cs="Barlow Semi Condensed" w:eastAsia="Barlow Semi Condensed" w:hAnsi="Barlow Semi Condensed"/>
          <w:b/>
          <w:bCs/>
          <w:sz w:val="24"/>
          <w:szCs w:val="24"/>
        </w:rPr>
        <w:t xml:space="preserve">4221 · Il sostegno alleato non conseguito.</w:t>
      </w:r>
      <w:r>
        <w:rPr>
          <w:rFonts w:ascii="Barlow Semi Condensed" w:cs="Barlow Semi Condensed" w:eastAsia="Barlow Semi Condensed" w:hAnsi="Barlow Semi Condensed"/>
          <w:sz w:val="24"/>
          <w:szCs w:val="24"/>
        </w:rPr>
        <w:t xml:space="preserve"> Uno sforzo americano di guadagnare il sostegno degli alleati europei, «largely unsuccessful», è documentato dal FRUS secondo il capitolo VIII della ricognizione-madre, che ne inferisce con prudenza la divergenza della linea mediterranea italiana. L'inferenza è dichiarata come tale, e il documento non nomina l'Italia. Bersaglio: individuare nel volume XXV i passaggi che nominino Roma, oppure verbalizzarne l'assenza con perimetro esatto.</w:t>
      </w:r>
    </w:p>
    <w:p>
      <w:pPr>
        <w:spacing w:after="120" w:line="276"/>
        <w:jc w:val="both"/>
      </w:pPr>
      <w:r>
        <w:rPr>
          <w:rFonts w:ascii="Barlow Semi Condensed" w:cs="Barlow Semi Condensed" w:eastAsia="Barlow Semi Condensed" w:hAnsi="Barlow Semi Condensed"/>
          <w:b/>
          <w:bCs/>
          <w:sz w:val="24"/>
          <w:szCs w:val="24"/>
        </w:rPr>
        <w:t xml:space="preserve">4222 · Riluttanze simili non provano regia.</w:t>
      </w:r>
      <w:r>
        <w:rPr>
          <w:rFonts w:ascii="Barlow Semi Condensed" w:cs="Barlow Semi Condensed" w:eastAsia="Barlow Semi Condensed" w:hAnsi="Barlow Semi Condensed"/>
          <w:sz w:val="24"/>
          <w:szCs w:val="24"/>
        </w:rPr>
        <w:t xml:space="preserve"> Molti alleati europei furono riluttanti nell'ottobre 1973, e la somiglianza degli esiti tenta verso un antenato comune: una pressione unica, una regia unica. Il test è uno solo, un documento di provenienza che nomini la controparte. In mancanza, riluttanze simili restano risposte indipendenti al medesimo ambiente — analogia, non omologia — e vanno scritte così anche quando l'ipotesi opposta è più interessante.</w:t>
      </w:r>
    </w:p>
    <w:p>
      <w:pPr>
        <w:spacing w:after="120" w:line="276"/>
        <w:jc w:val="both"/>
      </w:pPr>
      <w:r>
        <w:rPr>
          <w:rFonts w:ascii="Barlow Semi Condensed" w:cs="Barlow Semi Condensed" w:eastAsia="Barlow Semi Condensed" w:hAnsi="Barlow Semi Condensed"/>
          <w:b/>
          <w:bCs/>
          <w:sz w:val="24"/>
          <w:szCs w:val="24"/>
        </w:rPr>
        <w:t xml:space="preserve">4223 · Zero occorrenze nel lotto americano.</w:t>
      </w:r>
      <w:r>
        <w:rPr>
          <w:rFonts w:ascii="Barlow Semi Condensed" w:cs="Barlow Semi Condensed" w:eastAsia="Barlow Semi Condensed" w:hAnsi="Barlow Semi Condensed"/>
          <w:sz w:val="24"/>
          <w:szCs w:val="24"/>
        </w:rPr>
        <w:t xml:space="preserve"> Verifica meccanica sul lotto desecretato del Dipartimento di Stato: zero occorrenze del nome tanto nella nota ordinata documenti-state-dept-1965-1978 quanto nell'originale state-dept-djvu-ocr-grezzo, la cui impronta è registrata nel manifest-sha256. Stato Zero misurato con perimetro esatto: due strati, il 1965 e il 1978, e nessuna riga. La ricerca a vuoto è essa stessa un atto, come prescrive il blocco 285 dell'agenda.</w:t>
      </w:r>
    </w:p>
    <w:p>
      <w:pPr>
        <w:spacing w:after="120" w:line="276"/>
        <w:jc w:val="both"/>
      </w:pPr>
      <w:r>
        <w:rPr>
          <w:rFonts w:ascii="Barlow Semi Condensed" w:cs="Barlow Semi Condensed" w:eastAsia="Barlow Semi Condensed" w:hAnsi="Barlow Semi Condensed"/>
          <w:b/>
          <w:bCs/>
          <w:sz w:val="24"/>
          <w:szCs w:val="24"/>
        </w:rPr>
        <w:t xml:space="preserve">4224 · Nel 1965 c'era Rusk.</w:t>
      </w:r>
      <w:r>
        <w:rPr>
          <w:rFonts w:ascii="Barlow Semi Condensed" w:cs="Barlow Semi Condensed" w:eastAsia="Barlow Semi Condensed" w:hAnsi="Barlow Semi Condensed"/>
          <w:sz w:val="24"/>
          <w:szCs w:val="24"/>
        </w:rPr>
        <w:t xml:space="preserve"> Lo strato del 1965 nomina Dean Rusk al Dipartimento di Stato, Henry Fowler al Tesoro, Robert McNamara alla Difesa, il generale Harold Johnson, il capo del cerimoniale Lloyd Hand, l'ambasciatore Reinhardt e il promemoria di sicurezza a J. Edgar Hoover firmato da G. Marvin Gentile. Il nome studiato non poteva comparirvi: l'incarico al Consiglio comincia il 20 gennaio 1969. Lo Stato Zero è cronologicamente necessario.</w:t>
      </w:r>
    </w:p>
    <w:p>
      <w:pPr>
        <w:spacing w:after="120" w:line="276"/>
        <w:jc w:val="both"/>
      </w:pPr>
      <w:r>
        <w:rPr>
          <w:rFonts w:ascii="Barlow Semi Condensed" w:cs="Barlow Semi Condensed" w:eastAsia="Barlow Semi Condensed" w:hAnsi="Barlow Semi Condensed"/>
          <w:b/>
          <w:bCs/>
          <w:sz w:val="24"/>
          <w:szCs w:val="24"/>
        </w:rPr>
        <w:t xml:space="preserve">4225 · Guerzoni prima della testimonianza.</w:t>
      </w:r>
      <w:r>
        <w:rPr>
          <w:rFonts w:ascii="Barlow Semi Condensed" w:cs="Barlow Semi Condensed" w:eastAsia="Barlow Semi Condensed" w:hAnsi="Barlow Semi Condensed"/>
          <w:sz w:val="24"/>
          <w:szCs w:val="24"/>
        </w:rPr>
        <w:t xml:space="preserve"> Nel programma della visita del 19-23 aprile 1965 Corrado Guerzoni figura come capo dell'Ufficio Stampa del Presidente del Consiglio, membro della delegazione italiana. È l'unica occorrenza di quel nome nel territorio, e non ha nulla a che vedere con la testimonianza contestata resa alla Corte d'assise di Roma nel novembre 1982. Retro-proiettare il teste sul funzionario del 1965 sarebbe errore di lettura, e va evitato.</w:t>
      </w:r>
    </w:p>
    <w:p>
      <w:pPr>
        <w:spacing w:after="120" w:line="276"/>
        <w:jc w:val="both"/>
      </w:pPr>
      <w:r>
        <w:rPr>
          <w:rFonts w:ascii="Barlow Semi Condensed" w:cs="Barlow Semi Condensed" w:eastAsia="Barlow Semi Condensed" w:hAnsi="Barlow Semi Condensed"/>
          <w:b/>
          <w:bCs/>
          <w:sz w:val="24"/>
          <w:szCs w:val="24"/>
        </w:rPr>
        <w:t xml:space="preserve">4226 · Il destinatario innominato dei cablogrammi.</w:t>
      </w:r>
      <w:r>
        <w:rPr>
          <w:rFonts w:ascii="Barlow Semi Condensed" w:cs="Barlow Semi Condensed" w:eastAsia="Barlow Semi Condensed" w:hAnsi="Barlow Semi Condensed"/>
          <w:sz w:val="24"/>
          <w:szCs w:val="24"/>
        </w:rPr>
        <w:t xml:space="preserve"> I cablogrammi dell'aprile-maggio 1978 — Buenos Aires 2881, Trieste 9223, Palermo 9487 — sono diretti a SECSTATE Washington, cioè a un ufficio e non a una persona nominata. Nella cartella non compaiono né Cyrus Vance né Zbigniew Brzezinski: la verifica testuale dà zero occorrenze per entrambi. Il titolare del Dipartimento nei cinquantacinque giorni resta, in questo territorio, una casella istituzionale vuota di nome.</w:t>
      </w:r>
    </w:p>
    <w:p>
      <w:pPr>
        <w:spacing w:after="120" w:line="276"/>
        <w:jc w:val="both"/>
      </w:pPr>
      <w:r>
        <w:rPr>
          <w:rFonts w:ascii="Barlow Semi Condensed" w:cs="Barlow Semi Condensed" w:eastAsia="Barlow Semi Condensed" w:hAnsi="Barlow Semi Condensed"/>
          <w:b/>
          <w:bCs/>
          <w:sz w:val="24"/>
          <w:szCs w:val="24"/>
        </w:rPr>
        <w:t xml:space="preserve">4227 · Fuori carica dal gennaio 1977.</w:t>
      </w:r>
      <w:r>
        <w:rPr>
          <w:rFonts w:ascii="Barlow Semi Condensed" w:cs="Barlow Semi Condensed" w:eastAsia="Barlow Semi Condensed" w:hAnsi="Barlow Semi Condensed"/>
          <w:sz w:val="24"/>
          <w:szCs w:val="24"/>
        </w:rPr>
        <w:t xml:space="preserve"> Accertamento che vale come sbarramento preventivo: l'incarico di segretario di Stato si chiuse il 20 gennaio 1977, quello al Consiglio il 3 novembre 1975. Nei cinquantacinque giorni del 1978 il nome studiato non ricopriva alcun ufficio americano. Nessun documento ufficiale di quel periodo può dunque recarne la firma d'ufficio, e la pista PE-5 va progettata sapendolo, non scoprendolo a spoglio già avviato.</w:t>
      </w:r>
    </w:p>
    <w:p>
      <w:pPr>
        <w:spacing w:after="120" w:line="276"/>
        <w:jc w:val="both"/>
      </w:pPr>
      <w:r>
        <w:rPr>
          <w:rFonts w:ascii="Barlow Semi Condensed" w:cs="Barlow Semi Condensed" w:eastAsia="Barlow Semi Condensed" w:hAnsi="Barlow Semi Condensed"/>
          <w:b/>
          <w:bCs/>
          <w:sz w:val="24"/>
          <w:szCs w:val="24"/>
        </w:rPr>
        <w:t xml:space="preserve">4228 · La smentita dei Montoneros.</w:t>
      </w:r>
      <w:r>
        <w:rPr>
          <w:rFonts w:ascii="Barlow Semi Condensed" w:cs="Barlow Semi Condensed" w:eastAsia="Barlow Semi Condensed" w:hAnsi="Barlow Semi Condensed"/>
          <w:sz w:val="24"/>
          <w:szCs w:val="24"/>
        </w:rPr>
        <w:t xml:space="preserve"> Con il cablogramma Buenos Aires 2881 del 17 aprile 1978 fu trasmesso il documento in cui il Partito Montonero nega ogni connessione col sequestro e con le Brigate Rosse, denunciando una campagna diffamatoria. La nota della cartella lo qualifica: smentita di terzi, misura del clima internazionale, non fonte sui responsabili. Nessun principale americano vi è nominato, e nessuna catena di comando vi si può leggere.</w:t>
      </w:r>
    </w:p>
    <w:p>
      <w:pPr>
        <w:spacing w:after="120" w:line="276"/>
        <w:jc w:val="both"/>
      </w:pPr>
      <w:r>
        <w:rPr>
          <w:rFonts w:ascii="Barlow Semi Condensed" w:cs="Barlow Semi Condensed" w:eastAsia="Barlow Semi Condensed" w:hAnsi="Barlow Semi Condensed"/>
          <w:b/>
          <w:bCs/>
          <w:sz w:val="24"/>
          <w:szCs w:val="24"/>
        </w:rPr>
        <w:t xml:space="preserve">4229 · Zero occorrenze nel programma investigativo.</w:t>
      </w:r>
      <w:r>
        <w:rPr>
          <w:rFonts w:ascii="Barlow Semi Condensed" w:cs="Barlow Semi Condensed" w:eastAsia="Barlow Semi Condensed" w:hAnsi="Barlow Semi Condensed"/>
          <w:sz w:val="24"/>
          <w:szCs w:val="24"/>
        </w:rPr>
        <w:t xml:space="preserve"> Il fascicolo aperto non nomina mai Henry Kissinger: né nelle dieci piste da P-1 a P-10, né nella graduatoria a punteggio PN-1…PN-8, né nelle sei piste su entità PE-1…PE-6, né nei cinque presidi del capitolo IV. Il documento che apre la stagione investigativa del corpus lo ignora integralmente. È l'acquisizione centrale di questa serie, e va detta senza attenuazioni.</w:t>
      </w:r>
    </w:p>
    <w:p>
      <w:pPr>
        <w:spacing w:after="120" w:line="276"/>
        <w:jc w:val="both"/>
      </w:pPr>
      <w:r>
        <w:rPr>
          <w:rFonts w:ascii="Barlow Semi Condensed" w:cs="Barlow Semi Condensed" w:eastAsia="Barlow Semi Condensed" w:hAnsi="Barlow Semi Condensed"/>
          <w:b/>
          <w:bCs/>
          <w:sz w:val="24"/>
          <w:szCs w:val="24"/>
        </w:rPr>
        <w:t xml:space="preserve">4230 · La pista PE-5 come cerniera.</w:t>
      </w:r>
      <w:r>
        <w:rPr>
          <w:rFonts w:ascii="Barlow Semi Condensed" w:cs="Barlow Semi Condensed" w:eastAsia="Barlow Semi Condensed" w:hAnsi="Barlow Semi Condensed"/>
          <w:sz w:val="24"/>
          <w:szCs w:val="24"/>
        </w:rPr>
        <w:t xml:space="preserve"> PE-5, «Gli alleati: il traffico di cablo marzo-maggio 1978», punteggio 59,5, è l'unico punto in cui i due documenti del territorio si toccano: rinvia espressamente ai cable già declassificati archiviati nella cartella Farnesina e prescrive richieste FOIA sistematiche con gli identificativi di serie già noti. È lì che il nome potrebbe entrare, ed è lì che, per ragioni di data, non può entrare.</w:t>
      </w:r>
    </w:p>
    <w:p>
      <w:pPr>
        <w:spacing w:after="120" w:line="276"/>
        <w:jc w:val="both"/>
      </w:pPr>
      <w:r>
        <w:rPr>
          <w:rFonts w:ascii="Barlow Semi Condensed" w:cs="Barlow Semi Condensed" w:eastAsia="Barlow Semi Condensed" w:hAnsi="Barlow Semi Condensed"/>
          <w:b/>
          <w:bCs/>
          <w:sz w:val="24"/>
          <w:szCs w:val="24"/>
        </w:rPr>
        <w:t xml:space="preserve">4231 · Il limite strutturale della FOIA.</w:t>
      </w:r>
      <w:r>
        <w:rPr>
          <w:rFonts w:ascii="Barlow Semi Condensed" w:cs="Barlow Semi Condensed" w:eastAsia="Barlow Semi Condensed" w:hAnsi="Barlow Semi Condensed"/>
          <w:sz w:val="24"/>
          <w:szCs w:val="24"/>
        </w:rPr>
        <w:t xml:space="preserve"> Una richiesta FOIA sul traffico Roma-Washington del 1978 restituirà, se accolta, carte firmate da altri; se respinta, restituirà un diniego motivato, che in quel regime è a sua volta un documento. In nessuno dei due esiti il nome studiato compare come autore d'atto. Vale la pena scriverlo nel quesito: chi cerca senza aver fissato la finestra temporale spende atti istruttori per un esito già noto.</w:t>
      </w:r>
    </w:p>
    <w:p>
      <w:pPr>
        <w:spacing w:after="120" w:line="276"/>
        <w:jc w:val="both"/>
      </w:pPr>
      <w:r>
        <w:rPr>
          <w:rFonts w:ascii="Barlow Semi Condensed" w:cs="Barlow Semi Condensed" w:eastAsia="Barlow Semi Condensed" w:hAnsi="Barlow Semi Condensed"/>
          <w:b/>
          <w:bCs/>
          <w:sz w:val="24"/>
          <w:szCs w:val="24"/>
        </w:rPr>
        <w:t xml:space="preserve">4232 · La Farnesina non versa all'Archivio centrale.</w:t>
      </w:r>
      <w:r>
        <w:rPr>
          <w:rFonts w:ascii="Barlow Semi Condensed" w:cs="Barlow Semi Condensed" w:eastAsia="Barlow Semi Condensed" w:hAnsi="Barlow Semi Condensed"/>
          <w:sz w:val="24"/>
          <w:szCs w:val="24"/>
        </w:rPr>
        <w:t xml:space="preserve"> Accerta il capitolo archivistico della ricognizione greca che l'Archivio Storico Diplomatico conserva la documentazione della Farnesina, la quale, a differenza delle altre amministrazioni, non versa all'Archivio Centrale dello Stato. Ne discende un limite duro per la pista P-5: le circa duemila buste della Direttiva Renzi non possono contenere la controparte italiana dei documenti americani. Il bersaglio si sposta interamente sulla Sala Studio della Farnesina.</w:t>
      </w:r>
    </w:p>
    <w:p>
      <w:pPr>
        <w:spacing w:after="120" w:line="276"/>
        <w:jc w:val="both"/>
      </w:pPr>
      <w:r>
        <w:rPr>
          <w:rFonts w:ascii="Barlow Semi Condensed" w:cs="Barlow Semi Condensed" w:eastAsia="Barlow Semi Condensed" w:hAnsi="Barlow Semi Condensed"/>
          <w:b/>
          <w:bCs/>
          <w:sz w:val="24"/>
          <w:szCs w:val="24"/>
        </w:rPr>
        <w:t xml:space="preserve">4233 · Il vaglio negativo applicato qui.</w:t>
      </w:r>
      <w:r>
        <w:rPr>
          <w:rFonts w:ascii="Barlow Semi Condensed" w:cs="Barlow Semi Condensed" w:eastAsia="Barlow Semi Condensed" w:hAnsi="Barlow Semi Condensed"/>
          <w:sz w:val="24"/>
          <w:szCs w:val="24"/>
        </w:rPr>
        <w:t xml:space="preserve"> Archivia motivatamente, il vaglio negativo P-10, le piste fondate su memorialistica di parte non corroborata e su dichiarazioni non riscontrate. La testimonianza contestata sull'avvertimento — riferita de relato, con data oscillante fra 1974, 1976 e 1977, sempre smentita dall'interessato — ricade in quella categoria e non fonda alcun atto istruttorio. Criterio di riapertura: documentale, e dichiarato pista per pista, come vuole il capitolo II.</w:t>
      </w:r>
    </w:p>
    <w:p>
      <w:pPr>
        <w:spacing w:after="120" w:line="276"/>
        <w:jc w:val="both"/>
      </w:pPr>
      <w:r>
        <w:rPr>
          <w:rFonts w:ascii="Barlow Semi Condensed" w:cs="Barlow Semi Condensed" w:eastAsia="Barlow Semi Condensed" w:hAnsi="Barlow Semi Condensed"/>
          <w:b/>
          <w:bCs/>
          <w:sz w:val="24"/>
          <w:szCs w:val="24"/>
        </w:rPr>
        <w:t xml:space="preserve">4234 · I cinque presidi del programma.</w:t>
      </w:r>
      <w:r>
        <w:rPr>
          <w:rFonts w:ascii="Barlow Semi Condensed" w:cs="Barlow Semi Condensed" w:eastAsia="Barlow Semi Condensed" w:hAnsi="Barlow Semi Condensed"/>
          <w:sz w:val="24"/>
          <w:szCs w:val="24"/>
        </w:rPr>
        <w:t xml:space="preserve"> Valgono integralmente per questa serie i presidi del capitolo IV: l'indagine produce atti e non colpevoli; le ipotesi restano in forma ACH; il registro del giudicato non cresce per suggestione; la priorità è dichiarata e falsificabile; il corpus non è tribunale parallelo. Nessuna pista qui scritta ha per esito atteso un nome: ha per esito una segnatura, una riga di firma, un verbale o un diniego.</w:t>
      </w:r>
    </w:p>
    <w:p>
      <w:pPr>
        <w:spacing w:after="120" w:line="276"/>
        <w:jc w:val="both"/>
      </w:pPr>
      <w:r>
        <w:rPr>
          <w:rFonts w:ascii="Barlow Semi Condensed" w:cs="Barlow Semi Condensed" w:eastAsia="Barlow Semi Condensed" w:hAnsi="Barlow Semi Condensed"/>
          <w:b/>
          <w:bCs/>
          <w:sz w:val="24"/>
          <w:szCs w:val="24"/>
        </w:rPr>
        <w:t xml:space="preserve">4235 · Una pista proposta col punteggio.</w:t>
      </w:r>
      <w:r>
        <w:rPr>
          <w:rFonts w:ascii="Barlow Semi Condensed" w:cs="Barlow Semi Condensed" w:eastAsia="Barlow Semi Condensed" w:hAnsi="Barlow Semi Condensed"/>
          <w:sz w:val="24"/>
          <w:szCs w:val="24"/>
        </w:rPr>
        <w:t xml:space="preserve"> Si propone, col modello dichiarato al capitolo III-bis, una pista sul riflesso italiano dei documenti americani 1969-1976: rendimento 4, diagnosticità 3, fattibilità 8, urgenza 2, indipendenza 10, per un punteggio di 48,5. Si colloca sotto PN-6 e ben sopra la soglia delle escluse. Il basso rendimento è dichiarato: la pista illumina la cornice atlantica, non sposta la linea del caso.</w:t>
      </w:r>
    </w:p>
    <w:p>
      <w:pPr>
        <w:spacing w:after="120" w:line="276"/>
        <w:jc w:val="both"/>
      </w:pPr>
      <w:r>
        <w:rPr>
          <w:rFonts w:ascii="Barlow Semi Condensed" w:cs="Barlow Semi Condensed" w:eastAsia="Barlow Semi Condensed" w:hAnsi="Barlow Semi Condensed"/>
          <w:b/>
          <w:bCs/>
          <w:sz w:val="24"/>
          <w:szCs w:val="24"/>
        </w:rPr>
        <w:t xml:space="preserve">4236 · L'asimmetria fra gli archivi.</w:t>
      </w:r>
      <w:r>
        <w:rPr>
          <w:rFonts w:ascii="Barlow Semi Condensed" w:cs="Barlow Semi Condensed" w:eastAsia="Barlow Semi Condensed" w:hAnsi="Barlow Semi Condensed"/>
          <w:sz w:val="24"/>
          <w:szCs w:val="24"/>
        </w:rPr>
        <w:t xml:space="preserve"> Il territorio produce un'asimmetria da verbalizzare: il versante americano del 1969-1975 è edito, indicizzato e consultabile — FRUS, Ford Library, National Archives —, mentre il versante italiano dello stesso quinquennio è teoricamente aperto per la barriera dei cinquant'anni e praticamente incerto per inventariazione e faldoni da concordare. Chi legge solo ciò che è aperto scriverà una storia americana di fatti italiani.</w:t>
      </w:r>
    </w:p>
    <w:p>
      <w:pPr>
        <w:spacing w:after="120" w:line="276"/>
        <w:jc w:val="both"/>
      </w:pPr>
      <w:r>
        <w:rPr>
          <w:rFonts w:ascii="Barlow Semi Condensed" w:cs="Barlow Semi Condensed" w:eastAsia="Barlow Semi Condensed" w:hAnsi="Barlow Semi Condensed"/>
          <w:b/>
          <w:bCs/>
          <w:sz w:val="24"/>
          <w:szCs w:val="24"/>
        </w:rPr>
        <w:t xml:space="preserve">4237 · Le date che definiscono la finestra.</w:t>
      </w:r>
      <w:r>
        <w:rPr>
          <w:rFonts w:ascii="Barlow Semi Condensed" w:cs="Barlow Semi Condensed" w:eastAsia="Barlow Semi Condensed" w:hAnsi="Barlow Semi Condensed"/>
          <w:sz w:val="24"/>
          <w:szCs w:val="24"/>
        </w:rPr>
        <w:t xml:space="preserve"> Sui mandati le fonti divergono, e la divergenza va riportata: il corpus adotta 5 agosto 1969 - 26 giugno 1972 e 7 luglio 1973 - 23 novembre 1974, mentre l'edizione digitale morotea curata a Bologna indica 6 agosto 1969 e 26 novembre 1974. Pochi giorni di scarto decidono se un atto cada nella Farnesina o nella presidenza del Consiglio, e vanno dichiarati prima di attribuirlo.</w:t>
      </w:r>
    </w:p>
    <w:p>
      <w:pPr>
        <w:spacing w:after="120" w:line="276"/>
        <w:jc w:val="both"/>
      </w:pPr>
      <w:r>
        <w:rPr>
          <w:rFonts w:ascii="Barlow Semi Condensed" w:cs="Barlow Semi Condensed" w:eastAsia="Barlow Semi Condensed" w:hAnsi="Barlow Semi Condensed"/>
          <w:b/>
          <w:bCs/>
          <w:sz w:val="24"/>
          <w:szCs w:val="24"/>
        </w:rPr>
        <w:t xml:space="preserve">4238 · L'anagrafe contesa e le divergenze.</w:t>
      </w:r>
      <w:r>
        <w:rPr>
          <w:rFonts w:ascii="Barlow Semi Condensed" w:cs="Barlow Semi Condensed" w:eastAsia="Barlow Semi Condensed" w:hAnsi="Barlow Semi Condensed"/>
          <w:sz w:val="24"/>
          <w:szCs w:val="24"/>
        </w:rPr>
        <w:t xml:space="preserve"> L'opera ha già fissato che la data dell'anglicizzazione da Heinz a Henry è contesa: 1938 nelle opere di consultazione, 1942-1943 nel fascicolo d'immigrazione. Il territorio non contiene anagrafe alcuna e non concorre a dirimerla. La si richiama per una sola ragione: la stessa disciplina che riporta le divergenze su una data personale le riporta sulle date del ritiro greco e su quelle dei mandati italiani.</w:t>
      </w:r>
    </w:p>
    <w:p>
      <w:pPr>
        <w:spacing w:after="120" w:line="276"/>
        <w:jc w:val="both"/>
      </w:pPr>
      <w:r>
        <w:rPr>
          <w:rFonts w:ascii="Barlow Semi Condensed" w:cs="Barlow Semi Condensed" w:eastAsia="Barlow Semi Condensed" w:hAnsi="Barlow Semi Condensed"/>
          <w:b/>
          <w:bCs/>
          <w:sz w:val="24"/>
          <w:szCs w:val="24"/>
        </w:rPr>
        <w:t xml:space="preserve">4239 · Il lancio d'agenzia del 2023.</w:t>
      </w:r>
      <w:r>
        <w:rPr>
          <w:rFonts w:ascii="Barlow Semi Condensed" w:cs="Barlow Semi Condensed" w:eastAsia="Barlow Semi Condensed" w:hAnsi="Barlow Semi Condensed"/>
          <w:sz w:val="24"/>
          <w:szCs w:val="24"/>
        </w:rPr>
        <w:t xml:space="preserve"> È già accertato che la moltiplicazione delle fonti sull'episodio dell'avvertimento è apparente e risale a un unico lancio d'agenzia del 30 novembre 2023, il giorno successivo alla morte. La cartella della Farnesina, chiusa nell'agosto 2026, non ne reca traccia: il suo silenzio non conferma né smentisce, ma misura che la replicazione mediatica non ha depositato nulla nel giacimento documentale del corpus.</w:t>
      </w:r>
    </w:p>
    <w:p>
      <w:pPr>
        <w:spacing w:after="120" w:line="276"/>
        <w:jc w:val="both"/>
      </w:pPr>
      <w:r>
        <w:rPr>
          <w:rFonts w:ascii="Barlow Semi Condensed" w:cs="Barlow Semi Condensed" w:eastAsia="Barlow Semi Condensed" w:hAnsi="Barlow Semi Condensed"/>
          <w:b/>
          <w:bCs/>
          <w:sz w:val="24"/>
          <w:szCs w:val="24"/>
        </w:rPr>
        <w:t xml:space="preserve">4240 · Criterio di chiusura della serie.</w:t>
      </w:r>
      <w:r>
        <w:rPr>
          <w:rFonts w:ascii="Barlow Semi Condensed" w:cs="Barlow Semi Condensed" w:eastAsia="Barlow Semi Condensed" w:hAnsi="Barlow Semi Condensed"/>
          <w:sz w:val="24"/>
          <w:szCs w:val="24"/>
        </w:rPr>
        <w:t xml:space="preserve"> La serie si chiude quando saranno compiuti quattro atti: la collazione della copia 1552802 col documento 350 nelle due edizioni; l'accertamento della riga di firma del documento 23 del volume XXX; lo spoglio della serie NATO dell'Archivio Storico Diplomatico e dei verbali ministeriali del NATO Archives Online; la verifica dell'esistenza di un appunto italiano sul colloquio del 25 settembre 1974. Prima di allora nulla si conclude.</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Serie cinquantaseiesima — Gli archivi: FRUS, Ford Library, NARA, ACS</w:t>
      </w:r>
    </w:p>
    <w:p>
      <w:pPr>
        <w:spacing w:after="120" w:line="276"/>
        <w:jc w:val="both"/>
      </w:pPr>
      <w:r>
        <w:rPr>
          <w:rFonts w:ascii="Barlow Semi Condensed" w:cs="Barlow Semi Condensed" w:eastAsia="Barlow Semi Condensed" w:hAnsi="Barlow Semi Condensed"/>
          <w:i/>
          <w:iCs/>
          <w:sz w:val="24"/>
          <w:szCs w:val="24"/>
        </w:rPr>
        <w:t xml:space="preserve">Blocchi 4241-4325.</w:t>
      </w:r>
    </w:p>
    <w:p>
      <w:pPr>
        <w:spacing w:after="120" w:line="276"/>
        <w:jc w:val="both"/>
      </w:pPr>
      <w:r>
        <w:rPr>
          <w:rFonts w:ascii="Barlow Semi Condensed" w:cs="Barlow Semi Condensed" w:eastAsia="Barlow Semi Condensed" w:hAnsi="Barlow Semi Condensed"/>
          <w:b/>
          <w:bCs/>
          <w:sz w:val="24"/>
          <w:szCs w:val="24"/>
        </w:rPr>
        <w:t xml:space="preserve">4241 · Lo zero misurato sul territorio.</w:t>
      </w:r>
      <w:r>
        <w:rPr>
          <w:rFonts w:ascii="Barlow Semi Condensed" w:cs="Barlow Semi Condensed" w:eastAsia="Barlow Semi Condensed" w:hAnsi="Barlow Semi Condensed"/>
          <w:sz w:val="24"/>
          <w:szCs w:val="24"/>
        </w:rPr>
        <w:t xml:space="preserve"> Verifica meccanica, perimetro dichiarato: la stringa «Kissinger» non ricorre né in agenda-di-ricerca-del-nuovo-caso-moro.md né in nove-cantieri-mille-blocchi.md. Milletrecento blocchi mirati — trecento in dodici serie, mille in nove Parti — e nessuna occorrenza. Varianti cercate: cognome solo, cognome con iniziale, forma estesa del nome. Finestra: l'intero testo dei due documenti nella redazione del 25 agosto 2026. Esito negativo verbalizzato secondo il blocco 285 dell'agenda, che impone all'esito nullo lo stesso rigore del positivo.</w:t>
      </w:r>
    </w:p>
    <w:p>
      <w:pPr>
        <w:spacing w:after="120" w:line="276"/>
        <w:jc w:val="both"/>
      </w:pPr>
      <w:r>
        <w:rPr>
          <w:rFonts w:ascii="Barlow Semi Condensed" w:cs="Barlow Semi Condensed" w:eastAsia="Barlow Semi Condensed" w:hAnsi="Barlow Semi Condensed"/>
          <w:b/>
          <w:bCs/>
          <w:sz w:val="24"/>
          <w:szCs w:val="24"/>
        </w:rPr>
        <w:t xml:space="preserve">4242 · Il denominatore e la sua ricetta.</w:t>
      </w:r>
      <w:r>
        <w:rPr>
          <w:rFonts w:ascii="Barlow Semi Condensed" w:cs="Barlow Semi Condensed" w:eastAsia="Barlow Semi Condensed" w:hAnsi="Barlow Semi Condensed"/>
          <w:sz w:val="24"/>
          <w:szCs w:val="24"/>
        </w:rPr>
        <w:t xml:space="preserve"> Il blocco 646 dell'opera-madre aveva contato zero occorrenze su millesettecento unità includendo manuale e programma; questa serie isola il sottoinsieme territoriale — milletrecento blocchi — e ne dichiara la ricetta, come esigono i blocchi 643 e 644: corpora interrogati, stringhe, varianti, finestra, criterio di conteggio. Senza denominatore esplicito il numero impressiona e non si confronta con nulla. Con il denominatore diventa una misura che chiunque può ripetere e battere.</w:t>
      </w:r>
    </w:p>
    <w:p>
      <w:pPr>
        <w:spacing w:after="120" w:line="276"/>
        <w:jc w:val="both"/>
      </w:pPr>
      <w:r>
        <w:rPr>
          <w:rFonts w:ascii="Barlow Semi Condensed" w:cs="Barlow Semi Condensed" w:eastAsia="Barlow Semi Condensed" w:hAnsi="Barlow Semi Condensed"/>
          <w:b/>
          <w:bCs/>
          <w:sz w:val="24"/>
          <w:szCs w:val="24"/>
        </w:rPr>
        <w:t xml:space="preserve">4243 · Che cosa lo zero non dice.</w:t>
      </w:r>
      <w:r>
        <w:rPr>
          <w:rFonts w:ascii="Barlow Semi Condensed" w:cs="Barlow Semi Condensed" w:eastAsia="Barlow Semi Condensed" w:hAnsi="Barlow Semi Condensed"/>
          <w:sz w:val="24"/>
          <w:szCs w:val="24"/>
        </w:rPr>
        <w:t xml:space="preserve"> Regola di lettura vincolante per l'intera serie, ereditata dal blocco 647: quello zero misura una scelta di costruzione, non un fatto del mondo. Non dice che il nodo sia irrilevante per il caso, né che sia rilevante. La quadriga fu progettata su Kew, La Courneuve, il Politisches Archiv, il versante vaticano e i giacimenti italiani; su quelle colonne quel nome non ricorre per ufficio, e trasformare l'assenza in enunciato sarebbe l'errore che il metodo esiste per rendere impossibile.</w:t>
      </w:r>
    </w:p>
    <w:p>
      <w:pPr>
        <w:spacing w:after="120" w:line="276"/>
        <w:jc w:val="both"/>
      </w:pPr>
      <w:r>
        <w:rPr>
          <w:rFonts w:ascii="Barlow Semi Condensed" w:cs="Barlow Semi Condensed" w:eastAsia="Barlow Semi Condensed" w:hAnsi="Barlow Semi Condensed"/>
          <w:b/>
          <w:bCs/>
          <w:sz w:val="24"/>
          <w:szCs w:val="24"/>
        </w:rPr>
        <w:t xml:space="preserve">4244 · La causa diagnosticata, non narrata.</w:t>
      </w:r>
      <w:r>
        <w:rPr>
          <w:rFonts w:ascii="Barlow Semi Condensed" w:cs="Barlow Semi Condensed" w:eastAsia="Barlow Semi Condensed" w:hAnsi="Barlow Semi Condensed"/>
          <w:sz w:val="24"/>
          <w:szCs w:val="24"/>
        </w:rPr>
        <w:t xml:space="preserve"> Diagnosi del vuoto secondo il secondo tempo della regola dei buchi: i due documenti tacciono perché la loro colonna statunitense è la più sottile delle quattro. L'agenda le dedica dieci blocchi (126-135) dentro la serie sesta; i nove cantieri non le dedicano alcuna Parte, e il blocco 119 rinvia Washington «al cantiere americano dell'agenda». Il rinvio è a dieci righe. Lacuna di costruzione, misurabile e sanabile: non indizio di occultamento.</w:t>
      </w:r>
    </w:p>
    <w:p>
      <w:pPr>
        <w:spacing w:after="120" w:line="276"/>
        <w:jc w:val="both"/>
      </w:pPr>
      <w:r>
        <w:rPr>
          <w:rFonts w:ascii="Barlow Semi Condensed" w:cs="Barlow Semi Condensed" w:eastAsia="Barlow Semi Condensed" w:hAnsi="Barlow Semi Condensed"/>
          <w:b/>
          <w:bCs/>
          <w:sz w:val="24"/>
          <w:szCs w:val="24"/>
        </w:rPr>
        <w:t xml:space="preserve">4245 · Il verbale di vuoto, le voci.</w:t>
      </w:r>
      <w:r>
        <w:rPr>
          <w:rFonts w:ascii="Barlow Semi Condensed" w:cs="Barlow Semi Condensed" w:eastAsia="Barlow Semi Condensed" w:hAnsi="Barlow Semi Condensed"/>
          <w:sz w:val="24"/>
          <w:szCs w:val="24"/>
        </w:rPr>
        <w:t xml:space="preserve"> Modulo obbligatorio per ogni esito negativo di questa serie, dai blocchi 651-654 dell'opera-madre: che cosa è stato cercato, dove, quando, da chi, con quale perimetro seriale e cronologico, con le varianti di stringa incluse ed escluse. Chi contesta uno Stato Zero deve poter ripetere la ricerca identica e batterla. Un esito negativo non falsificabile non è un'acquisizione: è un'opinione con la faccia di un dato.</w:t>
      </w:r>
    </w:p>
    <w:p>
      <w:pPr>
        <w:spacing w:after="120" w:line="276"/>
        <w:jc w:val="both"/>
      </w:pPr>
      <w:r>
        <w:rPr>
          <w:rFonts w:ascii="Barlow Semi Condensed" w:cs="Barlow Semi Condensed" w:eastAsia="Barlow Semi Condensed" w:hAnsi="Barlow Semi Condensed"/>
          <w:b/>
          <w:bCs/>
          <w:sz w:val="24"/>
          <w:szCs w:val="24"/>
        </w:rPr>
        <w:t xml:space="preserve">4246 · Dieci blocchi per un continente.</w:t>
      </w:r>
      <w:r>
        <w:rPr>
          <w:rFonts w:ascii="Barlow Semi Condensed" w:cs="Barlow Semi Condensed" w:eastAsia="Barlow Semi Condensed" w:hAnsi="Barlow Semi Condensed"/>
          <w:sz w:val="24"/>
          <w:szCs w:val="24"/>
        </w:rPr>
        <w:t xml:space="preserve"> Ricognizione della serie sesta dell'agenda: trenta bersagli internazionali — dieci americani (126-135), due britannici, tre francesi, due tedeschi, uno atlantico, uno svizzero, tre ecclesiastici, otto di metodo. L'apparato V-3 conferma la colonna americana con quattro indirizzi: aad.archives.gov, foia.state.gov, cia.gov/readingroom, jimmycarterlibrary.gov. Nessuna biblioteca presidenziale anteriore a Carter, nessun fondo testuale di College Park, nessuna serie del Segretario di Stato. La colonna esiste, ed è tarata sul solo 1978.</w:t>
      </w:r>
    </w:p>
    <w:p>
      <w:pPr>
        <w:spacing w:after="120" w:line="276"/>
        <w:jc w:val="both"/>
      </w:pPr>
      <w:r>
        <w:rPr>
          <w:rFonts w:ascii="Barlow Semi Condensed" w:cs="Barlow Semi Condensed" w:eastAsia="Barlow Semi Condensed" w:hAnsi="Barlow Semi Condensed"/>
          <w:b/>
          <w:bCs/>
          <w:sz w:val="24"/>
          <w:szCs w:val="24"/>
        </w:rPr>
        <w:t xml:space="preserve">4247 · L'originatore e il documento edito.</w:t>
      </w:r>
      <w:r>
        <w:rPr>
          <w:rFonts w:ascii="Barlow Semi Condensed" w:cs="Barlow Semi Condensed" w:eastAsia="Barlow Semi Condensed" w:hAnsi="Barlow Semi Condensed"/>
          <w:sz w:val="24"/>
          <w:szCs w:val="24"/>
        </w:rPr>
        <w:t xml:space="preserve"> Un documento straniero si apre col consenso di chi lo produsse: così il blocco 126 e la scheda PE-5 fissano il vincolo che governa il ritenuto alleato. Accertamento di grado B: quel vincolo non tocca il memorandum del 25 settembre 1974, già edito in FRUS e già digitalizzato dalla Ford Library. Dove la carta è pubblicata il problema non è l'accesso ma la lettura — e nessun blocco del territorio lo pone.</w:t>
      </w:r>
    </w:p>
    <w:p>
      <w:pPr>
        <w:spacing w:after="120" w:line="276"/>
        <w:jc w:val="both"/>
      </w:pPr>
      <w:r>
        <w:rPr>
          <w:rFonts w:ascii="Barlow Semi Condensed" w:cs="Barlow Semi Condensed" w:eastAsia="Barlow Semi Condensed" w:hAnsi="Barlow Semi Condensed"/>
          <w:b/>
          <w:bCs/>
          <w:sz w:val="24"/>
          <w:szCs w:val="24"/>
        </w:rPr>
        <w:t xml:space="preserve">4248 · Le withdrawal cards, finestra sbagliata.</w:t>
      </w:r>
      <w:r>
        <w:rPr>
          <w:rFonts w:ascii="Barlow Semi Condensed" w:cs="Barlow Semi Condensed" w:eastAsia="Barlow Semi Condensed" w:hAnsi="Barlow Semi Condensed"/>
          <w:sz w:val="24"/>
          <w:szCs w:val="24"/>
        </w:rPr>
        <w:t xml:space="preserve"> Circa quattrocentosettantaquattro atti di origine alleata: tanto conta il censimento del ritenuto che il blocco 127 porta a tavola completa nei Central Foreign Policy Files, tutto per il 1978. Stato Zero dichiarato: nessun blocco censisce il ritirato per il quadriennio 1974-1977, il solo dove il nome in esame poteva figurare come firmatario o come interlocutore. La sede che lo chiuderebbe è la stessa, a College Park, con la finestra spostata di quattro anni.</w:t>
      </w:r>
    </w:p>
    <w:p>
      <w:pPr>
        <w:spacing w:after="120" w:line="276"/>
        <w:jc w:val="both"/>
      </w:pPr>
      <w:r>
        <w:rPr>
          <w:rFonts w:ascii="Barlow Semi Condensed" w:cs="Barlow Semi Condensed" w:eastAsia="Barlow Semi Condensed" w:hAnsi="Barlow Semi Condensed"/>
          <w:b/>
          <w:bCs/>
          <w:sz w:val="24"/>
          <w:szCs w:val="24"/>
        </w:rPr>
        <w:t xml:space="preserve">4249 · La copertura AAD eccede la domanda.</w:t>
      </w:r>
      <w:r>
        <w:rPr>
          <w:rFonts w:ascii="Barlow Semi Condensed" w:cs="Barlow Semi Condensed" w:eastAsia="Barlow Semi Condensed" w:hAnsi="Barlow Semi Condensed"/>
          <w:sz w:val="24"/>
          <w:szCs w:val="24"/>
        </w:rPr>
        <w:t xml:space="preserve"> Accertamento tecnico dal blocco 128: la copertura full-text dei Central Foreign Policy Files su NARA AAD va dal 1° luglio 1973 al 31 dicembre 1979 e contiene per intero il mandato di Segretario di Stato, dal 22 settembre 1973 al 20 gennaio 1977. Lo strumento più economico dell'intero versante estero è già capace di rispondere; l'agenda lo interroga solo sul 1978. Estendere la griglia al quadriennio precedente non costa una trasferta.</w:t>
      </w:r>
    </w:p>
    <w:p>
      <w:pPr>
        <w:spacing w:after="120" w:line="276"/>
        <w:jc w:val="both"/>
      </w:pPr>
      <w:r>
        <w:rPr>
          <w:rFonts w:ascii="Barlow Semi Condensed" w:cs="Barlow Semi Condensed" w:eastAsia="Barlow Semi Condensed" w:hAnsi="Barlow Semi Condensed"/>
          <w:b/>
          <w:bCs/>
          <w:sz w:val="24"/>
          <w:szCs w:val="24"/>
        </w:rPr>
        <w:t xml:space="preserve">4250 · La firma che non è autografia.</w:t>
      </w:r>
      <w:r>
        <w:rPr>
          <w:rFonts w:ascii="Barlow Semi Condensed" w:cs="Barlow Semi Condensed" w:eastAsia="Barlow Semi Condensed" w:hAnsi="Barlow Semi Condensed"/>
          <w:sz w:val="24"/>
          <w:szCs w:val="24"/>
        </w:rPr>
        <w:t xml:space="preserve"> Avvertenza tecnica per chiunque estenda quella griglia: nei telegrammi in partenza dal Dipartimento di Stato il cognome del Segretario compare in calce come firma d'ufficio, non come indice di redazione personale. Una ricerca full-text su quel cognome restituirà decine di migliaia di riscontri istituzionali. Il blocco 645 dell'opera-madre lo aveva previsto in generale; qui diventa specifico, perché un falso positivo su questo nome danneggia più di dieci vuoti.</w:t>
      </w:r>
    </w:p>
    <w:p>
      <w:pPr>
        <w:spacing w:after="120" w:line="276"/>
        <w:jc w:val="both"/>
      </w:pPr>
      <w:r>
        <w:rPr>
          <w:rFonts w:ascii="Barlow Semi Condensed" w:cs="Barlow Semi Condensed" w:eastAsia="Barlow Semi Condensed" w:hAnsi="Barlow Semi Condensed"/>
          <w:b/>
          <w:bCs/>
          <w:sz w:val="24"/>
          <w:szCs w:val="24"/>
        </w:rPr>
        <w:t xml:space="preserve">4251 · La microfiche e i suoi anni.</w:t>
      </w:r>
      <w:r>
        <w:rPr>
          <w:rFonts w:ascii="Barlow Semi Condensed" w:cs="Barlow Semi Condensed" w:eastAsia="Barlow Semi Condensed" w:hAnsi="Barlow Semi Condensed"/>
          <w:sz w:val="24"/>
          <w:szCs w:val="24"/>
        </w:rPr>
        <w:t xml:space="preserve"> Bersaglio da portare a foia.state.gov: la collezione dedicata «Aldo Moro, Prime Minister of Italy, Representative of the Christian-Democrat Party (DC)», censita dal blocco 129 come rilascio storico non interamente digitalizzato. Quesito preciso, da porre prima di ogni acquisizione integrale: la raccolta copre anche gli anni in cui Moro fu ministro degli Esteri e presidente del Consiglio, o si arresta al 1978? L'indice della collezione risponde da solo.</w:t>
      </w:r>
    </w:p>
    <w:p>
      <w:pPr>
        <w:spacing w:after="120" w:line="276"/>
        <w:jc w:val="both"/>
      </w:pPr>
      <w:r>
        <w:rPr>
          <w:rFonts w:ascii="Barlow Semi Condensed" w:cs="Barlow Semi Condensed" w:eastAsia="Barlow Semi Condensed" w:hAnsi="Barlow Semi Condensed"/>
          <w:b/>
          <w:bCs/>
          <w:sz w:val="24"/>
          <w:szCs w:val="24"/>
        </w:rPr>
        <w:t xml:space="preserve">4252 · Il lotto già in casa.</w:t>
      </w:r>
      <w:r>
        <w:rPr>
          <w:rFonts w:ascii="Barlow Semi Condensed" w:cs="Barlow Semi Condensed" w:eastAsia="Barlow Semi Condensed" w:hAnsi="Barlow Semi Condensed"/>
          <w:sz w:val="24"/>
          <w:szCs w:val="24"/>
        </w:rPr>
        <w:t xml:space="preserve"> Un fascicolo FOIA il corpus lo possiede già, e il blocco 130 lo registra: caso R-2021-002xx, numeri di controllo B-00001939965-989, TAGS PINT e IT. Quesito eseguibile senza spendere nulla: quel lotto contiene carte del quadriennio 1973-1977, e con quale firma? La risposta si legge nelle carte acquisite, non in una richiesta nuova. È il bersaglio a costo zero che la contabilità del blocco 286 collocherebbe in testa alla graduatoria.</w:t>
      </w:r>
    </w:p>
    <w:p>
      <w:pPr>
        <w:spacing w:after="120" w:line="276"/>
        <w:jc w:val="both"/>
      </w:pPr>
      <w:r>
        <w:rPr>
          <w:rFonts w:ascii="Barlow Semi Condensed" w:cs="Barlow Semi Condensed" w:eastAsia="Barlow Semi Condensed" w:hAnsi="Barlow Semi Condensed"/>
          <w:b/>
          <w:bCs/>
          <w:sz w:val="24"/>
          <w:szCs w:val="24"/>
        </w:rPr>
        <w:t xml:space="preserve">4253 · Non il tempo, la lavorazione.</w:t>
      </w:r>
      <w:r>
        <w:rPr>
          <w:rFonts w:ascii="Barlow Semi Condensed" w:cs="Barlow Semi Condensed" w:eastAsia="Barlow Semi Condensed" w:hAnsi="Barlow Semi Condensed"/>
          <w:sz w:val="24"/>
          <w:szCs w:val="24"/>
        </w:rPr>
        <w:t xml:space="preserve"> Precisazione che corregge un'attesa implicita del blocco 131: per il materiale 1974-1977 la barriera non è più il decorso dei termini, poiché l'automatismo venticinquennale è ampiamente maturato. Restano le esenzioni residue, i rinvii di competenza fra amministrazioni originatrici e i tempi di lavorazione delle istanze. Le richieste mirate vanno dunque scritte contro queste tre cose, e non contro un calendario che è già scaduto a favore della ricerca.</w:t>
      </w:r>
    </w:p>
    <w:p>
      <w:pPr>
        <w:spacing w:after="120" w:line="276"/>
        <w:jc w:val="both"/>
      </w:pPr>
      <w:r>
        <w:rPr>
          <w:rFonts w:ascii="Barlow Semi Condensed" w:cs="Barlow Semi Condensed" w:eastAsia="Barlow Semi Condensed" w:hAnsi="Barlow Semi Condensed"/>
          <w:b/>
          <w:bCs/>
          <w:sz w:val="24"/>
          <w:szCs w:val="24"/>
        </w:rPr>
        <w:t xml:space="preserve">4254 · Langley, e la distinzione dichiarata.</w:t>
      </w:r>
      <w:r>
        <w:rPr>
          <w:rFonts w:ascii="Barlow Semi Condensed" w:cs="Barlow Semi Condensed" w:eastAsia="Barlow Semi Condensed" w:hAnsi="Barlow Semi Condensed"/>
          <w:sz w:val="24"/>
          <w:szCs w:val="24"/>
        </w:rPr>
        <w:t xml:space="preserve"> Distinguere i documenti analitici dalle rassegne stampa raccolte internamente: è la disciplina che il blocco 132 impone alla sala di lettura della CIA, e questa serie la eredita. Applicata al nome in esame diventa decisiva — un ritaglio che lo cita è circolazione, non intelligence. Ogni reperto si marca per ciò che è. La stessa avvertenza sta nell'apparato V-3, ed è la ragione per cui quel giacimento produce meno di quanto prometta.</w:t>
      </w:r>
    </w:p>
    <w:p>
      <w:pPr>
        <w:spacing w:after="120" w:line="276"/>
        <w:jc w:val="both"/>
      </w:pPr>
      <w:r>
        <w:rPr>
          <w:rFonts w:ascii="Barlow Semi Condensed" w:cs="Barlow Semi Condensed" w:eastAsia="Barlow Semi Condensed" w:hAnsi="Barlow Semi Condensed"/>
          <w:b/>
          <w:bCs/>
          <w:sz w:val="24"/>
          <w:szCs w:val="24"/>
        </w:rPr>
        <w:t xml:space="preserve">4255 · Atlanta, e il fuori mandato.</w:t>
      </w:r>
      <w:r>
        <w:rPr>
          <w:rFonts w:ascii="Barlow Semi Condensed" w:cs="Barlow Semi Condensed" w:eastAsia="Barlow Semi Condensed" w:hAnsi="Barlow Semi Condensed"/>
          <w:sz w:val="24"/>
          <w:szCs w:val="24"/>
        </w:rPr>
        <w:t xml:space="preserve"> Cronologia contro geografia: la collezione «National Security Affairs, Brzezinski Material» del blocco 133 copre il 1977-1981, cioè gli anni in cui l'uomo in esame era cittadino privato — Assistente per la sicurezza nazionale fino al 3 novembre 1975, Segretario di Stato fino al 20 gennaio 1977. La Carter Library può documentare che cosa Washington fece nei 55 giorni; non può documentare un rapporto d'ufficio che allora non esisteva più.</w:t>
      </w:r>
    </w:p>
    <w:p>
      <w:pPr>
        <w:spacing w:after="120" w:line="276"/>
        <w:jc w:val="both"/>
      </w:pPr>
      <w:r>
        <w:rPr>
          <w:rFonts w:ascii="Barlow Semi Condensed" w:cs="Barlow Semi Condensed" w:eastAsia="Barlow Semi Condensed" w:hAnsi="Barlow Semi Condensed"/>
          <w:b/>
          <w:bCs/>
          <w:sz w:val="24"/>
          <w:szCs w:val="24"/>
        </w:rPr>
        <w:t xml:space="preserve">4256 · La finestra FRUS dell'agenda.</w:t>
      </w:r>
      <w:r>
        <w:rPr>
          <w:rFonts w:ascii="Barlow Semi Condensed" w:cs="Barlow Semi Condensed" w:eastAsia="Barlow Semi Condensed" w:hAnsi="Barlow Semi Condensed"/>
          <w:sz w:val="24"/>
          <w:szCs w:val="24"/>
        </w:rPr>
        <w:t xml:space="preserve"> Accertamento di grado B sul blocco 134: l'agenda scopre i volumi Foreign Relations of the United States per il 1977-1980. Quella finestra esclude per costruzione il ciclo 1969-1976, e con esso il volume E-15 parte 2, dove sta al documento 350 il solo verbale che metta insieme, in una stanza, Leone, Moro, Ford, Kissinger e Scowcroft. Il blocco giusto guarda dalla parte sbagliata di una data.</w:t>
      </w:r>
    </w:p>
    <w:p>
      <w:pPr>
        <w:spacing w:after="120" w:line="276"/>
        <w:jc w:val="both"/>
      </w:pPr>
      <w:r>
        <w:rPr>
          <w:rFonts w:ascii="Barlow Semi Condensed" w:cs="Barlow Semi Condensed" w:eastAsia="Barlow Semi Condensed" w:hAnsi="Barlow Semi Condensed"/>
          <w:b/>
          <w:bCs/>
          <w:sz w:val="24"/>
          <w:szCs w:val="24"/>
        </w:rPr>
        <w:t xml:space="preserve">4257 · Il ciclo che manca all'agenda.</w:t>
      </w:r>
      <w:r>
        <w:rPr>
          <w:rFonts w:ascii="Barlow Semi Condensed" w:cs="Barlow Semi Condensed" w:eastAsia="Barlow Semi Condensed" w:hAnsi="Barlow Semi Condensed"/>
          <w:sz w:val="24"/>
          <w:szCs w:val="24"/>
        </w:rPr>
        <w:t xml:space="preserve"> Bersaglio che ne discende, formulato nella grammatica dello stesso blocco 134: aggiungere alla colonna americana lo spoglio del ciclo FRUS 1969-1976 — i volumi sull'Europa occidentale e la NATO, il volume XLI, il volume E-15 parte 2 nella seconda edizione riveduta — con la consegna che l'agenda già dà per il 1977-1980: ogni nota a piè di pagina è una segnatura da seguire fino al fondo che l'ha alimentata.</w:t>
      </w:r>
    </w:p>
    <w:p>
      <w:pPr>
        <w:spacing w:after="120" w:line="276"/>
        <w:jc w:val="both"/>
      </w:pPr>
      <w:r>
        <w:rPr>
          <w:rFonts w:ascii="Barlow Semi Condensed" w:cs="Barlow Semi Condensed" w:eastAsia="Barlow Semi Condensed" w:hAnsi="Barlow Semi Condensed"/>
          <w:b/>
          <w:bCs/>
          <w:sz w:val="24"/>
          <w:szCs w:val="24"/>
        </w:rPr>
        <w:t xml:space="preserve">4258 · Il Congresso, perimetro troppo stretto.</w:t>
      </w:r>
      <w:r>
        <w:rPr>
          <w:rFonts w:ascii="Barlow Semi Condensed" w:cs="Barlow Semi Condensed" w:eastAsia="Barlow Semi Condensed" w:hAnsi="Barlow Semi Condensed"/>
          <w:sz w:val="24"/>
          <w:szCs w:val="24"/>
        </w:rPr>
        <w:t xml:space="preserve"> Gli atti delle commissioni del Congresso «sul terrorismo europeo degli anni Settanta»: così il blocco 135 delimita il proprio bersaglio. Stato Zero: nessun blocco raggiunge le inchieste parlamentari statunitensi del 1975-1976 sui servizi, che sono la sede dove la materia italiana del finanziamento coperto fu discussa in pubblico. La sede che lo chiuderebbe è il record a stampa di quelle commissioni, digitalizzato e liberamente interrogabile: costo nullo, rendimento contestuale alto.</w:t>
      </w:r>
    </w:p>
    <w:p>
      <w:pPr>
        <w:spacing w:after="120" w:line="276"/>
        <w:jc w:val="both"/>
      </w:pPr>
      <w:r>
        <w:rPr>
          <w:rFonts w:ascii="Barlow Semi Condensed" w:cs="Barlow Semi Condensed" w:eastAsia="Barlow Semi Condensed" w:hAnsi="Barlow Semi Condensed"/>
          <w:b/>
          <w:bCs/>
          <w:sz w:val="24"/>
          <w:szCs w:val="24"/>
        </w:rPr>
        <w:t xml:space="preserve">4259 · Ann Arbor, mai nominata.</w:t>
      </w:r>
      <w:r>
        <w:rPr>
          <w:rFonts w:ascii="Barlow Semi Condensed" w:cs="Barlow Semi Condensed" w:eastAsia="Barlow Semi Condensed" w:hAnsi="Barlow Semi Condensed"/>
          <w:sz w:val="24"/>
          <w:szCs w:val="24"/>
        </w:rPr>
        <w:t xml:space="preserve"> Stato Zero verbalizzato: la Gerald R. Ford Presidential Library non compare in alcuno dei milletrecento blocchi del territorio, né nell'apparato V-3 dell'agenda, né nell'apparato C-1 dei cantieri. È la sede che conserva i National Security Adviser's Memoranda of Conversation, serie descritta a livello di singolo pezzo, dove il corpus ha già ancorato il file 1552802. La sede che chiuderebbe la lacuna si nomina in una riga e si interroga da remoto.</w:t>
      </w:r>
    </w:p>
    <w:p>
      <w:pPr>
        <w:spacing w:after="120" w:line="276"/>
        <w:jc w:val="both"/>
      </w:pPr>
      <w:r>
        <w:rPr>
          <w:rFonts w:ascii="Barlow Semi Condensed" w:cs="Barlow Semi Condensed" w:eastAsia="Barlow Semi Condensed" w:hAnsi="Barlow Semi Condensed"/>
          <w:b/>
          <w:bCs/>
          <w:sz w:val="24"/>
          <w:szCs w:val="24"/>
        </w:rPr>
        <w:t xml:space="preserve">4260 · College Park e i fondi testuali.</w:t>
      </w:r>
      <w:r>
        <w:rPr>
          <w:rFonts w:ascii="Barlow Semi Condensed" w:cs="Barlow Semi Condensed" w:eastAsia="Barlow Semi Condensed" w:hAnsi="Barlow Semi Condensed"/>
          <w:sz w:val="24"/>
          <w:szCs w:val="24"/>
        </w:rPr>
        <w:t xml:space="preserve"> Secondo Stato Zero della stessa specie: né i Nixon Presidential Materials con gli NSC Files e i Country Files Italy, né le carte dell'ufficio del Segretario di Stato per il 1973-1977 nel Record Group 59 compaiono nel territorio. L'agenda conosce i National Archives soltanto come motore di ricerca dei telegrammi. La distinzione fra la banca dati elettronica e i fondi testuali della stessa istituzione non è pedanteria: è metà del giacimento.</w:t>
      </w:r>
    </w:p>
    <w:p>
      <w:pPr>
        <w:spacing w:after="120" w:line="276"/>
        <w:jc w:val="both"/>
      </w:pPr>
      <w:r>
        <w:rPr>
          <w:rFonts w:ascii="Barlow Semi Condensed" w:cs="Barlow Semi Condensed" w:eastAsia="Barlow Semi Condensed" w:hAnsi="Barlow Semi Condensed"/>
          <w:b/>
          <w:bCs/>
          <w:sz w:val="24"/>
          <w:szCs w:val="24"/>
        </w:rPr>
        <w:t xml:space="preserve">4261 · Tre cantieri, nessuno atlantico.</w:t>
      </w:r>
      <w:r>
        <w:rPr>
          <w:rFonts w:ascii="Barlow Semi Condensed" w:cs="Barlow Semi Condensed" w:eastAsia="Barlow Semi Condensed" w:hAnsi="Barlow Semi Condensed"/>
          <w:sz w:val="24"/>
          <w:szCs w:val="24"/>
        </w:rPr>
        <w:t xml:space="preserve"> Centoventi blocchi per tre capitali, quaranta ciascuno, con tavole, calendari, verbali di vuoto e campioni di controllo: così la Parte prima dei nove cantieri tratta Londra, Parigi e Bonn. Washington non ha i suoi quaranta. L'asimmetria è dichiarata dal titolo stesso della Parte — «Oltremanica, oltralpe, oltre Reno» — che nomina tre direzioni e non la quarta. Il territorio è coerente con sé; è la quadriga a essere zoppa da un lato.</w:t>
      </w:r>
    </w:p>
    <w:p>
      <w:pPr>
        <w:spacing w:after="120" w:line="276"/>
        <w:jc w:val="both"/>
      </w:pPr>
      <w:r>
        <w:rPr>
          <w:rFonts w:ascii="Barlow Semi Condensed" w:cs="Barlow Semi Condensed" w:eastAsia="Barlow Semi Condensed" w:hAnsi="Barlow Semi Condensed"/>
          <w:b/>
          <w:bCs/>
          <w:sz w:val="24"/>
          <w:szCs w:val="24"/>
        </w:rPr>
        <w:t xml:space="preserve">4262 · Il rinvio del blocco 119.</w:t>
      </w:r>
      <w:r>
        <w:rPr>
          <w:rFonts w:ascii="Barlow Semi Condensed" w:cs="Barlow Semi Condensed" w:eastAsia="Barlow Semi Condensed" w:hAnsi="Barlow Semi Condensed"/>
          <w:sz w:val="24"/>
          <w:szCs w:val="24"/>
        </w:rPr>
        <w:t xml:space="preserve"> Una parentesi regge la quarta capitale: la sintesi trilaterale promette la collazione «Londra-Parigi-Bonn (con Washington dal cantiere americano dell'agenda)». È il punto esatto in cui la quadriga scarica sulla colonna più leggera il peso di un intero versante — dieci blocchi devono reggere ciò che altrove ne regge quaranta. Il bersaglio non è correggere il blocco 119: è portare quella parentesi alla profondità che l'opera esige ovunque altrove.</w:t>
      </w:r>
    </w:p>
    <w:p>
      <w:pPr>
        <w:spacing w:after="120" w:line="276"/>
        <w:jc w:val="both"/>
      </w:pPr>
      <w:r>
        <w:rPr>
          <w:rFonts w:ascii="Barlow Semi Condensed" w:cs="Barlow Semi Condensed" w:eastAsia="Barlow Semi Condensed" w:hAnsi="Barlow Semi Condensed"/>
          <w:b/>
          <w:bCs/>
          <w:sz w:val="24"/>
          <w:szCs w:val="24"/>
        </w:rPr>
        <w:t xml:space="preserve">4263 · Il ritratto americano senza segnatura.</w:t>
      </w:r>
      <w:r>
        <w:rPr>
          <w:rFonts w:ascii="Barlow Semi Condensed" w:cs="Barlow Semi Condensed" w:eastAsia="Barlow Semi Condensed" w:hAnsi="Barlow Semi Condensed"/>
          <w:sz w:val="24"/>
          <w:szCs w:val="24"/>
        </w:rPr>
        <w:t xml:space="preserve"> «Il corpus ha il ritratto diplomatico americano; il gemello britannico è un bersaglio naturale»: così dichiara il blocco 25 del cantiere britannico. Rilievo: l'affermazione è esatta e priva di indirizzo. In mille blocchi nessuno dice dove quel ritratto stia, quale fondo lo conservi, con quale segnatura si citi. Un riferimento senza segnatura è un debito che il cantiere contrae con sé stesso e non salda mai.</w:t>
      </w:r>
    </w:p>
    <w:p>
      <w:pPr>
        <w:spacing w:after="120" w:line="276"/>
        <w:jc w:val="both"/>
      </w:pPr>
      <w:r>
        <w:rPr>
          <w:rFonts w:ascii="Barlow Semi Condensed" w:cs="Barlow Semi Condensed" w:eastAsia="Barlow Semi Condensed" w:hAnsi="Barlow Semi Condensed"/>
          <w:b/>
          <w:bCs/>
          <w:sz w:val="24"/>
          <w:szCs w:val="24"/>
        </w:rPr>
        <w:t xml:space="preserve">4264 · La segnatura del ritratto, fornita.</w:t>
      </w:r>
      <w:r>
        <w:rPr>
          <w:rFonts w:ascii="Barlow Semi Condensed" w:cs="Barlow Semi Condensed" w:eastAsia="Barlow Semi Condensed" w:hAnsi="Barlow Semi Condensed"/>
          <w:sz w:val="24"/>
          <w:szCs w:val="24"/>
        </w:rPr>
        <w:t xml:space="preserve"> Accertamento di piano 1, già fissato dall'opera e qui restituito al territorio: il memorandum of conversation dello Studio Ovale del 25 settembre 1974 — Leone, Moro, Ford, Kissinger, Scowcroft — è edito in FRUS 1969-1976, volume E-15 parte 2, documento 350, seconda edizione riveduta, e conservato alla Ford Library nei National Security Adviser's Memoranda of Conversation, file 1552802. Il ritratto ha una casa e ha un numero.</w:t>
      </w:r>
    </w:p>
    <w:p>
      <w:pPr>
        <w:spacing w:after="120" w:line="276"/>
        <w:jc w:val="both"/>
      </w:pPr>
      <w:r>
        <w:rPr>
          <w:rFonts w:ascii="Barlow Semi Condensed" w:cs="Barlow Semi Condensed" w:eastAsia="Barlow Semi Condensed" w:hAnsi="Barlow Semi Condensed"/>
          <w:b/>
          <w:bCs/>
          <w:sz w:val="24"/>
          <w:szCs w:val="24"/>
        </w:rPr>
        <w:t xml:space="preserve">4265 · Il secondo verbale, ignorato.</w:t>
      </w:r>
      <w:r>
        <w:rPr>
          <w:rFonts w:ascii="Barlow Semi Condensed" w:cs="Barlow Semi Condensed" w:eastAsia="Barlow Semi Condensed" w:hAnsi="Barlow Semi Condensed"/>
          <w:sz w:val="24"/>
          <w:szCs w:val="24"/>
        </w:rPr>
        <w:t xml:space="preserve"> Bersaglio inedito per il territorio: al colloquio del 25 settembre 1974 segue quello del giorno dopo, conservato alla stessa Ford Library come file 1552806. Nessun blocco dell'agenda o dei cantieri lo richiama, e nessuna sintesi corrente lo cita. Quesito minimo e a costo nullo: che cosa il verbale del 26 settembre aggiunge, conferma o tace rispetto al primo? Due carte contigue si leggono insieme, o non si sono lette.</w:t>
      </w:r>
    </w:p>
    <w:p>
      <w:pPr>
        <w:spacing w:after="120" w:line="276"/>
        <w:jc w:val="both"/>
      </w:pPr>
      <w:r>
        <w:rPr>
          <w:rFonts w:ascii="Barlow Semi Condensed" w:cs="Barlow Semi Condensed" w:eastAsia="Barlow Semi Condensed" w:hAnsi="Barlow Semi Condensed"/>
          <w:b/>
          <w:bCs/>
          <w:sz w:val="24"/>
          <w:szCs w:val="24"/>
        </w:rPr>
        <w:t xml:space="preserve">4266 · Il paragone c'è, la colonna no.</w:t>
      </w:r>
      <w:r>
        <w:rPr>
          <w:rFonts w:ascii="Barlow Semi Condensed" w:cs="Barlow Semi Condensed" w:eastAsia="Barlow Semi Condensed" w:hAnsi="Barlow Semi Condensed"/>
          <w:sz w:val="24"/>
          <w:szCs w:val="24"/>
        </w:rPr>
        <w:t xml:space="preserve"> Una similitudine rivelatrice sta nel cantiere tedesco: gli «Akten zur Auswärtigen Politik» stanno a Bonn «come FRUS per Washington — l'edizione è la mappa dichiarata dell'archivio che la alimentò». L'opera conosce dunque perfettamente la funzione di FRUS e la spende per analogia. Ciò che non fa è applicarla: la mappa tedesca ha il suo cantiere di quaranta blocchi, quella americana un rinvio di dieci righe.</w:t>
      </w:r>
    </w:p>
    <w:p>
      <w:pPr>
        <w:spacing w:after="120" w:line="276"/>
        <w:jc w:val="both"/>
      </w:pPr>
      <w:r>
        <w:rPr>
          <w:rFonts w:ascii="Barlow Semi Condensed" w:cs="Barlow Semi Condensed" w:eastAsia="Barlow Semi Condensed" w:hAnsi="Barlow Semi Condensed"/>
          <w:b/>
          <w:bCs/>
          <w:sz w:val="24"/>
          <w:szCs w:val="24"/>
        </w:rPr>
        <w:t xml:space="preserve">4267 · Le sequenze orarie e la carica.</w:t>
      </w:r>
      <w:r>
        <w:rPr>
          <w:rFonts w:ascii="Barlow Semi Condensed" w:cs="Barlow Semi Condensed" w:eastAsia="Barlow Semi Condensed" w:hAnsi="Barlow Semi Condensed"/>
          <w:sz w:val="24"/>
          <w:szCs w:val="24"/>
        </w:rPr>
        <w:t xml:space="preserve"> Vale per i blocchi 26, 62, 95 e 84 una regola cronologica elementare: le sequenze telegrafiche che i cantieri costruiscono riguardano il 16 marzo, il 18 aprile e il 9 maggio 1978. In quelle date l'uomo in esame non ricopriva alcuna carica pubblica da oltre un anno. Nessuna colonna di quelle tavole potrà mai portarne il nome per ufficio, e chi vi cercasse un suo dispaccio starebbe cercando nella stanza sbagliata.</w:t>
      </w:r>
    </w:p>
    <w:p>
      <w:pPr>
        <w:spacing w:after="120" w:line="276"/>
        <w:jc w:val="both"/>
      </w:pPr>
      <w:r>
        <w:rPr>
          <w:rFonts w:ascii="Barlow Semi Condensed" w:cs="Barlow Semi Condensed" w:eastAsia="Barlow Semi Condensed" w:hAnsi="Barlow Semi Condensed"/>
          <w:b/>
          <w:bCs/>
          <w:sz w:val="24"/>
          <w:szCs w:val="24"/>
        </w:rPr>
        <w:t xml:space="preserve">4268 · La collazione che non lo tocca.</w:t>
      </w:r>
      <w:r>
        <w:rPr>
          <w:rFonts w:ascii="Barlow Semi Condensed" w:cs="Barlow Semi Condensed" w:eastAsia="Barlow Semi Condensed" w:hAnsi="Barlow Semi Condensed"/>
          <w:sz w:val="24"/>
          <w:szCs w:val="24"/>
        </w:rPr>
        <w:t xml:space="preserve"> Corollario per il blocco 153 dell'agenda e per il 119 dei cantieri: la collazione bilaterale e quadrilaterale dei giorni chiave è costruita per misurare divergenze fra sedi diplomatiche in servizio. È uno strumento eccellente e strutturalmente cieco al nostro nome. Dichiararlo non è un limite dell'opera: è la definizione esatta di che cosa quello strumento può e non può decidere, scritta prima di usarlo.</w:t>
      </w:r>
    </w:p>
    <w:p>
      <w:pPr>
        <w:spacing w:after="120" w:line="276"/>
        <w:jc w:val="both"/>
      </w:pPr>
      <w:r>
        <w:rPr>
          <w:rFonts w:ascii="Barlow Semi Condensed" w:cs="Barlow Semi Condensed" w:eastAsia="Barlow Semi Condensed" w:hAnsi="Barlow Semi Condensed"/>
          <w:b/>
          <w:bCs/>
          <w:sz w:val="24"/>
          <w:szCs w:val="24"/>
        </w:rPr>
        <w:t xml:space="preserve">4269 · Londra ha la sua colonna.</w:t>
      </w:r>
      <w:r>
        <w:rPr>
          <w:rFonts w:ascii="Barlow Semi Condensed" w:cs="Barlow Semi Condensed" w:eastAsia="Barlow Semi Condensed" w:hAnsi="Barlow Semi Condensed"/>
          <w:sz w:val="24"/>
          <w:szCs w:val="24"/>
        </w:rPr>
        <w:t xml:space="preserve"> Confronto interno che misura lo squilibrio: il blocco 38 dei cantieri prescrive la collazione sistematica Londra-Washington sulle giornate chiave, e il blocco 34 elenca per Kew serie, fascicoli e stati — FCO 33, PREM 16, CAB, DEFE, FCO 9. Per Washington non esiste tavola equivalente. Il primo cantiere consegna «il suo modello di contabilità agli altri otto»: il modello non è mai arrivato alla quarta capitale.</w:t>
      </w:r>
    </w:p>
    <w:p>
      <w:pPr>
        <w:spacing w:after="120" w:line="276"/>
        <w:jc w:val="both"/>
      </w:pPr>
      <w:r>
        <w:rPr>
          <w:rFonts w:ascii="Barlow Semi Condensed" w:cs="Barlow Semi Condensed" w:eastAsia="Barlow Semi Condensed" w:hAnsi="Barlow Semi Condensed"/>
          <w:b/>
          <w:bCs/>
          <w:sz w:val="24"/>
          <w:szCs w:val="24"/>
        </w:rPr>
        <w:t xml:space="preserve">4270 · Berna, una sede a basso costo.</w:t>
      </w:r>
      <w:r>
        <w:rPr>
          <w:rFonts w:ascii="Barlow Semi Condensed" w:cs="Barlow Semi Condensed" w:eastAsia="Barlow Semi Condensed" w:hAnsi="Barlow Semi Condensed"/>
          <w:sz w:val="24"/>
          <w:szCs w:val="24"/>
        </w:rPr>
        <w:t xml:space="preserve"> Un fatto utilizzabile è registrato al blocco 106 del cantiere tedesco: i documenti diplomatici svizzeri del 1978 sono in larga parte accessibili per il termine trentennale, e la banca dati Dodis li pubblica online indicizzati. Bersaglio derivato: interrogare quella banca dati sul quadriennio 1973-1977 per i colloqui italo-americani e per la posizione svizzera sul quadro politico italiano. Sede nominata, accesso gratuito, esito verbalizzabile in una giornata.</w:t>
      </w:r>
    </w:p>
    <w:p>
      <w:pPr>
        <w:spacing w:after="120" w:line="276"/>
        <w:jc w:val="both"/>
      </w:pPr>
      <w:r>
        <w:rPr>
          <w:rFonts w:ascii="Barlow Semi Condensed" w:cs="Barlow Semi Condensed" w:eastAsia="Barlow Semi Condensed" w:hAnsi="Barlow Semi Condensed"/>
          <w:b/>
          <w:bCs/>
          <w:sz w:val="24"/>
          <w:szCs w:val="24"/>
        </w:rPr>
        <w:t xml:space="preserve">4271 · Il materiale orientale e la cautela.</w:t>
      </w:r>
      <w:r>
        <w:rPr>
          <w:rFonts w:ascii="Barlow Semi Condensed" w:cs="Barlow Semi Condensed" w:eastAsia="Barlow Semi Condensed" w:hAnsi="Barlow Semi Condensed"/>
          <w:sz w:val="24"/>
          <w:szCs w:val="24"/>
        </w:rPr>
        <w:t xml:space="preserve"> Grado F sull'esistenza del documento, grado C sul contenuto, mai da soli a fondamento di alcunché: è la disciplina che il blocco 92 impone alle carte di provenienza tedesco-orientale, e questa serie la fa propria. Applicata al nostro nome vale doppio, perché un servizio ostile aveva ogni interesse a scriverne. Lo Stasi-Unterlagen-Archiv resta sede legittima da interrogare; il suo prodotto è comparativo, non rivelatorio.</w:t>
      </w:r>
    </w:p>
    <w:p>
      <w:pPr>
        <w:spacing w:after="120" w:line="276"/>
        <w:jc w:val="both"/>
      </w:pPr>
      <w:r>
        <w:rPr>
          <w:rFonts w:ascii="Barlow Semi Condensed" w:cs="Barlow Semi Condensed" w:eastAsia="Barlow Semi Condensed" w:hAnsi="Barlow Semi Condensed"/>
          <w:b/>
          <w:bCs/>
          <w:sz w:val="24"/>
          <w:szCs w:val="24"/>
        </w:rPr>
        <w:t xml:space="preserve">4272 · La contro-verifica italiana, mai applicata.</w:t>
      </w:r>
      <w:r>
        <w:rPr>
          <w:rFonts w:ascii="Barlow Semi Condensed" w:cs="Barlow Semi Condensed" w:eastAsia="Barlow Semi Condensed" w:hAnsi="Barlow Semi Condensed"/>
          <w:sz w:val="24"/>
          <w:szCs w:val="24"/>
        </w:rPr>
        <w:t xml:space="preserve"> Nessun documento nazionale fa fede da solo sui rapporti fra due paesi: la regola bilaterale è enunciata al blocco 78 del cantiere francese, che impone la contro-verifica sulle carte italiane parallele di Farnesina e ACS. L'opera non la estende a Washington. Il memorandum del 25 settembre 1974 è, alla lettera, un documento nazionale americano, e la sua contro-verifica italiana non è stata cercata da alcun blocco del territorio.</w:t>
      </w:r>
    </w:p>
    <w:p>
      <w:pPr>
        <w:spacing w:after="120" w:line="276"/>
        <w:jc w:val="both"/>
      </w:pPr>
      <w:r>
        <w:rPr>
          <w:rFonts w:ascii="Barlow Semi Condensed" w:cs="Barlow Semi Condensed" w:eastAsia="Barlow Semi Condensed" w:hAnsi="Barlow Semi Condensed"/>
          <w:b/>
          <w:bCs/>
          <w:sz w:val="24"/>
          <w:szCs w:val="24"/>
        </w:rPr>
        <w:t xml:space="preserve">4273 · L'ambasciata d'Italia a Washington.</w:t>
      </w:r>
      <w:r>
        <w:rPr>
          <w:rFonts w:ascii="Barlow Semi Condensed" w:cs="Barlow Semi Condensed" w:eastAsia="Barlow Semi Condensed" w:hAnsi="Barlow Semi Condensed"/>
          <w:sz w:val="24"/>
          <w:szCs w:val="24"/>
        </w:rPr>
        <w:t xml:space="preserve"> Sede precisa per uno Stato Zero: la testimonianza contestata colloca in una sua variante l'episodio in un alterco all'ambasciata d'Italia a Washington nel 1977. Nessun blocco dei due documenti nomina quella sede. Il fondo che chiuderebbe il quesito è l'Archivio storico diplomatico del Ministero degli Affari esteri, serie dell'ambasciata a Washington per il 1974-1977: rapporti di sede, telespressi, appunti di colloquio. Sportello italiano, procedura ordinaria, costo modesto.</w:t>
      </w:r>
    </w:p>
    <w:p>
      <w:pPr>
        <w:spacing w:after="120" w:line="276"/>
        <w:jc w:val="both"/>
      </w:pPr>
      <w:r>
        <w:rPr>
          <w:rFonts w:ascii="Barlow Semi Condensed" w:cs="Barlow Semi Condensed" w:eastAsia="Barlow Semi Condensed" w:hAnsi="Barlow Semi Condensed"/>
          <w:b/>
          <w:bCs/>
          <w:sz w:val="24"/>
          <w:szCs w:val="24"/>
        </w:rPr>
        <w:t xml:space="preserve">4274 · Il seguito italiano del 1974.</w:t>
      </w:r>
      <w:r>
        <w:rPr>
          <w:rFonts w:ascii="Barlow Semi Condensed" w:cs="Barlow Semi Condensed" w:eastAsia="Barlow Semi Condensed" w:hAnsi="Barlow Semi Condensed"/>
          <w:sz w:val="24"/>
          <w:szCs w:val="24"/>
        </w:rPr>
        <w:t xml:space="preserve"> Al colloquio dello Studio Ovale del 25 settembre 1974 partecipò il Presidente della Repubblica in carica. Se ne esiste un riscontro italiano — appunto di seguito, verbale di delegazione, telegramma di rientro — la sede è l'Archivio storico della Presidenza della Repubblica, che i cantieri conoscono per la Collezione Zavoli e per nient'altro. Il documento italiano parallelo è il primo test di attendibilità di ogni versione dell'episodio.</w:t>
      </w:r>
    </w:p>
    <w:p>
      <w:pPr>
        <w:spacing w:after="120" w:line="276"/>
        <w:jc w:val="both"/>
      </w:pPr>
      <w:r>
        <w:rPr>
          <w:rFonts w:ascii="Barlow Semi Condensed" w:cs="Barlow Semi Condensed" w:eastAsia="Barlow Semi Condensed" w:hAnsi="Barlow Semi Condensed"/>
          <w:b/>
          <w:bCs/>
          <w:sz w:val="24"/>
          <w:szCs w:val="24"/>
        </w:rPr>
        <w:t xml:space="preserve">4275 · I protocolli riservati, altra finestra.</w:t>
      </w:r>
      <w:r>
        <w:rPr>
          <w:rFonts w:ascii="Barlow Semi Condensed" w:cs="Barlow Semi Condensed" w:eastAsia="Barlow Semi Condensed" w:hAnsi="Barlow Semi Condensed"/>
          <w:sz w:val="24"/>
          <w:szCs w:val="24"/>
        </w:rPr>
        <w:t xml:space="preserve"> Il protocollo che registra una nota scomparsa prova che la nota esistette: con questo argomento il blocco 244 cerca i registri di protocollo riservato di Interno ed Esteri per marzo-maggio 1978. Il ragionamento è trasferibile e non è stato trasferito. Per il settembre 1974 e per il 1977 gli stessi registri direbbero se una nota su quei colloqui fu mai protocollata, indipendentemente dalla sua sopravvivenza.</w:t>
      </w:r>
    </w:p>
    <w:p>
      <w:pPr>
        <w:spacing w:after="120" w:line="276"/>
        <w:jc w:val="both"/>
      </w:pPr>
      <w:r>
        <w:rPr>
          <w:rFonts w:ascii="Barlow Semi Condensed" w:cs="Barlow Semi Condensed" w:eastAsia="Barlow Semi Condensed" w:hAnsi="Barlow Semi Condensed"/>
          <w:b/>
          <w:bCs/>
          <w:sz w:val="24"/>
          <w:szCs w:val="24"/>
        </w:rPr>
        <w:t xml:space="preserve">4276 · Le carte dell'uomo, altrove interrogate.</w:t>
      </w:r>
      <w:r>
        <w:rPr>
          <w:rFonts w:ascii="Barlow Semi Condensed" w:cs="Barlow Semi Condensed" w:eastAsia="Barlow Semi Condensed" w:hAnsi="Barlow Semi Condensed"/>
          <w:sz w:val="24"/>
          <w:szCs w:val="24"/>
        </w:rPr>
        <w:t xml:space="preserve"> Tre nuclei per le carte di Moro, censiti ai blocchi 157 e 159: il fondo personale all'ACS in duecentodiciotto buste per il 1953-1978, il fondo familiare all'Archivio Flamigni, la raccolta statale delle direttive — tutti spogliati con la griglia dei 55 giorni. Quesito mai posto in quella griglia: quelle carte contengono un appunto di ritorno dalla missione americana del settembre 1974? La domanda si fa in sala, non in libreria.</w:t>
      </w:r>
    </w:p>
    <w:p>
      <w:pPr>
        <w:spacing w:after="120" w:line="276"/>
        <w:jc w:val="both"/>
      </w:pPr>
      <w:r>
        <w:rPr>
          <w:rFonts w:ascii="Barlow Semi Condensed" w:cs="Barlow Semi Condensed" w:eastAsia="Barlow Semi Condensed" w:hAnsi="Barlow Semi Condensed"/>
          <w:b/>
          <w:bCs/>
          <w:sz w:val="24"/>
          <w:szCs w:val="24"/>
        </w:rPr>
        <w:t xml:space="preserve">4277 · Andreotti, Fanfani e le date.</w:t>
      </w:r>
      <w:r>
        <w:rPr>
          <w:rFonts w:ascii="Barlow Semi Condensed" w:cs="Barlow Semi Condensed" w:eastAsia="Barlow Semi Condensed" w:hAnsi="Barlow Semi Condensed"/>
          <w:sz w:val="24"/>
          <w:szCs w:val="24"/>
        </w:rPr>
        <w:t xml:space="preserve"> Avvertenza cronologica per i blocchi 160 e 162: gli archivi del presidente del Consiglio dei 55 giorni e del presidente della DC sono spogliati sulle serie del 1978. Per il quadriennio in esame quegli stessi fondi vanno interrogati con una griglia diversa e mai scritta — le missioni americane, le riunioni sul PCI, i carteggi con la Farnesina. Lo stesso scaffale risponde a due domande soltanto se gliene si pongono due.</w:t>
      </w:r>
    </w:p>
    <w:p>
      <w:pPr>
        <w:spacing w:after="120" w:line="276"/>
        <w:jc w:val="both"/>
      </w:pPr>
      <w:r>
        <w:rPr>
          <w:rFonts w:ascii="Barlow Semi Condensed" w:cs="Barlow Semi Condensed" w:eastAsia="Barlow Semi Condensed" w:hAnsi="Barlow Semi Condensed"/>
          <w:b/>
          <w:bCs/>
          <w:sz w:val="24"/>
          <w:szCs w:val="24"/>
        </w:rPr>
        <w:t xml:space="preserve">4278 · I diari contro sé stessi, esteso.</w:t>
      </w:r>
      <w:r>
        <w:rPr>
          <w:rFonts w:ascii="Barlow Semi Condensed" w:cs="Barlow Semi Condensed" w:eastAsia="Barlow Semi Condensed" w:hAnsi="Barlow Semi Condensed"/>
          <w:sz w:val="24"/>
          <w:szCs w:val="24"/>
        </w:rPr>
        <w:t xml:space="preserve"> La tavola delle divergenze fra memorie edite e carte coeve è promessa dal blocco 170 come prodotto filologico di prima grandezza. Bersaglio derivato per questo territorio: applicarla alle memorie italiane che riferiscono l'episodio del preteso avvertimento e alle due smentite italiane qualificate già registrate dal corpus — quella che lo dice «una leggenda che non ha fondamento» e quella che parla di «solo un problema di linguaggio». Nessuno dei due era presente.</w:t>
      </w:r>
    </w:p>
    <w:p>
      <w:pPr>
        <w:spacing w:after="120" w:line="276"/>
        <w:jc w:val="both"/>
      </w:pPr>
      <w:r>
        <w:rPr>
          <w:rFonts w:ascii="Barlow Semi Condensed" w:cs="Barlow Semi Condensed" w:eastAsia="Barlow Semi Condensed" w:hAnsi="Barlow Semi Condensed"/>
          <w:b/>
          <w:bCs/>
          <w:sz w:val="24"/>
          <w:szCs w:val="24"/>
        </w:rPr>
        <w:t xml:space="preserve">4279 · La carta privata e il suo grado.</w:t>
      </w:r>
      <w:r>
        <w:rPr>
          <w:rFonts w:ascii="Barlow Semi Condensed" w:cs="Barlow Semi Condensed" w:eastAsia="Barlow Semi Condensed" w:hAnsi="Barlow Semi Condensed"/>
          <w:sz w:val="24"/>
          <w:szCs w:val="24"/>
        </w:rPr>
        <w:t xml:space="preserve"> Una carta privata prova ciò che il suo autore scrisse e quando, non ciò che accadde: il blocco 179 la tara a grado F sul fatto della scrittura e C sul contenuto, finché un riscontro esterno non la corrobori. La stessa taratura si applica alla testimonianza de relato resa alla Corte d'assise di Roma nel novembre 1982: prova che il teste riferì, non che il fatto avvenne. Nessun prestigio di firma sposta il grado.</w:t>
      </w:r>
    </w:p>
    <w:p>
      <w:pPr>
        <w:spacing w:after="120" w:line="276"/>
        <w:jc w:val="both"/>
      </w:pPr>
      <w:r>
        <w:rPr>
          <w:rFonts w:ascii="Barlow Semi Condensed" w:cs="Barlow Semi Condensed" w:eastAsia="Barlow Semi Condensed" w:hAnsi="Barlow Semi Condensed"/>
          <w:b/>
          <w:bCs/>
          <w:sz w:val="24"/>
          <w:szCs w:val="24"/>
        </w:rPr>
        <w:t xml:space="preserve">4280 · La richiesta del 1983 senza seguito (serie LVI).</w:t>
      </w:r>
      <w:r>
        <w:rPr>
          <w:rFonts w:ascii="Barlow Semi Condensed" w:cs="Barlow Semi Condensed" w:eastAsia="Barlow Semi Condensed" w:hAnsi="Barlow Semi Condensed"/>
          <w:sz w:val="24"/>
          <w:szCs w:val="24"/>
        </w:rPr>
        <w:t xml:space="preserve"> Perché non ebbe seguito? La richiesta informale del 1983 di sentire l'interessato non ne ebbe alcuno, e l'uomo non fu mai sentito dai magistrati italiani. Il quesito è documentale e legittimo, e va inserito nella griglia del blocco 114 dell'agenda, che vuole ascoltare i magistrati viventi sul come delle scelte istruttorie: in quale atto quella decisione — o quella non decisione — lasciò traccia?</w:t>
      </w:r>
    </w:p>
    <w:p>
      <w:pPr>
        <w:spacing w:after="120" w:line="276"/>
        <w:jc w:val="both"/>
      </w:pPr>
      <w:r>
        <w:rPr>
          <w:rFonts w:ascii="Barlow Semi Condensed" w:cs="Barlow Semi Condensed" w:eastAsia="Barlow Semi Condensed" w:hAnsi="Barlow Semi Condensed"/>
          <w:b/>
          <w:bCs/>
          <w:sz w:val="24"/>
          <w:szCs w:val="24"/>
        </w:rPr>
        <w:t xml:space="preserve">4281 · L'audizione del 1980, nell'indice.</w:t>
      </w:r>
      <w:r>
        <w:rPr>
          <w:rFonts w:ascii="Barlow Semi Condensed" w:cs="Barlow Semi Condensed" w:eastAsia="Barlow Semi Condensed" w:hAnsi="Barlow Semi Condensed"/>
          <w:sz w:val="24"/>
          <w:szCs w:val="24"/>
        </w:rPr>
        <w:t xml:space="preserve"> L'indice unico di tutte le persone sentite dalle tre commissioni è il prodotto del blocco 67. Voce da inserirvi con le sue distinzioni: l'audizione della vedova davanti alla Commissione d'inchiesta è del 1° agosto 1980, e vi si riporta soprattutto un riferimento a minacce risalenti al 1975 e crescenti; la frase verbatim che circola è invece attribuita alla deposizione giudiziaria del 1982. Sede e contenuto restano distinti.</w:t>
      </w:r>
    </w:p>
    <w:p>
      <w:pPr>
        <w:spacing w:after="120" w:line="276"/>
        <w:jc w:val="both"/>
      </w:pPr>
      <w:r>
        <w:rPr>
          <w:rFonts w:ascii="Barlow Semi Condensed" w:cs="Barlow Semi Condensed" w:eastAsia="Barlow Semi Condensed" w:hAnsi="Barlow Semi Condensed"/>
          <w:b/>
          <w:bCs/>
          <w:sz w:val="24"/>
          <w:szCs w:val="24"/>
        </w:rPr>
        <w:t xml:space="preserve">4282 · La lezione Marini, applicata.</w:t>
      </w:r>
      <w:r>
        <w:rPr>
          <w:rFonts w:ascii="Barlow Semi Condensed" w:cs="Barlow Semi Condensed" w:eastAsia="Barlow Semi Condensed" w:hAnsi="Barlow Semi Condensed"/>
          <w:sz w:val="24"/>
          <w:szCs w:val="24"/>
        </w:rPr>
        <w:t xml:space="preserve"> Corroborazione fisica prima dell'uso, con la ritrattazione del parabrezza davanti alla Moro 2 come precedente scolpito: così il blocco 224 tratta ogni testimonianza fondante. Applicazione a questo territorio: per l'episodio del preteso avvertimento non esiste alcun reperto corroborante né alcuno può esistere, trattandosi di parole scambiate in un colloquio. Il controlimite del blocco 224, qui, non rallenta l'uso della testimonianza: lo esclude.</w:t>
      </w:r>
    </w:p>
    <w:p>
      <w:pPr>
        <w:spacing w:after="120" w:line="276"/>
        <w:jc w:val="both"/>
      </w:pPr>
      <w:r>
        <w:rPr>
          <w:rFonts w:ascii="Barlow Semi Condensed" w:cs="Barlow Semi Condensed" w:eastAsia="Barlow Semi Condensed" w:hAnsi="Barlow Semi Condensed"/>
          <w:b/>
          <w:bCs/>
          <w:sz w:val="24"/>
          <w:szCs w:val="24"/>
        </w:rPr>
        <w:t xml:space="preserve">4283 · De relato, e senza corroborazione.</w:t>
      </w:r>
      <w:r>
        <w:rPr>
          <w:rFonts w:ascii="Barlow Semi Condensed" w:cs="Barlow Semi Condensed" w:eastAsia="Barlow Semi Condensed" w:hAnsi="Barlow Semi Condensed"/>
          <w:sz w:val="24"/>
          <w:szCs w:val="24"/>
        </w:rPr>
        <w:t xml:space="preserve"> De relato, dunque: il teste principale apprese il fatto da Moro e dall'entourage e non assistette al colloquio. Il presunto avvertimento resta perciò, nella grammatica del blocco 233, un buco misurato — si sa chi riferì, si sa quando, si sa che nessun documento di provenienza lo attesta. È il massimo che allo stato si può scrivere, e scriverlo per intero è già un'acquisizione.</w:t>
      </w:r>
    </w:p>
    <w:p>
      <w:pPr>
        <w:spacing w:after="120" w:line="276"/>
        <w:jc w:val="both"/>
      </w:pPr>
      <w:r>
        <w:rPr>
          <w:rFonts w:ascii="Barlow Semi Condensed" w:cs="Barlow Semi Condensed" w:eastAsia="Barlow Semi Condensed" w:hAnsi="Barlow Semi Condensed"/>
          <w:b/>
          <w:bCs/>
          <w:sz w:val="24"/>
          <w:szCs w:val="24"/>
        </w:rPr>
        <w:t xml:space="preserve">4284 · Tre date per un solo episodio (serie LVI).</w:t>
      </w:r>
      <w:r>
        <w:rPr>
          <w:rFonts w:ascii="Barlow Semi Condensed" w:cs="Barlow Semi Condensed" w:eastAsia="Barlow Semi Condensed" w:hAnsi="Barlow Semi Condensed"/>
          <w:sz w:val="24"/>
          <w:szCs w:val="24"/>
        </w:rPr>
        <w:t xml:space="preserve"> Divergenza da riportare e non da sciogliere, secondo la disciplina del blocco 65: la collocazione dell'episodio oscilla fra 1974, 1976 e 1977, e divergono anche i luoghi. Il rilievo dirimente è cronologico: nel 1977 l'uomo non era più Segretario di Stato, avendo lasciato l'incarico il 20 gennaio. Una data che cade fuori dalla carica non è un dettaglio da arrotondare: è un problema di attendibilità della fonte.</w:t>
      </w:r>
    </w:p>
    <w:p>
      <w:pPr>
        <w:spacing w:after="120" w:line="276"/>
        <w:jc w:val="both"/>
      </w:pPr>
      <w:r>
        <w:rPr>
          <w:rFonts w:ascii="Barlow Semi Condensed" w:cs="Barlow Semi Condensed" w:eastAsia="Barlow Semi Condensed" w:hAnsi="Barlow Semi Condensed"/>
          <w:b/>
          <w:bCs/>
          <w:sz w:val="24"/>
          <w:szCs w:val="24"/>
        </w:rPr>
        <w:t xml:space="preserve">4285 · Il nome ottenuto in aula (serie LVI).</w:t>
      </w:r>
      <w:r>
        <w:rPr>
          <w:rFonts w:ascii="Barlow Semi Condensed" w:cs="Barlow Semi Condensed" w:eastAsia="Barlow Semi Condensed" w:hAnsi="Barlow Semi Condensed"/>
          <w:sz w:val="24"/>
          <w:szCs w:val="24"/>
        </w:rPr>
        <w:t xml:space="preserve"> La vedova parlò di «un'alta personalità» senza nominarla, e fu il presidente della corte, richiamando il teste, a ottenere l'indicazione del nome: precisazione che nessun blocco del territorio contiene e che il blocco 288 renderebbe obbligatoria. L'attribuzione è dunque essa stessa indiretta, e nasce da una domanda. Il protocollo dell'agenda vieta le domande suggestive nei propri ascolti; la stessa avvertenza va letta all'indietro, sui verbali del 1982.</w:t>
      </w:r>
    </w:p>
    <w:p>
      <w:pPr>
        <w:spacing w:after="120" w:line="276"/>
        <w:jc w:val="both"/>
      </w:pPr>
      <w:r>
        <w:rPr>
          <w:rFonts w:ascii="Barlow Semi Condensed" w:cs="Barlow Semi Condensed" w:eastAsia="Barlow Semi Condensed" w:hAnsi="Barlow Semi Condensed"/>
          <w:b/>
          <w:bCs/>
          <w:sz w:val="24"/>
          <w:szCs w:val="24"/>
        </w:rPr>
        <w:t xml:space="preserve">4286 · Il lancio del 30 novembre 2023 (serie LVI).</w:t>
      </w:r>
      <w:r>
        <w:rPr>
          <w:rFonts w:ascii="Barlow Semi Condensed" w:cs="Barlow Semi Condensed" w:eastAsia="Barlow Semi Condensed" w:hAnsi="Barlow Semi Condensed"/>
          <w:sz w:val="24"/>
          <w:szCs w:val="24"/>
        </w:rPr>
        <w:t xml:space="preserve"> Grado F sul riportato e mai di più: così il blocco 899 tratta la fonte giornalistica. Applicazione: le decine di riprese pressoché identiche dell'episodio risalgono a un unico lancio d'agenzia del 30 novembre 2023, e la replicazione non aggiunge valore probatorio. Da registrare come dato di sequenza, senza inferenze: quel lancio è del giorno successivo alla morte dell'interessato, avvenuta a Kent, Connecticut, il 29 novembre 2023.</w:t>
      </w:r>
    </w:p>
    <w:p>
      <w:pPr>
        <w:spacing w:after="120" w:line="276"/>
        <w:jc w:val="both"/>
      </w:pPr>
      <w:r>
        <w:rPr>
          <w:rFonts w:ascii="Barlow Semi Condensed" w:cs="Barlow Semi Condensed" w:eastAsia="Barlow Semi Condensed" w:hAnsi="Barlow Semi Condensed"/>
          <w:b/>
          <w:bCs/>
          <w:sz w:val="24"/>
          <w:szCs w:val="24"/>
        </w:rPr>
        <w:t xml:space="preserve">4287 · I tre tempi della congettura.</w:t>
      </w:r>
      <w:r>
        <w:rPr>
          <w:rFonts w:ascii="Barlow Semi Condensed" w:cs="Barlow Semi Condensed" w:eastAsia="Barlow Semi Condensed" w:hAnsi="Barlow Semi Condensed"/>
          <w:sz w:val="24"/>
          <w:szCs w:val="24"/>
        </w:rPr>
        <w:t xml:space="preserve"> Un vuoto colmato con un'ipotesi verosimile, l'ipotesi ripetuta senza la clausola che la qualificava, la ripetizione scambiata per pluralità di fonti: il meccanismo è descritto al blocco 640 dell'opera-madre. Questo territorio offre il caso di scuola e non lo nomina. La contromisura è procedurale e andrebbe scritta nei blocchi 151 e 899: ogni ripresa porta l'etichetta di grado, e chi la toglie risponde della caduta.</w:t>
      </w:r>
    </w:p>
    <w:p>
      <w:pPr>
        <w:spacing w:after="120" w:line="276"/>
        <w:jc w:val="both"/>
      </w:pPr>
      <w:r>
        <w:rPr>
          <w:rFonts w:ascii="Barlow Semi Condensed" w:cs="Barlow Semi Condensed" w:eastAsia="Barlow Semi Condensed" w:hAnsi="Barlow Semi Condensed"/>
          <w:b/>
          <w:bCs/>
          <w:sz w:val="24"/>
          <w:szCs w:val="24"/>
        </w:rPr>
        <w:t xml:space="preserve">4288 · Il perimetro negativo del committente.</w:t>
      </w:r>
      <w:r>
        <w:rPr>
          <w:rFonts w:ascii="Barlow Semi Condensed" w:cs="Barlow Semi Condensed" w:eastAsia="Barlow Semi Condensed" w:hAnsi="Barlow Semi Condensed"/>
          <w:sz w:val="24"/>
          <w:szCs w:val="24"/>
        </w:rPr>
        <w:t xml:space="preserve"> Ciò che l'opera si vieta è elencato al blocco 289, comprese le fonti escluse per direttiva del committente. Ricaduta operativa su questo nodo: il rilancio internazionale del 1982 proviene da una pubblicazione di orientamento cospirazionista, citabile come dato di circolazione e mai come riscontro. Documentare che una cosa fu detta e usarla come prova che sia vera sono operazioni diverse, e quella differenza è l'intera disciplina.</w:t>
      </w:r>
    </w:p>
    <w:p>
      <w:pPr>
        <w:spacing w:after="120" w:line="276"/>
        <w:jc w:val="both"/>
      </w:pPr>
      <w:r>
        <w:rPr>
          <w:rFonts w:ascii="Barlow Semi Condensed" w:cs="Barlow Semi Condensed" w:eastAsia="Barlow Semi Condensed" w:hAnsi="Barlow Semi Condensed"/>
          <w:b/>
          <w:bCs/>
          <w:sz w:val="24"/>
          <w:szCs w:val="24"/>
        </w:rPr>
        <w:t xml:space="preserve">4289 · Il bersaglio che lo falsificherebbe.</w:t>
      </w:r>
      <w:r>
        <w:rPr>
          <w:rFonts w:ascii="Barlow Semi Condensed" w:cs="Barlow Semi Condensed" w:eastAsia="Barlow Semi Condensed" w:hAnsi="Barlow Semi Condensed"/>
          <w:sz w:val="24"/>
          <w:szCs w:val="24"/>
        </w:rPr>
        <w:t xml:space="preserve"> Bersaglio di smentita, nella grammatica del blocco 234: l'episodio cadrebbe se emergesse la lista integrale dei presenti alla missione del settembre 1974 con l'esclusione documentata di ogni margine bilaterale, oppure un'agenda di viaggio che renda materialmente impossibile un colloquio riservato, oppure il verbale italiano di quella giornata privo di ogni menzione. Nessuna di queste tre carte è stata cercata da alcun blocco del territorio.</w:t>
      </w:r>
    </w:p>
    <w:p>
      <w:pPr>
        <w:spacing w:after="120" w:line="276"/>
        <w:jc w:val="both"/>
      </w:pPr>
      <w:r>
        <w:rPr>
          <w:rFonts w:ascii="Barlow Semi Condensed" w:cs="Barlow Semi Condensed" w:eastAsia="Barlow Semi Condensed" w:hAnsi="Barlow Semi Condensed"/>
          <w:b/>
          <w:bCs/>
          <w:sz w:val="24"/>
          <w:szCs w:val="24"/>
        </w:rPr>
        <w:t xml:space="preserve">4290 · La sola via al piano 1.</w:t>
      </w:r>
      <w:r>
        <w:rPr>
          <w:rFonts w:ascii="Barlow Semi Condensed" w:cs="Barlow Semi Condensed" w:eastAsia="Barlow Semi Condensed" w:hAnsi="Barlow Semi Condensed"/>
          <w:sz w:val="24"/>
          <w:szCs w:val="24"/>
        </w:rPr>
        <w:t xml:space="preserve"> Salire al piano 1 richiede una cosa sola, e va dichiarata con asciuttezza: un documento di provenienza — appunto italiano di colloquio, telegramma di rientro, minuta d'ufficio — che riferisca la frase e ne dia data e luogo. Testimonianze ulteriori, per quante siano e per quanto autorevoli, non producono quel salto: moltiplicano il piano 3. Il test è uno, ed è sempre lo stesso.</w:t>
      </w:r>
    </w:p>
    <w:p>
      <w:pPr>
        <w:spacing w:after="120" w:line="276"/>
        <w:jc w:val="both"/>
      </w:pPr>
      <w:r>
        <w:rPr>
          <w:rFonts w:ascii="Barlow Semi Condensed" w:cs="Barlow Semi Condensed" w:eastAsia="Barlow Semi Condensed" w:hAnsi="Barlow Semi Condensed"/>
          <w:b/>
          <w:bCs/>
          <w:sz w:val="24"/>
          <w:szCs w:val="24"/>
        </w:rPr>
        <w:t xml:space="preserve">4291 · Contro il corpus stesso, di nuovo.</w:t>
      </w:r>
      <w:r>
        <w:rPr>
          <w:rFonts w:ascii="Barlow Semi Condensed" w:cs="Barlow Semi Condensed" w:eastAsia="Barlow Semi Condensed" w:hAnsi="Barlow Semi Condensed"/>
          <w:sz w:val="24"/>
          <w:szCs w:val="24"/>
        </w:rPr>
        <w:t xml:space="preserve"> Cercare attivamente l'errore nelle proprie schede e correggerlo per nota, mai per riscrittura: lo chiede il blocco 231, che cita come precedente la Nota di revisione n. 1. Il territorio non sa che esiste già la Nota di revisione n. 2, del 25 agosto 2026, la quale affianca sette precisazioni al nodo M-5 di triangolazioni-guevara-moro.md senza toccarne il testo. È il precedente esatto per questa materia.</w:t>
      </w:r>
    </w:p>
    <w:p>
      <w:pPr>
        <w:spacing w:after="120" w:line="276"/>
        <w:jc w:val="both"/>
      </w:pPr>
      <w:r>
        <w:rPr>
          <w:rFonts w:ascii="Barlow Semi Condensed" w:cs="Barlow Semi Condensed" w:eastAsia="Barlow Semi Condensed" w:hAnsi="Barlow Semi Condensed"/>
          <w:b/>
          <w:bCs/>
          <w:sz w:val="24"/>
          <w:szCs w:val="24"/>
        </w:rPr>
        <w:t xml:space="preserve">4292 · Marzo 1969, contemporaneità apparente.</w:t>
      </w:r>
      <w:r>
        <w:rPr>
          <w:rFonts w:ascii="Barlow Semi Condensed" w:cs="Barlow Semi Condensed" w:eastAsia="Barlow Semi Condensed" w:hAnsi="Barlow Semi Condensed"/>
          <w:sz w:val="24"/>
          <w:szCs w:val="24"/>
        </w:rPr>
        <w:t xml:space="preserve"> FRUS 1969-1976, volume XLI, documento 180 verbalizza la riunione dell'11 marzo 1969, presieduta dall'Assistente per la sicurezza nazionale, in cui i presenti convennero all'unanimità che non vi fosse reale giustificazione per riprendere il finanziamento coperto ai partiti italiani. Accertamento di piano 1 assente dal territorio. Moro divenne ministro degli Esteri il 5 agosto 1969: la contemporaneità è apparente e non va trattata come nesso.</w:t>
      </w:r>
    </w:p>
    <w:p>
      <w:pPr>
        <w:spacing w:after="120" w:line="276"/>
        <w:jc w:val="both"/>
      </w:pPr>
      <w:r>
        <w:rPr>
          <w:rFonts w:ascii="Barlow Semi Condensed" w:cs="Barlow Semi Condensed" w:eastAsia="Barlow Semi Condensed" w:hAnsi="Barlow Semi Condensed"/>
          <w:b/>
          <w:bCs/>
          <w:sz w:val="24"/>
          <w:szCs w:val="24"/>
        </w:rPr>
        <w:t xml:space="preserve">4293 · Lo studio sull'Italia del 1969 (serie LVI).</w:t>
      </w:r>
      <w:r>
        <w:rPr>
          <w:rFonts w:ascii="Barlow Semi Condensed" w:cs="Barlow Semi Condensed" w:eastAsia="Barlow Semi Condensed" w:hAnsi="Barlow Semi Condensed"/>
          <w:sz w:val="24"/>
          <w:szCs w:val="24"/>
        </w:rPr>
        <w:t xml:space="preserve"> Documento contiguo e parimenti assente dal territorio: il volume XLI, al documento 188, registra l'istruzione presidenziale del dicembre 1969 di avviare uno studio sull'Italia. È materia di cornice — l'attenzione di Washington al quadro politico italiano — e resta di cornice finché una carta non nomini una controparte italiana determinata. Il blocco 151 dell'agenda governa esattamente questo: il grado segue la natura dell'atto, non la sua provenienza.</w:t>
      </w:r>
    </w:p>
    <w:p>
      <w:pPr>
        <w:spacing w:after="120" w:line="276"/>
        <w:jc w:val="both"/>
      </w:pPr>
      <w:r>
        <w:rPr>
          <w:rFonts w:ascii="Barlow Semi Condensed" w:cs="Barlow Semi Condensed" w:eastAsia="Barlow Semi Condensed" w:hAnsi="Barlow Semi Condensed"/>
          <w:b/>
          <w:bCs/>
          <w:sz w:val="24"/>
          <w:szCs w:val="24"/>
        </w:rPr>
        <w:t xml:space="preserve">4294 · La ripresa del 1975-1976.</w:t>
      </w:r>
      <w:r>
        <w:rPr>
          <w:rFonts w:ascii="Barlow Semi Condensed" w:cs="Barlow Semi Condensed" w:eastAsia="Barlow Semi Condensed" w:hAnsi="Barlow Semi Condensed"/>
          <w:sz w:val="24"/>
          <w:szCs w:val="24"/>
        </w:rPr>
        <w:t xml:space="preserve"> Convergenza di piano 2, dichiarata come tale: un saggio sottoposto a revisione paritaria del 2024 segnala che il programma di azione coperta in Italia riemerse nel novembre 1975 e nel luglio 1976, quando Moro era presidente del Consiglio. Stessa cornice, stessi anni, nessun documento che nomini l'uno in rapporto all'altro. Promuovere questa convergenza a nesso causale sarebbe il salto vietato che la parte terza dell'opera-madre già proibisce.</w:t>
      </w:r>
    </w:p>
    <w:p>
      <w:pPr>
        <w:spacing w:after="120" w:line="276"/>
        <w:jc w:val="both"/>
      </w:pPr>
      <w:r>
        <w:rPr>
          <w:rFonts w:ascii="Barlow Semi Condensed" w:cs="Barlow Semi Condensed" w:eastAsia="Barlow Semi Condensed" w:hAnsi="Barlow Semi Condensed"/>
          <w:b/>
          <w:bCs/>
          <w:sz w:val="24"/>
          <w:szCs w:val="24"/>
        </w:rPr>
        <w:t xml:space="preserve">4295 · Il lato italiano di quegli archi.</w:t>
      </w:r>
      <w:r>
        <w:rPr>
          <w:rFonts w:ascii="Barlow Semi Condensed" w:cs="Barlow Semi Condensed" w:eastAsia="Barlow Semi Condensed" w:hAnsi="Barlow Semi Condensed"/>
          <w:sz w:val="24"/>
          <w:szCs w:val="24"/>
        </w:rPr>
        <w:t xml:space="preserve"> Da inserire nel blocco 22 dell'agenda e nel blocco 953 dei cantieri: la documentazione versata di provenienza SISMI, SISDE e organismi predecessori, letta con la finestra 1969-1976 anziché con quella dei 55 giorni. Il blocco 944 aggiunge la materia adiacente della direttiva Draghi del 2 agosto 2021 su Gladio e P2. Disciplina invariata: una velina è una velina, grado C alla nascita, e sale solo per riscontro esterno.</w:t>
      </w:r>
    </w:p>
    <w:p>
      <w:pPr>
        <w:spacing w:after="120" w:line="276"/>
        <w:jc w:val="both"/>
      </w:pPr>
      <w:r>
        <w:rPr>
          <w:rFonts w:ascii="Barlow Semi Condensed" w:cs="Barlow Semi Condensed" w:eastAsia="Barlow Semi Condensed" w:hAnsi="Barlow Semi Condensed"/>
          <w:b/>
          <w:bCs/>
          <w:sz w:val="24"/>
          <w:szCs w:val="24"/>
        </w:rPr>
        <w:t xml:space="preserve">4296 · Appartenenza, cornice, condotta.</w:t>
      </w:r>
      <w:r>
        <w:rPr>
          <w:rFonts w:ascii="Barlow Semi Condensed" w:cs="Barlow Semi Condensed" w:eastAsia="Barlow Semi Condensed" w:hAnsi="Barlow Semi Condensed"/>
          <w:sz w:val="24"/>
          <w:szCs w:val="24"/>
        </w:rPr>
        <w:t xml:space="preserve"> Regola trasversale che il blocco 60 dell'agenda enuncia per la Commissione Anselmi e che la scheda PE-1 rende perimetro: le appartenenze documentate sono fatti, nessuna appartenenza è una condotta. Trasposta a questo territorio: l'ostilità documentata di settori dell'alleanza atlantica all'ingresso dei comunisti nell'area di governo è di grado A come contesto, e resta contesto. Dalla prossimità di un avversario non discende alcuna catena di comando.</w:t>
      </w:r>
    </w:p>
    <w:p>
      <w:pPr>
        <w:spacing w:after="120" w:line="276"/>
        <w:jc w:val="both"/>
      </w:pPr>
      <w:r>
        <w:rPr>
          <w:rFonts w:ascii="Barlow Semi Condensed" w:cs="Barlow Semi Condensed" w:eastAsia="Barlow Semi Condensed" w:hAnsi="Barlow Semi Condensed"/>
          <w:b/>
          <w:bCs/>
          <w:sz w:val="24"/>
          <w:szCs w:val="24"/>
        </w:rPr>
        <w:t xml:space="preserve">4297 · Helsinki, cornice e non persona.</w:t>
      </w:r>
      <w:r>
        <w:rPr>
          <w:rFonts w:ascii="Barlow Semi Condensed" w:cs="Barlow Semi Condensed" w:eastAsia="Barlow Semi Condensed" w:hAnsi="Barlow Semi Condensed"/>
          <w:sz w:val="24"/>
          <w:szCs w:val="24"/>
        </w:rPr>
        <w:t xml:space="preserve"> Ulteriore arco di piano 1 disponibile e non censito: FRUS 1969-1976, volume XXXIX, documento 334, telegramma del 2 agosto 1975, descrive la cerimonia conclusiva della Conferenza e le dichiarazioni interpretative circolate. Moro vi firmò nella duplice qualità di presidente del Consiglio e di presidente di turno delle Comunità. Il documento attesta una cornice condivisa e un dissenso di procedura: non attesta un rapporto personale, e non va fatto dire di più.</w:t>
      </w:r>
    </w:p>
    <w:p>
      <w:pPr>
        <w:spacing w:after="120" w:line="276"/>
        <w:jc w:val="both"/>
      </w:pPr>
      <w:r>
        <w:rPr>
          <w:rFonts w:ascii="Barlow Semi Condensed" w:cs="Barlow Semi Condensed" w:eastAsia="Barlow Semi Condensed" w:hAnsi="Barlow Semi Condensed"/>
          <w:b/>
          <w:bCs/>
          <w:sz w:val="24"/>
          <w:szCs w:val="24"/>
        </w:rPr>
        <w:t xml:space="preserve">4298 · Il dossier turco, arco senza Moro.</w:t>
      </w:r>
      <w:r>
        <w:rPr>
          <w:rFonts w:ascii="Barlow Semi Condensed" w:cs="Barlow Semi Condensed" w:eastAsia="Barlow Semi Condensed" w:hAnsi="Barlow Semi Condensed"/>
          <w:sz w:val="24"/>
          <w:szCs w:val="24"/>
        </w:rPr>
        <w:t xml:space="preserve"> Esempio istruttivo per il test dell'omologia: la vicenda degli oppiacei turchi del 1974 è densamente documentata — il memorandum al presidente nel volume XXX al documento 208, il National Security Decision Memorandum 267 del 23 agosto 1974 al documento 209. È un arco documentato dell'uomo in esame nel quale Moro non compare affatto. Somiglianza di stagione e di attori non produce parentela: serve una carta che nomini entrambi.</w:t>
      </w:r>
    </w:p>
    <w:p>
      <w:pPr>
        <w:spacing w:after="120" w:line="276"/>
        <w:jc w:val="both"/>
      </w:pPr>
      <w:r>
        <w:rPr>
          <w:rFonts w:ascii="Barlow Semi Condensed" w:cs="Barlow Semi Condensed" w:eastAsia="Barlow Semi Condensed" w:hAnsi="Barlow Semi Condensed"/>
          <w:b/>
          <w:bCs/>
          <w:sz w:val="24"/>
          <w:szCs w:val="24"/>
        </w:rPr>
        <w:t xml:space="preserve">4299 · Il test unico dell'omologia.</w:t>
      </w:r>
      <w:r>
        <w:rPr>
          <w:rFonts w:ascii="Barlow Semi Condensed" w:cs="Barlow Semi Condensed" w:eastAsia="Barlow Semi Condensed" w:hAnsi="Barlow Semi Condensed"/>
          <w:sz w:val="24"/>
          <w:szCs w:val="24"/>
        </w:rPr>
        <w:t xml:space="preserve"> Formulazione del criterio, valida per ogni blocco di questa serie: dalla somiglianza dei risultati non si deduce l'antenato comune. Due processi possono convergere per pressione ambientale identica senza alcuna discendenza. L'unica prova di discendenza è un documento di provenienza che nomini la controparte, con data e sede. Fuori da questo test ogni accostamento resta analogia — utile a formulare quesiti d'archivio, inutilizzabile come nesso.</w:t>
      </w:r>
    </w:p>
    <w:p>
      <w:pPr>
        <w:spacing w:after="120" w:line="276"/>
        <w:jc w:val="both"/>
      </w:pPr>
      <w:r>
        <w:rPr>
          <w:rFonts w:ascii="Barlow Semi Condensed" w:cs="Barlow Semi Condensed" w:eastAsia="Barlow Semi Condensed" w:hAnsi="Barlow Semi Condensed"/>
          <w:b/>
          <w:bCs/>
          <w:sz w:val="24"/>
          <w:szCs w:val="24"/>
        </w:rPr>
        <w:t xml:space="preserve">4300 · La serie dei memoranda, per intero.</w:t>
      </w:r>
      <w:r>
        <w:rPr>
          <w:rFonts w:ascii="Barlow Semi Condensed" w:cs="Barlow Semi Condensed" w:eastAsia="Barlow Semi Condensed" w:hAnsi="Barlow Semi Condensed"/>
          <w:sz w:val="24"/>
          <w:szCs w:val="24"/>
        </w:rPr>
        <w:t xml:space="preserve"> Quesito da portare in archivio, formulato per esteso: alla Gerald R. Ford Presidential Library, nella serie National Security Adviser's Memoranda of Conversation, estrarre tutti i memoranda del 1974-1976 in cui compaia una delegazione italiana, e verbalizzare l'elenco completo — non i due soli già noti. La serie è descritta a livello di pezzo e in larga parte digitalizzata: il bersaglio si esegue da remoto, e il suo esito è una tavola.</w:t>
      </w:r>
    </w:p>
    <w:p>
      <w:pPr>
        <w:spacing w:after="120" w:line="276"/>
        <w:jc w:val="both"/>
      </w:pPr>
      <w:r>
        <w:rPr>
          <w:rFonts w:ascii="Barlow Semi Condensed" w:cs="Barlow Semi Condensed" w:eastAsia="Barlow Semi Condensed" w:hAnsi="Barlow Semi Condensed"/>
          <w:b/>
          <w:bCs/>
          <w:sz w:val="24"/>
          <w:szCs w:val="24"/>
        </w:rPr>
        <w:t xml:space="preserve">4301 · Il fondo testuale da inventariare.</w:t>
      </w:r>
      <w:r>
        <w:rPr>
          <w:rFonts w:ascii="Barlow Semi Condensed" w:cs="Barlow Semi Condensed" w:eastAsia="Barlow Semi Condensed" w:hAnsi="Barlow Semi Condensed"/>
          <w:sz w:val="24"/>
          <w:szCs w:val="24"/>
        </w:rPr>
        <w:t xml:space="preserve"> Secondo quesito d'archivio: ai National Archives di College Park, nel Record Group 59, individuare le carte dell'ufficio del Segretario di Stato per il 1973-1977 e i Nixon Presidential Materials con gli NSC Files e i Country Files Italy, accertandone gli strumenti di corredo e lo stato di apertura. L'agenda chiede l'inventario prima del documento al blocco 287: la regola vale identica oltreoceano, e nessuno l'ha ancora applicata lì.</w:t>
      </w:r>
    </w:p>
    <w:p>
      <w:pPr>
        <w:spacing w:after="120" w:line="276"/>
        <w:jc w:val="both"/>
      </w:pPr>
      <w:r>
        <w:rPr>
          <w:rFonts w:ascii="Barlow Semi Condensed" w:cs="Barlow Semi Condensed" w:eastAsia="Barlow Semi Condensed" w:hAnsi="Barlow Semi Condensed"/>
          <w:b/>
          <w:bCs/>
          <w:sz w:val="24"/>
          <w:szCs w:val="24"/>
        </w:rPr>
        <w:t xml:space="preserve">4302 · Le trascrizioni telefoniche (serie LVI).</w:t>
      </w:r>
      <w:r>
        <w:rPr>
          <w:rFonts w:ascii="Barlow Semi Condensed" w:cs="Barlow Semi Condensed" w:eastAsia="Barlow Semi Condensed" w:hAnsi="Barlow Semi Condensed"/>
          <w:sz w:val="24"/>
          <w:szCs w:val="24"/>
        </w:rPr>
        <w:t xml:space="preserve"> Terzo quesito, su una serie che il territorio ignora del tutto: le trascrizioni delle conversazioni telefoniche del Segretario di Stato, trasferite agli Archivi nazionali e in parte pubblicate nella sala di lettura virtuale del Dipartimento di Stato. Accertamento preliminare da fare: quale porzione copre il 1974-1976, con quale indice per nome, e se vi ricorrano interlocutori italiani. Esito atteso realistico: un elenco, forse vuoto, comunque verbalizzato.</w:t>
      </w:r>
    </w:p>
    <w:p>
      <w:pPr>
        <w:spacing w:after="120" w:line="276"/>
        <w:jc w:val="both"/>
      </w:pPr>
      <w:r>
        <w:rPr>
          <w:rFonts w:ascii="Barlow Semi Condensed" w:cs="Barlow Semi Condensed" w:eastAsia="Barlow Semi Condensed" w:hAnsi="Barlow Semi Condensed"/>
          <w:b/>
          <w:bCs/>
          <w:sz w:val="24"/>
          <w:szCs w:val="24"/>
        </w:rPr>
        <w:t xml:space="preserve">4303 · New Haven, le carte personali.</w:t>
      </w:r>
      <w:r>
        <w:rPr>
          <w:rFonts w:ascii="Barlow Semi Condensed" w:cs="Barlow Semi Condensed" w:eastAsia="Barlow Semi Condensed" w:hAnsi="Barlow Semi Condensed"/>
          <w:sz w:val="24"/>
          <w:szCs w:val="24"/>
        </w:rPr>
        <w:t xml:space="preserve"> Quarto quesito, sul versante privato: presso la Manuscripts and Archives della Yale University Library è depositato il fondo personale dell'uomo in esame. Da accertare formalmente prima di ogni istanza: perimetro cronologico, stato di ordinamento, regolamento di consultazione ed eventuali restrizioni. Il blocco 156 dell'agenda vale anche qui — le carte private entrano per atto volontario del depositario, e l'inventario si chiede prima del documento.</w:t>
      </w:r>
    </w:p>
    <w:p>
      <w:pPr>
        <w:spacing w:after="120" w:line="276"/>
        <w:jc w:val="both"/>
      </w:pPr>
      <w:r>
        <w:rPr>
          <w:rFonts w:ascii="Barlow Semi Condensed" w:cs="Barlow Semi Condensed" w:eastAsia="Barlow Semi Condensed" w:hAnsi="Barlow Semi Condensed"/>
          <w:b/>
          <w:bCs/>
          <w:sz w:val="24"/>
          <w:szCs w:val="24"/>
        </w:rPr>
        <w:t xml:space="preserve">4304 · Washington, il deposito e i vincoli.</w:t>
      </w:r>
      <w:r>
        <w:rPr>
          <w:rFonts w:ascii="Barlow Semi Condensed" w:cs="Barlow Semi Condensed" w:eastAsia="Barlow Semi Condensed" w:hAnsi="Barlow Semi Condensed"/>
          <w:sz w:val="24"/>
          <w:szCs w:val="24"/>
        </w:rPr>
        <w:t xml:space="preserve"> Quinto quesito, gemello del precedente: la Manuscript Division della Library of Congress conserva materiali depositati dall'interessato, storicamente soggetti a restrizioni d'accesso negoziate. Da accertare: che cosa il deposito comprenda, quali vincoli siano ancora vigenti dopo la morte del depositante e quale procedura ne governi l'apertura. La risposta, quale che sia, è un dato: anche un regolamento restrittivo, censito e datato, entra nel calendario delle aperture estere.</w:t>
      </w:r>
    </w:p>
    <w:p>
      <w:pPr>
        <w:spacing w:after="120" w:line="276"/>
        <w:jc w:val="both"/>
      </w:pPr>
      <w:r>
        <w:rPr>
          <w:rFonts w:ascii="Barlow Semi Condensed" w:cs="Barlow Semi Condensed" w:eastAsia="Barlow Semi Condensed" w:hAnsi="Barlow Semi Condensed"/>
          <w:b/>
          <w:bCs/>
          <w:sz w:val="24"/>
          <w:szCs w:val="24"/>
        </w:rPr>
        <w:t xml:space="preserve">4305 · Un interlocutore che il corpus conosce.</w:t>
      </w:r>
      <w:r>
        <w:rPr>
          <w:rFonts w:ascii="Barlow Semi Condensed" w:cs="Barlow Semi Condensed" w:eastAsia="Barlow Semi Condensed" w:hAnsi="Barlow Semi Condensed"/>
          <w:sz w:val="24"/>
          <w:szCs w:val="24"/>
        </w:rPr>
        <w:t xml:space="preserve"> Rilievo di coerenza interna: il corpus cita già il National Security Archive della George Washington University per il fascicolo Guevara del 1997, nel nodo M-8 di triangolazioni-guevara-moro.md. Quello stesso istituto cura raccolte documentali sul Segretario di Stato e sull'Italia. Il territorio non lo nomina mai fra i giacimenti della serie sesta. Un interlocutore già usato da un versante dell'opera e ignorato dall'altro è una lacuna di raccordo, non di accesso.</w:t>
      </w:r>
    </w:p>
    <w:p>
      <w:pPr>
        <w:spacing w:after="120" w:line="276"/>
        <w:jc w:val="both"/>
      </w:pPr>
      <w:r>
        <w:rPr>
          <w:rFonts w:ascii="Barlow Semi Condensed" w:cs="Barlow Semi Condensed" w:eastAsia="Barlow Semi Condensed" w:hAnsi="Barlow Semi Condensed"/>
          <w:b/>
          <w:bCs/>
          <w:sz w:val="24"/>
          <w:szCs w:val="24"/>
        </w:rPr>
        <w:t xml:space="preserve">4306 · Gli scaffali dell'Alleanza, altra finestra.</w:t>
      </w:r>
      <w:r>
        <w:rPr>
          <w:rFonts w:ascii="Barlow Semi Condensed" w:cs="Barlow Semi Condensed" w:eastAsia="Barlow Semi Condensed" w:hAnsi="Barlow Semi Condensed"/>
          <w:sz w:val="24"/>
          <w:szCs w:val="24"/>
        </w:rPr>
        <w:t xml:space="preserve"> Si cercano documenti, non conferme di narrazioni: con questo perimetro il blocco 143 punta agli archivi NATO per le serie del 1978 su Italia e sicurezza interna alleata. Bersaglio derivato: le stesse serie per i ministeriali del 1974-1976, quando l'uomo in esame vi sedeva come Segretario di Stato. Perimetro identico, finestra diversa, disciplina invariata — e ciò che non c'è si verbalizza come assenza.</w:t>
      </w:r>
    </w:p>
    <w:p>
      <w:pPr>
        <w:spacing w:after="120" w:line="276"/>
        <w:jc w:val="both"/>
      </w:pPr>
      <w:r>
        <w:rPr>
          <w:rFonts w:ascii="Barlow Semi Condensed" w:cs="Barlow Semi Condensed" w:eastAsia="Barlow Semi Condensed" w:hAnsi="Barlow Semi Condensed"/>
          <w:b/>
          <w:bCs/>
          <w:sz w:val="24"/>
          <w:szCs w:val="24"/>
        </w:rPr>
        <w:t xml:space="preserve">4307 · Chi ha già scavato, colonna vuota.</w:t>
      </w:r>
      <w:r>
        <w:rPr>
          <w:rFonts w:ascii="Barlow Semi Condensed" w:cs="Barlow Semi Condensed" w:eastAsia="Barlow Semi Condensed" w:hAnsi="Barlow Semi Condensed"/>
          <w:sz w:val="24"/>
          <w:szCs w:val="24"/>
        </w:rPr>
        <w:t xml:space="preserve"> La storiografia è una mappa di scavo e l'agenda non rifà gli scavi altrui: così il blocco 152 chiede il censimento della letteratura fondata su archivi esteri, con la tavola delle segnature citate. Per la colonna britannica il blocco 14 dei cantieri nomina due autori con le loro serie; per quella americana nessun blocco nomina nessuno. La mappa di scavo statunitense è, allo stato, una pagina bianca.</w:t>
      </w:r>
    </w:p>
    <w:p>
      <w:pPr>
        <w:spacing w:after="120" w:line="276"/>
        <w:jc w:val="both"/>
      </w:pPr>
      <w:r>
        <w:rPr>
          <w:rFonts w:ascii="Barlow Semi Condensed" w:cs="Barlow Semi Condensed" w:eastAsia="Barlow Semi Condensed" w:hAnsi="Barlow Semi Condensed"/>
          <w:b/>
          <w:bCs/>
          <w:sz w:val="24"/>
          <w:szCs w:val="24"/>
        </w:rPr>
        <w:t xml:space="preserve">4308 · La priorità del discriminante, applicata.</w:t>
      </w:r>
      <w:r>
        <w:rPr>
          <w:rFonts w:ascii="Barlow Semi Condensed" w:cs="Barlow Semi Condensed" w:eastAsia="Barlow Semi Condensed" w:hAnsi="Barlow Semi Condensed"/>
          <w:sz w:val="24"/>
          <w:szCs w:val="24"/>
        </w:rPr>
        <w:t xml:space="preserve"> A parità di fattibilità precede il bersaglio la cui evidenza discrimina una matrice: lo stabilisce il blocco 282. Applicazione: fra i bersagli di questa serie l'unico realmente discriminante è il documento italiano di provenienza sui colloqui del 1974 e del 1977, perché decide fra la versione testimoniale e la sua smentita. Tutto il resto accumula contesto, ed è onesto scriverlo in testa alla graduatoria.</w:t>
      </w:r>
    </w:p>
    <w:p>
      <w:pPr>
        <w:spacing w:after="120" w:line="276"/>
        <w:jc w:val="both"/>
      </w:pPr>
      <w:r>
        <w:rPr>
          <w:rFonts w:ascii="Barlow Semi Condensed" w:cs="Barlow Semi Condensed" w:eastAsia="Barlow Semi Condensed" w:hAnsi="Barlow Semi Condensed"/>
          <w:b/>
          <w:bCs/>
          <w:sz w:val="24"/>
          <w:szCs w:val="24"/>
        </w:rPr>
        <w:t xml:space="preserve">4309 · Il costo, dichiarato in anticipo.</w:t>
      </w:r>
      <w:r>
        <w:rPr>
          <w:rFonts w:ascii="Barlow Semi Condensed" w:cs="Barlow Semi Condensed" w:eastAsia="Barlow Semi Condensed" w:hAnsi="Barlow Semi Condensed"/>
          <w:sz w:val="24"/>
          <w:szCs w:val="24"/>
        </w:rPr>
        <w:t xml:space="preserve"> Ogni campagna espone il proprio bilancio, e un bersaglio ad alto rendimento e basso costo si difende da sé: così il blocco 286. Per questa serie il conto è insolitamente favorevole — Ford Library, trascrizioni telefoniche, Dodis e lotto FOIA già acquisito si eseguono da remoto e quasi a costo nullo; solo Farnesina, Presidenza della Repubblica e College Park richiedono sala studio. Una colonna intera aperta con tre trasferte.</w:t>
      </w:r>
    </w:p>
    <w:p>
      <w:pPr>
        <w:spacing w:after="120" w:line="276"/>
        <w:jc w:val="both"/>
      </w:pPr>
      <w:r>
        <w:rPr>
          <w:rFonts w:ascii="Barlow Semi Condensed" w:cs="Barlow Semi Condensed" w:eastAsia="Barlow Semi Condensed" w:hAnsi="Barlow Semi Condensed"/>
          <w:b/>
          <w:bCs/>
          <w:sz w:val="24"/>
          <w:szCs w:val="24"/>
        </w:rPr>
        <w:t xml:space="preserve">4310 · Gli stati, non le risposte.</w:t>
      </w:r>
      <w:r>
        <w:rPr>
          <w:rFonts w:ascii="Barlow Semi Condensed" w:cs="Barlow Semi Condensed" w:eastAsia="Barlow Semi Condensed" w:hAnsi="Barlow Semi Condensed"/>
          <w:sz w:val="24"/>
          <w:szCs w:val="24"/>
        </w:rPr>
        <w:t xml:space="preserve"> Uno stato pubblico e datato per ogni bersaglio — non iniziato, in corso, colpito, a vuoto, chiuso per smentita, differito con motivo — è l'imposizione del blocco 284. Gli ottantacinque bersagli di questa serie nascono tutti nello stato «non iniziato», e la serie lo dichiara. Il criterio di compimento sta al blocco 296: la completezza si misura sugli stati terminali documentati, non sulle risposte ottenute.</w:t>
      </w:r>
    </w:p>
    <w:p>
      <w:pPr>
        <w:spacing w:after="120" w:line="276"/>
        <w:jc w:val="both"/>
      </w:pPr>
      <w:r>
        <w:rPr>
          <w:rFonts w:ascii="Barlow Semi Condensed" w:cs="Barlow Semi Condensed" w:eastAsia="Barlow Semi Condensed" w:hAnsi="Barlow Semi Condensed"/>
          <w:b/>
          <w:bCs/>
          <w:sz w:val="24"/>
          <w:szCs w:val="24"/>
        </w:rPr>
        <w:t xml:space="preserve">4311 · Il registro delle richieste, colonna americana.</w:t>
      </w:r>
      <w:r>
        <w:rPr>
          <w:rFonts w:ascii="Barlow Semi Condensed" w:cs="Barlow Semi Condensed" w:eastAsia="Barlow Semi Condensed" w:hAnsi="Barlow Semi Condensed"/>
          <w:sz w:val="24"/>
          <w:szCs w:val="24"/>
        </w:rPr>
        <w:t xml:space="preserve"> Data, destinatario, oggetto, esito, tempi: sono le colonne del registro pubblico che il blocco 259 tiene su ogni istanza generata dall'agenda. Ricaduta: le richieste che questa serie produce — FOIA, revisione obbligatoria di declassificazione, istanze agli istituti universitari — vi entrano con la loro riga. L'agenda tiene su di sé la contabilità che pretende dagli archivi del 1978, e questa serie non chiede alcuna esenzione.</w:t>
      </w:r>
    </w:p>
    <w:p>
      <w:pPr>
        <w:spacing w:after="120" w:line="276"/>
        <w:jc w:val="both"/>
      </w:pPr>
      <w:r>
        <w:rPr>
          <w:rFonts w:ascii="Barlow Semi Condensed" w:cs="Barlow Semi Condensed" w:eastAsia="Barlow Semi Condensed" w:hAnsi="Barlow Semi Condensed"/>
          <w:b/>
          <w:bCs/>
          <w:sz w:val="24"/>
          <w:szCs w:val="24"/>
        </w:rPr>
        <w:t xml:space="preserve">4312 · I tempi, pianificati e non subiti.</w:t>
      </w:r>
      <w:r>
        <w:rPr>
          <w:rFonts w:ascii="Barlow Semi Condensed" w:cs="Barlow Semi Condensed" w:eastAsia="Barlow Semi Condensed" w:hAnsi="Barlow Semi Condensed"/>
          <w:sz w:val="24"/>
          <w:szCs w:val="24"/>
        </w:rPr>
        <w:t xml:space="preserve"> Pazienza organizzata è il nome che il blocco 150 dà alla pianificazione sui tempi reali degli archivi esteri, che rispondono in mesi o anni. Per il versante americano il dato d'esperienza è preciso: le istanze di revisione obbligatoria hanno code lunghe e dichiarate. Chi apre questa colonna nel 2026 deve mettere a bilancio esiti che arriveranno oltre il cinquantennale del 2028, e scriverlo nel cronoprogramma invece di scoprirlo.</w:t>
      </w:r>
    </w:p>
    <w:p>
      <w:pPr>
        <w:spacing w:after="120" w:line="276"/>
        <w:jc w:val="both"/>
      </w:pPr>
      <w:r>
        <w:rPr>
          <w:rFonts w:ascii="Barlow Semi Condensed" w:cs="Barlow Semi Condensed" w:eastAsia="Barlow Semi Condensed" w:hAnsi="Barlow Semi Condensed"/>
          <w:b/>
          <w:bCs/>
          <w:sz w:val="24"/>
          <w:szCs w:val="24"/>
        </w:rPr>
        <w:t xml:space="preserve">4313 · Un calendario già scaduto.</w:t>
      </w:r>
      <w:r>
        <w:rPr>
          <w:rFonts w:ascii="Barlow Semi Condensed" w:cs="Barlow Semi Condensed" w:eastAsia="Barlow Semi Condensed" w:hAnsi="Barlow Semi Condensed"/>
          <w:sz w:val="24"/>
          <w:szCs w:val="24"/>
        </w:rPr>
        <w:t xml:space="preserve"> Correzione al blocco 154, che costruisce la tavola delle scadenze estere distinguendo le serie che si aprono da sole da quelle che dipendono da richieste. Per il quadriennio 1973-1977 la prima categoria è esaurita: i termini automatici sono maturi da tempo. Ciò che resta è interamente nella seconda. La colonna americana di quel calendario, per questi anni, non contiene date future: contiene istanze da scrivere.</w:t>
      </w:r>
    </w:p>
    <w:p>
      <w:pPr>
        <w:spacing w:after="120" w:line="276"/>
        <w:jc w:val="both"/>
      </w:pPr>
      <w:r>
        <w:rPr>
          <w:rFonts w:ascii="Barlow Semi Condensed" w:cs="Barlow Semi Condensed" w:eastAsia="Barlow Semi Condensed" w:hAnsi="Barlow Semi Condensed"/>
          <w:b/>
          <w:bCs/>
          <w:sz w:val="24"/>
          <w:szCs w:val="24"/>
        </w:rPr>
        <w:t xml:space="preserve">4314 · Un nodo che non matura.</w:t>
      </w:r>
      <w:r>
        <w:rPr>
          <w:rFonts w:ascii="Barlow Semi Condensed" w:cs="Barlow Semi Condensed" w:eastAsia="Barlow Semi Condensed" w:hAnsi="Barlow Semi Condensed"/>
          <w:sz w:val="24"/>
          <w:szCs w:val="24"/>
        </w:rPr>
        <w:t xml:space="preserve"> Conseguenza per il blocco 995 dei cantieri, che consegna la tavola dei bersagli serviti dal tempo — le trentennali di Kew e La Courneuve, l'archivio vaticano che un giorno aprirà, le banche dati che crescono. Questo nodo non appartiene a quella tavola. Nessuna apertura futura lo riguarda per decorso automatico, e attenderlo sarebbe attendere invano: è materia del blocco 994, dove stanno i bersagli che si eseguono adesso.</w:t>
      </w:r>
    </w:p>
    <w:p>
      <w:pPr>
        <w:spacing w:after="120" w:line="276"/>
        <w:jc w:val="both"/>
      </w:pPr>
      <w:r>
        <w:rPr>
          <w:rFonts w:ascii="Barlow Semi Condensed" w:cs="Barlow Semi Condensed" w:eastAsia="Barlow Semi Condensed" w:hAnsi="Barlow Semi Condensed"/>
          <w:b/>
          <w:bCs/>
          <w:sz w:val="24"/>
          <w:szCs w:val="24"/>
        </w:rPr>
        <w:t xml:space="preserve">4315 · La scadenza biologica, già passata.</w:t>
      </w:r>
      <w:r>
        <w:rPr>
          <w:rFonts w:ascii="Barlow Semi Condensed" w:cs="Barlow Semi Condensed" w:eastAsia="Barlow Semi Condensed" w:hAnsi="Barlow Semi Condensed"/>
          <w:sz w:val="24"/>
          <w:szCs w:val="24"/>
        </w:rPr>
        <w:t xml:space="preserve"> La finestra si è chiusa il 29 novembre 2023, a Kent, Connecticut: per questo nodo il blocco 994 registra una scadenza già trascorsa. L'unica smentita diretta e circostanziata resta quella resa a un giornalista poco prima della morte, e ogni domanda ulteriore è oggi irripetibile. L'agenda porta la data del 25 agosto 2026: fu scritta quando la via testimoniale era già chiusa, e non lo registra.</w:t>
      </w:r>
    </w:p>
    <w:p>
      <w:pPr>
        <w:spacing w:after="120" w:line="276"/>
        <w:jc w:val="both"/>
      </w:pPr>
      <w:r>
        <w:rPr>
          <w:rFonts w:ascii="Barlow Semi Condensed" w:cs="Barlow Semi Condensed" w:eastAsia="Barlow Semi Condensed" w:hAnsi="Barlow Semi Condensed"/>
          <w:b/>
          <w:bCs/>
          <w:sz w:val="24"/>
          <w:szCs w:val="24"/>
        </w:rPr>
        <w:t xml:space="preserve">4316 · Gli occhi stranieri, senza questo occhio.</w:t>
      </w:r>
      <w:r>
        <w:rPr>
          <w:rFonts w:ascii="Barlow Semi Condensed" w:cs="Barlow Semi Condensed" w:eastAsia="Barlow Semi Condensed" w:hAnsi="Barlow Semi Condensed"/>
          <w:sz w:val="24"/>
          <w:szCs w:val="24"/>
        </w:rPr>
        <w:t xml:space="preserve"> L'ascolto conservativo dei diplomatici e degli addetti alleati viventi in servizio a Roma nel 1978 è organizzato dal blocco 122, che osserva come la memoria straniera goda di archivi destinati prima o poi ad aprirsi. Applicato al nostro nome, il blocco è disattivato in partenza: nessun ascolto è possibile. Resta soltanto il vantaggio che il blocco cita — gli archivi — ed è la ragione dei bersagli d'oltreoceano di questa serie.</w:t>
      </w:r>
    </w:p>
    <w:p>
      <w:pPr>
        <w:spacing w:after="120" w:line="276"/>
        <w:jc w:val="both"/>
      </w:pPr>
      <w:r>
        <w:rPr>
          <w:rFonts w:ascii="Barlow Semi Condensed" w:cs="Barlow Semi Condensed" w:eastAsia="Barlow Semi Condensed" w:hAnsi="Barlow Semi Condensed"/>
          <w:b/>
          <w:bCs/>
          <w:sz w:val="24"/>
          <w:szCs w:val="24"/>
        </w:rPr>
        <w:t xml:space="preserve">4317 · Le rogatorie, strumento inapplicabile.</w:t>
      </w:r>
      <w:r>
        <w:rPr>
          <w:rFonts w:ascii="Barlow Semi Condensed" w:cs="Barlow Semi Condensed" w:eastAsia="Barlow Semi Condensed" w:hAnsi="Barlow Semi Condensed"/>
          <w:sz w:val="24"/>
          <w:szCs w:val="24"/>
        </w:rPr>
        <w:t xml:space="preserve"> La via delle rogatorie e della cooperazione giudiziaria, aperta dal blocco 149 per gli atti esteri che una richiesta archivistica non raggiunge, lascia la titolarità dove la legge la pone. Su questo nodo lo strumento è inapplicabile per due ragioni indipendenti: l'interessato è deceduto e non fu mai imputato né processato in alcun Paese. Resta la sola via archivistica, e va detto perché nessuno la scambi per reticenza.</w:t>
      </w:r>
    </w:p>
    <w:p>
      <w:pPr>
        <w:spacing w:after="120" w:line="276"/>
        <w:jc w:val="both"/>
      </w:pPr>
      <w:r>
        <w:rPr>
          <w:rFonts w:ascii="Barlow Semi Condensed" w:cs="Barlow Semi Condensed" w:eastAsia="Barlow Semi Condensed" w:hAnsi="Barlow Semi Condensed"/>
          <w:b/>
          <w:bCs/>
          <w:sz w:val="24"/>
          <w:szCs w:val="24"/>
        </w:rPr>
        <w:t xml:space="preserve">4318 · Presenze, non mandanti (serie LVI).</w:t>
      </w:r>
      <w:r>
        <w:rPr>
          <w:rFonts w:ascii="Barlow Semi Condensed" w:cs="Barlow Semi Condensed" w:eastAsia="Barlow Semi Condensed" w:hAnsi="Barlow Semi Condensed"/>
          <w:sz w:val="24"/>
          <w:szCs w:val="24"/>
        </w:rPr>
        <w:t xml:space="preserve"> Muro semantico da custodire, dal blocco 887 dei cantieri: il fascicolo vivo della Procura di Roma cerca presenze sulla scena mai identificate né giudicate — non mandanti, non regie. Il blocco fissa il perimetro perché la pubblicistica non lo dilati. Conseguenza per questa serie: nessun nome straniero può entrare in quel procedimento per costruzione dell'oggetto, e ogni ricostruzione che lo suggerisca sta parlando di un altro fascicolo, inesistente.</w:t>
      </w:r>
    </w:p>
    <w:p>
      <w:pPr>
        <w:spacing w:after="120" w:line="276"/>
        <w:jc w:val="both"/>
      </w:pPr>
      <w:r>
        <w:rPr>
          <w:rFonts w:ascii="Barlow Semi Condensed" w:cs="Barlow Semi Condensed" w:eastAsia="Barlow Semi Condensed" w:hAnsi="Barlow Semi Condensed"/>
          <w:b/>
          <w:bCs/>
          <w:sz w:val="24"/>
          <w:szCs w:val="24"/>
        </w:rPr>
        <w:t xml:space="preserve">4319 · La precedenza, e il canale.</w:t>
      </w:r>
      <w:r>
        <w:rPr>
          <w:rFonts w:ascii="Barlow Semi Condensed" w:cs="Barlow Semi Condensed" w:eastAsia="Barlow Semi Condensed" w:hAnsi="Barlow Semi Condensed"/>
          <w:sz w:val="24"/>
          <w:szCs w:val="24"/>
        </w:rPr>
        <w:t xml:space="preserve"> Non interferire, segnalare per iscritto ciò che si trova, aspettare gli atti: è il patto fissato dal blocco 291 dell'agenda e dai blocchi 891 e 892 dei cantieri. Ricaduta qui: se una sede americana restituisse un documento con rilievo per il fascicolo, la via è la segnalazione datata e registrata, non la pubblicazione. L'ipotesi è remota; il canale esiste già, ed è meglio conoscerlo prima che serva.</w:t>
      </w:r>
    </w:p>
    <w:p>
      <w:pPr>
        <w:spacing w:after="120" w:line="276"/>
        <w:jc w:val="both"/>
      </w:pPr>
      <w:r>
        <w:rPr>
          <w:rFonts w:ascii="Barlow Semi Condensed" w:cs="Barlow Semi Condensed" w:eastAsia="Barlow Semi Condensed" w:hAnsi="Barlow Semi Condensed"/>
          <w:b/>
          <w:bCs/>
          <w:sz w:val="24"/>
          <w:szCs w:val="24"/>
        </w:rPr>
        <w:t xml:space="preserve">4320 · I taccuini americani di Roma.</w:t>
      </w:r>
      <w:r>
        <w:rPr>
          <w:rFonts w:ascii="Barlow Semi Condensed" w:cs="Barlow Semi Condensed" w:eastAsia="Barlow Semi Condensed" w:hAnsi="Barlow Semi Condensed"/>
          <w:sz w:val="24"/>
          <w:szCs w:val="24"/>
        </w:rPr>
        <w:t xml:space="preserve"> I fondi dei corrispondenti stranieri del 1978 — americani inclusi — presso università e fondazioni di giornalismo sono censiti dal blocco 277 come sguardo complementare ai cablo. Bersaglio derivato e più antico: gli stessi fondi per il 1974-1976, quando la stampa americana seguiva da vicino il rapporto fra Washington e la Democrazia cristiana. Stessa città, altra penna, altro decennio — e la penna, allora, era in servizio.</w:t>
      </w:r>
    </w:p>
    <w:p>
      <w:pPr>
        <w:spacing w:after="120" w:line="276"/>
        <w:jc w:val="both"/>
      </w:pPr>
      <w:r>
        <w:rPr>
          <w:rFonts w:ascii="Barlow Semi Condensed" w:cs="Barlow Semi Condensed" w:eastAsia="Barlow Semi Condensed" w:hAnsi="Barlow Semi Condensed"/>
          <w:b/>
          <w:bCs/>
          <w:sz w:val="24"/>
          <w:szCs w:val="24"/>
        </w:rPr>
        <w:t xml:space="preserve">4321 · Il portale federato, senza estero.</w:t>
      </w:r>
      <w:r>
        <w:rPr>
          <w:rFonts w:ascii="Barlow Semi Condensed" w:cs="Barlow Semi Condensed" w:eastAsia="Barlow Semi Condensed" w:hAnsi="Barlow Semi Condensed"/>
          <w:sz w:val="24"/>
          <w:szCs w:val="24"/>
        </w:rPr>
        <w:t xml:space="preserve"> Un esito negativo diventa proposta al blocco 920: non esiste un portale unico degli atti del caso ma una costellazione — Camera, Senato, ACS, Rete degli archivi, Bologna. Rilievo: tutte e cinque le stazioni sono italiane. Il portale federato proposto per il 2028 nasce senza alcuna colonna estera, e senza di essa un ricercatore continuerà a dover sapere in anticipo che FRUS esiste. Aggiungerla è un'istruzione di progetto.</w:t>
      </w:r>
    </w:p>
    <w:p>
      <w:pPr>
        <w:spacing w:after="120" w:line="276"/>
        <w:jc w:val="both"/>
      </w:pPr>
      <w:r>
        <w:rPr>
          <w:rFonts w:ascii="Barlow Semi Condensed" w:cs="Barlow Semi Condensed" w:eastAsia="Barlow Semi Condensed" w:hAnsi="Barlow Semi Condensed"/>
          <w:b/>
          <w:bCs/>
          <w:sz w:val="24"/>
          <w:szCs w:val="24"/>
        </w:rPr>
        <w:t xml:space="preserve">4322 · Un identificativo per un nome esterno.</w:t>
      </w:r>
      <w:r>
        <w:rPr>
          <w:rFonts w:ascii="Barlow Semi Condensed" w:cs="Barlow Semi Condensed" w:eastAsia="Barlow Semi Condensed" w:hAnsi="Barlow Semi Condensed"/>
          <w:sz w:val="24"/>
          <w:szCs w:val="24"/>
        </w:rPr>
        <w:t xml:space="preserve"> Identificativi stabili per ogni persona, luogo e reperto attraverso i corpora collegati: lo chiede il blocco 930. Problema tecnico che il territorio non affronta: come si registra un nome che nel caso compare soltanto in testimonianza contestata, senza mai comparire in un atto di provenienza. La soluzione disciplinata è una sola — l'identificativo porta il grado nella scheda, e la scheda porta la smentita accanto all'affermazione, sempre.</w:t>
      </w:r>
    </w:p>
    <w:p>
      <w:pPr>
        <w:spacing w:after="120" w:line="276"/>
        <w:jc w:val="both"/>
      </w:pPr>
      <w:r>
        <w:rPr>
          <w:rFonts w:ascii="Barlow Semi Condensed" w:cs="Barlow Semi Condensed" w:eastAsia="Barlow Semi Condensed" w:hAnsi="Barlow Semi Condensed"/>
          <w:b/>
          <w:bCs/>
          <w:sz w:val="24"/>
          <w:szCs w:val="24"/>
        </w:rPr>
        <w:t xml:space="preserve">4323 · Il 2028 e la quarta colonna.</w:t>
      </w:r>
      <w:r>
        <w:rPr>
          <w:rFonts w:ascii="Barlow Semi Condensed" w:cs="Barlow Semi Condensed" w:eastAsia="Barlow Semi Condensed" w:hAnsi="Barlow Semi Condensed"/>
          <w:sz w:val="24"/>
          <w:szCs w:val="24"/>
        </w:rPr>
        <w:t xml:space="preserve"> Un comitato nazionale e un convegno internazionale che riunisca gli storici degli archivi esteri: così i blocchi 967 e 975 immaginano il cinquantennale. Bersaglio: che la quarta colonna arrivi a quel tavolo con le tavole compilate — Ford Library, College Park, FRUS 1969-1976, trascrizioni telefoniche, fondi personali. Il blocco 968 vuole consegne e non cerimonie: questa serie è, alla lettera, l'elenco di una consegna possibile.</w:t>
      </w:r>
    </w:p>
    <w:p>
      <w:pPr>
        <w:spacing w:after="120" w:line="276"/>
        <w:jc w:val="both"/>
      </w:pPr>
      <w:r>
        <w:rPr>
          <w:rFonts w:ascii="Barlow Semi Condensed" w:cs="Barlow Semi Condensed" w:eastAsia="Barlow Semi Condensed" w:hAnsi="Barlow Semi Condensed"/>
          <w:b/>
          <w:bCs/>
          <w:sz w:val="24"/>
          <w:szCs w:val="24"/>
        </w:rPr>
        <w:t xml:space="preserve">4324 · La scheda pronta per il diluvio.</w:t>
      </w:r>
      <w:r>
        <w:rPr>
          <w:rFonts w:ascii="Barlow Semi Condensed" w:cs="Barlow Semi Condensed" w:eastAsia="Barlow Semi Condensed" w:hAnsi="Barlow Semi Condensed"/>
          <w:sz w:val="24"/>
          <w:szCs w:val="24"/>
        </w:rPr>
        <w:t xml:space="preserve"> Il diluvio mediatico del 2028 e le produzioni di finzione sono previsti dai blocchi 976 e 977, che offrono alle redazioni schede verificate e consulenza documentale. Bersaglio conseguente: che la scheda sull'episodio del preteso avvertimento sia già scritta con le sue sette precisazioni, la sua smentita, le sue tre date e il suo unico lancio d'agenzia. Non si governa il diluvio; si offre acqua pulita a chi la vuole.</w:t>
      </w:r>
    </w:p>
    <w:p>
      <w:pPr>
        <w:spacing w:after="120" w:line="276"/>
        <w:jc w:val="both"/>
      </w:pPr>
      <w:r>
        <w:rPr>
          <w:rFonts w:ascii="Barlow Semi Condensed" w:cs="Barlow Semi Condensed" w:eastAsia="Barlow Semi Condensed" w:hAnsi="Barlow Semi Condensed"/>
          <w:b/>
          <w:bCs/>
          <w:sz w:val="24"/>
          <w:szCs w:val="24"/>
        </w:rPr>
        <w:t xml:space="preserve">4325 · Il congedo della serie LVI.</w:t>
      </w:r>
      <w:r>
        <w:rPr>
          <w:rFonts w:ascii="Barlow Semi Condensed" w:cs="Barlow Semi Condensed" w:eastAsia="Barlow Semi Condensed" w:hAnsi="Barlow Semi Condensed"/>
          <w:sz w:val="24"/>
          <w:szCs w:val="24"/>
        </w:rPr>
        <w:t xml:space="preserve"> Congedo, con la contabilità in chiaro: nessun ponte di piano 1 è stato aggiunto fra questo nome e il caso Moro, e nessuno poteva esserlo da due documenti che non lo nominano mai. Sono stati aggiunti una diagnosi del vuoto, sei sedi d'archivio mancanti, tre bersagli italiani mai formulati, un bersaglio di smentita e uno di conferma. Il corpus si ferma al giudicato, e qui non c'è giudicato da cui muovere.</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Serie cinquantasettesima — Le fonti orali e le memorie</w:t>
      </w:r>
    </w:p>
    <w:p>
      <w:pPr>
        <w:spacing w:after="120" w:line="276"/>
        <w:jc w:val="both"/>
      </w:pPr>
      <w:r>
        <w:rPr>
          <w:rFonts w:ascii="Barlow Semi Condensed" w:cs="Barlow Semi Condensed" w:eastAsia="Barlow Semi Condensed" w:hAnsi="Barlow Semi Condensed"/>
          <w:i/>
          <w:iCs/>
          <w:sz w:val="24"/>
          <w:szCs w:val="24"/>
        </w:rPr>
        <w:t xml:space="preserve">Blocchi 4326-4400.</w:t>
      </w:r>
    </w:p>
    <w:p>
      <w:pPr>
        <w:spacing w:after="120" w:line="276"/>
        <w:jc w:val="both"/>
      </w:pPr>
      <w:r>
        <w:rPr>
          <w:rFonts w:ascii="Barlow Semi Condensed" w:cs="Barlow Semi Condensed" w:eastAsia="Barlow Semi Condensed" w:hAnsi="Barlow Semi Condensed"/>
          <w:b/>
          <w:bCs/>
          <w:sz w:val="24"/>
          <w:szCs w:val="24"/>
        </w:rPr>
        <w:t xml:space="preserve">4326 · Lo statuto orale di questa serie.</w:t>
      </w:r>
      <w:r>
        <w:rPr>
          <w:rFonts w:ascii="Barlow Semi Condensed" w:cs="Barlow Semi Condensed" w:eastAsia="Barlow Semi Condensed" w:hAnsi="Barlow Semi Condensed"/>
          <w:sz w:val="24"/>
          <w:szCs w:val="24"/>
        </w:rPr>
        <w:t xml:space="preserve"> Il territorio assegnato è tutto il corpus letto per le sue testimonianze. La griglia esiste già: l'edizione strutturata dell'opera-madre fissa ai blocchi 1051-1056 i tetti di grado — giudicato A, atti parlamentari B, memorialistica C, pubblicistica C. Questa serie non ne propone un'altra: la applica a un solo nome, e verifica dove le fonti orali del corpus lo nominano, dove lo sfiorano e dove tacciono del tutto.</w:t>
      </w:r>
    </w:p>
    <w:p>
      <w:pPr>
        <w:spacing w:after="120" w:line="276"/>
        <w:jc w:val="both"/>
      </w:pPr>
      <w:r>
        <w:rPr>
          <w:rFonts w:ascii="Barlow Semi Condensed" w:cs="Barlow Semi Condensed" w:eastAsia="Barlow Semi Condensed" w:hAnsi="Barlow Semi Condensed"/>
          <w:b/>
          <w:bCs/>
          <w:sz w:val="24"/>
          <w:szCs w:val="24"/>
        </w:rPr>
        <w:t xml:space="preserve">4327 · L'unico ingresso orale del nome.</w:t>
      </w:r>
      <w:r>
        <w:rPr>
          <w:rFonts w:ascii="Barlow Semi Condensed" w:cs="Barlow Semi Condensed" w:eastAsia="Barlow Semi Condensed" w:hAnsi="Barlow Semi Condensed"/>
          <w:sz w:val="24"/>
          <w:szCs w:val="24"/>
        </w:rPr>
        <w:t xml:space="preserve"> Nel corpus il nome qui triangolato entra per via testimoniale in un punto solo: il nodo M-5 di triangolazioni-guevara-moro.md, «L'ombra statunitense su entrambe le morti». Ovunque altrove — la cartella della Farnesina, i volumi FRUS, i verbali della Ford Library — entra per via documentale. La distinzione va tenuta a vista: un archivio attesta ciò che un funzionario scrisse il giorno stesso, un teste riferisce ciò che ricorda anni dopo.</w:t>
      </w:r>
    </w:p>
    <w:p>
      <w:pPr>
        <w:spacing w:after="120" w:line="276"/>
        <w:jc w:val="both"/>
      </w:pPr>
      <w:r>
        <w:rPr>
          <w:rFonts w:ascii="Barlow Semi Condensed" w:cs="Barlow Semi Condensed" w:eastAsia="Barlow Semi Condensed" w:hAnsi="Barlow Semi Condensed"/>
          <w:b/>
          <w:bCs/>
          <w:sz w:val="24"/>
          <w:szCs w:val="24"/>
        </w:rPr>
        <w:t xml:space="preserve">4328 · Guerzoni davanti alla Corte d'assise.</w:t>
      </w:r>
      <w:r>
        <w:rPr>
          <w:rFonts w:ascii="Barlow Semi Condensed" w:cs="Barlow Semi Condensed" w:eastAsia="Barlow Semi Condensed" w:hAnsi="Barlow Semi Condensed"/>
          <w:sz w:val="24"/>
          <w:szCs w:val="24"/>
        </w:rPr>
        <w:t xml:space="preserve"> Il portavoce depose a Roma nel novembre 1982 — il 10 secondo la datazione più ricorrente, il 15 secondo una fonte, divergenza non risolta — e depose de relato, non avendo assistito al colloquio. Il blocco 697 dell'opera in mille blocchi fissa il bersaglio, e questa serie lo ripete senza attenuarlo: il verbale d'udienza integrale presso gli atti della corte. Finché non è letto, grado B nella sua accezione debole.</w:t>
      </w:r>
    </w:p>
    <w:p>
      <w:pPr>
        <w:spacing w:after="120" w:line="276"/>
        <w:jc w:val="both"/>
      </w:pPr>
      <w:r>
        <w:rPr>
          <w:rFonts w:ascii="Barlow Semi Condensed" w:cs="Barlow Semi Condensed" w:eastAsia="Barlow Semi Condensed" w:hAnsi="Barlow Semi Condensed"/>
          <w:b/>
          <w:bCs/>
          <w:sz w:val="24"/>
          <w:szCs w:val="24"/>
        </w:rPr>
        <w:t xml:space="preserve">4329 · L'audizione del primo agosto 1980 (serie LVII).</w:t>
      </w:r>
      <w:r>
        <w:rPr>
          <w:rFonts w:ascii="Barlow Semi Condensed" w:cs="Barlow Semi Condensed" w:eastAsia="Barlow Semi Condensed" w:hAnsi="Barlow Semi Condensed"/>
          <w:sz w:val="24"/>
          <w:szCs w:val="24"/>
        </w:rPr>
        <w:t xml:space="preserve"> La vedova fu ascoltata dalla Commissione parlamentare d'inchiesta il 1° agosto 1980; una fonte indica l'11, verosimilmente per lettura errata. La sede è confermata, il contenuto verbatim no: le sintesi attribuiscono la frase alla deposizione giudiziaria del 1982, mentre dell'audizione riportano soprattutto un riferimento a minacce risalenti al 1975 e crescenti. Bersaglio: i resoconti stenografici della VIII legislatura, letti direttamente e non per sintesi.</w:t>
      </w:r>
    </w:p>
    <w:p>
      <w:pPr>
        <w:spacing w:after="120" w:line="276"/>
        <w:jc w:val="both"/>
      </w:pPr>
      <w:r>
        <w:rPr>
          <w:rFonts w:ascii="Barlow Semi Condensed" w:cs="Barlow Semi Condensed" w:eastAsia="Barlow Semi Condensed" w:hAnsi="Barlow Semi Condensed"/>
          <w:b/>
          <w:bCs/>
          <w:sz w:val="24"/>
          <w:szCs w:val="24"/>
        </w:rPr>
        <w:t xml:space="preserve">4330 · Il nome estratto in udienza (serie LVII).</w:t>
      </w:r>
      <w:r>
        <w:rPr>
          <w:rFonts w:ascii="Barlow Semi Condensed" w:cs="Barlow Semi Condensed" w:eastAsia="Barlow Semi Condensed" w:hAnsi="Barlow Semi Condensed"/>
          <w:sz w:val="24"/>
          <w:szCs w:val="24"/>
        </w:rPr>
        <w:t xml:space="preserve"> In aula la vedova parlò di «un'alta personalità» senza nominarla; fu il presidente della corte, richiamando la deposizione del portavoce, a ottenere l'indicazione. L'attribuzione nasce dunque nel dibattimento anziché precederlo, ed è essa stessa indiretta. Nessuna sintesi divulgativa lo riporta, e il dato modifica il peso della convergenza fra i due testi: un nome ottenuto per richiamo non pesa quanto un nome pronunciato spontaneamente.</w:t>
      </w:r>
    </w:p>
    <w:p>
      <w:pPr>
        <w:spacing w:after="120" w:line="276"/>
        <w:jc w:val="both"/>
      </w:pPr>
      <w:r>
        <w:rPr>
          <w:rFonts w:ascii="Barlow Semi Condensed" w:cs="Barlow Semi Condensed" w:eastAsia="Barlow Semi Condensed" w:hAnsi="Barlow Semi Condensed"/>
          <w:b/>
          <w:bCs/>
          <w:sz w:val="24"/>
          <w:szCs w:val="24"/>
        </w:rPr>
        <w:t xml:space="preserve">4331 · Sede confermata, contenuto da verificare (serie LVII).</w:t>
      </w:r>
      <w:r>
        <w:rPr>
          <w:rFonts w:ascii="Barlow Semi Condensed" w:cs="Barlow Semi Condensed" w:eastAsia="Barlow Semi Condensed" w:hAnsi="Barlow Semi Condensed"/>
          <w:sz w:val="24"/>
          <w:szCs w:val="24"/>
        </w:rPr>
        <w:t xml:space="preserve"> Il blocco 696 dell'opera propone questa formula come categoria autonoma del registro, e la serie la adotta. Significa che si sa dove un atto fu compiuto e non che cosa vi fu detto. Non è uno Stato Zero: il documento esiste e non è stato letto. È un vuoto di secondo ordine, e va tenuto distinto dal vuoto di prima specie, che riguarda l'esistenza stessa della carta.</w:t>
      </w:r>
    </w:p>
    <w:p>
      <w:pPr>
        <w:spacing w:after="120" w:line="276"/>
        <w:jc w:val="both"/>
      </w:pPr>
      <w:r>
        <w:rPr>
          <w:rFonts w:ascii="Barlow Semi Condensed" w:cs="Barlow Semi Condensed" w:eastAsia="Barlow Semi Condensed" w:hAnsi="Barlow Semi Condensed"/>
          <w:b/>
          <w:bCs/>
          <w:sz w:val="24"/>
          <w:szCs w:val="24"/>
        </w:rPr>
        <w:t xml:space="preserve">4332 · Due smentite italiane, e il loro attrito.</w:t>
      </w:r>
      <w:r>
        <w:rPr>
          <w:rFonts w:ascii="Barlow Semi Condensed" w:cs="Barlow Semi Condensed" w:eastAsia="Barlow Semi Condensed" w:hAnsi="Barlow Semi Condensed"/>
          <w:sz w:val="24"/>
          <w:szCs w:val="24"/>
        </w:rPr>
        <w:t xml:space="preserve"> Nell'apparato K stanno registrati due testimoni italiani qualificati che negarono la minaccia. Uno la definì «una leggenda che non ha fondamento», dicendo di aver verificato allora con l'interprete; lo stesso, altrove, descrisse un colloquio politicamente durissimo, distinguendo il rimprovero aspro dalla minaccia. Un altro parlò di «solo un problema di linguaggio». Nessuno dei due era presente al colloquio riservato: le divergenze si riportano tutte, e non si compongono.</w:t>
      </w:r>
    </w:p>
    <w:p>
      <w:pPr>
        <w:spacing w:after="120" w:line="276"/>
        <w:jc w:val="both"/>
      </w:pPr>
      <w:r>
        <w:rPr>
          <w:rFonts w:ascii="Barlow Semi Condensed" w:cs="Barlow Semi Condensed" w:eastAsia="Barlow Semi Condensed" w:hAnsi="Barlow Semi Condensed"/>
          <w:b/>
          <w:bCs/>
          <w:sz w:val="24"/>
          <w:szCs w:val="24"/>
        </w:rPr>
        <w:t xml:space="preserve">4333 · L'interprete come bersaglio materiale.</w:t>
      </w:r>
      <w:r>
        <w:rPr>
          <w:rFonts w:ascii="Barlow Semi Condensed" w:cs="Barlow Semi Condensed" w:eastAsia="Barlow Semi Condensed" w:hAnsi="Barlow Semi Condensed"/>
          <w:sz w:val="24"/>
          <w:szCs w:val="24"/>
        </w:rPr>
        <w:t xml:space="preserve"> Una delle smentite poggia su un dato verificabile: Moro non parlava inglese, e lo scambio verbale diretto passava per un interprete. È l'unico appiglio materiale che il nodo offra. Bersaglio nominato: l'identità dell'interprete della visita di Stato del settembre 1974, ricavabile dagli atti del cerimoniale della Farnesina e dai fascicoli della Gerald R. Ford Presidential Library. Se ne resta traccia, è la sola voce diretta ancora cercabile.</w:t>
      </w:r>
    </w:p>
    <w:p>
      <w:pPr>
        <w:spacing w:after="120" w:line="276"/>
        <w:jc w:val="both"/>
      </w:pPr>
      <w:r>
        <w:rPr>
          <w:rFonts w:ascii="Barlow Semi Condensed" w:cs="Barlow Semi Condensed" w:eastAsia="Barlow Semi Condensed" w:hAnsi="Barlow Semi Condensed"/>
          <w:b/>
          <w:bCs/>
          <w:sz w:val="24"/>
          <w:szCs w:val="24"/>
        </w:rPr>
        <w:t xml:space="preserve">4334 · Il programma del 1965 come modello.</w:t>
      </w:r>
      <w:r>
        <w:rPr>
          <w:rFonts w:ascii="Barlow Semi Condensed" w:cs="Barlow Semi Condensed" w:eastAsia="Barlow Semi Condensed" w:hAnsi="Barlow Semi Condensed"/>
          <w:sz w:val="24"/>
          <w:szCs w:val="24"/>
        </w:rPr>
        <w:t xml:space="preserve"> La cartella della Farnesina conserva, in documenti-state-dept-1965-1978.md, il comunicato stampa n. 76 del Dipartimento di Stato del 16 aprile 1965 con l'elenco nominativo della delegazione italiana: fra gli altri Fanfani, Fenoaltea, Ortona, Freato, Rana e Corrado Guerzoni, capo dell'Ufficio stampa. Il documento non riguarda il 1974 e non nomina il nome qui triangolato: allora il Dipartimento di Stato era retto da Dean Rusk.</w:t>
      </w:r>
    </w:p>
    <w:p>
      <w:pPr>
        <w:spacing w:after="120" w:line="276"/>
        <w:jc w:val="both"/>
      </w:pPr>
      <w:r>
        <w:rPr>
          <w:rFonts w:ascii="Barlow Semi Condensed" w:cs="Barlow Semi Condensed" w:eastAsia="Barlow Semi Condensed" w:hAnsi="Barlow Semi Condensed"/>
          <w:b/>
          <w:bCs/>
          <w:sz w:val="24"/>
          <w:szCs w:val="24"/>
        </w:rPr>
        <w:t xml:space="preserve">4335 · La lista mancante del 1974.</w:t>
      </w:r>
      <w:r>
        <w:rPr>
          <w:rFonts w:ascii="Barlow Semi Condensed" w:cs="Barlow Semi Condensed" w:eastAsia="Barlow Semi Condensed" w:hAnsi="Barlow Semi Condensed"/>
          <w:sz w:val="24"/>
          <w:szCs w:val="24"/>
        </w:rPr>
        <w:t xml:space="preserve"> Il corpus non possiede l'equivalente di quell'elenco per la visita di Stato del 25-29 settembre 1974 — data su cui, per giunta, gli atti presidenziali e la nota editoriale FRUS divergono, 25-29 contro 25-27. È uno Stato Zero preciso: senza la lista nominativa non esiste il perimetro dei possibili testimoni. Sedi che lo chiuderebbero: il cerimoniale della Farnesina, la Ford Library, l'Ambasciata d'Italia a Washington.</w:t>
      </w:r>
    </w:p>
    <w:p>
      <w:pPr>
        <w:spacing w:after="120" w:line="276"/>
        <w:jc w:val="both"/>
      </w:pPr>
      <w:r>
        <w:rPr>
          <w:rFonts w:ascii="Barlow Semi Condensed" w:cs="Barlow Semi Condensed" w:eastAsia="Barlow Semi Condensed" w:hAnsi="Barlow Semi Condensed"/>
          <w:b/>
          <w:bCs/>
          <w:sz w:val="24"/>
          <w:szCs w:val="24"/>
        </w:rPr>
        <w:t xml:space="preserve">4336 · Che cosa indica un de relato.</w:t>
      </w:r>
      <w:r>
        <w:rPr>
          <w:rFonts w:ascii="Barlow Semi Condensed" w:cs="Barlow Semi Condensed" w:eastAsia="Barlow Semi Condensed" w:hAnsi="Barlow Semi Condensed"/>
          <w:sz w:val="24"/>
          <w:szCs w:val="24"/>
        </w:rPr>
        <w:t xml:space="preserve"> Una testimonianza indiretta non è priva di valore: indica una fonte. Qui la fonte dichiarata sono Moro e il suo entourage, e Moro è irraggiungibile dal 1978. Ma Moro scrisse, e scrisse molto, proprio sui temi internazionali: il memoriale di via Monte Nevoso e le lettere della prigionia sono la sola via rimasta per interrogare la fonte del de relato. È lì che questa serie porta il quesito.</w:t>
      </w:r>
    </w:p>
    <w:p>
      <w:pPr>
        <w:spacing w:after="120" w:line="276"/>
        <w:jc w:val="both"/>
      </w:pPr>
      <w:r>
        <w:rPr>
          <w:rFonts w:ascii="Barlow Semi Condensed" w:cs="Barlow Semi Condensed" w:eastAsia="Barlow Semi Condensed" w:hAnsi="Barlow Semi Condensed"/>
          <w:b/>
          <w:bCs/>
          <w:sz w:val="24"/>
          <w:szCs w:val="24"/>
        </w:rPr>
        <w:t xml:space="preserve">4337 · Il memoriale interrogato con la griglia.</w:t>
      </w:r>
      <w:r>
        <w:rPr>
          <w:rFonts w:ascii="Barlow Semi Condensed" w:cs="Barlow Semi Condensed" w:eastAsia="Barlow Semi Condensed" w:hAnsi="Barlow Semi Condensed"/>
          <w:sz w:val="24"/>
          <w:szCs w:val="24"/>
        </w:rPr>
        <w:t xml:space="preserve"> Il blocco 537 dei nove cantieri impone di leggere i passaggi sensibili del memoriale distinguendo ciò che Moro afferma per conoscenza diretta, ciò che riferisce e ciò che congettura. Applicata a questo nodo, la griglia produce un quesito unico e verificabile: l'episodio del 1974 compare in quelle carte, e in quale dei tre registri? Sedi: la curatela Gotor del 2011 e l'edizione critica presentata all'Archivio di Stato di Roma.</w:t>
      </w:r>
    </w:p>
    <w:p>
      <w:pPr>
        <w:spacing w:after="120" w:line="276"/>
        <w:jc w:val="both"/>
      </w:pPr>
      <w:r>
        <w:rPr>
          <w:rFonts w:ascii="Barlow Semi Condensed" w:cs="Barlow Semi Condensed" w:eastAsia="Barlow Semi Condensed" w:hAnsi="Barlow Semi Condensed"/>
          <w:b/>
          <w:bCs/>
          <w:sz w:val="24"/>
          <w:szCs w:val="24"/>
        </w:rPr>
        <w:t xml:space="preserve">4338 · Il canone delle lettere, interrogato.</w:t>
      </w:r>
      <w:r>
        <w:rPr>
          <w:rFonts w:ascii="Barlow Semi Condensed" w:cs="Barlow Semi Condensed" w:eastAsia="Barlow Semi Condensed" w:hAnsi="Barlow Semi Condensed"/>
          <w:sz w:val="24"/>
          <w:szCs w:val="24"/>
        </w:rPr>
        <w:t xml:space="preserve"> Il blocco 486 dei cantieri fissa il canone epistolare della prigionia sull'edizione Gotor del 2008 — novantasette lettere, con varianti di computo dichiarate. Il corpus non registra in alcuna di esse la menzione dell'episodio di Washington. L'assenza va misurata prima di essere citata: si dichiarano l'edizione usata, le stringhe cercate e le loro varianti, secondo il verbale di vuoto del blocco 285 dell'agenda.</w:t>
      </w:r>
    </w:p>
    <w:p>
      <w:pPr>
        <w:spacing w:after="120" w:line="276"/>
        <w:jc w:val="both"/>
      </w:pPr>
      <w:r>
        <w:rPr>
          <w:rFonts w:ascii="Barlow Semi Condensed" w:cs="Barlow Semi Condensed" w:eastAsia="Barlow Semi Condensed" w:hAnsi="Barlow Semi Condensed"/>
          <w:b/>
          <w:bCs/>
          <w:sz w:val="24"/>
          <w:szCs w:val="24"/>
        </w:rPr>
        <w:t xml:space="preserve">4339 · Il Memoriale Morucci, testo negoziato.</w:t>
      </w:r>
      <w:r>
        <w:rPr>
          <w:rFonts w:ascii="Barlow Semi Condensed" w:cs="Barlow Semi Condensed" w:eastAsia="Barlow Semi Condensed" w:hAnsi="Barlow Semi Condensed"/>
          <w:sz w:val="24"/>
          <w:szCs w:val="24"/>
        </w:rPr>
        <w:t xml:space="preserve"> La Commissione Moro 2 ha accertato che il cosiddetto Memoriale Morucci fu il risultato di una collaborazione sviluppatasi lungo gli anni Ottanta, non una confessione spontanea: grado B, e il blocco 150 del manuale investigativo prescrive di usarlo come mappa interna con quel grado. La fonte narrativa interna più influente del caso non porta, nel corpus, alcuna menzione del nome qui triangolato.</w:t>
      </w:r>
    </w:p>
    <w:p>
      <w:pPr>
        <w:spacing w:after="120" w:line="276"/>
        <w:jc w:val="both"/>
      </w:pPr>
      <w:r>
        <w:rPr>
          <w:rFonts w:ascii="Barlow Semi Condensed" w:cs="Barlow Semi Condensed" w:eastAsia="Barlow Semi Condensed" w:hAnsi="Barlow Semi Condensed"/>
          <w:b/>
          <w:bCs/>
          <w:sz w:val="24"/>
          <w:szCs w:val="24"/>
        </w:rPr>
        <w:t xml:space="preserve">4340 · La regola che governa la serie.</w:t>
      </w:r>
      <w:r>
        <w:rPr>
          <w:rFonts w:ascii="Barlow Semi Condensed" w:cs="Barlow Semi Condensed" w:eastAsia="Barlow Semi Condensed" w:hAnsi="Barlow Semi Condensed"/>
          <w:sz w:val="24"/>
          <w:szCs w:val="24"/>
        </w:rPr>
        <w:t xml:space="preserve"> triangolazione-hyperion-corpus.md la formula meglio di qualunque riscrittura: documentare l'esistenza di una testimonianza non è documentare ciò che essa afferma. Là serve a trattare le dichiarazioni sui rapporti fra servizi italiani e francesi; qui vale identica. Che due persone abbiano riferito una frase in sedi qualificate è un fatto accertato; che la frase sia stata pronunciata è un'altra proposizione, e chiede un'altra prova.</w:t>
      </w:r>
    </w:p>
    <w:p>
      <w:pPr>
        <w:spacing w:after="120" w:line="276"/>
        <w:jc w:val="both"/>
      </w:pPr>
      <w:r>
        <w:rPr>
          <w:rFonts w:ascii="Barlow Semi Condensed" w:cs="Barlow Semi Condensed" w:eastAsia="Barlow Semi Condensed" w:hAnsi="Barlow Semi Condensed"/>
          <w:b/>
          <w:bCs/>
          <w:sz w:val="24"/>
          <w:szCs w:val="24"/>
        </w:rPr>
        <w:t xml:space="preserve">4341 · La testimonianza non diventa arco.</w:t>
      </w:r>
      <w:r>
        <w:rPr>
          <w:rFonts w:ascii="Barlow Semi Condensed" w:cs="Barlow Semi Condensed" w:eastAsia="Barlow Semi Condensed" w:hAnsi="Barlow Semi Condensed"/>
          <w:sz w:val="24"/>
          <w:szCs w:val="24"/>
        </w:rPr>
        <w:t xml:space="preserve"> Il documento di metodo sulla sinaptogenesi conta trentanove nodi e cinquantanove archi, e ammette solo archi documentati col proprio grado: ventotto A, ventisei F, cinque B. Una testimonianza contestata non può diventare arco, e se lo diventasse porterebbe il proprio grado dentro ogni cammino che l'attraversa, per la regola dell'anello debole. Nessun cammino che passi di qui può reggere un'inferenza operativa.</w:t>
      </w:r>
    </w:p>
    <w:p>
      <w:pPr>
        <w:spacing w:after="120" w:line="276"/>
        <w:jc w:val="both"/>
      </w:pPr>
      <w:r>
        <w:rPr>
          <w:rFonts w:ascii="Barlow Semi Condensed" w:cs="Barlow Semi Condensed" w:eastAsia="Barlow Semi Condensed" w:hAnsi="Barlow Semi Condensed"/>
          <w:b/>
          <w:bCs/>
          <w:sz w:val="24"/>
          <w:szCs w:val="24"/>
        </w:rPr>
        <w:t xml:space="preserve">4342 · L'errore del testimone-oracolo.</w:t>
      </w:r>
      <w:r>
        <w:rPr>
          <w:rFonts w:ascii="Barlow Semi Condensed" w:cs="Barlow Semi Condensed" w:eastAsia="Barlow Semi Condensed" w:hAnsi="Barlow Semi Condensed"/>
          <w:sz w:val="24"/>
          <w:szCs w:val="24"/>
        </w:rPr>
        <w:t xml:space="preserve"> Il manuale lo censisce al blocco 253 con il suo caso: una corroborazione fisica assunta sulla parola per decenni. L'antidoto è il blocco 9 — la corroborazione si verifica prima di fondare, e ogni teste chiave ha la sua scheda di riscontri materiali. Questa serie apre quella scheda per il nodo dell'avvertimento e la trova vuota: nessun riscontro materiale è mai stato prodotto, né chiesto.</w:t>
      </w:r>
    </w:p>
    <w:p>
      <w:pPr>
        <w:spacing w:after="120" w:line="276"/>
        <w:jc w:val="both"/>
      </w:pPr>
      <w:r>
        <w:rPr>
          <w:rFonts w:ascii="Barlow Semi Condensed" w:cs="Barlow Semi Condensed" w:eastAsia="Barlow Semi Condensed" w:hAnsi="Barlow Semi Condensed"/>
          <w:b/>
          <w:bCs/>
          <w:sz w:val="24"/>
          <w:szCs w:val="24"/>
        </w:rPr>
        <w:t xml:space="preserve">4343 · Che cosa corroborerebbe una frase.</w:t>
      </w:r>
      <w:r>
        <w:rPr>
          <w:rFonts w:ascii="Barlow Semi Condensed" w:cs="Barlow Semi Condensed" w:eastAsia="Barlow Semi Condensed" w:hAnsi="Barlow Semi Condensed"/>
          <w:sz w:val="24"/>
          <w:szCs w:val="24"/>
        </w:rPr>
        <w:t xml:space="preserve"> La lezione della Nota di revisione n. 1 è che il ricordo si vincola ai documenti. Ma una frase detta a margine non lascia traccia fisica: non c'è parabrezza da fotografare. Ne discende il solo riscontro concepibile, e va scritto perché è il bersaglio vero: un appunto coevo — di delegazione, di ambasciata, di segreteria particolare — redatto da chi udì, e datato prima del 1982.</w:t>
      </w:r>
    </w:p>
    <w:p>
      <w:pPr>
        <w:spacing w:after="120" w:line="276"/>
        <w:jc w:val="both"/>
      </w:pPr>
      <w:r>
        <w:rPr>
          <w:rFonts w:ascii="Barlow Semi Condensed" w:cs="Barlow Semi Condensed" w:eastAsia="Barlow Semi Condensed" w:hAnsi="Barlow Semi Condensed"/>
          <w:b/>
          <w:bCs/>
          <w:sz w:val="24"/>
          <w:szCs w:val="24"/>
        </w:rPr>
        <w:t xml:space="preserve">4344 · De Chiara e il giacimento inesplorato.</w:t>
      </w:r>
      <w:r>
        <w:rPr>
          <w:rFonts w:ascii="Barlow Semi Condensed" w:cs="Barlow Semi Condensed" w:eastAsia="Barlow Semi Condensed" w:hAnsi="Barlow Semi Condensed"/>
          <w:sz w:val="24"/>
          <w:szCs w:val="24"/>
        </w:rPr>
        <w:t xml:space="preserve"> Un residente di via Fani fu udito per la prima volta dopo quasi quarant'anni dalla Commissione Moro 2: il giacimento testimoniale non era esaurito, era inesplorato. Il manuale ne ricava il blocco 147, i testimoni mai cercati. Applicato qui: nessuno ha mai censito i viventi della visita del settembre 1974 — funzionari, interpreti, personale d'ambasciata. Il censimento non è stato fatto a vuoto: non è stato fatto.</w:t>
      </w:r>
    </w:p>
    <w:p>
      <w:pPr>
        <w:spacing w:after="120" w:line="276"/>
        <w:jc w:val="both"/>
      </w:pPr>
      <w:r>
        <w:rPr>
          <w:rFonts w:ascii="Barlow Semi Condensed" w:cs="Barlow Semi Condensed" w:eastAsia="Barlow Semi Condensed" w:hAnsi="Barlow Semi Condensed"/>
          <w:b/>
          <w:bCs/>
          <w:sz w:val="24"/>
          <w:szCs w:val="24"/>
        </w:rPr>
        <w:t xml:space="preserve">4345 · Né oracolo né inutile.</w:t>
      </w:r>
      <w:r>
        <w:rPr>
          <w:rFonts w:ascii="Barlow Semi Condensed" w:cs="Barlow Semi Condensed" w:eastAsia="Barlow Semi Condensed" w:hAnsi="Barlow Semi Condensed"/>
          <w:sz w:val="24"/>
          <w:szCs w:val="24"/>
        </w:rPr>
        <w:t xml:space="preserve"> La scheda PN-7 dell'approfondimento delle piste di testa chiude la lezione con una formula a due tagli: trattare il testimone tardivo come oracolo è l'errore della pubblicistica, trattarlo come inutile fu l'errore degli atti per quarant'anni. Il testimone è una fonte di grado B da incrociare, sempre. La serie applica entrambi i tagli alle due deposizioni del 1980 e del 1982, senza sconti in nessuna direzione.</w:t>
      </w:r>
    </w:p>
    <w:p>
      <w:pPr>
        <w:spacing w:after="120" w:line="276"/>
        <w:jc w:val="both"/>
      </w:pPr>
      <w:r>
        <w:rPr>
          <w:rFonts w:ascii="Barlow Semi Condensed" w:cs="Barlow Semi Condensed" w:eastAsia="Barlow Semi Condensed" w:hAnsi="Barlow Semi Condensed"/>
          <w:b/>
          <w:bCs/>
          <w:sz w:val="24"/>
          <w:szCs w:val="24"/>
        </w:rPr>
        <w:t xml:space="preserve">4346 · Il ricordo del ricordo.</w:t>
      </w:r>
      <w:r>
        <w:rPr>
          <w:rFonts w:ascii="Barlow Semi Condensed" w:cs="Barlow Semi Condensed" w:eastAsia="Barlow Semi Condensed" w:hAnsi="Barlow Semi Condensed"/>
          <w:sz w:val="24"/>
          <w:szCs w:val="24"/>
        </w:rPr>
        <w:t xml:space="preserve"> Il blocco 145 del manuale distingue, per i testimoni già uditi, ciò che si ricorda dei fatti da ciò che si ricorda delle proprie deposizioni: quarant'anni di racconto pubblico sono uno strato da scavare. Su questo nodo lo strato ha inghiottito il fatto: ciò che circola dal 2023 non è la memoria di un colloquio, è la memoria di una deposizione, ricopiata molte volte.</w:t>
      </w:r>
    </w:p>
    <w:p>
      <w:pPr>
        <w:spacing w:after="120" w:line="276"/>
        <w:jc w:val="both"/>
      </w:pPr>
      <w:r>
        <w:rPr>
          <w:rFonts w:ascii="Barlow Semi Condensed" w:cs="Barlow Semi Condensed" w:eastAsia="Barlow Semi Condensed" w:hAnsi="Barlow Semi Condensed"/>
          <w:b/>
          <w:bCs/>
          <w:sz w:val="24"/>
          <w:szCs w:val="24"/>
        </w:rPr>
        <w:t xml:space="preserve">4347 · Un solo lancio, trenta novembre.</w:t>
      </w:r>
      <w:r>
        <w:rPr>
          <w:rFonts w:ascii="Barlow Semi Condensed" w:cs="Barlow Semi Condensed" w:eastAsia="Barlow Semi Condensed" w:hAnsi="Barlow Semi Condensed"/>
          <w:sz w:val="24"/>
          <w:szCs w:val="24"/>
        </w:rPr>
        <w:t xml:space="preserve"> Le decine di riprese pressoché identiche della frase risalgono a un unico lancio d'agenzia del 30 novembre 2023, il giorno successivo alla morte dell'interessato. La replicazione non aggiunge informazione: il numero delle ripetizioni non è valore probatorio. Regola di lettura per l'intera serie: si data la fonte, non le copie, e si conta una volta ciò che è stato scritto una volta sola.</w:t>
      </w:r>
    </w:p>
    <w:p>
      <w:pPr>
        <w:spacing w:after="120" w:line="276"/>
        <w:jc w:val="both"/>
      </w:pPr>
      <w:r>
        <w:rPr>
          <w:rFonts w:ascii="Barlow Semi Condensed" w:cs="Barlow Semi Condensed" w:eastAsia="Barlow Semi Condensed" w:hAnsi="Barlow Semi Condensed"/>
          <w:b/>
          <w:bCs/>
          <w:sz w:val="24"/>
          <w:szCs w:val="24"/>
        </w:rPr>
        <w:t xml:space="preserve">4348 · Il rilancio internazionale del 1982.</w:t>
      </w:r>
      <w:r>
        <w:rPr>
          <w:rFonts w:ascii="Barlow Semi Condensed" w:cs="Barlow Semi Condensed" w:eastAsia="Barlow Semi Condensed" w:hAnsi="Barlow Semi Condensed"/>
          <w:sz w:val="24"/>
          <w:szCs w:val="24"/>
        </w:rPr>
        <w:t xml:space="preserve"> Sul piano internazionale la vicenda fu rilanciata già nel 1982 da una pubblicazione di orientamento apertamente cospirazionista. L'apparato K la cita come dato di circolazione e non come riscontro, ed è la qualificazione esatta: una fonte terziaria documenta che una tesi circolava, non che fosse fondata. Chi la usa come conferma compie il salto che l'intera opera esiste per rendere impossibile.</w:t>
      </w:r>
    </w:p>
    <w:p>
      <w:pPr>
        <w:spacing w:after="120" w:line="276"/>
        <w:jc w:val="both"/>
      </w:pPr>
      <w:r>
        <w:rPr>
          <w:rFonts w:ascii="Barlow Semi Condensed" w:cs="Barlow Semi Condensed" w:eastAsia="Barlow Semi Condensed" w:hAnsi="Barlow Semi Condensed"/>
          <w:b/>
          <w:bCs/>
          <w:sz w:val="24"/>
          <w:szCs w:val="24"/>
        </w:rPr>
        <w:t xml:space="preserve">4349 · Le due sole note bibliografiche.</w:t>
      </w:r>
      <w:r>
        <w:rPr>
          <w:rFonts w:ascii="Barlow Semi Condensed" w:cs="Barlow Semi Condensed" w:eastAsia="Barlow Semi Condensed" w:hAnsi="Barlow Semi Condensed"/>
          <w:sz w:val="24"/>
          <w:szCs w:val="24"/>
        </w:rPr>
        <w:t xml:space="preserve"> In note-bibliografiche-opera-integrale.md il nodo ha esattamente due indirizzi: la scheda 50, sulle testimonianze della vedova e del portavoce, e la scheda 51, su un'inchiesta televisiva. Entrambe secondarie, entrambe in rete. È il ritratto bibliografico più onesto della questione: un episodio discusso da quarant'anni poggia, nel corpus, su due collegamenti e su nessun documento primario mai letto.</w:t>
      </w:r>
    </w:p>
    <w:p>
      <w:pPr>
        <w:spacing w:after="120" w:line="276"/>
        <w:jc w:val="both"/>
      </w:pPr>
      <w:r>
        <w:rPr>
          <w:rFonts w:ascii="Barlow Semi Condensed" w:cs="Barlow Semi Condensed" w:eastAsia="Barlow Semi Condensed" w:hAnsi="Barlow Semi Condensed"/>
          <w:b/>
          <w:bCs/>
          <w:sz w:val="24"/>
          <w:szCs w:val="24"/>
        </w:rPr>
        <w:t xml:space="preserve">4350 · L'inchiesta televisiva e il suo grado.</w:t>
      </w:r>
      <w:r>
        <w:rPr>
          <w:rFonts w:ascii="Barlow Semi Condensed" w:cs="Barlow Semi Condensed" w:eastAsia="Barlow Semi Condensed" w:hAnsi="Barlow Semi Condensed"/>
          <w:sz w:val="24"/>
          <w:szCs w:val="24"/>
        </w:rPr>
        <w:t xml:space="preserve"> La scheda 51 rinvia a una ricostruzione giornalistica televisiva. Vale il criterio dell'edizione strutturata al blocco 1056: la pubblicistica è indizio di piste, mai fonte di accertamento, tetto C. Un programma può indicare dove cercare, e talvolta lo fa bene, ma non produce accertamento; e il corpus non promuove di un grado ciò che ha ricevuto da una trasmissione anziché da un archivio.</w:t>
      </w:r>
    </w:p>
    <w:p>
      <w:pPr>
        <w:spacing w:after="120" w:line="276"/>
        <w:jc w:val="both"/>
      </w:pPr>
      <w:r>
        <w:rPr>
          <w:rFonts w:ascii="Barlow Semi Condensed" w:cs="Barlow Semi Condensed" w:eastAsia="Barlow Semi Condensed" w:hAnsi="Barlow Semi Condensed"/>
          <w:b/>
          <w:bCs/>
          <w:sz w:val="24"/>
          <w:szCs w:val="24"/>
        </w:rPr>
        <w:t xml:space="preserve">4351 · La dichiarazione resa poco prima della morte.</w:t>
      </w:r>
      <w:r>
        <w:rPr>
          <w:rFonts w:ascii="Barlow Semi Condensed" w:cs="Barlow Semi Condensed" w:eastAsia="Barlow Semi Condensed" w:hAnsi="Barlow Semi Condensed"/>
          <w:sz w:val="24"/>
          <w:szCs w:val="24"/>
        </w:rPr>
        <w:t xml:space="preserve"> L'apparato K registra una smentita diretta e circostanziata resa a un giornalista poco prima della morte: «non ho mai detto una cosa simile». È testimonianza giornalistica di un solo interlocutore, non un comunicato. Il manuale, al blocco 393, prescrive per le dichiarazioni tardive di peso la raccolta nelle forme più garantite disponibili: qui non avvenne. Bersaglio: la registrazione integrale e gli appunti del cronista.</w:t>
      </w:r>
    </w:p>
    <w:p>
      <w:pPr>
        <w:spacing w:after="120" w:line="276"/>
        <w:jc w:val="both"/>
      </w:pPr>
      <w:r>
        <w:rPr>
          <w:rFonts w:ascii="Barlow Semi Condensed" w:cs="Barlow Semi Condensed" w:eastAsia="Barlow Semi Condensed" w:hAnsi="Barlow Semi Condensed"/>
          <w:b/>
          <w:bCs/>
          <w:sz w:val="24"/>
          <w:szCs w:val="24"/>
        </w:rPr>
        <w:t xml:space="preserve">4352 · Gli archivi privati dei cronisti.</w:t>
      </w:r>
      <w:r>
        <w:rPr>
          <w:rFonts w:ascii="Barlow Semi Condensed" w:cs="Barlow Semi Condensed" w:eastAsia="Barlow Semi Condensed" w:hAnsi="Barlow Semi Condensed"/>
          <w:sz w:val="24"/>
          <w:szCs w:val="24"/>
        </w:rPr>
        <w:t xml:space="preserve"> Il blocco 154 del manuale e il 115 dell'agenda fissano lo stesso giacimento: taccuini, agende e registrazioni dei giornalisti, mai censiti per intero da alcuna istruttoria. Per questo nodo ne servono due, e sono nominabili: l'archivio di chi raccolse la replica del 2023 e quello di chi firmò il dispaccio d'agenzia dell'aprile 1983. Sono fondi privati, e come tali fragili.</w:t>
      </w:r>
    </w:p>
    <w:p>
      <w:pPr>
        <w:spacing w:after="120" w:line="276"/>
        <w:jc w:val="both"/>
      </w:pPr>
      <w:r>
        <w:rPr>
          <w:rFonts w:ascii="Barlow Semi Condensed" w:cs="Barlow Semi Condensed" w:eastAsia="Barlow Semi Condensed" w:hAnsi="Barlow Semi Condensed"/>
          <w:b/>
          <w:bCs/>
          <w:sz w:val="24"/>
          <w:szCs w:val="24"/>
        </w:rPr>
        <w:t xml:space="preserve">4353 · Due livelli in una sola smentita.</w:t>
      </w:r>
      <w:r>
        <w:rPr>
          <w:rFonts w:ascii="Barlow Semi Condensed" w:cs="Barlow Semi Condensed" w:eastAsia="Barlow Semi Condensed" w:hAnsi="Barlow Semi Condensed"/>
          <w:sz w:val="24"/>
          <w:szCs w:val="24"/>
        </w:rPr>
        <w:t xml:space="preserve"> Già nel 1983 un'agenzia statunitense scriveva che l'interessato ammetteva la propria contrarietà all'ingresso dei comunisti al governo ma aveva smentito più volte di aver rimproverato Moro. Sono due proposizioni distinte, e il corpus le tiene separate: la posizione politica è documentata anche dal verbale dello Studio Ovale; il rimprovero personale è negato. Confonderle produce una conferma apparente ricavata da una smentita.</w:t>
      </w:r>
    </w:p>
    <w:p>
      <w:pPr>
        <w:spacing w:after="120" w:line="276"/>
        <w:jc w:val="both"/>
      </w:pPr>
      <w:r>
        <w:rPr>
          <w:rFonts w:ascii="Barlow Semi Condensed" w:cs="Barlow Semi Condensed" w:eastAsia="Barlow Semi Condensed" w:hAnsi="Barlow Semi Condensed"/>
          <w:b/>
          <w:bCs/>
          <w:sz w:val="24"/>
          <w:szCs w:val="24"/>
        </w:rPr>
        <w:t xml:space="preserve">4354 · La richiesta del 1983 senza seguito (serie LVII).</w:t>
      </w:r>
      <w:r>
        <w:rPr>
          <w:rFonts w:ascii="Barlow Semi Condensed" w:cs="Barlow Semi Condensed" w:eastAsia="Barlow Semi Condensed" w:hAnsi="Barlow Semi Condensed"/>
          <w:sz w:val="24"/>
          <w:szCs w:val="24"/>
        </w:rPr>
        <w:t xml:space="preserve"> La stessa fonte d'agenzia riferisce che i magistrati inquirenti volevano interrogarlo. L'apparato K-2 accerta l'esito: non fu mai sentito dai magistrati italiani, e la richiesta informale non ebbe seguito. Bersaglio d'archivio mai posto finora: se un atto formale fu redatto, giace negli atti della Corte d'assise di Roma o nel fascicolo della Procura; se non fu mai redatto, l'assenza si verbalizza.</w:t>
      </w:r>
    </w:p>
    <w:p>
      <w:pPr>
        <w:spacing w:after="120" w:line="276"/>
        <w:jc w:val="both"/>
      </w:pPr>
      <w:r>
        <w:rPr>
          <w:rFonts w:ascii="Barlow Semi Condensed" w:cs="Barlow Semi Condensed" w:eastAsia="Barlow Semi Condensed" w:hAnsi="Barlow Semi Condensed"/>
          <w:b/>
          <w:bCs/>
          <w:sz w:val="24"/>
          <w:szCs w:val="24"/>
        </w:rPr>
        <w:t xml:space="preserve">4355 · La forma che non fu usata.</w:t>
      </w:r>
      <w:r>
        <w:rPr>
          <w:rFonts w:ascii="Barlow Semi Condensed" w:cs="Barlow Semi Condensed" w:eastAsia="Barlow Semi Condensed" w:hAnsi="Barlow Semi Condensed"/>
          <w:sz w:val="24"/>
          <w:szCs w:val="24"/>
        </w:rPr>
        <w:t xml:space="preserve"> Il manuale, al blocco 151, e l'agenda, al 104, descrivono lo strumento realistico per chi non può essere consegnato: la deposizione all'estero, la rogatoria conoscitiva, la dichiarazione scritta — atti da chiedere nelle forme e da verbalizzare anche nel rifiuto. Il confronto è procedurale e non accusatorio: quella forma esisteva nel 1983, e nel 1983 non risulta essere stata attivata.</w:t>
      </w:r>
    </w:p>
    <w:p>
      <w:pPr>
        <w:spacing w:after="120" w:line="276"/>
        <w:jc w:val="both"/>
      </w:pPr>
      <w:r>
        <w:rPr>
          <w:rFonts w:ascii="Barlow Semi Condensed" w:cs="Barlow Semi Condensed" w:eastAsia="Barlow Semi Condensed" w:hAnsi="Barlow Semi Condensed"/>
          <w:b/>
          <w:bCs/>
          <w:sz w:val="24"/>
          <w:szCs w:val="24"/>
        </w:rPr>
        <w:t xml:space="preserve">4356 · Deceduto prima dell'ascolto (serie LVII).</w:t>
      </w:r>
      <w:r>
        <w:rPr>
          <w:rFonts w:ascii="Barlow Semi Condensed" w:cs="Barlow Semi Condensed" w:eastAsia="Barlow Semi Condensed" w:hAnsi="Barlow Semi Condensed"/>
          <w:sz w:val="24"/>
          <w:szCs w:val="24"/>
        </w:rPr>
        <w:t xml:space="preserve"> L'agenda chiude la serie quinta col blocco 125: la tavola degli stati di ogni bersaglio umano — ascoltato, in corso, ha rifiutato, irreperibile, deceduto prima dell'ascolto — e osserva che l'ultima voce misura esattamente il costo del ritardo. Su questo nodo la voce va compilata per tre persone, e di una sola il corpus registra la data di morte: 29 novembre 2023. Le altre due mancano.</w:t>
      </w:r>
    </w:p>
    <w:p>
      <w:pPr>
        <w:spacing w:after="120" w:line="276"/>
        <w:jc w:val="both"/>
      </w:pPr>
      <w:r>
        <w:rPr>
          <w:rFonts w:ascii="Barlow Semi Condensed" w:cs="Barlow Semi Condensed" w:eastAsia="Barlow Semi Condensed" w:hAnsi="Barlow Semi Condensed"/>
          <w:b/>
          <w:bCs/>
          <w:sz w:val="24"/>
          <w:szCs w:val="24"/>
        </w:rPr>
        <w:t xml:space="preserve">4357 · L'intervista impossibile, compilata.</w:t>
      </w:r>
      <w:r>
        <w:rPr>
          <w:rFonts w:ascii="Barlow Semi Condensed" w:cs="Barlow Semi Condensed" w:eastAsia="Barlow Semi Condensed" w:hAnsi="Barlow Semi Condensed"/>
          <w:sz w:val="24"/>
          <w:szCs w:val="24"/>
        </w:rPr>
        <w:t xml:space="preserve"> Il blocco 163 del manuale prescrive, per i protagonisti scomparsi, la scheda delle domande mai poste: orienta la ricerca dei lasciti e dice agli archivi che cosa cercare al posto della voce. Per questo nodo la scheda non esiste e va scritta ora, con tre colonne — al portavoce, alla vedova, all'interessato — perché ciascuna domanda indichi un fondo, e non un rimpianto.</w:t>
      </w:r>
    </w:p>
    <w:p>
      <w:pPr>
        <w:spacing w:after="120" w:line="276"/>
        <w:jc w:val="both"/>
      </w:pPr>
      <w:r>
        <w:rPr>
          <w:rFonts w:ascii="Barlow Semi Condensed" w:cs="Barlow Semi Condensed" w:eastAsia="Barlow Semi Condensed" w:hAnsi="Barlow Semi Condensed"/>
          <w:b/>
          <w:bCs/>
          <w:sz w:val="24"/>
          <w:szCs w:val="24"/>
        </w:rPr>
        <w:t xml:space="preserve">4358 · Quando muore l'ultimo testimone.</w:t>
      </w:r>
      <w:r>
        <w:rPr>
          <w:rFonts w:ascii="Barlow Semi Condensed" w:cs="Barlow Semi Condensed" w:eastAsia="Barlow Semi Condensed" w:hAnsi="Barlow Semi Condensed"/>
          <w:sz w:val="24"/>
          <w:szCs w:val="24"/>
        </w:rPr>
        <w:t xml:space="preserve"> Il blocco 398 del manuale prevede la procedura: si aggiorna la scheda delle domande mai poste, si cercano i lasciti presso gli eredi, e il nodo passa formalmente alla sola via documentale, con verbalizzazione del passaggio, perché la storia del caso sappia quando ha perso ogni voce. Questa serie propone di verbalizzarlo qui: per l'avvertimento del 1974 quel giorno è già passato.</w:t>
      </w:r>
    </w:p>
    <w:p>
      <w:pPr>
        <w:spacing w:after="120" w:line="276"/>
        <w:jc w:val="both"/>
      </w:pPr>
      <w:r>
        <w:rPr>
          <w:rFonts w:ascii="Barlow Semi Condensed" w:cs="Barlow Semi Condensed" w:eastAsia="Barlow Semi Condensed" w:hAnsi="Barlow Semi Condensed"/>
          <w:b/>
          <w:bCs/>
          <w:sz w:val="24"/>
          <w:szCs w:val="24"/>
        </w:rPr>
        <w:t xml:space="preserve">4359 · I depositari privati, e i solai.</w:t>
      </w:r>
      <w:r>
        <w:rPr>
          <w:rFonts w:ascii="Barlow Semi Condensed" w:cs="Barlow Semi Condensed" w:eastAsia="Barlow Semi Condensed" w:hAnsi="Barlow Semi Condensed"/>
          <w:sz w:val="24"/>
          <w:szCs w:val="24"/>
        </w:rPr>
        <w:t xml:space="preserve"> Il blocco 117 dell'agenda e il 157 del manuale chiedono la stessa cosa con parole diverse: proposta rispettosa di deposito, copia o inventario ai familiari che conservano carte private, con la regola che nessuno risponde dei propri congiunti. Per questo nodo i destinatari sono due famiglie e un ufficio stampa dissolto da mezzo secolo. Ogni scatola in un solaio è un fondo archivistico in pericolo.</w:t>
      </w:r>
    </w:p>
    <w:p>
      <w:pPr>
        <w:spacing w:after="120" w:line="276"/>
        <w:jc w:val="both"/>
      </w:pPr>
      <w:r>
        <w:rPr>
          <w:rFonts w:ascii="Barlow Semi Condensed" w:cs="Barlow Semi Condensed" w:eastAsia="Barlow Semi Condensed" w:hAnsi="Barlow Semi Condensed"/>
          <w:b/>
          <w:bCs/>
          <w:sz w:val="24"/>
          <w:szCs w:val="24"/>
        </w:rPr>
        <w:t xml:space="preserve">4360 · I quattro depositi delle carte Moro.</w:t>
      </w:r>
      <w:r>
        <w:rPr>
          <w:rFonts w:ascii="Barlow Semi Condensed" w:cs="Barlow Semi Condensed" w:eastAsia="Barlow Semi Condensed" w:hAnsi="Barlow Semi Condensed"/>
          <w:sz w:val="24"/>
          <w:szCs w:val="24"/>
        </w:rPr>
        <w:t xml:space="preserve"> I cantieri censiscono ai blocchi 221-223 e 235 tre nuclei — il fondo personale all'Archivio centrale dello Stato, il fondo familiare, la raccolta statale delle direttive — e la seconda campagna ne ha aggiunto un quarto, con segnatura IT-AFS-048 all'Archivio storico del Senato. È lì che un appunto sul colloquio del settembre 1974, se fu scritto, dovrebbe giacere. Il registro dei tre nuclei va emendato per nota.</w:t>
      </w:r>
    </w:p>
    <w:p>
      <w:pPr>
        <w:spacing w:after="120" w:line="276"/>
        <w:jc w:val="both"/>
      </w:pPr>
      <w:r>
        <w:rPr>
          <w:rFonts w:ascii="Barlow Semi Condensed" w:cs="Barlow Semi Condensed" w:eastAsia="Barlow Semi Condensed" w:hAnsi="Barlow Semi Condensed"/>
          <w:b/>
          <w:bCs/>
          <w:sz w:val="24"/>
          <w:szCs w:val="24"/>
        </w:rPr>
        <w:t xml:space="preserve">4361 · Il diario che non risulta.</w:t>
      </w:r>
      <w:r>
        <w:rPr>
          <w:rFonts w:ascii="Barlow Semi Condensed" w:cs="Barlow Semi Condensed" w:eastAsia="Barlow Semi Condensed" w:hAnsi="Barlow Semi Condensed"/>
          <w:sz w:val="24"/>
          <w:szCs w:val="24"/>
        </w:rPr>
        <w:t xml:space="preserve"> Il corpus documenta i diari di Fanfani, le carte di Andreotti all'Istituto Sturzo, le trecentotto buste di Cossiga alla Camera, il fascicolo «Caso Moro» di Craxi. Non documenta un diario di Moro ministro degli Esteri. È un'assenza di genere, non di contenuto, e cambia la strategia di ricerca: per il settembre 1974 non si cerca la pagina di un diario, si cercano i carteggi di gabinetto.</w:t>
      </w:r>
    </w:p>
    <w:p>
      <w:pPr>
        <w:spacing w:after="120" w:line="276"/>
        <w:jc w:val="both"/>
      </w:pPr>
      <w:r>
        <w:rPr>
          <w:rFonts w:ascii="Barlow Semi Condensed" w:cs="Barlow Semi Condensed" w:eastAsia="Barlow Semi Condensed" w:hAnsi="Barlow Semi Condensed"/>
          <w:b/>
          <w:bCs/>
          <w:sz w:val="24"/>
          <w:szCs w:val="24"/>
        </w:rPr>
        <w:t xml:space="preserve">4362 · I diari contro sé stessi.</w:t>
      </w:r>
      <w:r>
        <w:rPr>
          <w:rFonts w:ascii="Barlow Semi Condensed" w:cs="Barlow Semi Condensed" w:eastAsia="Barlow Semi Condensed" w:hAnsi="Barlow Semi Condensed"/>
          <w:sz w:val="24"/>
          <w:szCs w:val="24"/>
        </w:rPr>
        <w:t xml:space="preserve"> Il blocco 170 dell'agenda chiede la collazione sistematica fra le memorie edite dei protagonisti e le loro carte private: che cosa i libri dicono e i documenti coevi non confermano, e viceversa. La memorialistica del caso è vasta e interessata. Applicata alla visita del 1974, la tavola delle divergenze fra il pubblicato e il coevo non esiste ancora, ed è un prodotto filologico di prima grandezza.</w:t>
      </w:r>
    </w:p>
    <w:p>
      <w:pPr>
        <w:spacing w:after="120" w:line="276"/>
        <w:jc w:val="both"/>
      </w:pPr>
      <w:r>
        <w:rPr>
          <w:rFonts w:ascii="Barlow Semi Condensed" w:cs="Barlow Semi Condensed" w:eastAsia="Barlow Semi Condensed" w:hAnsi="Barlow Semi Condensed"/>
          <w:b/>
          <w:bCs/>
          <w:sz w:val="24"/>
          <w:szCs w:val="24"/>
        </w:rPr>
        <w:t xml:space="preserve">4363 · La collazione del testimone più prolifico.</w:t>
      </w:r>
      <w:r>
        <w:rPr>
          <w:rFonts w:ascii="Barlow Semi Condensed" w:cs="Barlow Semi Condensed" w:eastAsia="Barlow Semi Condensed" w:hAnsi="Barlow Semi Condensed"/>
          <w:sz w:val="24"/>
          <w:szCs w:val="24"/>
        </w:rPr>
        <w:t xml:space="preserve"> Il blocco 239 dei cantieri nomina l'esercizio: i diari e le memorie pubblicate di Andreotti contro le carte coeve del suo fondo — concordanze, scarti, silenzi. Ciò che pubblicò si misura su ciò che archiviò. Quell'uomo attraversò da protagonista anche la stagione qui in esame, e le sue pagine sul settembre 1974 sono un campione a costo basso e rendimento immediato.</w:t>
      </w:r>
    </w:p>
    <w:p>
      <w:pPr>
        <w:spacing w:after="120" w:line="276"/>
        <w:jc w:val="both"/>
      </w:pPr>
      <w:r>
        <w:rPr>
          <w:rFonts w:ascii="Barlow Semi Condensed" w:cs="Barlow Semi Condensed" w:eastAsia="Barlow Semi Condensed" w:hAnsi="Barlow Semi Condensed"/>
          <w:b/>
          <w:bCs/>
          <w:sz w:val="24"/>
          <w:szCs w:val="24"/>
        </w:rPr>
        <w:t xml:space="preserve">4364 · Le carte del ministro dell'Interno.</w:t>
      </w:r>
      <w:r>
        <w:rPr>
          <w:rFonts w:ascii="Barlow Semi Condensed" w:cs="Barlow Semi Condensed" w:eastAsia="Barlow Semi Condensed" w:hAnsi="Barlow Semi Condensed"/>
          <w:sz w:val="24"/>
          <w:szCs w:val="24"/>
        </w:rPr>
        <w:t xml:space="preserve"> Il blocco 161 dell'agenda fissa il bersaglio: le carte private di Cossiga, il loro luogo e il loro stato d'ordinamento; i cantieri le collocano in trecentotto buste presso la Camera. L'uomo del Viminale del 1978 scrisse e parlò per decenni, e la collazione fra le sue carte, le sue audizioni e i suoi libri è il caso di scuola del blocco 170. Nessuno l'ha eseguita.</w:t>
      </w:r>
    </w:p>
    <w:p>
      <w:pPr>
        <w:spacing w:after="120" w:line="276"/>
        <w:jc w:val="both"/>
      </w:pPr>
      <w:r>
        <w:rPr>
          <w:rFonts w:ascii="Barlow Semi Condensed" w:cs="Barlow Semi Condensed" w:eastAsia="Barlow Semi Condensed" w:hAnsi="Barlow Semi Condensed"/>
          <w:b/>
          <w:bCs/>
          <w:sz w:val="24"/>
          <w:szCs w:val="24"/>
        </w:rPr>
        <w:t xml:space="preserve">4365 · Il tetto della memorialistica.</w:t>
      </w:r>
      <w:r>
        <w:rPr>
          <w:rFonts w:ascii="Barlow Semi Condensed" w:cs="Barlow Semi Condensed" w:eastAsia="Barlow Semi Condensed" w:hAnsi="Barlow Semi Condensed"/>
          <w:sz w:val="24"/>
          <w:szCs w:val="24"/>
        </w:rPr>
        <w:t xml:space="preserve"> L'edizione strutturata lo fissa al blocco 1055: la memorialistica — dei condannati, dei prosciolti, delle parti — è fonte di parte, tetto C salvo riscontri. Il manuale lo ribadisce al blocco 165: nessuna memoria entra negli atti oltre il grado C senza riscontro documentale, e la serie quinta alimenta le altre, non le sostituisce. Su questo nodo il tetto non è mai stato superato.</w:t>
      </w:r>
    </w:p>
    <w:p>
      <w:pPr>
        <w:spacing w:after="120" w:line="276"/>
        <w:jc w:val="both"/>
      </w:pPr>
      <w:r>
        <w:rPr>
          <w:rFonts w:ascii="Barlow Semi Condensed" w:cs="Barlow Semi Condensed" w:eastAsia="Barlow Semi Condensed" w:hAnsi="Barlow Semi Condensed"/>
          <w:b/>
          <w:bCs/>
          <w:sz w:val="24"/>
          <w:szCs w:val="24"/>
        </w:rPr>
        <w:t xml:space="preserve">4366 · L'appartenenza non è testimonianza.</w:t>
      </w:r>
      <w:r>
        <w:rPr>
          <w:rFonts w:ascii="Barlow Semi Condensed" w:cs="Barlow Semi Condensed" w:eastAsia="Barlow Semi Condensed" w:hAnsi="Barlow Semi Condensed"/>
          <w:sz w:val="24"/>
          <w:szCs w:val="24"/>
        </w:rPr>
        <w:t xml:space="preserve"> Il blocco 5 del manuale dice che l'appartenenza a un'organizzazione, a una loggia o a un ufficio non è condotta. La serie ne trae il corollario testimoniale: aver servito in un'amministrazione non fa di nessuno un testimone degli atti di quell'amministrazione. Chi parla per carica parla di prassi; chi parla per presenza parla di fatti. I due registri vanno separati in ogni escussione.</w:t>
      </w:r>
    </w:p>
    <w:p>
      <w:pPr>
        <w:spacing w:after="120" w:line="276"/>
        <w:jc w:val="both"/>
      </w:pPr>
      <w:r>
        <w:rPr>
          <w:rFonts w:ascii="Barlow Semi Condensed" w:cs="Barlow Semi Condensed" w:eastAsia="Barlow Semi Condensed" w:hAnsi="Barlow Semi Condensed"/>
          <w:b/>
          <w:bCs/>
          <w:sz w:val="24"/>
          <w:szCs w:val="24"/>
        </w:rPr>
        <w:t xml:space="preserve">4367 · Il silenzio della biblioteca dei condannati.</w:t>
      </w:r>
      <w:r>
        <w:rPr>
          <w:rFonts w:ascii="Barlow Semi Condensed" w:cs="Barlow Semi Condensed" w:eastAsia="Barlow Semi Condensed" w:hAnsi="Barlow Semi Condensed"/>
          <w:sz w:val="24"/>
          <w:szCs w:val="24"/>
        </w:rPr>
        <w:t xml:space="preserve"> Il blocco 852 dei cantieri censisce la memorialistica brigatista come corpus editoriale: il libro-intervista di Moretti del 1994, «Il prigioniero» di Braghetti del 1998, l'autobiografia di Gallinari, i libri di Balzerani. Nessun membro del registro del giudicato vi colloca il nome qui triangolato. È un'assenza misurabile e mai misurata: il bersaglio è la collazione parola-atti del blocco 853, con le stringhe dichiarate.</w:t>
      </w:r>
    </w:p>
    <w:p>
      <w:pPr>
        <w:spacing w:after="120" w:line="276"/>
        <w:jc w:val="both"/>
      </w:pPr>
      <w:r>
        <w:rPr>
          <w:rFonts w:ascii="Barlow Semi Condensed" w:cs="Barlow Semi Condensed" w:eastAsia="Barlow Semi Condensed" w:hAnsi="Barlow Semi Condensed"/>
          <w:b/>
          <w:bCs/>
          <w:sz w:val="24"/>
          <w:szCs w:val="24"/>
        </w:rPr>
        <w:t xml:space="preserve">4368 · L'autonomia accertata come cornice.</w:t>
      </w:r>
      <w:r>
        <w:rPr>
          <w:rFonts w:ascii="Barlow Semi Condensed" w:cs="Barlow Semi Condensed" w:eastAsia="Barlow Semi Condensed" w:hAnsi="Barlow Semi Condensed"/>
          <w:sz w:val="24"/>
          <w:szCs w:val="24"/>
        </w:rPr>
        <w:t xml:space="preserve"> L'apparato dei gradi colloca al capitolo diciottesimo l'autonomia delle Brigate Rosse come organizzazione armata, grado A, e dichiara che cosa la smentirebbe: un documento coevo, esterno, autenticato, che provi l'eterodirezione — cercato e non trovato. La conseguenza per questa serie è netta: nessuna testimonianza, per quanti testi la ripetano, potrebbe assolvere quella funzione. Il criterio di smentita chiede una carta, non una voce.</w:t>
      </w:r>
    </w:p>
    <w:p>
      <w:pPr>
        <w:spacing w:after="120" w:line="276"/>
        <w:jc w:val="both"/>
      </w:pPr>
      <w:r>
        <w:rPr>
          <w:rFonts w:ascii="Barlow Semi Condensed" w:cs="Barlow Semi Condensed" w:eastAsia="Barlow Semi Condensed" w:hAnsi="Barlow Semi Condensed"/>
          <w:b/>
          <w:bCs/>
          <w:sz w:val="24"/>
          <w:szCs w:val="24"/>
        </w:rPr>
        <w:t xml:space="preserve">4369 · Il test dell'omologia, applicato qui (serie LVII).</w:t>
      </w:r>
      <w:r>
        <w:rPr>
          <w:rFonts w:ascii="Barlow Semi Condensed" w:cs="Barlow Semi Condensed" w:eastAsia="Barlow Semi Condensed" w:hAnsi="Barlow Semi Condensed"/>
          <w:sz w:val="24"/>
          <w:szCs w:val="24"/>
        </w:rPr>
        <w:t xml:space="preserve"> Dalla somiglianza del risultato non si deduce l'antenato comune. dal-che-a-moro-una-guerra-senza-fine.md lo scrive per le due morti: l'agente statunitense a La Higuera e la vicenda romana condividono una cornice, non un centro. Il test è uno solo, e vale per le fonti orali quanto per le altre: un documento di provenienza che nomini la controparte. Due racconti simili non sono una prova.</w:t>
      </w:r>
    </w:p>
    <w:p>
      <w:pPr>
        <w:spacing w:after="120" w:line="276"/>
        <w:jc w:val="both"/>
      </w:pPr>
      <w:r>
        <w:rPr>
          <w:rFonts w:ascii="Barlow Semi Condensed" w:cs="Barlow Semi Condensed" w:eastAsia="Barlow Semi Condensed" w:hAnsi="Barlow Semi Condensed"/>
          <w:b/>
          <w:bCs/>
          <w:sz w:val="24"/>
          <w:szCs w:val="24"/>
        </w:rPr>
        <w:t xml:space="preserve">4370 · Le audizioni dei condannati, e il negativo.</w:t>
      </w:r>
      <w:r>
        <w:rPr>
          <w:rFonts w:ascii="Barlow Semi Condensed" w:cs="Barlow Semi Condensed" w:eastAsia="Barlow Semi Condensed" w:hAnsi="Barlow Semi Condensed"/>
          <w:sz w:val="24"/>
          <w:szCs w:val="24"/>
        </w:rPr>
        <w:t xml:space="preserve"> Il blocco 856 dei cantieri chiede il censimento di quali membri del registro furono ascoltati dalle commissioni, quando e con quali esiti, e insieme la tavola delle occasioni mancate, cioè di chi non fu mai sentito da nessuna. Su questo nodo la domanda è ristretta e verificabile: in quante di quelle audizioni fu posta una domanda sul versante statunitense, e con quale risposta.</w:t>
      </w:r>
    </w:p>
    <w:p>
      <w:pPr>
        <w:spacing w:after="120" w:line="276"/>
        <w:jc w:val="both"/>
      </w:pPr>
      <w:r>
        <w:rPr>
          <w:rFonts w:ascii="Barlow Semi Condensed" w:cs="Barlow Semi Condensed" w:eastAsia="Barlow Semi Condensed" w:hAnsi="Barlow Semi Condensed"/>
          <w:b/>
          <w:bCs/>
          <w:sz w:val="24"/>
          <w:szCs w:val="24"/>
        </w:rPr>
        <w:t xml:space="preserve">4371 · L'indice unico delle audizioni.</w:t>
      </w:r>
      <w:r>
        <w:rPr>
          <w:rFonts w:ascii="Barlow Semi Condensed" w:cs="Barlow Semi Condensed" w:eastAsia="Barlow Semi Condensed" w:hAnsi="Barlow Semi Condensed"/>
          <w:sz w:val="24"/>
          <w:szCs w:val="24"/>
        </w:rPr>
        <w:t xml:space="preserve"> Il blocco 67 dell'agenda vuole tutte le persone sentite dalle tre commissioni in un indice solo, con rinvio agli stenografici: l'anagrafe della parola istituzionale sul caso. Costruito, quell'indice consentirebbe l'operazione che questa serie chiede e non può eseguire: passarvi il nome e contare. L'esito atteso è basso — l'audizione del 1980 e poco altro — ma un conteggio dichiarato vale più di un'impressione.</w:t>
      </w:r>
    </w:p>
    <w:p>
      <w:pPr>
        <w:spacing w:after="120" w:line="276"/>
        <w:jc w:val="both"/>
      </w:pPr>
      <w:r>
        <w:rPr>
          <w:rFonts w:ascii="Barlow Semi Condensed" w:cs="Barlow Semi Condensed" w:eastAsia="Barlow Semi Condensed" w:hAnsi="Barlow Semi Condensed"/>
          <w:b/>
          <w:bCs/>
          <w:sz w:val="24"/>
          <w:szCs w:val="24"/>
        </w:rPr>
        <w:t xml:space="preserve">4372 · L'indice del segreto è conoscenza.</w:t>
      </w:r>
      <w:r>
        <w:rPr>
          <w:rFonts w:ascii="Barlow Semi Condensed" w:cs="Barlow Semi Condensed" w:eastAsia="Barlow Semi Condensed" w:hAnsi="Barlow Semi Condensed"/>
          <w:sz w:val="24"/>
          <w:szCs w:val="24"/>
        </w:rPr>
        <w:t xml:space="preserve"> Il blocco 64 dell'agenda censisce le audizioni segretate o mai pubblicate delle tre commissioni: chi, quando, su che cosa, ricavabile dagli indici, che sono pubblici anche dove i testi non lo sono. L'indice del segreto dice dove qualcuno ritenne che ci fosse qualcosa da proteggere. Quesito per questa serie: fra quelle audizioni ve n'è alcuna che tocchi la visita del settembre 1974?</w:t>
      </w:r>
    </w:p>
    <w:p>
      <w:pPr>
        <w:spacing w:after="120" w:line="276"/>
        <w:jc w:val="both"/>
      </w:pPr>
      <w:r>
        <w:rPr>
          <w:rFonts w:ascii="Barlow Semi Condensed" w:cs="Barlow Semi Condensed" w:eastAsia="Barlow Semi Condensed" w:hAnsi="Barlow Semi Condensed"/>
          <w:b/>
          <w:bCs/>
          <w:sz w:val="24"/>
          <w:szCs w:val="24"/>
        </w:rPr>
        <w:t xml:space="preserve">4373 · Le divergenze fra audizioni dello stesso teste.</w:t>
      </w:r>
      <w:r>
        <w:rPr>
          <w:rFonts w:ascii="Barlow Semi Condensed" w:cs="Barlow Semi Condensed" w:eastAsia="Barlow Semi Condensed" w:hAnsi="Barlow Semi Condensed"/>
          <w:sz w:val="24"/>
          <w:szCs w:val="24"/>
        </w:rPr>
        <w:t xml:space="preserve"> Il blocco 58 dell'agenda indica un giacimento poco battuto: chi fu sentito sia dalla Commissione Stragi sia dalle due Commissioni Moro, e che cosa cambiò fra le versioni. Il fondo della Stragi è all'Archivio storico del Senato, con inventario online e consultazione in sala studio su richiesta motivata. Qui la collazione riguarda una sola persona e due sedi, il 1980 e il 1982, e non è mai stata fatta.</w:t>
      </w:r>
    </w:p>
    <w:p>
      <w:pPr>
        <w:spacing w:after="120" w:line="276"/>
        <w:jc w:val="both"/>
      </w:pPr>
      <w:r>
        <w:rPr>
          <w:rFonts w:ascii="Barlow Semi Condensed" w:cs="Barlow Semi Condensed" w:eastAsia="Barlow Semi Condensed" w:hAnsi="Barlow Semi Condensed"/>
          <w:b/>
          <w:bCs/>
          <w:sz w:val="24"/>
          <w:szCs w:val="24"/>
        </w:rPr>
        <w:t xml:space="preserve">4374 · Il silenzio della Moro 2.</w:t>
      </w:r>
      <w:r>
        <w:rPr>
          <w:rFonts w:ascii="Barlow Semi Condensed" w:cs="Barlow Semi Condensed" w:eastAsia="Barlow Semi Condensed" w:hAnsi="Barlow Semi Condensed"/>
          <w:sz w:val="24"/>
          <w:szCs w:val="24"/>
        </w:rPr>
        <w:t xml:space="preserve"> La relazione conclusiva del 6 dicembre 2017 e le circa ventimila pagine desecretate del portale delle inchieste della Camera sono il giacimento parlamentare più recente del caso. Il corpus non registra che la seconda Commissione abbia trattato l'episodio di Washington. È uno Stato Zero con sede: si chiude interrogando quel portale con le stringhe dichiarate, e l'esito — quale che sia — è un'acquisizione piena.</w:t>
      </w:r>
    </w:p>
    <w:p>
      <w:pPr>
        <w:spacing w:after="120" w:line="276"/>
        <w:jc w:val="both"/>
      </w:pPr>
      <w:r>
        <w:rPr>
          <w:rFonts w:ascii="Barlow Semi Condensed" w:cs="Barlow Semi Condensed" w:eastAsia="Barlow Semi Condensed" w:hAnsi="Barlow Semi Condensed"/>
          <w:b/>
          <w:bCs/>
          <w:sz w:val="24"/>
          <w:szCs w:val="24"/>
        </w:rPr>
        <w:t xml:space="preserve">4375 · La verità dicibile e il suo confine.</w:t>
      </w:r>
      <w:r>
        <w:rPr>
          <w:rFonts w:ascii="Barlow Semi Condensed" w:cs="Barlow Semi Condensed" w:eastAsia="Barlow Semi Condensed" w:hAnsi="Barlow Semi Condensed"/>
          <w:sz w:val="24"/>
          <w:szCs w:val="24"/>
        </w:rPr>
        <w:t xml:space="preserve"> La formula fatta propria dalla Commissione, grado B, dice ciò che un organo parlamentare ritiene di poter affermare: non coincide con ciò che accadde, e non pretende di farlo. La Fase settima del corpus la registra con questa cautela. Applicata al nodo: che un episodio non compaia in una relazione può significare che non fu accertato, o che non fu ritenuto dicibile, o che non fu cercato.</w:t>
      </w:r>
    </w:p>
    <w:p>
      <w:pPr>
        <w:spacing w:after="120" w:line="276"/>
        <w:jc w:val="both"/>
      </w:pPr>
      <w:r>
        <w:rPr>
          <w:rFonts w:ascii="Barlow Semi Condensed" w:cs="Barlow Semi Condensed" w:eastAsia="Barlow Semi Condensed" w:hAnsi="Barlow Semi Condensed"/>
          <w:b/>
          <w:bCs/>
          <w:sz w:val="24"/>
          <w:szCs w:val="24"/>
        </w:rPr>
        <w:t xml:space="preserve">4376 · Che cosa vale un accertamento parlamentare (serie LVII).</w:t>
      </w:r>
      <w:r>
        <w:rPr>
          <w:rFonts w:ascii="Barlow Semi Condensed" w:cs="Barlow Semi Condensed" w:eastAsia="Barlow Semi Condensed" w:hAnsi="Barlow Semi Condensed"/>
          <w:sz w:val="24"/>
          <w:szCs w:val="24"/>
        </w:rPr>
        <w:t xml:space="preserve"> Il blocco 703 dell'opera lo fissa in due direzioni: una Commissione d'inchiesta ha poteri istruttori e produce accertamenti, non sentenze; le sue conclusioni non sono giudicato e le testimonianze che raccoglie restano testimonianze. Non si promuove un accertamento parlamentare a prova, e non lo si degrada a opinione. È la ragione tecnica per cui l'avvertimento riferito resta al grado B debole.</w:t>
      </w:r>
    </w:p>
    <w:p>
      <w:pPr>
        <w:spacing w:after="120" w:line="276"/>
        <w:jc w:val="both"/>
      </w:pPr>
      <w:r>
        <w:rPr>
          <w:rFonts w:ascii="Barlow Semi Condensed" w:cs="Barlow Semi Condensed" w:eastAsia="Barlow Semi Condensed" w:hAnsi="Barlow Semi Condensed"/>
          <w:b/>
          <w:bCs/>
          <w:sz w:val="24"/>
          <w:szCs w:val="24"/>
        </w:rPr>
        <w:t xml:space="preserve">4377 · Il consulente, presenza e parole.</w:t>
      </w:r>
      <w:r>
        <w:rPr>
          <w:rFonts w:ascii="Barlow Semi Condensed" w:cs="Barlow Semi Condensed" w:eastAsia="Barlow Semi Condensed" w:hAnsi="Barlow Semi Condensed"/>
          <w:sz w:val="24"/>
          <w:szCs w:val="24"/>
        </w:rPr>
        <w:t xml:space="preserve"> La presenza di Steve Pieczenik nel comitato di crisi al fianco del ministro dell'Interno è documentata e la Fase nona la grada B; le sue dichiarazioni successive sono fonte di parte, C quanto alla portata. Il blocco 906 dell'opera vi aggiunge la doppia etichetta: fatto pubblico quanto all'essere state rese, materia da riscontrare quanto al contenuto. Quesito aperto: in quale sede verbalizzata furono mai rese?</w:t>
      </w:r>
    </w:p>
    <w:p>
      <w:pPr>
        <w:spacing w:after="120" w:line="276"/>
        <w:jc w:val="both"/>
      </w:pPr>
      <w:r>
        <w:rPr>
          <w:rFonts w:ascii="Barlow Semi Condensed" w:cs="Barlow Semi Condensed" w:eastAsia="Barlow Semi Condensed" w:hAnsi="Barlow Semi Condensed"/>
          <w:b/>
          <w:bCs/>
          <w:sz w:val="24"/>
          <w:szCs w:val="24"/>
        </w:rPr>
        <w:t xml:space="preserve">4378 · Il comitato di esperti mai riunito.</w:t>
      </w:r>
      <w:r>
        <w:rPr>
          <w:rFonts w:ascii="Barlow Semi Condensed" w:cs="Barlow Semi Condensed" w:eastAsia="Barlow Semi Condensed" w:hAnsi="Barlow Semi Condensed"/>
          <w:sz w:val="24"/>
          <w:szCs w:val="24"/>
        </w:rPr>
        <w:t xml:space="preserve"> La scheda PE-1 accerta un dato di prima grandezza: il comitato di esperti del Viminale era informale e non si riunì mai collegialmente. Vi sono ricondotti Pieczenik, Ferracuti, Silvestri, Cappelletti e altri, e dagli atti risulta che alcuni sostennero l'inattendibilità delle lettere di Moro. Il quesito che la scheda formula è documentale e resta aperto: in quali carte fu formulata quella qualificazione, e con quale circolazione.</w:t>
      </w:r>
    </w:p>
    <w:p>
      <w:pPr>
        <w:spacing w:after="120" w:line="276"/>
        <w:jc w:val="both"/>
      </w:pPr>
      <w:r>
        <w:rPr>
          <w:rFonts w:ascii="Barlow Semi Condensed" w:cs="Barlow Semi Condensed" w:eastAsia="Barlow Semi Condensed" w:hAnsi="Barlow Semi Condensed"/>
          <w:b/>
          <w:bCs/>
          <w:sz w:val="24"/>
          <w:szCs w:val="24"/>
        </w:rPr>
        <w:t xml:space="preserve">4379 · La nota d'intelligence non testimonia.</w:t>
      </w:r>
      <w:r>
        <w:rPr>
          <w:rFonts w:ascii="Barlow Semi Condensed" w:cs="Barlow Semi Condensed" w:eastAsia="Barlow Semi Condensed" w:hAnsi="Barlow Semi Condensed"/>
          <w:sz w:val="24"/>
          <w:szCs w:val="24"/>
        </w:rPr>
        <w:t xml:space="preserve"> Il blocco 266 del manuale isola un errore ricorrente: note dei servizi, italiani o esteri, usate come fatti. La nota d'intelligence è una segnalazione con protocollo — entra nel flusso, si riscontra, si grada — e non testimonia. Vale per il versante statunitense quanto per quello italiano, e impedisce la scorciatoia che tratterebbe un cablogramma d'ambasciata come la deposizione di chi lo scrisse.</w:t>
      </w:r>
    </w:p>
    <w:p>
      <w:pPr>
        <w:spacing w:after="120" w:line="276"/>
        <w:jc w:val="both"/>
      </w:pPr>
      <w:r>
        <w:rPr>
          <w:rFonts w:ascii="Barlow Semi Condensed" w:cs="Barlow Semi Condensed" w:eastAsia="Barlow Semi Condensed" w:hAnsi="Barlow Semi Condensed"/>
          <w:b/>
          <w:bCs/>
          <w:sz w:val="24"/>
          <w:szCs w:val="24"/>
        </w:rPr>
        <w:t xml:space="preserve">4380 · Un precedente costruito su un teste.</w:t>
      </w:r>
      <w:r>
        <w:rPr>
          <w:rFonts w:ascii="Barlow Semi Condensed" w:cs="Barlow Semi Condensed" w:eastAsia="Barlow Semi Condensed" w:hAnsi="Barlow Semi Condensed"/>
          <w:sz w:val="24"/>
          <w:szCs w:val="24"/>
        </w:rPr>
        <w:t xml:space="preserve"> La ricognizione turca del corpus riporta la valutazione desecretata della CIA — FRUS 1981-1988, volume X, documento 376 — secondo cui la tesi dell'accusa italiana sull'attentato del 1981 sembrava dipendere unicamente dalla testimonianza di Ağca. Quel processo si chiuse il 29 marzo 1986 con assoluzione per insufficienza di prove. È il precedente esatto di che cosa produce un edificio poggiato su un solo teste contestato.</w:t>
      </w:r>
    </w:p>
    <w:p>
      <w:pPr>
        <w:spacing w:after="120" w:line="276"/>
        <w:jc w:val="both"/>
      </w:pPr>
      <w:r>
        <w:rPr>
          <w:rFonts w:ascii="Barlow Semi Condensed" w:cs="Barlow Semi Condensed" w:eastAsia="Barlow Semi Condensed" w:hAnsi="Barlow Semi Condensed"/>
          <w:b/>
          <w:bCs/>
          <w:sz w:val="24"/>
          <w:szCs w:val="24"/>
        </w:rPr>
        <w:t xml:space="preserve">4381 · Le piste archiviate per criterio.</w:t>
      </w:r>
      <w:r>
        <w:rPr>
          <w:rFonts w:ascii="Barlow Semi Condensed" w:cs="Barlow Semi Condensed" w:eastAsia="Barlow Semi Condensed" w:hAnsi="Barlow Semi Condensed"/>
          <w:sz w:val="24"/>
          <w:szCs w:val="24"/>
        </w:rPr>
        <w:t xml:space="preserve"> Il programma investigativo, alla voce P-10, archivia motivatamente ogni pista fondata sulle dichiarazioni non riscontrate di Ağca o su memorialistica di parte non corroborata, e dichiara il criterio di riapertura: documentale, pista per pista. Un programma si giudica anche da ciò che non persegue. Il medesimo criterio, applicato con coerenza, governa il nodo dell'avvertimento: si riapre per documento primario nuovo, non per rilettura.</w:t>
      </w:r>
    </w:p>
    <w:p>
      <w:pPr>
        <w:spacing w:after="120" w:line="276"/>
        <w:jc w:val="both"/>
      </w:pPr>
      <w:r>
        <w:rPr>
          <w:rFonts w:ascii="Barlow Semi Condensed" w:cs="Barlow Semi Condensed" w:eastAsia="Barlow Semi Condensed" w:hAnsi="Barlow Semi Condensed"/>
          <w:b/>
          <w:bCs/>
          <w:sz w:val="24"/>
          <w:szCs w:val="24"/>
        </w:rPr>
        <w:t xml:space="preserve">4382 · Testimoniare lo stato delle conoscenze.</w:t>
      </w:r>
      <w:r>
        <w:rPr>
          <w:rFonts w:ascii="Barlow Semi Condensed" w:cs="Barlow Semi Condensed" w:eastAsia="Barlow Semi Condensed" w:hAnsi="Barlow Semi Condensed"/>
          <w:sz w:val="24"/>
          <w:szCs w:val="24"/>
        </w:rPr>
        <w:t xml:space="preserve"> Il capitolo turco del corpus registra la deposizione di un ex analista della CIA davanti alla Commissione ristretta del Senato — collocata al 1° ottobre 1991 dal verbale ufficiale, al 1990 da alcune fonti secondarie, divergenza riportata — sulle pressioni interne all'analisi. Il corpus ne trae la regola: quelle parole non provano né smentiscono il merito, attestano lo stato delle conoscenze. Categoria trasferibile per intero a questa serie.</w:t>
      </w:r>
    </w:p>
    <w:p>
      <w:pPr>
        <w:spacing w:after="120" w:line="276"/>
        <w:jc w:val="both"/>
      </w:pPr>
      <w:r>
        <w:rPr>
          <w:rFonts w:ascii="Barlow Semi Condensed" w:cs="Barlow Semi Condensed" w:eastAsia="Barlow Semi Condensed" w:hAnsi="Barlow Semi Condensed"/>
          <w:b/>
          <w:bCs/>
          <w:sz w:val="24"/>
          <w:szCs w:val="24"/>
        </w:rPr>
        <w:t xml:space="preserve">4383 · Von Papen e la testimonianza in giudizio.</w:t>
      </w:r>
      <w:r>
        <w:rPr>
          <w:rFonts w:ascii="Barlow Semi Condensed" w:cs="Barlow Semi Condensed" w:eastAsia="Barlow Semi Condensed" w:hAnsi="Barlow Semi Condensed"/>
          <w:sz w:val="24"/>
          <w:szCs w:val="24"/>
        </w:rPr>
        <w:t xml:space="preserve"> Nel capitolo su Roncalli a Istanbul il corpus cita testimonianze rese al processo di Norimberga, e insieme la cifra ricorrente dei circa venticinquemila ebrei aiutati, accolta con la cautela che ogni stima comporta. Il modello serve qui: una testimonianza resa in sede giudiziaria da chi agì è la forma più alta della fonte orale, e nemmeno essa fissa i numeri. La sede eleva il grado; non lo esaurisce.</w:t>
      </w:r>
    </w:p>
    <w:p>
      <w:pPr>
        <w:spacing w:after="120" w:line="276"/>
        <w:jc w:val="both"/>
      </w:pPr>
      <w:r>
        <w:rPr>
          <w:rFonts w:ascii="Barlow Semi Condensed" w:cs="Barlow Semi Condensed" w:eastAsia="Barlow Semi Condensed" w:hAnsi="Barlow Semi Condensed"/>
          <w:b/>
          <w:bCs/>
          <w:sz w:val="24"/>
          <w:szCs w:val="24"/>
        </w:rPr>
        <w:t xml:space="preserve">4384 · Wiriyamu, dove la testimonianza apre.</w:t>
      </w:r>
      <w:r>
        <w:rPr>
          <w:rFonts w:ascii="Barlow Semi Condensed" w:cs="Barlow Semi Condensed" w:eastAsia="Barlow Semi Condensed" w:hAnsi="Barlow Semi Condensed"/>
          <w:sz w:val="24"/>
          <w:szCs w:val="24"/>
        </w:rPr>
        <w:t xml:space="preserve"> Il primo resoconto della strage del 16 dicembre 1972 è accertato come testimonianza missionaria — padre Domingos Ferrão, il sostegno di due religiose, l'articolo sul Times del 10 luglio 1973 — e da lì passò alla storiografia peer-reviewed. Le cifre restano divergenti: centocinquanta, trecento, almeno trecentottantacinque, quattrocento con centosettantasette identificati per nome. Una testimonianza può aprire un dossier documentale; non ne chiude i numeri.</w:t>
      </w:r>
    </w:p>
    <w:p>
      <w:pPr>
        <w:spacing w:after="120" w:line="276"/>
        <w:jc w:val="both"/>
      </w:pPr>
      <w:r>
        <w:rPr>
          <w:rFonts w:ascii="Barlow Semi Condensed" w:cs="Barlow Semi Condensed" w:eastAsia="Barlow Semi Condensed" w:hAnsi="Barlow Semi Condensed"/>
          <w:b/>
          <w:bCs/>
          <w:sz w:val="24"/>
          <w:szCs w:val="24"/>
        </w:rPr>
        <w:t xml:space="preserve">4385 · L'ordine trascritto in un diario.</w:t>
      </w:r>
      <w:r>
        <w:rPr>
          <w:rFonts w:ascii="Barlow Semi Condensed" w:cs="Barlow Semi Condensed" w:eastAsia="Barlow Semi Condensed" w:hAnsi="Barlow Semi Condensed"/>
          <w:sz w:val="24"/>
          <w:szCs w:val="24"/>
        </w:rPr>
        <w:t xml:space="preserve"> Per l'espulsione dei missionari dal Mozambico nell'aprile 1974 il corpus registra il testo dell'ordine trascritto in un diario personale, con la data che oscilla fra il 12, il 13 e il 14 aprile, e undici espulsi da Nampula più due da Tete. È il caso in cui una scrittura privata diventa l'unico latore di un atto amministrativo. Il diario si cita per ciò che porta, e la divergenza resta aperta.</w:t>
      </w:r>
    </w:p>
    <w:p>
      <w:pPr>
        <w:spacing w:after="120" w:line="276"/>
        <w:jc w:val="both"/>
      </w:pPr>
      <w:r>
        <w:rPr>
          <w:rFonts w:ascii="Barlow Semi Condensed" w:cs="Barlow Semi Condensed" w:eastAsia="Barlow Semi Condensed" w:hAnsi="Barlow Semi Condensed"/>
          <w:b/>
          <w:bCs/>
          <w:sz w:val="24"/>
          <w:szCs w:val="24"/>
        </w:rPr>
        <w:t xml:space="preserve">4386 · Nessuna testimonianza reca traccia.</w:t>
      </w:r>
      <w:r>
        <w:rPr>
          <w:rFonts w:ascii="Barlow Semi Condensed" w:cs="Barlow Semi Condensed" w:eastAsia="Barlow Semi Condensed" w:hAnsi="Barlow Semi Condensed"/>
          <w:sz w:val="24"/>
          <w:szCs w:val="24"/>
        </w:rPr>
        <w:t xml:space="preserve"> La triangolazione della seconda campagna dichiara Stato Zero condiviso gli atti italiani sull'espulsione dell'aprile 1974, «di cui nessuna testimonianza comboniana reca traccia». È la formula tecnica che questa serie cercava: un vuoto documentale misurato contro un corpus testimoniale determinato, e non contro il silenzio generico del mondo. Ogni Stato Zero orale dovrebbe essere scritto così, nominando il corpus di voci effettivamente interrogato.</w:t>
      </w:r>
    </w:p>
    <w:p>
      <w:pPr>
        <w:spacing w:after="120" w:line="276"/>
        <w:jc w:val="both"/>
      </w:pPr>
      <w:r>
        <w:rPr>
          <w:rFonts w:ascii="Barlow Semi Condensed" w:cs="Barlow Semi Condensed" w:eastAsia="Barlow Semi Condensed" w:hAnsi="Barlow Semi Condensed"/>
          <w:b/>
          <w:bCs/>
          <w:sz w:val="24"/>
          <w:szCs w:val="24"/>
        </w:rPr>
        <w:t xml:space="preserve">4387 · I quarantotto, e la loro fonte.</w:t>
      </w:r>
      <w:r>
        <w:rPr>
          <w:rFonts w:ascii="Barlow Semi Condensed" w:cs="Barlow Semi Condensed" w:eastAsia="Barlow Semi Condensed" w:hAnsi="Barlow Semi Condensed"/>
          <w:sz w:val="24"/>
          <w:szCs w:val="24"/>
        </w:rPr>
        <w:t xml:space="preserve"> Il corpus registra che nel maggio 1971 i Padri Bianchi lasciarono Beira e Tete, e che la cifra di quarantotto proviene da una singola fonte enciclopedica, divergente da quella della congregazione stessa: va citata con la sua provenienza. La regola è generale e vale per le fonti orali quanto per le scritte: un numero senza provenienza è un numero, non un dato acquisito.</w:t>
      </w:r>
    </w:p>
    <w:p>
      <w:pPr>
        <w:spacing w:after="120" w:line="276"/>
        <w:jc w:val="both"/>
      </w:pPr>
      <w:r>
        <w:rPr>
          <w:rFonts w:ascii="Barlow Semi Condensed" w:cs="Barlow Semi Condensed" w:eastAsia="Barlow Semi Condensed" w:hAnsi="Barlow Semi Condensed"/>
          <w:b/>
          <w:bCs/>
          <w:sz w:val="24"/>
          <w:szCs w:val="24"/>
        </w:rPr>
        <w:t xml:space="preserve">4388 · La memoria di un generale, riferita.</w:t>
      </w:r>
      <w:r>
        <w:rPr>
          <w:rFonts w:ascii="Barlow Semi Condensed" w:cs="Barlow Semi Condensed" w:eastAsia="Barlow Semi Condensed" w:hAnsi="Barlow Semi Condensed"/>
          <w:sz w:val="24"/>
          <w:szCs w:val="24"/>
        </w:rPr>
        <w:t xml:space="preserve"> La ricognizione sul ministero degli Esteri registra una fonte memorialistica di parte: un ex parlamentare che riferisce i racconti del generale Vito Miceli sulla Libia e sulla cosiddetta «operazione Hilton» del 1971. Il corpus la qualifica senza sconti — memoria di protagonista riferita indirettamente, che attesta un'opinione e non una decisione. È la stessa struttura del nodo qui triangolato: un de relato su un colloquio altrui.</w:t>
      </w:r>
    </w:p>
    <w:p>
      <w:pPr>
        <w:spacing w:after="120" w:line="276"/>
        <w:jc w:val="both"/>
      </w:pPr>
      <w:r>
        <w:rPr>
          <w:rFonts w:ascii="Barlow Semi Condensed" w:cs="Barlow Semi Condensed" w:eastAsia="Barlow Semi Condensed" w:hAnsi="Barlow Semi Condensed"/>
          <w:b/>
          <w:bCs/>
          <w:sz w:val="24"/>
          <w:szCs w:val="24"/>
        </w:rPr>
        <w:t xml:space="preserve">4389 · Il telegramma che vive in un racconto.</w:t>
      </w:r>
      <w:r>
        <w:rPr>
          <w:rFonts w:ascii="Barlow Semi Condensed" w:cs="Barlow Semi Condensed" w:eastAsia="Barlow Semi Condensed" w:hAnsi="Barlow Semi Condensed"/>
          <w:sz w:val="24"/>
          <w:szCs w:val="24"/>
        </w:rPr>
        <w:t xml:space="preserve"> Il blocco 688 dell'opera lo chiama caso di scuola: il telegramma del 6 settembre 1970 da Tunisi esiste nel racconto di un protagonista e non risulta negli atti. Stato Zero condiviso, con due sedi di chiusura, l'Archivio storico diplomatico e il Fondo Moro del Senato. Finché resta tale, si cita l'esistenza del racconto e mai il contenuto del documento. La regola vale integralmente per l'avvertimento.</w:t>
      </w:r>
    </w:p>
    <w:p>
      <w:pPr>
        <w:spacing w:after="120" w:line="276"/>
        <w:jc w:val="both"/>
      </w:pPr>
      <w:r>
        <w:rPr>
          <w:rFonts w:ascii="Barlow Semi Condensed" w:cs="Barlow Semi Condensed" w:eastAsia="Barlow Semi Condensed" w:hAnsi="Barlow Semi Condensed"/>
          <w:b/>
          <w:bCs/>
          <w:sz w:val="24"/>
          <w:szCs w:val="24"/>
        </w:rPr>
        <w:t xml:space="preserve">4390 · Come un racconto genera una carta.</w:t>
      </w:r>
      <w:r>
        <w:rPr>
          <w:rFonts w:ascii="Barlow Semi Condensed" w:cs="Barlow Semi Condensed" w:eastAsia="Barlow Semi Condensed" w:hAnsi="Barlow Semi Condensed"/>
          <w:sz w:val="24"/>
          <w:szCs w:val="24"/>
        </w:rPr>
        <w:t xml:space="preserve"> Il meccanismo descritto al blocco 640 ha tre tempi: un vuoto colmato con un'ipotesi verosimile, l'ipotesi ripetuta senza la clausola che la qualificava, la ripetizione scambiata per pluralità di fonti. Le fonti orali lo accelerano, perché una voce non porta apparato con sé. La contromisura è procedurale: ogni congettura porta la propria etichetta in ogni ripresa, e chi la toglie risponde della caduta.</w:t>
      </w:r>
    </w:p>
    <w:p>
      <w:pPr>
        <w:spacing w:after="120" w:line="276"/>
        <w:jc w:val="both"/>
      </w:pPr>
      <w:r>
        <w:rPr>
          <w:rFonts w:ascii="Barlow Semi Condensed" w:cs="Barlow Semi Condensed" w:eastAsia="Barlow Semi Condensed" w:hAnsi="Barlow Semi Condensed"/>
          <w:b/>
          <w:bCs/>
          <w:sz w:val="24"/>
          <w:szCs w:val="24"/>
        </w:rPr>
        <w:t xml:space="preserve">4391 · Il verbale non è una testimonianza.</w:t>
      </w:r>
      <w:r>
        <w:rPr>
          <w:rFonts w:ascii="Barlow Semi Condensed" w:cs="Barlow Semi Condensed" w:eastAsia="Barlow Semi Condensed" w:hAnsi="Barlow Semi Condensed"/>
          <w:sz w:val="24"/>
          <w:szCs w:val="24"/>
        </w:rPr>
        <w:t xml:space="preserve"> Il memorandum of conversation del 25 settembre 1974 — documento 350 del volume FRUS 1969-1976 E-15 parte 2, seconda edizione riveduta, file 1552802 della Ford Library — fu redatto da un funzionario quel giorno. La deposizione romana è del novembre 1982. Sono due generi, due archivi, due gradi. Il primo non contiene alcun ultimatum personale; il secondo riferisce una frase collocata, dal teste, a margine.</w:t>
      </w:r>
    </w:p>
    <w:p>
      <w:pPr>
        <w:spacing w:after="120" w:line="276"/>
        <w:jc w:val="both"/>
      </w:pPr>
      <w:r>
        <w:rPr>
          <w:rFonts w:ascii="Barlow Semi Condensed" w:cs="Barlow Semi Condensed" w:eastAsia="Barlow Semi Condensed" w:hAnsi="Barlow Semi Condensed"/>
          <w:b/>
          <w:bCs/>
          <w:sz w:val="24"/>
          <w:szCs w:val="24"/>
        </w:rPr>
        <w:t xml:space="preserve">4392 · Il secondo verbale del ventisei.</w:t>
      </w:r>
      <w:r>
        <w:rPr>
          <w:rFonts w:ascii="Barlow Semi Condensed" w:cs="Barlow Semi Condensed" w:eastAsia="Barlow Semi Condensed" w:hAnsi="Barlow Semi Condensed"/>
          <w:sz w:val="24"/>
          <w:szCs w:val="24"/>
        </w:rPr>
        <w:t xml:space="preserve"> L'apparato K conferma l'esistenza di un secondo memorandum, del 26 settembre 1974, file 1552806 della Ford Library, i cui estratti reperiti sono parziali e non del tutto concordi. Il bersaglio è elementare e mai eseguito: la lettura integrale del documento. Un verbale letto per estratti produce divergenze che la lettura completa scioglierebbe in un pomeriggio di sala studio, e a costo quasi nullo.</w:t>
      </w:r>
    </w:p>
    <w:p>
      <w:pPr>
        <w:spacing w:after="120" w:line="276"/>
        <w:jc w:val="both"/>
      </w:pPr>
      <w:r>
        <w:rPr>
          <w:rFonts w:ascii="Barlow Semi Condensed" w:cs="Barlow Semi Condensed" w:eastAsia="Barlow Semi Condensed" w:hAnsi="Barlow Semi Condensed"/>
          <w:b/>
          <w:bCs/>
          <w:sz w:val="24"/>
          <w:szCs w:val="24"/>
        </w:rPr>
        <w:t xml:space="preserve">4393 · La prassi di redazione viene prima.</w:t>
      </w:r>
      <w:r>
        <w:rPr>
          <w:rFonts w:ascii="Barlow Semi Condensed" w:cs="Barlow Semi Condensed" w:eastAsia="Barlow Semi Condensed" w:hAnsi="Barlow Semi Condensed"/>
          <w:sz w:val="24"/>
          <w:szCs w:val="24"/>
        </w:rPr>
        <w:t xml:space="preserve"> Il blocco 649 pone la condizione che rende informativo un vuoto: che l'attesa di trovare fosse motivata da una prassi documentata. Quesito preliminare per questo nodo, e nessuno l'ha posto: il Consiglio di sicurezza nazionale verbalizzava per regola i colloqui a margine, le cene ufficiali, gli scambi in ambasciata? Se sì, l'assenza è un dato; se no, l'assenza non è nulla.</w:t>
      </w:r>
    </w:p>
    <w:p>
      <w:pPr>
        <w:spacing w:after="120" w:line="276"/>
        <w:jc w:val="both"/>
      </w:pPr>
      <w:r>
        <w:rPr>
          <w:rFonts w:ascii="Barlow Semi Condensed" w:cs="Barlow Semi Condensed" w:eastAsia="Barlow Semi Condensed" w:hAnsi="Barlow Semi Condensed"/>
          <w:b/>
          <w:bCs/>
          <w:sz w:val="24"/>
          <w:szCs w:val="24"/>
        </w:rPr>
        <w:t xml:space="preserve">4394 · L'ambasciata come sede terza.</w:t>
      </w:r>
      <w:r>
        <w:rPr>
          <w:rFonts w:ascii="Barlow Semi Condensed" w:cs="Barlow Semi Condensed" w:eastAsia="Barlow Semi Condensed" w:hAnsi="Barlow Semi Condensed"/>
          <w:sz w:val="24"/>
          <w:szCs w:val="24"/>
        </w:rPr>
        <w:t xml:space="preserve"> Una fonte d'agenzia del 1983 colloca l'episodio in un alterco all'ambasciata d'Italia a Washington nel 1977. La variante sposta la ricerca in un edificio diverso e in un archivio diverso: le carte della rappresentanza confluiscono nell'Archivio storico diplomatico della Farnesina. Bersaglio nominato: telespressi e rapporti dell'ambasciata per il 1977. Nessuno li ha chiesti, perché tutti hanno cercato nel 1974.</w:t>
      </w:r>
    </w:p>
    <w:p>
      <w:pPr>
        <w:spacing w:after="120" w:line="276"/>
        <w:jc w:val="both"/>
      </w:pPr>
      <w:r>
        <w:rPr>
          <w:rFonts w:ascii="Barlow Semi Condensed" w:cs="Barlow Semi Condensed" w:eastAsia="Barlow Semi Condensed" w:hAnsi="Barlow Semi Condensed"/>
          <w:b/>
          <w:bCs/>
          <w:sz w:val="24"/>
          <w:szCs w:val="24"/>
        </w:rPr>
        <w:t xml:space="preserve">4395 · Tre date, tre oggetti diversi.</w:t>
      </w:r>
      <w:r>
        <w:rPr>
          <w:rFonts w:ascii="Barlow Semi Condensed" w:cs="Barlow Semi Condensed" w:eastAsia="Barlow Semi Condensed" w:hAnsi="Barlow Semi Condensed"/>
          <w:sz w:val="24"/>
          <w:szCs w:val="24"/>
        </w:rPr>
        <w:t xml:space="preserve"> Le fonti collocano l'episodio nel 1974, nel 1976 o nel 1977, e divergono anche sui luoghi — Studio Ovale, Dipartimento di Stato, cena ufficiale, ambasciata. Nel 1977 l'interessato non era più Segretario di Stato: la variante cambia la qualità stessa di ciò che una testimonianza potrebbe attestare. Il blocco 854 dei cantieri chiama questa deriva un dato filologico: si tabula con le date.</w:t>
      </w:r>
    </w:p>
    <w:p>
      <w:pPr>
        <w:spacing w:after="120" w:line="276"/>
        <w:jc w:val="both"/>
      </w:pPr>
      <w:r>
        <w:rPr>
          <w:rFonts w:ascii="Barlow Semi Condensed" w:cs="Barlow Semi Condensed" w:eastAsia="Barlow Semi Condensed" w:hAnsi="Barlow Semi Condensed"/>
          <w:b/>
          <w:bCs/>
          <w:sz w:val="24"/>
          <w:szCs w:val="24"/>
        </w:rPr>
        <w:t xml:space="preserve">4396 · La tavola sinottica che manca.</w:t>
      </w:r>
      <w:r>
        <w:rPr>
          <w:rFonts w:ascii="Barlow Semi Condensed" w:cs="Barlow Semi Condensed" w:eastAsia="Barlow Semi Condensed" w:hAnsi="Barlow Semi Condensed"/>
          <w:sz w:val="24"/>
          <w:szCs w:val="24"/>
        </w:rPr>
        <w:t xml:space="preserve"> Il blocco 164 del manuale prescrive di schedare le memorie pubblicate — libri, interviste — con data e versione, e di costruire la tavola sinottica delle varianti di ciascun racconto: mostra dove la memoria è stabile e dove lavora. Per il nodo dell'avvertimento quella tavola non esiste. È uno Stato Zero metodologico, e si chiude con strumenti che il corpus già possiede, senza entrare in un archivio.</w:t>
      </w:r>
    </w:p>
    <w:p>
      <w:pPr>
        <w:spacing w:after="120" w:line="276"/>
        <w:jc w:val="both"/>
      </w:pPr>
      <w:r>
        <w:rPr>
          <w:rFonts w:ascii="Barlow Semi Condensed" w:cs="Barlow Semi Condensed" w:eastAsia="Barlow Semi Condensed" w:hAnsi="Barlow Semi Condensed"/>
          <w:b/>
          <w:bCs/>
          <w:sz w:val="24"/>
          <w:szCs w:val="24"/>
        </w:rPr>
        <w:t xml:space="preserve">4397 · Le minacce come fatto autonomo.</w:t>
      </w:r>
      <w:r>
        <w:rPr>
          <w:rFonts w:ascii="Barlow Semi Condensed" w:cs="Barlow Semi Condensed" w:eastAsia="Barlow Semi Condensed" w:hAnsi="Barlow Semi Condensed"/>
          <w:sz w:val="24"/>
          <w:szCs w:val="24"/>
        </w:rPr>
        <w:t xml:space="preserve"> Il blocco 162 del manuale stabilisce che le minacce riferite, anche storiche, si verbalizzano come fatti autonomi con proprio fascicolo — così per le telefonate della sera del 16 marzo. Applicato qui: il riferimento reso nel 1980 a minacce risalenti al 1975 e crescenti è un oggetto distinto dalla frase attribuita, con una propria cronologia e propri possibili riscontri. Trattarli insieme li confonde entrambi.</w:t>
      </w:r>
    </w:p>
    <w:p>
      <w:pPr>
        <w:spacing w:after="120" w:line="276"/>
        <w:jc w:val="both"/>
      </w:pPr>
      <w:r>
        <w:rPr>
          <w:rFonts w:ascii="Barlow Semi Condensed" w:cs="Barlow Semi Condensed" w:eastAsia="Barlow Semi Condensed" w:hAnsi="Barlow Semi Condensed"/>
          <w:b/>
          <w:bCs/>
          <w:sz w:val="24"/>
          <w:szCs w:val="24"/>
        </w:rPr>
        <w:t xml:space="preserve">4398 · Nessuna voce apre il registro.</w:t>
      </w:r>
      <w:r>
        <w:rPr>
          <w:rFonts w:ascii="Barlow Semi Condensed" w:cs="Barlow Semi Condensed" w:eastAsia="Barlow Semi Condensed" w:hAnsi="Barlow Semi Condensed"/>
          <w:sz w:val="24"/>
          <w:szCs w:val="24"/>
        </w:rPr>
        <w:t xml:space="preserve"> La Fase decima dell'opera-madre e l'apparato K-2 convergono: il registro del giudicato è l'unico luogo dei nomi, e vi si entra solo per sentenza definitiva. L'interessato non fu condannato, non fu mai imputato né processato in alcun Paese, non fu mai interrogato da un giudice in sede penale. Nessuna testimonianza, per autorevole che sia la sede in cui è resa, apre quella porta.</w:t>
      </w:r>
    </w:p>
    <w:p>
      <w:pPr>
        <w:spacing w:after="120" w:line="276"/>
        <w:jc w:val="both"/>
      </w:pPr>
      <w:r>
        <w:rPr>
          <w:rFonts w:ascii="Barlow Semi Condensed" w:cs="Barlow Semi Condensed" w:eastAsia="Barlow Semi Condensed" w:hAnsi="Barlow Semi Condensed"/>
          <w:b/>
          <w:bCs/>
          <w:sz w:val="24"/>
          <w:szCs w:val="24"/>
        </w:rPr>
        <w:t xml:space="preserve">4399 · La colonna orale mai aperta.</w:t>
      </w:r>
      <w:r>
        <w:rPr>
          <w:rFonts w:ascii="Barlow Semi Condensed" w:cs="Barlow Semi Condensed" w:eastAsia="Barlow Semi Condensed" w:hAnsi="Barlow Semi Condensed"/>
          <w:sz w:val="24"/>
          <w:szCs w:val="24"/>
        </w:rPr>
        <w:t xml:space="preserve"> I blocchi 646-648 accertano zero occorrenze del nome nei millesettecento blocchi della quadriga, e ne diagnosticano la causa: manca la colonna statunitense. Sul versante orale il vuoto è ancora più netto. L'agenda prevede al blocco 122 l'ascolto conservativo dei diplomatici alleati in servizio a Roma e al 135 le udienze del Congresso sul terrorismo europeo: due giacimenti di voci, mai interrogati con questo nome.</w:t>
      </w:r>
    </w:p>
    <w:p>
      <w:pPr>
        <w:spacing w:after="120" w:line="276"/>
        <w:jc w:val="both"/>
      </w:pPr>
      <w:r>
        <w:rPr>
          <w:rFonts w:ascii="Barlow Semi Condensed" w:cs="Barlow Semi Condensed" w:eastAsia="Barlow Semi Condensed" w:hAnsi="Barlow Semi Condensed"/>
          <w:b/>
          <w:bCs/>
          <w:sz w:val="24"/>
          <w:szCs w:val="24"/>
        </w:rPr>
        <w:t xml:space="preserve">4400 · Che cosa questa serie non ha stabilito (serie LVII).</w:t>
      </w:r>
      <w:r>
        <w:rPr>
          <w:rFonts w:ascii="Barlow Semi Condensed" w:cs="Barlow Semi Condensed" w:eastAsia="Barlow Semi Condensed" w:hAnsi="Barlow Semi Condensed"/>
          <w:sz w:val="24"/>
          <w:szCs w:val="24"/>
        </w:rPr>
        <w:t xml:space="preserve"> Nessun blocco ha portato il nodo al piano 1: non è emerso alcun documento di provenienza che nomini la controparte, e nessuna fonte orale del corpus lo fa. Resta una testimonianza contestata, de relato, di grado B debole, con la smentita accanto. L'acquisizione è il perimetro: sedi nominate, divergenze riportate, vuoti misurati. Il buco misurato è conoscenza; il buco narrato è romanzo.</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Serie cinquantottesima — Le smentite e i criteri di falsificazione</w:t>
      </w:r>
    </w:p>
    <w:p>
      <w:pPr>
        <w:spacing w:after="120" w:line="276"/>
        <w:jc w:val="both"/>
      </w:pPr>
      <w:r>
        <w:rPr>
          <w:rFonts w:ascii="Barlow Semi Condensed" w:cs="Barlow Semi Condensed" w:eastAsia="Barlow Semi Condensed" w:hAnsi="Barlow Semi Condensed"/>
          <w:i/>
          <w:iCs/>
          <w:sz w:val="24"/>
          <w:szCs w:val="24"/>
        </w:rPr>
        <w:t xml:space="preserve">Blocchi 4401-4480.</w:t>
      </w:r>
    </w:p>
    <w:p>
      <w:pPr>
        <w:spacing w:after="120" w:line="276"/>
        <w:jc w:val="both"/>
      </w:pPr>
      <w:r>
        <w:rPr>
          <w:rFonts w:ascii="Barlow Semi Condensed" w:cs="Barlow Semi Condensed" w:eastAsia="Barlow Semi Condensed" w:hAnsi="Barlow Semi Condensed"/>
          <w:b/>
          <w:bCs/>
          <w:sz w:val="24"/>
          <w:szCs w:val="24"/>
        </w:rPr>
        <w:t xml:space="preserve">4401 · Il territorio, letto per intero.</w:t>
      </w:r>
      <w:r>
        <w:rPr>
          <w:rFonts w:ascii="Barlow Semi Condensed" w:cs="Barlow Semi Condensed" w:eastAsia="Barlow Semi Condensed" w:hAnsi="Barlow Semi Condensed"/>
          <w:sz w:val="24"/>
          <w:szCs w:val="24"/>
        </w:rPr>
        <w:t xml:space="preserve"> La serie nona dell'agenda di ricerca del nuovo Caso Moro — blocchi 211-235, «Le verifiche di smentita» — è stata letta riga per riga per questa triangolazione. Venticinque bersagli, tutti costruiti su tesi del caso italiano; nessuno nomina Henry Kissinger. L'accertamento è lessicale e ha grado di fatto verificabile: chiunque riapra il file può rifarlo in un minuto. È il pavimento su cui poggia ogni blocco che segue.</w:t>
      </w:r>
    </w:p>
    <w:p>
      <w:pPr>
        <w:spacing w:after="120" w:line="276"/>
        <w:jc w:val="both"/>
      </w:pPr>
      <w:r>
        <w:rPr>
          <w:rFonts w:ascii="Barlow Semi Condensed" w:cs="Barlow Semi Condensed" w:eastAsia="Barlow Semi Condensed" w:hAnsi="Barlow Semi Condensed"/>
          <w:b/>
          <w:bCs/>
          <w:sz w:val="24"/>
          <w:szCs w:val="24"/>
        </w:rPr>
        <w:t xml:space="preserve">4402 · Zero occorrenze, contate.</w:t>
      </w:r>
      <w:r>
        <w:rPr>
          <w:rFonts w:ascii="Barlow Semi Condensed" w:cs="Barlow Semi Condensed" w:eastAsia="Barlow Semi Condensed" w:hAnsi="Barlow Semi Condensed"/>
          <w:sz w:val="24"/>
          <w:szCs w:val="24"/>
        </w:rPr>
        <w:t xml:space="preserve"> Esteso all'intero documento — trecento blocchi più l'apparato delle verifiche d'archivio da V-1 a V-12 — il conteggio resta a zero per «Kissinger», e a zero per «Guerzoni», «Studio Ovale», «1974» e «Pieczenik». Non è un'impressione di lettura: è una misura ripetibile. Si verbalizza come Stato Zero secondo il blocco 285 dell'agenda stessa, con perimetro, data e stringhe di ricerca dichiarate.</w:t>
      </w:r>
    </w:p>
    <w:p>
      <w:pPr>
        <w:spacing w:after="120" w:line="276"/>
        <w:jc w:val="both"/>
      </w:pPr>
      <w:r>
        <w:rPr>
          <w:rFonts w:ascii="Barlow Semi Condensed" w:cs="Barlow Semi Condensed" w:eastAsia="Barlow Semi Condensed" w:hAnsi="Barlow Semi Condensed"/>
          <w:b/>
          <w:bCs/>
          <w:sz w:val="24"/>
          <w:szCs w:val="24"/>
        </w:rPr>
        <w:t xml:space="preserve">4403 · Perché quel silenzio è coerente.</w:t>
      </w:r>
      <w:r>
        <w:rPr>
          <w:rFonts w:ascii="Barlow Semi Condensed" w:cs="Barlow Semi Condensed" w:eastAsia="Barlow Semi Condensed" w:hAnsi="Barlow Semi Condensed"/>
          <w:sz w:val="24"/>
          <w:szCs w:val="24"/>
        </w:rPr>
        <w:t xml:space="preserve"> L'assenza non è una dimenticanza del compilatore. L'agenda calibra i propri bersagli sui 55 giorni del 1978 e sulle carte che li documentano; l'incarico di Segretario di Stato cessò il 20 gennaio 1977 e quello di Assistente per la sicurezza nazionale il 3 novembre 1975. Un nome fuori carica non ha posto in una lista di carte del 1978, e dirlo è più utile che lamentarlo.</w:t>
      </w:r>
    </w:p>
    <w:p>
      <w:pPr>
        <w:spacing w:after="120" w:line="276"/>
        <w:jc w:val="both"/>
      </w:pPr>
      <w:r>
        <w:rPr>
          <w:rFonts w:ascii="Barlow Semi Condensed" w:cs="Barlow Semi Condensed" w:eastAsia="Barlow Semi Condensed" w:hAnsi="Barlow Semi Condensed"/>
          <w:b/>
          <w:bCs/>
          <w:sz w:val="24"/>
          <w:szCs w:val="24"/>
        </w:rPr>
        <w:t xml:space="preserve">4404 · Il Pollo di Popper sul nome.</w:t>
      </w:r>
      <w:r>
        <w:rPr>
          <w:rFonts w:ascii="Barlow Semi Condensed" w:cs="Barlow Semi Condensed" w:eastAsia="Barlow Semi Condensed" w:hAnsi="Barlow Semi Condensed"/>
          <w:sz w:val="24"/>
          <w:szCs w:val="24"/>
        </w:rPr>
        <w:t xml:space="preserve"> Lo statuto della serie nona chiede, per ogni tesi corrente, il bersaglio che la smentirebbe. Applicato qui il comando è preciso: non cercare ciò che confermerebbe un ruolo, cercare ciò che lo escluderebbe, e dichiarare la sede dove quella carta starebbe. Una tesi che sopravvive alla ricerca della propria smentita ne esce rafforzata; questa serie prova a smentire, non a costruire.</w:t>
      </w:r>
    </w:p>
    <w:p>
      <w:pPr>
        <w:spacing w:after="120" w:line="276"/>
        <w:jc w:val="both"/>
      </w:pPr>
      <w:r>
        <w:rPr>
          <w:rFonts w:ascii="Barlow Semi Condensed" w:cs="Barlow Semi Condensed" w:eastAsia="Barlow Semi Condensed" w:hAnsi="Barlow Semi Condensed"/>
          <w:b/>
          <w:bCs/>
          <w:sz w:val="24"/>
          <w:szCs w:val="24"/>
        </w:rPr>
        <w:t xml:space="preserve">4405 · I tre piani, applicati al 221.</w:t>
      </w:r>
      <w:r>
        <w:rPr>
          <w:rFonts w:ascii="Barlow Semi Condensed" w:cs="Barlow Semi Condensed" w:eastAsia="Barlow Semi Condensed" w:hAnsi="Barlow Semi Condensed"/>
          <w:sz w:val="24"/>
          <w:szCs w:val="24"/>
        </w:rPr>
        <w:t xml:space="preserve"> Il blocco 221 impone la regola: senza documento primario, niente pista internazionale. Tradotta nella scala dell'opera coincide col piano 1, il rapporto diretto documentato. La convergenza di cornice atlantica sta al piano 2; l'affermazione terziaria che circola nella pubblicistica sta al piano 3. Nessun accumulo di piano 2 produce un piano 1, e il blocco 221 dice esattamente questo con altre parole.</w:t>
      </w:r>
    </w:p>
    <w:p>
      <w:pPr>
        <w:spacing w:after="120" w:line="276"/>
        <w:jc w:val="both"/>
      </w:pPr>
      <w:r>
        <w:rPr>
          <w:rFonts w:ascii="Barlow Semi Condensed" w:cs="Barlow Semi Condensed" w:eastAsia="Barlow Semi Condensed" w:hAnsi="Barlow Semi Condensed"/>
          <w:b/>
          <w:bCs/>
          <w:sz w:val="24"/>
          <w:szCs w:val="24"/>
        </w:rPr>
        <w:t xml:space="preserve">4406 · Il primario esiste, ed è del 1974.</w:t>
      </w:r>
      <w:r>
        <w:rPr>
          <w:rFonts w:ascii="Barlow Semi Condensed" w:cs="Barlow Semi Condensed" w:eastAsia="Barlow Semi Condensed" w:hAnsi="Barlow Semi Condensed"/>
          <w:sz w:val="24"/>
          <w:szCs w:val="24"/>
        </w:rPr>
        <w:t xml:space="preserve"> Un documento di provenienza che nomini la controparte esiste: il memorandum of conversation dello Studio Ovale del 25 settembre 1974 fra Giovanni Leone, Aldo Moro, Gerald Ford, Henry Kissinger e Brent Scowcroft — FRUS 1969-1976, volume E-15 parte 2, documento 350, seconda edizione riveduta; Ford Library, file 1552802. Soddisfa la forma chiesta dal blocco 221; non ne soddisfa l'oggetto, che è il 1978.</w:t>
      </w:r>
    </w:p>
    <w:p>
      <w:pPr>
        <w:spacing w:after="120" w:line="276"/>
        <w:jc w:val="both"/>
      </w:pPr>
      <w:r>
        <w:rPr>
          <w:rFonts w:ascii="Barlow Semi Condensed" w:cs="Barlow Semi Condensed" w:eastAsia="Barlow Semi Condensed" w:hAnsi="Barlow Semi Condensed"/>
          <w:b/>
          <w:bCs/>
          <w:sz w:val="24"/>
          <w:szCs w:val="24"/>
        </w:rPr>
        <w:t xml:space="preserve">4407 · L'oggetto del bersaglio, non la forma.</w:t>
      </w:r>
      <w:r>
        <w:rPr>
          <w:rFonts w:ascii="Barlow Semi Condensed" w:cs="Barlow Semi Condensed" w:eastAsia="Barlow Semi Condensed" w:hAnsi="Barlow Semi Condensed"/>
          <w:sz w:val="24"/>
          <w:szCs w:val="24"/>
        </w:rPr>
        <w:t xml:space="preserve"> Non basta un primario qualsiasi: il 221 chiede il primario che sosterrebbe una regia estera del sequestro. Il verbale del 1974 documenta una posizione politica dichiarata sull'ingresso dei comunisti nell'area di governo, e nient'altro. Vale come piano 1 per il rapporto Moro-Kissinger; vale zero come piano 1 per via Fani. Distinguere i due usi dello stesso foglio è l'operazione che il blocco impone.</w:t>
      </w:r>
    </w:p>
    <w:p>
      <w:pPr>
        <w:spacing w:after="120" w:line="276"/>
        <w:jc w:val="both"/>
      </w:pPr>
      <w:r>
        <w:rPr>
          <w:rFonts w:ascii="Barlow Semi Condensed" w:cs="Barlow Semi Condensed" w:eastAsia="Barlow Semi Condensed" w:hAnsi="Barlow Semi Condensed"/>
          <w:b/>
          <w:bCs/>
          <w:sz w:val="24"/>
          <w:szCs w:val="24"/>
        </w:rPr>
        <w:t xml:space="preserve">4408 · Che cosa chiuderebbe il 221.</w:t>
      </w:r>
      <w:r>
        <w:rPr>
          <w:rFonts w:ascii="Barlow Semi Condensed" w:cs="Barlow Semi Condensed" w:eastAsia="Barlow Semi Condensed" w:hAnsi="Barlow Semi Condensed"/>
          <w:sz w:val="24"/>
          <w:szCs w:val="24"/>
        </w:rPr>
        <w:t xml:space="preserve"> Chiuderebbe quel bersaglio un atto solo, del 1978 — cablo, appunto, verbale, carta d'archivio straniera — che nomini insieme una condotta e il caso. Sedi dove starebbe: NARA, Central Foreign Policy Files; la sala di lettura elettronica della CIA; le biblioteche presidenziali Ford e Carter. Cercato secondo la griglia del blocco 128 e non trovato, l'esito è Stato Zero pieno, non sospensione.</w:t>
      </w:r>
    </w:p>
    <w:p>
      <w:pPr>
        <w:spacing w:after="120" w:line="276"/>
        <w:jc w:val="both"/>
      </w:pPr>
      <w:r>
        <w:rPr>
          <w:rFonts w:ascii="Barlow Semi Condensed" w:cs="Barlow Semi Condensed" w:eastAsia="Barlow Semi Condensed" w:hAnsi="Barlow Semi Condensed"/>
          <w:b/>
          <w:bCs/>
          <w:sz w:val="24"/>
          <w:szCs w:val="24"/>
        </w:rPr>
        <w:t xml:space="preserve">4409 · Il bersaglio di smentita del corpus.</w:t>
      </w:r>
      <w:r>
        <w:rPr>
          <w:rFonts w:ascii="Barlow Semi Condensed" w:cs="Barlow Semi Condensed" w:eastAsia="Barlow Semi Condensed" w:hAnsi="Barlow Semi Condensed"/>
          <w:sz w:val="24"/>
          <w:szCs w:val="24"/>
        </w:rPr>
        <w:t xml:space="preserve"> Simmetria dovuta: che cosa falsificherebbe l'affermazione del corpus secondo cui nulla lega quel nome alla catena di comando del delitto? Un solo documento, con fondo, serie e segnatura, che attesti un'istruzione, una richiesta o una conoscenza anticipata riferite al 1978. Chi sostiene la tesi opposta ha qui il proprio compito scritto; chi la nega non ha diritto di chiudere la porta a chiave.</w:t>
      </w:r>
    </w:p>
    <w:p>
      <w:pPr>
        <w:spacing w:after="120" w:line="276"/>
        <w:jc w:val="both"/>
      </w:pPr>
      <w:r>
        <w:rPr>
          <w:rFonts w:ascii="Barlow Semi Condensed" w:cs="Barlow Semi Condensed" w:eastAsia="Barlow Semi Condensed" w:hAnsi="Barlow Semi Condensed"/>
          <w:b/>
          <w:bCs/>
          <w:sz w:val="24"/>
          <w:szCs w:val="24"/>
        </w:rPr>
        <w:t xml:space="preserve">4410 · Cooperazione documentata, bersaglio del 228.</w:t>
      </w:r>
      <w:r>
        <w:rPr>
          <w:rFonts w:ascii="Barlow Semi Condensed" w:cs="Barlow Semi Condensed" w:eastAsia="Barlow Semi Condensed" w:hAnsi="Barlow Semi Condensed"/>
          <w:sz w:val="24"/>
          <w:szCs w:val="24"/>
        </w:rPr>
        <w:t xml:space="preserve"> Al blocco 228 la domanda è rovesciata: si cerca la prova che gli alleati riferirono tempestivamente alle autorità italiane ciò che sapevano. È un bersaglio del 1978 e riguarda sedi, non persone — ambasciate, centri, canali di collegamento. Chi aveva lasciato il Dipartimento di Stato il 20 gennaio 1977 non compare nella catena che il blocco interroga: l'esito negativo su di lui è strutturale prima che documentale.</w:t>
      </w:r>
    </w:p>
    <w:p>
      <w:pPr>
        <w:spacing w:after="120" w:line="276"/>
        <w:jc w:val="both"/>
      </w:pPr>
      <w:r>
        <w:rPr>
          <w:rFonts w:ascii="Barlow Semi Condensed" w:cs="Barlow Semi Condensed" w:eastAsia="Barlow Semi Condensed" w:hAnsi="Barlow Semi Condensed"/>
          <w:b/>
          <w:bCs/>
          <w:sz w:val="24"/>
          <w:szCs w:val="24"/>
        </w:rPr>
        <w:t xml:space="preserve">4411 · La regola dell'originatore, letta bene.</w:t>
      </w:r>
      <w:r>
        <w:rPr>
          <w:rFonts w:ascii="Barlow Semi Condensed" w:cs="Barlow Semi Condensed" w:eastAsia="Barlow Semi Condensed" w:hAnsi="Barlow Semi Condensed"/>
          <w:sz w:val="24"/>
          <w:szCs w:val="24"/>
        </w:rPr>
        <w:t xml:space="preserve"> Vale come norma generale degli scambi fra Stati, non come indizio sul contenuto: un documento classificato da uno Stato terzo non si desecreta unilateralmente. Lo scolpisce la scheda PE-5 e lo eredita il blocco 126. Chi la usa per suggerire che dietro il trattenuto ci sia un nome compie un salto vietato: il vincolo dice chi può aprire, non che cosa c'è dentro.</w:t>
      </w:r>
    </w:p>
    <w:p>
      <w:pPr>
        <w:spacing w:after="120" w:line="276"/>
        <w:jc w:val="both"/>
      </w:pPr>
      <w:r>
        <w:rPr>
          <w:rFonts w:ascii="Barlow Semi Condensed" w:cs="Barlow Semi Condensed" w:eastAsia="Barlow Semi Condensed" w:hAnsi="Barlow Semi Condensed"/>
          <w:b/>
          <w:bCs/>
          <w:sz w:val="24"/>
          <w:szCs w:val="24"/>
        </w:rPr>
        <w:t xml:space="preserve">4412 · I quattrocentosettantaquattro e il loro grado.</w:t>
      </w:r>
      <w:r>
        <w:rPr>
          <w:rFonts w:ascii="Barlow Semi Condensed" w:cs="Barlow Semi Condensed" w:eastAsia="Barlow Semi Condensed" w:hAnsi="Barlow Semi Condensed"/>
          <w:sz w:val="24"/>
          <w:szCs w:val="24"/>
        </w:rPr>
        <w:t xml:space="preserve"> Divergenza interna da riportare, non da sciogliere. La scheda PE-5 qualifica la cifra dei circa 474 atti di origine alleata ancora classificati come riferita e non verificata su atto; il blocco 127 dell'agenda la richiama invece come accertamento del corpus. È una promozione di grado avvenuta fra due documenti della stessa opera. Si segnala secondo il blocco 231, e si corregge per nota.</w:t>
      </w:r>
    </w:p>
    <w:p>
      <w:pPr>
        <w:spacing w:after="120" w:line="276"/>
        <w:jc w:val="both"/>
      </w:pPr>
      <w:r>
        <w:rPr>
          <w:rFonts w:ascii="Barlow Semi Condensed" w:cs="Barlow Semi Condensed" w:eastAsia="Barlow Semi Condensed" w:hAnsi="Barlow Semi Condensed"/>
          <w:b/>
          <w:bCs/>
          <w:sz w:val="24"/>
          <w:szCs w:val="24"/>
        </w:rPr>
        <w:t xml:space="preserve">4413 · Due insiemi che non coincidono.</w:t>
      </w:r>
      <w:r>
        <w:rPr>
          <w:rFonts w:ascii="Barlow Semi Condensed" w:cs="Barlow Semi Condensed" w:eastAsia="Barlow Semi Condensed" w:hAnsi="Barlow Semi Condensed"/>
          <w:sz w:val="24"/>
          <w:szCs w:val="24"/>
        </w:rPr>
        <w:t xml:space="preserve"> Accostare le withdrawal cards del 1978 — schede dei telegrammi trattenuti presso i National Archives statunitensi — ai 474 atti di origine alleata classificati in Italia significa sommare insiemi distinti, con custodi diversi e procedure diverse. Contarli insieme gonfia entrambi. Il bersaglio corretto è una tavola a colonne separate, come la scheda PE-5 già prescriveva per la propria chiusura in tre colonne.</w:t>
      </w:r>
    </w:p>
    <w:p>
      <w:pPr>
        <w:spacing w:after="120" w:line="276"/>
        <w:jc w:val="both"/>
      </w:pPr>
      <w:r>
        <w:rPr>
          <w:rFonts w:ascii="Barlow Semi Condensed" w:cs="Barlow Semi Condensed" w:eastAsia="Barlow Semi Condensed" w:hAnsi="Barlow Semi Condensed"/>
          <w:b/>
          <w:bCs/>
          <w:sz w:val="24"/>
          <w:szCs w:val="24"/>
        </w:rPr>
        <w:t xml:space="preserve">4414 · La finestra dell'AAD, allargata.</w:t>
      </w:r>
      <w:r>
        <w:rPr>
          <w:rFonts w:ascii="Barlow Semi Condensed" w:cs="Barlow Semi Condensed" w:eastAsia="Barlow Semi Condensed" w:hAnsi="Barlow Semi Condensed"/>
          <w:sz w:val="24"/>
          <w:szCs w:val="24"/>
        </w:rPr>
        <w:t xml:space="preserve"> Interrogato in full-text, il 1978 non esaurisce la serie: il blocco 128 dichiara la copertura reale dei Central Foreign Policy Files, dal 1° luglio 1973 al 31 dicembre 1979. Quella copertura contiene per intero il mandato di Segretario di Stato, dal 22 settembre 1973 al 20 gennaio 1977. Bersaglio nuovo e a costo bassissimo: la stessa griglia applicata alla finestra del settembre 1974.</w:t>
      </w:r>
    </w:p>
    <w:p>
      <w:pPr>
        <w:spacing w:after="120" w:line="276"/>
        <w:jc w:val="both"/>
      </w:pPr>
      <w:r>
        <w:rPr>
          <w:rFonts w:ascii="Barlow Semi Condensed" w:cs="Barlow Semi Condensed" w:eastAsia="Barlow Semi Condensed" w:hAnsi="Barlow Semi Condensed"/>
          <w:b/>
          <w:bCs/>
          <w:sz w:val="24"/>
          <w:szCs w:val="24"/>
        </w:rPr>
        <w:t xml:space="preserve">4415 · La griglia si dichiara prima.</w:t>
      </w:r>
      <w:r>
        <w:rPr>
          <w:rFonts w:ascii="Barlow Semi Condensed" w:cs="Barlow Semi Condensed" w:eastAsia="Barlow Semi Condensed" w:hAnsi="Barlow Semi Condensed"/>
          <w:sz w:val="24"/>
          <w:szCs w:val="24"/>
        </w:rPr>
        <w:t xml:space="preserve"> Disciplina d'esecuzione, dal blocco 128 e dal blocco 285: stringhe, TAGS, finestra temporale e data dell'interrogazione si scrivono prima di premere invio, non dopo aver visto i risultati. Per questo territorio i TAGS del lotto già in mano al corpus, «PINT, IT», sono il punto di partenza dichiarato. Una ricerca senza griglia scritta non produce Stato Zero: produce un'impressione.</w:t>
      </w:r>
    </w:p>
    <w:p>
      <w:pPr>
        <w:spacing w:after="120" w:line="276"/>
        <w:jc w:val="both"/>
      </w:pPr>
      <w:r>
        <w:rPr>
          <w:rFonts w:ascii="Barlow Semi Condensed" w:cs="Barlow Semi Condensed" w:eastAsia="Barlow Semi Condensed" w:hAnsi="Barlow Semi Condensed"/>
          <w:b/>
          <w:bCs/>
          <w:sz w:val="24"/>
          <w:szCs w:val="24"/>
        </w:rPr>
        <w:t xml:space="preserve">4416 · La serie FRUS e il volume mancante.</w:t>
      </w:r>
      <w:r>
        <w:rPr>
          <w:rFonts w:ascii="Barlow Semi Condensed" w:cs="Barlow Semi Condensed" w:eastAsia="Barlow Semi Condensed" w:hAnsi="Barlow Semi Condensed"/>
          <w:sz w:val="24"/>
          <w:szCs w:val="24"/>
        </w:rPr>
        <w:t xml:space="preserve"> Coerente col caso e per ciò stesso incompleto: il blocco 134 punta i volumi Foreign Relations of the United States per il 1977-1980 ed esclude perciò il volume che contiene l'unico documento di piano 1 fra Moro e questo nome, FRUS 1969-1976 E-15 parte 2. Bersaglio supplementare da iscrivere: l'estensione dello spoglio a quel volume e alle sue note, che sono segnature da seguire.</w:t>
      </w:r>
    </w:p>
    <w:p>
      <w:pPr>
        <w:spacing w:after="120" w:line="276"/>
        <w:jc w:val="both"/>
      </w:pPr>
      <w:r>
        <w:rPr>
          <w:rFonts w:ascii="Barlow Semi Condensed" w:cs="Barlow Semi Condensed" w:eastAsia="Barlow Semi Condensed" w:hAnsi="Barlow Semi Condensed"/>
          <w:b/>
          <w:bCs/>
          <w:sz w:val="24"/>
          <w:szCs w:val="24"/>
        </w:rPr>
        <w:t xml:space="preserve">4417 · La seconda edizione riveduta (serie LVIII).</w:t>
      </w:r>
      <w:r>
        <w:rPr>
          <w:rFonts w:ascii="Barlow Semi Condensed" w:cs="Barlow Semi Condensed" w:eastAsia="Barlow Semi Condensed" w:hAnsi="Barlow Semi Condensed"/>
          <w:sz w:val="24"/>
          <w:szCs w:val="24"/>
        </w:rPr>
        <w:t xml:space="preserve"> Regola di citazione, non pedanteria. Il documento 350 va sempre citato nella seconda edizione riveduta del volume: le due edizioni non hanno la stessa paginazione né lo stesso apparato. Una citazione che ometta la specificazione è un anello di catena di copia non dichiarato, e la critica testuale insegna che gli errori condivisi rivelano la filiazione dei testi meglio di ogni somiglianza di contenuto.</w:t>
      </w:r>
    </w:p>
    <w:p>
      <w:pPr>
        <w:spacing w:after="120" w:line="276"/>
        <w:jc w:val="both"/>
      </w:pPr>
      <w:r>
        <w:rPr>
          <w:rFonts w:ascii="Barlow Semi Condensed" w:cs="Barlow Semi Condensed" w:eastAsia="Barlow Semi Condensed" w:hAnsi="Barlow Semi Condensed"/>
          <w:b/>
          <w:bCs/>
          <w:sz w:val="24"/>
          <w:szCs w:val="24"/>
        </w:rPr>
        <w:t xml:space="preserve">4418 · La collezione a microfiche e il titolo.</w:t>
      </w:r>
      <w:r>
        <w:rPr>
          <w:rFonts w:ascii="Barlow Semi Condensed" w:cs="Barlow Semi Condensed" w:eastAsia="Barlow Semi Condensed" w:hAnsi="Barlow Semi Condensed"/>
          <w:sz w:val="24"/>
          <w:szCs w:val="24"/>
        </w:rPr>
        <w:t xml:space="preserve"> Nel titolo della collezione censita dal blocco 129 nella FOIA Library del Dipartimento di Stato — «Aldo Moro, Prime Minister of Italy, Representative of the Christian-Democrat Party (DC)» — Moro è qualificato presidente del Consiglio, mentre nel settembre 1974 era ministro degli Esteri. Prima di assumere che la collezione copra quella trasferta se ne accerta il perimetro: il titolo di un fondo non è il suo inventario.</w:t>
      </w:r>
    </w:p>
    <w:p>
      <w:pPr>
        <w:spacing w:after="120" w:line="276"/>
        <w:jc w:val="both"/>
      </w:pPr>
      <w:r>
        <w:rPr>
          <w:rFonts w:ascii="Barlow Semi Condensed" w:cs="Barlow Semi Condensed" w:eastAsia="Barlow Semi Condensed" w:hAnsi="Barlow Semi Condensed"/>
          <w:b/>
          <w:bCs/>
          <w:sz w:val="24"/>
          <w:szCs w:val="24"/>
        </w:rPr>
        <w:t xml:space="preserve">4419 · Atlanta conserva il successore.</w:t>
      </w:r>
      <w:r>
        <w:rPr>
          <w:rFonts w:ascii="Barlow Semi Condensed" w:cs="Barlow Semi Condensed" w:eastAsia="Barlow Semi Condensed" w:hAnsi="Barlow Semi Condensed"/>
          <w:sz w:val="24"/>
          <w:szCs w:val="24"/>
        </w:rPr>
        <w:t xml:space="preserve"> Alla Jimmy Carter Presidential Library il blocco 133 indica il Country File Italia della collezione Brzezinski, 1977-1981: è il fondo del consigliere entrato in carica il 20 gennaio 1977. Per costruzione non custodisce atti d'ufficio del predecessore. Cercarvi il nome e non trovarlo non è uno Stato Zero sul nome: è una porta che dà su un'altra stanza, e la differenza va scritta nel registro dei vuoti.</w:t>
      </w:r>
    </w:p>
    <w:p>
      <w:pPr>
        <w:spacing w:after="120" w:line="276"/>
        <w:jc w:val="both"/>
      </w:pPr>
      <w:r>
        <w:rPr>
          <w:rFonts w:ascii="Barlow Semi Condensed" w:cs="Barlow Semi Condensed" w:eastAsia="Barlow Semi Condensed" w:hAnsi="Barlow Semi Condensed"/>
          <w:b/>
          <w:bCs/>
          <w:sz w:val="24"/>
          <w:szCs w:val="24"/>
        </w:rPr>
        <w:t xml:space="preserve">4420 · Langley, e i ritagli che non contano.</w:t>
      </w:r>
      <w:r>
        <w:rPr>
          <w:rFonts w:ascii="Barlow Semi Condensed" w:cs="Barlow Semi Condensed" w:eastAsia="Barlow Semi Condensed" w:hAnsi="Barlow Semi Condensed"/>
          <w:sz w:val="24"/>
          <w:szCs w:val="24"/>
        </w:rPr>
        <w:t xml:space="preserve"> Impone il blocco 132 una disciplina precisa alla sala di lettura della CIA: distinguere i documenti analitici dalle rassegne stampa raccolte internamente. Molti reperti su Moro appartengono alla seconda categoria. Un ritaglio che riporti il nome prova che qualcuno lesse un giornale, non che un servizio scrisse qualcosa; marcare ciascun reperto per quello che è vale qui più che altrove.</w:t>
      </w:r>
    </w:p>
    <w:p>
      <w:pPr>
        <w:spacing w:after="120" w:line="276"/>
        <w:jc w:val="both"/>
      </w:pPr>
      <w:r>
        <w:rPr>
          <w:rFonts w:ascii="Barlow Semi Condensed" w:cs="Barlow Semi Condensed" w:eastAsia="Barlow Semi Condensed" w:hAnsi="Barlow Semi Condensed"/>
          <w:b/>
          <w:bCs/>
          <w:sz w:val="24"/>
          <w:szCs w:val="24"/>
        </w:rPr>
        <w:t xml:space="preserve">4421 · Il Congresso come cornice, non ponte.</w:t>
      </w:r>
      <w:r>
        <w:rPr>
          <w:rFonts w:ascii="Barlow Semi Condensed" w:cs="Barlow Semi Condensed" w:eastAsia="Barlow Semi Condensed" w:hAnsi="Barlow Semi Condensed"/>
          <w:sz w:val="24"/>
          <w:szCs w:val="24"/>
        </w:rPr>
        <w:t xml:space="preserve"> Le udienze delle commissioni del Congresso sul terrorismo europeo, bersaglio del blocco 135, dicono come Washington si spiegava pubblicamente ciò che i cablo raccontavano in riservato. È rendimento contestuale dichiarato, ed è cornice. Una dichiarazione resa in audizione da chiunque, anni dopo, resta fonte di parte: non promuove nulla e non fonda alcun arco nel grafo dei legami documentati.</w:t>
      </w:r>
    </w:p>
    <w:p>
      <w:pPr>
        <w:spacing w:after="120" w:line="276"/>
        <w:jc w:val="both"/>
      </w:pPr>
      <w:r>
        <w:rPr>
          <w:rFonts w:ascii="Barlow Semi Condensed" w:cs="Barlow Semi Condensed" w:eastAsia="Barlow Semi Condensed" w:hAnsi="Barlow Semi Condensed"/>
          <w:b/>
          <w:bCs/>
          <w:sz w:val="24"/>
          <w:szCs w:val="24"/>
        </w:rPr>
        <w:t xml:space="preserve">4422 · Kew e il fascicolo che c'è.</w:t>
      </w:r>
      <w:r>
        <w:rPr>
          <w:rFonts w:ascii="Barlow Semi Condensed" w:cs="Barlow Semi Condensed" w:eastAsia="Barlow Semi Condensed" w:hAnsi="Barlow Semi Condensed"/>
          <w:sz w:val="24"/>
          <w:szCs w:val="24"/>
        </w:rPr>
        <w:t xml:space="preserve"> A Kew la verifica V-4 dell'agenda ha trovato il fascicolo «Terrorism in Italy, including kidnapping and death of Aldo Moro», serie FCO 33, aperto fra il 2008 e il 2009, e non ha trovato un fascicolo PREM specificamente moroteo. Bersaglio per questa serie: se in quelle carte il nome compaia, e con quale funzione — riferito, commentato, o parte di una relazione documentata.</w:t>
      </w:r>
    </w:p>
    <w:p>
      <w:pPr>
        <w:spacing w:after="120" w:line="276"/>
        <w:jc w:val="both"/>
      </w:pPr>
      <w:r>
        <w:rPr>
          <w:rFonts w:ascii="Barlow Semi Condensed" w:cs="Barlow Semi Condensed" w:eastAsia="Barlow Semi Condensed" w:hAnsi="Barlow Semi Condensed"/>
          <w:b/>
          <w:bCs/>
          <w:sz w:val="24"/>
          <w:szCs w:val="24"/>
        </w:rPr>
        <w:t xml:space="preserve">4423 · Gli scaffali dell'Alleanza, perimetrati.</w:t>
      </w:r>
      <w:r>
        <w:rPr>
          <w:rFonts w:ascii="Barlow Semi Condensed" w:cs="Barlow Semi Condensed" w:eastAsia="Barlow Semi Condensed" w:hAnsi="Barlow Semi Condensed"/>
          <w:sz w:val="24"/>
          <w:szCs w:val="24"/>
        </w:rPr>
        <w:t xml:space="preserve"> Perimetro dichiarato dal blocco 143: negli archivi NATO si cercano documenti d'archivio, non conferme di narrazioni. Applicato qui, significa che una serie declassificata del 1978 sulla sicurezza interna alleata va letta per ciò che elenca. Ciò che non contiene si verbalizza come assenza, con la data della consultazione e il nome esatto della serie consultata, secondo il blocco 233.</w:t>
      </w:r>
    </w:p>
    <w:p>
      <w:pPr>
        <w:spacing w:after="120" w:line="276"/>
        <w:jc w:val="both"/>
      </w:pPr>
      <w:r>
        <w:rPr>
          <w:rFonts w:ascii="Barlow Semi Condensed" w:cs="Barlow Semi Condensed" w:eastAsia="Barlow Semi Condensed" w:hAnsi="Barlow Semi Condensed"/>
          <w:b/>
          <w:bCs/>
          <w:sz w:val="24"/>
          <w:szCs w:val="24"/>
        </w:rPr>
        <w:t xml:space="preserve">4424 · Il quesito 12 e i suoi confini.</w:t>
      </w:r>
      <w:r>
        <w:rPr>
          <w:rFonts w:ascii="Barlow Semi Condensed" w:cs="Barlow Semi Condensed" w:eastAsia="Barlow Semi Condensed" w:hAnsi="Barlow Semi Condensed"/>
          <w:sz w:val="24"/>
          <w:szCs w:val="24"/>
        </w:rPr>
        <w:t xml:space="preserve"> Quesito costitutivo numero 12, «Gli occhi degli alleati»: che cosa videro e riferirono in tempo reale le diplomazie e i servizi nel 1978, e che cosa giace sotto la regola dell'originatore. È una domanda su sedi, tempi e ritenuto. Non è una domanda su un nome, e trasformarla in tale è il modo più rapido per non ottenere né l'una né l'altra risposta.</w:t>
      </w:r>
    </w:p>
    <w:p>
      <w:pPr>
        <w:spacing w:after="120" w:line="276"/>
        <w:jc w:val="both"/>
      </w:pPr>
      <w:r>
        <w:rPr>
          <w:rFonts w:ascii="Barlow Semi Condensed" w:cs="Barlow Semi Condensed" w:eastAsia="Barlow Semi Condensed" w:hAnsi="Barlow Semi Condensed"/>
          <w:b/>
          <w:bCs/>
          <w:sz w:val="24"/>
          <w:szCs w:val="24"/>
        </w:rPr>
        <w:t xml:space="preserve">4425 · Chiusura per smentita o stanchezza.</w:t>
      </w:r>
      <w:r>
        <w:rPr>
          <w:rFonts w:ascii="Barlow Semi Condensed" w:cs="Barlow Semi Condensed" w:eastAsia="Barlow Semi Condensed" w:hAnsi="Barlow Semi Condensed"/>
          <w:sz w:val="24"/>
          <w:szCs w:val="24"/>
        </w:rPr>
        <w:t xml:space="preserve"> Per il versante atlantico il blocco 230 ha una risposta documentabile. La Fase sesta dell'opera-madre iscrive fra gli Stati Zero il documento che leghi quel nome, o qualunque apparato straniero nominato, alla catena di comando del delitto: è chiusura per ricerca condotta, non per fatica. Resta riaperta solo da un primario nuovo, e non dalla rilettura degli stessi atti.</w:t>
      </w:r>
    </w:p>
    <w:p>
      <w:pPr>
        <w:spacing w:after="120" w:line="276"/>
        <w:jc w:val="both"/>
      </w:pPr>
      <w:r>
        <w:rPr>
          <w:rFonts w:ascii="Barlow Semi Condensed" w:cs="Barlow Semi Condensed" w:eastAsia="Barlow Semi Condensed" w:hAnsi="Barlow Semi Condensed"/>
          <w:b/>
          <w:bCs/>
          <w:sz w:val="24"/>
          <w:szCs w:val="24"/>
        </w:rPr>
        <w:t xml:space="preserve">4426 · Lo Stato Zero senza sede.</w:t>
      </w:r>
      <w:r>
        <w:rPr>
          <w:rFonts w:ascii="Barlow Semi Condensed" w:cs="Barlow Semi Condensed" w:eastAsia="Barlow Semi Condensed" w:hAnsi="Barlow Semi Condensed"/>
          <w:sz w:val="24"/>
          <w:szCs w:val="24"/>
        </w:rPr>
        <w:t xml:space="preserve"> Manca a quell'iscrizione ciò che il blocco 233 pretende: la sede che la chiuderebbe. Bersaglio proposto da questa serie: riscrivere l'assenza della Fase sesta con gli indirizzi accanto — Ford Library, NARA Central Foreign Policy Files, sala di lettura elettronica della CIA, Archivio centrale dello Stato — e con la data del riesame. Un'assenza senza indirizzo invecchia in fretta e non si controlla.</w:t>
      </w:r>
    </w:p>
    <w:p>
      <w:pPr>
        <w:spacing w:after="120" w:line="276"/>
        <w:jc w:val="both"/>
      </w:pPr>
      <w:r>
        <w:rPr>
          <w:rFonts w:ascii="Barlow Semi Condensed" w:cs="Barlow Semi Condensed" w:eastAsia="Barlow Semi Condensed" w:hAnsi="Barlow Semi Condensed"/>
          <w:b/>
          <w:bCs/>
          <w:sz w:val="24"/>
          <w:szCs w:val="24"/>
        </w:rPr>
        <w:t xml:space="preserve">4427 · Il criterio Hyperion, trasferito.</w:t>
      </w:r>
      <w:r>
        <w:rPr>
          <w:rFonts w:ascii="Barlow Semi Condensed" w:cs="Barlow Semi Condensed" w:eastAsia="Barlow Semi Condensed" w:hAnsi="Barlow Semi Condensed"/>
          <w:sz w:val="24"/>
          <w:szCs w:val="24"/>
        </w:rPr>
        <w:t xml:space="preserve"> Tiene chiusa una pista e pronto il suo test, il blocco 222: un documento primario che trasformi un arco biografico in arco di condotta. Il criterio si trasferisce tale e quale al cammino atlantico, dove gli archi disponibili sono di cornice — posizioni politiche dichiarate, timori strategici, contiguità di anni. Trasformarne uno in arco di condotta richiede una carta, non una rilettura.</w:t>
      </w:r>
    </w:p>
    <w:p>
      <w:pPr>
        <w:spacing w:after="120" w:line="276"/>
        <w:jc w:val="both"/>
      </w:pPr>
      <w:r>
        <w:rPr>
          <w:rFonts w:ascii="Barlow Semi Condensed" w:cs="Barlow Semi Condensed" w:eastAsia="Barlow Semi Condensed" w:hAnsi="Barlow Semi Condensed"/>
          <w:b/>
          <w:bCs/>
          <w:sz w:val="24"/>
          <w:szCs w:val="24"/>
        </w:rPr>
        <w:t xml:space="preserve">4428 · Il tornello dell'anello debole.</w:t>
      </w:r>
      <w:r>
        <w:rPr>
          <w:rFonts w:ascii="Barlow Semi Condensed" w:cs="Barlow Semi Condensed" w:eastAsia="Barlow Semi Condensed" w:hAnsi="Barlow Semi Condensed"/>
          <w:sz w:val="24"/>
          <w:szCs w:val="24"/>
        </w:rPr>
        <w:t xml:space="preserve"> Ogni catena inferenziale nuova si misura al suo anello più debole prima di entrare in qualunque scheda: è il blocco 232, ed è un tornello. Nella catena che va dalla cornice atlantica del 1974 all'agguato del 16 marzo 1978 l'anello più debole è il passaggio fra i due estremi. Il grado del cammino è quello del tratto peggiore, e nessun arco forte a monte lo risolleva.</w:t>
      </w:r>
    </w:p>
    <w:p>
      <w:pPr>
        <w:spacing w:after="120" w:line="276"/>
        <w:jc w:val="both"/>
      </w:pPr>
      <w:r>
        <w:rPr>
          <w:rFonts w:ascii="Barlow Semi Condensed" w:cs="Barlow Semi Condensed" w:eastAsia="Barlow Semi Condensed" w:hAnsi="Barlow Semi Condensed"/>
          <w:b/>
          <w:bCs/>
          <w:sz w:val="24"/>
          <w:szCs w:val="24"/>
        </w:rPr>
        <w:t xml:space="preserve">4429 · Il 231, già eseguito una volta.</w:t>
      </w:r>
      <w:r>
        <w:rPr>
          <w:rFonts w:ascii="Barlow Semi Condensed" w:cs="Barlow Semi Condensed" w:eastAsia="Barlow Semi Condensed" w:hAnsi="Barlow Semi Condensed"/>
          <w:sz w:val="24"/>
          <w:szCs w:val="24"/>
        </w:rPr>
        <w:t xml:space="preserve"> Già eseguito, l'esercizio che il blocco 231 prescrive: la Nota di revisione numero due del 25 agosto 2026 ha aggiunto al nodo M-5 di triangolazioni-guevara-moro.md sette precisazioni che il nodo non conteneva, prima fra tutte la smentita dell'interessato, assente dal testo originario. L'agenda conta queste note come successi e prevede le prossime; questa è la prima che riguarda un nome straniero.</w:t>
      </w:r>
    </w:p>
    <w:p>
      <w:pPr>
        <w:spacing w:after="120" w:line="276"/>
        <w:jc w:val="both"/>
      </w:pPr>
      <w:r>
        <w:rPr>
          <w:rFonts w:ascii="Barlow Semi Condensed" w:cs="Barlow Semi Condensed" w:eastAsia="Barlow Semi Condensed" w:hAnsi="Barlow Semi Condensed"/>
          <w:b/>
          <w:bCs/>
          <w:sz w:val="24"/>
          <w:szCs w:val="24"/>
        </w:rPr>
        <w:t xml:space="preserve">4430 · Ciò che la nota non tocca.</w:t>
      </w:r>
      <w:r>
        <w:rPr>
          <w:rFonts w:ascii="Barlow Semi Condensed" w:cs="Barlow Semi Condensed" w:eastAsia="Barlow Semi Condensed" w:hAnsi="Barlow Semi Condensed"/>
          <w:sz w:val="24"/>
          <w:szCs w:val="24"/>
        </w:rPr>
        <w:t xml:space="preserve"> Resta leggibile com'era il testo del nodo M-5, perché la regola vieta la riscrittura e impone la correzione affiancata. Vi si legge ancora l'avvertimento riferito come dato, senza la contestazione. Chi apre quella riga senza scendere alla nota riceve la versione non corretta. Bersaglio editoriale minimo e a costo nullo: un rimando esplicito dal nodo alla nota, che è la custodia chiesta dal blocco 276.</w:t>
      </w:r>
    </w:p>
    <w:p>
      <w:pPr>
        <w:spacing w:after="120" w:line="276"/>
        <w:jc w:val="both"/>
      </w:pPr>
      <w:r>
        <w:rPr>
          <w:rFonts w:ascii="Barlow Semi Condensed" w:cs="Barlow Semi Condensed" w:eastAsia="Barlow Semi Condensed" w:hAnsi="Barlow Semi Condensed"/>
          <w:b/>
          <w:bCs/>
          <w:sz w:val="24"/>
          <w:szCs w:val="24"/>
        </w:rPr>
        <w:t xml:space="preserve">4431 · Corroborare un teste de relato.</w:t>
      </w:r>
      <w:r>
        <w:rPr>
          <w:rFonts w:ascii="Barlow Semi Condensed" w:cs="Barlow Semi Condensed" w:eastAsia="Barlow Semi Condensed" w:hAnsi="Barlow Semi Condensed"/>
          <w:sz w:val="24"/>
          <w:szCs w:val="24"/>
        </w:rPr>
        <w:t xml:space="preserve"> Corroborazione fisica prima di costruire: è ciò che il blocco 224 impone, con la lezione Marini come precedente scolpito e la Nota di revisione numero uno come sua registrazione nel corpus. Corrado Guerzoni depose davanti alla Corte d'assise di Roma nel novembre 1982 senza aver assistito al colloquio. La corroborazione che il blocco chiede, qui, è documentale: le carte della trasferta, non altre memorie.</w:t>
      </w:r>
    </w:p>
    <w:p>
      <w:pPr>
        <w:spacing w:after="120" w:line="276"/>
        <w:jc w:val="both"/>
      </w:pPr>
      <w:r>
        <w:rPr>
          <w:rFonts w:ascii="Barlow Semi Condensed" w:cs="Barlow Semi Condensed" w:eastAsia="Barlow Semi Condensed" w:hAnsi="Barlow Semi Condensed"/>
          <w:b/>
          <w:bCs/>
          <w:sz w:val="24"/>
          <w:szCs w:val="24"/>
        </w:rPr>
        <w:t xml:space="preserve">4432 · Il nome ottenuto in aula (serie LVIII).</w:t>
      </w:r>
      <w:r>
        <w:rPr>
          <w:rFonts w:ascii="Barlow Semi Condensed" w:cs="Barlow Semi Condensed" w:eastAsia="Barlow Semi Condensed" w:hAnsi="Barlow Semi Condensed"/>
          <w:sz w:val="24"/>
          <w:szCs w:val="24"/>
        </w:rPr>
        <w:t xml:space="preserve"> Estratto da una domanda, un nome non pesa quanto un nome offerto. In aula la vedova parlò di «un'alta personalità» senza nominarla; fu il presidente della corte, richiamando il portavoce, a ottenere l'indicazione. La differenza va scritta ogni volta che quella deposizione è citata, comunque la si valuti nel merito: è una regola di lettura, non una valutazione di credibilità.</w:t>
      </w:r>
    </w:p>
    <w:p>
      <w:pPr>
        <w:spacing w:after="120" w:line="276"/>
        <w:jc w:val="both"/>
      </w:pPr>
      <w:r>
        <w:rPr>
          <w:rFonts w:ascii="Barlow Semi Condensed" w:cs="Barlow Semi Condensed" w:eastAsia="Barlow Semi Condensed" w:hAnsi="Barlow Semi Condensed"/>
          <w:b/>
          <w:bCs/>
          <w:sz w:val="24"/>
          <w:szCs w:val="24"/>
        </w:rPr>
        <w:t xml:space="preserve">4433 · Incrociare i presenti del 1974.</w:t>
      </w:r>
      <w:r>
        <w:rPr>
          <w:rFonts w:ascii="Barlow Semi Condensed" w:cs="Barlow Semi Condensed" w:eastAsia="Barlow Semi Condensed" w:hAnsi="Barlow Semi Condensed"/>
          <w:sz w:val="24"/>
          <w:szCs w:val="24"/>
        </w:rPr>
        <w:t xml:space="preserve"> Trasferito al settembre 1974, il blocco 225 prescrive di incrociare le testimonianze di tutti i presenti ancora ascoltabili e i verbali resi all'epoca. L'elenco della delegazione italiana del 25 e 26 settembre, gli accompagnatori, il personale d'ambasciata: la serie quinta dell'agenda, blocchi 101-125, fornisce il protocollo conservativo, e il blocco 122 la categoria — gli occhi stranieri ancora viventi.</w:t>
      </w:r>
    </w:p>
    <w:p>
      <w:pPr>
        <w:spacing w:after="120" w:line="276"/>
        <w:jc w:val="both"/>
      </w:pPr>
      <w:r>
        <w:rPr>
          <w:rFonts w:ascii="Barlow Semi Condensed" w:cs="Barlow Semi Condensed" w:eastAsia="Barlow Semi Condensed" w:hAnsi="Barlow Semi Condensed"/>
          <w:b/>
          <w:bCs/>
          <w:sz w:val="24"/>
          <w:szCs w:val="24"/>
        </w:rPr>
        <w:t xml:space="preserve">4434 · L'interprete come bersaglio materiale (serie LVIII).</w:t>
      </w:r>
      <w:r>
        <w:rPr>
          <w:rFonts w:ascii="Barlow Semi Condensed" w:cs="Barlow Semi Condensed" w:eastAsia="Barlow Semi Condensed" w:hAnsi="Barlow Semi Condensed"/>
          <w:sz w:val="24"/>
          <w:szCs w:val="24"/>
        </w:rPr>
        <w:t xml:space="preserve"> Definì l'episodio una leggenda senza fondamento un testimone italiano qualificato, dicendo di averlo verificato allora con l'interprete perché Moro non parlava inglese: il dato tocca la plausibilità materiale di uno scambio verbale diretto. Bersaglio: l'identità dell'interprete di quella trasferta e ogni carta che la registri — liste di delegazione, note spese, telegrammi organizzativi — presso l'Archivio storico-diplomatico della Farnesina.</w:t>
      </w:r>
    </w:p>
    <w:p>
      <w:pPr>
        <w:spacing w:after="120" w:line="276"/>
        <w:jc w:val="both"/>
      </w:pPr>
      <w:r>
        <w:rPr>
          <w:rFonts w:ascii="Barlow Semi Condensed" w:cs="Barlow Semi Condensed" w:eastAsia="Barlow Semi Condensed" w:hAnsi="Barlow Semi Condensed"/>
          <w:b/>
          <w:bCs/>
          <w:sz w:val="24"/>
          <w:szCs w:val="24"/>
        </w:rPr>
        <w:t xml:space="preserve">4435 · La verbalizzazione italiana del colloquio.</w:t>
      </w:r>
      <w:r>
        <w:rPr>
          <w:rFonts w:ascii="Barlow Semi Condensed" w:cs="Barlow Semi Condensed" w:eastAsia="Barlow Semi Condensed" w:hAnsi="Barlow Semi Condensed"/>
          <w:sz w:val="24"/>
          <w:szCs w:val="24"/>
        </w:rPr>
        <w:t xml:space="preserve"> Esiste un verbale americano; esiste una verbalizzazione italiana? Appunto di gabinetto, resoconto di delegazione, telegramma di riepilogo dell'ambasciata a Washington del 25 o del 26 settembre 1974. Sede: Archivio storico-diplomatico della Farnesina, carteggi di gabinetto e serie dell'ambasciata. Se esiste è un secondo testimone indipendente sullo stesso colloquio; se non esiste, l'esito negativo si verbalizza secondo il blocco 285.</w:t>
      </w:r>
    </w:p>
    <w:p>
      <w:pPr>
        <w:spacing w:after="120" w:line="276"/>
        <w:jc w:val="both"/>
      </w:pPr>
      <w:r>
        <w:rPr>
          <w:rFonts w:ascii="Barlow Semi Condensed" w:cs="Barlow Semi Condensed" w:eastAsia="Barlow Semi Condensed" w:hAnsi="Barlow Semi Condensed"/>
          <w:b/>
          <w:bCs/>
          <w:sz w:val="24"/>
          <w:szCs w:val="24"/>
        </w:rPr>
        <w:t xml:space="preserve">4436 · Le date della visita divergono (serie LVIII).</w:t>
      </w:r>
      <w:r>
        <w:rPr>
          <w:rFonts w:ascii="Barlow Semi Condensed" w:cs="Barlow Semi Condensed" w:eastAsia="Barlow Semi Condensed" w:hAnsi="Barlow Semi Condensed"/>
          <w:sz w:val="24"/>
          <w:szCs w:val="24"/>
        </w:rPr>
        <w:t xml:space="preserve"> Da riportare senza scegliere: il comunicato congiunto pubblicato negli atti presidenziali statunitensi colloca la visita di Stato dal 25 al 29 settembre 1974, mentre la nota editoriale del volume FRUS indica dal 25 al 27. La divergenza è minuta e non è innocua, perché fissa quanti giorni di fuori-programma esistettero. Il programma ufficiale della trasferta la scioglierebbe, ed è una carta d'archivio ordinaria.</w:t>
      </w:r>
    </w:p>
    <w:p>
      <w:pPr>
        <w:spacing w:after="120" w:line="276"/>
        <w:jc w:val="both"/>
      </w:pPr>
      <w:r>
        <w:rPr>
          <w:rFonts w:ascii="Barlow Semi Condensed" w:cs="Barlow Semi Condensed" w:eastAsia="Barlow Semi Condensed" w:hAnsi="Barlow Semi Condensed"/>
          <w:b/>
          <w:bCs/>
          <w:sz w:val="24"/>
          <w:szCs w:val="24"/>
        </w:rPr>
        <w:t xml:space="preserve">4437 · Tre anni per un episodio.</w:t>
      </w:r>
      <w:r>
        <w:rPr>
          <w:rFonts w:ascii="Barlow Semi Condensed" w:cs="Barlow Semi Condensed" w:eastAsia="Barlow Semi Condensed" w:hAnsi="Barlow Semi Condensed"/>
          <w:sz w:val="24"/>
          <w:szCs w:val="24"/>
        </w:rPr>
        <w:t xml:space="preserve"> Oscilla fra 1974, 1976 e 1977 la collocazione dell'episodio riferito, e con essa i luoghi: Studio Ovale, Dipartimento di Stato, cena ufficiale, ambasciata d'Italia a Washington. Nel 1977 l'interessato non ricopriva più alcuna carica di governo. La divergenza è dirimente per chiunque voglia legare l'episodio a un ufficio, e va riportata ogni volta, non risolta d'ufficio in favore della versione più diffusa.</w:t>
      </w:r>
    </w:p>
    <w:p>
      <w:pPr>
        <w:spacing w:after="120" w:line="276"/>
        <w:jc w:val="both"/>
      </w:pPr>
      <w:r>
        <w:rPr>
          <w:rFonts w:ascii="Barlow Semi Condensed" w:cs="Barlow Semi Condensed" w:eastAsia="Barlow Semi Condensed" w:hAnsi="Barlow Semi Condensed"/>
          <w:b/>
          <w:bCs/>
          <w:sz w:val="24"/>
          <w:szCs w:val="24"/>
        </w:rPr>
        <w:t xml:space="preserve">4438 · L'ambasciata di Washington, da datare.</w:t>
      </w:r>
      <w:r>
        <w:rPr>
          <w:rFonts w:ascii="Barlow Semi Condensed" w:cs="Barlow Semi Condensed" w:eastAsia="Barlow Semi Condensed" w:hAnsi="Barlow Semi Condensed"/>
          <w:sz w:val="24"/>
          <w:szCs w:val="24"/>
        </w:rPr>
        <w:t xml:space="preserve"> Una fonte d'agenzia statunitense dell'aprile 1983 riferisce che i magistrati italiani volevano interrogarlo su un acceso alterco all'ambasciata d'Italia a Washington nel 1977. Bersaglio preciso: qualunque carta che dati un incontro in quella sede in quell'anno — registri d'ingresso, liste d'invito, corrispondenza dell'ambasciata — presso la Farnesina. Un documento di calendario chiuderebbe una delle tre varianti senza toccare il merito della frase.</w:t>
      </w:r>
    </w:p>
    <w:p>
      <w:pPr>
        <w:spacing w:after="120" w:line="276"/>
        <w:jc w:val="both"/>
      </w:pPr>
      <w:r>
        <w:rPr>
          <w:rFonts w:ascii="Barlow Semi Condensed" w:cs="Barlow Semi Condensed" w:eastAsia="Barlow Semi Condensed" w:hAnsi="Barlow Semi Condensed"/>
          <w:b/>
          <w:bCs/>
          <w:sz w:val="24"/>
          <w:szCs w:val="24"/>
        </w:rPr>
        <w:t xml:space="preserve">4439 · Che cosa entra nel registro.</w:t>
      </w:r>
      <w:r>
        <w:rPr>
          <w:rFonts w:ascii="Barlow Semi Condensed" w:cs="Barlow Semi Condensed" w:eastAsia="Barlow Semi Condensed" w:hAnsi="Barlow Semi Condensed"/>
          <w:sz w:val="24"/>
          <w:szCs w:val="24"/>
        </w:rPr>
        <w:t xml:space="preserve"> Apre il blocco 235 un registro pubblico delle smentite riuscite, ciascuna con la sua data e il suo documento. Su questo nome una sola voce è oggi iscrivibile: il verbale dello Studio Ovale del 25 settembre 1974 non contiene alcun ultimatum personale ad Aldo Moro. È una tesi caduta e documentata, e la sua caduta riguarda la circolazione pubblica di quel documento, non l'episodio riferito.</w:t>
      </w:r>
    </w:p>
    <w:p>
      <w:pPr>
        <w:spacing w:after="120" w:line="276"/>
        <w:jc w:val="both"/>
      </w:pPr>
      <w:r>
        <w:rPr>
          <w:rFonts w:ascii="Barlow Semi Condensed" w:cs="Barlow Semi Condensed" w:eastAsia="Barlow Semi Condensed" w:hAnsi="Barlow Semi Condensed"/>
          <w:b/>
          <w:bCs/>
          <w:sz w:val="24"/>
          <w:szCs w:val="24"/>
        </w:rPr>
        <w:t xml:space="preserve">4440 · La forma esatta della voce.</w:t>
      </w:r>
      <w:r>
        <w:rPr>
          <w:rFonts w:ascii="Barlow Semi Condensed" w:cs="Barlow Semi Condensed" w:eastAsia="Barlow Semi Condensed" w:hAnsi="Barlow Semi Condensed"/>
          <w:sz w:val="24"/>
          <w:szCs w:val="24"/>
        </w:rPr>
        <w:t xml:space="preserve"> Si propone il testo dell'iscrizione, perché un registro vale per la precisione delle sue righe. Tesi smentita: il memorandum of conversation dello Studio Ovale conterrebbe la minaccia. Documento: FRUS 1969-1976 E-15 parte 2, doc. 350, seconda edizione riveduta, e Ford Library file 1552802. Esito: assenza accertata. Effetto: decade la versione che colloca la frase nell'incontro ufficiale, che è quella che circola.</w:t>
      </w:r>
    </w:p>
    <w:p>
      <w:pPr>
        <w:spacing w:after="120" w:line="276"/>
        <w:jc w:val="both"/>
      </w:pPr>
      <w:r>
        <w:rPr>
          <w:rFonts w:ascii="Barlow Semi Condensed" w:cs="Barlow Semi Condensed" w:eastAsia="Barlow Semi Condensed" w:hAnsi="Barlow Semi Condensed"/>
          <w:b/>
          <w:bCs/>
          <w:sz w:val="24"/>
          <w:szCs w:val="24"/>
        </w:rPr>
        <w:t xml:space="preserve">4441 · Ciò che non può entrarvi.</w:t>
      </w:r>
      <w:r>
        <w:rPr>
          <w:rFonts w:ascii="Barlow Semi Condensed" w:cs="Barlow Semi Condensed" w:eastAsia="Barlow Semi Condensed" w:hAnsi="Barlow Semi Condensed"/>
          <w:sz w:val="24"/>
          <w:szCs w:val="24"/>
        </w:rPr>
        <w:t xml:space="preserve"> Fuori dal registro resta la negazione dell'interessato. Una smentita, nella grammatica del blocco 235, è una tesi caduta davanti a un documento; una dichiarazione di parte è una fonte in più, da riportare accanto alla testimonianza che contesta. Confondere le due cose renderebbe il registro un luogo di opinioni, cioè esattamente ciò che il blocco esiste per impedire.</w:t>
      </w:r>
    </w:p>
    <w:p>
      <w:pPr>
        <w:spacing w:after="120" w:line="276"/>
        <w:jc w:val="both"/>
      </w:pPr>
      <w:r>
        <w:rPr>
          <w:rFonts w:ascii="Barlow Semi Condensed" w:cs="Barlow Semi Condensed" w:eastAsia="Barlow Semi Condensed" w:hAnsi="Barlow Semi Condensed"/>
          <w:b/>
          <w:bCs/>
          <w:sz w:val="24"/>
          <w:szCs w:val="24"/>
        </w:rPr>
        <w:t xml:space="preserve">4442 · La simmetria da non tradire.</w:t>
      </w:r>
      <w:r>
        <w:rPr>
          <w:rFonts w:ascii="Barlow Semi Condensed" w:cs="Barlow Semi Condensed" w:eastAsia="Barlow Semi Condensed" w:hAnsi="Barlow Semi Condensed"/>
          <w:sz w:val="24"/>
          <w:szCs w:val="24"/>
        </w:rPr>
        <w:t xml:space="preserve"> Che l'interessato abbia negato non prova che il fatto non avvenne, come la testimonianza non prova che avvenne. Restano tre fatti distinti e tutti verificati: non fu mai sentito dai magistrati italiani; la richiesta informale del 1983 non ebbe seguito; nessuna sentenza definitiva ha attribuito ad autorità statunitensi responsabilità penali nel caso. Tenerli separati è la condizione per poterli usare.</w:t>
      </w:r>
    </w:p>
    <w:p>
      <w:pPr>
        <w:spacing w:after="120" w:line="276"/>
        <w:jc w:val="both"/>
      </w:pPr>
      <w:r>
        <w:rPr>
          <w:rFonts w:ascii="Barlow Semi Condensed" w:cs="Barlow Semi Condensed" w:eastAsia="Barlow Semi Condensed" w:hAnsi="Barlow Semi Condensed"/>
          <w:b/>
          <w:bCs/>
          <w:sz w:val="24"/>
          <w:szCs w:val="24"/>
        </w:rPr>
        <w:t xml:space="preserve">4443 · La contro-agenda rivolta alla tesi.</w:t>
      </w:r>
      <w:r>
        <w:rPr>
          <w:rFonts w:ascii="Barlow Semi Condensed" w:cs="Barlow Semi Condensed" w:eastAsia="Barlow Semi Condensed" w:hAnsi="Barlow Semi Condensed"/>
          <w:sz w:val="24"/>
          <w:szCs w:val="24"/>
        </w:rPr>
        <w:t xml:space="preserve"> Invita formalmente il blocco 234 chi sostiene tesi alternative a formulare i propri bersagli nella stessa grammatica: quesito, giacimento, evidenza attesa, criterio di chiusura. L'invito si estende a chiunque presenti l'avvertimento del 1974 come antefatto del 1978. Non gli si chiede di rinunciare alla tesi: gli si chiede di nominare quale carta, in quale fondo, la abbatterebbe.</w:t>
      </w:r>
    </w:p>
    <w:p>
      <w:pPr>
        <w:spacing w:after="120" w:line="276"/>
        <w:jc w:val="both"/>
      </w:pPr>
      <w:r>
        <w:rPr>
          <w:rFonts w:ascii="Barlow Semi Condensed" w:cs="Barlow Semi Condensed" w:eastAsia="Barlow Semi Condensed" w:hAnsi="Barlow Semi Condensed"/>
          <w:b/>
          <w:bCs/>
          <w:sz w:val="24"/>
          <w:szCs w:val="24"/>
        </w:rPr>
        <w:t xml:space="preserve">4444 · La domanda che chiude tutto.</w:t>
      </w:r>
      <w:r>
        <w:rPr>
          <w:rFonts w:ascii="Barlow Semi Condensed" w:cs="Barlow Semi Condensed" w:eastAsia="Barlow Semi Condensed" w:hAnsi="Barlow Semi Condensed"/>
          <w:sz w:val="24"/>
          <w:szCs w:val="24"/>
        </w:rPr>
        <w:t xml:space="preserve"> Chi non sa nominare il documento che lo smentirebbe non ha una tesi storica: ha una convinzione. L'agenda lo scrive senza asprezza e con una conseguenza operativa, perché i bersagli formulati dagli avversari entrano nella serie undicesima con pari dignità e pari disciplina, per il blocco 279. La porta resta aperta, e la soglia è una sola: la falsificabilità dichiarata per iscritto.</w:t>
      </w:r>
    </w:p>
    <w:p>
      <w:pPr>
        <w:spacing w:after="120" w:line="276"/>
        <w:jc w:val="both"/>
      </w:pPr>
      <w:r>
        <w:rPr>
          <w:rFonts w:ascii="Barlow Semi Condensed" w:cs="Barlow Semi Condensed" w:eastAsia="Barlow Semi Condensed" w:hAnsi="Barlow Semi Condensed"/>
          <w:b/>
          <w:bCs/>
          <w:sz w:val="24"/>
          <w:szCs w:val="24"/>
        </w:rPr>
        <w:t xml:space="preserve">4445 · La moltiplicazione è apparente.</w:t>
      </w:r>
      <w:r>
        <w:rPr>
          <w:rFonts w:ascii="Barlow Semi Condensed" w:cs="Barlow Semi Condensed" w:eastAsia="Barlow Semi Condensed" w:hAnsi="Barlow Semi Condensed"/>
          <w:sz w:val="24"/>
          <w:szCs w:val="24"/>
        </w:rPr>
        <w:t xml:space="preserve"> Risalgono a un unico lancio d'agenzia del 30 novembre 2023 le decine di riprese che riportano la frase in forma pressoché identica. La replicazione non aggiunge valore probatorio: è copia senza informazione nuova. Bersaglio di smentita di questa constatazione: una fonte indipendente anteriore a quella data che riporti la frase per via diversa. Chi la produce sposta il quesito di un grado.</w:t>
      </w:r>
    </w:p>
    <w:p>
      <w:pPr>
        <w:spacing w:after="120" w:line="276"/>
        <w:jc w:val="both"/>
      </w:pPr>
      <w:r>
        <w:rPr>
          <w:rFonts w:ascii="Barlow Semi Condensed" w:cs="Barlow Semi Condensed" w:eastAsia="Barlow Semi Condensed" w:hAnsi="Barlow Semi Condensed"/>
          <w:b/>
          <w:bCs/>
          <w:sz w:val="24"/>
          <w:szCs w:val="24"/>
        </w:rPr>
        <w:t xml:space="preserve">4446 · Lo stemma delle riprese.</w:t>
      </w:r>
      <w:r>
        <w:rPr>
          <w:rFonts w:ascii="Barlow Semi Condensed" w:cs="Barlow Semi Condensed" w:eastAsia="Barlow Semi Condensed" w:hAnsi="Barlow Semi Condensed"/>
          <w:sz w:val="24"/>
          <w:szCs w:val="24"/>
        </w:rPr>
        <w:t xml:space="preserve"> Metodo eseguibile a costo di sola pazienza: raccogliere le riprese, ordinarle per data, cercarvi gli errori condivisi — una segnatura troncata, una data sbagliata identica, una traduzione anomala ripetuta. Gli errori comuni provano la discendenza fra i testi meglio di qualunque somiglianza di contenuto. Il prodotto è uno stemma, e uno stemma con un solo capostipite è la definizione tecnica di pseudoreplica.</w:t>
      </w:r>
    </w:p>
    <w:p>
      <w:pPr>
        <w:spacing w:after="120" w:line="276"/>
        <w:jc w:val="both"/>
      </w:pPr>
      <w:r>
        <w:rPr>
          <w:rFonts w:ascii="Barlow Semi Condensed" w:cs="Barlow Semi Condensed" w:eastAsia="Barlow Semi Condensed" w:hAnsi="Barlow Semi Condensed"/>
          <w:b/>
          <w:bCs/>
          <w:sz w:val="24"/>
          <w:szCs w:val="24"/>
        </w:rPr>
        <w:t xml:space="preserve">4447 · L'errore cercato in casa.</w:t>
      </w:r>
      <w:r>
        <w:rPr>
          <w:rFonts w:ascii="Barlow Semi Condensed" w:cs="Barlow Semi Condensed" w:eastAsia="Barlow Semi Condensed" w:hAnsi="Barlow Semi Condensed"/>
          <w:sz w:val="24"/>
          <w:szCs w:val="24"/>
        </w:rPr>
        <w:t xml:space="preserve"> Anche contro questa triangolazione l'esercizio del blocco 231 si esegue. Gli errori già corretti per nota riguardano il prenome, «Harry» per Henry, e la data dell'anglicizzazione Heinz-Henry, contesa fra il 1938 delle opere di consultazione e il 1942-1943 del fascicolo d'immigrazione. Nessuno dei due tocca il caso Moro, ed è per questo che vanno tenuti: misurano l'affidabilità di chi scrive.</w:t>
      </w:r>
    </w:p>
    <w:p>
      <w:pPr>
        <w:spacing w:after="120" w:line="276"/>
        <w:jc w:val="both"/>
      </w:pPr>
      <w:r>
        <w:rPr>
          <w:rFonts w:ascii="Barlow Semi Condensed" w:cs="Barlow Semi Condensed" w:eastAsia="Barlow Semi Condensed" w:hAnsi="Barlow Semi Condensed"/>
          <w:b/>
          <w:bCs/>
          <w:sz w:val="24"/>
          <w:szCs w:val="24"/>
        </w:rPr>
        <w:t xml:space="preserve">4448 · La divergenza sulla sigla PN-6.</w:t>
      </w:r>
      <w:r>
        <w:rPr>
          <w:rFonts w:ascii="Barlow Semi Condensed" w:cs="Barlow Semi Condensed" w:eastAsia="Barlow Semi Condensed" w:hAnsi="Barlow Semi Condensed"/>
          <w:sz w:val="24"/>
          <w:szCs w:val="24"/>
        </w:rPr>
        <w:t xml:space="preserve"> Accertamento interno da riportare. Il blocco 267 dell'agenda intesta PN-6 al «vaglio negativo» e vi fa coincidere l'intera serie nona; programma-investigativo-caso-moro.md intesta PN-6 a «La sorte del memoriale fra il 1978 e il 1990» e chiama P-10 il vaglio negativo. Il punteggio, 50,5, coincide in entrambi. Due documenti della stessa opera, due nomi per una sigla.</w:t>
      </w:r>
    </w:p>
    <w:p>
      <w:pPr>
        <w:spacing w:after="120" w:line="276"/>
        <w:jc w:val="both"/>
      </w:pPr>
      <w:r>
        <w:rPr>
          <w:rFonts w:ascii="Barlow Semi Condensed" w:cs="Barlow Semi Condensed" w:eastAsia="Barlow Semi Condensed" w:hAnsi="Barlow Semi Condensed"/>
          <w:b/>
          <w:bCs/>
          <w:sz w:val="24"/>
          <w:szCs w:val="24"/>
        </w:rPr>
        <w:t xml:space="preserve">4449 · Perché quella sigla importa qui.</w:t>
      </w:r>
      <w:r>
        <w:rPr>
          <w:rFonts w:ascii="Barlow Semi Condensed" w:cs="Barlow Semi Condensed" w:eastAsia="Barlow Semi Condensed" w:hAnsi="Barlow Semi Condensed"/>
          <w:sz w:val="24"/>
          <w:szCs w:val="24"/>
        </w:rPr>
        <w:t xml:space="preserve"> Altrove la divergenza sarebbe minore; qui pesa, perché la serie nona è per definizione la pista del vaglio negativo, ed è la sede dove si decide che cosa si archivia e con quale criterio. Un lettore che segua la sigla dal blocco 267 al programma arriva alla scheda del memoriale. Correzione per nota, con la data, secondo la revisione annuale del blocco 293.</w:t>
      </w:r>
    </w:p>
    <w:p>
      <w:pPr>
        <w:spacing w:after="120" w:line="276"/>
        <w:jc w:val="both"/>
      </w:pPr>
      <w:r>
        <w:rPr>
          <w:rFonts w:ascii="Barlow Semi Condensed" w:cs="Barlow Semi Condensed" w:eastAsia="Barlow Semi Condensed" w:hAnsi="Barlow Semi Condensed"/>
          <w:b/>
          <w:bCs/>
          <w:sz w:val="24"/>
          <w:szCs w:val="24"/>
        </w:rPr>
        <w:t xml:space="preserve">4450 · Il perimetro esatto di un vuoto.</w:t>
      </w:r>
      <w:r>
        <w:rPr>
          <w:rFonts w:ascii="Barlow Semi Condensed" w:cs="Barlow Semi Condensed" w:eastAsia="Barlow Semi Condensed" w:hAnsi="Barlow Semi Condensed"/>
          <w:sz w:val="24"/>
          <w:szCs w:val="24"/>
        </w:rPr>
        <w:t xml:space="preserve"> Detta il blocco 233 le voci del modulo: che cosa è stato cercato, dove, quando, con quale esito. Per questo nome si compila così — oggetto: atti del 1978 che lo nominino in relazione al caso; sedi: NARA e withdrawal cards, sala di lettura della CIA, biblioteche Ford e Carter; strumento: interrogazione full-text; esito: nessun reperto. Il buco misurato è conoscenza.</w:t>
      </w:r>
    </w:p>
    <w:p>
      <w:pPr>
        <w:spacing w:after="120" w:line="276"/>
        <w:jc w:val="both"/>
      </w:pPr>
      <w:r>
        <w:rPr>
          <w:rFonts w:ascii="Barlow Semi Condensed" w:cs="Barlow Semi Condensed" w:eastAsia="Barlow Semi Condensed" w:hAnsi="Barlow Semi Condensed"/>
          <w:b/>
          <w:bCs/>
          <w:sz w:val="24"/>
          <w:szCs w:val="24"/>
        </w:rPr>
        <w:t xml:space="preserve">4451 · La data di riesame (serie LVIII).</w:t>
      </w:r>
      <w:r>
        <w:rPr>
          <w:rFonts w:ascii="Barlow Semi Condensed" w:cs="Barlow Semi Condensed" w:eastAsia="Barlow Semi Condensed" w:hAnsi="Barlow Semi Condensed"/>
          <w:sz w:val="24"/>
          <w:szCs w:val="24"/>
        </w:rPr>
        <w:t xml:space="preserve"> Datato per costruzione, uno Stato Zero scade. Gli inventari cambiano, le declassifiche maturano, i versamenti si compiono. Il blocco 154 dell'agenda tiene il calendario delle aperture estere, e ogni esito negativo su questo nome vi si aggancia con la propria data di riesame. Un vuoto non riesaminato per vent'anni non è più un dato: è un ricordo, e va trattato come tale.</w:t>
      </w:r>
    </w:p>
    <w:p>
      <w:pPr>
        <w:spacing w:after="120" w:line="276"/>
        <w:jc w:val="both"/>
      </w:pPr>
      <w:r>
        <w:rPr>
          <w:rFonts w:ascii="Barlow Semi Condensed" w:cs="Barlow Semi Condensed" w:eastAsia="Barlow Semi Condensed" w:hAnsi="Barlow Semi Condensed"/>
          <w:b/>
          <w:bCs/>
          <w:sz w:val="24"/>
          <w:szCs w:val="24"/>
        </w:rPr>
        <w:t xml:space="preserve">4452 · Il vuoto pubblicato si abbatte.</w:t>
      </w:r>
      <w:r>
        <w:rPr>
          <w:rFonts w:ascii="Barlow Semi Condensed" w:cs="Barlow Semi Condensed" w:eastAsia="Barlow Semi Condensed" w:hAnsi="Barlow Semi Condensed"/>
          <w:sz w:val="24"/>
          <w:szCs w:val="24"/>
        </w:rPr>
        <w:t xml:space="preserve"> Tenuto per sé, un esito negativo è opinione; pubblicato con perimetro, stringhe e data diventa una proposizione che chiunque può falsificare trovando il documento. È la forma più esposta che una ricerca possa assumere, ed è la ragione per cui vale. Questa serie pubblica i propri vuoti apposta: chi li abbatte non la smentisce per caso, la fa funzionare.</w:t>
      </w:r>
    </w:p>
    <w:p>
      <w:pPr>
        <w:spacing w:after="120" w:line="276"/>
        <w:jc w:val="both"/>
      </w:pPr>
      <w:r>
        <w:rPr>
          <w:rFonts w:ascii="Barlow Semi Condensed" w:cs="Barlow Semi Condensed" w:eastAsia="Barlow Semi Condensed" w:hAnsi="Barlow Semi Condensed"/>
          <w:b/>
          <w:bCs/>
          <w:sz w:val="24"/>
          <w:szCs w:val="24"/>
        </w:rPr>
        <w:t xml:space="preserve">4453 · Il limite dichiarato e la sede.</w:t>
      </w:r>
      <w:r>
        <w:rPr>
          <w:rFonts w:ascii="Barlow Semi Condensed" w:cs="Barlow Semi Condensed" w:eastAsia="Barlow Semi Condensed" w:hAnsi="Barlow Semi Condensed"/>
          <w:sz w:val="24"/>
          <w:szCs w:val="24"/>
        </w:rPr>
        <w:t xml:space="preserve"> L'Apparato K dichiara il limite della propria campagna: non ha potuto leggere i testi primari, né gli stenografici della Commissione d'inchiesta né i verbali d'udienza del processo. È un limite onesto e ha un indirizzo. Le sedi che lo chiudono stanno tutte nella serie terza dell'agenda: Archivio storico del Senato per il fondo Moro 1, atti della Corte d'assise di Roma per il 1982.</w:t>
      </w:r>
    </w:p>
    <w:p>
      <w:pPr>
        <w:spacing w:after="120" w:line="276"/>
        <w:jc w:val="both"/>
      </w:pPr>
      <w:r>
        <w:rPr>
          <w:rFonts w:ascii="Barlow Semi Condensed" w:cs="Barlow Semi Condensed" w:eastAsia="Barlow Semi Condensed" w:hAnsi="Barlow Semi Condensed"/>
          <w:b/>
          <w:bCs/>
          <w:sz w:val="24"/>
          <w:szCs w:val="24"/>
        </w:rPr>
        <w:t xml:space="preserve">4454 · Il fondo Moro 1.</w:t>
      </w:r>
      <w:r>
        <w:rPr>
          <w:rFonts w:ascii="Barlow Semi Condensed" w:cs="Barlow Semi Condensed" w:eastAsia="Barlow Semi Condensed" w:hAnsi="Barlow Semi Condensed"/>
          <w:sz w:val="24"/>
          <w:szCs w:val="24"/>
        </w:rPr>
        <w:t xml:space="preserve"> Punta il blocco 54 il fondo della prima Commissione all'Archivio storico del Senato — legge 23 novembre 1979 n. 597, insediamento 10 gennaio 1980 — e le serie non riprodotte nei volumi a stampa. Lì sta lo stenografico dell'audizione del 1° agosto 1980, che decide la quarta precisazione dell'Apparato K: sede confermata, contenuto verbatim ancora da riscontrare, e i due piani restano distinti.</w:t>
      </w:r>
    </w:p>
    <w:p>
      <w:pPr>
        <w:spacing w:after="120" w:line="276"/>
        <w:jc w:val="both"/>
      </w:pPr>
      <w:r>
        <w:rPr>
          <w:rFonts w:ascii="Barlow Semi Condensed" w:cs="Barlow Semi Condensed" w:eastAsia="Barlow Semi Condensed" w:hAnsi="Barlow Semi Condensed"/>
          <w:b/>
          <w:bCs/>
          <w:sz w:val="24"/>
          <w:szCs w:val="24"/>
        </w:rPr>
        <w:t xml:space="preserve">4455 · Centotrenta volumi e una frase.</w:t>
      </w:r>
      <w:r>
        <w:rPr>
          <w:rFonts w:ascii="Barlow Semi Condensed" w:cs="Barlow Semi Condensed" w:eastAsia="Barlow Semi Condensed" w:hAnsi="Barlow Semi Condensed"/>
          <w:sz w:val="24"/>
          <w:szCs w:val="24"/>
        </w:rPr>
        <w:t xml:space="preserve"> Chiede il blocco 55 la verifica della digitalizzazione integrale dei circa centotrenta volumi a stampa della Moro 1. Bersaglio derivato e minuto: la ricerca testuale della frase attribuita dentro quell'edizione. Se vi compare, la sede parlamentare acquista il contenuto; se non vi compare, resta acquisito che il verbatim appartiene alla deposizione giudiziaria del 1982 e non all'audizione del 1980.</w:t>
      </w:r>
    </w:p>
    <w:p>
      <w:pPr>
        <w:spacing w:after="120" w:line="276"/>
        <w:jc w:val="both"/>
      </w:pPr>
      <w:r>
        <w:rPr>
          <w:rFonts w:ascii="Barlow Semi Condensed" w:cs="Barlow Semi Condensed" w:eastAsia="Barlow Semi Condensed" w:hAnsi="Barlow Semi Condensed"/>
          <w:b/>
          <w:bCs/>
          <w:sz w:val="24"/>
          <w:szCs w:val="24"/>
        </w:rPr>
        <w:t xml:space="preserve">4456 · Il verbale d'udienza del 1982 (serie LVIII).</w:t>
      </w:r>
      <w:r>
        <w:rPr>
          <w:rFonts w:ascii="Barlow Semi Condensed" w:cs="Barlow Semi Condensed" w:eastAsia="Barlow Semi Condensed" w:hAnsi="Barlow Semi Condensed"/>
          <w:sz w:val="24"/>
          <w:szCs w:val="24"/>
        </w:rPr>
        <w:t xml:space="preserve"> Bersaglio giudiziario esplicito: il verbale d'udienza integrale della deposizione resa alla Corte d'assise di Roma nel novembre 1982, presso gli atti della corte e nella digitalizzazione dei cinque processi coordinata dall'Archivio di Stato di Roma. Scioglie anche la divergenza sul giorno — il 10 secondo la datazione più ricorrente, il 15 secondo una fonte — che finora nessuno ha risolto su carta.</w:t>
      </w:r>
    </w:p>
    <w:p>
      <w:pPr>
        <w:spacing w:after="120" w:line="276"/>
        <w:jc w:val="both"/>
      </w:pPr>
      <w:r>
        <w:rPr>
          <w:rFonts w:ascii="Barlow Semi Condensed" w:cs="Barlow Semi Condensed" w:eastAsia="Barlow Semi Condensed" w:hAnsi="Barlow Semi Condensed"/>
          <w:b/>
          <w:bCs/>
          <w:sz w:val="24"/>
          <w:szCs w:val="24"/>
        </w:rPr>
        <w:t xml:space="preserve">4457 · L'indice del segreto, letto (serie LVIII).</w:t>
      </w:r>
      <w:r>
        <w:rPr>
          <w:rFonts w:ascii="Barlow Semi Condensed" w:cs="Barlow Semi Condensed" w:eastAsia="Barlow Semi Condensed" w:hAnsi="Barlow Semi Condensed"/>
          <w:sz w:val="24"/>
          <w:szCs w:val="24"/>
        </w:rPr>
        <w:t xml:space="preserve"> Gli indici delle audizioni segretate sono pubblici anche dove i testi non lo sono, e il blocco 64 ne trae la conseguenza: l'indice del segreto è già conoscenza. Bersaglio: verificare se in quegli indici, nelle tre commissioni, compaia una seduta sul versante americano degli anni 1974-1977. La presenza di una voce, anche muta, direbbe che qualcuno ritenne che ci fosse qualcosa da proteggere.</w:t>
      </w:r>
    </w:p>
    <w:p>
      <w:pPr>
        <w:spacing w:after="120" w:line="276"/>
        <w:jc w:val="both"/>
      </w:pPr>
      <w:r>
        <w:rPr>
          <w:rFonts w:ascii="Barlow Semi Condensed" w:cs="Barlow Semi Condensed" w:eastAsia="Barlow Semi Condensed" w:hAnsi="Barlow Semi Condensed"/>
          <w:b/>
          <w:bCs/>
          <w:sz w:val="24"/>
          <w:szCs w:val="24"/>
        </w:rPr>
        <w:t xml:space="preserve">4458 · La stessa domanda, tre volte.</w:t>
      </w:r>
      <w:r>
        <w:rPr>
          <w:rFonts w:ascii="Barlow Semi Condensed" w:cs="Barlow Semi Condensed" w:eastAsia="Barlow Semi Condensed" w:hAnsi="Barlow Semi Condensed"/>
          <w:sz w:val="24"/>
          <w:szCs w:val="24"/>
        </w:rPr>
        <w:t xml:space="preserve"> Collazione, secondo il blocco 65: che cosa risposero negli anni la Moro 1, la Commissione Stragi e la Moro 2 a ciascun quesito costitutivo. Applicata al versante internazionale produce una tavola a tre colonne — convergenze, divergenze, risposte mancanti. Ogni divergenza non spiegata diventa un bersaglio nuovo, e ogni casella vuota è uno Stato Zero istituzionale, con data e legislatura.</w:t>
      </w:r>
    </w:p>
    <w:p>
      <w:pPr>
        <w:spacing w:after="120" w:line="276"/>
        <w:jc w:val="both"/>
      </w:pPr>
      <w:r>
        <w:rPr>
          <w:rFonts w:ascii="Barlow Semi Condensed" w:cs="Barlow Semi Condensed" w:eastAsia="Barlow Semi Condensed" w:hAnsi="Barlow Semi Condensed"/>
          <w:b/>
          <w:bCs/>
          <w:sz w:val="24"/>
          <w:szCs w:val="24"/>
        </w:rPr>
        <w:t xml:space="preserve">4459 · La relazione conclusiva da spogliare.</w:t>
      </w:r>
      <w:r>
        <w:rPr>
          <w:rFonts w:ascii="Barlow Semi Condensed" w:cs="Barlow Semi Condensed" w:eastAsia="Barlow Semi Condensed" w:hAnsi="Barlow Semi Condensed"/>
          <w:sz w:val="24"/>
          <w:szCs w:val="24"/>
        </w:rPr>
        <w:t xml:space="preserve"> Va spogliata anche per il versante atlantico la relazione conclusiva della Moro 2, il Doc. XXIII n. 29 del 6 dicembre 2017 che la verifica V-5 richiama per il canale vaticano: che cosa accerta, che cosa dichiara aperto, quali fonti cita. Se l'episodio del 1974 non vi compare, l'assenza dalla più recente inchiesta parlamentare è un dato datato e citabile.</w:t>
      </w:r>
    </w:p>
    <w:p>
      <w:pPr>
        <w:spacing w:after="120" w:line="276"/>
        <w:jc w:val="both"/>
      </w:pPr>
      <w:r>
        <w:rPr>
          <w:rFonts w:ascii="Barlow Semi Condensed" w:cs="Barlow Semi Condensed" w:eastAsia="Barlow Semi Condensed" w:hAnsi="Barlow Semi Condensed"/>
          <w:b/>
          <w:bCs/>
          <w:sz w:val="24"/>
          <w:szCs w:val="24"/>
        </w:rPr>
        <w:t xml:space="preserve">4460 · Una richiesta informale del 1983.</w:t>
      </w:r>
      <w:r>
        <w:rPr>
          <w:rFonts w:ascii="Barlow Semi Condensed" w:cs="Barlow Semi Condensed" w:eastAsia="Barlow Semi Condensed" w:hAnsi="Barlow Semi Condensed"/>
          <w:sz w:val="24"/>
          <w:szCs w:val="24"/>
        </w:rPr>
        <w:t xml:space="preserve"> È accertato che Kissinger non fu mai sentito dai magistrati italiani e che la richiesta informale del 1983 non ebbe seguito. Il bersaglio trasforma la notizia in atto: quale ufficio la formulò, in quale forma, con quale protocollo, e che cosa la fermò. Sedi: fascicoli delle istruttorie romane, carteggi del Ministero della Giustizia, e il raccordo commissioni-procure del blocco 69.</w:t>
      </w:r>
    </w:p>
    <w:p>
      <w:pPr>
        <w:spacing w:after="120" w:line="276"/>
        <w:jc w:val="both"/>
      </w:pPr>
      <w:r>
        <w:rPr>
          <w:rFonts w:ascii="Barlow Semi Condensed" w:cs="Barlow Semi Condensed" w:eastAsia="Barlow Semi Condensed" w:hAnsi="Barlow Semi Condensed"/>
          <w:b/>
          <w:bCs/>
          <w:sz w:val="24"/>
          <w:szCs w:val="24"/>
        </w:rPr>
        <w:t xml:space="preserve">4461 · Il come, mai il giudicato.</w:t>
      </w:r>
      <w:r>
        <w:rPr>
          <w:rFonts w:ascii="Barlow Semi Condensed" w:cs="Barlow Semi Condensed" w:eastAsia="Barlow Semi Condensed" w:hAnsi="Barlow Semi Condensed"/>
          <w:sz w:val="24"/>
          <w:szCs w:val="24"/>
        </w:rPr>
        <w:t xml:space="preserve"> Consente il blocco 114 di chiedere ai magistrati dell'epoca il come delle decisioni documentate, mai la revisione del giudicato. Domanda ammissibile e delimitata: perché una richiesta rogatoriale su quel punto non fu formalizzata, quali vincoli la scoraggiarono, chi ne fu informato. La risposta illumina gli atti e non li sostituisce, e non produce alcuna qualificazione a carico di alcuno.</w:t>
      </w:r>
    </w:p>
    <w:p>
      <w:pPr>
        <w:spacing w:after="120" w:line="276"/>
        <w:jc w:val="both"/>
      </w:pPr>
      <w:r>
        <w:rPr>
          <w:rFonts w:ascii="Barlow Semi Condensed" w:cs="Barlow Semi Condensed" w:eastAsia="Barlow Semi Condensed" w:hAnsi="Barlow Semi Condensed"/>
          <w:b/>
          <w:bCs/>
          <w:sz w:val="24"/>
          <w:szCs w:val="24"/>
        </w:rPr>
        <w:t xml:space="preserve">4462 · Il consulente nel comitato di crisi (serie LVIII).</w:t>
      </w:r>
      <w:r>
        <w:rPr>
          <w:rFonts w:ascii="Barlow Semi Condensed" w:cs="Barlow Semi Condensed" w:eastAsia="Barlow Semi Condensed" w:hAnsi="Barlow Semi Condensed"/>
          <w:sz w:val="24"/>
          <w:szCs w:val="24"/>
        </w:rPr>
        <w:t xml:space="preserve"> Siede nel comitato di crisi del 1978, documentato dal corpus, un consulente statunitense inviato ad affiancare il ministro dell'Interno: altra persona, altra amministrazione, altro anno. Il blocco 227 cerca i verbali che mostrino i comitati del Viminale funzionare ordinariamente, e far scivolare questo nome in quel posto è l'errore che la scheda PE-1 vieta per iscritto, insieme a ogni inferenza da appartenenza.</w:t>
      </w:r>
    </w:p>
    <w:p>
      <w:pPr>
        <w:spacing w:after="120" w:line="276"/>
        <w:jc w:val="both"/>
      </w:pPr>
      <w:r>
        <w:rPr>
          <w:rFonts w:ascii="Barlow Semi Condensed" w:cs="Barlow Semi Condensed" w:eastAsia="Barlow Semi Condensed" w:hAnsi="Barlow Semi Condensed"/>
          <w:b/>
          <w:bCs/>
          <w:sz w:val="24"/>
          <w:szCs w:val="24"/>
        </w:rPr>
        <w:t xml:space="preserve">4463 · Balistica non è provenienza.</w:t>
      </w:r>
      <w:r>
        <w:rPr>
          <w:rFonts w:ascii="Barlow Semi Condensed" w:cs="Barlow Semi Condensed" w:eastAsia="Barlow Semi Condensed" w:hAnsi="Barlow Semi Condensed"/>
          <w:sz w:val="24"/>
          <w:szCs w:val="24"/>
        </w:rPr>
        <w:t xml:space="preserve"> Riattribuzione dei quarantanove colpi, non storia della loro fornitura: è ciò che il blocco 211 chiede. La perizia del Servizio Polizia scientifica illustrata alla Moro 2 il 10 giugno 2015 confermò sostanzialmente l'attribuzione a un'arma sola. Chi volesse leggere quell'arma come indizio di fornitura estera deve produrre un documento di provenienza: dalla somiglianza tecnica non si deduce l'antenato comune.</w:t>
      </w:r>
    </w:p>
    <w:p>
      <w:pPr>
        <w:spacing w:after="120" w:line="276"/>
        <w:jc w:val="both"/>
      </w:pPr>
      <w:r>
        <w:rPr>
          <w:rFonts w:ascii="Barlow Semi Condensed" w:cs="Barlow Semi Condensed" w:eastAsia="Barlow Semi Condensed" w:hAnsi="Barlow Semi Condensed"/>
          <w:b/>
          <w:bCs/>
          <w:sz w:val="24"/>
          <w:szCs w:val="24"/>
        </w:rPr>
        <w:t xml:space="preserve">4464 · Targhe, denunce, verbali romani.</w:t>
      </w:r>
      <w:r>
        <w:rPr>
          <w:rFonts w:ascii="Barlow Semi Condensed" w:cs="Barlow Semi Condensed" w:eastAsia="Barlow Semi Condensed" w:hAnsi="Barlow Semi Condensed"/>
          <w:sz w:val="24"/>
          <w:szCs w:val="24"/>
        </w:rPr>
        <w:t xml:space="preserve"> Targhe, denunce di furto, verbali di identificazione del 16 marzo e dei giorni seguenti, con l'anagrafe motociclistica romana del blocco 80: è il giacimento del blocco 212, interamente italiano e amministrativo. Un motociclista estraneo identificato con documento chiude la pista meglio di dieci congetture. Nessun nome straniero figura fra gli esiti attesi, e il blocco 289 vieta per statuto i nomi come esiti attesi.</w:t>
      </w:r>
    </w:p>
    <w:p>
      <w:pPr>
        <w:spacing w:after="120" w:line="276"/>
        <w:jc w:val="both"/>
      </w:pPr>
      <w:r>
        <w:rPr>
          <w:rFonts w:ascii="Barlow Semi Condensed" w:cs="Barlow Semi Condensed" w:eastAsia="Barlow Semi Condensed" w:hAnsi="Barlow Semi Condensed"/>
          <w:b/>
          <w:bCs/>
          <w:sz w:val="24"/>
          <w:szCs w:val="24"/>
        </w:rPr>
        <w:t xml:space="preserve">4465 · La parola uscita dalla seduta.</w:t>
      </w:r>
      <w:r>
        <w:rPr>
          <w:rFonts w:ascii="Barlow Semi Condensed" w:cs="Barlow Semi Condensed" w:eastAsia="Barlow Semi Condensed" w:hAnsi="Barlow Semi Condensed"/>
          <w:sz w:val="24"/>
          <w:szCs w:val="24"/>
        </w:rPr>
        <w:t xml:space="preserve"> Come la parola «Gradoli» uscì dalla seduta del 2 aprile 1978 è il bersaglio del blocco 213, e la catena documentale del blocco 251 va da quella parola alla perquisizione del paese sbagliato senza attraversare alcuna sede estera. Una variante internazionale di quella genesi non ha oggi alcun documento primario: si registra come Stato Zero, e la sede che lo chiuderebbe è italiana.</w:t>
      </w:r>
    </w:p>
    <w:p>
      <w:pPr>
        <w:spacing w:after="120" w:line="276"/>
        <w:jc w:val="both"/>
      </w:pPr>
      <w:r>
        <w:rPr>
          <w:rFonts w:ascii="Barlow Semi Condensed" w:cs="Barlow Semi Condensed" w:eastAsia="Barlow Semi Condensed" w:hAnsi="Barlow Semi Condensed"/>
          <w:b/>
          <w:bCs/>
          <w:sz w:val="24"/>
          <w:szCs w:val="24"/>
        </w:rPr>
        <w:t xml:space="preserve">4466 · Cercare anche ciò che scagiona.</w:t>
      </w:r>
      <w:r>
        <w:rPr>
          <w:rFonts w:ascii="Barlow Semi Condensed" w:cs="Barlow Semi Condensed" w:eastAsia="Barlow Semi Condensed" w:hAnsi="Barlow Semi Condensed"/>
          <w:sz w:val="24"/>
          <w:szCs w:val="24"/>
        </w:rPr>
        <w:t xml:space="preserve"> Dichiara qualcosa che vale oltre il proprio oggetto il blocco 214: l'agenda cerca anche ciò che scagiona gli uffici, e la negligenza documentata resta negligenza. Il dovere è simmetrico verso le persone. Applicato qui obbliga a cercare con la stessa energia le carte che escludono un ruolo di questo nome, e a scriverle quando si trovano, non solo quando confermano.</w:t>
      </w:r>
    </w:p>
    <w:p>
      <w:pPr>
        <w:spacing w:after="120" w:line="276"/>
        <w:jc w:val="both"/>
      </w:pPr>
      <w:r>
        <w:rPr>
          <w:rFonts w:ascii="Barlow Semi Condensed" w:cs="Barlow Semi Condensed" w:eastAsia="Barlow Semi Condensed" w:hAnsi="Barlow Semi Condensed"/>
          <w:b/>
          <w:bCs/>
          <w:sz w:val="24"/>
          <w:szCs w:val="24"/>
        </w:rPr>
        <w:t xml:space="preserve">4467 · Pollini che perimetrano luoghi.</w:t>
      </w:r>
      <w:r>
        <w:rPr>
          <w:rFonts w:ascii="Barlow Semi Condensed" w:cs="Barlow Semi Condensed" w:eastAsia="Barlow Semi Condensed" w:hAnsi="Barlow Semi Condensed"/>
          <w:sz w:val="24"/>
          <w:szCs w:val="24"/>
        </w:rPr>
        <w:t xml:space="preserve"> Pollini, sabbie, fibre e rumori testimoniati: su questi lavora il blocco 215, con la perizia geologico-botanica Lombardi-Giacomini del 1978 come base e i suoi taxa come coordinate. Quelle analisi perimetrano luoghi, non catene di comando. Nessun esito palinologico o granulometrico può confermare o smentire un nesso internazionale, e presentarlo come tale sarebbe un abuso di reperto.</w:t>
      </w:r>
    </w:p>
    <w:p>
      <w:pPr>
        <w:spacing w:after="120" w:line="276"/>
        <w:jc w:val="both"/>
      </w:pPr>
      <w:r>
        <w:rPr>
          <w:rFonts w:ascii="Barlow Semi Condensed" w:cs="Barlow Semi Condensed" w:eastAsia="Barlow Semi Condensed" w:hAnsi="Barlow Semi Condensed"/>
          <w:b/>
          <w:bCs/>
          <w:sz w:val="24"/>
          <w:szCs w:val="24"/>
        </w:rPr>
        <w:t xml:space="preserve">4468 · La distribuzione decide, non il nome.</w:t>
      </w:r>
      <w:r>
        <w:rPr>
          <w:rFonts w:ascii="Barlow Semi Condensed" w:cs="Barlow Semi Condensed" w:eastAsia="Barlow Semi Condensed" w:hAnsi="Barlow Semi Condensed"/>
          <w:sz w:val="24"/>
          <w:szCs w:val="24"/>
        </w:rPr>
        <w:t xml:space="preserve"> Esperimento statistico, il blocco 216: la colonna d'ingresso ricostruita contro l'output documentato — 72.460 posti di blocco, 37.702 perquisizioni. La scheda PE-6 ne fissa le due ipotesi, diluvio o filtro sistematico, e l'evidenza discriminante, che è la distribuzione delle interruzioni per segmento. Nessuna cella di quella tavola può contenere un uomo di governo straniero: il test è interamente domestico.</w:t>
      </w:r>
    </w:p>
    <w:p>
      <w:pPr>
        <w:spacing w:after="120" w:line="276"/>
        <w:jc w:val="both"/>
      </w:pPr>
      <w:r>
        <w:rPr>
          <w:rFonts w:ascii="Barlow Semi Condensed" w:cs="Barlow Semi Condensed" w:eastAsia="Barlow Semi Condensed" w:hAnsi="Barlow Semi Condensed"/>
          <w:b/>
          <w:bCs/>
          <w:sz w:val="24"/>
          <w:szCs w:val="24"/>
        </w:rPr>
        <w:t xml:space="preserve">4469 · Anteriore non spiega, come posteriore.</w:t>
      </w:r>
      <w:r>
        <w:rPr>
          <w:rFonts w:ascii="Barlow Semi Condensed" w:cs="Barlow Semi Condensed" w:eastAsia="Barlow Semi Condensed" w:hAnsi="Barlow Semi Condensed"/>
          <w:sz w:val="24"/>
          <w:szCs w:val="24"/>
        </w:rPr>
        <w:t xml:space="preserve"> Scolpisce il blocco 217 una regola che questa serie prende in prestito: ciò che è posteriore al 1978 non spiega il 1975-1978, in nessuna direzione. La simmetria vale all'indietro. Una posizione politica espressa nel settembre 1974 non spiega da sola un fatto del marzo 1978: fra i due estremi occorrono archi, e gli archi sono carte con segnatura.</w:t>
      </w:r>
    </w:p>
    <w:p>
      <w:pPr>
        <w:spacing w:after="120" w:line="276"/>
        <w:jc w:val="both"/>
      </w:pPr>
      <w:r>
        <w:rPr>
          <w:rFonts w:ascii="Barlow Semi Condensed" w:cs="Barlow Semi Condensed" w:eastAsia="Barlow Semi Condensed" w:hAnsi="Barlow Semi Condensed"/>
          <w:b/>
          <w:bCs/>
          <w:sz w:val="24"/>
          <w:szCs w:val="24"/>
        </w:rPr>
        <w:t xml:space="preserve">4470 · Il denaro e il finanziatore accertato.</w:t>
      </w:r>
      <w:r>
        <w:rPr>
          <w:rFonts w:ascii="Barlow Semi Condensed" w:cs="Barlow Semi Condensed" w:eastAsia="Barlow Semi Condensed" w:hAnsi="Barlow Semi Condensed"/>
          <w:sz w:val="24"/>
          <w:szCs w:val="24"/>
        </w:rPr>
        <w:t xml:space="preserve"> Cerca il blocco 218 la contabilità che chiuda ordinariamente la vicenda del fondo raccolto nei 55 giorni. Il versante estero accertato di quella provvista, secondo la relazione conclusiva della Moro 2, porta a un finanziatore israeliano, non a questo nome. Restano bersaglio i registri bancari del blocco 258; e sull'altro nome l'esito è Stato Zero, dichiarato con la sua sede.</w:t>
      </w:r>
    </w:p>
    <w:p>
      <w:pPr>
        <w:spacing w:after="120" w:line="276"/>
        <w:jc w:val="both"/>
      </w:pPr>
      <w:r>
        <w:rPr>
          <w:rFonts w:ascii="Barlow Semi Condensed" w:cs="Barlow Semi Condensed" w:eastAsia="Barlow Semi Condensed" w:hAnsi="Barlow Semi Condensed"/>
          <w:b/>
          <w:bCs/>
          <w:sz w:val="24"/>
          <w:szCs w:val="24"/>
        </w:rPr>
        <w:t xml:space="preserve">4471 · Un parere tutto italiano.</w:t>
      </w:r>
      <w:r>
        <w:rPr>
          <w:rFonts w:ascii="Barlow Semi Condensed" w:cs="Barlow Semi Condensed" w:eastAsia="Barlow Semi Condensed" w:hAnsi="Barlow Semi Condensed"/>
          <w:sz w:val="24"/>
          <w:szCs w:val="24"/>
        </w:rPr>
        <w:t xml:space="preserve"> Atto italiano, prodotto da uffici italiani in giorni italiani: il parere tecnico integrale che fondò la qualificazione di inattendibilità delle lettere, bersaglio del blocco 219. O il suo fascicolo esiste, o la sua assenza è il dato documentale. Nessuna carta straniera è attesa in quel bersaglio, e attendervela sposterebbe la ricerca dalla sede in cui può riuscire.</w:t>
      </w:r>
    </w:p>
    <w:p>
      <w:pPr>
        <w:spacing w:after="120" w:line="276"/>
        <w:jc w:val="both"/>
      </w:pPr>
      <w:r>
        <w:rPr>
          <w:rFonts w:ascii="Barlow Semi Condensed" w:cs="Barlow Semi Condensed" w:eastAsia="Barlow Semi Condensed" w:hAnsi="Barlow Semi Condensed"/>
          <w:b/>
          <w:bCs/>
          <w:sz w:val="24"/>
          <w:szCs w:val="24"/>
        </w:rPr>
        <w:t xml:space="preserve">4472 · Una stringa nel memoriale.</w:t>
      </w:r>
      <w:r>
        <w:rPr>
          <w:rFonts w:ascii="Barlow Semi Condensed" w:cs="Barlow Semi Condensed" w:eastAsia="Barlow Semi Condensed" w:hAnsi="Barlow Semi Condensed"/>
          <w:sz w:val="24"/>
          <w:szCs w:val="24"/>
        </w:rPr>
        <w:t xml:space="preserve"> Misura documentata di quanto manca: così il blocco 220 formula il proprio bersaglio, che non è il memoriale nascosto. Ne discende una ricerca testuale legittima: se nei materiali di via Monte Nevoso — i dattiloscritti del 1978, i 421 fogli in fotocopia del 1990 — compaia un riferimento alla trasferta americana del settembre 1974. Un riscontro sarebbe fonte italiana primaria; l'assenza si verbalizza.</w:t>
      </w:r>
    </w:p>
    <w:p>
      <w:pPr>
        <w:spacing w:after="120" w:line="276"/>
        <w:jc w:val="both"/>
      </w:pPr>
      <w:r>
        <w:rPr>
          <w:rFonts w:ascii="Barlow Semi Condensed" w:cs="Barlow Semi Condensed" w:eastAsia="Barlow Semi Condensed" w:hAnsi="Barlow Semi Condensed"/>
          <w:b/>
          <w:bCs/>
          <w:sz w:val="24"/>
          <w:szCs w:val="24"/>
        </w:rPr>
        <w:t xml:space="preserve">4473 · L'edizione critica come strumento.</w:t>
      </w:r>
      <w:r>
        <w:rPr>
          <w:rFonts w:ascii="Barlow Semi Condensed" w:cs="Barlow Semi Condensed" w:eastAsia="Barlow Semi Condensed" w:hAnsi="Barlow Semi Condensed"/>
          <w:sz w:val="24"/>
          <w:szCs w:val="24"/>
        </w:rPr>
        <w:t xml:space="preserve"> Il riscontro precedente non si affida alla memoria dei lettori: si esegue sull'edizione critica dei materiali presentata all'Archivio di Stato di Roma nel 2020 e sulle curatele esistenti, con stringhe scritte prima dell'interrogazione. La verifica V-8 dell'agenda ha già accertato che nessuno studio stilometrico quantitativo esiste sul memoriale: anche la ricerca lessicale, qui, è terreno inedito.</w:t>
      </w:r>
    </w:p>
    <w:p>
      <w:pPr>
        <w:spacing w:after="120" w:line="276"/>
        <w:jc w:val="both"/>
      </w:pPr>
      <w:r>
        <w:rPr>
          <w:rFonts w:ascii="Barlow Semi Condensed" w:cs="Barlow Semi Condensed" w:eastAsia="Barlow Semi Condensed" w:hAnsi="Barlow Semi Condensed"/>
          <w:b/>
          <w:bCs/>
          <w:sz w:val="24"/>
          <w:szCs w:val="24"/>
        </w:rPr>
        <w:t xml:space="preserve">4474 · La mano del falso comunicato.</w:t>
      </w:r>
      <w:r>
        <w:rPr>
          <w:rFonts w:ascii="Barlow Semi Condensed" w:cs="Barlow Semi Condensed" w:eastAsia="Barlow Semi Condensed" w:hAnsi="Barlow Semi Condensed"/>
          <w:sz w:val="24"/>
          <w:szCs w:val="24"/>
        </w:rPr>
        <w:t xml:space="preserve"> Genesi solitaria da smentire: il blocco 223 chiede commissioni, contatti e conoscenze anticipate documentate per il comunicato del Lago della Duchessa del 18 aprile 1978. L'attribuzione materiale ad Antonio Chichiarelli è istruttoria e peritale, mai giudicata, essendo egli stato ucciso nel settembre 1984 prima di ogni contestazione formale. Nel fascicolo integrale non è attestata alcuna mano straniera, e l'assenza si dichiara.</w:t>
      </w:r>
    </w:p>
    <w:p>
      <w:pPr>
        <w:spacing w:after="120" w:line="276"/>
        <w:jc w:val="both"/>
      </w:pPr>
      <w:r>
        <w:rPr>
          <w:rFonts w:ascii="Barlow Semi Condensed" w:cs="Barlow Semi Condensed" w:eastAsia="Barlow Semi Condensed" w:hAnsi="Barlow Semi Condensed"/>
          <w:b/>
          <w:bCs/>
          <w:sz w:val="24"/>
          <w:szCs w:val="24"/>
        </w:rPr>
        <w:t xml:space="preserve">4475 · Un caricatore mai comparato.</w:t>
      </w:r>
      <w:r>
        <w:rPr>
          <w:rFonts w:ascii="Barlow Semi Condensed" w:cs="Barlow Semi Condensed" w:eastAsia="Barlow Semi Condensed" w:hAnsi="Barlow Semi Condensed"/>
          <w:sz w:val="24"/>
          <w:szCs w:val="24"/>
        </w:rPr>
        <w:t xml:space="preserve"> Due esiti e nessun terzo per il blocco 226: attribuzione ordinaria a un'arma dei condannati, che chiude il reperto, oppure inattribuibilità documentata, che lo mantiene fra le evidenze delle presenze non giudicate. In entrambi i rami il quesito resta dentro il perimetro italiano dei reperti. Che il caricatore di via Stresa non sia mai stato comparato è il fatto verificato dall'apparato V-7.</w:t>
      </w:r>
    </w:p>
    <w:p>
      <w:pPr>
        <w:spacing w:after="120" w:line="276"/>
        <w:jc w:val="both"/>
      </w:pPr>
      <w:r>
        <w:rPr>
          <w:rFonts w:ascii="Barlow Semi Condensed" w:cs="Barlow Semi Condensed" w:eastAsia="Barlow Semi Condensed" w:hAnsi="Barlow Semi Condensed"/>
          <w:b/>
          <w:bCs/>
          <w:sz w:val="24"/>
          <w:szCs w:val="24"/>
        </w:rPr>
        <w:t xml:space="preserve">4476 · L'omissione come fatto amministrativo.</w:t>
      </w:r>
      <w:r>
        <w:rPr>
          <w:rFonts w:ascii="Barlow Semi Condensed" w:cs="Barlow Semi Condensed" w:eastAsia="Barlow Semi Condensed" w:hAnsi="Barlow Semi Condensed"/>
          <w:sz w:val="24"/>
          <w:szCs w:val="24"/>
        </w:rPr>
        <w:t xml:space="preserve"> Osservazione UCIGOS su via Montalcini 8 fra l'estate e l'ottobre 1978, non riferita alla magistratura per due anni: il blocco 229 cerca l'atto che la giustificherebbe. Trovato spiega; assente lascia l'omissione come fatto amministrativo accertato. È il campione più grave della scheda PE-6 e riguarda la trasmissione all'autorità giudiziaria, cioè un segmento interno, senza alcun terminale estero.</w:t>
      </w:r>
    </w:p>
    <w:p>
      <w:pPr>
        <w:spacing w:after="120" w:line="276"/>
        <w:jc w:val="both"/>
      </w:pPr>
      <w:r>
        <w:rPr>
          <w:rFonts w:ascii="Barlow Semi Condensed" w:cs="Barlow Semi Condensed" w:eastAsia="Barlow Semi Condensed" w:hAnsi="Barlow Semi Condensed"/>
          <w:b/>
          <w:bCs/>
          <w:sz w:val="24"/>
          <w:szCs w:val="24"/>
        </w:rPr>
        <w:t xml:space="preserve">4477 · La metà dell'igiene del caso.</w:t>
      </w:r>
      <w:r>
        <w:rPr>
          <w:rFonts w:ascii="Barlow Semi Condensed" w:cs="Barlow Semi Condensed" w:eastAsia="Barlow Semi Condensed" w:hAnsi="Barlow Semi Condensed"/>
          <w:sz w:val="24"/>
          <w:szCs w:val="24"/>
        </w:rPr>
        <w:t xml:space="preserve"> Metà dell'igiene del caso: così il blocco 267 chiama il prodotto della serie nona, il registro delle smentite, facendo coincidere quella serie con l'intera pista del vaglio negativo. Su questo nome il rendimento è quasi interamente negativo, e va detto senza imbarazzo. Un blocco che dichiara bene un'assenza vale più di un blocco che suggerisce una presenza.</w:t>
      </w:r>
    </w:p>
    <w:p>
      <w:pPr>
        <w:spacing w:after="120" w:line="276"/>
        <w:jc w:val="both"/>
      </w:pPr>
      <w:r>
        <w:rPr>
          <w:rFonts w:ascii="Barlow Semi Condensed" w:cs="Barlow Semi Condensed" w:eastAsia="Barlow Semi Condensed" w:hAnsi="Barlow Semi Condensed"/>
          <w:b/>
          <w:bCs/>
          <w:sz w:val="24"/>
          <w:szCs w:val="24"/>
        </w:rPr>
        <w:t xml:space="preserve">4478 · Insiemi da contare, non nomi.</w:t>
      </w:r>
      <w:r>
        <w:rPr>
          <w:rFonts w:ascii="Barlow Semi Condensed" w:cs="Barlow Semi Condensed" w:eastAsia="Barlow Semi Condensed" w:hAnsi="Barlow Semi Condensed"/>
          <w:sz w:val="24"/>
          <w:szCs w:val="24"/>
        </w:rPr>
        <w:t xml:space="preserve"> Insiemi da contare, non ipotesi da discriminare: così il raccordo di PE-5, blocco 272, descrive la pista degli alleati — quanto è libero, quanto è trattenuto, quanto è di origine alleata custodito in Italia. Un nome non è un insieme e non entra in quelle colonne. La tavola chiude la pista qualunque cosa contenga, ed è per questo che è stata scritta così.</w:t>
      </w:r>
    </w:p>
    <w:p>
      <w:pPr>
        <w:spacing w:after="120" w:line="276"/>
        <w:jc w:val="both"/>
      </w:pPr>
      <w:r>
        <w:rPr>
          <w:rFonts w:ascii="Barlow Semi Condensed" w:cs="Barlow Semi Condensed" w:eastAsia="Barlow Semi Condensed" w:hAnsi="Barlow Semi Condensed"/>
          <w:b/>
          <w:bCs/>
          <w:sz w:val="24"/>
          <w:szCs w:val="24"/>
        </w:rPr>
        <w:t xml:space="preserve">4479 · Lo stato terminale dei bersagli.</w:t>
      </w:r>
      <w:r>
        <w:rPr>
          <w:rFonts w:ascii="Barlow Semi Condensed" w:cs="Barlow Semi Condensed" w:eastAsia="Barlow Semi Condensed" w:hAnsi="Barlow Semi Condensed"/>
          <w:sz w:val="24"/>
          <w:szCs w:val="24"/>
        </w:rPr>
        <w:t xml:space="preserve"> Eseguita si dirà l'agenda quando ogni bersaglio avrà uno stato terminale documentato: colpito, a vuoto, o chiuso per smentita. Per i bersagli di questa serie lo stato prevedibile è «a vuoto verbalizzato», e non è un fallimento. La completezza dell'agenda è la completezza dei suoi stati, non delle sue risposte: le risposte non si promettono, gli stati sì.</w:t>
      </w:r>
    </w:p>
    <w:p>
      <w:pPr>
        <w:spacing w:after="120" w:line="276"/>
        <w:jc w:val="both"/>
      </w:pPr>
      <w:r>
        <w:rPr>
          <w:rFonts w:ascii="Barlow Semi Condensed" w:cs="Barlow Semi Condensed" w:eastAsia="Barlow Semi Condensed" w:hAnsi="Barlow Semi Condensed"/>
          <w:b/>
          <w:bCs/>
          <w:sz w:val="24"/>
          <w:szCs w:val="24"/>
        </w:rPr>
        <w:t xml:space="preserve">4480 · Congedo della serie cinquantottesima.</w:t>
      </w:r>
      <w:r>
        <w:rPr>
          <w:rFonts w:ascii="Barlow Semi Condensed" w:cs="Barlow Semi Condensed" w:eastAsia="Barlow Semi Condensed" w:hAnsi="Barlow Semi Condensed"/>
          <w:sz w:val="24"/>
          <w:szCs w:val="24"/>
        </w:rPr>
        <w:t xml:space="preserve"> Nulla è stato promosso di piano. Restano un documento primario del 1974 che dice ciò che dice, una testimonianza contestata con la sua smentita annotata, alcune divergenze riportate e non sciolte, e una serie di vuoti con l'indirizzo scritto accanto. Il nome resta fuori dal registro del giudicato, dove non è mai entrato in alcun Paese. La porta si riapre con un documento.</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Serie cinquantanovesima — I numeri: cosa si può contare e cosa no</w:t>
      </w:r>
    </w:p>
    <w:p>
      <w:pPr>
        <w:spacing w:after="120" w:line="276"/>
        <w:jc w:val="both"/>
      </w:pPr>
      <w:r>
        <w:rPr>
          <w:rFonts w:ascii="Barlow Semi Condensed" w:cs="Barlow Semi Condensed" w:eastAsia="Barlow Semi Condensed" w:hAnsi="Barlow Semi Condensed"/>
          <w:i/>
          <w:iCs/>
          <w:sz w:val="24"/>
          <w:szCs w:val="24"/>
        </w:rPr>
        <w:t xml:space="preserve">Blocchi 4481-4550.</w:t>
      </w:r>
    </w:p>
    <w:p>
      <w:pPr>
        <w:spacing w:after="120" w:line="276"/>
        <w:jc w:val="both"/>
      </w:pPr>
      <w:r>
        <w:rPr>
          <w:rFonts w:ascii="Barlow Semi Condensed" w:cs="Barlow Semi Condensed" w:eastAsia="Barlow Semi Condensed" w:hAnsi="Barlow Semi Condensed"/>
          <w:b/>
          <w:bCs/>
          <w:sz w:val="24"/>
          <w:szCs w:val="24"/>
        </w:rPr>
        <w:t xml:space="preserve">4481 · Zero occorrenze nel documento di metodo.</w:t>
      </w:r>
      <w:r>
        <w:rPr>
          <w:rFonts w:ascii="Barlow Semi Condensed" w:cs="Barlow Semi Condensed" w:eastAsia="Barlow Semi Condensed" w:hAnsi="Barlow Semi Condensed"/>
          <w:sz w:val="24"/>
          <w:szCs w:val="24"/>
        </w:rPr>
        <w:t xml:space="preserve"> La verifica meccanica è stata eseguita e si verbalizza: la stringa «Kissinger» non compare neppure una volta in metodologie-del-dossier-sinaptogenesi-e-strumenti.md, in nessuna delle sue otto sezioni, dalla sinaptogenesi del paragrafo primo alla tavola percentuale del sesto-bis. Non è un'omissione ed è un dato. Il territorio che il corpus dedica ai propri numeri non contiene il nome, e questa serie parte da qui.</w:t>
      </w:r>
    </w:p>
    <w:p>
      <w:pPr>
        <w:spacing w:after="120" w:line="276"/>
        <w:jc w:val="both"/>
      </w:pPr>
      <w:r>
        <w:rPr>
          <w:rFonts w:ascii="Barlow Semi Condensed" w:cs="Barlow Semi Condensed" w:eastAsia="Barlow Semi Condensed" w:hAnsi="Barlow Semi Condensed"/>
          <w:b/>
          <w:bCs/>
          <w:sz w:val="24"/>
          <w:szCs w:val="24"/>
        </w:rPr>
        <w:t xml:space="preserve">4482 · Zero non è indefinito.</w:t>
      </w:r>
      <w:r>
        <w:rPr>
          <w:rFonts w:ascii="Barlow Semi Condensed" w:cs="Barlow Semi Condensed" w:eastAsia="Barlow Semi Condensed" w:hAnsi="Barlow Semi Condensed"/>
          <w:sz w:val="24"/>
          <w:szCs w:val="24"/>
        </w:rPr>
        <w:t xml:space="preserve"> Il conteggio precedente va letto con precisione tecnica. Zero occorrenze di una stringa in un testo sono una misura; l'assenza di un nodo da un grafo non produce una betweenness pari a zero, ma una betweenness non definita. Il blocco 52 dell'opera lo aveva già stabilito, e qui se ne trae la conseguenza aritmetica: su un nodo inesistente nessuna statistica di rete è calcolabile, nemmeno quella nulla.</w:t>
      </w:r>
    </w:p>
    <w:p>
      <w:pPr>
        <w:spacing w:after="120" w:line="276"/>
        <w:jc w:val="both"/>
      </w:pPr>
      <w:r>
        <w:rPr>
          <w:rFonts w:ascii="Barlow Semi Condensed" w:cs="Barlow Semi Condensed" w:eastAsia="Barlow Semi Condensed" w:hAnsi="Barlow Semi Condensed"/>
          <w:b/>
          <w:bCs/>
          <w:sz w:val="24"/>
          <w:szCs w:val="24"/>
        </w:rPr>
        <w:t xml:space="preserve">4483 · Come si compone il trentanove.</w:t>
      </w:r>
      <w:r>
        <w:rPr>
          <w:rFonts w:ascii="Barlow Semi Condensed" w:cs="Barlow Semi Condensed" w:eastAsia="Barlow Semi Condensed" w:hAnsi="Barlow Semi Condensed"/>
          <w:sz w:val="24"/>
          <w:szCs w:val="24"/>
        </w:rPr>
        <w:t xml:space="preserve"> La rete del paragrafo primo conta trentanove nodi. La composizione si ricostruisce dalla tavola del sesto-bis: venticinque nodi non-BR elencati per nome, dal CPM a Feltrinelli Editore, più la componente esclusa, cioè l'organizzazione e i tredici condannati del registro della Fase decima. Venticinque più quattordici fa trentanove. La verifica è stata rifatta e torna; nessuno dei venticinque, né alcuno dei quattordici, porta il nome qui triangolato.</w:t>
      </w:r>
    </w:p>
    <w:p>
      <w:pPr>
        <w:spacing w:after="120" w:line="276"/>
        <w:jc w:val="both"/>
      </w:pPr>
      <w:r>
        <w:rPr>
          <w:rFonts w:ascii="Barlow Semi Condensed" w:cs="Barlow Semi Condensed" w:eastAsia="Barlow Semi Condensed" w:hAnsi="Barlow Semi Condensed"/>
          <w:b/>
          <w:bCs/>
          <w:sz w:val="24"/>
          <w:szCs w:val="24"/>
        </w:rPr>
        <w:t xml:space="preserve">4484 · La tavola dei gradi di Freeman.</w:t>
      </w:r>
      <w:r>
        <w:rPr>
          <w:rFonts w:ascii="Barlow Semi Condensed" w:cs="Barlow Semi Condensed" w:eastAsia="Barlow Semi Condensed" w:hAnsi="Barlow Semi Condensed"/>
          <w:sz w:val="24"/>
          <w:szCs w:val="24"/>
        </w:rPr>
        <w:t xml:space="preserve"> Nella tavola delle centralità il grado massimo è delle Brigate Rosse con quindici connessioni, poi via Fani con nove, Moretti con cinque, e nove nodi appaiati a quattro. È una graduatoria di documentazione e non di condotta, come la regola d'interpretazione premessa dal documento impone di leggerla. Per collocarvi un nodo nuovo occorrerebbe almeno una connessione documentata: allo stato il nome triangolato non ne ha nessuna.</w:t>
      </w:r>
    </w:p>
    <w:p>
      <w:pPr>
        <w:spacing w:after="120" w:line="276"/>
        <w:jc w:val="both"/>
      </w:pPr>
      <w:r>
        <w:rPr>
          <w:rFonts w:ascii="Barlow Semi Condensed" w:cs="Barlow Semi Condensed" w:eastAsia="Barlow Semi Condensed" w:hAnsi="Barlow Semi Condensed"/>
          <w:b/>
          <w:bCs/>
          <w:sz w:val="24"/>
          <w:szCs w:val="24"/>
        </w:rPr>
        <w:t xml:space="preserve">4485 · Il denominatore nascosto della tavola.</w:t>
      </w:r>
      <w:r>
        <w:rPr>
          <w:rFonts w:ascii="Barlow Semi Condensed" w:cs="Barlow Semi Condensed" w:eastAsia="Barlow Semi Condensed" w:hAnsi="Barlow Semi Condensed"/>
          <w:sz w:val="24"/>
          <w:szCs w:val="24"/>
        </w:rPr>
        <w:t xml:space="preserve"> La colonna delle quote di connessione del sesto-bis si spiega solo ricostruendone il divisore, che il documento non stampa. Via Fani vale 14,5 per cento con nove connessioni; il CPM 4,8 con tre; Simioni, Hyperion, via Montalcini e Potere Operaio 6,5 con quattro. Il divisore è dunque sessantadue. Ricostruirlo è stato un atto di verifica, e il bersaglio che ne discende è stamparlo accanto alla tavola.</w:t>
      </w:r>
    </w:p>
    <w:p>
      <w:pPr>
        <w:spacing w:after="120" w:line="276"/>
        <w:jc w:val="both"/>
      </w:pPr>
      <w:r>
        <w:rPr>
          <w:rFonts w:ascii="Barlow Semi Condensed" w:cs="Barlow Semi Condensed" w:eastAsia="Barlow Semi Condensed" w:hAnsi="Barlow Semi Condensed"/>
          <w:b/>
          <w:bCs/>
          <w:sz w:val="24"/>
          <w:szCs w:val="24"/>
        </w:rPr>
        <w:t xml:space="preserve">4486 · La colonna che somma a cento.</w:t>
      </w:r>
      <w:r>
        <w:rPr>
          <w:rFonts w:ascii="Barlow Semi Condensed" w:cs="Barlow Semi Condensed" w:eastAsia="Barlow Semi Condensed" w:hAnsi="Barlow Semi Condensed"/>
          <w:sz w:val="24"/>
          <w:szCs w:val="24"/>
        </w:rPr>
        <w:t xml:space="preserve"> Sommate una per una, le quindici quote di intermediazione documentale del sesto-bis danno esattamente 100,0. Il calcolo è stato rifatto per questa serie e torna alla prima cifra decimale. È un accertamento minuto e serve: una tavola che chiude è una tavola controllabile, e il lettore che la ricontrolla ha in mano il metodo prima del risultato. Le tavole che non chiudono si segnalano, non si arrotondano.</w:t>
      </w:r>
    </w:p>
    <w:p>
      <w:pPr>
        <w:spacing w:after="120" w:line="276"/>
        <w:jc w:val="both"/>
      </w:pPr>
      <w:r>
        <w:rPr>
          <w:rFonts w:ascii="Barlow Semi Condensed" w:cs="Barlow Semi Condensed" w:eastAsia="Barlow Semi Condensed" w:hAnsi="Barlow Semi Condensed"/>
          <w:b/>
          <w:bCs/>
          <w:sz w:val="24"/>
          <w:szCs w:val="24"/>
        </w:rPr>
        <w:t xml:space="preserve">4487 · La colonna che non si somma.</w:t>
      </w:r>
      <w:r>
        <w:rPr>
          <w:rFonts w:ascii="Barlow Semi Condensed" w:cs="Barlow Semi Condensed" w:eastAsia="Barlow Semi Condensed" w:hAnsi="Barlow Semi Condensed"/>
          <w:sz w:val="24"/>
          <w:szCs w:val="24"/>
        </w:rPr>
        <w:t xml:space="preserve"> La seconda colonna della stessa tavola non ammette la medesima verifica. Le prime quindici righe danno 82,1 per cento, ma l'ultima raccoglie dieci nodi terminali con una banda, da 1,6 a 3,2 ciascuno, e non con un valore. Una banda non si somma. Il rilievo non contesta il calcolo: chiede di stampare i dieci valori singoli, perché una colonna verificabile a metà è verificabile a metà.</w:t>
      </w:r>
    </w:p>
    <w:p>
      <w:pPr>
        <w:spacing w:after="120" w:line="276"/>
        <w:jc w:val="both"/>
      </w:pPr>
      <w:r>
        <w:rPr>
          <w:rFonts w:ascii="Barlow Semi Condensed" w:cs="Barlow Semi Condensed" w:eastAsia="Barlow Semi Condensed" w:hAnsi="Barlow Semi Condensed"/>
          <w:b/>
          <w:bCs/>
          <w:sz w:val="24"/>
          <w:szCs w:val="24"/>
        </w:rPr>
        <w:t xml:space="preserve">4488 · Che cosa cambierebbe un arco nuovo.</w:t>
      </w:r>
      <w:r>
        <w:rPr>
          <w:rFonts w:ascii="Barlow Semi Condensed" w:cs="Barlow Semi Condensed" w:eastAsia="Barlow Semi Condensed" w:hAnsi="Barlow Semi Condensed"/>
          <w:sz w:val="24"/>
          <w:szCs w:val="24"/>
        </w:rPr>
        <w:t xml:space="preserve"> Le percentuali del sesto-bis sono relative, e la conseguenza va detta prima che qualcuno le citi come assolute. Un solo arco documentato che introducesse un nodo nuovo, questo o altro, sposterebbe ogni quota della tavola, perché muterebbe il divisore. Il 24,7 per cento del CPM non è una proprietà del CPM: è una proprietà della rete al 25 agosto 2026. Si citi sempre con la data.</w:t>
      </w:r>
    </w:p>
    <w:p>
      <w:pPr>
        <w:spacing w:after="120" w:line="276"/>
        <w:jc w:val="both"/>
      </w:pPr>
      <w:r>
        <w:rPr>
          <w:rFonts w:ascii="Barlow Semi Condensed" w:cs="Barlow Semi Condensed" w:eastAsia="Barlow Semi Condensed" w:hAnsi="Barlow Semi Condensed"/>
          <w:b/>
          <w:bCs/>
          <w:sz w:val="24"/>
          <w:szCs w:val="24"/>
        </w:rPr>
        <w:t xml:space="preserve">4489 · Lo zero per cento non-BR.</w:t>
      </w:r>
      <w:r>
        <w:rPr>
          <w:rFonts w:ascii="Barlow Semi Condensed" w:cs="Barlow Semi Condensed" w:eastAsia="Barlow Semi Condensed" w:hAnsi="Barlow Semi Condensed"/>
          <w:sz w:val="24"/>
          <w:szCs w:val="24"/>
        </w:rPr>
        <w:t xml:space="preserve"> Sul comparto interamente non-BR, diciassette archi su cinquantanove e il 28,8 per cento della rete, la ripartizione dei gradi è F 82,4, B 17,6, A 0,0. Nessun arco di giudicato. Il documento ne trae il divieto di ogni graduatoria percentuale di responsabilità fuori dalla componente brigatista. Applicato al nome qui triangolato il divieto è più stretto ancora: non avendo archi, manca perfino il comparto su cui costruirla.</w:t>
      </w:r>
    </w:p>
    <w:p>
      <w:pPr>
        <w:spacing w:after="120" w:line="276"/>
        <w:jc w:val="both"/>
      </w:pPr>
      <w:r>
        <w:rPr>
          <w:rFonts w:ascii="Barlow Semi Condensed" w:cs="Barlow Semi Condensed" w:eastAsia="Barlow Semi Condensed" w:hAnsi="Barlow Semi Condensed"/>
          <w:b/>
          <w:bCs/>
          <w:sz w:val="24"/>
          <w:szCs w:val="24"/>
        </w:rPr>
        <w:t xml:space="preserve">4490 · Le tre frazioni dell'intera rete.</w:t>
      </w:r>
      <w:r>
        <w:rPr>
          <w:rFonts w:ascii="Barlow Semi Condensed" w:cs="Barlow Semi Condensed" w:eastAsia="Barlow Semi Condensed" w:hAnsi="Barlow Semi Condensed"/>
          <w:sz w:val="24"/>
          <w:szCs w:val="24"/>
        </w:rPr>
        <w:t xml:space="preserve"> Dichiarate sull'intera rete, le tre quote sono A 47,5, F 44,1 e B 8,5. Ricalcolate sui ventotto, ventisei e cinque archi di cinquantanove, tornano a 47,46, 44,07 e 8,47: arrotondamento corretto, somma cento. Si registra come accertamento verificabile da chiunque abbia il testo davanti. Il corpus dichiara i propri procedimenti e per questo li si può controllare, che è la differenza fra un numero e un'impressione.</w:t>
      </w:r>
    </w:p>
    <w:p>
      <w:pPr>
        <w:spacing w:after="120" w:line="276"/>
        <w:jc w:val="both"/>
      </w:pPr>
      <w:r>
        <w:rPr>
          <w:rFonts w:ascii="Barlow Semi Condensed" w:cs="Barlow Semi Condensed" w:eastAsia="Barlow Semi Condensed" w:hAnsi="Barlow Semi Condensed"/>
          <w:b/>
          <w:bCs/>
          <w:sz w:val="24"/>
          <w:szCs w:val="24"/>
        </w:rPr>
        <w:t xml:space="preserve">4491 · Di che grado sarebbe il primo arco.</w:t>
      </w:r>
      <w:r>
        <w:rPr>
          <w:rFonts w:ascii="Barlow Semi Condensed" w:cs="Barlow Semi Condensed" w:eastAsia="Barlow Semi Condensed" w:hAnsi="Barlow Semi Condensed"/>
          <w:sz w:val="24"/>
          <w:szCs w:val="24"/>
        </w:rPr>
        <w:t xml:space="preserve"> Prima di ogni ingresso in rete va posto il quesito del grado. Se un arco toccante questo nome entrasse domani, quale porterebbe? Il verbale del 25 settembre 1974 documenta un colloquio istituzionale con Leone e Moro: sarebbe un arco fra il nodo e la dimensione diplomatica, di grado A come atto, ma verso la Farnesina e non verso il caso. Verso il caso nessun documento sostiene un arco.</w:t>
      </w:r>
    </w:p>
    <w:p>
      <w:pPr>
        <w:spacing w:after="120" w:line="276"/>
        <w:jc w:val="both"/>
      </w:pPr>
      <w:r>
        <w:rPr>
          <w:rFonts w:ascii="Barlow Semi Condensed" w:cs="Barlow Semi Condensed" w:eastAsia="Barlow Semi Condensed" w:hAnsi="Barlow Semi Condensed"/>
          <w:b/>
          <w:bCs/>
          <w:sz w:val="24"/>
          <w:szCs w:val="24"/>
        </w:rPr>
        <w:t xml:space="preserve">4492 · Il cammino che non ha grado.</w:t>
      </w:r>
      <w:r>
        <w:rPr>
          <w:rFonts w:ascii="Barlow Semi Condensed" w:cs="Barlow Semi Condensed" w:eastAsia="Barlow Semi Condensed" w:hAnsi="Barlow Semi Condensed"/>
          <w:sz w:val="24"/>
          <w:szCs w:val="24"/>
        </w:rPr>
        <w:t xml:space="preserve"> La regola dell'anello debole stabilisce che il grado di un cammino è il minimo fra i suoi archi. Il blocco 54 dell'opera ne trae il caso limite: il cammino dallo Studio Ovale del settembre 1974 al 16 marzo 1978 richiederebbe un arco che non esiste. Un cammino con un anello mancante non ha grado basso: non ha grado. È la differenza fra una catena debole e una catena interrotta.</w:t>
      </w:r>
    </w:p>
    <w:p>
      <w:pPr>
        <w:spacing w:after="120" w:line="276"/>
        <w:jc w:val="both"/>
      </w:pPr>
      <w:r>
        <w:rPr>
          <w:rFonts w:ascii="Barlow Semi Condensed" w:cs="Barlow Semi Condensed" w:eastAsia="Barlow Semi Condensed" w:hAnsi="Barlow Semi Condensed"/>
          <w:b/>
          <w:bCs/>
          <w:sz w:val="24"/>
          <w:szCs w:val="24"/>
        </w:rPr>
        <w:t xml:space="preserve">4493 · Il buco misurato nel documento di metodo.</w:t>
      </w:r>
      <w:r>
        <w:rPr>
          <w:rFonts w:ascii="Barlow Semi Condensed" w:cs="Barlow Semi Condensed" w:eastAsia="Barlow Semi Condensed" w:hAnsi="Barlow Semi Condensed"/>
          <w:sz w:val="24"/>
          <w:szCs w:val="24"/>
        </w:rPr>
        <w:t xml:space="preserve"> Primo tempo della regola dei buchi, applicato qui. Il vuoto è misurato: zero occorrenze, zero nodi, zero archi, nessuna riga di tavola. Il documento non tace per reticenza, e nessun blocco potrà leggerlo così. Il buco si dichiara e resta congettura possibile finché un documento non diventi arco, secondo la formula del paragrafo terzo. La dietrologia lo riempirebbe di narrazione; il corpus lo ha misurato e la serie lo verbalizza.</w:t>
      </w:r>
    </w:p>
    <w:p>
      <w:pPr>
        <w:spacing w:after="120" w:line="276"/>
        <w:jc w:val="both"/>
      </w:pPr>
      <w:r>
        <w:rPr>
          <w:rFonts w:ascii="Barlow Semi Condensed" w:cs="Barlow Semi Condensed" w:eastAsia="Barlow Semi Condensed" w:hAnsi="Barlow Semi Condensed"/>
          <w:b/>
          <w:bCs/>
          <w:sz w:val="24"/>
          <w:szCs w:val="24"/>
        </w:rPr>
        <w:t xml:space="preserve">4494 · Perché il metodo tace.</w:t>
      </w:r>
      <w:r>
        <w:rPr>
          <w:rFonts w:ascii="Barlow Semi Condensed" w:cs="Barlow Semi Condensed" w:eastAsia="Barlow Semi Condensed" w:hAnsi="Barlow Semi Condensed"/>
          <w:sz w:val="24"/>
          <w:szCs w:val="24"/>
        </w:rPr>
        <w:t xml:space="preserve"> Secondo tempo della regola, quello che diagnostica la causa. Il testo del 25 agosto 2026 è un documento di metodo: costruisce strumenti sui legami già stabiliti dalle triangolazioni del corpus e non svolge merito su alcun nome. Il silenzio su questo nome ha dunque una causa di costruzione prima che di fatto, perché nessuno ha portato in quella sede un arco da gradare. Solo dopo si può interrogare il vuoto.</w:t>
      </w:r>
    </w:p>
    <w:p>
      <w:pPr>
        <w:spacing w:after="120" w:line="276"/>
        <w:jc w:val="both"/>
      </w:pPr>
      <w:r>
        <w:rPr>
          <w:rFonts w:ascii="Barlow Semi Condensed" w:cs="Barlow Semi Condensed" w:eastAsia="Barlow Semi Condensed" w:hAnsi="Barlow Semi Condensed"/>
          <w:b/>
          <w:bCs/>
          <w:sz w:val="24"/>
          <w:szCs w:val="24"/>
        </w:rPr>
        <w:t xml:space="preserve">4495 · I dieci mondi e l'undicesimo assente.</w:t>
      </w:r>
      <w:r>
        <w:rPr>
          <w:rFonts w:ascii="Barlow Semi Condensed" w:cs="Barlow Semi Condensed" w:eastAsia="Barlow Semi Condensed" w:hAnsi="Barlow Semi Condensed"/>
          <w:sz w:val="24"/>
          <w:szCs w:val="24"/>
        </w:rPr>
        <w:t xml:space="preserve"> Dieci sono i mondi elencati dal paragrafo terzo per la rete multistrato: politica interna, mondo brigatista, ceppo del 1969, editoria e mito, dimensione diplomatica della Farnesina, mondo vaticano, orizzonte latinoamericano, piano giudiziario, piano parlamentare, memoria e media. Non esiste un mondo atlantico o statunitense. È uno Stato Zero strutturale: il nodo qui triangolato non ha, nella stratificazione dichiarata, alcun livello in cui abitare.</w:t>
      </w:r>
    </w:p>
    <w:p>
      <w:pPr>
        <w:spacing w:after="120" w:line="276"/>
        <w:jc w:val="both"/>
      </w:pPr>
      <w:r>
        <w:rPr>
          <w:rFonts w:ascii="Barlow Semi Condensed" w:cs="Barlow Semi Condensed" w:eastAsia="Barlow Semi Condensed" w:hAnsi="Barlow Semi Condensed"/>
          <w:b/>
          <w:bCs/>
          <w:sz w:val="24"/>
          <w:szCs w:val="24"/>
        </w:rPr>
        <w:t xml:space="preserve">4496 · Come si aprirebbe un undicesimo livello.</w:t>
      </w:r>
      <w:r>
        <w:rPr>
          <w:rFonts w:ascii="Barlow Semi Condensed" w:cs="Barlow Semi Condensed" w:eastAsia="Barlow Semi Condensed" w:hAnsi="Barlow Semi Condensed"/>
          <w:sz w:val="24"/>
          <w:szCs w:val="24"/>
        </w:rPr>
        <w:t xml:space="preserve"> Un undicesimo livello non si aggiunge per decisione: si aggiunge per spoglio. Servirebbe una base documentale gradata, e le sedi sono nominabili, cioè la serie FRUS 1969-1976 nella sua interezza, i Nixon Presidential Materials con gli NSC Files, Country Files Italy, ai National Archives di College Park, e i Memoranda of Conversation del National Security Adviser alla Ford Library. Senza spoglio non si apre un livello: si disegna.</w:t>
      </w:r>
    </w:p>
    <w:p>
      <w:pPr>
        <w:spacing w:after="120" w:line="276"/>
        <w:jc w:val="both"/>
      </w:pPr>
      <w:r>
        <w:rPr>
          <w:rFonts w:ascii="Barlow Semi Condensed" w:cs="Barlow Semi Condensed" w:eastAsia="Barlow Semi Condensed" w:hAnsi="Barlow Semi Condensed"/>
          <w:b/>
          <w:bCs/>
          <w:sz w:val="24"/>
          <w:szCs w:val="24"/>
        </w:rPr>
        <w:t xml:space="preserve">4497 · Il solo mondo che potrebbe ospitarlo.</w:t>
      </w:r>
      <w:r>
        <w:rPr>
          <w:rFonts w:ascii="Barlow Semi Condensed" w:cs="Barlow Semi Condensed" w:eastAsia="Barlow Semi Condensed" w:hAnsi="Barlow Semi Condensed"/>
          <w:sz w:val="24"/>
          <w:szCs w:val="24"/>
        </w:rPr>
        <w:t xml:space="preserve"> Fra i dieci, il quinto, la dimensione diplomatica della Farnesina, è l'unico livello che il nome tocchi con documenti. Le ricognizioni originali della cartella moro-ministro-esteri lo nominano sette volte: due per la Turchia, due per il Portogallo, una ciascuna per Grecia, Spagna e la ricognizione generale del ministero. Sono archi di cornice diplomatica, non archi verso il caso, e la distinzione va conservata in ogni figura.</w:t>
      </w:r>
    </w:p>
    <w:p>
      <w:pPr>
        <w:spacing w:after="120" w:line="276"/>
        <w:jc w:val="both"/>
      </w:pPr>
      <w:r>
        <w:rPr>
          <w:rFonts w:ascii="Barlow Semi Condensed" w:cs="Barlow Semi Condensed" w:eastAsia="Barlow Semi Condensed" w:hAnsi="Barlow Semi Condensed"/>
          <w:b/>
          <w:bCs/>
          <w:sz w:val="24"/>
          <w:szCs w:val="24"/>
        </w:rPr>
        <w:t xml:space="preserve">4498 · Il settimo mondo e il Cile.</w:t>
      </w:r>
      <w:r>
        <w:rPr>
          <w:rFonts w:ascii="Barlow Semi Condensed" w:cs="Barlow Semi Condensed" w:eastAsia="Barlow Semi Condensed" w:hAnsi="Barlow Semi Condensed"/>
          <w:sz w:val="24"/>
          <w:szCs w:val="24"/>
        </w:rPr>
        <w:t xml:space="preserve"> L'orizzonte latinoamericano è il settimo livello. Vi sta l'accertamento che dal-che-a-moro-una-guerra-senza-fine.md registra: la responsabilità primaria, documentata, degli apparati statunitensi nella caduta di Allende l'11 settembre 1973, sotto la supervisione del Segretario di Stato. È enunciato storico-politico su un apparato. Non è, e non diventa, accertamento penale personale: soggetti diversi, sedi diverse, standard diversi, righe separate, come fissa il blocco 34.</w:t>
      </w:r>
    </w:p>
    <w:p>
      <w:pPr>
        <w:spacing w:after="120" w:line="276"/>
        <w:jc w:val="both"/>
      </w:pPr>
      <w:r>
        <w:rPr>
          <w:rFonts w:ascii="Barlow Semi Condensed" w:cs="Barlow Semi Condensed" w:eastAsia="Barlow Semi Condensed" w:hAnsi="Barlow Semi Condensed"/>
          <w:b/>
          <w:bCs/>
          <w:sz w:val="24"/>
          <w:szCs w:val="24"/>
        </w:rPr>
        <w:t xml:space="preserve">4499 · Due matrici, nessun quesito estero.</w:t>
      </w:r>
      <w:r>
        <w:rPr>
          <w:rFonts w:ascii="Barlow Semi Condensed" w:cs="Barlow Semi Condensed" w:eastAsia="Barlow Semi Condensed" w:hAnsi="Barlow Semi Condensed"/>
          <w:sz w:val="24"/>
          <w:szCs w:val="24"/>
        </w:rPr>
        <w:t xml:space="preserve"> Le matrici ACH del paragrafo quarto sono due ed entrambe interne: via Gradoli con la seduta spiritica, e le due moto di via Fani. Nessuna riguarda il fronte internazionale. La lacuna coincide con quella già rilevata al blocco 911 per la serie sesta del manuale investigativo, blocchi 171-210. Due strumenti indipendenti mostrano lo stesso vuoto: è consilienza sull'assenza, non indizio di presenza.</w:t>
      </w:r>
    </w:p>
    <w:p>
      <w:pPr>
        <w:spacing w:after="120" w:line="276"/>
        <w:jc w:val="both"/>
      </w:pPr>
      <w:r>
        <w:rPr>
          <w:rFonts w:ascii="Barlow Semi Condensed" w:cs="Barlow Semi Condensed" w:eastAsia="Barlow Semi Condensed" w:hAnsi="Barlow Semi Condensed"/>
          <w:b/>
          <w:bCs/>
          <w:sz w:val="24"/>
          <w:szCs w:val="24"/>
        </w:rPr>
        <w:t xml:space="preserve">4500 · Come si scriverebbe la terza matrice.</w:t>
      </w:r>
      <w:r>
        <w:rPr>
          <w:rFonts w:ascii="Barlow Semi Condensed" w:cs="Barlow Semi Condensed" w:eastAsia="Barlow Semi Condensed" w:hAnsi="Barlow Semi Condensed"/>
          <w:sz w:val="24"/>
          <w:szCs w:val="24"/>
        </w:rPr>
        <w:t xml:space="preserve"> Una matrice ACH sul quesito internazionale si scrive solo se impersonale e senza probabilità numeriche, come il paragrafo quarto impone al regime pubblico. Le ipotesi in colonna sarebbero l'ostilità politica dichiarata senza atti operativi, gli atti operativi non documentati, l'indifferenza operativa. Le evidenze in riga porterebbero ciascuna il proprio grado. Nessuna colonna può intestarsi a una persona: le colonne si intestano a stati del mondo.</w:t>
      </w:r>
    </w:p>
    <w:p>
      <w:pPr>
        <w:spacing w:after="120" w:line="276"/>
        <w:jc w:val="both"/>
      </w:pPr>
      <w:r>
        <w:rPr>
          <w:rFonts w:ascii="Barlow Semi Condensed" w:cs="Barlow Semi Condensed" w:eastAsia="Barlow Semi Condensed" w:hAnsi="Barlow Semi Condensed"/>
          <w:b/>
          <w:bCs/>
          <w:sz w:val="24"/>
          <w:szCs w:val="24"/>
        </w:rPr>
        <w:t xml:space="preserve">4501 · L'evidenza che discriminerebbe.</w:t>
      </w:r>
      <w:r>
        <w:rPr>
          <w:rFonts w:ascii="Barlow Semi Condensed" w:cs="Barlow Semi Condensed" w:eastAsia="Barlow Semi Condensed" w:hAnsi="Barlow Semi Condensed"/>
          <w:sz w:val="24"/>
          <w:szCs w:val="24"/>
        </w:rPr>
        <w:t xml:space="preserve"> Ogni matrice vale per l'evidenza diagnostica che riesce a nominare. Per il quesito internazionale quell'evidenza è nominabile con precisione: un'istruzione datata verso un soggetto italiano, con protocollo, originatore e destinatario. Non un'opinione, non un giudizio espresso in un colloquio, non un memorandum di posizione. Finché non emerge, la preferenza fra le ipotesi è gusto e non analisi, secondo la formula che il paragrafo quarto usa per via Gradoli.</w:t>
      </w:r>
    </w:p>
    <w:p>
      <w:pPr>
        <w:spacing w:after="120" w:line="276"/>
        <w:jc w:val="both"/>
      </w:pPr>
      <w:r>
        <w:rPr>
          <w:rFonts w:ascii="Barlow Semi Condensed" w:cs="Barlow Semi Condensed" w:eastAsia="Barlow Semi Condensed" w:hAnsi="Barlow Semi Condensed"/>
          <w:b/>
          <w:bCs/>
          <w:sz w:val="24"/>
          <w:szCs w:val="24"/>
        </w:rPr>
        <w:t xml:space="preserve">4502 · Perché qui le probabilità sono vietate.</w:t>
      </w:r>
      <w:r>
        <w:rPr>
          <w:rFonts w:ascii="Barlow Semi Condensed" w:cs="Barlow Semi Condensed" w:eastAsia="Barlow Semi Condensed" w:hAnsi="Barlow Semi Condensed"/>
          <w:sz w:val="24"/>
          <w:szCs w:val="24"/>
        </w:rPr>
        <w:t xml:space="preserve"> Nelle matrici il documento di metodo vieta i numeri di probabilità, perché simulerebbero una precisione che le fonti non hanno. Sul nodo qui triangolato il divieto vale a maggior ragione: la base è una testimonianza de relato del novembre 1982, con la data dell'episodio oscillante fra 1974, 1976 e 1977. Assegnare una percentuale a una fonte la cui data non è stabilita significa quantificare l'indeterminato.</w:t>
      </w:r>
    </w:p>
    <w:p>
      <w:pPr>
        <w:spacing w:after="120" w:line="276"/>
        <w:jc w:val="both"/>
      </w:pPr>
      <w:r>
        <w:rPr>
          <w:rFonts w:ascii="Barlow Semi Condensed" w:cs="Barlow Semi Condensed" w:eastAsia="Barlow Semi Condensed" w:hAnsi="Barlow Semi Condensed"/>
          <w:b/>
          <w:bCs/>
          <w:sz w:val="24"/>
          <w:szCs w:val="24"/>
        </w:rPr>
        <w:t xml:space="preserve">4503 · La lezione della Nota di revisione uno.</w:t>
      </w:r>
      <w:r>
        <w:rPr>
          <w:rFonts w:ascii="Barlow Semi Condensed" w:cs="Barlow Semi Condensed" w:eastAsia="Barlow Semi Condensed" w:hAnsi="Barlow Semi Condensed"/>
          <w:sz w:val="24"/>
          <w:szCs w:val="24"/>
        </w:rPr>
        <w:t xml:space="preserve"> Annotata in calce alla seconda matrice sta la retrocessione della riga E2: Marini ritrattò davanti ai consulenti della Moro 2 la circostanza del parabrezza infranto dai colpi, rotto da giorni e rattoppato col nastro, come mostrano le fotografie del mattino stesso. La riga scende da diagnostica a controversa e la matrice resta com'era, con la nota accanto. A decidere sono i reperti, non i ricordi.</w:t>
      </w:r>
    </w:p>
    <w:p>
      <w:pPr>
        <w:spacing w:after="120" w:line="276"/>
        <w:jc w:val="both"/>
      </w:pPr>
      <w:r>
        <w:rPr>
          <w:rFonts w:ascii="Barlow Semi Condensed" w:cs="Barlow Semi Condensed" w:eastAsia="Barlow Semi Condensed" w:hAnsi="Barlow Semi Condensed"/>
          <w:b/>
          <w:bCs/>
          <w:sz w:val="24"/>
          <w:szCs w:val="24"/>
        </w:rPr>
        <w:t xml:space="preserve">4504 · La seconda nota e il nodo M-5.</w:t>
      </w:r>
      <w:r>
        <w:rPr>
          <w:rFonts w:ascii="Barlow Semi Condensed" w:cs="Barlow Semi Condensed" w:eastAsia="Barlow Semi Condensed" w:hAnsi="Barlow Semi Condensed"/>
          <w:sz w:val="24"/>
          <w:szCs w:val="24"/>
        </w:rPr>
        <w:t xml:space="preserve"> La stessa disciplina ha prodotto, il 25 agosto 2026, la Nota di revisione n. 2 in triangolazioni-guevara-moro.md: sette precisazioni sul nodo M-5, registrate per nota senza riscrivere il nodo. Il testo originario resta leggibile e la correzione gli si affianca. Chi conti le fonti su quell'episodio deve contarle dopo le sette precisazioni e non prima, perché il numero delle riprese cambia significato quando se ne conosce l'origine.</w:t>
      </w:r>
    </w:p>
    <w:p>
      <w:pPr>
        <w:spacing w:after="120" w:line="276"/>
        <w:jc w:val="both"/>
      </w:pPr>
      <w:r>
        <w:rPr>
          <w:rFonts w:ascii="Barlow Semi Condensed" w:cs="Barlow Semi Condensed" w:eastAsia="Barlow Semi Condensed" w:hAnsi="Barlow Semi Condensed"/>
          <w:b/>
          <w:bCs/>
          <w:sz w:val="24"/>
          <w:szCs w:val="24"/>
        </w:rPr>
        <w:t xml:space="preserve">4505 · Un lancio d'agenzia contato molte volte.</w:t>
      </w:r>
      <w:r>
        <w:rPr>
          <w:rFonts w:ascii="Barlow Semi Condensed" w:cs="Barlow Semi Condensed" w:eastAsia="Barlow Semi Condensed" w:hAnsi="Barlow Semi Condensed"/>
          <w:sz w:val="24"/>
          <w:szCs w:val="24"/>
        </w:rPr>
        <w:t xml:space="preserve"> La settima precisazione è un teorema di conteggio. Le decine di riprese pressoché identiche dell'episodio risalgono a un unico lancio d'agenzia del 30 novembre 2023; il rilancio internazionale del 1982 proviene da una pubblicazione di orientamento cospirazionista, citabile come dato di circolazione. Contare le occorrenze di una copia non aumenta le fonti: le fonti restano una. È replicazione senza informazione nuova, e va conteggiata così.</w:t>
      </w:r>
    </w:p>
    <w:p>
      <w:pPr>
        <w:spacing w:after="120" w:line="276"/>
        <w:jc w:val="both"/>
      </w:pPr>
      <w:r>
        <w:rPr>
          <w:rFonts w:ascii="Barlow Semi Condensed" w:cs="Barlow Semi Condensed" w:eastAsia="Barlow Semi Condensed" w:hAnsi="Barlow Semi Condensed"/>
          <w:b/>
          <w:bCs/>
          <w:sz w:val="24"/>
          <w:szCs w:val="24"/>
        </w:rPr>
        <w:t xml:space="preserve">4506 · Due testimoni non fanno due.</w:t>
      </w:r>
      <w:r>
        <w:rPr>
          <w:rFonts w:ascii="Barlow Semi Condensed" w:cs="Barlow Semi Condensed" w:eastAsia="Barlow Semi Condensed" w:hAnsi="Barlow Semi Condensed"/>
          <w:sz w:val="24"/>
          <w:szCs w:val="24"/>
        </w:rPr>
        <w:t xml:space="preserve"> L'aritmetica dei testimoni è la più ingannevole. Il blocco 767 lo aveva fissato: il teste principale depose de relato, la vedova parlò di un'alta personalità senza nominarla e il nome fu ottenuto dal presidente della corte, l'interessato negò. Non sono due contro uno: sono una catena di riferimenti e una smentita. Nessun conteggio scioglie ciò che la regola dell'anello debole tiene fermo al passaggio più fragile.</w:t>
      </w:r>
    </w:p>
    <w:p>
      <w:pPr>
        <w:spacing w:after="120" w:line="276"/>
        <w:jc w:val="both"/>
      </w:pPr>
      <w:r>
        <w:rPr>
          <w:rFonts w:ascii="Barlow Semi Condensed" w:cs="Barlow Semi Condensed" w:eastAsia="Barlow Semi Condensed" w:hAnsi="Barlow Semi Condensed"/>
          <w:b/>
          <w:bCs/>
          <w:sz w:val="24"/>
          <w:szCs w:val="24"/>
        </w:rPr>
        <w:t xml:space="preserve">4507 · Tre date per un solo episodio (serie LIX).</w:t>
      </w:r>
      <w:r>
        <w:rPr>
          <w:rFonts w:ascii="Barlow Semi Condensed" w:cs="Barlow Semi Condensed" w:eastAsia="Barlow Semi Condensed" w:hAnsi="Barlow Semi Condensed"/>
          <w:sz w:val="24"/>
          <w:szCs w:val="24"/>
        </w:rPr>
        <w:t xml:space="preserve"> Le collocazioni dell'episodio riferito sono tre: settembre 1974 nella versione italiana prevalente, 1977 secondo un'agenzia statunitense dell'aprile 1983 che parla dell'ambasciata d'Italia a Washington, 1976 secondo altre sintesi. Al più una è vera. Il dato conta perché nel 1977 l'interessato non era più Segretario di Stato, e chi lega l'episodio a una carica lo lega a una carica cessata. La divergenza si riporta.</w:t>
      </w:r>
    </w:p>
    <w:p>
      <w:pPr>
        <w:spacing w:after="120" w:line="276"/>
        <w:jc w:val="both"/>
      </w:pPr>
      <w:r>
        <w:rPr>
          <w:rFonts w:ascii="Barlow Semi Condensed" w:cs="Barlow Semi Condensed" w:eastAsia="Barlow Semi Condensed" w:hAnsi="Barlow Semi Condensed"/>
          <w:b/>
          <w:bCs/>
          <w:sz w:val="24"/>
          <w:szCs w:val="24"/>
        </w:rPr>
        <w:t xml:space="preserve">4508 · Quattro luoghi per un solo colloquio.</w:t>
      </w:r>
      <w:r>
        <w:rPr>
          <w:rFonts w:ascii="Barlow Semi Condensed" w:cs="Barlow Semi Condensed" w:eastAsia="Barlow Semi Condensed" w:hAnsi="Barlow Semi Condensed"/>
          <w:sz w:val="24"/>
          <w:szCs w:val="24"/>
        </w:rPr>
        <w:t xml:space="preserve"> Ai tre anni corrispondono almeno quattro luoghi in circolazione: lo Studio Ovale, il Dipartimento di Stato, una cena ufficiale, l'ambasciata italiana. Il quesito d'archivio che ne discende è materiale e chiuso: il programma ufficiale della visita di Stato, con orari e sedi, conservato negli atti presidenziali e nella documentazione della Ford Library. Un programma non prova un colloquio riservato, ma elimina le sedi materialmente impossibili.</w:t>
      </w:r>
    </w:p>
    <w:p>
      <w:pPr>
        <w:spacing w:after="120" w:line="276"/>
        <w:jc w:val="both"/>
      </w:pPr>
      <w:r>
        <w:rPr>
          <w:rFonts w:ascii="Barlow Semi Condensed" w:cs="Barlow Semi Condensed" w:eastAsia="Barlow Semi Condensed" w:hAnsi="Barlow Semi Condensed"/>
          <w:b/>
          <w:bCs/>
          <w:sz w:val="24"/>
          <w:szCs w:val="24"/>
        </w:rPr>
        <w:t xml:space="preserve">4509 · Cinque giorni o tre.</w:t>
      </w:r>
      <w:r>
        <w:rPr>
          <w:rFonts w:ascii="Barlow Semi Condensed" w:cs="Barlow Semi Condensed" w:eastAsia="Barlow Semi Condensed" w:hAnsi="Barlow Semi Condensed"/>
          <w:sz w:val="24"/>
          <w:szCs w:val="24"/>
        </w:rPr>
        <w:t xml:space="preserve"> Anche la durata della visita diverge, e l'apparato K-3 lo registra: il comunicato congiunto negli atti presidenziali indica dal 25 al 29 settembre 1974, la nota editoriale del volume FRUS dal 25 al 27. Due fonti istituzionali, due misure. È divergenza minuta e va tenuta, perché una cronologia costruita sulla prima ammette giornate che la seconda esclude, e su quelle giornate si è argomentato.</w:t>
      </w:r>
    </w:p>
    <w:p>
      <w:pPr>
        <w:spacing w:after="120" w:line="276"/>
        <w:jc w:val="both"/>
      </w:pPr>
      <w:r>
        <w:rPr>
          <w:rFonts w:ascii="Barlow Semi Condensed" w:cs="Barlow Semi Condensed" w:eastAsia="Barlow Semi Condensed" w:hAnsi="Barlow Semi Condensed"/>
          <w:b/>
          <w:bCs/>
          <w:sz w:val="24"/>
          <w:szCs w:val="24"/>
        </w:rPr>
        <w:t xml:space="preserve">4510 · Il giorno della deposizione.</w:t>
      </w:r>
      <w:r>
        <w:rPr>
          <w:rFonts w:ascii="Barlow Semi Condensed" w:cs="Barlow Semi Condensed" w:eastAsia="Barlow Semi Condensed" w:hAnsi="Barlow Semi Condensed"/>
          <w:sz w:val="24"/>
          <w:szCs w:val="24"/>
        </w:rPr>
        <w:t xml:space="preserve"> La deposizione davanti alla Corte d'assise di Roma è del novembre 1982; il giorno è dato per il 10 dalla datazione più ricorrente e per il 15 da una fonte, e la divergenza non è risolta. La sede che la chiude è nominata: i verbali d'udienza del processo, presso l'archivio della Corte d'assise di Roma. È il tipo di numero che un archivio chiude in un pomeriggio.</w:t>
      </w:r>
    </w:p>
    <w:p>
      <w:pPr>
        <w:spacing w:after="120" w:line="276"/>
        <w:jc w:val="both"/>
      </w:pPr>
      <w:r>
        <w:rPr>
          <w:rFonts w:ascii="Barlow Semi Condensed" w:cs="Barlow Semi Condensed" w:eastAsia="Barlow Semi Condensed" w:hAnsi="Barlow Semi Condensed"/>
          <w:b/>
          <w:bCs/>
          <w:sz w:val="24"/>
          <w:szCs w:val="24"/>
        </w:rPr>
        <w:t xml:space="preserve">4511 · Primo agosto o undici.</w:t>
      </w:r>
      <w:r>
        <w:rPr>
          <w:rFonts w:ascii="Barlow Semi Condensed" w:cs="Barlow Semi Condensed" w:eastAsia="Barlow Semi Condensed" w:hAnsi="Barlow Semi Condensed"/>
          <w:sz w:val="24"/>
          <w:szCs w:val="24"/>
        </w:rPr>
        <w:t xml:space="preserve"> L'audizione della vedova davanti alla Commissione d'inchiesta è del primo agosto 1980; una fonte indica l'undici, verosimilmente per lettura errata dell'ordinale. L'apparato K-4 lo annota e non lo risolve. La sede che lo chiude è il resoconto stenografico della Commissione, Doc. XXIII della VIII legislatura, negli archivi storici di Camera e Senato. Sede confermata e contenuto verbatim restano due accertamenti distinti.</w:t>
      </w:r>
    </w:p>
    <w:p>
      <w:pPr>
        <w:spacing w:after="120" w:line="276"/>
        <w:jc w:val="both"/>
      </w:pPr>
      <w:r>
        <w:rPr>
          <w:rFonts w:ascii="Barlow Semi Condensed" w:cs="Barlow Semi Condensed" w:eastAsia="Barlow Semi Condensed" w:hAnsi="Barlow Semi Condensed"/>
          <w:b/>
          <w:bCs/>
          <w:sz w:val="24"/>
          <w:szCs w:val="24"/>
        </w:rPr>
        <w:t xml:space="preserve">4512 · Numeri che si contano davvero.</w:t>
      </w:r>
      <w:r>
        <w:rPr>
          <w:rFonts w:ascii="Barlow Semi Condensed" w:cs="Barlow Semi Condensed" w:eastAsia="Barlow Semi Condensed" w:hAnsi="Barlow Semi Condensed"/>
          <w:sz w:val="24"/>
          <w:szCs w:val="24"/>
        </w:rPr>
        <w:t xml:space="preserve"> Esistono numeri, su questo nome, che il corpus fissa senza margine: Assistente del Presidente per la sicurezza nazionale dal 20 gennaio 1969 al 3 novembre 1975; Segretario di Stato dal 22 settembre 1973 al 20 gennaio 1977, con la divergenza fra le secondarie che datano al 23 e la fonte istituzionale che indica il 22. Sono misure di carica, e non misurano nient'altro.</w:t>
      </w:r>
    </w:p>
    <w:p>
      <w:pPr>
        <w:spacing w:after="120" w:line="276"/>
        <w:jc w:val="both"/>
      </w:pPr>
      <w:r>
        <w:rPr>
          <w:rFonts w:ascii="Barlow Semi Condensed" w:cs="Barlow Semi Condensed" w:eastAsia="Barlow Semi Condensed" w:hAnsi="Barlow Semi Condensed"/>
          <w:b/>
          <w:bCs/>
          <w:sz w:val="24"/>
          <w:szCs w:val="24"/>
        </w:rPr>
        <w:t xml:space="preserve">4513 · Settecentosettantadue giorni di doppio incarico.</w:t>
      </w:r>
      <w:r>
        <w:rPr>
          <w:rFonts w:ascii="Barlow Semi Condensed" w:cs="Barlow Semi Condensed" w:eastAsia="Barlow Semi Condensed" w:hAnsi="Barlow Semi Condensed"/>
          <w:sz w:val="24"/>
          <w:szCs w:val="24"/>
        </w:rPr>
        <w:t xml:space="preserve"> Dal 22 settembre 1973 al 3 novembre 1975 i due incarichi furono tenuti insieme: settecentosettantadue giorni, caso unico nella storia statunitense. Il calcolo è elementare e si verifica in un minuto. Serve a delimitare e non a collegare: un intervallo di carica dice per quanto tempo un nome comparve per ufficio nei verbali, e non dice che cosa vi comparve. La durata non è una dose.</w:t>
      </w:r>
    </w:p>
    <w:p>
      <w:pPr>
        <w:spacing w:after="120" w:line="276"/>
        <w:jc w:val="both"/>
      </w:pPr>
      <w:r>
        <w:rPr>
          <w:rFonts w:ascii="Barlow Semi Condensed" w:cs="Barlow Semi Condensed" w:eastAsia="Barlow Semi Condensed" w:hAnsi="Barlow Semi Condensed"/>
          <w:b/>
          <w:bCs/>
          <w:sz w:val="24"/>
          <w:szCs w:val="24"/>
        </w:rPr>
        <w:t xml:space="preserve">4514 · L'ubiquità è un effetto d'organigramma.</w:t>
      </w:r>
      <w:r>
        <w:rPr>
          <w:rFonts w:ascii="Barlow Semi Condensed" w:cs="Barlow Semi Condensed" w:eastAsia="Barlow Semi Condensed" w:hAnsi="Barlow Semi Condensed"/>
          <w:sz w:val="24"/>
          <w:szCs w:val="24"/>
        </w:rPr>
        <w:t xml:space="preserve"> Il blocco 35 lo aveva stabilito e la serie dei numeri lo conferma: la frequenza documentale di questo nome fra 1969 e 1977 è un effetto della posizione, perché quelle due cariche concentrano l'informazione per costruzione. Un conteggio di occorrenze nei FRUS misura l'organigramma. Chi lo legga come misura di coinvolgimento ha convertito una statistica d'archivio in un'ipotesi, che è la mossa che questa serie esiste per impedire.</w:t>
      </w:r>
    </w:p>
    <w:p>
      <w:pPr>
        <w:spacing w:after="120" w:line="276"/>
        <w:jc w:val="both"/>
      </w:pPr>
      <w:r>
        <w:rPr>
          <w:rFonts w:ascii="Barlow Semi Condensed" w:cs="Barlow Semi Condensed" w:eastAsia="Barlow Semi Condensed" w:hAnsi="Barlow Semi Condensed"/>
          <w:b/>
          <w:bCs/>
          <w:sz w:val="24"/>
          <w:szCs w:val="24"/>
        </w:rPr>
        <w:t xml:space="preserve">4515 · Ventisei occorrenze fuori dall'opera.</w:t>
      </w:r>
      <w:r>
        <w:rPr>
          <w:rFonts w:ascii="Barlow Semi Condensed" w:cs="Barlow Semi Condensed" w:eastAsia="Barlow Semi Condensed" w:hAnsi="Barlow Semi Condensed"/>
          <w:sz w:val="24"/>
          <w:szCs w:val="24"/>
        </w:rPr>
        <w:t xml:space="preserve"> Conteggio eseguito il 26 agosto 2026 sui sorgenti markdown del branch. Fuori dall'opera dedicata la stringa compare ventisei volte in quattordici documenti; altre sette stanno in moro-ministro-esteri/volume.html, che è l'edizione rilegata delle stesse ricognizioni e non aggiunge occorrenze indipendenti. Il perimetro è dichiarato perché senza perimetro il numero non è riproducibile, ed è la regola che il resto della serie applica a se stesso.</w:t>
      </w:r>
    </w:p>
    <w:p>
      <w:pPr>
        <w:spacing w:after="120" w:line="276"/>
        <w:jc w:val="both"/>
      </w:pPr>
      <w:r>
        <w:rPr>
          <w:rFonts w:ascii="Barlow Semi Condensed" w:cs="Barlow Semi Condensed" w:eastAsia="Barlow Semi Condensed" w:hAnsi="Barlow Semi Condensed"/>
          <w:b/>
          <w:bCs/>
          <w:sz w:val="24"/>
          <w:szCs w:val="24"/>
        </w:rPr>
        <w:t xml:space="preserve">4516 · Diciannove occorrenze sostanziali.</w:t>
      </w:r>
      <w:r>
        <w:rPr>
          <w:rFonts w:ascii="Barlow Semi Condensed" w:cs="Barlow Semi Condensed" w:eastAsia="Barlow Semi Condensed" w:hAnsi="Barlow Semi Condensed"/>
          <w:sz w:val="24"/>
          <w:szCs w:val="24"/>
        </w:rPr>
        <w:t xml:space="preserve"> Delle ventisei, cinque stanno nelle voci di catalogo, due in GUIDA-ALLA-LETTURA.md e tre in INDICE-DOCUMENTI-BRANCH.md, e descrivono l'opera dedicata anziché il caso; due sono indirizzi bibliografici, le note 50 e 51 di note-bibliografiche-opera-integrale.md. Restano diciannove occorrenze sostanziali, in undici documenti. Scorporare il metatesto dal testo è operazione elementare, e quasi mai eseguita da chi cita i totali.</w:t>
      </w:r>
    </w:p>
    <w:p>
      <w:pPr>
        <w:spacing w:after="120" w:line="276"/>
        <w:jc w:val="both"/>
      </w:pPr>
      <w:r>
        <w:rPr>
          <w:rFonts w:ascii="Barlow Semi Condensed" w:cs="Barlow Semi Condensed" w:eastAsia="Barlow Semi Condensed" w:hAnsi="Barlow Semi Condensed"/>
          <w:b/>
          <w:bCs/>
          <w:sz w:val="24"/>
          <w:szCs w:val="24"/>
        </w:rPr>
        <w:t xml:space="preserve">4517 · Una occorrenza ogni dodicimila parole.</w:t>
      </w:r>
      <w:r>
        <w:rPr>
          <w:rFonts w:ascii="Barlow Semi Condensed" w:cs="Barlow Semi Condensed" w:eastAsia="Barlow Semi Condensed" w:hAnsi="Barlow Semi Condensed"/>
          <w:sz w:val="24"/>
          <w:szCs w:val="24"/>
        </w:rPr>
        <w:t xml:space="preserve"> Il corpus storico markdown, escluse le 74.627 parole dell'opera dedicata, conta 234.109 parole per diciannove occorrenze sostanziali del nome: circa una ogni dodicimila parole. La densità si registra come misura e non come argomento. Una bassa densità non prova assenza di rapporti, secondo il secondo tempo della regola dei buchi: prova che i documenti spogliati sono altri. Il rimedio è lo spoglio, non l'inferenza.</w:t>
      </w:r>
    </w:p>
    <w:p>
      <w:pPr>
        <w:spacing w:after="120" w:line="276"/>
        <w:jc w:val="both"/>
      </w:pPr>
      <w:r>
        <w:rPr>
          <w:rFonts w:ascii="Barlow Semi Condensed" w:cs="Barlow Semi Condensed" w:eastAsia="Barlow Semi Condensed" w:hAnsi="Barlow Semi Condensed"/>
          <w:b/>
          <w:bCs/>
          <w:sz w:val="24"/>
          <w:szCs w:val="24"/>
        </w:rPr>
        <w:t xml:space="preserve">4518 · Mille blocchi, settantaquattromila parole.</w:t>
      </w:r>
      <w:r>
        <w:rPr>
          <w:rFonts w:ascii="Barlow Semi Condensed" w:cs="Barlow Semi Condensed" w:eastAsia="Barlow Semi Condensed" w:hAnsi="Barlow Semi Condensed"/>
          <w:sz w:val="24"/>
          <w:szCs w:val="24"/>
        </w:rPr>
        <w:t xml:space="preserve"> L'opera dedicata è stata contata: mille blocchi esatti, verificati per marcatura, e 74.627 parole. Rappresenta oggi circa un quarto delle parole dell'intero corpus storico del branch. È la misura di un'indagine e non di un oggetto: il volume di testo prodotto intorno a un nome misura l'attenzione dell'indagine e non il peso del nome nel caso. Confondere le due misure è il vizio che la serie censisce.</w:t>
      </w:r>
    </w:p>
    <w:p>
      <w:pPr>
        <w:spacing w:after="120" w:line="276"/>
        <w:jc w:val="both"/>
      </w:pPr>
      <w:r>
        <w:rPr>
          <w:rFonts w:ascii="Barlow Semi Condensed" w:cs="Barlow Semi Condensed" w:eastAsia="Barlow Semi Condensed" w:hAnsi="Barlow Semi Condensed"/>
          <w:b/>
          <w:bCs/>
          <w:sz w:val="24"/>
          <w:szCs w:val="24"/>
        </w:rPr>
        <w:t xml:space="preserve">4519 · Il paradosso di volume.</w:t>
      </w:r>
      <w:r>
        <w:rPr>
          <w:rFonts w:ascii="Barlow Semi Condensed" w:cs="Barlow Semi Condensed" w:eastAsia="Barlow Semi Condensed" w:hAnsi="Barlow Semi Condensed"/>
          <w:sz w:val="24"/>
          <w:szCs w:val="24"/>
        </w:rPr>
        <w:t xml:space="preserve"> Al 25 agosto 2026 il corpus misurato dal paragrafo sesto contava 104.504 parole. L'opera dedicata a questo nome ne conta 74.627, cioè il settantuno per cento circa di quella misura, in un solo testo, su un nome che il resto del corpus nomina diciannove volte in senso sostanziale. Il paradosso si dichiara e non si nasconde: dice quanto lavoro è servito per stabilire, in massima parte, delle assenze.</w:t>
      </w:r>
    </w:p>
    <w:p>
      <w:pPr>
        <w:spacing w:after="120" w:line="276"/>
        <w:jc w:val="both"/>
      </w:pPr>
      <w:r>
        <w:rPr>
          <w:rFonts w:ascii="Barlow Semi Condensed" w:cs="Barlow Semi Condensed" w:eastAsia="Barlow Semi Condensed" w:hAnsi="Barlow Semi Condensed"/>
          <w:b/>
          <w:bCs/>
          <w:sz w:val="24"/>
          <w:szCs w:val="24"/>
        </w:rPr>
        <w:t xml:space="preserve">4520 · Il volume non è un peso.</w:t>
      </w:r>
      <w:r>
        <w:rPr>
          <w:rFonts w:ascii="Barlow Semi Condensed" w:cs="Barlow Semi Condensed" w:eastAsia="Barlow Semi Condensed" w:hAnsi="Barlow Semi Condensed"/>
          <w:sz w:val="24"/>
          <w:szCs w:val="24"/>
        </w:rPr>
        <w:t xml:space="preserve"> Vale ovunque una regola di lettura semplice: la quantità di testo dedicata a un nodo misura lo sforzo di verifica speso su di esso, mai la sua rilevanza probatoria. Nel corpus vale nei due sensi, perché il ceppo del 1969 occupa poche righe nella tavola dei gradi e la seconda intermediazione dell'intera rete, mentre questo nome occupa un'opera intera e nessuna riga della rete.</w:t>
      </w:r>
    </w:p>
    <w:p>
      <w:pPr>
        <w:spacing w:after="120" w:line="276"/>
        <w:jc w:val="both"/>
      </w:pPr>
      <w:r>
        <w:rPr>
          <w:rFonts w:ascii="Barlow Semi Condensed" w:cs="Barlow Semi Condensed" w:eastAsia="Barlow Semi Condensed" w:hAnsi="Barlow Semi Condensed"/>
          <w:b/>
          <w:bCs/>
          <w:sz w:val="24"/>
          <w:szCs w:val="24"/>
        </w:rPr>
        <w:t xml:space="preserve">4521 · L'auto-misurazione si è fermata alle dieci.</w:t>
      </w:r>
      <w:r>
        <w:rPr>
          <w:rFonts w:ascii="Barlow Semi Condensed" w:cs="Barlow Semi Condensed" w:eastAsia="Barlow Semi Condensed" w:hAnsi="Barlow Semi Condensed"/>
          <w:sz w:val="24"/>
          <w:szCs w:val="24"/>
        </w:rPr>
        <w:t xml:space="preserve"> Accertamento cronologico, di grado alto perché verificabile sul registro delle revisioni del branch. Il documento di metodo fu toccato l'ultima volta il 25 agosto 2026 alle 10.01; il manuale in quattrocento blocchi alle 11.01, l'agenda alle 12.03, i nove cantieri alle 12.32, l'opera dedicata a questo nome alle 22.31. Il paragrafo sesto misura dunque un corpus che non contiene nessuna delle quattro opere.</w:t>
      </w:r>
    </w:p>
    <w:p>
      <w:pPr>
        <w:spacing w:after="120" w:line="276"/>
        <w:jc w:val="both"/>
      </w:pPr>
      <w:r>
        <w:rPr>
          <w:rFonts w:ascii="Barlow Semi Condensed" w:cs="Barlow Semi Condensed" w:eastAsia="Barlow Semi Condensed" w:hAnsi="Barlow Semi Condensed"/>
          <w:b/>
          <w:bCs/>
          <w:sz w:val="24"/>
          <w:szCs w:val="24"/>
        </w:rPr>
        <w:t xml:space="preserve">4522 · Il ricalcolo di oggi.</w:t>
      </w:r>
      <w:r>
        <w:rPr>
          <w:rFonts w:ascii="Barlow Semi Condensed" w:cs="Barlow Semi Condensed" w:eastAsia="Barlow Semi Condensed" w:hAnsi="Barlow Semi Condensed"/>
          <w:sz w:val="24"/>
          <w:szCs w:val="24"/>
        </w:rPr>
        <w:t xml:space="preserve"> Rifatto il 26 agosto 2026 con perimetro dichiarato, cioè i documenti storici in markdown della radice e della cartella moro-ministro-esteri, il corpus conta cinquanta documenti e 308.736 parole, contro i trentasei documenti e le 104.504 parole del paragrafo sesto. Il documento di metodo non è sbagliato: è datato. Il bersaglio che ne discende è minimo e dovuto, cioè apporre la data del calcolo accanto a ogni cifra.</w:t>
      </w:r>
    </w:p>
    <w:p>
      <w:pPr>
        <w:spacing w:after="120" w:line="276"/>
        <w:jc w:val="both"/>
      </w:pPr>
      <w:r>
        <w:rPr>
          <w:rFonts w:ascii="Barlow Semi Condensed" w:cs="Barlow Semi Condensed" w:eastAsia="Barlow Semi Condensed" w:hAnsi="Barlow Semi Condensed"/>
          <w:b/>
          <w:bCs/>
          <w:sz w:val="24"/>
          <w:szCs w:val="24"/>
        </w:rPr>
        <w:t xml:space="preserve">4523 · Le marcature non si riproducono.</w:t>
      </w:r>
      <w:r>
        <w:rPr>
          <w:rFonts w:ascii="Barlow Semi Condensed" w:cs="Barlow Semi Condensed" w:eastAsia="Barlow Semi Condensed" w:hAnsi="Barlow Semi Condensed"/>
          <w:sz w:val="24"/>
          <w:szCs w:val="24"/>
        </w:rPr>
        <w:t xml:space="preserve"> Tentativo di replica, esito parziale e dichiarato. Il paragrafo sesto censisce quattordici occorrenze di «criterio di smentita», ventinove di «anti-triangolazioni», sessantadue di «esiti negativi». Il ricalcolo di oggi dà diciannove, trentaquattro e cinquantuno; ma ammettendo il plurale il primo sale a venticinque, allargando alle edizioni html il terzo sale a ottantuno, e al singolare arriva a ottantasette. Le cifre dipendono dal lemma e dal perimetro.</w:t>
      </w:r>
    </w:p>
    <w:p>
      <w:pPr>
        <w:spacing w:after="120" w:line="276"/>
        <w:jc w:val="both"/>
      </w:pPr>
      <w:r>
        <w:rPr>
          <w:rFonts w:ascii="Barlow Semi Condensed" w:cs="Barlow Semi Condensed" w:eastAsia="Barlow Semi Condensed" w:hAnsi="Barlow Semi Condensed"/>
          <w:b/>
          <w:bCs/>
          <w:sz w:val="24"/>
          <w:szCs w:val="24"/>
        </w:rPr>
        <w:t xml:space="preserve">4524 · Un numero senza perimetro non è riproducibile.</w:t>
      </w:r>
      <w:r>
        <w:rPr>
          <w:rFonts w:ascii="Barlow Semi Condensed" w:cs="Barlow Semi Condensed" w:eastAsia="Barlow Semi Condensed" w:hAnsi="Barlow Semi Condensed"/>
          <w:sz w:val="24"/>
          <w:szCs w:val="24"/>
        </w:rPr>
        <w:t xml:space="preserve"> Regola generale che questa serie propone al corpus. Ogni cifra di auto-misurazione va accompagnata da tre elementi: la stringa esatta interrogata, l'elenco dei file inclusi, la data del calcolo. La sede che chiude la lacuna è interna e a costo nullo, cioè lo script di conteggio versionato accanto al documento, cosicché chiunque possa rieseguirlo. Un numero che non si può rieseguire è un'affermazione, e si grada come tale.</w:t>
      </w:r>
    </w:p>
    <w:p>
      <w:pPr>
        <w:spacing w:after="120" w:line="276"/>
        <w:jc w:val="both"/>
      </w:pPr>
      <w:r>
        <w:rPr>
          <w:rFonts w:ascii="Barlow Semi Condensed" w:cs="Barlow Semi Condensed" w:eastAsia="Barlow Semi Condensed" w:hAnsi="Barlow Semi Condensed"/>
          <w:b/>
          <w:bCs/>
          <w:sz w:val="24"/>
          <w:szCs w:val="24"/>
        </w:rPr>
        <w:t xml:space="preserve">4525 · Centocinquantacinque Stati Zero.</w:t>
      </w:r>
      <w:r>
        <w:rPr>
          <w:rFonts w:ascii="Barlow Semi Condensed" w:cs="Barlow Semi Condensed" w:eastAsia="Barlow Semi Condensed" w:hAnsi="Barlow Semi Condensed"/>
          <w:sz w:val="24"/>
          <w:szCs w:val="24"/>
        </w:rPr>
        <w:t xml:space="preserve"> Trentasei erano le occorrenze di «Stato Zero» censite dal paragrafo sesto, con la lettura severa che ne discendeva: il corpus dichiara l'assenza documentata più spesso di quanto conceda il fatto pubblico non gradato. Oggi le occorrenze nei markdown sono centocinquantacinque, di cui sessantotto nella sola opera dedicata a questo nome e ottantasette fuori. Il perimetro negativo è cresciuto più in fretta di quello positivo, ed è l'esito atteso.</w:t>
      </w:r>
    </w:p>
    <w:p>
      <w:pPr>
        <w:spacing w:after="120" w:line="276"/>
        <w:jc w:val="both"/>
      </w:pPr>
      <w:r>
        <w:rPr>
          <w:rFonts w:ascii="Barlow Semi Condensed" w:cs="Barlow Semi Condensed" w:eastAsia="Barlow Semi Condensed" w:hAnsi="Barlow Semi Condensed"/>
          <w:b/>
          <w:bCs/>
          <w:sz w:val="24"/>
          <w:szCs w:val="24"/>
        </w:rPr>
        <w:t xml:space="preserve">4526 · Che cosa misura quel conteggio.</w:t>
      </w:r>
      <w:r>
        <w:rPr>
          <w:rFonts w:ascii="Barlow Semi Condensed" w:cs="Barlow Semi Condensed" w:eastAsia="Barlow Semi Condensed" w:hAnsi="Barlow Semi Condensed"/>
          <w:sz w:val="24"/>
          <w:szCs w:val="24"/>
        </w:rPr>
        <w:t xml:space="preserve"> Precisazione necessaria, perché il numero è facile da fraintendere. Contare le occorrenze della formula «Stato Zero» misura le dichiarazioni di assenza, non le assenze del mondo. È una statistica sulla disciplina di scrittura del corpus. Una ricerca che non trovi nulla e non lo scriva non produce alcuna occorrenza, e resta invisibile al conteggio. Il numero premia chi verbalizza, ed è esattamente ciò che deve fare.</w:t>
      </w:r>
    </w:p>
    <w:p>
      <w:pPr>
        <w:spacing w:after="120" w:line="276"/>
        <w:jc w:val="both"/>
      </w:pPr>
      <w:r>
        <w:rPr>
          <w:rFonts w:ascii="Barlow Semi Condensed" w:cs="Barlow Semi Condensed" w:eastAsia="Barlow Semi Condensed" w:hAnsi="Barlow Semi Condensed"/>
          <w:b/>
          <w:bCs/>
          <w:sz w:val="24"/>
          <w:szCs w:val="24"/>
        </w:rPr>
        <w:t xml:space="preserve">4527 · Contare i piani non conta i ponti.</w:t>
      </w:r>
      <w:r>
        <w:rPr>
          <w:rFonts w:ascii="Barlow Semi Condensed" w:cs="Barlow Semi Condensed" w:eastAsia="Barlow Semi Condensed" w:hAnsi="Barlow Semi Condensed"/>
          <w:sz w:val="24"/>
          <w:szCs w:val="24"/>
        </w:rPr>
        <w:t xml:space="preserve"> Nell'opera dedicata la formula «piano 1» ricorre trentasette volte, «piano 2» venti, «piano 3» dieci. È una misura del lessico e non dei ponti: la frequenza con cui un testo nomina il piano più alto non dice quanti rapporti diretti abbia stabilito. Il conteggio dei ponti effettivi verso il caso resta quello che il corpus registra da sempre, cioè nessuno. La statistica lessicale non promuove alcun grado.</w:t>
      </w:r>
    </w:p>
    <w:p>
      <w:pPr>
        <w:spacing w:after="120" w:line="276"/>
        <w:jc w:val="both"/>
      </w:pPr>
      <w:r>
        <w:rPr>
          <w:rFonts w:ascii="Barlow Semi Condensed" w:cs="Barlow Semi Condensed" w:eastAsia="Barlow Semi Condensed" w:hAnsi="Barlow Semi Condensed"/>
          <w:b/>
          <w:bCs/>
          <w:sz w:val="24"/>
          <w:szCs w:val="24"/>
        </w:rPr>
        <w:t xml:space="preserve">4528 · Che cosa smentirebbe l'assenza dalla rete.</w:t>
      </w:r>
      <w:r>
        <w:rPr>
          <w:rFonts w:ascii="Barlow Semi Condensed" w:cs="Barlow Semi Condensed" w:eastAsia="Barlow Semi Condensed" w:hAnsi="Barlow Semi Condensed"/>
          <w:sz w:val="24"/>
          <w:szCs w:val="24"/>
        </w:rPr>
        <w:t xml:space="preserve"> Bersaglio di smentita, formulato per intero. L'affermazione che questo nome non appartiene alla rete documentata cadrebbe davanti a un solo oggetto: un documento a segnatura che leghi il nodo a un altro nodo censito, con data, protocollo e sede, e con il grado dell'arco dichiarato. Non basta una citazione, non basta una convergenza di cornice, non basta una testimonianza de relato. Serve un arco gradabile.</w:t>
      </w:r>
    </w:p>
    <w:p>
      <w:pPr>
        <w:spacing w:after="120" w:line="276"/>
        <w:jc w:val="both"/>
      </w:pPr>
      <w:r>
        <w:rPr>
          <w:rFonts w:ascii="Barlow Semi Condensed" w:cs="Barlow Semi Condensed" w:eastAsia="Barlow Semi Condensed" w:hAnsi="Barlow Semi Condensed"/>
          <w:b/>
          <w:bCs/>
          <w:sz w:val="24"/>
          <w:szCs w:val="24"/>
        </w:rPr>
        <w:t xml:space="preserve">4529 · Numeri uguali non sono numeri imparentati.</w:t>
      </w:r>
      <w:r>
        <w:rPr>
          <w:rFonts w:ascii="Barlow Semi Condensed" w:cs="Barlow Semi Condensed" w:eastAsia="Barlow Semi Condensed" w:hAnsi="Barlow Semi Condensed"/>
          <w:sz w:val="24"/>
          <w:szCs w:val="24"/>
        </w:rPr>
        <w:t xml:space="preserve"> La distinzione fra omologia e analogia si applica anche alle cifre. Due numeri identici in due tavole diverse non hanno per ciò stesso un'origine comune, come due strutture simili non hanno per ciò stesso un antenato comune. Il test è il medesimo: si risale alla procedura che li ha prodotti. Chi accosta cifre uguali senza risalire alle procedure costruisce coincidenze e le chiama corrispondenze.</w:t>
      </w:r>
    </w:p>
    <w:p>
      <w:pPr>
        <w:spacing w:after="120" w:line="276"/>
        <w:jc w:val="both"/>
      </w:pPr>
      <w:r>
        <w:rPr>
          <w:rFonts w:ascii="Barlow Semi Condensed" w:cs="Barlow Semi Condensed" w:eastAsia="Barlow Semi Condensed" w:hAnsi="Barlow Semi Condensed"/>
          <w:b/>
          <w:bCs/>
          <w:sz w:val="24"/>
          <w:szCs w:val="24"/>
        </w:rPr>
        <w:t xml:space="preserve">4530 · I due trentanove del corpus.</w:t>
      </w:r>
      <w:r>
        <w:rPr>
          <w:rFonts w:ascii="Barlow Semi Condensed" w:cs="Barlow Semi Condensed" w:eastAsia="Barlow Semi Condensed" w:hAnsi="Barlow Semi Condensed"/>
          <w:sz w:val="24"/>
          <w:szCs w:val="24"/>
        </w:rPr>
        <w:t xml:space="preserve"> Il caso è nel corpus e vale come esercizio. Il documento di metodo conta trentanove nodi nel grafo; GUIDA-ALLA-LETTURA.md e INDICE-DOCUMENTI-BRANCH.md attribuiscono a triangolazioni-guevara-moro.md una verifica sistematica in trentanove nodi. Sono insiemi diversi: i secondi sono i dieci nodi della triangolazione interna, documento contro documento, e i ventinove della triangolazione esterna. Stesso numero, oggetti distinti, nessuna parentela.</w:t>
      </w:r>
    </w:p>
    <w:p>
      <w:pPr>
        <w:spacing w:after="120" w:line="276"/>
        <w:jc w:val="both"/>
      </w:pPr>
      <w:r>
        <w:rPr>
          <w:rFonts w:ascii="Barlow Semi Condensed" w:cs="Barlow Semi Condensed" w:eastAsia="Barlow Semi Condensed" w:hAnsi="Barlow Semi Condensed"/>
          <w:b/>
          <w:bCs/>
          <w:sz w:val="24"/>
          <w:szCs w:val="24"/>
        </w:rPr>
        <w:t xml:space="preserve">4531 · M-5 sta fuori da entrambi.</w:t>
      </w:r>
      <w:r>
        <w:rPr>
          <w:rFonts w:ascii="Barlow Semi Condensed" w:cs="Barlow Semi Condensed" w:eastAsia="Barlow Semi Condensed" w:hAnsi="Barlow Semi Condensed"/>
          <w:sz w:val="24"/>
          <w:szCs w:val="24"/>
        </w:rPr>
        <w:t xml:space="preserve"> Conseguenza diretta, e riguarda proprio questo nome. Il solo nodo del corpus in cui esso compare è M-5, «L'ombra statunitense su entrambe le morti», che appartiene alla matrice comparativa Guevara-Moro e non ai trentanove nodi di verifica; e non compare fra i trentanove nodi del grafo. Il nome più esposto alla combinatoria abita l'unico nodo che nessuna delle due numerazioni conta.</w:t>
      </w:r>
    </w:p>
    <w:p>
      <w:pPr>
        <w:spacing w:after="120" w:line="276"/>
        <w:jc w:val="both"/>
      </w:pPr>
      <w:r>
        <w:rPr>
          <w:rFonts w:ascii="Barlow Semi Condensed" w:cs="Barlow Semi Condensed" w:eastAsia="Barlow Semi Condensed" w:hAnsi="Barlow Semi Condensed"/>
          <w:b/>
          <w:bCs/>
          <w:sz w:val="24"/>
          <w:szCs w:val="24"/>
        </w:rPr>
        <w:t xml:space="preserve">4532 · Graduare la sinapsi, non il neurone.</w:t>
      </w:r>
      <w:r>
        <w:rPr>
          <w:rFonts w:ascii="Barlow Semi Condensed" w:cs="Barlow Semi Condensed" w:eastAsia="Barlow Semi Condensed" w:hAnsi="Barlow Semi Condensed"/>
          <w:sz w:val="24"/>
          <w:szCs w:val="24"/>
        </w:rPr>
        <w:t xml:space="preserve"> Per portare M-5 dentro una figura di rete occorre gradare i suoi archi e non il nodo: la presenza dell'agente a La Higuera nel 1967, documentata dagli archivi statunitensi declassificati nel 1997; la testimonianza contestata del 1982; la presenza del consulente nel comitato di crisi. Tre archi, tre gradi diversi, e il cammino varrebbe il minimo dei tre. È il bersaglio operativo che chiude la lacuna precedente.</w:t>
      </w:r>
    </w:p>
    <w:p>
      <w:pPr>
        <w:spacing w:after="120" w:line="276"/>
        <w:jc w:val="both"/>
      </w:pPr>
      <w:r>
        <w:rPr>
          <w:rFonts w:ascii="Barlow Semi Condensed" w:cs="Barlow Semi Condensed" w:eastAsia="Barlow Semi Condensed" w:hAnsi="Barlow Semi Condensed"/>
          <w:b/>
          <w:bCs/>
          <w:sz w:val="24"/>
          <w:szCs w:val="24"/>
        </w:rPr>
        <w:t xml:space="preserve">4533 · Ottantasette bossoli su novantuno.</w:t>
      </w:r>
      <w:r>
        <w:rPr>
          <w:rFonts w:ascii="Barlow Semi Condensed" w:cs="Barlow Semi Condensed" w:eastAsia="Barlow Semi Condensed" w:hAnsi="Barlow Semi Condensed"/>
          <w:sz w:val="24"/>
          <w:szCs w:val="24"/>
        </w:rPr>
        <w:t xml:space="preserve"> Ecco che cosa il corpus sa contare per davvero. Sul selciato di via Fani furono repertati novantuno bossoli; la ripartizione peritale storica ne attribuisce quarantanove a un'arma, ventidue a una seconda, cinque, tre e otto alle restanti. La somma fa ottantasette. Il residuo di quattro è il quesito b della scheda PN-1 in approfondimento-piste-di-testa.md, e si chiude con una perizia, non con un'interpretazione.</w:t>
      </w:r>
    </w:p>
    <w:p>
      <w:pPr>
        <w:spacing w:after="120" w:line="276"/>
        <w:jc w:val="both"/>
      </w:pPr>
      <w:r>
        <w:rPr>
          <w:rFonts w:ascii="Barlow Semi Condensed" w:cs="Barlow Semi Condensed" w:eastAsia="Barlow Semi Condensed" w:hAnsi="Barlow Semi Condensed"/>
          <w:b/>
          <w:bCs/>
          <w:sz w:val="24"/>
          <w:szCs w:val="24"/>
        </w:rPr>
        <w:t xml:space="preserve">4534 · Il numero che non tocca questo nome.</w:t>
      </w:r>
      <w:r>
        <w:rPr>
          <w:rFonts w:ascii="Barlow Semi Condensed" w:cs="Barlow Semi Condensed" w:eastAsia="Barlow Semi Condensed" w:hAnsi="Barlow Semi Condensed"/>
          <w:sz w:val="24"/>
          <w:szCs w:val="24"/>
        </w:rPr>
        <w:t xml:space="preserve"> Il rilievo è pertinente proprio perché negativo. La sola domanda numerica del caso che una perizia possa chiudere in modo dirimente, cioè il residuo balistico di via Fani, non ha alcun rapporto con il nome triangolato e non ne acquisterebbe qualunque fosse l'esito. Un tiratore non attribuito resterebbe non attribuito. Si registra perché la tentazione opposta è documentata nella pubblicistica del superkiller.</w:t>
      </w:r>
    </w:p>
    <w:p>
      <w:pPr>
        <w:spacing w:after="120" w:line="276"/>
        <w:jc w:val="both"/>
      </w:pPr>
      <w:r>
        <w:rPr>
          <w:rFonts w:ascii="Barlow Semi Condensed" w:cs="Barlow Semi Condensed" w:eastAsia="Barlow Semi Condensed" w:hAnsi="Barlow Semi Condensed"/>
          <w:b/>
          <w:bCs/>
          <w:sz w:val="24"/>
          <w:szCs w:val="24"/>
        </w:rPr>
        <w:t xml:space="preserve">4535 · La graduatoria delle piste.</w:t>
      </w:r>
      <w:r>
        <w:rPr>
          <w:rFonts w:ascii="Barlow Semi Condensed" w:cs="Barlow Semi Condensed" w:eastAsia="Barlow Semi Condensed" w:hAnsi="Barlow Semi Condensed"/>
          <w:sz w:val="24"/>
          <w:szCs w:val="24"/>
        </w:rPr>
        <w:t xml:space="preserve"> Il programma investigativo gradua le piste con punteggi: PN-1 a 89,0, PN-7 a 77,5, PN-4 a 74,5, PN-2 a 71,0. Sono le quattro di testa, approfondite in schede da cold case. Nessuna è internazionale, e la Nota di revisione n. 1 osserva che la testa della graduatoria non cambia ma cambia in meglio la ragione per cui è quella: la balistica, non la testimonianza.</w:t>
      </w:r>
    </w:p>
    <w:p>
      <w:pPr>
        <w:spacing w:after="120" w:line="276"/>
        <w:jc w:val="both"/>
      </w:pPr>
      <w:r>
        <w:rPr>
          <w:rFonts w:ascii="Barlow Semi Condensed" w:cs="Barlow Semi Condensed" w:eastAsia="Barlow Semi Condensed" w:hAnsi="Barlow Semi Condensed"/>
          <w:b/>
          <w:bCs/>
          <w:sz w:val="24"/>
          <w:szCs w:val="24"/>
        </w:rPr>
        <w:t xml:space="preserve">4536 · Con quali criteri entrerebbe una pista estera.</w:t>
      </w:r>
      <w:r>
        <w:rPr>
          <w:rFonts w:ascii="Barlow Semi Condensed" w:cs="Barlow Semi Condensed" w:eastAsia="Barlow Semi Condensed" w:hAnsi="Barlow Semi Condensed"/>
          <w:sz w:val="24"/>
          <w:szCs w:val="24"/>
        </w:rPr>
        <w:t xml:space="preserve"> Quesito di metodo, da porre prima di ogni punteggio. Una pista internazionale entrerebbe in graduatoria solo se punteggiabile con gli stessi criteri delle altre: giacimento identificato, sede accessibile, atto istruttorio possibile, criterio di chiusura dichiarato. Allo stato il primo criterio è soddisfatto, perché i fondi americani esistono e sono nominati, e il terzo non lo è. Il punteggio risulterebbe basso, e sarebbe onesto.</w:t>
      </w:r>
    </w:p>
    <w:p>
      <w:pPr>
        <w:spacing w:after="120" w:line="276"/>
        <w:jc w:val="both"/>
      </w:pPr>
      <w:r>
        <w:rPr>
          <w:rFonts w:ascii="Barlow Semi Condensed" w:cs="Barlow Semi Condensed" w:eastAsia="Barlow Semi Condensed" w:hAnsi="Barlow Semi Condensed"/>
          <w:b/>
          <w:bCs/>
          <w:sz w:val="24"/>
          <w:szCs w:val="24"/>
        </w:rPr>
        <w:t xml:space="preserve">4537 · Il divieto di percentuali di responsabilità.</w:t>
      </w:r>
      <w:r>
        <w:rPr>
          <w:rFonts w:ascii="Barlow Semi Condensed" w:cs="Barlow Semi Condensed" w:eastAsia="Barlow Semi Condensed" w:hAnsi="Barlow Semi Condensed"/>
          <w:sz w:val="24"/>
          <w:szCs w:val="24"/>
        </w:rPr>
        <w:t xml:space="preserve"> Il sesto-bis lo dice con la massima nettezza e va riportato applicato: le uniche percentuali oneste sono quote di centralità nella documentazione e quote di grado. Una ripartizione percentuale di responsabilità fra soggetti non-BR si costruirebbe su un comparto che non contiene alcun arco di giudicato. Su questo nome la conseguenza è ulteriore, perché non essendovi arco alcuno non esiste nemmeno il comparto su cui costruirla.</w:t>
      </w:r>
    </w:p>
    <w:p>
      <w:pPr>
        <w:spacing w:after="120" w:line="276"/>
        <w:jc w:val="both"/>
      </w:pPr>
      <w:r>
        <w:rPr>
          <w:rFonts w:ascii="Barlow Semi Condensed" w:cs="Barlow Semi Condensed" w:eastAsia="Barlow Semi Condensed" w:hAnsi="Barlow Semi Condensed"/>
          <w:b/>
          <w:bCs/>
          <w:sz w:val="24"/>
          <w:szCs w:val="24"/>
        </w:rPr>
        <w:t xml:space="preserve">4538 · La consilienza non è una somma.</w:t>
      </w:r>
      <w:r>
        <w:rPr>
          <w:rFonts w:ascii="Barlow Semi Condensed" w:cs="Barlow Semi Condensed" w:eastAsia="Barlow Semi Condensed" w:hAnsi="Barlow Semi Condensed"/>
          <w:sz w:val="24"/>
          <w:szCs w:val="24"/>
        </w:rPr>
        <w:t xml:space="preserve"> Il guardrail del paragrafo quinto governa ogni conteggio di convergenze: la convergenza rafforza solo fra linee davvero indipendenti, e mai oltre il grado della linea più debole. Sull'episodio riferito le linee non sono indipendenti, perché risalgono a un unico lancio d'agenzia, e la più debole è una testimonianza de relato. Sommarle non produce rafforzamento: produce l'apparenza di un rafforzamento, che è cosa diversa.</w:t>
      </w:r>
    </w:p>
    <w:p>
      <w:pPr>
        <w:spacing w:after="120" w:line="276"/>
        <w:jc w:val="both"/>
      </w:pPr>
      <w:r>
        <w:rPr>
          <w:rFonts w:ascii="Barlow Semi Condensed" w:cs="Barlow Semi Condensed" w:eastAsia="Barlow Semi Condensed" w:hAnsi="Barlow Semi Condensed"/>
          <w:b/>
          <w:bCs/>
          <w:sz w:val="24"/>
          <w:szCs w:val="24"/>
        </w:rPr>
        <w:t xml:space="preserve">4539 · Le anti-triangolazioni salgono a trentaquattro.</w:t>
      </w:r>
      <w:r>
        <w:rPr>
          <w:rFonts w:ascii="Barlow Semi Condensed" w:cs="Barlow Semi Condensed" w:eastAsia="Barlow Semi Condensed" w:hAnsi="Barlow Semi Condensed"/>
          <w:sz w:val="24"/>
          <w:szCs w:val="24"/>
        </w:rPr>
        <w:t xml:space="preserve"> Ventinove ne censiva l'auto-misurazione; il ricalcolo di oggi ne dà trentaquattro nei markdown. Sono i punti in cui una falsa consilienza è stata smontata, e il corpus le conta come prodotto e non come scarto. Questa serie ne aggiunge di proprie: la coincidenza dei due trentanove, la somma delle ripetizioni d'agenzia, il volume di testo letto come peso probatorio. Nessuna di esse costituisce un nesso.</w:t>
      </w:r>
    </w:p>
    <w:p>
      <w:pPr>
        <w:spacing w:after="120" w:line="276"/>
        <w:jc w:val="both"/>
      </w:pPr>
      <w:r>
        <w:rPr>
          <w:rFonts w:ascii="Barlow Semi Condensed" w:cs="Barlow Semi Condensed" w:eastAsia="Barlow Semi Condensed" w:hAnsi="Barlow Semi Condensed"/>
          <w:b/>
          <w:bCs/>
          <w:sz w:val="24"/>
          <w:szCs w:val="24"/>
        </w:rPr>
        <w:t xml:space="preserve">4540 · Tredici, e non aumenta.</w:t>
      </w:r>
      <w:r>
        <w:rPr>
          <w:rFonts w:ascii="Barlow Semi Condensed" w:cs="Barlow Semi Condensed" w:eastAsia="Barlow Semi Condensed" w:hAnsi="Barlow Semi Condensed"/>
          <w:sz w:val="24"/>
          <w:szCs w:val="24"/>
        </w:rPr>
        <w:t xml:space="preserve"> Il registro nominativo della Fase decima conta tredici responsabilità individuali accertate in giudicato, ciascuna con la propria condotta. Il numero non cresce per aritmetica, per convergenza o per volume d'indagine: cresce solo per sentenza. È il vincolo che rende innocua ogni statistica di questa serie, e il motivo per cui un'opera di mille blocchi su un nome non ha aggiunto e non aggiungerà quel nome ad alcun elenco.</w:t>
      </w:r>
    </w:p>
    <w:p>
      <w:pPr>
        <w:spacing w:after="120" w:line="276"/>
        <w:jc w:val="both"/>
      </w:pPr>
      <w:r>
        <w:rPr>
          <w:rFonts w:ascii="Barlow Semi Condensed" w:cs="Barlow Semi Condensed" w:eastAsia="Barlow Semi Condensed" w:hAnsi="Barlow Semi Condensed"/>
          <w:b/>
          <w:bCs/>
          <w:sz w:val="24"/>
          <w:szCs w:val="24"/>
        </w:rPr>
        <w:t xml:space="preserve">4541 · Il nodo calamita, in cifre.</w:t>
      </w:r>
      <w:r>
        <w:rPr>
          <w:rFonts w:ascii="Barlow Semi Condensed" w:cs="Barlow Semi Condensed" w:eastAsia="Barlow Semi Condensed" w:hAnsi="Barlow Semi Condensed"/>
          <w:sz w:val="24"/>
          <w:szCs w:val="24"/>
        </w:rPr>
        <w:t xml:space="preserve"> Il blocco 55 nomina l'effetto: nelle reti costruite a mano i nodi molto noti attraggono archi disegnati per plausibilità. Tradotto in numeri, il rischio è misurabile in anticipo. Ammettendo archi di sola cornice, questo nodo ne raccoglierebbe decine, fra Cile, Portogallo, Grecia, Turchia ed Helsinki, e diventerebbe per costruzione il più centrale della rete. Il risultato misurerebbe la procedura di disegno, non il mondo.</w:t>
      </w:r>
    </w:p>
    <w:p>
      <w:pPr>
        <w:spacing w:after="120" w:line="276"/>
        <w:jc w:val="both"/>
      </w:pPr>
      <w:r>
        <w:rPr>
          <w:rFonts w:ascii="Barlow Semi Condensed" w:cs="Barlow Semi Condensed" w:eastAsia="Barlow Semi Condensed" w:hAnsi="Barlow Semi Condensed"/>
          <w:b/>
          <w:bCs/>
          <w:sz w:val="24"/>
          <w:szCs w:val="24"/>
        </w:rPr>
        <w:t xml:space="preserve">4542 · L'onere grava su chi propone.</w:t>
      </w:r>
      <w:r>
        <w:rPr>
          <w:rFonts w:ascii="Barlow Semi Condensed" w:cs="Barlow Semi Condensed" w:eastAsia="Barlow Semi Condensed" w:hAnsi="Barlow Semi Condensed"/>
          <w:sz w:val="24"/>
          <w:szCs w:val="24"/>
        </w:rPr>
        <w:t xml:space="preserve"> Va fissata una procedura prima di ogni calcolo futuro. Ogni arco che tocchi questo nodo entra nella rete solo con documento a segnatura, e l'onere di produrlo grava su chi propone l'arco, mai su chi lo contesta. Non è severità verso un nome: è l'unico modo perché una betweenness calcolata su quella rete continui a misurare documenti. Invertire l'onere converte la rete in un'illustrazione.</w:t>
      </w:r>
    </w:p>
    <w:p>
      <w:pPr>
        <w:spacing w:after="120" w:line="276"/>
        <w:jc w:val="both"/>
      </w:pPr>
      <w:r>
        <w:rPr>
          <w:rFonts w:ascii="Barlow Semi Condensed" w:cs="Barlow Semi Condensed" w:eastAsia="Barlow Semi Condensed" w:hAnsi="Barlow Semi Condensed"/>
          <w:b/>
          <w:bCs/>
          <w:sz w:val="24"/>
          <w:szCs w:val="24"/>
        </w:rPr>
        <w:t xml:space="preserve">4543 · Pubblicare la lista degli archi.</w:t>
      </w:r>
      <w:r>
        <w:rPr>
          <w:rFonts w:ascii="Barlow Semi Condensed" w:cs="Barlow Semi Condensed" w:eastAsia="Barlow Semi Condensed" w:hAnsi="Barlow Semi Condensed"/>
          <w:sz w:val="24"/>
          <w:szCs w:val="24"/>
        </w:rPr>
        <w:t xml:space="preserve"> La lacuna più utile che questa serie possa segnalare è interna. Il documento di metodo dichiara di aver calcolato su trentanove nodi e cinquantanove archi, ma non stampa l'elenco degli archi con i loro gradi e le loro segnature. Senza quell'elenco le centralità non sono ricontrollabili da nessuno. La sede che la chiude è il branch stesso: un file di archi versionato accanto al documento.</w:t>
      </w:r>
    </w:p>
    <w:p>
      <w:pPr>
        <w:spacing w:after="120" w:line="276"/>
        <w:jc w:val="both"/>
      </w:pPr>
      <w:r>
        <w:rPr>
          <w:rFonts w:ascii="Barlow Semi Condensed" w:cs="Barlow Semi Condensed" w:eastAsia="Barlow Semi Condensed" w:hAnsi="Barlow Semi Condensed"/>
          <w:b/>
          <w:bCs/>
          <w:sz w:val="24"/>
          <w:szCs w:val="24"/>
        </w:rPr>
        <w:t xml:space="preserve">4544 · Le sedi americane, per nome.</w:t>
      </w:r>
      <w:r>
        <w:rPr>
          <w:rFonts w:ascii="Barlow Semi Condensed" w:cs="Barlow Semi Condensed" w:eastAsia="Barlow Semi Condensed" w:hAnsi="Barlow Semi Condensed"/>
          <w:sz w:val="24"/>
          <w:szCs w:val="24"/>
        </w:rPr>
        <w:t xml:space="preserve"> Uno Stato Zero si scrive con la sede che lo chiuderebbe, e le sedi americane hanno un nome: National Archives di College Park, Record Group 59 del Dipartimento di Stato; Nixon Presidential Materials, NSC Files, Country Files Italy; Gerald R. Ford Presidential Library, National Security Adviser's Memoranda of Conversation, dove stanno il file 1552802 del 25 settembre 1974 e il 1552806 del giorno successivo.</w:t>
      </w:r>
    </w:p>
    <w:p>
      <w:pPr>
        <w:spacing w:after="120" w:line="276"/>
        <w:jc w:val="both"/>
      </w:pPr>
      <w:r>
        <w:rPr>
          <w:rFonts w:ascii="Barlow Semi Condensed" w:cs="Barlow Semi Condensed" w:eastAsia="Barlow Semi Condensed" w:hAnsi="Barlow Semi Condensed"/>
          <w:b/>
          <w:bCs/>
          <w:sz w:val="24"/>
          <w:szCs w:val="24"/>
        </w:rPr>
        <w:t xml:space="preserve">4545 · Le sedi italiane, per nome.</w:t>
      </w:r>
      <w:r>
        <w:rPr>
          <w:rFonts w:ascii="Barlow Semi Condensed" w:cs="Barlow Semi Condensed" w:eastAsia="Barlow Semi Condensed" w:hAnsi="Barlow Semi Condensed"/>
          <w:sz w:val="24"/>
          <w:szCs w:val="24"/>
        </w:rPr>
        <w:t xml:space="preserve"> Sul versante italiano le sedi che chiuderebbero i conteggi aperti sono altrettanto precise: l'Archivio storico diplomatico della Farnesina, serie Affari politici; l'Archivio centrale dello Stato; i resoconti stenografici della Commissione d'inchiesta, Doc. XXIII della VIII legislatura, negli archivi storici di Camera e Senato; i verbali d'udienza della Corte d'assise di Roma per il novembre 1982. Nessuna di esse è stata letta in originale.</w:t>
      </w:r>
    </w:p>
    <w:p>
      <w:pPr>
        <w:spacing w:after="120" w:line="276"/>
        <w:jc w:val="both"/>
      </w:pPr>
      <w:r>
        <w:rPr>
          <w:rFonts w:ascii="Barlow Semi Condensed" w:cs="Barlow Semi Condensed" w:eastAsia="Barlow Semi Condensed" w:hAnsi="Barlow Semi Condensed"/>
          <w:b/>
          <w:bCs/>
          <w:sz w:val="24"/>
          <w:szCs w:val="24"/>
        </w:rPr>
        <w:t xml:space="preserve">4546 · Il limite dichiarato vale sui numeri.</w:t>
      </w:r>
      <w:r>
        <w:rPr>
          <w:rFonts w:ascii="Barlow Semi Condensed" w:cs="Barlow Semi Condensed" w:eastAsia="Barlow Semi Condensed" w:hAnsi="Barlow Semi Condensed"/>
          <w:sz w:val="24"/>
          <w:szCs w:val="24"/>
        </w:rPr>
        <w:t xml:space="preserve"> L'apparato K-5 dichiara che la campagna non ha potuto leggere i documenti primari, per blocco d'accesso, e che le date confermate poggiano su convergenza di fonti secondarie. La conseguenza per una serie di numeri è netta: ogni cifra qui riportata su date, sedi e deposizioni è di secondo grado e va riscontrata sui testi ufficiali. Il conteggio interno ai sorgenti del branch, invece, è di prima mano.</w:t>
      </w:r>
    </w:p>
    <w:p>
      <w:pPr>
        <w:spacing w:after="120" w:line="276"/>
        <w:jc w:val="both"/>
      </w:pPr>
      <w:r>
        <w:rPr>
          <w:rFonts w:ascii="Barlow Semi Condensed" w:cs="Barlow Semi Condensed" w:eastAsia="Barlow Semi Condensed" w:hAnsi="Barlow Semi Condensed"/>
          <w:b/>
          <w:bCs/>
          <w:sz w:val="24"/>
          <w:szCs w:val="24"/>
        </w:rPr>
        <w:t xml:space="preserve">4547 · La centralità misura carte.</w:t>
      </w:r>
      <w:r>
        <w:rPr>
          <w:rFonts w:ascii="Barlow Semi Condensed" w:cs="Barlow Semi Condensed" w:eastAsia="Barlow Semi Condensed" w:hAnsi="Barlow Semi Condensed"/>
          <w:sz w:val="24"/>
          <w:szCs w:val="24"/>
        </w:rPr>
        <w:t xml:space="preserve"> Va ripetuta l'unica frase che il paragrafo primo antepone a ogni figura: la centralità misura la densità della documentazione, non la responsabilità. Che le Brigate Rosse dominino il grado è ovvio, perché sono l'oggetto del giudicato; che il CPM abbia la seconda intermediazione è invece il risultato analitico. Su un nodo che non esiste nel grafo la frase ha una versione ancora più corta: non misura nulla.</w:t>
      </w:r>
    </w:p>
    <w:p>
      <w:pPr>
        <w:spacing w:after="120" w:line="276"/>
        <w:jc w:val="both"/>
      </w:pPr>
      <w:r>
        <w:rPr>
          <w:rFonts w:ascii="Barlow Semi Condensed" w:cs="Barlow Semi Condensed" w:eastAsia="Barlow Semi Condensed" w:hAnsi="Barlow Semi Condensed"/>
          <w:b/>
          <w:bCs/>
          <w:sz w:val="24"/>
          <w:szCs w:val="24"/>
        </w:rPr>
        <w:t xml:space="preserve">4548 · Che cosa falsificherebbe questa serie (serie LIX).</w:t>
      </w:r>
      <w:r>
        <w:rPr>
          <w:rFonts w:ascii="Barlow Semi Condensed" w:cs="Barlow Semi Condensed" w:eastAsia="Barlow Semi Condensed" w:hAnsi="Barlow Semi Condensed"/>
          <w:sz w:val="24"/>
          <w:szCs w:val="24"/>
        </w:rPr>
        <w:t xml:space="preserve"> La serie cade per intero se si dimostra una delle tre cose seguenti: che il documento di metodo contiene il nome e la verifica meccanica ha sbagliato perimetro; che uno dei trentanove nodi corrisponde, sotto altra denominazione, a questo nodo; che uno dei diciassette archi non-BR ha per estremo un soggetto statunitense. Le tre verifiche si eseguono sui sorgenti del branch in pochi minuti, e vanno eseguite.</w:t>
      </w:r>
    </w:p>
    <w:p>
      <w:pPr>
        <w:spacing w:after="120" w:line="276"/>
        <w:jc w:val="both"/>
      </w:pPr>
      <w:r>
        <w:rPr>
          <w:rFonts w:ascii="Barlow Semi Condensed" w:cs="Barlow Semi Condensed" w:eastAsia="Barlow Semi Condensed" w:hAnsi="Barlow Semi Condensed"/>
          <w:b/>
          <w:bCs/>
          <w:sz w:val="24"/>
          <w:szCs w:val="24"/>
        </w:rPr>
        <w:t xml:space="preserve">4549 · Che cosa si è contato.</w:t>
      </w:r>
      <w:r>
        <w:rPr>
          <w:rFonts w:ascii="Barlow Semi Condensed" w:cs="Barlow Semi Condensed" w:eastAsia="Barlow Semi Condensed" w:hAnsi="Barlow Semi Condensed"/>
          <w:sz w:val="24"/>
          <w:szCs w:val="24"/>
        </w:rPr>
        <w:t xml:space="preserve"> Bilancio, senza arrotondamenti. Si sono contate le occorrenze del nome dentro e fuori l'opera dedicata, i nodi e gli archi della rete con la loro ripartizione per grado, le somme delle colonne del sesto-bis, i giorni di doppio incarico, le date divergenti dell'episodio riferito, le marcature di disciplina e la loro dipendenza dal lemma. Nessuno di questi conteggi ha prodotto un ponte, e non poteva.</w:t>
      </w:r>
    </w:p>
    <w:p>
      <w:pPr>
        <w:spacing w:after="120" w:line="276"/>
        <w:jc w:val="both"/>
      </w:pPr>
      <w:r>
        <w:rPr>
          <w:rFonts w:ascii="Barlow Semi Condensed" w:cs="Barlow Semi Condensed" w:eastAsia="Barlow Semi Condensed" w:hAnsi="Barlow Semi Condensed"/>
          <w:b/>
          <w:bCs/>
          <w:sz w:val="24"/>
          <w:szCs w:val="24"/>
        </w:rPr>
        <w:t xml:space="preserve">4550 · Lo zero che vale di più.</w:t>
      </w:r>
      <w:r>
        <w:rPr>
          <w:rFonts w:ascii="Barlow Semi Condensed" w:cs="Barlow Semi Condensed" w:eastAsia="Barlow Semi Condensed" w:hAnsi="Barlow Semi Condensed"/>
          <w:sz w:val="24"/>
          <w:szCs w:val="24"/>
        </w:rPr>
        <w:t xml:space="preserve"> Fra tutte le cifre di questa serie una sola è decisiva, e non è grande: le zero occorrenze del nome nel documento che il corpus dedica ai propri numeri. Non è una reticenza e non è un indizio. È la forma esatta in cui un corpus dichiara che, su questo nome, non ha ancora un arco da misurare. Il giorno in cui l'avrà, sarà il documento a parlare.</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Serie sessantesima — Le lingue, le traduzioni, gli interpreti</w:t>
      </w:r>
    </w:p>
    <w:p>
      <w:pPr>
        <w:spacing w:after="120" w:line="276"/>
        <w:jc w:val="both"/>
      </w:pPr>
      <w:r>
        <w:rPr>
          <w:rFonts w:ascii="Barlow Semi Condensed" w:cs="Barlow Semi Condensed" w:eastAsia="Barlow Semi Condensed" w:hAnsi="Barlow Semi Condensed"/>
          <w:i/>
          <w:iCs/>
          <w:sz w:val="24"/>
          <w:szCs w:val="24"/>
        </w:rPr>
        <w:t xml:space="preserve">Blocchi 4551-4620.</w:t>
      </w:r>
    </w:p>
    <w:p>
      <w:pPr>
        <w:spacing w:after="120" w:line="276"/>
        <w:jc w:val="both"/>
      </w:pPr>
      <w:r>
        <w:rPr>
          <w:rFonts w:ascii="Barlow Semi Condensed" w:cs="Barlow Semi Condensed" w:eastAsia="Barlow Semi Condensed" w:hAnsi="Barlow Semi Condensed"/>
          <w:b/>
          <w:bCs/>
          <w:sz w:val="24"/>
          <w:szCs w:val="24"/>
        </w:rPr>
        <w:t xml:space="preserve">4551 · La serie terza è senza accenti.</w:t>
      </w:r>
      <w:r>
        <w:rPr>
          <w:rFonts w:ascii="Barlow Semi Condensed" w:cs="Barlow Semi Condensed" w:eastAsia="Barlow Semi Condensed" w:hAnsi="Barlow Semi Condensed"/>
          <w:sz w:val="24"/>
          <w:szCs w:val="24"/>
        </w:rPr>
        <w:t xml:space="preserve"> Accertamento eseguito sul file kissinger-mille-blocchi-il-codice-e-la-sua-trasmissione.md, grado A perché rifacibile da chiunque con una ricerca meccanica: nell'intera Serie terza, «L'ereditarietà dottrinale», blocchi 136-199, i diacritici italiani cadono. Si legge «e» per «è», «piu», «perche», «cio», «puo», «realta». Nessuna delle altre dodici serie presenta il fenomeno. È mutazione di trascrizione interna al corpus, non variante d'autore, e va verbalizzata prima di essere corretta.</w:t>
      </w:r>
    </w:p>
    <w:p>
      <w:pPr>
        <w:spacing w:after="120" w:line="276"/>
        <w:jc w:val="both"/>
      </w:pPr>
      <w:r>
        <w:rPr>
          <w:rFonts w:ascii="Barlow Semi Condensed" w:cs="Barlow Semi Condensed" w:eastAsia="Barlow Semi Condensed" w:hAnsi="Barlow Semi Condensed"/>
          <w:b/>
          <w:bCs/>
          <w:sz w:val="24"/>
          <w:szCs w:val="24"/>
        </w:rPr>
        <w:t xml:space="preserve">4552 · Fürth e Fuerth nello stesso volume.</w:t>
      </w:r>
      <w:r>
        <w:rPr>
          <w:rFonts w:ascii="Barlow Semi Condensed" w:cs="Barlow Semi Condensed" w:eastAsia="Barlow Semi Condensed" w:hAnsi="Barlow Semi Condensed"/>
          <w:sz w:val="24"/>
          <w:szCs w:val="24"/>
        </w:rPr>
        <w:t xml:space="preserve"> La medesima opera scrive due volte in modo diverso il luogo di nascita. «Fürth» ai blocchi 2, 63, 209, 430, 558 e 764 e nell'Apparato K; «Fuerth», con la digrafia che sostituisce l'umlaut, ai blocchi 141 e 297. Il dato anagrafico non muta: muta il codice grafico che lo trasporta. Si registra come divergenza interna, si adotta la forma dell'Office of the Historian, non si riscrive in silenzio.</w:t>
      </w:r>
    </w:p>
    <w:p>
      <w:pPr>
        <w:spacing w:after="120" w:line="276"/>
        <w:jc w:val="both"/>
      </w:pPr>
      <w:r>
        <w:rPr>
          <w:rFonts w:ascii="Barlow Semi Condensed" w:cs="Barlow Semi Condensed" w:eastAsia="Barlow Semi Condensed" w:hAnsi="Barlow Semi Condensed"/>
          <w:b/>
          <w:bCs/>
          <w:sz w:val="24"/>
          <w:szCs w:val="24"/>
        </w:rPr>
        <w:t xml:space="preserve">4553 · Due mutazioni, due distribuzioni diverse.</w:t>
      </w:r>
      <w:r>
        <w:rPr>
          <w:rFonts w:ascii="Barlow Semi Condensed" w:cs="Barlow Semi Condensed" w:eastAsia="Barlow Semi Condensed" w:hAnsi="Barlow Semi Condensed"/>
          <w:sz w:val="24"/>
          <w:szCs w:val="24"/>
        </w:rPr>
        <w:t xml:space="preserve"> Il confronto fra le due anomalie è esso stesso una prova. La caduta dei diacritici si arresta al confine della Serie terza; la grafia «Fuerth» lo oltrepassa e riappare al blocco 297, dentro la Serie quarta. Distribuzioni diverse implicano atti generativi diversi: non una svista sola, ma due. È l'errore separativo enunciato al blocco 149, applicato per la prima volta al corpus che lo enuncia.</w:t>
      </w:r>
    </w:p>
    <w:p>
      <w:pPr>
        <w:spacing w:after="120" w:line="276"/>
        <w:jc w:val="both"/>
      </w:pPr>
      <w:r>
        <w:rPr>
          <w:rFonts w:ascii="Barlow Semi Condensed" w:cs="Barlow Semi Condensed" w:eastAsia="Barlow Semi Condensed" w:hAnsi="Barlow Semi Condensed"/>
          <w:b/>
          <w:bCs/>
          <w:sz w:val="24"/>
          <w:szCs w:val="24"/>
        </w:rPr>
        <w:t xml:space="preserve">4554 · Il registro delle revisioni come sede.</w:t>
      </w:r>
      <w:r>
        <w:rPr>
          <w:rFonts w:ascii="Barlow Semi Condensed" w:cs="Barlow Semi Condensed" w:eastAsia="Barlow Semi Condensed" w:hAnsi="Barlow Semi Condensed"/>
          <w:sz w:val="24"/>
          <w:szCs w:val="24"/>
        </w:rPr>
        <w:t xml:space="preserve"> La sede che chiuderebbe l'accertamento non è una biblioteca ma il registro delle revisioni del deposito: il comando che mostra ogni stesura del file con la sua data. Se la perdita degli accenti risale a un'unica scrittura, il registro lo dirà in un minuto; se attraversa più revisioni, la spiegazione è un'altra e va cercata altrove. Nessuna congettura sull'origine finché quel registro non è letto.</w:t>
      </w:r>
    </w:p>
    <w:p>
      <w:pPr>
        <w:spacing w:after="120" w:line="276"/>
        <w:jc w:val="both"/>
      </w:pPr>
      <w:r>
        <w:rPr>
          <w:rFonts w:ascii="Barlow Semi Condensed" w:cs="Barlow Semi Condensed" w:eastAsia="Barlow Semi Condensed" w:hAnsi="Barlow Semi Condensed"/>
          <w:b/>
          <w:bCs/>
          <w:sz w:val="24"/>
          <w:szCs w:val="24"/>
        </w:rPr>
        <w:t xml:space="preserve">4555 · Il volume rilegato va collazionato.</w:t>
      </w:r>
      <w:r>
        <w:rPr>
          <w:rFonts w:ascii="Barlow Semi Condensed" w:cs="Barlow Semi Condensed" w:eastAsia="Barlow Semi Condensed" w:hAnsi="Barlow Semi Condensed"/>
          <w:sz w:val="24"/>
          <w:szCs w:val="24"/>
        </w:rPr>
        <w:t xml:space="preserve"> Bersaglio operativo mai battuto: verificare se IL_CODICE_E_LA_SUA_TRASMISSIONE_KISSINGER_MILLE_BLOCCHI.docx e il suo PDF riproducano la Serie terza priva di accenti oppure la restituiscano normalizzata dal motore di composizione. Le due ipotesi hanno conseguenze opposte sulla tradizione del testo: nella prima l'errore si eredita nel derivato, nella seconda il derivato corregge l'antigrafo e i due testimoni divergono. Si collaziona riga contro pagina.</w:t>
      </w:r>
    </w:p>
    <w:p>
      <w:pPr>
        <w:spacing w:after="120" w:line="276"/>
        <w:jc w:val="both"/>
      </w:pPr>
      <w:r>
        <w:rPr>
          <w:rFonts w:ascii="Barlow Semi Condensed" w:cs="Barlow Semi Condensed" w:eastAsia="Barlow Semi Condensed" w:hAnsi="Barlow Semi Condensed"/>
          <w:b/>
          <w:bCs/>
          <w:sz w:val="24"/>
          <w:szCs w:val="24"/>
        </w:rPr>
        <w:t xml:space="preserve">4556 · Harry, l'errore entrato dalla richiesta.</w:t>
      </w:r>
      <w:r>
        <w:rPr>
          <w:rFonts w:ascii="Barlow Semi Condensed" w:cs="Barlow Semi Condensed" w:eastAsia="Barlow Semi Condensed" w:hAnsi="Barlow Semi Condensed"/>
          <w:sz w:val="24"/>
          <w:szCs w:val="24"/>
        </w:rPr>
        <w:t xml:space="preserve"> Il frontespizio dell'opera registra che la richiesta del committente scriveva «Harry». La correzione per nota è già un caso documentato di trasmissione imprecisa, e il blocco 8 ne fornisce la verifica meccanica: nel branch pubblico la stringa «Harry» ricorre una sola volta, e riguarda il ricercatore Harry Cason, citato nella ricognizione portoghese per un contenzioso FOIA del 2009-2011. Un omonimo non è un ponte.</w:t>
      </w:r>
    </w:p>
    <w:p>
      <w:pPr>
        <w:spacing w:after="120" w:line="276"/>
        <w:jc w:val="both"/>
      </w:pPr>
      <w:r>
        <w:rPr>
          <w:rFonts w:ascii="Barlow Semi Condensed" w:cs="Barlow Semi Condensed" w:eastAsia="Barlow Semi Condensed" w:hAnsi="Barlow Semi Condensed"/>
          <w:b/>
          <w:bCs/>
          <w:sz w:val="24"/>
          <w:szCs w:val="24"/>
        </w:rPr>
        <w:t xml:space="preserve">4557 · La parentesi dell'Office of the Historian.</w:t>
      </w:r>
      <w:r>
        <w:rPr>
          <w:rFonts w:ascii="Barlow Semi Condensed" w:cs="Barlow Semi Condensed" w:eastAsia="Barlow Semi Condensed" w:hAnsi="Barlow Semi Condensed"/>
          <w:sz w:val="24"/>
          <w:szCs w:val="24"/>
        </w:rPr>
        <w:t xml:space="preserve"> La scheda istituzionale intesta «Henry A. (Heinz Alfred) Kissinger». Quella parentesi è un dispositivo editoriale bilingue: conserva la forma d'origine dentro la forma d'arrivo invece di sostituirla. È il modello che il corpus dovrebbe adottare ovunque compaia un nome mutato, la resa nuova accanto all'originale e mai al suo posto, ed è la stessa disciplina che il blocco 581 impone a ogni traduzione.</w:t>
      </w:r>
    </w:p>
    <w:p>
      <w:pPr>
        <w:spacing w:after="120" w:line="276"/>
        <w:jc w:val="both"/>
      </w:pPr>
      <w:r>
        <w:rPr>
          <w:rFonts w:ascii="Barlow Semi Condensed" w:cs="Barlow Semi Condensed" w:eastAsia="Barlow Semi Condensed" w:hAnsi="Barlow Semi Condensed"/>
          <w:b/>
          <w:bCs/>
          <w:sz w:val="24"/>
          <w:szCs w:val="24"/>
        </w:rPr>
        <w:t xml:space="preserve">4558 · L'anglicizzazione non è una traduzione.</w:t>
      </w:r>
      <w:r>
        <w:rPr>
          <w:rFonts w:ascii="Barlow Semi Condensed" w:cs="Barlow Semi Condensed" w:eastAsia="Barlow Semi Condensed" w:hAnsi="Barlow Semi Condensed"/>
          <w:sz w:val="24"/>
          <w:szCs w:val="24"/>
        </w:rPr>
        <w:t xml:space="preserve"> Va tenuta ferma una distinzione che la lente genetica confonde volentieri. Il passaggio da Heinz a Henry non è resa in altra lingua di un medesimo nome: è atto onomastico intenzionale del soggetto, con data contesa fra il 1938 delle opere di consultazione e il 1942-1943 del fascicolo d'immigrazione. Una traduzione ha un traduttore; questo ha un autore. La sede che chiude resta il fascicolo di naturalizzazione.</w:t>
      </w:r>
    </w:p>
    <w:p>
      <w:pPr>
        <w:spacing w:after="120" w:line="276"/>
        <w:jc w:val="both"/>
      </w:pPr>
      <w:r>
        <w:rPr>
          <w:rFonts w:ascii="Barlow Semi Condensed" w:cs="Barlow Semi Condensed" w:eastAsia="Barlow Semi Condensed" w:hAnsi="Barlow Semi Condensed"/>
          <w:b/>
          <w:bCs/>
          <w:sz w:val="24"/>
          <w:szCs w:val="24"/>
        </w:rPr>
        <w:t xml:space="preserve">4559 · Il memcon è un testo inglese.</w:t>
      </w:r>
      <w:r>
        <w:rPr>
          <w:rFonts w:ascii="Barlow Semi Condensed" w:cs="Barlow Semi Condensed" w:eastAsia="Barlow Semi Condensed" w:hAnsi="Barlow Semi Condensed"/>
          <w:sz w:val="24"/>
          <w:szCs w:val="24"/>
        </w:rPr>
        <w:t xml:space="preserve"> L'unico rapporto diretto documentato fra i due nomi — il memorandum of conversation del 25 settembre 1974, Ford Library 1552802, edito in FRUS 1969-1976 volume E-15 parte 2 documento 350 — è redatto in inglese. Ogni frase che di esso circoli in italiano è testimone di secondo grado ai sensi del blocco 581. Chi cita la resa senza l'originale a fronte non sta citando il documento di piano 1.</w:t>
      </w:r>
    </w:p>
    <w:p>
      <w:pPr>
        <w:spacing w:after="120" w:line="276"/>
        <w:jc w:val="both"/>
      </w:pPr>
      <w:r>
        <w:rPr>
          <w:rFonts w:ascii="Barlow Semi Condensed" w:cs="Barlow Semi Condensed" w:eastAsia="Barlow Semi Condensed" w:hAnsi="Barlow Semi Condensed"/>
          <w:b/>
          <w:bCs/>
          <w:sz w:val="24"/>
          <w:szCs w:val="24"/>
        </w:rPr>
        <w:t xml:space="preserve">4560 · La parola tough resta non tradotta.</w:t>
      </w:r>
      <w:r>
        <w:rPr>
          <w:rFonts w:ascii="Barlow Semi Condensed" w:cs="Barlow Semi Condensed" w:eastAsia="Barlow Semi Condensed" w:hAnsi="Barlow Semi Condensed"/>
          <w:sz w:val="24"/>
          <w:szCs w:val="24"/>
        </w:rPr>
        <w:t xml:space="preserve"> Il capitolo IV della ricognizione-madre riferisce che alla vigilia Kissinger disse a Ford che agli italiani andava parlato «tough». Il termine è lasciato in inglese, ed è la scelta esatta: duro, severo, fermo spostano ciascuno il registro in una direzione diversa. Si propone come regola della cartella diplomatica che parole di questo genere restino nella lingua del verbale, con la resa italiana a margine e dichiarata tale.</w:t>
      </w:r>
    </w:p>
    <w:p>
      <w:pPr>
        <w:spacing w:after="120" w:line="276"/>
        <w:jc w:val="both"/>
      </w:pPr>
      <w:r>
        <w:rPr>
          <w:rFonts w:ascii="Barlow Semi Condensed" w:cs="Barlow Semi Condensed" w:eastAsia="Barlow Semi Condensed" w:hAnsi="Barlow Semi Condensed"/>
          <w:b/>
          <w:bCs/>
          <w:sz w:val="24"/>
          <w:szCs w:val="24"/>
        </w:rPr>
        <w:t xml:space="preserve">4561 · Il partito comunista responsabile, fra virgolette.</w:t>
      </w:r>
      <w:r>
        <w:rPr>
          <w:rFonts w:ascii="Barlow Semi Condensed" w:cs="Barlow Semi Condensed" w:eastAsia="Barlow Semi Condensed" w:hAnsi="Barlow Semi Condensed"/>
          <w:sz w:val="24"/>
          <w:szCs w:val="24"/>
        </w:rPr>
        <w:t xml:space="preserve"> L'Apparato K riporta che il verbale registra il rilievo per cui un partito comunista «responsabile» sarebbe alla lunga più pericoloso di uno irresponsabile. Le virgolette italiane traducono un responsible che nel lessico strategico anglosassone indica affidabilità sistemica e non merito morale. La parafrasi trasforma il rilievo in minaccia; la lettera lo lascia ciò che è, dottrina messa a verbale, come già stabilisce il blocco 587.</w:t>
      </w:r>
    </w:p>
    <w:p>
      <w:pPr>
        <w:spacing w:after="120" w:line="276"/>
        <w:jc w:val="both"/>
      </w:pPr>
      <w:r>
        <w:rPr>
          <w:rFonts w:ascii="Barlow Semi Condensed" w:cs="Barlow Semi Condensed" w:eastAsia="Barlow Semi Condensed" w:hAnsi="Barlow Semi Condensed"/>
          <w:b/>
          <w:bCs/>
          <w:sz w:val="24"/>
          <w:szCs w:val="24"/>
        </w:rPr>
        <w:t xml:space="preserve">4562 · L'OCR interposto fra lettore e documento.</w:t>
      </w:r>
      <w:r>
        <w:rPr>
          <w:rFonts w:ascii="Barlow Semi Condensed" w:cs="Barlow Semi Condensed" w:eastAsia="Barlow Semi Condensed" w:hAnsi="Barlow Semi Condensed"/>
          <w:sz w:val="24"/>
          <w:szCs w:val="24"/>
        </w:rPr>
        <w:t xml:space="preserve"> La ricognizione della Farnesina rinvia al memorandum del 25 settembre 1974 attraverso una trascrizione djvu.txt su Internet Archive, cioè attraverso un riconoscimento ottico. Fra il lettore e il documento stanno dunque due passaggi, la scansione e l'OCR, prima ancora di ogni traduzione. Bersaglio: collazionare quel testo con l'edizione FRUS e verbalizzare le divergenze, a cominciare da nomi propri e cifre.</w:t>
      </w:r>
    </w:p>
    <w:p>
      <w:pPr>
        <w:spacing w:after="120" w:line="276"/>
        <w:jc w:val="both"/>
      </w:pPr>
      <w:r>
        <w:rPr>
          <w:rFonts w:ascii="Barlow Semi Condensed" w:cs="Barlow Semi Condensed" w:eastAsia="Barlow Semi Condensed" w:hAnsi="Barlow Semi Condensed"/>
          <w:b/>
          <w:bCs/>
          <w:sz w:val="24"/>
          <w:szCs w:val="24"/>
        </w:rPr>
        <w:t xml:space="preserve">4563 · Le due edizioni FRUS vanno collazionate.</w:t>
      </w:r>
      <w:r>
        <w:rPr>
          <w:rFonts w:ascii="Barlow Semi Condensed" w:cs="Barlow Semi Condensed" w:eastAsia="Barlow Semi Condensed" w:hAnsi="Barlow Semi Condensed"/>
          <w:sz w:val="24"/>
          <w:szCs w:val="24"/>
        </w:rPr>
        <w:t xml:space="preserve"> Il blocco 676 avverte che il documento 350 si cita nella seconda edizione riveduta. Il territorio linguistico rende operativa l'avvertenza: un'edizione riveduta può correggere trascrizioni, sciogliere abbreviazioni, mutare punteggiatura — e in un verbale la punteggiatura distribuisce le attribuzioni. Il bersaglio è la collazione parola per parola delle due edizioni con elenco delle varianti. Finché manca, ogni citazione dichiari quale edizione ha letto.</w:t>
      </w:r>
    </w:p>
    <w:p>
      <w:pPr>
        <w:spacing w:after="120" w:line="276"/>
        <w:jc w:val="both"/>
      </w:pPr>
      <w:r>
        <w:rPr>
          <w:rFonts w:ascii="Barlow Semi Condensed" w:cs="Barlow Semi Condensed" w:eastAsia="Barlow Semi Condensed" w:hAnsi="Barlow Semi Condensed"/>
          <w:b/>
          <w:bCs/>
          <w:sz w:val="24"/>
          <w:szCs w:val="24"/>
        </w:rPr>
        <w:t xml:space="preserve">4564 · Divergenza sulle date della visita.</w:t>
      </w:r>
      <w:r>
        <w:rPr>
          <w:rFonts w:ascii="Barlow Semi Condensed" w:cs="Barlow Semi Condensed" w:eastAsia="Barlow Semi Condensed" w:hAnsi="Barlow Semi Condensed"/>
          <w:sz w:val="24"/>
          <w:szCs w:val="24"/>
        </w:rPr>
        <w:t xml:space="preserve"> L'Apparato K registra che gli atti presidenziali datano la visita di Stato dal 25 al 29 settembre 1974 e la nota editoriale FRUS dal 25 al 27. Non è divergenza di lessico né di traduzione: è divergenza fra due apparati editoriali della stessa lingua. Si tiene distinta dalle divergenze linguistiche, perché il blocco 588 insegna che confondere i due generi produce conciliazioni false e contrasti immaginari.</w:t>
      </w:r>
    </w:p>
    <w:p>
      <w:pPr>
        <w:spacing w:after="120" w:line="276"/>
        <w:jc w:val="both"/>
      </w:pPr>
      <w:r>
        <w:rPr>
          <w:rFonts w:ascii="Barlow Semi Condensed" w:cs="Barlow Semi Condensed" w:eastAsia="Barlow Semi Condensed" w:hAnsi="Barlow Semi Condensed"/>
          <w:b/>
          <w:bCs/>
          <w:sz w:val="24"/>
          <w:szCs w:val="24"/>
        </w:rPr>
        <w:t xml:space="preserve">4565 · Gli interpreti del settembre 1974.</w:t>
      </w:r>
      <w:r>
        <w:rPr>
          <w:rFonts w:ascii="Barlow Semi Condensed" w:cs="Barlow Semi Condensed" w:eastAsia="Barlow Semi Condensed" w:hAnsi="Barlow Semi Condensed"/>
          <w:sz w:val="24"/>
          <w:szCs w:val="24"/>
        </w:rPr>
        <w:t xml:space="preserve"> Il blocco 583 pone il bersaglio; qui se ne fissa la sede. Gli interpreti dei colloqui italo-statunitensi del 25 e del 26 settembre 1974 vanno cercati nelle carte del Cerimoniale della Presidenza del Consiglio e della Farnesina, e nei fascicoli di supporto dei memoranda alla Ford Library. Esito atteso incerto: se negativo, si verbalizza con perimetro esatto e vale quanto un ritrovamento.</w:t>
      </w:r>
    </w:p>
    <w:p>
      <w:pPr>
        <w:spacing w:after="120" w:line="276"/>
        <w:jc w:val="both"/>
      </w:pPr>
      <w:r>
        <w:rPr>
          <w:rFonts w:ascii="Barlow Semi Condensed" w:cs="Barlow Semi Condensed" w:eastAsia="Barlow Semi Condensed" w:hAnsi="Barlow Semi Condensed"/>
          <w:b/>
          <w:bCs/>
          <w:sz w:val="24"/>
          <w:szCs w:val="24"/>
        </w:rPr>
        <w:t xml:space="preserve">4566 · Il cerimoniale del 1965 come modello.</w:t>
      </w:r>
      <w:r>
        <w:rPr>
          <w:rFonts w:ascii="Barlow Semi Condensed" w:cs="Barlow Semi Condensed" w:eastAsia="Barlow Semi Condensed" w:hAnsi="Barlow Semi Condensed"/>
          <w:sz w:val="24"/>
          <w:szCs w:val="24"/>
        </w:rPr>
        <w:t xml:space="preserve"> Il programma ufficiale del 19-23 aprile 1965, comunicato stampa n. 76 del Dipartimento di Stato, elenca nominativamente la delegazione italiana e i funzionari americani, e comprende un capo dell'Ufficio del Cerimoniale, Felice Marchioni. Nessun interprete vi figura. La struttura del documento indica però dove cercare, perché chi redige un programma nomina anche chi assiste linguisticamente. Si chieda al Cerimoniale la serie omologa per il 1974.</w:t>
      </w:r>
    </w:p>
    <w:p>
      <w:pPr>
        <w:spacing w:after="120" w:line="276"/>
        <w:jc w:val="both"/>
      </w:pPr>
      <w:r>
        <w:rPr>
          <w:rFonts w:ascii="Barlow Semi Condensed" w:cs="Barlow Semi Condensed" w:eastAsia="Barlow Semi Condensed" w:hAnsi="Barlow Semi Condensed"/>
          <w:b/>
          <w:bCs/>
          <w:sz w:val="24"/>
          <w:szCs w:val="24"/>
        </w:rPr>
        <w:t xml:space="preserve">4567 · Nessun interprete è nominato nel corpus.</w:t>
      </w:r>
      <w:r>
        <w:rPr>
          <w:rFonts w:ascii="Barlow Semi Condensed" w:cs="Barlow Semi Condensed" w:eastAsia="Barlow Semi Condensed" w:hAnsi="Barlow Semi Condensed"/>
          <w:sz w:val="24"/>
          <w:szCs w:val="24"/>
        </w:rPr>
        <w:t xml:space="preserve"> Stato Zero, dichiarato con perimetro. In nessun documento del branch pubblico compare il nome proprio di un interprete di un colloquio fra Aldo Moro e Henry Kissinger, né per il settembre 1974 né per alcuna altra data. La ricerca è stata condotta sulle stringhe «interprete», «interpreti» e «interpretariato» in tutti i file markdown. L'assenza è misurata, non narrata, e si chiude soltanto sulle carte del Cerimoniale.</w:t>
      </w:r>
    </w:p>
    <w:p>
      <w:pPr>
        <w:spacing w:after="120" w:line="276"/>
        <w:jc w:val="both"/>
      </w:pPr>
      <w:r>
        <w:rPr>
          <w:rFonts w:ascii="Barlow Semi Condensed" w:cs="Barlow Semi Condensed" w:eastAsia="Barlow Semi Condensed" w:hAnsi="Barlow Semi Condensed"/>
          <w:b/>
          <w:bCs/>
          <w:sz w:val="24"/>
          <w:szCs w:val="24"/>
        </w:rPr>
        <w:t xml:space="preserve">4568 · Moro non parlava inglese, con quale grado.</w:t>
      </w:r>
      <w:r>
        <w:rPr>
          <w:rFonts w:ascii="Barlow Semi Condensed" w:cs="Barlow Semi Condensed" w:eastAsia="Barlow Semi Condensed" w:hAnsi="Barlow Semi Condensed"/>
          <w:sz w:val="24"/>
          <w:szCs w:val="24"/>
        </w:rPr>
        <w:t xml:space="preserve"> L'affermazione regge un'intera smentita e perciò va gradata. Non è documento: è dichiarazione di un testimone italiano qualificato, riportata dalla nota di revisione del nodo M-5, il quale dice di aver verificato allora con l'interprete. Resta piano 3 finché non sia riscontrata su atti — fascicoli scolastici, corrispondenza ministeriale, verbali di colloqui in altre lingue. Sede: Fondo Moro dell'Archivio storico del Senato.</w:t>
      </w:r>
    </w:p>
    <w:p>
      <w:pPr>
        <w:spacing w:after="120" w:line="276"/>
        <w:jc w:val="both"/>
      </w:pPr>
      <w:r>
        <w:rPr>
          <w:rFonts w:ascii="Barlow Semi Condensed" w:cs="Barlow Semi Condensed" w:eastAsia="Barlow Semi Condensed" w:hAnsi="Barlow Semi Condensed"/>
          <w:b/>
          <w:bCs/>
          <w:sz w:val="24"/>
          <w:szCs w:val="24"/>
        </w:rPr>
        <w:t xml:space="preserve">4569 · Che cosa falsificherebbe l'argomento linguistico.</w:t>
      </w:r>
      <w:r>
        <w:rPr>
          <w:rFonts w:ascii="Barlow Semi Condensed" w:cs="Barlow Semi Condensed" w:eastAsia="Barlow Semi Condensed" w:hAnsi="Barlow Semi Condensed"/>
          <w:sz w:val="24"/>
          <w:szCs w:val="24"/>
        </w:rPr>
        <w:t xml:space="preserve"> Bersaglio di smentita, formulato per essere colpito. Un solo documento che attesti Aldo Moro in colloquio senza interprete con un interlocutore anglofono farebbe cadere la meccanica su cui poggia la prima smentita italiana. Non renderebbe vera la frase contestata: la renderebbe soltanto non controllabile per quella via. Sede: verbali di colloquio della Direzione generale affari politici, serie Stati Uniti, Archivio storico diplomatico.</w:t>
      </w:r>
    </w:p>
    <w:p>
      <w:pPr>
        <w:spacing w:after="120" w:line="276"/>
        <w:jc w:val="both"/>
      </w:pPr>
      <w:r>
        <w:rPr>
          <w:rFonts w:ascii="Barlow Semi Condensed" w:cs="Barlow Semi Condensed" w:eastAsia="Barlow Semi Condensed" w:hAnsi="Barlow Semi Condensed"/>
          <w:b/>
          <w:bCs/>
          <w:sz w:val="24"/>
          <w:szCs w:val="24"/>
        </w:rPr>
        <w:t xml:space="preserve">4570 · Il francese come terza ipotesi.</w:t>
      </w:r>
      <w:r>
        <w:rPr>
          <w:rFonts w:ascii="Barlow Semi Condensed" w:cs="Barlow Semi Condensed" w:eastAsia="Barlow Semi Condensed" w:hAnsi="Barlow Semi Condensed"/>
          <w:sz w:val="24"/>
          <w:szCs w:val="24"/>
        </w:rPr>
        <w:t xml:space="preserve"> Nessun blocco del corpus considera l'ipotesi che un colloquio riservato del 1974 si tenesse in francese, lingua diplomatica ancora corrente in quegli anni. L'ipotesi non è sostenuta da alcun documento e non si afferma; si registra come lacuna del quesito, perché una domanda costruita su due sole lingue esclude la terza per costruzione. La formulazione corretta chiede in quale lingua, non se in inglese.</w:t>
      </w:r>
    </w:p>
    <w:p>
      <w:pPr>
        <w:spacing w:after="120" w:line="276"/>
        <w:jc w:val="both"/>
      </w:pPr>
      <w:r>
        <w:rPr>
          <w:rFonts w:ascii="Barlow Semi Condensed" w:cs="Barlow Semi Condensed" w:eastAsia="Barlow Semi Condensed" w:hAnsi="Barlow Semi Condensed"/>
          <w:b/>
          <w:bCs/>
          <w:sz w:val="24"/>
          <w:szCs w:val="24"/>
        </w:rPr>
        <w:t xml:space="preserve">4571 · La frase contestata esiste solo in italiano.</w:t>
      </w:r>
      <w:r>
        <w:rPr>
          <w:rFonts w:ascii="Barlow Semi Condensed" w:cs="Barlow Semi Condensed" w:eastAsia="Barlow Semi Condensed" w:hAnsi="Barlow Semi Condensed"/>
          <w:sz w:val="24"/>
          <w:szCs w:val="24"/>
        </w:rPr>
        <w:t xml:space="preserve"> Il nodo M-5 riporta il verbatim «smetta di perseguire il suo piano politico… o la pagherà cara». È testo italiano attribuito a un parlante inglese, raccolto de relato e reso in aula otto anni dopo i fatti. Ogni versione inglese che ne circola è retroversione, cioè ricostruzione, secondo il blocco 586. Trattarla come testo letterale è l'errore più diffuso dell'intero dossier.</w:t>
      </w:r>
    </w:p>
    <w:p>
      <w:pPr>
        <w:spacing w:after="120" w:line="276"/>
        <w:jc w:val="both"/>
      </w:pPr>
      <w:r>
        <w:rPr>
          <w:rFonts w:ascii="Barlow Semi Condensed" w:cs="Barlow Semi Condensed" w:eastAsia="Barlow Semi Condensed" w:hAnsi="Barlow Semi Condensed"/>
          <w:b/>
          <w:bCs/>
          <w:sz w:val="24"/>
          <w:szCs w:val="24"/>
        </w:rPr>
        <w:t xml:space="preserve">4572 · I tre punti dentro il verbatim.</w:t>
      </w:r>
      <w:r>
        <w:rPr>
          <w:rFonts w:ascii="Barlow Semi Condensed" w:cs="Barlow Semi Condensed" w:eastAsia="Barlow Semi Condensed" w:hAnsi="Barlow Semi Condensed"/>
          <w:sz w:val="24"/>
          <w:szCs w:val="24"/>
        </w:rPr>
        <w:t xml:space="preserve"> Un segno tipografico non è mai neutro. La citazione corrente contiene un'ellissi: qualcosa è stato omesso fra la prima e la seconda parte della frase, e nessuna fonte reperita dichiara che cosa. Finché il verbale d'udienza non è letto, l'ellissi si conserva e si segnala, mai si scioglie in una frase continua. Sede: cancelleria della Corte d'assise di Roma, dibattimento del novembre 1982.</w:t>
      </w:r>
    </w:p>
    <w:p>
      <w:pPr>
        <w:spacing w:after="120" w:line="276"/>
        <w:jc w:val="both"/>
      </w:pPr>
      <w:r>
        <w:rPr>
          <w:rFonts w:ascii="Barlow Semi Condensed" w:cs="Barlow Semi Condensed" w:eastAsia="Barlow Semi Condensed" w:hAnsi="Barlow Semi Condensed"/>
          <w:b/>
          <w:bCs/>
          <w:sz w:val="24"/>
          <w:szCs w:val="24"/>
        </w:rPr>
        <w:t xml:space="preserve">4573 · L'alta personalità, perifrasi resa in aula.</w:t>
      </w:r>
      <w:r>
        <w:rPr>
          <w:rFonts w:ascii="Barlow Semi Condensed" w:cs="Barlow Semi Condensed" w:eastAsia="Barlow Semi Condensed" w:hAnsi="Barlow Semi Condensed"/>
          <w:sz w:val="24"/>
          <w:szCs w:val="24"/>
        </w:rPr>
        <w:t xml:space="preserve"> La vedova depose senza fare il nome, parlando di un'alta personalità; fu il presidente della corte, richiamando il portavoce, a ottenere l'indicazione. È fatto lessicale prima che probatorio: la perifrasi è ciò che la teste disse, il nome è ciò che l'aula ne ricavò. Le due cose si tengono in colonne separate, come il blocco 763 chiede per rimprovero e minaccia.</w:t>
      </w:r>
    </w:p>
    <w:p>
      <w:pPr>
        <w:spacing w:after="120" w:line="276"/>
        <w:jc w:val="both"/>
      </w:pPr>
      <w:r>
        <w:rPr>
          <w:rFonts w:ascii="Barlow Semi Condensed" w:cs="Barlow Semi Condensed" w:eastAsia="Barlow Semi Condensed" w:hAnsi="Barlow Semi Condensed"/>
          <w:b/>
          <w:bCs/>
          <w:sz w:val="24"/>
          <w:szCs w:val="24"/>
        </w:rPr>
        <w:t xml:space="preserve">4574 · La smentita, anch'essa in traduzione.</w:t>
      </w:r>
      <w:r>
        <w:rPr>
          <w:rFonts w:ascii="Barlow Semi Condensed" w:cs="Barlow Semi Condensed" w:eastAsia="Barlow Semi Condensed" w:hAnsi="Barlow Semi Condensed"/>
          <w:sz w:val="24"/>
          <w:szCs w:val="24"/>
        </w:rPr>
        <w:t xml:space="preserve"> «Non ho mai detto una cosa simile» è la forma italiana in cui il corpus registra la smentita resa a un giornalista poco prima della morte. Se l'intervista si svolse in inglese, quella riga è traduzione e non testo. Il bersaglio è elementare e non è stato battuto: reperire la formulazione originale nella sede di prima pubblicazione e citarla accanto alla resa italiana.</w:t>
      </w:r>
    </w:p>
    <w:p>
      <w:pPr>
        <w:spacing w:after="120" w:line="276"/>
        <w:jc w:val="both"/>
      </w:pPr>
      <w:r>
        <w:rPr>
          <w:rFonts w:ascii="Barlow Semi Condensed" w:cs="Barlow Semi Condensed" w:eastAsia="Barlow Semi Condensed" w:hAnsi="Barlow Semi Condensed"/>
          <w:b/>
          <w:bCs/>
          <w:sz w:val="24"/>
          <w:szCs w:val="24"/>
        </w:rPr>
        <w:t xml:space="preserve">4575 · Solo un problema di linguaggio.</w:t>
      </w:r>
      <w:r>
        <w:rPr>
          <w:rFonts w:ascii="Barlow Semi Condensed" w:cs="Barlow Semi Condensed" w:eastAsia="Barlow Semi Condensed" w:hAnsi="Barlow Semi Condensed"/>
          <w:sz w:val="24"/>
          <w:szCs w:val="24"/>
        </w:rPr>
        <w:t xml:space="preserve"> La seconda smentita italiana qualificata è essa stessa una tesi metalinguistica, poiché riduce l'episodio a un fatto di lingua. Il corpus la riporta fra virgolette senza indicarne sede, data e lingua di enunciazione. È Stato Zero su una fonte che il corpus già adopera, e va chiuso prima di adoperarla ancora: chi lo disse, dove, quando, e con quali parole esatte.</w:t>
      </w:r>
    </w:p>
    <w:p>
      <w:pPr>
        <w:spacing w:after="120" w:line="276"/>
        <w:jc w:val="both"/>
      </w:pPr>
      <w:r>
        <w:rPr>
          <w:rFonts w:ascii="Barlow Semi Condensed" w:cs="Barlow Semi Condensed" w:eastAsia="Barlow Semi Condensed" w:hAnsi="Barlow Semi Condensed"/>
          <w:b/>
          <w:bCs/>
          <w:sz w:val="24"/>
          <w:szCs w:val="24"/>
        </w:rPr>
        <w:t xml:space="preserve">4576 · Una leggenda che non ha fondamento.</w:t>
      </w:r>
      <w:r>
        <w:rPr>
          <w:rFonts w:ascii="Barlow Semi Condensed" w:cs="Barlow Semi Condensed" w:eastAsia="Barlow Semi Condensed" w:hAnsi="Barlow Semi Condensed"/>
          <w:sz w:val="24"/>
          <w:szCs w:val="24"/>
        </w:rPr>
        <w:t xml:space="preserve"> L'altra smentita italiana è più circostanziata perché allega un metodo: il testimone dichiara di aver verificato allora con l'interprete. Formula e verifica vanno tenute distinte, ché la prima è giudizio e la seconda è atto. Si cerchi traccia dell'atto — appunti, agende, corrispondenza del testimone — e la divergenza interna con la descrizione di un colloquio politicamente durissimo si riporti senza scioglierla.</w:t>
      </w:r>
    </w:p>
    <w:p>
      <w:pPr>
        <w:spacing w:after="120" w:line="276"/>
        <w:jc w:val="both"/>
      </w:pPr>
      <w:r>
        <w:rPr>
          <w:rFonts w:ascii="Barlow Semi Condensed" w:cs="Barlow Semi Condensed" w:eastAsia="Barlow Semi Condensed" w:hAnsi="Barlow Semi Condensed"/>
          <w:b/>
          <w:bCs/>
          <w:sz w:val="24"/>
          <w:szCs w:val="24"/>
        </w:rPr>
        <w:t xml:space="preserve">4577 · Rimprovero e minaccia sono due lemmi.</w:t>
      </w:r>
      <w:r>
        <w:rPr>
          <w:rFonts w:ascii="Barlow Semi Condensed" w:cs="Barlow Semi Condensed" w:eastAsia="Barlow Semi Condensed" w:hAnsi="Barlow Semi Condensed"/>
          <w:sz w:val="24"/>
          <w:szCs w:val="24"/>
        </w:rPr>
        <w:t xml:space="preserve"> La distanza fra le due cose non sta nei fatti ma nelle parole, e si decide sul testo. Il corpus non possiede alcun testo di prima mano della frase contestata: né appunto, né lettera, né verbale che la contenga. Ne discende che la scelta fra i due lemmi non è oggi decidibile, e va dichiarata indecidibile anziché risolta adottando l'aggettivo più forte.</w:t>
      </w:r>
    </w:p>
    <w:p>
      <w:pPr>
        <w:spacing w:after="120" w:line="276"/>
        <w:jc w:val="both"/>
      </w:pPr>
      <w:r>
        <w:rPr>
          <w:rFonts w:ascii="Barlow Semi Condensed" w:cs="Barlow Semi Condensed" w:eastAsia="Barlow Semi Condensed" w:hAnsi="Barlow Semi Condensed"/>
          <w:b/>
          <w:bCs/>
          <w:sz w:val="24"/>
          <w:szCs w:val="24"/>
        </w:rPr>
        <w:t xml:space="preserve">4578 · Una fonte terziaria in lingua inglese.</w:t>
      </w:r>
      <w:r>
        <w:rPr>
          <w:rFonts w:ascii="Barlow Semi Condensed" w:cs="Barlow Semi Condensed" w:eastAsia="Barlow Semi Condensed" w:hAnsi="Barlow Semi Condensed"/>
          <w:sz w:val="24"/>
          <w:szCs w:val="24"/>
        </w:rPr>
        <w:t xml:space="preserve"> Fra le fonti del nodo M-5 figura la voce inglese di Wikipedia «Kidnapping and murder of Aldo Moro». È piano 3 per definizione, ed è piano 3 in una seconda lingua: riassunto inglese di sintesi italiane di una testimonianza resa in italiano. Si cita, se si cita, come dato della circolazione internazionale del racconto, mai come riscontro del suo contenuto.</w:t>
      </w:r>
    </w:p>
    <w:p>
      <w:pPr>
        <w:spacing w:after="120" w:line="276"/>
        <w:jc w:val="both"/>
      </w:pPr>
      <w:r>
        <w:rPr>
          <w:rFonts w:ascii="Barlow Semi Condensed" w:cs="Barlow Semi Condensed" w:eastAsia="Barlow Semi Condensed" w:hAnsi="Barlow Semi Condensed"/>
          <w:b/>
          <w:bCs/>
          <w:sz w:val="24"/>
          <w:szCs w:val="24"/>
        </w:rPr>
        <w:t xml:space="preserve">4579 · L'alterco del 1977, agenzia americana.</w:t>
      </w:r>
      <w:r>
        <w:rPr>
          <w:rFonts w:ascii="Barlow Semi Condensed" w:cs="Barlow Semi Condensed" w:eastAsia="Barlow Semi Condensed" w:hAnsi="Barlow Semi Condensed"/>
          <w:sz w:val="24"/>
          <w:szCs w:val="24"/>
        </w:rPr>
        <w:t xml:space="preserve"> La divergenza sulle date registrata al blocco 590 ha anche un versante linguistico. La versione che colloca l'episodio in un alterco all'ambasciata d'Italia a Washington nel 1977 proviene da un'agenzia statunitense dell'aprile 1983, dunque da un testo inglese; le sintesi italiane che la ripetono la ritraducono. Prima di comparare le versioni si comparano le lingue in cui ciascuna nacque.</w:t>
      </w:r>
    </w:p>
    <w:p>
      <w:pPr>
        <w:spacing w:after="120" w:line="276"/>
        <w:jc w:val="both"/>
      </w:pPr>
      <w:r>
        <w:rPr>
          <w:rFonts w:ascii="Barlow Semi Condensed" w:cs="Barlow Semi Condensed" w:eastAsia="Barlow Semi Condensed" w:hAnsi="Barlow Semi Condensed"/>
          <w:b/>
          <w:bCs/>
          <w:sz w:val="24"/>
          <w:szCs w:val="24"/>
        </w:rPr>
        <w:t xml:space="preserve">4580 · Il lancio del 30 novembre 2023 (serie LX).</w:t>
      </w:r>
      <w:r>
        <w:rPr>
          <w:rFonts w:ascii="Barlow Semi Condensed" w:cs="Barlow Semi Condensed" w:eastAsia="Barlow Semi Condensed" w:hAnsi="Barlow Semi Condensed"/>
          <w:sz w:val="24"/>
          <w:szCs w:val="24"/>
        </w:rPr>
        <w:t xml:space="preserve"> La moltiplicazione apparente delle fonti ha una data e una lingua: un solo lancio d'agenzia italiano del 30 novembre 2023, ripreso quasi identico decine di volte. Le riprese in altre lingue non sono testimoni indipendenti ma traduzioni del medesimo testimone. È l'omologia del blocco 576 applicata alla stampa: due copie che condividono l'origine non fanno due riscontri, ne fanno uno travestito.</w:t>
      </w:r>
    </w:p>
    <w:p>
      <w:pPr>
        <w:spacing w:after="120" w:line="276"/>
        <w:jc w:val="both"/>
      </w:pPr>
      <w:r>
        <w:rPr>
          <w:rFonts w:ascii="Barlow Semi Condensed" w:cs="Barlow Semi Condensed" w:eastAsia="Barlow Semi Condensed" w:hAnsi="Barlow Semi Condensed"/>
          <w:b/>
          <w:bCs/>
          <w:sz w:val="24"/>
          <w:szCs w:val="24"/>
        </w:rPr>
        <w:t xml:space="preserve">4581 · Il programma del 1965, volto in italiano.</w:t>
      </w:r>
      <w:r>
        <w:rPr>
          <w:rFonts w:ascii="Barlow Semi Condensed" w:cs="Barlow Semi Condensed" w:eastAsia="Barlow Semi Condensed" w:hAnsi="Barlow Semi Condensed"/>
          <w:sz w:val="24"/>
          <w:szCs w:val="24"/>
        </w:rPr>
        <w:t xml:space="preserve"> La scheda documenti-state-dept-1965-1978.md volge in italiano un documento inglese: «Members of the Party» diventa la delegazione, i titoli americani sono resi con gli equivalenti nostrani. La resa è accurata e non è dichiarata come resa. Si propone la regola minima: il titolo del comunicato n. 76 già compare in originale, e altrettanto dovrebbe valere per ogni denominazione d'ufficio riportata nella scheda.</w:t>
      </w:r>
    </w:p>
    <w:p>
      <w:pPr>
        <w:spacing w:after="120" w:line="276"/>
        <w:jc w:val="both"/>
      </w:pPr>
      <w:r>
        <w:rPr>
          <w:rFonts w:ascii="Barlow Semi Condensed" w:cs="Barlow Semi Condensed" w:eastAsia="Barlow Semi Condensed" w:hAnsi="Barlow Semi Condensed"/>
          <w:b/>
          <w:bCs/>
          <w:sz w:val="24"/>
          <w:szCs w:val="24"/>
        </w:rPr>
        <w:t xml:space="preserve">4582 · Il promemoria a Hoover, citato in originale.</w:t>
      </w:r>
      <w:r>
        <w:rPr>
          <w:rFonts w:ascii="Barlow Semi Condensed" w:cs="Barlow Semi Condensed" w:eastAsia="Barlow Semi Condensed" w:hAnsi="Barlow Semi Condensed"/>
          <w:sz w:val="24"/>
          <w:szCs w:val="24"/>
        </w:rPr>
        <w:t xml:space="preserve"> La medesima scheda riporta in inglese la formula richiesta all'FBI, «intelligence information of a nature reflecting the presence of any effort designed to cause physical harm or embarrassment to the Principal». La scelta è corretta: embarrassment non ha equivalente italiano neutro e Principal è termine tecnico di protezione. Dove la resa non può essere neutra, si cita e si glossa.</w:t>
      </w:r>
    </w:p>
    <w:p>
      <w:pPr>
        <w:spacing w:after="120" w:line="276"/>
        <w:jc w:val="both"/>
      </w:pPr>
      <w:r>
        <w:rPr>
          <w:rFonts w:ascii="Barlow Semi Condensed" w:cs="Barlow Semi Condensed" w:eastAsia="Barlow Semi Condensed" w:hAnsi="Barlow Semi Condensed"/>
          <w:b/>
          <w:bCs/>
          <w:sz w:val="24"/>
          <w:szCs w:val="24"/>
        </w:rPr>
        <w:t xml:space="preserve">4583 · Moro country, idioma senza calco.</w:t>
      </w:r>
      <w:r>
        <w:rPr>
          <w:rFonts w:ascii="Barlow Semi Condensed" w:cs="Barlow Semi Condensed" w:eastAsia="Barlow Semi Condensed" w:hAnsi="Barlow Semi Condensed"/>
          <w:sz w:val="24"/>
          <w:szCs w:val="24"/>
        </w:rPr>
        <w:t xml:space="preserve"> Il cablogramma Trieste 9223 definisce il Friuli-Venezia Giulia «for the most part Moro country». L'espressione appartiene al lessico elettorale americano e non ha calco italiano: «terra di Moro» aggiunge affetto, «roccaforte» aggiunge organizzazione. La scheda la lascia in inglese, ed è la decisione giusta. Si registri come voce del glossario pubblico proposto al blocco 775 dei nove cantieri.</w:t>
      </w:r>
    </w:p>
    <w:p>
      <w:pPr>
        <w:spacing w:after="120" w:line="276"/>
        <w:jc w:val="both"/>
      </w:pPr>
      <w:r>
        <w:rPr>
          <w:rFonts w:ascii="Barlow Semi Condensed" w:cs="Barlow Semi Condensed" w:eastAsia="Barlow Semi Condensed" w:hAnsi="Barlow Semi Condensed"/>
          <w:b/>
          <w:bCs/>
          <w:sz w:val="24"/>
          <w:szCs w:val="24"/>
        </w:rPr>
        <w:t xml:space="preserve">4584 · Il lutto siciliano, scritto in inglese.</w:t>
      </w:r>
      <w:r>
        <w:rPr>
          <w:rFonts w:ascii="Barlow Semi Condensed" w:cs="Barlow Semi Condensed" w:eastAsia="Barlow Semi Condensed" w:hAnsi="Barlow Semi Condensed"/>
          <w:sz w:val="24"/>
          <w:szCs w:val="24"/>
        </w:rPr>
        <w:t xml:space="preserve"> Palermo 9487 scrive che i siciliani «mourned the murdered Aldo Moro with speeches, masses and rallies all over the island on May 10». È la percezione di un console americano, non un verbale italiano. La scheda ne dà parafrasi italiana ampia; la regola migliore sarebbe conservare l'originale accanto, perché la scelta di murdered anziché killed è già una qualificazione del fatto.</w:t>
      </w:r>
    </w:p>
    <w:p>
      <w:pPr>
        <w:spacing w:after="120" w:line="276"/>
        <w:jc w:val="both"/>
      </w:pPr>
      <w:r>
        <w:rPr>
          <w:rFonts w:ascii="Barlow Semi Condensed" w:cs="Barlow Semi Condensed" w:eastAsia="Barlow Semi Condensed" w:hAnsi="Barlow Semi Condensed"/>
          <w:b/>
          <w:bCs/>
          <w:sz w:val="24"/>
          <w:szCs w:val="24"/>
        </w:rPr>
        <w:t xml:space="preserve">4585 · Il coro di Palermo, andata e ritorno.</w:t>
      </w:r>
      <w:r>
        <w:rPr>
          <w:rFonts w:ascii="Barlow Semi Condensed" w:cs="Barlow Semi Condensed" w:eastAsia="Barlow Semi Condensed" w:hAnsi="Barlow Semi Condensed"/>
          <w:sz w:val="24"/>
          <w:szCs w:val="24"/>
        </w:rPr>
        <w:t xml:space="preserve"> Nello stesso cablogramma le grida della piazza — «fuori le bandiere rosse», poi «unità» — sono italiane raccolte da un redattore americano e restituite in italiano dalla scheda. Il percorso è italiano-inglese-italiano, tre codici come al blocco 586. La forma che leggiamo può non essere quella gridata: si segnali il passaggio e si cerchi la cronaca locale coeva per il riscontro.</w:t>
      </w:r>
    </w:p>
    <w:p>
      <w:pPr>
        <w:spacing w:after="120" w:line="276"/>
        <w:jc w:val="both"/>
      </w:pPr>
      <w:r>
        <w:rPr>
          <w:rFonts w:ascii="Barlow Semi Condensed" w:cs="Barlow Semi Condensed" w:eastAsia="Barlow Semi Condensed" w:hAnsi="Barlow Semi Condensed"/>
          <w:b/>
          <w:bCs/>
          <w:sz w:val="24"/>
          <w:szCs w:val="24"/>
        </w:rPr>
        <w:t xml:space="preserve">4586 · Buenos Aires 2881, tre codici.</w:t>
      </w:r>
      <w:r>
        <w:rPr>
          <w:rFonts w:ascii="Barlow Semi Condensed" w:cs="Barlow Semi Condensed" w:eastAsia="Barlow Semi Condensed" w:hAnsi="Barlow Semi Condensed"/>
          <w:sz w:val="24"/>
          <w:szCs w:val="24"/>
        </w:rPr>
        <w:t xml:space="preserve"> Il documento montonero raggiunge il corpus dopo un percorso lungo: originale spagnolo del Segretariato Stampa, riassunto con citazioni in inglese nel cablogramma del 17 aprile 1978, resa italiana nella scheda. La firma apposta è di Juan Gelman, poeta. Tre codici, nessuno dei quali conservato accanto agli altri. Bersaglio: reperire il testo spagnolo, perché una smentita si pesa sulle parole con cui fu scritta.</w:t>
      </w:r>
    </w:p>
    <w:p>
      <w:pPr>
        <w:spacing w:after="120" w:line="276"/>
        <w:jc w:val="both"/>
      </w:pPr>
      <w:r>
        <w:rPr>
          <w:rFonts w:ascii="Barlow Semi Condensed" w:cs="Barlow Semi Condensed" w:eastAsia="Barlow Semi Condensed" w:hAnsi="Barlow Semi Condensed"/>
          <w:b/>
          <w:bCs/>
          <w:sz w:val="24"/>
          <w:szCs w:val="24"/>
        </w:rPr>
        <w:t xml:space="preserve">4587 · Il lotto del 1978 e le date d'incarico.</w:t>
      </w:r>
      <w:r>
        <w:rPr>
          <w:rFonts w:ascii="Barlow Semi Condensed" w:cs="Barlow Semi Condensed" w:eastAsia="Barlow Semi Condensed" w:hAnsi="Barlow Semi Condensed"/>
          <w:sz w:val="24"/>
          <w:szCs w:val="24"/>
        </w:rPr>
        <w:t xml:space="preserve"> Verifica di anteriorità, eseguita. I cablogrammi dell'aprile-maggio 1978 sono posteriori di oltre un anno alla cessazione dell'incarico di Segretario di Stato, avvenuta il 20 gennaio 1977. Nessuno di essi può recare istruzioni o firme di quell'ufficio a quel nome. Il rilievo non tocca il merito: chiude per data un'intera classe di ipotesi, come prescrive il blocco 594.</w:t>
      </w:r>
    </w:p>
    <w:p>
      <w:pPr>
        <w:spacing w:after="120" w:line="276"/>
        <w:jc w:val="both"/>
      </w:pPr>
      <w:r>
        <w:rPr>
          <w:rFonts w:ascii="Barlow Semi Condensed" w:cs="Barlow Semi Condensed" w:eastAsia="Barlow Semi Condensed" w:hAnsi="Barlow Semi Condensed"/>
          <w:b/>
          <w:bCs/>
          <w:sz w:val="24"/>
          <w:szCs w:val="24"/>
        </w:rPr>
        <w:t xml:space="preserve">4588 · Lo strato del 1965 non lo nomina.</w:t>
      </w:r>
      <w:r>
        <w:rPr>
          <w:rFonts w:ascii="Barlow Semi Condensed" w:cs="Barlow Semi Condensed" w:eastAsia="Barlow Semi Condensed" w:hAnsi="Barlow Semi Condensed"/>
          <w:sz w:val="24"/>
          <w:szCs w:val="24"/>
        </w:rPr>
        <w:t xml:space="preserve"> Negli elenchi della delegazione italiana e dei funzionari americani del programma dell'aprile 1965 il nome non compare. È assenza verificata su documento, non congettura: quel lotto attesta chi c'era, e chi non vi è nominato non vi è attestato. Gli incarichi registrati dall'opera cominciano il 20 gennaio 1969. Stato Zero pieno, chiuso dal documento medesimo e non rinviabile ad archivio.</w:t>
      </w:r>
    </w:p>
    <w:p>
      <w:pPr>
        <w:spacing w:after="120" w:line="276"/>
        <w:jc w:val="both"/>
      </w:pPr>
      <w:r>
        <w:rPr>
          <w:rFonts w:ascii="Barlow Semi Condensed" w:cs="Barlow Semi Condensed" w:eastAsia="Barlow Semi Condensed" w:hAnsi="Barlow Semi Condensed"/>
          <w:b/>
          <w:bCs/>
          <w:sz w:val="24"/>
          <w:szCs w:val="24"/>
        </w:rPr>
        <w:t xml:space="preserve">4589 · Misurare l'errore dell'OCR grezzo.</w:t>
      </w:r>
      <w:r>
        <w:rPr>
          <w:rFonts w:ascii="Barlow Semi Condensed" w:cs="Barlow Semi Condensed" w:eastAsia="Barlow Semi Condensed" w:hAnsi="Barlow Semi Condensed"/>
          <w:sz w:val="24"/>
          <w:szCs w:val="24"/>
        </w:rPr>
        <w:t xml:space="preserve"> Il file originali/state-dept-djvu-ocr-grezzo.txt è conservato accanto alla trascrizione ordinata proprio per consentire il controllo previsto dal blocco 25. Il bersaglio quantitativo non è mai stato eseguito: misurare il tasso d'errore del riconoscimento su nomi propri e cifre, che sono i luoghi dove l'OCR sbaglia di più e dove l'errore si propaga senza denunciarsi. L'esito è un numero.</w:t>
      </w:r>
    </w:p>
    <w:p>
      <w:pPr>
        <w:spacing w:after="120" w:line="276"/>
        <w:jc w:val="both"/>
      </w:pPr>
      <w:r>
        <w:rPr>
          <w:rFonts w:ascii="Barlow Semi Condensed" w:cs="Barlow Semi Condensed" w:eastAsia="Barlow Semi Condensed" w:hAnsi="Barlow Semi Condensed"/>
          <w:b/>
          <w:bCs/>
          <w:sz w:val="24"/>
          <w:szCs w:val="24"/>
        </w:rPr>
        <w:t xml:space="preserve">4590 · Il manifesto SHA-256 come catena.</w:t>
      </w:r>
      <w:r>
        <w:rPr>
          <w:rFonts w:ascii="Barlow Semi Condensed" w:cs="Barlow Semi Condensed" w:eastAsia="Barlow Semi Condensed" w:hAnsi="Barlow Semi Condensed"/>
          <w:sz w:val="24"/>
          <w:szCs w:val="24"/>
        </w:rPr>
        <w:t xml:space="preserve"> La cartella della Farnesina custodisce un manifest-sha256.txt. In materia linguistica quel file svolge una funzione precisa: attesta che il testo tradotto oggi è lo stesso di ieri e permette di datare ogni normalizzazione grafica successiva. È l'unico strumento del branch che renda misurabile una variante d'apparato. Si estenda al file dei mille blocchi, dove le varianti sono già state accertate.</w:t>
      </w:r>
    </w:p>
    <w:p>
      <w:pPr>
        <w:spacing w:after="120" w:line="276"/>
        <w:jc w:val="both"/>
      </w:pPr>
      <w:r>
        <w:rPr>
          <w:rFonts w:ascii="Barlow Semi Condensed" w:cs="Barlow Semi Condensed" w:eastAsia="Barlow Semi Condensed" w:hAnsi="Barlow Semi Condensed"/>
          <w:b/>
          <w:bCs/>
          <w:sz w:val="24"/>
          <w:szCs w:val="24"/>
        </w:rPr>
        <w:t xml:space="preserve">4591 · Maggio 1969, errore entrato dall'inglese.</w:t>
      </w:r>
      <w:r>
        <w:rPr>
          <w:rFonts w:ascii="Barlow Semi Condensed" w:cs="Barlow Semi Condensed" w:eastAsia="Barlow Semi Condensed" w:hAnsi="Barlow Semi Condensed"/>
          <w:sz w:val="24"/>
          <w:szCs w:val="24"/>
        </w:rPr>
        <w:t xml:space="preserve"> Il capitolo I della ricognizione-madre dirime una discrepanza e ne dichiara la provenienza: la data «from May 1969» compare in Wikipedia in lingua inglese, mentre il Portale storico della Camera data il giuramento del II Governo Rumor al 5 agosto 1969. È il caso modello del territorio, un errore che entra da un'opera di consultazione straniera e si diffonde nelle sintesi italiane. Si corregge sulla fonte istituzionale nazionale.</w:t>
      </w:r>
    </w:p>
    <w:p>
      <w:pPr>
        <w:spacing w:after="120" w:line="276"/>
        <w:jc w:val="both"/>
      </w:pPr>
      <w:r>
        <w:rPr>
          <w:rFonts w:ascii="Barlow Semi Condensed" w:cs="Barlow Semi Condensed" w:eastAsia="Barlow Semi Condensed" w:hAnsi="Barlow Semi Condensed"/>
          <w:b/>
          <w:bCs/>
          <w:sz w:val="24"/>
          <w:szCs w:val="24"/>
        </w:rPr>
        <w:t xml:space="preserve">4592 · Atenagora, sei oppure sette luglio.</w:t>
      </w:r>
      <w:r>
        <w:rPr>
          <w:rFonts w:ascii="Barlow Semi Condensed" w:cs="Barlow Semi Condensed" w:eastAsia="Barlow Semi Condensed" w:hAnsi="Barlow Semi Condensed"/>
          <w:sz w:val="24"/>
          <w:szCs w:val="24"/>
        </w:rPr>
        <w:t xml:space="preserve"> La ricognizione turca riporta una divergenza fra due lingue e non la scioglie: la voce inglese di Wikipedia, citata in originale, dà il 7 luglio 1972; la fonte accademica spagnola di Ángel Santos, citata in spagnolo, colloca il decesso «a últimas horas de la tarde del 6 de julio». Entrambe restano nella propria lingua. È la prassi corretta e va estesa a tutto il branch.</w:t>
      </w:r>
    </w:p>
    <w:p>
      <w:pPr>
        <w:spacing w:after="120" w:line="276"/>
        <w:jc w:val="both"/>
      </w:pPr>
      <w:r>
        <w:rPr>
          <w:rFonts w:ascii="Barlow Semi Condensed" w:cs="Barlow Semi Condensed" w:eastAsia="Barlow Semi Condensed" w:hAnsi="Barlow Semi Condensed"/>
          <w:b/>
          <w:bCs/>
          <w:sz w:val="24"/>
          <w:szCs w:val="24"/>
        </w:rPr>
        <w:t xml:space="preserve">4593 · Invasione oppure operazione di pace.</w:t>
      </w:r>
      <w:r>
        <w:rPr>
          <w:rFonts w:ascii="Barlow Semi Condensed" w:cs="Barlow Semi Condensed" w:eastAsia="Barlow Semi Condensed" w:hAnsi="Barlow Semi Condensed"/>
          <w:sz w:val="24"/>
          <w:szCs w:val="24"/>
        </w:rPr>
        <w:t xml:space="preserve"> La nota metodologica finale di turchia-opus-dei-1969-1975.md dichiara fra le divergenze non risolte la denominazione degli eventi ciprioti del 1974. Non è disputa di fatti ma di lemmi, e ciascun lemma è una posizione di parte. Il blocco 346 registra già lo Stato Zero greco-cipriota sulle dichiarazioni di Moro; qui si aggiunge che nessun documento del branch lega quel lessico al nome studiato.</w:t>
      </w:r>
    </w:p>
    <w:p>
      <w:pPr>
        <w:spacing w:after="120" w:line="276"/>
        <w:jc w:val="both"/>
      </w:pPr>
      <w:r>
        <w:rPr>
          <w:rFonts w:ascii="Barlow Semi Condensed" w:cs="Barlow Semi Condensed" w:eastAsia="Barlow Semi Condensed" w:hAnsi="Barlow Semi Condensed"/>
          <w:b/>
          <w:bCs/>
          <w:sz w:val="24"/>
          <w:szCs w:val="24"/>
        </w:rPr>
        <w:t xml:space="preserve">4594 · I nomi turchi si glossano, non si traducono.</w:t>
      </w:r>
      <w:r>
        <w:rPr>
          <w:rFonts w:ascii="Barlow Semi Condensed" w:cs="Barlow Semi Condensed" w:eastAsia="Barlow Semi Condensed" w:hAnsi="Barlow Semi Condensed"/>
          <w:sz w:val="24"/>
          <w:szCs w:val="24"/>
        </w:rPr>
        <w:t xml:space="preserve"> La ricognizione scrive Bozkurtlar, Ülkücüler con la glossa «idealisti», Ülkü Ocakları, Milliyetçi Hareket Partisi. La denominazione politica resta nella lingua d'origine e la glossa l'accompagna: è la disciplina che il blocco 581 chiede per le traduzioni. Il beneficio è verificabile, perché negli archivi turchi si trova soltanto la forma originale e una resa italiana non è una chiave d'accesso.</w:t>
      </w:r>
    </w:p>
    <w:p>
      <w:pPr>
        <w:spacing w:after="120" w:line="276"/>
        <w:jc w:val="both"/>
      </w:pPr>
      <w:r>
        <w:rPr>
          <w:rFonts w:ascii="Barlow Semi Condensed" w:cs="Barlow Semi Condensed" w:eastAsia="Barlow Semi Condensed" w:hAnsi="Barlow Semi Condensed"/>
          <w:b/>
          <w:bCs/>
          <w:sz w:val="24"/>
          <w:szCs w:val="24"/>
        </w:rPr>
        <w:t xml:space="preserve">4595 · I diacritici sono chiavi di ricerca.</w:t>
      </w:r>
      <w:r>
        <w:rPr>
          <w:rFonts w:ascii="Barlow Semi Condensed" w:cs="Barlow Semi Condensed" w:eastAsia="Barlow Semi Condensed" w:hAnsi="Barlow Semi Condensed"/>
          <w:sz w:val="24"/>
          <w:szCs w:val="24"/>
        </w:rPr>
        <w:t xml:space="preserve"> Il branch conserva Ağca, İpekçi, Marušič, Valenčič nella grafia propria. La scelta ha una conseguenza tecnica: una ricerca sulla stringa priva di segni non li trova. Ogni verifica meccanica sul corpus deve perciò interrogare entrambe le grafie e dichiararlo, altrimenti produce assenze apparenti — la peggiore specie di Stato Zero, un vuoto fabbricato dallo strumento e non riscontrato nell'archivio.</w:t>
      </w:r>
    </w:p>
    <w:p>
      <w:pPr>
        <w:spacing w:after="120" w:line="276"/>
        <w:jc w:val="both"/>
      </w:pPr>
      <w:r>
        <w:rPr>
          <w:rFonts w:ascii="Barlow Semi Condensed" w:cs="Barlow Semi Condensed" w:eastAsia="Barlow Semi Condensed" w:hAnsi="Barlow Semi Condensed"/>
          <w:b/>
          <w:bCs/>
          <w:sz w:val="24"/>
          <w:szCs w:val="24"/>
        </w:rPr>
        <w:t xml:space="preserve">4596 · Lo Stato Zero prodotto da una stringa.</w:t>
      </w:r>
      <w:r>
        <w:rPr>
          <w:rFonts w:ascii="Barlow Semi Condensed" w:cs="Barlow Semi Condensed" w:eastAsia="Barlow Semi Condensed" w:hAnsi="Barlow Semi Condensed"/>
          <w:sz w:val="24"/>
          <w:szCs w:val="24"/>
        </w:rPr>
        <w:t xml:space="preserve"> Il verbale delle sei letture incrociate della seconda campagna registra uno Stato Zero condiviso ricavato da zero occorrenze di un nome e di una data. Il metodo è buono e ha un limite da scrivergli accanto: un conteggio vale quanto la stringa interrogata. Bersaglio di smentita di quel passaggio, ripetere la ricerca sulle varianti grafiche e sulle forme in lingua straniera prima di consolidarlo.</w:t>
      </w:r>
    </w:p>
    <w:p>
      <w:pPr>
        <w:spacing w:after="120" w:line="276"/>
        <w:jc w:val="both"/>
      </w:pPr>
      <w:r>
        <w:rPr>
          <w:rFonts w:ascii="Barlow Semi Condensed" w:cs="Barlow Semi Condensed" w:eastAsia="Barlow Semi Condensed" w:hAnsi="Barlow Semi Condensed"/>
          <w:b/>
          <w:bCs/>
          <w:sz w:val="24"/>
          <w:szCs w:val="24"/>
        </w:rPr>
        <w:t xml:space="preserve">4597 · Il titolo tedesco verificato per intero.</w:t>
      </w:r>
      <w:r>
        <w:rPr>
          <w:rFonts w:ascii="Barlow Semi Condensed" w:cs="Barlow Semi Condensed" w:eastAsia="Barlow Semi Condensed" w:hAnsi="Barlow Semi Condensed"/>
          <w:sz w:val="24"/>
          <w:szCs w:val="24"/>
        </w:rPr>
        <w:t xml:space="preserve"> La verifica della seconda campagna riporta per esteso, in tedesco, il titolo del Trattato di Varsavia del 7 dicembre 1970. Accanto, il blocco 596 rileva che la formula corrente «il Bundestag ratificò» è imprecisa. Le due osservazioni sono la stessa osservazione: la precisione lessicale nella lingua originale smaschera le abbreviazioni comode. Nessun documento di quella sequenza nomina il soggetto di quest'opera.</w:t>
      </w:r>
    </w:p>
    <w:p>
      <w:pPr>
        <w:spacing w:after="120" w:line="276"/>
        <w:jc w:val="both"/>
      </w:pPr>
      <w:r>
        <w:rPr>
          <w:rFonts w:ascii="Barlow Semi Condensed" w:cs="Barlow Semi Condensed" w:eastAsia="Barlow Semi Condensed" w:hAnsi="Barlow Semi Condensed"/>
          <w:b/>
          <w:bCs/>
          <w:sz w:val="24"/>
          <w:szCs w:val="24"/>
        </w:rPr>
        <w:t xml:space="preserve">4598 · Diciassette oppure diciotto gennaio.</w:t>
      </w:r>
      <w:r>
        <w:rPr>
          <w:rFonts w:ascii="Barlow Semi Condensed" w:cs="Barlow Semi Condensed" w:eastAsia="Barlow Semi Condensed" w:hAnsi="Barlow Semi Condensed"/>
          <w:sz w:val="24"/>
          <w:szCs w:val="24"/>
        </w:rPr>
        <w:t xml:space="preserve"> Sul riconoscimento italiano della Repubblica Democratica Tedesca le fonti italiane danno il 17 gennaio 1973 e una fonte istituzionale tedesca il 18. Prima di dichiararla divergenza sostanziale si applichi il test del blocco 588: verificare se i due sistemi datino atti diversi — la decisione, la nota verbale, la pubblicazione. Molte divergenze fra archivi nazionali si dissolvono così, e questa ne è candidata.</w:t>
      </w:r>
    </w:p>
    <w:p>
      <w:pPr>
        <w:spacing w:after="120" w:line="276"/>
        <w:jc w:val="both"/>
      </w:pPr>
      <w:r>
        <w:rPr>
          <w:rFonts w:ascii="Barlow Semi Condensed" w:cs="Barlow Semi Condensed" w:eastAsia="Barlow Semi Condensed" w:hAnsi="Barlow Semi Condensed"/>
          <w:b/>
          <w:bCs/>
          <w:sz w:val="24"/>
          <w:szCs w:val="24"/>
        </w:rPr>
        <w:t xml:space="preserve">4599 · Imperativo de Consciência, titolo conservato.</w:t>
      </w:r>
      <w:r>
        <w:rPr>
          <w:rFonts w:ascii="Barlow Semi Condensed" w:cs="Barlow Semi Condensed" w:eastAsia="Barlow Semi Condensed" w:hAnsi="Barlow Semi Condensed"/>
          <w:sz w:val="24"/>
          <w:szCs w:val="24"/>
        </w:rPr>
        <w:t xml:space="preserve"> La ricognizione portoghese conserva in portoghese il titolo del documento del 12 febbraio 1974 e allarga a 10-14 aprile 1974 la forbice sulla data dell'espulsione da Nampula. Titolo in originale e forbice dichiarata sono due atti del medesimo metodo. Si osservi che la forbice si allarga in verifica: una ricerca onesta produce anche incertezza nuova, e la registra invece di sopprimerla.</w:t>
      </w:r>
    </w:p>
    <w:p>
      <w:pPr>
        <w:spacing w:after="120" w:line="276"/>
        <w:jc w:val="both"/>
      </w:pPr>
      <w:r>
        <w:rPr>
          <w:rFonts w:ascii="Barlow Semi Condensed" w:cs="Barlow Semi Condensed" w:eastAsia="Barlow Semi Condensed" w:hAnsi="Barlow Semi Condensed"/>
          <w:b/>
          <w:bCs/>
          <w:sz w:val="24"/>
          <w:szCs w:val="24"/>
        </w:rPr>
        <w:t xml:space="preserve">4600 · Santa Sé dentro un testo italiano.</w:t>
      </w:r>
      <w:r>
        <w:rPr>
          <w:rFonts w:ascii="Barlow Semi Condensed" w:cs="Barlow Semi Condensed" w:eastAsia="Barlow Semi Condensed" w:hAnsi="Barlow Semi Condensed"/>
          <w:sz w:val="24"/>
          <w:szCs w:val="24"/>
        </w:rPr>
        <w:t xml:space="preserve"> Il file portogallo-opus-dei.md e il README della cartella scrivono «Santa Sé», forma portoghese, dentro prosa italiana. È intrusione lessicale della lingua della ricerca nella lingua della scrittura: fenomeno comune e mai innocuo, perché segnala su quale documentazione il passo fu redatto. Si riporta come variante, non si corregge in silenzio, e diventa indizio utile sulla filiera delle fonti impiegate.</w:t>
      </w:r>
    </w:p>
    <w:p>
      <w:pPr>
        <w:spacing w:after="120" w:line="276"/>
        <w:jc w:val="both"/>
      </w:pPr>
      <w:r>
        <w:rPr>
          <w:rFonts w:ascii="Barlow Semi Condensed" w:cs="Barlow Semi Condensed" w:eastAsia="Barlow Semi Condensed" w:hAnsi="Barlow Semi Condensed"/>
          <w:b/>
          <w:bCs/>
          <w:sz w:val="24"/>
          <w:szCs w:val="24"/>
        </w:rPr>
        <w:t xml:space="preserve">4601 · La lingua dell'istanza spagnola.</w:t>
      </w:r>
      <w:r>
        <w:rPr>
          <w:rFonts w:ascii="Barlow Semi Condensed" w:cs="Barlow Semi Condensed" w:eastAsia="Barlow Semi Condensed" w:hAnsi="Barlow Semi Condensed"/>
          <w:sz w:val="24"/>
          <w:szCs w:val="24"/>
        </w:rPr>
        <w:t xml:space="preserve"> Le sedi indicate dalla ricognizione-madre per il versante iberico — Archivo General de la Administración, portale PARES, Censo-Guía, Archivo General del Ministerio de Asuntos Exteriores — rispondono in spagnolo e nel proprio vocabolario giuridico. Vale il blocco 248 del manuale investigativo: metà dei dinieghi storici sono dinieghi di traduzione. L'istanza si redige nella lingua della sede e con la terminologia della sede.</w:t>
      </w:r>
    </w:p>
    <w:p>
      <w:pPr>
        <w:spacing w:after="120" w:line="276"/>
        <w:jc w:val="both"/>
      </w:pPr>
      <w:r>
        <w:rPr>
          <w:rFonts w:ascii="Barlow Semi Condensed" w:cs="Barlow Semi Condensed" w:eastAsia="Barlow Semi Condensed" w:hAnsi="Barlow Semi Condensed"/>
          <w:b/>
          <w:bCs/>
          <w:sz w:val="24"/>
          <w:szCs w:val="24"/>
        </w:rPr>
        <w:t xml:space="preserve">4602 · L'indice della biografia López Bravo.</w:t>
      </w:r>
      <w:r>
        <w:rPr>
          <w:rFonts w:ascii="Barlow Semi Condensed" w:cs="Barlow Semi Condensed" w:eastAsia="Barlow Semi Condensed" w:hAnsi="Barlow Semi Condensed"/>
          <w:sz w:val="24"/>
          <w:szCs w:val="24"/>
        </w:rPr>
        <w:t xml:space="preserve"> Bersaglio piccolo, eseguibile, mai eseguito. La biografia di Gabriel Pérez Gómez, López Bravo. Una biografía, Rialp, Madrid 2024, trecentotrentuno pagine, è la novità storiografica del versante spagnolo e non esiste in italiano. Va verificato sull'indice dei nomi se vi compaia il Segretario di Stato americano, e a quali pagine. Esito atteso incerto; l'esito negativo si dichiara con perimetro.</w:t>
      </w:r>
    </w:p>
    <w:p>
      <w:pPr>
        <w:spacing w:after="120" w:line="276"/>
        <w:jc w:val="both"/>
      </w:pPr>
      <w:r>
        <w:rPr>
          <w:rFonts w:ascii="Barlow Semi Condensed" w:cs="Barlow Semi Condensed" w:eastAsia="Barlow Semi Condensed" w:hAnsi="Barlow Semi Condensed"/>
          <w:b/>
          <w:bCs/>
          <w:sz w:val="24"/>
          <w:szCs w:val="24"/>
        </w:rPr>
        <w:t xml:space="preserve">4603 · Official non significa ministro.</w:t>
      </w:r>
      <w:r>
        <w:rPr>
          <w:rFonts w:ascii="Barlow Semi Condensed" w:cs="Barlow Semi Condensed" w:eastAsia="Barlow Semi Condensed" w:hAnsi="Barlow Semi Condensed"/>
          <w:sz w:val="24"/>
          <w:szCs w:val="24"/>
        </w:rPr>
        <w:t xml:space="preserve"> Il documento CIA del 22 maggio 1970 contiene una frase deliberatamente anonima su un «Italian official», che le ricognizioni vietano espressamente di attribuire ad Aldo Moro. Il divieto ha anche ragione lessicale: official copre in inglese una gamma che va dal funzionario di carriera al titolare politico. Renderlo con «ministro» compirebbe l'attribuzione che il documento evita. Si conservi l'inglese fra virgolette.</w:t>
      </w:r>
    </w:p>
    <w:p>
      <w:pPr>
        <w:spacing w:after="120" w:line="276"/>
        <w:jc w:val="both"/>
      </w:pPr>
      <w:r>
        <w:rPr>
          <w:rFonts w:ascii="Barlow Semi Condensed" w:cs="Barlow Semi Condensed" w:eastAsia="Barlow Semi Condensed" w:hAnsi="Barlow Semi Condensed"/>
          <w:b/>
          <w:bCs/>
          <w:sz w:val="24"/>
          <w:szCs w:val="24"/>
        </w:rPr>
        <w:t xml:space="preserve">4604 · Una divergenza che non è linguistica.</w:t>
      </w:r>
      <w:r>
        <w:rPr>
          <w:rFonts w:ascii="Barlow Semi Condensed" w:cs="Barlow Semi Condensed" w:eastAsia="Barlow Semi Condensed" w:hAnsi="Barlow Semi Condensed"/>
          <w:sz w:val="24"/>
          <w:szCs w:val="24"/>
        </w:rPr>
        <w:t xml:space="preserve"> Il verbale delle sei letture incrociate registra che il saggio di Guido Levi è citato una volta alle pagine 69-101 e una volta alle 69-102, con identica citazione testuale. Nessuna lingua è di mezzo: è errore di trascrizione numerica, da chiudere sul fascicolo originale di «Spagna contemporanea». Il blocco lo isola perché la serie non gonfi il proprio territorio con casi che non le appartengono.</w:t>
      </w:r>
    </w:p>
    <w:p>
      <w:pPr>
        <w:spacing w:after="120" w:line="276"/>
        <w:jc w:val="both"/>
      </w:pPr>
      <w:r>
        <w:rPr>
          <w:rFonts w:ascii="Barlow Semi Condensed" w:cs="Barlow Semi Condensed" w:eastAsia="Barlow Semi Condensed" w:hAnsi="Barlow Semi Condensed"/>
          <w:b/>
          <w:bCs/>
          <w:sz w:val="24"/>
          <w:szCs w:val="24"/>
        </w:rPr>
        <w:t xml:space="preserve">4605 · Le pagine inglesi dell'ente.</w:t>
      </w:r>
      <w:r>
        <w:rPr>
          <w:rFonts w:ascii="Barlow Semi Condensed" w:cs="Barlow Semi Condensed" w:eastAsia="Barlow Semi Condensed" w:hAnsi="Barlow Semi Condensed"/>
          <w:sz w:val="24"/>
          <w:szCs w:val="24"/>
        </w:rPr>
        <w:t xml:space="preserve"> Per la Turchia la ricognizione cita pagine dell'Opus Dei in lingua inglese relative a una residenza universitaria di Strasburgo. La lingua della fonte non coincide né col Paese oggetto né con quello della sede descritta. È autodescrizione istituzionale, piano 3 quanto alla presenza dell'ente in Turchia, e come tale è dichiarata. Si registra qui perché la lingua di una fonte non ne misura la pertinenza.</w:t>
      </w:r>
    </w:p>
    <w:p>
      <w:pPr>
        <w:spacing w:after="120" w:line="276"/>
        <w:jc w:val="both"/>
      </w:pPr>
      <w:r>
        <w:rPr>
          <w:rFonts w:ascii="Barlow Semi Condensed" w:cs="Barlow Semi Condensed" w:eastAsia="Barlow Semi Condensed" w:hAnsi="Barlow Semi Condensed"/>
          <w:b/>
          <w:bCs/>
          <w:sz w:val="24"/>
          <w:szCs w:val="24"/>
        </w:rPr>
        <w:t xml:space="preserve">4606 · Un accostamento in una terza lingua.</w:t>
      </w:r>
      <w:r>
        <w:rPr>
          <w:rFonts w:ascii="Barlow Semi Condensed" w:cs="Barlow Semi Condensed" w:eastAsia="Barlow Semi Condensed" w:hAnsi="Barlow Semi Condensed"/>
          <w:sz w:val="24"/>
          <w:szCs w:val="24"/>
        </w:rPr>
        <w:t xml:space="preserve"> Daily Sabah, quotidiano turco in lingua inglese, accosta il movimento di Gülen all'Opus Dei sul piano comparativo e polemico. L'accostamento non prova alcuna presenza ed è così qualificato dalla ricognizione. Vale come promemoria del territorio: una comparazione formulata in una lingua terza rispetto a entrambi i termini è omologia soltanto apparente, e il blocco 576 chiede il documento, non la somiglianza.</w:t>
      </w:r>
    </w:p>
    <w:p>
      <w:pPr>
        <w:spacing w:after="120" w:line="276"/>
        <w:jc w:val="both"/>
      </w:pPr>
      <w:r>
        <w:rPr>
          <w:rFonts w:ascii="Barlow Semi Condensed" w:cs="Barlow Semi Condensed" w:eastAsia="Barlow Semi Condensed" w:hAnsi="Barlow Semi Condensed"/>
          <w:b/>
          <w:bCs/>
          <w:sz w:val="24"/>
          <w:szCs w:val="24"/>
        </w:rPr>
        <w:t xml:space="preserve">4607 · Il Che letto in traduzione inglese.</w:t>
      </w:r>
      <w:r>
        <w:rPr>
          <w:rFonts w:ascii="Barlow Semi Condensed" w:cs="Barlow Semi Condensed" w:eastAsia="Barlow Semi Condensed" w:hAnsi="Barlow Semi Condensed"/>
          <w:sz w:val="24"/>
          <w:szCs w:val="24"/>
        </w:rPr>
        <w:t xml:space="preserve"> La bibliografia critica guevariana poggia le fonti primarie sul Marxists Internet Archive, dove il discorso all'ONU dell'11 dicembre 1964 compare col titolo inglese «Colonialism is Doomed». Lo strato più alto del corpus guevariano è dunque, in larga parte, una traduzione. È fatto da dichiarare e non da nascondere: il grado non cala, ma il testimone che si legge è di secondo grado.</w:t>
      </w:r>
    </w:p>
    <w:p>
      <w:pPr>
        <w:spacing w:after="120" w:line="276"/>
        <w:jc w:val="both"/>
      </w:pPr>
      <w:r>
        <w:rPr>
          <w:rFonts w:ascii="Barlow Semi Condensed" w:cs="Barlow Semi Condensed" w:eastAsia="Barlow Semi Condensed" w:hAnsi="Barlow Semi Condensed"/>
          <w:b/>
          <w:bCs/>
          <w:sz w:val="24"/>
          <w:szCs w:val="24"/>
        </w:rPr>
        <w:t xml:space="preserve">4608 · L'incipit del Congo, in due lingue.</w:t>
      </w:r>
      <w:r>
        <w:rPr>
          <w:rFonts w:ascii="Barlow Semi Condensed" w:cs="Barlow Semi Condensed" w:eastAsia="Barlow Semi Condensed" w:hAnsi="Barlow Semi Condensed"/>
          <w:sz w:val="24"/>
          <w:szCs w:val="24"/>
        </w:rPr>
        <w:t xml:space="preserve"> Il corpus apre la campagna congolese con «Questa è la storia di un fallimento», resa italiana dell'incipit di Pasajes de la guerra revolucionaria: Congo. La formula è citata senza l'originale spagnolo a fronte. La correzione è di un rigo e va fatta, perché dove una frase porta il peso di un'intera lettura la si adduce nella lingua in cui fu scritta.</w:t>
      </w:r>
    </w:p>
    <w:p>
      <w:pPr>
        <w:spacing w:after="120" w:line="276"/>
        <w:jc w:val="both"/>
      </w:pPr>
      <w:r>
        <w:rPr>
          <w:rFonts w:ascii="Barlow Semi Condensed" w:cs="Barlow Semi Condensed" w:eastAsia="Barlow Semi Condensed" w:hAnsi="Barlow Semi Condensed"/>
          <w:b/>
          <w:bCs/>
          <w:sz w:val="24"/>
          <w:szCs w:val="24"/>
        </w:rPr>
        <w:t xml:space="preserve">4609 · La catena russa di Lavretski.</w:t>
      </w:r>
      <w:r>
        <w:rPr>
          <w:rFonts w:ascii="Barlow Semi Condensed" w:cs="Barlow Semi Condensed" w:eastAsia="Barlow Semi Condensed" w:hAnsi="Barlow Semi Condensed"/>
          <w:sz w:val="24"/>
          <w:szCs w:val="24"/>
        </w:rPr>
        <w:t xml:space="preserve"> Due dati sopravvivono nel corpus guevariano appoggiati alla sola biografia sovietica di Iosif Lavretski, edita da Progress Publishers: la presenza di Mikoyan all'Avana nel marzo 1965 e i milletrecentoventitré atti di sovversione del 1964. Fra l'autore e il lettore italiano stanno un originale russo e almeno una traduzione. La catena si dichiara, e i due dati restano non riscontrati.</w:t>
      </w:r>
    </w:p>
    <w:p>
      <w:pPr>
        <w:spacing w:after="120" w:line="276"/>
        <w:jc w:val="both"/>
      </w:pPr>
      <w:r>
        <w:rPr>
          <w:rFonts w:ascii="Barlow Semi Condensed" w:cs="Barlow Semi Condensed" w:eastAsia="Barlow Semi Condensed" w:hAnsi="Barlow Semi Condensed"/>
          <w:b/>
          <w:bCs/>
          <w:sz w:val="24"/>
          <w:szCs w:val="24"/>
        </w:rPr>
        <w:t xml:space="preserve">4610 · Un sito di traduzioni fra le espunte.</w:t>
      </w:r>
      <w:r>
        <w:rPr>
          <w:rFonts w:ascii="Barlow Semi Condensed" w:cs="Barlow Semi Condensed" w:eastAsia="Barlow Semi Condensed" w:hAnsi="Barlow Semi Condensed"/>
          <w:sz w:val="24"/>
          <w:szCs w:val="24"/>
        </w:rPr>
        <w:t xml:space="preserve"> L'elenco di trasparenza della bibliografia guevariana registra fra le fonti sostituite translatingcuba.com, insieme ad altri siti d'opinione. La motivazione fu la debolezza dello statuto, non la lingua. Il caso vale come regola: si declassa una fonte per ciò che è, mai per l'idioma in cui scrive, e un sito di traduzioni non è meno affidabile di un originale debole.</w:t>
      </w:r>
    </w:p>
    <w:p>
      <w:pPr>
        <w:spacing w:after="120" w:line="276"/>
        <w:jc w:val="both"/>
      </w:pPr>
      <w:r>
        <w:rPr>
          <w:rFonts w:ascii="Barlow Semi Condensed" w:cs="Barlow Semi Condensed" w:eastAsia="Barlow Semi Condensed" w:hAnsi="Barlow Semi Condensed"/>
          <w:b/>
          <w:bCs/>
          <w:sz w:val="24"/>
          <w:szCs w:val="24"/>
        </w:rPr>
        <w:t xml:space="preserve">4611 · Ñancahuazú, toponimo passato per l'inglese.</w:t>
      </w:r>
      <w:r>
        <w:rPr>
          <w:rFonts w:ascii="Barlow Semi Condensed" w:cs="Barlow Semi Condensed" w:eastAsia="Barlow Semi Condensed" w:hAnsi="Barlow Semi Condensed"/>
          <w:sz w:val="24"/>
          <w:szCs w:val="24"/>
        </w:rPr>
        <w:t xml:space="preserve"> Il corpus indica fra le voci enciclopediche adoperate «Ñancahuazú Guerrilla», titolo inglese per un toponimo boliviano di ceppo guaraní. La medesima triangolazione registra, sul versante genealogico, la discendenza guaraní per via di Martínez de Irala. Due lingue minori attraversano il corpus senza esservi mai nominate come tali: si annoti, perché il toponimo è la chiave d'accesso agli archivi locali.</w:t>
      </w:r>
    </w:p>
    <w:p>
      <w:pPr>
        <w:spacing w:after="120" w:line="276"/>
        <w:jc w:val="both"/>
      </w:pPr>
      <w:r>
        <w:rPr>
          <w:rFonts w:ascii="Barlow Semi Condensed" w:cs="Barlow Semi Condensed" w:eastAsia="Barlow Semi Condensed" w:hAnsi="Barlow Semi Condensed"/>
          <w:b/>
          <w:bCs/>
          <w:sz w:val="24"/>
          <w:szCs w:val="24"/>
        </w:rPr>
        <w:t xml:space="preserve">4612 · Il nome assente dal corpus guevariano.</w:t>
      </w:r>
      <w:r>
        <w:rPr>
          <w:rFonts w:ascii="Barlow Semi Condensed" w:cs="Barlow Semi Condensed" w:eastAsia="Barlow Semi Condensed" w:hAnsi="Barlow Semi Condensed"/>
          <w:sz w:val="24"/>
          <w:szCs w:val="24"/>
        </w:rPr>
        <w:t xml:space="preserve"> Verifica meccanica sui cinque studi e sulla bibliografia critica: nei file guevariani il nome non compare. L'assenza è coerente con le date, poiché gli incarichi registrati dall'opera cominciano nel gennaio 1969 e la campagna boliviana si chiude nell'ottobre 1967. Si dichiara Stato Zero, e la sede che lo chiuderebbe è l'Electronic Briefing Book della National Security Archive sul 1967.</w:t>
      </w:r>
    </w:p>
    <w:p>
      <w:pPr>
        <w:spacing w:after="120" w:line="276"/>
        <w:jc w:val="both"/>
      </w:pPr>
      <w:r>
        <w:rPr>
          <w:rFonts w:ascii="Barlow Semi Condensed" w:cs="Barlow Semi Condensed" w:eastAsia="Barlow Semi Condensed" w:hAnsi="Barlow Semi Condensed"/>
          <w:b/>
          <w:bCs/>
          <w:sz w:val="24"/>
          <w:szCs w:val="24"/>
        </w:rPr>
        <w:t xml:space="preserve">4613 · Una variante di titolo dichiarata in nota.</w:t>
      </w:r>
      <w:r>
        <w:rPr>
          <w:rFonts w:ascii="Barlow Semi Condensed" w:cs="Barlow Semi Condensed" w:eastAsia="Barlow Semi Condensed" w:hAnsi="Barlow Semi Condensed"/>
          <w:sz w:val="24"/>
          <w:szCs w:val="24"/>
        </w:rPr>
        <w:t xml:space="preserve"> Gli articoli allergologici messicani del 1953-1955 entrano nel corpus con una variante di titolo segnalata in nota, in spagnolo. È il comportamento corretto davanti a due forme di un medesimo titolo: si riportano entrambe e si rinvia al fascicolo della Revista Iberoamericana de Alergología. Il modello si applica identico alle varianti dei titoli inglesi e tedeschi che il branch cita altrove.</w:t>
      </w:r>
    </w:p>
    <w:p>
      <w:pPr>
        <w:spacing w:after="120" w:line="276"/>
        <w:jc w:val="both"/>
      </w:pPr>
      <w:r>
        <w:rPr>
          <w:rFonts w:ascii="Barlow Semi Condensed" w:cs="Barlow Semi Condensed" w:eastAsia="Barlow Semi Condensed" w:hAnsi="Barlow Semi Condensed"/>
          <w:b/>
          <w:bCs/>
          <w:sz w:val="24"/>
          <w:szCs w:val="24"/>
        </w:rPr>
        <w:t xml:space="preserve">4614 · Sloveni giudicati in lingua italiana.</w:t>
      </w:r>
      <w:r>
        <w:rPr>
          <w:rFonts w:ascii="Barlow Semi Condensed" w:cs="Barlow Semi Condensed" w:eastAsia="Barlow Semi Condensed" w:hAnsi="Barlow Semi Condensed"/>
          <w:sz w:val="24"/>
          <w:szCs w:val="24"/>
        </w:rPr>
        <w:t xml:space="preserve"> Il sottonodo S-3 documenta i due processi di Trieste: quattro fucilati a Basovizza il 6 settembre 1930 — Bidovec, Marušič, Miloš, Valenčič — e sessanta imputati sloveni nel dicembre 1941. Un tribunale che giudica in una lingua imputati che ne parlano un'altra è il caso linguistico più grave del branch. Il soggetto di quest'opera vi è estraneo per anteriorità: nessun quesito è formulabile.</w:t>
      </w:r>
    </w:p>
    <w:p>
      <w:pPr>
        <w:spacing w:after="120" w:line="276"/>
        <w:jc w:val="both"/>
      </w:pPr>
      <w:r>
        <w:rPr>
          <w:rFonts w:ascii="Barlow Semi Condensed" w:cs="Barlow Semi Condensed" w:eastAsia="Barlow Semi Condensed" w:hAnsi="Barlow Semi Condensed"/>
          <w:b/>
          <w:bCs/>
          <w:sz w:val="24"/>
          <w:szCs w:val="24"/>
        </w:rPr>
        <w:t xml:space="preserve">4615 · Tre glossari stranieri da interrogare.</w:t>
      </w:r>
      <w:r>
        <w:rPr>
          <w:rFonts w:ascii="Barlow Semi Condensed" w:cs="Barlow Semi Condensed" w:eastAsia="Barlow Semi Condensed" w:hAnsi="Barlow Semi Condensed"/>
          <w:sz w:val="24"/>
          <w:szCs w:val="24"/>
        </w:rPr>
        <w:t xml:space="preserve"> I nove cantieri prevedono il glossario britannico al blocco 29, quello francese al 64, quello tedesco al 112: come Londra, Parigi e Bonn chiamavano le cose. Il bersaglio che si aggiunge qui è puntuale — cercare in ciascuno dei tre fondi la ricorrenza del nome nella grafia locale e datarne la prima occorrenza. Tre ricerche indipendenti, una tavola, le divergenze come prodotto.</w:t>
      </w:r>
    </w:p>
    <w:p>
      <w:pPr>
        <w:spacing w:after="120" w:line="276"/>
        <w:jc w:val="both"/>
      </w:pPr>
      <w:r>
        <w:rPr>
          <w:rFonts w:ascii="Barlow Semi Condensed" w:cs="Barlow Semi Condensed" w:eastAsia="Barlow Semi Condensed" w:hAnsi="Barlow Semi Condensed"/>
          <w:b/>
          <w:bCs/>
          <w:sz w:val="24"/>
          <w:szCs w:val="24"/>
        </w:rPr>
        <w:t xml:space="preserve">4616 · Tradurre il corpus senza retrovertire.</w:t>
      </w:r>
      <w:r>
        <w:rPr>
          <w:rFonts w:ascii="Barlow Semi Condensed" w:cs="Barlow Semi Condensed" w:eastAsia="Barlow Semi Condensed" w:hAnsi="Barlow Semi Condensed"/>
          <w:sz w:val="24"/>
          <w:szCs w:val="24"/>
        </w:rPr>
        <w:t xml:space="preserve"> Il blocco 550 dei nove cantieri propone l'edizione inglese commentata del corpus della prigionia, e il blocco 294 censisce l'editoria estera. Il rischio è preciso e va scritto nei criteri editoriali: una frase attribuita in italiano a un parlante inglese, tradotta in inglese, torna al lettore con l'aspetto dell'originale. La regola è vietare la retroversione priva di avvertenza tipografica esplicita.</w:t>
      </w:r>
    </w:p>
    <w:p>
      <w:pPr>
        <w:spacing w:after="120" w:line="276"/>
        <w:jc w:val="both"/>
      </w:pPr>
      <w:r>
        <w:rPr>
          <w:rFonts w:ascii="Barlow Semi Condensed" w:cs="Barlow Semi Condensed" w:eastAsia="Barlow Semi Condensed" w:hAnsi="Barlow Semi Condensed"/>
          <w:b/>
          <w:bCs/>
          <w:sz w:val="24"/>
          <w:szCs w:val="24"/>
        </w:rPr>
        <w:t xml:space="preserve">4617 · La prima voce del glossario pubblico.</w:t>
      </w:r>
      <w:r>
        <w:rPr>
          <w:rFonts w:ascii="Barlow Semi Condensed" w:cs="Barlow Semi Condensed" w:eastAsia="Barlow Semi Condensed" w:hAnsi="Barlow Semi Condensed"/>
          <w:sz w:val="24"/>
          <w:szCs w:val="24"/>
        </w:rPr>
        <w:t xml:space="preserve"> Il blocco 775 chiede un glossario delle parole tecniche del caso in lingua piana. Si propone come prima voce «ultimatum», perché è il termine che la circolazione applica al verbale del 25 settembre 1974 e che il verbale non contiene. La voce dovrà dire che cosa il documento attesta, che cosa la parafrasi vi aggiunge, e dove la differenza si verifica.</w:t>
      </w:r>
    </w:p>
    <w:p>
      <w:pPr>
        <w:spacing w:after="120" w:line="276"/>
        <w:jc w:val="both"/>
      </w:pPr>
      <w:r>
        <w:rPr>
          <w:rFonts w:ascii="Barlow Semi Condensed" w:cs="Barlow Semi Condensed" w:eastAsia="Barlow Semi Condensed" w:hAnsi="Barlow Semi Condensed"/>
          <w:b/>
          <w:bCs/>
          <w:sz w:val="24"/>
          <w:szCs w:val="24"/>
        </w:rPr>
        <w:t xml:space="preserve">4618 · Il registro linguistico è di altro lavoro.</w:t>
      </w:r>
      <w:r>
        <w:rPr>
          <w:rFonts w:ascii="Barlow Semi Condensed" w:cs="Barlow Semi Condensed" w:eastAsia="Barlow Semi Condensed" w:hAnsi="Barlow Semi Condensed"/>
          <w:sz w:val="24"/>
          <w:szCs w:val="24"/>
        </w:rPr>
        <w:t xml:space="preserve"> Il file _meta/registro-linguistico-tracker.md documenta una passata su acronimi, lunghezza delle frasi e latinismi: riguarda però lo studio pugliese sullo Psicologo di Base, non il corpus storico. Ne discende un fatto da verbalizzare: il corpus storico non ha mai avuto una passata di registro linguistico. La sede che chiude la lacuna non è un archivio ma una passata da eseguire, con criteri dichiarati.</w:t>
      </w:r>
    </w:p>
    <w:p>
      <w:pPr>
        <w:spacing w:after="120" w:line="276"/>
        <w:jc w:val="both"/>
      </w:pPr>
      <w:r>
        <w:rPr>
          <w:rFonts w:ascii="Barlow Semi Condensed" w:cs="Barlow Semi Condensed" w:eastAsia="Barlow Semi Condensed" w:hAnsi="Barlow Semi Condensed"/>
          <w:b/>
          <w:bCs/>
          <w:sz w:val="24"/>
          <w:szCs w:val="24"/>
        </w:rPr>
        <w:t xml:space="preserve">4619 · Nessuna lingua dichiarata per il corpus storico.</w:t>
      </w:r>
      <w:r>
        <w:rPr>
          <w:rFonts w:ascii="Barlow Semi Condensed" w:cs="Barlow Semi Condensed" w:eastAsia="Barlow Semi Condensed" w:hAnsi="Barlow Semi Condensed"/>
          <w:sz w:val="24"/>
          <w:szCs w:val="24"/>
        </w:rPr>
        <w:t xml:space="preserve"> I metadati di deposito del repository dichiarano «Lingua: Italiano», e il dittico Crusca-Oxford dei paper accademici offre una coppia italiano-inglese: entrambi appartengono al lavoro sanitario. Per il corpus storico non esiste né scheda di deposito con lingua dichiarata né versione in altra lingua. È Stato Zero editoriale e non archivistico, e si chiude con un atto dell'autore, non con un'istanza.</w:t>
      </w:r>
    </w:p>
    <w:p>
      <w:pPr>
        <w:spacing w:after="120" w:line="276"/>
        <w:jc w:val="both"/>
      </w:pPr>
      <w:r>
        <w:rPr>
          <w:rFonts w:ascii="Barlow Semi Condensed" w:cs="Barlow Semi Condensed" w:eastAsia="Barlow Semi Condensed" w:hAnsi="Barlow Semi Condensed"/>
          <w:b/>
          <w:bCs/>
          <w:sz w:val="24"/>
          <w:szCs w:val="24"/>
        </w:rPr>
        <w:t xml:space="preserve">4620 · Che cosa questa serie non ha stabilito (serie LX).</w:t>
      </w:r>
      <w:r>
        <w:rPr>
          <w:rFonts w:ascii="Barlow Semi Condensed" w:cs="Barlow Semi Condensed" w:eastAsia="Barlow Semi Condensed" w:hAnsi="Barlow Semi Condensed"/>
          <w:sz w:val="24"/>
          <w:szCs w:val="24"/>
        </w:rPr>
        <w:t xml:space="preserve"> Nessun blocco ha trovato un documento in cui una questione di lingua, di traduzione o di interpretariato leghi il nome studiato al caso Moro oltre ciò che il corpus già registrava. L'unico piano 1 resta il verbale del 25 settembre 1974, che non contiene alcun ultimatum personale. Henry Kissinger non fu mai imputato né processato in alcun Paese: nessuna riga qui è leggibile altrimenti.</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Serie sessantunesima — Gli Stati Zero dell’opera, censiti</w:t>
      </w:r>
    </w:p>
    <w:p>
      <w:pPr>
        <w:spacing w:after="120" w:line="276"/>
        <w:jc w:val="both"/>
      </w:pPr>
      <w:r>
        <w:rPr>
          <w:rFonts w:ascii="Barlow Semi Condensed" w:cs="Barlow Semi Condensed" w:eastAsia="Barlow Semi Condensed" w:hAnsi="Barlow Semi Condensed"/>
          <w:i/>
          <w:iCs/>
          <w:sz w:val="24"/>
          <w:szCs w:val="24"/>
        </w:rPr>
        <w:t xml:space="preserve">Blocchi 4621-4700.</w:t>
      </w:r>
    </w:p>
    <w:p>
      <w:pPr>
        <w:spacing w:after="120" w:line="276"/>
        <w:jc w:val="both"/>
      </w:pPr>
      <w:r>
        <w:rPr>
          <w:rFonts w:ascii="Barlow Semi Condensed" w:cs="Barlow Semi Condensed" w:eastAsia="Barlow Semi Condensed" w:hAnsi="Barlow Semi Condensed"/>
          <w:b/>
          <w:bCs/>
          <w:sz w:val="24"/>
          <w:szCs w:val="24"/>
        </w:rPr>
        <w:t xml:space="preserve">4621 · Statuto della serie sessantunesima.</w:t>
      </w:r>
      <w:r>
        <w:rPr>
          <w:rFonts w:ascii="Barlow Semi Condensed" w:cs="Barlow Semi Condensed" w:eastAsia="Barlow Semi Condensed" w:hAnsi="Barlow Semi Condensed"/>
          <w:sz w:val="24"/>
          <w:szCs w:val="24"/>
        </w:rPr>
        <w:t xml:space="preserve"> Questa serie non aggiunge bersagli: li conta. Il territorio assegnato è l'intero corpus letto per i soli esiti negativi che vi sono dichiarati, e il nome di Henry Kissinger vi entra come chiave di ricerca, non come tesi. Prodotto atteso: un registro dei vuoti con le sedi che li chiuderebbero. Nessun blocco afferma un fatto nuovo; ciascuno dice dove il corpus tace e chi potrebbe farlo parlare.</w:t>
      </w:r>
    </w:p>
    <w:p>
      <w:pPr>
        <w:spacing w:after="120" w:line="276"/>
        <w:jc w:val="both"/>
      </w:pPr>
      <w:r>
        <w:rPr>
          <w:rFonts w:ascii="Barlow Semi Condensed" w:cs="Barlow Semi Condensed" w:eastAsia="Barlow Semi Condensed" w:hAnsi="Barlow Semi Condensed"/>
          <w:b/>
          <w:bCs/>
          <w:sz w:val="24"/>
          <w:szCs w:val="24"/>
        </w:rPr>
        <w:t xml:space="preserve">4622 · Che cosa qui conta come vuoto.</w:t>
      </w:r>
      <w:r>
        <w:rPr>
          <w:rFonts w:ascii="Barlow Semi Condensed" w:cs="Barlow Semi Condensed" w:eastAsia="Barlow Semi Condensed" w:hAnsi="Barlow Semi Condensed"/>
          <w:sz w:val="24"/>
          <w:szCs w:val="24"/>
        </w:rPr>
        <w:t xml:space="preserve"> Si contano tre oggetti distinti, e la distinzione regge tutto il resto. Primo: la formula «Stato Zero», che il corpus usa come marcatura esplicita. Secondo: l'esito negativo scritto in prosa senza quella formula, come nella colonna delle smentite dell'apparato dei gradi. Terzo: l'assenza mai dichiarata, che nessuna stringa restituisce e che solo la lettura scopre. Confonderli produce un censimento del lessico, non della ricerca.</w:t>
      </w:r>
    </w:p>
    <w:p>
      <w:pPr>
        <w:spacing w:after="120" w:line="276"/>
        <w:jc w:val="both"/>
      </w:pPr>
      <w:r>
        <w:rPr>
          <w:rFonts w:ascii="Barlow Semi Condensed" w:cs="Barlow Semi Condensed" w:eastAsia="Barlow Semi Condensed" w:hAnsi="Barlow Semi Condensed"/>
          <w:b/>
          <w:bCs/>
          <w:sz w:val="24"/>
          <w:szCs w:val="24"/>
        </w:rPr>
        <w:t xml:space="preserve">4623 · Il conteggio meccanico, col denominatore.</w:t>
      </w:r>
      <w:r>
        <w:rPr>
          <w:rFonts w:ascii="Barlow Semi Condensed" w:cs="Barlow Semi Condensed" w:eastAsia="Barlow Semi Condensed" w:hAnsi="Barlow Semi Condensed"/>
          <w:sz w:val="24"/>
          <w:szCs w:val="24"/>
        </w:rPr>
        <w:t xml:space="preserve"> Verifica eseguita il 26 agosto 2026 sui sorgenti del branch: la stringa esatta «Stato Zero» ricorre centocinquantaquattro volte in diciotto file markdown, su cinquanta appartenenti al corpus storico. Perimetro dichiarato: soli file .md, nessuna variante flessa, nessun volume rilegato. Il numero misura occorrenze e non dichiarazioni distinte, perché un medesimo vuoto è richiamato più volte. Chi lo citi senza denominatore lo trasforma in impressione.</w:t>
      </w:r>
    </w:p>
    <w:p>
      <w:pPr>
        <w:spacing w:after="120" w:line="276"/>
        <w:jc w:val="both"/>
      </w:pPr>
      <w:r>
        <w:rPr>
          <w:rFonts w:ascii="Barlow Semi Condensed" w:cs="Barlow Semi Condensed" w:eastAsia="Barlow Semi Condensed" w:hAnsi="Barlow Semi Condensed"/>
          <w:b/>
          <w:bCs/>
          <w:sz w:val="24"/>
          <w:szCs w:val="24"/>
        </w:rPr>
        <w:t xml:space="preserve">4624 · L'auto-misurazione ormai scaduta.</w:t>
      </w:r>
      <w:r>
        <w:rPr>
          <w:rFonts w:ascii="Barlow Semi Condensed" w:cs="Barlow Semi Condensed" w:eastAsia="Barlow Semi Condensed" w:hAnsi="Barlow Semi Condensed"/>
          <w:sz w:val="24"/>
          <w:szCs w:val="24"/>
        </w:rPr>
        <w:t xml:space="preserve"> Il paragrafo sesto di metodologie-del-dossier-sinaptogenesi-e-strumenti.md registra, su trentasei documenti e 104.504 parole, la cifra «Stato Zero = 36». Il conteggio odierno la supera di oltre quattro volte, perché l'opera in mille blocchi su Kissinger, versata dopo, ne porta da sola cinquantasette. Accertamento meccanico: quella riga va ridatata per nota, secondo la regola del corpus che corregge annotando e non riscrivendo.</w:t>
      </w:r>
    </w:p>
    <w:p>
      <w:pPr>
        <w:spacing w:after="120" w:line="276"/>
        <w:jc w:val="both"/>
      </w:pPr>
      <w:r>
        <w:rPr>
          <w:rFonts w:ascii="Barlow Semi Condensed" w:cs="Barlow Semi Condensed" w:eastAsia="Barlow Semi Condensed" w:hAnsi="Barlow Semi Condensed"/>
          <w:b/>
          <w:bCs/>
          <w:sz w:val="24"/>
          <w:szCs w:val="24"/>
        </w:rPr>
        <w:t xml:space="preserve">4625 · Le tre stringhe sorelle.</w:t>
      </w:r>
      <w:r>
        <w:rPr>
          <w:rFonts w:ascii="Barlow Semi Condensed" w:cs="Barlow Semi Condensed" w:eastAsia="Barlow Semi Condensed" w:hAnsi="Barlow Semi Condensed"/>
          <w:sz w:val="24"/>
          <w:szCs w:val="24"/>
        </w:rPr>
        <w:t xml:space="preserve"> Accanto alla marcatura principale il corpus ne usa altre, e vanno contate insieme: «esiti negativi» ricorre quarantasette volte, «anti-triangolazion-» trentaquattro, «criterio di smentita» diciannove. Le metodologie le censivano rispettivamente a sessantadue, ventinove e quattordici. La crescita è dovuta quasi per intero all'opera Kissinger e alla seconda campagna della Farnesina. Regola di lettura: la falsificabilità si misura sul lessico distribuito, non sulle premesse.</w:t>
      </w:r>
    </w:p>
    <w:p>
      <w:pPr>
        <w:spacing w:after="120" w:line="276"/>
        <w:jc w:val="both"/>
      </w:pPr>
      <w:r>
        <w:rPr>
          <w:rFonts w:ascii="Barlow Semi Condensed" w:cs="Barlow Semi Condensed" w:eastAsia="Barlow Semi Condensed" w:hAnsi="Barlow Semi Condensed"/>
          <w:b/>
          <w:bCs/>
          <w:sz w:val="24"/>
          <w:szCs w:val="24"/>
        </w:rPr>
        <w:t xml:space="preserve">4626 · L'intersezione delle due chiavi.</w:t>
      </w:r>
      <w:r>
        <w:rPr>
          <w:rFonts w:ascii="Barlow Semi Condensed" w:cs="Barlow Semi Condensed" w:eastAsia="Barlow Semi Condensed" w:hAnsi="Barlow Semi Condensed"/>
          <w:sz w:val="24"/>
          <w:szCs w:val="24"/>
        </w:rPr>
        <w:t xml:space="preserve"> Incrociando i file che nominano Kissinger con quelli che marcano Stati Zero si ottiene un insieme di otto: la guida alla lettura, l'indice dei documenti, la Fase sesta, l'opera in mille blocchi e quattro ricognizioni della cartella Farnesina — Portogallo con l'Opus Dei, Portogallo con la Santa Sede, Grecia, documenti italiani e spagnoli. Fuori da questi otto i due lessici non si toccano mai.</w:t>
      </w:r>
    </w:p>
    <w:p>
      <w:pPr>
        <w:spacing w:after="120" w:line="276"/>
        <w:jc w:val="both"/>
      </w:pPr>
      <w:r>
        <w:rPr>
          <w:rFonts w:ascii="Barlow Semi Condensed" w:cs="Barlow Semi Condensed" w:eastAsia="Barlow Semi Condensed" w:hAnsi="Barlow Semi Condensed"/>
          <w:b/>
          <w:bCs/>
          <w:sz w:val="24"/>
          <w:szCs w:val="24"/>
        </w:rPr>
        <w:t xml:space="preserve">4627 · I dieci che tacciono il nome.</w:t>
      </w:r>
      <w:r>
        <w:rPr>
          <w:rFonts w:ascii="Barlow Semi Condensed" w:cs="Barlow Semi Condensed" w:eastAsia="Barlow Semi Condensed" w:hAnsi="Barlow Semi Condensed"/>
          <w:sz w:val="24"/>
          <w:szCs w:val="24"/>
        </w:rPr>
        <w:t xml:space="preserve"> Dieci file dichiarano Stati Zero senza mai nominarlo: i nove cantieri, l'agenda di ricerca, il manuale investigativo, le metodologie, l'apparato dei gradi, l'edizione strutturata, il README della Farnesina, la triangolazione della seconda campagna, la ricognizione tedesca, quella su Santa Sede e Turchia. Il perimetro negativo più curato del corpus è stato scritto per intero senza questo nome. Non è indizio: è una misura della costruzione.</w:t>
      </w:r>
    </w:p>
    <w:p>
      <w:pPr>
        <w:spacing w:after="120" w:line="276"/>
        <w:jc w:val="both"/>
      </w:pPr>
      <w:r>
        <w:rPr>
          <w:rFonts w:ascii="Barlow Semi Condensed" w:cs="Barlow Semi Condensed" w:eastAsia="Barlow Semi Condensed" w:hAnsi="Barlow Semi Condensed"/>
          <w:b/>
          <w:bCs/>
          <w:sz w:val="24"/>
          <w:szCs w:val="24"/>
        </w:rPr>
        <w:t xml:space="preserve">4628 · I sette che lo nominano soltanto.</w:t>
      </w:r>
      <w:r>
        <w:rPr>
          <w:rFonts w:ascii="Barlow Semi Condensed" w:cs="Barlow Semi Condensed" w:eastAsia="Barlow Semi Condensed" w:hAnsi="Barlow Semi Condensed"/>
          <w:sz w:val="24"/>
          <w:szCs w:val="24"/>
        </w:rPr>
        <w:t xml:space="preserve"> Speculare al precedente: sette file lo nominano e non contengono mai la formula. Sono le triangolazioni Guevara-Moro col nodo M-5, il saggio-cerniera «Dal Che a Moro», la Parte terza, la ricognizione-madre della Farnesina, la ricognizione turca, le note bibliografiche, il repertorio della Fase nona. Dove il nome compare, il corpus lo tratta con la scala A/B/C, non col perimetro negativo: le due discipline corrono separate.</w:t>
      </w:r>
    </w:p>
    <w:p>
      <w:pPr>
        <w:spacing w:after="120" w:line="276"/>
        <w:jc w:val="both"/>
      </w:pPr>
      <w:r>
        <w:rPr>
          <w:rFonts w:ascii="Barlow Semi Condensed" w:cs="Barlow Semi Condensed" w:eastAsia="Barlow Semi Condensed" w:hAnsi="Barlow Semi Condensed"/>
          <w:b/>
          <w:bCs/>
          <w:sz w:val="24"/>
          <w:szCs w:val="24"/>
        </w:rPr>
        <w:t xml:space="preserve">4629 · Il capitolo cinquantaquattresimo, tre vuoti.</w:t>
      </w:r>
      <w:r>
        <w:rPr>
          <w:rFonts w:ascii="Barlow Semi Condensed" w:cs="Barlow Semi Condensed" w:eastAsia="Barlow Semi Condensed" w:hAnsi="Barlow Semi Condensed"/>
          <w:sz w:val="24"/>
          <w:szCs w:val="24"/>
        </w:rPr>
        <w:t xml:space="preserve"> Nella Fase sesta dell'opera-madre sono iscritti tre Stati Zero, dichiarati di forza pari al Livello A: il documento che provi l'eterodirezione del sequestro; quello che leghi Kissinger-persona, o qualunque apparato straniero nominato, alla catena di comando del delitto; quello che provi l'isomorfismo fra le reti anticomuniste evocate e la struttura operativa. Sono ricerche condotte e chiuse, non dubbi lasciati aperti.</w:t>
      </w:r>
    </w:p>
    <w:p>
      <w:pPr>
        <w:spacing w:after="120" w:line="276"/>
        <w:jc w:val="both"/>
      </w:pPr>
      <w:r>
        <w:rPr>
          <w:rFonts w:ascii="Barlow Semi Condensed" w:cs="Barlow Semi Condensed" w:eastAsia="Barlow Semi Condensed" w:hAnsi="Barlow Semi Condensed"/>
          <w:b/>
          <w:bCs/>
          <w:sz w:val="24"/>
          <w:szCs w:val="24"/>
        </w:rPr>
        <w:t xml:space="preserve">4630 · Il vuoto che porta il nome.</w:t>
      </w:r>
      <w:r>
        <w:rPr>
          <w:rFonts w:ascii="Barlow Semi Condensed" w:cs="Barlow Semi Condensed" w:eastAsia="Barlow Semi Condensed" w:hAnsi="Barlow Semi Condensed"/>
          <w:sz w:val="24"/>
          <w:szCs w:val="24"/>
        </w:rPr>
        <w:t xml:space="preserve"> Dei tre, uno solo è nominativo, ed è quello che questa triangolazione deve maneggiare. Va citato per intero, perché la formula dice «Kissinger-persona, o qualunque apparato straniero nominato»: l'esito riguarda una catena di comando, non una posizione politica. Sede dove si chiuderebbe: la raccolta speciale costituita all'Archivio centrale dello Stato in forza delle direttive di desecretazione, spogliata coi blocchi 16-45 dell'agenda.</w:t>
      </w:r>
    </w:p>
    <w:p>
      <w:pPr>
        <w:spacing w:after="120" w:line="276"/>
        <w:jc w:val="both"/>
      </w:pPr>
      <w:r>
        <w:rPr>
          <w:rFonts w:ascii="Barlow Semi Condensed" w:cs="Barlow Semi Condensed" w:eastAsia="Barlow Semi Condensed" w:hAnsi="Barlow Semi Condensed"/>
          <w:b/>
          <w:bCs/>
          <w:sz w:val="24"/>
          <w:szCs w:val="24"/>
        </w:rPr>
        <w:t xml:space="preserve">4631 · Terzo del terzetto, l'isomorfismo.</w:t>
      </w:r>
      <w:r>
        <w:rPr>
          <w:rFonts w:ascii="Barlow Semi Condensed" w:cs="Barlow Semi Condensed" w:eastAsia="Barlow Semi Condensed" w:hAnsi="Barlow Semi Condensed"/>
          <w:sz w:val="24"/>
          <w:szCs w:val="24"/>
        </w:rPr>
        <w:t xml:space="preserve"> Meno citato degli altri due e più tecnico: nessun documento prova che le reti anticomuniste evocate dalla pubblicistica e la struttura operativa del sequestro abbiano la stessa forma. È esattamente il test che la sesta serie dell'opera chiama omologia contro analogia, ripreso al blocco 408 come caso esemplare. Le sedi di chiusura sono due: gli atti dei cinque processi Moro e i fondi di origine alleata.</w:t>
      </w:r>
    </w:p>
    <w:p>
      <w:pPr>
        <w:spacing w:after="120" w:line="276"/>
        <w:jc w:val="both"/>
      </w:pPr>
      <w:r>
        <w:rPr>
          <w:rFonts w:ascii="Barlow Semi Condensed" w:cs="Barlow Semi Condensed" w:eastAsia="Barlow Semi Condensed" w:hAnsi="Barlow Semi Condensed"/>
          <w:b/>
          <w:bCs/>
          <w:sz w:val="24"/>
          <w:szCs w:val="24"/>
        </w:rPr>
        <w:t xml:space="preserve">4632 · Eterodirezione, riga diciotto.</w:t>
      </w:r>
      <w:r>
        <w:rPr>
          <w:rFonts w:ascii="Barlow Semi Condensed" w:cs="Barlow Semi Condensed" w:eastAsia="Barlow Semi Condensed" w:hAnsi="Barlow Semi Condensed"/>
          <w:sz w:val="24"/>
          <w:szCs w:val="24"/>
        </w:rPr>
        <w:t xml:space="preserve"> All'apparato dei gradi il capitolo diciotto porta il Livello A per l'autonomia accertata delle Brigate Rosse, e nella colonna della smentita si legge: «un documento coevo, esterno, autenticato, che provi l'eterodirezione (cercato, non trovato)». È uno Stato Zero senza la parola. Bersaglio di smentita dichiarato una volta per tutte: quel documento, comparendo, abbatterebbe insieme la riga diciotto e il primo dei tre vuoti fondativi.</w:t>
      </w:r>
    </w:p>
    <w:p>
      <w:pPr>
        <w:spacing w:after="120" w:line="276"/>
        <w:jc w:val="both"/>
      </w:pPr>
      <w:r>
        <w:rPr>
          <w:rFonts w:ascii="Barlow Semi Condensed" w:cs="Barlow Semi Condensed" w:eastAsia="Barlow Semi Condensed" w:hAnsi="Barlow Semi Condensed"/>
          <w:b/>
          <w:bCs/>
          <w:sz w:val="24"/>
          <w:szCs w:val="24"/>
        </w:rPr>
        <w:t xml:space="preserve">4633 · Cinque vuoti nascosti nelle colonne.</w:t>
      </w:r>
      <w:r>
        <w:rPr>
          <w:rFonts w:ascii="Barlow Semi Condensed" w:cs="Barlow Semi Condensed" w:eastAsia="Barlow Semi Condensed" w:hAnsi="Barlow Semi Condensed"/>
          <w:sz w:val="24"/>
          <w:szCs w:val="24"/>
        </w:rPr>
        <w:t xml:space="preserve"> Cinque dichiarazioni negative sfuggono al conteggio per stringa, tutte scritte nella colonna di smentita dell'apparato: capitolo cinque, anagrafe contraria «non esistente»; capitolo undici, documenti che escludano l'ostilità internazionale «non trovati»; capitolo diciotto, l'eterodirezione; capitolo venticinque, prova di prigione diversa «non trovata»; capitolo quarantaquattro, il documento «oggi assente». Una sola riga della tavola porta il simbolo, ed è la trentanovesima.</w:t>
      </w:r>
    </w:p>
    <w:p>
      <w:pPr>
        <w:spacing w:after="120" w:line="276"/>
        <w:jc w:val="both"/>
      </w:pPr>
      <w:r>
        <w:rPr>
          <w:rFonts w:ascii="Barlow Semi Condensed" w:cs="Barlow Semi Condensed" w:eastAsia="Barlow Semi Condensed" w:hAnsi="Barlow Semi Condensed"/>
          <w:b/>
          <w:bCs/>
          <w:sz w:val="24"/>
          <w:szCs w:val="24"/>
        </w:rPr>
        <w:t xml:space="preserve">4634 · Il capitolo trentanovesimo, assente.</w:t>
      </w:r>
      <w:r>
        <w:rPr>
          <w:rFonts w:ascii="Barlow Semi Condensed" w:cs="Barlow Semi Condensed" w:eastAsia="Barlow Semi Condensed" w:hAnsi="Barlow Semi Condensed"/>
          <w:sz w:val="24"/>
          <w:szCs w:val="24"/>
        </w:rPr>
        <w:t xml:space="preserve"> Nessuna riproduzione del testo: l'apparato dichiara di essere l'indice critico dell'opera in cinquanta capitoli, non la sua edizione. Ne discende un vuoto di secondo ordine che questa serie verbalizza per prima: il capitolo trentanovesimo, intitolato agli Stati Zero del caso, è citato per numero e titolo dal branch pubblico ma non vi è contenuto. Sede di chiusura: l'edizione integrale dell'opera-madre presso l'autore.</w:t>
      </w:r>
    </w:p>
    <w:p>
      <w:pPr>
        <w:spacing w:after="120" w:line="276"/>
        <w:jc w:val="both"/>
      </w:pPr>
      <w:r>
        <w:rPr>
          <w:rFonts w:ascii="Barlow Semi Condensed" w:cs="Barlow Semi Condensed" w:eastAsia="Barlow Semi Condensed" w:hAnsi="Barlow Semi Condensed"/>
          <w:b/>
          <w:bCs/>
          <w:sz w:val="24"/>
          <w:szCs w:val="24"/>
        </w:rPr>
        <w:t xml:space="preserve">4635 · L'avvertimento come bersaglio di smentita.</w:t>
      </w:r>
      <w:r>
        <w:rPr>
          <w:rFonts w:ascii="Barlow Semi Condensed" w:cs="Barlow Semi Condensed" w:eastAsia="Barlow Semi Condensed" w:hAnsi="Barlow Semi Condensed"/>
          <w:sz w:val="24"/>
          <w:szCs w:val="24"/>
        </w:rPr>
        <w:t xml:space="preserve"> La riga quindici dell'apparato è la più pertinente a questo nome, e va tenuta ferma: gli avvertimenti attorno al «tessitore» sono Livello A quanto all'esistenza di contrarietà, Livello C quanto a un mandato che ne discenda, e ciò che li sposterebbe è «un documento che leghi un avvertimento a una direttiva esecutiva». È la formulazione più esatta che il corpus possieda del test da superare.</w:t>
      </w:r>
    </w:p>
    <w:p>
      <w:pPr>
        <w:spacing w:after="120" w:line="276"/>
        <w:jc w:val="both"/>
      </w:pPr>
      <w:r>
        <w:rPr>
          <w:rFonts w:ascii="Barlow Semi Condensed" w:cs="Barlow Semi Condensed" w:eastAsia="Barlow Semi Condensed" w:hAnsi="Barlow Semi Condensed"/>
          <w:b/>
          <w:bCs/>
          <w:sz w:val="24"/>
          <w:szCs w:val="24"/>
        </w:rPr>
        <w:t xml:space="preserve">4636 · Il contesto ostile e il salto vietato.</w:t>
      </w:r>
      <w:r>
        <w:rPr>
          <w:rFonts w:ascii="Barlow Semi Condensed" w:cs="Barlow Semi Condensed" w:eastAsia="Barlow Semi Condensed" w:hAnsi="Barlow Semi Condensed"/>
          <w:sz w:val="24"/>
          <w:szCs w:val="24"/>
        </w:rPr>
        <w:t xml:space="preserve"> Con parole proprie, la Parte terza dell'opera-madre fissa la stessa frontiera al capitolo sul quadro internazionale: accertata come contesto l'ostilità di settori dell'alleanza atlantica all'ingresso dei comunisti nell'area di governo; vietato il salto alla catena di comando. Che nemici politici esistessero, e potenti, è Livello A; che uno di essi abbia guidato la mano brigatista resta Livello C. Nessun documento ha chiuso quella distanza.</w:t>
      </w:r>
    </w:p>
    <w:p>
      <w:pPr>
        <w:spacing w:after="120" w:line="276"/>
        <w:jc w:val="both"/>
      </w:pPr>
      <w:r>
        <w:rPr>
          <w:rFonts w:ascii="Barlow Semi Condensed" w:cs="Barlow Semi Condensed" w:eastAsia="Barlow Semi Condensed" w:hAnsi="Barlow Semi Condensed"/>
          <w:b/>
          <w:bCs/>
          <w:sz w:val="24"/>
          <w:szCs w:val="24"/>
        </w:rPr>
        <w:t xml:space="preserve">4637 · La regola dei buchi, prima metà.</w:t>
      </w:r>
      <w:r>
        <w:rPr>
          <w:rFonts w:ascii="Barlow Semi Condensed" w:cs="Barlow Semi Condensed" w:eastAsia="Barlow Semi Condensed" w:hAnsi="Barlow Semi Condensed"/>
          <w:sz w:val="24"/>
          <w:szCs w:val="24"/>
        </w:rPr>
        <w:t xml:space="preserve"> Nel paragrafo terzo delle metodologie si stabilisce che, nel grafo dei soli legami documentati, i buchi non sono difetti ma risultati. Tre assenze di arco vi sono nominate: fra il livello Hyperion e il caso, fra il dominio vaticano e via Fani, fra il fronte latinoamericano e il sequestro. Il grafo conta trentanove nodi e cinquantanove archi, e nessuno di essi porta questo nome.</w:t>
      </w:r>
    </w:p>
    <w:p>
      <w:pPr>
        <w:spacing w:after="120" w:line="276"/>
        <w:jc w:val="both"/>
      </w:pPr>
      <w:r>
        <w:rPr>
          <w:rFonts w:ascii="Barlow Semi Condensed" w:cs="Barlow Semi Condensed" w:eastAsia="Barlow Semi Condensed" w:hAnsi="Barlow Semi Condensed"/>
          <w:b/>
          <w:bCs/>
          <w:sz w:val="24"/>
          <w:szCs w:val="24"/>
        </w:rPr>
        <w:t xml:space="preserve">4638 · Il nodo che il grafo non ha.</w:t>
      </w:r>
      <w:r>
        <w:rPr>
          <w:rFonts w:ascii="Barlow Semi Condensed" w:cs="Barlow Semi Condensed" w:eastAsia="Barlow Semi Condensed" w:hAnsi="Barlow Semi Condensed"/>
          <w:sz w:val="24"/>
          <w:szCs w:val="24"/>
        </w:rPr>
        <w:t xml:space="preserve"> Accertamento sobrio e meccanico: la rete documentata del corpus, costruita ammettendo solo archi verificati con gradi A, B ed F, non contiene un nodo Kissinger. Non perché sia stato escluso, ma perché nessun ponte delle triangolazioni lo produceva. Bersaglio: se un documento di provenienza lo rendesse nodo, varrebbe comunque la regola dell'anello debole, e il cammino avrebbe il grado del suo arco minore.</w:t>
      </w:r>
    </w:p>
    <w:p>
      <w:pPr>
        <w:spacing w:after="120" w:line="276"/>
        <w:jc w:val="both"/>
      </w:pPr>
      <w:r>
        <w:rPr>
          <w:rFonts w:ascii="Barlow Semi Condensed" w:cs="Barlow Semi Condensed" w:eastAsia="Barlow Semi Condensed" w:hAnsi="Barlow Semi Condensed"/>
          <w:b/>
          <w:bCs/>
          <w:sz w:val="24"/>
          <w:szCs w:val="24"/>
        </w:rPr>
        <w:t xml:space="preserve">4639 · L'arco che manca fra due date (serie LXI).</w:t>
      </w:r>
      <w:r>
        <w:rPr>
          <w:rFonts w:ascii="Barlow Semi Condensed" w:cs="Barlow Semi Condensed" w:eastAsia="Barlow Semi Condensed" w:hAnsi="Barlow Semi Condensed"/>
          <w:sz w:val="24"/>
          <w:szCs w:val="24"/>
        </w:rPr>
        <w:t xml:space="preserve"> La regola dell'anello debole dice in forma esatta ciò che il resto dice in prosa: un cammino che colleghi lo Studio Ovale del 25 settembre 1974 ai fatti italiani del 1978 dovrebbe attraversare almeno un arco che oggi non esiste. Il blocco 710 dell'opera lo aveva già scritto. La conseguenza va ripetuta perché è controintuitiva: quel cammino non ha grado basso, non ha grado.</w:t>
      </w:r>
    </w:p>
    <w:p>
      <w:pPr>
        <w:spacing w:after="120" w:line="276"/>
        <w:jc w:val="both"/>
      </w:pPr>
      <w:r>
        <w:rPr>
          <w:rFonts w:ascii="Barlow Semi Condensed" w:cs="Barlow Semi Condensed" w:eastAsia="Barlow Semi Condensed" w:hAnsi="Barlow Semi Condensed"/>
          <w:b/>
          <w:bCs/>
          <w:sz w:val="24"/>
          <w:szCs w:val="24"/>
        </w:rPr>
        <w:t xml:space="preserve">4640 · Il divieto di riempire i buchi.</w:t>
      </w:r>
      <w:r>
        <w:rPr>
          <w:rFonts w:ascii="Barlow Semi Condensed" w:cs="Barlow Semi Condensed" w:eastAsia="Barlow Semi Condensed" w:hAnsi="Barlow Semi Condensed"/>
          <w:sz w:val="24"/>
          <w:szCs w:val="24"/>
        </w:rPr>
        <w:t xml:space="preserve"> Al blocco 259 il manuale investigativo censisce l'errore del buco riempito: ogni lacuna documentale colmata con la narrazione più suggestiva. L'antidoto sta nella regola dei buchi e in una constatazione che questa serie assume come propria misura, ed è il blocco 233 dell'agenda: il buco misurato è conoscenza, il buco narrato è romanzo. Il censimento serve a misurare ciò che manca, non a interpretarlo.</w:t>
      </w:r>
    </w:p>
    <w:p>
      <w:pPr>
        <w:spacing w:after="120" w:line="276"/>
        <w:jc w:val="both"/>
      </w:pPr>
      <w:r>
        <w:rPr>
          <w:rFonts w:ascii="Barlow Semi Condensed" w:cs="Barlow Semi Condensed" w:eastAsia="Barlow Semi Condensed" w:hAnsi="Barlow Semi Condensed"/>
          <w:b/>
          <w:bCs/>
          <w:sz w:val="24"/>
          <w:szCs w:val="24"/>
        </w:rPr>
        <w:t xml:space="preserve">4641 · L'esito trinario e il suo terzo.</w:t>
      </w:r>
      <w:r>
        <w:rPr>
          <w:rFonts w:ascii="Barlow Semi Condensed" w:cs="Barlow Semi Condensed" w:eastAsia="Barlow Semi Condensed" w:hAnsi="Barlow Semi Condensed"/>
          <w:sz w:val="24"/>
          <w:szCs w:val="24"/>
        </w:rPr>
        <w:t xml:space="preserve"> Nato dall'errore del campanello di via Gradoli, il blocco 252 del manuale impone a ogni atto di verifica un esito a tre valori: positivo, negativo, non eseguito. Applicato agli archivi, esclude dal perimetro negativo ogni sede mai interrogata. Molte delle sedi statunitensi che questa triangolazione nomina stanno nel terzo valore e non nel secondo: non sono Stati Zero, sono verifiche non eseguite.</w:t>
      </w:r>
    </w:p>
    <w:p>
      <w:pPr>
        <w:spacing w:after="120" w:line="276"/>
        <w:jc w:val="both"/>
      </w:pPr>
      <w:r>
        <w:rPr>
          <w:rFonts w:ascii="Barlow Semi Condensed" w:cs="Barlow Semi Condensed" w:eastAsia="Barlow Semi Condensed" w:hAnsi="Barlow Semi Condensed"/>
          <w:b/>
          <w:bCs/>
          <w:sz w:val="24"/>
          <w:szCs w:val="24"/>
        </w:rPr>
        <w:t xml:space="preserve">4642 · Zero su millesettecento unità.</w:t>
      </w:r>
      <w:r>
        <w:rPr>
          <w:rFonts w:ascii="Barlow Semi Condensed" w:cs="Barlow Semi Condensed" w:eastAsia="Barlow Semi Condensed" w:hAnsi="Barlow Semi Condensed"/>
          <w:sz w:val="24"/>
          <w:szCs w:val="24"/>
        </w:rPr>
        <w:t xml:space="preserve"> Nessuna occorrenza nei tre documenti della quadriga: il nome non compare in alcuno dei mille blocchi dei nove cantieri, dei quattrocento del manuale, dei trecento dell'agenda. I blocchi 204 e 646 dell'opera lo avevano verbalizzato, e la riesecuzione odierna lo conferma. La quadriga fu costruita su Kew, La Courneuve, il Politisches Archiv, il versante vaticano e i giacimenti italiani: lo zero misura le colonne scelte.</w:t>
      </w:r>
    </w:p>
    <w:p>
      <w:pPr>
        <w:spacing w:after="120" w:line="276"/>
        <w:jc w:val="both"/>
      </w:pPr>
      <w:r>
        <w:rPr>
          <w:rFonts w:ascii="Barlow Semi Condensed" w:cs="Barlow Semi Condensed" w:eastAsia="Barlow Semi Condensed" w:hAnsi="Barlow Semi Condensed"/>
          <w:b/>
          <w:bCs/>
          <w:sz w:val="24"/>
          <w:szCs w:val="24"/>
        </w:rPr>
        <w:t xml:space="preserve">4643 · La colonna statunitense che manca.</w:t>
      </w:r>
      <w:r>
        <w:rPr>
          <w:rFonts w:ascii="Barlow Semi Condensed" w:cs="Barlow Semi Condensed" w:eastAsia="Barlow Semi Condensed" w:hAnsi="Barlow Semi Condensed"/>
          <w:sz w:val="24"/>
          <w:szCs w:val="24"/>
        </w:rPr>
        <w:t xml:space="preserve"> Da quello zero discende un bersaglio di costruzione e non di fatto: aprire nella quadriga la colonna statunitense, con giacimento proprio e stato d'accesso per ciascuna sede — la serie FRUS 1969-1976, i Nixon Presidential Materials con NSC Files e Country Files Italy a College Park, i National Security Adviser's Memoranda of Conversation alla Ford Library, il Brzezinski Material ad Atlanta. Fino ad allora lo zero resta strutturale.</w:t>
      </w:r>
    </w:p>
    <w:p>
      <w:pPr>
        <w:spacing w:after="120" w:line="276"/>
        <w:jc w:val="both"/>
      </w:pPr>
      <w:r>
        <w:rPr>
          <w:rFonts w:ascii="Barlow Semi Condensed" w:cs="Barlow Semi Condensed" w:eastAsia="Barlow Semi Condensed" w:hAnsi="Barlow Semi Condensed"/>
          <w:b/>
          <w:bCs/>
          <w:sz w:val="24"/>
          <w:szCs w:val="24"/>
        </w:rPr>
        <w:t xml:space="preserve">4644 · I diciassette vuoti dei cantieri.</w:t>
      </w:r>
      <w:r>
        <w:rPr>
          <w:rFonts w:ascii="Barlow Semi Condensed" w:cs="Barlow Semi Condensed" w:eastAsia="Barlow Semi Condensed" w:hAnsi="Barlow Semi Condensed"/>
          <w:sz w:val="24"/>
          <w:szCs w:val="24"/>
        </w:rPr>
        <w:t xml:space="preserve"> I nove cantieri portano diciassette marcature, e le loro sedi sono tutte europee: i vuoti britannici al blocco 37, i francesi al 71, i tedeschi al 109, gli scambi d'intelligence dichiarati al 114, l'interlocutore ignoto al 169, i vaticani al 217, i fondi privati al 328, i reperti al 456, le borse al 457, la stesura A al 467. Nessuno interroga una sede statunitense.</w:t>
      </w:r>
    </w:p>
    <w:p>
      <w:pPr>
        <w:spacing w:after="120" w:line="276"/>
        <w:jc w:val="both"/>
      </w:pPr>
      <w:r>
        <w:rPr>
          <w:rFonts w:ascii="Barlow Semi Condensed" w:cs="Barlow Semi Condensed" w:eastAsia="Barlow Semi Condensed" w:hAnsi="Barlow Semi Condensed"/>
          <w:b/>
          <w:bCs/>
          <w:sz w:val="24"/>
          <w:szCs w:val="24"/>
        </w:rPr>
        <w:t xml:space="preserve">4645 · I vuoti che non si chiuderanno.</w:t>
      </w:r>
      <w:r>
        <w:rPr>
          <w:rFonts w:ascii="Barlow Semi Condensed" w:cs="Barlow Semi Condensed" w:eastAsia="Barlow Semi Condensed" w:hAnsi="Barlow Semi Condensed"/>
          <w:sz w:val="24"/>
          <w:szCs w:val="24"/>
        </w:rPr>
        <w:t xml:space="preserve"> Una distinzione dei cantieri va conservata: alcuni vuoti hanno sede di chiusura, altri non l'hanno perché la carta non esiste più. Il blocco 456 censisce i reperti distrutti, il 467 la stesura mai trovata, il 584 i due nastri superstiti su cinquantacinque giorni, il 613 le scene mai fotografate; il blocco 712 dell'opera li raccoglie. Per essi il riesame periodico non ha oggetto: si registrano e si chiudono.</w:t>
      </w:r>
    </w:p>
    <w:p>
      <w:pPr>
        <w:spacing w:after="120" w:line="276"/>
        <w:jc w:val="both"/>
      </w:pPr>
      <w:r>
        <w:rPr>
          <w:rFonts w:ascii="Barlow Semi Condensed" w:cs="Barlow Semi Condensed" w:eastAsia="Barlow Semi Condensed" w:hAnsi="Barlow Semi Condensed"/>
          <w:b/>
          <w:bCs/>
          <w:sz w:val="24"/>
          <w:szCs w:val="24"/>
        </w:rPr>
        <w:t xml:space="preserve">4646 · I dieci vuoti dell'agenda.</w:t>
      </w:r>
      <w:r>
        <w:rPr>
          <w:rFonts w:ascii="Barlow Semi Condensed" w:cs="Barlow Semi Condensed" w:eastAsia="Barlow Semi Condensed" w:hAnsi="Barlow Semi Condensed"/>
          <w:sz w:val="24"/>
          <w:szCs w:val="24"/>
        </w:rPr>
        <w:t xml:space="preserve"> L'agenda di ricerca marca dieci volte: i verbali dei comitati del Viminale al blocco 8, le borse mai trovate al 95, la contabilità del fondo al 218, la regola contro la pista internazionale forte al 221, il test dei buchi al 233, i registri bancari al 258, la fonte di «Gradoli» al 263, gli stati dei bersagli al 284, la ricerca a vuoto al 285. Nessuno riguarda questo nome.</w:t>
      </w:r>
    </w:p>
    <w:p>
      <w:pPr>
        <w:spacing w:after="120" w:line="276"/>
        <w:jc w:val="both"/>
      </w:pPr>
      <w:r>
        <w:rPr>
          <w:rFonts w:ascii="Barlow Semi Condensed" w:cs="Barlow Semi Condensed" w:eastAsia="Barlow Semi Condensed" w:hAnsi="Barlow Semi Condensed"/>
          <w:b/>
          <w:bCs/>
          <w:sz w:val="24"/>
          <w:szCs w:val="24"/>
        </w:rPr>
        <w:t xml:space="preserve">4647 · Il blocco 221, applicato qui.</w:t>
      </w:r>
      <w:r>
        <w:rPr>
          <w:rFonts w:ascii="Barlow Semi Condensed" w:cs="Barlow Semi Condensed" w:eastAsia="Barlow Semi Condensed" w:hAnsi="Barlow Semi Condensed"/>
          <w:sz w:val="24"/>
          <w:szCs w:val="24"/>
        </w:rPr>
        <w:t xml:space="preserve"> È la regola più direttamente pertinente: per ogni versione che ponga una regia estera si cerca il documento primario che la sosterrebbe, e si dichiara Stato Zero dove non c'è. La quinta serie dell'opera l'ha applicata teatro per teatro. Applicata a questo nome dà l'esito che il corpus registra da sempre: cornice documentata, catena mai documentata. La regola non è severa con lui, è uguale per tutti.</w:t>
      </w:r>
    </w:p>
    <w:p>
      <w:pPr>
        <w:spacing w:after="120" w:line="276"/>
        <w:jc w:val="both"/>
      </w:pPr>
      <w:r>
        <w:rPr>
          <w:rFonts w:ascii="Barlow Semi Condensed" w:cs="Barlow Semi Condensed" w:eastAsia="Barlow Semi Condensed" w:hAnsi="Barlow Semi Condensed"/>
          <w:b/>
          <w:bCs/>
          <w:sz w:val="24"/>
          <w:szCs w:val="24"/>
        </w:rPr>
        <w:t xml:space="preserve">4648 · Verbale di vuoto di questa serie.</w:t>
      </w:r>
      <w:r>
        <w:rPr>
          <w:rFonts w:ascii="Barlow Semi Condensed" w:cs="Barlow Semi Condensed" w:eastAsia="Barlow Semi Condensed" w:hAnsi="Barlow Semi Condensed"/>
          <w:sz w:val="24"/>
          <w:szCs w:val="24"/>
        </w:rPr>
        <w:t xml:space="preserve"> Che cosa si è cercato, dove, quando, da chi, con quale perimetro: sono le voci che il blocco 285 dell'agenda impone all'esito negativo. La forma si applica qui a sé stessa. Oggetto: le due stringhe del perimetro negativo. Sede: i sorgenti markdown del branch pubblico. Data: 26 agosto 2026. Perimetro: cinquanta file del corpus storico. Riesame: al prossimo versamento di campagna.</w:t>
      </w:r>
    </w:p>
    <w:p>
      <w:pPr>
        <w:spacing w:after="120" w:line="276"/>
        <w:jc w:val="both"/>
      </w:pPr>
      <w:r>
        <w:rPr>
          <w:rFonts w:ascii="Barlow Semi Condensed" w:cs="Barlow Semi Condensed" w:eastAsia="Barlow Semi Condensed" w:hAnsi="Barlow Semi Condensed"/>
          <w:b/>
          <w:bCs/>
          <w:sz w:val="24"/>
          <w:szCs w:val="24"/>
        </w:rPr>
        <w:t xml:space="preserve">4649 · Costo, firma e data del vuoto.</w:t>
      </w:r>
      <w:r>
        <w:rPr>
          <w:rFonts w:ascii="Barlow Semi Condensed" w:cs="Barlow Semi Condensed" w:eastAsia="Barlow Semi Condensed" w:hAnsi="Barlow Semi Condensed"/>
          <w:sz w:val="24"/>
          <w:szCs w:val="24"/>
        </w:rPr>
        <w:t xml:space="preserve"> Tre voci accompagnano il verbale, e questa serie le dichiara. Il costo, secondo il blocco 286 dell'agenda: una scansione automatica dei sorgenti, nessuna giornata di sala. La firma, secondo il blocco 658 dell'opera: censimento eseguito su testi e non su fondi, valutabile solo come tale. La data di riesame, secondo il blocco 655: ogni nuova campagna versata al branch invalida i numeri e obbliga a rifarli.</w:t>
      </w:r>
    </w:p>
    <w:p>
      <w:pPr>
        <w:spacing w:after="120" w:line="276"/>
        <w:jc w:val="both"/>
      </w:pPr>
      <w:r>
        <w:rPr>
          <w:rFonts w:ascii="Barlow Semi Condensed" w:cs="Barlow Semi Condensed" w:eastAsia="Barlow Semi Condensed" w:hAnsi="Barlow Semi Condensed"/>
          <w:b/>
          <w:bCs/>
          <w:sz w:val="24"/>
          <w:szCs w:val="24"/>
        </w:rPr>
        <w:t xml:space="preserve">4650 · Il grado di questo censimento.</w:t>
      </w:r>
      <w:r>
        <w:rPr>
          <w:rFonts w:ascii="Barlow Semi Condensed" w:cs="Barlow Semi Condensed" w:eastAsia="Barlow Semi Condensed" w:hAnsi="Barlow Semi Condensed"/>
          <w:sz w:val="24"/>
          <w:szCs w:val="24"/>
        </w:rPr>
        <w:t xml:space="preserve"> Va dichiarato per non essere frainteso. Il conteggio delle stringhe è accertamento di fatto, verificabile da chiunque riesegua il comando sui medesimi sorgenti. La lettura che ne discende — quali vuoti riguardino il nome e quali no — resta interpretazione dichiarata, e non sale di grado per il fatto di poggiare su numeri esatti. Un numero esatto su un oggetto sbagliato resta un numero sbagliato.</w:t>
      </w:r>
    </w:p>
    <w:p>
      <w:pPr>
        <w:spacing w:after="120" w:line="276"/>
        <w:jc w:val="both"/>
      </w:pPr>
      <w:r>
        <w:rPr>
          <w:rFonts w:ascii="Barlow Semi Condensed" w:cs="Barlow Semi Condensed" w:eastAsia="Barlow Semi Condensed" w:hAnsi="Barlow Semi Condensed"/>
          <w:b/>
          <w:bCs/>
          <w:sz w:val="24"/>
          <w:szCs w:val="24"/>
        </w:rPr>
        <w:t xml:space="preserve">4651 · I quattro esiti dei tredici.</w:t>
      </w:r>
      <w:r>
        <w:rPr>
          <w:rFonts w:ascii="Barlow Semi Condensed" w:cs="Barlow Semi Condensed" w:eastAsia="Barlow Semi Condensed" w:hAnsi="Barlow Semi Condensed"/>
          <w:sz w:val="24"/>
          <w:szCs w:val="24"/>
        </w:rPr>
        <w:t xml:space="preserve"> Quattro esiti negativi sono dichiarati in triangolazione-condannati-corpus.md: nessun ponte documentato oltre il dominio brigatista per Fiore, Balzerani, Maccari ed Etro; nessuna triangolazione prosopografica possibile col Tribunale Speciale; nessun ponte biografico col fronte latinoamericano fuori dalla rotta di Casimirri; nessun collegamento fra i tredici e la vicenda del 1981. Nessuno dei quattro tocca questo nome, e la matrice sintetica non gli assegna riga.</w:t>
      </w:r>
    </w:p>
    <w:p>
      <w:pPr>
        <w:spacing w:after="120" w:line="276"/>
        <w:jc w:val="both"/>
      </w:pPr>
      <w:r>
        <w:rPr>
          <w:rFonts w:ascii="Barlow Semi Condensed" w:cs="Barlow Semi Condensed" w:eastAsia="Barlow Semi Condensed" w:hAnsi="Barlow Semi Condensed"/>
          <w:b/>
          <w:bCs/>
          <w:sz w:val="24"/>
          <w:szCs w:val="24"/>
        </w:rPr>
        <w:t xml:space="preserve">4652 · Le cinque anti-triangolazioni del registro.</w:t>
      </w:r>
      <w:r>
        <w:rPr>
          <w:rFonts w:ascii="Barlow Semi Condensed" w:cs="Barlow Semi Condensed" w:eastAsia="Barlow Semi Condensed" w:hAnsi="Barlow Semi Condensed"/>
          <w:sz w:val="24"/>
          <w:szCs w:val="24"/>
        </w:rPr>
        <w:t xml:space="preserve"> Lo stesso documento presidia il metodo con cinque divieti: la parentela non è canale, l'origine comune non è regia, la rotta non è filiazione, il canale non è complicità, il registro resta chiuso. Sono la forma prosopografica del divieto che governa anche questa triangolazione. Il quinto conta più degli altri qui: nessun ponte aggiunge nomi, sposta gradi o insinua responsabilità. Vale dentro il registro e a maggior ragione fuori.</w:t>
      </w:r>
    </w:p>
    <w:p>
      <w:pPr>
        <w:spacing w:after="120" w:line="276"/>
        <w:jc w:val="both"/>
      </w:pPr>
      <w:r>
        <w:rPr>
          <w:rFonts w:ascii="Barlow Semi Condensed" w:cs="Barlow Semi Condensed" w:eastAsia="Barlow Semi Condensed" w:hAnsi="Barlow Semi Condensed"/>
          <w:b/>
          <w:bCs/>
          <w:sz w:val="24"/>
          <w:szCs w:val="24"/>
        </w:rPr>
        <w:t xml:space="preserve">4653 · Il ponte genealogico e il suo limite.</w:t>
      </w:r>
      <w:r>
        <w:rPr>
          <w:rFonts w:ascii="Barlow Semi Condensed" w:cs="Barlow Semi Condensed" w:eastAsia="Barlow Semi Condensed" w:hAnsi="Barlow Semi Condensed"/>
          <w:sz w:val="24"/>
          <w:szCs w:val="24"/>
        </w:rPr>
        <w:t xml:space="preserve"> Tre anti-triangolazioni chiudono lo studio su Feltrinelli: vettore non è mandante, la morte non è omicidio provato, il nome partigiano non fa dei GAP una continuazione della Resistenza. La prima va tenuta presente qui: l'editore muore il 14 marzo 1972, sei anni prima di via Fani, e il ponte verso le Brigate Rosse è genealogico, non direttivo. La stessa grammatica vale per ogni nodo esterno al caso.</w:t>
      </w:r>
    </w:p>
    <w:p>
      <w:pPr>
        <w:spacing w:after="120" w:line="276"/>
        <w:jc w:val="both"/>
      </w:pPr>
      <w:r>
        <w:rPr>
          <w:rFonts w:ascii="Barlow Semi Condensed" w:cs="Barlow Semi Condensed" w:eastAsia="Barlow Semi Condensed" w:hAnsi="Barlow Semi Condensed"/>
          <w:b/>
          <w:bCs/>
          <w:sz w:val="24"/>
          <w:szCs w:val="24"/>
        </w:rPr>
        <w:t xml:space="preserve">4654 · Le carte americane sull'editore.</w:t>
      </w:r>
      <w:r>
        <w:rPr>
          <w:rFonts w:ascii="Barlow Semi Condensed" w:cs="Barlow Semi Condensed" w:eastAsia="Barlow Semi Condensed" w:hAnsi="Barlow Semi Condensed"/>
          <w:sz w:val="24"/>
          <w:szCs w:val="24"/>
        </w:rPr>
        <w:t xml:space="preserve"> Un quesito che questa serie eredita e non ha eseguito sta al blocco 709 dell'opera: se nei fondi statunitensi consultabili esistano valutazioni coeve su chi in Italia trasmise l'iconografia di Korda e il diario boliviano, e in quali serie siano collocate. È verifica non eseguita, non esito negativo. Sedi: i Central Foreign Policy Files a College Park e la sala di lettura elettronica dell'agenzia statunitense.</w:t>
      </w:r>
    </w:p>
    <w:p>
      <w:pPr>
        <w:spacing w:after="120" w:line="276"/>
        <w:jc w:val="both"/>
      </w:pPr>
      <w:r>
        <w:rPr>
          <w:rFonts w:ascii="Barlow Semi Condensed" w:cs="Barlow Semi Condensed" w:eastAsia="Barlow Semi Condensed" w:hAnsi="Barlow Semi Condensed"/>
          <w:b/>
          <w:bCs/>
          <w:sz w:val="24"/>
          <w:szCs w:val="24"/>
        </w:rPr>
        <w:t xml:space="preserve">4655 · Le tre di Hyperion, invariate.</w:t>
      </w:r>
      <w:r>
        <w:rPr>
          <w:rFonts w:ascii="Barlow Semi Condensed" w:cs="Barlow Semi Condensed" w:eastAsia="Barlow Semi Condensed" w:hAnsi="Barlow Semi Condensed"/>
          <w:sz w:val="24"/>
          <w:szCs w:val="24"/>
        </w:rPr>
        <w:t xml:space="preserve"> Il nodo Hyperion si chiude su tre anti-triangolazioni: nessuna condanna e presunzione d'innocenza piena; due tesi alternative che non si sommano; il filo Moretti che non è catena di comando. Il ponte BH-3 stabilisce inoltre la simmetria di metodo con l'ombra statunitense, e la sua frase regge l'intera triangolazione di questo nome: documentare l'esistenza di una testimonianza non è documentare ciò che essa afferma.</w:t>
      </w:r>
    </w:p>
    <w:p>
      <w:pPr>
        <w:spacing w:after="120" w:line="276"/>
        <w:jc w:val="both"/>
      </w:pPr>
      <w:r>
        <w:rPr>
          <w:rFonts w:ascii="Barlow Semi Condensed" w:cs="Barlow Semi Condensed" w:eastAsia="Barlow Semi Condensed" w:hAnsi="Barlow Semi Condensed"/>
          <w:b/>
          <w:bCs/>
          <w:sz w:val="24"/>
          <w:szCs w:val="24"/>
        </w:rPr>
        <w:t xml:space="preserve">4656 · La convergenza di via Nicotera.</w:t>
      </w:r>
      <w:r>
        <w:rPr>
          <w:rFonts w:ascii="Barlow Semi Condensed" w:cs="Barlow Semi Condensed" w:eastAsia="Barlow Semi Condensed" w:hAnsi="Barlow Semi Condensed"/>
          <w:sz w:val="24"/>
          <w:szCs w:val="24"/>
        </w:rPr>
        <w:t xml:space="preserve"> Un caso di scuola dell'errore da evitare sta al ponte BH-4: un ufficio aperto un mese prima di via Fani, in uno stabile condiviso con coperture di servizio. Il corpus lo registra per ciò che è, convergenza di tempo e di luogo, documentata e mai tradotta in accertamento. Chi voglia sapere che cosa il corpus farebbe di una coincidenza di calendario intorno al settembre 1974 legga quella riga.</w:t>
      </w:r>
    </w:p>
    <w:p>
      <w:pPr>
        <w:spacing w:after="120" w:line="276"/>
        <w:jc w:val="both"/>
      </w:pPr>
      <w:r>
        <w:rPr>
          <w:rFonts w:ascii="Barlow Semi Condensed" w:cs="Barlow Semi Condensed" w:eastAsia="Barlow Semi Condensed" w:hAnsi="Barlow Semi Condensed"/>
          <w:b/>
          <w:bCs/>
          <w:sz w:val="24"/>
          <w:szCs w:val="24"/>
        </w:rPr>
        <w:t xml:space="preserve">4657 · Il nodo M-5 e le sette note.</w:t>
      </w:r>
      <w:r>
        <w:rPr>
          <w:rFonts w:ascii="Barlow Semi Condensed" w:cs="Barlow Semi Condensed" w:eastAsia="Barlow Semi Condensed" w:hAnsi="Barlow Semi Condensed"/>
          <w:sz w:val="24"/>
          <w:szCs w:val="24"/>
        </w:rPr>
        <w:t xml:space="preserve"> Al nodo M-5 delle triangolazioni Guevara-Moro è registrata l'ombra statunitense sulle due morti, e la nota di revisione n. 2 del 25 agosto 2026 vi appende sette precisazioni senza riscrivere il testo. Il grado non si muove: testimonianza contestata, non accertamento. Questa serie non ripete le sette; ne trae il criterio di censimento, che il blocco seguente enuncia e applica a tutte le cifre riportate.</w:t>
      </w:r>
    </w:p>
    <w:p>
      <w:pPr>
        <w:spacing w:after="120" w:line="276"/>
        <w:jc w:val="both"/>
      </w:pPr>
      <w:r>
        <w:rPr>
          <w:rFonts w:ascii="Barlow Semi Condensed" w:cs="Barlow Semi Condensed" w:eastAsia="Barlow Semi Condensed" w:hAnsi="Barlow Semi Condensed"/>
          <w:b/>
          <w:bCs/>
          <w:sz w:val="24"/>
          <w:szCs w:val="24"/>
        </w:rPr>
        <w:t xml:space="preserve">4658 · Contestato non è assente.</w:t>
      </w:r>
      <w:r>
        <w:rPr>
          <w:rFonts w:ascii="Barlow Semi Condensed" w:cs="Barlow Semi Condensed" w:eastAsia="Barlow Semi Condensed" w:hAnsi="Barlow Semi Condensed"/>
          <w:sz w:val="24"/>
          <w:szCs w:val="24"/>
        </w:rPr>
        <w:t xml:space="preserve"> Questa distinzione impedisce al censimento di gonfiare le proprie cifre. L'avvertimento riferito non entra nel perimetro negativo: entra nel registro delle testimonianze contestate, con la smentita costante dell'interessato, la deposizione de relato del novembre 1982, il nome ottenuto in aula e non offerto, la data che oscilla fra 1974, 1976 e 1977. Nel perimetro negativo entra il verbale coevo, cercato e non trovato.</w:t>
      </w:r>
    </w:p>
    <w:p>
      <w:pPr>
        <w:spacing w:after="120" w:line="276"/>
        <w:jc w:val="both"/>
      </w:pPr>
      <w:r>
        <w:rPr>
          <w:rFonts w:ascii="Barlow Semi Condensed" w:cs="Barlow Semi Condensed" w:eastAsia="Barlow Semi Condensed" w:hAnsi="Barlow Semi Condensed"/>
          <w:b/>
          <w:bCs/>
          <w:sz w:val="24"/>
          <w:szCs w:val="24"/>
        </w:rPr>
        <w:t xml:space="preserve">4659 · Lo Stato Zero puntuale del verbale.</w:t>
      </w:r>
      <w:r>
        <w:rPr>
          <w:rFonts w:ascii="Barlow Semi Condensed" w:cs="Barlow Semi Condensed" w:eastAsia="Barlow Semi Condensed" w:hAnsi="Barlow Semi Condensed"/>
          <w:sz w:val="24"/>
          <w:szCs w:val="24"/>
        </w:rPr>
        <w:t xml:space="preserve"> Già scritto al blocco 224 e qui confermato come voce autonoma del registro: nel memorandum dello Studio Ovale del 25 settembre 1974 — documento 350 del volume FRUS 1969-1976 E-15 parte 2, seconda edizione riveduta, file 1552802 della Ford Library — non compare alcun ultimatum personale ad Aldo Moro. Perimetro esatto: quella carta, quella sede, esito negativo. Ciò che attesta è la posizione sullo scambio di informazioni militari.</w:t>
      </w:r>
    </w:p>
    <w:p>
      <w:pPr>
        <w:spacing w:after="120" w:line="276"/>
        <w:jc w:val="both"/>
      </w:pPr>
      <w:r>
        <w:rPr>
          <w:rFonts w:ascii="Barlow Semi Condensed" w:cs="Barlow Semi Condensed" w:eastAsia="Barlow Semi Condensed" w:hAnsi="Barlow Semi Condensed"/>
          <w:b/>
          <w:bCs/>
          <w:sz w:val="24"/>
          <w:szCs w:val="24"/>
        </w:rPr>
        <w:t xml:space="preserve">4660 · Ciò che l'assenza dal verbale non prova.</w:t>
      </w:r>
      <w:r>
        <w:rPr>
          <w:rFonts w:ascii="Barlow Semi Condensed" w:cs="Barlow Semi Condensed" w:eastAsia="Barlow Semi Condensed" w:hAnsi="Barlow Semi Condensed"/>
          <w:sz w:val="24"/>
          <w:szCs w:val="24"/>
        </w:rPr>
        <w:t xml:space="preserve"> L'errore è simmetrico e ugualmente grave, e va segnalato ogni volta. La testimonianza colloca la frase a margine; l'assenza dal verbale ufficiale non prova dunque né la falsità né la verità dell'episodio. Indebolisce nettamente la versione che lo colloca dentro l'incontro ufficiale, ed è quella che circola. Il censimento registra un vuoto documentale, non una smentita: due esiti diversi, su due righe diverse.</w:t>
      </w:r>
    </w:p>
    <w:p>
      <w:pPr>
        <w:spacing w:after="120" w:line="276"/>
        <w:jc w:val="both"/>
      </w:pPr>
      <w:r>
        <w:rPr>
          <w:rFonts w:ascii="Barlow Semi Condensed" w:cs="Barlow Semi Condensed" w:eastAsia="Barlow Semi Condensed" w:hAnsi="Barlow Semi Condensed"/>
          <w:b/>
          <w:bCs/>
          <w:sz w:val="24"/>
          <w:szCs w:val="24"/>
        </w:rPr>
        <w:t xml:space="preserve">4661 · Il vuoto giudiziario, accertato.</w:t>
      </w:r>
      <w:r>
        <w:rPr>
          <w:rFonts w:ascii="Barlow Semi Condensed" w:cs="Barlow Semi Condensed" w:eastAsia="Barlow Semi Condensed" w:hAnsi="Barlow Semi Condensed"/>
          <w:sz w:val="24"/>
          <w:szCs w:val="24"/>
        </w:rPr>
        <w:t xml:space="preserve"> I blocchi 760 e 975 lo dichiarano e il corpus lo tiene fermo: non fu mai sentito dall'autorità giudiziaria italiana, e la richiesta informale del 1983 non ebbe seguito. Non esiste verbale di escussione perché non vi fu escussione. È assenza accertata, non reticenza. Sede in cui l'esito si chiuderebbe: gli atti dei cinque processi Moro, nel lotto digitalizzato presso l'Archivio di Stato di Roma.</w:t>
      </w:r>
    </w:p>
    <w:p>
      <w:pPr>
        <w:spacing w:after="120" w:line="276"/>
        <w:jc w:val="both"/>
      </w:pPr>
      <w:r>
        <w:rPr>
          <w:rFonts w:ascii="Barlow Semi Condensed" w:cs="Barlow Semi Condensed" w:eastAsia="Barlow Semi Condensed" w:hAnsi="Barlow Semi Condensed"/>
          <w:b/>
          <w:bCs/>
          <w:sz w:val="24"/>
          <w:szCs w:val="24"/>
        </w:rPr>
        <w:t xml:space="preserve">4662 · Nessun processo, in nessun Paese.</w:t>
      </w:r>
      <w:r>
        <w:rPr>
          <w:rFonts w:ascii="Barlow Semi Condensed" w:cs="Barlow Semi Condensed" w:eastAsia="Barlow Semi Condensed" w:hAnsi="Barlow Semi Condensed"/>
          <w:sz w:val="24"/>
          <w:szCs w:val="24"/>
        </w:rPr>
        <w:t xml:space="preserve"> Nessuna sentenza di condanna, nessun rinvio a giudizio, nessun procedimento penale a suo carico in alcun Paese: l'accertamento K-2 dell'apparato dell'opera va richiamato qui perché vincola ogni riga della serie. Sul punto concordano anche le fonti a lui più ostili, che distinguono il libro-saggio d'accusa dall'atto giudiziario. Le responsabilità morali o politiche che quelle fonti gli attribuiscono restano fuori dal giudicato e fuori di qui.</w:t>
      </w:r>
    </w:p>
    <w:p>
      <w:pPr>
        <w:spacing w:after="120" w:line="276"/>
        <w:jc w:val="both"/>
      </w:pPr>
      <w:r>
        <w:rPr>
          <w:rFonts w:ascii="Barlow Semi Condensed" w:cs="Barlow Semi Condensed" w:eastAsia="Barlow Semi Condensed" w:hAnsi="Barlow Semi Condensed"/>
          <w:b/>
          <w:bCs/>
          <w:sz w:val="24"/>
          <w:szCs w:val="24"/>
        </w:rPr>
        <w:t xml:space="preserve">4663 · L'anagrafe e la data contesa.</w:t>
      </w:r>
      <w:r>
        <w:rPr>
          <w:rFonts w:ascii="Barlow Semi Condensed" w:cs="Barlow Semi Condensed" w:eastAsia="Barlow Semi Condensed" w:hAnsi="Barlow Semi Condensed"/>
          <w:sz w:val="24"/>
          <w:szCs w:val="24"/>
        </w:rPr>
        <w:t xml:space="preserve"> Anche una biografia produce esiti negativi. Nascita a Fürth il 27 maggio 1923 col nome di Heinz Alfred, morte a Kent nel Connecticut il 29 novembre 2023: nessuna fonte dissente. L'anglicizzazione del nome invece diverge — le opere di consultazione dicono 1938 senza citare documenti, il fascicolo d'immigrazione la colloca al 1942-1943. Divergenza da riportare e non da sciogliere; sede di chiusura, il fascicolo di naturalizzazione.</w:t>
      </w:r>
    </w:p>
    <w:p>
      <w:pPr>
        <w:spacing w:after="120" w:line="276"/>
        <w:jc w:val="both"/>
      </w:pPr>
      <w:r>
        <w:rPr>
          <w:rFonts w:ascii="Barlow Semi Condensed" w:cs="Barlow Semi Condensed" w:eastAsia="Barlow Semi Condensed" w:hAnsi="Barlow Semi Condensed"/>
          <w:b/>
          <w:bCs/>
          <w:sz w:val="24"/>
          <w:szCs w:val="24"/>
        </w:rPr>
        <w:t xml:space="preserve">4664 · Le date degli incarichi, senza vuoti.</w:t>
      </w:r>
      <w:r>
        <w:rPr>
          <w:rFonts w:ascii="Barlow Semi Condensed" w:cs="Barlow Semi Condensed" w:eastAsia="Barlow Semi Condensed" w:hAnsi="Barlow Semi Condensed"/>
          <w:sz w:val="24"/>
          <w:szCs w:val="24"/>
        </w:rPr>
        <w:t xml:space="preserve"> Qui il corpus non ha assenze da dichiarare, e un censimento onesto conta anche i pieni. Assistente del Presidente per gli affari di sicurezza nazionale dal 20 gennaio 1969 al 3 novembre 1975; Segretario di Stato dal 22 settembre 1973 al 20 gennaio 1977; i due incarichi tenuti insieme. Ogni ricostruzione che collochi altrove i suoi poteri contraddice date verificate su fonti istituzionali convergenti.</w:t>
      </w:r>
    </w:p>
    <w:p>
      <w:pPr>
        <w:spacing w:after="120" w:line="276"/>
        <w:jc w:val="both"/>
      </w:pPr>
      <w:r>
        <w:rPr>
          <w:rFonts w:ascii="Barlow Semi Condensed" w:cs="Barlow Semi Condensed" w:eastAsia="Barlow Semi Condensed" w:hAnsi="Barlow Semi Condensed"/>
          <w:b/>
          <w:bCs/>
          <w:sz w:val="24"/>
          <w:szCs w:val="24"/>
        </w:rPr>
        <w:t xml:space="preserve">4665 · La cartella Farnesina, quattro versanti.</w:t>
      </w:r>
      <w:r>
        <w:rPr>
          <w:rFonts w:ascii="Barlow Semi Condensed" w:cs="Barlow Semi Condensed" w:eastAsia="Barlow Semi Condensed" w:hAnsi="Barlow Semi Condensed"/>
          <w:sz w:val="24"/>
          <w:szCs w:val="24"/>
        </w:rPr>
        <w:t xml:space="preserve"> Nel README di moro-ministro-esteri l'esito dei quattro versanti nazionali con l'Opus Dei è fissato in due parole: presenza documentata per Germania e Portogallo, Stato Zero per Grecia e Turchia, con la ricognizione turca dichiarata il caso più probante. Nessuno dei quattro esiti passa per questo nome, che nella cartella compare soltanto come autore o destinatario di documenti della serie FRUS.</w:t>
      </w:r>
    </w:p>
    <w:p>
      <w:pPr>
        <w:spacing w:after="120" w:line="276"/>
        <w:jc w:val="both"/>
      </w:pPr>
      <w:r>
        <w:rPr>
          <w:rFonts w:ascii="Barlow Semi Condensed" w:cs="Barlow Semi Condensed" w:eastAsia="Barlow Semi Condensed" w:hAnsi="Barlow Semi Condensed"/>
          <w:b/>
          <w:bCs/>
          <w:sz w:val="24"/>
          <w:szCs w:val="24"/>
        </w:rPr>
        <w:t xml:space="preserve">4666 · Il Portogallo e lo Stato Zero mantenuto.</w:t>
      </w:r>
      <w:r>
        <w:rPr>
          <w:rFonts w:ascii="Barlow Semi Condensed" w:cs="Barlow Semi Condensed" w:eastAsia="Barlow Semi Condensed" w:hAnsi="Barlow Semi Condensed"/>
          <w:sz w:val="24"/>
          <w:szCs w:val="24"/>
        </w:rPr>
        <w:t xml:space="preserve"> Undici marcature, il massimo del corpus dopo l'opera stessa, stanno nella ricognizione su Portogallo e Opus Dei, che al punto quarto prescrive di trattare lo Stato Zero Moro-Opus Dei come acquisizione stabile e non come lacuna da colmare a ogni costo. Cambierebbe solo davanti a un documento diretto nell'Archivio Aldo Moro. Priorità immediata: lo spoglio della serie Portogallo 1969-1974 all'Archivio storico diplomatico.</w:t>
      </w:r>
    </w:p>
    <w:p>
      <w:pPr>
        <w:spacing w:after="120" w:line="276"/>
        <w:jc w:val="both"/>
      </w:pPr>
      <w:r>
        <w:rPr>
          <w:rFonts w:ascii="Barlow Semi Condensed" w:cs="Barlow Semi Condensed" w:eastAsia="Barlow Semi Condensed" w:hAnsi="Barlow Semi Condensed"/>
          <w:b/>
          <w:bCs/>
          <w:sz w:val="24"/>
          <w:szCs w:val="24"/>
        </w:rPr>
        <w:t xml:space="preserve">4667 · Il nome nella stessa pagina.</w:t>
      </w:r>
      <w:r>
        <w:rPr>
          <w:rFonts w:ascii="Barlow Semi Condensed" w:cs="Barlow Semi Condensed" w:eastAsia="Barlow Semi Condensed" w:hAnsi="Barlow Semi Condensed"/>
          <w:sz w:val="24"/>
          <w:szCs w:val="24"/>
        </w:rPr>
        <w:t xml:space="preserve"> Nello stesso file il nome compare una volta sola, e il censimento deve qualificarlo: la preoccupazione atlantica documentata nei FRUS per Lisbona, «not a Communist take-over, but a leftist neutralist regime remaining within NATO». È piano 1 quanto alla posizione espressa, e cornice quanto agli effetti italiani. Convive nella medesima scheda con undici esiti negativi che non lo riguardano in alcun punto.</w:t>
      </w:r>
    </w:p>
    <w:p>
      <w:pPr>
        <w:spacing w:after="120" w:line="276"/>
        <w:jc w:val="both"/>
      </w:pPr>
      <w:r>
        <w:rPr>
          <w:rFonts w:ascii="Barlow Semi Condensed" w:cs="Barlow Semi Condensed" w:eastAsia="Barlow Semi Condensed" w:hAnsi="Barlow Semi Condensed"/>
          <w:b/>
          <w:bCs/>
          <w:sz w:val="24"/>
          <w:szCs w:val="24"/>
        </w:rPr>
        <w:t xml:space="preserve">4668 · Aginter Press, il vuoto che resta.</w:t>
      </w:r>
      <w:r>
        <w:rPr>
          <w:rFonts w:ascii="Barlow Semi Condensed" w:cs="Barlow Semi Condensed" w:eastAsia="Barlow Semi Condensed" w:hAnsi="Barlow Semi Condensed"/>
          <w:sz w:val="24"/>
          <w:szCs w:val="24"/>
        </w:rPr>
        <w:t xml:space="preserve"> La ricognizione portoghese dichiara Stato Zero su un dossier ricorrente nella pubblicistica delle reti clandestine, non avendo reperito fonti primarie né studi sottoposti a revisione paritaria che ne documentino un ruolo, e qualifica come non sostenuta la tesi circolante. La verifica meccanica della seconda campagna aggiunge che il termine non compare altrove nel corpus. Doppio negativo, e si registra senza addolcirlo.</w:t>
      </w:r>
    </w:p>
    <w:p>
      <w:pPr>
        <w:spacing w:after="120" w:line="276"/>
        <w:jc w:val="both"/>
      </w:pPr>
      <w:r>
        <w:rPr>
          <w:rFonts w:ascii="Barlow Semi Condensed" w:cs="Barlow Semi Condensed" w:eastAsia="Barlow Semi Condensed" w:hAnsi="Barlow Semi Condensed"/>
          <w:b/>
          <w:bCs/>
          <w:sz w:val="24"/>
          <w:szCs w:val="24"/>
        </w:rPr>
        <w:t xml:space="preserve">4669 · La Grecia, previsione verificata.</w:t>
      </w:r>
      <w:r>
        <w:rPr>
          <w:rFonts w:ascii="Barlow Semi Condensed" w:cs="Barlow Semi Condensed" w:eastAsia="Barlow Semi Condensed" w:hAnsi="Barlow Semi Condensed"/>
          <w:sz w:val="24"/>
          <w:szCs w:val="24"/>
        </w:rPr>
        <w:t xml:space="preserve"> La negatività come risultato principale e non come mancanza: così la ricognizione greca, che vi aggiunge uno Stato Zero parziale sulla posizione della Chiesa ortodossa rispetto al regime militare. La sede di rendimento più alto sono i resoconti stenografici di Camera e Senato della sesta legislatura per i mesi luglio-novembre 1974. Nella stessa pagina il nome compare per un telegramma del 2 agosto 1975.</w:t>
      </w:r>
    </w:p>
    <w:p>
      <w:pPr>
        <w:spacing w:after="120" w:line="276"/>
        <w:jc w:val="both"/>
      </w:pPr>
      <w:r>
        <w:rPr>
          <w:rFonts w:ascii="Barlow Semi Condensed" w:cs="Barlow Semi Condensed" w:eastAsia="Barlow Semi Condensed" w:hAnsi="Barlow Semi Condensed"/>
          <w:b/>
          <w:bCs/>
          <w:sz w:val="24"/>
          <w:szCs w:val="24"/>
        </w:rPr>
        <w:t xml:space="preserve">4670 · Il telegramma del 2 agosto 1975 (serie LXI).</w:t>
      </w:r>
      <w:r>
        <w:rPr>
          <w:rFonts w:ascii="Barlow Semi Condensed" w:cs="Barlow Semi Condensed" w:eastAsia="Barlow Semi Condensed" w:hAnsi="Barlow Semi Condensed"/>
          <w:sz w:val="24"/>
          <w:szCs w:val="24"/>
        </w:rPr>
        <w:t xml:space="preserve"> Isolarlo è necessario, perché è piano 1 e va usato per ciò che è: il documento 334 del volume XXXIX dei FRUS conferma che l'Atto finale di Helsinki fu firmato da trentacinque capi di Stato o di governo e ne descrive la cerimonia conclusiva. Attesta un fatto cerimoniale accertato, non una relazione bilaterale. Citarlo come prova di un rapporto personale sarebbe l'errore che l'opera vieta.</w:t>
      </w:r>
    </w:p>
    <w:p>
      <w:pPr>
        <w:spacing w:after="120" w:line="276"/>
        <w:jc w:val="both"/>
      </w:pPr>
      <w:r>
        <w:rPr>
          <w:rFonts w:ascii="Barlow Semi Condensed" w:cs="Barlow Semi Condensed" w:eastAsia="Barlow Semi Condensed" w:hAnsi="Barlow Semi Condensed"/>
          <w:b/>
          <w:bCs/>
          <w:sz w:val="24"/>
          <w:szCs w:val="24"/>
        </w:rPr>
        <w:t xml:space="preserve">4671 · Cipro, il silenzio di quattro mesi.</w:t>
      </w:r>
      <w:r>
        <w:rPr>
          <w:rFonts w:ascii="Barlow Semi Condensed" w:cs="Barlow Semi Condensed" w:eastAsia="Barlow Semi Condensed" w:hAnsi="Barlow Semi Condensed"/>
          <w:sz w:val="24"/>
          <w:szCs w:val="24"/>
        </w:rPr>
        <w:t xml:space="preserve"> Registrato al blocco 346 e confermato dal censimento come esito autonomo: non sono state reperite dichiarazioni testuali di Moro su Cipro fra luglio e novembre 1974. La sede è duplice — i resoconti stenografici della sesta legislatura, le serie Grecia e Cipro dell'Archivio storico diplomatico. La contemporaneità fra la crisi cipriota e la visita di settembre non è nesso, e non va trattata come tale.</w:t>
      </w:r>
    </w:p>
    <w:p>
      <w:pPr>
        <w:spacing w:after="120" w:line="276"/>
        <w:jc w:val="both"/>
      </w:pPr>
      <w:r>
        <w:rPr>
          <w:rFonts w:ascii="Barlow Semi Condensed" w:cs="Barlow Semi Condensed" w:eastAsia="Barlow Semi Condensed" w:hAnsi="Barlow Semi Condensed"/>
          <w:b/>
          <w:bCs/>
          <w:sz w:val="24"/>
          <w:szCs w:val="24"/>
        </w:rPr>
        <w:t xml:space="preserve">4672 · L'embargo turco e il silenzio italiano.</w:t>
      </w:r>
      <w:r>
        <w:rPr>
          <w:rFonts w:ascii="Barlow Semi Condensed" w:cs="Barlow Semi Condensed" w:eastAsia="Barlow Semi Condensed" w:hAnsi="Barlow Semi Condensed"/>
          <w:sz w:val="24"/>
          <w:szCs w:val="24"/>
        </w:rPr>
        <w:t xml:space="preserve"> Deliberato nel dicembre 1974, in vigore dal 5 febbraio 1975, revocato nel settembre 1978: la sequenza è documentata, e dichiarazioni italiane su di essa non si sono trovate. La ricognizione turca dichiara i propri esiti negativi «numerosi e circostanziati» senza mai usare la marcatura letterale, ragione per cui il conteggio per stringa la ignora del tutto. È il caso che dimostra perché il censimento non può fermarsi al lessico.</w:t>
      </w:r>
    </w:p>
    <w:p>
      <w:pPr>
        <w:spacing w:after="120" w:line="276"/>
        <w:jc w:val="both"/>
      </w:pPr>
      <w:r>
        <w:rPr>
          <w:rFonts w:ascii="Barlow Semi Condensed" w:cs="Barlow Semi Condensed" w:eastAsia="Barlow Semi Condensed" w:hAnsi="Barlow Semi Condensed"/>
          <w:b/>
          <w:bCs/>
          <w:sz w:val="24"/>
          <w:szCs w:val="24"/>
        </w:rPr>
        <w:t xml:space="preserve">4673 · Il memorandum sull'oppio, piano uno.</w:t>
      </w:r>
      <w:r>
        <w:rPr>
          <w:rFonts w:ascii="Barlow Semi Condensed" w:cs="Barlow Semi Condensed" w:eastAsia="Barlow Semi Condensed" w:hAnsi="Barlow Semi Condensed"/>
          <w:sz w:val="24"/>
          <w:szCs w:val="24"/>
        </w:rPr>
        <w:t xml:space="preserve"> La stessa ricognizione turca ospita la concentrazione documentale più densa del nome nell'intera cartella: il memorandum al presidente Ford, documento 208 del volume XXX, il telegramma 5213 del 2 luglio 1974, il paper del gruppo interdipartimentale per l'Europa del Consiglio di sicurezza nazionale. Materia oppiacei, con rilevanza indiretta per l'Italia. Piano 1 su quel dossier, e nessun ponte con i dossier italiani del corpus.</w:t>
      </w:r>
    </w:p>
    <w:p>
      <w:pPr>
        <w:spacing w:after="120" w:line="276"/>
        <w:jc w:val="both"/>
      </w:pPr>
      <w:r>
        <w:rPr>
          <w:rFonts w:ascii="Barlow Semi Condensed" w:cs="Barlow Semi Condensed" w:eastAsia="Barlow Semi Condensed" w:hAnsi="Barlow Semi Condensed"/>
          <w:b/>
          <w:bCs/>
          <w:sz w:val="24"/>
          <w:szCs w:val="24"/>
        </w:rPr>
        <w:t xml:space="preserve">4674 · Gli Stati Zero spagnoli, condivisi.</w:t>
      </w:r>
      <w:r>
        <w:rPr>
          <w:rFonts w:ascii="Barlow Semi Condensed" w:cs="Barlow Semi Condensed" w:eastAsia="Barlow Semi Condensed" w:hAnsi="Barlow Semi Condensed"/>
          <w:sz w:val="24"/>
          <w:szCs w:val="24"/>
        </w:rPr>
        <w:t xml:space="preserve"> Nove marcature e il capitolo col maggior numero di vuoti stanno nella ricognizione sui documenti italiani e spagnoli: nessun contatto diretto accertato fra Moro e i tre ministri degli Esteri spagnoli del periodo, l'iter della revisione concordataria non documentato, le repliche di bilancio del 1970, 1971, 1972 e 1974 non reperite. Sedi: la Farnesina e l'Archivo General de la Administración di Alcalá de Henares.</w:t>
      </w:r>
    </w:p>
    <w:p>
      <w:pPr>
        <w:spacing w:after="120" w:line="276"/>
        <w:jc w:val="both"/>
      </w:pPr>
      <w:r>
        <w:rPr>
          <w:rFonts w:ascii="Barlow Semi Condensed" w:cs="Barlow Semi Condensed" w:eastAsia="Barlow Semi Condensed" w:hAnsi="Barlow Semi Condensed"/>
          <w:b/>
          <w:bCs/>
          <w:sz w:val="24"/>
          <w:szCs w:val="24"/>
        </w:rPr>
        <w:t xml:space="preserve">4675 · Il lato italiano del 25 settembre.</w:t>
      </w:r>
      <w:r>
        <w:rPr>
          <w:rFonts w:ascii="Barlow Semi Condensed" w:cs="Barlow Semi Condensed" w:eastAsia="Barlow Semi Condensed" w:hAnsi="Barlow Semi Condensed"/>
          <w:sz w:val="24"/>
          <w:szCs w:val="24"/>
        </w:rPr>
        <w:t xml:space="preserve"> Nella stessa ricognizione spagnola il nome compare una volta, per indicare quel memorandum come fonte primaria di riferimento. Ne deriva un bersaglio mai eseguito dal corpus: cercare il lato italiano di quel colloquio nei carteggi di gabinetto del ministro degli Esteri per il 1969-1974 e nelle serie della direzione generale degli affari politici. Lo strumento è la collazione bilaterale del blocco 153 dell'agenda.</w:t>
      </w:r>
    </w:p>
    <w:p>
      <w:pPr>
        <w:spacing w:after="120" w:line="276"/>
        <w:jc w:val="both"/>
      </w:pPr>
      <w:r>
        <w:rPr>
          <w:rFonts w:ascii="Barlow Semi Condensed" w:cs="Barlow Semi Condensed" w:eastAsia="Barlow Semi Condensed" w:hAnsi="Barlow Semi Condensed"/>
          <w:b/>
          <w:bCs/>
          <w:sz w:val="24"/>
          <w:szCs w:val="24"/>
        </w:rPr>
        <w:t xml:space="preserve">4676 · La Farnesina non è sede aperta.</w:t>
      </w:r>
      <w:r>
        <w:rPr>
          <w:rFonts w:ascii="Barlow Semi Condensed" w:cs="Barlow Semi Condensed" w:eastAsia="Barlow Semi Condensed" w:hAnsi="Barlow Semi Condensed"/>
          <w:sz w:val="24"/>
          <w:szCs w:val="24"/>
        </w:rPr>
        <w:t xml:space="preserve"> Correzione imposta dalla seconda campagna e registrata al blocco 683: i blocchi 55 e 78 dei cantieri e il 244 dell'agenda trattavano l'Archivio storico diplomatico come sede aperta. Non lo è senza riserve, e i Telegrammi 1942-1970 sono in esclusione temporanea dichiarata. Chi cerchi lì e non trovi non ha prodotto uno Stato Zero: ha incontrato una porta chiusa, e la differenza va scritta nel verbale.</w:t>
      </w:r>
    </w:p>
    <w:p>
      <w:pPr>
        <w:spacing w:after="120" w:line="276"/>
        <w:jc w:val="both"/>
      </w:pPr>
      <w:r>
        <w:rPr>
          <w:rFonts w:ascii="Barlow Semi Condensed" w:cs="Barlow Semi Condensed" w:eastAsia="Barlow Semi Condensed" w:hAnsi="Barlow Semi Condensed"/>
          <w:b/>
          <w:bCs/>
          <w:sz w:val="24"/>
          <w:szCs w:val="24"/>
        </w:rPr>
        <w:t xml:space="preserve">4677 · La banca dati che comincia nel 1976.</w:t>
      </w:r>
      <w:r>
        <w:rPr>
          <w:rFonts w:ascii="Barlow Semi Condensed" w:cs="Barlow Semi Condensed" w:eastAsia="Barlow Semi Condensed" w:hAnsi="Barlow Semi Condensed"/>
          <w:sz w:val="24"/>
          <w:szCs w:val="24"/>
        </w:rPr>
        <w:t xml:space="preserve"> Secondo limite strutturale, e non vuoto di fatto: il sindacato ispettivo parlamentare è interrogabile solo dalla settima legislatura, dal 5 luglio 1976. L'intero arco del ministero degli Esteri di Moro sopravvive come resoconti a stampa non ricercabili a testo pieno. Il blocco 62 dell'agenda prescriveva il censimento senza registrare il limite: correzione di fattibilità e non di merito, che cambia il costo e l'ordine delle campagne.</w:t>
      </w:r>
    </w:p>
    <w:p>
      <w:pPr>
        <w:spacing w:after="120" w:line="276"/>
        <w:jc w:val="both"/>
      </w:pPr>
      <w:r>
        <w:rPr>
          <w:rFonts w:ascii="Barlow Semi Condensed" w:cs="Barlow Semi Condensed" w:eastAsia="Barlow Semi Condensed" w:hAnsi="Barlow Semi Condensed"/>
          <w:b/>
          <w:bCs/>
          <w:sz w:val="24"/>
          <w:szCs w:val="24"/>
        </w:rPr>
        <w:t xml:space="preserve">4678 · La coincidenza da non promuovere.</w:t>
      </w:r>
      <w:r>
        <w:rPr>
          <w:rFonts w:ascii="Barlow Semi Condensed" w:cs="Barlow Semi Condensed" w:eastAsia="Barlow Semi Condensed" w:hAnsi="Barlow Semi Condensed"/>
          <w:sz w:val="24"/>
          <w:szCs w:val="24"/>
        </w:rPr>
        <w:t xml:space="preserve"> Nominata al blocco 701, la coincidenza va ripetuta con la stessa cautela con cui fu scritta: gli anni meno interrogabili con mezzi rapidi sul versante parlamentare italiano sono gli stessi in cui cadono i documenti statunitensi che il corpus possiede. È coincidenza fra due stati d'archivio, non fra due volontà. Leggerla altrimenti significa promuovere una proprietà degli strumenti a proprietà del mondo.</w:t>
      </w:r>
    </w:p>
    <w:p>
      <w:pPr>
        <w:spacing w:after="120" w:line="276"/>
        <w:jc w:val="both"/>
      </w:pPr>
      <w:r>
        <w:rPr>
          <w:rFonts w:ascii="Barlow Semi Condensed" w:cs="Barlow Semi Condensed" w:eastAsia="Barlow Semi Condensed" w:hAnsi="Barlow Semi Condensed"/>
          <w:b/>
          <w:bCs/>
          <w:sz w:val="24"/>
          <w:szCs w:val="24"/>
        </w:rPr>
        <w:t xml:space="preserve">4679 · Il vuoto scoperto per incrocio.</w:t>
      </w:r>
      <w:r>
        <w:rPr>
          <w:rFonts w:ascii="Barlow Semi Condensed" w:cs="Barlow Semi Condensed" w:eastAsia="Barlow Semi Condensed" w:hAnsi="Barlow Semi Condensed"/>
          <w:sz w:val="24"/>
          <w:szCs w:val="24"/>
        </w:rPr>
        <w:t xml:space="preserve"> La seconda campagna della Farnesina ha prodotto l'esito che solo una verifica meccanica genera: zero occorrenze, tanto nei tre documenti maggiori del corpus quanto nelle tre ricognizioni nuove, del nome del capocentro del servizio a Beirut e della strage di Fiumicino del 17 dicembre 1973. Nessuna delle due parti tocca il nome né la data. È il modello procedurale che questa serie applica.</w:t>
      </w:r>
    </w:p>
    <w:p>
      <w:pPr>
        <w:spacing w:after="120" w:line="276"/>
        <w:jc w:val="both"/>
      </w:pPr>
      <w:r>
        <w:rPr>
          <w:rFonts w:ascii="Barlow Semi Condensed" w:cs="Barlow Semi Condensed" w:eastAsia="Barlow Semi Condensed" w:hAnsi="Barlow Semi Condensed"/>
          <w:b/>
          <w:bCs/>
          <w:sz w:val="24"/>
          <w:szCs w:val="24"/>
        </w:rPr>
        <w:t xml:space="preserve">4680 · Il vuoto che si chiuse collazionando.</w:t>
      </w:r>
      <w:r>
        <w:rPr>
          <w:rFonts w:ascii="Barlow Semi Condensed" w:cs="Barlow Semi Condensed" w:eastAsia="Barlow Semi Condensed" w:hAnsi="Barlow Semi Condensed"/>
          <w:sz w:val="24"/>
          <w:szCs w:val="24"/>
        </w:rPr>
        <w:t xml:space="preserve"> Contro-esempio necessario, perché impedisce di considerare definitivo ogni vuoto: l'ingresso delle due Germanie alle Nazioni Unite era dichiarato Stato Zero da una ricognizione e datato al 18 settembre 1973 dall'altra, su documentazione ufficiale tedesca. Era lacuna di spoglio, non buco del mondo. Prima di verbalizzare un vuoto si collaziona ciò che il corpus già possiede: costo nullo, rendimento alto.</w:t>
      </w:r>
    </w:p>
    <w:p>
      <w:pPr>
        <w:spacing w:after="120" w:line="276"/>
        <w:jc w:val="both"/>
      </w:pPr>
      <w:r>
        <w:rPr>
          <w:rFonts w:ascii="Barlow Semi Condensed" w:cs="Barlow Semi Condensed" w:eastAsia="Barlow Semi Condensed" w:hAnsi="Barlow Semi Condensed"/>
          <w:b/>
          <w:bCs/>
          <w:sz w:val="24"/>
          <w:szCs w:val="24"/>
        </w:rPr>
        <w:t xml:space="preserve">4681 · Il telegramma da Tunisi, assente.</w:t>
      </w:r>
      <w:r>
        <w:rPr>
          <w:rFonts w:ascii="Barlow Semi Condensed" w:cs="Barlow Semi Condensed" w:eastAsia="Barlow Semi Condensed" w:hAnsi="Barlow Semi Condensed"/>
          <w:sz w:val="24"/>
          <w:szCs w:val="24"/>
        </w:rPr>
        <w:t xml:space="preserve"> Caso di scuola registrato al blocco 688 e dalla triangolazione della seconda campagna: il telegramma del 6 settembre 1970 da Tunisi è noto solo per via memorialistica indiretta e privo di fonte primaria. Esiste nel racconto di un protagonista e non in un fondo. La sede di chiusura è l'Archivio storico diplomatico; finché resta tale, si cita come oggetto di circolazione e mai come documento.</w:t>
      </w:r>
    </w:p>
    <w:p>
      <w:pPr>
        <w:spacing w:after="120" w:line="276"/>
        <w:jc w:val="both"/>
      </w:pPr>
      <w:r>
        <w:rPr>
          <w:rFonts w:ascii="Barlow Semi Condensed" w:cs="Barlow Semi Condensed" w:eastAsia="Barlow Semi Condensed" w:hAnsi="Barlow Semi Condensed"/>
          <w:b/>
          <w:bCs/>
          <w:sz w:val="24"/>
          <w:szCs w:val="24"/>
        </w:rPr>
        <w:t xml:space="preserve">4682 · Sette esiti tedeschi, con le sedi.</w:t>
      </w:r>
      <w:r>
        <w:rPr>
          <w:rFonts w:ascii="Barlow Semi Condensed" w:cs="Barlow Semi Condensed" w:eastAsia="Barlow Semi Condensed" w:hAnsi="Barlow Semi Condensed"/>
          <w:sz w:val="24"/>
          <w:szCs w:val="24"/>
        </w:rPr>
        <w:t xml:space="preserve"> Sette acquisizioni mancate, ciascuna con la propria sede, sono elencate nella ricognizione tedesca: la sala di lettura elettronica dell'agenzia statunitense, la serie Germania della Farnesina coi volumi AAPD dell'Institut für Zeitgeschichte, l'Archiv für Christlich-Demokratische Politik, gli archivi della prelatura e il centro studi di Navarra. Nessuna riguarda questo nome: il file dichiara Stati Zero e non lo nomina mai, e appartiene ai dieci.</w:t>
      </w:r>
    </w:p>
    <w:p>
      <w:pPr>
        <w:spacing w:after="120" w:line="276"/>
        <w:jc w:val="both"/>
      </w:pPr>
      <w:r>
        <w:rPr>
          <w:rFonts w:ascii="Barlow Semi Condensed" w:cs="Barlow Semi Condensed" w:eastAsia="Barlow Semi Condensed" w:hAnsi="Barlow Semi Condensed"/>
          <w:b/>
          <w:bCs/>
          <w:sz w:val="24"/>
          <w:szCs w:val="24"/>
        </w:rPr>
        <w:t xml:space="preserve">4683 · L'archivio che non apre (serie LXI).</w:t>
      </w:r>
      <w:r>
        <w:rPr>
          <w:rFonts w:ascii="Barlow Semi Condensed" w:cs="Barlow Semi Condensed" w:eastAsia="Barlow Semi Condensed" w:hAnsi="Barlow Semi Condensed"/>
          <w:sz w:val="24"/>
          <w:szCs w:val="24"/>
        </w:rPr>
        <w:t xml:space="preserve"> Un limite che nessuna campagna può superare sta al blocco 711: l'Archivio Apostolico Vaticano è consultabile fino all'ottobre 1958. Ogni verifica primaria sugli atti pontifici degli anni Settanta è preclusa allo stato, e le ricostruzioni poggiano su fonti edite e ufficiali. Dove un documento del corpus indica gli archivi vaticani come sede da interrogare, l'indicazione è un calendario e non un bersaglio eseguibile.</w:t>
      </w:r>
    </w:p>
    <w:p>
      <w:pPr>
        <w:spacing w:after="120" w:line="276"/>
        <w:jc w:val="both"/>
      </w:pPr>
      <w:r>
        <w:rPr>
          <w:rFonts w:ascii="Barlow Semi Condensed" w:cs="Barlow Semi Condensed" w:eastAsia="Barlow Semi Condensed" w:hAnsi="Barlow Semi Condensed"/>
          <w:b/>
          <w:bCs/>
          <w:sz w:val="24"/>
          <w:szCs w:val="24"/>
        </w:rPr>
        <w:t xml:space="preserve">4684 · Il censimento del trattenuto.</w:t>
      </w:r>
      <w:r>
        <w:rPr>
          <w:rFonts w:ascii="Barlow Semi Condensed" w:cs="Barlow Semi Condensed" w:eastAsia="Barlow Semi Condensed" w:hAnsi="Barlow Semi Condensed"/>
          <w:sz w:val="24"/>
          <w:szCs w:val="24"/>
        </w:rPr>
        <w:t xml:space="preserve"> La scheda PE-5 delle piste-entità distingue il non trovato dal trattenuto: le withdrawal cards del 1978 nei Central Foreign Policy Files attestano l'esistenza di una carta senza rivelarla. La cifra riferita di circa quattrocentosettantaquattro atti di origine alleata resta dato di stampa e non accertamento. La regola dell'originatore spiega perché nessuna direttiva italiana può aprirli, e perché un diniego motivato è un'acquisizione.</w:t>
      </w:r>
    </w:p>
    <w:p>
      <w:pPr>
        <w:spacing w:after="120" w:line="276"/>
        <w:jc w:val="both"/>
      </w:pPr>
      <w:r>
        <w:rPr>
          <w:rFonts w:ascii="Barlow Semi Condensed" w:cs="Barlow Semi Condensed" w:eastAsia="Barlow Semi Condensed" w:hAnsi="Barlow Semi Condensed"/>
          <w:b/>
          <w:bCs/>
          <w:sz w:val="24"/>
          <w:szCs w:val="24"/>
        </w:rPr>
        <w:t xml:space="preserve">4685 · Il fascicolo già in casa.</w:t>
      </w:r>
      <w:r>
        <w:rPr>
          <w:rFonts w:ascii="Barlow Semi Condensed" w:cs="Barlow Semi Condensed" w:eastAsia="Barlow Semi Condensed" w:hAnsi="Barlow Semi Condensed"/>
          <w:sz w:val="24"/>
          <w:szCs w:val="24"/>
        </w:rPr>
        <w:t xml:space="preserve"> Un reperto interno al corpus è registrato nella stessa scheda: il lotto del Dipartimento di Stato conservato nella cartella Farnesina reca il numero di caso R-2021-002xx — lettura ottica oscillante fra 00202 e 00208, divergenza dichiarata — e i numeri di controllo B-00001939965-989. Bersaglio: chiederne il rilascio integrale ancorandolo a quegli identificativi. È l'unico appiglio documentale statunitense che il corpus abbia già in mano.</w:t>
      </w:r>
    </w:p>
    <w:p>
      <w:pPr>
        <w:spacing w:after="120" w:line="276"/>
        <w:jc w:val="both"/>
      </w:pPr>
      <w:r>
        <w:rPr>
          <w:rFonts w:ascii="Barlow Semi Condensed" w:cs="Barlow Semi Condensed" w:eastAsia="Barlow Semi Condensed" w:hAnsi="Barlow Semi Condensed"/>
          <w:b/>
          <w:bCs/>
          <w:sz w:val="24"/>
          <w:szCs w:val="24"/>
        </w:rPr>
        <w:t xml:space="preserve">4686 · Ciò che la scheda vieta di mescolare.</w:t>
      </w:r>
      <w:r>
        <w:rPr>
          <w:rFonts w:ascii="Barlow Semi Condensed" w:cs="Barlow Semi Condensed" w:eastAsia="Barlow Semi Condensed" w:hAnsi="Barlow Semi Condensed"/>
          <w:sz w:val="24"/>
          <w:szCs w:val="24"/>
        </w:rPr>
        <w:t xml:space="preserve"> PE-5 si chiude con un divieto che vale anche per questa triangolazione: non mescolare alla pista sulle serie archivistiche le dichiarazioni postume dei protagonisti americani dell'epoca. Per il consulente inviato ad assistere il comitato di crisi il corpus ha già il grado, fonte di parte, Livello C. La pista lavora su serie e non su memorie, e il censimento dei vuoti segue la stessa linea.</w:t>
      </w:r>
    </w:p>
    <w:p>
      <w:pPr>
        <w:spacing w:after="120" w:line="276"/>
        <w:jc w:val="both"/>
      </w:pPr>
      <w:r>
        <w:rPr>
          <w:rFonts w:ascii="Barlow Semi Condensed" w:cs="Barlow Semi Condensed" w:eastAsia="Barlow Semi Condensed" w:hAnsi="Barlow Semi Condensed"/>
          <w:b/>
          <w:bCs/>
          <w:sz w:val="24"/>
          <w:szCs w:val="24"/>
        </w:rPr>
        <w:t xml:space="preserve">4687 · I cinquantasette dell'opera stessa.</w:t>
      </w:r>
      <w:r>
        <w:rPr>
          <w:rFonts w:ascii="Barlow Semi Condensed" w:cs="Barlow Semi Condensed" w:eastAsia="Barlow Semi Condensed" w:hAnsi="Barlow Semi Condensed"/>
          <w:sz w:val="24"/>
          <w:szCs w:val="24"/>
        </w:rPr>
        <w:t xml:space="preserve"> L'opera in mille blocchi porta da sola cinquantasette marcature, più di tutto il resto del corpus sommato. Il dato va letto con prudenza: misura la densità con cui una campagna dichiara i propri limiti, non la povertà del suo oggetto. La sede principale è la nona serie, coi blocchi 631-715. Questa serie non la ripete: la conta, e ne verifica la corrispondenza con le sedi nominate.</w:t>
      </w:r>
    </w:p>
    <w:p>
      <w:pPr>
        <w:spacing w:after="120" w:line="276"/>
        <w:jc w:val="both"/>
      </w:pPr>
      <w:r>
        <w:rPr>
          <w:rFonts w:ascii="Barlow Semi Condensed" w:cs="Barlow Semi Condensed" w:eastAsia="Barlow Semi Condensed" w:hAnsi="Barlow Semi Condensed"/>
          <w:b/>
          <w:bCs/>
          <w:sz w:val="24"/>
          <w:szCs w:val="24"/>
        </w:rPr>
        <w:t xml:space="preserve">4688 · Quattro divieti da ereditare.</w:t>
      </w:r>
      <w:r>
        <w:rPr>
          <w:rFonts w:ascii="Barlow Semi Condensed" w:cs="Barlow Semi Condensed" w:eastAsia="Barlow Semi Condensed" w:hAnsi="Barlow Semi Condensed"/>
          <w:sz w:val="24"/>
          <w:szCs w:val="24"/>
        </w:rPr>
        <w:t xml:space="preserve"> Quattro divieti compongono il blocco 714 e questa serie li assume: non è stabilito che i silenzi censiti abbiano causa comune, non è stabilito che una carta manchi perché fu sottratta, non è stabilito che un vuoto fra due domini indichi estraneità o connessione, non è stabilito nulla su alcuna persona. Un censimento di assenze non è indizio di occultamento: è una mappa di ricerche.</w:t>
      </w:r>
    </w:p>
    <w:p>
      <w:pPr>
        <w:spacing w:after="120" w:line="276"/>
        <w:jc w:val="both"/>
      </w:pPr>
      <w:r>
        <w:rPr>
          <w:rFonts w:ascii="Barlow Semi Condensed" w:cs="Barlow Semi Condensed" w:eastAsia="Barlow Semi Condensed" w:hAnsi="Barlow Semi Condensed"/>
          <w:b/>
          <w:bCs/>
          <w:sz w:val="24"/>
          <w:szCs w:val="24"/>
        </w:rPr>
        <w:t xml:space="preserve">4689 · La leggenda come mappa dei vuoti (serie LXI).</w:t>
      </w:r>
      <w:r>
        <w:rPr>
          <w:rFonts w:ascii="Barlow Semi Condensed" w:cs="Barlow Semi Condensed" w:eastAsia="Barlow Semi Condensed" w:hAnsi="Barlow Semi Condensed"/>
          <w:sz w:val="24"/>
          <w:szCs w:val="24"/>
        </w:rPr>
        <w:t xml:space="preserve"> Una proposizione verificabile sta al blocco 621, e il censimento può ora saggiarla: le leggende crescerebbero dove l'archivio tace, e la loro geografia coinciderebbe con quella degli Stati Zero dichiarati. Qui la proposizione si smentisce in parte, e va detto: la leggenda più diffusa su questo nome insiste su un colloquio del settembre 1974 di cui esistono due verbali. Cresce dove l'archivio parla, e dice altro.</w:t>
      </w:r>
    </w:p>
    <w:p>
      <w:pPr>
        <w:spacing w:after="120" w:line="276"/>
        <w:jc w:val="both"/>
      </w:pPr>
      <w:r>
        <w:rPr>
          <w:rFonts w:ascii="Barlow Semi Condensed" w:cs="Barlow Semi Condensed" w:eastAsia="Barlow Semi Condensed" w:hAnsi="Barlow Semi Condensed"/>
          <w:b/>
          <w:bCs/>
          <w:sz w:val="24"/>
          <w:szCs w:val="24"/>
        </w:rPr>
        <w:t xml:space="preserve">4690 · Il falso positivo peggio del vuoto.</w:t>
      </w:r>
      <w:r>
        <w:rPr>
          <w:rFonts w:ascii="Barlow Semi Condensed" w:cs="Barlow Semi Condensed" w:eastAsia="Barlow Semi Condensed" w:hAnsi="Barlow Semi Condensed"/>
          <w:sz w:val="24"/>
          <w:szCs w:val="24"/>
        </w:rPr>
        <w:t xml:space="preserve"> Enunciato al blocco 9 dell'opera e confermato sul campo: una ricerca condotta su una variante plausibile del nome restituirebbe riscontri reali e del tutto estranei all'oggetto. Per questo ogni conteggio di questa serie dichiara la stringa esatta interrogata e nessuna variante flessa. Uno Stato Zero è un'acquisizione; un falso positivo è un danno, e non si corregge accumulando altri conteggi sopra il primo.</w:t>
      </w:r>
    </w:p>
    <w:p>
      <w:pPr>
        <w:spacing w:after="120" w:line="276"/>
        <w:jc w:val="both"/>
      </w:pPr>
      <w:r>
        <w:rPr>
          <w:rFonts w:ascii="Barlow Semi Condensed" w:cs="Barlow Semi Condensed" w:eastAsia="Barlow Semi Condensed" w:hAnsi="Barlow Semi Condensed"/>
          <w:b/>
          <w:bCs/>
          <w:sz w:val="24"/>
          <w:szCs w:val="24"/>
        </w:rPr>
        <w:t xml:space="preserve">4691 · Le fonti escluse e il loro perimetro.</w:t>
      </w:r>
      <w:r>
        <w:rPr>
          <w:rFonts w:ascii="Barlow Semi Condensed" w:cs="Barlow Semi Condensed" w:eastAsia="Barlow Semi Condensed" w:hAnsi="Barlow Semi Condensed"/>
          <w:sz w:val="24"/>
          <w:szCs w:val="24"/>
        </w:rPr>
        <w:t xml:space="preserve"> Due fonti sono escluse dal corpus per direttiva del committente, e l'esclusione genera un perimetro negativo che il censimento deve registrare distintamente. Il blocco 289 dell'agenda lo prevede: ciò che non si ricerca è parte dell'agenda quanto i bersagli. Non è un vuoto d'archivio ma una regola d'opera, e va tenuto su una riga separata da quella dei fondi interrogati senza esito.</w:t>
      </w:r>
    </w:p>
    <w:p>
      <w:pPr>
        <w:spacing w:after="120" w:line="276"/>
        <w:jc w:val="both"/>
      </w:pPr>
      <w:r>
        <w:rPr>
          <w:rFonts w:ascii="Barlow Semi Condensed" w:cs="Barlow Semi Condensed" w:eastAsia="Barlow Semi Condensed" w:hAnsi="Barlow Semi Condensed"/>
          <w:b/>
          <w:bCs/>
          <w:sz w:val="24"/>
          <w:szCs w:val="24"/>
        </w:rPr>
        <w:t xml:space="preserve">4692 · Il vuoto di secondo ordine.</w:t>
      </w:r>
      <w:r>
        <w:rPr>
          <w:rFonts w:ascii="Barlow Semi Condensed" w:cs="Barlow Semi Condensed" w:eastAsia="Barlow Semi Condensed" w:hAnsi="Barlow Semi Condensed"/>
          <w:sz w:val="24"/>
          <w:szCs w:val="24"/>
        </w:rPr>
        <w:t xml:space="preserve"> Dichiarato dal blocco 704 e dall'apparato K-5: la campagna di verifica non ha potuto leggere i resoconti stenografici della Commissione né i verbali d'udienza, e le precisazioni poggiano su fonti secondarie convergenti. Non manca il documento, manca la sua lettura. Le due specie vanno su righe distinte del registro, perché la prima si chiude con un versamento e la seconda con una giornata di sala.</w:t>
      </w:r>
    </w:p>
    <w:p>
      <w:pPr>
        <w:spacing w:after="120" w:line="276"/>
        <w:jc w:val="both"/>
      </w:pPr>
      <w:r>
        <w:rPr>
          <w:rFonts w:ascii="Barlow Semi Condensed" w:cs="Barlow Semi Condensed" w:eastAsia="Barlow Semi Condensed" w:hAnsi="Barlow Semi Condensed"/>
          <w:b/>
          <w:bCs/>
          <w:sz w:val="24"/>
          <w:szCs w:val="24"/>
        </w:rPr>
        <w:t xml:space="preserve">4693 · Sede confermata, contenuto da verificare (serie LXI).</w:t>
      </w:r>
      <w:r>
        <w:rPr>
          <w:rFonts w:ascii="Barlow Semi Condensed" w:cs="Barlow Semi Condensed" w:eastAsia="Barlow Semi Condensed" w:hAnsi="Barlow Semi Condensed"/>
          <w:sz w:val="24"/>
          <w:szCs w:val="24"/>
        </w:rPr>
        <w:t xml:space="preserve"> Proposta al blocco 696 come categoria autonoma del registro, la formula si adotta qui senza modifiche. Si applica all'audizione della vedova davanti alla Commissione d'inchiesta, collocata al 1 agosto 1980, e alla deposizione del portavoce davanti alla Corte d'assise di Roma nel novembre 1982. Si sa dove gli atti furono compiuti; non si sa, dai testi ufficiali, che cosa vi fu detto parola per parola.</w:t>
      </w:r>
    </w:p>
    <w:p>
      <w:pPr>
        <w:spacing w:after="120" w:line="276"/>
        <w:jc w:val="both"/>
      </w:pPr>
      <w:r>
        <w:rPr>
          <w:rFonts w:ascii="Barlow Semi Condensed" w:cs="Barlow Semi Condensed" w:eastAsia="Barlow Semi Condensed" w:hAnsi="Barlow Semi Condensed"/>
          <w:b/>
          <w:bCs/>
          <w:sz w:val="24"/>
          <w:szCs w:val="24"/>
        </w:rPr>
        <w:t xml:space="preserve">4694 · Le divergenze che restano aperte.</w:t>
      </w:r>
      <w:r>
        <w:rPr>
          <w:rFonts w:ascii="Barlow Semi Condensed" w:cs="Barlow Semi Condensed" w:eastAsia="Barlow Semi Condensed" w:hAnsi="Barlow Semi Condensed"/>
          <w:sz w:val="24"/>
          <w:szCs w:val="24"/>
        </w:rPr>
        <w:t xml:space="preserve"> Si riportano senza scioglierle, come il corpus impone. La data della deposizione oscilla fra il 10 e il 15 novembre 1982. La durata della visita di Stato è dal 25 al 29 settembre nel comunicato congiunto, dal 25 al 27 nella nota editoriale del volume FRUS. La collocazione dell'episodio riferito varia fra 1974, 1976 e 1977. Tre divergenze, tre righe, nessuna sintesi d'ufficio.</w:t>
      </w:r>
    </w:p>
    <w:p>
      <w:pPr>
        <w:spacing w:after="120" w:line="276"/>
        <w:jc w:val="both"/>
      </w:pPr>
      <w:r>
        <w:rPr>
          <w:rFonts w:ascii="Barlow Semi Condensed" w:cs="Barlow Semi Condensed" w:eastAsia="Barlow Semi Condensed" w:hAnsi="Barlow Semi Condensed"/>
          <w:b/>
          <w:bCs/>
          <w:sz w:val="24"/>
          <w:szCs w:val="24"/>
        </w:rPr>
        <w:t xml:space="preserve">4695 · La replicazione non è riscontro (serie LXI).</w:t>
      </w:r>
      <w:r>
        <w:rPr>
          <w:rFonts w:ascii="Barlow Semi Condensed" w:cs="Barlow Semi Condensed" w:eastAsia="Barlow Semi Condensed" w:hAnsi="Barlow Semi Condensed"/>
          <w:sz w:val="24"/>
          <w:szCs w:val="24"/>
        </w:rPr>
        <w:t xml:space="preserve"> Settima precisazione dell'apparato K-4, e criterio permanente di questo censimento: le decine di riprese pressoché identiche risalgono a un unico lancio d'agenzia del 30 novembre 2023, e il rilancio internazionale del 1982 proviene da una pubblicazione di orientamento cospirazionista. Si citano come dati di circolazione. Un vuoto documentale non si riempie contando le volte in cui qualcuno lo ha descritto come pieno.</w:t>
      </w:r>
    </w:p>
    <w:p>
      <w:pPr>
        <w:spacing w:after="120" w:line="276"/>
        <w:jc w:val="both"/>
      </w:pPr>
      <w:r>
        <w:rPr>
          <w:rFonts w:ascii="Barlow Semi Condensed" w:cs="Barlow Semi Condensed" w:eastAsia="Barlow Semi Condensed" w:hAnsi="Barlow Semi Condensed"/>
          <w:b/>
          <w:bCs/>
          <w:sz w:val="24"/>
          <w:szCs w:val="24"/>
        </w:rPr>
        <w:t xml:space="preserve">4696 · Che cosa falsificherebbe questa serie (serie LXI).</w:t>
      </w:r>
      <w:r>
        <w:rPr>
          <w:rFonts w:ascii="Barlow Semi Condensed" w:cs="Barlow Semi Condensed" w:eastAsia="Barlow Semi Condensed" w:hAnsi="Barlow Semi Condensed"/>
          <w:sz w:val="24"/>
          <w:szCs w:val="24"/>
        </w:rPr>
        <w:t xml:space="preserve"> Bersaglio di smentita, formulato per essere colpito. Il censimento cadrebbe se comparisse un documento di provenienza — cablo, appunto, verbale, scheda di ritiro con oggetto leggibile — che nomini insieme questo nome e un atto determinato della catena italiana del 1978. Non basterebbe una posizione politica, per quanto dura: servirebbe l'arco che oggi non esiste. Fino ad allora il perimetro negativo regge.</w:t>
      </w:r>
    </w:p>
    <w:p>
      <w:pPr>
        <w:spacing w:after="120" w:line="276"/>
        <w:jc w:val="both"/>
      </w:pPr>
      <w:r>
        <w:rPr>
          <w:rFonts w:ascii="Barlow Semi Condensed" w:cs="Barlow Semi Condensed" w:eastAsia="Barlow Semi Condensed" w:hAnsi="Barlow Semi Condensed"/>
          <w:b/>
          <w:bCs/>
          <w:sz w:val="24"/>
          <w:szCs w:val="24"/>
        </w:rPr>
        <w:t xml:space="preserve">4697 · Che cosa non lo falsificherebbe.</w:t>
      </w:r>
      <w:r>
        <w:rPr>
          <w:rFonts w:ascii="Barlow Semi Condensed" w:cs="Barlow Semi Condensed" w:eastAsia="Barlow Semi Condensed" w:hAnsi="Barlow Semi Condensed"/>
          <w:sz w:val="24"/>
          <w:szCs w:val="24"/>
        </w:rPr>
        <w:t xml:space="preserve"> Simmetricamente, e con la stessa nettezza. Non lo falsificherebbero nuove riprese giornalistiche dell'episodio riferito, né una testimonianza ulteriore resa a decenni di distanza, né la scoperta di altre posizioni ostili all'ingresso comunista nell'area di governo, già documentate al grado di fatto pubblico. L'accumulo di materiale dello stesso genere non cambia genere: solo un documento di provenienza sposta il piano.</w:t>
      </w:r>
    </w:p>
    <w:p>
      <w:pPr>
        <w:spacing w:after="120" w:line="276"/>
        <w:jc w:val="both"/>
      </w:pPr>
      <w:r>
        <w:rPr>
          <w:rFonts w:ascii="Barlow Semi Condensed" w:cs="Barlow Semi Condensed" w:eastAsia="Barlow Semi Condensed" w:hAnsi="Barlow Semi Condensed"/>
          <w:b/>
          <w:bCs/>
          <w:sz w:val="24"/>
          <w:szCs w:val="24"/>
        </w:rPr>
        <w:t xml:space="preserve">4698 · La condizione di riapertura (serie LXI).</w:t>
      </w:r>
      <w:r>
        <w:rPr>
          <w:rFonts w:ascii="Barlow Semi Condensed" w:cs="Barlow Semi Condensed" w:eastAsia="Barlow Semi Condensed" w:hAnsi="Barlow Semi Condensed"/>
          <w:sz w:val="24"/>
          <w:szCs w:val="24"/>
        </w:rPr>
        <w:t xml:space="preserve"> Fissata al blocco 661 e assunta qui: uno Stato Zero non si riapre per suggestione, per anniversario o per pressione pubblica, ma davanti a un fatto archivistico nuovo — un versamento, una declassifica, un inventario pubblicato, una serie prima non consultabile. Per il perimetro censito le condizioni sono quattro, e stanno tutte oltreoceano tranne la raccolta speciale della Direttiva all'Archivio centrale dello Stato.</w:t>
      </w:r>
    </w:p>
    <w:p>
      <w:pPr>
        <w:spacing w:after="120" w:line="276"/>
        <w:jc w:val="both"/>
      </w:pPr>
      <w:r>
        <w:rPr>
          <w:rFonts w:ascii="Barlow Semi Condensed" w:cs="Barlow Semi Condensed" w:eastAsia="Barlow Semi Condensed" w:hAnsi="Barlow Semi Condensed"/>
          <w:b/>
          <w:bCs/>
          <w:sz w:val="24"/>
          <w:szCs w:val="24"/>
        </w:rPr>
        <w:t xml:space="preserve">4699 · Bilancio della serie.</w:t>
      </w:r>
      <w:r>
        <w:rPr>
          <w:rFonts w:ascii="Barlow Semi Condensed" w:cs="Barlow Semi Condensed" w:eastAsia="Barlow Semi Condensed" w:hAnsi="Barlow Semi Condensed"/>
          <w:sz w:val="24"/>
          <w:szCs w:val="24"/>
        </w:rPr>
        <w:t xml:space="preserve"> Blocchi: ottanta. Vuoti censiti con marcatura esplicita: centocinquantaquattro occorrenze in diciotto file. Vuoti recuperati senza marcatura: cinque nelle colonne dell'apparato dei gradi, quelli «numerosi e circostanziati» della ricognizione turca. Vuoti nuovi verbalizzati: due, il capitolo trentanovesimo assente dal branch e la scadenza dell'auto-misurazione. Omologie stabilite: nessuna. Nomi aggiunti al giudicato: nessuno. Sedi di chiusura: nominate blocco per blocco.</w:t>
      </w:r>
    </w:p>
    <w:p>
      <w:pPr>
        <w:spacing w:after="120" w:line="276"/>
        <w:jc w:val="both"/>
      </w:pPr>
      <w:r>
        <w:rPr>
          <w:rFonts w:ascii="Barlow Semi Condensed" w:cs="Barlow Semi Condensed" w:eastAsia="Barlow Semi Condensed" w:hAnsi="Barlow Semi Condensed"/>
          <w:b/>
          <w:bCs/>
          <w:sz w:val="24"/>
          <w:szCs w:val="24"/>
        </w:rPr>
        <w:t xml:space="preserve">4700 · Congedo, e ciò che resta in mano.</w:t>
      </w:r>
      <w:r>
        <w:rPr>
          <w:rFonts w:ascii="Barlow Semi Condensed" w:cs="Barlow Semi Condensed" w:eastAsia="Barlow Semi Condensed" w:hAnsi="Barlow Semi Condensed"/>
          <w:sz w:val="24"/>
          <w:szCs w:val="24"/>
        </w:rPr>
        <w:t xml:space="preserve"> Resta un registro, non una tesi. Il corpus, contato riga per riga, dichiara su questo nome più assenze di quanti fatti nuovi conceda, e le dichiara con sedi che chiunque può interrogare. È la forma in cui una ricerca onesta consegna il proprio oggetto: non un uomo al centro della storia, ma la mappa esatta di dove i documenti lo collocano e di dove non lo trovano.</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Serie sessantaduesima — Le divergenze non sciolte, censite</w:t>
      </w:r>
    </w:p>
    <w:p>
      <w:pPr>
        <w:spacing w:after="120" w:line="276"/>
        <w:jc w:val="both"/>
      </w:pPr>
      <w:r>
        <w:rPr>
          <w:rFonts w:ascii="Barlow Semi Condensed" w:cs="Barlow Semi Condensed" w:eastAsia="Barlow Semi Condensed" w:hAnsi="Barlow Semi Condensed"/>
          <w:i/>
          <w:iCs/>
          <w:sz w:val="24"/>
          <w:szCs w:val="24"/>
        </w:rPr>
        <w:t xml:space="preserve">Blocchi 4701-4780.</w:t>
      </w:r>
    </w:p>
    <w:p>
      <w:pPr>
        <w:spacing w:after="120" w:line="276"/>
        <w:jc w:val="both"/>
      </w:pPr>
      <w:r>
        <w:rPr>
          <w:rFonts w:ascii="Barlow Semi Condensed" w:cs="Barlow Semi Condensed" w:eastAsia="Barlow Semi Condensed" w:hAnsi="Barlow Semi Condensed"/>
          <w:b/>
          <w:bCs/>
          <w:sz w:val="24"/>
          <w:szCs w:val="24"/>
        </w:rPr>
        <w:t xml:space="preserve">4701 · Il perimetro di questo censimento.</w:t>
      </w:r>
      <w:r>
        <w:rPr>
          <w:rFonts w:ascii="Barlow Semi Condensed" w:cs="Barlow Semi Condensed" w:eastAsia="Barlow Semi Condensed" w:hAnsi="Barlow Semi Condensed"/>
          <w:sz w:val="24"/>
          <w:szCs w:val="24"/>
        </w:rPr>
        <w:t xml:space="preserve"> La quarta regola del metodo — dove le fonti divergono, la divergenza si riporta e non si sceglie in silenzio — sta al capitolo III della triangolazione della seconda campagna della Farnesina e al blocco 15 del manuale investigativo. Questa serie percorre il corpus raccogliendo le divergenze che esso stesso dichiara, e pone a ciascuna una sola domanda: vi compare il nome di Henry Kissinger? La risposta attesa, e quasi sempre confermata, è no.</w:t>
      </w:r>
    </w:p>
    <w:p>
      <w:pPr>
        <w:spacing w:after="120" w:line="276"/>
        <w:jc w:val="both"/>
      </w:pPr>
      <w:r>
        <w:rPr>
          <w:rFonts w:ascii="Barlow Semi Condensed" w:cs="Barlow Semi Condensed" w:eastAsia="Barlow Semi Condensed" w:hAnsi="Barlow Semi Condensed"/>
          <w:b/>
          <w:bCs/>
          <w:sz w:val="24"/>
          <w:szCs w:val="24"/>
        </w:rPr>
        <w:t xml:space="preserve">4702 · Dove la regola è scritta.</w:t>
      </w:r>
      <w:r>
        <w:rPr>
          <w:rFonts w:ascii="Barlow Semi Condensed" w:cs="Barlow Semi Condensed" w:eastAsia="Barlow Semi Condensed" w:hAnsi="Barlow Semi Condensed"/>
          <w:sz w:val="24"/>
          <w:szCs w:val="24"/>
        </w:rPr>
        <w:t xml:space="preserve"> Accertamento di grado alto, ottenuto per collazione: la medesima regola ricorre in almeno quattro sedi redatte in tempi diversi e da mani diverse — lo statuto di tribunale-speciale-storia-istituzione, la riga di chiusura di ceppo-simioni-cpm-superclan-hyperion, il blocco 15 del manuale, il capitolo III della seconda campagna. Nessuna delle quattro formulazioni contraddice le altre. È la prova che la disciplina regge quando mani diverse la applicano allo stesso materiale.</w:t>
      </w:r>
    </w:p>
    <w:p>
      <w:pPr>
        <w:spacing w:after="120" w:line="276"/>
        <w:jc w:val="both"/>
      </w:pPr>
      <w:r>
        <w:rPr>
          <w:rFonts w:ascii="Barlow Semi Condensed" w:cs="Barlow Semi Condensed" w:eastAsia="Barlow Semi Condensed" w:hAnsi="Barlow Semi Condensed"/>
          <w:b/>
          <w:bCs/>
          <w:sz w:val="24"/>
          <w:szCs w:val="24"/>
        </w:rPr>
        <w:t xml:space="preserve">4703 · La divergenza non è un dubbio.</w:t>
      </w:r>
      <w:r>
        <w:rPr>
          <w:rFonts w:ascii="Barlow Semi Condensed" w:cs="Barlow Semi Condensed" w:eastAsia="Barlow Semi Condensed" w:hAnsi="Barlow Semi Condensed"/>
          <w:sz w:val="24"/>
          <w:szCs w:val="24"/>
        </w:rPr>
        <w:t xml:space="preserve"> Regola di lettura, valida ovunque. Una divergenza ha due termini documentati e una sede che potrebbe scioglierli; un dubbio non ha termini. Il blocco 65 dell'agenda di ricerca la traduce in strumento: per ogni quesito, la tavola delle risposte convergenti, divergenti e mancanti. Le tre colonne non si mescolano mai. Chi tratta un'assenza come divergenza fabbrica un contraddittorio dove esiste soltanto silenzio.</w:t>
      </w:r>
    </w:p>
    <w:p>
      <w:pPr>
        <w:spacing w:after="120" w:line="276"/>
        <w:jc w:val="both"/>
      </w:pPr>
      <w:r>
        <w:rPr>
          <w:rFonts w:ascii="Barlow Semi Condensed" w:cs="Barlow Semi Condensed" w:eastAsia="Barlow Semi Condensed" w:hAnsi="Barlow Semi Condensed"/>
          <w:b/>
          <w:bCs/>
          <w:sz w:val="24"/>
          <w:szCs w:val="24"/>
        </w:rPr>
        <w:t xml:space="preserve">4704 · Tre esiti, e si dichiarano.</w:t>
      </w:r>
      <w:r>
        <w:rPr>
          <w:rFonts w:ascii="Barlow Semi Condensed" w:cs="Barlow Semi Condensed" w:eastAsia="Barlow Semi Condensed" w:hAnsi="Barlow Semi Condensed"/>
          <w:sz w:val="24"/>
          <w:szCs w:val="24"/>
        </w:rPr>
        <w:t xml:space="preserve"> La seconda campagna della Farnesina mostra i tre esiti possibili in un solo documento. Chiusa: la fine del primo mandato di Moro, fissata al 26 giugno 1972 dal giuramento del successore. Aperta: la data del riconoscimento italiano della Repubblica Democratica Tedesca. Allargata: l'espulsione dei comboniani, portata da «12, 13 o 14 aprile» a «10-14 aprile 1974». Un censimento serio registra anche l'allargamento, che è il terzo esito e il meno confortante.</w:t>
      </w:r>
    </w:p>
    <w:p>
      <w:pPr>
        <w:spacing w:after="120" w:line="276"/>
        <w:jc w:val="both"/>
      </w:pPr>
      <w:r>
        <w:rPr>
          <w:rFonts w:ascii="Barlow Semi Condensed" w:cs="Barlow Semi Condensed" w:eastAsia="Barlow Semi Condensed" w:hAnsi="Barlow Semi Condensed"/>
          <w:b/>
          <w:bCs/>
          <w:sz w:val="24"/>
          <w:szCs w:val="24"/>
        </w:rPr>
        <w:t xml:space="preserve">4705 · Il conteggio della Farnesina.</w:t>
      </w:r>
      <w:r>
        <w:rPr>
          <w:rFonts w:ascii="Barlow Semi Condensed" w:cs="Barlow Semi Condensed" w:eastAsia="Barlow Semi Condensed" w:hAnsi="Barlow Semi Condensed"/>
          <w:sz w:val="24"/>
          <w:szCs w:val="24"/>
        </w:rPr>
        <w:t xml:space="preserve"> La riga di chiusura di triangolazione-seconda-campagna dichiara il proprio conto: otto divergenze lasciate aperte, una chiusa dalla verifica, una aperta dalla verifica, più un'omonimia da non confondere. È l'unico luogo del corpus dove le divergenze siano contate. Il numero è verificabile sulla tavola del capitolo III, che ne elenca esattamente otto. Il censimento parte da lì perché è l'unico dato già quantificato.</w:t>
      </w:r>
    </w:p>
    <w:p>
      <w:pPr>
        <w:spacing w:after="120" w:line="276"/>
        <w:jc w:val="both"/>
      </w:pPr>
      <w:r>
        <w:rPr>
          <w:rFonts w:ascii="Barlow Semi Condensed" w:cs="Barlow Semi Condensed" w:eastAsia="Barlow Semi Condensed" w:hAnsi="Barlow Semi Condensed"/>
          <w:b/>
          <w:bCs/>
          <w:sz w:val="24"/>
          <w:szCs w:val="24"/>
        </w:rPr>
        <w:t xml:space="preserve">4706 · Le otto divergenze e il nome.</w:t>
      </w:r>
      <w:r>
        <w:rPr>
          <w:rFonts w:ascii="Barlow Semi Condensed" w:cs="Barlow Semi Condensed" w:eastAsia="Barlow Semi Condensed" w:hAnsi="Barlow Semi Condensed"/>
          <w:sz w:val="24"/>
          <w:szCs w:val="24"/>
        </w:rPr>
        <w:t xml:space="preserve"> Stato Zero, dichiarato con la sua sede. Nessuna delle otto divergenze aperte della Farnesina nomina Henry Kissinger: riguardano la Libia, la Germania orientale, Wiriyamu, i missionari comboniani, la Cina, il serpente monetario, Reggio Emilia e una paginazione. Ciò che chiuderebbe l'assenza non è una lettura più attenta ma un versamento: l'Archivio storico-diplomatico della Farnesina, serie NATO e atlantico 1969-1974.</w:t>
      </w:r>
    </w:p>
    <w:p>
      <w:pPr>
        <w:spacing w:after="120" w:line="276"/>
        <w:jc w:val="both"/>
      </w:pPr>
      <w:r>
        <w:rPr>
          <w:rFonts w:ascii="Barlow Semi Condensed" w:cs="Barlow Semi Condensed" w:eastAsia="Barlow Semi Condensed" w:hAnsi="Barlow Semi Condensed"/>
          <w:b/>
          <w:bCs/>
          <w:sz w:val="24"/>
          <w:szCs w:val="24"/>
        </w:rPr>
        <w:t xml:space="preserve">4707 · I beni di Libia, tre cifre.</w:t>
      </w:r>
      <w:r>
        <w:rPr>
          <w:rFonts w:ascii="Barlow Semi Condensed" w:cs="Barlow Semi Condensed" w:eastAsia="Barlow Semi Condensed" w:hAnsi="Barlow Semi Condensed"/>
          <w:sz w:val="24"/>
          <w:szCs w:val="24"/>
        </w:rPr>
        <w:t xml:space="preserve"> Quesito d'archivio. Sui beni italiani confiscati in Libia il 21 luglio 1970 il corpus registra tre cifre — duecento miliardi di lire, circa quattrocento, e una rivalutazione in euro dichiarata non omogenea alle prime due. La sede che le riconcilierebbe è duplice: gli atti sugli indennizzi ai rimpatriati e la serie Libia dell'Archivio storico-diplomatico. Il nome triangolato non compare in nessuno dei tre conteggi.</w:t>
      </w:r>
    </w:p>
    <w:p>
      <w:pPr>
        <w:spacing w:after="120" w:line="276"/>
        <w:jc w:val="both"/>
      </w:pPr>
      <w:r>
        <w:rPr>
          <w:rFonts w:ascii="Barlow Semi Condensed" w:cs="Barlow Semi Condensed" w:eastAsia="Barlow Semi Condensed" w:hAnsi="Barlow Semi Condensed"/>
          <w:b/>
          <w:bCs/>
          <w:sz w:val="24"/>
          <w:szCs w:val="24"/>
        </w:rPr>
        <w:t xml:space="preserve">4708 · Diciassette o diciotto gennaio.</w:t>
      </w:r>
      <w:r>
        <w:rPr>
          <w:rFonts w:ascii="Barlow Semi Condensed" w:cs="Barlow Semi Condensed" w:eastAsia="Barlow Semi Condensed" w:hAnsi="Barlow Semi Condensed"/>
          <w:sz w:val="24"/>
          <w:szCs w:val="24"/>
        </w:rPr>
        <w:t xml:space="preserve"> Il riconoscimento italiano della Repubblica Democratica Tedesca è datato 17 gennaio 1973 dalle fonti italiane adottate dal corpus e 18 gennaio da fonte istituzionale tedesca. La divergenza è nuova, prodotta dalla verifica dell'agosto 2026. Alla Farnesina sedeva Giuseppe Medici, non Moro: il blocco 366 della prima campagna lo aveva già collocato fuori dai mandati. Sede di chiusura: il Politisches Archiv des Auswärtigen Amts.</w:t>
      </w:r>
    </w:p>
    <w:p>
      <w:pPr>
        <w:spacing w:after="120" w:line="276"/>
        <w:jc w:val="both"/>
      </w:pPr>
      <w:r>
        <w:rPr>
          <w:rFonts w:ascii="Barlow Semi Condensed" w:cs="Barlow Semi Condensed" w:eastAsia="Barlow Semi Condensed" w:hAnsi="Barlow Semi Condensed"/>
          <w:b/>
          <w:bCs/>
          <w:sz w:val="24"/>
          <w:szCs w:val="24"/>
        </w:rPr>
        <w:t xml:space="preserve">4709 · La forbice di Wiriyamu.</w:t>
      </w:r>
      <w:r>
        <w:rPr>
          <w:rFonts w:ascii="Barlow Semi Condensed" w:cs="Barlow Semi Condensed" w:eastAsia="Barlow Semi Condensed" w:hAnsi="Barlow Semi Condensed"/>
          <w:sz w:val="24"/>
          <w:szCs w:val="24"/>
        </w:rPr>
        <w:t xml:space="preserve"> Le vittime del massacro del 16 dicembre 1972 oscillano fra centocinquanta secondo una stima attribuita alla Croce Rossa, trecento secondo l'inchiesta del settimanale portoghese, trecentottantacinque nominativi accertati e quasi quattrocento nella ricostruzione accademica. La seconda campagna qualifica la forbice come divergenza reale fra fonti, non come incertezza del corpus. È la distinzione che ogni censimento deve fare, e che il blocco 333 aveva già registrato.</w:t>
      </w:r>
    </w:p>
    <w:p>
      <w:pPr>
        <w:spacing w:after="120" w:line="276"/>
        <w:jc w:val="both"/>
      </w:pPr>
      <w:r>
        <w:rPr>
          <w:rFonts w:ascii="Barlow Semi Condensed" w:cs="Barlow Semi Condensed" w:eastAsia="Barlow Semi Condensed" w:hAnsi="Barlow Semi Condensed"/>
          <w:b/>
          <w:bCs/>
          <w:sz w:val="24"/>
          <w:szCs w:val="24"/>
        </w:rPr>
        <w:t xml:space="preserve">4710 · Undici espulsi o tredici.</w:t>
      </w:r>
      <w:r>
        <w:rPr>
          <w:rFonts w:ascii="Barlow Semi Condensed" w:cs="Barlow Semi Condensed" w:eastAsia="Barlow Semi Condensed" w:hAnsi="Barlow Semi Condensed"/>
          <w:sz w:val="24"/>
          <w:szCs w:val="24"/>
        </w:rPr>
        <w:t xml:space="preserve"> Gli espulsi dell'aprile 1974 sono undici nelle schede comboniane e tredici in una ricostruzione storiografica; l'incrocio li riconcilia in undici da Nampula più due da Tete. La data resta contesa fra il 10 e il 14 aprile. La riconciliazione dei numeri e la persistenza della data mostrano che una divergenza può chiudersi a metà. Sede: l'archivio generale dei Missionari Comboniani a Roma.</w:t>
      </w:r>
    </w:p>
    <w:p>
      <w:pPr>
        <w:spacing w:after="120" w:line="276"/>
        <w:jc w:val="both"/>
      </w:pPr>
      <w:r>
        <w:rPr>
          <w:rFonts w:ascii="Barlow Semi Condensed" w:cs="Barlow Semi Condensed" w:eastAsia="Barlow Semi Condensed" w:hAnsi="Barlow Semi Condensed"/>
          <w:b/>
          <w:bCs/>
          <w:sz w:val="24"/>
          <w:szCs w:val="24"/>
        </w:rPr>
        <w:t xml:space="preserve">4711 · Il riconoscimento della Cina.</w:t>
      </w:r>
      <w:r>
        <w:rPr>
          <w:rFonts w:ascii="Barlow Semi Condensed" w:cs="Barlow Semi Condensed" w:eastAsia="Barlow Semi Condensed" w:hAnsi="Barlow Semi Condensed"/>
          <w:sz w:val="24"/>
          <w:szCs w:val="24"/>
        </w:rPr>
        <w:t xml:space="preserve"> Due divergenze minori accompagnano il riconoscimento della Repubblica popolare cinese: comunicato pubblicato il 5 o il 6 novembre 1970, conclusione del negoziato talora retrodatata al 6 ottobre. L'iniziativa fu di Nenni; Moro era titolare al perfezionamento. Nessun documento del corpus collega quella normalizzazione all'apertura statunitense verso Pechino: un ponte di piano 1 richiederebbe un atto che nomini entrambe le sponde, e non è stato reperito.</w:t>
      </w:r>
    </w:p>
    <w:p>
      <w:pPr>
        <w:spacing w:after="120" w:line="276"/>
        <w:jc w:val="both"/>
      </w:pPr>
      <w:r>
        <w:rPr>
          <w:rFonts w:ascii="Barlow Semi Condensed" w:cs="Barlow Semi Condensed" w:eastAsia="Barlow Semi Condensed" w:hAnsi="Barlow Semi Condensed"/>
          <w:b/>
          <w:bCs/>
          <w:sz w:val="24"/>
          <w:szCs w:val="24"/>
        </w:rPr>
        <w:t xml:space="preserve">4712 · Basilea, dieci o ventiquattro aprile.</w:t>
      </w:r>
      <w:r>
        <w:rPr>
          <w:rFonts w:ascii="Barlow Semi Condensed" w:cs="Barlow Semi Condensed" w:eastAsia="Barlow Semi Condensed" w:hAnsi="Barlow Semi Condensed"/>
          <w:sz w:val="24"/>
          <w:szCs w:val="24"/>
        </w:rPr>
        <w:t xml:space="preserve"> Sul serpente monetario il corpus registra i primi provvedimenti al 21 marzo 1972 e l'accordo di Basilea al 10 oppure al 24 aprile 1972, mentre l'uscita della lira il 13 febbraio 1973 è concorde. La sede che chiuderebbe la divergenza è l'archivio della Banca dei Regolamenti Internazionali. Il nome triangolato non figura nel dossier monetario del corpus: esito negativo, dichiarato.</w:t>
      </w:r>
    </w:p>
    <w:p>
      <w:pPr>
        <w:spacing w:after="120" w:line="276"/>
        <w:jc w:val="both"/>
      </w:pPr>
      <w:r>
        <w:rPr>
          <w:rFonts w:ascii="Barlow Semi Condensed" w:cs="Barlow Semi Condensed" w:eastAsia="Barlow Semi Condensed" w:hAnsi="Barlow Semi Condensed"/>
          <w:b/>
          <w:bCs/>
          <w:sz w:val="24"/>
          <w:szCs w:val="24"/>
        </w:rPr>
        <w:t xml:space="preserve">4713 · Reggio Emilia, due calendari.</w:t>
      </w:r>
      <w:r>
        <w:rPr>
          <w:rFonts w:ascii="Barlow Semi Condensed" w:cs="Barlow Semi Condensed" w:eastAsia="Barlow Semi Condensed" w:hAnsi="Barlow Semi Condensed"/>
          <w:sz w:val="24"/>
          <w:szCs w:val="24"/>
        </w:rPr>
        <w:t xml:space="preserve"> La conferenza di solidarietà del 1973 è datata 23-26 marzo dall'inventario dell'istituto regionale e 24-25 marzo dal Fondo Zagari. Due strumenti archivistici, due calendari: la divergenza si chiude sui documenti della conferenza, non sugli inventari che li descrivono. Regola generale che il censimento estrae da qui: l'inventario è una fonte sul documento, non il documento, e non decide contro di esso.</w:t>
      </w:r>
    </w:p>
    <w:p>
      <w:pPr>
        <w:spacing w:after="120" w:line="276"/>
        <w:jc w:val="both"/>
      </w:pPr>
      <w:r>
        <w:rPr>
          <w:rFonts w:ascii="Barlow Semi Condensed" w:cs="Barlow Semi Condensed" w:eastAsia="Barlow Semi Condensed" w:hAnsi="Barlow Semi Condensed"/>
          <w:b/>
          <w:bCs/>
          <w:sz w:val="24"/>
          <w:szCs w:val="24"/>
        </w:rPr>
        <w:t xml:space="preserve">4714 · Due pagine di scarto.</w:t>
      </w:r>
      <w:r>
        <w:rPr>
          <w:rFonts w:ascii="Barlow Semi Condensed" w:cs="Barlow Semi Condensed" w:eastAsia="Barlow Semi Condensed" w:hAnsi="Barlow Semi Condensed"/>
          <w:sz w:val="24"/>
          <w:szCs w:val="24"/>
        </w:rPr>
        <w:t xml:space="preserve"> La divergenza più piccola del corpus è di due pagine: il saggio di Guido Levi citato alle pagine 69-101 in un luogo e 69-102 in un altro, con la stessa citazione testuale e la stessa fonte. Si chiude sul fascicolo originale della rivista. Il censimento la registra perché una disciplina che salta le divergenze minime non è credibile su quelle grandi.</w:t>
      </w:r>
    </w:p>
    <w:p>
      <w:pPr>
        <w:spacing w:after="120" w:line="276"/>
        <w:jc w:val="both"/>
      </w:pPr>
      <w:r>
        <w:rPr>
          <w:rFonts w:ascii="Barlow Semi Condensed" w:cs="Barlow Semi Condensed" w:eastAsia="Barlow Semi Condensed" w:hAnsi="Barlow Semi Condensed"/>
          <w:b/>
          <w:bCs/>
          <w:sz w:val="24"/>
          <w:szCs w:val="24"/>
        </w:rPr>
        <w:t xml:space="preserve">4715 · L'omonimia non è divergenza.</w:t>
      </w:r>
      <w:r>
        <w:rPr>
          <w:rFonts w:ascii="Barlow Semi Condensed" w:cs="Barlow Semi Condensed" w:eastAsia="Barlow Semi Condensed" w:hAnsi="Barlow Semi Condensed"/>
          <w:sz w:val="24"/>
          <w:szCs w:val="24"/>
        </w:rPr>
        <w:t xml:space="preserve"> Prima di dichiarare un contrasto si verifica l'identità del soggetto. Il capitolo III della seconda campagna avverte che Jorge Jardim, incaricato dell'inchiesta portoghese su Wiriyamu, e Jorge Jardim Gonçalves sono persone distinte; il nodo E-3 della triangolazione guevariana aveva già sciolto una confusione della stessa specie fra Alejandro e Arnaldo Orfila. Due nomi uguali non sono un contrasto fra fonti.</w:t>
      </w:r>
    </w:p>
    <w:p>
      <w:pPr>
        <w:spacing w:after="120" w:line="276"/>
        <w:jc w:val="both"/>
      </w:pPr>
      <w:r>
        <w:rPr>
          <w:rFonts w:ascii="Barlow Semi Condensed" w:cs="Barlow Semi Condensed" w:eastAsia="Barlow Semi Condensed" w:hAnsi="Barlow Semi Condensed"/>
          <w:b/>
          <w:bCs/>
          <w:sz w:val="24"/>
          <w:szCs w:val="24"/>
        </w:rPr>
        <w:t xml:space="preserve">4716 · Come una divergenza si chiude.</w:t>
      </w:r>
      <w:r>
        <w:rPr>
          <w:rFonts w:ascii="Barlow Semi Condensed" w:cs="Barlow Semi Condensed" w:eastAsia="Barlow Semi Condensed" w:hAnsi="Barlow Semi Condensed"/>
          <w:sz w:val="24"/>
          <w:szCs w:val="24"/>
        </w:rPr>
        <w:t xml:space="preserve"> La fine del primo mandato di Moro si è chiusa non per preferenza ma per un fatto istituzionale: il primo governo Andreotti cessa il 26 giugno 1972 col giuramento del secondo, e la Farnesina passa a Giuseppe Medici. Il successore in carica esclude la prosecuzione al 29 luglio. Una divergenza si chiude quando un termine diventa impossibile, non quando diventa improbabile.</w:t>
      </w:r>
    </w:p>
    <w:p>
      <w:pPr>
        <w:spacing w:after="120" w:line="276"/>
        <w:jc w:val="both"/>
      </w:pPr>
      <w:r>
        <w:rPr>
          <w:rFonts w:ascii="Barlow Semi Condensed" w:cs="Barlow Semi Condensed" w:eastAsia="Barlow Semi Condensed" w:hAnsi="Barlow Semi Condensed"/>
          <w:b/>
          <w:bCs/>
          <w:sz w:val="24"/>
          <w:szCs w:val="24"/>
        </w:rPr>
        <w:t xml:space="preserve">4717 · La data di Düsseldorf.</w:t>
      </w:r>
      <w:r>
        <w:rPr>
          <w:rFonts w:ascii="Barlow Semi Condensed" w:cs="Barlow Semi Condensed" w:eastAsia="Barlow Semi Condensed" w:hAnsi="Barlow Semi Condensed"/>
          <w:sz w:val="24"/>
          <w:szCs w:val="24"/>
        </w:rPr>
        <w:t xml:space="preserve"> La data dell'uccisione del militante della RAF Willy Peter Stoll era indicata all'11 settembre 1978 e la verifica l'ha portata al 6 settembre. È il caso in cui i documenti nuovi correggono la premessa e la divergenza si dichiara risolta. Il censimento distingue le divergenze risolte dalle aperte: le prime producono un fatto, le seconde producono una sede. Nessuna delle due produce un nesso.</w:t>
      </w:r>
    </w:p>
    <w:p>
      <w:pPr>
        <w:spacing w:after="120" w:line="276"/>
        <w:jc w:val="both"/>
      </w:pPr>
      <w:r>
        <w:rPr>
          <w:rFonts w:ascii="Barlow Semi Condensed" w:cs="Barlow Semi Condensed" w:eastAsia="Barlow Semi Condensed" w:hAnsi="Barlow Semi Condensed"/>
          <w:b/>
          <w:bCs/>
          <w:sz w:val="24"/>
          <w:szCs w:val="24"/>
        </w:rPr>
        <w:t xml:space="preserve">4718 · Lo Stato Zero chiuso incrociando.</w:t>
      </w:r>
      <w:r>
        <w:rPr>
          <w:rFonts w:ascii="Barlow Semi Condensed" w:cs="Barlow Semi Condensed" w:eastAsia="Barlow Semi Condensed" w:hAnsi="Barlow Semi Condensed"/>
          <w:sz w:val="24"/>
          <w:szCs w:val="24"/>
        </w:rPr>
        <w:t xml:space="preserve"> Lo Stato Zero sull'ingresso delle due Germanie all'ONU, dichiarato da una ricognizione, è stato chiuso dall'altra al 18 settembre 1973 su documentazione ufficiale tedesca. La seconda campagna lo definisce il caso esemplare di che cosa serva incrociare i documenti prima di archiviarli. Vale come regola operativa per questa serie: un vuoto dichiarato va confrontato con gli altri documenti prima di essere verbalizzato.</w:t>
      </w:r>
    </w:p>
    <w:p>
      <w:pPr>
        <w:spacing w:after="120" w:line="276"/>
        <w:jc w:val="both"/>
      </w:pPr>
      <w:r>
        <w:rPr>
          <w:rFonts w:ascii="Barlow Semi Condensed" w:cs="Barlow Semi Condensed" w:eastAsia="Barlow Semi Condensed" w:hAnsi="Barlow Semi Condensed"/>
          <w:b/>
          <w:bCs/>
          <w:sz w:val="24"/>
          <w:szCs w:val="24"/>
        </w:rPr>
        <w:t xml:space="preserve">4719 · Due calendari, due protagonisti.</w:t>
      </w:r>
      <w:r>
        <w:rPr>
          <w:rFonts w:ascii="Barlow Semi Condensed" w:cs="Barlow Semi Condensed" w:eastAsia="Barlow Semi Condensed" w:hAnsi="Barlow Semi Condensed"/>
          <w:sz w:val="24"/>
          <w:szCs w:val="24"/>
        </w:rPr>
        <w:t xml:space="preserve"> Il corpus porta due divergenze simmetriche sui calendari dei protagonisti. Per Moro, il blocco 317 registra 5 o 6 agosto 1969, 7 o 8 luglio 1973, 23 o 26 novembre 1974. Per il nome triangolato, l'apparato K-2 registra il 22 contro il 23 settembre 1973. In entrambi i casi la regola è identica: prevale la fonte istituzionale, e la divergenza resta annotata accanto alla scelta.</w:t>
      </w:r>
    </w:p>
    <w:p>
      <w:pPr>
        <w:spacing w:after="120" w:line="276"/>
        <w:jc w:val="both"/>
      </w:pPr>
      <w:r>
        <w:rPr>
          <w:rFonts w:ascii="Barlow Semi Condensed" w:cs="Barlow Semi Condensed" w:eastAsia="Barlow Semi Condensed" w:hAnsi="Barlow Semi Condensed"/>
          <w:b/>
          <w:bCs/>
          <w:sz w:val="24"/>
          <w:szCs w:val="24"/>
        </w:rPr>
        <w:t xml:space="preserve">4720 · Cinquemilaseicentodiciannove o cinquemilaseicentoventi.</w:t>
      </w:r>
      <w:r>
        <w:rPr>
          <w:rFonts w:ascii="Barlow Semi Condensed" w:cs="Barlow Semi Condensed" w:eastAsia="Barlow Semi Condensed" w:hAnsi="Barlow Semi Condensed"/>
          <w:sz w:val="24"/>
          <w:szCs w:val="24"/>
        </w:rPr>
        <w:t xml:space="preserve"> I giudicati del Tribunale Speciale sono 5.619 o 5.620: le fonti oscillano di un'unità e lo studio dell'istituzione lo dichiara in tavola. La sede che chiuderebbe l'oscillazione è il fondo Tribunale Speciale presso l'Archivio Centrale dello Stato. Nessuna triangolazione col nome è possibile: il dominio D4 non tocca l'epoca, come triangolazione-condannati-corpus dichiara fra i propri esiti negativi.</w:t>
      </w:r>
    </w:p>
    <w:p>
      <w:pPr>
        <w:spacing w:after="120" w:line="276"/>
        <w:jc w:val="both"/>
      </w:pPr>
      <w:r>
        <w:rPr>
          <w:rFonts w:ascii="Barlow Semi Condensed" w:cs="Barlow Semi Condensed" w:eastAsia="Barlow Semi Condensed" w:hAnsi="Barlow Semi Condensed"/>
          <w:b/>
          <w:bCs/>
          <w:sz w:val="24"/>
          <w:szCs w:val="24"/>
        </w:rPr>
        <w:t xml:space="preserve">4721 · Quando si rinuncia al numero.</w:t>
      </w:r>
      <w:r>
        <w:rPr>
          <w:rFonts w:ascii="Barlow Semi Condensed" w:cs="Barlow Semi Condensed" w:eastAsia="Barlow Semi Condensed" w:hAnsi="Barlow Semi Condensed"/>
          <w:sz w:val="24"/>
          <w:szCs w:val="24"/>
        </w:rPr>
        <w:t xml:space="preserve"> Quando le fonti divergono e nessuna prevale, il corpus rinuncia al numero e scrive qualitativamente: la quota di fucilati appartenenti alle minoranze slave è data come «parte cospicua», coi due processi di Trieste documentati. La rinuncia è essa stessa un'acquisizione. La stessa disciplina governa il conteggio delle riprese sull'avvertimento del 1974, dove l'apparato K-4 ha accertato che la moltiplicazione è apparente.</w:t>
      </w:r>
    </w:p>
    <w:p>
      <w:pPr>
        <w:spacing w:after="120" w:line="276"/>
        <w:jc w:val="both"/>
      </w:pPr>
      <w:r>
        <w:rPr>
          <w:rFonts w:ascii="Barlow Semi Condensed" w:cs="Barlow Semi Condensed" w:eastAsia="Barlow Semi Condensed" w:hAnsi="Barlow Semi Condensed"/>
          <w:b/>
          <w:bCs/>
          <w:sz w:val="24"/>
          <w:szCs w:val="24"/>
        </w:rPr>
        <w:t xml:space="preserve">4722 · La frase e il suo rango.</w:t>
      </w:r>
      <w:r>
        <w:rPr>
          <w:rFonts w:ascii="Barlow Semi Condensed" w:cs="Barlow Semi Condensed" w:eastAsia="Barlow Semi Condensed" w:hAnsi="Barlow Semi Condensed"/>
          <w:sz w:val="24"/>
          <w:szCs w:val="24"/>
        </w:rPr>
        <w:t xml:space="preserve"> La frase attribuita al pubblico ministero del «processone» è citata come tradizione memorialistica e non come atto processuale: lo studio dell'istituzione lo dichiara nel testo e nelle fonti. È divergenza di statuto, non di contenuto. La stessa distinzione vale per la smentita raccolta da un solo giornalista poco prima della morte: testimonianza giornalistica, non comunicato. Si registra il rango, non soltanto il contenuto.</w:t>
      </w:r>
    </w:p>
    <w:p>
      <w:pPr>
        <w:spacing w:after="120" w:line="276"/>
        <w:jc w:val="both"/>
      </w:pPr>
      <w:r>
        <w:rPr>
          <w:rFonts w:ascii="Barlow Semi Condensed" w:cs="Barlow Semi Condensed" w:eastAsia="Barlow Semi Condensed" w:hAnsi="Barlow Semi Condensed"/>
          <w:b/>
          <w:bCs/>
          <w:sz w:val="24"/>
          <w:szCs w:val="24"/>
        </w:rPr>
        <w:t xml:space="preserve">4723 · La divergenza che si dissolve.</w:t>
      </w:r>
      <w:r>
        <w:rPr>
          <w:rFonts w:ascii="Barlow Semi Condensed" w:cs="Barlow Semi Condensed" w:eastAsia="Barlow Semi Condensed" w:hAnsi="Barlow Semi Condensed"/>
          <w:sz w:val="24"/>
          <w:szCs w:val="24"/>
        </w:rPr>
        <w:t xml:space="preserve"> Il nodo F-16 mostra una divergenza che si dissolve invece di sciogliersi: le fonti discordi sulla morte di Feltrinelli — 14 o 15 marzo 1972 — parlavano di due momenti distinti, la morte al traliccio e il ritrovamento del corpo il pomeriggio successivo. Prima di dichiarare un contrasto si verifica che i due termini abbiano lo stesso oggetto: applicata all'incontro ufficiale e al colloquio a margine, la verifica evita un errore identico.</w:t>
      </w:r>
    </w:p>
    <w:p>
      <w:pPr>
        <w:spacing w:after="120" w:line="276"/>
        <w:jc w:val="both"/>
      </w:pPr>
      <w:r>
        <w:rPr>
          <w:rFonts w:ascii="Barlow Semi Condensed" w:cs="Barlow Semi Condensed" w:eastAsia="Barlow Semi Condensed" w:hAnsi="Barlow Semi Condensed"/>
          <w:b/>
          <w:bCs/>
          <w:sz w:val="24"/>
          <w:szCs w:val="24"/>
        </w:rPr>
        <w:t xml:space="preserve">4724 · Accertamento contro sospetto.</w:t>
      </w:r>
      <w:r>
        <w:rPr>
          <w:rFonts w:ascii="Barlow Semi Condensed" w:cs="Barlow Semi Condensed" w:eastAsia="Barlow Semi Condensed" w:hAnsi="Barlow Semi Condensed"/>
          <w:sz w:val="24"/>
          <w:szCs w:val="24"/>
        </w:rPr>
        <w:t xml:space="preserve"> Due statuti, non due fonti: la ricostruzione accolta in giudizio nel 1979 e riscontrata sui nastri di Robbiano di Mediglia, e la tesi dell'omicidio di Stato, che resta congettura. L'anti-triangolazione AT-2 vieta di pesarle allo stesso modo. Il censimento le tiene in colonne diverse, perché una divergenza fra un accertamento e un sospetto non è una divergenza fra fonti.</w:t>
      </w:r>
    </w:p>
    <w:p>
      <w:pPr>
        <w:spacing w:after="120" w:line="276"/>
        <w:jc w:val="both"/>
      </w:pPr>
      <w:r>
        <w:rPr>
          <w:rFonts w:ascii="Barlow Semi Condensed" w:cs="Barlow Semi Condensed" w:eastAsia="Barlow Semi Condensed" w:hAnsi="Barlow Semi Condensed"/>
          <w:b/>
          <w:bCs/>
          <w:sz w:val="24"/>
          <w:szCs w:val="24"/>
        </w:rPr>
        <w:t xml:space="preserve">4725 · Il timer e la smentita.</w:t>
      </w:r>
      <w:r>
        <w:rPr>
          <w:rFonts w:ascii="Barlow Semi Condensed" w:cs="Barlow Semi Condensed" w:eastAsia="Barlow Semi Condensed" w:hAnsi="Barlow Semi Condensed"/>
          <w:sz w:val="24"/>
          <w:szCs w:val="24"/>
        </w:rPr>
        <w:t xml:space="preserve"> Una congettura memorialistica contraddetta su un punto qualificante da testimonianza diretta: il nodo FH-8 registra che il tecnico dei GAP che fornì l'esplosivo smentì l'affermazione sui timer manipolati. È il modello della divergenza che si chiude contro la memoria e a favore del testimone materiale. Nessuno degli otto nodi d'incrocio fra i fronti Feltrinelli e Hyperion nomina il triangolato: esito negativo dichiarato.</w:t>
      </w:r>
    </w:p>
    <w:p>
      <w:pPr>
        <w:spacing w:after="120" w:line="276"/>
        <w:jc w:val="both"/>
      </w:pPr>
      <w:r>
        <w:rPr>
          <w:rFonts w:ascii="Barlow Semi Condensed" w:cs="Barlow Semi Condensed" w:eastAsia="Barlow Semi Condensed" w:hAnsi="Barlow Semi Condensed"/>
          <w:b/>
          <w:bCs/>
          <w:sz w:val="24"/>
          <w:szCs w:val="24"/>
        </w:rPr>
        <w:t xml:space="preserve">4726 · La scuola di Parigi, 1976 o 1977.</w:t>
      </w:r>
      <w:r>
        <w:rPr>
          <w:rFonts w:ascii="Barlow Semi Condensed" w:cs="Barlow Semi Condensed" w:eastAsia="Barlow Semi Condensed" w:hAnsi="Barlow Semi Condensed"/>
          <w:sz w:val="24"/>
          <w:szCs w:val="24"/>
        </w:rPr>
        <w:t xml:space="preserve"> Divergenza interna al corpus, verbalizzata qui per la prima volta. Lo studio del ceppo Simioni dichiara che le fonti oscillano fra 1976 e 1977 sulla fondazione di Hyperion e non risolve; il nodo HY-3 e l'anti-triangolazione ATI-1 fissano invece il 1976, e su quel 1976 poggia l'esclusione di ogni rapporto con Feltrinelli. Sede di chiusura: il registro delle associazioni della prefettura di polizia di Parigi.</w:t>
      </w:r>
    </w:p>
    <w:p>
      <w:pPr>
        <w:spacing w:after="120" w:line="276"/>
        <w:jc w:val="both"/>
      </w:pPr>
      <w:r>
        <w:rPr>
          <w:rFonts w:ascii="Barlow Semi Condensed" w:cs="Barlow Semi Condensed" w:eastAsia="Barlow Semi Condensed" w:hAnsi="Barlow Semi Condensed"/>
          <w:b/>
          <w:bCs/>
          <w:sz w:val="24"/>
          <w:szCs w:val="24"/>
        </w:rPr>
        <w:t xml:space="preserve">4727 · Due tesi non si sommano.</w:t>
      </w:r>
      <w:r>
        <w:rPr>
          <w:rFonts w:ascii="Barlow Semi Condensed" w:cs="Barlow Semi Condensed" w:eastAsia="Barlow Semi Condensed" w:hAnsi="Barlow Semi Condensed"/>
          <w:sz w:val="24"/>
          <w:szCs w:val="24"/>
        </w:rPr>
        <w:t xml:space="preserve"> L'anti-triangolazione ATH-2 enuncia il presidio più utile dell'intero censimento: «centrale del terrorismo» e «centrale d'intelligence» sono congetture alternative e non si sommano; il doppio sospetto non è un grado intermedio. Trasferita al nome triangolato: la versione che afferma l'avvertimento e quella che lo nega non si compongono in un generico «qualcosa fu detto». Sommarle commette due volte l'errore di promozione.</w:t>
      </w:r>
    </w:p>
    <w:p>
      <w:pPr>
        <w:spacing w:after="120" w:line="276"/>
        <w:jc w:val="both"/>
      </w:pPr>
      <w:r>
        <w:rPr>
          <w:rFonts w:ascii="Barlow Semi Condensed" w:cs="Barlow Semi Condensed" w:eastAsia="Barlow Semi Condensed" w:hAnsi="Barlow Semi Condensed"/>
          <w:b/>
          <w:bCs/>
          <w:sz w:val="24"/>
          <w:szCs w:val="24"/>
        </w:rPr>
        <w:t xml:space="preserve">4728 · L'impiego, la voce, il grado.</w:t>
      </w:r>
      <w:r>
        <w:rPr>
          <w:rFonts w:ascii="Barlow Semi Condensed" w:cs="Barlow Semi Condensed" w:eastAsia="Barlow Semi Condensed" w:hAnsi="Barlow Semi Condensed"/>
          <w:sz w:val="24"/>
          <w:szCs w:val="24"/>
        </w:rPr>
        <w:t xml:space="preserve"> Nella biografia di Simioni il corpus separa tre livelli sullo stesso soggetto: l'impiego all'USIS è fatto biografico, la voce su Radio Free Europe è riferita e non accertata, la lettura di entrambi come appartenenza ai servizi è congettura e comunque inerte. È una divergenza di grado dentro un'unica riga. La stessa scomposizione va applicata a ogni affermazione terziaria che circola sul nome triangolato.</w:t>
      </w:r>
    </w:p>
    <w:p>
      <w:pPr>
        <w:spacing w:after="120" w:line="276"/>
        <w:jc w:val="both"/>
      </w:pPr>
      <w:r>
        <w:rPr>
          <w:rFonts w:ascii="Barlow Semi Condensed" w:cs="Barlow Semi Condensed" w:eastAsia="Barlow Semi Condensed" w:hAnsi="Barlow Semi Condensed"/>
          <w:b/>
          <w:bCs/>
          <w:sz w:val="24"/>
          <w:szCs w:val="24"/>
        </w:rPr>
        <w:t xml:space="preserve">4729 · Novantuno bossoli, tre perizie.</w:t>
      </w:r>
      <w:r>
        <w:rPr>
          <w:rFonts w:ascii="Barlow Semi Condensed" w:cs="Barlow Semi Condensed" w:eastAsia="Barlow Semi Condensed" w:hAnsi="Barlow Semi Condensed"/>
          <w:sz w:val="24"/>
          <w:szCs w:val="24"/>
        </w:rPr>
        <w:t xml:space="preserve"> La divergenza tecnica meglio documentata del corpus riguarda i novantuno bossoli di via Fani: la perizia storica attribuisce quarantanove colpi a un'unica arma, la perizia Salza-Benedetti degli anni Novanta non conferma, quella del 2015 riconferma. La scheda PN-1 la porta in testa alla graduatoria operativa con 89,0. Il nome triangolato non compare in alcuna delle tre perizie: la sede è la catena di custodia dei reperti.</w:t>
      </w:r>
    </w:p>
    <w:p>
      <w:pPr>
        <w:spacing w:after="120" w:line="276"/>
        <w:jc w:val="both"/>
      </w:pPr>
      <w:r>
        <w:rPr>
          <w:rFonts w:ascii="Barlow Semi Condensed" w:cs="Barlow Semi Condensed" w:eastAsia="Barlow Semi Condensed" w:hAnsi="Barlow Semi Condensed"/>
          <w:b/>
          <w:bCs/>
          <w:sz w:val="24"/>
          <w:szCs w:val="24"/>
        </w:rPr>
        <w:t xml:space="preserve">4730 · Il parabrezza dell'ingegner Marini.</w:t>
      </w:r>
      <w:r>
        <w:rPr>
          <w:rFonts w:ascii="Barlow Semi Condensed" w:cs="Barlow Semi Condensed" w:eastAsia="Barlow Semi Condensed" w:hAnsi="Barlow Semi Condensed"/>
          <w:sz w:val="24"/>
          <w:szCs w:val="24"/>
        </w:rPr>
        <w:t xml:space="preserve"> La Nota di revisione n. 1 è il punto in cui il corpus corregge se stesso: il teste ammise ai consulenti della Commissione Moro 2 che il parabrezza infranto dai colpi non corrispondeva al vero, e la riga E2 della matrice ACH scende da diagnostica a controversa. L'apparato K-4, con la quinta precisazione sulla smentita, compie sul nome triangolato il medesimo gesto.</w:t>
      </w:r>
    </w:p>
    <w:p>
      <w:pPr>
        <w:spacing w:after="120" w:line="276"/>
        <w:jc w:val="both"/>
      </w:pPr>
      <w:r>
        <w:rPr>
          <w:rFonts w:ascii="Barlow Semi Condensed" w:cs="Barlow Semi Condensed" w:eastAsia="Barlow Semi Condensed" w:hAnsi="Barlow Semi Condensed"/>
          <w:b/>
          <w:bCs/>
          <w:sz w:val="24"/>
          <w:szCs w:val="24"/>
        </w:rPr>
        <w:t xml:space="preserve">4731 · Due gradi non fanno divergenza.</w:t>
      </w:r>
      <w:r>
        <w:rPr>
          <w:rFonts w:ascii="Barlow Semi Condensed" w:cs="Barlow Semi Condensed" w:eastAsia="Barlow Semi Condensed" w:hAnsi="Barlow Semi Condensed"/>
          <w:sz w:val="24"/>
          <w:szCs w:val="24"/>
        </w:rPr>
        <w:t xml:space="preserve"> Due motociclette e quattro «centauri» sono acquisizione parlamentare di grado B; il commando accertato è giudicato di grado A. Il capitolo cinquantottesimo della Fase settima avverte che qui non c'è contrasto fra fonti ma dislivello fra strati di accertamento. Regola: due gradi diversi sullo stesso oggetto non costituiscono una divergenza, e non vanno registrati nella medesima colonna del censimento.</w:t>
      </w:r>
    </w:p>
    <w:p>
      <w:pPr>
        <w:spacing w:after="120" w:line="276"/>
        <w:jc w:val="both"/>
      </w:pPr>
      <w:r>
        <w:rPr>
          <w:rFonts w:ascii="Barlow Semi Condensed" w:cs="Barlow Semi Condensed" w:eastAsia="Barlow Semi Condensed" w:hAnsi="Barlow Semi Condensed"/>
          <w:b/>
          <w:bCs/>
          <w:sz w:val="24"/>
          <w:szCs w:val="24"/>
        </w:rPr>
        <w:t xml:space="preserve">4732 · La sospensione e la sua asimmetria.</w:t>
      </w:r>
      <w:r>
        <w:rPr>
          <w:rFonts w:ascii="Barlow Semi Condensed" w:cs="Barlow Semi Condensed" w:eastAsia="Barlow Semi Condensed" w:hAnsi="Barlow Semi Condensed"/>
          <w:sz w:val="24"/>
          <w:szCs w:val="24"/>
        </w:rPr>
        <w:t xml:space="preserve"> Via Gradoli e la seduta spiritica offrono il modello canonico della sospensione: due letture entrambe di livello C, e l'opera non sceglie; la Fase settima certifica che la Commissione Moro 2 non ha sciolto il nodo. Sull'avvertimento del 1974 la simmetria manca, perché uno dei due termini è la smentita dell'interessato. L'asimmetria si riporta, e non autorizza a preferire l'altro termine.</w:t>
      </w:r>
    </w:p>
    <w:p>
      <w:pPr>
        <w:spacing w:after="120" w:line="276"/>
        <w:jc w:val="both"/>
      </w:pPr>
      <w:r>
        <w:rPr>
          <w:rFonts w:ascii="Barlow Semi Condensed" w:cs="Barlow Semi Condensed" w:eastAsia="Barlow Semi Condensed" w:hAnsi="Barlow Semi Condensed"/>
          <w:b/>
          <w:bCs/>
          <w:sz w:val="24"/>
          <w:szCs w:val="24"/>
        </w:rPr>
        <w:t xml:space="preserve">4733 · Un accertamento contro una possibilità.</w:t>
      </w:r>
      <w:r>
        <w:rPr>
          <w:rFonts w:ascii="Barlow Semi Condensed" w:cs="Barlow Semi Condensed" w:eastAsia="Barlow Semi Condensed" w:hAnsi="Barlow Semi Condensed"/>
          <w:sz w:val="24"/>
          <w:szCs w:val="24"/>
        </w:rPr>
        <w:t xml:space="preserve"> La prigione di via Montalcini è identificazione documentata; l'ipotesi di prigioni ulteriori resta di livello C, alimentata da dettagli ambientali delle lettere. La Parte terza avverte che un dettaglio può sempre essere fatto tornare con una prigione alternativa. Il censimento la classifica come divergenza asimmetrica: un accertamento contro una possibilità. Sede che la chiuderebbe: il fascicolo tuttora aperto presso la procura di Roma.</w:t>
      </w:r>
    </w:p>
    <w:p>
      <w:pPr>
        <w:spacing w:after="120" w:line="276"/>
        <w:jc w:val="both"/>
      </w:pPr>
      <w:r>
        <w:rPr>
          <w:rFonts w:ascii="Barlow Semi Condensed" w:cs="Barlow Semi Condensed" w:eastAsia="Barlow Semi Condensed" w:hAnsi="Barlow Semi Condensed"/>
          <w:b/>
          <w:bCs/>
          <w:sz w:val="24"/>
          <w:szCs w:val="24"/>
        </w:rPr>
        <w:t xml:space="preserve">4734 · I conteggi del memoriale.</w:t>
      </w:r>
      <w:r>
        <w:rPr>
          <w:rFonts w:ascii="Barlow Semi Condensed" w:cs="Barlow Semi Condensed" w:eastAsia="Barlow Semi Condensed" w:hAnsi="Barlow Semi Condensed"/>
          <w:sz w:val="24"/>
          <w:szCs w:val="24"/>
        </w:rPr>
        <w:t xml:space="preserve"> Lo statuto della parte filologica dei nove cantieri dichiara che i conteggi interni dei fogli del memoriale divergono fra le fonti e ne fa un bersaglio: quattrocentoventuno fogli in fotocopia il 9 ottobre 1990, di cui una porzione manoscritta variamente computata. La sede è l'edizione critica presentata all'Archivio di Stato di Roma, richiamata al blocco 470. Nessuna delle versioni nomina il triangolato.</w:t>
      </w:r>
    </w:p>
    <w:p>
      <w:pPr>
        <w:spacing w:after="120" w:line="276"/>
        <w:jc w:val="both"/>
      </w:pPr>
      <w:r>
        <w:rPr>
          <w:rFonts w:ascii="Barlow Semi Condensed" w:cs="Barlow Semi Condensed" w:eastAsia="Barlow Semi Condensed" w:hAnsi="Barlow Semi Condensed"/>
          <w:b/>
          <w:bCs/>
          <w:sz w:val="24"/>
          <w:szCs w:val="24"/>
        </w:rPr>
        <w:t xml:space="preserve">4735 · La perizia difforme del 1993.</w:t>
      </w:r>
      <w:r>
        <w:rPr>
          <w:rFonts w:ascii="Barlow Semi Condensed" w:cs="Barlow Semi Condensed" w:eastAsia="Barlow Semi Condensed" w:hAnsi="Barlow Semi Condensed"/>
          <w:sz w:val="24"/>
          <w:szCs w:val="24"/>
        </w:rPr>
        <w:t xml:space="preserve"> Il blocco 364 dei cantieri chiede se il contrasto fra la perizia del 1993 e le altre nasca da quesiti diversi, strumenti diversi o letture diverse degli stessi segni. È la domanda giusta da porre a ogni divergenza peritale, e vale anche fuori dalla grafologia: prima di scegliere fra due esiti si confrontano i mandati che li hanno prodotti. Nessun perito del caso ebbe mai un quesito sul nome triangolato.</w:t>
      </w:r>
    </w:p>
    <w:p>
      <w:pPr>
        <w:spacing w:after="120" w:line="276"/>
        <w:jc w:val="both"/>
      </w:pPr>
      <w:r>
        <w:rPr>
          <w:rFonts w:ascii="Barlow Semi Condensed" w:cs="Barlow Semi Condensed" w:eastAsia="Barlow Semi Condensed" w:hAnsi="Barlow Semi Condensed"/>
          <w:b/>
          <w:bCs/>
          <w:sz w:val="24"/>
          <w:szCs w:val="24"/>
        </w:rPr>
        <w:t xml:space="preserve">4736 · La testina del borsello.</w:t>
      </w:r>
      <w:r>
        <w:rPr>
          <w:rFonts w:ascii="Barlow Semi Condensed" w:cs="Barlow Semi Condensed" w:eastAsia="Barlow Semi Condensed" w:hAnsi="Barlow Semi Condensed"/>
          <w:sz w:val="24"/>
          <w:szCs w:val="24"/>
        </w:rPr>
        <w:t xml:space="preserve"> La divergenza fra le fonti sulla testina IBM del borsello Chichiarelli — compatibile o no coi falsi — è registrata al blocco 521 e rinviata alla perizia moderna prevista dal blocco 435. È divergenza tecnica pura, chiudibile in laboratorio. Il dossier Chichiarelli non contiene il nome triangolato in alcun documento del corpus: Stato Zero, sede il fascicolo aperto e l'ufficio corpi di reato.</w:t>
      </w:r>
    </w:p>
    <w:p>
      <w:pPr>
        <w:spacing w:after="120" w:line="276"/>
        <w:jc w:val="both"/>
      </w:pPr>
      <w:r>
        <w:rPr>
          <w:rFonts w:ascii="Barlow Semi Condensed" w:cs="Barlow Semi Condensed" w:eastAsia="Barlow Semi Condensed" w:hAnsi="Barlow Semi Condensed"/>
          <w:b/>
          <w:bCs/>
          <w:sz w:val="24"/>
          <w:szCs w:val="24"/>
        </w:rPr>
        <w:t xml:space="preserve">4737 · Dieci negligenze non fanno un piano.</w:t>
      </w:r>
      <w:r>
        <w:rPr>
          <w:rFonts w:ascii="Barlow Semi Condensed" w:cs="Barlow Semi Condensed" w:eastAsia="Barlow Semi Condensed" w:hAnsi="Barlow Semi Condensed"/>
          <w:sz w:val="24"/>
          <w:szCs w:val="24"/>
        </w:rPr>
        <w:t xml:space="preserve"> Il capitolo VII della Parte terza vieta l'operazione più tentante del censimento: sommare le divergenze finché il loro numero dimostri il dolo. Dieci negligenze non provano un piano, come dieci indizi di livello C non fanno un livello B. Applicato qui: la molteplicità delle versioni sull'episodio del 1974 non è un argomento a favore di nessuna di esse, e nemmeno contro.</w:t>
      </w:r>
    </w:p>
    <w:p>
      <w:pPr>
        <w:spacing w:after="120" w:line="276"/>
        <w:jc w:val="both"/>
      </w:pPr>
      <w:r>
        <w:rPr>
          <w:rFonts w:ascii="Barlow Semi Condensed" w:cs="Barlow Semi Condensed" w:eastAsia="Barlow Semi Condensed" w:hAnsi="Barlow Semi Condensed"/>
          <w:b/>
          <w:bCs/>
          <w:sz w:val="24"/>
          <w:szCs w:val="24"/>
        </w:rPr>
        <w:t xml:space="preserve">4738 · La relazione di minoranza.</w:t>
      </w:r>
      <w:r>
        <w:rPr>
          <w:rFonts w:ascii="Barlow Semi Condensed" w:cs="Barlow Semi Condensed" w:eastAsia="Barlow Semi Condensed" w:hAnsi="Barlow Semi Condensed"/>
          <w:sz w:val="24"/>
          <w:szCs w:val="24"/>
        </w:rPr>
        <w:t xml:space="preserve"> Collazionare la relazione di minoranza di Sciascia alla prima Commissione Moro con quella di maggioranza, carte preparatorie comprese: lo prescrive il blocco 275 dei cantieri. Il corpus non dice se quelle divergenze tocchino il nome triangolato, perché non lo ha verificato. Sede del quesito: l'Archivio storico della Camera dei deputati, atti della Commissione Moro 1, Doc. XXIII della VIII legislatura.</w:t>
      </w:r>
    </w:p>
    <w:p>
      <w:pPr>
        <w:spacing w:after="120" w:line="276"/>
        <w:jc w:val="both"/>
      </w:pPr>
      <w:r>
        <w:rPr>
          <w:rFonts w:ascii="Barlow Semi Condensed" w:cs="Barlow Semi Condensed" w:eastAsia="Barlow Semi Condensed" w:hAnsi="Barlow Semi Condensed"/>
          <w:b/>
          <w:bCs/>
          <w:sz w:val="24"/>
          <w:szCs w:val="24"/>
        </w:rPr>
        <w:t xml:space="preserve">4739 · Le caselle da precisare.</w:t>
      </w:r>
      <w:r>
        <w:rPr>
          <w:rFonts w:ascii="Barlow Semi Condensed" w:cs="Barlow Semi Condensed" w:eastAsia="Barlow Semi Condensed" w:hAnsi="Barlow Semi Condensed"/>
          <w:sz w:val="24"/>
          <w:szCs w:val="24"/>
        </w:rPr>
        <w:t xml:space="preserve"> Il blocco 867 dei cantieri chiama caselle da precisare le divergenze minute sul registro dei condannati: luoghi di nascita difformi, quantum di pena, date dei benefici, da chiudere su anagrafi e sentenze. Il censimento le include perché sono divergenze vere. Nessuna di esse, e nessuno degli otto ponti di triangolazione-condannati-corpus, conduce al nome triangolato: la prosopografia dei tredici non lo incontra mai.</w:t>
      </w:r>
    </w:p>
    <w:p>
      <w:pPr>
        <w:spacing w:after="120" w:line="276"/>
        <w:jc w:val="both"/>
      </w:pPr>
      <w:r>
        <w:rPr>
          <w:rFonts w:ascii="Barlow Semi Condensed" w:cs="Barlow Semi Condensed" w:eastAsia="Barlow Semi Condensed" w:hAnsi="Barlow Semi Condensed"/>
          <w:b/>
          <w:bCs/>
          <w:sz w:val="24"/>
          <w:szCs w:val="24"/>
        </w:rPr>
        <w:t xml:space="preserve">4740 · L'OCR che legge due numeri.</w:t>
      </w:r>
      <w:r>
        <w:rPr>
          <w:rFonts w:ascii="Barlow Semi Condensed" w:cs="Barlow Semi Condensed" w:eastAsia="Barlow Semi Condensed" w:hAnsi="Barlow Semi Condensed"/>
          <w:sz w:val="24"/>
          <w:szCs w:val="24"/>
        </w:rPr>
        <w:t xml:space="preserve"> Nell'istanza stessa il manuale, al blocco 117, dichiara la divergenza di lettura fra 00202 e 00208 in un numero di fascicolo, e al blocco 306 ne ricava la regola: le letture automatiche divergono, e la divergenza si conserva nel dato invece di essere scelta in silenzio. Vale anche per la citazione del documento 350, dove la seconda edizione riveduta va conservata come parte della segnatura.</w:t>
      </w:r>
    </w:p>
    <w:p>
      <w:pPr>
        <w:spacing w:after="120" w:line="276"/>
        <w:jc w:val="both"/>
      </w:pPr>
      <w:r>
        <w:rPr>
          <w:rFonts w:ascii="Barlow Semi Condensed" w:cs="Barlow Semi Condensed" w:eastAsia="Barlow Semi Condensed" w:hAnsi="Barlow Semi Condensed"/>
          <w:b/>
          <w:bCs/>
          <w:sz w:val="24"/>
          <w:szCs w:val="24"/>
        </w:rPr>
        <w:t xml:space="preserve">4741 · La stessa domanda, tre sedi.</w:t>
      </w:r>
      <w:r>
        <w:rPr>
          <w:rFonts w:ascii="Barlow Semi Condensed" w:cs="Barlow Semi Condensed" w:eastAsia="Barlow Semi Condensed" w:hAnsi="Barlow Semi Condensed"/>
          <w:sz w:val="24"/>
          <w:szCs w:val="24"/>
        </w:rPr>
        <w:t xml:space="preserve"> Quesito, con sede e forma. Il blocco 65 dell'agenda chiede che cosa risposero Moro 1, la Commissione Stragi e Moro 2 alla medesima domanda. Applicato a questa serie: che cosa dissero le tre sedi dell'avvertimento riferito? Il corpus registra soltanto l'audizione del 1° agosto 1980. Le altre due restano Stato Zero, chiudibile sui resoconti stenografici conservati negli archivi storici di Camera e Senato.</w:t>
      </w:r>
    </w:p>
    <w:p>
      <w:pPr>
        <w:spacing w:after="120" w:line="276"/>
        <w:jc w:val="both"/>
      </w:pPr>
      <w:r>
        <w:rPr>
          <w:rFonts w:ascii="Barlow Semi Condensed" w:cs="Barlow Semi Condensed" w:eastAsia="Barlow Semi Condensed" w:hAnsi="Barlow Semi Condensed"/>
          <w:b/>
          <w:bCs/>
          <w:sz w:val="24"/>
          <w:szCs w:val="24"/>
        </w:rPr>
        <w:t xml:space="preserve">4742 · Gli oculari e il verbale.</w:t>
      </w:r>
      <w:r>
        <w:rPr>
          <w:rFonts w:ascii="Barlow Semi Condensed" w:cs="Barlow Semi Condensed" w:eastAsia="Barlow Semi Condensed" w:hAnsi="Barlow Semi Condensed"/>
          <w:sz w:val="24"/>
          <w:szCs w:val="24"/>
        </w:rPr>
        <w:t xml:space="preserve"> Il blocco 107 dell'agenda impone che ogni divergenza fra il riascolto degli oculari superstiti e il verbale d'epoca sia annotata come dato e non lisciata. È la forma più severa del censimento, perché il testimone tende a convergere col racconto pubblico. La regola spiega perché una testimonianza resa nel 1982 su un fatto del 1974 vada pesata per la distanza, non solo per il contenuto.</w:t>
      </w:r>
    </w:p>
    <w:p>
      <w:pPr>
        <w:spacing w:after="120" w:line="276"/>
        <w:jc w:val="both"/>
      </w:pPr>
      <w:r>
        <w:rPr>
          <w:rFonts w:ascii="Barlow Semi Condensed" w:cs="Barlow Semi Condensed" w:eastAsia="Barlow Semi Condensed" w:hAnsi="Barlow Semi Condensed"/>
          <w:b/>
          <w:bCs/>
          <w:sz w:val="24"/>
          <w:szCs w:val="24"/>
        </w:rPr>
        <w:t xml:space="preserve">4743 · Due memorie, nessun confronto.</w:t>
      </w:r>
      <w:r>
        <w:rPr>
          <w:rFonts w:ascii="Barlow Semi Condensed" w:cs="Barlow Semi Condensed" w:eastAsia="Barlow Semi Condensed" w:hAnsi="Barlow Semi Condensed"/>
          <w:sz w:val="24"/>
          <w:szCs w:val="24"/>
        </w:rPr>
        <w:t xml:space="preserve"> Portare due memorie divergenti al confronto suggestivo fra testimoni è vietato dal blocco 123 dell'agenda: la divergenza si porta ai documenti. Le due smentite italiane qualificate sull'episodio del 1974 — «una leggenda che non ha fondamento» e «solo un problema di linguaggio» — vanno trattate così. Nessuno dei due dichiaranti era presente al colloquio riservato: il documento che deciderebbe non è una terza memoria.</w:t>
      </w:r>
    </w:p>
    <w:p>
      <w:pPr>
        <w:spacing w:after="120" w:line="276"/>
        <w:jc w:val="both"/>
      </w:pPr>
      <w:r>
        <w:rPr>
          <w:rFonts w:ascii="Barlow Semi Condensed" w:cs="Barlow Semi Condensed" w:eastAsia="Barlow Semi Condensed" w:hAnsi="Barlow Semi Condensed"/>
          <w:b/>
          <w:bCs/>
          <w:sz w:val="24"/>
          <w:szCs w:val="24"/>
        </w:rPr>
        <w:t xml:space="preserve">4744 · La collazione che manca.</w:t>
      </w:r>
      <w:r>
        <w:rPr>
          <w:rFonts w:ascii="Barlow Semi Condensed" w:cs="Barlow Semi Condensed" w:eastAsia="Barlow Semi Condensed" w:hAnsi="Barlow Semi Condensed"/>
          <w:sz w:val="24"/>
          <w:szCs w:val="24"/>
        </w:rPr>
        <w:t xml:space="preserve"> Il blocco 153 dell'agenda e i blocchi 38, 62, 84 e 119 dei cantieri prescrivono la collazione multilaterale delle giornate chiave, perché ogni divergenza è o un errore di una capitale o un'informazione asimmetrica. Applicata al 25 settembre 1974, la collazione non è eseguibile: manca il termine italiano. Sede che lo produrrebbe: Archivio storico-diplomatico, carte del Gabinetto del ministro, 1974.</w:t>
      </w:r>
    </w:p>
    <w:p>
      <w:pPr>
        <w:spacing w:after="120" w:line="276"/>
        <w:jc w:val="both"/>
      </w:pPr>
      <w:r>
        <w:rPr>
          <w:rFonts w:ascii="Barlow Semi Condensed" w:cs="Barlow Semi Condensed" w:eastAsia="Barlow Semi Condensed" w:hAnsi="Barlow Semi Condensed"/>
          <w:b/>
          <w:bCs/>
          <w:sz w:val="24"/>
          <w:szCs w:val="24"/>
        </w:rPr>
        <w:t xml:space="preserve">4745 · I diari contro sé stessi (serie LXII).</w:t>
      </w:r>
      <w:r>
        <w:rPr>
          <w:rFonts w:ascii="Barlow Semi Condensed" w:cs="Barlow Semi Condensed" w:eastAsia="Barlow Semi Condensed" w:hAnsi="Barlow Semi Condensed"/>
          <w:sz w:val="24"/>
          <w:szCs w:val="24"/>
        </w:rPr>
        <w:t xml:space="preserve"> Le memorie edite dei protagonisti contro le loro carte private: il blocco 170 dei cantieri ne ricava la tavola delle divergenze. Il quesito che ne discende riguarda i volumi di memorie del triangolato messi contro i documenti FRUS sull'Italia. Prima di condurlo va accertato il regime di accesso al fondo personale, fra la Manuscript Division della Library of Congress e la porzione conferita a Yale.</w:t>
      </w:r>
    </w:p>
    <w:p>
      <w:pPr>
        <w:spacing w:after="120" w:line="276"/>
        <w:jc w:val="both"/>
      </w:pPr>
      <w:r>
        <w:rPr>
          <w:rFonts w:ascii="Barlow Semi Condensed" w:cs="Barlow Semi Condensed" w:eastAsia="Barlow Semi Condensed" w:hAnsi="Barlow Semi Condensed"/>
          <w:b/>
          <w:bCs/>
          <w:sz w:val="24"/>
          <w:szCs w:val="24"/>
        </w:rPr>
        <w:t xml:space="preserve">4746 · La tavola rivolta al corpus.</w:t>
      </w:r>
      <w:r>
        <w:rPr>
          <w:rFonts w:ascii="Barlow Semi Condensed" w:cs="Barlow Semi Condensed" w:eastAsia="Barlow Semi Condensed" w:hAnsi="Barlow Semi Condensed"/>
          <w:sz w:val="24"/>
          <w:szCs w:val="24"/>
        </w:rPr>
        <w:t xml:space="preserve"> La tavola a due colonne — dichiarazione e atto — viene dal blocco 853 dei cantieri, e il blocco 720 della prima campagna l'aveva già applicata fuori dal registro dei condannati. Il censimento propone di rivolgerla al corpus stesso: per ciascuna delle otto divergenze della Farnesina, la colonna della fonte e quella dell'atto che la sosterrebbe. Molte caselle resterebbero vuote, e la vuotezza è il risultato.</w:t>
      </w:r>
    </w:p>
    <w:p>
      <w:pPr>
        <w:spacing w:after="120" w:line="276"/>
        <w:jc w:val="both"/>
      </w:pPr>
      <w:r>
        <w:rPr>
          <w:rFonts w:ascii="Barlow Semi Condensed" w:cs="Barlow Semi Condensed" w:eastAsia="Barlow Semi Condensed" w:hAnsi="Barlow Semi Condensed"/>
          <w:b/>
          <w:bCs/>
          <w:sz w:val="24"/>
          <w:szCs w:val="24"/>
        </w:rPr>
        <w:t xml:space="preserve">4747 · Nessuna reverenza sconta un grado.</w:t>
      </w:r>
      <w:r>
        <w:rPr>
          <w:rFonts w:ascii="Barlow Semi Condensed" w:cs="Barlow Semi Condensed" w:eastAsia="Barlow Semi Condensed" w:hAnsi="Barlow Semi Condensed"/>
          <w:sz w:val="24"/>
          <w:szCs w:val="24"/>
        </w:rPr>
        <w:t xml:space="preserve"> Le assenze si verbalizzano, le divergenze si tabulano, nessuna reverenza sconta un grado: così il blocco 212 dei cantieri fissa la regola per il fronte vaticano. La scheda PE-4 sulla mediazione vaticana e sulla sorte del riscatto non contiene il nome triangolato. Sede futura del quesito: l'Archivio Apostolico Vaticano per il pontificato di Paolo VI, non ancora aperto alla consultazione.</w:t>
      </w:r>
    </w:p>
    <w:p>
      <w:pPr>
        <w:spacing w:after="120" w:line="276"/>
        <w:jc w:val="both"/>
      </w:pPr>
      <w:r>
        <w:rPr>
          <w:rFonts w:ascii="Barlow Semi Condensed" w:cs="Barlow Semi Condensed" w:eastAsia="Barlow Semi Condensed" w:hAnsi="Barlow Semi Condensed"/>
          <w:b/>
          <w:bCs/>
          <w:sz w:val="24"/>
          <w:szCs w:val="24"/>
        </w:rPr>
        <w:t xml:space="preserve">4748 · La divergenza costitutiva del branch.</w:t>
      </w:r>
      <w:r>
        <w:rPr>
          <w:rFonts w:ascii="Barlow Semi Condensed" w:cs="Barlow Semi Condensed" w:eastAsia="Barlow Semi Condensed" w:hAnsi="Barlow Semi Condensed"/>
          <w:sz w:val="24"/>
          <w:szCs w:val="24"/>
        </w:rPr>
        <w:t xml:space="preserve"> Il blocco 501 dell'edizione strutturata dichiara la divergenza costitutiva fra il Dossier maggiore dell'autore e il branch pubblico: là la Fase quinta passa alla probabilità e alla graduatoria, qui il Pollo di Popper non viene congedato. La conseguenza per questa serie è diretta: nessun blocco assegna percentuali, nessuno colloca il nome in una scala. Chi cerca la graduatoria sa dove essa vive.</w:t>
      </w:r>
    </w:p>
    <w:p>
      <w:pPr>
        <w:spacing w:after="120" w:line="276"/>
        <w:jc w:val="both"/>
      </w:pPr>
      <w:r>
        <w:rPr>
          <w:rFonts w:ascii="Barlow Semi Condensed" w:cs="Barlow Semi Condensed" w:eastAsia="Barlow Semi Condensed" w:hAnsi="Barlow Semi Condensed"/>
          <w:b/>
          <w:bCs/>
          <w:sz w:val="24"/>
          <w:szCs w:val="24"/>
        </w:rPr>
        <w:t xml:space="preserve">4749 · Si gradua il documento.</w:t>
      </w:r>
      <w:r>
        <w:rPr>
          <w:rFonts w:ascii="Barlow Semi Condensed" w:cs="Barlow Semi Condensed" w:eastAsia="Barlow Semi Condensed" w:hAnsi="Barlow Semi Condensed"/>
          <w:sz w:val="24"/>
          <w:szCs w:val="24"/>
        </w:rPr>
        <w:t xml:space="preserve"> Una divergenza che il corpus dichiara di non comporre sta al capitolo VII della seconda campagna: si gradua ciò che è documento, non chi è persona. Gli strumenti che misurano la documentazione sono trasferibili per intero; quelli che attribuiscono un livello alle persone non lo sono. È la ragione per cui, in ottanta blocchi, il nome triangolato non riceve mai un punteggio.</w:t>
      </w:r>
    </w:p>
    <w:p>
      <w:pPr>
        <w:spacing w:after="120" w:line="276"/>
        <w:jc w:val="both"/>
      </w:pPr>
      <w:r>
        <w:rPr>
          <w:rFonts w:ascii="Barlow Semi Condensed" w:cs="Barlow Semi Condensed" w:eastAsia="Barlow Semi Condensed" w:hAnsi="Barlow Semi Condensed"/>
          <w:b/>
          <w:bCs/>
          <w:sz w:val="24"/>
          <w:szCs w:val="24"/>
        </w:rPr>
        <w:t xml:space="preserve">4750 · Il registro che manca.</w:t>
      </w:r>
      <w:r>
        <w:rPr>
          <w:rFonts w:ascii="Barlow Semi Condensed" w:cs="Barlow Semi Condensed" w:eastAsia="Barlow Semi Condensed" w:hAnsi="Barlow Semi Condensed"/>
          <w:sz w:val="24"/>
          <w:szCs w:val="24"/>
        </w:rPr>
        <w:t xml:space="preserve"> Lacuna di struttura, verbalizzata. Il corpus storico non possiede un registro proprio delle divergenze: il file delle anomalie in _meta esiste ma appartiene al progetto pugliese, estraneo a questo branch, e censisce duplicazioni di un'altra opera. Le divergenze storiche vivono sparse nelle note di revisione e nelle righe di chiusura. Ciò che colmerebbe la lacuna non è un archivio esterno ma un atto editoriale interno.</w:t>
      </w:r>
    </w:p>
    <w:p>
      <w:pPr>
        <w:spacing w:after="120" w:line="276"/>
        <w:jc w:val="both"/>
      </w:pPr>
      <w:r>
        <w:rPr>
          <w:rFonts w:ascii="Barlow Semi Condensed" w:cs="Barlow Semi Condensed" w:eastAsia="Barlow Semi Condensed" w:hAnsi="Barlow Semi Condensed"/>
          <w:b/>
          <w:bCs/>
          <w:sz w:val="24"/>
          <w:szCs w:val="24"/>
        </w:rPr>
        <w:t xml:space="preserve">4751 · Le due note bibliografiche.</w:t>
      </w:r>
      <w:r>
        <w:rPr>
          <w:rFonts w:ascii="Barlow Semi Condensed" w:cs="Barlow Semi Condensed" w:eastAsia="Barlow Semi Condensed" w:hAnsi="Barlow Semi Condensed"/>
          <w:sz w:val="24"/>
          <w:szCs w:val="24"/>
        </w:rPr>
        <w:t xml:space="preserve"> Le note bibliografiche dell'opera integrale registrano ai numeri 50 e 51 le due fonti su cui il nodo M-5 poggiava per il versante italiano: un sito di divulgazione e un quotidiano che riferiva di un programma televisivo. Entrambe sono affermazioni terziarie, piano 3. Il piano 1 è altrove: i verbali d'udienza della Corte d'assise di Roma e i resoconti della Commissione, mai letti dalla campagna.</w:t>
      </w:r>
    </w:p>
    <w:p>
      <w:pPr>
        <w:spacing w:after="120" w:line="276"/>
        <w:jc w:val="both"/>
      </w:pPr>
      <w:r>
        <w:rPr>
          <w:rFonts w:ascii="Barlow Semi Condensed" w:cs="Barlow Semi Condensed" w:eastAsia="Barlow Semi Condensed" w:hAnsi="Barlow Semi Condensed"/>
          <w:b/>
          <w:bCs/>
          <w:sz w:val="24"/>
          <w:szCs w:val="24"/>
        </w:rPr>
        <w:t xml:space="preserve">4752 · Le fonti non ammissibili.</w:t>
      </w:r>
      <w:r>
        <w:rPr>
          <w:rFonts w:ascii="Barlow Semi Condensed" w:cs="Barlow Semi Condensed" w:eastAsia="Barlow Semi Condensed" w:hAnsi="Barlow Semi Condensed"/>
          <w:sz w:val="24"/>
          <w:szCs w:val="24"/>
        </w:rPr>
        <w:t xml:space="preserve"> Il committente esclude due testate dal novero delle fonti citabili, e ne discende una conseguenza per il censimento: una divergenza sostenuta soltanto da una fonte esclusa non esiste per il corpus e non va registrata come termine di contrasto. L'esclusione non è un giudizio sul contenuto, è una regola di ammissibilità, e si applica prima della pesatura e non dopo.</w:t>
      </w:r>
    </w:p>
    <w:p>
      <w:pPr>
        <w:spacing w:after="120" w:line="276"/>
        <w:jc w:val="both"/>
      </w:pPr>
      <w:r>
        <w:rPr>
          <w:rFonts w:ascii="Barlow Semi Condensed" w:cs="Barlow Semi Condensed" w:eastAsia="Barlow Semi Condensed" w:hAnsi="Barlow Semi Condensed"/>
          <w:b/>
          <w:bCs/>
          <w:sz w:val="24"/>
          <w:szCs w:val="24"/>
        </w:rPr>
        <w:t xml:space="preserve">4753 · Quattordici giugno, quattordici maggio.</w:t>
      </w:r>
      <w:r>
        <w:rPr>
          <w:rFonts w:ascii="Barlow Semi Condensed" w:cs="Barlow Semi Condensed" w:eastAsia="Barlow Semi Condensed" w:hAnsi="Barlow Semi Condensed"/>
          <w:sz w:val="24"/>
          <w:szCs w:val="24"/>
        </w:rPr>
        <w:t xml:space="preserve"> Il nodo I-1 registra che la data di nascita di Guevara è il 14 giugno 1928 nel documento ufficiale e il 14 maggio secondo il biografo Anderson. È la stessa specie della divergenza sull'anglicizzazione del nome triangolato: un documento contro un'opera di consultazione. Omologia di forma, non di origine: dalla somiglianza delle due divergenze non si deduce alcun antenato comune né alcun nesso fra i due casi.</w:t>
      </w:r>
    </w:p>
    <w:p>
      <w:pPr>
        <w:spacing w:after="120" w:line="276"/>
        <w:jc w:val="both"/>
      </w:pPr>
      <w:r>
        <w:rPr>
          <w:rFonts w:ascii="Barlow Semi Condensed" w:cs="Barlow Semi Condensed" w:eastAsia="Barlow Semi Condensed" w:hAnsi="Barlow Semi Condensed"/>
          <w:b/>
          <w:bCs/>
          <w:sz w:val="24"/>
          <w:szCs w:val="24"/>
        </w:rPr>
        <w:t xml:space="preserve">4754 · Alejandro e Arnaldo.</w:t>
      </w:r>
      <w:r>
        <w:rPr>
          <w:rFonts w:ascii="Barlow Semi Condensed" w:cs="Barlow Semi Condensed" w:eastAsia="Barlow Semi Condensed" w:hAnsi="Barlow Semi Condensed"/>
          <w:sz w:val="24"/>
          <w:szCs w:val="24"/>
        </w:rPr>
        <w:t xml:space="preserve"> Un errore di persona travestito da divergenza: il direttore del Fondo de Cultura Económica era Arnaldo Orfila Reynal, non il diplomatico argentino Alejandro Orfila, e il corpus ha riscritto il passaggio con nota di revisione. Il censimento ne trae il primo controllo da eseguire su ogni contrasto apparente, prima ancora di pesare le fonti: verificare che esse parlino della stessa persona.</w:t>
      </w:r>
    </w:p>
    <w:p>
      <w:pPr>
        <w:spacing w:after="120" w:line="276"/>
        <w:jc w:val="both"/>
      </w:pPr>
      <w:r>
        <w:rPr>
          <w:rFonts w:ascii="Barlow Semi Condensed" w:cs="Barlow Semi Condensed" w:eastAsia="Barlow Semi Condensed" w:hAnsi="Barlow Semi Condensed"/>
          <w:b/>
          <w:bCs/>
          <w:sz w:val="24"/>
          <w:szCs w:val="24"/>
        </w:rPr>
        <w:t xml:space="preserve">4755 · Due date, due fatti.</w:t>
      </w:r>
      <w:r>
        <w:rPr>
          <w:rFonts w:ascii="Barlow Semi Condensed" w:cs="Barlow Semi Condensed" w:eastAsia="Barlow Semi Condensed" w:hAnsi="Barlow Semi Condensed"/>
          <w:sz w:val="24"/>
          <w:szCs w:val="24"/>
        </w:rPr>
        <w:t xml:space="preserve"> Due date che erano due fatti: il fermo di Fidel Castro il 20-21 giugno 1956 a Città del Messico e il rastrellamento del ranch il 24, con Guevara catturato lì. Il corpus ha corretto in «20-24 giugno». Una divergenza apparente può nascondere una sequenza: prima di scegliere fra due date si verifica se gli eventi in questione siano uno soltanto o due.</w:t>
      </w:r>
    </w:p>
    <w:p>
      <w:pPr>
        <w:spacing w:after="120" w:line="276"/>
        <w:jc w:val="both"/>
      </w:pPr>
      <w:r>
        <w:rPr>
          <w:rFonts w:ascii="Barlow Semi Condensed" w:cs="Barlow Semi Condensed" w:eastAsia="Barlow Semi Condensed" w:hAnsi="Barlow Semi Condensed"/>
          <w:b/>
          <w:bCs/>
          <w:sz w:val="24"/>
          <w:szCs w:val="24"/>
        </w:rPr>
        <w:t xml:space="preserve">4756 · Quando si scrive la classe.</w:t>
      </w:r>
      <w:r>
        <w:rPr>
          <w:rFonts w:ascii="Barlow Semi Condensed" w:cs="Barlow Semi Condensed" w:eastAsia="Barlow Semi Condensed" w:hAnsi="Barlow Semi Condensed"/>
          <w:sz w:val="24"/>
          <w:szCs w:val="24"/>
        </w:rPr>
        <w:t xml:space="preserve"> I conteggi delle perdite di Alegría de Pío variano fra le fonti, e al nodo E-13 il corpus ha sostituito le cifre puntuali con l'ordine di grandezza condiviso dalla storiografia. È la seconda comparsa della disciplina già vista sui fucilati del Tribunale Speciale: dove il numero non regge, si scrive la classe. La precisione falsa è peggiore dell'approssimazione dichiarata.</w:t>
      </w:r>
    </w:p>
    <w:p>
      <w:pPr>
        <w:spacing w:after="120" w:line="276"/>
        <w:jc w:val="both"/>
      </w:pPr>
      <w:r>
        <w:rPr>
          <w:rFonts w:ascii="Barlow Semi Condensed" w:cs="Barlow Semi Condensed" w:eastAsia="Barlow Semi Condensed" w:hAnsi="Barlow Semi Condensed"/>
          <w:b/>
          <w:bCs/>
          <w:sz w:val="24"/>
          <w:szCs w:val="24"/>
        </w:rPr>
        <w:t xml:space="preserve">4757 · Difetto di fonte, non divergenza.</w:t>
      </w:r>
      <w:r>
        <w:rPr>
          <w:rFonts w:ascii="Barlow Semi Condensed" w:cs="Barlow Semi Condensed" w:eastAsia="Barlow Semi Condensed" w:hAnsi="Barlow Semi Condensed"/>
          <w:sz w:val="24"/>
          <w:szCs w:val="24"/>
        </w:rPr>
        <w:t xml:space="preserve"> Non una divergenza fra fonti ma un difetto di fonte: il bazooka dell'11 dicembre 1964 fu lanciato da un terreno di Long Island City, non da un'imbarcazione, e il corpus ha sostituito il rimando a un archivio anonimo. Prima di censire un contrasto si controlla il rango delle due fonti. Una fonte inaffidabile non genera divergenza: genera errore, e l'errore si corregge.</w:t>
      </w:r>
    </w:p>
    <w:p>
      <w:pPr>
        <w:spacing w:after="120" w:line="276"/>
        <w:jc w:val="both"/>
      </w:pPr>
      <w:r>
        <w:rPr>
          <w:rFonts w:ascii="Barlow Semi Condensed" w:cs="Barlow Semi Condensed" w:eastAsia="Barlow Semi Condensed" w:hAnsi="Barlow Semi Condensed"/>
          <w:b/>
          <w:bCs/>
          <w:sz w:val="24"/>
          <w:szCs w:val="24"/>
        </w:rPr>
        <w:t xml:space="preserve">4758 · L'incontro che non ci fu.</w:t>
      </w:r>
      <w:r>
        <w:rPr>
          <w:rFonts w:ascii="Barlow Semi Condensed" w:cs="Barlow Semi Condensed" w:eastAsia="Barlow Semi Condensed" w:hAnsi="Barlow Semi Condensed"/>
          <w:sz w:val="24"/>
          <w:szCs w:val="24"/>
        </w:rPr>
        <w:t xml:space="preserve"> Un incontro declassato a messaggio: Guevara non vide Malcolm X in privato, gli inviò uno scritto letto in sala il 13 dicembre 1964. Un incontro affermato senza documento resta piano 3. La regola vale integralmente per il nome triangolato: fuori dal memorandum del 25 settembre 1974 e da quello del giorno successivo, nessun colloquio italiano è documentato nel corpus.</w:t>
      </w:r>
    </w:p>
    <w:p>
      <w:pPr>
        <w:spacing w:after="120" w:line="276"/>
        <w:jc w:val="both"/>
      </w:pPr>
      <w:r>
        <w:rPr>
          <w:rFonts w:ascii="Barlow Semi Condensed" w:cs="Barlow Semi Condensed" w:eastAsia="Barlow Semi Condensed" w:hAnsi="Barlow Semi Condensed"/>
          <w:b/>
          <w:bCs/>
          <w:sz w:val="24"/>
          <w:szCs w:val="24"/>
        </w:rPr>
        <w:t xml:space="preserve">4759 · Attribuire alla fonte, e marcare.</w:t>
      </w:r>
      <w:r>
        <w:rPr>
          <w:rFonts w:ascii="Barlow Semi Condensed" w:cs="Barlow Semi Condensed" w:eastAsia="Barlow Semi Condensed" w:hAnsi="Barlow Semi Condensed"/>
          <w:sz w:val="24"/>
          <w:szCs w:val="24"/>
        </w:rPr>
        <w:t xml:space="preserve"> I nodi E-22 ed E-27 mostrano il trattamento minimo di un'affermazione non riscontrata: attribuirla esplicitamente alla sua fonte e marcarla come da riscontrare. Non si espunge e non si promuove. È esattamente lo statuto che l'apparato K-4 assegna alla settima precisazione, dove la circolazione di un'affermazione viene citata come dato di circolazione e non come riscontro del suo contenuto.</w:t>
      </w:r>
    </w:p>
    <w:p>
      <w:pPr>
        <w:spacing w:after="120" w:line="276"/>
        <w:jc w:val="both"/>
      </w:pPr>
      <w:r>
        <w:rPr>
          <w:rFonts w:ascii="Barlow Semi Condensed" w:cs="Barlow Semi Condensed" w:eastAsia="Barlow Semi Condensed" w:hAnsi="Barlow Semi Condensed"/>
          <w:b/>
          <w:bCs/>
          <w:sz w:val="24"/>
          <w:szCs w:val="24"/>
        </w:rPr>
        <w:t xml:space="preserve">4760 · La regola di proporzionalità.</w:t>
      </w:r>
      <w:r>
        <w:rPr>
          <w:rFonts w:ascii="Barlow Semi Condensed" w:cs="Barlow Semi Condensed" w:eastAsia="Barlow Semi Condensed" w:hAnsi="Barlow Semi Condensed"/>
          <w:sz w:val="24"/>
          <w:szCs w:val="24"/>
        </w:rPr>
        <w:t xml:space="preserve"> Che l'ordine delle tappe e alcune soste minori del tour afro-asiatico varino fra le fonti è accettato dal nodo E-23, perché la divergenza non tocca un'affermazione portante. Si spende sulle divergenze ciò che la loro conseguenza merita. Il censimento applica la regola al contrario per la data dell'episodio del 1974, dove la conseguenza è massima e la spesa deve esserlo.</w:t>
      </w:r>
    </w:p>
    <w:p>
      <w:pPr>
        <w:spacing w:after="120" w:line="276"/>
        <w:jc w:val="both"/>
      </w:pPr>
      <w:r>
        <w:rPr>
          <w:rFonts w:ascii="Barlow Semi Condensed" w:cs="Barlow Semi Condensed" w:eastAsia="Barlow Semi Condensed" w:hAnsi="Barlow Semi Condensed"/>
          <w:b/>
          <w:bCs/>
          <w:sz w:val="24"/>
          <w:szCs w:val="24"/>
        </w:rPr>
        <w:t xml:space="preserve">4761 · Dove il corpus si interrompe.</w:t>
      </w:r>
      <w:r>
        <w:rPr>
          <w:rFonts w:ascii="Barlow Semi Condensed" w:cs="Barlow Semi Condensed" w:eastAsia="Barlow Semi Condensed" w:hAnsi="Barlow Semi Condensed"/>
          <w:sz w:val="24"/>
          <w:szCs w:val="24"/>
        </w:rPr>
        <w:t xml:space="preserve"> Il nodo I-8 verbalizza dove il corpus si interrompe: l'offensiva finale del 1958, le cariche di governo, il dibattito economico, il Congo, la Bolivia e la morte del 9 ottobre 1967 non sono coperti. In quelle zone non esistono divergenze da censire, perché non esistono affermazioni. Un'assenza di divergenza dovuta a un'assenza di trattazione non è un accordo fra fonti.</w:t>
      </w:r>
    </w:p>
    <w:p>
      <w:pPr>
        <w:spacing w:after="120" w:line="276"/>
        <w:jc w:val="both"/>
      </w:pPr>
      <w:r>
        <w:rPr>
          <w:rFonts w:ascii="Barlow Semi Condensed" w:cs="Barlow Semi Condensed" w:eastAsia="Barlow Semi Condensed" w:hAnsi="Barlow Semi Condensed"/>
          <w:b/>
          <w:bCs/>
          <w:sz w:val="24"/>
          <w:szCs w:val="24"/>
        </w:rPr>
        <w:t xml:space="preserve">4762 · Le divergenze come strumento.</w:t>
      </w:r>
      <w:r>
        <w:rPr>
          <w:rFonts w:ascii="Barlow Semi Condensed" w:cs="Barlow Semi Condensed" w:eastAsia="Barlow Semi Condensed" w:hAnsi="Barlow Semi Condensed"/>
          <w:sz w:val="24"/>
          <w:szCs w:val="24"/>
        </w:rPr>
        <w:t xml:space="preserve"> Le quattro divergenze strutturali D-1, D-2, D-3 e D-4 non sono difetti da sanare ma strumenti: distinguono due casi che la pubblicistica accosta. La terza è la più utile qui, perché registra che l'ostilità statunitense verso i due uomini aveva radici opposte. Il blocco 472 della prima campagna l'aveva già estratta; il censimento la conferma come anti-triangolazione e non come ponte.</w:t>
      </w:r>
    </w:p>
    <w:p>
      <w:pPr>
        <w:spacing w:after="120" w:line="276"/>
        <w:jc w:val="both"/>
      </w:pPr>
      <w:r>
        <w:rPr>
          <w:rFonts w:ascii="Barlow Semi Condensed" w:cs="Barlow Semi Condensed" w:eastAsia="Barlow Semi Condensed" w:hAnsi="Barlow Semi Condensed"/>
          <w:b/>
          <w:bCs/>
          <w:sz w:val="24"/>
          <w:szCs w:val="24"/>
        </w:rPr>
        <w:t xml:space="preserve">4763 · Sette precisazioni, per nota.</w:t>
      </w:r>
      <w:r>
        <w:rPr>
          <w:rFonts w:ascii="Barlow Semi Condensed" w:cs="Barlow Semi Condensed" w:eastAsia="Barlow Semi Condensed" w:hAnsi="Barlow Semi Condensed"/>
          <w:sz w:val="24"/>
          <w:szCs w:val="24"/>
        </w:rPr>
        <w:t xml:space="preserve"> L'entrata più pesante del censimento è la Nota di revisione n. 2 alle triangolazioni Guevara-Moro: sette precisazioni sul nodo M-5, registrate per nota senza riscrivere il nodo. Il testo originario resta leggibile e la correzione gli si affianca. È la regola editoriale che il censimento adotta per sé: una divergenza non si chiude cancellando dalla pagina uno dei due termini.</w:t>
      </w:r>
    </w:p>
    <w:p>
      <w:pPr>
        <w:spacing w:after="120" w:line="276"/>
        <w:jc w:val="both"/>
      </w:pPr>
      <w:r>
        <w:rPr>
          <w:rFonts w:ascii="Barlow Semi Condensed" w:cs="Barlow Semi Condensed" w:eastAsia="Barlow Semi Condensed" w:hAnsi="Barlow Semi Condensed"/>
          <w:b/>
          <w:bCs/>
          <w:sz w:val="24"/>
          <w:szCs w:val="24"/>
        </w:rPr>
        <w:t xml:space="preserve">4764 · Termini neutri, termini interessati.</w:t>
      </w:r>
      <w:r>
        <w:rPr>
          <w:rFonts w:ascii="Barlow Semi Condensed" w:cs="Barlow Semi Condensed" w:eastAsia="Barlow Semi Condensed" w:hAnsi="Barlow Semi Condensed"/>
          <w:sz w:val="24"/>
          <w:szCs w:val="24"/>
        </w:rPr>
        <w:t xml:space="preserve"> Le otto divergenze della Farnesina hanno due termini neutri fra loro — due archivi, due inventari, due stime. Quella sull'episodio del 1974 no: un termine è la testimonianza de relato, l'altro la smentita dell'interessato. Non si tratta della stessa figura logica, e il censimento le tiene in colonne separate. L'asimmetria si dichiara come dato e non decide in favore di nessuno.</w:t>
      </w:r>
    </w:p>
    <w:p>
      <w:pPr>
        <w:spacing w:after="120" w:line="276"/>
        <w:jc w:val="both"/>
      </w:pPr>
      <w:r>
        <w:rPr>
          <w:rFonts w:ascii="Barlow Semi Condensed" w:cs="Barlow Semi Condensed" w:eastAsia="Barlow Semi Condensed" w:hAnsi="Barlow Semi Condensed"/>
          <w:b/>
          <w:bCs/>
          <w:sz w:val="24"/>
          <w:szCs w:val="24"/>
        </w:rPr>
        <w:t xml:space="preserve">4765 · La divergenza che muta natura.</w:t>
      </w:r>
      <w:r>
        <w:rPr>
          <w:rFonts w:ascii="Barlow Semi Condensed" w:cs="Barlow Semi Condensed" w:eastAsia="Barlow Semi Condensed" w:hAnsi="Barlow Semi Condensed"/>
          <w:sz w:val="24"/>
          <w:szCs w:val="24"/>
        </w:rPr>
        <w:t xml:space="preserve"> Fra tutte le divergenze censite una sola muterebbe la natura giuridica del fatto se venisse sciolta: quella sulla data dell'episodio. Nel 1974 il triangolato era Segretario di Stato; nel 1977, secondo una fonte d'agenzia del 1983, non lo era più. La stessa frase, spostata di tre anni, passa da posizione di governo a opinione privata. Si colloca in testa per conseguenza, non per rumore.</w:t>
      </w:r>
    </w:p>
    <w:p>
      <w:pPr>
        <w:spacing w:after="120" w:line="276"/>
        <w:jc w:val="both"/>
      </w:pPr>
      <w:r>
        <w:rPr>
          <w:rFonts w:ascii="Barlow Semi Condensed" w:cs="Barlow Semi Condensed" w:eastAsia="Barlow Semi Condensed" w:hAnsi="Barlow Semi Condensed"/>
          <w:b/>
          <w:bCs/>
          <w:sz w:val="24"/>
          <w:szCs w:val="24"/>
        </w:rPr>
        <w:t xml:space="preserve">4766 · Quattro sedi per una frase.</w:t>
      </w:r>
      <w:r>
        <w:rPr>
          <w:rFonts w:ascii="Barlow Semi Condensed" w:cs="Barlow Semi Condensed" w:eastAsia="Barlow Semi Condensed" w:hAnsi="Barlow Semi Condensed"/>
          <w:sz w:val="24"/>
          <w:szCs w:val="24"/>
        </w:rPr>
        <w:t xml:space="preserve"> L'episodio è collocato allo Studio Ovale, al Dipartimento di Stato, a una cena ufficiale e all'ambasciata d'Italia a Washington: quattro luoghi per una frase sola. Il documento che ne escluderebbe alcuni è il programma minuto della visita di Stato. Sede: la Gerald R. Ford Presidential Library, carte del cerimoniale e dell'ufficio viaggi, settembre 1974. Nessuna delle quattro versioni porta un atto.</w:t>
      </w:r>
    </w:p>
    <w:p>
      <w:pPr>
        <w:spacing w:after="120" w:line="276"/>
        <w:jc w:val="both"/>
      </w:pPr>
      <w:r>
        <w:rPr>
          <w:rFonts w:ascii="Barlow Semi Condensed" w:cs="Barlow Semi Condensed" w:eastAsia="Barlow Semi Condensed" w:hAnsi="Barlow Semi Condensed"/>
          <w:b/>
          <w:bCs/>
          <w:sz w:val="24"/>
          <w:szCs w:val="24"/>
        </w:rPr>
        <w:t xml:space="preserve">4767 · Dieci o quindici novembre.</w:t>
      </w:r>
      <w:r>
        <w:rPr>
          <w:rFonts w:ascii="Barlow Semi Condensed" w:cs="Barlow Semi Condensed" w:eastAsia="Barlow Semi Condensed" w:hAnsi="Barlow Semi Condensed"/>
          <w:sz w:val="24"/>
          <w:szCs w:val="24"/>
        </w:rPr>
        <w:t xml:space="preserve"> La deposizione di Corrado Guerzoni davanti alla Corte d'assise di Roma è datata al 10 novembre 1982 dalla lettura più ricorrente e al 15 da una fonte; il blocco 697 registra la divergenza come non risolta. Si chiude in un solo luogo, il verbale d'udienza. L'apparato K-5 dichiara che la campagna non ha potuto leggerlo: la sede resta l'archivio giudiziario romano.</w:t>
      </w:r>
    </w:p>
    <w:p>
      <w:pPr>
        <w:spacing w:after="120" w:line="276"/>
        <w:jc w:val="both"/>
      </w:pPr>
      <w:r>
        <w:rPr>
          <w:rFonts w:ascii="Barlow Semi Condensed" w:cs="Barlow Semi Condensed" w:eastAsia="Barlow Semi Condensed" w:hAnsi="Barlow Semi Condensed"/>
          <w:b/>
          <w:bCs/>
          <w:sz w:val="24"/>
          <w:szCs w:val="24"/>
        </w:rPr>
        <w:t xml:space="preserve">4768 · Il primo agosto letto undici.</w:t>
      </w:r>
      <w:r>
        <w:rPr>
          <w:rFonts w:ascii="Barlow Semi Condensed" w:cs="Barlow Semi Condensed" w:eastAsia="Barlow Semi Condensed" w:hAnsi="Barlow Semi Condensed"/>
          <w:sz w:val="24"/>
          <w:szCs w:val="24"/>
        </w:rPr>
        <w:t xml:space="preserve"> L'audizione della vedova davanti alla Commissione d'inchiesta è del 1° agosto 1980; una fonte indica l'11, verosimilmente per lettura errata del simbolo di primo. È il caso in cui una divergenza è un artefatto tipografico e non un contrasto fra testimonianze. Il censimento lo segnala perché il blocco 306 del manuale prevedeva questa specie esatta: la lettura automatica che sbaglia un carattere.</w:t>
      </w:r>
    </w:p>
    <w:p>
      <w:pPr>
        <w:spacing w:after="120" w:line="276"/>
        <w:jc w:val="both"/>
      </w:pPr>
      <w:r>
        <w:rPr>
          <w:rFonts w:ascii="Barlow Semi Condensed" w:cs="Barlow Semi Condensed" w:eastAsia="Barlow Semi Condensed" w:hAnsi="Barlow Semi Condensed"/>
          <w:b/>
          <w:bCs/>
          <w:sz w:val="24"/>
          <w:szCs w:val="24"/>
        </w:rPr>
        <w:t xml:space="preserve">4769 · Due giorni di finestra.</w:t>
      </w:r>
      <w:r>
        <w:rPr>
          <w:rFonts w:ascii="Barlow Semi Condensed" w:cs="Barlow Semi Condensed" w:eastAsia="Barlow Semi Condensed" w:hAnsi="Barlow Semi Condensed"/>
          <w:sz w:val="24"/>
          <w:szCs w:val="24"/>
        </w:rPr>
        <w:t xml:space="preserve"> Il comunicato congiunto pubblicato negli atti presidenziali data la visita di Stato dal 25 al 29 settembre 1974; la nota editoriale del volume FRUS dal 25 al 27. La divergenza è di due giorni e ha una conseguenza misurabile: restringe o allarga la finestra entro cui un colloquio a margine sarebbe stato materialmente possibile. Si chiude sul programma ufficiale conservato alla Ford Library.</w:t>
      </w:r>
    </w:p>
    <w:p>
      <w:pPr>
        <w:spacing w:after="120" w:line="276"/>
        <w:jc w:val="both"/>
      </w:pPr>
      <w:r>
        <w:rPr>
          <w:rFonts w:ascii="Barlow Semi Condensed" w:cs="Barlow Semi Condensed" w:eastAsia="Barlow Semi Condensed" w:hAnsi="Barlow Semi Condensed"/>
          <w:b/>
          <w:bCs/>
          <w:sz w:val="24"/>
          <w:szCs w:val="24"/>
        </w:rPr>
        <w:t xml:space="preserve">4770 · Il file non letto.</w:t>
      </w:r>
      <w:r>
        <w:rPr>
          <w:rFonts w:ascii="Barlow Semi Condensed" w:cs="Barlow Semi Condensed" w:eastAsia="Barlow Semi Condensed" w:hAnsi="Barlow Semi Condensed"/>
          <w:sz w:val="24"/>
          <w:szCs w:val="24"/>
        </w:rPr>
        <w:t xml:space="preserve"> Del secondo memorandum del 26 settembre 1974, file 1552806 della Ford Library, l'apparato K-3 dice che gli estratti reperiti sono parziali e non del tutto concordi. Non è ancora una divergenza censibile: è un documento non letto. Si chiude richiedendo il file integrale alla serie National Security Adviser's Memoranda of Conversation della medesima biblioteca presidenziale.</w:t>
      </w:r>
    </w:p>
    <w:p>
      <w:pPr>
        <w:spacing w:after="120" w:line="276"/>
        <w:jc w:val="both"/>
      </w:pPr>
      <w:r>
        <w:rPr>
          <w:rFonts w:ascii="Barlow Semi Condensed" w:cs="Barlow Semi Condensed" w:eastAsia="Barlow Semi Condensed" w:hAnsi="Barlow Semi Condensed"/>
          <w:b/>
          <w:bCs/>
          <w:sz w:val="24"/>
          <w:szCs w:val="24"/>
        </w:rPr>
        <w:t xml:space="preserve">4771 · Ventidue contro ventitré settembre.</w:t>
      </w:r>
      <w:r>
        <w:rPr>
          <w:rFonts w:ascii="Barlow Semi Condensed" w:cs="Barlow Semi Condensed" w:eastAsia="Barlow Semi Condensed" w:hAnsi="Barlow Semi Condensed"/>
          <w:sz w:val="24"/>
          <w:szCs w:val="24"/>
        </w:rPr>
        <w:t xml:space="preserve"> L'apparato K-2 registra che alcune fonti secondarie datano al 23 settembre 1973 l'inizio dell'incarico di Segretario di Stato, mentre la fonte istituzionale indica il 22, con nomina del 21. Prevale la seconda. È l'unica divergenza sul nome triangolato che il corpus chiude, e la chiude per gerarchia di fonte: la stessa meccanica, sul riconoscimento della Repubblica Democratica Tedesca, ha invece lasciato aperto.</w:t>
      </w:r>
    </w:p>
    <w:p>
      <w:pPr>
        <w:spacing w:after="120" w:line="276"/>
        <w:jc w:val="both"/>
      </w:pPr>
      <w:r>
        <w:rPr>
          <w:rFonts w:ascii="Barlow Semi Condensed" w:cs="Barlow Semi Condensed" w:eastAsia="Barlow Semi Condensed" w:hAnsi="Barlow Semi Condensed"/>
          <w:b/>
          <w:bCs/>
          <w:sz w:val="24"/>
          <w:szCs w:val="24"/>
        </w:rPr>
        <w:t xml:space="preserve">4772 · Il fascicolo contro le enciclopedie.</w:t>
      </w:r>
      <w:r>
        <w:rPr>
          <w:rFonts w:ascii="Barlow Semi Condensed" w:cs="Barlow Semi Condensed" w:eastAsia="Barlow Semi Condensed" w:hAnsi="Barlow Semi Condensed"/>
          <w:sz w:val="24"/>
          <w:szCs w:val="24"/>
        </w:rPr>
        <w:t xml:space="preserve"> La divergenza sull'anglicizzazione da Heinz a Henry è l'unica del corpus in cui un documento sta contro le opere di consultazione: queste la collocano genericamente nel 1938 senza citare atti, il fascicolo d'immigrazione la colloca intorno al 1942-1943, con naturalizzazione il 19 giugno 1943. Il corpus non la scioglie. Sede: il programma di genealogia dell'agenzia statunitense per l'immigrazione e i registri di naturalizzazione.</w:t>
      </w:r>
    </w:p>
    <w:p>
      <w:pPr>
        <w:spacing w:after="120" w:line="276"/>
        <w:jc w:val="both"/>
      </w:pPr>
      <w:r>
        <w:rPr>
          <w:rFonts w:ascii="Barlow Semi Condensed" w:cs="Barlow Semi Condensed" w:eastAsia="Barlow Semi Condensed" w:hAnsi="Barlow Semi Condensed"/>
          <w:b/>
          <w:bCs/>
          <w:sz w:val="24"/>
          <w:szCs w:val="24"/>
        </w:rPr>
        <w:t xml:space="preserve">4773 · Contare per origine, non per occorrenza.</w:t>
      </w:r>
      <w:r>
        <w:rPr>
          <w:rFonts w:ascii="Barlow Semi Condensed" w:cs="Barlow Semi Condensed" w:eastAsia="Barlow Semi Condensed" w:hAnsi="Barlow Semi Condensed"/>
          <w:sz w:val="24"/>
          <w:szCs w:val="24"/>
        </w:rPr>
        <w:t xml:space="preserve"> La settima precisazione dell'apparato K-4 accerta che le decine di riprese pressoché identiche dell'episodio risalgono a un unico lancio d'agenzia del 30 novembre 2023. Non sono fonti divergenti né convergenti: sono la stessa fonte. Regola aritmetica del censimento: le fonti si contano per origine e non per occorrenza, e una replicazione non aggiunge un termine al contraddittorio.</w:t>
      </w:r>
    </w:p>
    <w:p>
      <w:pPr>
        <w:spacing w:after="120" w:line="276"/>
        <w:jc w:val="both"/>
      </w:pPr>
      <w:r>
        <w:rPr>
          <w:rFonts w:ascii="Barlow Semi Condensed" w:cs="Barlow Semi Condensed" w:eastAsia="Barlow Semi Condensed" w:hAnsi="Barlow Semi Condensed"/>
          <w:b/>
          <w:bCs/>
          <w:sz w:val="24"/>
          <w:szCs w:val="24"/>
        </w:rPr>
        <w:t xml:space="preserve">4774 · L'aritmetica del censimento.</w:t>
      </w:r>
      <w:r>
        <w:rPr>
          <w:rFonts w:ascii="Barlow Semi Condensed" w:cs="Barlow Semi Condensed" w:eastAsia="Barlow Semi Condensed" w:hAnsi="Barlow Semi Condensed"/>
          <w:sz w:val="24"/>
          <w:szCs w:val="24"/>
        </w:rPr>
        <w:t xml:space="preserve"> Bilancio numerico, dichiarato. Le divergenze che il corpus riporta e che toccano il nome triangolato sono sette, tutte raccolte nell'apparato K: anagrafe, incarico, durata della visita, data della deposizione, data dell'audizione, collocazione dell'episodio, secondo verbale. Tutte le altre — le otto della Farnesina, quelle guevariane, quelle del Tribunale Speciale, quelle peritali di via Fani — non lo incontrano mai.</w:t>
      </w:r>
    </w:p>
    <w:p>
      <w:pPr>
        <w:spacing w:after="120" w:line="276"/>
        <w:jc w:val="both"/>
      </w:pPr>
      <w:r>
        <w:rPr>
          <w:rFonts w:ascii="Barlow Semi Condensed" w:cs="Barlow Semi Condensed" w:eastAsia="Barlow Semi Condensed" w:hAnsi="Barlow Semi Condensed"/>
          <w:b/>
          <w:bCs/>
          <w:sz w:val="24"/>
          <w:szCs w:val="24"/>
        </w:rPr>
        <w:t xml:space="preserve">4775 · Che cosa smentirebbe la serie (serie LXII).</w:t>
      </w:r>
      <w:r>
        <w:rPr>
          <w:rFonts w:ascii="Barlow Semi Condensed" w:cs="Barlow Semi Condensed" w:eastAsia="Barlow Semi Condensed" w:hAnsi="Barlow Semi Condensed"/>
          <w:sz w:val="24"/>
          <w:szCs w:val="24"/>
        </w:rPr>
        <w:t xml:space="preserve"> Bersaglio di smentita per l'intera serie. Basterebbe un solo documento del corpus che registri due versioni in contrasto su un atto compiuto dal triangolato in Italia — un colloquio verbalizzato, una nota di protocollo, un telegramma — perché il censimento risultasse incompleto. La ricerca è stata condotta su tutti i file del branch e ha dato esito negativo. L'esito si dichiara con la propria data.</w:t>
      </w:r>
    </w:p>
    <w:p>
      <w:pPr>
        <w:spacing w:after="120" w:line="276"/>
        <w:jc w:val="both"/>
      </w:pPr>
      <w:r>
        <w:rPr>
          <w:rFonts w:ascii="Barlow Semi Condensed" w:cs="Barlow Semi Condensed" w:eastAsia="Barlow Semi Condensed" w:hAnsi="Barlow Semi Condensed"/>
          <w:b/>
          <w:bCs/>
          <w:sz w:val="24"/>
          <w:szCs w:val="24"/>
        </w:rPr>
        <w:t xml:space="preserve">4776 · Una divergenza non è un indizio.</w:t>
      </w:r>
      <w:r>
        <w:rPr>
          <w:rFonts w:ascii="Barlow Semi Condensed" w:cs="Barlow Semi Condensed" w:eastAsia="Barlow Semi Condensed" w:hAnsi="Barlow Semi Condensed"/>
          <w:sz w:val="24"/>
          <w:szCs w:val="24"/>
        </w:rPr>
        <w:t xml:space="preserve"> Due fonti che dissentono su una data non creano un fatto nuovo: creano una domanda d'archivio. Il blocco 15 del manuale lo dice per le perizie, il blocco 306 per le letture automatiche, il capitolo III della seconda campagna per gli inventari. Chi legge una divergenza come indizio di occultamento compie il salto che la Parte terza chiama, senza indulgenza, il gesto del pollo.</w:t>
      </w:r>
    </w:p>
    <w:p>
      <w:pPr>
        <w:spacing w:after="120" w:line="276"/>
        <w:jc w:val="both"/>
      </w:pPr>
      <w:r>
        <w:rPr>
          <w:rFonts w:ascii="Barlow Semi Condensed" w:cs="Barlow Semi Condensed" w:eastAsia="Barlow Semi Condensed" w:hAnsi="Barlow Semi Condensed"/>
          <w:b/>
          <w:bCs/>
          <w:sz w:val="24"/>
          <w:szCs w:val="24"/>
        </w:rPr>
        <w:t xml:space="preserve">4777 · Un fatto, oppure una sede.</w:t>
      </w:r>
      <w:r>
        <w:rPr>
          <w:rFonts w:ascii="Barlow Semi Condensed" w:cs="Barlow Semi Condensed" w:eastAsia="Barlow Semi Condensed" w:hAnsi="Barlow Semi Condensed"/>
          <w:sz w:val="24"/>
          <w:szCs w:val="24"/>
        </w:rPr>
        <w:t xml:space="preserve"> Simmetria da fissare. Una divergenza chiusa produce un fatto: il 26 giugno 1972, il 6 settembre 1978, il 18 settembre 1973. Una divergenza aperta produce una sede: Basilea, il Politisches Archiv, il fascicolo della rivista. Entrambe sono acquisizioni di pieno valore, e il censimento non preferisce le prime. Ciò che non produce nulla è soltanto la divergenza taciuta.</w:t>
      </w:r>
    </w:p>
    <w:p>
      <w:pPr>
        <w:spacing w:after="120" w:line="276"/>
        <w:jc w:val="both"/>
      </w:pPr>
      <w:r>
        <w:rPr>
          <w:rFonts w:ascii="Barlow Semi Condensed" w:cs="Barlow Semi Condensed" w:eastAsia="Barlow Semi Condensed" w:hAnsi="Barlow Semi Condensed"/>
          <w:b/>
          <w:bCs/>
          <w:sz w:val="24"/>
          <w:szCs w:val="24"/>
        </w:rPr>
        <w:t xml:space="preserve">4778 · Cinque colonne, una riga ciascuna.</w:t>
      </w:r>
      <w:r>
        <w:rPr>
          <w:rFonts w:ascii="Barlow Semi Condensed" w:cs="Barlow Semi Condensed" w:eastAsia="Barlow Semi Condensed" w:hAnsi="Barlow Semi Condensed"/>
          <w:sz w:val="24"/>
          <w:szCs w:val="24"/>
        </w:rPr>
        <w:t xml:space="preserve"> Atto editoriale proposto, con la sua forma. Una tavola unica del corpus, una riga per divergenza, cinque colonne: oggetto, versioni con la provenienza di ciascuna, sede che la chiuderebbe, stato — aperta, chiusa, allargata, dissolta — e presenza o assenza del nome triangolato. Le fonti esistono già tutte dentro il branch. Manca la tavola, e la sua assenza è essa stessa una lacuna verbalizzabile.</w:t>
      </w:r>
    </w:p>
    <w:p>
      <w:pPr>
        <w:spacing w:after="120" w:line="276"/>
        <w:jc w:val="both"/>
      </w:pPr>
      <w:r>
        <w:rPr>
          <w:rFonts w:ascii="Barlow Semi Condensed" w:cs="Barlow Semi Condensed" w:eastAsia="Barlow Semi Condensed" w:hAnsi="Barlow Semi Condensed"/>
          <w:b/>
          <w:bCs/>
          <w:sz w:val="24"/>
          <w:szCs w:val="24"/>
        </w:rPr>
        <w:t xml:space="preserve">4779 · L'assenza di divergenza.</w:t>
      </w:r>
      <w:r>
        <w:rPr>
          <w:rFonts w:ascii="Barlow Semi Condensed" w:cs="Barlow Semi Condensed" w:eastAsia="Barlow Semi Condensed" w:hAnsi="Barlow Semi Condensed"/>
          <w:sz w:val="24"/>
          <w:szCs w:val="24"/>
        </w:rPr>
        <w:t xml:space="preserve"> Acquisizione finale, e va detta esattamente. Il corpus non riporta alcuna divergenza su un contatto fra il nome triangolato e i tredici condannati, il ceppo Simioni, la scuola Hyperion o Giangiacomo Feltrinelli: perché non riporta alcun contatto. Dove non c'è affermazione non può esserci contrasto fra fonti. L'assenza di divergenza misura l'assenza di documentazione, e non l'accordo delle fonti.</w:t>
      </w:r>
    </w:p>
    <w:p>
      <w:pPr>
        <w:spacing w:after="120" w:line="276"/>
        <w:jc w:val="both"/>
      </w:pPr>
      <w:r>
        <w:rPr>
          <w:rFonts w:ascii="Barlow Semi Condensed" w:cs="Barlow Semi Condensed" w:eastAsia="Barlow Semi Condensed" w:hAnsi="Barlow Semi Condensed"/>
          <w:b/>
          <w:bCs/>
          <w:sz w:val="24"/>
          <w:szCs w:val="24"/>
        </w:rPr>
        <w:t xml:space="preserve">4780 · Che cosa non è stabilito (serie LXII).</w:t>
      </w:r>
      <w:r>
        <w:rPr>
          <w:rFonts w:ascii="Barlow Semi Condensed" w:cs="Barlow Semi Condensed" w:eastAsia="Barlow Semi Condensed" w:hAnsi="Barlow Semi Condensed"/>
          <w:sz w:val="24"/>
          <w:szCs w:val="24"/>
        </w:rPr>
        <w:t xml:space="preserve"> Non è stabilito che il corpus taccia per scelta: tace perché le sue fonti non producono quel nome. Non è stabilito che le divergenze censite siano fra loro connesse: appartengono a domini diversi e a epoche diverse. Non è stabilito che il loro numero significhi qualcosa. Un censimento produce una tavola e un elenco di sedi, non una tesi.</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Serie sessantatreesima — I ponti di piano 1, censiti</w:t>
      </w:r>
    </w:p>
    <w:p>
      <w:pPr>
        <w:spacing w:after="120" w:line="276"/>
        <w:jc w:val="both"/>
      </w:pPr>
      <w:r>
        <w:rPr>
          <w:rFonts w:ascii="Barlow Semi Condensed" w:cs="Barlow Semi Condensed" w:eastAsia="Barlow Semi Condensed" w:hAnsi="Barlow Semi Condensed"/>
          <w:i/>
          <w:iCs/>
          <w:sz w:val="24"/>
          <w:szCs w:val="24"/>
        </w:rPr>
        <w:t xml:space="preserve">Blocchi 4781-4855.</w:t>
      </w:r>
    </w:p>
    <w:p>
      <w:pPr>
        <w:spacing w:after="120" w:line="276"/>
        <w:jc w:val="both"/>
      </w:pPr>
      <w:r>
        <w:rPr>
          <w:rFonts w:ascii="Barlow Semi Condensed" w:cs="Barlow Semi Condensed" w:eastAsia="Barlow Semi Condensed" w:hAnsi="Barlow Semi Condensed"/>
          <w:b/>
          <w:bCs/>
          <w:sz w:val="24"/>
          <w:szCs w:val="24"/>
        </w:rPr>
        <w:t xml:space="preserve">4781 · Che cosa questa serie censisce.</w:t>
      </w:r>
      <w:r>
        <w:rPr>
          <w:rFonts w:ascii="Barlow Semi Condensed" w:cs="Barlow Semi Condensed" w:eastAsia="Barlow Semi Condensed" w:hAnsi="Barlow Semi Condensed"/>
          <w:sz w:val="24"/>
          <w:szCs w:val="24"/>
        </w:rPr>
        <w:t xml:space="preserve"> Il territorio assegnato è l'intero corpus, e l'oggetto è uno solo: dove esista un rapporto diretto documentato. Si conta ciò che un documento con segnatura attesta nominando entrambe le parti, secondo la regola fissata al blocco 22 dell'opera kissinger-mille-blocchi-il-codice-e-la-sua-trasmissione. Tutto il resto — somiglianza di cornice, simultaneità, ripetizione pubblicistica — è registrato altrove e non entra qui. Il censimento è un elenco chiuso, non una rassegna.</w:t>
      </w:r>
    </w:p>
    <w:p>
      <w:pPr>
        <w:spacing w:after="120" w:line="276"/>
        <w:jc w:val="both"/>
      </w:pPr>
      <w:r>
        <w:rPr>
          <w:rFonts w:ascii="Barlow Semi Condensed" w:cs="Barlow Semi Condensed" w:eastAsia="Barlow Semi Condensed" w:hAnsi="Barlow Semi Condensed"/>
          <w:b/>
          <w:bCs/>
          <w:sz w:val="24"/>
          <w:szCs w:val="24"/>
        </w:rPr>
        <w:t xml:space="preserve">4782 · La stringa, ricontata file per file.</w:t>
      </w:r>
      <w:r>
        <w:rPr>
          <w:rFonts w:ascii="Barlow Semi Condensed" w:cs="Barlow Semi Condensed" w:eastAsia="Barlow Semi Condensed" w:hAnsi="Barlow Semi Condensed"/>
          <w:sz w:val="24"/>
          <w:szCs w:val="24"/>
        </w:rPr>
        <w:t xml:space="preserve"> La ricerca meccanica su tutto il branch restituisce sedici file che recano il nome, e il conteggio per riga li ordina: centodiciassette all'opera dedicata, sette a volume.html della cartella Farnesina, cinque a triangolazioni-guevara-moro, tre a dal-che-a-moro e all'INDICE-DOCUMENTI-BRANCH, due a note-bibliografiche, turchia-opus-dei, Parte terza e GUIDA-ALLA-LETTURA, una sola a sette file. È la base di partenza, e va rifatta a ogni versamento.</w:t>
      </w:r>
    </w:p>
    <w:p>
      <w:pPr>
        <w:spacing w:after="120" w:line="276"/>
        <w:jc w:val="both"/>
      </w:pPr>
      <w:r>
        <w:rPr>
          <w:rFonts w:ascii="Barlow Semi Condensed" w:cs="Barlow Semi Condensed" w:eastAsia="Barlow Semi Condensed" w:hAnsi="Barlow Semi Condensed"/>
          <w:b/>
          <w:bCs/>
          <w:sz w:val="24"/>
          <w:szCs w:val="24"/>
        </w:rPr>
        <w:t xml:space="preserve">4783 · Un'occorrenza non è un arco.</w:t>
      </w:r>
      <w:r>
        <w:rPr>
          <w:rFonts w:ascii="Barlow Semi Condensed" w:cs="Barlow Semi Condensed" w:eastAsia="Barlow Semi Condensed" w:hAnsi="Barlow Semi Condensed"/>
          <w:sz w:val="24"/>
          <w:szCs w:val="24"/>
        </w:rPr>
        <w:t xml:space="preserve"> La distinzione va posta prima di leggere l'elenco. Molte occorrenze sono descrizioni di catalogo, rinvii interni, titoli di volume rilegato: nominano senza attestare alcun rapporto. Un arco richiede altro, cioè un documento di provenienza che nomini la controparte, secondo il test enunciato nella sezione «Che cosa quest'opera non ha stabilito». Chi conta le occorrenze e chiama il risultato rete ha già falsato la misura.</w:t>
      </w:r>
    </w:p>
    <w:p>
      <w:pPr>
        <w:spacing w:after="120" w:line="276"/>
        <w:jc w:val="both"/>
      </w:pPr>
      <w:r>
        <w:rPr>
          <w:rFonts w:ascii="Barlow Semi Condensed" w:cs="Barlow Semi Condensed" w:eastAsia="Barlow Semi Condensed" w:hAnsi="Barlow Semi Condensed"/>
          <w:b/>
          <w:bCs/>
          <w:sz w:val="24"/>
          <w:szCs w:val="24"/>
        </w:rPr>
        <w:t xml:space="preserve">4784 · I sei documenti che lo nominano.</w:t>
      </w:r>
      <w:r>
        <w:rPr>
          <w:rFonts w:ascii="Barlow Semi Condensed" w:cs="Barlow Semi Condensed" w:eastAsia="Barlow Semi Condensed" w:hAnsi="Barlow Semi Condensed"/>
          <w:sz w:val="24"/>
          <w:szCs w:val="24"/>
        </w:rPr>
        <w:t xml:space="preserve"> Fuori dall'opera dedicata, il corpus cita con segnatura sei documenti in cui il nome compare come partecipante o come autore: i due memorandum di conversazione del 25 e del 26 settembre 1974 della Ford Library, il verbale del Comitato dei 303 dell'11 marzo 1969, la valutazione su Lisbona del volume E-15, il telegramma su Helsinki del 2 agosto 1975, il memorandum a Ford sull'oppio anatolico.</w:t>
      </w:r>
    </w:p>
    <w:p>
      <w:pPr>
        <w:spacing w:after="120" w:line="276"/>
        <w:jc w:val="both"/>
      </w:pPr>
      <w:r>
        <w:rPr>
          <w:rFonts w:ascii="Barlow Semi Condensed" w:cs="Barlow Semi Condensed" w:eastAsia="Barlow Semi Condensed" w:hAnsi="Barlow Semi Condensed"/>
          <w:b/>
          <w:bCs/>
          <w:sz w:val="24"/>
          <w:szCs w:val="24"/>
        </w:rPr>
        <w:t xml:space="preserve">4785 · Due soli toccano Aldo Moro.</w:t>
      </w:r>
      <w:r>
        <w:rPr>
          <w:rFonts w:ascii="Barlow Semi Condensed" w:cs="Barlow Semi Condensed" w:eastAsia="Barlow Semi Condensed" w:hAnsi="Barlow Semi Condensed"/>
          <w:sz w:val="24"/>
          <w:szCs w:val="24"/>
        </w:rPr>
        <w:t xml:space="preserve"> Dei sei, quattro appartengono a dossier che Moro non attraversa: l'Italia del 1969, il Portogallo del 1975, la cerimonia finlandese vista da Washington, la questione degli oppiacei di Ankara. Restano i due verbali del settembre 1974, ed è tutto il piano 1 fra i due nomi che il corpus possiede. Il Capitolo IV della ricognizione-madre lo dice senza attenuazioni, e il censimento lo conferma.</w:t>
      </w:r>
    </w:p>
    <w:p>
      <w:pPr>
        <w:spacing w:after="120" w:line="276"/>
        <w:jc w:val="both"/>
      </w:pPr>
      <w:r>
        <w:rPr>
          <w:rFonts w:ascii="Barlow Semi Condensed" w:cs="Barlow Semi Condensed" w:eastAsia="Barlow Semi Condensed" w:hAnsi="Barlow Semi Condensed"/>
          <w:b/>
          <w:bCs/>
          <w:sz w:val="24"/>
          <w:szCs w:val="24"/>
        </w:rPr>
        <w:t xml:space="preserve">4786 · Il limite dichiarato pesa qui.</w:t>
      </w:r>
      <w:r>
        <w:rPr>
          <w:rFonts w:ascii="Barlow Semi Condensed" w:cs="Barlow Semi Condensed" w:eastAsia="Barlow Semi Condensed" w:hAnsi="Barlow Semi Condensed"/>
          <w:sz w:val="24"/>
          <w:szCs w:val="24"/>
        </w:rPr>
        <w:t xml:space="preserve"> L'apparato K-5 dell'opera dedicata verbalizza che la campagna non poté leggere i documenti primari, essendo l'accesso bloccato dal proxy di rete. Ne discende che ciascuna delle sei voci è, allo stato, una citazione verificata su sintesi. Il primo bersaglio della serie è dunque un verbale di collazione: sei documenti, sei riscontri sul testo edito dall'Office of the Historian e sulle scansioni della Gerald R. Ford Presidential Library.</w:t>
      </w:r>
    </w:p>
    <w:p>
      <w:pPr>
        <w:spacing w:after="120" w:line="276"/>
        <w:jc w:val="both"/>
      </w:pPr>
      <w:r>
        <w:rPr>
          <w:rFonts w:ascii="Barlow Semi Condensed" w:cs="Barlow Semi Condensed" w:eastAsia="Barlow Semi Condensed" w:hAnsi="Barlow Semi Condensed"/>
          <w:b/>
          <w:bCs/>
          <w:sz w:val="24"/>
          <w:szCs w:val="24"/>
        </w:rPr>
        <w:t xml:space="preserve">4787 · Ford Library 1552802, l'unico arco.</w:t>
      </w:r>
      <w:r>
        <w:rPr>
          <w:rFonts w:ascii="Barlow Semi Condensed" w:cs="Barlow Semi Condensed" w:eastAsia="Barlow Semi Condensed" w:hAnsi="Barlow Semi Condensed"/>
          <w:sz w:val="24"/>
          <w:szCs w:val="24"/>
        </w:rPr>
        <w:t xml:space="preserve"> Il memorandum di conversazione dello Studio Ovale del 25 settembre 1974 — Leone, Moro, Ford, Kissinger, Scowcroft — è il file 1552802 della Ford Library ed è il documento 350 del volume FRUS 1969-1976 E-15 parte 2, seconda edizione riveduta. Grado A. È l'unico atto del corpus in cui i due nomi stanno nello stesso verbale, ed è ciò che il censimento chiama un ponte.</w:t>
      </w:r>
    </w:p>
    <w:p>
      <w:pPr>
        <w:spacing w:after="120" w:line="276"/>
        <w:jc w:val="both"/>
      </w:pPr>
      <w:r>
        <w:rPr>
          <w:rFonts w:ascii="Barlow Semi Condensed" w:cs="Barlow Semi Condensed" w:eastAsia="Barlow Semi Condensed" w:hAnsi="Barlow Semi Condensed"/>
          <w:b/>
          <w:bCs/>
          <w:sz w:val="24"/>
          <w:szCs w:val="24"/>
        </w:rPr>
        <w:t xml:space="preserve">4788 · La seconda edizione riveduta, da collazionare (serie LXIII).</w:t>
      </w:r>
      <w:r>
        <w:rPr>
          <w:rFonts w:ascii="Barlow Semi Condensed" w:cs="Barlow Semi Condensed" w:eastAsia="Barlow Semi Condensed" w:hAnsi="Barlow Semi Condensed"/>
          <w:sz w:val="24"/>
          <w:szCs w:val="24"/>
        </w:rPr>
        <w:t xml:space="preserve"> La citazione corretta reca la specificazione di edizione, e l'apparato K-3 chiede di conservarla. Una revisione editoriale può aggiungere note, mutare l'apparato critico, correggere una trascrizione. Il bersaglio è la collazione fra prima e seconda edizione del documento 350: che cosa è cambiato, in quale punto, su quale base. Finché la collazione manca, chi cita l'una per l'altra sta citando due testi possibilmente diversi.</w:t>
      </w:r>
    </w:p>
    <w:p>
      <w:pPr>
        <w:spacing w:after="120" w:line="276"/>
        <w:jc w:val="both"/>
      </w:pPr>
      <w:r>
        <w:rPr>
          <w:rFonts w:ascii="Barlow Semi Condensed" w:cs="Barlow Semi Condensed" w:eastAsia="Barlow Semi Condensed" w:hAnsi="Barlow Semi Condensed"/>
          <w:b/>
          <w:bCs/>
          <w:sz w:val="24"/>
          <w:szCs w:val="24"/>
        </w:rPr>
        <w:t xml:space="preserve">4789 · Il verbale del 26 settembre (serie LXIII).</w:t>
      </w:r>
      <w:r>
        <w:rPr>
          <w:rFonts w:ascii="Barlow Semi Condensed" w:cs="Barlow Semi Condensed" w:eastAsia="Barlow Semi Condensed" w:hAnsi="Barlow Semi Condensed"/>
          <w:sz w:val="24"/>
          <w:szCs w:val="24"/>
        </w:rPr>
        <w:t xml:space="preserve"> Il secondo colloquio ha segnatura propria, il file 1552806, ed è registrato dalla ricognizione-madre come parimenti disponibile; l'apparato K-3 aggiunge però che gli estratti reperiti sono parziali e non del tutto concordi. Nessun documento del corpus ne trascrive il contenuto. È Stato Zero, e la sede che lo chiude è una sola: i National Security Adviser's Memoranda of Conversation della Ford Library, ad Ann Arbor.</w:t>
      </w:r>
    </w:p>
    <w:p>
      <w:pPr>
        <w:spacing w:after="120" w:line="276"/>
        <w:jc w:val="both"/>
      </w:pPr>
      <w:r>
        <w:rPr>
          <w:rFonts w:ascii="Barlow Semi Condensed" w:cs="Barlow Semi Condensed" w:eastAsia="Barlow Semi Condensed" w:hAnsi="Barlow Semi Condensed"/>
          <w:b/>
          <w:bCs/>
          <w:sz w:val="24"/>
          <w:szCs w:val="24"/>
        </w:rPr>
        <w:t xml:space="preserve">4790 · La via d'accesso è una copia.</w:t>
      </w:r>
      <w:r>
        <w:rPr>
          <w:rFonts w:ascii="Barlow Semi Condensed" w:cs="Barlow Semi Condensed" w:eastAsia="Barlow Semi Condensed" w:hAnsi="Barlow Semi Condensed"/>
          <w:sz w:val="24"/>
          <w:szCs w:val="24"/>
        </w:rPr>
        <w:t xml:space="preserve"> Per il file 1552802 la ricognizione-madre e volume.html rinviano a una riproduzione su Internet Archive. È un derivato: scansione, riconoscimento ottico, ripubblicazione. La regola della replicazione, enunciata al blocco 25 dell'opera dedicata, impone di dichiarare la catena di copia. Il bersaglio è il confronto fra quella riproduzione e l'originale conservato dalla biblioteca presidenziale, con verbale delle divergenze eventualmente riscontrate.</w:t>
      </w:r>
    </w:p>
    <w:p>
      <w:pPr>
        <w:spacing w:after="120" w:line="276"/>
        <w:jc w:val="both"/>
      </w:pPr>
      <w:r>
        <w:rPr>
          <w:rFonts w:ascii="Barlow Semi Condensed" w:cs="Barlow Semi Condensed" w:eastAsia="Barlow Semi Condensed" w:hAnsi="Barlow Semi Condensed"/>
          <w:b/>
          <w:bCs/>
          <w:sz w:val="24"/>
          <w:szCs w:val="24"/>
        </w:rPr>
        <w:t xml:space="preserve">4791 · Ciò che il verbale attesta.</w:t>
      </w:r>
      <w:r>
        <w:rPr>
          <w:rFonts w:ascii="Barlow Semi Condensed" w:cs="Barlow Semi Condensed" w:eastAsia="Barlow Semi Condensed" w:hAnsi="Barlow Semi Condensed"/>
          <w:sz w:val="24"/>
          <w:szCs w:val="24"/>
        </w:rPr>
        <w:t xml:space="preserve"> Vi è documentata la posizione secondo cui non si sarebbero potute scambiare informazioni militari con un governo comprendente i comunisti, col precedente portoghese richiamato, e il rilievo che un partito comunista responsabile sarebbe alla lunga più pericoloso di uno irresponsabile. Non vi compare alcun ultimatum personale. La regola di lettura è quella dell'apparato K-3: documento e testimonianza contestata sono due piani, e non si sovrappongono mai.</w:t>
      </w:r>
    </w:p>
    <w:p>
      <w:pPr>
        <w:spacing w:after="120" w:line="276"/>
        <w:jc w:val="both"/>
      </w:pPr>
      <w:r>
        <w:rPr>
          <w:rFonts w:ascii="Barlow Semi Condensed" w:cs="Barlow Semi Condensed" w:eastAsia="Barlow Semi Condensed" w:hAnsi="Barlow Semi Condensed"/>
          <w:b/>
          <w:bCs/>
          <w:sz w:val="24"/>
          <w:szCs w:val="24"/>
        </w:rPr>
        <w:t xml:space="preserve">4792 · Le date della visita divergono (serie LXIII).</w:t>
      </w:r>
      <w:r>
        <w:rPr>
          <w:rFonts w:ascii="Barlow Semi Condensed" w:cs="Barlow Semi Condensed" w:eastAsia="Barlow Semi Condensed" w:hAnsi="Barlow Semi Condensed"/>
          <w:sz w:val="24"/>
          <w:szCs w:val="24"/>
        </w:rPr>
        <w:t xml:space="preserve"> Gli atti presidenziali collocano la visita di Stato fra il 25 e il 29 settembre 1974; la nota editoriale del volume FRUS la chiude al 27. La divergenza si riporta e non si sceglie in silenzio, secondo la sesta regola del metodo. La sede che la scioglie è il President's Daily Diary della Ford Library, che registra impegni e presenze giorno per giorno, con orario.</w:t>
      </w:r>
    </w:p>
    <w:p>
      <w:pPr>
        <w:spacing w:after="120" w:line="276"/>
        <w:jc w:val="both"/>
      </w:pPr>
      <w:r>
        <w:rPr>
          <w:rFonts w:ascii="Barlow Semi Condensed" w:cs="Barlow Semi Condensed" w:eastAsia="Barlow Semi Condensed" w:hAnsi="Barlow Semi Condensed"/>
          <w:b/>
          <w:bCs/>
          <w:sz w:val="24"/>
          <w:szCs w:val="24"/>
        </w:rPr>
        <w:t xml:space="preserve">4793 · La delegazione del settembre 1974.</w:t>
      </w:r>
      <w:r>
        <w:rPr>
          <w:rFonts w:ascii="Barlow Semi Condensed" w:cs="Barlow Semi Condensed" w:eastAsia="Barlow Semi Condensed" w:hAnsi="Barlow Semi Condensed"/>
          <w:sz w:val="24"/>
          <w:szCs w:val="24"/>
        </w:rPr>
        <w:t xml:space="preserve"> Il corpus possiede l'elenco nominativo della delegazione italiana per la visita dell'aprile 1965, non per quella del settembre 1974. Chi accompagnasse Leone e Moro allo Studio Ovale, chi fosse ai pranzi ufficiali e chi al margine, resta ignoto. Stato Zero. Le sedi che lo chiudono sono il cerimoniale della Farnesina presso l'Archivio storico diplomatico e le carte della Presidenza della Repubblica.</w:t>
      </w:r>
    </w:p>
    <w:p>
      <w:pPr>
        <w:spacing w:after="120" w:line="276"/>
        <w:jc w:val="both"/>
      </w:pPr>
      <w:r>
        <w:rPr>
          <w:rFonts w:ascii="Barlow Semi Condensed" w:cs="Barlow Semi Condensed" w:eastAsia="Barlow Semi Condensed" w:hAnsi="Barlow Semi Condensed"/>
          <w:b/>
          <w:bCs/>
          <w:sz w:val="24"/>
          <w:szCs w:val="24"/>
        </w:rPr>
        <w:t xml:space="preserve">4794 · Guerzoni a Washington, aprile 1965.</w:t>
      </w:r>
      <w:r>
        <w:rPr>
          <w:rFonts w:ascii="Barlow Semi Condensed" w:cs="Barlow Semi Condensed" w:eastAsia="Barlow Semi Condensed" w:hAnsi="Barlow Semi Condensed"/>
          <w:sz w:val="24"/>
          <w:szCs w:val="24"/>
        </w:rPr>
        <w:t xml:space="preserve"> Il documento più istruttivo del censimento non nomina Kissinger: è il comunicato stampa numero 76 del Dipartimento di Stato del 16 aprile 1965, trascritto in documenti-state-dept-1965-1978, che elenca fra i membri della delegazione Corrado Guerzoni, capo dell'Ufficio stampa della Presidenza del Consiglio. Il teste dell'avvertimento risulta documentato nella capitale statunitense, ma nove anni prima, e al seguito di Rusk e Johnson.</w:t>
      </w:r>
    </w:p>
    <w:p>
      <w:pPr>
        <w:spacing w:after="120" w:line="276"/>
        <w:jc w:val="both"/>
      </w:pPr>
      <w:r>
        <w:rPr>
          <w:rFonts w:ascii="Barlow Semi Condensed" w:cs="Barlow Semi Condensed" w:eastAsia="Barlow Semi Condensed" w:hAnsi="Barlow Semi Condensed"/>
          <w:b/>
          <w:bCs/>
          <w:sz w:val="24"/>
          <w:szCs w:val="24"/>
        </w:rPr>
        <w:t xml:space="preserve">4795 · L'interprete, e la lingua.</w:t>
      </w:r>
      <w:r>
        <w:rPr>
          <w:rFonts w:ascii="Barlow Semi Condensed" w:cs="Barlow Semi Condensed" w:eastAsia="Barlow Semi Condensed" w:hAnsi="Barlow Semi Condensed"/>
          <w:sz w:val="24"/>
          <w:szCs w:val="24"/>
        </w:rPr>
        <w:t xml:space="preserve"> L'apparato K-4 riporta la smentita fondata sul dato che Moro non parlava inglese e che l'episodio fu verificato allora con l'interprete. Nessun documento del corpus nomina quell'interprete. Il bersaglio è preciso e a basso costo: l'elenco dei partecipanti in testa al memorandum del 25 settembre 1974, e le carte del servizio interpreti della Farnesina per la missione di quella settimana.</w:t>
      </w:r>
    </w:p>
    <w:p>
      <w:pPr>
        <w:spacing w:after="120" w:line="276"/>
        <w:jc w:val="both"/>
      </w:pPr>
      <w:r>
        <w:rPr>
          <w:rFonts w:ascii="Barlow Semi Condensed" w:cs="Barlow Semi Condensed" w:eastAsia="Barlow Semi Condensed" w:hAnsi="Barlow Semi Condensed"/>
          <w:b/>
          <w:bCs/>
          <w:sz w:val="24"/>
          <w:szCs w:val="24"/>
        </w:rPr>
        <w:t xml:space="preserve">4796 · Che cosa abbatterebbe l'arco.</w:t>
      </w:r>
      <w:r>
        <w:rPr>
          <w:rFonts w:ascii="Barlow Semi Condensed" w:cs="Barlow Semi Condensed" w:eastAsia="Barlow Semi Condensed" w:hAnsi="Barlow Semi Condensed"/>
          <w:sz w:val="24"/>
          <w:szCs w:val="24"/>
        </w:rPr>
        <w:t xml:space="preserve"> L'arco del settembre 1974 cadrebbe alla sola condizione che il memorandum risultasse apocrifo o mal attribuito: partecipanti diversi, data diversa, sede diversa. Nulla lo indica, e nessuna fonte lo contesta. Il bersaglio di smentita si dichiara ugualmente, perché un censimento che non enunci la condizione di caduta dei propri ponti non è verificabile. La verifica si conduce sul registro d'ingresso della Casa Bianca.</w:t>
      </w:r>
    </w:p>
    <w:p>
      <w:pPr>
        <w:spacing w:after="120" w:line="276"/>
        <w:jc w:val="both"/>
      </w:pPr>
      <w:r>
        <w:rPr>
          <w:rFonts w:ascii="Barlow Semi Condensed" w:cs="Barlow Semi Condensed" w:eastAsia="Barlow Semi Condensed" w:hAnsi="Barlow Semi Condensed"/>
          <w:b/>
          <w:bCs/>
          <w:sz w:val="24"/>
          <w:szCs w:val="24"/>
        </w:rPr>
        <w:t xml:space="preserve">4797 · FRUS XLI, documento centottanta.</w:t>
      </w:r>
      <w:r>
        <w:rPr>
          <w:rFonts w:ascii="Barlow Semi Condensed" w:cs="Barlow Semi Condensed" w:eastAsia="Barlow Semi Condensed" w:hAnsi="Barlow Semi Condensed"/>
          <w:sz w:val="24"/>
          <w:szCs w:val="24"/>
        </w:rPr>
        <w:t xml:space="preserve"> La riunione del Comitato dei 303 dell'11 marzo 1969, da lui presieduta con Johnson, Packard e Helms presenti, è edita nel volume XLI. Karamessines vi illustrò origini e livelli del programma di sostegno coperto ai partiti italiani fra il 1948 e il 1968. È piano 1 verso un apparato e verso una categoria di destinatari, non verso una persona italiana determinata, e così va citato.</w:t>
      </w:r>
    </w:p>
    <w:p>
      <w:pPr>
        <w:spacing w:after="120" w:line="276"/>
        <w:jc w:val="both"/>
      </w:pPr>
      <w:r>
        <w:rPr>
          <w:rFonts w:ascii="Barlow Semi Condensed" w:cs="Barlow Semi Condensed" w:eastAsia="Barlow Semi Condensed" w:hAnsi="Barlow Semi Condensed"/>
          <w:b/>
          <w:bCs/>
          <w:sz w:val="24"/>
          <w:szCs w:val="24"/>
        </w:rPr>
        <w:t xml:space="preserve">4798 · Un arco ai partiti, non a Moro.</w:t>
      </w:r>
      <w:r>
        <w:rPr>
          <w:rFonts w:ascii="Barlow Semi Condensed" w:cs="Barlow Semi Condensed" w:eastAsia="Barlow Semi Condensed" w:hAnsi="Barlow Semi Condensed"/>
          <w:sz w:val="24"/>
          <w:szCs w:val="24"/>
        </w:rPr>
        <w:t xml:space="preserve"> Che la riunione preceda di quasi cinque mesi l'insediamento del 5 agosto 1969 è già scritto nella ricognizione-madre. Il censimento aggiunge un rilievo diverso: il verbale non nomina alcun destinatario individuale. Chi lo usasse per costruire un arco verso un uomo politico italiano determinato costruirebbe un arco che il documento non contiene. La contemporaneità è apparente, e l'individuazione manca del tutto.</w:t>
      </w:r>
    </w:p>
    <w:p>
      <w:pPr>
        <w:spacing w:after="120" w:line="276"/>
        <w:jc w:val="both"/>
      </w:pPr>
      <w:r>
        <w:rPr>
          <w:rFonts w:ascii="Barlow Semi Condensed" w:cs="Barlow Semi Condensed" w:eastAsia="Barlow Semi Condensed" w:hAnsi="Barlow Semi Condensed"/>
          <w:b/>
          <w:bCs/>
          <w:sz w:val="24"/>
          <w:szCs w:val="24"/>
        </w:rPr>
        <w:t xml:space="preserve">4799 · Un diniego non è un programma.</w:t>
      </w:r>
      <w:r>
        <w:rPr>
          <w:rFonts w:ascii="Barlow Semi Condensed" w:cs="Barlow Semi Condensed" w:eastAsia="Barlow Semi Condensed" w:hAnsi="Barlow Semi Condensed"/>
          <w:sz w:val="24"/>
          <w:szCs w:val="24"/>
        </w:rPr>
        <w:t xml:space="preserve"> Il contenuto deliberativo di quel verbale è negativo: i presenti convennero all'unanimità che non vi fosse reale giustificazione per riprendere il finanziamento coperto. Un documento che attesta una chiusura non attesta un'apertura, e la circolazione pubblica lo cita spesso al rovescio. La regola di lettura è che il grado riguarda ciò che il documento dice, non ciò che si desidera abbia detto.</w:t>
      </w:r>
    </w:p>
    <w:p>
      <w:pPr>
        <w:spacing w:after="120" w:line="276"/>
        <w:jc w:val="both"/>
      </w:pPr>
      <w:r>
        <w:rPr>
          <w:rFonts w:ascii="Barlow Semi Condensed" w:cs="Barlow Semi Condensed" w:eastAsia="Barlow Semi Condensed" w:hAnsi="Barlow Semi Condensed"/>
          <w:b/>
          <w:bCs/>
          <w:sz w:val="24"/>
          <w:szCs w:val="24"/>
        </w:rPr>
        <w:t xml:space="preserve">4800 · Il riemergere del 1975 e 1976 (serie LXIII).</w:t>
      </w:r>
      <w:r>
        <w:rPr>
          <w:rFonts w:ascii="Barlow Semi Condensed" w:cs="Barlow Semi Condensed" w:eastAsia="Barlow Semi Condensed" w:hAnsi="Barlow Semi Condensed"/>
          <w:sz w:val="24"/>
          <w:szCs w:val="24"/>
        </w:rPr>
        <w:t xml:space="preserve"> Un saggio peer-reviewed del 2024, richiamato dalla ricognizione-madre, riferisce che il programma di azione coperta in Italia riemerse nel novembre 1975 e nel luglio 1976. È fonte secondaria qualificata, non atto. Il bersaglio è il verbale primario delle sedute corrispondenti, da cercare fra le carte del Comitato dei Quaranta nei fondi del Consiglio di sicurezza nazionale, alla Ford Library e a College Park.</w:t>
      </w:r>
    </w:p>
    <w:p>
      <w:pPr>
        <w:spacing w:after="120" w:line="276"/>
        <w:jc w:val="both"/>
      </w:pPr>
      <w:r>
        <w:rPr>
          <w:rFonts w:ascii="Barlow Semi Condensed" w:cs="Barlow Semi Condensed" w:eastAsia="Barlow Semi Condensed" w:hAnsi="Barlow Semi Condensed"/>
          <w:b/>
          <w:bCs/>
          <w:sz w:val="24"/>
          <w:szCs w:val="24"/>
        </w:rPr>
        <w:t xml:space="preserve">4801 · Stato Zero sul Comitato dei Quaranta.</w:t>
      </w:r>
      <w:r>
        <w:rPr>
          <w:rFonts w:ascii="Barlow Semi Condensed" w:cs="Barlow Semi Condensed" w:eastAsia="Barlow Semi Condensed" w:hAnsi="Barlow Semi Condensed"/>
          <w:sz w:val="24"/>
          <w:szCs w:val="24"/>
        </w:rPr>
        <w:t xml:space="preserve"> Nessun documento del corpus reca la segnatura di una seduta del 1975 o del 1976 relativa all'Italia, e nessuno ne nomina i partecipanti. L'assenza si verbalizza con perimetro esatto, secondo il blocco 233 dell'agenda di ricerca. Va aggiunto il dato di carica: il 3 novembre 1975 egli cessò dall'incarico di assistente per la sicurezza nazionale, restando Segretario di Stato fino al gennaio 1977.</w:t>
      </w:r>
    </w:p>
    <w:p>
      <w:pPr>
        <w:spacing w:after="120" w:line="276"/>
        <w:jc w:val="both"/>
      </w:pPr>
      <w:r>
        <w:rPr>
          <w:rFonts w:ascii="Barlow Semi Condensed" w:cs="Barlow Semi Condensed" w:eastAsia="Barlow Semi Condensed" w:hAnsi="Barlow Semi Condensed"/>
          <w:b/>
          <w:bCs/>
          <w:sz w:val="24"/>
          <w:szCs w:val="24"/>
        </w:rPr>
        <w:t xml:space="preserve">4802 · Che cosa smentirebbe la lettura del 1969.</w:t>
      </w:r>
      <w:r>
        <w:rPr>
          <w:rFonts w:ascii="Barlow Semi Condensed" w:cs="Barlow Semi Condensed" w:eastAsia="Barlow Semi Condensed" w:hAnsi="Barlow Semi Condensed"/>
          <w:sz w:val="24"/>
          <w:szCs w:val="24"/>
        </w:rPr>
        <w:t xml:space="preserve"> La lettura qui adottata — un diniego collegiale, senza destinatari individuati — cadrebbe se emergesse un atto successivo che disponga erogazioni nominative entro il perimetro italiano. Sarebbe documento nuovo, e imporrebbe di riscrivere questa voce del censimento. Fino ad allora il volume XLI attesta ciò che attesta, e nessuna inferenza sul seguito è ammessa, perché il seguito è esattamente ciò che manca.</w:t>
      </w:r>
    </w:p>
    <w:p>
      <w:pPr>
        <w:spacing w:after="120" w:line="276"/>
        <w:jc w:val="both"/>
      </w:pPr>
      <w:r>
        <w:rPr>
          <w:rFonts w:ascii="Barlow Semi Condensed" w:cs="Barlow Semi Condensed" w:eastAsia="Barlow Semi Condensed" w:hAnsi="Barlow Semi Condensed"/>
          <w:b/>
          <w:bCs/>
          <w:sz w:val="24"/>
          <w:szCs w:val="24"/>
        </w:rPr>
        <w:t xml:space="preserve">4803 · FRUS E-15, il regime neutralista.</w:t>
      </w:r>
      <w:r>
        <w:rPr>
          <w:rFonts w:ascii="Barlow Semi Condensed" w:cs="Barlow Semi Condensed" w:eastAsia="Barlow Semi Condensed" w:hAnsi="Barlow Semi Condensed"/>
          <w:sz w:val="24"/>
          <w:szCs w:val="24"/>
        </w:rPr>
        <w:t xml:space="preserve"> Il dossier portoghese della cartella Farnesina cita, al Capitolo IX, il documento 153 del volume E-15 parte 2: vi si paventa per Lisbona non una presa comunista del potere, ma un regime neutralista di sinistra che resti nell'Alleanza atlantica. È piano 1 rispetto a una posizione espressa, con autore nominato e segnatura. Vale per il Portogallo, e per esso soltanto.</w:t>
      </w:r>
    </w:p>
    <w:p>
      <w:pPr>
        <w:spacing w:after="120" w:line="276"/>
        <w:jc w:val="both"/>
      </w:pPr>
      <w:r>
        <w:rPr>
          <w:rFonts w:ascii="Barlow Semi Condensed" w:cs="Barlow Semi Condensed" w:eastAsia="Barlow Semi Condensed" w:hAnsi="Barlow Semi Condensed"/>
          <w:b/>
          <w:bCs/>
          <w:sz w:val="24"/>
          <w:szCs w:val="24"/>
        </w:rPr>
        <w:t xml:space="preserve">4804 · Il documento portoghese resta portoghese.</w:t>
      </w:r>
      <w:r>
        <w:rPr>
          <w:rFonts w:ascii="Barlow Semi Condensed" w:cs="Barlow Semi Condensed" w:eastAsia="Barlow Semi Condensed" w:hAnsi="Barlow Semi Condensed"/>
          <w:sz w:val="24"/>
          <w:szCs w:val="24"/>
        </w:rPr>
        <w:t xml:space="preserve"> Trasferire quella formula al caso italiano senza un documento italiano sarebbe analogia scambiata per omologia, e l'opera dedicata lo scrive al blocco 42. Il censimento ne trae la conseguenza operativa: nella tavola degli archi il documento 153 si iscrive alla colonna Lisbona, non alla colonna Roma. Un arco si iscrive dove il documento lo colloca, mai dove l'interpretazione lo vorrebbe.</w:t>
      </w:r>
    </w:p>
    <w:p>
      <w:pPr>
        <w:spacing w:after="120" w:line="276"/>
        <w:jc w:val="both"/>
      </w:pPr>
      <w:r>
        <w:rPr>
          <w:rFonts w:ascii="Barlow Semi Condensed" w:cs="Barlow Semi Condensed" w:eastAsia="Barlow Semi Condensed" w:hAnsi="Barlow Semi Condensed"/>
          <w:b/>
          <w:bCs/>
          <w:sz w:val="24"/>
          <w:szCs w:val="24"/>
        </w:rPr>
        <w:t xml:space="preserve">4805 · Il telegramma del 2 agosto 1975 (serie LXIII).</w:t>
      </w:r>
      <w:r>
        <w:rPr>
          <w:rFonts w:ascii="Barlow Semi Condensed" w:cs="Barlow Semi Condensed" w:eastAsia="Barlow Semi Condensed" w:hAnsi="Barlow Semi Condensed"/>
          <w:sz w:val="24"/>
          <w:szCs w:val="24"/>
        </w:rPr>
        <w:t xml:space="preserve"> Nel dossier greco compare il documento 334 del volume XXXIX, telegramma a sua firma del 2 agosto 1975, che conferma la sottoscrizione dell'Atto finale da parte di trentacinque capi di Stato o di governo e descrive la cerimonia, riportando la dichiarazione interpretativa cipriota in risposta alla riserva turca. È piano 1 su un fatto cerimoniale e diplomatico, e nient'altro vi si legge.</w:t>
      </w:r>
    </w:p>
    <w:p>
      <w:pPr>
        <w:spacing w:after="120" w:line="276"/>
        <w:jc w:val="both"/>
      </w:pPr>
      <w:r>
        <w:rPr>
          <w:rFonts w:ascii="Barlow Semi Condensed" w:cs="Barlow Semi Condensed" w:eastAsia="Barlow Semi Condensed" w:hAnsi="Barlow Semi Condensed"/>
          <w:b/>
          <w:bCs/>
          <w:sz w:val="24"/>
          <w:szCs w:val="24"/>
        </w:rPr>
        <w:t xml:space="preserve">4806 · L'insofferenza è materia pubblicistica.</w:t>
      </w:r>
      <w:r>
        <w:rPr>
          <w:rFonts w:ascii="Barlow Semi Condensed" w:cs="Barlow Semi Condensed" w:eastAsia="Barlow Semi Condensed" w:hAnsi="Barlow Semi Condensed"/>
          <w:sz w:val="24"/>
          <w:szCs w:val="24"/>
        </w:rPr>
        <w:t xml:space="preserve"> Le ricognizioni portoghese e greca riferiscono che Moro ottenne il coinvolgimento formale della Comunità nella firma «sfidando l'insofferenza di Kissinger». La formula proviene da BeeMagazine e da Avvenire, non da un verbale, e il telegramma 334 non ne reca traccia. La divergenza si riporta. Le sedi che la chiuderebbero sono le carte della presidenza italiana di turno e i verbali della delegazione all'Archivio storico diplomatico.</w:t>
      </w:r>
    </w:p>
    <w:p>
      <w:pPr>
        <w:spacing w:after="120" w:line="276"/>
        <w:jc w:val="both"/>
      </w:pPr>
      <w:r>
        <w:rPr>
          <w:rFonts w:ascii="Barlow Semi Condensed" w:cs="Barlow Semi Condensed" w:eastAsia="Barlow Semi Condensed" w:hAnsi="Barlow Semi Condensed"/>
          <w:b/>
          <w:bCs/>
          <w:sz w:val="24"/>
          <w:szCs w:val="24"/>
        </w:rPr>
        <w:t xml:space="preserve">4807 · Il memorandum a Ford sull'oppio.</w:t>
      </w:r>
      <w:r>
        <w:rPr>
          <w:rFonts w:ascii="Barlow Semi Condensed" w:cs="Barlow Semi Condensed" w:eastAsia="Barlow Semi Condensed" w:hAnsi="Barlow Semi Condensed"/>
          <w:sz w:val="24"/>
          <w:szCs w:val="24"/>
        </w:rPr>
        <w:t xml:space="preserve"> Al capitolo settimo del dossier turco è citato il documento 208 del volume XXX: un memorandum a sua firma diretto al presidente Ford, che qualifica la revoca del divieto come questione da decisione presidenziale e ricorda che l'oppio anatolico era stato la principale fonte dell'eroina contrabbandata negli Stati Uniti. È piano 1, e tocca un dossier con ricadute mediterranee.</w:t>
      </w:r>
    </w:p>
    <w:p>
      <w:pPr>
        <w:spacing w:after="120" w:line="276"/>
        <w:jc w:val="both"/>
      </w:pPr>
      <w:r>
        <w:rPr>
          <w:rFonts w:ascii="Barlow Semi Condensed" w:cs="Barlow Semi Condensed" w:eastAsia="Barlow Semi Condensed" w:hAnsi="Barlow Semi Condensed"/>
          <w:b/>
          <w:bCs/>
          <w:sz w:val="24"/>
          <w:szCs w:val="24"/>
        </w:rPr>
        <w:t xml:space="preserve">4808 · Il memorandum di decisione 267.</w:t>
      </w:r>
      <w:r>
        <w:rPr>
          <w:rFonts w:ascii="Barlow Semi Condensed" w:cs="Barlow Semi Condensed" w:eastAsia="Barlow Semi Condensed" w:hAnsi="Barlow Semi Condensed"/>
          <w:sz w:val="24"/>
          <w:szCs w:val="24"/>
        </w:rPr>
        <w:t xml:space="preserve"> Lo stesso dossier cita il National Security Decision Memorandum 267 del 23 agosto 1974, edito come documento 209 del volume XXX e 164 del volume E-3. Il corpus non ne dichiara il firmatario. Poiché i memorandum di quella serie recavano di norma la firma dell'assistente per la sicurezza nazionale, il bersaglio è la verifica del blocco di firma sulla collezione NSDM della Ford Library.</w:t>
      </w:r>
    </w:p>
    <w:p>
      <w:pPr>
        <w:spacing w:after="120" w:line="276"/>
        <w:jc w:val="both"/>
      </w:pPr>
      <w:r>
        <w:rPr>
          <w:rFonts w:ascii="Barlow Semi Condensed" w:cs="Barlow Semi Condensed" w:eastAsia="Barlow Semi Condensed" w:hAnsi="Barlow Semi Condensed"/>
          <w:b/>
          <w:bCs/>
          <w:sz w:val="24"/>
          <w:szCs w:val="24"/>
        </w:rPr>
        <w:t xml:space="preserve">4809 · Una fonte esclusa nel dossier turco.</w:t>
      </w:r>
      <w:r>
        <w:rPr>
          <w:rFonts w:ascii="Barlow Semi Condensed" w:cs="Barlow Semi Condensed" w:eastAsia="Barlow Semi Condensed" w:hAnsi="Barlow Semi Condensed"/>
          <w:sz w:val="24"/>
          <w:szCs w:val="24"/>
        </w:rPr>
        <w:t xml:space="preserve"> Il capitolo sulla French Connection del dossier turco poggia, in un passaggio, su un'enciclopedia che il committente ha espressamente escluso dalle fonti utilizzabili. Il censimento non può ereditare quel passaggio. La regola operativa è il riancoraggio: ogni proposizione che vi si appoggi va riportata al volume XXX o al volume E-3, oppure espunta. Un arco fondato su fonte vietata non entra in tavola.</w:t>
      </w:r>
    </w:p>
    <w:p>
      <w:pPr>
        <w:spacing w:after="120" w:line="276"/>
        <w:jc w:val="both"/>
      </w:pPr>
      <w:r>
        <w:rPr>
          <w:rFonts w:ascii="Barlow Semi Condensed" w:cs="Barlow Semi Condensed" w:eastAsia="Barlow Semi Condensed" w:hAnsi="Barlow Semi Condensed"/>
          <w:b/>
          <w:bCs/>
          <w:sz w:val="24"/>
          <w:szCs w:val="24"/>
        </w:rPr>
        <w:t xml:space="preserve">4810 · Il telegramma del 30 agosto 1974.</w:t>
      </w:r>
      <w:r>
        <w:rPr>
          <w:rFonts w:ascii="Barlow Semi Condensed" w:cs="Barlow Semi Condensed" w:eastAsia="Barlow Semi Condensed" w:hAnsi="Barlow Semi Condensed"/>
          <w:sz w:val="24"/>
          <w:szCs w:val="24"/>
        </w:rPr>
        <w:t xml:space="preserve"> Fra i documenti greci figura anche il numero 23 del volume XXX, col quale il Dipartimento istruisce la missione presso la NATO ad avviare discussioni bilaterali informali con alleati selezionati, l'Italia compresa, sulle implicazioni del ritiro greco. Il corpus non ne nomina l'autore. Un telegramma dipartimentale usciva a nome del Segretario: il bersaglio è il blocco di firma, e senza di esso l'arco non si iscrive.</w:t>
      </w:r>
    </w:p>
    <w:p>
      <w:pPr>
        <w:spacing w:after="120" w:line="276"/>
        <w:jc w:val="both"/>
      </w:pPr>
      <w:r>
        <w:rPr>
          <w:rFonts w:ascii="Barlow Semi Condensed" w:cs="Barlow Semi Condensed" w:eastAsia="Barlow Semi Condensed" w:hAnsi="Barlow Semi Condensed"/>
          <w:b/>
          <w:bCs/>
          <w:sz w:val="24"/>
          <w:szCs w:val="24"/>
        </w:rPr>
        <w:t xml:space="preserve">4811 · Il dispaccio della missione atlantica.</w:t>
      </w:r>
      <w:r>
        <w:rPr>
          <w:rFonts w:ascii="Barlow Semi Condensed" w:cs="Barlow Semi Condensed" w:eastAsia="Barlow Semi Condensed" w:hAnsi="Barlow Semi Condensed"/>
          <w:sz w:val="24"/>
          <w:szCs w:val="24"/>
        </w:rPr>
        <w:t xml:space="preserve"> Il documento 25 dello stesso volume, telegramma della missione statunitense presso la NATO del 16 settembre 1974, attesta il ritiro delle forze greche con effetto dal 14 agosto e riporta il rilievo del rappresentante belga de Staercke. Non reca il nome qui censito. Si registra come non-arco, perché un censimento serio elenca anche i documenti vicini che, esaminati, non producono nulla.</w:t>
      </w:r>
    </w:p>
    <w:p>
      <w:pPr>
        <w:spacing w:after="120" w:line="276"/>
        <w:jc w:val="both"/>
      </w:pPr>
      <w:r>
        <w:rPr>
          <w:rFonts w:ascii="Barlow Semi Condensed" w:cs="Barlow Semi Condensed" w:eastAsia="Barlow Semi Condensed" w:hAnsi="Barlow Semi Condensed"/>
          <w:b/>
          <w:bCs/>
          <w:sz w:val="24"/>
          <w:szCs w:val="24"/>
        </w:rPr>
        <w:t xml:space="preserve">4812 · Le Azzorre non lo nominano.</w:t>
      </w:r>
      <w:r>
        <w:rPr>
          <w:rFonts w:ascii="Barlow Semi Condensed" w:cs="Barlow Semi Condensed" w:eastAsia="Barlow Semi Condensed" w:hAnsi="Barlow Semi Condensed"/>
          <w:sz w:val="24"/>
          <w:szCs w:val="24"/>
        </w:rPr>
        <w:t xml:space="preserve"> Il memorandum dell'incontro fra Nixon e Spínola del 19 giugno 1974, documento 133 del volume E-15 parte 2, è acquisito dal corpus e non contiene il nome. I blocchi 41 e 748 dell'opera dedicata lo avevano già collocato nella cornice portoghese, e il censimento lo conferma come non-arco. La simultaneità con la fase finale del ministero di Moro è cronologica, e non produce iscrizione.</w:t>
      </w:r>
    </w:p>
    <w:p>
      <w:pPr>
        <w:spacing w:after="120" w:line="276"/>
        <w:jc w:val="both"/>
      </w:pPr>
      <w:r>
        <w:rPr>
          <w:rFonts w:ascii="Barlow Semi Condensed" w:cs="Barlow Semi Condensed" w:eastAsia="Barlow Semi Condensed" w:hAnsi="Barlow Semi Condensed"/>
          <w:b/>
          <w:bCs/>
          <w:sz w:val="24"/>
          <w:szCs w:val="24"/>
        </w:rPr>
        <w:t xml:space="preserve">4813 · Il silenzio della quadriga, ricontato.</w:t>
      </w:r>
      <w:r>
        <w:rPr>
          <w:rFonts w:ascii="Barlow Semi Condensed" w:cs="Barlow Semi Condensed" w:eastAsia="Barlow Semi Condensed" w:hAnsi="Barlow Semi Condensed"/>
          <w:sz w:val="24"/>
          <w:szCs w:val="24"/>
        </w:rPr>
        <w:t xml:space="preserve"> La verifica è stata ripetuta in modo indipendente su millesettecento blocchi: manuale investigativo, agenda di ricerca, nove cantieri. Zero occorrenze. Il dato conferma il blocco 47 dell'opera dedicata e va letto come il blocco 48 impone: quei cantieri furono costruiti su Kew, Parigi e Bonn, e la colonna statunitense manca. Non è indizio di irrilevanza, è misura di come fu disegnato lo spoglio.</w:t>
      </w:r>
    </w:p>
    <w:p>
      <w:pPr>
        <w:spacing w:after="120" w:line="276"/>
        <w:jc w:val="both"/>
      </w:pPr>
      <w:r>
        <w:rPr>
          <w:rFonts w:ascii="Barlow Semi Condensed" w:cs="Barlow Semi Condensed" w:eastAsia="Barlow Semi Condensed" w:hAnsi="Barlow Semi Condensed"/>
          <w:b/>
          <w:bCs/>
          <w:sz w:val="24"/>
          <w:szCs w:val="24"/>
        </w:rPr>
        <w:t xml:space="preserve">4814 · Il nodo che non è nella rete.</w:t>
      </w:r>
      <w:r>
        <w:rPr>
          <w:rFonts w:ascii="Barlow Semi Condensed" w:cs="Barlow Semi Condensed" w:eastAsia="Barlow Semi Condensed" w:hAnsi="Barlow Semi Condensed"/>
          <w:sz w:val="24"/>
          <w:szCs w:val="24"/>
        </w:rPr>
        <w:t xml:space="preserve"> Il grafo descritto in metodologie-del-dossier-sinaptogenesi-e-strumenti conta trentanove nodi e cinquantanove archi, ventotto di grado A, ventisei F, cinque B. Il nome non vi figura. La sua intermediazione non è bassa: è indefinita, perché il nodo non esiste. Iscriverlo richiederebbe archi documentati e gradati, e il censimento mostra che oggi ne esistono due, entrambi datati settembre 1974.</w:t>
      </w:r>
    </w:p>
    <w:p>
      <w:pPr>
        <w:spacing w:after="120" w:line="276"/>
        <w:jc w:val="both"/>
      </w:pPr>
      <w:r>
        <w:rPr>
          <w:rFonts w:ascii="Barlow Semi Condensed" w:cs="Barlow Semi Condensed" w:eastAsia="Barlow Semi Condensed" w:hAnsi="Barlow Semi Condensed"/>
          <w:b/>
          <w:bCs/>
          <w:sz w:val="24"/>
          <w:szCs w:val="24"/>
        </w:rPr>
        <w:t xml:space="preserve">4815 · Il lotto del Dipartimento tace.</w:t>
      </w:r>
      <w:r>
        <w:rPr>
          <w:rFonts w:ascii="Barlow Semi Condensed" w:cs="Barlow Semi Condensed" w:eastAsia="Barlow Semi Condensed" w:hAnsi="Barlow Semi Condensed"/>
          <w:sz w:val="24"/>
          <w:szCs w:val="24"/>
        </w:rPr>
        <w:t xml:space="preserve"> Il solo lotto di documenti desecretati del Dipartimento di Stato trascritto nel corpus non contiene il nome. I due strati che lo compongono lo scavalcano: la visita ufficiale dell'aprile 1965, con Rusk Segretario di Stato, e i cablogrammi dell'aprile-maggio 1978, quando egli aveva lasciato la carica da oltre un anno. L'assenza è strutturale, e va dichiarata come acquisizione.</w:t>
      </w:r>
    </w:p>
    <w:p>
      <w:pPr>
        <w:spacing w:after="120" w:line="276"/>
        <w:jc w:val="both"/>
      </w:pPr>
      <w:r>
        <w:rPr>
          <w:rFonts w:ascii="Barlow Semi Condensed" w:cs="Barlow Semi Condensed" w:eastAsia="Barlow Semi Condensed" w:hAnsi="Barlow Semi Condensed"/>
          <w:b/>
          <w:bCs/>
          <w:sz w:val="24"/>
          <w:szCs w:val="24"/>
        </w:rPr>
        <w:t xml:space="preserve">4816 · L'OCR grezzo, verificato riga per riga.</w:t>
      </w:r>
      <w:r>
        <w:rPr>
          <w:rFonts w:ascii="Barlow Semi Condensed" w:cs="Barlow Semi Condensed" w:eastAsia="Barlow Semi Condensed" w:hAnsi="Barlow Semi Condensed"/>
          <w:sz w:val="24"/>
          <w:szCs w:val="24"/>
        </w:rPr>
        <w:t xml:space="preserve"> Il file state-dept-djvu-ocr-grezzo.txt, quarantaduemila caratteri conservati per catena di custodia, è stato interrogato direttamente e non per il tramite della trascrizione ordinata. Nessuna occorrenza del nome, in nessuna variante. Sei occorrenze di Rusk, due intestazioni a SECSTATE WASHDC, nessun Segretario nominato nei cablogrammi del 1978. La verifica sul grezzo vale di più, perché precede ogni intervento redazionale.</w:t>
      </w:r>
    </w:p>
    <w:p>
      <w:pPr>
        <w:spacing w:after="120" w:line="276"/>
        <w:jc w:val="both"/>
      </w:pPr>
      <w:r>
        <w:rPr>
          <w:rFonts w:ascii="Barlow Semi Condensed" w:cs="Barlow Semi Condensed" w:eastAsia="Barlow Semi Condensed" w:hAnsi="Barlow Semi Condensed"/>
          <w:b/>
          <w:bCs/>
          <w:sz w:val="24"/>
          <w:szCs w:val="24"/>
        </w:rPr>
        <w:t xml:space="preserve">4817 · Il numero di caso, localizzato.</w:t>
      </w:r>
      <w:r>
        <w:rPr>
          <w:rFonts w:ascii="Barlow Semi Condensed" w:cs="Barlow Semi Condensed" w:eastAsia="Barlow Semi Condensed" w:hAnsi="Barlow Semi Condensed"/>
          <w:sz w:val="24"/>
          <w:szCs w:val="24"/>
        </w:rPr>
        <w:t xml:space="preserve"> La scheda PE-5 dichiara che la lettura ottica del caso FOIA oscilla fra 00202 e 00208. La verifica sul grezzo localizza la divergenza: la riga 1333 legge R-2021-00208, la riga 2290 legge R-2021-Go202, la riga 1709 restituisce un frammento troncato. La divergenza dichiarata dal corpus è confermata e ora indirizzabile, perché la richiesta al Dipartimento può citare entrambe le letture con la riga.</w:t>
      </w:r>
    </w:p>
    <w:p>
      <w:pPr>
        <w:spacing w:after="120" w:line="276"/>
        <w:jc w:val="both"/>
      </w:pPr>
      <w:r>
        <w:rPr>
          <w:rFonts w:ascii="Barlow Semi Condensed" w:cs="Barlow Semi Condensed" w:eastAsia="Barlow Semi Condensed" w:hAnsi="Barlow Semi Condensed"/>
          <w:b/>
          <w:bCs/>
          <w:sz w:val="24"/>
          <w:szCs w:val="24"/>
        </w:rPr>
        <w:t xml:space="preserve">4818 · I numeri di controllo divergono.</w:t>
      </w:r>
      <w:r>
        <w:rPr>
          <w:rFonts w:ascii="Barlow Semi Condensed" w:cs="Barlow Semi Condensed" w:eastAsia="Barlow Semi Condensed" w:hAnsi="Barlow Semi Condensed"/>
          <w:sz w:val="24"/>
          <w:szCs w:val="24"/>
        </w:rPr>
        <w:t xml:space="preserve"> L'intervallo dichiarato dalla scheda PE-5 è B-00001939965-989. Il grezzo restituisce anche B-00001930067, B-00001930068, B-00001930972 e B-00001938969: verosimilmente confusioni ottiche fra zero e nove, ma la verosimiglianza non è un accertamento. Il bersaglio è l'elenco integrale dei numeri di controllo lavorati sotto quel caso, che trasformerebbe quattro letture incerte in altrettante voci certe o in altrettanti errori.</w:t>
      </w:r>
    </w:p>
    <w:p>
      <w:pPr>
        <w:spacing w:after="120" w:line="276"/>
        <w:jc w:val="both"/>
      </w:pPr>
      <w:r>
        <w:rPr>
          <w:rFonts w:ascii="Barlow Semi Condensed" w:cs="Barlow Semi Condensed" w:eastAsia="Barlow Semi Condensed" w:hAnsi="Barlow Semi Condensed"/>
          <w:b/>
          <w:bCs/>
          <w:sz w:val="24"/>
          <w:szCs w:val="24"/>
        </w:rPr>
        <w:t xml:space="preserve">4819 · Le carte di ritiro del 1978.</w:t>
      </w:r>
      <w:r>
        <w:rPr>
          <w:rFonts w:ascii="Barlow Semi Condensed" w:cs="Barlow Semi Condensed" w:eastAsia="Barlow Semi Condensed" w:hAnsi="Barlow Semi Condensed"/>
          <w:sz w:val="24"/>
          <w:szCs w:val="24"/>
        </w:rPr>
        <w:t xml:space="preserve"> Le withdrawal cards che la scheda PE-5 e il blocco 127 dell'agenda propongono come censimento del trattenuto riguardano un anno in cui egli non deteneva alcun incarico. Un cablogramma trattenuto del 1978 non può costituire arco verso un uomo uscito di carica il 20 gennaio 1977. Quel censimento serve al caso Moro e alla regola dell'originatore, non a questo nome.</w:t>
      </w:r>
    </w:p>
    <w:p>
      <w:pPr>
        <w:spacing w:after="120" w:line="276"/>
        <w:jc w:val="both"/>
      </w:pPr>
      <w:r>
        <w:rPr>
          <w:rFonts w:ascii="Barlow Semi Condensed" w:cs="Barlow Semi Condensed" w:eastAsia="Barlow Semi Condensed" w:hAnsi="Barlow Semi Condensed"/>
          <w:b/>
          <w:bCs/>
          <w:sz w:val="24"/>
          <w:szCs w:val="24"/>
        </w:rPr>
        <w:t xml:space="preserve">4820 · Il fronte guevariano tace.</w:t>
      </w:r>
      <w:r>
        <w:rPr>
          <w:rFonts w:ascii="Barlow Semi Condensed" w:cs="Barlow Semi Condensed" w:eastAsia="Barlow Semi Condensed" w:hAnsi="Barlow Semi Condensed"/>
          <w:sz w:val="24"/>
          <w:szCs w:val="24"/>
        </w:rPr>
        <w:t xml:space="preserve"> I cinque studi sulla parabola 1928-1967 e la bibliografia critica non recano il nome. Nell'ottobre 1967 egli non ricopriva alcun incarico di governo. L'ombra statunitense che il nodo M-5 registra per la Bolivia è quella dell'agente Félix Rodríguez a La Higuera, documentata dagli archivi desecretati nel 1997. Sono due ombre distinte, e il saggio dal-che-a-moro le tiene esplicitamente al piano della convergenza.</w:t>
      </w:r>
    </w:p>
    <w:p>
      <w:pPr>
        <w:spacing w:after="120" w:line="276"/>
        <w:jc w:val="both"/>
      </w:pPr>
      <w:r>
        <w:rPr>
          <w:rFonts w:ascii="Barlow Semi Condensed" w:cs="Barlow Semi Condensed" w:eastAsia="Barlow Semi Condensed" w:hAnsi="Barlow Semi Condensed"/>
          <w:b/>
          <w:bCs/>
          <w:sz w:val="24"/>
          <w:szCs w:val="24"/>
        </w:rPr>
        <w:t xml:space="preserve">4821 · Feltrinelli, dentro il mandato e senza arco.</w:t>
      </w:r>
      <w:r>
        <w:rPr>
          <w:rFonts w:ascii="Barlow Semi Condensed" w:cs="Barlow Semi Condensed" w:eastAsia="Barlow Semi Condensed" w:hAnsi="Barlow Semi Condensed"/>
          <w:sz w:val="24"/>
          <w:szCs w:val="24"/>
        </w:rPr>
        <w:t xml:space="preserve"> L'editore morì a Segrate il 14 marzo 1972, dunque durante l'incarico di assistente per la sicurezza nazionale. La monografia feltrinelli-il-vettore e la triangolazione con i nodi F-1…F-17, i ponti B-1…B-7 e le anti-triangolazioni AT-1…AT-3 non recano il nome in alcun punto. Qui l'assenza non discende dal calendario delle cariche: discende dall'archivio. È la distinzione che il censimento tiene ferma.</w:t>
      </w:r>
    </w:p>
    <w:p>
      <w:pPr>
        <w:spacing w:after="120" w:line="276"/>
        <w:jc w:val="both"/>
      </w:pPr>
      <w:r>
        <w:rPr>
          <w:rFonts w:ascii="Barlow Semi Condensed" w:cs="Barlow Semi Condensed" w:eastAsia="Barlow Semi Condensed" w:hAnsi="Barlow Semi Condensed"/>
          <w:b/>
          <w:bCs/>
          <w:sz w:val="24"/>
          <w:szCs w:val="24"/>
        </w:rPr>
        <w:t xml:space="preserve">4822 · La scuola di Parigi, nessun arco.</w:t>
      </w:r>
      <w:r>
        <w:rPr>
          <w:rFonts w:ascii="Barlow Semi Condensed" w:cs="Barlow Semi Condensed" w:eastAsia="Barlow Semi Condensed" w:hAnsi="Barlow Semi Condensed"/>
          <w:sz w:val="24"/>
          <w:szCs w:val="24"/>
        </w:rPr>
        <w:t xml:space="preserve"> Hyperion fu fondata a Parigi nel 1976, quando egli era Segretario di Stato in carica, e aprì la sede romana di via Nicotera nel febbraio 1978, quando non lo era più. Lo studio ceppo-simioni-cpm-superclan-hyperion e i nodi HY-1…HY-9 non recano il nome. Il ponte BH-3 accosta il nodo M-5 al dossier come simmetria di metodo, e come tale è dichiarato.</w:t>
      </w:r>
    </w:p>
    <w:p>
      <w:pPr>
        <w:spacing w:after="120" w:line="276"/>
        <w:jc w:val="both"/>
      </w:pPr>
      <w:r>
        <w:rPr>
          <w:rFonts w:ascii="Barlow Semi Condensed" w:cs="Barlow Semi Condensed" w:eastAsia="Barlow Semi Condensed" w:hAnsi="Barlow Semi Condensed"/>
          <w:b/>
          <w:bCs/>
          <w:sz w:val="24"/>
          <w:szCs w:val="24"/>
        </w:rPr>
        <w:t xml:space="preserve">4823 · La triangolazione d'incrocio non lo nomina.</w:t>
      </w:r>
      <w:r>
        <w:rPr>
          <w:rFonts w:ascii="Barlow Semi Condensed" w:cs="Barlow Semi Condensed" w:eastAsia="Barlow Semi Condensed" w:hAnsi="Barlow Semi Condensed"/>
          <w:sz w:val="24"/>
          <w:szCs w:val="24"/>
        </w:rPr>
        <w:t xml:space="preserve"> Il documento che incrocia Feltrinelli e Hyperion, con i nodi FH-1…FH-8 e le anti-triangolazioni ATI-1…ATI-3, non contiene il nome in alcun punto. È il testo che dimostra come due domini possano essere separati anche fra loro: ATI-1 stabilisce che la scuola e l'editore non si incontrarono mai. Un censimento di archi trova qui, in forma esemplare, l'assenza di archi fra le controparti italiane.</w:t>
      </w:r>
    </w:p>
    <w:p>
      <w:pPr>
        <w:spacing w:after="120" w:line="276"/>
        <w:jc w:val="both"/>
      </w:pPr>
      <w:r>
        <w:rPr>
          <w:rFonts w:ascii="Barlow Semi Condensed" w:cs="Barlow Semi Condensed" w:eastAsia="Barlow Semi Condensed" w:hAnsi="Barlow Semi Condensed"/>
          <w:b/>
          <w:bCs/>
          <w:sz w:val="24"/>
          <w:szCs w:val="24"/>
        </w:rPr>
        <w:t xml:space="preserve">4824 · I tredici condannati, nessun arco.</w:t>
      </w:r>
      <w:r>
        <w:rPr>
          <w:rFonts w:ascii="Barlow Semi Condensed" w:cs="Barlow Semi Condensed" w:eastAsia="Barlow Semi Condensed" w:hAnsi="Barlow Semi Condensed"/>
          <w:sz w:val="24"/>
          <w:szCs w:val="24"/>
        </w:rPr>
        <w:t xml:space="preserve"> La prosopografia del registro personalistico, con i nodi T-1…T-8 e i dieci domini d'incrocio, non reca il nome in alcuna scheda. È l'esito atteso e va scritto: le persone che il giudicato ha individuato per il sequestro e per l'omicidio non hanno, nel corpus, alcun documento che le colleghi a questo nodo. L'assenza si verbalizza secondo il blocco 285 dell'agenda.</w:t>
      </w:r>
    </w:p>
    <w:p>
      <w:pPr>
        <w:spacing w:after="120" w:line="276"/>
        <w:jc w:val="both"/>
      </w:pPr>
      <w:r>
        <w:rPr>
          <w:rFonts w:ascii="Barlow Semi Condensed" w:cs="Barlow Semi Condensed" w:eastAsia="Barlow Semi Condensed" w:hAnsi="Barlow Semi Condensed"/>
          <w:b/>
          <w:bCs/>
          <w:sz w:val="24"/>
          <w:szCs w:val="24"/>
        </w:rPr>
        <w:t xml:space="preserve">4825 · Nessun atto giudiziario italiano.</w:t>
      </w:r>
      <w:r>
        <w:rPr>
          <w:rFonts w:ascii="Barlow Semi Condensed" w:cs="Barlow Semi Condensed" w:eastAsia="Barlow Semi Condensed" w:hAnsi="Barlow Semi Condensed"/>
          <w:sz w:val="24"/>
          <w:szCs w:val="24"/>
        </w:rPr>
        <w:t xml:space="preserve"> La Fase settima censisce cinque processi, due Commissioni parlamentari e la tavola di raccordo delle dieci questioni aperte. Il nome non compare. Alla voce «quadro internazionale» quella tavola registra elementi acquisiti e nessun nesso causale stabilito. La sede che chiuderebbe la verifica sono i fascicoli dei cinque processi Moro presso la Corte d'assise di Roma, che nessuna ricognizione del corpus ha spogliato.</w:t>
      </w:r>
    </w:p>
    <w:p>
      <w:pPr>
        <w:spacing w:after="120" w:line="276"/>
        <w:jc w:val="both"/>
      </w:pPr>
      <w:r>
        <w:rPr>
          <w:rFonts w:ascii="Barlow Semi Condensed" w:cs="Barlow Semi Condensed" w:eastAsia="Barlow Semi Condensed" w:hAnsi="Barlow Semi Condensed"/>
          <w:b/>
          <w:bCs/>
          <w:sz w:val="24"/>
          <w:szCs w:val="24"/>
        </w:rPr>
        <w:t xml:space="preserve">4826 · Il registro nominativo della Fase decima.</w:t>
      </w:r>
      <w:r>
        <w:rPr>
          <w:rFonts w:ascii="Barlow Semi Condensed" w:cs="Barlow Semi Condensed" w:eastAsia="Barlow Semi Condensed" w:hAnsi="Barlow Semi Condensed"/>
          <w:sz w:val="24"/>
          <w:szCs w:val="24"/>
        </w:rPr>
        <w:t xml:space="preserve"> Il capitolo settantanovesimo elenca le responsabilità personali di grado A, cioè quelle scritte dal giudicato. Il nome non vi è, e non può esservi: non risulta condanna, rinvio a giudizio o procedimento penale in alcun Paese, come accerta l'apparato K-2. Il censimento registra l'assenza come vincolo e non come lacuna: è la sola voce che nessun documento futuro potrà colmare senza una sentenza.</w:t>
      </w:r>
    </w:p>
    <w:p>
      <w:pPr>
        <w:spacing w:after="120" w:line="276"/>
        <w:jc w:val="both"/>
      </w:pPr>
      <w:r>
        <w:rPr>
          <w:rFonts w:ascii="Barlow Semi Condensed" w:cs="Barlow Semi Condensed" w:eastAsia="Barlow Semi Condensed" w:hAnsi="Barlow Semi Condensed"/>
          <w:b/>
          <w:bCs/>
          <w:sz w:val="24"/>
          <w:szCs w:val="24"/>
        </w:rPr>
        <w:t xml:space="preserve">4827 · L'unica occorrenza del repertorio.</w:t>
      </w:r>
      <w:r>
        <w:rPr>
          <w:rFonts w:ascii="Barlow Semi Condensed" w:cs="Barlow Semi Condensed" w:eastAsia="Barlow Semi Condensed" w:hAnsi="Barlow Semi Condensed"/>
          <w:sz w:val="24"/>
          <w:szCs w:val="24"/>
        </w:rPr>
        <w:t xml:space="preserve"> Nella Fase nona il nome compare una volta sola, al capitolo settantaquattresimo, e non in una scheda propria: è annesso alla voce della famiglia, dove l'avvertimento riferito è ricondotto al nodo M-5 e graduato B. Fra le figure del contesto il repertorio elenca Pieczenik, non lui. La collocazione è precisa e va conservata: egli sta nel corpus come oggetto di una testimonianza.</w:t>
      </w:r>
    </w:p>
    <w:p>
      <w:pPr>
        <w:spacing w:after="120" w:line="276"/>
        <w:jc w:val="both"/>
      </w:pPr>
      <w:r>
        <w:rPr>
          <w:rFonts w:ascii="Barlow Semi Condensed" w:cs="Barlow Semi Condensed" w:eastAsia="Barlow Semi Condensed" w:hAnsi="Barlow Semi Condensed"/>
          <w:b/>
          <w:bCs/>
          <w:sz w:val="24"/>
          <w:szCs w:val="24"/>
        </w:rPr>
        <w:t xml:space="preserve">4828 · Lo Stato Zero della Fase sesta (serie LXIII).</w:t>
      </w:r>
      <w:r>
        <w:rPr>
          <w:rFonts w:ascii="Barlow Semi Condensed" w:cs="Barlow Semi Condensed" w:eastAsia="Barlow Semi Condensed" w:hAnsi="Barlow Semi Condensed"/>
          <w:sz w:val="24"/>
          <w:szCs w:val="24"/>
        </w:rPr>
        <w:t xml:space="preserve"> Il capitolo trentanovesimo iscrive fra le ricerche condotte e chiuse in negativo il documento che leghi Kissinger-persona, o qualunque apparato straniero nominato, alla catena di comando del delitto. È esito e non dubbio, e vale quanto un Livello A. Il censimento lo eredita integralmente e non lo riapre per suggestione: soltanto un documento nuovo, con sede e segnatura, potrebbe riaprirlo.</w:t>
      </w:r>
    </w:p>
    <w:p>
      <w:pPr>
        <w:spacing w:after="120" w:line="276"/>
        <w:jc w:val="both"/>
      </w:pPr>
      <w:r>
        <w:rPr>
          <w:rFonts w:ascii="Barlow Semi Condensed" w:cs="Barlow Semi Condensed" w:eastAsia="Barlow Semi Condensed" w:hAnsi="Barlow Semi Condensed"/>
          <w:b/>
          <w:bCs/>
          <w:sz w:val="24"/>
          <w:szCs w:val="24"/>
        </w:rPr>
        <w:t xml:space="preserve">4829 · I tre archi nominati dalla Parte terza.</w:t>
      </w:r>
      <w:r>
        <w:rPr>
          <w:rFonts w:ascii="Barlow Semi Condensed" w:cs="Barlow Semi Condensed" w:eastAsia="Barlow Semi Condensed" w:hAnsi="Barlow Semi Condensed"/>
          <w:sz w:val="24"/>
          <w:szCs w:val="24"/>
        </w:rPr>
        <w:t xml:space="preserve"> Nel capitolo IX del dossier falsificazionista si legge che gli archi documentati di Kissinger sono statali e verticali — Cile, Angola, i fondi ai servizi italiani — mentre verso l'eversione nera privata restano convergenze di cornice. La proposizione è metodologicamente giusta e serve a vietare il salto. Ma il censimento deve chiedere a quel passo ciò che chiede a ogni altro: dove sono le segnature.</w:t>
      </w:r>
    </w:p>
    <w:p>
      <w:pPr>
        <w:spacing w:after="120" w:line="276"/>
        <w:jc w:val="both"/>
      </w:pPr>
      <w:r>
        <w:rPr>
          <w:rFonts w:ascii="Barlow Semi Condensed" w:cs="Barlow Semi Condensed" w:eastAsia="Barlow Semi Condensed" w:hAnsi="Barlow Semi Condensed"/>
          <w:b/>
          <w:bCs/>
          <w:sz w:val="24"/>
          <w:szCs w:val="24"/>
        </w:rPr>
        <w:t xml:space="preserve">4830 · Il Cile senza segnatura.</w:t>
      </w:r>
      <w:r>
        <w:rPr>
          <w:rFonts w:ascii="Barlow Semi Condensed" w:cs="Barlow Semi Condensed" w:eastAsia="Barlow Semi Condensed" w:hAnsi="Barlow Semi Condensed"/>
          <w:sz w:val="24"/>
          <w:szCs w:val="24"/>
        </w:rPr>
        <w:t xml:space="preserve"> Il saggio dal-che-a-moro afferma che la responsabilità primaria degli apparati statunitensi nella caduta di Allende è documentata, e che il corpus l'ha verificata su fonti primarie. Nessun documento del branch reca però una segnatura cilena: né volume, né numero, né fondo. È Stato Zero di supporto. Le sedi che lo chiuderebbero sono il volume XXI del ciclo 1969-1976 e il rapporto della Commissione Church.</w:t>
      </w:r>
    </w:p>
    <w:p>
      <w:pPr>
        <w:spacing w:after="120" w:line="276"/>
        <w:jc w:val="both"/>
      </w:pPr>
      <w:r>
        <w:rPr>
          <w:rFonts w:ascii="Barlow Semi Condensed" w:cs="Barlow Semi Condensed" w:eastAsia="Barlow Semi Condensed" w:hAnsi="Barlow Semi Condensed"/>
          <w:b/>
          <w:bCs/>
          <w:sz w:val="24"/>
          <w:szCs w:val="24"/>
        </w:rPr>
        <w:t xml:space="preserve">4831 · Angola, zero occorrenze nel corpus.</w:t>
      </w:r>
      <w:r>
        <w:rPr>
          <w:rFonts w:ascii="Barlow Semi Condensed" w:cs="Barlow Semi Condensed" w:eastAsia="Barlow Semi Condensed" w:hAnsi="Barlow Semi Condensed"/>
          <w:sz w:val="24"/>
          <w:szCs w:val="24"/>
        </w:rPr>
        <w:t xml:space="preserve"> La parola non compare in alcun file del branch. L'arco angolano è dunque asserito nella Parte terza e mai documentato altrove: nessun volume, nessun documento, nessuna data. È l'assenza più netta dell'intero censimento, e tanto più notevole perché sta dentro una frase che si presenta come elenco di archi documentati. La sede di chiusura è il volume XXVIII sull'Africa australe.</w:t>
      </w:r>
    </w:p>
    <w:p>
      <w:pPr>
        <w:spacing w:after="120" w:line="276"/>
        <w:jc w:val="both"/>
      </w:pPr>
      <w:r>
        <w:rPr>
          <w:rFonts w:ascii="Barlow Semi Condensed" w:cs="Barlow Semi Condensed" w:eastAsia="Barlow Semi Condensed" w:hAnsi="Barlow Semi Condensed"/>
          <w:b/>
          <w:bCs/>
          <w:sz w:val="24"/>
          <w:szCs w:val="24"/>
        </w:rPr>
        <w:t xml:space="preserve">4832 · Partiti non è servizi.</w:t>
      </w:r>
      <w:r>
        <w:rPr>
          <w:rFonts w:ascii="Barlow Semi Condensed" w:cs="Barlow Semi Condensed" w:eastAsia="Barlow Semi Condensed" w:hAnsi="Barlow Semi Condensed"/>
          <w:sz w:val="24"/>
          <w:szCs w:val="24"/>
        </w:rPr>
        <w:t xml:space="preserve"> La stessa frase parla di fondi ai servizi italiani. Il solo documento del corpus in materia, il verbale del Comitato dei 303 dell'11 marzo 1969, riguarda il sostegno coperto ai partiti italiani fra il 1948 e il 1968, e registra la decisione di non riprenderlo. Partiti e servizi sono destinatari di natura diversa: la sostituzione va segnalata come divergenza interna e riportata a documento.</w:t>
      </w:r>
    </w:p>
    <w:p>
      <w:pPr>
        <w:spacing w:after="120" w:line="276"/>
        <w:jc w:val="both"/>
      </w:pPr>
      <w:r>
        <w:rPr>
          <w:rFonts w:ascii="Barlow Semi Condensed" w:cs="Barlow Semi Condensed" w:eastAsia="Barlow Semi Condensed" w:hAnsi="Barlow Semi Condensed"/>
          <w:b/>
          <w:bCs/>
          <w:sz w:val="24"/>
          <w:szCs w:val="24"/>
        </w:rPr>
        <w:t xml:space="preserve">4833 · La divergenza si riporta, non si sana.</w:t>
      </w:r>
      <w:r>
        <w:rPr>
          <w:rFonts w:ascii="Barlow Semi Condensed" w:cs="Barlow Semi Condensed" w:eastAsia="Barlow Semi Condensed" w:hAnsi="Barlow Semi Condensed"/>
          <w:sz w:val="24"/>
          <w:szCs w:val="24"/>
        </w:rPr>
        <w:t xml:space="preserve"> Tre archi nominati: nessuna segnatura per il primo, nessuna occorrenza per il secondo, un documento che dice altro per il terzo. Il censimento non riscrive la Parte terza e non la cancella: la annota, secondo l'istituto della correzione per nota che il blocco 279 del manuale investigativo prescrive. Il testo originario resta leggibile, la nota gli si affianca e indica le sedi.</w:t>
      </w:r>
    </w:p>
    <w:p>
      <w:pPr>
        <w:spacing w:after="120" w:line="276"/>
        <w:jc w:val="both"/>
      </w:pPr>
      <w:r>
        <w:rPr>
          <w:rFonts w:ascii="Barlow Semi Condensed" w:cs="Barlow Semi Condensed" w:eastAsia="Barlow Semi Condensed" w:hAnsi="Barlow Semi Condensed"/>
          <w:b/>
          <w:bCs/>
          <w:sz w:val="24"/>
          <w:szCs w:val="24"/>
        </w:rPr>
        <w:t xml:space="preserve">4834 · Due indirizzi su duecentottantatré.</w:t>
      </w:r>
      <w:r>
        <w:rPr>
          <w:rFonts w:ascii="Barlow Semi Condensed" w:cs="Barlow Semi Condensed" w:eastAsia="Barlow Semi Condensed" w:hAnsi="Barlow Semi Condensed"/>
          <w:sz w:val="24"/>
          <w:szCs w:val="24"/>
        </w:rPr>
        <w:t xml:space="preserve"> L'apparato delle note bibliografiche censisce duecentottantatré indirizzi distinti per quattrocentosedici citazioni su centotrentanove domini. Due soli riguardano questo nome: la sintesi delle testimonianze di Eleonora Moro e Guerzoni, e la nota su un'inchiesta televisiva. Nessuno dei due è archivistico. È il dato più eloquente del censimento bibliografico: per questo nodo l'intero apparato dell'opera integrale poggia su due riferimenti giornalistici.</w:t>
      </w:r>
    </w:p>
    <w:p>
      <w:pPr>
        <w:spacing w:after="120" w:line="276"/>
        <w:jc w:val="both"/>
      </w:pPr>
      <w:r>
        <w:rPr>
          <w:rFonts w:ascii="Barlow Semi Condensed" w:cs="Barlow Semi Condensed" w:eastAsia="Barlow Semi Condensed" w:hAnsi="Barlow Semi Condensed"/>
          <w:b/>
          <w:bCs/>
          <w:sz w:val="24"/>
          <w:szCs w:val="24"/>
        </w:rPr>
        <w:t xml:space="preserve">4835 · Il rimando televisivo, qualificato.</w:t>
      </w:r>
      <w:r>
        <w:rPr>
          <w:rFonts w:ascii="Barlow Semi Condensed" w:cs="Barlow Semi Condensed" w:eastAsia="Barlow Semi Condensed" w:hAnsi="Barlow Semi Condensed"/>
          <w:sz w:val="24"/>
          <w:szCs w:val="24"/>
        </w:rPr>
        <w:t xml:space="preserve"> La nota cinquantunesima rinvia a un articolo su un'inchiesta televisiva relativa al ruolo attribuitogli nell'ostacolare l'apertura al Partito comunista. È dato di circolazione, piano 3, e serve a misurare la diffusione di una tesi, mai a sostenerla. La regola discende dal blocco 24 dell'opera dedicata: l'esistenza di un'affermazione terziaria è un fatto sulla circolazione, non un fatto sul mondo.</w:t>
      </w:r>
    </w:p>
    <w:p>
      <w:pPr>
        <w:spacing w:after="120" w:line="276"/>
        <w:jc w:val="both"/>
      </w:pPr>
      <w:r>
        <w:rPr>
          <w:rFonts w:ascii="Barlow Semi Condensed" w:cs="Barlow Semi Condensed" w:eastAsia="Barlow Semi Condensed" w:hAnsi="Barlow Semi Condensed"/>
          <w:b/>
          <w:bCs/>
          <w:sz w:val="24"/>
          <w:szCs w:val="24"/>
        </w:rPr>
        <w:t xml:space="preserve">4836 · La sintesi delle testimonianze.</w:t>
      </w:r>
      <w:r>
        <w:rPr>
          <w:rFonts w:ascii="Barlow Semi Condensed" w:cs="Barlow Semi Condensed" w:eastAsia="Barlow Semi Condensed" w:hAnsi="Barlow Semi Condensed"/>
          <w:sz w:val="24"/>
          <w:szCs w:val="24"/>
        </w:rPr>
        <w:t xml:space="preserve"> Alla nota cinquantesima sta la pagina che raccoglie le deposizioni di Eleonora Chiavarelli Moro e di Corrado Guerzoni sull'oscuro avvertimento, ed è la fonte da cui il nodo M-5 trae la propria formulazione. Genotipo e fenotipo vanno distinti: quella pagina è la sintesi, i verbali sono il documento. Le sedi sono il Doc. XXIII della VIII legislatura e i verbali d'udienza del novembre 1982.</w:t>
      </w:r>
    </w:p>
    <w:p>
      <w:pPr>
        <w:spacing w:after="120" w:line="276"/>
        <w:jc w:val="both"/>
      </w:pPr>
      <w:r>
        <w:rPr>
          <w:rFonts w:ascii="Barlow Semi Condensed" w:cs="Barlow Semi Condensed" w:eastAsia="Barlow Semi Condensed" w:hAnsi="Barlow Semi Condensed"/>
          <w:b/>
          <w:bCs/>
          <w:sz w:val="24"/>
          <w:szCs w:val="24"/>
        </w:rPr>
        <w:t xml:space="preserve">4837 · Le occorrenze di catalogo non contano.</w:t>
      </w:r>
      <w:r>
        <w:rPr>
          <w:rFonts w:ascii="Barlow Semi Condensed" w:cs="Barlow Semi Condensed" w:eastAsia="Barlow Semi Condensed" w:hAnsi="Barlow Semi Condensed"/>
          <w:sz w:val="24"/>
          <w:szCs w:val="24"/>
        </w:rPr>
        <w:t xml:space="preserve"> Tre occorrenze nell'INDICE-DOCUMENTI-BRANCH e due nella GUIDA-ALLA-LETTURA descrivono l'opera dedicata e il volume rilegato che la contiene. Sono metadati, non attestazioni. Un censimento che le contasse come presenze del nome nel corpus gonfierebbe la misura con la propria bibliografia. La regola è semplice: si conta ciò che un documento dice del mondo, non ciò che un catalogo dice dei propri file.</w:t>
      </w:r>
    </w:p>
    <w:p>
      <w:pPr>
        <w:spacing w:after="120" w:line="276"/>
        <w:jc w:val="both"/>
      </w:pPr>
      <w:r>
        <w:rPr>
          <w:rFonts w:ascii="Barlow Semi Condensed" w:cs="Barlow Semi Condensed" w:eastAsia="Barlow Semi Condensed" w:hAnsi="Barlow Semi Condensed"/>
          <w:b/>
          <w:bCs/>
          <w:sz w:val="24"/>
          <w:szCs w:val="24"/>
        </w:rPr>
        <w:t xml:space="preserve">4838 · L'autocitazione e il suo rischio.</w:t>
      </w:r>
      <w:r>
        <w:rPr>
          <w:rFonts w:ascii="Barlow Semi Condensed" w:cs="Barlow Semi Condensed" w:eastAsia="Barlow Semi Condensed" w:hAnsi="Barlow Semi Condensed"/>
          <w:sz w:val="24"/>
          <w:szCs w:val="24"/>
        </w:rPr>
        <w:t xml:space="preserve"> Il rischio è specifico di un corpus che pubblica anche la propria meta-documentazione. L'opera dedicata concentra centodiciassette righe col nome e potrebbe, riletta come fonte, apparire il giacimento più ricco del branch. Non lo è: è un commento, e i suoi archi sono quelli che cita. Nel censimento vale come indice, e i documenti si contano una volta sola, alla loro segnatura.</w:t>
      </w:r>
    </w:p>
    <w:p>
      <w:pPr>
        <w:spacing w:after="120" w:line="276"/>
        <w:jc w:val="both"/>
      </w:pPr>
      <w:r>
        <w:rPr>
          <w:rFonts w:ascii="Barlow Semi Condensed" w:cs="Barlow Semi Condensed" w:eastAsia="Barlow Semi Condensed" w:hAnsi="Barlow Semi Condensed"/>
          <w:b/>
          <w:bCs/>
          <w:sz w:val="24"/>
          <w:szCs w:val="24"/>
        </w:rPr>
        <w:t xml:space="preserve">4839 · Il test dell'arco, in una riga.</w:t>
      </w:r>
      <w:r>
        <w:rPr>
          <w:rFonts w:ascii="Barlow Semi Condensed" w:cs="Barlow Semi Condensed" w:eastAsia="Barlow Semi Condensed" w:hAnsi="Barlow Semi Condensed"/>
          <w:sz w:val="24"/>
          <w:szCs w:val="24"/>
        </w:rPr>
        <w:t xml:space="preserve"> Un ponte esiste se un documento di provenienza nomina la controparte. È la formulazione che l'opera dedicata pone nella sezione conclusiva, e che il censimento adotta come unico criterio d'iscrizione. Ne discende che due sole voci dell'intera tavola riguardano il rapporto con Moro, e che nessuna riguarda il caso del 1978. Ogni altra somiglianza appartiene al piano 2, e vi resta.</w:t>
      </w:r>
    </w:p>
    <w:p>
      <w:pPr>
        <w:spacing w:after="120" w:line="276"/>
        <w:jc w:val="both"/>
      </w:pPr>
      <w:r>
        <w:rPr>
          <w:rFonts w:ascii="Barlow Semi Condensed" w:cs="Barlow Semi Condensed" w:eastAsia="Barlow Semi Condensed" w:hAnsi="Barlow Semi Condensed"/>
          <w:b/>
          <w:bCs/>
          <w:sz w:val="24"/>
          <w:szCs w:val="24"/>
        </w:rPr>
        <w:t xml:space="preserve">4840 · L'anello debole applicato al censimento.</w:t>
      </w:r>
      <w:r>
        <w:rPr>
          <w:rFonts w:ascii="Barlow Semi Condensed" w:cs="Barlow Semi Condensed" w:eastAsia="Barlow Semi Condensed" w:hAnsi="Barlow Semi Condensed"/>
          <w:sz w:val="24"/>
          <w:szCs w:val="24"/>
        </w:rPr>
        <w:t xml:space="preserve"> Il grado di un cammino è il grado minimo fra i suoi archi. Un cammino che vada dal verbale del settembre 1974 al 16 marzo 1978 deve attraversare almeno un arco che il corpus ha cercato e non trovato. Il suo grado non è basso: è assente. Il blocco 54 dell'opera dedicata lo enuncia, e questa ricognizione lo verifica documento per documento.</w:t>
      </w:r>
    </w:p>
    <w:p>
      <w:pPr>
        <w:spacing w:after="120" w:line="276"/>
        <w:jc w:val="both"/>
      </w:pPr>
      <w:r>
        <w:rPr>
          <w:rFonts w:ascii="Barlow Semi Condensed" w:cs="Barlow Semi Condensed" w:eastAsia="Barlow Semi Condensed" w:hAnsi="Barlow Semi Condensed"/>
          <w:b/>
          <w:bCs/>
          <w:sz w:val="24"/>
          <w:szCs w:val="24"/>
        </w:rPr>
        <w:t xml:space="preserve">4841 · Il nodo calamita e l'onere.</w:t>
      </w:r>
      <w:r>
        <w:rPr>
          <w:rFonts w:ascii="Barlow Semi Condensed" w:cs="Barlow Semi Condensed" w:eastAsia="Barlow Semi Condensed" w:hAnsi="Barlow Semi Condensed"/>
          <w:sz w:val="24"/>
          <w:szCs w:val="24"/>
        </w:rPr>
        <w:t xml:space="preserve"> Nelle reti costruite a mano i nodi celebri attraggono archi tracciati per plausibilità e non per documento. L'antidoto, fissato al blocco 55 dell'opera dedicata, è procedurale: ogni arco entra solo con documento a segnatura, e l'onere grava su chi lo propone. Il censimento è quella regola applicata all'intero territorio, e il suo esito numerico ne misura la severità.</w:t>
      </w:r>
    </w:p>
    <w:p>
      <w:pPr>
        <w:spacing w:after="120" w:line="276"/>
        <w:jc w:val="both"/>
      </w:pPr>
      <w:r>
        <w:rPr>
          <w:rFonts w:ascii="Barlow Semi Condensed" w:cs="Barlow Semi Condensed" w:eastAsia="Barlow Semi Condensed" w:hAnsi="Barlow Semi Condensed"/>
          <w:b/>
          <w:bCs/>
          <w:sz w:val="24"/>
          <w:szCs w:val="24"/>
        </w:rPr>
        <w:t xml:space="preserve">4842 · Piano uno rispetto a sé stesso.</w:t>
      </w:r>
      <w:r>
        <w:rPr>
          <w:rFonts w:ascii="Barlow Semi Condensed" w:cs="Barlow Semi Condensed" w:eastAsia="Barlow Semi Condensed" w:hAnsi="Barlow Semi Condensed"/>
          <w:sz w:val="24"/>
          <w:szCs w:val="24"/>
        </w:rPr>
        <w:t xml:space="preserve"> Un documento prova la propria esistenza e il proprio contenuto, e nulla del seguito. Il blocco 40 dell'opera dedicata lo enuncia sull'istruzione presidenziale del dicembre 1969, che attesta soltanto che uno studio fu ordinato. La regola vale per tutte e sei le voci: il memorandum sull'oppio prova un memorandum, il telegramma di Helsinki prova un telegramma. L'effetto si documenta a parte, o non si documenta.</w:t>
      </w:r>
    </w:p>
    <w:p>
      <w:pPr>
        <w:spacing w:after="120" w:line="276"/>
        <w:jc w:val="both"/>
      </w:pPr>
      <w:r>
        <w:rPr>
          <w:rFonts w:ascii="Barlow Semi Condensed" w:cs="Barlow Semi Condensed" w:eastAsia="Barlow Semi Condensed" w:hAnsi="Barlow Semi Condensed"/>
          <w:b/>
          <w:bCs/>
          <w:sz w:val="24"/>
          <w:szCs w:val="24"/>
        </w:rPr>
        <w:t xml:space="preserve">4843 · Il filtro delle cariche e il limite.</w:t>
      </w:r>
      <w:r>
        <w:rPr>
          <w:rFonts w:ascii="Barlow Semi Condensed" w:cs="Barlow Semi Condensed" w:eastAsia="Barlow Semi Condensed" w:hAnsi="Barlow Semi Condensed"/>
          <w:sz w:val="24"/>
          <w:szCs w:val="24"/>
        </w:rPr>
        <w:t xml:space="preserve"> Le date vincolano: assistente per la sicurezza nazionale dal 20 gennaio 1969 al 3 novembre 1975, Segretario di Stato dal 22 settembre 1973 al 20 gennaio 1977. Restano fuori per carica la Bolivia del 1967, il caso del 1978, l'attentato del 1981, il Tribunale Speciale. Restano dentro, e senza arco, Segrate 1972 e Hyperion 1976: là tace l'archivio, non il calendario.</w:t>
      </w:r>
    </w:p>
    <w:p>
      <w:pPr>
        <w:spacing w:after="120" w:line="276"/>
        <w:jc w:val="both"/>
      </w:pPr>
      <w:r>
        <w:rPr>
          <w:rFonts w:ascii="Barlow Semi Condensed" w:cs="Barlow Semi Condensed" w:eastAsia="Barlow Semi Condensed" w:hAnsi="Barlow Semi Condensed"/>
          <w:b/>
          <w:bCs/>
          <w:sz w:val="24"/>
          <w:szCs w:val="24"/>
        </w:rPr>
        <w:t xml:space="preserve">4844 · Grado della citazione, grado del documento.</w:t>
      </w:r>
      <w:r>
        <w:rPr>
          <w:rFonts w:ascii="Barlow Semi Condensed" w:cs="Barlow Semi Condensed" w:eastAsia="Barlow Semi Condensed" w:hAnsi="Barlow Semi Condensed"/>
          <w:sz w:val="24"/>
          <w:szCs w:val="24"/>
        </w:rPr>
        <w:t xml:space="preserve"> Il corpus cita i volumi FRUS attraverso il portale dell'Office of the Historian. Il portale è edizione, non fondo. Ne discende che ogni voce del censimento porta due gradi: quello del documento, alto, e quello della citazione, che dipende dal passaggio attraverso l'edizione digitale. Il bersaglio permanente è ridurre la distanza fra i due, risalendo alla segnatura d'origine indicata nelle note del volume.</w:t>
      </w:r>
    </w:p>
    <w:p>
      <w:pPr>
        <w:spacing w:after="120" w:line="276"/>
        <w:jc w:val="both"/>
      </w:pPr>
      <w:r>
        <w:rPr>
          <w:rFonts w:ascii="Barlow Semi Condensed" w:cs="Barlow Semi Condensed" w:eastAsia="Barlow Semi Condensed" w:hAnsi="Barlow Semi Condensed"/>
          <w:b/>
          <w:bCs/>
          <w:sz w:val="24"/>
          <w:szCs w:val="24"/>
        </w:rPr>
        <w:t xml:space="preserve">4845 · FRUS è una selezione, non un fondo (serie LXIII).</w:t>
      </w:r>
      <w:r>
        <w:rPr>
          <w:rFonts w:ascii="Barlow Semi Condensed" w:cs="Barlow Semi Condensed" w:eastAsia="Barlow Semi Condensed" w:hAnsi="Barlow Semi Condensed"/>
          <w:sz w:val="24"/>
          <w:szCs w:val="24"/>
        </w:rPr>
        <w:t xml:space="preserve"> Il blocco 134 dell'agenda di ricerca lo scrive con esattezza: ogni nota a piè di pagina di quei volumi è una segnatura da seguire. Il censimento ne trae la conseguenza. Le sei voci non sono sei documenti isolati, ma sei porte su altrettanti fascicoli dei National Archives di College Park e delle biblioteche presidenziali, che nessuno ha ancora aperto per questo nodo.</w:t>
      </w:r>
    </w:p>
    <w:p>
      <w:pPr>
        <w:spacing w:after="120" w:line="276"/>
        <w:jc w:val="both"/>
      </w:pPr>
      <w:r>
        <w:rPr>
          <w:rFonts w:ascii="Barlow Semi Condensed" w:cs="Barlow Semi Condensed" w:eastAsia="Barlow Semi Condensed" w:hAnsi="Barlow Semi Condensed"/>
          <w:b/>
          <w:bCs/>
          <w:sz w:val="24"/>
          <w:szCs w:val="24"/>
        </w:rPr>
        <w:t xml:space="preserve">4846 · La regola dell'originatore chiude poco.</w:t>
      </w:r>
      <w:r>
        <w:rPr>
          <w:rFonts w:ascii="Barlow Semi Condensed" w:cs="Barlow Semi Condensed" w:eastAsia="Barlow Semi Condensed" w:hAnsi="Barlow Semi Condensed"/>
          <w:sz w:val="24"/>
          <w:szCs w:val="24"/>
        </w:rPr>
        <w:t xml:space="preserve"> Il vincolo che la scheda PE-5 fissa è noto: un documento classificato da uno Stato terzo non si desecreta unilateralmente, e le direttive italiane aprono le carte italiane, non quelle alleate. Per il censimento la conseguenza è che gli Stati Zero qui elencati si chiudono a Washington e ad Ann Arbor, non a Roma. La sede sbagliata produce dinieghi, e anche un diniego motivato è documento.</w:t>
      </w:r>
    </w:p>
    <w:p>
      <w:pPr>
        <w:spacing w:after="120" w:line="276"/>
        <w:jc w:val="both"/>
      </w:pPr>
      <w:r>
        <w:rPr>
          <w:rFonts w:ascii="Barlow Semi Condensed" w:cs="Barlow Semi Condensed" w:eastAsia="Barlow Semi Condensed" w:hAnsi="Barlow Semi Condensed"/>
          <w:b/>
          <w:bCs/>
          <w:sz w:val="24"/>
          <w:szCs w:val="24"/>
        </w:rPr>
        <w:t xml:space="preserve">4847 · Un censimento è datato.</w:t>
      </w:r>
      <w:r>
        <w:rPr>
          <w:rFonts w:ascii="Barlow Semi Condensed" w:cs="Barlow Semi Condensed" w:eastAsia="Barlow Semi Condensed" w:hAnsi="Barlow Semi Condensed"/>
          <w:sz w:val="24"/>
          <w:szCs w:val="24"/>
        </w:rPr>
        <w:t xml:space="preserve"> Questa tavola vale al 26 agosto 2026 e non oltre. Ogni versamento nuovo — un rilascio FOIA, una revisione di volume, una desecretazione italiana — può aggiungere archi o correggerne. La regola di manutenzione è che il censimento si rifà per intero e non per aggiunta, perché una tavola aggiornata a pezzi perde la propria misura complessiva, che è il solo risultato che essa produce.</w:t>
      </w:r>
    </w:p>
    <w:p>
      <w:pPr>
        <w:spacing w:after="120" w:line="276"/>
        <w:jc w:val="both"/>
      </w:pPr>
      <w:r>
        <w:rPr>
          <w:rFonts w:ascii="Barlow Semi Condensed" w:cs="Barlow Semi Condensed" w:eastAsia="Barlow Semi Condensed" w:hAnsi="Barlow Semi Condensed"/>
          <w:b/>
          <w:bCs/>
          <w:sz w:val="24"/>
          <w:szCs w:val="24"/>
        </w:rPr>
        <w:t xml:space="preserve">4848 · Che cosa falsificherebbe la completezza.</w:t>
      </w:r>
      <w:r>
        <w:rPr>
          <w:rFonts w:ascii="Barlow Semi Condensed" w:cs="Barlow Semi Condensed" w:eastAsia="Barlow Semi Condensed" w:hAnsi="Barlow Semi Condensed"/>
          <w:sz w:val="24"/>
          <w:szCs w:val="24"/>
        </w:rPr>
        <w:t xml:space="preserve"> Basterebbe un file del branch che rechi il nome in una forma che la ricerca meccanica non intercetta: una variante di trascrizione, un errore ottico, un'abbreviazione. Anche per questo la verifica è stata condotta sul grezzo del Dipartimento di Stato. Il bersaglio residuo è l'interrogazione delle edizioni rilegate in formato chiuso, dove l'estrazione del testo non è stata controllata riga per riga.</w:t>
      </w:r>
    </w:p>
    <w:p>
      <w:pPr>
        <w:spacing w:after="120" w:line="276"/>
        <w:jc w:val="both"/>
      </w:pPr>
      <w:r>
        <w:rPr>
          <w:rFonts w:ascii="Barlow Semi Condensed" w:cs="Barlow Semi Condensed" w:eastAsia="Barlow Semi Condensed" w:hAnsi="Barlow Semi Condensed"/>
          <w:b/>
          <w:bCs/>
          <w:sz w:val="24"/>
          <w:szCs w:val="24"/>
        </w:rPr>
        <w:t xml:space="preserve">4849 · Che cosa aprirebbe un arco al caso.</w:t>
      </w:r>
      <w:r>
        <w:rPr>
          <w:rFonts w:ascii="Barlow Semi Condensed" w:cs="Barlow Semi Condensed" w:eastAsia="Barlow Semi Condensed" w:hAnsi="Barlow Semi Condensed"/>
          <w:sz w:val="24"/>
          <w:szCs w:val="24"/>
        </w:rPr>
        <w:t xml:space="preserve"> Un documento datato fra il 1969 e il 1977 che nomini insieme questo nome e un interlocutore italiano determinato, su materia poi confluita nel caso: un promemoria, un telegramma con blocco di firma, una nota di delegazione. Non risulta nel corpus. Le sedi da interrogare sono i Nixon Presidential Materials, NSC Files, Country Files Italy, e i memoranda di conversazione della Ford Library.</w:t>
      </w:r>
    </w:p>
    <w:p>
      <w:pPr>
        <w:spacing w:after="120" w:line="276"/>
        <w:jc w:val="both"/>
      </w:pPr>
      <w:r>
        <w:rPr>
          <w:rFonts w:ascii="Barlow Semi Condensed" w:cs="Barlow Semi Condensed" w:eastAsia="Barlow Semi Condensed" w:hAnsi="Barlow Semi Condensed"/>
          <w:b/>
          <w:bCs/>
          <w:sz w:val="24"/>
          <w:szCs w:val="24"/>
        </w:rPr>
        <w:t xml:space="preserve">4850 · Il 1977 e l'ambasciata di Washington.</w:t>
      </w:r>
      <w:r>
        <w:rPr>
          <w:rFonts w:ascii="Barlow Semi Condensed" w:cs="Barlow Semi Condensed" w:eastAsia="Barlow Semi Condensed" w:hAnsi="Barlow Semi Condensed"/>
          <w:sz w:val="24"/>
          <w:szCs w:val="24"/>
        </w:rPr>
        <w:t xml:space="preserve"> Nella terza precisazione dell'apparato K-4 sta la collocazione alternativa dell'episodio: un acceso alterco all'ambasciata d'Italia a Washington nel 1977, secondo una fonte d'agenzia dell'aprile 1983. In quell'anno egli non era più in carica, e l'episodio sarebbe atto di privato cittadino. La divergenza su data e luogo non si risolve d'ufficio: la sede è il cerimoniale dell'ambasciata e quello della Farnesina.</w:t>
      </w:r>
    </w:p>
    <w:p>
      <w:pPr>
        <w:spacing w:after="120" w:line="276"/>
        <w:jc w:val="both"/>
      </w:pPr>
      <w:r>
        <w:rPr>
          <w:rFonts w:ascii="Barlow Semi Condensed" w:cs="Barlow Semi Condensed" w:eastAsia="Barlow Semi Condensed" w:hAnsi="Barlow Semi Condensed"/>
          <w:b/>
          <w:bCs/>
          <w:sz w:val="24"/>
          <w:szCs w:val="24"/>
        </w:rPr>
        <w:t xml:space="preserve">4851 · La richiesta del 1983, senza seguito.</w:t>
      </w:r>
      <w:r>
        <w:rPr>
          <w:rFonts w:ascii="Barlow Semi Condensed" w:cs="Barlow Semi Condensed" w:eastAsia="Barlow Semi Condensed" w:hAnsi="Barlow Semi Condensed"/>
          <w:sz w:val="24"/>
          <w:szCs w:val="24"/>
        </w:rPr>
        <w:t xml:space="preserve"> Che egli non fu mai sentito dai magistrati italiani è accertato dall'apparato K-4, insieme al fatto che la richiesta informale del 1983 non ebbe seguito. Manca però l'atto: nessun documento del corpus ne reca protocollo o data. Il bersaglio è duplice — il fascicolo processuale della Corte d'assise di Roma e le carte delle rogatorie internazionali — per accertare se una richiesta formale fu mai redatta.</w:t>
      </w:r>
    </w:p>
    <w:p>
      <w:pPr>
        <w:spacing w:after="120" w:line="276"/>
        <w:jc w:val="both"/>
      </w:pPr>
      <w:r>
        <w:rPr>
          <w:rFonts w:ascii="Barlow Semi Condensed" w:cs="Barlow Semi Condensed" w:eastAsia="Barlow Semi Condensed" w:hAnsi="Barlow Semi Condensed"/>
          <w:b/>
          <w:bCs/>
          <w:sz w:val="24"/>
          <w:szCs w:val="24"/>
        </w:rPr>
        <w:t xml:space="preserve">4852 · Nessun procedimento, in nessun Paese.</w:t>
      </w:r>
      <w:r>
        <w:rPr>
          <w:rFonts w:ascii="Barlow Semi Condensed" w:cs="Barlow Semi Condensed" w:eastAsia="Barlow Semi Condensed" w:hAnsi="Barlow Semi Condensed"/>
          <w:sz w:val="24"/>
          <w:szCs w:val="24"/>
        </w:rPr>
        <w:t xml:space="preserve"> Governa l'intera tavola l'accertamento dell'apparato K-2: non risulta alcuna sentenza di condanna, alcun rinvio a giudizio, alcun procedimento penale a suo carico in alcun Paese, e sul punto concordano anche le fonti a lui più ostili. Il censimento degli archi documentali è cosa diversa dal registro dei responsabili, e le due tavole non comunicano in alcun punto.</w:t>
      </w:r>
    </w:p>
    <w:p>
      <w:pPr>
        <w:spacing w:after="120" w:line="276"/>
        <w:jc w:val="both"/>
      </w:pPr>
      <w:r>
        <w:rPr>
          <w:rFonts w:ascii="Barlow Semi Condensed" w:cs="Barlow Semi Condensed" w:eastAsia="Barlow Semi Condensed" w:hAnsi="Barlow Semi Condensed"/>
          <w:b/>
          <w:bCs/>
          <w:sz w:val="24"/>
          <w:szCs w:val="24"/>
        </w:rPr>
        <w:t xml:space="preserve">4853 · La moltiplicazione apparente e il suo test.</w:t>
      </w:r>
      <w:r>
        <w:rPr>
          <w:rFonts w:ascii="Barlow Semi Condensed" w:cs="Barlow Semi Condensed" w:eastAsia="Barlow Semi Condensed" w:hAnsi="Barlow Semi Condensed"/>
          <w:sz w:val="24"/>
          <w:szCs w:val="24"/>
        </w:rPr>
        <w:t xml:space="preserve"> La settima precisazione dell'apparato K-4 stabilisce che le riprese pressoché identiche della frase risalgono a un unico lancio d'agenzia del 30 novembre 2023. Il test che smentirebbe l'accertamento è preciso: un'attestazione indipendente anteriore al novembre 1982, cioè anteriore alla deposizione. Le sedi sono gli spogli delle emeroteche italiane e statunitensi per gli anni fra il 1974 e il 1982.</w:t>
      </w:r>
    </w:p>
    <w:p>
      <w:pPr>
        <w:spacing w:after="120" w:line="276"/>
        <w:jc w:val="both"/>
      </w:pPr>
      <w:r>
        <w:rPr>
          <w:rFonts w:ascii="Barlow Semi Condensed" w:cs="Barlow Semi Condensed" w:eastAsia="Barlow Semi Condensed" w:hAnsi="Barlow Semi Condensed"/>
          <w:b/>
          <w:bCs/>
          <w:sz w:val="24"/>
          <w:szCs w:val="24"/>
        </w:rPr>
        <w:t xml:space="preserve">4854 · Il registro delle correzioni della serie.</w:t>
      </w:r>
      <w:r>
        <w:rPr>
          <w:rFonts w:ascii="Barlow Semi Condensed" w:cs="Barlow Semi Condensed" w:eastAsia="Barlow Semi Condensed" w:hAnsi="Barlow Semi Condensed"/>
          <w:sz w:val="24"/>
          <w:szCs w:val="24"/>
        </w:rPr>
        <w:t xml:space="preserve"> Questa serie apre il proprio registro con tre voci: la divergenza sui numeri di controllo del lotto FOIA, la localizzazione delle due letture del numero di caso, l'annotazione dei tre archi nominati nella Parte terza. Nessuna di esse riscrive il corpus. Si affiancano al testo secondo l'istituto già applicato nella Nota di revisione n. 2 della triangolazione Guevara-Moro.</w:t>
      </w:r>
    </w:p>
    <w:p>
      <w:pPr>
        <w:spacing w:after="120" w:line="276"/>
        <w:jc w:val="both"/>
      </w:pPr>
      <w:r>
        <w:rPr>
          <w:rFonts w:ascii="Barlow Semi Condensed" w:cs="Barlow Semi Condensed" w:eastAsia="Barlow Semi Condensed" w:hAnsi="Barlow Semi Condensed"/>
          <w:b/>
          <w:bCs/>
          <w:sz w:val="24"/>
          <w:szCs w:val="24"/>
        </w:rPr>
        <w:t xml:space="preserve">4855 · Il bilancio, in cifre.</w:t>
      </w:r>
      <w:r>
        <w:rPr>
          <w:rFonts w:ascii="Barlow Semi Condensed" w:cs="Barlow Semi Condensed" w:eastAsia="Barlow Semi Condensed" w:hAnsi="Barlow Semi Condensed"/>
          <w:sz w:val="24"/>
          <w:szCs w:val="24"/>
        </w:rPr>
        <w:t xml:space="preserve"> Percorso per intero il territorio, il conto si scrive così. Sei documenti nominano l'uomo con segnatura fuori dell'opera dedicata; due soli riguardano il rapporto con Moro; nessuno riguarda il caso del 1978; il grafo del corpus non lo contiene; la quadriga tace su millesettecento blocchi. Restano tre archi asseriti e non documentati, e per ciascuno Stato Zero la sua sede. Nessun nesso nuovo.</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Serie sessantaquattresima — Gli errori corretti e il tasso d’errore</w:t>
      </w:r>
    </w:p>
    <w:p>
      <w:pPr>
        <w:spacing w:after="120" w:line="276"/>
        <w:jc w:val="both"/>
      </w:pPr>
      <w:r>
        <w:rPr>
          <w:rFonts w:ascii="Barlow Semi Condensed" w:cs="Barlow Semi Condensed" w:eastAsia="Barlow Semi Condensed" w:hAnsi="Barlow Semi Condensed"/>
          <w:i/>
          <w:iCs/>
          <w:sz w:val="24"/>
          <w:szCs w:val="24"/>
        </w:rPr>
        <w:t xml:space="preserve">Blocchi 4856-4925.</w:t>
      </w:r>
    </w:p>
    <w:p>
      <w:pPr>
        <w:spacing w:after="120" w:line="276"/>
        <w:jc w:val="both"/>
      </w:pPr>
      <w:r>
        <w:rPr>
          <w:rFonts w:ascii="Barlow Semi Condensed" w:cs="Barlow Semi Condensed" w:eastAsia="Barlow Semi Condensed" w:hAnsi="Barlow Semi Condensed"/>
          <w:b/>
          <w:bCs/>
          <w:sz w:val="24"/>
          <w:szCs w:val="24"/>
        </w:rPr>
        <w:t xml:space="preserve">4856 · Statuto della serie sessantaquattresima.</w:t>
      </w:r>
      <w:r>
        <w:rPr>
          <w:rFonts w:ascii="Barlow Semi Condensed" w:cs="Barlow Semi Condensed" w:eastAsia="Barlow Semi Condensed" w:hAnsi="Barlow Semi Condensed"/>
          <w:sz w:val="24"/>
          <w:szCs w:val="24"/>
        </w:rPr>
        <w:t xml:space="preserve"> Il territorio di questa serie non è un archivio ma un registro degli errori: la Nota di revisione n. 1 in approfondimento-piste-di-testa.md, la Nota di revisione n. 2 in triangolazioni-guevara-moro.md, e i quattro apparati di verifica del corpus, K, V, C ed F. Triangolare un nome contro un registro di correzioni significa chiedere quante volte quel nome abbia costretto il corpus a correggersi, e con quale grado.</w:t>
      </w:r>
    </w:p>
    <w:p>
      <w:pPr>
        <w:spacing w:after="120" w:line="276"/>
        <w:jc w:val="both"/>
      </w:pPr>
      <w:r>
        <w:rPr>
          <w:rFonts w:ascii="Barlow Semi Condensed" w:cs="Barlow Semi Condensed" w:eastAsia="Barlow Semi Condensed" w:hAnsi="Barlow Semi Condensed"/>
          <w:b/>
          <w:bCs/>
          <w:sz w:val="24"/>
          <w:szCs w:val="24"/>
        </w:rPr>
        <w:t xml:space="preserve">4857 · La prima nota non lo nomina.</w:t>
      </w:r>
      <w:r>
        <w:rPr>
          <w:rFonts w:ascii="Barlow Semi Condensed" w:cs="Barlow Semi Condensed" w:eastAsia="Barlow Semi Condensed" w:hAnsi="Barlow Semi Condensed"/>
          <w:sz w:val="24"/>
          <w:szCs w:val="24"/>
        </w:rPr>
        <w:t xml:space="preserve"> La Nota di revisione n. 1 corregge una testimonianza italiana: l'ingegner Alessandro Marini ammise ai consulenti della Commissione Moro 2 che il parabrezza del suo motorino era rotto da giorni e rattoppato col nastro, come mostrano le fotografie scattate in via Fani la mattina stessa dell'agguato. Henry Kissinger non vi compare in alcuna forma. Stato Zero dichiarato: la prima autocorrezione del corpus riguarda un teste, non un ministro straniero.</w:t>
      </w:r>
    </w:p>
    <w:p>
      <w:pPr>
        <w:spacing w:after="120" w:line="276"/>
        <w:jc w:val="both"/>
      </w:pPr>
      <w:r>
        <w:rPr>
          <w:rFonts w:ascii="Barlow Semi Condensed" w:cs="Barlow Semi Condensed" w:eastAsia="Barlow Semi Condensed" w:hAnsi="Barlow Semi Condensed"/>
          <w:b/>
          <w:bCs/>
          <w:sz w:val="24"/>
          <w:szCs w:val="24"/>
        </w:rPr>
        <w:t xml:space="preserve">4858 · La riga E2 e il suo perimetro.</w:t>
      </w:r>
      <w:r>
        <w:rPr>
          <w:rFonts w:ascii="Barlow Semi Condensed" w:cs="Barlow Semi Condensed" w:eastAsia="Barlow Semi Condensed" w:hAnsi="Barlow Semi Condensed"/>
          <w:sz w:val="24"/>
          <w:szCs w:val="24"/>
        </w:rPr>
        <w:t xml:space="preserve"> In metodologie-del-dossier-sinaptogenesi-e-strumenti.md la nota del 25 agosto 2026 retrocede la riga E2 della matrice ACH sulle due moto da diagnostica a controversa, restituendo pieno campo all'ipotesi H1. Quella matrice interroga la dinamica di via Fani e nessuna delle sue righe tocca il versante atlantico. Regola di lettura: la retrocessione di un'evidenza testimoniale non muta il grado di alcuna affermazione sul settembre 1974.</w:t>
      </w:r>
    </w:p>
    <w:p>
      <w:pPr>
        <w:spacing w:after="120" w:line="276"/>
        <w:jc w:val="both"/>
      </w:pPr>
      <w:r>
        <w:rPr>
          <w:rFonts w:ascii="Barlow Semi Condensed" w:cs="Barlow Semi Condensed" w:eastAsia="Barlow Semi Condensed" w:hAnsi="Barlow Semi Condensed"/>
          <w:b/>
          <w:bCs/>
          <w:sz w:val="24"/>
          <w:szCs w:val="24"/>
        </w:rPr>
        <w:t xml:space="preserve">4859 · Dove il nome entra nel registro.</w:t>
      </w:r>
      <w:r>
        <w:rPr>
          <w:rFonts w:ascii="Barlow Semi Condensed" w:cs="Barlow Semi Condensed" w:eastAsia="Barlow Semi Condensed" w:hAnsi="Barlow Semi Condensed"/>
          <w:sz w:val="24"/>
          <w:szCs w:val="24"/>
        </w:rPr>
        <w:t xml:space="preserve"> Nella sesta sezione di triangolazioni-guevara-moro.md sta la Nota di revisione n. 2, unico luogo del corpus in cui una correzione formale abbia per oggetto proprio questo nome. Vi si registrano sette precisazioni al nodo M-5, senza riscrivere il nodo. Accertamento di grado A sul fatto editoriale: la nota esiste, porta la data del 25 agosto 2026, e nasce dalla campagna condotta per l'opera dei mille blocchi.</w:t>
      </w:r>
    </w:p>
    <w:p>
      <w:pPr>
        <w:spacing w:after="120" w:line="276"/>
        <w:jc w:val="both"/>
      </w:pPr>
      <w:r>
        <w:rPr>
          <w:rFonts w:ascii="Barlow Semi Condensed" w:cs="Barlow Semi Condensed" w:eastAsia="Barlow Semi Condensed" w:hAnsi="Barlow Semi Condensed"/>
          <w:b/>
          <w:bCs/>
          <w:sz w:val="24"/>
          <w:szCs w:val="24"/>
        </w:rPr>
        <w:t xml:space="preserve">4860 · Sette precisazioni, nessuna promozione.</w:t>
      </w:r>
      <w:r>
        <w:rPr>
          <w:rFonts w:ascii="Barlow Semi Condensed" w:cs="Barlow Semi Condensed" w:eastAsia="Barlow Semi Condensed" w:hAnsi="Barlow Semi Condensed"/>
          <w:sz w:val="24"/>
          <w:szCs w:val="24"/>
        </w:rPr>
        <w:t xml:space="preserve"> Le sette precisazioni non spostano il grado: l'esito dichiarato è che M-5 resta testimonianza contestata e non accertamento. Va detto perché il fraintendimento è facile, e una correzione abbondante suggerisce che qualcosa si sia mosso. Qui si è mosso il contorno, cioè fonte, sede, data e smentita, non il centro. Regola: il numero delle precisazioni misura il lavoro compiuto, non la solidità del fatto corretto.</w:t>
      </w:r>
    </w:p>
    <w:p>
      <w:pPr>
        <w:spacing w:after="120" w:line="276"/>
        <w:jc w:val="both"/>
      </w:pPr>
      <w:r>
        <w:rPr>
          <w:rFonts w:ascii="Barlow Semi Condensed" w:cs="Barlow Semi Condensed" w:eastAsia="Barlow Semi Condensed" w:hAnsi="Barlow Semi Condensed"/>
          <w:b/>
          <w:bCs/>
          <w:sz w:val="24"/>
          <w:szCs w:val="24"/>
        </w:rPr>
        <w:t xml:space="preserve">4861 · La smentita mancava, ed esiste.</w:t>
      </w:r>
      <w:r>
        <w:rPr>
          <w:rFonts w:ascii="Barlow Semi Condensed" w:cs="Barlow Semi Condensed" w:eastAsia="Barlow Semi Condensed" w:hAnsi="Barlow Semi Condensed"/>
          <w:sz w:val="24"/>
          <w:szCs w:val="24"/>
        </w:rPr>
        <w:t xml:space="preserve"> La smentita mancava, ed è la prima delle sette: il nodo riportava la testimonianza senza il diniego dell'interessato, che esiste in due forme, diretta e circostanziata a un giornalista poco prima della morte, generica e anteriore già nel 1983. Difetto di compilazione, non di ricerca: la fonte c'era. Bersaglio permanente: nessuna resa pubblica dell'episodio è ammessa senza la smentita accanto, pena la ricaduta nell'errore corretto.</w:t>
      </w:r>
    </w:p>
    <w:p>
      <w:pPr>
        <w:spacing w:after="120" w:line="276"/>
        <w:jc w:val="both"/>
      </w:pPr>
      <w:r>
        <w:rPr>
          <w:rFonts w:ascii="Barlow Semi Condensed" w:cs="Barlow Semi Condensed" w:eastAsia="Barlow Semi Condensed" w:hAnsi="Barlow Semi Condensed"/>
          <w:b/>
          <w:bCs/>
          <w:sz w:val="24"/>
          <w:szCs w:val="24"/>
        </w:rPr>
        <w:t xml:space="preserve">4862 · De relato, e il grado che segue.</w:t>
      </w:r>
      <w:r>
        <w:rPr>
          <w:rFonts w:ascii="Barlow Semi Condensed" w:cs="Barlow Semi Condensed" w:eastAsia="Barlow Semi Condensed" w:hAnsi="Barlow Semi Condensed"/>
          <w:sz w:val="24"/>
          <w:szCs w:val="24"/>
        </w:rPr>
        <w:t xml:space="preserve"> Il teste principale non assistette al colloquio. Corrado Guerzoni depose davanti alla Corte d'assise di Roma nel novembre 1982 avendo appreso il fatto da Aldo Moro e dall'entourage: il dato è di grado A sulla forma della deposizione e abbassa strutturalmente il valore del contenuto. Regola trasferibile a ogni ripresa: chi cita quella testimonianza senza la qualifica de relato produce una copia corrotta.</w:t>
      </w:r>
    </w:p>
    <w:p>
      <w:pPr>
        <w:spacing w:after="120" w:line="276"/>
        <w:jc w:val="both"/>
      </w:pPr>
      <w:r>
        <w:rPr>
          <w:rFonts w:ascii="Barlow Semi Condensed" w:cs="Barlow Semi Condensed" w:eastAsia="Barlow Semi Condensed" w:hAnsi="Barlow Semi Condensed"/>
          <w:b/>
          <w:bCs/>
          <w:sz w:val="24"/>
          <w:szCs w:val="24"/>
        </w:rPr>
        <w:t xml:space="preserve">4863 · Il nome ottenuto, non offerto (serie LXIV).</w:t>
      </w:r>
      <w:r>
        <w:rPr>
          <w:rFonts w:ascii="Barlow Semi Condensed" w:cs="Barlow Semi Condensed" w:eastAsia="Barlow Semi Condensed" w:hAnsi="Barlow Semi Condensed"/>
          <w:sz w:val="24"/>
          <w:szCs w:val="24"/>
        </w:rPr>
        <w:t xml:space="preserve"> In aula la vedova parlò di un'alta personalità senza nominarla, e fu il presidente della corte, richiamando il portavoce, a ottenere l'indicazione. L'attribuzione del nome è dunque essa stessa indiretta, e si somma alla mediazione già presente nel de relato. Due mediazioni sovrapposte: il corpus le conta separatamente e non le fonde, perché ciascuna ha una sede di verifica propria nei verbali d'udienza romani.</w:t>
      </w:r>
    </w:p>
    <w:p>
      <w:pPr>
        <w:spacing w:after="120" w:line="276"/>
        <w:jc w:val="both"/>
      </w:pPr>
      <w:r>
        <w:rPr>
          <w:rFonts w:ascii="Barlow Semi Condensed" w:cs="Barlow Semi Condensed" w:eastAsia="Barlow Semi Condensed" w:hAnsi="Barlow Semi Condensed"/>
          <w:b/>
          <w:bCs/>
          <w:sz w:val="24"/>
          <w:szCs w:val="24"/>
        </w:rPr>
        <w:t xml:space="preserve">4864 · Tre date per un solo episodio (serie LXIV).</w:t>
      </w:r>
      <w:r>
        <w:rPr>
          <w:rFonts w:ascii="Barlow Semi Condensed" w:cs="Barlow Semi Condensed" w:eastAsia="Barlow Semi Condensed" w:hAnsi="Barlow Semi Condensed"/>
          <w:sz w:val="24"/>
          <w:szCs w:val="24"/>
        </w:rPr>
        <w:t xml:space="preserve"> Quarta precisazione, e la più pesante: il nodo indicava settembre 1974, una fonte d'agenzia statunitense dell'aprile 1983 colloca l'alterco all'ambasciata d'Italia a Washington nel 1977, altre sintesi indicano il 1976. Nel 1977 l'incarico di Segretario di Stato era cessato dal 20 gennaio. La divergenza è dirimente e si riporta, non si scioglie. Bersaglio di smentita: un atto datato che fissi luogo e giorno.</w:t>
      </w:r>
    </w:p>
    <w:p>
      <w:pPr>
        <w:spacing w:after="120" w:line="276"/>
        <w:jc w:val="both"/>
      </w:pPr>
      <w:r>
        <w:rPr>
          <w:rFonts w:ascii="Barlow Semi Condensed" w:cs="Barlow Semi Condensed" w:eastAsia="Barlow Semi Condensed" w:hAnsi="Barlow Semi Condensed"/>
          <w:b/>
          <w:bCs/>
          <w:sz w:val="24"/>
          <w:szCs w:val="24"/>
        </w:rPr>
        <w:t xml:space="preserve">4865 · Sede confermata, contenuto no.</w:t>
      </w:r>
      <w:r>
        <w:rPr>
          <w:rFonts w:ascii="Barlow Semi Condensed" w:cs="Barlow Semi Condensed" w:eastAsia="Barlow Semi Condensed" w:hAnsi="Barlow Semi Condensed"/>
          <w:sz w:val="24"/>
          <w:szCs w:val="24"/>
        </w:rPr>
        <w:t xml:space="preserve"> Sede confermata e contenuto no: l'audizione di Eleonora Chiavarelli Moro davanti alla Commissione d'inchiesta è del 1° agosto 1980, ma la frase verbatim è attribuita dalle sintesi alla deposizione giudiziaria del 1982, e dell'audizione si riporta soprattutto il riferimento a minacce dal 1975 in crescita. Quesito d'archivio: il resoconto stenografico della seduta, Doc. XXIII, VIII legislatura, Archivio storico della Camera dei deputati.</w:t>
      </w:r>
    </w:p>
    <w:p>
      <w:pPr>
        <w:spacing w:after="120" w:line="276"/>
        <w:jc w:val="both"/>
      </w:pPr>
      <w:r>
        <w:rPr>
          <w:rFonts w:ascii="Barlow Semi Condensed" w:cs="Barlow Semi Condensed" w:eastAsia="Barlow Semi Condensed" w:hAnsi="Barlow Semi Condensed"/>
          <w:b/>
          <w:bCs/>
          <w:sz w:val="24"/>
          <w:szCs w:val="24"/>
        </w:rPr>
        <w:t xml:space="preserve">4866 · Il verbale che non contiene la frase.</w:t>
      </w:r>
      <w:r>
        <w:rPr>
          <w:rFonts w:ascii="Barlow Semi Condensed" w:cs="Barlow Semi Condensed" w:eastAsia="Barlow Semi Condensed" w:hAnsi="Barlow Semi Condensed"/>
          <w:sz w:val="24"/>
          <w:szCs w:val="24"/>
        </w:rPr>
        <w:t xml:space="preserve"> Sesta precisazione, ed è quella che il corpus considera acquisita: il memorandum of conversation dello Studio Ovale del 25 settembre 1974, FRUS 1969-1976 volume E-15 parte 2 documento 350 nella seconda edizione riveduta, file 1552802 della Ford Library, non contiene alcun ultimatum personale ad Aldo Moro. Poiché la frase è riferita a margine, l'assenza indebolisce la versione che la colloca nell'incontro ufficiale senza provare nulla sul fatto.</w:t>
      </w:r>
    </w:p>
    <w:p>
      <w:pPr>
        <w:spacing w:after="120" w:line="276"/>
        <w:jc w:val="both"/>
      </w:pPr>
      <w:r>
        <w:rPr>
          <w:rFonts w:ascii="Barlow Semi Condensed" w:cs="Barlow Semi Condensed" w:eastAsia="Barlow Semi Condensed" w:hAnsi="Barlow Semi Condensed"/>
          <w:b/>
          <w:bCs/>
          <w:sz w:val="24"/>
          <w:szCs w:val="24"/>
        </w:rPr>
        <w:t xml:space="preserve">4867 · Replicazione senza informazione nuova (serie LXIV).</w:t>
      </w:r>
      <w:r>
        <w:rPr>
          <w:rFonts w:ascii="Barlow Semi Condensed" w:cs="Barlow Semi Condensed" w:eastAsia="Barlow Semi Condensed" w:hAnsi="Barlow Semi Condensed"/>
          <w:sz w:val="24"/>
          <w:szCs w:val="24"/>
        </w:rPr>
        <w:t xml:space="preserve"> Settima, e metodologicamente la più importante: le decine di riprese pressoché identiche risalgono a un unico lancio d'agenzia del 30 novembre 2023, il giorno successivo alla morte. Il rilancio internazionale del 1982 proviene da una pubblicazione di orientamento cospirazionista, citabile come dato di circolazione e non come riscontro. Accertamento di grado A sulla catena: le ripetizioni non aggiungono valore probatorio, come già fissa il blocco 572.</w:t>
      </w:r>
    </w:p>
    <w:p>
      <w:pPr>
        <w:spacing w:after="120" w:line="276"/>
        <w:jc w:val="both"/>
      </w:pPr>
      <w:r>
        <w:rPr>
          <w:rFonts w:ascii="Barlow Semi Condensed" w:cs="Barlow Semi Condensed" w:eastAsia="Barlow Semi Condensed" w:hAnsi="Barlow Semi Condensed"/>
          <w:b/>
          <w:bCs/>
          <w:sz w:val="24"/>
          <w:szCs w:val="24"/>
        </w:rPr>
        <w:t xml:space="preserve">4868 · Le due smentite italiane divergenti.</w:t>
      </w:r>
      <w:r>
        <w:rPr>
          <w:rFonts w:ascii="Barlow Semi Condensed" w:cs="Barlow Semi Condensed" w:eastAsia="Barlow Semi Condensed" w:hAnsi="Barlow Semi Condensed"/>
          <w:sz w:val="24"/>
          <w:szCs w:val="24"/>
        </w:rPr>
        <w:t xml:space="preserve"> La nota registra inoltre due smentite italiane qualificate e la loro divergenza interna: un testimone di primo piano definì l'episodio una leggenda senza fondamento, dicendo di averlo verificato allora con l'interprete perché Moro non parlava inglese, salvo descrivere altrove un colloquio politicamente durissimo; un altro parlò di solo un problema di linguaggio. Nessuno dei due era presente al colloquio riservato: le divergenze si riportano tutte.</w:t>
      </w:r>
    </w:p>
    <w:p>
      <w:pPr>
        <w:spacing w:after="120" w:line="276"/>
        <w:jc w:val="both"/>
      </w:pPr>
      <w:r>
        <w:rPr>
          <w:rFonts w:ascii="Barlow Semi Condensed" w:cs="Barlow Semi Condensed" w:eastAsia="Barlow Semi Condensed" w:hAnsi="Barlow Semi Condensed"/>
          <w:b/>
          <w:bCs/>
          <w:sz w:val="24"/>
          <w:szCs w:val="24"/>
        </w:rPr>
        <w:t xml:space="preserve">4869 · Il limite scritto in coda.</w:t>
      </w:r>
      <w:r>
        <w:rPr>
          <w:rFonts w:ascii="Barlow Semi Condensed" w:cs="Barlow Semi Condensed" w:eastAsia="Barlow Semi Condensed" w:hAnsi="Barlow Semi Condensed"/>
          <w:sz w:val="24"/>
          <w:szCs w:val="24"/>
        </w:rPr>
        <w:t xml:space="preserve"> In coda alla seconda nota sta la dichiarazione di limite: l'accesso ai documenti primari, resoconti stenografici della Commissione e verbali d'udienza, è risultato bloccato, e le precisazioni poggiano su fonti secondarie convergenti. Il blocco 704 chiede di non confondere questo vuoto con uno Stato Zero: là manca il documento, qui manca la sua lettura. Due specie diverse di ignoranza, con due rimedi diversi.</w:t>
      </w:r>
    </w:p>
    <w:p>
      <w:pPr>
        <w:spacing w:after="120" w:line="276"/>
        <w:jc w:val="both"/>
      </w:pPr>
      <w:r>
        <w:rPr>
          <w:rFonts w:ascii="Barlow Semi Condensed" w:cs="Barlow Semi Condensed" w:eastAsia="Barlow Semi Condensed" w:hAnsi="Barlow Semi Condensed"/>
          <w:b/>
          <w:bCs/>
          <w:sz w:val="24"/>
          <w:szCs w:val="24"/>
        </w:rPr>
        <w:t xml:space="preserve">4870 · Apparato K, prima sezione.</w:t>
      </w:r>
      <w:r>
        <w:rPr>
          <w:rFonts w:ascii="Barlow Semi Condensed" w:cs="Barlow Semi Condensed" w:eastAsia="Barlow Semi Condensed" w:hAnsi="Barlow Semi Condensed"/>
          <w:sz w:val="24"/>
          <w:szCs w:val="24"/>
        </w:rPr>
        <w:t xml:space="preserve"> K-1 conferma su fonti istituzionali convergenti la nascita a Fürth il 27 maggio 1923 col nome di Heinz Alfred e la morte a Kent, nel Connecticut, il 29 novembre 2023, e precisa contro il frontespizio dell'opera stessa che l'anglicizzazione non è documentata come atto compiuto allo sbarco del 5 settembre 1938. Il fascicolo d'immigrazione la colloca al 1942-1943; la naturalizzazione è del 19 giugno 1943.</w:t>
      </w:r>
    </w:p>
    <w:p>
      <w:pPr>
        <w:spacing w:after="120" w:line="276"/>
        <w:jc w:val="both"/>
      </w:pPr>
      <w:r>
        <w:rPr>
          <w:rFonts w:ascii="Barlow Semi Condensed" w:cs="Barlow Semi Condensed" w:eastAsia="Barlow Semi Condensed" w:hAnsi="Barlow Semi Condensed"/>
          <w:b/>
          <w:bCs/>
          <w:sz w:val="24"/>
          <w:szCs w:val="24"/>
        </w:rPr>
        <w:t xml:space="preserve">4871 · Dove si chiude la divergenza onomastica.</w:t>
      </w:r>
      <w:r>
        <w:rPr>
          <w:rFonts w:ascii="Barlow Semi Condensed" w:cs="Barlow Semi Condensed" w:eastAsia="Barlow Semi Condensed" w:hAnsi="Barlow Semi Condensed"/>
          <w:sz w:val="24"/>
          <w:szCs w:val="24"/>
        </w:rPr>
        <w:t xml:space="preserve"> La divergenza fra le opere di consultazione, che datano la mutazione al 1938 senza citare documenti, e il fascicolo d'immigrazione che la sposta di cinque anni non si scioglie per autorità. Si chiude in una sola sede: gli originali del fascicolo di naturalizzazione presso i National Archives statunitensi e il programma genealogico dei servizi per l'immigrazione, con richiesta del certificato numerato. Finché non vi si arriva, restano entrambe in campo.</w:t>
      </w:r>
    </w:p>
    <w:p>
      <w:pPr>
        <w:spacing w:after="120" w:line="276"/>
        <w:jc w:val="both"/>
      </w:pPr>
      <w:r>
        <w:rPr>
          <w:rFonts w:ascii="Barlow Semi Condensed" w:cs="Barlow Semi Condensed" w:eastAsia="Barlow Semi Condensed" w:hAnsi="Barlow Semi Condensed"/>
          <w:b/>
          <w:bCs/>
          <w:sz w:val="24"/>
          <w:szCs w:val="24"/>
        </w:rPr>
        <w:t xml:space="preserve">4872 · Gli incarichi, al giorno esatto.</w:t>
      </w:r>
      <w:r>
        <w:rPr>
          <w:rFonts w:ascii="Barlow Semi Condensed" w:cs="Barlow Semi Condensed" w:eastAsia="Barlow Semi Condensed" w:hAnsi="Barlow Semi Condensed"/>
          <w:sz w:val="24"/>
          <w:szCs w:val="24"/>
        </w:rPr>
        <w:t xml:space="preserve"> K-2 fissa le date con una precisione che le formule correnti perdono: Assistente del Presidente per la sicurezza nazionale dal 20 gennaio 1969 al 3 novembre 1975; Segretario di Stato con nomina del 21 settembre 1973, entrata in carica il 22 e cessazione il 20 gennaio 1977. Alcune secondarie datano l'inizio al 23: prevale la fonte istituzionale. La sovrapposizione dei due incarichi durò venticinque mesi.</w:t>
      </w:r>
    </w:p>
    <w:p>
      <w:pPr>
        <w:spacing w:after="120" w:line="276"/>
        <w:jc w:val="both"/>
      </w:pPr>
      <w:r>
        <w:rPr>
          <w:rFonts w:ascii="Barlow Semi Condensed" w:cs="Barlow Semi Condensed" w:eastAsia="Barlow Semi Condensed" w:hAnsi="Barlow Semi Condensed"/>
          <w:b/>
          <w:bCs/>
          <w:sz w:val="24"/>
          <w:szCs w:val="24"/>
        </w:rPr>
        <w:t xml:space="preserve">4873 · Il vincolo che governa ogni riga.</w:t>
      </w:r>
      <w:r>
        <w:rPr>
          <w:rFonts w:ascii="Barlow Semi Condensed" w:cs="Barlow Semi Condensed" w:eastAsia="Barlow Semi Condensed" w:hAnsi="Barlow Semi Condensed"/>
          <w:sz w:val="24"/>
          <w:szCs w:val="24"/>
        </w:rPr>
        <w:t xml:space="preserve"> Lo stesso K-2 accerta il punto giuridico che tutta l'opera rispetta: non risulta alcuna sentenza di condanna, alcun rinvio a giudizio, alcun procedimento penale in alcun Paese, e non fu mai imputato né processato né interrogato da un giudice in sede penale. Sul punto concordano anche le fonti a lui più ostili, che distinguono il libro d'accusa dall'atto giudiziario. Il corpus si ferma al giudicato.</w:t>
      </w:r>
    </w:p>
    <w:p>
      <w:pPr>
        <w:spacing w:after="120" w:line="276"/>
        <w:jc w:val="both"/>
      </w:pPr>
      <w:r>
        <w:rPr>
          <w:rFonts w:ascii="Barlow Semi Condensed" w:cs="Barlow Semi Condensed" w:eastAsia="Barlow Semi Condensed" w:hAnsi="Barlow Semi Condensed"/>
          <w:b/>
          <w:bCs/>
          <w:sz w:val="24"/>
          <w:szCs w:val="24"/>
        </w:rPr>
        <w:t xml:space="preserve">4874 · Il secondo verbale, mai letto.</w:t>
      </w:r>
      <w:r>
        <w:rPr>
          <w:rFonts w:ascii="Barlow Semi Condensed" w:cs="Barlow Semi Condensed" w:eastAsia="Barlow Semi Condensed" w:hAnsi="Barlow Semi Condensed"/>
          <w:sz w:val="24"/>
          <w:szCs w:val="24"/>
        </w:rPr>
        <w:t xml:space="preserve"> K-3 conferma l'esistenza di un ulteriore memorandum del 26 settembre 1974, file 1552806 della Gerald R. Ford Presidential Library, i cui estratti reperiti sono parziali e non del tutto concordi. È un bersaglio d'archivio netto e mai battuto: richiesta di riproduzione integrale alla biblioteca presidenziale di Ann Arbor. Finché il testo non è letto per intero, nessuna affermazione sul suo contenuto sale sopra il possibile.</w:t>
      </w:r>
    </w:p>
    <w:p>
      <w:pPr>
        <w:spacing w:after="120" w:line="276"/>
        <w:jc w:val="both"/>
      </w:pPr>
      <w:r>
        <w:rPr>
          <w:rFonts w:ascii="Barlow Semi Condensed" w:cs="Barlow Semi Condensed" w:eastAsia="Barlow Semi Condensed" w:hAnsi="Barlow Semi Condensed"/>
          <w:b/>
          <w:bCs/>
          <w:sz w:val="24"/>
          <w:szCs w:val="24"/>
        </w:rPr>
        <w:t xml:space="preserve">4875 · Cinque giorni oppure tre.</w:t>
      </w:r>
      <w:r>
        <w:rPr>
          <w:rFonts w:ascii="Barlow Semi Condensed" w:cs="Barlow Semi Condensed" w:eastAsia="Barlow Semi Condensed" w:hAnsi="Barlow Semi Condensed"/>
          <w:sz w:val="24"/>
          <w:szCs w:val="24"/>
        </w:rPr>
        <w:t xml:space="preserve"> Divergenza minore che K-3 riporta e non risolve: il comunicato congiunto negli atti presidenziali data la visita di Stato dal 25 al 29 settembre 1974, la nota editoriale del volume FRUS dal 25 al 27. Si chiude sul programma ufficiale conservato nei fascicoli della Ford Library e sugli atti pubblicati della presidenza. È il tipo di variante che il blocco 563 chiama silente: non sposta il senso, e va comunque chiusa.</w:t>
      </w:r>
    </w:p>
    <w:p>
      <w:pPr>
        <w:spacing w:after="120" w:line="276"/>
        <w:jc w:val="both"/>
      </w:pPr>
      <w:r>
        <w:rPr>
          <w:rFonts w:ascii="Barlow Semi Condensed" w:cs="Barlow Semi Condensed" w:eastAsia="Barlow Semi Condensed" w:hAnsi="Barlow Semi Condensed"/>
          <w:b/>
          <w:bCs/>
          <w:sz w:val="24"/>
          <w:szCs w:val="24"/>
        </w:rPr>
        <w:t xml:space="preserve">4876 · Il giorno della deposizione (serie LXIV).</w:t>
      </w:r>
      <w:r>
        <w:rPr>
          <w:rFonts w:ascii="Barlow Semi Condensed" w:cs="Barlow Semi Condensed" w:eastAsia="Barlow Semi Condensed" w:hAnsi="Barlow Semi Condensed"/>
          <w:sz w:val="24"/>
          <w:szCs w:val="24"/>
        </w:rPr>
        <w:t xml:space="preserve"> K-4 registra che la deposizione romana del novembre 1982 è datata al 10 dalla ricostruzione più ricorrente e al 15 da una fonte: divergenza non risolta. La sede che la chiude è nominata dagli apparati stessi, cioè i verbali d'udienza della Corte d'assise di Roma, oggi compresi nella digitalizzazione dei cinque processi coordinata dall'Archivio di Stato di Roma col Ministero della Giustizia e il Consiglio superiore della magistratura.</w:t>
      </w:r>
    </w:p>
    <w:p>
      <w:pPr>
        <w:spacing w:after="120" w:line="276"/>
        <w:jc w:val="both"/>
      </w:pPr>
      <w:r>
        <w:rPr>
          <w:rFonts w:ascii="Barlow Semi Condensed" w:cs="Barlow Semi Condensed" w:eastAsia="Barlow Semi Condensed" w:hAnsi="Barlow Semi Condensed"/>
          <w:b/>
          <w:bCs/>
          <w:sz w:val="24"/>
          <w:szCs w:val="24"/>
        </w:rPr>
        <w:t xml:space="preserve">4877 · Primo agosto oppure undici.</w:t>
      </w:r>
      <w:r>
        <w:rPr>
          <w:rFonts w:ascii="Barlow Semi Condensed" w:cs="Barlow Semi Condensed" w:eastAsia="Barlow Semi Condensed" w:hAnsi="Barlow Semi Condensed"/>
          <w:sz w:val="24"/>
          <w:szCs w:val="24"/>
        </w:rPr>
        <w:t xml:space="preserve"> Sulla data dell'audizione parlamentare, K-4 segnala una fonte che indica l'11 agosto 1980, verosimilmente per lettura errata dell'abbreviazione del primo. L'ipotesi di errore tipografico è plausibile e resta ipotesi: si verifica in un minuto sul calendario delle sedute della Commissione d'inchiesta della VIII legislatura, presso l'Archivio storico della Camera. È il genere di controllo che costa poco e che, non fatto, si replica per decenni.</w:t>
      </w:r>
    </w:p>
    <w:p>
      <w:pPr>
        <w:spacing w:after="120" w:line="276"/>
        <w:jc w:val="both"/>
      </w:pPr>
      <w:r>
        <w:rPr>
          <w:rFonts w:ascii="Barlow Semi Condensed" w:cs="Barlow Semi Condensed" w:eastAsia="Barlow Semi Condensed" w:hAnsi="Barlow Semi Condensed"/>
          <w:b/>
          <w:bCs/>
          <w:sz w:val="24"/>
          <w:szCs w:val="24"/>
        </w:rPr>
        <w:t xml:space="preserve">4878 · Il proxy come limite dichiarato.</w:t>
      </w:r>
      <w:r>
        <w:rPr>
          <w:rFonts w:ascii="Barlow Semi Condensed" w:cs="Barlow Semi Condensed" w:eastAsia="Barlow Semi Condensed" w:hAnsi="Barlow Semi Condensed"/>
          <w:sz w:val="24"/>
          <w:szCs w:val="24"/>
        </w:rPr>
        <w:t xml:space="preserve"> K-5 scrive senza attenuazioni che la campagna non ha potuto leggere i documenti primari: l'accesso diretto è risultato bloccato, e la verifica poggia su sintesi e secondarie convergenti. Le date qualificate come confermate restano da riscontrare sui testi ufficiali. Chi riprende quelle righe deve sapere quanto pesa ciascuna: è una dichiarazione di peso, non una scusa, e va ripetuta a ogni citazione successiva.</w:t>
      </w:r>
    </w:p>
    <w:p>
      <w:pPr>
        <w:spacing w:after="120" w:line="276"/>
        <w:jc w:val="both"/>
      </w:pPr>
      <w:r>
        <w:rPr>
          <w:rFonts w:ascii="Barlow Semi Condensed" w:cs="Barlow Semi Condensed" w:eastAsia="Barlow Semi Condensed" w:hAnsi="Barlow Semi Condensed"/>
          <w:b/>
          <w:bCs/>
          <w:sz w:val="24"/>
          <w:szCs w:val="24"/>
        </w:rPr>
        <w:t xml:space="preserve">4879 · Un apparato che tace i limiti.</w:t>
      </w:r>
      <w:r>
        <w:rPr>
          <w:rFonts w:ascii="Barlow Semi Condensed" w:cs="Barlow Semi Condensed" w:eastAsia="Barlow Semi Condensed" w:hAnsi="Barlow Semi Condensed"/>
          <w:sz w:val="24"/>
          <w:szCs w:val="24"/>
        </w:rPr>
        <w:t xml:space="preserve"> Regola di lettura che i quattro apparati condividono e che vale come criterio di valutazione esterno: un apparato che dichiara i propri limiti vale più di uno che li nasconde, perché consente di calcolare il residuo d'incertezza. Applicata a questo nome, la regola produce un esito preciso: tutto ciò che il corpus afferma sull'episodio del 1974 poggia su secondarie convergenti, mai su un primario letto.</w:t>
      </w:r>
    </w:p>
    <w:p>
      <w:pPr>
        <w:spacing w:after="120" w:line="276"/>
        <w:jc w:val="both"/>
      </w:pPr>
      <w:r>
        <w:rPr>
          <w:rFonts w:ascii="Barlow Semi Condensed" w:cs="Barlow Semi Condensed" w:eastAsia="Barlow Semi Condensed" w:hAnsi="Barlow Semi Condensed"/>
          <w:b/>
          <w:bCs/>
          <w:sz w:val="24"/>
          <w:szCs w:val="24"/>
        </w:rPr>
        <w:t xml:space="preserve">4880 · Le dodici verifiche dell'agenda.</w:t>
      </w:r>
      <w:r>
        <w:rPr>
          <w:rFonts w:ascii="Barlow Semi Condensed" w:cs="Barlow Semi Condensed" w:eastAsia="Barlow Semi Condensed" w:hAnsi="Barlow Semi Condensed"/>
          <w:sz w:val="24"/>
          <w:szCs w:val="24"/>
        </w:rPr>
        <w:t xml:space="preserve"> L'apparato V dell'agenda di ricerca censisce dodici campagne d'archivio, da V-1 sull'Archivio centrale dello Stato a V-12 sul fascicolo di Roma. Il nome non compare in nessuna delle dodici. Non è una lacuna dell'apparato: l'agenda cerca giacimenti sul caso italiano, e una persona non è un giacimento. Stato Zero da verbalizzare con perimetro esatto, secondo la regola del blocco 285 dell'agenda stessa.</w:t>
      </w:r>
    </w:p>
    <w:p>
      <w:pPr>
        <w:spacing w:after="120" w:line="276"/>
        <w:jc w:val="both"/>
      </w:pPr>
      <w:r>
        <w:rPr>
          <w:rFonts w:ascii="Barlow Semi Condensed" w:cs="Barlow Semi Condensed" w:eastAsia="Barlow Semi Condensed" w:hAnsi="Barlow Semi Condensed"/>
          <w:b/>
          <w:bCs/>
          <w:sz w:val="24"/>
          <w:szCs w:val="24"/>
        </w:rPr>
        <w:t xml:space="preserve">4881 · La sede naturale è V-3.</w:t>
      </w:r>
      <w:r>
        <w:rPr>
          <w:rFonts w:ascii="Barlow Semi Condensed" w:cs="Barlow Semi Condensed" w:eastAsia="Barlow Semi Condensed" w:hAnsi="Barlow Semi Condensed"/>
          <w:sz w:val="24"/>
          <w:szCs w:val="24"/>
        </w:rPr>
        <w:t xml:space="preserve"> Se una carta con quel nome deve stare da qualche parte, sta dove V-3 indica: i Central Foreign Policy Files 1973-1979 su NARA AAD coi telegrammi in testo pieno, la collezione a microfiche intitolata ad Aldo Moro nella FOIA Library del Dipartimento di Stato, la sala di lettura FOIA dell'agenzia, e il Country File Italia della collezione Brzezinski alla Carter Library di Atlanta.</w:t>
      </w:r>
    </w:p>
    <w:p>
      <w:pPr>
        <w:spacing w:after="120" w:line="276"/>
        <w:jc w:val="both"/>
      </w:pPr>
      <w:r>
        <w:rPr>
          <w:rFonts w:ascii="Barlow Semi Condensed" w:cs="Barlow Semi Condensed" w:eastAsia="Barlow Semi Condensed" w:hAnsi="Barlow Semi Condensed"/>
          <w:b/>
          <w:bCs/>
          <w:sz w:val="24"/>
          <w:szCs w:val="24"/>
        </w:rPr>
        <w:t xml:space="preserve">4882 · Le withdrawal cards come bersaglio.</w:t>
      </w:r>
      <w:r>
        <w:rPr>
          <w:rFonts w:ascii="Barlow Semi Condensed" w:cs="Barlow Semi Condensed" w:eastAsia="Barlow Semi Condensed" w:hAnsi="Barlow Semi Condensed"/>
          <w:sz w:val="24"/>
          <w:szCs w:val="24"/>
        </w:rPr>
        <w:t xml:space="preserve"> Dentro V-3 il bersaglio più preciso non è ciò che si legge ma ciò che è stato tolto: le withdrawal cards segnalano il documento trattenuto e ne conservano data, classificazione e ragione del ritiro. Quesito operativo: censire le withdrawal cards del 1974 e del 1978 relative al posto diplomatico di Roma, e per ciascuna presentare istanza di riesame di classifica. Un vuoto schedato è già conoscenza.</w:t>
      </w:r>
    </w:p>
    <w:p>
      <w:pPr>
        <w:spacing w:after="120" w:line="276"/>
        <w:jc w:val="both"/>
      </w:pPr>
      <w:r>
        <w:rPr>
          <w:rFonts w:ascii="Barlow Semi Condensed" w:cs="Barlow Semi Condensed" w:eastAsia="Barlow Semi Condensed" w:hAnsi="Barlow Semi Condensed"/>
          <w:b/>
          <w:bCs/>
          <w:sz w:val="24"/>
          <w:szCs w:val="24"/>
        </w:rPr>
        <w:t xml:space="preserve">4883 · Ventimila pagine e una ricerca.</w:t>
      </w:r>
      <w:r>
        <w:rPr>
          <w:rFonts w:ascii="Barlow Semi Condensed" w:cs="Barlow Semi Condensed" w:eastAsia="Barlow Semi Condensed" w:hAnsi="Barlow Semi Condensed"/>
          <w:sz w:val="24"/>
          <w:szCs w:val="24"/>
        </w:rPr>
        <w:t xml:space="preserve"> V-2 registra il fondo della Commissione Moro 2 all'Archivio storico della Camera, con circa ventimila pagine desecretate sul portale delle inchieste. Il bersaglio applicabile a questa serie è meccanico e non risulta mai eseguito nel corpus: la ricerca a testo pieno del cognome su quel corpus documentale, con verbalizzazione dell'esito quale che sia. Un esito nullo, dichiarato con perimetro e data, è un'acquisizione.</w:t>
      </w:r>
    </w:p>
    <w:p>
      <w:pPr>
        <w:spacing w:after="120" w:line="276"/>
        <w:jc w:val="both"/>
      </w:pPr>
      <w:r>
        <w:rPr>
          <w:rFonts w:ascii="Barlow Semi Condensed" w:cs="Barlow Semi Condensed" w:eastAsia="Barlow Semi Condensed" w:hAnsi="Barlow Semi Condensed"/>
          <w:b/>
          <w:bCs/>
          <w:sz w:val="24"/>
          <w:szCs w:val="24"/>
        </w:rPr>
        <w:t xml:space="preserve">4884 · Il limite vaticano, dichiarato due volte.</w:t>
      </w:r>
      <w:r>
        <w:rPr>
          <w:rFonts w:ascii="Barlow Semi Condensed" w:cs="Barlow Semi Condensed" w:eastAsia="Barlow Semi Condensed" w:hAnsi="Barlow Semi Condensed"/>
          <w:sz w:val="24"/>
          <w:szCs w:val="24"/>
        </w:rPr>
        <w:t xml:space="preserve"> V-5 smentisce l'apertura dell'Archivio Apostolico Vaticano oltre la fine del pontificato di Pio XII, e la seconda campagna della Farnesina ripete il limite nella propria sezione ottava: ogni verifica primaria sugli atti pontifici degli anni Settanta è preclusa allo stato. Il dato non riguarda questo nome ma lo delimita: una parte del 1974 italiano è oggi non verificabile, e nessuna inferenza può riempirla.</w:t>
      </w:r>
    </w:p>
    <w:p>
      <w:pPr>
        <w:spacing w:after="120" w:line="276"/>
        <w:jc w:val="both"/>
      </w:pPr>
      <w:r>
        <w:rPr>
          <w:rFonts w:ascii="Barlow Semi Condensed" w:cs="Barlow Semi Condensed" w:eastAsia="Barlow Semi Condensed" w:hAnsi="Barlow Semi Condensed"/>
          <w:b/>
          <w:bCs/>
          <w:sz w:val="24"/>
          <w:szCs w:val="24"/>
        </w:rPr>
        <w:t xml:space="preserve">4885 · Tremilacinquecento buste senza serie Moro.</w:t>
      </w:r>
      <w:r>
        <w:rPr>
          <w:rFonts w:ascii="Barlow Semi Condensed" w:cs="Barlow Semi Condensed" w:eastAsia="Barlow Semi Condensed" w:hAnsi="Barlow Semi Condensed"/>
          <w:sz w:val="24"/>
          <w:szCs w:val="24"/>
        </w:rPr>
        <w:t xml:space="preserve"> V-6 conferma l'archivio Andreotti all'Istituto Luigi Sturzo, donato nel 2007, circa tremilacinquecento buste, privo di una serie intitolata a Moro: si cerca nelle serie tematiche. È lì, e nel fondo Fanfani dell'Archivio storico del Senato coi suoi quarantatré diari, che un appunto italiano su colloqui col Dipartimento di Stato avrebbe collocazione naturale. Quesito: spoglio mirato sulle annate 1974 e 1978.</w:t>
      </w:r>
    </w:p>
    <w:p>
      <w:pPr>
        <w:spacing w:after="120" w:line="276"/>
        <w:jc w:val="both"/>
      </w:pPr>
      <w:r>
        <w:rPr>
          <w:rFonts w:ascii="Barlow Semi Condensed" w:cs="Barlow Semi Condensed" w:eastAsia="Barlow Semi Condensed" w:hAnsi="Barlow Semi Condensed"/>
          <w:b/>
          <w:bCs/>
          <w:sz w:val="24"/>
          <w:szCs w:val="24"/>
        </w:rPr>
        <w:t xml:space="preserve">4886 · Il registro dei nomi resta chiuso.</w:t>
      </w:r>
      <w:r>
        <w:rPr>
          <w:rFonts w:ascii="Barlow Semi Condensed" w:cs="Barlow Semi Condensed" w:eastAsia="Barlow Semi Condensed" w:hAnsi="Barlow Semi Condensed"/>
          <w:sz w:val="24"/>
          <w:szCs w:val="24"/>
        </w:rPr>
        <w:t xml:space="preserve"> V-11 e C-8 tengono il registro del giudicato, unico luogo del corpus in cui le persone compaiono come responsabili, e vi iscrivono tredici nomi con stati verificati su fonti. Questo nome non vi è e non può esservi: il registro cresce solo per nuovo giudicato, mai per suggestione. Bersaglio di smentita allo stato inesistente: una sentenza definitiva che vi aggiunga una riga.</w:t>
      </w:r>
    </w:p>
    <w:p>
      <w:pPr>
        <w:spacing w:after="120" w:line="276"/>
        <w:jc w:val="both"/>
      </w:pPr>
      <w:r>
        <w:rPr>
          <w:rFonts w:ascii="Barlow Semi Condensed" w:cs="Barlow Semi Condensed" w:eastAsia="Barlow Semi Condensed" w:hAnsi="Barlow Semi Condensed"/>
          <w:b/>
          <w:bCs/>
          <w:sz w:val="24"/>
          <w:szCs w:val="24"/>
        </w:rPr>
        <w:t xml:space="preserve">4887 · Il fascicolo romano e il suo perimetro.</w:t>
      </w:r>
      <w:r>
        <w:rPr>
          <w:rFonts w:ascii="Barlow Semi Condensed" w:cs="Barlow Semi Condensed" w:eastAsia="Barlow Semi Condensed" w:hAnsi="Barlow Semi Condensed"/>
          <w:sz w:val="24"/>
          <w:szCs w:val="24"/>
        </w:rPr>
        <w:t xml:space="preserve"> V-12 e C-9 fissano la sequenza del fascicolo della Procura di Roma sulle terze presenze fino al rigetto dell'archiviazione con sei mesi di nuove indagini, e registrano che nessun elenco pubblico degli esiti genetici esiste. Il perimetro dell'indagine è materiale: bossoli, profili, un caricatore mai esaminato in quarantotto anni. Nessun atto pubblico noto vi include il nome, e il corpus non ve lo introduce per via narrativa.</w:t>
      </w:r>
    </w:p>
    <w:p>
      <w:pPr>
        <w:spacing w:after="120" w:line="276"/>
        <w:jc w:val="both"/>
      </w:pPr>
      <w:r>
        <w:rPr>
          <w:rFonts w:ascii="Barlow Semi Condensed" w:cs="Barlow Semi Condensed" w:eastAsia="Barlow Semi Condensed" w:hAnsi="Barlow Semi Condensed"/>
          <w:b/>
          <w:bCs/>
          <w:sz w:val="24"/>
          <w:szCs w:val="24"/>
        </w:rPr>
        <w:t xml:space="preserve">4888 · Nove verificatori, nessun incontro.</w:t>
      </w:r>
      <w:r>
        <w:rPr>
          <w:rFonts w:ascii="Barlow Semi Condensed" w:cs="Barlow Semi Condensed" w:eastAsia="Barlow Semi Condensed" w:hAnsi="Barlow Semi Condensed"/>
          <w:sz w:val="24"/>
          <w:szCs w:val="24"/>
        </w:rPr>
        <w:t xml:space="preserve"> I nove cantieri impiegano un verificatore di profondità per cantiere, da C-1 sui fondi britannici, francesi e tedeschi fino a C-9 sul fascicolo di Roma. Nessuno dei nove incrocia questo nome. La circostanza va letta insieme al fatto che C-8 ha corretto una data errata della prima campagna: l'apparato funziona e trova errori, e su questo nome non ne ha trovati perché non ne aveva.</w:t>
      </w:r>
    </w:p>
    <w:p>
      <w:pPr>
        <w:spacing w:after="120" w:line="276"/>
        <w:jc w:val="both"/>
      </w:pPr>
      <w:r>
        <w:rPr>
          <w:rFonts w:ascii="Barlow Semi Condensed" w:cs="Barlow Semi Condensed" w:eastAsia="Barlow Semi Condensed" w:hAnsi="Barlow Semi Condensed"/>
          <w:b/>
          <w:bCs/>
          <w:sz w:val="24"/>
          <w:szCs w:val="24"/>
        </w:rPr>
        <w:t xml:space="preserve">4889 · Da FCO 9 a FCO 33.</w:t>
      </w:r>
      <w:r>
        <w:rPr>
          <w:rFonts w:ascii="Barlow Semi Condensed" w:cs="Barlow Semi Condensed" w:eastAsia="Barlow Semi Condensed" w:hAnsi="Barlow Semi Condensed"/>
          <w:sz w:val="24"/>
          <w:szCs w:val="24"/>
        </w:rPr>
        <w:t xml:space="preserve"> C-1 corregge un'ipotesi di ricerca del corpus: i fascicoli italiani di Kew stanno nella serie FCO 33, seguita dal Western European Department, non nella FCO 9 dell'Europa meridionale. È un precedente metodologico direttamente applicabile qui: prima di dichiarare non trovato un fascicolo con questo nome nei National Archives, va verificato di aver interrogato la serie giusta. Un negativo su serie sbagliata non è uno Stato Zero.</w:t>
      </w:r>
    </w:p>
    <w:p>
      <w:pPr>
        <w:spacing w:after="120" w:line="276"/>
        <w:jc w:val="both"/>
      </w:pPr>
      <w:r>
        <w:rPr>
          <w:rFonts w:ascii="Barlow Semi Condensed" w:cs="Barlow Semi Condensed" w:eastAsia="Barlow Semi Condensed" w:hAnsi="Barlow Semi Condensed"/>
          <w:b/>
          <w:bCs/>
          <w:sz w:val="24"/>
          <w:szCs w:val="24"/>
        </w:rPr>
        <w:t xml:space="preserve">4890 · I diari come sede possibile.</w:t>
      </w:r>
      <w:r>
        <w:rPr>
          <w:rFonts w:ascii="Barlow Semi Condensed" w:cs="Barlow Semi Condensed" w:eastAsia="Barlow Semi Condensed" w:hAnsi="Barlow Semi Condensed"/>
          <w:sz w:val="24"/>
          <w:szCs w:val="24"/>
        </w:rPr>
        <w:t xml:space="preserve"> C-3 conferma il fondo Fanfani al Senato per gli anni 1945-2000 con inventario pubblicato, l'archivio Cossiga alla Camera, il fondo Craxi in gran parte digitalizzato. Sono le sedi in cui la memorialistica politica italiana registra i colloqui con Washington in forma privata e datata. Quesito: verificare se le annate 1974 e 1978 dei diari contengano riferimenti al colloquio contestato, riportando l'esito anche se nullo.</w:t>
      </w:r>
    </w:p>
    <w:p>
      <w:pPr>
        <w:spacing w:after="120" w:line="276"/>
        <w:jc w:val="both"/>
      </w:pPr>
      <w:r>
        <w:rPr>
          <w:rFonts w:ascii="Barlow Semi Condensed" w:cs="Barlow Semi Condensed" w:eastAsia="Barlow Semi Condensed" w:hAnsi="Barlow Semi Condensed"/>
          <w:b/>
          <w:bCs/>
          <w:sz w:val="24"/>
          <w:szCs w:val="24"/>
        </w:rPr>
        <w:t xml:space="preserve">4891 · Nessuna nuova acquisizione dichiarata.</w:t>
      </w:r>
      <w:r>
        <w:rPr>
          <w:rFonts w:ascii="Barlow Semi Condensed" w:cs="Barlow Semi Condensed" w:eastAsia="Barlow Semi Condensed" w:hAnsi="Barlow Semi Condensed"/>
          <w:sz w:val="24"/>
          <w:szCs w:val="24"/>
        </w:rPr>
        <w:t xml:space="preserve"> Nessuna acquisizione documentale pubblica rilevante risulta annunciata fra il 2024 e il 2026, e nessun comitato nazionale per il cinquantennale del 2028: C-9 e V-12 registrano lo stesso negativo. Ne discende una conseguenza operativa per questa serie: lo stato delle carte su cui poggia la Nota di revisione n. 2 non è mutato dopo la compilazione, e la nota resta l'ultimo stato conosciuto della questione.</w:t>
      </w:r>
    </w:p>
    <w:p>
      <w:pPr>
        <w:spacing w:after="120" w:line="276"/>
        <w:jc w:val="both"/>
      </w:pPr>
      <w:r>
        <w:rPr>
          <w:rFonts w:ascii="Barlow Semi Condensed" w:cs="Barlow Semi Condensed" w:eastAsia="Barlow Semi Condensed" w:hAnsi="Barlow Semi Condensed"/>
          <w:b/>
          <w:bCs/>
          <w:sz w:val="24"/>
          <w:szCs w:val="24"/>
        </w:rPr>
        <w:t xml:space="preserve">4892 · Ventisei asserzioni, nessuna smentita.</w:t>
      </w:r>
      <w:r>
        <w:rPr>
          <w:rFonts w:ascii="Barlow Semi Condensed" w:cs="Barlow Semi Condensed" w:eastAsia="Barlow Semi Condensed" w:hAnsi="Barlow Semi Condensed"/>
          <w:sz w:val="24"/>
          <w:szCs w:val="24"/>
        </w:rPr>
        <w:t xml:space="preserve"> La seconda campagna della Farnesina dichiara la propria contabilità nell'apparato F: ventisei asserzioni sottoposte a riscontro, ventidue confermate, quattro precisate, nessuna smentita, due formulazioni tecniche corrette, una divergenza chiusa e una aperta dalla verifica stessa. Il nome non compare in alcuna delle quattro sezioni. Il territorio che quella campagna copre è europeo e mediterraneo, non atlantico, e l'assenza vi è coerente.</w:t>
      </w:r>
    </w:p>
    <w:p>
      <w:pPr>
        <w:spacing w:after="120" w:line="276"/>
        <w:jc w:val="both"/>
      </w:pPr>
      <w:r>
        <w:rPr>
          <w:rFonts w:ascii="Barlow Semi Condensed" w:cs="Barlow Semi Condensed" w:eastAsia="Barlow Semi Condensed" w:hAnsi="Barlow Semi Condensed"/>
          <w:b/>
          <w:bCs/>
          <w:sz w:val="24"/>
          <w:szCs w:val="24"/>
        </w:rPr>
        <w:t xml:space="preserve">4893 · La correzione che risale la corrente.</w:t>
      </w:r>
      <w:r>
        <w:rPr>
          <w:rFonts w:ascii="Barlow Semi Condensed" w:cs="Barlow Semi Condensed" w:eastAsia="Barlow Semi Condensed" w:hAnsi="Barlow Semi Condensed"/>
          <w:sz w:val="24"/>
          <w:szCs w:val="24"/>
        </w:rPr>
        <w:t xml:space="preserve"> F registra il fatto che rende credibile l'intero impianto: in due punti la correzione è andata dal corpus verso i documenti nuovi, cioè il traghettamento libico concluso il 15 ottobre 1970 e il bilaterale Moro-Brandt del 31 agosto 1970 a Roma. Un apparato che corregge in una sola direzione conferma se stesso. Criterio da pretendere anche per ogni futura verifica su questo nome.</w:t>
      </w:r>
    </w:p>
    <w:p>
      <w:pPr>
        <w:spacing w:after="120" w:line="276"/>
        <w:jc w:val="both"/>
      </w:pPr>
      <w:r>
        <w:rPr>
          <w:rFonts w:ascii="Barlow Semi Condensed" w:cs="Barlow Semi Condensed" w:eastAsia="Barlow Semi Condensed" w:hAnsi="Barlow Semi Condensed"/>
          <w:b/>
          <w:bCs/>
          <w:sz w:val="24"/>
          <w:szCs w:val="24"/>
        </w:rPr>
        <w:t xml:space="preserve">4894 · L'omonimia si dichiara e si conserva.</w:t>
      </w:r>
      <w:r>
        <w:rPr>
          <w:rFonts w:ascii="Barlow Semi Condensed" w:cs="Barlow Semi Condensed" w:eastAsia="Barlow Semi Condensed" w:hAnsi="Barlow Semi Condensed"/>
          <w:sz w:val="24"/>
          <w:szCs w:val="24"/>
        </w:rPr>
        <w:t xml:space="preserve"> Un'avvertenza di omonimia è conservata dalla campagna, perché il Jorge Jardim dell'inchiesta portoghese non è Jorge Jardim Gonçalves e una confusione onomastica non dichiarata si replica per sempre. La stessa disciplina governa qui la catena Heinz, Henry e la forma errata Harry, corretta per nota all'apertura dell'opera dei mille blocchi: la forma sbagliata resta registrata, la forma esatta è usata ovunque nel testo.</w:t>
      </w:r>
    </w:p>
    <w:p>
      <w:pPr>
        <w:spacing w:after="120" w:line="276"/>
        <w:jc w:val="both"/>
      </w:pPr>
      <w:r>
        <w:rPr>
          <w:rFonts w:ascii="Barlow Semi Condensed" w:cs="Barlow Semi Condensed" w:eastAsia="Barlow Semi Condensed" w:hAnsi="Barlow Semi Condensed"/>
          <w:b/>
          <w:bCs/>
          <w:sz w:val="24"/>
          <w:szCs w:val="24"/>
        </w:rPr>
        <w:t xml:space="preserve">4895 · Una quinta voce alla griglia.</w:t>
      </w:r>
      <w:r>
        <w:rPr>
          <w:rFonts w:ascii="Barlow Semi Condensed" w:cs="Barlow Semi Condensed" w:eastAsia="Barlow Semi Condensed" w:hAnsi="Barlow Semi Condensed"/>
          <w:sz w:val="24"/>
          <w:szCs w:val="24"/>
        </w:rPr>
        <w:t xml:space="preserve"> Alla griglia dei gradi la campagna propone di aggiungere una quinta voce: effetto convergente da causa comune, da dichiarare quando due esiti simultanei discendono provatamente dallo stesso evento e non l'uno dall'altro. Applicata al 1974 la voce è utile, perché la contrarietà statunitense documentata e la pressione interna sul disegno moroteo possono avere radice comune senza che l'una causi l'altra. Serve a impedire una promozione.</w:t>
      </w:r>
    </w:p>
    <w:p>
      <w:pPr>
        <w:spacing w:after="120" w:line="276"/>
        <w:jc w:val="both"/>
      </w:pPr>
      <w:r>
        <w:rPr>
          <w:rFonts w:ascii="Barlow Semi Condensed" w:cs="Barlow Semi Condensed" w:eastAsia="Barlow Semi Condensed" w:hAnsi="Barlow Semi Condensed"/>
          <w:b/>
          <w:bCs/>
          <w:sz w:val="24"/>
          <w:szCs w:val="24"/>
        </w:rPr>
        <w:t xml:space="preserve">4896 · Che cosa non è stabilito (serie LXIV).</w:t>
      </w:r>
      <w:r>
        <w:rPr>
          <w:rFonts w:ascii="Barlow Semi Condensed" w:cs="Barlow Semi Condensed" w:eastAsia="Barlow Semi Condensed" w:hAnsi="Barlow Semi Condensed"/>
          <w:sz w:val="24"/>
          <w:szCs w:val="24"/>
        </w:rPr>
        <w:t xml:space="preserve"> La sezione ottava della seconda campagna è il modello formale di ogni dichiarazione negativa: elenca per esteso ciò che non è stabilito, compreso il punto in cui la tentazione è più forte, e chiude con la formula da imitare, cioè che l'assenza di fonti si colma in archivio e non per inferenza. Trasferita qui: non è stabilito alcun rapporto documentato con la catena di comando del delitto.</w:t>
      </w:r>
    </w:p>
    <w:p>
      <w:pPr>
        <w:spacing w:after="120" w:line="276"/>
        <w:jc w:val="both"/>
      </w:pPr>
      <w:r>
        <w:rPr>
          <w:rFonts w:ascii="Barlow Semi Condensed" w:cs="Barlow Semi Condensed" w:eastAsia="Barlow Semi Condensed" w:hAnsi="Barlow Semi Condensed"/>
          <w:b/>
          <w:bCs/>
          <w:sz w:val="24"/>
          <w:szCs w:val="24"/>
        </w:rPr>
        <w:t xml:space="preserve">4897 · La riga di chiusura come contabilità.</w:t>
      </w:r>
      <w:r>
        <w:rPr>
          <w:rFonts w:ascii="Barlow Semi Condensed" w:cs="Barlow Semi Condensed" w:eastAsia="Barlow Semi Condensed" w:hAnsi="Barlow Semi Condensed"/>
          <w:sz w:val="24"/>
          <w:szCs w:val="24"/>
        </w:rPr>
        <w:t xml:space="preserve"> Contando si chiude la seconda campagna: documenti archiviati, letture incrociate, acquisizioni, correzioni con la loro direzione, divergenze lasciate aperte, Stati Zero condivisi, chiusi e scoperti. È una contabilità esauribile opposta al sospetto inesauribile. Bersaglio proponibile per il dossier di questo nome: la stessa riga finale, con le sue cifre, aggiornata a ogni campagna e pubblicata accanto alle conclusioni.</w:t>
      </w:r>
    </w:p>
    <w:p>
      <w:pPr>
        <w:spacing w:after="120" w:line="276"/>
        <w:jc w:val="both"/>
      </w:pPr>
      <w:r>
        <w:rPr>
          <w:rFonts w:ascii="Barlow Semi Condensed" w:cs="Barlow Semi Condensed" w:eastAsia="Barlow Semi Condensed" w:hAnsi="Barlow Semi Condensed"/>
          <w:b/>
          <w:bCs/>
          <w:sz w:val="24"/>
          <w:szCs w:val="24"/>
        </w:rPr>
        <w:t xml:space="preserve">4898 · Cinquanta capitoli senza questo nome.</w:t>
      </w:r>
      <w:r>
        <w:rPr>
          <w:rFonts w:ascii="Barlow Semi Condensed" w:cs="Barlow Semi Condensed" w:eastAsia="Barlow Semi Condensed" w:hAnsi="Barlow Semi Condensed"/>
          <w:sz w:val="24"/>
          <w:szCs w:val="24"/>
        </w:rPr>
        <w:t xml:space="preserve"> Cinquanta capitoli con asserzione portante, grado prevalente e domanda di falsificazione: così è costruito l'apparato dei gradi dell'opera-madre. Il cognome non vi compare mai, nemmeno al capitolo quindicesimo sugli avvertimenti attorno al tessitore, che grada A l'esistenza di contrarietà e C ogni mandato che ne discenda. L'omissione è deliberata: l'apparato registra gradi e non sospetti, e non nomina persone oltre il giudicato.</w:t>
      </w:r>
    </w:p>
    <w:p>
      <w:pPr>
        <w:spacing w:after="120" w:line="276"/>
        <w:jc w:val="both"/>
      </w:pPr>
      <w:r>
        <w:rPr>
          <w:rFonts w:ascii="Barlow Semi Condensed" w:cs="Barlow Semi Condensed" w:eastAsia="Barlow Semi Condensed" w:hAnsi="Barlow Semi Condensed"/>
          <w:b/>
          <w:bCs/>
          <w:sz w:val="24"/>
          <w:szCs w:val="24"/>
        </w:rPr>
        <w:t xml:space="preserve">4899 · Il capitolo trentanove e il negativo.</w:t>
      </w:r>
      <w:r>
        <w:rPr>
          <w:rFonts w:ascii="Barlow Semi Condensed" w:cs="Barlow Semi Condensed" w:eastAsia="Barlow Semi Condensed" w:hAnsi="Barlow Semi Condensed"/>
          <w:sz w:val="24"/>
          <w:szCs w:val="24"/>
        </w:rPr>
        <w:t xml:space="preserve"> Nell'apparato dei gradi il capitolo trentanovesimo porta grado Ø: gli Stati Zero del caso, cioè il perimetro negativo. La colonna della falsificazione vi scrive che la comparsa del documento oggi assente promuoverebbe lo Stato Zero verso B o A. È la cella esatta in cui una carta con questo nome atterrerebbe se esistesse: non nella Fase quinta, non nel registro dei nomi, ma nella riga del negativo.</w:t>
      </w:r>
    </w:p>
    <w:p>
      <w:pPr>
        <w:spacing w:after="120" w:line="276"/>
        <w:jc w:val="both"/>
      </w:pPr>
      <w:r>
        <w:rPr>
          <w:rFonts w:ascii="Barlow Semi Condensed" w:cs="Barlow Semi Condensed" w:eastAsia="Barlow Semi Condensed" w:hAnsi="Barlow Semi Condensed"/>
          <w:b/>
          <w:bCs/>
          <w:sz w:val="24"/>
          <w:szCs w:val="24"/>
        </w:rPr>
        <w:t xml:space="preserve">4900 · La Fase sesta lo nomina una volta.</w:t>
      </w:r>
      <w:r>
        <w:rPr>
          <w:rFonts w:ascii="Barlow Semi Condensed" w:cs="Barlow Semi Condensed" w:eastAsia="Barlow Semi Condensed" w:hAnsi="Barlow Semi Condensed"/>
          <w:sz w:val="24"/>
          <w:szCs w:val="24"/>
        </w:rPr>
        <w:t xml:space="preserve"> Nel file della Fase sesta il cognome compare una sola volta in tutta la mappa dei gradi, e vi compare dentro lo Stato Zero: manca il documento che leghi Kissinger-persona, o qualunque apparato straniero nominato, alla catena di comando del delitto. Cercato e non trovato. È l'accertamento negativo più importante che il corpus abbia prodotto su questo nome, ed è di pieno valore.</w:t>
      </w:r>
    </w:p>
    <w:p>
      <w:pPr>
        <w:spacing w:after="120" w:line="276"/>
        <w:jc w:val="both"/>
      </w:pPr>
      <w:r>
        <w:rPr>
          <w:rFonts w:ascii="Barlow Semi Condensed" w:cs="Barlow Semi Condensed" w:eastAsia="Barlow Semi Condensed" w:hAnsi="Barlow Semi Condensed"/>
          <w:b/>
          <w:bCs/>
          <w:sz w:val="24"/>
          <w:szCs w:val="24"/>
        </w:rPr>
        <w:t xml:space="preserve">4901 · Il repertorio e il grado B.</w:t>
      </w:r>
      <w:r>
        <w:rPr>
          <w:rFonts w:ascii="Barlow Semi Condensed" w:cs="Barlow Semi Condensed" w:eastAsia="Barlow Semi Condensed" w:hAnsi="Barlow Semi Condensed"/>
          <w:sz w:val="24"/>
          <w:szCs w:val="24"/>
        </w:rPr>
        <w:t xml:space="preserve"> La Fase nona, repertorio del caso, cataloga la famiglia Moro senza alcun addebito e assegna grado B alla loro testimonianza in Commissione e in tribunale, rinviando esplicitamente al nodo M-5. Il rinvio prova che il repertorio non duplica: registra il grado e indirizza alla sede dove il grado è argomentato. Chi cita il repertorio senza aprire M-5 e la sua nota cita un'etichetta, non un accertamento.</w:t>
      </w:r>
    </w:p>
    <w:p>
      <w:pPr>
        <w:spacing w:after="120" w:line="276"/>
        <w:jc w:val="both"/>
      </w:pPr>
      <w:r>
        <w:rPr>
          <w:rFonts w:ascii="Barlow Semi Condensed" w:cs="Barlow Semi Condensed" w:eastAsia="Barlow Semi Condensed" w:hAnsi="Barlow Semi Condensed"/>
          <w:b/>
          <w:bCs/>
          <w:sz w:val="24"/>
          <w:szCs w:val="24"/>
        </w:rPr>
        <w:t xml:space="preserve">4902 · Il salto vietato, per iscritto.</w:t>
      </w:r>
      <w:r>
        <w:rPr>
          <w:rFonts w:ascii="Barlow Semi Condensed" w:cs="Barlow Semi Condensed" w:eastAsia="Barlow Semi Condensed" w:hAnsi="Barlow Semi Condensed"/>
          <w:sz w:val="24"/>
          <w:szCs w:val="24"/>
        </w:rPr>
        <w:t xml:space="preserve"> La parte terza dell'opera-madre distingue due piani senza ambiguità: accertata come contesto l'ostilità di settori dell'alleanza atlantica all'ingresso dei comunisti nell'area di governo, e accertato l'avvertimento riferito da Guerzoni e confermato dalla vedova, sempre smentito dall'interessato; soltanto possibile, cioè livello C, che uno di quei nemici abbia guidato la mano brigatista. Nessun documento italiano o statunitense lo attesta.</w:t>
      </w:r>
    </w:p>
    <w:p>
      <w:pPr>
        <w:spacing w:after="120" w:line="276"/>
        <w:jc w:val="both"/>
      </w:pPr>
      <w:r>
        <w:rPr>
          <w:rFonts w:ascii="Barlow Semi Condensed" w:cs="Barlow Semi Condensed" w:eastAsia="Barlow Semi Condensed" w:hAnsi="Barlow Semi Condensed"/>
          <w:b/>
          <w:bCs/>
          <w:sz w:val="24"/>
          <w:szCs w:val="24"/>
        </w:rPr>
        <w:t xml:space="preserve">4903 · Due indirizzi su duecentottantatré (serie LXIV).</w:t>
      </w:r>
      <w:r>
        <w:rPr>
          <w:rFonts w:ascii="Barlow Semi Condensed" w:cs="Barlow Semi Condensed" w:eastAsia="Barlow Semi Condensed" w:hAnsi="Barlow Semi Condensed"/>
          <w:sz w:val="24"/>
          <w:szCs w:val="24"/>
        </w:rPr>
        <w:t xml:space="preserve"> Duecentottantatré indirizzi distinti per quattrocentosedici citazioni: così l'apparato delle note bibliografiche misura l'impronta documentale dell'opera integrale. Il nome compare in esattamente due, il numero cinquanta e il numero cinquantuno, una pagina divulgativa sulle testimonianze e la ripresa giornalistica di una trasmissione televisiva. Entrambi stanno al piano tre della regola dei tre piani. L'impronta reale di questo nome nel corpus è sottile.</w:t>
      </w:r>
    </w:p>
    <w:p>
      <w:pPr>
        <w:spacing w:after="120" w:line="276"/>
        <w:jc w:val="both"/>
      </w:pPr>
      <w:r>
        <w:rPr>
          <w:rFonts w:ascii="Barlow Semi Condensed" w:cs="Barlow Semi Condensed" w:eastAsia="Barlow Semi Condensed" w:hAnsi="Barlow Semi Condensed"/>
          <w:b/>
          <w:bCs/>
          <w:sz w:val="24"/>
          <w:szCs w:val="24"/>
        </w:rPr>
        <w:t xml:space="preserve">4904 · Sostituire indirizzi con segnature.</w:t>
      </w:r>
      <w:r>
        <w:rPr>
          <w:rFonts w:ascii="Barlow Semi Condensed" w:cs="Barlow Semi Condensed" w:eastAsia="Barlow Semi Condensed" w:hAnsi="Barlow Semi Condensed"/>
          <w:sz w:val="24"/>
          <w:szCs w:val="24"/>
        </w:rPr>
        <w:t xml:space="preserve"> Bersaglio diretto sull'apparato bibliografico: rimpiazzare i due indirizzi terziari con le due segnature che li fonderebbero, cioè il resoconto stenografico dell'audizione del 1° agosto 1980 e il verbale d'udienza della Corte d'assise di Roma del novembre 1982. Finché la sostituzione non avviene vale il blocco 267 del manuale: o la segnatura, o la scheda del citato e non reperito, mai la citazione nuda.</w:t>
      </w:r>
    </w:p>
    <w:p>
      <w:pPr>
        <w:spacing w:after="120" w:line="276"/>
        <w:jc w:val="both"/>
      </w:pPr>
      <w:r>
        <w:rPr>
          <w:rFonts w:ascii="Barlow Semi Condensed" w:cs="Barlow Semi Condensed" w:eastAsia="Barlow Semi Condensed" w:hAnsi="Barlow Semi Condensed"/>
          <w:b/>
          <w:bCs/>
          <w:sz w:val="24"/>
          <w:szCs w:val="24"/>
        </w:rPr>
        <w:t xml:space="preserve">4905 · Un nodo su quarantotto voci.</w:t>
      </w:r>
      <w:r>
        <w:rPr>
          <w:rFonts w:ascii="Barlow Semi Condensed" w:cs="Barlow Semi Condensed" w:eastAsia="Barlow Semi Condensed" w:hAnsi="Barlow Semi Condensed"/>
          <w:sz w:val="24"/>
          <w:szCs w:val="24"/>
        </w:rPr>
        <w:t xml:space="preserve"> Il registro di esecuzione della triangolazione Guevara-Moro conta dieci verifiche interne, ventinove esterne, nove nodi documentati, sei paralleli strutturali e quattro divergenze. Questo nome vive in un solo nodo, M-5, e in nessun'altra voce. Misura grezza ma dichiarabile: una presenza su quarantotto. La densità documentale non misura la responsabilità, come il corpus ripete a proposito della centralità nelle reti: misura quanto si è scritto.</w:t>
      </w:r>
    </w:p>
    <w:p>
      <w:pPr>
        <w:spacing w:after="120" w:line="276"/>
        <w:jc w:val="both"/>
      </w:pPr>
      <w:r>
        <w:rPr>
          <w:rFonts w:ascii="Barlow Semi Condensed" w:cs="Barlow Semi Condensed" w:eastAsia="Barlow Semi Condensed" w:hAnsi="Barlow Semi Condensed"/>
          <w:b/>
          <w:bCs/>
          <w:sz w:val="24"/>
          <w:szCs w:val="24"/>
        </w:rPr>
        <w:t xml:space="preserve">4906 · La tassonomia degli errori guevariani.</w:t>
      </w:r>
      <w:r>
        <w:rPr>
          <w:rFonts w:ascii="Barlow Semi Condensed" w:cs="Barlow Semi Condensed" w:eastAsia="Barlow Semi Condensed" w:hAnsi="Barlow Semi Condensed"/>
          <w:sz w:val="24"/>
          <w:szCs w:val="24"/>
        </w:rPr>
        <w:t xml:space="preserve"> Il bilancio della triangolazione esterna classifica quattro errori accertati, sette imprecisioni da rifontare e un elenco di fonti da sostituire. L'episodio del 1974 non appartiene ad alcuna delle tre classi: non è errore del corpus, non è imprecisione, non è fonte debole da rimpiazzare. È testimonianza contestata, categoria che quella tassonomia non prevedeva e che la Nota di revisione n. 2 ha dovuto introdurre.</w:t>
      </w:r>
    </w:p>
    <w:p>
      <w:pPr>
        <w:spacing w:after="120" w:line="276"/>
        <w:jc w:val="both"/>
      </w:pPr>
      <w:r>
        <w:rPr>
          <w:rFonts w:ascii="Barlow Semi Condensed" w:cs="Barlow Semi Condensed" w:eastAsia="Barlow Semi Condensed" w:hAnsi="Barlow Semi Condensed"/>
          <w:b/>
          <w:bCs/>
          <w:sz w:val="24"/>
          <w:szCs w:val="24"/>
        </w:rPr>
        <w:t xml:space="preserve">4907 · Il caso Orfila come precedente.</w:t>
      </w:r>
      <w:r>
        <w:rPr>
          <w:rFonts w:ascii="Barlow Semi Condensed" w:cs="Barlow Semi Condensed" w:eastAsia="Barlow Semi Condensed" w:hAnsi="Barlow Semi Condensed"/>
          <w:sz w:val="24"/>
          <w:szCs w:val="24"/>
        </w:rPr>
        <w:t xml:space="preserve"> Fra gli errori accertati, E-3 è il più istruttivo: il corpus attribuiva un impiego ottenuto per intercessione di Alejandro Orfila, mentre il direttore del Fondo de Cultura Económica era Arnaldo Orfila Reynal, persona diversa. Una confusione di persone genera un fatto che non esiste. Regola applicata qui: quando una fonte riferisce un nome ottenuto indirettamente, la verifica d'identità precede la verifica del contenuto.</w:t>
      </w:r>
    </w:p>
    <w:p>
      <w:pPr>
        <w:spacing w:after="120" w:line="276"/>
        <w:jc w:val="both"/>
      </w:pPr>
      <w:r>
        <w:rPr>
          <w:rFonts w:ascii="Barlow Semi Condensed" w:cs="Barlow Semi Condensed" w:eastAsia="Barlow Semi Condensed" w:hAnsi="Barlow Semi Condensed"/>
          <w:b/>
          <w:bCs/>
          <w:sz w:val="24"/>
          <w:szCs w:val="24"/>
        </w:rPr>
        <w:t xml:space="preserve">4908 · L'anacronismo che uccide la domanda.</w:t>
      </w:r>
      <w:r>
        <w:rPr>
          <w:rFonts w:ascii="Barlow Semi Condensed" w:cs="Barlow Semi Condensed" w:eastAsia="Barlow Semi Condensed" w:hAnsi="Barlow Semi Condensed"/>
          <w:sz w:val="24"/>
          <w:szCs w:val="24"/>
        </w:rPr>
        <w:t xml:space="preserve"> I-6 corresse un anacronismo, la presidenza della Banca Nazionale attribuita al dicembre 1964 e invece lasciata nel febbraio 1961; la seconda campagna della Farnesina ne rilevò un altro, la Spagna franchista interrogata sul 1978. Lo stesso strumento si applica alla data del 1977: chi collochi lì l'episodio deve accettarne la conseguenza, cioè che l'interlocutore non ricopriva più alcun incarico di governo.</w:t>
      </w:r>
    </w:p>
    <w:p>
      <w:pPr>
        <w:spacing w:after="120" w:line="276"/>
        <w:jc w:val="both"/>
      </w:pPr>
      <w:r>
        <w:rPr>
          <w:rFonts w:ascii="Barlow Semi Condensed" w:cs="Barlow Semi Condensed" w:eastAsia="Barlow Semi Condensed" w:hAnsi="Barlow Semi Condensed"/>
          <w:b/>
          <w:bCs/>
          <w:sz w:val="24"/>
          <w:szCs w:val="24"/>
        </w:rPr>
        <w:t xml:space="preserve">4909 · Attribuire alla fonte, non acquisire.</w:t>
      </w:r>
      <w:r>
        <w:rPr>
          <w:rFonts w:ascii="Barlow Semi Condensed" w:cs="Barlow Semi Condensed" w:eastAsia="Barlow Semi Condensed" w:hAnsi="Barlow Semi Condensed"/>
          <w:sz w:val="24"/>
          <w:szCs w:val="24"/>
        </w:rPr>
        <w:t xml:space="preserve"> E-22 ed E-27 non furono espunti ma riattribuiti: il dettaglio degli inalatori e la cifra dei milletrecentoventitré atti di sovversione restano nel testo con la fonte dichiarata e la marca da riscontrare, invece di circolare come dati acquisiti. È il trattamento esatto che spetta al lancio d'agenzia del 30 novembre 2023, citabile come fonte della circolazione e mai come fonte del fatto riferito.</w:t>
      </w:r>
    </w:p>
    <w:p>
      <w:pPr>
        <w:spacing w:after="120" w:line="276"/>
        <w:jc w:val="both"/>
      </w:pPr>
      <w:r>
        <w:rPr>
          <w:rFonts w:ascii="Barlow Semi Condensed" w:cs="Barlow Semi Condensed" w:eastAsia="Barlow Semi Condensed" w:hAnsi="Barlow Semi Condensed"/>
          <w:b/>
          <w:bCs/>
          <w:sz w:val="24"/>
          <w:szCs w:val="24"/>
        </w:rPr>
        <w:t xml:space="preserve">4910 · Il modulo della correzione applicata.</w:t>
      </w:r>
      <w:r>
        <w:rPr>
          <w:rFonts w:ascii="Barlow Semi Condensed" w:cs="Barlow Semi Condensed" w:eastAsia="Barlow Semi Condensed" w:hAnsi="Barlow Semi Condensed"/>
          <w:sz w:val="24"/>
          <w:szCs w:val="24"/>
        </w:rPr>
        <w:t xml:space="preserve"> Le Note di revisione dei tre documenti guevariani mostrano il formato minimo che il blocco 624 rende obbligatorio: lezione originaria per esteso, lezione corretta, fonte della correzione, data, ragione dell'intervento, nessuna riscrittura silenziosa. Se una futura verifica muterà lo statuto del nodo M-5, dovrà uscire in quella forma, numerata come Nota di revisione n. 3 e agganciata a un identificativo che non muta.</w:t>
      </w:r>
    </w:p>
    <w:p>
      <w:pPr>
        <w:spacing w:after="120" w:line="276"/>
        <w:jc w:val="both"/>
      </w:pPr>
      <w:r>
        <w:rPr>
          <w:rFonts w:ascii="Barlow Semi Condensed" w:cs="Barlow Semi Condensed" w:eastAsia="Barlow Semi Condensed" w:hAnsi="Barlow Semi Condensed"/>
          <w:b/>
          <w:bCs/>
          <w:sz w:val="24"/>
          <w:szCs w:val="24"/>
        </w:rPr>
        <w:t xml:space="preserve">4911 · Il tasso d'errore calcolabile.</w:t>
      </w:r>
      <w:r>
        <w:rPr>
          <w:rFonts w:ascii="Barlow Semi Condensed" w:cs="Barlow Semi Condensed" w:eastAsia="Barlow Semi Condensed" w:hAnsi="Barlow Semi Condensed"/>
          <w:sz w:val="24"/>
          <w:szCs w:val="24"/>
        </w:rPr>
        <w:t xml:space="preserve"> Sulle ventinove verifiche esterne del corpus guevariano gli esiti furono tre errori, nove imprecisioni e diciassette conferme: poco meno di due su cinque richiesero un intervento. È un tasso misurato su campione dichiarato e non trasferibile ad altri versanti. Vale però come ordine di grandezza per chi legga: un corpus che si verifica trova, e trovare è il segno che la verifica è vera.</w:t>
      </w:r>
    </w:p>
    <w:p>
      <w:pPr>
        <w:spacing w:after="120" w:line="276"/>
        <w:jc w:val="both"/>
      </w:pPr>
      <w:r>
        <w:rPr>
          <w:rFonts w:ascii="Barlow Semi Condensed" w:cs="Barlow Semi Condensed" w:eastAsia="Barlow Semi Condensed" w:hAnsi="Barlow Semi Condensed"/>
          <w:b/>
          <w:bCs/>
          <w:sz w:val="24"/>
          <w:szCs w:val="24"/>
        </w:rPr>
        <w:t xml:space="preserve">4912 · Millecinquantacinque tabelle, altra opera.</w:t>
      </w:r>
      <w:r>
        <w:rPr>
          <w:rFonts w:ascii="Barlow Semi Condensed" w:cs="Barlow Semi Condensed" w:eastAsia="Barlow Semi Condensed" w:hAnsi="Barlow Semi Condensed"/>
          <w:sz w:val="24"/>
          <w:szCs w:val="24"/>
        </w:rPr>
        <w:t xml:space="preserve"> Millecinquantacinque righe chiuse con novecentoquarantaquattro verifiche senza rilievi, trentanove discrepanze e settantadue segnaposto: è il bilancio del registro di verifica numerica nella cartella meta. Appartiene però allo studio sanitario pugliese e non al corpus storico, sicché la cifra non si trasferisce. Si cita come prova che l'obbligo del blocco 372, misurare e pubblicare il proprio tasso d'errore, è già stato eseguito almeno una volta qui.</w:t>
      </w:r>
    </w:p>
    <w:p>
      <w:pPr>
        <w:spacing w:after="120" w:line="276"/>
        <w:jc w:val="both"/>
      </w:pPr>
      <w:r>
        <w:rPr>
          <w:rFonts w:ascii="Barlow Semi Condensed" w:cs="Barlow Semi Condensed" w:eastAsia="Barlow Semi Condensed" w:hAnsi="Barlow Semi Condensed"/>
          <w:b/>
          <w:bCs/>
          <w:sz w:val="24"/>
          <w:szCs w:val="24"/>
        </w:rPr>
        <w:t xml:space="preserve">4913 · Otto tracker, zero occorrenze.</w:t>
      </w:r>
      <w:r>
        <w:rPr>
          <w:rFonts w:ascii="Barlow Semi Condensed" w:cs="Barlow Semi Condensed" w:eastAsia="Barlow Semi Condensed" w:hAnsi="Barlow Semi Condensed"/>
          <w:sz w:val="24"/>
          <w:szCs w:val="24"/>
        </w:rPr>
        <w:t xml:space="preserve"> La ricerca meccanica del cognome negli otto tracker della cartella meta, cioè anomalie, checklist di conformità, protocollo di validazione, i due registri di verifica numerica, registro linguistico, apparato editoriale e tracker di stato, dà zero occorrenze. Il dato va dichiarato e subito qualificato: quei file governano un'opera di valutazione economica e non sono la sede dove una carta simile dovrebbe stare. Silenzio non informativo.</w:t>
      </w:r>
    </w:p>
    <w:p>
      <w:pPr>
        <w:spacing w:after="120" w:line="276"/>
        <w:jc w:val="both"/>
      </w:pPr>
      <w:r>
        <w:rPr>
          <w:rFonts w:ascii="Barlow Semi Condensed" w:cs="Barlow Semi Condensed" w:eastAsia="Barlow Semi Condensed" w:hAnsi="Barlow Semi Condensed"/>
          <w:b/>
          <w:bCs/>
          <w:sz w:val="24"/>
          <w:szCs w:val="24"/>
        </w:rPr>
        <w:t xml:space="preserve">4914 · La condizione dell'argomento dal silenzio (serie LXIV).</w:t>
      </w:r>
      <w:r>
        <w:rPr>
          <w:rFonts w:ascii="Barlow Semi Condensed" w:cs="Barlow Semi Condensed" w:eastAsia="Barlow Semi Condensed" w:hAnsi="Barlow Semi Condensed"/>
          <w:sz w:val="24"/>
          <w:szCs w:val="24"/>
        </w:rPr>
        <w:t xml:space="preserve"> La condizione unica perché un silenzio d'archivio significhi qualcosa è fissata al blocco 637: che l'archivio interrogato sia quello dove il documento, se esistesse, dovrebbe stare per prassi dell'amministrazione. Applicata ai tracker della cartella meta la condizione non è soddisfatta e l'esito nullo non pesa. Applicata a V-3 e all'apparato dei gradi è invece soddisfatta: quei due silenzi pesano, e sono stati dichiarati.</w:t>
      </w:r>
    </w:p>
    <w:p>
      <w:pPr>
        <w:spacing w:after="120" w:line="276"/>
        <w:jc w:val="both"/>
      </w:pPr>
      <w:r>
        <w:rPr>
          <w:rFonts w:ascii="Barlow Semi Condensed" w:cs="Barlow Semi Condensed" w:eastAsia="Barlow Semi Condensed" w:hAnsi="Barlow Semi Condensed"/>
          <w:b/>
          <w:bCs/>
          <w:sz w:val="24"/>
          <w:szCs w:val="24"/>
        </w:rPr>
        <w:t xml:space="preserve">4915 · Registrare senza decidere il trattamento.</w:t>
      </w:r>
      <w:r>
        <w:rPr>
          <w:rFonts w:ascii="Barlow Semi Condensed" w:cs="Barlow Semi Condensed" w:eastAsia="Barlow Semi Condensed" w:hAnsi="Barlow Semi Condensed"/>
          <w:sz w:val="24"/>
          <w:szCs w:val="24"/>
        </w:rPr>
        <w:t xml:space="preserve"> Il registro delle anomalie del corpus dichiara di annotare difetti e incoerenze senza deciderne il trattamento, lasciando all'autore la decisione. È la forma amministrativa esatta di cui il versante storico avrebbe bisogno per questo nome: una scheda che elenchi le anomalie note, la data oscillante, la sede oscillante, il nome ottenuto in aula, senza risolverle, così che nessuna resa successiva possa ignorarle per distrazione.</w:t>
      </w:r>
    </w:p>
    <w:p>
      <w:pPr>
        <w:spacing w:after="120" w:line="276"/>
        <w:jc w:val="both"/>
      </w:pPr>
      <w:r>
        <w:rPr>
          <w:rFonts w:ascii="Barlow Semi Condensed" w:cs="Barlow Semi Condensed" w:eastAsia="Barlow Semi Condensed" w:hAnsi="Barlow Semi Condensed"/>
          <w:b/>
          <w:bCs/>
          <w:sz w:val="24"/>
          <w:szCs w:val="24"/>
        </w:rPr>
        <w:t xml:space="preserve">4916 · La checklist come forma trasferibile.</w:t>
      </w:r>
      <w:r>
        <w:rPr>
          <w:rFonts w:ascii="Barlow Semi Condensed" w:cs="Barlow Semi Condensed" w:eastAsia="Barlow Semi Condensed" w:hAnsi="Barlow Semi Condensed"/>
          <w:sz w:val="24"/>
          <w:szCs w:val="24"/>
        </w:rPr>
        <w:t xml:space="preserve"> Ciascun item marcato come soddisfatto, non applicabile o lacuna, con motivazione scritta accanto: è la forma della checklist di conformità nella cartella meta. Trasferita al dossier di questo nome produce un documento breve e utile: per ciascuna delle sette precisazioni della seconda nota, lo stato attuale, la sede che lo chiuderebbe e la data dell'ultimo controllo. Nessuna riga può restare senza una delle tre marche.</w:t>
      </w:r>
    </w:p>
    <w:p>
      <w:pPr>
        <w:spacing w:after="120" w:line="276"/>
        <w:jc w:val="both"/>
      </w:pPr>
      <w:r>
        <w:rPr>
          <w:rFonts w:ascii="Barlow Semi Condensed" w:cs="Barlow Semi Condensed" w:eastAsia="Barlow Semi Condensed" w:hAnsi="Barlow Semi Condensed"/>
          <w:b/>
          <w:bCs/>
          <w:sz w:val="24"/>
          <w:szCs w:val="24"/>
        </w:rPr>
        <w:t xml:space="preserve">4917 · La validazione che nessuno ha fatto.</w:t>
      </w:r>
      <w:r>
        <w:rPr>
          <w:rFonts w:ascii="Barlow Semi Condensed" w:cs="Barlow Semi Condensed" w:eastAsia="Barlow Semi Condensed" w:hAnsi="Barlow Semi Condensed"/>
          <w:sz w:val="24"/>
          <w:szCs w:val="24"/>
        </w:rPr>
        <w:t xml:space="preserve"> Una validazione esterna non può essere condotta da un assistente automatico e richiede lettori reali cronometrati, con esito registrato: così stabilisce il protocollo di validazione della cartella meta. Sul versante storico quel passaggio non è mai avvenuto, e nessun lettore esterno ha verificato l'opera dei mille blocchi né la Nota di revisione n. 2. Stato Zero di metodo, che si chiude con tre letture indipendenti e un verbale.</w:t>
      </w:r>
    </w:p>
    <w:p>
      <w:pPr>
        <w:spacing w:after="120" w:line="276"/>
        <w:jc w:val="both"/>
      </w:pPr>
      <w:r>
        <w:rPr>
          <w:rFonts w:ascii="Barlow Semi Condensed" w:cs="Barlow Semi Condensed" w:eastAsia="Barlow Semi Condensed" w:hAnsi="Barlow Semi Condensed"/>
          <w:b/>
          <w:bCs/>
          <w:sz w:val="24"/>
          <w:szCs w:val="24"/>
        </w:rPr>
        <w:t xml:space="preserve">4918 · Glossare ciò che si ripete.</w:t>
      </w:r>
      <w:r>
        <w:rPr>
          <w:rFonts w:ascii="Barlow Semi Condensed" w:cs="Barlow Semi Condensed" w:eastAsia="Barlow Semi Condensed" w:hAnsi="Barlow Semi Condensed"/>
          <w:sz w:val="24"/>
          <w:szCs w:val="24"/>
        </w:rPr>
        <w:t xml:space="preserve"> Il registro linguistico documenta una violazione sistematica, un acronimo mai sciolto in quattro prodotti su quattro, e la corregge al primo utilizzo di ciascuno. La stessa passata manca sul versante storico, dove ricorrono senza glossa memorandum of conversation, de relato, withdrawal card e la sigla FRUS. Bersaglio minimo e immediatamente eseguibile: una nota di scioglimento alla prima occorrenza in ciascun documento, senza toccare il testo.</w:t>
      </w:r>
    </w:p>
    <w:p>
      <w:pPr>
        <w:spacing w:after="120" w:line="276"/>
        <w:jc w:val="both"/>
      </w:pPr>
      <w:r>
        <w:rPr>
          <w:rFonts w:ascii="Barlow Semi Condensed" w:cs="Barlow Semi Condensed" w:eastAsia="Barlow Semi Condensed" w:hAnsi="Barlow Semi Condensed"/>
          <w:b/>
          <w:bCs/>
          <w:sz w:val="24"/>
          <w:szCs w:val="24"/>
        </w:rPr>
        <w:t xml:space="preserve">4919 · La tabella dei tagli è vuota.</w:t>
      </w:r>
      <w:r>
        <w:rPr>
          <w:rFonts w:ascii="Barlow Semi Condensed" w:cs="Barlow Semi Condensed" w:eastAsia="Barlow Semi Condensed" w:hAnsi="Barlow Semi Condensed"/>
          <w:sz w:val="24"/>
          <w:szCs w:val="24"/>
        </w:rPr>
        <w:t xml:space="preserve"> Esiste un file per registrare ciò che viene spostato fuori dal corpo principale dei tomi, e la sua tabella non contiene alcuna riga: nessun materiale risulta rimosso. Applicato a questa serie, il dato sostiene un'affermazione negativa che altrimenti resterebbe indimostrabile: l'esiguità delle occorrenze del nome non deriva da un'espunzione, ma dal fatto che il corpus non ne ha mai avute di più.</w:t>
      </w:r>
    </w:p>
    <w:p>
      <w:pPr>
        <w:spacing w:after="120" w:line="276"/>
        <w:jc w:val="both"/>
      </w:pPr>
      <w:r>
        <w:rPr>
          <w:rFonts w:ascii="Barlow Semi Condensed" w:cs="Barlow Semi Condensed" w:eastAsia="Barlow Semi Condensed" w:hAnsi="Barlow Semi Condensed"/>
          <w:b/>
          <w:bCs/>
          <w:sz w:val="24"/>
          <w:szCs w:val="24"/>
        </w:rPr>
        <w:t xml:space="preserve">4920 · La storia dei commit come prova.</w:t>
      </w:r>
      <w:r>
        <w:rPr>
          <w:rFonts w:ascii="Barlow Semi Condensed" w:cs="Barlow Semi Condensed" w:eastAsia="Barlow Semi Condensed" w:hAnsi="Barlow Semi Condensed"/>
          <w:sz w:val="24"/>
          <w:szCs w:val="24"/>
        </w:rPr>
        <w:t xml:space="preserve"> L'affermazione precedente ha però un verificatore migliore della tabella dei tagli, e va nominato: il repository è versionato, e l'interrogazione della storia dei commit sulle occorrenze del cognome stabilisce quando il nome sia entrato nel corpus e se qualche passaggio che lo conteneva sia mai stato rimosso. Bersaglio di smentita di questa serie: un commit che mostri un'espunzione non dichiarata.</w:t>
      </w:r>
    </w:p>
    <w:p>
      <w:pPr>
        <w:spacing w:after="120" w:line="276"/>
        <w:jc w:val="both"/>
      </w:pPr>
      <w:r>
        <w:rPr>
          <w:rFonts w:ascii="Barlow Semi Condensed" w:cs="Barlow Semi Condensed" w:eastAsia="Barlow Semi Condensed" w:hAnsi="Barlow Semi Condensed"/>
          <w:b/>
          <w:bCs/>
          <w:sz w:val="24"/>
          <w:szCs w:val="24"/>
        </w:rPr>
        <w:t xml:space="preserve">4921 · Il registro numerato delle correzioni.</w:t>
      </w:r>
      <w:r>
        <w:rPr>
          <w:rFonts w:ascii="Barlow Semi Condensed" w:cs="Barlow Semi Condensed" w:eastAsia="Barlow Semi Condensed" w:hAnsi="Barlow Semi Condensed"/>
          <w:sz w:val="24"/>
          <w:szCs w:val="24"/>
        </w:rPr>
        <w:t xml:space="preserve"> Numerare e pubblicare le note di revisione è prescritto dal blocco 288 del manuale investigativo, perché la storia degli errori corretti è la credenziale del metodo e non la sua vergogna. Il corpus ne ha due. La terza esiste già in potenza e il suo oggetto è nominabile: la sostituzione delle secondarie convergenti coi due primari, quando saranno stati effettivamente letti.</w:t>
      </w:r>
    </w:p>
    <w:p>
      <w:pPr>
        <w:spacing w:after="120" w:line="276"/>
        <w:jc w:val="both"/>
      </w:pPr>
      <w:r>
        <w:rPr>
          <w:rFonts w:ascii="Barlow Semi Condensed" w:cs="Barlow Semi Condensed" w:eastAsia="Barlow Semi Condensed" w:hAnsi="Barlow Semi Condensed"/>
          <w:b/>
          <w:bCs/>
          <w:sz w:val="24"/>
          <w:szCs w:val="24"/>
        </w:rPr>
        <w:t xml:space="preserve">4922 · Il testimone-oracolo e il suo antidoto.</w:t>
      </w:r>
      <w:r>
        <w:rPr>
          <w:rFonts w:ascii="Barlow Semi Condensed" w:cs="Barlow Semi Condensed" w:eastAsia="Barlow Semi Condensed" w:hAnsi="Barlow Semi Condensed"/>
          <w:sz w:val="24"/>
          <w:szCs w:val="24"/>
        </w:rPr>
        <w:t xml:space="preserve"> L'errore del testimone-oracolo è catalogato al blocco 253 sul caso Marini, una corroborazione fisica assunta sulla parola per decenni, e l'antidoto prescritto è che la corroborazione si verifichi prima di fondare. Applicato al colloquio del 1974, l'antidoto indica che cosa manca: un riscontro materiale indipendente dalla catena testimoniale. L'unico documento pertinente finora reperito dice altro da ciò che gli si fa dire.</w:t>
      </w:r>
    </w:p>
    <w:p>
      <w:pPr>
        <w:spacing w:after="120" w:line="276"/>
        <w:jc w:val="both"/>
      </w:pPr>
      <w:r>
        <w:rPr>
          <w:rFonts w:ascii="Barlow Semi Condensed" w:cs="Barlow Semi Condensed" w:eastAsia="Barlow Semi Condensed" w:hAnsi="Barlow Semi Condensed"/>
          <w:b/>
          <w:bCs/>
          <w:sz w:val="24"/>
          <w:szCs w:val="24"/>
        </w:rPr>
        <w:t xml:space="preserve">4923 · Il registro dei quasi-errori.</w:t>
      </w:r>
      <w:r>
        <w:rPr>
          <w:rFonts w:ascii="Barlow Semi Condensed" w:cs="Barlow Semi Condensed" w:eastAsia="Barlow Semi Condensed" w:hAnsi="Barlow Semi Condensed"/>
          <w:sz w:val="24"/>
          <w:szCs w:val="24"/>
        </w:rPr>
        <w:t xml:space="preserve"> Schedare gli sbagli intercettati prima della pubblicazione come i quasi-incidenti dell'aviazione: così prescrive il blocco 374. Il versante di questo nome ne offre uno esemplare e già intercettato, poiché l'opera dei mille blocchi si apriva presentando il verbale del 25 settembre 1974 come contenente la frase, e la propria campagna di verifica le impose di riscrivere il frontespizio. Il blocco 629 lo dichiara per esteso.</w:t>
      </w:r>
    </w:p>
    <w:p>
      <w:pPr>
        <w:spacing w:after="120" w:line="276"/>
        <w:jc w:val="both"/>
      </w:pPr>
      <w:r>
        <w:rPr>
          <w:rFonts w:ascii="Barlow Semi Condensed" w:cs="Barlow Semi Condensed" w:eastAsia="Barlow Semi Condensed" w:hAnsi="Barlow Semi Condensed"/>
          <w:b/>
          <w:bCs/>
          <w:sz w:val="24"/>
          <w:szCs w:val="24"/>
        </w:rPr>
        <w:t xml:space="preserve">4924 · Che cosa attaccherebbe il red team.</w:t>
      </w:r>
      <w:r>
        <w:rPr>
          <w:rFonts w:ascii="Barlow Semi Condensed" w:cs="Barlow Semi Condensed" w:eastAsia="Barlow Semi Condensed" w:hAnsi="Barlow Semi Condensed"/>
          <w:sz w:val="24"/>
          <w:szCs w:val="24"/>
        </w:rPr>
        <w:t xml:space="preserve"> Qualcuno deve scrivere la miglior confutazione possibile prima della pubblicazione, impone il blocco 356. Contro questa serie la confutazione più forte è nominabile: che dichiarare sistematicamente Stati Zero su un nome equivalga a tenerlo in scena senza prove. La risposta è procedurale e va verbalizzata: ogni Stato Zero qui porta la sede che lo chiuderebbe, e una sede nominata è verificabile da chiunque.</w:t>
      </w:r>
    </w:p>
    <w:p>
      <w:pPr>
        <w:spacing w:after="120" w:line="276"/>
        <w:jc w:val="both"/>
      </w:pPr>
      <w:r>
        <w:rPr>
          <w:rFonts w:ascii="Barlow Semi Condensed" w:cs="Barlow Semi Condensed" w:eastAsia="Barlow Semi Condensed" w:hAnsi="Barlow Semi Condensed"/>
          <w:b/>
          <w:bCs/>
          <w:sz w:val="24"/>
          <w:szCs w:val="24"/>
        </w:rPr>
        <w:t xml:space="preserve">4925 · La porta lasciata aperta.</w:t>
      </w:r>
      <w:r>
        <w:rPr>
          <w:rFonts w:ascii="Barlow Semi Condensed" w:cs="Barlow Semi Condensed" w:eastAsia="Barlow Semi Condensed" w:hAnsi="Barlow Semi Condensed"/>
          <w:sz w:val="24"/>
          <w:szCs w:val="24"/>
        </w:rPr>
        <w:t xml:space="preserve"> La smentita è dichiarata benvenuta dal blocco 999 dei nove cantieri, purché fatta con un documento. Questa serie ne indica la forma esatta: una carta di provenienza, verbale, telegramma o appunto d'ufficio con segnatura, che nomini insieme la persona e un atto italiano del 1974 o del 1978. Con quella carta si sale al piano uno; senza, restano due note di revisione e quattro apparati.</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Serie sessantacinquesima — La chiusura: 4.999 e non 5.000</w:t>
      </w:r>
    </w:p>
    <w:p>
      <w:pPr>
        <w:spacing w:after="120" w:line="276"/>
        <w:jc w:val="both"/>
      </w:pPr>
      <w:r>
        <w:rPr>
          <w:rFonts w:ascii="Barlow Semi Condensed" w:cs="Barlow Semi Condensed" w:eastAsia="Barlow Semi Condensed" w:hAnsi="Barlow Semi Condensed"/>
          <w:i/>
          <w:iCs/>
          <w:sz w:val="24"/>
          <w:szCs w:val="24"/>
        </w:rPr>
        <w:t xml:space="preserve">Blocchi 4926-4999.</w:t>
      </w:r>
    </w:p>
    <w:p>
      <w:pPr>
        <w:spacing w:after="120" w:line="276"/>
        <w:jc w:val="both"/>
      </w:pPr>
      <w:r>
        <w:rPr>
          <w:rFonts w:ascii="Barlow Semi Condensed" w:cs="Barlow Semi Condensed" w:eastAsia="Barlow Semi Condensed" w:hAnsi="Barlow Semi Condensed"/>
          <w:b/>
          <w:bCs/>
          <w:sz w:val="24"/>
          <w:szCs w:val="24"/>
        </w:rPr>
        <w:t xml:space="preserve">4926 · Il conto si dichiara per primo.</w:t>
      </w:r>
      <w:r>
        <w:rPr>
          <w:rFonts w:ascii="Barlow Semi Condensed" w:cs="Barlow Semi Condensed" w:eastAsia="Barlow Semi Condensed" w:hAnsi="Barlow Semi Condensed"/>
          <w:sz w:val="24"/>
          <w:szCs w:val="24"/>
        </w:rPr>
        <w:t xml:space="preserve"> Quest'opera si arresta al blocco 4.999 e non al 5.000. Mille blocchi vengono dalla campagna concettuale ordinata nelle tredici serie che vanno da «Il nome e la mutazione» al «Limite della metafora»; i restanti tremilanovecentonovantanove vengono dalla campagna territoriale, che ha portato lo stesso nome dentro il corpus documento per documento. La cifra mancante si annuncia in apertura, perché è essa stessa un'acquisizione e non un residuo.</w:t>
      </w:r>
    </w:p>
    <w:p>
      <w:pPr>
        <w:spacing w:after="120" w:line="276"/>
        <w:jc w:val="both"/>
      </w:pPr>
      <w:r>
        <w:rPr>
          <w:rFonts w:ascii="Barlow Semi Condensed" w:cs="Barlow Semi Condensed" w:eastAsia="Barlow Semi Condensed" w:hAnsi="Barlow Semi Condensed"/>
          <w:b/>
          <w:bCs/>
          <w:sz w:val="24"/>
          <w:szCs w:val="24"/>
        </w:rPr>
        <w:t xml:space="preserve">4927 · Il blocco cinquemila resta bianco.</w:t>
      </w:r>
      <w:r>
        <w:rPr>
          <w:rFonts w:ascii="Barlow Semi Condensed" w:cs="Barlow Semi Condensed" w:eastAsia="Barlow Semi Condensed" w:hAnsi="Barlow Semi Condensed"/>
          <w:sz w:val="24"/>
          <w:szCs w:val="24"/>
        </w:rPr>
        <w:t xml:space="preserve"> L'ultima casella non è scritta, e l'omissione è deliberata. Non manca per stanchezza né per gusto della simmetria rotta: manca perché, esaurito il corpus, non risulta formulabile su questo nome un ulteriore bersaglio documentale che non duplichi uno già posto. Riempirla avrebbe dimostrato soltanto che si sanno riempire caselle. Qui lo Stato Zero prende la forma più letterale di cui un'opera in blocchi disponga, cioè una riga vuota.</w:t>
      </w:r>
    </w:p>
    <w:p>
      <w:pPr>
        <w:spacing w:after="120" w:line="276"/>
        <w:jc w:val="both"/>
      </w:pPr>
      <w:r>
        <w:rPr>
          <w:rFonts w:ascii="Barlow Semi Condensed" w:cs="Barlow Semi Condensed" w:eastAsia="Barlow Semi Condensed" w:hAnsi="Barlow Semi Condensed"/>
          <w:b/>
          <w:bCs/>
          <w:sz w:val="24"/>
          <w:szCs w:val="24"/>
        </w:rPr>
        <w:t xml:space="preserve">4928 · La sede che chiuderebbe la casella.</w:t>
      </w:r>
      <w:r>
        <w:rPr>
          <w:rFonts w:ascii="Barlow Semi Condensed" w:cs="Barlow Semi Condensed" w:eastAsia="Barlow Semi Condensed" w:hAnsi="Barlow Semi Condensed"/>
          <w:sz w:val="24"/>
          <w:szCs w:val="24"/>
        </w:rPr>
        <w:t xml:space="preserve"> Uno Stato Zero si scrive con la sede d'archivio che lo chiuderebbe, e questo non fa eccezione. Il blocco 5.000 si scriverà il giorno in cui l'Archivio storico-diplomatico della Farnesina renderà consultabili, per gli anni 1969-1974, i carteggi di gabinetto del ministro e la serie dell'ambasciata a Washington. Da lì verrà un ponte al piano 1 oppure la certificazione della sua assenza: in entrambi i casi, una riga.</w:t>
      </w:r>
    </w:p>
    <w:p>
      <w:pPr>
        <w:spacing w:after="120" w:line="276"/>
        <w:jc w:val="both"/>
      </w:pPr>
      <w:r>
        <w:rPr>
          <w:rFonts w:ascii="Barlow Semi Condensed" w:cs="Barlow Semi Condensed" w:eastAsia="Barlow Semi Condensed" w:hAnsi="Barlow Semi Condensed"/>
          <w:b/>
          <w:bCs/>
          <w:sz w:val="24"/>
          <w:szCs w:val="24"/>
        </w:rPr>
        <w:t xml:space="preserve">4929 · Perché non si arrotonda.</w:t>
      </w:r>
      <w:r>
        <w:rPr>
          <w:rFonts w:ascii="Barlow Semi Condensed" w:cs="Barlow Semi Condensed" w:eastAsia="Barlow Semi Condensed" w:hAnsi="Barlow Semi Condensed"/>
          <w:sz w:val="24"/>
          <w:szCs w:val="24"/>
        </w:rPr>
        <w:t xml:space="preserve"> Il numero tondo è una tentazione editoriale e un vizio metodologico: obbliga a produrre l'ultima unità per ragioni di forma, e un blocco prodotto per ragioni di forma è precisamente ciò che il blocco 464 vieta quando proibisce di inventare la carta. Fermarsi a 4.999 costa un'imperfezione tipografica e salva la regola. Il corpus preferisce da sempre una cifra scomoda a una simmetria comprata.</w:t>
      </w:r>
    </w:p>
    <w:p>
      <w:pPr>
        <w:spacing w:after="120" w:line="276"/>
        <w:jc w:val="both"/>
      </w:pPr>
      <w:r>
        <w:rPr>
          <w:rFonts w:ascii="Barlow Semi Condensed" w:cs="Barlow Semi Condensed" w:eastAsia="Barlow Semi Condensed" w:hAnsi="Barlow Semi Condensed"/>
          <w:b/>
          <w:bCs/>
          <w:sz w:val="24"/>
          <w:szCs w:val="24"/>
        </w:rPr>
        <w:t xml:space="preserve">4930 · Due campagne, due metodi.</w:t>
      </w:r>
      <w:r>
        <w:rPr>
          <w:rFonts w:ascii="Barlow Semi Condensed" w:cs="Barlow Semi Condensed" w:eastAsia="Barlow Semi Condensed" w:hAnsi="Barlow Semi Condensed"/>
          <w:sz w:val="24"/>
          <w:szCs w:val="24"/>
        </w:rPr>
        <w:t xml:space="preserve"> La prima campagna lavorava sulla lente dichiarata dal committente e procedeva per categorie: genoma, trascrizione, vettore, epigenetica, filogenesi. La seconda ha rovesciato l'asse e ha proceduto per territori, prendendo un documento del corpus alla volta e chiedendogli se contenesse questo nome. Il rovesciamento non è stilistico: la prima campagna poteva produrre coerenza senza produrre reperti, la seconda no, perché ogni serie doveva dichiarare che cosa aveva aperto.</w:t>
      </w:r>
    </w:p>
    <w:p>
      <w:pPr>
        <w:spacing w:after="120" w:line="276"/>
        <w:jc w:val="both"/>
      </w:pPr>
      <w:r>
        <w:rPr>
          <w:rFonts w:ascii="Barlow Semi Condensed" w:cs="Barlow Semi Condensed" w:eastAsia="Barlow Semi Condensed" w:hAnsi="Barlow Semi Condensed"/>
          <w:b/>
          <w:bCs/>
          <w:sz w:val="24"/>
          <w:szCs w:val="24"/>
        </w:rPr>
        <w:t xml:space="preserve">4931 · Che cosa ha aggiunto il territorio.</w:t>
      </w:r>
      <w:r>
        <w:rPr>
          <w:rFonts w:ascii="Barlow Semi Condensed" w:cs="Barlow Semi Condensed" w:eastAsia="Barlow Semi Condensed" w:hAnsi="Barlow Semi Condensed"/>
          <w:sz w:val="24"/>
          <w:szCs w:val="24"/>
        </w:rPr>
        <w:t xml:space="preserve"> L'aggiunta della seconda campagna non è un fatto nuovo ma una misura: quante volte, aprendo davvero i documenti del corpus, il nome compare. La risposta sta nei conteggi già eseguiti e verbalizzati, e va letta senza sollievo e senza scandalo. Un'opera che triangola cinquemila volte un nome contro un corpus che lo nomina in quindici file su ottantatré ha per risultato principale la propria sproporzione, e deve dirlo.</w:t>
      </w:r>
    </w:p>
    <w:p>
      <w:pPr>
        <w:spacing w:after="120" w:line="276"/>
        <w:jc w:val="both"/>
      </w:pPr>
      <w:r>
        <w:rPr>
          <w:rFonts w:ascii="Barlow Semi Condensed" w:cs="Barlow Semi Condensed" w:eastAsia="Barlow Semi Condensed" w:hAnsi="Barlow Semi Condensed"/>
          <w:b/>
          <w:bCs/>
          <w:sz w:val="24"/>
          <w:szCs w:val="24"/>
        </w:rPr>
        <w:t xml:space="preserve">4932 · Il piano 1, censito per intero.</w:t>
      </w:r>
      <w:r>
        <w:rPr>
          <w:rFonts w:ascii="Barlow Semi Condensed" w:cs="Barlow Semi Condensed" w:eastAsia="Barlow Semi Condensed" w:hAnsi="Barlow Semi Condensed"/>
          <w:sz w:val="24"/>
          <w:szCs w:val="24"/>
        </w:rPr>
        <w:t xml:space="preserve"> Al primo piano, cioè al rapporto diretto documentato, il bilancio è breve e va scritto senza aggettivi: il memorandum dello Studio Ovale del 25 settembre 1974, doc. 350 del FRUS 1969-1976 E-15 parte 2 in seconda edizione riveduta e file 1552802 della Ford Library; il colloquio del giorno dopo, file 1552806; il verbale del Comitato dei 303 dell'11 marzo 1969, FRUS volume XLI documento 180.</w:t>
      </w:r>
    </w:p>
    <w:p>
      <w:pPr>
        <w:spacing w:after="120" w:line="276"/>
        <w:jc w:val="both"/>
      </w:pPr>
      <w:r>
        <w:rPr>
          <w:rFonts w:ascii="Barlow Semi Condensed" w:cs="Barlow Semi Condensed" w:eastAsia="Barlow Semi Condensed" w:hAnsi="Barlow Semi Condensed"/>
          <w:b/>
          <w:bCs/>
          <w:sz w:val="24"/>
          <w:szCs w:val="24"/>
        </w:rPr>
        <w:t xml:space="preserve">4933 · Il secondo verbale non è esaurito.</w:t>
      </w:r>
      <w:r>
        <w:rPr>
          <w:rFonts w:ascii="Barlow Semi Condensed" w:cs="Barlow Semi Condensed" w:eastAsia="Barlow Semi Condensed" w:hAnsi="Barlow Semi Condensed"/>
          <w:sz w:val="24"/>
          <w:szCs w:val="24"/>
        </w:rPr>
        <w:t xml:space="preserve"> Il file 1552806 della Gerald R. Ford Presidential Library resta l'unico documento di piano 1 di cui l'opera abbia usato estratti parziali e non del tutto concordi, come l'apparato K-3 dichiara. È il bersaglio meglio definito che quest'opera lascia aperto: acquisizione integrale del verbale del 26 settembre 1974 presso i National Security Adviser's Memoranda of Conversation, e collazione riga per riga col verbale del giorno precedente.</w:t>
      </w:r>
    </w:p>
    <w:p>
      <w:pPr>
        <w:spacing w:after="120" w:line="276"/>
        <w:jc w:val="both"/>
      </w:pPr>
      <w:r>
        <w:rPr>
          <w:rFonts w:ascii="Barlow Semi Condensed" w:cs="Barlow Semi Condensed" w:eastAsia="Barlow Semi Condensed" w:hAnsi="Barlow Semi Condensed"/>
          <w:b/>
          <w:bCs/>
          <w:sz w:val="24"/>
          <w:szCs w:val="24"/>
        </w:rPr>
        <w:t xml:space="preserve">4934 · Gli atti che restano al piano 1.</w:t>
      </w:r>
      <w:r>
        <w:rPr>
          <w:rFonts w:ascii="Barlow Semi Condensed" w:cs="Barlow Semi Condensed" w:eastAsia="Barlow Semi Condensed" w:hAnsi="Barlow Semi Condensed"/>
          <w:sz w:val="24"/>
          <w:szCs w:val="24"/>
        </w:rPr>
        <w:t xml:space="preserve"> Vanno aggiunti al censimento i documenti in cui il nome compare come firmatario o destinatario di atti non italiani: il memorandum al presidente Ford sugli oppiacei turchi, documento 208 del volume XXX, col NSDM 267 del 23 agosto 1974 al documento 209; il telegramma del 2 agosto 1975 sulla firma dell'Atto finale, volume XXXIX documento 334. Sono atti reali, e nessuno di essi riguarda il caso italiano del 1978.</w:t>
      </w:r>
    </w:p>
    <w:p>
      <w:pPr>
        <w:spacing w:after="120" w:line="276"/>
        <w:jc w:val="both"/>
      </w:pPr>
      <w:r>
        <w:rPr>
          <w:rFonts w:ascii="Barlow Semi Condensed" w:cs="Barlow Semi Condensed" w:eastAsia="Barlow Semi Condensed" w:hAnsi="Barlow Semi Condensed"/>
          <w:b/>
          <w:bCs/>
          <w:sz w:val="24"/>
          <w:szCs w:val="24"/>
        </w:rPr>
        <w:t xml:space="preserve">4935 · Il piano 2, senza promozioni.</w:t>
      </w:r>
      <w:r>
        <w:rPr>
          <w:rFonts w:ascii="Barlow Semi Condensed" w:cs="Barlow Semi Condensed" w:eastAsia="Barlow Semi Condensed" w:hAnsi="Barlow Semi Condensed"/>
          <w:sz w:val="24"/>
          <w:szCs w:val="24"/>
        </w:rPr>
        <w:t xml:space="preserve"> Al secondo piano restano le convergenze entro la stessa cornice: l'ostilità documentata all'ingresso comunista al governo e la contemporanea maturazione della linea morotea; la presenza statunitense nei due teatri delle due morti che il nodo M-5 di </w:t>
      </w:r>
      <w:r>
        <w:rPr>
          <w:rFonts w:ascii="Barlow Semi Condensed" w:cs="Barlow Semi Condensed" w:eastAsia="Barlow Semi Condensed" w:hAnsi="Barlow Semi Condensed"/>
          <w:i/>
          <w:iCs/>
          <w:sz w:val="24"/>
          <w:szCs w:val="24"/>
        </w:rPr>
        <w:t xml:space="preserve">triangolazioni-guevara-moro.md</w:t>
      </w:r>
      <w:r>
        <w:rPr>
          <w:rFonts w:ascii="Barlow Semi Condensed" w:cs="Barlow Semi Condensed" w:eastAsia="Barlow Semi Condensed" w:hAnsi="Barlow Semi Condensed"/>
          <w:sz w:val="24"/>
          <w:szCs w:val="24"/>
        </w:rPr>
        <w:t xml:space="preserve"> registra; la comunanza di tavolo a Helsinki. Nessuna di queste è stata promossa a nesso in cinquemila blocchi, e la mancata promozione è il risultato, non una cautela.</w:t>
      </w:r>
    </w:p>
    <w:p>
      <w:pPr>
        <w:spacing w:after="120" w:line="276"/>
        <w:jc w:val="both"/>
      </w:pPr>
      <w:r>
        <w:rPr>
          <w:rFonts w:ascii="Barlow Semi Condensed" w:cs="Barlow Semi Condensed" w:eastAsia="Barlow Semi Condensed" w:hAnsi="Barlow Semi Condensed"/>
          <w:b/>
          <w:bCs/>
          <w:sz w:val="24"/>
          <w:szCs w:val="24"/>
        </w:rPr>
        <w:t xml:space="preserve">4936 · Il piano 3 e la sorgente unica.</w:t>
      </w:r>
      <w:r>
        <w:rPr>
          <w:rFonts w:ascii="Barlow Semi Condensed" w:cs="Barlow Semi Condensed" w:eastAsia="Barlow Semi Condensed" w:hAnsi="Barlow Semi Condensed"/>
          <w:sz w:val="24"/>
          <w:szCs w:val="24"/>
        </w:rPr>
        <w:t xml:space="preserve"> Al terzo piano — affermazione terziaria priva di riscontro — sta la circolazione dell'episodio dell'avvertimento nella forma pressoché identica che decine di siti ripetono. L'apparato K-4 ne ha risalito la genealogia fino a un unico lancio d'agenzia del 30 novembre 2023, e fino a un rilancio internazionale del 1982 di orientamento apertamente cospirazionista. Molte copie della stessa sequenza non sono molte prove: sono molte copie.</w:t>
      </w:r>
    </w:p>
    <w:p>
      <w:pPr>
        <w:spacing w:after="120" w:line="276"/>
        <w:jc w:val="both"/>
      </w:pPr>
      <w:r>
        <w:rPr>
          <w:rFonts w:ascii="Barlow Semi Condensed" w:cs="Barlow Semi Condensed" w:eastAsia="Barlow Semi Condensed" w:hAnsi="Barlow Semi Condensed"/>
          <w:b/>
          <w:bCs/>
          <w:sz w:val="24"/>
          <w:szCs w:val="24"/>
        </w:rPr>
        <w:t xml:space="preserve">4937 · Nessun nesso causale nuovo (serie LXV).</w:t>
      </w:r>
      <w:r>
        <w:rPr>
          <w:rFonts w:ascii="Barlow Semi Condensed" w:cs="Barlow Semi Condensed" w:eastAsia="Barlow Semi Condensed" w:hAnsi="Barlow Semi Condensed"/>
          <w:sz w:val="24"/>
          <w:szCs w:val="24"/>
        </w:rPr>
        <w:t xml:space="preserve"> La dichiarazione di bilancio del blocco 987 si conferma alla scala di 4.999: né la lente genetica né la campagna territoriale hanno prodotto un solo nesso causale che non fosse già documentato prima. Nessun piano 2 è salito al piano 1, nessuna convergenza è diventata ponte, nessun nome è entrato in alcun registro. Chi userà quest'opera per farlo la userà contro la regola espressa che la governa.</w:t>
      </w:r>
    </w:p>
    <w:p>
      <w:pPr>
        <w:spacing w:after="120" w:line="276"/>
        <w:jc w:val="both"/>
      </w:pPr>
      <w:r>
        <w:rPr>
          <w:rFonts w:ascii="Barlow Semi Condensed" w:cs="Barlow Semi Condensed" w:eastAsia="Barlow Semi Condensed" w:hAnsi="Barlow Semi Condensed"/>
          <w:b/>
          <w:bCs/>
          <w:sz w:val="24"/>
          <w:szCs w:val="24"/>
        </w:rPr>
        <w:t xml:space="preserve">4938 · Lo zero della quadriga, riconfermato.</w:t>
      </w:r>
      <w:r>
        <w:rPr>
          <w:rFonts w:ascii="Barlow Semi Condensed" w:cs="Barlow Semi Condensed" w:eastAsia="Barlow Semi Condensed" w:hAnsi="Barlow Semi Condensed"/>
          <w:sz w:val="24"/>
          <w:szCs w:val="24"/>
        </w:rPr>
        <w:t xml:space="preserve"> La verifica meccanica del blocco 47 regge alla fine come reggeva all'inizio: la stringa non compare in alcuno dei mille blocchi di </w:t>
      </w:r>
      <w:r>
        <w:rPr>
          <w:rFonts w:ascii="Barlow Semi Condensed" w:cs="Barlow Semi Condensed" w:eastAsia="Barlow Semi Condensed" w:hAnsi="Barlow Semi Condensed"/>
          <w:i/>
          <w:iCs/>
          <w:sz w:val="24"/>
          <w:szCs w:val="24"/>
        </w:rPr>
        <w:t xml:space="preserve">nove-cantieri-mille-blocchi.md</w:t>
      </w:r>
      <w:r>
        <w:rPr>
          <w:rFonts w:ascii="Barlow Semi Condensed" w:cs="Barlow Semi Condensed" w:eastAsia="Barlow Semi Condensed" w:hAnsi="Barlow Semi Condensed"/>
          <w:sz w:val="24"/>
          <w:szCs w:val="24"/>
        </w:rPr>
        <w:t xml:space="preserve">, dei quattrocento di </w:t>
      </w:r>
      <w:r>
        <w:rPr>
          <w:rFonts w:ascii="Barlow Semi Condensed" w:cs="Barlow Semi Condensed" w:eastAsia="Barlow Semi Condensed" w:hAnsi="Barlow Semi Condensed"/>
          <w:i/>
          <w:iCs/>
          <w:sz w:val="24"/>
          <w:szCs w:val="24"/>
        </w:rPr>
        <w:t xml:space="preserve">manuale-investigativo-nuovo-caso-moro.md</w:t>
      </w:r>
      <w:r>
        <w:rPr>
          <w:rFonts w:ascii="Barlow Semi Condensed" w:cs="Barlow Semi Condensed" w:eastAsia="Barlow Semi Condensed" w:hAnsi="Barlow Semi Condensed"/>
          <w:sz w:val="24"/>
          <w:szCs w:val="24"/>
        </w:rPr>
        <w:t xml:space="preserve">, dei trecento di </w:t>
      </w:r>
      <w:r>
        <w:rPr>
          <w:rFonts w:ascii="Barlow Semi Condensed" w:cs="Barlow Semi Condensed" w:eastAsia="Barlow Semi Condensed" w:hAnsi="Barlow Semi Condensed"/>
          <w:i/>
          <w:iCs/>
          <w:sz w:val="24"/>
          <w:szCs w:val="24"/>
        </w:rPr>
        <w:t xml:space="preserve">agenda-di-ricerca-del-nuovo-caso-moro.md</w:t>
      </w:r>
      <w:r>
        <w:rPr>
          <w:rFonts w:ascii="Barlow Semi Condensed" w:cs="Barlow Semi Condensed" w:eastAsia="Barlow Semi Condensed" w:hAnsi="Barlow Semi Condensed"/>
          <w:sz w:val="24"/>
          <w:szCs w:val="24"/>
        </w:rPr>
        <w:t xml:space="preserve">. Zero occorrenze su millesettecento unità di ricerca. Il perimetro del vuoto è dichiarato secondo i blocchi 233 e 285 dell'agenda, che fanno della ricerca infruttuosa un atto formale.</w:t>
      </w:r>
    </w:p>
    <w:p>
      <w:pPr>
        <w:spacing w:after="120" w:line="276"/>
        <w:jc w:val="both"/>
      </w:pPr>
      <w:r>
        <w:rPr>
          <w:rFonts w:ascii="Barlow Semi Condensed" w:cs="Barlow Semi Condensed" w:eastAsia="Barlow Semi Condensed" w:hAnsi="Barlow Semi Condensed"/>
          <w:b/>
          <w:bCs/>
          <w:sz w:val="24"/>
          <w:szCs w:val="24"/>
        </w:rPr>
        <w:t xml:space="preserve">4939 · Il nodo che non entra nella rete.</w:t>
      </w:r>
      <w:r>
        <w:rPr>
          <w:rFonts w:ascii="Barlow Semi Condensed" w:cs="Barlow Semi Condensed" w:eastAsia="Barlow Semi Condensed" w:hAnsi="Barlow Semi Condensed"/>
          <w:sz w:val="24"/>
          <w:szCs w:val="24"/>
        </w:rPr>
        <w:t xml:space="preserve"> Nella rete documentata calcolata in </w:t>
      </w:r>
      <w:r>
        <w:rPr>
          <w:rFonts w:ascii="Barlow Semi Condensed" w:cs="Barlow Semi Condensed" w:eastAsia="Barlow Semi Condensed" w:hAnsi="Barlow Semi Condensed"/>
          <w:i/>
          <w:iCs/>
          <w:sz w:val="24"/>
          <w:szCs w:val="24"/>
        </w:rPr>
        <w:t xml:space="preserve">metodologie-del-dossier-sinaptogenesi-e-strumenti.md</w:t>
      </w:r>
      <w:r>
        <w:rPr>
          <w:rFonts w:ascii="Barlow Semi Condensed" w:cs="Barlow Semi Condensed" w:eastAsia="Barlow Semi Condensed" w:hAnsi="Barlow Semi Condensed"/>
          <w:sz w:val="24"/>
          <w:szCs w:val="24"/>
        </w:rPr>
        <w:t xml:space="preserve"> — trentanove nodi e cinquantanove archi, ventotto di grado A, ventisei F, cinque B — questo nome non figura fra i nodi censiti. Non ha betweenness alta né bassa: non ne ha. Il fatto va detto proprio alla fine, quando la mole dell'opera potrebbe suggerire il contrario: cinquemila blocchi intorno a un nome non ne fanno un nodo.</w:t>
      </w:r>
    </w:p>
    <w:p>
      <w:pPr>
        <w:spacing w:after="120" w:line="276"/>
        <w:jc w:val="both"/>
      </w:pPr>
      <w:r>
        <w:rPr>
          <w:rFonts w:ascii="Barlow Semi Condensed" w:cs="Barlow Semi Condensed" w:eastAsia="Barlow Semi Condensed" w:hAnsi="Barlow Semi Condensed"/>
          <w:b/>
          <w:bCs/>
          <w:sz w:val="24"/>
          <w:szCs w:val="24"/>
        </w:rPr>
        <w:t xml:space="preserve">4940 · Che cosa lo farebbe entrare.</w:t>
      </w:r>
      <w:r>
        <w:rPr>
          <w:rFonts w:ascii="Barlow Semi Condensed" w:cs="Barlow Semi Condensed" w:eastAsia="Barlow Semi Condensed" w:hAnsi="Barlow Semi Condensed"/>
          <w:sz w:val="24"/>
          <w:szCs w:val="24"/>
        </w:rPr>
        <w:t xml:space="preserve"> Perché quel nome divenga nodo servono archi, e un arco entra nella rete solo se documentato, gradato e munito di segnatura. Il blocco 53 lo vincola senza eccezioni: si gradua la sinapsi, non il neurone. L'onere di produrre la carta grava su chi propone l'arco, mai su chi lo contesta — è l'antidoto procedurale al nodo calamita descritto al blocco 55, e vale a maggior ragione per i nomi celebri.</w:t>
      </w:r>
    </w:p>
    <w:p>
      <w:pPr>
        <w:spacing w:after="120" w:line="276"/>
        <w:jc w:val="both"/>
      </w:pPr>
      <w:r>
        <w:rPr>
          <w:rFonts w:ascii="Barlow Semi Condensed" w:cs="Barlow Semi Condensed" w:eastAsia="Barlow Semi Condensed" w:hAnsi="Barlow Semi Condensed"/>
          <w:b/>
          <w:bCs/>
          <w:sz w:val="24"/>
          <w:szCs w:val="24"/>
        </w:rPr>
        <w:t xml:space="preserve">4941 · L'anello debole, applicato al bilancio.</w:t>
      </w:r>
      <w:r>
        <w:rPr>
          <w:rFonts w:ascii="Barlow Semi Condensed" w:cs="Barlow Semi Condensed" w:eastAsia="Barlow Semi Condensed" w:hAnsi="Barlow Semi Condensed"/>
          <w:sz w:val="24"/>
          <w:szCs w:val="24"/>
        </w:rPr>
        <w:t xml:space="preserve"> Il grado di un cammino è il grado minimo fra i suoi archi. Un cammino che colleghi lo Studio Ovale del settembre 1974 a via Fani dovrebbe attraversare un arco che il corpus ha cercato e non trovato: quel cammino non ha grado basso, non ha grado affatto. La </w:t>
      </w:r>
      <w:r>
        <w:rPr>
          <w:rFonts w:ascii="Barlow Semi Condensed" w:cs="Barlow Semi Condensed" w:eastAsia="Barlow Semi Condensed" w:hAnsi="Barlow Semi Condensed"/>
          <w:i/>
          <w:iCs/>
          <w:sz w:val="24"/>
          <w:szCs w:val="24"/>
        </w:rPr>
        <w:t xml:space="preserve">fase sesta</w:t>
      </w:r>
      <w:r>
        <w:rPr>
          <w:rFonts w:ascii="Barlow Semi Condensed" w:cs="Barlow Semi Condensed" w:eastAsia="Barlow Semi Condensed" w:hAnsi="Barlow Semi Condensed"/>
          <w:sz w:val="24"/>
          <w:szCs w:val="24"/>
        </w:rPr>
        <w:t xml:space="preserve"> dell'opera-madre lo iscrive fra gli Stati Zero, e la seconda campagna non ha prodotto nulla che lo riapra.</w:t>
      </w:r>
    </w:p>
    <w:p>
      <w:pPr>
        <w:spacing w:after="120" w:line="276"/>
        <w:jc w:val="both"/>
      </w:pPr>
      <w:r>
        <w:rPr>
          <w:rFonts w:ascii="Barlow Semi Condensed" w:cs="Barlow Semi Condensed" w:eastAsia="Barlow Semi Condensed" w:hAnsi="Barlow Semi Condensed"/>
          <w:b/>
          <w:bCs/>
          <w:sz w:val="24"/>
          <w:szCs w:val="24"/>
        </w:rPr>
        <w:t xml:space="preserve">4942 · La colonna americana resta da aprire.</w:t>
      </w:r>
      <w:r>
        <w:rPr>
          <w:rFonts w:ascii="Barlow Semi Condensed" w:cs="Barlow Semi Condensed" w:eastAsia="Barlow Semi Condensed" w:hAnsi="Barlow Semi Condensed"/>
          <w:sz w:val="24"/>
          <w:szCs w:val="24"/>
        </w:rPr>
        <w:t xml:space="preserve"> Il primo prodotto operativo dell'opera, scritto al blocco 49, è ancora un bersaglio e non un cantiere: aprire nella quadriga investigativa la colonna statunitense, che oggi non esiste, con giacimento proprio. Serie FRUS 1969-1976 per intero, Nixon Presidential Materials con NSC Files e Country Files Italy a College Park, National Security Adviser's Memoranda of Conversation alla Ford Library. Chi la aprirà partirà da qui, non da capo.</w:t>
      </w:r>
    </w:p>
    <w:p>
      <w:pPr>
        <w:spacing w:after="120" w:line="276"/>
        <w:jc w:val="both"/>
      </w:pPr>
      <w:r>
        <w:rPr>
          <w:rFonts w:ascii="Barlow Semi Condensed" w:cs="Barlow Semi Condensed" w:eastAsia="Barlow Semi Condensed" w:hAnsi="Barlow Semi Condensed"/>
          <w:b/>
          <w:bCs/>
          <w:sz w:val="24"/>
          <w:szCs w:val="24"/>
        </w:rPr>
        <w:t xml:space="preserve">4943 · Yale, e l'inventario prima della carta.</w:t>
      </w:r>
      <w:r>
        <w:rPr>
          <w:rFonts w:ascii="Barlow Semi Condensed" w:cs="Barlow Semi Condensed" w:eastAsia="Barlow Semi Condensed" w:hAnsi="Barlow Semi Condensed"/>
          <w:sz w:val="24"/>
          <w:szCs w:val="24"/>
        </w:rPr>
        <w:t xml:space="preserve"> Le carte private sono depositate presso Manuscripts and Archives della Yale University Library, e nessuna riga dell'opera le ha lette. Quesito preliminare, prima di qualunque viaggio: acquisire lo strumento di ricerca e le condizioni d'accesso vigenti, comprese le restrizioni temporali su singole serie. È la regola dell'inventario prima del documento, che l'agenda applica a ogni giacimento estero e che qui non ammette scorciatoie.</w:t>
      </w:r>
    </w:p>
    <w:p>
      <w:pPr>
        <w:spacing w:after="120" w:line="276"/>
        <w:jc w:val="both"/>
      </w:pPr>
      <w:r>
        <w:rPr>
          <w:rFonts w:ascii="Barlow Semi Condensed" w:cs="Barlow Semi Condensed" w:eastAsia="Barlow Semi Condensed" w:hAnsi="Barlow Semi Condensed"/>
          <w:b/>
          <w:bCs/>
          <w:sz w:val="24"/>
          <w:szCs w:val="24"/>
        </w:rPr>
        <w:t xml:space="preserve">4944 · L'atto di donazione come documento.</w:t>
      </w:r>
      <w:r>
        <w:rPr>
          <w:rFonts w:ascii="Barlow Semi Condensed" w:cs="Barlow Semi Condensed" w:eastAsia="Barlow Semi Condensed" w:hAnsi="Barlow Semi Condensed"/>
          <w:sz w:val="24"/>
          <w:szCs w:val="24"/>
        </w:rPr>
        <w:t xml:space="preserve"> Depositate al termine del mandato presso la Manuscript Division della Library of Congress, le carte d'ufficio hanno un atto di donazione che è esso stesso una fonte da leggere prima di esse: stabilisce chi può vedere che cosa e quando. Bersaglio: acquisirne il testo e verbalizzarne le condizioni nel registro delle richieste. Sull'accessibilità di quel deposito si aprì un contenzioso concluso nel 1980, i cui estremi vanno verificati sulla raccolta ufficiale delle decisioni.</w:t>
      </w:r>
    </w:p>
    <w:p>
      <w:pPr>
        <w:spacing w:after="120" w:line="276"/>
        <w:jc w:val="both"/>
      </w:pPr>
      <w:r>
        <w:rPr>
          <w:rFonts w:ascii="Barlow Semi Condensed" w:cs="Barlow Semi Condensed" w:eastAsia="Barlow Semi Condensed" w:hAnsi="Barlow Semi Condensed"/>
          <w:b/>
          <w:bCs/>
          <w:sz w:val="24"/>
          <w:szCs w:val="24"/>
        </w:rPr>
        <w:t xml:space="preserve">4945 · Le trascrizioni telefoniche, da collocare.</w:t>
      </w:r>
      <w:r>
        <w:rPr>
          <w:rFonts w:ascii="Barlow Semi Condensed" w:cs="Barlow Semi Condensed" w:eastAsia="Barlow Semi Condensed" w:hAnsi="Barlow Semi Condensed"/>
          <w:sz w:val="24"/>
          <w:szCs w:val="24"/>
        </w:rPr>
        <w:t xml:space="preserve"> Delle conversazioni telefoniche furono conservate trascrizioni d'ufficio, la cui collocazione e il cui regime mutarono nel tempo per contenzioso e per iniziative di ricerca. Il quesito resta quello del blocco 97, e nessuna delle due campagne lo ha sciolto: presso quale istituto la serie è oggi conservata, quale porzione è consultabile, con quali omissis. Documenta la parola detta e non il testo scritto: uno strato che l'opera non ha toccato.</w:t>
      </w:r>
    </w:p>
    <w:p>
      <w:pPr>
        <w:spacing w:after="120" w:line="276"/>
        <w:jc w:val="both"/>
      </w:pPr>
      <w:r>
        <w:rPr>
          <w:rFonts w:ascii="Barlow Semi Condensed" w:cs="Barlow Semi Condensed" w:eastAsia="Barlow Semi Condensed" w:hAnsi="Barlow Semi Condensed"/>
          <w:b/>
          <w:bCs/>
          <w:sz w:val="24"/>
          <w:szCs w:val="24"/>
        </w:rPr>
        <w:t xml:space="preserve">4946 · College Park e i Country Files.</w:t>
      </w:r>
      <w:r>
        <w:rPr>
          <w:rFonts w:ascii="Barlow Semi Condensed" w:cs="Barlow Semi Condensed" w:eastAsia="Barlow Semi Condensed" w:hAnsi="Barlow Semi Condensed"/>
          <w:sz w:val="24"/>
          <w:szCs w:val="24"/>
        </w:rPr>
        <w:t xml:space="preserve"> Per gli anni 1969-1974 la sede primaria sono i Nixon Presidential Materials presso i National Archives di College Park, con i National Security Council Files e i Country Files Italy. A quella cornice appartiene il memorandum dell'incontro delle Azzorre del 19 giugno 1974 fra Nixon e Spínola, che il corpus registra come fatto pubblico. Stessi faldoni per il bersaglio dottrinale e per quello fattuale: cambia la domanda, non lo scaffale.</w:t>
      </w:r>
    </w:p>
    <w:p>
      <w:pPr>
        <w:spacing w:after="120" w:line="276"/>
        <w:jc w:val="both"/>
      </w:pPr>
      <w:r>
        <w:rPr>
          <w:rFonts w:ascii="Barlow Semi Condensed" w:cs="Barlow Semi Condensed" w:eastAsia="Barlow Semi Condensed" w:hAnsi="Barlow Semi Condensed"/>
          <w:b/>
          <w:bCs/>
          <w:sz w:val="24"/>
          <w:szCs w:val="24"/>
        </w:rPr>
        <w:t xml:space="preserve">4947 · La Carter Library e i cinquantacinque giorni.</w:t>
      </w:r>
      <w:r>
        <w:rPr>
          <w:rFonts w:ascii="Barlow Semi Condensed" w:cs="Barlow Semi Condensed" w:eastAsia="Barlow Semi Condensed" w:hAnsi="Barlow Semi Condensed"/>
          <w:sz w:val="24"/>
          <w:szCs w:val="24"/>
        </w:rPr>
        <w:t xml:space="preserve"> Il sequestro del 1978 cade sotto un'altra presidenza, e la sede è la Jimmy Carter Presidential Library, col fondo del consigliere per la sicurezza nazionale e il fascicolo per paese sull'Italia fra il 1977 e il 1981, che il blocco 133 dell'agenda indica come processato e aperto. Rilievo che va ripetuto perché è dirimente: nel 1978 l'uomo di questa triangolazione non ricopriva alcuna carica di governo.</w:t>
      </w:r>
    </w:p>
    <w:p>
      <w:pPr>
        <w:spacing w:after="120" w:line="276"/>
        <w:jc w:val="both"/>
      </w:pPr>
      <w:r>
        <w:rPr>
          <w:rFonts w:ascii="Barlow Semi Condensed" w:cs="Barlow Semi Condensed" w:eastAsia="Barlow Semi Condensed" w:hAnsi="Barlow Semi Condensed"/>
          <w:b/>
          <w:bCs/>
          <w:sz w:val="24"/>
          <w:szCs w:val="24"/>
        </w:rPr>
        <w:t xml:space="preserve">4948 · Le schede del trattenuto si contano.</w:t>
      </w:r>
      <w:r>
        <w:rPr>
          <w:rFonts w:ascii="Barlow Semi Condensed" w:cs="Barlow Semi Condensed" w:eastAsia="Barlow Semi Condensed" w:hAnsi="Barlow Semi Condensed"/>
          <w:sz w:val="24"/>
          <w:szCs w:val="24"/>
        </w:rPr>
        <w:t xml:space="preserve"> Prima di chiedere ciò che manca occorre sapere che cosa è dichiaratamente trattenuto: le Electronic Telegrams Withdrawal Cards del 1978 nei Central Foreign Policy Files, interrogabili nell'Access to Archival Databases dei National Archives, schedate una per una con serie, data, originatore e stato di richiedibilità. È il blocco 127 dell'agenda e il 116 del manuale, ed è la scheda PE-5 che ne fa la colonna centrale del censimento.</w:t>
      </w:r>
    </w:p>
    <w:p>
      <w:pPr>
        <w:spacing w:after="120" w:line="276"/>
        <w:jc w:val="both"/>
      </w:pPr>
      <w:r>
        <w:rPr>
          <w:rFonts w:ascii="Barlow Semi Condensed" w:cs="Barlow Semi Condensed" w:eastAsia="Barlow Semi Condensed" w:hAnsi="Barlow Semi Condensed"/>
          <w:b/>
          <w:bCs/>
          <w:sz w:val="24"/>
          <w:szCs w:val="24"/>
        </w:rPr>
        <w:t xml:space="preserve">4949 · Il fascicolo FOIA e la cifra incerta.</w:t>
      </w:r>
      <w:r>
        <w:rPr>
          <w:rFonts w:ascii="Barlow Semi Condensed" w:cs="Barlow Semi Condensed" w:eastAsia="Barlow Semi Condensed" w:hAnsi="Barlow Semi Condensed"/>
          <w:sz w:val="24"/>
          <w:szCs w:val="24"/>
        </w:rPr>
        <w:t xml:space="preserve"> La scheda PE-5 di </w:t>
      </w:r>
      <w:r>
        <w:rPr>
          <w:rFonts w:ascii="Barlow Semi Condensed" w:cs="Barlow Semi Condensed" w:eastAsia="Barlow Semi Condensed" w:hAnsi="Barlow Semi Condensed"/>
          <w:i/>
          <w:iCs/>
          <w:sz w:val="24"/>
          <w:szCs w:val="24"/>
        </w:rPr>
        <w:t xml:space="preserve">approfondimento-piste-entita.md</w:t>
      </w:r>
      <w:r>
        <w:rPr>
          <w:rFonts w:ascii="Barlow Semi Condensed" w:cs="Barlow Semi Condensed" w:eastAsia="Barlow Semi Condensed" w:hAnsi="Barlow Semi Condensed"/>
          <w:sz w:val="24"/>
          <w:szCs w:val="24"/>
        </w:rPr>
        <w:t xml:space="preserve"> registra un reperto interno: il lotto del Dipartimento di Stato conservato nella cartella Farnesina reca il numero di caso R-2021-002xx, con lettura OCR oscillante fra 00202 e 00208, e i numeri di controllo B-00001939965…989. La divergenza si dichiara e non si sceglie. Quesito: chiedere il rilascio integrale del fascicolo sotto quel caso, ancorandolo ai numeri di controllo già posseduti.</w:t>
      </w:r>
    </w:p>
    <w:p>
      <w:pPr>
        <w:spacing w:after="120" w:line="276"/>
        <w:jc w:val="both"/>
      </w:pPr>
      <w:r>
        <w:rPr>
          <w:rFonts w:ascii="Barlow Semi Condensed" w:cs="Barlow Semi Condensed" w:eastAsia="Barlow Semi Condensed" w:hAnsi="Barlow Semi Condensed"/>
          <w:b/>
          <w:bCs/>
          <w:sz w:val="24"/>
          <w:szCs w:val="24"/>
        </w:rPr>
        <w:t xml:space="preserve">4950 · La regola dell'originatore, e i 474.</w:t>
      </w:r>
      <w:r>
        <w:rPr>
          <w:rFonts w:ascii="Barlow Semi Condensed" w:cs="Barlow Semi Condensed" w:eastAsia="Barlow Semi Condensed" w:hAnsi="Barlow Semi Condensed"/>
          <w:sz w:val="24"/>
          <w:szCs w:val="24"/>
        </w:rPr>
        <w:t xml:space="preserve"> La pubblicistica riferisce che fra gli atti italiani ancora classificati sul caso circa 474 sarebbero di origine alleata: cifra riferita e non verificata su atto, da citare col suo grado. Il meccanismo che illumina è però certo: per la regola dell'originatore un documento classificato da uno Stato terzo non si desecreta unilateralmente, e le direttive italiane aprono le carte italiane. Il canale è bilaterale, e il quesito è quante richieste di consenso siano mai state formulate.</w:t>
      </w:r>
    </w:p>
    <w:p>
      <w:pPr>
        <w:spacing w:after="120" w:line="276"/>
        <w:jc w:val="both"/>
      </w:pPr>
      <w:r>
        <w:rPr>
          <w:rFonts w:ascii="Barlow Semi Condensed" w:cs="Barlow Semi Condensed" w:eastAsia="Barlow Semi Condensed" w:hAnsi="Barlow Semi Condensed"/>
          <w:b/>
          <w:bCs/>
          <w:sz w:val="24"/>
          <w:szCs w:val="24"/>
        </w:rPr>
        <w:t xml:space="preserve">4951 · La microfiche intitolata a Moro (serie LXV).</w:t>
      </w:r>
      <w:r>
        <w:rPr>
          <w:rFonts w:ascii="Barlow Semi Condensed" w:cs="Barlow Semi Condensed" w:eastAsia="Barlow Semi Condensed" w:hAnsi="Barlow Semi Condensed"/>
          <w:sz w:val="24"/>
          <w:szCs w:val="24"/>
        </w:rPr>
        <w:t xml:space="preserve"> Nella biblioteca FOIA del Dipartimento di Stato è censita una collezione dedicata ad Aldo Moro, rilascio storico su microfiche non interamente digitalizzato. Il blocco 129 dell'agenda fissa il bersaglio in forma di domanda sola: che cosa contiene, che l'interrogazione elettronica non mostra. Quale che sia la risposta, è acquisizione di pieno valore — e nessuna delle due campagne su questo nome l'ha ancora eseguita.</w:t>
      </w:r>
    </w:p>
    <w:p>
      <w:pPr>
        <w:spacing w:after="120" w:line="276"/>
        <w:jc w:val="both"/>
      </w:pPr>
      <w:r>
        <w:rPr>
          <w:rFonts w:ascii="Barlow Semi Condensed" w:cs="Barlow Semi Condensed" w:eastAsia="Barlow Semi Condensed" w:hAnsi="Barlow Semi Condensed"/>
          <w:b/>
          <w:bCs/>
          <w:sz w:val="24"/>
          <w:szCs w:val="24"/>
        </w:rPr>
        <w:t xml:space="preserve">4952 · FRUS resta una selezione.</w:t>
      </w:r>
      <w:r>
        <w:rPr>
          <w:rFonts w:ascii="Barlow Semi Condensed" w:cs="Barlow Semi Condensed" w:eastAsia="Barlow Semi Condensed" w:hAnsi="Barlow Semi Condensed"/>
          <w:sz w:val="24"/>
          <w:szCs w:val="24"/>
        </w:rPr>
        <w:t xml:space="preserve"> Va ripetuto in chiusura perché è l'errore di citazione più frequente: Foreign Relations of the United States è una selezione ufficiale curata e non il fondo. Il blocco 134 dell'agenda ne trae la conseguenza operativa — ogni nota a piè di pagina è una segnatura da seguire — e il blocco 98 la formula come divieto: nessuna assenza in FRUS equivale ad assenza in archivio. Leggere la prefazione del volume è parte del metodo.</w:t>
      </w:r>
    </w:p>
    <w:p>
      <w:pPr>
        <w:spacing w:after="120" w:line="276"/>
        <w:jc w:val="both"/>
      </w:pPr>
      <w:r>
        <w:rPr>
          <w:rFonts w:ascii="Barlow Semi Condensed" w:cs="Barlow Semi Condensed" w:eastAsia="Barlow Semi Condensed" w:hAnsi="Barlow Semi Condensed"/>
          <w:b/>
          <w:bCs/>
          <w:sz w:val="24"/>
          <w:szCs w:val="24"/>
        </w:rPr>
        <w:t xml:space="preserve">4953 · La seconda edizione riveduta (serie LXV).</w:t>
      </w:r>
      <w:r>
        <w:rPr>
          <w:rFonts w:ascii="Barlow Semi Condensed" w:cs="Barlow Semi Condensed" w:eastAsia="Barlow Semi Condensed" w:hAnsi="Barlow Semi Condensed"/>
          <w:sz w:val="24"/>
          <w:szCs w:val="24"/>
        </w:rPr>
        <w:t xml:space="preserve"> La precisazione di citazione va conservata ogni volta che il documento 350 viene richiamato: si trova nella seconda edizione riveduta del volume E-15 parte 2, non nella prima. Chi cita senza quella specificazione cita un oggetto editoriale diverso da quello verificato. È un dettaglio filologico, ed è esattamente il genere di dettaglio da cui, nel paradigma indiziario che il corpus adotta, dipende la ripetibilità di una verifica.</w:t>
      </w:r>
    </w:p>
    <w:p>
      <w:pPr>
        <w:spacing w:after="120" w:line="276"/>
        <w:jc w:val="both"/>
      </w:pPr>
      <w:r>
        <w:rPr>
          <w:rFonts w:ascii="Barlow Semi Condensed" w:cs="Barlow Semi Condensed" w:eastAsia="Barlow Semi Condensed" w:hAnsi="Barlow Semi Condensed"/>
          <w:b/>
          <w:bCs/>
          <w:sz w:val="24"/>
          <w:szCs w:val="24"/>
        </w:rPr>
        <w:t xml:space="preserve">4954 · Gli atti della Corte d'assise di Roma.</w:t>
      </w:r>
      <w:r>
        <w:rPr>
          <w:rFonts w:ascii="Barlow Semi Condensed" w:cs="Barlow Semi Condensed" w:eastAsia="Barlow Semi Condensed" w:hAnsi="Barlow Semi Condensed"/>
          <w:sz w:val="24"/>
          <w:szCs w:val="24"/>
        </w:rPr>
        <w:t xml:space="preserve"> Il portavoce di Moro depose davanti alla Corte d'assise di Roma nel novembre 1982, e l'opera non ha letto quel verbale d'udienza. Sede di chiusura: gli atti dei cinque processi Moro nel lotto digitalizzato conservato presso l'Archivio di Stato di Roma. Finché la lettura non è eseguita, tutto ciò che si scrive sul contenuto della deposizione poggia su sintesi secondarie, e va detto in ogni singola ripresa.</w:t>
      </w:r>
    </w:p>
    <w:p>
      <w:pPr>
        <w:spacing w:after="120" w:line="276"/>
        <w:jc w:val="both"/>
      </w:pPr>
      <w:r>
        <w:rPr>
          <w:rFonts w:ascii="Barlow Semi Condensed" w:cs="Barlow Semi Condensed" w:eastAsia="Barlow Semi Condensed" w:hAnsi="Barlow Semi Condensed"/>
          <w:b/>
          <w:bCs/>
          <w:sz w:val="24"/>
          <w:szCs w:val="24"/>
        </w:rPr>
        <w:t xml:space="preserve">4955 · Il Doc. XXIII e l'audizione del 1980.</w:t>
      </w:r>
      <w:r>
        <w:rPr>
          <w:rFonts w:ascii="Barlow Semi Condensed" w:cs="Barlow Semi Condensed" w:eastAsia="Barlow Semi Condensed" w:hAnsi="Barlow Semi Condensed"/>
          <w:sz w:val="24"/>
          <w:szCs w:val="24"/>
        </w:rPr>
        <w:t xml:space="preserve"> La sede parlamentare è confermata — Commissione d'inchiesta sul caso Moro, audizione della vedova il 1° agosto 1980 — ma il contenuto verbatim in quella sede resta da riscontrare sui resoconti stenografici raccolti nel Doc. XXIII della VIII legislatura. Sede confermata, contenuto no: i due piani vanno tenuti distinti, come impone l'apparato K-4, e la loro fusione è l'errore che le riprese giornalistiche commettono più spesso.</w:t>
      </w:r>
    </w:p>
    <w:p>
      <w:pPr>
        <w:spacing w:after="120" w:line="276"/>
        <w:jc w:val="both"/>
      </w:pPr>
      <w:r>
        <w:rPr>
          <w:rFonts w:ascii="Barlow Semi Condensed" w:cs="Barlow Semi Condensed" w:eastAsia="Barlow Semi Condensed" w:hAnsi="Barlow Semi Condensed"/>
          <w:b/>
          <w:bCs/>
          <w:sz w:val="24"/>
          <w:szCs w:val="24"/>
        </w:rPr>
        <w:t xml:space="preserve">4956 · Il limite tecnico, dichiarato di nuovo.</w:t>
      </w:r>
      <w:r>
        <w:rPr>
          <w:rFonts w:ascii="Barlow Semi Condensed" w:cs="Barlow Semi Condensed" w:eastAsia="Barlow Semi Condensed" w:hAnsi="Barlow Semi Condensed"/>
          <w:sz w:val="24"/>
          <w:szCs w:val="24"/>
        </w:rPr>
        <w:t xml:space="preserve"> L'apparato K-5 dichiara il limite che pesa su ogni riga: la campagna di verifica non ha potuto leggere i documenti primari, perché l'accesso diretto alle pagine è risultato bloccato dal proxy di rete. Le date qualificate come confermate lo sono per convergenza di fonti secondarie indipendenti, e restano da riscontrare sui testi ufficiali. Un apparato che tace i propri limiti vale meno di quello che li dichiara, e questo li dichiara due volte.</w:t>
      </w:r>
    </w:p>
    <w:p>
      <w:pPr>
        <w:spacing w:after="120" w:line="276"/>
        <w:jc w:val="both"/>
      </w:pPr>
      <w:r>
        <w:rPr>
          <w:rFonts w:ascii="Barlow Semi Condensed" w:cs="Barlow Semi Condensed" w:eastAsia="Barlow Semi Condensed" w:hAnsi="Barlow Semi Condensed"/>
          <w:b/>
          <w:bCs/>
          <w:sz w:val="24"/>
          <w:szCs w:val="24"/>
        </w:rPr>
        <w:t xml:space="preserve">4957 · La mutazione onomastica resta contesa.</w:t>
      </w:r>
      <w:r>
        <w:rPr>
          <w:rFonts w:ascii="Barlow Semi Condensed" w:cs="Barlow Semi Condensed" w:eastAsia="Barlow Semi Condensed" w:hAnsi="Barlow Semi Condensed"/>
          <w:sz w:val="24"/>
          <w:szCs w:val="24"/>
        </w:rPr>
        <w:t xml:space="preserve"> Prima divergenza del registro, e non la meno istruttiva: le opere di consultazione collocano l'anglicizzazione da Heinz a Henry nel 1938, senza citare documenti; il fascicolo d'immigrazione e naturalizzazione ottenuto per accesso agli atti la colloca durante il servizio militare, intorno al 1942-1943, con naturalizzazione del 19 giugno 1943 a Camp Croft. Entrambe restano in campo, la seconda sostenuta da un documento e la prima no.</w:t>
      </w:r>
    </w:p>
    <w:p>
      <w:pPr>
        <w:spacing w:after="120" w:line="276"/>
        <w:jc w:val="both"/>
      </w:pPr>
      <w:r>
        <w:rPr>
          <w:rFonts w:ascii="Barlow Semi Condensed" w:cs="Barlow Semi Condensed" w:eastAsia="Barlow Semi Condensed" w:hAnsi="Barlow Semi Condensed"/>
          <w:b/>
          <w:bCs/>
          <w:sz w:val="24"/>
          <w:szCs w:val="24"/>
        </w:rPr>
        <w:t xml:space="preserve">4958 · Le due durate della visita.</w:t>
      </w:r>
      <w:r>
        <w:rPr>
          <w:rFonts w:ascii="Barlow Semi Condensed" w:cs="Barlow Semi Condensed" w:eastAsia="Barlow Semi Condensed" w:hAnsi="Barlow Semi Condensed"/>
          <w:sz w:val="24"/>
          <w:szCs w:val="24"/>
        </w:rPr>
        <w:t xml:space="preserve"> Seconda divergenza: il comunicato congiunto pubblicato negli atti presidenziali indica la visita di Stato dal 25 al 29 settembre 1974, la nota editoriale del volume FRUS dal 25 al 27. Non è dettaglio ozioso, perché determina quali giornate producano carte da cercare e quali no. Si riporta la doppia lettura, e si cerca su entrambe le finestre — che è l'unico modo di non far dipendere una ricerca dalla scelta di una fonte.</w:t>
      </w:r>
    </w:p>
    <w:p>
      <w:pPr>
        <w:spacing w:after="120" w:line="276"/>
        <w:jc w:val="both"/>
      </w:pPr>
      <w:r>
        <w:rPr>
          <w:rFonts w:ascii="Barlow Semi Condensed" w:cs="Barlow Semi Condensed" w:eastAsia="Barlow Semi Condensed" w:hAnsi="Barlow Semi Condensed"/>
          <w:b/>
          <w:bCs/>
          <w:sz w:val="24"/>
          <w:szCs w:val="24"/>
        </w:rPr>
        <w:t xml:space="preserve">4959 · Il giorno della deposizione (serie LXV).</w:t>
      </w:r>
      <w:r>
        <w:rPr>
          <w:rFonts w:ascii="Barlow Semi Condensed" w:cs="Barlow Semi Condensed" w:eastAsia="Barlow Semi Condensed" w:hAnsi="Barlow Semi Condensed"/>
          <w:sz w:val="24"/>
          <w:szCs w:val="24"/>
        </w:rPr>
        <w:t xml:space="preserve"> Terza divergenza, minuta e non risolta: la datazione più ricorrente della deposizione del portavoce davanti alla Corte d'assise indica il 10 novembre 1982, una fonte indica il 15. Il verbale d'udienza è l'unico atto che la scioglie, e nessuna delle due campagne lo ha aperto. Fino ad allora il corpus scrive «novembre 1982» e riporta entrambi i giorni, perché scegliere in silenzio sarebbe la sola cosa vietata.</w:t>
      </w:r>
    </w:p>
    <w:p>
      <w:pPr>
        <w:spacing w:after="120" w:line="276"/>
        <w:jc w:val="both"/>
      </w:pPr>
      <w:r>
        <w:rPr>
          <w:rFonts w:ascii="Barlow Semi Condensed" w:cs="Barlow Semi Condensed" w:eastAsia="Barlow Semi Condensed" w:hAnsi="Barlow Semi Condensed"/>
          <w:b/>
          <w:bCs/>
          <w:sz w:val="24"/>
          <w:szCs w:val="24"/>
        </w:rPr>
        <w:t xml:space="preserve">4960 · Il primo agosto e l'undici.</w:t>
      </w:r>
      <w:r>
        <w:rPr>
          <w:rFonts w:ascii="Barlow Semi Condensed" w:cs="Barlow Semi Condensed" w:eastAsia="Barlow Semi Condensed" w:hAnsi="Barlow Semi Condensed"/>
          <w:sz w:val="24"/>
          <w:szCs w:val="24"/>
        </w:rPr>
        <w:t xml:space="preserve"> Quarta divergenza, con diagnosi probabile e non certa: la data dell'audizione parlamentare è il 1° agosto 1980, ma una fonte indica l'11, verosimilmente per lettura errata dell'ordinale abbreviato. La diagnosi è plausibile e resta tale; il resoconto stenografico la chiuderebbe in una riga. Si registra come esempio di mutazione di trascrizione, il genere di errore che il blocco 266 attribuisce all'OCR e ai passaggi di copia.</w:t>
      </w:r>
    </w:p>
    <w:p>
      <w:pPr>
        <w:spacing w:after="120" w:line="276"/>
        <w:jc w:val="both"/>
      </w:pPr>
      <w:r>
        <w:rPr>
          <w:rFonts w:ascii="Barlow Semi Condensed" w:cs="Barlow Semi Condensed" w:eastAsia="Barlow Semi Condensed" w:hAnsi="Barlow Semi Condensed"/>
          <w:b/>
          <w:bCs/>
          <w:sz w:val="24"/>
          <w:szCs w:val="24"/>
        </w:rPr>
        <w:t xml:space="preserve">4961 · Tre date per un solo episodio (serie LXV).</w:t>
      </w:r>
      <w:r>
        <w:rPr>
          <w:rFonts w:ascii="Barlow Semi Condensed" w:cs="Barlow Semi Condensed" w:eastAsia="Barlow Semi Condensed" w:hAnsi="Barlow Semi Condensed"/>
          <w:sz w:val="24"/>
          <w:szCs w:val="24"/>
        </w:rPr>
        <w:t xml:space="preserve"> Quinta divergenza, e la più pesante: la versione italiana prevalente colloca l'episodio dell'avvertimento al 25 settembre 1974; una fonte d'agenzia statunitense coeva dell'aprile 1983 lo colloca in un alterco all'ambasciata d'Italia a Washington nel 1977; altre sintesi indicano il 1976. Divergono anche i luoghi: Studio Ovale, Dipartimento di Stato, cena ufficiale, ambasciata italiana. Un episodio con tre date e quattro luoghi è un episodio da datare, non da citare.</w:t>
      </w:r>
    </w:p>
    <w:p>
      <w:pPr>
        <w:spacing w:after="120" w:line="276"/>
        <w:jc w:val="both"/>
      </w:pPr>
      <w:r>
        <w:rPr>
          <w:rFonts w:ascii="Barlow Semi Condensed" w:cs="Barlow Semi Condensed" w:eastAsia="Barlow Semi Condensed" w:hAnsi="Barlow Semi Condensed"/>
          <w:b/>
          <w:bCs/>
          <w:sz w:val="24"/>
          <w:szCs w:val="24"/>
        </w:rPr>
        <w:t xml:space="preserve">4962 · Il 1977 e la carica (serie LXV).</w:t>
      </w:r>
      <w:r>
        <w:rPr>
          <w:rFonts w:ascii="Barlow Semi Condensed" w:cs="Barlow Semi Condensed" w:eastAsia="Barlow Semi Condensed" w:hAnsi="Barlow Semi Condensed"/>
          <w:sz w:val="24"/>
          <w:szCs w:val="24"/>
        </w:rPr>
        <w:t xml:space="preserve"> La conseguenza della divergenza sulle date è netta e va isolata: dal 20 gennaio 1977 l'uomo non ricopriva più alcun incarico di governo, essendo stato Segretario di Stato dal 22 settembre 1973 e Assistente per la sicurezza nazionale dal 20 gennaio 1969 al 3 novembre 1975. Chi voglia legare l'episodio a una carica deve prima decidere l'anno, e nessuna fonte gli consente di deciderlo.</w:t>
      </w:r>
    </w:p>
    <w:p>
      <w:pPr>
        <w:spacing w:after="120" w:line="276"/>
        <w:jc w:val="both"/>
      </w:pPr>
      <w:r>
        <w:rPr>
          <w:rFonts w:ascii="Barlow Semi Condensed" w:cs="Barlow Semi Condensed" w:eastAsia="Barlow Semi Condensed" w:hAnsi="Barlow Semi Condensed"/>
          <w:b/>
          <w:bCs/>
          <w:sz w:val="24"/>
          <w:szCs w:val="24"/>
        </w:rPr>
        <w:t xml:space="preserve">4963 · Le divergenze non si sciolgono.</w:t>
      </w:r>
      <w:r>
        <w:rPr>
          <w:rFonts w:ascii="Barlow Semi Condensed" w:cs="Barlow Semi Condensed" w:eastAsia="Barlow Semi Condensed" w:hAnsi="Barlow Semi Condensed"/>
          <w:sz w:val="24"/>
          <w:szCs w:val="24"/>
        </w:rPr>
        <w:t xml:space="preserve"> Cinque divergenze restano aperte alla fine di 4.999 blocchi, ed è il risultato corretto. La regola sesta del metodo vieta di scegliere in silenzio fra versioni discordi: si elencano con le loro provenienze e si consegna al lettore lo stato reale della documentazione, che in questi punti è uno stato di discordanza. Un'opera che avesse armonizzato le cinque date avrebbe restituito un testo più liscio e meno vero.</w:t>
      </w:r>
    </w:p>
    <w:p>
      <w:pPr>
        <w:spacing w:after="120" w:line="276"/>
        <w:jc w:val="both"/>
      </w:pPr>
      <w:r>
        <w:rPr>
          <w:rFonts w:ascii="Barlow Semi Condensed" w:cs="Barlow Semi Condensed" w:eastAsia="Barlow Semi Condensed" w:hAnsi="Barlow Semi Condensed"/>
          <w:b/>
          <w:bCs/>
          <w:sz w:val="24"/>
          <w:szCs w:val="24"/>
        </w:rPr>
        <w:t xml:space="preserve">4964 · Lo statuto finale del nodo M-5.</w:t>
      </w:r>
      <w:r>
        <w:rPr>
          <w:rFonts w:ascii="Barlow Semi Condensed" w:cs="Barlow Semi Condensed" w:eastAsia="Barlow Semi Condensed" w:hAnsi="Barlow Semi Condensed"/>
          <w:sz w:val="24"/>
          <w:szCs w:val="24"/>
        </w:rPr>
        <w:t xml:space="preserve"> Il nodo M-5 di </w:t>
      </w:r>
      <w:r>
        <w:rPr>
          <w:rFonts w:ascii="Barlow Semi Condensed" w:cs="Barlow Semi Condensed" w:eastAsia="Barlow Semi Condensed" w:hAnsi="Barlow Semi Condensed"/>
          <w:i/>
          <w:iCs/>
          <w:sz w:val="24"/>
          <w:szCs w:val="24"/>
        </w:rPr>
        <w:t xml:space="preserve">triangolazioni-guevara-moro.md</w:t>
      </w:r>
      <w:r>
        <w:rPr>
          <w:rFonts w:ascii="Barlow Semi Condensed" w:cs="Barlow Semi Condensed" w:eastAsia="Barlow Semi Condensed" w:hAnsi="Barlow Semi Condensed"/>
          <w:sz w:val="24"/>
          <w:szCs w:val="24"/>
        </w:rPr>
        <w:t xml:space="preserve"> esce dalla doppia campagna come vi era entrato, e con sette precisazioni in più: testimonianza contestata, grado B debole, mai da dare per accertata. Il teste principale depose de relato senza aver assistito al colloquio, il nome fu ottenuto in aula dal presidente della corte e non offerto, la data oscilla, e l'interessato ha sempre smentito. Nessuna delle sette precisazioni scioglie il nodo, e nessuna lo chiude.</w:t>
      </w:r>
    </w:p>
    <w:p>
      <w:pPr>
        <w:spacing w:after="120" w:line="276"/>
        <w:jc w:val="both"/>
      </w:pPr>
      <w:r>
        <w:rPr>
          <w:rFonts w:ascii="Barlow Semi Condensed" w:cs="Barlow Semi Condensed" w:eastAsia="Barlow Semi Condensed" w:hAnsi="Barlow Semi Condensed"/>
          <w:b/>
          <w:bCs/>
          <w:sz w:val="24"/>
          <w:szCs w:val="24"/>
        </w:rPr>
        <w:t xml:space="preserve">4965 · La smentita sta nella stessa frase.</w:t>
      </w:r>
      <w:r>
        <w:rPr>
          <w:rFonts w:ascii="Barlow Semi Condensed" w:cs="Barlow Semi Condensed" w:eastAsia="Barlow Semi Condensed" w:hAnsi="Barlow Semi Condensed"/>
          <w:sz w:val="24"/>
          <w:szCs w:val="24"/>
        </w:rPr>
        <w:t xml:space="preserve"> Regola di scrittura e non di cortesia, da consegnare a chi riprenderà il nodo: una testimonianza contestata si riporta con la contestazione dentro la stessa proposizione, non in nota a piè di pagina. La smentita esiste in forma diretta poco prima della morte e in forma anteriore e generica già nel 1983. Chi cita la testimonianza omettendola non abbrevia il testo: lo falsifica per omissione, e l'omissione è verificabile.</w:t>
      </w:r>
    </w:p>
    <w:p>
      <w:pPr>
        <w:spacing w:after="120" w:line="276"/>
        <w:jc w:val="both"/>
      </w:pPr>
      <w:r>
        <w:rPr>
          <w:rFonts w:ascii="Barlow Semi Condensed" w:cs="Barlow Semi Condensed" w:eastAsia="Barlow Semi Condensed" w:hAnsi="Barlow Semi Condensed"/>
          <w:b/>
          <w:bCs/>
          <w:sz w:val="24"/>
          <w:szCs w:val="24"/>
        </w:rPr>
        <w:t xml:space="preserve">4966 · Mai sentito dai magistrati italiani (serie LXV).</w:t>
      </w:r>
      <w:r>
        <w:rPr>
          <w:rFonts w:ascii="Barlow Semi Condensed" w:cs="Barlow Semi Condensed" w:eastAsia="Barlow Semi Condensed" w:hAnsi="Barlow Semi Condensed"/>
          <w:sz w:val="24"/>
          <w:szCs w:val="24"/>
        </w:rPr>
        <w:t xml:space="preserve"> Stato Zero di pieno valore, ribadito in chiusura: non fu mai sentito dall'autorità giudiziaria italiana, e la richiesta informale del 1983 non ebbe seguito. La circostanza è oggi acquisita per via secondaria e si dichiara tale. Le sedi che la chiuderebbero sono due e nominate: gli atti dei cinque processi nel lotto digitalizzato dell'Archivio di Stato di Roma, e i fondi delle due Commissioni d'inchiesta sul caso.</w:t>
      </w:r>
    </w:p>
    <w:p>
      <w:pPr>
        <w:spacing w:after="120" w:line="276"/>
        <w:jc w:val="both"/>
      </w:pPr>
      <w:r>
        <w:rPr>
          <w:rFonts w:ascii="Barlow Semi Condensed" w:cs="Barlow Semi Condensed" w:eastAsia="Barlow Semi Condensed" w:hAnsi="Barlow Semi Condensed"/>
          <w:b/>
          <w:bCs/>
          <w:sz w:val="24"/>
          <w:szCs w:val="24"/>
        </w:rPr>
        <w:t xml:space="preserve">4967 · Nessuna sentenza sul versante atlantico.</w:t>
      </w:r>
      <w:r>
        <w:rPr>
          <w:rFonts w:ascii="Barlow Semi Condensed" w:cs="Barlow Semi Condensed" w:eastAsia="Barlow Semi Condensed" w:hAnsi="Barlow Semi Condensed"/>
          <w:sz w:val="24"/>
          <w:szCs w:val="24"/>
        </w:rPr>
        <w:t xml:space="preserve"> Registrazione per via negativa, che va ripetuta ogni volta che la triangolazione tocca quel versante: nessuna sentenza definitiva ha attribuito ad alcuna autorità statunitense responsabilità penali nel sequestro e nell'omicidio, e l'episodio dell'avvertimento non ha mai formato oggetto d'imputazione in alcuna sede. Le condanne definitive riguardano le persone del registro brigatista. Non è una cautela di stile: è un accertamento sul mondo, e si comporta come tale.</w:t>
      </w:r>
    </w:p>
    <w:p>
      <w:pPr>
        <w:spacing w:after="120" w:line="276"/>
        <w:jc w:val="both"/>
      </w:pPr>
      <w:r>
        <w:rPr>
          <w:rFonts w:ascii="Barlow Semi Condensed" w:cs="Barlow Semi Condensed" w:eastAsia="Barlow Semi Condensed" w:hAnsi="Barlow Semi Condensed"/>
          <w:b/>
          <w:bCs/>
          <w:sz w:val="24"/>
          <w:szCs w:val="24"/>
        </w:rPr>
        <w:t xml:space="preserve">4968 · Il registro del giudicato resta corto.</w:t>
      </w:r>
      <w:r>
        <w:rPr>
          <w:rFonts w:ascii="Barlow Semi Condensed" w:cs="Barlow Semi Condensed" w:eastAsia="Barlow Semi Condensed" w:hAnsi="Barlow Semi Condensed"/>
          <w:sz w:val="24"/>
          <w:szCs w:val="24"/>
        </w:rPr>
        <w:t xml:space="preserve"> Le tredici responsabilità individuali accertate in giudicato che </w:t>
      </w:r>
      <w:r>
        <w:rPr>
          <w:rFonts w:ascii="Barlow Semi Condensed" w:cs="Barlow Semi Condensed" w:eastAsia="Barlow Semi Condensed" w:hAnsi="Barlow Semi Condensed"/>
          <w:i/>
          <w:iCs/>
          <w:sz w:val="24"/>
          <w:szCs w:val="24"/>
        </w:rPr>
        <w:t xml:space="preserve">aldo-moro-una-guerra-senza-fine-fase-decima-responsabilita-personali.md</w:t>
      </w:r>
      <w:r>
        <w:rPr>
          <w:rFonts w:ascii="Barlow Semi Condensed" w:cs="Barlow Semi Condensed" w:eastAsia="Barlow Semi Condensed" w:hAnsi="Barlow Semi Condensed"/>
          <w:sz w:val="24"/>
          <w:szCs w:val="24"/>
        </w:rPr>
        <w:t xml:space="preserve"> elenca sono ancora tredici dopo cinquemila blocchi, ciascuna con la condotta che il giudice ha attribuito alla persona. Fuori da quel registro l'opera nomina soggetti di fatti, mai predicati di colpe. Nessuna lente interpretativa, nessuna centralità di rete e nessuna verosimiglianza vi ha aggiunto una riga, ed è la misura più semplice della disciplina.</w:t>
      </w:r>
    </w:p>
    <w:p>
      <w:pPr>
        <w:spacing w:after="120" w:line="276"/>
        <w:jc w:val="both"/>
      </w:pPr>
      <w:r>
        <w:rPr>
          <w:rFonts w:ascii="Barlow Semi Condensed" w:cs="Barlow Semi Condensed" w:eastAsia="Barlow Semi Condensed" w:hAnsi="Barlow Semi Condensed"/>
          <w:b/>
          <w:bCs/>
          <w:sz w:val="24"/>
          <w:szCs w:val="24"/>
        </w:rPr>
        <w:t xml:space="preserve">4969 · Il caso Algranati, ancora.</w:t>
      </w:r>
      <w:r>
        <w:rPr>
          <w:rFonts w:ascii="Barlow Semi Condensed" w:cs="Barlow Semi Condensed" w:eastAsia="Barlow Semi Condensed" w:hAnsi="Barlow Semi Condensed"/>
          <w:sz w:val="24"/>
          <w:szCs w:val="24"/>
        </w:rPr>
        <w:t xml:space="preserve"> Il registro esclude Rita Algranati, assolta in via definitiva per i fatti di via Fani all'esito del Moro ter, proprio perché il racconto pubblico la vorrebbe dentro. La regola vale simmetricamente sul versante di questa triangolazione: chi non è mai stato imputato è innocente in senso pieno e nominale, non «non ancora accertato». Un garantismo che si applicasse solo alle figure simpatiche non sarebbe garantismo ma preferenza travestita da metodo.</w:t>
      </w:r>
    </w:p>
    <w:p>
      <w:pPr>
        <w:spacing w:after="120" w:line="276"/>
        <w:jc w:val="both"/>
      </w:pPr>
      <w:r>
        <w:rPr>
          <w:rFonts w:ascii="Barlow Semi Condensed" w:cs="Barlow Semi Condensed" w:eastAsia="Barlow Semi Condensed" w:hAnsi="Barlow Semi Condensed"/>
          <w:b/>
          <w:bCs/>
          <w:sz w:val="24"/>
          <w:szCs w:val="24"/>
        </w:rPr>
        <w:t xml:space="preserve">4970 · L'appartenenza non è condotta (serie LXV).</w:t>
      </w:r>
      <w:r>
        <w:rPr>
          <w:rFonts w:ascii="Barlow Semi Condensed" w:cs="Barlow Semi Condensed" w:eastAsia="Barlow Semi Condensed" w:hAnsi="Barlow Semi Condensed"/>
          <w:sz w:val="24"/>
          <w:szCs w:val="24"/>
        </w:rPr>
        <w:t xml:space="preserve"> Chiusura del divieto più esposto alla lente genetica: appartenere a una scuola dottrinale, a un'amministrazione, a un lignaggio intellettuale o a un ente è dato di collocazione, come un allele condiviso, e non è prova di condotta. Non lo diventa per accumulo: chi attraversò tre ambienti non porta tre indizi. Il documento CIA del 22 maggio 1970 sul gabinetto spagnolo resta l'esemplare lavorato — appartenenza documentata, condotta dell'ente non provata.</w:t>
      </w:r>
    </w:p>
    <w:p>
      <w:pPr>
        <w:spacing w:after="120" w:line="276"/>
        <w:jc w:val="both"/>
      </w:pPr>
      <w:r>
        <w:rPr>
          <w:rFonts w:ascii="Barlow Semi Condensed" w:cs="Barlow Semi Condensed" w:eastAsia="Barlow Semi Condensed" w:hAnsi="Barlow Semi Condensed"/>
          <w:b/>
          <w:bCs/>
          <w:sz w:val="24"/>
          <w:szCs w:val="24"/>
        </w:rPr>
        <w:t xml:space="preserve">4971 · Marzo 1969 disinnesca l'anno.</w:t>
      </w:r>
      <w:r>
        <w:rPr>
          <w:rFonts w:ascii="Barlow Semi Condensed" w:cs="Barlow Semi Condensed" w:eastAsia="Barlow Semi Condensed" w:hAnsi="Barlow Semi Condensed"/>
          <w:sz w:val="24"/>
          <w:szCs w:val="24"/>
        </w:rPr>
        <w:t xml:space="preserve"> L'esempio che l'opera lascia come modello di anti-triangolazione: la riunione del Comitato dei 303 dell'11 marzo 1969, con Johnson, Packard e Helms presenti, in cui si convenne all'unanimità che non vi fosse reale giustificazione a riprendere il finanziamento coperto ai partiti italiani, è anteriore all'insediamento di Moro alla Farnesina del 5 agosto 1969. La contiguità d'anno non è contiguità di fatti, e la fonte è FRUS volume XLI documento 180.</w:t>
      </w:r>
    </w:p>
    <w:p>
      <w:pPr>
        <w:spacing w:after="120" w:line="276"/>
        <w:jc w:val="both"/>
      </w:pPr>
      <w:r>
        <w:rPr>
          <w:rFonts w:ascii="Barlow Semi Condensed" w:cs="Barlow Semi Condensed" w:eastAsia="Barlow Semi Condensed" w:hAnsi="Barlow Semi Condensed"/>
          <w:b/>
          <w:bCs/>
          <w:sz w:val="24"/>
          <w:szCs w:val="24"/>
        </w:rPr>
        <w:t xml:space="preserve">4972 · Ordinare uno studio non è agire (serie LXV).</w:t>
      </w:r>
      <w:r>
        <w:rPr>
          <w:rFonts w:ascii="Barlow Semi Condensed" w:cs="Barlow Semi Condensed" w:eastAsia="Barlow Semi Condensed" w:hAnsi="Barlow Semi Condensed"/>
          <w:sz w:val="24"/>
          <w:szCs w:val="24"/>
        </w:rPr>
        <w:t xml:space="preserve"> Secondo esemplare, di segno analogo: l'istruzione del dicembre 1969 per uno studio sull'Italia è un atto amministrativo che dispone un'analisi, non un'operazione. La distinzione fra il documento che ordina di studiare e il documento che ordina di fare è la stessa che separa il genotipo dichiarato dal fenotipo osservato, e confonderli è il modo più elegante di trasformare un faldone di analisi in una catena di comando.</w:t>
      </w:r>
    </w:p>
    <w:p>
      <w:pPr>
        <w:spacing w:after="120" w:line="276"/>
        <w:jc w:val="both"/>
      </w:pPr>
      <w:r>
        <w:rPr>
          <w:rFonts w:ascii="Barlow Semi Condensed" w:cs="Barlow Semi Condensed" w:eastAsia="Barlow Semi Condensed" w:hAnsi="Barlow Semi Condensed"/>
          <w:b/>
          <w:bCs/>
          <w:sz w:val="24"/>
          <w:szCs w:val="24"/>
        </w:rPr>
        <w:t xml:space="preserve">4973 · Le Azzorre e la parola temuta.</w:t>
      </w:r>
      <w:r>
        <w:rPr>
          <w:rFonts w:ascii="Barlow Semi Condensed" w:cs="Barlow Semi Condensed" w:eastAsia="Barlow Semi Condensed" w:hAnsi="Barlow Semi Condensed"/>
          <w:sz w:val="24"/>
          <w:szCs w:val="24"/>
        </w:rPr>
        <w:t xml:space="preserve"> Terzo esemplare: il memorandum dell'incontro delle Azzorre del 19 giugno 1974 registra il timore di un leftist neutralist regime a Lisbona. È un documento che nomina una paura, e una paura nominata è un dato prezioso sul lessico e sulla previsione di un apparato. Non è un atto dispositivo, non riguarda l'Italia, e non produce alcun arco verso il corpus italiano: si registra per ciò che è, e si ferma lì.</w:t>
      </w:r>
    </w:p>
    <w:p>
      <w:pPr>
        <w:spacing w:after="120" w:line="276"/>
        <w:jc w:val="both"/>
      </w:pPr>
      <w:r>
        <w:rPr>
          <w:rFonts w:ascii="Barlow Semi Condensed" w:cs="Barlow Semi Condensed" w:eastAsia="Barlow Semi Condensed" w:hAnsi="Barlow Semi Condensed"/>
          <w:b/>
          <w:bCs/>
          <w:sz w:val="24"/>
          <w:szCs w:val="24"/>
        </w:rPr>
        <w:t xml:space="preserve">4974 · Gli oppiacei turchi, e l'assenza italiana.</w:t>
      </w:r>
      <w:r>
        <w:rPr>
          <w:rFonts w:ascii="Barlow Semi Condensed" w:cs="Barlow Semi Condensed" w:eastAsia="Barlow Semi Condensed" w:hAnsi="Barlow Semi Condensed"/>
          <w:sz w:val="24"/>
          <w:szCs w:val="24"/>
        </w:rPr>
        <w:t xml:space="preserve"> Sul dossier degli oppiacei il piano 1 è denso — telegramma 1310 da Ankara del 21 febbraio 1974, telegramma 5213 del 2 luglio, memorandum al presidente al documento 208, NSDM 267 del 23 agosto 1974 — e l'Italia non compare al tavolo. Il teatro meglio documentato della cartella turca è dunque anche quello in cui l'asse italiano è vuoto: è la lezione strutturale che </w:t>
      </w:r>
      <w:r>
        <w:rPr>
          <w:rFonts w:ascii="Barlow Semi Condensed" w:cs="Barlow Semi Condensed" w:eastAsia="Barlow Semi Condensed" w:hAnsi="Barlow Semi Condensed"/>
          <w:i/>
          <w:iCs/>
          <w:sz w:val="24"/>
          <w:szCs w:val="24"/>
        </w:rPr>
        <w:t xml:space="preserve">moro-ministro-esteri/originali/turchia-opus-dei-1969-1975.md</w:t>
      </w:r>
      <w:r>
        <w:rPr>
          <w:rFonts w:ascii="Barlow Semi Condensed" w:cs="Barlow Semi Condensed" w:eastAsia="Barlow Semi Condensed" w:hAnsi="Barlow Semi Condensed"/>
          <w:sz w:val="24"/>
          <w:szCs w:val="24"/>
        </w:rPr>
        <w:t xml:space="preserve"> consegna.</w:t>
      </w:r>
    </w:p>
    <w:p>
      <w:pPr>
        <w:spacing w:after="120" w:line="276"/>
        <w:jc w:val="both"/>
      </w:pPr>
      <w:r>
        <w:rPr>
          <w:rFonts w:ascii="Barlow Semi Condensed" w:cs="Barlow Semi Condensed" w:eastAsia="Barlow Semi Condensed" w:hAnsi="Barlow Semi Condensed"/>
          <w:b/>
          <w:bCs/>
          <w:sz w:val="24"/>
          <w:szCs w:val="24"/>
        </w:rPr>
        <w:t xml:space="preserve">4975 · Helsinki, e l'insofferenza da qualificare.</w:t>
      </w:r>
      <w:r>
        <w:rPr>
          <w:rFonts w:ascii="Barlow Semi Condensed" w:cs="Barlow Semi Condensed" w:eastAsia="Barlow Semi Condensed" w:hAnsi="Barlow Semi Condensed"/>
          <w:sz w:val="24"/>
          <w:szCs w:val="24"/>
        </w:rPr>
        <w:t xml:space="preserve"> La formula secondo cui Moro avrebbe ottenuto il coinvolgimento formale della Comunità «sfidando l'insofferenza di Kissinger» proviene da pubblicistica italiana e non da un documento: si registra al piano 3 e non oltre. Ciò che sta al piano 1 è altro: il telegramma del 2 agosto 1975, volume XXXIX documento 334, che attesta la firma da parte di trentacinque capi di Stato o di governo e la dichiarazione interpretativa cipriota.</w:t>
      </w:r>
    </w:p>
    <w:p>
      <w:pPr>
        <w:spacing w:after="120" w:line="276"/>
        <w:jc w:val="both"/>
      </w:pPr>
      <w:r>
        <w:rPr>
          <w:rFonts w:ascii="Barlow Semi Condensed" w:cs="Barlow Semi Condensed" w:eastAsia="Barlow Semi Condensed" w:hAnsi="Barlow Semi Condensed"/>
          <w:b/>
          <w:bCs/>
          <w:sz w:val="24"/>
          <w:szCs w:val="24"/>
        </w:rPr>
        <w:t xml:space="preserve">4976 · Il Portogallo e il suo asse vuoto.</w:t>
      </w:r>
      <w:r>
        <w:rPr>
          <w:rFonts w:ascii="Barlow Semi Condensed" w:cs="Barlow Semi Condensed" w:eastAsia="Barlow Semi Condensed" w:hAnsi="Barlow Semi Condensed"/>
          <w:sz w:val="24"/>
          <w:szCs w:val="24"/>
        </w:rPr>
        <w:t xml:space="preserve"> Il versante portoghese ha un piano 1 statunitense — le Azzorre, il timore del regime neutralista — e non ha un atto italiano corrispondente: sull'espulsione dell'aprile 1974 il corpus non registra alcun atto della Farnesina. Le sedi di chiusura sono nominate in </w:t>
      </w:r>
      <w:r>
        <w:rPr>
          <w:rFonts w:ascii="Barlow Semi Condensed" w:cs="Barlow Semi Condensed" w:eastAsia="Barlow Semi Condensed" w:hAnsi="Barlow Semi Condensed"/>
          <w:i/>
          <w:iCs/>
          <w:sz w:val="24"/>
          <w:szCs w:val="24"/>
        </w:rPr>
        <w:t xml:space="preserve">moro-ministro-esteri/originali/portogallo-santa-sede-1969-1974.md</w:t>
      </w:r>
      <w:r>
        <w:rPr>
          <w:rFonts w:ascii="Barlow Semi Condensed" w:cs="Barlow Semi Condensed" w:eastAsia="Barlow Semi Condensed" w:hAnsi="Barlow Semi Condensed"/>
          <w:sz w:val="24"/>
          <w:szCs w:val="24"/>
        </w:rPr>
        <w:t xml:space="preserve"> e nell'Archivio storico-diplomatico. L'asimmetria fra i due bracci è il dato, e non va tolta scrivendo l'italiano che manca.</w:t>
      </w:r>
    </w:p>
    <w:p>
      <w:pPr>
        <w:spacing w:after="120" w:line="276"/>
        <w:jc w:val="both"/>
      </w:pPr>
      <w:r>
        <w:rPr>
          <w:rFonts w:ascii="Barlow Semi Condensed" w:cs="Barlow Semi Condensed" w:eastAsia="Barlow Semi Condensed" w:hAnsi="Barlow Semi Condensed"/>
          <w:b/>
          <w:bCs/>
          <w:sz w:val="24"/>
          <w:szCs w:val="24"/>
        </w:rPr>
        <w:t xml:space="preserve">4977 · La Grecia, e ciò che manca.</w:t>
      </w:r>
      <w:r>
        <w:rPr>
          <w:rFonts w:ascii="Barlow Semi Condensed" w:cs="Barlow Semi Condensed" w:eastAsia="Barlow Semi Condensed" w:hAnsi="Barlow Semi Condensed"/>
          <w:sz w:val="24"/>
          <w:szCs w:val="24"/>
        </w:rPr>
        <w:t xml:space="preserve"> Sul teatro greco il piano 1 esiste — Risoluzione (69) 51 del Comitato dei Ministri del 12 dicembre 1969, poi la (70) 34; documento 23 del volume XXX, del 30 agosto 1974, che include l'Italia fra gli alleati da consultare — ma il contenuto della posizione italiana non è accertato. Stato Zero dichiarato: nessuna dichiarazione testuale di Moro su Cipro fra luglio e novembre 1974, con sede nei resoconti della sesta legislatura.</w:t>
      </w:r>
    </w:p>
    <w:p>
      <w:pPr>
        <w:spacing w:after="120" w:line="276"/>
        <w:jc w:val="both"/>
      </w:pPr>
      <w:r>
        <w:rPr>
          <w:rFonts w:ascii="Barlow Semi Condensed" w:cs="Barlow Semi Condensed" w:eastAsia="Barlow Semi Condensed" w:hAnsi="Barlow Semi Condensed"/>
          <w:b/>
          <w:bCs/>
          <w:sz w:val="24"/>
          <w:szCs w:val="24"/>
        </w:rPr>
        <w:t xml:space="preserve">4978 · La frase spagnola che non nomina.</w:t>
      </w:r>
      <w:r>
        <w:rPr>
          <w:rFonts w:ascii="Barlow Semi Condensed" w:cs="Barlow Semi Condensed" w:eastAsia="Barlow Semi Condensed" w:hAnsi="Barlow Semi Condensed"/>
          <w:sz w:val="24"/>
          <w:szCs w:val="24"/>
        </w:rPr>
        <w:t xml:space="preserve"> Il rapporto statunitense del 22 maggio 1970 contiene una frase su un funzionario italiano che avrebbe escluso l'interesse del proprio Paese al progetto di patto mediterraneo, ma non fa nomi e usa un termine indeterminato. Il blocco 371 la qualifica come il punto epistemologicamente più delicato dell'intera cartella: si acquisisce come frase anonima di un documento autentico, e ogni identificazione con Moro resta inferenza non sostenuta.</w:t>
      </w:r>
    </w:p>
    <w:p>
      <w:pPr>
        <w:spacing w:after="120" w:line="276"/>
        <w:jc w:val="both"/>
      </w:pPr>
      <w:r>
        <w:rPr>
          <w:rFonts w:ascii="Barlow Semi Condensed" w:cs="Barlow Semi Condensed" w:eastAsia="Barlow Semi Condensed" w:hAnsi="Barlow Semi Condensed"/>
          <w:b/>
          <w:bCs/>
          <w:sz w:val="24"/>
          <w:szCs w:val="24"/>
        </w:rPr>
        <w:t xml:space="preserve">4979 · L'anacronismo come artefatto.</w:t>
      </w:r>
      <w:r>
        <w:rPr>
          <w:rFonts w:ascii="Barlow Semi Condensed" w:cs="Barlow Semi Condensed" w:eastAsia="Barlow Semi Condensed" w:hAnsi="Barlow Semi Condensed"/>
          <w:sz w:val="24"/>
          <w:szCs w:val="24"/>
        </w:rPr>
        <w:t xml:space="preserve"> Il blocco 375 lascia il migliore promemoria contro le ricerche a vuoto autoprodotte: chiedersi come la Spagna franchista reagì al sequestro del 1978 è domanda mal posta, perché Franco era morto il 20 novembre 1975. Un vuoto generato da una premessa sbagliata è artefatto della domanda e non proprietà del mondo. Prima di verbalizzare uno Stato Zero si controlla che la domanda sia possibile: è la prima voce del verbale.</w:t>
      </w:r>
    </w:p>
    <w:p>
      <w:pPr>
        <w:spacing w:after="120" w:line="276"/>
        <w:jc w:val="both"/>
      </w:pPr>
      <w:r>
        <w:rPr>
          <w:rFonts w:ascii="Barlow Semi Condensed" w:cs="Barlow Semi Condensed" w:eastAsia="Barlow Semi Condensed" w:hAnsi="Barlow Semi Condensed"/>
          <w:b/>
          <w:bCs/>
          <w:sz w:val="24"/>
          <w:szCs w:val="24"/>
        </w:rPr>
        <w:t xml:space="preserve">4980 · Il secondo tempo della regola dei buchi (serie LXV).</w:t>
      </w:r>
      <w:r>
        <w:rPr>
          <w:rFonts w:ascii="Barlow Semi Condensed" w:cs="Barlow Semi Condensed" w:eastAsia="Barlow Semi Condensed" w:hAnsi="Barlow Semi Condensed"/>
          <w:sz w:val="24"/>
          <w:szCs w:val="24"/>
        </w:rPr>
        <w:t xml:space="preserve"> La regola dei buchi esce dalla doppia campagna con due tempi stabili: prima si misura il vuoto e lo si dichiara, poi se ne diagnostica la causa nella specializzazione delle fonti, e solo dopo lo si interroga sulla struttura del mondo. Un basso rapporto di associazione fra due domini non è indizio di assenza di rapporti: è indizio che nessuno ha ancora scritto un documento che li tratti insieme.</w:t>
      </w:r>
    </w:p>
    <w:p>
      <w:pPr>
        <w:spacing w:after="120" w:line="276"/>
        <w:jc w:val="both"/>
      </w:pPr>
      <w:r>
        <w:rPr>
          <w:rFonts w:ascii="Barlow Semi Condensed" w:cs="Barlow Semi Condensed" w:eastAsia="Barlow Semi Condensed" w:hAnsi="Barlow Semi Condensed"/>
          <w:b/>
          <w:bCs/>
          <w:sz w:val="24"/>
          <w:szCs w:val="24"/>
        </w:rPr>
        <w:t xml:space="preserve">4981 · Il bersaglio di smentita dell'opera.</w:t>
      </w:r>
      <w:r>
        <w:rPr>
          <w:rFonts w:ascii="Barlow Semi Condensed" w:cs="Barlow Semi Condensed" w:eastAsia="Barlow Semi Condensed" w:hAnsi="Barlow Semi Condensed"/>
          <w:sz w:val="24"/>
          <w:szCs w:val="24"/>
        </w:rPr>
        <w:t xml:space="preserve"> Che cosa smentirebbe quest'opera per intero, e non nei dettagli: la dimostrazione documentale che un ponte dichiarato al piano 2 stia in realtà al piano 1 e sia stato taciuto, oppure che un suo blocco abbia attribuito una condotta a una persona oltre il giudicato. Il primo caso proverebbe reticenza, il secondo abuso. Entrambi si accertano su testo e documenti, ed entrambi darebbero torto all'opera senza appello.</w:t>
      </w:r>
    </w:p>
    <w:p>
      <w:pPr>
        <w:spacing w:after="120" w:line="276"/>
        <w:jc w:val="both"/>
      </w:pPr>
      <w:r>
        <w:rPr>
          <w:rFonts w:ascii="Barlow Semi Condensed" w:cs="Barlow Semi Condensed" w:eastAsia="Barlow Semi Condensed" w:hAnsi="Barlow Semi Condensed"/>
          <w:b/>
          <w:bCs/>
          <w:sz w:val="24"/>
          <w:szCs w:val="24"/>
        </w:rPr>
        <w:t xml:space="preserve">4982 · Ciò che non la smentirebbe.</w:t>
      </w:r>
      <w:r>
        <w:rPr>
          <w:rFonts w:ascii="Barlow Semi Condensed" w:cs="Barlow Semi Condensed" w:eastAsia="Barlow Semi Condensed" w:hAnsi="Barlow Semi Condensed"/>
          <w:sz w:val="24"/>
          <w:szCs w:val="24"/>
        </w:rPr>
        <w:t xml:space="preserve"> Simmetricamente, e per prevenire le smentite fittizie che ogni opera lunga attira: non la smentisce la scoperta che la metafora genetica sia inelegante o superflua, perché una metafora non è un'asserzione sul mondo; non la smentisce un documento nuovo che sposti un grado, perché spostare i gradi è ciò che l'opera chiede; non la smentisce il disaccordo sul giudizio storico, che è materia legittima e distinta dall'accertamento.</w:t>
      </w:r>
    </w:p>
    <w:p>
      <w:pPr>
        <w:spacing w:after="120" w:line="276"/>
        <w:jc w:val="both"/>
      </w:pPr>
      <w:r>
        <w:rPr>
          <w:rFonts w:ascii="Barlow Semi Condensed" w:cs="Barlow Semi Condensed" w:eastAsia="Barlow Semi Condensed" w:hAnsi="Barlow Semi Condensed"/>
          <w:b/>
          <w:bCs/>
          <w:sz w:val="24"/>
          <w:szCs w:val="24"/>
        </w:rPr>
        <w:t xml:space="preserve">4983 · La prova di sterilità, da eseguire.</w:t>
      </w:r>
      <w:r>
        <w:rPr>
          <w:rFonts w:ascii="Barlow Semi Condensed" w:cs="Barlow Semi Condensed" w:eastAsia="Barlow Semi Condensed" w:hAnsi="Barlow Semi Condensed"/>
          <w:sz w:val="24"/>
          <w:szCs w:val="24"/>
        </w:rPr>
        <w:t xml:space="preserve"> Test verificabile che l'opera propone su se stessa e che nessuno ha ancora eseguito: si scorrano i 4.999 blocchi e si cerchi un fatto la cui unica fonte sia la metafora. Se esiste, va espunto, perché nessun fatto può avere per fonte una figura retorica. L'esito atteso è che non ne esista alcuno, poiché ogni asserzione porta grado e fonte; ma il test si esegue e non si presume.</w:t>
      </w:r>
    </w:p>
    <w:p>
      <w:pPr>
        <w:spacing w:after="120" w:line="276"/>
        <w:jc w:val="both"/>
      </w:pPr>
      <w:r>
        <w:rPr>
          <w:rFonts w:ascii="Barlow Semi Condensed" w:cs="Barlow Semi Condensed" w:eastAsia="Barlow Semi Condensed" w:hAnsi="Barlow Semi Condensed"/>
          <w:b/>
          <w:bCs/>
          <w:sz w:val="24"/>
          <w:szCs w:val="24"/>
        </w:rPr>
        <w:t xml:space="preserve">4984 · L'esperimento di rimozione, riproposto.</w:t>
      </w:r>
      <w:r>
        <w:rPr>
          <w:rFonts w:ascii="Barlow Semi Condensed" w:cs="Barlow Semi Condensed" w:eastAsia="Barlow Semi Condensed" w:hAnsi="Barlow Semi Condensed"/>
          <w:sz w:val="24"/>
          <w:szCs w:val="24"/>
        </w:rPr>
        <w:t xml:space="preserve"> Bersaglio metodologico eseguibile da chiunque, e riproposto ora che l'opera ha quattro volte la mole di allora: si tolgano le parole codice, ereditarietà, replicazione, mutazione ed epigenetica, e si veda che cosa cade. Se cade un fatto, quel fatto era retorica; se non cade nulla, la lente ha fatto il proprio mestiere, cioè ordinare domande. È l'unico modo onesto di misurare quanto una chiave interpretativa abbia lavorato.</w:t>
      </w:r>
    </w:p>
    <w:p>
      <w:pPr>
        <w:spacing w:after="120" w:line="276"/>
        <w:jc w:val="both"/>
      </w:pPr>
      <w:r>
        <w:rPr>
          <w:rFonts w:ascii="Barlow Semi Condensed" w:cs="Barlow Semi Condensed" w:eastAsia="Barlow Semi Condensed" w:hAnsi="Barlow Semi Condensed"/>
          <w:b/>
          <w:bCs/>
          <w:sz w:val="24"/>
          <w:szCs w:val="24"/>
        </w:rPr>
        <w:t xml:space="preserve">4985 · Il diritto di rifiutare la lente (serie LXV).</w:t>
      </w:r>
      <w:r>
        <w:rPr>
          <w:rFonts w:ascii="Barlow Semi Condensed" w:cs="Barlow Semi Condensed" w:eastAsia="Barlow Semi Condensed" w:hAnsi="Barlow Semi Condensed"/>
          <w:sz w:val="24"/>
          <w:szCs w:val="24"/>
        </w:rPr>
        <w:t xml:space="preserve"> Un lettore può respingere integralmente la chiave genetica dichiarata dal committente e continuare a usare quest'opera: perderebbe l'ordine delle domande e non un solo fatto, perché nessun fatto vi è appeso. È il criterio pratico che distingue una chiave onesta da una tesi mascherata. Se rifiutare la lente costringesse a rifiutare le acquisizioni documentali, la lente non sarebbe una lente: sarebbe la conclusione dell'opera, scritta all'inizio.</w:t>
      </w:r>
    </w:p>
    <w:p>
      <w:pPr>
        <w:spacing w:after="120" w:line="276"/>
        <w:jc w:val="both"/>
      </w:pPr>
      <w:r>
        <w:rPr>
          <w:rFonts w:ascii="Barlow Semi Condensed" w:cs="Barlow Semi Condensed" w:eastAsia="Barlow Semi Condensed" w:hAnsi="Barlow Semi Condensed"/>
          <w:b/>
          <w:bCs/>
          <w:sz w:val="24"/>
          <w:szCs w:val="24"/>
        </w:rPr>
        <w:t xml:space="preserve">4986 · Si corregge annotando.</w:t>
      </w:r>
      <w:r>
        <w:rPr>
          <w:rFonts w:ascii="Barlow Semi Condensed" w:cs="Barlow Semi Condensed" w:eastAsia="Barlow Semi Condensed" w:hAnsi="Barlow Semi Condensed"/>
          <w:sz w:val="24"/>
          <w:szCs w:val="24"/>
        </w:rPr>
        <w:t xml:space="preserve"> Il corpus corregge per nota e non per riscrittura silenziosa: la lezione originaria resta leggibile e la correzione le si affianca, con la propria data e la propria ragione. La procedura è già applicata al nodo M-5 e alle matrici del documento di metodo. Chi porterà a quest'opera un bersaglio mal posto, un giacimento ignorato o una data sbagliata riceverà una nota di revisione e un ringraziamento scritto: un'opera incorreggibile è morta.</w:t>
      </w:r>
    </w:p>
    <w:p>
      <w:pPr>
        <w:spacing w:after="120" w:line="276"/>
        <w:jc w:val="both"/>
      </w:pPr>
      <w:r>
        <w:rPr>
          <w:rFonts w:ascii="Barlow Semi Condensed" w:cs="Barlow Semi Condensed" w:eastAsia="Barlow Semi Condensed" w:hAnsi="Barlow Semi Condensed"/>
          <w:b/>
          <w:bCs/>
          <w:sz w:val="24"/>
          <w:szCs w:val="24"/>
        </w:rPr>
        <w:t xml:space="preserve">4987 · Il tasso d'errore, dichiarato.</w:t>
      </w:r>
      <w:r>
        <w:rPr>
          <w:rFonts w:ascii="Barlow Semi Condensed" w:cs="Barlow Semi Condensed" w:eastAsia="Barlow Semi Condensed" w:hAnsi="Barlow Semi Condensed"/>
          <w:sz w:val="24"/>
          <w:szCs w:val="24"/>
        </w:rPr>
        <w:t xml:space="preserve"> Un'opera che studia la replicazione deve misurare il proprio tasso d'errore e non solo quello altrui. Il primo errore documentato di questa triangolazione è nel suo stesso mandato, che scriveva «Harry», e il secondo è nella sua apertura originaria, che dava per compiuta all'arrivo l'anglicizzazione del nome: la verifica l'ha corretta contro l'opera stessa. Entrambi restano scritti, perché un errore cancellato non insegna nulla a chi verrà dopo.</w:t>
      </w:r>
    </w:p>
    <w:p>
      <w:pPr>
        <w:spacing w:after="120" w:line="276"/>
        <w:jc w:val="both"/>
      </w:pPr>
      <w:r>
        <w:rPr>
          <w:rFonts w:ascii="Barlow Semi Condensed" w:cs="Barlow Semi Condensed" w:eastAsia="Barlow Semi Condensed" w:hAnsi="Barlow Semi Condensed"/>
          <w:b/>
          <w:bCs/>
          <w:sz w:val="24"/>
          <w:szCs w:val="24"/>
        </w:rPr>
        <w:t xml:space="preserve">4988 · Protocollo per chi verrà dopo.</w:t>
      </w:r>
      <w:r>
        <w:rPr>
          <w:rFonts w:ascii="Barlow Semi Condensed" w:cs="Barlow Semi Condensed" w:eastAsia="Barlow Semi Condensed" w:hAnsi="Barlow Semi Condensed"/>
          <w:sz w:val="24"/>
          <w:szCs w:val="24"/>
        </w:rPr>
        <w:t xml:space="preserve"> A chi riprenderà il fascicolo si chiede una sequenza e non un consenso: leggere prima gli inventari, poi i documenti; verbalizzare ogni ricerca infruttuosa con serie interrogata, chiave e data; gradare ogni arco prima di disegnarlo; riportare le divergenze senza sceglierle; e non aggiungere un nome ad alcun registro che non sia quello delle sentenze definitive. Cinque regole, tutte eseguibili da chiunque abbia una tessera d'archivio.</w:t>
      </w:r>
    </w:p>
    <w:p>
      <w:pPr>
        <w:spacing w:after="120" w:line="276"/>
        <w:jc w:val="both"/>
      </w:pPr>
      <w:r>
        <w:rPr>
          <w:rFonts w:ascii="Barlow Semi Condensed" w:cs="Barlow Semi Condensed" w:eastAsia="Barlow Semi Condensed" w:hAnsi="Barlow Semi Condensed"/>
          <w:b/>
          <w:bCs/>
          <w:sz w:val="24"/>
          <w:szCs w:val="24"/>
        </w:rPr>
        <w:t xml:space="preserve">4989 · La tavola delle sedi, in una riga.</w:t>
      </w:r>
      <w:r>
        <w:rPr>
          <w:rFonts w:ascii="Barlow Semi Condensed" w:cs="Barlow Semi Condensed" w:eastAsia="Barlow Semi Condensed" w:hAnsi="Barlow Semi Condensed"/>
          <w:sz w:val="24"/>
          <w:szCs w:val="24"/>
        </w:rPr>
        <w:t xml:space="preserve"> Le sedi che chiuderebbero i vuoti di quest'opera sono nominate e non generiche: Yale per le carte private; la Library of Congress per quelle d'ufficio; College Park, Ford Library e Carter Library per i fondi presidenziali; l'Archivio di Stato di Roma per gli atti processuali; il Doc. XXIII della VIII legislatura per l'audizione del 1980; l'Archivio storico-diplomatico della Farnesina per il versante italiano del 1969-1974.</w:t>
      </w:r>
    </w:p>
    <w:p>
      <w:pPr>
        <w:spacing w:after="120" w:line="276"/>
        <w:jc w:val="both"/>
      </w:pPr>
      <w:r>
        <w:rPr>
          <w:rFonts w:ascii="Barlow Semi Condensed" w:cs="Barlow Semi Condensed" w:eastAsia="Barlow Semi Condensed" w:hAnsi="Barlow Semi Condensed"/>
          <w:b/>
          <w:bCs/>
          <w:sz w:val="24"/>
          <w:szCs w:val="24"/>
        </w:rPr>
        <w:t xml:space="preserve">4990 · L'archivio che non aprirà presto.</w:t>
      </w:r>
      <w:r>
        <w:rPr>
          <w:rFonts w:ascii="Barlow Semi Condensed" w:cs="Barlow Semi Condensed" w:eastAsia="Barlow Semi Condensed" w:hAnsi="Barlow Semi Condensed"/>
          <w:sz w:val="24"/>
          <w:szCs w:val="24"/>
        </w:rPr>
        <w:t xml:space="preserve"> Una sede va distinta dalle altre perché il suo calendario è noto e lungo: l'Archivio Apostolico Vaticano è consultabile fino all'ottobre 1958, sicché la verifica primaria del canale vaticano resta preclusa allo stato. La pista P-9 del programma investigativo lo tratta correttamente, cioè tenendo l'istanza di consultazione pronta col quesito già scritto per il giorno dell'apertura. La pazienza organizzata è una tecnica di ricerca, non una virtù.</w:t>
      </w:r>
    </w:p>
    <w:p>
      <w:pPr>
        <w:spacing w:after="120" w:line="276"/>
        <w:jc w:val="both"/>
      </w:pPr>
      <w:r>
        <w:rPr>
          <w:rFonts w:ascii="Barlow Semi Condensed" w:cs="Barlow Semi Condensed" w:eastAsia="Barlow Semi Condensed" w:hAnsi="Barlow Semi Condensed"/>
          <w:b/>
          <w:bCs/>
          <w:sz w:val="24"/>
          <w:szCs w:val="24"/>
        </w:rPr>
        <w:t xml:space="preserve">4991 · Il fascicolo di Roma è vivo.</w:t>
      </w:r>
      <w:r>
        <w:rPr>
          <w:rFonts w:ascii="Barlow Semi Condensed" w:cs="Barlow Semi Condensed" w:eastAsia="Barlow Semi Condensed" w:hAnsi="Barlow Semi Condensed"/>
          <w:sz w:val="24"/>
          <w:szCs w:val="24"/>
        </w:rPr>
        <w:t xml:space="preserve"> Il fascicolo della Procura di Roma sulle terze presenze non attribuite di via Fani è aperto, e la scheda PN-1 lo qualifica come la pista di più alto rendimento del caso: nuovi esami sui reperti sono stati disposti, e l'esito della perizia balistica chiuderà la matrice in un senso o nell'altro. Nessuno degli atti attesi riguarda questo nome, e la distinzione fra i due cantieri va tenuta ferma.</w:t>
      </w:r>
    </w:p>
    <w:p>
      <w:pPr>
        <w:spacing w:after="120" w:line="276"/>
        <w:jc w:val="both"/>
      </w:pPr>
      <w:r>
        <w:rPr>
          <w:rFonts w:ascii="Barlow Semi Condensed" w:cs="Barlow Semi Condensed" w:eastAsia="Barlow Semi Condensed" w:hAnsi="Barlow Semi Condensed"/>
          <w:b/>
          <w:bCs/>
          <w:sz w:val="24"/>
          <w:szCs w:val="24"/>
        </w:rPr>
        <w:t xml:space="preserve">4992 · Il pavimento sotto cui non si scende.</w:t>
      </w:r>
      <w:r>
        <w:rPr>
          <w:rFonts w:ascii="Barlow Semi Condensed" w:cs="Barlow Semi Condensed" w:eastAsia="Barlow Semi Condensed" w:hAnsi="Barlow Semi Condensed"/>
          <w:sz w:val="24"/>
          <w:szCs w:val="24"/>
        </w:rPr>
        <w:t xml:space="preserve"> Cinque processi celebrati in vent'anni hanno depositato per sedimentazione l'ossatura fattuale del caso, e la Fase settima la chiama pavimento: sotto quella soglia non si scende. È la ragione per cui un versante internazionale può restare aperto senza che il caso resti indeterminato. Un fascicolo aperto poggia comunque su un pavimento, e chi confonde l'apertura del primo con l'assenza del secondo ha già lasciato la documentazione.</w:t>
      </w:r>
    </w:p>
    <w:p>
      <w:pPr>
        <w:spacing w:after="120" w:line="276"/>
        <w:jc w:val="both"/>
      </w:pPr>
      <w:r>
        <w:rPr>
          <w:rFonts w:ascii="Barlow Semi Condensed" w:cs="Barlow Semi Condensed" w:eastAsia="Barlow Semi Condensed" w:hAnsi="Barlow Semi Condensed"/>
          <w:b/>
          <w:bCs/>
          <w:sz w:val="24"/>
          <w:szCs w:val="24"/>
        </w:rPr>
        <w:t xml:space="preserve">4993 · Una Commissione non è un tribunale (serie LXV).</w:t>
      </w:r>
      <w:r>
        <w:rPr>
          <w:rFonts w:ascii="Barlow Semi Condensed" w:cs="Barlow Semi Condensed" w:eastAsia="Barlow Semi Condensed" w:hAnsi="Barlow Semi Condensed"/>
          <w:sz w:val="24"/>
          <w:szCs w:val="24"/>
        </w:rPr>
        <w:t xml:space="preserve"> Ultimo chiarimento di grado, perché l'opera ne ha usati due per la stessa materia: un'inchiesta parlamentare accerta fatti sul piano storico-politico e non responsabilità penali, occupa il livello B dell'apparato dei gradi, e i suoi esiti si citano dicendo che la Commissione ha documentato, mai che è provato in giudizio. La conferma parlamentare di una testimonianza non la promuove a fatto, e non lo fa nemmeno ripetuta.</w:t>
      </w:r>
    </w:p>
    <w:p>
      <w:pPr>
        <w:spacing w:after="120" w:line="276"/>
        <w:jc w:val="both"/>
      </w:pPr>
      <w:r>
        <w:rPr>
          <w:rFonts w:ascii="Barlow Semi Condensed" w:cs="Barlow Semi Condensed" w:eastAsia="Barlow Semi Condensed" w:hAnsi="Barlow Semi Condensed"/>
          <w:b/>
          <w:bCs/>
          <w:sz w:val="24"/>
          <w:szCs w:val="24"/>
        </w:rPr>
        <w:t xml:space="preserve">4994 · La sproporzione fra i due strati.</w:t>
      </w:r>
      <w:r>
        <w:rPr>
          <w:rFonts w:ascii="Barlow Semi Condensed" w:cs="Barlow Semi Condensed" w:eastAsia="Barlow Semi Condensed" w:hAnsi="Barlow Semi Condensed"/>
          <w:sz w:val="24"/>
          <w:szCs w:val="24"/>
        </w:rPr>
        <w:t xml:space="preserve"> Il bilancio dei due strati resta quello del blocco 56, e la doppia campagna lo ha reso più netto: un'immensa produzione pubblica — memorialistica, polemica, televisiva — poggia su un insieme di documenti a segnatura assai più ridotto. L'opera ha lavorato sul secondo e ha usato il primo come dato sulla circolazione delle idee. Misurare quella sproporzione, e non ridurla con la scrittura, era metà del compito.</w:t>
      </w:r>
    </w:p>
    <w:p>
      <w:pPr>
        <w:spacing w:after="120" w:line="276"/>
        <w:jc w:val="both"/>
      </w:pPr>
      <w:r>
        <w:rPr>
          <w:rFonts w:ascii="Barlow Semi Condensed" w:cs="Barlow Semi Condensed" w:eastAsia="Barlow Semi Condensed" w:hAnsi="Barlow Semi Condensed"/>
          <w:b/>
          <w:bCs/>
          <w:sz w:val="24"/>
          <w:szCs w:val="24"/>
        </w:rPr>
        <w:t xml:space="preserve">4995 · La densità non misura il peso.</w:t>
      </w:r>
      <w:r>
        <w:rPr>
          <w:rFonts w:ascii="Barlow Semi Condensed" w:cs="Barlow Semi Condensed" w:eastAsia="Barlow Semi Condensed" w:hAnsi="Barlow Semi Condensed"/>
          <w:sz w:val="24"/>
          <w:szCs w:val="24"/>
        </w:rPr>
        <w:t xml:space="preserve"> Va anteposta a ogni uso di quest'opera una sola avvertenza: la densità documentale di un nodo misura quanto se n'è scritto, non quanto ha pesato. Cinquemila blocchi intorno a un nome producono una mappa di dove quel nome compare nei documenti e di dove non compare, non un uomo al centro della storia. Qui la tentazione è massima, ed è per questo che l'avvertenza va ripetuta in fondo e non solo in premessa.</w:t>
      </w:r>
    </w:p>
    <w:p>
      <w:pPr>
        <w:spacing w:after="120" w:line="276"/>
        <w:jc w:val="both"/>
      </w:pPr>
      <w:r>
        <w:rPr>
          <w:rFonts w:ascii="Barlow Semi Condensed" w:cs="Barlow Semi Condensed" w:eastAsia="Barlow Semi Condensed" w:hAnsi="Barlow Semi Condensed"/>
          <w:b/>
          <w:bCs/>
          <w:sz w:val="24"/>
          <w:szCs w:val="24"/>
        </w:rPr>
        <w:t xml:space="preserve">4996 · Le anti-triangolazioni contano.</w:t>
      </w:r>
      <w:r>
        <w:rPr>
          <w:rFonts w:ascii="Barlow Semi Condensed" w:cs="Barlow Semi Condensed" w:eastAsia="Barlow Semi Condensed" w:hAnsi="Barlow Semi Condensed"/>
          <w:sz w:val="24"/>
          <w:szCs w:val="24"/>
        </w:rPr>
        <w:t xml:space="preserve"> Sono ventinove le anti-triangolazioni censite nel corpus, cioè i punti in cui una falsa consilienza è stata smontata, e la doppia campagna su questo nome ne ha aggiunte altre: l'anteriorità del marzo 1969, l'anacronismo spagnolo del 1978, il cammino privo di arco fra lo Studio Ovale e via Fani. Un'opera si giudica anche dai ponti che demolisce, e questi non erano ponti altrui: erano i propri.</w:t>
      </w:r>
    </w:p>
    <w:p>
      <w:pPr>
        <w:spacing w:after="120" w:line="276"/>
        <w:jc w:val="both"/>
      </w:pPr>
      <w:r>
        <w:rPr>
          <w:rFonts w:ascii="Barlow Semi Condensed" w:cs="Barlow Semi Condensed" w:eastAsia="Barlow Semi Condensed" w:hAnsi="Barlow Semi Condensed"/>
          <w:b/>
          <w:bCs/>
          <w:sz w:val="24"/>
          <w:szCs w:val="24"/>
        </w:rPr>
        <w:t xml:space="preserve">4997 · Le sei vittime, in testa.</w:t>
      </w:r>
      <w:r>
        <w:rPr>
          <w:rFonts w:ascii="Barlow Semi Condensed" w:cs="Barlow Semi Condensed" w:eastAsia="Barlow Semi Condensed" w:hAnsi="Barlow Semi Condensed"/>
          <w:sz w:val="24"/>
          <w:szCs w:val="24"/>
        </w:rPr>
        <w:t xml:space="preserve"> Prima della riga finale, i nomi che stanno in testa a ogni pagina del corpus e che nessuna metafora deve coprire: Oreste Leonardi, Domenico Ricci, Giulio Rivera, Francesco Zizzi, Raffaele Iozzino, Aldo Moro. Cinquemila blocchi di disciplina servono a una cosa sola e concreta, che è scrivere ciò che accadde a loro fin dove le carte arrivano, e non inventarlo dove le carte non arrivano.</w:t>
      </w:r>
    </w:p>
    <w:p>
      <w:pPr>
        <w:spacing w:after="120" w:line="276"/>
        <w:jc w:val="both"/>
      </w:pPr>
      <w:r>
        <w:rPr>
          <w:rFonts w:ascii="Barlow Semi Condensed" w:cs="Barlow Semi Condensed" w:eastAsia="Barlow Semi Condensed" w:hAnsi="Barlow Semi Condensed"/>
          <w:b/>
          <w:bCs/>
          <w:sz w:val="24"/>
          <w:szCs w:val="24"/>
        </w:rPr>
        <w:t xml:space="preserve">4998 · In biologia il carattere si eredita.</w:t>
      </w:r>
      <w:r>
        <w:rPr>
          <w:rFonts w:ascii="Barlow Semi Condensed" w:cs="Barlow Semi Condensed" w:eastAsia="Barlow Semi Condensed" w:hAnsi="Barlow Semi Condensed"/>
          <w:sz w:val="24"/>
          <w:szCs w:val="24"/>
        </w:rPr>
        <w:t xml:space="preserve"> La frase che ferma la lente si ripete identica, perché è l'unica proposizione dell'opera che non ammette gradi: in biologia il carattere si eredita, in storia la responsabilità no. Vale per i discendenti, per gli allievi, per i successori d'ufficio, per i membri di un ente e per l'ente rispetto ai membri. Nessun documento la modifica, nessuna scoperta la sposta, e nessuna eleganza dell'immagine autorizza a scavalcarla.</w:t>
      </w:r>
    </w:p>
    <w:p>
      <w:pPr>
        <w:spacing w:after="120" w:line="276"/>
        <w:jc w:val="both"/>
      </w:pPr>
      <w:r>
        <w:rPr>
          <w:rFonts w:ascii="Barlow Semi Condensed" w:cs="Barlow Semi Condensed" w:eastAsia="Barlow Semi Condensed" w:hAnsi="Barlow Semi Condensed"/>
          <w:b/>
          <w:bCs/>
          <w:sz w:val="24"/>
          <w:szCs w:val="24"/>
        </w:rPr>
        <w:t xml:space="preserve">4999 · La riga quattromilanovecentonovantanove.</w:t>
      </w:r>
      <w:r>
        <w:rPr>
          <w:rFonts w:ascii="Barlow Semi Condensed" w:cs="Barlow Semi Condensed" w:eastAsia="Barlow Semi Condensed" w:hAnsi="Barlow Semi Condensed"/>
          <w:sz w:val="24"/>
          <w:szCs w:val="24"/>
        </w:rPr>
        <w:t xml:space="preserve"> Il lascito di questa triangolazione è una sottrazione: ha tolto alla metafora il potere di condannare e le ha lasciato quello di interrogare. Restano i documenti, gli Stati Zero, le cinque divergenze non sciolte e un blocco che nessuno ha scritto perché nessun archivio lo consentiva ancora. La colpa non si eredita. Il fascicolo resta aperto, e si chiude qui a 4.999 per lasciare l'ultima riga a chi troverà la carta.</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Che cosa quest'opera non ha stabilito</w:t>
      </w:r>
    </w:p>
    <w:p>
      <w:pPr>
        <w:spacing w:after="120" w:line="276"/>
        <w:jc w:val="both"/>
      </w:pPr>
      <w:r>
        <w:rPr>
          <w:rFonts w:ascii="Barlow Semi Condensed" w:cs="Barlow Semi Condensed" w:eastAsia="Barlow Semi Condensed" w:hAnsi="Barlow Semi Condensed"/>
          <w:sz w:val="24"/>
          <w:szCs w:val="24"/>
        </w:rPr>
        <w:t xml:space="preserve">Va detto con la stessa nettezza dei mille bersagli, e va detto prima della riga di chiusura, perché è la parte che il lettore frettoloso salta e il committente ha diritto di trovare per prima.</w:t>
      </w:r>
    </w:p>
    <w:p>
      <w:pPr>
        <w:spacing w:after="120" w:line="276"/>
        <w:jc w:val="both"/>
      </w:pPr>
      <w:r>
        <w:rPr>
          <w:rFonts w:ascii="Barlow Semi Condensed" w:cs="Barlow Semi Condensed" w:eastAsia="Barlow Semi Condensed" w:hAnsi="Barlow Semi Condensed"/>
          <w:b/>
          <w:bCs/>
          <w:sz w:val="24"/>
          <w:szCs w:val="24"/>
        </w:rPr>
        <w:t xml:space="preserve">Non è stabilito che esista un centro.</w:t>
      </w:r>
      <w:r>
        <w:rPr>
          <w:rFonts w:ascii="Barlow Semi Condensed" w:cs="Barlow Semi Condensed" w:eastAsia="Barlow Semi Condensed" w:hAnsi="Barlow Semi Condensed"/>
          <w:sz w:val="24"/>
          <w:szCs w:val="24"/>
        </w:rPr>
        <w:t xml:space="preserve"> Mille blocchi intorno a un nome non producono un uomo al centro della storia: producono una mappa di dove quel nome compare nei documenti e di dove non compare. La densità documentale di un nodo misura </w:t>
      </w:r>
      <w:r>
        <w:rPr>
          <w:rFonts w:ascii="Barlow Semi Condensed" w:cs="Barlow Semi Condensed" w:eastAsia="Barlow Semi Condensed" w:hAnsi="Barlow Semi Condensed"/>
          <w:b/>
          <w:bCs/>
          <w:sz w:val="24"/>
          <w:szCs w:val="24"/>
        </w:rPr>
        <w:t xml:space="preserve">quanto se n'è scritto</w:t>
      </w:r>
      <w:r>
        <w:rPr>
          <w:rFonts w:ascii="Barlow Semi Condensed" w:cs="Barlow Semi Condensed" w:eastAsia="Barlow Semi Condensed" w:hAnsi="Barlow Semi Condensed"/>
          <w:sz w:val="24"/>
          <w:szCs w:val="24"/>
        </w:rPr>
        <w:t xml:space="preserve">, non quanto ha pesato. È la stessa regola che il corpus antepone a ogni lettura della propria rete, e qui vale al massimo grado, perché qui la tentazione è massima.</w:t>
      </w:r>
    </w:p>
    <w:p>
      <w:pPr>
        <w:spacing w:after="120" w:line="276"/>
        <w:jc w:val="both"/>
      </w:pPr>
      <w:r>
        <w:rPr>
          <w:rFonts w:ascii="Barlow Semi Condensed" w:cs="Barlow Semi Condensed" w:eastAsia="Barlow Semi Condensed" w:hAnsi="Barlow Semi Condensed"/>
          <w:b/>
          <w:bCs/>
          <w:sz w:val="24"/>
          <w:szCs w:val="24"/>
        </w:rPr>
        <w:t xml:space="preserve">Non è stabilito alcun nesso col caso Moro oltre quello che il corpus già registrava.</w:t>
      </w:r>
      <w:r>
        <w:rPr>
          <w:rFonts w:ascii="Barlow Semi Condensed" w:cs="Barlow Semi Condensed" w:eastAsia="Barlow Semi Condensed" w:hAnsi="Barlow Semi Condensed"/>
          <w:sz w:val="24"/>
          <w:szCs w:val="24"/>
        </w:rPr>
        <w:t xml:space="preserve"> Il presunto avvertimento del settembre 1974 resta ciò che è: </w:t>
      </w:r>
      <w:r>
        <w:rPr>
          <w:rFonts w:ascii="Barlow Semi Condensed" w:cs="Barlow Semi Condensed" w:eastAsia="Barlow Semi Condensed" w:hAnsi="Barlow Semi Condensed"/>
          <w:b/>
          <w:bCs/>
          <w:sz w:val="24"/>
          <w:szCs w:val="24"/>
        </w:rPr>
        <w:t xml:space="preserve">testimonianza contestata</w:t>
      </w:r>
      <w:r>
        <w:rPr>
          <w:rFonts w:ascii="Barlow Semi Condensed" w:cs="Barlow Semi Condensed" w:eastAsia="Barlow Semi Condensed" w:hAnsi="Barlow Semi Condensed"/>
          <w:sz w:val="24"/>
          <w:szCs w:val="24"/>
        </w:rPr>
        <w:t xml:space="preserve">, sostenuta da due testimoni qualificati e </w:t>
      </w:r>
      <w:r>
        <w:rPr>
          <w:rFonts w:ascii="Barlow Semi Condensed" w:cs="Barlow Semi Condensed" w:eastAsia="Barlow Semi Condensed" w:hAnsi="Barlow Semi Condensed"/>
          <w:b/>
          <w:bCs/>
          <w:sz w:val="24"/>
          <w:szCs w:val="24"/>
        </w:rPr>
        <w:t xml:space="preserve">sempre smentita dall'interessato</w:t>
      </w:r>
      <w:r>
        <w:rPr>
          <w:rFonts w:ascii="Barlow Semi Condensed" w:cs="Barlow Semi Condensed" w:eastAsia="Barlow Semi Condensed" w:hAnsi="Barlow Semi Condensed"/>
          <w:sz w:val="24"/>
          <w:szCs w:val="24"/>
        </w:rPr>
        <w:t xml:space="preserve">, priva di documento. Il corpus lo registrava già senza annotare la smentita: quest'opera la annota, perché una testimonianza contestata si riporta </w:t>
      </w:r>
      <w:r>
        <w:rPr>
          <w:rFonts w:ascii="Barlow Semi Condensed" w:cs="Barlow Semi Condensed" w:eastAsia="Barlow Semi Condensed" w:hAnsi="Barlow Semi Condensed"/>
          <w:i/>
          <w:iCs/>
          <w:sz w:val="24"/>
          <w:szCs w:val="24"/>
        </w:rPr>
        <w:t xml:space="preserve">con la contestazione</w:t>
      </w:r>
      <w:r>
        <w:rPr>
          <w:rFonts w:ascii="Barlow Semi Condensed" w:cs="Barlow Semi Condensed" w:eastAsia="Barlow Semi Condensed" w:hAnsi="Barlow Semi Condensed"/>
          <w:sz w:val="24"/>
          <w:szCs w:val="24"/>
        </w:rPr>
        <w:t xml:space="preserve">, non senza. Non è Stato Zero — i testimoni esistono e sono qualificati — e non è accertamento: è </w:t>
      </w:r>
      <w:r>
        <w:rPr>
          <w:rFonts w:ascii="Barlow Semi Condensed" w:cs="Barlow Semi Condensed" w:eastAsia="Barlow Semi Condensed" w:hAnsi="Barlow Semi Condensed"/>
          <w:b/>
          <w:bCs/>
          <w:sz w:val="24"/>
          <w:szCs w:val="24"/>
        </w:rPr>
        <w:t xml:space="preserve">conteso</w:t>
      </w:r>
      <w:r>
        <w:rPr>
          <w:rFonts w:ascii="Barlow Semi Condensed" w:cs="Barlow Semi Condensed" w:eastAsia="Barlow Semi Condensed" w:hAnsi="Barlow Semi Condensed"/>
          <w:sz w:val="24"/>
          <w:szCs w:val="24"/>
        </w:rPr>
        <w:t xml:space="preserve">, e conteso resta.</w:t>
      </w:r>
    </w:p>
    <w:p>
      <w:pPr>
        <w:spacing w:after="120" w:line="276"/>
        <w:jc w:val="both"/>
      </w:pPr>
      <w:r>
        <w:rPr>
          <w:rFonts w:ascii="Barlow Semi Condensed" w:cs="Barlow Semi Condensed" w:eastAsia="Barlow Semi Condensed" w:hAnsi="Barlow Semi Condensed"/>
          <w:b/>
          <w:bCs/>
          <w:sz w:val="24"/>
          <w:szCs w:val="24"/>
        </w:rPr>
        <w:t xml:space="preserve">Non è stabilito che la somiglianza fra teatri provi un piano unico.</w:t>
      </w:r>
      <w:r>
        <w:rPr>
          <w:rFonts w:ascii="Barlow Semi Condensed" w:cs="Barlow Semi Condensed" w:eastAsia="Barlow Semi Condensed" w:hAnsi="Barlow Semi Condensed"/>
          <w:sz w:val="24"/>
          <w:szCs w:val="24"/>
        </w:rPr>
        <w:t xml:space="preserve"> È il risultato metodologico più importante dell'intera opera, e discende dalla distinzione fra omologia e analogia: due strutture simili possono discendere da un antenato comune o essere convergenze indipendenti in ambienti simili, e </w:t>
      </w:r>
      <w:r>
        <w:rPr>
          <w:rFonts w:ascii="Barlow Semi Condensed" w:cs="Barlow Semi Condensed" w:eastAsia="Barlow Semi Condensed" w:hAnsi="Barlow Semi Condensed"/>
          <w:b/>
          <w:bCs/>
          <w:sz w:val="24"/>
          <w:szCs w:val="24"/>
        </w:rPr>
        <w:t xml:space="preserve">dalla somiglianza del risultato non si deduce l'antenato</w:t>
      </w:r>
      <w:r>
        <w:rPr>
          <w:rFonts w:ascii="Barlow Semi Condensed" w:cs="Barlow Semi Condensed" w:eastAsia="Barlow Semi Condensed" w:hAnsi="Barlow Semi Condensed"/>
          <w:sz w:val="24"/>
          <w:szCs w:val="24"/>
        </w:rPr>
        <w:t xml:space="preserve">. Il test è uno solo e non è retorico: un documento di provenienza che nomini la controparte. Dove manca, si registra una convergenza — piano 2 — e ci si ferma.</w:t>
      </w:r>
    </w:p>
    <w:p>
      <w:pPr>
        <w:spacing w:after="120" w:line="276"/>
        <w:jc w:val="both"/>
      </w:pPr>
      <w:r>
        <w:rPr>
          <w:rFonts w:ascii="Barlow Semi Condensed" w:cs="Barlow Semi Condensed" w:eastAsia="Barlow Semi Condensed" w:hAnsi="Barlow Semi Condensed"/>
          <w:b/>
          <w:bCs/>
          <w:sz w:val="24"/>
          <w:szCs w:val="24"/>
        </w:rPr>
        <w:t xml:space="preserve">Non è stabilito nulla per via di appartenenza.</w:t>
      </w:r>
      <w:r>
        <w:rPr>
          <w:rFonts w:ascii="Barlow Semi Condensed" w:cs="Barlow Semi Condensed" w:eastAsia="Barlow Semi Condensed" w:hAnsi="Barlow Semi Condensed"/>
          <w:sz w:val="24"/>
          <w:szCs w:val="24"/>
        </w:rPr>
        <w:t xml:space="preserve"> Non si eredita una condotta da una scuola, da un lignaggio dottrinale, da un ambiente, da una carica. L'intera dodicesima e tredicesima serie esistono per impedire proprio l'inferenza che la metafora genetica rende più facile e che la storiografia rende inammissibile.</w:t>
      </w:r>
    </w:p>
    <w:p>
      <w:pPr>
        <w:spacing w:after="120" w:line="276"/>
        <w:jc w:val="both"/>
      </w:pPr>
      <w:r>
        <w:rPr>
          <w:rFonts w:ascii="Barlow Semi Condensed" w:cs="Barlow Semi Condensed" w:eastAsia="Barlow Semi Condensed" w:hAnsi="Barlow Semi Condensed"/>
          <w:b/>
          <w:bCs/>
          <w:sz w:val="24"/>
          <w:szCs w:val="24"/>
        </w:rPr>
        <w:t xml:space="preserve">E non è stabilito che la lente fosse necessaria.</w:t>
      </w:r>
      <w:r>
        <w:rPr>
          <w:rFonts w:ascii="Barlow Semi Condensed" w:cs="Barlow Semi Condensed" w:eastAsia="Barlow Semi Condensed" w:hAnsi="Barlow Semi Condensed"/>
          <w:sz w:val="24"/>
          <w:szCs w:val="24"/>
        </w:rPr>
        <w:t xml:space="preserve"> Se domani si togliesse la metafora genetica da queste pagine, resterebbero i documenti, i gradi, le sedi d'archivio e gli Stati Zero: cioè tutto ciò che conta. </w:t>
      </w:r>
      <w:r>
        <w:rPr>
          <w:rFonts w:ascii="Barlow Semi Condensed" w:cs="Barlow Semi Condensed" w:eastAsia="Barlow Semi Condensed" w:hAnsi="Barlow Semi Condensed"/>
          <w:b/>
          <w:bCs/>
          <w:sz w:val="24"/>
          <w:szCs w:val="24"/>
        </w:rPr>
        <w:t xml:space="preserve">Una chiave interpretativa si dichiara in copertina e non si dimostra col testo</w:t>
      </w:r>
      <w:r>
        <w:rPr>
          <w:rFonts w:ascii="Barlow Semi Condensed" w:cs="Barlow Semi Condensed" w:eastAsia="Barlow Semi Condensed" w:hAnsi="Barlow Semi Condensed"/>
          <w:sz w:val="24"/>
          <w:szCs w:val="24"/>
        </w:rPr>
        <w:t xml:space="preserve"> — e la prova che questa è stata usata bene è che il testo regge anche senza di essa.</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Apparato K — Le verifiche</w:t>
      </w:r>
    </w:p>
    <w:p>
      <w:pPr>
        <w:spacing w:after="120" w:line="276"/>
        <w:jc w:val="both"/>
      </w:pPr>
      <w:r>
        <w:rPr>
          <w:rFonts w:ascii="Barlow Semi Condensed" w:cs="Barlow Semi Condensed" w:eastAsia="Barlow Semi Condensed" w:hAnsi="Barlow Semi Condensed"/>
          <w:sz w:val="24"/>
          <w:szCs w:val="24"/>
        </w:rPr>
        <w:t xml:space="preserve">I fatti su cui quest'opera poggia sono stati sottoposti a </w:t>
      </w:r>
      <w:r>
        <w:rPr>
          <w:rFonts w:ascii="Barlow Semi Condensed" w:cs="Barlow Semi Condensed" w:eastAsia="Barlow Semi Condensed" w:hAnsi="Barlow Semi Condensed"/>
          <w:b/>
          <w:bCs/>
          <w:sz w:val="24"/>
          <w:szCs w:val="24"/>
        </w:rPr>
        <w:t xml:space="preserve">verifica indipendente su fonti in rete</w:t>
      </w:r>
      <w:r>
        <w:rPr>
          <w:rFonts w:ascii="Barlow Semi Condensed" w:cs="Barlow Semi Condensed" w:eastAsia="Barlow Semi Condensed" w:hAnsi="Barlow Semi Condensed"/>
          <w:sz w:val="24"/>
          <w:szCs w:val="24"/>
        </w:rPr>
        <w:t xml:space="preserve">, in tre campagne. Si registrano qui i risultati, comprese — anzi soprattutto — le precisazioni che hanno costretto a </w:t>
      </w:r>
      <w:r>
        <w:rPr>
          <w:rFonts w:ascii="Barlow Semi Condensed" w:cs="Barlow Semi Condensed" w:eastAsia="Barlow Semi Condensed" w:hAnsi="Barlow Semi Condensed"/>
          <w:b/>
          <w:bCs/>
          <w:sz w:val="24"/>
          <w:szCs w:val="24"/>
        </w:rPr>
        <w:t xml:space="preserve">riscrivere il frontespizio</w:t>
      </w:r>
      <w:r>
        <w:rPr>
          <w:rFonts w:ascii="Barlow Semi Condensed" w:cs="Barlow Semi Condensed" w:eastAsia="Barlow Semi Condensed" w:hAnsi="Barlow Semi Condensed"/>
          <w:sz w:val="24"/>
          <w:szCs w:val="24"/>
        </w:rPr>
        <w:t xml:space="preserve"> e quelle che </w:t>
      </w:r>
      <w:r>
        <w:rPr>
          <w:rFonts w:ascii="Barlow Semi Condensed" w:cs="Barlow Semi Condensed" w:eastAsia="Barlow Semi Condensed" w:hAnsi="Barlow Semi Condensed"/>
          <w:b/>
          <w:bCs/>
          <w:sz w:val="24"/>
          <w:szCs w:val="24"/>
        </w:rPr>
        <w:t xml:space="preserve">correggono il corpus</w:t>
      </w:r>
      <w:r>
        <w:rPr>
          <w:rFonts w:ascii="Barlow Semi Condensed" w:cs="Barlow Semi Condensed" w:eastAsia="Barlow Semi Condensed" w:hAnsi="Barlow Semi Condensed"/>
          <w:sz w:val="24"/>
          <w:szCs w:val="24"/>
        </w:rPr>
        <w:t xml:space="preserve">. Vale l'avvertenza che chiude l'apparato: la campagna ha avuto un limite tecnico dichiarato, e non lo si nasconde.</w:t>
      </w:r>
    </w:p>
    <w:p>
      <w:pPr>
        <w:pStyle w:val="Heading3"/>
        <w:spacing w:after="80" w:before="160"/>
      </w:pPr>
      <w:r>
        <w:rPr>
          <w:rFonts w:ascii="Barlow Semi Condensed" w:cs="Barlow Semi Condensed" w:eastAsia="Barlow Semi Condensed" w:hAnsi="Barlow Semi Condensed"/>
          <w:sz w:val="24"/>
          <w:szCs w:val="24"/>
        </w:rPr>
        <w:t xml:space="preserve">K-1 · L'anagrafe, e la mutazione che l'archivio sposta di cinque anni</w:t>
      </w:r>
    </w:p>
    <w:p>
      <w:pPr>
        <w:spacing w:after="120" w:line="276"/>
        <w:jc w:val="both"/>
      </w:pPr>
      <w:r>
        <w:rPr>
          <w:rFonts w:ascii="Barlow Semi Condensed" w:cs="Barlow Semi Condensed" w:eastAsia="Barlow Semi Condensed" w:hAnsi="Barlow Semi Condensed"/>
          <w:b/>
          <w:bCs/>
          <w:sz w:val="24"/>
          <w:szCs w:val="24"/>
        </w:rPr>
        <w:t xml:space="preserve">Confermati</w:t>
      </w:r>
      <w:r>
        <w:rPr>
          <w:rFonts w:ascii="Barlow Semi Condensed" w:cs="Barlow Semi Condensed" w:eastAsia="Barlow Semi Condensed" w:hAnsi="Barlow Semi Condensed"/>
          <w:sz w:val="24"/>
          <w:szCs w:val="24"/>
        </w:rPr>
        <w:t xml:space="preserve"> su fonti istituzionali convergenti — la nota biografica del comitato del premio Nobel e la scheda dell'</w:t>
      </w:r>
      <w:r>
        <w:rPr>
          <w:rFonts w:ascii="Barlow Semi Condensed" w:cs="Barlow Semi Condensed" w:eastAsia="Barlow Semi Condensed" w:hAnsi="Barlow Semi Condensed"/>
          <w:i/>
          <w:iCs/>
          <w:sz w:val="24"/>
          <w:szCs w:val="24"/>
        </w:rPr>
        <w:t xml:space="preserve">Office of the Historian</w:t>
      </w:r>
      <w:r>
        <w:rPr>
          <w:rFonts w:ascii="Barlow Semi Condensed" w:cs="Barlow Semi Condensed" w:eastAsia="Barlow Semi Condensed" w:hAnsi="Barlow Semi Condensed"/>
          <w:sz w:val="24"/>
          <w:szCs w:val="24"/>
        </w:rPr>
        <w:t xml:space="preserve"> del Dipartimento di Stato, che intesta «Henry A. (Heinz Alfred) Kissinger» — la nascita a </w:t>
      </w:r>
      <w:r>
        <w:rPr>
          <w:rFonts w:ascii="Barlow Semi Condensed" w:cs="Barlow Semi Condensed" w:eastAsia="Barlow Semi Condensed" w:hAnsi="Barlow Semi Condensed"/>
          <w:b/>
          <w:bCs/>
          <w:sz w:val="24"/>
          <w:szCs w:val="24"/>
        </w:rPr>
        <w:t xml:space="preserve">Fürth il 27 maggio 1923</w:t>
      </w:r>
      <w:r>
        <w:rPr>
          <w:rFonts w:ascii="Barlow Semi Condensed" w:cs="Barlow Semi Condensed" w:eastAsia="Barlow Semi Condensed" w:hAnsi="Barlow Semi Condensed"/>
          <w:sz w:val="24"/>
          <w:szCs w:val="24"/>
        </w:rPr>
        <w:t xml:space="preserve"> col nome di Heinz Alfred, e la morte nella casa di </w:t>
      </w:r>
      <w:r>
        <w:rPr>
          <w:rFonts w:ascii="Barlow Semi Condensed" w:cs="Barlow Semi Condensed" w:eastAsia="Barlow Semi Condensed" w:hAnsi="Barlow Semi Condensed"/>
          <w:b/>
          <w:bCs/>
          <w:sz w:val="24"/>
          <w:szCs w:val="24"/>
        </w:rPr>
        <w:t xml:space="preserve">Kent, nel Connecticut, il 29 novembre 2023</w:t>
      </w:r>
      <w:r>
        <w:rPr>
          <w:rFonts w:ascii="Barlow Semi Condensed" w:cs="Barlow Semi Condensed" w:eastAsia="Barlow Semi Condensed" w:hAnsi="Barlow Semi Condensed"/>
          <w:sz w:val="24"/>
          <w:szCs w:val="24"/>
        </w:rPr>
        <w:t xml:space="preserve">, all'età di cento anni. Nessuna fonte dissente.</w:t>
      </w:r>
    </w:p>
    <w:p>
      <w:pPr>
        <w:spacing w:after="120" w:line="276"/>
        <w:jc w:val="both"/>
      </w:pPr>
      <w:r>
        <w:rPr>
          <w:rFonts w:ascii="Barlow Semi Condensed" w:cs="Barlow Semi Condensed" w:eastAsia="Barlow Semi Condensed" w:hAnsi="Barlow Semi Condensed"/>
          <w:b/>
          <w:bCs/>
          <w:sz w:val="24"/>
          <w:szCs w:val="24"/>
        </w:rPr>
        <w:t xml:space="preserve">Precisato, contro l'affermazione che questa stessa opera portava in apertura.</w:t>
      </w:r>
      <w:r>
        <w:rPr>
          <w:rFonts w:ascii="Barlow Semi Condensed" w:cs="Barlow Semi Condensed" w:eastAsia="Barlow Semi Condensed" w:hAnsi="Barlow Semi Condensed"/>
          <w:sz w:val="24"/>
          <w:szCs w:val="24"/>
        </w:rPr>
        <w:t xml:space="preserve"> L'emigrazione è accertata e datata: partenza dalla Germania il </w:t>
      </w:r>
      <w:r>
        <w:rPr>
          <w:rFonts w:ascii="Barlow Semi Condensed" w:cs="Barlow Semi Condensed" w:eastAsia="Barlow Semi Condensed" w:hAnsi="Barlow Semi Condensed"/>
          <w:b/>
          <w:bCs/>
          <w:sz w:val="24"/>
          <w:szCs w:val="24"/>
        </w:rPr>
        <w:t xml:space="preserve">20 agosto 1938</w:t>
      </w:r>
      <w:r>
        <w:rPr>
          <w:rFonts w:ascii="Barlow Semi Condensed" w:cs="Barlow Semi Condensed" w:eastAsia="Barlow Semi Condensed" w:hAnsi="Barlow Semi Condensed"/>
          <w:sz w:val="24"/>
          <w:szCs w:val="24"/>
        </w:rPr>
        <w:t xml:space="preserve">, sosta a Londra, sbarco a New York il </w:t>
      </w:r>
      <w:r>
        <w:rPr>
          <w:rFonts w:ascii="Barlow Semi Condensed" w:cs="Barlow Semi Condensed" w:eastAsia="Barlow Semi Condensed" w:hAnsi="Barlow Semi Condensed"/>
          <w:b/>
          <w:bCs/>
          <w:sz w:val="24"/>
          <w:szCs w:val="24"/>
        </w:rPr>
        <w:t xml:space="preserve">5 settembre 1938</w:t>
      </w:r>
      <w:r>
        <w:rPr>
          <w:rFonts w:ascii="Barlow Semi Condensed" w:cs="Barlow Semi Condensed" w:eastAsia="Barlow Semi Condensed" w:hAnsi="Barlow Semi Condensed"/>
          <w:sz w:val="24"/>
          <w:szCs w:val="24"/>
        </w:rPr>
        <w:t xml:space="preserve">. L'anglicizzazione del nome </w:t>
      </w:r>
      <w:r>
        <w:rPr>
          <w:rFonts w:ascii="Barlow Semi Condensed" w:cs="Barlow Semi Condensed" w:eastAsia="Barlow Semi Condensed" w:hAnsi="Barlow Semi Condensed"/>
          <w:b/>
          <w:bCs/>
          <w:sz w:val="24"/>
          <w:szCs w:val="24"/>
        </w:rPr>
        <w:t xml:space="preserve">non è documentata come atto compiuto all'arrivo</w:t>
      </w:r>
      <w:r>
        <w:rPr>
          <w:rFonts w:ascii="Barlow Semi Condensed" w:cs="Barlow Semi Condensed" w:eastAsia="Barlow Semi Condensed" w:hAnsi="Barlow Semi Condensed"/>
          <w:sz w:val="24"/>
          <w:szCs w:val="24"/>
        </w:rPr>
        <w:t xml:space="preserve">. Le fonti si dividono: le opere di consultazione la collocano genericamente nel 1938, senza citare documenti; il </w:t>
      </w:r>
      <w:r>
        <w:rPr>
          <w:rFonts w:ascii="Barlow Semi Condensed" w:cs="Barlow Semi Condensed" w:eastAsia="Barlow Semi Condensed" w:hAnsi="Barlow Semi Condensed"/>
          <w:b/>
          <w:bCs/>
          <w:sz w:val="24"/>
          <w:szCs w:val="24"/>
        </w:rPr>
        <w:t xml:space="preserve">fascicolo d'immigrazione e naturalizzazione</w:t>
      </w:r>
      <w:r>
        <w:rPr>
          <w:rFonts w:ascii="Barlow Semi Condensed" w:cs="Barlow Semi Condensed" w:eastAsia="Barlow Semi Condensed" w:hAnsi="Barlow Semi Condensed"/>
          <w:sz w:val="24"/>
          <w:szCs w:val="24"/>
        </w:rPr>
        <w:t xml:space="preserve">, ottenuto per accesso agli atti, la colloca </w:t>
      </w:r>
      <w:r>
        <w:rPr>
          <w:rFonts w:ascii="Barlow Semi Condensed" w:cs="Barlow Semi Condensed" w:eastAsia="Barlow Semi Condensed" w:hAnsi="Barlow Semi Condensed"/>
          <w:b/>
          <w:bCs/>
          <w:sz w:val="24"/>
          <w:szCs w:val="24"/>
        </w:rPr>
        <w:t xml:space="preserve">durante il servizio militare, intorno al 1942-1943</w:t>
      </w:r>
      <w:r>
        <w:rPr>
          <w:rFonts w:ascii="Barlow Semi Condensed" w:cs="Barlow Semi Condensed" w:eastAsia="Barlow Semi Condensed" w:hAnsi="Barlow Semi Condensed"/>
          <w:sz w:val="24"/>
          <w:szCs w:val="24"/>
        </w:rPr>
        <w:t xml:space="preserve">, e la naturalizzazione è del </w:t>
      </w:r>
      <w:r>
        <w:rPr>
          <w:rFonts w:ascii="Barlow Semi Condensed" w:cs="Barlow Semi Condensed" w:eastAsia="Barlow Semi Condensed" w:hAnsi="Barlow Semi Condensed"/>
          <w:b/>
          <w:bCs/>
          <w:sz w:val="24"/>
          <w:szCs w:val="24"/>
        </w:rPr>
        <w:t xml:space="preserve">19 giugno 1943</w:t>
      </w:r>
      <w:r>
        <w:rPr>
          <w:rFonts w:ascii="Barlow Semi Condensed" w:cs="Barlow Semi Condensed" w:eastAsia="Barlow Semi Condensed" w:hAnsi="Barlow Semi Condensed"/>
          <w:sz w:val="24"/>
          <w:szCs w:val="24"/>
        </w:rPr>
        <w:t xml:space="preserve">. La divergenza si riporta e non si scioglie: entrambe le versioni restano in campo, con la seconda sostenuta da un documento e la prima no.</w:t>
      </w:r>
    </w:p>
    <w:p>
      <w:pPr>
        <w:pStyle w:val="Heading3"/>
        <w:spacing w:after="80" w:before="160"/>
      </w:pPr>
      <w:r>
        <w:rPr>
          <w:rFonts w:ascii="Barlow Semi Condensed" w:cs="Barlow Semi Condensed" w:eastAsia="Barlow Semi Condensed" w:hAnsi="Barlow Semi Condensed"/>
          <w:sz w:val="24"/>
          <w:szCs w:val="24"/>
        </w:rPr>
        <w:t xml:space="preserve">K-2 · Gli incarichi, e il punto giuridico che vincola tutto il resto</w:t>
      </w:r>
    </w:p>
    <w:p>
      <w:pPr>
        <w:spacing w:after="120" w:line="276"/>
        <w:jc w:val="both"/>
      </w:pPr>
      <w:r>
        <w:rPr>
          <w:rFonts w:ascii="Barlow Semi Condensed" w:cs="Barlow Semi Condensed" w:eastAsia="Barlow Semi Condensed" w:hAnsi="Barlow Semi Condensed"/>
          <w:b/>
          <w:bCs/>
          <w:sz w:val="24"/>
          <w:szCs w:val="24"/>
        </w:rPr>
        <w:t xml:space="preserve">Confermate</w:t>
      </w:r>
      <w:r>
        <w:rPr>
          <w:rFonts w:ascii="Barlow Semi Condensed" w:cs="Barlow Semi Condensed" w:eastAsia="Barlow Semi Condensed" w:hAnsi="Barlow Semi Condensed"/>
          <w:sz w:val="24"/>
          <w:szCs w:val="24"/>
        </w:rPr>
        <w:t xml:space="preserve"> le date, con una precisione che le formule correnti perdono: </w:t>
      </w:r>
      <w:r>
        <w:rPr>
          <w:rFonts w:ascii="Barlow Semi Condensed" w:cs="Barlow Semi Condensed" w:eastAsia="Barlow Semi Condensed" w:hAnsi="Barlow Semi Condensed"/>
          <w:b/>
          <w:bCs/>
          <w:sz w:val="24"/>
          <w:szCs w:val="24"/>
        </w:rPr>
        <w:t xml:space="preserve">Assistente del Presidente per gli affari di sicurezza nazionale dal 20 gennaio 1969 al 3 novembre 1975</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b/>
          <w:bCs/>
          <w:sz w:val="24"/>
          <w:szCs w:val="24"/>
        </w:rPr>
        <w:t xml:space="preserve">Segretario di Stato</w:t>
      </w:r>
      <w:r>
        <w:rPr>
          <w:rFonts w:ascii="Barlow Semi Condensed" w:cs="Barlow Semi Condensed" w:eastAsia="Barlow Semi Condensed" w:hAnsi="Barlow Semi Condensed"/>
          <w:sz w:val="24"/>
          <w:szCs w:val="24"/>
        </w:rPr>
        <w:t xml:space="preserve"> con nomina del 21 settembre 1973, </w:t>
      </w:r>
      <w:r>
        <w:rPr>
          <w:rFonts w:ascii="Barlow Semi Condensed" w:cs="Barlow Semi Condensed" w:eastAsia="Barlow Semi Condensed" w:hAnsi="Barlow Semi Condensed"/>
          <w:b/>
          <w:bCs/>
          <w:sz w:val="24"/>
          <w:szCs w:val="24"/>
        </w:rPr>
        <w:t xml:space="preserve">entrata in carica il 22 settembre 1973</w:t>
      </w:r>
      <w:r>
        <w:rPr>
          <w:rFonts w:ascii="Barlow Semi Condensed" w:cs="Barlow Semi Condensed" w:eastAsia="Barlow Semi Condensed" w:hAnsi="Barlow Semi Condensed"/>
          <w:sz w:val="24"/>
          <w:szCs w:val="24"/>
        </w:rPr>
        <w:t xml:space="preserve"> e cessazione il </w:t>
      </w:r>
      <w:r>
        <w:rPr>
          <w:rFonts w:ascii="Barlow Semi Condensed" w:cs="Barlow Semi Condensed" w:eastAsia="Barlow Semi Condensed" w:hAnsi="Barlow Semi Condensed"/>
          <w:b/>
          <w:bCs/>
          <w:sz w:val="24"/>
          <w:szCs w:val="24"/>
        </w:rPr>
        <w:t xml:space="preserve">20 gennaio 1977</w:t>
      </w:r>
      <w:r>
        <w:rPr>
          <w:rFonts w:ascii="Barlow Semi Condensed" w:cs="Barlow Semi Condensed" w:eastAsia="Barlow Semi Condensed" w:hAnsi="Barlow Semi Condensed"/>
          <w:sz w:val="24"/>
          <w:szCs w:val="24"/>
        </w:rPr>
        <w:t xml:space="preserve">. Dal 22 settembre 1973 al 3 novembre 1975 tenne </w:t>
      </w:r>
      <w:r>
        <w:rPr>
          <w:rFonts w:ascii="Barlow Semi Condensed" w:cs="Barlow Semi Condensed" w:eastAsia="Barlow Semi Condensed" w:hAnsi="Barlow Semi Condensed"/>
          <w:b/>
          <w:bCs/>
          <w:sz w:val="24"/>
          <w:szCs w:val="24"/>
        </w:rPr>
        <w:t xml:space="preserve">i due incarichi insieme</w:t>
      </w:r>
      <w:r>
        <w:rPr>
          <w:rFonts w:ascii="Barlow Semi Condensed" w:cs="Barlow Semi Condensed" w:eastAsia="Barlow Semi Condensed" w:hAnsi="Barlow Semi Condensed"/>
          <w:sz w:val="24"/>
          <w:szCs w:val="24"/>
        </w:rPr>
        <w:t xml:space="preserve">, caso unico nella storia statunitense. Si segnala la divergenza fra le fonti secondarie che datano l'inizio al 23 settembre e la fonte istituzionale che indica il 22: prevale la seconda.</w:t>
      </w:r>
    </w:p>
    <w:p>
      <w:pPr>
        <w:spacing w:after="120" w:line="276"/>
        <w:jc w:val="both"/>
      </w:pPr>
      <w:r>
        <w:rPr>
          <w:rFonts w:ascii="Barlow Semi Condensed" w:cs="Barlow Semi Condensed" w:eastAsia="Barlow Semi Condensed" w:hAnsi="Barlow Semi Condensed"/>
          <w:b/>
          <w:bCs/>
          <w:sz w:val="24"/>
          <w:szCs w:val="24"/>
        </w:rPr>
        <w:t xml:space="preserve">Confermato, ed è il vincolo che governa ogni pagina di quest'opera</w:t>
      </w:r>
      <w:r>
        <w:rPr>
          <w:rFonts w:ascii="Barlow Semi Condensed" w:cs="Barlow Semi Condensed" w:eastAsia="Barlow Semi Condensed" w:hAnsi="Barlow Semi Condensed"/>
          <w:sz w:val="24"/>
          <w:szCs w:val="24"/>
        </w:rPr>
        <w:t xml:space="preserve">: non risulta </w:t>
      </w:r>
      <w:r>
        <w:rPr>
          <w:rFonts w:ascii="Barlow Semi Condensed" w:cs="Barlow Semi Condensed" w:eastAsia="Barlow Semi Condensed" w:hAnsi="Barlow Semi Condensed"/>
          <w:b/>
          <w:bCs/>
          <w:sz w:val="24"/>
          <w:szCs w:val="24"/>
        </w:rPr>
        <w:t xml:space="preserve">alcuna sentenza di condanna, alcun rinvio a giudizio, alcun procedimento penale</w:t>
      </w:r>
      <w:r>
        <w:rPr>
          <w:rFonts w:ascii="Barlow Semi Condensed" w:cs="Barlow Semi Condensed" w:eastAsia="Barlow Semi Condensed" w:hAnsi="Barlow Semi Condensed"/>
          <w:sz w:val="24"/>
          <w:szCs w:val="24"/>
        </w:rPr>
        <w:t xml:space="preserve"> a suo carico in alcun Paese; non fu mai imputato né processato, né mai interrogato da un giudice in sede penale. Sul punto </w:t>
      </w:r>
      <w:r>
        <w:rPr>
          <w:rFonts w:ascii="Barlow Semi Condensed" w:cs="Barlow Semi Condensed" w:eastAsia="Barlow Semi Condensed" w:hAnsi="Barlow Semi Condensed"/>
          <w:b/>
          <w:bCs/>
          <w:sz w:val="24"/>
          <w:szCs w:val="24"/>
        </w:rPr>
        <w:t xml:space="preserve">concordano anche le fonti a lui più ostili</w:t>
      </w:r>
      <w:r>
        <w:rPr>
          <w:rFonts w:ascii="Barlow Semi Condensed" w:cs="Barlow Semi Condensed" w:eastAsia="Barlow Semi Condensed" w:hAnsi="Barlow Semi Condensed"/>
          <w:sz w:val="24"/>
          <w:szCs w:val="24"/>
        </w:rPr>
        <w:t xml:space="preserve">, che distinguono con precisione fra il libro-saggio d'accusa e l'atto giudiziario. Le responsabilità morali o politiche che quelle fonti gli attribuiscono sono un'altra cosa, appartengono al dibattito pubblico, e </w:t>
      </w:r>
      <w:r>
        <w:rPr>
          <w:rFonts w:ascii="Barlow Semi Condensed" w:cs="Barlow Semi Condensed" w:eastAsia="Barlow Semi Condensed" w:hAnsi="Barlow Semi Condensed"/>
          <w:b/>
          <w:bCs/>
          <w:sz w:val="24"/>
          <w:szCs w:val="24"/>
        </w:rPr>
        <w:t xml:space="preserve">non entrano nel registro del giudicato</w:t>
      </w:r>
      <w:r>
        <w:rPr>
          <w:rFonts w:ascii="Barlow Semi Condensed" w:cs="Barlow Semi Condensed" w:eastAsia="Barlow Semi Condensed" w:hAnsi="Barlow Semi Condensed"/>
          <w:sz w:val="24"/>
          <w:szCs w:val="24"/>
        </w:rPr>
        <w:t xml:space="preserve">, che è l'unico luogo dei nomi in questo corpus.</w:t>
      </w:r>
    </w:p>
    <w:p>
      <w:pPr>
        <w:pStyle w:val="Heading3"/>
        <w:spacing w:after="80" w:before="160"/>
      </w:pPr>
      <w:r>
        <w:rPr>
          <w:rFonts w:ascii="Barlow Semi Condensed" w:cs="Barlow Semi Condensed" w:eastAsia="Barlow Semi Condensed" w:hAnsi="Barlow Semi Condensed"/>
          <w:sz w:val="24"/>
          <w:szCs w:val="24"/>
        </w:rPr>
        <w:t xml:space="preserve">K-3 · Il verbale del 25 settembre 1974: che cosa contiene, che cosa non contiene</w:t>
      </w:r>
    </w:p>
    <w:p>
      <w:pPr>
        <w:spacing w:after="120" w:line="276"/>
        <w:jc w:val="both"/>
      </w:pPr>
      <w:r>
        <w:rPr>
          <w:rFonts w:ascii="Barlow Semi Condensed" w:cs="Barlow Semi Condensed" w:eastAsia="Barlow Semi Condensed" w:hAnsi="Barlow Semi Condensed"/>
          <w:b/>
          <w:bCs/>
          <w:sz w:val="24"/>
          <w:szCs w:val="24"/>
        </w:rPr>
        <w:t xml:space="preserve">Confermata</w:t>
      </w:r>
      <w:r>
        <w:rPr>
          <w:rFonts w:ascii="Barlow Semi Condensed" w:cs="Barlow Semi Condensed" w:eastAsia="Barlow Semi Condensed" w:hAnsi="Barlow Semi Condensed"/>
          <w:sz w:val="24"/>
          <w:szCs w:val="24"/>
        </w:rPr>
        <w:t xml:space="preserve"> l'esistenza del memorandum of conversation dello </w:t>
      </w:r>
      <w:r>
        <w:rPr>
          <w:rFonts w:ascii="Barlow Semi Condensed" w:cs="Barlow Semi Condensed" w:eastAsia="Barlow Semi Condensed" w:hAnsi="Barlow Semi Condensed"/>
          <w:b/>
          <w:bCs/>
          <w:sz w:val="24"/>
          <w:szCs w:val="24"/>
        </w:rPr>
        <w:t xml:space="preserve">Studio Ovale, 25 settembre 1974, ore 11.30</w:t>
      </w:r>
      <w:r>
        <w:rPr>
          <w:rFonts w:ascii="Barlow Semi Condensed" w:cs="Barlow Semi Condensed" w:eastAsia="Barlow Semi Condensed" w:hAnsi="Barlow Semi Condensed"/>
          <w:sz w:val="24"/>
          <w:szCs w:val="24"/>
        </w:rPr>
        <w:t xml:space="preserve">, con Giovanni Leone, Aldo Moro, Gerald Ford, Henry Kissinger e Brent Scowcroft: è il documento </w:t>
      </w:r>
      <w:r>
        <w:rPr>
          <w:rFonts w:ascii="Barlow Semi Condensed" w:cs="Barlow Semi Condensed" w:eastAsia="Barlow Semi Condensed" w:hAnsi="Barlow Semi Condensed"/>
          <w:b/>
          <w:bCs/>
          <w:sz w:val="24"/>
          <w:szCs w:val="24"/>
        </w:rPr>
        <w:t xml:space="preserve">350</w:t>
      </w:r>
      <w:r>
        <w:rPr>
          <w:rFonts w:ascii="Barlow Semi Condensed" w:cs="Barlow Semi Condensed" w:eastAsia="Barlow Semi Condensed" w:hAnsi="Barlow Semi Condensed"/>
          <w:sz w:val="24"/>
          <w:szCs w:val="24"/>
        </w:rPr>
        <w:t xml:space="preserve"> del volume FRUS 1969-1976 E-15 parte 2 — nella </w:t>
      </w:r>
      <w:r>
        <w:rPr>
          <w:rFonts w:ascii="Barlow Semi Condensed" w:cs="Barlow Semi Condensed" w:eastAsia="Barlow Semi Condensed" w:hAnsi="Barlow Semi Condensed"/>
          <w:b/>
          <w:bCs/>
          <w:sz w:val="24"/>
          <w:szCs w:val="24"/>
        </w:rPr>
        <w:t xml:space="preserve">seconda edizione riveduta</w:t>
      </w:r>
      <w:r>
        <w:rPr>
          <w:rFonts w:ascii="Barlow Semi Condensed" w:cs="Barlow Semi Condensed" w:eastAsia="Barlow Semi Condensed" w:hAnsi="Barlow Semi Condensed"/>
          <w:sz w:val="24"/>
          <w:szCs w:val="24"/>
        </w:rPr>
        <w:t xml:space="preserve">, precisazione di citazione che va conservata — ed è il file </w:t>
      </w:r>
      <w:r>
        <w:rPr>
          <w:rFonts w:ascii="Barlow Semi Condensed" w:cs="Barlow Semi Condensed" w:eastAsia="Barlow Semi Condensed" w:hAnsi="Barlow Semi Condensed"/>
          <w:b/>
          <w:bCs/>
          <w:sz w:val="24"/>
          <w:szCs w:val="24"/>
        </w:rPr>
        <w:t xml:space="preserve">1552802</w:t>
      </w:r>
      <w:r>
        <w:rPr>
          <w:rFonts w:ascii="Barlow Semi Condensed" w:cs="Barlow Semi Condensed" w:eastAsia="Barlow Semi Condensed" w:hAnsi="Barlow Semi Condensed"/>
          <w:sz w:val="24"/>
          <w:szCs w:val="24"/>
        </w:rPr>
        <w:t xml:space="preserve"> della Gerald R. Ford Presidential Library. </w:t>
      </w:r>
      <w:r>
        <w:rPr>
          <w:rFonts w:ascii="Barlow Semi Condensed" w:cs="Barlow Semi Condensed" w:eastAsia="Barlow Semi Condensed" w:hAnsi="Barlow Semi Condensed"/>
          <w:b/>
          <w:bCs/>
          <w:sz w:val="24"/>
          <w:szCs w:val="24"/>
        </w:rPr>
        <w:t xml:space="preserve">Confermata</w:t>
      </w:r>
      <w:r>
        <w:rPr>
          <w:rFonts w:ascii="Barlow Semi Condensed" w:cs="Barlow Semi Condensed" w:eastAsia="Barlow Semi Condensed" w:hAnsi="Barlow Semi Condensed"/>
          <w:sz w:val="24"/>
          <w:szCs w:val="24"/>
        </w:rPr>
        <w:t xml:space="preserve"> anche l'esistenza di un </w:t>
      </w:r>
      <w:r>
        <w:rPr>
          <w:rFonts w:ascii="Barlow Semi Condensed" w:cs="Barlow Semi Condensed" w:eastAsia="Barlow Semi Condensed" w:hAnsi="Barlow Semi Condensed"/>
          <w:b/>
          <w:bCs/>
          <w:sz w:val="24"/>
          <w:szCs w:val="24"/>
        </w:rPr>
        <w:t xml:space="preserve">secondo verbale del 26 settembre 1974</w:t>
      </w:r>
      <w:r>
        <w:rPr>
          <w:rFonts w:ascii="Barlow Semi Condensed" w:cs="Barlow Semi Condensed" w:eastAsia="Barlow Semi Condensed" w:hAnsi="Barlow Semi Condensed"/>
          <w:sz w:val="24"/>
          <w:szCs w:val="24"/>
        </w:rPr>
        <w:t xml:space="preserve"> (file 1552806), sui cui contenuti gli estratti reperiti sono parziali e non del tutto concordi.</w:t>
      </w:r>
    </w:p>
    <w:p>
      <w:pPr>
        <w:spacing w:after="120" w:line="276"/>
        <w:jc w:val="both"/>
      </w:pPr>
      <w:r>
        <w:rPr>
          <w:rFonts w:ascii="Barlow Semi Condensed" w:cs="Barlow Semi Condensed" w:eastAsia="Barlow Semi Condensed" w:hAnsi="Barlow Semi Condensed"/>
          <w:b/>
          <w:bCs/>
          <w:sz w:val="24"/>
          <w:szCs w:val="24"/>
        </w:rPr>
        <w:t xml:space="preserve">Che cosa il verbale attesta</w:t>
      </w:r>
      <w:r>
        <w:rPr>
          <w:rFonts w:ascii="Barlow Semi Condensed" w:cs="Barlow Semi Condensed" w:eastAsia="Barlow Semi Condensed" w:hAnsi="Barlow Semi Condensed"/>
          <w:sz w:val="24"/>
          <w:szCs w:val="24"/>
        </w:rPr>
        <w:t xml:space="preserve">: la posizione secondo cui gli Stati Uniti </w:t>
      </w:r>
      <w:r>
        <w:rPr>
          <w:rFonts w:ascii="Barlow Semi Condensed" w:cs="Barlow Semi Condensed" w:eastAsia="Barlow Semi Condensed" w:hAnsi="Barlow Semi Condensed"/>
          <w:b/>
          <w:bCs/>
          <w:sz w:val="24"/>
          <w:szCs w:val="24"/>
        </w:rPr>
        <w:t xml:space="preserve">non potrebbero scambiare informazioni militari</w:t>
      </w:r>
      <w:r>
        <w:rPr>
          <w:rFonts w:ascii="Barlow Semi Condensed" w:cs="Barlow Semi Condensed" w:eastAsia="Barlow Semi Condensed" w:hAnsi="Barlow Semi Condensed"/>
          <w:sz w:val="24"/>
          <w:szCs w:val="24"/>
        </w:rPr>
        <w:t xml:space="preserve"> con un governo che includesse i comunisti, col precedente portoghese richiamato; e il rilievo che un partito comunista «responsabile» sarebbe alla lunga </w:t>
      </w:r>
      <w:r>
        <w:rPr>
          <w:rFonts w:ascii="Barlow Semi Condensed" w:cs="Barlow Semi Condensed" w:eastAsia="Barlow Semi Condensed" w:hAnsi="Barlow Semi Condensed"/>
          <w:b/>
          <w:bCs/>
          <w:sz w:val="24"/>
          <w:szCs w:val="24"/>
        </w:rPr>
        <w:t xml:space="preserve">più pericoloso</w:t>
      </w:r>
      <w:r>
        <w:rPr>
          <w:rFonts w:ascii="Barlow Semi Condensed" w:cs="Barlow Semi Condensed" w:eastAsia="Barlow Semi Condensed" w:hAnsi="Barlow Semi Condensed"/>
          <w:sz w:val="24"/>
          <w:szCs w:val="24"/>
        </w:rPr>
        <w:t xml:space="preserve"> di uno irresponsabile. È materia di politica dichiarata, ed è documentata.</w:t>
      </w:r>
    </w:p>
    <w:p>
      <w:pPr>
        <w:spacing w:after="120" w:line="276"/>
        <w:jc w:val="both"/>
      </w:pPr>
      <w:r>
        <w:rPr>
          <w:rFonts w:ascii="Barlow Semi Condensed" w:cs="Barlow Semi Condensed" w:eastAsia="Barlow Semi Condensed" w:hAnsi="Barlow Semi Condensed"/>
          <w:b/>
          <w:bCs/>
          <w:sz w:val="24"/>
          <w:szCs w:val="24"/>
        </w:rPr>
        <w:t xml:space="preserve">Che cosa il verbale non contiene</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b/>
          <w:bCs/>
          <w:sz w:val="24"/>
          <w:szCs w:val="24"/>
        </w:rPr>
        <w:t xml:space="preserve">alcun ultimatum personale ad Aldo Moro</w:t>
      </w:r>
      <w:r>
        <w:rPr>
          <w:rFonts w:ascii="Barlow Semi Condensed" w:cs="Barlow Semi Condensed" w:eastAsia="Barlow Semi Condensed" w:hAnsi="Barlow Semi Condensed"/>
          <w:sz w:val="24"/>
          <w:szCs w:val="24"/>
        </w:rPr>
        <w:t xml:space="preserve">. La verifica lo accerta contro una circolazione pubblica che presenta abitualmente quel documento come la prova della frase. Va aggiunta, per correttezza piena, l'osservazione che rende il punto non risolutivo: secondo la testimonianza, la frase sarebbe stata pronunciata </w:t>
      </w:r>
      <w:r>
        <w:rPr>
          <w:rFonts w:ascii="Barlow Semi Condensed" w:cs="Barlow Semi Condensed" w:eastAsia="Barlow Semi Condensed" w:hAnsi="Barlow Semi Condensed"/>
          <w:b/>
          <w:bCs/>
          <w:sz w:val="24"/>
          <w:szCs w:val="24"/>
        </w:rPr>
        <w:t xml:space="preserve">a margine</w:t>
      </w:r>
      <w:r>
        <w:rPr>
          <w:rFonts w:ascii="Barlow Semi Condensed" w:cs="Barlow Semi Condensed" w:eastAsia="Barlow Semi Condensed" w:hAnsi="Barlow Semi Condensed"/>
          <w:sz w:val="24"/>
          <w:szCs w:val="24"/>
        </w:rPr>
        <w:t xml:space="preserve">, in colloquio riservato o a cena; </w:t>
      </w:r>
      <w:r>
        <w:rPr>
          <w:rFonts w:ascii="Barlow Semi Condensed" w:cs="Barlow Semi Condensed" w:eastAsia="Barlow Semi Condensed" w:hAnsi="Barlow Semi Condensed"/>
          <w:b/>
          <w:bCs/>
          <w:sz w:val="24"/>
          <w:szCs w:val="24"/>
        </w:rPr>
        <w:t xml:space="preserve">l'assenza dal verbale non prova dunque né la falsità né la verità dell'episodio</w:t>
      </w:r>
      <w:r>
        <w:rPr>
          <w:rFonts w:ascii="Barlow Semi Condensed" w:cs="Barlow Semi Condensed" w:eastAsia="Barlow Semi Condensed" w:hAnsi="Barlow Semi Condensed"/>
          <w:sz w:val="24"/>
          <w:szCs w:val="24"/>
        </w:rPr>
        <w:t xml:space="preserve"> — indebolisce soltanto, e in modo netto, la versione che lo colloca nell'incontro ufficiale.</w:t>
      </w:r>
    </w:p>
    <w:p>
      <w:pPr>
        <w:spacing w:after="120" w:line="276"/>
        <w:jc w:val="both"/>
      </w:pPr>
      <w:r>
        <w:rPr>
          <w:rFonts w:ascii="Barlow Semi Condensed" w:cs="Barlow Semi Condensed" w:eastAsia="Barlow Semi Condensed" w:hAnsi="Barlow Semi Condensed"/>
          <w:b/>
          <w:bCs/>
          <w:sz w:val="24"/>
          <w:szCs w:val="24"/>
        </w:rPr>
        <w:t xml:space="preserve">Divergenza sulle date della visita</w:t>
      </w:r>
      <w:r>
        <w:rPr>
          <w:rFonts w:ascii="Barlow Semi Condensed" w:cs="Barlow Semi Condensed" w:eastAsia="Barlow Semi Condensed" w:hAnsi="Barlow Semi Condensed"/>
          <w:sz w:val="24"/>
          <w:szCs w:val="24"/>
        </w:rPr>
        <w:t xml:space="preserve">, da riportare: il comunicato congiunto pubblicato negli atti presidenziali parla di visita di Stato </w:t>
      </w:r>
      <w:r>
        <w:rPr>
          <w:rFonts w:ascii="Barlow Semi Condensed" w:cs="Barlow Semi Condensed" w:eastAsia="Barlow Semi Condensed" w:hAnsi="Barlow Semi Condensed"/>
          <w:b/>
          <w:bCs/>
          <w:sz w:val="24"/>
          <w:szCs w:val="24"/>
        </w:rPr>
        <w:t xml:space="preserve">dal 25 al 29 settembre 1974</w:t>
      </w:r>
      <w:r>
        <w:rPr>
          <w:rFonts w:ascii="Barlow Semi Condensed" w:cs="Barlow Semi Condensed" w:eastAsia="Barlow Semi Condensed" w:hAnsi="Barlow Semi Condensed"/>
          <w:sz w:val="24"/>
          <w:szCs w:val="24"/>
        </w:rPr>
        <w:t xml:space="preserve">; la nota editoriale del volume FRUS indica </w:t>
      </w:r>
      <w:r>
        <w:rPr>
          <w:rFonts w:ascii="Barlow Semi Condensed" w:cs="Barlow Semi Condensed" w:eastAsia="Barlow Semi Condensed" w:hAnsi="Barlow Semi Condensed"/>
          <w:b/>
          <w:bCs/>
          <w:sz w:val="24"/>
          <w:szCs w:val="24"/>
        </w:rPr>
        <w:t xml:space="preserve">dal 25 al 27</w:t>
      </w:r>
      <w:r>
        <w:rPr>
          <w:rFonts w:ascii="Barlow Semi Condensed" w:cs="Barlow Semi Condensed" w:eastAsia="Barlow Semi Condensed" w:hAnsi="Barlow Semi Condensed"/>
          <w:sz w:val="24"/>
          <w:szCs w:val="24"/>
        </w:rPr>
        <w:t xml:space="preserve">.</w:t>
      </w:r>
    </w:p>
    <w:p>
      <w:pPr>
        <w:pStyle w:val="Heading3"/>
        <w:spacing w:after="80" w:before="160"/>
      </w:pPr>
      <w:r>
        <w:rPr>
          <w:rFonts w:ascii="Barlow Semi Condensed" w:cs="Barlow Semi Condensed" w:eastAsia="Barlow Semi Condensed" w:hAnsi="Barlow Semi Condensed"/>
          <w:sz w:val="24"/>
          <w:szCs w:val="24"/>
        </w:rPr>
        <w:t xml:space="preserve">K-4 · L'avvertimento: sette precisazioni che il corpus non aveva</w:t>
      </w:r>
    </w:p>
    <w:p>
      <w:pPr>
        <w:spacing w:after="120" w:line="276"/>
        <w:jc w:val="both"/>
      </w:pPr>
      <w:r>
        <w:rPr>
          <w:rFonts w:ascii="Barlow Semi Condensed" w:cs="Barlow Semi Condensed" w:eastAsia="Barlow Semi Condensed" w:hAnsi="Barlow Semi Condensed"/>
          <w:sz w:val="24"/>
          <w:szCs w:val="24"/>
        </w:rPr>
        <w:t xml:space="preserve">È la parte che modifica di più ciò che il corpus registrava, e ciascuna precisazione va detta per intero.</w:t>
      </w:r>
    </w:p>
    <w:p>
      <w:pPr>
        <w:spacing w:after="120" w:line="276"/>
        <w:jc w:val="both"/>
      </w:pPr>
      <w:r>
        <w:rPr>
          <w:rFonts w:ascii="Barlow Semi Condensed" w:cs="Barlow Semi Condensed" w:eastAsia="Barlow Semi Condensed" w:hAnsi="Barlow Semi Condensed"/>
          <w:b/>
          <w:bCs/>
          <w:sz w:val="24"/>
          <w:szCs w:val="24"/>
        </w:rPr>
        <w:t xml:space="preserve">Prima.</w:t>
      </w:r>
      <w:r>
        <w:rPr>
          <w:rFonts w:ascii="Barlow Semi Condensed" w:cs="Barlow Semi Condensed" w:eastAsia="Barlow Semi Condensed" w:hAnsi="Barlow Semi Condensed"/>
          <w:sz w:val="24"/>
          <w:szCs w:val="24"/>
        </w:rPr>
        <w:t xml:space="preserve"> Il portavoce di Moro che riferì l'episodio depose come teste davanti alla Corte d'assise di Roma nel </w:t>
      </w:r>
      <w:r>
        <w:rPr>
          <w:rFonts w:ascii="Barlow Semi Condensed" w:cs="Barlow Semi Condensed" w:eastAsia="Barlow Semi Condensed" w:hAnsi="Barlow Semi Condensed"/>
          <w:b/>
          <w:bCs/>
          <w:sz w:val="24"/>
          <w:szCs w:val="24"/>
        </w:rPr>
        <w:t xml:space="preserve">novembre 1982</w:t>
      </w:r>
      <w:r>
        <w:rPr>
          <w:rFonts w:ascii="Barlow Semi Condensed" w:cs="Barlow Semi Condensed" w:eastAsia="Barlow Semi Condensed" w:hAnsi="Barlow Semi Condensed"/>
          <w:sz w:val="24"/>
          <w:szCs w:val="24"/>
        </w:rPr>
        <w:t xml:space="preserve"> (il 10 secondo la datazione più ricorrente; una fonte indica il 15, divergenza non risolta) — ma </w:t>
      </w:r>
      <w:r>
        <w:rPr>
          <w:rFonts w:ascii="Barlow Semi Condensed" w:cs="Barlow Semi Condensed" w:eastAsia="Barlow Semi Condensed" w:hAnsi="Barlow Semi Condensed"/>
          <w:b/>
          <w:bCs/>
          <w:sz w:val="24"/>
          <w:szCs w:val="24"/>
        </w:rPr>
        <w:t xml:space="preserve">non assistette al colloquio</w:t>
      </w:r>
      <w:r>
        <w:rPr>
          <w:rFonts w:ascii="Barlow Semi Condensed" w:cs="Barlow Semi Condensed" w:eastAsia="Barlow Semi Condensed" w:hAnsi="Barlow Semi Condensed"/>
          <w:sz w:val="24"/>
          <w:szCs w:val="24"/>
        </w:rPr>
        <w:t xml:space="preserve">: riferì </w:t>
      </w:r>
      <w:r>
        <w:rPr>
          <w:rFonts w:ascii="Barlow Semi Condensed" w:cs="Barlow Semi Condensed" w:eastAsia="Barlow Semi Condensed" w:hAnsi="Barlow Semi Condensed"/>
          <w:i/>
          <w:iCs/>
          <w:sz w:val="24"/>
          <w:szCs w:val="24"/>
        </w:rPr>
        <w:t xml:space="preserve">de relato</w:t>
      </w:r>
      <w:r>
        <w:rPr>
          <w:rFonts w:ascii="Barlow Semi Condensed" w:cs="Barlow Semi Condensed" w:eastAsia="Barlow Semi Condensed" w:hAnsi="Barlow Semi Condensed"/>
          <w:sz w:val="24"/>
          <w:szCs w:val="24"/>
        </w:rPr>
        <w:t xml:space="preserve">, avendo appreso il fatto da Moro e dall'entourage. È il dato che le riprese giornalistiche omettono più spesso, e cambia lo statuto della testimonianza.</w:t>
      </w:r>
    </w:p>
    <w:p>
      <w:pPr>
        <w:spacing w:after="120" w:line="276"/>
        <w:jc w:val="both"/>
      </w:pPr>
      <w:r>
        <w:rPr>
          <w:rFonts w:ascii="Barlow Semi Condensed" w:cs="Barlow Semi Condensed" w:eastAsia="Barlow Semi Condensed" w:hAnsi="Barlow Semi Condensed"/>
          <w:b/>
          <w:bCs/>
          <w:sz w:val="24"/>
          <w:szCs w:val="24"/>
        </w:rPr>
        <w:t xml:space="preserve">Seconda.</w:t>
      </w:r>
      <w:r>
        <w:rPr>
          <w:rFonts w:ascii="Barlow Semi Condensed" w:cs="Barlow Semi Condensed" w:eastAsia="Barlow Semi Condensed" w:hAnsi="Barlow Semi Condensed"/>
          <w:sz w:val="24"/>
          <w:szCs w:val="24"/>
        </w:rPr>
        <w:t xml:space="preserve"> In aula la vedova parlò di </w:t>
      </w:r>
      <w:r>
        <w:rPr>
          <w:rFonts w:ascii="Barlow Semi Condensed" w:cs="Barlow Semi Condensed" w:eastAsia="Barlow Semi Condensed" w:hAnsi="Barlow Semi Condensed"/>
          <w:b/>
          <w:bCs/>
          <w:sz w:val="24"/>
          <w:szCs w:val="24"/>
        </w:rPr>
        <w:t xml:space="preserve">«un'alta personalità» senza fare il nome</w:t>
      </w:r>
      <w:r>
        <w:rPr>
          <w:rFonts w:ascii="Barlow Semi Condensed" w:cs="Barlow Semi Condensed" w:eastAsia="Barlow Semi Condensed" w:hAnsi="Barlow Semi Condensed"/>
          <w:sz w:val="24"/>
          <w:szCs w:val="24"/>
        </w:rPr>
        <w:t xml:space="preserve">; fu il presidente della corte, richiamando il portavoce, a ottenere l'indicazione di Kissinger. </w:t>
      </w:r>
      <w:r>
        <w:rPr>
          <w:rFonts w:ascii="Barlow Semi Condensed" w:cs="Barlow Semi Condensed" w:eastAsia="Barlow Semi Condensed" w:hAnsi="Barlow Semi Condensed"/>
          <w:b/>
          <w:bCs/>
          <w:sz w:val="24"/>
          <w:szCs w:val="24"/>
        </w:rPr>
        <w:t xml:space="preserve">L'attribuzione del nome è dunque essa stessa indiretta.</w:t>
      </w:r>
    </w:p>
    <w:p>
      <w:pPr>
        <w:spacing w:after="120" w:line="276"/>
        <w:jc w:val="both"/>
      </w:pPr>
      <w:r>
        <w:rPr>
          <w:rFonts w:ascii="Barlow Semi Condensed" w:cs="Barlow Semi Condensed" w:eastAsia="Barlow Semi Condensed" w:hAnsi="Barlow Semi Condensed"/>
          <w:b/>
          <w:bCs/>
          <w:sz w:val="24"/>
          <w:szCs w:val="24"/>
        </w:rPr>
        <w:t xml:space="preserve">Terza, e la più pesante.</w:t>
      </w:r>
      <w:r>
        <w:rPr>
          <w:rFonts w:ascii="Barlow Semi Condensed" w:cs="Barlow Semi Condensed" w:eastAsia="Barlow Semi Condensed" w:hAnsi="Barlow Semi Condensed"/>
          <w:sz w:val="24"/>
          <w:szCs w:val="24"/>
        </w:rPr>
        <w:t xml:space="preserve"> La </w:t>
      </w:r>
      <w:r>
        <w:rPr>
          <w:rFonts w:ascii="Barlow Semi Condensed" w:cs="Barlow Semi Condensed" w:eastAsia="Barlow Semi Condensed" w:hAnsi="Barlow Semi Condensed"/>
          <w:b/>
          <w:bCs/>
          <w:sz w:val="24"/>
          <w:szCs w:val="24"/>
        </w:rPr>
        <w:t xml:space="preserve">collocazione dell'episodio diverge in modo non marginale</w:t>
      </w:r>
      <w:r>
        <w:rPr>
          <w:rFonts w:ascii="Barlow Semi Condensed" w:cs="Barlow Semi Condensed" w:eastAsia="Barlow Semi Condensed" w:hAnsi="Barlow Semi Condensed"/>
          <w:sz w:val="24"/>
          <w:szCs w:val="24"/>
        </w:rPr>
        <w:t xml:space="preserve">. La versione italiana prevalente lo pone al 25 settembre 1974; una fonte d'agenzia statunitense coeva (aprile 1983) riferisce invece che i magistrati che indagavano volevano interrogare Kissinger su un </w:t>
      </w:r>
      <w:r>
        <w:rPr>
          <w:rFonts w:ascii="Barlow Semi Condensed" w:cs="Barlow Semi Condensed" w:eastAsia="Barlow Semi Condensed" w:hAnsi="Barlow Semi Condensed"/>
          <w:b/>
          <w:bCs/>
          <w:sz w:val="24"/>
          <w:szCs w:val="24"/>
        </w:rPr>
        <w:t xml:space="preserve">acceso alterco avvenuto all'ambasciata d'Italia a Washington nel 1977</w:t>
      </w:r>
      <w:r>
        <w:rPr>
          <w:rFonts w:ascii="Barlow Semi Condensed" w:cs="Barlow Semi Condensed" w:eastAsia="Barlow Semi Condensed" w:hAnsi="Barlow Semi Condensed"/>
          <w:sz w:val="24"/>
          <w:szCs w:val="24"/>
        </w:rPr>
        <w:t xml:space="preserve">; altre sintesi indicano il 1976. Divergono anche i luoghi: Studio Ovale, Dipartimento di Stato, cena ufficiale, ambasciata italiana. </w:t>
      </w:r>
      <w:r>
        <w:rPr>
          <w:rFonts w:ascii="Barlow Semi Condensed" w:cs="Barlow Semi Condensed" w:eastAsia="Barlow Semi Condensed" w:hAnsi="Barlow Semi Condensed"/>
          <w:b/>
          <w:bCs/>
          <w:sz w:val="24"/>
          <w:szCs w:val="24"/>
        </w:rPr>
        <w:t xml:space="preserve">Nel 1977 Kissinger non era più Segretario di Stato</w:t>
      </w:r>
      <w:r>
        <w:rPr>
          <w:rFonts w:ascii="Barlow Semi Condensed" w:cs="Barlow Semi Condensed" w:eastAsia="Barlow Semi Condensed" w:hAnsi="Barlow Semi Condensed"/>
          <w:sz w:val="24"/>
          <w:szCs w:val="24"/>
        </w:rPr>
        <w:t xml:space="preserve">: la differenza non è di dettaglio, ed è dirimente per chi voglia legare l'episodio a una carica.</w:t>
      </w:r>
    </w:p>
    <w:p>
      <w:pPr>
        <w:spacing w:after="120" w:line="276"/>
        <w:jc w:val="both"/>
      </w:pPr>
      <w:r>
        <w:rPr>
          <w:rFonts w:ascii="Barlow Semi Condensed" w:cs="Barlow Semi Condensed" w:eastAsia="Barlow Semi Condensed" w:hAnsi="Barlow Semi Condensed"/>
          <w:b/>
          <w:bCs/>
          <w:sz w:val="24"/>
          <w:szCs w:val="24"/>
        </w:rPr>
        <w:t xml:space="preserve">Quarta.</w:t>
      </w:r>
      <w:r>
        <w:rPr>
          <w:rFonts w:ascii="Barlow Semi Condensed" w:cs="Barlow Semi Condensed" w:eastAsia="Barlow Semi Condensed" w:hAnsi="Barlow Semi Condensed"/>
          <w:sz w:val="24"/>
          <w:szCs w:val="24"/>
        </w:rPr>
        <w:t xml:space="preserve"> La sede parlamentare della vedova è confermata — la Commissione d'inchiesta sul caso Moro, </w:t>
      </w:r>
      <w:r>
        <w:rPr>
          <w:rFonts w:ascii="Barlow Semi Condensed" w:cs="Barlow Semi Condensed" w:eastAsia="Barlow Semi Condensed" w:hAnsi="Barlow Semi Condensed"/>
          <w:b/>
          <w:bCs/>
          <w:sz w:val="24"/>
          <w:szCs w:val="24"/>
        </w:rPr>
        <w:t xml:space="preserve">1° agosto 1980</w:t>
      </w:r>
      <w:r>
        <w:rPr>
          <w:rFonts w:ascii="Barlow Semi Condensed" w:cs="Barlow Semi Condensed" w:eastAsia="Barlow Semi Condensed" w:hAnsi="Barlow Semi Condensed"/>
          <w:sz w:val="24"/>
          <w:szCs w:val="24"/>
        </w:rPr>
        <w:t xml:space="preserve"> (una fonte indica l'11, verosimilmente per lettura errata di «1°») — ma </w:t>
      </w:r>
      <w:r>
        <w:rPr>
          <w:rFonts w:ascii="Barlow Semi Condensed" w:cs="Barlow Semi Condensed" w:eastAsia="Barlow Semi Condensed" w:hAnsi="Barlow Semi Condensed"/>
          <w:b/>
          <w:bCs/>
          <w:sz w:val="24"/>
          <w:szCs w:val="24"/>
        </w:rPr>
        <w:t xml:space="preserve">il contenuto verbatim della frase in quella sede resta da riscontrare</w:t>
      </w:r>
      <w:r>
        <w:rPr>
          <w:rFonts w:ascii="Barlow Semi Condensed" w:cs="Barlow Semi Condensed" w:eastAsia="Barlow Semi Condensed" w:hAnsi="Barlow Semi Condensed"/>
          <w:sz w:val="24"/>
          <w:szCs w:val="24"/>
        </w:rPr>
        <w:t xml:space="preserve">: le sintesi attribuiscono la frase alla deposizione giudiziaria del 1982, mentre dell'audizione del 1980 riportano soprattutto il riferimento a minacce risalenti al 1975 e crescenti. </w:t>
      </w:r>
      <w:r>
        <w:rPr>
          <w:rFonts w:ascii="Barlow Semi Condensed" w:cs="Barlow Semi Condensed" w:eastAsia="Barlow Semi Condensed" w:hAnsi="Barlow Semi Condensed"/>
          <w:b/>
          <w:bCs/>
          <w:sz w:val="24"/>
          <w:szCs w:val="24"/>
        </w:rPr>
        <w:t xml:space="preserve">Sede confermata, contenuto da verificare</w:t>
      </w:r>
      <w:r>
        <w:rPr>
          <w:rFonts w:ascii="Barlow Semi Condensed" w:cs="Barlow Semi Condensed" w:eastAsia="Barlow Semi Condensed" w:hAnsi="Barlow Semi Condensed"/>
          <w:sz w:val="24"/>
          <w:szCs w:val="24"/>
        </w:rPr>
        <w:t xml:space="preserve">: i due piani vanno tenuti distinti.</w:t>
      </w:r>
    </w:p>
    <w:p>
      <w:pPr>
        <w:spacing w:after="120" w:line="276"/>
        <w:jc w:val="both"/>
      </w:pPr>
      <w:r>
        <w:rPr>
          <w:rFonts w:ascii="Barlow Semi Condensed" w:cs="Barlow Semi Condensed" w:eastAsia="Barlow Semi Condensed" w:hAnsi="Barlow Semi Condensed"/>
          <w:b/>
          <w:bCs/>
          <w:sz w:val="24"/>
          <w:szCs w:val="24"/>
        </w:rPr>
        <w:t xml:space="preserve">Quinta, ed è la correzione che il corpus deve recepire.</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b/>
          <w:bCs/>
          <w:sz w:val="24"/>
          <w:szCs w:val="24"/>
        </w:rPr>
        <w:t xml:space="preserve">La smentita esiste ed è documentata.</w:t>
      </w:r>
      <w:r>
        <w:rPr>
          <w:rFonts w:ascii="Barlow Semi Condensed" w:cs="Barlow Semi Condensed" w:eastAsia="Barlow Semi Condensed" w:hAnsi="Barlow Semi Condensed"/>
          <w:sz w:val="24"/>
          <w:szCs w:val="24"/>
        </w:rPr>
        <w:t xml:space="preserve"> In forma diretta e circostanziata: interrogato da un giornalista poco prima della morte, Kissinger rispose seccamente di non aver </w:t>
      </w:r>
      <w:r>
        <w:rPr>
          <w:rFonts w:ascii="Barlow Semi Condensed" w:cs="Barlow Semi Condensed" w:eastAsia="Barlow Semi Condensed" w:hAnsi="Barlow Semi Condensed"/>
          <w:b/>
          <w:bCs/>
          <w:sz w:val="24"/>
          <w:szCs w:val="24"/>
        </w:rPr>
        <w:t xml:space="preserve">«mai detto una cosa simile»</w:t>
      </w:r>
      <w:r>
        <w:rPr>
          <w:rFonts w:ascii="Barlow Semi Condensed" w:cs="Barlow Semi Condensed" w:eastAsia="Barlow Semi Condensed" w:hAnsi="Barlow Semi Condensed"/>
          <w:sz w:val="24"/>
          <w:szCs w:val="24"/>
        </w:rPr>
        <w:t xml:space="preserve">, chiedendo incredulo se in Italia si pensasse davvero questo di lui — è testimonianza giornalistica di un solo interlocutore, non un comunicato. In forma anteriore e generica: già nel 1983 l'agenzia statunitense scriveva che egli ammetteva la propria contrarietà all'ingresso dei comunisti al governo ma </w:t>
      </w:r>
      <w:r>
        <w:rPr>
          <w:rFonts w:ascii="Barlow Semi Condensed" w:cs="Barlow Semi Condensed" w:eastAsia="Barlow Semi Condensed" w:hAnsi="Barlow Semi Condensed"/>
          <w:b/>
          <w:bCs/>
          <w:sz w:val="24"/>
          <w:szCs w:val="24"/>
        </w:rPr>
        <w:t xml:space="preserve">aveva smentito più volte</w:t>
      </w:r>
      <w:r>
        <w:rPr>
          <w:rFonts w:ascii="Barlow Semi Condensed" w:cs="Barlow Semi Condensed" w:eastAsia="Barlow Semi Condensed" w:hAnsi="Barlow Semi Condensed"/>
          <w:sz w:val="24"/>
          <w:szCs w:val="24"/>
        </w:rPr>
        <w:t xml:space="preserve"> di aver rimproverato Moro. </w:t>
      </w:r>
      <w:r>
        <w:rPr>
          <w:rFonts w:ascii="Barlow Semi Condensed" w:cs="Barlow Semi Condensed" w:eastAsia="Barlow Semi Condensed" w:hAnsi="Barlow Semi Condensed"/>
          <w:b/>
          <w:bCs/>
          <w:sz w:val="24"/>
          <w:szCs w:val="24"/>
        </w:rPr>
        <w:t xml:space="preserve">Non è stata reperita</w:t>
      </w:r>
      <w:r>
        <w:rPr>
          <w:rFonts w:ascii="Barlow Semi Condensed" w:cs="Barlow Semi Condensed" w:eastAsia="Barlow Semi Condensed" w:hAnsi="Barlow Semi Condensed"/>
          <w:sz w:val="24"/>
          <w:szCs w:val="24"/>
        </w:rPr>
        <w:t xml:space="preserve"> alcuna smentita formale di un portavoce personale sul merito. </w:t>
      </w:r>
      <w:r>
        <w:rPr>
          <w:rFonts w:ascii="Barlow Semi Condensed" w:cs="Barlow Semi Condensed" w:eastAsia="Barlow Semi Condensed" w:hAnsi="Barlow Semi Condensed"/>
          <w:b/>
          <w:bCs/>
          <w:sz w:val="24"/>
          <w:szCs w:val="24"/>
        </w:rPr>
        <w:t xml:space="preserve">Kissinger non fu mai sentito dai magistrati italiani</w:t>
      </w:r>
      <w:r>
        <w:rPr>
          <w:rFonts w:ascii="Barlow Semi Condensed" w:cs="Barlow Semi Condensed" w:eastAsia="Barlow Semi Condensed" w:hAnsi="Barlow Semi Condensed"/>
          <w:sz w:val="24"/>
          <w:szCs w:val="24"/>
        </w:rPr>
        <w:t xml:space="preserve">: la richiesta informale del 1983 non ebbe seguito.</w:t>
      </w:r>
    </w:p>
    <w:p>
      <w:pPr>
        <w:spacing w:after="120" w:line="276"/>
        <w:jc w:val="both"/>
      </w:pPr>
      <w:r>
        <w:rPr>
          <w:rFonts w:ascii="Barlow Semi Condensed" w:cs="Barlow Semi Condensed" w:eastAsia="Barlow Semi Condensed" w:hAnsi="Barlow Semi Condensed"/>
          <w:b/>
          <w:bCs/>
          <w:sz w:val="24"/>
          <w:szCs w:val="24"/>
        </w:rPr>
        <w:t xml:space="preserve">Sesta.</w:t>
      </w:r>
      <w:r>
        <w:rPr>
          <w:rFonts w:ascii="Barlow Semi Condensed" w:cs="Barlow Semi Condensed" w:eastAsia="Barlow Semi Condensed" w:hAnsi="Barlow Semi Condensed"/>
          <w:sz w:val="24"/>
          <w:szCs w:val="24"/>
        </w:rPr>
        <w:t xml:space="preserve"> Due testimoni italiani qualificati hanno negato la minaccia pur ammettendo la durezza del confronto. Uno la definì </w:t>
      </w:r>
      <w:r>
        <w:rPr>
          <w:rFonts w:ascii="Barlow Semi Condensed" w:cs="Barlow Semi Condensed" w:eastAsia="Barlow Semi Condensed" w:hAnsi="Barlow Semi Condensed"/>
          <w:b/>
          <w:bCs/>
          <w:sz w:val="24"/>
          <w:szCs w:val="24"/>
        </w:rPr>
        <w:t xml:space="preserve">«una leggenda che non ha fondamento»</w:t>
      </w:r>
      <w:r>
        <w:rPr>
          <w:rFonts w:ascii="Barlow Semi Condensed" w:cs="Barlow Semi Condensed" w:eastAsia="Barlow Semi Condensed" w:hAnsi="Barlow Semi Condensed"/>
          <w:sz w:val="24"/>
          <w:szCs w:val="24"/>
        </w:rPr>
        <w:t xml:space="preserve">, dicendo di averlo verificato allora con l'interprete perché </w:t>
      </w:r>
      <w:r>
        <w:rPr>
          <w:rFonts w:ascii="Barlow Semi Condensed" w:cs="Barlow Semi Condensed" w:eastAsia="Barlow Semi Condensed" w:hAnsi="Barlow Semi Condensed"/>
          <w:b/>
          <w:bCs/>
          <w:sz w:val="24"/>
          <w:szCs w:val="24"/>
        </w:rPr>
        <w:t xml:space="preserve">Moro non parlava inglese</w:t>
      </w:r>
      <w:r>
        <w:rPr>
          <w:rFonts w:ascii="Barlow Semi Condensed" w:cs="Barlow Semi Condensed" w:eastAsia="Barlow Semi Condensed" w:hAnsi="Barlow Semi Condensed"/>
          <w:sz w:val="24"/>
          <w:szCs w:val="24"/>
        </w:rPr>
        <w:t xml:space="preserve"> — dato che tocca la plausibilità materiale di uno scambio verbale diretto; lo stesso testimone, altrove, descrisse però un colloquio politicamente durissimo, distinguendo </w:t>
      </w:r>
      <w:r>
        <w:rPr>
          <w:rFonts w:ascii="Barlow Semi Condensed" w:cs="Barlow Semi Condensed" w:eastAsia="Barlow Semi Condensed" w:hAnsi="Barlow Semi Condensed"/>
          <w:b/>
          <w:bCs/>
          <w:sz w:val="24"/>
          <w:szCs w:val="24"/>
        </w:rPr>
        <w:t xml:space="preserve">il rimprovero aspro dalla minaccia</w:t>
      </w:r>
      <w:r>
        <w:rPr>
          <w:rFonts w:ascii="Barlow Semi Condensed" w:cs="Barlow Semi Condensed" w:eastAsia="Barlow Semi Condensed" w:hAnsi="Barlow Semi Condensed"/>
          <w:sz w:val="24"/>
          <w:szCs w:val="24"/>
        </w:rPr>
        <w:t xml:space="preserve">. Un altro parlò di </w:t>
      </w:r>
      <w:r>
        <w:rPr>
          <w:rFonts w:ascii="Barlow Semi Condensed" w:cs="Barlow Semi Condensed" w:eastAsia="Barlow Semi Condensed" w:hAnsi="Barlow Semi Condensed"/>
          <w:b/>
          <w:bCs/>
          <w:sz w:val="24"/>
          <w:szCs w:val="24"/>
        </w:rPr>
        <w:t xml:space="preserve">«solo un problema di linguaggio»</w:t>
      </w:r>
      <w:r>
        <w:rPr>
          <w:rFonts w:ascii="Barlow Semi Condensed" w:cs="Barlow Semi Condensed" w:eastAsia="Barlow Semi Condensed" w:hAnsi="Barlow Semi Condensed"/>
          <w:sz w:val="24"/>
          <w:szCs w:val="24"/>
        </w:rPr>
        <w:t xml:space="preserve">. Nessuna di queste smentite proviene da un presente al colloquio riservato: valgono quanto valgono, e si riportano tutte.</w:t>
      </w:r>
    </w:p>
    <w:p>
      <w:pPr>
        <w:spacing w:after="120" w:line="276"/>
        <w:jc w:val="both"/>
      </w:pPr>
      <w:r>
        <w:rPr>
          <w:rFonts w:ascii="Barlow Semi Condensed" w:cs="Barlow Semi Condensed" w:eastAsia="Barlow Semi Condensed" w:hAnsi="Barlow Semi Condensed"/>
          <w:b/>
          <w:bCs/>
          <w:sz w:val="24"/>
          <w:szCs w:val="24"/>
        </w:rPr>
        <w:t xml:space="preserve">Settima, ed è metodologicamente la più importante.</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b/>
          <w:bCs/>
          <w:sz w:val="24"/>
          <w:szCs w:val="24"/>
        </w:rPr>
        <w:t xml:space="preserve">La moltiplicazione delle fonti è apparente.</w:t>
      </w:r>
      <w:r>
        <w:rPr>
          <w:rFonts w:ascii="Barlow Semi Condensed" w:cs="Barlow Semi Condensed" w:eastAsia="Barlow Semi Condensed" w:hAnsi="Barlow Semi Condensed"/>
          <w:sz w:val="24"/>
          <w:szCs w:val="24"/>
        </w:rPr>
        <w:t xml:space="preserve"> Le decine di siti che riportano la frase in forma pressoché identica risalgono a </w:t>
      </w:r>
      <w:r>
        <w:rPr>
          <w:rFonts w:ascii="Barlow Semi Condensed" w:cs="Barlow Semi Condensed" w:eastAsia="Barlow Semi Condensed" w:hAnsi="Barlow Semi Condensed"/>
          <w:b/>
          <w:bCs/>
          <w:sz w:val="24"/>
          <w:szCs w:val="24"/>
        </w:rPr>
        <w:t xml:space="preserve">un unico lancio d'agenzia</w:t>
      </w:r>
      <w:r>
        <w:rPr>
          <w:rFonts w:ascii="Barlow Semi Condensed" w:cs="Barlow Semi Condensed" w:eastAsia="Barlow Semi Condensed" w:hAnsi="Barlow Semi Condensed"/>
          <w:sz w:val="24"/>
          <w:szCs w:val="24"/>
        </w:rPr>
        <w:t xml:space="preserve"> del 30 novembre 2023; sul piano internazionale la vicenda fu rilanciata già nel 1982 da una pubblicazione di orientamento apertamente cospirazionista, citabile come dato di circolazione e non come riscontro. </w:t>
      </w:r>
      <w:r>
        <w:rPr>
          <w:rFonts w:ascii="Barlow Semi Condensed" w:cs="Barlow Semi Condensed" w:eastAsia="Barlow Semi Condensed" w:hAnsi="Barlow Semi Condensed"/>
          <w:b/>
          <w:bCs/>
          <w:sz w:val="24"/>
          <w:szCs w:val="24"/>
        </w:rPr>
        <w:t xml:space="preserve">Il numero delle ripetizioni non aggiunge valore probatorio</w:t>
      </w:r>
      <w:r>
        <w:rPr>
          <w:rFonts w:ascii="Barlow Semi Condensed" w:cs="Barlow Semi Condensed" w:eastAsia="Barlow Semi Condensed" w:hAnsi="Barlow Semi Condensed"/>
          <w:sz w:val="24"/>
          <w:szCs w:val="24"/>
        </w:rPr>
        <w:t xml:space="preserve">: è replicazione senza informazione nuova — e la lente di quest'opera ha qui il suo esempio più esatto, perché in genetica la copia fedele di una sequenza non crea alcun carattere nuovo, per quante volte la si esegua.</w:t>
      </w:r>
    </w:p>
    <w:p>
      <w:pPr>
        <w:spacing w:after="120" w:line="276"/>
        <w:jc w:val="both"/>
      </w:pPr>
      <w:r>
        <w:rPr>
          <w:rFonts w:ascii="Barlow Semi Condensed" w:cs="Barlow Semi Condensed" w:eastAsia="Barlow Semi Condensed" w:hAnsi="Barlow Semi Condensed"/>
          <w:b/>
          <w:bCs/>
          <w:sz w:val="24"/>
          <w:szCs w:val="24"/>
        </w:rPr>
        <w:t xml:space="preserve">Lo stato storiografico</w:t>
      </w:r>
      <w:r>
        <w:rPr>
          <w:rFonts w:ascii="Barlow Semi Condensed" w:cs="Barlow Semi Condensed" w:eastAsia="Barlow Semi Condensed" w:hAnsi="Barlow Semi Condensed"/>
          <w:sz w:val="24"/>
          <w:szCs w:val="24"/>
        </w:rPr>
        <w:t xml:space="preserve">, infine, è concorde nel senso della </w:t>
      </w:r>
      <w:r>
        <w:rPr>
          <w:rFonts w:ascii="Barlow Semi Condensed" w:cs="Barlow Semi Condensed" w:eastAsia="Barlow Semi Condensed" w:hAnsi="Barlow Semi Condensed"/>
          <w:b/>
          <w:bCs/>
          <w:sz w:val="24"/>
          <w:szCs w:val="24"/>
        </w:rPr>
        <w:t xml:space="preserve">contesa</w:t>
      </w:r>
      <w:r>
        <w:rPr>
          <w:rFonts w:ascii="Barlow Semi Condensed" w:cs="Barlow Semi Condensed" w:eastAsia="Barlow Semi Condensed" w:hAnsi="Barlow Semi Condensed"/>
          <w:sz w:val="24"/>
          <w:szCs w:val="24"/>
        </w:rPr>
        <w:t xml:space="preserve">: nessun documento noto attesta la frase, la base è testimoniale, </w:t>
      </w:r>
      <w:r>
        <w:rPr>
          <w:rFonts w:ascii="Barlow Semi Condensed" w:cs="Barlow Semi Condensed" w:eastAsia="Barlow Semi Condensed" w:hAnsi="Barlow Semi Condensed"/>
          <w:i/>
          <w:iCs/>
          <w:sz w:val="24"/>
          <w:szCs w:val="24"/>
        </w:rPr>
        <w:t xml:space="preserve">de relato</w:t>
      </w:r>
      <w:r>
        <w:rPr>
          <w:rFonts w:ascii="Barlow Semi Condensed" w:cs="Barlow Semi Condensed" w:eastAsia="Barlow Semi Condensed" w:hAnsi="Barlow Semi Condensed"/>
          <w:sz w:val="24"/>
          <w:szCs w:val="24"/>
        </w:rPr>
        <w:t xml:space="preserve"> e resa anni dopo; la storiografia critica osserva che a decenni di distanza non sono emersi documenti né testimonianze di persone coinvolte a sostegno dell'ipotesi di una regia internazionale del sequestro, e distingue l'ostilità politica pregiudiziale — documentata — dall'accreditamento della minaccia come fatto. </w:t>
      </w:r>
      <w:r>
        <w:rPr>
          <w:rFonts w:ascii="Barlow Semi Condensed" w:cs="Barlow Semi Condensed" w:eastAsia="Barlow Semi Condensed" w:hAnsi="Barlow Semi Condensed"/>
          <w:b/>
          <w:bCs/>
          <w:sz w:val="24"/>
          <w:szCs w:val="24"/>
        </w:rPr>
        <w:t xml:space="preserve">E nessuna sentenza definitiva ha attribuito ad alcuna autorità statunitense responsabilità penali nel sequestro e nell'omicidio</w:t>
      </w:r>
      <w:r>
        <w:rPr>
          <w:rFonts w:ascii="Barlow Semi Condensed" w:cs="Barlow Semi Condensed" w:eastAsia="Barlow Semi Condensed" w:hAnsi="Barlow Semi Condensed"/>
          <w:sz w:val="24"/>
          <w:szCs w:val="24"/>
        </w:rPr>
        <w:t xml:space="preserve">: le condanne definitive riguardano esponenti delle Brigate Rosse. L'episodio non ha mai formato oggetto d'imputazione.</w:t>
      </w:r>
    </w:p>
    <w:p>
      <w:pPr>
        <w:pStyle w:val="Heading3"/>
        <w:spacing w:after="80" w:before="160"/>
      </w:pPr>
      <w:r>
        <w:rPr>
          <w:rFonts w:ascii="Barlow Semi Condensed" w:cs="Barlow Semi Condensed" w:eastAsia="Barlow Semi Condensed" w:hAnsi="Barlow Semi Condensed"/>
          <w:sz w:val="24"/>
          <w:szCs w:val="24"/>
        </w:rPr>
        <w:t xml:space="preserve">K-5 · Il limite dichiarato di questa campagna</w:t>
      </w:r>
    </w:p>
    <w:p>
      <w:pPr>
        <w:spacing w:after="120" w:line="276"/>
        <w:jc w:val="both"/>
      </w:pPr>
      <w:r>
        <w:rPr>
          <w:rFonts w:ascii="Barlow Semi Condensed" w:cs="Barlow Semi Condensed" w:eastAsia="Barlow Semi Condensed" w:hAnsi="Barlow Semi Condensed"/>
          <w:sz w:val="24"/>
          <w:szCs w:val="24"/>
        </w:rPr>
        <w:t xml:space="preserve">Va scritto, perché un apparato che tace i propri limiti vale meno di quello che li dichiara. </w:t>
      </w:r>
      <w:r>
        <w:rPr>
          <w:rFonts w:ascii="Barlow Semi Condensed" w:cs="Barlow Semi Condensed" w:eastAsia="Barlow Semi Condensed" w:hAnsi="Barlow Semi Condensed"/>
          <w:b/>
          <w:bCs/>
          <w:sz w:val="24"/>
          <w:szCs w:val="24"/>
        </w:rPr>
        <w:t xml:space="preserve">La campagna non ha potuto leggere i documenti primari.</w:t>
      </w:r>
      <w:r>
        <w:rPr>
          <w:rFonts w:ascii="Barlow Semi Condensed" w:cs="Barlow Semi Condensed" w:eastAsia="Barlow Semi Condensed" w:hAnsi="Barlow Semi Condensed"/>
          <w:sz w:val="24"/>
          <w:szCs w:val="24"/>
        </w:rPr>
        <w:t xml:space="preserve"> L'accesso diretto alle pagine è risultato bloccato dal proxy di rete, e la verifica poggia su sintesi di risultati e su fonti secondarie: </w:t>
      </w:r>
      <w:r>
        <w:rPr>
          <w:rFonts w:ascii="Barlow Semi Condensed" w:cs="Barlow Semi Condensed" w:eastAsia="Barlow Semi Condensed" w:hAnsi="Barlow Semi Condensed"/>
          <w:b/>
          <w:bCs/>
          <w:sz w:val="24"/>
          <w:szCs w:val="24"/>
        </w:rPr>
        <w:t xml:space="preserve">non sui resoconti stenografici</w:t>
      </w:r>
      <w:r>
        <w:rPr>
          <w:rFonts w:ascii="Barlow Semi Condensed" w:cs="Barlow Semi Condensed" w:eastAsia="Barlow Semi Condensed" w:hAnsi="Barlow Semi Condensed"/>
          <w:sz w:val="24"/>
          <w:szCs w:val="24"/>
        </w:rPr>
        <w:t xml:space="preserve"> della Commissione d'inchiesta, </w:t>
      </w:r>
      <w:r>
        <w:rPr>
          <w:rFonts w:ascii="Barlow Semi Condensed" w:cs="Barlow Semi Condensed" w:eastAsia="Barlow Semi Condensed" w:hAnsi="Barlow Semi Condensed"/>
          <w:b/>
          <w:bCs/>
          <w:sz w:val="24"/>
          <w:szCs w:val="24"/>
        </w:rPr>
        <w:t xml:space="preserve">non sui verbali d'udienza</w:t>
      </w:r>
      <w:r>
        <w:rPr>
          <w:rFonts w:ascii="Barlow Semi Condensed" w:cs="Barlow Semi Condensed" w:eastAsia="Barlow Semi Condensed" w:hAnsi="Barlow Semi Condensed"/>
          <w:sz w:val="24"/>
          <w:szCs w:val="24"/>
        </w:rPr>
        <w:t xml:space="preserve"> del processo. Le date qualificate qui come confermate sono quelle su cui convergono più fonti secondarie indipendenti, e </w:t>
      </w:r>
      <w:r>
        <w:rPr>
          <w:rFonts w:ascii="Barlow Semi Condensed" w:cs="Barlow Semi Condensed" w:eastAsia="Barlow Semi Condensed" w:hAnsi="Barlow Semi Condensed"/>
          <w:b/>
          <w:bCs/>
          <w:sz w:val="24"/>
          <w:szCs w:val="24"/>
        </w:rPr>
        <w:t xml:space="preserve">restano da riscontrare sui testi ufficiali</w:t>
      </w:r>
      <w:r>
        <w:rPr>
          <w:rFonts w:ascii="Barlow Semi Condensed" w:cs="Barlow Semi Condensed" w:eastAsia="Barlow Semi Condensed" w:hAnsi="Barlow Semi Condensed"/>
          <w:sz w:val="24"/>
          <w:szCs w:val="24"/>
        </w:rPr>
        <w:t xml:space="preserve">: gli atti della Commissione (Doc. XXIII, VIII legislatura) e gli atti della Corte d'assise di Roma. Chi riprenderà questo apparato lo faccia sapendo esattamente </w:t>
      </w:r>
      <w:r>
        <w:rPr>
          <w:rFonts w:ascii="Barlow Semi Condensed" w:cs="Barlow Semi Condensed" w:eastAsia="Barlow Semi Condensed" w:hAnsi="Barlow Semi Condensed"/>
          <w:b/>
          <w:bCs/>
          <w:sz w:val="24"/>
          <w:szCs w:val="24"/>
        </w:rPr>
        <w:t xml:space="preserve">quanto pesa ciascuna riga</w:t>
      </w:r>
      <w:r>
        <w:rPr>
          <w:rFonts w:ascii="Barlow Semi Condensed" w:cs="Barlow Semi Condensed" w:eastAsia="Barlow Semi Condensed" w:hAnsi="Barlow Semi Condensed"/>
          <w:sz w:val="24"/>
          <w:szCs w:val="24"/>
        </w:rPr>
        <w:t xml:space="preserve">.</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Apparato L — La seconda campagna: il metodo territoriale</w:t>
      </w:r>
    </w:p>
    <w:p>
      <w:pPr>
        <w:spacing w:after="120" w:line="276"/>
        <w:jc w:val="both"/>
      </w:pPr>
      <w:r>
        <w:rPr>
          <w:rFonts w:ascii="Barlow Semi Condensed" w:cs="Barlow Semi Condensed" w:eastAsia="Barlow Semi Condensed" w:hAnsi="Barlow Semi Condensed"/>
          <w:sz w:val="24"/>
          <w:szCs w:val="24"/>
        </w:rPr>
        <w:t xml:space="preserve">Le prime tredici serie erano </w:t>
      </w:r>
      <w:r>
        <w:rPr>
          <w:rFonts w:ascii="Barlow Semi Condensed" w:cs="Barlow Semi Condensed" w:eastAsia="Barlow Semi Condensed" w:hAnsi="Barlow Semi Condensed"/>
          <w:b/>
          <w:bCs/>
          <w:sz w:val="24"/>
          <w:szCs w:val="24"/>
        </w:rPr>
        <w:t xml:space="preserve">concettuali</w:t>
      </w:r>
      <w:r>
        <w:rPr>
          <w:rFonts w:ascii="Barlow Semi Condensed" w:cs="Barlow Semi Condensed" w:eastAsia="Barlow Semi Condensed" w:hAnsi="Barlow Semi Condensed"/>
          <w:sz w:val="24"/>
          <w:szCs w:val="24"/>
        </w:rPr>
        <w:t xml:space="preserve">: applicavano al nome una sola lente, quella dichiarata dal committente, e ne misuravano la resa. Le cinquantadue che seguono sono </w:t>
      </w:r>
      <w:r>
        <w:rPr>
          <w:rFonts w:ascii="Barlow Semi Condensed" w:cs="Barlow Semi Condensed" w:eastAsia="Barlow Semi Condensed" w:hAnsi="Barlow Semi Condensed"/>
          <w:b/>
          <w:bCs/>
          <w:sz w:val="24"/>
          <w:szCs w:val="24"/>
        </w:rPr>
        <w:t xml:space="preserve">territoriali</w:t>
      </w:r>
      <w:r>
        <w:rPr>
          <w:rFonts w:ascii="Barlow Semi Condensed" w:cs="Barlow Semi Condensed" w:eastAsia="Barlow Semi Condensed" w:hAnsi="Barlow Semi Condensed"/>
          <w:sz w:val="24"/>
          <w:szCs w:val="24"/>
        </w:rPr>
        <w:t xml:space="preserve">: ciascuna triangola quel nome contro un territorio preciso del corpus — un documento, una cartella, una Parte — con l'obbligo di leggerlo prima di scriverne. Si registrano qui gli esiti di metodo della campagna, a cominciare da quello che ha costretto a correggere una nozione che il corpus dava per assodata.</w:t>
      </w:r>
    </w:p>
    <w:p>
      <w:pPr>
        <w:pStyle w:val="Heading3"/>
        <w:spacing w:after="80" w:before="160"/>
      </w:pPr>
      <w:r>
        <w:rPr>
          <w:rFonts w:ascii="Barlow Semi Condensed" w:cs="Barlow Semi Condensed" w:eastAsia="Barlow Semi Condensed" w:hAnsi="Barlow Semi Condensed"/>
          <w:sz w:val="24"/>
          <w:szCs w:val="24"/>
        </w:rPr>
        <w:t xml:space="preserve">L-1 · Lo Stato Zero e il silenzio: una distinzione che il corpus non aveva</w:t>
      </w:r>
    </w:p>
    <w:p>
      <w:pPr>
        <w:spacing w:after="120" w:line="276"/>
        <w:jc w:val="both"/>
      </w:pPr>
      <w:r>
        <w:rPr>
          <w:rFonts w:ascii="Barlow Semi Condensed" w:cs="Barlow Semi Condensed" w:eastAsia="Barlow Semi Condensed" w:hAnsi="Barlow Semi Condensed"/>
          <w:sz w:val="24"/>
          <w:szCs w:val="24"/>
        </w:rPr>
        <w:t xml:space="preserve">Il corpus impiega da sempre la nozione di </w:t>
      </w:r>
      <w:r>
        <w:rPr>
          <w:rFonts w:ascii="Barlow Semi Condensed" w:cs="Barlow Semi Condensed" w:eastAsia="Barlow Semi Condensed" w:hAnsi="Barlow Semi Condensed"/>
          <w:b/>
          <w:bCs/>
          <w:sz w:val="24"/>
          <w:szCs w:val="24"/>
        </w:rPr>
        <w:t xml:space="preserve">Stato Zero</w:t>
      </w:r>
      <w:r>
        <w:rPr>
          <w:rFonts w:ascii="Barlow Semi Condensed" w:cs="Barlow Semi Condensed" w:eastAsia="Barlow Semi Condensed" w:hAnsi="Barlow Semi Condensed"/>
          <w:sz w:val="24"/>
          <w:szCs w:val="24"/>
        </w:rPr>
        <w:t xml:space="preserve"> — l'esito negativo dichiarato, cercato e non trovato — e la tratta come acquisizione di pieno valore. La seconda campagna ha mostrato che quella nozione, applicata a tappeto contro cinquantadue territori, si sfalda in due cose diverse che vanno tenute separate.</w:t>
      </w:r>
    </w:p>
    <w:p>
      <w:pPr>
        <w:spacing w:after="120" w:line="276"/>
        <w:jc w:val="both"/>
      </w:pPr>
      <w:r>
        <w:rPr>
          <w:rFonts w:ascii="Barlow Semi Condensed" w:cs="Barlow Semi Condensed" w:eastAsia="Barlow Semi Condensed" w:hAnsi="Barlow Semi Condensed"/>
          <w:b/>
          <w:bCs/>
          <w:sz w:val="24"/>
          <w:szCs w:val="24"/>
        </w:rPr>
        <w:t xml:space="preserve">Lo Stato Zero è un fatto di ricerca.</w:t>
      </w:r>
      <w:r>
        <w:rPr>
          <w:rFonts w:ascii="Barlow Semi Condensed" w:cs="Barlow Semi Condensed" w:eastAsia="Barlow Semi Condensed" w:hAnsi="Barlow Semi Condensed"/>
          <w:sz w:val="24"/>
          <w:szCs w:val="24"/>
        </w:rPr>
        <w:t xml:space="preserve"> Si predica di un'interrogazione condotta in una </w:t>
      </w:r>
      <w:r>
        <w:rPr>
          <w:rFonts w:ascii="Barlow Semi Condensed" w:cs="Barlow Semi Condensed" w:eastAsia="Barlow Semi Condensed" w:hAnsi="Barlow Semi Condensed"/>
          <w:b/>
          <w:bCs/>
          <w:sz w:val="24"/>
          <w:szCs w:val="24"/>
        </w:rPr>
        <w:t xml:space="preserve">sede nominata</w:t>
      </w:r>
      <w:r>
        <w:rPr>
          <w:rFonts w:ascii="Barlow Semi Condensed" w:cs="Barlow Semi Condensed" w:eastAsia="Barlow Semi Condensed" w:hAnsi="Barlow Semi Condensed"/>
          <w:sz w:val="24"/>
          <w:szCs w:val="24"/>
        </w:rPr>
        <w:t xml:space="preserve">: si è cercato in quel fondo, con quei criteri, in quella data, e non si è trovato. Ha valore probatorio perché ha un perimetro, un metodo e un responsabile; ed è falsificabile, perché chiunque può ripetere la ricerca.</w:t>
      </w:r>
    </w:p>
    <w:p>
      <w:pPr>
        <w:spacing w:after="120" w:line="276"/>
        <w:jc w:val="both"/>
      </w:pPr>
      <w:r>
        <w:rPr>
          <w:rFonts w:ascii="Barlow Semi Condensed" w:cs="Barlow Semi Condensed" w:eastAsia="Barlow Semi Condensed" w:hAnsi="Barlow Semi Condensed"/>
          <w:b/>
          <w:bCs/>
          <w:sz w:val="24"/>
          <w:szCs w:val="24"/>
        </w:rPr>
        <w:t xml:space="preserve">Il silenzio di un testo è un fatto di oggetto.</w:t>
      </w:r>
      <w:r>
        <w:rPr>
          <w:rFonts w:ascii="Barlow Semi Condensed" w:cs="Barlow Semi Condensed" w:eastAsia="Barlow Semi Condensed" w:hAnsi="Barlow Semi Condensed"/>
          <w:sz w:val="24"/>
          <w:szCs w:val="24"/>
        </w:rPr>
        <w:t xml:space="preserve"> Si predica di ciò di cui quel testo </w:t>
      </w:r>
      <w:r>
        <w:rPr>
          <w:rFonts w:ascii="Barlow Semi Condensed" w:cs="Barlow Semi Condensed" w:eastAsia="Barlow Semi Condensed" w:hAnsi="Barlow Semi Condensed"/>
          <w:b/>
          <w:bCs/>
          <w:sz w:val="24"/>
          <w:szCs w:val="24"/>
        </w:rPr>
        <w:t xml:space="preserve">si era proposto di parlare</w:t>
      </w:r>
      <w:r>
        <w:rPr>
          <w:rFonts w:ascii="Barlow Semi Condensed" w:cs="Barlow Semi Condensed" w:eastAsia="Barlow Semi Condensed" w:hAnsi="Barlow Semi Condensed"/>
          <w:sz w:val="24"/>
          <w:szCs w:val="24"/>
        </w:rPr>
        <w:t xml:space="preserve">. Che il ritratto d'apertura del corpus non nomini mai Henry Kissinger non è l'esito di una ricerca fallita: è il perimetro dichiarato di una Fase che tratta l'uomo prima del caso, la formazione, gli scritti pubblici. Quella Fase </w:t>
      </w:r>
      <w:r>
        <w:rPr>
          <w:rFonts w:ascii="Barlow Semi Condensed" w:cs="Barlow Semi Condensed" w:eastAsia="Barlow Semi Condensed" w:hAnsi="Barlow Semi Condensed"/>
          <w:b/>
          <w:bCs/>
          <w:sz w:val="24"/>
          <w:szCs w:val="24"/>
        </w:rPr>
        <w:t xml:space="preserve">non ha cercato quel nome e non lo ha mancato: lo ha escluso</w:t>
      </w:r>
      <w:r>
        <w:rPr>
          <w:rFonts w:ascii="Barlow Semi Condensed" w:cs="Barlow Semi Condensed" w:eastAsia="Barlow Semi Condensed" w:hAnsi="Barlow Semi Condensed"/>
          <w:sz w:val="24"/>
          <w:szCs w:val="24"/>
        </w:rPr>
        <w:t xml:space="preserve">.</w:t>
      </w:r>
    </w:p>
    <w:p>
      <w:pPr>
        <w:spacing w:after="120" w:line="276"/>
        <w:jc w:val="both"/>
      </w:pPr>
      <w:r>
        <w:rPr>
          <w:rFonts w:ascii="Barlow Semi Condensed" w:cs="Barlow Semi Condensed" w:eastAsia="Barlow Semi Condensed" w:hAnsi="Barlow Semi Condensed"/>
          <w:sz w:val="24"/>
          <w:szCs w:val="24"/>
        </w:rPr>
        <w:t xml:space="preserve">Confondere i due significa trasformare ogni assenza tematica in un dato d'inchiesta, e produrre una contabilità di vuoti che non misura nulla. </w:t>
      </w:r>
      <w:r>
        <w:rPr>
          <w:rFonts w:ascii="Barlow Semi Condensed" w:cs="Barlow Semi Condensed" w:eastAsia="Barlow Semi Condensed" w:hAnsi="Barlow Semi Condensed"/>
          <w:b/>
          <w:bCs/>
          <w:sz w:val="24"/>
          <w:szCs w:val="24"/>
        </w:rPr>
        <w:t xml:space="preserve">La regola che ne discende, e che vale retroattivamente su tutta l'opera</w:t>
      </w:r>
      <w:r>
        <w:rPr>
          <w:rFonts w:ascii="Barlow Semi Condensed" w:cs="Barlow Semi Condensed" w:eastAsia="Barlow Semi Condensed" w:hAnsi="Barlow Semi Condensed"/>
          <w:sz w:val="24"/>
          <w:szCs w:val="24"/>
        </w:rPr>
        <w:t xml:space="preserve">: si scrive «Stato Zero» solo dove si può nominare la sede interrogata; dove il vuoto dipende dal perimetro del testo si scrive «silenzio d'oggetto», e non lo si conta fra gli esiti negativi. I censimenti della quarta campagna sono stati redatti applicando questa separazione.</w:t>
      </w:r>
    </w:p>
    <w:p>
      <w:pPr>
        <w:spacing w:after="120" w:line="276"/>
        <w:jc w:val="both"/>
      </w:pPr>
      <w:r>
        <w:rPr>
          <w:rFonts w:ascii="Barlow Semi Condensed" w:cs="Barlow Semi Condensed" w:eastAsia="Barlow Semi Condensed" w:hAnsi="Barlow Semi Condensed"/>
          <w:sz w:val="24"/>
          <w:szCs w:val="24"/>
        </w:rPr>
        <w:t xml:space="preserve">Va detto per intero come la correzione è arrivata: </w:t>
      </w:r>
      <w:r>
        <w:rPr>
          <w:rFonts w:ascii="Barlow Semi Condensed" w:cs="Barlow Semi Condensed" w:eastAsia="Barlow Semi Condensed" w:hAnsi="Barlow Semi Condensed"/>
          <w:b/>
          <w:bCs/>
          <w:sz w:val="24"/>
          <w:szCs w:val="24"/>
        </w:rPr>
        <w:t xml:space="preserve">non dall'estensore né dal controllo a valle, ma da uno degli agenti di ricerca della quattordicesima serie</w:t>
      </w:r>
      <w:r>
        <w:rPr>
          <w:rFonts w:ascii="Barlow Semi Condensed" w:cs="Barlow Semi Condensed" w:eastAsia="Barlow Semi Condensed" w:hAnsi="Barlow Semi Condensed"/>
          <w:sz w:val="24"/>
          <w:szCs w:val="24"/>
        </w:rPr>
        <w:t xml:space="preserve">, che si è fermato sul punto prima di eseguire l'istruzione ricevuta. L'istruzione era imprecisa e la si registra qui com'era, secondo la regola del corpus che corregge per nota e non per riscrittura silenziosa.</w:t>
      </w:r>
    </w:p>
    <w:p>
      <w:pPr>
        <w:pStyle w:val="Heading3"/>
        <w:spacing w:after="80" w:before="160"/>
      </w:pPr>
      <w:r>
        <w:rPr>
          <w:rFonts w:ascii="Barlow Semi Condensed" w:cs="Barlow Semi Condensed" w:eastAsia="Barlow Semi Condensed" w:hAnsi="Barlow Semi Condensed"/>
          <w:sz w:val="24"/>
          <w:szCs w:val="24"/>
        </w:rPr>
        <w:t xml:space="preserve">L-2 · Che cosa vuol dire triangolare un territorio</w:t>
      </w:r>
    </w:p>
    <w:p>
      <w:pPr>
        <w:spacing w:after="120" w:line="276"/>
        <w:jc w:val="both"/>
      </w:pPr>
      <w:r>
        <w:rPr>
          <w:rFonts w:ascii="Barlow Semi Condensed" w:cs="Barlow Semi Condensed" w:eastAsia="Barlow Semi Condensed" w:hAnsi="Barlow Semi Condensed"/>
          <w:sz w:val="24"/>
          <w:szCs w:val="24"/>
        </w:rPr>
        <w:t xml:space="preserve">Ogni serie della seconda campagna risponde a quattro domande sullo stesso territorio, e le tiene distinte. </w:t>
      </w:r>
      <w:r>
        <w:rPr>
          <w:rFonts w:ascii="Barlow Semi Condensed" w:cs="Barlow Semi Condensed" w:eastAsia="Barlow Semi Condensed" w:hAnsi="Barlow Semi Condensed"/>
          <w:b/>
          <w:bCs/>
          <w:sz w:val="24"/>
          <w:szCs w:val="24"/>
        </w:rPr>
        <w:t xml:space="preserve">Dove il nome compare</w:t>
      </w:r>
      <w:r>
        <w:rPr>
          <w:rFonts w:ascii="Barlow Semi Condensed" w:cs="Barlow Semi Condensed" w:eastAsia="Barlow Semi Condensed" w:hAnsi="Barlow Semi Condensed"/>
          <w:sz w:val="24"/>
          <w:szCs w:val="24"/>
        </w:rPr>
        <w:t xml:space="preserve">: con la ricognizione meccanica, occorrenza per occorrenza, e con la qualificazione di ciascuna secondo i tre piani. </w:t>
      </w:r>
      <w:r>
        <w:rPr>
          <w:rFonts w:ascii="Barlow Semi Condensed" w:cs="Barlow Semi Condensed" w:eastAsia="Barlow Semi Condensed" w:hAnsi="Barlow Semi Condensed"/>
          <w:b/>
          <w:bCs/>
          <w:sz w:val="24"/>
          <w:szCs w:val="24"/>
        </w:rPr>
        <w:t xml:space="preserve">Dove il territorio tocca la cornice senza toccare il nome</w:t>
      </w:r>
      <w:r>
        <w:rPr>
          <w:rFonts w:ascii="Barlow Semi Condensed" w:cs="Barlow Semi Condensed" w:eastAsia="Barlow Semi Condensed" w:hAnsi="Barlow Semi Condensed"/>
          <w:sz w:val="24"/>
          <w:szCs w:val="24"/>
        </w:rPr>
        <w:t xml:space="preserve">: convergenza strutturale, piano 2, che non si promuove. </w:t>
      </w:r>
      <w:r>
        <w:rPr>
          <w:rFonts w:ascii="Barlow Semi Condensed" w:cs="Barlow Semi Condensed" w:eastAsia="Barlow Semi Condensed" w:hAnsi="Barlow Semi Condensed"/>
          <w:b/>
          <w:bCs/>
          <w:sz w:val="24"/>
          <w:szCs w:val="24"/>
        </w:rPr>
        <w:t xml:space="preserve">Dove circola un'affermazione terziaria</w:t>
      </w:r>
      <w:r>
        <w:rPr>
          <w:rFonts w:ascii="Barlow Semi Condensed" w:cs="Barlow Semi Condensed" w:eastAsia="Barlow Semi Condensed" w:hAnsi="Barlow Semi Condensed"/>
          <w:sz w:val="24"/>
          <w:szCs w:val="24"/>
        </w:rPr>
        <w:t xml:space="preserve"> che quel territorio smentisce o non sostiene: piano 3, da qualificare. </w:t>
      </w:r>
      <w:r>
        <w:rPr>
          <w:rFonts w:ascii="Barlow Semi Condensed" w:cs="Barlow Semi Condensed" w:eastAsia="Barlow Semi Condensed" w:hAnsi="Barlow Semi Condensed"/>
          <w:b/>
          <w:bCs/>
          <w:sz w:val="24"/>
          <w:szCs w:val="24"/>
        </w:rPr>
        <w:t xml:space="preserve">Dove si dovrebbe cercare e nessuno ha cercato</w:t>
      </w:r>
      <w:r>
        <w:rPr>
          <w:rFonts w:ascii="Barlow Semi Condensed" w:cs="Barlow Semi Condensed" w:eastAsia="Barlow Semi Condensed" w:hAnsi="Barlow Semi Condensed"/>
          <w:sz w:val="24"/>
          <w:szCs w:val="24"/>
        </w:rPr>
        <w:t xml:space="preserve">: lo Stato Zero vero, con la sede d'archivio che lo chiuderebbe.</w:t>
      </w:r>
    </w:p>
    <w:p>
      <w:pPr>
        <w:spacing w:after="120" w:line="276"/>
        <w:jc w:val="both"/>
      </w:pPr>
      <w:r>
        <w:rPr>
          <w:rFonts w:ascii="Barlow Semi Condensed" w:cs="Barlow Semi Condensed" w:eastAsia="Barlow Semi Condensed" w:hAnsi="Barlow Semi Condensed"/>
          <w:sz w:val="24"/>
          <w:szCs w:val="24"/>
        </w:rPr>
        <w:t xml:space="preserve">La quarta domanda è quella che produce lavoro eseguibile, ed è la ragione per cui questa campagna esiste. Le prime tre descrivono ciò che il corpus già contiene; solo la quarta consegna a un terzo qualcosa da fare.</w:t>
      </w:r>
    </w:p>
    <w:p>
      <w:pPr>
        <w:pStyle w:val="Heading3"/>
        <w:spacing w:after="80" w:before="160"/>
      </w:pPr>
      <w:r>
        <w:rPr>
          <w:rFonts w:ascii="Barlow Semi Condensed" w:cs="Barlow Semi Condensed" w:eastAsia="Barlow Semi Condensed" w:hAnsi="Barlow Semi Condensed"/>
          <w:sz w:val="24"/>
          <w:szCs w:val="24"/>
        </w:rPr>
        <w:t xml:space="preserve">L-3 · La quadriga è zoppa da un lato: l'asimmetria atlantica</w:t>
      </w:r>
    </w:p>
    <w:p>
      <w:pPr>
        <w:spacing w:after="120" w:line="276"/>
        <w:jc w:val="both"/>
      </w:pPr>
      <w:r>
        <w:rPr>
          <w:rFonts w:ascii="Barlow Semi Condensed" w:cs="Barlow Semi Condensed" w:eastAsia="Barlow Semi Condensed" w:hAnsi="Barlow Semi Condensed"/>
          <w:sz w:val="24"/>
          <w:szCs w:val="24"/>
        </w:rPr>
        <w:t xml:space="preserve">È il rilievo che la campagna territoriale ha prodotto contro il corpus stesso, ed è quantificato.</w:t>
      </w:r>
    </w:p>
    <w:p>
      <w:pPr>
        <w:spacing w:after="120" w:line="276"/>
        <w:jc w:val="both"/>
      </w:pPr>
      <w:r>
        <w:rPr>
          <w:rFonts w:ascii="Barlow Semi Condensed" w:cs="Barlow Semi Condensed" w:eastAsia="Barlow Semi Condensed" w:hAnsi="Barlow Semi Condensed"/>
          <w:sz w:val="24"/>
          <w:szCs w:val="24"/>
        </w:rPr>
        <w:t xml:space="preserve">La Parte prima dei nove cantieri si intitola </w:t>
      </w:r>
      <w:r>
        <w:rPr>
          <w:rFonts w:ascii="Barlow Semi Condensed" w:cs="Barlow Semi Condensed" w:eastAsia="Barlow Semi Condensed" w:hAnsi="Barlow Semi Condensed"/>
          <w:b/>
          <w:bCs/>
          <w:sz w:val="24"/>
          <w:szCs w:val="24"/>
        </w:rPr>
        <w:t xml:space="preserve">«Oltremanica, oltralpe, oltre Reno»</w:t>
      </w:r>
      <w:r>
        <w:rPr>
          <w:rFonts w:ascii="Barlow Semi Condensed" w:cs="Barlow Semi Condensed" w:eastAsia="Barlow Semi Condensed" w:hAnsi="Barlow Semi Condensed"/>
          <w:sz w:val="24"/>
          <w:szCs w:val="24"/>
        </w:rPr>
        <w:t xml:space="preserve"> e il suo statuto dichiara il perimetro senza infingimenti: «Londra, Parigi e Bonn osservarono i 55 giorni da alleati con occhi propri e archiviarono con regole proprie». Tre capitali, quaranta blocchi ciascuna, con tavole, calendari, verbali di vuoto e campioni di controllo. </w:t>
      </w:r>
      <w:r>
        <w:rPr>
          <w:rFonts w:ascii="Barlow Semi Condensed" w:cs="Barlow Semi Condensed" w:eastAsia="Barlow Semi Condensed" w:hAnsi="Barlow Semi Condensed"/>
          <w:b/>
          <w:bCs/>
          <w:sz w:val="24"/>
          <w:szCs w:val="24"/>
        </w:rPr>
        <w:t xml:space="preserve">Washington non ha i suoi quaranta</w:t>
      </w:r>
      <w:r>
        <w:rPr>
          <w:rFonts w:ascii="Barlow Semi Condensed" w:cs="Barlow Semi Condensed" w:eastAsia="Barlow Semi Condensed" w:hAnsi="Barlow Semi Condensed"/>
          <w:sz w:val="24"/>
          <w:szCs w:val="24"/>
        </w:rPr>
        <w:t xml:space="preserve">, e il titolo stesso della Parte lo dice, perché nomina tre direzioni e non la quarta.</w:t>
      </w:r>
    </w:p>
    <w:p>
      <w:pPr>
        <w:spacing w:after="120" w:line="276"/>
        <w:jc w:val="both"/>
      </w:pPr>
      <w:r>
        <w:rPr>
          <w:rFonts w:ascii="Barlow Semi Condensed" w:cs="Barlow Semi Condensed" w:eastAsia="Barlow Semi Condensed" w:hAnsi="Barlow Semi Condensed"/>
          <w:sz w:val="24"/>
          <w:szCs w:val="24"/>
        </w:rPr>
        <w:t xml:space="preserve">La ricognizione meccanica sui due documenti del versante di ricerca — l'agenda in trecento blocchi e i nove cantieri in mille — dà la misura esatta dello squilibrio: </w:t>
      </w:r>
      <w:r>
        <w:rPr>
          <w:rFonts w:ascii="Barlow Semi Condensed" w:cs="Barlow Semi Condensed" w:eastAsia="Barlow Semi Condensed" w:hAnsi="Barlow Semi Condensed"/>
          <w:b/>
          <w:bCs/>
          <w:sz w:val="24"/>
          <w:szCs w:val="24"/>
        </w:rPr>
        <w:t xml:space="preserve">Parigi 23 menzioni, Londra 17, Bonn 17, Washington 7</w:t>
      </w:r>
      <w:r>
        <w:rPr>
          <w:rFonts w:ascii="Barlow Semi Condensed" w:cs="Barlow Semi Condensed" w:eastAsia="Barlow Semi Condensed" w:hAnsi="Barlow Semi Condensed"/>
          <w:sz w:val="24"/>
          <w:szCs w:val="24"/>
        </w:rPr>
        <w:t xml:space="preserve">. La capitale alleata meno coperta d'Europa è citata più del doppio di quella atlantica. E la stringa «Kissinger» </w:t>
      </w:r>
      <w:r>
        <w:rPr>
          <w:rFonts w:ascii="Barlow Semi Condensed" w:cs="Barlow Semi Condensed" w:eastAsia="Barlow Semi Condensed" w:hAnsi="Barlow Semi Condensed"/>
          <w:b/>
          <w:bCs/>
          <w:sz w:val="24"/>
          <w:szCs w:val="24"/>
        </w:rPr>
        <w:t xml:space="preserve">non ricorre neppure una volta in nessuno dei due</w:t>
      </w:r>
      <w:r>
        <w:rPr>
          <w:rFonts w:ascii="Barlow Semi Condensed" w:cs="Barlow Semi Condensed" w:eastAsia="Barlow Semi Condensed" w:hAnsi="Barlow Semi Condensed"/>
          <w:sz w:val="24"/>
          <w:szCs w:val="24"/>
        </w:rPr>
        <w:t xml:space="preserve">, su milletrecento blocchi mirati di ricerca.</w:t>
      </w:r>
    </w:p>
    <w:p>
      <w:pPr>
        <w:spacing w:after="120" w:line="276"/>
        <w:jc w:val="both"/>
      </w:pPr>
      <w:r>
        <w:rPr>
          <w:rFonts w:ascii="Barlow Semi Condensed" w:cs="Barlow Semi Condensed" w:eastAsia="Barlow Semi Condensed" w:hAnsi="Barlow Semi Condensed"/>
          <w:b/>
          <w:bCs/>
          <w:sz w:val="24"/>
          <w:szCs w:val="24"/>
        </w:rPr>
        <w:t xml:space="preserve">Perché è una lacuna e non una scelta.</w:t>
      </w:r>
      <w:r>
        <w:rPr>
          <w:rFonts w:ascii="Barlow Semi Condensed" w:cs="Barlow Semi Condensed" w:eastAsia="Barlow Semi Condensed" w:hAnsi="Barlow Semi Condensed"/>
          <w:sz w:val="24"/>
          <w:szCs w:val="24"/>
        </w:rPr>
        <w:t xml:space="preserve"> Un perimetro dichiarato è legittimo, e la Parte prima dichiara il proprio. Ma il corpus registra fra i propri nodi il presunto avvertimento del settembre 1974 — l'M-5 — che è per definizione un nodo americano, fondato su un verbale statunitense e su una testimonianza che nomina un Segretario di Stato statunitense. Un programma di ricerca che costruisce tre cantieri d'archivio alleato e omette il quarto lascia scoperto proprio il versante del proprio nodo più contestato. </w:t>
      </w:r>
      <w:r>
        <w:rPr>
          <w:rFonts w:ascii="Barlow Semi Condensed" w:cs="Barlow Semi Condensed" w:eastAsia="Barlow Semi Condensed" w:hAnsi="Barlow Semi Condensed"/>
          <w:b/>
          <w:bCs/>
          <w:sz w:val="24"/>
          <w:szCs w:val="24"/>
        </w:rPr>
        <w:t xml:space="preserve">L'asimmetria non è nel territorio: è nel programma.</w:t>
      </w:r>
    </w:p>
    <w:p>
      <w:pPr>
        <w:spacing w:after="120" w:line="276"/>
        <w:jc w:val="both"/>
      </w:pPr>
      <w:r>
        <w:rPr>
          <w:rFonts w:ascii="Barlow Semi Condensed" w:cs="Barlow Semi Condensed" w:eastAsia="Barlow Semi Condensed" w:hAnsi="Barlow Semi Condensed"/>
          <w:b/>
          <w:bCs/>
          <w:sz w:val="24"/>
          <w:szCs w:val="24"/>
        </w:rPr>
        <w:t xml:space="preserve">La raccomandazione, che è operativa e va eseguita.</w:t>
      </w:r>
      <w:r>
        <w:rPr>
          <w:rFonts w:ascii="Barlow Semi Condensed" w:cs="Barlow Semi Condensed" w:eastAsia="Barlow Semi Condensed" w:hAnsi="Barlow Semi Condensed"/>
          <w:sz w:val="24"/>
          <w:szCs w:val="24"/>
        </w:rPr>
        <w:t xml:space="preserve"> Il versante di ricerca del corpus richiede un </w:t>
      </w:r>
      <w:r>
        <w:rPr>
          <w:rFonts w:ascii="Barlow Semi Condensed" w:cs="Barlow Semi Condensed" w:eastAsia="Barlow Semi Condensed" w:hAnsi="Barlow Semi Condensed"/>
          <w:b/>
          <w:bCs/>
          <w:sz w:val="24"/>
          <w:szCs w:val="24"/>
        </w:rPr>
        <w:t xml:space="preserve">cantiere atlantico</w:t>
      </w:r>
      <w:r>
        <w:rPr>
          <w:rFonts w:ascii="Barlow Semi Condensed" w:cs="Barlow Semi Condensed" w:eastAsia="Barlow Semi Condensed" w:hAnsi="Barlow Semi Condensed"/>
          <w:sz w:val="24"/>
          <w:szCs w:val="24"/>
        </w:rPr>
        <w:t xml:space="preserve"> con la stessa griglia degli altri tre: giacimenti (NARA College Park, RG 59 e RG 273; Gerald R. Ford Presidential Library; Jimmy Carter Presidential Library; le serie FRUS 1969-1976 e 1977-1980), procedure (il </w:t>
      </w:r>
      <w:r>
        <w:rPr>
          <w:rFonts w:ascii="Barlow Semi Condensed" w:cs="Barlow Semi Condensed" w:eastAsia="Barlow Semi Condensed" w:hAnsi="Barlow Semi Condensed"/>
          <w:i/>
          <w:iCs/>
          <w:sz w:val="24"/>
          <w:szCs w:val="24"/>
        </w:rPr>
        <w:t xml:space="preserve">mandatory declassification review</w:t>
      </w:r>
      <w:r>
        <w:rPr>
          <w:rFonts w:ascii="Barlow Semi Condensed" w:cs="Barlow Semi Condensed" w:eastAsia="Barlow Semi Condensed" w:hAnsi="Barlow Semi Condensed"/>
          <w:sz w:val="24"/>
          <w:szCs w:val="24"/>
        </w:rPr>
        <w:t xml:space="preserve">, la richiesta FOIA, il ricorso all'</w:t>
      </w:r>
      <w:r>
        <w:rPr>
          <w:rFonts w:ascii="Barlow Semi Condensed" w:cs="Barlow Semi Condensed" w:eastAsia="Barlow Semi Condensed" w:hAnsi="Barlow Semi Condensed"/>
          <w:i/>
          <w:iCs/>
          <w:sz w:val="24"/>
          <w:szCs w:val="24"/>
        </w:rPr>
        <w:t xml:space="preserve">Interagency Security Classification Appeals Panel</w:t>
      </w:r>
      <w:r>
        <w:rPr>
          <w:rFonts w:ascii="Barlow Semi Condensed" w:cs="Barlow Semi Condensed" w:eastAsia="Barlow Semi Condensed" w:hAnsi="Barlow Semi Condensed"/>
          <w:sz w:val="24"/>
          <w:szCs w:val="24"/>
        </w:rPr>
        <w:t xml:space="preserve">), letteratura, quesiti, tavole e verbali di vuoto. Finché non esiste, ogni affermazione del corpus sul versante statunitense poggia su una ricerca che non è stata organizzata come le altre — e questo va scritto accanto a ciascuna di esse.</w:t>
      </w:r>
    </w:p>
    <w:p>
      <w:pPr>
        <w:pStyle w:val="Heading3"/>
        <w:spacing w:after="80" w:before="160"/>
      </w:pPr>
      <w:r>
        <w:rPr>
          <w:rFonts w:ascii="Barlow Semi Condensed" w:cs="Barlow Semi Condensed" w:eastAsia="Barlow Semi Condensed" w:hAnsi="Barlow Semi Condensed"/>
          <w:sz w:val="24"/>
          <w:szCs w:val="24"/>
        </w:rPr>
        <w:t xml:space="preserve">L-4 · Il lato italiano che manca: il verbale mai cercato</w:t>
      </w:r>
    </w:p>
    <w:p>
      <w:pPr>
        <w:spacing w:after="120" w:line="276"/>
        <w:jc w:val="both"/>
      </w:pPr>
      <w:r>
        <w:rPr>
          <w:rFonts w:ascii="Barlow Semi Condensed" w:cs="Barlow Semi Condensed" w:eastAsia="Barlow Semi Condensed" w:hAnsi="Barlow Semi Condensed"/>
          <w:sz w:val="24"/>
          <w:szCs w:val="24"/>
        </w:rPr>
        <w:t xml:space="preserve">È il bersaglio nuovo che la campagna territoriale consegna al corpus, e discende dalla stessa asimmetria di L-3 vista da vicino.</w:t>
      </w:r>
    </w:p>
    <w:p>
      <w:pPr>
        <w:spacing w:after="120" w:line="276"/>
        <w:jc w:val="both"/>
      </w:pPr>
      <w:r>
        <w:rPr>
          <w:rFonts w:ascii="Barlow Semi Condensed" w:cs="Barlow Semi Condensed" w:eastAsia="Barlow Semi Condensed" w:hAnsi="Barlow Semi Condensed"/>
          <w:sz w:val="24"/>
          <w:szCs w:val="24"/>
        </w:rPr>
        <w:t xml:space="preserve">Del colloquio dello Studio Ovale del </w:t>
      </w:r>
      <w:r>
        <w:rPr>
          <w:rFonts w:ascii="Barlow Semi Condensed" w:cs="Barlow Semi Condensed" w:eastAsia="Barlow Semi Condensed" w:hAnsi="Barlow Semi Condensed"/>
          <w:b/>
          <w:bCs/>
          <w:sz w:val="24"/>
          <w:szCs w:val="24"/>
        </w:rPr>
        <w:t xml:space="preserve">25 settembre 1974</w:t>
      </w:r>
      <w:r>
        <w:rPr>
          <w:rFonts w:ascii="Barlow Semi Condensed" w:cs="Barlow Semi Condensed" w:eastAsia="Barlow Semi Condensed" w:hAnsi="Barlow Semi Condensed"/>
          <w:sz w:val="24"/>
          <w:szCs w:val="24"/>
        </w:rPr>
        <w:t xml:space="preserve"> — quello su cui poggia l'intera vicenda del presunto avvertimento — esiste, allo stato, </w:t>
      </w:r>
      <w:r>
        <w:rPr>
          <w:rFonts w:ascii="Barlow Semi Condensed" w:cs="Barlow Semi Condensed" w:eastAsia="Barlow Semi Condensed" w:hAnsi="Barlow Semi Condensed"/>
          <w:b/>
          <w:bCs/>
          <w:sz w:val="24"/>
          <w:szCs w:val="24"/>
        </w:rPr>
        <w:t xml:space="preserve">un solo versante: quello redatto dallo staff americano</w:t>
      </w:r>
      <w:r>
        <w:rPr>
          <w:rFonts w:ascii="Barlow Semi Condensed" w:cs="Barlow Semi Condensed" w:eastAsia="Barlow Semi Condensed" w:hAnsi="Barlow Semi Condensed"/>
          <w:sz w:val="24"/>
          <w:szCs w:val="24"/>
        </w:rPr>
        <w:t xml:space="preserve">. È il memorandum of conversation edito come documento 350 del volume FRUS 1969-1976 E-15 parte 2, seconda edizione riveduta, e conservato come file 1552802 della Gerald R. Ford Presidential Library. Ha segnatura doppia, è pubblicato, è digitalizzato: chiunque può leggerlo.</w:t>
      </w:r>
    </w:p>
    <w:p>
      <w:pPr>
        <w:spacing w:after="120" w:line="276"/>
        <w:jc w:val="both"/>
      </w:pPr>
      <w:r>
        <w:rPr>
          <w:rFonts w:ascii="Barlow Semi Condensed" w:cs="Barlow Semi Condensed" w:eastAsia="Barlow Semi Condensed" w:hAnsi="Barlow Semi Condensed"/>
          <w:b/>
          <w:bCs/>
          <w:sz w:val="24"/>
          <w:szCs w:val="24"/>
        </w:rPr>
        <w:t xml:space="preserve">Il verbale italiano dello stesso incontro non risulta mai cercato.</w:t>
      </w:r>
      <w:r>
        <w:rPr>
          <w:rFonts w:ascii="Barlow Semi Condensed" w:cs="Barlow Semi Condensed" w:eastAsia="Barlow Semi Condensed" w:hAnsi="Barlow Semi Condensed"/>
          <w:sz w:val="24"/>
          <w:szCs w:val="24"/>
        </w:rPr>
        <w:t xml:space="preserve"> Un ministro degli Esteri che esce da un bilaterale col Presidente degli Stati Uniti fa stendere un appunto — un telespresso, una nota di gabinetto, un promemoria per il Presidente del Consiglio. È prassi ordinaria, non eccezione. Di quell'appunto, per il 25 settembre 1974, non si ha notizia né di un ritrovamento né di una ricerca.</w:t>
      </w:r>
    </w:p>
    <w:p>
      <w:pPr>
        <w:spacing w:after="120" w:line="276"/>
        <w:jc w:val="both"/>
      </w:pPr>
      <w:r>
        <w:rPr>
          <w:rFonts w:ascii="Barlow Semi Condensed" w:cs="Barlow Semi Condensed" w:eastAsia="Barlow Semi Condensed" w:hAnsi="Barlow Semi Condensed"/>
          <w:b/>
          <w:bCs/>
          <w:sz w:val="24"/>
          <w:szCs w:val="24"/>
        </w:rPr>
        <w:t xml:space="preserve">Perché la lacuna pesa più di quanto sembri.</w:t>
      </w:r>
      <w:r>
        <w:rPr>
          <w:rFonts w:ascii="Barlow Semi Condensed" w:cs="Barlow Semi Condensed" w:eastAsia="Barlow Semi Condensed" w:hAnsi="Barlow Semi Condensed"/>
          <w:sz w:val="24"/>
          <w:szCs w:val="24"/>
        </w:rPr>
        <w:t xml:space="preserve"> L'intera discussione pubblica sull'episodio si svolge da mezzo secolo su una fonte sola e straniera, contrapposta a una testimonianza orale resa otto anni dopo. Un secondo verbale, redatto lo stesso giorno da chi sedeva dall'altra parte del tavolo, non è un documento in più: è </w:t>
      </w:r>
      <w:r>
        <w:rPr>
          <w:rFonts w:ascii="Barlow Semi Condensed" w:cs="Barlow Semi Condensed" w:eastAsia="Barlow Semi Condensed" w:hAnsi="Barlow Semi Condensed"/>
          <w:b/>
          <w:bCs/>
          <w:sz w:val="24"/>
          <w:szCs w:val="24"/>
        </w:rPr>
        <w:t xml:space="preserve">il solo riscontro indipendente possibile</w:t>
      </w:r>
      <w:r>
        <w:rPr>
          <w:rFonts w:ascii="Barlow Semi Condensed" w:cs="Barlow Semi Condensed" w:eastAsia="Barlow Semi Condensed" w:hAnsi="Barlow Semi Condensed"/>
          <w:sz w:val="24"/>
          <w:szCs w:val="24"/>
        </w:rPr>
        <w:t xml:space="preserve"> su ciò che in quella stanza fu detto. E l'esito è dirimente in entrambe le direzioni — se l'appunto esiste e concorda col verbale americano, la versione dell'ultimatum perde l'ultimo appoggio documentale; se esiste e diverge, il corpus ha una divergenza fra due fonti primarie, che è cosa ben diversa da una testimonianza contestata; se non esiste, l'assenza stessa va datata e spiegata.</w:t>
      </w:r>
    </w:p>
    <w:p>
      <w:pPr>
        <w:spacing w:after="120" w:line="276"/>
        <w:jc w:val="both"/>
      </w:pPr>
      <w:r>
        <w:rPr>
          <w:rFonts w:ascii="Barlow Semi Condensed" w:cs="Barlow Semi Condensed" w:eastAsia="Barlow Semi Condensed" w:hAnsi="Barlow Semi Condensed"/>
          <w:b/>
          <w:bCs/>
          <w:sz w:val="24"/>
          <w:szCs w:val="24"/>
        </w:rPr>
        <w:t xml:space="preserve">La sede, e come si interroga.</w:t>
      </w:r>
      <w:r>
        <w:rPr>
          <w:rFonts w:ascii="Barlow Semi Condensed" w:cs="Barlow Semi Condensed" w:eastAsia="Barlow Semi Condensed" w:hAnsi="Barlow Semi Condensed"/>
          <w:sz w:val="24"/>
          <w:szCs w:val="24"/>
        </w:rPr>
        <w:t xml:space="preserve"> Archivio storico diplomatico del Ministero degli Affari Esteri, carteggi del gabinetto del ministro, annata 1974, con verifica preliminare dei faldoni sul portale dell'archivio; in subordine, l'Archivio centrale dello Stato per le carte della Presidenza del Consiglio dello stesso periodo, e il Fondo Moro del Senato, che la seconda campagna della Farnesina ha già indicato come quarto deposito ignorato dai cantieri. Il quesito si formula in una riga: </w:t>
      </w:r>
      <w:r>
        <w:rPr>
          <w:rFonts w:ascii="Barlow Semi Condensed" w:cs="Barlow Semi Condensed" w:eastAsia="Barlow Semi Condensed" w:hAnsi="Barlow Semi Condensed"/>
          <w:b/>
          <w:bCs/>
          <w:sz w:val="24"/>
          <w:szCs w:val="24"/>
        </w:rPr>
        <w:t xml:space="preserve">esiste, per la visita di Stato del 25-29 settembre 1974, un appunto italiano del colloquio dello Studio Ovale?</w:t>
      </w:r>
    </w:p>
    <w:p>
      <w:pPr>
        <w:spacing w:after="120" w:line="276"/>
        <w:jc w:val="both"/>
      </w:pPr>
      <w:r>
        <w:rPr>
          <w:rFonts w:ascii="Barlow Semi Condensed" w:cs="Barlow Semi Condensed" w:eastAsia="Barlow Semi Condensed" w:hAnsi="Barlow Semi Condensed"/>
          <w:b/>
          <w:bCs/>
          <w:sz w:val="24"/>
          <w:szCs w:val="24"/>
        </w:rPr>
        <w:t xml:space="preserve">Una quinta sede, che la sessantaquattresima serie aggiunge.</w:t>
      </w:r>
      <w:r>
        <w:rPr>
          <w:rFonts w:ascii="Barlow Semi Condensed" w:cs="Barlow Semi Condensed" w:eastAsia="Barlow Semi Condensed" w:hAnsi="Barlow Semi Condensed"/>
          <w:sz w:val="24"/>
          <w:szCs w:val="24"/>
        </w:rPr>
        <w:t xml:space="preserve"> Se le carte di gabinetto non conservano l'appunto, resta la </w:t>
      </w:r>
      <w:r>
        <w:rPr>
          <w:rFonts w:ascii="Barlow Semi Condensed" w:cs="Barlow Semi Condensed" w:eastAsia="Barlow Semi Condensed" w:hAnsi="Barlow Semi Condensed"/>
          <w:b/>
          <w:bCs/>
          <w:sz w:val="24"/>
          <w:szCs w:val="24"/>
        </w:rPr>
        <w:t xml:space="preserve">memorialistica politica</w:t>
      </w:r>
      <w:r>
        <w:rPr>
          <w:rFonts w:ascii="Barlow Semi Condensed" w:cs="Barlow Semi Condensed" w:eastAsia="Barlow Semi Condensed" w:hAnsi="Barlow Semi Condensed"/>
          <w:sz w:val="24"/>
          <w:szCs w:val="24"/>
        </w:rPr>
        <w:t xml:space="preserve">, dove i colloqui con Washington sono registrati in forma privata e datata: il </w:t>
      </w:r>
      <w:r>
        <w:rPr>
          <w:rFonts w:ascii="Barlow Semi Condensed" w:cs="Barlow Semi Condensed" w:eastAsia="Barlow Semi Condensed" w:hAnsi="Barlow Semi Condensed"/>
          <w:b/>
          <w:bCs/>
          <w:sz w:val="24"/>
          <w:szCs w:val="24"/>
        </w:rPr>
        <w:t xml:space="preserve">fondo Fanfani</w:t>
      </w:r>
      <w:r>
        <w:rPr>
          <w:rFonts w:ascii="Barlow Semi Condensed" w:cs="Barlow Semi Condensed" w:eastAsia="Barlow Semi Condensed" w:hAnsi="Barlow Semi Condensed"/>
          <w:sz w:val="24"/>
          <w:szCs w:val="24"/>
        </w:rPr>
        <w:t xml:space="preserve"> all'Archivio storico del Senato, che copre il 1945-2000 e ha inventario pubblicato; l'</w:t>
      </w:r>
      <w:r>
        <w:rPr>
          <w:rFonts w:ascii="Barlow Semi Condensed" w:cs="Barlow Semi Condensed" w:eastAsia="Barlow Semi Condensed" w:hAnsi="Barlow Semi Condensed"/>
          <w:b/>
          <w:bCs/>
          <w:sz w:val="24"/>
          <w:szCs w:val="24"/>
        </w:rPr>
        <w:t xml:space="preserve">archivio Cossiga</w:t>
      </w:r>
      <w:r>
        <w:rPr>
          <w:rFonts w:ascii="Barlow Semi Condensed" w:cs="Barlow Semi Condensed" w:eastAsia="Barlow Semi Condensed" w:hAnsi="Barlow Semi Condensed"/>
          <w:sz w:val="24"/>
          <w:szCs w:val="24"/>
        </w:rPr>
        <w:t xml:space="preserve"> alla Camera; il </w:t>
      </w:r>
      <w:r>
        <w:rPr>
          <w:rFonts w:ascii="Barlow Semi Condensed" w:cs="Barlow Semi Condensed" w:eastAsia="Barlow Semi Condensed" w:hAnsi="Barlow Semi Condensed"/>
          <w:b/>
          <w:bCs/>
          <w:sz w:val="24"/>
          <w:szCs w:val="24"/>
        </w:rPr>
        <w:t xml:space="preserve">fondo Craxi</w:t>
      </w:r>
      <w:r>
        <w:rPr>
          <w:rFonts w:ascii="Barlow Semi Condensed" w:cs="Barlow Semi Condensed" w:eastAsia="Barlow Semi Condensed" w:hAnsi="Barlow Semi Condensed"/>
          <w:sz w:val="24"/>
          <w:szCs w:val="24"/>
        </w:rPr>
        <w:t xml:space="preserve">, conservato presso la Fondazione che ne porta il nome e in gran parte digitalizzato. Il quesito si restringe a due annate — </w:t>
      </w:r>
      <w:r>
        <w:rPr>
          <w:rFonts w:ascii="Barlow Semi Condensed" w:cs="Barlow Semi Condensed" w:eastAsia="Barlow Semi Condensed" w:hAnsi="Barlow Semi Condensed"/>
          <w:b/>
          <w:bCs/>
          <w:sz w:val="24"/>
          <w:szCs w:val="24"/>
        </w:rPr>
        <w:t xml:space="preserve">1974 e 1978</w:t>
      </w:r>
      <w:r>
        <w:rPr>
          <w:rFonts w:ascii="Barlow Semi Condensed" w:cs="Barlow Semi Condensed" w:eastAsia="Barlow Semi Condensed" w:hAnsi="Barlow Semi Condensed"/>
          <w:sz w:val="24"/>
          <w:szCs w:val="24"/>
        </w:rPr>
        <w:t xml:space="preserve"> — e l'esito va riportato anche se nullo. È una sede di natura diversa dalle altre quattro, perché un diario non è un atto d'ufficio e vale quanto vale; ma un diario datato che tacesse sull'episodio, in chi ne fu contemporaneo e informato, sarebbe esso stesso un dato.</w:t>
      </w:r>
    </w:p>
    <w:p>
      <w:pPr>
        <w:spacing w:after="120" w:line="276"/>
        <w:jc w:val="both"/>
      </w:pPr>
      <w:r>
        <w:rPr>
          <w:rFonts w:ascii="Barlow Semi Condensed" w:cs="Barlow Semi Condensed" w:eastAsia="Barlow Semi Condensed" w:hAnsi="Barlow Semi Condensed"/>
          <w:sz w:val="24"/>
          <w:szCs w:val="24"/>
        </w:rPr>
        <w:t xml:space="preserve">Finché quella riga non ha risposta, ogni affermazione sull'episodio — in un senso o nell'altro — poggia su metà del tavolo.</w:t>
      </w:r>
    </w:p>
    <w:p>
      <w:pPr>
        <w:pStyle w:val="Heading3"/>
        <w:spacing w:after="80" w:before="160"/>
      </w:pPr>
      <w:r>
        <w:rPr>
          <w:rFonts w:ascii="Barlow Semi Condensed" w:cs="Barlow Semi Condensed" w:eastAsia="Barlow Semi Condensed" w:hAnsi="Barlow Semi Condensed"/>
          <w:sz w:val="24"/>
          <w:szCs w:val="24"/>
        </w:rPr>
        <w:t xml:space="preserve">L-5 · L'attesa dichiarata: lo Stato Zero atteso e quello sorprendente</w:t>
      </w:r>
    </w:p>
    <w:p>
      <w:pPr>
        <w:spacing w:after="120" w:line="276"/>
        <w:jc w:val="both"/>
      </w:pPr>
      <w:r>
        <w:rPr>
          <w:rFonts w:ascii="Barlow Semi Condensed" w:cs="Barlow Semi Condensed" w:eastAsia="Barlow Semi Condensed" w:hAnsi="Barlow Semi Condensed"/>
          <w:sz w:val="24"/>
          <w:szCs w:val="24"/>
        </w:rPr>
        <w:t xml:space="preserve">È la terza regola che la campagna territoriale consegna al corpus, e nasce da un abuso sottile che nessuna opera precedente aveva codificato.</w:t>
      </w:r>
    </w:p>
    <w:p>
      <w:pPr>
        <w:spacing w:after="120" w:line="276"/>
        <w:jc w:val="both"/>
      </w:pPr>
      <w:r>
        <w:rPr>
          <w:rFonts w:ascii="Barlow Semi Condensed" w:cs="Barlow Semi Condensed" w:eastAsia="Barlow Semi Condensed" w:hAnsi="Barlow Semi Condensed"/>
          <w:sz w:val="24"/>
          <w:szCs w:val="24"/>
        </w:rPr>
        <w:t xml:space="preserve">Il corpus tratta lo Stato Zero come acquisizione di pieno valore, e fa bene. Ma </w:t>
      </w:r>
      <w:r>
        <w:rPr>
          <w:rFonts w:ascii="Barlow Semi Condensed" w:cs="Barlow Semi Condensed" w:eastAsia="Barlow Semi Condensed" w:hAnsi="Barlow Semi Condensed"/>
          <w:b/>
          <w:bCs/>
          <w:sz w:val="24"/>
          <w:szCs w:val="24"/>
        </w:rPr>
        <w:t xml:space="preserve">non tutti gli esiti negativi valgono lo stesso</w:t>
      </w:r>
      <w:r>
        <w:rPr>
          <w:rFonts w:ascii="Barlow Semi Condensed" w:cs="Barlow Semi Condensed" w:eastAsia="Barlow Semi Condensed" w:hAnsi="Barlow Semi Condensed"/>
          <w:sz w:val="24"/>
          <w:szCs w:val="24"/>
        </w:rPr>
        <w:t xml:space="preserve">, e la differenza non sta nel metodo della ricerca: sta in ciò che ci si aspettava di trovare prima di cominciare. Non reperire il nome di Henry Kissinger negli archivi messicani del 1954 non è un'acquisizione: è la conferma di ciò che chiunque avrebbe previsto, poiché in quell'anno l'uomo era un dottorando di Harvard senza carica, senza profilo latinoamericano e senza alcuna funzione operativa. Non reperirlo dove la sua carica lo collocava — un tavolo di cui fu parte, un fascicolo che la sua funzione avrebbe dovuto generare — è invece un fatto.</w:t>
      </w:r>
    </w:p>
    <w:p>
      <w:pPr>
        <w:spacing w:after="120" w:line="276"/>
        <w:jc w:val="both"/>
      </w:pPr>
      <w:r>
        <w:rPr>
          <w:rFonts w:ascii="Barlow Semi Condensed" w:cs="Barlow Semi Condensed" w:eastAsia="Barlow Semi Condensed" w:hAnsi="Barlow Semi Condensed"/>
          <w:b/>
          <w:bCs/>
          <w:sz w:val="24"/>
          <w:szCs w:val="24"/>
        </w:rPr>
        <w:t xml:space="preserve">La regola operativa, che si applica prima di aprire il fondo e non dopo</w:t>
      </w:r>
      <w:r>
        <w:rPr>
          <w:rFonts w:ascii="Barlow Semi Condensed" w:cs="Barlow Semi Condensed" w:eastAsia="Barlow Semi Condensed" w:hAnsi="Barlow Semi Condensed"/>
          <w:sz w:val="24"/>
          <w:szCs w:val="24"/>
        </w:rPr>
        <w:t xml:space="preserve">: si dichiara per iscritto </w:t>
      </w:r>
      <w:r>
        <w:rPr>
          <w:rFonts w:ascii="Barlow Semi Condensed" w:cs="Barlow Semi Condensed" w:eastAsia="Barlow Semi Condensed" w:hAnsi="Barlow Semi Condensed"/>
          <w:b/>
          <w:bCs/>
          <w:sz w:val="24"/>
          <w:szCs w:val="24"/>
        </w:rPr>
        <w:t xml:space="preserve">quanti riscontri ci si attende e perché</w:t>
      </w:r>
      <w:r>
        <w:rPr>
          <w:rFonts w:ascii="Barlow Semi Condensed" w:cs="Barlow Semi Condensed" w:eastAsia="Barlow Semi Condensed" w:hAnsi="Barlow Semi Condensed"/>
          <w:sz w:val="24"/>
          <w:szCs w:val="24"/>
        </w:rPr>
        <w:t xml:space="preserve">, e la ricerca si valuta contro quella attesa. Un esito negativo conforme all'attesa si registra e non si pesa; un esito negativo difforme è un'acquisizione, e va scritto in evidenza con la ragione della difformità.</w:t>
      </w:r>
    </w:p>
    <w:p>
      <w:pPr>
        <w:spacing w:after="120" w:line="276"/>
        <w:jc w:val="both"/>
      </w:pPr>
      <w:r>
        <w:rPr>
          <w:rFonts w:ascii="Barlow Semi Condensed" w:cs="Barlow Semi Condensed" w:eastAsia="Barlow Semi Condensed" w:hAnsi="Barlow Semi Condensed"/>
          <w:sz w:val="24"/>
          <w:szCs w:val="24"/>
        </w:rPr>
        <w:t xml:space="preserve">Senza questa dichiarazione preventiva, un censimento di Stati Zero diventa una macchina che produce significato dal nulla: mille ricerche a vuoto in luoghi dove nessuno si aspettava di trovare qualcosa si sommano, nella percezione del lettore, in un'assenza clamorosa. </w:t>
      </w:r>
      <w:r>
        <w:rPr>
          <w:rFonts w:ascii="Barlow Semi Condensed" w:cs="Barlow Semi Condensed" w:eastAsia="Barlow Semi Condensed" w:hAnsi="Barlow Semi Condensed"/>
          <w:b/>
          <w:bCs/>
          <w:sz w:val="24"/>
          <w:szCs w:val="24"/>
        </w:rPr>
        <w:t xml:space="preserve">È l'errore speculare della moltiplicazione apparente delle fonti</w:t>
      </w:r>
      <w:r>
        <w:rPr>
          <w:rFonts w:ascii="Barlow Semi Condensed" w:cs="Barlow Semi Condensed" w:eastAsia="Barlow Semi Condensed" w:hAnsi="Barlow Semi Condensed"/>
          <w:sz w:val="24"/>
          <w:szCs w:val="24"/>
        </w:rPr>
        <w:t xml:space="preserve"> — là si contano ripetizioni come se fossero riscontri, qui si contano vuoti previsti come se fossero scoperte. La serie sedicesima l'ha formulata per prima e le successive l'hanno adottata; il censimento della sessantunesima serie applica la separazione.</w:t>
      </w:r>
    </w:p>
    <w:p>
      <w:pPr>
        <w:pStyle w:val="Heading3"/>
        <w:spacing w:after="80" w:before="160"/>
      </w:pPr>
      <w:r>
        <w:rPr>
          <w:rFonts w:ascii="Barlow Semi Condensed" w:cs="Barlow Semi Condensed" w:eastAsia="Barlow Semi Condensed" w:hAnsi="Barlow Semi Condensed"/>
          <w:sz w:val="24"/>
          <w:szCs w:val="24"/>
        </w:rPr>
        <w:t xml:space="preserve">L-5bis · La serie terza senza accenti: un difetto trovato dall'opera in se stessa</w:t>
      </w:r>
    </w:p>
    <w:p>
      <w:pPr>
        <w:spacing w:after="120" w:line="276"/>
        <w:jc w:val="both"/>
      </w:pPr>
      <w:r>
        <w:rPr>
          <w:rFonts w:ascii="Barlow Semi Condensed" w:cs="Barlow Semi Condensed" w:eastAsia="Barlow Semi Condensed" w:hAnsi="Barlow Semi Condensed"/>
          <w:sz w:val="24"/>
          <w:szCs w:val="24"/>
        </w:rPr>
        <w:t xml:space="preserve">Va registrato per intero, perché è il caso in cui la macchina di controllo si è rivolta contro chi l'aveva costruita.</w:t>
      </w:r>
    </w:p>
    <w:p>
      <w:pPr>
        <w:spacing w:after="120" w:line="276"/>
        <w:jc w:val="both"/>
      </w:pPr>
      <w:r>
        <w:rPr>
          <w:rFonts w:ascii="Barlow Semi Condensed" w:cs="Barlow Semi Condensed" w:eastAsia="Barlow Semi Condensed" w:hAnsi="Barlow Semi Condensed"/>
          <w:b/>
          <w:bCs/>
          <w:sz w:val="24"/>
          <w:szCs w:val="24"/>
        </w:rPr>
        <w:t xml:space="preserve">Il difetto.</w:t>
      </w:r>
      <w:r>
        <w:rPr>
          <w:rFonts w:ascii="Barlow Semi Condensed" w:cs="Barlow Semi Condensed" w:eastAsia="Barlow Semi Condensed" w:hAnsi="Barlow Semi Condensed"/>
          <w:sz w:val="24"/>
          <w:szCs w:val="24"/>
        </w:rPr>
        <w:t xml:space="preserve"> Nella prima edizione di quest'opera la </w:t>
      </w:r>
      <w:r>
        <w:rPr>
          <w:rFonts w:ascii="Barlow Semi Condensed" w:cs="Barlow Semi Condensed" w:eastAsia="Barlow Semi Condensed" w:hAnsi="Barlow Semi Condensed"/>
          <w:b/>
          <w:bCs/>
          <w:sz w:val="24"/>
          <w:szCs w:val="24"/>
        </w:rPr>
        <w:t xml:space="preserve">Serie terza — «L'ereditarietà dottrinale», blocchi 136-205, 4.261 parole — era priva di ogni segno diacritico italiano</w:t>
      </w:r>
      <w:r>
        <w:rPr>
          <w:rFonts w:ascii="Barlow Semi Condensed" w:cs="Barlow Semi Condensed" w:eastAsia="Barlow Semi Condensed" w:hAnsi="Barlow Semi Condensed"/>
          <w:sz w:val="24"/>
          <w:szCs w:val="24"/>
        </w:rPr>
        <w:t xml:space="preserve">: si leggeva «e» per «è», «piu», «perche», «ciò» come «cio», «puo», «realta». Le altre dodici serie ne portavano fra 43 e 57 per mille parole; la terza, zero. L'agente che la redasse aveva restituito italiano in ASCII, e i sette controlli di disciplina allora in vigore — numerazione, duplicati, banda di lunghezza, fonti escluse, attribuzioni penali, inferenze per appartenenza, citazioni interne — </w:t>
      </w:r>
      <w:r>
        <w:rPr>
          <w:rFonts w:ascii="Barlow Semi Condensed" w:cs="Barlow Semi Condensed" w:eastAsia="Barlow Semi Condensed" w:hAnsi="Barlow Semi Condensed"/>
          <w:b/>
          <w:bCs/>
          <w:sz w:val="24"/>
          <w:szCs w:val="24"/>
        </w:rPr>
        <w:t xml:space="preserve">non guardavano l'ortografia</w:t>
      </w:r>
      <w:r>
        <w:rPr>
          <w:rFonts w:ascii="Barlow Semi Condensed" w:cs="Barlow Semi Condensed" w:eastAsia="Barlow Semi Condensed" w:hAnsi="Barlow Semi Condensed"/>
          <w:sz w:val="24"/>
          <w:szCs w:val="24"/>
        </w:rPr>
        <w:t xml:space="preserve">.</w:t>
      </w:r>
    </w:p>
    <w:p>
      <w:pPr>
        <w:spacing w:after="120" w:line="276"/>
        <w:jc w:val="both"/>
      </w:pPr>
      <w:r>
        <w:rPr>
          <w:rFonts w:ascii="Barlow Semi Condensed" w:cs="Barlow Semi Condensed" w:eastAsia="Barlow Semi Condensed" w:hAnsi="Barlow Semi Condensed"/>
          <w:b/>
          <w:bCs/>
          <w:sz w:val="24"/>
          <w:szCs w:val="24"/>
        </w:rPr>
        <w:t xml:space="preserve">Chi lo ha trovato.</w:t>
      </w:r>
      <w:r>
        <w:rPr>
          <w:rFonts w:ascii="Barlow Semi Condensed" w:cs="Barlow Semi Condensed" w:eastAsia="Barlow Semi Condensed" w:hAnsi="Barlow Semi Condensed"/>
          <w:sz w:val="24"/>
          <w:szCs w:val="24"/>
        </w:rPr>
        <w:t xml:space="preserve"> Non l'estensore, e non un controllo automatico: la </w:t>
      </w:r>
      <w:r>
        <w:rPr>
          <w:rFonts w:ascii="Barlow Semi Condensed" w:cs="Barlow Semi Condensed" w:eastAsia="Barlow Semi Condensed" w:hAnsi="Barlow Semi Condensed"/>
          <w:b/>
          <w:bCs/>
          <w:sz w:val="24"/>
          <w:szCs w:val="24"/>
        </w:rPr>
        <w:t xml:space="preserve">sessantesima serie</w:t>
      </w:r>
      <w:r>
        <w:rPr>
          <w:rFonts w:ascii="Barlow Semi Condensed" w:cs="Barlow Semi Condensed" w:eastAsia="Barlow Semi Condensed" w:hAnsi="Barlow Semi Condensed"/>
          <w:sz w:val="24"/>
          <w:szCs w:val="24"/>
        </w:rPr>
        <w:t xml:space="preserve"> della seconda campagna, quella dedicata alle lingue, alle traduzioni e agli interpreti, che leggendo il proprio territorio ha misurato la caduta dei diacritici e l'ha qualificata con esattezza — «è mutazione di trascrizione interna al corpus, non variante d'autore, e va verbalizzata prima di essere corretta». Un'opera costruita per triangolare un nome contro il corpus ha trovato un errore del corpus, nella serie che il corpus dedica agli errori di trascrizione.</w:t>
      </w:r>
    </w:p>
    <w:p>
      <w:pPr>
        <w:spacing w:after="120" w:line="276"/>
        <w:jc w:val="both"/>
      </w:pPr>
      <w:r>
        <w:rPr>
          <w:rFonts w:ascii="Barlow Semi Condensed" w:cs="Barlow Semi Condensed" w:eastAsia="Barlow Semi Condensed" w:hAnsi="Barlow Semi Condensed"/>
          <w:b/>
          <w:bCs/>
          <w:sz w:val="24"/>
          <w:szCs w:val="24"/>
        </w:rPr>
        <w:t xml:space="preserve">Come è stato riparato, e con quale garanzia.</w:t>
      </w:r>
      <w:r>
        <w:rPr>
          <w:rFonts w:ascii="Barlow Semi Condensed" w:cs="Barlow Semi Condensed" w:eastAsia="Barlow Semi Condensed" w:hAnsi="Barlow Semi Condensed"/>
          <w:sz w:val="24"/>
          <w:szCs w:val="24"/>
        </w:rPr>
        <w:t xml:space="preserve"> Il restauro non è stato affidato alla parola di chi lo eseguiva. Il testo restaurato è stato </w:t>
      </w:r>
      <w:r>
        <w:rPr>
          <w:rFonts w:ascii="Barlow Semi Condensed" w:cs="Barlow Semi Condensed" w:eastAsia="Barlow Semi Condensed" w:hAnsi="Barlow Semi Condensed"/>
          <w:b/>
          <w:bCs/>
          <w:sz w:val="24"/>
          <w:szCs w:val="24"/>
        </w:rPr>
        <w:t xml:space="preserve">spogliato di ogni diacritico e confrontato carattere per carattere con l'originale</w:t>
      </w:r>
      <w:r>
        <w:rPr>
          <w:rFonts w:ascii="Barlow Semi Condensed" w:cs="Barlow Semi Condensed" w:eastAsia="Barlow Semi Condensed" w:hAnsi="Barlow Semi Condensed"/>
          <w:sz w:val="24"/>
          <w:szCs w:val="24"/>
        </w:rPr>
        <w:t xml:space="preserve">: se un solo blocco avesse mostrato una parola diversa, una virgola spostata, una maiuscola cambiata, non si sarebbe scritto nulla. Alla prima esecuzione mancava un lotto e la procedura si è rifiutata di procedere. Alla seconda: settanta blocchi su settanta, </w:t>
      </w:r>
      <w:r>
        <w:rPr>
          <w:rFonts w:ascii="Barlow Semi Condensed" w:cs="Barlow Semi Condensed" w:eastAsia="Barlow Semi Condensed" w:hAnsi="Barlow Semi Condensed"/>
          <w:b/>
          <w:bCs/>
          <w:sz w:val="24"/>
          <w:szCs w:val="24"/>
        </w:rPr>
        <w:t xml:space="preserve">zero difformità oltre i diacritici</w:t>
      </w:r>
      <w:r>
        <w:rPr>
          <w:rFonts w:ascii="Barlow Semi Condensed" w:cs="Barlow Semi Condensed" w:eastAsia="Barlow Semi Condensed" w:hAnsi="Barlow Semi Condensed"/>
          <w:sz w:val="24"/>
          <w:szCs w:val="24"/>
        </w:rPr>
        <w:t xml:space="preserve">, densità della serie terza risalita a 45,1 per mille parole, dentro la fascia delle altre dodici.</w:t>
      </w:r>
    </w:p>
    <w:p>
      <w:pPr>
        <w:spacing w:after="120" w:line="276"/>
        <w:jc w:val="both"/>
      </w:pPr>
      <w:r>
        <w:rPr>
          <w:rFonts w:ascii="Barlow Semi Condensed" w:cs="Barlow Semi Condensed" w:eastAsia="Barlow Semi Condensed" w:hAnsi="Barlow Semi Condensed"/>
          <w:b/>
          <w:bCs/>
          <w:sz w:val="24"/>
          <w:szCs w:val="24"/>
        </w:rPr>
        <w:t xml:space="preserve">Che cosa se ne ricava, e vale oltre questo caso.</w:t>
      </w:r>
      <w:r>
        <w:rPr>
          <w:rFonts w:ascii="Barlow Semi Condensed" w:cs="Barlow Semi Condensed" w:eastAsia="Barlow Semi Condensed" w:hAnsi="Barlow Semi Condensed"/>
          <w:sz w:val="24"/>
          <w:szCs w:val="24"/>
        </w:rPr>
        <w:t xml:space="preserve"> Un controllo di qualità verifica ciò che qualcuno ha pensato di verificare, e nient'altro: i sette controlli erano tutti sostanziali — disciplina, gradi, fonti, attribuzioni — e nessuno guardava la superficie del testo. </w:t>
      </w:r>
      <w:r>
        <w:rPr>
          <w:rFonts w:ascii="Barlow Semi Condensed" w:cs="Barlow Semi Condensed" w:eastAsia="Barlow Semi Condensed" w:hAnsi="Barlow Semi Condensed"/>
          <w:b/>
          <w:bCs/>
          <w:sz w:val="24"/>
          <w:szCs w:val="24"/>
        </w:rPr>
        <w:t xml:space="preserve">L'ortografia entra da qui fra i controlli permanenti dell'opera</w:t>
      </w:r>
      <w:r>
        <w:rPr>
          <w:rFonts w:ascii="Barlow Semi Condensed" w:cs="Barlow Semi Condensed" w:eastAsia="Barlow Semi Condensed" w:hAnsi="Barlow Semi Condensed"/>
          <w:sz w:val="24"/>
          <w:szCs w:val="24"/>
        </w:rPr>
        <w:t xml:space="preserve">, misurata come densità di diacritici per serie, perché un'anomalia di superficie si rileva in un secondo e a occhio nudo non si vede affatto.</w:t>
      </w:r>
    </w:p>
    <w:p>
      <w:pPr>
        <w:pStyle w:val="Heading3"/>
        <w:spacing w:after="80" w:before="160"/>
      </w:pPr>
      <w:r>
        <w:rPr>
          <w:rFonts w:ascii="Barlow Semi Condensed" w:cs="Barlow Semi Condensed" w:eastAsia="Barlow Semi Condensed" w:hAnsi="Barlow Semi Condensed"/>
          <w:sz w:val="24"/>
          <w:szCs w:val="24"/>
        </w:rPr>
        <w:t xml:space="preserve">L-6 · I quattro atti: il programma esecutivo che l'opera consegna</w:t>
      </w:r>
    </w:p>
    <w:p>
      <w:pPr>
        <w:spacing w:after="120" w:line="276"/>
        <w:jc w:val="both"/>
      </w:pPr>
      <w:r>
        <w:rPr>
          <w:rFonts w:ascii="Barlow Semi Condensed" w:cs="Barlow Semi Condensed" w:eastAsia="Barlow Semi Condensed" w:hAnsi="Barlow Semi Condensed"/>
          <w:sz w:val="24"/>
          <w:szCs w:val="24"/>
        </w:rPr>
        <w:t xml:space="preserve">Le cinquantadue serie territoriali non hanno prodotto alcun nesso nuovo. Hanno prodotto qualcosa che il corpus non aveva: </w:t>
      </w:r>
      <w:r>
        <w:rPr>
          <w:rFonts w:ascii="Barlow Semi Condensed" w:cs="Barlow Semi Condensed" w:eastAsia="Barlow Semi Condensed" w:hAnsi="Barlow Semi Condensed"/>
          <w:b/>
          <w:bCs/>
          <w:sz w:val="24"/>
          <w:szCs w:val="24"/>
        </w:rPr>
        <w:t xml:space="preserve">un elenco chiuso di atti da compiere</w:t>
      </w:r>
      <w:r>
        <w:rPr>
          <w:rFonts w:ascii="Barlow Semi Condensed" w:cs="Barlow Semi Condensed" w:eastAsia="Barlow Semi Condensed" w:hAnsi="Barlow Semi Condensed"/>
          <w:sz w:val="24"/>
          <w:szCs w:val="24"/>
        </w:rPr>
        <w:t xml:space="preserve">, ciascuno eseguibile da un terzo, ciascuno con la propria sede. La cinquantacinquesima serie li ha formulati come criterio della propria chiusura, e valgono per l'opera intera. </w:t>
      </w:r>
      <w:r>
        <w:rPr>
          <w:rFonts w:ascii="Barlow Semi Condensed" w:cs="Barlow Semi Condensed" w:eastAsia="Barlow Semi Condensed" w:hAnsi="Barlow Semi Condensed"/>
          <w:b/>
          <w:bCs/>
          <w:sz w:val="24"/>
          <w:szCs w:val="24"/>
        </w:rPr>
        <w:t xml:space="preserve">Prima che siano compiuti, nulla si conclude.</w:t>
      </w:r>
    </w:p>
    <w:p>
      <w:pPr>
        <w:spacing w:after="120" w:line="276"/>
        <w:jc w:val="both"/>
      </w:pPr>
      <w:r>
        <w:rPr>
          <w:rFonts w:ascii="Barlow Semi Condensed" w:cs="Barlow Semi Condensed" w:eastAsia="Barlow Semi Condensed" w:hAnsi="Barlow Semi Condensed"/>
          <w:b/>
          <w:bCs/>
          <w:sz w:val="24"/>
          <w:szCs w:val="24"/>
        </w:rPr>
        <w:t xml:space="preserve">Primo. La collazione delle due copie del verbale.</w:t>
      </w:r>
      <w:r>
        <w:rPr>
          <w:rFonts w:ascii="Barlow Semi Condensed" w:cs="Barlow Semi Condensed" w:eastAsia="Barlow Semi Condensed" w:hAnsi="Barlow Semi Condensed"/>
          <w:sz w:val="24"/>
          <w:szCs w:val="24"/>
        </w:rPr>
        <w:t xml:space="preserve"> Confrontare la copia digitalizzata dalla Gerald R. Ford Presidential Library — file 1552802 — col testo a stampa del documento 350 del volume FRUS 1969-1976 E-15 parte 2, </w:t>
      </w:r>
      <w:r>
        <w:rPr>
          <w:rFonts w:ascii="Barlow Semi Condensed" w:cs="Barlow Semi Condensed" w:eastAsia="Barlow Semi Condensed" w:hAnsi="Barlow Semi Condensed"/>
          <w:b/>
          <w:bCs/>
          <w:sz w:val="24"/>
          <w:szCs w:val="24"/>
        </w:rPr>
        <w:t xml:space="preserve">in entrambe le edizioni</w:t>
      </w:r>
      <w:r>
        <w:rPr>
          <w:rFonts w:ascii="Barlow Semi Condensed" w:cs="Barlow Semi Condensed" w:eastAsia="Barlow Semi Condensed" w:hAnsi="Barlow Semi Condensed"/>
          <w:sz w:val="24"/>
          <w:szCs w:val="24"/>
        </w:rPr>
        <w:t xml:space="preserve">, la prima e la riveduta. È una verifica filologica elementare che nessuno risulta avere compiuto, e la sua posta è alta: se le due copie divergono in un punto qualsiasi, l'unico documento su cui poggia mezzo secolo di discussione non è un documento solo, e ogni citazione fatta finora va rivista per edizione.</w:t>
      </w:r>
    </w:p>
    <w:p>
      <w:pPr>
        <w:spacing w:after="120" w:line="276"/>
        <w:jc w:val="both"/>
      </w:pPr>
      <w:r>
        <w:rPr>
          <w:rFonts w:ascii="Barlow Semi Condensed" w:cs="Barlow Semi Condensed" w:eastAsia="Barlow Semi Condensed" w:hAnsi="Barlow Semi Condensed"/>
          <w:b/>
          <w:bCs/>
          <w:sz w:val="24"/>
          <w:szCs w:val="24"/>
        </w:rPr>
        <w:t xml:space="preserve">Secondo. La riga di firma, e la citazione da riscontrare.</w:t>
      </w:r>
      <w:r>
        <w:rPr>
          <w:rFonts w:ascii="Barlow Semi Condensed" w:cs="Barlow Semi Condensed" w:eastAsia="Barlow Semi Condensed" w:hAnsi="Barlow Semi Condensed"/>
          <w:sz w:val="24"/>
          <w:szCs w:val="24"/>
        </w:rPr>
        <w:t xml:space="preserve"> Accertare chi redasse e chi firmò il documento che la cinquantacinquesima serie indica come </w:t>
      </w:r>
      <w:r>
        <w:rPr>
          <w:rFonts w:ascii="Barlow Semi Condensed" w:cs="Barlow Semi Condensed" w:eastAsia="Barlow Semi Condensed" w:hAnsi="Barlow Semi Condensed"/>
          <w:b/>
          <w:bCs/>
          <w:sz w:val="24"/>
          <w:szCs w:val="24"/>
        </w:rPr>
        <w:t xml:space="preserve">documento 23 del volume XXX</w:t>
      </w:r>
      <w:r>
        <w:rPr>
          <w:rFonts w:ascii="Barlow Semi Condensed" w:cs="Barlow Semi Condensed" w:eastAsia="Barlow Semi Condensed" w:hAnsi="Barlow Semi Condensed"/>
          <w:sz w:val="24"/>
          <w:szCs w:val="24"/>
        </w:rPr>
        <w:t xml:space="preserve"> dei FRUS, perché un memorandum of conversation non è un verbale stenografico e il suo estensore ne determina il taglio. </w:t>
      </w:r>
      <w:r>
        <w:rPr>
          <w:rFonts w:ascii="Barlow Semi Condensed" w:cs="Barlow Semi Condensed" w:eastAsia="Barlow Semi Condensed" w:hAnsi="Barlow Semi Condensed"/>
          <w:b/>
          <w:bCs/>
          <w:sz w:val="24"/>
          <w:szCs w:val="24"/>
        </w:rPr>
        <w:t xml:space="preserve">Con una precisazione che va fatta qui e non altrove</w:t>
      </w:r>
      <w:r>
        <w:rPr>
          <w:rFonts w:ascii="Barlow Semi Condensed" w:cs="Barlow Semi Condensed" w:eastAsia="Barlow Semi Condensed" w:hAnsi="Barlow Semi Condensed"/>
          <w:sz w:val="24"/>
          <w:szCs w:val="24"/>
        </w:rPr>
        <w:t xml:space="preserve">: quel riferimento proviene dalla serie stessa e </w:t>
      </w:r>
      <w:r>
        <w:rPr>
          <w:rFonts w:ascii="Barlow Semi Condensed" w:cs="Barlow Semi Condensed" w:eastAsia="Barlow Semi Condensed" w:hAnsi="Barlow Semi Condensed"/>
          <w:b/>
          <w:bCs/>
          <w:sz w:val="24"/>
          <w:szCs w:val="24"/>
        </w:rPr>
        <w:t xml:space="preserve">non è riscontrabile sul corpus</w:t>
      </w:r>
      <w:r>
        <w:rPr>
          <w:rFonts w:ascii="Barlow Semi Condensed" w:cs="Barlow Semi Condensed" w:eastAsia="Barlow Semi Condensed" w:hAnsi="Barlow Semi Condensed"/>
          <w:sz w:val="24"/>
          <w:szCs w:val="24"/>
        </w:rPr>
        <w:t xml:space="preserve">, che non lo contiene in alcun documento. Il primo atto è dunque verificarlo sull'indice del volume; se la segnatura non regge, l'atto cade e va riscritto. Un apparato che passasse per buona una citazione solo perché l'ha prodotta il proprio lavoro commetterebbe l'errore che l'intera opera esiste per impedire.</w:t>
      </w:r>
    </w:p>
    <w:p>
      <w:pPr>
        <w:spacing w:after="120" w:line="276"/>
        <w:jc w:val="both"/>
      </w:pPr>
      <w:r>
        <w:rPr>
          <w:rFonts w:ascii="Barlow Semi Condensed" w:cs="Barlow Semi Condensed" w:eastAsia="Barlow Semi Condensed" w:hAnsi="Barlow Semi Condensed"/>
          <w:b/>
          <w:bCs/>
          <w:sz w:val="24"/>
          <w:szCs w:val="24"/>
        </w:rPr>
        <w:t xml:space="preserve">Terzo. Lo spoglio atlantico e alleato.</w:t>
      </w:r>
      <w:r>
        <w:rPr>
          <w:rFonts w:ascii="Barlow Semi Condensed" w:cs="Barlow Semi Condensed" w:eastAsia="Barlow Semi Condensed" w:hAnsi="Barlow Semi Condensed"/>
          <w:sz w:val="24"/>
          <w:szCs w:val="24"/>
        </w:rPr>
        <w:t xml:space="preserve"> La serie NATO dell'Archivio Storico Diplomatico del Ministero degli Affari Esteri e i verbali ministeriali del NATO Archives Online, per il periodo che le cariche del soggetto delimitano.</w:t>
      </w:r>
    </w:p>
    <w:p>
      <w:pPr>
        <w:spacing w:after="120" w:line="276"/>
        <w:jc w:val="both"/>
      </w:pPr>
      <w:r>
        <w:rPr>
          <w:rFonts w:ascii="Barlow Semi Condensed" w:cs="Barlow Semi Condensed" w:eastAsia="Barlow Semi Condensed" w:hAnsi="Barlow Semi Condensed"/>
          <w:b/>
          <w:bCs/>
          <w:sz w:val="24"/>
          <w:szCs w:val="24"/>
        </w:rPr>
        <w:t xml:space="preserve">Quarto, ed è il bersaglio che questa campagna consegna per primo alla ripresa.</w:t>
      </w:r>
      <w:r>
        <w:rPr>
          <w:rFonts w:ascii="Barlow Semi Condensed" w:cs="Barlow Semi Condensed" w:eastAsia="Barlow Semi Condensed" w:hAnsi="Barlow Semi Condensed"/>
          <w:sz w:val="24"/>
          <w:szCs w:val="24"/>
        </w:rPr>
        <w:t xml:space="preserve"> Verificare l'esistenza di un </w:t>
      </w:r>
      <w:r>
        <w:rPr>
          <w:rFonts w:ascii="Barlow Semi Condensed" w:cs="Barlow Semi Condensed" w:eastAsia="Barlow Semi Condensed" w:hAnsi="Barlow Semi Condensed"/>
          <w:b/>
          <w:bCs/>
          <w:sz w:val="24"/>
          <w:szCs w:val="24"/>
        </w:rPr>
        <w:t xml:space="preserve">appunto italiano</w:t>
      </w:r>
      <w:r>
        <w:rPr>
          <w:rFonts w:ascii="Barlow Semi Condensed" w:cs="Barlow Semi Condensed" w:eastAsia="Barlow Semi Condensed" w:hAnsi="Barlow Semi Condensed"/>
          <w:sz w:val="24"/>
          <w:szCs w:val="24"/>
        </w:rPr>
        <w:t xml:space="preserve"> sul colloquio dello Studio Ovale del 25 settembre 1974, secondo quanto la sezione L-4 espone per intero. È l'atto con la maggiore capacità di decidere, in tutte e tre le direzioni possibili.</w:t>
      </w:r>
    </w:p>
    <w:p>
      <w:pPr>
        <w:spacing w:after="120" w:line="276"/>
        <w:jc w:val="both"/>
      </w:pPr>
      <w:r>
        <w:rPr>
          <w:rFonts w:ascii="Barlow Semi Condensed" w:cs="Barlow Semi Condensed" w:eastAsia="Barlow Semi Condensed" w:hAnsi="Barlow Semi Condensed"/>
          <w:sz w:val="24"/>
          <w:szCs w:val="24"/>
        </w:rPr>
        <w:t xml:space="preserve">A questi si aggiunge, dalla sezione L-3, l'atto di programma che non è una ricerca ma una costruzione: </w:t>
      </w:r>
      <w:r>
        <w:rPr>
          <w:rFonts w:ascii="Barlow Semi Condensed" w:cs="Barlow Semi Condensed" w:eastAsia="Barlow Semi Condensed" w:hAnsi="Barlow Semi Condensed"/>
          <w:b/>
          <w:bCs/>
          <w:sz w:val="24"/>
          <w:szCs w:val="24"/>
        </w:rPr>
        <w:t xml:space="preserve">il cantiere atlantico</w:t>
      </w:r>
      <w:r>
        <w:rPr>
          <w:rFonts w:ascii="Barlow Semi Condensed" w:cs="Barlow Semi Condensed" w:eastAsia="Barlow Semi Condensed" w:hAnsi="Barlow Semi Condensed"/>
          <w:sz w:val="24"/>
          <w:szCs w:val="24"/>
        </w:rPr>
        <w:t xml:space="preserve">, quarto accanto a Londra, Parigi e Bonn, con la stessa griglia degli altri tre.</w:t>
      </w:r>
    </w:p>
    <w:p>
      <w:pPr>
        <w:spacing w:after="120" w:line="276"/>
        <w:jc w:val="both"/>
      </w:pPr>
      <w:r>
        <w:rPr>
          <w:rFonts w:ascii="Barlow Semi Condensed" w:cs="Barlow Semi Condensed" w:eastAsia="Barlow Semi Condensed" w:hAnsi="Barlow Semi Condensed"/>
          <w:sz w:val="24"/>
          <w:szCs w:val="24"/>
        </w:rPr>
        <w:t xml:space="preserve">Cinque cose da fare, e nessuna tesi. È tutto ciò che quattromilanovecentonovantanove blocchi mirati possono onestamente consegnare a chi verrà dopo — e il buco misurato è conoscenza, mentre il buco narrato è romanzo.</w:t>
      </w:r>
    </w:p>
    <w:p>
      <w:pPr>
        <w:pStyle w:val="Heading3"/>
        <w:spacing w:after="80" w:before="160"/>
      </w:pPr>
      <w:r>
        <w:rPr>
          <w:rFonts w:ascii="Barlow Semi Condensed" w:cs="Barlow Semi Condensed" w:eastAsia="Barlow Semi Condensed" w:hAnsi="Barlow Semi Condensed"/>
          <w:sz w:val="24"/>
          <w:szCs w:val="24"/>
        </w:rPr>
        <w:t xml:space="preserve">L-7 · Il limite forense: la scienza risponde alle cose, non alle intenzioni</w:t>
      </w:r>
    </w:p>
    <w:p>
      <w:pPr>
        <w:spacing w:after="120" w:line="276"/>
        <w:jc w:val="both"/>
      </w:pPr>
      <w:r>
        <w:rPr>
          <w:rFonts w:ascii="Barlow Semi Condensed" w:cs="Barlow Semi Condensed" w:eastAsia="Barlow Semi Condensed" w:hAnsi="Barlow Semi Condensed"/>
          <w:sz w:val="24"/>
          <w:szCs w:val="24"/>
        </w:rPr>
        <w:t xml:space="preserve">Va detto perché un lettore potrebbe attendersi il contrario. Il corpus dispone dell'apparato probatorio più solido del caso — i novantuno bossoli con le loro attribuzioni peritali, il caricatore di via Stresa, i profili genetici del 2016, le perizie balistiche e i confronti d'immagine — ed è la sua macchina di accertamento più forte. </w:t>
      </w:r>
      <w:r>
        <w:rPr>
          <w:rFonts w:ascii="Barlow Semi Condensed" w:cs="Barlow Semi Condensed" w:eastAsia="Barlow Semi Condensed" w:hAnsi="Barlow Semi Condensed"/>
          <w:b/>
          <w:bCs/>
          <w:sz w:val="24"/>
          <w:szCs w:val="24"/>
        </w:rPr>
        <w:t xml:space="preserve">Su questa domanda non può nulla, e non per difetto di zelo: per costituzione.</w:t>
      </w:r>
    </w:p>
    <w:p>
      <w:pPr>
        <w:spacing w:after="120" w:line="276"/>
        <w:jc w:val="both"/>
      </w:pPr>
      <w:r>
        <w:rPr>
          <w:rFonts w:ascii="Barlow Semi Condensed" w:cs="Barlow Semi Condensed" w:eastAsia="Barlow Semi Condensed" w:hAnsi="Barlow Semi Condensed"/>
          <w:sz w:val="24"/>
          <w:szCs w:val="24"/>
        </w:rPr>
        <w:t xml:space="preserve">La ragione è nel manuale stesso, al blocco 49: nessun reperto si analizza per vedere che cosa ne esce, perché ogni esame discende da una matrice di ipotesi. Ne segue il limite: </w:t>
      </w:r>
      <w:r>
        <w:rPr>
          <w:rFonts w:ascii="Barlow Semi Condensed" w:cs="Barlow Semi Condensed" w:eastAsia="Barlow Semi Condensed" w:hAnsi="Barlow Semi Condensed"/>
          <w:b/>
          <w:bCs/>
          <w:sz w:val="24"/>
          <w:szCs w:val="24"/>
        </w:rPr>
        <w:t xml:space="preserve">nessuna analisi di un bossolo, di un'arma o di un profilo genetico può corroborare o falsificare un'ipotesi su un decisore straniero.</w:t>
      </w:r>
      <w:r>
        <w:rPr>
          <w:rFonts w:ascii="Barlow Semi Condensed" w:cs="Barlow Semi Condensed" w:eastAsia="Barlow Semi Condensed" w:hAnsi="Barlow Semi Condensed"/>
          <w:sz w:val="24"/>
          <w:szCs w:val="24"/>
        </w:rPr>
        <w:t xml:space="preserve"> La scienza forense risponde a domande sulle cose — chi impugnò, da dove si sparò, chi toccò — e non a domande sulle intenzioni di chi non era nella stanza.</w:t>
      </w:r>
    </w:p>
    <w:p>
      <w:pPr>
        <w:spacing w:after="120" w:line="276"/>
        <w:jc w:val="both"/>
      </w:pPr>
      <w:r>
        <w:rPr>
          <w:rFonts w:ascii="Barlow Semi Condensed" w:cs="Barlow Semi Condensed" w:eastAsia="Barlow Semi Condensed" w:hAnsi="Barlow Semi Condensed"/>
          <w:b/>
          <w:bCs/>
          <w:sz w:val="24"/>
          <w:szCs w:val="24"/>
        </w:rPr>
        <w:t xml:space="preserve">La conseguenza pratica è un vincolo sui bersagli.</w:t>
      </w:r>
      <w:r>
        <w:rPr>
          <w:rFonts w:ascii="Barlow Semi Condensed" w:cs="Barlow Semi Condensed" w:eastAsia="Barlow Semi Condensed" w:hAnsi="Barlow Semi Condensed"/>
          <w:sz w:val="24"/>
          <w:szCs w:val="24"/>
        </w:rPr>
        <w:t xml:space="preserve"> Su questo nodo l'unica evidenza che possa spostare qualcosa è </w:t>
      </w:r>
      <w:r>
        <w:rPr>
          <w:rFonts w:ascii="Barlow Semi Condensed" w:cs="Barlow Semi Condensed" w:eastAsia="Barlow Semi Condensed" w:hAnsi="Barlow Semi Condensed"/>
          <w:b/>
          <w:bCs/>
          <w:sz w:val="24"/>
          <w:szCs w:val="24"/>
        </w:rPr>
        <w:t xml:space="preserve">documentale e archivistica</w:t>
      </w:r>
      <w:r>
        <w:rPr>
          <w:rFonts w:ascii="Barlow Semi Condensed" w:cs="Barlow Semi Condensed" w:eastAsia="Barlow Semi Condensed" w:hAnsi="Barlow Semi Condensed"/>
          <w:sz w:val="24"/>
          <w:szCs w:val="24"/>
        </w:rPr>
        <w:t xml:space="preserve">: un verbale, un telespresso, una nota di gabinetto, un fascicolo declassificato. Chi attenda che una nuova perizia decida la questione attende una cosa che quella disciplina non è in grado di dare, e l'attesa stessa è un modo per non cercare dove si dovrebbe. È la ragione per cui i cinque atti della sezione L-6 sono tutti atti d'archivio e nessuno è un esame di laboratorio.</w:t>
      </w:r>
    </w:p>
    <w:p>
      <w:pPr>
        <w:pStyle w:val="Heading3"/>
        <w:spacing w:after="80" w:before="160"/>
      </w:pPr>
      <w:r>
        <w:rPr>
          <w:rFonts w:ascii="Barlow Semi Condensed" w:cs="Barlow Semi Condensed" w:eastAsia="Barlow Semi Condensed" w:hAnsi="Barlow Semi Condensed"/>
          <w:sz w:val="24"/>
          <w:szCs w:val="24"/>
        </w:rPr>
        <w:t xml:space="preserve">L-8 · Che cosa la seconda campagna non ha stabilito</w:t>
      </w:r>
    </w:p>
    <w:p>
      <w:pPr>
        <w:spacing w:after="120" w:line="276"/>
        <w:jc w:val="both"/>
      </w:pPr>
      <w:r>
        <w:rPr>
          <w:rFonts w:ascii="Barlow Semi Condensed" w:cs="Barlow Semi Condensed" w:eastAsia="Barlow Semi Condensed" w:hAnsi="Barlow Semi Condensed"/>
          <w:sz w:val="24"/>
          <w:szCs w:val="24"/>
        </w:rPr>
        <w:t xml:space="preserve">La prima campagna chiude con una dichiarazione di ciò che non aveva stabilito. La seconda deve la stessa cosa, e la deve con più precisione, perché ha letto il corpus documento per documento e le sue assenze sono state misurate anziché supposte.</w:t>
      </w:r>
    </w:p>
    <w:p>
      <w:pPr>
        <w:spacing w:after="120" w:line="276"/>
        <w:jc w:val="both"/>
      </w:pPr>
      <w:r>
        <w:rPr>
          <w:rFonts w:ascii="Barlow Semi Condensed" w:cs="Barlow Semi Condensed" w:eastAsia="Barlow Semi Condensed" w:hAnsi="Barlow Semi Condensed"/>
          <w:b/>
          <w:bCs/>
          <w:sz w:val="24"/>
          <w:szCs w:val="24"/>
        </w:rPr>
        <w:t xml:space="preserve">Non ha stabilito alcun nesso nuovo.</w:t>
      </w:r>
      <w:r>
        <w:rPr>
          <w:rFonts w:ascii="Barlow Semi Condensed" w:cs="Barlow Semi Condensed" w:eastAsia="Barlow Semi Condensed" w:hAnsi="Barlow Semi Condensed"/>
          <w:sz w:val="24"/>
          <w:szCs w:val="24"/>
        </w:rPr>
        <w:t xml:space="preserve"> Cinquantadue territori interrogati, quasi quattromila bersagli posti, e il numero dei ponti di piano 1 fra questo nome e il caso Moro resta quello che era: </w:t>
      </w:r>
      <w:r>
        <w:rPr>
          <w:rFonts w:ascii="Barlow Semi Condensed" w:cs="Barlow Semi Condensed" w:eastAsia="Barlow Semi Condensed" w:hAnsi="Barlow Semi Condensed"/>
          <w:b/>
          <w:bCs/>
          <w:sz w:val="24"/>
          <w:szCs w:val="24"/>
        </w:rPr>
        <w:t xml:space="preserve">uno</w:t>
      </w:r>
      <w:r>
        <w:rPr>
          <w:rFonts w:ascii="Barlow Semi Condensed" w:cs="Barlow Semi Condensed" w:eastAsia="Barlow Semi Condensed" w:hAnsi="Barlow Semi Condensed"/>
          <w:sz w:val="24"/>
          <w:szCs w:val="24"/>
        </w:rPr>
        <w:t xml:space="preserve">, il verbale dello Studio Ovale del 25 settembre 1974, che attesta una posizione di politica dichiarata e non contiene alcun ultimatum personale. Nessun territorio ne ha aggiunto un secondo. La campagna ha aggiunto sedi, quesiti e vuoti verbalizzati; non ha aggiunto fatti.</w:t>
      </w:r>
    </w:p>
    <w:p>
      <w:pPr>
        <w:spacing w:after="120" w:line="276"/>
        <w:jc w:val="both"/>
      </w:pPr>
      <w:r>
        <w:rPr>
          <w:rFonts w:ascii="Barlow Semi Condensed" w:cs="Barlow Semi Condensed" w:eastAsia="Barlow Semi Condensed" w:hAnsi="Barlow Semi Condensed"/>
          <w:b/>
          <w:bCs/>
          <w:sz w:val="24"/>
          <w:szCs w:val="24"/>
        </w:rPr>
        <w:t xml:space="preserve">Non ha stabilito che i silenzi del corpus significhino qualcosa.</w:t>
      </w:r>
      <w:r>
        <w:rPr>
          <w:rFonts w:ascii="Barlow Semi Condensed" w:cs="Barlow Semi Condensed" w:eastAsia="Barlow Semi Condensed" w:hAnsi="Barlow Semi Condensed"/>
          <w:sz w:val="24"/>
          <w:szCs w:val="24"/>
        </w:rPr>
        <w:t xml:space="preserve"> È l'errore che una campagna di censimento produce più facilmente, ed è per impedirlo che esistono la distinzione della sezione L-1 e la regola dell'attesa dichiarata della L-5. Che il programma investigativo non nomini quest'uomo, che la quadriga taccia su millesettecento blocchi, che undici capitoli su dodici della ricognizione-madre non lo contengano: sono fatti sul perimetro di quei testi, non indizi su una persona. </w:t>
      </w:r>
      <w:r>
        <w:rPr>
          <w:rFonts w:ascii="Barlow Semi Condensed" w:cs="Barlow Semi Condensed" w:eastAsia="Barlow Semi Condensed" w:hAnsi="Barlow Semi Condensed"/>
          <w:b/>
          <w:bCs/>
          <w:sz w:val="24"/>
          <w:szCs w:val="24"/>
        </w:rPr>
        <w:t xml:space="preserve">Un vuoto previsto non è una scoperta.</w:t>
      </w:r>
    </w:p>
    <w:p>
      <w:pPr>
        <w:spacing w:after="120" w:line="276"/>
        <w:jc w:val="both"/>
      </w:pPr>
      <w:r>
        <w:rPr>
          <w:rFonts w:ascii="Barlow Semi Condensed" w:cs="Barlow Semi Condensed" w:eastAsia="Barlow Semi Condensed" w:hAnsi="Barlow Semi Condensed"/>
          <w:b/>
          <w:bCs/>
          <w:sz w:val="24"/>
          <w:szCs w:val="24"/>
        </w:rPr>
        <w:t xml:space="preserve">Non ha stabilito che le lacune trovate nel corpus siano state volute.</w:t>
      </w:r>
      <w:r>
        <w:rPr>
          <w:rFonts w:ascii="Barlow Semi Condensed" w:cs="Barlow Semi Condensed" w:eastAsia="Barlow Semi Condensed" w:hAnsi="Barlow Semi Condensed"/>
          <w:sz w:val="24"/>
          <w:szCs w:val="24"/>
        </w:rPr>
        <w:t xml:space="preserve"> L'asimmetria atlantica della sezione L-3 e l'assenza di ricerca sul verbale italiano della L-4 sono lacune reali e vanno colmate. Non sono reticenze: sono l'effetto di un programma di ricerca costruito su ciò che era interrogabile per primo — gli archivi europei aperti — e mai esteso al versante che richiedeva procedure più lente. Attribuire intenzione a una lacuna organizzativa è la stessa inferenza vietata, applicata a un archivio invece che a una persona.</w:t>
      </w:r>
    </w:p>
    <w:p>
      <w:pPr>
        <w:spacing w:after="120" w:line="276"/>
        <w:jc w:val="both"/>
      </w:pPr>
      <w:r>
        <w:rPr>
          <w:rFonts w:ascii="Barlow Semi Condensed" w:cs="Barlow Semi Condensed" w:eastAsia="Barlow Semi Condensed" w:hAnsi="Barlow Semi Condensed"/>
          <w:b/>
          <w:bCs/>
          <w:sz w:val="24"/>
          <w:szCs w:val="24"/>
        </w:rPr>
        <w:t xml:space="preserve">Non ha stabilito che il metodo territoriale sia superiore a quello concettuale.</w:t>
      </w:r>
      <w:r>
        <w:rPr>
          <w:rFonts w:ascii="Barlow Semi Condensed" w:cs="Barlow Semi Condensed" w:eastAsia="Barlow Semi Condensed" w:hAnsi="Barlow Semi Condensed"/>
          <w:sz w:val="24"/>
          <w:szCs w:val="24"/>
        </w:rPr>
        <w:t xml:space="preserve"> Le due campagne fanno cose diverse e nessuna sostituisce l'altra: la prima ha misurato la resa di una lente e ne ha dichiarato i limiti; la seconda ha misurato un corpus e ne ha dichiarato i vuoti. Chi leggesse la seconda come la correzione della prima leggerebbe male entrambe.</w:t>
      </w:r>
    </w:p>
    <w:p>
      <w:pPr>
        <w:spacing w:after="120" w:line="276"/>
        <w:jc w:val="both"/>
      </w:pPr>
      <w:r>
        <w:rPr>
          <w:rFonts w:ascii="Barlow Semi Condensed" w:cs="Barlow Semi Condensed" w:eastAsia="Barlow Semi Condensed" w:hAnsi="Barlow Semi Condensed"/>
          <w:b/>
          <w:bCs/>
          <w:sz w:val="24"/>
          <w:szCs w:val="24"/>
        </w:rPr>
        <w:t xml:space="preserve">E non ha stabilito che quattromilanovecentonovantanove blocchi valgano più di mille.</w:t>
      </w:r>
      <w:r>
        <w:rPr>
          <w:rFonts w:ascii="Barlow Semi Condensed" w:cs="Barlow Semi Condensed" w:eastAsia="Barlow Semi Condensed" w:hAnsi="Barlow Semi Condensed"/>
          <w:sz w:val="24"/>
          <w:szCs w:val="24"/>
        </w:rPr>
        <w:t xml:space="preserve"> Il numero è quello che il committente ha chiesto, ed è stato eseguito per intero. Ma la parte di quest'opera che resterà non si misura in blocchi: sono le cinque cose da fare della sezione L-6, le tre regole di metodo delle sezioni L-1, L-5 e L-7, e la riga che non cambia — </w:t>
      </w:r>
      <w:r>
        <w:rPr>
          <w:rFonts w:ascii="Barlow Semi Condensed" w:cs="Barlow Semi Condensed" w:eastAsia="Barlow Semi Condensed" w:hAnsi="Barlow Semi Condensed"/>
          <w:b/>
          <w:bCs/>
          <w:sz w:val="24"/>
          <w:szCs w:val="24"/>
        </w:rPr>
        <w:t xml:space="preserve">in biologia il carattere si eredita, in storia la responsabilità no</w:t>
      </w:r>
      <w:r>
        <w:rPr>
          <w:rFonts w:ascii="Barlow Semi Condensed" w:cs="Barlow Semi Condensed" w:eastAsia="Barlow Semi Condensed" w:hAnsi="Barlow Semi Condensed"/>
          <w:sz w:val="24"/>
          <w:szCs w:val="24"/>
        </w:rPr>
        <w:t xml:space="preserve">. Il resto è apparato, e l'apparato serve a chi verrà dopo, non a chi lo ha scritto.</w:t>
      </w:r>
    </w:p>
    <w:p>
      <w:pPr>
        <w:pStyle w:val="Heading3"/>
        <w:spacing w:after="80" w:before="160"/>
      </w:pPr>
      <w:r>
        <w:rPr>
          <w:rFonts w:ascii="Barlow Semi Condensed" w:cs="Barlow Semi Condensed" w:eastAsia="Barlow Semi Condensed" w:hAnsi="Barlow Semi Condensed"/>
          <w:sz w:val="24"/>
          <w:szCs w:val="24"/>
        </w:rPr>
        <w:t xml:space="preserve">L-9 · Come falliscono i controlli meccanici: otto casi, tutti dello stesso tipo</w:t>
      </w:r>
    </w:p>
    <w:p>
      <w:pPr>
        <w:spacing w:after="120" w:line="276"/>
        <w:jc w:val="both"/>
      </w:pPr>
      <w:r>
        <w:rPr>
          <w:rFonts w:ascii="Barlow Semi Condensed" w:cs="Barlow Semi Condensed" w:eastAsia="Barlow Semi Condensed" w:hAnsi="Barlow Semi Condensed"/>
          <w:sz w:val="24"/>
          <w:szCs w:val="24"/>
        </w:rPr>
        <w:t xml:space="preserve">L'opera è stata sottoposta a otto controlli automatici e a due verifiche incrociate. Nel corso della campagna quegli strumenti hanno prodotto </w:t>
      </w:r>
      <w:r>
        <w:rPr>
          <w:rFonts w:ascii="Barlow Semi Condensed" w:cs="Barlow Semi Condensed" w:eastAsia="Barlow Semi Condensed" w:hAnsi="Barlow Semi Condensed"/>
          <w:b/>
          <w:bCs/>
          <w:sz w:val="24"/>
          <w:szCs w:val="24"/>
        </w:rPr>
        <w:t xml:space="preserve">otto errori</w:t>
      </w:r>
      <w:r>
        <w:rPr>
          <w:rFonts w:ascii="Barlow Semi Condensed" w:cs="Barlow Semi Condensed" w:eastAsia="Barlow Semi Condensed" w:hAnsi="Barlow Semi Condensed"/>
          <w:sz w:val="24"/>
          <w:szCs w:val="24"/>
        </w:rPr>
        <w:t xml:space="preserve">, e nessuno era un errore del testo: erano tutti errori dello strumento. Si registrano perché un corpus che si affida a controlli meccanici deve sapere in che modo essi sbagliano, e perché il modello è sempre lo stesso — </w:t>
      </w:r>
      <w:r>
        <w:rPr>
          <w:rFonts w:ascii="Barlow Semi Condensed" w:cs="Barlow Semi Condensed" w:eastAsia="Barlow Semi Condensed" w:hAnsi="Barlow Semi Condensed"/>
          <w:b/>
          <w:bCs/>
          <w:sz w:val="24"/>
          <w:szCs w:val="24"/>
        </w:rPr>
        <w:t xml:space="preserve">lo strumento misurava una cosa adiacente a quella che serviva.</w:t>
      </w:r>
    </w:p>
    <w:p>
      <w:pPr>
        <w:spacing w:after="120" w:line="276"/>
        <w:jc w:val="both"/>
      </w:pPr>
      <w:r>
        <w:rPr>
          <w:rFonts w:ascii="Barlow Semi Condensed" w:cs="Barlow Semi Condensed" w:eastAsia="Barlow Semi Condensed" w:hAnsi="Barlow Semi Condensed"/>
          <w:b/>
          <w:bCs/>
          <w:sz w:val="24"/>
          <w:szCs w:val="24"/>
        </w:rPr>
        <w:t xml:space="preserve">I casi.</w:t>
      </w:r>
      <w:r>
        <w:rPr>
          <w:rFonts w:ascii="Barlow Semi Condensed" w:cs="Barlow Semi Condensed" w:eastAsia="Barlow Semi Condensed" w:hAnsi="Barlow Semi Condensed"/>
          <w:sz w:val="24"/>
          <w:szCs w:val="24"/>
        </w:rPr>
        <w:t xml:space="preserve"> Il rilevatore delle fonti escluse segnalava i blocchi che </w:t>
      </w:r>
      <w:r>
        <w:rPr>
          <w:rFonts w:ascii="Barlow Semi Condensed" w:cs="Barlow Semi Condensed" w:eastAsia="Barlow Semi Condensed" w:hAnsi="Barlow Semi Condensed"/>
          <w:i/>
          <w:iCs/>
          <w:sz w:val="24"/>
          <w:szCs w:val="24"/>
        </w:rPr>
        <w:t xml:space="preserve">vietano</w:t>
      </w:r>
      <w:r>
        <w:rPr>
          <w:rFonts w:ascii="Barlow Semi Condensed" w:cs="Barlow Semi Condensed" w:eastAsia="Barlow Semi Condensed" w:hAnsi="Barlow Semi Condensed"/>
          <w:sz w:val="24"/>
          <w:szCs w:val="24"/>
        </w:rPr>
        <w:t xml:space="preserve"> di citarle, perché per vietare una formula bisogna scriverla. Il rilevatore delle attribuzioni penali segnalava «nessun membro è colpevole», leggendo la negazione come affermazione; poi «principale responsabile», perché il pattern cercava la congiunzione «e» senza confini di parola e trovava la vocale finale di «principale»; poi ancora le formule ipotetiche fra virgolette basse, che i blocchi citano per dichiararle proibite. Il conteggio dei piani leggeva «piano 1» e non «primo piano», perdendo un terzo delle dichiarazioni. Il rilevatore della testata </w:t>
      </w:r>
      <w:r>
        <w:rPr>
          <w:rFonts w:ascii="Barlow Semi Condensed" w:cs="Barlow Semi Condensed" w:eastAsia="Barlow Semi Condensed" w:hAnsi="Barlow Semi Condensed"/>
          <w:i/>
          <w:iCs/>
          <w:sz w:val="24"/>
          <w:szCs w:val="24"/>
        </w:rPr>
        <w:t xml:space="preserve">il manifesto</w:t>
      </w:r>
      <w:r>
        <w:rPr>
          <w:rFonts w:ascii="Barlow Semi Condensed" w:cs="Barlow Semi Condensed" w:eastAsia="Barlow Semi Condensed" w:hAnsi="Barlow Semi Condensed"/>
          <w:sz w:val="24"/>
          <w:szCs w:val="24"/>
        </w:rPr>
        <w:t xml:space="preserve"> segnalava «il manifesto di Korda», che è un poster. Il profilo delle fonti contava </w:t>
      </w:r>
      <w:r>
        <w:rPr>
          <w:rFonts w:ascii="Barlow Semi Condensed" w:cs="Barlow Semi Condensed" w:eastAsia="Barlow Semi Condensed" w:hAnsi="Barlow Semi Condensed"/>
          <w:b/>
          <w:bCs/>
          <w:sz w:val="24"/>
          <w:szCs w:val="24"/>
        </w:rPr>
        <w:t xml:space="preserve">CIA</w:t>
      </w:r>
      <w:r>
        <w:rPr>
          <w:rFonts w:ascii="Barlow Semi Condensed" w:cs="Barlow Semi Condensed" w:eastAsia="Barlow Semi Condensed" w:hAnsi="Barlow Semi Condensed"/>
          <w:sz w:val="24"/>
          <w:szCs w:val="24"/>
        </w:rPr>
        <w:t xml:space="preserve"> dentro «traccia», «denuncia» ed «efficacia», e </w:t>
      </w:r>
      <w:r>
        <w:rPr>
          <w:rFonts w:ascii="Barlow Semi Condensed" w:cs="Barlow Semi Condensed" w:eastAsia="Barlow Semi Condensed" w:hAnsi="Barlow Semi Condensed"/>
          <w:b/>
          <w:bCs/>
          <w:sz w:val="24"/>
          <w:szCs w:val="24"/>
        </w:rPr>
        <w:t xml:space="preserve">NATO</w:t>
      </w:r>
      <w:r>
        <w:rPr>
          <w:rFonts w:ascii="Barlow Semi Condensed" w:cs="Barlow Semi Condensed" w:eastAsia="Barlow Semi Condensed" w:hAnsi="Barlow Semi Condensed"/>
          <w:sz w:val="24"/>
          <w:szCs w:val="24"/>
        </w:rPr>
        <w:t xml:space="preserve"> dentro «nato a Fürth»: quaranta menzioni diventavano millecentoventitré, restituendo l'immagine esattamente opposta a quella vera. Il rilevatore delle asserzioni prive di grado non riconosceva il vocabolario con cui i blocchi esprimono un grado senza usare la parola, e ogni volta che lo si allargava il numero scendeva.</w:t>
      </w:r>
    </w:p>
    <w:p>
      <w:pPr>
        <w:spacing w:after="120" w:line="276"/>
        <w:jc w:val="both"/>
      </w:pPr>
      <w:r>
        <w:rPr>
          <w:rFonts w:ascii="Barlow Semi Condensed" w:cs="Barlow Semi Condensed" w:eastAsia="Barlow Semi Condensed" w:hAnsi="Barlow Semi Condensed"/>
          <w:b/>
          <w:bCs/>
          <w:sz w:val="24"/>
          <w:szCs w:val="24"/>
        </w:rPr>
        <w:t xml:space="preserve">E il caso che sarebbe costato di più.</w:t>
      </w:r>
      <w:r>
        <w:rPr>
          <w:rFonts w:ascii="Barlow Semi Condensed" w:cs="Barlow Semi Condensed" w:eastAsia="Barlow Semi Condensed" w:hAnsi="Barlow Semi Condensed"/>
          <w:sz w:val="24"/>
          <w:szCs w:val="24"/>
        </w:rPr>
        <w:t xml:space="preserve"> Il completamento delle campagne veniva misurato contando le righe di risultato nei registri di lavorazione. Un rilancio, però, riscrive anche i risultati già in memoria: una campagna mostrava tredici righe e dodici serie. La soglia sarebbe scattata in anticipo e l'opera sarebbe stata composta incompleta </w:t>
      </w:r>
      <w:r>
        <w:rPr>
          <w:rFonts w:ascii="Barlow Semi Condensed" w:cs="Barlow Semi Condensed" w:eastAsia="Barlow Semi Condensed" w:hAnsi="Barlow Semi Condensed"/>
          <w:b/>
          <w:bCs/>
          <w:sz w:val="24"/>
          <w:szCs w:val="24"/>
        </w:rPr>
        <w:t xml:space="preserve">dichiarandosi completa</w:t>
      </w:r>
      <w:r>
        <w:rPr>
          <w:rFonts w:ascii="Barlow Semi Condensed" w:cs="Barlow Semi Condensed" w:eastAsia="Barlow Semi Condensed" w:hAnsi="Barlow Semi Condensed"/>
          <w:sz w:val="24"/>
          <w:szCs w:val="24"/>
        </w:rPr>
        <w:t xml:space="preserve">, coi conteggi sbagliati in copertina, nell'indice e nella riga di chiusura. Il difetto è stato trovato per caso, confrontando due misure che dovevano coincidere e non coincidevano.</w:t>
      </w:r>
    </w:p>
    <w:p>
      <w:pPr>
        <w:spacing w:after="120" w:line="276"/>
        <w:jc w:val="both"/>
      </w:pPr>
      <w:r>
        <w:rPr>
          <w:rFonts w:ascii="Barlow Semi Condensed" w:cs="Barlow Semi Condensed" w:eastAsia="Barlow Semi Condensed" w:hAnsi="Barlow Semi Condensed"/>
          <w:b/>
          <w:bCs/>
          <w:sz w:val="24"/>
          <w:szCs w:val="24"/>
        </w:rPr>
        <w:t xml:space="preserve">La regola che se ne ricava</w:t>
      </w:r>
      <w:r>
        <w:rPr>
          <w:rFonts w:ascii="Barlow Semi Condensed" w:cs="Barlow Semi Condensed" w:eastAsia="Barlow Semi Condensed" w:hAnsi="Barlow Semi Condensed"/>
          <w:sz w:val="24"/>
          <w:szCs w:val="24"/>
        </w:rPr>
        <w:t xml:space="preserve">, e vale per chiunque riprenda questo metodo: </w:t>
      </w:r>
      <w:r>
        <w:rPr>
          <w:rFonts w:ascii="Barlow Semi Condensed" w:cs="Barlow Semi Condensed" w:eastAsia="Barlow Semi Condensed" w:hAnsi="Barlow Semi Condensed"/>
          <w:b/>
          <w:bCs/>
          <w:sz w:val="24"/>
          <w:szCs w:val="24"/>
        </w:rPr>
        <w:t xml:space="preserve">un controllo meccanico non verifica ciò che si voleva verificare, ma ciò che è stato scritto nel pattern</w:t>
      </w:r>
      <w:r>
        <w:rPr>
          <w:rFonts w:ascii="Barlow Semi Condensed" w:cs="Barlow Semi Condensed" w:eastAsia="Barlow Semi Condensed" w:hAnsi="Barlow Semi Condensed"/>
          <w:sz w:val="24"/>
          <w:szCs w:val="24"/>
        </w:rPr>
        <w:t xml:space="preserve">, e la distanza fra le due cose è invisibile finché non produce un falso positivo abbastanza strano da costringere a leggere il blocco. Ne segue che ogni segnalazione va </w:t>
      </w:r>
      <w:r>
        <w:rPr>
          <w:rFonts w:ascii="Barlow Semi Condensed" w:cs="Barlow Semi Condensed" w:eastAsia="Barlow Semi Condensed" w:hAnsi="Barlow Semi Condensed"/>
          <w:b/>
          <w:bCs/>
          <w:sz w:val="24"/>
          <w:szCs w:val="24"/>
        </w:rPr>
        <w:t xml:space="preserve">letta</w:t>
      </w:r>
      <w:r>
        <w:rPr>
          <w:rFonts w:ascii="Barlow Semi Condensed" w:cs="Barlow Semi Condensed" w:eastAsia="Barlow Semi Condensed" w:hAnsi="Barlow Semi Condensed"/>
          <w:sz w:val="24"/>
          <w:szCs w:val="24"/>
        </w:rPr>
        <w:t xml:space="preserve">, mai contata; che due misure indipendenti della stessa quantità vanno confrontate; e che un controllo che non ha mai prodotto un falso positivo è probabilmente troppo permissivo, non particolarmente riuscito.</w:t>
      </w:r>
    </w:p>
    <w:p>
      <w:pPr>
        <w:spacing w:after="120" w:line="276"/>
        <w:jc w:val="both"/>
      </w:pPr>
      <w:r>
        <w:rPr>
          <w:rFonts w:ascii="Barlow Semi Condensed" w:cs="Barlow Semi Condensed" w:eastAsia="Barlow Semi Condensed" w:hAnsi="Barlow Semi Condensed"/>
          <w:b/>
          <w:bCs/>
          <w:sz w:val="24"/>
          <w:szCs w:val="24"/>
        </w:rPr>
        <w:t xml:space="preserve">Il dato che conta, in ogni caso.</w:t>
      </w:r>
      <w:r>
        <w:rPr>
          <w:rFonts w:ascii="Barlow Semi Condensed" w:cs="Barlow Semi Condensed" w:eastAsia="Barlow Semi Condensed" w:hAnsi="Barlow Semi Condensed"/>
          <w:sz w:val="24"/>
          <w:szCs w:val="24"/>
        </w:rPr>
        <w:t xml:space="preserve"> In tutti e otto i casi </w:t>
      </w:r>
      <w:r>
        <w:rPr>
          <w:rFonts w:ascii="Barlow Semi Condensed" w:cs="Barlow Semi Condensed" w:eastAsia="Barlow Semi Condensed" w:hAnsi="Barlow Semi Condensed"/>
          <w:b/>
          <w:bCs/>
          <w:sz w:val="24"/>
          <w:szCs w:val="24"/>
        </w:rPr>
        <w:t xml:space="preserve">il testo era corretto e lo strumento sbagliato</w:t>
      </w:r>
      <w:r>
        <w:rPr>
          <w:rFonts w:ascii="Barlow Semi Condensed" w:cs="Barlow Semi Condensed" w:eastAsia="Barlow Semi Condensed" w:hAnsi="Barlow Semi Condensed"/>
          <w:sz w:val="24"/>
          <w:szCs w:val="24"/>
        </w:rPr>
        <w:t xml:space="preserve">. Nessuna correzione al contenuto dei blocchi è discesa da un controllo automatico: le due correzioni di merito dell'opera — la data dell'anglicizzazione e la commissione Odendaal — sono venute da verifiche su fonti esterne, e la terza, l'ortografia della Serie terza, da un agente che leggeva.</w:t>
      </w:r>
    </w:p>
    <w:p>
      <w:pPr>
        <w:pBdr>
          <w:bottom w:val="single" w:color="999999" w:sz="6" w:space="1"/>
        </w:pBdr>
        <w:spacing w:after="80"/>
      </w:pPr>
    </w:p>
    <w:p>
      <w:pPr>
        <w:spacing w:after="120" w:line="276"/>
        <w:jc w:val="both"/>
      </w:pPr>
      <w:r>
        <w:rPr>
          <w:rFonts w:ascii="Barlow Semi Condensed" w:cs="Barlow Semi Condensed" w:eastAsia="Barlow Semi Condensed" w:hAnsi="Barlow Semi Condensed"/>
          <w:i/>
          <w:iCs/>
          <w:sz w:val="24"/>
          <w:szCs w:val="24"/>
        </w:rPr>
        <w:t xml:space="preserve">«Il codice e la sua trasmissione» — Henry Kissinger triangolato con tutto ciò che il corpus contiene, in </w:t>
      </w:r>
      <w:r>
        <w:rPr>
          <w:rFonts w:ascii="Barlow Semi Condensed" w:cs="Barlow Semi Condensed" w:eastAsia="Barlow Semi Condensed" w:hAnsi="Barlow Semi Condensed"/>
          <w:i/>
          <w:iCs/>
          <w:sz w:val="24"/>
          <w:szCs w:val="24"/>
        </w:rPr>
        <w:t xml:space="preserve">4.999 blocchi mirati</w:t>
      </w:r>
      <w:r>
        <w:rPr>
          <w:rFonts w:ascii="Barlow Semi Condensed" w:cs="Barlow Semi Condensed" w:eastAsia="Barlow Semi Condensed" w:hAnsi="Barlow Semi Condensed"/>
          <w:i/>
          <w:iCs/>
          <w:sz w:val="24"/>
          <w:szCs w:val="24"/>
        </w:rPr>
        <w:t xml:space="preserve"> ordinati in sessantacinque serie con statuto e in due campagne. La </w:t>
      </w:r>
      <w:r>
        <w:rPr>
          <w:rFonts w:ascii="Barlow Semi Condensed" w:cs="Barlow Semi Condensed" w:eastAsia="Barlow Semi Condensed" w:hAnsi="Barlow Semi Condensed"/>
          <w:i/>
          <w:iCs/>
          <w:sz w:val="24"/>
          <w:szCs w:val="24"/>
        </w:rPr>
        <w:t xml:space="preserve">prima campagna</w:t>
      </w:r>
      <w:r>
        <w:rPr>
          <w:rFonts w:ascii="Barlow Semi Condensed" w:cs="Barlow Semi Condensed" w:eastAsia="Barlow Semi Condensed" w:hAnsi="Barlow Semi Condensed"/>
          <w:i/>
          <w:iCs/>
          <w:sz w:val="24"/>
          <w:szCs w:val="24"/>
        </w:rPr>
        <w:t xml:space="preserve"> (serie I-XIII, blocchi 1-1.000) è concettuale: applica al nome la chiave dichiarata dal committente — «Kissinger rappresenta metaforicamente la genetica» — accolta come lente e non come sentenza, e fermata dalla tredicesima serie nel punto in cui spingerebbe verso la colpa ereditaria. La </w:t>
      </w:r>
      <w:r>
        <w:rPr>
          <w:rFonts w:ascii="Barlow Semi Condensed" w:cs="Barlow Semi Condensed" w:eastAsia="Barlow Semi Condensed" w:hAnsi="Barlow Semi Condensed"/>
          <w:i/>
          <w:iCs/>
          <w:sz w:val="24"/>
          <w:szCs w:val="24"/>
        </w:rPr>
        <w:t xml:space="preserve">seconda campagna</w:t>
      </w:r>
      <w:r>
        <w:rPr>
          <w:rFonts w:ascii="Barlow Semi Condensed" w:cs="Barlow Semi Condensed" w:eastAsia="Barlow Semi Condensed" w:hAnsi="Barlow Semi Condensed"/>
          <w:i/>
          <w:iCs/>
          <w:sz w:val="24"/>
          <w:szCs w:val="24"/>
        </w:rPr>
        <w:t xml:space="preserve"> (serie XIV-LXV, blocchi 1.001-4.999) è territoriale: ogni serie triangola quel nome contro un territorio preciso del corpus — un documento, una cartella, una Parte — con l'obbligo di leggerlo prima di scriverne, e con le quattro domande tenute distinte: dove il nome compare e con quale piano; dove il territorio tocca la cornice senza toccare il nome; dove circola un'affermazione terziaria che quel territorio non sostiene; e dove si dovrebbe cercare e nessuno ha cercato. Vale in ogni blocco la regola dei tre piani — rapporto diretto documentato, convergenza strutturale, affermazione terziaria: </w:t>
      </w:r>
      <w:r>
        <w:rPr>
          <w:rFonts w:ascii="Barlow Semi Condensed" w:cs="Barlow Semi Condensed" w:eastAsia="Barlow Semi Condensed" w:hAnsi="Barlow Semi Condensed"/>
          <w:i/>
          <w:iCs/>
          <w:sz w:val="24"/>
          <w:szCs w:val="24"/>
        </w:rPr>
        <w:t xml:space="preserve">un ponte è reale solo al piano 1</w:t>
      </w:r>
      <w:r>
        <w:rPr>
          <w:rFonts w:ascii="Barlow Semi Condensed" w:cs="Barlow Semi Condensed" w:eastAsia="Barlow Semi Condensed" w:hAnsi="Barlow Semi Condensed"/>
          <w:i/>
          <w:iCs/>
          <w:sz w:val="24"/>
          <w:szCs w:val="24"/>
        </w:rPr>
        <w:t xml:space="preserve">. Henry Kissinger non fu condannato in alcun processo, non fu mai imputato né processato in alcun Paese, e nessun blocco lo indica come responsabile di reato; il presunto avvertimento del settembre 1974 vi è registrato come testimonianza contestata, con la smentita dell'interessato annotata e con l'accertamento che il verbale dello Studio Ovale non la contiene. La seconda campagna ha prodotto due esiti che il corpus deve recepire, e che l'</w:t>
      </w:r>
      <w:r>
        <w:rPr>
          <w:rFonts w:ascii="Barlow Semi Condensed" w:cs="Barlow Semi Condensed" w:eastAsia="Barlow Semi Condensed" w:hAnsi="Barlow Semi Condensed"/>
          <w:i/>
          <w:iCs/>
          <w:sz w:val="24"/>
          <w:szCs w:val="24"/>
        </w:rPr>
        <w:t xml:space="preserve">Apparato L</w:t>
      </w:r>
      <w:r>
        <w:rPr>
          <w:rFonts w:ascii="Barlow Semi Condensed" w:cs="Barlow Semi Condensed" w:eastAsia="Barlow Semi Condensed" w:hAnsi="Barlow Semi Condensed"/>
          <w:i/>
          <w:iCs/>
          <w:sz w:val="24"/>
          <w:szCs w:val="24"/>
        </w:rPr>
        <w:t xml:space="preserve"> registra: la distinzione fra lo </w:t>
      </w:r>
      <w:r>
        <w:rPr>
          <w:rFonts w:ascii="Barlow Semi Condensed" w:cs="Barlow Semi Condensed" w:eastAsia="Barlow Semi Condensed" w:hAnsi="Barlow Semi Condensed"/>
          <w:i/>
          <w:iCs/>
          <w:sz w:val="24"/>
          <w:szCs w:val="24"/>
        </w:rPr>
        <w:t xml:space="preserve">Stato Zero</w:t>
      </w:r>
      <w:r>
        <w:rPr>
          <w:rFonts w:ascii="Barlow Semi Condensed" w:cs="Barlow Semi Condensed" w:eastAsia="Barlow Semi Condensed" w:hAnsi="Barlow Semi Condensed"/>
          <w:i/>
          <w:iCs/>
          <w:sz w:val="24"/>
          <w:szCs w:val="24"/>
        </w:rPr>
        <w:t xml:space="preserve">, che si predica di una ricerca condotta in una sede nominata, e il </w:t>
      </w:r>
      <w:r>
        <w:rPr>
          <w:rFonts w:ascii="Barlow Semi Condensed" w:cs="Barlow Semi Condensed" w:eastAsia="Barlow Semi Condensed" w:hAnsi="Barlow Semi Condensed"/>
          <w:i/>
          <w:iCs/>
          <w:sz w:val="24"/>
          <w:szCs w:val="24"/>
        </w:rPr>
        <w:t xml:space="preserve">silenzio d'oggetto</w:t>
      </w:r>
      <w:r>
        <w:rPr>
          <w:rFonts w:ascii="Barlow Semi Condensed" w:cs="Barlow Semi Condensed" w:eastAsia="Barlow Semi Condensed" w:hAnsi="Barlow Semi Condensed"/>
          <w:i/>
          <w:iCs/>
          <w:sz w:val="24"/>
          <w:szCs w:val="24"/>
        </w:rPr>
        <w:t xml:space="preserve">, che si predica del perimetro di un testo; e l'</w:t>
      </w:r>
      <w:r>
        <w:rPr>
          <w:rFonts w:ascii="Barlow Semi Condensed" w:cs="Barlow Semi Condensed" w:eastAsia="Barlow Semi Condensed" w:hAnsi="Barlow Semi Condensed"/>
          <w:i/>
          <w:iCs/>
          <w:sz w:val="24"/>
          <w:szCs w:val="24"/>
        </w:rPr>
        <w:t xml:space="preserve">asimmetria atlantica</w:t>
      </w:r>
      <w:r>
        <w:rPr>
          <w:rFonts w:ascii="Barlow Semi Condensed" w:cs="Barlow Semi Condensed" w:eastAsia="Barlow Semi Condensed" w:hAnsi="Barlow Semi Condensed"/>
          <w:i/>
          <w:iCs/>
          <w:sz w:val="24"/>
          <w:szCs w:val="24"/>
        </w:rPr>
        <w:t xml:space="preserve"> del versante di ricerca, che ha tre cantieri d'archivio alleato e non il quarto. Sono 4.999 blocchi e non cinquemila, e il numero non si arrotonda: la sessantacinquesima serie porta per titolo questa stessa riga. Un'indagine produce atti, non colpevoli — quattromilanovecentonovantanove volte, intorno a un solo nome.</w:t>
      </w:r>
    </w:p>
    <w:p>
      <w:pPr>
        <w:pStyle w:val="Heading3"/>
        <w:spacing w:after="80" w:before="240"/>
      </w:pPr>
      <w:r>
        <w:rPr>
          <w:rFonts w:ascii="Barlow Semi Condensed" w:cs="Barlow Semi Condensed" w:eastAsia="Barlow Semi Condensed" w:hAnsi="Barlow Semi Condensed"/>
          <w:sz w:val="24"/>
          <w:szCs w:val="24"/>
        </w:rPr>
        <w:t xml:space="preserve">Apparato grafico — Libro tredicesimo · Il codice e la sua trasmissione (4.999 blocchi)</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1"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Libro tredicesimo VII: 370.419 parole in 9 sezioni; la più ampia è §9 Altre sezioni, con 328.500.</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2"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Libro tredicesimo VII: 5.232 paragrafi in 9 sezioni, 581 in media per sezione.</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3"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Le tredici serie della triangolazione: ogni blocco un bersaglio d’archivio, mai una sentenza.</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4"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Il metro dichiarato in apertura: la contemporaneità non è prova di nesso, l’appartenenza non è prova di condotta.</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5"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Le due campagne dell’opera: una lente applicata a un nome, e il nome portato contro ogni territorio del corpus.</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6"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La contabilita dichiarata dell’opera: quanti ponti reali, quante convergenze, quanti vuoti verbalizzati.</w:t>
      </w:r>
    </w:p>
    <w:p>
      <w:pPr>
        <w:spacing w:after="120"/>
        <w:jc w:val="center"/>
      </w:pPr>
      <w:r>
        <w:rPr>
          <w:rFonts w:ascii="Barlow Semi Condensed" w:cs="Barlow Semi Condensed" w:eastAsia="Barlow Semi Condensed" w:hAnsi="Barlow Semi Condensed"/>
          <w:color w:val="777777"/>
          <w:sz w:val="16"/>
          <w:szCs w:val="16"/>
        </w:rPr>
        <w:t xml:space="preserve">Le metriche dell'apparato contano parole, documenti e atti — mai colpe.</w:t>
      </w:r>
    </w:p>
    <w:p>
      <w:r>
        <w:br w:type="page"/>
      </w:r>
    </w:p>
    <w:p>
      <w:pPr>
        <w:pStyle w:val="Heading1"/>
        <w:spacing w:after="120" w:before="240"/>
      </w:pPr>
      <w:r>
        <w:rPr>
          <w:rFonts w:ascii="Barlow Semi Condensed" w:cs="Barlow Semi Condensed" w:eastAsia="Barlow Semi Condensed" w:hAnsi="Barlow Semi Condensed"/>
          <w:sz w:val="24"/>
          <w:szCs w:val="24"/>
        </w:rPr>
        <w:t xml:space="preserve">Libro quattordicesimo — Il meridiano e la valle: dal Sud Africa dell'apartheid alla PayPal Mafia (1.000 blocchi)</w:t>
      </w:r>
    </w:p>
    <w:p>
      <w:pPr>
        <w:pStyle w:val="Heading1"/>
        <w:spacing w:after="120" w:before="240"/>
      </w:pPr>
      <w:r>
        <w:rPr>
          <w:rFonts w:ascii="Barlow Semi Condensed" w:cs="Barlow Semi Condensed" w:eastAsia="Barlow Semi Condensed" w:hAnsi="Barlow Semi Condensed"/>
          <w:sz w:val="24"/>
          <w:szCs w:val="24"/>
        </w:rPr>
        <w:t xml:space="preserve">Il meridiano e la valle</w:t>
      </w:r>
    </w:p>
    <w:p>
      <w:pPr>
        <w:pStyle w:val="Heading2"/>
        <w:spacing w:after="100" w:before="200"/>
      </w:pPr>
      <w:r>
        <w:rPr>
          <w:rFonts w:ascii="Barlow Semi Condensed" w:cs="Barlow Semi Condensed" w:eastAsia="Barlow Semi Condensed" w:hAnsi="Barlow Semi Condensed"/>
          <w:sz w:val="24"/>
          <w:szCs w:val="24"/>
        </w:rPr>
        <w:t xml:space="preserve">Dal Sud Africa dell'apartheid alla PayPal Mafia — mille blocchi mirati di ricerca</w:t>
      </w:r>
    </w:p>
    <w:p>
      <w:pPr>
        <w:pBdr>
          <w:left w:val="single" w:color="1F3864" w:sz="18" w:space="8"/>
        </w:pBdr>
        <w:spacing w:after="80" w:before="80"/>
        <w:ind w:left="360" w:right="360"/>
        <w:jc w:val="both"/>
      </w:pPr>
      <w:r>
        <w:rPr>
          <w:rFonts w:ascii="Barlow Semi Condensed" w:cs="Barlow Semi Condensed" w:eastAsia="Barlow Semi Condensed" w:hAnsi="Barlow Semi Condensed"/>
          <w:b/>
          <w:bCs/>
          <w:i w:val="false"/>
          <w:iCs w:val="false"/>
          <w:sz w:val="24"/>
          <w:szCs w:val="24"/>
        </w:rPr>
        <w:t xml:space="preserve">La chiave, dichiarata in apertura.</w:t>
      </w:r>
      <w:r>
        <w:rPr>
          <w:rFonts w:ascii="Barlow Semi Condensed" w:cs="Barlow Semi Condensed" w:eastAsia="Barlow Semi Condensed" w:hAnsi="Barlow Semi Condensed"/>
          <w:i w:val="false"/>
          <w:iCs w:val="false"/>
          <w:sz w:val="24"/>
          <w:szCs w:val="24"/>
        </w:rPr>
        <w:t xml:space="preserve"> Il committente ha chiesto mille blocchi mirati di ricerca che costruiscano </w:t>
      </w:r>
      <w:r>
        <w:rPr>
          <w:rFonts w:ascii="Barlow Semi Condensed" w:cs="Barlow Semi Condensed" w:eastAsia="Barlow Semi Condensed" w:hAnsi="Barlow Semi Condensed"/>
          <w:b/>
          <w:bCs/>
          <w:i w:val="false"/>
          <w:iCs w:val="false"/>
          <w:sz w:val="24"/>
          <w:szCs w:val="24"/>
        </w:rPr>
        <w:t xml:space="preserve">una continuità</w:t>
      </w:r>
      <w:r>
        <w:rPr>
          <w:rFonts w:ascii="Barlow Semi Condensed" w:cs="Barlow Semi Condensed" w:eastAsia="Barlow Semi Condensed" w:hAnsi="Barlow Semi Condensed"/>
          <w:i w:val="false"/>
          <w:iCs w:val="false"/>
          <w:sz w:val="24"/>
          <w:szCs w:val="24"/>
        </w:rPr>
        <w:t xml:space="preserve"> dal Sud Africa dell'apartheid alla cosiddetta PayPal Mafia, passando per i nomi che quella continuità attraversa. La chiave è accolta e dichiarata qui come il corpus fa con ogni sua chiave: </w:t>
      </w:r>
      <w:r>
        <w:rPr>
          <w:rFonts w:ascii="Barlow Semi Condensed" w:cs="Barlow Semi Condensed" w:eastAsia="Barlow Semi Condensed" w:hAnsi="Barlow Semi Condensed"/>
          <w:b/>
          <w:bCs/>
          <w:i w:val="false"/>
          <w:iCs w:val="false"/>
          <w:sz w:val="24"/>
          <w:szCs w:val="24"/>
        </w:rPr>
        <w:t xml:space="preserve">è una lente, non una sentenza</w:t>
      </w:r>
      <w:r>
        <w:rPr>
          <w:rFonts w:ascii="Barlow Semi Condensed" w:cs="Barlow Semi Condensed" w:eastAsia="Barlow Semi Condensed" w:hAnsi="Barlow Semi Condensed"/>
          <w:i w:val="false"/>
          <w:iCs w:val="false"/>
          <w:sz w:val="24"/>
          <w:szCs w:val="24"/>
        </w:rPr>
        <w:t xml:space="preserve"> — e, per la prima volta in questo corpus, è anche </w:t>
      </w:r>
      <w:r>
        <w:rPr>
          <w:rFonts w:ascii="Barlow Semi Condensed" w:cs="Barlow Semi Condensed" w:eastAsia="Barlow Semi Condensed" w:hAnsi="Barlow Semi Condensed"/>
          <w:b/>
          <w:bCs/>
          <w:i w:val="false"/>
          <w:iCs w:val="false"/>
          <w:sz w:val="24"/>
          <w:szCs w:val="24"/>
        </w:rPr>
        <w:t xml:space="preserve">un'ipotesi da mettere alla prova, non una premessa da illustrare</w:t>
      </w:r>
      <w:r>
        <w:rPr>
          <w:rFonts w:ascii="Barlow Semi Condensed" w:cs="Barlow Semi Condensed" w:eastAsia="Barlow Semi Condensed" w:hAnsi="Barlow Semi Condensed"/>
          <w:i w:val="false"/>
          <w:iCs w:val="false"/>
          <w:sz w:val="24"/>
          <w:szCs w:val="24"/>
        </w:rPr>
        <w:t xml:space="preserve">. Un'opera che si limitasse a raccogliere ciò che conferma la continuità non sarebbe una ricerca: sarebbe un'arringa. Perciò ogni serie porta con sé i propri </w:t>
      </w:r>
      <w:r>
        <w:rPr>
          <w:rFonts w:ascii="Barlow Semi Condensed" w:cs="Barlow Semi Condensed" w:eastAsia="Barlow Semi Condensed" w:hAnsi="Barlow Semi Condensed"/>
          <w:b/>
          <w:bCs/>
          <w:i w:val="false"/>
          <w:iCs w:val="false"/>
          <w:sz w:val="24"/>
          <w:szCs w:val="24"/>
        </w:rPr>
        <w:t xml:space="preserve">bersagli di smentita</w:t>
      </w:r>
      <w:r>
        <w:rPr>
          <w:rFonts w:ascii="Barlow Semi Condensed" w:cs="Barlow Semi Condensed" w:eastAsia="Barlow Semi Condensed" w:hAnsi="Barlow Semi Condensed"/>
          <w:i w:val="false"/>
          <w:iCs w:val="false"/>
          <w:sz w:val="24"/>
          <w:szCs w:val="24"/>
        </w:rPr>
        <w:t xml:space="preserve">, e la tredicesima esiste per fermare la tesi nel punto in cui essa spingerebbe verso l'unica conclusione che questo corpus non ammette.</w:t>
      </w:r>
    </w:p>
    <w:p>
      <w:pPr>
        <w:pBdr>
          <w:left w:val="single" w:color="1F3864" w:sz="18" w:space="8"/>
        </w:pBdr>
        <w:spacing w:after="80" w:before="80"/>
        <w:ind w:left="360" w:right="360"/>
        <w:jc w:val="both"/>
      </w:pPr>
      <w:r>
        <w:rPr>
          <w:rFonts w:ascii="Barlow Semi Condensed" w:cs="Barlow Semi Condensed" w:eastAsia="Barlow Semi Condensed" w:hAnsi="Barlow Semi Condensed"/>
          <w:b/>
          <w:bCs/>
          <w:i w:val="false"/>
          <w:iCs w:val="false"/>
          <w:sz w:val="24"/>
          <w:szCs w:val="24"/>
        </w:rPr>
        <w:t xml:space="preserve">Che cosa sono i mille blocchi.</w:t>
      </w:r>
      <w:r>
        <w:rPr>
          <w:rFonts w:ascii="Barlow Semi Condensed" w:cs="Barlow Semi Condensed" w:eastAsia="Barlow Semi Condensed" w:hAnsi="Barlow Semi Condensed"/>
          <w:i w:val="false"/>
          <w:iCs w:val="false"/>
          <w:sz w:val="24"/>
          <w:szCs w:val="24"/>
        </w:rPr>
        <w:t xml:space="preserve"> Non sono mille affermazioni: sono </w:t>
      </w:r>
      <w:r>
        <w:rPr>
          <w:rFonts w:ascii="Barlow Semi Condensed" w:cs="Barlow Semi Condensed" w:eastAsia="Barlow Semi Condensed" w:hAnsi="Barlow Semi Condensed"/>
          <w:b/>
          <w:bCs/>
          <w:i w:val="false"/>
          <w:iCs w:val="false"/>
          <w:sz w:val="24"/>
          <w:szCs w:val="24"/>
        </w:rPr>
        <w:t xml:space="preserve">mille bersagli</w:t>
      </w:r>
      <w:r>
        <w:rPr>
          <w:rFonts w:ascii="Barlow Semi Condensed" w:cs="Barlow Semi Condensed" w:eastAsia="Barlow Semi Condensed" w:hAnsi="Barlow Semi Condensed"/>
          <w:i w:val="false"/>
          <w:iCs w:val="false"/>
          <w:sz w:val="24"/>
          <w:szCs w:val="24"/>
        </w:rPr>
        <w:t xml:space="preserve">. Ciascun blocco è un quesito da portare in archivio, una sede da interrogare, una regola di lettura o una lacuna verbalizzata, nella forma già usata dall'agenda di ricerca in trecento blocchi e dai nove cantieri in mille. Il criterio di riuscita non è la persuasività: è che </w:t>
      </w:r>
      <w:r>
        <w:rPr>
          <w:rFonts w:ascii="Barlow Semi Condensed" w:cs="Barlow Semi Condensed" w:eastAsia="Barlow Semi Condensed" w:hAnsi="Barlow Semi Condensed"/>
          <w:b/>
          <w:bCs/>
          <w:i w:val="false"/>
          <w:iCs w:val="false"/>
          <w:sz w:val="24"/>
          <w:szCs w:val="24"/>
        </w:rPr>
        <w:t xml:space="preserve">un terzo possa eseguire il blocco</w:t>
      </w:r>
      <w:r>
        <w:rPr>
          <w:rFonts w:ascii="Barlow Semi Condensed" w:cs="Barlow Semi Condensed" w:eastAsia="Barlow Semi Condensed" w:hAnsi="Barlow Semi Condensed"/>
          <w:i w:val="false"/>
          <w:iCs w:val="false"/>
          <w:sz w:val="24"/>
          <w:szCs w:val="24"/>
        </w:rPr>
        <w:t xml:space="preserve"> e ottenere un esito — anche negativo — senza dover credere a chi lo ha scritto.</w:t>
      </w:r>
    </w:p>
    <w:p>
      <w:pPr>
        <w:pBdr>
          <w:left w:val="single" w:color="1F3864" w:sz="18" w:space="8"/>
        </w:pBdr>
        <w:spacing w:after="80" w:before="80"/>
        <w:ind w:left="360" w:right="360"/>
        <w:jc w:val="both"/>
      </w:pPr>
      <w:r>
        <w:rPr>
          <w:rFonts w:ascii="Barlow Semi Condensed" w:cs="Barlow Semi Condensed" w:eastAsia="Barlow Semi Condensed" w:hAnsi="Barlow Semi Condensed"/>
          <w:b/>
          <w:bCs/>
          <w:i w:val="false"/>
          <w:iCs w:val="false"/>
          <w:sz w:val="24"/>
          <w:szCs w:val="24"/>
        </w:rPr>
        <w:t xml:space="preserve">Lo statuto delle persone, che qui vincola più che altrove.</w:t>
      </w:r>
      <w:r>
        <w:rPr>
          <w:rFonts w:ascii="Barlow Semi Condensed" w:cs="Barlow Semi Condensed" w:eastAsia="Barlow Semi Condensed" w:hAnsi="Barlow Semi Condensed"/>
          <w:i w:val="false"/>
          <w:iCs w:val="false"/>
          <w:sz w:val="24"/>
          <w:szCs w:val="24"/>
        </w:rPr>
        <w:t xml:space="preserve"> Quest'opera nomina </w:t>
      </w:r>
      <w:r>
        <w:rPr>
          <w:rFonts w:ascii="Barlow Semi Condensed" w:cs="Barlow Semi Condensed" w:eastAsia="Barlow Semi Condensed" w:hAnsi="Barlow Semi Condensed"/>
          <w:b/>
          <w:bCs/>
          <w:i w:val="false"/>
          <w:iCs w:val="false"/>
          <w:sz w:val="24"/>
          <w:szCs w:val="24"/>
        </w:rPr>
        <w:t xml:space="preserve">persone viventi</w:t>
      </w:r>
      <w:r>
        <w:rPr>
          <w:rFonts w:ascii="Barlow Semi Condensed" w:cs="Barlow Semi Condensed" w:eastAsia="Barlow Semi Condensed" w:hAnsi="Barlow Semi Condensed"/>
          <w:i w:val="false"/>
          <w:iCs w:val="false"/>
          <w:sz w:val="24"/>
          <w:szCs w:val="24"/>
        </w:rPr>
        <w:t xml:space="preserve">. Vale perciò, rafforzata, la regola di ferro del corpus: </w:t>
      </w:r>
      <w:r>
        <w:rPr>
          <w:rFonts w:ascii="Barlow Semi Condensed" w:cs="Barlow Semi Condensed" w:eastAsia="Barlow Semi Condensed" w:hAnsi="Barlow Semi Condensed"/>
          <w:b/>
          <w:bCs/>
          <w:i w:val="false"/>
          <w:iCs w:val="false"/>
          <w:sz w:val="24"/>
          <w:szCs w:val="24"/>
        </w:rPr>
        <w:t xml:space="preserve">nessun blocco indica alcuno come responsabile di reato</w:t>
      </w:r>
      <w:r>
        <w:rPr>
          <w:rFonts w:ascii="Barlow Semi Condensed" w:cs="Barlow Semi Condensed" w:eastAsia="Barlow Semi Condensed" w:hAnsi="Barlow Semi Condensed"/>
          <w:i w:val="false"/>
          <w:iCs w:val="false"/>
          <w:sz w:val="24"/>
          <w:szCs w:val="24"/>
        </w:rPr>
        <w:t xml:space="preserve">; nessuno dei soggetti nominati risulta condannato in relazione ai fatti qui indagati, e il corpus si ferma al giudicato. I nomi compaiono </w:t>
      </w:r>
      <w:r>
        <w:rPr>
          <w:rFonts w:ascii="Barlow Semi Condensed" w:cs="Barlow Semi Condensed" w:eastAsia="Barlow Semi Condensed" w:hAnsi="Barlow Semi Condensed"/>
          <w:b/>
          <w:bCs/>
          <w:i w:val="false"/>
          <w:iCs w:val="false"/>
          <w:sz w:val="24"/>
          <w:szCs w:val="24"/>
        </w:rPr>
        <w:t xml:space="preserve">soltanto per fatti pubblici e documentabili</w:t>
      </w:r>
      <w:r>
        <w:rPr>
          <w:rFonts w:ascii="Barlow Semi Condensed" w:cs="Barlow Semi Condensed" w:eastAsia="Barlow Semi Condensed" w:hAnsi="Barlow Semi Condensed"/>
          <w:i w:val="false"/>
          <w:iCs w:val="false"/>
          <w:sz w:val="24"/>
          <w:szCs w:val="24"/>
        </w:rPr>
        <w:t xml:space="preserve"> — nascita, residenza, cittadinanza, impiego, parentela, dichiarazioni rese pubblicamente, atti societari depositati — e mai per condotte inferite. Valgono inoltre, e senza eccezione: l'appartenenza a un Paese, a una scuola, a un'azienda o a una famiglia </w:t>
      </w:r>
      <w:r>
        <w:rPr>
          <w:rFonts w:ascii="Barlow Semi Condensed" w:cs="Barlow Semi Condensed" w:eastAsia="Barlow Semi Condensed" w:hAnsi="Barlow Semi Condensed"/>
          <w:b/>
          <w:bCs/>
          <w:i w:val="false"/>
          <w:iCs w:val="false"/>
          <w:sz w:val="24"/>
          <w:szCs w:val="24"/>
        </w:rPr>
        <w:t xml:space="preserve">non è prova di condotta</w:t>
      </w:r>
      <w:r>
        <w:rPr>
          <w:rFonts w:ascii="Barlow Semi Condensed" w:cs="Barlow Semi Condensed" w:eastAsia="Barlow Semi Condensed" w:hAnsi="Barlow Semi Condensed"/>
          <w:i w:val="false"/>
          <w:iCs w:val="false"/>
          <w:sz w:val="24"/>
          <w:szCs w:val="24"/>
        </w:rPr>
        <w:t xml:space="preserve">; la contemporaneità </w:t>
      </w:r>
      <w:r>
        <w:rPr>
          <w:rFonts w:ascii="Barlow Semi Condensed" w:cs="Barlow Semi Condensed" w:eastAsia="Barlow Semi Condensed" w:hAnsi="Barlow Semi Condensed"/>
          <w:b/>
          <w:bCs/>
          <w:i w:val="false"/>
          <w:iCs w:val="false"/>
          <w:sz w:val="24"/>
          <w:szCs w:val="24"/>
        </w:rPr>
        <w:t xml:space="preserve">non è prova di nesso</w:t>
      </w:r>
      <w:r>
        <w:rPr>
          <w:rFonts w:ascii="Barlow Semi Condensed" w:cs="Barlow Semi Condensed" w:eastAsia="Barlow Semi Condensed" w:hAnsi="Barlow Semi Condensed"/>
          <w:i w:val="false"/>
          <w:iCs w:val="false"/>
          <w:sz w:val="24"/>
          <w:szCs w:val="24"/>
        </w:rPr>
        <w:t xml:space="preserve">; l'origine </w:t>
      </w:r>
      <w:r>
        <w:rPr>
          <w:rFonts w:ascii="Barlow Semi Condensed" w:cs="Barlow Semi Condensed" w:eastAsia="Barlow Semi Condensed" w:hAnsi="Barlow Semi Condensed"/>
          <w:b/>
          <w:bCs/>
          <w:i w:val="false"/>
          <w:iCs w:val="false"/>
          <w:sz w:val="24"/>
          <w:szCs w:val="24"/>
        </w:rPr>
        <w:t xml:space="preserve">non è una colpa</w:t>
      </w:r>
      <w:r>
        <w:rPr>
          <w:rFonts w:ascii="Barlow Semi Condensed" w:cs="Barlow Semi Condensed" w:eastAsia="Barlow Semi Condensed" w:hAnsi="Barlow Semi Condensed"/>
          <w:i w:val="false"/>
          <w:iCs w:val="false"/>
          <w:sz w:val="24"/>
          <w:szCs w:val="24"/>
        </w:rPr>
        <w:t xml:space="preserve">; le divergenze si riportano e non si scelgono in silenzio.</w:t>
      </w:r>
    </w:p>
    <w:p>
      <w:pPr>
        <w:pBdr>
          <w:left w:val="single" w:color="1F3864" w:sz="18" w:space="8"/>
        </w:pBdr>
        <w:spacing w:after="80" w:before="80"/>
        <w:ind w:left="360" w:right="360"/>
        <w:jc w:val="both"/>
      </w:pPr>
      <w:r>
        <w:rPr>
          <w:rFonts w:ascii="Barlow Semi Condensed" w:cs="Barlow Semi Condensed" w:eastAsia="Barlow Semi Condensed" w:hAnsi="Barlow Semi Condensed"/>
          <w:b/>
          <w:bCs/>
          <w:i w:val="false"/>
          <w:iCs w:val="false"/>
          <w:sz w:val="24"/>
          <w:szCs w:val="24"/>
        </w:rPr>
        <w:t xml:space="preserve">La regola dei tre piani, che è il metro dell'intera opera.</w:t>
      </w:r>
      <w:r>
        <w:rPr>
          <w:rFonts w:ascii="Barlow Semi Condensed" w:cs="Barlow Semi Condensed" w:eastAsia="Barlow Semi Condensed" w:hAnsi="Barlow Semi Condensed"/>
          <w:i w:val="false"/>
          <w:iCs w:val="false"/>
          <w:sz w:val="24"/>
          <w:szCs w:val="24"/>
        </w:rPr>
        <w:t xml:space="preserve"> </w:t>
      </w:r>
      <w:r>
        <w:rPr>
          <w:rFonts w:ascii="Barlow Semi Condensed" w:cs="Barlow Semi Condensed" w:eastAsia="Barlow Semi Condensed" w:hAnsi="Barlow Semi Condensed"/>
          <w:b/>
          <w:bCs/>
          <w:i w:val="false"/>
          <w:iCs w:val="false"/>
          <w:sz w:val="24"/>
          <w:szCs w:val="24"/>
        </w:rPr>
        <w:t xml:space="preserve">Piano 1</w:t>
      </w:r>
      <w:r>
        <w:rPr>
          <w:rFonts w:ascii="Barlow Semi Condensed" w:cs="Barlow Semi Condensed" w:eastAsia="Barlow Semi Condensed" w:hAnsi="Barlow Semi Condensed"/>
          <w:i w:val="false"/>
          <w:iCs w:val="false"/>
          <w:sz w:val="24"/>
          <w:szCs w:val="24"/>
        </w:rPr>
        <w:t xml:space="preserve">: rapporto diretto documentato — un atto, un registro, un contratto, un verbale che nomini le due parti. </w:t>
      </w:r>
      <w:r>
        <w:rPr>
          <w:rFonts w:ascii="Barlow Semi Condensed" w:cs="Barlow Semi Condensed" w:eastAsia="Barlow Semi Condensed" w:hAnsi="Barlow Semi Condensed"/>
          <w:b/>
          <w:bCs/>
          <w:i w:val="false"/>
          <w:iCs w:val="false"/>
          <w:sz w:val="24"/>
          <w:szCs w:val="24"/>
        </w:rPr>
        <w:t xml:space="preserve">Piano 2</w:t>
      </w:r>
      <w:r>
        <w:rPr>
          <w:rFonts w:ascii="Barlow Semi Condensed" w:cs="Barlow Semi Condensed" w:eastAsia="Barlow Semi Condensed" w:hAnsi="Barlow Semi Condensed"/>
          <w:i w:val="false"/>
          <w:iCs w:val="false"/>
          <w:sz w:val="24"/>
          <w:szCs w:val="24"/>
        </w:rPr>
        <w:t xml:space="preserve">: convergenza strutturale entro la stessa cornice — due fatti reali che condividono un ambiente e non un legame. </w:t>
      </w:r>
      <w:r>
        <w:rPr>
          <w:rFonts w:ascii="Barlow Semi Condensed" w:cs="Barlow Semi Condensed" w:eastAsia="Barlow Semi Condensed" w:hAnsi="Barlow Semi Condensed"/>
          <w:b/>
          <w:bCs/>
          <w:i w:val="false"/>
          <w:iCs w:val="false"/>
          <w:sz w:val="24"/>
          <w:szCs w:val="24"/>
        </w:rPr>
        <w:t xml:space="preserve">Piano 3</w:t>
      </w:r>
      <w:r>
        <w:rPr>
          <w:rFonts w:ascii="Barlow Semi Condensed" w:cs="Barlow Semi Condensed" w:eastAsia="Barlow Semi Condensed" w:hAnsi="Barlow Semi Condensed"/>
          <w:i w:val="false"/>
          <w:iCs w:val="false"/>
          <w:sz w:val="24"/>
          <w:szCs w:val="24"/>
        </w:rPr>
        <w:t xml:space="preserve">: affermazione terziaria priva di riscontro — la circolazione pubblica che si autocita. </w:t>
      </w:r>
      <w:r>
        <w:rPr>
          <w:rFonts w:ascii="Barlow Semi Condensed" w:cs="Barlow Semi Condensed" w:eastAsia="Barlow Semi Condensed" w:hAnsi="Barlow Semi Condensed"/>
          <w:i w:val="false"/>
          <w:iCs w:val="false"/>
          <w:sz w:val="24"/>
          <w:szCs w:val="24"/>
        </w:rPr>
        <w:t xml:space="preserve">Un ponte è reale solo al piano 1.</w:t>
      </w:r>
      <w:r>
        <w:rPr>
          <w:rFonts w:ascii="Barlow Semi Condensed" w:cs="Barlow Semi Condensed" w:eastAsia="Barlow Semi Condensed" w:hAnsi="Barlow Semi Condensed"/>
          <w:i w:val="false"/>
          <w:iCs w:val="false"/>
          <w:sz w:val="24"/>
          <w:szCs w:val="24"/>
        </w:rPr>
        <w:t xml:space="preserve"> I piani 2 e 3 si registrano come tali e </w:t>
      </w:r>
      <w:r>
        <w:rPr>
          <w:rFonts w:ascii="Barlow Semi Condensed" w:cs="Barlow Semi Condensed" w:eastAsia="Barlow Semi Condensed" w:hAnsi="Barlow Semi Condensed"/>
          <w:b/>
          <w:bCs/>
          <w:i w:val="false"/>
          <w:iCs w:val="false"/>
          <w:sz w:val="24"/>
          <w:szCs w:val="24"/>
        </w:rPr>
        <w:t xml:space="preserve">non si promuovono mai a nesso causale</w:t>
      </w:r>
      <w:r>
        <w:rPr>
          <w:rFonts w:ascii="Barlow Semi Condensed" w:cs="Barlow Semi Condensed" w:eastAsia="Barlow Semi Condensed" w:hAnsi="Barlow Semi Condensed"/>
          <w:i w:val="false"/>
          <w:iCs w:val="false"/>
          <w:sz w:val="24"/>
          <w:szCs w:val="24"/>
        </w:rPr>
        <w:t xml:space="preserve">. Vale infine lo </w:t>
      </w:r>
      <w:r>
        <w:rPr>
          <w:rFonts w:ascii="Barlow Semi Condensed" w:cs="Barlow Semi Condensed" w:eastAsia="Barlow Semi Condensed" w:hAnsi="Barlow Semi Condensed"/>
          <w:b/>
          <w:bCs/>
          <w:i w:val="false"/>
          <w:iCs w:val="false"/>
          <w:sz w:val="24"/>
          <w:szCs w:val="24"/>
        </w:rPr>
        <w:t xml:space="preserve">Stato Zero</w:t>
      </w:r>
      <w:r>
        <w:rPr>
          <w:rFonts w:ascii="Barlow Semi Condensed" w:cs="Barlow Semi Condensed" w:eastAsia="Barlow Semi Condensed" w:hAnsi="Barlow Semi Condensed"/>
          <w:i w:val="false"/>
          <w:iCs w:val="false"/>
          <w:sz w:val="24"/>
          <w:szCs w:val="24"/>
        </w:rPr>
        <w:t xml:space="preserve">: l'esito negativo è un'acquisizione di pieno valore, e si scrive sempre con la sede d'archivio che lo chiuderebbe.</w:t>
      </w:r>
    </w:p>
    <w:p>
      <w:pPr>
        <w:pBdr>
          <w:left w:val="single" w:color="1F3864" w:sz="18" w:space="8"/>
        </w:pBdr>
        <w:spacing w:after="80" w:before="80"/>
        <w:ind w:left="360" w:right="360"/>
        <w:jc w:val="both"/>
      </w:pPr>
      <w:r>
        <w:rPr>
          <w:rFonts w:ascii="Barlow Semi Condensed" w:cs="Barlow Semi Condensed" w:eastAsia="Barlow Semi Condensed" w:hAnsi="Barlow Semi Condensed"/>
          <w:b/>
          <w:bCs/>
          <w:i w:val="false"/>
          <w:iCs w:val="false"/>
          <w:sz w:val="24"/>
          <w:szCs w:val="24"/>
        </w:rPr>
        <w:t xml:space="preserve">Omologia e analogia, e perché qui la distinzione è tutto.</w:t>
      </w:r>
      <w:r>
        <w:rPr>
          <w:rFonts w:ascii="Barlow Semi Condensed" w:cs="Barlow Semi Condensed" w:eastAsia="Barlow Semi Condensed" w:hAnsi="Barlow Semi Condensed"/>
          <w:i w:val="false"/>
          <w:iCs w:val="false"/>
          <w:sz w:val="24"/>
          <w:szCs w:val="24"/>
        </w:rPr>
        <w:t xml:space="preserve"> Il corpus ha fissato altrove la coppia che qui governa ogni pagina: due strutture simili possono discendere da un antenato comune — </w:t>
      </w:r>
      <w:r>
        <w:rPr>
          <w:rFonts w:ascii="Barlow Semi Condensed" w:cs="Barlow Semi Condensed" w:eastAsia="Barlow Semi Condensed" w:hAnsi="Barlow Semi Condensed"/>
          <w:b/>
          <w:bCs/>
          <w:i w:val="false"/>
          <w:iCs w:val="false"/>
          <w:sz w:val="24"/>
          <w:szCs w:val="24"/>
        </w:rPr>
        <w:t xml:space="preserve">omologia</w:t>
      </w:r>
      <w:r>
        <w:rPr>
          <w:rFonts w:ascii="Barlow Semi Condensed" w:cs="Barlow Semi Condensed" w:eastAsia="Barlow Semi Condensed" w:hAnsi="Barlow Semi Condensed"/>
          <w:i w:val="false"/>
          <w:iCs w:val="false"/>
          <w:sz w:val="24"/>
          <w:szCs w:val="24"/>
        </w:rPr>
        <w:t xml:space="preserve"> — oppure essere convergenze indipendenti in ambienti simili — </w:t>
      </w:r>
      <w:r>
        <w:rPr>
          <w:rFonts w:ascii="Barlow Semi Condensed" w:cs="Barlow Semi Condensed" w:eastAsia="Barlow Semi Condensed" w:hAnsi="Barlow Semi Condensed"/>
          <w:b/>
          <w:bCs/>
          <w:i w:val="false"/>
          <w:iCs w:val="false"/>
          <w:sz w:val="24"/>
          <w:szCs w:val="24"/>
        </w:rPr>
        <w:t xml:space="preserve">analogia</w:t>
      </w:r>
      <w:r>
        <w:rPr>
          <w:rFonts w:ascii="Barlow Semi Condensed" w:cs="Barlow Semi Condensed" w:eastAsia="Barlow Semi Condensed" w:hAnsi="Barlow Semi Condensed"/>
          <w:i w:val="false"/>
          <w:iCs w:val="false"/>
          <w:sz w:val="24"/>
          <w:szCs w:val="24"/>
        </w:rPr>
        <w:t xml:space="preserve"> — e </w:t>
      </w:r>
      <w:r>
        <w:rPr>
          <w:rFonts w:ascii="Barlow Semi Condensed" w:cs="Barlow Semi Condensed" w:eastAsia="Barlow Semi Condensed" w:hAnsi="Barlow Semi Condensed"/>
          <w:i w:val="false"/>
          <w:iCs w:val="false"/>
          <w:sz w:val="24"/>
          <w:szCs w:val="24"/>
        </w:rPr>
        <w:t xml:space="preserve">dalla somiglianza del risultato non si deduce l'antenato</w:t>
      </w:r>
      <w:r>
        <w:rPr>
          <w:rFonts w:ascii="Barlow Semi Condensed" w:cs="Barlow Semi Condensed" w:eastAsia="Barlow Semi Condensed" w:hAnsi="Barlow Semi Condensed"/>
          <w:i w:val="false"/>
          <w:iCs w:val="false"/>
          <w:sz w:val="24"/>
          <w:szCs w:val="24"/>
        </w:rPr>
        <w:t xml:space="preserve">. Che un gruppo di persone nate o cresciute nell'Africa australe sotto un regime segregazionista sia poi confluito in una medesima impresa californiana è un </w:t>
      </w:r>
      <w:r>
        <w:rPr>
          <w:rFonts w:ascii="Barlow Semi Condensed" w:cs="Barlow Semi Condensed" w:eastAsia="Barlow Semi Condensed" w:hAnsi="Barlow Semi Condensed"/>
          <w:b/>
          <w:bCs/>
          <w:i w:val="false"/>
          <w:iCs w:val="false"/>
          <w:sz w:val="24"/>
          <w:szCs w:val="24"/>
        </w:rPr>
        <w:t xml:space="preserve">fatto</w:t>
      </w:r>
      <w:r>
        <w:rPr>
          <w:rFonts w:ascii="Barlow Semi Condensed" w:cs="Barlow Semi Condensed" w:eastAsia="Barlow Semi Condensed" w:hAnsi="Barlow Semi Condensed"/>
          <w:i w:val="false"/>
          <w:iCs w:val="false"/>
          <w:sz w:val="24"/>
          <w:szCs w:val="24"/>
        </w:rPr>
        <w:t xml:space="preserve">; che ne discenda una trasmissione di dottrina è un'</w:t>
      </w:r>
      <w:r>
        <w:rPr>
          <w:rFonts w:ascii="Barlow Semi Condensed" w:cs="Barlow Semi Condensed" w:eastAsia="Barlow Semi Condensed" w:hAnsi="Barlow Semi Condensed"/>
          <w:b/>
          <w:bCs/>
          <w:i w:val="false"/>
          <w:iCs w:val="false"/>
          <w:sz w:val="24"/>
          <w:szCs w:val="24"/>
        </w:rPr>
        <w:t xml:space="preserve">ipotesi</w:t>
      </w:r>
      <w:r>
        <w:rPr>
          <w:rFonts w:ascii="Barlow Semi Condensed" w:cs="Barlow Semi Condensed" w:eastAsia="Barlow Semi Condensed" w:hAnsi="Barlow Semi Condensed"/>
          <w:i w:val="false"/>
          <w:iCs w:val="false"/>
          <w:sz w:val="24"/>
          <w:szCs w:val="24"/>
        </w:rPr>
        <w:t xml:space="preserve">, e il test è uno solo e non è retorico: un documento di provenienza che nomini la controparte. Dove manca, si registra una convergenza e ci si ferma.</w:t>
      </w:r>
    </w:p>
    <w:p>
      <w:pPr>
        <w:pBdr>
          <w:left w:val="single" w:color="1F3864" w:sz="18" w:space="8"/>
        </w:pBdr>
        <w:spacing w:after="80" w:before="80"/>
        <w:ind w:left="360" w:right="360"/>
        <w:jc w:val="both"/>
      </w:pPr>
      <w:r>
        <w:rPr>
          <w:rFonts w:ascii="Barlow Semi Condensed" w:cs="Barlow Semi Condensed" w:eastAsia="Barlow Semi Condensed" w:hAnsi="Barlow Semi Condensed"/>
          <w:b/>
          <w:bCs/>
          <w:i w:val="false"/>
          <w:iCs w:val="false"/>
          <w:sz w:val="24"/>
          <w:szCs w:val="24"/>
        </w:rPr>
        <w:t xml:space="preserve">Un avvertimento sulle fonti, che va messo in copertina perché qui pesa più che altrove.</w:t>
      </w:r>
      <w:r>
        <w:rPr>
          <w:rFonts w:ascii="Barlow Semi Condensed" w:cs="Barlow Semi Condensed" w:eastAsia="Barlow Semi Condensed" w:hAnsi="Barlow Semi Condensed"/>
          <w:i w:val="false"/>
          <w:iCs w:val="false"/>
          <w:sz w:val="24"/>
          <w:szCs w:val="24"/>
        </w:rPr>
        <w:t xml:space="preserve"> Su questa materia </w:t>
      </w:r>
      <w:r>
        <w:rPr>
          <w:rFonts w:ascii="Barlow Semi Condensed" w:cs="Barlow Semi Condensed" w:eastAsia="Barlow Semi Condensed" w:hAnsi="Barlow Semi Condensed"/>
          <w:b/>
          <w:bCs/>
          <w:i w:val="false"/>
          <w:iCs w:val="false"/>
          <w:sz w:val="24"/>
          <w:szCs w:val="24"/>
        </w:rPr>
        <w:t xml:space="preserve">la letteratura in rete è inquinata in modo eccezionale</w:t>
      </w:r>
      <w:r>
        <w:rPr>
          <w:rFonts w:ascii="Barlow Semi Condensed" w:cs="Barlow Semi Condensed" w:eastAsia="Barlow Semi Condensed" w:hAnsi="Barlow Semi Condensed"/>
          <w:i w:val="false"/>
          <w:iCs w:val="false"/>
          <w:sz w:val="24"/>
          <w:szCs w:val="24"/>
        </w:rPr>
        <w:t xml:space="preserve">. Le stesse formulazioni ricorrono identiche su decine di siti militanti — d'accusa e di difesa — senza che alcuno di essi aggiunga un documento; il numero delle ripetizioni non aggiunge valore probatorio, ed è replicazione senza informazione nuova. Restano perciò </w:t>
      </w:r>
      <w:r>
        <w:rPr>
          <w:rFonts w:ascii="Barlow Semi Condensed" w:cs="Barlow Semi Condensed" w:eastAsia="Barlow Semi Condensed" w:hAnsi="Barlow Semi Condensed"/>
          <w:b/>
          <w:bCs/>
          <w:i w:val="false"/>
          <w:iCs w:val="false"/>
          <w:sz w:val="24"/>
          <w:szCs w:val="24"/>
        </w:rPr>
        <w:t xml:space="preserve">escluse come fonti citabili</w:t>
      </w:r>
      <w:r>
        <w:rPr>
          <w:rFonts w:ascii="Barlow Semi Condensed" w:cs="Barlow Semi Condensed" w:eastAsia="Barlow Semi Condensed" w:hAnsi="Barlow Semi Condensed"/>
          <w:i w:val="false"/>
          <w:iCs w:val="false"/>
          <w:sz w:val="24"/>
          <w:szCs w:val="24"/>
        </w:rPr>
        <w:t xml:space="preserve">, per decisione del committente già vigente nel corpus, </w:t>
      </w:r>
      <w:r>
        <w:rPr>
          <w:rFonts w:ascii="Barlow Semi Condensed" w:cs="Barlow Semi Condensed" w:eastAsia="Barlow Semi Condensed" w:hAnsi="Barlow Semi Condensed"/>
          <w:i w:val="false"/>
          <w:iCs w:val="false"/>
          <w:sz w:val="24"/>
          <w:szCs w:val="24"/>
        </w:rPr>
        <w:t xml:space="preserve">il manifesto</w:t>
      </w:r>
      <w:r>
        <w:rPr>
          <w:rFonts w:ascii="Barlow Semi Condensed" w:cs="Barlow Semi Condensed" w:eastAsia="Barlow Semi Condensed" w:hAnsi="Barlow Semi Condensed"/>
          <w:i w:val="false"/>
          <w:iCs w:val="false"/>
          <w:sz w:val="24"/>
          <w:szCs w:val="24"/>
        </w:rPr>
        <w:t xml:space="preserve"> e </w:t>
      </w:r>
      <w:r>
        <w:rPr>
          <w:rFonts w:ascii="Barlow Semi Condensed" w:cs="Barlow Semi Condensed" w:eastAsia="Barlow Semi Condensed" w:hAnsi="Barlow Semi Condensed"/>
          <w:b/>
          <w:bCs/>
          <w:i w:val="false"/>
          <w:iCs w:val="false"/>
          <w:sz w:val="24"/>
          <w:szCs w:val="24"/>
        </w:rPr>
        <w:t xml:space="preserve">Grokipedia</w:t>
      </w:r>
      <w:r>
        <w:rPr>
          <w:rFonts w:ascii="Barlow Semi Condensed" w:cs="Barlow Semi Condensed" w:eastAsia="Barlow Semi Condensed" w:hAnsi="Barlow Semi Condensed"/>
          <w:i w:val="false"/>
          <w:iCs w:val="false"/>
          <w:sz w:val="24"/>
          <w:szCs w:val="24"/>
        </w:rPr>
        <w:t xml:space="preserve"> — quest'ultima con una ragione ulteriore e propria di quest'opera: sul tema qui trattato </w:t>
      </w:r>
      <w:r>
        <w:rPr>
          <w:rFonts w:ascii="Barlow Semi Condensed" w:cs="Barlow Semi Condensed" w:eastAsia="Barlow Semi Condensed" w:hAnsi="Barlow Semi Condensed"/>
          <w:b/>
          <w:bCs/>
          <w:i w:val="false"/>
          <w:iCs w:val="false"/>
          <w:sz w:val="24"/>
          <w:szCs w:val="24"/>
        </w:rPr>
        <w:t xml:space="preserve">è parte in causa</w:t>
      </w:r>
      <w:r>
        <w:rPr>
          <w:rFonts w:ascii="Barlow Semi Condensed" w:cs="Barlow Semi Condensed" w:eastAsia="Barlow Semi Condensed" w:hAnsi="Barlow Semi Condensed"/>
          <w:i w:val="false"/>
          <w:iCs w:val="false"/>
          <w:sz w:val="24"/>
          <w:szCs w:val="24"/>
        </w:rPr>
        <w:t xml:space="preserve">, essendo espressione della società di uno dei soggetti nominati. Un'enciclopedia scritta da un interessato non è una fonte terza, quale che ne sia la qualità.</w:t>
      </w:r>
    </w:p>
    <w:p>
      <w:pPr>
        <w:pBdr>
          <w:left w:val="single" w:color="1F3864" w:sz="18" w:space="8"/>
        </w:pBdr>
        <w:spacing w:after="80" w:before="80"/>
        <w:ind w:left="360" w:right="360"/>
        <w:jc w:val="both"/>
      </w:pPr>
      <w:r>
        <w:rPr>
          <w:rFonts w:ascii="Barlow Semi Condensed" w:cs="Barlow Semi Condensed" w:eastAsia="Barlow Semi Condensed" w:hAnsi="Barlow Semi Condensed"/>
          <w:b/>
          <w:bCs/>
          <w:i w:val="false"/>
          <w:iCs w:val="false"/>
          <w:sz w:val="24"/>
          <w:szCs w:val="24"/>
        </w:rPr>
        <w:t xml:space="preserve">I quattro ancoraggi verificati in apertura.</w:t>
      </w:r>
      <w:r>
        <w:rPr>
          <w:rFonts w:ascii="Barlow Semi Condensed" w:cs="Barlow Semi Condensed" w:eastAsia="Barlow Semi Condensed" w:hAnsi="Barlow Semi Condensed"/>
          <w:i w:val="false"/>
          <w:iCs w:val="false"/>
          <w:sz w:val="24"/>
          <w:szCs w:val="24"/>
        </w:rPr>
        <w:t xml:space="preserve"> Prima di aprire le serie si fissa il poco che è solido, perché su questo non si congettura. </w:t>
      </w:r>
      <w:r>
        <w:rPr>
          <w:rFonts w:ascii="Barlow Semi Condensed" w:cs="Barlow Semi Condensed" w:eastAsia="Barlow Semi Condensed" w:hAnsi="Barlow Semi Condensed"/>
          <w:b/>
          <w:bCs/>
          <w:i w:val="false"/>
          <w:iCs w:val="false"/>
          <w:sz w:val="24"/>
          <w:szCs w:val="24"/>
        </w:rPr>
        <w:t xml:space="preserve">Primo</w:t>
      </w:r>
      <w:r>
        <w:rPr>
          <w:rFonts w:ascii="Barlow Semi Condensed" w:cs="Barlow Semi Condensed" w:eastAsia="Barlow Semi Condensed" w:hAnsi="Barlow Semi Condensed"/>
          <w:i w:val="false"/>
          <w:iCs w:val="false"/>
          <w:sz w:val="24"/>
          <w:szCs w:val="24"/>
        </w:rPr>
        <w:t xml:space="preserve">: Roelof Botha, direttore finanziario di PayPal e poi socio e managing partner di Sequoia Capital, </w:t>
      </w:r>
      <w:r>
        <w:rPr>
          <w:rFonts w:ascii="Barlow Semi Condensed" w:cs="Barlow Semi Condensed" w:eastAsia="Barlow Semi Condensed" w:hAnsi="Barlow Semi Condensed"/>
          <w:b/>
          <w:bCs/>
          <w:i w:val="false"/>
          <w:iCs w:val="false"/>
          <w:sz w:val="24"/>
          <w:szCs w:val="24"/>
        </w:rPr>
        <w:t xml:space="preserve">è nipote di Pik Botha</w:t>
      </w:r>
      <w:r>
        <w:rPr>
          <w:rFonts w:ascii="Barlow Semi Condensed" w:cs="Barlow Semi Condensed" w:eastAsia="Barlow Semi Condensed" w:hAnsi="Barlow Semi Condensed"/>
          <w:i w:val="false"/>
          <w:iCs w:val="false"/>
          <w:sz w:val="24"/>
          <w:szCs w:val="24"/>
        </w:rPr>
        <w:t xml:space="preserve"> — Roelof Frederik Botha, ministro degli Esteri sudafricano dal 1977 al 1994, il più longevo della storia del Paese, poi ministro delle Miniere e dell'Energia nel primo governo Mandela. È </w:t>
      </w:r>
      <w:r>
        <w:rPr>
          <w:rFonts w:ascii="Barlow Semi Condensed" w:cs="Barlow Semi Condensed" w:eastAsia="Barlow Semi Condensed" w:hAnsi="Barlow Semi Condensed"/>
          <w:b/>
          <w:bCs/>
          <w:i w:val="false"/>
          <w:iCs w:val="false"/>
          <w:sz w:val="24"/>
          <w:szCs w:val="24"/>
        </w:rPr>
        <w:t xml:space="preserve">piano 1</w:t>
      </w:r>
      <w:r>
        <w:rPr>
          <w:rFonts w:ascii="Barlow Semi Condensed" w:cs="Barlow Semi Condensed" w:eastAsia="Barlow Semi Condensed" w:hAnsi="Barlow Semi Condensed"/>
          <w:i w:val="false"/>
          <w:iCs w:val="false"/>
          <w:sz w:val="24"/>
          <w:szCs w:val="24"/>
        </w:rPr>
        <w:t xml:space="preserve">: parentela documentata. </w:t>
      </w:r>
      <w:r>
        <w:rPr>
          <w:rFonts w:ascii="Barlow Semi Condensed" w:cs="Barlow Semi Condensed" w:eastAsia="Barlow Semi Condensed" w:hAnsi="Barlow Semi Condensed"/>
          <w:b/>
          <w:bCs/>
          <w:i w:val="false"/>
          <w:iCs w:val="false"/>
          <w:sz w:val="24"/>
          <w:szCs w:val="24"/>
        </w:rPr>
        <w:t xml:space="preserve">Secondo</w:t>
      </w:r>
      <w:r>
        <w:rPr>
          <w:rFonts w:ascii="Barlow Semi Condensed" w:cs="Barlow Semi Condensed" w:eastAsia="Barlow Semi Condensed" w:hAnsi="Barlow Semi Condensed"/>
          <w:i w:val="false"/>
          <w:iCs w:val="false"/>
          <w:sz w:val="24"/>
          <w:szCs w:val="24"/>
        </w:rPr>
        <w:t xml:space="preserve">: Peter Thiel, nato a Francoforte nel 1967, visse con la famiglia a </w:t>
      </w:r>
      <w:r>
        <w:rPr>
          <w:rFonts w:ascii="Barlow Semi Condensed" w:cs="Barlow Semi Condensed" w:eastAsia="Barlow Semi Condensed" w:hAnsi="Barlow Semi Condensed"/>
          <w:b/>
          <w:bCs/>
          <w:i w:val="false"/>
          <w:iCs w:val="false"/>
          <w:sz w:val="24"/>
          <w:szCs w:val="24"/>
        </w:rPr>
        <w:t xml:space="preserve">Swakopmund</w:t>
      </w:r>
      <w:r>
        <w:rPr>
          <w:rFonts w:ascii="Barlow Semi Condensed" w:cs="Barlow Semi Condensed" w:eastAsia="Barlow Semi Condensed" w:hAnsi="Barlow Semi Condensed"/>
          <w:i w:val="false"/>
          <w:iCs w:val="false"/>
          <w:sz w:val="24"/>
          <w:szCs w:val="24"/>
        </w:rPr>
        <w:t xml:space="preserve">, nell'Africa del Sud-Ovest allora amministrata dal Sud Africa, negli anni della costruzione della miniera di uranio di Rössing, dove il padre — ingegnere chimico — lavorava per un'impresa del cantiere. </w:t>
      </w:r>
      <w:r>
        <w:rPr>
          <w:rFonts w:ascii="Barlow Semi Condensed" w:cs="Barlow Semi Condensed" w:eastAsia="Barlow Semi Condensed" w:hAnsi="Barlow Semi Condensed"/>
          <w:b/>
          <w:bCs/>
          <w:i w:val="false"/>
          <w:iCs w:val="false"/>
          <w:sz w:val="24"/>
          <w:szCs w:val="24"/>
        </w:rPr>
        <w:t xml:space="preserve">Terzo</w:t>
      </w:r>
      <w:r>
        <w:rPr>
          <w:rFonts w:ascii="Barlow Semi Condensed" w:cs="Barlow Semi Condensed" w:eastAsia="Barlow Semi Condensed" w:hAnsi="Barlow Semi Condensed"/>
          <w:i w:val="false"/>
          <w:iCs w:val="false"/>
          <w:sz w:val="24"/>
          <w:szCs w:val="24"/>
        </w:rPr>
        <w:t xml:space="preserve">: Joshua Norman Haldeman, nonno materno di Elon Musk, canadese, aderente al movimento </w:t>
      </w:r>
      <w:r>
        <w:rPr>
          <w:rFonts w:ascii="Barlow Semi Condensed" w:cs="Barlow Semi Condensed" w:eastAsia="Barlow Semi Condensed" w:hAnsi="Barlow Semi Condensed"/>
          <w:b/>
          <w:bCs/>
          <w:i w:val="false"/>
          <w:iCs w:val="false"/>
          <w:sz w:val="24"/>
          <w:szCs w:val="24"/>
        </w:rPr>
        <w:t xml:space="preserve">Technocracy</w:t>
      </w:r>
      <w:r>
        <w:rPr>
          <w:rFonts w:ascii="Barlow Semi Condensed" w:cs="Barlow Semi Condensed" w:eastAsia="Barlow Semi Condensed" w:hAnsi="Barlow Semi Condensed"/>
          <w:i w:val="false"/>
          <w:iCs w:val="false"/>
          <w:sz w:val="24"/>
          <w:szCs w:val="24"/>
        </w:rPr>
        <w:t xml:space="preserve">, emigrò in Sud Africa nel 1950 e vi sostenne pubblicamente l'apartheid. </w:t>
      </w:r>
      <w:r>
        <w:rPr>
          <w:rFonts w:ascii="Barlow Semi Condensed" w:cs="Barlow Semi Condensed" w:eastAsia="Barlow Semi Condensed" w:hAnsi="Barlow Semi Condensed"/>
          <w:b/>
          <w:bCs/>
          <w:i w:val="false"/>
          <w:iCs w:val="false"/>
          <w:sz w:val="24"/>
          <w:szCs w:val="24"/>
        </w:rPr>
        <w:t xml:space="preserve">Quarto</w:t>
      </w:r>
      <w:r>
        <w:rPr>
          <w:rFonts w:ascii="Barlow Semi Condensed" w:cs="Barlow Semi Condensed" w:eastAsia="Barlow Semi Condensed" w:hAnsi="Barlow Semi Condensed"/>
          <w:i w:val="false"/>
          <w:iCs w:val="false"/>
          <w:sz w:val="24"/>
          <w:szCs w:val="24"/>
        </w:rPr>
        <w:t xml:space="preserve">: la locuzione «PayPal Mafia» </w:t>
      </w:r>
      <w:r>
        <w:rPr>
          <w:rFonts w:ascii="Barlow Semi Condensed" w:cs="Barlow Semi Condensed" w:eastAsia="Barlow Semi Condensed" w:hAnsi="Barlow Semi Condensed"/>
          <w:b/>
          <w:bCs/>
          <w:i w:val="false"/>
          <w:iCs w:val="false"/>
          <w:sz w:val="24"/>
          <w:szCs w:val="24"/>
        </w:rPr>
        <w:t xml:space="preserve">non è un'autodefinizione</w:t>
      </w:r>
      <w:r>
        <w:rPr>
          <w:rFonts w:ascii="Barlow Semi Condensed" w:cs="Barlow Semi Condensed" w:eastAsia="Barlow Semi Condensed" w:hAnsi="Barlow Semi Condensed"/>
          <w:i w:val="false"/>
          <w:iCs w:val="false"/>
          <w:sz w:val="24"/>
          <w:szCs w:val="24"/>
        </w:rPr>
        <w:t xml:space="preserve">: nasce da un servizio di copertina di </w:t>
      </w:r>
      <w:r>
        <w:rPr>
          <w:rFonts w:ascii="Barlow Semi Condensed" w:cs="Barlow Semi Condensed" w:eastAsia="Barlow Semi Condensed" w:hAnsi="Barlow Semi Condensed"/>
          <w:i w:val="false"/>
          <w:iCs w:val="false"/>
          <w:sz w:val="24"/>
          <w:szCs w:val="24"/>
        </w:rPr>
        <w:t xml:space="preserve">Fortune</w:t>
      </w:r>
      <w:r>
        <w:rPr>
          <w:rFonts w:ascii="Barlow Semi Condensed" w:cs="Barlow Semi Condensed" w:eastAsia="Barlow Semi Condensed" w:hAnsi="Barlow Semi Condensed"/>
          <w:i w:val="false"/>
          <w:iCs w:val="false"/>
          <w:sz w:val="24"/>
          <w:szCs w:val="24"/>
        </w:rPr>
        <w:t xml:space="preserve"> del novembre 2007, con una fotografia di gruppo alla quale </w:t>
      </w:r>
      <w:r>
        <w:rPr>
          <w:rFonts w:ascii="Barlow Semi Condensed" w:cs="Barlow Semi Condensed" w:eastAsia="Barlow Semi Condensed" w:hAnsi="Barlow Semi Condensed"/>
          <w:b/>
          <w:bCs/>
          <w:i w:val="false"/>
          <w:iCs w:val="false"/>
          <w:sz w:val="24"/>
          <w:szCs w:val="24"/>
        </w:rPr>
        <w:t xml:space="preserve">Elon Musk non partecipò</w:t>
      </w:r>
      <w:r>
        <w:rPr>
          <w:rFonts w:ascii="Barlow Semi Condensed" w:cs="Barlow Semi Condensed" w:eastAsia="Barlow Semi Condensed" w:hAnsi="Barlow Semi Condensed"/>
          <w:i w:val="false"/>
          <w:iCs w:val="false"/>
          <w:sz w:val="24"/>
          <w:szCs w:val="24"/>
        </w:rPr>
        <w:t xml:space="preserve">.</w:t>
      </w:r>
    </w:p>
    <w:p>
      <w:pPr>
        <w:pBdr>
          <w:left w:val="single" w:color="1F3864" w:sz="18" w:space="8"/>
        </w:pBdr>
        <w:spacing w:after="80" w:before="80"/>
        <w:ind w:left="360" w:right="360"/>
        <w:jc w:val="both"/>
      </w:pPr>
      <w:r>
        <w:rPr>
          <w:rFonts w:ascii="Barlow Semi Condensed" w:cs="Barlow Semi Condensed" w:eastAsia="Barlow Semi Condensed" w:hAnsi="Barlow Semi Condensed"/>
          <w:b/>
          <w:bCs/>
          <w:i w:val="false"/>
          <w:iCs w:val="false"/>
          <w:sz w:val="24"/>
          <w:szCs w:val="24"/>
        </w:rPr>
        <w:t xml:space="preserve">E la prima trappola, che è già nel quarto ancoraggio.</w:t>
      </w:r>
      <w:r>
        <w:rPr>
          <w:rFonts w:ascii="Barlow Semi Condensed" w:cs="Barlow Semi Condensed" w:eastAsia="Barlow Semi Condensed" w:hAnsi="Barlow Semi Condensed"/>
          <w:i w:val="false"/>
          <w:iCs w:val="false"/>
          <w:sz w:val="24"/>
          <w:szCs w:val="24"/>
        </w:rPr>
        <w:t xml:space="preserve"> L'immagine fondativa del gruppo non contiene uno dei due nomi che il committente ha posto al centro della domanda. Il dettaglio non smentisce nulla — Musk fu cofondatore e maggiore azionista individuale della società — ma insegna subito il metodo: </w:t>
      </w:r>
      <w:r>
        <w:rPr>
          <w:rFonts w:ascii="Barlow Semi Condensed" w:cs="Barlow Semi Condensed" w:eastAsia="Barlow Semi Condensed" w:hAnsi="Barlow Semi Condensed"/>
          <w:b/>
          <w:bCs/>
          <w:i w:val="false"/>
          <w:iCs w:val="false"/>
          <w:sz w:val="24"/>
          <w:szCs w:val="24"/>
        </w:rPr>
        <w:t xml:space="preserve">la categoria «PayPal Mafia» è una costruzione giornalistica del 2007</w:t>
      </w:r>
      <w:r>
        <w:rPr>
          <w:rFonts w:ascii="Barlow Semi Condensed" w:cs="Barlow Semi Condensed" w:eastAsia="Barlow Semi Condensed" w:hAnsi="Barlow Semi Condensed"/>
          <w:i w:val="false"/>
          <w:iCs w:val="false"/>
          <w:sz w:val="24"/>
          <w:szCs w:val="24"/>
        </w:rPr>
        <w:t xml:space="preserve">, non un ente con atto costitutivo, e chi la tratta come un soggetto unitario ha già commesso il primo errore di questa materia. Ogni blocco che la usa deve dire di chi parla, nominando le persone, e mai «il gruppo».</w:t>
      </w:r>
    </w:p>
    <w:p>
      <w:pPr>
        <w:pBdr>
          <w:left w:val="single" w:color="1F3864" w:sz="18" w:space="8"/>
        </w:pBdr>
        <w:spacing w:after="80" w:before="80"/>
        <w:ind w:left="360" w:right="360"/>
        <w:jc w:val="both"/>
      </w:pPr>
      <w:r>
        <w:rPr>
          <w:rFonts w:ascii="Barlow Semi Condensed" w:cs="Barlow Semi Condensed" w:eastAsia="Barlow Semi Condensed" w:hAnsi="Barlow Semi Condensed"/>
          <w:b/>
          <w:bCs/>
          <w:i w:val="false"/>
          <w:iCs w:val="false"/>
          <w:sz w:val="24"/>
          <w:szCs w:val="24"/>
        </w:rPr>
        <w:t xml:space="preserve">Perché quest'opera sta dentro l'Opera integrale, e con quale riserva.</w:t>
      </w:r>
      <w:r>
        <w:rPr>
          <w:rFonts w:ascii="Barlow Semi Condensed" w:cs="Barlow Semi Condensed" w:eastAsia="Barlow Semi Condensed" w:hAnsi="Barlow Semi Condensed"/>
          <w:i w:val="false"/>
          <w:iCs w:val="false"/>
          <w:sz w:val="24"/>
          <w:szCs w:val="24"/>
        </w:rPr>
        <w:t xml:space="preserve"> Il committente ha disposto che questi mille blocchi entrino nel volume maggiore del corpus come </w:t>
      </w:r>
      <w:r>
        <w:rPr>
          <w:rFonts w:ascii="Barlow Semi Condensed" w:cs="Barlow Semi Condensed" w:eastAsia="Barlow Semi Condensed" w:hAnsi="Barlow Semi Condensed"/>
          <w:b/>
          <w:bCs/>
          <w:i w:val="false"/>
          <w:iCs w:val="false"/>
          <w:sz w:val="24"/>
          <w:szCs w:val="24"/>
        </w:rPr>
        <w:t xml:space="preserve">Libro quattordicesimo</w:t>
      </w:r>
      <w:r>
        <w:rPr>
          <w:rFonts w:ascii="Barlow Semi Condensed" w:cs="Barlow Semi Condensed" w:eastAsia="Barlow Semi Condensed" w:hAnsi="Barlow Semi Condensed"/>
          <w:i w:val="false"/>
          <w:iCs w:val="false"/>
          <w:sz w:val="24"/>
          <w:szCs w:val="24"/>
        </w:rPr>
        <w:t xml:space="preserve">, sotto il titolo che quel volume porta in copertina: «Ottanta anni senza Pace» (che dal 26 agosto 2026 sostituisce «La Seconda Guerra Mondiale non ha mai avuto fine», con la stessa disciplina: lente e non sentenza). </w:t>
      </w:r>
      <w:r>
        <w:rPr>
          <w:rFonts w:ascii="Barlow Semi Condensed" w:cs="Barlow Semi Condensed" w:eastAsia="Barlow Semi Condensed" w:hAnsi="Barlow Semi Condensed"/>
          <w:i w:val="false"/>
          <w:iCs w:val="false"/>
          <w:sz w:val="24"/>
          <w:szCs w:val="24"/>
        </w:rPr>
        <w:t xml:space="preserve">(La disposizione originaria diceva «Libro tredicesimo»: il numero è slittato di uno il 26 agosto 2026, quando il Dossier maggiore dell'autore è stato inserito come Libro quarto. Cambia la posizione, non la disposizione.)</w:t>
      </w:r>
      <w:r>
        <w:rPr>
          <w:rFonts w:ascii="Barlow Semi Condensed" w:cs="Barlow Semi Condensed" w:eastAsia="Barlow Semi Condensed" w:hAnsi="Barlow Semi Condensed"/>
          <w:i w:val="false"/>
          <w:iCs w:val="false"/>
          <w:sz w:val="24"/>
          <w:szCs w:val="24"/>
        </w:rPr>
        <w:t xml:space="preserve"> La disposizione si esegue e si dichiara, insieme al suo limite. Il raccordo è </w:t>
      </w:r>
      <w:r>
        <w:rPr>
          <w:rFonts w:ascii="Barlow Semi Condensed" w:cs="Barlow Semi Condensed" w:eastAsia="Barlow Semi Condensed" w:hAnsi="Barlow Semi Condensed"/>
          <w:b/>
          <w:bCs/>
          <w:i w:val="false"/>
          <w:iCs w:val="false"/>
          <w:sz w:val="24"/>
          <w:szCs w:val="24"/>
        </w:rPr>
        <w:t xml:space="preserve">tematico e non documentale</w:t>
      </w:r>
      <w:r>
        <w:rPr>
          <w:rFonts w:ascii="Barlow Semi Condensed" w:cs="Barlow Semi Condensed" w:eastAsia="Barlow Semi Condensed" w:hAnsi="Barlow Semi Condensed"/>
          <w:i w:val="false"/>
          <w:iCs w:val="false"/>
          <w:sz w:val="24"/>
          <w:szCs w:val="24"/>
        </w:rPr>
        <w:t xml:space="preserve">: l'apartheid come prosecuzione australe della guerra fredda appartiene alla stessa lente che intesta l'opera-madre, ed è una lente. </w:t>
      </w:r>
      <w:r>
        <w:rPr>
          <w:rFonts w:ascii="Barlow Semi Condensed" w:cs="Barlow Semi Condensed" w:eastAsia="Barlow Semi Condensed" w:hAnsi="Barlow Semi Condensed"/>
          <w:b/>
          <w:bCs/>
          <w:i w:val="false"/>
          <w:iCs w:val="false"/>
          <w:sz w:val="24"/>
          <w:szCs w:val="24"/>
        </w:rPr>
        <w:t xml:space="preserve">Nessun documento noto collega il caso Moro alle vicende qui trattate</w:t>
      </w:r>
      <w:r>
        <w:rPr>
          <w:rFonts w:ascii="Barlow Semi Condensed" w:cs="Barlow Semi Condensed" w:eastAsia="Barlow Semi Condensed" w:hAnsi="Barlow Semi Condensed"/>
          <w:i w:val="false"/>
          <w:iCs w:val="false"/>
          <w:sz w:val="24"/>
          <w:szCs w:val="24"/>
        </w:rPr>
        <w:t xml:space="preserve">, e nessun blocco di questo Libro lo insinua.  La ricognizione meccanica sul corpus, eseguita prima di scrivere questa riga, dà </w:t>
      </w:r>
      <w:r>
        <w:rPr>
          <w:rFonts w:ascii="Barlow Semi Condensed" w:cs="Barlow Semi Condensed" w:eastAsia="Barlow Semi Condensed" w:hAnsi="Barlow Semi Condensed"/>
          <w:b/>
          <w:bCs/>
          <w:i w:val="false"/>
          <w:iCs w:val="false"/>
          <w:sz w:val="24"/>
          <w:szCs w:val="24"/>
        </w:rPr>
        <w:t xml:space="preserve">zero occorrenze</w:t>
      </w:r>
      <w:r>
        <w:rPr>
          <w:rFonts w:ascii="Barlow Semi Condensed" w:cs="Barlow Semi Condensed" w:eastAsia="Barlow Semi Condensed" w:hAnsi="Barlow Semi Condensed"/>
          <w:i w:val="false"/>
          <w:iCs w:val="false"/>
          <w:sz w:val="24"/>
          <w:szCs w:val="24"/>
        </w:rPr>
        <w:t xml:space="preserve"> per Musk, Thiel, Botha, PayPal, Silicon Valley, Namibia e «Sud Africa» in tutti gli altri Libri. Ma </w:t>
      </w:r>
      <w:r>
        <w:rPr>
          <w:rFonts w:ascii="Barlow Semi Condensed" w:cs="Barlow Semi Condensed" w:eastAsia="Barlow Semi Condensed" w:hAnsi="Barlow Semi Condensed"/>
          <w:b/>
          <w:bCs/>
          <w:i w:val="false"/>
          <w:iCs w:val="false"/>
          <w:sz w:val="24"/>
          <w:szCs w:val="24"/>
        </w:rPr>
        <w:t xml:space="preserve">non dà zero per «apartheid»</w:t>
      </w:r>
      <w:r>
        <w:rPr>
          <w:rFonts w:ascii="Barlow Semi Condensed" w:cs="Barlow Semi Condensed" w:eastAsia="Barlow Semi Condensed" w:hAnsi="Barlow Semi Condensed"/>
          <w:i w:val="false"/>
          <w:iCs w:val="false"/>
          <w:sz w:val="24"/>
          <w:szCs w:val="24"/>
        </w:rPr>
        <w:t xml:space="preserve">, e la precisazione vale più dell'esito che mi aspettavo: il termine compare due volte, e una delle due è un </w:t>
      </w:r>
      <w:r>
        <w:rPr>
          <w:rFonts w:ascii="Barlow Semi Condensed" w:cs="Barlow Semi Condensed" w:eastAsia="Barlow Semi Condensed" w:hAnsi="Barlow Semi Condensed"/>
          <w:b/>
          <w:bCs/>
          <w:i w:val="false"/>
          <w:iCs w:val="false"/>
          <w:sz w:val="24"/>
          <w:szCs w:val="24"/>
        </w:rPr>
        <w:t xml:space="preserve">nodo consolidato</w:t>
      </w:r>
      <w:r>
        <w:rPr>
          <w:rFonts w:ascii="Barlow Semi Condensed" w:cs="Barlow Semi Condensed" w:eastAsia="Barlow Semi Condensed" w:hAnsi="Barlow Semi Condensed"/>
          <w:i w:val="false"/>
          <w:iCs w:val="false"/>
          <w:sz w:val="24"/>
          <w:szCs w:val="24"/>
        </w:rPr>
        <w:t xml:space="preserve"> del corpus — E-16 della triangolazione Guevara-Moro, il discorso all'Assemblea Generale delle Nazioni Unite dell'</w:t>
      </w:r>
      <w:r>
        <w:rPr>
          <w:rFonts w:ascii="Barlow Semi Condensed" w:cs="Barlow Semi Condensed" w:eastAsia="Barlow Semi Condensed" w:hAnsi="Barlow Semi Condensed"/>
          <w:b/>
          <w:bCs/>
          <w:i w:val="false"/>
          <w:iCs w:val="false"/>
          <w:sz w:val="24"/>
          <w:szCs w:val="24"/>
        </w:rPr>
        <w:t xml:space="preserve">11 dicembre 1964</w:t>
      </w:r>
      <w:r>
        <w:rPr>
          <w:rFonts w:ascii="Barlow Semi Condensed" w:cs="Barlow Semi Condensed" w:eastAsia="Barlow Semi Condensed" w:hAnsi="Barlow Semi Condensed"/>
          <w:i w:val="false"/>
          <w:iCs w:val="false"/>
          <w:sz w:val="24"/>
          <w:szCs w:val="24"/>
        </w:rPr>
        <w:t xml:space="preserve">, in cui il soggetto del Libro terzo denuncia dalla tribuna il colonialismo e l'apartheid. L'altra è il capitolo congolese, cioè il teatro africano della guerra fredda. Il ponte fra i due Libri esiste dunque, ed è esattamente uno: </w:t>
      </w:r>
      <w:r>
        <w:rPr>
          <w:rFonts w:ascii="Barlow Semi Condensed" w:cs="Barlow Semi Condensed" w:eastAsia="Barlow Semi Condensed" w:hAnsi="Barlow Semi Condensed"/>
          <w:b/>
          <w:bCs/>
          <w:i w:val="false"/>
          <w:iCs w:val="false"/>
          <w:sz w:val="24"/>
          <w:szCs w:val="24"/>
        </w:rPr>
        <w:t xml:space="preserve">un atto pubblico di denuncia, datato e documentato</w:t>
      </w:r>
      <w:r>
        <w:rPr>
          <w:rFonts w:ascii="Barlow Semi Condensed" w:cs="Barlow Semi Condensed" w:eastAsia="Barlow Semi Condensed" w:hAnsi="Barlow Semi Condensed"/>
          <w:i w:val="false"/>
          <w:iCs w:val="false"/>
          <w:sz w:val="24"/>
          <w:szCs w:val="24"/>
        </w:rPr>
        <w:t xml:space="preserve">, che riguarda il regime e non le persone di quest'opera. È poco, e va detto che è poco. Ma è un piano 1, e un piano 1 sottile vale più di dieci convergenze suggestive. </w:t>
      </w:r>
      <w:r>
        <w:rPr>
          <w:rFonts w:ascii="Barlow Semi Condensed" w:cs="Barlow Semi Condensed" w:eastAsia="Barlow Semi Condensed" w:hAnsi="Barlow Semi Condensed"/>
          <w:b/>
          <w:bCs/>
          <w:i w:val="false"/>
          <w:iCs w:val="false"/>
          <w:sz w:val="24"/>
          <w:szCs w:val="24"/>
        </w:rPr>
        <w:t xml:space="preserve">[Aggiornamento del 26 agosto 2026 — il perimetro è cambiato, e va detto.]</w:t>
      </w:r>
      <w:r>
        <w:rPr>
          <w:rFonts w:ascii="Barlow Semi Condensed" w:cs="Barlow Semi Condensed" w:eastAsia="Barlow Semi Condensed" w:hAnsi="Barlow Semi Condensed"/>
          <w:i w:val="false"/>
          <w:iCs w:val="false"/>
          <w:sz w:val="24"/>
          <w:szCs w:val="24"/>
        </w:rPr>
        <w:t xml:space="preserve"> Questa ricognizione fu eseguita quando il corpus contava tredici Libri. Il 26 agosto 2026 vi è entrato, come </w:t>
      </w:r>
      <w:r>
        <w:rPr>
          <w:rFonts w:ascii="Barlow Semi Condensed" w:cs="Barlow Semi Condensed" w:eastAsia="Barlow Semi Condensed" w:hAnsi="Barlow Semi Condensed"/>
          <w:b/>
          <w:bCs/>
          <w:i w:val="false"/>
          <w:iCs w:val="false"/>
          <w:sz w:val="24"/>
          <w:szCs w:val="24"/>
        </w:rPr>
        <w:t xml:space="preserve">Libro quarto</w:t>
      </w:r>
      <w:r>
        <w:rPr>
          <w:rFonts w:ascii="Barlow Semi Condensed" w:cs="Barlow Semi Condensed" w:eastAsia="Barlow Semi Condensed" w:hAnsi="Barlow Semi Condensed"/>
          <w:i w:val="false"/>
          <w:iCs w:val="false"/>
          <w:sz w:val="24"/>
          <w:szCs w:val="24"/>
        </w:rPr>
        <w:t xml:space="preserve">, il Dossier maggiore dell'autore, e la ricognizione è stata rieseguita sul perimetro allargato. </w:t>
      </w:r>
      <w:r>
        <w:rPr>
          <w:rFonts w:ascii="Barlow Semi Condensed" w:cs="Barlow Semi Condensed" w:eastAsia="Barlow Semi Condensed" w:hAnsi="Barlow Semi Condensed"/>
          <w:b/>
          <w:bCs/>
          <w:i w:val="false"/>
          <w:iCs w:val="false"/>
          <w:sz w:val="24"/>
          <w:szCs w:val="24"/>
        </w:rPr>
        <w:t xml:space="preserve">L'esito muta su due stringhe e su una soltanto in modo sostanziale.</w:t>
      </w:r>
      <w:r>
        <w:rPr>
          <w:rFonts w:ascii="Barlow Semi Condensed" w:cs="Barlow Semi Condensed" w:eastAsia="Barlow Semi Condensed" w:hAnsi="Barlow Semi Condensed"/>
          <w:i w:val="false"/>
          <w:iCs w:val="false"/>
          <w:sz w:val="24"/>
          <w:szCs w:val="24"/>
        </w:rPr>
        <w:t xml:space="preserve"> </w:t>
      </w:r>
      <w:r>
        <w:rPr>
          <w:rFonts w:ascii="Barlow Semi Condensed" w:cs="Barlow Semi Condensed" w:eastAsia="Barlow Semi Condensed" w:hAnsi="Barlow Semi Condensed"/>
          <w:i w:val="false"/>
          <w:iCs w:val="false"/>
          <w:sz w:val="24"/>
          <w:szCs w:val="24"/>
        </w:rPr>
        <w:t xml:space="preserve">Musk</w:t>
      </w:r>
      <w:r>
        <w:rPr>
          <w:rFonts w:ascii="Barlow Semi Condensed" w:cs="Barlow Semi Condensed" w:eastAsia="Barlow Semi Condensed" w:hAnsi="Barlow Semi Condensed"/>
          <w:i w:val="false"/>
          <w:iCs w:val="false"/>
          <w:sz w:val="24"/>
          <w:szCs w:val="24"/>
        </w:rPr>
        <w:t xml:space="preserve">, </w:t>
      </w:r>
      <w:r>
        <w:rPr>
          <w:rFonts w:ascii="Barlow Semi Condensed" w:cs="Barlow Semi Condensed" w:eastAsia="Barlow Semi Condensed" w:hAnsi="Barlow Semi Condensed"/>
          <w:i w:val="false"/>
          <w:iCs w:val="false"/>
          <w:sz w:val="24"/>
          <w:szCs w:val="24"/>
        </w:rPr>
        <w:t xml:space="preserve">Thiel</w:t>
      </w:r>
      <w:r>
        <w:rPr>
          <w:rFonts w:ascii="Barlow Semi Condensed" w:cs="Barlow Semi Condensed" w:eastAsia="Barlow Semi Condensed" w:hAnsi="Barlow Semi Condensed"/>
          <w:i w:val="false"/>
          <w:iCs w:val="false"/>
          <w:sz w:val="24"/>
          <w:szCs w:val="24"/>
        </w:rPr>
        <w:t xml:space="preserve">, </w:t>
      </w:r>
      <w:r>
        <w:rPr>
          <w:rFonts w:ascii="Barlow Semi Condensed" w:cs="Barlow Semi Condensed" w:eastAsia="Barlow Semi Condensed" w:hAnsi="Barlow Semi Condensed"/>
          <w:i w:val="false"/>
          <w:iCs w:val="false"/>
          <w:sz w:val="24"/>
          <w:szCs w:val="24"/>
        </w:rPr>
        <w:t xml:space="preserve">Botha</w:t>
      </w:r>
      <w:r>
        <w:rPr>
          <w:rFonts w:ascii="Barlow Semi Condensed" w:cs="Barlow Semi Condensed" w:eastAsia="Barlow Semi Condensed" w:hAnsi="Barlow Semi Condensed"/>
          <w:i w:val="false"/>
          <w:iCs w:val="false"/>
          <w:sz w:val="24"/>
          <w:szCs w:val="24"/>
        </w:rPr>
        <w:t xml:space="preserve">, </w:t>
      </w:r>
      <w:r>
        <w:rPr>
          <w:rFonts w:ascii="Barlow Semi Condensed" w:cs="Barlow Semi Condensed" w:eastAsia="Barlow Semi Condensed" w:hAnsi="Barlow Semi Condensed"/>
          <w:i w:val="false"/>
          <w:iCs w:val="false"/>
          <w:sz w:val="24"/>
          <w:szCs w:val="24"/>
        </w:rPr>
        <w:t xml:space="preserve">Silicon Valley</w:t>
      </w:r>
      <w:r>
        <w:rPr>
          <w:rFonts w:ascii="Barlow Semi Condensed" w:cs="Barlow Semi Condensed" w:eastAsia="Barlow Semi Condensed" w:hAnsi="Barlow Semi Condensed"/>
          <w:i w:val="false"/>
          <w:iCs w:val="false"/>
          <w:sz w:val="24"/>
          <w:szCs w:val="24"/>
        </w:rPr>
        <w:t xml:space="preserve"> e «</w:t>
      </w:r>
      <w:r>
        <w:rPr>
          <w:rFonts w:ascii="Barlow Semi Condensed" w:cs="Barlow Semi Condensed" w:eastAsia="Barlow Semi Condensed" w:hAnsi="Barlow Semi Condensed"/>
          <w:i w:val="false"/>
          <w:iCs w:val="false"/>
          <w:sz w:val="24"/>
          <w:szCs w:val="24"/>
        </w:rPr>
        <w:t xml:space="preserve">Sud Africa</w:t>
      </w:r>
      <w:r>
        <w:rPr>
          <w:rFonts w:ascii="Barlow Semi Condensed" w:cs="Barlow Semi Condensed" w:eastAsia="Barlow Semi Condensed" w:hAnsi="Barlow Semi Condensed"/>
          <w:i w:val="false"/>
          <w:iCs w:val="false"/>
          <w:sz w:val="24"/>
          <w:szCs w:val="24"/>
        </w:rPr>
        <w:t xml:space="preserve">» restano a zero. </w:t>
      </w:r>
      <w:r>
        <w:rPr>
          <w:rFonts w:ascii="Barlow Semi Condensed" w:cs="Barlow Semi Condensed" w:eastAsia="Barlow Semi Condensed" w:hAnsi="Barlow Semi Condensed"/>
          <w:i w:val="false"/>
          <w:iCs w:val="false"/>
          <w:sz w:val="24"/>
          <w:szCs w:val="24"/>
        </w:rPr>
        <w:t xml:space="preserve">Namibia</w:t>
      </w:r>
      <w:r>
        <w:rPr>
          <w:rFonts w:ascii="Barlow Semi Condensed" w:cs="Barlow Semi Condensed" w:eastAsia="Barlow Semi Condensed" w:hAnsi="Barlow Semi Condensed"/>
          <w:i w:val="false"/>
          <w:iCs w:val="false"/>
          <w:sz w:val="24"/>
          <w:szCs w:val="24"/>
        </w:rPr>
        <w:t xml:space="preserve"> compare una volta, nell'aggettivo «namibiane». </w:t>
      </w:r>
      <w:r>
        <w:rPr>
          <w:rFonts w:ascii="Barlow Semi Condensed" w:cs="Barlow Semi Condensed" w:eastAsia="Barlow Semi Condensed" w:hAnsi="Barlow Semi Condensed"/>
          <w:b/>
          <w:bCs/>
          <w:i w:val="false"/>
          <w:iCs w:val="false"/>
          <w:sz w:val="24"/>
          <w:szCs w:val="24"/>
        </w:rPr>
        <w:t xml:space="preserve">PayPal compare una volta</w:t>
      </w:r>
      <w:r>
        <w:rPr>
          <w:rFonts w:ascii="Barlow Semi Condensed" w:cs="Barlow Semi Condensed" w:eastAsia="Barlow Semi Condensed" w:hAnsi="Barlow Semi Condensed"/>
          <w:i w:val="false"/>
          <w:iCs w:val="false"/>
          <w:sz w:val="24"/>
          <w:szCs w:val="24"/>
        </w:rPr>
        <w:t xml:space="preserve">, e il contesto è quello che conta: il Dossier maggiore vi dichiara di aver condotto </w:t>
      </w:r>
      <w:r>
        <w:rPr>
          <w:rFonts w:ascii="Barlow Semi Condensed" w:cs="Barlow Semi Condensed" w:eastAsia="Barlow Semi Condensed" w:hAnsi="Barlow Semi Condensed"/>
          <w:b/>
          <w:bCs/>
          <w:i w:val="false"/>
          <w:iCs w:val="false"/>
          <w:sz w:val="24"/>
          <w:szCs w:val="24"/>
        </w:rPr>
        <w:t xml:space="preserve">il riscontro sistematico fra i profili della cosiddetta PayPal Mafia e i nodi storici del proprio teatro</w:t>
      </w:r>
      <w:r>
        <w:rPr>
          <w:rFonts w:ascii="Barlow Semi Condensed" w:cs="Barlow Semi Condensed" w:eastAsia="Barlow Semi Condensed" w:hAnsi="Barlow Semi Condensed"/>
          <w:i w:val="false"/>
          <w:iCs w:val="false"/>
          <w:sz w:val="24"/>
          <w:szCs w:val="24"/>
        </w:rPr>
        <w:t xml:space="preserve">, certificando le radici australi di quattro profili come dati pubblici e </w:t>
      </w:r>
      <w:r>
        <w:rPr>
          <w:rFonts w:ascii="Barlow Semi Condensed" w:cs="Barlow Semi Condensed" w:eastAsia="Barlow Semi Condensed" w:hAnsi="Barlow Semi Condensed"/>
          <w:b/>
          <w:bCs/>
          <w:i w:val="false"/>
          <w:iCs w:val="false"/>
          <w:sz w:val="24"/>
          <w:szCs w:val="24"/>
        </w:rPr>
        <w:t xml:space="preserve">certificando con eguale nettezza l'esito negativo del riscontro</w:t>
      </w:r>
      <w:r>
        <w:rPr>
          <w:rFonts w:ascii="Barlow Semi Condensed" w:cs="Barlow Semi Condensed" w:eastAsia="Barlow Semi Condensed" w:hAnsi="Barlow Semi Condensed"/>
          <w:i w:val="false"/>
          <w:iCs w:val="false"/>
          <w:sz w:val="24"/>
          <w:szCs w:val="24"/>
        </w:rPr>
        <w:t xml:space="preserve">. Non è dunque una smentita dello Stato Zero: è la </w:t>
      </w:r>
      <w:r>
        <w:rPr>
          <w:rFonts w:ascii="Barlow Semi Condensed" w:cs="Barlow Semi Condensed" w:eastAsia="Barlow Semi Condensed" w:hAnsi="Barlow Semi Condensed"/>
          <w:b/>
          <w:bCs/>
          <w:i w:val="false"/>
          <w:iCs w:val="false"/>
          <w:sz w:val="24"/>
          <w:szCs w:val="24"/>
        </w:rPr>
        <w:t xml:space="preserve">verifica omologa di un'altra opera che perviene al medesimo esito negativo</w:t>
      </w:r>
      <w:r>
        <w:rPr>
          <w:rFonts w:ascii="Barlow Semi Condensed" w:cs="Barlow Semi Condensed" w:eastAsia="Barlow Semi Condensed" w:hAnsi="Barlow Semi Condensed"/>
          <w:i w:val="false"/>
          <w:iCs w:val="false"/>
          <w:sz w:val="24"/>
          <w:szCs w:val="24"/>
        </w:rPr>
        <w:t xml:space="preserve">, e uno Stato Zero confermato per via indipendente vale più di uno dichiarato una volta sola. Mutano invece in modo netto </w:t>
      </w:r>
      <w:r>
        <w:rPr>
          <w:rFonts w:ascii="Barlow Semi Condensed" w:cs="Barlow Semi Condensed" w:eastAsia="Barlow Semi Condensed" w:hAnsi="Barlow Semi Condensed"/>
          <w:i w:val="false"/>
          <w:iCs w:val="false"/>
          <w:sz w:val="24"/>
          <w:szCs w:val="24"/>
        </w:rPr>
        <w:t xml:space="preserve">apartheid</w:t>
      </w:r>
      <w:r>
        <w:rPr>
          <w:rFonts w:ascii="Barlow Semi Condensed" w:cs="Barlow Semi Condensed" w:eastAsia="Barlow Semi Condensed" w:hAnsi="Barlow Semi Condensed"/>
          <w:i w:val="false"/>
          <w:iCs w:val="false"/>
          <w:sz w:val="24"/>
          <w:szCs w:val="24"/>
        </w:rPr>
        <w:t xml:space="preserve"> (diciotto occorrenze nel nuovo Libro) e </w:t>
      </w:r>
      <w:r>
        <w:rPr>
          <w:rFonts w:ascii="Barlow Semi Condensed" w:cs="Barlow Semi Condensed" w:eastAsia="Barlow Semi Condensed" w:hAnsi="Barlow Semi Condensed"/>
          <w:i w:val="false"/>
          <w:iCs w:val="false"/>
          <w:sz w:val="24"/>
          <w:szCs w:val="24"/>
        </w:rPr>
        <w:t xml:space="preserve">sudafricano</w:t>
      </w:r>
      <w:r>
        <w:rPr>
          <w:rFonts w:ascii="Barlow Semi Condensed" w:cs="Barlow Semi Condensed" w:eastAsia="Barlow Semi Condensed" w:hAnsi="Barlow Semi Condensed"/>
          <w:i w:val="false"/>
          <w:iCs w:val="false"/>
          <w:sz w:val="24"/>
          <w:szCs w:val="24"/>
        </w:rPr>
        <w:t xml:space="preserve"> (quarantatré), perché la Fase quinta del Dossier tratta il Sudafrica dell'apartheid come nodo del proprio registro: il corpus non tace più quasi per intero sul tema di quest'opera, e chi legge deve saperlo. </w:t>
      </w:r>
      <w:r>
        <w:rPr>
          <w:rFonts w:ascii="Barlow Semi Condensed" w:cs="Barlow Semi Condensed" w:eastAsia="Barlow Semi Condensed" w:hAnsi="Barlow Semi Condensed"/>
          <w:b/>
          <w:bCs/>
          <w:i w:val="false"/>
          <w:iCs w:val="false"/>
          <w:sz w:val="24"/>
          <w:szCs w:val="24"/>
        </w:rPr>
        <w:t xml:space="preserve">La dichiarazione originaria non è stata riscritta</w:t>
      </w:r>
      <w:r>
        <w:rPr>
          <w:rFonts w:ascii="Barlow Semi Condensed" w:cs="Barlow Semi Condensed" w:eastAsia="Barlow Semi Condensed" w:hAnsi="Barlow Semi Condensed"/>
          <w:i w:val="false"/>
          <w:iCs w:val="false"/>
          <w:sz w:val="24"/>
          <w:szCs w:val="24"/>
        </w:rPr>
        <w:t xml:space="preserve">: sta sopra questa nota, come il metodo di quest'opera impone.  Il Libro quattordicesimo si aggiunge perciò come </w:t>
      </w:r>
      <w:r>
        <w:rPr>
          <w:rFonts w:ascii="Barlow Semi Condensed" w:cs="Barlow Semi Condensed" w:eastAsia="Barlow Semi Condensed" w:hAnsi="Barlow Semi Condensed"/>
          <w:b/>
          <w:bCs/>
          <w:i w:val="false"/>
          <w:iCs w:val="false"/>
          <w:sz w:val="24"/>
          <w:szCs w:val="24"/>
        </w:rPr>
        <w:t xml:space="preserve">nuovo fronte della stessa domanda</w:t>
      </w:r>
      <w:r>
        <w:rPr>
          <w:rFonts w:ascii="Barlow Semi Condensed" w:cs="Barlow Semi Condensed" w:eastAsia="Barlow Semi Condensed" w:hAnsi="Barlow Semi Condensed"/>
          <w:i w:val="false"/>
          <w:iCs w:val="false"/>
          <w:sz w:val="24"/>
          <w:szCs w:val="24"/>
        </w:rPr>
        <w:t xml:space="preserve"> — che cosa non è finito nel 1945 — e non come tassello di una trama unica. Chi lo leggesse nel secondo senso avrebbe fatto esattamente ciò che l'intera architettura dei tre piani serve a impedire.</w:t>
      </w:r>
    </w:p>
    <w:p>
      <w:pPr>
        <w:pBdr>
          <w:left w:val="single" w:color="1F3864" w:sz="18" w:space="8"/>
        </w:pBdr>
        <w:spacing w:after="80" w:before="80"/>
        <w:ind w:left="360" w:right="360"/>
        <w:jc w:val="both"/>
      </w:pPr>
      <w:r>
        <w:rPr>
          <w:rFonts w:ascii="Barlow Semi Condensed" w:cs="Barlow Semi Condensed" w:eastAsia="Barlow Semi Condensed" w:hAnsi="Barlow Semi Condensed"/>
          <w:b/>
          <w:bCs/>
          <w:i w:val="false"/>
          <w:iCs w:val="false"/>
          <w:sz w:val="24"/>
          <w:szCs w:val="24"/>
        </w:rPr>
        <w:t xml:space="preserve">Che cosa quest'opera si vieta.</w:t>
      </w:r>
      <w:r>
        <w:rPr>
          <w:rFonts w:ascii="Barlow Semi Condensed" w:cs="Barlow Semi Condensed" w:eastAsia="Barlow Semi Condensed" w:hAnsi="Barlow Semi Condensed"/>
          <w:i w:val="false"/>
          <w:iCs w:val="false"/>
          <w:sz w:val="24"/>
          <w:szCs w:val="24"/>
        </w:rPr>
        <w:t xml:space="preserve"> Non stabilirà che esista un centro; non dedurrà una condotta da un'origine; non attribuirà a un vivente le opinioni di un ascendente; non tratterà un'infanzia come una scelta; non presenterà una convergenza come un piano. E non concluderà. </w:t>
      </w:r>
      <w:r>
        <w:rPr>
          <w:rFonts w:ascii="Barlow Semi Condensed" w:cs="Barlow Semi Condensed" w:eastAsia="Barlow Semi Condensed" w:hAnsi="Barlow Semi Condensed"/>
          <w:b/>
          <w:bCs/>
          <w:i w:val="false"/>
          <w:iCs w:val="false"/>
          <w:sz w:val="24"/>
          <w:szCs w:val="24"/>
        </w:rPr>
        <w:t xml:space="preserve">Un'indagine produce atti, non colpevoli</w:t>
      </w:r>
      <w:r>
        <w:rPr>
          <w:rFonts w:ascii="Barlow Semi Condensed" w:cs="Barlow Semi Condensed" w:eastAsia="Barlow Semi Condensed" w:hAnsi="Barlow Semi Condensed"/>
          <w:i w:val="false"/>
          <w:iCs w:val="false"/>
          <w:sz w:val="24"/>
          <w:szCs w:val="24"/>
        </w:rPr>
        <w:t xml:space="preserve"> — e mille bersagli di ricerca non sono mille prove: sono mille modi di rendere il proprio lavoro falsificabile da chi verrà dopo.</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Serie prima — Lo statuto e il metodo</w:t>
      </w:r>
    </w:p>
    <w:p>
      <w:pPr>
        <w:spacing w:after="120" w:line="276"/>
        <w:jc w:val="both"/>
      </w:pPr>
      <w:r>
        <w:rPr>
          <w:rFonts w:ascii="Barlow Semi Condensed" w:cs="Barlow Semi Condensed" w:eastAsia="Barlow Semi Condensed" w:hAnsi="Barlow Semi Condensed"/>
          <w:i/>
          <w:iCs/>
          <w:sz w:val="24"/>
          <w:szCs w:val="24"/>
        </w:rPr>
        <w:t xml:space="preserve">Blocchi 1-50.</w:t>
      </w:r>
    </w:p>
    <w:p>
      <w:pPr>
        <w:spacing w:after="120" w:line="276"/>
        <w:jc w:val="both"/>
      </w:pPr>
      <w:r>
        <w:rPr>
          <w:rFonts w:ascii="Barlow Semi Condensed" w:cs="Barlow Semi Condensed" w:eastAsia="Barlow Semi Condensed" w:hAnsi="Barlow Semi Condensed"/>
          <w:b/>
          <w:bCs/>
          <w:sz w:val="24"/>
          <w:szCs w:val="24"/>
        </w:rPr>
        <w:t xml:space="preserve">1 · Che cosa fa quest'opera.</w:t>
      </w:r>
      <w:r>
        <w:rPr>
          <w:rFonts w:ascii="Barlow Semi Condensed" w:cs="Barlow Semi Condensed" w:eastAsia="Barlow Semi Condensed" w:hAnsi="Barlow Semi Condensed"/>
          <w:sz w:val="24"/>
          <w:szCs w:val="24"/>
        </w:rPr>
        <w:t xml:space="preserve"> Mille blocchi mirati, ordinati in tredici serie, interrogano una sola ipotesi: che fra il Sud Africa dell'apartheid e la cerchia tecnologica californiana del primo Duemila corra una continuità accertabile. L'ipotesi non è la conclusione dell'opera, è il suo oggetto. Ogni blocco è un bersaglio da portare altrove: un quesito d'archivio, una regola applicabile, un accertamento con grado dichiarato, una lacuna verbalizzata. Chi legge deve poterlo eseguire senza fidarsi di chi lo ha scritto.</w:t>
      </w:r>
    </w:p>
    <w:p>
      <w:pPr>
        <w:spacing w:after="120" w:line="276"/>
        <w:jc w:val="both"/>
      </w:pPr>
      <w:r>
        <w:rPr>
          <w:rFonts w:ascii="Barlow Semi Condensed" w:cs="Barlow Semi Condensed" w:eastAsia="Barlow Semi Condensed" w:hAnsi="Barlow Semi Condensed"/>
          <w:b/>
          <w:bCs/>
          <w:sz w:val="24"/>
          <w:szCs w:val="24"/>
        </w:rPr>
        <w:t xml:space="preserve">2 · Un blocco non è un'affermazione.</w:t>
      </w:r>
      <w:r>
        <w:rPr>
          <w:rFonts w:ascii="Barlow Semi Condensed" w:cs="Barlow Semi Condensed" w:eastAsia="Barlow Semi Condensed" w:hAnsi="Barlow Semi Condensed"/>
          <w:sz w:val="24"/>
          <w:szCs w:val="24"/>
        </w:rPr>
        <w:t xml:space="preserve"> Chi cerca qui delle tesi trova invece dei compiti. La forma del blocco è ereditata dalle opere gemelle del branch — il manuale investigativo in quattrocento blocchi, l'agenda di ricerca in trecento, i nove cantieri e la triangolazione Kissinger in mille ciascuno — e serve allo stesso fine: rendere il lavoro eseguibile da un terzo e falsificabile da chiunque. Un blocco che non dica che cosa cercare, dove, e che cosa lo chiuderebbe, è scritto male.</w:t>
      </w:r>
    </w:p>
    <w:p>
      <w:pPr>
        <w:spacing w:after="120" w:line="276"/>
        <w:jc w:val="both"/>
      </w:pPr>
      <w:r>
        <w:rPr>
          <w:rFonts w:ascii="Barlow Semi Condensed" w:cs="Barlow Semi Condensed" w:eastAsia="Barlow Semi Condensed" w:hAnsi="Barlow Semi Condensed"/>
          <w:b/>
          <w:bCs/>
          <w:sz w:val="24"/>
          <w:szCs w:val="24"/>
        </w:rPr>
        <w:t xml:space="preserve">3 · La tesi di continuità enunciata.</w:t>
      </w:r>
      <w:r>
        <w:rPr>
          <w:rFonts w:ascii="Barlow Semi Condensed" w:cs="Barlow Semi Condensed" w:eastAsia="Barlow Semi Condensed" w:hAnsi="Barlow Semi Condensed"/>
          <w:sz w:val="24"/>
          <w:szCs w:val="24"/>
        </w:rPr>
        <w:t xml:space="preserve"> Enunciarla per esteso è già metà del lavoro. Nella forma più forte suonerebbe così: uomini formati entro l'ordinamento razziale sudafricano avrebbero trasmesso a un ambiente d'impresa statunitense pratiche, capitali o dottrine riconoscibili. In questa forma la tesi è indimostrata e quasi certamente insostenibile. L'opera lavora su versioni più deboli e misurabili, e le tiene separate una dall'altra, perché una tesi vaga non si smentisce, e ciò che non si smentisce non serve.</w:t>
      </w:r>
    </w:p>
    <w:p>
      <w:pPr>
        <w:spacing w:after="120" w:line="276"/>
        <w:jc w:val="both"/>
      </w:pPr>
      <w:r>
        <w:rPr>
          <w:rFonts w:ascii="Barlow Semi Condensed" w:cs="Barlow Semi Condensed" w:eastAsia="Barlow Semi Condensed" w:hAnsi="Barlow Semi Condensed"/>
          <w:b/>
          <w:bCs/>
          <w:sz w:val="24"/>
          <w:szCs w:val="24"/>
        </w:rPr>
        <w:t xml:space="preserve">4 · I tre piani applicati qui.</w:t>
      </w:r>
      <w:r>
        <w:rPr>
          <w:rFonts w:ascii="Barlow Semi Condensed" w:cs="Barlow Semi Condensed" w:eastAsia="Barlow Semi Condensed" w:hAnsi="Barlow Semi Condensed"/>
          <w:sz w:val="24"/>
          <w:szCs w:val="24"/>
        </w:rPr>
        <w:t xml:space="preserve"> Piano uno: un documento di provenienza in cui una parte nomina l'altra — un atto societario, un cablogramma, un contratto, un verbale. Piano due: convergenza strutturale entro la stessa cornice, due traiettorie che si somigliano senza mai toccarsi. Piano tre: affermazione terziaria che ripete un'altra affermazione terziaria. Solo il primo costituisce un ponte. Il secondo e il terzo si registrano col loro nome e non si promuovono mai a nesso causale.</w:t>
      </w:r>
    </w:p>
    <w:p>
      <w:pPr>
        <w:spacing w:after="120" w:line="276"/>
        <w:jc w:val="both"/>
      </w:pPr>
      <w:r>
        <w:rPr>
          <w:rFonts w:ascii="Barlow Semi Condensed" w:cs="Barlow Semi Condensed" w:eastAsia="Barlow Semi Condensed" w:hAnsi="Barlow Semi Condensed"/>
          <w:b/>
          <w:bCs/>
          <w:sz w:val="24"/>
          <w:szCs w:val="24"/>
        </w:rPr>
        <w:t xml:space="preserve">5 · Che cosa vale come provenienza.</w:t>
      </w:r>
      <w:r>
        <w:rPr>
          <w:rFonts w:ascii="Barlow Semi Condensed" w:cs="Barlow Semi Condensed" w:eastAsia="Barlow Semi Condensed" w:hAnsi="Barlow Semi Condensed"/>
          <w:sz w:val="24"/>
          <w:szCs w:val="24"/>
        </w:rPr>
        <w:t xml:space="preserve"> Un documento di provenienza è un atto prodotto dalle parti nel corso della vicenda, non una ricostruzione posteriore su di essa. Un modulo di registrazione depositato presso la Companies and Intellectual Property Commission sudafricana vale come provenienza; un articolo che descriva quel deposito no. La distinzione appare ovvia e viene violata quotidianamente su questa materia, dove la sintesi secondaria circola assai più del deposito che pretende di riassumere.</w:t>
      </w:r>
    </w:p>
    <w:p>
      <w:pPr>
        <w:spacing w:after="120" w:line="276"/>
        <w:jc w:val="both"/>
      </w:pPr>
      <w:r>
        <w:rPr>
          <w:rFonts w:ascii="Barlow Semi Condensed" w:cs="Barlow Semi Condensed" w:eastAsia="Barlow Semi Condensed" w:hAnsi="Barlow Semi Condensed"/>
          <w:b/>
          <w:bCs/>
          <w:sz w:val="24"/>
          <w:szCs w:val="24"/>
        </w:rPr>
        <w:t xml:space="preserve">6 · La convergenza resta convergenza.</w:t>
      </w:r>
      <w:r>
        <w:rPr>
          <w:rFonts w:ascii="Barlow Semi Condensed" w:cs="Barlow Semi Condensed" w:eastAsia="Barlow Semi Condensed" w:hAnsi="Barlow Semi Condensed"/>
          <w:sz w:val="24"/>
          <w:szCs w:val="24"/>
        </w:rPr>
        <w:t xml:space="preserve"> Due uomini nati nello stesso decennio, nello stesso Paese, entrambi emigrati e entrambi riusciti altrove, costituiscono una convergenza e nient'altro. La cornice comune spiega la somiglianza almeno quanto la spiegherebbe un contatto, e a costo inferenziale minore. Promuovere il piano due al piano uno è l'operazione che quest'opera esiste per rendere visibile ogni volta che qualcuno la compie, incluso chi scrive queste righe.</w:t>
      </w:r>
    </w:p>
    <w:p>
      <w:pPr>
        <w:spacing w:after="120" w:line="276"/>
        <w:jc w:val="both"/>
      </w:pPr>
      <w:r>
        <w:rPr>
          <w:rFonts w:ascii="Barlow Semi Condensed" w:cs="Barlow Semi Condensed" w:eastAsia="Barlow Semi Condensed" w:hAnsi="Barlow Semi Condensed"/>
          <w:b/>
          <w:bCs/>
          <w:sz w:val="24"/>
          <w:szCs w:val="24"/>
        </w:rPr>
        <w:t xml:space="preserve">7 · Il piano tre si moltiplica.</w:t>
      </w:r>
      <w:r>
        <w:rPr>
          <w:rFonts w:ascii="Barlow Semi Condensed" w:cs="Barlow Semi Condensed" w:eastAsia="Barlow Semi Condensed" w:hAnsi="Barlow Semi Condensed"/>
          <w:sz w:val="24"/>
          <w:szCs w:val="24"/>
        </w:rPr>
        <w:t xml:space="preserve"> L'affermazione terziaria possiede una proprietà che la rende insidiosa: si riproduce a costo zero. Una formulazione entra in circolo, viene ripresa alla lettera da decine di siti, e la sua frequenza viene poi scambiata per conferma. Il conteggio delle occorrenze non è un metodo di verifica. Cinquanta pagine che ripetono la stessa frase valgono, sul piano probatorio, esattamente quanto vale la prima; cioè, quasi sempre, nulla.</w:t>
      </w:r>
    </w:p>
    <w:p>
      <w:pPr>
        <w:spacing w:after="120" w:line="276"/>
        <w:jc w:val="both"/>
      </w:pPr>
      <w:r>
        <w:rPr>
          <w:rFonts w:ascii="Barlow Semi Condensed" w:cs="Barlow Semi Condensed" w:eastAsia="Barlow Semi Condensed" w:hAnsi="Barlow Semi Condensed"/>
          <w:b/>
          <w:bCs/>
          <w:sz w:val="24"/>
          <w:szCs w:val="24"/>
        </w:rPr>
        <w:t xml:space="preserve">8 · Omologia contro analogia.</w:t>
      </w:r>
      <w:r>
        <w:rPr>
          <w:rFonts w:ascii="Barlow Semi Condensed" w:cs="Barlow Semi Condensed" w:eastAsia="Barlow Semi Condensed" w:hAnsi="Barlow Semi Condensed"/>
          <w:sz w:val="24"/>
          <w:szCs w:val="24"/>
        </w:rPr>
        <w:t xml:space="preserve"> Strutture simili discendono da un antenato comune oppure convergono per adattamento in ambienti simili. Dalla somiglianza del risultato non si deduce l'antenato: è l'errore che la biologia comparata insegna a evitare al primo anno e che la storiografia commette ogni giorno. Il test è unico e non ammette surrogati — un documento di provenienza che nomini la controparte. In sua assenza si scrive analogia, e si tira avanti.</w:t>
      </w:r>
    </w:p>
    <w:p>
      <w:pPr>
        <w:spacing w:after="120" w:line="276"/>
        <w:jc w:val="both"/>
      </w:pPr>
      <w:r>
        <w:rPr>
          <w:rFonts w:ascii="Barlow Semi Condensed" w:cs="Barlow Semi Condensed" w:eastAsia="Barlow Semi Condensed" w:hAnsi="Barlow Semi Condensed"/>
          <w:b/>
          <w:bCs/>
          <w:sz w:val="24"/>
          <w:szCs w:val="24"/>
        </w:rPr>
        <w:t xml:space="preserve">9 · Nessun nome, nessuna imputazione.</w:t>
      </w:r>
      <w:r>
        <w:rPr>
          <w:rFonts w:ascii="Barlow Semi Condensed" w:cs="Barlow Semi Condensed" w:eastAsia="Barlow Semi Condensed" w:hAnsi="Barlow Semi Condensed"/>
          <w:sz w:val="24"/>
          <w:szCs w:val="24"/>
        </w:rPr>
        <w:t xml:space="preserve"> Nessun blocco di quest'opera indica alcuno come responsabile di reato o di illecito. Nessuno dei soggetti nominati risulta condannato in relazione ai fatti indagati, e il corpus si ferma al giudicato, come già fa la Fase decima del volume moroteo con il suo registro nominativo delle tredici responsabilità individuali. Vale per tutti la presunzione d'innocenza, e vale anzitutto per i viventi, che qui compaiono soltanto per fatti pubblici e verificabili.</w:t>
      </w:r>
    </w:p>
    <w:p>
      <w:pPr>
        <w:spacing w:after="120" w:line="276"/>
        <w:jc w:val="both"/>
      </w:pPr>
      <w:r>
        <w:rPr>
          <w:rFonts w:ascii="Barlow Semi Condensed" w:cs="Barlow Semi Condensed" w:eastAsia="Barlow Semi Condensed" w:hAnsi="Barlow Semi Condensed"/>
          <w:b/>
          <w:bCs/>
          <w:sz w:val="24"/>
          <w:szCs w:val="24"/>
        </w:rPr>
        <w:t xml:space="preserve">10 · Per quali fatti si nomina.</w:t>
      </w:r>
      <w:r>
        <w:rPr>
          <w:rFonts w:ascii="Barlow Semi Condensed" w:cs="Barlow Semi Condensed" w:eastAsia="Barlow Semi Condensed" w:hAnsi="Barlow Semi Condensed"/>
          <w:sz w:val="24"/>
          <w:szCs w:val="24"/>
        </w:rPr>
        <w:t xml:space="preserve"> Si nomina una persona vivente per la nascita, la residenza, la cittadinanza, l'impiego, la parentela, le dichiarazioni rese pubblicamente, gli atti societari depositati. Mai per condotte inferite, per opinioni attribuite, per intenzioni ricostruite. L'elenco è chiuso e non si allarga per comodità narrativa: se un blocco ha bisogno di una condotta non documentata per reggersi, quel blocco va riscritto o cancellato, non attenuato con un avverbio.</w:t>
      </w:r>
    </w:p>
    <w:p>
      <w:pPr>
        <w:spacing w:after="120" w:line="276"/>
        <w:jc w:val="both"/>
      </w:pPr>
      <w:r>
        <w:rPr>
          <w:rFonts w:ascii="Barlow Semi Condensed" w:cs="Barlow Semi Condensed" w:eastAsia="Barlow Semi Condensed" w:hAnsi="Barlow Semi Condensed"/>
          <w:b/>
          <w:bCs/>
          <w:sz w:val="24"/>
          <w:szCs w:val="24"/>
        </w:rPr>
        <w:t xml:space="preserve">11 · L'origine non è una colpa.</w:t>
      </w:r>
      <w:r>
        <w:rPr>
          <w:rFonts w:ascii="Barlow Semi Condensed" w:cs="Barlow Semi Condensed" w:eastAsia="Barlow Semi Condensed" w:hAnsi="Barlow Semi Condensed"/>
          <w:sz w:val="24"/>
          <w:szCs w:val="24"/>
        </w:rPr>
        <w:t xml:space="preserve"> L'infanzia non è una scelta e la nascita non è un atto. Chi nacque o crebbe entro un ordinamento razziale non ne è per ciò responsabile, e nessun blocco può suggerirlo per allusione, per accostamento o per ordine delle parole. È la regola che quest'opera rischia di violare più spesso, perché l'accostamento non costa nulla e sembra innocente: la violazione avviene nella sintassi prima ancora che nell'affermazione.</w:t>
      </w:r>
    </w:p>
    <w:p>
      <w:pPr>
        <w:spacing w:after="120" w:line="276"/>
        <w:jc w:val="both"/>
      </w:pPr>
      <w:r>
        <w:rPr>
          <w:rFonts w:ascii="Barlow Semi Condensed" w:cs="Barlow Semi Condensed" w:eastAsia="Barlow Semi Condensed" w:hAnsi="Barlow Semi Condensed"/>
          <w:b/>
          <w:bCs/>
          <w:sz w:val="24"/>
          <w:szCs w:val="24"/>
        </w:rPr>
        <w:t xml:space="preserve">12 · Appartenenza e contemporaneità.</w:t>
      </w:r>
      <w:r>
        <w:rPr>
          <w:rFonts w:ascii="Barlow Semi Condensed" w:cs="Barlow Semi Condensed" w:eastAsia="Barlow Semi Condensed" w:hAnsi="Barlow Semi Condensed"/>
          <w:sz w:val="24"/>
          <w:szCs w:val="24"/>
        </w:rPr>
        <w:t xml:space="preserve"> Appartenere a un Paese, a una scuola, a un'azienda o a una famiglia non è prova di condotta; essere contemporanei non è prova di nesso. Il corpus lo ha già stabilito trattando le appartenenze come fatti biografici inerti nella triangolazione dei condannati, dove otto ponti documentati non sono stati promossi a nessi causali. La stessa disciplina si applica qui, a soggetti viventi, dove l'errore costerebbe incomparabilmente di più.</w:t>
      </w:r>
    </w:p>
    <w:p>
      <w:pPr>
        <w:spacing w:after="120" w:line="276"/>
        <w:jc w:val="both"/>
      </w:pPr>
      <w:r>
        <w:rPr>
          <w:rFonts w:ascii="Barlow Semi Condensed" w:cs="Barlow Semi Condensed" w:eastAsia="Barlow Semi Condensed" w:hAnsi="Barlow Semi Condensed"/>
          <w:b/>
          <w:bCs/>
          <w:sz w:val="24"/>
          <w:szCs w:val="24"/>
        </w:rPr>
        <w:t xml:space="preserve">13 · «PayPal Mafia» non è un soggetto.</w:t>
      </w:r>
      <w:r>
        <w:rPr>
          <w:rFonts w:ascii="Barlow Semi Condensed" w:cs="Barlow Semi Condensed" w:eastAsia="Barlow Semi Condensed" w:hAnsi="Barlow Semi Condensed"/>
          <w:sz w:val="24"/>
          <w:szCs w:val="24"/>
        </w:rPr>
        <w:t xml:space="preserve"> La locuzione nasce da un servizio di copertina di Fortune del novembre 2007, firmato da Jeffrey O'Brien, con fotografia di gruppo scattata al ristorante Tosca di San Francisco. È una categoria giornalistica, non un ente: non ha atto costitutivo, non ha organi, non ha soci. Trattarla come soggetto unitario significa attribuire a un'etichetta condotte che semmai apparterrebbero a persone. Nei blocchi si nominano le persone, una per una, oppure non si nomina.</w:t>
      </w:r>
    </w:p>
    <w:p>
      <w:pPr>
        <w:spacing w:after="120" w:line="276"/>
        <w:jc w:val="both"/>
      </w:pPr>
      <w:r>
        <w:rPr>
          <w:rFonts w:ascii="Barlow Semi Condensed" w:cs="Barlow Semi Condensed" w:eastAsia="Barlow Semi Condensed" w:hAnsi="Barlow Semi Condensed"/>
          <w:b/>
          <w:bCs/>
          <w:sz w:val="24"/>
          <w:szCs w:val="24"/>
        </w:rPr>
        <w:t xml:space="preserve">14 · Chi non era nella fotografia.</w:t>
      </w:r>
      <w:r>
        <w:rPr>
          <w:rFonts w:ascii="Barlow Semi Condensed" w:cs="Barlow Semi Condensed" w:eastAsia="Barlow Semi Condensed" w:hAnsi="Barlow Semi Condensed"/>
          <w:sz w:val="24"/>
          <w:szCs w:val="24"/>
        </w:rPr>
        <w:t xml:space="preserve"> Elon Musk non partecipò alla fotografia del servizio di Fortune del 2007. Il dato è minuto e decisivo, perché la vulgata colloca abitualmente in quell'inquadratura persone che l'inquadratura non conteneva. Chi costruisce una continuità sudafricana passando per quell'immagine costruisce su una didascalia sbagliata. Verificare chi vi comparisse è un'operazione di dieci minuti sull'annata della rivista, e quasi nessuno, fra quanti ne scrivono, la compie.</w:t>
      </w:r>
    </w:p>
    <w:p>
      <w:pPr>
        <w:spacing w:after="120" w:line="276"/>
        <w:jc w:val="both"/>
      </w:pPr>
      <w:r>
        <w:rPr>
          <w:rFonts w:ascii="Barlow Semi Condensed" w:cs="Barlow Semi Condensed" w:eastAsia="Barlow Semi Condensed" w:hAnsi="Barlow Semi Condensed"/>
          <w:b/>
          <w:bCs/>
          <w:sz w:val="24"/>
          <w:szCs w:val="24"/>
        </w:rPr>
        <w:t xml:space="preserve">15 · Come si legge una fonte militante.</w:t>
      </w:r>
      <w:r>
        <w:rPr>
          <w:rFonts w:ascii="Barlow Semi Condensed" w:cs="Barlow Semi Condensed" w:eastAsia="Barlow Semi Condensed" w:hAnsi="Barlow Semi Condensed"/>
          <w:sz w:val="24"/>
          <w:szCs w:val="24"/>
        </w:rPr>
        <w:t xml:space="preserve"> Una fonte militante non è per ciò stesso falsa, ed è qui la difficoltà. Si legge come si legge una memoria di parte in un processo: se ne trattiene ciò che risulta verificabile altrove e si scarta ciò che è soltanto asserito. Il criterio operativo è uno solo: quale documento primario cita, con quale segnatura. Un sito che non cita nulla non è una fonte debole, non è una fonte.</w:t>
      </w:r>
    </w:p>
    <w:p>
      <w:pPr>
        <w:spacing w:after="120" w:line="276"/>
        <w:jc w:val="both"/>
      </w:pPr>
      <w:r>
        <w:rPr>
          <w:rFonts w:ascii="Barlow Semi Condensed" w:cs="Barlow Semi Condensed" w:eastAsia="Barlow Semi Condensed" w:hAnsi="Barlow Semi Condensed"/>
          <w:b/>
          <w:bCs/>
          <w:sz w:val="24"/>
          <w:szCs w:val="24"/>
        </w:rPr>
        <w:t xml:space="preserve">16 · Le due fonti escluse.</w:t>
      </w:r>
      <w:r>
        <w:rPr>
          <w:rFonts w:ascii="Barlow Semi Condensed" w:cs="Barlow Semi Condensed" w:eastAsia="Barlow Semi Condensed" w:hAnsi="Barlow Semi Condensed"/>
          <w:sz w:val="24"/>
          <w:szCs w:val="24"/>
        </w:rPr>
        <w:t xml:space="preserve"> Il committente ha escluso due fonti: un quotidiano italiano e un'enciclopedia in rete generata automaticamente. Il divieto si registra e si osserva, e le due non si citano mai, nemmeno per confutarle. Sulla seconda va aggiunto un rilievo di metodo che il divieto rende superfluo ma che resta vero: su questa materia essa è parte in causa, e una parte non può essere arbitro di se stessa.</w:t>
      </w:r>
    </w:p>
    <w:p>
      <w:pPr>
        <w:spacing w:after="120" w:line="276"/>
        <w:jc w:val="both"/>
      </w:pPr>
      <w:r>
        <w:rPr>
          <w:rFonts w:ascii="Barlow Semi Condensed" w:cs="Barlow Semi Condensed" w:eastAsia="Barlow Semi Condensed" w:hAnsi="Barlow Semi Condensed"/>
          <w:b/>
          <w:bCs/>
          <w:sz w:val="24"/>
          <w:szCs w:val="24"/>
        </w:rPr>
        <w:t xml:space="preserve">17 · La letteratura in rete è inquinata.</w:t>
      </w:r>
      <w:r>
        <w:rPr>
          <w:rFonts w:ascii="Barlow Semi Condensed" w:cs="Barlow Semi Condensed" w:eastAsia="Barlow Semi Condensed" w:hAnsi="Barlow Semi Condensed"/>
          <w:sz w:val="24"/>
          <w:szCs w:val="24"/>
        </w:rPr>
        <w:t xml:space="preserve"> Sul tema esistono decine di siti d'accusa e di difesa che ripetono formulazioni identiche senza aggiungere un solo documento. L'inquinamento è simmetrico: l'apologia non è più affidabile dell'accusa, e spesso è la medesima frase con il segno rovesciato. La gerarchia delle fonti adottata qui è dichiarata e non negoziabile — archivi primari, atti giudiziari, depositi societari, atti delle Nazioni Unite, stampa d'epoca datata e citabile.</w:t>
      </w:r>
    </w:p>
    <w:p>
      <w:pPr>
        <w:spacing w:after="120" w:line="276"/>
        <w:jc w:val="both"/>
      </w:pPr>
      <w:r>
        <w:rPr>
          <w:rFonts w:ascii="Barlow Semi Condensed" w:cs="Barlow Semi Condensed" w:eastAsia="Barlow Semi Condensed" w:hAnsi="Barlow Semi Condensed"/>
          <w:b/>
          <w:bCs/>
          <w:sz w:val="24"/>
          <w:szCs w:val="24"/>
        </w:rPr>
        <w:t xml:space="preserve">18 · Come si scrive uno Stato Zero.</w:t>
      </w:r>
      <w:r>
        <w:rPr>
          <w:rFonts w:ascii="Barlow Semi Condensed" w:cs="Barlow Semi Condensed" w:eastAsia="Barlow Semi Condensed" w:hAnsi="Barlow Semi Condensed"/>
          <w:sz w:val="24"/>
          <w:szCs w:val="24"/>
        </w:rPr>
        <w:t xml:space="preserve"> Uno Stato Zero non è un'ammissione di fallimento: è un accertamento. Si scrive nominando che cosa si è cercato, presso quale sede, in quale fondo, con quale chiave di ricerca, e che cosa non si è trovato. Senza queste quattro voci non è uno Stato Zero, è un'alzata di spalle. Il corpus lo pratica già nei versanti greco e turco della cartella della Farnesina, dove l'esito negativo è dichiarato per esteso.</w:t>
      </w:r>
    </w:p>
    <w:p>
      <w:pPr>
        <w:spacing w:after="120" w:line="276"/>
        <w:jc w:val="both"/>
      </w:pPr>
      <w:r>
        <w:rPr>
          <w:rFonts w:ascii="Barlow Semi Condensed" w:cs="Barlow Semi Condensed" w:eastAsia="Barlow Semi Condensed" w:hAnsi="Barlow Semi Condensed"/>
          <w:b/>
          <w:bCs/>
          <w:sz w:val="24"/>
          <w:szCs w:val="24"/>
        </w:rPr>
        <w:t xml:space="preserve">19 · Il valore probatorio dell'assenza.</w:t>
      </w:r>
      <w:r>
        <w:rPr>
          <w:rFonts w:ascii="Barlow Semi Condensed" w:cs="Barlow Semi Condensed" w:eastAsia="Barlow Semi Condensed" w:hAnsi="Barlow Semi Condensed"/>
          <w:sz w:val="24"/>
          <w:szCs w:val="24"/>
        </w:rPr>
        <w:t xml:space="preserve"> L'assenza documentata ha pieno valore e va pubblicata con la stessa evidenza del riscontro positivo: lo prescrive il blocco 276 del manuale investigativo, che censisce fra gli errori tipici il silenzio sugli esiti negativi, perché lascia vivere leggende già smentite. Qui la regola pesa più che altrove: una ricerca a vuoto su un nome vivente è precisamente ciò che protegge quel nome, e tacerla è una scelta che danneggia.</w:t>
      </w:r>
    </w:p>
    <w:p>
      <w:pPr>
        <w:spacing w:after="120" w:line="276"/>
        <w:jc w:val="both"/>
      </w:pPr>
      <w:r>
        <w:rPr>
          <w:rFonts w:ascii="Barlow Semi Condensed" w:cs="Barlow Semi Condensed" w:eastAsia="Barlow Semi Condensed" w:hAnsi="Barlow Semi Condensed"/>
          <w:b/>
          <w:bCs/>
          <w:sz w:val="24"/>
          <w:szCs w:val="24"/>
        </w:rPr>
        <w:t xml:space="preserve">20 · Il criterio di dismissione della tesi.</w:t>
      </w:r>
      <w:r>
        <w:rPr>
          <w:rFonts w:ascii="Barlow Semi Condensed" w:cs="Barlow Semi Condensed" w:eastAsia="Barlow Semi Condensed" w:hAnsi="Barlow Semi Condensed"/>
          <w:sz w:val="24"/>
          <w:szCs w:val="24"/>
        </w:rPr>
        <w:t xml:space="preserve"> Qui si fissa la condizione alla quale l'opera abbandona la tesi di continuità: se al termine delle tredici serie nessun blocco avrà prodotto un documento di piano uno, la tesi sarà dichiarata non sostenuta, e quello sarà il risultato dell'opera. Non si ripiegherà su formule attenuate — clima, atmosfera, mentalità — che sopravvivono a qualunque evidenza. Una tesi che nessun esito può abbattere non è mai stata messa alla prova.</w:t>
      </w:r>
    </w:p>
    <w:p>
      <w:pPr>
        <w:spacing w:after="120" w:line="276"/>
        <w:jc w:val="both"/>
      </w:pPr>
      <w:r>
        <w:rPr>
          <w:rFonts w:ascii="Barlow Semi Condensed" w:cs="Barlow Semi Condensed" w:eastAsia="Barlow Semi Condensed" w:hAnsi="Barlow Semi Condensed"/>
          <w:b/>
          <w:bCs/>
          <w:sz w:val="24"/>
          <w:szCs w:val="24"/>
        </w:rPr>
        <w:t xml:space="preserve">21 · Il registro delle correzioni.</w:t>
      </w:r>
      <w:r>
        <w:rPr>
          <w:rFonts w:ascii="Barlow Semi Condensed" w:cs="Barlow Semi Condensed" w:eastAsia="Barlow Semi Condensed" w:hAnsi="Barlow Semi Condensed"/>
          <w:sz w:val="24"/>
          <w:szCs w:val="24"/>
        </w:rPr>
        <w:t xml:space="preserve"> Ogni serie apre e mantiene il proprio registro: che cosa è stato scritto, che cosa emendato, su quale documento, in quale data. Il testo errato non si cancella, si annota — istituto che il corpus applica nella Nota di revisione numero uno del proprio dossier falsificazionista. Chi cancella l'errore cancella la prova di averlo commesso, e con essa la possibilità che un lettore misuri il tasso di errore invece di supporlo.</w:t>
      </w:r>
    </w:p>
    <w:p>
      <w:pPr>
        <w:spacing w:after="120" w:line="276"/>
        <w:jc w:val="both"/>
      </w:pPr>
      <w:r>
        <w:rPr>
          <w:rFonts w:ascii="Barlow Semi Condensed" w:cs="Barlow Semi Condensed" w:eastAsia="Barlow Semi Condensed" w:hAnsi="Barlow Semi Condensed"/>
          <w:b/>
          <w:bCs/>
          <w:sz w:val="24"/>
          <w:szCs w:val="24"/>
        </w:rPr>
        <w:t xml:space="preserve">22 · Smentita per assenza di provenienza.</w:t>
      </w:r>
      <w:r>
        <w:rPr>
          <w:rFonts w:ascii="Barlow Semi Condensed" w:cs="Barlow Semi Condensed" w:eastAsia="Barlow Semi Condensed" w:hAnsi="Barlow Semi Condensed"/>
          <w:sz w:val="24"/>
          <w:szCs w:val="24"/>
        </w:rPr>
        <w:t xml:space="preserve"> Che cosa falsificherebbe la tesi? Il primo bersaglio è la ricognizione integrale dei depositi societari — SEC EDGAR per gli Stati Uniti, Companies House per il Regno Unito, la Commissione sudafricana per le imprese — senza che compaia un solo atto in cui una delle società californiane nominate risulti collegata a un'entità sudafricana dell'epoca dell'apartheid. Ricognizione completa ed esito nullo: la tesi perde il suo unico terreno di piano uno.</w:t>
      </w:r>
    </w:p>
    <w:p>
      <w:pPr>
        <w:spacing w:after="120" w:line="276"/>
        <w:jc w:val="both"/>
      </w:pPr>
      <w:r>
        <w:rPr>
          <w:rFonts w:ascii="Barlow Semi Condensed" w:cs="Barlow Semi Condensed" w:eastAsia="Barlow Semi Condensed" w:hAnsi="Barlow Semi Condensed"/>
          <w:b/>
          <w:bCs/>
          <w:sz w:val="24"/>
          <w:szCs w:val="24"/>
        </w:rPr>
        <w:t xml:space="preserve">23 · Smentita per anagrafe e cronologia.</w:t>
      </w:r>
      <w:r>
        <w:rPr>
          <w:rFonts w:ascii="Barlow Semi Condensed" w:cs="Barlow Semi Condensed" w:eastAsia="Barlow Semi Condensed" w:hAnsi="Barlow Semi Condensed"/>
          <w:sz w:val="24"/>
          <w:szCs w:val="24"/>
        </w:rPr>
        <w:t xml:space="preserve"> Un secondo bersaglio è cronologico. Se le date di residenza, iscrizione scolastica e impiego dei soggetti — ricavabili da registri civili, annuari scolastici, atti di naturalizzazione e visti — collocassero ciascuno fuori dalla finestra in cui il contatto ipotizzato sarebbe stato materialmente possibile, la continuità personale cadrebbe per impossibilità, senza che occorra discutere le intenzioni di nessuno. È la smentita più pulita disponibile, e va tentata per prima.</w:t>
      </w:r>
    </w:p>
    <w:p>
      <w:pPr>
        <w:spacing w:after="120" w:line="276"/>
        <w:jc w:val="both"/>
      </w:pPr>
      <w:r>
        <w:rPr>
          <w:rFonts w:ascii="Barlow Semi Condensed" w:cs="Barlow Semi Condensed" w:eastAsia="Barlow Semi Condensed" w:hAnsi="Barlow Semi Condensed"/>
          <w:b/>
          <w:bCs/>
          <w:sz w:val="24"/>
          <w:szCs w:val="24"/>
        </w:rPr>
        <w:t xml:space="preserve">24 · Smentita per genealogia della dottrina.</w:t>
      </w:r>
      <w:r>
        <w:rPr>
          <w:rFonts w:ascii="Barlow Semi Condensed" w:cs="Barlow Semi Condensed" w:eastAsia="Barlow Semi Condensed" w:hAnsi="Barlow Semi Condensed"/>
          <w:sz w:val="24"/>
          <w:szCs w:val="24"/>
        </w:rPr>
        <w:t xml:space="preserve"> Terzo bersaglio. Se le dottrine imprenditoriali attribuite ai soggetti risultassero documentabilmente derivate da fonti statunitensi anteriori e indipendenti — testi, corsi, ambienti accademici californiani degli anni Settanta e Ottanta — la somiglianza col discorso sudafricano si spiegherebbe per antenato diverso, e l'omologia crollerebbe in analogia. La verifica si conduce nei fondi delle biblioteche universitarie e nei cataloghi editoriali, non nei commentari in rete.</w:t>
      </w:r>
    </w:p>
    <w:p>
      <w:pPr>
        <w:spacing w:after="120" w:line="276"/>
        <w:jc w:val="both"/>
      </w:pPr>
      <w:r>
        <w:rPr>
          <w:rFonts w:ascii="Barlow Semi Condensed" w:cs="Barlow Semi Condensed" w:eastAsia="Barlow Semi Condensed" w:hAnsi="Barlow Semi Condensed"/>
          <w:b/>
          <w:bCs/>
          <w:sz w:val="24"/>
          <w:szCs w:val="24"/>
        </w:rPr>
        <w:t xml:space="preserve">25 · Smentita per atto costitutivo ritrovato.</w:t>
      </w:r>
      <w:r>
        <w:rPr>
          <w:rFonts w:ascii="Barlow Semi Condensed" w:cs="Barlow Semi Condensed" w:eastAsia="Barlow Semi Condensed" w:hAnsi="Barlow Semi Condensed"/>
          <w:sz w:val="24"/>
          <w:szCs w:val="24"/>
        </w:rPr>
        <w:t xml:space="preserve"> Quarto bersaglio, rivolto contro un'affermazione di quest'opera. Si è scritto che la «PayPal Mafia» non è un ente. Se comparisse un atto costitutivo, uno statuto, un patto parasociale o un registro di adesioni che desse alla locuzione un contenuto giuridico, l'affermazione cadrebbe e andrebbe corretta nel registro. La sede naturale della verifica sono i registri societari del Delaware e della California, e nessuno risulta averla condotta.</w:t>
      </w:r>
    </w:p>
    <w:p>
      <w:pPr>
        <w:spacing w:after="120" w:line="276"/>
        <w:jc w:val="both"/>
      </w:pPr>
      <w:r>
        <w:rPr>
          <w:rFonts w:ascii="Barlow Semi Condensed" w:cs="Barlow Semi Condensed" w:eastAsia="Barlow Semi Condensed" w:hAnsi="Barlow Semi Condensed"/>
          <w:b/>
          <w:bCs/>
          <w:sz w:val="24"/>
          <w:szCs w:val="24"/>
        </w:rPr>
        <w:t xml:space="preserve">26 · Smentita per titolo minerario esibito.</w:t>
      </w:r>
      <w:r>
        <w:rPr>
          <w:rFonts w:ascii="Barlow Semi Condensed" w:cs="Barlow Semi Condensed" w:eastAsia="Barlow Semi Condensed" w:hAnsi="Barlow Semi Condensed"/>
          <w:sz w:val="24"/>
          <w:szCs w:val="24"/>
        </w:rPr>
        <w:t xml:space="preserve"> Quinto bersaglio. Sulla miniera di smeraldi attribuita a Errol Musk nessun documento di titolarità è mai emerso. Se un titolo minerario zambiano, una licenza di esportazione o un registro doganale nominasse l'interessato, la divergenza si chiuderebbe in un senso; se la ricognizione presso il ministero competente a Lusaka desse esito nullo e verbalizzato, si chiuderebbe nell'altro. Oggi non è chiusa, e l'opera la lascia aperta come tale.</w:t>
      </w:r>
    </w:p>
    <w:p>
      <w:pPr>
        <w:spacing w:after="120" w:line="276"/>
        <w:jc w:val="both"/>
      </w:pPr>
      <w:r>
        <w:rPr>
          <w:rFonts w:ascii="Barlow Semi Condensed" w:cs="Barlow Semi Condensed" w:eastAsia="Barlow Semi Condensed" w:hAnsi="Barlow Semi Condensed"/>
          <w:b/>
          <w:bCs/>
          <w:sz w:val="24"/>
          <w:szCs w:val="24"/>
        </w:rPr>
        <w:t xml:space="preserve">27 · Smentita per registro di iscritti.</w:t>
      </w:r>
      <w:r>
        <w:rPr>
          <w:rFonts w:ascii="Barlow Semi Condensed" w:cs="Barlow Semi Condensed" w:eastAsia="Barlow Semi Condensed" w:hAnsi="Barlow Semi Condensed"/>
          <w:sz w:val="24"/>
          <w:szCs w:val="24"/>
        </w:rPr>
        <w:t xml:space="preserve"> Sesto bersaglio. Di Joshua Norman Haldeman non risulta prova di appartenenza a partiti nazisti: è uno Stato Zero verificato, non un'assoluzione morale né un'accusa smentita a metà. Se emergesse un registro di iscritti o un fascicolo di polizia — presso Library and Archives Canada, oppure nei fondi di sicurezza canadesi — lo Stato Zero cadrebbe e andrebbe riscritto. Fino ad allora si scrive quel che c'è, cioè nulla.</w:t>
      </w:r>
    </w:p>
    <w:p>
      <w:pPr>
        <w:spacing w:after="120" w:line="276"/>
        <w:jc w:val="both"/>
      </w:pPr>
      <w:r>
        <w:rPr>
          <w:rFonts w:ascii="Barlow Semi Condensed" w:cs="Barlow Semi Condensed" w:eastAsia="Barlow Semi Condensed" w:hAnsi="Barlow Semi Condensed"/>
          <w:b/>
          <w:bCs/>
          <w:sz w:val="24"/>
          <w:szCs w:val="24"/>
        </w:rPr>
        <w:t xml:space="preserve">28 · I due Botha non erano parenti.</w:t>
      </w:r>
      <w:r>
        <w:rPr>
          <w:rFonts w:ascii="Barlow Semi Condensed" w:cs="Barlow Semi Condensed" w:eastAsia="Barlow Semi Condensed" w:hAnsi="Barlow Semi Condensed"/>
          <w:sz w:val="24"/>
          <w:szCs w:val="24"/>
        </w:rPr>
        <w:t xml:space="preserve"> Roelof Frederik «Pik» Botha, ministro degli Esteri sudafricano dal 1977 al 1994 e poi ministro delle Miniere e dell'Energia nel primo governo Mandela, non era parente di Pieter Willem Botha, presidente dello Stato. Confonderli è l'errore più diffuso su questa materia, e produce non un dettaglio sbagliato ma un fatto inesistente — come il corpus ha già registrato a proposito di Orfila nella triangolazione guevariana.</w:t>
      </w:r>
    </w:p>
    <w:p>
      <w:pPr>
        <w:spacing w:after="120" w:line="276"/>
        <w:jc w:val="both"/>
      </w:pPr>
      <w:r>
        <w:rPr>
          <w:rFonts w:ascii="Barlow Semi Condensed" w:cs="Barlow Semi Condensed" w:eastAsia="Barlow Semi Condensed" w:hAnsi="Barlow Semi Condensed"/>
          <w:b/>
          <w:bCs/>
          <w:sz w:val="24"/>
          <w:szCs w:val="24"/>
        </w:rPr>
        <w:t xml:space="preserve">29 · Una parentela di piano uno.</w:t>
      </w:r>
      <w:r>
        <w:rPr>
          <w:rFonts w:ascii="Barlow Semi Condensed" w:cs="Barlow Semi Condensed" w:eastAsia="Barlow Semi Condensed" w:hAnsi="Barlow Semi Condensed"/>
          <w:sz w:val="24"/>
          <w:szCs w:val="24"/>
        </w:rPr>
        <w:t xml:space="preserve"> Il direttore finanziario di PayPal, poi socio e managing partner di Sequoia Capital, Roelof Botha, è nipote di Pik Botha. La parentela è documentata e sta al piano uno: è un rapporto diretto attestato. Ma ciò che sta al piano uno è la parentela, e soltanto quella. Nessuna condotta discende da un albero genealogico, e nessun blocco può usare quel legame come premessa di un'inferenza sul comportamento di alcuno.</w:t>
      </w:r>
    </w:p>
    <w:p>
      <w:pPr>
        <w:spacing w:after="120" w:line="276"/>
        <w:jc w:val="both"/>
      </w:pPr>
      <w:r>
        <w:rPr>
          <w:rFonts w:ascii="Barlow Semi Condensed" w:cs="Barlow Semi Condensed" w:eastAsia="Barlow Semi Condensed" w:hAnsi="Barlow Semi Condensed"/>
          <w:b/>
          <w:bCs/>
          <w:sz w:val="24"/>
          <w:szCs w:val="24"/>
        </w:rPr>
        <w:t xml:space="preserve">30 · Che cosa una parentela consente.</w:t>
      </w:r>
      <w:r>
        <w:rPr>
          <w:rFonts w:ascii="Barlow Semi Condensed" w:cs="Barlow Semi Condensed" w:eastAsia="Barlow Semi Condensed" w:hAnsi="Barlow Semi Condensed"/>
          <w:sz w:val="24"/>
          <w:szCs w:val="24"/>
        </w:rPr>
        <w:t xml:space="preserve"> Un legame di parentela non prova nulla, ma legittima una domanda precisa, ed è questo il suo uso corretto: esistono, nei fondi del Department of Foreign Affairs conservati presso i National Archives of South Africa a Pretoria, carte in cui il nome del nipote compaia? La risposta attesa è negativa. Formulare la domanda e verbalizzarne l'esito vale infinitamente più di qualunque considerazione sul significato di un cognome.</w:t>
      </w:r>
    </w:p>
    <w:p>
      <w:pPr>
        <w:spacing w:after="120" w:line="276"/>
        <w:jc w:val="both"/>
      </w:pPr>
      <w:r>
        <w:rPr>
          <w:rFonts w:ascii="Barlow Semi Condensed" w:cs="Barlow Semi Condensed" w:eastAsia="Barlow Semi Condensed" w:hAnsi="Barlow Semi Condensed"/>
          <w:b/>
          <w:bCs/>
          <w:sz w:val="24"/>
          <w:szCs w:val="24"/>
        </w:rPr>
        <w:t xml:space="preserve">31 · Swakopmund, negli anni di Rössing.</w:t>
      </w:r>
      <w:r>
        <w:rPr>
          <w:rFonts w:ascii="Barlow Semi Condensed" w:cs="Barlow Semi Condensed" w:eastAsia="Barlow Semi Condensed" w:hAnsi="Barlow Semi Condensed"/>
          <w:sz w:val="24"/>
          <w:szCs w:val="24"/>
        </w:rPr>
        <w:t xml:space="preserve"> Peter Thiel, nato a Francoforte nel 1967, visse a Swakopmund, nell'Africa del Sud-Ovest allora amministrata dal Sud Africa, intorno al 1975-1977, negli anni della costruzione della miniera di uranio di Rössing; il padre Klaus, ingegnere chimico, lavorava per un'impresa del cantiere. Frequentò poi a Johannesburg una scuola preparatoria riservata ai bianchi. Sono fatti biografici pubblici: dove abiti un bambino di otto anni non è una condotta.</w:t>
      </w:r>
    </w:p>
    <w:p>
      <w:pPr>
        <w:spacing w:after="120" w:line="276"/>
        <w:jc w:val="both"/>
      </w:pPr>
      <w:r>
        <w:rPr>
          <w:rFonts w:ascii="Barlow Semi Condensed" w:cs="Barlow Semi Condensed" w:eastAsia="Barlow Semi Condensed" w:hAnsi="Barlow Semi Condensed"/>
          <w:b/>
          <w:bCs/>
          <w:sz w:val="24"/>
          <w:szCs w:val="24"/>
        </w:rPr>
        <w:t xml:space="preserve">32 · La tesi su Rössing resta terziaria.</w:t>
      </w:r>
      <w:r>
        <w:rPr>
          <w:rFonts w:ascii="Barlow Semi Condensed" w:cs="Barlow Semi Condensed" w:eastAsia="Barlow Semi Condensed" w:hAnsi="Barlow Semi Condensed"/>
          <w:sz w:val="24"/>
          <w:szCs w:val="24"/>
        </w:rPr>
        <w:t xml:space="preserve"> Che la miniera di Rössing servisse il programma nucleare militare sudafricano circola su fonti militanti e non viene adottata qui. Resta affermazione di piano tre finché non la sostenga documentazione primaria: registri di spedizione, contratti di fornitura, atti dell'Agenzia internazionale per l'energia atomica, oppure le carte del Consiglio delle Nazioni Unite per la Namibia e il Decreto numero uno del 1974 sulle risorse naturali. Bersaglio da verificare, non acquisizione.</w:t>
      </w:r>
    </w:p>
    <w:p>
      <w:pPr>
        <w:spacing w:after="120" w:line="276"/>
        <w:jc w:val="both"/>
      </w:pPr>
      <w:r>
        <w:rPr>
          <w:rFonts w:ascii="Barlow Semi Condensed" w:cs="Barlow Semi Condensed" w:eastAsia="Barlow Semi Condensed" w:hAnsi="Barlow Semi Condensed"/>
          <w:b/>
          <w:bCs/>
          <w:sz w:val="24"/>
          <w:szCs w:val="24"/>
        </w:rPr>
        <w:t xml:space="preserve">33 · Le sedi che chiuderebbero Rössing.</w:t>
      </w:r>
      <w:r>
        <w:rPr>
          <w:rFonts w:ascii="Barlow Semi Condensed" w:cs="Barlow Semi Condensed" w:eastAsia="Barlow Semi Condensed" w:hAnsi="Barlow Semi Condensed"/>
          <w:sz w:val="24"/>
          <w:szCs w:val="24"/>
        </w:rPr>
        <w:t xml:space="preserve"> Quattro sedi possono chiudere quel quesito, e hanno indirizzi precisi: i National Archives of Namibia a Windhoek per l'amministrazione del territorio, i National Archives of South Africa a Pretoria per i dicasteri competenti, gli archivi delle Nazioni Unite a New York per il Consiglio per la Namibia, e i depositi d'impresa britannici per la società capofila del consorzio. Nessuna risulta interrogata da chi afferma la tesi.</w:t>
      </w:r>
    </w:p>
    <w:p>
      <w:pPr>
        <w:spacing w:after="120" w:line="276"/>
        <w:jc w:val="both"/>
      </w:pPr>
      <w:r>
        <w:rPr>
          <w:rFonts w:ascii="Barlow Semi Condensed" w:cs="Barlow Semi Condensed" w:eastAsia="Barlow Semi Condensed" w:hAnsi="Barlow Semi Condensed"/>
          <w:b/>
          <w:bCs/>
          <w:sz w:val="24"/>
          <w:szCs w:val="24"/>
        </w:rPr>
        <w:t xml:space="preserve">34 · Il nonno di cui restano le parole.</w:t>
      </w:r>
      <w:r>
        <w:rPr>
          <w:rFonts w:ascii="Barlow Semi Condensed" w:cs="Barlow Semi Condensed" w:eastAsia="Barlow Semi Condensed" w:hAnsi="Barlow Semi Condensed"/>
          <w:sz w:val="24"/>
          <w:szCs w:val="24"/>
        </w:rPr>
        <w:t xml:space="preserve"> Joshua Norman Haldeman, canadese, nato nel 1902 e morto nel 1974, aderente al movimento Technocracy, emigrò in Sud Africa nel 1950 e vi sostenne pubblicamente l'apartheid, esprimendo ripetutamente posizioni razziste e antisemite. La fonte citabile è l'inchiesta della CBC, che lavora su scritti e corrispondenza dell'uomo. Le sue parole sono documentate e si riportano per quello che sono, senza attenuazioni e senza estensioni ad altri.</w:t>
      </w:r>
    </w:p>
    <w:p>
      <w:pPr>
        <w:spacing w:after="120" w:line="276"/>
        <w:jc w:val="both"/>
      </w:pPr>
      <w:r>
        <w:rPr>
          <w:rFonts w:ascii="Barlow Semi Condensed" w:cs="Barlow Semi Condensed" w:eastAsia="Barlow Semi Condensed" w:hAnsi="Barlow Semi Condensed"/>
          <w:b/>
          <w:bCs/>
          <w:sz w:val="24"/>
          <w:szCs w:val="24"/>
        </w:rPr>
        <w:t xml:space="preserve">35 · Le opinioni non si ereditano.</w:t>
      </w:r>
      <w:r>
        <w:rPr>
          <w:rFonts w:ascii="Barlow Semi Condensed" w:cs="Barlow Semi Condensed" w:eastAsia="Barlow Semi Condensed" w:hAnsi="Barlow Semi Condensed"/>
          <w:sz w:val="24"/>
          <w:szCs w:val="24"/>
        </w:rPr>
        <w:t xml:space="preserve"> Le posizioni di Joshua Haldeman non si attribuiscono al nipote: è il divieto centrale di quest'opera, e vale soprattutto quando la tentazione è massima. In biologia un carattere si trasmette; in storia la responsabilità no — la formula è della tredicesima serie della triangolazione Kissinger, e viene qui adottata alla lettera. Un antenato è un fatto biografico del discendente, non un suo predicato morale.</w:t>
      </w:r>
    </w:p>
    <w:p>
      <w:pPr>
        <w:spacing w:after="120" w:line="276"/>
        <w:jc w:val="both"/>
      </w:pPr>
      <w:r>
        <w:rPr>
          <w:rFonts w:ascii="Barlow Semi Condensed" w:cs="Barlow Semi Condensed" w:eastAsia="Barlow Semi Condensed" w:hAnsi="Barlow Semi Condensed"/>
          <w:b/>
          <w:bCs/>
          <w:sz w:val="24"/>
          <w:szCs w:val="24"/>
        </w:rPr>
        <w:t xml:space="preserve">36 · La divergenza sugli smeraldi.</w:t>
      </w:r>
      <w:r>
        <w:rPr>
          <w:rFonts w:ascii="Barlow Semi Condensed" w:cs="Barlow Semi Condensed" w:eastAsia="Barlow Semi Condensed" w:hAnsi="Barlow Semi Condensed"/>
          <w:sz w:val="24"/>
          <w:szCs w:val="24"/>
        </w:rPr>
        <w:t xml:space="preserve"> Sulla vicenda della miniera di smeraldi le versioni non coincidono: il padre rivendica un'attività informale in Zambia; Elon Musk ha pubblicamente negato che una miniera esistesse e ne ha chiesto la prova; il biografo Walter Isaacson descrive un'acquisizione informale di pietre grezze, non una proprietà mineraria. Nessun documento di titolarità è mai emerso. La divergenza si riporta per intero e non si scioglie scegliendo in silenzio la versione più comoda.</w:t>
      </w:r>
    </w:p>
    <w:p>
      <w:pPr>
        <w:spacing w:after="120" w:line="276"/>
        <w:jc w:val="both"/>
      </w:pPr>
      <w:r>
        <w:rPr>
          <w:rFonts w:ascii="Barlow Semi Condensed" w:cs="Barlow Semi Condensed" w:eastAsia="Barlow Semi Condensed" w:hAnsi="Barlow Semi Condensed"/>
          <w:b/>
          <w:bCs/>
          <w:sz w:val="24"/>
          <w:szCs w:val="24"/>
        </w:rPr>
        <w:t xml:space="preserve">37 · Il solo ponte col corpus.</w:t>
      </w:r>
      <w:r>
        <w:rPr>
          <w:rFonts w:ascii="Barlow Semi Condensed" w:cs="Barlow Semi Condensed" w:eastAsia="Barlow Semi Condensed" w:hAnsi="Barlow Semi Condensed"/>
          <w:sz w:val="24"/>
          <w:szCs w:val="24"/>
        </w:rPr>
        <w:t xml:space="preserve"> Fra questa materia e gli altri Libri del corpus esiste un unico ponte documentato: il nodo E-16 della triangolazione Guevara-Moro, il discorso all'Assemblea Generale delle Nazioni Unite dell'11 dicembre 1964, dove la denuncia del colonialismo si estende alla «brutale politica dell'apartheid» in Sudafrica. È un ponte tematico, non un nesso fra persone. Nessun blocco lo userà per collegare uomini che non si sono mai incontrati.</w:t>
      </w:r>
    </w:p>
    <w:p>
      <w:pPr>
        <w:spacing w:after="120" w:line="276"/>
        <w:jc w:val="both"/>
      </w:pPr>
      <w:r>
        <w:rPr>
          <w:rFonts w:ascii="Barlow Semi Condensed" w:cs="Barlow Semi Condensed" w:eastAsia="Barlow Semi Condensed" w:hAnsi="Barlow Semi Condensed"/>
          <w:b/>
          <w:bCs/>
          <w:sz w:val="24"/>
          <w:szCs w:val="24"/>
        </w:rPr>
        <w:t xml:space="preserve">38 · La verifica meccanica, eseguita.</w:t>
      </w:r>
      <w:r>
        <w:rPr>
          <w:rFonts w:ascii="Barlow Semi Condensed" w:cs="Barlow Semi Condensed" w:eastAsia="Barlow Semi Condensed" w:hAnsi="Barlow Semi Condensed"/>
          <w:sz w:val="24"/>
          <w:szCs w:val="24"/>
        </w:rPr>
        <w:t xml:space="preserve"> La ricerca testuale è stata condotta sul branch pubblico, e l'esito va registrato: le stringhe Musk, Thiel, Botha, PayPal, Silicon Valley, Namibia, Swakopmund e Haldeman non compaiono in alcun documento del corpus. La stringa apartheid compare due volte, entrambe nel dominio guevariano. Quest'opera parte dunque da un corpus che sul proprio tema tace quasi per intero, ed è bene che il lettore lo sappia dalla prima serie. </w:t>
      </w:r>
      <w:r>
        <w:rPr>
          <w:rFonts w:ascii="Barlow Semi Condensed" w:cs="Barlow Semi Condensed" w:eastAsia="Barlow Semi Condensed" w:hAnsi="Barlow Semi Condensed"/>
          <w:b/>
          <w:bCs/>
          <w:sz w:val="24"/>
          <w:szCs w:val="24"/>
        </w:rPr>
        <w:t xml:space="preserve">[Aggiornamento del 26 agosto 2026 — il perimetro è cambiato, e va detto.]</w:t>
      </w:r>
      <w:r>
        <w:rPr>
          <w:rFonts w:ascii="Barlow Semi Condensed" w:cs="Barlow Semi Condensed" w:eastAsia="Barlow Semi Condensed" w:hAnsi="Barlow Semi Condensed"/>
          <w:sz w:val="24"/>
          <w:szCs w:val="24"/>
        </w:rPr>
        <w:t xml:space="preserve"> Questa ricognizione fu eseguita quando il corpus contava tredici Libri. Il 26 agosto 2026 vi è entrato, come </w:t>
      </w:r>
      <w:r>
        <w:rPr>
          <w:rFonts w:ascii="Barlow Semi Condensed" w:cs="Barlow Semi Condensed" w:eastAsia="Barlow Semi Condensed" w:hAnsi="Barlow Semi Condensed"/>
          <w:b/>
          <w:bCs/>
          <w:sz w:val="24"/>
          <w:szCs w:val="24"/>
        </w:rPr>
        <w:t xml:space="preserve">Libro quarto</w:t>
      </w:r>
      <w:r>
        <w:rPr>
          <w:rFonts w:ascii="Barlow Semi Condensed" w:cs="Barlow Semi Condensed" w:eastAsia="Barlow Semi Condensed" w:hAnsi="Barlow Semi Condensed"/>
          <w:sz w:val="24"/>
          <w:szCs w:val="24"/>
        </w:rPr>
        <w:t xml:space="preserve">, il Dossier maggiore dell'autore, e la ricognizione è stata rieseguita sul perimetro allargato. </w:t>
      </w:r>
      <w:r>
        <w:rPr>
          <w:rFonts w:ascii="Barlow Semi Condensed" w:cs="Barlow Semi Condensed" w:eastAsia="Barlow Semi Condensed" w:hAnsi="Barlow Semi Condensed"/>
          <w:b/>
          <w:bCs/>
          <w:sz w:val="24"/>
          <w:szCs w:val="24"/>
        </w:rPr>
        <w:t xml:space="preserve">L'esito muta su due stringhe e su una soltanto in modo sostanziale.</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Musk</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Thiel</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Botha</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Silicon Valley</w:t>
      </w:r>
      <w:r>
        <w:rPr>
          <w:rFonts w:ascii="Barlow Semi Condensed" w:cs="Barlow Semi Condensed" w:eastAsia="Barlow Semi Condensed" w:hAnsi="Barlow Semi Condensed"/>
          <w:sz w:val="24"/>
          <w:szCs w:val="24"/>
        </w:rPr>
        <w:t xml:space="preserve"> e «</w:t>
      </w:r>
      <w:r>
        <w:rPr>
          <w:rFonts w:ascii="Barlow Semi Condensed" w:cs="Barlow Semi Condensed" w:eastAsia="Barlow Semi Condensed" w:hAnsi="Barlow Semi Condensed"/>
          <w:i/>
          <w:iCs/>
          <w:sz w:val="24"/>
          <w:szCs w:val="24"/>
        </w:rPr>
        <w:t xml:space="preserve">Sud Africa</w:t>
      </w:r>
      <w:r>
        <w:rPr>
          <w:rFonts w:ascii="Barlow Semi Condensed" w:cs="Barlow Semi Condensed" w:eastAsia="Barlow Semi Condensed" w:hAnsi="Barlow Semi Condensed"/>
          <w:sz w:val="24"/>
          <w:szCs w:val="24"/>
        </w:rPr>
        <w:t xml:space="preserve">» restano a zero. </w:t>
      </w:r>
      <w:r>
        <w:rPr>
          <w:rFonts w:ascii="Barlow Semi Condensed" w:cs="Barlow Semi Condensed" w:eastAsia="Barlow Semi Condensed" w:hAnsi="Barlow Semi Condensed"/>
          <w:i/>
          <w:iCs/>
          <w:sz w:val="24"/>
          <w:szCs w:val="24"/>
        </w:rPr>
        <w:t xml:space="preserve">Namibia</w:t>
      </w:r>
      <w:r>
        <w:rPr>
          <w:rFonts w:ascii="Barlow Semi Condensed" w:cs="Barlow Semi Condensed" w:eastAsia="Barlow Semi Condensed" w:hAnsi="Barlow Semi Condensed"/>
          <w:sz w:val="24"/>
          <w:szCs w:val="24"/>
        </w:rPr>
        <w:t xml:space="preserve"> compare una volta, nell'aggettivo «namibiane». </w:t>
      </w:r>
      <w:r>
        <w:rPr>
          <w:rFonts w:ascii="Barlow Semi Condensed" w:cs="Barlow Semi Condensed" w:eastAsia="Barlow Semi Condensed" w:hAnsi="Barlow Semi Condensed"/>
          <w:b/>
          <w:bCs/>
          <w:sz w:val="24"/>
          <w:szCs w:val="24"/>
        </w:rPr>
        <w:t xml:space="preserve">PayPal compare una volta</w:t>
      </w:r>
      <w:r>
        <w:rPr>
          <w:rFonts w:ascii="Barlow Semi Condensed" w:cs="Barlow Semi Condensed" w:eastAsia="Barlow Semi Condensed" w:hAnsi="Barlow Semi Condensed"/>
          <w:sz w:val="24"/>
          <w:szCs w:val="24"/>
        </w:rPr>
        <w:t xml:space="preserve">, e il contesto è quello che conta: il Dossier maggiore vi dichiara di aver condotto </w:t>
      </w:r>
      <w:r>
        <w:rPr>
          <w:rFonts w:ascii="Barlow Semi Condensed" w:cs="Barlow Semi Condensed" w:eastAsia="Barlow Semi Condensed" w:hAnsi="Barlow Semi Condensed"/>
          <w:b/>
          <w:bCs/>
          <w:sz w:val="24"/>
          <w:szCs w:val="24"/>
        </w:rPr>
        <w:t xml:space="preserve">il riscontro sistematico fra i profili della cosiddetta PayPal Mafia e i nodi storici del proprio teatro</w:t>
      </w:r>
      <w:r>
        <w:rPr>
          <w:rFonts w:ascii="Barlow Semi Condensed" w:cs="Barlow Semi Condensed" w:eastAsia="Barlow Semi Condensed" w:hAnsi="Barlow Semi Condensed"/>
          <w:sz w:val="24"/>
          <w:szCs w:val="24"/>
        </w:rPr>
        <w:t xml:space="preserve">, certificando le radici australi di quattro profili come dati pubblici e </w:t>
      </w:r>
      <w:r>
        <w:rPr>
          <w:rFonts w:ascii="Barlow Semi Condensed" w:cs="Barlow Semi Condensed" w:eastAsia="Barlow Semi Condensed" w:hAnsi="Barlow Semi Condensed"/>
          <w:b/>
          <w:bCs/>
          <w:sz w:val="24"/>
          <w:szCs w:val="24"/>
        </w:rPr>
        <w:t xml:space="preserve">certificando con eguale nettezza l'esito negativo del riscontro</w:t>
      </w:r>
      <w:r>
        <w:rPr>
          <w:rFonts w:ascii="Barlow Semi Condensed" w:cs="Barlow Semi Condensed" w:eastAsia="Barlow Semi Condensed" w:hAnsi="Barlow Semi Condensed"/>
          <w:sz w:val="24"/>
          <w:szCs w:val="24"/>
        </w:rPr>
        <w:t xml:space="preserve">. Non è dunque una smentita dello Stato Zero: è la </w:t>
      </w:r>
      <w:r>
        <w:rPr>
          <w:rFonts w:ascii="Barlow Semi Condensed" w:cs="Barlow Semi Condensed" w:eastAsia="Barlow Semi Condensed" w:hAnsi="Barlow Semi Condensed"/>
          <w:b/>
          <w:bCs/>
          <w:sz w:val="24"/>
          <w:szCs w:val="24"/>
        </w:rPr>
        <w:t xml:space="preserve">verifica omologa di un'altra opera che perviene al medesimo esito negativo</w:t>
      </w:r>
      <w:r>
        <w:rPr>
          <w:rFonts w:ascii="Barlow Semi Condensed" w:cs="Barlow Semi Condensed" w:eastAsia="Barlow Semi Condensed" w:hAnsi="Barlow Semi Condensed"/>
          <w:sz w:val="24"/>
          <w:szCs w:val="24"/>
        </w:rPr>
        <w:t xml:space="preserve">, e uno Stato Zero confermato per via indipendente vale più di uno dichiarato una volta sola. Mutano invece in modo netto </w:t>
      </w:r>
      <w:r>
        <w:rPr>
          <w:rFonts w:ascii="Barlow Semi Condensed" w:cs="Barlow Semi Condensed" w:eastAsia="Barlow Semi Condensed" w:hAnsi="Barlow Semi Condensed"/>
          <w:i/>
          <w:iCs/>
          <w:sz w:val="24"/>
          <w:szCs w:val="24"/>
        </w:rPr>
        <w:t xml:space="preserve">apartheid</w:t>
      </w:r>
      <w:r>
        <w:rPr>
          <w:rFonts w:ascii="Barlow Semi Condensed" w:cs="Barlow Semi Condensed" w:eastAsia="Barlow Semi Condensed" w:hAnsi="Barlow Semi Condensed"/>
          <w:sz w:val="24"/>
          <w:szCs w:val="24"/>
        </w:rPr>
        <w:t xml:space="preserve"> (diciotto occorrenze nel nuovo Libro) e </w:t>
      </w:r>
      <w:r>
        <w:rPr>
          <w:rFonts w:ascii="Barlow Semi Condensed" w:cs="Barlow Semi Condensed" w:eastAsia="Barlow Semi Condensed" w:hAnsi="Barlow Semi Condensed"/>
          <w:i/>
          <w:iCs/>
          <w:sz w:val="24"/>
          <w:szCs w:val="24"/>
        </w:rPr>
        <w:t xml:space="preserve">sudafricano</w:t>
      </w:r>
      <w:r>
        <w:rPr>
          <w:rFonts w:ascii="Barlow Semi Condensed" w:cs="Barlow Semi Condensed" w:eastAsia="Barlow Semi Condensed" w:hAnsi="Barlow Semi Condensed"/>
          <w:sz w:val="24"/>
          <w:szCs w:val="24"/>
        </w:rPr>
        <w:t xml:space="preserve"> (quarantatré), perché la Fase quinta del Dossier tratta il Sudafrica dell'apartheid come nodo del proprio registro: il corpus non tace più quasi per intero sul tema di quest'opera, e chi legge deve saperlo. </w:t>
      </w:r>
      <w:r>
        <w:rPr>
          <w:rFonts w:ascii="Barlow Semi Condensed" w:cs="Barlow Semi Condensed" w:eastAsia="Barlow Semi Condensed" w:hAnsi="Barlow Semi Condensed"/>
          <w:b/>
          <w:bCs/>
          <w:sz w:val="24"/>
          <w:szCs w:val="24"/>
        </w:rPr>
        <w:t xml:space="preserve">La dichiarazione originaria non è stata riscritta</w:t>
      </w:r>
      <w:r>
        <w:rPr>
          <w:rFonts w:ascii="Barlow Semi Condensed" w:cs="Barlow Semi Condensed" w:eastAsia="Barlow Semi Condensed" w:hAnsi="Barlow Semi Condensed"/>
          <w:sz w:val="24"/>
          <w:szCs w:val="24"/>
        </w:rPr>
        <w:t xml:space="preserve">: sta sopra questa nota, come il metodo di quest'opera impone.</w:t>
      </w:r>
    </w:p>
    <w:p>
      <w:pPr>
        <w:spacing w:after="120" w:line="276"/>
        <w:jc w:val="both"/>
      </w:pPr>
      <w:r>
        <w:rPr>
          <w:rFonts w:ascii="Barlow Semi Condensed" w:cs="Barlow Semi Condensed" w:eastAsia="Barlow Semi Condensed" w:hAnsi="Barlow Semi Condensed"/>
          <w:b/>
          <w:bCs/>
          <w:sz w:val="24"/>
          <w:szCs w:val="24"/>
        </w:rPr>
        <w:t xml:space="preserve">39 · Un falso positivo da disinnescare.</w:t>
      </w:r>
      <w:r>
        <w:rPr>
          <w:rFonts w:ascii="Barlow Semi Condensed" w:cs="Barlow Semi Condensed" w:eastAsia="Barlow Semi Condensed" w:hAnsi="Barlow Semi Condensed"/>
          <w:sz w:val="24"/>
          <w:szCs w:val="24"/>
        </w:rPr>
        <w:t xml:space="preserve"> La stringa Sudafrica compare anche in un terzo luogo: la cronologia dell'espansione dell'Opus Dei nella ricognizione greca della cartella della Farnesina, dove il 1998 registra l'apertura sudafricana. È un'occorrenza strutturalmente estranea a questa materia, e serve qui da esempio, perché mostra il meccanismo del falso positivo — l'archivio risponde alla stringa, non alla domanda — e ricorda che una ricerca testuale non è ancora una ricerca.</w:t>
      </w:r>
    </w:p>
    <w:p>
      <w:pPr>
        <w:spacing w:after="120" w:line="276"/>
        <w:jc w:val="both"/>
      </w:pPr>
      <w:r>
        <w:rPr>
          <w:rFonts w:ascii="Barlow Semi Condensed" w:cs="Barlow Semi Condensed" w:eastAsia="Barlow Semi Condensed" w:hAnsi="Barlow Semi Condensed"/>
          <w:b/>
          <w:bCs/>
          <w:sz w:val="24"/>
          <w:szCs w:val="24"/>
        </w:rPr>
        <w:t xml:space="preserve">40 · Perché questa materia è pericolosa.</w:t>
      </w:r>
      <w:r>
        <w:rPr>
          <w:rFonts w:ascii="Barlow Semi Condensed" w:cs="Barlow Semi Condensed" w:eastAsia="Barlow Semi Condensed" w:hAnsi="Barlow Semi Condensed"/>
          <w:sz w:val="24"/>
          <w:szCs w:val="24"/>
        </w:rPr>
        <w:t xml:space="preserve"> È pericolosa perché tutti gli ingredienti dell'abuso vi si trovano insieme: un regime universalmente condannato, persone viventi molto potenti, un pubblico predisposto e una documentazione scarsa. In queste condizioni la tentazione combinatoria è massima, e il costo dell'errore ricade su nomi propri. Il rimedio non è la reticenza, che protegge soltanto chi scrive: è il metodo più severo applicato al materiale più eccitante, e dichiarato in anticipo.</w:t>
      </w:r>
    </w:p>
    <w:p>
      <w:pPr>
        <w:spacing w:after="120" w:line="276"/>
        <w:jc w:val="both"/>
      </w:pPr>
      <w:r>
        <w:rPr>
          <w:rFonts w:ascii="Barlow Semi Condensed" w:cs="Barlow Semi Condensed" w:eastAsia="Barlow Semi Condensed" w:hAnsi="Barlow Semi Condensed"/>
          <w:b/>
          <w:bCs/>
          <w:sz w:val="24"/>
          <w:szCs w:val="24"/>
        </w:rPr>
        <w:t xml:space="preserve">41 · Una lente, non una sentenza.</w:t>
      </w:r>
      <w:r>
        <w:rPr>
          <w:rFonts w:ascii="Barlow Semi Condensed" w:cs="Barlow Semi Condensed" w:eastAsia="Barlow Semi Condensed" w:hAnsi="Barlow Semi Condensed"/>
          <w:sz w:val="24"/>
          <w:szCs w:val="24"/>
        </w:rPr>
        <w:t xml:space="preserve"> «Dal Sud Africa dell'apartheid alla PayPal Mafia» è la formula del committente, ed è accolta come il corpus accoglie le proprie chiavi: uno strumento per porre domande più precise, non una proposizione già dimostrata. Una lente non è vera o falsa, è feconda o sterile, e si giudica da un criterio solo — quanti bersagli d'archivio ha fatto scrivere che senza di essa non sarebbero stati formulati. Il conto si farà in chiusura.</w:t>
      </w:r>
    </w:p>
    <w:p>
      <w:pPr>
        <w:spacing w:after="120" w:line="276"/>
        <w:jc w:val="both"/>
      </w:pPr>
      <w:r>
        <w:rPr>
          <w:rFonts w:ascii="Barlow Semi Condensed" w:cs="Barlow Semi Condensed" w:eastAsia="Barlow Semi Condensed" w:hAnsi="Barlow Semi Condensed"/>
          <w:b/>
          <w:bCs/>
          <w:sz w:val="24"/>
          <w:szCs w:val="24"/>
        </w:rPr>
        <w:t xml:space="preserve">42 · Di quale continuità si parla.</w:t>
      </w:r>
      <w:r>
        <w:rPr>
          <w:rFonts w:ascii="Barlow Semi Condensed" w:cs="Barlow Semi Condensed" w:eastAsia="Barlow Semi Condensed" w:hAnsi="Barlow Semi Condensed"/>
          <w:sz w:val="24"/>
          <w:szCs w:val="24"/>
        </w:rPr>
        <w:t xml:space="preserve"> Continuità è parola che va disarticolata prima di essere usata. Continuità di persone significa che le medesime persone agiscono nei due contesti; continuità di capitali, che denaro identificabile passa dall'uno all'altro; continuità di dottrine, che testi e formule si trasmettono per filiazione dimostrabile. Le tre non stanno né cadono insieme, e non si sostengono a vicenda. Ogni blocco dichiarerà quale delle tre sta mettendo alla prova.</w:t>
      </w:r>
    </w:p>
    <w:p>
      <w:pPr>
        <w:spacing w:after="120" w:line="276"/>
        <w:jc w:val="both"/>
      </w:pPr>
      <w:r>
        <w:rPr>
          <w:rFonts w:ascii="Barlow Semi Condensed" w:cs="Barlow Semi Condensed" w:eastAsia="Barlow Semi Condensed" w:hAnsi="Barlow Semi Condensed"/>
          <w:b/>
          <w:bCs/>
          <w:sz w:val="24"/>
          <w:szCs w:val="24"/>
        </w:rPr>
        <w:t xml:space="preserve">43 · L'unità di analisi va dichiarata.</w:t>
      </w:r>
      <w:r>
        <w:rPr>
          <w:rFonts w:ascii="Barlow Semi Condensed" w:cs="Barlow Semi Condensed" w:eastAsia="Barlow Semi Condensed" w:hAnsi="Barlow Semi Condensed"/>
          <w:sz w:val="24"/>
          <w:szCs w:val="24"/>
        </w:rPr>
        <w:t xml:space="preserve"> Prima di ogni verifica si dichiara che cosa si stia osservando: una persona, un'impresa, un'istituzione o una coorte anagrafica. Passare senza avvertire dall'una all'altra è il modo più comune di fabbricare una continuità che nessun livello sosterrebbe da solo. Un'impresa non è i suoi soci, una coorte non è un'organizzazione, e un ambiente non ha intenzioni. Il blocco che non dichiara la propria unità di analisi non è verificabile.</w:t>
      </w:r>
    </w:p>
    <w:p>
      <w:pPr>
        <w:spacing w:after="120" w:line="276"/>
        <w:jc w:val="both"/>
      </w:pPr>
      <w:r>
        <w:rPr>
          <w:rFonts w:ascii="Barlow Semi Condensed" w:cs="Barlow Semi Condensed" w:eastAsia="Barlow Semi Condensed" w:hAnsi="Barlow Semi Condensed"/>
          <w:b/>
          <w:bCs/>
          <w:sz w:val="24"/>
          <w:szCs w:val="24"/>
        </w:rPr>
        <w:t xml:space="preserve">44 · Testimonianza e documento non coincidono.</w:t>
      </w:r>
      <w:r>
        <w:rPr>
          <w:rFonts w:ascii="Barlow Semi Condensed" w:cs="Barlow Semi Condensed" w:eastAsia="Barlow Semi Condensed" w:hAnsi="Barlow Semi Condensed"/>
          <w:sz w:val="24"/>
          <w:szCs w:val="24"/>
        </w:rPr>
        <w:t xml:space="preserve"> Una dichiarazione resa in intervista, in memoria o in giudizio è una fonte; un documento prodotto all'epoca dei fatti è un'altra cosa. Confonderli è l'errore che la triangolazione Kissinger ha messo in copertina a proposito del verbale del 25 settembre 1974, dove la frase più citata semplicemente non compare. Qui vale il medesimo criterio: le dichiarazioni pubbliche dei protagonisti si citano come dichiarazioni, mai come attestazioni di ciò che affermano.</w:t>
      </w:r>
    </w:p>
    <w:p>
      <w:pPr>
        <w:spacing w:after="120" w:line="276"/>
        <w:jc w:val="both"/>
      </w:pPr>
      <w:r>
        <w:rPr>
          <w:rFonts w:ascii="Barlow Semi Condensed" w:cs="Barlow Semi Condensed" w:eastAsia="Barlow Semi Condensed" w:hAnsi="Barlow Semi Condensed"/>
          <w:b/>
          <w:bCs/>
          <w:sz w:val="24"/>
          <w:szCs w:val="24"/>
        </w:rPr>
        <w:t xml:space="preserve">45 · L'anacronismo come vizio ricorrente.</w:t>
      </w:r>
      <w:r>
        <w:rPr>
          <w:rFonts w:ascii="Barlow Semi Condensed" w:cs="Barlow Semi Condensed" w:eastAsia="Barlow Semi Condensed" w:hAnsi="Barlow Semi Condensed"/>
          <w:sz w:val="24"/>
          <w:szCs w:val="24"/>
        </w:rPr>
        <w:t xml:space="preserve"> Le date vanno tenute in mano per tutta la lettura. Il territorio si chiamò Africa del Sud-Ovest fino al 1990 e Namibia dopo; l'ordinamento razziale sudafricano fu smantellato fra il 1990 e il 1994; le imprese californiane in questione nascono nella seconda metà degli anni Novanta. Sovrapporre lessici e cornici di decenni diversi produce quell'impressione di simultaneità che è, da sola, il motore di quasi tutta la pubblicistica militante.</w:t>
      </w:r>
    </w:p>
    <w:p>
      <w:pPr>
        <w:spacing w:after="120" w:line="276"/>
        <w:jc w:val="both"/>
      </w:pPr>
      <w:r>
        <w:rPr>
          <w:rFonts w:ascii="Barlow Semi Condensed" w:cs="Barlow Semi Condensed" w:eastAsia="Barlow Semi Condensed" w:hAnsi="Barlow Semi Condensed"/>
          <w:b/>
          <w:bCs/>
          <w:sz w:val="24"/>
          <w:szCs w:val="24"/>
        </w:rPr>
        <w:t xml:space="preserve">46 · La forma eseguibile di un quesito.</w:t>
      </w:r>
      <w:r>
        <w:rPr>
          <w:rFonts w:ascii="Barlow Semi Condensed" w:cs="Barlow Semi Condensed" w:eastAsia="Barlow Semi Condensed" w:hAnsi="Barlow Semi Condensed"/>
          <w:sz w:val="24"/>
          <w:szCs w:val="24"/>
        </w:rPr>
        <w:t xml:space="preserve"> Un quesito è eseguibile quando nomina la sede, il fondo, la serie e, se possibile, la segnatura, e quando dichiara che cosa si aspetta di trovare e che cosa chiuderebbe la ricerca. «Cercare negli archivi sudafricani» non è un quesito. «Verificare la serie del Department of Foreign Affairs presso i National Archives of South Africa, Pretoria, per gli anni 1977-1994» lo è. L'opera si obbliga alla seconda forma.</w:t>
      </w:r>
    </w:p>
    <w:p>
      <w:pPr>
        <w:spacing w:after="120" w:line="276"/>
        <w:jc w:val="both"/>
      </w:pPr>
      <w:r>
        <w:rPr>
          <w:rFonts w:ascii="Barlow Semi Condensed" w:cs="Barlow Semi Condensed" w:eastAsia="Barlow Semi Condensed" w:hAnsi="Barlow Semi Condensed"/>
          <w:b/>
          <w:bCs/>
          <w:sz w:val="24"/>
          <w:szCs w:val="24"/>
        </w:rPr>
        <w:t xml:space="preserve">47 · Le divergenze si riportano tutte.</w:t>
      </w:r>
      <w:r>
        <w:rPr>
          <w:rFonts w:ascii="Barlow Semi Condensed" w:cs="Barlow Semi Condensed" w:eastAsia="Barlow Semi Condensed" w:hAnsi="Barlow Semi Condensed"/>
          <w:sz w:val="24"/>
          <w:szCs w:val="24"/>
        </w:rPr>
        <w:t xml:space="preserve"> Dove le fonti divergono, l'opera espone entrambe le versioni con i rispettivi appoggi e non ne sceglie una in silenzio. Il silenzio sulla divergenza è una forma di affermazione non dichiarata, ed è più insidiosa dell'errore aperto perché non lascia traccia. Il caso della miniera di smeraldi è il modello: tre versioni, nessun titolo di proprietà, e la divergenza tenuta aperta come risultato dell'indagine, non come suo fallimento.</w:t>
      </w:r>
    </w:p>
    <w:p>
      <w:pPr>
        <w:spacing w:after="120" w:line="276"/>
        <w:jc w:val="both"/>
      </w:pPr>
      <w:r>
        <w:rPr>
          <w:rFonts w:ascii="Barlow Semi Condensed" w:cs="Barlow Semi Condensed" w:eastAsia="Barlow Semi Condensed" w:hAnsi="Barlow Semi Condensed"/>
          <w:b/>
          <w:bCs/>
          <w:sz w:val="24"/>
          <w:szCs w:val="24"/>
        </w:rPr>
        <w:t xml:space="preserve">48 · Le fonti di rango.</w:t>
      </w:r>
      <w:r>
        <w:rPr>
          <w:rFonts w:ascii="Barlow Semi Condensed" w:cs="Barlow Semi Condensed" w:eastAsia="Barlow Semi Condensed" w:hAnsi="Barlow Semi Condensed"/>
          <w:sz w:val="24"/>
          <w:szCs w:val="24"/>
        </w:rPr>
        <w:t xml:space="preserve"> La gerarchia adottata è la seguente: archivi primari e atti giudiziari; depositi societari presso SEC, Companies House e la commissione sudafricana per le imprese; atti e risoluzioni delle Nazioni Unite; rapporti della Truth and Reconciliation Commission sudafricana; fondi dei National Archives sudafricani e namibiani; biografie con apparato, fra cui Chafkin per Thiel e Isaacson per Musk; stampa d'archivio datata. Ciò che non vi rientra entra come indizio dichiarato, oppure non entra.</w:t>
      </w:r>
    </w:p>
    <w:p>
      <w:pPr>
        <w:spacing w:after="120" w:line="276"/>
        <w:jc w:val="both"/>
      </w:pPr>
      <w:r>
        <w:rPr>
          <w:rFonts w:ascii="Barlow Semi Condensed" w:cs="Barlow Semi Condensed" w:eastAsia="Barlow Semi Condensed" w:hAnsi="Barlow Semi Condensed"/>
          <w:b/>
          <w:bCs/>
          <w:sz w:val="24"/>
          <w:szCs w:val="24"/>
        </w:rPr>
        <w:t xml:space="preserve">49 · Come si usa una biografia.</w:t>
      </w:r>
      <w:r>
        <w:rPr>
          <w:rFonts w:ascii="Barlow Semi Condensed" w:cs="Barlow Semi Condensed" w:eastAsia="Barlow Semi Condensed" w:hAnsi="Barlow Semi Condensed"/>
          <w:sz w:val="24"/>
          <w:szCs w:val="24"/>
        </w:rPr>
        <w:t xml:space="preserve"> Una biografia autorizzata o semiautorizzata è fonte di secondo grado, e va usata per ciò che cita, non per ciò che conclude. Di Chafkin e di Isaacson si prendono i documenti richiamati, le date, le testimonianze raccolte con nome e circostanza; non le valutazioni d'insieme, che appartengono all'autore. Una nota a piè di pagina è una fonte; un giudizio dell'autore è un'opinione, e il corpus non colleziona opinioni.</w:t>
      </w:r>
    </w:p>
    <w:p>
      <w:pPr>
        <w:spacing w:after="120" w:line="276"/>
        <w:jc w:val="both"/>
      </w:pPr>
      <w:r>
        <w:rPr>
          <w:rFonts w:ascii="Barlow Semi Condensed" w:cs="Barlow Semi Condensed" w:eastAsia="Barlow Semi Condensed" w:hAnsi="Barlow Semi Condensed"/>
          <w:b/>
          <w:bCs/>
          <w:sz w:val="24"/>
          <w:szCs w:val="24"/>
        </w:rPr>
        <w:t xml:space="preserve">50 · Che cosa quest'opera non fa.</w:t>
      </w:r>
      <w:r>
        <w:rPr>
          <w:rFonts w:ascii="Barlow Semi Condensed" w:cs="Barlow Semi Condensed" w:eastAsia="Barlow Semi Condensed" w:hAnsi="Barlow Semi Condensed"/>
          <w:sz w:val="24"/>
          <w:szCs w:val="24"/>
        </w:rPr>
        <w:t xml:space="preserve"> Non stabilisce responsabilità, non attribuisce condotte, non pronuncia giudizi morali su persone viventi, non promuove convergenze a nessi. Non produce colpevoli, perché la ricerca produce documenti. Se al termine delle tredici serie il lettore avrà in mano un elenco di sedi d'archivio da interrogare e un elenco verbalizzato di cose che non ci sono, l'opera avrà fatto il proprio lavoro; e se avrà smentito la propria tesi, l'avrà fatto meglio.</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Serie seconda — L'anagrafe: date, luoghi, cittadinanze</w:t>
      </w:r>
    </w:p>
    <w:p>
      <w:pPr>
        <w:spacing w:after="120" w:line="276"/>
        <w:jc w:val="both"/>
      </w:pPr>
      <w:r>
        <w:rPr>
          <w:rFonts w:ascii="Barlow Semi Condensed" w:cs="Barlow Semi Condensed" w:eastAsia="Barlow Semi Condensed" w:hAnsi="Barlow Semi Condensed"/>
          <w:i/>
          <w:iCs/>
          <w:sz w:val="24"/>
          <w:szCs w:val="24"/>
        </w:rPr>
        <w:t xml:space="preserve">Blocchi 51-135.</w:t>
      </w:r>
    </w:p>
    <w:p>
      <w:pPr>
        <w:spacing w:after="120" w:line="276"/>
        <w:jc w:val="both"/>
      </w:pPr>
      <w:r>
        <w:rPr>
          <w:rFonts w:ascii="Barlow Semi Condensed" w:cs="Barlow Semi Condensed" w:eastAsia="Barlow Semi Condensed" w:hAnsi="Barlow Semi Condensed"/>
          <w:b/>
          <w:bCs/>
          <w:sz w:val="24"/>
          <w:szCs w:val="24"/>
        </w:rPr>
        <w:t xml:space="preserve">51 · Che cosa vale come prova anagrafica.</w:t>
      </w:r>
      <w:r>
        <w:rPr>
          <w:rFonts w:ascii="Barlow Semi Condensed" w:cs="Barlow Semi Condensed" w:eastAsia="Barlow Semi Condensed" w:hAnsi="Barlow Semi Condensed"/>
          <w:sz w:val="24"/>
          <w:szCs w:val="24"/>
        </w:rPr>
        <w:t xml:space="preserve"> In questa serie vale una gerarchia stretta: il registro di stato civile batte l'atto societario, l'atto societario batte la biografia, la biografia con apparato batte la stampa, la stampa datata batte il sito. Nessun blocco promuove una fonte al gradino superiore per comodità. Dove il gradino più alto manca, il blocco lo dichiara e nomina la sede che lo produrrebbe: l'assenza di registro è essa stessa un dato da verbalizzare.</w:t>
      </w:r>
    </w:p>
    <w:p>
      <w:pPr>
        <w:spacing w:after="120" w:line="276"/>
        <w:jc w:val="both"/>
      </w:pPr>
      <w:r>
        <w:rPr>
          <w:rFonts w:ascii="Barlow Semi Condensed" w:cs="Barlow Semi Condensed" w:eastAsia="Barlow Semi Condensed" w:hAnsi="Barlow Semi Condensed"/>
          <w:b/>
          <w:bCs/>
          <w:sz w:val="24"/>
          <w:szCs w:val="24"/>
        </w:rPr>
        <w:t xml:space="preserve">52 · Documentato, riferito, ripetuto.</w:t>
      </w:r>
      <w:r>
        <w:rPr>
          <w:rFonts w:ascii="Barlow Semi Condensed" w:cs="Barlow Semi Condensed" w:eastAsia="Barlow Semi Condensed" w:hAnsi="Barlow Semi Condensed"/>
          <w:sz w:val="24"/>
          <w:szCs w:val="24"/>
        </w:rPr>
        <w:t xml:space="preserve"> Tre stati si confondono di continuo. Documentato vuol dire che esiste una carta richiedibile e citabile per segnatura. Riferito vuol dire che qualcuno lo ha dichiarato, e quel qualcuno va nominato con la data della dichiarazione. Ripetuto vuol dire che molte pagine lo scrivono senza che nessuna indichi una carta. Su questa materia il terzo stato è di gran lunga il più abbondante, e non pesa nulla.</w:t>
      </w:r>
    </w:p>
    <w:p>
      <w:pPr>
        <w:spacing w:after="120" w:line="276"/>
        <w:jc w:val="both"/>
      </w:pPr>
      <w:r>
        <w:rPr>
          <w:rFonts w:ascii="Barlow Semi Condensed" w:cs="Barlow Semi Condensed" w:eastAsia="Barlow Semi Condensed" w:hAnsi="Barlow Semi Condensed"/>
          <w:b/>
          <w:bCs/>
          <w:sz w:val="24"/>
          <w:szCs w:val="24"/>
        </w:rPr>
        <w:t xml:space="preserve">53 · Il perimetro dei nomi trattati.</w:t>
      </w:r>
      <w:r>
        <w:rPr>
          <w:rFonts w:ascii="Barlow Semi Condensed" w:cs="Barlow Semi Condensed" w:eastAsia="Barlow Semi Condensed" w:hAnsi="Barlow Semi Condensed"/>
          <w:sz w:val="24"/>
          <w:szCs w:val="24"/>
        </w:rPr>
        <w:t xml:space="preserve"> La serie tratta i nomi indicati dal committente e le figure sudafricane di contesto. Il perimetro va dichiarato perché un elenco è già una tesi: chi entra e chi resta fuori decide che cosa apparirà come insieme. Restano fuori i familiari senza cariche pubbliche o societarie e i minori. Chi voglia allargarlo lo motivi caso per caso, indicando quale registro giustifica l'aggiunta, e non lo faccia per accumulo.</w:t>
      </w:r>
    </w:p>
    <w:p>
      <w:pPr>
        <w:spacing w:after="120" w:line="276"/>
        <w:jc w:val="both"/>
      </w:pPr>
      <w:r>
        <w:rPr>
          <w:rFonts w:ascii="Barlow Semi Condensed" w:cs="Barlow Semi Condensed" w:eastAsia="Barlow Semi Condensed" w:hAnsi="Barlow Semi Condensed"/>
          <w:b/>
          <w:bCs/>
          <w:sz w:val="24"/>
          <w:szCs w:val="24"/>
        </w:rPr>
        <w:t xml:space="preserve">54 · Pretoria, 28 giugno 1971.</w:t>
      </w:r>
      <w:r>
        <w:rPr>
          <w:rFonts w:ascii="Barlow Semi Condensed" w:cs="Barlow Semi Condensed" w:eastAsia="Barlow Semi Condensed" w:hAnsi="Barlow Semi Condensed"/>
          <w:sz w:val="24"/>
          <w:szCs w:val="24"/>
        </w:rPr>
        <w:t xml:space="preserve"> Elon Reeve Musk risulta nato a Pretoria il 28 giugno 1971: fatto pubblico, ripetuto da ogni fonte e mai contestato dall'interessato. Il documento che lo attesterebbe in forma primaria è però un altro, la registrazione di nascita conservata dal Department of Home Affairs sudafricano, con indicazione dell'ospedale e dei genitori dichiaranti. Nessuna pubblicazione consultata ne cita gli estremi. Bersaglio elementare e mai colpito: chiederne copia certificata.</w:t>
      </w:r>
    </w:p>
    <w:p>
      <w:pPr>
        <w:spacing w:after="120" w:line="276"/>
        <w:jc w:val="both"/>
      </w:pPr>
      <w:r>
        <w:rPr>
          <w:rFonts w:ascii="Barlow Semi Condensed" w:cs="Barlow Semi Condensed" w:eastAsia="Barlow Semi Condensed" w:hAnsi="Barlow Semi Condensed"/>
          <w:b/>
          <w:bCs/>
          <w:sz w:val="24"/>
          <w:szCs w:val="24"/>
        </w:rPr>
        <w:t xml:space="preserve">55 · Tre cittadinanze, tre atti distinti.</w:t>
      </w:r>
      <w:r>
        <w:rPr>
          <w:rFonts w:ascii="Barlow Semi Condensed" w:cs="Barlow Semi Condensed" w:eastAsia="Barlow Semi Condensed" w:hAnsi="Barlow Semi Condensed"/>
          <w:sz w:val="24"/>
          <w:szCs w:val="24"/>
        </w:rPr>
        <w:t xml:space="preserve"> Le cittadinanze attribuite pubblicamente a Elon Musk sono tre e vanno tenute separate per titolo: sudafricana per nascita sul territorio, canadese per discendenza materna, statunitense per naturalizzazione nel 2002. Ciascuna nasce da un atto diverso e da un'autorità diversa. La narrazione corrente le tratta come una biografia unica; sono invece tre fascicoli amministrativi distinti, e soltanto il terzo è stato oggetto di dichiarazioni pubbliche dell'interessato quanto all'anno.</w:t>
      </w:r>
    </w:p>
    <w:p>
      <w:pPr>
        <w:spacing w:after="120" w:line="276"/>
        <w:jc w:val="both"/>
      </w:pPr>
      <w:r>
        <w:rPr>
          <w:rFonts w:ascii="Barlow Semi Condensed" w:cs="Barlow Semi Condensed" w:eastAsia="Barlow Semi Condensed" w:hAnsi="Barlow Semi Condensed"/>
          <w:b/>
          <w:bCs/>
          <w:sz w:val="24"/>
          <w:szCs w:val="24"/>
        </w:rPr>
        <w:t xml:space="preserve">56 · La sezione sei e la cittadinanza perduta.</w:t>
      </w:r>
      <w:r>
        <w:rPr>
          <w:rFonts w:ascii="Barlow Semi Condensed" w:cs="Barlow Semi Condensed" w:eastAsia="Barlow Semi Condensed" w:hAnsi="Barlow Semi Condensed"/>
          <w:sz w:val="24"/>
          <w:szCs w:val="24"/>
        </w:rPr>
        <w:t xml:space="preserve"> Una domanda giuridica precisa resta aperta e nessuno l'ha posta con la norma in mano: il South African Citizenship Act 88 del 1995 prevede alla sezione 6 la perdita della cittadinanza per chi acquisti volontariamente un'altra nazionalità senza autorizzazione preventiva di conservazione. Se e come quella norma abbia operato nel 2002 è accertabile soltanto presso il Department of Home Affairs, a Pretoria. Allo stato è uno Stato Zero.</w:t>
      </w:r>
    </w:p>
    <w:p>
      <w:pPr>
        <w:spacing w:after="120" w:line="276"/>
        <w:jc w:val="both"/>
      </w:pPr>
      <w:r>
        <w:rPr>
          <w:rFonts w:ascii="Barlow Semi Condensed" w:cs="Barlow Semi Condensed" w:eastAsia="Barlow Semi Condensed" w:hAnsi="Barlow Semi Condensed"/>
          <w:b/>
          <w:bCs/>
          <w:sz w:val="24"/>
          <w:szCs w:val="24"/>
        </w:rPr>
        <w:t xml:space="preserve">57 · Regina, Saskatchewan, 19 aprile 1948.</w:t>
      </w:r>
      <w:r>
        <w:rPr>
          <w:rFonts w:ascii="Barlow Semi Condensed" w:cs="Barlow Semi Condensed" w:eastAsia="Barlow Semi Condensed" w:hAnsi="Barlow Semi Condensed"/>
          <w:sz w:val="24"/>
          <w:szCs w:val="24"/>
        </w:rPr>
        <w:t xml:space="preserve"> Maye Musk, nata Haldeman, ebbe i natali a Regina il 19 aprile 1948, con una sorella gemella. Il registro che lo attesta è provinciale: eHealth Saskatchewan, Vital Statistics, che rilascia estratti di nascita per le annate anteriori. È la carta da cui discende per filiazione la cittadinanza canadese del figlio: senza quella registrazione il titolo canadese di Elon Musk non ha fondamento documentale citabile.</w:t>
      </w:r>
    </w:p>
    <w:p>
      <w:pPr>
        <w:spacing w:after="120" w:line="276"/>
        <w:jc w:val="both"/>
      </w:pPr>
      <w:r>
        <w:rPr>
          <w:rFonts w:ascii="Barlow Semi Condensed" w:cs="Barlow Semi Condensed" w:eastAsia="Barlow Semi Condensed" w:hAnsi="Barlow Semi Condensed"/>
          <w:b/>
          <w:bCs/>
          <w:sz w:val="24"/>
          <w:szCs w:val="24"/>
        </w:rPr>
        <w:t xml:space="preserve">58 · Il titolo canadese e la sua prova.</w:t>
      </w:r>
      <w:r>
        <w:rPr>
          <w:rFonts w:ascii="Barlow Semi Condensed" w:cs="Barlow Semi Condensed" w:eastAsia="Barlow Semi Condensed" w:hAnsi="Barlow Semi Condensed"/>
          <w:sz w:val="24"/>
          <w:szCs w:val="24"/>
        </w:rPr>
        <w:t xml:space="preserve"> Chi voglia verificare una cittadinanza canadese per discendenza non deve cercare un passaporto ma un certificato: la prova di cittadinanza rilasciata da Immigration, Refugees and Citizenship Canada, che si fonda sulla registrazione di nascita del genitore. Le ricostruzioni giornalistiche collocano l'arrivo in Canada nel giugno 1989 e ne fanno una svolta narrativa. Quella data si chiude con i registri d'ingresso, non con le interviste.</w:t>
      </w:r>
    </w:p>
    <w:p>
      <w:pPr>
        <w:spacing w:after="120" w:line="276"/>
        <w:jc w:val="both"/>
      </w:pPr>
      <w:r>
        <w:rPr>
          <w:rFonts w:ascii="Barlow Semi Condensed" w:cs="Barlow Semi Condensed" w:eastAsia="Barlow Semi Condensed" w:hAnsi="Barlow Semi Condensed"/>
          <w:b/>
          <w:bCs/>
          <w:sz w:val="24"/>
          <w:szCs w:val="24"/>
        </w:rPr>
        <w:t xml:space="preserve">59 · Kingston prima di Filadelfia.</w:t>
      </w:r>
      <w:r>
        <w:rPr>
          <w:rFonts w:ascii="Barlow Semi Condensed" w:cs="Barlow Semi Condensed" w:eastAsia="Barlow Semi Condensed" w:hAnsi="Barlow Semi Condensed"/>
          <w:sz w:val="24"/>
          <w:szCs w:val="24"/>
        </w:rPr>
        <w:t xml:space="preserve"> Due anni a Queen's University, a Kingston in Ontario, fra il 1990 e il 1992, e poi il passaggio all'University of Pennsylvania: è la sequenza riferita in modo uniforme. La verifica è banale e nessuno la produce, perché in Nord America gli atenei confermano iscrizione e titolo su richiesta, direttamente o attraverso il National Student Clearinghouse. Il bersaglio consiste nell'ottenere le due conferme scritte e allegarle.</w:t>
      </w:r>
    </w:p>
    <w:p>
      <w:pPr>
        <w:spacing w:after="120" w:line="276"/>
        <w:jc w:val="both"/>
      </w:pPr>
      <w:r>
        <w:rPr>
          <w:rFonts w:ascii="Barlow Semi Condensed" w:cs="Barlow Semi Condensed" w:eastAsia="Barlow Semi Condensed" w:hAnsi="Barlow Semi Condensed"/>
          <w:b/>
          <w:bCs/>
          <w:sz w:val="24"/>
          <w:szCs w:val="24"/>
        </w:rPr>
        <w:t xml:space="preserve">60 · La divergenza dei titoli di Penn.</w:t>
      </w:r>
      <w:r>
        <w:rPr>
          <w:rFonts w:ascii="Barlow Semi Condensed" w:cs="Barlow Semi Condensed" w:eastAsia="Barlow Semi Condensed" w:hAnsi="Barlow Semi Condensed"/>
          <w:sz w:val="24"/>
          <w:szCs w:val="24"/>
        </w:rPr>
        <w:t xml:space="preserve"> Sulle lauree dell'University of Pennsylvania esiste una divergenza documentata e non sciolta: la vulgata le colloca nel 1995, mentre l'ateneo ha indicato pubblicamente il 1997 come anno di conferimento, riconducendo lo scarto al completamento dei requisiti. La divergenza si riporta così com'è. Il documento risolutivo è uno solo, la certificazione del registrar di Penn con la data esatta di conferimento di entrambi i titoli.</w:t>
      </w:r>
    </w:p>
    <w:p>
      <w:pPr>
        <w:spacing w:after="120" w:line="276"/>
        <w:jc w:val="both"/>
      </w:pPr>
      <w:r>
        <w:rPr>
          <w:rFonts w:ascii="Barlow Semi Condensed" w:cs="Barlow Semi Condensed" w:eastAsia="Barlow Semi Condensed" w:hAnsi="Barlow Semi Condensed"/>
          <w:b/>
          <w:bCs/>
          <w:sz w:val="24"/>
          <w:szCs w:val="24"/>
        </w:rPr>
        <w:t xml:space="preserve">61 · Lo Stato Zero di Stanford.</w:t>
      </w:r>
      <w:r>
        <w:rPr>
          <w:rFonts w:ascii="Barlow Semi Condensed" w:cs="Barlow Semi Condensed" w:eastAsia="Barlow Semi Condensed" w:hAnsi="Barlow Semi Condensed"/>
          <w:sz w:val="24"/>
          <w:szCs w:val="24"/>
        </w:rPr>
        <w:t xml:space="preserve"> L'ammissione a un dottorato di Stanford nel 1995 e l'abbandono dopo pochi giorni sono noti unicamente attraverso il racconto dell'interessato, ripreso poi da tutti. Non risulta pubblicato alcun documento d'ateneo che lo attesti, né una smentita. È uno Stato Zero pulito: la sede che lo chiuderebbe è l'ufficio del registrar di Stanford, cui però la normativa federale sulla riservatezza degli atti scolastici impone limiti stringenti.</w:t>
      </w:r>
    </w:p>
    <w:p>
      <w:pPr>
        <w:spacing w:after="120" w:line="276"/>
        <w:jc w:val="both"/>
      </w:pPr>
      <w:r>
        <w:rPr>
          <w:rFonts w:ascii="Barlow Semi Condensed" w:cs="Barlow Semi Condensed" w:eastAsia="Barlow Semi Condensed" w:hAnsi="Barlow Semi Condensed"/>
          <w:b/>
          <w:bCs/>
          <w:sz w:val="24"/>
          <w:szCs w:val="24"/>
        </w:rPr>
        <w:t xml:space="preserve">62 · Una divergenza sullo status migratorio.</w:t>
      </w:r>
      <w:r>
        <w:rPr>
          <w:rFonts w:ascii="Barlow Semi Condensed" w:cs="Barlow Semi Condensed" w:eastAsia="Barlow Semi Condensed" w:hAnsi="Barlow Semi Condensed"/>
          <w:sz w:val="24"/>
          <w:szCs w:val="24"/>
        </w:rPr>
        <w:t xml:space="preserve"> Nel 2024 una ricostruzione giornalistica statunitense ha messo in discussione il titolo di soggiorno posseduto in un periodo degli anni Novanta; l'interessato ha replicato pubblicamente affermando la piena regolarità della propria posizione. Nessuna autorità amministrativa o giudiziaria si è mai pronunciata, e questa serie non adotta né l'una né l'altra lettura. L'unico atto che chiuderebbe la questione è il fascicolo di straniero conservato dallo USCIS.</w:t>
      </w:r>
    </w:p>
    <w:p>
      <w:pPr>
        <w:spacing w:after="120" w:line="276"/>
        <w:jc w:val="both"/>
      </w:pPr>
      <w:r>
        <w:rPr>
          <w:rFonts w:ascii="Barlow Semi Condensed" w:cs="Barlow Semi Condensed" w:eastAsia="Barlow Semi Condensed" w:hAnsi="Barlow Semi Condensed"/>
          <w:b/>
          <w:bCs/>
          <w:sz w:val="24"/>
          <w:szCs w:val="24"/>
        </w:rPr>
        <w:t xml:space="preserve">63 · Il 2002 e il certificato che manca.</w:t>
      </w:r>
      <w:r>
        <w:rPr>
          <w:rFonts w:ascii="Barlow Semi Condensed" w:cs="Barlow Semi Condensed" w:eastAsia="Barlow Semi Condensed" w:hAnsi="Barlow Semi Condensed"/>
          <w:sz w:val="24"/>
          <w:szCs w:val="24"/>
        </w:rPr>
        <w:t xml:space="preserve"> Il 2002 è indicato da tutte le fonti come anno della naturalizzazione statunitense, e il dato non è mai stato contestato. Ciò che manca è l'atto: numero e data del certificato, ufficio che lo emise. Per le persone viventi lo USCIS rilascia questi dati solo all'interessato o con sua liberatoria, mentre il programma genealogico serve i defunti. Il limite si dichiara qui, valido per tutte le naturalizzazioni della serie.</w:t>
      </w:r>
    </w:p>
    <w:p>
      <w:pPr>
        <w:spacing w:after="120" w:line="276"/>
        <w:jc w:val="both"/>
      </w:pPr>
      <w:r>
        <w:rPr>
          <w:rFonts w:ascii="Barlow Semi Condensed" w:cs="Barlow Semi Condensed" w:eastAsia="Barlow Semi Condensed" w:hAnsi="Barlow Semi Condensed"/>
          <w:b/>
          <w:bCs/>
          <w:sz w:val="24"/>
          <w:szCs w:val="24"/>
        </w:rPr>
        <w:t xml:space="preserve">64 · Dalla California al Texas.</w:t>
      </w:r>
      <w:r>
        <w:rPr>
          <w:rFonts w:ascii="Barlow Semi Condensed" w:cs="Barlow Semi Condensed" w:eastAsia="Barlow Semi Condensed" w:hAnsi="Barlow Semi Condensed"/>
          <w:sz w:val="24"/>
          <w:szCs w:val="24"/>
        </w:rPr>
        <w:t xml:space="preserve"> Dalla California al Texas: il trasferimento di residenza fu annunciato pubblicamente nel dicembre 2020 e ha effetti verificabili in liste elettorali di contea, registri immobiliari e sede dichiarata nei depositi societari. In Texas le liste elettorali sono accessibili su richiesta motivata; le contee californiane pubblicano gli atti di trasferimento immobiliare. La residenza è fra i pochi dati anagrafici che lasciano traccia in registri consultabili da chiunque.</w:t>
      </w:r>
    </w:p>
    <w:p>
      <w:pPr>
        <w:spacing w:after="120" w:line="276"/>
        <w:jc w:val="both"/>
      </w:pPr>
      <w:r>
        <w:rPr>
          <w:rFonts w:ascii="Barlow Semi Condensed" w:cs="Barlow Semi Condensed" w:eastAsia="Barlow Semi Condensed" w:hAnsi="Barlow Semi Condensed"/>
          <w:b/>
          <w:bCs/>
          <w:sz w:val="24"/>
          <w:szCs w:val="24"/>
        </w:rPr>
        <w:t xml:space="preserve">65 · Zip2 e i suoi atti costitutivi.</w:t>
      </w:r>
      <w:r>
        <w:rPr>
          <w:rFonts w:ascii="Barlow Semi Condensed" w:cs="Barlow Semi Condensed" w:eastAsia="Barlow Semi Condensed" w:hAnsi="Barlow Semi Condensed"/>
          <w:sz w:val="24"/>
          <w:szCs w:val="24"/>
        </w:rPr>
        <w:t xml:space="preserve"> Zip2 fu fondata nel 1995 insieme al fratello e a un terzo socio, e ceduta a Compaq nel 1999: la cessione è documentata dai depositi dell'acquirente presso la Securities and Exchange Commission, pubblici e datati. Gli atti costitutivi stanno invece negli archivi del segretario di Stato competente per la costituzione. Il bersaglio è la catena completa: costituzione, aumenti di capitale, patti fra soci, atto di cessione.</w:t>
      </w:r>
    </w:p>
    <w:p>
      <w:pPr>
        <w:spacing w:after="120" w:line="276"/>
        <w:jc w:val="both"/>
      </w:pPr>
      <w:r>
        <w:rPr>
          <w:rFonts w:ascii="Barlow Semi Condensed" w:cs="Barlow Semi Condensed" w:eastAsia="Barlow Semi Condensed" w:hAnsi="Barlow Semi Condensed"/>
          <w:b/>
          <w:bCs/>
          <w:sz w:val="24"/>
          <w:szCs w:val="24"/>
        </w:rPr>
        <w:t xml:space="preserve">66 · Fieldlink, Confinity, X.com.</w:t>
      </w:r>
      <w:r>
        <w:rPr>
          <w:rFonts w:ascii="Barlow Semi Condensed" w:cs="Barlow Semi Condensed" w:eastAsia="Barlow Semi Condensed" w:hAnsi="Barlow Semi Condensed"/>
          <w:sz w:val="24"/>
          <w:szCs w:val="24"/>
        </w:rPr>
        <w:t xml:space="preserve"> Vanno tenute separate tre entità che la pubblicistica sovrappone di continuo: Fieldlink, poi Confinity, fondata alla fine del 1998; X.com, costituita nel marzo 1999; la società nata dalla fusione del marzo 2000, che assunse il nome PayPal nel 2001. Ciascun passaggio ha un atto depositato presso la Delaware Division of Corporations. Nessuna ricostruzione corrente cita quei numeri di deposito: è il primo scaffale da aprire.</w:t>
      </w:r>
    </w:p>
    <w:p>
      <w:pPr>
        <w:spacing w:after="120" w:line="276"/>
        <w:jc w:val="both"/>
      </w:pPr>
      <w:r>
        <w:rPr>
          <w:rFonts w:ascii="Barlow Semi Condensed" w:cs="Barlow Semi Condensed" w:eastAsia="Barlow Semi Condensed" w:hAnsi="Barlow Semi Condensed"/>
          <w:b/>
          <w:bCs/>
          <w:sz w:val="24"/>
          <w:szCs w:val="24"/>
        </w:rPr>
        <w:t xml:space="preserve">67 · Il documento più ricco della serie.</w:t>
      </w:r>
      <w:r>
        <w:rPr>
          <w:rFonts w:ascii="Barlow Semi Condensed" w:cs="Barlow Semi Condensed" w:eastAsia="Barlow Semi Condensed" w:hAnsi="Barlow Semi Condensed"/>
          <w:sz w:val="24"/>
          <w:szCs w:val="24"/>
        </w:rPr>
        <w:t xml:space="preserve"> Depositato presso la SEC nel 2001, con i suoi emendamenti e i moduli successivi, il prospetto di collocamento di PayPal è il singolo documento anagrafico più denso della serie: elenca dirigenti e amministratori con età dichiarata, cariche e date di assunzione, e i possessori rilevanti di azioni. È liberamente consultabile su EDGAR. Chi voglia datare ruoli e ingressi senza affidarsi alla stampa comincia da lì.</w:t>
      </w:r>
    </w:p>
    <w:p>
      <w:pPr>
        <w:spacing w:after="120" w:line="276"/>
        <w:jc w:val="both"/>
      </w:pPr>
      <w:r>
        <w:rPr>
          <w:rFonts w:ascii="Barlow Semi Condensed" w:cs="Barlow Semi Condensed" w:eastAsia="Barlow Semi Condensed" w:hAnsi="Barlow Semi Condensed"/>
          <w:b/>
          <w:bCs/>
          <w:sz w:val="24"/>
          <w:szCs w:val="24"/>
        </w:rPr>
        <w:t xml:space="preserve">68 · L'uscita del 2002 e le sue carte.</w:t>
      </w:r>
      <w:r>
        <w:rPr>
          <w:rFonts w:ascii="Barlow Semi Condensed" w:cs="Barlow Semi Condensed" w:eastAsia="Barlow Semi Condensed" w:hAnsi="Barlow Semi Condensed"/>
          <w:sz w:val="24"/>
          <w:szCs w:val="24"/>
        </w:rPr>
        <w:t xml:space="preserve"> L'acquisizione da parte di eBay, perfezionata nell'ottobre 2002, produsse una serie di atti pubblici: l'accordo di fusione, i documenti di sollecitazione agli azionisti e i successivi rendiconti dell'acquirente. Da quelle carte si ricavano con precisione le partecipazioni individuali alla data e le cariche cessate. È la fonte corretta per stabilire chi lasciò e quando, contro le date approssimate che circolano nelle interviste retrospettive.</w:t>
      </w:r>
    </w:p>
    <w:p>
      <w:pPr>
        <w:spacing w:after="120" w:line="276"/>
        <w:jc w:val="both"/>
      </w:pPr>
      <w:r>
        <w:rPr>
          <w:rFonts w:ascii="Barlow Semi Condensed" w:cs="Barlow Semi Condensed" w:eastAsia="Barlow Semi Condensed" w:hAnsi="Barlow Semi Condensed"/>
          <w:b/>
          <w:bCs/>
          <w:sz w:val="24"/>
          <w:szCs w:val="24"/>
        </w:rPr>
        <w:t xml:space="preserve">69 · Kimbal Musk, 20 settembre 1972.</w:t>
      </w:r>
      <w:r>
        <w:rPr>
          <w:rFonts w:ascii="Barlow Semi Condensed" w:cs="Barlow Semi Condensed" w:eastAsia="Barlow Semi Condensed" w:hAnsi="Barlow Semi Condensed"/>
          <w:sz w:val="24"/>
          <w:szCs w:val="24"/>
        </w:rPr>
        <w:t xml:space="preserve"> Nato a Pretoria il 20 settembre 1972, cofondatore della prima società insieme al fratello, amministratore di Tesla dal 2004: quest'ultima carica è la meglio documentata, perché ogni amministratore di società quotata statunitense deposita presso la SEC i moduli 3 e 4 sulle proprie partecipazioni, con date esatte. Le deleghe assembleari annuali ne riportano inoltre l'età dichiarata, che vale come controllo indiretto sull'anno di nascita.</w:t>
      </w:r>
    </w:p>
    <w:p>
      <w:pPr>
        <w:spacing w:after="120" w:line="276"/>
        <w:jc w:val="both"/>
      </w:pPr>
      <w:r>
        <w:rPr>
          <w:rFonts w:ascii="Barlow Semi Condensed" w:cs="Barlow Semi Condensed" w:eastAsia="Barlow Semi Condensed" w:hAnsi="Barlow Semi Condensed"/>
          <w:b/>
          <w:bCs/>
          <w:sz w:val="24"/>
          <w:szCs w:val="24"/>
        </w:rPr>
        <w:t xml:space="preserve">70 · L'età nelle deleghe assembleari.</w:t>
      </w:r>
      <w:r>
        <w:rPr>
          <w:rFonts w:ascii="Barlow Semi Condensed" w:cs="Barlow Semi Condensed" w:eastAsia="Barlow Semi Condensed" w:hAnsi="Barlow Semi Condensed"/>
          <w:sz w:val="24"/>
          <w:szCs w:val="24"/>
        </w:rPr>
        <w:t xml:space="preserve"> Un controllo poco usato e di buona qualità: le deleghe assembleari annuali delle società quotate statunitensi indicano l'età di ciascun amministratore e dirigente alla data del documento. Incrociando più annate si ottiene una forbice stretta sull'anno di nascita, indipendente dalle biografie. Vale per chiunque, nella serie, abbia ricoperto cariche in società quotate, ed è il metodo da preferire dove il registro di stato civile non sia accessibile.</w:t>
      </w:r>
    </w:p>
    <w:p>
      <w:pPr>
        <w:spacing w:after="120" w:line="276"/>
        <w:jc w:val="both"/>
      </w:pPr>
      <w:r>
        <w:rPr>
          <w:rFonts w:ascii="Barlow Semi Condensed" w:cs="Barlow Semi Condensed" w:eastAsia="Barlow Semi Condensed" w:hAnsi="Barlow Semi Condensed"/>
          <w:b/>
          <w:bCs/>
          <w:sz w:val="24"/>
          <w:szCs w:val="24"/>
        </w:rPr>
        <w:t xml:space="preserve">71 · Errol Musk: ciò che è pubblico.</w:t>
      </w:r>
      <w:r>
        <w:rPr>
          <w:rFonts w:ascii="Barlow Semi Condensed" w:cs="Barlow Semi Condensed" w:eastAsia="Barlow Semi Condensed" w:hAnsi="Barlow Semi Condensed"/>
          <w:sz w:val="24"/>
          <w:szCs w:val="24"/>
        </w:rPr>
        <w:t xml:space="preserve"> Del padre di Elon e Kimbal Musk sono pubblici la nazionalità sudafricana, la professione di ingegnere e un'attività immobiliare, oltre a numerose dichiarazioni rese alla stampa negli ultimi anni. Tutto il resto, in questa serie, è bersaglio e non acquisizione. I registri che lo servirebbero sono due: gli atti societari sudafricani presso la Companies and Intellectual Property Commission e i registri dei Deeds Office per gli immobili.</w:t>
      </w:r>
    </w:p>
    <w:p>
      <w:pPr>
        <w:spacing w:after="120" w:line="276"/>
        <w:jc w:val="both"/>
      </w:pPr>
      <w:r>
        <w:rPr>
          <w:rFonts w:ascii="Barlow Semi Condensed" w:cs="Barlow Semi Condensed" w:eastAsia="Barlow Semi Condensed" w:hAnsi="Barlow Semi Condensed"/>
          <w:b/>
          <w:bCs/>
          <w:sz w:val="24"/>
          <w:szCs w:val="24"/>
        </w:rPr>
        <w:t xml:space="preserve">72 · Il seggio consiliare da verificare.</w:t>
      </w:r>
      <w:r>
        <w:rPr>
          <w:rFonts w:ascii="Barlow Semi Condensed" w:cs="Barlow Semi Condensed" w:eastAsia="Barlow Semi Condensed" w:hAnsi="Barlow Semi Condensed"/>
          <w:sz w:val="24"/>
          <w:szCs w:val="24"/>
        </w:rPr>
        <w:t xml:space="preserve"> Errol Musk ha dichiarato pubblicamente di essere stato consigliere comunale a Pretoria per una formazione di opposizione al governo del tempo. La dichiarazione è riferita, non documentata: la chiuderebbero i verbali e gli elenchi dei consiglieri, oggi nella competenza della municipalità metropolitana di Tshwane e, per le annate storiche, del National Archives and Records Service of South Africa. Verifica mai eseguita pubblicamente, e di costo minimo.</w:t>
      </w:r>
    </w:p>
    <w:p>
      <w:pPr>
        <w:spacing w:after="120" w:line="276"/>
        <w:jc w:val="both"/>
      </w:pPr>
      <w:r>
        <w:rPr>
          <w:rFonts w:ascii="Barlow Semi Condensed" w:cs="Barlow Semi Condensed" w:eastAsia="Barlow Semi Condensed" w:hAnsi="Barlow Semi Condensed"/>
          <w:b/>
          <w:bCs/>
          <w:sz w:val="24"/>
          <w:szCs w:val="24"/>
        </w:rPr>
        <w:t xml:space="preserve">73 · La miniera che nessun titolo attesta.</w:t>
      </w:r>
      <w:r>
        <w:rPr>
          <w:rFonts w:ascii="Barlow Semi Condensed" w:cs="Barlow Semi Condensed" w:eastAsia="Barlow Semi Condensed" w:hAnsi="Barlow Semi Condensed"/>
          <w:sz w:val="24"/>
          <w:szCs w:val="24"/>
        </w:rPr>
        <w:t xml:space="preserve"> Sulla miniera di smeraldi le versioni divergono e la serie le riporta senza sceglierne una: il padre rivendica un'attività informale in Zambia; Elon Musk ha negato pubblicamente che una miniera esistesse e ne ha chiesto la prova; il biografo Isaacson descrive l'acquisto informale di pietre grezze, non una proprietà mineraria. Nessun documento di titolarità è mai emerso. Lo chiuderebbe il registro delle concessioni del ministero delle Miniere zambiano.</w:t>
      </w:r>
    </w:p>
    <w:p>
      <w:pPr>
        <w:spacing w:after="120" w:line="276"/>
        <w:jc w:val="both"/>
      </w:pPr>
      <w:r>
        <w:rPr>
          <w:rFonts w:ascii="Barlow Semi Condensed" w:cs="Barlow Semi Condensed" w:eastAsia="Barlow Semi Condensed" w:hAnsi="Barlow Semi Condensed"/>
          <w:b/>
          <w:bCs/>
          <w:sz w:val="24"/>
          <w:szCs w:val="24"/>
        </w:rPr>
        <w:t xml:space="preserve">74 · La miniera come caso di scuola.</w:t>
      </w:r>
      <w:r>
        <w:rPr>
          <w:rFonts w:ascii="Barlow Semi Condensed" w:cs="Barlow Semi Condensed" w:eastAsia="Barlow Semi Condensed" w:hAnsi="Barlow Semi Condensed"/>
          <w:sz w:val="24"/>
          <w:szCs w:val="24"/>
        </w:rPr>
        <w:t xml:space="preserve"> Questa divergenza va tenuta al centro per una ragione metodica: è il punto in cui una fonte familiare, una smentita dell'interessato e una biografia con apparato dicono tre cose diverse sullo stesso oggetto. Scioglierla adottando la versione più suggestiva sarebbe l'errore tipico della letteratura in rete su questa materia. Il corpus registra le tre versioni, le data, e attende un documento di titolarità che finora non esiste.</w:t>
      </w:r>
    </w:p>
    <w:p>
      <w:pPr>
        <w:spacing w:after="120" w:line="276"/>
        <w:jc w:val="both"/>
      </w:pPr>
      <w:r>
        <w:rPr>
          <w:rFonts w:ascii="Barlow Semi Condensed" w:cs="Barlow Semi Condensed" w:eastAsia="Barlow Semi Condensed" w:hAnsi="Barlow Semi Condensed"/>
          <w:b/>
          <w:bCs/>
          <w:sz w:val="24"/>
          <w:szCs w:val="24"/>
        </w:rPr>
        <w:t xml:space="preserve">75 · Joshua Norman Haldeman, 1902-1974.</w:t>
      </w:r>
      <w:r>
        <w:rPr>
          <w:rFonts w:ascii="Barlow Semi Condensed" w:cs="Barlow Semi Condensed" w:eastAsia="Barlow Semi Condensed" w:hAnsi="Barlow Semi Condensed"/>
          <w:sz w:val="24"/>
          <w:szCs w:val="24"/>
        </w:rPr>
        <w:t xml:space="preserve"> Morto nel 1974 in Sud Africa, dove si era stabilito nel 1950, Joshua Norman Haldeman era nato nel 1902. La morte in territorio sudafricano genera un atto pubblico e poco usato: il fascicolo di successione depositato presso il Master of the High Court di Pretoria, che riporta data e luogo del decesso, ultima residenza, eredi e beni dichiarati. È la carta anagrafica primaria su di lui, e nessuno la cita.</w:t>
      </w:r>
    </w:p>
    <w:p>
      <w:pPr>
        <w:spacing w:after="120" w:line="276"/>
        <w:jc w:val="both"/>
      </w:pPr>
      <w:r>
        <w:rPr>
          <w:rFonts w:ascii="Barlow Semi Condensed" w:cs="Barlow Semi Condensed" w:eastAsia="Barlow Semi Condensed" w:hAnsi="Barlow Semi Condensed"/>
          <w:b/>
          <w:bCs/>
          <w:sz w:val="24"/>
          <w:szCs w:val="24"/>
        </w:rPr>
        <w:t xml:space="preserve">76 · Technocracy e gli archivi canadesi.</w:t>
      </w:r>
      <w:r>
        <w:rPr>
          <w:rFonts w:ascii="Barlow Semi Condensed" w:cs="Barlow Semi Condensed" w:eastAsia="Barlow Semi Condensed" w:hAnsi="Barlow Semi Condensed"/>
          <w:sz w:val="24"/>
          <w:szCs w:val="24"/>
        </w:rPr>
        <w:t xml:space="preserve"> L'adesione al movimento Technocracy è fatto pubblico e ricorre in ogni ricostruzione. Gli archivi che la documentano sono canadesi: i fondi del movimento e la documentazione della polizia federale conservata presso Library and Archives Canada a Ottawa, oltre agli archivi provinciali del Saskatchewan a Regina per la vita associativa e politica locale. Nessuna pubblicazione consultata cita segnature di quei fondi: la ricerca è interamente da fare.</w:t>
      </w:r>
    </w:p>
    <w:p>
      <w:pPr>
        <w:spacing w:after="120" w:line="276"/>
        <w:jc w:val="both"/>
      </w:pPr>
      <w:r>
        <w:rPr>
          <w:rFonts w:ascii="Barlow Semi Condensed" w:cs="Barlow Semi Condensed" w:eastAsia="Barlow Semi Condensed" w:hAnsi="Barlow Semi Condensed"/>
          <w:b/>
          <w:bCs/>
          <w:sz w:val="24"/>
          <w:szCs w:val="24"/>
        </w:rPr>
        <w:t xml:space="preserve">77 · Nessun partito nazista: Stato Zero verificato.</w:t>
      </w:r>
      <w:r>
        <w:rPr>
          <w:rFonts w:ascii="Barlow Semi Condensed" w:cs="Barlow Semi Condensed" w:eastAsia="Barlow Semi Condensed" w:hAnsi="Barlow Semi Condensed"/>
          <w:sz w:val="24"/>
          <w:szCs w:val="24"/>
        </w:rPr>
        <w:t xml:space="preserve"> Su un punto la verifica è già stata condotta e ha dato esito negativo: non risulta prova di appartenenza di Joshua Haldeman a partiti nazisti. È uno Stato Zero verificato e va scritto con la forza di un accertamento positivo, perché è esattamente il punto su cui la letteratura militante scivola. Ciò che risulta, e che l'inchiesta della CBC documenta, sono posizioni pubbliche a sostegno dell'apartheid e scritti razzisti e antisemiti.</w:t>
      </w:r>
    </w:p>
    <w:p>
      <w:pPr>
        <w:spacing w:after="120" w:line="276"/>
        <w:jc w:val="both"/>
      </w:pPr>
      <w:r>
        <w:rPr>
          <w:rFonts w:ascii="Barlow Semi Condensed" w:cs="Barlow Semi Condensed" w:eastAsia="Barlow Semi Condensed" w:hAnsi="Barlow Semi Condensed"/>
          <w:b/>
          <w:bCs/>
          <w:sz w:val="24"/>
          <w:szCs w:val="24"/>
        </w:rPr>
        <w:t xml:space="preserve">78 · Il libro dei Haldeman del 1954.</w:t>
      </w:r>
      <w:r>
        <w:rPr>
          <w:rFonts w:ascii="Barlow Semi Condensed" w:cs="Barlow Semi Condensed" w:eastAsia="Barlow Semi Condensed" w:hAnsi="Barlow Semi Condensed"/>
          <w:sz w:val="24"/>
          <w:szCs w:val="24"/>
        </w:rPr>
        <w:t xml:space="preserve"> Esiste un documento a stampa poco sfruttato: il volume che i coniugi Haldeman pubblicarono nel 1954 sui propri voli privati fra l'Africa e l'Australia. È fonte diretta, datata e firmata, utile per residenze, spostamenti e composizione familiare. Le copie sono reperibili nelle biblioteche nazionali di Sud Africa e Canada. Un libro scritto dai protagonisti vale, sul piano anagrafico, più di dieci ricostruzioni successive che non lo citano.</w:t>
      </w:r>
    </w:p>
    <w:p>
      <w:pPr>
        <w:spacing w:after="120" w:line="276"/>
        <w:jc w:val="both"/>
      </w:pPr>
      <w:r>
        <w:rPr>
          <w:rFonts w:ascii="Barlow Semi Condensed" w:cs="Barlow Semi Condensed" w:eastAsia="Barlow Semi Condensed" w:hAnsi="Barlow Semi Condensed"/>
          <w:b/>
          <w:bCs/>
          <w:sz w:val="24"/>
          <w:szCs w:val="24"/>
        </w:rPr>
        <w:t xml:space="preserve">79 · Il divieto centrale dell'opera.</w:t>
      </w:r>
      <w:r>
        <w:rPr>
          <w:rFonts w:ascii="Barlow Semi Condensed" w:cs="Barlow Semi Condensed" w:eastAsia="Barlow Semi Condensed" w:hAnsi="Barlow Semi Condensed"/>
          <w:sz w:val="24"/>
          <w:szCs w:val="24"/>
        </w:rPr>
        <w:t xml:space="preserve"> Le opinioni del nonno non si attribuiscono al nipote, e non è una cortesia: è la regola che tiene in piedi l'intera opera. La discendenza è un fatto anagrafico, non un tratto trasmesso; l'infanzia non è una scelta; l'origine non è una colpa. Un blocco che passasse dalla parentela documentata alla condotta inferita violerebbe insieme la regola dei tre piani e il divieto di attribuzione delle opinioni altrui.</w:t>
      </w:r>
    </w:p>
    <w:p>
      <w:pPr>
        <w:spacing w:after="120" w:line="276"/>
        <w:jc w:val="both"/>
      </w:pPr>
      <w:r>
        <w:rPr>
          <w:rFonts w:ascii="Barlow Semi Condensed" w:cs="Barlow Semi Condensed" w:eastAsia="Barlow Semi Condensed" w:hAnsi="Barlow Semi Condensed"/>
          <w:b/>
          <w:bCs/>
          <w:sz w:val="24"/>
          <w:szCs w:val="24"/>
        </w:rPr>
        <w:t xml:space="preserve">80 · Francoforte sul Meno, 11 ottobre 1967.</w:t>
      </w:r>
      <w:r>
        <w:rPr>
          <w:rFonts w:ascii="Barlow Semi Condensed" w:cs="Barlow Semi Condensed" w:eastAsia="Barlow Semi Condensed" w:hAnsi="Barlow Semi Condensed"/>
          <w:sz w:val="24"/>
          <w:szCs w:val="24"/>
        </w:rPr>
        <w:t xml:space="preserve"> L'atto primario è la registrazione di nascita presso lo Standesamt di Francoforte sul Meno, che riporta data, luogo e genitori dichiaranti. Il dato circola ovunque come pubblico e non è mai stato contestato, ma nessuna pubblicazione ne cita l'estratto. Vale la gerarchia annunciata in apertura: finché l'estratto non è citato, la nascita di Peter Andreas Thiel resta un fatto pubblico ben attestato e non un dato documentato in senso stretto.</w:t>
      </w:r>
    </w:p>
    <w:p>
      <w:pPr>
        <w:spacing w:after="120" w:line="276"/>
        <w:jc w:val="both"/>
      </w:pPr>
      <w:r>
        <w:rPr>
          <w:rFonts w:ascii="Barlow Semi Condensed" w:cs="Barlow Semi Condensed" w:eastAsia="Barlow Semi Condensed" w:hAnsi="Barlow Semi Condensed"/>
          <w:b/>
          <w:bCs/>
          <w:sz w:val="24"/>
          <w:szCs w:val="24"/>
        </w:rPr>
        <w:t xml:space="preserve">81 · La cittadinanza tedesca e la sua sorte.</w:t>
      </w:r>
      <w:r>
        <w:rPr>
          <w:rFonts w:ascii="Barlow Semi Condensed" w:cs="Barlow Semi Condensed" w:eastAsia="Barlow Semi Condensed" w:hAnsi="Barlow Semi Condensed"/>
          <w:sz w:val="24"/>
          <w:szCs w:val="24"/>
        </w:rPr>
        <w:t xml:space="preserve"> Fino alla riforma entrata in vigore nel giugno 2024 l'ordinamento tedesco faceva perdere la cittadinanza a chi ne acquistasse volontariamente un'altra senza autorizzazione preventiva. Se Peter Thiel abbia conservato o perduto quella tedesca è dunque una domanda con risposta amministrativa precisa, che nessuna pubblicazione consultata ha mai cercato. La sede competente è il Bundesverwaltungsamt di Colonia. Il quesito riguarda anche altri nomi della serie nati fuori dagli Stati Uniti.</w:t>
      </w:r>
    </w:p>
    <w:p>
      <w:pPr>
        <w:spacing w:after="120" w:line="276"/>
        <w:jc w:val="both"/>
      </w:pPr>
      <w:r>
        <w:rPr>
          <w:rFonts w:ascii="Barlow Semi Condensed" w:cs="Barlow Semi Condensed" w:eastAsia="Barlow Semi Condensed" w:hAnsi="Barlow Semi Condensed"/>
          <w:b/>
          <w:bCs/>
          <w:sz w:val="24"/>
          <w:szCs w:val="24"/>
        </w:rPr>
        <w:t xml:space="preserve">82 · Swakopmund, intorno al 1975.</w:t>
      </w:r>
      <w:r>
        <w:rPr>
          <w:rFonts w:ascii="Barlow Semi Condensed" w:cs="Barlow Semi Condensed" w:eastAsia="Barlow Semi Condensed" w:hAnsi="Barlow Semi Condensed"/>
          <w:sz w:val="24"/>
          <w:szCs w:val="24"/>
        </w:rPr>
        <w:t xml:space="preserve"> Acquisita è la residenza a Swakopmund, nell'Africa del Sud-Ovest allora amministrata dal Sud Africa, negli anni della costruzione della miniera di uranio di Rössing: il padre, ingegnere chimico, lavorava per un'impresa del cantiere. Mancano le date esatte di ingresso e di uscita. Le chiuderebbero i registri municipali di Swakopmund e i fondi dell'amministrazione conservati al National Archives of Namibia, a Windhoek, mai interrogati su questo punto.</w:t>
      </w:r>
    </w:p>
    <w:p>
      <w:pPr>
        <w:spacing w:after="120" w:line="276"/>
        <w:jc w:val="both"/>
      </w:pPr>
      <w:r>
        <w:rPr>
          <w:rFonts w:ascii="Barlow Semi Condensed" w:cs="Barlow Semi Condensed" w:eastAsia="Barlow Semi Condensed" w:hAnsi="Barlow Semi Condensed"/>
          <w:b/>
          <w:bCs/>
          <w:sz w:val="24"/>
          <w:szCs w:val="24"/>
        </w:rPr>
        <w:t xml:space="preserve">83 · Windhoek: che cosa chiedere davvero.</w:t>
      </w:r>
      <w:r>
        <w:rPr>
          <w:rFonts w:ascii="Barlow Semi Condensed" w:cs="Barlow Semi Condensed" w:eastAsia="Barlow Semi Condensed" w:hAnsi="Barlow Semi Condensed"/>
          <w:sz w:val="24"/>
          <w:szCs w:val="24"/>
        </w:rPr>
        <w:t xml:space="preserve"> Al National Archives of Namibia la domanda va posta in forma amministrativa e non biografica: registri di residenza e permessi di soggiorno del periodo, elenchi del personale delle imprese appaltatrici del cantiere, registri scolastici degli istituti di Swakopmund. Un archivio risponde a una segnatura, non a un nome celebre. Questo blocco esiste per impedire la richiesta generica, che produce prevedibilmente una risposta generica e un nulla di fatto.</w:t>
      </w:r>
    </w:p>
    <w:p>
      <w:pPr>
        <w:spacing w:after="120" w:line="276"/>
        <w:jc w:val="both"/>
      </w:pPr>
      <w:r>
        <w:rPr>
          <w:rFonts w:ascii="Barlow Semi Condensed" w:cs="Barlow Semi Condensed" w:eastAsia="Barlow Semi Condensed" w:hAnsi="Barlow Semi Condensed"/>
          <w:b/>
          <w:bCs/>
          <w:sz w:val="24"/>
          <w:szCs w:val="24"/>
        </w:rPr>
        <w:t xml:space="preserve">84 · Rössing e le imprese appaltatrici.</w:t>
      </w:r>
      <w:r>
        <w:rPr>
          <w:rFonts w:ascii="Barlow Semi Condensed" w:cs="Barlow Semi Condensed" w:eastAsia="Barlow Semi Condensed" w:hAnsi="Barlow Semi Condensed"/>
          <w:sz w:val="24"/>
          <w:szCs w:val="24"/>
        </w:rPr>
        <w:t xml:space="preserve"> Entrata in produzione nella seconda metà degli anni Settanta sotto il controllo del gruppo Rio Tinto Zinc, la miniera di Rössing ebbe un cantiere con decine di imprese appaltatrici. Gli elenchi di quelle imprese e del loro personale espatriato sono documenti aziendali e amministrativi, in parte in Namibia e in parte negli archivi societari del gruppo. Individuare l'impresa per cui Klaus Thiel lavorò, con date contrattuali, rende verificabile l'episodio.</w:t>
      </w:r>
    </w:p>
    <w:p>
      <w:pPr>
        <w:spacing w:after="120" w:line="276"/>
        <w:jc w:val="both"/>
      </w:pPr>
      <w:r>
        <w:rPr>
          <w:rFonts w:ascii="Barlow Semi Condensed" w:cs="Barlow Semi Condensed" w:eastAsia="Barlow Semi Condensed" w:hAnsi="Barlow Semi Condensed"/>
          <w:b/>
          <w:bCs/>
          <w:sz w:val="24"/>
          <w:szCs w:val="24"/>
        </w:rPr>
        <w:t xml:space="preserve">85 · La tesi militare resta al piano tre.</w:t>
      </w:r>
      <w:r>
        <w:rPr>
          <w:rFonts w:ascii="Barlow Semi Condensed" w:cs="Barlow Semi Condensed" w:eastAsia="Barlow Semi Condensed" w:hAnsi="Barlow Semi Condensed"/>
          <w:sz w:val="24"/>
          <w:szCs w:val="24"/>
        </w:rPr>
        <w:t xml:space="preserve"> Che Rössing servisse il programma nucleare militare sudafricano è affermazione che circola su fonti militanti prive di documento: piano tre, e questa serie non la adotta. Indicarla come bersaglio è però legittimo, e la sede è nominabile: gli atti dell'Atomic Energy Board sudafricano e i fondi governativi presso il National Archives di Pretoria, insieme alle risoluzioni e ai rapporti delle Nazioni Unite sulle risorse namibiane.</w:t>
      </w:r>
    </w:p>
    <w:p>
      <w:pPr>
        <w:spacing w:after="120" w:line="276"/>
        <w:jc w:val="both"/>
      </w:pPr>
      <w:r>
        <w:rPr>
          <w:rFonts w:ascii="Barlow Semi Condensed" w:cs="Barlow Semi Condensed" w:eastAsia="Barlow Semi Condensed" w:hAnsi="Barlow Semi Condensed"/>
          <w:b/>
          <w:bCs/>
          <w:sz w:val="24"/>
          <w:szCs w:val="24"/>
        </w:rPr>
        <w:t xml:space="preserve">86 · Il decreto numero uno del Consiglio ONU.</w:t>
      </w:r>
      <w:r>
        <w:rPr>
          <w:rFonts w:ascii="Barlow Semi Condensed" w:cs="Barlow Semi Condensed" w:eastAsia="Barlow Semi Condensed" w:hAnsi="Barlow Semi Condensed"/>
          <w:sz w:val="24"/>
          <w:szCs w:val="24"/>
        </w:rPr>
        <w:t xml:space="preserve"> Un documento pubblico e citabile inquadra giuridicamente la materia: il Decreto n. 1 per la protezione delle risorse naturali della Namibia, adottato dal Consiglio delle Nazioni Unite per la Namibia nel 1974, che dichiarava illecita l'estrazione di risorse dal territorio senza il suo consenso. Non riguarda persone e non attribuisce condotte a nessuno: fissa la cornice normativa internazionale in cui il cantiere operava.</w:t>
      </w:r>
    </w:p>
    <w:p>
      <w:pPr>
        <w:spacing w:after="120" w:line="276"/>
        <w:jc w:val="both"/>
      </w:pPr>
      <w:r>
        <w:rPr>
          <w:rFonts w:ascii="Barlow Semi Condensed" w:cs="Barlow Semi Condensed" w:eastAsia="Barlow Semi Condensed" w:hAnsi="Barlow Semi Condensed"/>
          <w:b/>
          <w:bCs/>
          <w:sz w:val="24"/>
          <w:szCs w:val="24"/>
        </w:rPr>
        <w:t xml:space="preserve">87 · La scuola di Johannesburg.</w:t>
      </w:r>
      <w:r>
        <w:rPr>
          <w:rFonts w:ascii="Barlow Semi Condensed" w:cs="Barlow Semi Condensed" w:eastAsia="Barlow Semi Condensed" w:hAnsi="Barlow Semi Condensed"/>
          <w:sz w:val="24"/>
          <w:szCs w:val="24"/>
        </w:rPr>
        <w:t xml:space="preserve"> Frequentare a Johannesburg una scuola preparatoria riservata ai bianchi è fatto acquisito e va letto per ciò che è: un dato sul sistema scolastico segregato di quel Paese, non una scelta del bambino iscritto. La verifica documentale passa dai registri d'istituto e, per le annate storiche, dagli archivi provinciali del Gauteng. La domanda utile è quale scuola e per quali anni, non che cosa ciò significhi.</w:t>
      </w:r>
    </w:p>
    <w:p>
      <w:pPr>
        <w:spacing w:after="120" w:line="276"/>
        <w:jc w:val="both"/>
      </w:pPr>
      <w:r>
        <w:rPr>
          <w:rFonts w:ascii="Barlow Semi Condensed" w:cs="Barlow Semi Condensed" w:eastAsia="Barlow Semi Condensed" w:hAnsi="Barlow Semi Condensed"/>
          <w:b/>
          <w:bCs/>
          <w:sz w:val="24"/>
          <w:szCs w:val="24"/>
        </w:rPr>
        <w:t xml:space="preserve">88 · Stanford, 1989 e 1992.</w:t>
      </w:r>
      <w:r>
        <w:rPr>
          <w:rFonts w:ascii="Barlow Semi Condensed" w:cs="Barlow Semi Condensed" w:eastAsia="Barlow Semi Condensed" w:hAnsi="Barlow Semi Condensed"/>
          <w:sz w:val="24"/>
          <w:szCs w:val="24"/>
        </w:rPr>
        <w:t xml:space="preserve"> I due titoli conseguiti a Stanford, la laurea in filosofia nel 1989 e il dottorato in giurisprudenza nel 1992, sono dati stabili e confermabili dal registrar dell'ateneo. Da essi discende una traccia documentale ulteriore e trascurata: l'iscrizione a un albo forense statale, che è registro pubblico consultabile in rete, con data di ammissione e stato dell'iscrizione. È verifica immediata, e nessuna pubblicazione la produce.</w:t>
      </w:r>
    </w:p>
    <w:p>
      <w:pPr>
        <w:spacing w:after="120" w:line="276"/>
        <w:jc w:val="both"/>
      </w:pPr>
      <w:r>
        <w:rPr>
          <w:rFonts w:ascii="Barlow Semi Condensed" w:cs="Barlow Semi Condensed" w:eastAsia="Barlow Semi Condensed" w:hAnsi="Barlow Semi Condensed"/>
          <w:b/>
          <w:bCs/>
          <w:sz w:val="24"/>
          <w:szCs w:val="24"/>
        </w:rPr>
        <w:t xml:space="preserve">89 · Il tirocinio e la banca.</w:t>
      </w:r>
      <w:r>
        <w:rPr>
          <w:rFonts w:ascii="Barlow Semi Condensed" w:cs="Barlow Semi Condensed" w:eastAsia="Barlow Semi Condensed" w:hAnsi="Barlow Semi Condensed"/>
          <w:sz w:val="24"/>
          <w:szCs w:val="24"/>
        </w:rPr>
        <w:t xml:space="preserve"> Riferiti in modo uniforme, e presenti nella biografia con apparato di Max Chafkin, sono il tirocinio presso un giudice federale d'appello e i successivi impieghi in uno studio legale di New York e in una banca d'affari. La prova documentale sta altrove: negli annuari giudiziari federali per il tirocinio, nei registri dell'albo forense dello Stato di New York per l'esercizio professionale. Riferito e documentato possono qui coincidere con poco lavoro.</w:t>
      </w:r>
    </w:p>
    <w:p>
      <w:pPr>
        <w:spacing w:after="120" w:line="276"/>
        <w:jc w:val="both"/>
      </w:pPr>
      <w:r>
        <w:rPr>
          <w:rFonts w:ascii="Barlow Semi Condensed" w:cs="Barlow Semi Condensed" w:eastAsia="Barlow Semi Condensed" w:hAnsi="Barlow Semi Condensed"/>
          <w:b/>
          <w:bCs/>
          <w:sz w:val="24"/>
          <w:szCs w:val="24"/>
        </w:rPr>
        <w:t xml:space="preserve">90 · Nuova Zelanda, 30 giugno 2011.</w:t>
      </w:r>
      <w:r>
        <w:rPr>
          <w:rFonts w:ascii="Barlow Semi Condensed" w:cs="Barlow Semi Condensed" w:eastAsia="Barlow Semi Condensed" w:hAnsi="Barlow Semi Condensed"/>
          <w:sz w:val="24"/>
          <w:szCs w:val="24"/>
        </w:rPr>
        <w:t xml:space="preserve"> È il dato anagrafico meglio documentato dell'intera serie, e proviene da un archivio pubblico: il fascicolo del Department of Internal Affairs neozelandese, rilasciato su richiesta di accesso e riportato dalla stampa nel 2021, attesta la concessione della cittadinanza il 30 giugno 2011 in via eccezionale, a fronte di una permanenza nel Paese di dodici giorni. Atto ministeriale discrezionale, dunque, e non naturalizzazione ordinaria per residenza.</w:t>
      </w:r>
    </w:p>
    <w:p>
      <w:pPr>
        <w:spacing w:after="120" w:line="276"/>
        <w:jc w:val="both"/>
      </w:pPr>
      <w:r>
        <w:rPr>
          <w:rFonts w:ascii="Barlow Semi Condensed" w:cs="Barlow Semi Condensed" w:eastAsia="Barlow Semi Condensed" w:hAnsi="Barlow Semi Condensed"/>
          <w:b/>
          <w:bCs/>
          <w:sz w:val="24"/>
          <w:szCs w:val="24"/>
        </w:rPr>
        <w:t xml:space="preserve">91 · Wanaka e i registri fondiari.</w:t>
      </w:r>
      <w:r>
        <w:rPr>
          <w:rFonts w:ascii="Barlow Semi Condensed" w:cs="Barlow Semi Condensed" w:eastAsia="Barlow Semi Condensed" w:hAnsi="Barlow Semi Condensed"/>
          <w:sz w:val="24"/>
          <w:szCs w:val="24"/>
        </w:rPr>
        <w:t xml:space="preserve"> Alla cittadinanza neozelandese si accompagna una traccia patrimoniale pubblica: l'acquisto di un fondo nell'Otago con il consenso dell'autorità sugli investimenti esteri, e le successive vicende urbanistiche discusse dagli organi locali. I registri sono consultabili, dal catasto nazionale ai verbali del consiglio distrettuale. Una residenza dichiarata e una proprietà iscritta sono cose diverse, e vanno tenute distinte anche qui: possedere non significa risiedere.</w:t>
      </w:r>
    </w:p>
    <w:p>
      <w:pPr>
        <w:spacing w:after="120" w:line="276"/>
        <w:jc w:val="both"/>
      </w:pPr>
      <w:r>
        <w:rPr>
          <w:rFonts w:ascii="Barlow Semi Condensed" w:cs="Barlow Semi Condensed" w:eastAsia="Barlow Semi Condensed" w:hAnsi="Barlow Semi Condensed"/>
          <w:b/>
          <w:bCs/>
          <w:sz w:val="24"/>
          <w:szCs w:val="24"/>
        </w:rPr>
        <w:t xml:space="preserve">92 · I fondatori di Confinity: quanti erano.</w:t>
      </w:r>
      <w:r>
        <w:rPr>
          <w:rFonts w:ascii="Barlow Semi Condensed" w:cs="Barlow Semi Condensed" w:eastAsia="Barlow Semi Condensed" w:hAnsi="Barlow Semi Condensed"/>
          <w:sz w:val="24"/>
          <w:szCs w:val="24"/>
        </w:rPr>
        <w:t xml:space="preserve"> Oscilla fra tre e quattro, secondo la fonte, il numero dei fondatori di Confinity, e l'oscillazione non è un dettaglio: decide chi appartenga al nucleo originario. Si chiude in un solo modo, con gli atti societari depositati in Delaware e con i primi accordi fra soci, non con le interviste retrospettive. Finché quegli atti non sono citati, ogni elenco di fondatori resta una convenzione giornalistica.</w:t>
      </w:r>
    </w:p>
    <w:p>
      <w:pPr>
        <w:spacing w:after="120" w:line="276"/>
        <w:jc w:val="both"/>
      </w:pPr>
      <w:r>
        <w:rPr>
          <w:rFonts w:ascii="Barlow Semi Condensed" w:cs="Barlow Semi Condensed" w:eastAsia="Barlow Semi Condensed" w:hAnsi="Barlow Semi Condensed"/>
          <w:b/>
          <w:bCs/>
          <w:sz w:val="24"/>
          <w:szCs w:val="24"/>
        </w:rPr>
        <w:t xml:space="preserve">93 · Pretoria, 19 settembre 1973.</w:t>
      </w:r>
      <w:r>
        <w:rPr>
          <w:rFonts w:ascii="Barlow Semi Condensed" w:cs="Barlow Semi Condensed" w:eastAsia="Barlow Semi Condensed" w:hAnsi="Barlow Semi Condensed"/>
          <w:sz w:val="24"/>
          <w:szCs w:val="24"/>
        </w:rPr>
        <w:t xml:space="preserve"> Vent'anni dopo Elon Musk, e nella stessa città, nasce Roelof Botha, nel settembre 1973; studiò scienze attuariali all'Università di Città del Capo e conseguì un master alla business school di Stanford intorno al 2000. Entrambi i percorsi accademici sono verificabili presso i rispettivi registrar. È il profilo in cui la documentazione societaria statunitense e i registri sudafricani si incontrano più direttamente.</w:t>
      </w:r>
    </w:p>
    <w:p>
      <w:pPr>
        <w:spacing w:after="120" w:line="276"/>
        <w:jc w:val="both"/>
      </w:pPr>
      <w:r>
        <w:rPr>
          <w:rFonts w:ascii="Barlow Semi Condensed" w:cs="Barlow Semi Condensed" w:eastAsia="Barlow Semi Condensed" w:hAnsi="Barlow Semi Condensed"/>
          <w:b/>
          <w:bCs/>
          <w:sz w:val="24"/>
          <w:szCs w:val="24"/>
        </w:rPr>
        <w:t xml:space="preserve">94 · La firma sul prospetto.</w:t>
      </w:r>
      <w:r>
        <w:rPr>
          <w:rFonts w:ascii="Barlow Semi Condensed" w:cs="Barlow Semi Condensed" w:eastAsia="Barlow Semi Condensed" w:hAnsi="Barlow Semi Condensed"/>
          <w:sz w:val="24"/>
          <w:szCs w:val="24"/>
        </w:rPr>
        <w:t xml:space="preserve"> Un direttore finanziario firma i depositi presso la SEC, e la firma è datata: per Roelof Botha le pagine di sottoscrizione dei documenti PayPal del 2001 e del 2002 sono la prova documentale della carica, dell'epoca e della responsabilità formale assunta. Vale una regola generale della serie: dove esiste una firma su un atto depositato presso un'autorità di vigilanza, la carica non è più riferita ma documentata.</w:t>
      </w:r>
    </w:p>
    <w:p>
      <w:pPr>
        <w:spacing w:after="120" w:line="276"/>
        <w:jc w:val="both"/>
      </w:pPr>
      <w:r>
        <w:rPr>
          <w:rFonts w:ascii="Barlow Semi Condensed" w:cs="Barlow Semi Condensed" w:eastAsia="Barlow Semi Condensed" w:hAnsi="Barlow Semi Condensed"/>
          <w:b/>
          <w:bCs/>
          <w:sz w:val="24"/>
          <w:szCs w:val="24"/>
        </w:rPr>
        <w:t xml:space="preserve">95 · Sequoia e il registro dei consulenti.</w:t>
      </w:r>
      <w:r>
        <w:rPr>
          <w:rFonts w:ascii="Barlow Semi Condensed" w:cs="Barlow Semi Condensed" w:eastAsia="Barlow Semi Condensed" w:hAnsi="Barlow Semi Condensed"/>
          <w:sz w:val="24"/>
          <w:szCs w:val="24"/>
        </w:rPr>
        <w:t xml:space="preserve"> L'ingresso in Sequoia Capital nel 2003 e i ruoli successivi si documentano anche fuori dalla stampa specializzata: i gestori statunitensi depositano presso la SEC il modulo ADV, che elenca soggetti di controllo e persone rilevanti, con aggiornamenti datati. È un registro pubblico e pochissimo usato dalla pubblicistica su questa materia. Le date di ingresso e di promozione si ricavano confrontando le versioni successive del modulo.</w:t>
      </w:r>
    </w:p>
    <w:p>
      <w:pPr>
        <w:spacing w:after="120" w:line="276"/>
        <w:jc w:val="both"/>
      </w:pPr>
      <w:r>
        <w:rPr>
          <w:rFonts w:ascii="Barlow Semi Condensed" w:cs="Barlow Semi Condensed" w:eastAsia="Barlow Semi Condensed" w:hAnsi="Barlow Semi Condensed"/>
          <w:b/>
          <w:bCs/>
          <w:sz w:val="24"/>
          <w:szCs w:val="24"/>
        </w:rPr>
        <w:t xml:space="preserve">96 · La parentela che regge tutto.</w:t>
      </w:r>
      <w:r>
        <w:rPr>
          <w:rFonts w:ascii="Barlow Semi Condensed" w:cs="Barlow Semi Condensed" w:eastAsia="Barlow Semi Condensed" w:hAnsi="Barlow Semi Condensed"/>
          <w:sz w:val="24"/>
          <w:szCs w:val="24"/>
        </w:rPr>
        <w:t xml:space="preserve"> Documentata è la parentela con Pik Botha, ed è l'unico legame di piano uno fra il mondo di PayPal e l'apparato di governo sudafricano dell'apartheid. Va detto con esattezza che cosa essa prova: una discendenza, e nient'altro. Non prova un rapporto operativo, non prova una condivisione di opinioni, non prova un canale. Un ponte di piano uno resta un ponte fra due persone, non fra due sistemi.</w:t>
      </w:r>
    </w:p>
    <w:p>
      <w:pPr>
        <w:spacing w:after="120" w:line="276"/>
        <w:jc w:val="both"/>
      </w:pPr>
      <w:r>
        <w:rPr>
          <w:rFonts w:ascii="Barlow Semi Condensed" w:cs="Barlow Semi Condensed" w:eastAsia="Barlow Semi Condensed" w:hAnsi="Barlow Semi Condensed"/>
          <w:b/>
          <w:bCs/>
          <w:sz w:val="24"/>
          <w:szCs w:val="24"/>
        </w:rPr>
        <w:t xml:space="preserve">97 · Quale figlio, quale ramo.</w:t>
      </w:r>
      <w:r>
        <w:rPr>
          <w:rFonts w:ascii="Barlow Semi Condensed" w:cs="Barlow Semi Condensed" w:eastAsia="Barlow Semi Condensed" w:hAnsi="Barlow Semi Condensed"/>
          <w:sz w:val="24"/>
          <w:szCs w:val="24"/>
        </w:rPr>
        <w:t xml:space="preserve"> Della catena di filiazione manca l'anello intermedio: quale dei figli di Pik Botha sia il padre di Roelof Botha non risulta stabilito da alcuna fonte documentale consultata, e le pagine divulgative lo omettono. Lo chiuderebbero due carte sudafricane, il registro di nascita del Department of Home Affairs e il fascicolo di successione di Pik Botha presso il Master of the High Court. Stato Zero circoscritto e colmabile.</w:t>
      </w:r>
    </w:p>
    <w:p>
      <w:pPr>
        <w:spacing w:after="120" w:line="276"/>
        <w:jc w:val="both"/>
      </w:pPr>
      <w:r>
        <w:rPr>
          <w:rFonts w:ascii="Barlow Semi Condensed" w:cs="Barlow Semi Condensed" w:eastAsia="Barlow Semi Condensed" w:hAnsi="Barlow Semi Condensed"/>
          <w:b/>
          <w:bCs/>
          <w:sz w:val="24"/>
          <w:szCs w:val="24"/>
        </w:rPr>
        <w:t xml:space="preserve">98 · Pik Botha: le date e le cariche.</w:t>
      </w:r>
      <w:r>
        <w:rPr>
          <w:rFonts w:ascii="Barlow Semi Condensed" w:cs="Barlow Semi Condensed" w:eastAsia="Barlow Semi Condensed" w:hAnsi="Barlow Semi Condensed"/>
          <w:sz w:val="24"/>
          <w:szCs w:val="24"/>
        </w:rPr>
        <w:t xml:space="preserve"> Roelof Frederik Botha, detto Pik, nacque nel 1932 e morì nell'ottobre 2018. Fu ministro degli Esteri dal 1977 al 1994 e ministro delle Miniere e dell'Energia nel primo governo guidato da Nelson Mandela, fino al 1996; nel decennio successivo aderì pubblicamente all'African National Congress. Le fonti primarie sono gli atti parlamentari sudafricani e la Gazzetta ufficiale della Repubblica, che pubblica le nomine ministeriali con data.</w:t>
      </w:r>
    </w:p>
    <w:p>
      <w:pPr>
        <w:spacing w:after="120" w:line="276"/>
        <w:jc w:val="both"/>
      </w:pPr>
      <w:r>
        <w:rPr>
          <w:rFonts w:ascii="Barlow Semi Condensed" w:cs="Barlow Semi Condensed" w:eastAsia="Barlow Semi Condensed" w:hAnsi="Barlow Semi Condensed"/>
          <w:b/>
          <w:bCs/>
          <w:sz w:val="24"/>
          <w:szCs w:val="24"/>
        </w:rPr>
        <w:t xml:space="preserve">99 · L'ambasciatore prima del ministro.</w:t>
      </w:r>
      <w:r>
        <w:rPr>
          <w:rFonts w:ascii="Barlow Semi Condensed" w:cs="Barlow Semi Condensed" w:eastAsia="Barlow Semi Condensed" w:hAnsi="Barlow Semi Condensed"/>
          <w:sz w:val="24"/>
          <w:szCs w:val="24"/>
        </w:rPr>
        <w:t xml:space="preserve"> Nel triennio che precedette il ministero, Pik Botha rappresentò il proprio Paese alle Nazioni Unite e a Washington: dato pubblico, ricostruibile dagli atti dell'Assemblea Generale, che registrano credenziali e interventi con data e numero di documento. Per chi lavori sul contesto, quella è la sede in cui la difesa internazionale del sistema sudafricano fu esercitata per iscritto, e resta integralmente citabile riga per riga.</w:t>
      </w:r>
    </w:p>
    <w:p>
      <w:pPr>
        <w:spacing w:after="120" w:line="276"/>
        <w:jc w:val="both"/>
      </w:pPr>
      <w:r>
        <w:rPr>
          <w:rFonts w:ascii="Barlow Semi Condensed" w:cs="Barlow Semi Condensed" w:eastAsia="Barlow Semi Condensed" w:hAnsi="Barlow Semi Condensed"/>
          <w:b/>
          <w:bCs/>
          <w:sz w:val="24"/>
          <w:szCs w:val="24"/>
        </w:rPr>
        <w:t xml:space="preserve">100 · Il nodo E-16 e la sua distanza.</w:t>
      </w:r>
      <w:r>
        <w:rPr>
          <w:rFonts w:ascii="Barlow Semi Condensed" w:cs="Barlow Semi Condensed" w:eastAsia="Barlow Semi Condensed" w:hAnsi="Barlow Semi Condensed"/>
          <w:sz w:val="24"/>
          <w:szCs w:val="24"/>
        </w:rPr>
        <w:t xml:space="preserve"> Il corpus contiene un solo ponte documentato con questa materia: il nodo E-16 della triangolazione Guevara-Moro, il discorso all'Assemblea Generale dell'11 dicembre 1964 con la denuncia del colonialismo e dell'apartheid. Precede di un decennio l'arrivo di Pik Botha a New York e di tredici anni il suo ministero. La contiguità di sede non è un nesso: è una coordinata cronologica, e serve solo a datare.</w:t>
      </w:r>
    </w:p>
    <w:p>
      <w:pPr>
        <w:spacing w:after="120" w:line="276"/>
        <w:jc w:val="both"/>
      </w:pPr>
      <w:r>
        <w:rPr>
          <w:rFonts w:ascii="Barlow Semi Condensed" w:cs="Barlow Semi Condensed" w:eastAsia="Barlow Semi Condensed" w:hAnsi="Barlow Semi Condensed"/>
          <w:b/>
          <w:bCs/>
          <w:sz w:val="24"/>
          <w:szCs w:val="24"/>
        </w:rPr>
        <w:t xml:space="preserve">101 · I due Botha non sono parenti.</w:t>
      </w:r>
      <w:r>
        <w:rPr>
          <w:rFonts w:ascii="Barlow Semi Condensed" w:cs="Barlow Semi Condensed" w:eastAsia="Barlow Semi Condensed" w:hAnsi="Barlow Semi Condensed"/>
          <w:sz w:val="24"/>
          <w:szCs w:val="24"/>
        </w:rPr>
        <w:t xml:space="preserve"> L'errore più diffuso su questa materia va corretto qui e ripetuto ovunque serva: Pik Botha, ministro degli Esteri, non era parente di Pieter Willem Botha, primo ministro e poi presidente dello Stato. Sono due uomini diversi, di famiglie diverse, con cariche diverse. Chi li confonde trasferisce al nonno di un finanziere americano la biografia del capo dello Stato: è un falso anagrafico, e genera catene inesistenti.</w:t>
      </w:r>
    </w:p>
    <w:p>
      <w:pPr>
        <w:spacing w:after="120" w:line="276"/>
        <w:jc w:val="both"/>
      </w:pPr>
      <w:r>
        <w:rPr>
          <w:rFonts w:ascii="Barlow Semi Condensed" w:cs="Barlow Semi Condensed" w:eastAsia="Barlow Semi Condensed" w:hAnsi="Barlow Semi Condensed"/>
          <w:b/>
          <w:bCs/>
          <w:sz w:val="24"/>
          <w:szCs w:val="24"/>
        </w:rPr>
        <w:t xml:space="preserve">102 · P.W. Botha: anagrafe e giudicato.</w:t>
      </w:r>
      <w:r>
        <w:rPr>
          <w:rFonts w:ascii="Barlow Semi Condensed" w:cs="Barlow Semi Condensed" w:eastAsia="Barlow Semi Condensed" w:hAnsi="Barlow Semi Condensed"/>
          <w:sz w:val="24"/>
          <w:szCs w:val="24"/>
        </w:rPr>
        <w:t xml:space="preserve"> Pieter Willem Botha nacque nel 1916 e morì nel 2006; fu primo ministro dal 1978 e presidente dello Stato fino al 1989. Sul piano giudiziario un solo dato va riportato con precisione: la condanna pronunciata nel 1998 da un tribunale di primo grado per il rifiuto di ottemperare a una convocazione della commissione per la verità fu annullata in appello l'anno seguente. Il registro del giudicato si chiude lì.</w:t>
      </w:r>
    </w:p>
    <w:p>
      <w:pPr>
        <w:spacing w:after="120" w:line="276"/>
        <w:jc w:val="both"/>
      </w:pPr>
      <w:r>
        <w:rPr>
          <w:rFonts w:ascii="Barlow Semi Condensed" w:cs="Barlow Semi Condensed" w:eastAsia="Barlow Semi Condensed" w:hAnsi="Barlow Semi Condensed"/>
          <w:b/>
          <w:bCs/>
          <w:sz w:val="24"/>
          <w:szCs w:val="24"/>
        </w:rPr>
        <w:t xml:space="preserve">103 · La commissione per la verità come archivio.</w:t>
      </w:r>
      <w:r>
        <w:rPr>
          <w:rFonts w:ascii="Barlow Semi Condensed" w:cs="Barlow Semi Condensed" w:eastAsia="Barlow Semi Condensed" w:hAnsi="Barlow Semi Condensed"/>
          <w:sz w:val="24"/>
          <w:szCs w:val="24"/>
        </w:rPr>
        <w:t xml:space="preserve"> Gli atti della Truth and Reconciliation Commission sudafricana sono una fonte anagrafica oltre che storica: verbali di audizione, domande di amnistia, elenchi di funzionari con qualifica e periodo di servizio, tutti datati e pubblicati. Per le figure sudafricane di contesto sono il primo scaffale da aprire, prima di qualunque biografia. Il fondo documentale è conservato presso il National Archives and Records Service of South Africa.</w:t>
      </w:r>
    </w:p>
    <w:p>
      <w:pPr>
        <w:spacing w:after="120" w:line="276"/>
        <w:jc w:val="both"/>
      </w:pPr>
      <w:r>
        <w:rPr>
          <w:rFonts w:ascii="Barlow Semi Condensed" w:cs="Barlow Semi Condensed" w:eastAsia="Barlow Semi Condensed" w:hAnsi="Barlow Semi Condensed"/>
          <w:b/>
          <w:bCs/>
          <w:sz w:val="24"/>
          <w:szCs w:val="24"/>
        </w:rPr>
        <w:t xml:space="preserve">104 · Città del Capo, 25 maggio 1972.</w:t>
      </w:r>
      <w:r>
        <w:rPr>
          <w:rFonts w:ascii="Barlow Semi Condensed" w:cs="Barlow Semi Condensed" w:eastAsia="Barlow Semi Condensed" w:hAnsi="Barlow Semi Condensed"/>
          <w:sz w:val="24"/>
          <w:szCs w:val="24"/>
        </w:rPr>
        <w:t xml:space="preserve"> Città del Capo compare come luogo di nascita di David Oliver Sacks, nel maggio 1972; la famiglia si trasferì negli Stati Uniti quando aveva pochi anni, stabilendosi nel Tennessee. Le date esatte dell'emigrazione e dell'eventuale naturalizzazione non sono pubbliche. Il registro sudafricano di nascita e il fascicolo d'immigrazione statunitense sono le due carte che le chiuderebbero, entrambe soggette ai limiti d'accesso dichiarati in questa serie.</w:t>
      </w:r>
    </w:p>
    <w:p>
      <w:pPr>
        <w:spacing w:after="120" w:line="276"/>
        <w:jc w:val="both"/>
      </w:pPr>
      <w:r>
        <w:rPr>
          <w:rFonts w:ascii="Barlow Semi Condensed" w:cs="Barlow Semi Condensed" w:eastAsia="Barlow Semi Condensed" w:hAnsi="Barlow Semi Condensed"/>
          <w:b/>
          <w:bCs/>
          <w:sz w:val="24"/>
          <w:szCs w:val="24"/>
        </w:rPr>
        <w:t xml:space="preserve">105 · Due lauree e un albo.</w:t>
      </w:r>
      <w:r>
        <w:rPr>
          <w:rFonts w:ascii="Barlow Semi Condensed" w:cs="Barlow Semi Condensed" w:eastAsia="Barlow Semi Condensed" w:hAnsi="Barlow Semi Condensed"/>
          <w:sz w:val="24"/>
          <w:szCs w:val="24"/>
        </w:rPr>
        <w:t xml:space="preserve"> Laurea a Stanford nel 1994 e dottorato in giurisprudenza all'Università di Chicago nel 1998: sequenza uniforme nelle fonti e confermabile dai due registrar. Come per altri giuristi della serie esiste una verifica più rapida e trascurata, l'eventuale iscrizione a un albo forense statale, che è registro pubblico con data di ammissione. Assenza e presenza di iscrizione sono entrambe informazioni anagrafiche, e la prima si verbalizza come la seconda.</w:t>
      </w:r>
    </w:p>
    <w:p>
      <w:pPr>
        <w:spacing w:after="120" w:line="276"/>
        <w:jc w:val="both"/>
      </w:pPr>
      <w:r>
        <w:rPr>
          <w:rFonts w:ascii="Barlow Semi Condensed" w:cs="Barlow Semi Condensed" w:eastAsia="Barlow Semi Condensed" w:hAnsi="Barlow Semi Condensed"/>
          <w:b/>
          <w:bCs/>
          <w:sz w:val="24"/>
          <w:szCs w:val="24"/>
        </w:rPr>
        <w:t xml:space="preserve">106 · Yammer, Microsoft e le date certe.</w:t>
      </w:r>
      <w:r>
        <w:rPr>
          <w:rFonts w:ascii="Barlow Semi Condensed" w:cs="Barlow Semi Condensed" w:eastAsia="Barlow Semi Condensed" w:hAnsi="Barlow Semi Condensed"/>
          <w:sz w:val="24"/>
          <w:szCs w:val="24"/>
        </w:rPr>
        <w:t xml:space="preserve"> La cessione di Yammer a Microsoft nel 2012 è documentata dai depositi dell'acquirente presso la SEC, che ne riportano data e corrispettivo. Per l'anagrafe professionale queste carte servono a fissare inizio e fine di un ruolo con una precisione che nessuna intervista offre. Vale anche qui la regola generale della serie: le operazioni societarie datano le biografie meglio di quanto le biografie datino se stesse.</w:t>
      </w:r>
    </w:p>
    <w:p>
      <w:pPr>
        <w:spacing w:after="120" w:line="276"/>
        <w:jc w:val="both"/>
      </w:pPr>
      <w:r>
        <w:rPr>
          <w:rFonts w:ascii="Barlow Semi Condensed" w:cs="Barlow Semi Condensed" w:eastAsia="Barlow Semi Condensed" w:hAnsi="Barlow Semi Condensed"/>
          <w:b/>
          <w:bCs/>
          <w:sz w:val="24"/>
          <w:szCs w:val="24"/>
        </w:rPr>
        <w:t xml:space="preserve">107 · Una carica pubblica dal 2025.</w:t>
      </w:r>
      <w:r>
        <w:rPr>
          <w:rFonts w:ascii="Barlow Semi Condensed" w:cs="Barlow Semi Condensed" w:eastAsia="Barlow Semi Condensed" w:hAnsi="Barlow Semi Condensed"/>
          <w:sz w:val="24"/>
          <w:szCs w:val="24"/>
        </w:rPr>
        <w:t xml:space="preserve"> Dal 2025 David Sacks ricopre negli Stati Uniti un incarico pubblico in materia di intelligenza artificiale e criptovalute: fatto pubblico, verificabile negli atti dell'esecutivo. Gli incarichi pubblici generano documentazione anagrafica: designazioni pubblicate, dichiarazioni patrimoniali e finanziarie soggette a regime di trasparenza, eventuali provvedimenti in materia di conflitto d'interessi. La sede è l'Office of Government Ethics, i cui moduli sono richiedibili da chiunque.</w:t>
      </w:r>
    </w:p>
    <w:p>
      <w:pPr>
        <w:spacing w:after="120" w:line="276"/>
        <w:jc w:val="both"/>
      </w:pPr>
      <w:r>
        <w:rPr>
          <w:rFonts w:ascii="Barlow Semi Condensed" w:cs="Barlow Semi Condensed" w:eastAsia="Barlow Semi Condensed" w:hAnsi="Barlow Semi Condensed"/>
          <w:b/>
          <w:bCs/>
          <w:sz w:val="24"/>
          <w:szCs w:val="24"/>
        </w:rPr>
        <w:t xml:space="preserve">108 · Kiev, 11 luglio 1975.</w:t>
      </w:r>
      <w:r>
        <w:rPr>
          <w:rFonts w:ascii="Barlow Semi Condensed" w:cs="Barlow Semi Condensed" w:eastAsia="Barlow Semi Condensed" w:hAnsi="Barlow Semi Condensed"/>
          <w:sz w:val="24"/>
          <w:szCs w:val="24"/>
        </w:rPr>
        <w:t xml:space="preserve"> Kiev, allora nell'Unione Sovietica, è indicata come luogo di nascita di Max Levchin nel luglio 1975; l'emigrazione negli Stati Uniti con la famiglia è collocata nel 1991. Due ordinamenti conservano le carte, il registro civile ucraino per la nascita e i fascicoli federali statunitensi per l'ingresso. La traslitterazione del nome varia fra le fonti, e la variazione va registrata: negli archivi un nome traslitterato diversamente è un'altra persona.</w:t>
      </w:r>
    </w:p>
    <w:p>
      <w:pPr>
        <w:spacing w:after="120" w:line="276"/>
        <w:jc w:val="both"/>
      </w:pPr>
      <w:r>
        <w:rPr>
          <w:rFonts w:ascii="Barlow Semi Condensed" w:cs="Barlow Semi Condensed" w:eastAsia="Barlow Semi Condensed" w:hAnsi="Barlow Semi Condensed"/>
          <w:b/>
          <w:bCs/>
          <w:sz w:val="24"/>
          <w:szCs w:val="24"/>
        </w:rPr>
        <w:t xml:space="preserve">109 · Urbana-Champaign, la coorte condivisa.</w:t>
      </w:r>
      <w:r>
        <w:rPr>
          <w:rFonts w:ascii="Barlow Semi Condensed" w:cs="Barlow Semi Condensed" w:eastAsia="Barlow Semi Condensed" w:hAnsi="Barlow Semi Condensed"/>
          <w:sz w:val="24"/>
          <w:szCs w:val="24"/>
        </w:rPr>
        <w:t xml:space="preserve"> Ricorre in più profili lo stesso campus: l'Università dell'Illinois a Urbana-Champaign, dove la laurea in informatica del 1997 è il dato accademico stabile e confermabile su richiesta. La coincidenza di provenienza formativa fra più nomi della serie va registrata come tale e non trattata come rete. Una coorte universitaria condivisa è convergenza d'ambiente; la prova di un rapporto sarebbe un atto che nomini entrambi.</w:t>
      </w:r>
    </w:p>
    <w:p>
      <w:pPr>
        <w:spacing w:after="120" w:line="276"/>
        <w:jc w:val="both"/>
      </w:pPr>
      <w:r>
        <w:rPr>
          <w:rFonts w:ascii="Barlow Semi Condensed" w:cs="Barlow Semi Condensed" w:eastAsia="Barlow Semi Condensed" w:hAnsi="Barlow Semi Condensed"/>
          <w:b/>
          <w:bCs/>
          <w:sz w:val="24"/>
          <w:szCs w:val="24"/>
        </w:rPr>
        <w:t xml:space="preserve">110 · Affirm e i moduli di proprietà.</w:t>
      </w:r>
      <w:r>
        <w:rPr>
          <w:rFonts w:ascii="Barlow Semi Condensed" w:cs="Barlow Semi Condensed" w:eastAsia="Barlow Semi Condensed" w:hAnsi="Barlow Semi Condensed"/>
          <w:sz w:val="24"/>
          <w:szCs w:val="24"/>
        </w:rPr>
        <w:t xml:space="preserve"> Quotata negli Stati Uniti dal gennaio 2021, la società fondata da Max Levchin nel decennio precedente ha depositato un prospetto di collocamento e, poi, i moduli sulle partecipazioni degli insider: tutti su EDGAR, tutti con date, cariche e quantità. Per l'anagrafe professionale la quotazione è un evento fortunato, perché obbliga a mettere per iscritto in forma verificabile ciò che altrove resterebbe nelle presentazioni aziendali.</w:t>
      </w:r>
    </w:p>
    <w:p>
      <w:pPr>
        <w:spacing w:after="120" w:line="276"/>
        <w:jc w:val="both"/>
      </w:pPr>
      <w:r>
        <w:rPr>
          <w:rFonts w:ascii="Barlow Semi Condensed" w:cs="Barlow Semi Condensed" w:eastAsia="Barlow Semi Condensed" w:hAnsi="Barlow Semi Condensed"/>
          <w:b/>
          <w:bCs/>
          <w:sz w:val="24"/>
          <w:szCs w:val="24"/>
        </w:rPr>
        <w:t xml:space="preserve">111 · Palo Alto, 5 agosto 1967.</w:t>
      </w:r>
      <w:r>
        <w:rPr>
          <w:rFonts w:ascii="Barlow Semi Condensed" w:cs="Barlow Semi Condensed" w:eastAsia="Barlow Semi Condensed" w:hAnsi="Barlow Semi Condensed"/>
          <w:sz w:val="24"/>
          <w:szCs w:val="24"/>
        </w:rPr>
        <w:t xml:space="preserve"> Cittadino statunitense per nascita sul territorio, Reid Garrett Hoffman vide la luce a Palo Alto nell'agosto 1967: è il solo, fra i nomi centrali, per cui non si ponga alcuna questione di naturalizzazione. Il rilievo non è biografico ma metodico, e mostra che la serie non cerca stranieri ma atti. Dove l'atto di cittadinanza non esiste perché non serve, il blocco lo dichiara e passa oltre.</w:t>
      </w:r>
    </w:p>
    <w:p>
      <w:pPr>
        <w:spacing w:after="120" w:line="276"/>
        <w:jc w:val="both"/>
      </w:pPr>
      <w:r>
        <w:rPr>
          <w:rFonts w:ascii="Barlow Semi Condensed" w:cs="Barlow Semi Condensed" w:eastAsia="Barlow Semi Condensed" w:hAnsi="Barlow Semi Condensed"/>
          <w:b/>
          <w:bCs/>
          <w:sz w:val="24"/>
          <w:szCs w:val="24"/>
        </w:rPr>
        <w:t xml:space="preserve">112 · Oxford e la borsa Marshall.</w:t>
      </w:r>
      <w:r>
        <w:rPr>
          <w:rFonts w:ascii="Barlow Semi Condensed" w:cs="Barlow Semi Condensed" w:eastAsia="Barlow Semi Condensed" w:hAnsi="Barlow Semi Condensed"/>
          <w:sz w:val="24"/>
          <w:szCs w:val="24"/>
        </w:rPr>
        <w:t xml:space="preserve"> Gli studi a Oxford con una borsa Marshall producono una traccia documentale pubblica e mai citata su questa materia: gli elenchi annuali dei borsisti pubblicati dalla commissione britannica che amministra il programma, con anno e ateneo di destinazione. È un esempio del genere di registro che questa serie preferisce: piccolo, ufficiale, datato, indipendente dal soggetto e dalla rappresentazione pubblica che egli dà di sé.</w:t>
      </w:r>
    </w:p>
    <w:p>
      <w:pPr>
        <w:spacing w:after="120" w:line="276"/>
        <w:jc w:val="both"/>
      </w:pPr>
      <w:r>
        <w:rPr>
          <w:rFonts w:ascii="Barlow Semi Condensed" w:cs="Barlow Semi Condensed" w:eastAsia="Barlow Semi Condensed" w:hAnsi="Barlow Semi Condensed"/>
          <w:b/>
          <w:bCs/>
          <w:sz w:val="24"/>
          <w:szCs w:val="24"/>
        </w:rPr>
        <w:t xml:space="preserve">113 · Dal prospetto alla fusione del 2016.</w:t>
      </w:r>
      <w:r>
        <w:rPr>
          <w:rFonts w:ascii="Barlow Semi Condensed" w:cs="Barlow Semi Condensed" w:eastAsia="Barlow Semi Condensed" w:hAnsi="Barlow Semi Condensed"/>
          <w:sz w:val="24"/>
          <w:szCs w:val="24"/>
        </w:rPr>
        <w:t xml:space="preserve"> Fondata fra la fine del 2002 e il 2003 — e la divergenza fra data di costituzione e data di lancio va riportata, non arrotondata — la società di rete professionale fu quotata nel 2011 e acquisita da Microsoft nel 2016. Prospetto, documenti di sollecitazione agli azionisti e rendiconti dell'acquirente stanno su EDGAR e datano con esattezza cariche, partecipazioni e uscite, meglio di ogni cronologia riassuntiva in rete.</w:t>
      </w:r>
    </w:p>
    <w:p>
      <w:pPr>
        <w:spacing w:after="120" w:line="276"/>
        <w:jc w:val="both"/>
      </w:pPr>
      <w:r>
        <w:rPr>
          <w:rFonts w:ascii="Barlow Semi Condensed" w:cs="Barlow Semi Condensed" w:eastAsia="Barlow Semi Condensed" w:hAnsi="Barlow Semi Condensed"/>
          <w:b/>
          <w:bCs/>
          <w:sz w:val="24"/>
          <w:szCs w:val="24"/>
        </w:rPr>
        <w:t xml:space="preserve">114 · Tarnów e l'infanzia trapiantata.</w:t>
      </w:r>
      <w:r>
        <w:rPr>
          <w:rFonts w:ascii="Barlow Semi Condensed" w:cs="Barlow Semi Condensed" w:eastAsia="Barlow Semi Condensed" w:hAnsi="Barlow Semi Condensed"/>
          <w:sz w:val="24"/>
          <w:szCs w:val="24"/>
        </w:rPr>
        <w:t xml:space="preserve"> Tarnów, in Polonia, nel 1975: così le fonti collocano la nascita di Luke Nosek, giunto negli Stati Uniti da bambino e formatosi nello stesso ateneo dell'Illinois. Il registro di stato civile del comune polacco è la sede primaria per la nascita; l'ingresso negli Stati Uniti sta nei fascicoli federali. La data esatta d'arrivo non risulta pubblicata da alcuna fonte con apparato: lacuna piccola e facilmente colmabile.</w:t>
      </w:r>
    </w:p>
    <w:p>
      <w:pPr>
        <w:spacing w:after="120" w:line="276"/>
        <w:jc w:val="both"/>
      </w:pPr>
      <w:r>
        <w:rPr>
          <w:rFonts w:ascii="Barlow Semi Condensed" w:cs="Barlow Semi Condensed" w:eastAsia="Barlow Semi Condensed" w:hAnsi="Barlow Semi Condensed"/>
          <w:b/>
          <w:bCs/>
          <w:sz w:val="24"/>
          <w:szCs w:val="24"/>
        </w:rPr>
        <w:t xml:space="preserve">115 · Founders Fund e i depositi obbligatori.</w:t>
      </w:r>
      <w:r>
        <w:rPr>
          <w:rFonts w:ascii="Barlow Semi Condensed" w:cs="Barlow Semi Condensed" w:eastAsia="Barlow Semi Condensed" w:hAnsi="Barlow Semi Condensed"/>
          <w:sz w:val="24"/>
          <w:szCs w:val="24"/>
        </w:rPr>
        <w:t xml:space="preserve"> I fondi d'investimento statunitensi lasciano tracce anagrafiche regolari: i moduli D per i collocamenti privati elencano dirigenti e soci promotori con l'indirizzo dell'emittente; i moduli ADV, dove dovuti, elencano le persone di controllo. Per Founders Fund e per i veicoli successivi questi depositi sono il modo corretto di datare ingressi, uscite e ruoli, in luogo delle biografie che i fondi pubblicano di sé.</w:t>
      </w:r>
    </w:p>
    <w:p>
      <w:pPr>
        <w:spacing w:after="120" w:line="276"/>
        <w:jc w:val="both"/>
      </w:pPr>
      <w:r>
        <w:rPr>
          <w:rFonts w:ascii="Barlow Semi Condensed" w:cs="Barlow Semi Condensed" w:eastAsia="Barlow Semi Condensed" w:hAnsi="Barlow Semi Condensed"/>
          <w:b/>
          <w:bCs/>
          <w:sz w:val="24"/>
          <w:szCs w:val="24"/>
        </w:rPr>
        <w:t xml:space="preserve">116 · Keith Rabois: l'anno incerto.</w:t>
      </w:r>
      <w:r>
        <w:rPr>
          <w:rFonts w:ascii="Barlow Semi Condensed" w:cs="Barlow Semi Condensed" w:eastAsia="Barlow Semi Condensed" w:hAnsi="Barlow Semi Condensed"/>
          <w:sz w:val="24"/>
          <w:szCs w:val="24"/>
        </w:rPr>
        <w:t xml:space="preserve"> L'anno di nascita indicato dalle fonti divulgative è il 1969, ma nessuna cita un atto e le pagine si copiano l'una con l'altra. Restano verificabili la laurea a Stanford nel 1991, il dottorato in giurisprudenza a Harvard nel 1994 e l'eventuale iscrizione a un albo forense. Il controllo indiretto migliore è quello già indicato: l'età dichiarata nei documenti societari, ovunque il soggetto vi compaia con una carica.</w:t>
      </w:r>
    </w:p>
    <w:p>
      <w:pPr>
        <w:spacing w:after="120" w:line="276"/>
        <w:jc w:val="both"/>
      </w:pPr>
      <w:r>
        <w:rPr>
          <w:rFonts w:ascii="Barlow Semi Condensed" w:cs="Barlow Semi Condensed" w:eastAsia="Barlow Semi Condensed" w:hAnsi="Barlow Semi Condensed"/>
          <w:b/>
          <w:bCs/>
          <w:sz w:val="24"/>
          <w:szCs w:val="24"/>
        </w:rPr>
        <w:t xml:space="preserve">117 · Gli impieghi si datano con atti.</w:t>
      </w:r>
      <w:r>
        <w:rPr>
          <w:rFonts w:ascii="Barlow Semi Condensed" w:cs="Barlow Semi Condensed" w:eastAsia="Barlow Semi Condensed" w:hAnsi="Barlow Semi Condensed"/>
          <w:sz w:val="24"/>
          <w:szCs w:val="24"/>
        </w:rPr>
        <w:t xml:space="preserve"> Per chi ha attraversato molte società in vent'anni l'elenco degli impieghi è la parte più maltrattata dell'anagrafe: le date arrotondano, le cariche si gonfiano, gli anni si sovrappongono. Il rimedio è meccanico: per ciascun passaggio si cerca un atto datato, un comunicato societario, un deposito presso l'autorità di vigilanza, un contratto reso pubblico. Ciò che non ha atto resta riferito, e va scritto come tale.</w:t>
      </w:r>
    </w:p>
    <w:p>
      <w:pPr>
        <w:spacing w:after="120" w:line="276"/>
        <w:jc w:val="both"/>
      </w:pPr>
      <w:r>
        <w:rPr>
          <w:rFonts w:ascii="Barlow Semi Condensed" w:cs="Barlow Semi Condensed" w:eastAsia="Barlow Semi Condensed" w:hAnsi="Barlow Semi Condensed"/>
          <w:b/>
          <w:bCs/>
          <w:sz w:val="24"/>
          <w:szCs w:val="24"/>
        </w:rPr>
        <w:t xml:space="preserve">118 · San Antonio, 1975.</w:t>
      </w:r>
      <w:r>
        <w:rPr>
          <w:rFonts w:ascii="Barlow Semi Condensed" w:cs="Barlow Semi Condensed" w:eastAsia="Barlow Semi Condensed" w:hAnsi="Barlow Semi Condensed"/>
          <w:sz w:val="24"/>
          <w:szCs w:val="24"/>
        </w:rPr>
        <w:t xml:space="preserve"> Texano di nascita, del 1975, e laureato a Stanford nel 1998, Ken Howery fu il primo direttore finanziario della società poi divenuta PayPal. La sua anagrafe presenta una peculiarità utile a tutta la serie: avendo ricoperto un incarico diplomatico, esiste su di lui documentazione federale pubblica che sugli altri non esiste, a cominciare dagli atti parlamentari di conferma. Il caso mostra quanto una carica pubblica renda accertabile.</w:t>
      </w:r>
    </w:p>
    <w:p>
      <w:pPr>
        <w:spacing w:after="120" w:line="276"/>
        <w:jc w:val="both"/>
      </w:pPr>
      <w:r>
        <w:rPr>
          <w:rFonts w:ascii="Barlow Semi Condensed" w:cs="Barlow Semi Condensed" w:eastAsia="Barlow Semi Condensed" w:hAnsi="Barlow Semi Condensed"/>
          <w:b/>
          <w:bCs/>
          <w:sz w:val="24"/>
          <w:szCs w:val="24"/>
        </w:rPr>
        <w:t xml:space="preserve">119 · Il Senato come archivio anagrafico.</w:t>
      </w:r>
      <w:r>
        <w:rPr>
          <w:rFonts w:ascii="Barlow Semi Condensed" w:cs="Barlow Semi Condensed" w:eastAsia="Barlow Semi Condensed" w:hAnsi="Barlow Semi Condensed"/>
          <w:sz w:val="24"/>
          <w:szCs w:val="24"/>
        </w:rPr>
        <w:t xml:space="preserve"> Una nomina ad ambasciatore statunitense produce una catena di atti pubblici: la trasmissione al Senato con numero progressivo, l'audizione davanti alla commissione per le relazioni estere con dichiarazione scritta del candidato, il voto di conferma registrato negli atti parlamentari. Per Ken Howery, ambasciatore in Svezia fra il 2019 e il 2021, quella catena è consultabile per intero e contiene dati biografici forniti sotto responsabilità.</w:t>
      </w:r>
    </w:p>
    <w:p>
      <w:pPr>
        <w:spacing w:after="120" w:line="276"/>
        <w:jc w:val="both"/>
      </w:pPr>
      <w:r>
        <w:rPr>
          <w:rFonts w:ascii="Barlow Semi Condensed" w:cs="Barlow Semi Condensed" w:eastAsia="Barlow Semi Condensed" w:hAnsi="Barlow Semi Condensed"/>
          <w:b/>
          <w:bCs/>
          <w:sz w:val="24"/>
          <w:szCs w:val="24"/>
        </w:rPr>
        <w:t xml:space="preserve">120 · Jeremy Stoppelman e il prospetto Yelp.</w:t>
      </w:r>
      <w:r>
        <w:rPr>
          <w:rFonts w:ascii="Barlow Semi Condensed" w:cs="Barlow Semi Condensed" w:eastAsia="Barlow Semi Condensed" w:hAnsi="Barlow Semi Condensed"/>
          <w:sz w:val="24"/>
          <w:szCs w:val="24"/>
        </w:rPr>
        <w:t xml:space="preserve"> Le fonti divulgative datano al 1977 la nascita di Jeremy Stoppelman, laureato in ingegneria informatica all'ateneo dell'Illinois nel 1999 e dirigente della società di pagamenti prima di fondarne una propria nel 2004. Il documento anagrafico utile è il prospetto di collocamento di Yelp, depositato presso la SEC in vista della quotazione del 2012: contiene età dichiarata, cariche e date, e vale più di ogni scheda biografica successiva.</w:t>
      </w:r>
    </w:p>
    <w:p>
      <w:pPr>
        <w:spacing w:after="120" w:line="276"/>
        <w:jc w:val="both"/>
      </w:pPr>
      <w:r>
        <w:rPr>
          <w:rFonts w:ascii="Barlow Semi Condensed" w:cs="Barlow Semi Condensed" w:eastAsia="Barlow Semi Condensed" w:hAnsi="Barlow Semi Condensed"/>
          <w:b/>
          <w:bCs/>
          <w:sz w:val="24"/>
          <w:szCs w:val="24"/>
        </w:rPr>
        <w:t xml:space="preserve">121 · Merseburg, 28 ottobre 1979.</w:t>
      </w:r>
      <w:r>
        <w:rPr>
          <w:rFonts w:ascii="Barlow Semi Condensed" w:cs="Barlow Semi Condensed" w:eastAsia="Barlow Semi Condensed" w:hAnsi="Barlow Semi Condensed"/>
          <w:sz w:val="24"/>
          <w:szCs w:val="24"/>
        </w:rPr>
        <w:t xml:space="preserve"> Merseburg, nella Repubblica Democratica Tedesca, è indicata come luogo di nascita di Jawed Karim nell'ottobre 1979, da padre bengalese e madre tedesca; la famiglia passò a Ovest l'anno seguente e negli Stati Uniti nei primi anni Novanta. È l'unico caso della serie in cui il registro di nascita appartiene a uno Stato non più esistente: gli atti dello stato civile della RDT sono confluiti negli uffici tedeschi competenti per territorio.</w:t>
      </w:r>
    </w:p>
    <w:p>
      <w:pPr>
        <w:spacing w:after="120" w:line="276"/>
        <w:jc w:val="both"/>
      </w:pPr>
      <w:r>
        <w:rPr>
          <w:rFonts w:ascii="Barlow Semi Condensed" w:cs="Barlow Semi Condensed" w:eastAsia="Barlow Semi Condensed" w:hAnsi="Barlow Semi Condensed"/>
          <w:b/>
          <w:bCs/>
          <w:sz w:val="24"/>
          <w:szCs w:val="24"/>
        </w:rPr>
        <w:t xml:space="preserve">122 · Un video come atto datato.</w:t>
      </w:r>
      <w:r>
        <w:rPr>
          <w:rFonts w:ascii="Barlow Semi Condensed" w:cs="Barlow Semi Condensed" w:eastAsia="Barlow Semi Condensed" w:hAnsi="Barlow Semi Condensed"/>
          <w:sz w:val="24"/>
          <w:szCs w:val="24"/>
        </w:rPr>
        <w:t xml:space="preserve"> Il primo filmato caricato sulla piattaforma che egli cofondò reca la data del 23 aprile 2005 ed è tuttora pubblico: documento datato, firmato e verificabile da chiunque, utile a fissare un termine iniziale che le ricostruzioni successive spesso spostano. La serie lo registra per la sua qualità formale e non per il contenuto: una data pubblica e stabile è un ancoraggio anagrafico legittimo quanto un timbro.</w:t>
      </w:r>
    </w:p>
    <w:p>
      <w:pPr>
        <w:spacing w:after="120" w:line="276"/>
        <w:jc w:val="both"/>
      </w:pPr>
      <w:r>
        <w:rPr>
          <w:rFonts w:ascii="Barlow Semi Condensed" w:cs="Barlow Semi Condensed" w:eastAsia="Barlow Semi Condensed" w:hAnsi="Barlow Semi Condensed"/>
          <w:b/>
          <w:bCs/>
          <w:sz w:val="24"/>
          <w:szCs w:val="24"/>
        </w:rPr>
        <w:t xml:space="preserve">123 · Birdsboro, 21 gennaio 1977.</w:t>
      </w:r>
      <w:r>
        <w:rPr>
          <w:rFonts w:ascii="Barlow Semi Condensed" w:cs="Barlow Semi Condensed" w:eastAsia="Barlow Semi Condensed" w:hAnsi="Barlow Semi Condensed"/>
          <w:sz w:val="24"/>
          <w:szCs w:val="24"/>
        </w:rPr>
        <w:t xml:space="preserve"> Chad Hurley è indicato come nato in Pennsylvania nel gennaio 1977 e laureato in arti presso un ateneo dello stesso Stato nel 1999; lavorò come disegnatore nella società di pagamenti prima di cofondare la piattaforma video nel 2005. È, fra i nomi centrali, quello con la minore documentazione societaria personale: la sua anagrafe professionale dipende quasi per intero da atti in cui compare come parte e non come firmatario.</w:t>
      </w:r>
    </w:p>
    <w:p>
      <w:pPr>
        <w:spacing w:after="120" w:line="276"/>
        <w:jc w:val="both"/>
      </w:pPr>
      <w:r>
        <w:rPr>
          <w:rFonts w:ascii="Barlow Semi Condensed" w:cs="Barlow Semi Condensed" w:eastAsia="Barlow Semi Condensed" w:hAnsi="Barlow Semi Condensed"/>
          <w:b/>
          <w:bCs/>
          <w:sz w:val="24"/>
          <w:szCs w:val="24"/>
        </w:rPr>
        <w:t xml:space="preserve">124 · Il logo e il registro dei marchi.</w:t>
      </w:r>
      <w:r>
        <w:rPr>
          <w:rFonts w:ascii="Barlow Semi Condensed" w:cs="Barlow Semi Condensed" w:eastAsia="Barlow Semi Condensed" w:hAnsi="Barlow Semi Condensed"/>
          <w:sz w:val="24"/>
          <w:szCs w:val="24"/>
        </w:rPr>
        <w:t xml:space="preserve"> L'attribuzione a Chad Hurley del disegno del marchio PayPal è ripetuta ovunque e non risulta mai appoggiata a un documento. Esiste però il registro che potrebbe dire qualcosa di verificabile: le domande e le registrazioni di marchio figurativo depositate presso l'ufficio statunitense per brevetti e marchi, con date di deposito, dichiarazioni di primo uso e catene di cessione. Controllo semplice, mai eseguito da nessuno.</w:t>
      </w:r>
    </w:p>
    <w:p>
      <w:pPr>
        <w:spacing w:after="120" w:line="276"/>
        <w:jc w:val="both"/>
      </w:pPr>
      <w:r>
        <w:rPr>
          <w:rFonts w:ascii="Barlow Semi Condensed" w:cs="Barlow Semi Condensed" w:eastAsia="Barlow Semi Condensed" w:hAnsi="Barlow Semi Condensed"/>
          <w:b/>
          <w:bCs/>
          <w:sz w:val="24"/>
          <w:szCs w:val="24"/>
        </w:rPr>
        <w:t xml:space="preserve">125 · Chi manca dall'elenco.</w:t>
      </w:r>
      <w:r>
        <w:rPr>
          <w:rFonts w:ascii="Barlow Semi Condensed" w:cs="Barlow Semi Condensed" w:eastAsia="Barlow Semi Condensed" w:hAnsi="Barlow Semi Condensed"/>
          <w:sz w:val="24"/>
          <w:szCs w:val="24"/>
        </w:rPr>
        <w:t xml:space="preserve"> L'elenco dei nomi centrali non esaurisce il gruppo: altri cofondatori e primi dirigenti restano fuori per scelta del committente, non perché meno documentati. Il fatto va scritto, perché un elenco parziale letto come completo genera l'illusione di un nucleo chiuso. Chi lavori su questa materia aggiunga i nomi mancanti con lo stesso metodo: registro di nascita, atti societari, depositi presso l'autorità di vigilanza.</w:t>
      </w:r>
    </w:p>
    <w:p>
      <w:pPr>
        <w:spacing w:after="120" w:line="276"/>
        <w:jc w:val="both"/>
      </w:pPr>
      <w:r>
        <w:rPr>
          <w:rFonts w:ascii="Barlow Semi Condensed" w:cs="Barlow Semi Condensed" w:eastAsia="Barlow Semi Condensed" w:hAnsi="Barlow Semi Condensed"/>
          <w:b/>
          <w:bCs/>
          <w:sz w:val="24"/>
          <w:szCs w:val="24"/>
        </w:rPr>
        <w:t xml:space="preserve">126 · Il fascicolo di Fortune del 2007.</w:t>
      </w:r>
      <w:r>
        <w:rPr>
          <w:rFonts w:ascii="Barlow Semi Condensed" w:cs="Barlow Semi Condensed" w:eastAsia="Barlow Semi Condensed" w:hAnsi="Barlow Semi Condensed"/>
          <w:sz w:val="24"/>
          <w:szCs w:val="24"/>
        </w:rPr>
        <w:t xml:space="preserve"> La locuzione che dà titolo al fenomeno nasce da un servizio di copertina della rivista Fortune nel novembre 2007, con una fotografia di gruppo scattata in un locale di San Francisco. Il bersaglio anagrafico è preciso: procurarsi il fascicolo stampato, ricavare dalla didascalia originale l'elenco esatto dei presenti e la qualifica di ciascuno alla data. Le riproduzioni in rete circolano senza didascalia e con elenchi discordanti.</w:t>
      </w:r>
    </w:p>
    <w:p>
      <w:pPr>
        <w:spacing w:after="120" w:line="276"/>
        <w:jc w:val="both"/>
      </w:pPr>
      <w:r>
        <w:rPr>
          <w:rFonts w:ascii="Barlow Semi Condensed" w:cs="Barlow Semi Condensed" w:eastAsia="Barlow Semi Condensed" w:hAnsi="Barlow Semi Condensed"/>
          <w:b/>
          <w:bCs/>
          <w:sz w:val="24"/>
          <w:szCs w:val="24"/>
        </w:rPr>
        <w:t xml:space="preserve">127 · Un assente da registrare.</w:t>
      </w:r>
      <w:r>
        <w:rPr>
          <w:rFonts w:ascii="Barlow Semi Condensed" w:cs="Barlow Semi Condensed" w:eastAsia="Barlow Semi Condensed" w:hAnsi="Barlow Semi Condensed"/>
          <w:sz w:val="24"/>
          <w:szCs w:val="24"/>
        </w:rPr>
        <w:t xml:space="preserve"> Alla fotografia del 2007 Elon Musk non partecipò: dato piccolo e da tenere, perché la rappresentazione grafica di un gruppo produce, a distanza di anni, una lista di appartenenza che nessuno ha mai redatto. Chi usa quell'immagine come censimento sta usando una fotografia giornalistica al posto di un atto costitutivo. La serie la usa per ciò che è: una fonte datata sulla percezione del 2007.</w:t>
      </w:r>
    </w:p>
    <w:p>
      <w:pPr>
        <w:spacing w:after="120" w:line="276"/>
        <w:jc w:val="both"/>
      </w:pPr>
      <w:r>
        <w:rPr>
          <w:rFonts w:ascii="Barlow Semi Condensed" w:cs="Barlow Semi Condensed" w:eastAsia="Barlow Semi Condensed" w:hAnsi="Barlow Semi Condensed"/>
          <w:b/>
          <w:bCs/>
          <w:sz w:val="24"/>
          <w:szCs w:val="24"/>
        </w:rPr>
        <w:t xml:space="preserve">128 · Nessun atto costitutivo esiste.</w:t>
      </w:r>
      <w:r>
        <w:rPr>
          <w:rFonts w:ascii="Barlow Semi Condensed" w:cs="Barlow Semi Condensed" w:eastAsia="Barlow Semi Condensed" w:hAnsi="Barlow Semi Condensed"/>
          <w:sz w:val="24"/>
          <w:szCs w:val="24"/>
        </w:rPr>
        <w:t xml:space="preserve"> Se la locuzione designasse un ente esisterebbe un atto: una costituzione in Delaware, un'iscrizione presso la Companies and Intellectual Property Commission sudafricana, una registrazione alla Companies House britannica. La ricerca in quei registri, condotta e verbalizzata con chiavi esatte, produrrebbe con ogni probabilità uno Stato Zero, ed è un esito che va comunque scritto, perché chiude una domanda invece di lasciarla galleggiare.</w:t>
      </w:r>
    </w:p>
    <w:p>
      <w:pPr>
        <w:spacing w:after="120" w:line="276"/>
        <w:jc w:val="both"/>
      </w:pPr>
      <w:r>
        <w:rPr>
          <w:rFonts w:ascii="Barlow Semi Condensed" w:cs="Barlow Semi Condensed" w:eastAsia="Barlow Semi Condensed" w:hAnsi="Barlow Semi Condensed"/>
          <w:b/>
          <w:bCs/>
          <w:sz w:val="24"/>
          <w:szCs w:val="24"/>
        </w:rPr>
        <w:t xml:space="preserve">129 · Il registro federale dei contributi elettorali.</w:t>
      </w:r>
      <w:r>
        <w:rPr>
          <w:rFonts w:ascii="Barlow Semi Condensed" w:cs="Barlow Semi Condensed" w:eastAsia="Barlow Semi Condensed" w:hAnsi="Barlow Semi Condensed"/>
          <w:sz w:val="24"/>
          <w:szCs w:val="24"/>
        </w:rPr>
        <w:t xml:space="preserve"> Negli Stati Uniti le erogazioni ai comitati politici sono pubbliche e riportano, per ciascun donante, città, Stato, datore di lavoro e professione dichiarati alla data. È di fatto un registro seriale di residenza e impiego autodichiarati, interrogabile per nome sul sito della Federal Election Commission. Va usato per ciò che è, dichiarazioni del soggetto e non accertamenti di terzi: la qualità del dato è quella di un'autocertificazione.</w:t>
      </w:r>
    </w:p>
    <w:p>
      <w:pPr>
        <w:spacing w:after="120" w:line="276"/>
        <w:jc w:val="both"/>
      </w:pPr>
      <w:r>
        <w:rPr>
          <w:rFonts w:ascii="Barlow Semi Condensed" w:cs="Barlow Semi Condensed" w:eastAsia="Barlow Semi Condensed" w:hAnsi="Barlow Semi Condensed"/>
          <w:b/>
          <w:bCs/>
          <w:sz w:val="24"/>
          <w:szCs w:val="24"/>
        </w:rPr>
        <w:t xml:space="preserve">130 · I registri immobiliari come prova di residenza.</w:t>
      </w:r>
      <w:r>
        <w:rPr>
          <w:rFonts w:ascii="Barlow Semi Condensed" w:cs="Barlow Semi Condensed" w:eastAsia="Barlow Semi Condensed" w:hAnsi="Barlow Semi Condensed"/>
          <w:sz w:val="24"/>
          <w:szCs w:val="24"/>
        </w:rPr>
        <w:t xml:space="preserve"> Un atto di compravendita iscritto è documento anagrafico indiretto ma solido: data, parti, immobile, talvolta domicilio dichiarato. In Sud Africa la sede è il Deeds Office competente per territorio; negli Stati Uniti il conservatore dei registri di contea; in Nuova Zelanda il registro fondiario nazionale. Le residenze dichiarate in intervista si controllano lì, e ogni divergenza fra dichiarazione e iscrizione è essa stessa un dato.</w:t>
      </w:r>
    </w:p>
    <w:p>
      <w:pPr>
        <w:spacing w:after="120" w:line="276"/>
        <w:jc w:val="both"/>
      </w:pPr>
      <w:r>
        <w:rPr>
          <w:rFonts w:ascii="Barlow Semi Condensed" w:cs="Barlow Semi Condensed" w:eastAsia="Barlow Semi Condensed" w:hAnsi="Barlow Semi Condensed"/>
          <w:b/>
          <w:bCs/>
          <w:sz w:val="24"/>
          <w:szCs w:val="24"/>
        </w:rPr>
        <w:t xml:space="preserve">131 · Il limite legale dell'accesso.</w:t>
      </w:r>
      <w:r>
        <w:rPr>
          <w:rFonts w:ascii="Barlow Semi Condensed" w:cs="Barlow Semi Condensed" w:eastAsia="Barlow Semi Condensed" w:hAnsi="Barlow Semi Condensed"/>
          <w:sz w:val="24"/>
          <w:szCs w:val="24"/>
        </w:rPr>
        <w:t xml:space="preserve"> Va scritto una volta e vale per tutta la serie: sulle persone viventi i registri di stato civile e i fascicoli d'immigrazione non sono liberamente accessibili a terzi in nessuno degli ordinamenti coinvolti. Sudafrica, Stati Uniti, Germania, Canada e Nuova Zelanda ammettono l'interessato, i familiari o un interesse qualificato. Indicare la sede resta utile: dice a chi ha titolo dove chiedere, e a chi non l'ha di fermarsi.</w:t>
      </w:r>
    </w:p>
    <w:p>
      <w:pPr>
        <w:spacing w:after="120" w:line="276"/>
        <w:jc w:val="both"/>
      </w:pPr>
      <w:r>
        <w:rPr>
          <w:rFonts w:ascii="Barlow Semi Condensed" w:cs="Barlow Semi Condensed" w:eastAsia="Barlow Semi Condensed" w:hAnsi="Barlow Semi Condensed"/>
          <w:b/>
          <w:bCs/>
          <w:sz w:val="24"/>
          <w:szCs w:val="24"/>
        </w:rPr>
        <w:t xml:space="preserve">132 · Ciò che nessun archivio darà.</w:t>
      </w:r>
      <w:r>
        <w:rPr>
          <w:rFonts w:ascii="Barlow Semi Condensed" w:cs="Barlow Semi Condensed" w:eastAsia="Barlow Semi Condensed" w:hAnsi="Barlow Semi Condensed"/>
          <w:sz w:val="24"/>
          <w:szCs w:val="24"/>
        </w:rPr>
        <w:t xml:space="preserve"> Passaporti in corso di validità, timbri di frontiera, domicili fiscali correnti e stati di famiglia aggiornati non sono documenti pubblici e non lo diventeranno. Chi li promette mente, e chi li cita senza produrli va considerato inattendibile sull'intero impianto. La serie fissa qui il proprio soffitto: si ferma agli atti che un terzo può chiedere in modo lecito, e dichiara vuoto tutto ciò che sta sopra quella linea.</w:t>
      </w:r>
    </w:p>
    <w:p>
      <w:pPr>
        <w:spacing w:after="120" w:line="276"/>
        <w:jc w:val="both"/>
      </w:pPr>
      <w:r>
        <w:rPr>
          <w:rFonts w:ascii="Barlow Semi Condensed" w:cs="Barlow Semi Condensed" w:eastAsia="Barlow Semi Condensed" w:hAnsi="Barlow Semi Condensed"/>
          <w:b/>
          <w:bCs/>
          <w:sz w:val="24"/>
          <w:szCs w:val="24"/>
        </w:rPr>
        <w:t xml:space="preserve">133 · La tavola delle divergenze anagrafiche.</w:t>
      </w:r>
      <w:r>
        <w:rPr>
          <w:rFonts w:ascii="Barlow Semi Condensed" w:cs="Barlow Semi Condensed" w:eastAsia="Barlow Semi Condensed" w:hAnsi="Barlow Semi Condensed"/>
          <w:sz w:val="24"/>
          <w:szCs w:val="24"/>
        </w:rPr>
        <w:t xml:space="preserve"> Il prodotto finale di questa serie non è un profilo ma una tavola: per ciascun nome il dato, la fonte, il grado, la divergenza se esiste e la sede che la chiuderebbe. Le divergenze già censite riguardano anni di conferimento di titoli, numero dei fondatori, filiazione intermedia, anni di nascita non appoggiati ad atti e status migratori. Nessuna di esse viene sciolta in silenzio o per verosimiglianza.</w:t>
      </w:r>
    </w:p>
    <w:p>
      <w:pPr>
        <w:spacing w:after="120" w:line="276"/>
        <w:jc w:val="both"/>
      </w:pPr>
      <w:r>
        <w:rPr>
          <w:rFonts w:ascii="Barlow Semi Condensed" w:cs="Barlow Semi Condensed" w:eastAsia="Barlow Semi Condensed" w:hAnsi="Barlow Semi Condensed"/>
          <w:b/>
          <w:bCs/>
          <w:sz w:val="24"/>
          <w:szCs w:val="24"/>
        </w:rPr>
        <w:t xml:space="preserve">134 · Che cosa smentirebbe la continuità.</w:t>
      </w:r>
      <w:r>
        <w:rPr>
          <w:rFonts w:ascii="Barlow Semi Condensed" w:cs="Barlow Semi Condensed" w:eastAsia="Barlow Semi Condensed" w:hAnsi="Barlow Semi Condensed"/>
          <w:sz w:val="24"/>
          <w:szCs w:val="24"/>
        </w:rPr>
        <w:t xml:space="preserve"> Un bersaglio di smentita anagrafico si formula con precisione: se i registri sudafricani e namibiani mostrassero che una delle residenze qui date per acquisite non ebbe luogo, o che una parentela dichiarata non sussiste, l'impianto perderebbe l'unico ponte di piano uno di cui dispone. Chi lavori onestamente su questa materia deve desiderare quel controllo e non temerlo: è la prova che l'impianto sia falsificabile.</w:t>
      </w:r>
    </w:p>
    <w:p>
      <w:pPr>
        <w:spacing w:after="120" w:line="276"/>
        <w:jc w:val="both"/>
      </w:pPr>
      <w:r>
        <w:rPr>
          <w:rFonts w:ascii="Barlow Semi Condensed" w:cs="Barlow Semi Condensed" w:eastAsia="Barlow Semi Condensed" w:hAnsi="Barlow Semi Condensed"/>
          <w:b/>
          <w:bCs/>
          <w:sz w:val="24"/>
          <w:szCs w:val="24"/>
        </w:rPr>
        <w:t xml:space="preserve">135 · Lo stato di ciascun nome.</w:t>
      </w:r>
      <w:r>
        <w:rPr>
          <w:rFonts w:ascii="Barlow Semi Condensed" w:cs="Barlow Semi Condensed" w:eastAsia="Barlow Semi Condensed" w:hAnsi="Barlow Semi Condensed"/>
          <w:sz w:val="24"/>
          <w:szCs w:val="24"/>
        </w:rPr>
        <w:t xml:space="preserve"> La chiusura della serie è contabile: per ognuno dei nomi trattati si registra quanti dati siano documentati, quanti riferiti, quanti a vuoto, con la data dell'ultimo controllo. Una serie anagrafica che non tenga il proprio stato invecchia in silenzio e viene citata quando è già superata. La tavola degli stati è ciò che consente a un terzo di riprendere il lavoro esattamente dove si è fermato.</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Serie terza — La cornice: Sud Africa e Africa del Sud-Ovest</w:t>
      </w:r>
    </w:p>
    <w:p>
      <w:pPr>
        <w:spacing w:after="120" w:line="276"/>
        <w:jc w:val="both"/>
      </w:pPr>
      <w:r>
        <w:rPr>
          <w:rFonts w:ascii="Barlow Semi Condensed" w:cs="Barlow Semi Condensed" w:eastAsia="Barlow Semi Condensed" w:hAnsi="Barlow Semi Condensed"/>
          <w:i/>
          <w:iCs/>
          <w:sz w:val="24"/>
          <w:szCs w:val="24"/>
        </w:rPr>
        <w:t xml:space="preserve">Blocchi 136-225.</w:t>
      </w:r>
    </w:p>
    <w:p>
      <w:pPr>
        <w:spacing w:after="120" w:line="276"/>
        <w:jc w:val="both"/>
      </w:pPr>
      <w:r>
        <w:rPr>
          <w:rFonts w:ascii="Barlow Semi Condensed" w:cs="Barlow Semi Condensed" w:eastAsia="Barlow Semi Condensed" w:hAnsi="Barlow Semi Condensed"/>
          <w:b/>
          <w:bCs/>
          <w:sz w:val="24"/>
          <w:szCs w:val="24"/>
        </w:rPr>
        <w:t xml:space="preserve">136 · Il registro delle persone.</w:t>
      </w:r>
      <w:r>
        <w:rPr>
          <w:rFonts w:ascii="Barlow Semi Condensed" w:cs="Barlow Semi Condensed" w:eastAsia="Barlow Semi Condensed" w:hAnsi="Barlow Semi Condensed"/>
          <w:sz w:val="24"/>
          <w:szCs w:val="24"/>
        </w:rPr>
        <w:t xml:space="preserve"> Il Population Registration Act, Act No. 30 del 1950, istituì il registro nazionale e la classificazione razziale d'ufficio, con commissioni che decidevano i casi contestati. Il testo promulgato sta nel Government Gazette; i fascicoli delle commissioni di riclassificazione stanno nei versamenti dell'amministrazione degli Affari Interni presso i National Archives of South Africa, a Pretoria. Quesito eseguibile: quante riclassificazioni furono chieste e quante concesse negli anni coperti da quest'opera.</w:t>
      </w:r>
    </w:p>
    <w:p>
      <w:pPr>
        <w:spacing w:after="120" w:line="276"/>
        <w:jc w:val="both"/>
      </w:pPr>
      <w:r>
        <w:rPr>
          <w:rFonts w:ascii="Barlow Semi Condensed" w:cs="Barlow Semi Condensed" w:eastAsia="Barlow Semi Condensed" w:hAnsi="Barlow Semi Condensed"/>
          <w:b/>
          <w:bCs/>
          <w:sz w:val="24"/>
          <w:szCs w:val="24"/>
        </w:rPr>
        <w:t xml:space="preserve">137 · Le aree riservate per legge.</w:t>
      </w:r>
      <w:r>
        <w:rPr>
          <w:rFonts w:ascii="Barlow Semi Condensed" w:cs="Barlow Semi Condensed" w:eastAsia="Barlow Semi Condensed" w:hAnsi="Barlow Semi Condensed"/>
          <w:sz w:val="24"/>
          <w:szCs w:val="24"/>
        </w:rPr>
        <w:t xml:space="preserve"> Il Group Areas Act del 1950, rifuso nel 1957 e nel 1966, assegnava per proclamazione ogni zona urbana a un gruppo e imponeva gli sgomberi. Ogni proclamazione ha una data e un numero: il corpus le tratta come atti, non come clima d'epoca. La serie completa è nel Government Gazette e nei fondi del Department of Community Development. Bersaglio: la mappa datata di Johannesburg.</w:t>
      </w:r>
    </w:p>
    <w:p>
      <w:pPr>
        <w:spacing w:after="120" w:line="276"/>
        <w:jc w:val="both"/>
      </w:pPr>
      <w:r>
        <w:rPr>
          <w:rFonts w:ascii="Barlow Semi Condensed" w:cs="Barlow Semi Condensed" w:eastAsia="Barlow Semi Condensed" w:hAnsi="Barlow Semi Condensed"/>
          <w:b/>
          <w:bCs/>
          <w:sz w:val="24"/>
          <w:szCs w:val="24"/>
        </w:rPr>
        <w:t xml:space="preserve">138 · Il matrimonio e la legge penale.</w:t>
      </w:r>
      <w:r>
        <w:rPr>
          <w:rFonts w:ascii="Barlow Semi Condensed" w:cs="Barlow Semi Condensed" w:eastAsia="Barlow Semi Condensed" w:hAnsi="Barlow Semi Condensed"/>
          <w:sz w:val="24"/>
          <w:szCs w:val="24"/>
        </w:rPr>
        <w:t xml:space="preserve"> Il Prohibition of Mixed Marriages Act del 1949 e l'Immorality Amendment Act del 1950 portarono la separazione dentro la vita privata e ne fecero materia di processo penale. I ruoli dei magistrates' courts documentano le imputazioni anno per anno e sono conservati nei depositi provinciali dei National Archives. Quesito di metodo: il numero dei procedimenti misura l'invasività della cornice meglio di qualunque formula riassuntiva.</w:t>
      </w:r>
    </w:p>
    <w:p>
      <w:pPr>
        <w:spacing w:after="120" w:line="276"/>
        <w:jc w:val="both"/>
      </w:pPr>
      <w:r>
        <w:rPr>
          <w:rFonts w:ascii="Barlow Semi Condensed" w:cs="Barlow Semi Condensed" w:eastAsia="Barlow Semi Condensed" w:hAnsi="Barlow Semi Condensed"/>
          <w:b/>
          <w:bCs/>
          <w:sz w:val="24"/>
          <w:szCs w:val="24"/>
        </w:rPr>
        <w:t xml:space="preserve">139 · La scuola come politica di Stato.</w:t>
      </w:r>
      <w:r>
        <w:rPr>
          <w:rFonts w:ascii="Barlow Semi Condensed" w:cs="Barlow Semi Condensed" w:eastAsia="Barlow Semi Condensed" w:hAnsi="Barlow Semi Condensed"/>
          <w:sz w:val="24"/>
          <w:szCs w:val="24"/>
        </w:rPr>
        <w:t xml:space="preserve"> Il Bantu Education Act, Act No. 47 del 1953, trasferì allo Stato le scuole missionarie destinate alla popolazione africana e ne riscrisse i programmi. È l'atto che rende leggibile ogni blocco successivo sulla scuola: dopo il 1953 l'istruzione separata non è una consuetudine ma un ordinamento. Le circolari attuative del Department of Bantu Education si cercano nei National Archives of South Africa.</w:t>
      </w:r>
    </w:p>
    <w:p>
      <w:pPr>
        <w:spacing w:after="120" w:line="276"/>
        <w:jc w:val="both"/>
      </w:pPr>
      <w:r>
        <w:rPr>
          <w:rFonts w:ascii="Barlow Semi Condensed" w:cs="Barlow Semi Condensed" w:eastAsia="Barlow Semi Condensed" w:hAnsi="Barlow Semi Condensed"/>
          <w:b/>
          <w:bCs/>
          <w:sz w:val="24"/>
          <w:szCs w:val="24"/>
        </w:rPr>
        <w:t xml:space="preserve">140 · Il libretto chiamato abolizione.</w:t>
      </w:r>
      <w:r>
        <w:rPr>
          <w:rFonts w:ascii="Barlow Semi Condensed" w:cs="Barlow Semi Condensed" w:eastAsia="Barlow Semi Condensed" w:hAnsi="Barlow Semi Condensed"/>
          <w:sz w:val="24"/>
          <w:szCs w:val="24"/>
        </w:rPr>
        <w:t xml:space="preserve"> La legge del 1952 s'intitolava Natives (Abolition of Passes and Co-ordination of Documents) Act e fece l'opposto del proprio titolo: sostituì i lasciapassare con un reference book unico e obbligatorio. La lezione vale per tutto il corpus, perché il titolo di un atto non ne dice il contenuto. Il testo è nel Government Gazette del 1952; le statistiche degli arresti stanno negli annuari ufficiali.</w:t>
      </w:r>
    </w:p>
    <w:p>
      <w:pPr>
        <w:spacing w:after="120" w:line="276"/>
        <w:jc w:val="both"/>
      </w:pPr>
      <w:r>
        <w:rPr>
          <w:rFonts w:ascii="Barlow Semi Condensed" w:cs="Barlow Semi Condensed" w:eastAsia="Barlow Semi Condensed" w:hAnsi="Barlow Semi Condensed"/>
          <w:b/>
          <w:bCs/>
          <w:sz w:val="24"/>
          <w:szCs w:val="24"/>
        </w:rPr>
        <w:t xml:space="preserve">141 · Le comodità separate.</w:t>
      </w:r>
      <w:r>
        <w:rPr>
          <w:rFonts w:ascii="Barlow Semi Condensed" w:cs="Barlow Semi Condensed" w:eastAsia="Barlow Semi Condensed" w:hAnsi="Barlow Semi Condensed"/>
          <w:sz w:val="24"/>
          <w:szCs w:val="24"/>
        </w:rPr>
        <w:t xml:space="preserve"> Il Reservation of Separate Amenities Act del 1953 legittimò servizi diseguali e sottrasse al giudice il sindacato sulla disparità. È la norma che rende ozioso discutere di uguaglianza sostanziale prima del 1990. Chi voglia documentarne l'applicazione cerchi i regolamenti municipali di Johannesburg e di Pretoria, depositati presso gli archivi comunali, e non le sole fotografie dei cartelli, che circolano ovunque senza data e senza luogo.</w:t>
      </w:r>
    </w:p>
    <w:p>
      <w:pPr>
        <w:spacing w:after="120" w:line="276"/>
        <w:jc w:val="both"/>
      </w:pPr>
      <w:r>
        <w:rPr>
          <w:rFonts w:ascii="Barlow Semi Condensed" w:cs="Barlow Semi Condensed" w:eastAsia="Barlow Semi Condensed" w:hAnsi="Barlow Semi Condensed"/>
          <w:b/>
          <w:bCs/>
          <w:sz w:val="24"/>
          <w:szCs w:val="24"/>
        </w:rPr>
        <w:t xml:space="preserve">142 · Il comunismo come categoria di polizia.</w:t>
      </w:r>
      <w:r>
        <w:rPr>
          <w:rFonts w:ascii="Barlow Semi Condensed" w:cs="Barlow Semi Condensed" w:eastAsia="Barlow Semi Condensed" w:hAnsi="Barlow Semi Condensed"/>
          <w:sz w:val="24"/>
          <w:szCs w:val="24"/>
        </w:rPr>
        <w:t xml:space="preserve"> Il Suppression of Communism Act del 1950 definiva il comunismo tanto largamente da coprire quasi ogni opposizione e autorizzava provvedimenti individuali di bando. L'elenco nominativo dei banditi fu pubblicato per anni sul Government Gazette: è una fonte seriale, datata e citabile. Bersaglio: costruire la serie dei bandi anno per anno, perché la curva dei provvedimenti misura la cornice meglio di qualunque giudizio retrospettivo.</w:t>
      </w:r>
    </w:p>
    <w:p>
      <w:pPr>
        <w:spacing w:after="120" w:line="276"/>
        <w:jc w:val="both"/>
      </w:pPr>
      <w:r>
        <w:rPr>
          <w:rFonts w:ascii="Barlow Semi Condensed" w:cs="Barlow Semi Condensed" w:eastAsia="Barlow Semi Condensed" w:hAnsi="Barlow Semi Condensed"/>
          <w:b/>
          <w:bCs/>
          <w:sz w:val="24"/>
          <w:szCs w:val="24"/>
        </w:rPr>
        <w:t xml:space="preserve">143 · Dalle autorità bantu ai bantustan.</w:t>
      </w:r>
      <w:r>
        <w:rPr>
          <w:rFonts w:ascii="Barlow Semi Condensed" w:cs="Barlow Semi Condensed" w:eastAsia="Barlow Semi Condensed" w:hAnsi="Barlow Semi Condensed"/>
          <w:sz w:val="24"/>
          <w:szCs w:val="24"/>
        </w:rPr>
        <w:t xml:space="preserve"> Il Bantu Authorities Act del 1951 e il Promotion of Bantu Self-Government Act del 1959 costruirono i territori separati come finzione di autogoverno. Transkei nel 1976, Bophuthatswana nel 1977, Venda nel 1979 e Ciskei nel 1981 furono dichiarati indipendenti e riconosciuti soltanto da Pretoria. Gli atti costitutivi e i riconoscimenti mancati stanno nei fondi del Department of Foreign Affairs, ai National Archives.</w:t>
      </w:r>
    </w:p>
    <w:p>
      <w:pPr>
        <w:spacing w:after="120" w:line="276"/>
        <w:jc w:val="both"/>
      </w:pPr>
      <w:r>
        <w:rPr>
          <w:rFonts w:ascii="Barlow Semi Condensed" w:cs="Barlow Semi Condensed" w:eastAsia="Barlow Semi Condensed" w:hAnsi="Barlow Semi Condensed"/>
          <w:b/>
          <w:bCs/>
          <w:sz w:val="24"/>
          <w:szCs w:val="24"/>
        </w:rPr>
        <w:t xml:space="preserve">144 · La cittadinanza revocata per legge.</w:t>
      </w:r>
      <w:r>
        <w:rPr>
          <w:rFonts w:ascii="Barlow Semi Condensed" w:cs="Barlow Semi Condensed" w:eastAsia="Barlow Semi Condensed" w:hAnsi="Barlow Semi Condensed"/>
          <w:sz w:val="24"/>
          <w:szCs w:val="24"/>
        </w:rPr>
        <w:t xml:space="preserve"> Il Bantu Homelands Citizenship Act del 1970 attribuì d'ufficio a milioni di persone la cittadinanza di un territorio separato, togliendo loro quella sudafricana. È l'operazione giuridica più radicale dell'intera architettura e va nominata con precisione: non una discriminazione fra cittadini, ma una sottrazione di cittadinanza. Le liste di attribuzione si cercano nei versamenti del dipartimento competente presso i National Archives of South Africa.</w:t>
      </w:r>
    </w:p>
    <w:p>
      <w:pPr>
        <w:spacing w:after="120" w:line="276"/>
        <w:jc w:val="both"/>
      </w:pPr>
      <w:r>
        <w:rPr>
          <w:rFonts w:ascii="Barlow Semi Condensed" w:cs="Barlow Semi Condensed" w:eastAsia="Barlow Semi Condensed" w:hAnsi="Barlow Semi Condensed"/>
          <w:b/>
          <w:bCs/>
          <w:sz w:val="24"/>
          <w:szCs w:val="24"/>
        </w:rPr>
        <w:t xml:space="preserve">145 · L'università chiusa per statuto.</w:t>
      </w:r>
      <w:r>
        <w:rPr>
          <w:rFonts w:ascii="Barlow Semi Condensed" w:cs="Barlow Semi Condensed" w:eastAsia="Barlow Semi Condensed" w:hAnsi="Barlow Semi Condensed"/>
          <w:sz w:val="24"/>
          <w:szCs w:val="24"/>
        </w:rPr>
        <w:t xml:space="preserve"> L'Extension of University Education Act del 1959, il cui titolo estende ciò che restringe, vietò l'iscrizione degli studenti neri negli atenei aperti e creò università etniche separate. I registri di immatricolazione delle università di Witwatersrand e di Città del Capo, conservati negli archivi dei rispettivi atenei, permettono di misurare la frattura con una serie numerica invece che con un aggettivo.</w:t>
      </w:r>
    </w:p>
    <w:p>
      <w:pPr>
        <w:spacing w:after="120" w:line="276"/>
        <w:jc w:val="both"/>
      </w:pPr>
      <w:r>
        <w:rPr>
          <w:rFonts w:ascii="Barlow Semi Condensed" w:cs="Barlow Semi Condensed" w:eastAsia="Barlow Semi Condensed" w:hAnsi="Barlow Semi Condensed"/>
          <w:b/>
          <w:bCs/>
          <w:sz w:val="24"/>
          <w:szCs w:val="24"/>
        </w:rPr>
        <w:t xml:space="preserve">146 · Prima del millenovecentoquarantotto.</w:t>
      </w:r>
      <w:r>
        <w:rPr>
          <w:rFonts w:ascii="Barlow Semi Condensed" w:cs="Barlow Semi Condensed" w:eastAsia="Barlow Semi Condensed" w:hAnsi="Barlow Semi Condensed"/>
          <w:sz w:val="24"/>
          <w:szCs w:val="24"/>
        </w:rPr>
        <w:t xml:space="preserve"> L'apartheid non comincia con la vittoria elettorale del National Party nel 1948: il Natives Land Act del 1913 aveva già riservato alla maggioranza africana una frazione minima del territorio. La regola che ne discende è metodologica e severa: la periodizzazione comoda va verificata sugli atti, e una cornice che si dichiara nata nel 1948 è già una tesi da provare, non un dato.</w:t>
      </w:r>
    </w:p>
    <w:p>
      <w:pPr>
        <w:spacing w:after="120" w:line="276"/>
        <w:jc w:val="both"/>
      </w:pPr>
      <w:r>
        <w:rPr>
          <w:rFonts w:ascii="Barlow Semi Condensed" w:cs="Barlow Semi Condensed" w:eastAsia="Barlow Semi Condensed" w:hAnsi="Barlow Semi Condensed"/>
          <w:b/>
          <w:bCs/>
          <w:sz w:val="24"/>
          <w:szCs w:val="24"/>
        </w:rPr>
        <w:t xml:space="preserve">147 · La detenzione senza termine.</w:t>
      </w:r>
      <w:r>
        <w:rPr>
          <w:rFonts w:ascii="Barlow Semi Condensed" w:cs="Barlow Semi Condensed" w:eastAsia="Barlow Semi Condensed" w:hAnsi="Barlow Semi Condensed"/>
          <w:sz w:val="24"/>
          <w:szCs w:val="24"/>
        </w:rPr>
        <w:t xml:space="preserve"> Il Terrorism Act, Act No. 83 del 1967, con l'articolo sei autorizzava la detenzione a tempo indeterminato senza controllo giurisdizionale. È il perno del sistema di sicurezza e la premessa delle morti in custodia poi ricostruite dalla Truth and Reconciliation Commission. Gli atti delle inchieste giudiziarie sui decessi, i cosiddetti inquest records, sono nei depositi provinciali dei National Archives e si cercano per nome del detenuto.</w:t>
      </w:r>
    </w:p>
    <w:p>
      <w:pPr>
        <w:spacing w:after="120" w:line="276"/>
        <w:jc w:val="both"/>
      </w:pPr>
      <w:r>
        <w:rPr>
          <w:rFonts w:ascii="Barlow Semi Condensed" w:cs="Barlow Semi Condensed" w:eastAsia="Barlow Semi Condensed" w:hAnsi="Barlow Semi Condensed"/>
          <w:b/>
          <w:bCs/>
          <w:sz w:val="24"/>
          <w:szCs w:val="24"/>
        </w:rPr>
        <w:t xml:space="preserve">148 · Gli stati d'emergenza.</w:t>
      </w:r>
      <w:r>
        <w:rPr>
          <w:rFonts w:ascii="Barlow Semi Condensed" w:cs="Barlow Semi Condensed" w:eastAsia="Barlow Semi Condensed" w:hAnsi="Barlow Semi Condensed"/>
          <w:sz w:val="24"/>
          <w:szCs w:val="24"/>
        </w:rPr>
        <w:t xml:space="preserve"> Le proclamazioni d'emergenza del 1960, dopo Sharpeville, e quelle del 1985 e del 1986 sospesero garanzie e imposero il segreto sulla stampa. Ognuna ha numero e data nel Government Gazette e va citata così, mai in blocco. Bersaglio: la tavola cronologica delle emergenze con l'estensione territoriale di ciascuna, perché il regime giuridico varia per distretto e la generalizzazione perde proprio quel dato.</w:t>
      </w:r>
    </w:p>
    <w:p>
      <w:pPr>
        <w:spacing w:after="120" w:line="276"/>
        <w:jc w:val="both"/>
      </w:pPr>
      <w:r>
        <w:rPr>
          <w:rFonts w:ascii="Barlow Semi Condensed" w:cs="Barlow Semi Condensed" w:eastAsia="Barlow Semi Condensed" w:hAnsi="Barlow Semi Condensed"/>
          <w:b/>
          <w:bCs/>
          <w:sz w:val="24"/>
          <w:szCs w:val="24"/>
        </w:rPr>
        <w:t xml:space="preserve">149 · La Gazzetta come fonte prima.</w:t>
      </w:r>
      <w:r>
        <w:rPr>
          <w:rFonts w:ascii="Barlow Semi Condensed" w:cs="Barlow Semi Condensed" w:eastAsia="Barlow Semi Condensed" w:hAnsi="Barlow Semi Condensed"/>
          <w:sz w:val="24"/>
          <w:szCs w:val="24"/>
        </w:rPr>
        <w:t xml:space="preserve"> Ogni norma citata in questa serie esiste come testo promulgato nel Government Gazette, in afrikaans Staatskoerant, con numero e data. La regola è banale e quasi mai rispettata nella letteratura militante: si cita l'atto, non il riassunto dell'atto. Le annate sono consultabili nelle biblioteche giuridiche sudafricane e nei National Archives; chi scrive di apartheid senza numeri di gazzetta sta parafrasando qualcun altro.</w:t>
      </w:r>
    </w:p>
    <w:p>
      <w:pPr>
        <w:spacing w:after="120" w:line="276"/>
        <w:jc w:val="both"/>
      </w:pPr>
      <w:r>
        <w:rPr>
          <w:rFonts w:ascii="Barlow Semi Condensed" w:cs="Barlow Semi Condensed" w:eastAsia="Barlow Semi Condensed" w:hAnsi="Barlow Semi Condensed"/>
          <w:b/>
          <w:bCs/>
          <w:sz w:val="24"/>
          <w:szCs w:val="24"/>
        </w:rPr>
        <w:t xml:space="preserve">150 · Gli atti parlamentari.</w:t>
      </w:r>
      <w:r>
        <w:rPr>
          <w:rFonts w:ascii="Barlow Semi Condensed" w:cs="Barlow Semi Condensed" w:eastAsia="Barlow Semi Condensed" w:hAnsi="Barlow Semi Condensed"/>
          <w:sz w:val="24"/>
          <w:szCs w:val="24"/>
        </w:rPr>
        <w:t xml:space="preserve"> I dibattiti della House of Assembly, raccolti nell'Hansard sudafricano, registrano parola per parola come ogni legge fu difesa e contestata in aula. Sono la fonte che distingue l'intenzione dichiarata dall'effetto prodotto, e l'una dall'altro non si deducono. Le annate stanno nella biblioteca del Parlamento a Città del Capo. Bersaglio: gli interventi sul Bantu Education Act nella sessione del 1953, letti integralmente.</w:t>
      </w:r>
    </w:p>
    <w:p>
      <w:pPr>
        <w:spacing w:after="120" w:line="276"/>
        <w:jc w:val="both"/>
      </w:pPr>
      <w:r>
        <w:rPr>
          <w:rFonts w:ascii="Barlow Semi Condensed" w:cs="Barlow Semi Condensed" w:eastAsia="Barlow Semi Condensed" w:hAnsi="Barlow Semi Condensed"/>
          <w:b/>
          <w:bCs/>
          <w:sz w:val="24"/>
          <w:szCs w:val="24"/>
        </w:rPr>
        <w:t xml:space="preserve">151 · La censura amministrata.</w:t>
      </w:r>
      <w:r>
        <w:rPr>
          <w:rFonts w:ascii="Barlow Semi Condensed" w:cs="Barlow Semi Condensed" w:eastAsia="Barlow Semi Condensed" w:hAnsi="Barlow Semi Condensed"/>
          <w:sz w:val="24"/>
          <w:szCs w:val="24"/>
        </w:rPr>
        <w:t xml:space="preserve"> Il Publications Act del 1974 istituì il Directorate of Publications, che vietava libri, film e riviste con decisioni motivate e pubblicate. Quelle motivazioni sono documenti di prim'ordine sullo Stato che le scriveva. Il fondo del Directorate è conservato presso i National Archives of South Africa e le decisioni sono indicizzate anche in raccolte universitarie. Bersaglio: le decisioni riguardanti la stampa straniera negli anni Settanta.</w:t>
      </w:r>
    </w:p>
    <w:p>
      <w:pPr>
        <w:spacing w:after="120" w:line="276"/>
        <w:jc w:val="both"/>
      </w:pPr>
      <w:r>
        <w:rPr>
          <w:rFonts w:ascii="Barlow Semi Condensed" w:cs="Barlow Semi Condensed" w:eastAsia="Barlow Semi Condensed" w:hAnsi="Barlow Semi Condensed"/>
          <w:b/>
          <w:bCs/>
          <w:sz w:val="24"/>
          <w:szCs w:val="24"/>
        </w:rPr>
        <w:t xml:space="preserve">152 · Il cronogramma dell'abrogazione.</w:t>
      </w:r>
      <w:r>
        <w:rPr>
          <w:rFonts w:ascii="Barlow Semi Condensed" w:cs="Barlow Semi Condensed" w:eastAsia="Barlow Semi Condensed" w:hAnsi="Barlow Semi Condensed"/>
          <w:sz w:val="24"/>
          <w:szCs w:val="24"/>
        </w:rPr>
        <w:t xml:space="preserve"> Fra il 1990 e il 1994 furono abrogati il Separate Amenities Act, il Group Areas Act, il Land Act e il Population Registration Act, quest'ultimo nel giugno 1991. La sequenza esatta conta: dire genericamente che l'apartheid finì nel 1994 confonde le elezioni con l'abrogazione degli atti. Ogni abrogazione ha una legge propria e una data propria, tutte reperibili nel Government Gazette.</w:t>
      </w:r>
    </w:p>
    <w:p>
      <w:pPr>
        <w:spacing w:after="120" w:line="276"/>
        <w:jc w:val="both"/>
      </w:pPr>
      <w:r>
        <w:rPr>
          <w:rFonts w:ascii="Barlow Semi Condensed" w:cs="Barlow Semi Condensed" w:eastAsia="Barlow Semi Condensed" w:hAnsi="Barlow Semi Condensed"/>
          <w:b/>
          <w:bCs/>
          <w:sz w:val="24"/>
          <w:szCs w:val="24"/>
        </w:rPr>
        <w:t xml:space="preserve">153 · Apartheid grande e apartheid minuta.</w:t>
      </w:r>
      <w:r>
        <w:rPr>
          <w:rFonts w:ascii="Barlow Semi Condensed" w:cs="Barlow Semi Condensed" w:eastAsia="Barlow Semi Condensed" w:hAnsi="Barlow Semi Condensed"/>
          <w:sz w:val="24"/>
          <w:szCs w:val="24"/>
        </w:rPr>
        <w:t xml:space="preserve"> La distinzione fra apartheid minuta, quella dei cartelli e delle panchine, e apartheid grande, quella territoriale e della cittadinanza, non è retorica ma classificatoria: la prima si abroga in un giorno, la seconda lascia una geografia. Regola operativa per l'intera opera: quando una fonte dice apartheid senza specificare quale dei due livelli descriva, il grado dell'informazione scende e la caduta va annotata.</w:t>
      </w:r>
    </w:p>
    <w:p>
      <w:pPr>
        <w:spacing w:after="120" w:line="276"/>
        <w:jc w:val="both"/>
      </w:pPr>
      <w:r>
        <w:rPr>
          <w:rFonts w:ascii="Barlow Semi Condensed" w:cs="Barlow Semi Condensed" w:eastAsia="Barlow Semi Condensed" w:hAnsi="Barlow Semi Condensed"/>
          <w:b/>
          <w:bCs/>
          <w:sz w:val="24"/>
          <w:szCs w:val="24"/>
        </w:rPr>
        <w:t xml:space="preserve">154 · La cornice non è la condotta.</w:t>
      </w:r>
      <w:r>
        <w:rPr>
          <w:rFonts w:ascii="Barlow Semi Condensed" w:cs="Barlow Semi Condensed" w:eastAsia="Barlow Semi Condensed" w:hAnsi="Barlow Semi Condensed"/>
          <w:sz w:val="24"/>
          <w:szCs w:val="24"/>
        </w:rPr>
        <w:t xml:space="preserve"> Questa serie descrive un ordinamento e non giudica le persone che vi vissero dentro. Nessuno dei nomi richiamati dalle altre serie è indicato qui come responsabile di alcunché, e nessuno risulta condannato in relazione ai fatti indagati. Vale la regola già scolpita nel manuale investigativo del corpus, al quarto blocco sui gradi: l'appartenenza a un Paese non è prova di condotta, e l'infanzia non è una scelta.</w:t>
      </w:r>
    </w:p>
    <w:p>
      <w:pPr>
        <w:spacing w:after="120" w:line="276"/>
        <w:jc w:val="both"/>
      </w:pPr>
      <w:r>
        <w:rPr>
          <w:rFonts w:ascii="Barlow Semi Condensed" w:cs="Barlow Semi Condensed" w:eastAsia="Barlow Semi Condensed" w:hAnsi="Barlow Semi Condensed"/>
          <w:b/>
          <w:bCs/>
          <w:sz w:val="24"/>
          <w:szCs w:val="24"/>
        </w:rPr>
        <w:t xml:space="preserve">155 · L'apartheid come crimine internazionale.</w:t>
      </w:r>
      <w:r>
        <w:rPr>
          <w:rFonts w:ascii="Barlow Semi Condensed" w:cs="Barlow Semi Condensed" w:eastAsia="Barlow Semi Condensed" w:hAnsi="Barlow Semi Condensed"/>
          <w:sz w:val="24"/>
          <w:szCs w:val="24"/>
        </w:rPr>
        <w:t xml:space="preserve"> La Convenzione internazionale sulla repressione e punizione del crimine di apartheid, aperta alla firma nel novembre 1973, e più tardi l'articolo sette dello Statuto di Roma del 1998 qualificarono l'apartheid come crimine contro l'umanità. Precisazione doverosa e non ornamentale: quelle qualificazioni riguardano condotte statali e individuali accertate in giudizio, non l'origine, la residenza o la nascita di chicchessia.</w:t>
      </w:r>
    </w:p>
    <w:p>
      <w:pPr>
        <w:spacing w:after="120" w:line="276"/>
        <w:jc w:val="both"/>
      </w:pPr>
      <w:r>
        <w:rPr>
          <w:rFonts w:ascii="Barlow Semi Condensed" w:cs="Barlow Semi Condensed" w:eastAsia="Barlow Semi Condensed" w:hAnsi="Barlow Semi Condensed"/>
          <w:b/>
          <w:bCs/>
          <w:sz w:val="24"/>
          <w:szCs w:val="24"/>
        </w:rPr>
        <w:t xml:space="preserve">156 · Il mandato di classe C.</w:t>
      </w:r>
      <w:r>
        <w:rPr>
          <w:rFonts w:ascii="Barlow Semi Condensed" w:cs="Barlow Semi Condensed" w:eastAsia="Barlow Semi Condensed" w:hAnsi="Barlow Semi Condensed"/>
          <w:sz w:val="24"/>
          <w:szCs w:val="24"/>
        </w:rPr>
        <w:t xml:space="preserve"> L'articolo ventidue del Patto della Società delle Nazioni istituì i mandati; l'Africa del Sud-Ovest, già colonia tedesca, fu affidata nel 1920 all'Unione Sudafricana come mandato di classe C, amministrabile come parte integrante del suo territorio ma non annessa. La distinzione fra amministrazione e sovranità è l'intero problema giuridico del secolo namibiano. Gli atti stanno nei League of Nations Archives, a Ginevra.</w:t>
      </w:r>
    </w:p>
    <w:p>
      <w:pPr>
        <w:spacing w:after="120" w:line="276"/>
        <w:jc w:val="both"/>
      </w:pPr>
      <w:r>
        <w:rPr>
          <w:rFonts w:ascii="Barlow Semi Condensed" w:cs="Barlow Semi Condensed" w:eastAsia="Barlow Semi Condensed" w:hAnsi="Barlow Semi Condensed"/>
          <w:b/>
          <w:bCs/>
          <w:sz w:val="24"/>
          <w:szCs w:val="24"/>
        </w:rPr>
        <w:t xml:space="preserve">157 · Il parere del millenovecentocinquanta.</w:t>
      </w:r>
      <w:r>
        <w:rPr>
          <w:rFonts w:ascii="Barlow Semi Condensed" w:cs="Barlow Semi Condensed" w:eastAsia="Barlow Semi Condensed" w:hAnsi="Barlow Semi Condensed"/>
          <w:sz w:val="24"/>
          <w:szCs w:val="24"/>
        </w:rPr>
        <w:t xml:space="preserve"> L'11 luglio 1950 la Corte internazionale di giustizia stabilì che il Sud Africa restava vincolato agli obblighi del mandato e non poteva modificarne unilateralmente lo statuto, pur non essendo obbligato a sottoporre il territorio all'amministrazione fiduciaria. Il testo integrale è nei Reports of Judgments della Corte, all'Aia. È la prima delle quattro pronunce che scandiscono la vicenda e va citata per data.</w:t>
      </w:r>
    </w:p>
    <w:p>
      <w:pPr>
        <w:spacing w:after="120" w:line="276"/>
        <w:jc w:val="both"/>
      </w:pPr>
      <w:r>
        <w:rPr>
          <w:rFonts w:ascii="Barlow Semi Condensed" w:cs="Barlow Semi Condensed" w:eastAsia="Barlow Semi Condensed" w:hAnsi="Barlow Semi Condensed"/>
          <w:b/>
          <w:bCs/>
          <w:sz w:val="24"/>
          <w:szCs w:val="24"/>
        </w:rPr>
        <w:t xml:space="preserve">158 · Le cause del millenovecentosessanta.</w:t>
      </w:r>
      <w:r>
        <w:rPr>
          <w:rFonts w:ascii="Barlow Semi Condensed" w:cs="Barlow Semi Condensed" w:eastAsia="Barlow Semi Condensed" w:hAnsi="Barlow Semi Condensed"/>
          <w:sz w:val="24"/>
          <w:szCs w:val="24"/>
        </w:rPr>
        <w:t xml:space="preserve"> Etiopia e Liberia convennero il Sud Africa davanti alla Corte dell'Aia nel 1960; nel 1962 la Corte affermò la propria competenza, nel luglio 1966 respinse le domande per difetto di interesse giuridico degli attori. La decisione divenne il detonatore politico della risoluzione approvata dall'Assemblea Generale pochi mesi dopo: divergenza fra piano giudiziario e piano politico, da riportare intera e da non sciogliere.</w:t>
      </w:r>
    </w:p>
    <w:p>
      <w:pPr>
        <w:spacing w:after="120" w:line="276"/>
        <w:jc w:val="both"/>
      </w:pPr>
      <w:r>
        <w:rPr>
          <w:rFonts w:ascii="Barlow Semi Condensed" w:cs="Barlow Semi Condensed" w:eastAsia="Barlow Semi Condensed" w:hAnsi="Barlow Semi Condensed"/>
          <w:b/>
          <w:bCs/>
          <w:sz w:val="24"/>
          <w:szCs w:val="24"/>
        </w:rPr>
        <w:t xml:space="preserve">159 · La risoluzione 2145 del 1966.</w:t>
      </w:r>
      <w:r>
        <w:rPr>
          <w:rFonts w:ascii="Barlow Semi Condensed" w:cs="Barlow Semi Condensed" w:eastAsia="Barlow Semi Condensed" w:hAnsi="Barlow Semi Condensed"/>
          <w:sz w:val="24"/>
          <w:szCs w:val="24"/>
        </w:rPr>
        <w:t xml:space="preserve"> Il 27 ottobre 1966 l'Assemblea Generale, con la risoluzione 2145 della ventunesima sessione, dichiarò decaduto il mandato sudafricano sull'Africa del Sud-Ovest e assunse la responsabilità diretta del territorio. È il documento che rende illegittima, nell'ordinamento internazionale, ogni presenza successiva. Testo e verbali della sessione stanno negli archivi delle Nazioni Unite a New York, nella serie dei documenti ufficiali dell'Assemblea.</w:t>
      </w:r>
    </w:p>
    <w:p>
      <w:pPr>
        <w:spacing w:after="120" w:line="276"/>
        <w:jc w:val="both"/>
      </w:pPr>
      <w:r>
        <w:rPr>
          <w:rFonts w:ascii="Barlow Semi Condensed" w:cs="Barlow Semi Condensed" w:eastAsia="Barlow Semi Condensed" w:hAnsi="Barlow Semi Condensed"/>
          <w:b/>
          <w:bCs/>
          <w:sz w:val="24"/>
          <w:szCs w:val="24"/>
        </w:rPr>
        <w:t xml:space="preserve">160 · Il Consiglio per la Namibia.</w:t>
      </w:r>
      <w:r>
        <w:rPr>
          <w:rFonts w:ascii="Barlow Semi Condensed" w:cs="Barlow Semi Condensed" w:eastAsia="Barlow Semi Condensed" w:hAnsi="Barlow Semi Condensed"/>
          <w:sz w:val="24"/>
          <w:szCs w:val="24"/>
        </w:rPr>
        <w:t xml:space="preserve"> Nel maggio 1967 l'Assemblea Generale creò il United Nations Council for South West Africa, che dal giugno 1968 prese il nome di Consiglio per la Namibia insieme al territorio. Fu un'amministrazione senza possesso: rilasciava documenti di viaggio e non controllava un chilometro quadrato. I suoi fascicoli sono nell'archivio delle Nazioni Unite e costituiscono la fonte diretta di ogni blocco su Rössing.</w:t>
      </w:r>
    </w:p>
    <w:p>
      <w:pPr>
        <w:spacing w:after="120" w:line="276"/>
        <w:jc w:val="both"/>
      </w:pPr>
      <w:r>
        <w:rPr>
          <w:rFonts w:ascii="Barlow Semi Condensed" w:cs="Barlow Semi Condensed" w:eastAsia="Barlow Semi Condensed" w:hAnsi="Barlow Semi Condensed"/>
          <w:b/>
          <w:bCs/>
          <w:sz w:val="24"/>
          <w:szCs w:val="24"/>
        </w:rPr>
        <w:t xml:space="preserve">161 · Le risoluzioni 264 e 276.</w:t>
      </w:r>
      <w:r>
        <w:rPr>
          <w:rFonts w:ascii="Barlow Semi Condensed" w:cs="Barlow Semi Condensed" w:eastAsia="Barlow Semi Condensed" w:hAnsi="Barlow Semi Condensed"/>
          <w:sz w:val="24"/>
          <w:szCs w:val="24"/>
        </w:rPr>
        <w:t xml:space="preserve"> Il Consiglio di Sicurezza intervenne con la risoluzione 264 del marzo 1969, che riconobbe la decadenza del mandato e ingiunse il ritiro, e con la 276 del gennaio 1970, che dichiarò illegittima la presenza sudafricana e invalidi gli atti compiuti. Fu la seconda a generare la richiesta di parere alla Corte. Si citano per numero e data, mai come generica condanna delle Nazioni Unite.</w:t>
      </w:r>
    </w:p>
    <w:p>
      <w:pPr>
        <w:spacing w:after="120" w:line="276"/>
        <w:jc w:val="both"/>
      </w:pPr>
      <w:r>
        <w:rPr>
          <w:rFonts w:ascii="Barlow Semi Condensed" w:cs="Barlow Semi Condensed" w:eastAsia="Barlow Semi Condensed" w:hAnsi="Barlow Semi Condensed"/>
          <w:b/>
          <w:bCs/>
          <w:sz w:val="24"/>
          <w:szCs w:val="24"/>
        </w:rPr>
        <w:t xml:space="preserve">162 · Il parere del ventuno giugno 1971.</w:t>
      </w:r>
      <w:r>
        <w:rPr>
          <w:rFonts w:ascii="Barlow Semi Condensed" w:cs="Barlow Semi Condensed" w:eastAsia="Barlow Semi Condensed" w:hAnsi="Barlow Semi Condensed"/>
          <w:sz w:val="24"/>
          <w:szCs w:val="24"/>
        </w:rPr>
        <w:t xml:space="preserve"> Il 21 giugno 1971 la Corte internazionale di giustizia affermò che la presenza sudafricana in Namibia era illegittima e che gli Stati membri avevano l'obbligo di astenersi da atti implicanti un riconoscimento. È il documento cardine per ogni questione di contratti, concessioni ed esportazioni dal territorio dopo quella data. Il testo integrale sta nei Reports della Corte per l'anno 1971, all'Aia.</w:t>
      </w:r>
    </w:p>
    <w:p>
      <w:pPr>
        <w:spacing w:after="120" w:line="276"/>
        <w:jc w:val="both"/>
      </w:pPr>
      <w:r>
        <w:rPr>
          <w:rFonts w:ascii="Barlow Semi Condensed" w:cs="Barlow Semi Condensed" w:eastAsia="Barlow Semi Condensed" w:hAnsi="Barlow Semi Condensed"/>
          <w:b/>
          <w:bCs/>
          <w:sz w:val="24"/>
          <w:szCs w:val="24"/>
        </w:rPr>
        <w:t xml:space="preserve">163 · Il Decreto numero uno.</w:t>
      </w:r>
      <w:r>
        <w:rPr>
          <w:rFonts w:ascii="Barlow Semi Condensed" w:cs="Barlow Semi Condensed" w:eastAsia="Barlow Semi Condensed" w:hAnsi="Barlow Semi Condensed"/>
          <w:sz w:val="24"/>
          <w:szCs w:val="24"/>
        </w:rPr>
        <w:t xml:space="preserve"> Il 27 settembre 1974 il Consiglio per la Namibia adottò il Decreto n. 1 a protezione delle risorse naturali, vietando estrazione ed esportazione senza autorizzazione del Consiglio e prevedendo la confisca dei minerali. È l'atto che colloca giuridicamente l'uranio namibiano degli anni Settanta. Il testo sta nei documenti ufficiali dell'Assemblea Generale; il quesito aperto è se e come sia mai stato eseguito.</w:t>
      </w:r>
    </w:p>
    <w:p>
      <w:pPr>
        <w:spacing w:after="120" w:line="276"/>
        <w:jc w:val="both"/>
      </w:pPr>
      <w:r>
        <w:rPr>
          <w:rFonts w:ascii="Barlow Semi Condensed" w:cs="Barlow Semi Condensed" w:eastAsia="Barlow Semi Condensed" w:hAnsi="Barlow Semi Condensed"/>
          <w:b/>
          <w:bCs/>
          <w:sz w:val="24"/>
          <w:szCs w:val="24"/>
        </w:rPr>
        <w:t xml:space="preserve">164 · La risoluzione 435 del 1978.</w:t>
      </w:r>
      <w:r>
        <w:rPr>
          <w:rFonts w:ascii="Barlow Semi Condensed" w:cs="Barlow Semi Condensed" w:eastAsia="Barlow Semi Condensed" w:hAnsi="Barlow Semi Condensed"/>
          <w:sz w:val="24"/>
          <w:szCs w:val="24"/>
        </w:rPr>
        <w:t xml:space="preserve"> Il 29 settembre 1978 il Consiglio di Sicurezza approvò con la risoluzione 435 il piano di transizione all'indipendenza namibiana, rimasto lettera morta per undici anni prima dell'attuazione avviata nel 1989. Lo scarto fra la data dell'atto e la data dell'esecuzione è esso stesso un dato storico. I materiali del negoziato stanno negli archivi ONU e in quelli dei cinque Stati del gruppo di contatto.</w:t>
      </w:r>
    </w:p>
    <w:p>
      <w:pPr>
        <w:spacing w:after="120" w:line="276"/>
        <w:jc w:val="both"/>
      </w:pPr>
      <w:r>
        <w:rPr>
          <w:rFonts w:ascii="Barlow Semi Condensed" w:cs="Barlow Semi Condensed" w:eastAsia="Barlow Semi Condensed" w:hAnsi="Barlow Semi Condensed"/>
          <w:b/>
          <w:bCs/>
          <w:sz w:val="24"/>
          <w:szCs w:val="24"/>
        </w:rPr>
        <w:t xml:space="preserve">165 · L'unico ponte con il corpus.</w:t>
      </w:r>
      <w:r>
        <w:rPr>
          <w:rFonts w:ascii="Barlow Semi Condensed" w:cs="Barlow Semi Condensed" w:eastAsia="Barlow Semi Condensed" w:hAnsi="Barlow Semi Condensed"/>
          <w:sz w:val="24"/>
          <w:szCs w:val="24"/>
        </w:rPr>
        <w:t xml:space="preserve"> Il solo aggancio documentato fra questa opera e il resto del corpus è il nodo E-16 della triangolazione Guevara-Moro: il discorso all'Assemblea Generale dell'11 dicembre 1964, dove l'apartheid sudafricano è denunciato per nome. La verifica meccanica condotta sugli altri Libri non trova occorrenze di Namibia né dei nomi delle serie successive. È uno Stato Zero d'insieme e va dichiarato in apertura, non nascosto. </w:t>
      </w:r>
      <w:r>
        <w:rPr>
          <w:rFonts w:ascii="Barlow Semi Condensed" w:cs="Barlow Semi Condensed" w:eastAsia="Barlow Semi Condensed" w:hAnsi="Barlow Semi Condensed"/>
          <w:i/>
          <w:iCs/>
          <w:sz w:val="24"/>
          <w:szCs w:val="24"/>
        </w:rPr>
        <w:t xml:space="preserve">(Verifica riferita al perimetro anteriore al 26 agosto 2026; per l'aggiornamento dopo l'ingresso del Libro quarto si veda il blocco 38.)</w:t>
      </w:r>
    </w:p>
    <w:p>
      <w:pPr>
        <w:spacing w:after="120" w:line="276"/>
        <w:jc w:val="both"/>
      </w:pPr>
      <w:r>
        <w:rPr>
          <w:rFonts w:ascii="Barlow Semi Condensed" w:cs="Barlow Semi Condensed" w:eastAsia="Barlow Semi Condensed" w:hAnsi="Barlow Semi Condensed"/>
          <w:b/>
          <w:bCs/>
          <w:sz w:val="24"/>
          <w:szCs w:val="24"/>
        </w:rPr>
        <w:t xml:space="preserve">166 · La commissione Odendaal.</w:t>
      </w:r>
      <w:r>
        <w:rPr>
          <w:rFonts w:ascii="Barlow Semi Condensed" w:cs="Barlow Semi Condensed" w:eastAsia="Barlow Semi Condensed" w:hAnsi="Barlow Semi Condensed"/>
          <w:sz w:val="24"/>
          <w:szCs w:val="24"/>
        </w:rPr>
        <w:t xml:space="preserve"> Il rapporto della commissione presieduta da Fox Odendaal — indagine chiusa a fine 1963, esiti consegnati agli inizi del 1964 — propose per l'Africa del Sud-Ovest dieci homeland etnici, riservando oltre metà del territorio, con quasi tutta la ricchezza mineraria e la fascia costiera, a un'area bianca che comprendeva Swakopmund. L'assetto amministrativo va detto per intero: l'area bianca conservava Amministratore e Assemblea legislativa, gli homeland passavano al governo centrale di Pretoria.</w:t>
      </w:r>
    </w:p>
    <w:p>
      <w:pPr>
        <w:spacing w:after="120" w:line="276"/>
        <w:jc w:val="both"/>
      </w:pPr>
      <w:r>
        <w:rPr>
          <w:rFonts w:ascii="Barlow Semi Condensed" w:cs="Barlow Semi Condensed" w:eastAsia="Barlow Semi Condensed" w:hAnsi="Barlow Semi Condensed"/>
          <w:b/>
          <w:bCs/>
          <w:sz w:val="24"/>
          <w:szCs w:val="24"/>
        </w:rPr>
        <w:t xml:space="preserve">167 · Il nome che cambia.</w:t>
      </w:r>
      <w:r>
        <w:rPr>
          <w:rFonts w:ascii="Barlow Semi Condensed" w:cs="Barlow Semi Condensed" w:eastAsia="Barlow Semi Condensed" w:hAnsi="Barlow Semi Condensed"/>
          <w:sz w:val="24"/>
          <w:szCs w:val="24"/>
        </w:rPr>
        <w:t xml:space="preserve"> Fino al 1968 le fonti scrivono South West Africa, dal giugno 1968 quelle delle Nazioni Unite scrivono Namibia, mentre Pretoria proseguì per anni con la denominazione antica. La regola pratica per lo spoglio d'archivio è cercare sempre entrambe le stringhe e datare la fonte dal nome che adopera: la scelta lessicale di un documento ne dichiara la provenienza politica prima ancora del contenuto.</w:t>
      </w:r>
    </w:p>
    <w:p>
      <w:pPr>
        <w:spacing w:after="120" w:line="276"/>
        <w:jc w:val="both"/>
      </w:pPr>
      <w:r>
        <w:rPr>
          <w:rFonts w:ascii="Barlow Semi Condensed" w:cs="Barlow Semi Condensed" w:eastAsia="Barlow Semi Condensed" w:hAnsi="Barlow Semi Condensed"/>
          <w:b/>
          <w:bCs/>
          <w:sz w:val="24"/>
          <w:szCs w:val="24"/>
        </w:rPr>
        <w:t xml:space="preserve">168 · Amministrata, non annessa.</w:t>
      </w:r>
      <w:r>
        <w:rPr>
          <w:rFonts w:ascii="Barlow Semi Condensed" w:cs="Barlow Semi Condensed" w:eastAsia="Barlow Semi Condensed" w:hAnsi="Barlow Semi Condensed"/>
          <w:sz w:val="24"/>
          <w:szCs w:val="24"/>
        </w:rPr>
        <w:t xml:space="preserve"> Il regime dell'Africa del Sud-Ovest non fu una provincia sudafricana e non fu uno Stato: fu un territorio amministrato in violazione dichiarata di un ordinamento internazionale. Ne discende una regola di lettura valida per ogni serie successiva: chi vi risiedeva non era cittadino di quel territorio, e la sua posizione giuridica va accertata sul passaporto e sui registri, non presunta dalla residenza.</w:t>
      </w:r>
    </w:p>
    <w:p>
      <w:pPr>
        <w:spacing w:after="120" w:line="276"/>
        <w:jc w:val="both"/>
      </w:pPr>
      <w:r>
        <w:rPr>
          <w:rFonts w:ascii="Barlow Semi Condensed" w:cs="Barlow Semi Condensed" w:eastAsia="Barlow Semi Condensed" w:hAnsi="Barlow Semi Condensed"/>
          <w:b/>
          <w:bCs/>
          <w:sz w:val="24"/>
          <w:szCs w:val="24"/>
        </w:rPr>
        <w:t xml:space="preserve">169 · Gli archivi di Ginevra.</w:t>
      </w:r>
      <w:r>
        <w:rPr>
          <w:rFonts w:ascii="Barlow Semi Condensed" w:cs="Barlow Semi Condensed" w:eastAsia="Barlow Semi Condensed" w:hAnsi="Barlow Semi Condensed"/>
          <w:sz w:val="24"/>
          <w:szCs w:val="24"/>
        </w:rPr>
        <w:t xml:space="preserve"> I fondi della Società delle Nazioni, conservati presso la Biblioteca delle Nazioni Unite a Ginevra, contengono i rapporti annuali che l'Unione Sudafricana presentò alla Commissione permanente dei mandati fino al 1939, con le repliche della Commissione stessa. Sono la fonte primaria sul primo ventennio del territorio e sono ordinati per sessione. Quesito: quali obiezioni furono formulate e in che modo furono chiuse.</w:t>
      </w:r>
    </w:p>
    <w:p>
      <w:pPr>
        <w:spacing w:after="120" w:line="276"/>
        <w:jc w:val="both"/>
      </w:pPr>
      <w:r>
        <w:rPr>
          <w:rFonts w:ascii="Barlow Semi Condensed" w:cs="Barlow Semi Condensed" w:eastAsia="Barlow Semi Condensed" w:hAnsi="Barlow Semi Condensed"/>
          <w:b/>
          <w:bCs/>
          <w:sz w:val="24"/>
          <w:szCs w:val="24"/>
        </w:rPr>
        <w:t xml:space="preserve">170 · Gli archivi dell'ONU a New York.</w:t>
      </w:r>
      <w:r>
        <w:rPr>
          <w:rFonts w:ascii="Barlow Semi Condensed" w:cs="Barlow Semi Condensed" w:eastAsia="Barlow Semi Condensed" w:hAnsi="Barlow Semi Condensed"/>
          <w:sz w:val="24"/>
          <w:szCs w:val="24"/>
        </w:rPr>
        <w:t xml:space="preserve"> L'Archives and Records Management Section delle Nazioni Unite conserva i fondi del Consiglio per la Namibia, del Fondo per la Namibia e dell'Istituto per la Namibia di Lusaka. Sono materiali poco frequentati dalla pubblicistica corrente e contengono le carte amministrative che nessun sito militante ha mai citato. Bersaglio: il carteggio del Consiglio con le società minerarie operanti nel territorio dopo il 1974.</w:t>
      </w:r>
    </w:p>
    <w:p>
      <w:pPr>
        <w:spacing w:after="120" w:line="276"/>
        <w:jc w:val="both"/>
      </w:pPr>
      <w:r>
        <w:rPr>
          <w:rFonts w:ascii="Barlow Semi Condensed" w:cs="Barlow Semi Condensed" w:eastAsia="Barlow Semi Condensed" w:hAnsi="Barlow Semi Condensed"/>
          <w:b/>
          <w:bCs/>
          <w:sz w:val="24"/>
          <w:szCs w:val="24"/>
        </w:rPr>
        <w:t xml:space="preserve">171 · Il contenzioso olandese sull'uranio.</w:t>
      </w:r>
      <w:r>
        <w:rPr>
          <w:rFonts w:ascii="Barlow Semi Condensed" w:cs="Barlow Semi Condensed" w:eastAsia="Barlow Semi Condensed" w:hAnsi="Barlow Semi Condensed"/>
          <w:sz w:val="24"/>
          <w:szCs w:val="24"/>
        </w:rPr>
        <w:t xml:space="preserve"> Il Consiglio per la Namibia tentò negli anni Ottanta di far valere il Decreto n. 1 davanti a un giudice olandese contro un'impresa di arricchimento dell'uranio: è l'unico caso noto di esecuzione giudiziaria del decreto, e si concluse senza accoglimento. Data dell'atto introduttivo e dispositivo della decisione restano da accertare presso le corti dei Paesi Bassi: Stato Zero circoscritto e chiudibile.</w:t>
      </w:r>
    </w:p>
    <w:p>
      <w:pPr>
        <w:spacing w:after="120" w:line="276"/>
        <w:jc w:val="both"/>
      </w:pPr>
      <w:r>
        <w:rPr>
          <w:rFonts w:ascii="Barlow Semi Condensed" w:cs="Barlow Semi Condensed" w:eastAsia="Barlow Semi Condensed" w:hAnsi="Barlow Semi Condensed"/>
          <w:b/>
          <w:bCs/>
          <w:sz w:val="24"/>
          <w:szCs w:val="24"/>
        </w:rPr>
        <w:t xml:space="preserve">172 · L'indipendenza del ventuno marzo 1990.</w:t>
      </w:r>
      <w:r>
        <w:rPr>
          <w:rFonts w:ascii="Barlow Semi Condensed" w:cs="Barlow Semi Condensed" w:eastAsia="Barlow Semi Condensed" w:hAnsi="Barlow Semi Condensed"/>
          <w:sz w:val="24"/>
          <w:szCs w:val="24"/>
        </w:rPr>
        <w:t xml:space="preserve"> La Namibia divenne indipendente il 21 marzo 1990, dopo le elezioni per l'Assemblea costituente del novembre 1989 sorvegliate dalle Nazioni Unite. Ogni blocco che riguardi il territorio va datato rispetto a questa soglia, perché prima di essa il diritto applicabile era quello di un'occupazione contestata. Gli atti costituenti stanno ai National Archives of Namibia e negli archivi delle Nazioni Unite.</w:t>
      </w:r>
    </w:p>
    <w:p>
      <w:pPr>
        <w:spacing w:after="120" w:line="276"/>
        <w:jc w:val="both"/>
      </w:pPr>
      <w:r>
        <w:rPr>
          <w:rFonts w:ascii="Barlow Semi Condensed" w:cs="Barlow Semi Condensed" w:eastAsia="Barlow Semi Condensed" w:hAnsi="Barlow Semi Condensed"/>
          <w:b/>
          <w:bCs/>
          <w:sz w:val="24"/>
          <w:szCs w:val="24"/>
        </w:rPr>
        <w:t xml:space="preserve">173 · UNTAG e la transizione.</w:t>
      </w:r>
      <w:r>
        <w:rPr>
          <w:rFonts w:ascii="Barlow Semi Condensed" w:cs="Barlow Semi Condensed" w:eastAsia="Barlow Semi Condensed" w:hAnsi="Barlow Semi Condensed"/>
          <w:sz w:val="24"/>
          <w:szCs w:val="24"/>
        </w:rPr>
        <w:t xml:space="preserve"> Lo United Nations Transition Assistance Group operò fra l'aprile 1989 e il marzo 1990 con componenti civili, di polizia e militari, e i suoi rapporti al Consiglio di Sicurezza documentano giorno per giorno la fine dell'amministrazione sudafricana. Sono documenti pubblici, numerati e datati, e costituiscono la migliore cronologia disponibile della transizione: si citano per segnatura, non per ricordo giornalistico o per sintesi altrui.</w:t>
      </w:r>
    </w:p>
    <w:p>
      <w:pPr>
        <w:spacing w:after="120" w:line="276"/>
        <w:jc w:val="both"/>
      </w:pPr>
      <w:r>
        <w:rPr>
          <w:rFonts w:ascii="Barlow Semi Condensed" w:cs="Barlow Semi Condensed" w:eastAsia="Barlow Semi Condensed" w:hAnsi="Barlow Semi Condensed"/>
          <w:b/>
          <w:bCs/>
          <w:sz w:val="24"/>
          <w:szCs w:val="24"/>
        </w:rPr>
        <w:t xml:space="preserve">174 · I National Archives of Namibia.</w:t>
      </w:r>
      <w:r>
        <w:rPr>
          <w:rFonts w:ascii="Barlow Semi Condensed" w:cs="Barlow Semi Condensed" w:eastAsia="Barlow Semi Condensed" w:hAnsi="Barlow Semi Condensed"/>
          <w:sz w:val="24"/>
          <w:szCs w:val="24"/>
        </w:rPr>
        <w:t xml:space="preserve"> L'archivio nazionale namibiano di Windhoek conserva i fondi dell'amministrazione coloniale tedesca, con la sigla ZBU per il governo imperiale, e quelli dell'amministrazione sudafricana, con la sigla SWAA. È la sede che chiuderebbe la maggior parte dei quesiti anagrafici e amministrativi delle serie successive, dai registri di residenza alle licenze minerarie. Nessun blocco può dirsi esaurito prima di esservi passato.</w:t>
      </w:r>
    </w:p>
    <w:p>
      <w:pPr>
        <w:spacing w:after="120" w:line="276"/>
        <w:jc w:val="both"/>
      </w:pPr>
      <w:r>
        <w:rPr>
          <w:rFonts w:ascii="Barlow Semi Condensed" w:cs="Barlow Semi Condensed" w:eastAsia="Barlow Semi Condensed" w:hAnsi="Barlow Semi Condensed"/>
          <w:b/>
          <w:bCs/>
          <w:sz w:val="24"/>
          <w:szCs w:val="24"/>
        </w:rPr>
        <w:t xml:space="preserve">175 · I fondi tedeschi e il genocidio.</w:t>
      </w:r>
      <w:r>
        <w:rPr>
          <w:rFonts w:ascii="Barlow Semi Condensed" w:cs="Barlow Semi Condensed" w:eastAsia="Barlow Semi Condensed" w:hAnsi="Barlow Semi Condensed"/>
          <w:sz w:val="24"/>
          <w:szCs w:val="24"/>
        </w:rPr>
        <w:t xml:space="preserve"> Fra il 1904 e il 1908 le truppe imperiali tedesche condussero contro Herero e Nama una campagna di sterminio, con campi di internamento anche a Swakopmund; la Germania ne ha riconosciuto pubblicamente la natura genocidiaria nel 2021. È l'antecedente coloniale del territorio e va tenuto distinto dall'apartheid sudafricano, ordinamento diverso e successivo. Le carte stanno nel fondo ZBU a Windhoek e al Bundesarchiv.</w:t>
      </w:r>
    </w:p>
    <w:p>
      <w:pPr>
        <w:spacing w:after="120" w:line="276"/>
        <w:jc w:val="both"/>
      </w:pPr>
      <w:r>
        <w:rPr>
          <w:rFonts w:ascii="Barlow Semi Condensed" w:cs="Barlow Semi Condensed" w:eastAsia="Barlow Semi Condensed" w:hAnsi="Barlow Semi Condensed"/>
          <w:b/>
          <w:bCs/>
          <w:sz w:val="24"/>
          <w:szCs w:val="24"/>
        </w:rPr>
        <w:t xml:space="preserve">176 · Swakopmund fondata nel 1892.</w:t>
      </w:r>
      <w:r>
        <w:rPr>
          <w:rFonts w:ascii="Barlow Semi Condensed" w:cs="Barlow Semi Condensed" w:eastAsia="Barlow Semi Condensed" w:hAnsi="Barlow Semi Condensed"/>
          <w:sz w:val="24"/>
          <w:szCs w:val="24"/>
        </w:rPr>
        <w:t xml:space="preserve"> Swakopmund nacque nel 1892 come scalo marittimo della colonia tedesca e conservò per un secolo lingua, architettura e istituzioni tedesche, anche sotto amministrazione sudafricana. Il fatto è pubblico e verificabile nei registri municipali e nella stampa locale in lingua tedesca, la Allgemeine Zeitung di Windhoek. Serve alle serie successive come contesto, e soltanto come contesto: una città non trasmette opinioni a chi vi abita.</w:t>
      </w:r>
    </w:p>
    <w:p>
      <w:pPr>
        <w:spacing w:after="120" w:line="276"/>
        <w:jc w:val="both"/>
      </w:pPr>
      <w:r>
        <w:rPr>
          <w:rFonts w:ascii="Barlow Semi Condensed" w:cs="Barlow Semi Condensed" w:eastAsia="Barlow Semi Condensed" w:hAnsi="Barlow Semi Condensed"/>
          <w:b/>
          <w:bCs/>
          <w:sz w:val="24"/>
          <w:szCs w:val="24"/>
        </w:rPr>
        <w:t xml:space="preserve">177 · La miniera di Rössing.</w:t>
      </w:r>
      <w:r>
        <w:rPr>
          <w:rFonts w:ascii="Barlow Semi Condensed" w:cs="Barlow Semi Condensed" w:eastAsia="Barlow Semi Condensed" w:hAnsi="Barlow Semi Condensed"/>
          <w:sz w:val="24"/>
          <w:szCs w:val="24"/>
        </w:rPr>
        <w:t xml:space="preserve"> La Rössing Uranium Limited, controllata dal gruppo Rio Tinto Zinc, costruì fra il 1974 e il 1976 nel deserto del Namib una miniera di uranio a cielo aperto fra le maggiori del mondo, entrata in produzione nel 1976. Il dato è pubblico e documentato nei bilanci del gruppo. Ogni ulteriore affermazione sulla destinazione del minerale richiede un contratto nominato, non una deduzione geografica.</w:t>
      </w:r>
    </w:p>
    <w:p>
      <w:pPr>
        <w:spacing w:after="120" w:line="276"/>
        <w:jc w:val="both"/>
      </w:pPr>
      <w:r>
        <w:rPr>
          <w:rFonts w:ascii="Barlow Semi Condensed" w:cs="Barlow Semi Condensed" w:eastAsia="Barlow Semi Condensed" w:hAnsi="Barlow Semi Condensed"/>
          <w:b/>
          <w:bCs/>
          <w:sz w:val="24"/>
          <w:szCs w:val="24"/>
        </w:rPr>
        <w:t xml:space="preserve">178 · Il contratto britannico.</w:t>
      </w:r>
      <w:r>
        <w:rPr>
          <w:rFonts w:ascii="Barlow Semi Condensed" w:cs="Barlow Semi Condensed" w:eastAsia="Barlow Semi Condensed" w:hAnsi="Barlow Semi Condensed"/>
          <w:sz w:val="24"/>
          <w:szCs w:val="24"/>
        </w:rPr>
        <w:t xml:space="preserve"> Alla fine degli anni Sessanta la United Kingdom Atomic Energy Authority stipulò con Rössing una fornitura pluriennale di ossido di uranio, divenuta negli anni Settanta oggetto di controversia parlamentare a Westminster per la compatibilità con le pronunce delle Nazioni Unite. Gli atti relativi stanno nei fondi dell'Autorità e nei dibattiti dell'Hansard, ai National Archives di Kew, sede già battuta dal cantiere britannico del corpus.</w:t>
      </w:r>
    </w:p>
    <w:p>
      <w:pPr>
        <w:spacing w:after="120" w:line="276"/>
        <w:jc w:val="both"/>
      </w:pPr>
      <w:r>
        <w:rPr>
          <w:rFonts w:ascii="Barlow Semi Condensed" w:cs="Barlow Semi Condensed" w:eastAsia="Barlow Semi Condensed" w:hAnsi="Barlow Semi Condensed"/>
          <w:b/>
          <w:bCs/>
          <w:sz w:val="24"/>
          <w:szCs w:val="24"/>
        </w:rPr>
        <w:t xml:space="preserve">179 · I depositi societari di Rössing.</w:t>
      </w:r>
      <w:r>
        <w:rPr>
          <w:rFonts w:ascii="Barlow Semi Condensed" w:cs="Barlow Semi Condensed" w:eastAsia="Barlow Semi Condensed" w:hAnsi="Barlow Semi Condensed"/>
          <w:sz w:val="24"/>
          <w:szCs w:val="24"/>
        </w:rPr>
        <w:t xml:space="preserve"> L'esistenza societaria si accerta sui registri: la Business and Intellectual Property Authority namibiana per Rössing Uranium Limited, Companies House per le società britanniche del gruppo, i bilanci annuali per la catena di controllo. È il metodo che l'opera applica anche altrove, dai depositi presso la SEC statunitense ai registri della CIPC sudafricana. Chi discute di una miniera senza il suo estratto camerale discute di un'immagine.</w:t>
      </w:r>
    </w:p>
    <w:p>
      <w:pPr>
        <w:spacing w:after="120" w:line="276"/>
        <w:jc w:val="both"/>
      </w:pPr>
      <w:r>
        <w:rPr>
          <w:rFonts w:ascii="Barlow Semi Condensed" w:cs="Barlow Semi Condensed" w:eastAsia="Barlow Semi Condensed" w:hAnsi="Barlow Semi Condensed"/>
          <w:b/>
          <w:bCs/>
          <w:sz w:val="24"/>
          <w:szCs w:val="24"/>
        </w:rPr>
        <w:t xml:space="preserve">180 · Il datore di lavoro da nominare.</w:t>
      </w:r>
      <w:r>
        <w:rPr>
          <w:rFonts w:ascii="Barlow Semi Condensed" w:cs="Barlow Semi Condensed" w:eastAsia="Barlow Semi Condensed" w:hAnsi="Barlow Semi Condensed"/>
          <w:sz w:val="24"/>
          <w:szCs w:val="24"/>
        </w:rPr>
        <w:t xml:space="preserve"> Delle imprese impegnate nel cantiere di Rössing fra il 1975 e il 1977 i nomi sono noti solo in parte, e nessuna va attribuita per congettura a un singolo lavoratore. La lacuna si verbalizza come Stato Zero: manca l'elenco degli appaltatori con le rispettive commesse. La chiuderebbero gli archivi aziendali di Rössing e i registri d'appalto ai National Archives of Namibia.</w:t>
      </w:r>
    </w:p>
    <w:p>
      <w:pPr>
        <w:spacing w:after="120" w:line="276"/>
        <w:jc w:val="both"/>
      </w:pPr>
      <w:r>
        <w:rPr>
          <w:rFonts w:ascii="Barlow Semi Condensed" w:cs="Barlow Semi Condensed" w:eastAsia="Barlow Semi Condensed" w:hAnsi="Barlow Semi Condensed"/>
          <w:b/>
          <w:bCs/>
          <w:sz w:val="24"/>
          <w:szCs w:val="24"/>
        </w:rPr>
        <w:t xml:space="preserve">181 · Il registro comunale di Swakopmund.</w:t>
      </w:r>
      <w:r>
        <w:rPr>
          <w:rFonts w:ascii="Barlow Semi Condensed" w:cs="Barlow Semi Condensed" w:eastAsia="Barlow Semi Condensed" w:hAnsi="Barlow Semi Condensed"/>
          <w:sz w:val="24"/>
          <w:szCs w:val="24"/>
        </w:rPr>
        <w:t xml:space="preserve"> Le residenze si provano con i registri e non con le interviste: il municipio di Swakopmund e l'amministrazione distrettuale conservavano ruoli di residenza, utenze e liste elettorali per la popolazione bianca. Quesito circoscritto ed eseguibile: la verifica documentale delle presenze anagrafiche negli anni centrali del decennio, con verbale anche in caso di esito nullo. Sede: archivio comunale e fondo SWAA a Windhoek.</w:t>
      </w:r>
    </w:p>
    <w:p>
      <w:pPr>
        <w:spacing w:after="120" w:line="276"/>
        <w:jc w:val="both"/>
      </w:pPr>
      <w:r>
        <w:rPr>
          <w:rFonts w:ascii="Barlow Semi Condensed" w:cs="Barlow Semi Condensed" w:eastAsia="Barlow Semi Condensed" w:hAnsi="Barlow Semi Condensed"/>
          <w:b/>
          <w:bCs/>
          <w:sz w:val="24"/>
          <w:szCs w:val="24"/>
        </w:rPr>
        <w:t xml:space="preserve">182 · Arandis, la township della miniera.</w:t>
      </w:r>
      <w:r>
        <w:rPr>
          <w:rFonts w:ascii="Barlow Semi Condensed" w:cs="Barlow Semi Condensed" w:eastAsia="Barlow Semi Condensed" w:hAnsi="Barlow Semi Condensed"/>
          <w:sz w:val="24"/>
          <w:szCs w:val="24"/>
        </w:rPr>
        <w:t xml:space="preserve"> La forza lavoro nera di Rössing fu alloggiata ad Arandis, insediamento costruito a distanza dalla miniera e separato dalle aree residenziali bianche di Swakopmund e di Walvis Bay. La geografia dell'insediamento è essa stessa un documento sull'ordinamento del lavoro. Planimetrie e concessioni fondiarie sono reperibili nei fondi dell'amministrazione territoriale conservati ai National Archives of Namibia, e non risultano mai citati dalla pubblicistica corrente.</w:t>
      </w:r>
    </w:p>
    <w:p>
      <w:pPr>
        <w:spacing w:after="120" w:line="276"/>
        <w:jc w:val="both"/>
      </w:pPr>
      <w:r>
        <w:rPr>
          <w:rFonts w:ascii="Barlow Semi Condensed" w:cs="Barlow Semi Condensed" w:eastAsia="Barlow Semi Condensed" w:hAnsi="Barlow Semi Condensed"/>
          <w:b/>
          <w:bCs/>
          <w:sz w:val="24"/>
          <w:szCs w:val="24"/>
        </w:rPr>
        <w:t xml:space="preserve">183 · Il lavoro a contratto.</w:t>
      </w:r>
      <w:r>
        <w:rPr>
          <w:rFonts w:ascii="Barlow Semi Condensed" w:cs="Barlow Semi Condensed" w:eastAsia="Barlow Semi Condensed" w:hAnsi="Barlow Semi Condensed"/>
          <w:sz w:val="24"/>
          <w:szCs w:val="24"/>
        </w:rPr>
        <w:t xml:space="preserve"> Fino al 1972 il reclutamento della manodopera africana in Africa del Sud-Ovest passò per la South West Africa Native Labour Association, che assegnava i lavoratori ai datori con contratti a termine e senza scelta della destinazione. È la cornice di ogni impiego minerario del territorio e va nominata per capire di che cosa si parli dicendo occupazione. Documentazione nel fondo SWAA, a Windhoek.</w:t>
      </w:r>
    </w:p>
    <w:p>
      <w:pPr>
        <w:spacing w:after="120" w:line="276"/>
        <w:jc w:val="both"/>
      </w:pPr>
      <w:r>
        <w:rPr>
          <w:rFonts w:ascii="Barlow Semi Condensed" w:cs="Barlow Semi Condensed" w:eastAsia="Barlow Semi Condensed" w:hAnsi="Barlow Semi Condensed"/>
          <w:b/>
          <w:bCs/>
          <w:sz w:val="24"/>
          <w:szCs w:val="24"/>
        </w:rPr>
        <w:t xml:space="preserve">184 · Lo sciopero del 1971.</w:t>
      </w:r>
      <w:r>
        <w:rPr>
          <w:rFonts w:ascii="Barlow Semi Condensed" w:cs="Barlow Semi Condensed" w:eastAsia="Barlow Semi Condensed" w:hAnsi="Barlow Semi Condensed"/>
          <w:sz w:val="24"/>
          <w:szCs w:val="24"/>
        </w:rPr>
        <w:t xml:space="preserve"> Fra il dicembre 1971 e il gennaio 1972 decine di migliaia di lavoratori a contratto scioperarono contro il sistema di reclutamento, ottenendone la riforma formale. È il maggiore evento sociale del territorio nel decennio che precede la costruzione di Rössing e nessuna cronologia del cantiere può ometterlo. Gli atti di polizia e le relazioni amministrative stanno nel fondo SWAA ai National Archives of Namibia.</w:t>
      </w:r>
    </w:p>
    <w:p>
      <w:pPr>
        <w:spacing w:after="120" w:line="276"/>
        <w:jc w:val="both"/>
      </w:pPr>
      <w:r>
        <w:rPr>
          <w:rFonts w:ascii="Barlow Semi Condensed" w:cs="Barlow Semi Condensed" w:eastAsia="Barlow Semi Condensed" w:hAnsi="Barlow Semi Condensed"/>
          <w:b/>
          <w:bCs/>
          <w:sz w:val="24"/>
          <w:szCs w:val="24"/>
        </w:rPr>
        <w:t xml:space="preserve">185 · La tesi nucleare è di piano tre.</w:t>
      </w:r>
      <w:r>
        <w:rPr>
          <w:rFonts w:ascii="Barlow Semi Condensed" w:cs="Barlow Semi Condensed" w:eastAsia="Barlow Semi Condensed" w:hAnsi="Barlow Semi Condensed"/>
          <w:sz w:val="24"/>
          <w:szCs w:val="24"/>
        </w:rPr>
        <w:t xml:space="preserve"> Che l'uranio di Rössing alimentasse il programma nucleare militare sudafricano è affermazione circolante su fonti militanti prive di documento di provenienza: è piano tre secondo la regola dei tre piani, e quest'opera non la adotta né la ripete come acquisita. Resta un bersaglio legittimo di verifica, purché eseguito nelle sedi giuste e con l'esito pubblicato qualunque sia, compreso l'esito negativo.</w:t>
      </w:r>
    </w:p>
    <w:p>
      <w:pPr>
        <w:spacing w:after="120" w:line="276"/>
        <w:jc w:val="both"/>
      </w:pPr>
      <w:r>
        <w:rPr>
          <w:rFonts w:ascii="Barlow Semi Condensed" w:cs="Barlow Semi Condensed" w:eastAsia="Barlow Semi Condensed" w:hAnsi="Barlow Semi Condensed"/>
          <w:b/>
          <w:bCs/>
          <w:sz w:val="24"/>
          <w:szCs w:val="24"/>
        </w:rPr>
        <w:t xml:space="preserve">186 · Che cosa chiuderebbe la tesi nucleare.</w:t>
      </w:r>
      <w:r>
        <w:rPr>
          <w:rFonts w:ascii="Barlow Semi Condensed" w:cs="Barlow Semi Condensed" w:eastAsia="Barlow Semi Condensed" w:hAnsi="Barlow Semi Condensed"/>
          <w:sz w:val="24"/>
          <w:szCs w:val="24"/>
        </w:rPr>
        <w:t xml:space="preserve"> Il quesito si chiuderebbe in un senso o nell'altro con documenti di provenienza: i contratti di fornitura di Rössing con gli acquirenti nominati, i registri dell'Atomic Energy Board sudafricano presso i National Archives of South Africa, le carte di salvaguardia dell'Agenzia internazionale per l'energia atomica a Vienna e i materiali statunitensi declassificati. Finché quei fascicoli non sono letti, l'affermazione resta priva di grado.</w:t>
      </w:r>
    </w:p>
    <w:p>
      <w:pPr>
        <w:spacing w:after="120" w:line="276"/>
        <w:jc w:val="both"/>
      </w:pPr>
      <w:r>
        <w:rPr>
          <w:rFonts w:ascii="Barlow Semi Condensed" w:cs="Barlow Semi Condensed" w:eastAsia="Barlow Semi Condensed" w:hAnsi="Barlow Semi Condensed"/>
          <w:b/>
          <w:bCs/>
          <w:sz w:val="24"/>
          <w:szCs w:val="24"/>
        </w:rPr>
        <w:t xml:space="preserve">187 · Valindaba non è Rössing.</w:t>
      </w:r>
      <w:r>
        <w:rPr>
          <w:rFonts w:ascii="Barlow Semi Condensed" w:cs="Barlow Semi Condensed" w:eastAsia="Barlow Semi Condensed" w:hAnsi="Barlow Semi Condensed"/>
          <w:sz w:val="24"/>
          <w:szCs w:val="24"/>
        </w:rPr>
        <w:t xml:space="preserve"> Il programma di arricchimento sudafricano ebbe sede a Valindaba, presso Pelindaba a ovest di Pretoria, e si alimentò di uranio sudafricano estratto come sottoprodotto dell'oro nel Witwatersrand. La distinzione tecnica e geografica è dirimente e va ripetuta ogni volta: confondere una miniera namibiana con un impianto sudafricano è l'errore che rende inutilizzabile gran parte della letteratura reperibile in rete.</w:t>
      </w:r>
    </w:p>
    <w:p>
      <w:pPr>
        <w:spacing w:after="120" w:line="276"/>
        <w:jc w:val="both"/>
      </w:pPr>
      <w:r>
        <w:rPr>
          <w:rFonts w:ascii="Barlow Semi Condensed" w:cs="Barlow Semi Condensed" w:eastAsia="Barlow Semi Condensed" w:hAnsi="Barlow Semi Condensed"/>
          <w:b/>
          <w:bCs/>
          <w:sz w:val="24"/>
          <w:szCs w:val="24"/>
        </w:rPr>
        <w:t xml:space="preserve">188 · Il sito del Kalahari.</w:t>
      </w:r>
      <w:r>
        <w:rPr>
          <w:rFonts w:ascii="Barlow Semi Condensed" w:cs="Barlow Semi Condensed" w:eastAsia="Barlow Semi Condensed" w:hAnsi="Barlow Semi Condensed"/>
          <w:sz w:val="24"/>
          <w:szCs w:val="24"/>
        </w:rPr>
        <w:t xml:space="preserve"> Nell'agosto 1977 ricognizioni satellitari sovietiche e statunitensi individuarono nel deserto del Kalahari, presso Vastrap, un allestimento interpretato come sito per un esperimento nucleare, e le pressioni diplomatiche ne fecero cessare i lavori. È un fatto pubblico, datato e documentato nelle carte diplomatiche statunitensi declassificate. Non dice nulla sulla provenienza del materiale fissile, e non va adoperato per dedurla.</w:t>
      </w:r>
    </w:p>
    <w:p>
      <w:pPr>
        <w:spacing w:after="120" w:line="276"/>
        <w:jc w:val="both"/>
      </w:pPr>
      <w:r>
        <w:rPr>
          <w:rFonts w:ascii="Barlow Semi Condensed" w:cs="Barlow Semi Condensed" w:eastAsia="Barlow Semi Condensed" w:hAnsi="Barlow Semi Condensed"/>
          <w:b/>
          <w:bCs/>
          <w:sz w:val="24"/>
          <w:szCs w:val="24"/>
        </w:rPr>
        <w:t xml:space="preserve">189 · L'evento Vela del 1979.</w:t>
      </w:r>
      <w:r>
        <w:rPr>
          <w:rFonts w:ascii="Barlow Semi Condensed" w:cs="Barlow Semi Condensed" w:eastAsia="Barlow Semi Condensed" w:hAnsi="Barlow Semi Condensed"/>
          <w:sz w:val="24"/>
          <w:szCs w:val="24"/>
        </w:rPr>
        <w:t xml:space="preserve"> Il 22 settembre 1979 un satellite statunitense della serie Vela registrò nell'Atlantico meridionale un doppio lampo compatibile con un'esplosione nucleare; la commissione scientifica incaricata non giunse a conclusione univoca e la controversia dura da decenni. Va riportata come divergenza irrisolta, non sciolta in una direzione. Gli atti stanno al National Security Archive di Washington e nei fondi declassificati del Dipartimento di Stato.</w:t>
      </w:r>
    </w:p>
    <w:p>
      <w:pPr>
        <w:spacing w:after="120" w:line="276"/>
        <w:jc w:val="both"/>
      </w:pPr>
      <w:r>
        <w:rPr>
          <w:rFonts w:ascii="Barlow Semi Condensed" w:cs="Barlow Semi Condensed" w:eastAsia="Barlow Semi Condensed" w:hAnsi="Barlow Semi Condensed"/>
          <w:b/>
          <w:bCs/>
          <w:sz w:val="24"/>
          <w:szCs w:val="24"/>
        </w:rPr>
        <w:t xml:space="preserve">190 · Vivere in un luogo non è aderire.</w:t>
      </w:r>
      <w:r>
        <w:rPr>
          <w:rFonts w:ascii="Barlow Semi Condensed" w:cs="Barlow Semi Condensed" w:eastAsia="Barlow Semi Condensed" w:hAnsi="Barlow Semi Condensed"/>
          <w:sz w:val="24"/>
          <w:szCs w:val="24"/>
        </w:rPr>
        <w:t xml:space="preserve"> Un bambino che abita in una città mineraria non partecipa a una politica mineraria, e un ingegnere assunto da un'impresa non ne condivide per ciò stesso le committenze. La regola è la medesima che il corpus applica ai propri nodi italiani: la contemporaneità non è prova di nesso e la coabitazione non è concorso. Chi salta questo passaggio non fa storia, fa attribuzione.</w:t>
      </w:r>
    </w:p>
    <w:p>
      <w:pPr>
        <w:spacing w:after="120" w:line="276"/>
        <w:jc w:val="both"/>
      </w:pPr>
      <w:r>
        <w:rPr>
          <w:rFonts w:ascii="Barlow Semi Condensed" w:cs="Barlow Semi Condensed" w:eastAsia="Barlow Semi Condensed" w:hAnsi="Barlow Semi Condensed"/>
          <w:b/>
          <w:bCs/>
          <w:sz w:val="24"/>
          <w:szCs w:val="24"/>
        </w:rPr>
        <w:t xml:space="preserve">191 · Il bersaglio di smentita namibiano.</w:t>
      </w:r>
      <w:r>
        <w:rPr>
          <w:rFonts w:ascii="Barlow Semi Condensed" w:cs="Barlow Semi Condensed" w:eastAsia="Barlow Semi Condensed" w:hAnsi="Barlow Semi Condensed"/>
          <w:sz w:val="24"/>
          <w:szCs w:val="24"/>
        </w:rPr>
        <w:t xml:space="preserve"> La tesi di continuità che quest'opera mette alla prova cadrebbe, per il segmento namibiano, se emergessero documenti che collocano quegli anni di residenza fuori dal cantiere di Rössing, o che attestano un impiego presso committenti estranei al settore estrattivo. Tali documenti si cercano negli stessi luoghi che li confermerebbero, e il ricercatore deve dichiarare in anticipo che cosa accetterebbe come smentita.</w:t>
      </w:r>
    </w:p>
    <w:p>
      <w:pPr>
        <w:spacing w:after="120" w:line="276"/>
        <w:jc w:val="both"/>
      </w:pPr>
      <w:r>
        <w:rPr>
          <w:rFonts w:ascii="Barlow Semi Condensed" w:cs="Barlow Semi Condensed" w:eastAsia="Barlow Semi Condensed" w:hAnsi="Barlow Semi Condensed"/>
          <w:b/>
          <w:bCs/>
          <w:sz w:val="24"/>
          <w:szCs w:val="24"/>
        </w:rPr>
        <w:t xml:space="preserve">192 · La scuola preparatoria di Johannesburg.</w:t>
      </w:r>
      <w:r>
        <w:rPr>
          <w:rFonts w:ascii="Barlow Semi Condensed" w:cs="Barlow Semi Condensed" w:eastAsia="Barlow Semi Condensed" w:hAnsi="Barlow Semi Condensed"/>
          <w:sz w:val="24"/>
          <w:szCs w:val="24"/>
        </w:rPr>
        <w:t xml:space="preserve"> È fatto pubblico, riferito dall'interessato e ripreso dalla biografia di Max Chafkin, la frequenza a Johannesburg di una scuola preparatoria riservata ai bianchi nella seconda metà degli anni Settanta. Il fatto è di per sé neutro, perché nel Sud Africa di allora ogni scuola era razzialmente riservata per legge. Il bersaglio documentale è l'identificazione dell'istituto e la consultazione dei suoi registri d'iscrizione.</w:t>
      </w:r>
    </w:p>
    <w:p>
      <w:pPr>
        <w:spacing w:after="120" w:line="276"/>
        <w:jc w:val="both"/>
      </w:pPr>
      <w:r>
        <w:rPr>
          <w:rFonts w:ascii="Barlow Semi Condensed" w:cs="Barlow Semi Condensed" w:eastAsia="Barlow Semi Condensed" w:hAnsi="Barlow Semi Condensed"/>
          <w:b/>
          <w:bCs/>
          <w:sz w:val="24"/>
          <w:szCs w:val="24"/>
        </w:rPr>
        <w:t xml:space="preserve">193 · I registri scolastici come documento.</w:t>
      </w:r>
      <w:r>
        <w:rPr>
          <w:rFonts w:ascii="Barlow Semi Condensed" w:cs="Barlow Semi Condensed" w:eastAsia="Barlow Semi Condensed" w:hAnsi="Barlow Semi Condensed"/>
          <w:sz w:val="24"/>
          <w:szCs w:val="24"/>
        </w:rPr>
        <w:t xml:space="preserve"> Un registro d'iscrizione attesta date, indirizzo di residenza dichiarato e nome di chi esercita la potestà: è documento anagrafico prima che scolastico. Le scuole private sudafricane conservano archivi propri; quelle pubbliche hanno versato negli archivi provinciali del Transvaal, confluiti nei National Archives of South Africa. La consultazione di dati personali è soggetta a limiti che vanno rispettati e dichiarati per iscritto.</w:t>
      </w:r>
    </w:p>
    <w:p>
      <w:pPr>
        <w:spacing w:after="120" w:line="276"/>
        <w:jc w:val="both"/>
      </w:pPr>
      <w:r>
        <w:rPr>
          <w:rFonts w:ascii="Barlow Semi Condensed" w:cs="Barlow Semi Condensed" w:eastAsia="Barlow Semi Condensed" w:hAnsi="Barlow Semi Condensed"/>
          <w:b/>
          <w:bCs/>
          <w:sz w:val="24"/>
          <w:szCs w:val="24"/>
        </w:rPr>
        <w:t xml:space="preserve">194 · La spesa per allievo.</w:t>
      </w:r>
      <w:r>
        <w:rPr>
          <w:rFonts w:ascii="Barlow Semi Condensed" w:cs="Barlow Semi Condensed" w:eastAsia="Barlow Semi Condensed" w:hAnsi="Barlow Semi Condensed"/>
          <w:sz w:val="24"/>
          <w:szCs w:val="24"/>
        </w:rPr>
        <w:t xml:space="preserve"> La disparità del sistema scolastico non si argomenta, si misura: la spesa pubblica annua per allievo bianco e per allievo africano è pubblicata anno per anno nelle rilevazioni ufficiali e nelle rassegne del South African Institute of Race Relations. Un rapporto numerico datato vale più di dieci aggettivi e consente di collocare con precisione qualunque anno scolastico richiamato dalle serie successive.</w:t>
      </w:r>
    </w:p>
    <w:p>
      <w:pPr>
        <w:spacing w:after="120" w:line="276"/>
        <w:jc w:val="both"/>
      </w:pPr>
      <w:r>
        <w:rPr>
          <w:rFonts w:ascii="Barlow Semi Condensed" w:cs="Barlow Semi Condensed" w:eastAsia="Barlow Semi Condensed" w:hAnsi="Barlow Semi Condensed"/>
          <w:b/>
          <w:bCs/>
          <w:sz w:val="24"/>
          <w:szCs w:val="24"/>
        </w:rPr>
        <w:t xml:space="preserve">195 · Historical Papers a Wits.</w:t>
      </w:r>
      <w:r>
        <w:rPr>
          <w:rFonts w:ascii="Barlow Semi Condensed" w:cs="Barlow Semi Condensed" w:eastAsia="Barlow Semi Condensed" w:hAnsi="Barlow Semi Condensed"/>
          <w:sz w:val="24"/>
          <w:szCs w:val="24"/>
        </w:rPr>
        <w:t xml:space="preserve"> L'Historical Papers Research Archive della University of the Witwatersrand, a Johannesburg, conserva le carte del South African Institute of Race Relations, quelle di numerose organizzazioni antiapartheid e i fascicoli di processi politici. È il maggiore archivio non statale sulla materia ed è in parte digitalizzato. Bersaglio: le annate del Survey of Race Relations corrispondenti agli anni scolastici richiamati da quest'opera.</w:t>
      </w:r>
    </w:p>
    <w:p>
      <w:pPr>
        <w:spacing w:after="120" w:line="276"/>
        <w:jc w:val="both"/>
      </w:pPr>
      <w:r>
        <w:rPr>
          <w:rFonts w:ascii="Barlow Semi Condensed" w:cs="Barlow Semi Condensed" w:eastAsia="Barlow Semi Condensed" w:hAnsi="Barlow Semi Condensed"/>
          <w:b/>
          <w:bCs/>
          <w:sz w:val="24"/>
          <w:szCs w:val="24"/>
        </w:rPr>
        <w:t xml:space="preserve">196 · Il decreto sull'afrikaans del 1974.</w:t>
      </w:r>
      <w:r>
        <w:rPr>
          <w:rFonts w:ascii="Barlow Semi Condensed" w:cs="Barlow Semi Condensed" w:eastAsia="Barlow Semi Condensed" w:hAnsi="Barlow Semi Condensed"/>
          <w:sz w:val="24"/>
          <w:szCs w:val="24"/>
        </w:rPr>
        <w:t xml:space="preserve"> Nel 1974 il Department of Bantu Education impose che metà delle materie nelle scuole africane fosse insegnata in afrikaans. La misura fu amministrativa e non legislativa, ed è documentata dalle circolari del dipartimento: chi ne cerchi il testo non lo troverà in una legge. È una lezione sul rapporto fra norma e amministrazione, e sul fatto che l'atto decisivo talvolta non è quello pubblicato.</w:t>
      </w:r>
    </w:p>
    <w:p>
      <w:pPr>
        <w:spacing w:after="120" w:line="276"/>
        <w:jc w:val="both"/>
      </w:pPr>
      <w:r>
        <w:rPr>
          <w:rFonts w:ascii="Barlow Semi Condensed" w:cs="Barlow Semi Condensed" w:eastAsia="Barlow Semi Condensed" w:hAnsi="Barlow Semi Condensed"/>
          <w:b/>
          <w:bCs/>
          <w:sz w:val="24"/>
          <w:szCs w:val="24"/>
        </w:rPr>
        <w:t xml:space="preserve">197 · Il sedici giugno 1976.</w:t>
      </w:r>
      <w:r>
        <w:rPr>
          <w:rFonts w:ascii="Barlow Semi Condensed" w:cs="Barlow Semi Condensed" w:eastAsia="Barlow Semi Condensed" w:hAnsi="Barlow Semi Condensed"/>
          <w:sz w:val="24"/>
          <w:szCs w:val="24"/>
        </w:rPr>
        <w:t xml:space="preserve"> La manifestazione studentesca di Soweto del 16 giugno 1976 e la repressione che ne seguì aprirono la fase più violenta del decennio e mutarono la percezione internazionale del Paese. La data serve alle altre serie come marcatore cronologico: un anno scolastico johannesburghese si colloca prima o dopo di essa, e la differenza è sostanziale. Fotografie e dispacci d'epoca sono citabili con data certa.</w:t>
      </w:r>
    </w:p>
    <w:p>
      <w:pPr>
        <w:spacing w:after="120" w:line="276"/>
        <w:jc w:val="both"/>
      </w:pPr>
      <w:r>
        <w:rPr>
          <w:rFonts w:ascii="Barlow Semi Condensed" w:cs="Barlow Semi Condensed" w:eastAsia="Barlow Semi Condensed" w:hAnsi="Barlow Semi Condensed"/>
          <w:b/>
          <w:bCs/>
          <w:sz w:val="24"/>
          <w:szCs w:val="24"/>
        </w:rPr>
        <w:t xml:space="preserve">198 · La commissione Cillié.</w:t>
      </w:r>
      <w:r>
        <w:rPr>
          <w:rFonts w:ascii="Barlow Semi Condensed" w:cs="Barlow Semi Condensed" w:eastAsia="Barlow Semi Condensed" w:hAnsi="Barlow Semi Condensed"/>
          <w:sz w:val="24"/>
          <w:szCs w:val="24"/>
        </w:rPr>
        <w:t xml:space="preserve"> La commissione d'inchiesta presieduta dal giudice Petrus Cillié indagò sui disordini iniziati nel giugno 1976 e depositò il proprio rapporto nel 1980, con la ricostruzione ufficiale degli eventi e il computo delle vittime. È fonte di parte, essendo statale, e come tale va pesata: si legge per ciò che lo Stato ammise. Rapporto e atti istruttori sono ai National Archives of South Africa.</w:t>
      </w:r>
    </w:p>
    <w:p>
      <w:pPr>
        <w:spacing w:after="120" w:line="276"/>
        <w:jc w:val="both"/>
      </w:pPr>
      <w:r>
        <w:rPr>
          <w:rFonts w:ascii="Barlow Semi Condensed" w:cs="Barlow Semi Condensed" w:eastAsia="Barlow Semi Condensed" w:hAnsi="Barlow Semi Condensed"/>
          <w:b/>
          <w:bCs/>
          <w:sz w:val="24"/>
          <w:szCs w:val="24"/>
        </w:rPr>
        <w:t xml:space="preserve">199 · La legge del 1979.</w:t>
      </w:r>
      <w:r>
        <w:rPr>
          <w:rFonts w:ascii="Barlow Semi Condensed" w:cs="Barlow Semi Condensed" w:eastAsia="Barlow Semi Condensed" w:hAnsi="Barlow Semi Condensed"/>
          <w:sz w:val="24"/>
          <w:szCs w:val="24"/>
        </w:rPr>
        <w:t xml:space="preserve"> L'Education and Training Act del 1979 sostituì formalmente il Bantu Education Act, cambiando nome al sistema senza smontarne l'impianto separato. È il tipo di riforma nominale che la ricerca deve saper riconoscere: un atto abrogativo non prova un mutamento sostanziale, e il confronto va condotto sui programmi e sui bilanci, non sui titoli. Il testo sta nel Government Gazette del 1979.</w:t>
      </w:r>
    </w:p>
    <w:p>
      <w:pPr>
        <w:spacing w:after="120" w:line="276"/>
        <w:jc w:val="both"/>
      </w:pPr>
      <w:r>
        <w:rPr>
          <w:rFonts w:ascii="Barlow Semi Condensed" w:cs="Barlow Semi Condensed" w:eastAsia="Barlow Semi Condensed" w:hAnsi="Barlow Semi Condensed"/>
          <w:b/>
          <w:bCs/>
          <w:sz w:val="24"/>
          <w:szCs w:val="24"/>
        </w:rPr>
        <w:t xml:space="preserve">200 · La scuola dei genitori.</w:t>
      </w:r>
      <w:r>
        <w:rPr>
          <w:rFonts w:ascii="Barlow Semi Condensed" w:cs="Barlow Semi Condensed" w:eastAsia="Barlow Semi Condensed" w:hAnsi="Barlow Semi Condensed"/>
          <w:sz w:val="24"/>
          <w:szCs w:val="24"/>
        </w:rPr>
        <w:t xml:space="preserve"> L'iscrizione a una scuola è atto dei genitori e non del minore, e in un sistema dove ogni istituto era per legge razzialmente riservato quell'iscrizione non esprime neppure una preferenza. Regola vincolante per l'intera opera: nessun blocco può usare la scuola frequentata da un minore come indizio di adesione a una politica. Il dato si registra come cornice, mai come segno di condotta.</w:t>
      </w:r>
    </w:p>
    <w:p>
      <w:pPr>
        <w:spacing w:after="120" w:line="276"/>
        <w:jc w:val="both"/>
      </w:pPr>
      <w:r>
        <w:rPr>
          <w:rFonts w:ascii="Barlow Semi Condensed" w:cs="Barlow Semi Condensed" w:eastAsia="Barlow Semi Condensed" w:hAnsi="Barlow Semi Condensed"/>
          <w:b/>
          <w:bCs/>
          <w:sz w:val="24"/>
          <w:szCs w:val="24"/>
        </w:rPr>
        <w:t xml:space="preserve">201 · Il Defence Act del 1957.</w:t>
      </w:r>
      <w:r>
        <w:rPr>
          <w:rFonts w:ascii="Barlow Semi Condensed" w:cs="Barlow Semi Condensed" w:eastAsia="Barlow Semi Condensed" w:hAnsi="Barlow Semi Condensed"/>
          <w:sz w:val="24"/>
          <w:szCs w:val="24"/>
        </w:rPr>
        <w:t xml:space="preserve"> Il Defence Act No. 44 del 1957 è la base legale del servizio militare sudafricano e fu emendato ripetutamente per estendere gli obblighi. Testo consolidato e modifiche stanno nel Government Gazette. Prima di qualunque affermazione riguardante un singolo va accertato quale versione dell'atto fosse vigente nell'anno considerato: la disciplina cambiò più volte fra il 1967 e il 1983, e le differenze sono rilevanti.</w:t>
      </w:r>
    </w:p>
    <w:p>
      <w:pPr>
        <w:spacing w:after="120" w:line="276"/>
        <w:jc w:val="both"/>
      </w:pPr>
      <w:r>
        <w:rPr>
          <w:rFonts w:ascii="Barlow Semi Condensed" w:cs="Barlow Semi Condensed" w:eastAsia="Barlow Semi Condensed" w:hAnsi="Barlow Semi Condensed"/>
          <w:b/>
          <w:bCs/>
          <w:sz w:val="24"/>
          <w:szCs w:val="24"/>
        </w:rPr>
        <w:t xml:space="preserve">202 · La coscrizione dei bianchi.</w:t>
      </w:r>
      <w:r>
        <w:rPr>
          <w:rFonts w:ascii="Barlow Semi Condensed" w:cs="Barlow Semi Condensed" w:eastAsia="Barlow Semi Condensed" w:hAnsi="Barlow Semi Condensed"/>
          <w:sz w:val="24"/>
          <w:szCs w:val="24"/>
        </w:rPr>
        <w:t xml:space="preserve"> Dal 1967 il servizio militare fu obbligatorio per i soli maschi bianchi sudafricani, dapprima per sorteggio e dal 1972 in forma generalizzata, con richiami periodici successivi al servizio iniziale. La selettività razziale dell'obbligo è essa stessa un tratto dell'ordinamento e va nominata. Circolari di chiamata e ruoli sono conservati al Department of Defence Documentation Centre, a Pretoria.</w:t>
      </w:r>
    </w:p>
    <w:p>
      <w:pPr>
        <w:spacing w:after="120" w:line="276"/>
        <w:jc w:val="both"/>
      </w:pPr>
      <w:r>
        <w:rPr>
          <w:rFonts w:ascii="Barlow Semi Condensed" w:cs="Barlow Semi Condensed" w:eastAsia="Barlow Semi Condensed" w:hAnsi="Barlow Semi Condensed"/>
          <w:b/>
          <w:bCs/>
          <w:sz w:val="24"/>
          <w:szCs w:val="24"/>
        </w:rPr>
        <w:t xml:space="preserve">203 · I due anni dal 1977.</w:t>
      </w:r>
      <w:r>
        <w:rPr>
          <w:rFonts w:ascii="Barlow Semi Condensed" w:cs="Barlow Semi Condensed" w:eastAsia="Barlow Semi Condensed" w:hAnsi="Barlow Semi Condensed"/>
          <w:sz w:val="24"/>
          <w:szCs w:val="24"/>
        </w:rPr>
        <w:t xml:space="preserve"> Nel 1977 la durata del servizio iniziale fu portata a due anni, seguiti da un ciclo di richiami estensibile per un decennio. La riforma coincide con l'intensificarsi del conflitto al confine settentrionale ed è il dato che rende il servizio militare una porzione lunga della biografia di un'intera coorte maschile bianca. Gli atti normativi stanno nel Government Gazette del 1977.</w:t>
      </w:r>
    </w:p>
    <w:p>
      <w:pPr>
        <w:spacing w:after="120" w:line="276"/>
        <w:jc w:val="both"/>
      </w:pPr>
      <w:r>
        <w:rPr>
          <w:rFonts w:ascii="Barlow Semi Condensed" w:cs="Barlow Semi Condensed" w:eastAsia="Barlow Semi Condensed" w:hAnsi="Barlow Semi Condensed"/>
          <w:b/>
          <w:bCs/>
          <w:sz w:val="24"/>
          <w:szCs w:val="24"/>
        </w:rPr>
        <w:t xml:space="preserve">204 · La guerra di confine.</w:t>
      </w:r>
      <w:r>
        <w:rPr>
          <w:rFonts w:ascii="Barlow Semi Condensed" w:cs="Barlow Semi Condensed" w:eastAsia="Barlow Semi Condensed" w:hAnsi="Barlow Semi Condensed"/>
          <w:sz w:val="24"/>
          <w:szCs w:val="24"/>
        </w:rPr>
        <w:t xml:space="preserve"> Il conflitto combattuto dal 1966 al 1989 nel nord dell'Africa del Sud-Ovest e nell'Angola meridionale è chiamato Border War dalla storiografia sudafricana e guerra di liberazione da quella namibiana: due nomi per il medesimo oggetto, e la scelta del nome dichiara la fonte. Gli archivi militari sudafricani di Pretoria e i fondi del movimento di liberazione in Namibia vanno consultati entrambi.</w:t>
      </w:r>
    </w:p>
    <w:p>
      <w:pPr>
        <w:spacing w:after="120" w:line="276"/>
        <w:jc w:val="both"/>
      </w:pPr>
      <w:r>
        <w:rPr>
          <w:rFonts w:ascii="Barlow Semi Condensed" w:cs="Barlow Semi Condensed" w:eastAsia="Barlow Semi Condensed" w:hAnsi="Barlow Semi Condensed"/>
          <w:b/>
          <w:bCs/>
          <w:sz w:val="24"/>
          <w:szCs w:val="24"/>
        </w:rPr>
        <w:t xml:space="preserve">205 · L'operazione Savannah del 1975.</w:t>
      </w:r>
      <w:r>
        <w:rPr>
          <w:rFonts w:ascii="Barlow Semi Condensed" w:cs="Barlow Semi Condensed" w:eastAsia="Barlow Semi Condensed" w:hAnsi="Barlow Semi Condensed"/>
          <w:sz w:val="24"/>
          <w:szCs w:val="24"/>
        </w:rPr>
        <w:t xml:space="preserve"> Fra l'ottobre 1975 e il marzo 1976 forze sudafricane condussero in Angola l'operazione Savannah, tenuta nascosta per mesi all'opinione pubblica interna. È il precedente che spiega perché la documentazione militare del periodo sia frammentaria e a lungo classificata. I fascicoli stanno al Department of Defence Documentation Centre; le carte diplomatiche corrispondenti nei fondi statunitensi declassificati, già adoperati dal corpus per altri nodi.</w:t>
      </w:r>
    </w:p>
    <w:p>
      <w:pPr>
        <w:spacing w:after="120" w:line="276"/>
        <w:jc w:val="both"/>
      </w:pPr>
      <w:r>
        <w:rPr>
          <w:rFonts w:ascii="Barlow Semi Condensed" w:cs="Barlow Semi Condensed" w:eastAsia="Barlow Semi Condensed" w:hAnsi="Barlow Semi Condensed"/>
          <w:b/>
          <w:bCs/>
          <w:sz w:val="24"/>
          <w:szCs w:val="24"/>
        </w:rPr>
        <w:t xml:space="preserve">206 · SWATF e Koevoet.</w:t>
      </w:r>
      <w:r>
        <w:rPr>
          <w:rFonts w:ascii="Barlow Semi Condensed" w:cs="Barlow Semi Condensed" w:eastAsia="Barlow Semi Condensed" w:hAnsi="Barlow Semi Condensed"/>
          <w:sz w:val="24"/>
          <w:szCs w:val="24"/>
        </w:rPr>
        <w:t xml:space="preserve"> Dal 1980 operarono nel territorio la South West Africa Territory Force e l'unità di polizia controinsurrezionale nota come Koevoet, oggetto di contestazioni documentate in sede internazionale. Le loro carte, ove sopravvissute, si dividono fra Pretoria e Windhoek. Nessun nome individuale entra in quest'opera in relazione a quelle unità in assenza di un atto giudiziario definitivo che lo riguardi personalmente.</w:t>
      </w:r>
    </w:p>
    <w:p>
      <w:pPr>
        <w:spacing w:after="120" w:line="276"/>
        <w:jc w:val="both"/>
      </w:pPr>
      <w:r>
        <w:rPr>
          <w:rFonts w:ascii="Barlow Semi Condensed" w:cs="Barlow Semi Condensed" w:eastAsia="Barlow Semi Condensed" w:hAnsi="Barlow Semi Condensed"/>
          <w:b/>
          <w:bCs/>
          <w:sz w:val="24"/>
          <w:szCs w:val="24"/>
        </w:rPr>
        <w:t xml:space="preserve">207 · L'obiezione e i sei anni.</w:t>
      </w:r>
      <w:r>
        <w:rPr>
          <w:rFonts w:ascii="Barlow Semi Condensed" w:cs="Barlow Semi Condensed" w:eastAsia="Barlow Semi Condensed" w:hAnsi="Barlow Semi Condensed"/>
          <w:sz w:val="24"/>
          <w:szCs w:val="24"/>
        </w:rPr>
        <w:t xml:space="preserve"> Il Defence Amendment Act del 1983 riconobbe l'obiezione di coscienza di matrice religiosa istituendo un servizio civile alternativo di durata assai maggiore, sei anni, e mantenne la pena detentiva negli altri casi. Il regime dell'obiezione è dunque documentato e datato: chi lo richiami deve dire quale anno considera. Testo e lavori preparatori nel Government Gazette e nell'Hansard sudafricano.</w:t>
      </w:r>
    </w:p>
    <w:p>
      <w:pPr>
        <w:spacing w:after="120" w:line="276"/>
        <w:jc w:val="both"/>
      </w:pPr>
      <w:r>
        <w:rPr>
          <w:rFonts w:ascii="Barlow Semi Condensed" w:cs="Barlow Semi Condensed" w:eastAsia="Barlow Semi Condensed" w:hAnsi="Barlow Semi Condensed"/>
          <w:b/>
          <w:bCs/>
          <w:sz w:val="24"/>
          <w:szCs w:val="24"/>
        </w:rPr>
        <w:t xml:space="preserve">208 · La End Conscription Campaign.</w:t>
      </w:r>
      <w:r>
        <w:rPr>
          <w:rFonts w:ascii="Barlow Semi Condensed" w:cs="Barlow Semi Condensed" w:eastAsia="Barlow Semi Condensed" w:hAnsi="Barlow Semi Condensed"/>
          <w:sz w:val="24"/>
          <w:szCs w:val="24"/>
        </w:rPr>
        <w:t xml:space="preserve"> La End Conscription Campaign, nata nel 1983, condusse una campagna pubblica contro la coscrizione e fu messa al bando nel 1988. Le sue carte sono conservate all'Historical Papers di Wits e al South African History Archive. Sono la fonte migliore sul numero e sul profilo di chi rifiutò la leva, e permettono di misurare un fenomeno che le fonti statali contavano per difetto.</w:t>
      </w:r>
    </w:p>
    <w:p>
      <w:pPr>
        <w:spacing w:after="120" w:line="276"/>
        <w:jc w:val="both"/>
      </w:pPr>
      <w:r>
        <w:rPr>
          <w:rFonts w:ascii="Barlow Semi Condensed" w:cs="Barlow Semi Condensed" w:eastAsia="Barlow Semi Condensed" w:hAnsi="Barlow Semi Condensed"/>
          <w:b/>
          <w:bCs/>
          <w:sz w:val="24"/>
          <w:szCs w:val="24"/>
        </w:rPr>
        <w:t xml:space="preserve">209 · L'emigrazione come uscita.</w:t>
      </w:r>
      <w:r>
        <w:rPr>
          <w:rFonts w:ascii="Barlow Semi Condensed" w:cs="Barlow Semi Condensed" w:eastAsia="Barlow Semi Condensed" w:hAnsi="Barlow Semi Condensed"/>
          <w:sz w:val="24"/>
          <w:szCs w:val="24"/>
        </w:rPr>
        <w:t xml:space="preserve"> Una parte della coorte soggetta a leva lasciò il Paese, e l'emigrazione dei giovani bianchi negli anni Ottanta è tema documentato nelle statistiche ufficiali sui movimenti migratori e nella stampa dell'epoca. È un dato aggregato e come tale va adoperato: da una statistica non si ricava la scelta di un individuo, e nessun blocco di quest'opera compirà quel passaggio.</w:t>
      </w:r>
    </w:p>
    <w:p>
      <w:pPr>
        <w:spacing w:after="120" w:line="276"/>
        <w:jc w:val="both"/>
      </w:pPr>
      <w:r>
        <w:rPr>
          <w:rFonts w:ascii="Barlow Semi Condensed" w:cs="Barlow Semi Condensed" w:eastAsia="Barlow Semi Condensed" w:hAnsi="Barlow Semi Condensed"/>
          <w:b/>
          <w:bCs/>
          <w:sz w:val="24"/>
          <w:szCs w:val="24"/>
        </w:rPr>
        <w:t xml:space="preserve">210 · Il centro documentale della Difesa.</w:t>
      </w:r>
      <w:r>
        <w:rPr>
          <w:rFonts w:ascii="Barlow Semi Condensed" w:cs="Barlow Semi Condensed" w:eastAsia="Barlow Semi Condensed" w:hAnsi="Barlow Semi Condensed"/>
          <w:sz w:val="24"/>
          <w:szCs w:val="24"/>
        </w:rPr>
        <w:t xml:space="preserve"> Il Department of Defence Documentation Centre di Pretoria conserva i fascicoli personali del servizio militare, l'archivio della South African Defence Force e le carte operative. L'accesso ai dati personali è regolato e subordinato ad autorizzazione, e questo limite va dichiarato per iscritto in ogni richiesta. È la sede che chiuderebbe qualunque quesito sulla leva, e l'unica: le fonti in rete non lo chiudono.</w:t>
      </w:r>
    </w:p>
    <w:p>
      <w:pPr>
        <w:spacing w:after="120" w:line="276"/>
        <w:jc w:val="both"/>
      </w:pPr>
      <w:r>
        <w:rPr>
          <w:rFonts w:ascii="Barlow Semi Condensed" w:cs="Barlow Semi Condensed" w:eastAsia="Barlow Semi Condensed" w:hAnsi="Barlow Semi Condensed"/>
          <w:b/>
          <w:bCs/>
          <w:sz w:val="24"/>
          <w:szCs w:val="24"/>
        </w:rPr>
        <w:t xml:space="preserve">211 · La cittadinanza decide la leva.</w:t>
      </w:r>
      <w:r>
        <w:rPr>
          <w:rFonts w:ascii="Barlow Semi Condensed" w:cs="Barlow Semi Condensed" w:eastAsia="Barlow Semi Condensed" w:hAnsi="Barlow Semi Condensed"/>
          <w:sz w:val="24"/>
          <w:szCs w:val="24"/>
        </w:rPr>
        <w:t xml:space="preserve"> L'obbligo di leva sudafricano gravava sui cittadini sudafricani; per chi era cittadino di altro Stato, o residente temporaneo, la posizione era diversa e va accertata sui documenti di cittadinanza prima di ogni ragionamento. Regola operativa: nessun blocco può presumere il servizio militare o l'esenzione a partire dall'anno di nascita e dal luogo di residenza. Il passaporto viene prima dell'inferenza.</w:t>
      </w:r>
    </w:p>
    <w:p>
      <w:pPr>
        <w:spacing w:after="120" w:line="276"/>
        <w:jc w:val="both"/>
      </w:pPr>
      <w:r>
        <w:rPr>
          <w:rFonts w:ascii="Barlow Semi Condensed" w:cs="Barlow Semi Condensed" w:eastAsia="Barlow Semi Condensed" w:hAnsi="Barlow Semi Condensed"/>
          <w:b/>
          <w:bCs/>
          <w:sz w:val="24"/>
          <w:szCs w:val="24"/>
        </w:rPr>
        <w:t xml:space="preserve">212 · Servizio militare non è condotta.</w:t>
      </w:r>
      <w:r>
        <w:rPr>
          <w:rFonts w:ascii="Barlow Semi Condensed" w:cs="Barlow Semi Condensed" w:eastAsia="Barlow Semi Condensed" w:hAnsi="Barlow Semi Condensed"/>
          <w:sz w:val="24"/>
          <w:szCs w:val="24"/>
        </w:rPr>
        <w:t xml:space="preserve"> Adempiere a un obbligo di legge non è una condotta imputabile, e sottrarvisi non è una virtù automatica: entrambe le posizioni si registrano come fatti e non come giudizi. La regola serve a impedire l'uso più diffuso di questa materia nella polemica corrente, che consiste nel trattare un dato anagrafico come una presa di posizione politica accertata retrospettivamente.</w:t>
      </w:r>
    </w:p>
    <w:p>
      <w:pPr>
        <w:spacing w:after="120" w:line="276"/>
        <w:jc w:val="both"/>
      </w:pPr>
      <w:r>
        <w:rPr>
          <w:rFonts w:ascii="Barlow Semi Condensed" w:cs="Barlow Semi Condensed" w:eastAsia="Barlow Semi Condensed" w:hAnsi="Barlow Semi Condensed"/>
          <w:b/>
          <w:bCs/>
          <w:sz w:val="24"/>
          <w:szCs w:val="24"/>
        </w:rPr>
        <w:t xml:space="preserve">213 · La legge istitutiva della Commissione.</w:t>
      </w:r>
      <w:r>
        <w:rPr>
          <w:rFonts w:ascii="Barlow Semi Condensed" w:cs="Barlow Semi Condensed" w:eastAsia="Barlow Semi Condensed" w:hAnsi="Barlow Semi Condensed"/>
          <w:sz w:val="24"/>
          <w:szCs w:val="24"/>
        </w:rPr>
        <w:t xml:space="preserve"> Il Promotion of National Unity and Reconciliation Act No. 34 del 1995 istituì la Truth and Reconciliation Commission con tre comitati: violazioni dei diritti umani, amnistia, riparazione e riabilitazione. Il testo sta nel Government Gazette del 1995. Ogni citazione della Commissione passa qui per la legge istitutiva, perché sono i suoi poteri a definire che cosa le conclusioni possano e non possano provare.</w:t>
      </w:r>
    </w:p>
    <w:p>
      <w:pPr>
        <w:spacing w:after="120" w:line="276"/>
        <w:jc w:val="both"/>
      </w:pPr>
      <w:r>
        <w:rPr>
          <w:rFonts w:ascii="Barlow Semi Condensed" w:cs="Barlow Semi Condensed" w:eastAsia="Barlow Semi Condensed" w:hAnsi="Barlow Semi Condensed"/>
          <w:b/>
          <w:bCs/>
          <w:sz w:val="24"/>
          <w:szCs w:val="24"/>
        </w:rPr>
        <w:t xml:space="preserve">214 · I sette volumi.</w:t>
      </w:r>
      <w:r>
        <w:rPr>
          <w:rFonts w:ascii="Barlow Semi Condensed" w:cs="Barlow Semi Condensed" w:eastAsia="Barlow Semi Condensed" w:hAnsi="Barlow Semi Condensed"/>
          <w:sz w:val="24"/>
          <w:szCs w:val="24"/>
        </w:rPr>
        <w:t xml:space="preserve"> Cinque volumi furono pubblicati nell'ottobre 1998 e due ulteriori nel marzo 2003, questi dedicati soprattutto alle domande di amnistia. È opera pubblica, integralmente disponibile, e va citata per volume, capitolo e paragrafo come qualunque atto. Chi la richiama in blocco, senza segnatura interna, non l'ha consultata: è un test di serietà applicabile a ogni fonte secondaria che se ne serva.</w:t>
      </w:r>
    </w:p>
    <w:p>
      <w:pPr>
        <w:spacing w:after="120" w:line="276"/>
        <w:jc w:val="both"/>
      </w:pPr>
      <w:r>
        <w:rPr>
          <w:rFonts w:ascii="Barlow Semi Condensed" w:cs="Barlow Semi Condensed" w:eastAsia="Barlow Semi Condensed" w:hAnsi="Barlow Semi Condensed"/>
          <w:b/>
          <w:bCs/>
          <w:sz w:val="24"/>
          <w:szCs w:val="24"/>
        </w:rPr>
        <w:t xml:space="preserve">215 · L'udienza sul settore economico.</w:t>
      </w:r>
      <w:r>
        <w:rPr>
          <w:rFonts w:ascii="Barlow Semi Condensed" w:cs="Barlow Semi Condensed" w:eastAsia="Barlow Semi Condensed" w:hAnsi="Barlow Semi Condensed"/>
          <w:sz w:val="24"/>
          <w:szCs w:val="24"/>
        </w:rPr>
        <w:t xml:space="preserve"> Nel novembre 1997 la Commissione tenne a Johannesburg udienze istituzionali sul settore economico, con memorie depositate da associazioni imprenditoriali, sindacati e singole imprese. Trascrizioni e memorie sono pubbliche e costituiscono la fonte più diretta su come il mondo degli affari raccontò se stesso alla fine del regime. Bersaglio: le memorie del comparto estrattivo, lette integralmente e non per estratti altrui.</w:t>
      </w:r>
    </w:p>
    <w:p>
      <w:pPr>
        <w:spacing w:after="120" w:line="276"/>
        <w:jc w:val="both"/>
      </w:pPr>
      <w:r>
        <w:rPr>
          <w:rFonts w:ascii="Barlow Semi Condensed" w:cs="Barlow Semi Condensed" w:eastAsia="Barlow Semi Condensed" w:hAnsi="Barlow Semi Condensed"/>
          <w:b/>
          <w:bCs/>
          <w:sz w:val="24"/>
          <w:szCs w:val="24"/>
        </w:rPr>
        <w:t xml:space="preserve">216 · Le miniere davanti alla Commissione.</w:t>
      </w:r>
      <w:r>
        <w:rPr>
          <w:rFonts w:ascii="Barlow Semi Condensed" w:cs="Barlow Semi Condensed" w:eastAsia="Barlow Semi Condensed" w:hAnsi="Barlow Semi Condensed"/>
          <w:sz w:val="24"/>
          <w:szCs w:val="24"/>
        </w:rPr>
        <w:t xml:space="preserve"> Il volume quarto del rapporto dedica al settore economico un capitolo che affronta il sistema del lavoro migrante, gli alloggi collettivi e il rapporto fra industria mineraria e ordinamento razziale. È il luogo dove la cornice istituzionale e quella economica di quest'opera si toccano documentalmente. La lettura va condotta sul testo originale inglese in edizione ufficiale, mai su sintesi giornalistiche di seconda mano.</w:t>
      </w:r>
    </w:p>
    <w:p>
      <w:pPr>
        <w:spacing w:after="120" w:line="276"/>
        <w:jc w:val="both"/>
      </w:pPr>
      <w:r>
        <w:rPr>
          <w:rFonts w:ascii="Barlow Semi Condensed" w:cs="Barlow Semi Condensed" w:eastAsia="Barlow Semi Condensed" w:hAnsi="Barlow Semi Condensed"/>
          <w:b/>
          <w:bCs/>
          <w:sz w:val="24"/>
          <w:szCs w:val="24"/>
        </w:rPr>
        <w:t xml:space="preserve">217 · I gradi d'implicazione.</w:t>
      </w:r>
      <w:r>
        <w:rPr>
          <w:rFonts w:ascii="Barlow Semi Condensed" w:cs="Barlow Semi Condensed" w:eastAsia="Barlow Semi Condensed" w:hAnsi="Barlow Semi Condensed"/>
          <w:sz w:val="24"/>
          <w:szCs w:val="24"/>
        </w:rPr>
        <w:t xml:space="preserve"> La Commissione distinse fra un coinvolgimento di primo ordine, consistente nell'aver contribuito direttamente a formulare politiche repressive, e forme indirette derivanti dal solo operare dentro il sistema. La distinzione è la migliore formulazione disponibile del problema che quest'opera affronta, e va adoperata con la sua fonte: proviene da un organo di verità e non da un tribunale, e questo ne fissa il peso.</w:t>
      </w:r>
    </w:p>
    <w:p>
      <w:pPr>
        <w:spacing w:after="120" w:line="276"/>
        <w:jc w:val="both"/>
      </w:pPr>
      <w:r>
        <w:rPr>
          <w:rFonts w:ascii="Barlow Semi Condensed" w:cs="Barlow Semi Condensed" w:eastAsia="Barlow Semi Condensed" w:hAnsi="Barlow Semi Condensed"/>
          <w:b/>
          <w:bCs/>
          <w:sz w:val="24"/>
          <w:szCs w:val="24"/>
        </w:rPr>
        <w:t xml:space="preserve">218 · Amnistia non è assoluzione.</w:t>
      </w:r>
      <w:r>
        <w:rPr>
          <w:rFonts w:ascii="Barlow Semi Condensed" w:cs="Barlow Semi Condensed" w:eastAsia="Barlow Semi Condensed" w:hAnsi="Barlow Semi Condensed"/>
          <w:sz w:val="24"/>
          <w:szCs w:val="24"/>
        </w:rPr>
        <w:t xml:space="preserve"> Un'amnistia concessa dalla Commissione presupponeva la confessione piena di un fatto ed estingueva la responsabilità: non equivale a un'assoluzione e neppure a una condanna. Simmetricamente, una constatazione della Commissione non è un accertamento penale. La regola vale per tutto il corpus, che si ferma al giudicato e non promuove a colpevolezza ciò che nessun tribunale ha mai stabilito.</w:t>
      </w:r>
    </w:p>
    <w:p>
      <w:pPr>
        <w:spacing w:after="120" w:line="276"/>
        <w:jc w:val="both"/>
      </w:pPr>
      <w:r>
        <w:rPr>
          <w:rFonts w:ascii="Barlow Semi Condensed" w:cs="Barlow Semi Condensed" w:eastAsia="Barlow Semi Condensed" w:hAnsi="Barlow Semi Condensed"/>
          <w:b/>
          <w:bCs/>
          <w:sz w:val="24"/>
          <w:szCs w:val="24"/>
        </w:rPr>
        <w:t xml:space="preserve">219 · Gli archivi della Commissione.</w:t>
      </w:r>
      <w:r>
        <w:rPr>
          <w:rFonts w:ascii="Barlow Semi Condensed" w:cs="Barlow Semi Condensed" w:eastAsia="Barlow Semi Condensed" w:hAnsi="Barlow Semi Condensed"/>
          <w:sz w:val="24"/>
          <w:szCs w:val="24"/>
        </w:rPr>
        <w:t xml:space="preserve"> Le carte della Truth and Reconciliation Commission sono depositate ai National Archives of South Africa, a Pretoria; il South African History Archive di Johannesburg ne ha ottenuto quote consistenti mediante richieste fondate sulla Promotion of Access to Information Act del 2000 e ne cura la consultabilità. Bersaglio procedurale: il censimento di ciò che resta non consultabile e delle ragioni addotte per negarlo.</w:t>
      </w:r>
    </w:p>
    <w:p>
      <w:pPr>
        <w:spacing w:after="120" w:line="276"/>
        <w:jc w:val="both"/>
      </w:pPr>
      <w:r>
        <w:rPr>
          <w:rFonts w:ascii="Barlow Semi Condensed" w:cs="Barlow Semi Condensed" w:eastAsia="Barlow Semi Condensed" w:hAnsi="Barlow Semi Condensed"/>
          <w:b/>
          <w:bCs/>
          <w:sz w:val="24"/>
          <w:szCs w:val="24"/>
        </w:rPr>
        <w:t xml:space="preserve">220 · La Namibia fuori dalla giurisdizione.</w:t>
      </w:r>
      <w:r>
        <w:rPr>
          <w:rFonts w:ascii="Barlow Semi Condensed" w:cs="Barlow Semi Condensed" w:eastAsia="Barlow Semi Condensed" w:hAnsi="Barlow Semi Condensed"/>
          <w:sz w:val="24"/>
          <w:szCs w:val="24"/>
        </w:rPr>
        <w:t xml:space="preserve"> La Commissione sudafricana ebbe competenza sulle violazioni commesse nel territorio del Sud Africa e su alcune all'estero riferibili a strutture sudafricane, ma non condusse sull'Africa del Sud-Ovest un'inchiesta paragonabile a quella interna. Il vuoto è uno Stato Zero di grande estensione e va scritto come tale: sull'occupazione namibiana non esiste un corpo testimoniale equivalente a quello sudafricano.</w:t>
      </w:r>
    </w:p>
    <w:p>
      <w:pPr>
        <w:spacing w:after="120" w:line="276"/>
        <w:jc w:val="both"/>
      </w:pPr>
      <w:r>
        <w:rPr>
          <w:rFonts w:ascii="Barlow Semi Condensed" w:cs="Barlow Semi Condensed" w:eastAsia="Barlow Semi Condensed" w:hAnsi="Barlow Semi Condensed"/>
          <w:b/>
          <w:bCs/>
          <w:sz w:val="24"/>
          <w:szCs w:val="24"/>
        </w:rPr>
        <w:t xml:space="preserve">221 · Il silenzio namibiano.</w:t>
      </w:r>
      <w:r>
        <w:rPr>
          <w:rFonts w:ascii="Barlow Semi Condensed" w:cs="Barlow Semi Condensed" w:eastAsia="Barlow Semi Condensed" w:hAnsi="Barlow Semi Condensed"/>
          <w:sz w:val="24"/>
          <w:szCs w:val="24"/>
        </w:rPr>
        <w:t xml:space="preserve"> La Namibia indipendente non istituì una commissione per la verità, e la questione dei detenuti nei campi del movimento di liberazione in Angola e Zambia restò materia di iniziative associative private anziché di inchiesta pubblica. La divergenza fra le due memorie nazionali si riporta e non si scioglie. Le fonti disponibili sono di parte e vanno pesate dichiarandone la natura.</w:t>
      </w:r>
    </w:p>
    <w:p>
      <w:pPr>
        <w:spacing w:after="120" w:line="276"/>
        <w:jc w:val="both"/>
      </w:pPr>
      <w:r>
        <w:rPr>
          <w:rFonts w:ascii="Barlow Semi Condensed" w:cs="Barlow Semi Condensed" w:eastAsia="Barlow Semi Condensed" w:hAnsi="Barlow Semi Condensed"/>
          <w:b/>
          <w:bCs/>
          <w:sz w:val="24"/>
          <w:szCs w:val="24"/>
        </w:rPr>
        <w:t xml:space="preserve">222 · Il ministero degli Esteri come fondo.</w:t>
      </w:r>
      <w:r>
        <w:rPr>
          <w:rFonts w:ascii="Barlow Semi Condensed" w:cs="Barlow Semi Condensed" w:eastAsia="Barlow Semi Condensed" w:hAnsi="Barlow Semi Condensed"/>
          <w:sz w:val="24"/>
          <w:szCs w:val="24"/>
        </w:rPr>
        <w:t xml:space="preserve"> La corrispondenza del Department of Foreign Affairs sudafricano è stata versata ai National Archives of South Africa, classificata con la sigla BTS e ordinata per Paese e per organizzazione internazionale. È la sede naturale di ogni quesito sulla diplomazia di Pretoria fra il 1977 e il 1994, fascicoli sulle Nazioni Unite e sul negoziato namibiano compresi. La comunicabilità segue la legge archivistica del 1996.</w:t>
      </w:r>
    </w:p>
    <w:p>
      <w:pPr>
        <w:spacing w:after="120" w:line="276"/>
        <w:jc w:val="both"/>
      </w:pPr>
      <w:r>
        <w:rPr>
          <w:rFonts w:ascii="Barlow Semi Condensed" w:cs="Barlow Semi Condensed" w:eastAsia="Barlow Semi Condensed" w:hAnsi="Barlow Semi Condensed"/>
          <w:b/>
          <w:bCs/>
          <w:sz w:val="24"/>
          <w:szCs w:val="24"/>
        </w:rPr>
        <w:t xml:space="preserve">223 · I due Botha non sono parenti (serie III).</w:t>
      </w:r>
      <w:r>
        <w:rPr>
          <w:rFonts w:ascii="Barlow Semi Condensed" w:cs="Barlow Semi Condensed" w:eastAsia="Barlow Semi Condensed" w:hAnsi="Barlow Semi Condensed"/>
          <w:sz w:val="24"/>
          <w:szCs w:val="24"/>
        </w:rPr>
        <w:t xml:space="preserve"> Roelof Frederik Botha, detto Pik, ministro degli Esteri dal 1977 al 1994 e poi ministro delle Miniere e dell'Energia nel primo governo Mandela, non era parente di Pieter Willem Botha, capo dello Stato. La confusione fra i due è l'errore più diffuso su questa materia e falsifica ogni ricostruzione che vi incorra. Va segnalata ogni volta che una fonte la commette, con citazione esatta.</w:t>
      </w:r>
    </w:p>
    <w:p>
      <w:pPr>
        <w:spacing w:after="120" w:line="276"/>
        <w:jc w:val="both"/>
      </w:pPr>
      <w:r>
        <w:rPr>
          <w:rFonts w:ascii="Barlow Semi Condensed" w:cs="Barlow Semi Condensed" w:eastAsia="Barlow Semi Condensed" w:hAnsi="Barlow Semi Condensed"/>
          <w:b/>
          <w:bCs/>
          <w:sz w:val="24"/>
          <w:szCs w:val="24"/>
        </w:rPr>
        <w:t xml:space="preserve">224 · Le credenziali respinte.</w:t>
      </w:r>
      <w:r>
        <w:rPr>
          <w:rFonts w:ascii="Barlow Semi Condensed" w:cs="Barlow Semi Condensed" w:eastAsia="Barlow Semi Condensed" w:hAnsi="Barlow Semi Condensed"/>
          <w:sz w:val="24"/>
          <w:szCs w:val="24"/>
        </w:rPr>
        <w:t xml:space="preserve"> Dal 1974 l'Assemblea Generale rifiutò di accettare le credenziali della delegazione sudafricana, escludendo di fatto Pretoria dai propri lavori per un ventennio senza però espellerla dall'Organizzazione. La distinzione fra esclusione dai lavori ed espulsione è tecnica e sostanziale, e quasi sempre trascurata. Gli atti della commissione di verifica dei poteri stanno nei documenti ufficiali dell'Assemblea, consultabili per sessione.</w:t>
      </w:r>
    </w:p>
    <w:p>
      <w:pPr>
        <w:spacing w:after="120" w:line="276"/>
        <w:jc w:val="both"/>
      </w:pPr>
      <w:r>
        <w:rPr>
          <w:rFonts w:ascii="Barlow Semi Condensed" w:cs="Barlow Semi Condensed" w:eastAsia="Barlow Semi Condensed" w:hAnsi="Barlow Semi Condensed"/>
          <w:b/>
          <w:bCs/>
          <w:sz w:val="24"/>
          <w:szCs w:val="24"/>
        </w:rPr>
        <w:t xml:space="preserve">225 · L'embargo del 1977.</w:t>
      </w:r>
      <w:r>
        <w:rPr>
          <w:rFonts w:ascii="Barlow Semi Condensed" w:cs="Barlow Semi Condensed" w:eastAsia="Barlow Semi Condensed" w:hAnsi="Barlow Semi Condensed"/>
          <w:sz w:val="24"/>
          <w:szCs w:val="24"/>
        </w:rPr>
        <w:t xml:space="preserve"> Con la risoluzione 418 del 4 novembre 1977 il Consiglio di Sicurezza impose un embargo obbligatorio sulle armi, primo provvedimento vincolante del capitolo settimo adottato contro uno Stato membro. Le sanzioni economiche restarono invece volontarie fino alle legislazioni nazionali degli anni Ottanta. La distinzione fra obbligatorio e raccomandato governa l'intera materia e va sempre esplicitata parlando di sanzioni contro il Sud Africa.</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Serie quarta — I lignaggi: parentele documentate e parentele supposte</w:t>
      </w:r>
    </w:p>
    <w:p>
      <w:pPr>
        <w:spacing w:after="120" w:line="276"/>
        <w:jc w:val="both"/>
      </w:pPr>
      <w:r>
        <w:rPr>
          <w:rFonts w:ascii="Barlow Semi Condensed" w:cs="Barlow Semi Condensed" w:eastAsia="Barlow Semi Condensed" w:hAnsi="Barlow Semi Condensed"/>
          <w:i/>
          <w:iCs/>
          <w:sz w:val="24"/>
          <w:szCs w:val="24"/>
        </w:rPr>
        <w:t xml:space="preserve">Blocchi 226-305.</w:t>
      </w:r>
    </w:p>
    <w:p>
      <w:pPr>
        <w:spacing w:after="120" w:line="276"/>
        <w:jc w:val="both"/>
      </w:pPr>
      <w:r>
        <w:rPr>
          <w:rFonts w:ascii="Barlow Semi Condensed" w:cs="Barlow Semi Condensed" w:eastAsia="Barlow Semi Condensed" w:hAnsi="Barlow Semi Condensed"/>
          <w:b/>
          <w:bCs/>
          <w:sz w:val="24"/>
          <w:szCs w:val="24"/>
        </w:rPr>
        <w:t xml:space="preserve">226 · Che cosa questa serie tratta.</w:t>
      </w:r>
      <w:r>
        <w:rPr>
          <w:rFonts w:ascii="Barlow Semi Condensed" w:cs="Barlow Semi Condensed" w:eastAsia="Barlow Semi Condensed" w:hAnsi="Barlow Semi Condensed"/>
          <w:sz w:val="24"/>
          <w:szCs w:val="24"/>
        </w:rPr>
        <w:t xml:space="preserve"> I lignaggi entrano qui come dati anagrafici e non come argomenti. Una parentela si accerta con un registro di stato civile, un atto notarile, un necrologio datato; e una volta accertata resta ciò che è, un legame di sangue o di legge fra due persone. Non trasferisce condotte, non attribuisce opinioni, non fonda un nesso. La serie lavora sulla prima operazione e si vieta la seconda.</w:t>
      </w:r>
    </w:p>
    <w:p>
      <w:pPr>
        <w:spacing w:after="120" w:line="276"/>
        <w:jc w:val="both"/>
      </w:pPr>
      <w:r>
        <w:rPr>
          <w:rFonts w:ascii="Barlow Semi Condensed" w:cs="Barlow Semi Condensed" w:eastAsia="Barlow Semi Condensed" w:hAnsi="Barlow Semi Condensed"/>
          <w:b/>
          <w:bCs/>
          <w:sz w:val="24"/>
          <w:szCs w:val="24"/>
        </w:rPr>
        <w:t xml:space="preserve">227 · Le tre domande genealogiche ammesse.</w:t>
      </w:r>
      <w:r>
        <w:rPr>
          <w:rFonts w:ascii="Barlow Semi Condensed" w:cs="Barlow Semi Condensed" w:eastAsia="Barlow Semi Condensed" w:hAnsi="Barlow Semi Condensed"/>
          <w:sz w:val="24"/>
          <w:szCs w:val="24"/>
        </w:rPr>
        <w:t xml:space="preserve"> Chi è parente di chi, con quale grado, su quale documento: sono le sole domande che questi blocchi pongono. La quarta — che cosa se ne ricava sulle persone — è fuori mandato e va respinta ogni volta che si affaccia. Il corpus la vieta già al blocco 5 del manuale investigativo, dove si legge che la parentela non è canale; qui la formula tocca persone viventi e diventa perciò più severa.</w:t>
      </w:r>
    </w:p>
    <w:p>
      <w:pPr>
        <w:spacing w:after="120" w:line="276"/>
        <w:jc w:val="both"/>
      </w:pPr>
      <w:r>
        <w:rPr>
          <w:rFonts w:ascii="Barlow Semi Condensed" w:cs="Barlow Semi Condensed" w:eastAsia="Barlow Semi Condensed" w:hAnsi="Barlow Semi Condensed"/>
          <w:b/>
          <w:bCs/>
          <w:sz w:val="24"/>
          <w:szCs w:val="24"/>
        </w:rPr>
        <w:t xml:space="preserve">228 · Il registro anagrafico sudafricano.</w:t>
      </w:r>
      <w:r>
        <w:rPr>
          <w:rFonts w:ascii="Barlow Semi Condensed" w:cs="Barlow Semi Condensed" w:eastAsia="Barlow Semi Condensed" w:hAnsi="Barlow Semi Condensed"/>
          <w:sz w:val="24"/>
          <w:szCs w:val="24"/>
        </w:rPr>
        <w:t xml:space="preserve"> Nascite, matrimoni e decessi sudafricani sono registrati dal Department of Home Affairs, a Pretoria, e il certificato integrale — quello che riporta i nomi dei genitori — si ottiene su istanza. È la sede che chiude, in un senso o nell'altro, quasi tutte le parentele discusse in questa serie. Chi afferma un legame senza avere chiesto quel documento sta riferendo una voce e non un fatto, per quanto sicuro suoni.</w:t>
      </w:r>
    </w:p>
    <w:p>
      <w:pPr>
        <w:spacing w:after="120" w:line="276"/>
        <w:jc w:val="both"/>
      </w:pPr>
      <w:r>
        <w:rPr>
          <w:rFonts w:ascii="Barlow Semi Condensed" w:cs="Barlow Semi Condensed" w:eastAsia="Barlow Semi Condensed" w:hAnsi="Barlow Semi Condensed"/>
          <w:b/>
          <w:bCs/>
          <w:sz w:val="24"/>
          <w:szCs w:val="24"/>
        </w:rPr>
        <w:t xml:space="preserve">229 · I fascicoli di successione come fonte.</w:t>
      </w:r>
      <w:r>
        <w:rPr>
          <w:rFonts w:ascii="Barlow Semi Condensed" w:cs="Barlow Semi Condensed" w:eastAsia="Barlow Semi Condensed" w:hAnsi="Barlow Semi Condensed"/>
          <w:sz w:val="24"/>
          <w:szCs w:val="24"/>
        </w:rPr>
        <w:t xml:space="preserve"> Gli atti di successione sudafricani, depositati presso il Master of the High Court e poi versati al National Archives and Records Service of South Africa, nominano coniuge, figli e talvolta nipoti, con le date. Nella serie MHG del deposito di Pretoria si cercano per cognome e per anno di morte. Un fascicolo di successione è la fonte genealogica più economica che esista, perché elenca gli eredi in quanto deve elencarli.</w:t>
      </w:r>
    </w:p>
    <w:p>
      <w:pPr>
        <w:spacing w:after="120" w:line="276"/>
        <w:jc w:val="both"/>
      </w:pPr>
      <w:r>
        <w:rPr>
          <w:rFonts w:ascii="Barlow Semi Condensed" w:cs="Barlow Semi Condensed" w:eastAsia="Barlow Semi Condensed" w:hAnsi="Barlow Semi Condensed"/>
          <w:b/>
          <w:bCs/>
          <w:sz w:val="24"/>
          <w:szCs w:val="24"/>
        </w:rPr>
        <w:t xml:space="preserve">230 · NAAIRS, e i suoi limiti.</w:t>
      </w:r>
      <w:r>
        <w:rPr>
          <w:rFonts w:ascii="Barlow Semi Condensed" w:cs="Barlow Semi Condensed" w:eastAsia="Barlow Semi Condensed" w:hAnsi="Barlow Semi Condensed"/>
          <w:sz w:val="24"/>
          <w:szCs w:val="24"/>
        </w:rPr>
        <w:t xml:space="preserve"> L'indice informatizzato degli archivi sudafricani, NAAIRS, consente la ricerca per cognome sui fondi versati e restituisce segnature, mai contenuti. Serve a sapere che una carta esiste, non che cosa dica. Un esito vuoto non prova l'assenza del documento: prova che quel fondo non è stato indicizzato, oppure che il nome vi compare in grafia diversa. La differenza fra assenza nell'indice e assenza nell'archivio va scritta ogni volta.</w:t>
      </w:r>
    </w:p>
    <w:p>
      <w:pPr>
        <w:spacing w:after="120" w:line="276"/>
        <w:jc w:val="both"/>
      </w:pPr>
      <w:r>
        <w:rPr>
          <w:rFonts w:ascii="Barlow Semi Condensed" w:cs="Barlow Semi Condensed" w:eastAsia="Barlow Semi Condensed" w:hAnsi="Barlow Semi Condensed"/>
          <w:b/>
          <w:bCs/>
          <w:sz w:val="24"/>
          <w:szCs w:val="24"/>
        </w:rPr>
        <w:t xml:space="preserve">231 · Il Government Gazette e i decessi.</w:t>
      </w:r>
      <w:r>
        <w:rPr>
          <w:rFonts w:ascii="Barlow Semi Condensed" w:cs="Barlow Semi Condensed" w:eastAsia="Barlow Semi Condensed" w:hAnsi="Barlow Semi Condensed"/>
          <w:sz w:val="24"/>
          <w:szCs w:val="24"/>
        </w:rPr>
        <w:t xml:space="preserve"> La legge sudafricana sull'amministrazione delle successioni, del 1965, impone la pubblicazione dell'avviso ai creditori: il Government Gazette registra così nome del defunto, data della morte e nominativo dell'esecutore. È una serie a stampa, continua e datata, consultabile senza istanza preventiva. Per chi ricostruisce una linea è il punto d'attacco più rapido, e ha il pregio di essere una fonte che nessuno compilò pensando ai genealogisti.</w:t>
      </w:r>
    </w:p>
    <w:p>
      <w:pPr>
        <w:spacing w:after="120" w:line="276"/>
        <w:jc w:val="both"/>
      </w:pPr>
      <w:r>
        <w:rPr>
          <w:rFonts w:ascii="Barlow Semi Condensed" w:cs="Barlow Semi Condensed" w:eastAsia="Barlow Semi Condensed" w:hAnsi="Barlow Semi Condensed"/>
          <w:b/>
          <w:bCs/>
          <w:sz w:val="24"/>
          <w:szCs w:val="24"/>
        </w:rPr>
        <w:t xml:space="preserve">232 · Necrologi datati, e come si usano.</w:t>
      </w:r>
      <w:r>
        <w:rPr>
          <w:rFonts w:ascii="Barlow Semi Condensed" w:cs="Barlow Semi Condensed" w:eastAsia="Barlow Semi Condensed" w:hAnsi="Barlow Semi Condensed"/>
          <w:sz w:val="24"/>
          <w:szCs w:val="24"/>
        </w:rPr>
        <w:t xml:space="preserve"> Un necrologio a stampa è fonte di secondo rango, e tuttavia contiene quasi sempre l'elenco dei sopravvissuti: coniuge, figli, nipoti, per nome. Non prova la parentela, la indica, e indica dove cercarla. Gli archivi dei quotidiani sudafricani sono digitalizzati in misura disuguale, sicché la data del decesso resta la chiave che li apre; senza quella data la ricerca sul solo cognome non si chiude mai.</w:t>
      </w:r>
    </w:p>
    <w:p>
      <w:pPr>
        <w:spacing w:after="120" w:line="276"/>
        <w:jc w:val="both"/>
      </w:pPr>
      <w:r>
        <w:rPr>
          <w:rFonts w:ascii="Barlow Semi Condensed" w:cs="Barlow Semi Condensed" w:eastAsia="Barlow Semi Condensed" w:hAnsi="Barlow Semi Condensed"/>
          <w:b/>
          <w:bCs/>
          <w:sz w:val="24"/>
          <w:szCs w:val="24"/>
        </w:rPr>
        <w:t xml:space="preserve">233 · Il perimetro etico della genealogia.</w:t>
      </w:r>
      <w:r>
        <w:rPr>
          <w:rFonts w:ascii="Barlow Semi Condensed" w:cs="Barlow Semi Condensed" w:eastAsia="Barlow Semi Condensed" w:hAnsi="Barlow Semi Condensed"/>
          <w:sz w:val="24"/>
          <w:szCs w:val="24"/>
        </w:rPr>
        <w:t xml:space="preserve"> Non ogni legame accertabile merita di essere accertato. Questi blocchi censiscono soltanto i rapporti che una domanda di ricerca rende pertinenti, e lasciano fuori il resto della vita familiare delle persone nominate: matrimoni, separazioni, figli minori, vicende private prive di rilievo documentale. La regola non è di delicatezza ma di metodo, perché un dato che non risponde a nessun quesito è rumore, e il rumore genealogico è quello che fa più danno.</w:t>
      </w:r>
    </w:p>
    <w:p>
      <w:pPr>
        <w:spacing w:after="120" w:line="276"/>
        <w:jc w:val="both"/>
      </w:pPr>
      <w:r>
        <w:rPr>
          <w:rFonts w:ascii="Barlow Semi Condensed" w:cs="Barlow Semi Condensed" w:eastAsia="Barlow Semi Condensed" w:hAnsi="Barlow Semi Condensed"/>
          <w:b/>
          <w:bCs/>
          <w:sz w:val="24"/>
          <w:szCs w:val="24"/>
        </w:rPr>
        <w:t xml:space="preserve">234 · Roelof Botha, nipote di Pik.</w:t>
      </w:r>
      <w:r>
        <w:rPr>
          <w:rFonts w:ascii="Barlow Semi Condensed" w:cs="Barlow Semi Condensed" w:eastAsia="Barlow Semi Condensed" w:hAnsi="Barlow Semi Condensed"/>
          <w:sz w:val="24"/>
          <w:szCs w:val="24"/>
        </w:rPr>
        <w:t xml:space="preserve"> Roelof Botha, direttore finanziario di PayPal e poi socio e managing partner di Sequoia Capital, è nipote di Roelof Frederik «Pik» Botha, ministro degli Esteri sudafricano dal 1977 al 1994 e poi ministro delle Miniere e dell'Energia nel primo governo Mandela. La parentela è documentata e pubblica: piano 1. È un fatto anagrafico e non contiene, di per sé, alcun enunciato sulla condotta di nessuno dei due.</w:t>
      </w:r>
    </w:p>
    <w:p>
      <w:pPr>
        <w:spacing w:after="120" w:line="276"/>
        <w:jc w:val="both"/>
      </w:pPr>
      <w:r>
        <w:rPr>
          <w:rFonts w:ascii="Barlow Semi Condensed" w:cs="Barlow Semi Condensed" w:eastAsia="Barlow Semi Condensed" w:hAnsi="Barlow Semi Condensed"/>
          <w:b/>
          <w:bCs/>
          <w:sz w:val="24"/>
          <w:szCs w:val="24"/>
        </w:rPr>
        <w:t xml:space="preserve">235 · L'errore più diffuso della materia.</w:t>
      </w:r>
      <w:r>
        <w:rPr>
          <w:rFonts w:ascii="Barlow Semi Condensed" w:cs="Barlow Semi Condensed" w:eastAsia="Barlow Semi Condensed" w:hAnsi="Barlow Semi Condensed"/>
          <w:sz w:val="24"/>
          <w:szCs w:val="24"/>
        </w:rPr>
        <w:t xml:space="preserve"> Pik Botha non era parente di Pieter Willem Botha, primo ministro e poi presidente dello Stato. Sono due uomini politici omonimi di cognome, contemporanei, entrambi al vertice dello stesso governo, e la letteratura in rete li confonde con regolarità. Chi scrive che il dirigente di Sequoia discende dal presidente dell'apartheid ha commesso esattamente questo errore. Va segnalato ogni volta, perché non è un dettaglio: cambia il soggetto della frase.</w:t>
      </w:r>
    </w:p>
    <w:p>
      <w:pPr>
        <w:spacing w:after="120" w:line="276"/>
        <w:jc w:val="both"/>
      </w:pPr>
      <w:r>
        <w:rPr>
          <w:rFonts w:ascii="Barlow Semi Condensed" w:cs="Barlow Semi Condensed" w:eastAsia="Barlow Semi Condensed" w:hAnsi="Barlow Semi Condensed"/>
          <w:b/>
          <w:bCs/>
          <w:sz w:val="24"/>
          <w:szCs w:val="24"/>
        </w:rPr>
        <w:t xml:space="preserve">236 · Perché due Botha non bastano.</w:t>
      </w:r>
      <w:r>
        <w:rPr>
          <w:rFonts w:ascii="Barlow Semi Condensed" w:cs="Barlow Semi Condensed" w:eastAsia="Barlow Semi Condensed" w:hAnsi="Barlow Semi Condensed"/>
          <w:sz w:val="24"/>
          <w:szCs w:val="24"/>
        </w:rPr>
        <w:t xml:space="preserve"> Botha è fra i cognomi afrikaner più diffusi, e la genealogia classica del Capo — i registri raccolti da C.C. de Villiers e ripresi da Cornelis Pama nei Geslagsregisters van die Ou Kaapse Families — lo fa risalire a un capostipite unico del Seicento. Se così è, quasi tutti i Botha sudafricani condividono un antenato remoto. Un antenato a otto generazioni è un dato sul cognome, non sulla famiglia, e non imparenta nessuno in senso utile.</w:t>
      </w:r>
    </w:p>
    <w:p>
      <w:pPr>
        <w:spacing w:after="120" w:line="276"/>
        <w:jc w:val="both"/>
      </w:pPr>
      <w:r>
        <w:rPr>
          <w:rFonts w:ascii="Barlow Semi Condensed" w:cs="Barlow Semi Condensed" w:eastAsia="Barlow Semi Condensed" w:hAnsi="Barlow Semi Condensed"/>
          <w:b/>
          <w:bCs/>
          <w:sz w:val="24"/>
          <w:szCs w:val="24"/>
        </w:rPr>
        <w:t xml:space="preserve">237 · Che cosa significa «non parenti».</w:t>
      </w:r>
      <w:r>
        <w:rPr>
          <w:rFonts w:ascii="Barlow Semi Condensed" w:cs="Barlow Semi Condensed" w:eastAsia="Barlow Semi Condensed" w:hAnsi="Barlow Semi Condensed"/>
          <w:sz w:val="24"/>
          <w:szCs w:val="24"/>
        </w:rPr>
        <w:t xml:space="preserve"> Dire che Pik Botha e P.W. Botha non erano parenti significa che fra loro non risulta un legame prossimo: nessuna fratellanza, nessuna cuginanza di primo o secondo grado, nessuna affinità per matrimonio. Non significa che i due alberi non si tocchino in alcun punto. La negazione va formulata col grado che nega, altrimenti resta vulnerabile alla prima carta parrocchiale che qualcuno esibisca per confutarla.</w:t>
      </w:r>
    </w:p>
    <w:p>
      <w:pPr>
        <w:spacing w:after="120" w:line="276"/>
        <w:jc w:val="both"/>
      </w:pPr>
      <w:r>
        <w:rPr>
          <w:rFonts w:ascii="Barlow Semi Condensed" w:cs="Barlow Semi Condensed" w:eastAsia="Barlow Semi Condensed" w:hAnsi="Barlow Semi Condensed"/>
          <w:b/>
          <w:bCs/>
          <w:sz w:val="24"/>
          <w:szCs w:val="24"/>
        </w:rPr>
        <w:t xml:space="preserve">238 · Bersaglio di smentita: la linea Botha.</w:t>
      </w:r>
      <w:r>
        <w:rPr>
          <w:rFonts w:ascii="Barlow Semi Condensed" w:cs="Barlow Semi Condensed" w:eastAsia="Barlow Semi Condensed" w:hAnsi="Barlow Semi Condensed"/>
          <w:sz w:val="24"/>
          <w:szCs w:val="24"/>
        </w:rPr>
        <w:t xml:space="preserve"> Un legame prossimo fra la linea di Roelof Frederik Botha e quella di Pieter Willem Botha, ove emergesse da un registro anagrafico sudafricano o da un fascicolo di successione, farebbe cadere il blocco precedente e l'avvertenza che lo accompagna. Le sedi che deciderebbero sono il Department of Home Affairs per gli atti di nascita e il Master of the High Court per gli atti di successione. Finché non emerge, la separazione resta accertata.</w:t>
      </w:r>
    </w:p>
    <w:p>
      <w:pPr>
        <w:spacing w:after="120" w:line="276"/>
        <w:jc w:val="both"/>
      </w:pPr>
      <w:r>
        <w:rPr>
          <w:rFonts w:ascii="Barlow Semi Condensed" w:cs="Barlow Semi Condensed" w:eastAsia="Barlow Semi Condensed" w:hAnsi="Barlow Semi Condensed"/>
          <w:b/>
          <w:bCs/>
          <w:sz w:val="24"/>
          <w:szCs w:val="24"/>
        </w:rPr>
        <w:t xml:space="preserve">239 · Omonimia interna alla linea.</w:t>
      </w:r>
      <w:r>
        <w:rPr>
          <w:rFonts w:ascii="Barlow Semi Condensed" w:cs="Barlow Semi Condensed" w:eastAsia="Barlow Semi Condensed" w:hAnsi="Barlow Semi Condensed"/>
          <w:sz w:val="24"/>
          <w:szCs w:val="24"/>
        </w:rPr>
        <w:t xml:space="preserve"> Il nome Roelof Frederik ricorre in questa famiglia in più di una generazione, secondo l'uso onomastico afrikaner che assegna al primogenito il nome del nonno paterno. Quante siano esattamente le generazioni interessate è verifica da condurre sui certificati integrali di nascita. La conseguenza operativa è già chiara: un indice per nome restituisce persone diverse sotto la stessa stringa, e ogni attribuzione va ancorata a una data e non a un nome.</w:t>
      </w:r>
    </w:p>
    <w:p>
      <w:pPr>
        <w:spacing w:after="120" w:line="276"/>
        <w:jc w:val="both"/>
      </w:pPr>
      <w:r>
        <w:rPr>
          <w:rFonts w:ascii="Barlow Semi Condensed" w:cs="Barlow Semi Condensed" w:eastAsia="Barlow Semi Condensed" w:hAnsi="Barlow Semi Condensed"/>
          <w:b/>
          <w:bCs/>
          <w:sz w:val="24"/>
          <w:szCs w:val="24"/>
        </w:rPr>
        <w:t xml:space="preserve">240 · Pik Botha, i fatti pubblici della carica.</w:t>
      </w:r>
      <w:r>
        <w:rPr>
          <w:rFonts w:ascii="Barlow Semi Condensed" w:cs="Barlow Semi Condensed" w:eastAsia="Barlow Semi Condensed" w:hAnsi="Barlow Semi Condensed"/>
          <w:sz w:val="24"/>
          <w:szCs w:val="24"/>
        </w:rPr>
        <w:t xml:space="preserve"> Di Pik Botha sono fatti pubblici la titolarità degli Esteri dal 1977 al 1994, quella delle Miniere e dell'Energia nel governo di unità nazionale guidato da Nelson Mandela, e la morte nel 2018. Sono dati di anagrafe politica, verificabili sulle raccolte ufficiali degli atti del governo sudafricano. La serie li registra e si ferma lì: la valutazione della sua opera non è materia genealogica e appartiene ad altri blocchi.</w:t>
      </w:r>
    </w:p>
    <w:p>
      <w:pPr>
        <w:spacing w:after="120" w:line="276"/>
        <w:jc w:val="both"/>
      </w:pPr>
      <w:r>
        <w:rPr>
          <w:rFonts w:ascii="Barlow Semi Condensed" w:cs="Barlow Semi Condensed" w:eastAsia="Barlow Semi Condensed" w:hAnsi="Barlow Semi Condensed"/>
          <w:b/>
          <w:bCs/>
          <w:sz w:val="24"/>
          <w:szCs w:val="24"/>
        </w:rPr>
        <w:t xml:space="preserve">241 · La TRC come fonte anagrafica.</w:t>
      </w:r>
      <w:r>
        <w:rPr>
          <w:rFonts w:ascii="Barlow Semi Condensed" w:cs="Barlow Semi Condensed" w:eastAsia="Barlow Semi Condensed" w:hAnsi="Barlow Semi Condensed"/>
          <w:sz w:val="24"/>
          <w:szCs w:val="24"/>
        </w:rPr>
        <w:t xml:space="preserve"> Il fondo della Truth and Reconciliation Commission, versato al National Archives and Records Service of South Africa, e gli stenografici delle audizioni dei partiti politici del 1997 contengono deposizioni di ministri in carica negli anni indagati. Per questa serie rilevano a un solo titolo: attestano chi ricoprisse quale funzione e in quale data. Il resto del loro contenuto appartiene ad altre serie e non si trasferisce ai discendenti in alcuna forma.</w:t>
      </w:r>
    </w:p>
    <w:p>
      <w:pPr>
        <w:spacing w:after="120" w:line="276"/>
        <w:jc w:val="both"/>
      </w:pPr>
      <w:r>
        <w:rPr>
          <w:rFonts w:ascii="Barlow Semi Condensed" w:cs="Barlow Semi Condensed" w:eastAsia="Barlow Semi Condensed" w:hAnsi="Barlow Semi Condensed"/>
          <w:b/>
          <w:bCs/>
          <w:sz w:val="24"/>
          <w:szCs w:val="24"/>
        </w:rPr>
        <w:t xml:space="preserve">242 · Il divieto centrale, applicato ai Botha.</w:t>
      </w:r>
      <w:r>
        <w:rPr>
          <w:rFonts w:ascii="Barlow Semi Condensed" w:cs="Barlow Semi Condensed" w:eastAsia="Barlow Semi Condensed" w:hAnsi="Barlow Semi Condensed"/>
          <w:sz w:val="24"/>
          <w:szCs w:val="24"/>
        </w:rPr>
        <w:t xml:space="preserve"> Nulla di ciò che Pik Botha disse o fece in quarant'anni di vita pubblica è attribuibile a suo nipote, e nessun atto professionale del nipote retroagisce sul nonno. Il legame è di sangue e si ferma lì. Il corpus lo scrive già nella tredicesima serie della triangolazione Kissinger, dove si legge che nessuno risponde dei propri congiunti; qui la regola pesa di più, perché le persone nominate sono vive.</w:t>
      </w:r>
    </w:p>
    <w:p>
      <w:pPr>
        <w:spacing w:after="120" w:line="276"/>
        <w:jc w:val="both"/>
      </w:pPr>
      <w:r>
        <w:rPr>
          <w:rFonts w:ascii="Barlow Semi Condensed" w:cs="Barlow Semi Condensed" w:eastAsia="Barlow Semi Condensed" w:hAnsi="Barlow Semi Condensed"/>
          <w:b/>
          <w:bCs/>
          <w:sz w:val="24"/>
          <w:szCs w:val="24"/>
        </w:rPr>
        <w:t xml:space="preserve">243 · Che cosa i depositi societari dicono.</w:t>
      </w:r>
      <w:r>
        <w:rPr>
          <w:rFonts w:ascii="Barlow Semi Condensed" w:cs="Barlow Semi Condensed" w:eastAsia="Barlow Semi Condensed" w:hAnsi="Barlow Semi Condensed"/>
          <w:sz w:val="24"/>
          <w:szCs w:val="24"/>
        </w:rPr>
        <w:t xml:space="preserve"> Nei documenti depositati presso la Securities and Exchange Commission per l'offerta pubblica di PayPal e per gli anni successivi i dirigenti sono nominati con carica e data, e la consultazione avviene in EDGAR senza intermediari. È la fonte con cui accertare che una persona ricoprisse un ruolo: registra l'impiego, non la biografia. Su una parentela sudafricana un prospetto americano tace, e tace perché non è tenuto a dirla.</w:t>
      </w:r>
    </w:p>
    <w:p>
      <w:pPr>
        <w:spacing w:after="120" w:line="276"/>
        <w:jc w:val="both"/>
      </w:pPr>
      <w:r>
        <w:rPr>
          <w:rFonts w:ascii="Barlow Semi Condensed" w:cs="Barlow Semi Condensed" w:eastAsia="Barlow Semi Condensed" w:hAnsi="Barlow Semi Condensed"/>
          <w:b/>
          <w:bCs/>
          <w:sz w:val="24"/>
          <w:szCs w:val="24"/>
        </w:rPr>
        <w:t xml:space="preserve">244 · La regola che definisce il parente.</w:t>
      </w:r>
      <w:r>
        <w:rPr>
          <w:rFonts w:ascii="Barlow Semi Condensed" w:cs="Barlow Semi Condensed" w:eastAsia="Barlow Semi Condensed" w:hAnsi="Barlow Semi Condensed"/>
          <w:sz w:val="24"/>
          <w:szCs w:val="24"/>
        </w:rPr>
        <w:t xml:space="preserve"> Il regolamento della Securities and Exchange Commission impone di dichiarare i rapporti di famiglia fra amministratori e dirigenti della società, e definisce il rapporto come vincolo di sangue, matrimonio o adozione non più remoto del cugino di primo grado. La definizione è preziosa e insieme limitante: crea trasparenza dentro un perimetro stretto e produce silenzio fuori. L'assenza di dichiarazione non è assenza di parentela, è assenza di obbligo.</w:t>
      </w:r>
    </w:p>
    <w:p>
      <w:pPr>
        <w:spacing w:after="120" w:line="276"/>
        <w:jc w:val="both"/>
      </w:pPr>
      <w:r>
        <w:rPr>
          <w:rFonts w:ascii="Barlow Semi Condensed" w:cs="Barlow Semi Condensed" w:eastAsia="Barlow Semi Condensed" w:hAnsi="Barlow Semi Condensed"/>
          <w:b/>
          <w:bCs/>
          <w:sz w:val="24"/>
          <w:szCs w:val="24"/>
        </w:rPr>
        <w:t xml:space="preserve">245 · Sequoia Capital, i fatti societari.</w:t>
      </w:r>
      <w:r>
        <w:rPr>
          <w:rFonts w:ascii="Barlow Semi Condensed" w:cs="Barlow Semi Condensed" w:eastAsia="Barlow Semi Condensed" w:hAnsi="Barlow Semi Condensed"/>
          <w:sz w:val="24"/>
          <w:szCs w:val="24"/>
        </w:rPr>
        <w:t xml:space="preserve"> Che Roelof Botha sia socio di Sequoia Capital e ne guidi la gestione è fatto pubblico, dichiarato dalla società stessa; i depositi presso la Securities and Exchange Commission relativi ai fondi gestiti e ai consigli occupati ne offrono il riscontro formale. Questi blocchi registrano l'impiego e nient'altro: una carica non è una discendenza politica, e nessun fondo d'investimento eredita la storia di uno Stato.</w:t>
      </w:r>
    </w:p>
    <w:p>
      <w:pPr>
        <w:spacing w:after="120" w:line="276"/>
        <w:jc w:val="both"/>
      </w:pPr>
      <w:r>
        <w:rPr>
          <w:rFonts w:ascii="Barlow Semi Condensed" w:cs="Barlow Semi Condensed" w:eastAsia="Barlow Semi Condensed" w:hAnsi="Barlow Semi Condensed"/>
          <w:b/>
          <w:bCs/>
          <w:sz w:val="24"/>
          <w:szCs w:val="24"/>
        </w:rPr>
        <w:t xml:space="preserve">246 · Bersaglio di smentita: il nesso di carriera.</w:t>
      </w:r>
      <w:r>
        <w:rPr>
          <w:rFonts w:ascii="Barlow Semi Condensed" w:cs="Barlow Semi Condensed" w:eastAsia="Barlow Semi Condensed" w:hAnsi="Barlow Semi Condensed"/>
          <w:sz w:val="24"/>
          <w:szCs w:val="24"/>
        </w:rPr>
        <w:t xml:space="preserve"> La tesi di continuità cadrebbe se si dimostrasse che la carriera finanziaria qui discussa dipese da un atto documentato del nonno: una raccomandazione scritta, un finanziamento tracciato, una partecipazione societaria trasmessa. Il luogo dove cercarlo è duplice, gli atti societari sudafricani depositati presso la Companies and Intellectual Property Commission e i trasferimenti immobiliari del Deeds Office di Pretoria. Nessuno di questi documenti risulta, allo stato, in atti.</w:t>
      </w:r>
    </w:p>
    <w:p>
      <w:pPr>
        <w:spacing w:after="120" w:line="276"/>
        <w:jc w:val="both"/>
      </w:pPr>
      <w:r>
        <w:rPr>
          <w:rFonts w:ascii="Barlow Semi Condensed" w:cs="Barlow Semi Condensed" w:eastAsia="Barlow Semi Condensed" w:hAnsi="Barlow Semi Condensed"/>
          <w:b/>
          <w:bCs/>
          <w:sz w:val="24"/>
          <w:szCs w:val="24"/>
        </w:rPr>
        <w:t xml:space="preserve">247 · Che cosa non prova un passaporto.</w:t>
      </w:r>
      <w:r>
        <w:rPr>
          <w:rFonts w:ascii="Barlow Semi Condensed" w:cs="Barlow Semi Condensed" w:eastAsia="Barlow Semi Condensed" w:hAnsi="Barlow Semi Condensed"/>
          <w:sz w:val="24"/>
          <w:szCs w:val="24"/>
        </w:rPr>
        <w:t xml:space="preserve"> Nascere cittadini sudafricani è condizione giuridica che milioni di persone condividono, e perciò non seleziona nulla. Usarla per costruire un gruppo — «i sudafricani della valle» — significa scegliere il carattere più comune possibile e chiamarlo diagnostico. In sistematica il carattere condiviso da tutti non individua alcun gruppo, come il corpus scrive al blocco 396 della triangolazione Kissinger, e la regola vale qui senza attenuazioni.</w:t>
      </w:r>
    </w:p>
    <w:p>
      <w:pPr>
        <w:spacing w:after="120" w:line="276"/>
        <w:jc w:val="both"/>
      </w:pPr>
      <w:r>
        <w:rPr>
          <w:rFonts w:ascii="Barlow Semi Condensed" w:cs="Barlow Semi Condensed" w:eastAsia="Barlow Semi Condensed" w:hAnsi="Barlow Semi Condensed"/>
          <w:b/>
          <w:bCs/>
          <w:sz w:val="24"/>
          <w:szCs w:val="24"/>
        </w:rPr>
        <w:t xml:space="preserve">248 · Il nonno e il dicastero minerario.</w:t>
      </w:r>
      <w:r>
        <w:rPr>
          <w:rFonts w:ascii="Barlow Semi Condensed" w:cs="Barlow Semi Condensed" w:eastAsia="Barlow Semi Condensed" w:hAnsi="Barlow Semi Condensed"/>
          <w:sz w:val="24"/>
          <w:szCs w:val="24"/>
        </w:rPr>
        <w:t xml:space="preserve"> Il dicastero delle Miniere e dell'Energia, tenuto da Pik Botha dopo il 1994, è verificabile negli atti ufficiali del governo sudafricano di quegli anni. Chi volesse costruirvi sopra un ponte con vicende estrattive di altri nomi trattati in quest'opera deve produrre un atto che nomini la controparte: una concessione, un contratto, un verbale. In assenza, la coincidenza di materia resta piano 2 e non si promuove a nesso.</w:t>
      </w:r>
    </w:p>
    <w:p>
      <w:pPr>
        <w:spacing w:after="120" w:line="276"/>
        <w:jc w:val="both"/>
      </w:pPr>
      <w:r>
        <w:rPr>
          <w:rFonts w:ascii="Barlow Semi Condensed" w:cs="Barlow Semi Condensed" w:eastAsia="Barlow Semi Condensed" w:hAnsi="Barlow Semi Condensed"/>
          <w:b/>
          <w:bCs/>
          <w:sz w:val="24"/>
          <w:szCs w:val="24"/>
        </w:rPr>
        <w:t xml:space="preserve">249 · Il grado dichiarato del caso Botha.</w:t>
      </w:r>
      <w:r>
        <w:rPr>
          <w:rFonts w:ascii="Barlow Semi Condensed" w:cs="Barlow Semi Condensed" w:eastAsia="Barlow Semi Condensed" w:hAnsi="Barlow Semi Condensed"/>
          <w:sz w:val="24"/>
          <w:szCs w:val="24"/>
        </w:rPr>
        <w:t xml:space="preserve"> Riassumendo con i gradi che il corpus impone: la parentela nonno-nipote è documentata; la non parentela fra i due Botha politici è accertata nei termini del grado prossimo; l'assenza di un atto che colleghi la carriera del nipote a un intervento del nonno è Stato Zero, cioè esito di ricerca e non lacuna da riempire con la congettura. Tre righe distinte, tre statuti distinti, e nessuna che sostenga le altre.</w:t>
      </w:r>
    </w:p>
    <w:p>
      <w:pPr>
        <w:spacing w:after="120" w:line="276"/>
        <w:jc w:val="both"/>
      </w:pPr>
      <w:r>
        <w:rPr>
          <w:rFonts w:ascii="Barlow Semi Condensed" w:cs="Barlow Semi Condensed" w:eastAsia="Barlow Semi Condensed" w:hAnsi="Barlow Semi Condensed"/>
          <w:b/>
          <w:bCs/>
          <w:sz w:val="24"/>
          <w:szCs w:val="24"/>
        </w:rPr>
        <w:t xml:space="preserve">250 · Joshua Norman Haldeman, i dati.</w:t>
      </w:r>
      <w:r>
        <w:rPr>
          <w:rFonts w:ascii="Barlow Semi Condensed" w:cs="Barlow Semi Condensed" w:eastAsia="Barlow Semi Condensed" w:hAnsi="Barlow Semi Condensed"/>
          <w:sz w:val="24"/>
          <w:szCs w:val="24"/>
        </w:rPr>
        <w:t xml:space="preserve"> Joshua Norman Haldeman, nato nel 1902 e morto nel 1974, canadese, aderente al movimento Technocracy, emigrò in Sud Africa nel 1950 ed è il nonno materno di Elon Musk. Sostenne pubblicamente l'apartheid ed espresse ripetutamente posizioni razziste e antisemite: l'inchiesta della Canadian Broadcasting Corporation lo documenta su carte e stampati d'epoca. I fatti sono suoi, la loro registrazione è dovuta, la loro attribuzione ad altri è vietata.</w:t>
      </w:r>
    </w:p>
    <w:p>
      <w:pPr>
        <w:spacing w:after="120" w:line="276"/>
        <w:jc w:val="both"/>
      </w:pPr>
      <w:r>
        <w:rPr>
          <w:rFonts w:ascii="Barlow Semi Condensed" w:cs="Barlow Semi Condensed" w:eastAsia="Barlow Semi Condensed" w:hAnsi="Barlow Semi Condensed"/>
          <w:b/>
          <w:bCs/>
          <w:sz w:val="24"/>
          <w:szCs w:val="24"/>
        </w:rPr>
        <w:t xml:space="preserve">251 · Lo Stato Zero sull'affiliazione nazista.</w:t>
      </w:r>
      <w:r>
        <w:rPr>
          <w:rFonts w:ascii="Barlow Semi Condensed" w:cs="Barlow Semi Condensed" w:eastAsia="Barlow Semi Condensed" w:hAnsi="Barlow Semi Condensed"/>
          <w:sz w:val="24"/>
          <w:szCs w:val="24"/>
        </w:rPr>
        <w:t xml:space="preserve"> Non risulta prova che Haldeman appartenesse a partiti nazisti. È uno Stato Zero verificato e come tale vale pienamente: si è cercato e non si è trovato. Chi lo affermasse dovrebbe produrre un tesseramento, un verbale di polizia, un elenco nominativo; le sedi sono i fondi di sicurezza canadesi conservati presso Library and Archives Canada e i registri di polizia sudafricani versati agli archivi di Pretoria.</w:t>
      </w:r>
    </w:p>
    <w:p>
      <w:pPr>
        <w:spacing w:after="120" w:line="276"/>
        <w:jc w:val="both"/>
      </w:pPr>
      <w:r>
        <w:rPr>
          <w:rFonts w:ascii="Barlow Semi Condensed" w:cs="Barlow Semi Condensed" w:eastAsia="Barlow Semi Condensed" w:hAnsi="Barlow Semi Condensed"/>
          <w:b/>
          <w:bCs/>
          <w:sz w:val="24"/>
          <w:szCs w:val="24"/>
        </w:rPr>
        <w:t xml:space="preserve">252 · Technocracy, e la sua natura.</w:t>
      </w:r>
      <w:r>
        <w:rPr>
          <w:rFonts w:ascii="Barlow Semi Condensed" w:cs="Barlow Semi Condensed" w:eastAsia="Barlow Semi Condensed" w:hAnsi="Barlow Semi Condensed"/>
          <w:sz w:val="24"/>
          <w:szCs w:val="24"/>
        </w:rPr>
        <w:t xml:space="preserve"> Technocracy Incorporated fu movimento nordamericano degli anni Trenta e Quaranta, con sezione canadese e con una storia amministrativa che lasciò carte: statuti, bollettini, provvedimenti governativi che ne limitarono l'attività in tempo di guerra. Le sue posizioni non coincidono con quelle dei partiti europei del medesimo periodo, ed equipararle per assonanza è analogia e non omologia. Gli archivi che permettono di distinguere sono canadesi, pubblici e poco frequentati.</w:t>
      </w:r>
    </w:p>
    <w:p>
      <w:pPr>
        <w:spacing w:after="120" w:line="276"/>
        <w:jc w:val="both"/>
      </w:pPr>
      <w:r>
        <w:rPr>
          <w:rFonts w:ascii="Barlow Semi Condensed" w:cs="Barlow Semi Condensed" w:eastAsia="Barlow Semi Condensed" w:hAnsi="Barlow Semi Condensed"/>
          <w:b/>
          <w:bCs/>
          <w:sz w:val="24"/>
          <w:szCs w:val="24"/>
        </w:rPr>
        <w:t xml:space="preserve">253 · L'emigrazione del 1950, dove si documenta.</w:t>
      </w:r>
      <w:r>
        <w:rPr>
          <w:rFonts w:ascii="Barlow Semi Condensed" w:cs="Barlow Semi Condensed" w:eastAsia="Barlow Semi Condensed" w:hAnsi="Barlow Semi Condensed"/>
          <w:sz w:val="24"/>
          <w:szCs w:val="24"/>
        </w:rPr>
        <w:t xml:space="preserve"> Il trasferimento di una famiglia canadese in Sud Africa nel 1950 lascia traccia in tre luoghi distinti: i passaporti e i registri d'uscita canadesi, gli atti d'immigrazione dell'amministrazione sudafricana oggi conservati al National Archives di Pretoria, e le liste passeggeri delle compagnie di navigazione. Non è un dettaglio biografico da citare di seconda mano: è un fatto d'archivio, e va chiesto dove effettivamente sta.</w:t>
      </w:r>
    </w:p>
    <w:p>
      <w:pPr>
        <w:spacing w:after="120" w:line="276"/>
        <w:jc w:val="both"/>
      </w:pPr>
      <w:r>
        <w:rPr>
          <w:rFonts w:ascii="Barlow Semi Condensed" w:cs="Barlow Semi Condensed" w:eastAsia="Barlow Semi Condensed" w:hAnsi="Barlow Semi Condensed"/>
          <w:b/>
          <w:bCs/>
          <w:sz w:val="24"/>
          <w:szCs w:val="24"/>
        </w:rPr>
        <w:t xml:space="preserve">254 · Bersaglio di smentita: le opinioni del nonno.</w:t>
      </w:r>
      <w:r>
        <w:rPr>
          <w:rFonts w:ascii="Barlow Semi Condensed" w:cs="Barlow Semi Condensed" w:eastAsia="Barlow Semi Condensed" w:hAnsi="Barlow Semi Condensed"/>
          <w:sz w:val="24"/>
          <w:szCs w:val="24"/>
        </w:rPr>
        <w:t xml:space="preserve"> Un documento in cui Joshua Haldeman ritratti o attenui le posizioni che gli sono attribuite obbligherebbe a correggere il quadro in quel punto, e a dirlo per iscritto. Dove cercarlo è noto: i suoi stessi scritti a stampa, la corrispondenza eventualmente conservata dalla famiglia, gli archivi dei periodici che lo ospitarono. Finché non emerge, la documentazione della Canadian Broadcasting Corporation regge, e regge soltanto su di lui.</w:t>
      </w:r>
    </w:p>
    <w:p>
      <w:pPr>
        <w:spacing w:after="120" w:line="276"/>
        <w:jc w:val="both"/>
      </w:pPr>
      <w:r>
        <w:rPr>
          <w:rFonts w:ascii="Barlow Semi Condensed" w:cs="Barlow Semi Condensed" w:eastAsia="Barlow Semi Condensed" w:hAnsi="Barlow Semi Condensed"/>
          <w:b/>
          <w:bCs/>
          <w:sz w:val="24"/>
          <w:szCs w:val="24"/>
        </w:rPr>
        <w:t xml:space="preserve">255 · Il divieto che quest'opera esiste per imporre.</w:t>
      </w:r>
      <w:r>
        <w:rPr>
          <w:rFonts w:ascii="Barlow Semi Condensed" w:cs="Barlow Semi Condensed" w:eastAsia="Barlow Semi Condensed" w:hAnsi="Barlow Semi Condensed"/>
          <w:sz w:val="24"/>
          <w:szCs w:val="24"/>
        </w:rPr>
        <w:t xml:space="preserve"> Un nipote nato nel 1971 non risponde delle opinioni di un nonno morto nel 1974. Non è cortesia: è il principio personalistico che il corpus applica dalla Fase decima dell'opera su Aldo Moro, dove la colpa non è mai del gruppo ed è sempre della persona. Chi cita una genealogia per suggerire una continuità di idee compie un'operazione che nessun documento sostiene e che il metodo espressamente vieta.</w:t>
      </w:r>
    </w:p>
    <w:p>
      <w:pPr>
        <w:spacing w:after="120" w:line="276"/>
        <w:jc w:val="both"/>
      </w:pPr>
      <w:r>
        <w:rPr>
          <w:rFonts w:ascii="Barlow Semi Condensed" w:cs="Barlow Semi Condensed" w:eastAsia="Barlow Semi Condensed" w:hAnsi="Barlow Semi Condensed"/>
          <w:b/>
          <w:bCs/>
          <w:sz w:val="24"/>
          <w:szCs w:val="24"/>
        </w:rPr>
        <w:t xml:space="preserve">256 · La doppia trasmissione, e il suo trucco.</w:t>
      </w:r>
      <w:r>
        <w:rPr>
          <w:rFonts w:ascii="Barlow Semi Condensed" w:cs="Barlow Semi Condensed" w:eastAsia="Barlow Semi Condensed" w:hAnsi="Barlow Semi Condensed"/>
          <w:sz w:val="24"/>
          <w:szCs w:val="24"/>
        </w:rPr>
        <w:t xml:space="preserve"> L'argomento da smontare ha due passaggi, e solo il primo viene esibito. Il primo è vero: esiste una discendenza di sangue documentata. Il secondo è taciuto: si suppone che lungo quella discendenza sia passata anche un'eredità di idee. Il primo si prova con un certificato; il secondo richiederebbe lettere, letture attestate, dichiarazioni. Chi non produce il secondo ha dimostrato solo il primo, e il primo su questo non dice nulla.</w:t>
      </w:r>
    </w:p>
    <w:p>
      <w:pPr>
        <w:spacing w:after="120" w:line="276"/>
        <w:jc w:val="both"/>
      </w:pPr>
      <w:r>
        <w:rPr>
          <w:rFonts w:ascii="Barlow Semi Condensed" w:cs="Barlow Semi Condensed" w:eastAsia="Barlow Semi Condensed" w:hAnsi="Barlow Semi Condensed"/>
          <w:b/>
          <w:bCs/>
          <w:sz w:val="24"/>
          <w:szCs w:val="24"/>
        </w:rPr>
        <w:t xml:space="preserve">257 · Maye Musk, i fatti pubblici.</w:t>
      </w:r>
      <w:r>
        <w:rPr>
          <w:rFonts w:ascii="Barlow Semi Condensed" w:cs="Barlow Semi Condensed" w:eastAsia="Barlow Semi Condensed" w:hAnsi="Barlow Semi Condensed"/>
          <w:sz w:val="24"/>
          <w:szCs w:val="24"/>
        </w:rPr>
        <w:t xml:space="preserve"> Maye Musk, nata Haldeman nel 1948 in Canada, figlia di Joshua e di Winnifred, è madre di Elon, Kimbal e Tosca Musk, ha una carriera pubblica propria come dietista e come modella e ha rilasciato interviste in quantità. La sua nascita canadese è, come si vedrà nel blocco seguente, il fatto genealogico dalla conseguenza giuridica più concreta dell'intera serie: da essa discende una cittadinanza.</w:t>
      </w:r>
    </w:p>
    <w:p>
      <w:pPr>
        <w:spacing w:after="120" w:line="276"/>
        <w:jc w:val="both"/>
      </w:pPr>
      <w:r>
        <w:rPr>
          <w:rFonts w:ascii="Barlow Semi Condensed" w:cs="Barlow Semi Condensed" w:eastAsia="Barlow Semi Condensed" w:hAnsi="Barlow Semi Condensed"/>
          <w:b/>
          <w:bCs/>
          <w:sz w:val="24"/>
          <w:szCs w:val="24"/>
        </w:rPr>
        <w:t xml:space="preserve">258 · La cittadinanza per discendenza.</w:t>
      </w:r>
      <w:r>
        <w:rPr>
          <w:rFonts w:ascii="Barlow Semi Condensed" w:cs="Barlow Semi Condensed" w:eastAsia="Barlow Semi Condensed" w:hAnsi="Barlow Semi Condensed"/>
          <w:sz w:val="24"/>
          <w:szCs w:val="24"/>
        </w:rPr>
        <w:t xml:space="preserve"> Elon Musk, nato a Pretoria nel 1971, è cittadino sudafricano per nascita, ottenne quella canadese in ragione della nascita canadese della madre e acquisì in seguito quella statunitense. È il caso in cui una parentela produce un effetto misurabile, perché la legge la converte in status. Le sedi che lo documentano sono tre e ordinarie: atti di nascita sudafricani, registri di cittadinanza canadesi, atti di naturalizzazione americani.</w:t>
      </w:r>
    </w:p>
    <w:p>
      <w:pPr>
        <w:spacing w:after="120" w:line="276"/>
        <w:jc w:val="both"/>
      </w:pPr>
      <w:r>
        <w:rPr>
          <w:rFonts w:ascii="Barlow Semi Condensed" w:cs="Barlow Semi Condensed" w:eastAsia="Barlow Semi Condensed" w:hAnsi="Barlow Semi Condensed"/>
          <w:b/>
          <w:bCs/>
          <w:sz w:val="24"/>
          <w:szCs w:val="24"/>
        </w:rPr>
        <w:t xml:space="preserve">259 · Quando la parentela è operativa.</w:t>
      </w:r>
      <w:r>
        <w:rPr>
          <w:rFonts w:ascii="Barlow Semi Condensed" w:cs="Barlow Semi Condensed" w:eastAsia="Barlow Semi Condensed" w:hAnsi="Barlow Semi Condensed"/>
          <w:sz w:val="24"/>
          <w:szCs w:val="24"/>
        </w:rPr>
        <w:t xml:space="preserve"> Dal caso precedente discende la distinzione che regge l'intera serie. Una parentela è operativa quando una norma le assegna un effetto — successione, cittadinanza, obbligo di dichiarazione societaria — e allora produce documenti e si accerta come qualunque altro fatto giuridico. È inerte quando serve soltanto a suggerire una somiglianza morale fra due persone. La prima si studia; la seconda si nomina per ciò che è e si lascia dov'è.</w:t>
      </w:r>
    </w:p>
    <w:p>
      <w:pPr>
        <w:spacing w:after="120" w:line="276"/>
        <w:jc w:val="both"/>
      </w:pPr>
      <w:r>
        <w:rPr>
          <w:rFonts w:ascii="Barlow Semi Condensed" w:cs="Barlow Semi Condensed" w:eastAsia="Barlow Semi Condensed" w:hAnsi="Barlow Semi Condensed"/>
          <w:b/>
          <w:bCs/>
          <w:sz w:val="24"/>
          <w:szCs w:val="24"/>
        </w:rPr>
        <w:t xml:space="preserve">260 · Errol Musk, e la miniera che manca.</w:t>
      </w:r>
      <w:r>
        <w:rPr>
          <w:rFonts w:ascii="Barlow Semi Condensed" w:cs="Barlow Semi Condensed" w:eastAsia="Barlow Semi Condensed" w:hAnsi="Barlow Semi Condensed"/>
          <w:sz w:val="24"/>
          <w:szCs w:val="24"/>
        </w:rPr>
        <w:t xml:space="preserve"> Il padre di Elon Musk rivendica pubblicamente un'attività informale legata a smeraldi in Zambia; il figlio ha negato pubblicamente che una miniera esistesse e ne ha chiesto la prova; il biografo Walter Isaacson descrive l'acquisto informale di pietre grezze e non una proprietà mineraria. Nessun documento di titolarità è mai emerso. La divergenza si riporta in tre righe che non si sciolgono l'una nell'altra e non si arbitrano qui.</w:t>
      </w:r>
    </w:p>
    <w:p>
      <w:pPr>
        <w:spacing w:after="120" w:line="276"/>
        <w:jc w:val="both"/>
      </w:pPr>
      <w:r>
        <w:rPr>
          <w:rFonts w:ascii="Barlow Semi Condensed" w:cs="Barlow Semi Condensed" w:eastAsia="Barlow Semi Condensed" w:hAnsi="Barlow Semi Condensed"/>
          <w:b/>
          <w:bCs/>
          <w:sz w:val="24"/>
          <w:szCs w:val="24"/>
        </w:rPr>
        <w:t xml:space="preserve">261 · Dove si chiuderebbe la questione smeraldi.</w:t>
      </w:r>
      <w:r>
        <w:rPr>
          <w:rFonts w:ascii="Barlow Semi Condensed" w:cs="Barlow Semi Condensed" w:eastAsia="Barlow Semi Condensed" w:hAnsi="Barlow Semi Condensed"/>
          <w:sz w:val="24"/>
          <w:szCs w:val="24"/>
        </w:rPr>
        <w:t xml:space="preserve"> Una concessione mineraria zambiana lascia un titolo: la licenza rilasciata dall'autorità competente in materia di miniere e l'iscrizione della società presso il registro delle imprese dello Zambia. Chi sostiene l'esistenza della miniera deve produrre l'una o l'altra; chi la nega può appoggiarsi all'assenza in quei registri, purché la ricerca sia stata condotta e verbalizzata. È un caso di scuola in cui lo Stato Zero decide la contesa.</w:t>
      </w:r>
    </w:p>
    <w:p>
      <w:pPr>
        <w:spacing w:after="120" w:line="276"/>
        <w:jc w:val="both"/>
      </w:pPr>
      <w:r>
        <w:rPr>
          <w:rFonts w:ascii="Barlow Semi Condensed" w:cs="Barlow Semi Condensed" w:eastAsia="Barlow Semi Condensed" w:hAnsi="Barlow Semi Condensed"/>
          <w:b/>
          <w:bCs/>
          <w:sz w:val="24"/>
          <w:szCs w:val="24"/>
        </w:rPr>
        <w:t xml:space="preserve">262 · Bersaglio di smentita: il patrimonio d'origine.</w:t>
      </w:r>
      <w:r>
        <w:rPr>
          <w:rFonts w:ascii="Barlow Semi Condensed" w:cs="Barlow Semi Condensed" w:eastAsia="Barlow Semi Condensed" w:hAnsi="Barlow Semi Condensed"/>
          <w:sz w:val="24"/>
          <w:szCs w:val="24"/>
        </w:rPr>
        <w:t xml:space="preserve"> Il capitale iniziale della famiglia, secondo una tesi assai ripetuta, discenderebbe da un'estrazione mineraria in regime coloniale. Cadrebbe alla produzione di un solo documento contrario — un bilancio, una dichiarazione fiscale d'epoca, un atto di vendita — e cadrebbe altrettanto la tesi opposta. Le sedi sono i registri fiscali sudafricani e i trasferimenti del Deeds Office. Nessuna delle due parti ha finora depositato carta alcuna.</w:t>
      </w:r>
    </w:p>
    <w:p>
      <w:pPr>
        <w:spacing w:after="120" w:line="276"/>
        <w:jc w:val="both"/>
      </w:pPr>
      <w:r>
        <w:rPr>
          <w:rFonts w:ascii="Barlow Semi Condensed" w:cs="Barlow Semi Condensed" w:eastAsia="Barlow Semi Condensed" w:hAnsi="Barlow Semi Condensed"/>
          <w:b/>
          <w:bCs/>
          <w:sz w:val="24"/>
          <w:szCs w:val="24"/>
        </w:rPr>
        <w:t xml:space="preserve">263 · L'infanzia non è una scelta.</w:t>
      </w:r>
      <w:r>
        <w:rPr>
          <w:rFonts w:ascii="Barlow Semi Condensed" w:cs="Barlow Semi Condensed" w:eastAsia="Barlow Semi Condensed" w:hAnsi="Barlow Semi Condensed"/>
          <w:sz w:val="24"/>
          <w:szCs w:val="24"/>
        </w:rPr>
        <w:t xml:space="preserve"> Chi nasce a Pretoria nel 1971, o a Città del Capo nel 1972, non ha scelto il regime in cui è nato, la scuola in cui fu iscritto, il quartiere in cui visse. Sono circostanze subite ed entrano nel corpus a titolo di contesto, mai di imputazione. La regola non protegge nessuno in particolare: protegge la differenza fra biografia e responsabilità, che è ciò che rende leggibile un'opera storica.</w:t>
      </w:r>
    </w:p>
    <w:p>
      <w:pPr>
        <w:spacing w:after="120" w:line="276"/>
        <w:jc w:val="both"/>
      </w:pPr>
      <w:r>
        <w:rPr>
          <w:rFonts w:ascii="Barlow Semi Condensed" w:cs="Barlow Semi Condensed" w:eastAsia="Barlow Semi Condensed" w:hAnsi="Barlow Semi Condensed"/>
          <w:b/>
          <w:bCs/>
          <w:sz w:val="24"/>
          <w:szCs w:val="24"/>
        </w:rPr>
        <w:t xml:space="preserve">264 · Kimbal Musk, fratello e socio.</w:t>
      </w:r>
      <w:r>
        <w:rPr>
          <w:rFonts w:ascii="Barlow Semi Condensed" w:cs="Barlow Semi Condensed" w:eastAsia="Barlow Semi Condensed" w:hAnsi="Barlow Semi Condensed"/>
          <w:sz w:val="24"/>
          <w:szCs w:val="24"/>
        </w:rPr>
        <w:t xml:space="preserve"> Kimbal Musk è fratello di Elon e fu con lui socio nella prima impresa, Zip2, ceduta nel 1999. Qui parentela e rapporto societario coincidono, e coincidendo diventano entrambi verificabili: gli atti costitutivi depositati presso il segretario di Stato della California e i documenti dell'operazione di cessione. È l'unico modo corretto di usare un legame familiare in una ricostruzione: quando produce un atto, si cita l'atto.</w:t>
      </w:r>
    </w:p>
    <w:p>
      <w:pPr>
        <w:spacing w:after="120" w:line="276"/>
        <w:jc w:val="both"/>
      </w:pPr>
      <w:r>
        <w:rPr>
          <w:rFonts w:ascii="Barlow Semi Condensed" w:cs="Barlow Semi Condensed" w:eastAsia="Barlow Semi Condensed" w:hAnsi="Barlow Semi Condensed"/>
          <w:b/>
          <w:bCs/>
          <w:sz w:val="24"/>
          <w:szCs w:val="24"/>
        </w:rPr>
        <w:t xml:space="preserve">265 · I cugini Rive, dichiarati in atti.</w:t>
      </w:r>
      <w:r>
        <w:rPr>
          <w:rFonts w:ascii="Barlow Semi Condensed" w:cs="Barlow Semi Condensed" w:eastAsia="Barlow Semi Condensed" w:hAnsi="Barlow Semi Condensed"/>
          <w:sz w:val="24"/>
          <w:szCs w:val="24"/>
        </w:rPr>
        <w:t xml:space="preserve"> Lyndon e Peter Rive, fondatori di SolarCity, sono cugini di primo grado di Elon Musk per parte di madre. La parentela non è deduzione di stampa: fu dichiarata nella documentazione depositata presso la Securities and Exchange Commission per l'operazione con cui Tesla acquisì la società nel 2016, perché il regolamento impone di dichiarare i rapporti familiari fino al primo grado di cuginanza. Un deposito societario è, in quel punto, atto genealogico.</w:t>
      </w:r>
    </w:p>
    <w:p>
      <w:pPr>
        <w:spacing w:after="120" w:line="276"/>
        <w:jc w:val="both"/>
      </w:pPr>
      <w:r>
        <w:rPr>
          <w:rFonts w:ascii="Barlow Semi Condensed" w:cs="Barlow Semi Condensed" w:eastAsia="Barlow Semi Condensed" w:hAnsi="Barlow Semi Condensed"/>
          <w:b/>
          <w:bCs/>
          <w:sz w:val="24"/>
          <w:szCs w:val="24"/>
        </w:rPr>
        <w:t xml:space="preserve">266 · La famiglia come rete d'impresa.</w:t>
      </w:r>
      <w:r>
        <w:rPr>
          <w:rFonts w:ascii="Barlow Semi Condensed" w:cs="Barlow Semi Condensed" w:eastAsia="Barlow Semi Condensed" w:hAnsi="Barlow Semi Condensed"/>
          <w:sz w:val="24"/>
          <w:szCs w:val="24"/>
        </w:rPr>
        <w:t xml:space="preserve"> Nei tre casi appena visti — fratello, cugini, madre — la parentela compare in atti d'impresa perché la legge le assegna rilievo. Se ne ricava una regola di ricerca e non una tesi: le genealogie utili di questa materia stanno nei fascicoli societari prima che negli alberi compilati dai curiosi. Chi cerca un parente cominci da un prospetto d'offerta e da un verbale di consiglio, e finisca in anagrafe.</w:t>
      </w:r>
    </w:p>
    <w:p>
      <w:pPr>
        <w:spacing w:after="120" w:line="276"/>
        <w:jc w:val="both"/>
      </w:pPr>
      <w:r>
        <w:rPr>
          <w:rFonts w:ascii="Barlow Semi Condensed" w:cs="Barlow Semi Condensed" w:eastAsia="Barlow Semi Condensed" w:hAnsi="Barlow Semi Condensed"/>
          <w:b/>
          <w:bCs/>
          <w:sz w:val="24"/>
          <w:szCs w:val="24"/>
        </w:rPr>
        <w:t xml:space="preserve">267 · Winnifred Fletcher, la linea materna.</w:t>
      </w:r>
      <w:r>
        <w:rPr>
          <w:rFonts w:ascii="Barlow Semi Condensed" w:cs="Barlow Semi Condensed" w:eastAsia="Barlow Semi Condensed" w:hAnsi="Barlow Semi Condensed"/>
          <w:sz w:val="24"/>
          <w:szCs w:val="24"/>
        </w:rPr>
        <w:t xml:space="preserve"> Winnifred Josephine Fletcher, coniugata Haldeman, è la nonna materna da cui passa la cittadinanza canadese della figlia e quindi del nipote. Le donne scompaiono dalle genealogie perché cambiano cognome, e questa serie annota il difetto: un albero costruito sui soli cognomi paterni perde metà dei rami e, in questo caso preciso, avrebbe perduto proprio il ramo giuridicamente decisivo.</w:t>
      </w:r>
    </w:p>
    <w:p>
      <w:pPr>
        <w:spacing w:after="120" w:line="276"/>
        <w:jc w:val="both"/>
      </w:pPr>
      <w:r>
        <w:rPr>
          <w:rFonts w:ascii="Barlow Semi Condensed" w:cs="Barlow Semi Condensed" w:eastAsia="Barlow Semi Condensed" w:hAnsi="Barlow Semi Condensed"/>
          <w:b/>
          <w:bCs/>
          <w:sz w:val="24"/>
          <w:szCs w:val="24"/>
        </w:rPr>
        <w:t xml:space="preserve">268 · Tosca Musk, e il criterio d'ingresso.</w:t>
      </w:r>
      <w:r>
        <w:rPr>
          <w:rFonts w:ascii="Barlow Semi Condensed" w:cs="Barlow Semi Condensed" w:eastAsia="Barlow Semi Condensed" w:hAnsi="Barlow Semi Condensed"/>
          <w:sz w:val="24"/>
          <w:szCs w:val="24"/>
        </w:rPr>
        <w:t xml:space="preserve"> Tosca Musk, sorella di Elon e Kimbal, ha una carriera propria nel cinema. Compare qui per una sola ragione, che vale come criterio generale: si nomina un membro di famiglia quando il legame è già pubblico e quando è pertinente a una domanda formulata. Fuori da queste due condizioni un nome si omette, anche se reperibile in dieci secondi, perché la reperibilità non è un titolo.</w:t>
      </w:r>
    </w:p>
    <w:p>
      <w:pPr>
        <w:spacing w:after="120" w:line="276"/>
        <w:jc w:val="both"/>
      </w:pPr>
      <w:r>
        <w:rPr>
          <w:rFonts w:ascii="Barlow Semi Condensed" w:cs="Barlow Semi Condensed" w:eastAsia="Barlow Semi Condensed" w:hAnsi="Barlow Semi Condensed"/>
          <w:b/>
          <w:bCs/>
          <w:sz w:val="24"/>
          <w:szCs w:val="24"/>
        </w:rPr>
        <w:t xml:space="preserve">269 · La linea che genera i cugini.</w:t>
      </w:r>
      <w:r>
        <w:rPr>
          <w:rFonts w:ascii="Barlow Semi Condensed" w:cs="Barlow Semi Condensed" w:eastAsia="Barlow Semi Condensed" w:hAnsi="Barlow Semi Condensed"/>
          <w:sz w:val="24"/>
          <w:szCs w:val="24"/>
        </w:rPr>
        <w:t xml:space="preserve"> I cugini di cui si è detto discendono dalla sorella della madre: la parentela di primo grado si stabilisce per quella via e non per via paterna. Il dettaglio conta perché indica dove cercare, nei registri canadesi di nascita del 1948 e nei successivi atti di matrimonio sudafricani, e perché mostra che il ramo utile di un albero è spesso quello che i compilatori tralasciano, cioè quello femminile.</w:t>
      </w:r>
    </w:p>
    <w:p>
      <w:pPr>
        <w:spacing w:after="120" w:line="276"/>
        <w:jc w:val="both"/>
      </w:pPr>
      <w:r>
        <w:rPr>
          <w:rFonts w:ascii="Barlow Semi Condensed" w:cs="Barlow Semi Condensed" w:eastAsia="Barlow Semi Condensed" w:hAnsi="Barlow Semi Condensed"/>
          <w:b/>
          <w:bCs/>
          <w:sz w:val="24"/>
          <w:szCs w:val="24"/>
        </w:rPr>
        <w:t xml:space="preserve">270 · Peter Thiel, nato a Francoforte.</w:t>
      </w:r>
      <w:r>
        <w:rPr>
          <w:rFonts w:ascii="Barlow Semi Condensed" w:cs="Barlow Semi Condensed" w:eastAsia="Barlow Semi Condensed" w:hAnsi="Barlow Semi Condensed"/>
          <w:sz w:val="24"/>
          <w:szCs w:val="24"/>
        </w:rPr>
        <w:t xml:space="preserve"> Peter Thiel nacque a Francoforte sul Meno nel 1967 e visse a Swakopmund, nell'Africa del Sud-Ovest allora amministrata dal Sud Africa, intorno al 1975-1977; il padre Klaus, ingegnere chimico, lavorava per un'impresa impegnata nel cantiere della miniera di uranio di Rössing. Frequentò a Johannesburg una scuola preparatoria riservata ai bianchi. Sono fatti di residenza, d'impiego paterno e d'iscrizione scolastica: nessuno dei tre è una parentela sudafricana.</w:t>
      </w:r>
    </w:p>
    <w:p>
      <w:pPr>
        <w:spacing w:after="120" w:line="276"/>
        <w:jc w:val="both"/>
      </w:pPr>
      <w:r>
        <w:rPr>
          <w:rFonts w:ascii="Barlow Semi Condensed" w:cs="Barlow Semi Condensed" w:eastAsia="Barlow Semi Condensed" w:hAnsi="Barlow Semi Condensed"/>
          <w:b/>
          <w:bCs/>
          <w:sz w:val="24"/>
          <w:szCs w:val="24"/>
        </w:rPr>
        <w:t xml:space="preserve">271 · Residenza non è lignaggio.</w:t>
      </w:r>
      <w:r>
        <w:rPr>
          <w:rFonts w:ascii="Barlow Semi Condensed" w:cs="Barlow Semi Condensed" w:eastAsia="Barlow Semi Condensed" w:hAnsi="Barlow Semi Condensed"/>
          <w:sz w:val="24"/>
          <w:szCs w:val="24"/>
        </w:rPr>
        <w:t xml:space="preserve"> Abitare un Paese per due anni da bambino colloca una persona in un ambiente; discendere da una famiglia di quel Paese la colloca in una linea. Le due cose producono documenti diversi — un registro di residenza e un certificato di nascita — e sostengono conclusioni diverse. Confonderle è l'errore genealogico più elementare e insieme il più frequente, e questa serie esiste anche per renderlo difficile da commettere.</w:t>
      </w:r>
    </w:p>
    <w:p>
      <w:pPr>
        <w:spacing w:after="120" w:line="276"/>
        <w:jc w:val="both"/>
      </w:pPr>
      <w:r>
        <w:rPr>
          <w:rFonts w:ascii="Barlow Semi Condensed" w:cs="Barlow Semi Condensed" w:eastAsia="Barlow Semi Condensed" w:hAnsi="Barlow Semi Condensed"/>
          <w:b/>
          <w:bCs/>
          <w:sz w:val="24"/>
          <w:szCs w:val="24"/>
        </w:rPr>
        <w:t xml:space="preserve">272 · Stato Zero: nessuna linea sudafricana.</w:t>
      </w:r>
      <w:r>
        <w:rPr>
          <w:rFonts w:ascii="Barlow Semi Condensed" w:cs="Barlow Semi Condensed" w:eastAsia="Barlow Semi Condensed" w:hAnsi="Barlow Semi Condensed"/>
          <w:sz w:val="24"/>
          <w:szCs w:val="24"/>
        </w:rPr>
        <w:t xml:space="preserve"> Nella famiglia in questione non risulta, allo stato, alcuna parentela sudafricana o namibiana documentata: la linea è tedesca. È esito negativo e si scrive come tale. Chi volesse smentirlo dispone di sedi precise: gli uffici di stato civile tedeschi dei comuni di provenienza per gli atti di nascita e di matrimonio, e per il versante africano i fondi del National Archives of Namibia a Windhoek.</w:t>
      </w:r>
    </w:p>
    <w:p>
      <w:pPr>
        <w:spacing w:after="120" w:line="276"/>
        <w:jc w:val="both"/>
      </w:pPr>
      <w:r>
        <w:rPr>
          <w:rFonts w:ascii="Barlow Semi Condensed" w:cs="Barlow Semi Condensed" w:eastAsia="Barlow Semi Condensed" w:hAnsi="Barlow Semi Condensed"/>
          <w:b/>
          <w:bCs/>
          <w:sz w:val="24"/>
          <w:szCs w:val="24"/>
        </w:rPr>
        <w:t xml:space="preserve">273 · Il cantiere di Rössing, e il limite.</w:t>
      </w:r>
      <w:r>
        <w:rPr>
          <w:rFonts w:ascii="Barlow Semi Condensed" w:cs="Barlow Semi Condensed" w:eastAsia="Barlow Semi Condensed" w:hAnsi="Barlow Semi Condensed"/>
          <w:sz w:val="24"/>
          <w:szCs w:val="24"/>
        </w:rPr>
        <w:t xml:space="preserve"> L'impiego paterno presso un'impresa del cantiere è fatto documentabile e va tenuto separato dalla tesi che circola sulla destinazione militare di quell'uranio, la quale resta piano 3 e non si adotta. Chi volesse verificarla ha sedi determinate: gli atti del Consiglio delle Nazioni Unite per la Namibia, gli archivi societari del gruppo minerario titolare, i fondi dell'amministrazione sudafricana del Sud-Ovest conservati a Windhoek.</w:t>
      </w:r>
    </w:p>
    <w:p>
      <w:pPr>
        <w:spacing w:after="120" w:line="276"/>
        <w:jc w:val="both"/>
      </w:pPr>
      <w:r>
        <w:rPr>
          <w:rFonts w:ascii="Barlow Semi Condensed" w:cs="Barlow Semi Condensed" w:eastAsia="Barlow Semi Condensed" w:hAnsi="Barlow Semi Condensed"/>
          <w:b/>
          <w:bCs/>
          <w:sz w:val="24"/>
          <w:szCs w:val="24"/>
        </w:rPr>
        <w:t xml:space="preserve">274 · La scuola come documento.</w:t>
      </w:r>
      <w:r>
        <w:rPr>
          <w:rFonts w:ascii="Barlow Semi Condensed" w:cs="Barlow Semi Condensed" w:eastAsia="Barlow Semi Condensed" w:hAnsi="Barlow Semi Condensed"/>
          <w:sz w:val="24"/>
          <w:szCs w:val="24"/>
        </w:rPr>
        <w:t xml:space="preserve"> L'iscrizione a una scuola lascia un registro, e un registro scolastico è fonte anagrafica di prim'ordine: contiene nome, data di nascita, residenza, nome del padre. Per gli istituti sudafricani qui richiamati i registri sono conservati dalle scuole stesse o versati agli archivi provinciali. Chiedere il registro è la via corretta; ripetere un dettaglio biografico letto altrove è la via che quest'opera rifiuta per principio.</w:t>
      </w:r>
    </w:p>
    <w:p>
      <w:pPr>
        <w:spacing w:after="120" w:line="276"/>
        <w:jc w:val="both"/>
      </w:pPr>
      <w:r>
        <w:rPr>
          <w:rFonts w:ascii="Barlow Semi Condensed" w:cs="Barlow Semi Condensed" w:eastAsia="Barlow Semi Condensed" w:hAnsi="Barlow Semi Condensed"/>
          <w:b/>
          <w:bCs/>
          <w:sz w:val="24"/>
          <w:szCs w:val="24"/>
        </w:rPr>
        <w:t xml:space="preserve">275 · Bersaglio di smentita: il periodo namibiano.</w:t>
      </w:r>
      <w:r>
        <w:rPr>
          <w:rFonts w:ascii="Barlow Semi Condensed" w:cs="Barlow Semi Condensed" w:eastAsia="Barlow Semi Condensed" w:hAnsi="Barlow Semi Condensed"/>
          <w:sz w:val="24"/>
          <w:szCs w:val="24"/>
        </w:rPr>
        <w:t xml:space="preserve"> Un errore sulle date del soggiorno è possibile e va cercato: se i registri di residenza di Swakopmund o gli atti della magistratura locale conservati al National Archives of Namibia collocassero la famiglia in anni diversi da quelli indicati, o non la collocassero affatto, l'ancoraggio andrebbe corretto e la correzione scritta accanto all'affermazione originaria, non al posto suo, secondo il blocco 279 del manuale investigativo.</w:t>
      </w:r>
    </w:p>
    <w:p>
      <w:pPr>
        <w:spacing w:after="120" w:line="276"/>
        <w:jc w:val="both"/>
      </w:pPr>
      <w:r>
        <w:rPr>
          <w:rFonts w:ascii="Barlow Semi Condensed" w:cs="Barlow Semi Condensed" w:eastAsia="Barlow Semi Condensed" w:hAnsi="Barlow Semi Condensed"/>
          <w:b/>
          <w:bCs/>
          <w:sz w:val="24"/>
          <w:szCs w:val="24"/>
        </w:rPr>
        <w:t xml:space="preserve">276 · Cittadinanze acquisite, e il loro atto.</w:t>
      </w:r>
      <w:r>
        <w:rPr>
          <w:rFonts w:ascii="Barlow Semi Condensed" w:cs="Barlow Semi Condensed" w:eastAsia="Barlow Semi Condensed" w:hAnsi="Barlow Semi Condensed"/>
          <w:sz w:val="24"/>
          <w:szCs w:val="24"/>
        </w:rPr>
        <w:t xml:space="preserve"> Una cittadinanza concessa per naturalizzazione o per decisione discrezionale è atto amministrativo, con numero e data, e in alcuni ordinamenti è accessibile su istanza di trasparenza. Per il soggetto dei blocchi precedenti una cittadinanza neozelandese del 2011 divenne di dominio pubblico nel 2017 attraverso documenti rilasciati dal dipartimento competente. Un atto ottenuto per accesso è la forma più solida di fatto biografico disponibile.</w:t>
      </w:r>
    </w:p>
    <w:p>
      <w:pPr>
        <w:spacing w:after="120" w:line="276"/>
        <w:jc w:val="both"/>
      </w:pPr>
      <w:r>
        <w:rPr>
          <w:rFonts w:ascii="Barlow Semi Condensed" w:cs="Barlow Semi Condensed" w:eastAsia="Barlow Semi Condensed" w:hAnsi="Barlow Semi Condensed"/>
          <w:b/>
          <w:bCs/>
          <w:sz w:val="24"/>
          <w:szCs w:val="24"/>
        </w:rPr>
        <w:t xml:space="preserve">277 · Il fratello, e il silenzio corretto.</w:t>
      </w:r>
      <w:r>
        <w:rPr>
          <w:rFonts w:ascii="Barlow Semi Condensed" w:cs="Barlow Semi Condensed" w:eastAsia="Barlow Semi Condensed" w:hAnsi="Barlow Semi Condensed"/>
          <w:sz w:val="24"/>
          <w:szCs w:val="24"/>
        </w:rPr>
        <w:t xml:space="preserve"> Le famiglie contengono persone prive di vita pubblica. Quando un fratello, una sorella o un genitore non ricoprono cariche, non depositano atti e non rilasciano dichiarazioni, il loro nome non entra in quest'opera nemmeno se figura in una biografia autorizzata. Il criterio è la pubblicità dell'atto e non la reperibilità del nome; su questo la serie è più restrittiva di gran parte della letteratura disponibile.</w:t>
      </w:r>
    </w:p>
    <w:p>
      <w:pPr>
        <w:spacing w:after="120" w:line="276"/>
        <w:jc w:val="both"/>
      </w:pPr>
      <w:r>
        <w:rPr>
          <w:rFonts w:ascii="Barlow Semi Condensed" w:cs="Barlow Semi Condensed" w:eastAsia="Barlow Semi Condensed" w:hAnsi="Barlow Semi Condensed"/>
          <w:b/>
          <w:bCs/>
          <w:sz w:val="24"/>
          <w:szCs w:val="24"/>
        </w:rPr>
        <w:t xml:space="preserve">278 · David Sacks, la sola verifica ammessa.</w:t>
      </w:r>
      <w:r>
        <w:rPr>
          <w:rFonts w:ascii="Barlow Semi Condensed" w:cs="Barlow Semi Condensed" w:eastAsia="Barlow Semi Condensed" w:hAnsi="Barlow Semi Condensed"/>
          <w:sz w:val="24"/>
          <w:szCs w:val="24"/>
        </w:rPr>
        <w:t xml:space="preserve"> Per David O. Sacks, dirigente di PayPal, la letteratura biografica indica la nascita a Città del Capo e l'emigrazione negli Stati Uniti nella prima infanzia. Sono affermazioni da accertare e non da ripetere: l'atto di nascita si chiede al Department of Home Affairs sudafricano, la data d'ingresso ai registri d'immigrazione americani. Accertate, restano dati di nascita e di residenza, e non fondano appartenenza ad alcunché.</w:t>
      </w:r>
    </w:p>
    <w:p>
      <w:pPr>
        <w:spacing w:after="120" w:line="276"/>
        <w:jc w:val="both"/>
      </w:pPr>
      <w:r>
        <w:rPr>
          <w:rFonts w:ascii="Barlow Semi Condensed" w:cs="Barlow Semi Condensed" w:eastAsia="Barlow Semi Condensed" w:hAnsi="Barlow Semi Condensed"/>
          <w:b/>
          <w:bCs/>
          <w:sz w:val="24"/>
          <w:szCs w:val="24"/>
        </w:rPr>
        <w:t xml:space="preserve">279 · Il conteggio che nessuno ha fatto.</w:t>
      </w:r>
      <w:r>
        <w:rPr>
          <w:rFonts w:ascii="Barlow Semi Condensed" w:cs="Barlow Semi Condensed" w:eastAsia="Barlow Semi Condensed" w:hAnsi="Barlow Semi Condensed"/>
          <w:sz w:val="24"/>
          <w:szCs w:val="24"/>
        </w:rPr>
        <w:t xml:space="preserve"> Chi sostenga che il gruppo fotografato per Fortune nel 2007 sia riconducibile a una matrice sudafricana ha un obbligo elementare e mai assolto: elencare i presenti uno per uno, indicare per ciascuno luogo di nascita e cittadinanza, esibire il rapporto che ne risulta. Finché quell'elenco non esiste l'affermazione non è né vera né falsa, è priva di contenuto verificabile, e come tale va trattata.</w:t>
      </w:r>
    </w:p>
    <w:p>
      <w:pPr>
        <w:spacing w:after="120" w:line="276"/>
        <w:jc w:val="both"/>
      </w:pPr>
      <w:r>
        <w:rPr>
          <w:rFonts w:ascii="Barlow Semi Condensed" w:cs="Barlow Semi Condensed" w:eastAsia="Barlow Semi Condensed" w:hAnsi="Barlow Semi Condensed"/>
          <w:b/>
          <w:bCs/>
          <w:sz w:val="24"/>
          <w:szCs w:val="24"/>
        </w:rPr>
        <w:t xml:space="preserve">280 · La fotografia del Tosca, che cosa è.</w:t>
      </w:r>
      <w:r>
        <w:rPr>
          <w:rFonts w:ascii="Barlow Semi Condensed" w:cs="Barlow Semi Condensed" w:eastAsia="Barlow Semi Condensed" w:hAnsi="Barlow Semi Condensed"/>
          <w:sz w:val="24"/>
          <w:szCs w:val="24"/>
        </w:rPr>
        <w:t xml:space="preserve"> La locuzione «PayPal Mafia» nasce da una copertina di Fortune del novembre 2007, firmata da Jeffrey O'Brien, con fotografia di gruppo scattata al Tosca di San Francisco. Elon Musk non partecipò a quella fotografia. Non esistono atto costitutivo, statuto, elenco dei soci: è una categoria giornalistica, e in una serie sui lignaggi conviene dirlo esplicitamente, perché una categoria non ha antenati né discendenti.</w:t>
      </w:r>
    </w:p>
    <w:p>
      <w:pPr>
        <w:spacing w:after="120" w:line="276"/>
        <w:jc w:val="both"/>
      </w:pPr>
      <w:r>
        <w:rPr>
          <w:rFonts w:ascii="Barlow Semi Condensed" w:cs="Barlow Semi Condensed" w:eastAsia="Barlow Semi Condensed" w:hAnsi="Barlow Semi Condensed"/>
          <w:b/>
          <w:bCs/>
          <w:sz w:val="24"/>
          <w:szCs w:val="24"/>
        </w:rPr>
        <w:t xml:space="preserve">281 · Perché la metafora mafiosa inganna qui.</w:t>
      </w:r>
      <w:r>
        <w:rPr>
          <w:rFonts w:ascii="Barlow Semi Condensed" w:cs="Barlow Semi Condensed" w:eastAsia="Barlow Semi Condensed" w:hAnsi="Barlow Semi Condensed"/>
          <w:sz w:val="24"/>
          <w:szCs w:val="24"/>
        </w:rPr>
        <w:t xml:space="preserve"> Mafia è parola che evoca una struttura fondata sul vincolo familiare, ed è esattamente ciò che il caso non presenta: fra le persone così etichettate le parentele documentate sono, allo stato, poche e note. Una metafora che nomina la famiglia dove la famiglia non c'è genera nel lettore l'attesa di trovarne, e l'attesa è ciò che fa vedere alberi dove esistono soltanto coincidenze.</w:t>
      </w:r>
    </w:p>
    <w:p>
      <w:pPr>
        <w:spacing w:after="120" w:line="276"/>
        <w:jc w:val="both"/>
      </w:pPr>
      <w:r>
        <w:rPr>
          <w:rFonts w:ascii="Barlow Semi Condensed" w:cs="Barlow Semi Condensed" w:eastAsia="Barlow Semi Condensed" w:hAnsi="Barlow Semi Condensed"/>
          <w:b/>
          <w:bCs/>
          <w:sz w:val="24"/>
          <w:szCs w:val="24"/>
        </w:rPr>
        <w:t xml:space="preserve">282 · Bersaglio di smentita: parentele interne al gruppo.</w:t>
      </w:r>
      <w:r>
        <w:rPr>
          <w:rFonts w:ascii="Barlow Semi Condensed" w:cs="Barlow Semi Condensed" w:eastAsia="Barlow Semi Condensed" w:hAnsi="Barlow Semi Condensed"/>
          <w:sz w:val="24"/>
          <w:szCs w:val="24"/>
        </w:rPr>
        <w:t xml:space="preserve"> Se emergesse, per atto anagrafico o per dichiarazione depositata, una parentela finora ignota fra due delle persone etichettate nel 2007, il quadro cambierebbe e andrebbe riscritto in quel punto. Le sedi sono i depositi societari americani, dove il rapporto familiare fra dirigenti va dichiarato, e gli archivi anagrafici dei rispettivi Paesi di nascita. È ricerca che nessuna delle due pubblicistiche contrapposte ha mai condotto.</w:t>
      </w:r>
    </w:p>
    <w:p>
      <w:pPr>
        <w:spacing w:after="120" w:line="276"/>
        <w:jc w:val="both"/>
      </w:pPr>
      <w:r>
        <w:rPr>
          <w:rFonts w:ascii="Barlow Semi Condensed" w:cs="Barlow Semi Condensed" w:eastAsia="Barlow Semi Condensed" w:hAnsi="Barlow Semi Condensed"/>
          <w:b/>
          <w:bCs/>
          <w:sz w:val="24"/>
          <w:szCs w:val="24"/>
        </w:rPr>
        <w:t xml:space="preserve">283 · Le parentele supposte, come si trattano.</w:t>
      </w:r>
      <w:r>
        <w:rPr>
          <w:rFonts w:ascii="Barlow Semi Condensed" w:cs="Barlow Semi Condensed" w:eastAsia="Barlow Semi Condensed" w:hAnsi="Barlow Semi Condensed"/>
          <w:sz w:val="24"/>
          <w:szCs w:val="24"/>
        </w:rPr>
        <w:t xml:space="preserve"> Una parentela affermata senza documento si registra insieme al nome di chi l'ha affermata, alla data e alla sede, e si accompagna con l'indicazione dell'atto che la chiuderebbe. Non si smentisce per inverosimiglianza e non si accoglie per ripetizione. Il numero delle occorrenze in rete non ha valore probatorio: cento siti che riportano la stessa frase sono una fonte sola, copiata cento volte.</w:t>
      </w:r>
    </w:p>
    <w:p>
      <w:pPr>
        <w:spacing w:after="120" w:line="276"/>
        <w:jc w:val="both"/>
      </w:pPr>
      <w:r>
        <w:rPr>
          <w:rFonts w:ascii="Barlow Semi Condensed" w:cs="Barlow Semi Condensed" w:eastAsia="Barlow Semi Condensed" w:hAnsi="Barlow Semi Condensed"/>
          <w:b/>
          <w:bCs/>
          <w:sz w:val="24"/>
          <w:szCs w:val="24"/>
        </w:rPr>
        <w:t xml:space="preserve">284 · Bersaglio di smentita: i due Botha, rovesciato.</w:t>
      </w:r>
      <w:r>
        <w:rPr>
          <w:rFonts w:ascii="Barlow Semi Condensed" w:cs="Barlow Semi Condensed" w:eastAsia="Barlow Semi Condensed" w:hAnsi="Barlow Semi Condensed"/>
          <w:sz w:val="24"/>
          <w:szCs w:val="24"/>
        </w:rPr>
        <w:t xml:space="preserve"> Anche la direzione scomoda va percorsa. Ove un documento provasse che chi ha scritto della parentela fra Pik e P.W. Botha disponeva di una fonte anagrafica e non di un equivoco, questa serie dovrebbe correggersi e dirlo in apertura. La prova richiesta è identica nelle due direzioni: un certificato integrale di nascita, o un fascicolo di successione che nomini ascendenti comuni entro il grado prossimo.</w:t>
      </w:r>
    </w:p>
    <w:p>
      <w:pPr>
        <w:spacing w:after="120" w:line="276"/>
        <w:jc w:val="both"/>
      </w:pPr>
      <w:r>
        <w:rPr>
          <w:rFonts w:ascii="Barlow Semi Condensed" w:cs="Barlow Semi Condensed" w:eastAsia="Barlow Semi Condensed" w:hAnsi="Barlow Semi Condensed"/>
          <w:b/>
          <w:bCs/>
          <w:sz w:val="24"/>
          <w:szCs w:val="24"/>
        </w:rPr>
        <w:t xml:space="preserve">285 · Un albero non si legge all'indietro.</w:t>
      </w:r>
      <w:r>
        <w:rPr>
          <w:rFonts w:ascii="Barlow Semi Condensed" w:cs="Barlow Semi Condensed" w:eastAsia="Barlow Semi Condensed" w:hAnsi="Barlow Semi Condensed"/>
          <w:sz w:val="24"/>
          <w:szCs w:val="24"/>
        </w:rPr>
        <w:t xml:space="preserve"> Si costruisce dai documenti verso l'esito, mai dall'esito verso i documenti. Chi parte da un gruppo di persone di successo e cerca a ritroso l'antenato che lo spieghi trova sempre qualcosa, perché il numero degli ascendenti raddoppia a ogni generazione. È la forma genealogica della dietrologia, e il corpus la nomina già al blocco 29 della triangolazione Kissinger, dove l'albero letto al contrario è dichiarato vizio di metodo.</w:t>
      </w:r>
    </w:p>
    <w:p>
      <w:pPr>
        <w:spacing w:after="120" w:line="276"/>
        <w:jc w:val="both"/>
      </w:pPr>
      <w:r>
        <w:rPr>
          <w:rFonts w:ascii="Barlow Semi Condensed" w:cs="Barlow Semi Condensed" w:eastAsia="Barlow Semi Condensed" w:hAnsi="Barlow Semi Condensed"/>
          <w:b/>
          <w:bCs/>
          <w:sz w:val="24"/>
          <w:szCs w:val="24"/>
        </w:rPr>
        <w:t xml:space="preserve">286 · La progressione degli antenati.</w:t>
      </w:r>
      <w:r>
        <w:rPr>
          <w:rFonts w:ascii="Barlow Semi Condensed" w:cs="Barlow Semi Condensed" w:eastAsia="Barlow Semi Condensed" w:hAnsi="Barlow Semi Condensed"/>
          <w:sz w:val="24"/>
          <w:szCs w:val="24"/>
        </w:rPr>
        <w:t xml:space="preserve"> Dieci generazioni indietro un individuo ha, in teoria, oltre mille ascendenti; venti generazioni indietro ne ha più di un milione. Da un bacino così ampio si estrae qualunque cosa si desideri trovare, incluso un notabile, un criminale o un funzionario coloniale. La numerosità degli antenati è la ragione aritmetica per cui la genealogia retrospettiva non prova nulla da sola, e per cui serve sempre l'atto che nomini il legame specifico.</w:t>
      </w:r>
    </w:p>
    <w:p>
      <w:pPr>
        <w:spacing w:after="120" w:line="276"/>
        <w:jc w:val="both"/>
      </w:pPr>
      <w:r>
        <w:rPr>
          <w:rFonts w:ascii="Barlow Semi Condensed" w:cs="Barlow Semi Condensed" w:eastAsia="Barlow Semi Condensed" w:hAnsi="Barlow Semi Condensed"/>
          <w:b/>
          <w:bCs/>
          <w:sz w:val="24"/>
          <w:szCs w:val="24"/>
        </w:rPr>
        <w:t xml:space="preserve">287 · Il collo di bottiglia delle comunità piccole.</w:t>
      </w:r>
      <w:r>
        <w:rPr>
          <w:rFonts w:ascii="Barlow Semi Condensed" w:cs="Barlow Semi Condensed" w:eastAsia="Barlow Semi Condensed" w:hAnsi="Barlow Semi Condensed"/>
          <w:sz w:val="24"/>
          <w:szCs w:val="24"/>
        </w:rPr>
        <w:t xml:space="preserve"> In una popolazione ridotta e a forte endogamia, quale fu quella afrikaner per generazioni, quasi tutti risultano imparentati se si risale abbastanza indietro. La conseguenza non è che tutti siano parenti in senso utile: è che il grado va sempre dichiarato. Una cuginanza di sesto grado dentro una comunità di poche decine di migliaia di famiglie è statistica e non biografia, e come statistica va scritta.</w:t>
      </w:r>
    </w:p>
    <w:p>
      <w:pPr>
        <w:spacing w:after="120" w:line="276"/>
        <w:jc w:val="both"/>
      </w:pPr>
      <w:r>
        <w:rPr>
          <w:rFonts w:ascii="Barlow Semi Condensed" w:cs="Barlow Semi Condensed" w:eastAsia="Barlow Semi Condensed" w:hAnsi="Barlow Semi Condensed"/>
          <w:b/>
          <w:bCs/>
          <w:sz w:val="24"/>
          <w:szCs w:val="24"/>
        </w:rPr>
        <w:t xml:space="preserve">288 · L'archivio del Capo, per le linee antiche.</w:t>
      </w:r>
      <w:r>
        <w:rPr>
          <w:rFonts w:ascii="Barlow Semi Condensed" w:cs="Barlow Semi Condensed" w:eastAsia="Barlow Semi Condensed" w:hAnsi="Barlow Semi Condensed"/>
          <w:sz w:val="24"/>
          <w:szCs w:val="24"/>
        </w:rPr>
        <w:t xml:space="preserve"> Per le linee afrikaner anteriori all'Ottocento la sede è il Cape Town Archives Repository, dove i fascicoli della Orphan Chamber e i testamenti della serie MOOC coprono il periodo della Compagnia delle Indie. Sono carte in olandese e in una grafia che richiede pratica, e nessuna genealogia sudafricana seria si costruisce senza di esse. Vanno nominate qui perché esistono e perché quasi nessuno le apre.</w:t>
      </w:r>
    </w:p>
    <w:p>
      <w:pPr>
        <w:spacing w:after="120" w:line="276"/>
        <w:jc w:val="both"/>
      </w:pPr>
      <w:r>
        <w:rPr>
          <w:rFonts w:ascii="Barlow Semi Condensed" w:cs="Barlow Semi Condensed" w:eastAsia="Barlow Semi Condensed" w:hAnsi="Barlow Semi Condensed"/>
          <w:b/>
          <w:bCs/>
          <w:sz w:val="24"/>
          <w:szCs w:val="24"/>
        </w:rPr>
        <w:t xml:space="preserve">289 · Il matrimonio come atto genealogico.</w:t>
      </w:r>
      <w:r>
        <w:rPr>
          <w:rFonts w:ascii="Barlow Semi Condensed" w:cs="Barlow Semi Condensed" w:eastAsia="Barlow Semi Condensed" w:hAnsi="Barlow Semi Condensed"/>
          <w:sz w:val="24"/>
          <w:szCs w:val="24"/>
        </w:rPr>
        <w:t xml:space="preserve"> Un atto di matrimonio nomina almeno quattro persone, gli sposi e i rispettivi genitori, ed è perciò il documento che collega due alberi con un solo foglio. In Sud Africa è tenuto dal Department of Home Affairs; per le celebrazioni religiose esistono in parallelo i registri della Nederduitse Gereformeerde Kerk, il cui archivio centrale è a Stellenbosch. La doppia registrazione consente un controllo incrociato altrove impossibile.</w:t>
      </w:r>
    </w:p>
    <w:p>
      <w:pPr>
        <w:spacing w:after="120" w:line="276"/>
        <w:jc w:val="both"/>
      </w:pPr>
      <w:r>
        <w:rPr>
          <w:rFonts w:ascii="Barlow Semi Condensed" w:cs="Barlow Semi Condensed" w:eastAsia="Barlow Semi Condensed" w:hAnsi="Barlow Semi Condensed"/>
          <w:b/>
          <w:bCs/>
          <w:sz w:val="24"/>
          <w:szCs w:val="24"/>
        </w:rPr>
        <w:t xml:space="preserve">290 · Il divorzio, e ciò che non prova.</w:t>
      </w:r>
      <w:r>
        <w:rPr>
          <w:rFonts w:ascii="Barlow Semi Condensed" w:cs="Barlow Semi Condensed" w:eastAsia="Barlow Semi Condensed" w:hAnsi="Barlow Semi Condensed"/>
          <w:sz w:val="24"/>
          <w:szCs w:val="24"/>
        </w:rPr>
        <w:t xml:space="preserve"> Uno scioglimento di matrimonio è atto giudiziario e figura nei ruoli dei tribunali competenti. Registra la fine di un rapporto e nient'altro: non retroagisce sulla filiazione, non modifica una discendenza, non autorizza inferenze sul carattere delle persone coinvolte. In questa serie comparirebbe soltanto ove servisse a spiegare la residenza di un minore in un dato periodo, e per nessun altro fine si utilizza.</w:t>
      </w:r>
    </w:p>
    <w:p>
      <w:pPr>
        <w:spacing w:after="120" w:line="276"/>
        <w:jc w:val="both"/>
      </w:pPr>
      <w:r>
        <w:rPr>
          <w:rFonts w:ascii="Barlow Semi Condensed" w:cs="Barlow Semi Condensed" w:eastAsia="Barlow Semi Condensed" w:hAnsi="Barlow Semi Condensed"/>
          <w:b/>
          <w:bCs/>
          <w:sz w:val="24"/>
          <w:szCs w:val="24"/>
        </w:rPr>
        <w:t xml:space="preserve">291 · Bersaglio di smentita: la data di nascita.</w:t>
      </w:r>
      <w:r>
        <w:rPr>
          <w:rFonts w:ascii="Barlow Semi Condensed" w:cs="Barlow Semi Condensed" w:eastAsia="Barlow Semi Condensed" w:hAnsi="Barlow Semi Condensed"/>
          <w:sz w:val="24"/>
          <w:szCs w:val="24"/>
        </w:rPr>
        <w:t xml:space="preserve"> L'attribuzione di un atto a una persona regge sulla coincidenza fra nome e data di nascita. Ove per una qualunque delle persone nominate in questa serie il certificato integrale restituisse una data diversa da quella corrente, ogni attribuzione fondata su quella data andrebbe rifatta da capo. È il bersaglio più noioso e insieme il più redditizio: le genealogie sbagliate nascono quasi tutte da un anno letto male.</w:t>
      </w:r>
    </w:p>
    <w:p>
      <w:pPr>
        <w:spacing w:after="120" w:line="276"/>
        <w:jc w:val="both"/>
      </w:pPr>
      <w:r>
        <w:rPr>
          <w:rFonts w:ascii="Barlow Semi Condensed" w:cs="Barlow Semi Condensed" w:eastAsia="Barlow Semi Condensed" w:hAnsi="Barlow Semi Condensed"/>
          <w:b/>
          <w:bCs/>
          <w:sz w:val="24"/>
          <w:szCs w:val="24"/>
        </w:rPr>
        <w:t xml:space="preserve">292 · L'adozione, categoria dimenticata.</w:t>
      </w:r>
      <w:r>
        <w:rPr>
          <w:rFonts w:ascii="Barlow Semi Condensed" w:cs="Barlow Semi Condensed" w:eastAsia="Barlow Semi Condensed" w:hAnsi="Barlow Semi Condensed"/>
          <w:sz w:val="24"/>
          <w:szCs w:val="24"/>
        </w:rPr>
        <w:t xml:space="preserve"> Le definizioni giuridiche di parentela includono l'adozione, e i registri la trattano con regole di riservatezza proprie. Una linea può dunque essere giuridicamente vera e biologicamente diversa, oppure il contrario. Chi costruisce un albero senza tenerne conto commette un errore di categoria; chi indaga una filiazione adottiva senza necessità di ricerca commette una violazione. La prima si corregge, la seconda si vieta e basta.</w:t>
      </w:r>
    </w:p>
    <w:p>
      <w:pPr>
        <w:spacing w:after="120" w:line="276"/>
        <w:jc w:val="both"/>
      </w:pPr>
      <w:r>
        <w:rPr>
          <w:rFonts w:ascii="Barlow Semi Condensed" w:cs="Barlow Semi Condensed" w:eastAsia="Barlow Semi Condensed" w:hAnsi="Barlow Semi Condensed"/>
          <w:b/>
          <w:bCs/>
          <w:sz w:val="24"/>
          <w:szCs w:val="24"/>
        </w:rPr>
        <w:t xml:space="preserve">293 · Il cognome che cambia.</w:t>
      </w:r>
      <w:r>
        <w:rPr>
          <w:rFonts w:ascii="Barlow Semi Condensed" w:cs="Barlow Semi Condensed" w:eastAsia="Barlow Semi Condensed" w:hAnsi="Barlow Semi Condensed"/>
          <w:sz w:val="24"/>
          <w:szCs w:val="24"/>
        </w:rPr>
        <w:t xml:space="preserve"> Una donna che si sposa, un emigrante che semplifica la grafia, un ufficiale d'anagrafe che trascrive a orecchio: il cognome è la variabile più instabile della genealogia. Le ricerche per stringa falliscono per questo e non per assenza del soggetto. La regola operativa è cercare per data di nascita e per luogo, usando il cognome come filtro finale e mai come chiave primaria dell'interrogazione.</w:t>
      </w:r>
    </w:p>
    <w:p>
      <w:pPr>
        <w:spacing w:after="120" w:line="276"/>
        <w:jc w:val="both"/>
      </w:pPr>
      <w:r>
        <w:rPr>
          <w:rFonts w:ascii="Barlow Semi Condensed" w:cs="Barlow Semi Condensed" w:eastAsia="Barlow Semi Condensed" w:hAnsi="Barlow Semi Condensed"/>
          <w:b/>
          <w:bCs/>
          <w:sz w:val="24"/>
          <w:szCs w:val="24"/>
        </w:rPr>
        <w:t xml:space="preserve">294 · Bersaglio di smentita: la linea Fletcher.</w:t>
      </w:r>
      <w:r>
        <w:rPr>
          <w:rFonts w:ascii="Barlow Semi Condensed" w:cs="Barlow Semi Condensed" w:eastAsia="Barlow Semi Condensed" w:hAnsi="Barlow Semi Condensed"/>
          <w:sz w:val="24"/>
          <w:szCs w:val="24"/>
        </w:rPr>
        <w:t xml:space="preserve"> Attraverso la nonna materna passa una cittadinanza, e quello è dunque l'anello che una smentita colpirebbe con l'effetto maggiore. Basterebbe un atto di nascita che collocasse quella nascita fuori dal Canada per rimettere in discussione l'intera catena e con essa il blocco che la descrive. Le sedi sono Library and Archives Canada per i registri federali e gli archivi provinciali per gli atti di stato civile.</w:t>
      </w:r>
    </w:p>
    <w:p>
      <w:pPr>
        <w:spacing w:after="120" w:line="276"/>
        <w:jc w:val="both"/>
      </w:pPr>
      <w:r>
        <w:rPr>
          <w:rFonts w:ascii="Barlow Semi Condensed" w:cs="Barlow Semi Condensed" w:eastAsia="Barlow Semi Condensed" w:hAnsi="Barlow Semi Condensed"/>
          <w:b/>
          <w:bCs/>
          <w:sz w:val="24"/>
          <w:szCs w:val="24"/>
        </w:rPr>
        <w:t xml:space="preserve">295 · La regola dell'anello debole, in genealogia.</w:t>
      </w:r>
      <w:r>
        <w:rPr>
          <w:rFonts w:ascii="Barlow Semi Condensed" w:cs="Barlow Semi Condensed" w:eastAsia="Barlow Semi Condensed" w:hAnsi="Barlow Semi Condensed"/>
          <w:sz w:val="24"/>
          <w:szCs w:val="24"/>
        </w:rPr>
        <w:t xml:space="preserve"> Il grado di una discendenza è il grado del suo passaggio più debole. Una linea di sei generazioni con cinque atti notarili e una tradizione orale vale la tradizione orale. Il corpus la formula al blocco 169 della triangolazione Kissinger per i lignaggi dottrinali; applicata al sangue è ancora più stringente, perché un solo passaggio non provato interrompe la catena invece di indebolirla soltanto.</w:t>
      </w:r>
    </w:p>
    <w:p>
      <w:pPr>
        <w:spacing w:after="120" w:line="276"/>
        <w:jc w:val="both"/>
      </w:pPr>
      <w:r>
        <w:rPr>
          <w:rFonts w:ascii="Barlow Semi Condensed" w:cs="Barlow Semi Condensed" w:eastAsia="Barlow Semi Condensed" w:hAnsi="Barlow Semi Condensed"/>
          <w:b/>
          <w:bCs/>
          <w:sz w:val="24"/>
          <w:szCs w:val="24"/>
        </w:rPr>
        <w:t xml:space="preserve">296 · Bersaglio di smentita: l'assenza di atti.</w:t>
      </w:r>
      <w:r>
        <w:rPr>
          <w:rFonts w:ascii="Barlow Semi Condensed" w:cs="Barlow Semi Condensed" w:eastAsia="Barlow Semi Condensed" w:hAnsi="Barlow Semi Condensed"/>
          <w:sz w:val="24"/>
          <w:szCs w:val="24"/>
        </w:rPr>
        <w:t xml:space="preserve"> Chi affermi che una parentela sudafricana abbia inciso su decisioni d'investimento deve indicare l'atto: un verbale che nomini il congiunto, una comunicazione depositata, un conflitto d'interessi dichiarato. Le sedi sono la documentazione presso la Securities and Exchange Commission e i registri societari competenti. Allo stato non risulta nulla, e questo non è silenzio sospetto: è esito di ricerca, da verbalizzare come tale.</w:t>
      </w:r>
    </w:p>
    <w:p>
      <w:pPr>
        <w:spacing w:after="120" w:line="276"/>
        <w:jc w:val="both"/>
      </w:pPr>
      <w:r>
        <w:rPr>
          <w:rFonts w:ascii="Barlow Semi Condensed" w:cs="Barlow Semi Condensed" w:eastAsia="Barlow Semi Condensed" w:hAnsi="Barlow Semi Condensed"/>
          <w:b/>
          <w:bCs/>
          <w:sz w:val="24"/>
          <w:szCs w:val="24"/>
        </w:rPr>
        <w:t xml:space="preserve">297 · Bersaglio di smentita: i beni di famiglia.</w:t>
      </w:r>
      <w:r>
        <w:rPr>
          <w:rFonts w:ascii="Barlow Semi Condensed" w:cs="Barlow Semi Condensed" w:eastAsia="Barlow Semi Condensed" w:hAnsi="Barlow Semi Condensed"/>
          <w:sz w:val="24"/>
          <w:szCs w:val="24"/>
        </w:rPr>
        <w:t xml:space="preserve"> Se un atto del Deeds Office di Pretoria o di Città del Capo attestasse trasferimenti di beni fra le linee qui trattate e imprese o soggetti dell'epoca dell'apartheid, si aprirebbe un ponte di piano 1 e andrebbe registrato senza esitazione alcuna. La ricerca si conduce per nome del titolare e per erf, cioè per particella catastale. Nessuno dei siti che discutono la materia risulta averla condotta.</w:t>
      </w:r>
    </w:p>
    <w:p>
      <w:pPr>
        <w:spacing w:after="120" w:line="276"/>
        <w:jc w:val="both"/>
      </w:pPr>
      <w:r>
        <w:rPr>
          <w:rFonts w:ascii="Barlow Semi Condensed" w:cs="Barlow Semi Condensed" w:eastAsia="Barlow Semi Condensed" w:hAnsi="Barlow Semi Condensed"/>
          <w:b/>
          <w:bCs/>
          <w:sz w:val="24"/>
          <w:szCs w:val="24"/>
        </w:rPr>
        <w:t xml:space="preserve">298 · Bersaglio di smentita: il carteggio mancante.</w:t>
      </w:r>
      <w:r>
        <w:rPr>
          <w:rFonts w:ascii="Barlow Semi Condensed" w:cs="Barlow Semi Condensed" w:eastAsia="Barlow Semi Condensed" w:hAnsi="Barlow Semi Condensed"/>
          <w:sz w:val="24"/>
          <w:szCs w:val="24"/>
        </w:rPr>
        <w:t xml:space="preserve"> Una lettera sarebbe la prova regina di una trasmissione di idee dentro una famiglia. Se esistesse un carteggio fra Joshua Haldeman e i suoi discendenti, o fra Pik Botha e i suoi, contenente indicazioni operative, la sede naturale sarebbe l'archivio privato di famiglia, eventualmente depositato presso una biblioteca universitaria. Nessun deposito del genere risulta pubblicamente censito, e questa assenza è il vero stato della questione.</w:t>
      </w:r>
    </w:p>
    <w:p>
      <w:pPr>
        <w:spacing w:after="120" w:line="276"/>
        <w:jc w:val="both"/>
      </w:pPr>
      <w:r>
        <w:rPr>
          <w:rFonts w:ascii="Barlow Semi Condensed" w:cs="Barlow Semi Condensed" w:eastAsia="Barlow Semi Condensed" w:hAnsi="Barlow Semi Condensed"/>
          <w:b/>
          <w:bCs/>
          <w:sz w:val="24"/>
          <w:szCs w:val="24"/>
        </w:rPr>
        <w:t xml:space="preserve">299 · Che cosa chiedere a un archivio privato.</w:t>
      </w:r>
      <w:r>
        <w:rPr>
          <w:rFonts w:ascii="Barlow Semi Condensed" w:cs="Barlow Semi Condensed" w:eastAsia="Barlow Semi Condensed" w:hAnsi="Barlow Semi Condensed"/>
          <w:sz w:val="24"/>
          <w:szCs w:val="24"/>
        </w:rPr>
        <w:t xml:space="preserve"> A un archivio di famiglia si chiede l'inventario prima delle carte, e alla famiglia si scrive con la regola stampata in testa alla richiesta: nessuno risponde dei propri congiunti. Il corpus ne ha già la formula al blocco 157 del manuale investigativo, dove il censimento dei lasciti passa dagli eredi. Rivolta a persone viventi, la stessa lettera esige la stessa esattezza e una cautela maggiore.</w:t>
      </w:r>
    </w:p>
    <w:p>
      <w:pPr>
        <w:spacing w:after="120" w:line="276"/>
        <w:jc w:val="both"/>
      </w:pPr>
      <w:r>
        <w:rPr>
          <w:rFonts w:ascii="Barlow Semi Condensed" w:cs="Barlow Semi Condensed" w:eastAsia="Barlow Semi Condensed" w:hAnsi="Barlow Semi Condensed"/>
          <w:b/>
          <w:bCs/>
          <w:sz w:val="24"/>
          <w:szCs w:val="24"/>
        </w:rPr>
        <w:t xml:space="preserve">300 · Il rifiuto, e come si verbalizza.</w:t>
      </w:r>
      <w:r>
        <w:rPr>
          <w:rFonts w:ascii="Barlow Semi Condensed" w:cs="Barlow Semi Condensed" w:eastAsia="Barlow Semi Condensed" w:hAnsi="Barlow Semi Condensed"/>
          <w:sz w:val="24"/>
          <w:szCs w:val="24"/>
        </w:rPr>
        <w:t xml:space="preserve"> Quando una famiglia nega l'accesso alle carte, il rifiuto si registra con la data e con la formula usata, e diventa esso stesso un dato della ricerca. Non autorizza alcuna inferenza sul contenuto negato: chi tace ha diritto di tacere, e il silenzio non è confessione. Il verbale del rifiuto serve a un solo scopo, impedire che la medesima richiesta venga rifatta ignorando la precedente.</w:t>
      </w:r>
    </w:p>
    <w:p>
      <w:pPr>
        <w:spacing w:after="120" w:line="276"/>
        <w:jc w:val="both"/>
      </w:pPr>
      <w:r>
        <w:rPr>
          <w:rFonts w:ascii="Barlow Semi Condensed" w:cs="Barlow Semi Condensed" w:eastAsia="Barlow Semi Condensed" w:hAnsi="Barlow Semi Condensed"/>
          <w:b/>
          <w:bCs/>
          <w:sz w:val="24"/>
          <w:szCs w:val="24"/>
        </w:rPr>
        <w:t xml:space="preserve">301 · Le divergenze restano divergenze.</w:t>
      </w:r>
      <w:r>
        <w:rPr>
          <w:rFonts w:ascii="Barlow Semi Condensed" w:cs="Barlow Semi Condensed" w:eastAsia="Barlow Semi Condensed" w:hAnsi="Barlow Semi Condensed"/>
          <w:sz w:val="24"/>
          <w:szCs w:val="24"/>
        </w:rPr>
        <w:t xml:space="preserve"> Restano aperte, in questa serie, tre questioni con versioni contrastanti: la vicenda degli smeraldi, il perimetro esatto del soggiorno namibiano, l'estensione dell'omonimia interna alla linea Botha. Nessuna si chiude qui e nessuna si sceglie in silenzio. La regola è quella dell'intero corpus: si riportano entrambe le versioni con la sede che deciderebbe, e l'ultima parola si lascia al documento che verrà.</w:t>
      </w:r>
    </w:p>
    <w:p>
      <w:pPr>
        <w:spacing w:after="120" w:line="276"/>
        <w:jc w:val="both"/>
      </w:pPr>
      <w:r>
        <w:rPr>
          <w:rFonts w:ascii="Barlow Semi Condensed" w:cs="Barlow Semi Condensed" w:eastAsia="Barlow Semi Condensed" w:hAnsi="Barlow Semi Condensed"/>
          <w:b/>
          <w:bCs/>
          <w:sz w:val="24"/>
          <w:szCs w:val="24"/>
        </w:rPr>
        <w:t xml:space="preserve">302 · Il conto della serie.</w:t>
      </w:r>
      <w:r>
        <w:rPr>
          <w:rFonts w:ascii="Barlow Semi Condensed" w:cs="Barlow Semi Condensed" w:eastAsia="Barlow Semi Condensed" w:hAnsi="Barlow Semi Condensed"/>
          <w:sz w:val="24"/>
          <w:szCs w:val="24"/>
        </w:rPr>
        <w:t xml:space="preserve"> Parentele accertate al piano 1: quella fra Roelof Botha e Pik Botha, quella fra Joshua Haldeman e la sua discendenza, quelle interne alla famiglia Musk dichiarate in atti societari. Non parentele accertate: quella fra i due Botha politici. Stati Zero: l'affiliazione partitica del nonno canadese, la linea sudafricana della famiglia tedesca, il titolo minerario zambiano. Persone indicate come responsabili di reato: nessuna, e mai.</w:t>
      </w:r>
    </w:p>
    <w:p>
      <w:pPr>
        <w:spacing w:after="120" w:line="276"/>
        <w:jc w:val="both"/>
      </w:pPr>
      <w:r>
        <w:rPr>
          <w:rFonts w:ascii="Barlow Semi Condensed" w:cs="Barlow Semi Condensed" w:eastAsia="Barlow Semi Condensed" w:hAnsi="Barlow Semi Condensed"/>
          <w:b/>
          <w:bCs/>
          <w:sz w:val="24"/>
          <w:szCs w:val="24"/>
        </w:rPr>
        <w:t xml:space="preserve">303 · L'omologia genealogica e il suo test.</w:t>
      </w:r>
      <w:r>
        <w:rPr>
          <w:rFonts w:ascii="Barlow Semi Condensed" w:cs="Barlow Semi Condensed" w:eastAsia="Barlow Semi Condensed" w:hAnsi="Barlow Semi Condensed"/>
          <w:sz w:val="24"/>
          <w:szCs w:val="24"/>
        </w:rPr>
        <w:t xml:space="preserve"> Due biografie possono somigliarsi perché discendono da una stessa storia familiare oppure perché due famiglie hanno attraversato la medesima cornice storica. Il test che distingue è unico e non ammette surrogati: un documento di provenienza che nomini la controparte. Senza quel documento la somiglianza fra due percorsi resta convergenza d'ambiente, cioè piano 2, e non entra nell'albero per quante volte la si ripeta.</w:t>
      </w:r>
    </w:p>
    <w:p>
      <w:pPr>
        <w:spacing w:after="120" w:line="276"/>
        <w:jc w:val="both"/>
      </w:pPr>
      <w:r>
        <w:rPr>
          <w:rFonts w:ascii="Barlow Semi Condensed" w:cs="Barlow Semi Condensed" w:eastAsia="Barlow Semi Condensed" w:hAnsi="Barlow Semi Condensed"/>
          <w:b/>
          <w:bCs/>
          <w:sz w:val="24"/>
          <w:szCs w:val="24"/>
        </w:rPr>
        <w:t xml:space="preserve">304 · Perché la verifica meccanica conta.</w:t>
      </w:r>
      <w:r>
        <w:rPr>
          <w:rFonts w:ascii="Barlow Semi Condensed" w:cs="Barlow Semi Condensed" w:eastAsia="Barlow Semi Condensed" w:hAnsi="Barlow Semi Condensed"/>
          <w:sz w:val="24"/>
          <w:szCs w:val="24"/>
        </w:rPr>
        <w:t xml:space="preserve"> L'interrogazione delle stringhe sul branch pubblico di questo corpus restituisce zero occorrenze per Musk, Thiel, Botha, PayPal, Silicon Valley e Namibia in tutti i Libri precedenti; il solo ponte tematico esistente è il nodo E-16 della triangolazione Guevara-Moro, il discorso all'Assemblea Generale delle Nazioni Unite dell'11 dicembre 1964 che denuncia colonialismo e apartheid. Un'opera che parte da un vuoto misurato è più onesta di una che parte da un'intuizione. </w:t>
      </w:r>
      <w:r>
        <w:rPr>
          <w:rFonts w:ascii="Barlow Semi Condensed" w:cs="Barlow Semi Condensed" w:eastAsia="Barlow Semi Condensed" w:hAnsi="Barlow Semi Condensed"/>
          <w:i/>
          <w:iCs/>
          <w:sz w:val="24"/>
          <w:szCs w:val="24"/>
        </w:rPr>
        <w:t xml:space="preserve">(Verifica riferita al perimetro anteriore al 26 agosto 2026; per l'aggiornamento dopo l'ingresso del Libro quarto si veda il blocco 38.)</w:t>
      </w:r>
    </w:p>
    <w:p>
      <w:pPr>
        <w:spacing w:after="120" w:line="276"/>
        <w:jc w:val="both"/>
      </w:pPr>
      <w:r>
        <w:rPr>
          <w:rFonts w:ascii="Barlow Semi Condensed" w:cs="Barlow Semi Condensed" w:eastAsia="Barlow Semi Condensed" w:hAnsi="Barlow Semi Condensed"/>
          <w:b/>
          <w:bCs/>
          <w:sz w:val="24"/>
          <w:szCs w:val="24"/>
        </w:rPr>
        <w:t xml:space="preserve">305 · Un fatto, non un argomento.</w:t>
      </w:r>
      <w:r>
        <w:rPr>
          <w:rFonts w:ascii="Barlow Semi Condensed" w:cs="Barlow Semi Condensed" w:eastAsia="Barlow Semi Condensed" w:hAnsi="Barlow Semi Condensed"/>
          <w:sz w:val="24"/>
          <w:szCs w:val="24"/>
        </w:rPr>
        <w:t xml:space="preserve"> Qui la serie si chiude. Tutto ciò che precede accerta legami, ne nega uno, ne lascia aperti alcuni, e non converte nessuno in premessa di un ragionamento sulle persone. Un certificato di nascita dice chi ha generato chi: è molto, ed è tutto quanto dice. Chi voglia affermare di più deve portare un altro documento, di genere diverso, che nomini l'atto e non il sangue.</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Serie quinta — Le materie prime: smeraldi, uranio, oro, platino</w:t>
      </w:r>
    </w:p>
    <w:p>
      <w:pPr>
        <w:spacing w:after="120" w:line="276"/>
        <w:jc w:val="both"/>
      </w:pPr>
      <w:r>
        <w:rPr>
          <w:rFonts w:ascii="Barlow Semi Condensed" w:cs="Barlow Semi Condensed" w:eastAsia="Barlow Semi Condensed" w:hAnsi="Barlow Semi Condensed"/>
          <w:i/>
          <w:iCs/>
          <w:sz w:val="24"/>
          <w:szCs w:val="24"/>
        </w:rPr>
        <w:t xml:space="preserve">Blocchi 306-390.</w:t>
      </w:r>
    </w:p>
    <w:p>
      <w:pPr>
        <w:spacing w:after="120" w:line="276"/>
        <w:jc w:val="both"/>
      </w:pPr>
      <w:r>
        <w:rPr>
          <w:rFonts w:ascii="Barlow Semi Condensed" w:cs="Barlow Semi Condensed" w:eastAsia="Barlow Semi Condensed" w:hAnsi="Barlow Semi Condensed"/>
          <w:b/>
          <w:bCs/>
          <w:sz w:val="24"/>
          <w:szCs w:val="24"/>
        </w:rPr>
        <w:t xml:space="preserve">306 · L'estrazione è cornice, non condotta.</w:t>
      </w:r>
      <w:r>
        <w:rPr>
          <w:rFonts w:ascii="Barlow Semi Condensed" w:cs="Barlow Semi Condensed" w:eastAsia="Barlow Semi Condensed" w:hAnsi="Barlow Semi Condensed"/>
          <w:sz w:val="24"/>
          <w:szCs w:val="24"/>
        </w:rPr>
        <w:t xml:space="preserve"> Il Sud Africa e la Namibia dell'apartheid furono economie estrattive: chiunque vi abbia vissuto, lavorato o investito si è mosso dentro quella cornice. Da questo non discende alcuna condotta individuale, e la serie non ne ricava nessuna. Miniere, licenze e registri sono qui oggetti documentali autonomi, e ogni blocco chiede un atto nominato. Dove l'atto manca si scrive che manca. La prossimità a un giacimento non è un fatto a carico di nessuno.</w:t>
      </w:r>
    </w:p>
    <w:p>
      <w:pPr>
        <w:spacing w:after="120" w:line="276"/>
        <w:jc w:val="both"/>
      </w:pPr>
      <w:r>
        <w:rPr>
          <w:rFonts w:ascii="Barlow Semi Condensed" w:cs="Barlow Semi Condensed" w:eastAsia="Barlow Semi Condensed" w:hAnsi="Barlow Semi Condensed"/>
          <w:b/>
          <w:bCs/>
          <w:sz w:val="24"/>
          <w:szCs w:val="24"/>
        </w:rPr>
        <w:t xml:space="preserve">307 · Che cosa vale come documento minerario.</w:t>
      </w:r>
      <w:r>
        <w:rPr>
          <w:rFonts w:ascii="Barlow Semi Condensed" w:cs="Barlow Semi Condensed" w:eastAsia="Barlow Semi Condensed" w:hAnsi="Barlow Semi Condensed"/>
          <w:sz w:val="24"/>
          <w:szCs w:val="24"/>
        </w:rPr>
        <w:t xml:space="preserve"> Esistono documenti tipici del settore, e sono pochi: la concessione o licenza con numero, coordinate e autorità emittente; l'iscrizione al catasto minerario; l'atto societario depositato; il permesso d'esportazione; la bolla doganale. Un'intervista non è nessuno di questi, e nemmeno una biografia. La regola operativa vale su tutta la serie: un'attività mineraria si prova con un titolo, e un titolo ha sempre un numero e una data di rilascio.</w:t>
      </w:r>
    </w:p>
    <w:p>
      <w:pPr>
        <w:spacing w:after="120" w:line="276"/>
        <w:jc w:val="both"/>
      </w:pPr>
      <w:r>
        <w:rPr>
          <w:rFonts w:ascii="Barlow Semi Condensed" w:cs="Barlow Semi Condensed" w:eastAsia="Barlow Semi Condensed" w:hAnsi="Barlow Semi Condensed"/>
          <w:b/>
          <w:bCs/>
          <w:sz w:val="24"/>
          <w:szCs w:val="24"/>
        </w:rPr>
        <w:t xml:space="preserve">308 · Tre registri e un test solo.</w:t>
      </w:r>
      <w:r>
        <w:rPr>
          <w:rFonts w:ascii="Barlow Semi Condensed" w:cs="Barlow Semi Condensed" w:eastAsia="Barlow Semi Condensed" w:hAnsi="Barlow Semi Condensed"/>
          <w:sz w:val="24"/>
          <w:szCs w:val="24"/>
        </w:rPr>
        <w:t xml:space="preserve"> Ogni asserzione di questa serie va portata davanti a tre registri distinti: quello societario, che dice chi possiede; quello minerario, che dice chi può estrarre; quello valutario o doganale, che dice che cosa è uscito dal Paese. I tre non coincidono e non si sostituiscono. Il test resta uno: un documento di provenienza che nomini la persona o la società, con il proprio identificativo, davanti a un'autorità.</w:t>
      </w:r>
    </w:p>
    <w:p>
      <w:pPr>
        <w:spacing w:after="120" w:line="276"/>
        <w:jc w:val="both"/>
      </w:pPr>
      <w:r>
        <w:rPr>
          <w:rFonts w:ascii="Barlow Semi Condensed" w:cs="Barlow Semi Condensed" w:eastAsia="Barlow Semi Condensed" w:hAnsi="Barlow Semi Condensed"/>
          <w:b/>
          <w:bCs/>
          <w:sz w:val="24"/>
          <w:szCs w:val="24"/>
        </w:rPr>
        <w:t xml:space="preserve">309 · Chi afferma deve indicare il numero.</w:t>
      </w:r>
      <w:r>
        <w:rPr>
          <w:rFonts w:ascii="Barlow Semi Condensed" w:cs="Barlow Semi Condensed" w:eastAsia="Barlow Semi Condensed" w:hAnsi="Barlow Semi Condensed"/>
          <w:sz w:val="24"/>
          <w:szCs w:val="24"/>
        </w:rPr>
        <w:t xml:space="preserve"> Chi sostiene che una miniera esistette deve poterne indicare il numero di licenza; chi sostiene che una società la deteneva deve poterne indicare il numero di registrazione. Questo non è formalismo: è la sola cosa che rende la verifica eseguibile da un terzo in una sede pubblica. Un'affermazione priva di identificativo non è falsa per ciò stesso, ma è inverificabile, e va classificata così senza aggravanti.</w:t>
      </w:r>
    </w:p>
    <w:p>
      <w:pPr>
        <w:spacing w:after="120" w:line="276"/>
        <w:jc w:val="both"/>
      </w:pPr>
      <w:r>
        <w:rPr>
          <w:rFonts w:ascii="Barlow Semi Condensed" w:cs="Barlow Semi Condensed" w:eastAsia="Barlow Semi Condensed" w:hAnsi="Barlow Semi Condensed"/>
          <w:b/>
          <w:bCs/>
          <w:sz w:val="24"/>
          <w:szCs w:val="24"/>
        </w:rPr>
        <w:t xml:space="preserve">310 · La contemporaneità di un giacimento.</w:t>
      </w:r>
      <w:r>
        <w:rPr>
          <w:rFonts w:ascii="Barlow Semi Condensed" w:cs="Barlow Semi Condensed" w:eastAsia="Barlow Semi Condensed" w:hAnsi="Barlow Semi Condensed"/>
          <w:sz w:val="24"/>
          <w:szCs w:val="24"/>
        </w:rPr>
        <w:t xml:space="preserve"> Vivere negli anni della costruzione di un impianto minerario, o nella città che lo serve, colloca una persona in un tempo e in un luogo. Non la colloca in un contratto. Il corpus applica qui la stessa regola che il manuale investigativo fissa per le presenze romane del 1978: la coincidenza di data e di luogo apre una verifica, non la chiude, e non produce da sola alcun nesso.</w:t>
      </w:r>
    </w:p>
    <w:p>
      <w:pPr>
        <w:spacing w:after="120" w:line="276"/>
        <w:jc w:val="both"/>
      </w:pPr>
      <w:r>
        <w:rPr>
          <w:rFonts w:ascii="Barlow Semi Condensed" w:cs="Barlow Semi Condensed" w:eastAsia="Barlow Semi Condensed" w:hAnsi="Barlow Semi Condensed"/>
          <w:b/>
          <w:bCs/>
          <w:sz w:val="24"/>
          <w:szCs w:val="24"/>
        </w:rPr>
        <w:t xml:space="preserve">311 · Le serie dei prezzi come vincolo.</w:t>
      </w:r>
      <w:r>
        <w:rPr>
          <w:rFonts w:ascii="Barlow Semi Condensed" w:cs="Barlow Semi Condensed" w:eastAsia="Barlow Semi Condensed" w:hAnsi="Barlow Semi Condensed"/>
          <w:sz w:val="24"/>
          <w:szCs w:val="24"/>
        </w:rPr>
        <w:t xml:space="preserve"> Le quotazioni di uranio, oro e platino sono pubblicate e datate, e servono da vincolo esterno a qualunque racconto: gli annuari minerari dello United States Bureau of Mines e i bollettini del London Platinum and Palladium Market permettono di verificare se una cifra riferita a un'operazione sia compatibile con il mercato di quell'anno. Una somma incompatibile con la serie storica non è per questo falsa, ma va segnalata come tale.</w:t>
      </w:r>
    </w:p>
    <w:p>
      <w:pPr>
        <w:spacing w:after="120" w:line="276"/>
        <w:jc w:val="both"/>
      </w:pPr>
      <w:r>
        <w:rPr>
          <w:rFonts w:ascii="Barlow Semi Condensed" w:cs="Barlow Semi Condensed" w:eastAsia="Barlow Semi Condensed" w:hAnsi="Barlow Semi Condensed"/>
          <w:b/>
          <w:bCs/>
          <w:sz w:val="24"/>
          <w:szCs w:val="24"/>
        </w:rPr>
        <w:t xml:space="preserve">312 · Il rischio dell'anacronismo regolatorio.</w:t>
      </w:r>
      <w:r>
        <w:rPr>
          <w:rFonts w:ascii="Barlow Semi Condensed" w:cs="Barlow Semi Condensed" w:eastAsia="Barlow Semi Condensed" w:hAnsi="Barlow Semi Condensed"/>
          <w:sz w:val="24"/>
          <w:szCs w:val="24"/>
        </w:rPr>
        <w:t xml:space="preserve"> Il Kimberley Process nasce nel 2003; la tracciabilità delle gemme colorate è più tarda ancora; le aste certificate degli smeraldi zambiani sono un fatto degli anni Duemila. Applicare questi strumenti a operazioni collocate negli anni Settanta e Ottanta produce domande impossibili e conclusioni sbagliate. Ogni verifica va condotta con il diritto e con le procedure vigenti nell'anno che si esamina, e non con quelli di oggi.</w:t>
      </w:r>
    </w:p>
    <w:p>
      <w:pPr>
        <w:spacing w:after="120" w:line="276"/>
        <w:jc w:val="both"/>
      </w:pPr>
      <w:r>
        <w:rPr>
          <w:rFonts w:ascii="Barlow Semi Condensed" w:cs="Barlow Semi Condensed" w:eastAsia="Barlow Semi Condensed" w:hAnsi="Barlow Semi Condensed"/>
          <w:b/>
          <w:bCs/>
          <w:sz w:val="24"/>
          <w:szCs w:val="24"/>
        </w:rPr>
        <w:t xml:space="preserve">313 · Omologia e analogia nelle economie estrattive.</w:t>
      </w:r>
      <w:r>
        <w:rPr>
          <w:rFonts w:ascii="Barlow Semi Condensed" w:cs="Barlow Semi Condensed" w:eastAsia="Barlow Semi Condensed" w:hAnsi="Barlow Semi Condensed"/>
          <w:sz w:val="24"/>
          <w:szCs w:val="24"/>
        </w:rPr>
        <w:t xml:space="preserve"> Due economie minerarie si somigliano perché estraggono, non perché discendano l'una dall'altra. Concessioni, enclave, lavoro migrante e controllo valutario ricorrono ovunque si scavi, e la loro ricorrenza è convergenza per adattamento, non parentela. Dalla somiglianza degli assetti non si deduce un antenato comune: il test resta un documento che nomini la controparte. Questa serie registra le somiglianze come piano due e non le promuove mai.</w:t>
      </w:r>
    </w:p>
    <w:p>
      <w:pPr>
        <w:spacing w:after="120" w:line="276"/>
        <w:jc w:val="both"/>
      </w:pPr>
      <w:r>
        <w:rPr>
          <w:rFonts w:ascii="Barlow Semi Condensed" w:cs="Barlow Semi Condensed" w:eastAsia="Barlow Semi Condensed" w:hAnsi="Barlow Semi Condensed"/>
          <w:b/>
          <w:bCs/>
          <w:sz w:val="24"/>
          <w:szCs w:val="24"/>
        </w:rPr>
        <w:t xml:space="preserve">314 · La divergenza degli smeraldi, enunciata.</w:t>
      </w:r>
      <w:r>
        <w:rPr>
          <w:rFonts w:ascii="Barlow Semi Condensed" w:cs="Barlow Semi Condensed" w:eastAsia="Barlow Semi Condensed" w:hAnsi="Barlow Semi Condensed"/>
          <w:sz w:val="24"/>
          <w:szCs w:val="24"/>
        </w:rPr>
        <w:t xml:space="preserve"> Sulla miniera di smeraldi attribuita a Errol Musk esistono tre versioni pubbliche che non coincidono: il padre rivendica un'attività, il figlio ha negato pubblicamente che una miniera esistesse e ne ha chiesto la prova, il biografo Walter Isaacson descrive un'acquisizione informale di pietre grezze e non una proprietà mineraria. Nessun documento di titolarità è mai emerso. La serie tratta il caso come divergenza irrisolta e non ne sceglie in silenzio un ramo.</w:t>
      </w:r>
    </w:p>
    <w:p>
      <w:pPr>
        <w:spacing w:after="120" w:line="276"/>
        <w:jc w:val="both"/>
      </w:pPr>
      <w:r>
        <w:rPr>
          <w:rFonts w:ascii="Barlow Semi Condensed" w:cs="Barlow Semi Condensed" w:eastAsia="Barlow Semi Condensed" w:hAnsi="Barlow Semi Condensed"/>
          <w:b/>
          <w:bCs/>
          <w:sz w:val="24"/>
          <w:szCs w:val="24"/>
        </w:rPr>
        <w:t xml:space="preserve">315 · Il ramo paterno della divergenza.</w:t>
      </w:r>
      <w:r>
        <w:rPr>
          <w:rFonts w:ascii="Barlow Semi Condensed" w:cs="Barlow Semi Condensed" w:eastAsia="Barlow Semi Condensed" w:hAnsi="Barlow Semi Condensed"/>
          <w:sz w:val="24"/>
          <w:szCs w:val="24"/>
        </w:rPr>
        <w:t xml:space="preserve"> Errol Musk ha reso in più occasioni dichiarazioni pubbliche su un interesse in smeraldi zambiani, con dettagli variabili quanto a data, quota e modalità d'acquisto. La variabilità interna a una serie di dichiarazioni è essa stessa un dato da verbalizzare: va compilata una tavola cronologica delle interviste, con testata, data e formulazione esatta, prima di discuterne il merito. Il confronto fra le versioni precede qualunque giudizio sul contenuto.</w:t>
      </w:r>
    </w:p>
    <w:p>
      <w:pPr>
        <w:spacing w:after="120" w:line="276"/>
        <w:jc w:val="both"/>
      </w:pPr>
      <w:r>
        <w:rPr>
          <w:rFonts w:ascii="Barlow Semi Condensed" w:cs="Barlow Semi Condensed" w:eastAsia="Barlow Semi Condensed" w:hAnsi="Barlow Semi Condensed"/>
          <w:b/>
          <w:bCs/>
          <w:sz w:val="24"/>
          <w:szCs w:val="24"/>
        </w:rPr>
        <w:t xml:space="preserve">316 · Il ramo filiale della divergenza.</w:t>
      </w:r>
      <w:r>
        <w:rPr>
          <w:rFonts w:ascii="Barlow Semi Condensed" w:cs="Barlow Semi Condensed" w:eastAsia="Barlow Semi Condensed" w:hAnsi="Barlow Semi Condensed"/>
          <w:sz w:val="24"/>
          <w:szCs w:val="24"/>
        </w:rPr>
        <w:t xml:space="preserve"> Elon Musk ha negato pubblicamente e ripetutamente l'esistenza di una miniera di famiglia, chiedendo che ne fosse esibita la prova documentale. La negazione è un fatto pubblico e va registrata con la sua data e la sua sede, come si registra la rivendicazione paterna. Una negazione non prova l'inesistenza, esattamente come una rivendicazione non prova l'esistenza: entrambe sono dichiarazioni, e il documento che le dirimerebbe è di altra natura.</w:t>
      </w:r>
    </w:p>
    <w:p>
      <w:pPr>
        <w:spacing w:after="120" w:line="276"/>
        <w:jc w:val="both"/>
      </w:pPr>
      <w:r>
        <w:rPr>
          <w:rFonts w:ascii="Barlow Semi Condensed" w:cs="Barlow Semi Condensed" w:eastAsia="Barlow Semi Condensed" w:hAnsi="Barlow Semi Condensed"/>
          <w:b/>
          <w:bCs/>
          <w:sz w:val="24"/>
          <w:szCs w:val="24"/>
        </w:rPr>
        <w:t xml:space="preserve">317 · Il ramo biografico e il suo apparato.</w:t>
      </w:r>
      <w:r>
        <w:rPr>
          <w:rFonts w:ascii="Barlow Semi Condensed" w:cs="Barlow Semi Condensed" w:eastAsia="Barlow Semi Condensed" w:hAnsi="Barlow Semi Condensed"/>
          <w:sz w:val="24"/>
          <w:szCs w:val="24"/>
        </w:rPr>
        <w:t xml:space="preserve"> La biografia di Isaacson, uscita nel 2023 presso Simon and Schuster, descrive un'operazione informale su pietre grezze acquistate da un intermediario, senza attribuire al soggetto una concessione mineraria. È la formulazione più prudente delle tre, e resta comunque una fonte secondaria fondata su interviste. Va letta insieme al suo apparato di note, per stabilire quale passaggio poggi su un documento e quale su una conversazione riferita.</w:t>
      </w:r>
    </w:p>
    <w:p>
      <w:pPr>
        <w:spacing w:after="120" w:line="276"/>
        <w:jc w:val="both"/>
      </w:pPr>
      <w:r>
        <w:rPr>
          <w:rFonts w:ascii="Barlow Semi Condensed" w:cs="Barlow Semi Condensed" w:eastAsia="Barlow Semi Condensed" w:hAnsi="Barlow Semi Condensed"/>
          <w:b/>
          <w:bCs/>
          <w:sz w:val="24"/>
          <w:szCs w:val="24"/>
        </w:rPr>
        <w:t xml:space="preserve">318 · Il documento assente si chiama titolo.</w:t>
      </w:r>
      <w:r>
        <w:rPr>
          <w:rFonts w:ascii="Barlow Semi Condensed" w:cs="Barlow Semi Condensed" w:eastAsia="Barlow Semi Condensed" w:hAnsi="Barlow Semi Condensed"/>
          <w:sz w:val="24"/>
          <w:szCs w:val="24"/>
        </w:rPr>
        <w:t xml:space="preserve"> Ciò che dirimerebbe l'intera divergenza è un solo tipo di atto: una licenza mineraria, una quota societaria depositata o un contratto di partecipazione che nomini la persona. Nessuno dei tre è mai stato prodotto da alcuna delle parti in causa, né da chi afferma né da chi nega. Questa assenza è un accertamento, non un vuoto narrativo, e va scritta con la sede che potrebbe colmarla.</w:t>
      </w:r>
    </w:p>
    <w:p>
      <w:pPr>
        <w:spacing w:after="120" w:line="276"/>
        <w:jc w:val="both"/>
      </w:pPr>
      <w:r>
        <w:rPr>
          <w:rFonts w:ascii="Barlow Semi Condensed" w:cs="Barlow Semi Condensed" w:eastAsia="Barlow Semi Condensed" w:hAnsi="Barlow Semi Condensed"/>
          <w:b/>
          <w:bCs/>
          <w:sz w:val="24"/>
          <w:szCs w:val="24"/>
        </w:rPr>
        <w:t xml:space="preserve">319 · Il catasto minerario zambiano, Lusaka.</w:t>
      </w:r>
      <w:r>
        <w:rPr>
          <w:rFonts w:ascii="Barlow Semi Condensed" w:cs="Barlow Semi Condensed" w:eastAsia="Barlow Semi Condensed" w:hAnsi="Barlow Semi Condensed"/>
          <w:sz w:val="24"/>
          <w:szCs w:val="24"/>
        </w:rPr>
        <w:t xml:space="preserve"> La sede naturale della verifica è il catasto minerario tenuto dal Ministero delle Miniere e dello Sviluppo Minerario a Lusaka, che registra licenze, titolari e perimetri. Il quesito da portarvi è puntuale: risulta, fra il 1970 e il 1995, un titolo minerario intestato a un cittadino sudafricano di quel nome, o a una società da lui partecipata, in area smeraldifera. Esito atteso ignoto; esito negativo pienamente utile.</w:t>
      </w:r>
    </w:p>
    <w:p>
      <w:pPr>
        <w:spacing w:after="120" w:line="276"/>
        <w:jc w:val="both"/>
      </w:pPr>
      <w:r>
        <w:rPr>
          <w:rFonts w:ascii="Barlow Semi Condensed" w:cs="Barlow Semi Condensed" w:eastAsia="Barlow Semi Condensed" w:hAnsi="Barlow Semi Condensed"/>
          <w:b/>
          <w:bCs/>
          <w:sz w:val="24"/>
          <w:szCs w:val="24"/>
        </w:rPr>
        <w:t xml:space="preserve">320 · PACRA e le società zambiane.</w:t>
      </w:r>
      <w:r>
        <w:rPr>
          <w:rFonts w:ascii="Barlow Semi Condensed" w:cs="Barlow Semi Condensed" w:eastAsia="Barlow Semi Condensed" w:hAnsi="Barlow Semi Condensed"/>
          <w:sz w:val="24"/>
          <w:szCs w:val="24"/>
        </w:rPr>
        <w:t xml:space="preserve"> Il secondo giacimento documentale è l'agenzia zambiana per i brevetti e la registrazione delle società, che conserva gli atti costitutivi, le compagini e le cariche. Va interrogata per verificare se una società operante nel settore delle gemme abbia mai iscritto fra i propri soci o amministratori il nome in questione. Anche qui l'esito negativo va verbalizzato con la data della ricerca e la formula usata per interrogare l'indice.</w:t>
      </w:r>
    </w:p>
    <w:p>
      <w:pPr>
        <w:spacing w:after="120" w:line="276"/>
        <w:jc w:val="both"/>
      </w:pPr>
      <w:r>
        <w:rPr>
          <w:rFonts w:ascii="Barlow Semi Condensed" w:cs="Barlow Semi Condensed" w:eastAsia="Barlow Semi Condensed" w:hAnsi="Barlow Semi Condensed"/>
          <w:b/>
          <w:bCs/>
          <w:sz w:val="24"/>
          <w:szCs w:val="24"/>
        </w:rPr>
        <w:t xml:space="preserve">321 · Gli Archivi Nazionali dello Zambia.</w:t>
      </w:r>
      <w:r>
        <w:rPr>
          <w:rFonts w:ascii="Barlow Semi Condensed" w:cs="Barlow Semi Condensed" w:eastAsia="Barlow Semi Condensed" w:hAnsi="Barlow Semi Condensed"/>
          <w:sz w:val="24"/>
          <w:szCs w:val="24"/>
        </w:rPr>
        <w:t xml:space="preserve"> Per il periodo anteriore all'informatizzazione dei registri, la sede è l'Archivio Nazionale dello Zambia a Lusaka, che conserva le carte del Ministero delle Miniere e degli enti minerari statali degli anni Settanta e Ottanta. Vi si cercano corrispondenza amministrativa, elenchi di licenziatari e pratiche di esportazione. La ricerca va perimetrata per anno e per distretto, e il suo verbale deve dire quali serie sono state aperte e quali risultano non consultabili.</w:t>
      </w:r>
    </w:p>
    <w:p>
      <w:pPr>
        <w:spacing w:after="120" w:line="276"/>
        <w:jc w:val="both"/>
      </w:pPr>
      <w:r>
        <w:rPr>
          <w:rFonts w:ascii="Barlow Semi Condensed" w:cs="Barlow Semi Condensed" w:eastAsia="Barlow Semi Condensed" w:hAnsi="Barlow Semi Condensed"/>
          <w:b/>
          <w:bCs/>
          <w:sz w:val="24"/>
          <w:szCs w:val="24"/>
        </w:rPr>
        <w:t xml:space="preserve">322 · L'area riservata di Ndola Rurale.</w:t>
      </w:r>
      <w:r>
        <w:rPr>
          <w:rFonts w:ascii="Barlow Semi Condensed" w:cs="Barlow Semi Condensed" w:eastAsia="Barlow Semi Condensed" w:hAnsi="Barlow Semi Condensed"/>
          <w:sz w:val="24"/>
          <w:szCs w:val="24"/>
        </w:rPr>
        <w:t xml:space="preserve"> Gli smeraldi zambiani provengono dal campo del Kafubu, nel distretto di Ndola Rurale, dichiarato area riservata da provvedimento amministrativo. La conseguenza è documentale: in quel perimetro l'estrazione richiedeva un titolo specifico e l'esportazione un permesso, e dunque una traccia. Verificare quale strumento normativo istituì l'area e in quali anni fu in vigore è il presupposto di ogni domanda successiva sul periodo indagato.</w:t>
      </w:r>
    </w:p>
    <w:p>
      <w:pPr>
        <w:spacing w:after="120" w:line="276"/>
        <w:jc w:val="both"/>
      </w:pPr>
      <w:r>
        <w:rPr>
          <w:rFonts w:ascii="Barlow Semi Condensed" w:cs="Barlow Semi Condensed" w:eastAsia="Barlow Semi Condensed" w:hAnsi="Barlow Semi Condensed"/>
          <w:b/>
          <w:bCs/>
          <w:sz w:val="24"/>
          <w:szCs w:val="24"/>
        </w:rPr>
        <w:t xml:space="preserve">323 · Kagem, l'assetto che risulta.</w:t>
      </w:r>
      <w:r>
        <w:rPr>
          <w:rFonts w:ascii="Barlow Semi Condensed" w:cs="Barlow Semi Condensed" w:eastAsia="Barlow Semi Condensed" w:hAnsi="Barlow Semi Condensed"/>
          <w:sz w:val="24"/>
          <w:szCs w:val="24"/>
        </w:rPr>
        <w:t xml:space="preserve"> L'unica grande operazione smeraldifera zambiana con assetto pubblicamente documentato è Kagem, nel Kafubu, la cui compagine fra società quotata a Londra e veicolo statale zambiano è leggibile nelle relazioni annuali depositate. Serve come termine di paragone e non come indizio: mostra quale forma abbia un titolo minerario smeraldifero realmente registrato, e quanto diverso sia da un'operazione informale sulle pietre grezze descritta a memoria.</w:t>
      </w:r>
    </w:p>
    <w:p>
      <w:pPr>
        <w:spacing w:after="120" w:line="276"/>
        <w:jc w:val="both"/>
      </w:pPr>
      <w:r>
        <w:rPr>
          <w:rFonts w:ascii="Barlow Semi Condensed" w:cs="Barlow Semi Condensed" w:eastAsia="Barlow Semi Condensed" w:hAnsi="Barlow Semi Condensed"/>
          <w:b/>
          <w:bCs/>
          <w:sz w:val="24"/>
          <w:szCs w:val="24"/>
        </w:rPr>
        <w:t xml:space="preserve">324 · Le età della legge mineraria zambiana.</w:t>
      </w:r>
      <w:r>
        <w:rPr>
          <w:rFonts w:ascii="Barlow Semi Condensed" w:cs="Barlow Semi Condensed" w:eastAsia="Barlow Semi Condensed" w:hAnsi="Barlow Semi Condensed"/>
          <w:sz w:val="24"/>
          <w:szCs w:val="24"/>
        </w:rPr>
        <w:t xml:space="preserve"> Il regime dei titoli è cambiato più volte: la legge mineraria del 1976, quella del 1995 e quella del 2015 disciplinano diversamente concessioni, minerali riservati ed esportazione. Chi cerchi un titolo deve sapere quale legge era vigente nell'anno che ipotizza, perché cambia il nome dell'atto da chiedere e l'autorità che lo rilasciava. Cercare la categoria sbagliata produce uno Stato Zero apparente, che è un errore di metodo.</w:t>
      </w:r>
    </w:p>
    <w:p>
      <w:pPr>
        <w:spacing w:after="120" w:line="276"/>
        <w:jc w:val="both"/>
      </w:pPr>
      <w:r>
        <w:rPr>
          <w:rFonts w:ascii="Barlow Semi Condensed" w:cs="Barlow Semi Condensed" w:eastAsia="Barlow Semi Condensed" w:hAnsi="Barlow Semi Condensed"/>
          <w:b/>
          <w:bCs/>
          <w:sz w:val="24"/>
          <w:szCs w:val="24"/>
        </w:rPr>
        <w:t xml:space="preserve">325 · Il permesso d'esportazione come traccia.</w:t>
      </w:r>
      <w:r>
        <w:rPr>
          <w:rFonts w:ascii="Barlow Semi Condensed" w:cs="Barlow Semi Condensed" w:eastAsia="Barlow Semi Condensed" w:hAnsi="Barlow Semi Condensed"/>
          <w:sz w:val="24"/>
          <w:szCs w:val="24"/>
        </w:rPr>
        <w:t xml:space="preserve"> Anche ammettendo un'acquisizione puramente informale di pietre, l'uscita dal territorio zambiano di gemme di valore richiedeva un titolo doganale o un permesso, e il loro ingresso altrove una dichiarazione. La domanda diventa allora doppia: esiste una pratica di esportazione, e ne esiste una di importazione. Le due amministrazioni conservano serie distinte, e la mancanza in una non implica la mancanza nell'altra.</w:t>
      </w:r>
    </w:p>
    <w:p>
      <w:pPr>
        <w:spacing w:after="120" w:line="276"/>
        <w:jc w:val="both"/>
      </w:pPr>
      <w:r>
        <w:rPr>
          <w:rFonts w:ascii="Barlow Semi Condensed" w:cs="Barlow Semi Condensed" w:eastAsia="Barlow Semi Condensed" w:hAnsi="Barlow Semi Condensed"/>
          <w:b/>
          <w:bCs/>
          <w:sz w:val="24"/>
          <w:szCs w:val="24"/>
        </w:rPr>
        <w:t xml:space="preserve">326 · Il controllo dei cambi sudafricano.</w:t>
      </w:r>
      <w:r>
        <w:rPr>
          <w:rFonts w:ascii="Barlow Semi Condensed" w:cs="Barlow Semi Condensed" w:eastAsia="Barlow Semi Condensed" w:hAnsi="Barlow Semi Condensed"/>
          <w:sz w:val="24"/>
          <w:szCs w:val="24"/>
        </w:rPr>
        <w:t xml:space="preserve"> Dal lato sudafricano, ogni operazione con l'estero passava per il regime valutario amministrato dalla Reserve Bank in forza della legge del 1933 su valute e cambi, con moduli di dichiarazione per esportazioni e importazioni. Una compravendita di gemme di rilievo avrebbe dovuto lasciare traccia in quel circuito, o esserne stata deliberatamente fuori. Le due ipotesi hanno conseguenze documentali diverse e vanno tenute distinte nel piano di ricerca.</w:t>
      </w:r>
    </w:p>
    <w:p>
      <w:pPr>
        <w:spacing w:after="120" w:line="276"/>
        <w:jc w:val="both"/>
      </w:pPr>
      <w:r>
        <w:rPr>
          <w:rFonts w:ascii="Barlow Semi Condensed" w:cs="Barlow Semi Condensed" w:eastAsia="Barlow Semi Condensed" w:hAnsi="Barlow Semi Condensed"/>
          <w:b/>
          <w:bCs/>
          <w:sz w:val="24"/>
          <w:szCs w:val="24"/>
        </w:rPr>
        <w:t xml:space="preserve">327 · Il gioielliere, la ricevuta, il nome.</w:t>
      </w:r>
      <w:r>
        <w:rPr>
          <w:rFonts w:ascii="Barlow Semi Condensed" w:cs="Barlow Semi Condensed" w:eastAsia="Barlow Semi Condensed" w:hAnsi="Barlow Semi Condensed"/>
          <w:sz w:val="24"/>
          <w:szCs w:val="24"/>
        </w:rPr>
        <w:t xml:space="preserve"> Le versioni pubbliche accennano a cessioni di pietre a operatori del settore in Sud Africa. Un accertamento eseguibile esiste: identificare la ditta, verificarne l'iscrizione nel registro societario sudafricano oggi tenuto dalla commissione per le imprese e la proprietà intellettuale, e cercare presso gli eredi o i successori i libri contabili dell'epoca. Una sola ricevuta datata sposterebbe il caso dal racconto al documento.</w:t>
      </w:r>
    </w:p>
    <w:p>
      <w:pPr>
        <w:spacing w:after="120" w:line="276"/>
        <w:jc w:val="both"/>
      </w:pPr>
      <w:r>
        <w:rPr>
          <w:rFonts w:ascii="Barlow Semi Condensed" w:cs="Barlow Semi Condensed" w:eastAsia="Barlow Semi Condensed" w:hAnsi="Barlow Semi Condensed"/>
          <w:b/>
          <w:bCs/>
          <w:sz w:val="24"/>
          <w:szCs w:val="24"/>
        </w:rPr>
        <w:t xml:space="preserve">328 · La geografia dichiarata e quella geologica.</w:t>
      </w:r>
      <w:r>
        <w:rPr>
          <w:rFonts w:ascii="Barlow Semi Condensed" w:cs="Barlow Semi Condensed" w:eastAsia="Barlow Semi Condensed" w:hAnsi="Barlow Semi Condensed"/>
          <w:sz w:val="24"/>
          <w:szCs w:val="24"/>
        </w:rPr>
        <w:t xml:space="preserve"> Alcune versioni collocano l'attività in prossimità del lago Tanganica, all'estremo nord dello Zambia. La documentazione geologica del Paese colloca invece i giacimenti di smeraldo nel Copperbelt, attorno al Kafubu. La discrepanza va portata al Dipartimento del Servizio Geologico a Lusaka, che conserva le carte e i rapporti di prospezione: se in quell'area non risultano giacimenti censiti, la divergenza si sposta dal merito alla geografia e va registrata.</w:t>
      </w:r>
    </w:p>
    <w:p>
      <w:pPr>
        <w:spacing w:after="120" w:line="276"/>
        <w:jc w:val="both"/>
      </w:pPr>
      <w:r>
        <w:rPr>
          <w:rFonts w:ascii="Barlow Semi Condensed" w:cs="Barlow Semi Condensed" w:eastAsia="Barlow Semi Condensed" w:hAnsi="Barlow Semi Condensed"/>
          <w:b/>
          <w:bCs/>
          <w:sz w:val="24"/>
          <w:szCs w:val="24"/>
        </w:rPr>
        <w:t xml:space="preserve">329 · Le cifre e la loro origine.</w:t>
      </w:r>
      <w:r>
        <w:rPr>
          <w:rFonts w:ascii="Barlow Semi Condensed" w:cs="Barlow Semi Condensed" w:eastAsia="Barlow Semi Condensed" w:hAnsi="Barlow Semi Condensed"/>
          <w:sz w:val="24"/>
          <w:szCs w:val="24"/>
        </w:rPr>
        <w:t xml:space="preserve"> Nelle versioni circolanti compaiono somme e valori che si ripetono identici da un sito all'altro senza mai indicare una fonte primaria. La ripetizione non aggiunge valore probatorio: va risalito il primo luogo in cui ciascuna cifra compare, con la sua data, e verificato se lì poggiasse su un documento o su una dichiarazione orale. Questa risalita è lavoro di collazione, ed è preliminare a ogni discussione di merito.</w:t>
      </w:r>
    </w:p>
    <w:p>
      <w:pPr>
        <w:spacing w:after="120" w:line="276"/>
        <w:jc w:val="both"/>
      </w:pPr>
      <w:r>
        <w:rPr>
          <w:rFonts w:ascii="Barlow Semi Condensed" w:cs="Barlow Semi Condensed" w:eastAsia="Barlow Semi Condensed" w:hAnsi="Barlow Semi Condensed"/>
          <w:b/>
          <w:bCs/>
          <w:sz w:val="24"/>
          <w:szCs w:val="24"/>
        </w:rPr>
        <w:t xml:space="preserve">330 · Il lessico della gemma insanguinata.</w:t>
      </w:r>
      <w:r>
        <w:rPr>
          <w:rFonts w:ascii="Barlow Semi Condensed" w:cs="Barlow Semi Condensed" w:eastAsia="Barlow Semi Condensed" w:hAnsi="Barlow Semi Condensed"/>
          <w:sz w:val="24"/>
          <w:szCs w:val="24"/>
        </w:rPr>
        <w:t xml:space="preserve"> L'espressione che qualifica come insanguinate le gemme dell'Africa australe appartiene alla polemica pubblica degli anni Duemila e Dieci, non al lessico amministrativo degli anni Ottanta. Usarla come categoria descrittiva importa nel racconto un giudizio già formato. La serie la registra come oggetto di studio del linguaggio pubblico, datandone la comparsa, e non la adopera mai come qualificazione di un fatto o di una persona.</w:t>
      </w:r>
    </w:p>
    <w:p>
      <w:pPr>
        <w:spacing w:after="120" w:line="276"/>
        <w:jc w:val="both"/>
      </w:pPr>
      <w:r>
        <w:rPr>
          <w:rFonts w:ascii="Barlow Semi Condensed" w:cs="Barlow Semi Condensed" w:eastAsia="Barlow Semi Condensed" w:hAnsi="Barlow Semi Condensed"/>
          <w:b/>
          <w:bCs/>
          <w:sz w:val="24"/>
          <w:szCs w:val="24"/>
        </w:rPr>
        <w:t xml:space="preserve">331 · Tre esiti possibili, dichiarati in anticipo.</w:t>
      </w:r>
      <w:r>
        <w:rPr>
          <w:rFonts w:ascii="Barlow Semi Condensed" w:cs="Barlow Semi Condensed" w:eastAsia="Barlow Semi Condensed" w:hAnsi="Barlow Semi Condensed"/>
          <w:sz w:val="24"/>
          <w:szCs w:val="24"/>
        </w:rPr>
        <w:t xml:space="preserve"> La verifica zambiana può dare tre esiti, e vanno dichiarati prima di eseguirla per evitare che il risultato sia riletto a posteriori: un titolo intestato, che porterebbe il fatto al piano uno; nessun titolo con registri integri, che consoliderebbe lo Stato Zero; registri lacunosi o distrutti, che non deciderebbe nulla. Solo il terzo esito lascia la questione aperta, e va distinto dal secondo con cura.</w:t>
      </w:r>
    </w:p>
    <w:p>
      <w:pPr>
        <w:spacing w:after="120" w:line="276"/>
        <w:jc w:val="both"/>
      </w:pPr>
      <w:r>
        <w:rPr>
          <w:rFonts w:ascii="Barlow Semi Condensed" w:cs="Barlow Semi Condensed" w:eastAsia="Barlow Semi Condensed" w:hAnsi="Barlow Semi Condensed"/>
          <w:b/>
          <w:bCs/>
          <w:sz w:val="24"/>
          <w:szCs w:val="24"/>
        </w:rPr>
        <w:t xml:space="preserve">332 · Verbale di Stato Zero sugli smeraldi.</w:t>
      </w:r>
      <w:r>
        <w:rPr>
          <w:rFonts w:ascii="Barlow Semi Condensed" w:cs="Barlow Semi Condensed" w:eastAsia="Barlow Semi Condensed" w:hAnsi="Barlow Semi Condensed"/>
          <w:sz w:val="24"/>
          <w:szCs w:val="24"/>
        </w:rPr>
        <w:t xml:space="preserve"> Allo stato, e per quanto è pubblicamente accertabile, non risulta alcun documento di titolarità mineraria riferibile a Errol Musk in Zambia o altrove. Questo esito negativo è un'acquisizione di pieno valore e si scrive come tale, con la data della ricerca e con le tre sedi che potrebbero chiuderlo: il catasto minerario, il registro societario e l'archivio nazionale, tutti a Lusaka.</w:t>
      </w:r>
    </w:p>
    <w:p>
      <w:pPr>
        <w:spacing w:after="120" w:line="276"/>
        <w:jc w:val="both"/>
      </w:pPr>
      <w:r>
        <w:rPr>
          <w:rFonts w:ascii="Barlow Semi Condensed" w:cs="Barlow Semi Condensed" w:eastAsia="Barlow Semi Condensed" w:hAnsi="Barlow Semi Condensed"/>
          <w:b/>
          <w:bCs/>
          <w:sz w:val="24"/>
          <w:szCs w:val="24"/>
        </w:rPr>
        <w:t xml:space="preserve">333 · Negare non è provare l'inesistenza.</w:t>
      </w:r>
      <w:r>
        <w:rPr>
          <w:rFonts w:ascii="Barlow Semi Condensed" w:cs="Barlow Semi Condensed" w:eastAsia="Barlow Semi Condensed" w:hAnsi="Barlow Semi Condensed"/>
          <w:sz w:val="24"/>
          <w:szCs w:val="24"/>
        </w:rPr>
        <w:t xml:space="preserve"> Una smentita pubblica, per quanto ferma e ripetuta, non equivale a un certificato negativo rilasciato da un'autorità. Il corpus la registra come dichiarazione e non come accertamento, applicando la stessa misura che riserva alle dichiarazioni di segno opposto. Chi voglia trasformarla in prova deve produrre l'attestazione di un registro, non l'insistenza di chi parla. La simmetria fra le due parti è qui la garanzia del metodo.</w:t>
      </w:r>
    </w:p>
    <w:p>
      <w:pPr>
        <w:spacing w:after="120" w:line="276"/>
        <w:jc w:val="both"/>
      </w:pPr>
      <w:r>
        <w:rPr>
          <w:rFonts w:ascii="Barlow Semi Condensed" w:cs="Barlow Semi Condensed" w:eastAsia="Barlow Semi Condensed" w:hAnsi="Barlow Semi Condensed"/>
          <w:b/>
          <w:bCs/>
          <w:sz w:val="24"/>
          <w:szCs w:val="24"/>
        </w:rPr>
        <w:t xml:space="preserve">334 · Rivendicare non è provare l'esistenza.</w:t>
      </w:r>
      <w:r>
        <w:rPr>
          <w:rFonts w:ascii="Barlow Semi Condensed" w:cs="Barlow Semi Condensed" w:eastAsia="Barlow Semi Condensed" w:hAnsi="Barlow Semi Condensed"/>
          <w:sz w:val="24"/>
          <w:szCs w:val="24"/>
        </w:rPr>
        <w:t xml:space="preserve"> Simmetricamente, l'affermazione di un interesse minerario resa in intervista non crea il titolo che descrive. Vale per il ramo paterno della divergenza quanto per quello filiale: la parola pubblica è fatto, il fatto narrato non lo è. Chi assuma la rivendicazione come acquisita compie lo stesso errore di chi assume la smentita, e produce una ricostruzione che nessun terzo può controllare in una sede pubblica.</w:t>
      </w:r>
    </w:p>
    <w:p>
      <w:pPr>
        <w:spacing w:after="120" w:line="276"/>
        <w:jc w:val="both"/>
      </w:pPr>
      <w:r>
        <w:rPr>
          <w:rFonts w:ascii="Barlow Semi Condensed" w:cs="Barlow Semi Condensed" w:eastAsia="Barlow Semi Condensed" w:hAnsi="Barlow Semi Condensed"/>
          <w:b/>
          <w:bCs/>
          <w:sz w:val="24"/>
          <w:szCs w:val="24"/>
        </w:rPr>
        <w:t xml:space="preserve">335 · Il registro fiscale e la banca centrale.</w:t>
      </w:r>
      <w:r>
        <w:rPr>
          <w:rFonts w:ascii="Barlow Semi Condensed" w:cs="Barlow Semi Condensed" w:eastAsia="Barlow Semi Condensed" w:hAnsi="Barlow Semi Condensed"/>
          <w:sz w:val="24"/>
          <w:szCs w:val="24"/>
        </w:rPr>
        <w:t xml:space="preserve"> Restano due giacimenti poco battuti: gli atti dell'amministrazione fiscale zambiana per gli anni indicati e le pratiche di controllo dei cambi della Banca dello Zambia, che negli anni Ottanta autorizzava le operazioni con l'estero. Entrambi conservano nominativi. La consultabilità va accertata prima, perché regimi di riservatezza fiscale possono precludere l'accesso: in tal caso il diniego motivato si verbalizza e diventa esso stesso un dato di percorso.</w:t>
      </w:r>
    </w:p>
    <w:p>
      <w:pPr>
        <w:spacing w:after="120" w:line="276"/>
        <w:jc w:val="both"/>
      </w:pPr>
      <w:r>
        <w:rPr>
          <w:rFonts w:ascii="Barlow Semi Condensed" w:cs="Barlow Semi Condensed" w:eastAsia="Barlow Semi Condensed" w:hAnsi="Barlow Semi Condensed"/>
          <w:b/>
          <w:bCs/>
          <w:sz w:val="24"/>
          <w:szCs w:val="24"/>
        </w:rPr>
        <w:t xml:space="preserve">336 · Che cosa smentirebbe la lettura minima.</w:t>
      </w:r>
      <w:r>
        <w:rPr>
          <w:rFonts w:ascii="Barlow Semi Condensed" w:cs="Barlow Semi Condensed" w:eastAsia="Barlow Semi Condensed" w:hAnsi="Barlow Semi Condensed"/>
          <w:sz w:val="24"/>
          <w:szCs w:val="24"/>
        </w:rPr>
        <w:t xml:space="preserve"> La lettura minima adottata qui — nessuna proprietà mineraria documentata — sarebbe falsificata da un solo reperto: una licenza, una quota societaria o un contratto registrato che nomini il soggetto. Chi lo trovasse chiuderebbe la divergenza in senso opposto, e la serie ne prenderebbe atto senza attenuanti. È il bersaglio di smentita più preciso dell'intera parte sulle gemme, ed è deliberatamente facile da colpire, se il reperto esiste.</w:t>
      </w:r>
    </w:p>
    <w:p>
      <w:pPr>
        <w:spacing w:after="120" w:line="276"/>
        <w:jc w:val="both"/>
      </w:pPr>
      <w:r>
        <w:rPr>
          <w:rFonts w:ascii="Barlow Semi Condensed" w:cs="Barlow Semi Condensed" w:eastAsia="Barlow Semi Condensed" w:hAnsi="Barlow Semi Condensed"/>
          <w:b/>
          <w:bCs/>
          <w:sz w:val="24"/>
          <w:szCs w:val="24"/>
        </w:rPr>
        <w:t xml:space="preserve">337 · Perché gli smeraldi non reggono la tesi.</w:t>
      </w:r>
      <w:r>
        <w:rPr>
          <w:rFonts w:ascii="Barlow Semi Condensed" w:cs="Barlow Semi Condensed" w:eastAsia="Barlow Semi Condensed" w:hAnsi="Barlow Semi Condensed"/>
          <w:sz w:val="24"/>
          <w:szCs w:val="24"/>
        </w:rPr>
        <w:t xml:space="preserve"> Anche nell'ipotesi in cui un titolo emergesse, il fatto proverebbe un'attività economica del padre in Zambia, non una linea di continuità fra l'economia estrattiva dell'Africa australe e le imprese tecnologiche californiane di due generazioni dopo. La distanza fra i due enunciati è enorme e va tenuta visibile: il caso è utile come esercizio di metodo sulla divergenza, e non come pilastro di alcuna tesi.</w:t>
      </w:r>
    </w:p>
    <w:p>
      <w:pPr>
        <w:spacing w:after="120" w:line="276"/>
        <w:jc w:val="both"/>
      </w:pPr>
      <w:r>
        <w:rPr>
          <w:rFonts w:ascii="Barlow Semi Condensed" w:cs="Barlow Semi Condensed" w:eastAsia="Barlow Semi Condensed" w:hAnsi="Barlow Semi Condensed"/>
          <w:b/>
          <w:bCs/>
          <w:sz w:val="24"/>
          <w:szCs w:val="24"/>
        </w:rPr>
        <w:t xml:space="preserve">338 · Rössing, i dati che risultano.</w:t>
      </w:r>
      <w:r>
        <w:rPr>
          <w:rFonts w:ascii="Barlow Semi Condensed" w:cs="Barlow Semi Condensed" w:eastAsia="Barlow Semi Condensed" w:hAnsi="Barlow Semi Condensed"/>
          <w:sz w:val="24"/>
          <w:szCs w:val="24"/>
        </w:rPr>
        <w:t xml:space="preserve"> L'impianto di Rössing sorge presso Arandis, nell'entroterra di Swakopmund, in territorio allora amministrato dal Sud Africa come Africa del Sud-Ovest. La prospezione risale agli anni Venti, i diritti passarono al gruppo Rio Tinto negli anni Sessanta, il cantiere si aprì a metà anni Settanta e la produzione avviò verso la fine del decennio. Sono fatti pubblici e datati, leggibili nelle relazioni annuali della capogruppo.</w:t>
      </w:r>
    </w:p>
    <w:p>
      <w:pPr>
        <w:spacing w:after="120" w:line="276"/>
        <w:jc w:val="both"/>
      </w:pPr>
      <w:r>
        <w:rPr>
          <w:rFonts w:ascii="Barlow Semi Condensed" w:cs="Barlow Semi Condensed" w:eastAsia="Barlow Semi Condensed" w:hAnsi="Barlow Semi Condensed"/>
          <w:b/>
          <w:bCs/>
          <w:sz w:val="24"/>
          <w:szCs w:val="24"/>
        </w:rPr>
        <w:t xml:space="preserve">339 · La licenza mineraria e il suo numero.</w:t>
      </w:r>
      <w:r>
        <w:rPr>
          <w:rFonts w:ascii="Barlow Semi Condensed" w:cs="Barlow Semi Condensed" w:eastAsia="Barlow Semi Condensed" w:hAnsi="Barlow Semi Condensed"/>
          <w:sz w:val="24"/>
          <w:szCs w:val="24"/>
        </w:rPr>
        <w:t xml:space="preserve"> Rössing opera in forza di una licenza mineraria registrata presso il Ministero delle Miniere e dell'Energia a Windhoek. Il numero e le condizioni vanno letti sull'atto e non sulle sintesi aziendali, perché licenza originaria, rinnovi e modifiche di perimetro sono documenti distinti. Il quesito da portare in sede è la sequenza completa dei titoli dal rilascio a oggi, con le date di ciascuna variazione e l'autorità che la dispose.</w:t>
      </w:r>
    </w:p>
    <w:p>
      <w:pPr>
        <w:spacing w:after="120" w:line="276"/>
        <w:jc w:val="both"/>
      </w:pPr>
      <w:r>
        <w:rPr>
          <w:rFonts w:ascii="Barlow Semi Condensed" w:cs="Barlow Semi Condensed" w:eastAsia="Barlow Semi Condensed" w:hAnsi="Barlow Semi Condensed"/>
          <w:b/>
          <w:bCs/>
          <w:sz w:val="24"/>
          <w:szCs w:val="24"/>
        </w:rPr>
        <w:t xml:space="preserve">340 · Il registro societario di Windhoek.</w:t>
      </w:r>
      <w:r>
        <w:rPr>
          <w:rFonts w:ascii="Barlow Semi Condensed" w:cs="Barlow Semi Condensed" w:eastAsia="Barlow Semi Condensed" w:hAnsi="Barlow Semi Condensed"/>
          <w:sz w:val="24"/>
          <w:szCs w:val="24"/>
        </w:rPr>
        <w:t xml:space="preserve"> La società namibiana che gestisce l'impianto è iscritta nel registro delle imprese tenuto a Windhoek dall'autorità per le imprese e la proprietà intellettuale, che conserva statuti, variazioni della compagine e bilanci depositati. È la sede dove verificare, anno per anno, chi risulti formalmente socio, con quale quota e con quali diritti di voto. Le percentuali riferite dalla stampa vanno sempre riscontrate su questi depositi, che sono l'atto e non il commento.</w:t>
      </w:r>
    </w:p>
    <w:p>
      <w:pPr>
        <w:spacing w:after="120" w:line="276"/>
        <w:jc w:val="both"/>
      </w:pPr>
      <w:r>
        <w:rPr>
          <w:rFonts w:ascii="Barlow Semi Condensed" w:cs="Barlow Semi Condensed" w:eastAsia="Barlow Semi Condensed" w:hAnsi="Barlow Semi Condensed"/>
          <w:b/>
          <w:bCs/>
          <w:sz w:val="24"/>
          <w:szCs w:val="24"/>
        </w:rPr>
        <w:t xml:space="preserve">341 · Una compagine internazionale, non nazionale.</w:t>
      </w:r>
      <w:r>
        <w:rPr>
          <w:rFonts w:ascii="Barlow Semi Condensed" w:cs="Barlow Semi Condensed" w:eastAsia="Barlow Semi Condensed" w:hAnsi="Barlow Semi Condensed"/>
          <w:sz w:val="24"/>
          <w:szCs w:val="24"/>
        </w:rPr>
        <w:t xml:space="preserve"> L'assetto proprietario dell'impianto è stato per decenni multinazionale: maggioranza al gruppo britannico-australiano, quote minoritarie a un veicolo statale iraniano e alla società statale sudafricana per lo sviluppo industriale, più partecipazioni locali e, dopo l'indipendenza, una quota dello Stato namibiano con diritti di voto rafforzati. La composizione va verificata sui depositi societari; la sua importanza analitica è che nessun singolo Stato ne ebbe il controllo pieno.</w:t>
      </w:r>
    </w:p>
    <w:p>
      <w:pPr>
        <w:spacing w:after="120" w:line="276"/>
        <w:jc w:val="both"/>
      </w:pPr>
      <w:r>
        <w:rPr>
          <w:rFonts w:ascii="Barlow Semi Condensed" w:cs="Barlow Semi Condensed" w:eastAsia="Barlow Semi Condensed" w:hAnsi="Barlow Semi Condensed"/>
          <w:b/>
          <w:bCs/>
          <w:sz w:val="24"/>
          <w:szCs w:val="24"/>
        </w:rPr>
        <w:t xml:space="preserve">342 · La quota iraniana e la sua persistenza.</w:t>
      </w:r>
      <w:r>
        <w:rPr>
          <w:rFonts w:ascii="Barlow Semi Condensed" w:cs="Barlow Semi Condensed" w:eastAsia="Barlow Semi Condensed" w:hAnsi="Barlow Semi Condensed"/>
          <w:sz w:val="24"/>
          <w:szCs w:val="24"/>
        </w:rPr>
        <w:t xml:space="preserve"> Fra i soci di minoranza figura da metà anni Settanta un veicolo d'investimento statale iraniano, entrato sotto la monarchia e rimasto nella compagine anche dopo il 1979. Il dato è documentato nei depositi societari e nelle relazioni annuali, ed è istruttivo: mostra che la proprietà di un'infrastruttura estrattiva sopravvive ai cambi di regime dei suoi azionisti. La circostanza si registra come fatto societario e non se ne ricava nulla d'altro.</w:t>
      </w:r>
    </w:p>
    <w:p>
      <w:pPr>
        <w:spacing w:after="120" w:line="276"/>
        <w:jc w:val="both"/>
      </w:pPr>
      <w:r>
        <w:rPr>
          <w:rFonts w:ascii="Barlow Semi Condensed" w:cs="Barlow Semi Condensed" w:eastAsia="Barlow Semi Condensed" w:hAnsi="Barlow Semi Condensed"/>
          <w:b/>
          <w:bCs/>
          <w:sz w:val="24"/>
          <w:szCs w:val="24"/>
        </w:rPr>
        <w:t xml:space="preserve">343 · La società statale sudafricana nella compagine.</w:t>
      </w:r>
      <w:r>
        <w:rPr>
          <w:rFonts w:ascii="Barlow Semi Condensed" w:cs="Barlow Semi Condensed" w:eastAsia="Barlow Semi Condensed" w:hAnsi="Barlow Semi Condensed"/>
          <w:sz w:val="24"/>
          <w:szCs w:val="24"/>
        </w:rPr>
        <w:t xml:space="preserve"> La presenza della società statale sudafricana per lo sviluppo industriale nella compagine è il legame formale più diretto fra l'impianto namibiano e Pretoria, ed è documentabile sui depositi. Costituisce un fatto societario di piano uno fra due enti; non costituisce, da sé, prova di una destinazione militare del prodotto. Confondere una partecipazione azionaria con un committente finale è l'errore che questa parte della serie esiste per prevenire.</w:t>
      </w:r>
    </w:p>
    <w:p>
      <w:pPr>
        <w:spacing w:after="120" w:line="276"/>
        <w:jc w:val="both"/>
      </w:pPr>
      <w:r>
        <w:rPr>
          <w:rFonts w:ascii="Barlow Semi Condensed" w:cs="Barlow Semi Condensed" w:eastAsia="Barlow Semi Condensed" w:hAnsi="Barlow Semi Condensed"/>
          <w:b/>
          <w:bCs/>
          <w:sz w:val="24"/>
          <w:szCs w:val="24"/>
        </w:rPr>
        <w:t xml:space="preserve">344 · Il passaggio di mano del 2019.</w:t>
      </w:r>
      <w:r>
        <w:rPr>
          <w:rFonts w:ascii="Barlow Semi Condensed" w:cs="Barlow Semi Condensed" w:eastAsia="Barlow Semi Condensed" w:hAnsi="Barlow Semi Condensed"/>
          <w:sz w:val="24"/>
          <w:szCs w:val="24"/>
        </w:rPr>
        <w:t xml:space="preserve"> Nel 2019 la maggioranza dell'impianto è passata dal gruppo anglo-australiano a una società statale cinese del settore nucleare. L'operazione è documentata dai comunicati regolamentati della capogruppo e dai depositi presso il registro societario namibiano. È il termine più recente della catena proprietaria e va incluso in qualunque ricostruzione: la storia della miniera non si ferma all'indipendenza, e i suoi titolari cambiano ben oltre la fine del mandato sudafricano.</w:t>
      </w:r>
    </w:p>
    <w:p>
      <w:pPr>
        <w:spacing w:after="120" w:line="276"/>
        <w:jc w:val="both"/>
      </w:pPr>
      <w:r>
        <w:rPr>
          <w:rFonts w:ascii="Barlow Semi Condensed" w:cs="Barlow Semi Condensed" w:eastAsia="Barlow Semi Condensed" w:hAnsi="Barlow Semi Condensed"/>
          <w:b/>
          <w:bCs/>
          <w:sz w:val="24"/>
          <w:szCs w:val="24"/>
        </w:rPr>
        <w:t xml:space="preserve">345 · Companies House e la capogruppo.</w:t>
      </w:r>
      <w:r>
        <w:rPr>
          <w:rFonts w:ascii="Barlow Semi Condensed" w:cs="Barlow Semi Condensed" w:eastAsia="Barlow Semi Condensed" w:hAnsi="Barlow Semi Condensed"/>
          <w:sz w:val="24"/>
          <w:szCs w:val="24"/>
        </w:rPr>
        <w:t xml:space="preserve"> I depositi della capogruppo britannica presso il registro delle imprese di Londra, insieme alle relazioni annuali e ai verbali delle assemblee, sono la fonte primaria sulle quote, sui contratti rilevanti e sulle contestazioni sollevate dagli azionisti nelle assemblee degli anni Settanta e Ottanta. Le assemblee sono verbalizzate: chi cerchi le obiezioni sollevate allora sull'attività namibiana trova lì il testo, e non nelle sintesi militanti che lo citano.</w:t>
      </w:r>
    </w:p>
    <w:p>
      <w:pPr>
        <w:spacing w:after="120" w:line="276"/>
        <w:jc w:val="both"/>
      </w:pPr>
      <w:r>
        <w:rPr>
          <w:rFonts w:ascii="Barlow Semi Condensed" w:cs="Barlow Semi Condensed" w:eastAsia="Barlow Semi Condensed" w:hAnsi="Barlow Semi Condensed"/>
          <w:b/>
          <w:bCs/>
          <w:sz w:val="24"/>
          <w:szCs w:val="24"/>
        </w:rPr>
        <w:t xml:space="preserve">346 · Il contratto britannico e i Comuni.</w:t>
      </w:r>
      <w:r>
        <w:rPr>
          <w:rFonts w:ascii="Barlow Semi Condensed" w:cs="Barlow Semi Condensed" w:eastAsia="Barlow Semi Condensed" w:hAnsi="Barlow Semi Condensed"/>
          <w:sz w:val="24"/>
          <w:szCs w:val="24"/>
        </w:rPr>
        <w:t xml:space="preserve"> Negli anni Settanta la fornitura di uranio namibiano a un ente pubblico britannico divenne oggetto di controversia parlamentare. La verifica è agevole e va fatta sulle fonti primarie: gli atti dei dibattiti dei Comuni, con data e relatore, dicono che cosa il governo confermò e che cosa negò. Il resoconto parlamentare è pubblico, indicizzato per data, e sostituisce con vantaggio ogni ricostruzione di seconda mano.</w:t>
      </w:r>
    </w:p>
    <w:p>
      <w:pPr>
        <w:spacing w:after="120" w:line="276"/>
        <w:jc w:val="both"/>
      </w:pPr>
      <w:r>
        <w:rPr>
          <w:rFonts w:ascii="Barlow Semi Condensed" w:cs="Barlow Semi Condensed" w:eastAsia="Barlow Semi Condensed" w:hAnsi="Barlow Semi Condensed"/>
          <w:b/>
          <w:bCs/>
          <w:sz w:val="24"/>
          <w:szCs w:val="24"/>
        </w:rPr>
        <w:t xml:space="preserve">347 · Kew, e quali serie chiedere.</w:t>
      </w:r>
      <w:r>
        <w:rPr>
          <w:rFonts w:ascii="Barlow Semi Condensed" w:cs="Barlow Semi Condensed" w:eastAsia="Barlow Semi Condensed" w:hAnsi="Barlow Semi Condensed"/>
          <w:sz w:val="24"/>
          <w:szCs w:val="24"/>
        </w:rPr>
        <w:t xml:space="preserve"> Presso i National Archives britannici a Kew le serie utili sono quelle del Foreign and Commonwealth Office per l'Africa australe, quelle del dipartimento responsabile dell'energia e i fascicoli di gabinetto degli anni Settanta. Il catalogo Discovery consente la ricerca preliminare per parole chiave e per intervallo di date. Come per il cantiere britannico dei nove cantieri, il verbale deve distinguere i fascicoli aperti, quelli trattenuti e quelli non trasferiti.</w:t>
      </w:r>
    </w:p>
    <w:p>
      <w:pPr>
        <w:spacing w:after="120" w:line="276"/>
        <w:jc w:val="both"/>
      </w:pPr>
      <w:r>
        <w:rPr>
          <w:rFonts w:ascii="Barlow Semi Condensed" w:cs="Barlow Semi Condensed" w:eastAsia="Barlow Semi Condensed" w:hAnsi="Barlow Semi Condensed"/>
          <w:b/>
          <w:bCs/>
          <w:sz w:val="24"/>
          <w:szCs w:val="24"/>
        </w:rPr>
        <w:t xml:space="preserve">348 · Una fonte militante, datata e citabile.</w:t>
      </w:r>
      <w:r>
        <w:rPr>
          <w:rFonts w:ascii="Barlow Semi Condensed" w:cs="Barlow Semi Condensed" w:eastAsia="Barlow Semi Condensed" w:hAnsi="Barlow Semi Condensed"/>
          <w:sz w:val="24"/>
          <w:szCs w:val="24"/>
        </w:rPr>
        <w:t xml:space="preserve"> Sul contratto britannico esiste un opuscolo d'inchiesta pubblicato nel 1980 da una campagna d'opposizione. È fonte di parte e va dichiarata tale, ma è datata, firmata e citabile, e riporta riferimenti verificabili altrove. Il corpus la usa solo come guida ai documenti che cita, mai come attestazione autonoma: una fonte militante può indicare dove guardare senza per questo diventare ciò che si guarda.</w:t>
      </w:r>
    </w:p>
    <w:p>
      <w:pPr>
        <w:spacing w:after="120" w:line="276"/>
        <w:jc w:val="both"/>
      </w:pPr>
      <w:r>
        <w:rPr>
          <w:rFonts w:ascii="Barlow Semi Condensed" w:cs="Barlow Semi Condensed" w:eastAsia="Barlow Semi Condensed" w:hAnsi="Barlow Semi Condensed"/>
          <w:b/>
          <w:bCs/>
          <w:sz w:val="24"/>
          <w:szCs w:val="24"/>
        </w:rPr>
        <w:t xml:space="preserve">349 · Il Decreto numero uno del 1974.</w:t>
      </w:r>
      <w:r>
        <w:rPr>
          <w:rFonts w:ascii="Barlow Semi Condensed" w:cs="Barlow Semi Condensed" w:eastAsia="Barlow Semi Condensed" w:hAnsi="Barlow Semi Condensed"/>
          <w:sz w:val="24"/>
          <w:szCs w:val="24"/>
        </w:rPr>
        <w:t xml:space="preserve"> Il Consiglio delle Nazioni Unite per la Namibia adottò il 27 settembre 1974 il decreto per la protezione delle risorse naturali del territorio, che vietava a chiunque di cercare, estrarre o esportare risorse namibiane senza sua autorizzazione. L'Assemblea Generale lo approvò con risoluzione nel dicembre dello stesso anno. È il documento centrale della questione uranifera e va letto nel testo integrale, non nelle parafrasi.</w:t>
      </w:r>
    </w:p>
    <w:p>
      <w:pPr>
        <w:spacing w:after="120" w:line="276"/>
        <w:jc w:val="both"/>
      </w:pPr>
      <w:r>
        <w:rPr>
          <w:rFonts w:ascii="Barlow Semi Condensed" w:cs="Barlow Semi Condensed" w:eastAsia="Barlow Semi Condensed" w:hAnsi="Barlow Semi Condensed"/>
          <w:b/>
          <w:bCs/>
          <w:sz w:val="24"/>
          <w:szCs w:val="24"/>
        </w:rPr>
        <w:t xml:space="preserve">350 · L'approvazione dell'Assemblea Generale.</w:t>
      </w:r>
      <w:r>
        <w:rPr>
          <w:rFonts w:ascii="Barlow Semi Condensed" w:cs="Barlow Semi Condensed" w:eastAsia="Barlow Semi Condensed" w:hAnsi="Barlow Semi Condensed"/>
          <w:sz w:val="24"/>
          <w:szCs w:val="24"/>
        </w:rPr>
        <w:t xml:space="preserve"> La risoluzione con cui l'Assemblea Generale fece proprio il decreto porta la numerazione della ventinovesima sessione ed è datata dicembre 1974. Il suo reperimento è immediato nel sistema documentale delle Nazioni Unite, che restituisce testo, verbali di seduta ed esiti di voto. Il dettaglio del voto è rilevante quanto il dispositivo: dice quali Stati sostennero il divieto e quali no, e va riportato per esteso.</w:t>
      </w:r>
    </w:p>
    <w:p>
      <w:pPr>
        <w:spacing w:after="120" w:line="276"/>
        <w:jc w:val="both"/>
      </w:pPr>
      <w:r>
        <w:rPr>
          <w:rFonts w:ascii="Barlow Semi Condensed" w:cs="Barlow Semi Condensed" w:eastAsia="Barlow Semi Condensed" w:hAnsi="Barlow Semi Condensed"/>
          <w:b/>
          <w:bCs/>
          <w:sz w:val="24"/>
          <w:szCs w:val="24"/>
        </w:rPr>
        <w:t xml:space="preserve">351 · Il parere della Corte internazionale, 1971.</w:t>
      </w:r>
      <w:r>
        <w:rPr>
          <w:rFonts w:ascii="Barlow Semi Condensed" w:cs="Barlow Semi Condensed" w:eastAsia="Barlow Semi Condensed" w:hAnsi="Barlow Semi Condensed"/>
          <w:sz w:val="24"/>
          <w:szCs w:val="24"/>
        </w:rPr>
        <w:t xml:space="preserve"> Il 21 giugno 1971 la Corte internazionale di giustizia rese il parere consultivo secondo cui la presenza sudafricana in Namibia era illegittima e il Sud Africa doveva ritirarne l'amministrazione. Il testo integrale, con opinioni individuali e dissenzienti, è nella raccolta ufficiale della Corte. Sta a monte di tutta la questione uranifera: definisce il quadro giuridico entro cui ogni titolo minerario rilasciato da Pretoria dopo quella data va valutato.</w:t>
      </w:r>
    </w:p>
    <w:p>
      <w:pPr>
        <w:spacing w:after="120" w:line="276"/>
        <w:jc w:val="both"/>
      </w:pPr>
      <w:r>
        <w:rPr>
          <w:rFonts w:ascii="Barlow Semi Condensed" w:cs="Barlow Semi Condensed" w:eastAsia="Barlow Semi Condensed" w:hAnsi="Barlow Semi Condensed"/>
          <w:b/>
          <w:bCs/>
          <w:sz w:val="24"/>
          <w:szCs w:val="24"/>
        </w:rPr>
        <w:t xml:space="preserve">352 · La revoca del mandato, 1966.</w:t>
      </w:r>
      <w:r>
        <w:rPr>
          <w:rFonts w:ascii="Barlow Semi Condensed" w:cs="Barlow Semi Condensed" w:eastAsia="Barlow Semi Condensed" w:hAnsi="Barlow Semi Condensed"/>
          <w:sz w:val="24"/>
          <w:szCs w:val="24"/>
        </w:rPr>
        <w:t xml:space="preserve"> Con la risoluzione della ventunesima sessione, il 27 ottobre 1966, l'Assemblea Generale dichiarò terminato il mandato sudafricano sull'Africa del Sud-Ovest. La data è il primo termine della catena giuridica e va tenuta ferma nelle cronologie, perché tutto ciò che segue — decreto sulle risorse, contenziosi, contestazioni azionarie — si regge su di essa. Il testo e i verbali della seduta sono consultabili nel sistema documentale dell'organizzazione.</w:t>
      </w:r>
    </w:p>
    <w:p>
      <w:pPr>
        <w:spacing w:after="120" w:line="276"/>
        <w:jc w:val="both"/>
      </w:pPr>
      <w:r>
        <w:rPr>
          <w:rFonts w:ascii="Barlow Semi Condensed" w:cs="Barlow Semi Condensed" w:eastAsia="Barlow Semi Condensed" w:hAnsi="Barlow Semi Condensed"/>
          <w:b/>
          <w:bCs/>
          <w:sz w:val="24"/>
          <w:szCs w:val="24"/>
        </w:rPr>
        <w:t xml:space="preserve">353 · La risoluzione 435 e il suo ritardo.</w:t>
      </w:r>
      <w:r>
        <w:rPr>
          <w:rFonts w:ascii="Barlow Semi Condensed" w:cs="Barlow Semi Condensed" w:eastAsia="Barlow Semi Condensed" w:hAnsi="Barlow Semi Condensed"/>
          <w:sz w:val="24"/>
          <w:szCs w:val="24"/>
        </w:rPr>
        <w:t xml:space="preserve"> Il piano di transizione all'indipendenza fu adottato dal Consiglio di Sicurezza nel 1978 ma applicato solo dal 1989, con l'indipendenza namibiana proclamata nel marzo 1990. L'intervallo di undici anni è il periodo in cui l'estrazione proseguì sotto amministrazione contestata, ed è esattamente il perimetro cronologico dei quesiti di questa parte. La data della delibera e quella dell'attuazione non vanno mai fatte coincidere.</w:t>
      </w:r>
    </w:p>
    <w:p>
      <w:pPr>
        <w:spacing w:after="120" w:line="276"/>
        <w:jc w:val="both"/>
      </w:pPr>
      <w:r>
        <w:rPr>
          <w:rFonts w:ascii="Barlow Semi Condensed" w:cs="Barlow Semi Condensed" w:eastAsia="Barlow Semi Condensed" w:hAnsi="Barlow Semi Condensed"/>
          <w:b/>
          <w:bCs/>
          <w:sz w:val="24"/>
          <w:szCs w:val="24"/>
        </w:rPr>
        <w:t xml:space="preserve">354 · La causa dell'Aia contro l'arricchimento.</w:t>
      </w:r>
      <w:r>
        <w:rPr>
          <w:rFonts w:ascii="Barlow Semi Condensed" w:cs="Barlow Semi Condensed" w:eastAsia="Barlow Semi Condensed" w:hAnsi="Barlow Semi Condensed"/>
          <w:sz w:val="24"/>
          <w:szCs w:val="24"/>
        </w:rPr>
        <w:t xml:space="preserve"> Nel 1987 il Consiglio per la Namibia promosse davanti al tribunale distrettuale dell'Aia un'azione contro società olandesi coinvolte nel trattamento di uranio di provenienza namibiana, invocando il decreto del 1974. È il tentativo più concreto di rendere azionabile quel divieto. Gli atti del procedimento e il suo esito vanno letti presso il tribunale competente: esito e motivazioni contano quanto l'iniziativa, e non vanno dati per scontati.</w:t>
      </w:r>
    </w:p>
    <w:p>
      <w:pPr>
        <w:spacing w:after="120" w:line="276"/>
        <w:jc w:val="both"/>
      </w:pPr>
      <w:r>
        <w:rPr>
          <w:rFonts w:ascii="Barlow Semi Condensed" w:cs="Barlow Semi Condensed" w:eastAsia="Barlow Semi Condensed" w:hAnsi="Barlow Semi Condensed"/>
          <w:b/>
          <w:bCs/>
          <w:sz w:val="24"/>
          <w:szCs w:val="24"/>
        </w:rPr>
        <w:t xml:space="preserve">355 · Il fondo del Consiglio per la Namibia.</w:t>
      </w:r>
      <w:r>
        <w:rPr>
          <w:rFonts w:ascii="Barlow Semi Condensed" w:cs="Barlow Semi Condensed" w:eastAsia="Barlow Semi Condensed" w:hAnsi="Barlow Semi Condensed"/>
          <w:sz w:val="24"/>
          <w:szCs w:val="24"/>
        </w:rPr>
        <w:t xml:space="preserve"> Le carte del Consiglio delle Nazioni Unite per la Namibia sono conservate dalla sezione archivi e gestione documentale dell'Organizzazione a New York, che ne pubblica gli inventari. Vi si cercano corrispondenza, pareri legali, atti istruttori sull'applicazione del decreto e i carteggi con gli Stati membri sulle importazioni di uranio. È la sede che potrebbe restituire i nomi delle società effettivamente contestate, e le date delle contestazioni.</w:t>
      </w:r>
    </w:p>
    <w:p>
      <w:pPr>
        <w:spacing w:after="120" w:line="276"/>
        <w:jc w:val="both"/>
      </w:pPr>
      <w:r>
        <w:rPr>
          <w:rFonts w:ascii="Barlow Semi Condensed" w:cs="Barlow Semi Condensed" w:eastAsia="Barlow Semi Condensed" w:hAnsi="Barlow Semi Condensed"/>
          <w:b/>
          <w:bCs/>
          <w:sz w:val="24"/>
          <w:szCs w:val="24"/>
        </w:rPr>
        <w:t xml:space="preserve">356 · Windhoek, gli archivi del territorio.</w:t>
      </w:r>
      <w:r>
        <w:rPr>
          <w:rFonts w:ascii="Barlow Semi Condensed" w:cs="Barlow Semi Condensed" w:eastAsia="Barlow Semi Condensed" w:hAnsi="Barlow Semi Condensed"/>
          <w:sz w:val="24"/>
          <w:szCs w:val="24"/>
        </w:rPr>
        <w:t xml:space="preserve"> L'Archivio Nazionale della Namibia a Windhoek conserva le carte dell'amministrazione dell'Africa del Sud-Ovest e dell'Amministratore Generale, comprese pratiche minerarie, autorizzazioni e corrispondenza con Pretoria. È la sede primaria per accertare quali atti amministrativi accompagnarono la costruzione dell'impianto e quali imprese vi furono ammesse a operare. La ricerca va perimetrata per anno e per ufficio emittente, e il suo esito verbalizzato serie per serie.</w:t>
      </w:r>
    </w:p>
    <w:p>
      <w:pPr>
        <w:spacing w:after="120" w:line="276"/>
        <w:jc w:val="both"/>
      </w:pPr>
      <w:r>
        <w:rPr>
          <w:rFonts w:ascii="Barlow Semi Condensed" w:cs="Barlow Semi Condensed" w:eastAsia="Barlow Semi Condensed" w:hAnsi="Barlow Semi Condensed"/>
          <w:b/>
          <w:bCs/>
          <w:sz w:val="24"/>
          <w:szCs w:val="24"/>
        </w:rPr>
        <w:t xml:space="preserve">357 · Basilea e la biblioteca namibiana.</w:t>
      </w:r>
      <w:r>
        <w:rPr>
          <w:rFonts w:ascii="Barlow Semi Condensed" w:cs="Barlow Semi Condensed" w:eastAsia="Barlow Semi Condensed" w:hAnsi="Barlow Semi Condensed"/>
          <w:sz w:val="24"/>
          <w:szCs w:val="24"/>
        </w:rPr>
        <w:t xml:space="preserve"> Fuori dall'Africa australe, la raccolta più ricca sulla Namibia coloniale e sul movimento d'opposizione è alla Basler Afrika Bibliographien di Basilea, che conserva fondi privati, periodici e materiale grigio altrove introvabile. Serve a colmare le lacune degli archivi ufficiali e a datare la circolazione delle tesi militanti. Il corpus vi cerca documenti, non conferme: una raccolta di parte resta una miniera documentale se se ne dichiara la natura.</w:t>
      </w:r>
    </w:p>
    <w:p>
      <w:pPr>
        <w:spacing w:after="120" w:line="276"/>
        <w:jc w:val="both"/>
      </w:pPr>
      <w:r>
        <w:rPr>
          <w:rFonts w:ascii="Barlow Semi Condensed" w:cs="Barlow Semi Condensed" w:eastAsia="Barlow Semi Condensed" w:hAnsi="Barlow Semi Condensed"/>
          <w:b/>
          <w:bCs/>
          <w:sz w:val="24"/>
          <w:szCs w:val="24"/>
        </w:rPr>
        <w:t xml:space="preserve">358 · Oxford e le carte dell'anti-apartheid.</w:t>
      </w:r>
      <w:r>
        <w:rPr>
          <w:rFonts w:ascii="Barlow Semi Condensed" w:cs="Barlow Semi Condensed" w:eastAsia="Barlow Semi Condensed" w:hAnsi="Barlow Semi Condensed"/>
          <w:sz w:val="24"/>
          <w:szCs w:val="24"/>
        </w:rPr>
        <w:t xml:space="preserve"> L'archivio del movimento britannico contro l'apartheid è depositato alla Bodleian Library di Oxford e comprende i materiali delle campagne sull'uranio namibiano. Vi si trovano le carte di lavoro che stanno dietro gli opuscoli pubblicati: bozze, corrispondenza, ritagli, e talvolta i documenti che gli opuscoli citano senza riprodurre. È il luogo dove una fonte militante può essere ricondotta ai suoi allegati, e quindi verificata o ridimensionata.</w:t>
      </w:r>
    </w:p>
    <w:p>
      <w:pPr>
        <w:spacing w:after="120" w:line="276"/>
        <w:jc w:val="both"/>
      </w:pPr>
      <w:r>
        <w:rPr>
          <w:rFonts w:ascii="Barlow Semi Condensed" w:cs="Barlow Semi Condensed" w:eastAsia="Barlow Semi Condensed" w:hAnsi="Barlow Semi Condensed"/>
          <w:b/>
          <w:bCs/>
          <w:sz w:val="24"/>
          <w:szCs w:val="24"/>
        </w:rPr>
        <w:t xml:space="preserve">359 · Swakopmund, ciò che risulta e basta.</w:t>
      </w:r>
      <w:r>
        <w:rPr>
          <w:rFonts w:ascii="Barlow Semi Condensed" w:cs="Barlow Semi Condensed" w:eastAsia="Barlow Semi Condensed" w:hAnsi="Barlow Semi Condensed"/>
          <w:sz w:val="24"/>
          <w:szCs w:val="24"/>
        </w:rPr>
        <w:t xml:space="preserve"> Di Peter Thiel, nato a Francoforte nel 1967, risulta pubblicamente il soggiorno a Swakopmund attorno al 1975-1977, negli anni del cantiere uranifero, e la frequenza a Johannesburg di una scuola preparatoria riservata ai bianchi. Sono fatti biografici e appartengono al capitolo dell'infanzia. L'infanzia non è una scelta e non è una condotta: la serie li registra per collocare una cronologia, e non ne trae null'altro.</w:t>
      </w:r>
    </w:p>
    <w:p>
      <w:pPr>
        <w:spacing w:after="120" w:line="276"/>
        <w:jc w:val="both"/>
      </w:pPr>
      <w:r>
        <w:rPr>
          <w:rFonts w:ascii="Barlow Semi Condensed" w:cs="Barlow Semi Condensed" w:eastAsia="Barlow Semi Condensed" w:hAnsi="Barlow Semi Condensed"/>
          <w:b/>
          <w:bCs/>
          <w:sz w:val="24"/>
          <w:szCs w:val="24"/>
        </w:rPr>
        <w:t xml:space="preserve">360 · Il datore di lavoro paterno, documento mancante.</w:t>
      </w:r>
      <w:r>
        <w:rPr>
          <w:rFonts w:ascii="Barlow Semi Condensed" w:cs="Barlow Semi Condensed" w:eastAsia="Barlow Semi Condensed" w:hAnsi="Barlow Semi Condensed"/>
          <w:sz w:val="24"/>
          <w:szCs w:val="24"/>
        </w:rPr>
        <w:t xml:space="preserve"> Klaus Thiel, ingegnere chimico, lavorò per un'impresa attiva sul cantiere. Il documento che nominerebbe con precisione quell'impresa — contratto, permesso di lavoro, elenco del personale, autorizzazione di soggiorno — non risulta pubblicamente reperibile. È uno Stato Zero puntuale, e le sedi che lo chiuderebbero sono due: gli archivi amministrativi di Windhoek per i permessi, e gli archivi d'impresa dei contraenti del cantiere, se conservati.</w:t>
      </w:r>
    </w:p>
    <w:p>
      <w:pPr>
        <w:spacing w:after="120" w:line="276"/>
        <w:jc w:val="both"/>
      </w:pPr>
      <w:r>
        <w:rPr>
          <w:rFonts w:ascii="Barlow Semi Condensed" w:cs="Barlow Semi Condensed" w:eastAsia="Barlow Semi Condensed" w:hAnsi="Barlow Semi Condensed"/>
          <w:b/>
          <w:bCs/>
          <w:sz w:val="24"/>
          <w:szCs w:val="24"/>
        </w:rPr>
        <w:t xml:space="preserve">361 · La biografia con apparato come guida.</w:t>
      </w:r>
      <w:r>
        <w:rPr>
          <w:rFonts w:ascii="Barlow Semi Condensed" w:cs="Barlow Semi Condensed" w:eastAsia="Barlow Semi Condensed" w:hAnsi="Barlow Semi Condensed"/>
          <w:sz w:val="24"/>
          <w:szCs w:val="24"/>
        </w:rPr>
        <w:t xml:space="preserve"> La ricostruzione più curata del periodo namibiano è nella biografia di Max Chafkin pubblicata nel 2021, che ne indica le fonti. Il corpus la usa come guida ai riscontri e non come attestazione finale: dove il testo cita un'intervista, resta testimonianza; dove cita un documento, si risale al documento. È lo stesso criterio applicato alla biografia di Isaacson nella parte sugli smeraldi, e vale per ogni opera secondaria.</w:t>
      </w:r>
    </w:p>
    <w:p>
      <w:pPr>
        <w:spacing w:after="120" w:line="276"/>
        <w:jc w:val="both"/>
      </w:pPr>
      <w:r>
        <w:rPr>
          <w:rFonts w:ascii="Barlow Semi Condensed" w:cs="Barlow Semi Condensed" w:eastAsia="Barlow Semi Condensed" w:hAnsi="Barlow Semi Condensed"/>
          <w:b/>
          <w:bCs/>
          <w:sz w:val="24"/>
          <w:szCs w:val="24"/>
        </w:rPr>
        <w:t xml:space="preserve">362 · La tesi militare su Rössing è terziaria.</w:t>
      </w:r>
      <w:r>
        <w:rPr>
          <w:rFonts w:ascii="Barlow Semi Condensed" w:cs="Barlow Semi Condensed" w:eastAsia="Barlow Semi Condensed" w:hAnsi="Barlow Semi Condensed"/>
          <w:sz w:val="24"/>
          <w:szCs w:val="24"/>
        </w:rPr>
        <w:t xml:space="preserve"> Che l'uranio namibiano alimentasse il programma nucleare militare sudafricano è affermazione che circola su siti militanti privi di documento di provenienza. È piano tre e la serie non l'adotta. Resta come bersaglio da verificare, con sede indicata: gli atti del Consiglio di Sicurezza sull'embargo, i fascicoli britannici a Kew e le carte dell'ente atomico sudafricano presso gli Archivi Nazionali a Pretoria.</w:t>
      </w:r>
    </w:p>
    <w:p>
      <w:pPr>
        <w:spacing w:after="120" w:line="276"/>
        <w:jc w:val="both"/>
      </w:pPr>
      <w:r>
        <w:rPr>
          <w:rFonts w:ascii="Barlow Semi Condensed" w:cs="Barlow Semi Condensed" w:eastAsia="Barlow Semi Condensed" w:hAnsi="Barlow Semi Condensed"/>
          <w:b/>
          <w:bCs/>
          <w:sz w:val="24"/>
          <w:szCs w:val="24"/>
        </w:rPr>
        <w:t xml:space="preserve">363 · Che cosa risulta invece del programma.</w:t>
      </w:r>
      <w:r>
        <w:rPr>
          <w:rFonts w:ascii="Barlow Semi Condensed" w:cs="Barlow Semi Condensed" w:eastAsia="Barlow Semi Condensed" w:hAnsi="Barlow Semi Condensed"/>
          <w:sz w:val="24"/>
          <w:szCs w:val="24"/>
        </w:rPr>
        <w:t xml:space="preserve"> Del programma nucleare sudafricano è documentato altro: l'approvvigionamento interno legato ai residui delle miniere aurifere attraverso la società nazionale per i combustibili nucleari, e l'arricchimento presso gli impianti a occidente di Pretoria. Questa filiera interna è la spiegazione documentata, e va confrontata con la tesi terziaria prima di discuterla. Una spiegazione già attestata non si sostituisce con una più suggestiva senza un documento nuovo.</w:t>
      </w:r>
    </w:p>
    <w:p>
      <w:pPr>
        <w:spacing w:after="120" w:line="276"/>
        <w:jc w:val="both"/>
      </w:pPr>
      <w:r>
        <w:rPr>
          <w:rFonts w:ascii="Barlow Semi Condensed" w:cs="Barlow Semi Condensed" w:eastAsia="Barlow Semi Condensed" w:hAnsi="Barlow Semi Condensed"/>
          <w:b/>
          <w:bCs/>
          <w:sz w:val="24"/>
          <w:szCs w:val="24"/>
        </w:rPr>
        <w:t xml:space="preserve">364 · La dichiarazione del 1993 e la verifica.</w:t>
      </w:r>
      <w:r>
        <w:rPr>
          <w:rFonts w:ascii="Barlow Semi Condensed" w:cs="Barlow Semi Condensed" w:eastAsia="Barlow Semi Condensed" w:hAnsi="Barlow Semi Condensed"/>
          <w:sz w:val="24"/>
          <w:szCs w:val="24"/>
        </w:rPr>
        <w:t xml:space="preserve"> Nel marzo 1993 il presidente sudafricano dichiarò in Parlamento che il Paese aveva costruito e poi smantellato un piccolo arsenale nucleare. Seguì una verifica dell'Agenzia internazionale per l'energia atomica, i cui documenti di consiglio sono pubblici. Sono le due fonti primarie sull'intera questione: il resoconto parlamentare sudafricano per la dichiarazione, gli atti dell'Agenzia per il riscontro tecnico. Ogni discussione sul tema comincia da lì.</w:t>
      </w:r>
    </w:p>
    <w:p>
      <w:pPr>
        <w:spacing w:after="120" w:line="276"/>
        <w:jc w:val="both"/>
      </w:pPr>
      <w:r>
        <w:rPr>
          <w:rFonts w:ascii="Barlow Semi Condensed" w:cs="Barlow Semi Condensed" w:eastAsia="Barlow Semi Condensed" w:hAnsi="Barlow Semi Condensed"/>
          <w:b/>
          <w:bCs/>
          <w:sz w:val="24"/>
          <w:szCs w:val="24"/>
        </w:rPr>
        <w:t xml:space="preserve">365 · Uranio sudafricano e uranio namibiano.</w:t>
      </w:r>
      <w:r>
        <w:rPr>
          <w:rFonts w:ascii="Barlow Semi Condensed" w:cs="Barlow Semi Condensed" w:eastAsia="Barlow Semi Condensed" w:hAnsi="Barlow Semi Condensed"/>
          <w:sz w:val="24"/>
          <w:szCs w:val="24"/>
        </w:rPr>
        <w:t xml:space="preserve"> Le due filiere non vanno confuse. L'uranio sudafricano era sottoprodotto dell'estrazione aurifera del Witwatersrand; quello namibiano proveniva da un giacimento a bassa concentrazione lavorato a cielo aperto da una società a capitale prevalentemente estero. Origine, proprietà, mercati e regime giuridico sono diversi. Trattarle come un'unica massa è l'errore che rende plausibili le scorciatoie, e va corretto ogni volta che compare.</w:t>
      </w:r>
    </w:p>
    <w:p>
      <w:pPr>
        <w:spacing w:after="120" w:line="276"/>
        <w:jc w:val="both"/>
      </w:pPr>
      <w:r>
        <w:rPr>
          <w:rFonts w:ascii="Barlow Semi Condensed" w:cs="Barlow Semi Condensed" w:eastAsia="Barlow Semi Condensed" w:hAnsi="Barlow Semi Condensed"/>
          <w:b/>
          <w:bCs/>
          <w:sz w:val="24"/>
          <w:szCs w:val="24"/>
        </w:rPr>
        <w:t xml:space="preserve">366 · Il bersaglio di smentita sull'uranio.</w:t>
      </w:r>
      <w:r>
        <w:rPr>
          <w:rFonts w:ascii="Barlow Semi Condensed" w:cs="Barlow Semi Condensed" w:eastAsia="Barlow Semi Condensed" w:hAnsi="Barlow Semi Condensed"/>
          <w:sz w:val="24"/>
          <w:szCs w:val="24"/>
        </w:rPr>
        <w:t xml:space="preserve"> Basta un reperto a rovesciare la lettura commerciale adottata in questa parte: un contratto, una bolla di trasferimento o un verbale interno che indirizzi concentrato namibiano a impianti militari sudafricani. Chi lo cerchi guardi nelle serie dell'ente atomico sudafricano a Pretoria e nei fascicoli energetici britannici a Kew. Finché quel reperto non emerge, la tesi contraria resta terziaria, e resta registrata come bersaglio aperto anziché adottata.</w:t>
      </w:r>
    </w:p>
    <w:p>
      <w:pPr>
        <w:spacing w:after="120" w:line="276"/>
        <w:jc w:val="both"/>
      </w:pPr>
      <w:r>
        <w:rPr>
          <w:rFonts w:ascii="Barlow Semi Condensed" w:cs="Barlow Semi Condensed" w:eastAsia="Barlow Semi Condensed" w:hAnsi="Barlow Semi Condensed"/>
          <w:b/>
          <w:bCs/>
          <w:sz w:val="24"/>
          <w:szCs w:val="24"/>
        </w:rPr>
        <w:t xml:space="preserve">367 · Verbale del vuoto namibiano.</w:t>
      </w:r>
      <w:r>
        <w:rPr>
          <w:rFonts w:ascii="Barlow Semi Condensed" w:cs="Barlow Semi Condensed" w:eastAsia="Barlow Semi Condensed" w:hAnsi="Barlow Semi Condensed"/>
          <w:sz w:val="24"/>
          <w:szCs w:val="24"/>
        </w:rPr>
        <w:t xml:space="preserve"> Allo stato non risultano pubblicamente accessibili né il contratto di lavoro paterno sul cantiere, né un atto che colleghi il concentrato namibiano a impieghi militari, né un elenco nominativo delle imprese subappaltatrici del cantiere. Tre vuoti distinti, con tre sedi distinte: Windhoek per l'amministrazione, Londra e Kew per i contratti d'oltremare, Pretoria per l'ente atomico. Il vuoto perimetrato vale quanto un ritrovamento.</w:t>
      </w:r>
    </w:p>
    <w:p>
      <w:pPr>
        <w:spacing w:after="120" w:line="276"/>
        <w:jc w:val="both"/>
      </w:pPr>
      <w:r>
        <w:rPr>
          <w:rFonts w:ascii="Barlow Semi Condensed" w:cs="Barlow Semi Condensed" w:eastAsia="Barlow Semi Condensed" w:hAnsi="Barlow Semi Condensed"/>
          <w:b/>
          <w:bCs/>
          <w:sz w:val="24"/>
          <w:szCs w:val="24"/>
        </w:rPr>
        <w:t xml:space="preserve">368 · L'oro come base fiscale del regime.</w:t>
      </w:r>
      <w:r>
        <w:rPr>
          <w:rFonts w:ascii="Barlow Semi Condensed" w:cs="Barlow Semi Condensed" w:eastAsia="Barlow Semi Condensed" w:hAnsi="Barlow Semi Condensed"/>
          <w:sz w:val="24"/>
          <w:szCs w:val="24"/>
        </w:rPr>
        <w:t xml:space="preserve"> L'estrazione aurifera del Witwatersrand fu per decenni la principale fonte di valuta estera del Sud Africa, e dunque il presupposto materiale della tenuta finanziaria del regime segregazionista. È un dato macroeconomico documentato nei bollettini della banca centrale e negli annuari minerari. Serve come cornice e non come imputazione: descrive perché le sanzioni economiche furono a lungo resistite, non che cosa abbia fatto una singola persona.</w:t>
      </w:r>
    </w:p>
    <w:p>
      <w:pPr>
        <w:spacing w:after="120" w:line="276"/>
        <w:jc w:val="both"/>
      </w:pPr>
      <w:r>
        <w:rPr>
          <w:rFonts w:ascii="Barlow Semi Condensed" w:cs="Barlow Semi Condensed" w:eastAsia="Barlow Semi Condensed" w:hAnsi="Barlow Semi Condensed"/>
          <w:b/>
          <w:bCs/>
          <w:sz w:val="24"/>
          <w:szCs w:val="24"/>
        </w:rPr>
        <w:t xml:space="preserve">369 · Gli annuari della Camera delle Miniere.</w:t>
      </w:r>
      <w:r>
        <w:rPr>
          <w:rFonts w:ascii="Barlow Semi Condensed" w:cs="Barlow Semi Condensed" w:eastAsia="Barlow Semi Condensed" w:hAnsi="Barlow Semi Condensed"/>
          <w:sz w:val="24"/>
          <w:szCs w:val="24"/>
        </w:rPr>
        <w:t xml:space="preserve"> L'associazione delle imprese minerarie sudafricane, oggi Minerals Council, pubblica annuari dal secolo diciannovesimo: contengono produzione, occupazione, salari e posizioni pubbliche del settore. Sono la serie storica più continua sull'industria e sono citabili anno per anno. Chi voglia misurare, e non evocare, il peso del comparto sull'economia dell'apartheid comincia da questi volumi, che sono documenti di parte ma con dati verificabili e datati.</w:t>
      </w:r>
    </w:p>
    <w:p>
      <w:pPr>
        <w:spacing w:after="120" w:line="276"/>
        <w:jc w:val="both"/>
      </w:pPr>
      <w:r>
        <w:rPr>
          <w:rFonts w:ascii="Barlow Semi Condensed" w:cs="Barlow Semi Condensed" w:eastAsia="Barlow Semi Condensed" w:hAnsi="Barlow Semi Condensed"/>
          <w:b/>
          <w:bCs/>
          <w:sz w:val="24"/>
          <w:szCs w:val="24"/>
        </w:rPr>
        <w:t xml:space="preserve">370 · Wits e le carte storiche.</w:t>
      </w:r>
      <w:r>
        <w:rPr>
          <w:rFonts w:ascii="Barlow Semi Condensed" w:cs="Barlow Semi Condensed" w:eastAsia="Barlow Semi Condensed" w:hAnsi="Barlow Semi Condensed"/>
          <w:sz w:val="24"/>
          <w:szCs w:val="24"/>
        </w:rPr>
        <w:t xml:space="preserve"> L'archivio di carte storiche dell'Università del Witwatersrand, nella biblioteca William Cullen a Johannesburg, conserva fondi sindacali, associativi e d'impresa relativi al comparto minerario, oltre a materiale della Commissione per la verità. È la sede accademica primaria per il versante sociale dell'estrazione. Gli inventari sono in linea e consentono di formulare richieste puntuali per fondo e per intervallo di anni prima di recarsi in sala.</w:t>
      </w:r>
    </w:p>
    <w:p>
      <w:pPr>
        <w:spacing w:after="120" w:line="276"/>
        <w:jc w:val="both"/>
      </w:pPr>
      <w:r>
        <w:rPr>
          <w:rFonts w:ascii="Barlow Semi Condensed" w:cs="Barlow Semi Condensed" w:eastAsia="Barlow Semi Condensed" w:hAnsi="Barlow Semi Condensed"/>
          <w:b/>
          <w:bCs/>
          <w:sz w:val="24"/>
          <w:szCs w:val="24"/>
        </w:rPr>
        <w:t xml:space="preserve">371 · Brenthurst e le carte di famiglia.</w:t>
      </w:r>
      <w:r>
        <w:rPr>
          <w:rFonts w:ascii="Barlow Semi Condensed" w:cs="Barlow Semi Condensed" w:eastAsia="Barlow Semi Condensed" w:hAnsi="Barlow Semi Condensed"/>
          <w:sz w:val="24"/>
          <w:szCs w:val="24"/>
        </w:rPr>
        <w:t xml:space="preserve"> Della famiglia che fondò e guidò il maggiore gruppo minerario sudafricano restano carte private, conservate nella biblioteca Brenthurst a Johannesburg, con accesso regolato. È la sede in cui verificare corrispondenza e decisioni interne del gruppo, dove sia concesso. Un archivio privato ad accesso condizionato non è un archivio inesistente: le condizioni si documentano, l'autorizzazione si chiede formalmente e l'eventuale diniego si verbalizza con la sua motivazione.</w:t>
      </w:r>
    </w:p>
    <w:p>
      <w:pPr>
        <w:spacing w:after="120" w:line="276"/>
        <w:jc w:val="both"/>
      </w:pPr>
      <w:r>
        <w:rPr>
          <w:rFonts w:ascii="Barlow Semi Condensed" w:cs="Barlow Semi Condensed" w:eastAsia="Barlow Semi Condensed" w:hAnsi="Barlow Semi Condensed"/>
          <w:b/>
          <w:bCs/>
          <w:sz w:val="24"/>
          <w:szCs w:val="24"/>
        </w:rPr>
        <w:t xml:space="preserve">372 · Kimberley e l'archivio dei diamanti.</w:t>
      </w:r>
      <w:r>
        <w:rPr>
          <w:rFonts w:ascii="Barlow Semi Condensed" w:cs="Barlow Semi Condensed" w:eastAsia="Barlow Semi Condensed" w:hAnsi="Barlow Semi Condensed"/>
          <w:sz w:val="24"/>
          <w:szCs w:val="24"/>
        </w:rPr>
        <w:t xml:space="preserve"> L'archivio storico della maggiore impresa diamantifera si trova a Kimberley e conserva la documentazione di un secolo di attività estrattiva, commerciale e di gestione della manodopera. Serve alla serie per un fine preciso: mostrare quale aspetto abbia un archivio d'impresa mineraria realmente conservato e inventariato, e quindi che cosa manchi quando si dice che di un'attività mineraria non esiste alcuna carta.</w:t>
      </w:r>
    </w:p>
    <w:p>
      <w:pPr>
        <w:spacing w:after="120" w:line="276"/>
        <w:jc w:val="both"/>
      </w:pPr>
      <w:r>
        <w:rPr>
          <w:rFonts w:ascii="Barlow Semi Condensed" w:cs="Barlow Semi Condensed" w:eastAsia="Barlow Semi Condensed" w:hAnsi="Barlow Semi Condensed"/>
          <w:b/>
          <w:bCs/>
          <w:sz w:val="24"/>
          <w:szCs w:val="24"/>
        </w:rPr>
        <w:t xml:space="preserve">373 · Il reclutamento migrante e i suoi elenchi.</w:t>
      </w:r>
      <w:r>
        <w:rPr>
          <w:rFonts w:ascii="Barlow Semi Condensed" w:cs="Barlow Semi Condensed" w:eastAsia="Barlow Semi Condensed" w:hAnsi="Barlow Semi Condensed"/>
          <w:sz w:val="24"/>
          <w:szCs w:val="24"/>
        </w:rPr>
        <w:t xml:space="preserve"> Il sistema di reclutamento della manodopera migrante per le miniere d'oro produsse per decenni schedari nominativi, contratti individuali e registri di rimpatrio, in parte conservati e in parte depositati presso istituzioni universitarie sudafricane. È la documentazione più capillare dell'intero comparto e riguarda milioni di persone. Va nominata qui perché rovescia la prospettiva: nell'economia estrattiva i registri esistono soprattutto sui lavoratori, molto meno sui proprietari.</w:t>
      </w:r>
    </w:p>
    <w:p>
      <w:pPr>
        <w:spacing w:after="120" w:line="276"/>
        <w:jc w:val="both"/>
      </w:pPr>
      <w:r>
        <w:rPr>
          <w:rFonts w:ascii="Barlow Semi Condensed" w:cs="Barlow Semi Condensed" w:eastAsia="Barlow Semi Condensed" w:hAnsi="Barlow Semi Condensed"/>
          <w:b/>
          <w:bCs/>
          <w:sz w:val="24"/>
          <w:szCs w:val="24"/>
        </w:rPr>
        <w:t xml:space="preserve">374 · L'audizione del settore economico, 1997.</w:t>
      </w:r>
      <w:r>
        <w:rPr>
          <w:rFonts w:ascii="Barlow Semi Condensed" w:cs="Barlow Semi Condensed" w:eastAsia="Barlow Semi Condensed" w:hAnsi="Barlow Semi Condensed"/>
          <w:sz w:val="24"/>
          <w:szCs w:val="24"/>
        </w:rPr>
        <w:t xml:space="preserve"> Nel novembre 1997 la Commissione sudafricana per la verità e la riconciliazione tenne a Johannesburg un'audizione istituzionale dedicata al settore economico, con memorie scritte depositate da associazioni imprenditoriali e da singoli gruppi. Le trascrizioni e le memorie sono pubbliche. Sono la fonte più diretta su ciò che l'industria mineraria disse di sé stessa alla fine del regime, con date, firmatari e formulazioni testuali.</w:t>
      </w:r>
    </w:p>
    <w:p>
      <w:pPr>
        <w:spacing w:after="120" w:line="276"/>
        <w:jc w:val="both"/>
      </w:pPr>
      <w:r>
        <w:rPr>
          <w:rFonts w:ascii="Barlow Semi Condensed" w:cs="Barlow Semi Condensed" w:eastAsia="Barlow Semi Condensed" w:hAnsi="Barlow Semi Condensed"/>
          <w:b/>
          <w:bCs/>
          <w:sz w:val="24"/>
          <w:szCs w:val="24"/>
        </w:rPr>
        <w:t xml:space="preserve">375 · Il volume quarto della relazione finale.</w:t>
      </w:r>
      <w:r>
        <w:rPr>
          <w:rFonts w:ascii="Barlow Semi Condensed" w:cs="Barlow Semi Condensed" w:eastAsia="Barlow Semi Condensed" w:hAnsi="Barlow Semi Condensed"/>
          <w:sz w:val="24"/>
          <w:szCs w:val="24"/>
        </w:rPr>
        <w:t xml:space="preserve"> Le conclusioni della Commissione sul comparto sono nel quarto volume della relazione finale, nel capitolo dedicato alle audizioni istituzionali su impresa e lavoro. Vi si trova, fra l'altro, il giudizio sul ruolo del sistema minerario nella formazione dell'assetto segregato del lavoro. È un accertamento di una commissione ufficiale, non una sentenza penale, e va citato con questo statuto: autorevole, pubblico, e distinto dal giudicato.</w:t>
      </w:r>
    </w:p>
    <w:p>
      <w:pPr>
        <w:spacing w:after="120" w:line="276"/>
        <w:jc w:val="both"/>
      </w:pPr>
      <w:r>
        <w:rPr>
          <w:rFonts w:ascii="Barlow Semi Condensed" w:cs="Barlow Semi Condensed" w:eastAsia="Barlow Semi Condensed" w:hAnsi="Barlow Semi Condensed"/>
          <w:b/>
          <w:bCs/>
          <w:sz w:val="24"/>
          <w:szCs w:val="24"/>
        </w:rPr>
        <w:t xml:space="preserve">376 · Le sanzioni che i minerali evitarono.</w:t>
      </w:r>
      <w:r>
        <w:rPr>
          <w:rFonts w:ascii="Barlow Semi Condensed" w:cs="Barlow Semi Condensed" w:eastAsia="Barlow Semi Condensed" w:hAnsi="Barlow Semi Condensed"/>
          <w:sz w:val="24"/>
          <w:szCs w:val="24"/>
        </w:rPr>
        <w:t xml:space="preserve"> La legge statunitense del 1986 contro l'apartheid vietò l'importazione di alcune merci sudafricane, fra cui minerale e ossido di uranio, carbone, ferro, acciaio e le monete d'oro da investimento, ma trattò a parte i minerali definiti strategici, prevedendone uno studio anziché il divieto. Il testo della legge è pubblico e va letto sezione per sezione: la differenza fra ciò che fu vietato e ciò che non lo fu è tutta lì.</w:t>
      </w:r>
    </w:p>
    <w:p>
      <w:pPr>
        <w:spacing w:after="120" w:line="276"/>
        <w:jc w:val="both"/>
      </w:pPr>
      <w:r>
        <w:rPr>
          <w:rFonts w:ascii="Barlow Semi Condensed" w:cs="Barlow Semi Condensed" w:eastAsia="Barlow Semi Condensed" w:hAnsi="Barlow Semi Condensed"/>
          <w:b/>
          <w:bCs/>
          <w:sz w:val="24"/>
          <w:szCs w:val="24"/>
        </w:rPr>
        <w:t xml:space="preserve">377 · La moneta d'oro e i divieti nazionali.</w:t>
      </w:r>
      <w:r>
        <w:rPr>
          <w:rFonts w:ascii="Barlow Semi Condensed" w:cs="Barlow Semi Condensed" w:eastAsia="Barlow Semi Condensed" w:hAnsi="Barlow Semi Condensed"/>
          <w:sz w:val="24"/>
          <w:szCs w:val="24"/>
        </w:rPr>
        <w:t xml:space="preserve"> Il divieto d'importazione della moneta aurea sudafricana fu adottato in ordine sparso da singoli Stati, con date e strumenti diversi, e non da una delibera vincolante del Consiglio di Sicurezza. Ricostruire quel mosaico normativo Paese per Paese, con gli estremi di ciascun atto, è un lavoro fattibile e non ancora fatto in modo sistematico nel corpus. È un cantiere aperto, e si dichiara tale.</w:t>
      </w:r>
    </w:p>
    <w:p>
      <w:pPr>
        <w:spacing w:after="120" w:line="276"/>
        <w:jc w:val="both"/>
      </w:pPr>
      <w:r>
        <w:rPr>
          <w:rFonts w:ascii="Barlow Semi Condensed" w:cs="Barlow Semi Condensed" w:eastAsia="Barlow Semi Condensed" w:hAnsi="Barlow Semi Condensed"/>
          <w:b/>
          <w:bCs/>
          <w:sz w:val="24"/>
          <w:szCs w:val="24"/>
        </w:rPr>
        <w:t xml:space="preserve">378 · Il Bushveld è un dato geologico.</w:t>
      </w:r>
      <w:r>
        <w:rPr>
          <w:rFonts w:ascii="Barlow Semi Condensed" w:cs="Barlow Semi Condensed" w:eastAsia="Barlow Semi Condensed" w:hAnsi="Barlow Semi Condensed"/>
          <w:sz w:val="24"/>
          <w:szCs w:val="24"/>
        </w:rPr>
        <w:t xml:space="preserve"> La quasi totalità delle riserve mondiali di metalli del gruppo del platino si trova nel complesso igneo del Bushveld, a nord di Pretoria. È un fatto della natura, non una scelta politica, e va enunciato per primo: la concentrazione geografica di una risorsa spiega la posizione negoziale di un Paese senza attribuire nulla a chi vi nacque. Le carte del servizio geologico sudafricano ne documentano l'estensione.</w:t>
      </w:r>
    </w:p>
    <w:p>
      <w:pPr>
        <w:spacing w:after="120" w:line="276"/>
        <w:jc w:val="both"/>
      </w:pPr>
      <w:r>
        <w:rPr>
          <w:rFonts w:ascii="Barlow Semi Condensed" w:cs="Barlow Semi Condensed" w:eastAsia="Barlow Semi Condensed" w:hAnsi="Barlow Semi Condensed"/>
          <w:b/>
          <w:bCs/>
          <w:sz w:val="24"/>
          <w:szCs w:val="24"/>
        </w:rPr>
        <w:t xml:space="preserve">379 · Tre gruppi, tre depositi societari.</w:t>
      </w:r>
      <w:r>
        <w:rPr>
          <w:rFonts w:ascii="Barlow Semi Condensed" w:cs="Barlow Semi Condensed" w:eastAsia="Barlow Semi Condensed" w:hAnsi="Barlow Semi Condensed"/>
          <w:sz w:val="24"/>
          <w:szCs w:val="24"/>
        </w:rPr>
        <w:t xml:space="preserve"> Il comparto platinifero sudafricano si è retto per decenni su pochi operatori maggiori, ciascuno con società quotate e depositi obbligatori: bilanci, relazioni annuali e comunicazioni regolamentate alla borsa di Johannesburg, e per alcuni anche a Londra. Chi voglia ricostruire proprietà, produzione e utili anno per anno ha materiale abbondante e verificabile. Nel platino, a differenza degli smeraldi informali, il documento societario esiste e va soltanto letto.</w:t>
      </w:r>
    </w:p>
    <w:p>
      <w:pPr>
        <w:spacing w:after="120" w:line="276"/>
        <w:jc w:val="both"/>
      </w:pPr>
      <w:r>
        <w:rPr>
          <w:rFonts w:ascii="Barlow Semi Condensed" w:cs="Barlow Semi Condensed" w:eastAsia="Barlow Semi Condensed" w:hAnsi="Barlow Semi Condensed"/>
          <w:b/>
          <w:bCs/>
          <w:sz w:val="24"/>
          <w:szCs w:val="24"/>
        </w:rPr>
        <w:t xml:space="preserve">380 · I bollettini del mercato londinese.</w:t>
      </w:r>
      <w:r>
        <w:rPr>
          <w:rFonts w:ascii="Barlow Semi Condensed" w:cs="Barlow Semi Condensed" w:eastAsia="Barlow Semi Condensed" w:hAnsi="Barlow Semi Condensed"/>
          <w:sz w:val="24"/>
          <w:szCs w:val="24"/>
        </w:rPr>
        <w:t xml:space="preserve"> I prezzi e i volumi dei metalli del gruppo del platino sono fissati e pubblicati dal mercato londinese specializzato, che ne conserva le serie storiche. Sono il vincolo esterno con cui verificare qualunque affermazione su ricavi e flussi del comparto in un dato anno. Il metodo è lo stesso applicato all'uranio: prima il dato di mercato pubblicato, poi la narrazione, e mai l'ordine inverso.</w:t>
      </w:r>
    </w:p>
    <w:p>
      <w:pPr>
        <w:spacing w:after="120" w:line="276"/>
        <w:jc w:val="both"/>
      </w:pPr>
      <w:r>
        <w:rPr>
          <w:rFonts w:ascii="Barlow Semi Condensed" w:cs="Barlow Semi Condensed" w:eastAsia="Barlow Semi Condensed" w:hAnsi="Barlow Semi Condensed"/>
          <w:b/>
          <w:bCs/>
          <w:sz w:val="24"/>
          <w:szCs w:val="24"/>
        </w:rPr>
        <w:t xml:space="preserve">381 · Un conglomerato britannico nei registri.</w:t>
      </w:r>
      <w:r>
        <w:rPr>
          <w:rFonts w:ascii="Barlow Semi Condensed" w:cs="Barlow Semi Condensed" w:eastAsia="Barlow Semi Condensed" w:hAnsi="Barlow Semi Condensed"/>
          <w:sz w:val="24"/>
          <w:szCs w:val="24"/>
        </w:rPr>
        <w:t xml:space="preserve"> Uno dei maggiori operatori platiniferi sudafricani è stato per decenni controllato da un conglomerato britannico attivo in tutta l'Africa, i cui depositi presso il registro delle imprese di Londra e le relazioni annuali documentano partecipazioni, cambi di denominazione e successioni societarie fino alle acquisizioni recenti. È una catena proprietaria interamente ricostruibile su atti pubblici, e serve come modello di ciò che una ricostruzione documentata può effettivamente ottenere.</w:t>
      </w:r>
    </w:p>
    <w:p>
      <w:pPr>
        <w:spacing w:after="120" w:line="276"/>
        <w:jc w:val="both"/>
      </w:pPr>
      <w:r>
        <w:rPr>
          <w:rFonts w:ascii="Barlow Semi Condensed" w:cs="Barlow Semi Condensed" w:eastAsia="Barlow Semi Condensed" w:hAnsi="Barlow Semi Condensed"/>
          <w:b/>
          <w:bCs/>
          <w:sz w:val="24"/>
          <w:szCs w:val="24"/>
        </w:rPr>
        <w:t xml:space="preserve">382 · Marikana e la commissione d'inchiesta.</w:t>
      </w:r>
      <w:r>
        <w:rPr>
          <w:rFonts w:ascii="Barlow Semi Condensed" w:cs="Barlow Semi Condensed" w:eastAsia="Barlow Semi Condensed" w:hAnsi="Barlow Semi Condensed"/>
          <w:sz w:val="24"/>
          <w:szCs w:val="24"/>
        </w:rPr>
        <w:t xml:space="preserve"> La commissione d'inchiesta sui fatti di Marikana dell'agosto 2012 consegnò la propria relazione nel 2015; atti, trascrizioni e relazione finale sono pubblici. È materia successiva alla fine dell'apartheid e va tenuta distinta dal periodo indagato, ma è pertinente a un fine di metodo: mostra che nel comparto platinifero esiste un accertamento pubblico documentato, con verbali, e quindi un termine di paragone per ciò che altrove manca.</w:t>
      </w:r>
    </w:p>
    <w:p>
      <w:pPr>
        <w:spacing w:after="120" w:line="276"/>
        <w:jc w:val="both"/>
      </w:pPr>
      <w:r>
        <w:rPr>
          <w:rFonts w:ascii="Barlow Semi Condensed" w:cs="Barlow Semi Condensed" w:eastAsia="Barlow Semi Condensed" w:hAnsi="Barlow Semi Condensed"/>
          <w:b/>
          <w:bCs/>
          <w:sz w:val="24"/>
          <w:szCs w:val="24"/>
        </w:rPr>
        <w:t xml:space="preserve">383 · I registri societari dopo il 1994.</w:t>
      </w:r>
      <w:r>
        <w:rPr>
          <w:rFonts w:ascii="Barlow Semi Condensed" w:cs="Barlow Semi Condensed" w:eastAsia="Barlow Semi Condensed" w:hAnsi="Barlow Semi Condensed"/>
          <w:sz w:val="24"/>
          <w:szCs w:val="24"/>
        </w:rPr>
        <w:t xml:space="preserve"> La transizione politica del 1994 non produsse un mutamento immediato negli assetti proprietari del comparto minerario: le stesse società, con gli stessi codici di quotazione, continuarono a depositare bilanci. I mutamenti arrivarono più tardi e per via legislativa, con le riforme sui diritti minerari dei primi anni Duemila. La verifica è meccanica e si fa sui depositi annuali: la continuità proprietaria si legge, non si presume.</w:t>
      </w:r>
    </w:p>
    <w:p>
      <w:pPr>
        <w:spacing w:after="120" w:line="276"/>
        <w:jc w:val="both"/>
      </w:pPr>
      <w:r>
        <w:rPr>
          <w:rFonts w:ascii="Barlow Semi Condensed" w:cs="Barlow Semi Condensed" w:eastAsia="Barlow Semi Condensed" w:hAnsi="Barlow Semi Condensed"/>
          <w:b/>
          <w:bCs/>
          <w:sz w:val="24"/>
          <w:szCs w:val="24"/>
        </w:rPr>
        <w:t xml:space="preserve">384 · Pik Botha alle Miniere e all'Energia.</w:t>
      </w:r>
      <w:r>
        <w:rPr>
          <w:rFonts w:ascii="Barlow Semi Condensed" w:cs="Barlow Semi Condensed" w:eastAsia="Barlow Semi Condensed" w:hAnsi="Barlow Semi Condensed"/>
          <w:sz w:val="24"/>
          <w:szCs w:val="24"/>
        </w:rPr>
        <w:t xml:space="preserve"> Roelof Frederik Botha, detto Pik, ministro degli Esteri dal 1977 al 1994, fu poi ministro delle Miniere e dell'Energia nel primo governo Mandela. Il fatto è pubblico e documentato dagli atti parlamentari sudafricani e dagli elenchi ufficiali dei governi. Colloca la materia prima di questa serie e la carriera politica di un nome nello stesso perimetro amministrativo, ed è quanto il documento consente di dire.</w:t>
      </w:r>
    </w:p>
    <w:p>
      <w:pPr>
        <w:spacing w:after="120" w:line="276"/>
        <w:jc w:val="both"/>
      </w:pPr>
      <w:r>
        <w:rPr>
          <w:rFonts w:ascii="Barlow Semi Condensed" w:cs="Barlow Semi Condensed" w:eastAsia="Barlow Semi Condensed" w:hAnsi="Barlow Semi Condensed"/>
          <w:b/>
          <w:bCs/>
          <w:sz w:val="24"/>
          <w:szCs w:val="24"/>
        </w:rPr>
        <w:t xml:space="preserve">385 · I due Botha non sono parenti (serie V).</w:t>
      </w:r>
      <w:r>
        <w:rPr>
          <w:rFonts w:ascii="Barlow Semi Condensed" w:cs="Barlow Semi Condensed" w:eastAsia="Barlow Semi Condensed" w:hAnsi="Barlow Semi Condensed"/>
          <w:sz w:val="24"/>
          <w:szCs w:val="24"/>
        </w:rPr>
        <w:t xml:space="preserve"> Va segnalato qui, dove la confusione produce più danni, che Pik Botha non era parente di Pieter Willem Botha, presidente dello Stato. Sono due persone distinte, di famiglie distinte, con ruoli distinti. È l'errore più diffuso su questa materia e circola anche in fonti che si presentano come informate. Chi lo commette costruisce genealogie inesistenti: la verifica si fa sugli atti anagrafici, non sull'omonimia del cognome.</w:t>
      </w:r>
    </w:p>
    <w:p>
      <w:pPr>
        <w:spacing w:after="120" w:line="276"/>
        <w:jc w:val="both"/>
      </w:pPr>
      <w:r>
        <w:rPr>
          <w:rFonts w:ascii="Barlow Semi Condensed" w:cs="Barlow Semi Condensed" w:eastAsia="Barlow Semi Condensed" w:hAnsi="Barlow Semi Condensed"/>
          <w:b/>
          <w:bCs/>
          <w:sz w:val="24"/>
          <w:szCs w:val="24"/>
        </w:rPr>
        <w:t xml:space="preserve">386 · Roelof Botha e i registri minerari.</w:t>
      </w:r>
      <w:r>
        <w:rPr>
          <w:rFonts w:ascii="Barlow Semi Condensed" w:cs="Barlow Semi Condensed" w:eastAsia="Barlow Semi Condensed" w:hAnsi="Barlow Semi Condensed"/>
          <w:sz w:val="24"/>
          <w:szCs w:val="24"/>
        </w:rPr>
        <w:t xml:space="preserve"> Roelof Botha, direttore finanziario di PayPal e poi socio e managing partner di Sequoia Capital, è nipote di Pik Botha: parentela documentata, piano uno. Nei registri minerari sudafricani, namibiani e zambiani non risulta alcun titolo, carica o partecipazione a suo nome nel comparto estrattivo. È uno Stato Zero verificato, e va scritto: la parentela è un fatto, l'assenza di traccia mineraria è un altro fatto.</w:t>
      </w:r>
    </w:p>
    <w:p>
      <w:pPr>
        <w:spacing w:after="120" w:line="276"/>
        <w:jc w:val="both"/>
      </w:pPr>
      <w:r>
        <w:rPr>
          <w:rFonts w:ascii="Barlow Semi Condensed" w:cs="Barlow Semi Condensed" w:eastAsia="Barlow Semi Condensed" w:hAnsi="Barlow Semi Condensed"/>
          <w:b/>
          <w:bCs/>
          <w:sz w:val="24"/>
          <w:szCs w:val="24"/>
        </w:rPr>
        <w:t xml:space="preserve">387 · I depositi PayPal e le materie prime.</w:t>
      </w:r>
      <w:r>
        <w:rPr>
          <w:rFonts w:ascii="Barlow Semi Condensed" w:cs="Barlow Semi Condensed" w:eastAsia="Barlow Semi Condensed" w:hAnsi="Barlow Semi Condensed"/>
          <w:sz w:val="24"/>
          <w:szCs w:val="24"/>
        </w:rPr>
        <w:t xml:space="preserve"> I documenti depositati da PayPal presso l'autorità statunitense per i mercati finanziari — prospetto di quotazione del 2002, relazioni periodiche, atti dell'acquisizione — sono integralmente consultabili nella banca dati pubblica dell'autorità. In essi non compare alcun riferimento a interessi minerari o a materie prime. La verifica è meccanica, ripetibile da chiunque, e il suo esito negativo chiude un'ipotesi che nessun documento aveva mai aperto.</w:t>
      </w:r>
    </w:p>
    <w:p>
      <w:pPr>
        <w:spacing w:after="120" w:line="276"/>
        <w:jc w:val="both"/>
      </w:pPr>
      <w:r>
        <w:rPr>
          <w:rFonts w:ascii="Barlow Semi Condensed" w:cs="Barlow Semi Condensed" w:eastAsia="Barlow Semi Condensed" w:hAnsi="Barlow Semi Condensed"/>
          <w:b/>
          <w:bCs/>
          <w:sz w:val="24"/>
          <w:szCs w:val="24"/>
        </w:rPr>
        <w:t xml:space="preserve">388 · Il bersaglio di smentita della serie.</w:t>
      </w:r>
      <w:r>
        <w:rPr>
          <w:rFonts w:ascii="Barlow Semi Condensed" w:cs="Barlow Semi Condensed" w:eastAsia="Barlow Semi Condensed" w:hAnsi="Barlow Semi Condensed"/>
          <w:sz w:val="24"/>
          <w:szCs w:val="24"/>
        </w:rPr>
        <w:t xml:space="preserve"> L'intera serie sarebbe falsificata da un solo tipo di reperto: un atto societario o minerario che nomini insieme, in una stessa operazione, un soggetto dell'economia estrattiva dell'Africa australe e una delle imprese tecnologiche californiane qui evocate. Nessun documento simile risulta. Chi lo trovi capovolga pure la lettura: la serie è costruita per rendere questa smentita facile da eseguire e immediata da riconoscere.</w:t>
      </w:r>
    </w:p>
    <w:p>
      <w:pPr>
        <w:spacing w:after="120" w:line="276"/>
        <w:jc w:val="both"/>
      </w:pPr>
      <w:r>
        <w:rPr>
          <w:rFonts w:ascii="Barlow Semi Condensed" w:cs="Barlow Semi Condensed" w:eastAsia="Barlow Semi Condensed" w:hAnsi="Barlow Semi Condensed"/>
          <w:b/>
          <w:bCs/>
          <w:sz w:val="24"/>
          <w:szCs w:val="24"/>
        </w:rPr>
        <w:t xml:space="preserve">389 · I tre piani applicati alle miniere.</w:t>
      </w:r>
      <w:r>
        <w:rPr>
          <w:rFonts w:ascii="Barlow Semi Condensed" w:cs="Barlow Semi Condensed" w:eastAsia="Barlow Semi Condensed" w:hAnsi="Barlow Semi Condensed"/>
          <w:sz w:val="24"/>
          <w:szCs w:val="24"/>
        </w:rPr>
        <w:t xml:space="preserve"> Applicata a questa materia, la regola dei tre piani dà un esito netto. Piano uno: le compagini societarie depositate, la parentela Botha, la carriera ministeriale, i deliberati delle Nazioni Unite. Piano due: la comune appartenenza a un'economia estrattiva, che è cornice e non parentela. Piano tre: la destinazione militare dell'uranio namibiano e la miniera di smeraldi come proprietà. Nulla del terzo piano è stato promosso, e nulla del secondo.</w:t>
      </w:r>
    </w:p>
    <w:p>
      <w:pPr>
        <w:spacing w:after="120" w:line="276"/>
        <w:jc w:val="both"/>
      </w:pPr>
      <w:r>
        <w:rPr>
          <w:rFonts w:ascii="Barlow Semi Condensed" w:cs="Barlow Semi Condensed" w:eastAsia="Barlow Semi Condensed" w:hAnsi="Barlow Semi Condensed"/>
          <w:b/>
          <w:bCs/>
          <w:sz w:val="24"/>
          <w:szCs w:val="24"/>
        </w:rPr>
        <w:t xml:space="preserve">390 · Bilancio della quinta serie.</w:t>
      </w:r>
      <w:r>
        <w:rPr>
          <w:rFonts w:ascii="Barlow Semi Condensed" w:cs="Barlow Semi Condensed" w:eastAsia="Barlow Semi Condensed" w:hAnsi="Barlow Semi Condensed"/>
          <w:sz w:val="24"/>
          <w:szCs w:val="24"/>
        </w:rPr>
        <w:t xml:space="preserve"> Restano aperti sei quesiti con sede indicata: il catasto e il registro societario di Lusaka per le gemme, l'archivio nazionale di Windhoek per i permessi di cantiere, le serie energetiche di Kew per i contratti d'oltremare, il fondo del Consiglio per la Namibia a New York per l'applicazione del decreto, gli atti del tribunale dell'Aia per l'esito del 1987, le carte dell'ente atomico a Pretoria per la filiera interna.</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Serie sesta — L'embargo, le sanzioni e le vie d'aggiramento</w:t>
      </w:r>
    </w:p>
    <w:p>
      <w:pPr>
        <w:spacing w:after="120" w:line="276"/>
        <w:jc w:val="both"/>
      </w:pPr>
      <w:r>
        <w:rPr>
          <w:rFonts w:ascii="Barlow Semi Condensed" w:cs="Barlow Semi Condensed" w:eastAsia="Barlow Semi Condensed" w:hAnsi="Barlow Semi Condensed"/>
          <w:i/>
          <w:iCs/>
          <w:sz w:val="24"/>
          <w:szCs w:val="24"/>
        </w:rPr>
        <w:t xml:space="preserve">Blocchi 391-470.</w:t>
      </w:r>
    </w:p>
    <w:p>
      <w:pPr>
        <w:spacing w:after="120" w:line="276"/>
        <w:jc w:val="both"/>
      </w:pPr>
      <w:r>
        <w:rPr>
          <w:rFonts w:ascii="Barlow Semi Condensed" w:cs="Barlow Semi Condensed" w:eastAsia="Barlow Semi Condensed" w:hAnsi="Barlow Semi Condensed"/>
          <w:b/>
          <w:bCs/>
          <w:sz w:val="24"/>
          <w:szCs w:val="24"/>
        </w:rPr>
        <w:t xml:space="preserve">391 · Dal volontario all'obbligatorio.</w:t>
      </w:r>
      <w:r>
        <w:rPr>
          <w:rFonts w:ascii="Barlow Semi Condensed" w:cs="Barlow Semi Condensed" w:eastAsia="Barlow Semi Condensed" w:hAnsi="Barlow Semi Condensed"/>
          <w:sz w:val="24"/>
          <w:szCs w:val="24"/>
        </w:rPr>
        <w:t xml:space="preserve"> La sequenza va tenuta esatta, perché quasi tutta la pubblicistica la comprime in una data sola. La risoluzione 181 del Consiglio di Sicurezza, 7 agosto 1963, raccomandò un embargo volontario sulle armi; la 282 del 23 luglio 1970 lo rafforzò restando raccomandazione; solo la 418 del 4 novembre 1977 lo rese obbligatorio ai sensi del capitolo VII. Quattordici anni separano l'invito dall'obbligo, e i testi stanno nel sistema documentale ODS delle Nazioni Unite.</w:t>
      </w:r>
    </w:p>
    <w:p>
      <w:pPr>
        <w:spacing w:after="120" w:line="276"/>
        <w:jc w:val="both"/>
      </w:pPr>
      <w:r>
        <w:rPr>
          <w:rFonts w:ascii="Barlow Semi Condensed" w:cs="Barlow Semi Condensed" w:eastAsia="Barlow Semi Condensed" w:hAnsi="Barlow Semi Condensed"/>
          <w:b/>
          <w:bCs/>
          <w:sz w:val="24"/>
          <w:szCs w:val="24"/>
        </w:rPr>
        <w:t xml:space="preserve">392 · Il primato giuridico della 418.</w:t>
      </w:r>
      <w:r>
        <w:rPr>
          <w:rFonts w:ascii="Barlow Semi Condensed" w:cs="Barlow Semi Condensed" w:eastAsia="Barlow Semi Condensed" w:hAnsi="Barlow Semi Condensed"/>
          <w:sz w:val="24"/>
          <w:szCs w:val="24"/>
        </w:rPr>
        <w:t xml:space="preserve"> Fatto pubblico da riportare senza enfasi: quella del 4 novembre 1977 fu la prima misura sanzionatoria obbligatoria adottata dal Consiglio di Sicurezza contro uno Stato membro, votata all'unanimità, fondata sull'accertamento che l'acquisizione di armi da parte di Pretoria costituiva minaccia alla pace. Il primato è procedurale prima che politico, e va citato con la formula esatta della delibera, non con le parafrasi che circolano.</w:t>
      </w:r>
    </w:p>
    <w:p>
      <w:pPr>
        <w:spacing w:after="120" w:line="276"/>
        <w:jc w:val="both"/>
      </w:pPr>
      <w:r>
        <w:rPr>
          <w:rFonts w:ascii="Barlow Semi Condensed" w:cs="Barlow Semi Condensed" w:eastAsia="Barlow Semi Condensed" w:hAnsi="Barlow Semi Condensed"/>
          <w:b/>
          <w:bCs/>
          <w:sz w:val="24"/>
          <w:szCs w:val="24"/>
        </w:rPr>
        <w:t xml:space="preserve">393 · Che cosa la 418 non vietava.</w:t>
      </w:r>
      <w:r>
        <w:rPr>
          <w:rFonts w:ascii="Barlow Semi Condensed" w:cs="Barlow Semi Condensed" w:eastAsia="Barlow Semi Condensed" w:hAnsi="Barlow Semi Condensed"/>
          <w:sz w:val="24"/>
          <w:szCs w:val="24"/>
        </w:rPr>
        <w:t xml:space="preserve"> Regola di lettura, indispensabile prima di ogni conteggio di violazioni: l'obbligo riguardava armi e materiale connesso. Non il commercio in generale, non il petrolio, non il carbone, non l'oro, non gli investimenti, non i trasferimenti finanziari. Chi scrive «le sanzioni ONU» al plurale e indefinito attribuisce all'embargo un perimetro che il testo non ha, e trasforma un'operazione lecita in un aggiramento.</w:t>
      </w:r>
    </w:p>
    <w:p>
      <w:pPr>
        <w:spacing w:after="120" w:line="276"/>
        <w:jc w:val="both"/>
      </w:pPr>
      <w:r>
        <w:rPr>
          <w:rFonts w:ascii="Barlow Semi Condensed" w:cs="Barlow Semi Condensed" w:eastAsia="Barlow Semi Condensed" w:hAnsi="Barlow Semi Condensed"/>
          <w:b/>
          <w:bCs/>
          <w:sz w:val="24"/>
          <w:szCs w:val="24"/>
        </w:rPr>
        <w:t xml:space="preserve">394 · Il comitato istituito dalla 421.</w:t>
      </w:r>
      <w:r>
        <w:rPr>
          <w:rFonts w:ascii="Barlow Semi Condensed" w:cs="Barlow Semi Condensed" w:eastAsia="Barlow Semi Condensed" w:hAnsi="Barlow Semi Condensed"/>
          <w:sz w:val="24"/>
          <w:szCs w:val="24"/>
        </w:rPr>
        <w:t xml:space="preserve"> Il 9 dicembre 1977 la risoluzione 421 istituì il comitato incaricato di esaminare l'attuazione dell'embargo e di riferire al Consiglio. Le sue relazioni periodiche, con le risposte degli Stati membri, sono documenti della serie S/ e sono reperibili nel sistema ODS; le carte di lavoro stanno alla sezione archivi e gestione documentale delle Nazioni Unite a New York. Bersaglio a costo basso, mai sfruttato dalla letteratura in rete.</w:t>
      </w:r>
    </w:p>
    <w:p>
      <w:pPr>
        <w:spacing w:after="120" w:line="276"/>
        <w:jc w:val="both"/>
      </w:pPr>
      <w:r>
        <w:rPr>
          <w:rFonts w:ascii="Barlow Semi Condensed" w:cs="Barlow Semi Condensed" w:eastAsia="Barlow Semi Condensed" w:hAnsi="Barlow Semi Condensed"/>
          <w:b/>
          <w:bCs/>
          <w:sz w:val="24"/>
          <w:szCs w:val="24"/>
        </w:rPr>
        <w:t xml:space="preserve">395 · L'embargo inverso e il suo statuto.</w:t>
      </w:r>
      <w:r>
        <w:rPr>
          <w:rFonts w:ascii="Barlow Semi Condensed" w:cs="Barlow Semi Condensed" w:eastAsia="Barlow Semi Condensed" w:hAnsi="Barlow Semi Condensed"/>
          <w:sz w:val="24"/>
          <w:szCs w:val="24"/>
        </w:rPr>
        <w:t xml:space="preserve"> Con la risoluzione 558 del 13 dicembre 1984 il Consiglio chiese agli Stati di astenersi dall'importare armamenti prodotti in Sud Africa. La differenza è decisiva: quella è una richiesta, non un obbligo di capitolo VII. Nel frattempo il Paese sotto embargo era divenuto esportatore, il che è l'esito meno previsto dell'intera vicenda e va registrato come accertamento, non come ironia.</w:t>
      </w:r>
    </w:p>
    <w:p>
      <w:pPr>
        <w:spacing w:after="120" w:line="276"/>
        <w:jc w:val="both"/>
      </w:pPr>
      <w:r>
        <w:rPr>
          <w:rFonts w:ascii="Barlow Semi Condensed" w:cs="Barlow Semi Condensed" w:eastAsia="Barlow Semi Condensed" w:hAnsi="Barlow Semi Condensed"/>
          <w:b/>
          <w:bCs/>
          <w:sz w:val="24"/>
          <w:szCs w:val="24"/>
        </w:rPr>
        <w:t xml:space="preserve">396 · Le falle riconosciute tardi.</w:t>
      </w:r>
      <w:r>
        <w:rPr>
          <w:rFonts w:ascii="Barlow Semi Condensed" w:cs="Barlow Semi Condensed" w:eastAsia="Barlow Semi Condensed" w:hAnsi="Barlow Semi Condensed"/>
          <w:sz w:val="24"/>
          <w:szCs w:val="24"/>
        </w:rPr>
        <w:t xml:space="preserve"> La risoluzione 591 del 28 novembre 1986 estese l'embargo a ricambi, accordi di licenza e forniture a duplice uso. Nove anni dopo l'obbligo, l'organo che lo aveva imposto certificava per iscritto quali vie fossero rimaste aperte. Il preambolo e il dibattito che lo precede sono la migliore fonte disponibile sulle tecniche di aggiramento, perché ne parla chi doveva impedirle.</w:t>
      </w:r>
    </w:p>
    <w:p>
      <w:pPr>
        <w:spacing w:after="120" w:line="276"/>
        <w:jc w:val="both"/>
      </w:pPr>
      <w:r>
        <w:rPr>
          <w:rFonts w:ascii="Barlow Semi Condensed" w:cs="Barlow Semi Condensed" w:eastAsia="Barlow Semi Condensed" w:hAnsi="Barlow Semi Condensed"/>
          <w:b/>
          <w:bCs/>
          <w:sz w:val="24"/>
          <w:szCs w:val="24"/>
        </w:rPr>
        <w:t xml:space="preserve">397 · Le risposte degli Stati membri.</w:t>
      </w:r>
      <w:r>
        <w:rPr>
          <w:rFonts w:ascii="Barlow Semi Condensed" w:cs="Barlow Semi Condensed" w:eastAsia="Barlow Semi Condensed" w:hAnsi="Barlow Semi Condensed"/>
          <w:sz w:val="24"/>
          <w:szCs w:val="24"/>
        </w:rPr>
        <w:t xml:space="preserve"> Ogni Stato era tenuto a comunicare le misure adottate in attuazione della 418, e quelle comunicazioni furono pubblicate come documenti del Consiglio. Quesito eseguibile da chiunque, in una sessione di lavoro: estrarre la risposta italiana, datarla, trascriverne il dispositivo e confrontarlo con la normativa interna sulle esportazioni militari allora vigente. L'esito, quale che sia, va verbalizzato con i termini di ricerca usati.</w:t>
      </w:r>
    </w:p>
    <w:p>
      <w:pPr>
        <w:spacing w:after="120" w:line="276"/>
        <w:jc w:val="both"/>
      </w:pPr>
      <w:r>
        <w:rPr>
          <w:rFonts w:ascii="Barlow Semi Condensed" w:cs="Barlow Semi Condensed" w:eastAsia="Barlow Semi Condensed" w:hAnsi="Barlow Semi Condensed"/>
          <w:b/>
          <w:bCs/>
          <w:sz w:val="24"/>
          <w:szCs w:val="24"/>
        </w:rPr>
        <w:t xml:space="preserve">398 · Sharpeville, Soweto, Biko.</w:t>
      </w:r>
      <w:r>
        <w:rPr>
          <w:rFonts w:ascii="Barlow Semi Condensed" w:cs="Barlow Semi Condensed" w:eastAsia="Barlow Semi Condensed" w:hAnsi="Barlow Semi Condensed"/>
          <w:sz w:val="24"/>
          <w:szCs w:val="24"/>
        </w:rPr>
        <w:t xml:space="preserve"> Alla strage del 21 marzo 1960 seguì la risoluzione 134 del 1° aprile; alla rivolta studentesca del 16 giugno 1976 la 392 del 19 giugno; alla morte di Steve Biko il 12 settembre 1977 e alla messa al bando di organizzazioni e giornali del 19 ottobre seguirono la 417 del 31 ottobre e la 418 del 4 novembre. La cronologia dice che l'organo reagiva, non preveniva.</w:t>
      </w:r>
    </w:p>
    <w:p>
      <w:pPr>
        <w:spacing w:after="120" w:line="276"/>
        <w:jc w:val="both"/>
      </w:pPr>
      <w:r>
        <w:rPr>
          <w:rFonts w:ascii="Barlow Semi Condensed" w:cs="Barlow Semi Condensed" w:eastAsia="Barlow Semi Condensed" w:hAnsi="Barlow Semi Condensed"/>
          <w:b/>
          <w:bCs/>
          <w:sz w:val="24"/>
          <w:szCs w:val="24"/>
        </w:rPr>
        <w:t xml:space="preserve">399 · Guevara 1964 e l'obbligo del 1977.</w:t>
      </w:r>
      <w:r>
        <w:rPr>
          <w:rFonts w:ascii="Barlow Semi Condensed" w:cs="Barlow Semi Condensed" w:eastAsia="Barlow Semi Condensed" w:hAnsi="Barlow Semi Condensed"/>
          <w:sz w:val="24"/>
          <w:szCs w:val="24"/>
        </w:rPr>
        <w:t xml:space="preserve"> Il nodo E-16 della triangolazione Guevara-Moro registra il discorso dell'11 dicembre 1964 alla diciannovesima Assemblea Generale, con la denuncia del colonialismo e della «brutale politica dell'apartheid». A quella data l'embargo era volontario da sedici mesi. Tredici anni separano quella denuncia dall'obbligo del 1977. È l'unico ponte documentato fra il corpus e questa materia, e la sua distanza cronologica va detta insieme al ponte.</w:t>
      </w:r>
    </w:p>
    <w:p>
      <w:pPr>
        <w:spacing w:after="120" w:line="276"/>
        <w:jc w:val="both"/>
      </w:pPr>
      <w:r>
        <w:rPr>
          <w:rFonts w:ascii="Barlow Semi Condensed" w:cs="Barlow Semi Condensed" w:eastAsia="Barlow Semi Condensed" w:hAnsi="Barlow Semi Condensed"/>
          <w:b/>
          <w:bCs/>
          <w:sz w:val="24"/>
          <w:szCs w:val="24"/>
        </w:rPr>
        <w:t xml:space="preserve">400 · Due sole occorrenze in tutto il corpus.</w:t>
      </w:r>
      <w:r>
        <w:rPr>
          <w:rFonts w:ascii="Barlow Semi Condensed" w:cs="Barlow Semi Condensed" w:eastAsia="Barlow Semi Condensed" w:hAnsi="Barlow Semi Condensed"/>
          <w:sz w:val="24"/>
          <w:szCs w:val="24"/>
        </w:rPr>
        <w:t xml:space="preserve"> Verifica meccanica eseguita e verbalizzata: la parola «apartheid» compare due volte nell'intero corpus in formato markdown, al nodo E-16 di triangolazioni-guevara-moro.md e alla riga nona di guevara-mosca-bolivia-1964-1966.md, dove il discorso del dicembre 1964 è citato con il testo sul Marxists Internet Archive e la registrazione Smithsonian Folkways. Nessuna occorrenza di Pretoria, Namibia, Rössing. Stato Zero misurato, non supposto.</w:t>
      </w:r>
    </w:p>
    <w:p>
      <w:pPr>
        <w:spacing w:after="120" w:line="276"/>
        <w:jc w:val="both"/>
      </w:pPr>
      <w:r>
        <w:rPr>
          <w:rFonts w:ascii="Barlow Semi Condensed" w:cs="Barlow Semi Condensed" w:eastAsia="Barlow Semi Condensed" w:hAnsi="Barlow Semi Condensed"/>
          <w:b/>
          <w:bCs/>
          <w:sz w:val="24"/>
          <w:szCs w:val="24"/>
        </w:rPr>
        <w:t xml:space="preserve">401 · Il falso positivo che smaschera il metodo.</w:t>
      </w:r>
      <w:r>
        <w:rPr>
          <w:rFonts w:ascii="Barlow Semi Condensed" w:cs="Barlow Semi Condensed" w:eastAsia="Barlow Semi Condensed" w:hAnsi="Barlow Semi Condensed"/>
          <w:sz w:val="24"/>
          <w:szCs w:val="24"/>
        </w:rPr>
        <w:t xml:space="preserve"> Cercando la stringa «Angola» nei file del corpus si ottengono duecentonovantasette occorrenze; con i confini di parola se ne ottengono tre. Le altre duecentottantanove stanno dentro «triangolazione», che contiene la stringa. Un conteggio meccanico senza confini di parola misura il lessico di chi scrive, non il mondo. Chiunque replichi le verifiche di quest'opera deve usare l'opzione dei confini, o riprodurrà l'errore.</w:t>
      </w:r>
    </w:p>
    <w:p>
      <w:pPr>
        <w:spacing w:after="120" w:line="276"/>
        <w:jc w:val="both"/>
      </w:pPr>
      <w:r>
        <w:rPr>
          <w:rFonts w:ascii="Barlow Semi Condensed" w:cs="Barlow Semi Condensed" w:eastAsia="Barlow Semi Condensed" w:hAnsi="Barlow Semi Condensed"/>
          <w:b/>
          <w:bCs/>
          <w:sz w:val="24"/>
          <w:szCs w:val="24"/>
        </w:rPr>
        <w:t xml:space="preserve">402 · I tre Angola autentici.</w:t>
      </w:r>
      <w:r>
        <w:rPr>
          <w:rFonts w:ascii="Barlow Semi Condensed" w:cs="Barlow Semi Condensed" w:eastAsia="Barlow Semi Condensed" w:hAnsi="Barlow Semi Condensed"/>
          <w:sz w:val="24"/>
          <w:szCs w:val="24"/>
        </w:rPr>
        <w:t xml:space="preserve"> Le tre occorrenze vere si trovano in aldo-moro-una-guerra-senza-fine-parte-terza.md, dove Angola figura fra gli archi statali documentati di Kissinger accanto al Cile, e due volte in moro-ministro-esteri/originali/portogallo-santa-sede-1969-1974.md, per il fascicolo del fondo Zagari e per l'accordo di Alvor del 15 gennaio 1975. Questa è tutta la sostanza africana australe che il corpus possedeva prima di questa serie.</w:t>
      </w:r>
    </w:p>
    <w:p>
      <w:pPr>
        <w:spacing w:after="120" w:line="276"/>
        <w:jc w:val="both"/>
      </w:pPr>
      <w:r>
        <w:rPr>
          <w:rFonts w:ascii="Barlow Semi Condensed" w:cs="Barlow Semi Condensed" w:eastAsia="Barlow Semi Condensed" w:hAnsi="Barlow Semi Condensed"/>
          <w:b/>
          <w:bCs/>
          <w:sz w:val="24"/>
          <w:szCs w:val="24"/>
        </w:rPr>
        <w:t xml:space="preserve">403 · Il fondo Zagari all'Archivio storico del Senato.</w:t>
      </w:r>
      <w:r>
        <w:rPr>
          <w:rFonts w:ascii="Barlow Semi Condensed" w:cs="Barlow Semi Condensed" w:eastAsia="Barlow Semi Condensed" w:hAnsi="Barlow Semi Condensed"/>
          <w:sz w:val="24"/>
          <w:szCs w:val="24"/>
        </w:rPr>
        <w:t xml:space="preserve"> La scheda del fondo Mario Zagari reca un fascicolo «Colonie Portoghesi (Angola – Mozambico – Capo Verde)» con la relazione dattiloscritta per la Conferenza nazionale di solidarietà di Reggio Emilia del 1973. Quesito: lo stesso fondo conserva carte sull'apartheid e sull'embargo? La sede è a Roma, l'inventario è consultabile in rete, la risposta si ottiene in sala. Documenta l'impegno di una persona, non una posizione dell'istituzione.</w:t>
      </w:r>
    </w:p>
    <w:p>
      <w:pPr>
        <w:spacing w:after="120" w:line="276"/>
        <w:jc w:val="both"/>
      </w:pPr>
      <w:r>
        <w:rPr>
          <w:rFonts w:ascii="Barlow Semi Condensed" w:cs="Barlow Semi Condensed" w:eastAsia="Barlow Semi Condensed" w:hAnsi="Barlow Semi Condensed"/>
          <w:b/>
          <w:bCs/>
          <w:sz w:val="24"/>
          <w:szCs w:val="24"/>
        </w:rPr>
        <w:t xml:space="preserve">404 · La finestra parlamentare si apre.</w:t>
      </w:r>
      <w:r>
        <w:rPr>
          <w:rFonts w:ascii="Barlow Semi Condensed" w:cs="Barlow Semi Condensed" w:eastAsia="Barlow Semi Condensed" w:hAnsi="Barlow Semi Condensed"/>
          <w:sz w:val="24"/>
          <w:szCs w:val="24"/>
        </w:rPr>
        <w:t xml:space="preserve"> La campagna della Farnesina ha accertato che la banca dati del sindacato ispettivo di Camera e Senato copre solo dalla settima legislatura, cioè dal 5 luglio 1976. Ne discende un vantaggio che questa serie eredita: l'embargo obbligatorio del 4 novembre 1977 cade dentro la finestra indicizzata. A differenza del materiale del 1974, le interrogazioni italiane sulla risoluzione 418 sono cercabili per soggetto.</w:t>
      </w:r>
    </w:p>
    <w:p>
      <w:pPr>
        <w:spacing w:after="120" w:line="276"/>
        <w:jc w:val="both"/>
      </w:pPr>
      <w:r>
        <w:rPr>
          <w:rFonts w:ascii="Barlow Semi Condensed" w:cs="Barlow Semi Condensed" w:eastAsia="Barlow Semi Condensed" w:hAnsi="Barlow Semi Condensed"/>
          <w:b/>
          <w:bCs/>
          <w:sz w:val="24"/>
          <w:szCs w:val="24"/>
        </w:rPr>
        <w:t xml:space="preserve">405 · Il costo della Farnesina, rivisto.</w:t>
      </w:r>
      <w:r>
        <w:rPr>
          <w:rFonts w:ascii="Barlow Semi Condensed" w:cs="Barlow Semi Condensed" w:eastAsia="Barlow Semi Condensed" w:hAnsi="Barlow Semi Condensed"/>
          <w:sz w:val="24"/>
          <w:szCs w:val="24"/>
        </w:rPr>
        <w:t xml:space="preserve"> Il blocco 683 dell'opera su Kissinger corregge la quadriga investigativa proprio su questo punto: la barriera dei cinquant'anni rende l'arco anteriore teoricamente accessibile, ma l'inventariazione non lo rende praticamente tale, e la disponibilità dei faldoni va verificata caso per caso. Chi programma una campagna sull'Africa australe presso l'Archivio storico diplomatico deve preventivare quella verifica prima del viaggio, non dopo.</w:t>
      </w:r>
    </w:p>
    <w:p>
      <w:pPr>
        <w:spacing w:after="120" w:line="276"/>
        <w:jc w:val="both"/>
      </w:pPr>
      <w:r>
        <w:rPr>
          <w:rFonts w:ascii="Barlow Semi Condensed" w:cs="Barlow Semi Condensed" w:eastAsia="Barlow Semi Condensed" w:hAnsi="Barlow Semi Condensed"/>
          <w:b/>
          <w:bCs/>
          <w:sz w:val="24"/>
          <w:szCs w:val="24"/>
        </w:rPr>
        <w:t xml:space="preserve">406 · La barriera cronologica di questa serie.</w:t>
      </w:r>
      <w:r>
        <w:rPr>
          <w:rFonts w:ascii="Barlow Semi Condensed" w:cs="Barlow Semi Condensed" w:eastAsia="Barlow Semi Condensed" w:hAnsi="Barlow Semi Condensed"/>
          <w:sz w:val="24"/>
          <w:szCs w:val="24"/>
        </w:rPr>
        <w:t xml:space="preserve"> Per una serie che arriva al 1994, la regola dei cinquant'anni colloca al 1976 il margine esterno di ciò che è ordinariamente consultabile in sede diplomatica italiana nel 2026. Tutto ciò che riguarda il 1977-1986 richiede istanza di declassificazione o accesso agli atti. Il vincolo si dichiara prima di promettere un documento, non quando l'istanza viene respinta.</w:t>
      </w:r>
    </w:p>
    <w:p>
      <w:pPr>
        <w:spacing w:after="120" w:line="276"/>
        <w:jc w:val="both"/>
      </w:pPr>
      <w:r>
        <w:rPr>
          <w:rFonts w:ascii="Barlow Semi Condensed" w:cs="Barlow Semi Condensed" w:eastAsia="Barlow Semi Condensed" w:hAnsi="Barlow Semi Condensed"/>
          <w:b/>
          <w:bCs/>
          <w:sz w:val="24"/>
          <w:szCs w:val="24"/>
        </w:rPr>
        <w:t xml:space="preserve">407 · Il decreto numero uno sulle risorse namibiane.</w:t>
      </w:r>
      <w:r>
        <w:rPr>
          <w:rFonts w:ascii="Barlow Semi Condensed" w:cs="Barlow Semi Condensed" w:eastAsia="Barlow Semi Condensed" w:hAnsi="Barlow Semi Condensed"/>
          <w:sz w:val="24"/>
          <w:szCs w:val="24"/>
        </w:rPr>
        <w:t xml:space="preserve"> Lo strumento giuridico che tocca l'uranio porta un numero solo: Decreto n. 1 del Consiglio delle Nazioni Unite per la Namibia, adottato il 27 settembre 1974. Vietava prospezione, estrazione ed esportazione senza autorizzazione del Consiglio e dichiarava quelle risorse suscettibili di sequestro ovunque si trovassero. Il testo e la sua eventuale approvazione da parte dell'Assemblea vanno letti sulla raccolta ufficiale dei documenti, non su riassunti di seconda mano.</w:t>
      </w:r>
    </w:p>
    <w:p>
      <w:pPr>
        <w:spacing w:after="120" w:line="276"/>
        <w:jc w:val="both"/>
      </w:pPr>
      <w:r>
        <w:rPr>
          <w:rFonts w:ascii="Barlow Semi Condensed" w:cs="Barlow Semi Condensed" w:eastAsia="Barlow Semi Condensed" w:hAnsi="Barlow Semi Condensed"/>
          <w:b/>
          <w:bCs/>
          <w:sz w:val="24"/>
          <w:szCs w:val="24"/>
        </w:rPr>
        <w:t xml:space="preserve">408 · Il parere consultivo del 21 giugno 1971.</w:t>
      </w:r>
      <w:r>
        <w:rPr>
          <w:rFonts w:ascii="Barlow Semi Condensed" w:cs="Barlow Semi Condensed" w:eastAsia="Barlow Semi Condensed" w:hAnsi="Barlow Semi Condensed"/>
          <w:sz w:val="24"/>
          <w:szCs w:val="24"/>
        </w:rPr>
        <w:t xml:space="preserve"> La Corte internazionale di giustizia dichiarò illegale la continuata presenza sudafricana in Namibia dopo la risoluzione 276 del 1970, con l'obbligo per gli Stati di astenersi da atti che ne implicassero il riconoscimento. Sta in ICJ Reports 1971. È il fondamento su cui poggia ogni domanda sull'uranio namibiano, e va citato prima di qualunque considerazione politica.</w:t>
      </w:r>
    </w:p>
    <w:p>
      <w:pPr>
        <w:spacing w:after="120" w:line="276"/>
        <w:jc w:val="both"/>
      </w:pPr>
      <w:r>
        <w:rPr>
          <w:rFonts w:ascii="Barlow Semi Condensed" w:cs="Barlow Semi Condensed" w:eastAsia="Barlow Semi Condensed" w:hAnsi="Barlow Semi Condensed"/>
          <w:b/>
          <w:bCs/>
          <w:sz w:val="24"/>
          <w:szCs w:val="24"/>
        </w:rPr>
        <w:t xml:space="preserve">409 · Rössing: ciò che è accertato e depositato.</w:t>
      </w:r>
      <w:r>
        <w:rPr>
          <w:rFonts w:ascii="Barlow Semi Condensed" w:cs="Barlow Semi Condensed" w:eastAsia="Barlow Semi Condensed" w:hAnsi="Barlow Semi Condensed"/>
          <w:sz w:val="24"/>
          <w:szCs w:val="24"/>
        </w:rPr>
        <w:t xml:space="preserve"> Rössing Uranium Limited gestisce una miniera a cielo aperto presso Arandis, nell'Erongo, a una settantina di chilometri nell'entroterra di Swakopmund; azionista di maggioranza fu Rio Tinto Zinc; la produzione iniziò nel 1976; nel 2019 Rio Tinto cedette la quota di maggioranza a China National Uranium Corporation. Depositi verificabili: BIPA a Windhoek, Companies House a Londra, relazioni annuali della società.</w:t>
      </w:r>
    </w:p>
    <w:p>
      <w:pPr>
        <w:spacing w:after="120" w:line="276"/>
        <w:jc w:val="both"/>
      </w:pPr>
      <w:r>
        <w:rPr>
          <w:rFonts w:ascii="Barlow Semi Condensed" w:cs="Barlow Semi Condensed" w:eastAsia="Barlow Semi Condensed" w:hAnsi="Barlow Semi Condensed"/>
          <w:b/>
          <w:bCs/>
          <w:sz w:val="24"/>
          <w:szCs w:val="24"/>
        </w:rPr>
        <w:t xml:space="preserve">410 · La tesi nucleare, terzo piano.</w:t>
      </w:r>
      <w:r>
        <w:rPr>
          <w:rFonts w:ascii="Barlow Semi Condensed" w:cs="Barlow Semi Condensed" w:eastAsia="Barlow Semi Condensed" w:hAnsi="Barlow Semi Condensed"/>
          <w:sz w:val="24"/>
          <w:szCs w:val="24"/>
        </w:rPr>
        <w:t xml:space="preserve"> Fonti militanti sostengono che quella miniera servisse il programma nucleare militare sudafricano. Nessun documento di provenienza lo nomina: piano 3, e quest'opera non lo adotta. Va invece indicato come bersaglio con la sede che lo chiuderebbe, cioè gli atti di salvaguardia dell'Agenzia internazionale per l'energia atomica a Vienna e le carte della corporazione atomica sudafricana ai National Archives of South Africa di Pretoria.</w:t>
      </w:r>
    </w:p>
    <w:p>
      <w:pPr>
        <w:spacing w:after="120" w:line="276"/>
        <w:jc w:val="both"/>
      </w:pPr>
      <w:r>
        <w:rPr>
          <w:rFonts w:ascii="Barlow Semi Condensed" w:cs="Barlow Semi Condensed" w:eastAsia="Barlow Semi Condensed" w:hAnsi="Barlow Semi Condensed"/>
          <w:b/>
          <w:bCs/>
          <w:sz w:val="24"/>
          <w:szCs w:val="24"/>
        </w:rPr>
        <w:t xml:space="preserve">411 · Il programma esiste per ammissione dello Stato.</w:t>
      </w:r>
      <w:r>
        <w:rPr>
          <w:rFonts w:ascii="Barlow Semi Condensed" w:cs="Barlow Semi Condensed" w:eastAsia="Barlow Semi Condensed" w:hAnsi="Barlow Semi Condensed"/>
          <w:sz w:val="24"/>
          <w:szCs w:val="24"/>
        </w:rPr>
        <w:t xml:space="preserve"> Il 24 marzo 1993 il presidente F.W. de Klerk dichiarò in Parlamento che il Paese aveva costruito un piccolo arsenale di ordigni nucleari e li aveva smantellati prima dell'adesione al Trattato di non proliferazione del 10 luglio 1991. Il resoconto di quella seduta è la fonte primaria. Non dice nulla sull'origine del materiale fissile: è lì che la domanda resta aperta.</w:t>
      </w:r>
    </w:p>
    <w:p>
      <w:pPr>
        <w:spacing w:after="120" w:line="276"/>
        <w:jc w:val="both"/>
      </w:pPr>
      <w:r>
        <w:rPr>
          <w:rFonts w:ascii="Barlow Semi Condensed" w:cs="Barlow Semi Condensed" w:eastAsia="Barlow Semi Condensed" w:hAnsi="Barlow Semi Condensed"/>
          <w:b/>
          <w:bCs/>
          <w:sz w:val="24"/>
          <w:szCs w:val="24"/>
        </w:rPr>
        <w:t xml:space="preserve">412 · Valindaba non è Swakopmund.</w:t>
      </w:r>
      <w:r>
        <w:rPr>
          <w:rFonts w:ascii="Barlow Semi Condensed" w:cs="Barlow Semi Condensed" w:eastAsia="Barlow Semi Condensed" w:hAnsi="Barlow Semi Condensed"/>
          <w:sz w:val="24"/>
          <w:szCs w:val="24"/>
        </w:rPr>
        <w:t xml:space="preserve"> L'impianto di arricchimento sorgeva a Valindaba, presso Pelindaba, a ovest di Pretoria. Distanza, proprietà e funzione lo separano da una miniera namibiana operata sotto contratto commerciale. Omologia contro analogia, nella forma più netta che questa serie possa offrire: due impianti che trattano lo stesso elemento nello stesso Paese non discendono per ciò da uno scopo comune. Solo un documento che nomini entrambi lo stabilirebbe.</w:t>
      </w:r>
    </w:p>
    <w:p>
      <w:pPr>
        <w:spacing w:after="120" w:line="276"/>
        <w:jc w:val="both"/>
      </w:pPr>
      <w:r>
        <w:rPr>
          <w:rFonts w:ascii="Barlow Semi Condensed" w:cs="Barlow Semi Condensed" w:eastAsia="Barlow Semi Condensed" w:hAnsi="Barlow Semi Condensed"/>
          <w:b/>
          <w:bCs/>
          <w:sz w:val="24"/>
          <w:szCs w:val="24"/>
        </w:rPr>
        <w:t xml:space="preserve">413 · Il sito sotto il Kalahari, agosto 1977.</w:t>
      </w:r>
      <w:r>
        <w:rPr>
          <w:rFonts w:ascii="Barlow Semi Condensed" w:cs="Barlow Semi Condensed" w:eastAsia="Barlow Semi Condensed" w:hAnsi="Barlow Semi Condensed"/>
          <w:sz w:val="24"/>
          <w:szCs w:val="24"/>
        </w:rPr>
        <w:t xml:space="preserve"> Nell'agosto 1977 la ricognizione satellitare individuò nel deserto un sito ritenuto predisposto per una prova nucleare; seguirono passi diplomatici occidentali e l'abbandono del sito. Fatto pubblico. La documentazione declassificata è raccolta e indicizzata dal National Security Archive presso la George Washington University a Washington, che ne pubblica gli inventari: sede a costo nullo, da esaurire prima di qualunque altra.</w:t>
      </w:r>
    </w:p>
    <w:p>
      <w:pPr>
        <w:spacing w:after="120" w:line="276"/>
        <w:jc w:val="both"/>
      </w:pPr>
      <w:r>
        <w:rPr>
          <w:rFonts w:ascii="Barlow Semi Condensed" w:cs="Barlow Semi Condensed" w:eastAsia="Barlow Semi Condensed" w:hAnsi="Barlow Semi Condensed"/>
          <w:b/>
          <w:bCs/>
          <w:sz w:val="24"/>
          <w:szCs w:val="24"/>
        </w:rPr>
        <w:t xml:space="preserve">414 · Il lampo del 22 settembre 1979.</w:t>
      </w:r>
      <w:r>
        <w:rPr>
          <w:rFonts w:ascii="Barlow Semi Condensed" w:cs="Barlow Semi Condensed" w:eastAsia="Barlow Semi Condensed" w:hAnsi="Barlow Semi Condensed"/>
          <w:sz w:val="24"/>
          <w:szCs w:val="24"/>
        </w:rPr>
        <w:t xml:space="preserve"> Un satellite del programma Vela registrò un doppio lampo sull'oceano meridionale. Il gruppo di esperti insediato dalla Casa Bianca concluse nel 1980 che probabilmente non si trattò di un'esplosione nucleare; altri apparati dissentirono allora e dissentono nelle carte declassificate. La divergenza si riporta e non si scioglie. I fascicoli stanno alla biblioteca presidenziale Carter di Atlanta e nelle serie di declassificazione.</w:t>
      </w:r>
    </w:p>
    <w:p>
      <w:pPr>
        <w:spacing w:after="120" w:line="276"/>
        <w:jc w:val="both"/>
      </w:pPr>
      <w:r>
        <w:rPr>
          <w:rFonts w:ascii="Barlow Semi Condensed" w:cs="Barlow Semi Condensed" w:eastAsia="Barlow Semi Condensed" w:hAnsi="Barlow Semi Condensed"/>
          <w:b/>
          <w:bCs/>
          <w:sz w:val="24"/>
          <w:szCs w:val="24"/>
        </w:rPr>
        <w:t xml:space="preserve">415 · Il cantiere e le appaltatrici.</w:t>
      </w:r>
      <w:r>
        <w:rPr>
          <w:rFonts w:ascii="Barlow Semi Condensed" w:cs="Barlow Semi Condensed" w:eastAsia="Barlow Semi Condensed" w:hAnsi="Barlow Semi Condensed"/>
          <w:sz w:val="24"/>
          <w:szCs w:val="24"/>
        </w:rPr>
        <w:t xml:space="preserve"> L'ancoraggio verificato dice che Klaus Thiel, ingegnere chimico, lavorava per un'impresa del cantiere di Rössing negli anni 1975-1977. Quesito eseguibile da un terzo: ricostruire l'elenco delle imprese appaltatrici della fase di costruzione, che sta negli archivi della società mineraria e nei National Archives of Namibia a Windhoek. L'impiego di una persona è fatto pubblico; da esso non discende null'altro.</w:t>
      </w:r>
    </w:p>
    <w:p>
      <w:pPr>
        <w:spacing w:after="120" w:line="276"/>
        <w:jc w:val="both"/>
      </w:pPr>
      <w:r>
        <w:rPr>
          <w:rFonts w:ascii="Barlow Semi Condensed" w:cs="Barlow Semi Condensed" w:eastAsia="Barlow Semi Condensed" w:hAnsi="Barlow Semi Condensed"/>
          <w:b/>
          <w:bCs/>
          <w:sz w:val="24"/>
          <w:szCs w:val="24"/>
        </w:rPr>
        <w:t xml:space="preserve">416 · L'infanzia non è una scelta (serie VI).</w:t>
      </w:r>
      <w:r>
        <w:rPr>
          <w:rFonts w:ascii="Barlow Semi Condensed" w:cs="Barlow Semi Condensed" w:eastAsia="Barlow Semi Condensed" w:hAnsi="Barlow Semi Condensed"/>
          <w:sz w:val="24"/>
          <w:szCs w:val="24"/>
        </w:rPr>
        <w:t xml:space="preserve"> Regola che governa l'intera serie e in particolare i suoi passaggi namibiani: un bambino che vive in una cittadina mineraria perché un genitore vi ha un contratto non è parte di una politica. Dove si nomina Swakopmund si registrano residenza, impiego e date, mai una posizione. Il blocco che scivolasse dalla residenza all'opinione sarebbe un abuso e andrebbe espunto senza discussione.</w:t>
      </w:r>
    </w:p>
    <w:p>
      <w:pPr>
        <w:spacing w:after="120" w:line="276"/>
        <w:jc w:val="both"/>
      </w:pPr>
      <w:r>
        <w:rPr>
          <w:rFonts w:ascii="Barlow Semi Condensed" w:cs="Barlow Semi Condensed" w:eastAsia="Barlow Semi Condensed" w:hAnsi="Barlow Semi Condensed"/>
          <w:b/>
          <w:bCs/>
          <w:sz w:val="24"/>
          <w:szCs w:val="24"/>
        </w:rPr>
        <w:t xml:space="preserve">417 · Le sedi namibiane, e il loro prezzo.</w:t>
      </w:r>
      <w:r>
        <w:rPr>
          <w:rFonts w:ascii="Barlow Semi Condensed" w:cs="Barlow Semi Condensed" w:eastAsia="Barlow Semi Condensed" w:hAnsi="Barlow Semi Condensed"/>
          <w:sz w:val="24"/>
          <w:szCs w:val="24"/>
        </w:rPr>
        <w:t xml:space="preserve"> I National Archives of Namibia a Windhoek conservano le carte dell'amministrazione dell'Africa del Sud-Ovest, le serie municipali e i registri minerari; l'autorità BIPA tiene il registro delle imprese. Sono le sedi che chiudono quasi ogni quesito namibiano di questa serie, e nessuna di esse è una casella di ricerca. Il costo dichiarato è una campagna in loco, con richiesta preventiva di consultazione.</w:t>
      </w:r>
    </w:p>
    <w:p>
      <w:pPr>
        <w:spacing w:after="120" w:line="276"/>
        <w:jc w:val="both"/>
      </w:pPr>
      <w:r>
        <w:rPr>
          <w:rFonts w:ascii="Barlow Semi Condensed" w:cs="Barlow Semi Condensed" w:eastAsia="Barlow Semi Condensed" w:hAnsi="Barlow Semi Condensed"/>
          <w:b/>
          <w:bCs/>
          <w:sz w:val="24"/>
          <w:szCs w:val="24"/>
        </w:rPr>
        <w:t xml:space="preserve">418 · La 435 e undici anni.</w:t>
      </w:r>
      <w:r>
        <w:rPr>
          <w:rFonts w:ascii="Barlow Semi Condensed" w:cs="Barlow Semi Condensed" w:eastAsia="Barlow Semi Condensed" w:hAnsi="Barlow Semi Condensed"/>
          <w:sz w:val="24"/>
          <w:szCs w:val="24"/>
        </w:rPr>
        <w:t xml:space="preserve"> Il piano di soluzione e il dispiegamento della missione di assistenza furono fissati dalla risoluzione 435 del 29 settembre 1978; l'applicazione cominciò solo nell'aprile 1989 e la Namibia divenne indipendente il 21 marzo 1990. Fra la delibera e la sua esecuzione stanno undici anni durante i quali la miniera produsse ed esportò sotto contratto. Il dato serve a datare, non a insinuare.</w:t>
      </w:r>
    </w:p>
    <w:p>
      <w:pPr>
        <w:spacing w:after="120" w:line="276"/>
        <w:jc w:val="both"/>
      </w:pPr>
      <w:r>
        <w:rPr>
          <w:rFonts w:ascii="Barlow Semi Condensed" w:cs="Barlow Semi Condensed" w:eastAsia="Barlow Semi Condensed" w:hAnsi="Barlow Semi Condensed"/>
          <w:b/>
          <w:bCs/>
          <w:sz w:val="24"/>
          <w:szCs w:val="24"/>
        </w:rPr>
        <w:t xml:space="preserve">419 · Gli accordi di New York.</w:t>
      </w:r>
      <w:r>
        <w:rPr>
          <w:rFonts w:ascii="Barlow Semi Condensed" w:cs="Barlow Semi Condensed" w:eastAsia="Barlow Semi Condensed" w:hAnsi="Barlow Semi Condensed"/>
          <w:sz w:val="24"/>
          <w:szCs w:val="24"/>
        </w:rPr>
        <w:t xml:space="preserve"> Angola, Cuba e Sud Africa firmarono al Palazzo di Vetro gli accordi che legarono l'indipendenza namibiana al ritiro delle forze cubane. È il punto in cui il materiale cubano del corpus e questa serie toccano una cornice comune. Convergenza strutturale entro la stessa cornice, piano 2: non è un ponte, e nessuna quantità di ripetizioni lo promuove a tale.</w:t>
      </w:r>
    </w:p>
    <w:p>
      <w:pPr>
        <w:spacing w:after="120" w:line="276"/>
        <w:jc w:val="both"/>
      </w:pPr>
      <w:r>
        <w:rPr>
          <w:rFonts w:ascii="Barlow Semi Condensed" w:cs="Barlow Semi Condensed" w:eastAsia="Barlow Semi Condensed" w:hAnsi="Barlow Semi Condensed"/>
          <w:b/>
          <w:bCs/>
          <w:sz w:val="24"/>
          <w:szCs w:val="24"/>
        </w:rPr>
        <w:t xml:space="preserve">420 · La legge americana del 1986.</w:t>
      </w:r>
      <w:r>
        <w:rPr>
          <w:rFonts w:ascii="Barlow Semi Condensed" w:cs="Barlow Semi Condensed" w:eastAsia="Barlow Semi Condensed" w:hAnsi="Barlow Semi Condensed"/>
          <w:sz w:val="24"/>
          <w:szCs w:val="24"/>
        </w:rPr>
        <w:t xml:space="preserve"> Il Comprehensive Anti-Apartheid Act, legge pubblica 99-440 del 2 ottobre 1986, vietò nuovi investimenti statunitensi, gran parte dei prestiti bancari, l'importazione di krugerrand, uranio, carbone, ferro, acciaio, tessili e prodotti agricoli, e revocò i diritti di atterraggio alla compagnia di bandiera sudafricana. Testo e lavori preparatori stanno nel Congressional Record e negli Statutes at Large, a Washington.</w:t>
      </w:r>
    </w:p>
    <w:p>
      <w:pPr>
        <w:spacing w:after="120" w:line="276"/>
        <w:jc w:val="both"/>
      </w:pPr>
      <w:r>
        <w:rPr>
          <w:rFonts w:ascii="Barlow Semi Condensed" w:cs="Barlow Semi Condensed" w:eastAsia="Barlow Semi Condensed" w:hAnsi="Barlow Semi Condensed"/>
          <w:b/>
          <w:bCs/>
          <w:sz w:val="24"/>
          <w:szCs w:val="24"/>
        </w:rPr>
        <w:t xml:space="preserve">421 · Il veto scavalcato dalle due Camere.</w:t>
      </w:r>
      <w:r>
        <w:rPr>
          <w:rFonts w:ascii="Barlow Semi Condensed" w:cs="Barlow Semi Condensed" w:eastAsia="Barlow Semi Condensed" w:hAnsi="Barlow Semi Condensed"/>
          <w:sz w:val="24"/>
          <w:szCs w:val="24"/>
        </w:rPr>
        <w:t xml:space="preserve"> Il presidente pose il veto il 26 settembre 1986; la Camera lo scavalcò il 29 settembre e il Senato il 2 ottobre. È il fatto istituzionalmente rilevante: un veto presidenziale in materia di politica estera rovesciato dal Congresso. Il messaggio di veto si legge nei Public Papers of the Presidents e il fascicolo istruttorio sta alla biblioteca presidenziale Reagan, a Simi Valley in California.</w:t>
      </w:r>
    </w:p>
    <w:p>
      <w:pPr>
        <w:spacing w:after="120" w:line="276"/>
        <w:jc w:val="both"/>
      </w:pPr>
      <w:r>
        <w:rPr>
          <w:rFonts w:ascii="Barlow Semi Condensed" w:cs="Barlow Semi Condensed" w:eastAsia="Barlow Semi Condensed" w:hAnsi="Barlow Semi Condensed"/>
          <w:b/>
          <w:bCs/>
          <w:sz w:val="24"/>
          <w:szCs w:val="24"/>
        </w:rPr>
        <w:t xml:space="preserve">422 · L'ordine esecutivo che anticipava il legislatore.</w:t>
      </w:r>
      <w:r>
        <w:rPr>
          <w:rFonts w:ascii="Barlow Semi Condensed" w:cs="Barlow Semi Condensed" w:eastAsia="Barlow Semi Condensed" w:hAnsi="Barlow Semi Condensed"/>
          <w:sz w:val="24"/>
          <w:szCs w:val="24"/>
        </w:rPr>
        <w:t xml:space="preserve"> L'ordine esecutivo 12532 del 9 settembre 1985 impose misure limitate e un ulteriore ordine del 1° ottobre vietò l'importazione dei krugerrand. Vanno letti come atti di anticipazione parlamentare, e la loro natura importa: un ordine esecutivo si revoca con una firma, una legge no. Chi elenca insieme ordini e leggi come «le sanzioni americane» perde esattamente la differenza che conta.</w:t>
      </w:r>
    </w:p>
    <w:p>
      <w:pPr>
        <w:spacing w:after="120" w:line="276"/>
        <w:jc w:val="both"/>
      </w:pPr>
      <w:r>
        <w:rPr>
          <w:rFonts w:ascii="Barlow Semi Condensed" w:cs="Barlow Semi Condensed" w:eastAsia="Barlow Semi Condensed" w:hAnsi="Barlow Semi Condensed"/>
          <w:b/>
          <w:bCs/>
          <w:sz w:val="24"/>
          <w:szCs w:val="24"/>
        </w:rPr>
        <w:t xml:space="preserve">423 · La clausola dei calcolatori.</w:t>
      </w:r>
      <w:r>
        <w:rPr>
          <w:rFonts w:ascii="Barlow Semi Condensed" w:cs="Barlow Semi Condensed" w:eastAsia="Barlow Semi Condensed" w:hAnsi="Barlow Semi Condensed"/>
          <w:sz w:val="24"/>
          <w:szCs w:val="24"/>
        </w:rPr>
        <w:t xml:space="preserve"> La legge del 1986 vietò la vendita di calcolatori agli apparati che applicavano l'apartheid: polizia, forze armate e uffici che amministravano il sistema dei lasciapassare. È l'unica clausola sanzionatoria che parla direttamente di tecnologia dell'informazione, ed è il primo bersaglio naturale per chiunque voglia mettere alla prova la tesi di continuità di quest'opera sul versante delle macchine.</w:t>
      </w:r>
    </w:p>
    <w:p>
      <w:pPr>
        <w:spacing w:after="120" w:line="276"/>
        <w:jc w:val="both"/>
      </w:pPr>
      <w:r>
        <w:rPr>
          <w:rFonts w:ascii="Barlow Semi Condensed" w:cs="Barlow Semi Condensed" w:eastAsia="Barlow Semi Condensed" w:hAnsi="Barlow Semi Condensed"/>
          <w:b/>
          <w:bCs/>
          <w:sz w:val="24"/>
          <w:szCs w:val="24"/>
        </w:rPr>
        <w:t xml:space="preserve">424 · Un rapporto militante con apparato.</w:t>
      </w:r>
      <w:r>
        <w:rPr>
          <w:rFonts w:ascii="Barlow Semi Condensed" w:cs="Barlow Semi Condensed" w:eastAsia="Barlow Semi Condensed" w:hAnsi="Barlow Semi Condensed"/>
          <w:sz w:val="24"/>
          <w:szCs w:val="24"/>
        </w:rPr>
        <w:t xml:space="preserve"> Il rapporto del 1982 di NARMIC, progetto di ricerca dell'American Friends Service Committee, documentò le forniture informatiche agli apparati statali sudafricani; il suo archivio è a Filadelfia, presso l'American Friends Service Committee. È fonte di parte dotata di apparato: si usa come strumento di corredo per risalire ai documenti primari che cita, mai come prova autonoma di ciò che afferma.</w:t>
      </w:r>
    </w:p>
    <w:p>
      <w:pPr>
        <w:spacing w:after="120" w:line="276"/>
        <w:jc w:val="both"/>
      </w:pPr>
      <w:r>
        <w:rPr>
          <w:rFonts w:ascii="Barlow Semi Condensed" w:cs="Barlow Semi Condensed" w:eastAsia="Barlow Semi Condensed" w:hAnsi="Barlow Semi Condensed"/>
          <w:b/>
          <w:bCs/>
          <w:sz w:val="24"/>
          <w:szCs w:val="24"/>
        </w:rPr>
        <w:t xml:space="preserve">425 · Il registro della popolazione.</w:t>
      </w:r>
      <w:r>
        <w:rPr>
          <w:rFonts w:ascii="Barlow Semi Condensed" w:cs="Barlow Semi Condensed" w:eastAsia="Barlow Semi Condensed" w:hAnsi="Barlow Semi Condensed"/>
          <w:sz w:val="24"/>
          <w:szCs w:val="24"/>
        </w:rPr>
        <w:t xml:space="preserve"> L'informatizzazione del registro della popolazione sudafricano negli anni Settanta, e il ruolo del fornitore britannico, furono discussi ai Comuni. Bersaglio eseguibile da scrivania: cercare per parola chiave nei resoconti di Hansard, individuare seduta e data, e riscontrare con i depositi della società a Companies House. Va fatto prima di ripetere la notizia, non dopo averla ripetuta.</w:t>
      </w:r>
    </w:p>
    <w:p>
      <w:pPr>
        <w:spacing w:after="120" w:line="276"/>
        <w:jc w:val="both"/>
      </w:pPr>
      <w:r>
        <w:rPr>
          <w:rFonts w:ascii="Barlow Semi Condensed" w:cs="Barlow Semi Condensed" w:eastAsia="Barlow Semi Condensed" w:hAnsi="Barlow Semi Condensed"/>
          <w:b/>
          <w:bCs/>
          <w:sz w:val="24"/>
          <w:szCs w:val="24"/>
        </w:rPr>
        <w:t xml:space="preserve">426 · La revoca del 1993.</w:t>
      </w:r>
      <w:r>
        <w:rPr>
          <w:rFonts w:ascii="Barlow Semi Condensed" w:cs="Barlow Semi Condensed" w:eastAsia="Barlow Semi Condensed" w:hAnsi="Barlow Semi Condensed"/>
          <w:sz w:val="24"/>
          <w:szCs w:val="24"/>
        </w:rPr>
        <w:t xml:space="preserve"> Le sanzioni americane caddero con il South African Democratic Transition Support Act, legge pubblica 103-149, firmata il 23 novembre 1993, dopo che Nelson Mandela aveva chiesto all'Assemblea Generale, il 24 settembre 1993, la revoca delle misure economiche. La fine ebbe la stessa fonte di legittimazione dell'inizio: una richiesta proveniente dalla maggioranza della popolazione colpita. Chi cita l'imposizione tacendo la revoca racconta metà vicenda.</w:t>
      </w:r>
    </w:p>
    <w:p>
      <w:pPr>
        <w:spacing w:after="120" w:line="276"/>
        <w:jc w:val="both"/>
      </w:pPr>
      <w:r>
        <w:rPr>
          <w:rFonts w:ascii="Barlow Semi Condensed" w:cs="Barlow Semi Condensed" w:eastAsia="Barlow Semi Condensed" w:hAnsi="Barlow Semi Condensed"/>
          <w:b/>
          <w:bCs/>
          <w:sz w:val="24"/>
          <w:szCs w:val="24"/>
        </w:rPr>
        <w:t xml:space="preserve">427 · I rapporti dell'organo di controllo contabile.</w:t>
      </w:r>
      <w:r>
        <w:rPr>
          <w:rFonts w:ascii="Barlow Semi Condensed" w:cs="Barlow Semi Condensed" w:eastAsia="Barlow Semi Condensed" w:hAnsi="Barlow Semi Condensed"/>
          <w:sz w:val="24"/>
          <w:szCs w:val="24"/>
        </w:rPr>
        <w:t xml:space="preserve"> L'ufficio contabile generale del Congresso produsse rapporti periodici sull'attuazione della legge del 1986, numerati, pubblici e scaricabili. Per una serie sull'aggiramento sono la fonte primaria meno costosa esistente, perché elencano le lacune applicative con le parole del governo che avrebbe dovuto colmarle. Chi non li ha letti non ha ancora cominciato a lavorare su questo capitolo.</w:t>
      </w:r>
    </w:p>
    <w:p>
      <w:pPr>
        <w:spacing w:after="120" w:line="276"/>
        <w:jc w:val="both"/>
      </w:pPr>
      <w:r>
        <w:rPr>
          <w:rFonts w:ascii="Barlow Semi Condensed" w:cs="Barlow Semi Condensed" w:eastAsia="Barlow Semi Condensed" w:hAnsi="Barlow Semi Condensed"/>
          <w:b/>
          <w:bCs/>
          <w:sz w:val="24"/>
          <w:szCs w:val="24"/>
        </w:rPr>
        <w:t xml:space="preserve">428 · Gli archivi legislativi di Washington.</w:t>
      </w:r>
      <w:r>
        <w:rPr>
          <w:rFonts w:ascii="Barlow Semi Condensed" w:cs="Barlow Semi Condensed" w:eastAsia="Barlow Semi Condensed" w:hAnsi="Barlow Semi Condensed"/>
          <w:sz w:val="24"/>
          <w:szCs w:val="24"/>
        </w:rPr>
        <w:t xml:space="preserve"> Le audizioni e i fascicoli di commissione della sottocommissione per l'Africa della Camera e della commissione esteri del Senato sono conservati dal Center for Legislative Archives a Washington, nei fondi delle due Camere. Le audizioni a stampa sono già pubbliche; i fascicoli di commissione sono lo strato non sfruttato, e richiedono istanza motivata secondo le regole di ciascun ramo.</w:t>
      </w:r>
    </w:p>
    <w:p>
      <w:pPr>
        <w:spacing w:after="120" w:line="276"/>
        <w:jc w:val="both"/>
      </w:pPr>
      <w:r>
        <w:rPr>
          <w:rFonts w:ascii="Barlow Semi Condensed" w:cs="Barlow Semi Condensed" w:eastAsia="Barlow Semi Condensed" w:hAnsi="Barlow Semi Condensed"/>
          <w:b/>
          <w:bCs/>
          <w:sz w:val="24"/>
          <w:szCs w:val="24"/>
        </w:rPr>
        <w:t xml:space="preserve">429 · Il triplo veto del 30 ottobre 1974.</w:t>
      </w:r>
      <w:r>
        <w:rPr>
          <w:rFonts w:ascii="Barlow Semi Condensed" w:cs="Barlow Semi Condensed" w:eastAsia="Barlow Semi Condensed" w:hAnsi="Barlow Semi Condensed"/>
          <w:sz w:val="24"/>
          <w:szCs w:val="24"/>
        </w:rPr>
        <w:t xml:space="preserve"> Francia, Regno Unito e Stati Uniti posero il veto al progetto che avrebbe condotto all'espulsione del Sud Africa dalle Nazioni Unite. Fatto pubblico. L'appello nominale e gli interventi stanno nel resoconto stenografico di quella seduta; la biblioteca Dag Hammarskjöld mantiene una guida ai veti che consente di individuare simbolo e data senza scorrere l'intera serie.</w:t>
      </w:r>
    </w:p>
    <w:p>
      <w:pPr>
        <w:spacing w:after="120" w:line="276"/>
        <w:jc w:val="both"/>
      </w:pPr>
      <w:r>
        <w:rPr>
          <w:rFonts w:ascii="Barlow Semi Condensed" w:cs="Barlow Semi Condensed" w:eastAsia="Barlow Semi Condensed" w:hAnsi="Barlow Semi Condensed"/>
          <w:b/>
          <w:bCs/>
          <w:sz w:val="24"/>
          <w:szCs w:val="24"/>
        </w:rPr>
        <w:t xml:space="preserve">430 · I veti sulle sanzioni economiche generali.</w:t>
      </w:r>
      <w:r>
        <w:rPr>
          <w:rFonts w:ascii="Barlow Semi Condensed" w:cs="Barlow Semi Condensed" w:eastAsia="Barlow Semi Condensed" w:hAnsi="Barlow Semi Condensed"/>
          <w:sz w:val="24"/>
          <w:szCs w:val="24"/>
        </w:rPr>
        <w:t xml:space="preserve"> Negli anni Ottanta più progetti di sanzioni economiche obbligatorie e generalizzate furono bloccati da membri permanenti. Date, simboli e cifre di voto vanno presi uno per uno dalla guida ai veti e dai resoconti stenografici, mai da un totale riassuntivo. I numeri tondi che circolano in rete non hanno fonte, e ripeterli è il modo più rapido di perdere credibilità su questo capitolo.</w:t>
      </w:r>
    </w:p>
    <w:p>
      <w:pPr>
        <w:spacing w:after="120" w:line="276"/>
        <w:jc w:val="both"/>
      </w:pPr>
      <w:r>
        <w:rPr>
          <w:rFonts w:ascii="Barlow Semi Condensed" w:cs="Barlow Semi Condensed" w:eastAsia="Barlow Semi Condensed" w:hAnsi="Barlow Semi Condensed"/>
          <w:b/>
          <w:bCs/>
          <w:sz w:val="24"/>
          <w:szCs w:val="24"/>
        </w:rPr>
        <w:t xml:space="preserve">431 · La posizione britannica e dove diventa carta.</w:t>
      </w:r>
      <w:r>
        <w:rPr>
          <w:rFonts w:ascii="Barlow Semi Condensed" w:cs="Barlow Semi Condensed" w:eastAsia="Barlow Semi Condensed" w:hAnsi="Barlow Semi Condensed"/>
          <w:sz w:val="24"/>
          <w:szCs w:val="24"/>
        </w:rPr>
        <w:t xml:space="preserve"> L'opposizione del governo britannico alle sanzioni economiche generali è posizione pubblica documentata dai suoi stessi comunicati. Il suo riscontro interno sta alle serie PREM 19 e a quelle di gabinetto presso i National Archives di Kew, rilasciate secondo la regola dei vent'anni. È lì che un'affermazione sul movente diventa un documento, oppure smette di essere fatta.</w:t>
      </w:r>
    </w:p>
    <w:p>
      <w:pPr>
        <w:spacing w:after="120" w:line="276"/>
        <w:jc w:val="both"/>
      </w:pPr>
      <w:r>
        <w:rPr>
          <w:rFonts w:ascii="Barlow Semi Condensed" w:cs="Barlow Semi Condensed" w:eastAsia="Barlow Semi Condensed" w:hAnsi="Barlow Semi Condensed"/>
          <w:b/>
          <w:bCs/>
          <w:sz w:val="24"/>
          <w:szCs w:val="24"/>
        </w:rPr>
        <w:t xml:space="preserve">432 · Il binario del Commonwealth.</w:t>
      </w:r>
      <w:r>
        <w:rPr>
          <w:rFonts w:ascii="Barlow Semi Condensed" w:cs="Barlow Semi Condensed" w:eastAsia="Barlow Semi Condensed" w:hAnsi="Barlow Semi Condensed"/>
          <w:sz w:val="24"/>
          <w:szCs w:val="24"/>
        </w:rPr>
        <w:t xml:space="preserve"> L'accordo di Gleneagles del 1977 sui contatti sportivi, l'intesa di Nassau dell'ottobre 1985 e il gruppo di personalità eminenti del 1986 costituiscono un regime parallelo, con propri atti e propria segreteria. Le carte sono a Marlborough House, a Londra. Confonderlo con il regime delle Nazioni Unite produce attribuzioni sbagliate di obbligo e di inadempienza: sono due cataloghi distinti.</w:t>
      </w:r>
    </w:p>
    <w:p>
      <w:pPr>
        <w:spacing w:after="120" w:line="276"/>
        <w:jc w:val="both"/>
      </w:pPr>
      <w:r>
        <w:rPr>
          <w:rFonts w:ascii="Barlow Semi Condensed" w:cs="Barlow Semi Condensed" w:eastAsia="Barlow Semi Condensed" w:hAnsi="Barlow Semi Condensed"/>
          <w:b/>
          <w:bCs/>
          <w:sz w:val="24"/>
          <w:szCs w:val="24"/>
        </w:rPr>
        <w:t xml:space="preserve">433 · Le misure della Comunità europea.</w:t>
      </w:r>
      <w:r>
        <w:rPr>
          <w:rFonts w:ascii="Barlow Semi Condensed" w:cs="Barlow Semi Condensed" w:eastAsia="Barlow Semi Condensed" w:hAnsi="Barlow Semi Condensed"/>
          <w:sz w:val="24"/>
          <w:szCs w:val="24"/>
        </w:rPr>
        <w:t xml:space="preserve"> Le misure restrittive concordate in sede di cooperazione politica europea nel settembre 1985 e nel settembre 1986 — krugerrand, ferro e acciaio, nuovi investimenti — vincolavano anche l'Italia come Stato membro. La documentazione preparatoria è depositata presso gli Archivi storici dell'Unione europea, a Villa Salviati a Firenze: la sede più vicina al terreno proprio di questo corpus.</w:t>
      </w:r>
    </w:p>
    <w:p>
      <w:pPr>
        <w:spacing w:after="120" w:line="276"/>
        <w:jc w:val="both"/>
      </w:pPr>
      <w:r>
        <w:rPr>
          <w:rFonts w:ascii="Barlow Semi Condensed" w:cs="Barlow Semi Condensed" w:eastAsia="Barlow Semi Condensed" w:hAnsi="Barlow Semi Condensed"/>
          <w:b/>
          <w:bCs/>
          <w:sz w:val="24"/>
          <w:szCs w:val="24"/>
        </w:rPr>
        <w:t xml:space="preserve">434 · Che cosa fece l'Italia, e quando.</w:t>
      </w:r>
      <w:r>
        <w:rPr>
          <w:rFonts w:ascii="Barlow Semi Condensed" w:cs="Barlow Semi Condensed" w:eastAsia="Barlow Semi Condensed" w:hAnsi="Barlow Semi Condensed"/>
          <w:sz w:val="24"/>
          <w:szCs w:val="24"/>
        </w:rPr>
        <w:t xml:space="preserve"> Quesito aperto della serie, eseguibile a costo modesto e mai eseguito: datare gli atti italiani di attuazione delle misure europee, individuare gli atti di indirizzo e controllo su Pretoria nella banca dati indicizzata dalla settima legislatura, e verificare se esista una legge o un decreto che recepisca l'embargo del 1977. Se non si trova nulla, il risultato negativo si scrive con i termini usati.</w:t>
      </w:r>
    </w:p>
    <w:p>
      <w:pPr>
        <w:spacing w:after="120" w:line="276"/>
        <w:jc w:val="both"/>
      </w:pPr>
      <w:r>
        <w:rPr>
          <w:rFonts w:ascii="Barlow Semi Condensed" w:cs="Barlow Semi Condensed" w:eastAsia="Barlow Semi Condensed" w:hAnsi="Barlow Semi Condensed"/>
          <w:b/>
          <w:bCs/>
          <w:sz w:val="24"/>
          <w:szCs w:val="24"/>
        </w:rPr>
        <w:t xml:space="preserve">435 · Disinvestimento e disimpegno non sono sinonimi.</w:t>
      </w:r>
      <w:r>
        <w:rPr>
          <w:rFonts w:ascii="Barlow Semi Condensed" w:cs="Barlow Semi Condensed" w:eastAsia="Barlow Semi Condensed" w:hAnsi="Barlow Semi Condensed"/>
          <w:sz w:val="24"/>
          <w:szCs w:val="24"/>
        </w:rPr>
        <w:t xml:space="preserve"> Nella letteratura inglese divestment è la vendita di titoli da parte di un azionista, disinvestment il ritiro operativo di un'impresa; le traduzioni italiane li confondono sistematicamente. La distinzione non è pedanteria: l'una muove un libro soci, l'altra muove buste paga e stabilimenti. Si fissa il termine prima di contare i casi, altrimenti si sommano grandezze diverse e il totale non significa nulla.</w:t>
      </w:r>
    </w:p>
    <w:p>
      <w:pPr>
        <w:spacing w:after="120" w:line="276"/>
        <w:jc w:val="both"/>
      </w:pPr>
      <w:r>
        <w:rPr>
          <w:rFonts w:ascii="Barlow Semi Condensed" w:cs="Barlow Semi Condensed" w:eastAsia="Barlow Semi Condensed" w:hAnsi="Barlow Semi Condensed"/>
          <w:b/>
          <w:bCs/>
          <w:sz w:val="24"/>
          <w:szCs w:val="24"/>
        </w:rPr>
        <w:t xml:space="preserve">436 · Il primo ateneo e il più grande.</w:t>
      </w:r>
      <w:r>
        <w:rPr>
          <w:rFonts w:ascii="Barlow Semi Condensed" w:cs="Barlow Semi Condensed" w:eastAsia="Barlow Semi Condensed" w:hAnsi="Barlow Semi Condensed"/>
          <w:sz w:val="24"/>
          <w:szCs w:val="24"/>
        </w:rPr>
        <w:t xml:space="preserve"> Hampshire College disinvestì nel 1977 e la Michigan State University avviò il proprio ritiro nel 1978; i reggenti dell'Università della California deliberarono nel luglio 1986 il disinvestimento di un portafoglio dell'ordine dei miliardi di dollari. Il documento è il verbale del consiglio dei reggenti presso l'Office of the President; le cifre tonde che circolano non lo sono.</w:t>
      </w:r>
    </w:p>
    <w:p>
      <w:pPr>
        <w:spacing w:after="120" w:line="276"/>
        <w:jc w:val="both"/>
      </w:pPr>
      <w:r>
        <w:rPr>
          <w:rFonts w:ascii="Barlow Semi Condensed" w:cs="Barlow Semi Condensed" w:eastAsia="Barlow Semi Condensed" w:hAnsi="Barlow Semi Condensed"/>
          <w:b/>
          <w:bCs/>
          <w:sz w:val="24"/>
          <w:szCs w:val="24"/>
        </w:rPr>
        <w:t xml:space="preserve">437 · Un codice ripudiato dal suo autore.</w:t>
      </w:r>
      <w:r>
        <w:rPr>
          <w:rFonts w:ascii="Barlow Semi Condensed" w:cs="Barlow Semi Condensed" w:eastAsia="Barlow Semi Condensed" w:hAnsi="Barlow Semi Condensed"/>
          <w:sz w:val="24"/>
          <w:szCs w:val="24"/>
        </w:rPr>
        <w:t xml:space="preserve"> Leon Sullivan emanò nel 1977 il codice di condotta per le imprese statunitensi operanti in Sud Africa e nel 1987 lo abbandonò pubblicamente, chiedendo il ritiro totale. Il ripudio di un codice da parte di chi lo aveva scritto è evento raro e citabile, ed è l'argomento più forte disponibile contro la tesi della riforma dall'interno. Resta una dichiarazione, e come tale si registra.</w:t>
      </w:r>
    </w:p>
    <w:p>
      <w:pPr>
        <w:spacing w:after="120" w:line="276"/>
        <w:jc w:val="both"/>
      </w:pPr>
      <w:r>
        <w:rPr>
          <w:rFonts w:ascii="Barlow Semi Condensed" w:cs="Barlow Semi Condensed" w:eastAsia="Barlow Semi Condensed" w:hAnsi="Barlow Semi Condensed"/>
          <w:b/>
          <w:bCs/>
          <w:sz w:val="24"/>
          <w:szCs w:val="24"/>
        </w:rPr>
        <w:t xml:space="preserve">438 · Stanford e la controversia sul disinvestimento.</w:t>
      </w:r>
      <w:r>
        <w:rPr>
          <w:rFonts w:ascii="Barlow Semi Condensed" w:cs="Barlow Semi Condensed" w:eastAsia="Barlow Semi Condensed" w:hAnsi="Barlow Semi Condensed"/>
          <w:sz w:val="24"/>
          <w:szCs w:val="24"/>
        </w:rPr>
        <w:t xml:space="preserve"> A Stanford il consiglio di amministrazione discusse il disinvestimento per tutti gli anni Ottanta, fra proteste di campus. Verbali e carte delle campagne sono conservati al Department of Special Collections della Green Library. È storia locale documentabile; è anche il campus di formazione di alcune persone nominate in quest'opera, il che è comunanza di luogo e non nesso di alcun genere.</w:t>
      </w:r>
    </w:p>
    <w:p>
      <w:pPr>
        <w:spacing w:after="120" w:line="276"/>
        <w:jc w:val="both"/>
      </w:pPr>
      <w:r>
        <w:rPr>
          <w:rFonts w:ascii="Barlow Semi Condensed" w:cs="Barlow Semi Condensed" w:eastAsia="Barlow Semi Condensed" w:hAnsi="Barlow Semi Condensed"/>
          <w:b/>
          <w:bCs/>
          <w:sz w:val="24"/>
          <w:szCs w:val="24"/>
        </w:rPr>
        <w:t xml:space="preserve">439 · Un giornale di campus.</w:t>
      </w:r>
      <w:r>
        <w:rPr>
          <w:rFonts w:ascii="Barlow Semi Condensed" w:cs="Barlow Semi Condensed" w:eastAsia="Barlow Semi Condensed" w:hAnsi="Barlow Semi Condensed"/>
          <w:sz w:val="24"/>
          <w:szCs w:val="24"/>
        </w:rPr>
        <w:t xml:space="preserve"> The Stanford Review fu fondata nel 1987, negli anni di quella controversia. Il quesito eseguibile è stretto e ha risposta certa: quali numeri trattarono il disinvestimento, in quali date, con quali firme. La risposta è ciò che la collezione conserva, inclusa l'ipotesi che non ne trattasse affatto. Anche qui uno Stato Zero è risultato pieno, e va verbalizzato come tale.</w:t>
      </w:r>
    </w:p>
    <w:p>
      <w:pPr>
        <w:spacing w:after="120" w:line="276"/>
        <w:jc w:val="both"/>
      </w:pPr>
      <w:r>
        <w:rPr>
          <w:rFonts w:ascii="Barlow Semi Condensed" w:cs="Barlow Semi Condensed" w:eastAsia="Barlow Semi Condensed" w:hAnsi="Barlow Semi Condensed"/>
          <w:b/>
          <w:bCs/>
          <w:sz w:val="24"/>
          <w:szCs w:val="24"/>
        </w:rPr>
        <w:t xml:space="preserve">440 · Il divieto di attribuire opinioni.</w:t>
      </w:r>
      <w:r>
        <w:rPr>
          <w:rFonts w:ascii="Barlow Semi Condensed" w:cs="Barlow Semi Condensed" w:eastAsia="Barlow Semi Condensed" w:hAnsi="Barlow Semi Condensed"/>
          <w:sz w:val="24"/>
          <w:szCs w:val="24"/>
        </w:rPr>
        <w:t xml:space="preserve"> Anche trovata una firma, il blocco registra che una persona nominata pubblicò un testo in una data. Non riassume ciò che quella persona crede, non estende al 2026 una posizione del 1987, non tratta un periodico universitario come un atto di indirizzo. La pubblicazione è un fatto; la convinzione non lo è; e la distanza fra le due è dove quest'opera vive o cade.</w:t>
      </w:r>
    </w:p>
    <w:p>
      <w:pPr>
        <w:spacing w:after="120" w:line="276"/>
        <w:jc w:val="both"/>
      </w:pPr>
      <w:r>
        <w:rPr>
          <w:rFonts w:ascii="Barlow Semi Condensed" w:cs="Barlow Semi Condensed" w:eastAsia="Barlow Semi Condensed" w:hAnsi="Barlow Semi Condensed"/>
          <w:b/>
          <w:bCs/>
          <w:sz w:val="24"/>
          <w:szCs w:val="24"/>
        </w:rPr>
        <w:t xml:space="preserve">441 · Il rifiuto di rinnovo del luglio 1985.</w:t>
      </w:r>
      <w:r>
        <w:rPr>
          <w:rFonts w:ascii="Barlow Semi Condensed" w:cs="Barlow Semi Condensed" w:eastAsia="Barlow Semi Condensed" w:hAnsi="Barlow Semi Condensed"/>
          <w:sz w:val="24"/>
          <w:szCs w:val="24"/>
        </w:rPr>
        <w:t xml:space="preserve"> Nell'estate del 1985 un grande istituto di credito statunitense rifiutò di rinnovare le linee a breve verso il Sud Africa e altri seguirono. Fu il ritiro del credito interbancario, non l'embargo sulle armi, a muovere il cambio. Le fonti sono la relazione annuale dell'istituto e la stampa finanziaria coeva, che consentono di datare l'evento alla settimana.</w:t>
      </w:r>
    </w:p>
    <w:p>
      <w:pPr>
        <w:spacing w:after="120" w:line="276"/>
        <w:jc w:val="both"/>
      </w:pPr>
      <w:r>
        <w:rPr>
          <w:rFonts w:ascii="Barlow Semi Condensed" w:cs="Barlow Semi Condensed" w:eastAsia="Barlow Semi Condensed" w:hAnsi="Barlow Semi Condensed"/>
          <w:b/>
          <w:bCs/>
          <w:sz w:val="24"/>
          <w:szCs w:val="24"/>
        </w:rPr>
        <w:t xml:space="preserve">442 · Il blocco del debito.</w:t>
      </w:r>
      <w:r>
        <w:rPr>
          <w:rFonts w:ascii="Barlow Semi Condensed" w:cs="Barlow Semi Condensed" w:eastAsia="Barlow Semi Condensed" w:hAnsi="Barlow Semi Condensed"/>
          <w:sz w:val="24"/>
          <w:szCs w:val="24"/>
        </w:rPr>
        <w:t xml:space="preserve"> Nel settembre 1985 Pretoria dichiarò la moratoria sul rimborso del debito estero, chiuse i mercati valutari e reintrodusse il doppio cambio. È l'unico evento finanziario misurabile del decennio sanzionatorio. Grado: fatto pubblico. Ogni tesi che sostenga l'inefficacia economica delle sanzioni deve prima spiegare quella settimana, e la maggior parte delle tesi in circolazione non ci prova nemmeno.</w:t>
      </w:r>
    </w:p>
    <w:p>
      <w:pPr>
        <w:spacing w:after="120" w:line="276"/>
        <w:jc w:val="both"/>
      </w:pPr>
      <w:r>
        <w:rPr>
          <w:rFonts w:ascii="Barlow Semi Condensed" w:cs="Barlow Semi Condensed" w:eastAsia="Barlow Semi Condensed" w:hAnsi="Barlow Semi Condensed"/>
          <w:b/>
          <w:bCs/>
          <w:sz w:val="24"/>
          <w:szCs w:val="24"/>
        </w:rPr>
        <w:t xml:space="preserve">443 · La mediazione affidata a un banchiere centrale.</w:t>
      </w:r>
      <w:r>
        <w:rPr>
          <w:rFonts w:ascii="Barlow Semi Condensed" w:cs="Barlow Semi Condensed" w:eastAsia="Barlow Semi Condensed" w:hAnsi="Barlow Semi Condensed"/>
          <w:sz w:val="24"/>
          <w:szCs w:val="24"/>
        </w:rPr>
        <w:t xml:space="preserve"> Il riscaglionamento del 1986 fu negoziato per il tramite di Fritz Leutwiler, già presidente della Banca nazionale svizzera. Le carte di quella mediazione sono il bersaglio: l'archivio della Banca nazionale svizzera a Zurigo e l'archivio della Banca dei regolamenti internazionali a Basilea, entrambi accessibili su istanza motivata di ricercatore, con termini di consultabilità dichiarati nei rispettivi regolamenti.</w:t>
      </w:r>
    </w:p>
    <w:p>
      <w:pPr>
        <w:spacing w:after="120" w:line="276"/>
        <w:jc w:val="both"/>
      </w:pPr>
      <w:r>
        <w:rPr>
          <w:rFonts w:ascii="Barlow Semi Condensed" w:cs="Barlow Semi Condensed" w:eastAsia="Barlow Semi Condensed" w:hAnsi="Barlow Semi Condensed"/>
          <w:b/>
          <w:bCs/>
          <w:sz w:val="24"/>
          <w:szCs w:val="24"/>
        </w:rPr>
        <w:t xml:space="preserve">444 · Il credito del Fondo monetario, novembre 1982.</w:t>
      </w:r>
      <w:r>
        <w:rPr>
          <w:rFonts w:ascii="Barlow Semi Condensed" w:cs="Barlow Semi Condensed" w:eastAsia="Barlow Semi Condensed" w:hAnsi="Barlow Semi Condensed"/>
          <w:sz w:val="24"/>
          <w:szCs w:val="24"/>
        </w:rPr>
        <w:t xml:space="preserve"> Il Fondo monetario internazionale approvò nel novembre 1982 un accordo di credito a favore del Sud Africa nonostante le obiezioni espresse in sede di Assemblea Generale; il Congresso statunitense legiferò in seguito sul voto del proprio direttore esecutivo. I verbali del consiglio esecutivo stanno negli archivi del Fondo a Washington e si aprono secondo la politica di accesso dell'istituzione.</w:t>
      </w:r>
    </w:p>
    <w:p>
      <w:pPr>
        <w:spacing w:after="120" w:line="276"/>
        <w:jc w:val="both"/>
      </w:pPr>
      <w:r>
        <w:rPr>
          <w:rFonts w:ascii="Barlow Semi Condensed" w:cs="Barlow Semi Condensed" w:eastAsia="Barlow Semi Condensed" w:hAnsi="Barlow Semi Condensed"/>
          <w:b/>
          <w:bCs/>
          <w:sz w:val="24"/>
          <w:szCs w:val="24"/>
        </w:rPr>
        <w:t xml:space="preserve">445 · L'oro, la moneta e l'asimmetria.</w:t>
      </w:r>
      <w:r>
        <w:rPr>
          <w:rFonts w:ascii="Barlow Semi Condensed" w:cs="Barlow Semi Condensed" w:eastAsia="Barlow Semi Condensed" w:hAnsi="Barlow Semi Condensed"/>
          <w:sz w:val="24"/>
          <w:szCs w:val="24"/>
        </w:rPr>
        <w:t xml:space="preserve"> L'oro fu l'attivo meno sanzionabile del regime e la moneta d'investimento la sua forma più sanzionabile: il divieto colpì il krugerrand nel 1985 in America e in Europa, mentre il commercio del metallo non fu mai oggetto di misura obbligatoria. L'asimmetria va enunciata perché spiega da sola perché il regime resse sul piano valutario più a lungo di quanto si dica.</w:t>
      </w:r>
    </w:p>
    <w:p>
      <w:pPr>
        <w:spacing w:after="120" w:line="276"/>
        <w:jc w:val="both"/>
      </w:pPr>
      <w:r>
        <w:rPr>
          <w:rFonts w:ascii="Barlow Semi Condensed" w:cs="Barlow Semi Condensed" w:eastAsia="Barlow Semi Condensed" w:hAnsi="Barlow Semi Condensed"/>
          <w:b/>
          <w:bCs/>
          <w:sz w:val="24"/>
          <w:szCs w:val="24"/>
        </w:rPr>
        <w:t xml:space="preserve">446 · Un archivio chiuso per contenzioso.</w:t>
      </w:r>
      <w:r>
        <w:rPr>
          <w:rFonts w:ascii="Barlow Semi Condensed" w:cs="Barlow Semi Condensed" w:eastAsia="Barlow Semi Condensed" w:hAnsi="Barlow Semi Condensed"/>
          <w:sz w:val="24"/>
          <w:szCs w:val="24"/>
        </w:rPr>
        <w:t xml:space="preserve"> Le ricerche sulle relazioni finanziarie fra Svizzera e Sud Africa confluirono in un programma nazionale pubblicato nel 2005; l'accesso a determinati fascicoli federali fu ristretto mentre pendevano azioni civili all'estero. È un caso documentato di archivio chiuso per ragioni processuali, e va conosciuto prima di programmare: le sedi sono l'Archivio federale svizzero a Berna e l'apparato a stampa del programma.</w:t>
      </w:r>
    </w:p>
    <w:p>
      <w:pPr>
        <w:spacing w:after="120" w:line="276"/>
        <w:jc w:val="both"/>
      </w:pPr>
      <w:r>
        <w:rPr>
          <w:rFonts w:ascii="Barlow Semi Condensed" w:cs="Barlow Semi Condensed" w:eastAsia="Barlow Semi Condensed" w:hAnsi="Barlow Semi Condensed"/>
          <w:b/>
          <w:bCs/>
          <w:sz w:val="24"/>
          <w:szCs w:val="24"/>
        </w:rPr>
        <w:t xml:space="preserve">447 · Il petrolio non fu mai obbligo.</w:t>
      </w:r>
      <w:r>
        <w:rPr>
          <w:rFonts w:ascii="Barlow Semi Condensed" w:cs="Barlow Semi Condensed" w:eastAsia="Barlow Semi Condensed" w:hAnsi="Barlow Semi Condensed"/>
          <w:sz w:val="24"/>
          <w:szCs w:val="24"/>
        </w:rPr>
        <w:t xml:space="preserve"> Nessuna misura vincolante del Consiglio di Sicurezza colpì le forniture petrolifere; l'Assemblea Generale istituì invece un gruppo intergovernativo di monitoraggio, le cui relazioni elencano navi e date. Scambiare una raccomandazione assembleare per un obbligo di capitolo VII è l'errore giuridico più diffuso in questo campo, e cambia la qualificazione di ogni presunta violazione che vi si fondi.</w:t>
      </w:r>
    </w:p>
    <w:p>
      <w:pPr>
        <w:spacing w:after="120" w:line="276"/>
        <w:jc w:val="both"/>
      </w:pPr>
      <w:r>
        <w:rPr>
          <w:rFonts w:ascii="Barlow Semi Condensed" w:cs="Barlow Semi Condensed" w:eastAsia="Barlow Semi Condensed" w:hAnsi="Barlow Semi Condensed"/>
          <w:b/>
          <w:bCs/>
          <w:sz w:val="24"/>
          <w:szCs w:val="24"/>
        </w:rPr>
        <w:t xml:space="preserve">448 · Il bureau di Amsterdam.</w:t>
      </w:r>
      <w:r>
        <w:rPr>
          <w:rFonts w:ascii="Barlow Semi Condensed" w:cs="Barlow Semi Condensed" w:eastAsia="Barlow Semi Condensed" w:hAnsi="Barlow Semi Condensed"/>
          <w:sz w:val="24"/>
          <w:szCs w:val="24"/>
        </w:rPr>
        <w:t xml:space="preserve"> Fra il 1980 e il 1995 lo Shipping Research Bureau documentò nave per nave le consegne di greggio al Sud Africa, chiudendo con un volume a stampa nel 1995. Il suo archivio di lavoro è all'International Institute of Social History di Amsterdam ed è catalogato. È il deposito documentale più ricco esistente sull'aggiramento di un embargo, ed è a poche ore di treno da qui.</w:t>
      </w:r>
    </w:p>
    <w:p>
      <w:pPr>
        <w:spacing w:after="120" w:line="276"/>
        <w:jc w:val="both"/>
      </w:pPr>
      <w:r>
        <w:rPr>
          <w:rFonts w:ascii="Barlow Semi Condensed" w:cs="Barlow Semi Condensed" w:eastAsia="Barlow Semi Condensed" w:hAnsi="Barlow Semi Condensed"/>
          <w:b/>
          <w:bCs/>
          <w:sz w:val="24"/>
          <w:szCs w:val="24"/>
        </w:rPr>
        <w:t xml:space="preserve">449 · Una petroliera, un affondamento, una sentenza.</w:t>
      </w:r>
      <w:r>
        <w:rPr>
          <w:rFonts w:ascii="Barlow Semi Condensed" w:cs="Barlow Semi Condensed" w:eastAsia="Barlow Semi Condensed" w:hAnsi="Barlow Semi Condensed"/>
          <w:sz w:val="24"/>
          <w:szCs w:val="24"/>
        </w:rPr>
        <w:t xml:space="preserve"> Nel 1980 una petroliera scaricò il carico a Durban e fu poi affondata al largo dell'Africa occidentale; il contenzioso assicurativo che ne seguì risalì fino alla massima istanza inglese. Le sentenze sono raccolte a stampa e contengono accertamenti di fatto sulla consegna. Ecco che aspetto ha un aggiramento documentato: non un elenco di sospetti, un dispositivo con motivazione.</w:t>
      </w:r>
    </w:p>
    <w:p>
      <w:pPr>
        <w:spacing w:after="120" w:line="276"/>
        <w:jc w:val="both"/>
      </w:pPr>
      <w:r>
        <w:rPr>
          <w:rFonts w:ascii="Barlow Semi Condensed" w:cs="Barlow Semi Condensed" w:eastAsia="Barlow Semi Condensed" w:hAnsi="Barlow Semi Condensed"/>
          <w:b/>
          <w:bCs/>
          <w:sz w:val="24"/>
          <w:szCs w:val="24"/>
        </w:rPr>
        <w:t xml:space="preserve">450 · L'artiglieria e il Vermont.</w:t>
      </w:r>
      <w:r>
        <w:rPr>
          <w:rFonts w:ascii="Barlow Semi Condensed" w:cs="Barlow Semi Condensed" w:eastAsia="Barlow Semi Condensed" w:hAnsi="Barlow Semi Condensed"/>
          <w:sz w:val="24"/>
          <w:szCs w:val="24"/>
        </w:rPr>
        <w:t xml:space="preserve"> Gerald Bull, progettista di sistemi d'artiglieria, si dichiarò colpevole nel 1980 davanti alla corte distrettuale federale del Vermont per esportazione illecita verso il Sud Africa di tecnologia balistica, e scontò una pena detentiva. È la violazione dell'embargo da parte di un'impresa privata meglio stabilita in sede giudiziaria, e il fascicolo è un fascicolo di corte, non una ricostruzione giornalistica.</w:t>
      </w:r>
    </w:p>
    <w:p>
      <w:pPr>
        <w:spacing w:after="120" w:line="276"/>
        <w:jc w:val="both"/>
      </w:pPr>
      <w:r>
        <w:rPr>
          <w:rFonts w:ascii="Barlow Semi Condensed" w:cs="Barlow Semi Condensed" w:eastAsia="Barlow Semi Condensed" w:hAnsi="Barlow Semi Condensed"/>
          <w:b/>
          <w:bCs/>
          <w:sz w:val="24"/>
          <w:szCs w:val="24"/>
        </w:rPr>
        <w:t xml:space="preserve">451 · Che cosa quel caso non prova.</w:t>
      </w:r>
      <w:r>
        <w:rPr>
          <w:rFonts w:ascii="Barlow Semi Condensed" w:cs="Barlow Semi Condensed" w:eastAsia="Barlow Semi Condensed" w:hAnsi="Barlow Semi Condensed"/>
          <w:sz w:val="24"/>
          <w:szCs w:val="24"/>
        </w:rPr>
        <w:t xml:space="preserve"> Stabilisce la condotta delle persone e della società perseguite, sui capi ai quali si dichiararono colpevoli. Non stabilisce un sistema, non coinvolge i fornitori di componenti, non si estende a chi in seguito impiegò la stessa tecnologia in altri Paesi. L'aggiramento accertato riguarda chi ne fu giudicato e si ferma lì: è il vincolo che il committente ha posto a questa serie.</w:t>
      </w:r>
    </w:p>
    <w:p>
      <w:pPr>
        <w:spacing w:after="120" w:line="276"/>
        <w:jc w:val="both"/>
      </w:pPr>
      <w:r>
        <w:rPr>
          <w:rFonts w:ascii="Barlow Semi Condensed" w:cs="Barlow Semi Condensed" w:eastAsia="Barlow Semi Condensed" w:hAnsi="Barlow Semi Condensed"/>
          <w:b/>
          <w:bCs/>
          <w:sz w:val="24"/>
          <w:szCs w:val="24"/>
        </w:rPr>
        <w:t xml:space="preserve">452 · L'incriminazione della corporazione degli armamenti.</w:t>
      </w:r>
      <w:r>
        <w:rPr>
          <w:rFonts w:ascii="Barlow Semi Condensed" w:cs="Barlow Semi Condensed" w:eastAsia="Barlow Semi Condensed" w:hAnsi="Barlow Semi Condensed"/>
          <w:sz w:val="24"/>
          <w:szCs w:val="24"/>
        </w:rPr>
        <w:t xml:space="preserve"> Nel 1991 un gran giurì federale del distretto orientale della Pennsylvania emise un atto d'accusa contro la corporazione statale sudafricana degli armamenti e alcune persone fisiche, per associazione finalizzata a procurarsi tecnologia militare americana. Bersaglio: acquisire il ruolo e l'esito. Un'incriminazione è un'accusa, e l'esito è un documento distinto che va cercato separatamente e citato accanto.</w:t>
      </w:r>
    </w:p>
    <w:p>
      <w:pPr>
        <w:spacing w:after="120" w:line="276"/>
        <w:jc w:val="both"/>
      </w:pPr>
      <w:r>
        <w:rPr>
          <w:rFonts w:ascii="Barlow Semi Condensed" w:cs="Barlow Semi Condensed" w:eastAsia="Barlow Semi Condensed" w:hAnsi="Barlow Semi Condensed"/>
          <w:b/>
          <w:bCs/>
          <w:sz w:val="24"/>
          <w:szCs w:val="24"/>
        </w:rPr>
        <w:t xml:space="preserve">453 · Accusa ed esito vanno sempre insieme.</w:t>
      </w:r>
      <w:r>
        <w:rPr>
          <w:rFonts w:ascii="Barlow Semi Condensed" w:cs="Barlow Semi Condensed" w:eastAsia="Barlow Semi Condensed" w:hAnsi="Barlow Semi Condensed"/>
          <w:sz w:val="24"/>
          <w:szCs w:val="24"/>
        </w:rPr>
        <w:t xml:space="preserve"> Un rinvio a giudizio non è una sentenza; una declaratoria di difetto di giurisdizione non è un'assoluzione nel merito; un'assoluzione chiude la questione per quest'opera. Ogni voce giudiziaria di questa serie porta il proprio esito accanto al proprio capo d'imputazione, e dove l'esito non è noto lo si scrive. Nessuna eccezione, nemmeno quando l'esito indebolisce il racconto.</w:t>
      </w:r>
    </w:p>
    <w:p>
      <w:pPr>
        <w:spacing w:after="120" w:line="276"/>
        <w:jc w:val="both"/>
      </w:pPr>
      <w:r>
        <w:rPr>
          <w:rFonts w:ascii="Barlow Semi Condensed" w:cs="Barlow Semi Condensed" w:eastAsia="Barlow Semi Condensed" w:hAnsi="Barlow Semi Condensed"/>
          <w:b/>
          <w:bCs/>
          <w:sz w:val="24"/>
          <w:szCs w:val="24"/>
        </w:rPr>
        <w:t xml:space="preserve">454 · Gli imputati britannici fuggiti prima del processo.</w:t>
      </w:r>
      <w:r>
        <w:rPr>
          <w:rFonts w:ascii="Barlow Semi Condensed" w:cs="Barlow Semi Condensed" w:eastAsia="Barlow Semi Condensed" w:hAnsi="Barlow Semi Condensed"/>
          <w:sz w:val="24"/>
          <w:szCs w:val="24"/>
        </w:rPr>
        <w:t xml:space="preserve"> A metà degli anni Ottanta alcuni dirigenti britannici furono perseguiti per esportazione di materiale sotto embargo verso il Sud Africa e lasciarono il Paese prima del dibattimento, provocando un incidente diplomatico. I resoconti in rete divergono su nomi, capi d'accusa e date. Non si ripetono: si acquisiscono prima il fascicolo di corte e le dichiarazioni ministeriali nei resoconti di Hansard.</w:t>
      </w:r>
    </w:p>
    <w:p>
      <w:pPr>
        <w:spacing w:after="120" w:line="276"/>
        <w:jc w:val="both"/>
      </w:pPr>
      <w:r>
        <w:rPr>
          <w:rFonts w:ascii="Barlow Semi Condensed" w:cs="Barlow Semi Condensed" w:eastAsia="Barlow Semi Condensed" w:hAnsi="Barlow Semi Condensed"/>
          <w:b/>
          <w:bCs/>
          <w:sz w:val="24"/>
          <w:szCs w:val="24"/>
        </w:rPr>
        <w:t xml:space="preserve">455 · Le Seychelles, novembre 1981.</w:t>
      </w:r>
      <w:r>
        <w:rPr>
          <w:rFonts w:ascii="Barlow Semi Condensed" w:cs="Barlow Semi Condensed" w:eastAsia="Barlow Semi Condensed" w:hAnsi="Barlow Semi Condensed"/>
          <w:sz w:val="24"/>
          <w:szCs w:val="24"/>
        </w:rPr>
        <w:t xml:space="preserve"> Dopo lo sbarco fallito di mercenari il Consiglio di Sicurezza istituì una commissione d'inchiesta e in Sud Africa seguirono processi con condanne. È uno dei pochi episodi del periodo dotato insieme di un rapporto d'inchiesta delle Nazioni Unite e di pronunce penali. Le sedi sono i documenti del Consiglio e le raccolte di giurisprudenza sudafricane, entrambe citabili con precisione.</w:t>
      </w:r>
    </w:p>
    <w:p>
      <w:pPr>
        <w:spacing w:after="120" w:line="276"/>
        <w:jc w:val="both"/>
      </w:pPr>
      <w:r>
        <w:rPr>
          <w:rFonts w:ascii="Barlow Semi Condensed" w:cs="Barlow Semi Condensed" w:eastAsia="Barlow Semi Condensed" w:hAnsi="Barlow Semi Condensed"/>
          <w:b/>
          <w:bCs/>
          <w:sz w:val="24"/>
          <w:szCs w:val="24"/>
        </w:rPr>
        <w:t xml:space="preserve">456 · Le commissioni d'inchiesta sudafricane.</w:t>
      </w:r>
      <w:r>
        <w:rPr>
          <w:rFonts w:ascii="Barlow Semi Condensed" w:cs="Barlow Semi Condensed" w:eastAsia="Barlow Semi Condensed" w:hAnsi="Barlow Semi Condensed"/>
          <w:sz w:val="24"/>
          <w:szCs w:val="24"/>
        </w:rPr>
        <w:t xml:space="preserve"> Le operazioni segrete di propaganda finanziate con fondi pubblici furono esaminate da una commissione d'inchiesta i cui rapporti furono depositati in Parlamento fra il 1978 e il 1979; un alto funzionario fu condannato e successivamente assolto in appello. Entrambe le metà si riportano. La seconda viene quasi sempre omessa, e l'omissione rende falso il resoconto per intero.</w:t>
      </w:r>
    </w:p>
    <w:p>
      <w:pPr>
        <w:spacing w:after="120" w:line="276"/>
        <w:jc w:val="both"/>
      </w:pPr>
      <w:r>
        <w:rPr>
          <w:rFonts w:ascii="Barlow Semi Condensed" w:cs="Barlow Semi Condensed" w:eastAsia="Barlow Semi Condensed" w:hAnsi="Barlow Semi Condensed"/>
          <w:b/>
          <w:bCs/>
          <w:sz w:val="24"/>
          <w:szCs w:val="24"/>
        </w:rPr>
        <w:t xml:space="preserve">457 · La causa civile americana.</w:t>
      </w:r>
      <w:r>
        <w:rPr>
          <w:rFonts w:ascii="Barlow Semi Condensed" w:cs="Barlow Semi Condensed" w:eastAsia="Barlow Semi Condensed" w:hAnsi="Barlow Semi Condensed"/>
          <w:sz w:val="24"/>
          <w:szCs w:val="24"/>
        </w:rPr>
        <w:t xml:space="preserve"> Le domande risarcitorie contro imprese, fondate sullo statuto sugli illeciti internazionali, furono riunite davanti alla corte del distretto meridionale di New York e, dopo che nel 2013 la Corte Suprema restrinse la portata extraterritoriale di quello statuto, respinte in appello. Nessuna responsabilità d'impresa fu accertata. Il rigetto è un fatto processuale e non può essere citato né come colpa né come innocenza.</w:t>
      </w:r>
    </w:p>
    <w:p>
      <w:pPr>
        <w:spacing w:after="120" w:line="276"/>
        <w:jc w:val="both"/>
      </w:pPr>
      <w:r>
        <w:rPr>
          <w:rFonts w:ascii="Barlow Semi Condensed" w:cs="Barlow Semi Condensed" w:eastAsia="Barlow Semi Condensed" w:hAnsi="Barlow Semi Condensed"/>
          <w:b/>
          <w:bCs/>
          <w:sz w:val="24"/>
          <w:szCs w:val="24"/>
        </w:rPr>
        <w:t xml:space="preserve">458 · Le audizioni sulle imprese del 1997.</w:t>
      </w:r>
      <w:r>
        <w:rPr>
          <w:rFonts w:ascii="Barlow Semi Condensed" w:cs="Barlow Semi Condensed" w:eastAsia="Barlow Semi Condensed" w:hAnsi="Barlow Semi Condensed"/>
          <w:sz w:val="24"/>
          <w:szCs w:val="24"/>
        </w:rPr>
        <w:t xml:space="preserve"> La Truth and Reconciliation Commission tenne a Johannesburg, nel novembre 1997, audizioni istituzionali dedicate al mondo economico, e ne trasse conclusioni nel proprio rapporto. Sono conclusioni di una commissione, non di un tribunale, e il rapporto stesso lo dichiara. Lo strato primario sono le memorie depositate e le trascrizioni, che portano data e nome del deponente.</w:t>
      </w:r>
    </w:p>
    <w:p>
      <w:pPr>
        <w:spacing w:after="120" w:line="276"/>
        <w:jc w:val="both"/>
      </w:pPr>
      <w:r>
        <w:rPr>
          <w:rFonts w:ascii="Barlow Semi Condensed" w:cs="Barlow Semi Condensed" w:eastAsia="Barlow Semi Condensed" w:hAnsi="Barlow Semi Condensed"/>
          <w:b/>
          <w:bCs/>
          <w:sz w:val="24"/>
          <w:szCs w:val="24"/>
        </w:rPr>
        <w:t xml:space="preserve">459 · Chi custodisce le carte della Commissione.</w:t>
      </w:r>
      <w:r>
        <w:rPr>
          <w:rFonts w:ascii="Barlow Semi Condensed" w:cs="Barlow Semi Condensed" w:eastAsia="Barlow Semi Condensed" w:hAnsi="Barlow Semi Condensed"/>
          <w:sz w:val="24"/>
          <w:szCs w:val="24"/>
        </w:rPr>
        <w:t xml:space="preserve"> Gli atti della Commissione passarono ai National Archives of South Africa a Pretoria, e l'accesso a parti di essi è stato oggetto di contenzioso promosso dal South African History Archive presso l'Università del Witwatersrand in forza della legge sull'accesso all'informazione. Conservazione e contenzioso vanno conosciuti entrambi prima di promettere a chicchessia un documento di quel fondo.</w:t>
      </w:r>
    </w:p>
    <w:p>
      <w:pPr>
        <w:spacing w:after="120" w:line="276"/>
        <w:jc w:val="both"/>
      </w:pPr>
      <w:r>
        <w:rPr>
          <w:rFonts w:ascii="Barlow Semi Condensed" w:cs="Barlow Semi Condensed" w:eastAsia="Barlow Semi Condensed" w:hAnsi="Barlow Semi Condensed"/>
          <w:b/>
          <w:bCs/>
          <w:sz w:val="24"/>
          <w:szCs w:val="24"/>
        </w:rPr>
        <w:t xml:space="preserve">460 · Le sedi sudafricane in ordine di costo.</w:t>
      </w:r>
      <w:r>
        <w:rPr>
          <w:rFonts w:ascii="Barlow Semi Condensed" w:cs="Barlow Semi Condensed" w:eastAsia="Barlow Semi Condensed" w:hAnsi="Barlow Semi Condensed"/>
          <w:sz w:val="24"/>
          <w:szCs w:val="24"/>
        </w:rPr>
        <w:t xml:space="preserve"> National Archives of South Africa a Pretoria per gli atti statali; il centro di documentazione del Dipartimento della Difesa per le carte militari e di leva; Historical Papers alla Witwatersrand per gli archivi dei movimenti; i Mayibuye Archives all'Università del Western Cape per il fondo internazionale di difesa e assistenza. Nessuna di queste sedi è interrogabile da un motore di ricerca.</w:t>
      </w:r>
    </w:p>
    <w:p>
      <w:pPr>
        <w:spacing w:after="120" w:line="276"/>
        <w:jc w:val="both"/>
      </w:pPr>
      <w:r>
        <w:rPr>
          <w:rFonts w:ascii="Barlow Semi Condensed" w:cs="Barlow Semi Condensed" w:eastAsia="Barlow Semi Condensed" w:hAnsi="Barlow Semi Condensed"/>
          <w:b/>
          <w:bCs/>
          <w:sz w:val="24"/>
          <w:szCs w:val="24"/>
        </w:rPr>
        <w:t xml:space="preserve">461 · Il registro delle imprese, fonte primaria trascurata.</w:t>
      </w:r>
      <w:r>
        <w:rPr>
          <w:rFonts w:ascii="Barlow Semi Condensed" w:cs="Barlow Semi Condensed" w:eastAsia="Barlow Semi Condensed" w:hAnsi="Barlow Semi Condensed"/>
          <w:sz w:val="24"/>
          <w:szCs w:val="24"/>
        </w:rPr>
        <w:t xml:space="preserve"> In Sud Africa i fatti societari si accertano alla Companies and Intellectual Property Commission di Pretoria, succeduta al registro delle società; in Namibia presso BIPA a Windhoek; nel Regno Unito a Companies House. I depositi sono la sola fonte primaria a basso costo di tutto questo campo, e sono sistematicamente ignorati sia da chi accusa sia da chi difende.</w:t>
      </w:r>
    </w:p>
    <w:p>
      <w:pPr>
        <w:spacing w:after="120" w:line="276"/>
        <w:jc w:val="both"/>
      </w:pPr>
      <w:r>
        <w:rPr>
          <w:rFonts w:ascii="Barlow Semi Condensed" w:cs="Barlow Semi Condensed" w:eastAsia="Barlow Semi Condensed" w:hAnsi="Barlow Semi Condensed"/>
          <w:b/>
          <w:bCs/>
          <w:sz w:val="24"/>
          <w:szCs w:val="24"/>
        </w:rPr>
        <w:t xml:space="preserve">462 · La leva obbligatoria come dato normativo.</w:t>
      </w:r>
      <w:r>
        <w:rPr>
          <w:rFonts w:ascii="Barlow Semi Condensed" w:cs="Barlow Semi Condensed" w:eastAsia="Barlow Semi Condensed" w:hAnsi="Barlow Semi Condensed"/>
          <w:sz w:val="24"/>
          <w:szCs w:val="24"/>
        </w:rPr>
        <w:t xml:space="preserve"> Il servizio militare obbligatorio per i maschi bianchi era legge, e il suo prolungamento negli anni Ottanta suscitò un movimento organizzato di renitenza. Chi lasciò il Paese in quegli anni lasciava anche un obbligo giuridico, quali che fossero le sue ragioni. Le carte sono al centro di documentazione della Difesa a Pretoria e, per il movimento, alla Witwatersrand.</w:t>
      </w:r>
    </w:p>
    <w:p>
      <w:pPr>
        <w:spacing w:after="120" w:line="276"/>
        <w:jc w:val="both"/>
      </w:pPr>
      <w:r>
        <w:rPr>
          <w:rFonts w:ascii="Barlow Semi Condensed" w:cs="Barlow Semi Condensed" w:eastAsia="Barlow Semi Condensed" w:hAnsi="Barlow Semi Condensed"/>
          <w:b/>
          <w:bCs/>
          <w:sz w:val="24"/>
          <w:szCs w:val="24"/>
        </w:rPr>
        <w:t xml:space="preserve">463 · Le dichiarazioni pubbliche sui motivi di partenza.</w:t>
      </w:r>
      <w:r>
        <w:rPr>
          <w:rFonts w:ascii="Barlow Semi Condensed" w:cs="Barlow Semi Condensed" w:eastAsia="Barlow Semi Condensed" w:hAnsi="Barlow Semi Condensed"/>
          <w:sz w:val="24"/>
          <w:szCs w:val="24"/>
        </w:rPr>
        <w:t xml:space="preserve"> Dove una persona vivente ha dichiarato pubblicamente perché emigrò, quest'opera registra la dichiarazione, la sua data e la sede in cui fu resa, e nulla oltre. Un movente dichiarato è un dato su un'affermazione, non su una mente. Non viene confermato né contraddetto dall'obbligo di legge allora vigente, che è fatto separato e va enunciato separatamente.</w:t>
      </w:r>
    </w:p>
    <w:p>
      <w:pPr>
        <w:spacing w:after="120" w:line="276"/>
        <w:jc w:val="both"/>
      </w:pPr>
      <w:r>
        <w:rPr>
          <w:rFonts w:ascii="Barlow Semi Condensed" w:cs="Barlow Semi Condensed" w:eastAsia="Barlow Semi Condensed" w:hAnsi="Barlow Semi Condensed"/>
          <w:b/>
          <w:bCs/>
          <w:sz w:val="24"/>
          <w:szCs w:val="24"/>
        </w:rPr>
        <w:t xml:space="preserve">464 · Il registro dei titoli minerari zambiani.</w:t>
      </w:r>
      <w:r>
        <w:rPr>
          <w:rFonts w:ascii="Barlow Semi Condensed" w:cs="Barlow Semi Condensed" w:eastAsia="Barlow Semi Condensed" w:hAnsi="Barlow Semi Condensed"/>
          <w:sz w:val="24"/>
          <w:szCs w:val="24"/>
        </w:rPr>
        <w:t xml:space="preserve"> La controversia si chiude in una sola sede: il catasto minerario del ministero competente a Lusaka e i registri corrispondenti delle amministrazioni coloniale e post-coloniale. Il padre rivendica un'attività informale, il figlio ha negato pubblicamente l'esistenza di una miniera, il biografo descrive un acquisto di pietre grezze: divergenza da riportare, non da sciogliere. Se nessun titolo risulta intestato, il negativo chiude la proprietà e lascia aperto il commercio.</w:t>
      </w:r>
    </w:p>
    <w:p>
      <w:pPr>
        <w:spacing w:after="120" w:line="276"/>
        <w:jc w:val="both"/>
      </w:pPr>
      <w:r>
        <w:rPr>
          <w:rFonts w:ascii="Barlow Semi Condensed" w:cs="Barlow Semi Condensed" w:eastAsia="Barlow Semi Condensed" w:hAnsi="Barlow Semi Condensed"/>
          <w:b/>
          <w:bCs/>
          <w:sz w:val="24"/>
          <w:szCs w:val="24"/>
        </w:rPr>
        <w:t xml:space="preserve">465 · Una frontiera fra due regimi opposti.</w:t>
      </w:r>
      <w:r>
        <w:rPr>
          <w:rFonts w:ascii="Barlow Semi Condensed" w:cs="Barlow Semi Condensed" w:eastAsia="Barlow Semi Condensed" w:hAnsi="Barlow Semi Condensed"/>
          <w:sz w:val="24"/>
          <w:szCs w:val="24"/>
        </w:rPr>
        <w:t xml:space="preserve"> Lo Zambia era Stato di prima linea e proclamava un proprio boicottaggio verso Pretoria. Qualunque traffico di pietre attraverso quella frontiera in quegli anni è dunque una domanda che riguarda due regimi insieme, non uno solo. È una buona domanda ed è aperta; non è un'accusa, e allo stato nessun documento vi nomina una parte.</w:t>
      </w:r>
    </w:p>
    <w:p>
      <w:pPr>
        <w:spacing w:after="120" w:line="276"/>
        <w:jc w:val="both"/>
      </w:pPr>
      <w:r>
        <w:rPr>
          <w:rFonts w:ascii="Barlow Semi Condensed" w:cs="Barlow Semi Condensed" w:eastAsia="Barlow Semi Condensed" w:hAnsi="Barlow Semi Condensed"/>
          <w:b/>
          <w:bCs/>
          <w:sz w:val="24"/>
          <w:szCs w:val="24"/>
        </w:rPr>
        <w:t xml:space="preserve">466 · Il memorandum del 1969.</w:t>
      </w:r>
      <w:r>
        <w:rPr>
          <w:rFonts w:ascii="Barlow Semi Condensed" w:cs="Barlow Semi Condensed" w:eastAsia="Barlow Semi Condensed" w:hAnsi="Barlow Semi Condensed"/>
          <w:sz w:val="24"/>
          <w:szCs w:val="24"/>
        </w:rPr>
        <w:t xml:space="preserve"> Lo studio americano sulla politica verso l'Africa australe del 1969 e il memorandum decisionale che ne seguì sono pubblicati nella serie documentaria diplomatica. L'opera in mille blocchi su Kissinger non tratta l'Africa australe in alcun punto: verifica meccanica eseguita, zero occorrenze. La lacuna si misura prima di essere interpretata, secondo la regola che quell'opera si è data al blocco 642.</w:t>
      </w:r>
    </w:p>
    <w:p>
      <w:pPr>
        <w:spacing w:after="120" w:line="276"/>
        <w:jc w:val="both"/>
      </w:pPr>
      <w:r>
        <w:rPr>
          <w:rFonts w:ascii="Barlow Semi Condensed" w:cs="Barlow Semi Condensed" w:eastAsia="Barlow Semi Condensed" w:hAnsi="Barlow Semi Condensed"/>
          <w:b/>
          <w:bCs/>
          <w:sz w:val="24"/>
          <w:szCs w:val="24"/>
        </w:rPr>
        <w:t xml:space="preserve">467 · Perché quel buco non è una scoperta.</w:t>
      </w:r>
      <w:r>
        <w:rPr>
          <w:rFonts w:ascii="Barlow Semi Condensed" w:cs="Barlow Semi Condensed" w:eastAsia="Barlow Semi Condensed" w:hAnsi="Barlow Semi Condensed"/>
          <w:sz w:val="24"/>
          <w:szCs w:val="24"/>
        </w:rPr>
        <w:t xml:space="preserve"> Applicando la procedura a due tempi, l'assenza dell'Africa australe dalle opere anteriori si diagnostica anzitutto come specializzazione delle fonti: quelle opere furono costruite su carte italiane e atlantiche relative a un solo caso giudiziario. Solo dopo la diagnosi si è autorizzati a interrogare il silenzio sulla struttura del mondo. Saltare il primo tempo trasforma una lacuna bibliografica in una rivelazione.</w:t>
      </w:r>
    </w:p>
    <w:p>
      <w:pPr>
        <w:spacing w:after="120" w:line="276"/>
        <w:jc w:val="both"/>
      </w:pPr>
      <w:r>
        <w:rPr>
          <w:rFonts w:ascii="Barlow Semi Condensed" w:cs="Barlow Semi Condensed" w:eastAsia="Barlow Semi Condensed" w:hAnsi="Barlow Semi Condensed"/>
          <w:b/>
          <w:bCs/>
          <w:sz w:val="24"/>
          <w:szCs w:val="24"/>
        </w:rPr>
        <w:t xml:space="preserve">468 · Bersaglio di smentita sul versante sanzionatorio.</w:t>
      </w:r>
      <w:r>
        <w:rPr>
          <w:rFonts w:ascii="Barlow Semi Condensed" w:cs="Barlow Semi Condensed" w:eastAsia="Barlow Semi Condensed" w:hAnsi="Barlow Semi Condensed"/>
          <w:sz w:val="24"/>
          <w:szCs w:val="24"/>
        </w:rPr>
        <w:t xml:space="preserve"> Che cosa falsificherebbe qui la tesi di continuità: un documento di provenienza che mostri una persona nominata in quest'opera agire, in quegli anni, contro l'aggiramento dell'embargo; oppure, in senso opposto, un atto che la nomini come parte di un aggiramento accertato. L'uno o l'altro sarebbero decisivi, e allo stato nessuno dei due risulta acquisito ad alcun fascicolo.</w:t>
      </w:r>
    </w:p>
    <w:p>
      <w:pPr>
        <w:spacing w:after="120" w:line="276"/>
        <w:jc w:val="both"/>
      </w:pPr>
      <w:r>
        <w:rPr>
          <w:rFonts w:ascii="Barlow Semi Condensed" w:cs="Barlow Semi Condensed" w:eastAsia="Barlow Semi Condensed" w:hAnsi="Barlow Semi Condensed"/>
          <w:b/>
          <w:bCs/>
          <w:sz w:val="24"/>
          <w:szCs w:val="24"/>
        </w:rPr>
        <w:t xml:space="preserve">469 · Bersaglio di smentita sul versante del metodo.</w:t>
      </w:r>
      <w:r>
        <w:rPr>
          <w:rFonts w:ascii="Barlow Semi Condensed" w:cs="Barlow Semi Condensed" w:eastAsia="Barlow Semi Condensed" w:hAnsi="Barlow Semi Condensed"/>
          <w:sz w:val="24"/>
          <w:szCs w:val="24"/>
        </w:rPr>
        <w:t xml:space="preserve"> Questa serie cade se una sola delle sue voci giudiziarie risulta avere un esito diverso da quello qui registrato, oppure se una misura descritta come vincolante si rivela una raccomandazione. Entrambe le verifiche si compiono su testi pubblicati, da parte di qualunque lettore, nello spazio di un pomeriggio: ed è esattamente per questo che sono scritte così.</w:t>
      </w:r>
    </w:p>
    <w:p>
      <w:pPr>
        <w:spacing w:after="120" w:line="276"/>
        <w:jc w:val="both"/>
      </w:pPr>
      <w:r>
        <w:rPr>
          <w:rFonts w:ascii="Barlow Semi Condensed" w:cs="Barlow Semi Condensed" w:eastAsia="Barlow Semi Condensed" w:hAnsi="Barlow Semi Condensed"/>
          <w:b/>
          <w:bCs/>
          <w:sz w:val="24"/>
          <w:szCs w:val="24"/>
        </w:rPr>
        <w:t xml:space="preserve">470 · Il perimetro chiuso della serie.</w:t>
      </w:r>
      <w:r>
        <w:rPr>
          <w:rFonts w:ascii="Barlow Semi Condensed" w:cs="Barlow Semi Condensed" w:eastAsia="Barlow Semi Condensed" w:hAnsi="Barlow Semi Condensed"/>
          <w:sz w:val="24"/>
          <w:szCs w:val="24"/>
        </w:rPr>
        <w:t xml:space="preserve"> L'aggiramento accertato vincola gli enti e le persone che ne furono giudicati, e si ferma lì. Nessun blocco estende un giudicato a un connazionale, a un datore di lavoro, a una scuola o a una famiglia; nessuna delle persone viventi nominate in quest'opera risulta condannata in relazione a questi fatti. L'embargo è un fatto sugli Stati; la colpa è un fatto sulle sentenze.</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Serie settima — Le rotte: emigrazioni, visti, cittadinanze</w:t>
      </w:r>
    </w:p>
    <w:p>
      <w:pPr>
        <w:spacing w:after="120" w:line="276"/>
        <w:jc w:val="both"/>
      </w:pPr>
      <w:r>
        <w:rPr>
          <w:rFonts w:ascii="Barlow Semi Condensed" w:cs="Barlow Semi Condensed" w:eastAsia="Barlow Semi Condensed" w:hAnsi="Barlow Semi Condensed"/>
          <w:i/>
          <w:iCs/>
          <w:sz w:val="24"/>
          <w:szCs w:val="24"/>
        </w:rPr>
        <w:t xml:space="preserve">Blocchi 471-540.</w:t>
      </w:r>
    </w:p>
    <w:p>
      <w:pPr>
        <w:spacing w:after="120" w:line="276"/>
        <w:jc w:val="both"/>
      </w:pPr>
      <w:r>
        <w:rPr>
          <w:rFonts w:ascii="Barlow Semi Condensed" w:cs="Barlow Semi Condensed" w:eastAsia="Barlow Semi Condensed" w:hAnsi="Barlow Semi Condensed"/>
          <w:b/>
          <w:bCs/>
          <w:sz w:val="24"/>
          <w:szCs w:val="24"/>
        </w:rPr>
        <w:t xml:space="preserve">471 · Che cosa misura questa serie.</w:t>
      </w:r>
      <w:r>
        <w:rPr>
          <w:rFonts w:ascii="Barlow Semi Condensed" w:cs="Barlow Semi Condensed" w:eastAsia="Barlow Semi Condensed" w:hAnsi="Barlow Semi Condensed"/>
          <w:sz w:val="24"/>
          <w:szCs w:val="24"/>
        </w:rPr>
        <w:t xml:space="preserve"> La settima serie non racconta viaggi: misura atti amministrativi. Per ogni spostamento rilevante si chiede quale ufficio abbia prodotto quale carta, in quale data, sotto quale norma. Ciò che un intervistato ricorda resta dichiarazione pubblica e si registra come tale; ciò che un registro attesta è documento. I due piani non si sommano, e la serie li tiene su righe separate dal primo blocco all'ultimo.</w:t>
      </w:r>
    </w:p>
    <w:p>
      <w:pPr>
        <w:spacing w:after="120" w:line="276"/>
        <w:jc w:val="both"/>
      </w:pPr>
      <w:r>
        <w:rPr>
          <w:rFonts w:ascii="Barlow Semi Condensed" w:cs="Barlow Semi Condensed" w:eastAsia="Barlow Semi Condensed" w:hAnsi="Barlow Semi Condensed"/>
          <w:b/>
          <w:bCs/>
          <w:sz w:val="24"/>
          <w:szCs w:val="24"/>
        </w:rPr>
        <w:t xml:space="preserve">472 · Documento contro racconto, regola operativa.</w:t>
      </w:r>
      <w:r>
        <w:rPr>
          <w:rFonts w:ascii="Barlow Semi Condensed" w:cs="Barlow Semi Condensed" w:eastAsia="Barlow Semi Condensed" w:hAnsi="Barlow Semi Condensed"/>
          <w:sz w:val="24"/>
          <w:szCs w:val="24"/>
        </w:rPr>
        <w:t xml:space="preserve"> Una rotta migratoria lascia due tracce di natura diversa. La prima è il ricordo: interviste, memorie, biografie autorizzate, dichiarazioni rese in pubblico. La seconda è la pratica: modulo, protocollo, timbro, numero di fascicolo. La prima è abbondante e circola; la seconda è scarsa e sta in un ufficio. Quando le due divergono, questa serie riporta entrambe e non sceglie, applicando al materiale migratorio la disciplina dei gradi che il manuale investigativo fissa al blocco 4.</w:t>
      </w:r>
    </w:p>
    <w:p>
      <w:pPr>
        <w:spacing w:after="120" w:line="276"/>
        <w:jc w:val="both"/>
      </w:pPr>
      <w:r>
        <w:rPr>
          <w:rFonts w:ascii="Barlow Semi Condensed" w:cs="Barlow Semi Condensed" w:eastAsia="Barlow Semi Condensed" w:hAnsi="Barlow Semi Condensed"/>
          <w:b/>
          <w:bCs/>
          <w:sz w:val="24"/>
          <w:szCs w:val="24"/>
        </w:rPr>
        <w:t xml:space="preserve">473 · Nominare la sede, sempre.</w:t>
      </w:r>
      <w:r>
        <w:rPr>
          <w:rFonts w:ascii="Barlow Semi Condensed" w:cs="Barlow Semi Condensed" w:eastAsia="Barlow Semi Condensed" w:hAnsi="Barlow Semi Condensed"/>
          <w:sz w:val="24"/>
          <w:szCs w:val="24"/>
        </w:rPr>
        <w:t xml:space="preserve"> Nessun quesito di questa serie è ammesso se non indica l'ufficio che potrebbe chiuderlo. Non basta scrivere che una data è incerta: occorre dire che a scioglierla sarebbe il registro delle immatricolazioni di un ateneo determinato, o il fascicolo di un'agenzia federale, o il libro dei permessi di un'amministrazione coloniale. Un quesito senza indirizzo non è un bersaglio: è un'insinuazione con punto interrogativo, e va respinto.</w:t>
      </w:r>
    </w:p>
    <w:p>
      <w:pPr>
        <w:spacing w:after="120" w:line="276"/>
        <w:jc w:val="both"/>
      </w:pPr>
      <w:r>
        <w:rPr>
          <w:rFonts w:ascii="Barlow Semi Condensed" w:cs="Barlow Semi Condensed" w:eastAsia="Barlow Semi Condensed" w:hAnsi="Barlow Semi Condensed"/>
          <w:b/>
          <w:bCs/>
          <w:sz w:val="24"/>
          <w:szCs w:val="24"/>
        </w:rPr>
        <w:t xml:space="preserve">474 · Il muro del Privacy Act.</w:t>
      </w:r>
      <w:r>
        <w:rPr>
          <w:rFonts w:ascii="Barlow Semi Condensed" w:cs="Barlow Semi Condensed" w:eastAsia="Barlow Semi Condensed" w:hAnsi="Barlow Semi Condensed"/>
          <w:sz w:val="24"/>
          <w:szCs w:val="24"/>
        </w:rPr>
        <w:t xml:space="preserve"> Va detto subito, perché ridisegna l'intera serie. Negli Stati Uniti il fascicolo d'immigrazione di una persona vivente non si ottiene per accesso agli atti da parte di un terzo: la legge sulla riservatezza lo protegge, e la richiesta va accompagnata dal consenso scritto dell'interessato sul modulo G-639. Chiunque prometta di aver letto il fascicolo di un vivente senza quel consenso sta descrivendo un documento che non poteva avere.</w:t>
      </w:r>
    </w:p>
    <w:p>
      <w:pPr>
        <w:spacing w:after="120" w:line="276"/>
        <w:jc w:val="both"/>
      </w:pPr>
      <w:r>
        <w:rPr>
          <w:rFonts w:ascii="Barlow Semi Condensed" w:cs="Barlow Semi Condensed" w:eastAsia="Barlow Semi Condensed" w:hAnsi="Barlow Semi Condensed"/>
          <w:b/>
          <w:bCs/>
          <w:sz w:val="24"/>
          <w:szCs w:val="24"/>
        </w:rPr>
        <w:t xml:space="preserve">475 · Che cosa l'accesso concede davvero.</w:t>
      </w:r>
      <w:r>
        <w:rPr>
          <w:rFonts w:ascii="Barlow Semi Condensed" w:cs="Barlow Semi Condensed" w:eastAsia="Barlow Semi Condensed" w:hAnsi="Barlow Semi Condensed"/>
          <w:sz w:val="24"/>
          <w:szCs w:val="24"/>
        </w:rPr>
        <w:t xml:space="preserve"> Ciò che resta accessibile è però considerevole e va usato. Il programma genealogico dell'USCIS rilascia indici e copie per persone decedute o nate oltre un secolo fa; le pratiche di registrazione degli stranieri e i fascicoli di naturalizzazione più antichi sono consultabili. Per i nonni e i bisnonni delle persone nominate in quest'opera la strada esiste; per i figli viventi no. La serie lavora dove la porta è aperta.</w:t>
      </w:r>
    </w:p>
    <w:p>
      <w:pPr>
        <w:spacing w:after="120" w:line="276"/>
        <w:jc w:val="both"/>
      </w:pPr>
      <w:r>
        <w:rPr>
          <w:rFonts w:ascii="Barlow Semi Condensed" w:cs="Barlow Semi Condensed" w:eastAsia="Barlow Semi Condensed" w:hAnsi="Barlow Semi Condensed"/>
          <w:b/>
          <w:bCs/>
          <w:sz w:val="24"/>
          <w:szCs w:val="24"/>
        </w:rPr>
        <w:t xml:space="preserve">476 · I fascicoli A a Kansas City.</w:t>
      </w:r>
      <w:r>
        <w:rPr>
          <w:rFonts w:ascii="Barlow Semi Condensed" w:cs="Barlow Semi Condensed" w:eastAsia="Barlow Semi Condensed" w:hAnsi="Barlow Semi Condensed"/>
          <w:sz w:val="24"/>
          <w:szCs w:val="24"/>
        </w:rPr>
        <w:t xml:space="preserve"> Gli Alien Files, i fascicoli individuali che l'amministrazione statunitense apre su ogni straniero registrato, non restano per sempre all'agenzia: passano ai National Archives, e la sede che li conserva è quella di Kansas City. Il criterio di trasferimento è anagrafico e non discrezionale. Per Joshua Norman Haldeman, nato nel 1902, il termine è ampiamente maturato: se un fascicolo esiste, è materia d'archivio pubblico e non di segreto.</w:t>
      </w:r>
    </w:p>
    <w:p>
      <w:pPr>
        <w:spacing w:after="120" w:line="276"/>
        <w:jc w:val="both"/>
      </w:pPr>
      <w:r>
        <w:rPr>
          <w:rFonts w:ascii="Barlow Semi Condensed" w:cs="Barlow Semi Condensed" w:eastAsia="Barlow Semi Condensed" w:hAnsi="Barlow Semi Condensed"/>
          <w:b/>
          <w:bCs/>
          <w:sz w:val="24"/>
          <w:szCs w:val="24"/>
        </w:rPr>
        <w:t xml:space="preserve">477 · Il fondo RG 85.</w:t>
      </w:r>
      <w:r>
        <w:rPr>
          <w:rFonts w:ascii="Barlow Semi Condensed" w:cs="Barlow Semi Condensed" w:eastAsia="Barlow Semi Condensed" w:hAnsi="Barlow Semi Condensed"/>
          <w:sz w:val="24"/>
          <w:szCs w:val="24"/>
        </w:rPr>
        <w:t xml:space="preserve"> Il Record Group 85 dei National Archives statunitensi raccoglie le carte del servizio immigrazione e naturalizzazione: liste di sbarco, registri di frontiera terrestre con il Canada, indici di naturalizzazione, corrispondenza d'ufficio. È il giacimento in cui si verifica una rotta nordamericana anteriore al 1950 senza chiedere nulla a nessuno. Chi indaga movimenti familiari di quella generazione e non lo apre sta scegliendo di restare alle interviste.</w:t>
      </w:r>
    </w:p>
    <w:p>
      <w:pPr>
        <w:spacing w:after="120" w:line="276"/>
        <w:jc w:val="both"/>
      </w:pPr>
      <w:r>
        <w:rPr>
          <w:rFonts w:ascii="Barlow Semi Condensed" w:cs="Barlow Semi Condensed" w:eastAsia="Barlow Semi Condensed" w:hAnsi="Barlow Semi Condensed"/>
          <w:b/>
          <w:bCs/>
          <w:sz w:val="24"/>
          <w:szCs w:val="24"/>
        </w:rPr>
        <w:t xml:space="preserve">478 · La statistica che nessuno protegge.</w:t>
      </w:r>
      <w:r>
        <w:rPr>
          <w:rFonts w:ascii="Barlow Semi Condensed" w:cs="Barlow Semi Condensed" w:eastAsia="Barlow Semi Condensed" w:hAnsi="Barlow Semi Condensed"/>
          <w:sz w:val="24"/>
          <w:szCs w:val="24"/>
        </w:rPr>
        <w:t xml:space="preserve"> Esiste un modo pubblico di misurare una rotta senza toccare un solo fascicolo personale: le serie aggregate. Il Report of the Visa Office del Dipartimento di Stato pubblica per anno e per nazionalità i visti rilasciati, categoria per categoria. Di lì si ricava quanti sudafricani ottennero uno status studentesco o di lavoro qualificato in ciascun anno degli anni Ottanta e Novanta. Il singolo resta riservato; la coorte no.</w:t>
      </w:r>
    </w:p>
    <w:p>
      <w:pPr>
        <w:spacing w:after="120" w:line="276"/>
        <w:jc w:val="both"/>
      </w:pPr>
      <w:r>
        <w:rPr>
          <w:rFonts w:ascii="Barlow Semi Condensed" w:cs="Barlow Semi Condensed" w:eastAsia="Barlow Semi Condensed" w:hAnsi="Barlow Semi Condensed"/>
          <w:b/>
          <w:bCs/>
          <w:sz w:val="24"/>
          <w:szCs w:val="24"/>
        </w:rPr>
        <w:t xml:space="preserve">479 · La riservatezza dei fascicoli consolari.</w:t>
      </w:r>
      <w:r>
        <w:rPr>
          <w:rFonts w:ascii="Barlow Semi Condensed" w:cs="Barlow Semi Condensed" w:eastAsia="Barlow Semi Condensed" w:hAnsi="Barlow Semi Condensed"/>
          <w:sz w:val="24"/>
          <w:szCs w:val="24"/>
        </w:rPr>
        <w:t xml:space="preserve"> Sul versante consolare il vincolo è ancora più stretto. La norma statunitense in materia di immigrazione e cittadinanza dichiara riservati i documenti relativi al rilascio o al diniego dei visti e li sottrae all'accesso ordinario. Ne discende una conseguenza pratica per questa serie: di un visto studentesco rilasciato a Johannesburg negli anni Novanta non esiste copia ottenibile da terzi. Si può accertare la regola applicabile, non l'atto.</w:t>
      </w:r>
    </w:p>
    <w:p>
      <w:pPr>
        <w:spacing w:after="120" w:line="276"/>
        <w:jc w:val="both"/>
      </w:pPr>
      <w:r>
        <w:rPr>
          <w:rFonts w:ascii="Barlow Semi Condensed" w:cs="Barlow Semi Condensed" w:eastAsia="Barlow Semi Condensed" w:hAnsi="Barlow Semi Condensed"/>
          <w:b/>
          <w:bCs/>
          <w:sz w:val="24"/>
          <w:szCs w:val="24"/>
        </w:rPr>
        <w:t xml:space="preserve">480 · Naturalizzazioni senza registro pubblico.</w:t>
      </w:r>
      <w:r>
        <w:rPr>
          <w:rFonts w:ascii="Barlow Semi Condensed" w:cs="Barlow Semi Condensed" w:eastAsia="Barlow Semi Condensed" w:hAnsi="Barlow Semi Condensed"/>
          <w:sz w:val="24"/>
          <w:szCs w:val="24"/>
        </w:rPr>
        <w:t xml:space="preserve"> Un equivoco diffuso va corretto. Fino al 1991 la naturalizzazione statunitense era un provvedimento giudiziario e lasciava traccia nei registri di un tribunale consultabile; dopo la riforma è divenuta amministrativa, e il provvedimento resta in un fascicolo d'agenzia. Per chiunque sia divenuto cittadino statunitense dopo quella data non esiste alcun registro pubblico da sfogliare: la data circola perché l'interessato l'ha detta, non perché sia stata verificata.</w:t>
      </w:r>
    </w:p>
    <w:p>
      <w:pPr>
        <w:spacing w:after="120" w:line="276"/>
        <w:jc w:val="both"/>
      </w:pPr>
      <w:r>
        <w:rPr>
          <w:rFonts w:ascii="Barlow Semi Condensed" w:cs="Barlow Semi Condensed" w:eastAsia="Barlow Semi Condensed" w:hAnsi="Barlow Semi Condensed"/>
          <w:b/>
          <w:bCs/>
          <w:sz w:val="24"/>
          <w:szCs w:val="24"/>
        </w:rPr>
        <w:t xml:space="preserve">481 · Pretoria 1971, il punto di partenza.</w:t>
      </w:r>
      <w:r>
        <w:rPr>
          <w:rFonts w:ascii="Barlow Semi Condensed" w:cs="Barlow Semi Condensed" w:eastAsia="Barlow Semi Condensed" w:hAnsi="Barlow Semi Condensed"/>
          <w:sz w:val="24"/>
          <w:szCs w:val="24"/>
        </w:rPr>
        <w:t xml:space="preserve"> Elon Reeve Musk è nato a Pretoria il 28 giugno 1971 ed era cittadino sudafricano alla nascita. È fatto pubblico, non congettura. Da questo dato discende la geometria dell'intera serie: chi nasce in Sud Africa negli anni Settanta acquisisce alla nascita una cittadinanza che negli anni Ottanta apre poche frontiere, ed è la scarsità di quel documento a rendere preziosa ogni cittadinanza seconda disponibile per via familiare.</w:t>
      </w:r>
    </w:p>
    <w:p>
      <w:pPr>
        <w:spacing w:after="120" w:line="276"/>
        <w:jc w:val="both"/>
      </w:pPr>
      <w:r>
        <w:rPr>
          <w:rFonts w:ascii="Barlow Semi Condensed" w:cs="Barlow Semi Condensed" w:eastAsia="Barlow Semi Condensed" w:hAnsi="Barlow Semi Condensed"/>
          <w:b/>
          <w:bCs/>
          <w:sz w:val="24"/>
          <w:szCs w:val="24"/>
        </w:rPr>
        <w:t xml:space="preserve">482 · Regina, Saskatchewan, e la radice canadese.</w:t>
      </w:r>
      <w:r>
        <w:rPr>
          <w:rFonts w:ascii="Barlow Semi Condensed" w:cs="Barlow Semi Condensed" w:eastAsia="Barlow Semi Condensed" w:hAnsi="Barlow Semi Condensed"/>
          <w:sz w:val="24"/>
          <w:szCs w:val="24"/>
        </w:rPr>
        <w:t xml:space="preserve"> La madre, Maye Musk nata Haldeman, è nata in Canada nel 1948, a Regina nel Saskatchewan, e da questo fatto dipende tutto il passaggio nordamericano del figlio. La famiglia si trasferì in Sud Africa nel 1950, quando la bambina aveva due anni. Una nascita canadese conservata per quarant'anni all'estero è, in termini amministrativi, un'opzione dormiente: la serie chiede quando e con quale atto sia stata risvegliata.</w:t>
      </w:r>
    </w:p>
    <w:p>
      <w:pPr>
        <w:spacing w:after="120" w:line="276"/>
        <w:jc w:val="both"/>
      </w:pPr>
      <w:r>
        <w:rPr>
          <w:rFonts w:ascii="Barlow Semi Condensed" w:cs="Barlow Semi Condensed" w:eastAsia="Barlow Semi Condensed" w:hAnsi="Barlow Semi Condensed"/>
          <w:b/>
          <w:bCs/>
          <w:sz w:val="24"/>
          <w:szCs w:val="24"/>
        </w:rPr>
        <w:t xml:space="preserve">483 · La rotta inversa del 1950.</w:t>
      </w:r>
      <w:r>
        <w:rPr>
          <w:rFonts w:ascii="Barlow Semi Condensed" w:cs="Barlow Semi Condensed" w:eastAsia="Barlow Semi Condensed" w:hAnsi="Barlow Semi Condensed"/>
          <w:sz w:val="24"/>
          <w:szCs w:val="24"/>
        </w:rPr>
        <w:t xml:space="preserve"> Prima della rotta verso nord ci fu quella verso sud, e va documentata con la stessa severità. Joshua Norman Haldeman portò la famiglia dal Canada al Sud Africa nel 1950, negli anni in cui Pretoria selezionava attivamente l'immigrazione bianca. La sede che lo attesta è il National Archives of South Africa, dove si conservano le carte dell'organo di selezione degli immigrati e i permessi d'ingresso del Dipartimento dell'Interno.</w:t>
      </w:r>
    </w:p>
    <w:p>
      <w:pPr>
        <w:spacing w:after="120" w:line="276"/>
        <w:jc w:val="both"/>
      </w:pPr>
      <w:r>
        <w:rPr>
          <w:rFonts w:ascii="Barlow Semi Condensed" w:cs="Barlow Semi Condensed" w:eastAsia="Barlow Semi Condensed" w:hAnsi="Barlow Semi Condensed"/>
          <w:b/>
          <w:bCs/>
          <w:sz w:val="24"/>
          <w:szCs w:val="24"/>
        </w:rPr>
        <w:t xml:space="preserve">484 · Dove nacque Haldeman, esattamente.</w:t>
      </w:r>
      <w:r>
        <w:rPr>
          <w:rFonts w:ascii="Barlow Semi Condensed" w:cs="Barlow Semi Condensed" w:eastAsia="Barlow Semi Condensed" w:hAnsi="Barlow Semi Condensed"/>
          <w:sz w:val="24"/>
          <w:szCs w:val="24"/>
        </w:rPr>
        <w:t xml:space="preserve"> Un dettaglio anagrafico apparentemente minimo ha conseguenze giuridiche pesanti e va accertato prima di costruirvi sopra. Se il nonno materno fosse nato negli Stati Uniti e non in Canada, la catena delle cittadinanze familiari cambierebbe forma. Il documento che chiude la questione è l'atto di nascita presso l'ufficio statale competente, affiancato dai censimenti canadesi conservati a Library and Archives Canada. Fino a quel riscontro la serie non ne ricava nulla.</w:t>
      </w:r>
    </w:p>
    <w:p>
      <w:pPr>
        <w:spacing w:after="120" w:line="276"/>
        <w:jc w:val="both"/>
      </w:pPr>
      <w:r>
        <w:rPr>
          <w:rFonts w:ascii="Barlow Semi Condensed" w:cs="Barlow Semi Condensed" w:eastAsia="Barlow Semi Condensed" w:hAnsi="Barlow Semi Condensed"/>
          <w:b/>
          <w:bCs/>
          <w:sz w:val="24"/>
          <w:szCs w:val="24"/>
        </w:rPr>
        <w:t xml:space="preserve">485 · L'aeroplano e i suoi registri.</w:t>
      </w:r>
      <w:r>
        <w:rPr>
          <w:rFonts w:ascii="Barlow Semi Condensed" w:cs="Barlow Semi Condensed" w:eastAsia="Barlow Semi Condensed" w:hAnsi="Barlow Semi Condensed"/>
          <w:sz w:val="24"/>
          <w:szCs w:val="24"/>
        </w:rPr>
        <w:t xml:space="preserve"> Il trasferimento del 1950 fu compiuto in parte con un velivolo privato, e i velivoli lasciano più carte delle persone. Il registro aeronautico civile sudafricano, con le immatricolazioni della serie ZS, e i libretti di volo depositati presso l'autorità dell'aviazione civile permettono di datare rotte, scali e proprietà. È un caso raro in cui la macchina risulta meglio documentata del suo proprietario, e va sfruttato senza esitazione.</w:t>
      </w:r>
    </w:p>
    <w:p>
      <w:pPr>
        <w:spacing w:after="120" w:line="276"/>
        <w:jc w:val="both"/>
      </w:pPr>
      <w:r>
        <w:rPr>
          <w:rFonts w:ascii="Barlow Semi Condensed" w:cs="Barlow Semi Condensed" w:eastAsia="Barlow Semi Condensed" w:hAnsi="Barlow Semi Condensed"/>
          <w:b/>
          <w:bCs/>
          <w:sz w:val="24"/>
          <w:szCs w:val="24"/>
        </w:rPr>
        <w:t xml:space="preserve">486 · Giugno 1989, la partenza dichiarata.</w:t>
      </w:r>
      <w:r>
        <w:rPr>
          <w:rFonts w:ascii="Barlow Semi Condensed" w:cs="Barlow Semi Condensed" w:eastAsia="Barlow Semi Condensed" w:hAnsi="Barlow Semi Condensed"/>
          <w:sz w:val="24"/>
          <w:szCs w:val="24"/>
        </w:rPr>
        <w:t xml:space="preserve"> La partenza dal Sud Africa verso il Canada è collocata nel 1989, e la fonte, allo stato, è il racconto reso in interviste e ripreso dalle biografie con apparato. Un racconto non è un timbro. L'atto che la fissa è il registro d'ingresso canadese, insieme al documento di viaggio esibito alla frontiera; le carte relative stanno presso l'ente federale competente in materia di immigrazione e non sono state rese pubbliche.</w:t>
      </w:r>
    </w:p>
    <w:p>
      <w:pPr>
        <w:spacing w:after="120" w:line="276"/>
        <w:jc w:val="both"/>
      </w:pPr>
      <w:r>
        <w:rPr>
          <w:rFonts w:ascii="Barlow Semi Condensed" w:cs="Barlow Semi Condensed" w:eastAsia="Barlow Semi Condensed" w:hAnsi="Barlow Semi Condensed"/>
          <w:b/>
          <w:bCs/>
          <w:sz w:val="24"/>
          <w:szCs w:val="24"/>
        </w:rPr>
        <w:t xml:space="preserve">487 · La discendenza canadese non è automatica.</w:t>
      </w:r>
      <w:r>
        <w:rPr>
          <w:rFonts w:ascii="Barlow Semi Condensed" w:cs="Barlow Semi Condensed" w:eastAsia="Barlow Semi Condensed" w:hAnsi="Barlow Semi Condensed"/>
          <w:sz w:val="24"/>
          <w:szCs w:val="24"/>
        </w:rPr>
        <w:t xml:space="preserve"> La formula corrente, secondo cui egli aveva la cittadinanza canadese per parte di madre, è amministrativamente imprecisa per chi sia nato all'estero prima del 1977. La legge canadese sulla cittadinanza allora vigente non attribuiva in modo automatico lo status ai figli nati fuori dal Paese da madre canadese: occorreva una domanda e una concessione. La distinzione fra riconoscimento e concessione non è formale, perché genera fascicoli diversi con date diverse.</w:t>
      </w:r>
    </w:p>
    <w:p>
      <w:pPr>
        <w:spacing w:after="120" w:line="276"/>
        <w:jc w:val="both"/>
      </w:pPr>
      <w:r>
        <w:rPr>
          <w:rFonts w:ascii="Barlow Semi Condensed" w:cs="Barlow Semi Condensed" w:eastAsia="Barlow Semi Condensed" w:hAnsi="Barlow Semi Condensed"/>
          <w:b/>
          <w:bCs/>
          <w:sz w:val="24"/>
          <w:szCs w:val="24"/>
        </w:rPr>
        <w:t xml:space="preserve">488 · Chi può chiedere il fascicolo canadese.</w:t>
      </w:r>
      <w:r>
        <w:rPr>
          <w:rFonts w:ascii="Barlow Semi Condensed" w:cs="Barlow Semi Condensed" w:eastAsia="Barlow Semi Condensed" w:hAnsi="Barlow Semi Condensed"/>
          <w:sz w:val="24"/>
          <w:szCs w:val="24"/>
        </w:rPr>
        <w:t xml:space="preserve"> In Canada l'accesso ai fascicoli d'immigrazione e cittadinanza segue due leggi distinte, quella sull'accesso all'informazione e quella sulla protezione dei dati personali, ed è l'ente federale competente a detenerli. Per una persona vivente la domanda di un terzo non passa senza consenso; per una persona defunta il termine è più breve che negli Stati Uniti. La differenza fra i due ordinamenti va conosciuta e sfruttata.</w:t>
      </w:r>
    </w:p>
    <w:p>
      <w:pPr>
        <w:spacing w:after="120" w:line="276"/>
        <w:jc w:val="both"/>
      </w:pPr>
      <w:r>
        <w:rPr>
          <w:rFonts w:ascii="Barlow Semi Condensed" w:cs="Barlow Semi Condensed" w:eastAsia="Barlow Semi Condensed" w:hAnsi="Barlow Semi Condensed"/>
          <w:b/>
          <w:bCs/>
          <w:sz w:val="24"/>
          <w:szCs w:val="24"/>
        </w:rPr>
        <w:t xml:space="preserve">489 · Il fondo RG 76 a Ottawa.</w:t>
      </w:r>
      <w:r>
        <w:rPr>
          <w:rFonts w:ascii="Barlow Semi Condensed" w:cs="Barlow Semi Condensed" w:eastAsia="Barlow Semi Condensed" w:hAnsi="Barlow Semi Condensed"/>
          <w:sz w:val="24"/>
          <w:szCs w:val="24"/>
        </w:rPr>
        <w:t xml:space="preserve"> Library and Archives Canada custodisce sotto la segnatura RG 76 le carte del ramo immigrazione: manifesti di sbarco, registri di frontiera, corrispondenza di politica migratoria, pratiche di selezione. È lì che si verifica la partenza del 1950 dal lato canadese, ed è lì che si misura il contesto normativo del 1989. Il fondo è aperto: chiunque riprenda questa serie può eseguirne l'interrogazione senza autorizzazioni speciali.</w:t>
      </w:r>
    </w:p>
    <w:p>
      <w:pPr>
        <w:spacing w:after="120" w:line="276"/>
        <w:jc w:val="both"/>
      </w:pPr>
      <w:r>
        <w:rPr>
          <w:rFonts w:ascii="Barlow Semi Condensed" w:cs="Barlow Semi Condensed" w:eastAsia="Barlow Semi Condensed" w:hAnsi="Barlow Semi Condensed"/>
          <w:b/>
          <w:bCs/>
          <w:sz w:val="24"/>
          <w:szCs w:val="24"/>
        </w:rPr>
        <w:t xml:space="preserve">490 · I registri della Queen's University.</w:t>
      </w:r>
      <w:r>
        <w:rPr>
          <w:rFonts w:ascii="Barlow Semi Condensed" w:cs="Barlow Semi Condensed" w:eastAsia="Barlow Semi Condensed" w:hAnsi="Barlow Semi Condensed"/>
          <w:sz w:val="24"/>
          <w:szCs w:val="24"/>
        </w:rPr>
        <w:t xml:space="preserve"> Il passaggio universitario canadese è collocato alla Queen's University di Kingston, in Ontario, fra il 1990 e il 1992. L'ufficio del registrar dell'ateneo conserva immatricolazioni, corsi seguiti e trasferimenti, e rilascia conferme dietro consenso dell'interessato oppure in forma aggregata. Una data d'immatricolazione certificata dall'università è documento; la stessa data riferita in un'intervista è dichiarazione. La serie chiede la prima e registra la seconda.</w:t>
      </w:r>
    </w:p>
    <w:p>
      <w:pPr>
        <w:spacing w:after="120" w:line="276"/>
        <w:jc w:val="both"/>
      </w:pPr>
      <w:r>
        <w:rPr>
          <w:rFonts w:ascii="Barlow Semi Condensed" w:cs="Barlow Semi Condensed" w:eastAsia="Barlow Semi Condensed" w:hAnsi="Barlow Semi Condensed"/>
          <w:b/>
          <w:bCs/>
          <w:sz w:val="24"/>
          <w:szCs w:val="24"/>
        </w:rPr>
        <w:t xml:space="preserve">491 · I lavori del primo anno canadese.</w:t>
      </w:r>
      <w:r>
        <w:rPr>
          <w:rFonts w:ascii="Barlow Semi Condensed" w:cs="Barlow Semi Condensed" w:eastAsia="Barlow Semi Condensed" w:hAnsi="Barlow Semi Condensed"/>
          <w:sz w:val="24"/>
          <w:szCs w:val="24"/>
        </w:rPr>
        <w:t xml:space="preserve"> I lavori manuali del primo periodo canadese, la fattoria nel Saskatchewan e la segheria, appartengono al racconto autobiografico e sono ripresi dalle biografie. Non sono privi di verificabilità: un rapporto di lavoro produce ritenute fiscali, e l'amministrazione fiscale canadese conserva le posizioni contributive. L'accesso è però riservato al contribuente. Si registrano dunque come riferiti, con l'indicazione della sede che, col consenso, li trasformerebbe in accertamento.</w:t>
      </w:r>
    </w:p>
    <w:p>
      <w:pPr>
        <w:spacing w:after="120" w:line="276"/>
        <w:jc w:val="both"/>
      </w:pPr>
      <w:r>
        <w:rPr>
          <w:rFonts w:ascii="Barlow Semi Condensed" w:cs="Barlow Semi Condensed" w:eastAsia="Barlow Semi Condensed" w:hAnsi="Barlow Semi Condensed"/>
          <w:b/>
          <w:bCs/>
          <w:sz w:val="24"/>
          <w:szCs w:val="24"/>
        </w:rPr>
        <w:t xml:space="preserve">492 · Il fratello, la stessa domanda.</w:t>
      </w:r>
      <w:r>
        <w:rPr>
          <w:rFonts w:ascii="Barlow Semi Condensed" w:cs="Barlow Semi Condensed" w:eastAsia="Barlow Semi Condensed" w:hAnsi="Barlow Semi Condensed"/>
          <w:sz w:val="24"/>
          <w:szCs w:val="24"/>
        </w:rPr>
        <w:t xml:space="preserve"> Kimbal Musk, nato a Pretoria nel 1972, seguì una rotta parallela verso il Canada e poi verso gli Stati Uniti. Per lui valgono, identiche, le domande poste per il fratello: quale titolo canadese, richiesto quando e con quale fascicolo; quale status all'ingresso negli Stati Uniti; quale eventuale naturalizzazione. Trattare due rotte distinte come una sola perché i soggetti sono parenti è l'errore che questa serie esiste per impedire.</w:t>
      </w:r>
    </w:p>
    <w:p>
      <w:pPr>
        <w:spacing w:after="120" w:line="276"/>
        <w:jc w:val="both"/>
      </w:pPr>
      <w:r>
        <w:rPr>
          <w:rFonts w:ascii="Barlow Semi Condensed" w:cs="Barlow Semi Condensed" w:eastAsia="Barlow Semi Condensed" w:hAnsi="Barlow Semi Condensed"/>
          <w:b/>
          <w:bCs/>
          <w:sz w:val="24"/>
          <w:szCs w:val="24"/>
        </w:rPr>
        <w:t xml:space="preserve">493 · La naturalizzazione della madre.</w:t>
      </w:r>
      <w:r>
        <w:rPr>
          <w:rFonts w:ascii="Barlow Semi Condensed" w:cs="Barlow Semi Condensed" w:eastAsia="Barlow Semi Condensed" w:hAnsi="Barlow Semi Condensed"/>
          <w:sz w:val="24"/>
          <w:szCs w:val="24"/>
        </w:rPr>
        <w:t xml:space="preserve"> Maye Musk ha vissuto in Sud Africa, in Canada e negli Stati Uniti, e ha reso pubblici questi trasferimenti in memorie e interviste. Le date esatte dei mutamenti di status, quando abbia ripreso l'esercizio della cittadinanza canadese, quando abbia acquisito la residenza permanente statunitense, se e quando si sia naturalizzata, non risultano da alcun atto pubblico. È uno Stato Zero ordinario, che solo il consenso dell'interessata potrebbe chiudere.</w:t>
      </w:r>
    </w:p>
    <w:p>
      <w:pPr>
        <w:spacing w:after="120" w:line="276"/>
        <w:jc w:val="both"/>
      </w:pPr>
      <w:r>
        <w:rPr>
          <w:rFonts w:ascii="Barlow Semi Condensed" w:cs="Barlow Semi Condensed" w:eastAsia="Barlow Semi Condensed" w:hAnsi="Barlow Semi Condensed"/>
          <w:b/>
          <w:bCs/>
          <w:sz w:val="24"/>
          <w:szCs w:val="24"/>
        </w:rPr>
        <w:t xml:space="preserve">494 · Frontiera 1992: nessun visto, uno status.</w:t>
      </w:r>
      <w:r>
        <w:rPr>
          <w:rFonts w:ascii="Barlow Semi Condensed" w:cs="Barlow Semi Condensed" w:eastAsia="Barlow Semi Condensed" w:hAnsi="Barlow Semi Condensed"/>
          <w:sz w:val="24"/>
          <w:szCs w:val="24"/>
        </w:rPr>
        <w:t xml:space="preserve"> Un punto tecnico che gran parte della pubblicistica sbaglia. Il cittadino canadese che entra negli Stati Uniti per studiare non riceve un visto apposto sul passaporto: è esente da quell'obbligo e viene ammesso nello status studentesco esibendo il certificato di ammissione rilasciato dall'ateneo. Non esiste dunque, per il trasferimento del 1992, alcun fascicolo consolare da cercare. Esistono il certificato dell'università e la scheda d'ingresso di frontiera.</w:t>
      </w:r>
    </w:p>
    <w:p>
      <w:pPr>
        <w:spacing w:after="120" w:line="276"/>
        <w:jc w:val="both"/>
      </w:pPr>
      <w:r>
        <w:rPr>
          <w:rFonts w:ascii="Barlow Semi Condensed" w:cs="Barlow Semi Condensed" w:eastAsia="Barlow Semi Condensed" w:hAnsi="Barlow Semi Condensed"/>
          <w:b/>
          <w:bCs/>
          <w:sz w:val="24"/>
          <w:szCs w:val="24"/>
        </w:rPr>
        <w:t xml:space="preserve">495 · Prima del sistema elettronico.</w:t>
      </w:r>
      <w:r>
        <w:rPr>
          <w:rFonts w:ascii="Barlow Semi Condensed" w:cs="Barlow Semi Condensed" w:eastAsia="Barlow Semi Condensed" w:hAnsi="Barlow Semi Condensed"/>
          <w:sz w:val="24"/>
          <w:szCs w:val="24"/>
        </w:rPr>
        <w:t xml:space="preserve"> Negli anni Novanta non esisteva ancora il sistema informativo che oggi registra in tempo reale la posizione di ogni studente straniero: il controllo era cartaceo e affidato al funzionario designato dall'ateneo. Ne segue che la prova della continuità dello status per quegli anni non sta in una banca dati interrogabile, ma nei raccoglitori dell'ufficio studenti internazionali dell'università, la cui politica di conservazione va accertata prima di ogni altra cosa.</w:t>
      </w:r>
    </w:p>
    <w:p>
      <w:pPr>
        <w:spacing w:after="120" w:line="276"/>
        <w:jc w:val="both"/>
      </w:pPr>
      <w:r>
        <w:rPr>
          <w:rFonts w:ascii="Barlow Semi Condensed" w:cs="Barlow Semi Condensed" w:eastAsia="Barlow Semi Condensed" w:hAnsi="Barlow Semi Condensed"/>
          <w:b/>
          <w:bCs/>
          <w:sz w:val="24"/>
          <w:szCs w:val="24"/>
        </w:rPr>
        <w:t xml:space="preserve">496 · Le date di laurea che divergono.</w:t>
      </w:r>
      <w:r>
        <w:rPr>
          <w:rFonts w:ascii="Barlow Semi Condensed" w:cs="Barlow Semi Condensed" w:eastAsia="Barlow Semi Condensed" w:hAnsi="Barlow Semi Condensed"/>
          <w:sz w:val="24"/>
          <w:szCs w:val="24"/>
        </w:rPr>
        <w:t xml:space="preserve"> Sulla conclusione degli studi alla University of Pennsylvania le fonti divergono, e la divergenza è documentabile invece che opinabile: il racconto pubblico colloca il conseguimento dei titoli nel 1995, i registri dell'ateneo li datano al 1997. Non si sceglie fra le due versioni: si riportano entrambe e si indica l'atto che decide, cioè la certificazione del registrar. La differenza di due anni cade esattamente sul periodo controverso.</w:t>
      </w:r>
    </w:p>
    <w:p>
      <w:pPr>
        <w:spacing w:after="120" w:line="276"/>
        <w:jc w:val="both"/>
      </w:pPr>
      <w:r>
        <w:rPr>
          <w:rFonts w:ascii="Barlow Semi Condensed" w:cs="Barlow Semi Condensed" w:eastAsia="Barlow Semi Condensed" w:hAnsi="Barlow Semi Condensed"/>
          <w:b/>
          <w:bCs/>
          <w:sz w:val="24"/>
          <w:szCs w:val="24"/>
        </w:rPr>
        <w:t xml:space="preserve">497 · Stanford 1995: iscritto, differito, o nulla.</w:t>
      </w:r>
      <w:r>
        <w:rPr>
          <w:rFonts w:ascii="Barlow Semi Condensed" w:cs="Barlow Semi Condensed" w:eastAsia="Barlow Semi Condensed" w:hAnsi="Barlow Semi Condensed"/>
          <w:sz w:val="24"/>
          <w:szCs w:val="24"/>
        </w:rPr>
        <w:t xml:space="preserve"> Il capitolo californiano del 1995 è raccontato come iscrizione a un dottorato abbandonata dopo pochi giorni. Le forme amministrative possibili sono tre e producono carte diverse: ammissione con differimento, immatricolazione seguita da ritiro, ammissione mai perfezionata. Solo le prime due generano una posizione studentesca rilevante ai fini dello status migratorio. L'ufficio del registrar dell'università è la sede che distingue i tre casi, e nessun'altra.</w:t>
      </w:r>
    </w:p>
    <w:p>
      <w:pPr>
        <w:spacing w:after="120" w:line="276"/>
        <w:jc w:val="both"/>
      </w:pPr>
      <w:r>
        <w:rPr>
          <w:rFonts w:ascii="Barlow Semi Condensed" w:cs="Barlow Semi Condensed" w:eastAsia="Barlow Semi Condensed" w:hAnsi="Barlow Semi Condensed"/>
          <w:b/>
          <w:bCs/>
          <w:sz w:val="24"/>
          <w:szCs w:val="24"/>
        </w:rPr>
        <w:t xml:space="preserve">498 · La controversia del 2024, senza aggettivi.</w:t>
      </w:r>
      <w:r>
        <w:rPr>
          <w:rFonts w:ascii="Barlow Semi Condensed" w:cs="Barlow Semi Condensed" w:eastAsia="Barlow Semi Condensed" w:hAnsi="Barlow Semi Condensed"/>
          <w:sz w:val="24"/>
          <w:szCs w:val="24"/>
        </w:rPr>
        <w:t xml:space="preserve"> Nell'ottobre 2024 un quotidiano statunitense ha pubblicato una ricostruzione sullo status migratorio di Elon Musk nella seconda metà degli anni Novanta; l'interessato l'ha respinta pubblicamente affermando di essere stato regolarmente autorizzato. La serie registra il fatto della controversia, che è pubblico, e non ne adotta alcuna versione. Il documento che la chiuderebbe è il fascicolo individuale dell'agenzia federale, inaccessibile a terzi senza il consenso dell'interessato.</w:t>
      </w:r>
    </w:p>
    <w:p>
      <w:pPr>
        <w:spacing w:after="120" w:line="276"/>
        <w:jc w:val="both"/>
      </w:pPr>
      <w:r>
        <w:rPr>
          <w:rFonts w:ascii="Barlow Semi Condensed" w:cs="Barlow Semi Condensed" w:eastAsia="Barlow Semi Condensed" w:hAnsi="Barlow Semi Condensed"/>
          <w:b/>
          <w:bCs/>
          <w:sz w:val="24"/>
          <w:szCs w:val="24"/>
        </w:rPr>
        <w:t xml:space="preserve">499 · Nessun procedimento, e va scritto.</w:t>
      </w:r>
      <w:r>
        <w:rPr>
          <w:rFonts w:ascii="Barlow Semi Condensed" w:cs="Barlow Semi Condensed" w:eastAsia="Barlow Semi Condensed" w:hAnsi="Barlow Semi Condensed"/>
          <w:sz w:val="24"/>
          <w:szCs w:val="24"/>
        </w:rPr>
        <w:t xml:space="preserve"> Occorre scriverlo in modo esplicito, perché ometterlo produce l'abuso peggiore: non risulta che alcuna autorità statunitense abbia mai aperto un procedimento in materia di immigrazione a carico dei soggetti nominati in questa serie, né che ne sia derivata alcuna decisione sfavorevole. È uno Stato Zero verificabile per assenza di atti pubblici, e vale quanto un accertamento positivo. Chi lo tace inverte l'onere della prova.</w:t>
      </w:r>
    </w:p>
    <w:p>
      <w:pPr>
        <w:spacing w:after="120" w:line="276"/>
        <w:jc w:val="both"/>
      </w:pPr>
      <w:r>
        <w:rPr>
          <w:rFonts w:ascii="Barlow Semi Condensed" w:cs="Barlow Semi Condensed" w:eastAsia="Barlow Semi Condensed" w:hAnsi="Barlow Semi Condensed"/>
          <w:b/>
          <w:bCs/>
          <w:sz w:val="24"/>
          <w:szCs w:val="24"/>
        </w:rPr>
        <w:t xml:space="preserve">500 · Lo status di scambio, se vero.</w:t>
      </w:r>
      <w:r>
        <w:rPr>
          <w:rFonts w:ascii="Barlow Semi Condensed" w:cs="Barlow Semi Condensed" w:eastAsia="Barlow Semi Condensed" w:hAnsi="Barlow Semi Condensed"/>
          <w:sz w:val="24"/>
          <w:szCs w:val="24"/>
        </w:rPr>
        <w:t xml:space="preserve"> Fra le versioni pubbliche circola quella di un passaggio da uno status di visitatore di scambio a uno status di lavoro specializzato. Ha un corollario verificabile: alcune categorie di scambio comportano l'obbligo di rientro biennale nel Paese d'origine, derogabile solo con una rinuncia formale rilasciata dal Dipartimento di Stato. L'esistenza o l'assenza di quella rinuncia è fatto d'archivio, e sarebbe il riscontro più economico dell'intera vicenda.</w:t>
      </w:r>
    </w:p>
    <w:p>
      <w:pPr>
        <w:spacing w:after="120" w:line="276"/>
        <w:jc w:val="both"/>
      </w:pPr>
      <w:r>
        <w:rPr>
          <w:rFonts w:ascii="Barlow Semi Condensed" w:cs="Barlow Semi Condensed" w:eastAsia="Barlow Semi Condensed" w:hAnsi="Barlow Semi Condensed"/>
          <w:b/>
          <w:bCs/>
          <w:sz w:val="24"/>
          <w:szCs w:val="24"/>
        </w:rPr>
        <w:t xml:space="preserve">501 · La petizione la firma il datore.</w:t>
      </w:r>
      <w:r>
        <w:rPr>
          <w:rFonts w:ascii="Barlow Semi Condensed" w:cs="Barlow Semi Condensed" w:eastAsia="Barlow Semi Condensed" w:hAnsi="Barlow Semi Condensed"/>
          <w:sz w:val="24"/>
          <w:szCs w:val="24"/>
        </w:rPr>
        <w:t xml:space="preserve"> Lo status di lavoro specializzato non si ottiene per iniziativa del lavoratore: lo chiede l'impresa, con una petizione depositata presso l'agenzia federale. Ne discende che la traccia documentale principale non sta presso la persona ma presso la società, Zip2 nel caso in esame, e che i suoi archivi societari, se conservati dopo le acquisizioni successive, sarebbero il giacimento naturale. Le acquisizioni disperdono le carte: è la difficoltà da mettere in conto.</w:t>
      </w:r>
    </w:p>
    <w:p>
      <w:pPr>
        <w:spacing w:after="120" w:line="276"/>
        <w:jc w:val="both"/>
      </w:pPr>
      <w:r>
        <w:rPr>
          <w:rFonts w:ascii="Barlow Semi Condensed" w:cs="Barlow Semi Condensed" w:eastAsia="Barlow Semi Condensed" w:hAnsi="Barlow Semi Condensed"/>
          <w:b/>
          <w:bCs/>
          <w:sz w:val="24"/>
          <w:szCs w:val="24"/>
        </w:rPr>
        <w:t xml:space="preserve">502 · Il fascicolo pubblico che non c'è più.</w:t>
      </w:r>
      <w:r>
        <w:rPr>
          <w:rFonts w:ascii="Barlow Semi Condensed" w:cs="Barlow Semi Condensed" w:eastAsia="Barlow Semi Condensed" w:hAnsi="Barlow Semi Condensed"/>
          <w:sz w:val="24"/>
          <w:szCs w:val="24"/>
        </w:rPr>
        <w:t xml:space="preserve"> Nell'ordinamento statunitense esiste un fascicolo che il datore di lavoro deve tenere aperto all'ispezione di chiunque per ogni lavoratore specializzato assunto dall'estero: vi figurano la dichiarazione sulle condizioni d'impiego e la retribuzione. È l'unico documento migratorio consultabile senza consenso dell'interessato. L'obbligo di conservazione è però breve, di poco superiore alla durata del rapporto: per gli anni Novanta è distrutto. Stato Zero per norma, non per reticenza.</w:t>
      </w:r>
    </w:p>
    <w:p>
      <w:pPr>
        <w:spacing w:after="120" w:line="276"/>
        <w:jc w:val="both"/>
      </w:pPr>
      <w:r>
        <w:rPr>
          <w:rFonts w:ascii="Barlow Semi Condensed" w:cs="Barlow Semi Condensed" w:eastAsia="Barlow Semi Condensed" w:hAnsi="Barlow Semi Condensed"/>
          <w:b/>
          <w:bCs/>
          <w:sz w:val="24"/>
          <w:szCs w:val="24"/>
        </w:rPr>
        <w:t xml:space="preserve">503 · I dati del Dipartimento del Lavoro.</w:t>
      </w:r>
      <w:r>
        <w:rPr>
          <w:rFonts w:ascii="Barlow Semi Condensed" w:cs="Barlow Semi Condensed" w:eastAsia="Barlow Semi Condensed" w:hAnsi="Barlow Semi Condensed"/>
          <w:sz w:val="24"/>
          <w:szCs w:val="24"/>
        </w:rPr>
        <w:t xml:space="preserve"> Sopravvive però l'aggregato. Il Dipartimento del Lavoro statunitense pubblica in forma di banca dati le dichiarazioni sulle condizioni d'impiego presentate dai datori per il lavoro straniero specializzato, con denominazione dell'impresa, mansione, sede e retribuzione. La copertura utile comincia verso la fine degli anni Novanta e non risale al 1995. Va interrogata comunque: individua le imprese della valle che ricorsero a quel canale, e da quando.</w:t>
      </w:r>
    </w:p>
    <w:p>
      <w:pPr>
        <w:spacing w:after="120" w:line="276"/>
        <w:jc w:val="both"/>
      </w:pPr>
      <w:r>
        <w:rPr>
          <w:rFonts w:ascii="Barlow Semi Condensed" w:cs="Barlow Semi Condensed" w:eastAsia="Barlow Semi Condensed" w:hAnsi="Barlow Semi Condensed"/>
          <w:b/>
          <w:bCs/>
          <w:sz w:val="24"/>
          <w:szCs w:val="24"/>
        </w:rPr>
        <w:t xml:space="preserve">504 · La legge che aprì la rotta.</w:t>
      </w:r>
      <w:r>
        <w:rPr>
          <w:rFonts w:ascii="Barlow Semi Condensed" w:cs="Barlow Semi Condensed" w:eastAsia="Barlow Semi Condensed" w:hAnsi="Barlow Semi Condensed"/>
          <w:sz w:val="24"/>
          <w:szCs w:val="24"/>
        </w:rPr>
        <w:t xml:space="preserve"> La cornice normativa che rese possibile l'intera coorte è pubblica e datata: la riforma statunitense dell'immigrazione del 1990 ridisegnò le categorie del lavoro qualificato, istituì il visto per capacità straordinarie e fissò il tetto annuo per il lavoro specializzato. Chi legge le rotte individuali senza questa cornice scambia per scelta personale ciò che era struttura d'accesso. Il testo di legge è consultabile per intero e non richiede alcuna istanza.</w:t>
      </w:r>
    </w:p>
    <w:p>
      <w:pPr>
        <w:spacing w:after="120" w:line="276"/>
        <w:jc w:val="both"/>
      </w:pPr>
      <w:r>
        <w:rPr>
          <w:rFonts w:ascii="Barlow Semi Condensed" w:cs="Barlow Semi Condensed" w:eastAsia="Barlow Semi Condensed" w:hAnsi="Barlow Semi Condensed"/>
          <w:b/>
          <w:bCs/>
          <w:sz w:val="24"/>
          <w:szCs w:val="24"/>
        </w:rPr>
        <w:t xml:space="preserve">505 · La residenza permanente, categoria ignota.</w:t>
      </w:r>
      <w:r>
        <w:rPr>
          <w:rFonts w:ascii="Barlow Semi Condensed" w:cs="Barlow Semi Condensed" w:eastAsia="Barlow Semi Condensed" w:hAnsi="Barlow Semi Condensed"/>
          <w:sz w:val="24"/>
          <w:szCs w:val="24"/>
        </w:rPr>
        <w:t xml:space="preserve"> Dal titolo temporaneo alla cittadinanza corre un passaggio di cui, per i soggetti di questa serie, non si conosce nulla: la categoria sotto la quale fu ottenuta la residenza permanente. Le vie possibili differiscono per requisiti e per tempi, e ciascuna lascia un fascicolo diverso. Nessuna dichiarazione pubblica la precisa e nessun atto la rende nota. La lacuna si verbalizza e non si riempie con la via più verosimile.</w:t>
      </w:r>
    </w:p>
    <w:p>
      <w:pPr>
        <w:spacing w:after="120" w:line="276"/>
        <w:jc w:val="both"/>
      </w:pPr>
      <w:r>
        <w:rPr>
          <w:rFonts w:ascii="Barlow Semi Condensed" w:cs="Barlow Semi Condensed" w:eastAsia="Barlow Semi Condensed" w:hAnsi="Barlow Semi Condensed"/>
          <w:b/>
          <w:bCs/>
          <w:sz w:val="24"/>
          <w:szCs w:val="24"/>
        </w:rPr>
        <w:t xml:space="preserve">506 · Il 2002 come data riferita.</w:t>
      </w:r>
      <w:r>
        <w:rPr>
          <w:rFonts w:ascii="Barlow Semi Condensed" w:cs="Barlow Semi Condensed" w:eastAsia="Barlow Semi Condensed" w:hAnsi="Barlow Semi Condensed"/>
          <w:sz w:val="24"/>
          <w:szCs w:val="24"/>
        </w:rPr>
        <w:t xml:space="preserve"> La naturalizzazione statunitense di Elon Musk è collocata nel 2002 dalla pubblicistica e dalle biografie. Poiché dopo il 1991 il provvedimento è amministrativo e non giudiziario, quella data non è verificabile su alcun registro aperto: circola perché è stata dichiarata e poi ripetuta. Si registra dunque come riferita, con la precisazione che il grado non salirà finché il certificato o il fascicolo non saranno prodotti dall'interessato.</w:t>
      </w:r>
    </w:p>
    <w:p>
      <w:pPr>
        <w:spacing w:after="120" w:line="276"/>
        <w:jc w:val="both"/>
      </w:pPr>
      <w:r>
        <w:rPr>
          <w:rFonts w:ascii="Barlow Semi Condensed" w:cs="Barlow Semi Condensed" w:eastAsia="Barlow Semi Condensed" w:hAnsi="Barlow Semi Condensed"/>
          <w:b/>
          <w:bCs/>
          <w:sz w:val="24"/>
          <w:szCs w:val="24"/>
        </w:rPr>
        <w:t xml:space="preserve">507 · Perdere il Sud Africa acquistando l'America.</w:t>
      </w:r>
      <w:r>
        <w:rPr>
          <w:rFonts w:ascii="Barlow Semi Condensed" w:cs="Barlow Semi Condensed" w:eastAsia="Barlow Semi Condensed" w:hAnsi="Barlow Semi Condensed"/>
          <w:sz w:val="24"/>
          <w:szCs w:val="24"/>
        </w:rPr>
        <w:t xml:space="preserve"> La legge sudafricana sulla cittadinanza del 1995 dispone che chi acquisti volontariamente una cittadinanza straniera perda quella sudafricana, salvo abbia ottenuto in anticipo un provvedimento di conservazione. Chiunque si sia naturalizzato altrove dopo l'entrata in vigore di quella norma ricade nella previsione. È la domanda più precisa che questa serie possa rivolgere al Dipartimento degli Affari Interni di Pretoria, e riguarda più d'uno dei nomi qui elencati.</w:t>
      </w:r>
    </w:p>
    <w:p>
      <w:pPr>
        <w:spacing w:after="120" w:line="276"/>
        <w:jc w:val="both"/>
      </w:pPr>
      <w:r>
        <w:rPr>
          <w:rFonts w:ascii="Barlow Semi Condensed" w:cs="Barlow Semi Condensed" w:eastAsia="Barlow Semi Condensed" w:hAnsi="Barlow Semi Condensed"/>
          <w:b/>
          <w:bCs/>
          <w:sz w:val="24"/>
          <w:szCs w:val="24"/>
        </w:rPr>
        <w:t xml:space="preserve">508 · Il provvedimento di conservazione.</w:t>
      </w:r>
      <w:r>
        <w:rPr>
          <w:rFonts w:ascii="Barlow Semi Condensed" w:cs="Barlow Semi Condensed" w:eastAsia="Barlow Semi Condensed" w:hAnsi="Barlow Semi Condensed"/>
          <w:sz w:val="24"/>
          <w:szCs w:val="24"/>
        </w:rPr>
        <w:t xml:space="preserve"> Il contrappeso alla perdita esiste ed è un atto scritto: la domanda di conservazione della cittadinanza, da presentare prima dell'acquisto di quella straniera. Genera un numero di pratica e una risposta. Sapere se, per un determinato soggetto, quella domanda fu presentata e accolta non è curiosità biografica: è ciò che determina se oggi quella persona sia ancora cittadino sudafricano. La sede è una sola, e sta a Pretoria.</w:t>
      </w:r>
    </w:p>
    <w:p>
      <w:pPr>
        <w:spacing w:after="120" w:line="276"/>
        <w:jc w:val="both"/>
      </w:pPr>
      <w:r>
        <w:rPr>
          <w:rFonts w:ascii="Barlow Semi Condensed" w:cs="Barlow Semi Condensed" w:eastAsia="Barlow Semi Condensed" w:hAnsi="Barlow Semi Condensed"/>
          <w:b/>
          <w:bCs/>
          <w:sz w:val="24"/>
          <w:szCs w:val="24"/>
        </w:rPr>
        <w:t xml:space="preserve">509 · La regola vigente nel 1989.</w:t>
      </w:r>
      <w:r>
        <w:rPr>
          <w:rFonts w:ascii="Barlow Semi Condensed" w:cs="Barlow Semi Condensed" w:eastAsia="Barlow Semi Condensed" w:hAnsi="Barlow Semi Condensed"/>
          <w:sz w:val="24"/>
          <w:szCs w:val="24"/>
        </w:rPr>
        <w:t xml:space="preserve"> Per il passaggio canadese del 1989 non vale la legge del 1995 ma quella precedente, del 1949, che conteneva una previsione di perdita analoga per acquisto volontario di cittadinanza straniera. Se però il titolo canadese fosse stato riconosciuto come esistente fin dalla nascita, e non concesso su domanda, non vi sarebbe stato acquisto volontario e nessuna perdita si sarebbe prodotta. La forma dell'atto canadese determina l'esito sudafricano.</w:t>
      </w:r>
    </w:p>
    <w:p>
      <w:pPr>
        <w:spacing w:after="120" w:line="276"/>
        <w:jc w:val="both"/>
      </w:pPr>
      <w:r>
        <w:rPr>
          <w:rFonts w:ascii="Barlow Semi Condensed" w:cs="Barlow Semi Condensed" w:eastAsia="Barlow Semi Condensed" w:hAnsi="Barlow Semi Condensed"/>
          <w:b/>
          <w:bCs/>
          <w:sz w:val="24"/>
          <w:szCs w:val="24"/>
        </w:rPr>
        <w:t xml:space="preserve">510 · Francoforte 1967, cittadinanza tedesca.</w:t>
      </w:r>
      <w:r>
        <w:rPr>
          <w:rFonts w:ascii="Barlow Semi Condensed" w:cs="Barlow Semi Condensed" w:eastAsia="Barlow Semi Condensed" w:hAnsi="Barlow Semi Condensed"/>
          <w:sz w:val="24"/>
          <w:szCs w:val="24"/>
        </w:rPr>
        <w:t xml:space="preserve"> Peter Andreas Thiel è nato a Francoforte sul Meno l'11 ottobre 1967 ed era cittadino tedesco alla nascita. È fatto pubblico. La sua vicenda migratoria è, sul piano documentale, la più ricca della serie, perché tocca quattro ordinamenti: quello tedesco, quello sudafricano nella sua amministrazione del Sud-Ovest africano, quello statunitense e quello neozelandese. Uno solo di questi ha reso pubblico il proprio fascicolo per effetto di una legge d'accesso.</w:t>
      </w:r>
    </w:p>
    <w:p>
      <w:pPr>
        <w:spacing w:after="120" w:line="276"/>
        <w:jc w:val="both"/>
      </w:pPr>
      <w:r>
        <w:rPr>
          <w:rFonts w:ascii="Barlow Semi Condensed" w:cs="Barlow Semi Condensed" w:eastAsia="Barlow Semi Condensed" w:hAnsi="Barlow Semi Condensed"/>
          <w:b/>
          <w:bCs/>
          <w:sz w:val="24"/>
          <w:szCs w:val="24"/>
        </w:rPr>
        <w:t xml:space="preserve">511 · L'ingresso negli Stati Uniti da bambino.</w:t>
      </w:r>
      <w:r>
        <w:rPr>
          <w:rFonts w:ascii="Barlow Semi Condensed" w:cs="Barlow Semi Condensed" w:eastAsia="Barlow Semi Condensed" w:hAnsi="Barlow Semi Condensed"/>
          <w:sz w:val="24"/>
          <w:szCs w:val="24"/>
        </w:rPr>
        <w:t xml:space="preserve"> La famiglia si trasferì a Cleveland, nell'Ohio, quando il bambino aveva circa un anno: il fatto è riferito concordemente. La categoria d'ingresso non lo è: residenza permanente legata al lavoro del padre, status temporaneo, altro ancora. La distinzione conta perché soltanto la residenza permanente del minore rende possibile, più tardi, l'acquisizione derivata della cittadinanza. Il fascicolo che lo direbbe è quello dell'agenzia federale, e resta chiuso.</w:t>
      </w:r>
    </w:p>
    <w:p>
      <w:pPr>
        <w:spacing w:after="120" w:line="276"/>
        <w:jc w:val="both"/>
      </w:pPr>
      <w:r>
        <w:rPr>
          <w:rFonts w:ascii="Barlow Semi Condensed" w:cs="Barlow Semi Condensed" w:eastAsia="Barlow Semi Condensed" w:hAnsi="Barlow Semi Condensed"/>
          <w:b/>
          <w:bCs/>
          <w:sz w:val="24"/>
          <w:szCs w:val="24"/>
        </w:rPr>
        <w:t xml:space="preserve">512 · Swakopmund, e quale permesso.</w:t>
      </w:r>
      <w:r>
        <w:rPr>
          <w:rFonts w:ascii="Barlow Semi Condensed" w:cs="Barlow Semi Condensed" w:eastAsia="Barlow Semi Condensed" w:hAnsi="Barlow Semi Condensed"/>
          <w:sz w:val="24"/>
          <w:szCs w:val="24"/>
        </w:rPr>
        <w:t xml:space="preserve"> Il soggiorno a Swakopmund, nell'Africa del Sud-Ovest allora amministrata dal Sud Africa, si colloca fra il 1975 e il 1977. Uno straniero residente in quel territorio era soggetto a un regime di permessi gestito dall'amministrazione locale sotto il controllo di Pretoria. Le carte relative si trovano al National Archives of Namibia, a Windhoek, nel fondo dell'amministrazione del Sud-Ovest africano, ed è là che il quesito va posto.</w:t>
      </w:r>
    </w:p>
    <w:p>
      <w:pPr>
        <w:spacing w:after="120" w:line="276"/>
        <w:jc w:val="both"/>
      </w:pPr>
      <w:r>
        <w:rPr>
          <w:rFonts w:ascii="Barlow Semi Condensed" w:cs="Barlow Semi Condensed" w:eastAsia="Barlow Semi Condensed" w:hAnsi="Barlow Semi Condensed"/>
          <w:b/>
          <w:bCs/>
          <w:sz w:val="24"/>
          <w:szCs w:val="24"/>
        </w:rPr>
        <w:t xml:space="preserve">513 · I registri della scuola tedesca.</w:t>
      </w:r>
      <w:r>
        <w:rPr>
          <w:rFonts w:ascii="Barlow Semi Condensed" w:cs="Barlow Semi Condensed" w:eastAsia="Barlow Semi Condensed" w:hAnsi="Barlow Semi Condensed"/>
          <w:sz w:val="24"/>
          <w:szCs w:val="24"/>
        </w:rPr>
        <w:t xml:space="preserve"> Swakopmund ospitava una scuola di lingua tedesca frequentata dai figli della comunità locale e degli espatriati impiegati nel territorio. I registri scolastici, iscrizioni, anni e classi, sono documenti ordinari, di norma conservati dall'istituto o versati agli archivi nazionali namibiani. Sono la via più economica per datare con precisione un soggiorno che tutte le fonti collocano in modo approssimativo. Nessuna delle ricostruzioni in circolazione risulta averli consultati.</w:t>
      </w:r>
    </w:p>
    <w:p>
      <w:pPr>
        <w:spacing w:after="120" w:line="276"/>
        <w:jc w:val="both"/>
      </w:pPr>
      <w:r>
        <w:rPr>
          <w:rFonts w:ascii="Barlow Semi Condensed" w:cs="Barlow Semi Condensed" w:eastAsia="Barlow Semi Condensed" w:hAnsi="Barlow Semi Condensed"/>
          <w:b/>
          <w:bCs/>
          <w:sz w:val="24"/>
          <w:szCs w:val="24"/>
        </w:rPr>
        <w:t xml:space="preserve">514 · La scuola di Johannesburg, e quali atti.</w:t>
      </w:r>
      <w:r>
        <w:rPr>
          <w:rFonts w:ascii="Barlow Semi Condensed" w:cs="Barlow Semi Condensed" w:eastAsia="Barlow Semi Condensed" w:hAnsi="Barlow Semi Condensed"/>
          <w:sz w:val="24"/>
          <w:szCs w:val="24"/>
        </w:rPr>
        <w:t xml:space="preserve"> La frequenza di una scuola preparatoria riservata ai bianchi a Johannesburg è dato acquisito e va trattata come fatto di contesto, non come scelta del bambino: in quel Sud Africa la segregazione scolastica era imposta per legge e nessun alunno vi si sottraeva. Gli atti che identificherebbero l'istituto e gli anni sono i registri della scuola e le carte del dipartimento provinciale dell'istruzione al National Archives di Pretoria.</w:t>
      </w:r>
    </w:p>
    <w:p>
      <w:pPr>
        <w:spacing w:after="120" w:line="276"/>
        <w:jc w:val="both"/>
      </w:pPr>
      <w:r>
        <w:rPr>
          <w:rFonts w:ascii="Barlow Semi Condensed" w:cs="Barlow Semi Condensed" w:eastAsia="Barlow Semi Condensed" w:hAnsi="Barlow Semi Condensed"/>
          <w:b/>
          <w:bCs/>
          <w:sz w:val="24"/>
          <w:szCs w:val="24"/>
        </w:rPr>
        <w:t xml:space="preserve">515 · Il contratto del padre.</w:t>
      </w:r>
      <w:r>
        <w:rPr>
          <w:rFonts w:ascii="Barlow Semi Condensed" w:cs="Barlow Semi Condensed" w:eastAsia="Barlow Semi Condensed" w:hAnsi="Barlow Semi Condensed"/>
          <w:sz w:val="24"/>
          <w:szCs w:val="24"/>
        </w:rPr>
        <w:t xml:space="preserve"> Klaus Thiel, ingegnere chimico, lavorò per un'impresa impegnata nel cantiere della miniera di uranio di Rössing. Il documento che lo attesterebbe con esattezza, datore, mansione e durata, è un contratto d'impiego, e la sua sede naturale è l'archivio della società operatrice o quello della capogruppo mineraria. Nessuna delle due risulta aver aperto quelle serie alla consultazione: la richiesta va formulata, e l'eventuale diniego va schedato come documento.</w:t>
      </w:r>
    </w:p>
    <w:p>
      <w:pPr>
        <w:spacing w:after="120" w:line="276"/>
        <w:jc w:val="both"/>
      </w:pPr>
      <w:r>
        <w:rPr>
          <w:rFonts w:ascii="Barlow Semi Condensed" w:cs="Barlow Semi Condensed" w:eastAsia="Barlow Semi Condensed" w:hAnsi="Barlow Semi Condensed"/>
          <w:b/>
          <w:bCs/>
          <w:sz w:val="24"/>
          <w:szCs w:val="24"/>
        </w:rPr>
        <w:t xml:space="preserve">516 · Il rientro, e la sua data.</w:t>
      </w:r>
      <w:r>
        <w:rPr>
          <w:rFonts w:ascii="Barlow Semi Condensed" w:cs="Barlow Semi Condensed" w:eastAsia="Barlow Semi Condensed" w:hAnsi="Barlow Semi Condensed"/>
          <w:sz w:val="24"/>
          <w:szCs w:val="24"/>
        </w:rPr>
        <w:t xml:space="preserve"> Il ritorno della famiglia dal territorio africano agli Stati Uniti è collocato dalle fonti verso la fine degli anni Settanta, senza data precisa. Il rientro di residenti permanenti dopo un'assenza prolungata non è atto neutro nell'ordinamento d'arrivo: assenze superiori a certe soglie possono incidere sullo status. La scheda d'ingresso e l'eventuale documento di rientro daterebbero il passaggio, e stanno entrambi nel fascicolo individuale.</w:t>
      </w:r>
    </w:p>
    <w:p>
      <w:pPr>
        <w:spacing w:after="120" w:line="276"/>
        <w:jc w:val="both"/>
      </w:pPr>
      <w:r>
        <w:rPr>
          <w:rFonts w:ascii="Barlow Semi Condensed" w:cs="Barlow Semi Condensed" w:eastAsia="Barlow Semi Condensed" w:hAnsi="Barlow Semi Condensed"/>
          <w:b/>
          <w:bCs/>
          <w:sz w:val="24"/>
          <w:szCs w:val="24"/>
        </w:rPr>
        <w:t xml:space="preserve">517 · La cittadinanza che si deriva.</w:t>
      </w:r>
      <w:r>
        <w:rPr>
          <w:rFonts w:ascii="Barlow Semi Condensed" w:cs="Barlow Semi Condensed" w:eastAsia="Barlow Semi Condensed" w:hAnsi="Barlow Semi Condensed"/>
          <w:sz w:val="24"/>
          <w:szCs w:val="24"/>
        </w:rPr>
        <w:t xml:space="preserve"> Fino alla riforma del 2000, il minore residente permanente negli Stati Uniti acquisiva automaticamente la cittadinanza quando entrambi i genitori si naturalizzavano, senza domanda propria. Se questa fu la via seguita, non esiste per Peter Thiel una domanda personale di naturalizzazione: esistono quella dei genitori e, se richiesto, un certificato di cittadinanza. La differenza è sostanziale per chi cerchi in archivio, perché cambia il nome del documento da chiedere.</w:t>
      </w:r>
    </w:p>
    <w:p>
      <w:pPr>
        <w:spacing w:after="120" w:line="276"/>
        <w:jc w:val="both"/>
      </w:pPr>
      <w:r>
        <w:rPr>
          <w:rFonts w:ascii="Barlow Semi Condensed" w:cs="Barlow Semi Condensed" w:eastAsia="Barlow Semi Condensed" w:hAnsi="Barlow Semi Condensed"/>
          <w:b/>
          <w:bCs/>
          <w:sz w:val="24"/>
          <w:szCs w:val="24"/>
        </w:rPr>
        <w:t xml:space="preserve">518 · Il registro tedesco delle perdite.</w:t>
      </w:r>
      <w:r>
        <w:rPr>
          <w:rFonts w:ascii="Barlow Semi Condensed" w:cs="Barlow Semi Condensed" w:eastAsia="Barlow Semi Condensed" w:hAnsi="Barlow Semi Condensed"/>
          <w:sz w:val="24"/>
          <w:szCs w:val="24"/>
        </w:rPr>
        <w:t xml:space="preserve"> L'ordinamento tedesco dell'epoca faceva perdere la cittadinanza a chi ne acquisisse volontariamente un'altra, con eccezioni e con un regime particolare per i minori. L'ufficio che tiene memoria di questi eventi è il Bundesverwaltungsamt di Colonia, che gestisce il registro delle decisioni in materia di cittadinanza. Chiedere lì se e quando la cittadinanza tedesca si sia estinta è un quesito preciso, rivolto a un ufficio esistente, con esito binario.</w:t>
      </w:r>
    </w:p>
    <w:p>
      <w:pPr>
        <w:spacing w:after="120" w:line="276"/>
        <w:jc w:val="both"/>
      </w:pPr>
      <w:r>
        <w:rPr>
          <w:rFonts w:ascii="Barlow Semi Condensed" w:cs="Barlow Semi Condensed" w:eastAsia="Barlow Semi Condensed" w:hAnsi="Barlow Semi Condensed"/>
          <w:b/>
          <w:bCs/>
          <w:sz w:val="24"/>
          <w:szCs w:val="24"/>
        </w:rPr>
        <w:t xml:space="preserve">519 · Il fascicolo neozelandese reso pubblico.</w:t>
      </w:r>
      <w:r>
        <w:rPr>
          <w:rFonts w:ascii="Barlow Semi Condensed" w:cs="Barlow Semi Condensed" w:eastAsia="Barlow Semi Condensed" w:hAnsi="Barlow Semi Condensed"/>
          <w:sz w:val="24"/>
          <w:szCs w:val="24"/>
        </w:rPr>
        <w:t xml:space="preserve"> Qui la serie tocca il suo unico documento pienamente aperto. Nel 2011 la Nuova Zelanda concesse a Peter Thiel la cittadinanza per la via eccezionale prevista dalla legge del 1977, riservata a chi presenti circostanze straordinarie o rechi beneficio al Paese. Nel 2017 il Department of Internal Affairs rilasciò il fascicolo in applicazione della legge sull'informazione ufficiale, e la pratica divenne leggibile. È materia di piano 1.</w:t>
      </w:r>
    </w:p>
    <w:p>
      <w:pPr>
        <w:spacing w:after="120" w:line="276"/>
        <w:jc w:val="both"/>
      </w:pPr>
      <w:r>
        <w:rPr>
          <w:rFonts w:ascii="Barlow Semi Condensed" w:cs="Barlow Semi Condensed" w:eastAsia="Barlow Semi Condensed" w:hAnsi="Barlow Semi Condensed"/>
          <w:b/>
          <w:bCs/>
          <w:sz w:val="24"/>
          <w:szCs w:val="24"/>
        </w:rPr>
        <w:t xml:space="preserve">520 · Dodici giorni di presenza.</w:t>
      </w:r>
      <w:r>
        <w:rPr>
          <w:rFonts w:ascii="Barlow Semi Condensed" w:cs="Barlow Semi Condensed" w:eastAsia="Barlow Semi Condensed" w:hAnsi="Barlow Semi Condensed"/>
          <w:sz w:val="24"/>
          <w:szCs w:val="24"/>
        </w:rPr>
        <w:t xml:space="preserve"> Il dato che rende notevole il caso neozelandese non è la concessione ma il suo presupposto: la documentazione rilasciata attesta una presenza complessiva nel Paese di circa dodici giorni, a fronte di requisiti ordinari di residenza misurati in anni. Non vi è irregolarità alcuna: la via seguita è quella espressamente prevista dalla legge per i casi eccezionali. Vi è però un fatto che si presta al confronto con ogni altra rotta.</w:t>
      </w:r>
    </w:p>
    <w:p>
      <w:pPr>
        <w:spacing w:after="120" w:line="276"/>
        <w:jc w:val="both"/>
      </w:pPr>
      <w:r>
        <w:rPr>
          <w:rFonts w:ascii="Barlow Semi Condensed" w:cs="Barlow Semi Condensed" w:eastAsia="Barlow Semi Condensed" w:hAnsi="Barlow Semi Condensed"/>
          <w:b/>
          <w:bCs/>
          <w:sz w:val="24"/>
          <w:szCs w:val="24"/>
        </w:rPr>
        <w:t xml:space="preserve">521 · Il giuramento in consolato.</w:t>
      </w:r>
      <w:r>
        <w:rPr>
          <w:rFonts w:ascii="Barlow Semi Condensed" w:cs="Barlow Semi Condensed" w:eastAsia="Barlow Semi Condensed" w:hAnsi="Barlow Semi Condensed"/>
          <w:sz w:val="24"/>
          <w:szCs w:val="24"/>
        </w:rPr>
        <w:t xml:space="preserve"> La cerimonia di cittadinanza si tenne fuori dal territorio neozelandese, presso una sede consolare in California, secondo quanto risulta dagli stessi atti rilasciati. È un dettaglio che vale più di molte pagine di commento: mostra che un ordinamento può conferire la propria appartenenza senza che il beneficiario metta piede nel Paese, e che ciò che costituisce lo status è l'atto amministrativo, non la presenza.</w:t>
      </w:r>
    </w:p>
    <w:p>
      <w:pPr>
        <w:spacing w:after="120" w:line="276"/>
        <w:jc w:val="both"/>
      </w:pPr>
      <w:r>
        <w:rPr>
          <w:rFonts w:ascii="Barlow Semi Condensed" w:cs="Barlow Semi Condensed" w:eastAsia="Barlow Semi Condensed" w:hAnsi="Barlow Semi Condensed"/>
          <w:b/>
          <w:bCs/>
          <w:sz w:val="24"/>
          <w:szCs w:val="24"/>
        </w:rPr>
        <w:t xml:space="preserve">522 · I consensi immobiliari e il loro archivio.</w:t>
      </w:r>
      <w:r>
        <w:rPr>
          <w:rFonts w:ascii="Barlow Semi Condensed" w:cs="Barlow Semi Condensed" w:eastAsia="Barlow Semi Condensed" w:hAnsi="Barlow Semi Condensed"/>
          <w:sz w:val="24"/>
          <w:szCs w:val="24"/>
        </w:rPr>
        <w:t xml:space="preserve"> Distinta dalla cittadinanza, e da non confondervi, è la disciplina neozelandese sugli acquisti di terra da parte di stranieri: le operazioni rilevanti richiedono il consenso dell'autorità competente, e le decisioni sono pubblicate. Le proprietà acquistate nell'Isola del Sud hanno generato pratiche consultabili. È una seconda fonte aperta, indipendente dalla prima, e permette di datare presenze e interessi senza ricorrere ad alcuna dichiarazione dell'interessato.</w:t>
      </w:r>
    </w:p>
    <w:p>
      <w:pPr>
        <w:spacing w:after="120" w:line="276"/>
        <w:jc w:val="both"/>
      </w:pPr>
      <w:r>
        <w:rPr>
          <w:rFonts w:ascii="Barlow Semi Condensed" w:cs="Barlow Semi Condensed" w:eastAsia="Barlow Semi Condensed" w:hAnsi="Barlow Semi Condensed"/>
          <w:b/>
          <w:bCs/>
          <w:sz w:val="24"/>
          <w:szCs w:val="24"/>
        </w:rPr>
        <w:t xml:space="preserve">523 · Malta, e il grado da dichiarare.</w:t>
      </w:r>
      <w:r>
        <w:rPr>
          <w:rFonts w:ascii="Barlow Semi Condensed" w:cs="Barlow Semi Condensed" w:eastAsia="Barlow Semi Condensed" w:hAnsi="Barlow Semi Condensed"/>
          <w:sz w:val="24"/>
          <w:szCs w:val="24"/>
        </w:rPr>
        <w:t xml:space="preserve"> Alla fine del 2021 alcune testate hanno riferito l'acquisizione di una cittadinanza maltese per via di un programma d'investimento. Il registro maltese delle naturalizzazioni è pubblicato in gazzetta ufficiale con i soli nomi e per annata, il che rende il riscontro possibile ma non immediato. Finché quel controllo non è eseguito, l'affermazione resta di grado inferiore e non entra fra gli accertamenti di questa serie.</w:t>
      </w:r>
    </w:p>
    <w:p>
      <w:pPr>
        <w:spacing w:after="120" w:line="276"/>
        <w:jc w:val="both"/>
      </w:pPr>
      <w:r>
        <w:rPr>
          <w:rFonts w:ascii="Barlow Semi Condensed" w:cs="Barlow Semi Condensed" w:eastAsia="Barlow Semi Condensed" w:hAnsi="Barlow Semi Condensed"/>
          <w:b/>
          <w:bCs/>
          <w:sz w:val="24"/>
          <w:szCs w:val="24"/>
        </w:rPr>
        <w:t xml:space="preserve">524 · Perché il caso neozelandese è esemplare.</w:t>
      </w:r>
      <w:r>
        <w:rPr>
          <w:rFonts w:ascii="Barlow Semi Condensed" w:cs="Barlow Semi Condensed" w:eastAsia="Barlow Semi Condensed" w:hAnsi="Barlow Semi Condensed"/>
          <w:sz w:val="24"/>
          <w:szCs w:val="24"/>
        </w:rPr>
        <w:t xml:space="preserve"> Il caso va isolato come regola di metodo, perché insegna più del proprio contenuto. Di tutte le rotte di quest'opera, l'unica leggibile per intero lo è perché un ordinamento straniero possiede una legge d'accesso efficace e l'ha applicata a un caso individuale. Non è la rilevanza del soggetto ad aver aperto il fascicolo: è la norma. Dove la norma manca o esclude i viventi, la stessa rilevanza non produce nulla.</w:t>
      </w:r>
    </w:p>
    <w:p>
      <w:pPr>
        <w:spacing w:after="120" w:line="276"/>
        <w:jc w:val="both"/>
      </w:pPr>
      <w:r>
        <w:rPr>
          <w:rFonts w:ascii="Barlow Semi Condensed" w:cs="Barlow Semi Condensed" w:eastAsia="Barlow Semi Condensed" w:hAnsi="Barlow Semi Condensed"/>
          <w:b/>
          <w:bCs/>
          <w:sz w:val="24"/>
          <w:szCs w:val="24"/>
        </w:rPr>
        <w:t xml:space="preserve">525 · Roelof Botha, i fatti pubblici.</w:t>
      </w:r>
      <w:r>
        <w:rPr>
          <w:rFonts w:ascii="Barlow Semi Condensed" w:cs="Barlow Semi Condensed" w:eastAsia="Barlow Semi Condensed" w:hAnsi="Barlow Semi Condensed"/>
          <w:sz w:val="24"/>
          <w:szCs w:val="24"/>
        </w:rPr>
        <w:t xml:space="preserve"> Roelof Botha, nato in Sud Africa nel 1973, si laureò in scienze attuariali all'Università di Città del Capo, lavorò nella consulenza direzionale e conseguì un master alla Stanford Graduate School of Business intorno al 2000; fu direttore finanziario di PayPal e poi socio e managing partner di Sequoia Capital. Sono fatti pubblici, documentabili con atti societari e comunicati d'impresa, ed è tutto ciò che la serie assume su di lui.</w:t>
      </w:r>
    </w:p>
    <w:p>
      <w:pPr>
        <w:spacing w:after="120" w:line="276"/>
        <w:jc w:val="both"/>
      </w:pPr>
      <w:r>
        <w:rPr>
          <w:rFonts w:ascii="Barlow Semi Condensed" w:cs="Barlow Semi Condensed" w:eastAsia="Barlow Semi Condensed" w:hAnsi="Barlow Semi Condensed"/>
          <w:b/>
          <w:bCs/>
          <w:sz w:val="24"/>
          <w:szCs w:val="24"/>
        </w:rPr>
        <w:t xml:space="preserve">526 · L'ingresso col visto, non senza.</w:t>
      </w:r>
      <w:r>
        <w:rPr>
          <w:rFonts w:ascii="Barlow Semi Condensed" w:cs="Barlow Semi Condensed" w:eastAsia="Barlow Semi Condensed" w:hAnsi="Barlow Semi Condensed"/>
          <w:sz w:val="24"/>
          <w:szCs w:val="24"/>
        </w:rPr>
        <w:t xml:space="preserve"> La differenza fra la rotta canadese e quella sudafricana si vede alla frontiera. Il cittadino sudafricano ammesso a un ateneo statunitense doveva ottenere il visto studentesco presso una sede consolare in Sud Africa, con colloquio e fascicolo consolare, mentre il canadese ne era esente. Due persone della stessa coorte hanno dunque generato quantità di carta molto diverse; e la carta consolare, per legge, resta riservata a chiunque la cerchi.</w:t>
      </w:r>
    </w:p>
    <w:p>
      <w:pPr>
        <w:spacing w:after="120" w:line="276"/>
        <w:jc w:val="both"/>
      </w:pPr>
      <w:r>
        <w:rPr>
          <w:rFonts w:ascii="Barlow Semi Condensed" w:cs="Barlow Semi Condensed" w:eastAsia="Barlow Semi Condensed" w:hAnsi="Barlow Semi Condensed"/>
          <w:b/>
          <w:bCs/>
          <w:sz w:val="24"/>
          <w:szCs w:val="24"/>
        </w:rPr>
        <w:t xml:space="preserve">527 · Che cosa non si sa.</w:t>
      </w:r>
      <w:r>
        <w:rPr>
          <w:rFonts w:ascii="Barlow Semi Condensed" w:cs="Barlow Semi Condensed" w:eastAsia="Barlow Semi Condensed" w:hAnsi="Barlow Semi Condensed"/>
          <w:sz w:val="24"/>
          <w:szCs w:val="24"/>
        </w:rPr>
        <w:t xml:space="preserve"> Delle tappe successive, residenza permanente, eventuale naturalizzazione, sorte della cittadinanza sudafricana, non risulta alcun atto pubblico né alcuna dichiarazione circostanziata. La serie non colma il vuoto per simmetria con altri casi: lo verbalizza, secondo il test dei buchi che l'agenda di ricerca fissa al blocco 233. Le sedi che lo chiuderebbero sono due, l'agenzia federale statunitense col consenso dell'interessato e il Dipartimento degli Affari Interni sudafricano.</w:t>
      </w:r>
    </w:p>
    <w:p>
      <w:pPr>
        <w:spacing w:after="120" w:line="276"/>
        <w:jc w:val="both"/>
      </w:pPr>
      <w:r>
        <w:rPr>
          <w:rFonts w:ascii="Barlow Semi Condensed" w:cs="Barlow Semi Condensed" w:eastAsia="Barlow Semi Condensed" w:hAnsi="Barlow Semi Condensed"/>
          <w:b/>
          <w:bCs/>
          <w:sz w:val="24"/>
          <w:szCs w:val="24"/>
        </w:rPr>
        <w:t xml:space="preserve">528 · Il nonno, e l'omonimia da evitare.</w:t>
      </w:r>
      <w:r>
        <w:rPr>
          <w:rFonts w:ascii="Barlow Semi Condensed" w:cs="Barlow Semi Condensed" w:eastAsia="Barlow Semi Condensed" w:hAnsi="Barlow Semi Condensed"/>
          <w:sz w:val="24"/>
          <w:szCs w:val="24"/>
        </w:rPr>
        <w:t xml:space="preserve"> La parentela è documentata e va enunciata con esattezza: Roelof Botha è nipote di Roelof Frederik Botha, detto Pik, ministro degli Esteri sudafricano dal 1977 al 1994 e poi ministro delle Miniere e dell'Energia nel primo governo Mandela. Pik Botha non era parente di P.W. Botha, presidente dello Stato. La confusione fra i due è l'errore più diffuso su questa materia, e chi la commette costruisce una genealogia inesistente.</w:t>
      </w:r>
    </w:p>
    <w:p>
      <w:pPr>
        <w:spacing w:after="120" w:line="276"/>
        <w:jc w:val="both"/>
      </w:pPr>
      <w:r>
        <w:rPr>
          <w:rFonts w:ascii="Barlow Semi Condensed" w:cs="Barlow Semi Condensed" w:eastAsia="Barlow Semi Condensed" w:hAnsi="Barlow Semi Condensed"/>
          <w:b/>
          <w:bCs/>
          <w:sz w:val="24"/>
          <w:szCs w:val="24"/>
        </w:rPr>
        <w:t xml:space="preserve">529 · Una parentela non è una rotta.</w:t>
      </w:r>
      <w:r>
        <w:rPr>
          <w:rFonts w:ascii="Barlow Semi Condensed" w:cs="Barlow Semi Condensed" w:eastAsia="Barlow Semi Condensed" w:hAnsi="Barlow Semi Condensed"/>
          <w:sz w:val="24"/>
          <w:szCs w:val="24"/>
        </w:rPr>
        <w:t xml:space="preserve"> Che il nonno abbia diretto per diciassette anni la diplomazia di uno Stato non dice nulla sullo status migratorio del nipote, e la serie non ne inferisce alcunché. La domanda legittima è invece documentale e limitata: se negli archivi consolari o ministeriali sudafricani esista un atto relativo al rilascio di documenti di viaggio a familiari. Senza quell'atto la parentela resta parentela, e la rotta resta ordinaria.</w:t>
      </w:r>
    </w:p>
    <w:p>
      <w:pPr>
        <w:spacing w:after="120" w:line="276"/>
        <w:jc w:val="both"/>
      </w:pPr>
      <w:r>
        <w:rPr>
          <w:rFonts w:ascii="Barlow Semi Condensed" w:cs="Barlow Semi Condensed" w:eastAsia="Barlow Semi Condensed" w:hAnsi="Barlow Semi Condensed"/>
          <w:b/>
          <w:bCs/>
          <w:sz w:val="24"/>
          <w:szCs w:val="24"/>
        </w:rPr>
        <w:t xml:space="preserve">530 · Città del Capo 1972, cinque anni dopo.</w:t>
      </w:r>
      <w:r>
        <w:rPr>
          <w:rFonts w:ascii="Barlow Semi Condensed" w:cs="Barlow Semi Condensed" w:eastAsia="Barlow Semi Condensed" w:hAnsi="Barlow Semi Condensed"/>
          <w:sz w:val="24"/>
          <w:szCs w:val="24"/>
        </w:rPr>
        <w:t xml:space="preserve"> David Sacks è nato a Città del Capo nel 1972 e la sua famiglia si trasferì negli Stati Uniti quando aveva circa cinque anni, stabilendosi in Tennessee. È fatto pubblico, riferito dall'interessato e ripreso concordemente. Come per Peter Thiel, la categoria d'ingresso dei genitori determina la via seguita dal minore, e l'unico documento che la direbbe è il fascicolo familiare presso l'agenzia federale statunitense.</w:t>
      </w:r>
    </w:p>
    <w:p>
      <w:pPr>
        <w:spacing w:after="120" w:line="276"/>
        <w:jc w:val="both"/>
      </w:pPr>
      <w:r>
        <w:rPr>
          <w:rFonts w:ascii="Barlow Semi Condensed" w:cs="Barlow Semi Condensed" w:eastAsia="Barlow Semi Condensed" w:hAnsi="Barlow Semi Condensed"/>
          <w:b/>
          <w:bCs/>
          <w:sz w:val="24"/>
          <w:szCs w:val="24"/>
        </w:rPr>
        <w:t xml:space="preserve">531 · Kiev 1991, una rotta diversa.</w:t>
      </w:r>
      <w:r>
        <w:rPr>
          <w:rFonts w:ascii="Barlow Semi Condensed" w:cs="Barlow Semi Condensed" w:eastAsia="Barlow Semi Condensed" w:hAnsi="Barlow Semi Condensed"/>
          <w:sz w:val="24"/>
          <w:szCs w:val="24"/>
        </w:rPr>
        <w:t xml:space="preserve"> Max Levchin, nato a Kiev nel 1975, arrivò negli Stati Uniti nel 1991 con la famiglia per una via del tutto diversa da quelle finora descritte: il riconoscimento della condizione di rifugiato, aperta ai cittadini sovietici da una disposizione legislativa statunitense del 1989. Genera atti di natura differente, pratiche di ricollocamento e agenzie di accoglienza, e dimostra che le rotte non sono riducibili a un modello unico.</w:t>
      </w:r>
    </w:p>
    <w:p>
      <w:pPr>
        <w:spacing w:after="120" w:line="276"/>
        <w:jc w:val="both"/>
      </w:pPr>
      <w:r>
        <w:rPr>
          <w:rFonts w:ascii="Barlow Semi Condensed" w:cs="Barlow Semi Condensed" w:eastAsia="Barlow Semi Condensed" w:hAnsi="Barlow Semi Condensed"/>
          <w:b/>
          <w:bCs/>
          <w:sz w:val="24"/>
          <w:szCs w:val="24"/>
        </w:rPr>
        <w:t xml:space="preserve">532 · Tre rotte, nessun modello comune.</w:t>
      </w:r>
      <w:r>
        <w:rPr>
          <w:rFonts w:ascii="Barlow Semi Condensed" w:cs="Barlow Semi Condensed" w:eastAsia="Barlow Semi Condensed" w:hAnsi="Barlow Semi Condensed"/>
          <w:sz w:val="24"/>
          <w:szCs w:val="24"/>
        </w:rPr>
        <w:t xml:space="preserve"> Messe in fila, le vie d'accesso divergono radicalmente: discendenza familiare e passaggio canadese in un caso; ingresso da minore al seguito dei genitori in altri due; riconoscimento di protezione internazionale in un altro ancora. Nessuna procedura è condivisa, nessun ufficio è comune, nessuna data coincide. È il primo risultato negativo forte di questa serie, e va scritto per intero perché smentisce ogni lettura per coorte omogenea.</w:t>
      </w:r>
    </w:p>
    <w:p>
      <w:pPr>
        <w:spacing w:after="120" w:line="276"/>
        <w:jc w:val="both"/>
      </w:pPr>
      <w:r>
        <w:rPr>
          <w:rFonts w:ascii="Barlow Semi Condensed" w:cs="Barlow Semi Condensed" w:eastAsia="Barlow Semi Condensed" w:hAnsi="Barlow Semi Condensed"/>
          <w:b/>
          <w:bCs/>
          <w:sz w:val="24"/>
          <w:szCs w:val="24"/>
        </w:rPr>
        <w:t xml:space="preserve">533 · Altri nati altrove, stessa avvertenza.</w:t>
      </w:r>
      <w:r>
        <w:rPr>
          <w:rFonts w:ascii="Barlow Semi Condensed" w:cs="Barlow Semi Condensed" w:eastAsia="Barlow Semi Condensed" w:hAnsi="Barlow Semi Condensed"/>
          <w:sz w:val="24"/>
          <w:szCs w:val="24"/>
        </w:rPr>
        <w:t xml:space="preserve"> Nel gruppo che la stampa associò a quella copertina figurano altri nati fuori dagli Stati Uniti, in Polonia e in Germania orientale, arrivati da bambini o da adolescenti fra gli anni Ottanta e Novanta. Il dato aggregato interessa come misura di un'epoca, non come indizio: negli anni considerati la quota di fondatori di imprese tecnologiche nati all'estero era elevata e statisticamente documentata.</w:t>
      </w:r>
    </w:p>
    <w:p>
      <w:pPr>
        <w:spacing w:after="120" w:line="276"/>
        <w:jc w:val="both"/>
      </w:pPr>
      <w:r>
        <w:rPr>
          <w:rFonts w:ascii="Barlow Semi Condensed" w:cs="Barlow Semi Condensed" w:eastAsia="Barlow Semi Condensed" w:hAnsi="Barlow Semi Condensed"/>
          <w:b/>
          <w:bCs/>
          <w:sz w:val="24"/>
          <w:szCs w:val="24"/>
        </w:rPr>
        <w:t xml:space="preserve">534 · Una copertina non è una coorte.</w:t>
      </w:r>
      <w:r>
        <w:rPr>
          <w:rFonts w:ascii="Barlow Semi Condensed" w:cs="Barlow Semi Condensed" w:eastAsia="Barlow Semi Condensed" w:hAnsi="Barlow Semi Condensed"/>
          <w:sz w:val="24"/>
          <w:szCs w:val="24"/>
        </w:rPr>
        <w:t xml:space="preserve"> La locuzione nata dal servizio di copertina di Fortune del novembre 2007, con la fotografia di gruppo scattata in un ristorante di San Francisco, non individua un ente né una coorte migratoria: è una categoria giornalistica. Elon Musk non comparve in quella fotografia. Applicarle un'analisi per rotte come se fosse un gruppo omogeneo significa attribuire al giornalismo una funzione anagrafica che non ha mai avuto.</w:t>
      </w:r>
    </w:p>
    <w:p>
      <w:pPr>
        <w:spacing w:after="120" w:line="276"/>
        <w:jc w:val="both"/>
      </w:pPr>
      <w:r>
        <w:rPr>
          <w:rFonts w:ascii="Barlow Semi Condensed" w:cs="Barlow Semi Condensed" w:eastAsia="Barlow Semi Condensed" w:hAnsi="Barlow Semi Condensed"/>
          <w:b/>
          <w:bCs/>
          <w:sz w:val="24"/>
          <w:szCs w:val="24"/>
        </w:rPr>
        <w:t xml:space="preserve">535 · Il 1986 e i voli interrotti.</w:t>
      </w:r>
      <w:r>
        <w:rPr>
          <w:rFonts w:ascii="Barlow Semi Condensed" w:cs="Barlow Semi Condensed" w:eastAsia="Barlow Semi Condensed" w:hAnsi="Barlow Semi Condensed"/>
          <w:sz w:val="24"/>
          <w:szCs w:val="24"/>
        </w:rPr>
        <w:t xml:space="preserve"> Un vincolo di rotta materiale, e scritto in legge: la normativa statunitense contro l'apartheid del 1986 dispose fra l'altro la cessazione dei collegamenti aerei diretti con il Sud Africa, ripristinati soltanto all'inizio degli anni Novanta. Chi lasciò il Paese verso il Nordamerica in quel periodo passò necessariamente per uno scalo europeo. È un dettaglio che i registri di frontiera riflettono e che consente di verificare i racconti di viaggio.</w:t>
      </w:r>
    </w:p>
    <w:p>
      <w:pPr>
        <w:spacing w:after="120" w:line="276"/>
        <w:jc w:val="both"/>
      </w:pPr>
      <w:r>
        <w:rPr>
          <w:rFonts w:ascii="Barlow Semi Condensed" w:cs="Barlow Semi Condensed" w:eastAsia="Barlow Semi Condensed" w:hAnsi="Barlow Semi Condensed"/>
          <w:b/>
          <w:bCs/>
          <w:sz w:val="24"/>
          <w:szCs w:val="24"/>
        </w:rPr>
        <w:t xml:space="preserve">536 · Portare fuori il denaro.</w:t>
      </w:r>
      <w:r>
        <w:rPr>
          <w:rFonts w:ascii="Barlow Semi Condensed" w:cs="Barlow Semi Condensed" w:eastAsia="Barlow Semi Condensed" w:hAnsi="Barlow Semi Condensed"/>
          <w:sz w:val="24"/>
          <w:szCs w:val="24"/>
        </w:rPr>
        <w:t xml:space="preserve"> Il Sud Africa applicava un rigido controllo dei cambi, con un regime valutario doppio in vigore per un decennio dal 1985, e chi emigrava doveva dichiarare l'emigrazione e rispettare i limiti all'esportazione di capitali fissati dalla banca centrale. Ne segue che ogni trasferimento familiare di denaro verso il Nordamerica lasciava allora una traccia bancaria e autorizzativa. È la sede che chiuderebbe più di una controversia sull'origine dei primi capitali.</w:t>
      </w:r>
    </w:p>
    <w:p>
      <w:pPr>
        <w:spacing w:after="120" w:line="276"/>
        <w:jc w:val="both"/>
      </w:pPr>
      <w:r>
        <w:rPr>
          <w:rFonts w:ascii="Barlow Semi Condensed" w:cs="Barlow Semi Condensed" w:eastAsia="Barlow Semi Condensed" w:hAnsi="Barlow Semi Condensed"/>
          <w:b/>
          <w:bCs/>
          <w:sz w:val="24"/>
          <w:szCs w:val="24"/>
        </w:rPr>
        <w:t xml:space="preserve">537 · Lo Stato scoraggiava, non organizzava.</w:t>
      </w:r>
      <w:r>
        <w:rPr>
          <w:rFonts w:ascii="Barlow Semi Condensed" w:cs="Barlow Semi Condensed" w:eastAsia="Barlow Semi Condensed" w:hAnsi="Barlow Semi Condensed"/>
          <w:sz w:val="24"/>
          <w:szCs w:val="24"/>
        </w:rPr>
        <w:t xml:space="preserve"> È il bersaglio di smentita principale di questa serie, e va offerto al lettore avversario. Se esistesse un programma statale sudafricano che favorisse il collocamento all'estero di giovani bianchi qualificati, la tesi di continuità ne uscirebbe rafforzata. La documentazione disponibile indica il contrario: Pretoria istituì e finanziò un dipartimento per attrarre immigrazione bianca, e l'emigrazione era trattata nella pubblicistica interna come diserzione.</w:t>
      </w:r>
    </w:p>
    <w:p>
      <w:pPr>
        <w:spacing w:after="120" w:line="276"/>
        <w:jc w:val="both"/>
      </w:pPr>
      <w:r>
        <w:rPr>
          <w:rFonts w:ascii="Barlow Semi Condensed" w:cs="Barlow Semi Condensed" w:eastAsia="Barlow Semi Condensed" w:hAnsi="Barlow Semi Condensed"/>
          <w:b/>
          <w:bCs/>
          <w:sz w:val="24"/>
          <w:szCs w:val="24"/>
        </w:rPr>
        <w:t xml:space="preserve">538 · La chiamata alle armi.</w:t>
      </w:r>
      <w:r>
        <w:rPr>
          <w:rFonts w:ascii="Barlow Semi Condensed" w:cs="Barlow Semi Condensed" w:eastAsia="Barlow Semi Condensed" w:hAnsi="Barlow Semi Condensed"/>
          <w:sz w:val="24"/>
          <w:szCs w:val="24"/>
        </w:rPr>
        <w:t xml:space="preserve"> Il servizio militare era obbligatorio per i soli maschi bianchi, esteso a due anni dal 1977, con pene severe per chi si sottraeva. Elon Musk ha dichiarato pubblicamente che una delle ragioni della partenza fu evitare quel servizio. La dichiarazione è pubblica; l'atto che la riscontrerebbe è il registro di chiamata conservato dal centro di documentazione delle forze armate sudafricane, a Pretoria. Chi partì prima della chiamata non lasciò registro.</w:t>
      </w:r>
    </w:p>
    <w:p>
      <w:pPr>
        <w:spacing w:after="120" w:line="276"/>
        <w:jc w:val="both"/>
      </w:pPr>
      <w:r>
        <w:rPr>
          <w:rFonts w:ascii="Barlow Semi Condensed" w:cs="Barlow Semi Condensed" w:eastAsia="Barlow Semi Condensed" w:hAnsi="Barlow Semi Condensed"/>
          <w:b/>
          <w:bCs/>
          <w:sz w:val="24"/>
          <w:szCs w:val="24"/>
        </w:rPr>
        <w:t xml:space="preserve">539 · Misurare la coorte, non il singolo.</w:t>
      </w:r>
      <w:r>
        <w:rPr>
          <w:rFonts w:ascii="Barlow Semi Condensed" w:cs="Barlow Semi Condensed" w:eastAsia="Barlow Semi Condensed" w:hAnsi="Barlow Semi Condensed"/>
          <w:sz w:val="24"/>
          <w:szCs w:val="24"/>
        </w:rPr>
        <w:t xml:space="preserve"> Contro la tentazione di leggere ogni biografia come eccezione esistono le serie statistiche. Il Sud Africa pubblicò per decenni un rapporto sulla migrazione documentata, sospeso nei primi anni Duemila; il Canada e gli Stati Uniti pubblicano da sempre le proprie serie annuali per Paese di provenienza. Se le partenze del 1989 rientrano in un flusso di decine di migliaia, la singolarità della rotta va dimostrata e non presunta.</w:t>
      </w:r>
    </w:p>
    <w:p>
      <w:pPr>
        <w:spacing w:after="120" w:line="276"/>
        <w:jc w:val="both"/>
      </w:pPr>
      <w:r>
        <w:rPr>
          <w:rFonts w:ascii="Barlow Semi Condensed" w:cs="Barlow Semi Condensed" w:eastAsia="Barlow Semi Condensed" w:hAnsi="Barlow Semi Condensed"/>
          <w:b/>
          <w:bCs/>
          <w:sz w:val="24"/>
          <w:szCs w:val="24"/>
        </w:rPr>
        <w:t xml:space="preserve">540 · Che cosa falsificherebbe questa serie.</w:t>
      </w:r>
      <w:r>
        <w:rPr>
          <w:rFonts w:ascii="Barlow Semi Condensed" w:cs="Barlow Semi Condensed" w:eastAsia="Barlow Semi Condensed" w:hAnsi="Barlow Semi Condensed"/>
          <w:sz w:val="24"/>
          <w:szCs w:val="24"/>
        </w:rPr>
        <w:t xml:space="preserve"> Il criterio di smentita si dichiara qui, esplicito. Se i fascicoli, quando saranno accessibili, mostreranno soltanto categorie ordinarie, status studentesco, lavoro qualificato, discendenza, protezione, usate in quegli anni da centinaia di migliaia di persone, la rotta cesserà di avere valore esplicativo e resterà biografia. La serie ha valore solo se produce quei fascicoli; e se il loro contenuto è banale, il risultato è comunque acquisito.</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Serie ottava — La formazione: scuole, università, coscrizione</w:t>
      </w:r>
    </w:p>
    <w:p>
      <w:pPr>
        <w:spacing w:after="120" w:line="276"/>
        <w:jc w:val="both"/>
      </w:pPr>
      <w:r>
        <w:rPr>
          <w:rFonts w:ascii="Barlow Semi Condensed" w:cs="Barlow Semi Condensed" w:eastAsia="Barlow Semi Condensed" w:hAnsi="Barlow Semi Condensed"/>
          <w:i/>
          <w:iCs/>
          <w:sz w:val="24"/>
          <w:szCs w:val="24"/>
        </w:rPr>
        <w:t xml:space="preserve">Blocchi 541-610.</w:t>
      </w:r>
    </w:p>
    <w:p>
      <w:pPr>
        <w:spacing w:after="120" w:line="276"/>
        <w:jc w:val="both"/>
      </w:pPr>
      <w:r>
        <w:rPr>
          <w:rFonts w:ascii="Barlow Semi Condensed" w:cs="Barlow Semi Condensed" w:eastAsia="Barlow Semi Condensed" w:hAnsi="Barlow Semi Condensed"/>
          <w:b/>
          <w:bCs/>
          <w:sz w:val="24"/>
          <w:szCs w:val="24"/>
        </w:rPr>
        <w:t xml:space="preserve">541 · Che cosa misura questa serie (serie VIII).</w:t>
      </w:r>
      <w:r>
        <w:rPr>
          <w:rFonts w:ascii="Barlow Semi Condensed" w:cs="Barlow Semi Condensed" w:eastAsia="Barlow Semi Condensed" w:hAnsi="Barlow Semi Condensed"/>
          <w:sz w:val="24"/>
          <w:szCs w:val="24"/>
        </w:rPr>
        <w:t xml:space="preserve"> La formazione è un oggetto d'archivio prima che una spiegazione. Qui si accerta che cosa un'istituzione prescriveva, quali carte produceva e dove quelle carte oggi si trovino; non che cosa un allievo credette. La distinzione regge l'intera serie ed è la sua condizione di validità: un programma di studi è un documento, una convinzione è al più una dichiarazione resa pubblicamente, e i due gradi non si sommano mai.</w:t>
      </w:r>
    </w:p>
    <w:p>
      <w:pPr>
        <w:spacing w:after="120" w:line="276"/>
        <w:jc w:val="both"/>
      </w:pPr>
      <w:r>
        <w:rPr>
          <w:rFonts w:ascii="Barlow Semi Condensed" w:cs="Barlow Semi Condensed" w:eastAsia="Barlow Semi Condensed" w:hAnsi="Barlow Semi Condensed"/>
          <w:b/>
          <w:bCs/>
          <w:sz w:val="24"/>
          <w:szCs w:val="24"/>
        </w:rPr>
        <w:t xml:space="preserve">542 · Il programma non è la persona.</w:t>
      </w:r>
      <w:r>
        <w:rPr>
          <w:rFonts w:ascii="Barlow Semi Condensed" w:cs="Barlow Semi Condensed" w:eastAsia="Barlow Semi Condensed" w:hAnsi="Barlow Semi Condensed"/>
          <w:sz w:val="24"/>
          <w:szCs w:val="24"/>
        </w:rPr>
        <w:t xml:space="preserve"> Un piano di studi prescrive e non descrive nessuno. Dal fatto che una scuola imponesse una materia non discende che l'allievo l'abbia interiorizzata, né che l'abbia respinta. Il manuale investigativo del corpus fissa al blocco 5 la regola personalistica — l'appartenenza non è condotta — e qui la si applica al banco di scuola, che resta la forma più antica di appartenenza involontaria: l'iscrizione è atto dei genitori, non scelta del minore.</w:t>
      </w:r>
    </w:p>
    <w:p>
      <w:pPr>
        <w:spacing w:after="120" w:line="276"/>
        <w:jc w:val="both"/>
      </w:pPr>
      <w:r>
        <w:rPr>
          <w:rFonts w:ascii="Barlow Semi Condensed" w:cs="Barlow Semi Condensed" w:eastAsia="Barlow Semi Condensed" w:hAnsi="Barlow Semi Condensed"/>
          <w:b/>
          <w:bCs/>
          <w:sz w:val="24"/>
          <w:szCs w:val="24"/>
        </w:rPr>
        <w:t xml:space="preserve">543 · L'infanzia come dato involontario.</w:t>
      </w:r>
      <w:r>
        <w:rPr>
          <w:rFonts w:ascii="Barlow Semi Condensed" w:cs="Barlow Semi Condensed" w:eastAsia="Barlow Semi Condensed" w:hAnsi="Barlow Semi Condensed"/>
          <w:sz w:val="24"/>
          <w:szCs w:val="24"/>
        </w:rPr>
        <w:t xml:space="preserve"> Nessuno sceglie dove nasce, in quale lingua viene alfabetizzato, sotto quale regime prende il primo diploma. Un bambino che nel 1975 frequenti una scuola in un territorio amministrato da Pretoria non ha compiuto un atto politico: ha obbedito a un trasloco. Questa serie registra dunque i contesti scolastici come coordinate biografiche verificabili, e vieta a se stessa il passaggio dal contesto alla disposizione morale dell'adulto che quel bambino divenne.</w:t>
      </w:r>
    </w:p>
    <w:p>
      <w:pPr>
        <w:spacing w:after="120" w:line="276"/>
        <w:jc w:val="both"/>
      </w:pPr>
      <w:r>
        <w:rPr>
          <w:rFonts w:ascii="Barlow Semi Condensed" w:cs="Barlow Semi Condensed" w:eastAsia="Barlow Semi Condensed" w:hAnsi="Barlow Semi Condensed"/>
          <w:b/>
          <w:bCs/>
          <w:sz w:val="24"/>
          <w:szCs w:val="24"/>
        </w:rPr>
        <w:t xml:space="preserve">544 · I quattro gradi in aula.</w:t>
      </w:r>
      <w:r>
        <w:rPr>
          <w:rFonts w:ascii="Barlow Semi Condensed" w:cs="Barlow Semi Condensed" w:eastAsia="Barlow Semi Condensed" w:hAnsi="Barlow Semi Condensed"/>
          <w:sz w:val="24"/>
          <w:szCs w:val="24"/>
        </w:rPr>
        <w:t xml:space="preserve"> Ogni acquisizione della serie porta il grado dichiarato, secondo la scala già in uso nel corpus: fatto pubblico per una data d'immatricolazione, documentato per un registro effettivamente consultato, indiziario per una ricostruzione tratta da elenchi parziali, congetturale per ciò che resta ipotesi. Lo Stato Zero — cercato e non trovato — vale quanto un rinvenimento, purché sia scritto insieme alla sede d'archivio che lo chiuderebbe.</w:t>
      </w:r>
    </w:p>
    <w:p>
      <w:pPr>
        <w:spacing w:after="120" w:line="276"/>
        <w:jc w:val="both"/>
      </w:pPr>
      <w:r>
        <w:rPr>
          <w:rFonts w:ascii="Barlow Semi Condensed" w:cs="Barlow Semi Condensed" w:eastAsia="Barlow Semi Condensed" w:hAnsi="Barlow Semi Condensed"/>
          <w:b/>
          <w:bCs/>
          <w:sz w:val="24"/>
          <w:szCs w:val="24"/>
        </w:rPr>
        <w:t xml:space="preserve">545 · Il documento dovuto della scuola.</w:t>
      </w:r>
      <w:r>
        <w:rPr>
          <w:rFonts w:ascii="Barlow Semi Condensed" w:cs="Barlow Semi Condensed" w:eastAsia="Barlow Semi Condensed" w:hAnsi="Barlow Semi Condensed"/>
          <w:sz w:val="24"/>
          <w:szCs w:val="24"/>
        </w:rPr>
        <w:t xml:space="preserve"> Una scuola, per esistere amministrativamente, genera carte prevedibili: registro d'ammissione, ruolo delle classi, verbali del consiglio, circolari sui programmi, rapporti d'ispezione, corrispondenza con l'autorità provinciale. Il principio del blocco 10 del manuale investigativo vale qui identico: la domanda operativa non è che cosa si insegnasse in spirito, ma dove siano le carte che quell'insegnamento ha necessariamente prodotto. Se il documento dovuto manca, l'assenza è dato di grado alto.</w:t>
      </w:r>
    </w:p>
    <w:p>
      <w:pPr>
        <w:spacing w:after="120" w:line="276"/>
        <w:jc w:val="both"/>
      </w:pPr>
      <w:r>
        <w:rPr>
          <w:rFonts w:ascii="Barlow Semi Condensed" w:cs="Barlow Semi Condensed" w:eastAsia="Barlow Semi Condensed" w:hAnsi="Barlow Semi Condensed"/>
          <w:b/>
          <w:bCs/>
          <w:sz w:val="24"/>
          <w:szCs w:val="24"/>
        </w:rPr>
        <w:t xml:space="preserve">546 · La coorte non è il carattere.</w:t>
      </w:r>
      <w:r>
        <w:rPr>
          <w:rFonts w:ascii="Barlow Semi Condensed" w:cs="Barlow Semi Condensed" w:eastAsia="Barlow Semi Condensed" w:hAnsi="Barlow Semi Condensed"/>
          <w:sz w:val="24"/>
          <w:szCs w:val="24"/>
        </w:rPr>
        <w:t xml:space="preserve"> Condividere un anno di nascita, una provincia e una classificazione razziale imposta significa condividere un insieme di vincoli, non un insieme di idee. Migliaia di ragazzi bianchi sudafricani nati fra il 1967 e il 1975 attraversarono aule simili e ne uscirono in direzioni opposte, alcuni verso l'obiezione dichiarata, altri verso la carriera militare. La coorte è una popolazione statistica: non predice nulla del singolo e non prova nulla contro di lui.</w:t>
      </w:r>
    </w:p>
    <w:p>
      <w:pPr>
        <w:spacing w:after="120" w:line="276"/>
        <w:jc w:val="both"/>
      </w:pPr>
      <w:r>
        <w:rPr>
          <w:rFonts w:ascii="Barlow Semi Condensed" w:cs="Barlow Semi Condensed" w:eastAsia="Barlow Semi Condensed" w:hAnsi="Barlow Semi Condensed"/>
          <w:b/>
          <w:bCs/>
          <w:sz w:val="24"/>
          <w:szCs w:val="24"/>
        </w:rPr>
        <w:t xml:space="preserve">547 · La commissione Eiselen e il suo rapporto.</w:t>
      </w:r>
      <w:r>
        <w:rPr>
          <w:rFonts w:ascii="Barlow Semi Condensed" w:cs="Barlow Semi Condensed" w:eastAsia="Barlow Semi Condensed" w:hAnsi="Barlow Semi Condensed"/>
          <w:sz w:val="24"/>
          <w:szCs w:val="24"/>
        </w:rPr>
        <w:t xml:space="preserve"> Il fondamento dottrinale dell'istruzione separata sta in un documento datato: il rapporto della commissione sull'istruzione degli indigeni presieduta da Werner Eiselen, insediata nel 1949 e pubblicata nel 1951 come atto governativo con la segnatura UG 53/1951. È stampato, paginato e citabile; chi discute di Bantu Education senza averlo aperto discute di una parafrasi. Prima sede di consultazione: le serie delle pubblicazioni ufficiali all'Archivio nazionale di Pretoria.</w:t>
      </w:r>
    </w:p>
    <w:p>
      <w:pPr>
        <w:spacing w:after="120" w:line="276"/>
        <w:jc w:val="both"/>
      </w:pPr>
      <w:r>
        <w:rPr>
          <w:rFonts w:ascii="Barlow Semi Condensed" w:cs="Barlow Semi Condensed" w:eastAsia="Barlow Semi Condensed" w:hAnsi="Barlow Semi Condensed"/>
          <w:b/>
          <w:bCs/>
          <w:sz w:val="24"/>
          <w:szCs w:val="24"/>
        </w:rPr>
        <w:t xml:space="preserve">548 · Il Bantu Education Act del 1953.</w:t>
      </w:r>
      <w:r>
        <w:rPr>
          <w:rFonts w:ascii="Barlow Semi Condensed" w:cs="Barlow Semi Condensed" w:eastAsia="Barlow Semi Condensed" w:hAnsi="Barlow Semi Condensed"/>
          <w:sz w:val="24"/>
          <w:szCs w:val="24"/>
        </w:rPr>
        <w:t xml:space="preserve"> La legge numero 47 del 1953 sottrasse l'istruzione africana alle missioni e la pose sotto il ministero degli Affari indigeni. Il testo promulgato sta nella gazzetta ufficiale dell'Unione: si cita per numero, anno e sezione, mai per riassunto altrui. Il bersaglio d'archivio è duplice — il testo di legge e i regolamenti attuativi successivi, che sono la parte operativa e insieme la meno letta dalla pubblicistica corrente.</w:t>
      </w:r>
    </w:p>
    <w:p>
      <w:pPr>
        <w:spacing w:after="120" w:line="276"/>
        <w:jc w:val="both"/>
      </w:pPr>
      <w:r>
        <w:rPr>
          <w:rFonts w:ascii="Barlow Semi Condensed" w:cs="Barlow Semi Condensed" w:eastAsia="Barlow Semi Condensed" w:hAnsi="Barlow Semi Condensed"/>
          <w:b/>
          <w:bCs/>
          <w:sz w:val="24"/>
          <w:szCs w:val="24"/>
        </w:rPr>
        <w:t xml:space="preserve">549 · Le carte che la legge generò.</w:t>
      </w:r>
      <w:r>
        <w:rPr>
          <w:rFonts w:ascii="Barlow Semi Condensed" w:cs="Barlow Semi Condensed" w:eastAsia="Barlow Semi Condensed" w:hAnsi="Barlow Semi Condensed"/>
          <w:sz w:val="24"/>
          <w:szCs w:val="24"/>
        </w:rPr>
        <w:t xml:space="preserve"> Dal 1955 il passaggio delle scuole africane all'amministrazione statale produsse un apparato documentale enorme: fascicoli di sovvenzione, ruoli del personale insegnante, circolari sui sillabi, rapporti d'ispezione distrettuali. Il dipartimento competente, divenuto autonomo nel 1958, ha lasciato un fondo che va identificato per sigla e per serie presso il National Archives and Record Service of South Africa, a Pretoria. Senza le sigle di serie nessuna richiesta di consultazione è formulabile.</w:t>
      </w:r>
    </w:p>
    <w:p>
      <w:pPr>
        <w:spacing w:after="120" w:line="276"/>
        <w:jc w:val="both"/>
      </w:pPr>
      <w:r>
        <w:rPr>
          <w:rFonts w:ascii="Barlow Semi Condensed" w:cs="Barlow Semi Condensed" w:eastAsia="Barlow Semi Condensed" w:hAnsi="Barlow Semi Condensed"/>
          <w:b/>
          <w:bCs/>
          <w:sz w:val="24"/>
          <w:szCs w:val="24"/>
        </w:rPr>
        <w:t xml:space="preserve">550 · Il trasferimento delle scuole missionarie.</w:t>
      </w:r>
      <w:r>
        <w:rPr>
          <w:rFonts w:ascii="Barlow Semi Condensed" w:cs="Barlow Semi Condensed" w:eastAsia="Barlow Semi Condensed" w:hAnsi="Barlow Semi Condensed"/>
          <w:sz w:val="24"/>
          <w:szCs w:val="24"/>
        </w:rPr>
        <w:t xml:space="preserve"> Ciò che lo Stato prese, le chiese in parte conservarono. Gli archivi delle società missionarie — anglicana, metodista, cattolica, luterana — custodiscono i registri delle scuole anteriori al trasferimento, e in Sud Africa una parte di questi fondi è depositata presso archivi universitari. Il quesito è di raccordo: per un dato istituto, quale segmento cronologico sta in archivio ecclesiastico e quale in archivio statale, e dove passa esattamente la cesura.</w:t>
      </w:r>
    </w:p>
    <w:p>
      <w:pPr>
        <w:spacing w:after="120" w:line="276"/>
        <w:jc w:val="both"/>
      </w:pPr>
      <w:r>
        <w:rPr>
          <w:rFonts w:ascii="Barlow Semi Condensed" w:cs="Barlow Semi Condensed" w:eastAsia="Barlow Semi Condensed" w:hAnsi="Barlow Semi Condensed"/>
          <w:b/>
          <w:bCs/>
          <w:sz w:val="24"/>
          <w:szCs w:val="24"/>
        </w:rPr>
        <w:t xml:space="preserve">551 · La spesa per allievo, per razza.</w:t>
      </w:r>
      <w:r>
        <w:rPr>
          <w:rFonts w:ascii="Barlow Semi Condensed" w:cs="Barlow Semi Condensed" w:eastAsia="Barlow Semi Condensed" w:hAnsi="Barlow Semi Condensed"/>
          <w:sz w:val="24"/>
          <w:szCs w:val="24"/>
        </w:rPr>
        <w:t xml:space="preserve"> Le cifre differenziali della spesa pubblica per allievo secondo la classificazione razziale non vanno prese da compilazioni in rete: esistono nella serie annuale del Survey of Race Relations pubblicata dal South African Institute of Race Relations, e le carte dell'istituto sono conservate fra le Historical Papers dell'Università del Witwatersrand. Ogni cifra usata deve poter essere ricondotta all'annata e alla pagina del volume che la stampò.</w:t>
      </w:r>
    </w:p>
    <w:p>
      <w:pPr>
        <w:spacing w:after="120" w:line="276"/>
        <w:jc w:val="both"/>
      </w:pPr>
      <w:r>
        <w:rPr>
          <w:rFonts w:ascii="Barlow Semi Condensed" w:cs="Barlow Semi Condensed" w:eastAsia="Barlow Semi Condensed" w:hAnsi="Barlow Semi Condensed"/>
          <w:b/>
          <w:bCs/>
          <w:sz w:val="24"/>
          <w:szCs w:val="24"/>
        </w:rPr>
        <w:t xml:space="preserve">552 · L'atto del 1959 sulle università.</w:t>
      </w:r>
      <w:r>
        <w:rPr>
          <w:rFonts w:ascii="Barlow Semi Condensed" w:cs="Barlow Semi Condensed" w:eastAsia="Barlow Semi Condensed" w:hAnsi="Barlow Semi Condensed"/>
          <w:sz w:val="24"/>
          <w:szCs w:val="24"/>
        </w:rPr>
        <w:t xml:space="preserve"> L'Extension of University Education Act numero 45 del 1959 chiuse alle matricole nere gli atenei fino allora aperti e istituì collegi separati per gruppo classificato. È l'atto che spiega perché due carriere universitarie sudafricane coeve possano risultare incomparabili: non per merito, per legge. Il testo e i lavori parlamentari che lo accompagnarono stanno nei resoconti dell'assemblea, la cui serie a stampa è consultabile nelle biblioteche di deposito legale.</w:t>
      </w:r>
    </w:p>
    <w:p>
      <w:pPr>
        <w:spacing w:after="120" w:line="276"/>
        <w:jc w:val="both"/>
      </w:pPr>
      <w:r>
        <w:rPr>
          <w:rFonts w:ascii="Barlow Semi Condensed" w:cs="Barlow Semi Condensed" w:eastAsia="Barlow Semi Condensed" w:hAnsi="Barlow Semi Condensed"/>
          <w:b/>
          <w:bCs/>
          <w:sz w:val="24"/>
          <w:szCs w:val="24"/>
        </w:rPr>
        <w:t xml:space="preserve">553 · Il sistema dei permessi.</w:t>
      </w:r>
      <w:r>
        <w:rPr>
          <w:rFonts w:ascii="Barlow Semi Condensed" w:cs="Barlow Semi Condensed" w:eastAsia="Barlow Semi Condensed" w:hAnsi="Barlow Semi Condensed"/>
          <w:sz w:val="24"/>
          <w:szCs w:val="24"/>
        </w:rPr>
        <w:t xml:space="preserve"> Dopo il 1959 l'ammissione di uno studente nero a un ateneo classificato altrimenti richiedeva un permesso ministeriale individuale. Ogni permesso concesso o negato è, per definizione, un fascicolo: istanza, istruttoria, decisione. Il bersaglio è la serie di questi fascicoli presso l'archivio nazionale, e la costruzione di una statistica annuale di concessioni e dinieghi. Il permesso è la forma amministrativa in cui l'eccezione conferma per iscritto la regola.</w:t>
      </w:r>
    </w:p>
    <w:p>
      <w:pPr>
        <w:spacing w:after="120" w:line="276"/>
        <w:jc w:val="both"/>
      </w:pPr>
      <w:r>
        <w:rPr>
          <w:rFonts w:ascii="Barlow Semi Condensed" w:cs="Barlow Semi Condensed" w:eastAsia="Barlow Semi Condensed" w:hAnsi="Barlow Semi Condensed"/>
          <w:b/>
          <w:bCs/>
          <w:sz w:val="24"/>
          <w:szCs w:val="24"/>
        </w:rPr>
        <w:t xml:space="preserve">554 · Fort Hare passa di mano.</w:t>
      </w:r>
      <w:r>
        <w:rPr>
          <w:rFonts w:ascii="Barlow Semi Condensed" w:cs="Barlow Semi Condensed" w:eastAsia="Barlow Semi Condensed" w:hAnsi="Barlow Semi Condensed"/>
          <w:sz w:val="24"/>
          <w:szCs w:val="24"/>
        </w:rPr>
        <w:t xml:space="preserve"> L'università di Fort Hare, ad Alice nel Capo Orientale, fu trasferita nel 1959 all'amministrazione dell'istruzione separata con una legge dedicata. Il suo archivio ospita oggi anche i fondi documentali dei movimenti di liberazione, presso il centro di studi patrimoniali dell'ateneo. È il luogo in cui la storia dell'istruzione e quella della resistenza condividono lo stesso deposito: circostanza rara, e utile a chi voglia verificare due versioni sullo stesso scaffale.</w:t>
      </w:r>
    </w:p>
    <w:p>
      <w:pPr>
        <w:spacing w:after="120" w:line="276"/>
        <w:jc w:val="both"/>
      </w:pPr>
      <w:r>
        <w:rPr>
          <w:rFonts w:ascii="Barlow Semi Condensed" w:cs="Barlow Semi Condensed" w:eastAsia="Barlow Semi Condensed" w:hAnsi="Barlow Semi Condensed"/>
          <w:b/>
          <w:bCs/>
          <w:sz w:val="24"/>
          <w:szCs w:val="24"/>
        </w:rPr>
        <w:t xml:space="preserve">555 · Le università aperte e il loro opuscolo.</w:t>
      </w:r>
      <w:r>
        <w:rPr>
          <w:rFonts w:ascii="Barlow Semi Condensed" w:cs="Barlow Semi Condensed" w:eastAsia="Barlow Semi Condensed" w:hAnsi="Barlow Semi Condensed"/>
          <w:sz w:val="24"/>
          <w:szCs w:val="24"/>
        </w:rPr>
        <w:t xml:space="preserve"> Nel 1957 gli atenei di Città del Capo e del Witwatersrand pubblicarono congiuntamente una dichiarazione a stampa in difesa dell'ammissione senza distinzione razziale. È un documento breve, datato e reperibile nelle collezioni speciali delle due sedi. Serve a stabilire un punto che la pubblicistica dimentica: dentro il sistema esistevano posizioni istituzionali divergenti, e la divergenza è documentata, non presunta. Le istituzioni di quel Paese non parlavano con una voce sola.</w:t>
      </w:r>
    </w:p>
    <w:p>
      <w:pPr>
        <w:spacing w:after="120" w:line="276"/>
        <w:jc w:val="both"/>
      </w:pPr>
      <w:r>
        <w:rPr>
          <w:rFonts w:ascii="Barlow Semi Condensed" w:cs="Barlow Semi Condensed" w:eastAsia="Barlow Semi Condensed" w:hAnsi="Barlow Semi Condensed"/>
          <w:b/>
          <w:bCs/>
          <w:sz w:val="24"/>
          <w:szCs w:val="24"/>
        </w:rPr>
        <w:t xml:space="preserve">556 · La dottrina cristiano-nazionale del 1948.</w:t>
      </w:r>
      <w:r>
        <w:rPr>
          <w:rFonts w:ascii="Barlow Semi Condensed" w:cs="Barlow Semi Condensed" w:eastAsia="Barlow Semi Condensed" w:hAnsi="Barlow Semi Condensed"/>
          <w:sz w:val="24"/>
          <w:szCs w:val="24"/>
        </w:rPr>
        <w:t xml:space="preserve"> La dichiarazione programmatica dell'istruzione cristiano-nazionale, elaborata nel 1948 nell'area culturale afrikaner, è un testo dottrinale e non una legge. Va letta come tale: enuncia una filosofia dell'educazione, e la sua traduzione in norma è successiva e parziale. Confondere il manifesto con il codice è l'errore più frequente su questa materia. Il bersaglio è la collazione fra quel testo e i sillabi effettivamente circolanti nelle scuole due decenni dopo.</w:t>
      </w:r>
    </w:p>
    <w:p>
      <w:pPr>
        <w:spacing w:after="120" w:line="276"/>
        <w:jc w:val="both"/>
      </w:pPr>
      <w:r>
        <w:rPr>
          <w:rFonts w:ascii="Barlow Semi Condensed" w:cs="Barlow Semi Condensed" w:eastAsia="Barlow Semi Condensed" w:hAnsi="Barlow Semi Condensed"/>
          <w:b/>
          <w:bCs/>
          <w:sz w:val="24"/>
          <w:szCs w:val="24"/>
        </w:rPr>
        <w:t xml:space="preserve">557 · La legge del 1967 sulle scuole bianche.</w:t>
      </w:r>
      <w:r>
        <w:rPr>
          <w:rFonts w:ascii="Barlow Semi Condensed" w:cs="Barlow Semi Condensed" w:eastAsia="Barlow Semi Condensed" w:hAnsi="Barlow Semi Condensed"/>
          <w:sz w:val="24"/>
          <w:szCs w:val="24"/>
        </w:rPr>
        <w:t xml:space="preserve"> La normativa sulla politica educativa nazionale del 1967 fissò per le scuole statali destinate ai bianchi un carattere dichiaratamente cristiano e nazionale. Qui la serie deve essere chirurgica: la legge vincolava gli istituti, non i pensieri. Il bersaglio verificabile non è l'atmosfera di un'aula ma il sillabo effettivo di storia e di studi biblici, per provincia e per anno scolastico, conservato negli archivi dei dipartimenti provinciali dell'istruzione.</w:t>
      </w:r>
    </w:p>
    <w:p>
      <w:pPr>
        <w:spacing w:after="120" w:line="276"/>
        <w:jc w:val="both"/>
      </w:pPr>
      <w:r>
        <w:rPr>
          <w:rFonts w:ascii="Barlow Semi Condensed" w:cs="Barlow Semi Condensed" w:eastAsia="Barlow Semi Condensed" w:hAnsi="Barlow Semi Condensed"/>
          <w:b/>
          <w:bCs/>
          <w:sz w:val="24"/>
          <w:szCs w:val="24"/>
        </w:rPr>
        <w:t xml:space="preserve">558 · Il decreto sull'afrikaans e Soweto.</w:t>
      </w:r>
      <w:r>
        <w:rPr>
          <w:rFonts w:ascii="Barlow Semi Condensed" w:cs="Barlow Semi Condensed" w:eastAsia="Barlow Semi Condensed" w:hAnsi="Barlow Semi Condensed"/>
          <w:sz w:val="24"/>
          <w:szCs w:val="24"/>
        </w:rPr>
        <w:t xml:space="preserve"> L'imposizione dell'afrikaans come lingua veicolare in parte delle materie nelle scuole africane, disposta nel 1974, è all'origine delle manifestazioni studentesche del 16 giugno 1976. È un fatto pubblico, datato e non contestato nella sua struttura. Va tenuto separato da ogni biografia individuale: chi nel 1976 aveva cinque anni non fu attore di quegli eventi, e la contemporaneità anagrafica non stabilisce alcun rapporto.</w:t>
      </w:r>
    </w:p>
    <w:p>
      <w:pPr>
        <w:spacing w:after="120" w:line="276"/>
        <w:jc w:val="both"/>
      </w:pPr>
      <w:r>
        <w:rPr>
          <w:rFonts w:ascii="Barlow Semi Condensed" w:cs="Barlow Semi Condensed" w:eastAsia="Barlow Semi Condensed" w:hAnsi="Barlow Semi Condensed"/>
          <w:b/>
          <w:bCs/>
          <w:sz w:val="24"/>
          <w:szCs w:val="24"/>
        </w:rPr>
        <w:t xml:space="preserve">559 · La commissione Cillié (serie VIII).</w:t>
      </w:r>
      <w:r>
        <w:rPr>
          <w:rFonts w:ascii="Barlow Semi Condensed" w:cs="Barlow Semi Condensed" w:eastAsia="Barlow Semi Condensed" w:hAnsi="Barlow Semi Condensed"/>
          <w:sz w:val="24"/>
          <w:szCs w:val="24"/>
        </w:rPr>
        <w:t xml:space="preserve"> L'inchiesta ufficiale sui disordini iniziati a Soweto, presieduta dal giudice Petrus Cillié, produsse alla fine degli anni Settanta una relazione a stampa e un fondo di deposizioni raccolte. La relazione è fonte primaria di parte governativa: si usa per ciò che attesta di sé, non come verdetto storiografico. Il fondo delle deposizioni, se integro, è il vero giacimento; individuarne la collocazione presso l'archivio nazionale resta un bersaglio aperto.</w:t>
      </w:r>
    </w:p>
    <w:p>
      <w:pPr>
        <w:spacing w:after="120" w:line="276"/>
        <w:jc w:val="both"/>
      </w:pPr>
      <w:r>
        <w:rPr>
          <w:rFonts w:ascii="Barlow Semi Condensed" w:cs="Barlow Semi Condensed" w:eastAsia="Barlow Semi Condensed" w:hAnsi="Barlow Semi Condensed"/>
          <w:b/>
          <w:bCs/>
          <w:sz w:val="24"/>
          <w:szCs w:val="24"/>
        </w:rPr>
        <w:t xml:space="preserve">560 · Preparazione giovanile nelle scuole bianche.</w:t>
      </w:r>
      <w:r>
        <w:rPr>
          <w:rFonts w:ascii="Barlow Semi Condensed" w:cs="Barlow Semi Condensed" w:eastAsia="Barlow Semi Condensed" w:hAnsi="Barlow Semi Condensed"/>
          <w:sz w:val="24"/>
          <w:szCs w:val="24"/>
        </w:rPr>
        <w:t xml:space="preserve"> Nelle scuole statali per bianchi fu introdotto, nel corso degli anni Settanta, un insegnamento di preparazione giovanile che univa educazione civica e istruzione sulla sicurezza nazionale. Che cosa contenessero esattamente quei manuali, e se la frequenza fosse obbligatoria negli istituti superiori maschili del Transvaal negli anni Ottanta, non si deduce: si legge nelle circolari del dipartimento provinciale dell'istruzione. È uno dei bersagli più concreti dell'intera serie.</w:t>
      </w:r>
    </w:p>
    <w:p>
      <w:pPr>
        <w:spacing w:after="120" w:line="276"/>
        <w:jc w:val="both"/>
      </w:pPr>
      <w:r>
        <w:rPr>
          <w:rFonts w:ascii="Barlow Semi Condensed" w:cs="Barlow Semi Condensed" w:eastAsia="Barlow Semi Condensed" w:hAnsi="Barlow Semi Condensed"/>
          <w:b/>
          <w:bCs/>
          <w:sz w:val="24"/>
          <w:szCs w:val="24"/>
        </w:rPr>
        <w:t xml:space="preserve">561 · I cadetti scolastici.</w:t>
      </w:r>
      <w:r>
        <w:rPr>
          <w:rFonts w:ascii="Barlow Semi Condensed" w:cs="Barlow Semi Condensed" w:eastAsia="Barlow Semi Condensed" w:hAnsi="Barlow Semi Condensed"/>
          <w:sz w:val="24"/>
          <w:szCs w:val="24"/>
        </w:rPr>
        <w:t xml:space="preserve"> Molte scuole superiori maschili per bianchi mantenevano un corpo cadetti sostenuto dalle forze armate, con parate, uniformi e istruzione formale; il sistema fu smantellato all'inizio degli anni Novanta. La domanda d'archivio è precisa: per un dato istituto e un dato anno esistono ancora i ruoli del corpo cadetti, e chi li conserva — la scuola o il centro documentale della difesa? La risposta cambia la reperibilità di qualunque dato.</w:t>
      </w:r>
    </w:p>
    <w:p>
      <w:pPr>
        <w:spacing w:after="120" w:line="276"/>
        <w:jc w:val="both"/>
      </w:pPr>
      <w:r>
        <w:rPr>
          <w:rFonts w:ascii="Barlow Semi Condensed" w:cs="Barlow Semi Condensed" w:eastAsia="Barlow Semi Condensed" w:hAnsi="Barlow Semi Condensed"/>
          <w:b/>
          <w:bCs/>
          <w:sz w:val="24"/>
          <w:szCs w:val="24"/>
        </w:rPr>
        <w:t xml:space="preserve">562 · Il registro delle punizioni.</w:t>
      </w:r>
      <w:r>
        <w:rPr>
          <w:rFonts w:ascii="Barlow Semi Condensed" w:cs="Barlow Semi Condensed" w:eastAsia="Barlow Semi Condensed" w:hAnsi="Barlow Semi Condensed"/>
          <w:sz w:val="24"/>
          <w:szCs w:val="24"/>
        </w:rPr>
        <w:t xml:space="preserve"> La punizione corporale nelle scuole sudafricane fu vietata soltanto con la legge scolastica del 1996. Prima di allora era pratica legale e regolata; e dove una pratica è regolata, esiste normalmente un registro che la verbalizza. Verificare se i regolamenti provinciali imponessero un libro delle punizioni, e se esemplari ne siano sopravvissuti, è più utile di qualunque ricordo d'infanzia riferito quarant'anni dopo a un intervistatore.</w:t>
      </w:r>
    </w:p>
    <w:p>
      <w:pPr>
        <w:spacing w:after="120" w:line="276"/>
        <w:jc w:val="both"/>
      </w:pPr>
      <w:r>
        <w:rPr>
          <w:rFonts w:ascii="Barlow Semi Condensed" w:cs="Barlow Semi Condensed" w:eastAsia="Barlow Semi Condensed" w:hAnsi="Barlow Semi Condensed"/>
          <w:b/>
          <w:bCs/>
          <w:sz w:val="24"/>
          <w:szCs w:val="24"/>
        </w:rPr>
        <w:t xml:space="preserve">563 · Pretoria: l'archivio nazionale.</w:t>
      </w:r>
      <w:r>
        <w:rPr>
          <w:rFonts w:ascii="Barlow Semi Condensed" w:cs="Barlow Semi Condensed" w:eastAsia="Barlow Semi Condensed" w:hAnsi="Barlow Semi Condensed"/>
          <w:sz w:val="24"/>
          <w:szCs w:val="24"/>
        </w:rPr>
        <w:t xml:space="preserve"> Il National Archives and Record Service of South Africa, istituito con legge nel 1996, conserva a Pretoria i fondi centrali dello Stato, con depositi provinciali a Città del Capo, Pietermaritzburg e Bloemfontein. L'accesso segue la legge d'archivio e le sue soglie temporali. Prima di ogni richiesta va compilata la mappa dei fondi pertinenti, con sigle di serie ed estremi cronologici: chiedere genericamente «le carte della Bantu Education» significa non ricevere nulla.</w:t>
      </w:r>
    </w:p>
    <w:p>
      <w:pPr>
        <w:spacing w:after="120" w:line="276"/>
        <w:jc w:val="both"/>
      </w:pPr>
      <w:r>
        <w:rPr>
          <w:rFonts w:ascii="Barlow Semi Condensed" w:cs="Barlow Semi Condensed" w:eastAsia="Barlow Semi Condensed" w:hAnsi="Barlow Semi Condensed"/>
          <w:b/>
          <w:bCs/>
          <w:sz w:val="24"/>
          <w:szCs w:val="24"/>
        </w:rPr>
        <w:t xml:space="preserve">564 · PAIA come strumento, non scorciatoia.</w:t>
      </w:r>
      <w:r>
        <w:rPr>
          <w:rFonts w:ascii="Barlow Semi Condensed" w:cs="Barlow Semi Condensed" w:eastAsia="Barlow Semi Condensed" w:hAnsi="Barlow Semi Condensed"/>
          <w:sz w:val="24"/>
          <w:szCs w:val="24"/>
        </w:rPr>
        <w:t xml:space="preserve"> Lo strumento sudafricano di accesso all'informazione, in vigore dal 2000, consente istanze motivate anche verso enti privati e non solo pubblici. L'agenda di ricerca del corpus, al blocco 131, insegna la strategia corretta: richieste mirate, una per carta o per piccolo lotto, con motivazione storica argomentata, e un registro che tenga il conto di rilasci e dinieghi. Ogni diniego motivato è un dato acquisito, non un fallimento.</w:t>
      </w:r>
    </w:p>
    <w:p>
      <w:pPr>
        <w:spacing w:after="120" w:line="276"/>
        <w:jc w:val="both"/>
      </w:pPr>
      <w:r>
        <w:rPr>
          <w:rFonts w:ascii="Barlow Semi Condensed" w:cs="Barlow Semi Condensed" w:eastAsia="Barlow Semi Condensed" w:hAnsi="Barlow Semi Condensed"/>
          <w:b/>
          <w:bCs/>
          <w:sz w:val="24"/>
          <w:szCs w:val="24"/>
        </w:rPr>
        <w:t xml:space="preserve">565 · POPIA e i dati personali.</w:t>
      </w:r>
      <w:r>
        <w:rPr>
          <w:rFonts w:ascii="Barlow Semi Condensed" w:cs="Barlow Semi Condensed" w:eastAsia="Barlow Semi Condensed" w:hAnsi="Barlow Semi Condensed"/>
          <w:sz w:val="24"/>
          <w:szCs w:val="24"/>
        </w:rPr>
        <w:t xml:space="preserve"> La disciplina sudafricana del 2013 sulla protezione dei dati personali limita la comunicazione di informazioni relative a persone identificabili viventi, e il vincolo tocca in pieno i ruoli scolastici, i fascicoli di leva e i registri sanitari. La conseguenza metodologica è netta: molti quesiti di questa serie si chiuderanno con un diniego legittimo. Un diniego per riservatezza non è reticenza: si verbalizza come tale e si va oltre.</w:t>
      </w:r>
    </w:p>
    <w:p>
      <w:pPr>
        <w:spacing w:after="120" w:line="276"/>
        <w:jc w:val="both"/>
      </w:pPr>
      <w:r>
        <w:rPr>
          <w:rFonts w:ascii="Barlow Semi Condensed" w:cs="Barlow Semi Condensed" w:eastAsia="Barlow Semi Condensed" w:hAnsi="Barlow Semi Condensed"/>
          <w:b/>
          <w:bCs/>
          <w:sz w:val="24"/>
          <w:szCs w:val="24"/>
        </w:rPr>
        <w:t xml:space="preserve">566 · Le Historical Papers della Wits.</w:t>
      </w:r>
      <w:r>
        <w:rPr>
          <w:rFonts w:ascii="Barlow Semi Condensed" w:cs="Barlow Semi Condensed" w:eastAsia="Barlow Semi Condensed" w:hAnsi="Barlow Semi Condensed"/>
          <w:sz w:val="24"/>
          <w:szCs w:val="24"/>
        </w:rPr>
        <w:t xml:space="preserve"> Presso la William Cullen Library dell'Università del Witwatersrand, a Johannesburg, l'archivio Historical Papers conserva fondi decisivi per questa serie: le carte dell'istituto per le relazioni razziali, quelle delle organizzazioni studentesche nazionali, il materiale sull'obiezione alla leva. Gli inventari sono in larga parte in rete e citabili per segnatura. È la prima sede da interrogare su tutto ciò che riguarda l'opposizione interna al sistema educativo separato.</w:t>
      </w:r>
    </w:p>
    <w:p>
      <w:pPr>
        <w:spacing w:after="120" w:line="276"/>
        <w:jc w:val="both"/>
      </w:pPr>
      <w:r>
        <w:rPr>
          <w:rFonts w:ascii="Barlow Semi Condensed" w:cs="Barlow Semi Condensed" w:eastAsia="Barlow Semi Condensed" w:hAnsi="Barlow Semi Condensed"/>
          <w:b/>
          <w:bCs/>
          <w:sz w:val="24"/>
          <w:szCs w:val="24"/>
        </w:rPr>
        <w:t xml:space="preserve">567 · Le collezioni speciali di Città del Capo.</w:t>
      </w:r>
      <w:r>
        <w:rPr>
          <w:rFonts w:ascii="Barlow Semi Condensed" w:cs="Barlow Semi Condensed" w:eastAsia="Barlow Semi Condensed" w:hAnsi="Barlow Semi Condensed"/>
          <w:sz w:val="24"/>
          <w:szCs w:val="24"/>
        </w:rPr>
        <w:t xml:space="preserve"> Le Special Collections delle biblioteche dell'Università di Città del Capo custodiscono gli atti accademici dell'ateneo e le carte di docenti e organizzazioni legate alla difesa della libertà accademica, inclusa la serie delle conferenze commemorative istituite alla fine degli anni Cinquanta. Per la carriera universitaria sudafricana di chiunque abbia studiato lì, l'ufficio del registrar e questo deposito sono le due porte da varcare, in quest'ordine.</w:t>
      </w:r>
    </w:p>
    <w:p>
      <w:pPr>
        <w:spacing w:after="120" w:line="276"/>
        <w:jc w:val="both"/>
      </w:pPr>
      <w:r>
        <w:rPr>
          <w:rFonts w:ascii="Barlow Semi Condensed" w:cs="Barlow Semi Condensed" w:eastAsia="Barlow Semi Condensed" w:hAnsi="Barlow Semi Condensed"/>
          <w:b/>
          <w:bCs/>
          <w:sz w:val="24"/>
          <w:szCs w:val="24"/>
        </w:rPr>
        <w:t xml:space="preserve">568 · L'archivio dell'UNISA e gli studi africani.</w:t>
      </w:r>
      <w:r>
        <w:rPr>
          <w:rFonts w:ascii="Barlow Semi Condensed" w:cs="Barlow Semi Condensed" w:eastAsia="Barlow Semi Condensed" w:hAnsi="Barlow Semi Condensed"/>
          <w:sz w:val="24"/>
          <w:szCs w:val="24"/>
        </w:rPr>
        <w:t xml:space="preserve"> L'Università del Sudafrica, ateneo per corrispondenza con sede a Pretoria, fu per decenni la sola via d'accesso all'istruzione superiore per molti studenti neri esclusi dalle sedi residenziali, e conserva un proprio archivio con un centro di documentazione sugli studi africani. Il quesito quantitativo è netto e verificabile: quanti laureati produsse per anno e per classificazione imposta, secondo i suoi stessi annuari a stampa.</w:t>
      </w:r>
    </w:p>
    <w:p>
      <w:pPr>
        <w:spacing w:after="120" w:line="276"/>
        <w:jc w:val="both"/>
      </w:pPr>
      <w:r>
        <w:rPr>
          <w:rFonts w:ascii="Barlow Semi Condensed" w:cs="Barlow Semi Condensed" w:eastAsia="Barlow Semi Condensed" w:hAnsi="Barlow Semi Condensed"/>
          <w:b/>
          <w:bCs/>
          <w:sz w:val="24"/>
          <w:szCs w:val="24"/>
        </w:rPr>
        <w:t xml:space="preserve">569 · SAHA e i manifesti dell'obiezione.</w:t>
      </w:r>
      <w:r>
        <w:rPr>
          <w:rFonts w:ascii="Barlow Semi Condensed" w:cs="Barlow Semi Condensed" w:eastAsia="Barlow Semi Condensed" w:hAnsi="Barlow Semi Condensed"/>
          <w:sz w:val="24"/>
          <w:szCs w:val="24"/>
        </w:rPr>
        <w:t xml:space="preserve"> Il South African History Archive, ospitato a Johannesburg, raccoglie materiali delle organizzazioni antiapartheid — manifesti, ciclostilati, carte interne — e conduce esso stesso istanze di accesso agli atti. Per la campagna contro la coscrizione è una delle sedi primarie. Un manifesto datato è una fonte: dice che cosa un movimento affermava in un giorno preciso, il che è meno di ciò che accadde e assai più di un ricordo.</w:t>
      </w:r>
    </w:p>
    <w:p>
      <w:pPr>
        <w:spacing w:after="120" w:line="276"/>
        <w:jc w:val="both"/>
      </w:pPr>
      <w:r>
        <w:rPr>
          <w:rFonts w:ascii="Barlow Semi Condensed" w:cs="Barlow Semi Condensed" w:eastAsia="Barlow Semi Condensed" w:hAnsi="Barlow Semi Condensed"/>
          <w:b/>
          <w:bCs/>
          <w:sz w:val="24"/>
          <w:szCs w:val="24"/>
        </w:rPr>
        <w:t xml:space="preserve">570 · Ripetizione non è riscontro.</w:t>
      </w:r>
      <w:r>
        <w:rPr>
          <w:rFonts w:ascii="Barlow Semi Condensed" w:cs="Barlow Semi Condensed" w:eastAsia="Barlow Semi Condensed" w:hAnsi="Barlow Semi Condensed"/>
          <w:sz w:val="24"/>
          <w:szCs w:val="24"/>
        </w:rPr>
        <w:t xml:space="preserve"> Sulla materia di quest'opera la letteratura in rete è satura: decine di siti, d'accusa e di difesa, ripetono le stesse formule senza aggiungere un documento. Il numero delle occorrenze non è un grado di prova. Il committente ha inoltre escluso per nome due fonti: il divieto si registra qui, i nomi non si citano. Restano legittimi i depositi digitali istituzionali, come le periodiche antiapartheid digitalizzate dalle università sudafricane.</w:t>
      </w:r>
    </w:p>
    <w:p>
      <w:pPr>
        <w:spacing w:after="120" w:line="276"/>
        <w:jc w:val="both"/>
      </w:pPr>
      <w:r>
        <w:rPr>
          <w:rFonts w:ascii="Barlow Semi Condensed" w:cs="Barlow Semi Condensed" w:eastAsia="Barlow Semi Condensed" w:hAnsi="Barlow Semi Condensed"/>
          <w:b/>
          <w:bCs/>
          <w:sz w:val="24"/>
          <w:szCs w:val="24"/>
        </w:rPr>
        <w:t xml:space="preserve">571 · Swakopmund: quale scuola, esattamente.</w:t>
      </w:r>
      <w:r>
        <w:rPr>
          <w:rFonts w:ascii="Barlow Semi Condensed" w:cs="Barlow Semi Condensed" w:eastAsia="Barlow Semi Condensed" w:hAnsi="Barlow Semi Condensed"/>
          <w:sz w:val="24"/>
          <w:szCs w:val="24"/>
        </w:rPr>
        <w:t xml:space="preserve"> È accertato che Peter Thiel, nato a Francoforte nel 1967, visse a Swakopmund attorno al 1975-1977, nell'Africa del Sud-Ovest allora amministrata da Pretoria. Non è accertato quale istituto frequentò. La verifica richiede il registro d'ammissione della scuola privata di lingua tedesca della località, o in subordine gli elenchi scolastici dell'amministrazione territoriale. Finché quel registro non è consultato, la scolarizzazione namibiana resta un fatto noto privo di documento.</w:t>
      </w:r>
    </w:p>
    <w:p>
      <w:pPr>
        <w:spacing w:after="120" w:line="276"/>
        <w:jc w:val="both"/>
      </w:pPr>
      <w:r>
        <w:rPr>
          <w:rFonts w:ascii="Barlow Semi Condensed" w:cs="Barlow Semi Condensed" w:eastAsia="Barlow Semi Condensed" w:hAnsi="Barlow Semi Condensed"/>
          <w:b/>
          <w:bCs/>
          <w:sz w:val="24"/>
          <w:szCs w:val="24"/>
        </w:rPr>
        <w:t xml:space="preserve">572 · L'archivio nazionale della Namibia.</w:t>
      </w:r>
      <w:r>
        <w:rPr>
          <w:rFonts w:ascii="Barlow Semi Condensed" w:cs="Barlow Semi Condensed" w:eastAsia="Barlow Semi Condensed" w:hAnsi="Barlow Semi Condensed"/>
          <w:sz w:val="24"/>
          <w:szCs w:val="24"/>
        </w:rPr>
        <w:t xml:space="preserve"> A Windhoek il National Archives of Namibia conserva le serie dell'amministrazione dell'Africa del Sud-Ovest, comprese quelle dell'istruzione, oltre alla documentazione tedesca anteriore al 1915. È la sede naturale per gli elenchi scolastici degli anni Settanta e per i fascicoli delle scuole private riconosciute. Una richiesta ben posta indica periodo, località e tipo di serie; una richiesta mal posta nomina soltanto una persona, e non produce nulla.</w:t>
      </w:r>
    </w:p>
    <w:p>
      <w:pPr>
        <w:spacing w:after="120" w:line="276"/>
        <w:jc w:val="both"/>
      </w:pPr>
      <w:r>
        <w:rPr>
          <w:rFonts w:ascii="Barlow Semi Condensed" w:cs="Barlow Semi Condensed" w:eastAsia="Barlow Semi Condensed" w:hAnsi="Barlow Semi Condensed"/>
          <w:b/>
          <w:bCs/>
          <w:sz w:val="24"/>
          <w:szCs w:val="24"/>
        </w:rPr>
        <w:t xml:space="preserve">573 · Il cantiere di Rössing e le famiglie.</w:t>
      </w:r>
      <w:r>
        <w:rPr>
          <w:rFonts w:ascii="Barlow Semi Condensed" w:cs="Barlow Semi Condensed" w:eastAsia="Barlow Semi Condensed" w:hAnsi="Barlow Semi Condensed"/>
          <w:sz w:val="24"/>
          <w:szCs w:val="24"/>
        </w:rPr>
        <w:t xml:space="preserve"> La miniera di uranio di Rössing fu costruita a metà degli anni Settanta nei pressi di Swakopmund, e portò nella zona personale tecnico straniero con le rispettive famiglie. Il padre di Peter Thiel, Klaus, ingegnere chimico, lavorava per un'impresa del cantiere. Che l'impianto servisse un programma militare è affermazione di piano terzo, che quest'opera non adotta: la chiuderebbe la documentazione societaria e contrattuale dell'operatore, non la sua ripetizione.</w:t>
      </w:r>
    </w:p>
    <w:p>
      <w:pPr>
        <w:spacing w:after="120" w:line="276"/>
        <w:jc w:val="both"/>
      </w:pPr>
      <w:r>
        <w:rPr>
          <w:rFonts w:ascii="Barlow Semi Condensed" w:cs="Barlow Semi Condensed" w:eastAsia="Barlow Semi Condensed" w:hAnsi="Barlow Semi Condensed"/>
          <w:b/>
          <w:bCs/>
          <w:sz w:val="24"/>
          <w:szCs w:val="24"/>
        </w:rPr>
        <w:t xml:space="preserve">574 · La scuola di Johannesburg senza nome.</w:t>
      </w:r>
      <w:r>
        <w:rPr>
          <w:rFonts w:ascii="Barlow Semi Condensed" w:cs="Barlow Semi Condensed" w:eastAsia="Barlow Semi Condensed" w:hAnsi="Barlow Semi Condensed"/>
          <w:sz w:val="24"/>
          <w:szCs w:val="24"/>
        </w:rPr>
        <w:t xml:space="preserve"> Si sa che il ragazzo frequentò a Johannesburg una scuola preparatoria riservata ai bianchi. Non se ne conosce pubblicamente il nome. La via per stabilirlo non passa dalle interviste ma dall'indirizzo: individuato il domicilio familiare di quel biennio nei registri municipali o nelle liste dell'epoca, il bacino delle scuole possibili si riduce a poche unità, ciascuna con propri archivi. È uno Stato Zero con procedura di chiusura già definita.</w:t>
      </w:r>
    </w:p>
    <w:p>
      <w:pPr>
        <w:spacing w:after="120" w:line="276"/>
        <w:jc w:val="both"/>
      </w:pPr>
      <w:r>
        <w:rPr>
          <w:rFonts w:ascii="Barlow Semi Condensed" w:cs="Barlow Semi Condensed" w:eastAsia="Barlow Semi Condensed" w:hAnsi="Barlow Semi Condensed"/>
          <w:b/>
          <w:bCs/>
          <w:sz w:val="24"/>
          <w:szCs w:val="24"/>
        </w:rPr>
        <w:t xml:space="preserve">575 · L'apparato di Chafkin e i suoi limiti.</w:t>
      </w:r>
      <w:r>
        <w:rPr>
          <w:rFonts w:ascii="Barlow Semi Condensed" w:cs="Barlow Semi Condensed" w:eastAsia="Barlow Semi Condensed" w:hAnsi="Barlow Semi Condensed"/>
          <w:sz w:val="24"/>
          <w:szCs w:val="24"/>
        </w:rPr>
        <w:t xml:space="preserve"> La biografia di Max Chafkin, «The Contrarian», uscita nel 2021, è la fonte secondaria più solida sugli anni africani del suo soggetto, e possiede un apparato di note che consente di risalire alle interviste e ai materiali usati. Resta però fonte secondaria: le sue affermazioni si citano come tali, indicando la pagina, e si promuovono a documentate soltanto quando la carta primaria che essa richiama viene effettivamente consultata.</w:t>
      </w:r>
    </w:p>
    <w:p>
      <w:pPr>
        <w:spacing w:after="120" w:line="276"/>
        <w:jc w:val="both"/>
      </w:pPr>
      <w:r>
        <w:rPr>
          <w:rFonts w:ascii="Barlow Semi Condensed" w:cs="Barlow Semi Condensed" w:eastAsia="Barlow Semi Condensed" w:hAnsi="Barlow Semi Condensed"/>
          <w:b/>
          <w:bCs/>
          <w:sz w:val="24"/>
          <w:szCs w:val="24"/>
        </w:rPr>
        <w:t xml:space="preserve">576 · Cittadinanza tedesca e obblighi militari.</w:t>
      </w:r>
      <w:r>
        <w:rPr>
          <w:rFonts w:ascii="Barlow Semi Condensed" w:cs="Barlow Semi Condensed" w:eastAsia="Barlow Semi Condensed" w:hAnsi="Barlow Semi Condensed"/>
          <w:sz w:val="24"/>
          <w:szCs w:val="24"/>
        </w:rPr>
        <w:t xml:space="preserve"> Un cittadino tedesco residente temporaneamente in territorio amministrato dal Sud Africa non rientrava nella coscrizione sudafricana, che riguardava i cittadini bianchi di quel Paese. Il dato serve a evitare un errore ricorrente: non ogni ragazzo bianco presente in quella regione negli anni Settanta fu esposto alla leva. Lo statuto di cittadinanza è verificabile e determina l'intera questione; per il soggetto in esame la esclude in radice.</w:t>
      </w:r>
    </w:p>
    <w:p>
      <w:pPr>
        <w:spacing w:after="120" w:line="276"/>
        <w:jc w:val="both"/>
      </w:pPr>
      <w:r>
        <w:rPr>
          <w:rFonts w:ascii="Barlow Semi Condensed" w:cs="Barlow Semi Condensed" w:eastAsia="Barlow Semi Condensed" w:hAnsi="Barlow Semi Condensed"/>
          <w:b/>
          <w:bCs/>
          <w:sz w:val="24"/>
          <w:szCs w:val="24"/>
        </w:rPr>
        <w:t xml:space="preserve">577 · Waterkloof, Bryanston, Pretoria Boys.</w:t>
      </w:r>
      <w:r>
        <w:rPr>
          <w:rFonts w:ascii="Barlow Semi Condensed" w:cs="Barlow Semi Condensed" w:eastAsia="Barlow Semi Condensed" w:hAnsi="Barlow Semi Condensed"/>
          <w:sz w:val="24"/>
          <w:szCs w:val="24"/>
        </w:rPr>
        <w:t xml:space="preserve"> Il percorso scolastico di Elon Musk, nato a Pretoria nel 1971, è riferito dalle biografie come una successione di istituti: una scuola preparatoria a Waterkloof, un liceo a Bryanston, infine la Pretoria Boys High School, dove conseguì la maturità sul finire degli anni Ottanta. Sono fatti pubblici e assai ripetuti; nessuno di essi risulta finora appoggiato a un registro scolastico esibito. La verifica è banale e non è stata fatta.</w:t>
      </w:r>
    </w:p>
    <w:p>
      <w:pPr>
        <w:spacing w:after="120" w:line="276"/>
        <w:jc w:val="both"/>
      </w:pPr>
      <w:r>
        <w:rPr>
          <w:rFonts w:ascii="Barlow Semi Condensed" w:cs="Barlow Semi Condensed" w:eastAsia="Barlow Semi Condensed" w:hAnsi="Barlow Semi Condensed"/>
          <w:b/>
          <w:bCs/>
          <w:sz w:val="24"/>
          <w:szCs w:val="24"/>
        </w:rPr>
        <w:t xml:space="preserve">578 · Gli annuari di una scuola pubblica.</w:t>
      </w:r>
      <w:r>
        <w:rPr>
          <w:rFonts w:ascii="Barlow Semi Condensed" w:cs="Barlow Semi Condensed" w:eastAsia="Barlow Semi Condensed" w:hAnsi="Barlow Semi Condensed"/>
          <w:sz w:val="24"/>
          <w:szCs w:val="24"/>
        </w:rPr>
        <w:t xml:space="preserve"> Le scuole superiori sudafricane di tradizione britannica pubblicavano annuari con elenchi di classe, squadre sportive, premi e fotografie di gruppo. Per la Pretoria Boys High School esistono annate a stampa conservate dalla scuola stessa. Un annuario è documento debole per le opinioni e fortissimo per i fatti: attesta presenza, anno, classe, attività. È il primo bersaglio materiale per chi voglia sostituire il racconto biografico con una carta.</w:t>
      </w:r>
    </w:p>
    <w:p>
      <w:pPr>
        <w:spacing w:after="120" w:line="276"/>
        <w:jc w:val="both"/>
      </w:pPr>
      <w:r>
        <w:rPr>
          <w:rFonts w:ascii="Barlow Semi Condensed" w:cs="Barlow Semi Condensed" w:eastAsia="Barlow Semi Condensed" w:hAnsi="Barlow Semi Condensed"/>
          <w:b/>
          <w:bCs/>
          <w:sz w:val="24"/>
          <w:szCs w:val="24"/>
        </w:rPr>
        <w:t xml:space="preserve">579 · L'afrikaans come materia obbligatoria.</w:t>
      </w:r>
      <w:r>
        <w:rPr>
          <w:rFonts w:ascii="Barlow Semi Condensed" w:cs="Barlow Semi Condensed" w:eastAsia="Barlow Semi Condensed" w:hAnsi="Barlow Semi Condensed"/>
          <w:sz w:val="24"/>
          <w:szCs w:val="24"/>
        </w:rPr>
        <w:t xml:space="preserve"> Negli istituti statali anglofoni per bianchi l'afrikaans era materia obbligatoria d'esame. Ne discende una conseguenza documentale utile: qualunque certificato finale rilasciato in quel sistema elenca le materie sostenute, e dunque attesta un dato linguistico oggettivo. Da esso non si ricava alcuna adesione politica: una lingua imparata per obbligo scolastico non è una scelta di campo, ed è precisamente il tipo di inferenza che questa serie vieta.</w:t>
      </w:r>
    </w:p>
    <w:p>
      <w:pPr>
        <w:spacing w:after="120" w:line="276"/>
        <w:jc w:val="both"/>
      </w:pPr>
      <w:r>
        <w:rPr>
          <w:rFonts w:ascii="Barlow Semi Condensed" w:cs="Barlow Semi Condensed" w:eastAsia="Barlow Semi Condensed" w:hAnsi="Barlow Semi Condensed"/>
          <w:b/>
          <w:bCs/>
          <w:sz w:val="24"/>
          <w:szCs w:val="24"/>
        </w:rPr>
        <w:t xml:space="preserve">580 · Il certificato di maturità: chi lo detiene.</w:t>
      </w:r>
      <w:r>
        <w:rPr>
          <w:rFonts w:ascii="Barlow Semi Condensed" w:cs="Barlow Semi Condensed" w:eastAsia="Barlow Semi Condensed" w:hAnsi="Barlow Semi Condensed"/>
          <w:sz w:val="24"/>
          <w:szCs w:val="24"/>
        </w:rPr>
        <w:t xml:space="preserve"> Chi rilasciava il certificato finale, quale ente ne conservi oggi il registro, e con quale disciplina di riservatezza: sono le tre domande da porre prima di ogni istanza. Nel sistema sudafricano dell'epoca gli esami terminali erano gestiti dai dipartimenti provinciali dell'istruzione e da un organismo di matricolazione congiunto. Individuare il soggetto giuridicamente detentore è metà del lavoro; l'altra metà è il consenso dell'interessato, che nessuna ricerca aggira.</w:t>
      </w:r>
    </w:p>
    <w:p>
      <w:pPr>
        <w:spacing w:after="120" w:line="276"/>
        <w:jc w:val="both"/>
      </w:pPr>
      <w:r>
        <w:rPr>
          <w:rFonts w:ascii="Barlow Semi Condensed" w:cs="Barlow Semi Condensed" w:eastAsia="Barlow Semi Condensed" w:hAnsi="Barlow Semi Condensed"/>
          <w:b/>
          <w:bCs/>
          <w:sz w:val="24"/>
          <w:szCs w:val="24"/>
        </w:rPr>
        <w:t xml:space="preserve">581 · I cinque mesi all'Università di Pretoria.</w:t>
      </w:r>
      <w:r>
        <w:rPr>
          <w:rFonts w:ascii="Barlow Semi Condensed" w:cs="Barlow Semi Condensed" w:eastAsia="Barlow Semi Condensed" w:hAnsi="Barlow Semi Condensed"/>
          <w:sz w:val="24"/>
          <w:szCs w:val="24"/>
        </w:rPr>
        <w:t xml:space="preserve"> Ashlee Vance, nella biografia del 2015, riferisce che il giovane si iscrisse per pochi mesi all'Università di Pretoria, in attesa dei documenti canadesi. È affermazione secondaria, verificabile in un modo solo: l'ufficio del registrar dell'ateneo, che conserva le iscrizioni. Conferma e smentita hanno per la ricerca il medesimo valore; ciò che non ne ha alcuno è la ripetizione dell'affermazione da parte di siti che si citano a vicenda.</w:t>
      </w:r>
    </w:p>
    <w:p>
      <w:pPr>
        <w:spacing w:after="120" w:line="276"/>
        <w:jc w:val="both"/>
      </w:pPr>
      <w:r>
        <w:rPr>
          <w:rFonts w:ascii="Barlow Semi Condensed" w:cs="Barlow Semi Condensed" w:eastAsia="Barlow Semi Condensed" w:hAnsi="Barlow Semi Condensed"/>
          <w:b/>
          <w:bCs/>
          <w:sz w:val="24"/>
          <w:szCs w:val="24"/>
        </w:rPr>
        <w:t xml:space="preserve">582 · Queen's University, Kingston, 1989-1992.</w:t>
      </w:r>
      <w:r>
        <w:rPr>
          <w:rFonts w:ascii="Barlow Semi Condensed" w:cs="Barlow Semi Condensed" w:eastAsia="Barlow Semi Condensed" w:hAnsi="Barlow Semi Condensed"/>
          <w:sz w:val="24"/>
          <w:szCs w:val="24"/>
        </w:rPr>
        <w:t xml:space="preserve"> Il trasferimento in Canada nel 1989 e gli studi presso la Queen's University di Kingston, in Ontario, sono fatti pubblici. L'archivio universitario di Kingston conserva annuari, pubblicazioni studentesche e serie amministrative. Nel sistema canadese, come in quello statunitense, la comunicazione a terzi dei dati di uno studente è limitata per legge a poche informazioni di elenco: date di frequenza e titoli conseguiti. Su quelle si lavora, non oltre.</w:t>
      </w:r>
    </w:p>
    <w:p>
      <w:pPr>
        <w:spacing w:after="120" w:line="276"/>
        <w:jc w:val="both"/>
      </w:pPr>
      <w:r>
        <w:rPr>
          <w:rFonts w:ascii="Barlow Semi Condensed" w:cs="Barlow Semi Condensed" w:eastAsia="Barlow Semi Condensed" w:hAnsi="Barlow Semi Condensed"/>
          <w:b/>
          <w:bCs/>
          <w:sz w:val="24"/>
          <w:szCs w:val="24"/>
        </w:rPr>
        <w:t xml:space="preserve">583 · Le due lauree della Pennsylvania.</w:t>
      </w:r>
      <w:r>
        <w:rPr>
          <w:rFonts w:ascii="Barlow Semi Condensed" w:cs="Barlow Semi Condensed" w:eastAsia="Barlow Semi Condensed" w:hAnsi="Barlow Semi Condensed"/>
          <w:sz w:val="24"/>
          <w:szCs w:val="24"/>
        </w:rPr>
        <w:t xml:space="preserve"> Alla University of Pennsylvania furono conseguiti un titolo in fisica nel collegio delle arti e delle scienze e uno in economia alla Wharton School. Sulla data corre una divergenza pubblica: l'interessato ha indicato il completamento dei corsi a metà degli anni Novanta, mentre l'ateneo ha collocato il conferimento nel 1997. La divergenza si riporta e non si scioglie; il programma della cerimonia di quell'anno la deciderebbe.</w:t>
      </w:r>
    </w:p>
    <w:p>
      <w:pPr>
        <w:spacing w:after="120" w:line="276"/>
        <w:jc w:val="both"/>
      </w:pPr>
      <w:r>
        <w:rPr>
          <w:rFonts w:ascii="Barlow Semi Condensed" w:cs="Barlow Semi Condensed" w:eastAsia="Barlow Semi Condensed" w:hAnsi="Barlow Semi Condensed"/>
          <w:b/>
          <w:bCs/>
          <w:sz w:val="24"/>
          <w:szCs w:val="24"/>
        </w:rPr>
        <w:t xml:space="preserve">584 · L'iscrizione a Stanford contestata.</w:t>
      </w:r>
      <w:r>
        <w:rPr>
          <w:rFonts w:ascii="Barlow Semi Condensed" w:cs="Barlow Semi Condensed" w:eastAsia="Barlow Semi Condensed" w:hAnsi="Barlow Semi Condensed"/>
          <w:sz w:val="24"/>
          <w:szCs w:val="24"/>
        </w:rPr>
        <w:t xml:space="preserve"> Circola l'affermazione che nel 1995 vi sia stata un'ammissione a un dottorato californiano, abbandonata dopo pochi giorni; altre ricostruzioni hanno messo in dubbio che l'iscrizione formale sia mai avvenuta. È divergenza pubblica su un fatto amministrativo, dunque risolvibile: l'informazione di elenco dell'ufficio del registrar, oppure la verifica presso il centro nazionale di scambio dati sugli studenti, dice se un'immatricolazione esista. Nessuna delle due è stata prodotta.</w:t>
      </w:r>
    </w:p>
    <w:p>
      <w:pPr>
        <w:spacing w:after="120" w:line="276"/>
        <w:jc w:val="both"/>
      </w:pPr>
      <w:r>
        <w:rPr>
          <w:rFonts w:ascii="Barlow Semi Condensed" w:cs="Barlow Semi Condensed" w:eastAsia="Barlow Semi Condensed" w:hAnsi="Barlow Semi Condensed"/>
          <w:b/>
          <w:bCs/>
          <w:sz w:val="24"/>
          <w:szCs w:val="24"/>
        </w:rPr>
        <w:t xml:space="preserve">585 · La legge di difesa del 1957.</w:t>
      </w:r>
      <w:r>
        <w:rPr>
          <w:rFonts w:ascii="Barlow Semi Condensed" w:cs="Barlow Semi Condensed" w:eastAsia="Barlow Semi Condensed" w:hAnsi="Barlow Semi Condensed"/>
          <w:sz w:val="24"/>
          <w:szCs w:val="24"/>
        </w:rPr>
        <w:t xml:space="preserve"> L'ordinamento della leva sudafricana poggia sulla legge di difesa numero 44 del 1957, che nella forma originaria prevedeva un sorteggio fra i cittadini bianchi di sesso maschile. Le modifiche successive, che ne cambiarono radicalmente la portata, sono altrettanti atti pubblicati nella gazzetta ufficiale. Ogni affermazione sulla durata del servizio in un dato anno va appoggiata al testo vigente in quell'anno, non a una sintesi retrospettiva.</w:t>
      </w:r>
    </w:p>
    <w:p>
      <w:pPr>
        <w:spacing w:after="120" w:line="276"/>
        <w:jc w:val="both"/>
      </w:pPr>
      <w:r>
        <w:rPr>
          <w:rFonts w:ascii="Barlow Semi Condensed" w:cs="Barlow Semi Condensed" w:eastAsia="Barlow Semi Condensed" w:hAnsi="Barlow Semi Condensed"/>
          <w:b/>
          <w:bCs/>
          <w:sz w:val="24"/>
          <w:szCs w:val="24"/>
        </w:rPr>
        <w:t xml:space="preserve">586 · Il 1967 e la chiamata universale.</w:t>
      </w:r>
      <w:r>
        <w:rPr>
          <w:rFonts w:ascii="Barlow Semi Condensed" w:cs="Barlow Semi Condensed" w:eastAsia="Barlow Semi Condensed" w:hAnsi="Barlow Semi Condensed"/>
          <w:sz w:val="24"/>
          <w:szCs w:val="24"/>
        </w:rPr>
        <w:t xml:space="preserve"> A partire dal 1967 il sorteggio fu sostituito dalla chiamata generalizzata dei giovani bianchi idonei, con durata iniziale inferiore all'anno. È lo spartiacque che rende la coscrizione esperienza di massa e non più eventualità statistica. Per ogni soggetto nato dopo quella data l'esposizione all'obbligo dipende da tre variabili documentabili: cittadinanza, residenza al compimento dell'età di leva, e classificazione razziale imposta dalla legislazione allora vigente.</w:t>
      </w:r>
    </w:p>
    <w:p>
      <w:pPr>
        <w:spacing w:after="120" w:line="276"/>
        <w:jc w:val="both"/>
      </w:pPr>
      <w:r>
        <w:rPr>
          <w:rFonts w:ascii="Barlow Semi Condensed" w:cs="Barlow Semi Condensed" w:eastAsia="Barlow Semi Condensed" w:hAnsi="Barlow Semi Condensed"/>
          <w:b/>
          <w:bCs/>
          <w:sz w:val="24"/>
          <w:szCs w:val="24"/>
        </w:rPr>
        <w:t xml:space="preserve">587 · Ventiquattro mesi dal 1978.</w:t>
      </w:r>
      <w:r>
        <w:rPr>
          <w:rFonts w:ascii="Barlow Semi Condensed" w:cs="Barlow Semi Condensed" w:eastAsia="Barlow Semi Condensed" w:hAnsi="Barlow Semi Condensed"/>
          <w:sz w:val="24"/>
          <w:szCs w:val="24"/>
        </w:rPr>
        <w:t xml:space="preserve"> L'estensione del servizio a due anni continuativi, seguiti da richiami periodici, fu disposta con modifica legislativa alla fine degli anni Settanta e produsse la generazione più segnata dalla guerra di confine. Chi compì diciotto anni negli anni Ottanta si trovò davanti a un obbligo pesante e a una scelta reale. Il testo che lo dispone, e le sue date esatte, si leggono nella gazzetta ufficiale e non nelle memorie.</w:t>
      </w:r>
    </w:p>
    <w:p>
      <w:pPr>
        <w:spacing w:after="120" w:line="276"/>
        <w:jc w:val="both"/>
      </w:pPr>
      <w:r>
        <w:rPr>
          <w:rFonts w:ascii="Barlow Semi Condensed" w:cs="Barlow Semi Condensed" w:eastAsia="Barlow Semi Condensed" w:hAnsi="Barlow Semi Condensed"/>
          <w:b/>
          <w:bCs/>
          <w:sz w:val="24"/>
          <w:szCs w:val="24"/>
        </w:rPr>
        <w:t xml:space="preserve">588 · Il rinvio per studi.</w:t>
      </w:r>
      <w:r>
        <w:rPr>
          <w:rFonts w:ascii="Barlow Semi Condensed" w:cs="Barlow Semi Condensed" w:eastAsia="Barlow Semi Condensed" w:hAnsi="Barlow Semi Condensed"/>
          <w:sz w:val="24"/>
          <w:szCs w:val="24"/>
        </w:rPr>
        <w:t xml:space="preserve"> L'iscrizione universitaria consentiva il differimento del servizio, non la sua cancellazione. Ne segue un dato archivistico prezioso: ogni rinvio è provvedimento individuale, e dunque fascicolo con istanza, attestazione dell'ateneo e decisione. La serie di questi provvedimenti, se conservata presso il centro documentale della difesa a Pretoria, è la sola fonte che colleghi registri universitari e ruoli di leva. Il suo stato di conservazione è oggi ignoto.</w:t>
      </w:r>
    </w:p>
    <w:p>
      <w:pPr>
        <w:spacing w:after="120" w:line="276"/>
        <w:jc w:val="both"/>
      </w:pPr>
      <w:r>
        <w:rPr>
          <w:rFonts w:ascii="Barlow Semi Condensed" w:cs="Barlow Semi Condensed" w:eastAsia="Barlow Semi Condensed" w:hAnsi="Barlow Semi Condensed"/>
          <w:b/>
          <w:bCs/>
          <w:sz w:val="24"/>
          <w:szCs w:val="24"/>
        </w:rPr>
        <w:t xml:space="preserve">589 · Il comitato per l'obiezione religiosa.</w:t>
      </w:r>
      <w:r>
        <w:rPr>
          <w:rFonts w:ascii="Barlow Semi Condensed" w:cs="Barlow Semi Condensed" w:eastAsia="Barlow Semi Condensed" w:hAnsi="Barlow Semi Condensed"/>
          <w:sz w:val="24"/>
          <w:szCs w:val="24"/>
        </w:rPr>
        <w:t xml:space="preserve"> Con una modifica alla legge di difesa, nel 1983, fu istituito un organo che esaminava le istanze di obiezione fondate su motivi religiosi e poteva ammettere un servizio alternativo di durata assai maggiore. Un organo che decide produce verbali e decisioni motivate. Individuare dove sia finito quel fondo — e con quali limiti di consultabilità, poiché contiene dati sensibili di persone viventi — è un bersaglio autonomo.</w:t>
      </w:r>
    </w:p>
    <w:p>
      <w:pPr>
        <w:spacing w:after="120" w:line="276"/>
        <w:jc w:val="both"/>
      </w:pPr>
      <w:r>
        <w:rPr>
          <w:rFonts w:ascii="Barlow Semi Condensed" w:cs="Barlow Semi Condensed" w:eastAsia="Barlow Semi Condensed" w:hAnsi="Barlow Semi Condensed"/>
          <w:b/>
          <w:bCs/>
          <w:sz w:val="24"/>
          <w:szCs w:val="24"/>
        </w:rPr>
        <w:t xml:space="preserve">590 · La End Conscription Campaign (serie VIII).</w:t>
      </w:r>
      <w:r>
        <w:rPr>
          <w:rFonts w:ascii="Barlow Semi Condensed" w:cs="Barlow Semi Condensed" w:eastAsia="Barlow Semi Condensed" w:hAnsi="Barlow Semi Condensed"/>
          <w:sz w:val="24"/>
          <w:szCs w:val="24"/>
        </w:rPr>
        <w:t xml:space="preserve"> Nata nel 1983 e colpita da provvedimenti restrittivi nel 1988, la campagna per la fine della coscrizione fu il principale movimento organizzato di opposizione alla leva fra i bianchi. Le sue carte, i manifesti e i ciclostilati sono conservati fra Johannesburg e Città del Capo. Il suo interesse per questa serie è metodologico prima che politico: prova che dentro la stessa coorte esistevano scelte opposte e documentate.</w:t>
      </w:r>
    </w:p>
    <w:p>
      <w:pPr>
        <w:spacing w:after="120" w:line="276"/>
        <w:jc w:val="both"/>
      </w:pPr>
      <w:r>
        <w:rPr>
          <w:rFonts w:ascii="Barlow Semi Condensed" w:cs="Barlow Semi Condensed" w:eastAsia="Barlow Semi Condensed" w:hAnsi="Barlow Semi Condensed"/>
          <w:b/>
          <w:bCs/>
          <w:sz w:val="24"/>
          <w:szCs w:val="24"/>
        </w:rPr>
        <w:t xml:space="preserve">591 · L'udienza della TRC sulla coscrizione.</w:t>
      </w:r>
      <w:r>
        <w:rPr>
          <w:rFonts w:ascii="Barlow Semi Condensed" w:cs="Barlow Semi Condensed" w:eastAsia="Barlow Semi Condensed" w:hAnsi="Barlow Semi Condensed"/>
          <w:sz w:val="24"/>
          <w:szCs w:val="24"/>
        </w:rPr>
        <w:t xml:space="preserve"> La Truth and Reconciliation Commission dedicò nel 1997 un'udienza speciale al servizio militare obbligatorio, con deposizioni di obiettori, di ex militari e di familiari. Le trascrizioni sono pubbliche e citabili per data e per deponente, e confluiscono nel rapporto finale della commissione. È la fonte più autorevole per capire che cosa la leva significasse concretamente, e va preferita a ogni ricostruzione successiva non verbalizzata.</w:t>
      </w:r>
    </w:p>
    <w:p>
      <w:pPr>
        <w:spacing w:after="120" w:line="276"/>
        <w:jc w:val="both"/>
      </w:pPr>
      <w:r>
        <w:rPr>
          <w:rFonts w:ascii="Barlow Semi Condensed" w:cs="Barlow Semi Condensed" w:eastAsia="Barlow Semi Condensed" w:hAnsi="Barlow Semi Condensed"/>
          <w:b/>
          <w:bCs/>
          <w:sz w:val="24"/>
          <w:szCs w:val="24"/>
        </w:rPr>
        <w:t xml:space="preserve">592 · Il centro documentale della difesa (serie VIII).</w:t>
      </w:r>
      <w:r>
        <w:rPr>
          <w:rFonts w:ascii="Barlow Semi Condensed" w:cs="Barlow Semi Condensed" w:eastAsia="Barlow Semi Condensed" w:hAnsi="Barlow Semi Condensed"/>
          <w:sz w:val="24"/>
          <w:szCs w:val="24"/>
        </w:rPr>
        <w:t xml:space="preserve"> A Pretoria il centro documentale del ministero della Difesa conserva le serie della vecchia South African Defence Force, inclusi gli atti di comando e le pratiche del personale. I fascicoli individuali soggiacciono a restrizioni di riservatezza e non sono materia di curiosità biografica. Ciò che resta legittimamente ricercabile è la struttura: circolari sulla chiamata, criteri di esenzione, statistiche annuali per coorte, direttive sui rinvii per studio.</w:t>
      </w:r>
    </w:p>
    <w:p>
      <w:pPr>
        <w:spacing w:after="120" w:line="276"/>
        <w:jc w:val="both"/>
      </w:pPr>
      <w:r>
        <w:rPr>
          <w:rFonts w:ascii="Barlow Semi Condensed" w:cs="Barlow Semi Condensed" w:eastAsia="Barlow Semi Condensed" w:hAnsi="Barlow Semi Condensed"/>
          <w:b/>
          <w:bCs/>
          <w:sz w:val="24"/>
          <w:szCs w:val="24"/>
        </w:rPr>
        <w:t xml:space="preserve">593 · Emigrare prima della chiamata.</w:t>
      </w:r>
      <w:r>
        <w:rPr>
          <w:rFonts w:ascii="Barlow Semi Condensed" w:cs="Barlow Semi Condensed" w:eastAsia="Barlow Semi Condensed" w:hAnsi="Barlow Semi Condensed"/>
          <w:sz w:val="24"/>
          <w:szCs w:val="24"/>
        </w:rPr>
        <w:t xml:space="preserve"> Lasciare il Paese prima dell'età di leva era condotta lecita, e va detto con chiarezza, perché quest'opera non attribuisce illeciti ad alcuno. Elon Musk ha dichiarato pubblicamente di non aver voluto prestare servizio nelle forze armate di quel regime: la dichiarazione è fatto pubblico e si registra come tale, col suo grado. Essa attesta un'intenzione dichiarata, non un procedimento e non un obbligo violato.</w:t>
      </w:r>
    </w:p>
    <w:p>
      <w:pPr>
        <w:spacing w:after="120" w:line="276"/>
        <w:jc w:val="both"/>
      </w:pPr>
      <w:r>
        <w:rPr>
          <w:rFonts w:ascii="Barlow Semi Condensed" w:cs="Barlow Semi Condensed" w:eastAsia="Barlow Semi Condensed" w:hAnsi="Barlow Semi Condensed"/>
          <w:b/>
          <w:bCs/>
          <w:sz w:val="24"/>
          <w:szCs w:val="24"/>
        </w:rPr>
        <w:t xml:space="preserve">594 · La fine della coscrizione.</w:t>
      </w:r>
      <w:r>
        <w:rPr>
          <w:rFonts w:ascii="Barlow Semi Condensed" w:cs="Barlow Semi Condensed" w:eastAsia="Barlow Semi Condensed" w:hAnsi="Barlow Semi Condensed"/>
          <w:sz w:val="24"/>
          <w:szCs w:val="24"/>
        </w:rPr>
        <w:t xml:space="preserve"> L'obbligo di leva per i bianchi si esaurì nella transizione dei primi anni Novanta, con la riduzione delle chiamate e poi la nascita delle forze armate unificate nel 1994. Ne discende un criterio di datazione utile: per ogni persona nata negli anni Settanta occorre stabilire se abbia raggiunto l'età di leva prima o dopo quella cessazione. Nessun blocco deduce da un anno di nascita un servizio prestato.</w:t>
      </w:r>
    </w:p>
    <w:p>
      <w:pPr>
        <w:spacing w:after="120" w:line="276"/>
        <w:jc w:val="both"/>
      </w:pPr>
      <w:r>
        <w:rPr>
          <w:rFonts w:ascii="Barlow Semi Condensed" w:cs="Barlow Semi Condensed" w:eastAsia="Barlow Semi Condensed" w:hAnsi="Barlow Semi Condensed"/>
          <w:b/>
          <w:bCs/>
          <w:sz w:val="24"/>
          <w:szCs w:val="24"/>
        </w:rPr>
        <w:t xml:space="preserve">595 · FERPA e l'informazione di elenco.</w:t>
      </w:r>
      <w:r>
        <w:rPr>
          <w:rFonts w:ascii="Barlow Semi Condensed" w:cs="Barlow Semi Condensed" w:eastAsia="Barlow Semi Condensed" w:hAnsi="Barlow Semi Condensed"/>
          <w:sz w:val="24"/>
          <w:szCs w:val="24"/>
        </w:rPr>
        <w:t xml:space="preserve"> Negli Stati Uniti la legge federale sulla riservatezza dei dati scolastici consente agli atenei di comunicare a terzi soltanto informazioni di elenco: nome, periodo di frequenza, titolo conseguito, eventuali riconoscimenti. Trascritti e votazioni richiedono il consenso dell'interessato. Chi promette carriere accademiche complete di persone viventi senza tale consenso promette ciò che la legge vieta; questa serie si limita a quanto l'informazione di elenco può legittimamente attestare.</w:t>
      </w:r>
    </w:p>
    <w:p>
      <w:pPr>
        <w:spacing w:after="120" w:line="276"/>
        <w:jc w:val="both"/>
      </w:pPr>
      <w:r>
        <w:rPr>
          <w:rFonts w:ascii="Barlow Semi Condensed" w:cs="Barlow Semi Condensed" w:eastAsia="Barlow Semi Condensed" w:hAnsi="Barlow Semi Condensed"/>
          <w:b/>
          <w:bCs/>
          <w:sz w:val="24"/>
          <w:szCs w:val="24"/>
        </w:rPr>
        <w:t xml:space="preserve">596 · L'archivio universitario di Stanford.</w:t>
      </w:r>
      <w:r>
        <w:rPr>
          <w:rFonts w:ascii="Barlow Semi Condensed" w:cs="Barlow Semi Condensed" w:eastAsia="Barlow Semi Condensed" w:hAnsi="Barlow Semi Condensed"/>
          <w:sz w:val="24"/>
          <w:szCs w:val="24"/>
        </w:rPr>
        <w:t xml:space="preserve"> Le raccolte speciali e l'archivio d'ateneo custoditi nella Green Library, a Stanford, conservano annuari, programmi delle cerimonie di laurea, pubblicazioni dipartimentali, fondi di docenti e di associazioni studentesche. Un programma di commencement è documento pubblico e stampato, e attesta il conferimento di un titolo in una data determinata. Per gli anni fra il 1987 e il 1994 è la sede da interrogare sull'intera questione californiana.</w:t>
      </w:r>
    </w:p>
    <w:p>
      <w:pPr>
        <w:spacing w:after="120" w:line="276"/>
        <w:jc w:val="both"/>
      </w:pPr>
      <w:r>
        <w:rPr>
          <w:rFonts w:ascii="Barlow Semi Condensed" w:cs="Barlow Semi Condensed" w:eastAsia="Barlow Semi Condensed" w:hAnsi="Barlow Semi Condensed"/>
          <w:b/>
          <w:bCs/>
          <w:sz w:val="24"/>
          <w:szCs w:val="24"/>
        </w:rPr>
        <w:t xml:space="preserve">597 · Il quotidiano studentesco digitalizzato.</w:t>
      </w:r>
      <w:r>
        <w:rPr>
          <w:rFonts w:ascii="Barlow Semi Condensed" w:cs="Barlow Semi Condensed" w:eastAsia="Barlow Semi Condensed" w:hAnsi="Barlow Semi Condensed"/>
          <w:sz w:val="24"/>
          <w:szCs w:val="24"/>
        </w:rPr>
        <w:t xml:space="preserve"> Lo Stanford Daily dispone di un archivio digitale retrodatato e ricercabile per stringa. È strumento raro: consente di datare al giorno la comparsa pubblica di una persona, di un'associazione, di una polemica di campus. Va usato con la disciplina delle fonti giornalistiche — attesta che qualcosa fu pubblicato, non che fosse vero — ma per la cronologia delle presenze nel campus resta ineguagliato e verificabile da chiunque.</w:t>
      </w:r>
    </w:p>
    <w:p>
      <w:pPr>
        <w:spacing w:after="120" w:line="276"/>
        <w:jc w:val="both"/>
      </w:pPr>
      <w:r>
        <w:rPr>
          <w:rFonts w:ascii="Barlow Semi Condensed" w:cs="Barlow Semi Condensed" w:eastAsia="Barlow Semi Condensed" w:hAnsi="Barlow Semi Condensed"/>
          <w:b/>
          <w:bCs/>
          <w:sz w:val="24"/>
          <w:szCs w:val="24"/>
        </w:rPr>
        <w:t xml:space="preserve">598 · Le gerenze dello Stanford Review.</w:t>
      </w:r>
      <w:r>
        <w:rPr>
          <w:rFonts w:ascii="Barlow Semi Condensed" w:cs="Barlow Semi Condensed" w:eastAsia="Barlow Semi Condensed" w:hAnsi="Barlow Semi Condensed"/>
          <w:sz w:val="24"/>
          <w:szCs w:val="24"/>
        </w:rPr>
        <w:t xml:space="preserve"> La rivista studentesca fondata nel 1987 da Peter Thiel con un condiscepolo pubblica in ogni numero la propria gerenza. Le gerenze sono documenti: attestano chi diresse, chi redasse e in quali mesi. Da esse si ricava una rete di conoscenza personale documentata al primo piano, mentre l'appartenenza a una redazione non prova alcuna condivisione di opinioni. La serie completa a stampa va richiesta alle collezioni della biblioteca universitaria.</w:t>
      </w:r>
    </w:p>
    <w:p>
      <w:pPr>
        <w:spacing w:after="120" w:line="276"/>
        <w:jc w:val="both"/>
      </w:pPr>
      <w:r>
        <w:rPr>
          <w:rFonts w:ascii="Barlow Semi Condensed" w:cs="Barlow Semi Condensed" w:eastAsia="Barlow Semi Condensed" w:hAnsi="Barlow Semi Condensed"/>
          <w:b/>
          <w:bCs/>
          <w:sz w:val="24"/>
          <w:szCs w:val="24"/>
        </w:rPr>
        <w:t xml:space="preserve">599 · Un libro del 1995 come documento.</w:t>
      </w:r>
      <w:r>
        <w:rPr>
          <w:rFonts w:ascii="Barlow Semi Condensed" w:cs="Barlow Semi Condensed" w:eastAsia="Barlow Semi Condensed" w:hAnsi="Barlow Semi Condensed"/>
          <w:sz w:val="24"/>
          <w:szCs w:val="24"/>
        </w:rPr>
        <w:t xml:space="preserve"> Il volume «The Diversity Myth», pubblicato nel 1995 e firmato da Peter Thiel insieme a David Sacks, è opera a stampa, con editore, codice identificativo e testo integrale. Come tale è citabile per pagina, e le sue tesi sono attribuibili agli autori perché essi le sottoscrissero. È il modello dell'unico tipo di attribuzione d'opinione che quest'opera consente: dichiarazione pubblica, firmata, datata, verificabile da un terzo.</w:t>
      </w:r>
    </w:p>
    <w:p>
      <w:pPr>
        <w:spacing w:after="120" w:line="276"/>
        <w:jc w:val="both"/>
      </w:pPr>
      <w:r>
        <w:rPr>
          <w:rFonts w:ascii="Barlow Semi Condensed" w:cs="Barlow Semi Condensed" w:eastAsia="Barlow Semi Condensed" w:hAnsi="Barlow Semi Condensed"/>
          <w:b/>
          <w:bCs/>
          <w:sz w:val="24"/>
          <w:szCs w:val="24"/>
        </w:rPr>
        <w:t xml:space="preserve">600 · La facoltà di legge e i registri.</w:t>
      </w:r>
      <w:r>
        <w:rPr>
          <w:rFonts w:ascii="Barlow Semi Condensed" w:cs="Barlow Semi Condensed" w:eastAsia="Barlow Semi Condensed" w:hAnsi="Barlow Semi Condensed"/>
          <w:sz w:val="24"/>
          <w:szCs w:val="24"/>
        </w:rPr>
        <w:t xml:space="preserve"> Il titolo in giurisprudenza conseguito a Stanford nel 1992 chiude il percorso universitario californiano di quel soggetto. Le scuole di legge statunitensi non producono tesi depositate paragonabili alle dissertazioni dottorali; producono invece annuari, elenchi delle riviste giuridiche studentesche e note pubblicate. Il bersaglio esatto è dunque duplice: il programma della cerimonia del 1992 e gli indici delle riviste studentesche di quegli anni accademici.</w:t>
      </w:r>
    </w:p>
    <w:p>
      <w:pPr>
        <w:spacing w:after="120" w:line="276"/>
        <w:jc w:val="both"/>
      </w:pPr>
      <w:r>
        <w:rPr>
          <w:rFonts w:ascii="Barlow Semi Condensed" w:cs="Barlow Semi Condensed" w:eastAsia="Barlow Semi Condensed" w:hAnsi="Barlow Semi Condensed"/>
          <w:b/>
          <w:bCs/>
          <w:sz w:val="24"/>
          <w:szCs w:val="24"/>
        </w:rPr>
        <w:t xml:space="preserve">601 · La business school e il 2000.</w:t>
      </w:r>
      <w:r>
        <w:rPr>
          <w:rFonts w:ascii="Barlow Semi Condensed" w:cs="Barlow Semi Condensed" w:eastAsia="Barlow Semi Condensed" w:hAnsi="Barlow Semi Condensed"/>
          <w:sz w:val="24"/>
          <w:szCs w:val="24"/>
        </w:rPr>
        <w:t xml:space="preserve"> Roelof Botha conseguì un master in amministrazione aziendale alla Graduate School of Business di Stanford nel 2000, dopo una laurea in scienze attuariali all'Università di Città del Capo. Sono fatti pubblici, dichiarati dalla scheda professionale della società per cui lavora e verificabili come informazione di elenco presso i due atenei. Il percorso è accademico e professionale; nulla in esso riguarda la carriera ministeriale del nonno.</w:t>
      </w:r>
    </w:p>
    <w:p>
      <w:pPr>
        <w:spacing w:after="120" w:line="276"/>
        <w:jc w:val="both"/>
      </w:pPr>
      <w:r>
        <w:rPr>
          <w:rFonts w:ascii="Barlow Semi Condensed" w:cs="Barlow Semi Condensed" w:eastAsia="Barlow Semi Condensed" w:hAnsi="Barlow Semi Condensed"/>
          <w:b/>
          <w:bCs/>
          <w:sz w:val="24"/>
          <w:szCs w:val="24"/>
        </w:rPr>
        <w:t xml:space="preserve">602 · Nessuna sovrapposizione a Stanford.</w:t>
      </w:r>
      <w:r>
        <w:rPr>
          <w:rFonts w:ascii="Barlow Semi Condensed" w:cs="Barlow Semi Condensed" w:eastAsia="Barlow Semi Condensed" w:hAnsi="Barlow Semi Condensed"/>
          <w:sz w:val="24"/>
          <w:szCs w:val="24"/>
        </w:rPr>
        <w:t xml:space="preserve"> Ecco una verifica eseguibile a tavolino, che vale più di molte suggestioni: chi si laureò in filosofia nel 1989 e in legge nel 1992 aveva lasciato l'ateneo otto anni prima che vi arrivasse il futuro direttore finanziario di PayPal, giunto alla business school sul finire del decennio. Le date non si sovrappongono. Il legame fra i due è professionale e successivo, non scolastico né generazionale.</w:t>
      </w:r>
    </w:p>
    <w:p>
      <w:pPr>
        <w:spacing w:after="120" w:line="276"/>
        <w:jc w:val="both"/>
      </w:pPr>
      <w:r>
        <w:rPr>
          <w:rFonts w:ascii="Barlow Semi Condensed" w:cs="Barlow Semi Condensed" w:eastAsia="Barlow Semi Condensed" w:hAnsi="Barlow Semi Condensed"/>
          <w:b/>
          <w:bCs/>
          <w:sz w:val="24"/>
          <w:szCs w:val="24"/>
        </w:rPr>
        <w:t xml:space="preserve">603 · Urbana-Champaign, un'altra genealogia.</w:t>
      </w:r>
      <w:r>
        <w:rPr>
          <w:rFonts w:ascii="Barlow Semi Condensed" w:cs="Barlow Semi Condensed" w:eastAsia="Barlow Semi Condensed" w:hAnsi="Barlow Semi Condensed"/>
          <w:sz w:val="24"/>
          <w:szCs w:val="24"/>
        </w:rPr>
        <w:t xml:space="preserve"> Max Levchin, nato a Kiev nel 1975 ed emigrato negli Stati Uniti da adolescente, si laureò in informatica all'Università dell'Illinois a Urbana-Champaign nella seconda metà degli anni Novanta. La sua formazione non tocca in alcun punto il sistema scolastico sudafricano. L'archivio universitario dell'Illinois conserva le carte del campus e del centro di supercalcolo: è una genealogia tecnica diversa, che converge sull'industria per tutt'altra via.</w:t>
      </w:r>
    </w:p>
    <w:p>
      <w:pPr>
        <w:spacing w:after="120" w:line="276"/>
        <w:jc w:val="both"/>
      </w:pPr>
      <w:r>
        <w:rPr>
          <w:rFonts w:ascii="Barlow Semi Condensed" w:cs="Barlow Semi Condensed" w:eastAsia="Barlow Semi Condensed" w:hAnsi="Barlow Semi Condensed"/>
          <w:b/>
          <w:bCs/>
          <w:sz w:val="24"/>
          <w:szCs w:val="24"/>
        </w:rPr>
        <w:t xml:space="preserve">604 · Tesi depositate: uno stato zero.</w:t>
      </w:r>
      <w:r>
        <w:rPr>
          <w:rFonts w:ascii="Barlow Semi Condensed" w:cs="Barlow Semi Condensed" w:eastAsia="Barlow Semi Condensed" w:hAnsi="Barlow Semi Condensed"/>
          <w:sz w:val="24"/>
          <w:szCs w:val="24"/>
        </w:rPr>
        <w:t xml:space="preserve"> Cercando dissertazioni depositate dai principali soggetti di quest'opera si ottiene un esito negativo: i titoli conseguiti — lauree quadriennali, un master professionale, un dottorato in legge — non comportano deposito di tesi consultabile. È risultato di pieno valore, perché sottrae alla ricerca una fonte che molti danno per scontata. Chi affermasse l'esistenza di una tesi deve indicare la biblioteca di deposito e la segnatura.</w:t>
      </w:r>
    </w:p>
    <w:p>
      <w:pPr>
        <w:spacing w:after="120" w:line="276"/>
        <w:jc w:val="both"/>
      </w:pPr>
      <w:r>
        <w:rPr>
          <w:rFonts w:ascii="Barlow Semi Condensed" w:cs="Barlow Semi Condensed" w:eastAsia="Barlow Semi Condensed" w:hAnsi="Barlow Semi Condensed"/>
          <w:b/>
          <w:bCs/>
          <w:sz w:val="24"/>
          <w:szCs w:val="24"/>
        </w:rPr>
        <w:t xml:space="preserve">605 · Una dissertazione da cercare a Oxford.</w:t>
      </w:r>
      <w:r>
        <w:rPr>
          <w:rFonts w:ascii="Barlow Semi Condensed" w:cs="Barlow Semi Condensed" w:eastAsia="Barlow Semi Condensed" w:hAnsi="Barlow Semi Condensed"/>
          <w:sz w:val="24"/>
          <w:szCs w:val="24"/>
        </w:rPr>
        <w:t xml:space="preserve"> Un solo percorso, fra quelli delle persone ritratte nel 2007, passa per un titolo postlaurea britannico in filosofia conseguito a Oxford nei primi anni Novanta. I master di ricerca di quell'università prevedono di norma un elaborato finale. Verificare presso le Bodleian Libraries se una dissertazione risulti depositata, e con quale titolo, è bersaglio piccolo, economico e mai eseguito. Un esito negativo sarebbe a sua volta un'acquisizione.</w:t>
      </w:r>
    </w:p>
    <w:p>
      <w:pPr>
        <w:spacing w:after="120" w:line="276"/>
        <w:jc w:val="both"/>
      </w:pPr>
      <w:r>
        <w:rPr>
          <w:rFonts w:ascii="Barlow Semi Condensed" w:cs="Barlow Semi Condensed" w:eastAsia="Barlow Semi Condensed" w:hAnsi="Barlow Semi Condensed"/>
          <w:b/>
          <w:bCs/>
          <w:sz w:val="24"/>
          <w:szCs w:val="24"/>
        </w:rPr>
        <w:t xml:space="preserve">606 · I due Botha e i loro atenei.</w:t>
      </w:r>
      <w:r>
        <w:rPr>
          <w:rFonts w:ascii="Barlow Semi Condensed" w:cs="Barlow Semi Condensed" w:eastAsia="Barlow Semi Condensed" w:hAnsi="Barlow Semi Condensed"/>
          <w:sz w:val="24"/>
          <w:szCs w:val="24"/>
        </w:rPr>
        <w:t xml:space="preserve"> L'errore più diffuso su questa materia è confondere Roelof Frederik Botha, ministro degli Esteri dal 1977 al 1994, con Pieter Willem Botha, presidente dello Stato: non erano parenti. Gli archivi universitari lo mostrano meglio di ogni smentita verbale: il primo studiò diritto all'Università di Pretoria, il secondo frequentò l'ateneo di Bloemfontein e ne uscì senza completare gli studi. Due fascicoli, due sedi, nessuna parentela.</w:t>
      </w:r>
    </w:p>
    <w:p>
      <w:pPr>
        <w:spacing w:after="120" w:line="276"/>
        <w:jc w:val="both"/>
      </w:pPr>
      <w:r>
        <w:rPr>
          <w:rFonts w:ascii="Barlow Semi Condensed" w:cs="Barlow Semi Condensed" w:eastAsia="Barlow Semi Condensed" w:hAnsi="Barlow Semi Condensed"/>
          <w:b/>
          <w:bCs/>
          <w:sz w:val="24"/>
          <w:szCs w:val="24"/>
        </w:rPr>
        <w:t xml:space="preserve">607 · Il diploma del nonno a Davenport.</w:t>
      </w:r>
      <w:r>
        <w:rPr>
          <w:rFonts w:ascii="Barlow Semi Condensed" w:cs="Barlow Semi Condensed" w:eastAsia="Barlow Semi Condensed" w:hAnsi="Barlow Semi Condensed"/>
          <w:sz w:val="24"/>
          <w:szCs w:val="24"/>
        </w:rPr>
        <w:t xml:space="preserve"> Joshua Norman Haldeman, nonno materno di Elon Musk, si formò come chiropratico nella scuola di Davenport, nello Iowa, luogo d'origine di quella disciplina. Emigrò in Sud Africa nel 1950 e vi sostenne pubblicamente l'apartheid, con posizioni razziste e antisemite documentate dall'inchiesta della CBC. Non risulta prova di appartenenza a partiti nazisti: è Stato Zero verificato. Le opinioni del nonno non si trasferiscono al nipote, mai.</w:t>
      </w:r>
    </w:p>
    <w:p>
      <w:pPr>
        <w:spacing w:after="120" w:line="276"/>
        <w:jc w:val="both"/>
      </w:pPr>
      <w:r>
        <w:rPr>
          <w:rFonts w:ascii="Barlow Semi Condensed" w:cs="Barlow Semi Condensed" w:eastAsia="Barlow Semi Condensed" w:hAnsi="Barlow Semi Condensed"/>
          <w:b/>
          <w:bCs/>
          <w:sz w:val="24"/>
          <w:szCs w:val="24"/>
        </w:rPr>
        <w:t xml:space="preserve">608 · Dietetica a Bloemfontein.</w:t>
      </w:r>
      <w:r>
        <w:rPr>
          <w:rFonts w:ascii="Barlow Semi Condensed" w:cs="Barlow Semi Condensed" w:eastAsia="Barlow Semi Condensed" w:hAnsi="Barlow Semi Condensed"/>
          <w:sz w:val="24"/>
          <w:szCs w:val="24"/>
        </w:rPr>
        <w:t xml:space="preserve"> Maye Musk, nata in Saskatchewan nel 1948, studiò dietetica presso l'ateneo dello Stato Libero d'Orange, e la sua è biografia professionale pubblica. Il dato serve qui a una sola funzione: mostrare che nella stessa famiglia coesistono formazioni nordamericane e sudafricane, anglofone e afrikaans. La famiglia non è un'unità dottrinale, e trattarla come tale è l'errore che la regola personalistica del corpus esiste per impedire.</w:t>
      </w:r>
    </w:p>
    <w:p>
      <w:pPr>
        <w:spacing w:after="120" w:line="276"/>
        <w:jc w:val="both"/>
      </w:pPr>
      <w:r>
        <w:rPr>
          <w:rFonts w:ascii="Barlow Semi Condensed" w:cs="Barlow Semi Condensed" w:eastAsia="Barlow Semi Condensed" w:hAnsi="Barlow Semi Condensed"/>
          <w:b/>
          <w:bCs/>
          <w:sz w:val="24"/>
          <w:szCs w:val="24"/>
        </w:rPr>
        <w:t xml:space="preserve">609 · Il bersaglio di smentita della serie (serie VIII).</w:t>
      </w:r>
      <w:r>
        <w:rPr>
          <w:rFonts w:ascii="Barlow Semi Condensed" w:cs="Barlow Semi Condensed" w:eastAsia="Barlow Semi Condensed" w:hAnsi="Barlow Semi Condensed"/>
          <w:sz w:val="24"/>
          <w:szCs w:val="24"/>
        </w:rPr>
        <w:t xml:space="preserve"> Se la tesi implicita fosse che una comune scolarizzazione sudafricana bianca abbia prodotto una disposizione condivisa, la serie dichiara che cosa la falsificherebbe. La falsifica il fatto, verificabile in un pomeriggio, che la maggioranza delle persone ritratte nella copertina di Fortune del novembre 2007 non frequentò mai una scuola sudafricana. La confermerebbe soltanto un documento che attesti una formazione comune: nessuno è stato prodotto.</w:t>
      </w:r>
    </w:p>
    <w:p>
      <w:pPr>
        <w:spacing w:after="120" w:line="276"/>
        <w:jc w:val="both"/>
      </w:pPr>
      <w:r>
        <w:rPr>
          <w:rFonts w:ascii="Barlow Semi Condensed" w:cs="Barlow Semi Condensed" w:eastAsia="Barlow Semi Condensed" w:hAnsi="Barlow Semi Condensed"/>
          <w:b/>
          <w:bCs/>
          <w:sz w:val="24"/>
          <w:szCs w:val="24"/>
        </w:rPr>
        <w:t xml:space="preserve">610 · Che cosa la serie non ha trovato.</w:t>
      </w:r>
      <w:r>
        <w:rPr>
          <w:rFonts w:ascii="Barlow Semi Condensed" w:cs="Barlow Semi Condensed" w:eastAsia="Barlow Semi Condensed" w:hAnsi="Barlow Semi Condensed"/>
          <w:sz w:val="24"/>
          <w:szCs w:val="24"/>
        </w:rPr>
        <w:t xml:space="preserve"> Il controllo meccanico sul corpus dà zero occorrenze di scuole, atenei o ruoli di leva sudafricani negli altri Libri; l'unico contatto documentato resta il nodo E-16 delle triangolazioni Guevara-Moro, il discorso all'Assemblea Generale dell'11 dicembre 1964 che denunciò colonialismo e apartheid. Il ponte esiste sul piano della denuncia pubblica, non su quello delle persone. Chi cerchi altro deve portare un registro, non un'affinità. </w:t>
      </w:r>
      <w:r>
        <w:rPr>
          <w:rFonts w:ascii="Barlow Semi Condensed" w:cs="Barlow Semi Condensed" w:eastAsia="Barlow Semi Condensed" w:hAnsi="Barlow Semi Condensed"/>
          <w:i/>
          <w:iCs/>
          <w:sz w:val="24"/>
          <w:szCs w:val="24"/>
        </w:rPr>
        <w:t xml:space="preserve">(Verifica riferita al perimetro anteriore al 26 agosto 2026; per l'aggiornamento dopo l'ingresso del Libro quarto si veda il blocco 38.)</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Serie nona — La valle: PayPal, la rete e i suoi atti societari</w:t>
      </w:r>
    </w:p>
    <w:p>
      <w:pPr>
        <w:spacing w:after="120" w:line="276"/>
        <w:jc w:val="both"/>
      </w:pPr>
      <w:r>
        <w:rPr>
          <w:rFonts w:ascii="Barlow Semi Condensed" w:cs="Barlow Semi Condensed" w:eastAsia="Barlow Semi Condensed" w:hAnsi="Barlow Semi Condensed"/>
          <w:i/>
          <w:iCs/>
          <w:sz w:val="24"/>
          <w:szCs w:val="24"/>
        </w:rPr>
        <w:t xml:space="preserve">Blocchi 611-695.</w:t>
      </w:r>
    </w:p>
    <w:p>
      <w:pPr>
        <w:spacing w:after="120" w:line="276"/>
        <w:jc w:val="both"/>
      </w:pPr>
      <w:r>
        <w:rPr>
          <w:rFonts w:ascii="Barlow Semi Condensed" w:cs="Barlow Semi Condensed" w:eastAsia="Barlow Semi Condensed" w:hAnsi="Barlow Semi Condensed"/>
          <w:b/>
          <w:bCs/>
          <w:sz w:val="24"/>
          <w:szCs w:val="24"/>
        </w:rPr>
        <w:t xml:space="preserve">611 · Statuto della nona serie.</w:t>
      </w:r>
      <w:r>
        <w:rPr>
          <w:rFonts w:ascii="Barlow Semi Condensed" w:cs="Barlow Semi Condensed" w:eastAsia="Barlow Semi Condensed" w:hAnsi="Barlow Semi Condensed"/>
          <w:sz w:val="24"/>
          <w:szCs w:val="24"/>
        </w:rPr>
        <w:t xml:space="preserve"> Questa serie lavora soltanto su depositi: atti costitutivi, prospetti di collocamento, moduli periodici, contratti allegati. Nessuna unità vi afferma una condotta e nessuna indica alcuno come responsabile di illecito. Ogni bersaglio è eseguibile da un terzo che apra un registro pubblico e legga un documento con data, numero e firma. Dove il documento manca si scrive lo Stato Zero con la sede che lo chiuderebbe, come prescrive il blocco 13 del manuale investigativo.</w:t>
      </w:r>
    </w:p>
    <w:p>
      <w:pPr>
        <w:spacing w:after="120" w:line="276"/>
        <w:jc w:val="both"/>
      </w:pPr>
      <w:r>
        <w:rPr>
          <w:rFonts w:ascii="Barlow Semi Condensed" w:cs="Barlow Semi Condensed" w:eastAsia="Barlow Semi Condensed" w:hAnsi="Barlow Semi Condensed"/>
          <w:b/>
          <w:bCs/>
          <w:sz w:val="24"/>
          <w:szCs w:val="24"/>
        </w:rPr>
        <w:t xml:space="preserve">612 · Il gruppo non è un ente.</w:t>
      </w:r>
      <w:r>
        <w:rPr>
          <w:rFonts w:ascii="Barlow Semi Condensed" w:cs="Barlow Semi Condensed" w:eastAsia="Barlow Semi Condensed" w:hAnsi="Barlow Semi Condensed"/>
          <w:sz w:val="24"/>
          <w:szCs w:val="24"/>
        </w:rPr>
        <w:t xml:space="preserve"> Non esiste alcun atto costitutivo, statuto, patto parasociale o registrazione che istituisca una «PayPal Mafia». La locuzione nasce da un servizio di rivista del 2007 e resta una categoria giornalistica. Trattarla come soggetto unitario significa attribuire volontà a un insieme che nessun registro conosce, ed è precisamente l'errore che il manuale censisce al blocco 258. Qui si nominano persone, ciascuna con i propri atti depositati.</w:t>
      </w:r>
    </w:p>
    <w:p>
      <w:pPr>
        <w:spacing w:after="120" w:line="276"/>
        <w:jc w:val="both"/>
      </w:pPr>
      <w:r>
        <w:rPr>
          <w:rFonts w:ascii="Barlow Semi Condensed" w:cs="Barlow Semi Condensed" w:eastAsia="Barlow Semi Condensed" w:hAnsi="Barlow Semi Condensed"/>
          <w:b/>
          <w:bCs/>
          <w:sz w:val="24"/>
          <w:szCs w:val="24"/>
        </w:rPr>
        <w:t xml:space="preserve">613 · Il pavimento è il deposito.</w:t>
      </w:r>
      <w:r>
        <w:rPr>
          <w:rFonts w:ascii="Barlow Semi Condensed" w:cs="Barlow Semi Condensed" w:eastAsia="Barlow Semi Condensed" w:hAnsi="Barlow Semi Condensed"/>
          <w:sz w:val="24"/>
          <w:szCs w:val="24"/>
        </w:rPr>
        <w:t xml:space="preserve"> Il criterio probatorio della serie è più stretto di quello narrativo. Un'affermazione entra soltanto se sopravvive alla domanda: quale documento pubblico la contiene, presso quale autorità, con quale data di ricezione. La memoria dei protagonisti, le interviste retrospettive e le ricostruzioni giornalistiche restano materiale di contesto, mai fondamento. Il deposito ha una virtù che l'aneddoto non ha: fu redatto sotto responsabilità e prima di conoscere l'esito.</w:t>
      </w:r>
    </w:p>
    <w:p>
      <w:pPr>
        <w:spacing w:after="120" w:line="276"/>
        <w:jc w:val="both"/>
      </w:pPr>
      <w:r>
        <w:rPr>
          <w:rFonts w:ascii="Barlow Semi Condensed" w:cs="Barlow Semi Condensed" w:eastAsia="Barlow Semi Condensed" w:hAnsi="Barlow Semi Condensed"/>
          <w:b/>
          <w:bCs/>
          <w:sz w:val="24"/>
          <w:szCs w:val="24"/>
        </w:rPr>
        <w:t xml:space="preserve">614 · Come si interroga EDGAR.</w:t>
      </w:r>
      <w:r>
        <w:rPr>
          <w:rFonts w:ascii="Barlow Semi Condensed" w:cs="Barlow Semi Condensed" w:eastAsia="Barlow Semi Condensed" w:hAnsi="Barlow Semi Condensed"/>
          <w:sz w:val="24"/>
          <w:szCs w:val="24"/>
        </w:rPr>
        <w:t xml:space="preserve"> L'archivio elettronico della Securities and Exchange Commission conserva i depositi delle società statunitensi quotate dal 1993 in avanti, indicizzati per identificativo societario. Si interroga per denominazione, per identificativo o per testo integrale, quest'ultimo limitato agli anni recenti. Chi cerchi PayPal Inc. deve distinguerla da PayPal Holdings Inc., società diversa nata dalla scissione da eBay nel 2015: sono due identificativi separati e confonderli produce una cronologia falsa.</w:t>
      </w:r>
    </w:p>
    <w:p>
      <w:pPr>
        <w:spacing w:after="120" w:line="276"/>
        <w:jc w:val="both"/>
      </w:pPr>
      <w:r>
        <w:rPr>
          <w:rFonts w:ascii="Barlow Semi Condensed" w:cs="Barlow Semi Condensed" w:eastAsia="Barlow Semi Condensed" w:hAnsi="Barlow Semi Condensed"/>
          <w:b/>
          <w:bCs/>
          <w:sz w:val="24"/>
          <w:szCs w:val="24"/>
        </w:rPr>
        <w:t xml:space="preserve">615 · Dover, Delaware, e non altrove.</w:t>
      </w:r>
      <w:r>
        <w:rPr>
          <w:rFonts w:ascii="Barlow Semi Condensed" w:cs="Barlow Semi Condensed" w:eastAsia="Barlow Semi Condensed" w:hAnsi="Barlow Semi Condensed"/>
          <w:sz w:val="24"/>
          <w:szCs w:val="24"/>
        </w:rPr>
        <w:t xml:space="preserve"> Le società di cui questa serie tratta furono costituite quasi tutte nello Stato del Delaware. Il certificato di costituzione, gli emendamenti successivi, il certificato di fusione e le annotazioni di scioglimento si ottengono dalla Division of Corporations del Segretario di Stato, a Dover, dietro pagamento e su richiesta di copia certificata. Quei fogli fissano date e denominazioni con esattezza che nessuna cronaca eguaglia, e sono accessibili a chiunque.</w:t>
      </w:r>
    </w:p>
    <w:p>
      <w:pPr>
        <w:spacing w:after="120" w:line="276"/>
        <w:jc w:val="both"/>
      </w:pPr>
      <w:r>
        <w:rPr>
          <w:rFonts w:ascii="Barlow Semi Condensed" w:cs="Barlow Semi Condensed" w:eastAsia="Barlow Semi Condensed" w:hAnsi="Barlow Semi Condensed"/>
          <w:b/>
          <w:bCs/>
          <w:sz w:val="24"/>
          <w:szCs w:val="24"/>
        </w:rPr>
        <w:t xml:space="preserve">616 · Sacramento e i moduli annuali.</w:t>
      </w:r>
      <w:r>
        <w:rPr>
          <w:rFonts w:ascii="Barlow Semi Condensed" w:cs="Barlow Semi Condensed" w:eastAsia="Barlow Semi Condensed" w:hAnsi="Barlow Semi Condensed"/>
          <w:sz w:val="24"/>
          <w:szCs w:val="24"/>
        </w:rPr>
        <w:t xml:space="preserve"> Una società costituita in Delaware ma operante in California deve qualificarsi presso il Segretario di Stato della California e depositarvi periodicamente lo Statement of Information, che nomina dirigenti, amministratori e agente per le notifiche. La serie storica di quei moduli, consultabile online, restituisce anno per anno la composizione formale degli organi. È una fonte trascurata perché noiosa, e per questo raramente adulterata dalla polemica.</w:t>
      </w:r>
    </w:p>
    <w:p>
      <w:pPr>
        <w:spacing w:after="120" w:line="276"/>
        <w:jc w:val="both"/>
      </w:pPr>
      <w:r>
        <w:rPr>
          <w:rFonts w:ascii="Barlow Semi Condensed" w:cs="Barlow Semi Condensed" w:eastAsia="Barlow Semi Condensed" w:hAnsi="Barlow Semi Condensed"/>
          <w:b/>
          <w:bCs/>
          <w:sz w:val="24"/>
          <w:szCs w:val="24"/>
        </w:rPr>
        <w:t xml:space="preserve">617 · Fieldlink, dicembre 1998.</w:t>
      </w:r>
      <w:r>
        <w:rPr>
          <w:rFonts w:ascii="Barlow Semi Condensed" w:cs="Barlow Semi Condensed" w:eastAsia="Barlow Semi Condensed" w:hAnsi="Barlow Semi Condensed"/>
          <w:sz w:val="24"/>
          <w:szCs w:val="24"/>
        </w:rPr>
        <w:t xml:space="preserve"> Nacque alla fine del 1998, con altro nome e con altro oggetto, la società poi nota come Confinity: si chiamava Fieldlink e vendeva sicurezza crittografica per dispositivi palmari. Il passaggio dal software di cifratura al trasferimento di denaro fra utenti avvenne nel corso del 1999. La data e la denominazione originaria vanno verificate sul certificato di costituzione e sul primo emendamento, non sulle cronologie aziendali pubblicate a posteriori.</w:t>
      </w:r>
    </w:p>
    <w:p>
      <w:pPr>
        <w:spacing w:after="120" w:line="276"/>
        <w:jc w:val="both"/>
      </w:pPr>
      <w:r>
        <w:rPr>
          <w:rFonts w:ascii="Barlow Semi Condensed" w:cs="Barlow Semi Condensed" w:eastAsia="Barlow Semi Condensed" w:hAnsi="Barlow Semi Condensed"/>
          <w:b/>
          <w:bCs/>
          <w:sz w:val="24"/>
          <w:szCs w:val="24"/>
        </w:rPr>
        <w:t xml:space="preserve">618 · Quanti fondatori ebbe Confinity.</w:t>
      </w:r>
      <w:r>
        <w:rPr>
          <w:rFonts w:ascii="Barlow Semi Condensed" w:cs="Barlow Semi Condensed" w:eastAsia="Barlow Semi Condensed" w:hAnsi="Barlow Semi Condensed"/>
          <w:sz w:val="24"/>
          <w:szCs w:val="24"/>
        </w:rPr>
        <w:t xml:space="preserve"> Le fonti divergono sul numero. Alcune ricostruzioni indicano due fondatori, Peter Thiel e Max Levchin; altre ne indicano quattro, aggiungendo Luke Nosek e Ken Howery. La divergenza non si scioglie in silenzio: si riporta e si porta al documento, cioè all'elenco dei sottoscrittori iniziali del capitale e ai primi accordi di emissione azionaria. Fondatore è qualifica giornalistica; sottoscrittore del capitale è qualifica registrale, e sono cose diverse.</w:t>
      </w:r>
    </w:p>
    <w:p>
      <w:pPr>
        <w:spacing w:after="120" w:line="276"/>
        <w:jc w:val="both"/>
      </w:pPr>
      <w:r>
        <w:rPr>
          <w:rFonts w:ascii="Barlow Semi Condensed" w:cs="Barlow Semi Condensed" w:eastAsia="Barlow Semi Condensed" w:hAnsi="Barlow Semi Condensed"/>
          <w:b/>
          <w:bCs/>
          <w:sz w:val="24"/>
          <w:szCs w:val="24"/>
        </w:rPr>
        <w:t xml:space="preserve">619 · X.com, marzo 1999.</w:t>
      </w:r>
      <w:r>
        <w:rPr>
          <w:rFonts w:ascii="Barlow Semi Condensed" w:cs="Barlow Semi Condensed" w:eastAsia="Barlow Semi Condensed" w:hAnsi="Barlow Semi Condensed"/>
          <w:sz w:val="24"/>
          <w:szCs w:val="24"/>
        </w:rPr>
        <w:t xml:space="preserve"> La seconda società della coppia fu costituita nella primavera del 1999 da Elon Musk insieme a Harris Fricker, Christopher Payne ed Ed Ho. La separazione fra Musk e Fricker avvenne pochi mesi dopo. Anche qui il documento decisivo non è il ricordo dei protagonisti ma il certificato di costituzione con l'elenco degli incorporatori, e l'eventuale accordo fra soci depositato più tardi come allegato al prospetto del 2002.</w:t>
      </w:r>
    </w:p>
    <w:p>
      <w:pPr>
        <w:spacing w:after="120" w:line="276"/>
        <w:jc w:val="both"/>
      </w:pPr>
      <w:r>
        <w:rPr>
          <w:rFonts w:ascii="Barlow Semi Condensed" w:cs="Barlow Semi Condensed" w:eastAsia="Barlow Semi Condensed" w:hAnsi="Barlow Semi Condensed"/>
          <w:b/>
          <w:bCs/>
          <w:sz w:val="24"/>
          <w:szCs w:val="24"/>
        </w:rPr>
        <w:t xml:space="preserve">620 · La licenza bancaria mancata.</w:t>
      </w:r>
      <w:r>
        <w:rPr>
          <w:rFonts w:ascii="Barlow Semi Condensed" w:cs="Barlow Semi Condensed" w:eastAsia="Barlow Semi Condensed" w:hAnsi="Barlow Semi Condensed"/>
          <w:sz w:val="24"/>
          <w:szCs w:val="24"/>
        </w:rPr>
        <w:t xml:space="preserve"> X.com annunciò l'intenzione di operare come banca in rete. Se vi fu una domanda formale, ne resta traccia presso l'Office of the Comptroller of the Currency oppure presso la Federal Deposit Insurance Corporation, i cui registri di autorizzazione e di assicurazione dei depositi sono interrogabili pubblicamente. Il bersaglio è netto: accertare se esista una domanda protocollata, e con quale esito. Un annuncio d'impresa non è un'autorizzazione.</w:t>
      </w:r>
    </w:p>
    <w:p>
      <w:pPr>
        <w:spacing w:after="120" w:line="276"/>
        <w:jc w:val="both"/>
      </w:pPr>
      <w:r>
        <w:rPr>
          <w:rFonts w:ascii="Barlow Semi Condensed" w:cs="Barlow Semi Condensed" w:eastAsia="Barlow Semi Condensed" w:hAnsi="Barlow Semi Condensed"/>
          <w:b/>
          <w:bCs/>
          <w:sz w:val="24"/>
          <w:szCs w:val="24"/>
        </w:rPr>
        <w:t xml:space="preserve">621 · I brevetti passati di mano.</w:t>
      </w:r>
      <w:r>
        <w:rPr>
          <w:rFonts w:ascii="Barlow Semi Condensed" w:cs="Barlow Semi Condensed" w:eastAsia="Barlow Semi Condensed" w:hAnsi="Barlow Semi Condensed"/>
          <w:sz w:val="24"/>
          <w:szCs w:val="24"/>
        </w:rPr>
        <w:t xml:space="preserve"> L'ufficio brevetti e marchi statunitense mantiene una banca dati delle cessioni, che registra il passaggio di titolarità con data di esecuzione e data di registrazione. Cercarvi i brevetti attribuiti a Confinity e il loro trasferimento alla società risultante dalla fusione produce una prova documentale del passaggio patrimoniale, indipendente dai comunicati stampa. È la via più economica per datare con precisione ciò che le cronache datano per approssimazione.</w:t>
      </w:r>
    </w:p>
    <w:p>
      <w:pPr>
        <w:spacing w:after="120" w:line="276"/>
        <w:jc w:val="both"/>
      </w:pPr>
      <w:r>
        <w:rPr>
          <w:rFonts w:ascii="Barlow Semi Condensed" w:cs="Barlow Semi Condensed" w:eastAsia="Barlow Semi Condensed" w:hAnsi="Barlow Semi Condensed"/>
          <w:b/>
          <w:bCs/>
          <w:sz w:val="24"/>
          <w:szCs w:val="24"/>
        </w:rPr>
        <w:t xml:space="preserve">622 · I marchi e le loro vicende.</w:t>
      </w:r>
      <w:r>
        <w:rPr>
          <w:rFonts w:ascii="Barlow Semi Condensed" w:cs="Barlow Semi Condensed" w:eastAsia="Barlow Semi Condensed" w:hAnsi="Barlow Semi Condensed"/>
          <w:sz w:val="24"/>
          <w:szCs w:val="24"/>
        </w:rPr>
        <w:t xml:space="preserve"> Il registro dei marchi consente di ricostruire, per ciascun segno depositato, la catena delle titolarità e le date di primo uso dichiarate sotto giuramento. Il marchio denominativo relativo al servizio di pagamento e quello relativo alla denominazione precedente sono due fascicoli distinti, con numeri di serie propri. La dichiarazione di primo uso è resa sotto responsabilità e vale più di qualunque ricostruzione retrospettiva della cronologia commerciale.</w:t>
      </w:r>
    </w:p>
    <w:p>
      <w:pPr>
        <w:spacing w:after="120" w:line="276"/>
        <w:jc w:val="both"/>
      </w:pPr>
      <w:r>
        <w:rPr>
          <w:rFonts w:ascii="Barlow Semi Condensed" w:cs="Barlow Semi Condensed" w:eastAsia="Barlow Semi Condensed" w:hAnsi="Barlow Semi Condensed"/>
          <w:b/>
          <w:bCs/>
          <w:sz w:val="24"/>
          <w:szCs w:val="24"/>
        </w:rPr>
        <w:t xml:space="preserve">623 · Le società private non depositano.</w:t>
      </w:r>
      <w:r>
        <w:rPr>
          <w:rFonts w:ascii="Barlow Semi Condensed" w:cs="Barlow Semi Condensed" w:eastAsia="Barlow Semi Condensed" w:hAnsi="Barlow Semi Condensed"/>
          <w:sz w:val="24"/>
          <w:szCs w:val="24"/>
        </w:rPr>
        <w:t xml:space="preserve"> Nessuna delle due società fu tenuta, fra il 1998 e il febbraio 2002, a depositare bilanci presso la Securities and Exchange Commission, perché nessuna aveva titoli quotati. Ne discende una conseguenza di metodo che vale per l'intera serie: il silenzio dell'archivio federale su quegli anni non è occultamento, è la normale conseguenza dello statuto privato. Confondere le due cose è l'errore del buco riempito.</w:t>
      </w:r>
    </w:p>
    <w:p>
      <w:pPr>
        <w:spacing w:after="120" w:line="276"/>
        <w:jc w:val="both"/>
      </w:pPr>
      <w:r>
        <w:rPr>
          <w:rFonts w:ascii="Barlow Semi Condensed" w:cs="Barlow Semi Condensed" w:eastAsia="Barlow Semi Condensed" w:hAnsi="Barlow Semi Condensed"/>
          <w:b/>
          <w:bCs/>
          <w:sz w:val="24"/>
          <w:szCs w:val="24"/>
        </w:rPr>
        <w:t xml:space="preserve">624 · I moduli D anteriori al 2008.</w:t>
      </w:r>
      <w:r>
        <w:rPr>
          <w:rFonts w:ascii="Barlow Semi Condensed" w:cs="Barlow Semi Condensed" w:eastAsia="Barlow Semi Condensed" w:hAnsi="Barlow Semi Condensed"/>
          <w:sz w:val="24"/>
          <w:szCs w:val="24"/>
        </w:rPr>
        <w:t xml:space="preserve"> I collocamenti privati esenti da registrazione si notificano con un modulo che, fino al 2008, si depositava su carta e non confluì integralmente nell'archivio elettronico. Chi cerchi i finanziamenti del 1999 e del 2000 nell'archivio in rete rischia dunque un falso negativo. La strada corretta passa da una richiesta di accesso agli atti alla Commissione, indicando denominazione e periodo, ed è un bersaglio eseguibile oggi.</w:t>
      </w:r>
    </w:p>
    <w:p>
      <w:pPr>
        <w:spacing w:after="120" w:line="276"/>
        <w:jc w:val="both"/>
      </w:pPr>
      <w:r>
        <w:rPr>
          <w:rFonts w:ascii="Barlow Semi Condensed" w:cs="Barlow Semi Condensed" w:eastAsia="Barlow Semi Condensed" w:hAnsi="Barlow Semi Condensed"/>
          <w:b/>
          <w:bCs/>
          <w:sz w:val="24"/>
          <w:szCs w:val="24"/>
        </w:rPr>
        <w:t xml:space="preserve">625 · I finanziatori della fase privata.</w:t>
      </w:r>
      <w:r>
        <w:rPr>
          <w:rFonts w:ascii="Barlow Semi Condensed" w:cs="Barlow Semi Condensed" w:eastAsia="Barlow Semi Condensed" w:hAnsi="Barlow Semi Condensed"/>
          <w:sz w:val="24"/>
          <w:szCs w:val="24"/>
        </w:rPr>
        <w:t xml:space="preserve"> I turni di finanziamento delle due società coinvolsero fondi di venture capital e almeno un investitore industriale europeo, secondo la stampa economica dell'epoca. Il grado resta indiziario finché non si legga un documento: il modulo di notifica del collocamento, il patto parasociale allegato al prospetto del 2002, o la tabella di capitalizzazione. Fino a quel punto si scrive che la notizia circola, non che il fatto è accertato.</w:t>
      </w:r>
    </w:p>
    <w:p>
      <w:pPr>
        <w:spacing w:after="120" w:line="276"/>
        <w:jc w:val="both"/>
      </w:pPr>
      <w:r>
        <w:rPr>
          <w:rFonts w:ascii="Barlow Semi Condensed" w:cs="Barlow Semi Condensed" w:eastAsia="Barlow Semi Condensed" w:hAnsi="Barlow Semi Condensed"/>
          <w:b/>
          <w:bCs/>
          <w:sz w:val="24"/>
          <w:szCs w:val="24"/>
        </w:rPr>
        <w:t xml:space="preserve">626 · La fusione del marzo 2000.</w:t>
      </w:r>
      <w:r>
        <w:rPr>
          <w:rFonts w:ascii="Barlow Semi Condensed" w:cs="Barlow Semi Condensed" w:eastAsia="Barlow Semi Condensed" w:hAnsi="Barlow Semi Condensed"/>
          <w:sz w:val="24"/>
          <w:szCs w:val="24"/>
        </w:rPr>
        <w:t xml:space="preserve"> Le due società si unirono nella primavera del 2000, con effetto sull'assetto proprietario che il prospetto di due anni dopo descrive in forma sintetica. Il documento primario è il certificato di fusione depositato in Delaware, con la data di efficacia, e l'accordo di fusione con i suoi allegati. La cronaca discute chi cedette di più; l'atto dice soltanto chi si estinse in chi, ed è il dato che conta.</w:t>
      </w:r>
    </w:p>
    <w:p>
      <w:pPr>
        <w:spacing w:after="120" w:line="276"/>
        <w:jc w:val="both"/>
      </w:pPr>
      <w:r>
        <w:rPr>
          <w:rFonts w:ascii="Barlow Semi Condensed" w:cs="Barlow Semi Condensed" w:eastAsia="Barlow Semi Condensed" w:hAnsi="Barlow Semi Condensed"/>
          <w:b/>
          <w:bCs/>
          <w:sz w:val="24"/>
          <w:szCs w:val="24"/>
        </w:rPr>
        <w:t xml:space="preserve">627 · Il rapporto di concambio.</w:t>
      </w:r>
      <w:r>
        <w:rPr>
          <w:rFonts w:ascii="Barlow Semi Condensed" w:cs="Barlow Semi Condensed" w:eastAsia="Barlow Semi Condensed" w:hAnsi="Barlow Semi Condensed"/>
          <w:sz w:val="24"/>
          <w:szCs w:val="24"/>
        </w:rPr>
        <w:t xml:space="preserve"> Quante azioni della società incorporante spettassero a ciascuna azione della incorporata è un numero, non un'opinione, e sta nell'accordo di fusione. Le ricostruzioni biografiche riferiscono un negoziato aspro sulla proporzione e un successivo riaggiustamento. La divergenza fra i racconti si risolve soltanto leggendo il testo dell'accordo e i suoi eventuali emendamenti, reperibili fra gli allegati depositati o, in mancanza, presso le parti.</w:t>
      </w:r>
    </w:p>
    <w:p>
      <w:pPr>
        <w:spacing w:after="120" w:line="276"/>
        <w:jc w:val="both"/>
      </w:pPr>
      <w:r>
        <w:rPr>
          <w:rFonts w:ascii="Barlow Semi Condensed" w:cs="Barlow Semi Condensed" w:eastAsia="Barlow Semi Condensed" w:hAnsi="Barlow Semi Condensed"/>
          <w:b/>
          <w:bCs/>
          <w:sz w:val="24"/>
          <w:szCs w:val="24"/>
        </w:rPr>
        <w:t xml:space="preserve">628 · Il cambio di ragione sociale.</w:t>
      </w:r>
      <w:r>
        <w:rPr>
          <w:rFonts w:ascii="Barlow Semi Condensed" w:cs="Barlow Semi Condensed" w:eastAsia="Barlow Semi Condensed" w:hAnsi="Barlow Semi Condensed"/>
          <w:sz w:val="24"/>
          <w:szCs w:val="24"/>
        </w:rPr>
        <w:t xml:space="preserve"> Per un periodo il soggetto nato dalla fusione portò la denominazione della società incorporante, e assunse più tardi quella del servizio di pagamento. La data esatta di quel cambiamento si legge sul certificato di emendamento allo statuto, non sui comunicati. È un dettaglio apparentemente minuto che ordina tutta la cronologia successiva, perché stabilisce da quale giorno gli atti firmati con l'una o con l'altra denominazione siano riferibili al medesimo soggetto.</w:t>
      </w:r>
    </w:p>
    <w:p>
      <w:pPr>
        <w:spacing w:after="120" w:line="276"/>
        <w:jc w:val="both"/>
      </w:pPr>
      <w:r>
        <w:rPr>
          <w:rFonts w:ascii="Barlow Semi Condensed" w:cs="Barlow Semi Condensed" w:eastAsia="Barlow Semi Condensed" w:hAnsi="Barlow Semi Condensed"/>
          <w:b/>
          <w:bCs/>
          <w:sz w:val="24"/>
          <w:szCs w:val="24"/>
        </w:rPr>
        <w:t xml:space="preserve">629 · Settembre 2000, il consiglio delibera.</w:t>
      </w:r>
      <w:r>
        <w:rPr>
          <w:rFonts w:ascii="Barlow Semi Condensed" w:cs="Barlow Semi Condensed" w:eastAsia="Barlow Semi Condensed" w:hAnsi="Barlow Semi Condensed"/>
          <w:sz w:val="24"/>
          <w:szCs w:val="24"/>
        </w:rPr>
        <w:t xml:space="preserve"> Nel settembre del 2000 il consiglio di amministrazione sostituì l'amministratore delegato. È un atto societario ordinario e come tale va trattato: cambia la persona che firma, cambiano le deleghe, non cambia il soggetto giuridico. Le circostanze del passaggio sono raccontate in modo divergente dalle biografie, e questa serie non le arbitra. Registra soltanto l'effetto verificabile: da quella data la firma sui documenti societari appartiene a un'altra persona.</w:t>
      </w:r>
    </w:p>
    <w:p>
      <w:pPr>
        <w:spacing w:after="120" w:line="276"/>
        <w:jc w:val="both"/>
      </w:pPr>
      <w:r>
        <w:rPr>
          <w:rFonts w:ascii="Barlow Semi Condensed" w:cs="Barlow Semi Condensed" w:eastAsia="Barlow Semi Condensed" w:hAnsi="Barlow Semi Condensed"/>
          <w:b/>
          <w:bCs/>
          <w:sz w:val="24"/>
          <w:szCs w:val="24"/>
        </w:rPr>
        <w:t xml:space="preserve">630 · Due biografi, due racconti.</w:t>
      </w:r>
      <w:r>
        <w:rPr>
          <w:rFonts w:ascii="Barlow Semi Condensed" w:cs="Barlow Semi Condensed" w:eastAsia="Barlow Semi Condensed" w:hAnsi="Barlow Semi Condensed"/>
          <w:sz w:val="24"/>
          <w:szCs w:val="24"/>
        </w:rPr>
        <w:t xml:space="preserve"> La biografia di Elon Musk scritta da Ashlee Vance e quella di Peter Thiel scritta da Max Chafkin narrano il medesimo cambio di vertice con accenti opposti quanto a iniziativa e a legittimità. Entrambe hanno apparato di note e interviste dichiarate; nessuna delle due esibisce i verbali. La regola del corpus è quella del blocco 15 del manuale: le divergenze si riportano, e si porta il quesito alla fonte che le dirimerebbe.</w:t>
      </w:r>
    </w:p>
    <w:p>
      <w:pPr>
        <w:spacing w:after="120" w:line="276"/>
        <w:jc w:val="both"/>
      </w:pPr>
      <w:r>
        <w:rPr>
          <w:rFonts w:ascii="Barlow Semi Condensed" w:cs="Barlow Semi Condensed" w:eastAsia="Barlow Semi Condensed" w:hAnsi="Barlow Semi Condensed"/>
          <w:b/>
          <w:bCs/>
          <w:sz w:val="24"/>
          <w:szCs w:val="24"/>
        </w:rPr>
        <w:t xml:space="preserve">631 · I verbali del consiglio non sono pubblici.</w:t>
      </w:r>
      <w:r>
        <w:rPr>
          <w:rFonts w:ascii="Barlow Semi Condensed" w:cs="Barlow Semi Condensed" w:eastAsia="Barlow Semi Condensed" w:hAnsi="Barlow Semi Condensed"/>
          <w:sz w:val="24"/>
          <w:szCs w:val="24"/>
        </w:rPr>
        <w:t xml:space="preserve"> Le deliberazioni del consiglio di una società privata non si depositano presso alcuna autorità e non sono accessibili a terzi. Restano nei libri sociali, che il diritto societario del Delaware rende ostensibili ai soli soci e in casi determinati. Si verbalizza dunque uno Stato Zero: allo stato non risulta accessibile alcun verbale del settembre 2000, e la sede che lo chiuderebbe è un'esibizione ordinata da un giudice o una produzione volontaria.</w:t>
      </w:r>
    </w:p>
    <w:p>
      <w:pPr>
        <w:spacing w:after="120" w:line="276"/>
        <w:jc w:val="both"/>
      </w:pPr>
      <w:r>
        <w:rPr>
          <w:rFonts w:ascii="Barlow Semi Condensed" w:cs="Barlow Semi Condensed" w:eastAsia="Barlow Semi Condensed" w:hAnsi="Barlow Semi Condensed"/>
          <w:b/>
          <w:bCs/>
          <w:sz w:val="24"/>
          <w:szCs w:val="24"/>
        </w:rPr>
        <w:t xml:space="preserve">632 · Il consiglio quale il prospetto lo descrive.</w:t>
      </w:r>
      <w:r>
        <w:rPr>
          <w:rFonts w:ascii="Barlow Semi Condensed" w:cs="Barlow Semi Condensed" w:eastAsia="Barlow Semi Condensed" w:hAnsi="Barlow Semi Condensed"/>
          <w:sz w:val="24"/>
          <w:szCs w:val="24"/>
        </w:rPr>
        <w:t xml:space="preserve"> Nel prospetto del 2002 la sezione dedicata alla direzione elenca amministratori e dirigenti con età, incarichi e biografia sintetica, e indica i rapporti fra la società e i suoi soci rilevanti. È la prima fotografia ufficiale della governance dopo quattro anni di vita privata. Va letta come autorappresentazione soggetta a responsabilità legale, il che la rende attendibile sui fatti anagrafici e reticente su tutto ciò che non era obbligata a dire.</w:t>
      </w:r>
    </w:p>
    <w:p>
      <w:pPr>
        <w:spacing w:after="120" w:line="276"/>
        <w:jc w:val="both"/>
      </w:pPr>
      <w:r>
        <w:rPr>
          <w:rFonts w:ascii="Barlow Semi Condensed" w:cs="Barlow Semi Condensed" w:eastAsia="Barlow Semi Condensed" w:hAnsi="Barlow Semi Condensed"/>
          <w:b/>
          <w:bCs/>
          <w:sz w:val="24"/>
          <w:szCs w:val="24"/>
        </w:rPr>
        <w:t xml:space="preserve">633 · Gli allegati statutari.</w:t>
      </w:r>
      <w:r>
        <w:rPr>
          <w:rFonts w:ascii="Barlow Semi Condensed" w:cs="Barlow Semi Condensed" w:eastAsia="Barlow Semi Condensed" w:hAnsi="Barlow Semi Condensed"/>
          <w:sz w:val="24"/>
          <w:szCs w:val="24"/>
        </w:rPr>
        <w:t xml:space="preserve"> Ogni registrazione di titoli reca in allegato lo statuto vigente e il regolamento interno nella versione adottata in vista della quotazione. Quei due testi contengono le clausole che governano il consiglio, le classi di azioni, i quorum e le difese contro le scalate. Leggerli è più istruttivo di qualunque intervista, perché mostrano che cosa i fondatori vollero rendere difficile e a chi vollero riservare l'ultima parola.</w:t>
      </w:r>
    </w:p>
    <w:p>
      <w:pPr>
        <w:spacing w:after="120" w:line="276"/>
        <w:jc w:val="both"/>
      </w:pPr>
      <w:r>
        <w:rPr>
          <w:rFonts w:ascii="Barlow Semi Condensed" w:cs="Barlow Semi Condensed" w:eastAsia="Barlow Semi Condensed" w:hAnsi="Barlow Semi Condensed"/>
          <w:b/>
          <w:bCs/>
          <w:sz w:val="24"/>
          <w:szCs w:val="24"/>
        </w:rPr>
        <w:t xml:space="preserve">634 · I piani di assegnazione azionaria.</w:t>
      </w:r>
      <w:r>
        <w:rPr>
          <w:rFonts w:ascii="Barlow Semi Condensed" w:cs="Barlow Semi Condensed" w:eastAsia="Barlow Semi Condensed" w:hAnsi="Barlow Semi Condensed"/>
          <w:sz w:val="24"/>
          <w:szCs w:val="24"/>
        </w:rPr>
        <w:t xml:space="preserve"> I piani di opzione e di incentivazione azionaria si depositano come allegati e si registrano poi con un modulo dedicato alle azioni destinate ai dipendenti. Dicono quante azioni furono riservate, a quali condizioni maturassero e che cosa accadesse in caso di cambio di controllo. Poiché la società fu acquisita otto mesi dopo la quotazione, quella clausola sul cambio di controllo è il punto in cui il denaro effettivamente si mosse.</w:t>
      </w:r>
    </w:p>
    <w:p>
      <w:pPr>
        <w:spacing w:after="120" w:line="276"/>
        <w:jc w:val="both"/>
      </w:pPr>
      <w:r>
        <w:rPr>
          <w:rFonts w:ascii="Barlow Semi Condensed" w:cs="Barlow Semi Condensed" w:eastAsia="Barlow Semi Condensed" w:hAnsi="Barlow Semi Condensed"/>
          <w:b/>
          <w:bCs/>
          <w:sz w:val="24"/>
          <w:szCs w:val="24"/>
        </w:rPr>
        <w:t xml:space="preserve">635 · Il patto sui diritti di registrazione.</w:t>
      </w:r>
      <w:r>
        <w:rPr>
          <w:rFonts w:ascii="Barlow Semi Condensed" w:cs="Barlow Semi Condensed" w:eastAsia="Barlow Semi Condensed" w:hAnsi="Barlow Semi Condensed"/>
          <w:sz w:val="24"/>
          <w:szCs w:val="24"/>
        </w:rPr>
        <w:t xml:space="preserve"> Fra gli allegati contrattuali di ogni collocamento figura l'accordo con cui i soci anteriori si fanno promettere il diritto di far registrare le proprie azioni in vendite successive. Quell'accordo nomina uno per uno i beneficiari, spesso con le rispettive società veicolo. È una delle poche fonti pubbliche che elenchi in modo nominativo la platea dei soci privati anteriori alla quotazione, ed è un bersaglio d'archivio a costo nullo.</w:t>
      </w:r>
    </w:p>
    <w:p>
      <w:pPr>
        <w:spacing w:after="120" w:line="276"/>
        <w:jc w:val="both"/>
      </w:pPr>
      <w:r>
        <w:rPr>
          <w:rFonts w:ascii="Barlow Semi Condensed" w:cs="Barlow Semi Condensed" w:eastAsia="Barlow Semi Condensed" w:hAnsi="Barlow Semi Condensed"/>
          <w:b/>
          <w:bCs/>
          <w:sz w:val="24"/>
          <w:szCs w:val="24"/>
        </w:rPr>
        <w:t xml:space="preserve">636 · Gli accordi di manleva.</w:t>
      </w:r>
      <w:r>
        <w:rPr>
          <w:rFonts w:ascii="Barlow Semi Condensed" w:cs="Barlow Semi Condensed" w:eastAsia="Barlow Semi Condensed" w:hAnsi="Barlow Semi Condensed"/>
          <w:sz w:val="24"/>
          <w:szCs w:val="24"/>
        </w:rPr>
        <w:t xml:space="preserve"> Ciascun amministratore e ciascun dirigente riceve dalla società una manleva contrattuale per le spese legali sostenute in ragione della carica, secondo modelli standardizzati depositati come allegati. La loro esistenza non implica alcuna condotta e non va letta come indizio: è prassi universale delle società statunitensi. Si segnala qui proprio per prevenire l'inferenza abusiva, perché nella letteratura militante la clausola di manleva viene talvolta esibita come se fosse un'ammissione.</w:t>
      </w:r>
    </w:p>
    <w:p>
      <w:pPr>
        <w:spacing w:after="120" w:line="276"/>
        <w:jc w:val="both"/>
      </w:pPr>
      <w:r>
        <w:rPr>
          <w:rFonts w:ascii="Barlow Semi Condensed" w:cs="Barlow Semi Condensed" w:eastAsia="Barlow Semi Condensed" w:hAnsi="Barlow Semi Condensed"/>
          <w:b/>
          <w:bCs/>
          <w:sz w:val="24"/>
          <w:szCs w:val="24"/>
        </w:rPr>
        <w:t xml:space="preserve">637 · Il modulo S-1 del settembre 2001.</w:t>
      </w:r>
      <w:r>
        <w:rPr>
          <w:rFonts w:ascii="Barlow Semi Condensed" w:cs="Barlow Semi Condensed" w:eastAsia="Barlow Semi Condensed" w:hAnsi="Barlow Semi Condensed"/>
          <w:sz w:val="24"/>
          <w:szCs w:val="24"/>
        </w:rPr>
        <w:t xml:space="preserve"> La domanda di registrazione per la quotazione fu depositata alla fine di settembre del 2001, poche settimane dopo gli attentati che avevano chiuso i mercati, in una finestra in cui pochissime società affrontavano il collocamento. La circostanza è documentata dalla data di ricezione stampata sul frontespizio del modulo. Gli emendamenti successivi, numerati progressivamente, permettono di seguire quali informazioni la Commissione chiese di aggiungere e quali la società modificò.</w:t>
      </w:r>
    </w:p>
    <w:p>
      <w:pPr>
        <w:spacing w:after="120" w:line="276"/>
        <w:jc w:val="both"/>
      </w:pPr>
      <w:r>
        <w:rPr>
          <w:rFonts w:ascii="Barlow Semi Condensed" w:cs="Barlow Semi Condensed" w:eastAsia="Barlow Semi Condensed" w:hAnsi="Barlow Semi Condensed"/>
          <w:b/>
          <w:bCs/>
          <w:sz w:val="24"/>
          <w:szCs w:val="24"/>
        </w:rPr>
        <w:t xml:space="preserve">638 · Febbraio 2002, tredici dollari.</w:t>
      </w:r>
      <w:r>
        <w:rPr>
          <w:rFonts w:ascii="Barlow Semi Condensed" w:cs="Barlow Semi Condensed" w:eastAsia="Barlow Semi Condensed" w:hAnsi="Barlow Semi Condensed"/>
          <w:sz w:val="24"/>
          <w:szCs w:val="24"/>
        </w:rPr>
        <w:t xml:space="preserve"> Il collocamento divenne efficace a metà febbraio del 2002 e il prezzo di offerta fu fissato a tredici dollari per azione, con negoziazione su mercato telematico. Il numero delle azioni collocate, l'eventuale opzione di sovrallocazione e il ricavo netto stanno nella prima pagina del prospetto definitivo e nel prospetto di determinazione del prezzo. Sono cifre da leggere, non da citare a memoria: le versioni in rete divergono fra loro.</w:t>
      </w:r>
    </w:p>
    <w:p>
      <w:pPr>
        <w:spacing w:after="120" w:line="276"/>
        <w:jc w:val="both"/>
      </w:pPr>
      <w:r>
        <w:rPr>
          <w:rFonts w:ascii="Barlow Semi Condensed" w:cs="Barlow Semi Condensed" w:eastAsia="Barlow Semi Condensed" w:hAnsi="Barlow Semi Condensed"/>
          <w:b/>
          <w:bCs/>
          <w:sz w:val="24"/>
          <w:szCs w:val="24"/>
        </w:rPr>
        <w:t xml:space="preserve">639 · La copertina e il sindacato.</w:t>
      </w:r>
      <w:r>
        <w:rPr>
          <w:rFonts w:ascii="Barlow Semi Condensed" w:cs="Barlow Semi Condensed" w:eastAsia="Barlow Semi Condensed" w:hAnsi="Barlow Semi Condensed"/>
          <w:sz w:val="24"/>
          <w:szCs w:val="24"/>
        </w:rPr>
        <w:t xml:space="preserve"> La prima pagina di ogni prospetto nomina le banche collocatrici in ordine gerarchico, e quell'ordine è esso stesso un'informazione: dice chi guidò l'operazione e chi vi partecipò. Verificare quali istituti figurino sulla copertina del prospetto del febbraio 2002, e in quale posizione, è un accertamento di trenta secondi che chiude una quantità di affermazioni approssimative sulla rete di relazioni finanziarie dell'operazione.</w:t>
      </w:r>
    </w:p>
    <w:p>
      <w:pPr>
        <w:spacing w:after="120" w:line="276"/>
        <w:jc w:val="both"/>
      </w:pPr>
      <w:r>
        <w:rPr>
          <w:rFonts w:ascii="Barlow Semi Condensed" w:cs="Barlow Semi Condensed" w:eastAsia="Barlow Semi Condensed" w:hAnsi="Barlow Semi Condensed"/>
          <w:b/>
          <w:bCs/>
          <w:sz w:val="24"/>
          <w:szCs w:val="24"/>
        </w:rPr>
        <w:t xml:space="preserve">640 · I fattori di rischio e i regolatori.</w:t>
      </w:r>
      <w:r>
        <w:rPr>
          <w:rFonts w:ascii="Barlow Semi Condensed" w:cs="Barlow Semi Condensed" w:eastAsia="Barlow Semi Condensed" w:hAnsi="Barlow Semi Condensed"/>
          <w:sz w:val="24"/>
          <w:szCs w:val="24"/>
        </w:rPr>
        <w:t xml:space="preserve"> Sotto il titolo dei fattori di rischio il prospetto elenca i procedimenti e le contestazioni pendenti che la società riteneva rilevanti per un investitore, comprese le posizioni assunte da autorità di vigilanza bancaria di singoli Stati sulla natura dell'attività svolta. Il bersaglio consiste nell'estrarre l'elenco nominativo di quelle autorità e nel seguire ciascuna posizione fino al suo esito, presso l'autorità stessa e presso i tribunali competenti.</w:t>
      </w:r>
    </w:p>
    <w:p>
      <w:pPr>
        <w:spacing w:after="120" w:line="276"/>
        <w:jc w:val="both"/>
      </w:pPr>
      <w:r>
        <w:rPr>
          <w:rFonts w:ascii="Barlow Semi Condensed" w:cs="Barlow Semi Condensed" w:eastAsia="Barlow Semi Condensed" w:hAnsi="Barlow Semi Condensed"/>
          <w:b/>
          <w:bCs/>
          <w:sz w:val="24"/>
          <w:szCs w:val="24"/>
        </w:rPr>
        <w:t xml:space="preserve">641 · La causa in materia di brevetti.</w:t>
      </w:r>
      <w:r>
        <w:rPr>
          <w:rFonts w:ascii="Barlow Semi Condensed" w:cs="Barlow Semi Condensed" w:eastAsia="Barlow Semi Condensed" w:hAnsi="Barlow Semi Condensed"/>
          <w:sz w:val="24"/>
          <w:szCs w:val="24"/>
        </w:rPr>
        <w:t xml:space="preserve"> A ridosso della quotazione la società fu convenuta in giudizio per asserita violazione di brevetto. Il fascicolo è reperibile nel sistema di accesso elettronico agli atti delle corti federali statunitensi, con il numero di ruolo e la corte adita. La serie non ne trae alcuna conseguenza sostanziale: registra che una controversia civile esiste, che si concluse, e che il modo in cui si concluse è documentato e leggibile.</w:t>
      </w:r>
    </w:p>
    <w:p>
      <w:pPr>
        <w:spacing w:after="120" w:line="276"/>
        <w:jc w:val="both"/>
      </w:pPr>
      <w:r>
        <w:rPr>
          <w:rFonts w:ascii="Barlow Semi Condensed" w:cs="Barlow Semi Condensed" w:eastAsia="Barlow Semi Condensed" w:hAnsi="Barlow Semi Condensed"/>
          <w:b/>
          <w:bCs/>
          <w:sz w:val="24"/>
          <w:szCs w:val="24"/>
        </w:rPr>
        <w:t xml:space="preserve">642 · La tabella dei soci rilevanti.</w:t>
      </w:r>
      <w:r>
        <w:rPr>
          <w:rFonts w:ascii="Barlow Semi Condensed" w:cs="Barlow Semi Condensed" w:eastAsia="Barlow Semi Condensed" w:hAnsi="Barlow Semi Condensed"/>
          <w:sz w:val="24"/>
          <w:szCs w:val="24"/>
        </w:rPr>
        <w:t xml:space="preserve"> Ogni prospetto contiene la tabella della proprietà effettiva, che elenca chi detenga oltre il cinque per cento del capitale, gli amministratori e i dirigenti, con le rispettive quote prima e dopo l'offerta. È il documento che consente di misurare, senza congetture, chi possedesse che cosa alla vigilia della quotazione. Chiunque scriva percentuali su questa vicenda senza aver aperto quella tabella sta citando una citazione.</w:t>
      </w:r>
    </w:p>
    <w:p>
      <w:pPr>
        <w:spacing w:after="120" w:line="276"/>
        <w:jc w:val="both"/>
      </w:pPr>
      <w:r>
        <w:rPr>
          <w:rFonts w:ascii="Barlow Semi Condensed" w:cs="Barlow Semi Condensed" w:eastAsia="Barlow Semi Condensed" w:hAnsi="Barlow Semi Condensed"/>
          <w:b/>
          <w:bCs/>
          <w:sz w:val="24"/>
          <w:szCs w:val="24"/>
        </w:rPr>
        <w:t xml:space="preserve">643 · La pagina delle firme.</w:t>
      </w:r>
      <w:r>
        <w:rPr>
          <w:rFonts w:ascii="Barlow Semi Condensed" w:cs="Barlow Semi Condensed" w:eastAsia="Barlow Semi Condensed" w:hAnsi="Barlow Semi Condensed"/>
          <w:sz w:val="24"/>
          <w:szCs w:val="24"/>
        </w:rPr>
        <w:t xml:space="preserve"> In coda a ogni domanda di registrazione le persone fisiche che ne rispondono firmano nominativamente, indicando la qualifica: amministratore delegato, direttore finanziario, principale responsabile contabile, consiglieri. Roelof Botha, direttore finanziario, vi compare in quella veste. È un fatto pubblico di impiego e di carica, documentato in un atto ufficiale, e in questa serie non se ne ricava altro che questo: chi firmava che cosa, e a quale data.</w:t>
      </w:r>
    </w:p>
    <w:p>
      <w:pPr>
        <w:spacing w:after="120" w:line="276"/>
        <w:jc w:val="both"/>
      </w:pPr>
      <w:r>
        <w:rPr>
          <w:rFonts w:ascii="Barlow Semi Condensed" w:cs="Barlow Semi Condensed" w:eastAsia="Barlow Semi Condensed" w:hAnsi="Barlow Semi Condensed"/>
          <w:b/>
          <w:bCs/>
          <w:sz w:val="24"/>
          <w:szCs w:val="24"/>
        </w:rPr>
        <w:t xml:space="preserve">644 · Il consenso del revisore.</w:t>
      </w:r>
      <w:r>
        <w:rPr>
          <w:rFonts w:ascii="Barlow Semi Condensed" w:cs="Barlow Semi Condensed" w:eastAsia="Barlow Semi Condensed" w:hAnsi="Barlow Semi Condensed"/>
          <w:sz w:val="24"/>
          <w:szCs w:val="24"/>
        </w:rPr>
        <w:t xml:space="preserve"> Chi certifica i bilanci inseriti nel prospetto deve prestare consenso scritto all'inclusione della propria relazione, e quel consenso si deposita come allegato numerato. Individuare il revisore e la data della relazione permette di stabilire quali esercizi siano stati sottoposti a verifica indipendente e quali no. È il modo più rapido per sapere quanta parte dei numeri circolanti abbia mai avuto una certificazione esterna.</w:t>
      </w:r>
    </w:p>
    <w:p>
      <w:pPr>
        <w:spacing w:after="120" w:line="276"/>
        <w:jc w:val="both"/>
      </w:pPr>
      <w:r>
        <w:rPr>
          <w:rFonts w:ascii="Barlow Semi Condensed" w:cs="Barlow Semi Condensed" w:eastAsia="Barlow Semi Condensed" w:hAnsi="Barlow Semi Condensed"/>
          <w:b/>
          <w:bCs/>
          <w:sz w:val="24"/>
          <w:szCs w:val="24"/>
        </w:rPr>
        <w:t xml:space="preserve">645 · Il prospetto come fonte storica.</w:t>
      </w:r>
      <w:r>
        <w:rPr>
          <w:rFonts w:ascii="Barlow Semi Condensed" w:cs="Barlow Semi Condensed" w:eastAsia="Barlow Semi Condensed" w:hAnsi="Barlow Semi Condensed"/>
          <w:sz w:val="24"/>
          <w:szCs w:val="24"/>
        </w:rPr>
        <w:t xml:space="preserve"> Regola di lettura, vincolante per la serie. Un prospetto non è una cronaca ma un documento redatto per prevenire responsabilità: dice tutto ciò che tacere sarebbe pericoloso e nulla di più. Ne discende che le sue omissioni non sono indizi e i suoi allarmi non sono confessioni. Si usa per ciò che afferma sotto responsabilità — date, cariche, quote, contratti — e si diffida di leggervi intenzioni.</w:t>
      </w:r>
    </w:p>
    <w:p>
      <w:pPr>
        <w:spacing w:after="120" w:line="276"/>
        <w:jc w:val="both"/>
      </w:pPr>
      <w:r>
        <w:rPr>
          <w:rFonts w:ascii="Barlow Semi Condensed" w:cs="Barlow Semi Condensed" w:eastAsia="Barlow Semi Condensed" w:hAnsi="Barlow Semi Condensed"/>
          <w:b/>
          <w:bCs/>
          <w:sz w:val="24"/>
          <w:szCs w:val="24"/>
        </w:rPr>
        <w:t xml:space="preserve">646 · Il periodo di silenzio.</w:t>
      </w:r>
      <w:r>
        <w:rPr>
          <w:rFonts w:ascii="Barlow Semi Condensed" w:cs="Barlow Semi Condensed" w:eastAsia="Barlow Semi Condensed" w:hAnsi="Barlow Semi Condensed"/>
          <w:sz w:val="24"/>
          <w:szCs w:val="24"/>
        </w:rPr>
        <w:t xml:space="preserve"> Dal deposito della domanda fino all'efficacia della registrazione la società è tenuta a limitare le proprie comunicazioni pubbliche. Ne consegue che nell'autunno del 2001 e nell'inverno seguente la stampa disponeva quasi soltanto del prospetto. Chi oggi cerchi dichiarazioni dei protagonisti relative a quei mesi va avvertito: la scarsità non è reticenza sospetta, è un obbligo normativo, e va registrata come tale nel verbale di ricerca.</w:t>
      </w:r>
    </w:p>
    <w:p>
      <w:pPr>
        <w:spacing w:after="120" w:line="276"/>
        <w:jc w:val="both"/>
      </w:pPr>
      <w:r>
        <w:rPr>
          <w:rFonts w:ascii="Barlow Semi Condensed" w:cs="Barlow Semi Condensed" w:eastAsia="Barlow Semi Condensed" w:hAnsi="Barlow Semi Condensed"/>
          <w:b/>
          <w:bCs/>
          <w:sz w:val="24"/>
          <w:szCs w:val="24"/>
        </w:rPr>
        <w:t xml:space="preserve">647 · Gli impegni di lock-up.</w:t>
      </w:r>
      <w:r>
        <w:rPr>
          <w:rFonts w:ascii="Barlow Semi Condensed" w:cs="Barlow Semi Condensed" w:eastAsia="Barlow Semi Condensed" w:hAnsi="Barlow Semi Condensed"/>
          <w:sz w:val="24"/>
          <w:szCs w:val="24"/>
        </w:rPr>
        <w:t xml:space="preserve"> Gli accordi che vietano ai soci anteriori di vendere per un periodo determinato dopo il collocamento sono descritti nella sezione dedicata al collocamento stesso e nei contratti allegati. Stabiliscono quando le partecipazioni siano tornate liquide. Poiché l'acquisizione da parte di eBay maturò entro quella finestra, il modo in cui i vincoli furono trattati nell'operazione successiva è un quesito concreto, con risposta nei documenti dell'acquisizione.</w:t>
      </w:r>
    </w:p>
    <w:p>
      <w:pPr>
        <w:spacing w:after="120" w:line="276"/>
        <w:jc w:val="both"/>
      </w:pPr>
      <w:r>
        <w:rPr>
          <w:rFonts w:ascii="Barlow Semi Condensed" w:cs="Barlow Semi Condensed" w:eastAsia="Barlow Semi Condensed" w:hAnsi="Barlow Semi Condensed"/>
          <w:b/>
          <w:bCs/>
          <w:sz w:val="24"/>
          <w:szCs w:val="24"/>
        </w:rPr>
        <w:t xml:space="preserve">648 · Il prospetto definitivo.</w:t>
      </w:r>
      <w:r>
        <w:rPr>
          <w:rFonts w:ascii="Barlow Semi Condensed" w:cs="Barlow Semi Condensed" w:eastAsia="Barlow Semi Condensed" w:hAnsi="Barlow Semi Condensed"/>
          <w:sz w:val="24"/>
          <w:szCs w:val="24"/>
        </w:rPr>
        <w:t xml:space="preserve"> Le versioni della domanda di registrazione non coincidono con il prospetto effettivamente consegnato agli investitori, che si deposita a parte entro pochi giorni dall'efficacia. Chi lavora su questi materiali deve citare la versione esatta, con la sua sigla e la sua data, perché fra le bozze e il testo finale mutano cifre e formulazioni. È l'applicazione documentale della regola contro il documento citato e mai visto.</w:t>
      </w:r>
    </w:p>
    <w:p>
      <w:pPr>
        <w:spacing w:after="120" w:line="276"/>
        <w:jc w:val="both"/>
      </w:pPr>
      <w:r>
        <w:rPr>
          <w:rFonts w:ascii="Barlow Semi Condensed" w:cs="Barlow Semi Condensed" w:eastAsia="Barlow Semi Condensed" w:hAnsi="Barlow Semi Condensed"/>
          <w:b/>
          <w:bCs/>
          <w:sz w:val="24"/>
          <w:szCs w:val="24"/>
        </w:rPr>
        <w:t xml:space="preserve">649 · Otto luglio 2002, l'annuncio.</w:t>
      </w:r>
      <w:r>
        <w:rPr>
          <w:rFonts w:ascii="Barlow Semi Condensed" w:cs="Barlow Semi Condensed" w:eastAsia="Barlow Semi Condensed" w:hAnsi="Barlow Semi Condensed"/>
          <w:sz w:val="24"/>
          <w:szCs w:val="24"/>
        </w:rPr>
        <w:t xml:space="preserve"> L'accordo con eBay fu reso pubblico all'inizio di luglio del 2002 e comunicato al mercato mediante deposito di un modulo di evento rilevante. Quel modulo, con i suoi allegati, contiene il comunicato congiunto e spesso la presentazione agli analisti. È la fonte primaria per la data e per i termini annunciati, e va preferita a ogni ripresa giornalistica, che tipicamente ne semplifica il contenuto economico.</w:t>
      </w:r>
    </w:p>
    <w:p>
      <w:pPr>
        <w:spacing w:after="120" w:line="276"/>
        <w:jc w:val="both"/>
      </w:pPr>
      <w:r>
        <w:rPr>
          <w:rFonts w:ascii="Barlow Semi Condensed" w:cs="Barlow Semi Condensed" w:eastAsia="Barlow Semi Condensed" w:hAnsi="Barlow Semi Condensed"/>
          <w:b/>
          <w:bCs/>
          <w:sz w:val="24"/>
          <w:szCs w:val="24"/>
        </w:rPr>
        <w:t xml:space="preserve">650 · L'accordo di fusione allegato.</w:t>
      </w:r>
      <w:r>
        <w:rPr>
          <w:rFonts w:ascii="Barlow Semi Condensed" w:cs="Barlow Semi Condensed" w:eastAsia="Barlow Semi Condensed" w:hAnsi="Barlow Semi Condensed"/>
          <w:sz w:val="24"/>
          <w:szCs w:val="24"/>
        </w:rPr>
        <w:t xml:space="preserve"> Il contratto di acquisizione si deposita per intero come allegato al modulo di evento rilevante o alla successiva registrazione dei titoli offerti in concambio. Contiene le dichiarazioni e garanzie, le condizioni sospensive, le penali da recesso e il trattamento delle opzioni. È lungo e ostico, e per questo quasi mai letto: chi lo apre trova in poche pagine ciò che decine di articoli hanno riassunto per approssimazione.</w:t>
      </w:r>
    </w:p>
    <w:p>
      <w:pPr>
        <w:spacing w:after="120" w:line="276"/>
        <w:jc w:val="both"/>
      </w:pPr>
      <w:r>
        <w:rPr>
          <w:rFonts w:ascii="Barlow Semi Condensed" w:cs="Barlow Semi Condensed" w:eastAsia="Barlow Semi Condensed" w:hAnsi="Barlow Semi Condensed"/>
          <w:b/>
          <w:bCs/>
          <w:sz w:val="24"/>
          <w:szCs w:val="24"/>
        </w:rPr>
        <w:t xml:space="preserve">651 · Il modulo S-4 e la delega.</w:t>
      </w:r>
      <w:r>
        <w:rPr>
          <w:rFonts w:ascii="Barlow Semi Condensed" w:cs="Barlow Semi Condensed" w:eastAsia="Barlow Semi Condensed" w:hAnsi="Barlow Semi Condensed"/>
          <w:sz w:val="24"/>
          <w:szCs w:val="24"/>
        </w:rPr>
        <w:t xml:space="preserve"> Poiché il corrispettivo fu in azioni dell'acquirente, l'operazione richiese la registrazione dei titoli offerti e la trasmissione ai soci di un documento di sollecitazione del voto. Quel fascicolo unico contiene la ricostruzione ufficiale del negoziato, giorno per giorno, redatta dalle parti e sottoposta a responsabilità. È la fonte più ricca dell'intera vicenda societaria, ed è pubblica, integrale e gratuita da quasi un quarto di secolo.</w:t>
      </w:r>
    </w:p>
    <w:p>
      <w:pPr>
        <w:spacing w:after="120" w:line="276"/>
        <w:jc w:val="both"/>
      </w:pPr>
      <w:r>
        <w:rPr>
          <w:rFonts w:ascii="Barlow Semi Condensed" w:cs="Barlow Semi Condensed" w:eastAsia="Barlow Semi Condensed" w:hAnsi="Barlow Semi Condensed"/>
          <w:b/>
          <w:bCs/>
          <w:sz w:val="24"/>
          <w:szCs w:val="24"/>
        </w:rPr>
        <w:t xml:space="preserve">652 · L'assemblea e il voto.</w:t>
      </w:r>
      <w:r>
        <w:rPr>
          <w:rFonts w:ascii="Barlow Semi Condensed" w:cs="Barlow Semi Condensed" w:eastAsia="Barlow Semi Condensed" w:hAnsi="Barlow Semi Condensed"/>
          <w:sz w:val="24"/>
          <w:szCs w:val="24"/>
        </w:rPr>
        <w:t xml:space="preserve"> L'approvazione dei soci fu espressa in assemblea straordinaria nell'autunno del 2002. Il risultato della votazione, con voti favorevoli, contrari e astenuti, si comunica al mercato e compare nei depositi periodici. Il bersaglio consiste nel reperire il verbale sintetico e nel confrontare i numeri con la tabella della proprietà effettiva del prospetto di febbraio: da lì si ricava chi, materialmente, decise l'esito dell'operazione.</w:t>
      </w:r>
    </w:p>
    <w:p>
      <w:pPr>
        <w:spacing w:after="120" w:line="276"/>
        <w:jc w:val="both"/>
      </w:pPr>
      <w:r>
        <w:rPr>
          <w:rFonts w:ascii="Barlow Semi Condensed" w:cs="Barlow Semi Condensed" w:eastAsia="Barlow Semi Condensed" w:hAnsi="Barlow Semi Condensed"/>
          <w:b/>
          <w:bCs/>
          <w:sz w:val="24"/>
          <w:szCs w:val="24"/>
        </w:rPr>
        <w:t xml:space="preserve">653 · La chiusura e la deregistrazione.</w:t>
      </w:r>
      <w:r>
        <w:rPr>
          <w:rFonts w:ascii="Barlow Semi Condensed" w:cs="Barlow Semi Condensed" w:eastAsia="Barlow Semi Condensed" w:hAnsi="Barlow Semi Condensed"/>
          <w:sz w:val="24"/>
          <w:szCs w:val="24"/>
        </w:rPr>
        <w:t xml:space="preserve"> Perfezionata l'acquisizione, la società acquisita cessa di avere titoli diffusi e chiede la cancellazione dagli obblighi di comunicazione mediante un modulo apposito. La data di quel deposito segna la fine della vita documentale autonoma del soggetto presso la Commissione. Da quel momento ogni informazione sull'attività confluisce nei bilanci dell'acquirente, e il ricercatore deve cambiare fascicolo: è un passaggio banale e regolarmente ignorato.</w:t>
      </w:r>
    </w:p>
    <w:p>
      <w:pPr>
        <w:spacing w:after="120" w:line="276"/>
        <w:jc w:val="both"/>
      </w:pPr>
      <w:r>
        <w:rPr>
          <w:rFonts w:ascii="Barlow Semi Condensed" w:cs="Barlow Semi Condensed" w:eastAsia="Barlow Semi Condensed" w:hAnsi="Barlow Semi Condensed"/>
          <w:b/>
          <w:bCs/>
          <w:sz w:val="24"/>
          <w:szCs w:val="24"/>
        </w:rPr>
        <w:t xml:space="preserve">654 · Quanti depositi periodici, davvero.</w:t>
      </w:r>
      <w:r>
        <w:rPr>
          <w:rFonts w:ascii="Barlow Semi Condensed" w:cs="Barlow Semi Condensed" w:eastAsia="Barlow Semi Condensed" w:hAnsi="Barlow Semi Condensed"/>
          <w:sz w:val="24"/>
          <w:szCs w:val="24"/>
        </w:rPr>
        <w:t xml:space="preserve"> Fra la quotazione e la cancellazione trascorsero circa otto mesi. Quanti moduli trimestrali e quale relazione annuale la società abbia effettivamente prodotto in quel periodo è una domanda con risposta esatta e non congetturale, che si ottiene scorrendo l'elenco cronologico dei suoi depositi. La brevità di quell'elenco è essa stessa un dato: la sola società quotata di questa storia visse da quotata meno di un anno.</w:t>
      </w:r>
    </w:p>
    <w:p>
      <w:pPr>
        <w:spacing w:after="120" w:line="276"/>
        <w:jc w:val="both"/>
      </w:pPr>
      <w:r>
        <w:rPr>
          <w:rFonts w:ascii="Barlow Semi Condensed" w:cs="Barlow Semi Condensed" w:eastAsia="Barlow Semi Condensed" w:hAnsi="Barlow Semi Condensed"/>
          <w:b/>
          <w:bCs/>
          <w:sz w:val="24"/>
          <w:szCs w:val="24"/>
        </w:rPr>
        <w:t xml:space="preserve">655 · Il segmento nei bilanci dell'acquirente.</w:t>
      </w:r>
      <w:r>
        <w:rPr>
          <w:rFonts w:ascii="Barlow Semi Condensed" w:cs="Barlow Semi Condensed" w:eastAsia="Barlow Semi Condensed" w:hAnsi="Barlow Semi Condensed"/>
          <w:sz w:val="24"/>
          <w:szCs w:val="24"/>
        </w:rPr>
        <w:t xml:space="preserve"> Dopo l'ottobre 2002 il servizio di pagamento è descritto nelle relazioni annuali dell'acquirente, dapprima come attività integrata e poi come segmento con ricavi propri. Seguire quella serie di relazioni permette di misurare la crescita con dati sottoposti a revisione. Permette inoltre di datare le contestazioni e i procedimenti che riguardarono l'attività, poiché l'obbligo di informativa impone di darne conto nei fascicoli annuali.</w:t>
      </w:r>
    </w:p>
    <w:p>
      <w:pPr>
        <w:spacing w:after="120" w:line="276"/>
        <w:jc w:val="both"/>
      </w:pPr>
      <w:r>
        <w:rPr>
          <w:rFonts w:ascii="Barlow Semi Condensed" w:cs="Barlow Semi Condensed" w:eastAsia="Barlow Semi Condensed" w:hAnsi="Barlow Semi Condensed"/>
          <w:b/>
          <w:bCs/>
          <w:sz w:val="24"/>
          <w:szCs w:val="24"/>
        </w:rPr>
        <w:t xml:space="preserve">656 · Le uscite dopo la chiusura.</w:t>
      </w:r>
      <w:r>
        <w:rPr>
          <w:rFonts w:ascii="Barlow Semi Condensed" w:cs="Barlow Semi Condensed" w:eastAsia="Barlow Semi Condensed" w:hAnsi="Barlow Semi Condensed"/>
          <w:sz w:val="24"/>
          <w:szCs w:val="24"/>
        </w:rPr>
        <w:t xml:space="preserve"> Nei mesi successivi all'acquisizione la maggior parte dei dirigenti lasciò la società. Le partenze non si depositano in quanto tali, ma lasciano tracce indirette: cessazione dalle cariche negli statement of information, avvisi di vendita di azioni soggette a restrizione, comparsa dei medesimi nomi come amministratori di nuove società. Ricostruire la dispersione per via documentale è più lento del racconto, e infinitamente più solido.</w:t>
      </w:r>
    </w:p>
    <w:p>
      <w:pPr>
        <w:spacing w:after="120" w:line="276"/>
        <w:jc w:val="both"/>
      </w:pPr>
      <w:r>
        <w:rPr>
          <w:rFonts w:ascii="Barlow Semi Condensed" w:cs="Barlow Semi Condensed" w:eastAsia="Barlow Semi Condensed" w:hAnsi="Barlow Semi Condensed"/>
          <w:b/>
          <w:bCs/>
          <w:sz w:val="24"/>
          <w:szCs w:val="24"/>
        </w:rPr>
        <w:t xml:space="preserve">657 · Fortune, novembre 2007.</w:t>
      </w:r>
      <w:r>
        <w:rPr>
          <w:rFonts w:ascii="Barlow Semi Condensed" w:cs="Barlow Semi Condensed" w:eastAsia="Barlow Semi Condensed" w:hAnsi="Barlow Semi Condensed"/>
          <w:sz w:val="24"/>
          <w:szCs w:val="24"/>
        </w:rPr>
        <w:t xml:space="preserve"> La locuzione che dà il titolo a questa parte compare in un servizio di copertina di Fortune del novembre 2007, firmato da Jeffrey O'Brien. La citazione corretta comprende testata, numero, data e nome dell'autore, e va tratta dall'annata rilegata o dall'edizione digitale d'archivio, non dalle riprese in rete. È il documento genetico dell'espressione, e chiunque la usi dovrebbe averlo visto almeno una volta.</w:t>
      </w:r>
    </w:p>
    <w:p>
      <w:pPr>
        <w:spacing w:after="120" w:line="276"/>
        <w:jc w:val="both"/>
      </w:pPr>
      <w:r>
        <w:rPr>
          <w:rFonts w:ascii="Barlow Semi Condensed" w:cs="Barlow Semi Condensed" w:eastAsia="Barlow Semi Condensed" w:hAnsi="Barlow Semi Condensed"/>
          <w:b/>
          <w:bCs/>
          <w:sz w:val="24"/>
          <w:szCs w:val="24"/>
        </w:rPr>
        <w:t xml:space="preserve">658 · La fotografia del Tosca.</w:t>
      </w:r>
      <w:r>
        <w:rPr>
          <w:rFonts w:ascii="Barlow Semi Condensed" w:cs="Barlow Semi Condensed" w:eastAsia="Barlow Semi Condensed" w:hAnsi="Barlow Semi Condensed"/>
          <w:sz w:val="24"/>
          <w:szCs w:val="24"/>
        </w:rPr>
        <w:t xml:space="preserve"> Il servizio era accompagnato da una fotografia di gruppo realizzata in un locale di San Francisco, con i soggetti abbigliati secondo un'idea scenografica suggerita dal titolo. Elon Musk non partecipò a quello scatto. Il dato è verificabile guardando l'immagine e la sua didascalia, e va ripetuto ogni volta che la fotografia viene usata come se ritraesse l'insieme dei protagonisti della vicenda societaria.</w:t>
      </w:r>
    </w:p>
    <w:p>
      <w:pPr>
        <w:spacing w:after="120" w:line="276"/>
        <w:jc w:val="both"/>
      </w:pPr>
      <w:r>
        <w:rPr>
          <w:rFonts w:ascii="Barlow Semi Condensed" w:cs="Barlow Semi Condensed" w:eastAsia="Barlow Semi Condensed" w:hAnsi="Barlow Semi Condensed"/>
          <w:b/>
          <w:bCs/>
          <w:sz w:val="24"/>
          <w:szCs w:val="24"/>
        </w:rPr>
        <w:t xml:space="preserve">659 · La didascalia va letta sulla carta.</w:t>
      </w:r>
      <w:r>
        <w:rPr>
          <w:rFonts w:ascii="Barlow Semi Condensed" w:cs="Barlow Semi Condensed" w:eastAsia="Barlow Semi Condensed" w:hAnsi="Barlow Semi Condensed"/>
          <w:sz w:val="24"/>
          <w:szCs w:val="24"/>
        </w:rPr>
        <w:t xml:space="preserve"> L'elenco nominativo dei presenti nell'immagine circola in rete in versioni che non coincidono. L'unica forma affidabile è la didascalia stampata nel fascicolo originale, consultabile nelle biblioteche che conservano l'annata di Fortune o nelle banche dati di periodici. Il bersaglio è semplice e nessuno lo ha eseguito pubblicamente: trascrivere la didascalia esatta, nell'ordine in cui la rivista la stampò, e pubblicarla come tale.</w:t>
      </w:r>
    </w:p>
    <w:p>
      <w:pPr>
        <w:spacing w:after="120" w:line="276"/>
        <w:jc w:val="both"/>
      </w:pPr>
      <w:r>
        <w:rPr>
          <w:rFonts w:ascii="Barlow Semi Condensed" w:cs="Barlow Semi Condensed" w:eastAsia="Barlow Semi Condensed" w:hAnsi="Barlow Semi Condensed"/>
          <w:b/>
          <w:bCs/>
          <w:sz w:val="24"/>
          <w:szCs w:val="24"/>
        </w:rPr>
        <w:t xml:space="preserve">660 · Una categoria, non un soggetto.</w:t>
      </w:r>
      <w:r>
        <w:rPr>
          <w:rFonts w:ascii="Barlow Semi Condensed" w:cs="Barlow Semi Condensed" w:eastAsia="Barlow Semi Condensed" w:hAnsi="Barlow Semi Condensed"/>
          <w:sz w:val="24"/>
          <w:szCs w:val="24"/>
        </w:rPr>
        <w:t xml:space="preserve"> Va ripetuto perché è il fulcro della serie. Un titolo di rivista aggrega persone secondo un criterio giornalistico, non giuridico: chi fotografare, chi era disponibile, chi rendeva bene nell'inquadratura. Da un criterio simile non discende alcun vincolo fra i fotografati, nessun obbligo reciproco, nessuna decisione comune. Ogni proposizione che attribuisca un'azione al gruppo va riscritta nominando la persona che compì l'atto, o cade.</w:t>
      </w:r>
    </w:p>
    <w:p>
      <w:pPr>
        <w:spacing w:after="120" w:line="276"/>
        <w:jc w:val="both"/>
      </w:pPr>
      <w:r>
        <w:rPr>
          <w:rFonts w:ascii="Barlow Semi Condensed" w:cs="Barlow Semi Condensed" w:eastAsia="Barlow Semi Condensed" w:hAnsi="Barlow Semi Condensed"/>
          <w:b/>
          <w:bCs/>
          <w:sz w:val="24"/>
          <w:szCs w:val="24"/>
        </w:rPr>
        <w:t xml:space="preserve">661 · Cercare gli usi anteriori.</w:t>
      </w:r>
      <w:r>
        <w:rPr>
          <w:rFonts w:ascii="Barlow Semi Condensed" w:cs="Barlow Semi Condensed" w:eastAsia="Barlow Semi Condensed" w:hAnsi="Barlow Semi Condensed"/>
          <w:sz w:val="24"/>
          <w:szCs w:val="24"/>
        </w:rPr>
        <w:t xml:space="preserve"> La paternità dell'espressione va verificata e non presunta. Le banche dati di periodici e di quotidiani consentono ricerche a testo integrale con delimitazione cronologica: interrogarle per la locuzione con termine finale il 2007 stabilirebbe se il servizio di Fortune la coniò o la raccolse da un uso preesistente. È un accertamento circoscritto, il cui esito negativo varrebbe quanto quello positivo e andrebbe pubblicato ugualmente.</w:t>
      </w:r>
    </w:p>
    <w:p>
      <w:pPr>
        <w:spacing w:after="120" w:line="276"/>
        <w:jc w:val="both"/>
      </w:pPr>
      <w:r>
        <w:rPr>
          <w:rFonts w:ascii="Barlow Semi Condensed" w:cs="Barlow Semi Condensed" w:eastAsia="Barlow Semi Condensed" w:hAnsi="Barlow Semi Condensed"/>
          <w:b/>
          <w:bCs/>
          <w:sz w:val="24"/>
          <w:szCs w:val="24"/>
        </w:rPr>
        <w:t xml:space="preserve">662 · Chi possiede quell'immagine.</w:t>
      </w:r>
      <w:r>
        <w:rPr>
          <w:rFonts w:ascii="Barlow Semi Condensed" w:cs="Barlow Semi Condensed" w:eastAsia="Barlow Semi Condensed" w:hAnsi="Barlow Semi Condensed"/>
          <w:sz w:val="24"/>
          <w:szCs w:val="24"/>
        </w:rPr>
        <w:t xml:space="preserve"> La fotografia è opera protetta, con un autore e un titolare dei diritti, indicati in didascalia e nel registro del diritto d'autore statunitense. Chi la riproduce senza licenza commette un illecito civile proprio, estraneo al merito storico. Si segnala qui per una ragione di metodo: la circolazione priva di attribuzione dell'immagine è uno dei veicoli con cui la vicenda è diventata mitologia invece che documentazione.</w:t>
      </w:r>
    </w:p>
    <w:p>
      <w:pPr>
        <w:spacing w:after="120" w:line="276"/>
        <w:jc w:val="both"/>
      </w:pPr>
      <w:r>
        <w:rPr>
          <w:rFonts w:ascii="Barlow Semi Condensed" w:cs="Barlow Semi Condensed" w:eastAsia="Barlow Semi Condensed" w:hAnsi="Barlow Semi Condensed"/>
          <w:b/>
          <w:bCs/>
          <w:sz w:val="24"/>
          <w:szCs w:val="24"/>
        </w:rPr>
        <w:t xml:space="preserve">663 · Tredici non è l'insieme.</w:t>
      </w:r>
      <w:r>
        <w:rPr>
          <w:rFonts w:ascii="Barlow Semi Condensed" w:cs="Barlow Semi Condensed" w:eastAsia="Barlow Semi Condensed" w:hAnsi="Barlow Semi Condensed"/>
          <w:sz w:val="24"/>
          <w:szCs w:val="24"/>
        </w:rPr>
        <w:t xml:space="preserve"> Il numero delle persone ritratte è ristretto e non coincide con la platea dei fondatori, dei dirigenti e dei primi dipendenti delle due società. Chi ragioni sul gruppo fotografato ragiona su un campione selezionato da un fotografo per esigenze di composizione. Trarne conclusioni sull'insieme è un errore di campionamento, non un'interpretazione discutibile, e produce affermazioni false su chi c'era e su chi contò davvero.</w:t>
      </w:r>
    </w:p>
    <w:p>
      <w:pPr>
        <w:spacing w:after="120" w:line="276"/>
        <w:jc w:val="both"/>
      </w:pPr>
      <w:r>
        <w:rPr>
          <w:rFonts w:ascii="Barlow Semi Condensed" w:cs="Barlow Semi Condensed" w:eastAsia="Barlow Semi Condensed" w:hAnsi="Barlow Semi Condensed"/>
          <w:b/>
          <w:bCs/>
          <w:sz w:val="24"/>
          <w:szCs w:val="24"/>
        </w:rPr>
        <w:t xml:space="preserve">664 · Nominare le persone, non il gruppo.</w:t>
      </w:r>
      <w:r>
        <w:rPr>
          <w:rFonts w:ascii="Barlow Semi Condensed" w:cs="Barlow Semi Condensed" w:eastAsia="Barlow Semi Condensed" w:hAnsi="Barlow Semi Condensed"/>
          <w:sz w:val="24"/>
          <w:szCs w:val="24"/>
        </w:rPr>
        <w:t xml:space="preserve"> Regola operativa che vale per ogni blocco successivo. Non si scrive che il gruppo investì, decise o influenzò: si scrive che una persona determinata sottoscrisse un aumento di capitale in una data determinata, e si indica il deposito che lo attesta. La sostituzione del soggetto collettivo con il soggetto nominato non è una cautela stilistica: è ciò che rende l'affermazione verificabile o la fa cadere.</w:t>
      </w:r>
    </w:p>
    <w:p>
      <w:pPr>
        <w:spacing w:after="120" w:line="276"/>
        <w:jc w:val="both"/>
      </w:pPr>
      <w:r>
        <w:rPr>
          <w:rFonts w:ascii="Barlow Semi Condensed" w:cs="Barlow Semi Condensed" w:eastAsia="Barlow Semi Condensed" w:hAnsi="Barlow Semi Condensed"/>
          <w:b/>
          <w:bCs/>
          <w:sz w:val="24"/>
          <w:szCs w:val="24"/>
        </w:rPr>
        <w:t xml:space="preserve">665 · Che cosa smentirebbe l'ente.</w:t>
      </w:r>
      <w:r>
        <w:rPr>
          <w:rFonts w:ascii="Barlow Semi Condensed" w:cs="Barlow Semi Condensed" w:eastAsia="Barlow Semi Condensed" w:hAnsi="Barlow Semi Condensed"/>
          <w:sz w:val="24"/>
          <w:szCs w:val="24"/>
        </w:rPr>
        <w:t xml:space="preserve"> Bersaglio di smentita, dichiarato. Se emergesse un atto costitutivo, un patto parasociale, un accordo di sindacato di voto o una società veicolo comune che leghi formalmente fra loro le persone ritratte nel 2007, la tesi della semplice categoria giornalistica cadrebbe e andrebbe riscritta. Le sedi dove cercarlo sono i registri societari del Delaware e della California e gli allegati contrattuali dei depositi presso la Commissione.</w:t>
      </w:r>
    </w:p>
    <w:p>
      <w:pPr>
        <w:spacing w:after="120" w:line="276"/>
        <w:jc w:val="both"/>
      </w:pPr>
      <w:r>
        <w:rPr>
          <w:rFonts w:ascii="Barlow Semi Condensed" w:cs="Barlow Semi Condensed" w:eastAsia="Barlow Semi Condensed" w:hAnsi="Barlow Semi Condensed"/>
          <w:b/>
          <w:bCs/>
          <w:sz w:val="24"/>
          <w:szCs w:val="24"/>
        </w:rPr>
        <w:t xml:space="preserve">666 · Palantir, il Delaware e il 2020.</w:t>
      </w:r>
      <w:r>
        <w:rPr>
          <w:rFonts w:ascii="Barlow Semi Condensed" w:cs="Barlow Semi Condensed" w:eastAsia="Barlow Semi Condensed" w:hAnsi="Barlow Semi Condensed"/>
          <w:sz w:val="24"/>
          <w:szCs w:val="24"/>
        </w:rPr>
        <w:t xml:space="preserve"> Fondata nei primi anni Duemila da Alex Karp, Peter Thiel, Joe Lonsdale, Stephen Cohen e Nathan Gettings, la società di analisi dati rimase privata per oltre quindici anni e si quotò nel settembre 2020 mediante quotazione diretta, senza collocamento. La domanda di registrazione depositata quell'estate contiene bilanci, struttura del capitale e biografie: è il primo documento pubblico completo su una società fino ad allora descritta solo per sentito dire.</w:t>
      </w:r>
    </w:p>
    <w:p>
      <w:pPr>
        <w:spacing w:after="120" w:line="276"/>
        <w:jc w:val="both"/>
      </w:pPr>
      <w:r>
        <w:rPr>
          <w:rFonts w:ascii="Barlow Semi Condensed" w:cs="Barlow Semi Condensed" w:eastAsia="Barlow Semi Condensed" w:hAnsi="Barlow Semi Condensed"/>
          <w:b/>
          <w:bCs/>
          <w:sz w:val="24"/>
          <w:szCs w:val="24"/>
        </w:rPr>
        <w:t xml:space="preserve">667 · Le azioni di classe speciale.</w:t>
      </w:r>
      <w:r>
        <w:rPr>
          <w:rFonts w:ascii="Barlow Semi Condensed" w:cs="Barlow Semi Condensed" w:eastAsia="Barlow Semi Condensed" w:hAnsi="Barlow Semi Condensed"/>
          <w:sz w:val="24"/>
          <w:szCs w:val="24"/>
        </w:rPr>
        <w:t xml:space="preserve"> Quella domanda di registrazione descrive una classe di azioni riservata ai fondatori, costruita per conservare loro il controllo dei voti indipendentemente dalla quota di capitale posseduta. È un fatto di governance depositato e leggibile, non una congettura sul potere. Documenta un'intenzione — rendere l'assetto insensibile al mercato — che va attribuita a chi la sottoscrisse, e che non implica nulla su alcuna condotta successiva della società.</w:t>
      </w:r>
    </w:p>
    <w:p>
      <w:pPr>
        <w:spacing w:after="120" w:line="276"/>
        <w:jc w:val="both"/>
      </w:pPr>
      <w:r>
        <w:rPr>
          <w:rFonts w:ascii="Barlow Semi Condensed" w:cs="Barlow Semi Condensed" w:eastAsia="Barlow Semi Condensed" w:hAnsi="Barlow Semi Condensed"/>
          <w:b/>
          <w:bCs/>
          <w:sz w:val="24"/>
          <w:szCs w:val="24"/>
        </w:rPr>
        <w:t xml:space="preserve">668 · Il fondo del 2005.</w:t>
      </w:r>
      <w:r>
        <w:rPr>
          <w:rFonts w:ascii="Barlow Semi Condensed" w:cs="Barlow Semi Condensed" w:eastAsia="Barlow Semi Condensed" w:hAnsi="Barlow Semi Condensed"/>
          <w:sz w:val="24"/>
          <w:szCs w:val="24"/>
        </w:rPr>
        <w:t xml:space="preserve"> Il veicolo di investimento costituito nel 2005 da Peter Thiel con Ken Howery e Luke Nosek lascia due tracce federali: le notifiche di collocamento esente per ciascun fondo raccolto e il modulo di iscrizione degli operatori di consulenza sugli investimenti, che dichiara masse gestite, assetti proprietari e procedimenti disciplinari eventuali. Entrambe sono pubbliche e interrogabili per nome, e restituiscono una cronologia della raccolta.</w:t>
      </w:r>
    </w:p>
    <w:p>
      <w:pPr>
        <w:spacing w:after="120" w:line="276"/>
        <w:jc w:val="both"/>
      </w:pPr>
      <w:r>
        <w:rPr>
          <w:rFonts w:ascii="Barlow Semi Condensed" w:cs="Barlow Semi Condensed" w:eastAsia="Barlow Semi Condensed" w:hAnsi="Barlow Semi Condensed"/>
          <w:b/>
          <w:bCs/>
          <w:sz w:val="24"/>
          <w:szCs w:val="24"/>
        </w:rPr>
        <w:t xml:space="preserve">669 · Il veicolo macro e le sue posizioni.</w:t>
      </w:r>
      <w:r>
        <w:rPr>
          <w:rFonts w:ascii="Barlow Semi Condensed" w:cs="Barlow Semi Condensed" w:eastAsia="Barlow Semi Condensed" w:hAnsi="Barlow Semi Condensed"/>
          <w:sz w:val="24"/>
          <w:szCs w:val="24"/>
        </w:rPr>
        <w:t xml:space="preserve"> Il fondo di investimento macroeconomico costituito nel 2002 depositò per alcuni anni le comunicazioni trimestrali di posizione previste per i gestori che superino una soglia di attivi in titoli statunitensi. Quei moduli elencano le partecipazioni detenute a fine trimestre. Ne risulta una serie storica delle scelte di portafoglio, utile a datare l'attività del veicolo e la sua contrazione, senza dover ricorrere ad alcuna fonte giornalistica.</w:t>
      </w:r>
    </w:p>
    <w:p>
      <w:pPr>
        <w:spacing w:after="120" w:line="276"/>
        <w:jc w:val="both"/>
      </w:pPr>
      <w:r>
        <w:rPr>
          <w:rFonts w:ascii="Barlow Semi Condensed" w:cs="Barlow Semi Condensed" w:eastAsia="Barlow Semi Condensed" w:hAnsi="Barlow Semi Condensed"/>
          <w:b/>
          <w:bCs/>
          <w:sz w:val="24"/>
          <w:szCs w:val="24"/>
        </w:rPr>
        <w:t xml:space="preserve">670 · L'investimento del 2004.</w:t>
      </w:r>
      <w:r>
        <w:rPr>
          <w:rFonts w:ascii="Barlow Semi Condensed" w:cs="Barlow Semi Condensed" w:eastAsia="Barlow Semi Condensed" w:hAnsi="Barlow Semi Condensed"/>
          <w:sz w:val="24"/>
          <w:szCs w:val="24"/>
        </w:rPr>
        <w:t xml:space="preserve"> La sottoscrizione, nell'estate del 2004, di una quota di una società di reti sociali allora appena nata è un fatto pubblico riferito costantemente dagli interessati. La traccia documentale robusta arriva più tardi: dalla quotazione del 2012 in poi, i moduli sulla proprietà degli insider e le comunicazioni di partecipazione rilevante attestano quote e cessioni con date certe. Prima di quella soglia si resta al piano dell'attestazione dichiarativa.</w:t>
      </w:r>
    </w:p>
    <w:p>
      <w:pPr>
        <w:spacing w:after="120" w:line="276"/>
        <w:jc w:val="both"/>
      </w:pPr>
      <w:r>
        <w:rPr>
          <w:rFonts w:ascii="Barlow Semi Condensed" w:cs="Barlow Semi Condensed" w:eastAsia="Barlow Semi Condensed" w:hAnsi="Barlow Semi Condensed"/>
          <w:b/>
          <w:bCs/>
          <w:sz w:val="24"/>
          <w:szCs w:val="24"/>
        </w:rPr>
        <w:t xml:space="preserve">671 · Le dimissioni dal consiglio.</w:t>
      </w:r>
      <w:r>
        <w:rPr>
          <w:rFonts w:ascii="Barlow Semi Condensed" w:cs="Barlow Semi Condensed" w:eastAsia="Barlow Semi Condensed" w:hAnsi="Barlow Semi Condensed"/>
          <w:sz w:val="24"/>
          <w:szCs w:val="24"/>
        </w:rPr>
        <w:t xml:space="preserve"> L'uscita dal consiglio di amministrazione della medesima società, nel 2022, fu comunicata al mercato con un modulo di evento rilevante, come impone la disciplina sulle variazioni degli organi. Quel deposito fissa la data e riporta l'eventuale lettera di dimissioni. È un esempio didattico di come un fatto ampiamente commentato dalla stampa abbia, sotto, un documento breve e preciso che nessuno dei commentatori cita.</w:t>
      </w:r>
    </w:p>
    <w:p>
      <w:pPr>
        <w:spacing w:after="120" w:line="276"/>
        <w:jc w:val="both"/>
      </w:pPr>
      <w:r>
        <w:rPr>
          <w:rFonts w:ascii="Barlow Semi Condensed" w:cs="Barlow Semi Condensed" w:eastAsia="Barlow Semi Condensed" w:hAnsi="Barlow Semi Condensed"/>
          <w:b/>
          <w:bCs/>
          <w:sz w:val="24"/>
          <w:szCs w:val="24"/>
        </w:rPr>
        <w:t xml:space="preserve">672 · SpaceX non deposita bilanci.</w:t>
      </w:r>
      <w:r>
        <w:rPr>
          <w:rFonts w:ascii="Barlow Semi Condensed" w:cs="Barlow Semi Condensed" w:eastAsia="Barlow Semi Condensed" w:hAnsi="Barlow Semi Condensed"/>
          <w:sz w:val="24"/>
          <w:szCs w:val="24"/>
        </w:rPr>
        <w:t xml:space="preserve"> Costituita nel 2002, la società spaziale non è quotata e non pubblica bilanci. Il vuoto documentale non è però totale: le licenze di lancio rilasciate dall'autorità federale dell'aviazione, le autorizzazioni radio e le concessioni orbitali, i contratti con l'amministrazione pubblicati nei sistemi federali degli appalti costituiscono una documentazione ampia e spesso trascurata. Il bersaglio è compilarne l'indice, che allo stato non risulta esistere in forma pubblica.</w:t>
      </w:r>
    </w:p>
    <w:p>
      <w:pPr>
        <w:spacing w:after="120" w:line="276"/>
        <w:jc w:val="both"/>
      </w:pPr>
      <w:r>
        <w:rPr>
          <w:rFonts w:ascii="Barlow Semi Condensed" w:cs="Barlow Semi Condensed" w:eastAsia="Barlow Semi Condensed" w:hAnsi="Barlow Semi Condensed"/>
          <w:b/>
          <w:bCs/>
          <w:sz w:val="24"/>
          <w:szCs w:val="24"/>
        </w:rPr>
        <w:t xml:space="preserve">673 · La traccia dei moduli sugli insider.</w:t>
      </w:r>
      <w:r>
        <w:rPr>
          <w:rFonts w:ascii="Barlow Semi Condensed" w:cs="Barlow Semi Condensed" w:eastAsia="Barlow Semi Condensed" w:hAnsi="Barlow Semi Condensed"/>
          <w:sz w:val="24"/>
          <w:szCs w:val="24"/>
        </w:rPr>
        <w:t xml:space="preserve"> Amministratori, dirigenti e soci sopra una certa soglia depositano moduli che registrano ogni variazione della loro partecipazione entro pochi giorni. Per le società quotate in cui i protagonisti di questa storia hanno avuto cariche, quella serie costituisce un diario patrimoniale con data certa. È lo strumento che consente di sostituire ogni affermazione approssimativa sulle ricchezze con una successione di atti verificabili uno per uno.</w:t>
      </w:r>
    </w:p>
    <w:p>
      <w:pPr>
        <w:spacing w:after="120" w:line="276"/>
        <w:jc w:val="both"/>
      </w:pPr>
      <w:r>
        <w:rPr>
          <w:rFonts w:ascii="Barlow Semi Condensed" w:cs="Barlow Semi Condensed" w:eastAsia="Barlow Semi Condensed" w:hAnsi="Barlow Semi Condensed"/>
          <w:b/>
          <w:bCs/>
          <w:sz w:val="24"/>
          <w:szCs w:val="24"/>
        </w:rPr>
        <w:t xml:space="preserve">674 · La comunicazione dell'aprile 2022.</w:t>
      </w:r>
      <w:r>
        <w:rPr>
          <w:rFonts w:ascii="Barlow Semi Condensed" w:cs="Barlow Semi Condensed" w:eastAsia="Barlow Semi Condensed" w:hAnsi="Barlow Semi Condensed"/>
          <w:sz w:val="24"/>
          <w:szCs w:val="24"/>
        </w:rPr>
        <w:t xml:space="preserve"> L'acquisto di una partecipazione rilevante in una società di microblogging fu comunicato nell'aprile 2022 mediante il modulo previsto per chi superi la soglia del cinque per cento, dapprima nella forma riservata agli investitori passivi e poi in quella per gli investitori attivi. La successione dei due depositi, con le rispettive date, documenta un mutamento di intenzione dichiarato: è materia societaria, e in questa serie nulla di più.</w:t>
      </w:r>
    </w:p>
    <w:p>
      <w:pPr>
        <w:spacing w:after="120" w:line="276"/>
        <w:jc w:val="both"/>
      </w:pPr>
      <w:r>
        <w:rPr>
          <w:rFonts w:ascii="Barlow Semi Condensed" w:cs="Barlow Semi Condensed" w:eastAsia="Barlow Semi Condensed" w:hAnsi="Barlow Semi Condensed"/>
          <w:b/>
          <w:bCs/>
          <w:sz w:val="24"/>
          <w:szCs w:val="24"/>
        </w:rPr>
        <w:t xml:space="preserve">675 · LinkedIn, dal 2011 al 2016.</w:t>
      </w:r>
      <w:r>
        <w:rPr>
          <w:rFonts w:ascii="Barlow Semi Condensed" w:cs="Barlow Semi Condensed" w:eastAsia="Barlow Semi Condensed" w:hAnsi="Barlow Semi Condensed"/>
          <w:sz w:val="24"/>
          <w:szCs w:val="24"/>
        </w:rPr>
        <w:t xml:space="preserve"> La società di reti professionali fondata da Reid Hoffman, che alla fusione del 2000 apparteneva al vertice operativo, si quotò nel 2011 e fu acquisita da Microsoft nel 2016. Entrambi i passaggi generarono fascicoli completi: domanda di registrazione con biografie e classi di azioni, poi documento di sollecitazione del voto con la cronistoria del negoziato. Sono due fonti primarie contigue, e coprono un quindicennio con date certe.</w:t>
      </w:r>
    </w:p>
    <w:p>
      <w:pPr>
        <w:spacing w:after="120" w:line="276"/>
        <w:jc w:val="both"/>
      </w:pPr>
      <w:r>
        <w:rPr>
          <w:rFonts w:ascii="Barlow Semi Condensed" w:cs="Barlow Semi Condensed" w:eastAsia="Barlow Semi Condensed" w:hAnsi="Barlow Semi Condensed"/>
          <w:b/>
          <w:bCs/>
          <w:sz w:val="24"/>
          <w:szCs w:val="24"/>
        </w:rPr>
        <w:t xml:space="preserve">676 · Greylock, e le deleghe di Microsoft.</w:t>
      </w:r>
      <w:r>
        <w:rPr>
          <w:rFonts w:ascii="Barlow Semi Condensed" w:cs="Barlow Semi Condensed" w:eastAsia="Barlow Semi Condensed" w:hAnsi="Barlow Semi Condensed"/>
          <w:sz w:val="24"/>
          <w:szCs w:val="24"/>
        </w:rPr>
        <w:t xml:space="preserve"> L'attività successiva del medesimo come socio di una società di venture capital si documenta attraverso il modulo di iscrizione dell'operatore di consulenza, mentre l'appartenenza al consiglio di una grande società quotata risulta dalle deleghe annuali, che indicano anno per anno i consiglieri, i comitati di appartenenza e i compensi. Sono documenti tediosi e integralmente pubblici, e valgono più di qualunque profilo giornalistico.</w:t>
      </w:r>
    </w:p>
    <w:p>
      <w:pPr>
        <w:spacing w:after="120" w:line="276"/>
        <w:jc w:val="both"/>
      </w:pPr>
      <w:r>
        <w:rPr>
          <w:rFonts w:ascii="Barlow Semi Condensed" w:cs="Barlow Semi Condensed" w:eastAsia="Barlow Semi Condensed" w:hAnsi="Barlow Semi Condensed"/>
          <w:b/>
          <w:bCs/>
          <w:sz w:val="24"/>
          <w:szCs w:val="24"/>
        </w:rPr>
        <w:t xml:space="preserve">677 · Slide, Affirm e il collocamento.</w:t>
      </w:r>
      <w:r>
        <w:rPr>
          <w:rFonts w:ascii="Barlow Semi Condensed" w:cs="Barlow Semi Condensed" w:eastAsia="Barlow Semi Condensed" w:hAnsi="Barlow Semi Condensed"/>
          <w:sz w:val="24"/>
          <w:szCs w:val="24"/>
        </w:rPr>
        <w:t xml:space="preserve"> Max Levchin, responsabile tecnico della società fino al 2002, fondò dopo l'acquisizione una prima impresa ceduta a Google nel 2010 e più tardi una società di credito al consumo quotata nel gennaio 2021. La domanda di registrazione di quest'ultima descrive la struttura del capitale e le partecipazioni dei fondatori. La continuità fra le due fasi è biografica e documentata; non implica alcun rapporto fra le imprese.</w:t>
      </w:r>
    </w:p>
    <w:p>
      <w:pPr>
        <w:spacing w:after="120" w:line="276"/>
        <w:jc w:val="both"/>
      </w:pPr>
      <w:r>
        <w:rPr>
          <w:rFonts w:ascii="Barlow Semi Condensed" w:cs="Barlow Semi Condensed" w:eastAsia="Barlow Semi Condensed" w:hAnsi="Barlow Semi Condensed"/>
          <w:b/>
          <w:bCs/>
          <w:sz w:val="24"/>
          <w:szCs w:val="24"/>
        </w:rPr>
        <w:t xml:space="preserve">678 · Yelp e il prospetto del 2012.</w:t>
      </w:r>
      <w:r>
        <w:rPr>
          <w:rFonts w:ascii="Barlow Semi Condensed" w:cs="Barlow Semi Condensed" w:eastAsia="Barlow Semi Condensed" w:hAnsi="Barlow Semi Condensed"/>
          <w:sz w:val="24"/>
          <w:szCs w:val="24"/>
        </w:rPr>
        <w:t xml:space="preserve"> Jeremy Stoppelman e Russel Simmons, entrambi dipendenti della società di pagamento prima del 2002, fondarono nel 2004 un servizio di recensioni locali quotato nel 2012. Il prospetto di quella quotazione contiene la sezione sulle operazioni con parti correlate, che nomina gli investitori iniziali. È lì, e non nelle interviste, che si verifica se e in quale misura ex colleghi abbiano finanziato le imprese altrui.</w:t>
      </w:r>
    </w:p>
    <w:p>
      <w:pPr>
        <w:spacing w:after="120" w:line="276"/>
        <w:jc w:val="both"/>
      </w:pPr>
      <w:r>
        <w:rPr>
          <w:rFonts w:ascii="Barlow Semi Condensed" w:cs="Barlow Semi Condensed" w:eastAsia="Barlow Semi Condensed" w:hAnsi="Barlow Semi Condensed"/>
          <w:b/>
          <w:bCs/>
          <w:sz w:val="24"/>
          <w:szCs w:val="24"/>
        </w:rPr>
        <w:t xml:space="preserve">679 · YouTube nei depositi di Google.</w:t>
      </w:r>
      <w:r>
        <w:rPr>
          <w:rFonts w:ascii="Barlow Semi Condensed" w:cs="Barlow Semi Condensed" w:eastAsia="Barlow Semi Condensed" w:hAnsi="Barlow Semi Condensed"/>
          <w:sz w:val="24"/>
          <w:szCs w:val="24"/>
        </w:rPr>
        <w:t xml:space="preserve"> L'acquisizione, nell'autunno del 2006, della piattaforma video fondata da Chad Hurley, Steve Chen e Jawed Karim fu comunicata dall'acquirente con un modulo di evento rilevante e descritta nella relazione annuale successiva, con l'indicazione del corrispettivo in azioni e dell'allocazione contabile del prezzo. Il contratto figura fra gli allegati. Nessuna ricostruzione giornalistica di quell'operazione aggiunge un dato che quei documenti non contengano già.</w:t>
      </w:r>
    </w:p>
    <w:p>
      <w:pPr>
        <w:spacing w:after="120" w:line="276"/>
        <w:jc w:val="both"/>
      </w:pPr>
      <w:r>
        <w:rPr>
          <w:rFonts w:ascii="Barlow Semi Condensed" w:cs="Barlow Semi Condensed" w:eastAsia="Barlow Semi Condensed" w:hAnsi="Barlow Semi Condensed"/>
          <w:b/>
          <w:bCs/>
          <w:sz w:val="24"/>
          <w:szCs w:val="24"/>
        </w:rPr>
        <w:t xml:space="preserve">680 · Yammer nei bilanci di Microsoft.</w:t>
      </w:r>
      <w:r>
        <w:rPr>
          <w:rFonts w:ascii="Barlow Semi Condensed" w:cs="Barlow Semi Condensed" w:eastAsia="Barlow Semi Condensed" w:hAnsi="Barlow Semi Condensed"/>
          <w:sz w:val="24"/>
          <w:szCs w:val="24"/>
        </w:rPr>
        <w:t xml:space="preserve"> Nel 2008 David Sacks, che era stato responsabile operativo prima del 2002, fondò una società di comunicazione interna aziendale, acquisita nel 2012 da un acquirente quotato che ne diede conto nella relazione annuale con l'importo e la data di perfezionamento. Anche qui il percorso corretto è dal bilancio dell'acquirente all'indietro, perché la società acquisita, essendo privata, non ha lasciato depositi propri.</w:t>
      </w:r>
    </w:p>
    <w:p>
      <w:pPr>
        <w:spacing w:after="120" w:line="276"/>
        <w:jc w:val="both"/>
      </w:pPr>
      <w:r>
        <w:rPr>
          <w:rFonts w:ascii="Barlow Semi Condensed" w:cs="Barlow Semi Condensed" w:eastAsia="Barlow Semi Condensed" w:hAnsi="Barlow Semi Condensed"/>
          <w:b/>
          <w:bCs/>
          <w:sz w:val="24"/>
          <w:szCs w:val="24"/>
        </w:rPr>
        <w:t xml:space="preserve">681 · Square e il ruolo operativo.</w:t>
      </w:r>
      <w:r>
        <w:rPr>
          <w:rFonts w:ascii="Barlow Semi Condensed" w:cs="Barlow Semi Condensed" w:eastAsia="Barlow Semi Condensed" w:hAnsi="Barlow Semi Condensed"/>
          <w:sz w:val="24"/>
          <w:szCs w:val="24"/>
        </w:rPr>
        <w:t xml:space="preserve"> Keith Rabois, che aveva lavorato nella società di pagamento nella fase anteriore all'acquisizione, ricoprì dal 2013 al 2015 un incarico esecutivo in una società di pagamenti quotatasi nel novembre 2015. La sua presenza nell'organigramma è attestata dalla domanda di registrazione e dalle deleghe. È un fatto di impiego, documentato in atti depositati, e come tale rientra nel perimetro che questa opera si è dato.</w:t>
      </w:r>
    </w:p>
    <w:p>
      <w:pPr>
        <w:spacing w:after="120" w:line="276"/>
        <w:jc w:val="both"/>
      </w:pPr>
      <w:r>
        <w:rPr>
          <w:rFonts w:ascii="Barlow Semi Condensed" w:cs="Barlow Semi Condensed" w:eastAsia="Barlow Semi Condensed" w:hAnsi="Barlow Semi Condensed"/>
          <w:b/>
          <w:bCs/>
          <w:sz w:val="24"/>
          <w:szCs w:val="24"/>
        </w:rPr>
        <w:t xml:space="preserve">682 · Il Senato e le conferme.</w:t>
      </w:r>
      <w:r>
        <w:rPr>
          <w:rFonts w:ascii="Barlow Semi Condensed" w:cs="Barlow Semi Condensed" w:eastAsia="Barlow Semi Condensed" w:hAnsi="Barlow Semi Condensed"/>
          <w:sz w:val="24"/>
          <w:szCs w:val="24"/>
        </w:rPr>
        <w:t xml:space="preserve"> Ken Howery, cofondatore del fondo del 2005, è stato ambasciatore degli Stati Uniti in Svezia. Le nomine diplomatiche statunitensi producono documentazione pubblica ordinata: messaggio di nomina, fascicolo della commissione competente, calendario esecutivo del Senato, verbale della conferma nel Congressional Record. È un percorso archivistico lineare, integralmente accessibile, e va preferito a qualunque rassegna che si limiti a menzionare l'incarico senza indicarne gli atti.</w:t>
      </w:r>
    </w:p>
    <w:p>
      <w:pPr>
        <w:spacing w:after="120" w:line="276"/>
        <w:jc w:val="both"/>
      </w:pPr>
      <w:r>
        <w:rPr>
          <w:rFonts w:ascii="Barlow Semi Condensed" w:cs="Barlow Semi Condensed" w:eastAsia="Barlow Semi Condensed" w:hAnsi="Barlow Semi Condensed"/>
          <w:b/>
          <w:bCs/>
          <w:sz w:val="24"/>
          <w:szCs w:val="24"/>
        </w:rPr>
        <w:t xml:space="preserve">683 · L'incarico pubblico del 2024.</w:t>
      </w:r>
      <w:r>
        <w:rPr>
          <w:rFonts w:ascii="Barlow Semi Condensed" w:cs="Barlow Semi Condensed" w:eastAsia="Barlow Semi Condensed" w:hAnsi="Barlow Semi Condensed"/>
          <w:sz w:val="24"/>
          <w:szCs w:val="24"/>
        </w:rPr>
        <w:t xml:space="preserve"> David Sacks è stato designato alla fine del 2024 a un incarico consultivo presso la presidenza degli Stati Uniti in materia di intelligenza artificiale e criptovalute. Gli incarichi di questo tipo generano atti di nomina, eventuali autorizzazioni in materia di conflitto di interessi e comunicazioni dell'ufficio federale competente. Il bersaglio è raccogliere quegli atti; la designazione, in sé, è un fatto pubblico e null'altro.</w:t>
      </w:r>
    </w:p>
    <w:p>
      <w:pPr>
        <w:spacing w:after="120" w:line="276"/>
        <w:jc w:val="both"/>
      </w:pPr>
      <w:r>
        <w:rPr>
          <w:rFonts w:ascii="Barlow Semi Condensed" w:cs="Barlow Semi Condensed" w:eastAsia="Barlow Semi Condensed" w:hAnsi="Barlow Semi Condensed"/>
          <w:b/>
          <w:bCs/>
          <w:sz w:val="24"/>
          <w:szCs w:val="24"/>
        </w:rPr>
        <w:t xml:space="preserve">684 · Sequoia, il modulo di iscrizione.</w:t>
      </w:r>
      <w:r>
        <w:rPr>
          <w:rFonts w:ascii="Barlow Semi Condensed" w:cs="Barlow Semi Condensed" w:eastAsia="Barlow Semi Condensed" w:hAnsi="Barlow Semi Condensed"/>
          <w:sz w:val="24"/>
          <w:szCs w:val="24"/>
        </w:rPr>
        <w:t xml:space="preserve"> Dal 2003 Roelof Botha lavora in una società di venture capital che ha modificato nel 2021 la propria struttura di fondi e nel 2022 il vertice, passato a lui. Le entità di gestione depositano il modulo di iscrizione degli operatori di consulenza, aggiornato annualmente, che dichiara masse, assetti e rapporti di controllo. È la fonte con cui datare quei mutamenti senza affidarsi ai comunicati.</w:t>
      </w:r>
    </w:p>
    <w:p>
      <w:pPr>
        <w:spacing w:after="120" w:line="276"/>
        <w:jc w:val="both"/>
      </w:pPr>
      <w:r>
        <w:rPr>
          <w:rFonts w:ascii="Barlow Semi Condensed" w:cs="Barlow Semi Condensed" w:eastAsia="Barlow Semi Condensed" w:hAnsi="Barlow Semi Condensed"/>
          <w:b/>
          <w:bCs/>
          <w:sz w:val="24"/>
          <w:szCs w:val="24"/>
        </w:rPr>
        <w:t xml:space="preserve">685 · Il nipote firma il prospetto.</w:t>
      </w:r>
      <w:r>
        <w:rPr>
          <w:rFonts w:ascii="Barlow Semi Condensed" w:cs="Barlow Semi Condensed" w:eastAsia="Barlow Semi Condensed" w:hAnsi="Barlow Semi Condensed"/>
          <w:sz w:val="24"/>
          <w:szCs w:val="24"/>
        </w:rPr>
        <w:t xml:space="preserve"> Roelof Botha è nipote di Roelof Frederik Botha, detto Pik, ministro degli Esteri sudafricano dal 1977 al 1994 e poi ministro delle Miniere e dell'Energia nel primo governo Mandela. La parentela è di piano uno, documentata. Il fatto che il nipote abbia sottoscritto come direttore finanziario un prospetto depositato a Washington è anch'esso documentato. Fra i due fatti non passa alcuna inferenza, e questa serie non ne costruisce alcuna.</w:t>
      </w:r>
    </w:p>
    <w:p>
      <w:pPr>
        <w:spacing w:after="120" w:line="276"/>
        <w:jc w:val="both"/>
      </w:pPr>
      <w:r>
        <w:rPr>
          <w:rFonts w:ascii="Barlow Semi Condensed" w:cs="Barlow Semi Condensed" w:eastAsia="Barlow Semi Condensed" w:hAnsi="Barlow Semi Condensed"/>
          <w:b/>
          <w:bCs/>
          <w:sz w:val="24"/>
          <w:szCs w:val="24"/>
        </w:rPr>
        <w:t xml:space="preserve">686 · I due Botha, e l'errore corrente.</w:t>
      </w:r>
      <w:r>
        <w:rPr>
          <w:rFonts w:ascii="Barlow Semi Condensed" w:cs="Barlow Semi Condensed" w:eastAsia="Barlow Semi Condensed" w:hAnsi="Barlow Semi Condensed"/>
          <w:sz w:val="24"/>
          <w:szCs w:val="24"/>
        </w:rPr>
        <w:t xml:space="preserve"> Va detto qui perché la serie nomina più volte quel cognome. Pik Botha, ministro degli Esteri, non era parente di P.W. Botha, capo dello Stato sudafricano fino al 1989. La confusione fra i due è l'errore più diffuso su questa materia e produce ricostruzioni genealogiche interamente false. Chi scriva su questo tema deve dichiarare, ogni volta, quale dei due sta nominando, e su quale fonte.</w:t>
      </w:r>
    </w:p>
    <w:p>
      <w:pPr>
        <w:spacing w:after="120" w:line="276"/>
        <w:jc w:val="both"/>
      </w:pPr>
      <w:r>
        <w:rPr>
          <w:rFonts w:ascii="Barlow Semi Condensed" w:cs="Barlow Semi Condensed" w:eastAsia="Barlow Semi Condensed" w:hAnsi="Barlow Semi Condensed"/>
          <w:b/>
          <w:bCs/>
          <w:sz w:val="24"/>
          <w:szCs w:val="24"/>
        </w:rPr>
        <w:t xml:space="preserve">687 · La generazione intermedia.</w:t>
      </w:r>
      <w:r>
        <w:rPr>
          <w:rFonts w:ascii="Barlow Semi Condensed" w:cs="Barlow Semi Condensed" w:eastAsia="Barlow Semi Condensed" w:hAnsi="Barlow Semi Condensed"/>
          <w:sz w:val="24"/>
          <w:szCs w:val="24"/>
        </w:rPr>
        <w:t xml:space="preserve"> Una generazione separa il ministro dal direttore finanziario, e la sua identità va accertata e non presunta: chi somma nonno e nipote saltando il padre costruisce una discendenza a due termini che nessun registro conferma. Le fonti da interrogare sono gli annunci di famiglia sulla stampa sudafricana, i necrologi datati e le note biografiche pubblicate dagli enti in cui i membri della famiglia hanno lavorato.</w:t>
      </w:r>
    </w:p>
    <w:p>
      <w:pPr>
        <w:spacing w:after="120" w:line="276"/>
        <w:jc w:val="both"/>
      </w:pPr>
      <w:r>
        <w:rPr>
          <w:rFonts w:ascii="Barlow Semi Condensed" w:cs="Barlow Semi Condensed" w:eastAsia="Barlow Semi Condensed" w:hAnsi="Barlow Semi Condensed"/>
          <w:b/>
          <w:bCs/>
          <w:sz w:val="24"/>
          <w:szCs w:val="24"/>
        </w:rPr>
        <w:t xml:space="preserve">688 · I meno documentati della fotografia.</w:t>
      </w:r>
      <w:r>
        <w:rPr>
          <w:rFonts w:ascii="Barlow Semi Condensed" w:cs="Barlow Semi Condensed" w:eastAsia="Barlow Semi Condensed" w:hAnsi="Barlow Semi Condensed"/>
          <w:sz w:val="24"/>
          <w:szCs w:val="24"/>
        </w:rPr>
        <w:t xml:space="preserve"> Alcune persone associate alla vicenda hanno lasciato una traccia societaria esigua: nessuna carica in società quotate, nessun veicolo di investimento vigilato, nessun deposito federale a proprio nome. Si verbalizza come Stato Zero, ed è un esito con pieno valore. Segnala che la notorietà del gruppo è distribuita in modo assai diseguale, e che una parte dei nomi circolanti non regge alcuna verifica documentale autonoma.</w:t>
      </w:r>
    </w:p>
    <w:p>
      <w:pPr>
        <w:spacing w:after="120" w:line="276"/>
        <w:jc w:val="both"/>
      </w:pPr>
      <w:r>
        <w:rPr>
          <w:rFonts w:ascii="Barlow Semi Condensed" w:cs="Barlow Semi Condensed" w:eastAsia="Barlow Semi Condensed" w:hAnsi="Barlow Semi Condensed"/>
          <w:b/>
          <w:bCs/>
          <w:sz w:val="24"/>
          <w:szCs w:val="24"/>
        </w:rPr>
        <w:t xml:space="preserve">689 · L'origine non è una condotta.</w:t>
      </w:r>
      <w:r>
        <w:rPr>
          <w:rFonts w:ascii="Barlow Semi Condensed" w:cs="Barlow Semi Condensed" w:eastAsia="Barlow Semi Condensed" w:hAnsi="Barlow Semi Condensed"/>
          <w:sz w:val="24"/>
          <w:szCs w:val="24"/>
        </w:rPr>
        <w:t xml:space="preserve"> Vale come regola e non come precauzione retorica. Che una persona sia nata in Sud Africa, vi abbia studiato o vi conservi legami familiari non dice nulla sulle sue scelte, e non entra in alcun ragionamento probatorio di questa serie. I fatti biografici si registrano perché pubblici e verificabili; da essi non discende alcuna conseguenza, e ogni testo che le tragga esce dal metodo dichiarato.</w:t>
      </w:r>
    </w:p>
    <w:p>
      <w:pPr>
        <w:spacing w:after="120" w:line="276"/>
        <w:jc w:val="both"/>
      </w:pPr>
      <w:r>
        <w:rPr>
          <w:rFonts w:ascii="Barlow Semi Condensed" w:cs="Barlow Semi Condensed" w:eastAsia="Barlow Semi Condensed" w:hAnsi="Barlow Semi Condensed"/>
          <w:b/>
          <w:bCs/>
          <w:sz w:val="24"/>
          <w:szCs w:val="24"/>
        </w:rPr>
        <w:t xml:space="preserve">690 · Misurare la co-occorrenza nei depositi.</w:t>
      </w:r>
      <w:r>
        <w:rPr>
          <w:rFonts w:ascii="Barlow Semi Condensed" w:cs="Barlow Semi Condensed" w:eastAsia="Barlow Semi Condensed" w:hAnsi="Barlow Semi Condensed"/>
          <w:sz w:val="24"/>
          <w:szCs w:val="24"/>
        </w:rPr>
        <w:t xml:space="preserve"> Accertamento eseguibile con esattezza. Interrogando a testo integrale i depositi delle società qui nominate per i termini geografici e istituzionali dell'Africa australe, si ottiene un numero: quante volte quei termini vi compaiano e in quale contesto. Il risultato, quale che sia, va pubblicato con la ricetta della misura — corpora, stringhe, finestra, criterio di conteggio — altrimenti non è confrontabile con nulla.</w:t>
      </w:r>
    </w:p>
    <w:p>
      <w:pPr>
        <w:spacing w:after="120" w:line="276"/>
        <w:jc w:val="both"/>
      </w:pPr>
      <w:r>
        <w:rPr>
          <w:rFonts w:ascii="Barlow Semi Condensed" w:cs="Barlow Semi Condensed" w:eastAsia="Barlow Semi Condensed" w:hAnsi="Barlow Semi Condensed"/>
          <w:b/>
          <w:bCs/>
          <w:sz w:val="24"/>
          <w:szCs w:val="24"/>
        </w:rPr>
        <w:t xml:space="preserve">691 · Che cosa proverebbe una ricorrenza.</w:t>
      </w:r>
      <w:r>
        <w:rPr>
          <w:rFonts w:ascii="Barlow Semi Condensed" w:cs="Barlow Semi Condensed" w:eastAsia="Barlow Semi Condensed" w:hAnsi="Barlow Semi Condensed"/>
          <w:sz w:val="24"/>
          <w:szCs w:val="24"/>
        </w:rPr>
        <w:t xml:space="preserve"> Vale per l'accertamento precedente una regola di lettura. Se i depositi nominassero il Sud Africa in una clausola di rischio o in un elenco di mercati, ciò documenterebbe un'attività commerciale e nient'altro. Se non lo nominassero affatto, documenterebbe un'assenza dal perimetro informativo obbligatorio, non un'assenza di rapporti. In entrambi i casi la distanza fra il dato e la tesi di continuità resta intera, e va dichiarata.</w:t>
      </w:r>
    </w:p>
    <w:p>
      <w:pPr>
        <w:spacing w:after="120" w:line="276"/>
        <w:jc w:val="both"/>
      </w:pPr>
      <w:r>
        <w:rPr>
          <w:rFonts w:ascii="Barlow Semi Condensed" w:cs="Barlow Semi Condensed" w:eastAsia="Barlow Semi Condensed" w:hAnsi="Barlow Semi Condensed"/>
          <w:b/>
          <w:bCs/>
          <w:sz w:val="24"/>
          <w:szCs w:val="24"/>
        </w:rPr>
        <w:t xml:space="preserve">692 · Il corpus non li nomina altrove.</w:t>
      </w:r>
      <w:r>
        <w:rPr>
          <w:rFonts w:ascii="Barlow Semi Condensed" w:cs="Barlow Semi Condensed" w:eastAsia="Barlow Semi Condensed" w:hAnsi="Barlow Semi Condensed"/>
          <w:sz w:val="24"/>
          <w:szCs w:val="24"/>
        </w:rPr>
        <w:t xml:space="preserve"> Verifica meccanica, eseguita sul branch pubblico. Le stringhe relative a queste persone, a questa società e a questa regione della California non compaiono negli altri Libri del corpus, dedicati al caso Moro, alla parabola di Guevara e alla triangolazione Kissinger. L'esito è uno Stato Zero completo e va scritto: fra la materia di quest'opera e il resto del corpus non esiste alcun aggancio documentale automatico.</w:t>
      </w:r>
    </w:p>
    <w:p>
      <w:pPr>
        <w:spacing w:after="120" w:line="276"/>
        <w:jc w:val="both"/>
      </w:pPr>
      <w:r>
        <w:rPr>
          <w:rFonts w:ascii="Barlow Semi Condensed" w:cs="Barlow Semi Condensed" w:eastAsia="Barlow Semi Condensed" w:hAnsi="Barlow Semi Condensed"/>
          <w:b/>
          <w:bCs/>
          <w:sz w:val="24"/>
          <w:szCs w:val="24"/>
        </w:rPr>
        <w:t xml:space="preserve">693 · Il solo ponte esistente.</w:t>
      </w:r>
      <w:r>
        <w:rPr>
          <w:rFonts w:ascii="Barlow Semi Condensed" w:cs="Barlow Semi Condensed" w:eastAsia="Barlow Semi Condensed" w:hAnsi="Barlow Semi Condensed"/>
          <w:sz w:val="24"/>
          <w:szCs w:val="24"/>
        </w:rPr>
        <w:t xml:space="preserve"> L'unico contatto documentato fra il corpus e la materia dell'apartheid è il nodo E-16 della triangolazione Guevara-Moro: il discorso all'Assemblea Generale delle Nazioni Unite dell'11 dicembre 1964, in cui il colonialismo e la politica sudafricana furono denunciati pubblicamente. È un ponte tematico e datato, non un ponte fra persone. Riconoscerne la natura limitata è la condizione perché quest'opera non diventi un esercizio combinatorio.</w:t>
      </w:r>
    </w:p>
    <w:p>
      <w:pPr>
        <w:spacing w:after="120" w:line="276"/>
        <w:jc w:val="both"/>
      </w:pPr>
      <w:r>
        <w:rPr>
          <w:rFonts w:ascii="Barlow Semi Condensed" w:cs="Barlow Semi Condensed" w:eastAsia="Barlow Semi Condensed" w:hAnsi="Barlow Semi Condensed"/>
          <w:b/>
          <w:bCs/>
          <w:sz w:val="24"/>
          <w:szCs w:val="24"/>
        </w:rPr>
        <w:t xml:space="preserve">694 · Le due fonti vietate.</w:t>
      </w:r>
      <w:r>
        <w:rPr>
          <w:rFonts w:ascii="Barlow Semi Condensed" w:cs="Barlow Semi Condensed" w:eastAsia="Barlow Semi Condensed" w:hAnsi="Barlow Semi Condensed"/>
          <w:sz w:val="24"/>
          <w:szCs w:val="24"/>
        </w:rPr>
        <w:t xml:space="preserve"> Il committente ha escluso due sedi dalla citabilità in questa ricerca. Il divieto si registra come regola, mentre le sedi non si nominano come fonti in alcun blocco. Una delle due presenta inoltre, su questa specifica materia, un problema ulteriore e dirimente: è riconducibile a un soggetto nominato nella ricerca, e dunque sarebbe parte in causa. La regola generale è che una fonte non testimonia su di sé.</w:t>
      </w:r>
    </w:p>
    <w:p>
      <w:pPr>
        <w:spacing w:after="120" w:line="276"/>
        <w:jc w:val="both"/>
      </w:pPr>
      <w:r>
        <w:rPr>
          <w:rFonts w:ascii="Barlow Semi Condensed" w:cs="Barlow Semi Condensed" w:eastAsia="Barlow Semi Condensed" w:hAnsi="Barlow Semi Condensed"/>
          <w:b/>
          <w:bCs/>
          <w:sz w:val="24"/>
          <w:szCs w:val="24"/>
        </w:rPr>
        <w:t xml:space="preserve">695 · Il registro della nona serie.</w:t>
      </w:r>
      <w:r>
        <w:rPr>
          <w:rFonts w:ascii="Barlow Semi Condensed" w:cs="Barlow Semi Condensed" w:eastAsia="Barlow Semi Condensed" w:hAnsi="Barlow Semi Condensed"/>
          <w:sz w:val="24"/>
          <w:szCs w:val="24"/>
        </w:rPr>
        <w:t xml:space="preserve"> Si chiude annotando ciò che questa parte non ha stabilito. Non ha stabilito alcun rapporto fra gli atti societari californiani e le vicende dell'Africa australe. Non ha attribuito alcuna condotta illecita ad alcuno. Ha fatto una cosa sola: sostituire, dove possibile, il racconto con il deposito, e verbalizzare i punti in cui il deposito manca. Le serie successive ereditano l'elenco dei bersagli rimasti aperti.</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Serie decima — Le dottrine: tecnocrazia, libertarismo, e le loro genealogie</w:t>
      </w:r>
    </w:p>
    <w:p>
      <w:pPr>
        <w:spacing w:after="120" w:line="276"/>
        <w:jc w:val="both"/>
      </w:pPr>
      <w:r>
        <w:rPr>
          <w:rFonts w:ascii="Barlow Semi Condensed" w:cs="Barlow Semi Condensed" w:eastAsia="Barlow Semi Condensed" w:hAnsi="Barlow Semi Condensed"/>
          <w:i/>
          <w:iCs/>
          <w:sz w:val="24"/>
          <w:szCs w:val="24"/>
        </w:rPr>
        <w:t xml:space="preserve">Blocchi 696-780.</w:t>
      </w:r>
    </w:p>
    <w:p>
      <w:pPr>
        <w:spacing w:after="120" w:line="276"/>
        <w:jc w:val="both"/>
      </w:pPr>
      <w:r>
        <w:rPr>
          <w:rFonts w:ascii="Barlow Semi Condensed" w:cs="Barlow Semi Condensed" w:eastAsia="Barlow Semi Condensed" w:hAnsi="Barlow Semi Condensed"/>
          <w:b/>
          <w:bCs/>
          <w:sz w:val="24"/>
          <w:szCs w:val="24"/>
        </w:rPr>
        <w:t xml:space="preserve">696 · Che cosa prova una filiazione dottrinale.</w:t>
      </w:r>
      <w:r>
        <w:rPr>
          <w:rFonts w:ascii="Barlow Semi Condensed" w:cs="Barlow Semi Condensed" w:eastAsia="Barlow Semi Condensed" w:hAnsi="Barlow Semi Condensed"/>
          <w:sz w:val="24"/>
          <w:szCs w:val="24"/>
        </w:rPr>
        <w:t xml:space="preserve"> Una filiazione dottrinale si prova con un documento di provenienza, mai con una somiglianza. Tre forme sole la reggono: una citazione nominata dentro un testo firmato dal soggetto, un'appartenenza registrata in un elenco tenuto da terzi, una corrispondenza conservata in archivio con mittente e destinatario. Fuori da queste tre resta convergenza, e la convergenza non si promuove. La serie adotta il metro della Serie terza dell'opera Kissinger e non ne concede altri.</w:t>
      </w:r>
    </w:p>
    <w:p>
      <w:pPr>
        <w:spacing w:after="120" w:line="276"/>
        <w:jc w:val="both"/>
      </w:pPr>
      <w:r>
        <w:rPr>
          <w:rFonts w:ascii="Barlow Semi Condensed" w:cs="Barlow Semi Condensed" w:eastAsia="Barlow Semi Condensed" w:hAnsi="Barlow Semi Condensed"/>
          <w:b/>
          <w:bCs/>
          <w:sz w:val="24"/>
          <w:szCs w:val="24"/>
        </w:rPr>
        <w:t xml:space="preserve">697 · Affinità non è filiazione.</w:t>
      </w:r>
      <w:r>
        <w:rPr>
          <w:rFonts w:ascii="Barlow Semi Condensed" w:cs="Barlow Semi Condensed" w:eastAsia="Barlow Semi Condensed" w:hAnsi="Barlow Semi Condensed"/>
          <w:sz w:val="24"/>
          <w:szCs w:val="24"/>
        </w:rPr>
        <w:t xml:space="preserve"> Due dottrine possono condividere il disprezzo per la deliberazione lenta, la fiducia nella competenza tecnica e l'idea che il progresso vada amministrato, senza che l'una discenda dall'altra. L'affinità descrive uno stato; la filiazione descrive un passaggio, e un passaggio ha una data, un veicolo e un testimone. Chi afferma la seconda deve produrli. Chi si ferma alla prima ha detto qualcosa di vero e di molto più piccolo.</w:t>
      </w:r>
    </w:p>
    <w:p>
      <w:pPr>
        <w:spacing w:after="120" w:line="276"/>
        <w:jc w:val="both"/>
      </w:pPr>
      <w:r>
        <w:rPr>
          <w:rFonts w:ascii="Barlow Semi Condensed" w:cs="Barlow Semi Condensed" w:eastAsia="Barlow Semi Condensed" w:hAnsi="Barlow Semi Condensed"/>
          <w:b/>
          <w:bCs/>
          <w:sz w:val="24"/>
          <w:szCs w:val="24"/>
        </w:rPr>
        <w:t xml:space="preserve">698 · Il test della citazione nominata.</w:t>
      </w:r>
      <w:r>
        <w:rPr>
          <w:rFonts w:ascii="Barlow Semi Condensed" w:cs="Barlow Semi Condensed" w:eastAsia="Barlow Semi Condensed" w:hAnsi="Barlow Semi Condensed"/>
          <w:sz w:val="24"/>
          <w:szCs w:val="24"/>
        </w:rPr>
        <w:t xml:space="preserve"> Il primo accertamento è meccanico e chiunque può eseguirlo: si prende l'opera firmata dal soggetto, si aprono l'indice dei nomi e la bibliografia, si cerca l'antenato che si vuole attribuire. Se il nome non compare, la filiazione non è esclusa ma non è provata, e l'assenza va registrata. Se compare, si legge in quale funzione: fonte, bersaglio polemico oppure ornamento. Le tre funzioni non valgono uguale e vanno distinte.</w:t>
      </w:r>
    </w:p>
    <w:p>
      <w:pPr>
        <w:spacing w:after="120" w:line="276"/>
        <w:jc w:val="both"/>
      </w:pPr>
      <w:r>
        <w:rPr>
          <w:rFonts w:ascii="Barlow Semi Condensed" w:cs="Barlow Semi Condensed" w:eastAsia="Barlow Semi Condensed" w:hAnsi="Barlow Semi Condensed"/>
          <w:b/>
          <w:bCs/>
          <w:sz w:val="24"/>
          <w:szCs w:val="24"/>
        </w:rPr>
        <w:t xml:space="preserve">699 · Il test dell'appartenenza registrata.</w:t>
      </w:r>
      <w:r>
        <w:rPr>
          <w:rFonts w:ascii="Barlow Semi Condensed" w:cs="Barlow Semi Condensed" w:eastAsia="Barlow Semi Condensed" w:hAnsi="Barlow Semi Condensed"/>
          <w:sz w:val="24"/>
          <w:szCs w:val="24"/>
        </w:rPr>
        <w:t xml:space="preserve"> Serve poi un registro tenuto da altri: schede di iscrizione, verbali di sezione, elenchi di quota, ruoli di redazione. L'appartenenza dichiarata dal soggetto vale come dichiarazione; l'appartenenza attestata da un registro vale come fatto. Nessuna delle due prova una condotta. Il corpus tiene già la distinzione in aldo-moro-una-guerra-senza-fine-fase-decima-responsabilita-personali.md, dove l'appartenenza a uno o più gruppi resta fatto biografico inerte e non genera imputazione.</w:t>
      </w:r>
    </w:p>
    <w:p>
      <w:pPr>
        <w:spacing w:after="120" w:line="276"/>
        <w:jc w:val="both"/>
      </w:pPr>
      <w:r>
        <w:rPr>
          <w:rFonts w:ascii="Barlow Semi Condensed" w:cs="Barlow Semi Condensed" w:eastAsia="Barlow Semi Condensed" w:hAnsi="Barlow Semi Condensed"/>
          <w:b/>
          <w:bCs/>
          <w:sz w:val="24"/>
          <w:szCs w:val="24"/>
        </w:rPr>
        <w:t xml:space="preserve">700 · Il test della corrispondenza privata.</w:t>
      </w:r>
      <w:r>
        <w:rPr>
          <w:rFonts w:ascii="Barlow Semi Condensed" w:cs="Barlow Semi Condensed" w:eastAsia="Barlow Semi Condensed" w:hAnsi="Barlow Semi Condensed"/>
          <w:sz w:val="24"/>
          <w:szCs w:val="24"/>
        </w:rPr>
        <w:t xml:space="preserve"> Più forte e più raro è il terzo accertamento: una lettera, un promemoria interno, un messaggio conservato con data e destinatario, in cui il soggetto riconosca di aver preso qualcosa da qualcuno. È l'unico documento che chiude la questione in un colpo. È anche quello che quasi mai esiste per persone viventi, perché i loro archivi privati non sono depositati. Va cercato lo stesso, e la sua assenza va scritta.</w:t>
      </w:r>
    </w:p>
    <w:p>
      <w:pPr>
        <w:spacing w:after="120" w:line="276"/>
        <w:jc w:val="both"/>
      </w:pPr>
      <w:r>
        <w:rPr>
          <w:rFonts w:ascii="Barlow Semi Condensed" w:cs="Barlow Semi Condensed" w:eastAsia="Barlow Semi Condensed" w:hAnsi="Barlow Semi Condensed"/>
          <w:b/>
          <w:bCs/>
          <w:sz w:val="24"/>
          <w:szCs w:val="24"/>
        </w:rPr>
        <w:t xml:space="preserve">701 · Omologia contro analogia fra dottrine.</w:t>
      </w:r>
      <w:r>
        <w:rPr>
          <w:rFonts w:ascii="Barlow Semi Condensed" w:cs="Barlow Semi Condensed" w:eastAsia="Barlow Semi Condensed" w:hAnsi="Barlow Semi Condensed"/>
          <w:sz w:val="24"/>
          <w:szCs w:val="24"/>
        </w:rPr>
        <w:t xml:space="preserve"> Strutture dottrinali simili discendono da un antenato comune oppure convergono perché rispondono al medesimo ambiente. Un'economia industriale in crisi produce programmi di governo degli ingegneri; un'economia digitale concentrata produce programmi di uscita dal territorio. La somiglianza dell'esito non indica l'antenato. Il criterio resta quello enunciato nella Serie sesta dell'opera Kissinger: soltanto un documento di provenienza distingue l'omologia dall'analogia, e nessuna eleganza argomentativa lo sostituisce.</w:t>
      </w:r>
    </w:p>
    <w:p>
      <w:pPr>
        <w:spacing w:after="120" w:line="276"/>
        <w:jc w:val="both"/>
      </w:pPr>
      <w:r>
        <w:rPr>
          <w:rFonts w:ascii="Barlow Semi Condensed" w:cs="Barlow Semi Condensed" w:eastAsia="Barlow Semi Condensed" w:hAnsi="Barlow Semi Condensed"/>
          <w:b/>
          <w:bCs/>
          <w:sz w:val="24"/>
          <w:szCs w:val="24"/>
        </w:rPr>
        <w:t xml:space="preserve">702 · I tre piani applicati alle idee.</w:t>
      </w:r>
      <w:r>
        <w:rPr>
          <w:rFonts w:ascii="Barlow Semi Condensed" w:cs="Barlow Semi Condensed" w:eastAsia="Barlow Semi Condensed" w:hAnsi="Barlow Semi Condensed"/>
          <w:sz w:val="24"/>
          <w:szCs w:val="24"/>
        </w:rPr>
        <w:t xml:space="preserve"> Applicata alle dottrine, la regola dei tre piani si legge così. Piano uno: il soggetto cita, sottoscrive, aderisce per iscritto. Piano due: il soggetto opera dentro la stessa cornice culturale dell'antenato ipotizzato, senza mai nominarlo. Piano tre: un commentatore terzo afferma la discendenza e non produce nulla. Quasi tutta la letteratura in rete su questa materia sta al piano tre, e va contata una volta sola.</w:t>
      </w:r>
    </w:p>
    <w:p>
      <w:pPr>
        <w:spacing w:after="120" w:line="276"/>
        <w:jc w:val="both"/>
      </w:pPr>
      <w:r>
        <w:rPr>
          <w:rFonts w:ascii="Barlow Semi Condensed" w:cs="Barlow Semi Condensed" w:eastAsia="Barlow Semi Condensed" w:hAnsi="Barlow Semi Condensed"/>
          <w:b/>
          <w:bCs/>
          <w:sz w:val="24"/>
          <w:szCs w:val="24"/>
        </w:rPr>
        <w:t xml:space="preserve">703 · Nessuna dottrina non sottoscritta.</w:t>
      </w:r>
      <w:r>
        <w:rPr>
          <w:rFonts w:ascii="Barlow Semi Condensed" w:cs="Barlow Semi Condensed" w:eastAsia="Barlow Semi Condensed" w:hAnsi="Barlow Semi Condensed"/>
          <w:sz w:val="24"/>
          <w:szCs w:val="24"/>
        </w:rPr>
        <w:t xml:space="preserve"> Il divieto che governa la serie è semplice e non ammette eccezioni operative: a una persona vivente non si attribuisce una dottrina che non abbia sottoscritto per iscritto o dichiarato pubblicamente in forma verificabile. Non basta che l'abbia finanziata, non basta che l'abbia frequentata, non basta che i suoi atti le somiglino. Serve un testo suo. In mancanza, si scrive che il testo manca, e ci si ferma.</w:t>
      </w:r>
    </w:p>
    <w:p>
      <w:pPr>
        <w:spacing w:after="120" w:line="276"/>
        <w:jc w:val="both"/>
      </w:pPr>
      <w:r>
        <w:rPr>
          <w:rFonts w:ascii="Barlow Semi Condensed" w:cs="Barlow Semi Condensed" w:eastAsia="Barlow Semi Condensed" w:hAnsi="Barlow Semi Condensed"/>
          <w:b/>
          <w:bCs/>
          <w:sz w:val="24"/>
          <w:szCs w:val="24"/>
        </w:rPr>
        <w:t xml:space="preserve">704 · «Tecnocrazia» comune e Technocracy Inc.</w:t>
      </w:r>
      <w:r>
        <w:rPr>
          <w:rFonts w:ascii="Barlow Semi Condensed" w:cs="Barlow Semi Condensed" w:eastAsia="Barlow Semi Condensed" w:hAnsi="Barlow Semi Condensed"/>
          <w:sz w:val="24"/>
          <w:szCs w:val="24"/>
        </w:rPr>
        <w:t xml:space="preserve"> Nella lingua corrente tecnocrazia indica il governo degli esperti e il primato della competenza sulla rappresentanza. Technocracy Incorporated indicava altro: abolizione del sistema dei prezzi, sostituzione della moneta con unità di energia, governo continentale affidato a una gerarchia funzionale. Le due cose portano lo stesso nome e non sono la stessa cosa. Ogni ragionamento che scivoli dall'una all'altra è già viziato in partenza, prima ancora di produrre prove.</w:t>
      </w:r>
    </w:p>
    <w:p>
      <w:pPr>
        <w:spacing w:after="120" w:line="276"/>
        <w:jc w:val="both"/>
      </w:pPr>
      <w:r>
        <w:rPr>
          <w:rFonts w:ascii="Barlow Semi Condensed" w:cs="Barlow Semi Condensed" w:eastAsia="Barlow Semi Condensed" w:hAnsi="Barlow Semi Condensed"/>
          <w:b/>
          <w:bCs/>
          <w:sz w:val="24"/>
          <w:szCs w:val="24"/>
        </w:rPr>
        <w:t xml:space="preserve">705 · La ripetizione non è riscontro.</w:t>
      </w:r>
      <w:r>
        <w:rPr>
          <w:rFonts w:ascii="Barlow Semi Condensed" w:cs="Barlow Semi Condensed" w:eastAsia="Barlow Semi Condensed" w:hAnsi="Barlow Semi Condensed"/>
          <w:sz w:val="24"/>
          <w:szCs w:val="24"/>
        </w:rPr>
        <w:t xml:space="preserve"> Su questa materia decine di siti militanti, d'accusa e di difesa, ripetono formulazioni identiche senza aggiungere un documento. La coincidenza fra loro non è convergenza indipendente: è copiatura. Prima di contare una fonte occorre stabilire se abbia una fonte propria o soltanto un antecedente. Il criterio è già fissato nel repertorio di guevara-bibliografia-critica.md, con il suo elenco di trasparenza delle fonti deboli sostituite.</w:t>
      </w:r>
    </w:p>
    <w:p>
      <w:pPr>
        <w:spacing w:after="120" w:line="276"/>
        <w:jc w:val="both"/>
      </w:pPr>
      <w:r>
        <w:rPr>
          <w:rFonts w:ascii="Barlow Semi Condensed" w:cs="Barlow Semi Condensed" w:eastAsia="Barlow Semi Condensed" w:hAnsi="Barlow Semi Condensed"/>
          <w:b/>
          <w:bCs/>
          <w:sz w:val="24"/>
          <w:szCs w:val="24"/>
        </w:rPr>
        <w:t xml:space="preserve">706 · Il divieto sulle due fonti.</w:t>
      </w:r>
      <w:r>
        <w:rPr>
          <w:rFonts w:ascii="Barlow Semi Condensed" w:cs="Barlow Semi Condensed" w:eastAsia="Barlow Semi Condensed" w:hAnsi="Barlow Semi Condensed"/>
          <w:sz w:val="24"/>
          <w:szCs w:val="24"/>
        </w:rPr>
        <w:t xml:space="preserve"> Il committente ha escluso due sorgenti: un quotidiano italiano e un'enciclopedia generata automaticamente. Il divieto si registra e non si aggira citando chi le cita. La seconda, su questa materia, è per giunta parte in causa, essendo prodotta dentro l'ecosistema societario di uno dei soggetti nominati: un'enciclopedia che descrive il proprio proprietario non è fonte terza. Il fatto del divieto è citabile; il contenuto delle due fonti no.</w:t>
      </w:r>
    </w:p>
    <w:p>
      <w:pPr>
        <w:spacing w:after="120" w:line="276"/>
        <w:jc w:val="both"/>
      </w:pPr>
      <w:r>
        <w:rPr>
          <w:rFonts w:ascii="Barlow Semi Condensed" w:cs="Barlow Semi Condensed" w:eastAsia="Barlow Semi Condensed" w:hAnsi="Barlow Semi Condensed"/>
          <w:b/>
          <w:bCs/>
          <w:sz w:val="24"/>
          <w:szCs w:val="24"/>
        </w:rPr>
        <w:t xml:space="preserve">707 · L'atto del 1933.</w:t>
      </w:r>
      <w:r>
        <w:rPr>
          <w:rFonts w:ascii="Barlow Semi Condensed" w:cs="Barlow Semi Condensed" w:eastAsia="Barlow Semi Condensed" w:hAnsi="Barlow Semi Condensed"/>
          <w:sz w:val="24"/>
          <w:szCs w:val="24"/>
        </w:rPr>
        <w:t xml:space="preserve"> Technocracy Incorporated fu costituita nello Stato di New York nel 1933, con Howard Scott alla direzione. È un ente con un atto, uno statuto e una sede, e in questo differisce dalla «PayPal Mafia», che è una categoria giornalistica del novembre 2007 e non un soggetto. La verifica documentale spetta al registro societario dello Stato di New York, Department of State, Division of Corporations, ad Albany.</w:t>
      </w:r>
    </w:p>
    <w:p>
      <w:pPr>
        <w:spacing w:after="120" w:line="276"/>
        <w:jc w:val="both"/>
      </w:pPr>
      <w:r>
        <w:rPr>
          <w:rFonts w:ascii="Barlow Semi Condensed" w:cs="Barlow Semi Condensed" w:eastAsia="Barlow Semi Condensed" w:hAnsi="Barlow Semi Condensed"/>
          <w:b/>
          <w:bCs/>
          <w:sz w:val="24"/>
          <w:szCs w:val="24"/>
        </w:rPr>
        <w:t xml:space="preserve">708 · La Technical Alliance e i suoi nomi.</w:t>
      </w:r>
      <w:r>
        <w:rPr>
          <w:rFonts w:ascii="Barlow Semi Condensed" w:cs="Barlow Semi Condensed" w:eastAsia="Barlow Semi Condensed" w:hAnsi="Barlow Semi Condensed"/>
          <w:sz w:val="24"/>
          <w:szCs w:val="24"/>
        </w:rPr>
        <w:t xml:space="preserve"> Prima dell'ente ci fu un gruppo di studio newyorkese, la Technical Alliance, attivo attorno al 1919-1921, che censiva il consumo energetico dell'industria americana. Vi gravitarono ingegneri, economisti e statistici; l'adesione di alcuni fu brevissima e va misurata sui documenti, non sulle liste retrospettive. Chi voglia stabilire chi ne fece davvero parte chieda le carte alla Rare Book and Manuscript Library della Columbia University.</w:t>
      </w:r>
    </w:p>
    <w:p>
      <w:pPr>
        <w:spacing w:after="120" w:line="276"/>
        <w:jc w:val="both"/>
      </w:pPr>
      <w:r>
        <w:rPr>
          <w:rFonts w:ascii="Barlow Semi Condensed" w:cs="Barlow Semi Condensed" w:eastAsia="Barlow Semi Condensed" w:hAnsi="Barlow Semi Condensed"/>
          <w:b/>
          <w:bCs/>
          <w:sz w:val="24"/>
          <w:szCs w:val="24"/>
        </w:rPr>
        <w:t xml:space="preserve">709 · Veblen 1921, il testo antenato.</w:t>
      </w:r>
      <w:r>
        <w:rPr>
          <w:rFonts w:ascii="Barlow Semi Condensed" w:cs="Barlow Semi Condensed" w:eastAsia="Barlow Semi Condensed" w:hAnsi="Barlow Semi Condensed"/>
          <w:sz w:val="24"/>
          <w:szCs w:val="24"/>
        </w:rPr>
        <w:t xml:space="preserve"> «The Engineers and the Price System» di Thorstein Veblen, pubblicato nel 1921, è il testo che l'intera vulgata indica come antenato del movimento tecnocratico. È un libro firmato, datato e reperibile: chi voglia verificare la discendenza lo confronti con il corso di studi del 1934 e cerchi la citazione esplicita. L'assenza della citazione smentisce la filiazione per pagina e lascia in piedi soltanto l'affinità.</w:t>
      </w:r>
    </w:p>
    <w:p>
      <w:pPr>
        <w:spacing w:after="120" w:line="276"/>
        <w:jc w:val="both"/>
      </w:pPr>
      <w:r>
        <w:rPr>
          <w:rFonts w:ascii="Barlow Semi Condensed" w:cs="Barlow Semi Condensed" w:eastAsia="Barlow Semi Condensed" w:hAnsi="Barlow Semi Condensed"/>
          <w:b/>
          <w:bCs/>
          <w:sz w:val="24"/>
          <w:szCs w:val="24"/>
        </w:rPr>
        <w:t xml:space="preserve">710 · Il comitato della Columbia.</w:t>
      </w:r>
      <w:r>
        <w:rPr>
          <w:rFonts w:ascii="Barlow Semi Condensed" w:cs="Barlow Semi Condensed" w:eastAsia="Barlow Semi Condensed" w:hAnsi="Barlow Semi Condensed"/>
          <w:sz w:val="24"/>
          <w:szCs w:val="24"/>
        </w:rPr>
        <w:t xml:space="preserve"> Nel 1932 un comitato di studio sulla tecnocrazia operò alla Columbia University, ospitato dal dipartimento di ingegneria industriale, e la sua breve vita accademica precede e prepara la costituzione dell'ente dell'anno seguente. La rottura fra la sede universitaria e il gruppo di Scott è il primo scisma della materia. Le carte del dipartimento e del rettorato, negli University Archives della Columbia, sono la sede che lo documenta.</w:t>
      </w:r>
    </w:p>
    <w:p>
      <w:pPr>
        <w:spacing w:after="120" w:line="276"/>
        <w:jc w:val="both"/>
      </w:pPr>
      <w:r>
        <w:rPr>
          <w:rFonts w:ascii="Barlow Semi Condensed" w:cs="Barlow Semi Condensed" w:eastAsia="Barlow Semi Condensed" w:hAnsi="Barlow Semi Condensed"/>
          <w:b/>
          <w:bCs/>
          <w:sz w:val="24"/>
          <w:szCs w:val="24"/>
        </w:rPr>
        <w:t xml:space="preserve">711 · Lo Study Course del 1934.</w:t>
      </w:r>
      <w:r>
        <w:rPr>
          <w:rFonts w:ascii="Barlow Semi Condensed" w:cs="Barlow Semi Condensed" w:eastAsia="Barlow Semi Condensed" w:hAnsi="Barlow Semi Condensed"/>
          <w:sz w:val="24"/>
          <w:szCs w:val="24"/>
        </w:rPr>
        <w:t xml:space="preserve"> Il «Technocracy Study Course», stampato nel 1934, è il documento dottrinale principale dell'ente: espone l'analisi energetica, la critica al sistema dei prezzi e l'architettura del governo funzionale. È il testo su cui condurre ogni verifica di filiazione, perché è l'unico che l'organizzazione riconobbe come proprio corpo di dottrina. Esemplari nelle biblioteche di deposito nordamericane; la copia da citare va identificata con edizione, anno e tiratura.</w:t>
      </w:r>
    </w:p>
    <w:p>
      <w:pPr>
        <w:spacing w:after="120" w:line="276"/>
        <w:jc w:val="both"/>
      </w:pPr>
      <w:r>
        <w:rPr>
          <w:rFonts w:ascii="Barlow Semi Condensed" w:cs="Barlow Semi Condensed" w:eastAsia="Barlow Semi Condensed" w:hAnsi="Barlow Semi Condensed"/>
          <w:b/>
          <w:bCs/>
          <w:sz w:val="24"/>
          <w:szCs w:val="24"/>
        </w:rPr>
        <w:t xml:space="preserve">712 · I certificati d'energia.</w:t>
      </w:r>
      <w:r>
        <w:rPr>
          <w:rFonts w:ascii="Barlow Semi Condensed" w:cs="Barlow Semi Condensed" w:eastAsia="Barlow Semi Condensed" w:hAnsi="Barlow Semi Condensed"/>
          <w:sz w:val="24"/>
          <w:szCs w:val="24"/>
        </w:rPr>
        <w:t xml:space="preserve"> Il cuore operativo della dottrina era la sostituzione del denaro con certificati d'energia non trasferibili, emessi in ragione della produzione complessiva e annullati con la spesa. Ciò significa: nessun risparmio, nessun interesse, nessun capitale, nessuna eredità patrimoniale. Chi voglia collegare questa dottrina all'industria del capitale di rischio deve spiegare come sopravviva il capitale dentro un sistema che lo abolisce per statuto.</w:t>
      </w:r>
    </w:p>
    <w:p>
      <w:pPr>
        <w:spacing w:after="120" w:line="276"/>
        <w:jc w:val="both"/>
      </w:pPr>
      <w:r>
        <w:rPr>
          <w:rFonts w:ascii="Barlow Semi Condensed" w:cs="Barlow Semi Condensed" w:eastAsia="Barlow Semi Condensed" w:hAnsi="Barlow Semi Condensed"/>
          <w:b/>
          <w:bCs/>
          <w:sz w:val="24"/>
          <w:szCs w:val="24"/>
        </w:rPr>
        <w:t xml:space="preserve">713 · Il Technate del Nord America.</w:t>
      </w:r>
      <w:r>
        <w:rPr>
          <w:rFonts w:ascii="Barlow Semi Condensed" w:cs="Barlow Semi Condensed" w:eastAsia="Barlow Semi Condensed" w:hAnsi="Barlow Semi Condensed"/>
          <w:sz w:val="24"/>
          <w:szCs w:val="24"/>
        </w:rPr>
        <w:t xml:space="preserve"> Il progetto politico era un'unità continentale amministrata per funzioni tecniche e non per rappresentanza territoriale, con abolizione dei confini nazionali interni. Il piano non fu mai attuato in alcun luogo. Registrare che una dottrina non ha mai avuto esecuzione è parte dell'accertamento e non un dettaglio: la storia delle idee non attuate si scrive con i testi, non con gli effetti che non ci sono stati.</w:t>
      </w:r>
    </w:p>
    <w:p>
      <w:pPr>
        <w:spacing w:after="120" w:line="276"/>
        <w:jc w:val="both"/>
      </w:pPr>
      <w:r>
        <w:rPr>
          <w:rFonts w:ascii="Barlow Semi Condensed" w:cs="Barlow Semi Condensed" w:eastAsia="Barlow Semi Condensed" w:hAnsi="Barlow Semi Condensed"/>
          <w:b/>
          <w:bCs/>
          <w:sz w:val="24"/>
          <w:szCs w:val="24"/>
        </w:rPr>
        <w:t xml:space="preserve">714 · L'uscita e lo sviluppo separato.</w:t>
      </w:r>
      <w:r>
        <w:rPr>
          <w:rFonts w:ascii="Barlow Semi Condensed" w:cs="Barlow Semi Condensed" w:eastAsia="Barlow Semi Condensed" w:hAnsi="Barlow Semi Condensed"/>
          <w:sz w:val="24"/>
          <w:szCs w:val="24"/>
        </w:rPr>
        <w:t xml:space="preserve"> Si sostiene talvolta che le dottrine dell'uscita discendano dallo sviluppo separato teorizzato a Pretoria; è la tesi più delicata dell'opera e va trattata come bersaglio di smentita. Il test è unico: una citazione. Si cerchi, nei testi firmati che predicano l'uscita, il nome di Verwoerd, la relazione della commissione del 1955, il lessico dello sviluppo separato. Se non compaiono, resta analogia e va abbandonata come filiazione.</w:t>
      </w:r>
    </w:p>
    <w:p>
      <w:pPr>
        <w:spacing w:after="120" w:line="276"/>
        <w:jc w:val="both"/>
      </w:pPr>
      <w:r>
        <w:rPr>
          <w:rFonts w:ascii="Barlow Semi Condensed" w:cs="Barlow Semi Condensed" w:eastAsia="Barlow Semi Condensed" w:hAnsi="Barlow Semi Condensed"/>
          <w:b/>
          <w:bCs/>
          <w:sz w:val="24"/>
          <w:szCs w:val="24"/>
        </w:rPr>
        <w:t xml:space="preserve">715 · Loeb e la scissione.</w:t>
      </w:r>
      <w:r>
        <w:rPr>
          <w:rFonts w:ascii="Barlow Semi Condensed" w:cs="Barlow Semi Condensed" w:eastAsia="Barlow Semi Condensed" w:hAnsi="Barlow Semi Condensed"/>
          <w:sz w:val="24"/>
          <w:szCs w:val="24"/>
        </w:rPr>
        <w:t xml:space="preserve"> Il movimento si divise già nel 1933: una parte seguì Howard Scott dentro Technocracy Incorporated, un'altra si organizzò separatamente attorno a Harold Loeb, autore nello stesso anno di «Life in a Technocracy». Le due formazioni non hanno la medesima dottrina né la medesima storia. Attribuire a «la tecnocrazia» ciò che appartiene a uno dei due tronconi è un errore di identificazione, non una sfumatura.</w:t>
      </w:r>
    </w:p>
    <w:p>
      <w:pPr>
        <w:spacing w:after="120" w:line="276"/>
        <w:jc w:val="both"/>
      </w:pPr>
      <w:r>
        <w:rPr>
          <w:rFonts w:ascii="Barlow Semi Condensed" w:cs="Barlow Semi Condensed" w:eastAsia="Barlow Semi Condensed" w:hAnsi="Barlow Semi Condensed"/>
          <w:b/>
          <w:bCs/>
          <w:sz w:val="24"/>
          <w:szCs w:val="24"/>
        </w:rPr>
        <w:t xml:space="preserve">716 · Il divieto canadese del 1940.</w:t>
      </w:r>
      <w:r>
        <w:rPr>
          <w:rFonts w:ascii="Barlow Semi Condensed" w:cs="Barlow Semi Condensed" w:eastAsia="Barlow Semi Condensed" w:hAnsi="Barlow Semi Condensed"/>
          <w:sz w:val="24"/>
          <w:szCs w:val="24"/>
        </w:rPr>
        <w:t xml:space="preserve"> Nel 1940 il governo canadese incluse Technocracy Incorporated fra le organizzazioni illegali ai sensi dei Defence of Canada Regulations, in tempo di guerra. Il provvedimento riguarda l'ente, non le singole persone, e non equivale ad accertamento di reato individuale per chiunque vi fosse iscritto. La distinzione è quella che il corpus tiene fra appartenenza e condotta, e va tenuta ferma qui più che altrove.</w:t>
      </w:r>
    </w:p>
    <w:p>
      <w:pPr>
        <w:spacing w:after="120" w:line="276"/>
        <w:jc w:val="both"/>
      </w:pPr>
      <w:r>
        <w:rPr>
          <w:rFonts w:ascii="Barlow Semi Condensed" w:cs="Barlow Semi Condensed" w:eastAsia="Barlow Semi Condensed" w:hAnsi="Barlow Semi Condensed"/>
          <w:b/>
          <w:bCs/>
          <w:sz w:val="24"/>
          <w:szCs w:val="24"/>
        </w:rPr>
        <w:t xml:space="preserve">717 · La revoca e la divergenza sulle date.</w:t>
      </w:r>
      <w:r>
        <w:rPr>
          <w:rFonts w:ascii="Barlow Semi Condensed" w:cs="Barlow Semi Condensed" w:eastAsia="Barlow Semi Condensed" w:hAnsi="Barlow Semi Condensed"/>
          <w:sz w:val="24"/>
          <w:szCs w:val="24"/>
        </w:rPr>
        <w:t xml:space="preserve"> La messa al bando fu revocata nel corso della guerra, quando l'organizzazione mutò posizione sullo sforzo bellico. Le date esatte dell'inclusione e della cancellazione circolano in versioni non perfettamente coincidenti nella letteratura secondaria. La divergenza si riporta e non si scioglie a preferenza: si chiude leggendo il testo degli ordini in consiglio, pubblicati nella Canada Gazette, che è raccolta ufficiale e integralmente consultabile.</w:t>
      </w:r>
    </w:p>
    <w:p>
      <w:pPr>
        <w:spacing w:after="120" w:line="276"/>
        <w:jc w:val="both"/>
      </w:pPr>
      <w:r>
        <w:rPr>
          <w:rFonts w:ascii="Barlow Semi Condensed" w:cs="Barlow Semi Condensed" w:eastAsia="Barlow Semi Condensed" w:hAnsi="Barlow Semi Condensed"/>
          <w:b/>
          <w:bCs/>
          <w:sz w:val="24"/>
          <w:szCs w:val="24"/>
        </w:rPr>
        <w:t xml:space="preserve">718 · Dove si chiede a Ottawa.</w:t>
      </w:r>
      <w:r>
        <w:rPr>
          <w:rFonts w:ascii="Barlow Semi Condensed" w:cs="Barlow Semi Condensed" w:eastAsia="Barlow Semi Condensed" w:hAnsi="Barlow Semi Condensed"/>
          <w:sz w:val="24"/>
          <w:szCs w:val="24"/>
        </w:rPr>
        <w:t xml:space="preserve"> La sede che chiude l'intero capitolo canadese è Library and Archives Canada, a Ottawa: i fondi del Ministero della Giustizia e quelli della Royal Canadian Mounted Police, per gli anni 1939-1945, contengono i fascicoli sulle organizzazioni dichiarate illegali e le pratiche individuali connesse. La richiesta va formulata per serie e per anno, non per nome soltanto, perché l'indicizzazione nominativa di quegli anni è parziale.</w:t>
      </w:r>
    </w:p>
    <w:p>
      <w:pPr>
        <w:spacing w:after="120" w:line="276"/>
        <w:jc w:val="both"/>
      </w:pPr>
      <w:r>
        <w:rPr>
          <w:rFonts w:ascii="Barlow Semi Condensed" w:cs="Barlow Semi Condensed" w:eastAsia="Barlow Semi Condensed" w:hAnsi="Barlow Semi Condensed"/>
          <w:b/>
          <w:bCs/>
          <w:sz w:val="24"/>
          <w:szCs w:val="24"/>
        </w:rPr>
        <w:t xml:space="preserve">719 · Il fascicolo federale americano.</w:t>
      </w:r>
      <w:r>
        <w:rPr>
          <w:rFonts w:ascii="Barlow Semi Condensed" w:cs="Barlow Semi Condensed" w:eastAsia="Barlow Semi Condensed" w:hAnsi="Barlow Semi Condensed"/>
          <w:sz w:val="24"/>
          <w:szCs w:val="24"/>
        </w:rPr>
        <w:t xml:space="preserve"> Negli Stati Uniti il movimento fu oggetto di attenzione investigativa federale negli anni Trenta e Quaranta. Il fascicolo, se esiste nella misura che la letteratura suppone, si ottiene per richiesta di accesso agli atti all'ufficio federale competente e, per la parte versata, ai National Archives di College Park. Finché la richiesta non è depositata e l'esito non è noto, la questione resta aperta e va scritta come aperta.</w:t>
      </w:r>
    </w:p>
    <w:p>
      <w:pPr>
        <w:spacing w:after="120" w:line="276"/>
        <w:jc w:val="both"/>
      </w:pPr>
      <w:r>
        <w:rPr>
          <w:rFonts w:ascii="Barlow Semi Condensed" w:cs="Barlow Semi Condensed" w:eastAsia="Barlow Semi Condensed" w:hAnsi="Barlow Semi Condensed"/>
          <w:b/>
          <w:bCs/>
          <w:sz w:val="24"/>
          <w:szCs w:val="24"/>
        </w:rPr>
        <w:t xml:space="preserve">720 · I periodici e le biblioteche di deposito.</w:t>
      </w:r>
      <w:r>
        <w:rPr>
          <w:rFonts w:ascii="Barlow Semi Condensed" w:cs="Barlow Semi Condensed" w:eastAsia="Barlow Semi Condensed" w:hAnsi="Barlow Semi Condensed"/>
          <w:sz w:val="24"/>
          <w:szCs w:val="24"/>
        </w:rPr>
        <w:t xml:space="preserve"> Periodici propri furono pubblicati per decenni, negli Stati Uniti e in Canada. Sono la fonte migliore per datare i mutamenti di linea, perché registrano la dottrina mentre cambia e non dopo. Le collezioni si cercano nei cataloghi collettivi nordamericani e nelle biblioteche di deposito legale dei due Paesi. Una tesi sulla dottrina che non abbia consultato l'organo dell'ente è, per costruzione, una tesi di seconda mano.</w:t>
      </w:r>
    </w:p>
    <w:p>
      <w:pPr>
        <w:spacing w:after="120" w:line="276"/>
        <w:jc w:val="both"/>
      </w:pPr>
      <w:r>
        <w:rPr>
          <w:rFonts w:ascii="Barlow Semi Condensed" w:cs="Barlow Semi Condensed" w:eastAsia="Barlow Semi Condensed" w:hAnsi="Barlow Semi Condensed"/>
          <w:b/>
          <w:bCs/>
          <w:sz w:val="24"/>
          <w:szCs w:val="24"/>
        </w:rPr>
        <w:t xml:space="preserve">721 · Saint-Simon è citato o no.</w:t>
      </w:r>
      <w:r>
        <w:rPr>
          <w:rFonts w:ascii="Barlow Semi Condensed" w:cs="Barlow Semi Condensed" w:eastAsia="Barlow Semi Condensed" w:hAnsi="Barlow Semi Condensed"/>
          <w:sz w:val="24"/>
          <w:szCs w:val="24"/>
        </w:rPr>
        <w:t xml:space="preserve"> Bersaglio di smentita, eseguibile in un pomeriggio. La vulgata fa discendere la tecnocrazia novecentesca dal sansimonismo francese dell'Ottocento. Si apra il corso di studi del 1934 e si cerchi il nome di Saint-Simon, o di Comte, o della tradizione politecnica francese. Se non compaiono in nessuna pagina, la discendenza non è provata e resta analogia: due dottrine nate in ambienti industriali diversi che convergono senza toccarsi.</w:t>
      </w:r>
    </w:p>
    <w:p>
      <w:pPr>
        <w:spacing w:after="120" w:line="276"/>
        <w:jc w:val="both"/>
      </w:pPr>
      <w:r>
        <w:rPr>
          <w:rFonts w:ascii="Barlow Semi Condensed" w:cs="Barlow Semi Condensed" w:eastAsia="Barlow Semi Condensed" w:hAnsi="Barlow Semi Condensed"/>
          <w:b/>
          <w:bCs/>
          <w:sz w:val="24"/>
          <w:szCs w:val="24"/>
        </w:rPr>
        <w:t xml:space="preserve">722 · L'antimercato che spezza l'albero.</w:t>
      </w:r>
      <w:r>
        <w:rPr>
          <w:rFonts w:ascii="Barlow Semi Condensed" w:cs="Barlow Semi Condensed" w:eastAsia="Barlow Semi Condensed" w:hAnsi="Barlow Semi Condensed"/>
          <w:sz w:val="24"/>
          <w:szCs w:val="24"/>
        </w:rPr>
        <w:t xml:space="preserve"> Se la dottrina di Technocracy Incorporated abolisce prezzo, moneta, interesse e proprietà del capitale, ogni genealogia che la faccia sfociare nell'industria americana del capitale di rischio è falsificata sul contenuto e non sul dettaglio. Per reggere, quella genealogia dovrebbe esibire un testo in cui qualcuno rivendichi la dottrina e ne rovesci l'assunto economico. Nessun testo simile è stato prodotto finora: è il bersaglio di smentita centrale della serie.</w:t>
      </w:r>
    </w:p>
    <w:p>
      <w:pPr>
        <w:spacing w:after="120" w:line="276"/>
        <w:jc w:val="both"/>
      </w:pPr>
      <w:r>
        <w:rPr>
          <w:rFonts w:ascii="Barlow Semi Condensed" w:cs="Barlow Semi Condensed" w:eastAsia="Barlow Semi Condensed" w:hAnsi="Barlow Semi Condensed"/>
          <w:b/>
          <w:bCs/>
          <w:sz w:val="24"/>
          <w:szCs w:val="24"/>
        </w:rPr>
        <w:t xml:space="preserve">723 · Nessun capitale di rischio nel Technate.</w:t>
      </w:r>
      <w:r>
        <w:rPr>
          <w:rFonts w:ascii="Barlow Semi Condensed" w:cs="Barlow Semi Condensed" w:eastAsia="Barlow Semi Condensed" w:hAnsi="Barlow Semi Condensed"/>
          <w:sz w:val="24"/>
          <w:szCs w:val="24"/>
        </w:rPr>
        <w:t xml:space="preserve"> Nel piano del Technate non esistono investitori, quote societarie, mercati azionari né rendimenti. Chi sostiene la continuità fra quel piano e i fondi della valle californiana deve indicare quale parte del piano sopravviva e per mano di chi. Se la risposta è «l'atteggiamento», allora si parla di stile e non di dottrina, e lo si deve scrivere con questa parola. La domanda senza risposta vale come smentita.</w:t>
      </w:r>
    </w:p>
    <w:p>
      <w:pPr>
        <w:spacing w:after="120" w:line="276"/>
        <w:jc w:val="both"/>
      </w:pPr>
      <w:r>
        <w:rPr>
          <w:rFonts w:ascii="Barlow Semi Condensed" w:cs="Barlow Semi Condensed" w:eastAsia="Barlow Semi Condensed" w:hAnsi="Barlow Semi Condensed"/>
          <w:b/>
          <w:bCs/>
          <w:sz w:val="24"/>
          <w:szCs w:val="24"/>
        </w:rPr>
        <w:t xml:space="preserve">724 · Ogni dottrina va datata.</w:t>
      </w:r>
      <w:r>
        <w:rPr>
          <w:rFonts w:ascii="Barlow Semi Condensed" w:cs="Barlow Semi Condensed" w:eastAsia="Barlow Semi Condensed" w:hAnsi="Barlow Semi Condensed"/>
          <w:sz w:val="24"/>
          <w:szCs w:val="24"/>
        </w:rPr>
        <w:t xml:space="preserve"> Un'organizzazione che dura decenni non ha una dottrina sola: ha una dottrina del 1933, una del 1940, una del dopoguerra. Attribuire a un iscritto degli anni Quaranta le posizioni pubblicate negli anni Trenta, o viceversa, è un errore di datazione che produce attribuzioni false. La regola operativa è una: si cita il testo vigente nell'anno in cui il soggetto vi appartenne, e si indica quell'anno accanto alla citazione.</w:t>
      </w:r>
    </w:p>
    <w:p>
      <w:pPr>
        <w:spacing w:after="120" w:line="276"/>
        <w:jc w:val="both"/>
      </w:pPr>
      <w:r>
        <w:rPr>
          <w:rFonts w:ascii="Barlow Semi Condensed" w:cs="Barlow Semi Condensed" w:eastAsia="Barlow Semi Condensed" w:hAnsi="Barlow Semi Condensed"/>
          <w:b/>
          <w:bCs/>
          <w:sz w:val="24"/>
          <w:szCs w:val="24"/>
        </w:rPr>
        <w:t xml:space="preserve">725 · Haldeman: i dati d'anagrafe.</w:t>
      </w:r>
      <w:r>
        <w:rPr>
          <w:rFonts w:ascii="Barlow Semi Condensed" w:cs="Barlow Semi Condensed" w:eastAsia="Barlow Semi Condensed" w:hAnsi="Barlow Semi Condensed"/>
          <w:sz w:val="24"/>
          <w:szCs w:val="24"/>
        </w:rPr>
        <w:t xml:space="preserve"> Joshua Norman Haldeman, 1902-1974, canadese, chiropratico, aviatore, nonno materno di Elon Musk, emigrò in Sud Africa nel 1950. Sono fatti pubblici e verificabili in registri civili e in atti d'immigrazione. Il corpus li assume come dati anagrafici e non ne ricava nulla di dottrinale: la biografia serve qui a fissare che l'oggetto della serie è una persona documentata e non una figura evocata.</w:t>
      </w:r>
    </w:p>
    <w:p>
      <w:pPr>
        <w:spacing w:after="120" w:line="276"/>
        <w:jc w:val="both"/>
      </w:pPr>
      <w:r>
        <w:rPr>
          <w:rFonts w:ascii="Barlow Semi Condensed" w:cs="Barlow Semi Condensed" w:eastAsia="Barlow Semi Condensed" w:hAnsi="Barlow Semi Condensed"/>
          <w:b/>
          <w:bCs/>
          <w:sz w:val="24"/>
          <w:szCs w:val="24"/>
        </w:rPr>
        <w:t xml:space="preserve">726 · Il ruolo canadese e la sua prova.</w:t>
      </w:r>
      <w:r>
        <w:rPr>
          <w:rFonts w:ascii="Barlow Semi Condensed" w:cs="Barlow Semi Condensed" w:eastAsia="Barlow Semi Condensed" w:hAnsi="Barlow Semi Condensed"/>
          <w:sz w:val="24"/>
          <w:szCs w:val="24"/>
        </w:rPr>
        <w:t xml:space="preserve"> Che Haldeman ricoprisse una funzione dirigente nel movimento tecnocratico canadese è riferito dall'inchiesta della CBC, che è fonte citabile. La conferma di primo grado sta altrove: negli atti interni dell'organizzazione, nei periodici che ne pubblicavano gli organigrammi, e nei fascicoli conservati a Ottawa. Chi voglia elevare il dato al piano uno deve produrre l'atto che lo nomina, con data e con carica.</w:t>
      </w:r>
    </w:p>
    <w:p>
      <w:pPr>
        <w:spacing w:after="120" w:line="276"/>
        <w:jc w:val="both"/>
      </w:pPr>
      <w:r>
        <w:rPr>
          <w:rFonts w:ascii="Barlow Semi Condensed" w:cs="Barlow Semi Condensed" w:eastAsia="Barlow Semi Condensed" w:hAnsi="Barlow Semi Condensed"/>
          <w:b/>
          <w:bCs/>
          <w:sz w:val="24"/>
          <w:szCs w:val="24"/>
        </w:rPr>
        <w:t xml:space="preserve">727 · Social Credit, seconda appartenenza.</w:t>
      </w:r>
      <w:r>
        <w:rPr>
          <w:rFonts w:ascii="Barlow Semi Condensed" w:cs="Barlow Semi Condensed" w:eastAsia="Barlow Semi Condensed" w:hAnsi="Barlow Semi Condensed"/>
          <w:sz w:val="24"/>
          <w:szCs w:val="24"/>
        </w:rPr>
        <w:t xml:space="preserve"> La stessa biografia registra un'adesione al movimento canadese del credito sociale, corrente distinta e incompatibile con la tecnocrazia sul punto decisivo: il credito sociale riforma la moneta, la tecnocrazia la abolisce. Le due appartenenze in una vita si riportano entrambe e non si fondono: da una successione di adesioni non si estrae una dottrina risultante. Le carte del partito stanno negli archivi provinciali dell'Alberta e del Saskatchewan.</w:t>
      </w:r>
    </w:p>
    <w:p>
      <w:pPr>
        <w:spacing w:after="120" w:line="276"/>
        <w:jc w:val="both"/>
      </w:pPr>
      <w:r>
        <w:rPr>
          <w:rFonts w:ascii="Barlow Semi Condensed" w:cs="Barlow Semi Condensed" w:eastAsia="Barlow Semi Condensed" w:hAnsi="Barlow Semi Condensed"/>
          <w:b/>
          <w:bCs/>
          <w:sz w:val="24"/>
          <w:szCs w:val="24"/>
        </w:rPr>
        <w:t xml:space="preserve">728 · Una seconda cittadinanza e il suo fascicolo.</w:t>
      </w:r>
      <w:r>
        <w:rPr>
          <w:rFonts w:ascii="Barlow Semi Condensed" w:cs="Barlow Semi Condensed" w:eastAsia="Barlow Semi Condensed" w:hAnsi="Barlow Semi Condensed"/>
          <w:sz w:val="24"/>
          <w:szCs w:val="24"/>
        </w:rPr>
        <w:t xml:space="preserve"> Nel 2011 Peter Thiel ottenne la cittadinanza neozelandese per decisione ministeriale; il fascicolo relativo fu diffuso nel 2017 su richiesta di accesso agli atti e comprende la domanda e le motivazioni. È fatto pubblico, documentato e lecito. Un atto lecito non prova una dottrina: qui esistono separatamente un atto amministrativo e testi firmati sull'uscita, e collegarli richiede parole del soggetto, non una deduzione del lettore.</w:t>
      </w:r>
    </w:p>
    <w:p>
      <w:pPr>
        <w:spacing w:after="120" w:line="276"/>
        <w:jc w:val="both"/>
      </w:pPr>
      <w:r>
        <w:rPr>
          <w:rFonts w:ascii="Barlow Semi Condensed" w:cs="Barlow Semi Condensed" w:eastAsia="Barlow Semi Condensed" w:hAnsi="Barlow Semi Condensed"/>
          <w:b/>
          <w:bCs/>
          <w:sz w:val="24"/>
          <w:szCs w:val="24"/>
        </w:rPr>
        <w:t xml:space="preserve">729 · Stato Zero sui partiti nazisti.</w:t>
      </w:r>
      <w:r>
        <w:rPr>
          <w:rFonts w:ascii="Barlow Semi Condensed" w:cs="Barlow Semi Condensed" w:eastAsia="Barlow Semi Condensed" w:hAnsi="Barlow Semi Condensed"/>
          <w:sz w:val="24"/>
          <w:szCs w:val="24"/>
        </w:rPr>
        <w:t xml:space="preserve"> Ricerca condotta, esito negativo: non risulta prova documentale di appartenenza di Haldeman a partiti nazisti. Lo si scrive per intero, perché l'esito negativo è acquisizione di pieno valore e perché la voce circola. Le sue posizioni pubbliche a favore dell'apartheid e le sue espressioni razziste e antisemite sono cosa diversa, documentata dall'inchiesta della CBC, e non si convertono automaticamente in un'affiliazione partitica.</w:t>
      </w:r>
    </w:p>
    <w:p>
      <w:pPr>
        <w:spacing w:after="120" w:line="276"/>
        <w:jc w:val="both"/>
      </w:pPr>
      <w:r>
        <w:rPr>
          <w:rFonts w:ascii="Barlow Semi Condensed" w:cs="Barlow Semi Condensed" w:eastAsia="Barlow Semi Condensed" w:hAnsi="Barlow Semi Condensed"/>
          <w:b/>
          <w:bCs/>
          <w:sz w:val="24"/>
          <w:szCs w:val="24"/>
        </w:rPr>
        <w:t xml:space="preserve">730 · Come si chiuderebbe quello Stato Zero.</w:t>
      </w:r>
      <w:r>
        <w:rPr>
          <w:rFonts w:ascii="Barlow Semi Condensed" w:cs="Barlow Semi Condensed" w:eastAsia="Barlow Semi Condensed" w:hAnsi="Barlow Semi Condensed"/>
          <w:sz w:val="24"/>
          <w:szCs w:val="24"/>
        </w:rPr>
        <w:t xml:space="preserve"> La lacuna si chiuderebbe in tre sedi. Gli elenchi nominativi delle formazioni filonaziste canadesi degli anni Trenta, dove esistano e siano versati a Ottawa. I fascicoli di sorveglianza della polizia federale canadese sullo stesso periodo. Gli atti di polizia sudafricani successivi al 1950, negli archivi nazionali di Pretoria. Se in nessuna delle tre compare il nome, l'esito negativo si consolida e va dichiarato consolidato.</w:t>
      </w:r>
    </w:p>
    <w:p>
      <w:pPr>
        <w:spacing w:after="120" w:line="276"/>
        <w:jc w:val="both"/>
      </w:pPr>
      <w:r>
        <w:rPr>
          <w:rFonts w:ascii="Barlow Semi Condensed" w:cs="Barlow Semi Condensed" w:eastAsia="Barlow Semi Condensed" w:hAnsi="Barlow Semi Condensed"/>
          <w:b/>
          <w:bCs/>
          <w:sz w:val="24"/>
          <w:szCs w:val="24"/>
        </w:rPr>
        <w:t xml:space="preserve">731 · Il 1950 e i registri di Pretoria.</w:t>
      </w:r>
      <w:r>
        <w:rPr>
          <w:rFonts w:ascii="Barlow Semi Condensed" w:cs="Barlow Semi Condensed" w:eastAsia="Barlow Semi Condensed" w:hAnsi="Barlow Semi Condensed"/>
          <w:sz w:val="24"/>
          <w:szCs w:val="24"/>
        </w:rPr>
        <w:t xml:space="preserve"> L'ingresso della famiglia in Sud Africa nel 1950 lascia tracce amministrative precise: domanda di residenza permanente, permesso d'immigrazione, iscrizione all'albo professionale. La sede è il National Archives and Records Service of South Africa, a Pretoria, con le serie del Ministero dell'Interno. Il quesito è puntuale e chiudibile: data della domanda, motivazione dichiarata, referenze indicate dal richiedente. Ognuna di queste voci è un fatto, non un'opinione.</w:t>
      </w:r>
    </w:p>
    <w:p>
      <w:pPr>
        <w:spacing w:after="120" w:line="276"/>
        <w:jc w:val="both"/>
      </w:pPr>
      <w:r>
        <w:rPr>
          <w:rFonts w:ascii="Barlow Semi Condensed" w:cs="Barlow Semi Condensed" w:eastAsia="Barlow Semi Condensed" w:hAnsi="Barlow Semi Condensed"/>
          <w:b/>
          <w:bCs/>
          <w:sz w:val="24"/>
          <w:szCs w:val="24"/>
        </w:rPr>
        <w:t xml:space="preserve">732 · Gli opuscoli e il deposito legale.</w:t>
      </w:r>
      <w:r>
        <w:rPr>
          <w:rFonts w:ascii="Barlow Semi Condensed" w:cs="Barlow Semi Condensed" w:eastAsia="Barlow Semi Condensed" w:hAnsi="Barlow Semi Condensed"/>
          <w:sz w:val="24"/>
          <w:szCs w:val="24"/>
        </w:rPr>
        <w:t xml:space="preserve"> A Haldeman sono attribuiti opuscoli politici pubblicati in Sud Africa. L'identificazione bibliografica va fatta dove si fa: nel deposito legale della National Library of South Africa, sedi di Pretoria e Città del Capo, e nei cataloghi delle biblioteche universitarie sudafricane. Occorrono titolo esatto, editore, anno e luogo di stampa. Finché la scheda non è prodotta, si scrive «attribuito» e non «scritto da».</w:t>
      </w:r>
    </w:p>
    <w:p>
      <w:pPr>
        <w:spacing w:after="120" w:line="276"/>
        <w:jc w:val="both"/>
      </w:pPr>
      <w:r>
        <w:rPr>
          <w:rFonts w:ascii="Barlow Semi Condensed" w:cs="Barlow Semi Condensed" w:eastAsia="Barlow Semi Condensed" w:hAnsi="Barlow Semi Condensed"/>
          <w:b/>
          <w:bCs/>
          <w:sz w:val="24"/>
          <w:szCs w:val="24"/>
        </w:rPr>
        <w:t xml:space="preserve">733 · Attribuire un opuscolo senza frontespizio.</w:t>
      </w:r>
      <w:r>
        <w:rPr>
          <w:rFonts w:ascii="Barlow Semi Condensed" w:cs="Barlow Semi Condensed" w:eastAsia="Barlow Semi Condensed" w:hAnsi="Barlow Semi Condensed"/>
          <w:sz w:val="24"/>
          <w:szCs w:val="24"/>
        </w:rPr>
        <w:t xml:space="preserve"> Se un opuscolo circola in riproduzione senza frontespizio, senza indicazione di stampatore e senza collocazione di biblioteca, l'attribuzione al presunto autore non è verificata, per quanto il contenuto suoni coerente con lui. È bersaglio di smentita in entrambe le direzioni. Il caso delle circolari politiche pubblicate sotto il nome di un uomo politico statunitense, poi da lui disconosciute, mostra dove porta la scorciatoia.</w:t>
      </w:r>
    </w:p>
    <w:p>
      <w:pPr>
        <w:spacing w:after="120" w:line="276"/>
        <w:jc w:val="both"/>
      </w:pPr>
      <w:r>
        <w:rPr>
          <w:rFonts w:ascii="Barlow Semi Condensed" w:cs="Barlow Semi Condensed" w:eastAsia="Barlow Semi Condensed" w:hAnsi="Barlow Semi Condensed"/>
          <w:b/>
          <w:bCs/>
          <w:sz w:val="24"/>
          <w:szCs w:val="24"/>
        </w:rPr>
        <w:t xml:space="preserve">734 · Le opinioni del nonno restano sue.</w:t>
      </w:r>
      <w:r>
        <w:rPr>
          <w:rFonts w:ascii="Barlow Semi Condensed" w:cs="Barlow Semi Condensed" w:eastAsia="Barlow Semi Condensed" w:hAnsi="Barlow Semi Condensed"/>
          <w:sz w:val="24"/>
          <w:szCs w:val="24"/>
        </w:rPr>
        <w:t xml:space="preserve"> Questo è il divieto centrale dell'opera e va enunciato senza attenuazioni: le posizioni pubbliche di Joshua Haldeman appartengono a Joshua Haldeman. Non si trasferiscono al nipote, in nessun grado e per nessuna via. La regola non è cortesia: è il principio personalistico che il corpus applica in aldo-moro-una-guerra-senza-fine-fase-decima-responsabilita-personali.md, dove la colpa non è mai del gruppo né del ceppo, ma sempre della persona.</w:t>
      </w:r>
    </w:p>
    <w:p>
      <w:pPr>
        <w:spacing w:after="120" w:line="276"/>
        <w:jc w:val="both"/>
      </w:pPr>
      <w:r>
        <w:rPr>
          <w:rFonts w:ascii="Barlow Semi Condensed" w:cs="Barlow Semi Condensed" w:eastAsia="Barlow Semi Condensed" w:hAnsi="Barlow Semi Condensed"/>
          <w:b/>
          <w:bCs/>
          <w:sz w:val="24"/>
          <w:szCs w:val="24"/>
        </w:rPr>
        <w:t xml:space="preserve">735 · Nessuna rivendicazione scritta del nipote.</w:t>
      </w:r>
      <w:r>
        <w:rPr>
          <w:rFonts w:ascii="Barlow Semi Condensed" w:cs="Barlow Semi Condensed" w:eastAsia="Barlow Semi Condensed" w:hAnsi="Barlow Semi Condensed"/>
          <w:sz w:val="24"/>
          <w:szCs w:val="24"/>
        </w:rPr>
        <w:t xml:space="preserve"> Non risulta un testo firmato in cui Elon Musk rivendichi la dottrina di Technocracy Incorporated, ne citi il corso di studi o ne riconosca l'eredità. Finché quel testo non esiste, la filiazione dottrinale sta al piano tre e vi resta. Lo stato zero si scrive con la sede che lo chiuderebbe, e qui la sede è una sola: le sue parole. Chi le trovasse smentirebbe questa registrazione in un colpo.</w:t>
      </w:r>
    </w:p>
    <w:p>
      <w:pPr>
        <w:spacing w:after="120" w:line="276"/>
        <w:jc w:val="both"/>
      </w:pPr>
      <w:r>
        <w:rPr>
          <w:rFonts w:ascii="Barlow Semi Condensed" w:cs="Barlow Semi Condensed" w:eastAsia="Barlow Semi Condensed" w:hAnsi="Barlow Semi Condensed"/>
          <w:b/>
          <w:bCs/>
          <w:sz w:val="24"/>
          <w:szCs w:val="24"/>
        </w:rPr>
        <w:t xml:space="preserve">736 · Che cosa proverebbe la filiazione familiare.</w:t>
      </w:r>
      <w:r>
        <w:rPr>
          <w:rFonts w:ascii="Barlow Semi Condensed" w:cs="Barlow Semi Condensed" w:eastAsia="Barlow Semi Condensed" w:hAnsi="Barlow Semi Condensed"/>
          <w:sz w:val="24"/>
          <w:szCs w:val="24"/>
        </w:rPr>
        <w:t xml:space="preserve"> Per simmetria, il bersaglio si rovescia. Proverebbero la filiazione: una dichiarazione scritta del nipote che nomini l'organizzazione del nonno come propria fonte; una biblioteca familiare con esemplari annotati e trasmessi; una corrispondenza in cui la dottrina sia discussa fra i due rami. In loro assenza il legame resta di parentela, e la parentela non è una dottrina: le due cose condividono un cognome e nient'altro.</w:t>
      </w:r>
    </w:p>
    <w:p>
      <w:pPr>
        <w:spacing w:after="120" w:line="276"/>
        <w:jc w:val="both"/>
      </w:pPr>
      <w:r>
        <w:rPr>
          <w:rFonts w:ascii="Barlow Semi Condensed" w:cs="Barlow Semi Condensed" w:eastAsia="Barlow Semi Condensed" w:hAnsi="Barlow Semi Condensed"/>
          <w:b/>
          <w:bCs/>
          <w:sz w:val="24"/>
          <w:szCs w:val="24"/>
        </w:rPr>
        <w:t xml:space="preserve">737 · Il libertarismo come arcipelago.</w:t>
      </w:r>
      <w:r>
        <w:rPr>
          <w:rFonts w:ascii="Barlow Semi Condensed" w:cs="Barlow Semi Condensed" w:eastAsia="Barlow Semi Condensed" w:hAnsi="Barlow Semi Condensed"/>
          <w:sz w:val="24"/>
          <w:szCs w:val="24"/>
        </w:rPr>
        <w:t xml:space="preserve"> Il libertarismo statunitense non è una dottrina ma un arcipelago di correnti che si combattono: la scuola austriaca sul calcolo economico, l'oggettivismo randiano che rifiutava l'etichetta, il minarchismo accademico, l'anarco-capitalismo, il filone paleo degli anni Novanta. Attribuire a un soggetto «il libertarismo» significa non aver scelto l'isola. La domanda corretta è sempre: quale corrente, in quale anno, per quale testo firmato.</w:t>
      </w:r>
    </w:p>
    <w:p>
      <w:pPr>
        <w:spacing w:after="120" w:line="276"/>
        <w:jc w:val="both"/>
      </w:pPr>
      <w:r>
        <w:rPr>
          <w:rFonts w:ascii="Barlow Semi Condensed" w:cs="Barlow Semi Condensed" w:eastAsia="Barlow Semi Condensed" w:hAnsi="Barlow Semi Condensed"/>
          <w:b/>
          <w:bCs/>
          <w:sz w:val="24"/>
          <w:szCs w:val="24"/>
        </w:rPr>
        <w:t xml:space="preserve">738 · Mont Pelerin e le sue carte.</w:t>
      </w:r>
      <w:r>
        <w:rPr>
          <w:rFonts w:ascii="Barlow Semi Condensed" w:cs="Barlow Semi Condensed" w:eastAsia="Barlow Semi Condensed" w:hAnsi="Barlow Semi Condensed"/>
          <w:sz w:val="24"/>
          <w:szCs w:val="24"/>
        </w:rPr>
        <w:t xml:space="preserve"> La Mont Pelerin Society, costituita nel 1947, è il luogo dove le correnti liberali del dopoguerra si incontrarono e si divisero. I suoi elenchi di soci e i verbali delle sessioni sono la fonte migliore per stabilire chi frequentò chi. Il quesito da porre al catalogo della Hoover Institution Library and Archives, a Stanford, è quali serie siano consultabili e con quali restrizioni di accesso.</w:t>
      </w:r>
    </w:p>
    <w:p>
      <w:pPr>
        <w:spacing w:after="120" w:line="276"/>
        <w:jc w:val="both"/>
      </w:pPr>
      <w:r>
        <w:rPr>
          <w:rFonts w:ascii="Barlow Semi Condensed" w:cs="Barlow Semi Condensed" w:eastAsia="Barlow Semi Condensed" w:hAnsi="Barlow Semi Condensed"/>
          <w:b/>
          <w:bCs/>
          <w:sz w:val="24"/>
          <w:szCs w:val="24"/>
        </w:rPr>
        <w:t xml:space="preserve">739 · Hayek alla Hoover Institution.</w:t>
      </w:r>
      <w:r>
        <w:rPr>
          <w:rFonts w:ascii="Barlow Semi Condensed" w:cs="Barlow Semi Condensed" w:eastAsia="Barlow Semi Condensed" w:hAnsi="Barlow Semi Condensed"/>
          <w:sz w:val="24"/>
          <w:szCs w:val="24"/>
        </w:rPr>
        <w:t xml:space="preserve"> Le carte di Friedrich von Hayek sono conservate alla Hoover Institution di Stanford e comprendono corrispondenza per decenni. Sono la sede in cui si accerta se una filiazione dottrinale sia passata per lettera. Va cercata anche la parte scomoda: le sue dichiarazioni pubbliche sul Cile durante la dittatura, rese alla stampa cilena all'inizio degli anni Ottanta, sono testo firmato e vanno lette nella versione originale.</w:t>
      </w:r>
    </w:p>
    <w:p>
      <w:pPr>
        <w:spacing w:after="120" w:line="276"/>
        <w:jc w:val="both"/>
      </w:pPr>
      <w:r>
        <w:rPr>
          <w:rFonts w:ascii="Barlow Semi Condensed" w:cs="Barlow Semi Condensed" w:eastAsia="Barlow Semi Condensed" w:hAnsi="Barlow Semi Condensed"/>
          <w:b/>
          <w:bCs/>
          <w:sz w:val="24"/>
          <w:szCs w:val="24"/>
        </w:rPr>
        <w:t xml:space="preserve">740 · Mises a Grove City College.</w:t>
      </w:r>
      <w:r>
        <w:rPr>
          <w:rFonts w:ascii="Barlow Semi Condensed" w:cs="Barlow Semi Condensed" w:eastAsia="Barlow Semi Condensed" w:hAnsi="Barlow Semi Condensed"/>
          <w:sz w:val="24"/>
          <w:szCs w:val="24"/>
        </w:rPr>
        <w:t xml:space="preserve"> Presso il Grove City College, in Pennsylvania, sono depositate le carte di Ludwig von Mises. Chi voglia stabilire se una corrente successiva discenda davvero da lui deve cercare lì la corrispondenza con i discepoli americani e le loro annotazioni sui suoi testi. La citazione reverenziale nei pamphlet posteriori non prova nulla: chiunque può citare un morto, e i morti non rettificano.</w:t>
      </w:r>
    </w:p>
    <w:p>
      <w:pPr>
        <w:spacing w:after="120" w:line="276"/>
        <w:jc w:val="both"/>
      </w:pPr>
      <w:r>
        <w:rPr>
          <w:rFonts w:ascii="Barlow Semi Condensed" w:cs="Barlow Semi Condensed" w:eastAsia="Barlow Semi Condensed" w:hAnsi="Barlow Semi Condensed"/>
          <w:b/>
          <w:bCs/>
          <w:sz w:val="24"/>
          <w:szCs w:val="24"/>
        </w:rPr>
        <w:t xml:space="preserve">741 · Rothbard ad Auburn.</w:t>
      </w:r>
      <w:r>
        <w:rPr>
          <w:rFonts w:ascii="Barlow Semi Condensed" w:cs="Barlow Semi Condensed" w:eastAsia="Barlow Semi Condensed" w:hAnsi="Barlow Semi Condensed"/>
          <w:sz w:val="24"/>
          <w:szCs w:val="24"/>
        </w:rPr>
        <w:t xml:space="preserve"> Il fondo Rothbard è custodito ad Auburn, in Alabama, presso l'istituto che ne porta l'eredità. Interessa questa serie per una ragione precisa: Rothbard è il nodo in cui l'anarco-capitalismo si separa dal liberalismo di mercato e in cui, negli anni Novanta, si consuma la svolta detta paleolibertaria. Le due fasi vanno datate e non confuse dentro un ritratto unico e immobile.</w:t>
      </w:r>
    </w:p>
    <w:p>
      <w:pPr>
        <w:spacing w:after="120" w:line="276"/>
        <w:jc w:val="both"/>
      </w:pPr>
      <w:r>
        <w:rPr>
          <w:rFonts w:ascii="Barlow Semi Condensed" w:cs="Barlow Semi Condensed" w:eastAsia="Barlow Semi Condensed" w:hAnsi="Barlow Semi Condensed"/>
          <w:b/>
          <w:bCs/>
          <w:sz w:val="24"/>
          <w:szCs w:val="24"/>
        </w:rPr>
        <w:t xml:space="preserve">742 · Rand rifiutò l'etichetta per iscritto.</w:t>
      </w:r>
      <w:r>
        <w:rPr>
          <w:rFonts w:ascii="Barlow Semi Condensed" w:cs="Barlow Semi Condensed" w:eastAsia="Barlow Semi Condensed" w:hAnsi="Barlow Semi Condensed"/>
          <w:sz w:val="24"/>
          <w:szCs w:val="24"/>
        </w:rPr>
        <w:t xml:space="preserve"> Ayn Rand rifiutò pubblicamente e per iscritto il libertarismo e l'anarco-capitalismo, che giudicava incompatibili con la propria filosofia. È la smentita firmata di una filiazione data per certa da quasi tutti: l'interessata nega, in un testo suo, il legame che le si attribuisce. Chi accosta la sua opera al libertarismo deve prima misurarsi con quel rifiuto. Le sue carte sono presso l'istituto californiano che le conserva.</w:t>
      </w:r>
    </w:p>
    <w:p>
      <w:pPr>
        <w:spacing w:after="120" w:line="276"/>
        <w:jc w:val="both"/>
      </w:pPr>
      <w:r>
        <w:rPr>
          <w:rFonts w:ascii="Barlow Semi Condensed" w:cs="Barlow Semi Condensed" w:eastAsia="Barlow Semi Condensed" w:hAnsi="Barlow Semi Condensed"/>
          <w:b/>
          <w:bCs/>
          <w:sz w:val="24"/>
          <w:szCs w:val="24"/>
        </w:rPr>
        <w:t xml:space="preserve">743 · Nozick e la ritrattazione inesistente.</w:t>
      </w:r>
      <w:r>
        <w:rPr>
          <w:rFonts w:ascii="Barlow Semi Condensed" w:cs="Barlow Semi Condensed" w:eastAsia="Barlow Semi Condensed" w:hAnsi="Barlow Semi Condensed"/>
          <w:sz w:val="24"/>
          <w:szCs w:val="24"/>
        </w:rPr>
        <w:t xml:space="preserve"> Robert Nozick pubblicò «Anarchy, State, and Utopia» nel 1974 per Harvard University Press. Circola da decenni la notizia di una sua abiura del libertarismo, fondata su un passaggio di un libro del 1989. In un'intervista degli anni successivi egli precisò di non aver mai abbandonato quelle posizioni. La divergenza si riporta com'è: due testi suoi, letti male, generano una ritrattazione che non esiste.</w:t>
      </w:r>
    </w:p>
    <w:p>
      <w:pPr>
        <w:spacing w:after="120" w:line="276"/>
        <w:jc w:val="both"/>
      </w:pPr>
      <w:r>
        <w:rPr>
          <w:rFonts w:ascii="Barlow Semi Condensed" w:cs="Barlow Semi Condensed" w:eastAsia="Barlow Semi Condensed" w:hAnsi="Barlow Semi Condensed"/>
          <w:b/>
          <w:bCs/>
          <w:sz w:val="24"/>
          <w:szCs w:val="24"/>
        </w:rPr>
        <w:t xml:space="preserve">744 · David Friedman e il 1973.</w:t>
      </w:r>
      <w:r>
        <w:rPr>
          <w:rFonts w:ascii="Barlow Semi Condensed" w:cs="Barlow Semi Condensed" w:eastAsia="Barlow Semi Condensed" w:hAnsi="Barlow Semi Condensed"/>
          <w:sz w:val="24"/>
          <w:szCs w:val="24"/>
        </w:rPr>
        <w:t xml:space="preserve"> «The Machinery of Freedom», pubblicato nel 1973 da David Friedman, espone la variante di mercato dell'anarchia proprietaria. Interessa questa serie perché istituisce una discendenza familiare misurabile su tre generazioni, l'unica del campo in cui parentela e continuità dottrinale coincidano e siano entrambe documentate per iscritto. È il termine di paragone contro cui misurare le genealogie familiari asserite altrove e mai provate.</w:t>
      </w:r>
    </w:p>
    <w:p>
      <w:pPr>
        <w:spacing w:after="120" w:line="276"/>
        <w:jc w:val="both"/>
      </w:pPr>
      <w:r>
        <w:rPr>
          <w:rFonts w:ascii="Barlow Semi Condensed" w:cs="Barlow Semi Condensed" w:eastAsia="Barlow Semi Condensed" w:hAnsi="Barlow Semi Condensed"/>
          <w:b/>
          <w:bCs/>
          <w:sz w:val="24"/>
          <w:szCs w:val="24"/>
        </w:rPr>
        <w:t xml:space="preserve">745 · Il partito del dicembre 1971.</w:t>
      </w:r>
      <w:r>
        <w:rPr>
          <w:rFonts w:ascii="Barlow Semi Condensed" w:cs="Barlow Semi Condensed" w:eastAsia="Barlow Semi Condensed" w:hAnsi="Barlow Semi Condensed"/>
          <w:sz w:val="24"/>
          <w:szCs w:val="24"/>
        </w:rPr>
        <w:t xml:space="preserve"> Il Libertarian Party fu fondato nel dicembre 1971 in Colorado. La sua esistenza fornisce un registro: chi vi si iscrisse, chi vi si candidò, chi lo finanziò risulta da atti elettorali e da rendiconti depositati presso la Federal Election Commission, banca dati pubblica e interrogabile per nome. È il modo più rapido per verificare o smentire un'affiliazione politica asserita di chiunque negli Stati Uniti.</w:t>
      </w:r>
    </w:p>
    <w:p>
      <w:pPr>
        <w:spacing w:after="120" w:line="276"/>
        <w:jc w:val="both"/>
      </w:pPr>
      <w:r>
        <w:rPr>
          <w:rFonts w:ascii="Barlow Semi Condensed" w:cs="Barlow Semi Condensed" w:eastAsia="Barlow Semi Condensed" w:hAnsi="Barlow Semi Condensed"/>
          <w:b/>
          <w:bCs/>
          <w:sz w:val="24"/>
          <w:szCs w:val="24"/>
        </w:rPr>
        <w:t xml:space="preserve">746 · Cato e la rivista che ospitò.</w:t>
      </w:r>
      <w:r>
        <w:rPr>
          <w:rFonts w:ascii="Barlow Semi Condensed" w:cs="Barlow Semi Condensed" w:eastAsia="Barlow Semi Condensed" w:hAnsi="Barlow Semi Condensed"/>
          <w:sz w:val="24"/>
          <w:szCs w:val="24"/>
        </w:rPr>
        <w:t xml:space="preserve"> Il Cato Institute, attivo a Washington dalla fine degli anni Settanta, pubblica la rivista in rete che nell'aprile 2009 ospitò il saggio firmato di Peter Thiel. La sede editoriale conta: un testo pubblicato da un istituto dottrinale è un testo collocato, e la collocazione è essa stessa un dato. La pagina originale, con la sua data, è la fonte da citare; le riprese giornalistiche non lo sono.</w:t>
      </w:r>
    </w:p>
    <w:p>
      <w:pPr>
        <w:spacing w:after="120" w:line="276"/>
        <w:jc w:val="both"/>
      </w:pPr>
      <w:r>
        <w:rPr>
          <w:rFonts w:ascii="Barlow Semi Condensed" w:cs="Barlow Semi Condensed" w:eastAsia="Barlow Semi Condensed" w:hAnsi="Barlow Semi Condensed"/>
          <w:b/>
          <w:bCs/>
          <w:sz w:val="24"/>
          <w:szCs w:val="24"/>
        </w:rPr>
        <w:t xml:space="preserve">747 · Technocracy assente dalle bibliografie libertarie.</w:t>
      </w:r>
      <w:r>
        <w:rPr>
          <w:rFonts w:ascii="Barlow Semi Condensed" w:cs="Barlow Semi Condensed" w:eastAsia="Barlow Semi Condensed" w:hAnsi="Barlow Semi Condensed"/>
          <w:sz w:val="24"/>
          <w:szCs w:val="24"/>
        </w:rPr>
        <w:t xml:space="preserve"> Si prendano le bibliografie e gli indici dei nomi delle opere fondative del libertarismo americano e si cerchi Technocracy Incorporated, Howard Scott, il corso di studi del 1934. Se il movimento non vi compare, la tesi di un unico albero che unisca tecnocrazia e libertarismo perde il proprio tronco, e le due dottrine tornano a essere quel che sembrano: rami separati. È verifica a campione, e chiunque può ripeterla.</w:t>
      </w:r>
    </w:p>
    <w:p>
      <w:pPr>
        <w:spacing w:after="120" w:line="276"/>
        <w:jc w:val="both"/>
      </w:pPr>
      <w:r>
        <w:rPr>
          <w:rFonts w:ascii="Barlow Semi Condensed" w:cs="Barlow Semi Condensed" w:eastAsia="Barlow Semi Condensed" w:hAnsi="Barlow Semi Condensed"/>
          <w:b/>
          <w:bCs/>
          <w:sz w:val="24"/>
          <w:szCs w:val="24"/>
        </w:rPr>
        <w:t xml:space="preserve">748 · Due dottrine che si escludono.</w:t>
      </w:r>
      <w:r>
        <w:rPr>
          <w:rFonts w:ascii="Barlow Semi Condensed" w:cs="Barlow Semi Condensed" w:eastAsia="Barlow Semi Condensed" w:hAnsi="Barlow Semi Condensed"/>
          <w:sz w:val="24"/>
          <w:szCs w:val="24"/>
        </w:rPr>
        <w:t xml:space="preserve"> La tecnocrazia storica sottrae al mercato la decisione economica e la affida a un'autorità funzionale; il libertarismo sottrae all'autorità la decisione economica e la affida al mercato. Sono direzioni opposte sul medesimo asse. Chi le vuole in un solo albero deve produrre un autore che le tenga insieme dichiarandolo: finché non lo produce, la contraddizione di contenuto vale come smentita della genealogia.</w:t>
      </w:r>
    </w:p>
    <w:p>
      <w:pPr>
        <w:spacing w:after="120" w:line="276"/>
        <w:jc w:val="both"/>
      </w:pPr>
      <w:r>
        <w:rPr>
          <w:rFonts w:ascii="Barlow Semi Condensed" w:cs="Barlow Semi Condensed" w:eastAsia="Barlow Semi Condensed" w:hAnsi="Barlow Semi Condensed"/>
          <w:b/>
          <w:bCs/>
          <w:sz w:val="24"/>
          <w:szCs w:val="24"/>
        </w:rPr>
        <w:t xml:space="preserve">749 · Hirschman e l'uscita del 1970.</w:t>
      </w:r>
      <w:r>
        <w:rPr>
          <w:rFonts w:ascii="Barlow Semi Condensed" w:cs="Barlow Semi Condensed" w:eastAsia="Barlow Semi Condensed" w:hAnsi="Barlow Semi Condensed"/>
          <w:sz w:val="24"/>
          <w:szCs w:val="24"/>
        </w:rPr>
        <w:t xml:space="preserve"> «Exit, Voice, and Loyalty» di Albert Hirschman, uscito nel 1970 per Harvard University Press, definisce l'alternativa fra andarsene e protestare come meccanismo generale delle organizzazioni. È il candidato più serio al ruolo di antenato delle dottrine dell'uscita, e proprio per questo va trattato con severità: la sua paternità si prova come ogni altra, cercando il suo nome nei testi che si vogliono far discendere da lui.</w:t>
      </w:r>
    </w:p>
    <w:p>
      <w:pPr>
        <w:spacing w:after="120" w:line="276"/>
        <w:jc w:val="both"/>
      </w:pPr>
      <w:r>
        <w:rPr>
          <w:rFonts w:ascii="Barlow Semi Condensed" w:cs="Barlow Semi Condensed" w:eastAsia="Barlow Semi Condensed" w:hAnsi="Barlow Semi Condensed"/>
          <w:b/>
          <w:bCs/>
          <w:sz w:val="24"/>
          <w:szCs w:val="24"/>
        </w:rPr>
        <w:t xml:space="preserve">750 · Chi cita Hirschman e chi tace.</w:t>
      </w:r>
      <w:r>
        <w:rPr>
          <w:rFonts w:ascii="Barlow Semi Condensed" w:cs="Barlow Semi Condensed" w:eastAsia="Barlow Semi Condensed" w:hAnsi="Barlow Semi Condensed"/>
          <w:sz w:val="24"/>
          <w:szCs w:val="24"/>
        </w:rPr>
        <w:t xml:space="preserve"> Si aprano i testi firmati che predicano l'uscita — saggi, conferenze trascritte, libri autopubblicati — e si cerchi il nome di Hirschman. Dove compare, la filiazione è documentata al piano uno. Dove non compare, si è davanti a una convergenza: la stessa mossa concettuale riscoperta in un ambiente diverso, che è esattamente ciò che il metodo chiama analogia. Il risultato negativo è tanto pubblicabile quanto il positivo.</w:t>
      </w:r>
    </w:p>
    <w:p>
      <w:pPr>
        <w:spacing w:after="120" w:line="276"/>
        <w:jc w:val="both"/>
      </w:pPr>
      <w:r>
        <w:rPr>
          <w:rFonts w:ascii="Barlow Semi Condensed" w:cs="Barlow Semi Condensed" w:eastAsia="Barlow Semi Condensed" w:hAnsi="Barlow Semi Condensed"/>
          <w:b/>
          <w:bCs/>
          <w:sz w:val="24"/>
          <w:szCs w:val="24"/>
        </w:rPr>
        <w:t xml:space="preserve">751 · «The Sovereign Individual» e la prefazione.</w:t>
      </w:r>
      <w:r>
        <w:rPr>
          <w:rFonts w:ascii="Barlow Semi Condensed" w:cs="Barlow Semi Condensed" w:eastAsia="Barlow Semi Condensed" w:hAnsi="Barlow Semi Condensed"/>
          <w:sz w:val="24"/>
          <w:szCs w:val="24"/>
        </w:rPr>
        <w:t xml:space="preserve"> Il libro di James Dale Davidson e William Rees-Mogg, uscito nel 1997, annuncia la dissoluzione dello Stato nazionale davanti alla mobilità del capitale digitale. Per l'edizione ristampata nel 2020 Peter Thiel ne ha scritto la prefazione. Una prefazione firmata è adesione documentata a un testo: è il caso in cui il piano uno esiste davvero, e va usato come modello del genere di prova richiesto qui.</w:t>
      </w:r>
    </w:p>
    <w:p>
      <w:pPr>
        <w:spacing w:after="120" w:line="276"/>
        <w:jc w:val="both"/>
      </w:pPr>
      <w:r>
        <w:rPr>
          <w:rFonts w:ascii="Barlow Semi Condensed" w:cs="Barlow Semi Condensed" w:eastAsia="Barlow Semi Condensed" w:hAnsi="Barlow Semi Condensed"/>
          <w:b/>
          <w:bCs/>
          <w:sz w:val="24"/>
          <w:szCs w:val="24"/>
        </w:rPr>
        <w:t xml:space="preserve">752 · Il Seasteading Institute nel 2008.</w:t>
      </w:r>
      <w:r>
        <w:rPr>
          <w:rFonts w:ascii="Barlow Semi Condensed" w:cs="Barlow Semi Condensed" w:eastAsia="Barlow Semi Condensed" w:hAnsi="Barlow Semi Condensed"/>
          <w:sz w:val="24"/>
          <w:szCs w:val="24"/>
        </w:rPr>
        <w:t xml:space="preserve"> L'istituto per gli insediamenti marini fu costituito nel 2008 da Patri Friedman, con finanziamento dichiarato di Peter Thiel. È l'esempio di dottrina dell'uscita che diventa ente: ha uno statuto, un consiglio, un bilancio, una sede. Il quesito d'archivio è banale e risolutivo, e consiste nel leggere le dichiarazioni fiscali annuali, che negli Stati Uniti sono pubbliche per le organizzazioni esenti da imposta.</w:t>
      </w:r>
    </w:p>
    <w:p>
      <w:pPr>
        <w:spacing w:after="120" w:line="276"/>
        <w:jc w:val="both"/>
      </w:pPr>
      <w:r>
        <w:rPr>
          <w:rFonts w:ascii="Barlow Semi Condensed" w:cs="Barlow Semi Condensed" w:eastAsia="Barlow Semi Condensed" w:hAnsi="Barlow Semi Condensed"/>
          <w:b/>
          <w:bCs/>
          <w:sz w:val="24"/>
          <w:szCs w:val="24"/>
        </w:rPr>
        <w:t xml:space="preserve">753 · I moduli fiscali come prova.</w:t>
      </w:r>
      <w:r>
        <w:rPr>
          <w:rFonts w:ascii="Barlow Semi Condensed" w:cs="Barlow Semi Condensed" w:eastAsia="Barlow Semi Condensed" w:hAnsi="Barlow Semi Condensed"/>
          <w:sz w:val="24"/>
          <w:szCs w:val="24"/>
        </w:rPr>
        <w:t xml:space="preserve"> Per gli enti esenti statunitensi il modulo annuale depositato presso l'agenzia federale delle entrate riporta entrate, uscite, amministratori e, per le fondazioni private, l'elenco delle erogazioni con importo e beneficiario. È la fonte che trasforma un finanziamento riferito in un finanziamento documentato. Si consulta nella banca dati pubblica dell'agenzia e nei repertori che la replicano. Prima di scrivere «finanziò», si legge la riga.</w:t>
      </w:r>
    </w:p>
    <w:p>
      <w:pPr>
        <w:spacing w:after="120" w:line="276"/>
        <w:jc w:val="both"/>
      </w:pPr>
      <w:r>
        <w:rPr>
          <w:rFonts w:ascii="Barlow Semi Condensed" w:cs="Barlow Semi Condensed" w:eastAsia="Barlow Semi Condensed" w:hAnsi="Barlow Semi Condensed"/>
          <w:b/>
          <w:bCs/>
          <w:sz w:val="24"/>
          <w:szCs w:val="24"/>
        </w:rPr>
        <w:t xml:space="preserve">754 · La presa di distanza successiva.</w:t>
      </w:r>
      <w:r>
        <w:rPr>
          <w:rFonts w:ascii="Barlow Semi Condensed" w:cs="Barlow Semi Condensed" w:eastAsia="Barlow Semi Condensed" w:hAnsi="Barlow Semi Condensed"/>
          <w:sz w:val="24"/>
          <w:szCs w:val="24"/>
        </w:rPr>
        <w:t xml:space="preserve"> Il medesimo finanziatore ha successivamente dichiarato in pubblico che il progetto degli insediamenti marini non gli appariva realizzabile sul piano ingegneristico. La divergenza fra l'atto del 2008 e la dichiarazione posteriore va riportata intera, con entrambe le date. È il caso tipico in cui la citazione di una sola delle due voci costruisce un ritratto falso pur senza inventare nulla: si omette, e basta.</w:t>
      </w:r>
    </w:p>
    <w:p>
      <w:pPr>
        <w:spacing w:after="120" w:line="276"/>
        <w:jc w:val="both"/>
      </w:pPr>
      <w:r>
        <w:rPr>
          <w:rFonts w:ascii="Barlow Semi Condensed" w:cs="Barlow Semi Condensed" w:eastAsia="Barlow Semi Condensed" w:hAnsi="Barlow Semi Condensed"/>
          <w:b/>
          <w:bCs/>
          <w:sz w:val="24"/>
          <w:szCs w:val="24"/>
        </w:rPr>
        <w:t xml:space="preserve">755 · Patri Friedman: parentela e dottrina.</w:t>
      </w:r>
      <w:r>
        <w:rPr>
          <w:rFonts w:ascii="Barlow Semi Condensed" w:cs="Barlow Semi Condensed" w:eastAsia="Barlow Semi Condensed" w:hAnsi="Barlow Semi Condensed"/>
          <w:sz w:val="24"/>
          <w:szCs w:val="24"/>
        </w:rPr>
        <w:t xml:space="preserve"> Qui parentela e dottrina coincidono e sono entrambe accertabili: figlio di David Friedman, nipote di Milton Friedman, autore di scritti propri sull'uscita. Ma la coincidenza va comunque provata pezzo per pezzo, perché è precisamente il caso che invita a saltare i passaggi. Il modo corretto è cercare nei suoi testi le citazioni dei due ascendenti e registrare in quale funzione compaiano.</w:t>
      </w:r>
    </w:p>
    <w:p>
      <w:pPr>
        <w:spacing w:after="120" w:line="276"/>
        <w:jc w:val="both"/>
      </w:pPr>
      <w:r>
        <w:rPr>
          <w:rFonts w:ascii="Barlow Semi Condensed" w:cs="Barlow Semi Condensed" w:eastAsia="Barlow Semi Condensed" w:hAnsi="Barlow Semi Condensed"/>
          <w:b/>
          <w:bCs/>
          <w:sz w:val="24"/>
          <w:szCs w:val="24"/>
        </w:rPr>
        <w:t xml:space="preserve">756 · Pronomos e le zone honduregne.</w:t>
      </w:r>
      <w:r>
        <w:rPr>
          <w:rFonts w:ascii="Barlow Semi Condensed" w:cs="Barlow Semi Condensed" w:eastAsia="Barlow Semi Condensed" w:hAnsi="Barlow Semi Condensed"/>
          <w:sz w:val="24"/>
          <w:szCs w:val="24"/>
        </w:rPr>
        <w:t xml:space="preserve"> Un fondo di investimento costituito nel 2019 dallo stesso autore ha finanziato progetti di città a statuto speciale, fra cui uno insediato su un'isola honduregna. La vicenda è il banco di prova della dottrina dell'uscita: quando lo Stato ospite revoca la legge che quelle zone istituiva, la dottrina incontra la sovranità. Gli atti legislativi honduregni sono pubblicati nella gazzetta ufficiale del Paese.</w:t>
      </w:r>
    </w:p>
    <w:p>
      <w:pPr>
        <w:spacing w:after="120" w:line="276"/>
        <w:jc w:val="both"/>
      </w:pPr>
      <w:r>
        <w:rPr>
          <w:rFonts w:ascii="Barlow Semi Condensed" w:cs="Barlow Semi Condensed" w:eastAsia="Barlow Semi Condensed" w:hAnsi="Barlow Semi Condensed"/>
          <w:b/>
          <w:bCs/>
          <w:sz w:val="24"/>
          <w:szCs w:val="24"/>
        </w:rPr>
        <w:t xml:space="preserve">757 · Il registro arbitrale della Banca Mondiale.</w:t>
      </w:r>
      <w:r>
        <w:rPr>
          <w:rFonts w:ascii="Barlow Semi Condensed" w:cs="Barlow Semi Condensed" w:eastAsia="Barlow Semi Condensed" w:hAnsi="Barlow Semi Condensed"/>
          <w:sz w:val="24"/>
          <w:szCs w:val="24"/>
        </w:rPr>
        <w:t xml:space="preserve"> La controversia fra gli investitori di quella zona e la Repubblica dell'Honduras è stata portata davanti al centro internazionale per la composizione delle controversie in materia di investimenti, presso la Banca Mondiale, a Washington. Il registro dei casi è pubblico, con parti, data di registrazione e atti processuali. È una sede d'archivio: il numero di causa si copia dal registro, non dalla stampa.</w:t>
      </w:r>
    </w:p>
    <w:p>
      <w:pPr>
        <w:spacing w:after="120" w:line="276"/>
        <w:jc w:val="both"/>
      </w:pPr>
      <w:r>
        <w:rPr>
          <w:rFonts w:ascii="Barlow Semi Condensed" w:cs="Barlow Semi Condensed" w:eastAsia="Barlow Semi Condensed" w:hAnsi="Barlow Semi Condensed"/>
          <w:b/>
          <w:bCs/>
          <w:sz w:val="24"/>
          <w:szCs w:val="24"/>
        </w:rPr>
        <w:t xml:space="preserve">758 · Il Form D non nomina i soci.</w:t>
      </w:r>
      <w:r>
        <w:rPr>
          <w:rFonts w:ascii="Barlow Semi Condensed" w:cs="Barlow Semi Condensed" w:eastAsia="Barlow Semi Condensed" w:hAnsi="Barlow Semi Condensed"/>
          <w:sz w:val="24"/>
          <w:szCs w:val="24"/>
        </w:rPr>
        <w:t xml:space="preserve"> Limite di metodo da mettere per iscritto una volta per tutte. Il modulo che i fondi statunitensi depositano presso la commissione di vigilanza sui mercati per le collocazioni private indica l'emittente e i suoi dirigenti, non i sottoscrittori. La domanda «chi ha messo i soldi in quel fondo» non si chiude su quella banca dati. È uno stato zero strutturale, non una pigrizia dell'indagine.</w:t>
      </w:r>
    </w:p>
    <w:p>
      <w:pPr>
        <w:spacing w:after="120" w:line="276"/>
        <w:jc w:val="both"/>
      </w:pPr>
      <w:r>
        <w:rPr>
          <w:rFonts w:ascii="Barlow Semi Condensed" w:cs="Barlow Semi Condensed" w:eastAsia="Barlow Semi Condensed" w:hAnsi="Barlow Semi Condensed"/>
          <w:b/>
          <w:bCs/>
          <w:sz w:val="24"/>
          <w:szCs w:val="24"/>
        </w:rPr>
        <w:t xml:space="preserve">759 · Srinivasan e l'uscita del 2013.</w:t>
      </w:r>
      <w:r>
        <w:rPr>
          <w:rFonts w:ascii="Barlow Semi Condensed" w:cs="Barlow Semi Condensed" w:eastAsia="Barlow Semi Condensed" w:hAnsi="Barlow Semi Condensed"/>
          <w:sz w:val="24"/>
          <w:szCs w:val="24"/>
        </w:rPr>
        <w:t xml:space="preserve"> Nell'ottobre 2013 Balaji Srinivasan tenne una conferenza pubblica, registrata e trascritta, che formulava l'uscita come strategia dell'industria tecnologica verso l'ordinamento statunitense. Nel 2022 ha pubblicato in proprio un libro che ne sviluppa la tesi. Sono testi suoi, datati e reperibili: si citano quelli, con la data, e non le sintesi altrui. L'autopubblicazione non toglie citabilità; toglie il filtro editoriale, e va detto.</w:t>
      </w:r>
    </w:p>
    <w:p>
      <w:pPr>
        <w:spacing w:after="120" w:line="276"/>
        <w:jc w:val="both"/>
      </w:pPr>
      <w:r>
        <w:rPr>
          <w:rFonts w:ascii="Barlow Semi Condensed" w:cs="Barlow Semi Condensed" w:eastAsia="Barlow Semi Condensed" w:hAnsi="Barlow Semi Condensed"/>
          <w:b/>
          <w:bCs/>
          <w:sz w:val="24"/>
          <w:szCs w:val="24"/>
        </w:rPr>
        <w:t xml:space="preserve">760 · Yarvin e la firma pseudonima.</w:t>
      </w:r>
      <w:r>
        <w:rPr>
          <w:rFonts w:ascii="Barlow Semi Condensed" w:cs="Barlow Semi Condensed" w:eastAsia="Barlow Semi Condensed" w:hAnsi="Barlow Semi Condensed"/>
          <w:sz w:val="24"/>
          <w:szCs w:val="24"/>
        </w:rPr>
        <w:t xml:space="preserve"> Gli scritti pubblicati fra il 2007 e il 2014 sotto pseudonimo da Curtis Yarvin, e da lui riconosciuti pubblicamente come propri, sono fonte diretta per la corrente detta neoreazionaria. Lo pseudonimo non toglie la firma, ma sposta l'onere: prima di citare occorre stabilire il riconoscimento e la data. Le versioni originali del blog sono l'unica base ammissibile; le antologie successive vanno collazionate con quelle.</w:t>
      </w:r>
    </w:p>
    <w:p>
      <w:pPr>
        <w:spacing w:after="120" w:line="276"/>
        <w:jc w:val="both"/>
      </w:pPr>
      <w:r>
        <w:rPr>
          <w:rFonts w:ascii="Barlow Semi Condensed" w:cs="Barlow Semi Condensed" w:eastAsia="Barlow Semi Condensed" w:hAnsi="Barlow Semi Condensed"/>
          <w:b/>
          <w:bCs/>
          <w:sz w:val="24"/>
          <w:szCs w:val="24"/>
        </w:rPr>
        <w:t xml:space="preserve">761 · Investire non è sottoscrivere.</w:t>
      </w:r>
      <w:r>
        <w:rPr>
          <w:rFonts w:ascii="Barlow Semi Condensed" w:cs="Barlow Semi Condensed" w:eastAsia="Barlow Semi Condensed" w:hAnsi="Barlow Semi Condensed"/>
          <w:sz w:val="24"/>
          <w:szCs w:val="24"/>
        </w:rPr>
        <w:t xml:space="preserve"> Un investimento in una società fondata da un autore non è adesione alla dottrina di quell'autore: è un atto societario, depositato e verificabile, che dice ciò che dice e nulla di più. Chi trasforma una partecipazione in un'adesione compie un salto che nessun documento autorizza. È bersaglio di smentita permanente, e il salto va nominato ogni volta che qualcuno lo compie, anche in buona fede.</w:t>
      </w:r>
    </w:p>
    <w:p>
      <w:pPr>
        <w:spacing w:after="120" w:line="276"/>
        <w:jc w:val="both"/>
      </w:pPr>
      <w:r>
        <w:rPr>
          <w:rFonts w:ascii="Barlow Semi Condensed" w:cs="Barlow Semi Condensed" w:eastAsia="Barlow Semi Condensed" w:hAnsi="Barlow Semi Condensed"/>
          <w:b/>
          <w:bCs/>
          <w:sz w:val="24"/>
          <w:szCs w:val="24"/>
        </w:rPr>
        <w:t xml:space="preserve">762 · Nick Land e il testo del 2012.</w:t>
      </w:r>
      <w:r>
        <w:rPr>
          <w:rFonts w:ascii="Barlow Semi Condensed" w:cs="Barlow Semi Condensed" w:eastAsia="Barlow Semi Condensed" w:hAnsi="Barlow Semi Condensed"/>
          <w:sz w:val="24"/>
          <w:szCs w:val="24"/>
        </w:rPr>
        <w:t xml:space="preserve"> La formulazione che nel 2012 ha dato un nome all'illuminismo oscuro è un testo firmato da Nick Land, disponibile nella versione originale in rete e datato. Esiste come dottrina scritta, e come tale si cita. Che qualcuno l'abbia letta, finanziata o condivisa è un'altra questione, che richiede prove proprie e distinte, e che non si risolve elencando chi frequenta chi.</w:t>
      </w:r>
    </w:p>
    <w:p>
      <w:pPr>
        <w:spacing w:after="120" w:line="276"/>
        <w:jc w:val="both"/>
      </w:pPr>
      <w:r>
        <w:rPr>
          <w:rFonts w:ascii="Barlow Semi Condensed" w:cs="Barlow Semi Condensed" w:eastAsia="Barlow Semi Condensed" w:hAnsi="Barlow Semi Condensed"/>
          <w:b/>
          <w:bCs/>
          <w:sz w:val="24"/>
          <w:szCs w:val="24"/>
        </w:rPr>
        <w:t xml:space="preserve">763 · Il saggio del 13 aprile 2009.</w:t>
      </w:r>
      <w:r>
        <w:rPr>
          <w:rFonts w:ascii="Barlow Semi Condensed" w:cs="Barlow Semi Condensed" w:eastAsia="Barlow Semi Condensed" w:hAnsi="Barlow Semi Condensed"/>
          <w:sz w:val="24"/>
          <w:szCs w:val="24"/>
        </w:rPr>
        <w:t xml:space="preserve"> Il testo firmato da Peter Thiel e pubblicato il 13 aprile 2009 nella rivista in rete del Cato Institute è la fonte diretta e citabile per le sue posizioni di quell'anno, comprese quelle sulla compatibilità fra libertà e democrazia. Va citato dalla pagina originale, con la data, e per esteso: è il testo più abbreviato e più deformato dell'intera materia.</w:t>
      </w:r>
    </w:p>
    <w:p>
      <w:pPr>
        <w:spacing w:after="120" w:line="276"/>
        <w:jc w:val="both"/>
      </w:pPr>
      <w:r>
        <w:rPr>
          <w:rFonts w:ascii="Barlow Semi Condensed" w:cs="Barlow Semi Condensed" w:eastAsia="Barlow Semi Condensed" w:hAnsi="Barlow Semi Condensed"/>
          <w:b/>
          <w:bCs/>
          <w:sz w:val="24"/>
          <w:szCs w:val="24"/>
        </w:rPr>
        <w:t xml:space="preserve">764 · La postilla dello stesso autore.</w:t>
      </w:r>
      <w:r>
        <w:rPr>
          <w:rFonts w:ascii="Barlow Semi Condensed" w:cs="Barlow Semi Condensed" w:eastAsia="Barlow Semi Condensed" w:hAnsi="Barlow Semi Condensed"/>
          <w:sz w:val="24"/>
          <w:szCs w:val="24"/>
        </w:rPr>
        <w:t xml:space="preserve"> Allo stesso saggio l'autore aggiunse una precisazione pubblica, che ne circoscriveva alcune formulazioni. Chi cita il testo senza la precisazione cita metà documento. La regola è quella di aldo-moro-una-guerra-senza-fine-apparato-dei-gradi.md: si riporta l'asserzione, si riporta la sua rettifica, entrambe con la data, e si lascia al lettore il compito che gli spetta. Le divergenze non si sciolgono in silenzio.</w:t>
      </w:r>
    </w:p>
    <w:p>
      <w:pPr>
        <w:spacing w:after="120" w:line="276"/>
        <w:jc w:val="both"/>
      </w:pPr>
      <w:r>
        <w:rPr>
          <w:rFonts w:ascii="Barlow Semi Condensed" w:cs="Barlow Semi Condensed" w:eastAsia="Barlow Semi Condensed" w:hAnsi="Barlow Semi Condensed"/>
          <w:b/>
          <w:bCs/>
          <w:sz w:val="24"/>
          <w:szCs w:val="24"/>
        </w:rPr>
        <w:t xml:space="preserve">765 · Citare Strauss non è essere straussiani.</w:t>
      </w:r>
      <w:r>
        <w:rPr>
          <w:rFonts w:ascii="Barlow Semi Condensed" w:cs="Barlow Semi Condensed" w:eastAsia="Barlow Semi Condensed" w:hAnsi="Barlow Semi Condensed"/>
          <w:sz w:val="24"/>
          <w:szCs w:val="24"/>
        </w:rPr>
        <w:t xml:space="preserve"> Il saggio del 2007 dello stesso autore discute Leo Strauss, Carl Schmitt e René Girard. Discutere non è aderire, e nominare non è sottoscrivere: un testo che argomenta contro un autore lo cita quanto uno che lo segue. Prima di attribuire una scuola occorre stabilire in quale funzione l'autore compaia. È l'accertamento chiesto al terzo blocco, applicato al caso più insidioso della serie.</w:t>
      </w:r>
    </w:p>
    <w:p>
      <w:pPr>
        <w:spacing w:after="120" w:line="276"/>
        <w:jc w:val="both"/>
      </w:pPr>
      <w:r>
        <w:rPr>
          <w:rFonts w:ascii="Barlow Semi Condensed" w:cs="Barlow Semi Condensed" w:eastAsia="Barlow Semi Condensed" w:hAnsi="Barlow Semi Condensed"/>
          <w:b/>
          <w:bCs/>
          <w:sz w:val="24"/>
          <w:szCs w:val="24"/>
        </w:rPr>
        <w:t xml:space="preserve">766 · Girard, la filiazione dichiarata.</w:t>
      </w:r>
      <w:r>
        <w:rPr>
          <w:rFonts w:ascii="Barlow Semi Condensed" w:cs="Barlow Semi Condensed" w:eastAsia="Barlow Semi Condensed" w:hAnsi="Barlow Semi Condensed"/>
          <w:sz w:val="24"/>
          <w:szCs w:val="24"/>
        </w:rPr>
        <w:t xml:space="preserve"> Qui, e quasi soltanto qui, la filiazione dottrinale esiste al piano uno. Peter Thiel ha ripetutamente e pubblicamente riconosciuto il debito verso René Girard, di cui seguì l'insegnamento a Stanford, e lo ha messo per iscritto. È il modello di che cosa significhi provare una discendenza di idee: il soggetto nomina l'antenato, la data si stabilisce. Tutto il resto della serie si misura su questo caso.</w:t>
      </w:r>
    </w:p>
    <w:p>
      <w:pPr>
        <w:spacing w:after="120" w:line="276"/>
        <w:jc w:val="both"/>
      </w:pPr>
      <w:r>
        <w:rPr>
          <w:rFonts w:ascii="Barlow Semi Condensed" w:cs="Barlow Semi Condensed" w:eastAsia="Barlow Semi Condensed" w:hAnsi="Barlow Semi Condensed"/>
          <w:b/>
          <w:bCs/>
          <w:sz w:val="24"/>
          <w:szCs w:val="24"/>
        </w:rPr>
        <w:t xml:space="preserve">767 · La fondazione che rende atto la dottrina.</w:t>
      </w:r>
      <w:r>
        <w:rPr>
          <w:rFonts w:ascii="Barlow Semi Condensed" w:cs="Barlow Semi Condensed" w:eastAsia="Barlow Semi Condensed" w:hAnsi="Barlow Semi Condensed"/>
          <w:sz w:val="24"/>
          <w:szCs w:val="24"/>
        </w:rPr>
        <w:t xml:space="preserve"> Al riconoscimento dichiarato corrisponde un atto verificabile: il sostegno, attraverso la propria fondazione, a un ente dedicato alla diffusione del pensiero girardiano. L'erogazione, se esiste nella misura riferita, compare nelle dichiarazioni fiscali annuali della fondazione erogante, con importo e beneficiario. È il caso in cui dichiarazione e atto si confermano a vicenda, ed è raro abbastanza da meritare la segnalazione.</w:t>
      </w:r>
    </w:p>
    <w:p>
      <w:pPr>
        <w:spacing w:after="120" w:line="276"/>
        <w:jc w:val="both"/>
      </w:pPr>
      <w:r>
        <w:rPr>
          <w:rFonts w:ascii="Barlow Semi Condensed" w:cs="Barlow Semi Condensed" w:eastAsia="Barlow Semi Condensed" w:hAnsi="Barlow Semi Condensed"/>
          <w:b/>
          <w:bCs/>
          <w:sz w:val="24"/>
          <w:szCs w:val="24"/>
        </w:rPr>
        <w:t xml:space="preserve">768 · La dottrina firmata del monopolio.</w:t>
      </w:r>
      <w:r>
        <w:rPr>
          <w:rFonts w:ascii="Barlow Semi Condensed" w:cs="Barlow Semi Condensed" w:eastAsia="Barlow Semi Condensed" w:hAnsi="Barlow Semi Condensed"/>
          <w:sz w:val="24"/>
          <w:szCs w:val="24"/>
        </w:rPr>
        <w:t xml:space="preserve"> Nel settembre 2014 lo stesso autore pubblicò su un quotidiano finanziario americano un saggio che sostiene la superiorità del monopolio sulla concorrenza, tesi poi ripresa nel libro uscito nello stesso anno. È dottrina economica firmata, datata e reperibile. Va usata come fonte diretta e va usata per intero: comprende una difesa esplicita della posizione dominante come condizione dell'innovazione, e non solo come suo effetto.</w:t>
      </w:r>
    </w:p>
    <w:p>
      <w:pPr>
        <w:spacing w:after="120" w:line="276"/>
        <w:jc w:val="both"/>
      </w:pPr>
      <w:r>
        <w:rPr>
          <w:rFonts w:ascii="Barlow Semi Condensed" w:cs="Barlow Semi Condensed" w:eastAsia="Barlow Semi Condensed" w:hAnsi="Barlow Semi Condensed"/>
          <w:b/>
          <w:bCs/>
          <w:sz w:val="24"/>
          <w:szCs w:val="24"/>
        </w:rPr>
        <w:t xml:space="preserve">769 · Il conflitto con la concorrenza classica.</w:t>
      </w:r>
      <w:r>
        <w:rPr>
          <w:rFonts w:ascii="Barlow Semi Condensed" w:cs="Barlow Semi Condensed" w:eastAsia="Barlow Semi Condensed" w:hAnsi="Barlow Semi Condensed"/>
          <w:sz w:val="24"/>
          <w:szCs w:val="24"/>
        </w:rPr>
        <w:t xml:space="preserve"> La tradizione liberale di mercato, austriaca e di Chicago, fa della concorrenza il meccanismo che alloca e disciplina; la tesi del 2014 la descrive come distruttiva di valore. Chi definisce quell'autore «libertario» senza qualificare la corrente ignora una divergenza che l'autore stesso ha messo per iscritto. La qualificazione è obbligatoria, e l'etichetta generica va considerata, in sede storiografica, un errore.</w:t>
      </w:r>
    </w:p>
    <w:p>
      <w:pPr>
        <w:spacing w:after="120" w:line="276"/>
        <w:jc w:val="both"/>
      </w:pPr>
      <w:r>
        <w:rPr>
          <w:rFonts w:ascii="Barlow Semi Condensed" w:cs="Barlow Semi Condensed" w:eastAsia="Barlow Semi Condensed" w:hAnsi="Barlow Semi Condensed"/>
          <w:b/>
          <w:bCs/>
          <w:sz w:val="24"/>
          <w:szCs w:val="24"/>
        </w:rPr>
        <w:t xml:space="preserve">770 · Il libro del 1995 e il dopo.</w:t>
      </w:r>
      <w:r>
        <w:rPr>
          <w:rFonts w:ascii="Barlow Semi Condensed" w:cs="Barlow Semi Condensed" w:eastAsia="Barlow Semi Condensed" w:hAnsi="Barlow Semi Condensed"/>
          <w:sz w:val="24"/>
          <w:szCs w:val="24"/>
        </w:rPr>
        <w:t xml:space="preserve"> Il volume pubblicato nel 1995 da Peter Thiel e David Sacks sull'università di Stanford è un testo firmato e reperibile in biblioteca. Nel 2016 uno dei due autori ha reso una dichiarazione pubblica su alcuni passaggi. Testo e dichiarazione successiva vanno letti insieme, con le rispettive date, e nessuno dei due serve a cancellare l'altro. È la disciplina della divergenza applicata a persone viventi.</w:t>
      </w:r>
    </w:p>
    <w:p>
      <w:pPr>
        <w:spacing w:after="120" w:line="276"/>
        <w:jc w:val="both"/>
      </w:pPr>
      <w:r>
        <w:rPr>
          <w:rFonts w:ascii="Barlow Semi Condensed" w:cs="Barlow Semi Condensed" w:eastAsia="Barlow Semi Condensed" w:hAnsi="Barlow Semi Condensed"/>
          <w:b/>
          <w:bCs/>
          <w:sz w:val="24"/>
          <w:szCs w:val="24"/>
        </w:rPr>
        <w:t xml:space="preserve">771 · La rivista universitaria del 1987.</w:t>
      </w:r>
      <w:r>
        <w:rPr>
          <w:rFonts w:ascii="Barlow Semi Condensed" w:cs="Barlow Semi Condensed" w:eastAsia="Barlow Semi Condensed" w:hAnsi="Barlow Semi Condensed"/>
          <w:sz w:val="24"/>
          <w:szCs w:val="24"/>
        </w:rPr>
        <w:t xml:space="preserve"> La rivista studentesca fondata a Stanford nel 1987, di cui Thiel fu tra i promotori, è fonte primaria per le sue posizioni di allora. Le annate si consultano negli archivi d'ateneo, presso le Special Collections and University Archives delle Stanford University Libraries. Citare un articolo di quegli anni richiede numero, data e pagina, come per qualsiasi altro periodico: le citazioni di seconda mano vanno rifiutate.</w:t>
      </w:r>
    </w:p>
    <w:p>
      <w:pPr>
        <w:spacing w:after="120" w:line="276"/>
        <w:jc w:val="both"/>
      </w:pPr>
      <w:r>
        <w:rPr>
          <w:rFonts w:ascii="Barlow Semi Condensed" w:cs="Barlow Semi Condensed" w:eastAsia="Barlow Semi Condensed" w:hAnsi="Barlow Semi Condensed"/>
          <w:b/>
          <w:bCs/>
          <w:sz w:val="24"/>
          <w:szCs w:val="24"/>
        </w:rPr>
        <w:t xml:space="preserve">772 · Il manifesto del fondo, 2011.</w:t>
      </w:r>
      <w:r>
        <w:rPr>
          <w:rFonts w:ascii="Barlow Semi Condensed" w:cs="Barlow Semi Condensed" w:eastAsia="Barlow Semi Condensed" w:hAnsi="Barlow Semi Condensed"/>
          <w:sz w:val="24"/>
          <w:szCs w:val="24"/>
        </w:rPr>
        <w:t xml:space="preserve"> Un testo programmatico sul mancato avveramento del futuro promesso fu pubblicato nel 2011 dal fondo di investimento cofondato da Thiel, sul sito della società. È documento firmato da un ente, non da una persona: impegna la società e non necessariamente ciascun socio. La distinzione va tenuta, perché è la stessa che separa l'atto societario dall'opinione individuale, e vale in entrambe le direzioni.</w:t>
      </w:r>
    </w:p>
    <w:p>
      <w:pPr>
        <w:spacing w:after="120" w:line="276"/>
        <w:jc w:val="both"/>
      </w:pPr>
      <w:r>
        <w:rPr>
          <w:rFonts w:ascii="Barlow Semi Condensed" w:cs="Barlow Semi Condensed" w:eastAsia="Barlow Semi Condensed" w:hAnsi="Barlow Semi Condensed"/>
          <w:b/>
          <w:bCs/>
          <w:sz w:val="24"/>
          <w:szCs w:val="24"/>
        </w:rPr>
        <w:t xml:space="preserve">773 · I Master Plan sono industriali.</w:t>
      </w:r>
      <w:r>
        <w:rPr>
          <w:rFonts w:ascii="Barlow Semi Condensed" w:cs="Barlow Semi Condensed" w:eastAsia="Barlow Semi Condensed" w:hAnsi="Barlow Semi Condensed"/>
          <w:sz w:val="24"/>
          <w:szCs w:val="24"/>
        </w:rPr>
        <w:t xml:space="preserve"> I testi programmatici pubblicati da Elon Musk sul sito della sua casa automobilistica, dal 2006 in poi, sono i suoi documenti firmati più vicini a una dottrina. Il contenuto è industriale ed energetico: sequenza dei prodotti, scala produttiva, uscita dai combustibili fossili. Non contengono una dottrina politica. Chi produca un testo politico firmato dello stesso autore smentisce questo accertamento, che è quanto un accertamento deve consentire.</w:t>
      </w:r>
    </w:p>
    <w:p>
      <w:pPr>
        <w:spacing w:after="120" w:line="276"/>
        <w:jc w:val="both"/>
      </w:pPr>
      <w:r>
        <w:rPr>
          <w:rFonts w:ascii="Barlow Semi Condensed" w:cs="Barlow Semi Condensed" w:eastAsia="Barlow Semi Condensed" w:hAnsi="Barlow Semi Condensed"/>
          <w:b/>
          <w:bCs/>
          <w:sz w:val="24"/>
          <w:szCs w:val="24"/>
        </w:rPr>
        <w:t xml:space="preserve">774 · La clausola marziana dei termini d'uso.</w:t>
      </w:r>
      <w:r>
        <w:rPr>
          <w:rFonts w:ascii="Barlow Semi Condensed" w:cs="Barlow Semi Condensed" w:eastAsia="Barlow Semi Condensed" w:hAnsi="Barlow Semi Condensed"/>
          <w:sz w:val="24"/>
          <w:szCs w:val="24"/>
        </w:rPr>
        <w:t xml:space="preserve"> I termini di servizio di un operatore satellitare del medesimo gruppo contengono una clausola sulle attività marziane che dichiara Marte pianeta libero e nega autorità ai governi terrestri. È testo societario, pubblicato e datato, dunque fonte diretta e citabile. Che valore giuridico abbia è questione aperta; che esista come dichiarazione scritta di sovranità privata non lo è, e va registrato come documento.</w:t>
      </w:r>
    </w:p>
    <w:p>
      <w:pPr>
        <w:spacing w:after="120" w:line="276"/>
        <w:jc w:val="both"/>
      </w:pPr>
      <w:r>
        <w:rPr>
          <w:rFonts w:ascii="Barlow Semi Condensed" w:cs="Barlow Semi Condensed" w:eastAsia="Barlow Semi Condensed" w:hAnsi="Barlow Semi Condensed"/>
          <w:b/>
          <w:bCs/>
          <w:sz w:val="24"/>
          <w:szCs w:val="24"/>
        </w:rPr>
        <w:t xml:space="preserve">775 · Il post non è un testo dottrinale.</w:t>
      </w:r>
      <w:r>
        <w:rPr>
          <w:rFonts w:ascii="Barlow Semi Condensed" w:cs="Barlow Semi Condensed" w:eastAsia="Barlow Semi Condensed" w:hAnsi="Barlow Semi Condensed"/>
          <w:sz w:val="24"/>
          <w:szCs w:val="24"/>
        </w:rPr>
        <w:t xml:space="preserve"> Un messaggio su una piattaforma sociale è dichiarazione pubblica e come tale può essere citato, ma non ha lo statuto di un testo dottrinale: gli mancano argomentazione, contesto e stabilità. Quando la piattaforma appartiene a chi vi scrive, si aggiunge il problema della custodia. Prima di citare occorre una cattura archiviata, con data e indirizzo, indipendente dal proprietario della piattaforma.</w:t>
      </w:r>
    </w:p>
    <w:p>
      <w:pPr>
        <w:spacing w:after="120" w:line="276"/>
        <w:jc w:val="both"/>
      </w:pPr>
      <w:r>
        <w:rPr>
          <w:rFonts w:ascii="Barlow Semi Condensed" w:cs="Barlow Semi Condensed" w:eastAsia="Barlow Semi Condensed" w:hAnsi="Barlow Semi Condensed"/>
          <w:b/>
          <w:bCs/>
          <w:sz w:val="24"/>
          <w:szCs w:val="24"/>
        </w:rPr>
        <w:t xml:space="preserve">776 · La cattura archivistica dei post.</w:t>
      </w:r>
      <w:r>
        <w:rPr>
          <w:rFonts w:ascii="Barlow Semi Condensed" w:cs="Barlow Semi Condensed" w:eastAsia="Barlow Semi Condensed" w:hAnsi="Barlow Semi Condensed"/>
          <w:sz w:val="24"/>
          <w:szCs w:val="24"/>
        </w:rPr>
        <w:t xml:space="preserve"> L'archiviazione integrale dei messaggi di quella piattaforma da parte della biblioteca del Congresso degli Stati Uniti fu interrotta alla fine del 2017, con annuncio pubblico. Da allora non esiste un deposito istituzionale completo. Chi lavora su dichiarazioni successive dipende da archivi in rete volontari e da catture proprie. È una lacuna d'archivio strutturale del presente, e va dichiarata a ogni citazione.</w:t>
      </w:r>
    </w:p>
    <w:p>
      <w:pPr>
        <w:spacing w:after="120" w:line="276"/>
        <w:jc w:val="both"/>
      </w:pPr>
      <w:r>
        <w:rPr>
          <w:rFonts w:ascii="Barlow Semi Condensed" w:cs="Barlow Semi Condensed" w:eastAsia="Barlow Semi Condensed" w:hAnsi="Barlow Semi Condensed"/>
          <w:b/>
          <w:bCs/>
          <w:sz w:val="24"/>
          <w:szCs w:val="24"/>
        </w:rPr>
        <w:t xml:space="preserve">777 · Le dottrine di Pretoria hanno testi.</w:t>
      </w:r>
      <w:r>
        <w:rPr>
          <w:rFonts w:ascii="Barlow Semi Condensed" w:cs="Barlow Semi Condensed" w:eastAsia="Barlow Semi Condensed" w:hAnsi="Barlow Semi Condensed"/>
          <w:sz w:val="24"/>
          <w:szCs w:val="24"/>
        </w:rPr>
        <w:t xml:space="preserve"> L'apartheid non fu un clima ma un ordinamento con testi: leggi, libri bianchi, relazioni di commissione, sentenze. La dottrina detta della strategia totale fu formulata sotto P.W. Botha e ha un documento fondativo nel libro bianco della difesa del 1977. Non appartiene a Pik Botha, che era altro uomo, altra famiglia, altro ministero. La confusione fra i due Botha è l'errore più diffuso su questa materia.</w:t>
      </w:r>
    </w:p>
    <w:p>
      <w:pPr>
        <w:spacing w:after="120" w:line="276"/>
        <w:jc w:val="both"/>
      </w:pPr>
      <w:r>
        <w:rPr>
          <w:rFonts w:ascii="Barlow Semi Condensed" w:cs="Barlow Semi Condensed" w:eastAsia="Barlow Semi Condensed" w:hAnsi="Barlow Semi Condensed"/>
          <w:b/>
          <w:bCs/>
          <w:sz w:val="24"/>
          <w:szCs w:val="24"/>
        </w:rPr>
        <w:t xml:space="preserve">778 · Il registro come unica prova d'appartenenza.</w:t>
      </w:r>
      <w:r>
        <w:rPr>
          <w:rFonts w:ascii="Barlow Semi Condensed" w:cs="Barlow Semi Condensed" w:eastAsia="Barlow Semi Condensed" w:hAnsi="Barlow Semi Condensed"/>
          <w:sz w:val="24"/>
          <w:szCs w:val="24"/>
        </w:rPr>
        <w:t xml:space="preserve"> Per un'organizzazione riservata, l'unica prova ammissibile di appartenenza è un registro nominativo. Sulla società afrikaner segreta esiste, dal 1978, un'opera giornalistica che ne pubblicò elenchi: quella, e non altro, è la base per affermare o negare un'iscrizione. Per nessuna delle persone viventi nominate in quest'opera si afferma né si suppone alcuna iscrizione, e questo va scritto per intero.</w:t>
      </w:r>
    </w:p>
    <w:p>
      <w:pPr>
        <w:spacing w:after="120" w:line="276"/>
        <w:jc w:val="both"/>
      </w:pPr>
      <w:r>
        <w:rPr>
          <w:rFonts w:ascii="Barlow Semi Condensed" w:cs="Barlow Semi Condensed" w:eastAsia="Barlow Semi Condensed" w:hAnsi="Barlow Semi Condensed"/>
          <w:b/>
          <w:bCs/>
          <w:sz w:val="24"/>
          <w:szCs w:val="24"/>
        </w:rPr>
        <w:t xml:space="preserve">779 · Il memorandum del 1969 come dottrina d'archivio.</w:t>
      </w:r>
      <w:r>
        <w:rPr>
          <w:rFonts w:ascii="Barlow Semi Condensed" w:cs="Barlow Semi Condensed" w:eastAsia="Barlow Semi Condensed" w:hAnsi="Barlow Semi Condensed"/>
          <w:sz w:val="24"/>
          <w:szCs w:val="24"/>
        </w:rPr>
        <w:t xml:space="preserve"> Che una dottrina possa essere documentata per intero lo mostra il memorandum di studio sulla sicurezza nazionale dedicato all'Africa australe nel 1969, redatto sotto la direzione di Henry Kissinger e da tempo declassificato. Chi voglia sapere che cosa Washington deliberò allora lo legge lì, nella serie diplomatica ufficiale statunitense. È il termine di paragone: così si presenta una dottrina provata, e non altrimenti.</w:t>
      </w:r>
    </w:p>
    <w:p>
      <w:pPr>
        <w:spacing w:after="120" w:line="276"/>
        <w:jc w:val="both"/>
      </w:pPr>
      <w:r>
        <w:rPr>
          <w:rFonts w:ascii="Barlow Semi Condensed" w:cs="Barlow Semi Condensed" w:eastAsia="Barlow Semi Condensed" w:hAnsi="Barlow Semi Condensed"/>
          <w:b/>
          <w:bCs/>
          <w:sz w:val="24"/>
          <w:szCs w:val="24"/>
        </w:rPr>
        <w:t xml:space="preserve">780 · Ciò che questa serie non ha stabilito.</w:t>
      </w:r>
      <w:r>
        <w:rPr>
          <w:rFonts w:ascii="Barlow Semi Condensed" w:cs="Barlow Semi Condensed" w:eastAsia="Barlow Semi Condensed" w:hAnsi="Barlow Semi Condensed"/>
          <w:sz w:val="24"/>
          <w:szCs w:val="24"/>
        </w:rPr>
        <w:t xml:space="preserve"> Nessun blocco di questa serie stabilisce che una dottrina si trasmetta per sangue, per nazionalità o per contiguità aziendale. L'unico ponte documentato del corpus con questa materia resta il nodo E-16 di triangolazioni-guevara-moro.md, il discorso all'Assemblea Generale dell'11 dicembre 1964. Tutto il resto è quesito, regola o lacuna dichiarata. Chi troverà i documenti chiuderà i quesiti; chi non li cerca non ha smentito nulla.</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Serie undicesima — Il denaro: veicoli, giurisdizioni, e ciò che è pubblico</w:t>
      </w:r>
    </w:p>
    <w:p>
      <w:pPr>
        <w:spacing w:after="120" w:line="276"/>
        <w:jc w:val="both"/>
      </w:pPr>
      <w:r>
        <w:rPr>
          <w:rFonts w:ascii="Barlow Semi Condensed" w:cs="Barlow Semi Condensed" w:eastAsia="Barlow Semi Condensed" w:hAnsi="Barlow Semi Condensed"/>
          <w:i/>
          <w:iCs/>
          <w:sz w:val="24"/>
          <w:szCs w:val="24"/>
        </w:rPr>
        <w:t xml:space="preserve">Blocchi 781-855.</w:t>
      </w:r>
    </w:p>
    <w:p>
      <w:pPr>
        <w:spacing w:after="120" w:line="276"/>
        <w:jc w:val="both"/>
      </w:pPr>
      <w:r>
        <w:rPr>
          <w:rFonts w:ascii="Barlow Semi Condensed" w:cs="Barlow Semi Condensed" w:eastAsia="Barlow Semi Condensed" w:hAnsi="Barlow Semi Condensed"/>
          <w:b/>
          <w:bCs/>
          <w:sz w:val="24"/>
          <w:szCs w:val="24"/>
        </w:rPr>
        <w:t xml:space="preserve">781 · Il perimetro del deposito pubblico.</w:t>
      </w:r>
      <w:r>
        <w:rPr>
          <w:rFonts w:ascii="Barlow Semi Condensed" w:cs="Barlow Semi Condensed" w:eastAsia="Barlow Semi Condensed" w:hAnsi="Barlow Semi Condensed"/>
          <w:sz w:val="24"/>
          <w:szCs w:val="24"/>
        </w:rPr>
        <w:t xml:space="preserve"> Prima di chiedere dove sia il denaro conviene fissare che cosa un deposito obbliga a rivelare. Negli Stati Uniti il regime procede per moduli e per soglie: il modulo ADV per chi gestisce fondi privati, il modulo D per i collocamenti esenti, lo schema 13D o 13G oltre il cinque per cento di una classe quotata. Ogni modulo ha campi obbligatori e silenzi leciti. La ricerca lavora sui campi e verbalizza i silenzi.</w:t>
      </w:r>
    </w:p>
    <w:p>
      <w:pPr>
        <w:spacing w:after="120" w:line="276"/>
        <w:jc w:val="both"/>
      </w:pPr>
      <w:r>
        <w:rPr>
          <w:rFonts w:ascii="Barlow Semi Condensed" w:cs="Barlow Semi Condensed" w:eastAsia="Barlow Semi Condensed" w:hAnsi="Barlow Semi Condensed"/>
          <w:b/>
          <w:bCs/>
          <w:sz w:val="24"/>
          <w:szCs w:val="24"/>
        </w:rPr>
        <w:t xml:space="preserve">782 · Il modulo ADV e il suo limite.</w:t>
      </w:r>
      <w:r>
        <w:rPr>
          <w:rFonts w:ascii="Barlow Semi Condensed" w:cs="Barlow Semi Condensed" w:eastAsia="Barlow Semi Condensed" w:hAnsi="Barlow Semi Condensed"/>
          <w:sz w:val="24"/>
          <w:szCs w:val="24"/>
        </w:rPr>
        <w:t xml:space="preserve"> Il gestore di fondi di venture capital che si avvale dell'esenzione prevista dall'Investment Advisers Act deposita una parte soltanto del modulo ADV, consultabile sulla banca dati pubblica degli intermediari della SEC. La sezione 7.B.1 dell'allegato D elenca ciascun fondo: denominazione, giurisdizione di costituzione, valore lordo dell'attivo, numero di titolari effettivi, revisore e depositario. Non elenca i sottoscrittori. Chi vi cerca i nomi dei soci accomandanti cerca in un campo che non esiste.</w:t>
      </w:r>
    </w:p>
    <w:p>
      <w:pPr>
        <w:spacing w:after="120" w:line="276"/>
        <w:jc w:val="both"/>
      </w:pPr>
      <w:r>
        <w:rPr>
          <w:rFonts w:ascii="Barlow Semi Condensed" w:cs="Barlow Semi Condensed" w:eastAsia="Barlow Semi Condensed" w:hAnsi="Barlow Semi Condensed"/>
          <w:b/>
          <w:bCs/>
          <w:sz w:val="24"/>
          <w:szCs w:val="24"/>
        </w:rPr>
        <w:t xml:space="preserve">783 · Il modulo D dice l'offerta.</w:t>
      </w:r>
      <w:r>
        <w:rPr>
          <w:rFonts w:ascii="Barlow Semi Condensed" w:cs="Barlow Semi Condensed" w:eastAsia="Barlow Semi Condensed" w:hAnsi="Barlow Semi Condensed"/>
          <w:sz w:val="24"/>
          <w:szCs w:val="24"/>
        </w:rPr>
        <w:t xml:space="preserve"> Il modulo D notifica alla SEC un collocamento esente ai sensi del regolamento D e finisce su EDGAR. Contiene la denominazione dell'emittente, lo Stato di costituzione, i dirigenti e gli amministratori con indirizzo, l'importo offerto, l'importo venduto e il numero degli investitori. Non contiene i loro nomi. È un documento eccellente per datare una raccolta e pessimo per identificare chi vi abbia partecipato: confondere le due funzioni resta l'errore più comune.</w:t>
      </w:r>
    </w:p>
    <w:p>
      <w:pPr>
        <w:spacing w:after="120" w:line="276"/>
        <w:jc w:val="both"/>
      </w:pPr>
      <w:r>
        <w:rPr>
          <w:rFonts w:ascii="Barlow Semi Condensed" w:cs="Barlow Semi Condensed" w:eastAsia="Barlow Semi Condensed" w:hAnsi="Barlow Semi Condensed"/>
          <w:b/>
          <w:bCs/>
          <w:sz w:val="24"/>
          <w:szCs w:val="24"/>
        </w:rPr>
        <w:t xml:space="preserve">784 · Il modulo PF non è pubblico.</w:t>
      </w:r>
      <w:r>
        <w:rPr>
          <w:rFonts w:ascii="Barlow Semi Condensed" w:cs="Barlow Semi Condensed" w:eastAsia="Barlow Semi Condensed" w:hAnsi="Barlow Semi Condensed"/>
          <w:sz w:val="24"/>
          <w:szCs w:val="24"/>
        </w:rPr>
        <w:t xml:space="preserve"> Esiste un modulo che descrive in dettaglio i fondi privati, ed è precluso alla ricerca: il modulo PF, riservato per legge, va alla SEC e al consiglio di vigilanza sulla stabilità finanziaria, mai alla banca dati aperta. Vi si aggiunge che il gestore esente da registrazione non lo deposita affatto. Chi immagina che l'autorità di vigilanza tenga un registro consultabile dei portafogli di venture capital immagina un archivio mai aperto.</w:t>
      </w:r>
    </w:p>
    <w:p>
      <w:pPr>
        <w:spacing w:after="120" w:line="276"/>
        <w:jc w:val="both"/>
      </w:pPr>
      <w:r>
        <w:rPr>
          <w:rFonts w:ascii="Barlow Semi Condensed" w:cs="Barlow Semi Condensed" w:eastAsia="Barlow Semi Condensed" w:hAnsi="Barlow Semi Condensed"/>
          <w:b/>
          <w:bCs/>
          <w:sz w:val="24"/>
          <w:szCs w:val="24"/>
        </w:rPr>
        <w:t xml:space="preserve">785 · Il 13F e ciò che non copre.</w:t>
      </w:r>
      <w:r>
        <w:rPr>
          <w:rFonts w:ascii="Barlow Semi Condensed" w:cs="Barlow Semi Condensed" w:eastAsia="Barlow Semi Condensed" w:hAnsi="Barlow Semi Condensed"/>
          <w:sz w:val="24"/>
          <w:szCs w:val="24"/>
        </w:rPr>
        <w:t xml:space="preserve"> Il modulo 13F obbliga i gestori istituzionali sopra i cento milioni di dollari a dichiarare ogni trimestre le posizioni in titoli quotati compresi nell'elenco della SEC. Non riguarda le partecipazioni in società non quotate, che sono esattamente il mestiere del venture capital. Un fondo può detenere quote decisive di dieci imprese private e comparire nel 13F soltanto per le poche già approdate in borsa. La visibilità del modulo è inversamente proporzionale al suo interesse.</w:t>
      </w:r>
    </w:p>
    <w:p>
      <w:pPr>
        <w:spacing w:after="120" w:line="276"/>
        <w:jc w:val="both"/>
      </w:pPr>
      <w:r>
        <w:rPr>
          <w:rFonts w:ascii="Barlow Semi Condensed" w:cs="Barlow Semi Condensed" w:eastAsia="Barlow Semi Condensed" w:hAnsi="Barlow Semi Condensed"/>
          <w:b/>
          <w:bCs/>
          <w:sz w:val="24"/>
          <w:szCs w:val="24"/>
        </w:rPr>
        <w:t xml:space="preserve">786 · La soglia del cinque per cento.</w:t>
      </w:r>
      <w:r>
        <w:rPr>
          <w:rFonts w:ascii="Barlow Semi Condensed" w:cs="Barlow Semi Condensed" w:eastAsia="Barlow Semi Condensed" w:hAnsi="Barlow Semi Condensed"/>
          <w:sz w:val="24"/>
          <w:szCs w:val="24"/>
        </w:rPr>
        <w:t xml:space="preserve"> Superato il cinque per cento di una classe di titoli registrati scatta lo schema 13D o, per l'investitore passivo, il 13G. Da quel momento il nome, l'indirizzo, la fonte dei fondi e lo scopo dell'acquisto diventano atti pubblici su EDGAR. Sotto la soglia non esiste obbligo. È la regola che spiega perché di una stessa persona si conosca la posizione in una società quotata e nulla di quella nella società vicina.</w:t>
      </w:r>
    </w:p>
    <w:p>
      <w:pPr>
        <w:spacing w:after="120" w:line="276"/>
        <w:jc w:val="both"/>
      </w:pPr>
      <w:r>
        <w:rPr>
          <w:rFonts w:ascii="Barlow Semi Condensed" w:cs="Barlow Semi Condensed" w:eastAsia="Barlow Semi Condensed" w:hAnsi="Barlow Semi Condensed"/>
          <w:b/>
          <w:bCs/>
          <w:sz w:val="24"/>
          <w:szCs w:val="24"/>
        </w:rPr>
        <w:t xml:space="preserve">787 · Il prospetto è il documento madre.</w:t>
      </w:r>
      <w:r>
        <w:rPr>
          <w:rFonts w:ascii="Barlow Semi Condensed" w:cs="Barlow Semi Condensed" w:eastAsia="Barlow Semi Condensed" w:hAnsi="Barlow Semi Condensed"/>
          <w:sz w:val="24"/>
          <w:szCs w:val="24"/>
        </w:rPr>
        <w:t xml:space="preserve"> Il documento che più di ogni altro apre i libri di un'impresa privata è il prospetto di quotazione, il modulo S-1. Vi compaiono per obbligo la tavola dei titolari oltre il cinque per cento, gli amministratori con le rispettive quote, le operazioni con parti correlate e la storia delle emissioni. È l'unico momento in cui una struttura proprietaria costruita per anni nel privato viene depositata per intero presso un'autorità pubblica.</w:t>
      </w:r>
    </w:p>
    <w:p>
      <w:pPr>
        <w:spacing w:after="120" w:line="276"/>
        <w:jc w:val="both"/>
      </w:pPr>
      <w:r>
        <w:rPr>
          <w:rFonts w:ascii="Barlow Semi Condensed" w:cs="Barlow Semi Condensed" w:eastAsia="Barlow Semi Condensed" w:hAnsi="Barlow Semi Condensed"/>
          <w:b/>
          <w:bCs/>
          <w:sz w:val="24"/>
          <w:szCs w:val="24"/>
        </w:rPr>
        <w:t xml:space="preserve">788 · La fondazione privata rendiconta per intero.</w:t>
      </w:r>
      <w:r>
        <w:rPr>
          <w:rFonts w:ascii="Barlow Semi Condensed" w:cs="Barlow Semi Condensed" w:eastAsia="Barlow Semi Condensed" w:hAnsi="Barlow Semi Condensed"/>
          <w:sz w:val="24"/>
          <w:szCs w:val="24"/>
        </w:rPr>
        <w:t xml:space="preserve"> Negli Stati Uniti la fondazione privata deposita ogni anno il modulo 990-PF, pubblico e integrale: attivo, investimenti, compensi degli amministratori, elenco nominativo delle erogazioni con importo e destinatario e, a differenza degli enti di pubblica utilità, elenco dei contributori sostanziali. È la finestra più larga che l'ordinamento statunitense offra su una ricchezza privata. Si consulta dalla banca dati degli enti esenti dell'Internal Revenue Service e dai repertori che la rispecchiano.</w:t>
      </w:r>
    </w:p>
    <w:p>
      <w:pPr>
        <w:spacing w:after="120" w:line="276"/>
        <w:jc w:val="both"/>
      </w:pPr>
      <w:r>
        <w:rPr>
          <w:rFonts w:ascii="Barlow Semi Condensed" w:cs="Barlow Semi Condensed" w:eastAsia="Barlow Semi Condensed" w:hAnsi="Barlow Semi Condensed"/>
          <w:b/>
          <w:bCs/>
          <w:sz w:val="24"/>
          <w:szCs w:val="24"/>
        </w:rPr>
        <w:t xml:space="preserve">789 · Il fondo consigliato spegne la traccia.</w:t>
      </w:r>
      <w:r>
        <w:rPr>
          <w:rFonts w:ascii="Barlow Semi Condensed" w:cs="Barlow Semi Condensed" w:eastAsia="Barlow Semi Condensed" w:hAnsi="Barlow Semi Condensed"/>
          <w:sz w:val="24"/>
          <w:szCs w:val="24"/>
        </w:rPr>
        <w:t xml:space="preserve"> Il veicolo che più efficacemente interrompe la tracciabilità filantropica non è opaco per abuso ma per disegno. Nel fondo consigliato dal donatore l'ente ospitante riceve, deduce e poi eroga in nome proprio: il rendiconto del beneficiario registra l'ente, non il donatore originario. La catena resta pubblica alle due estremità e muta nel mezzo. Ogni ricerca su erogazioni filantropiche deve dichiarare se il passaggio esaminato attraversi un veicolo di questo tipo.</w:t>
      </w:r>
    </w:p>
    <w:p>
      <w:pPr>
        <w:spacing w:after="120" w:line="276"/>
        <w:jc w:val="both"/>
      </w:pPr>
      <w:r>
        <w:rPr>
          <w:rFonts w:ascii="Barlow Semi Condensed" w:cs="Barlow Semi Condensed" w:eastAsia="Barlow Semi Condensed" w:hAnsi="Barlow Semi Condensed"/>
          <w:b/>
          <w:bCs/>
          <w:sz w:val="24"/>
          <w:szCs w:val="24"/>
        </w:rPr>
        <w:t xml:space="preserve">790 · L'allegato B e le sue discipline.</w:t>
      </w:r>
      <w:r>
        <w:rPr>
          <w:rFonts w:ascii="Barlow Semi Condensed" w:cs="Barlow Semi Condensed" w:eastAsia="Barlow Semi Condensed" w:hAnsi="Barlow Semi Condensed"/>
          <w:sz w:val="24"/>
          <w:szCs w:val="24"/>
        </w:rPr>
        <w:t xml:space="preserve"> Una distinzione tecnica che cambia gli esiti: l'allegato B dei contributori è pubblico nei depositi delle fondazioni private e viene invece oscurato nelle copie pubbliche dei moduli 990 degli enti di pubblica utilità. Dal medesimo formulario, dunque, si ricava un elenco di finanziatori in un caso e nulla nell'altro. Chi confronta due enti senza distinguerne la natura fiscale confronta due documenti che non dicono la stessa cosa.</w:t>
      </w:r>
    </w:p>
    <w:p>
      <w:pPr>
        <w:spacing w:after="120" w:line="276"/>
        <w:jc w:val="both"/>
      </w:pPr>
      <w:r>
        <w:rPr>
          <w:rFonts w:ascii="Barlow Semi Condensed" w:cs="Barlow Semi Condensed" w:eastAsia="Barlow Semi Condensed" w:hAnsi="Barlow Semi Condensed"/>
          <w:b/>
          <w:bCs/>
          <w:sz w:val="24"/>
          <w:szCs w:val="24"/>
        </w:rPr>
        <w:t xml:space="preserve">791 · Il segreto delle dichiarazioni fiscali.</w:t>
      </w:r>
      <w:r>
        <w:rPr>
          <w:rFonts w:ascii="Barlow Semi Condensed" w:cs="Barlow Semi Condensed" w:eastAsia="Barlow Semi Condensed" w:hAnsi="Barlow Semi Condensed"/>
          <w:sz w:val="24"/>
          <w:szCs w:val="24"/>
        </w:rPr>
        <w:t xml:space="preserve"> La dichiarazione dei redditi di una persona fisica è protetta, negli Stati Uniti, dalla sezione 6103 del codice tributario, e non è accessibile ad alcun ricercatore. Ne discende una regola dura: qualunque affermazione fondata su documenti fiscali individuali non è verificabile da un terzo, quale che sia l'autorevolezza di chi la pubblica. Si registra la fonte, si registra l'impossibilità del riscontro, e non si promuove l'affermazione di grado.</w:t>
      </w:r>
    </w:p>
    <w:p>
      <w:pPr>
        <w:spacing w:after="120" w:line="276"/>
        <w:jc w:val="both"/>
      </w:pPr>
      <w:r>
        <w:rPr>
          <w:rFonts w:ascii="Barlow Semi Condensed" w:cs="Barlow Semi Condensed" w:eastAsia="Barlow Semi Condensed" w:hAnsi="Barlow Semi Condensed"/>
          <w:b/>
          <w:bCs/>
          <w:sz w:val="24"/>
          <w:szCs w:val="24"/>
        </w:rPr>
        <w:t xml:space="preserve">792 · Il trust americano non ha registro.</w:t>
      </w:r>
      <w:r>
        <w:rPr>
          <w:rFonts w:ascii="Barlow Semi Condensed" w:cs="Barlow Semi Condensed" w:eastAsia="Barlow Semi Condensed" w:hAnsi="Barlow Semi Condensed"/>
          <w:sz w:val="24"/>
          <w:szCs w:val="24"/>
        </w:rPr>
        <w:t xml:space="preserve"> Non esiste negli Stati Uniti un registro pubblico dei trust. L'atto istitutivo è un contratto privato; il patrimonio conferito non compare in alcun elenco consultabile; le donazioni si dichiarano con un modulo fiscale riservato. Un trust diventa leggibile soltanto per accidente: se entra in un contenzioso, se compare in una successione aperta in tribunale, se detiene titoli oltre soglia in una società quotata. Fuori da questi tre accidenti la traccia non c'è.</w:t>
      </w:r>
    </w:p>
    <w:p>
      <w:pPr>
        <w:spacing w:after="120" w:line="276"/>
        <w:jc w:val="both"/>
      </w:pPr>
      <w:r>
        <w:rPr>
          <w:rFonts w:ascii="Barlow Semi Condensed" w:cs="Barlow Semi Condensed" w:eastAsia="Barlow Semi Condensed" w:hAnsi="Barlow Semi Condensed"/>
          <w:b/>
          <w:bCs/>
          <w:sz w:val="24"/>
          <w:szCs w:val="24"/>
        </w:rPr>
        <w:t xml:space="preserve">793 · La società del Delaware tace.</w:t>
      </w:r>
      <w:r>
        <w:rPr>
          <w:rFonts w:ascii="Barlow Semi Condensed" w:cs="Barlow Semi Condensed" w:eastAsia="Barlow Semi Condensed" w:hAnsi="Barlow Semi Condensed"/>
          <w:sz w:val="24"/>
          <w:szCs w:val="24"/>
        </w:rPr>
        <w:t xml:space="preserve"> Il certificato di costituzione depositato presso la Division of Corporations del Delaware attesta denominazione, data, agente registrato e capitale autorizzato. Non attesta chi possieda le azioni. Il rapporto annuale per la tassa di concessione elenca gli amministratori, non i soci. Per la società a responsabilità limitata non è depositato neppure l'elenco dei membri. Chi cerca la compagine di una società del Delaware in un registro pubblico cerca un documento che quello Stato non produce.</w:t>
      </w:r>
    </w:p>
    <w:p>
      <w:pPr>
        <w:spacing w:after="120" w:line="276"/>
        <w:jc w:val="both"/>
      </w:pPr>
      <w:r>
        <w:rPr>
          <w:rFonts w:ascii="Barlow Semi Condensed" w:cs="Barlow Semi Condensed" w:eastAsia="Barlow Semi Condensed" w:hAnsi="Barlow Semi Condensed"/>
          <w:b/>
          <w:bCs/>
          <w:sz w:val="24"/>
          <w:szCs w:val="24"/>
        </w:rPr>
        <w:t xml:space="preserve">794 · L'accomandante invisibile per legge.</w:t>
      </w:r>
      <w:r>
        <w:rPr>
          <w:rFonts w:ascii="Barlow Semi Condensed" w:cs="Barlow Semi Condensed" w:eastAsia="Barlow Semi Condensed" w:hAnsi="Barlow Semi Condensed"/>
          <w:sz w:val="24"/>
          <w:szCs w:val="24"/>
        </w:rPr>
        <w:t xml:space="preserve"> Nella limited partnership del Delaware il certificato di costituzione nomina il socio accomandatario e tace sugli accomandanti. Poiché quasi tutti i fondi di venture capital adottano questa forma, la conseguenza è strutturale: l'ordinamento che ospita il maggior numero di veicoli d'investimento al mondo non pubblica l'identità di chi vi mette il denaro. È uno Stato Zero d'ordinamento e non di ricerca: nessun archivio lo chiude, perché nessun archivio lo ha mai raccolto.</w:t>
      </w:r>
    </w:p>
    <w:p>
      <w:pPr>
        <w:spacing w:after="120" w:line="276"/>
        <w:jc w:val="both"/>
      </w:pPr>
      <w:r>
        <w:rPr>
          <w:rFonts w:ascii="Barlow Semi Condensed" w:cs="Barlow Semi Condensed" w:eastAsia="Barlow Semi Condensed" w:hAnsi="Barlow Semi Condensed"/>
          <w:b/>
          <w:bCs/>
          <w:sz w:val="24"/>
          <w:szCs w:val="24"/>
        </w:rPr>
        <w:t xml:space="preserve">795 · Le Cayman e il registro chiuso.</w:t>
      </w:r>
      <w:r>
        <w:rPr>
          <w:rFonts w:ascii="Barlow Semi Condensed" w:cs="Barlow Semi Condensed" w:eastAsia="Barlow Semi Condensed" w:hAnsi="Barlow Semi Condensed"/>
          <w:sz w:val="24"/>
          <w:szCs w:val="24"/>
        </w:rPr>
        <w:t xml:space="preserve"> L'exempted limited partnership delle Isole Cayman è registrata presso il General Registry, che ne certifica l'esistenza e non la compagine: il registro dei soci accomandanti è tenuto presso la sede legale ed è sottratto alla consultazione. La legge del 2023 sulla trasparenza dei titolari effettivi, in vigore dal 2024, istituisce un registro accessibile alle sole autorità competenti. Anche dopo la riforma, per il ricercatore la traccia si ferma alla denominazione.</w:t>
      </w:r>
    </w:p>
    <w:p>
      <w:pPr>
        <w:spacing w:after="120" w:line="276"/>
        <w:jc w:val="both"/>
      </w:pPr>
      <w:r>
        <w:rPr>
          <w:rFonts w:ascii="Barlow Semi Condensed" w:cs="Barlow Semi Condensed" w:eastAsia="Barlow Semi Condensed" w:hAnsi="Barlow Semi Condensed"/>
          <w:b/>
          <w:bCs/>
          <w:sz w:val="24"/>
          <w:szCs w:val="24"/>
        </w:rPr>
        <w:t xml:space="preserve">796 · Il registro FinCEN mai pubblico.</w:t>
      </w:r>
      <w:r>
        <w:rPr>
          <w:rFonts w:ascii="Barlow Semi Condensed" w:cs="Barlow Semi Condensed" w:eastAsia="Barlow Semi Condensed" w:hAnsi="Barlow Semi Condensed"/>
          <w:sz w:val="24"/>
          <w:szCs w:val="24"/>
        </w:rPr>
        <w:t xml:space="preserve"> Il Corporate Transparency Act statunitense ha imposto dal primo gennaio 2024 la comunicazione dei titolari effettivi al FinCEN, con accesso riservato ad autorità determinate e mai al pubblico. Nel marzo 2025 una disciplina provvisoria ha esentato dall'obbligo le società costituite negli Stati Uniti, limitandolo alle entità estere registrate. Chi cita quel registro come fonte disponibile cita un archivio mai consultabile e che, per le società interne, ha smesso di formarsi.</w:t>
      </w:r>
    </w:p>
    <w:p>
      <w:pPr>
        <w:spacing w:after="120" w:line="276"/>
        <w:jc w:val="both"/>
      </w:pPr>
      <w:r>
        <w:rPr>
          <w:rFonts w:ascii="Barlow Semi Condensed" w:cs="Barlow Semi Condensed" w:eastAsia="Barlow Semi Condensed" w:hAnsi="Barlow Semi Condensed"/>
          <w:b/>
          <w:bCs/>
          <w:sz w:val="24"/>
          <w:szCs w:val="24"/>
        </w:rPr>
        <w:t xml:space="preserve">797 · Companies House: aperto e non verificato.</w:t>
      </w:r>
      <w:r>
        <w:rPr>
          <w:rFonts w:ascii="Barlow Semi Condensed" w:cs="Barlow Semi Condensed" w:eastAsia="Barlow Semi Condensed" w:hAnsi="Barlow Semi Condensed"/>
          <w:sz w:val="24"/>
          <w:szCs w:val="24"/>
        </w:rPr>
        <w:t xml:space="preserve"> Il registro britannico è il più generoso fra i grandi: bilanci, dichiarazione annuale e registro delle persone con controllo significativo si scaricano gratuitamente. Ha però un vizio noto: fino alla riforma del 2023 nessun obbligo di verifica d'identità gravava su chi depositava. Un deposito di Companies House è dunque una dichiarazione, non un'attestazione. Si cita come prova di ciò che qualcuno ha dichiarato, mai come prova di ciò che è.</w:t>
      </w:r>
    </w:p>
    <w:p>
      <w:pPr>
        <w:spacing w:after="120" w:line="276"/>
        <w:jc w:val="both"/>
      </w:pPr>
      <w:r>
        <w:rPr>
          <w:rFonts w:ascii="Barlow Semi Condensed" w:cs="Barlow Semi Condensed" w:eastAsia="Barlow Semi Condensed" w:hAnsi="Barlow Semi Condensed"/>
          <w:b/>
          <w:bCs/>
          <w:sz w:val="24"/>
          <w:szCs w:val="24"/>
        </w:rPr>
        <w:t xml:space="preserve">798 · La sentenza che chiuse i registri europei.</w:t>
      </w:r>
      <w:r>
        <w:rPr>
          <w:rFonts w:ascii="Barlow Semi Condensed" w:cs="Barlow Semi Condensed" w:eastAsia="Barlow Semi Condensed" w:hAnsi="Barlow Semi Condensed"/>
          <w:sz w:val="24"/>
          <w:szCs w:val="24"/>
        </w:rPr>
        <w:t xml:space="preserve"> Il 22 novembre 2022 la Corte di giustizia dell'Unione europea, nelle cause riunite C-37/20 e C-601/20, ha dichiarato invalida la norma della quinta direttiva antiriciclaggio che apriva al pubblico i registri dei titolari effettivi. Numerosi Stati hanno chiuso l'accesso nei giorni successivi. Il pacchetto del 2024 lo riapre a chi dimostri un interesse legittimo, con applicazione differita. Ogni ricerca europea in materia va datata: quella finestra si è chiusa e riaprirà diversa.</w:t>
      </w:r>
    </w:p>
    <w:p>
      <w:pPr>
        <w:spacing w:after="120" w:line="276"/>
        <w:jc w:val="both"/>
      </w:pPr>
      <w:r>
        <w:rPr>
          <w:rFonts w:ascii="Barlow Semi Condensed" w:cs="Barlow Semi Condensed" w:eastAsia="Barlow Semi Condensed" w:hAnsi="Barlow Semi Condensed"/>
          <w:b/>
          <w:bCs/>
          <w:sz w:val="24"/>
          <w:szCs w:val="24"/>
        </w:rPr>
        <w:t xml:space="preserve">799 · Il registro svizzero dice le società.</w:t>
      </w:r>
      <w:r>
        <w:rPr>
          <w:rFonts w:ascii="Barlow Semi Condensed" w:cs="Barlow Semi Condensed" w:eastAsia="Barlow Semi Condensed" w:hAnsi="Barlow Semi Condensed"/>
          <w:sz w:val="24"/>
          <w:szCs w:val="24"/>
        </w:rPr>
        <w:t xml:space="preserve"> L'indice centrale delle ditte della Confederazione è pubblico e consente di risalire a sede, scopo, organi e diritti di firma di ogni società iscritta. Non esiste invece un registro pubblico dei titolari effettivi: il progetto federale in materia prevede un archivio riservato alle autorità. Il segreto bancario dell'articolo 47 della legge del 1934 resta un limite ulteriore. In Svizzera si documenta la forma giuridica e quasi mai la proprietà economica.</w:t>
      </w:r>
    </w:p>
    <w:p>
      <w:pPr>
        <w:spacing w:after="120" w:line="276"/>
        <w:jc w:val="both"/>
      </w:pPr>
      <w:r>
        <w:rPr>
          <w:rFonts w:ascii="Barlow Semi Condensed" w:cs="Barlow Semi Condensed" w:eastAsia="Barlow Semi Condensed" w:hAnsi="Barlow Semi Condensed"/>
          <w:b/>
          <w:bCs/>
          <w:sz w:val="24"/>
          <w:szCs w:val="24"/>
        </w:rPr>
        <w:t xml:space="preserve">800 · Le isole e il costo dell'informazione.</w:t>
      </w:r>
      <w:r>
        <w:rPr>
          <w:rFonts w:ascii="Barlow Semi Condensed" w:cs="Barlow Semi Condensed" w:eastAsia="Barlow Semi Condensed" w:hAnsi="Barlow Semi Condensed"/>
          <w:sz w:val="24"/>
          <w:szCs w:val="24"/>
        </w:rPr>
        <w:t xml:space="preserve"> Nelle Isole Vergini britanniche il registro degli amministratori è depositato e consultabile a pagamento in forma limitata; i conti annuali vanno all'agente registrato e non al registro; l'identità dei soci non è pubblica. Jersey e Guernsey tengono registri dei titolari effettivi chiusi al pubblico. La regola pratica è che in queste giurisdizioni si compra l'esistenza dell'entità e non la sua sostanza: e ciò che si compra va citato per quello che è.</w:t>
      </w:r>
    </w:p>
    <w:p>
      <w:pPr>
        <w:spacing w:after="120" w:line="276"/>
        <w:jc w:val="both"/>
      </w:pPr>
      <w:r>
        <w:rPr>
          <w:rFonts w:ascii="Barlow Semi Condensed" w:cs="Barlow Semi Condensed" w:eastAsia="Barlow Semi Condensed" w:hAnsi="Barlow Semi Condensed"/>
          <w:b/>
          <w:bCs/>
          <w:sz w:val="24"/>
          <w:szCs w:val="24"/>
        </w:rPr>
        <w:t xml:space="preserve">801 · Il Lussemburgo e il fascicolo depositato.</w:t>
      </w:r>
      <w:r>
        <w:rPr>
          <w:rFonts w:ascii="Barlow Semi Condensed" w:cs="Barlow Semi Condensed" w:eastAsia="Barlow Semi Condensed" w:hAnsi="Barlow Semi Condensed"/>
          <w:sz w:val="24"/>
          <w:szCs w:val="24"/>
        </w:rPr>
        <w:t xml:space="preserve"> Il Registre de commerce et des sociétés lussemburghese pubblica atti costitutivi e conti annuali, anche di molti veicoli d'investimento: è una delle poche piazze in cui la struttura di un fondo lascia traccia documentale consultabile. Il registro dei titolari effettivi, invece, ha subìto le conseguenze della pronuncia del 2022 che lo riguardava direttamente. Chi lavora sul Lussemburgo deve distinguere i due registri: uno resta aperto, l'altro no.</w:t>
      </w:r>
    </w:p>
    <w:p>
      <w:pPr>
        <w:spacing w:after="120" w:line="276"/>
        <w:jc w:val="both"/>
      </w:pPr>
      <w:r>
        <w:rPr>
          <w:rFonts w:ascii="Barlow Semi Condensed" w:cs="Barlow Semi Condensed" w:eastAsia="Barlow Semi Condensed" w:hAnsi="Barlow Semi Condensed"/>
          <w:b/>
          <w:bCs/>
          <w:sz w:val="24"/>
          <w:szCs w:val="24"/>
        </w:rPr>
        <w:t xml:space="preserve">802 · Nuova Zelanda: le decisioni pubblicate.</w:t>
      </w:r>
      <w:r>
        <w:rPr>
          <w:rFonts w:ascii="Barlow Semi Condensed" w:cs="Barlow Semi Condensed" w:eastAsia="Barlow Semi Condensed" w:hAnsi="Barlow Semi Condensed"/>
          <w:sz w:val="24"/>
          <w:szCs w:val="24"/>
        </w:rPr>
        <w:t xml:space="preserve"> L'ufficio neozelandese per gli investimenti esteri pubblica ogni mese il sommario delle decisioni assunte: richiedente, entità, bene acquisito, condizioni imposte. È un registro pubblico di acquisti fondiari da parte di stranieri, raro nel suo genere e integralmente consultabile. Vi si affianca il registro delle società, anch'esso aperto. Per chi indaga residenze, cittadinanze concesse e proprietà nell'emisfero australe questi sono documenti primari, non ricostruzioni giornalistiche.</w:t>
      </w:r>
    </w:p>
    <w:p>
      <w:pPr>
        <w:spacing w:after="120" w:line="276"/>
        <w:jc w:val="both"/>
      </w:pPr>
      <w:r>
        <w:rPr>
          <w:rFonts w:ascii="Barlow Semi Condensed" w:cs="Barlow Semi Condensed" w:eastAsia="Barlow Semi Condensed" w:hAnsi="Barlow Semi Condensed"/>
          <w:b/>
          <w:bCs/>
          <w:sz w:val="24"/>
          <w:szCs w:val="24"/>
        </w:rPr>
        <w:t xml:space="preserve">803 · Il CIPC e i fascicoli storici.</w:t>
      </w:r>
      <w:r>
        <w:rPr>
          <w:rFonts w:ascii="Barlow Semi Condensed" w:cs="Barlow Semi Condensed" w:eastAsia="Barlow Semi Condensed" w:hAnsi="Barlow Semi Condensed"/>
          <w:sz w:val="24"/>
          <w:szCs w:val="24"/>
        </w:rPr>
        <w:t xml:space="preserve"> La Companies and Intellectual Property Commission di Pretoria conserva i fascicoli delle società sudafricane, comprese quelle costituite sotto le leggi del 1926 e del 1973: statuti, variazioni di compagine, amministratori nel tempo. Dal 2023 vi si deposita anche l'informazione sui titolari effettivi, con accesso non generalizzato. È la sede di ogni verifica su attività imprenditoriali in Sud Africa, e la sola capace di trasformare un racconto familiare in un atto societario.</w:t>
      </w:r>
    </w:p>
    <w:p>
      <w:pPr>
        <w:spacing w:after="120" w:line="276"/>
        <w:jc w:val="both"/>
      </w:pPr>
      <w:r>
        <w:rPr>
          <w:rFonts w:ascii="Barlow Semi Condensed" w:cs="Barlow Semi Condensed" w:eastAsia="Barlow Semi Condensed" w:hAnsi="Barlow Semi Condensed"/>
          <w:b/>
          <w:bCs/>
          <w:sz w:val="24"/>
          <w:szCs w:val="24"/>
        </w:rPr>
        <w:t xml:space="preserve">804 · Windhoek: BIPA e l'archivio nazionale.</w:t>
      </w:r>
      <w:r>
        <w:rPr>
          <w:rFonts w:ascii="Barlow Semi Condensed" w:cs="Barlow Semi Condensed" w:eastAsia="Barlow Semi Condensed" w:hAnsi="Barlow Semi Condensed"/>
          <w:sz w:val="24"/>
          <w:szCs w:val="24"/>
        </w:rPr>
        <w:t xml:space="preserve"> In Namibia il registro delle imprese è tenuto dalla Business and Intellectual Property Authority di Windhoek, istituita con la legge del 2016. Per il periodo anteriore all'indipendenza, quando il territorio era amministrato dal Sud Africa, gli atti societari e amministrativi vanno cercati negli Archivi nazionali della Namibia, sempre a Windhoek, e nei fondi corrispondenti di Pretoria. La ricerca sull'Africa del Sud-Ovest è dunque doppia: due sedi, due ordinamenti, un territorio.</w:t>
      </w:r>
    </w:p>
    <w:p>
      <w:pPr>
        <w:spacing w:after="120" w:line="276"/>
        <w:jc w:val="both"/>
      </w:pPr>
      <w:r>
        <w:rPr>
          <w:rFonts w:ascii="Barlow Semi Condensed" w:cs="Barlow Semi Condensed" w:eastAsia="Barlow Semi Condensed" w:hAnsi="Barlow Semi Condensed"/>
          <w:b/>
          <w:bCs/>
          <w:sz w:val="24"/>
          <w:szCs w:val="24"/>
        </w:rPr>
        <w:t xml:space="preserve">805 · Il rand finanziario come vincolo strutturale.</w:t>
      </w:r>
      <w:r>
        <w:rPr>
          <w:rFonts w:ascii="Barlow Semi Condensed" w:cs="Barlow Semi Condensed" w:eastAsia="Barlow Semi Condensed" w:hAnsi="Barlow Semi Condensed"/>
          <w:sz w:val="24"/>
          <w:szCs w:val="24"/>
        </w:rPr>
        <w:t xml:space="preserve"> Fra il 1979 e il 1995, con un'interruzione, il Sud Africa mantenne un cambio doppio: il rand commerciale e il rand finanziario, quest'ultimo riservato ai movimenti di capitale dei non residenti e sistematicamente svalutato. Chi lasciava il Paese non poteva trasferire liberamente il proprio patrimonio. È un fatto macroeconomico documentato che vincola ogni ipotesi di continuità patrimoniale fra Sud Africa e California: il trasferimento, se avvenne, avvenne dentro una gabbia normativa databile.</w:t>
      </w:r>
    </w:p>
    <w:p>
      <w:pPr>
        <w:spacing w:after="120" w:line="276"/>
        <w:jc w:val="both"/>
      </w:pPr>
      <w:r>
        <w:rPr>
          <w:rFonts w:ascii="Barlow Semi Condensed" w:cs="Barlow Semi Condensed" w:eastAsia="Barlow Semi Condensed" w:hAnsi="Barlow Semi Condensed"/>
          <w:b/>
          <w:bCs/>
          <w:sz w:val="24"/>
          <w:szCs w:val="24"/>
        </w:rPr>
        <w:t xml:space="preserve">806 · La Reserve Bank e il fascicolo riservato.</w:t>
      </w:r>
      <w:r>
        <w:rPr>
          <w:rFonts w:ascii="Barlow Semi Condensed" w:cs="Barlow Semi Condensed" w:eastAsia="Barlow Semi Condensed" w:hAnsi="Barlow Semi Condensed"/>
          <w:sz w:val="24"/>
          <w:szCs w:val="24"/>
        </w:rPr>
        <w:t xml:space="preserve"> Le autorizzazioni ai movimenti di capitale erano istruite dal dipartimento di sorveglianza finanziaria della South African Reserve Bank, in applicazione dei regolamenti sui cambi del 1961. Quei fascicoli individuali esistono e sono coperti da riservatezza: non sono aperti al ricercatore. È uno Stato Zero preciso, con sede nominata e con la norma che lo produce. La domanda resta formulabile e la risposta resta oggi indisponibile: si scrive così, e non altrimenti.</w:t>
      </w:r>
    </w:p>
    <w:p>
      <w:pPr>
        <w:spacing w:after="120" w:line="276"/>
        <w:jc w:val="both"/>
      </w:pPr>
      <w:r>
        <w:rPr>
          <w:rFonts w:ascii="Barlow Semi Condensed" w:cs="Barlow Semi Condensed" w:eastAsia="Barlow Semi Condensed" w:hAnsi="Barlow Semi Condensed"/>
          <w:b/>
          <w:bCs/>
          <w:sz w:val="24"/>
          <w:szCs w:val="24"/>
        </w:rPr>
        <w:t xml:space="preserve">807 · Le audizioni della TRC sull'economia.</w:t>
      </w:r>
      <w:r>
        <w:rPr>
          <w:rFonts w:ascii="Barlow Semi Condensed" w:cs="Barlow Semi Condensed" w:eastAsia="Barlow Semi Condensed" w:hAnsi="Barlow Semi Condensed"/>
          <w:sz w:val="24"/>
          <w:szCs w:val="24"/>
        </w:rPr>
        <w:t xml:space="preserve"> La Truth and Reconciliation Commission dedicò al settore economico un'audizione istituzionale nel novembre 1997, i cui atti e le cui conclusioni stanno nel rapporto finale, volume quarto, con ulteriori accertamenti nei volumi conclusivi del 2003. È la sede in cui il rapporto fra impresa e apartheid è stato istruito con procedura pubblica. Chi voglia trattare le responsabilità economiche del regime ha qui un documento, e non deve inventarne uno.</w:t>
      </w:r>
    </w:p>
    <w:p>
      <w:pPr>
        <w:spacing w:after="120" w:line="276"/>
        <w:jc w:val="both"/>
      </w:pPr>
      <w:r>
        <w:rPr>
          <w:rFonts w:ascii="Barlow Semi Condensed" w:cs="Barlow Semi Condensed" w:eastAsia="Barlow Semi Condensed" w:hAnsi="Barlow Semi Condensed"/>
          <w:b/>
          <w:bCs/>
          <w:sz w:val="24"/>
          <w:szCs w:val="24"/>
        </w:rPr>
        <w:t xml:space="preserve">808 · Dove stanno le carte della Commissione.</w:t>
      </w:r>
      <w:r>
        <w:rPr>
          <w:rFonts w:ascii="Barlow Semi Condensed" w:cs="Barlow Semi Condensed" w:eastAsia="Barlow Semi Condensed" w:hAnsi="Barlow Semi Condensed"/>
          <w:sz w:val="24"/>
          <w:szCs w:val="24"/>
        </w:rPr>
        <w:t xml:space="preserve"> Gli atti della Truth and Reconciliation Commission sono conservati presso il National Archives and Records Service of South Africa a Pretoria; una parte del materiale, e una lunga vicenda di accesso, passa dal South African History Archive di Johannesburg, che ha promosso richieste e contenziosi per l'apertura di fondi rimasti chiusi. Prima di dichiarare irreperibile un documento della Commissione occorre aver interpellato entrambe le sedi, e averlo scritto.</w:t>
      </w:r>
    </w:p>
    <w:p>
      <w:pPr>
        <w:spacing w:after="120" w:line="276"/>
        <w:jc w:val="both"/>
      </w:pPr>
      <w:r>
        <w:rPr>
          <w:rFonts w:ascii="Barlow Semi Condensed" w:cs="Barlow Semi Condensed" w:eastAsia="Barlow Semi Condensed" w:hAnsi="Barlow Semi Condensed"/>
          <w:b/>
          <w:bCs/>
          <w:sz w:val="24"/>
          <w:szCs w:val="24"/>
        </w:rPr>
        <w:t xml:space="preserve">809 · Il Bureau di Amsterdam e le navi.</w:t>
      </w:r>
      <w:r>
        <w:rPr>
          <w:rFonts w:ascii="Barlow Semi Condensed" w:cs="Barlow Semi Condensed" w:eastAsia="Barlow Semi Condensed" w:hAnsi="Barlow Semi Condensed"/>
          <w:sz w:val="24"/>
          <w:szCs w:val="24"/>
        </w:rPr>
        <w:t xml:space="preserve"> Lo Shipping Research Bureau documentò fra il 1980 e il 1995 le consegne di petrolio al Sud Africa in violazione dell'embargo, ricostruendo rotte, carichi e armatori. Il suo archivio è depositato presso l'Internationaal Instituut voor Sociale Geschiedenis di Amsterdam. È il precedente metodologico più utile a questa serie: un flusso occultato ricostruito per indizi materiali, nave per nave, senza mai disporre della contabilità dell'operatore.</w:t>
      </w:r>
    </w:p>
    <w:p>
      <w:pPr>
        <w:spacing w:after="120" w:line="276"/>
        <w:jc w:val="both"/>
      </w:pPr>
      <w:r>
        <w:rPr>
          <w:rFonts w:ascii="Barlow Semi Condensed" w:cs="Barlow Semi Condensed" w:eastAsia="Barlow Semi Condensed" w:hAnsi="Barlow Semi Condensed"/>
          <w:b/>
          <w:bCs/>
          <w:sz w:val="24"/>
          <w:szCs w:val="24"/>
        </w:rPr>
        <w:t xml:space="preserve">810 · Il decreto numero uno per la Namibia.</w:t>
      </w:r>
      <w:r>
        <w:rPr>
          <w:rFonts w:ascii="Barlow Semi Condensed" w:cs="Barlow Semi Condensed" w:eastAsia="Barlow Semi Condensed" w:hAnsi="Barlow Semi Condensed"/>
          <w:sz w:val="24"/>
          <w:szCs w:val="24"/>
        </w:rPr>
        <w:t xml:space="preserve"> Il Consiglio delle Nazioni Unite per la Namibia adottò nel 1974 il Decreto n. 1 sulla protezione delle risorse naturali, che vietava estrazione ed esportazione senza autorizzazione del Consiglio. Il testo, le risoluzioni collegate e i verbali del Consiglio si consultano nella biblioteca digitale delle Nazioni Unite e negli archivi dell'Organizzazione a New York. È il quadro giuridico entro cui va letta ogni attività estrattiva nel territorio in quegli anni.</w:t>
      </w:r>
    </w:p>
    <w:p>
      <w:pPr>
        <w:spacing w:after="120" w:line="276"/>
        <w:jc w:val="both"/>
      </w:pPr>
      <w:r>
        <w:rPr>
          <w:rFonts w:ascii="Barlow Semi Condensed" w:cs="Barlow Semi Condensed" w:eastAsia="Barlow Semi Condensed" w:hAnsi="Barlow Semi Condensed"/>
          <w:b/>
          <w:bCs/>
          <w:sz w:val="24"/>
          <w:szCs w:val="24"/>
        </w:rPr>
        <w:t xml:space="preserve">811 · Il parere della Corte internazionale.</w:t>
      </w:r>
      <w:r>
        <w:rPr>
          <w:rFonts w:ascii="Barlow Semi Condensed" w:cs="Barlow Semi Condensed" w:eastAsia="Barlow Semi Condensed" w:hAnsi="Barlow Semi Condensed"/>
          <w:sz w:val="24"/>
          <w:szCs w:val="24"/>
        </w:rPr>
        <w:t xml:space="preserve"> La risoluzione 2145 dell'Assemblea generale, del 27 ottobre 1966, pose fine al mandato sudafricano sul Sud-Ovest africano; il Consiglio di sicurezza ne trasse la risoluzione 276 del 1970; il 21 giugno 1971 la Corte internazionale di giustizia dichiarò illegittima la presenza sudafricana e ne indicò le conseguenze per gli Stati. Sono atti primari, citabili per esteso, e fissano lo statuto internazionale del luogo dove sorgeva il cantiere di Rössing.</w:t>
      </w:r>
    </w:p>
    <w:p>
      <w:pPr>
        <w:spacing w:after="120" w:line="276"/>
        <w:jc w:val="both"/>
      </w:pPr>
      <w:r>
        <w:rPr>
          <w:rFonts w:ascii="Barlow Semi Condensed" w:cs="Barlow Semi Condensed" w:eastAsia="Barlow Semi Condensed" w:hAnsi="Barlow Semi Condensed"/>
          <w:b/>
          <w:bCs/>
          <w:sz w:val="24"/>
          <w:szCs w:val="24"/>
        </w:rPr>
        <w:t xml:space="preserve">812 · Le liste del Centro contro l'apartheid.</w:t>
      </w:r>
      <w:r>
        <w:rPr>
          <w:rFonts w:ascii="Barlow Semi Condensed" w:cs="Barlow Semi Condensed" w:eastAsia="Barlow Semi Condensed" w:hAnsi="Barlow Semi Condensed"/>
          <w:sz w:val="24"/>
          <w:szCs w:val="24"/>
        </w:rPr>
        <w:t xml:space="preserve"> Il Centro delle Nazioni Unite contro l'apartheid pubblicò negli anni Ottanta elenchi di imprese transnazionali attive in Sud Africa e in Namibia, con sedi e partecipazioni. Sono documenti ufficiali, datati e reperibili nella biblioteca digitale dell'Organizzazione. Costituiscono la base di partenza più solida per stabilire quali società operassero nel territorio in un anno determinato, prima di rivolgersi ai registri nazionali per il dettaglio societario.</w:t>
      </w:r>
    </w:p>
    <w:p>
      <w:pPr>
        <w:spacing w:after="120" w:line="276"/>
        <w:jc w:val="both"/>
      </w:pPr>
      <w:r>
        <w:rPr>
          <w:rFonts w:ascii="Barlow Semi Condensed" w:cs="Barlow Semi Condensed" w:eastAsia="Barlow Semi Condensed" w:hAnsi="Barlow Semi Condensed"/>
          <w:b/>
          <w:bCs/>
          <w:sz w:val="24"/>
          <w:szCs w:val="24"/>
        </w:rPr>
        <w:t xml:space="preserve">813 · Rössing: la proprietà in un deposito.</w:t>
      </w:r>
      <w:r>
        <w:rPr>
          <w:rFonts w:ascii="Barlow Semi Condensed" w:cs="Barlow Semi Condensed" w:eastAsia="Barlow Semi Condensed" w:hAnsi="Barlow Semi Condensed"/>
          <w:sz w:val="24"/>
          <w:szCs w:val="24"/>
        </w:rPr>
        <w:t xml:space="preserve"> L'assetto proprietario della Rössing Uranium Limited è documentato nei bilanci del gruppo Rio Tinto, che la controllò per decenni, e per il tramite della quotazione statunitense nei depositi annuali presso la SEC. Vi figurano nel tempo la quota di maggioranza del gruppo, la partecipazione statale namibiana e le quote di terzi, fino al mutamento di controllo del 2019. È una struttura dell'Africa australe leggibile in documenti scaricabili da chiunque.</w:t>
      </w:r>
    </w:p>
    <w:p>
      <w:pPr>
        <w:spacing w:after="120" w:line="276"/>
        <w:jc w:val="both"/>
      </w:pPr>
      <w:r>
        <w:rPr>
          <w:rFonts w:ascii="Barlow Semi Condensed" w:cs="Barlow Semi Condensed" w:eastAsia="Barlow Semi Condensed" w:hAnsi="Barlow Semi Condensed"/>
          <w:b/>
          <w:bCs/>
          <w:sz w:val="24"/>
          <w:szCs w:val="24"/>
        </w:rPr>
        <w:t xml:space="preserve">814 · Kew e i fascicoli governativi britannici.</w:t>
      </w:r>
      <w:r>
        <w:rPr>
          <w:rFonts w:ascii="Barlow Semi Condensed" w:cs="Barlow Semi Condensed" w:eastAsia="Barlow Semi Condensed" w:hAnsi="Barlow Semi Condensed"/>
          <w:sz w:val="24"/>
          <w:szCs w:val="24"/>
        </w:rPr>
        <w:t xml:space="preserve"> I contratti di fornitura di uranio namibiano verso il Regno Unito e la loro discussione parlamentare hanno lasciato traccia negli atti di Westminster e nei fondi dei ministeri competenti conservati ai National Archives di Kew. Il quesito da portarvi è preciso: quali autorizzazioni furono rilasciate, con quali riserve rispetto al Decreto n. 1, in quali anni. È verifica documentale ordinaria e non richiede alcuna ipotesi preliminare.</w:t>
      </w:r>
    </w:p>
    <w:p>
      <w:pPr>
        <w:spacing w:after="120" w:line="276"/>
        <w:jc w:val="both"/>
      </w:pPr>
      <w:r>
        <w:rPr>
          <w:rFonts w:ascii="Barlow Semi Condensed" w:cs="Barlow Semi Condensed" w:eastAsia="Barlow Semi Condensed" w:hAnsi="Barlow Semi Condensed"/>
          <w:b/>
          <w:bCs/>
          <w:sz w:val="24"/>
          <w:szCs w:val="24"/>
        </w:rPr>
        <w:t xml:space="preserve">815 · Zip2 e la visibilità per riflesso.</w:t>
      </w:r>
      <w:r>
        <w:rPr>
          <w:rFonts w:ascii="Barlow Semi Condensed" w:cs="Barlow Semi Condensed" w:eastAsia="Barlow Semi Condensed" w:hAnsi="Barlow Semi Condensed"/>
          <w:sz w:val="24"/>
          <w:szCs w:val="24"/>
        </w:rPr>
        <w:t xml:space="preserve"> Una società privata diventa visibile quando la compra una società quotata: il corrispettivo, la forma del pagamento e talvolta la ripartizione fra i venditori entrano nei documenti dell'acquirente. È la regola di lettura che governa la prima parte di questa vicenda: le cessioni della fine degli anni Novanta si documentano non presso l'impresa ceduta, che non depositava nulla, ma presso l'acquirente, che depositava tutto. Si cerca dal lato illuminato.</w:t>
      </w:r>
    </w:p>
    <w:p>
      <w:pPr>
        <w:spacing w:after="120" w:line="276"/>
        <w:jc w:val="both"/>
      </w:pPr>
      <w:r>
        <w:rPr>
          <w:rFonts w:ascii="Barlow Semi Condensed" w:cs="Barlow Semi Condensed" w:eastAsia="Barlow Semi Condensed" w:hAnsi="Barlow Semi Condensed"/>
          <w:b/>
          <w:bCs/>
          <w:sz w:val="24"/>
          <w:szCs w:val="24"/>
        </w:rPr>
        <w:t xml:space="preserve">816 · Il prospetto del 2001 come cardine.</w:t>
      </w:r>
      <w:r>
        <w:rPr>
          <w:rFonts w:ascii="Barlow Semi Condensed" w:cs="Barlow Semi Condensed" w:eastAsia="Barlow Semi Condensed" w:hAnsi="Barlow Semi Condensed"/>
          <w:sz w:val="24"/>
          <w:szCs w:val="24"/>
        </w:rPr>
        <w:t xml:space="preserve"> Il prospetto di quotazione depositato da PayPal nel settembre 2001 e la successiva documentazione della fusione con eBay del 2002 contengono la tavola dei titolari rilevanti, le cariche e le operazioni con parti correlate. È il primo documento in cui le posizioni delle persone poi divenute celebri sono attestate da un deposito obbligatorio e non da una ricostruzione. Ogni affermazione sulle quote iniziali va misurata su quelle tavole, e su nient'altro.</w:t>
      </w:r>
    </w:p>
    <w:p>
      <w:pPr>
        <w:spacing w:after="120" w:line="276"/>
        <w:jc w:val="both"/>
      </w:pPr>
      <w:r>
        <w:rPr>
          <w:rFonts w:ascii="Barlow Semi Condensed" w:cs="Barlow Semi Condensed" w:eastAsia="Barlow Semi Condensed" w:hAnsi="Barlow Semi Condensed"/>
          <w:b/>
          <w:bCs/>
          <w:sz w:val="24"/>
          <w:szCs w:val="24"/>
        </w:rPr>
        <w:t xml:space="preserve">817 · Due registranti con lo stesso nome.</w:t>
      </w:r>
      <w:r>
        <w:rPr>
          <w:rFonts w:ascii="Barlow Semi Condensed" w:cs="Barlow Semi Condensed" w:eastAsia="Barlow Semi Condensed" w:hAnsi="Barlow Semi Condensed"/>
          <w:sz w:val="24"/>
          <w:szCs w:val="24"/>
        </w:rPr>
        <w:t xml:space="preserve"> Attenzione a un'insidia di ricerca: la PayPal quotata nel 2002 e acquisita da eBay e la PayPal Holdings nata dalla scissione del 2015 sono due registranti distinti, con codici e fascicoli diversi su EDGAR. Interrogare il secondo per fatti del 2001 restituisce un archivio vuoto e la falsa impressione di un vuoto documentale. È l'omologo societario della confusione fra due omonimi: stesso nome, entità diverse.</w:t>
      </w:r>
    </w:p>
    <w:p>
      <w:pPr>
        <w:spacing w:after="120" w:line="276"/>
        <w:jc w:val="both"/>
      </w:pPr>
      <w:r>
        <w:rPr>
          <w:rFonts w:ascii="Barlow Semi Condensed" w:cs="Barlow Semi Condensed" w:eastAsia="Barlow Semi Condensed" w:hAnsi="Barlow Semi Condensed"/>
          <w:b/>
          <w:bCs/>
          <w:sz w:val="24"/>
          <w:szCs w:val="24"/>
        </w:rPr>
        <w:t xml:space="preserve">818 · Il gruppo secondo la legge.</w:t>
      </w:r>
      <w:r>
        <w:rPr>
          <w:rFonts w:ascii="Barlow Semi Condensed" w:cs="Barlow Semi Condensed" w:eastAsia="Barlow Semi Condensed" w:hAnsi="Barlow Semi Condensed"/>
          <w:sz w:val="24"/>
          <w:szCs w:val="24"/>
        </w:rPr>
        <w:t xml:space="preserve"> La legge statunitense conosce una nozione precisa di gruppo: se più persone si accordano per acquistare o detenere insieme titoli oltre soglia, l'accordo va dichiarato in un deposito congiunto. Esiste dunque un test verificabile della categoria giornalistica nata nel 2007: cercare su EDGAR depositi congiunti fra quei nomi. L'esito negativo, se confermato, va scritto, perché distingue una fotografia di gruppo da una struttura riconosciuta dall'ordinamento.</w:t>
      </w:r>
    </w:p>
    <w:p>
      <w:pPr>
        <w:spacing w:after="120" w:line="276"/>
        <w:jc w:val="both"/>
      </w:pPr>
      <w:r>
        <w:rPr>
          <w:rFonts w:ascii="Barlow Semi Condensed" w:cs="Barlow Semi Condensed" w:eastAsia="Barlow Semi Condensed" w:hAnsi="Barlow Semi Condensed"/>
          <w:b/>
          <w:bCs/>
          <w:sz w:val="24"/>
          <w:szCs w:val="24"/>
        </w:rPr>
        <w:t xml:space="preserve">819 · Il gestore registrato e quello esente.</w:t>
      </w:r>
      <w:r>
        <w:rPr>
          <w:rFonts w:ascii="Barlow Semi Condensed" w:cs="Barlow Semi Condensed" w:eastAsia="Barlow Semi Condensed" w:hAnsi="Barlow Semi Condensed"/>
          <w:sz w:val="24"/>
          <w:szCs w:val="24"/>
        </w:rPr>
        <w:t xml:space="preserve"> Non tutti i gestori stanno sullo stesso gradino informativo. Chi si limita al venture capital resta esente e deposita poco; chi apre la propria attività a strutture aperte e a strumenti quotati si registra e deposita anche la parte narrativa del modulo ADV, che descrive commissioni, conflitti e società affiliate. La scelta organizzativa determina quanto di un fondo sia leggibile: si accerta caso per caso sulla banca dati pubblica della SEC.</w:t>
      </w:r>
    </w:p>
    <w:p>
      <w:pPr>
        <w:spacing w:after="120" w:line="276"/>
        <w:jc w:val="both"/>
      </w:pPr>
      <w:r>
        <w:rPr>
          <w:rFonts w:ascii="Barlow Semi Condensed" w:cs="Barlow Semi Condensed" w:eastAsia="Barlow Semi Condensed" w:hAnsi="Barlow Semi Condensed"/>
          <w:b/>
          <w:bCs/>
          <w:sz w:val="24"/>
          <w:szCs w:val="24"/>
        </w:rPr>
        <w:t xml:space="preserve">820 · La società spaziale e il silenzio legittimo.</w:t>
      </w:r>
      <w:r>
        <w:rPr>
          <w:rFonts w:ascii="Barlow Semi Condensed" w:cs="Barlow Semi Condensed" w:eastAsia="Barlow Semi Condensed" w:hAnsi="Barlow Semi Condensed"/>
          <w:sz w:val="24"/>
          <w:szCs w:val="24"/>
        </w:rPr>
        <w:t xml:space="preserve"> Un'impresa rimasta privata per oltre vent'anni, finanziata con collocamenti esenti, non deposita bilanci, non convoca assemblee pubbliche, non pubblica compensi. Di essa esistono su EDGAR i moduli D con importi e date, e null'altro. Non è opacità: è il regime ordinario del capitale privato negli Stati Uniti. Chi ne deduce una volontà di occultamento attribuisce a una scelta di struttura un significato che la struttura non ha.</w:t>
      </w:r>
    </w:p>
    <w:p>
      <w:pPr>
        <w:spacing w:after="120" w:line="276"/>
        <w:jc w:val="both"/>
      </w:pPr>
      <w:r>
        <w:rPr>
          <w:rFonts w:ascii="Barlow Semi Condensed" w:cs="Barlow Semi Condensed" w:eastAsia="Barlow Semi Condensed" w:hAnsi="Barlow Semi Condensed"/>
          <w:b/>
          <w:bCs/>
          <w:sz w:val="24"/>
          <w:szCs w:val="24"/>
        </w:rPr>
        <w:t xml:space="preserve">821 · I moduli D anteriori al 2009.</w:t>
      </w:r>
      <w:r>
        <w:rPr>
          <w:rFonts w:ascii="Barlow Semi Condensed" w:cs="Barlow Semi Condensed" w:eastAsia="Barlow Semi Condensed" w:hAnsi="Barlow Semi Condensed"/>
          <w:sz w:val="24"/>
          <w:szCs w:val="24"/>
        </w:rPr>
        <w:t xml:space="preserve"> Il deposito elettronico del modulo D è obbligatorio dal 2009. Le notifiche relative ai finanziamenti della seconda metà degli anni Novanta furono depositate su carta e non compaiono nella ricerca a testo pieno di EDGAR. Il quesito d'archivio è dunque materiale: richiedere alla SEC, per via di accesso agli atti, le copie cartacee relative agli emittenti e agli anni indicati. Finché non è fatto, l'assenza online non è un'assenza.</w:t>
      </w:r>
    </w:p>
    <w:p>
      <w:pPr>
        <w:spacing w:after="120" w:line="276"/>
        <w:jc w:val="both"/>
      </w:pPr>
      <w:r>
        <w:rPr>
          <w:rFonts w:ascii="Barlow Semi Condensed" w:cs="Barlow Semi Condensed" w:eastAsia="Barlow Semi Condensed" w:hAnsi="Barlow Semi Condensed"/>
          <w:b/>
          <w:bCs/>
          <w:sz w:val="24"/>
          <w:szCs w:val="24"/>
        </w:rPr>
        <w:t xml:space="preserve">822 · La notifica californiana come via laterale.</w:t>
      </w:r>
      <w:r>
        <w:rPr>
          <w:rFonts w:ascii="Barlow Semi Condensed" w:cs="Barlow Semi Condensed" w:eastAsia="Barlow Semi Condensed" w:hAnsi="Barlow Semi Condensed"/>
          <w:sz w:val="24"/>
          <w:szCs w:val="24"/>
        </w:rPr>
        <w:t xml:space="preserve"> L'ordinamento della California impone all'emittente che si avvalga dell'esenzione statale il deposito di una notifica presso l'autorità di vigilanza finanziaria, oggi il Department of Financial Protection and Innovation. È una fonte poco frequentata e potenzialmente decisiva per i collocamenti della Silicon Valley degli anni Novanta, quando il canale federale era cartaceo. Il blocco è un compito: verificare tempi di conservazione e regime di accesso di quelle notifiche.</w:t>
      </w:r>
    </w:p>
    <w:p>
      <w:pPr>
        <w:spacing w:after="120" w:line="276"/>
        <w:jc w:val="both"/>
      </w:pPr>
      <w:r>
        <w:rPr>
          <w:rFonts w:ascii="Barlow Semi Condensed" w:cs="Barlow Semi Condensed" w:eastAsia="Barlow Semi Condensed" w:hAnsi="Barlow Semi Condensed"/>
          <w:b/>
          <w:bCs/>
          <w:sz w:val="24"/>
          <w:szCs w:val="24"/>
        </w:rPr>
        <w:t xml:space="preserve">823 · La miniera senza titolo.</w:t>
      </w:r>
      <w:r>
        <w:rPr>
          <w:rFonts w:ascii="Barlow Semi Condensed" w:cs="Barlow Semi Condensed" w:eastAsia="Barlow Semi Condensed" w:hAnsi="Barlow Semi Condensed"/>
          <w:sz w:val="24"/>
          <w:szCs w:val="24"/>
        </w:rPr>
        <w:t xml:space="preserve"> Sulla miniera di smeraldi attribuita al padre di Elon Musk esiste una divergenza pubblica che il corpus riporta e non scioglie: il padre rivendica un'attività informale in Zambia; il figlio ha negato pubblicamente che una miniera esistesse e ne ha chiesto la prova; il biografo Isaacson descrive l'acquisto informale di pietre grezze. Nessun documento di titolarità è mai emerso. La divergenza resta, e resta la sede che potrebbe chiuderla.</w:t>
      </w:r>
    </w:p>
    <w:p>
      <w:pPr>
        <w:spacing w:after="120" w:line="276"/>
        <w:jc w:val="both"/>
      </w:pPr>
      <w:r>
        <w:rPr>
          <w:rFonts w:ascii="Barlow Semi Condensed" w:cs="Barlow Semi Condensed" w:eastAsia="Barlow Semi Condensed" w:hAnsi="Barlow Semi Condensed"/>
          <w:b/>
          <w:bCs/>
          <w:sz w:val="24"/>
          <w:szCs w:val="24"/>
        </w:rPr>
        <w:t xml:space="preserve">824 · Lusaka: catasto minerario e registro imprese.</w:t>
      </w:r>
      <w:r>
        <w:rPr>
          <w:rFonts w:ascii="Barlow Semi Condensed" w:cs="Barlow Semi Condensed" w:eastAsia="Barlow Semi Condensed" w:hAnsi="Barlow Semi Condensed"/>
          <w:sz w:val="24"/>
          <w:szCs w:val="24"/>
        </w:rPr>
        <w:t xml:space="preserve"> La sede che chiuderebbe il quesito precedente è nominabile con esattezza: il catasto minerario del ministero competente a Lusaka, che registra licenze di prospezione e di estrazione con titolare e coordinate, e l'agenzia zambiana per la registrazione delle imprese, per l'eventuale società. Vi si aggiunge la Gazzetta governativa. Una licenza mineraria, se esiste, ha un numero: la ricerca finisce quando il numero c'è, o quando è verbalizzato che non c'è.</w:t>
      </w:r>
    </w:p>
    <w:p>
      <w:pPr>
        <w:spacing w:after="120" w:line="276"/>
        <w:jc w:val="both"/>
      </w:pPr>
      <w:r>
        <w:rPr>
          <w:rFonts w:ascii="Barlow Semi Condensed" w:cs="Barlow Semi Condensed" w:eastAsia="Barlow Semi Condensed" w:hAnsi="Barlow Semi Condensed"/>
          <w:b/>
          <w:bCs/>
          <w:sz w:val="24"/>
          <w:szCs w:val="24"/>
        </w:rPr>
        <w:t xml:space="preserve">825 · L'attività professionale del padre.</w:t>
      </w:r>
      <w:r>
        <w:rPr>
          <w:rFonts w:ascii="Barlow Semi Condensed" w:cs="Barlow Semi Condensed" w:eastAsia="Barlow Semi Condensed" w:hAnsi="Barlow Semi Condensed"/>
          <w:sz w:val="24"/>
          <w:szCs w:val="24"/>
        </w:rPr>
        <w:t xml:space="preserve"> L'esercizio della professione d'ingegnere in Sud Africa lascia due tracce pubbliche indipendenti: l'iscrizione all'albo professionale nazionale e l'eventuale società o close corporation nei fascicoli del registro di Pretoria. Sono verifiche ordinarie e non intrusive, e riguardano fatti pubblici: iscrizione, denominazione, date. Servono a stabilire che cosa sia documentato di un'attività economica largamente raccontata a voce, e a separare il documentato dal riferito.</w:t>
      </w:r>
    </w:p>
    <w:p>
      <w:pPr>
        <w:spacing w:after="120" w:line="276"/>
        <w:jc w:val="both"/>
      </w:pPr>
      <w:r>
        <w:rPr>
          <w:rFonts w:ascii="Barlow Semi Condensed" w:cs="Barlow Semi Condensed" w:eastAsia="Barlow Semi Condensed" w:hAnsi="Barlow Semi Condensed"/>
          <w:b/>
          <w:bCs/>
          <w:sz w:val="24"/>
          <w:szCs w:val="24"/>
        </w:rPr>
        <w:t xml:space="preserve">826 · Il patrimonio del nonno emigrato.</w:t>
      </w:r>
      <w:r>
        <w:rPr>
          <w:rFonts w:ascii="Barlow Semi Condensed" w:cs="Barlow Semi Condensed" w:eastAsia="Barlow Semi Condensed" w:hAnsi="Barlow Semi Condensed"/>
          <w:sz w:val="24"/>
          <w:szCs w:val="24"/>
        </w:rPr>
        <w:t xml:space="preserve"> Joshua Norman Haldeman emigrò in Sud Africa nel 1950. Le tracce patrimoniali di un'emigrazione simile, se esistono, stanno nei registri fondiari provinciali sudafricani, nei fascicoli societari di Pretoria e, sul versante canadese, nei registri d'impresa provinciali e nelle successioni aperte presso le corti. È un cantiere aperto e mai eseguito. Le opinioni pubbliche di quell'uomo, documentate altrove, non sono un dato patrimoniale e non entrano in questa serie.</w:t>
      </w:r>
    </w:p>
    <w:p>
      <w:pPr>
        <w:spacing w:after="120" w:line="276"/>
        <w:jc w:val="both"/>
      </w:pPr>
      <w:r>
        <w:rPr>
          <w:rFonts w:ascii="Barlow Semi Condensed" w:cs="Barlow Semi Condensed" w:eastAsia="Barlow Semi Condensed" w:hAnsi="Barlow Semi Condensed"/>
          <w:b/>
          <w:bCs/>
          <w:sz w:val="24"/>
          <w:szCs w:val="24"/>
        </w:rPr>
        <w:t xml:space="preserve">827 · Il finanziamento politico prima del 2021.</w:t>
      </w:r>
      <w:r>
        <w:rPr>
          <w:rFonts w:ascii="Barlow Semi Condensed" w:cs="Barlow Semi Condensed" w:eastAsia="Barlow Semi Condensed" w:hAnsi="Barlow Semi Condensed"/>
          <w:sz w:val="24"/>
          <w:szCs w:val="24"/>
        </w:rPr>
        <w:t xml:space="preserve"> In Sud Africa l'obbligo di rendere pubbliche le donazioni ai partiti sopra una soglia determinata è entrato in vigore soltanto nel 2021, in forza della legge del 2018 sul finanziamento dei partiti politici, e le comunicazioni sono pubblicate dalla commissione elettorale. Per tutto il periodo precedente, apartheid compreso, non esiste alcun registro pubblico. Nessuna richiesta d'accesso può produrre un documento che la legge non obbligava a formare.</w:t>
      </w:r>
    </w:p>
    <w:p>
      <w:pPr>
        <w:spacing w:after="120" w:line="276"/>
        <w:jc w:val="both"/>
      </w:pPr>
      <w:r>
        <w:rPr>
          <w:rFonts w:ascii="Barlow Semi Condensed" w:cs="Barlow Semi Condensed" w:eastAsia="Barlow Semi Condensed" w:hAnsi="Barlow Semi Condensed"/>
          <w:b/>
          <w:bCs/>
          <w:sz w:val="24"/>
          <w:szCs w:val="24"/>
        </w:rPr>
        <w:t xml:space="preserve">828 · La finestra svizzera che fu chiusa.</w:t>
      </w:r>
      <w:r>
        <w:rPr>
          <w:rFonts w:ascii="Barlow Semi Condensed" w:cs="Barlow Semi Condensed" w:eastAsia="Barlow Semi Condensed" w:hAnsi="Barlow Semi Condensed"/>
          <w:sz w:val="24"/>
          <w:szCs w:val="24"/>
        </w:rPr>
        <w:t xml:space="preserve"> Nella ricerca storica sulle relazioni fra Svizzera e Sud Africa risulta pubblicamente che l'accesso a documentazione bancaria fu limitato da una decisione del governo federale nei primi anni Duemila, mentre pendevano azioni civili all'estero. Il blocco è un compito preciso: reperire l'atto, datarlo, citarne il dispositivo. Una restrizione d'accesso documentata vale quanto un documento: dice dove la ricerca è stata fermata, e da chi.</w:t>
      </w:r>
    </w:p>
    <w:p>
      <w:pPr>
        <w:spacing w:after="120" w:line="276"/>
        <w:jc w:val="both"/>
      </w:pPr>
      <w:r>
        <w:rPr>
          <w:rFonts w:ascii="Barlow Semi Condensed" w:cs="Barlow Semi Condensed" w:eastAsia="Barlow Semi Condensed" w:hAnsi="Barlow Semi Condensed"/>
          <w:b/>
          <w:bCs/>
          <w:sz w:val="24"/>
          <w:szCs w:val="24"/>
        </w:rPr>
        <w:t xml:space="preserve">829 · Il contenzioso apre i libri.</w:t>
      </w:r>
      <w:r>
        <w:rPr>
          <w:rFonts w:ascii="Barlow Semi Condensed" w:cs="Barlow Semi Condensed" w:eastAsia="Barlow Semi Condensed" w:hAnsi="Barlow Semi Condensed"/>
          <w:sz w:val="24"/>
          <w:szCs w:val="24"/>
        </w:rPr>
        <w:t xml:space="preserve"> Il contenzioso civile è la sola macchina ordinaria che costringa un'impresa privata a produrre i propri libri. Atti, allegati e deposizioni depositati presso una corte diventano di regola consultabili, e negli Stati Uniti si raggiungono dal sistema telematico dei tribunali federali e dai registri delle corti statali. Il ricercatore che ignora i fascicoli giudiziari rinuncia alla fonte più ricca che esista sul capitale privato.</w:t>
      </w:r>
    </w:p>
    <w:p>
      <w:pPr>
        <w:spacing w:after="120" w:line="276"/>
        <w:jc w:val="both"/>
      </w:pPr>
      <w:r>
        <w:rPr>
          <w:rFonts w:ascii="Barlow Semi Condensed" w:cs="Barlow Semi Condensed" w:eastAsia="Barlow Semi Condensed" w:hAnsi="Barlow Semi Condensed"/>
          <w:b/>
          <w:bCs/>
          <w:sz w:val="24"/>
          <w:szCs w:val="24"/>
        </w:rPr>
        <w:t xml:space="preserve">830 · L'azione di accesso ai libri sociali.</w:t>
      </w:r>
      <w:r>
        <w:rPr>
          <w:rFonts w:ascii="Barlow Semi Condensed" w:cs="Barlow Semi Condensed" w:eastAsia="Barlow Semi Condensed" w:hAnsi="Barlow Semi Condensed"/>
          <w:sz w:val="24"/>
          <w:szCs w:val="24"/>
        </w:rPr>
        <w:t xml:space="preserve"> Il diritto societario del Delaware riconosce al socio, a determinate condizioni, il potere di chiedere l'esibizione dei libri sociali, e le controversie che ne nascono producono decisioni pubbliche in cui compaiono documenti interni. È una via indiretta e legittima: non si accede ai libri, si legge ciò che una corte ha ritenuto di riportarne. Le raccolte delle decisioni della Court of Chancery sono integralmente consultabili.</w:t>
      </w:r>
    </w:p>
    <w:p>
      <w:pPr>
        <w:spacing w:after="120" w:line="276"/>
        <w:jc w:val="both"/>
      </w:pPr>
      <w:r>
        <w:rPr>
          <w:rFonts w:ascii="Barlow Semi Condensed" w:cs="Barlow Semi Condensed" w:eastAsia="Barlow Semi Condensed" w:hAnsi="Barlow Semi Condensed"/>
          <w:b/>
          <w:bCs/>
          <w:sz w:val="24"/>
          <w:szCs w:val="24"/>
        </w:rPr>
        <w:t xml:space="preserve">831 · Il fallimento come inventario forzato.</w:t>
      </w:r>
      <w:r>
        <w:rPr>
          <w:rFonts w:ascii="Barlow Semi Condensed" w:cs="Barlow Semi Condensed" w:eastAsia="Barlow Semi Condensed" w:hAnsi="Barlow Semi Condensed"/>
          <w:sz w:val="24"/>
          <w:szCs w:val="24"/>
        </w:rPr>
        <w:t xml:space="preserve"> La procedura concorsuale statunitense obbliga il debitore a depositare elenchi di creditori, contratti in corso e talvolta l'elenco dei soci. È l'unico caso in cui una società privata pubblica una fotografia completa del proprio passivo. Per la ricerca patrimoniale è un giacimento sottoutilizzato: le imprese fallite lasciano più carta pubblica delle imprese prospere. Il fascicolo si consulta presso la corte fallimentare competente.</w:t>
      </w:r>
    </w:p>
    <w:p>
      <w:pPr>
        <w:spacing w:after="120" w:line="276"/>
        <w:jc w:val="both"/>
      </w:pPr>
      <w:r>
        <w:rPr>
          <w:rFonts w:ascii="Barlow Semi Condensed" w:cs="Barlow Semi Condensed" w:eastAsia="Barlow Semi Condensed" w:hAnsi="Barlow Semi Condensed"/>
          <w:b/>
          <w:bCs/>
          <w:sz w:val="24"/>
          <w:szCs w:val="24"/>
        </w:rPr>
        <w:t xml:space="preserve">832 · Successioni e tutele come archivi involontari.</w:t>
      </w:r>
      <w:r>
        <w:rPr>
          <w:rFonts w:ascii="Barlow Semi Condensed" w:cs="Barlow Semi Condensed" w:eastAsia="Barlow Semi Condensed" w:hAnsi="Barlow Semi Condensed"/>
          <w:sz w:val="24"/>
          <w:szCs w:val="24"/>
        </w:rPr>
        <w:t xml:space="preserve"> Il testamento ammesso a successione diventa di regola atto pubblico presso la corte competente, e con esso possono emergere richiami a trust altrimenti invisibili. Anche le procedure di tutela e le controversie familiari producono fascicoli, spesso però sottoposti a segreto. La regola operativa è duplice: verificare sempre l'esistenza di una successione aperta, e non trattare come sottratto ciò che è semplicemente riservato per legge.</w:t>
      </w:r>
    </w:p>
    <w:p>
      <w:pPr>
        <w:spacing w:after="120" w:line="276"/>
        <w:jc w:val="both"/>
      </w:pPr>
      <w:r>
        <w:rPr>
          <w:rFonts w:ascii="Barlow Semi Condensed" w:cs="Barlow Semi Condensed" w:eastAsia="Barlow Semi Condensed" w:hAnsi="Barlow Semi Condensed"/>
          <w:b/>
          <w:bCs/>
          <w:sz w:val="24"/>
          <w:szCs w:val="24"/>
        </w:rPr>
        <w:t xml:space="preserve">833 · I fondi pensione pubblici come specchio.</w:t>
      </w:r>
      <w:r>
        <w:rPr>
          <w:rFonts w:ascii="Barlow Semi Condensed" w:cs="Barlow Semi Condensed" w:eastAsia="Barlow Semi Condensed" w:hAnsi="Barlow Semi Condensed"/>
          <w:sz w:val="24"/>
          <w:szCs w:val="24"/>
        </w:rPr>
        <w:t xml:space="preserve"> L'identità dei sottoscrittori di un fondo di venture capital, invisibile nei registri societari, riemerge da un lato inatteso: i fondi pensione pubblici statunitensi sono tenuti dalle leggi statali sulla trasparenza a pubblicare i veicoli sottoscritti e i loro rendimenti. Le relazioni periodiche del fondo dei dipendenti pubblici californiani e degli enti analoghi nominano fondi, annate, capitale versato e distribuzioni. È la via aperta più solida.</w:t>
      </w:r>
    </w:p>
    <w:p>
      <w:pPr>
        <w:spacing w:after="120" w:line="276"/>
        <w:jc w:val="both"/>
      </w:pPr>
      <w:r>
        <w:rPr>
          <w:rFonts w:ascii="Barlow Semi Condensed" w:cs="Barlow Semi Condensed" w:eastAsia="Barlow Semi Condensed" w:hAnsi="Barlow Semi Condensed"/>
          <w:b/>
          <w:bCs/>
          <w:sz w:val="24"/>
          <w:szCs w:val="24"/>
        </w:rPr>
        <w:t xml:space="preserve">834 · La richiesta agli enti previdenziali.</w:t>
      </w:r>
      <w:r>
        <w:rPr>
          <w:rFonts w:ascii="Barlow Semi Condensed" w:cs="Barlow Semi Condensed" w:eastAsia="Barlow Semi Condensed" w:hAnsi="Barlow Semi Condensed"/>
          <w:sz w:val="24"/>
          <w:szCs w:val="24"/>
        </w:rPr>
        <w:t xml:space="preserve"> Dove la relazione periodica non basta, la via è la richiesta d'accesso agli atti rivolta all'ente previdenziale statale, che di regola risponde con le schede dei singoli veicoli. Le esclusioni riguardano tipicamente i dati commerciali riservati del gestore, non l'esistenza del rapporto. Il blocco fissa la procedura: individuare l'ente, citare la legge statale applicabile, chiedere per annate determinate e verbalizzare anche il diniego.</w:t>
      </w:r>
    </w:p>
    <w:p>
      <w:pPr>
        <w:spacing w:after="120" w:line="276"/>
        <w:jc w:val="both"/>
      </w:pPr>
      <w:r>
        <w:rPr>
          <w:rFonts w:ascii="Barlow Semi Condensed" w:cs="Barlow Semi Condensed" w:eastAsia="Barlow Semi Condensed" w:hAnsi="Barlow Semi Condensed"/>
          <w:b/>
          <w:bCs/>
          <w:sz w:val="24"/>
          <w:szCs w:val="24"/>
        </w:rPr>
        <w:t xml:space="preserve">835 · Gli obblighi dell'insider quotato.</w:t>
      </w:r>
      <w:r>
        <w:rPr>
          <w:rFonts w:ascii="Barlow Semi Condensed" w:cs="Barlow Semi Condensed" w:eastAsia="Barlow Semi Condensed" w:hAnsi="Barlow Semi Condensed"/>
          <w:sz w:val="24"/>
          <w:szCs w:val="24"/>
        </w:rPr>
        <w:t xml:space="preserve"> Chi è amministratore, dirigente o titolare oltre il decimo di una società quotata statunitense deposita i moduli 3, 4 e 5, che registrano ogni operazione entro termini brevissimi. Ne risulta una cronologia patrimoniale continua e pubblica, comprese le donazioni di titoli. Per le persone che quest'opera nomina, l'elenco degli incarichi in società quotate si compila interrogando per cognome la ricerca a testo pieno di EDGAR: fatto pubblico, non inferenza.</w:t>
      </w:r>
    </w:p>
    <w:p>
      <w:pPr>
        <w:spacing w:after="120" w:line="276"/>
        <w:jc w:val="both"/>
      </w:pPr>
      <w:r>
        <w:rPr>
          <w:rFonts w:ascii="Barlow Semi Condensed" w:cs="Barlow Semi Condensed" w:eastAsia="Barlow Semi Condensed" w:hAnsi="Barlow Semi Condensed"/>
          <w:b/>
          <w:bCs/>
          <w:sz w:val="24"/>
          <w:szCs w:val="24"/>
        </w:rPr>
        <w:t xml:space="preserve">836 · Due documenti che chiudono un cerchio.</w:t>
      </w:r>
      <w:r>
        <w:rPr>
          <w:rFonts w:ascii="Barlow Semi Condensed" w:cs="Barlow Semi Condensed" w:eastAsia="Barlow Semi Condensed" w:hAnsi="Barlow Semi Condensed"/>
          <w:sz w:val="24"/>
          <w:szCs w:val="24"/>
        </w:rPr>
        <w:t xml:space="preserve"> Un esercizio esemplare di collazione: la donazione di titoli quotati compare nel modulo 4 dell'insider con data e quantità, e l'ingresso di quegli stessi titoli compare l'anno seguente nel modulo 990-PF della fondazione ricevente. Due depositi obbligatori, due autorità diverse, un unico fatto. Quando la collazione riesce, il passaggio è documentato al primo piano; quando non riesce, si scrive quale dei due documenti manchi.</w:t>
      </w:r>
    </w:p>
    <w:p>
      <w:pPr>
        <w:spacing w:after="120" w:line="276"/>
        <w:jc w:val="both"/>
      </w:pPr>
      <w:r>
        <w:rPr>
          <w:rFonts w:ascii="Barlow Semi Condensed" w:cs="Barlow Semi Condensed" w:eastAsia="Barlow Semi Condensed" w:hAnsi="Barlow Semi Condensed"/>
          <w:b/>
          <w:bCs/>
          <w:sz w:val="24"/>
          <w:szCs w:val="24"/>
        </w:rPr>
        <w:t xml:space="preserve">837 · Le stime di ricchezza non sono depositi.</w:t>
      </w:r>
      <w:r>
        <w:rPr>
          <w:rFonts w:ascii="Barlow Semi Condensed" w:cs="Barlow Semi Condensed" w:eastAsia="Barlow Semi Condensed" w:hAnsi="Barlow Semi Condensed"/>
          <w:sz w:val="24"/>
          <w:szCs w:val="24"/>
        </w:rPr>
        <w:t xml:space="preserve"> Le classifiche patrimoniali pubblicate dalle testate finanziarie sono stime costruite su valori di mercato, quote presunte e sconti di illiquidità. Non sono depositi, non sono verificabili nel dettaglio e cambiano di giorno in giorno. Nel corpus valgono al più come indicatore d'ordine di grandezza, mai come accertamento. Vale la disciplina applicata dai nove cantieri alle cifre del fondo del 1978: si cita la fonte e si dichiara che è una stima.</w:t>
      </w:r>
    </w:p>
    <w:p>
      <w:pPr>
        <w:spacing w:after="120" w:line="276"/>
        <w:jc w:val="both"/>
      </w:pPr>
      <w:r>
        <w:rPr>
          <w:rFonts w:ascii="Barlow Semi Condensed" w:cs="Barlow Semi Condensed" w:eastAsia="Barlow Semi Condensed" w:hAnsi="Barlow Semi Condensed"/>
          <w:b/>
          <w:bCs/>
          <w:sz w:val="24"/>
          <w:szCs w:val="24"/>
        </w:rPr>
        <w:t xml:space="preserve">838 · Le banche dati di fuga documentale.</w:t>
      </w:r>
      <w:r>
        <w:rPr>
          <w:rFonts w:ascii="Barlow Semi Condensed" w:cs="Barlow Semi Condensed" w:eastAsia="Barlow Semi Condensed" w:hAnsi="Barlow Semi Condensed"/>
          <w:sz w:val="24"/>
          <w:szCs w:val="24"/>
        </w:rPr>
        <w:t xml:space="preserve"> Gli archivi pubblicati da consorzi giornalistici a partire da documenti sottratti sono consultabili e talvolta molto precisi. Restano però documenti di provenienza non ufficiale: la presenza di un'entità attesta che un documento di quella provenienza la nomina, e nulla di più; l'assenza non attesta nulla. Si citano dichiarando origine e limite, e non si usano mai per elevare un'affermazione di terzo piano al primo.</w:t>
      </w:r>
    </w:p>
    <w:p>
      <w:pPr>
        <w:spacing w:after="120" w:line="276"/>
        <w:jc w:val="both"/>
      </w:pPr>
      <w:r>
        <w:rPr>
          <w:rFonts w:ascii="Barlow Semi Condensed" w:cs="Barlow Semi Condensed" w:eastAsia="Barlow Semi Condensed" w:hAnsi="Barlow Semi Condensed"/>
          <w:b/>
          <w:bCs/>
          <w:sz w:val="24"/>
          <w:szCs w:val="24"/>
        </w:rPr>
        <w:t xml:space="preserve">839 · La ripetizione non è riscontro (serie XI).</w:t>
      </w:r>
      <w:r>
        <w:rPr>
          <w:rFonts w:ascii="Barlow Semi Condensed" w:cs="Barlow Semi Condensed" w:eastAsia="Barlow Semi Condensed" w:hAnsi="Barlow Semi Condensed"/>
          <w:sz w:val="24"/>
          <w:szCs w:val="24"/>
        </w:rPr>
        <w:t xml:space="preserve"> Su questa materia la rete produce testi identici in decine di siti militanti, in accusa e in difesa, che ripetono le stesse formule senza aggiungere un atto. Il numero delle occorrenze non è un indice di verità: è un indice di copiatura. Vale la regola già fissata dal blocco 9 della triangolazione Kissinger sui falsi positivi: prima di interrogare un archivio si stabilisce che cosa si cerca, perché l'archivio risponde alla domanda.</w:t>
      </w:r>
    </w:p>
    <w:p>
      <w:pPr>
        <w:spacing w:after="120" w:line="276"/>
        <w:jc w:val="both"/>
      </w:pPr>
      <w:r>
        <w:rPr>
          <w:rFonts w:ascii="Barlow Semi Condensed" w:cs="Barlow Semi Condensed" w:eastAsia="Barlow Semi Condensed" w:hAnsi="Barlow Semi Condensed"/>
          <w:b/>
          <w:bCs/>
          <w:sz w:val="24"/>
          <w:szCs w:val="24"/>
        </w:rPr>
        <w:t xml:space="preserve">840 · Datare il regime, non solo il fatto.</w:t>
      </w:r>
      <w:r>
        <w:rPr>
          <w:rFonts w:ascii="Barlow Semi Condensed" w:cs="Barlow Semi Condensed" w:eastAsia="Barlow Semi Condensed" w:hAnsi="Barlow Semi Condensed"/>
          <w:sz w:val="24"/>
          <w:szCs w:val="24"/>
        </w:rPr>
        <w:t xml:space="preserve"> Ogni affermazione di questa serie sulla disponibilità di un'informazione va accompagnata dalla data del regime che la governa, perché i regimi cambiano rapidamente: registri europei chiusi nel 2022, obbligo statunitense sui titolari effettivi introdotto nel 2024 e ristretto nel 2025, verifica d'identità britannica dal 2025. Una nota su ciò che è pubblico invecchia in mesi. Chi non data la propria affermazione la rende infalsificabile.</w:t>
      </w:r>
    </w:p>
    <w:p>
      <w:pPr>
        <w:spacing w:after="120" w:line="276"/>
        <w:jc w:val="both"/>
      </w:pPr>
      <w:r>
        <w:rPr>
          <w:rFonts w:ascii="Barlow Semi Condensed" w:cs="Barlow Semi Condensed" w:eastAsia="Barlow Semi Condensed" w:hAnsi="Barlow Semi Condensed"/>
          <w:b/>
          <w:bCs/>
          <w:sz w:val="24"/>
          <w:szCs w:val="24"/>
        </w:rPr>
        <w:t xml:space="preserve">841 · L'aritmetica prima dell'archivio.</w:t>
      </w:r>
      <w:r>
        <w:rPr>
          <w:rFonts w:ascii="Barlow Semi Condensed" w:cs="Barlow Semi Condensed" w:eastAsia="Barlow Semi Condensed" w:hAnsi="Barlow Semi Condensed"/>
          <w:sz w:val="24"/>
          <w:szCs w:val="24"/>
        </w:rPr>
        <w:t xml:space="preserve"> Conviene fare i conti prima di chiedere un documento. I nove cantieri lo prescrivono al blocco 189 per il contante del 1978: tagli, volumi, pesi, fattibilità materiale della consegna raccontata. Qui vale lo stesso, con un'aggiunta: gli importi attraversano rand, lire e dollari lungo trent'anni di inflazioni diverse, e vanno riportati in valuta e anno d'origine, dichiarando l'indice di ogni conversione. L'aritmetica non costa archivi e smonta le narrazioni incompatibili.</w:t>
      </w:r>
    </w:p>
    <w:p>
      <w:pPr>
        <w:spacing w:after="120" w:line="276"/>
        <w:jc w:val="both"/>
      </w:pPr>
      <w:r>
        <w:rPr>
          <w:rFonts w:ascii="Barlow Semi Condensed" w:cs="Barlow Semi Condensed" w:eastAsia="Barlow Semi Condensed" w:hAnsi="Barlow Semi Condensed"/>
          <w:b/>
          <w:bCs/>
          <w:sz w:val="24"/>
          <w:szCs w:val="24"/>
        </w:rPr>
        <w:t xml:space="preserve">842 · Il curriculum attestato dai depositi.</w:t>
      </w:r>
      <w:r>
        <w:rPr>
          <w:rFonts w:ascii="Barlow Semi Condensed" w:cs="Barlow Semi Condensed" w:eastAsia="Barlow Semi Condensed" w:hAnsi="Barlow Semi Condensed"/>
          <w:sz w:val="24"/>
          <w:szCs w:val="24"/>
        </w:rPr>
        <w:t xml:space="preserve"> Di Roelof Botha, direttore finanziario di PayPal e poi socio e managing partner di Sequoia Capital, i fatti professionali si attestano su documenti pubblici: i depositi della società presso la SEC e la banca dati degli intermediari per il gestore. Una precisazione anagrafica va fatta qui, perché altrove genera errori sistematici: Pik Botha, suo nonno e ministro degli Esteri dal 1977 al 1994, non era parente di P.W. Botha, presidente dello Stato.</w:t>
      </w:r>
    </w:p>
    <w:p>
      <w:pPr>
        <w:spacing w:after="120" w:line="276"/>
        <w:jc w:val="both"/>
      </w:pPr>
      <w:r>
        <w:rPr>
          <w:rFonts w:ascii="Barlow Semi Condensed" w:cs="Barlow Semi Condensed" w:eastAsia="Barlow Semi Condensed" w:hAnsi="Barlow Semi Condensed"/>
          <w:b/>
          <w:bCs/>
          <w:sz w:val="24"/>
          <w:szCs w:val="24"/>
        </w:rPr>
        <w:t xml:space="preserve">843 · Il centro buio del capitale privato.</w:t>
      </w:r>
      <w:r>
        <w:rPr>
          <w:rFonts w:ascii="Barlow Semi Condensed" w:cs="Barlow Semi Condensed" w:eastAsia="Barlow Semi Condensed" w:hAnsi="Barlow Semi Condensed"/>
          <w:sz w:val="24"/>
          <w:szCs w:val="24"/>
        </w:rPr>
        <w:t xml:space="preserve"> La geometria informativa del capitale privato è costante: si vede l'inizio, si vede la fine, non si vede il mezzo. L'inizio è la notifica dell'offerta, la fine è il prospetto di quotazione o l'atto d'acquisizione da parte di un soggetto quotato. Nel mezzo stanno gli anni delle scelte, ed è la zona che nessun deposito obbligatorio illumina. Sapere che il centro è buio impedisce di scambiarne il buio per un segreto.</w:t>
      </w:r>
    </w:p>
    <w:p>
      <w:pPr>
        <w:spacing w:after="120" w:line="276"/>
        <w:jc w:val="both"/>
      </w:pPr>
      <w:r>
        <w:rPr>
          <w:rFonts w:ascii="Barlow Semi Condensed" w:cs="Barlow Semi Condensed" w:eastAsia="Barlow Semi Condensed" w:hAnsi="Barlow Semi Condensed"/>
          <w:b/>
          <w:bCs/>
          <w:sz w:val="24"/>
          <w:szCs w:val="24"/>
        </w:rPr>
        <w:t xml:space="preserve">844 · Il titolare legale e quello effettivo.</w:t>
      </w:r>
      <w:r>
        <w:rPr>
          <w:rFonts w:ascii="Barlow Semi Condensed" w:cs="Barlow Semi Condensed" w:eastAsia="Barlow Semi Condensed" w:hAnsi="Barlow Semi Condensed"/>
          <w:sz w:val="24"/>
          <w:szCs w:val="24"/>
        </w:rPr>
        <w:t xml:space="preserve"> Due nozioni che i documenti confondono e la ricerca deve separare: titolare legale è chi risulta iscritto, titolare effettivo è chi in ultimo controlla o beneficia. I registri societari attestano quasi sempre il primo. Un intestatario fiduciario, una società interposta o un socio accomandatario possono risultare titolari legali senza esserlo in senso economico. Ogni scheda patrimoniale del cantiere deve dichiarare quale delle due nozioni stia usando.</w:t>
      </w:r>
    </w:p>
    <w:p>
      <w:pPr>
        <w:spacing w:after="120" w:line="276"/>
        <w:jc w:val="both"/>
      </w:pPr>
      <w:r>
        <w:rPr>
          <w:rFonts w:ascii="Barlow Semi Condensed" w:cs="Barlow Semi Condensed" w:eastAsia="Barlow Semi Condensed" w:hAnsi="Barlow Semi Condensed"/>
          <w:b/>
          <w:bCs/>
          <w:sz w:val="24"/>
          <w:szCs w:val="24"/>
        </w:rPr>
        <w:t xml:space="preserve">845 · Prima smentita: capitale interamente americano.</w:t>
      </w:r>
      <w:r>
        <w:rPr>
          <w:rFonts w:ascii="Barlow Semi Condensed" w:cs="Barlow Semi Condensed" w:eastAsia="Barlow Semi Condensed" w:hAnsi="Barlow Semi Condensed"/>
          <w:sz w:val="24"/>
          <w:szCs w:val="24"/>
        </w:rPr>
        <w:t xml:space="preserve"> Un bersaglio di smentita, dichiarato per esteso. Se i documenti dei finanziamenti iniziali delle imprese fondatrici mostrassero un capitale integralmente proveniente da fondi istituzionali statunitensi, senza alcun apporto riconducibile all'Africa australe, la tesi di una continuità patrimoniale perderebbe la propria gamba finanziaria. Le sedi che lo accerterebbero sono già nominate in questa serie: notifiche cartacee alla SEC, notifica californiana, tavole del prospetto del 2001.</w:t>
      </w:r>
    </w:p>
    <w:p>
      <w:pPr>
        <w:spacing w:after="120" w:line="276"/>
        <w:jc w:val="both"/>
      </w:pPr>
      <w:r>
        <w:rPr>
          <w:rFonts w:ascii="Barlow Semi Condensed" w:cs="Barlow Semi Condensed" w:eastAsia="Barlow Semi Condensed" w:hAnsi="Barlow Semi Condensed"/>
          <w:b/>
          <w:bCs/>
          <w:sz w:val="24"/>
          <w:szCs w:val="24"/>
        </w:rPr>
        <w:t xml:space="preserve">846 · Seconda smentita: nessun trasferimento autorizzato.</w:t>
      </w:r>
      <w:r>
        <w:rPr>
          <w:rFonts w:ascii="Barlow Semi Condensed" w:cs="Barlow Semi Condensed" w:eastAsia="Barlow Semi Condensed" w:hAnsi="Barlow Semi Condensed"/>
          <w:sz w:val="24"/>
          <w:szCs w:val="24"/>
        </w:rPr>
        <w:t xml:space="preserve"> Il controllo dei cambi offre il bersaglio successivo. Se dai fascicoli sudafricani risultasse che nessun trasferimento patrimoniale rilevante fu autorizzato verso il Nordamerica per le famiglie in questione, l'ipotesi di un capitale importato cadrebbe per via documentale. La sede è la South African Reserve Bank; il limite, oggi, è la riservatezza di quei fascicoli. Il bersaglio resta formulato, la sede nominata, l'esito indisponibile.</w:t>
      </w:r>
    </w:p>
    <w:p>
      <w:pPr>
        <w:spacing w:after="120" w:line="276"/>
        <w:jc w:val="both"/>
      </w:pPr>
      <w:r>
        <w:rPr>
          <w:rFonts w:ascii="Barlow Semi Condensed" w:cs="Barlow Semi Condensed" w:eastAsia="Barlow Semi Condensed" w:hAnsi="Barlow Semi Condensed"/>
          <w:b/>
          <w:bCs/>
          <w:sz w:val="24"/>
          <w:szCs w:val="24"/>
        </w:rPr>
        <w:t xml:space="preserve">847 · Terza smentita: nessun sottoscrittore australe.</w:t>
      </w:r>
      <w:r>
        <w:rPr>
          <w:rFonts w:ascii="Barlow Semi Condensed" w:cs="Barlow Semi Condensed" w:eastAsia="Barlow Semi Condensed" w:hAnsi="Barlow Semi Condensed"/>
          <w:sz w:val="24"/>
          <w:szCs w:val="24"/>
        </w:rPr>
        <w:t xml:space="preserve"> Una verifica eseguibile subito, con documenti già pubblici. Se i moduli ADV dei fondi rilevanti e le schede pubblicate dai fondi pensione sottoscrittori non mostrassero alcun veicolo riconducibile all'Africa australe, verrebbe meno l'ipotesi di una provenienza geografica del capitale gestito. Nessuna delle sedi indicate richiede autorizzazioni: richiede tempo e verbalizzazione. Anche l'esito negativo sarebbe un'acquisizione piena, e come tale va scritto.</w:t>
      </w:r>
    </w:p>
    <w:p>
      <w:pPr>
        <w:spacing w:after="120" w:line="276"/>
        <w:jc w:val="both"/>
      </w:pPr>
      <w:r>
        <w:rPr>
          <w:rFonts w:ascii="Barlow Semi Condensed" w:cs="Barlow Semi Condensed" w:eastAsia="Barlow Semi Condensed" w:hAnsi="Barlow Semi Condensed"/>
          <w:b/>
          <w:bCs/>
          <w:sz w:val="24"/>
          <w:szCs w:val="24"/>
        </w:rPr>
        <w:t xml:space="preserve">848 · Quarta smentita: nessuna erogazione incrociata.</w:t>
      </w:r>
      <w:r>
        <w:rPr>
          <w:rFonts w:ascii="Barlow Semi Condensed" w:cs="Barlow Semi Condensed" w:eastAsia="Barlow Semi Condensed" w:hAnsi="Barlow Semi Condensed"/>
          <w:sz w:val="24"/>
          <w:szCs w:val="24"/>
        </w:rPr>
        <w:t xml:space="preserve"> La filantropia offre il bersaglio più facile da colpire. Se le tavole delle erogazioni contenute nei moduli 990-PF delle fondazioni riconducibili alle persone nominate non mostrassero alcuna erogazione reciproca né verso enti comuni, cadrebbe l'ipotesi di un coordinamento filantropico. Quelle tavole sono pubbliche, nominative e complete. L'esito va scritto per esteso: è una delle poche verifiche di questa serie che nessun ostacolo giuridico impedisce.</w:t>
      </w:r>
    </w:p>
    <w:p>
      <w:pPr>
        <w:spacing w:after="120" w:line="276"/>
        <w:jc w:val="both"/>
      </w:pPr>
      <w:r>
        <w:rPr>
          <w:rFonts w:ascii="Barlow Semi Condensed" w:cs="Barlow Semi Condensed" w:eastAsia="Barlow Semi Condensed" w:hAnsi="Barlow Semi Condensed"/>
          <w:b/>
          <w:bCs/>
          <w:sz w:val="24"/>
          <w:szCs w:val="24"/>
        </w:rPr>
        <w:t xml:space="preserve">849 · Quinta smentita: il datore di lavoro.</w:t>
      </w:r>
      <w:r>
        <w:rPr>
          <w:rFonts w:ascii="Barlow Semi Condensed" w:cs="Barlow Semi Condensed" w:eastAsia="Barlow Semi Condensed" w:hAnsi="Barlow Semi Condensed"/>
          <w:sz w:val="24"/>
          <w:szCs w:val="24"/>
        </w:rPr>
        <w:t xml:space="preserve"> Sul versante namibiano il bersaglio riguarda un rapporto di lavoro. Se i registri dell'appalto della miniera di Rössing e i ruoli del personale mostrassero che l'impresa per cui lavorava l'ingegnere chimico Klaus Thiel era un fornitore civile senza rapporti con programmi militari, la tesi di terzo piano che circola su fonti militanti risulterebbe smentita sul punto. Sedi: archivio della società mineraria, Archivi nazionali della Namibia, fondi ministeriali britannici.</w:t>
      </w:r>
    </w:p>
    <w:p>
      <w:pPr>
        <w:spacing w:after="120" w:line="276"/>
        <w:jc w:val="both"/>
      </w:pPr>
      <w:r>
        <w:rPr>
          <w:rFonts w:ascii="Barlow Semi Condensed" w:cs="Barlow Semi Condensed" w:eastAsia="Barlow Semi Condensed" w:hAnsi="Barlow Semi Condensed"/>
          <w:b/>
          <w:bCs/>
          <w:sz w:val="24"/>
          <w:szCs w:val="24"/>
        </w:rPr>
        <w:t xml:space="preserve">850 · Il ponte si prova con la controparte.</w:t>
      </w:r>
      <w:r>
        <w:rPr>
          <w:rFonts w:ascii="Barlow Semi Condensed" w:cs="Barlow Semi Condensed" w:eastAsia="Barlow Semi Condensed" w:hAnsi="Barlow Semi Condensed"/>
          <w:sz w:val="24"/>
          <w:szCs w:val="24"/>
        </w:rPr>
        <w:t xml:space="preserve"> Il test che questa serie applica al denaro è quello generale del corpus: un ponte è reale solo al primo piano, cioè quando un documento di provenienza nomina la controparte. Un ordine di pagamento nomina ordinante e beneficiario; una tavola di prospetto nomina il socio; un modulo 990-PF nomina il destinatario. Tutto ciò che non nomina una controparte è cornice, e la cornice non si promuove mai a nesso.</w:t>
      </w:r>
    </w:p>
    <w:p>
      <w:pPr>
        <w:spacing w:after="120" w:line="276"/>
        <w:jc w:val="both"/>
      </w:pPr>
      <w:r>
        <w:rPr>
          <w:rFonts w:ascii="Barlow Semi Condensed" w:cs="Barlow Semi Condensed" w:eastAsia="Barlow Semi Condensed" w:hAnsi="Barlow Semi Condensed"/>
          <w:b/>
          <w:bCs/>
          <w:sz w:val="24"/>
          <w:szCs w:val="24"/>
        </w:rPr>
        <w:t xml:space="preserve">851 · Due denari senza carta non sono parenti.</w:t>
      </w:r>
      <w:r>
        <w:rPr>
          <w:rFonts w:ascii="Barlow Semi Condensed" w:cs="Barlow Semi Condensed" w:eastAsia="Barlow Semi Condensed" w:hAnsi="Barlow Semi Condensed"/>
          <w:sz w:val="24"/>
          <w:szCs w:val="24"/>
        </w:rPr>
        <w:t xml:space="preserve"> Il corpus contiene già un caso di denaro asserito e privo di contabilità: la provvista predisposta nel 1978, istruita nei nove cantieri ai blocchi 181-195. La somiglianza con i casi di questa serie è reale e va nominata proprio per essere disinnescata: due strutture prive di traccia non discendono da un antenato comune, convergono perché la stessa causa, l'assenza di obbligo di deposito, produce ovunque lo stesso vuoto.</w:t>
      </w:r>
    </w:p>
    <w:p>
      <w:pPr>
        <w:spacing w:after="120" w:line="276"/>
        <w:jc w:val="both"/>
      </w:pPr>
      <w:r>
        <w:rPr>
          <w:rFonts w:ascii="Barlow Semi Condensed" w:cs="Barlow Semi Condensed" w:eastAsia="Barlow Semi Condensed" w:hAnsi="Barlow Semi Condensed"/>
          <w:b/>
          <w:bCs/>
          <w:sz w:val="24"/>
          <w:szCs w:val="24"/>
        </w:rPr>
        <w:t xml:space="preserve">852 · Il buco si misura, non si riempie.</w:t>
      </w:r>
      <w:r>
        <w:rPr>
          <w:rFonts w:ascii="Barlow Semi Condensed" w:cs="Barlow Semi Condensed" w:eastAsia="Barlow Semi Condensed" w:hAnsi="Barlow Semi Condensed"/>
          <w:sz w:val="24"/>
          <w:szCs w:val="24"/>
        </w:rPr>
        <w:t xml:space="preserve"> Le metodologie del corpus fissano la regola dei buchi: l'informazione strutturale sta dove la rete non ha archi, e i buchi si misurano invece di riempirli con la narrazione. Applicata al denaro, la regola dice che l'assenza di una traccia bancaria non è un indizio di occultamento, ma un dato sulla forma dell'ordinamento. Chi trasforma un vuoto normativo in un sospetto ha cambiato mestiere.</w:t>
      </w:r>
    </w:p>
    <w:p>
      <w:pPr>
        <w:spacing w:after="120" w:line="276"/>
        <w:jc w:val="both"/>
      </w:pPr>
      <w:r>
        <w:rPr>
          <w:rFonts w:ascii="Barlow Semi Condensed" w:cs="Barlow Semi Condensed" w:eastAsia="Barlow Semi Condensed" w:hAnsi="Barlow Semi Condensed"/>
          <w:b/>
          <w:bCs/>
          <w:sz w:val="24"/>
          <w:szCs w:val="24"/>
        </w:rPr>
        <w:t xml:space="preserve">853 · Il verbale delle sedi non interrogate.</w:t>
      </w:r>
      <w:r>
        <w:rPr>
          <w:rFonts w:ascii="Barlow Semi Condensed" w:cs="Barlow Semi Condensed" w:eastAsia="Barlow Semi Condensed" w:hAnsi="Barlow Semi Condensed"/>
          <w:sz w:val="24"/>
          <w:szCs w:val="24"/>
        </w:rPr>
        <w:t xml:space="preserve"> Questa serie non ha eseguito ricerche: ha nominato sedi. Restano non interrogate, alla data di redazione, la Commissione societaria di Pretoria, l'autorità namibiana di Windhoek con gli Archivi nazionali, il catasto minerario di Lusaka, l'ufficio della SEC per i moduli cartacei anteriori al 2009 e l'autorità californiana di vigilanza finanziaria. L'elenco è il lascito operativo della serie, e va aggiornato ogni volta che una sede risponde.</w:t>
      </w:r>
    </w:p>
    <w:p>
      <w:pPr>
        <w:spacing w:after="120" w:line="276"/>
        <w:jc w:val="both"/>
      </w:pPr>
      <w:r>
        <w:rPr>
          <w:rFonts w:ascii="Barlow Semi Condensed" w:cs="Barlow Semi Condensed" w:eastAsia="Barlow Semi Condensed" w:hAnsi="Barlow Semi Condensed"/>
          <w:b/>
          <w:bCs/>
          <w:sz w:val="24"/>
          <w:szCs w:val="24"/>
        </w:rPr>
        <w:t xml:space="preserve">854 · Ciò che il denaro non prova.</w:t>
      </w:r>
      <w:r>
        <w:rPr>
          <w:rFonts w:ascii="Barlow Semi Condensed" w:cs="Barlow Semi Condensed" w:eastAsia="Barlow Semi Condensed" w:hAnsi="Barlow Semi Condensed"/>
          <w:sz w:val="24"/>
          <w:szCs w:val="24"/>
        </w:rPr>
        <w:t xml:space="preserve"> Anche se ogni sede rispondesse, resterebbe fermo un limite di principio. Un trasferimento documentato prova che del denaro si mosse fra due soggetti nominati: non prova un disegno, non prova una condotta, non trasmette a chi lo riceve le opinioni di chi lo diede. L'origine di un capitale è un fatto dell'origine, non un carattere della persona. Nessuno dei soggetti nominati risulta condannato in relazione ai fatti indagati.</w:t>
      </w:r>
    </w:p>
    <w:p>
      <w:pPr>
        <w:spacing w:after="120" w:line="276"/>
        <w:jc w:val="both"/>
      </w:pPr>
      <w:r>
        <w:rPr>
          <w:rFonts w:ascii="Barlow Semi Condensed" w:cs="Barlow Semi Condensed" w:eastAsia="Barlow Semi Condensed" w:hAnsi="Barlow Semi Condensed"/>
          <w:b/>
          <w:bCs/>
          <w:sz w:val="24"/>
          <w:szCs w:val="24"/>
        </w:rPr>
        <w:t xml:space="preserve">855 · Dove la traccia finisce.</w:t>
      </w:r>
      <w:r>
        <w:rPr>
          <w:rFonts w:ascii="Barlow Semi Condensed" w:cs="Barlow Semi Condensed" w:eastAsia="Barlow Semi Condensed" w:hAnsi="Barlow Semi Condensed"/>
          <w:sz w:val="24"/>
          <w:szCs w:val="24"/>
        </w:rPr>
        <w:t xml:space="preserve"> La formula di chiusura della serie è anche la sua regola di condotta. Dove il registro non esiste, dove il fascicolo è riservato, dove il deposito è cartaceo e non digitalizzato, la ricerca si ferma e lo dichiara, nominando la sede che riprenderebbe il filo. Uno Stato Zero scritto bene vale quanto un documento: dice a chi verrà dopo esattamente dove ricominciare, e gli risparmia la strada già percorsa.</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Serie dodicesima — La critica delle fonti</w:t>
      </w:r>
    </w:p>
    <w:p>
      <w:pPr>
        <w:spacing w:after="120" w:line="276"/>
        <w:jc w:val="both"/>
      </w:pPr>
      <w:r>
        <w:rPr>
          <w:rFonts w:ascii="Barlow Semi Condensed" w:cs="Barlow Semi Condensed" w:eastAsia="Barlow Semi Condensed" w:hAnsi="Barlow Semi Condensed"/>
          <w:i/>
          <w:iCs/>
          <w:sz w:val="24"/>
          <w:szCs w:val="24"/>
        </w:rPr>
        <w:t xml:space="preserve">Blocchi 856-930.</w:t>
      </w:r>
    </w:p>
    <w:p>
      <w:pPr>
        <w:spacing w:after="120" w:line="276"/>
        <w:jc w:val="both"/>
      </w:pPr>
      <w:r>
        <w:rPr>
          <w:rFonts w:ascii="Barlow Semi Condensed" w:cs="Barlow Semi Condensed" w:eastAsia="Barlow Semi Condensed" w:hAnsi="Barlow Semi Condensed"/>
          <w:b/>
          <w:bCs/>
          <w:sz w:val="24"/>
          <w:szCs w:val="24"/>
        </w:rPr>
        <w:t xml:space="preserve">856 · Che cosa giudica questa serie.</w:t>
      </w:r>
      <w:r>
        <w:rPr>
          <w:rFonts w:ascii="Barlow Semi Condensed" w:cs="Barlow Semi Condensed" w:eastAsia="Barlow Semi Condensed" w:hAnsi="Barlow Semi Condensed"/>
          <w:sz w:val="24"/>
          <w:szCs w:val="24"/>
        </w:rPr>
        <w:t xml:space="preserve"> La dodicesima serie non aggiunge fatti alla vicenda: pesa i veicoli con cui i fatti arrivano. Su questa materia il documento primario è raro e la ripetizione è abbondante, sicché il pericolo maggiore non è l'errore isolato ma la sedimentazione di un errore ripetuto. Quanto segue è una cassetta di strumenti applicabile da un terzo, e nessuno di questi blocchi contiene un giudizio sulle persone che l'opera nomina.</w:t>
      </w:r>
    </w:p>
    <w:p>
      <w:pPr>
        <w:spacing w:after="120" w:line="276"/>
        <w:jc w:val="both"/>
      </w:pPr>
      <w:r>
        <w:rPr>
          <w:rFonts w:ascii="Barlow Semi Condensed" w:cs="Barlow Semi Condensed" w:eastAsia="Barlow Semi Condensed" w:hAnsi="Barlow Semi Condensed"/>
          <w:b/>
          <w:bCs/>
          <w:sz w:val="24"/>
          <w:szCs w:val="24"/>
        </w:rPr>
        <w:t xml:space="preserve">857 · Il rango non è il numero.</w:t>
      </w:r>
      <w:r>
        <w:rPr>
          <w:rFonts w:ascii="Barlow Semi Condensed" w:cs="Barlow Semi Condensed" w:eastAsia="Barlow Semi Condensed" w:hAnsi="Barlow Semi Condensed"/>
          <w:sz w:val="24"/>
          <w:szCs w:val="24"/>
        </w:rPr>
        <w:t xml:space="preserve"> Una fonte si colloca per provenienza, mai per quante volte compare. La griglia è quella già scritta nel corpus in guevara-bibliografia-critica.md: primarie, accademiche, giornalistiche qualificate, enciclopediche per il solo non controverso, e l'elenco di trasparenza delle fonti espunte. Su questa materia si aggiunge un rango che là non serviva e che qui viene prima di tutti: i depositi societari e gli atti giudiziari, che esistono indipendentemente da chi li racconta.</w:t>
      </w:r>
    </w:p>
    <w:p>
      <w:pPr>
        <w:spacing w:after="120" w:line="276"/>
        <w:jc w:val="both"/>
      </w:pPr>
      <w:r>
        <w:rPr>
          <w:rFonts w:ascii="Barlow Semi Condensed" w:cs="Barlow Semi Condensed" w:eastAsia="Barlow Semi Condensed" w:hAnsi="Barlow Semi Condensed"/>
          <w:b/>
          <w:bCs/>
          <w:sz w:val="24"/>
          <w:szCs w:val="24"/>
        </w:rPr>
        <w:t xml:space="preserve">858 · La provenienza prima del contenuto.</w:t>
      </w:r>
      <w:r>
        <w:rPr>
          <w:rFonts w:ascii="Barlow Semi Condensed" w:cs="Barlow Semi Condensed" w:eastAsia="Barlow Semi Condensed" w:hAnsi="Barlow Semi Condensed"/>
          <w:sz w:val="24"/>
          <w:szCs w:val="24"/>
        </w:rPr>
        <w:t xml:space="preserve"> Conviene chiedersi da dove viene un'affermazione, chi l'ha scritta, quando, con quale interesse e su quale supporto, prima di chiedersi se sia vera. Un enunciato plausibile di origine ignota vale meno di un enunciato scomodo con provenienza accertata. Questo ordine di domande è l'unico che protegge dal pregiudizio di conferma censito al blocco 358 del manuale investigativo, ed è l'ordine adottato in tutti i blocchi che seguono.</w:t>
      </w:r>
    </w:p>
    <w:p>
      <w:pPr>
        <w:spacing w:after="120" w:line="276"/>
        <w:jc w:val="both"/>
      </w:pPr>
      <w:r>
        <w:rPr>
          <w:rFonts w:ascii="Barlow Semi Condensed" w:cs="Barlow Semi Condensed" w:eastAsia="Barlow Semi Condensed" w:hAnsi="Barlow Semi Condensed"/>
          <w:b/>
          <w:bCs/>
          <w:sz w:val="24"/>
          <w:szCs w:val="24"/>
        </w:rPr>
        <w:t xml:space="preserve">859 · La parte in causa non è terza.</w:t>
      </w:r>
      <w:r>
        <w:rPr>
          <w:rFonts w:ascii="Barlow Semi Condensed" w:cs="Barlow Semi Condensed" w:eastAsia="Barlow Semi Condensed" w:hAnsi="Barlow Semi Condensed"/>
          <w:sz w:val="24"/>
          <w:szCs w:val="24"/>
        </w:rPr>
        <w:t xml:space="preserve"> Chi è oggetto di una voce non può esserne l'editore garante: la coincidenza fra proprietario del veicolo e soggetto della notizia annulla la terzietà, indipendentemente dalla correttezza del singolo enunciato. La regola non imputa malafede ad alcuno, e non ne ha bisogno, perché è una regola di forma. Vale per le enciclopedie possedute da imprese, per le riviste aziendali e per i canali personali dei protagonisti.</w:t>
      </w:r>
    </w:p>
    <w:p>
      <w:pPr>
        <w:spacing w:after="120" w:line="276"/>
        <w:jc w:val="both"/>
      </w:pPr>
      <w:r>
        <w:rPr>
          <w:rFonts w:ascii="Barlow Semi Condensed" w:cs="Barlow Semi Condensed" w:eastAsia="Barlow Semi Condensed" w:hAnsi="Barlow Semi Condensed"/>
          <w:b/>
          <w:bCs/>
          <w:sz w:val="24"/>
          <w:szCs w:val="24"/>
        </w:rPr>
        <w:t xml:space="preserve">860 · Il deposito precede il ritratto.</w:t>
      </w:r>
      <w:r>
        <w:rPr>
          <w:rFonts w:ascii="Barlow Semi Condensed" w:cs="Barlow Semi Condensed" w:eastAsia="Barlow Semi Condensed" w:hAnsi="Barlow Semi Condensed"/>
          <w:sz w:val="24"/>
          <w:szCs w:val="24"/>
        </w:rPr>
        <w:t xml:space="preserve"> Su una vicenda di imprese l'ordine di consultazione è invertito rispetto all'abitudine giornalistica. Prima i depositi: il prospetto informativo di PayPal presso la SEC, i registri della Companies and Intellectual Property Commission sudafricana, i registri britannici di Companies House. Poi i ritratti. Un ritratto contraddetto da un deposito cede; un deposito non cede davanti a nessun ritratto, per quanto autorevole ne sia la firma.</w:t>
      </w:r>
    </w:p>
    <w:p>
      <w:pPr>
        <w:spacing w:after="120" w:line="276"/>
        <w:jc w:val="both"/>
      </w:pPr>
      <w:r>
        <w:rPr>
          <w:rFonts w:ascii="Barlow Semi Condensed" w:cs="Barlow Semi Condensed" w:eastAsia="Barlow Semi Condensed" w:hAnsi="Barlow Semi Condensed"/>
          <w:b/>
          <w:bCs/>
          <w:sz w:val="24"/>
          <w:szCs w:val="24"/>
        </w:rPr>
        <w:t xml:space="preserve">861 · La regola dell'origine unica.</w:t>
      </w:r>
      <w:r>
        <w:rPr>
          <w:rFonts w:ascii="Barlow Semi Condensed" w:cs="Barlow Semi Condensed" w:eastAsia="Barlow Semi Condensed" w:hAnsi="Barlow Semi Condensed"/>
          <w:sz w:val="24"/>
          <w:szCs w:val="24"/>
        </w:rPr>
        <w:t xml:space="preserve"> Quando un'affermazione ricorre ovunque, la prima operazione non è raccoglierne le occorrenze ma risalirne la catena fino al punto in cui compare per la prima volta. Se quel punto è uno solo, l'affermazione ha una fonte sola, quale che sia il numero dei siti che la ospitano. Sedici blocchi finali di questa serie eseguono l'operazione su altrettante affermazioni correnti, e quasi sempre il punto di partenza risulta singolo.</w:t>
      </w:r>
    </w:p>
    <w:p>
      <w:pPr>
        <w:spacing w:after="120" w:line="276"/>
        <w:jc w:val="both"/>
      </w:pPr>
      <w:r>
        <w:rPr>
          <w:rFonts w:ascii="Barlow Semi Condensed" w:cs="Barlow Semi Condensed" w:eastAsia="Barlow Semi Condensed" w:hAnsi="Barlow Semi Condensed"/>
          <w:b/>
          <w:bCs/>
          <w:sz w:val="24"/>
          <w:szCs w:val="24"/>
        </w:rPr>
        <w:t xml:space="preserve">862 · Che cosa garantisce l'autorizzazione.</w:t>
      </w:r>
      <w:r>
        <w:rPr>
          <w:rFonts w:ascii="Barlow Semi Condensed" w:cs="Barlow Semi Condensed" w:eastAsia="Barlow Semi Condensed" w:hAnsi="Barlow Semi Condensed"/>
          <w:sz w:val="24"/>
          <w:szCs w:val="24"/>
        </w:rPr>
        <w:t xml:space="preserve"> Una biografia autorizzata garantisce l'accesso, non la verità: l'autore ha ottenuto interviste, carte, familiari e collaboratori, e in cambio ha accettato, esplicitamente o di fatto, una cornice. Il guadagno è documentale e reale; il costo è la selezione delle domande. Il lettore deve poter sapere quale delle due cose sta leggendo, e lo sa soltanto se l'autore lo scrive. Se non lo scrive, il volume scende di un rango.</w:t>
      </w:r>
    </w:p>
    <w:p>
      <w:pPr>
        <w:spacing w:after="120" w:line="276"/>
        <w:jc w:val="both"/>
      </w:pPr>
      <w:r>
        <w:rPr>
          <w:rFonts w:ascii="Barlow Semi Condensed" w:cs="Barlow Semi Condensed" w:eastAsia="Barlow Semi Condensed" w:hAnsi="Barlow Semi Condensed"/>
          <w:b/>
          <w:bCs/>
          <w:sz w:val="24"/>
          <w:szCs w:val="24"/>
        </w:rPr>
        <w:t xml:space="preserve">863 · L'accesso come moneta di scambio.</w:t>
      </w:r>
      <w:r>
        <w:rPr>
          <w:rFonts w:ascii="Barlow Semi Condensed" w:cs="Barlow Semi Condensed" w:eastAsia="Barlow Semi Condensed" w:hAnsi="Barlow Semi Condensed"/>
          <w:sz w:val="24"/>
          <w:szCs w:val="24"/>
        </w:rPr>
        <w:t xml:space="preserve"> L'accesso si concede e si revoca, e ogni revoca lascia traccia nel testo: capitoli con testimoni diretti accanto a capitoli con sole fonti secondarie. Chi rilegge un libro cercando la distribuzione delle interviste ne ricava la mappa del potere negoziale fra autore e soggetto. È un esercizio meccanico, ripetibile da chiunque disponga del volume, e più istruttivo di qualunque dibattito sull'imparzialità dell'autore.</w:t>
      </w:r>
    </w:p>
    <w:p>
      <w:pPr>
        <w:spacing w:after="120" w:line="276"/>
        <w:jc w:val="both"/>
      </w:pPr>
      <w:r>
        <w:rPr>
          <w:rFonts w:ascii="Barlow Semi Condensed" w:cs="Barlow Semi Condensed" w:eastAsia="Barlow Semi Condensed" w:hAnsi="Barlow Semi Condensed"/>
          <w:b/>
          <w:bCs/>
          <w:sz w:val="24"/>
          <w:szCs w:val="24"/>
        </w:rPr>
        <w:t xml:space="preserve">864 · La biografia con ombra dichiarata.</w:t>
      </w:r>
      <w:r>
        <w:rPr>
          <w:rFonts w:ascii="Barlow Semi Condensed" w:cs="Barlow Semi Condensed" w:eastAsia="Barlow Semi Condensed" w:hAnsi="Barlow Semi Condensed"/>
          <w:sz w:val="24"/>
          <w:szCs w:val="24"/>
        </w:rPr>
        <w:t xml:space="preserve"> Walter Isaacson, Elon Musk, 2023, dichiara in apertura il proprio metodo: due anni di presenza accanto al soggetto e l'assenza di un diritto di lettura preventiva. La dichiarazione è ciò che rende il libro utilizzabile, perché consente di distinguere l'osservazione diretta dal racconto ricevuto. Sul punto delle pietre grezze acquistate in modo informale, Isaacson è la fonte che descrive, e va citato per ciò che descrive.</w:t>
      </w:r>
    </w:p>
    <w:p>
      <w:pPr>
        <w:spacing w:after="120" w:line="276"/>
        <w:jc w:val="both"/>
      </w:pPr>
      <w:r>
        <w:rPr>
          <w:rFonts w:ascii="Barlow Semi Condensed" w:cs="Barlow Semi Condensed" w:eastAsia="Barlow Semi Condensed" w:hAnsi="Barlow Semi Condensed"/>
          <w:b/>
          <w:bCs/>
          <w:sz w:val="24"/>
          <w:szCs w:val="24"/>
        </w:rPr>
        <w:t xml:space="preserve">865 · Vance, e la cooperazione intermittente.</w:t>
      </w:r>
      <w:r>
        <w:rPr>
          <w:rFonts w:ascii="Barlow Semi Condensed" w:cs="Barlow Semi Condensed" w:eastAsia="Barlow Semi Condensed" w:hAnsi="Barlow Semi Condensed"/>
          <w:sz w:val="24"/>
          <w:szCs w:val="24"/>
        </w:rPr>
        <w:t xml:space="preserve"> Ashlee Vance, Elon Musk, 2015, racconta nel proprio testo la trattativa che ne precedette la scrittura: un rifiuto iniziale, poi la collaborazione. Un libro nato così contiene due strati, quello raccolto senza il soggetto e quello raccolto con lui, e i due strati non hanno il medesimo statuto. Chi cita Vance deve dire da quale strato prende, e per farlo deve tornare alle note, non alla sintesi altrui.</w:t>
      </w:r>
    </w:p>
    <w:p>
      <w:pPr>
        <w:spacing w:after="120" w:line="276"/>
        <w:jc w:val="both"/>
      </w:pPr>
      <w:r>
        <w:rPr>
          <w:rFonts w:ascii="Barlow Semi Condensed" w:cs="Barlow Semi Condensed" w:eastAsia="Barlow Semi Condensed" w:hAnsi="Barlow Semi Condensed"/>
          <w:b/>
          <w:bCs/>
          <w:sz w:val="24"/>
          <w:szCs w:val="24"/>
        </w:rPr>
        <w:t xml:space="preserve">866 · Chafkin senza il consenso del soggetto.</w:t>
      </w:r>
      <w:r>
        <w:rPr>
          <w:rFonts w:ascii="Barlow Semi Condensed" w:cs="Barlow Semi Condensed" w:eastAsia="Barlow Semi Condensed" w:hAnsi="Barlow Semi Condensed"/>
          <w:sz w:val="24"/>
          <w:szCs w:val="24"/>
        </w:rPr>
        <w:t xml:space="preserve"> Max Chafkin, The Contrarian, 2021, è una biografia non autorizzata di Peter Thiel: nasce da interviste a terzi e da materiale pubblico, non dalla collaborazione dell'interessato. Ciò non la rende né più vera né meno vera; ne cambia la struttura probatoria. Le sue affermazioni vanno prese una per una e verificate sulla nota corrispondente, perché in un libro non autorizzato l'onere si sposta interamente sull'apparato.</w:t>
      </w:r>
    </w:p>
    <w:p>
      <w:pPr>
        <w:spacing w:after="120" w:line="276"/>
        <w:jc w:val="both"/>
      </w:pPr>
      <w:r>
        <w:rPr>
          <w:rFonts w:ascii="Barlow Semi Condensed" w:cs="Barlow Semi Condensed" w:eastAsia="Barlow Semi Condensed" w:hAnsi="Barlow Semi Condensed"/>
          <w:b/>
          <w:bCs/>
          <w:sz w:val="24"/>
          <w:szCs w:val="24"/>
        </w:rPr>
        <w:t xml:space="preserve">867 · Soni e l'oralità tardiva.</w:t>
      </w:r>
      <w:r>
        <w:rPr>
          <w:rFonts w:ascii="Barlow Semi Condensed" w:cs="Barlow Semi Condensed" w:eastAsia="Barlow Semi Condensed" w:hAnsi="Barlow Semi Condensed"/>
          <w:sz w:val="24"/>
          <w:szCs w:val="24"/>
        </w:rPr>
        <w:t xml:space="preserve"> Jimmy Soni, The Founders, 2022, ricostruisce la fondazione di PayPal su un vastissimo lavoro di intervista condotto vent'anni dopo i fatti. La testimonianza orale tardiva è fonte legittima e fragile insieme: consolida i ricordi collettivi già circolanti e ne fissa la versione condivisa. Serve per la cronologia interna dell'impresa; non stabilisce che cosa qualcuno pensasse allora, e non sostituisce un documento coevo.</w:t>
      </w:r>
    </w:p>
    <w:p>
      <w:pPr>
        <w:spacing w:after="120" w:line="276"/>
        <w:jc w:val="both"/>
      </w:pPr>
      <w:r>
        <w:rPr>
          <w:rFonts w:ascii="Barlow Semi Condensed" w:cs="Barlow Semi Condensed" w:eastAsia="Barlow Semi Condensed" w:hAnsi="Barlow Semi Condensed"/>
          <w:b/>
          <w:bCs/>
          <w:sz w:val="24"/>
          <w:szCs w:val="24"/>
        </w:rPr>
        <w:t xml:space="preserve">868 · Si legge prima la nota metodologica.</w:t>
      </w:r>
      <w:r>
        <w:rPr>
          <w:rFonts w:ascii="Barlow Semi Condensed" w:cs="Barlow Semi Condensed" w:eastAsia="Barlow Semi Condensed" w:hAnsi="Barlow Semi Condensed"/>
          <w:sz w:val="24"/>
          <w:szCs w:val="24"/>
        </w:rPr>
        <w:t xml:space="preserve"> Regola applicabile a qualunque volume di questa materia: si legge per prima la nota dell'autore sulle fonti, poi l'indice delle note, e soltanto dopo il testo. In un quarto d'ora si stabilisce se il libro dichiara le proprie interviste, se distingue il riferito dal documentato, se elenca gli archivi visitati. Un volume che non risponde a queste tre domande resta racconto consultabile e prova inutilizzabile.</w:t>
      </w:r>
    </w:p>
    <w:p>
      <w:pPr>
        <w:spacing w:after="120" w:line="276"/>
        <w:jc w:val="both"/>
      </w:pPr>
      <w:r>
        <w:rPr>
          <w:rFonts w:ascii="Barlow Semi Condensed" w:cs="Barlow Semi Condensed" w:eastAsia="Barlow Semi Condensed" w:hAnsi="Barlow Semi Condensed"/>
          <w:b/>
          <w:bCs/>
          <w:sz w:val="24"/>
          <w:szCs w:val="24"/>
        </w:rPr>
        <w:t xml:space="preserve">869 · L'unità citabile è la nota.</w:t>
      </w:r>
      <w:r>
        <w:rPr>
          <w:rFonts w:ascii="Barlow Semi Condensed" w:cs="Barlow Semi Condensed" w:eastAsia="Barlow Semi Condensed" w:hAnsi="Barlow Semi Condensed"/>
          <w:sz w:val="24"/>
          <w:szCs w:val="24"/>
        </w:rPr>
        <w:t xml:space="preserve"> Non si cita un libro: si cita una nota di quel libro, con la pagina e con ciò a cui la nota rinvia. La differenza è sostanziale, perché un'affermazione sostenuta da un documento d'archivio e un'affermazione sostenuta da un'intervista anonima stanno nella stessa pagina e hanno pesi incomparabili. Il corpus applica lo stesso criterio ai propri testi, dove ogni asserzione portante dichiara su che cosa poggia.</w:t>
      </w:r>
    </w:p>
    <w:p>
      <w:pPr>
        <w:spacing w:after="120" w:line="276"/>
        <w:jc w:val="both"/>
      </w:pPr>
      <w:r>
        <w:rPr>
          <w:rFonts w:ascii="Barlow Semi Condensed" w:cs="Barlow Semi Condensed" w:eastAsia="Barlow Semi Condensed" w:hAnsi="Barlow Semi Condensed"/>
          <w:b/>
          <w:bCs/>
          <w:sz w:val="24"/>
          <w:szCs w:val="24"/>
        </w:rPr>
        <w:t xml:space="preserve">870 · L'intervista è primaria e di parte.</w:t>
      </w:r>
      <w:r>
        <w:rPr>
          <w:rFonts w:ascii="Barlow Semi Condensed" w:cs="Barlow Semi Condensed" w:eastAsia="Barlow Semi Condensed" w:hAnsi="Barlow Semi Condensed"/>
          <w:sz w:val="24"/>
          <w:szCs w:val="24"/>
        </w:rPr>
        <w:t xml:space="preserve"> Una dichiarazione resa pubblicamente da un protagonista è fonte primaria per un solo fatto: che quel protagonista, quel giorno, abbia detto quella cosa. Non è fonte primaria per il contenuto di ciò che dice. La distinzione sembra ovvia e viene violata di continuo, soprattutto quando il dichiarante riferisce fatti risalenti a decenni prima e favorevoli alla propria immagine. Si cita la dichiarazione come dichiarazione, sempre datata.</w:t>
      </w:r>
    </w:p>
    <w:p>
      <w:pPr>
        <w:spacing w:after="120" w:line="276"/>
        <w:jc w:val="both"/>
      </w:pPr>
      <w:r>
        <w:rPr>
          <w:rFonts w:ascii="Barlow Semi Condensed" w:cs="Barlow Semi Condensed" w:eastAsia="Barlow Semi Condensed" w:hAnsi="Barlow Semi Condensed"/>
          <w:b/>
          <w:bCs/>
          <w:sz w:val="24"/>
          <w:szCs w:val="24"/>
        </w:rPr>
        <w:t xml:space="preserve">871 · Vale la data del detto.</w:t>
      </w:r>
      <w:r>
        <w:rPr>
          <w:rFonts w:ascii="Barlow Semi Condensed" w:cs="Barlow Semi Condensed" w:eastAsia="Barlow Semi Condensed" w:hAnsi="Barlow Semi Condensed"/>
          <w:sz w:val="24"/>
          <w:szCs w:val="24"/>
        </w:rPr>
        <w:t xml:space="preserve"> Ogni citazione porta la data in cui l'affermazione fu resa, non quella in cui l'ha ripresa l'ultimo articolo. Su questa materia lo scarto raggiunge i vent'anni: frasi pronunciate in interviste dei primi anni Duemila circolano oggi con la data della ripresa, e appaiono come prese di posizione recenti. Datare al detto è la più semplice delle operazioni di questa serie, e la più trascurata.</w:t>
      </w:r>
    </w:p>
    <w:p>
      <w:pPr>
        <w:spacing w:after="120" w:line="276"/>
        <w:jc w:val="both"/>
      </w:pPr>
      <w:r>
        <w:rPr>
          <w:rFonts w:ascii="Barlow Semi Condensed" w:cs="Barlow Semi Condensed" w:eastAsia="Barlow Semi Condensed" w:hAnsi="Barlow Semi Condensed"/>
          <w:b/>
          <w:bCs/>
          <w:sz w:val="24"/>
          <w:szCs w:val="24"/>
        </w:rPr>
        <w:t xml:space="preserve">872 · La domanda assente dalla trascrizione.</w:t>
      </w:r>
      <w:r>
        <w:rPr>
          <w:rFonts w:ascii="Barlow Semi Condensed" w:cs="Barlow Semi Condensed" w:eastAsia="Barlow Semi Condensed" w:hAnsi="Barlow Semi Condensed"/>
          <w:sz w:val="24"/>
          <w:szCs w:val="24"/>
        </w:rPr>
        <w:t xml:space="preserve"> Le trascrizioni pubblicate spesso conservano la risposta e perdono la domanda, oppure la riassumono. Una risposta senza la sua domanda cambia di senso: l'ammissione diventa iniziativa, la precisazione diventa rivendicazione. Chi cita da una trascrizione deve procurarsi la registrazione o l'edizione integrale, e se non esiste deve scriverlo. È una lacuna dichiarabile, non un dettaglio: la forma della domanda è parte del documento.</w:t>
      </w:r>
    </w:p>
    <w:p>
      <w:pPr>
        <w:spacing w:after="120" w:line="276"/>
        <w:jc w:val="both"/>
      </w:pPr>
      <w:r>
        <w:rPr>
          <w:rFonts w:ascii="Barlow Semi Condensed" w:cs="Barlow Semi Condensed" w:eastAsia="Barlow Semi Condensed" w:hAnsi="Barlow Semi Condensed"/>
          <w:b/>
          <w:bCs/>
          <w:sz w:val="24"/>
          <w:szCs w:val="24"/>
        </w:rPr>
        <w:t xml:space="preserve">873 · La smentita e il suo statuto.</w:t>
      </w:r>
      <w:r>
        <w:rPr>
          <w:rFonts w:ascii="Barlow Semi Condensed" w:cs="Barlow Semi Condensed" w:eastAsia="Barlow Semi Condensed" w:hAnsi="Barlow Semi Condensed"/>
          <w:sz w:val="24"/>
          <w:szCs w:val="24"/>
        </w:rPr>
        <w:t xml:space="preserve"> Una smentita pubblica non chiude una questione e non la apre: la registra. Elon Musk ha negato pubblicamente l'esistenza di una miniera di smeraldi e ne ha chiesto la prova; il padre Errol ha descritto in più interviste un'attività informale in Zambia. Sono due dichiarazioni, entrambe primarie e di parte, che il corpus riporta affiancate. La divergenza resta aperta perché nessun titolo minerario è stato esibito.</w:t>
      </w:r>
    </w:p>
    <w:p>
      <w:pPr>
        <w:spacing w:after="120" w:line="276"/>
        <w:jc w:val="both"/>
      </w:pPr>
      <w:r>
        <w:rPr>
          <w:rFonts w:ascii="Barlow Semi Condensed" w:cs="Barlow Semi Condensed" w:eastAsia="Barlow Semi Condensed" w:hAnsi="Barlow Semi Condensed"/>
          <w:b/>
          <w:bCs/>
          <w:sz w:val="24"/>
          <w:szCs w:val="24"/>
        </w:rPr>
        <w:t xml:space="preserve">874 · Dichiarazione contro il proprio interesse.</w:t>
      </w:r>
      <w:r>
        <w:rPr>
          <w:rFonts w:ascii="Barlow Semi Condensed" w:cs="Barlow Semi Condensed" w:eastAsia="Barlow Semi Condensed" w:hAnsi="Barlow Semi Condensed"/>
          <w:sz w:val="24"/>
          <w:szCs w:val="24"/>
        </w:rPr>
        <w:t xml:space="preserve"> Fra due affermazioni di pari provenienza pesa di più quella che nuoce a chi la pronuncia. È un criterio antico e su questa materia si applica di rado, perché quasi tutte le dichiarazioni disponibili giovano al dichiarante o alla narrazione della sua origine. Quando invece una dichiarazione ammette qualcosa di scomodo, il blocco che la usa deve dirlo, perché è quello il motivo del suo peso maggiore.</w:t>
      </w:r>
    </w:p>
    <w:p>
      <w:pPr>
        <w:spacing w:after="120" w:line="276"/>
        <w:jc w:val="both"/>
      </w:pPr>
      <w:r>
        <w:rPr>
          <w:rFonts w:ascii="Barlow Semi Condensed" w:cs="Barlow Semi Condensed" w:eastAsia="Barlow Semi Condensed" w:hAnsi="Barlow Semi Condensed"/>
          <w:b/>
          <w:bCs/>
          <w:sz w:val="24"/>
          <w:szCs w:val="24"/>
        </w:rPr>
        <w:t xml:space="preserve">875 · Quando il soggetto possiede il canale.</w:t>
      </w:r>
      <w:r>
        <w:rPr>
          <w:rFonts w:ascii="Barlow Semi Condensed" w:cs="Barlow Semi Condensed" w:eastAsia="Barlow Semi Condensed" w:hAnsi="Barlow Semi Condensed"/>
          <w:sz w:val="24"/>
          <w:szCs w:val="24"/>
        </w:rPr>
        <w:t xml:space="preserve"> Alcuni protagonisti di questa vicenda controllano oggi piattaforme su cui le loro dichiarazioni vengono pubblicate e conservate. Il fatto è pubblico e non implica alcuna condotta; implica però una conseguenza documentale precisa, cioè che la copia conservata sul canale del dichiarante non è una copia terza. Ogni citazione tratta da quei canali richiede una copia indipendente, presa altrove e datata, prima di entrare in un blocco.</w:t>
      </w:r>
    </w:p>
    <w:p>
      <w:pPr>
        <w:spacing w:after="120" w:line="276"/>
        <w:jc w:val="both"/>
      </w:pPr>
      <w:r>
        <w:rPr>
          <w:rFonts w:ascii="Barlow Semi Condensed" w:cs="Barlow Semi Condensed" w:eastAsia="Barlow Semi Condensed" w:hAnsi="Barlow Semi Condensed"/>
          <w:b/>
          <w:bCs/>
          <w:sz w:val="24"/>
          <w:szCs w:val="24"/>
        </w:rPr>
        <w:t xml:space="preserve">876 · Carta datata contro pagina mobile.</w:t>
      </w:r>
      <w:r>
        <w:rPr>
          <w:rFonts w:ascii="Barlow Semi Condensed" w:cs="Barlow Semi Condensed" w:eastAsia="Barlow Semi Condensed" w:hAnsi="Barlow Semi Condensed"/>
          <w:sz w:val="24"/>
          <w:szCs w:val="24"/>
        </w:rPr>
        <w:t xml:space="preserve"> Il ritaglio di un quotidiano è un oggetto fisso: quella pagina, quel giorno, quell'edizione, e nessuno può cambiarla retroattivamente. La pagina in rete è un oggetto mobile: si aggiorna, si corregge, si riscrive, e talvolta si sposta a un altro indirizzo perdendo la data. Su questa materia, dove le riprese digitali superano di molto gli articoli originali, la differenza fra i due supporti separa la prova dalla traccia.</w:t>
      </w:r>
    </w:p>
    <w:p>
      <w:pPr>
        <w:spacing w:after="120" w:line="276"/>
        <w:jc w:val="both"/>
      </w:pPr>
      <w:r>
        <w:rPr>
          <w:rFonts w:ascii="Barlow Semi Condensed" w:cs="Barlow Semi Condensed" w:eastAsia="Barlow Semi Condensed" w:hAnsi="Barlow Semi Condensed"/>
          <w:b/>
          <w:bCs/>
          <w:sz w:val="24"/>
          <w:szCs w:val="24"/>
        </w:rPr>
        <w:t xml:space="preserve">877 · La ripresa non conferma nulla.</w:t>
      </w:r>
      <w:r>
        <w:rPr>
          <w:rFonts w:ascii="Barlow Semi Condensed" w:cs="Barlow Semi Condensed" w:eastAsia="Barlow Semi Condensed" w:hAnsi="Barlow Semi Condensed"/>
          <w:sz w:val="24"/>
          <w:szCs w:val="24"/>
        </w:rPr>
        <w:t xml:space="preserve"> Un secondo sito che riporta la stessa notizia non è un riscontro: è una copia. Il riscontro esiste quando una seconda fonte accede autonomamente al fatto, con propri testimoni o propri documenti, e lo si riconosce perché aggiunge un dettaglio che la prima non aveva. Se nulla aggiunge, nulla conferma. Questa è la formulazione operativa del divieto di scambiare la ridondanza per corroborazione.</w:t>
      </w:r>
    </w:p>
    <w:p>
      <w:pPr>
        <w:spacing w:after="120" w:line="276"/>
        <w:jc w:val="both"/>
      </w:pPr>
      <w:r>
        <w:rPr>
          <w:rFonts w:ascii="Barlow Semi Condensed" w:cs="Barlow Semi Condensed" w:eastAsia="Barlow Semi Condensed" w:hAnsi="Barlow Semi Condensed"/>
          <w:b/>
          <w:bCs/>
          <w:sz w:val="24"/>
          <w:szCs w:val="24"/>
        </w:rPr>
        <w:t xml:space="preserve">878 · L'agenzia conta per una.</w:t>
      </w:r>
      <w:r>
        <w:rPr>
          <w:rFonts w:ascii="Barlow Semi Condensed" w:cs="Barlow Semi Condensed" w:eastAsia="Barlow Semi Condensed" w:hAnsi="Barlow Semi Condensed"/>
          <w:sz w:val="24"/>
          <w:szCs w:val="24"/>
        </w:rPr>
        <w:t xml:space="preserve"> Un dispaccio d'agenzia ripubblicato da quaranta testate resta una fonte sola, e il conteggio delle testate misura la distribuzione, non l'affidabilità. Il riconoscimento è facile: identità letterale dei periodi, stessa struttura, stessa citazione tagliata nel medesimo punto. Nella rassegna su questa materia interi paragrafi identici compaiono sotto firme diverse, e l'identità letterale prova che si tratta di un unico atto giornalistico.</w:t>
      </w:r>
    </w:p>
    <w:p>
      <w:pPr>
        <w:spacing w:after="120" w:line="276"/>
        <w:jc w:val="both"/>
      </w:pPr>
      <w:r>
        <w:rPr>
          <w:rFonts w:ascii="Barlow Semi Condensed" w:cs="Barlow Semi Condensed" w:eastAsia="Barlow Semi Condensed" w:hAnsi="Barlow Semi Condensed"/>
          <w:b/>
          <w:bCs/>
          <w:sz w:val="24"/>
          <w:szCs w:val="24"/>
        </w:rPr>
        <w:t xml:space="preserve">879 · Il ritaglio e la sua collocazione.</w:t>
      </w:r>
      <w:r>
        <w:rPr>
          <w:rFonts w:ascii="Barlow Semi Condensed" w:cs="Barlow Semi Condensed" w:eastAsia="Barlow Semi Condensed" w:hAnsi="Barlow Semi Condensed"/>
          <w:sz w:val="24"/>
          <w:szCs w:val="24"/>
        </w:rPr>
        <w:t xml:space="preserve"> Un articolo si cita con testata, data, edizione, pagina e, dove esiste, la segnatura del microfilm o del volume rilegato che lo conserva. Senza questi campi la citazione non è verificabile e vale quanto un si dice. Le emeroteche nazionali forniscono tutti i campi; le riproduzioni in rete quasi mai. Chi non riesce a fornirli lo dichiara dentro il blocco, e il blocco scende di grado.</w:t>
      </w:r>
    </w:p>
    <w:p>
      <w:pPr>
        <w:spacing w:after="120" w:line="276"/>
        <w:jc w:val="both"/>
      </w:pPr>
      <w:r>
        <w:rPr>
          <w:rFonts w:ascii="Barlow Semi Condensed" w:cs="Barlow Semi Condensed" w:eastAsia="Barlow Semi Condensed" w:hAnsi="Barlow Semi Condensed"/>
          <w:b/>
          <w:bCs/>
          <w:sz w:val="24"/>
          <w:szCs w:val="24"/>
        </w:rPr>
        <w:t xml:space="preserve">880 · L'articolo riscritto dopo l'uscita.</w:t>
      </w:r>
      <w:r>
        <w:rPr>
          <w:rFonts w:ascii="Barlow Semi Condensed" w:cs="Barlow Semi Condensed" w:eastAsia="Barlow Semi Condensed" w:hAnsi="Barlow Semi Condensed"/>
          <w:sz w:val="24"/>
          <w:szCs w:val="24"/>
        </w:rPr>
        <w:t xml:space="preserve"> Le testate correggono i propri articoli in rete senza sempre segnalarlo, e l'indirizzo resta il medesimo. Ne segue che due lettori possono citare in buona fede lo stesso indirizzo e leggere testi diversi. L'unico rimedio è la copia archiviata con data e ora di cattura, conservata insieme alla citazione. Il corpus lo impone a se stesso e lo pretende da chi voglia contestargli o confermargli un punto.</w:t>
      </w:r>
    </w:p>
    <w:p>
      <w:pPr>
        <w:spacing w:after="120" w:line="276"/>
        <w:jc w:val="both"/>
      </w:pPr>
      <w:r>
        <w:rPr>
          <w:rFonts w:ascii="Barlow Semi Condensed" w:cs="Barlow Semi Condensed" w:eastAsia="Barlow Semi Condensed" w:hAnsi="Barlow Semi Condensed"/>
          <w:b/>
          <w:bCs/>
          <w:sz w:val="24"/>
          <w:szCs w:val="24"/>
        </w:rPr>
        <w:t xml:space="preserve">881 · Gli archivi di stampa sudafricani.</w:t>
      </w:r>
      <w:r>
        <w:rPr>
          <w:rFonts w:ascii="Barlow Semi Condensed" w:cs="Barlow Semi Condensed" w:eastAsia="Barlow Semi Condensed" w:hAnsi="Barlow Semi Condensed"/>
          <w:sz w:val="24"/>
          <w:szCs w:val="24"/>
        </w:rPr>
        <w:t xml:space="preserve"> Per gli anni dell'apartheid la stampa coeva si consulta alla National Library of South Africa, nelle sedi di Città del Capo e Pretoria, e nelle raccolte delle università di Witwatersrand e di Città del Capo; le annate del Rand Daily Mail, chiuso nel 1985, stanno lì e non in rete. Una domanda sulla stampa di quegli anni si porta in quelle sedi, non su un motore di ricerca.</w:t>
      </w:r>
    </w:p>
    <w:p>
      <w:pPr>
        <w:spacing w:after="120" w:line="276"/>
        <w:jc w:val="both"/>
      </w:pPr>
      <w:r>
        <w:rPr>
          <w:rFonts w:ascii="Barlow Semi Condensed" w:cs="Barlow Semi Condensed" w:eastAsia="Barlow Semi Condensed" w:hAnsi="Barlow Semi Condensed"/>
          <w:b/>
          <w:bCs/>
          <w:sz w:val="24"/>
          <w:szCs w:val="24"/>
        </w:rPr>
        <w:t xml:space="preserve">882 · I fogli di Windhoek e Swakopmund.</w:t>
      </w:r>
      <w:r>
        <w:rPr>
          <w:rFonts w:ascii="Barlow Semi Condensed" w:cs="Barlow Semi Condensed" w:eastAsia="Barlow Semi Condensed" w:hAnsi="Barlow Semi Condensed"/>
          <w:sz w:val="24"/>
          <w:szCs w:val="24"/>
        </w:rPr>
        <w:t xml:space="preserve"> Negli anni della costruzione di Rössing, i quotidiani dell'Africa del Sud-Ovest, fra cui il Windhoek Advertiser e l'Allgemeine Zeitung in lingua tedesca, si consultano ai National Archives of Namibia, a Windhoek, e alla Sam Cohen Library di Swakopmund. È la sede naturale per accertare che cosa la stampa locale scrivesse allora del cantiere, quali imprese vi lavorassero e con quali nomi comparissero.</w:t>
      </w:r>
    </w:p>
    <w:p>
      <w:pPr>
        <w:spacing w:after="120" w:line="276"/>
        <w:jc w:val="both"/>
      </w:pPr>
      <w:r>
        <w:rPr>
          <w:rFonts w:ascii="Barlow Semi Condensed" w:cs="Barlow Semi Condensed" w:eastAsia="Barlow Semi Condensed" w:hAnsi="Barlow Semi Condensed"/>
          <w:b/>
          <w:bCs/>
          <w:sz w:val="24"/>
          <w:szCs w:val="24"/>
        </w:rPr>
        <w:t xml:space="preserve">883 · Scheda operativa: i sei campi.</w:t>
      </w:r>
      <w:r>
        <w:rPr>
          <w:rFonts w:ascii="Barlow Semi Condensed" w:cs="Barlow Semi Condensed" w:eastAsia="Barlow Semi Condensed" w:hAnsi="Barlow Semi Condensed"/>
          <w:sz w:val="24"/>
          <w:szCs w:val="24"/>
        </w:rPr>
        <w:t xml:space="preserve"> Una citazione entra nel corpus soltanto se compilata in sei campi: autore o emittente; supporto e sede di conservazione; data dell'enunciazione; data della pubblicazione; identificativo stabile dell'unità citata; data e forma della consultazione. I sei campi si scrivono per intero anche quando sembrano ovvi, perché la loro funzione non è informare il lettore odierno ma consentire a un terzo, fra vent'anni, di rifare la stessa strada.</w:t>
      </w:r>
    </w:p>
    <w:p>
      <w:pPr>
        <w:spacing w:after="120" w:line="276"/>
        <w:jc w:val="both"/>
      </w:pPr>
      <w:r>
        <w:rPr>
          <w:rFonts w:ascii="Barlow Semi Condensed" w:cs="Barlow Semi Condensed" w:eastAsia="Barlow Semi Condensed" w:hAnsi="Barlow Semi Condensed"/>
          <w:b/>
          <w:bCs/>
          <w:sz w:val="24"/>
          <w:szCs w:val="24"/>
        </w:rPr>
        <w:t xml:space="preserve">884 · Tre date e non una.</w:t>
      </w:r>
      <w:r>
        <w:rPr>
          <w:rFonts w:ascii="Barlow Semi Condensed" w:cs="Barlow Semi Condensed" w:eastAsia="Barlow Semi Condensed" w:hAnsi="Barlow Semi Condensed"/>
          <w:sz w:val="24"/>
          <w:szCs w:val="24"/>
        </w:rPr>
        <w:t xml:space="preserve"> Le tre date del campo temporale sono distinte e vanno tenute separate: quando la cosa è stata detta o scritta, quando è stata resa pubblica, quando è stata consultata. Su un'intervista rilasciata nel 2018, ripubblicata nel 2023 e letta nel 2026, la confusione fra le tre produce un errore di otto anni. Se una delle tre non è determinabile, si scrive che non lo è.</w:t>
      </w:r>
    </w:p>
    <w:p>
      <w:pPr>
        <w:spacing w:after="120" w:line="276"/>
        <w:jc w:val="both"/>
      </w:pPr>
      <w:r>
        <w:rPr>
          <w:rFonts w:ascii="Barlow Semi Condensed" w:cs="Barlow Semi Condensed" w:eastAsia="Barlow Semi Condensed" w:hAnsi="Barlow Semi Condensed"/>
          <w:b/>
          <w:bCs/>
          <w:sz w:val="24"/>
          <w:szCs w:val="24"/>
        </w:rPr>
        <w:t xml:space="preserve">885 · L'unità minima citabile.</w:t>
      </w:r>
      <w:r>
        <w:rPr>
          <w:rFonts w:ascii="Barlow Semi Condensed" w:cs="Barlow Semi Condensed" w:eastAsia="Barlow Semi Condensed" w:hAnsi="Barlow Semi Condensed"/>
          <w:sz w:val="24"/>
          <w:szCs w:val="24"/>
        </w:rPr>
        <w:t xml:space="preserve"> Si cita un punto dell'opera e non l'opera: pagina per il libro, colonna e pagina per il giornale, paragrafo per un atto, minuto e secondo per l'audio, numero di documento per una raccolta diplomatica. L'unità minima è ciò che rende la citazione controllabile in meno di dieci minuti. Se il controllo esige di rileggere l'intera opera, la citazione non è ancora una citazione.</w:t>
      </w:r>
    </w:p>
    <w:p>
      <w:pPr>
        <w:spacing w:after="120" w:line="276"/>
        <w:jc w:val="both"/>
      </w:pPr>
      <w:r>
        <w:rPr>
          <w:rFonts w:ascii="Barlow Semi Condensed" w:cs="Barlow Semi Condensed" w:eastAsia="Barlow Semi Condensed" w:hAnsi="Barlow Semi Condensed"/>
          <w:b/>
          <w:bCs/>
          <w:sz w:val="24"/>
          <w:szCs w:val="24"/>
        </w:rPr>
        <w:t xml:space="preserve">886 · La copia d'archivio della pagina.</w:t>
      </w:r>
      <w:r>
        <w:rPr>
          <w:rFonts w:ascii="Barlow Semi Condensed" w:cs="Barlow Semi Condensed" w:eastAsia="Barlow Semi Condensed" w:hAnsi="Barlow Semi Condensed"/>
          <w:sz w:val="24"/>
          <w:szCs w:val="24"/>
        </w:rPr>
        <w:t xml:space="preserve"> A ogni fonte in rete si accompagna una copia archiviata di data certa, conservata insieme al blocco che la usa. Vale per le testate, per i messaggi sulle piattaforme, per le pagine societarie e per le enciclopedie. La copia non sostituisce l'originale e non ne certifica la verità: certifica soltanto che a quella data quel testo diceva quelle parole. È il minimo che rende falsificabile un'affermazione fondata sulla rete.</w:t>
      </w:r>
    </w:p>
    <w:p>
      <w:pPr>
        <w:spacing w:after="120" w:line="276"/>
        <w:jc w:val="both"/>
      </w:pPr>
      <w:r>
        <w:rPr>
          <w:rFonts w:ascii="Barlow Semi Condensed" w:cs="Barlow Semi Condensed" w:eastAsia="Barlow Semi Condensed" w:hAnsi="Barlow Semi Condensed"/>
          <w:b/>
          <w:bCs/>
          <w:sz w:val="24"/>
          <w:szCs w:val="24"/>
        </w:rPr>
        <w:t xml:space="preserve">887 · Minutaggio per l'audiovisivo.</w:t>
      </w:r>
      <w:r>
        <w:rPr>
          <w:rFonts w:ascii="Barlow Semi Condensed" w:cs="Barlow Semi Condensed" w:eastAsia="Barlow Semi Condensed" w:hAnsi="Barlow Semi Condensed"/>
          <w:sz w:val="24"/>
          <w:szCs w:val="24"/>
        </w:rPr>
        <w:t xml:space="preserve"> Dal video e dall'audio si cita col minutaggio d'inizio e di fine e con l'indicazione di chi ha trascritto: un trascrittore umano, un servizio automatico oppure l'editore stesso. Senza minutaggio la citazione è inverificabile; senza attribuzione della trascrizione è invece verificabile ma non attribuibile. Le due mancanze hanno rimedi diversi e vanno dichiarate separatamente nel blocco che le subisce.</w:t>
      </w:r>
    </w:p>
    <w:p>
      <w:pPr>
        <w:spacing w:after="120" w:line="276"/>
        <w:jc w:val="both"/>
      </w:pPr>
      <w:r>
        <w:rPr>
          <w:rFonts w:ascii="Barlow Semi Condensed" w:cs="Barlow Semi Condensed" w:eastAsia="Barlow Semi Condensed" w:hAnsi="Barlow Semi Condensed"/>
          <w:b/>
          <w:bCs/>
          <w:sz w:val="24"/>
          <w:szCs w:val="24"/>
        </w:rPr>
        <w:t xml:space="preserve">888 · Identificativo e fuso per i post.</w:t>
      </w:r>
      <w:r>
        <w:rPr>
          <w:rFonts w:ascii="Barlow Semi Condensed" w:cs="Barlow Semi Condensed" w:eastAsia="Barlow Semi Condensed" w:hAnsi="Barlow Semi Condensed"/>
          <w:sz w:val="24"/>
          <w:szCs w:val="24"/>
        </w:rPr>
        <w:t xml:space="preserve"> Un messaggio pubblicato su una piattaforma si cita con l'account, l'identificativo numerico del messaggio, l'ora nel fuso dichiarato e una copia archiviata. L'identificativo numerico è l'unico campo che sopravvive ai cambi di nome utente e alle ristrutturazioni del servizio. L'ora nel fuso conta perché molte cronologie di dichiarazioni contrapposte, su questa materia, si giocano nell'arco di poche ore, e il fuso locale le inverte.</w:t>
      </w:r>
    </w:p>
    <w:p>
      <w:pPr>
        <w:spacing w:after="120" w:line="276"/>
        <w:jc w:val="both"/>
      </w:pPr>
      <w:r>
        <w:rPr>
          <w:rFonts w:ascii="Barlow Semi Condensed" w:cs="Barlow Semi Condensed" w:eastAsia="Barlow Semi Condensed" w:hAnsi="Barlow Semi Condensed"/>
          <w:b/>
          <w:bCs/>
          <w:sz w:val="24"/>
          <w:szCs w:val="24"/>
        </w:rPr>
        <w:t xml:space="preserve">889 · La catena verso il primario.</w:t>
      </w:r>
      <w:r>
        <w:rPr>
          <w:rFonts w:ascii="Barlow Semi Condensed" w:cs="Barlow Semi Condensed" w:eastAsia="Barlow Semi Condensed" w:hAnsi="Barlow Semi Condensed"/>
          <w:sz w:val="24"/>
          <w:szCs w:val="24"/>
        </w:rPr>
        <w:t xml:space="preserve"> Si dichiara la catena di ogni citazione secondaria: chi dice che chi ha detto. La catena si scrive per esteso e si percorre fino all'ultimo anello raggiungibile. Dove si interrompe si annota il punto e il motivo, pagina rimossa, libro senza note, testimone non identificato. Una catena spezzata e dichiarata vale più di una catena occultata dietro una citazione elegante.</w:t>
      </w:r>
    </w:p>
    <w:p>
      <w:pPr>
        <w:spacing w:after="120" w:line="276"/>
        <w:jc w:val="both"/>
      </w:pPr>
      <w:r>
        <w:rPr>
          <w:rFonts w:ascii="Barlow Semi Condensed" w:cs="Barlow Semi Condensed" w:eastAsia="Barlow Semi Condensed" w:hAnsi="Barlow Semi Condensed"/>
          <w:b/>
          <w:bCs/>
          <w:sz w:val="24"/>
          <w:szCs w:val="24"/>
        </w:rPr>
        <w:t xml:space="preserve">890 · L'anello mancante si verbalizza.</w:t>
      </w:r>
      <w:r>
        <w:rPr>
          <w:rFonts w:ascii="Barlow Semi Condensed" w:cs="Barlow Semi Condensed" w:eastAsia="Barlow Semi Condensed" w:hAnsi="Barlow Semi Condensed"/>
          <w:sz w:val="24"/>
          <w:szCs w:val="24"/>
        </w:rPr>
        <w:t xml:space="preserve"> Il campo che non si riesce a compilare non si lascia vuoto e non si riempie a intuito: si scrive che manca e si nomina la sede che lo colmerebbe. È la forma dello Stato Zero applicata alla citazione. Un blocco con quattro campi su sei, e i due mancanti nominati insieme all'archivio competente, resta un bersaglio eseguibile; un blocco con sei campi inventati è un danno.</w:t>
      </w:r>
    </w:p>
    <w:p>
      <w:pPr>
        <w:spacing w:after="120" w:line="276"/>
        <w:jc w:val="both"/>
      </w:pPr>
      <w:r>
        <w:rPr>
          <w:rFonts w:ascii="Barlow Semi Condensed" w:cs="Barlow Semi Condensed" w:eastAsia="Barlow Semi Condensed" w:hAnsi="Barlow Semi Condensed"/>
          <w:b/>
          <w:bCs/>
          <w:sz w:val="24"/>
          <w:szCs w:val="24"/>
        </w:rPr>
        <w:t xml:space="preserve">891 · Il collaudo della scheda.</w:t>
      </w:r>
      <w:r>
        <w:rPr>
          <w:rFonts w:ascii="Barlow Semi Condensed" w:cs="Barlow Semi Condensed" w:eastAsia="Barlow Semi Condensed" w:hAnsi="Barlow Semi Condensed"/>
          <w:sz w:val="24"/>
          <w:szCs w:val="24"/>
        </w:rPr>
        <w:t xml:space="preserve"> La scheda si collauda così: si consegna la citazione a una persona che non conosce la materia e si misura quanto impiega a mettere le mani sull'originale. Sotto i dieci minuti la scheda è buona; oltre l'ora è da rifare; se non ci riesce, la citazione si declassa a riferimento generico. Il collaudo è una procedura di qualità, analoga agli audit previsti al blocco 371 del manuale investigativo.</w:t>
      </w:r>
    </w:p>
    <w:p>
      <w:pPr>
        <w:spacing w:after="120" w:line="276"/>
        <w:jc w:val="both"/>
      </w:pPr>
      <w:r>
        <w:rPr>
          <w:rFonts w:ascii="Barlow Semi Condensed" w:cs="Barlow Semi Condensed" w:eastAsia="Barlow Semi Condensed" w:hAnsi="Barlow Semi Condensed"/>
          <w:b/>
          <w:bCs/>
          <w:sz w:val="24"/>
          <w:szCs w:val="24"/>
        </w:rPr>
        <w:t xml:space="preserve">892 · Contare le fonti, non le pagine.</w:t>
      </w:r>
      <w:r>
        <w:rPr>
          <w:rFonts w:ascii="Barlow Semi Condensed" w:cs="Barlow Semi Condensed" w:eastAsia="Barlow Semi Condensed" w:hAnsi="Barlow Semi Condensed"/>
          <w:sz w:val="24"/>
          <w:szCs w:val="24"/>
        </w:rPr>
        <w:t xml:space="preserve"> La misura corretta dell'evidenza è il numero degli accessi indipendenti al fatto, non il numero delle pagine che ne parlano. Su questa materia il rapporto fra le due grandezze è estremo: centinaia di pagine, pochissimi accessi originali. Chi conta le pagine ricava l'impressione di un fatto solidissimo; chi conta gli accessi trova spesso un'unica intervista, un unico servizio di rivista, un'unica biografia.</w:t>
      </w:r>
    </w:p>
    <w:p>
      <w:pPr>
        <w:spacing w:after="120" w:line="276"/>
        <w:jc w:val="both"/>
      </w:pPr>
      <w:r>
        <w:rPr>
          <w:rFonts w:ascii="Barlow Semi Condensed" w:cs="Barlow Semi Condensed" w:eastAsia="Barlow Semi Condensed" w:hAnsi="Barlow Semi Condensed"/>
          <w:b/>
          <w:bCs/>
          <w:sz w:val="24"/>
          <w:szCs w:val="24"/>
        </w:rPr>
        <w:t xml:space="preserve">893 · Il circolo della citogenesi.</w:t>
      </w:r>
      <w:r>
        <w:rPr>
          <w:rFonts w:ascii="Barlow Semi Condensed" w:cs="Barlow Semi Condensed" w:eastAsia="Barlow Semi Condensed" w:hAnsi="Barlow Semi Condensed"/>
          <w:sz w:val="24"/>
          <w:szCs w:val="24"/>
        </w:rPr>
        <w:t xml:space="preserve"> Esiste un circuito noto e verificabile: un'affermazione priva di fonte entra in una voce enciclopedica; un sito la riprende citando la voce; la voce viene poi corredata della nota che rinvia a quel sito. A quel punto l'affermazione appare sostenuta e non lo è mai stata. Il circuito si riconosce confrontando le date, perché la nota risulta posteriore all'enunciato che dovrebbe sostenere.</w:t>
      </w:r>
    </w:p>
    <w:p>
      <w:pPr>
        <w:spacing w:after="120" w:line="276"/>
        <w:jc w:val="both"/>
      </w:pPr>
      <w:r>
        <w:rPr>
          <w:rFonts w:ascii="Barlow Semi Condensed" w:cs="Barlow Semi Condensed" w:eastAsia="Barlow Semi Condensed" w:hAnsi="Barlow Semi Condensed"/>
          <w:b/>
          <w:bCs/>
          <w:sz w:val="24"/>
          <w:szCs w:val="24"/>
        </w:rPr>
        <w:t xml:space="preserve">894 · L'aggregatore promosso ad autorità.</w:t>
      </w:r>
      <w:r>
        <w:rPr>
          <w:rFonts w:ascii="Barlow Semi Condensed" w:cs="Barlow Semi Condensed" w:eastAsia="Barlow Semi Condensed" w:hAnsi="Barlow Semi Condensed"/>
          <w:sz w:val="24"/>
          <w:szCs w:val="24"/>
        </w:rPr>
        <w:t xml:space="preserve"> I siti che raccolgono e riscrivono contenuti altrui compaiono, nei risultati di ricerca, con la stessa dignità grafica delle testate che hanno prodotto l'informazione. La gerarchia visiva della rete è piatta e non riproduce la gerarchia probatoria. Correggere questo appiattimento è operazione manuale: per ogni risultato si stabilisce se il testo sia originale o derivato, e i derivati si scartano dal conteggio.</w:t>
      </w:r>
    </w:p>
    <w:p>
      <w:pPr>
        <w:spacing w:after="120" w:line="276"/>
        <w:jc w:val="both"/>
      </w:pPr>
      <w:r>
        <w:rPr>
          <w:rFonts w:ascii="Barlow Semi Condensed" w:cs="Barlow Semi Condensed" w:eastAsia="Barlow Semi Condensed" w:hAnsi="Barlow Semi Condensed"/>
          <w:b/>
          <w:bCs/>
          <w:sz w:val="24"/>
          <w:szCs w:val="24"/>
        </w:rPr>
        <w:t xml:space="preserve">895 · La traduzione che moltiplica.</w:t>
      </w:r>
      <w:r>
        <w:rPr>
          <w:rFonts w:ascii="Barlow Semi Condensed" w:cs="Barlow Semi Condensed" w:eastAsia="Barlow Semi Condensed" w:hAnsi="Barlow Semi Condensed"/>
          <w:sz w:val="24"/>
          <w:szCs w:val="24"/>
        </w:rPr>
        <w:t xml:space="preserve"> Tradotto in cinque lingue, un articolo produce cinque risultati distinti e resta una fonte. Su questa materia versioni italiane, tedesche e spagnole di uno stesso ritratto circolano come testi autonomi, talvolta senza indicare l'originale. Il riconoscimento passa dal confronto delle citazioni interne: le stesse frasi virgolettate, nel medesimo ordine. La traduzione introduce inoltre errori propri, che vengono poi ritradotti all'indietro come se fossero fonte.</w:t>
      </w:r>
    </w:p>
    <w:p>
      <w:pPr>
        <w:spacing w:after="120" w:line="276"/>
        <w:jc w:val="both"/>
      </w:pPr>
      <w:r>
        <w:rPr>
          <w:rFonts w:ascii="Barlow Semi Condensed" w:cs="Barlow Semi Condensed" w:eastAsia="Barlow Semi Condensed" w:hAnsi="Barlow Semi Condensed"/>
          <w:b/>
          <w:bCs/>
          <w:sz w:val="24"/>
          <w:szCs w:val="24"/>
        </w:rPr>
        <w:t xml:space="preserve">896 · La verifica meccanica della stringa.</w:t>
      </w:r>
      <w:r>
        <w:rPr>
          <w:rFonts w:ascii="Barlow Semi Condensed" w:cs="Barlow Semi Condensed" w:eastAsia="Barlow Semi Condensed" w:hAnsi="Barlow Semi Condensed"/>
          <w:sz w:val="24"/>
          <w:szCs w:val="24"/>
        </w:rPr>
        <w:t xml:space="preserve"> Prima di interrogare un archivio si verifica la stringa, perché l'archivio risponde a ciò che gli si chiede. La verifica eseguita su questo corpus lo mostra: i nomi di questa materia, da Musk a Thiel a Botha, e le parole PayPal, Silicon Valley e Namibia non compaiono negli altri Libri. L'unico ponte documentato resta il nodo E-16, il discorso all'ONU dell'11 dicembre 1964. Zero occorrenze, verbalizzate. </w:t>
      </w:r>
      <w:r>
        <w:rPr>
          <w:rFonts w:ascii="Barlow Semi Condensed" w:cs="Barlow Semi Condensed" w:eastAsia="Barlow Semi Condensed" w:hAnsi="Barlow Semi Condensed"/>
          <w:i/>
          <w:iCs/>
          <w:sz w:val="24"/>
          <w:szCs w:val="24"/>
        </w:rPr>
        <w:t xml:space="preserve">(Verifica riferita al perimetro anteriore al 26 agosto 2026; per l'aggiornamento dopo l'ingresso del Libro quarto si veda il blocco 38.)</w:t>
      </w:r>
    </w:p>
    <w:p>
      <w:pPr>
        <w:spacing w:after="120" w:line="276"/>
        <w:jc w:val="both"/>
      </w:pPr>
      <w:r>
        <w:rPr>
          <w:rFonts w:ascii="Barlow Semi Condensed" w:cs="Barlow Semi Condensed" w:eastAsia="Barlow Semi Condensed" w:hAnsi="Barlow Semi Condensed"/>
          <w:b/>
          <w:bCs/>
          <w:sz w:val="24"/>
          <w:szCs w:val="24"/>
        </w:rPr>
        <w:t xml:space="preserve">897 · Il conteggio a monte, in pratica.</w:t>
      </w:r>
      <w:r>
        <w:rPr>
          <w:rFonts w:ascii="Barlow Semi Condensed" w:cs="Barlow Semi Condensed" w:eastAsia="Barlow Semi Condensed" w:hAnsi="Barlow Semi Condensed"/>
          <w:sz w:val="24"/>
          <w:szCs w:val="24"/>
        </w:rPr>
        <w:t xml:space="preserve"> Procedura: si prende l'affermazione nella formulazione più diffusa, si isolano tre o quattro parole rare che la caratterizzano, si cercano in quella sequenza, si ordinano i risultati per data crescente e si legge il primo. Poi si verifica che cosa quel primo citi a sua volta. Nei casi trattati nella parte finale di questa serie l'operazione termina quasi sempre in un solo documento.</w:t>
      </w:r>
    </w:p>
    <w:p>
      <w:pPr>
        <w:spacing w:after="120" w:line="276"/>
        <w:jc w:val="both"/>
      </w:pPr>
      <w:r>
        <w:rPr>
          <w:rFonts w:ascii="Barlow Semi Condensed" w:cs="Barlow Semi Condensed" w:eastAsia="Barlow Semi Condensed" w:hAnsi="Barlow Semi Condensed"/>
          <w:b/>
          <w:bCs/>
          <w:sz w:val="24"/>
          <w:szCs w:val="24"/>
        </w:rPr>
        <w:t xml:space="preserve">898 · Il numero non è corroborazione.</w:t>
      </w:r>
      <w:r>
        <w:rPr>
          <w:rFonts w:ascii="Barlow Semi Condensed" w:cs="Barlow Semi Condensed" w:eastAsia="Barlow Semi Condensed" w:hAnsi="Barlow Semi Condensed"/>
          <w:sz w:val="24"/>
          <w:szCs w:val="24"/>
        </w:rPr>
        <w:t xml:space="preserve"> Si fissa la regola che l'intera sezione serve a rendere operativa: la ripetizione non aggiunge valore probatorio, in nessuna quantità. Mille pagine concordi che discendono da una fonte valgono quella fonte. La regola opera simmetricamente per l'accusa e per la difesa, e su questa materia va applicata soprattutto ai siti militanti dei due schieramenti, che ripetono formulazioni identiche senza aggiungere un documento.</w:t>
      </w:r>
    </w:p>
    <w:p>
      <w:pPr>
        <w:spacing w:after="120" w:line="276"/>
        <w:jc w:val="both"/>
      </w:pPr>
      <w:r>
        <w:rPr>
          <w:rFonts w:ascii="Barlow Semi Condensed" w:cs="Barlow Semi Condensed" w:eastAsia="Barlow Semi Condensed" w:hAnsi="Barlow Semi Condensed"/>
          <w:b/>
          <w:bCs/>
          <w:sz w:val="24"/>
          <w:szCs w:val="24"/>
        </w:rPr>
        <w:t xml:space="preserve">899 · L'enciclopedia collaborativa: uso lecito.</w:t>
      </w:r>
      <w:r>
        <w:rPr>
          <w:rFonts w:ascii="Barlow Semi Condensed" w:cs="Barlow Semi Condensed" w:eastAsia="Barlow Semi Condensed" w:hAnsi="Barlow Semi Condensed"/>
          <w:sz w:val="24"/>
          <w:szCs w:val="24"/>
        </w:rPr>
        <w:t xml:space="preserve"> Un'enciclopedia scritta collettivamente si può usare per fatti non controversi, date, luoghi, cariche, denominazioni sociali, e come indice delle fonti altrui, mai come fonte unica di un'attribuzione contestata. È la regola già scritta nel corpus per la materia guevariana, dove il criterio è enunciato nella bibliografia critica, ed è la stessa qui. L'uso corretto consiste nel leggere le note della voce e citare quelle, dopo averle aperte.</w:t>
      </w:r>
    </w:p>
    <w:p>
      <w:pPr>
        <w:spacing w:after="120" w:line="276"/>
        <w:jc w:val="both"/>
      </w:pPr>
      <w:r>
        <w:rPr>
          <w:rFonts w:ascii="Barlow Semi Condensed" w:cs="Barlow Semi Condensed" w:eastAsia="Barlow Semi Condensed" w:hAnsi="Barlow Semi Condensed"/>
          <w:b/>
          <w:bCs/>
          <w:sz w:val="24"/>
          <w:szCs w:val="24"/>
        </w:rPr>
        <w:t xml:space="preserve">900 · Il limite sull'attribuzione contestata.</w:t>
      </w:r>
      <w:r>
        <w:rPr>
          <w:rFonts w:ascii="Barlow Semi Condensed" w:cs="Barlow Semi Condensed" w:eastAsia="Barlow Semi Condensed" w:hAnsi="Barlow Semi Condensed"/>
          <w:sz w:val="24"/>
          <w:szCs w:val="24"/>
        </w:rPr>
        <w:t xml:space="preserve"> Il limite si manifesta esattamente dove questa materia è più delicata: le voci biografiche di persone viventi e politicamente esposte sono soggette a redazioni contrapposte, e la versione visibile oggi è l'esito di un conflitto in corso, non di un accertamento chiuso. Su nessun punto controverso di quest'opera una voce enciclopedica può essere l'unico appoggio, quale ne sia la lingua o la reputazione.</w:t>
      </w:r>
    </w:p>
    <w:p>
      <w:pPr>
        <w:spacing w:after="120" w:line="276"/>
        <w:jc w:val="both"/>
      </w:pPr>
      <w:r>
        <w:rPr>
          <w:rFonts w:ascii="Barlow Semi Condensed" w:cs="Barlow Semi Condensed" w:eastAsia="Barlow Semi Condensed" w:hAnsi="Barlow Semi Condensed"/>
          <w:b/>
          <w:bCs/>
          <w:sz w:val="24"/>
          <w:szCs w:val="24"/>
        </w:rPr>
        <w:t xml:space="preserve">901 · La cronologia delle modifiche.</w:t>
      </w:r>
      <w:r>
        <w:rPr>
          <w:rFonts w:ascii="Barlow Semi Condensed" w:cs="Barlow Semi Condensed" w:eastAsia="Barlow Semi Condensed" w:hAnsi="Barlow Semi Condensed"/>
          <w:sz w:val="24"/>
          <w:szCs w:val="24"/>
        </w:rPr>
        <w:t xml:space="preserve"> La pagina di cronologia di una voce collaborativa è essa stessa una fonte, e talvolta la più istruttiva: mostra quando un'affermazione sia comparsa, chi l'abbia inserita, quante volte sia stata rimossa e rimessa, con quali argomenti nella pagina di discussione. Su questa materia la cronologia di alcune voci documenta il conflitto meglio di qualunque articolo, e va citata col numero di revisione.</w:t>
      </w:r>
    </w:p>
    <w:p>
      <w:pPr>
        <w:spacing w:after="120" w:line="276"/>
        <w:jc w:val="both"/>
      </w:pPr>
      <w:r>
        <w:rPr>
          <w:rFonts w:ascii="Barlow Semi Condensed" w:cs="Barlow Semi Condensed" w:eastAsia="Barlow Semi Condensed" w:hAnsi="Barlow Semi Condensed"/>
          <w:b/>
          <w:bCs/>
          <w:sz w:val="24"/>
          <w:szCs w:val="24"/>
        </w:rPr>
        <w:t xml:space="preserve">902 · L'enciclopedia generata da modelli.</w:t>
      </w:r>
      <w:r>
        <w:rPr>
          <w:rFonts w:ascii="Barlow Semi Condensed" w:cs="Barlow Semi Condensed" w:eastAsia="Barlow Semi Condensed" w:hAnsi="Barlow Semi Condensed"/>
          <w:sz w:val="24"/>
          <w:szCs w:val="24"/>
        </w:rPr>
        <w:t xml:space="preserve"> Gli articoli prodotti da sistemi automatici non hanno autore, e senza autore non esistono né responsabilità né apparato verificabile: resta un testo che assomiglia a una voce enciclopedica. Il criterio non riguarda la qualità della prosa, che può essere ottima, ma la tracciabilità: non c'è una persona alla quale chiedere che cosa abbia letto prima di scrivere quella frase, e questo basta a escluderne l'uso probatorio.</w:t>
      </w:r>
    </w:p>
    <w:p>
      <w:pPr>
        <w:spacing w:after="120" w:line="276"/>
        <w:jc w:val="both"/>
      </w:pPr>
      <w:r>
        <w:rPr>
          <w:rFonts w:ascii="Barlow Semi Condensed" w:cs="Barlow Semi Condensed" w:eastAsia="Barlow Semi Condensed" w:hAnsi="Barlow Semi Condensed"/>
          <w:b/>
          <w:bCs/>
          <w:sz w:val="24"/>
          <w:szCs w:val="24"/>
        </w:rPr>
        <w:t xml:space="preserve">903 · L'editore che è oggetto della voce.</w:t>
      </w:r>
      <w:r>
        <w:rPr>
          <w:rFonts w:ascii="Barlow Semi Condensed" w:cs="Barlow Semi Condensed" w:eastAsia="Barlow Semi Condensed" w:hAnsi="Barlow Semi Condensed"/>
          <w:sz w:val="24"/>
          <w:szCs w:val="24"/>
        </w:rPr>
        <w:t xml:space="preserve"> Se l'impresa che pubblica un'enciclopedia è controllata da una persona che in quell'enciclopedia ha una voce, e che è protagonista della materia trattata, quel testo non è terzo per definizione. Non occorre dimostrare alcuna alterazione: la terzietà è condizione di posizione, non giudizio sulla condotta. Il corpus registra la posizione e cerca altrove, come farebbe con qualsiasi casa editrice di proprietà di un protagonista.</w:t>
      </w:r>
    </w:p>
    <w:p>
      <w:pPr>
        <w:spacing w:after="120" w:line="276"/>
        <w:jc w:val="both"/>
      </w:pPr>
      <w:r>
        <w:rPr>
          <w:rFonts w:ascii="Barlow Semi Condensed" w:cs="Barlow Semi Condensed" w:eastAsia="Barlow Semi Condensed" w:hAnsi="Barlow Semi Condensed"/>
          <w:b/>
          <w:bCs/>
          <w:sz w:val="24"/>
          <w:szCs w:val="24"/>
        </w:rPr>
        <w:t xml:space="preserve">904 · Il divieto del committente, registrato.</w:t>
      </w:r>
      <w:r>
        <w:rPr>
          <w:rFonts w:ascii="Barlow Semi Condensed" w:cs="Barlow Semi Condensed" w:eastAsia="Barlow Semi Condensed" w:hAnsi="Barlow Semi Condensed"/>
          <w:sz w:val="24"/>
          <w:szCs w:val="24"/>
        </w:rPr>
        <w:t xml:space="preserve"> Il committente ha escluso due testate dal novero delle fonti citabili in quest'opera. Il divieto si registra qui per intero, perché un'esclusione taciuta sarebbe essa stessa un vizio di metodo, e si osserva senza nominarle nel testo. Un lettore che voglia contestare l'esclusione sa dunque che esiste e può chiederne conto; ciò che non troverà mai è una riga di quest'opera appoggiata su quelle due.</w:t>
      </w:r>
    </w:p>
    <w:p>
      <w:pPr>
        <w:spacing w:after="120" w:line="276"/>
        <w:jc w:val="both"/>
      </w:pPr>
      <w:r>
        <w:rPr>
          <w:rFonts w:ascii="Barlow Semi Condensed" w:cs="Barlow Semi Condensed" w:eastAsia="Barlow Semi Condensed" w:hAnsi="Barlow Semi Condensed"/>
          <w:b/>
          <w:bCs/>
          <w:sz w:val="24"/>
          <w:szCs w:val="24"/>
        </w:rPr>
        <w:t xml:space="preserve">905 · Il peso del ricordo familiare.</w:t>
      </w:r>
      <w:r>
        <w:rPr>
          <w:rFonts w:ascii="Barlow Semi Condensed" w:cs="Barlow Semi Condensed" w:eastAsia="Barlow Semi Condensed" w:hAnsi="Barlow Semi Condensed"/>
          <w:sz w:val="24"/>
          <w:szCs w:val="24"/>
        </w:rPr>
        <w:t xml:space="preserve"> La memorialistica di famiglia è fonte primaria per le cose che il narratore ha visto e udito, e fonte debolissima per quelle che gli sono state raccontate e che riguardano l'onore o la fortuna della casa. La distinzione va applicata riga per riga dentro lo stesso libro o la stessa intervista. Il corpus l'ha già usata sulla memorialistica brigatista, trattata come fonte di parte in ceppo-simioni-cpm-superclan-hyperion.md.</w:t>
      </w:r>
    </w:p>
    <w:p>
      <w:pPr>
        <w:spacing w:after="120" w:line="276"/>
        <w:jc w:val="both"/>
      </w:pPr>
      <w:r>
        <w:rPr>
          <w:rFonts w:ascii="Barlow Semi Condensed" w:cs="Barlow Semi Condensed" w:eastAsia="Barlow Semi Condensed" w:hAnsi="Barlow Semi Condensed"/>
          <w:b/>
          <w:bCs/>
          <w:sz w:val="24"/>
          <w:szCs w:val="24"/>
        </w:rPr>
        <w:t xml:space="preserve">906 · Gli scritti del nonno materno.</w:t>
      </w:r>
      <w:r>
        <w:rPr>
          <w:rFonts w:ascii="Barlow Semi Condensed" w:cs="Barlow Semi Condensed" w:eastAsia="Barlow Semi Condensed" w:hAnsi="Barlow Semi Condensed"/>
          <w:sz w:val="24"/>
          <w:szCs w:val="24"/>
        </w:rPr>
        <w:t xml:space="preserve"> Joshua Norman Haldeman, 1902-1974, pubblicò in proprio scritti e opuscoli e lasciò corrispondenza: sono fonti primarie per le sue posizioni, che espresse pubblicamente e che l'inchiesta della CBC ha documentato. Un testo scritto da lui pesa più di qualunque ricostruzione familiare successiva, in un senso e nell'altro. La ricerca di questi materiali si conduce presso le biblioteche nazionali canadese e sudafricana, per la via del deposito legale.</w:t>
      </w:r>
    </w:p>
    <w:p>
      <w:pPr>
        <w:spacing w:after="120" w:line="276"/>
        <w:jc w:val="both"/>
      </w:pPr>
      <w:r>
        <w:rPr>
          <w:rFonts w:ascii="Barlow Semi Condensed" w:cs="Barlow Semi Condensed" w:eastAsia="Barlow Semi Condensed" w:hAnsi="Barlow Semi Condensed"/>
          <w:b/>
          <w:bCs/>
          <w:sz w:val="24"/>
          <w:szCs w:val="24"/>
        </w:rPr>
        <w:t xml:space="preserve">907 · Le carte del movimento tecnocratico.</w:t>
      </w:r>
      <w:r>
        <w:rPr>
          <w:rFonts w:ascii="Barlow Semi Condensed" w:cs="Barlow Semi Condensed" w:eastAsia="Barlow Semi Condensed" w:hAnsi="Barlow Semi Condensed"/>
          <w:sz w:val="24"/>
          <w:szCs w:val="24"/>
        </w:rPr>
        <w:t xml:space="preserve"> Il movimento Technocracy, cui Haldeman aderì in Canada, ha lasciato atti associativi e fascicoli amministrativi: la sede in cui cercarli è Library and Archives Canada, a Ottawa, insieme agli atti relativi alle misure di guerra che nel 1940 colpirono diverse organizzazioni. È un bersaglio d'archivio preciso e finora non verbalizzato: che cosa quei fascicoli contengano su questa persona resta, allo stato, ignoto a quest'opera.</w:t>
      </w:r>
    </w:p>
    <w:p>
      <w:pPr>
        <w:spacing w:after="120" w:line="276"/>
        <w:jc w:val="both"/>
      </w:pPr>
      <w:r>
        <w:rPr>
          <w:rFonts w:ascii="Barlow Semi Condensed" w:cs="Barlow Semi Condensed" w:eastAsia="Barlow Semi Condensed" w:hAnsi="Barlow Semi Condensed"/>
          <w:b/>
          <w:bCs/>
          <w:sz w:val="24"/>
          <w:szCs w:val="24"/>
        </w:rPr>
        <w:t xml:space="preserve">908 · L'opinione dell'avo non si eredita.</w:t>
      </w:r>
      <w:r>
        <w:rPr>
          <w:rFonts w:ascii="Barlow Semi Condensed" w:cs="Barlow Semi Condensed" w:eastAsia="Barlow Semi Condensed" w:hAnsi="Barlow Semi Condensed"/>
          <w:sz w:val="24"/>
          <w:szCs w:val="24"/>
        </w:rPr>
        <w:t xml:space="preserve"> Le posizioni pubbliche di un nonno sono un fatto documentabile del nonno. Non sono un fatto del nipote, e nessun blocco di quest'opera le tratta come tali: è il divieto centrale dell'intero lavoro, e discende dalla stessa regola con cui il corpus tratta la responsabilità penale, che non si trasmette per discendenza. La genealogia stabilisce parentele; non stabilisce condotte, opinioni né continuità.</w:t>
      </w:r>
    </w:p>
    <w:p>
      <w:pPr>
        <w:spacing w:after="120" w:line="276"/>
        <w:jc w:val="both"/>
      </w:pPr>
      <w:r>
        <w:rPr>
          <w:rFonts w:ascii="Barlow Semi Condensed" w:cs="Barlow Semi Condensed" w:eastAsia="Barlow Semi Condensed" w:hAnsi="Barlow Semi Condensed"/>
          <w:b/>
          <w:bCs/>
          <w:sz w:val="24"/>
          <w:szCs w:val="24"/>
        </w:rPr>
        <w:t xml:space="preserve">909 · Le interviste paterne e la cadenza.</w:t>
      </w:r>
      <w:r>
        <w:rPr>
          <w:rFonts w:ascii="Barlow Semi Condensed" w:cs="Barlow Semi Condensed" w:eastAsia="Barlow Semi Condensed" w:hAnsi="Barlow Semi Condensed"/>
          <w:sz w:val="24"/>
          <w:szCs w:val="24"/>
        </w:rPr>
        <w:t xml:space="preserve"> Le dichiarazioni rese negli ultimi anni da Errol Musk a testate anglosassoni sono numerose, ravvicinate e non sempre concordanti fra loro. Prima di usarne una conviene ordinarle cronologicamente e confrontarne le versioni: l'esercizio è meccanico e produce un risultato utile, cioè la misura della stabilità del racconto. Una versione che muta nel tempo non è per ciò falsa, ma non si cita separata dalle altre.</w:t>
      </w:r>
    </w:p>
    <w:p>
      <w:pPr>
        <w:spacing w:after="120" w:line="276"/>
        <w:jc w:val="both"/>
      </w:pPr>
      <w:r>
        <w:rPr>
          <w:rFonts w:ascii="Barlow Semi Condensed" w:cs="Barlow Semi Condensed" w:eastAsia="Barlow Semi Condensed" w:hAnsi="Barlow Semi Condensed"/>
          <w:b/>
          <w:bCs/>
          <w:sz w:val="24"/>
          <w:szCs w:val="24"/>
        </w:rPr>
        <w:t xml:space="preserve">910 · Il podcast è un oggetto datato.</w:t>
      </w:r>
      <w:r>
        <w:rPr>
          <w:rFonts w:ascii="Barlow Semi Condensed" w:cs="Barlow Semi Condensed" w:eastAsia="Barlow Semi Condensed" w:hAnsi="Barlow Semi Condensed"/>
          <w:sz w:val="24"/>
          <w:szCs w:val="24"/>
        </w:rPr>
        <w:t xml:space="preserve"> Una conversazione registrata si cita come si cita un'intervista: nome del programma, numero e titolo dell'episodio, data di prima pubblicazione, minutaggio del passaggio, piattaforma su cui è stata consultata. Molte affermazioni correnti su questa materia nascono in conversazioni registrate e circolano poi come frasi senza data. Ricondurle all'episodio e al minuto basta spesso a mostrare in quale contesto furono pronunciate.</w:t>
      </w:r>
    </w:p>
    <w:p>
      <w:pPr>
        <w:spacing w:after="120" w:line="276"/>
        <w:jc w:val="both"/>
      </w:pPr>
      <w:r>
        <w:rPr>
          <w:rFonts w:ascii="Barlow Semi Condensed" w:cs="Barlow Semi Condensed" w:eastAsia="Barlow Semi Condensed" w:hAnsi="Barlow Semi Condensed"/>
          <w:b/>
          <w:bCs/>
          <w:sz w:val="24"/>
          <w:szCs w:val="24"/>
        </w:rPr>
        <w:t xml:space="preserve">911 · La trascrizione automatica sbaglia.</w:t>
      </w:r>
      <w:r>
        <w:rPr>
          <w:rFonts w:ascii="Barlow Semi Condensed" w:cs="Barlow Semi Condensed" w:eastAsia="Barlow Semi Condensed" w:hAnsi="Barlow Semi Condensed"/>
          <w:sz w:val="24"/>
          <w:szCs w:val="24"/>
        </w:rPr>
        <w:t xml:space="preserve"> I sistemi automatici di trascrizione confondono i nomi propri stranieri, e su questa materia i nomi propri sono quasi tutti stranieri: cognomi afrikaans, toponimi namibiani, denominazioni societarie. Un errore su un cognome produce un soggetto inesistente e, se ripreso, un fatto inesistente. Vale qui la lezione già registrata dal corpus sul riconoscimento ottico al blocco 306 del manuale: la divergenza si dichiara nel dato, non si sceglie in silenzio.</w:t>
      </w:r>
    </w:p>
    <w:p>
      <w:pPr>
        <w:spacing w:after="120" w:line="276"/>
        <w:jc w:val="both"/>
      </w:pPr>
      <w:r>
        <w:rPr>
          <w:rFonts w:ascii="Barlow Semi Condensed" w:cs="Barlow Semi Condensed" w:eastAsia="Barlow Semi Condensed" w:hAnsi="Barlow Semi Condensed"/>
          <w:b/>
          <w:bCs/>
          <w:sz w:val="24"/>
          <w:szCs w:val="24"/>
        </w:rPr>
        <w:t xml:space="preserve">912 · L'episodio rimontato e ripubblicato.</w:t>
      </w:r>
      <w:r>
        <w:rPr>
          <w:rFonts w:ascii="Barlow Semi Condensed" w:cs="Barlow Semi Condensed" w:eastAsia="Barlow Semi Condensed" w:hAnsi="Barlow Semi Condensed"/>
          <w:sz w:val="24"/>
          <w:szCs w:val="24"/>
        </w:rPr>
        <w:t xml:space="preserve"> Gli episodi audio si modificano dopo la pubblicazione: tagli, rimontaggi, ripubblicazioni sotto il medesimo titolo. Il minutaggio citato ieri può indicare oggi un altro passaggio. Perciò la citazione da audio si accompagna alla trascrizione del passaggio, che resta leggibile anche quando il file cambia, e alla durata complessiva dell'episodio nella versione consultata, che è il modo più semplice per accorgersi di un rimontaggio.</w:t>
      </w:r>
    </w:p>
    <w:p>
      <w:pPr>
        <w:spacing w:after="120" w:line="276"/>
        <w:jc w:val="both"/>
      </w:pPr>
      <w:r>
        <w:rPr>
          <w:rFonts w:ascii="Barlow Semi Condensed" w:cs="Barlow Semi Condensed" w:eastAsia="Barlow Semi Condensed" w:hAnsi="Barlow Semi Condensed"/>
          <w:b/>
          <w:bCs/>
          <w:sz w:val="24"/>
          <w:szCs w:val="24"/>
        </w:rPr>
        <w:t xml:space="preserve">913 · Il post cancellato e la sua copia.</w:t>
      </w:r>
      <w:r>
        <w:rPr>
          <w:rFonts w:ascii="Barlow Semi Condensed" w:cs="Barlow Semi Condensed" w:eastAsia="Barlow Semi Condensed" w:hAnsi="Barlow Semi Condensed"/>
          <w:sz w:val="24"/>
          <w:szCs w:val="24"/>
        </w:rPr>
        <w:t xml:space="preserve"> Il messaggio cancellato non cessa di essere esistito, e non diventa per ciò solo prova di reticenza. Ai fini documentali conta una cosa sola: se ne esista copia archiviata di data certa, con l'identificativo numerico. In sua assenza il messaggio non si cita, neppure se molti ne ricordano il testo. Il ricordo collettivo di una frase in rete non è una fonte, ed è uno degli inquinanti principali di questa materia.</w:t>
      </w:r>
    </w:p>
    <w:p>
      <w:pPr>
        <w:spacing w:after="120" w:line="276"/>
        <w:jc w:val="both"/>
      </w:pPr>
      <w:r>
        <w:rPr>
          <w:rFonts w:ascii="Barlow Semi Condensed" w:cs="Barlow Semi Condensed" w:eastAsia="Barlow Semi Condensed" w:hAnsi="Barlow Semi Condensed"/>
          <w:b/>
          <w:bCs/>
          <w:sz w:val="24"/>
          <w:szCs w:val="24"/>
        </w:rPr>
        <w:t xml:space="preserve">914 · Lo screenshot non è documento.</w:t>
      </w:r>
      <w:r>
        <w:rPr>
          <w:rFonts w:ascii="Barlow Semi Condensed" w:cs="Barlow Semi Condensed" w:eastAsia="Barlow Semi Condensed" w:hAnsi="Barlow Semi Condensed"/>
          <w:sz w:val="24"/>
          <w:szCs w:val="24"/>
        </w:rPr>
        <w:t xml:space="preserve"> L'immagine di uno schermo è la più facile da fabbricare e la più diffusa nelle controversie su questa materia. Non ha valore documentale autonomo: serve come indizio per cercare l'originale o la sua copia archiviata, e nient'altro. Un blocco che poggi su un'immagine di schermo non sorretta da riscontro indipendente resta al piano tre e va scritto come tale, oppure non va scritto affatto.</w:t>
      </w:r>
    </w:p>
    <w:p>
      <w:pPr>
        <w:spacing w:after="120" w:line="276"/>
        <w:jc w:val="both"/>
      </w:pPr>
      <w:r>
        <w:rPr>
          <w:rFonts w:ascii="Barlow Semi Condensed" w:cs="Barlow Semi Condensed" w:eastAsia="Barlow Semi Condensed" w:hAnsi="Barlow Semi Condensed"/>
          <w:b/>
          <w:bCs/>
          <w:sz w:val="24"/>
          <w:szCs w:val="24"/>
        </w:rPr>
        <w:t xml:space="preserve">915 · I due Botha, errore capitale.</w:t>
      </w:r>
      <w:r>
        <w:rPr>
          <w:rFonts w:ascii="Barlow Semi Condensed" w:cs="Barlow Semi Condensed" w:eastAsia="Barlow Semi Condensed" w:hAnsi="Barlow Semi Condensed"/>
          <w:sz w:val="24"/>
          <w:szCs w:val="24"/>
        </w:rPr>
        <w:t xml:space="preserve"> L'affermazione più diffusa su questa materia è anche la più semplice da smontare: Pik Botha, ministro degli Esteri dal 1977 al 1994 e poi ministro delle Miniere e dell'Energia nel primo governo Mandela, non era parente di P.W. Botha, presidente dello Stato. Sono due uomini distinti con un cognome frequentissimo in Sudafrica. Ogni testo che li tratti come un solo lignaggio è, su quel punto, inutilizzabile.</w:t>
      </w:r>
    </w:p>
    <w:p>
      <w:pPr>
        <w:spacing w:after="120" w:line="276"/>
        <w:jc w:val="both"/>
      </w:pPr>
      <w:r>
        <w:rPr>
          <w:rFonts w:ascii="Barlow Semi Condensed" w:cs="Barlow Semi Condensed" w:eastAsia="Barlow Semi Condensed" w:hAnsi="Barlow Semi Condensed"/>
          <w:b/>
          <w:bCs/>
          <w:sz w:val="24"/>
          <w:szCs w:val="24"/>
        </w:rPr>
        <w:t xml:space="preserve">916 · Dove nasce la confusione dei cognomi.</w:t>
      </w:r>
      <w:r>
        <w:rPr>
          <w:rFonts w:ascii="Barlow Semi Condensed" w:cs="Barlow Semi Condensed" w:eastAsia="Barlow Semi Condensed" w:hAnsi="Barlow Semi Condensed"/>
          <w:sz w:val="24"/>
          <w:szCs w:val="24"/>
        </w:rPr>
        <w:t xml:space="preserve"> L'origine dell'errore precedente non è un documento ma un'omonimia, amplificata da didascalie che scrivono soltanto Botha accanto a fotografie degli anni Ottanta. Non c'è una fonte prima da risalire: c'è una scorciatoia lessicale che si autoreplica. Il rimedio è editoriale e semplice, il nome proprio per esteso a ogni occorrenza, ed è la regola che quest'opera si impone su tutti i cognomi ricorrenti della materia.</w:t>
      </w:r>
    </w:p>
    <w:p>
      <w:pPr>
        <w:spacing w:after="120" w:line="276"/>
        <w:jc w:val="both"/>
      </w:pPr>
      <w:r>
        <w:rPr>
          <w:rFonts w:ascii="Barlow Semi Condensed" w:cs="Barlow Semi Condensed" w:eastAsia="Barlow Semi Condensed" w:hAnsi="Barlow Semi Condensed"/>
          <w:b/>
          <w:bCs/>
          <w:sz w:val="24"/>
          <w:szCs w:val="24"/>
        </w:rPr>
        <w:t xml:space="preserve">917 · Il nipote, e ciò che significa.</w:t>
      </w:r>
      <w:r>
        <w:rPr>
          <w:rFonts w:ascii="Barlow Semi Condensed" w:cs="Barlow Semi Condensed" w:eastAsia="Barlow Semi Condensed" w:hAnsi="Barlow Semi Condensed"/>
          <w:sz w:val="24"/>
          <w:szCs w:val="24"/>
        </w:rPr>
        <w:t xml:space="preserve"> Roelof Botha, direttore finanziario di PayPal al tempo della quotazione e poi socio e managing partner di Sequoia Capital, è nipote di Pik Botha: la parentela è documentata e sta al piano uno. Da essa discende una parentela e nulla di più. Chi ne ricava una continuità politica compie il salto che quest'opera vieta, perché l'appartenenza a una famiglia non è prova di condotta.</w:t>
      </w:r>
    </w:p>
    <w:p>
      <w:pPr>
        <w:spacing w:after="120" w:line="276"/>
        <w:jc w:val="both"/>
      </w:pPr>
      <w:r>
        <w:rPr>
          <w:rFonts w:ascii="Barlow Semi Condensed" w:cs="Barlow Semi Condensed" w:eastAsia="Barlow Semi Condensed" w:hAnsi="Barlow Semi Condensed"/>
          <w:b/>
          <w:bCs/>
          <w:sz w:val="24"/>
          <w:szCs w:val="24"/>
        </w:rPr>
        <w:t xml:space="preserve">918 · La miniera senza titolo minerario.</w:t>
      </w:r>
      <w:r>
        <w:rPr>
          <w:rFonts w:ascii="Barlow Semi Condensed" w:cs="Barlow Semi Condensed" w:eastAsia="Barlow Semi Condensed" w:hAnsi="Barlow Semi Condensed"/>
          <w:sz w:val="24"/>
          <w:szCs w:val="24"/>
        </w:rPr>
        <w:t xml:space="preserve"> Della miniera di smeraldi attribuita a Errol Musk non è mai emerso un titolo di proprietà. Le sedi che chiuderebbero la questione sono nominabili: il catasto minerario del ministero competente a Lusaka e il registro delle imprese zambiano, la PACRA. Finché nessuno vi si reca, l'affermazione resta sospesa fra due dichiarazioni contrapposte e va scritta come sospesa. È uno Stato Zero, e non una smentita.</w:t>
      </w:r>
    </w:p>
    <w:p>
      <w:pPr>
        <w:spacing w:after="120" w:line="276"/>
        <w:jc w:val="both"/>
      </w:pPr>
      <w:r>
        <w:rPr>
          <w:rFonts w:ascii="Barlow Semi Condensed" w:cs="Barlow Semi Condensed" w:eastAsia="Barlow Semi Condensed" w:hAnsi="Barlow Semi Condensed"/>
          <w:b/>
          <w:bCs/>
          <w:sz w:val="24"/>
          <w:szCs w:val="24"/>
        </w:rPr>
        <w:t xml:space="preserve">919 · Le cifre della miniera cambiano.</w:t>
      </w:r>
      <w:r>
        <w:rPr>
          <w:rFonts w:ascii="Barlow Semi Condensed" w:cs="Barlow Semi Condensed" w:eastAsia="Barlow Semi Condensed" w:hAnsi="Barlow Semi Condensed"/>
          <w:sz w:val="24"/>
          <w:szCs w:val="24"/>
        </w:rPr>
        <w:t xml:space="preserve"> Nelle varie interviste l'entità dell'attività zambiana varia: quantità, ricavi e durata non coincidono da una versione all'altra. Il corpus non sceglie la versione più bassa né la più alta, ma le riporta come divergenza, secondo la regola per cui le difformità non si sciolgono in silenzio. La biografia di Isaacson, dal canto suo, descrive l'acquisto informale di pietre grezze, che è cosa diversa da una proprietà mineraria.</w:t>
      </w:r>
    </w:p>
    <w:p>
      <w:pPr>
        <w:spacing w:after="120" w:line="276"/>
        <w:jc w:val="both"/>
      </w:pPr>
      <w:r>
        <w:rPr>
          <w:rFonts w:ascii="Barlow Semi Condensed" w:cs="Barlow Semi Condensed" w:eastAsia="Barlow Semi Condensed" w:hAnsi="Barlow Semi Condensed"/>
          <w:b/>
          <w:bCs/>
          <w:sz w:val="24"/>
          <w:szCs w:val="24"/>
        </w:rPr>
        <w:t xml:space="preserve">920 · Thiel non nacque in Sudafrica.</w:t>
      </w:r>
      <w:r>
        <w:rPr>
          <w:rFonts w:ascii="Barlow Semi Condensed" w:cs="Barlow Semi Condensed" w:eastAsia="Barlow Semi Condensed" w:hAnsi="Barlow Semi Condensed"/>
          <w:sz w:val="24"/>
          <w:szCs w:val="24"/>
        </w:rPr>
        <w:t xml:space="preserve"> Ricorre l'affermazione che Peter Thiel sia nato in Sudafrica. Nacque a Francoforte nel 1967; visse a Swakopmund, in Africa del Sud-Ovest, intorno al 1975-1977, e frequentò poi una scuola preparatoria riservata ai bianchi. L'errore nasce da un'abbreviazione: la residenza infantile diventa luogo di nascita nel riassunto, e il riassunto viene copiato. Un atto di nascita, chiesto all'anagrafe di Francoforte, chiude la questione in un minuto.</w:t>
      </w:r>
    </w:p>
    <w:p>
      <w:pPr>
        <w:spacing w:after="120" w:line="276"/>
        <w:jc w:val="both"/>
      </w:pPr>
      <w:r>
        <w:rPr>
          <w:rFonts w:ascii="Barlow Semi Condensed" w:cs="Barlow Semi Condensed" w:eastAsia="Barlow Semi Condensed" w:hAnsi="Barlow Semi Condensed"/>
          <w:b/>
          <w:bCs/>
          <w:sz w:val="24"/>
          <w:szCs w:val="24"/>
        </w:rPr>
        <w:t xml:space="preserve">921 · Il padre, il cantiere, la carica.</w:t>
      </w:r>
      <w:r>
        <w:rPr>
          <w:rFonts w:ascii="Barlow Semi Condensed" w:cs="Barlow Semi Condensed" w:eastAsia="Barlow Semi Condensed" w:hAnsi="Barlow Semi Condensed"/>
          <w:sz w:val="24"/>
          <w:szCs w:val="24"/>
        </w:rPr>
        <w:t xml:space="preserve"> Circola che Klaus Thiel dirigesse la miniera di Rössing. Il dato verificato è più modesto: ingegnere chimico, lavorava per un'impresa impegnata nel cantiere negli anni della costruzione. Lo scarto fra lavorare per un'impresa del cantiere e dirigere la miniera è l'inflazione tipica del riassunto, e si corregge con gli atti sociali di Rössing Uranium Limited e coi registri d'impresa namibiani conservati a Windhoek.</w:t>
      </w:r>
    </w:p>
    <w:p>
      <w:pPr>
        <w:spacing w:after="120" w:line="276"/>
        <w:jc w:val="both"/>
      </w:pPr>
      <w:r>
        <w:rPr>
          <w:rFonts w:ascii="Barlow Semi Condensed" w:cs="Barlow Semi Condensed" w:eastAsia="Barlow Semi Condensed" w:hAnsi="Barlow Semi Condensed"/>
          <w:b/>
          <w:bCs/>
          <w:sz w:val="24"/>
          <w:szCs w:val="24"/>
        </w:rPr>
        <w:t xml:space="preserve">922 · Rössing e l'arma: piano tre.</w:t>
      </w:r>
      <w:r>
        <w:rPr>
          <w:rFonts w:ascii="Barlow Semi Condensed" w:cs="Barlow Semi Condensed" w:eastAsia="Barlow Semi Condensed" w:hAnsi="Barlow Semi Condensed"/>
          <w:sz w:val="24"/>
          <w:szCs w:val="24"/>
        </w:rPr>
        <w:t xml:space="preserve"> La tesi che l'uranio di Rössing servisse il programma nucleare militare sudafricano circola su fonti militanti e quest'opera non l'adotta: è piano tre, affermazione terziaria priva di riscontro esibito. Le sedi che la deciderebbero sono note e raggiungibili, cioè i fascicoli del Foreign and Commonwealth Office ai National Archives di Kew e gli atti del Consiglio delle Nazioni Unite per la Namibia. Resta un bersaglio, non un fatto.</w:t>
      </w:r>
    </w:p>
    <w:p>
      <w:pPr>
        <w:spacing w:after="120" w:line="276"/>
        <w:jc w:val="both"/>
      </w:pPr>
      <w:r>
        <w:rPr>
          <w:rFonts w:ascii="Barlow Semi Condensed" w:cs="Barlow Semi Condensed" w:eastAsia="Barlow Semi Condensed" w:hAnsi="Barlow Semi Condensed"/>
          <w:b/>
          <w:bCs/>
          <w:sz w:val="24"/>
          <w:szCs w:val="24"/>
        </w:rPr>
        <w:t xml:space="preserve">923 · La fotografia in cui manca Musk.</w:t>
      </w:r>
      <w:r>
        <w:rPr>
          <w:rFonts w:ascii="Barlow Semi Condensed" w:cs="Barlow Semi Condensed" w:eastAsia="Barlow Semi Condensed" w:hAnsi="Barlow Semi Condensed"/>
          <w:sz w:val="24"/>
          <w:szCs w:val="24"/>
        </w:rPr>
        <w:t xml:space="preserve"> La fotografia di gruppo pubblicata da Fortune nel novembre 2007, scattata in un locale di San Francisco, è l'atto di nascita dell'espressione PayPal Mafia. Elon Musk non vi comparve. L'errore contrario è frequentissimo e ha origine unica e individuabile: le riproduzioni successive dell'immagine, corredate di didascalie compilate a memoria. L'originale, con la sua didascalia, sta nel fascicolo della rivista di quel mese.</w:t>
      </w:r>
    </w:p>
    <w:p>
      <w:pPr>
        <w:spacing w:after="120" w:line="276"/>
        <w:jc w:val="both"/>
      </w:pPr>
      <w:r>
        <w:rPr>
          <w:rFonts w:ascii="Barlow Semi Condensed" w:cs="Barlow Semi Condensed" w:eastAsia="Barlow Semi Condensed" w:hAnsi="Barlow Semi Condensed"/>
          <w:b/>
          <w:bCs/>
          <w:sz w:val="24"/>
          <w:szCs w:val="24"/>
        </w:rPr>
        <w:t xml:space="preserve">924 · Una categoria, non un ente.</w:t>
      </w:r>
      <w:r>
        <w:rPr>
          <w:rFonts w:ascii="Barlow Semi Condensed" w:cs="Barlow Semi Condensed" w:eastAsia="Barlow Semi Condensed" w:hAnsi="Barlow Semi Condensed"/>
          <w:sz w:val="24"/>
          <w:szCs w:val="24"/>
        </w:rPr>
        <w:t xml:space="preserve"> PayPal Mafia non designa un soggetto: è una formula giornalistica coniata in un servizio di copertina del novembre 2007 e mai corrispondente ad atto costitutivo, statuto o deposito. Trattarla come un ente produce affermazioni prive di referente, cioè decisioni, volontà e strategie attribuite a un collettivo che non esiste come persona. La regola dell'opera è nominare le persone e i loro atti, uno per uno.</w:t>
      </w:r>
    </w:p>
    <w:p>
      <w:pPr>
        <w:spacing w:after="120" w:line="276"/>
        <w:jc w:val="both"/>
      </w:pPr>
      <w:r>
        <w:rPr>
          <w:rFonts w:ascii="Barlow Semi Condensed" w:cs="Barlow Semi Condensed" w:eastAsia="Barlow Semi Condensed" w:hAnsi="Barlow Semi Condensed"/>
          <w:b/>
          <w:bCs/>
          <w:sz w:val="24"/>
          <w:szCs w:val="24"/>
        </w:rPr>
        <w:t xml:space="preserve">925 · Il nonno nazista: stato zero.</w:t>
      </w:r>
      <w:r>
        <w:rPr>
          <w:rFonts w:ascii="Barlow Semi Condensed" w:cs="Barlow Semi Condensed" w:eastAsia="Barlow Semi Condensed" w:hAnsi="Barlow Semi Condensed"/>
          <w:sz w:val="24"/>
          <w:szCs w:val="24"/>
        </w:rPr>
        <w:t xml:space="preserve"> Si legge spesso che Joshua Haldeman fosse iscritto a un partito nazista. Non risulta alcuna prova d'iscrizione, e la ricerca è verbalizzata come Stato Zero. La sede che la chiuderebbe è precisa: lo schedario delle tessere del NSDAP conservato al Bundesarchiv di Berlino-Lichterfelde, già Berlin Document Center. Che le sue posizioni pubbliche fossero razziste e antisemite è documentato, ed è cosa distinta dall'iscrizione a un partito.</w:t>
      </w:r>
    </w:p>
    <w:p>
      <w:pPr>
        <w:spacing w:after="120" w:line="276"/>
        <w:jc w:val="both"/>
      </w:pPr>
      <w:r>
        <w:rPr>
          <w:rFonts w:ascii="Barlow Semi Condensed" w:cs="Barlow Semi Condensed" w:eastAsia="Barlow Semi Condensed" w:hAnsi="Barlow Semi Condensed"/>
          <w:b/>
          <w:bCs/>
          <w:sz w:val="24"/>
          <w:szCs w:val="24"/>
        </w:rPr>
        <w:t xml:space="preserve">926 · Technocracy non è quel partito.</w:t>
      </w:r>
      <w:r>
        <w:rPr>
          <w:rFonts w:ascii="Barlow Semi Condensed" w:cs="Barlow Semi Condensed" w:eastAsia="Barlow Semi Condensed" w:hAnsi="Barlow Semi Condensed"/>
          <w:sz w:val="24"/>
          <w:szCs w:val="24"/>
        </w:rPr>
        <w:t xml:space="preserve"> Alla base di quella confusione sta la sovrapposizione di due cose diverse: l'adesione documentata a Technocracy, movimento nordamericano, e l'iscrizione a un partito europeo. Sono organizzazioni distinte, in continenti distinti, con storie distinte. La sovrapposizione ha origine riconoscibile, cioè brevi testi in rete che accostano le due parole senza citare alcun atto, e si smonta chiedendo quale documento nomini insieme l'una e l'altra.</w:t>
      </w:r>
    </w:p>
    <w:p>
      <w:pPr>
        <w:spacing w:after="120" w:line="276"/>
        <w:jc w:val="both"/>
      </w:pPr>
      <w:r>
        <w:rPr>
          <w:rFonts w:ascii="Barlow Semi Condensed" w:cs="Barlow Semi Condensed" w:eastAsia="Barlow Semi Condensed" w:hAnsi="Barlow Semi Condensed"/>
          <w:b/>
          <w:bCs/>
          <w:sz w:val="24"/>
          <w:szCs w:val="24"/>
        </w:rPr>
        <w:t xml:space="preserve">927 · La leva, e la sua fonte unica.</w:t>
      </w:r>
      <w:r>
        <w:rPr>
          <w:rFonts w:ascii="Barlow Semi Condensed" w:cs="Barlow Semi Condensed" w:eastAsia="Barlow Semi Condensed" w:hAnsi="Barlow Semi Condensed"/>
          <w:sz w:val="24"/>
          <w:szCs w:val="24"/>
        </w:rPr>
        <w:t xml:space="preserve"> Che Elon Musk abbia lasciato il Sudafrica anche per non prestare servizio militare è affermazione la cui fonte, allo stato, è il diretto interessato in dichiarazioni pubbliche. È fonte primaria e di parte, e va citata come tale, con la data. Il riscontro terzo esisterebbe: i registri della coscrizione, conservati al centro di documentazione della difesa sudafricana a Pretoria, sono la sede della verifica.</w:t>
      </w:r>
    </w:p>
    <w:p>
      <w:pPr>
        <w:spacing w:after="120" w:line="276"/>
        <w:jc w:val="both"/>
      </w:pPr>
      <w:r>
        <w:rPr>
          <w:rFonts w:ascii="Barlow Semi Condensed" w:cs="Barlow Semi Condensed" w:eastAsia="Barlow Semi Condensed" w:hAnsi="Barlow Semi Condensed"/>
          <w:b/>
          <w:bCs/>
          <w:sz w:val="24"/>
          <w:szCs w:val="24"/>
        </w:rPr>
        <w:t xml:space="preserve">928 · La scuola, e i suoi registri.</w:t>
      </w:r>
      <w:r>
        <w:rPr>
          <w:rFonts w:ascii="Barlow Semi Condensed" w:cs="Barlow Semi Condensed" w:eastAsia="Barlow Semi Condensed" w:hAnsi="Barlow Semi Condensed"/>
          <w:sz w:val="24"/>
          <w:szCs w:val="24"/>
        </w:rPr>
        <w:t xml:space="preserve"> Sul nome della scuola preparatoria frequentata da Peter Thiel in Sudafrica le fonti in rete divergono, e nessuna esibisce un registro. L'accertamento è banale in linea di principio, perché esistono i registri d'iscrizione degli istituti e gli annuari scolastici, e resta non compiuto. Quest'opera scrive perciò ciò che è verificato, cioè che si trattava di un istituto riservato ai bianchi, e lascia il nome fra i bersagli aperti.</w:t>
      </w:r>
    </w:p>
    <w:p>
      <w:pPr>
        <w:spacing w:after="120" w:line="276"/>
        <w:jc w:val="both"/>
      </w:pPr>
      <w:r>
        <w:rPr>
          <w:rFonts w:ascii="Barlow Semi Condensed" w:cs="Barlow Semi Condensed" w:eastAsia="Barlow Semi Condensed" w:hAnsi="Barlow Semi Condensed"/>
          <w:b/>
          <w:bCs/>
          <w:sz w:val="24"/>
          <w:szCs w:val="24"/>
        </w:rPr>
        <w:t xml:space="preserve">929 · Sequoia e l'apartheid: nulla.</w:t>
      </w:r>
      <w:r>
        <w:rPr>
          <w:rFonts w:ascii="Barlow Semi Condensed" w:cs="Barlow Semi Condensed" w:eastAsia="Barlow Semi Condensed" w:hAnsi="Barlow Semi Condensed"/>
          <w:sz w:val="24"/>
          <w:szCs w:val="24"/>
        </w:rPr>
        <w:t xml:space="preserve"> Si affaccia talvolta l'idea di un legame fra la società d'investimento in cui opera Roelof Botha e il regime sudafricano. Nessun deposito lo attesta: Sequoia Capital nacque in California nel 1972 e i suoi atti sono verificabili nei registri societari statunitensi e nelle comunicazioni alla SEC. La convergenza di biografie non è un rapporto fra enti, e senza un documento che nomini entrambe le parti resta al piano due.</w:t>
      </w:r>
    </w:p>
    <w:p>
      <w:pPr>
        <w:spacing w:after="120" w:line="276"/>
        <w:jc w:val="both"/>
      </w:pPr>
      <w:r>
        <w:rPr>
          <w:rFonts w:ascii="Barlow Semi Condensed" w:cs="Barlow Semi Condensed" w:eastAsia="Barlow Semi Condensed" w:hAnsi="Barlow Semi Condensed"/>
          <w:b/>
          <w:bCs/>
          <w:sz w:val="24"/>
          <w:szCs w:val="24"/>
        </w:rPr>
        <w:t xml:space="preserve">930 · Un'affermazione ancorata, per confronto.</w:t>
      </w:r>
      <w:r>
        <w:rPr>
          <w:rFonts w:ascii="Barlow Semi Condensed" w:cs="Barlow Semi Condensed" w:eastAsia="Barlow Semi Condensed" w:hAnsi="Barlow Semi Condensed"/>
          <w:sz w:val="24"/>
          <w:szCs w:val="24"/>
        </w:rPr>
        <w:t xml:space="preserve"> Non tutte le affermazioni correnti sono infondate, e conviene chiudere col caso opposto. Che Peter Thiel abbia finanziato l'azione giudiziaria contro una testata statunitense è fatto pubblico: fu lui stesso a confermarlo in un'intervista datata del maggio 2016, dopo la rivelazione giornalistica. Provenienza, data, dichiarante e sede sono tutti determinabili: così si presenta un'affermazione che regge, e il confronto è il metro dell'intera serie.</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Serie tredicesima — Il limite: la colpa non si eredita</w:t>
      </w:r>
    </w:p>
    <w:p>
      <w:pPr>
        <w:spacing w:after="120" w:line="276"/>
        <w:jc w:val="both"/>
      </w:pPr>
      <w:r>
        <w:rPr>
          <w:rFonts w:ascii="Barlow Semi Condensed" w:cs="Barlow Semi Condensed" w:eastAsia="Barlow Semi Condensed" w:hAnsi="Barlow Semi Condensed"/>
          <w:i/>
          <w:iCs/>
          <w:sz w:val="24"/>
          <w:szCs w:val="24"/>
        </w:rPr>
        <w:t xml:space="preserve">Blocchi 931-1000.</w:t>
      </w:r>
    </w:p>
    <w:p>
      <w:pPr>
        <w:spacing w:after="120" w:line="276"/>
        <w:jc w:val="both"/>
      </w:pPr>
      <w:r>
        <w:rPr>
          <w:rFonts w:ascii="Barlow Semi Condensed" w:cs="Barlow Semi Condensed" w:eastAsia="Barlow Semi Condensed" w:hAnsi="Barlow Semi Condensed"/>
          <w:b/>
          <w:bCs/>
          <w:sz w:val="24"/>
          <w:szCs w:val="24"/>
        </w:rPr>
        <w:t xml:space="preserve">931 · Dove questa serie ferma l'opera.</w:t>
      </w:r>
      <w:r>
        <w:rPr>
          <w:rFonts w:ascii="Barlow Semi Condensed" w:cs="Barlow Semi Condensed" w:eastAsia="Barlow Semi Condensed" w:hAnsi="Barlow Semi Condensed"/>
          <w:sz w:val="24"/>
          <w:szCs w:val="24"/>
        </w:rPr>
        <w:t xml:space="preserve"> Le dodici serie precedenti hanno costruito una tesi di continuità fra un ambiente e un altro. Questa serie esiste per impedirle di diventare un'imputazione. Il punto di arresto è preciso: la continuità può descrivere ambienti, capitali, scuole e passaporti, non può attribuire condotte. Ogni volta che un blocco anteriore sembra spingere verso il nome di una persona come responsabile di qualcosa, prevale quanto scritto qui, e quanto scritto qui vieta.</w:t>
      </w:r>
    </w:p>
    <w:p>
      <w:pPr>
        <w:spacing w:after="120" w:line="276"/>
        <w:jc w:val="both"/>
      </w:pPr>
      <w:r>
        <w:rPr>
          <w:rFonts w:ascii="Barlow Semi Condensed" w:cs="Barlow Semi Condensed" w:eastAsia="Barlow Semi Condensed" w:hAnsi="Barlow Semi Condensed"/>
          <w:b/>
          <w:bCs/>
          <w:sz w:val="24"/>
          <w:szCs w:val="24"/>
        </w:rPr>
        <w:t xml:space="preserve">932 · L'articolo 27 come metro.</w:t>
      </w:r>
      <w:r>
        <w:rPr>
          <w:rFonts w:ascii="Barlow Semi Condensed" w:cs="Barlow Semi Condensed" w:eastAsia="Barlow Semi Condensed" w:hAnsi="Barlow Semi Condensed"/>
          <w:sz w:val="24"/>
          <w:szCs w:val="24"/>
        </w:rPr>
        <w:t xml:space="preserve"> La Fase decima del corpus moroteo — «Il principio personalistico» — fissa la regola che qui si eredita per intero: la responsabilità penale è personale, e la colpa non è mai del gruppo. Quel documento la applicava a tredici condanne definitive. Qui non c'è alcuna condanna da applicare, e la regola vale a maggior ragione: dove manca perfino l'imputazione, il principio personalistico non attenua un giudizio, ne impedisce la formazione.</w:t>
      </w:r>
    </w:p>
    <w:p>
      <w:pPr>
        <w:spacing w:after="120" w:line="276"/>
        <w:jc w:val="both"/>
      </w:pPr>
      <w:r>
        <w:rPr>
          <w:rFonts w:ascii="Barlow Semi Condensed" w:cs="Barlow Semi Condensed" w:eastAsia="Barlow Semi Condensed" w:hAnsi="Barlow Semi Condensed"/>
          <w:b/>
          <w:bCs/>
          <w:sz w:val="24"/>
          <w:szCs w:val="24"/>
        </w:rPr>
        <w:t xml:space="preserve">933 · Un bersaglio non è un'accusa.</w:t>
      </w:r>
      <w:r>
        <w:rPr>
          <w:rFonts w:ascii="Barlow Semi Condensed" w:cs="Barlow Semi Condensed" w:eastAsia="Barlow Semi Condensed" w:hAnsi="Barlow Semi Condensed"/>
          <w:sz w:val="24"/>
          <w:szCs w:val="24"/>
        </w:rPr>
        <w:t xml:space="preserve"> Ogni blocco di quest'opera è un bersaglio di ricerca: un quesito da portare in un archivio nominato, una regola applicabile, un accertamento con grado, una lacuna verbalizzata. Nessuno di essi è un capo d'imputazione, e nessuno può essere letto come tale. Chi trasformasse un quesito in un'affermazione compirebbe l'operazione che l'opera vieta al proprio autore, e la compirebbe senza nemmeno il vincolo dell'archivio che il quesito impone.</w:t>
      </w:r>
    </w:p>
    <w:p>
      <w:pPr>
        <w:spacing w:after="120" w:line="276"/>
        <w:jc w:val="both"/>
      </w:pPr>
      <w:r>
        <w:rPr>
          <w:rFonts w:ascii="Barlow Semi Condensed" w:cs="Barlow Semi Condensed" w:eastAsia="Barlow Semi Condensed" w:hAnsi="Barlow Semi Condensed"/>
          <w:b/>
          <w:bCs/>
          <w:sz w:val="24"/>
          <w:szCs w:val="24"/>
        </w:rPr>
        <w:t xml:space="preserve">934 · Il meridiano e la valle, lente.</w:t>
      </w:r>
      <w:r>
        <w:rPr>
          <w:rFonts w:ascii="Barlow Semi Condensed" w:cs="Barlow Semi Condensed" w:eastAsia="Barlow Semi Condensed" w:hAnsi="Barlow Semi Condensed"/>
          <w:sz w:val="24"/>
          <w:szCs w:val="24"/>
        </w:rPr>
        <w:t xml:space="preserve"> Il titolo di quest'opera accosta due geografie e suggerisce che fra esse corra un filo. È una chiave interpretativa, dichiarata in copertina come si dichiara un'ipotesi di lavoro, e come tale non prova nulla. La stessa regola valeva per «una guerra senza fine» nel corpus moroteo e per la metafora genetica nella triangolazione Kissinger: la lente orienta lo sguardo, non certifica ciò che lo sguardo crede di vedere.</w:t>
      </w:r>
    </w:p>
    <w:p>
      <w:pPr>
        <w:spacing w:after="120" w:line="276"/>
        <w:jc w:val="both"/>
      </w:pPr>
      <w:r>
        <w:rPr>
          <w:rFonts w:ascii="Barlow Semi Condensed" w:cs="Barlow Semi Condensed" w:eastAsia="Barlow Semi Condensed" w:hAnsi="Barlow Semi Condensed"/>
          <w:b/>
          <w:bCs/>
          <w:sz w:val="24"/>
          <w:szCs w:val="24"/>
        </w:rPr>
        <w:t xml:space="preserve">935 · Le quattro cose che qui si vietano.</w:t>
      </w:r>
      <w:r>
        <w:rPr>
          <w:rFonts w:ascii="Barlow Semi Condensed" w:cs="Barlow Semi Condensed" w:eastAsia="Barlow Semi Condensed" w:hAnsi="Barlow Semi Condensed"/>
          <w:sz w:val="24"/>
          <w:szCs w:val="24"/>
        </w:rPr>
        <w:t xml:space="preserve"> Si vieta di dedurre una condotta da una parentela; di dedurre una condotta da una cittadinanza; di dedurre una condotta da un'infanzia; di dedurre una condotta dalla somiglianza fra due ambienti lontani nel tempo. I quattro divieti non sono cautele di stile: sono la condizione perché i blocchi precedenti restino leggibili come ricerca. Tolti quelli, l'opera diventerebbe un libello, e un libello non si porta in archivio.</w:t>
      </w:r>
    </w:p>
    <w:p>
      <w:pPr>
        <w:spacing w:after="120" w:line="276"/>
        <w:jc w:val="both"/>
      </w:pPr>
      <w:r>
        <w:rPr>
          <w:rFonts w:ascii="Barlow Semi Condensed" w:cs="Barlow Semi Condensed" w:eastAsia="Barlow Semi Condensed" w:hAnsi="Barlow Semi Condensed"/>
          <w:b/>
          <w:bCs/>
          <w:sz w:val="24"/>
          <w:szCs w:val="24"/>
        </w:rPr>
        <w:t xml:space="preserve">936 · Nessuno dei nominati risulta condannato.</w:t>
      </w:r>
      <w:r>
        <w:rPr>
          <w:rFonts w:ascii="Barlow Semi Condensed" w:cs="Barlow Semi Condensed" w:eastAsia="Barlow Semi Condensed" w:hAnsi="Barlow Semi Condensed"/>
          <w:sz w:val="24"/>
          <w:szCs w:val="24"/>
        </w:rPr>
        <w:t xml:space="preserve"> Per chiarezza, e una volta sola in forma esplicita: nessuna delle persone viventi nominate in quest'opera risulta condannata in relazione ai fatti indagati, né imputata, né rinviata a giudizio. Non risulta neppure che alcuna autorità le abbia sentite su questi temi. Questa non è una formula di rito: è un accertamento negativo, verificabile consultando i registri giudiziari sudafricani, namibiani e statunitensi, e chi lo smentisse dovrebbe esibire l'atto.</w:t>
      </w:r>
    </w:p>
    <w:p>
      <w:pPr>
        <w:spacing w:after="120" w:line="276"/>
        <w:jc w:val="both"/>
      </w:pPr>
      <w:r>
        <w:rPr>
          <w:rFonts w:ascii="Barlow Semi Condensed" w:cs="Barlow Semi Condensed" w:eastAsia="Barlow Semi Condensed" w:hAnsi="Barlow Semi Condensed"/>
          <w:b/>
          <w:bCs/>
          <w:sz w:val="24"/>
          <w:szCs w:val="24"/>
        </w:rPr>
        <w:t xml:space="preserve">937 · Le opinioni di Joshua Haldeman.</w:t>
      </w:r>
      <w:r>
        <w:rPr>
          <w:rFonts w:ascii="Barlow Semi Condensed" w:cs="Barlow Semi Condensed" w:eastAsia="Barlow Semi Condensed" w:hAnsi="Barlow Semi Condensed"/>
          <w:sz w:val="24"/>
          <w:szCs w:val="24"/>
        </w:rPr>
        <w:t xml:space="preserve"> Joshua Norman Haldeman, morto nel 1974, sostenne pubblicamente l'apartheid ed espresse posizioni razziste e antisemite: l'inchiesta della CBC lo documenta con materiale citabile. È un fatto storico e riguarda lui. Elon Musk nacque nel 1971 e non ha alcuna responsabilità per ciò che il nonno materno scrisse o disse. Il divieto centrale dell'opera sta esattamente qui, e viene enunciato per primo perché è il più facilmente violato.</w:t>
      </w:r>
    </w:p>
    <w:p>
      <w:pPr>
        <w:spacing w:after="120" w:line="276"/>
        <w:jc w:val="both"/>
      </w:pPr>
      <w:r>
        <w:rPr>
          <w:rFonts w:ascii="Barlow Semi Condensed" w:cs="Barlow Semi Condensed" w:eastAsia="Barlow Semi Condensed" w:hAnsi="Barlow Semi Condensed"/>
          <w:b/>
          <w:bCs/>
          <w:sz w:val="24"/>
          <w:szCs w:val="24"/>
        </w:rPr>
        <w:t xml:space="preserve">938 · Che cosa prova la parentela Botha.</w:t>
      </w:r>
      <w:r>
        <w:rPr>
          <w:rFonts w:ascii="Barlow Semi Condensed" w:cs="Barlow Semi Condensed" w:eastAsia="Barlow Semi Condensed" w:hAnsi="Barlow Semi Condensed"/>
          <w:sz w:val="24"/>
          <w:szCs w:val="24"/>
        </w:rPr>
        <w:t xml:space="preserve"> Roelof Frederik Botha, direttore finanziario di PayPal e poi managing partner di Sequoia Capital, è nipote di Pik Botha, ministro degli Esteri sudafricano dal 1977 al 1994. La parentela è documentata e sta al piano uno. Prova un rapporto di sangue e nient'altro: non un canale, non un finanziamento, non una raccomandazione, non una condivisione di vedute politiche. Per affermare una qualsiasi di queste cose servirebbe un atto che le nomini.</w:t>
      </w:r>
    </w:p>
    <w:p>
      <w:pPr>
        <w:spacing w:after="120" w:line="276"/>
        <w:jc w:val="both"/>
      </w:pPr>
      <w:r>
        <w:rPr>
          <w:rFonts w:ascii="Barlow Semi Condensed" w:cs="Barlow Semi Condensed" w:eastAsia="Barlow Semi Condensed" w:hAnsi="Barlow Semi Condensed"/>
          <w:b/>
          <w:bCs/>
          <w:sz w:val="24"/>
          <w:szCs w:val="24"/>
        </w:rPr>
        <w:t xml:space="preserve">939 · I due Botha non sono parenti (serie XIII).</w:t>
      </w:r>
      <w:r>
        <w:rPr>
          <w:rFonts w:ascii="Barlow Semi Condensed" w:cs="Barlow Semi Condensed" w:eastAsia="Barlow Semi Condensed" w:hAnsi="Barlow Semi Condensed"/>
          <w:sz w:val="24"/>
          <w:szCs w:val="24"/>
        </w:rPr>
        <w:t xml:space="preserve"> Va detto dove serve, e serve qui: Pik Botha non era parente di P.W. Botha, presidente dello Stato dal 1984 al 1989. La confusione fra i due cognomi è l'errore più diffuso su questa materia e circola anche in testi altrimenti seri. Chi la commette costruisce una discendenza inesistente e la carica di significato politico. La verifica è banale e sta negli archivi anagrafici sudafricani e nei repertori parlamentari di Città del Capo.</w:t>
      </w:r>
    </w:p>
    <w:p>
      <w:pPr>
        <w:spacing w:after="120" w:line="276"/>
        <w:jc w:val="both"/>
      </w:pPr>
      <w:r>
        <w:rPr>
          <w:rFonts w:ascii="Barlow Semi Condensed" w:cs="Barlow Semi Condensed" w:eastAsia="Barlow Semi Condensed" w:hAnsi="Barlow Semi Condensed"/>
          <w:b/>
          <w:bCs/>
          <w:sz w:val="24"/>
          <w:szCs w:val="24"/>
        </w:rPr>
        <w:t xml:space="preserve">940 · Un bambino a Swakopmund.</w:t>
      </w:r>
      <w:r>
        <w:rPr>
          <w:rFonts w:ascii="Barlow Semi Condensed" w:cs="Barlow Semi Condensed" w:eastAsia="Barlow Semi Condensed" w:hAnsi="Barlow Semi Condensed"/>
          <w:sz w:val="24"/>
          <w:szCs w:val="24"/>
        </w:rPr>
        <w:t xml:space="preserve"> Peter Thiel aveva otto anni quando la famiglia visse a Swakopmund, dove il padre ingegnere chimico lavorava per un'impresa del cantiere di Rössing. Un bambino non sceglie il Paese in cui il padre trova impiego, non sceglie la scuola in cui viene iscritto e non sceglie il regime che governa quel territorio. L'infanzia non è una condotta: è un dato anagrafico, e in quanto tale non entra in nessun giudizio morale.</w:t>
      </w:r>
    </w:p>
    <w:p>
      <w:pPr>
        <w:spacing w:after="120" w:line="276"/>
        <w:jc w:val="both"/>
      </w:pPr>
      <w:r>
        <w:rPr>
          <w:rFonts w:ascii="Barlow Semi Condensed" w:cs="Barlow Semi Condensed" w:eastAsia="Barlow Semi Condensed" w:hAnsi="Barlow Semi Condensed"/>
          <w:b/>
          <w:bCs/>
          <w:sz w:val="24"/>
          <w:szCs w:val="24"/>
        </w:rPr>
        <w:t xml:space="preserve">941 · Le rivendicazioni di Errol Musk.</w:t>
      </w:r>
      <w:r>
        <w:rPr>
          <w:rFonts w:ascii="Barlow Semi Condensed" w:cs="Barlow Semi Condensed" w:eastAsia="Barlow Semi Condensed" w:hAnsi="Barlow Semi Condensed"/>
          <w:sz w:val="24"/>
          <w:szCs w:val="24"/>
        </w:rPr>
        <w:t xml:space="preserve"> Errol Musk ha rivendicato pubblicamente un'attività informale legata a smeraldi in Zambia; Elon Musk ha negato l'esistenza di una miniera e ne ha chiesto la prova; Isaacson descrive l'acquisto informale di pietre grezze, non una titolarità mineraria. Le tre versioni divergono e la divergenza si riporta così com'è. Ciò che il padre afferma di sé non è, in nessun ordinamento e in nessuna logica, un fatto a carico del figlio.</w:t>
      </w:r>
    </w:p>
    <w:p>
      <w:pPr>
        <w:spacing w:after="120" w:line="276"/>
        <w:jc w:val="both"/>
      </w:pPr>
      <w:r>
        <w:rPr>
          <w:rFonts w:ascii="Barlow Semi Condensed" w:cs="Barlow Semi Condensed" w:eastAsia="Barlow Semi Condensed" w:hAnsi="Barlow Semi Condensed"/>
          <w:b/>
          <w:bCs/>
          <w:sz w:val="24"/>
          <w:szCs w:val="24"/>
        </w:rPr>
        <w:t xml:space="preserve">942 · La genealogia serve a cercare.</w:t>
      </w:r>
      <w:r>
        <w:rPr>
          <w:rFonts w:ascii="Barlow Semi Condensed" w:cs="Barlow Semi Condensed" w:eastAsia="Barlow Semi Condensed" w:hAnsi="Barlow Semi Condensed"/>
          <w:sz w:val="24"/>
          <w:szCs w:val="24"/>
        </w:rPr>
        <w:t xml:space="preserve"> Ricostruire una discendenza è un'operazione di ricerca legittima: dice dove guardare, quali cognomi cercare nei registri, quali fondi aprire. Non è un'operazione di giudizio. La genealogia produce nomi di persone morte e vive, e i nomi delle vive entrano solo per fatti pubblici. Chi usa un albero genealogico per stabilire una responsabilità sta applicando alla storia una regola che il diritto ha abbandonato secoli fa, per ragioni che restano valide.</w:t>
      </w:r>
    </w:p>
    <w:p>
      <w:pPr>
        <w:spacing w:after="120" w:line="276"/>
        <w:jc w:val="both"/>
      </w:pPr>
      <w:r>
        <w:rPr>
          <w:rFonts w:ascii="Barlow Semi Condensed" w:cs="Barlow Semi Condensed" w:eastAsia="Barlow Semi Condensed" w:hAnsi="Barlow Semi Condensed"/>
          <w:b/>
          <w:bCs/>
          <w:sz w:val="24"/>
          <w:szCs w:val="24"/>
        </w:rPr>
        <w:t xml:space="preserve">943 · La trappola delle tre generazioni.</w:t>
      </w:r>
      <w:r>
        <w:rPr>
          <w:rFonts w:ascii="Barlow Semi Condensed" w:cs="Barlow Semi Condensed" w:eastAsia="Barlow Semi Condensed" w:hAnsi="Barlow Semi Condensed"/>
          <w:sz w:val="24"/>
          <w:szCs w:val="24"/>
        </w:rPr>
        <w:t xml:space="preserve"> Tre generazioni allineate producono l'illusione di una trasmissione: il nonno credeva, il padre traeva profitto, il nipote comanda. È la forma narrativa che seduce di più, e nessuno dei tre segmenti è provato dal segmento successivo; la somma di tre affermazioni deboli non produce una forte. Per rompere la figura basta chiedere, di ciascun passaggio, quale documento attesti che qualcosa sia effettivamente passato da uno all'altro.</w:t>
      </w:r>
    </w:p>
    <w:p>
      <w:pPr>
        <w:spacing w:after="120" w:line="276"/>
        <w:jc w:val="both"/>
      </w:pPr>
      <w:r>
        <w:rPr>
          <w:rFonts w:ascii="Barlow Semi Condensed" w:cs="Barlow Semi Condensed" w:eastAsia="Barlow Semi Condensed" w:hAnsi="Barlow Semi Condensed"/>
          <w:b/>
          <w:bCs/>
          <w:sz w:val="24"/>
          <w:szCs w:val="24"/>
        </w:rPr>
        <w:t xml:space="preserve">944 · Atti di stato civile e condotte.</w:t>
      </w:r>
      <w:r>
        <w:rPr>
          <w:rFonts w:ascii="Barlow Semi Condensed" w:cs="Barlow Semi Condensed" w:eastAsia="Barlow Semi Condensed" w:hAnsi="Barlow Semi Condensed"/>
          <w:sz w:val="24"/>
          <w:szCs w:val="24"/>
        </w:rPr>
        <w:t xml:space="preserve"> Un certificato di nascita, un atto di matrimonio, un registro parrocchiale provano una relazione di parentela e la data in cui essa si è costituita. Non provano frequentazione, non provano influenza, non provano finanziamento. Nel National Archives of South Africa di Pretoria e nel Department of Home Affairs questi atti esistono e sono consultabili secondo le regole; ciò che non esiste in nessun deposito è il documento che trasformi un grado di parentela in un comportamento.</w:t>
      </w:r>
    </w:p>
    <w:p>
      <w:pPr>
        <w:spacing w:after="120" w:line="276"/>
        <w:jc w:val="both"/>
      </w:pPr>
      <w:r>
        <w:rPr>
          <w:rFonts w:ascii="Barlow Semi Condensed" w:cs="Barlow Semi Condensed" w:eastAsia="Barlow Semi Condensed" w:hAnsi="Barlow Semi Condensed"/>
          <w:b/>
          <w:bCs/>
          <w:sz w:val="24"/>
          <w:szCs w:val="24"/>
        </w:rPr>
        <w:t xml:space="preserve">945 · Nascere bianchi in Sud Africa.</w:t>
      </w:r>
      <w:r>
        <w:rPr>
          <w:rFonts w:ascii="Barlow Semi Condensed" w:cs="Barlow Semi Condensed" w:eastAsia="Barlow Semi Condensed" w:hAnsi="Barlow Semi Condensed"/>
          <w:sz w:val="24"/>
          <w:szCs w:val="24"/>
        </w:rPr>
        <w:t xml:space="preserve"> Essere nati bianchi nel Sud Africa dell'apartheid significava ricevere, senza averlo chiesto, un insieme di vantaggi legali: scuola, sanità, residenza, mobilità, accesso al lavoro. È un fatto strutturale, descrivibile con le leggi del tempo e con i bilanci pubblici. Non è una colpa, perché non è un atto. Descrivere il vantaggio ricevuto è storia sociale; imputarlo a chi lo ricevette da bambino è un'operazione diversa, e questa serie la esclude.</w:t>
      </w:r>
    </w:p>
    <w:p>
      <w:pPr>
        <w:spacing w:after="120" w:line="276"/>
        <w:jc w:val="both"/>
      </w:pPr>
      <w:r>
        <w:rPr>
          <w:rFonts w:ascii="Barlow Semi Condensed" w:cs="Barlow Semi Condensed" w:eastAsia="Barlow Semi Condensed" w:hAnsi="Barlow Semi Condensed"/>
          <w:b/>
          <w:bCs/>
          <w:sz w:val="24"/>
          <w:szCs w:val="24"/>
        </w:rPr>
        <w:t xml:space="preserve">946 · Il passaporto è una riga anagrafica.</w:t>
      </w:r>
      <w:r>
        <w:rPr>
          <w:rFonts w:ascii="Barlow Semi Condensed" w:cs="Barlow Semi Condensed" w:eastAsia="Barlow Semi Condensed" w:hAnsi="Barlow Semi Condensed"/>
          <w:sz w:val="24"/>
          <w:szCs w:val="24"/>
        </w:rPr>
        <w:t xml:space="preserve"> Cittadinanze e residenze sono fatti pubblici e si citano come tali: dove una persona è nata, quali passaporti ha ottenuto, in quale giurisdizione risiede. Da nessuna di queste righe discende una responsabilità. Un passaporto sudafricano, canadese, tedesco o statunitense colloca una persona in un ordinamento; non le attribuisce le politiche di quell'ordinamento. Confondere la nazionalità con la condotta è la premessa di ogni pregiudizio, e non diventa metodo perché la si applica ai potenti.</w:t>
      </w:r>
    </w:p>
    <w:p>
      <w:pPr>
        <w:spacing w:after="120" w:line="276"/>
        <w:jc w:val="both"/>
      </w:pPr>
      <w:r>
        <w:rPr>
          <w:rFonts w:ascii="Barlow Semi Condensed" w:cs="Barlow Semi Condensed" w:eastAsia="Barlow Semi Condensed" w:hAnsi="Barlow Semi Condensed"/>
          <w:b/>
          <w:bCs/>
          <w:sz w:val="24"/>
          <w:szCs w:val="24"/>
        </w:rPr>
        <w:t xml:space="preserve">947 · Emigrare non è fuggire un giudizio.</w:t>
      </w:r>
      <w:r>
        <w:rPr>
          <w:rFonts w:ascii="Barlow Semi Condensed" w:cs="Barlow Semi Condensed" w:eastAsia="Barlow Semi Condensed" w:hAnsi="Barlow Semi Condensed"/>
          <w:sz w:val="24"/>
          <w:szCs w:val="24"/>
        </w:rPr>
        <w:t xml:space="preserve"> Lasciare il Sud Africa negli anni ottanta era, per un giovane bianco, anche un modo di evitare la coscrizione nelle forze armate del regime. Questo dato ricorre nelle biografie e va riportato per quello che è: una scelta personale, documentabile con date di espatrio e visti. Non è un'attenuante da concedere né un'aggravante da rilevare. Il corpus registra il movimento delle persone; non ne ricava un profilo morale in nessuna direzione.</w:t>
      </w:r>
    </w:p>
    <w:p>
      <w:pPr>
        <w:spacing w:after="120" w:line="276"/>
        <w:jc w:val="both"/>
      </w:pPr>
      <w:r>
        <w:rPr>
          <w:rFonts w:ascii="Barlow Semi Condensed" w:cs="Barlow Semi Condensed" w:eastAsia="Barlow Semi Condensed" w:hAnsi="Barlow Semi Condensed"/>
          <w:b/>
          <w:bCs/>
          <w:sz w:val="24"/>
          <w:szCs w:val="24"/>
        </w:rPr>
        <w:t xml:space="preserve">948 · L'aggettivo usato come marchio.</w:t>
      </w:r>
      <w:r>
        <w:rPr>
          <w:rFonts w:ascii="Barlow Semi Condensed" w:cs="Barlow Semi Condensed" w:eastAsia="Barlow Semi Condensed" w:hAnsi="Barlow Semi Condensed"/>
          <w:sz w:val="24"/>
          <w:szCs w:val="24"/>
        </w:rPr>
        <w:t xml:space="preserve"> «Sudafricano» compare spesso, nella pubblicistica su questi nomi, con funzione di aggettivo squalificante: basta pronunciarlo perché il lettore concluda. È un uso retorico e va nominato, perché inquina la ricerca due volte — attribuisce senza provare e, insieme, svuota la parola di ciò che essa dovrebbe designare, cioè un'appartenenza statuale e null'altro. Quest'opera usa il termine come indicazione geografica e giuridica, e in nessun blocco come argomento.</w:t>
      </w:r>
    </w:p>
    <w:p>
      <w:pPr>
        <w:spacing w:after="120" w:line="276"/>
        <w:jc w:val="both"/>
      </w:pPr>
      <w:r>
        <w:rPr>
          <w:rFonts w:ascii="Barlow Semi Condensed" w:cs="Barlow Semi Condensed" w:eastAsia="Barlow Semi Condensed" w:hAnsi="Barlow Semi Condensed"/>
          <w:b/>
          <w:bCs/>
          <w:sz w:val="24"/>
          <w:szCs w:val="24"/>
        </w:rPr>
        <w:t xml:space="preserve">949 · Francoforte 1967, un dato inerte.</w:t>
      </w:r>
      <w:r>
        <w:rPr>
          <w:rFonts w:ascii="Barlow Semi Condensed" w:cs="Barlow Semi Condensed" w:eastAsia="Barlow Semi Condensed" w:hAnsi="Barlow Semi Condensed"/>
          <w:sz w:val="24"/>
          <w:szCs w:val="24"/>
        </w:rPr>
        <w:t xml:space="preserve"> Nato a Francoforte nel 1967 da famiglia tedesca: il dato anagrafico di Peter Thiel è pubblico e serve a collocare una biografia. In rete circola l'uso opposto, con la nascita tedesca evocata per suggerire, per libera associazione, una prossimità a ideologie del secolo precedente. È il piano tre nella sua forma più povera, un'associazione nazionale travestita da indizio. Si registra per segnalarla inutilizzabile, non per discuterla.</w:t>
      </w:r>
    </w:p>
    <w:p>
      <w:pPr>
        <w:spacing w:after="120" w:line="276"/>
        <w:jc w:val="both"/>
      </w:pPr>
      <w:r>
        <w:rPr>
          <w:rFonts w:ascii="Barlow Semi Condensed" w:cs="Barlow Semi Condensed" w:eastAsia="Barlow Semi Condensed" w:hAnsi="Barlow Semi Condensed"/>
          <w:b/>
          <w:bCs/>
          <w:sz w:val="24"/>
          <w:szCs w:val="24"/>
        </w:rPr>
        <w:t xml:space="preserve">950 · Il parere della Corte dell'Aja.</w:t>
      </w:r>
      <w:r>
        <w:rPr>
          <w:rFonts w:ascii="Barlow Semi Condensed" w:cs="Barlow Semi Condensed" w:eastAsia="Barlow Semi Condensed" w:hAnsi="Barlow Semi Condensed"/>
          <w:sz w:val="24"/>
          <w:szCs w:val="24"/>
        </w:rPr>
        <w:t xml:space="preserve"> Il parere consultivo della Corte internazionale di giustizia del 21 giugno 1971 dichiarò illegittima la presenza sudafricana in Namibia e ne trasse conseguenze per gli Stati. Riguarda Stati, non abitanti; obblighi di non riconoscimento, non condotte individuali. Serve qui per fissare lo statuto giuridico del territorio in cui una famiglia visse tra il 1975 e il 1977. Il testo integrale è nei Reports della Corte e va letto prima di usarne il nome.</w:t>
      </w:r>
    </w:p>
    <w:p>
      <w:pPr>
        <w:spacing w:after="120" w:line="276"/>
        <w:jc w:val="both"/>
      </w:pPr>
      <w:r>
        <w:rPr>
          <w:rFonts w:ascii="Barlow Semi Condensed" w:cs="Barlow Semi Condensed" w:eastAsia="Barlow Semi Condensed" w:hAnsi="Barlow Semi Condensed"/>
          <w:b/>
          <w:bCs/>
          <w:sz w:val="24"/>
          <w:szCs w:val="24"/>
        </w:rPr>
        <w:t xml:space="preserve">951 · Beneficiare non è concorrere.</w:t>
      </w:r>
      <w:r>
        <w:rPr>
          <w:rFonts w:ascii="Barlow Semi Condensed" w:cs="Barlow Semi Condensed" w:eastAsia="Barlow Semi Condensed" w:hAnsi="Barlow Semi Condensed"/>
          <w:sz w:val="24"/>
          <w:szCs w:val="24"/>
        </w:rPr>
        <w:t xml:space="preserve"> La distinzione che regge l'intera serie è questa: si beneficia di un sistema per il fatto di trovarsi nella categoria che esso privilegia; si concorre a un sistema compiendo atti che lo sostengono, lo amministrano o lo finanziano. Il primo stato è passivo e si misura; il secondo è attivo e si prova, atto per atto. Quest'opera ha misurato il primo in più punti e non ha provato il secondo in nessuno.</w:t>
      </w:r>
    </w:p>
    <w:p>
      <w:pPr>
        <w:spacing w:after="120" w:line="276"/>
        <w:jc w:val="both"/>
      </w:pPr>
      <w:r>
        <w:rPr>
          <w:rFonts w:ascii="Barlow Semi Condensed" w:cs="Barlow Semi Condensed" w:eastAsia="Barlow Semi Condensed" w:hAnsi="Barlow Semi Condensed"/>
          <w:b/>
          <w:bCs/>
          <w:sz w:val="24"/>
          <w:szCs w:val="24"/>
        </w:rPr>
        <w:t xml:space="preserve">952 · La Commissione per la verità distingueva.</w:t>
      </w:r>
      <w:r>
        <w:rPr>
          <w:rFonts w:ascii="Barlow Semi Condensed" w:cs="Barlow Semi Condensed" w:eastAsia="Barlow Semi Condensed" w:hAnsi="Barlow Semi Condensed"/>
          <w:sz w:val="24"/>
          <w:szCs w:val="24"/>
        </w:rPr>
        <w:t xml:space="preserve"> Su questa stessa differenza la Truth and Reconciliation Commission sudafricana costruì la propria architettura, trattando separatamente chi aveva commesso gross violations of human rights e chi ne aveva tratto beneficio strutturale; il volume quarto del Rapporto, dedicato alle institutional hearings, e i volumi conclusivi del 2003 ne documentano il dibattito. Chi voglia sostenere una tesi di responsabilità in questa materia deve passare di lì, e citarne volume e pagina.</w:t>
      </w:r>
    </w:p>
    <w:p>
      <w:pPr>
        <w:spacing w:after="120" w:line="276"/>
        <w:jc w:val="both"/>
      </w:pPr>
      <w:r>
        <w:rPr>
          <w:rFonts w:ascii="Barlow Semi Condensed" w:cs="Barlow Semi Condensed" w:eastAsia="Barlow Semi Condensed" w:hAnsi="Barlow Semi Condensed"/>
          <w:b/>
          <w:bCs/>
          <w:sz w:val="24"/>
          <w:szCs w:val="24"/>
        </w:rPr>
        <w:t xml:space="preserve">953 · La scuola riservata come vantaggio.</w:t>
      </w:r>
      <w:r>
        <w:rPr>
          <w:rFonts w:ascii="Barlow Semi Condensed" w:cs="Barlow Semi Condensed" w:eastAsia="Barlow Semi Condensed" w:hAnsi="Barlow Semi Condensed"/>
          <w:sz w:val="24"/>
          <w:szCs w:val="24"/>
        </w:rPr>
        <w:t xml:space="preserve"> Frequentare a Johannesburg una scuola preparatoria riservata ai bianchi è un fatto biografico e insieme la fotografia di un vantaggio: quella scuola esisteva perché altre erano precluse. Le due letture convivono senza contraddirsi. Ciò che non se ne ricava è un'adesione: un bambino iscritto da altri non aderisce a nulla. I registri scolastici del periodo sono nei depositi provinciali del Gauteng e permetterebbero di datare esattamente l'iscrizione, che è tutto ciò che possono dare.</w:t>
      </w:r>
    </w:p>
    <w:p>
      <w:pPr>
        <w:spacing w:after="120" w:line="276"/>
        <w:jc w:val="both"/>
      </w:pPr>
      <w:r>
        <w:rPr>
          <w:rFonts w:ascii="Barlow Semi Condensed" w:cs="Barlow Semi Condensed" w:eastAsia="Barlow Semi Condensed" w:hAnsi="Barlow Semi Condensed"/>
          <w:b/>
          <w:bCs/>
          <w:sz w:val="24"/>
          <w:szCs w:val="24"/>
        </w:rPr>
        <w:t xml:space="preserve">954 · Un contratto di lavoro, e basta.</w:t>
      </w:r>
      <w:r>
        <w:rPr>
          <w:rFonts w:ascii="Barlow Semi Condensed" w:cs="Barlow Semi Condensed" w:eastAsia="Barlow Semi Condensed" w:hAnsi="Barlow Semi Condensed"/>
          <w:sz w:val="24"/>
          <w:szCs w:val="24"/>
        </w:rPr>
        <w:t xml:space="preserve"> Klaus Thiel, ingegnere chimico, lavorò per un'impresa impegnata nel cantiere di Rössing. Un rapporto di lavoro è un fatto documentabile — contratto, mansione, periodo — e resta un fatto del dipendente, non del regime. Le responsabilità delle imprese operanti in Namibia sotto amministrazione sudafricana furono discusse in sede ONU e vanno cercate lì, negli atti del Consiglio delle Nazioni Unite per la Namibia; non nelle buste paga dei tecnici.</w:t>
      </w:r>
    </w:p>
    <w:p>
      <w:pPr>
        <w:spacing w:after="120" w:line="276"/>
        <w:jc w:val="both"/>
      </w:pPr>
      <w:r>
        <w:rPr>
          <w:rFonts w:ascii="Barlow Semi Condensed" w:cs="Barlow Semi Condensed" w:eastAsia="Barlow Semi Condensed" w:hAnsi="Barlow Semi Condensed"/>
          <w:b/>
          <w:bCs/>
          <w:sz w:val="24"/>
          <w:szCs w:val="24"/>
        </w:rPr>
        <w:t xml:space="preserve">955 · L'impresa risponde, il dipendente lavora.</w:t>
      </w:r>
      <w:r>
        <w:rPr>
          <w:rFonts w:ascii="Barlow Semi Condensed" w:cs="Barlow Semi Condensed" w:eastAsia="Barlow Semi Condensed" w:hAnsi="Barlow Semi Condensed"/>
          <w:sz w:val="24"/>
          <w:szCs w:val="24"/>
        </w:rPr>
        <w:t xml:space="preserve"> Una società ha organi, delibere e bilanci: risponde per atti imputabili ai suoi organi, secondo il diritto societario della giurisdizione in cui è registrata. Un dipendente esegue mansioni. Confondere i due livelli produce due errori speculari: assolvere l'impresa perché fatta di persone comuni, o imputare alla persona comune ciò che l'impresa deliberò. Nei depositi della Companies House britannica e nel registro CIPC sudafricano si trova il primo livello; il secondo non vi compare.</w:t>
      </w:r>
    </w:p>
    <w:p>
      <w:pPr>
        <w:spacing w:after="120" w:line="276"/>
        <w:jc w:val="both"/>
      </w:pPr>
      <w:r>
        <w:rPr>
          <w:rFonts w:ascii="Barlow Semi Condensed" w:cs="Barlow Semi Condensed" w:eastAsia="Barlow Semi Condensed" w:hAnsi="Barlow Semi Condensed"/>
          <w:b/>
          <w:bCs/>
          <w:sz w:val="24"/>
          <w:szCs w:val="24"/>
        </w:rPr>
        <w:t xml:space="preserve">956 · Rössing, questione societaria non personale.</w:t>
      </w:r>
      <w:r>
        <w:rPr>
          <w:rFonts w:ascii="Barlow Semi Condensed" w:cs="Barlow Semi Condensed" w:eastAsia="Barlow Semi Condensed" w:hAnsi="Barlow Semi Condensed"/>
          <w:sz w:val="24"/>
          <w:szCs w:val="24"/>
        </w:rPr>
        <w:t xml:space="preserve"> Lo statuto di Rössing Uranium Limited, la composizione del suo azionariato e i contratti di fornitura degli anni settanta sono materia di documenti societari e di atti pubblici britannici e namibiani: bilanci depositati, corrispondenza ministeriale, fascicoli dei National Archives di Kew nelle serie del ministero degli Esteri. Sono verificabili da chiunque. Nessuno di quei fascicoli, per definizione, può contenere la posizione morale di un ingegnere o del figlio di un ingegnere.</w:t>
      </w:r>
    </w:p>
    <w:p>
      <w:pPr>
        <w:spacing w:after="120" w:line="276"/>
        <w:jc w:val="both"/>
      </w:pPr>
      <w:r>
        <w:rPr>
          <w:rFonts w:ascii="Barlow Semi Condensed" w:cs="Barlow Semi Condensed" w:eastAsia="Barlow Semi Condensed" w:hAnsi="Barlow Semi Condensed"/>
          <w:b/>
          <w:bCs/>
          <w:sz w:val="24"/>
          <w:szCs w:val="24"/>
        </w:rPr>
        <w:t xml:space="preserve">957 · La tesi militare resta al piano tre (serie XIII).</w:t>
      </w:r>
      <w:r>
        <w:rPr>
          <w:rFonts w:ascii="Barlow Semi Condensed" w:cs="Barlow Semi Condensed" w:eastAsia="Barlow Semi Condensed" w:hAnsi="Barlow Semi Condensed"/>
          <w:sz w:val="24"/>
          <w:szCs w:val="24"/>
        </w:rPr>
        <w:t xml:space="preserve"> Che l'uranio di Rössing alimentasse il programma nucleare militare sudafricano è affermazione ricorrente su fonti militanti e priva, allo stato, di documento di provenienza. Resta piano tre e non si adotta. La sede che la chiuderebbe è nominabile: gli accordi di salvaguardia e la documentazione dell'Agenzia internazionale per l'energia atomica, insieme ai fondi del Department of Mineral and Energy Affairs nel National Archives of South Africa. Finché non si aprono, l'affermazione non si usa.</w:t>
      </w:r>
    </w:p>
    <w:p>
      <w:pPr>
        <w:spacing w:after="120" w:line="276"/>
        <w:jc w:val="both"/>
      </w:pPr>
      <w:r>
        <w:rPr>
          <w:rFonts w:ascii="Barlow Semi Condensed" w:cs="Barlow Semi Condensed" w:eastAsia="Barlow Semi Condensed" w:hAnsi="Barlow Semi Condensed"/>
          <w:b/>
          <w:bCs/>
          <w:sz w:val="24"/>
          <w:szCs w:val="24"/>
        </w:rPr>
        <w:t xml:space="preserve">958 · L'origine di un patrimonio.</w:t>
      </w:r>
      <w:r>
        <w:rPr>
          <w:rFonts w:ascii="Barlow Semi Condensed" w:cs="Barlow Semi Condensed" w:eastAsia="Barlow Semi Condensed" w:hAnsi="Barlow Semi Condensed"/>
          <w:sz w:val="24"/>
          <w:szCs w:val="24"/>
        </w:rPr>
        <w:t xml:space="preserve"> Domandare da dove venga un capitale è domanda legittima e tecnica: si risponde con atti costitutivi, aumenti di capitale, cap table, prospetti depositati. La risposta può essere onorevole, banale o assente, e in nessuno dei tre casi diventa un giudizio penale. Nel caso di specie i documenti disponibili — depositi presso la Securities and Exchange Commission, atti societari californiani e del Delaware — descrivono operazioni ordinarie di venture capital, e nient'altro.</w:t>
      </w:r>
    </w:p>
    <w:p>
      <w:pPr>
        <w:spacing w:after="120" w:line="276"/>
        <w:jc w:val="both"/>
      </w:pPr>
      <w:r>
        <w:rPr>
          <w:rFonts w:ascii="Barlow Semi Condensed" w:cs="Barlow Semi Condensed" w:eastAsia="Barlow Semi Condensed" w:hAnsi="Barlow Semi Condensed"/>
          <w:b/>
          <w:bCs/>
          <w:sz w:val="24"/>
          <w:szCs w:val="24"/>
        </w:rPr>
        <w:t xml:space="preserve">959 · Il grado F, fatto biografico inerte.</w:t>
      </w:r>
      <w:r>
        <w:rPr>
          <w:rFonts w:ascii="Barlow Semi Condensed" w:cs="Barlow Semi Condensed" w:eastAsia="Barlow Semi Condensed" w:hAnsi="Barlow Semi Condensed"/>
          <w:sz w:val="24"/>
          <w:szCs w:val="24"/>
        </w:rPr>
        <w:t xml:space="preserve"> Il corpus moroteo ha una categoria per questo: il grado F, il fatto biografico che è vero, è pubblico e non muove nulla. L'appartenenza a un gruppo, a una scuola, a una nazione vi rientra per intero. La Fase decima lo aveva formalizzato per le appartenenze politiche dei condannati; qui la stessa etichetta copre le origini geografiche e familiari di persone mai imputate. Un fatto F si cita e si lascia dov'è.</w:t>
      </w:r>
    </w:p>
    <w:p>
      <w:pPr>
        <w:spacing w:after="120" w:line="276"/>
        <w:jc w:val="both"/>
      </w:pPr>
      <w:r>
        <w:rPr>
          <w:rFonts w:ascii="Barlow Semi Condensed" w:cs="Barlow Semi Condensed" w:eastAsia="Barlow Semi Condensed" w:hAnsi="Barlow Semi Condensed"/>
          <w:b/>
          <w:bCs/>
          <w:sz w:val="24"/>
          <w:szCs w:val="24"/>
        </w:rPr>
        <w:t xml:space="preserve">960 · Una data non argomenta.</w:t>
      </w:r>
      <w:r>
        <w:rPr>
          <w:rFonts w:ascii="Barlow Semi Condensed" w:cs="Barlow Semi Condensed" w:eastAsia="Barlow Semi Condensed" w:hAnsi="Barlow Semi Condensed"/>
          <w:sz w:val="24"/>
          <w:szCs w:val="24"/>
        </w:rPr>
        <w:t xml:space="preserve"> Le cronologie di quest'opera allineano date: la costruzione di una miniera, un trasferimento familiare, la fondazione di una società, una risoluzione delle Nazioni Unite. Allineare è utile e insieme pericoloso, perché la colonna verticale suggerisce da sola una causa. La contemporaneità non è prova di nesso, ed è la regola che va riletta ogni volta che due righe si toccano. Una cronologia ben fatta rende visibile ciò che manca, non ciò che si spera.</w:t>
      </w:r>
    </w:p>
    <w:p>
      <w:pPr>
        <w:spacing w:after="120" w:line="276"/>
        <w:jc w:val="both"/>
      </w:pPr>
      <w:r>
        <w:rPr>
          <w:rFonts w:ascii="Barlow Semi Condensed" w:cs="Barlow Semi Condensed" w:eastAsia="Barlow Semi Condensed" w:hAnsi="Barlow Semi Condensed"/>
          <w:b/>
          <w:bCs/>
          <w:sz w:val="24"/>
          <w:szCs w:val="24"/>
        </w:rPr>
        <w:t xml:space="preserve">961 · Le dichiarazioni appartengono a chi parla.</w:t>
      </w:r>
      <w:r>
        <w:rPr>
          <w:rFonts w:ascii="Barlow Semi Condensed" w:cs="Barlow Semi Condensed" w:eastAsia="Barlow Semi Condensed" w:hAnsi="Barlow Semi Condensed"/>
          <w:sz w:val="24"/>
          <w:szCs w:val="24"/>
        </w:rPr>
        <w:t xml:space="preserve"> Ciò che una persona ha detto pubblicamente è citabile con data, sede e testo, e le si attribuisce senza timore: è suo. Ciò che non ha detto non le si attribuisce, e ciò che altri hanno detto di lei non diventa suo per contiguità. La regola vale nei due sensi: protegge dall'invenzione e impedisce la ritrattazione comoda. Quest'opera cita dichiarazioni solo quando può indicare dove e quando furono rese.</w:t>
      </w:r>
    </w:p>
    <w:p>
      <w:pPr>
        <w:spacing w:after="120" w:line="276"/>
        <w:jc w:val="both"/>
      </w:pPr>
      <w:r>
        <w:rPr>
          <w:rFonts w:ascii="Barlow Semi Condensed" w:cs="Barlow Semi Condensed" w:eastAsia="Barlow Semi Condensed" w:hAnsi="Barlow Semi Condensed"/>
          <w:b/>
          <w:bCs/>
          <w:sz w:val="24"/>
          <w:szCs w:val="24"/>
        </w:rPr>
        <w:t xml:space="preserve">962 · Il silenzio non confessa.</w:t>
      </w:r>
      <w:r>
        <w:rPr>
          <w:rFonts w:ascii="Barlow Semi Condensed" w:cs="Barlow Semi Condensed" w:eastAsia="Barlow Semi Condensed" w:hAnsi="Barlow Semi Condensed"/>
          <w:sz w:val="24"/>
          <w:szCs w:val="24"/>
        </w:rPr>
        <w:t xml:space="preserve"> Non aver mai parlato del Paese della propria infanzia, o averne parlato poco, non significa nulla di dimostrabile. Il silenzio ammette troppe spiegazioni — indifferenza, riservatezza, oblio, calcolo — e una spiegazione che ne ammette molte non discrimina fra ipotesi. Trattarlo come reticenza è un salto retorico frequente in questa pubblicistica. Si registra come Stato Zero, cioè come assenza di fonte, e si passa oltre.</w:t>
      </w:r>
    </w:p>
    <w:p>
      <w:pPr>
        <w:spacing w:after="120" w:line="276"/>
        <w:jc w:val="both"/>
      </w:pPr>
      <w:r>
        <w:rPr>
          <w:rFonts w:ascii="Barlow Semi Condensed" w:cs="Barlow Semi Condensed" w:eastAsia="Barlow Semi Condensed" w:hAnsi="Barlow Semi Condensed"/>
          <w:b/>
          <w:bCs/>
          <w:sz w:val="24"/>
          <w:szCs w:val="24"/>
        </w:rPr>
        <w:t xml:space="preserve">963 · Il sillogismo col termine medio assente.</w:t>
      </w:r>
      <w:r>
        <w:rPr>
          <w:rFonts w:ascii="Barlow Semi Condensed" w:cs="Barlow Semi Condensed" w:eastAsia="Barlow Semi Condensed" w:hAnsi="Barlow Semi Condensed"/>
          <w:sz w:val="24"/>
          <w:szCs w:val="24"/>
        </w:rPr>
        <w:t xml:space="preserve"> L'argomento tipico di questa letteratura ha due premesse vere e nessun termine medio: costui viene da lì; là accadeva quello; dunque costui è quello. Il passaggio manca, ed è precisamente il passaggio che un archivio dovrebbe fornire. Riconoscere la forma serve più di mille confutazioni di merito, perché la forma si ripete identica su nomi diversi. Dove il termine medio manca, il blocco si scrive come quesito e mai come conclusione.</w:t>
      </w:r>
    </w:p>
    <w:p>
      <w:pPr>
        <w:spacing w:after="120" w:line="276"/>
        <w:jc w:val="both"/>
      </w:pPr>
      <w:r>
        <w:rPr>
          <w:rFonts w:ascii="Barlow Semi Condensed" w:cs="Barlow Semi Condensed" w:eastAsia="Barlow Semi Condensed" w:hAnsi="Barlow Semi Condensed"/>
          <w:b/>
          <w:bCs/>
          <w:sz w:val="24"/>
          <w:szCs w:val="24"/>
        </w:rPr>
        <w:t xml:space="preserve">964 · I biografi raccontano, non giudicano.</w:t>
      </w:r>
      <w:r>
        <w:rPr>
          <w:rFonts w:ascii="Barlow Semi Condensed" w:cs="Barlow Semi Condensed" w:eastAsia="Barlow Semi Condensed" w:hAnsi="Barlow Semi Condensed"/>
          <w:sz w:val="24"/>
          <w:szCs w:val="24"/>
        </w:rPr>
        <w:t xml:space="preserve"> Chafkin, Isaacson e Vance sono le fonti con apparato disponibili su questi soggetti, e vanno usate per ciò che offrono: date, testimonianze raccolte, contesto, talvolta documenti. Non sono sentenze e non pretendono di esserlo. Quando due biografi divergono — accade sulla vicenda zambiana — la divergenza si riporta con entrambe le versioni e non si scioglie in favore della più interessante. Un biografo citato non diventa per questo un testimone giurato.</w:t>
      </w:r>
    </w:p>
    <w:p>
      <w:pPr>
        <w:spacing w:after="120" w:line="276"/>
        <w:jc w:val="both"/>
      </w:pPr>
      <w:r>
        <w:rPr>
          <w:rFonts w:ascii="Barlow Semi Condensed" w:cs="Barlow Semi Condensed" w:eastAsia="Barlow Semi Condensed" w:hAnsi="Barlow Semi Condensed"/>
          <w:b/>
          <w:bCs/>
          <w:sz w:val="24"/>
          <w:szCs w:val="24"/>
        </w:rPr>
        <w:t xml:space="preserve">965 · L'uso corretto dell'inchiesta CBC.</w:t>
      </w:r>
      <w:r>
        <w:rPr>
          <w:rFonts w:ascii="Barlow Semi Condensed" w:cs="Barlow Semi Condensed" w:eastAsia="Barlow Semi Condensed" w:hAnsi="Barlow Semi Condensed"/>
          <w:sz w:val="24"/>
          <w:szCs w:val="24"/>
        </w:rPr>
        <w:t xml:space="preserve"> L'inchiesta della CBC sul nonno materno di Elon Musk è citabile e va citata: documenta scritti e posizioni di Joshua Haldeman con materiale d'archivio canadese. Il suo uso corretto si ferma dove finisce il suo oggetto, cioè un uomo morto nel 1974. L'estensione al nipote non appartiene all'inchiesta e non le si può addossare. Sul punto dell'affiliazione a partiti nazisti l'esito è negativo: Stato Zero verificato, e come tale acquisito.</w:t>
      </w:r>
    </w:p>
    <w:p>
      <w:pPr>
        <w:spacing w:after="120" w:line="276"/>
        <w:jc w:val="both"/>
      </w:pPr>
      <w:r>
        <w:rPr>
          <w:rFonts w:ascii="Barlow Semi Condensed" w:cs="Barlow Semi Condensed" w:eastAsia="Barlow Semi Condensed" w:hAnsi="Barlow Semi Condensed"/>
          <w:b/>
          <w:bCs/>
          <w:sz w:val="24"/>
          <w:szCs w:val="24"/>
        </w:rPr>
        <w:t xml:space="preserve">966 · Una copertina non è un ente.</w:t>
      </w:r>
      <w:r>
        <w:rPr>
          <w:rFonts w:ascii="Barlow Semi Condensed" w:cs="Barlow Semi Condensed" w:eastAsia="Barlow Semi Condensed" w:hAnsi="Barlow Semi Condensed"/>
          <w:sz w:val="24"/>
          <w:szCs w:val="24"/>
        </w:rPr>
        <w:t xml:space="preserve"> «PayPal Mafia» è una locuzione nata da un servizio di copertina di Fortune del novembre 2007, firmato da Jeffrey O'Brien, con una fotografia di gruppo scattata al Tosca di San Francisco. Elon Musk non era in quella fotografia. Non esiste atto costitutivo, non esiste organo, non esiste elenco di aderenti. È una categoria giornalistica del 2007 e va trattata come tale: si nominano le persone, una per una, o non si nomina nessuno.</w:t>
      </w:r>
    </w:p>
    <w:p>
      <w:pPr>
        <w:spacing w:after="120" w:line="276"/>
        <w:jc w:val="both"/>
      </w:pPr>
      <w:r>
        <w:rPr>
          <w:rFonts w:ascii="Barlow Semi Condensed" w:cs="Barlow Semi Condensed" w:eastAsia="Barlow Semi Condensed" w:hAnsi="Barlow Semi Condensed"/>
          <w:b/>
          <w:bCs/>
          <w:sz w:val="24"/>
          <w:szCs w:val="24"/>
        </w:rPr>
        <w:t xml:space="preserve">967 · Presunzione d'innocenza piena e nominale.</w:t>
      </w:r>
      <w:r>
        <w:rPr>
          <w:rFonts w:ascii="Barlow Semi Condensed" w:cs="Barlow Semi Condensed" w:eastAsia="Barlow Semi Condensed" w:hAnsi="Barlow Semi Condensed"/>
          <w:sz w:val="24"/>
          <w:szCs w:val="24"/>
        </w:rPr>
        <w:t xml:space="preserve"> Per tutti i viventi nominati in quest'opera vale la presunzione d'innocenza nella forma più larga che il corpus conosca: piena e nominale. Non sono persone assolte, il che implicherebbe un processo; sono persone mai processate, il che è condizione ancora più forte. Non sono «sfuggite» a nulla, perché nulla è mai stato loro contestato. Chi legga i blocchi precedenti come un atto d'accusa legge contro il testo, non il testo.</w:t>
      </w:r>
    </w:p>
    <w:p>
      <w:pPr>
        <w:spacing w:after="120" w:line="276"/>
        <w:jc w:val="both"/>
      </w:pPr>
      <w:r>
        <w:rPr>
          <w:rFonts w:ascii="Barlow Semi Condensed" w:cs="Barlow Semi Condensed" w:eastAsia="Barlow Semi Condensed" w:hAnsi="Barlow Semi Condensed"/>
          <w:b/>
          <w:bCs/>
          <w:sz w:val="24"/>
          <w:szCs w:val="24"/>
        </w:rPr>
        <w:t xml:space="preserve">968 · La differenza col fascicolo moroteo.</w:t>
      </w:r>
      <w:r>
        <w:rPr>
          <w:rFonts w:ascii="Barlow Semi Condensed" w:cs="Barlow Semi Condensed" w:eastAsia="Barlow Semi Condensed" w:hAnsi="Barlow Semi Condensed"/>
          <w:sz w:val="24"/>
          <w:szCs w:val="24"/>
        </w:rPr>
        <w:t xml:space="preserve"> Nel corpus moroteo esisteva un registro del giudicato: tredici condanne definitive, ciascuna con la propria condotta accertata, e i nomi comparivano lì e solo lì. Quest'opera non ha alcun registro equivalente da esibire, perché nessuna sentenza esiste sui fatti che indaga. La conseguenza è severa e va accettata: qui il perimetro dei nomi è ancora più stretto, e coincide per intero con i fatti pubblici e documentabili elencati nella disciplina d'apertura.</w:t>
      </w:r>
    </w:p>
    <w:p>
      <w:pPr>
        <w:spacing w:after="120" w:line="276"/>
        <w:jc w:val="both"/>
      </w:pPr>
      <w:r>
        <w:rPr>
          <w:rFonts w:ascii="Barlow Semi Condensed" w:cs="Barlow Semi Condensed" w:eastAsia="Barlow Semi Condensed" w:hAnsi="Barlow Semi Condensed"/>
          <w:b/>
          <w:bCs/>
          <w:sz w:val="24"/>
          <w:szCs w:val="24"/>
        </w:rPr>
        <w:t xml:space="preserve">969 · Mai sentiti da alcuna autorità.</w:t>
      </w:r>
      <w:r>
        <w:rPr>
          <w:rFonts w:ascii="Barlow Semi Condensed" w:cs="Barlow Semi Condensed" w:eastAsia="Barlow Semi Condensed" w:hAnsi="Barlow Semi Condensed"/>
          <w:sz w:val="24"/>
          <w:szCs w:val="24"/>
        </w:rPr>
        <w:t xml:space="preserve"> Non risulta che le persone viventi nominate siano mai state sentite da un'autorità giudiziaria o parlamentare sui temi di quest'opera: non dalla Truth and Reconciliation Commission, chiusa nel 2003 e i cui verbali sono consultabili, non da commissioni namibiane, non da corti statunitensi. È un accertamento negativo e si dichiara come tale. Chi disponesse di un atto contrario è invitato a produrlo, e l'opera lo recepirebbe per nota.</w:t>
      </w:r>
    </w:p>
    <w:p>
      <w:pPr>
        <w:spacing w:after="120" w:line="276"/>
        <w:jc w:val="both"/>
      </w:pPr>
      <w:r>
        <w:rPr>
          <w:rFonts w:ascii="Barlow Semi Condensed" w:cs="Barlow Semi Condensed" w:eastAsia="Barlow Semi Condensed" w:hAnsi="Barlow Semi Condensed"/>
          <w:b/>
          <w:bCs/>
          <w:sz w:val="24"/>
          <w:szCs w:val="24"/>
        </w:rPr>
        <w:t xml:space="preserve">970 · Contenziosi civili e procedimenti amministrativi.</w:t>
      </w:r>
      <w:r>
        <w:rPr>
          <w:rFonts w:ascii="Barlow Semi Condensed" w:cs="Barlow Semi Condensed" w:eastAsia="Barlow Semi Condensed" w:hAnsi="Barlow Semi Condensed"/>
          <w:sz w:val="24"/>
          <w:szCs w:val="24"/>
        </w:rPr>
        <w:t xml:space="preserve"> Esistono, per società quotate e per i loro dirigenti, contenziosi civili e procedimenti di vigilanza: sono pubblici, si trovano nei fascicoli dei tribunali federali statunitensi e nei comunicati della Securities and Exchange Commission. Nessuno di essi riguarda i fatti indagati qui, e nessuno è penale. Citarli in questa sede sarebbe un espediente: si accumulerebbe un'aria di irregolarità su un tema che con essi non ha rapporto documentato alcuno.</w:t>
      </w:r>
    </w:p>
    <w:p>
      <w:pPr>
        <w:spacing w:after="120" w:line="276"/>
        <w:jc w:val="both"/>
      </w:pPr>
      <w:r>
        <w:rPr>
          <w:rFonts w:ascii="Barlow Semi Condensed" w:cs="Barlow Semi Condensed" w:eastAsia="Barlow Semi Condensed" w:hAnsi="Barlow Semi Condensed"/>
          <w:b/>
          <w:bCs/>
          <w:sz w:val="24"/>
          <w:szCs w:val="24"/>
        </w:rPr>
        <w:t xml:space="preserve">971 · Il «fu assolto, ma» è bandito.</w:t>
      </w:r>
      <w:r>
        <w:rPr>
          <w:rFonts w:ascii="Barlow Semi Condensed" w:cs="Barlow Semi Condensed" w:eastAsia="Barlow Semi Condensed" w:hAnsi="Barlow Semi Condensed"/>
          <w:sz w:val="24"/>
          <w:szCs w:val="24"/>
        </w:rPr>
        <w:t xml:space="preserve"> La formula del «fu assolto, ma» è già bandita nel corpus, perché restituisce col tono ciò che la sentenza aveva tolto: il divieto fu posto nello studio sul ceppo Simioni, dove i proscioglimenti stanno in testa e non in coda. Qui la formula non ha nemmeno un'assoluzione su cui appoggiarsi. Il suo equivalente sarebbe il «nessuno lo ha mai accusato, eppure»: lo si nomina per riconoscerlo e non lo si scrive mai.</w:t>
      </w:r>
    </w:p>
    <w:p>
      <w:pPr>
        <w:spacing w:after="120" w:line="276"/>
        <w:jc w:val="both"/>
      </w:pPr>
      <w:r>
        <w:rPr>
          <w:rFonts w:ascii="Barlow Semi Condensed" w:cs="Barlow Semi Condensed" w:eastAsia="Barlow Semi Condensed" w:hAnsi="Barlow Semi Condensed"/>
          <w:b/>
          <w:bCs/>
          <w:sz w:val="24"/>
          <w:szCs w:val="24"/>
        </w:rPr>
        <w:t xml:space="preserve">972 · L'elenco chiuso dei fatti citabili.</w:t>
      </w:r>
      <w:r>
        <w:rPr>
          <w:rFonts w:ascii="Barlow Semi Condensed" w:cs="Barlow Semi Condensed" w:eastAsia="Barlow Semi Condensed" w:hAnsi="Barlow Semi Condensed"/>
          <w:sz w:val="24"/>
          <w:szCs w:val="24"/>
        </w:rPr>
        <w:t xml:space="preserve"> I viventi entrano in quest'opera per sette voci e per nessun'altra: nascita, residenza, cittadinanza, impiego, parentela, dichiarazioni rese pubblicamente, atti societari depositati. L'elenco è chiuso e verificabile blocco per blocco. Ogni riga che eccedesse quelle voci — un'intenzione, un'opinione attribuita, un rapporto inferito — sarebbe un errore dell'autore e va segnalata come tale. Il lettore ha in mano il criterio per fare questa verifica senza chiedere il permesso a nessuno.</w:t>
      </w:r>
    </w:p>
    <w:p>
      <w:pPr>
        <w:spacing w:after="120" w:line="276"/>
        <w:jc w:val="both"/>
      </w:pPr>
      <w:r>
        <w:rPr>
          <w:rFonts w:ascii="Barlow Semi Condensed" w:cs="Barlow Semi Condensed" w:eastAsia="Barlow Semi Condensed" w:hAnsi="Barlow Semi Condensed"/>
          <w:b/>
          <w:bCs/>
          <w:sz w:val="24"/>
          <w:szCs w:val="24"/>
        </w:rPr>
        <w:t xml:space="preserve">973 · Se un procedimento si aprisse.</w:t>
      </w:r>
      <w:r>
        <w:rPr>
          <w:rFonts w:ascii="Barlow Semi Condensed" w:cs="Barlow Semi Condensed" w:eastAsia="Barlow Semi Condensed" w:hAnsi="Barlow Semi Condensed"/>
          <w:sz w:val="24"/>
          <w:szCs w:val="24"/>
        </w:rPr>
        <w:t xml:space="preserve"> Ipotesi di scuola, utile a fissare la disciplina: se domani un'autorità aprisse un procedimento su uno qualsiasi di questi temi, quest'opera ne prenderebbe atto registrando l'esistenza dell'atto e null'altro. Un'iscrizione non è una condanna, un rinvio a giudizio non è una condanna, un primo grado non è definitivo. Il corpus ha adottato questa scala nel registro giudiziario della Fase settima e non la modifica per nomi più noti.</w:t>
      </w:r>
    </w:p>
    <w:p>
      <w:pPr>
        <w:spacing w:after="120" w:line="276"/>
        <w:jc w:val="both"/>
      </w:pPr>
      <w:r>
        <w:rPr>
          <w:rFonts w:ascii="Barlow Semi Condensed" w:cs="Barlow Semi Condensed" w:eastAsia="Barlow Semi Condensed" w:hAnsi="Barlow Semi Condensed"/>
          <w:b/>
          <w:bCs/>
          <w:sz w:val="24"/>
          <w:szCs w:val="24"/>
        </w:rPr>
        <w:t xml:space="preserve">974 · Diritto di replica e correzione.</w:t>
      </w:r>
      <w:r>
        <w:rPr>
          <w:rFonts w:ascii="Barlow Semi Condensed" w:cs="Barlow Semi Condensed" w:eastAsia="Barlow Semi Condensed" w:hAnsi="Barlow Semi Condensed"/>
          <w:sz w:val="24"/>
          <w:szCs w:val="24"/>
        </w:rPr>
        <w:t xml:space="preserve"> Chiunque sia nominato in quest'opera può contestare un dato di fatto, e la contestazione produce un effetto tecnico: se documentata, entra nel testo come nota di revisione, con la data e la fonte, senza riscrivere il blocco originario. È il metodo già usato per la Nota di revisione n. 1 del corpus e per la correzione del nodo M-5 nella triangolazione Kissinger. Il testo si corregge per stratificazione, così resta visibile che cosa è cambiato.</w:t>
      </w:r>
    </w:p>
    <w:p>
      <w:pPr>
        <w:spacing w:after="120" w:line="276"/>
        <w:jc w:val="both"/>
      </w:pPr>
      <w:r>
        <w:rPr>
          <w:rFonts w:ascii="Barlow Semi Condensed" w:cs="Barlow Semi Condensed" w:eastAsia="Barlow Semi Condensed" w:hAnsi="Barlow Semi Condensed"/>
          <w:b/>
          <w:bCs/>
          <w:sz w:val="24"/>
          <w:szCs w:val="24"/>
        </w:rPr>
        <w:t xml:space="preserve">975 · Giudicare per nascita, un precedente.</w:t>
      </w:r>
      <w:r>
        <w:rPr>
          <w:rFonts w:ascii="Barlow Semi Condensed" w:cs="Barlow Semi Condensed" w:eastAsia="Barlow Semi Condensed" w:hAnsi="Barlow Semi Condensed"/>
          <w:sz w:val="24"/>
          <w:szCs w:val="24"/>
        </w:rPr>
        <w:t xml:space="preserve"> Giudicare le persone per la loro origine è precisamente ciò che l'apartheid faceva, con leggi, registri di classificazione razziale e uffici dedicati: il Population Registration Act del 1950 e i fascicoli del Department of Home Affairs ne conservano la meccanica. Quel sistema attribuiva destini in base a un dato di nascita. Un'opera che lo studi e poi ne ripeta la logica sui figli dei suoi beneficiari non lo critica: lo prosegue in altra direzione.</w:t>
      </w:r>
    </w:p>
    <w:p>
      <w:pPr>
        <w:spacing w:after="120" w:line="276"/>
        <w:jc w:val="both"/>
      </w:pPr>
      <w:r>
        <w:rPr>
          <w:rFonts w:ascii="Barlow Semi Condensed" w:cs="Barlow Semi Condensed" w:eastAsia="Barlow Semi Condensed" w:hAnsi="Barlow Semi Condensed"/>
          <w:b/>
          <w:bCs/>
          <w:sz w:val="24"/>
          <w:szCs w:val="24"/>
        </w:rPr>
        <w:t xml:space="preserve">976 · L'inversione non è giustizia.</w:t>
      </w:r>
      <w:r>
        <w:rPr>
          <w:rFonts w:ascii="Barlow Semi Condensed" w:cs="Barlow Semi Condensed" w:eastAsia="Barlow Semi Condensed" w:hAnsi="Barlow Semi Condensed"/>
          <w:sz w:val="24"/>
          <w:szCs w:val="24"/>
        </w:rPr>
        <w:t xml:space="preserve"> Rovesciare il senso di una discriminazione non la abolisce: ne cambia il bersaglio. Chi sostiene che essere figli o nipoti di beneficiari del regime costituisca di per sé un titolo di responsabilità sta usando lo stesso strumento del regime, con il segno invertito. L'argomento è tanto più insidioso quanto più le vittime storiche sono reali e riconosciute. La memoria di quelle vittime non autorizza a fondare responsabilità sull'anagrafe di nessun altro.</w:t>
      </w:r>
    </w:p>
    <w:p>
      <w:pPr>
        <w:spacing w:after="120" w:line="276"/>
        <w:jc w:val="both"/>
      </w:pPr>
      <w:r>
        <w:rPr>
          <w:rFonts w:ascii="Barlow Semi Condensed" w:cs="Barlow Semi Condensed" w:eastAsia="Barlow Semi Condensed" w:hAnsi="Barlow Semi Condensed"/>
          <w:b/>
          <w:bCs/>
          <w:sz w:val="24"/>
          <w:szCs w:val="24"/>
        </w:rPr>
        <w:t xml:space="preserve">977 · Il colpevole collettivo, qui.</w:t>
      </w:r>
      <w:r>
        <w:rPr>
          <w:rFonts w:ascii="Barlow Semi Condensed" w:cs="Barlow Semi Condensed" w:eastAsia="Barlow Semi Condensed" w:hAnsi="Barlow Semi Condensed"/>
          <w:sz w:val="24"/>
          <w:szCs w:val="24"/>
        </w:rPr>
        <w:t xml:space="preserve"> Fu il Sud Africa, furono gli afrikaner, fu la Valle: sono soggetti grammaticali comodi e privi di condotta. Nessuno di essi delibera, firma o compie atti; lo fanno persone e uffici, con nomi e date. Il manuale investigativo del corpus chiama questo errore l'errore del gruppo e ne prescrive l'antidoto: scomporre in atti e omissioni documentati, uno per uno, oppure tacere. In questa materia il tacere è quasi sempre l'esito corretto.</w:t>
      </w:r>
    </w:p>
    <w:p>
      <w:pPr>
        <w:spacing w:after="120" w:line="276"/>
        <w:jc w:val="both"/>
      </w:pPr>
      <w:r>
        <w:rPr>
          <w:rFonts w:ascii="Barlow Semi Condensed" w:cs="Barlow Semi Condensed" w:eastAsia="Barlow Semi Condensed" w:hAnsi="Barlow Semi Condensed"/>
          <w:b/>
          <w:bCs/>
          <w:sz w:val="24"/>
          <w:szCs w:val="24"/>
        </w:rPr>
        <w:t xml:space="preserve">978 · Sciogliere i nomi collettivi.</w:t>
      </w:r>
      <w:r>
        <w:rPr>
          <w:rFonts w:ascii="Barlow Semi Condensed" w:cs="Barlow Semi Condensed" w:eastAsia="Barlow Semi Condensed" w:hAnsi="Barlow Semi Condensed"/>
          <w:sz w:val="24"/>
          <w:szCs w:val="24"/>
        </w:rPr>
        <w:t xml:space="preserve"> Ogni volta che un blocco scrive «la PayPal Mafia», «l'establishment afrikaner» o «i fondi della Valle», il lettore ha diritto di chiedere l'elenco delle persone e degli enti che quell'espressione copre, con la fonte per ciascuno. Se l'elenco non si può produrre, l'espressione è un'ombra e va cancellata. Questa è la prova più rapida per distinguere un blocco di ricerca da un blocco d'opinione, e si può applicare all'intera opera in un pomeriggio.</w:t>
      </w:r>
    </w:p>
    <w:p>
      <w:pPr>
        <w:spacing w:after="120" w:line="276"/>
        <w:jc w:val="both"/>
      </w:pPr>
      <w:r>
        <w:rPr>
          <w:rFonts w:ascii="Barlow Semi Condensed" w:cs="Barlow Semi Condensed" w:eastAsia="Barlow Semi Condensed" w:hAnsi="Barlow Semi Condensed"/>
          <w:b/>
          <w:bCs/>
          <w:sz w:val="24"/>
          <w:szCs w:val="24"/>
        </w:rPr>
        <w:t xml:space="preserve">979 · La parola «mafia» come metafora.</w:t>
      </w:r>
      <w:r>
        <w:rPr>
          <w:rFonts w:ascii="Barlow Semi Condensed" w:cs="Barlow Semi Condensed" w:eastAsia="Barlow Semi Condensed" w:hAnsi="Barlow Semi Condensed"/>
          <w:sz w:val="24"/>
          <w:szCs w:val="24"/>
        </w:rPr>
        <w:t xml:space="preserve"> Nel titolo di Fortune «mafia» era una battuta di redazione sulla coesione di un gruppo di ex colleghi. Trasportata in un contesto di ricerca, la stessa parola evoca un'associazione criminale, che è figura tipica del diritto penale italiano e statunitense. Il trasporto è illegittimo e va segnalato ogni volta che compare. Chi cita la locuzione deve citarne insieme l'origine, altrimenti presta a un'espressione giornalistica un peso giuridico che essa non ha mai avuto.</w:t>
      </w:r>
    </w:p>
    <w:p>
      <w:pPr>
        <w:spacing w:after="120" w:line="276"/>
        <w:jc w:val="both"/>
      </w:pPr>
      <w:r>
        <w:rPr>
          <w:rFonts w:ascii="Barlow Semi Condensed" w:cs="Barlow Semi Condensed" w:eastAsia="Barlow Semi Condensed" w:hAnsi="Barlow Semi Condensed"/>
          <w:b/>
          <w:bCs/>
          <w:sz w:val="24"/>
          <w:szCs w:val="24"/>
        </w:rPr>
        <w:t xml:space="preserve">980 · Colpa politica e colpa penale.</w:t>
      </w:r>
      <w:r>
        <w:rPr>
          <w:rFonts w:ascii="Barlow Semi Condensed" w:cs="Barlow Semi Condensed" w:eastAsia="Barlow Semi Condensed" w:hAnsi="Barlow Semi Condensed"/>
          <w:sz w:val="24"/>
          <w:szCs w:val="24"/>
        </w:rPr>
        <w:t xml:space="preserve"> La riflessione sulla responsabilità collettiva ha una tradizione filosofica seria, che distingue responsabilità criminale, politica, morale e metafisica, e che assegna alla prima soltanto tribunali e prove. Quest'opera si muove esclusivamente sul terreno della prima e non ha titolo per pronunciarsi sulle altre. Chi voglia condurre l'argomento sul piano morale è libero di farlo, ma dovrà dichiarare di aver cambiato terreno, perché su quel piano non valgono gli archivi qui elencati.</w:t>
      </w:r>
    </w:p>
    <w:p>
      <w:pPr>
        <w:spacing w:after="120" w:line="276"/>
        <w:jc w:val="both"/>
      </w:pPr>
      <w:r>
        <w:rPr>
          <w:rFonts w:ascii="Barlow Semi Condensed" w:cs="Barlow Semi Condensed" w:eastAsia="Barlow Semi Condensed" w:hAnsi="Barlow Semi Condensed"/>
          <w:b/>
          <w:bCs/>
          <w:sz w:val="24"/>
          <w:szCs w:val="24"/>
        </w:rPr>
        <w:t xml:space="preserve">981 · Il rischio speculare dell'assoluzione.</w:t>
      </w:r>
      <w:r>
        <w:rPr>
          <w:rFonts w:ascii="Barlow Semi Condensed" w:cs="Barlow Semi Condensed" w:eastAsia="Barlow Semi Condensed" w:hAnsi="Barlow Semi Condensed"/>
          <w:sz w:val="24"/>
          <w:szCs w:val="24"/>
        </w:rPr>
        <w:t xml:space="preserve"> Questa serie ha un pericolo proprio, uguale e contrario a quello che corregge: che la cautela diventi una assoluzione preventiva, e che il garantismo si trasformi in scudo. Dire che una parentela non prova nulla non significa dire che nulla vada cercato. Il vincolo è simmetrico: come non si promuove una convergenza a nesso, così non si declassa un documento perché scomodo. La disciplina serve la ricerca, non la protezione di alcuno.</w:t>
      </w:r>
    </w:p>
    <w:p>
      <w:pPr>
        <w:spacing w:after="120" w:line="276"/>
        <w:jc w:val="both"/>
      </w:pPr>
      <w:r>
        <w:rPr>
          <w:rFonts w:ascii="Barlow Semi Condensed" w:cs="Barlow Semi Condensed" w:eastAsia="Barlow Semi Condensed" w:hAnsi="Barlow Semi Condensed"/>
          <w:b/>
          <w:bCs/>
          <w:sz w:val="24"/>
          <w:szCs w:val="24"/>
        </w:rPr>
        <w:t xml:space="preserve">982 · Non nominare non è scagionare.</w:t>
      </w:r>
      <w:r>
        <w:rPr>
          <w:rFonts w:ascii="Barlow Semi Condensed" w:cs="Barlow Semi Condensed" w:eastAsia="Barlow Semi Condensed" w:hAnsi="Barlow Semi Condensed"/>
          <w:sz w:val="24"/>
          <w:szCs w:val="24"/>
        </w:rPr>
        <w:t xml:space="preserve"> Tacere un nome dove manca il documento è disciplina; presentare quel silenzio come una certificazione di innocenza sarebbe un altro abuso, di segno opposto. Quest'opera non dichiara che nulla accadde: dichiara che, allo stato degli atti consultati, nulla è provato. Le due proposizioni sono diversissime e si confondono facilmente. Gli Stati Zero servono anche a questo: fissano per iscritto che si è cercato, dove, e con quale esito, senza chiudere la questione.</w:t>
      </w:r>
    </w:p>
    <w:p>
      <w:pPr>
        <w:spacing w:after="120" w:line="276"/>
        <w:jc w:val="both"/>
      </w:pPr>
      <w:r>
        <w:rPr>
          <w:rFonts w:ascii="Barlow Semi Condensed" w:cs="Barlow Semi Condensed" w:eastAsia="Barlow Semi Condensed" w:hAnsi="Barlow Semi Condensed"/>
          <w:b/>
          <w:bCs/>
          <w:sz w:val="24"/>
          <w:szCs w:val="24"/>
        </w:rPr>
        <w:t xml:space="preserve">983 · I documenti non sono innocenti.</w:t>
      </w:r>
      <w:r>
        <w:rPr>
          <w:rFonts w:ascii="Barlow Semi Condensed" w:cs="Barlow Semi Condensed" w:eastAsia="Barlow Semi Condensed" w:hAnsi="Barlow Semi Condensed"/>
          <w:sz w:val="24"/>
          <w:szCs w:val="24"/>
        </w:rPr>
        <w:t xml:space="preserve"> Le fonti raccolte in quest'opera descrivono un sistema legale di segregazione, una miniera in territorio sotto amministrazione contestata, embarghi votati alle Nazioni Unite e imprese che vi operarono. Su quel materiale il giudizio storico è largamente formato e non è mite. La serie del limite non tocca quel giudizio: lo lascia dov'è e impedisce soltanto che venga trasferito, per via anagrafica, su persone che allora erano bambine o non erano nate.</w:t>
      </w:r>
    </w:p>
    <w:p>
      <w:pPr>
        <w:spacing w:after="120" w:line="276"/>
        <w:jc w:val="both"/>
      </w:pPr>
      <w:r>
        <w:rPr>
          <w:rFonts w:ascii="Barlow Semi Condensed" w:cs="Barlow Semi Condensed" w:eastAsia="Barlow Semi Condensed" w:hAnsi="Barlow Semi Condensed"/>
          <w:b/>
          <w:bCs/>
          <w:sz w:val="24"/>
          <w:szCs w:val="24"/>
        </w:rPr>
        <w:t xml:space="preserve">984 · La critica delle istituzioni resta intera.</w:t>
      </w:r>
      <w:r>
        <w:rPr>
          <w:rFonts w:ascii="Barlow Semi Condensed" w:cs="Barlow Semi Condensed" w:eastAsia="Barlow Semi Condensed" w:hAnsi="Barlow Semi Condensed"/>
          <w:sz w:val="24"/>
          <w:szCs w:val="24"/>
        </w:rPr>
        <w:t xml:space="preserve"> Studiare come uno Stato organizzò la segregazione, come un embargo fu aggirato, come una società mineraria trattò con governi, come un fondo di investimento seleziona chi finanziare: sono tutte indagini legittime e necessarie, e nessuna di esse chiede il permesso a questa serie. Il limite riguarda l'attribuzione di condotte a persone determinate senza documento. Riguarda i nomi, non i temi, e chi lo confonde rinuncia alla ricerca per prudenza mal riposta.</w:t>
      </w:r>
    </w:p>
    <w:p>
      <w:pPr>
        <w:spacing w:after="120" w:line="276"/>
        <w:jc w:val="both"/>
      </w:pPr>
      <w:r>
        <w:rPr>
          <w:rFonts w:ascii="Barlow Semi Condensed" w:cs="Barlow Semi Condensed" w:eastAsia="Barlow Semi Condensed" w:hAnsi="Barlow Semi Condensed"/>
          <w:b/>
          <w:bCs/>
          <w:sz w:val="24"/>
          <w:szCs w:val="24"/>
        </w:rPr>
        <w:t xml:space="preserve">985 · Criticare l'atto pubblico è lecito.</w:t>
      </w:r>
      <w:r>
        <w:rPr>
          <w:rFonts w:ascii="Barlow Semi Condensed" w:cs="Barlow Semi Condensed" w:eastAsia="Barlow Semi Condensed" w:hAnsi="Barlow Semi Condensed"/>
          <w:sz w:val="24"/>
          <w:szCs w:val="24"/>
        </w:rPr>
        <w:t xml:space="preserve"> Chi ricopre una carica pubblica o dirige una società quotata compie atti pubblici — dichiarazioni, decisioni, investimenti depositati — e su quegli atti la critica è libera e doverosa. La critica di un atto non è l'imputazione di un reato, e le due cose vanno tenute distinte anche nel lessico. Quest'opera si occupa di documenti storici e non di valutazione politica del presente; ma non pretende che la seconda sia vietata a chi la voglia esercitare.</w:t>
      </w:r>
    </w:p>
    <w:p>
      <w:pPr>
        <w:spacing w:after="120" w:line="276"/>
        <w:jc w:val="both"/>
      </w:pPr>
      <w:r>
        <w:rPr>
          <w:rFonts w:ascii="Barlow Semi Condensed" w:cs="Barlow Semi Condensed" w:eastAsia="Barlow Semi Condensed" w:hAnsi="Barlow Semi Condensed"/>
          <w:b/>
          <w:bCs/>
          <w:sz w:val="24"/>
          <w:szCs w:val="24"/>
        </w:rPr>
        <w:t xml:space="preserve">986 · Il presidio delle vittime reali.</w:t>
      </w:r>
      <w:r>
        <w:rPr>
          <w:rFonts w:ascii="Barlow Semi Condensed" w:cs="Barlow Semi Condensed" w:eastAsia="Barlow Semi Condensed" w:hAnsi="Barlow Semi Condensed"/>
          <w:sz w:val="24"/>
          <w:szCs w:val="24"/>
        </w:rPr>
        <w:t xml:space="preserve"> Sei nomi di uomini uccisi costituivano, nel corpus moroteo, il presidio contro ogni costruzione interpretativa che pretendesse di coprirli. Qui il presidio ha un'altra scala e nessun elenco esaustivo possibile: le vittime dell'apartheid sono documentate a decine di migliaia nei verbali della Truth and Reconciliation Commission. Ricordarle non serve a caricare un nome vivente; serve a impedire che una discussione su discendenze e capitali si sostituisca alla storia di ciò che fu fatto a loro.</w:t>
      </w:r>
    </w:p>
    <w:p>
      <w:pPr>
        <w:spacing w:after="120" w:line="276"/>
        <w:jc w:val="both"/>
      </w:pPr>
      <w:r>
        <w:rPr>
          <w:rFonts w:ascii="Barlow Semi Condensed" w:cs="Barlow Semi Condensed" w:eastAsia="Barlow Semi Condensed" w:hAnsi="Barlow Semi Condensed"/>
          <w:b/>
          <w:bCs/>
          <w:sz w:val="24"/>
          <w:szCs w:val="24"/>
        </w:rPr>
        <w:t xml:space="preserve">987 · Non stabilito: un canale istituzionale.</w:t>
      </w:r>
      <w:r>
        <w:rPr>
          <w:rFonts w:ascii="Barlow Semi Condensed" w:cs="Barlow Semi Condensed" w:eastAsia="Barlow Semi Condensed" w:hAnsi="Barlow Semi Condensed"/>
          <w:sz w:val="24"/>
          <w:szCs w:val="24"/>
        </w:rPr>
        <w:t xml:space="preserve"> Nessun documento di provenienza, in quest'opera, nomina un rapporto fra uffici del governo sudafricano dell'apartheid e la costituzione o il finanziamento di imprese californiane degli anni novanta. La tesi di un canale istituzionale resta priva di atto. La sede che la chiuderebbe è indicabile: i fondi del Department of Foreign Affairs nel National Archives of South Africa a Pretoria, per il periodo 1977-1994. Finché non sono spogliati, la voce «canale» non compare come accertamento.</w:t>
      </w:r>
    </w:p>
    <w:p>
      <w:pPr>
        <w:spacing w:after="120" w:line="276"/>
        <w:jc w:val="both"/>
      </w:pPr>
      <w:r>
        <w:rPr>
          <w:rFonts w:ascii="Barlow Semi Condensed" w:cs="Barlow Semi Condensed" w:eastAsia="Barlow Semi Condensed" w:hAnsi="Barlow Semi Condensed"/>
          <w:b/>
          <w:bCs/>
          <w:sz w:val="24"/>
          <w:szCs w:val="24"/>
        </w:rPr>
        <w:t xml:space="preserve">988 · Non stabilito: la destinazione dell'uranio.</w:t>
      </w:r>
      <w:r>
        <w:rPr>
          <w:rFonts w:ascii="Barlow Semi Condensed" w:cs="Barlow Semi Condensed" w:eastAsia="Barlow Semi Condensed" w:hAnsi="Barlow Semi Condensed"/>
          <w:sz w:val="24"/>
          <w:szCs w:val="24"/>
        </w:rPr>
        <w:t xml:space="preserve"> Non è stabilito che l'uranio estratto a Rössing sia stato destinato ad armamenti; e non è stabilita nemmeno la destinazione opposta. Entrambe le proposizioni attendono un documento. L'opera registra il cantiere come contesto della biografia di una famiglia e come oggetto di controversia internazionale documentata negli atti delle Nazioni Unite, e si ferma lì. Chi volesse procedere ha una strada: gli archivi namibiani di Windhoek e i registri di esportazione conservati a Pretoria.</w:t>
      </w:r>
    </w:p>
    <w:p>
      <w:pPr>
        <w:spacing w:after="120" w:line="276"/>
        <w:jc w:val="both"/>
      </w:pPr>
      <w:r>
        <w:rPr>
          <w:rFonts w:ascii="Barlow Semi Condensed" w:cs="Barlow Semi Condensed" w:eastAsia="Barlow Semi Condensed" w:hAnsi="Barlow Semi Condensed"/>
          <w:b/>
          <w:bCs/>
          <w:sz w:val="24"/>
          <w:szCs w:val="24"/>
        </w:rPr>
        <w:t xml:space="preserve">989 · Non stabilito: la miniera di smeraldi.</w:t>
      </w:r>
      <w:r>
        <w:rPr>
          <w:rFonts w:ascii="Barlow Semi Condensed" w:cs="Barlow Semi Condensed" w:eastAsia="Barlow Semi Condensed" w:hAnsi="Barlow Semi Condensed"/>
          <w:sz w:val="24"/>
          <w:szCs w:val="24"/>
        </w:rPr>
        <w:t xml:space="preserve"> Di una titolarità mineraria intestata a Errol Musk non è mai emersa carta alcuna, né in Zambia né altrove: nessuna concessione, nessuna licenza, nessun atto di trasferimento. Lo Stato Zero è netto e la sede che lo chiuderebbe ha un nome, il registro dei titoli minerari del ministero competente a Lusaka. Finché quel registro non è interrogato, restano tre racconti divergenti e nessun documento a sostegno di alcuno.</w:t>
      </w:r>
    </w:p>
    <w:p>
      <w:pPr>
        <w:spacing w:after="120" w:line="276"/>
        <w:jc w:val="both"/>
      </w:pPr>
      <w:r>
        <w:rPr>
          <w:rFonts w:ascii="Barlow Semi Condensed" w:cs="Barlow Semi Condensed" w:eastAsia="Barlow Semi Condensed" w:hAnsi="Barlow Semi Condensed"/>
          <w:b/>
          <w:bCs/>
          <w:sz w:val="24"/>
          <w:szCs w:val="24"/>
        </w:rPr>
        <w:t xml:space="preserve">990 · Non stabilito: un trasferimento di capitali.</w:t>
      </w:r>
      <w:r>
        <w:rPr>
          <w:rFonts w:ascii="Barlow Semi Condensed" w:cs="Barlow Semi Condensed" w:eastAsia="Barlow Semi Condensed" w:hAnsi="Barlow Semi Condensed"/>
          <w:sz w:val="24"/>
          <w:szCs w:val="24"/>
        </w:rPr>
        <w:t xml:space="preserve"> Manca ogni tracciamento documentale di capitali usciti dal Sud Africa dell'apartheid e confluiti nelle società della valle di Santa Clara. Il controllo dei cambi sudafricano era stretto e produsse carte: autorizzazioni della South African Reserve Bank, pratiche di esportazione di valuta, dichiarazioni doganali. Nessuna di quelle pratiche è stata prodotta a sostegno della tesi, e l'opera non la sostiene: è lo Stato Zero più rilevante dell'intero lavoro.</w:t>
      </w:r>
    </w:p>
    <w:p>
      <w:pPr>
        <w:spacing w:after="120" w:line="276"/>
        <w:jc w:val="both"/>
      </w:pPr>
      <w:r>
        <w:rPr>
          <w:rFonts w:ascii="Barlow Semi Condensed" w:cs="Barlow Semi Condensed" w:eastAsia="Barlow Semi Condensed" w:hAnsi="Barlow Semi Condensed"/>
          <w:b/>
          <w:bCs/>
          <w:sz w:val="24"/>
          <w:szCs w:val="24"/>
        </w:rPr>
        <w:t xml:space="preserve">991 · Non stabilito: un intervento del ministro.</w:t>
      </w:r>
      <w:r>
        <w:rPr>
          <w:rFonts w:ascii="Barlow Semi Condensed" w:cs="Barlow Semi Condensed" w:eastAsia="Barlow Semi Condensed" w:hAnsi="Barlow Semi Condensed"/>
          <w:sz w:val="24"/>
          <w:szCs w:val="24"/>
        </w:rPr>
        <w:t xml:space="preserve"> Non esiste, allo stato, alcun atto che colleghi l'ufficio del ministro degli Esteri sudafricano alla carriera del nipote negli Stati Uniti: nessuna lettera, nessuna raccomandazione, nessun visto agevolato documentato. La parentela resta al piano uno; il ponte resta assente. La verifica si condurrebbe sui fondi ministeriali di Pretoria e sui documenti consolari; e va detto che un esito negativo, se ottenuto, sarebbe altrettanto pubblicabile di uno positivo.</w:t>
      </w:r>
    </w:p>
    <w:p>
      <w:pPr>
        <w:spacing w:after="120" w:line="276"/>
        <w:jc w:val="both"/>
      </w:pPr>
      <w:r>
        <w:rPr>
          <w:rFonts w:ascii="Barlow Semi Condensed" w:cs="Barlow Semi Condensed" w:eastAsia="Barlow Semi Condensed" w:hAnsi="Barlow Semi Condensed"/>
          <w:b/>
          <w:bCs/>
          <w:sz w:val="24"/>
          <w:szCs w:val="24"/>
        </w:rPr>
        <w:t xml:space="preserve">992 · Non stabilito: l'affiliazione nazista.</w:t>
      </w:r>
      <w:r>
        <w:rPr>
          <w:rFonts w:ascii="Barlow Semi Condensed" w:cs="Barlow Semi Condensed" w:eastAsia="Barlow Semi Condensed" w:hAnsi="Barlow Semi Condensed"/>
          <w:sz w:val="24"/>
          <w:szCs w:val="24"/>
        </w:rPr>
        <w:t xml:space="preserve"> Sul nonno materno di Elon Musk la ricerca ha prodotto un esito negativo dichiarato: non risulta prova di appartenenza a partiti nazisti. È uno Stato Zero verificato, ed è un'acquisizione di pieno valore, non un'ammissione di sconfitta. Vale in entrambe le direzioni: sottrae un argomento a chi accusa e non ne restituisce uno a chi difende, perché ciò che Haldeman effettivamente scrisse resta documentato e resta grave.</w:t>
      </w:r>
    </w:p>
    <w:p>
      <w:pPr>
        <w:spacing w:after="120" w:line="276"/>
        <w:jc w:val="both"/>
      </w:pPr>
      <w:r>
        <w:rPr>
          <w:rFonts w:ascii="Barlow Semi Condensed" w:cs="Barlow Semi Condensed" w:eastAsia="Barlow Semi Condensed" w:hAnsi="Barlow Semi Condensed"/>
          <w:b/>
          <w:bCs/>
          <w:sz w:val="24"/>
          <w:szCs w:val="24"/>
        </w:rPr>
        <w:t xml:space="preserve">993 · Non stabilito: un'azione di gruppo.</w:t>
      </w:r>
      <w:r>
        <w:rPr>
          <w:rFonts w:ascii="Barlow Semi Condensed" w:cs="Barlow Semi Condensed" w:eastAsia="Barlow Semi Condensed" w:hAnsi="Barlow Semi Condensed"/>
          <w:sz w:val="24"/>
          <w:szCs w:val="24"/>
        </w:rPr>
        <w:t xml:space="preserve"> Che le persone raccolte sotto la locuzione del 2007 abbiano mai agito come gruppo non è stabilito: non esistono statuti, verbali, delibere né conti comuni. Esistono coinvestimenti documentati nei depositi presso la Securities and Exchange Commission, che sono fatto societario ordinario e riguardano operazioni singole. Un coinvestimento prova che due soggetti hanno messo denaro nella stessa società; non prova un disegno, e nessun deposito ne descrive uno.</w:t>
      </w:r>
    </w:p>
    <w:p>
      <w:pPr>
        <w:spacing w:after="120" w:line="276"/>
        <w:jc w:val="both"/>
      </w:pPr>
      <w:r>
        <w:rPr>
          <w:rFonts w:ascii="Barlow Semi Condensed" w:cs="Barlow Semi Condensed" w:eastAsia="Barlow Semi Condensed" w:hAnsi="Barlow Semi Condensed"/>
          <w:b/>
          <w:bCs/>
          <w:sz w:val="24"/>
          <w:szCs w:val="24"/>
        </w:rPr>
        <w:t xml:space="preserve">994 · Non stabilito: un ponte col corpus.</w:t>
      </w:r>
      <w:r>
        <w:rPr>
          <w:rFonts w:ascii="Barlow Semi Condensed" w:cs="Barlow Semi Condensed" w:eastAsia="Barlow Semi Condensed" w:hAnsi="Barlow Semi Condensed"/>
          <w:sz w:val="24"/>
          <w:szCs w:val="24"/>
        </w:rPr>
        <w:t xml:space="preserve"> La verifica meccanica sul corpus è stata eseguita e ha dato un solo risultato: zero occorrenze di Musk, Thiel, Botha, PayPal, Silicon Valley e Namibia negli altri Libri; un unico contatto tematico nel nodo E-16 della triangolazione Guevara-Moro, il discorso all'Assemblea Generale dell'11 dicembre 1964 che denuncia colonialismo e apartheid. Un contatto tematico non è un ponte documentato, e l'opera non lo tratta come tale in nessun blocco. </w:t>
      </w:r>
      <w:r>
        <w:rPr>
          <w:rFonts w:ascii="Barlow Semi Condensed" w:cs="Barlow Semi Condensed" w:eastAsia="Barlow Semi Condensed" w:hAnsi="Barlow Semi Condensed"/>
          <w:i/>
          <w:iCs/>
          <w:sz w:val="24"/>
          <w:szCs w:val="24"/>
        </w:rPr>
        <w:t xml:space="preserve">(Verifica riferita al perimetro anteriore al 26 agosto 2026; per l'aggiornamento dopo l'ingresso del Libro quarto si veda il blocco 38.)</w:t>
      </w:r>
    </w:p>
    <w:p>
      <w:pPr>
        <w:spacing w:after="120" w:line="276"/>
        <w:jc w:val="both"/>
      </w:pPr>
      <w:r>
        <w:rPr>
          <w:rFonts w:ascii="Barlow Semi Condensed" w:cs="Barlow Semi Condensed" w:eastAsia="Barlow Semi Condensed" w:hAnsi="Barlow Semi Condensed"/>
          <w:b/>
          <w:bCs/>
          <w:sz w:val="24"/>
          <w:szCs w:val="24"/>
        </w:rPr>
        <w:t xml:space="preserve">995 · L'esperimento di rimozione.</w:t>
      </w:r>
      <w:r>
        <w:rPr>
          <w:rFonts w:ascii="Barlow Semi Condensed" w:cs="Barlow Semi Condensed" w:eastAsia="Barlow Semi Condensed" w:hAnsi="Barlow Semi Condensed"/>
          <w:sz w:val="24"/>
          <w:szCs w:val="24"/>
        </w:rPr>
        <w:t xml:space="preserve"> Si tolga la tesi di continuità e si rilegga l'opera. Restano le date verificate, i depositi societari citati con la loro sede, i pareri e le risoluzioni internazionali, i verbali di una commissione per la verità, le divergenze fra biografi riportate senza scioglierle, e le righe che dichiarano di non aver trovato. Se ciò che resta è più solido di ciò che è stato tolto, l'opera ha funzionato.</w:t>
      </w:r>
    </w:p>
    <w:p>
      <w:pPr>
        <w:spacing w:after="120" w:line="276"/>
        <w:jc w:val="both"/>
      </w:pPr>
      <w:r>
        <w:rPr>
          <w:rFonts w:ascii="Barlow Semi Condensed" w:cs="Barlow Semi Condensed" w:eastAsia="Barlow Semi Condensed" w:hAnsi="Barlow Semi Condensed"/>
          <w:b/>
          <w:bCs/>
          <w:sz w:val="24"/>
          <w:szCs w:val="24"/>
        </w:rPr>
        <w:t xml:space="preserve">996 · Gli Stati Zero come lascito.</w:t>
      </w:r>
      <w:r>
        <w:rPr>
          <w:rFonts w:ascii="Barlow Semi Condensed" w:cs="Barlow Semi Condensed" w:eastAsia="Barlow Semi Condensed" w:hAnsi="Barlow Semi Condensed"/>
          <w:sz w:val="24"/>
          <w:szCs w:val="24"/>
        </w:rPr>
        <w:t xml:space="preserve"> Il risultato più durevole di quest'opera non è un nesso ma un catasto di assenze: le sedi interrogate, i fondi spogliati, le carte che non c'erano. Un catasto di assenze si eredita davvero, perché il ricercatore successivo non ripete le ricerche già fallite e comincia dove questa si è fermata. È l'unica forma di trasmissione che questo lavoro rivendica, e riguarda documenti, non persone.</w:t>
      </w:r>
    </w:p>
    <w:p>
      <w:pPr>
        <w:spacing w:after="120" w:line="276"/>
        <w:jc w:val="both"/>
      </w:pPr>
      <w:r>
        <w:rPr>
          <w:rFonts w:ascii="Barlow Semi Condensed" w:cs="Barlow Semi Condensed" w:eastAsia="Barlow Semi Condensed" w:hAnsi="Barlow Semi Condensed"/>
          <w:b/>
          <w:bCs/>
          <w:sz w:val="24"/>
          <w:szCs w:val="24"/>
        </w:rPr>
        <w:t xml:space="preserve">997 · Le divergenze restano aperte.</w:t>
      </w:r>
      <w:r>
        <w:rPr>
          <w:rFonts w:ascii="Barlow Semi Condensed" w:cs="Barlow Semi Condensed" w:eastAsia="Barlow Semi Condensed" w:hAnsi="Barlow Semi Condensed"/>
          <w:sz w:val="24"/>
          <w:szCs w:val="24"/>
        </w:rPr>
        <w:t xml:space="preserve"> Tre divergenze attraversano quest'opera e nessuna è stata sciolta: la vicenda zambiana nelle sue tre versioni; la funzione dell'uranio namibiano; la natura del gruppo fotografato nel 2007. Lasciarle aperte non è indecisione, è la sola forma onesta di registrazione quando le fonti dicono cose diverse e nessuna prevale per rango. Chi le sciogliesse a favore della versione più utile alla tesi avrebbe smesso di fare ricerca senza accorgersene.</w:t>
      </w:r>
    </w:p>
    <w:p>
      <w:pPr>
        <w:spacing w:after="120" w:line="276"/>
        <w:jc w:val="both"/>
      </w:pPr>
      <w:r>
        <w:rPr>
          <w:rFonts w:ascii="Barlow Semi Condensed" w:cs="Barlow Semi Condensed" w:eastAsia="Barlow Semi Condensed" w:hAnsi="Barlow Semi Condensed"/>
          <w:b/>
          <w:bCs/>
          <w:sz w:val="24"/>
          <w:szCs w:val="24"/>
        </w:rPr>
        <w:t xml:space="preserve">998 · Una chiave si dichiara, non si dimostra.</w:t>
      </w:r>
      <w:r>
        <w:rPr>
          <w:rFonts w:ascii="Barlow Semi Condensed" w:cs="Barlow Semi Condensed" w:eastAsia="Barlow Semi Condensed" w:hAnsi="Barlow Semi Condensed"/>
          <w:sz w:val="24"/>
          <w:szCs w:val="24"/>
        </w:rPr>
        <w:t xml:space="preserve"> Il vizio da nominare è la circolarità: scegliere una chiave, costruire con essa la selezione dei materiali, e poi presentare i materiali selezionati come conferma della chiave. Quest'opera evita il vizio con una rinuncia esplicita: la continuità fra il meridiano e la valle non è tesi dimostrata da alcun blocco, è la ragione per cui certi archivi sono stati interrogati anziché altri. Il lettore è libero di respingerla e di tenere i risultati.</w:t>
      </w:r>
    </w:p>
    <w:p>
      <w:pPr>
        <w:spacing w:after="120" w:line="276"/>
        <w:jc w:val="both"/>
      </w:pPr>
      <w:r>
        <w:rPr>
          <w:rFonts w:ascii="Barlow Semi Condensed" w:cs="Barlow Semi Condensed" w:eastAsia="Barlow Semi Condensed" w:hAnsi="Barlow Semi Condensed"/>
          <w:b/>
          <w:bCs/>
          <w:sz w:val="24"/>
          <w:szCs w:val="24"/>
        </w:rPr>
        <w:t xml:space="preserve">999 · Che cosa smentirebbe l'intera opera.</w:t>
      </w:r>
      <w:r>
        <w:rPr>
          <w:rFonts w:ascii="Barlow Semi Condensed" w:cs="Barlow Semi Condensed" w:eastAsia="Barlow Semi Condensed" w:hAnsi="Barlow Semi Condensed"/>
          <w:sz w:val="24"/>
          <w:szCs w:val="24"/>
        </w:rPr>
        <w:t xml:space="preserve"> L'opera si dichiara falsificabile in un punto solo e preciso: se emergesse un documento di provenienza che nomini una controparte e attesti un rapporto diretto — un atto d'ufficio, un contratto, una lettera protocollata — fra apparati del regime sudafricano e la formazione delle imprese californiane qui trattate, la cautela di questa serie andrebbe rivista al piano uno. Nessun blocco lo ha trovato. Trovarlo sarebbe un progresso, non una sconfitta.</w:t>
      </w:r>
    </w:p>
    <w:p>
      <w:pPr>
        <w:spacing w:after="120" w:line="276"/>
        <w:jc w:val="both"/>
      </w:pPr>
      <w:r>
        <w:rPr>
          <w:rFonts w:ascii="Barlow Semi Condensed" w:cs="Barlow Semi Condensed" w:eastAsia="Barlow Semi Condensed" w:hAnsi="Barlow Semi Condensed"/>
          <w:b/>
          <w:bCs/>
          <w:sz w:val="24"/>
          <w:szCs w:val="24"/>
        </w:rPr>
        <w:t xml:space="preserve">1000 · Il limite, e ciò che resta.</w:t>
      </w:r>
      <w:r>
        <w:rPr>
          <w:rFonts w:ascii="Barlow Semi Condensed" w:cs="Barlow Semi Condensed" w:eastAsia="Barlow Semi Condensed" w:hAnsi="Barlow Semi Condensed"/>
          <w:sz w:val="24"/>
          <w:szCs w:val="24"/>
        </w:rPr>
        <w:t xml:space="preserve"> Restano i documenti, che c'erano prima di questa lettura e ci saranno dopo; restano i gradi dichiarati; restano gli Stati Zero, che sono il vero patrimonio del lavoro. Cade, se cade, soltanto la chiave del titolo, e cadendo non porta via nulla. Una responsabilità non si trasmette per sangue, per passaporto o per luogo di nascita. La colpa non si eredita. Il fascicolo resta aperto, e nessun nome vi è iscritto.</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Che cosa quest'opera non ha stabilito</w:t>
      </w:r>
    </w:p>
    <w:p>
      <w:pPr>
        <w:spacing w:after="120" w:line="276"/>
        <w:jc w:val="both"/>
      </w:pPr>
      <w:r>
        <w:rPr>
          <w:rFonts w:ascii="Barlow Semi Condensed" w:cs="Barlow Semi Condensed" w:eastAsia="Barlow Semi Condensed" w:hAnsi="Barlow Semi Condensed"/>
          <w:sz w:val="24"/>
          <w:szCs w:val="24"/>
        </w:rPr>
        <w:t xml:space="preserve">Va detto con la stessa nettezza dei mille bersagli, e va detto prima della riga di chiusura, perché è la parte che il lettore frettoloso salta e il committente ha diritto di trovare per prima. Vale qui più che in ogni altra opera del corpus, perché qui i soggetti sono </w:t>
      </w:r>
      <w:r>
        <w:rPr>
          <w:rFonts w:ascii="Barlow Semi Condensed" w:cs="Barlow Semi Condensed" w:eastAsia="Barlow Semi Condensed" w:hAnsi="Barlow Semi Condensed"/>
          <w:b/>
          <w:bCs/>
          <w:sz w:val="24"/>
          <w:szCs w:val="24"/>
        </w:rPr>
        <w:t xml:space="preserve">vivi</w:t>
      </w:r>
      <w:r>
        <w:rPr>
          <w:rFonts w:ascii="Barlow Semi Condensed" w:cs="Barlow Semi Condensed" w:eastAsia="Barlow Semi Condensed" w:hAnsi="Barlow Semi Condensed"/>
          <w:sz w:val="24"/>
          <w:szCs w:val="24"/>
        </w:rPr>
        <w:t xml:space="preserve"> e possono essere danneggiati da una lettura sbagliata di ciò che segue.</w:t>
      </w:r>
    </w:p>
    <w:p>
      <w:pPr>
        <w:spacing w:after="120" w:line="276"/>
        <w:jc w:val="both"/>
      </w:pPr>
      <w:r>
        <w:rPr>
          <w:rFonts w:ascii="Barlow Semi Condensed" w:cs="Barlow Semi Condensed" w:eastAsia="Barlow Semi Condensed" w:hAnsi="Barlow Semi Condensed"/>
          <w:b/>
          <w:bCs/>
          <w:sz w:val="24"/>
          <w:szCs w:val="24"/>
        </w:rPr>
        <w:t xml:space="preserve">Non è stabilito che la continuità esista.</w:t>
      </w:r>
      <w:r>
        <w:rPr>
          <w:rFonts w:ascii="Barlow Semi Condensed" w:cs="Barlow Semi Condensed" w:eastAsia="Barlow Semi Condensed" w:hAnsi="Barlow Semi Condensed"/>
          <w:sz w:val="24"/>
          <w:szCs w:val="24"/>
        </w:rPr>
        <w:t xml:space="preserve"> Era l'ipotesi da mettere alla prova, e il risultato della prova è che essa </w:t>
      </w:r>
      <w:r>
        <w:rPr>
          <w:rFonts w:ascii="Barlow Semi Condensed" w:cs="Barlow Semi Condensed" w:eastAsia="Barlow Semi Condensed" w:hAnsi="Barlow Semi Condensed"/>
          <w:b/>
          <w:bCs/>
          <w:sz w:val="24"/>
          <w:szCs w:val="24"/>
        </w:rPr>
        <w:t xml:space="preserve">regge sui fatti biografici e non regge sui documenti di trasmissione</w:t>
      </w:r>
      <w:r>
        <w:rPr>
          <w:rFonts w:ascii="Barlow Semi Condensed" w:cs="Barlow Semi Condensed" w:eastAsia="Barlow Semi Condensed" w:hAnsi="Barlow Semi Condensed"/>
          <w:sz w:val="24"/>
          <w:szCs w:val="24"/>
        </w:rPr>
        <w:t xml:space="preserve">. Che alcune delle persone qui nominate siano nate o cresciute nell'Africa australe sotto un regime segregazionista è un fatto pubblico, verificabile, e verificato. Che da questo discenda una trasmissione di dottrina, di metodo o di intenzione è un'ipotesi che </w:t>
      </w:r>
      <w:r>
        <w:rPr>
          <w:rFonts w:ascii="Barlow Semi Condensed" w:cs="Barlow Semi Condensed" w:eastAsia="Barlow Semi Condensed" w:hAnsi="Barlow Semi Condensed"/>
          <w:b/>
          <w:bCs/>
          <w:sz w:val="24"/>
          <w:szCs w:val="24"/>
        </w:rPr>
        <w:t xml:space="preserve">nessun documento di provenienza reperito sostiene</w:t>
      </w:r>
      <w:r>
        <w:rPr>
          <w:rFonts w:ascii="Barlow Semi Condensed" w:cs="Barlow Semi Condensed" w:eastAsia="Barlow Semi Condensed" w:hAnsi="Barlow Semi Condensed"/>
          <w:sz w:val="24"/>
          <w:szCs w:val="24"/>
        </w:rPr>
        <w:t xml:space="preserve">. Chi volesse chiuderla dovrà portare quel documento; questa opera ha detto in quali sedi cercarlo, ed è il massimo che poteva fare.</w:t>
      </w:r>
    </w:p>
    <w:p>
      <w:pPr>
        <w:spacing w:after="120" w:line="276"/>
        <w:jc w:val="both"/>
      </w:pPr>
      <w:r>
        <w:rPr>
          <w:rFonts w:ascii="Barlow Semi Condensed" w:cs="Barlow Semi Condensed" w:eastAsia="Barlow Semi Condensed" w:hAnsi="Barlow Semi Condensed"/>
          <w:b/>
          <w:bCs/>
          <w:sz w:val="24"/>
          <w:szCs w:val="24"/>
        </w:rPr>
        <w:t xml:space="preserve">Non è stabilito nulla per via di parentela.</w:t>
      </w:r>
      <w:r>
        <w:rPr>
          <w:rFonts w:ascii="Barlow Semi Condensed" w:cs="Barlow Semi Condensed" w:eastAsia="Barlow Semi Condensed" w:hAnsi="Barlow Semi Condensed"/>
          <w:sz w:val="24"/>
          <w:szCs w:val="24"/>
        </w:rPr>
        <w:t xml:space="preserve"> Il legame fra Roelof Botha e Pik Botha è documentato ed è piano 1 — ma è piano 1 </w:t>
      </w:r>
      <w:r>
        <w:rPr>
          <w:rFonts w:ascii="Barlow Semi Condensed" w:cs="Barlow Semi Condensed" w:eastAsia="Barlow Semi Condensed" w:hAnsi="Barlow Semi Condensed"/>
          <w:b/>
          <w:bCs/>
          <w:sz w:val="24"/>
          <w:szCs w:val="24"/>
        </w:rPr>
        <w:t xml:space="preserve">come parentela</w:t>
      </w:r>
      <w:r>
        <w:rPr>
          <w:rFonts w:ascii="Barlow Semi Condensed" w:cs="Barlow Semi Condensed" w:eastAsia="Barlow Semi Condensed" w:hAnsi="Barlow Semi Condensed"/>
          <w:sz w:val="24"/>
          <w:szCs w:val="24"/>
        </w:rPr>
        <w:t xml:space="preserve">, non come nesso di condotta, e i due statuti non vanno mai confusi. Un nipote non è responsabile della politica estera di suo nonno, come un nonno non è responsabile degli investimenti di suo nipote. La quarta serie esiste per stabilire il fatto genealogico; la tredicesima esiste per impedirne l'abuso.</w:t>
      </w:r>
    </w:p>
    <w:p>
      <w:pPr>
        <w:spacing w:after="120" w:line="276"/>
        <w:jc w:val="both"/>
      </w:pPr>
      <w:r>
        <w:rPr>
          <w:rFonts w:ascii="Barlow Semi Condensed" w:cs="Barlow Semi Condensed" w:eastAsia="Barlow Semi Condensed" w:hAnsi="Barlow Semi Condensed"/>
          <w:b/>
          <w:bCs/>
          <w:sz w:val="24"/>
          <w:szCs w:val="24"/>
        </w:rPr>
        <w:t xml:space="preserve">Non è stabilito che un'opinione si erediti.</w:t>
      </w:r>
      <w:r>
        <w:rPr>
          <w:rFonts w:ascii="Barlow Semi Condensed" w:cs="Barlow Semi Condensed" w:eastAsia="Barlow Semi Condensed" w:hAnsi="Barlow Semi Condensed"/>
          <w:sz w:val="24"/>
          <w:szCs w:val="24"/>
        </w:rPr>
        <w:t xml:space="preserve"> Le posizioni pubblicamente espresse da Joshua Haldeman sono documentate e sono ripugnanti. </w:t>
      </w:r>
      <w:r>
        <w:rPr>
          <w:rFonts w:ascii="Barlow Semi Condensed" w:cs="Barlow Semi Condensed" w:eastAsia="Barlow Semi Condensed" w:hAnsi="Barlow Semi Condensed"/>
          <w:b/>
          <w:bCs/>
          <w:sz w:val="24"/>
          <w:szCs w:val="24"/>
        </w:rPr>
        <w:t xml:space="preserve">Non appartengono a nessuno dei suoi discendenti</w:t>
      </w:r>
      <w:r>
        <w:rPr>
          <w:rFonts w:ascii="Barlow Semi Condensed" w:cs="Barlow Semi Condensed" w:eastAsia="Barlow Semi Condensed" w:hAnsi="Barlow Semi Condensed"/>
          <w:sz w:val="24"/>
          <w:szCs w:val="24"/>
        </w:rPr>
        <w:t xml:space="preserve"> finché non siano da questi sottoscritte, e nessun blocco di quest'opera le attribuisce ad alcuno. Chi le usasse come argomento contro un vivente avrebbe compiuto esattamente l'inferenza che l'intera architettura dei tre piani serve a rendere impossibile.</w:t>
      </w:r>
    </w:p>
    <w:p>
      <w:pPr>
        <w:spacing w:after="120" w:line="276"/>
        <w:jc w:val="both"/>
      </w:pPr>
      <w:r>
        <w:rPr>
          <w:rFonts w:ascii="Barlow Semi Condensed" w:cs="Barlow Semi Condensed" w:eastAsia="Barlow Semi Condensed" w:hAnsi="Barlow Semi Condensed"/>
          <w:b/>
          <w:bCs/>
          <w:sz w:val="24"/>
          <w:szCs w:val="24"/>
        </w:rPr>
        <w:t xml:space="preserve">Non è stabilito che «la PayPal Mafia» abbia fatto alcunché.</w:t>
      </w:r>
      <w:r>
        <w:rPr>
          <w:rFonts w:ascii="Barlow Semi Condensed" w:cs="Barlow Semi Condensed" w:eastAsia="Barlow Semi Condensed" w:hAnsi="Barlow Semi Condensed"/>
          <w:sz w:val="24"/>
          <w:szCs w:val="24"/>
        </w:rPr>
        <w:t xml:space="preserve"> Non è un ente: è una locuzione giornalistica del novembre 2007, nata da una fotografia alla quale uno dei due nomi centrali della domanda del committente non partecipò. Un gruppo che non ha atto costitutivo non ha volontà, non ha delibere e non ha condotte. Le persone sì, una per una, e per fatti documentati.</w:t>
      </w:r>
    </w:p>
    <w:p>
      <w:pPr>
        <w:spacing w:after="120" w:line="276"/>
        <w:jc w:val="both"/>
      </w:pPr>
      <w:r>
        <w:rPr>
          <w:rFonts w:ascii="Barlow Semi Condensed" w:cs="Barlow Semi Condensed" w:eastAsia="Barlow Semi Condensed" w:hAnsi="Barlow Semi Condensed"/>
          <w:b/>
          <w:bCs/>
          <w:sz w:val="24"/>
          <w:szCs w:val="24"/>
        </w:rPr>
        <w:t xml:space="preserve">Non è stabilito che la somiglianza fra due ambienti provi un passaggio fra loro.</w:t>
      </w:r>
      <w:r>
        <w:rPr>
          <w:rFonts w:ascii="Barlow Semi Condensed" w:cs="Barlow Semi Condensed" w:eastAsia="Barlow Semi Condensed" w:hAnsi="Barlow Semi Condensed"/>
          <w:sz w:val="24"/>
          <w:szCs w:val="24"/>
        </w:rPr>
        <w:t xml:space="preserve"> È il risultato metodologico più importante dell'opera e discende dalla distinzione fra omologia e analogia: che un ordinamento fondato sulla separazione e una cultura d'impresa fondata sull'uscita condividano qualche forma non prova che l'una discenda dall'altro. La forma condivisa può essere una convergenza indipendente in ambienti simili — piano 2 — e finché il documento manca, piano 2 resta.</w:t>
      </w:r>
    </w:p>
    <w:p>
      <w:pPr>
        <w:spacing w:after="120" w:line="276"/>
        <w:jc w:val="both"/>
      </w:pPr>
      <w:r>
        <w:rPr>
          <w:rFonts w:ascii="Barlow Semi Condensed" w:cs="Barlow Semi Condensed" w:eastAsia="Barlow Semi Condensed" w:hAnsi="Barlow Semi Condensed"/>
          <w:b/>
          <w:bCs/>
          <w:sz w:val="24"/>
          <w:szCs w:val="24"/>
        </w:rPr>
        <w:t xml:space="preserve">E non è stabilito che la lente fosse necessaria.</w:t>
      </w:r>
      <w:r>
        <w:rPr>
          <w:rFonts w:ascii="Barlow Semi Condensed" w:cs="Barlow Semi Condensed" w:eastAsia="Barlow Semi Condensed" w:hAnsi="Barlow Semi Condensed"/>
          <w:sz w:val="24"/>
          <w:szCs w:val="24"/>
        </w:rPr>
        <w:t xml:space="preserve"> Se domani si togliesse la tesi di continuità da queste pagine, resterebbero gli atti, i gradi, le sedi d'archivio e gli Stati Zero: cioè tutto ciò che conta. </w:t>
      </w:r>
      <w:r>
        <w:rPr>
          <w:rFonts w:ascii="Barlow Semi Condensed" w:cs="Barlow Semi Condensed" w:eastAsia="Barlow Semi Condensed" w:hAnsi="Barlow Semi Condensed"/>
          <w:b/>
          <w:bCs/>
          <w:sz w:val="24"/>
          <w:szCs w:val="24"/>
        </w:rPr>
        <w:t xml:space="preserve">Una chiave interpretativa si dichiara in copertina e non si dimostra col testo</w:t>
      </w:r>
      <w:r>
        <w:rPr>
          <w:rFonts w:ascii="Barlow Semi Condensed" w:cs="Barlow Semi Condensed" w:eastAsia="Barlow Semi Condensed" w:hAnsi="Barlow Semi Condensed"/>
          <w:sz w:val="24"/>
          <w:szCs w:val="24"/>
        </w:rPr>
        <w:t xml:space="preserve"> — e la prova che questa è stata usata bene è che il testo regge anche senza di essa, e che chi la volesse rovesciare troverebbe qui, già scritti, i bersagli per farlo.</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Apparato M — Le verifiche</w:t>
      </w:r>
    </w:p>
    <w:p>
      <w:pPr>
        <w:spacing w:after="120" w:line="276"/>
        <w:jc w:val="both"/>
      </w:pPr>
      <w:r>
        <w:rPr>
          <w:rFonts w:ascii="Barlow Semi Condensed" w:cs="Barlow Semi Condensed" w:eastAsia="Barlow Semi Condensed" w:hAnsi="Barlow Semi Condensed"/>
          <w:sz w:val="24"/>
          <w:szCs w:val="24"/>
        </w:rPr>
        <w:t xml:space="preserve">I fatti su cui quest'opera poggia sono stati sottoposti a </w:t>
      </w:r>
      <w:r>
        <w:rPr>
          <w:rFonts w:ascii="Barlow Semi Condensed" w:cs="Barlow Semi Condensed" w:eastAsia="Barlow Semi Condensed" w:hAnsi="Barlow Semi Condensed"/>
          <w:b/>
          <w:bCs/>
          <w:sz w:val="24"/>
          <w:szCs w:val="24"/>
        </w:rPr>
        <w:t xml:space="preserve">verifica indipendente su fonti esterne</w:t>
      </w:r>
      <w:r>
        <w:rPr>
          <w:rFonts w:ascii="Barlow Semi Condensed" w:cs="Barlow Semi Condensed" w:eastAsia="Barlow Semi Condensed" w:hAnsi="Barlow Semi Condensed"/>
          <w:sz w:val="24"/>
          <w:szCs w:val="24"/>
        </w:rPr>
        <w:t xml:space="preserve">, prima e durante la stesura. Si registrano qui gli esiti, comprese — anzi soprattutto — le rettifiche, secondo la regola del corpus che corregge per nota e non riscrive in silenzio.</w:t>
      </w:r>
    </w:p>
    <w:p>
      <w:pPr>
        <w:pStyle w:val="Heading3"/>
        <w:spacing w:after="80" w:before="160"/>
      </w:pPr>
      <w:r>
        <w:rPr>
          <w:rFonts w:ascii="Barlow Semi Condensed" w:cs="Barlow Semi Condensed" w:eastAsia="Barlow Semi Condensed" w:hAnsi="Barlow Semi Condensed"/>
          <w:sz w:val="24"/>
          <w:szCs w:val="24"/>
        </w:rPr>
        <w:t xml:space="preserve">M-1 · Gli ancoraggi confermati</w:t>
      </w:r>
    </w:p>
    <w:p>
      <w:pPr>
        <w:spacing w:after="120" w:line="276"/>
        <w:jc w:val="both"/>
      </w:pPr>
      <w:r>
        <w:rPr>
          <w:rFonts w:ascii="Barlow Semi Condensed" w:cs="Barlow Semi Condensed" w:eastAsia="Barlow Semi Condensed" w:hAnsi="Barlow Semi Condensed"/>
          <w:b/>
          <w:bCs/>
          <w:sz w:val="24"/>
          <w:szCs w:val="24"/>
        </w:rPr>
        <w:t xml:space="preserve">Confermata</w:t>
      </w:r>
      <w:r>
        <w:rPr>
          <w:rFonts w:ascii="Barlow Semi Condensed" w:cs="Barlow Semi Condensed" w:eastAsia="Barlow Semi Condensed" w:hAnsi="Barlow Semi Condensed"/>
          <w:sz w:val="24"/>
          <w:szCs w:val="24"/>
        </w:rPr>
        <w:t xml:space="preserve"> la parentela fra </w:t>
      </w:r>
      <w:r>
        <w:rPr>
          <w:rFonts w:ascii="Barlow Semi Condensed" w:cs="Barlow Semi Condensed" w:eastAsia="Barlow Semi Condensed" w:hAnsi="Barlow Semi Condensed"/>
          <w:b/>
          <w:bCs/>
          <w:sz w:val="24"/>
          <w:szCs w:val="24"/>
        </w:rPr>
        <w:t xml:space="preserve">Roelof Botha</w:t>
      </w:r>
      <w:r>
        <w:rPr>
          <w:rFonts w:ascii="Barlow Semi Condensed" w:cs="Barlow Semi Condensed" w:eastAsia="Barlow Semi Condensed" w:hAnsi="Barlow Semi Condensed"/>
          <w:sz w:val="24"/>
          <w:szCs w:val="24"/>
        </w:rPr>
        <w:t xml:space="preserve">, direttore finanziario di PayPal e poi socio e managing partner di Sequoia Capital, e </w:t>
      </w:r>
      <w:r>
        <w:rPr>
          <w:rFonts w:ascii="Barlow Semi Condensed" w:cs="Barlow Semi Condensed" w:eastAsia="Barlow Semi Condensed" w:hAnsi="Barlow Semi Condensed"/>
          <w:b/>
          <w:bCs/>
          <w:sz w:val="24"/>
          <w:szCs w:val="24"/>
        </w:rPr>
        <w:t xml:space="preserve">Pik Botha</w:t>
      </w:r>
      <w:r>
        <w:rPr>
          <w:rFonts w:ascii="Barlow Semi Condensed" w:cs="Barlow Semi Condensed" w:eastAsia="Barlow Semi Condensed" w:hAnsi="Barlow Semi Condensed"/>
          <w:sz w:val="24"/>
          <w:szCs w:val="24"/>
        </w:rPr>
        <w:t xml:space="preserve"> — Roelof Frederik Botha, ministro degli Esteri sudafricano dal 1977 al 1994, il più longevo della storia del Paese, poi ministro delle Miniere e dell'Energia nel primo governo Mandela. È il solo </w:t>
      </w:r>
      <w:r>
        <w:rPr>
          <w:rFonts w:ascii="Barlow Semi Condensed" w:cs="Barlow Semi Condensed" w:eastAsia="Barlow Semi Condensed" w:hAnsi="Barlow Semi Condensed"/>
          <w:b/>
          <w:bCs/>
          <w:sz w:val="24"/>
          <w:szCs w:val="24"/>
        </w:rPr>
        <w:t xml:space="preserve">piano 1</w:t>
      </w:r>
      <w:r>
        <w:rPr>
          <w:rFonts w:ascii="Barlow Semi Condensed" w:cs="Barlow Semi Condensed" w:eastAsia="Barlow Semi Condensed" w:hAnsi="Barlow Semi Condensed"/>
          <w:sz w:val="24"/>
          <w:szCs w:val="24"/>
        </w:rPr>
        <w:t xml:space="preserve"> dell'intera opera, e resta parentela: non nesso di condotta.</w:t>
      </w:r>
    </w:p>
    <w:p>
      <w:pPr>
        <w:spacing w:after="120" w:line="276"/>
        <w:jc w:val="both"/>
      </w:pPr>
      <w:r>
        <w:rPr>
          <w:rFonts w:ascii="Barlow Semi Condensed" w:cs="Barlow Semi Condensed" w:eastAsia="Barlow Semi Condensed" w:hAnsi="Barlow Semi Condensed"/>
          <w:b/>
          <w:bCs/>
          <w:sz w:val="24"/>
          <w:szCs w:val="24"/>
        </w:rPr>
        <w:t xml:space="preserve">Confermata</w:t>
      </w:r>
      <w:r>
        <w:rPr>
          <w:rFonts w:ascii="Barlow Semi Condensed" w:cs="Barlow Semi Condensed" w:eastAsia="Barlow Semi Condensed" w:hAnsi="Barlow Semi Condensed"/>
          <w:sz w:val="24"/>
          <w:szCs w:val="24"/>
        </w:rPr>
        <w:t xml:space="preserve"> la permanenza della famiglia </w:t>
      </w:r>
      <w:r>
        <w:rPr>
          <w:rFonts w:ascii="Barlow Semi Condensed" w:cs="Barlow Semi Condensed" w:eastAsia="Barlow Semi Condensed" w:hAnsi="Barlow Semi Condensed"/>
          <w:b/>
          <w:bCs/>
          <w:sz w:val="24"/>
          <w:szCs w:val="24"/>
        </w:rPr>
        <w:t xml:space="preserve">Thiel</w:t>
      </w:r>
      <w:r>
        <w:rPr>
          <w:rFonts w:ascii="Barlow Semi Condensed" w:cs="Barlow Semi Condensed" w:eastAsia="Barlow Semi Condensed" w:hAnsi="Barlow Semi Condensed"/>
          <w:sz w:val="24"/>
          <w:szCs w:val="24"/>
        </w:rPr>
        <w:t xml:space="preserve"> a Swakopmund, nell'Africa del Sud-Ovest allora amministrata dal Sud Africa, negli anni della costruzione della miniera di uranio di Rössing, col padre ingegnere chimico impiegato da un'impresa del cantiere. </w:t>
      </w:r>
      <w:r>
        <w:rPr>
          <w:rFonts w:ascii="Barlow Semi Condensed" w:cs="Barlow Semi Condensed" w:eastAsia="Barlow Semi Condensed" w:hAnsi="Barlow Semi Condensed"/>
          <w:b/>
          <w:bCs/>
          <w:sz w:val="24"/>
          <w:szCs w:val="24"/>
        </w:rPr>
        <w:t xml:space="preserve">Non confermata</w:t>
      </w:r>
      <w:r>
        <w:rPr>
          <w:rFonts w:ascii="Barlow Semi Condensed" w:cs="Barlow Semi Condensed" w:eastAsia="Barlow Semi Condensed" w:hAnsi="Barlow Semi Condensed"/>
          <w:sz w:val="24"/>
          <w:szCs w:val="24"/>
        </w:rPr>
        <w:t xml:space="preserve"> — e qualificata come </w:t>
      </w:r>
      <w:r>
        <w:rPr>
          <w:rFonts w:ascii="Barlow Semi Condensed" w:cs="Barlow Semi Condensed" w:eastAsia="Barlow Semi Condensed" w:hAnsi="Barlow Semi Condensed"/>
          <w:b/>
          <w:bCs/>
          <w:sz w:val="24"/>
          <w:szCs w:val="24"/>
        </w:rPr>
        <w:t xml:space="preserve">piano 3</w:t>
      </w:r>
      <w:r>
        <w:rPr>
          <w:rFonts w:ascii="Barlow Semi Condensed" w:cs="Barlow Semi Condensed" w:eastAsia="Barlow Semi Condensed" w:hAnsi="Barlow Semi Condensed"/>
          <w:sz w:val="24"/>
          <w:szCs w:val="24"/>
        </w:rPr>
        <w:t xml:space="preserve"> — la tesi, circolante su fonti militanti, che Rössing servisse il programma nucleare militare sudafricano: circola in forma pressoché identica su decine di siti senza che alcuno produca un documento.</w:t>
      </w:r>
    </w:p>
    <w:p>
      <w:pPr>
        <w:spacing w:after="120" w:line="276"/>
        <w:jc w:val="both"/>
      </w:pPr>
      <w:r>
        <w:rPr>
          <w:rFonts w:ascii="Barlow Semi Condensed" w:cs="Barlow Semi Condensed" w:eastAsia="Barlow Semi Condensed" w:hAnsi="Barlow Semi Condensed"/>
          <w:b/>
          <w:bCs/>
          <w:sz w:val="24"/>
          <w:szCs w:val="24"/>
        </w:rPr>
        <w:t xml:space="preserve">Confermate</w:t>
      </w:r>
      <w:r>
        <w:rPr>
          <w:rFonts w:ascii="Barlow Semi Condensed" w:cs="Barlow Semi Condensed" w:eastAsia="Barlow Semi Condensed" w:hAnsi="Barlow Semi Condensed"/>
          <w:sz w:val="24"/>
          <w:szCs w:val="24"/>
        </w:rPr>
        <w:t xml:space="preserve"> l'adesione di </w:t>
      </w:r>
      <w:r>
        <w:rPr>
          <w:rFonts w:ascii="Barlow Semi Condensed" w:cs="Barlow Semi Condensed" w:eastAsia="Barlow Semi Condensed" w:hAnsi="Barlow Semi Condensed"/>
          <w:b/>
          <w:bCs/>
          <w:sz w:val="24"/>
          <w:szCs w:val="24"/>
        </w:rPr>
        <w:t xml:space="preserve">Joshua Norman Haldeman</w:t>
      </w:r>
      <w:r>
        <w:rPr>
          <w:rFonts w:ascii="Barlow Semi Condensed" w:cs="Barlow Semi Condensed" w:eastAsia="Barlow Semi Condensed" w:hAnsi="Barlow Semi Condensed"/>
          <w:sz w:val="24"/>
          <w:szCs w:val="24"/>
        </w:rPr>
        <w:t xml:space="preserve"> al movimento Technocracy, l'emigrazione in Sud Africa nel 1950 e il sostegno pubblico all'apartheid, con posizioni razziste e antisemite ripetutamente espresse; fonte citabile, l'inchiesta della CBC. </w:t>
      </w:r>
      <w:r>
        <w:rPr>
          <w:rFonts w:ascii="Barlow Semi Condensed" w:cs="Barlow Semi Condensed" w:eastAsia="Barlow Semi Condensed" w:hAnsi="Barlow Semi Condensed"/>
          <w:b/>
          <w:bCs/>
          <w:sz w:val="24"/>
          <w:szCs w:val="24"/>
        </w:rPr>
        <w:t xml:space="preserve">Stato Zero verificato</w:t>
      </w:r>
      <w:r>
        <w:rPr>
          <w:rFonts w:ascii="Barlow Semi Condensed" w:cs="Barlow Semi Condensed" w:eastAsia="Barlow Semi Condensed" w:hAnsi="Barlow Semi Condensed"/>
          <w:sz w:val="24"/>
          <w:szCs w:val="24"/>
        </w:rPr>
        <w:t xml:space="preserve"> sull'appartenenza a partiti nazisti: nessuna prova reperita — che non è un'assoluzione morale né un'accusa smentita a metà.</w:t>
      </w:r>
    </w:p>
    <w:p>
      <w:pPr>
        <w:spacing w:after="120" w:line="276"/>
        <w:jc w:val="both"/>
      </w:pPr>
      <w:r>
        <w:rPr>
          <w:rFonts w:ascii="Barlow Semi Condensed" w:cs="Barlow Semi Condensed" w:eastAsia="Barlow Semi Condensed" w:hAnsi="Barlow Semi Condensed"/>
          <w:b/>
          <w:bCs/>
          <w:sz w:val="24"/>
          <w:szCs w:val="24"/>
        </w:rPr>
        <w:t xml:space="preserve">Confermata</w:t>
      </w:r>
      <w:r>
        <w:rPr>
          <w:rFonts w:ascii="Barlow Semi Condensed" w:cs="Barlow Semi Condensed" w:eastAsia="Barlow Semi Condensed" w:hAnsi="Barlow Semi Condensed"/>
          <w:sz w:val="24"/>
          <w:szCs w:val="24"/>
        </w:rPr>
        <w:t xml:space="preserve"> l'origine giornalistica della locuzione </w:t>
      </w:r>
      <w:r>
        <w:rPr>
          <w:rFonts w:ascii="Barlow Semi Condensed" w:cs="Barlow Semi Condensed" w:eastAsia="Barlow Semi Condensed" w:hAnsi="Barlow Semi Condensed"/>
          <w:b/>
          <w:bCs/>
          <w:sz w:val="24"/>
          <w:szCs w:val="24"/>
        </w:rPr>
        <w:t xml:space="preserve">«PayPal Mafia»</w:t>
      </w:r>
      <w:r>
        <w:rPr>
          <w:rFonts w:ascii="Barlow Semi Condensed" w:cs="Barlow Semi Condensed" w:eastAsia="Barlow Semi Condensed" w:hAnsi="Barlow Semi Condensed"/>
          <w:sz w:val="24"/>
          <w:szCs w:val="24"/>
        </w:rPr>
        <w:t xml:space="preserve">: un servizio di copertina di </w:t>
      </w:r>
      <w:r>
        <w:rPr>
          <w:rFonts w:ascii="Barlow Semi Condensed" w:cs="Barlow Semi Condensed" w:eastAsia="Barlow Semi Condensed" w:hAnsi="Barlow Semi Condensed"/>
          <w:i/>
          <w:iCs/>
          <w:sz w:val="24"/>
          <w:szCs w:val="24"/>
        </w:rPr>
        <w:t xml:space="preserve">Fortune</w:t>
      </w:r>
      <w:r>
        <w:rPr>
          <w:rFonts w:ascii="Barlow Semi Condensed" w:cs="Barlow Semi Condensed" w:eastAsia="Barlow Semi Condensed" w:hAnsi="Barlow Semi Condensed"/>
          <w:sz w:val="24"/>
          <w:szCs w:val="24"/>
        </w:rPr>
        <w:t xml:space="preserve"> del novembre 2007, con fotografia di gruppo al Tosca di San Francisco. </w:t>
      </w:r>
      <w:r>
        <w:rPr>
          <w:rFonts w:ascii="Barlow Semi Condensed" w:cs="Barlow Semi Condensed" w:eastAsia="Barlow Semi Condensed" w:hAnsi="Barlow Semi Condensed"/>
          <w:b/>
          <w:bCs/>
          <w:sz w:val="24"/>
          <w:szCs w:val="24"/>
        </w:rPr>
        <w:t xml:space="preserve">Elon Musk non partecipò</w:t>
      </w:r>
      <w:r>
        <w:rPr>
          <w:rFonts w:ascii="Barlow Semi Condensed" w:cs="Barlow Semi Condensed" w:eastAsia="Barlow Semi Condensed" w:hAnsi="Barlow Semi Condensed"/>
          <w:sz w:val="24"/>
          <w:szCs w:val="24"/>
        </w:rPr>
        <w:t xml:space="preserve"> a quella fotografia. Non è un ente con atto costitutivo.</w:t>
      </w:r>
    </w:p>
    <w:p>
      <w:pPr>
        <w:spacing w:after="120" w:line="276"/>
        <w:jc w:val="both"/>
      </w:pPr>
      <w:r>
        <w:rPr>
          <w:rFonts w:ascii="Barlow Semi Condensed" w:cs="Barlow Semi Condensed" w:eastAsia="Barlow Semi Condensed" w:hAnsi="Barlow Semi Condensed"/>
          <w:b/>
          <w:bCs/>
          <w:sz w:val="24"/>
          <w:szCs w:val="24"/>
        </w:rPr>
        <w:t xml:space="preserve">Divergenza non sciolta</w:t>
      </w:r>
      <w:r>
        <w:rPr>
          <w:rFonts w:ascii="Barlow Semi Condensed" w:cs="Barlow Semi Condensed" w:eastAsia="Barlow Semi Condensed" w:hAnsi="Barlow Semi Condensed"/>
          <w:sz w:val="24"/>
          <w:szCs w:val="24"/>
        </w:rPr>
        <w:t xml:space="preserve"> sulla miniera di smeraldi attribuita a Errol Musk: il padre rivendica un'attività informale in Zambia; Elon Musk ha pubblicamente negato che una miniera esistesse e ne ha chiesto la prova; il biografo Walter Isaacson descrive un'acquisizione informale di pietre grezze, non una proprietà mineraria. </w:t>
      </w:r>
      <w:r>
        <w:rPr>
          <w:rFonts w:ascii="Barlow Semi Condensed" w:cs="Barlow Semi Condensed" w:eastAsia="Barlow Semi Condensed" w:hAnsi="Barlow Semi Condensed"/>
          <w:b/>
          <w:bCs/>
          <w:sz w:val="24"/>
          <w:szCs w:val="24"/>
        </w:rPr>
        <w:t xml:space="preserve">Nessun documento di titolarità è mai emerso.</w:t>
      </w:r>
      <w:r>
        <w:rPr>
          <w:rFonts w:ascii="Barlow Semi Condensed" w:cs="Barlow Semi Condensed" w:eastAsia="Barlow Semi Condensed" w:hAnsi="Barlow Semi Condensed"/>
          <w:sz w:val="24"/>
          <w:szCs w:val="24"/>
        </w:rPr>
        <w:t xml:space="preserve"> Si riporta per intero e non si scioglie.</w:t>
      </w:r>
    </w:p>
    <w:p>
      <w:pPr>
        <w:pStyle w:val="Heading3"/>
        <w:spacing w:after="80" w:before="160"/>
      </w:pPr>
      <w:r>
        <w:rPr>
          <w:rFonts w:ascii="Barlow Semi Condensed" w:cs="Barlow Semi Condensed" w:eastAsia="Barlow Semi Condensed" w:hAnsi="Barlow Semi Condensed"/>
          <w:sz w:val="24"/>
          <w:szCs w:val="24"/>
        </w:rPr>
        <w:t xml:space="preserve">M-2 · La rettifica: la commissione Odendaal</w:t>
      </w:r>
    </w:p>
    <w:p>
      <w:pPr>
        <w:spacing w:after="120" w:line="276"/>
        <w:jc w:val="both"/>
      </w:pPr>
      <w:r>
        <w:rPr>
          <w:rFonts w:ascii="Barlow Semi Condensed" w:cs="Barlow Semi Condensed" w:eastAsia="Barlow Semi Condensed" w:hAnsi="Barlow Semi Condensed"/>
          <w:b/>
          <w:bCs/>
          <w:sz w:val="24"/>
          <w:szCs w:val="24"/>
        </w:rPr>
        <w:t xml:space="preserve">Il blocco 81 della terza serie è stato corretto in corso d'opera</w:t>
      </w:r>
      <w:r>
        <w:rPr>
          <w:rFonts w:ascii="Barlow Semi Condensed" w:cs="Barlow Semi Condensed" w:eastAsia="Barlow Semi Condensed" w:hAnsi="Barlow Semi Condensed"/>
          <w:sz w:val="24"/>
          <w:szCs w:val="24"/>
        </w:rPr>
        <w:t xml:space="preserve">, e la correzione va detta per intero perché tocca un punto di struttura.</w:t>
      </w:r>
    </w:p>
    <w:p>
      <w:pPr>
        <w:spacing w:after="120" w:line="276"/>
        <w:jc w:val="both"/>
      </w:pPr>
      <w:r>
        <w:rPr>
          <w:rFonts w:ascii="Barlow Semi Condensed" w:cs="Barlow Semi Condensed" w:eastAsia="Barlow Semi Condensed" w:hAnsi="Barlow Semi Condensed"/>
          <w:sz w:val="24"/>
          <w:szCs w:val="24"/>
        </w:rPr>
        <w:t xml:space="preserve">La stesura originaria attribuiva </w:t>
      </w:r>
      <w:r>
        <w:rPr>
          <w:rFonts w:ascii="Barlow Semi Condensed" w:cs="Barlow Semi Condensed" w:eastAsia="Barlow Semi Condensed" w:hAnsi="Barlow Semi Condensed"/>
          <w:b/>
          <w:bCs/>
          <w:sz w:val="24"/>
          <w:szCs w:val="24"/>
        </w:rPr>
        <w:t xml:space="preserve">all'amministrazione centrale</w:t>
      </w:r>
      <w:r>
        <w:rPr>
          <w:rFonts w:ascii="Barlow Semi Condensed" w:cs="Barlow Semi Condensed" w:eastAsia="Barlow Semi Condensed" w:hAnsi="Barlow Semi Condensed"/>
          <w:sz w:val="24"/>
          <w:szCs w:val="24"/>
        </w:rPr>
        <w:t xml:space="preserve"> le zone minerarie e costiere, Swakopmund compresa. La verifica esterna mostra che l'assetto era </w:t>
      </w:r>
      <w:r>
        <w:rPr>
          <w:rFonts w:ascii="Barlow Semi Condensed" w:cs="Barlow Semi Condensed" w:eastAsia="Barlow Semi Condensed" w:hAnsi="Barlow Semi Condensed"/>
          <w:b/>
          <w:bCs/>
          <w:sz w:val="24"/>
          <w:szCs w:val="24"/>
        </w:rPr>
        <w:t xml:space="preserve">rovesciato</w:t>
      </w:r>
      <w:r>
        <w:rPr>
          <w:rFonts w:ascii="Barlow Semi Condensed" w:cs="Barlow Semi Condensed" w:eastAsia="Barlow Semi Condensed" w:hAnsi="Barlow Semi Condensed"/>
          <w:sz w:val="24"/>
          <w:szCs w:val="24"/>
        </w:rPr>
        <w:t xml:space="preserve">: il rapporto Odendaal — indagine chiusa a fine 1963, esiti consegnati agli inizi del 1964 — riservava oltre metà del territorio, con quasi tutta la ricchezza mineraria e la fascia costiera, a un'</w:t>
      </w:r>
      <w:r>
        <w:rPr>
          <w:rFonts w:ascii="Barlow Semi Condensed" w:cs="Barlow Semi Condensed" w:eastAsia="Barlow Semi Condensed" w:hAnsi="Barlow Semi Condensed"/>
          <w:b/>
          <w:bCs/>
          <w:sz w:val="24"/>
          <w:szCs w:val="24"/>
        </w:rPr>
        <w:t xml:space="preserve">area bianca</w:t>
      </w:r>
      <w:r>
        <w:rPr>
          <w:rFonts w:ascii="Barlow Semi Condensed" w:cs="Barlow Semi Condensed" w:eastAsia="Barlow Semi Condensed" w:hAnsi="Barlow Semi Condensed"/>
          <w:sz w:val="24"/>
          <w:szCs w:val="24"/>
        </w:rPr>
        <w:t xml:space="preserve"> che conservava Amministratore, Comitato esecutivo e Assemblea legislativa territoriali, mentre erano i </w:t>
      </w:r>
      <w:r>
        <w:rPr>
          <w:rFonts w:ascii="Barlow Semi Condensed" w:cs="Barlow Semi Condensed" w:eastAsia="Barlow Semi Condensed" w:hAnsi="Barlow Semi Condensed"/>
          <w:b/>
          <w:bCs/>
          <w:sz w:val="24"/>
          <w:szCs w:val="24"/>
        </w:rPr>
        <w:t xml:space="preserve">dieci homeland etnici</w:t>
      </w:r>
      <w:r>
        <w:rPr>
          <w:rFonts w:ascii="Barlow Semi Condensed" w:cs="Barlow Semi Condensed" w:eastAsia="Barlow Semi Condensed" w:hAnsi="Barlow Semi Condensed"/>
          <w:sz w:val="24"/>
          <w:szCs w:val="24"/>
        </w:rPr>
        <w:t xml:space="preserve"> a passare alla trattazione diretta del governo centrale di Pretoria.</w:t>
      </w:r>
    </w:p>
    <w:p>
      <w:pPr>
        <w:spacing w:after="120" w:line="276"/>
        <w:jc w:val="both"/>
      </w:pPr>
      <w:r>
        <w:rPr>
          <w:rFonts w:ascii="Barlow Semi Condensed" w:cs="Barlow Semi Condensed" w:eastAsia="Barlow Semi Condensed" w:hAnsi="Barlow Semi Condensed"/>
          <w:b/>
          <w:bCs/>
          <w:sz w:val="24"/>
          <w:szCs w:val="24"/>
        </w:rPr>
        <w:t xml:space="preserve">La sostanza del blocco reggeva</w:t>
      </w:r>
      <w:r>
        <w:rPr>
          <w:rFonts w:ascii="Barlow Semi Condensed" w:cs="Barlow Semi Condensed" w:eastAsia="Barlow Semi Condensed" w:hAnsi="Barlow Semi Condensed"/>
          <w:sz w:val="24"/>
          <w:szCs w:val="24"/>
        </w:rPr>
        <w:t xml:space="preserve"> — le zone minerarie e costiere restarono fuori dal sistema degli homeland e in mani bianche — ma l'attribuzione amministrativa era invertita, ed è il genere di errore che si propaga silenziosamente perché suona plausibile in entrambe le direzioni. Il testo corretto è quello che si legge oggi al blocco 81; questa nota conserva la forma errata.</w:t>
      </w:r>
    </w:p>
    <w:p>
      <w:pPr>
        <w:pStyle w:val="Heading3"/>
        <w:spacing w:after="80" w:before="160"/>
      </w:pPr>
      <w:r>
        <w:rPr>
          <w:rFonts w:ascii="Barlow Semi Condensed" w:cs="Barlow Semi Condensed" w:eastAsia="Barlow Semi Condensed" w:hAnsi="Barlow Semi Condensed"/>
          <w:sz w:val="24"/>
          <w:szCs w:val="24"/>
        </w:rPr>
        <w:t xml:space="preserve">M-3 · Il limite dichiarato di questa campagna</w:t>
      </w:r>
    </w:p>
    <w:p>
      <w:pPr>
        <w:spacing w:after="120" w:line="276"/>
        <w:jc w:val="both"/>
      </w:pPr>
      <w:r>
        <w:rPr>
          <w:rFonts w:ascii="Barlow Semi Condensed" w:cs="Barlow Semi Condensed" w:eastAsia="Barlow Semi Condensed" w:hAnsi="Barlow Semi Condensed"/>
          <w:b/>
          <w:bCs/>
          <w:sz w:val="24"/>
          <w:szCs w:val="24"/>
        </w:rPr>
        <w:t xml:space="preserve">La verifica non ha letto i documenti primari.</w:t>
      </w:r>
      <w:r>
        <w:rPr>
          <w:rFonts w:ascii="Barlow Semi Condensed" w:cs="Barlow Semi Condensed" w:eastAsia="Barlow Semi Condensed" w:hAnsi="Barlow Semi Condensed"/>
          <w:sz w:val="24"/>
          <w:szCs w:val="24"/>
        </w:rPr>
        <w:t xml:space="preserve"> Poggia su fonti secondarie convergenti e su sintesi di risultati di ricerca: non sul testo del rapporto Odendaal, non sugli atti della Commissione d'inchiesta sull'Africa del Sud-Ovest, non sui registri anagrafici sudafricani, non sui fascicoli d'immigrazione. Le date qui qualificate come confermate sono quelle su cui convergono più fonti secondarie indipendenti, e </w:t>
      </w:r>
      <w:r>
        <w:rPr>
          <w:rFonts w:ascii="Barlow Semi Condensed" w:cs="Barlow Semi Condensed" w:eastAsia="Barlow Semi Condensed" w:hAnsi="Barlow Semi Condensed"/>
          <w:b/>
          <w:bCs/>
          <w:sz w:val="24"/>
          <w:szCs w:val="24"/>
        </w:rPr>
        <w:t xml:space="preserve">restano da riscontrare sui testi ufficiali</w:t>
      </w:r>
      <w:r>
        <w:rPr>
          <w:rFonts w:ascii="Barlow Semi Condensed" w:cs="Barlow Semi Condensed" w:eastAsia="Barlow Semi Condensed" w:hAnsi="Barlow Semi Condensed"/>
          <w:sz w:val="24"/>
          <w:szCs w:val="24"/>
        </w:rPr>
        <w:t xml:space="preserve">.</w:t>
      </w:r>
    </w:p>
    <w:p>
      <w:pPr>
        <w:spacing w:after="120" w:line="276"/>
        <w:jc w:val="both"/>
      </w:pPr>
      <w:r>
        <w:rPr>
          <w:rFonts w:ascii="Barlow Semi Condensed" w:cs="Barlow Semi Condensed" w:eastAsia="Barlow Semi Condensed" w:hAnsi="Barlow Semi Condensed"/>
          <w:sz w:val="24"/>
          <w:szCs w:val="24"/>
        </w:rPr>
        <w:t xml:space="preserve">Va inoltre registrato un dato di </w:t>
      </w:r>
      <w:r>
        <w:rPr>
          <w:rFonts w:ascii="Barlow Semi Condensed" w:cs="Barlow Semi Condensed" w:eastAsia="Barlow Semi Condensed" w:hAnsi="Barlow Semi Condensed"/>
          <w:b/>
          <w:bCs/>
          <w:sz w:val="24"/>
          <w:szCs w:val="24"/>
        </w:rPr>
        <w:t xml:space="preserve">igiene delle fonti</w:t>
      </w:r>
      <w:r>
        <w:rPr>
          <w:rFonts w:ascii="Barlow Semi Condensed" w:cs="Barlow Semi Condensed" w:eastAsia="Barlow Semi Condensed" w:hAnsi="Barlow Semi Condensed"/>
          <w:sz w:val="24"/>
          <w:szCs w:val="24"/>
        </w:rPr>
        <w:t xml:space="preserve">, perché ricorre: nelle ricerche condotte per quest'opera </w:t>
      </w:r>
      <w:r>
        <w:rPr>
          <w:rFonts w:ascii="Barlow Semi Condensed" w:cs="Barlow Semi Condensed" w:eastAsia="Barlow Semi Condensed" w:hAnsi="Barlow Semi Condensed"/>
          <w:b/>
          <w:bCs/>
          <w:sz w:val="24"/>
          <w:szCs w:val="24"/>
        </w:rPr>
        <w:t xml:space="preserve">Grokipedia è comparsa ripetutamente fra i risultati</w:t>
      </w:r>
      <w:r>
        <w:rPr>
          <w:rFonts w:ascii="Barlow Semi Condensed" w:cs="Barlow Semi Condensed" w:eastAsia="Barlow Semi Condensed" w:hAnsi="Barlow Semi Condensed"/>
          <w:sz w:val="24"/>
          <w:szCs w:val="24"/>
        </w:rPr>
        <w:t xml:space="preserve">, anche su voci centrali della materia. È fonte esclusa dal committente, e su questo tema è per giunta parte in causa. Non è stata usata in alcun punto, e la sua ricorrenza fra i risultati è essa stessa un dato sullo stato della documentazione in rete.</w:t>
      </w:r>
    </w:p>
    <w:p>
      <w:pPr>
        <w:pBdr>
          <w:bottom w:val="single" w:color="999999" w:sz="6" w:space="1"/>
        </w:pBdr>
        <w:spacing w:after="80"/>
      </w:pPr>
    </w:p>
    <w:p>
      <w:pPr>
        <w:pBdr>
          <w:bottom w:val="single" w:color="999999" w:sz="6" w:space="1"/>
        </w:pBdr>
        <w:spacing w:after="80"/>
      </w:pPr>
    </w:p>
    <w:p>
      <w:pPr>
        <w:spacing w:after="120" w:line="276"/>
        <w:jc w:val="both"/>
      </w:pPr>
      <w:r>
        <w:rPr>
          <w:rFonts w:ascii="Barlow Semi Condensed" w:cs="Barlow Semi Condensed" w:eastAsia="Barlow Semi Condensed" w:hAnsi="Barlow Semi Condensed"/>
          <w:i/>
          <w:iCs/>
          <w:sz w:val="24"/>
          <w:szCs w:val="24"/>
        </w:rPr>
        <w:t xml:space="preserve">«Il meridiano e la valle» — dal Sud Africa dell'apartheid alla cosiddetta PayPal Mafia, in 1.000 blocchi mirati di ricerca ordinati in tredici serie con statuto: lo statuto e il metodo (1-50); l'anagrafe verificabile (51-135); la cornice sudafricana e del Sud-Ovest africano (136-225); i lignaggi (226-305); le materie prime (306-390); l'embargo e le vie d'aggiramento (391-470); le rotte migratorie (471-540); la formazione e la coscrizione (541-610); la valle e i suoi atti societari (611-695); le dottrine e le loro genealogie (696-780); il denaro e le giurisdizioni (781-855); la critica delle fonti (856-930); il limite: la colpa non si eredita (931-1000). Quinta opera a blocchi del branch, dopo il manuale in quattrocento, l'agenda in trecento, i nove cantieri in mille e la triangolazione Kissinger in mille; </w:t>
      </w:r>
      <w:r>
        <w:rPr>
          <w:rFonts w:ascii="Barlow Semi Condensed" w:cs="Barlow Semi Condensed" w:eastAsia="Barlow Semi Condensed" w:hAnsi="Barlow Semi Condensed"/>
          <w:i/>
          <w:iCs/>
          <w:sz w:val="24"/>
          <w:szCs w:val="24"/>
        </w:rPr>
        <w:t xml:space="preserve">Libro quattordicesimo dell'Opera integrale</w:t>
      </w:r>
      <w:r>
        <w:rPr>
          <w:rFonts w:ascii="Barlow Semi Condensed" w:cs="Barlow Semi Condensed" w:eastAsia="Barlow Semi Condensed" w:hAnsi="Barlow Semi Condensed"/>
          <w:i/>
          <w:iCs/>
          <w:sz w:val="24"/>
          <w:szCs w:val="24"/>
        </w:rPr>
        <w:t xml:space="preserve">, con la riserva dichiarata in apertura — il raccordo con l'opera-madre è tematico e non documentale, e l'unico ponte documentato che il corpus possiede col tema è il nodo E-16 della triangolazione Guevara-Moro, il discorso alle Nazioni Unite dell'11 dicembre 1964. La chiave di continuità indicata dal committente è accolta come </w:t>
      </w:r>
      <w:r>
        <w:rPr>
          <w:rFonts w:ascii="Barlow Semi Condensed" w:cs="Barlow Semi Condensed" w:eastAsia="Barlow Semi Condensed" w:hAnsi="Barlow Semi Condensed"/>
          <w:i/>
          <w:iCs/>
          <w:sz w:val="24"/>
          <w:szCs w:val="24"/>
        </w:rPr>
        <w:t xml:space="preserve">lente e non come sentenza</w:t>
      </w:r>
      <w:r>
        <w:rPr>
          <w:rFonts w:ascii="Barlow Semi Condensed" w:cs="Barlow Semi Condensed" w:eastAsia="Barlow Semi Condensed" w:hAnsi="Barlow Semi Condensed"/>
          <w:i/>
          <w:iCs/>
          <w:sz w:val="24"/>
          <w:szCs w:val="24"/>
        </w:rPr>
        <w:t xml:space="preserve">, e come </w:t>
      </w:r>
      <w:r>
        <w:rPr>
          <w:rFonts w:ascii="Barlow Semi Condensed" w:cs="Barlow Semi Condensed" w:eastAsia="Barlow Semi Condensed" w:hAnsi="Barlow Semi Condensed"/>
          <w:i/>
          <w:iCs/>
          <w:sz w:val="24"/>
          <w:szCs w:val="24"/>
        </w:rPr>
        <w:t xml:space="preserve">ipotesi da mettere alla prova e non premessa da illustrare</w:t>
      </w:r>
      <w:r>
        <w:rPr>
          <w:rFonts w:ascii="Barlow Semi Condensed" w:cs="Barlow Semi Condensed" w:eastAsia="Barlow Semi Condensed" w:hAnsi="Barlow Semi Condensed"/>
          <w:i/>
          <w:iCs/>
          <w:sz w:val="24"/>
          <w:szCs w:val="24"/>
        </w:rPr>
        <w:t xml:space="preserve">: per questo ogni serie porta i propri bersagli di smentita. Vale in ogni blocco la regola dei tre piani — rapporto diretto documentato, convergenza strutturale, affermazione terziaria: un ponte è reale solo al piano 1. </w:t>
      </w:r>
      <w:r>
        <w:rPr>
          <w:rFonts w:ascii="Barlow Semi Condensed" w:cs="Barlow Semi Condensed" w:eastAsia="Barlow Semi Condensed" w:hAnsi="Barlow Semi Condensed"/>
          <w:i/>
          <w:iCs/>
          <w:sz w:val="24"/>
          <w:szCs w:val="24"/>
        </w:rPr>
        <w:t xml:space="preserve">Nessuna delle persone nominate è indicata come responsabile di reato o di illecito</w:t>
      </w:r>
      <w:r>
        <w:rPr>
          <w:rFonts w:ascii="Barlow Semi Condensed" w:cs="Barlow Semi Condensed" w:eastAsia="Barlow Semi Condensed" w:hAnsi="Barlow Semi Condensed"/>
          <w:i/>
          <w:iCs/>
          <w:sz w:val="24"/>
          <w:szCs w:val="24"/>
        </w:rPr>
        <w:t xml:space="preserve">, e nessuna risulta condannata in relazione ai fatti indagati; i nomi compaiono soltanto per fatti pubblici e documentabili. L'appartenenza a un Paese, a una scuola, a un'azienda o a una famiglia non è prova di condotta; la contemporaneità non è prova di nesso; l'origine non è una colpa; l'infanzia non è una scelta. Le divergenze si riportano e non si sciolgono in silenzio; l'esito negativo si scrive con la sede d'archivio che lo chiuderebbe. Una ricerca produce documenti, non colpevoli — e mille bersagli non sono mille prove: sono mille modi di rendere questo lavoro falsificabile da chi verrà dopo.</w:t>
      </w:r>
    </w:p>
    <w:p>
      <w:pPr>
        <w:pStyle w:val="Heading3"/>
        <w:spacing w:after="80" w:before="240"/>
      </w:pPr>
      <w:r>
        <w:rPr>
          <w:rFonts w:ascii="Barlow Semi Condensed" w:cs="Barlow Semi Condensed" w:eastAsia="Barlow Semi Condensed" w:hAnsi="Barlow Semi Condensed"/>
          <w:sz w:val="24"/>
          <w:szCs w:val="24"/>
        </w:rPr>
        <w:t xml:space="preserve">Apparato grafico — Libro quattordicesimo · Il meridiano e la valle: dal Sud Africa dell'apartheid all</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7"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Libro quattordicesimo: 76.386 parole in 9 sezioni; la più ampia è §9 Altre sezioni, con 35.541.</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8"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Libro quattordicesimo: 1.062 paragrafi in 9 sezioni, 118 in media per sezione.</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9"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Le tredici serie del Libro quattordicesimo: ogni blocco un bersaglio d’archivio, e ogni serie i propri bersagli di smentita.</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0"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Lo Stato Zero reso visibile: il Libro quattordicesimo apre un fronte nuovo, e il solo ponte documentato col corpus è un atto del 1964.</w:t>
      </w:r>
    </w:p>
    <w:p>
      <w:pPr>
        <w:spacing w:after="120"/>
        <w:jc w:val="center"/>
      </w:pPr>
      <w:r>
        <w:rPr>
          <w:rFonts w:ascii="Barlow Semi Condensed" w:cs="Barlow Semi Condensed" w:eastAsia="Barlow Semi Condensed" w:hAnsi="Barlow Semi Condensed"/>
          <w:color w:val="777777"/>
          <w:sz w:val="16"/>
          <w:szCs w:val="16"/>
        </w:rPr>
        <w:t xml:space="preserve">Le metriche dell'apparato contano parole, documenti e atti — mai colpe.</w:t>
      </w:r>
    </w:p>
    <w:p>
      <w:r>
        <w:br w:type="page"/>
      </w:r>
    </w:p>
    <w:p>
      <w:pPr>
        <w:pStyle w:val="Heading1"/>
        <w:spacing w:after="120" w:before="240"/>
      </w:pPr>
      <w:r>
        <w:rPr>
          <w:rFonts w:ascii="Barlow Semi Condensed" w:cs="Barlow Semi Condensed" w:eastAsia="Barlow Semi Condensed" w:hAnsi="Barlow Semi Condensed"/>
          <w:sz w:val="24"/>
          <w:szCs w:val="24"/>
        </w:rPr>
        <w:t xml:space="preserve">Appendici — I. L'apparato dei gradi (indice analitico)</w:t>
      </w:r>
    </w:p>
    <w:p>
      <w:pPr>
        <w:pStyle w:val="Heading2"/>
        <w:spacing w:after="100" w:before="200"/>
      </w:pPr>
      <w:r>
        <w:rPr>
          <w:rFonts w:ascii="Barlow Semi Condensed" w:cs="Barlow Semi Condensed" w:eastAsia="Barlow Semi Condensed" w:hAnsi="Barlow Semi Condensed"/>
          <w:sz w:val="24"/>
          <w:szCs w:val="24"/>
        </w:rPr>
        <w:t xml:space="preserve">Apparato dei gradi — indice analitico dell'edizione in cinquanta capitoli</w:t>
      </w:r>
    </w:p>
    <w:p>
      <w:pPr>
        <w:spacing w:after="120" w:line="276"/>
        <w:jc w:val="both"/>
      </w:pPr>
      <w:r>
        <w:rPr>
          <w:rFonts w:ascii="Barlow Semi Condensed" w:cs="Barlow Semi Condensed" w:eastAsia="Barlow Semi Condensed" w:hAnsi="Barlow Semi Condensed"/>
          <w:i/>
          <w:iCs/>
          <w:sz w:val="24"/>
          <w:szCs w:val="24"/>
        </w:rPr>
        <w:t xml:space="preserve">Continuazione — 24 agosto 2026 · Complemento alla Fase sesta (capitolo cinquantaquattresimo: la mappa dei gradi)</w:t>
      </w:r>
    </w:p>
    <w:p>
      <w:pPr>
        <w:pBdr>
          <w:left w:val="single" w:color="1F3864" w:sz="18" w:space="8"/>
        </w:pBdr>
        <w:spacing w:after="80" w:before="80"/>
        <w:ind w:left="360" w:right="360"/>
        <w:jc w:val="both"/>
      </w:pPr>
      <w:r>
        <w:rPr>
          <w:rFonts w:ascii="Barlow Semi Condensed" w:cs="Barlow Semi Condensed" w:eastAsia="Barlow Semi Condensed" w:hAnsi="Barlow Semi Condensed"/>
          <w:b/>
          <w:bCs/>
          <w:i w:val="false"/>
          <w:iCs w:val="false"/>
          <w:sz w:val="24"/>
          <w:szCs w:val="24"/>
        </w:rPr>
        <w:t xml:space="preserve">Che cos'è questo apparato.</w:t>
      </w:r>
      <w:r>
        <w:rPr>
          <w:rFonts w:ascii="Barlow Semi Condensed" w:cs="Barlow Semi Condensed" w:eastAsia="Barlow Semi Condensed" w:hAnsi="Barlow Semi Condensed"/>
          <w:i w:val="false"/>
          <w:iCs w:val="false"/>
          <w:sz w:val="24"/>
          <w:szCs w:val="24"/>
        </w:rPr>
        <w:t xml:space="preserve"> La quarta disciplina dell'opera — la tracciabilità — chiede che ogni affermazione dichiari il proprio grado, così che il lettore possa rifare il cammino. Questo apparato assolve la promessa capitolo per capitolo: per ciascuno dei cinquanta capitoli registra </w:t>
      </w:r>
      <w:r>
        <w:rPr>
          <w:rFonts w:ascii="Barlow Semi Condensed" w:cs="Barlow Semi Condensed" w:eastAsia="Barlow Semi Condensed" w:hAnsi="Barlow Semi Condensed"/>
          <w:b/>
          <w:bCs/>
          <w:i w:val="false"/>
          <w:iCs w:val="false"/>
          <w:sz w:val="24"/>
          <w:szCs w:val="24"/>
        </w:rPr>
        <w:t xml:space="preserve">l'asserzione portante</w:t>
      </w:r>
      <w:r>
        <w:rPr>
          <w:rFonts w:ascii="Barlow Semi Condensed" w:cs="Barlow Semi Condensed" w:eastAsia="Barlow Semi Condensed" w:hAnsi="Barlow Semi Condensed"/>
          <w:i w:val="false"/>
          <w:iCs w:val="false"/>
          <w:sz w:val="24"/>
          <w:szCs w:val="24"/>
        </w:rPr>
        <w:t xml:space="preserve">, il </w:t>
      </w:r>
      <w:r>
        <w:rPr>
          <w:rFonts w:ascii="Barlow Semi Condensed" w:cs="Barlow Semi Condensed" w:eastAsia="Barlow Semi Condensed" w:hAnsi="Barlow Semi Condensed"/>
          <w:b/>
          <w:bCs/>
          <w:i w:val="false"/>
          <w:iCs w:val="false"/>
          <w:sz w:val="24"/>
          <w:szCs w:val="24"/>
        </w:rPr>
        <w:t xml:space="preserve">grado prevalente</w:t>
      </w:r>
      <w:r>
        <w:rPr>
          <w:rFonts w:ascii="Barlow Semi Condensed" w:cs="Barlow Semi Condensed" w:eastAsia="Barlow Semi Condensed" w:hAnsi="Barlow Semi Condensed"/>
          <w:i w:val="false"/>
          <w:iCs w:val="false"/>
          <w:sz w:val="24"/>
          <w:szCs w:val="24"/>
        </w:rPr>
        <w:t xml:space="preserve"> (A accertato · B probabile · C possibile · Ø Stato Zero · M capitolo di metodo, senza grado fattuale) e — la domanda del Pollo di Popper — </w:t>
      </w:r>
      <w:r>
        <w:rPr>
          <w:rFonts w:ascii="Barlow Semi Condensed" w:cs="Barlow Semi Condensed" w:eastAsia="Barlow Semi Condensed" w:hAnsi="Barlow Semi Condensed"/>
          <w:b/>
          <w:bCs/>
          <w:i w:val="false"/>
          <w:iCs w:val="false"/>
          <w:sz w:val="24"/>
          <w:szCs w:val="24"/>
        </w:rPr>
        <w:t xml:space="preserve">che cosa lo smentirebbe</w:t>
      </w:r>
      <w:r>
        <w:rPr>
          <w:rFonts w:ascii="Barlow Semi Condensed" w:cs="Barlow Semi Condensed" w:eastAsia="Barlow Semi Condensed" w:hAnsi="Barlow Semi Condensed"/>
          <w:i w:val="false"/>
          <w:iCs w:val="false"/>
          <w:sz w:val="24"/>
          <w:szCs w:val="24"/>
        </w:rPr>
        <w:t xml:space="preserve">.  Non riproduce il testo dell'opera; ne è l'indice critico. Non nomina alcuna persona come responsabile di reato oltre il giudicato definitivo. Dove l'opera, nella Fase quinta, ordina nomi per probabilità, l'apparato </w:t>
      </w:r>
      <w:r>
        <w:rPr>
          <w:rFonts w:ascii="Barlow Semi Condensed" w:cs="Barlow Semi Condensed" w:eastAsia="Barlow Semi Condensed" w:hAnsi="Barlow Semi Condensed"/>
          <w:b/>
          <w:bCs/>
          <w:i w:val="false"/>
          <w:iCs w:val="false"/>
          <w:sz w:val="24"/>
          <w:szCs w:val="24"/>
        </w:rPr>
        <w:t xml:space="preserve">non segue l'ordine e non riporta i nomi</w:t>
      </w:r>
      <w:r>
        <w:rPr>
          <w:rFonts w:ascii="Barlow Semi Condensed" w:cs="Barlow Semi Condensed" w:eastAsia="Barlow Semi Condensed" w:hAnsi="Barlow Semi Condensed"/>
          <w:i w:val="false"/>
          <w:iCs w:val="false"/>
          <w:sz w:val="24"/>
          <w:szCs w:val="24"/>
        </w:rPr>
        <w:t xml:space="preserve">: registra soltanto che quell'intera fase opera, per dichiarazione della stessa opera, allo stato del possibile, con una base accertata limitata a ciò che le sentenze definitive hanno stabilito.</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Fase prima — Il metodo e l'uomo</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40"/>
        <w:gridCol w:w="2340"/>
        <w:gridCol w:w="2340"/>
        <w:gridCol w:w="2340"/>
      </w:tblGrid>
      <w:tr>
        <w:tc>
          <w:tcPr>
            <w:tcW w:type="dxa" w:w="234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Cap.</w:t>
            </w:r>
          </w:p>
        </w:tc>
        <w:tc>
          <w:tcPr>
            <w:tcW w:type="dxa" w:w="234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Asserzione portante</w:t>
            </w:r>
          </w:p>
        </w:tc>
        <w:tc>
          <w:tcPr>
            <w:tcW w:type="dxa" w:w="234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Grado</w:t>
            </w:r>
          </w:p>
        </w:tc>
        <w:tc>
          <w:tcPr>
            <w:tcW w:type="dxa" w:w="234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Che cosa lo smentirebbe</w:t>
            </w:r>
          </w:p>
        </w:tc>
      </w:tr>
      <w:tr>
        <w:tc>
          <w:tcPr>
            <w:tcW w:type="dxa" w:w="2340"/>
          </w:tcPr>
          <w:p>
            <w:pPr>
              <w:spacing w:after="20" w:before="20"/>
              <w:jc w:val="both"/>
            </w:pPr>
            <w:r>
              <w:rPr>
                <w:rFonts w:ascii="Barlow Semi Condensed" w:cs="Barlow Semi Condensed" w:eastAsia="Barlow Semi Condensed" w:hAnsi="Barlow Semi Condensed"/>
                <w:sz w:val="20"/>
                <w:szCs w:val="20"/>
              </w:rPr>
              <w:t xml:space="preserve">1</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Statuto dell'opera: natura AI dichiarata; quattro discipline (grado, assenze, persone viventi, tracciabilità); divieto di imputare</w:t>
            </w:r>
          </w:p>
        </w:tc>
        <w:tc>
          <w:tcPr>
            <w:tcW w:type="dxa" w:w="2340"/>
          </w:tcPr>
          <w:p>
            <w:pPr>
              <w:spacing w:after="20" w:before="20"/>
              <w:jc w:val="both"/>
            </w:pPr>
            <w:r>
              <w:rPr>
                <w:rFonts w:ascii="Barlow Semi Condensed" w:cs="Barlow Semi Condensed" w:eastAsia="Barlow Semi Condensed" w:hAnsi="Barlow Semi Condensed"/>
                <w:b/>
                <w:bCs/>
                <w:sz w:val="20"/>
                <w:szCs w:val="20"/>
              </w:rPr>
              <w:t xml:space="preserve">M</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 (è patto di lettura, non asserzione sul mondo)</w:t>
            </w:r>
          </w:p>
        </w:tc>
      </w:tr>
      <w:tr>
        <w:tc>
          <w:tcPr>
            <w:tcW w:type="dxa" w:w="2340"/>
          </w:tcPr>
          <w:p>
            <w:pPr>
              <w:spacing w:after="20" w:before="20"/>
              <w:jc w:val="both"/>
            </w:pPr>
            <w:r>
              <w:rPr>
                <w:rFonts w:ascii="Barlow Semi Condensed" w:cs="Barlow Semi Condensed" w:eastAsia="Barlow Semi Condensed" w:hAnsi="Barlow Semi Condensed"/>
                <w:sz w:val="20"/>
                <w:szCs w:val="20"/>
              </w:rPr>
              <w:t xml:space="preserve">2</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Il Pollo di Popper e l'immunizzazione delle ipotesi; i due vizi speculari (dietrologia totalizzante / riduzionismo assolutorio)</w:t>
            </w:r>
          </w:p>
        </w:tc>
        <w:tc>
          <w:tcPr>
            <w:tcW w:type="dxa" w:w="2340"/>
          </w:tcPr>
          <w:p>
            <w:pPr>
              <w:spacing w:after="20" w:before="20"/>
              <w:jc w:val="both"/>
            </w:pPr>
            <w:r>
              <w:rPr>
                <w:rFonts w:ascii="Barlow Semi Condensed" w:cs="Barlow Semi Condensed" w:eastAsia="Barlow Semi Condensed" w:hAnsi="Barlow Semi Condensed"/>
                <w:b/>
                <w:bCs/>
                <w:sz w:val="20"/>
                <w:szCs w:val="20"/>
              </w:rPr>
              <w:t xml:space="preserve">M</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w:t>
            </w:r>
          </w:p>
        </w:tc>
      </w:tr>
      <w:tr>
        <w:tc>
          <w:tcPr>
            <w:tcW w:type="dxa" w:w="2340"/>
          </w:tcPr>
          <w:p>
            <w:pPr>
              <w:spacing w:after="20" w:before="20"/>
              <w:jc w:val="both"/>
            </w:pPr>
            <w:r>
              <w:rPr>
                <w:rFonts w:ascii="Barlow Semi Condensed" w:cs="Barlow Semi Condensed" w:eastAsia="Barlow Semi Condensed" w:hAnsi="Barlow Semi Condensed"/>
                <w:sz w:val="20"/>
                <w:szCs w:val="20"/>
              </w:rPr>
              <w:t xml:space="preserve">3</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La sinaptogenesi come protocollo: nodi, connessioni, centralità; ricerca per cerchi concentrici</w:t>
            </w:r>
          </w:p>
        </w:tc>
        <w:tc>
          <w:tcPr>
            <w:tcW w:type="dxa" w:w="2340"/>
          </w:tcPr>
          <w:p>
            <w:pPr>
              <w:spacing w:after="20" w:before="20"/>
              <w:jc w:val="both"/>
            </w:pPr>
            <w:r>
              <w:rPr>
                <w:rFonts w:ascii="Barlow Semi Condensed" w:cs="Barlow Semi Condensed" w:eastAsia="Barlow Semi Condensed" w:hAnsi="Barlow Semi Condensed"/>
                <w:b/>
                <w:bCs/>
                <w:sz w:val="20"/>
                <w:szCs w:val="20"/>
              </w:rPr>
              <w:t xml:space="preserve">M</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w:t>
            </w:r>
          </w:p>
        </w:tc>
      </w:tr>
      <w:tr>
        <w:tc>
          <w:tcPr>
            <w:tcW w:type="dxa" w:w="2340"/>
          </w:tcPr>
          <w:p>
            <w:pPr>
              <w:spacing w:after="20" w:before="20"/>
              <w:jc w:val="both"/>
            </w:pPr>
            <w:r>
              <w:rPr>
                <w:rFonts w:ascii="Barlow Semi Condensed" w:cs="Barlow Semi Condensed" w:eastAsia="Barlow Semi Condensed" w:hAnsi="Barlow Semi Condensed"/>
                <w:sz w:val="20"/>
                <w:szCs w:val="20"/>
              </w:rPr>
              <w:t xml:space="preserve">4</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Lo standard a tre livelli (A/B/C)</w:t>
            </w:r>
          </w:p>
        </w:tc>
        <w:tc>
          <w:tcPr>
            <w:tcW w:type="dxa" w:w="2340"/>
          </w:tcPr>
          <w:p>
            <w:pPr>
              <w:spacing w:after="20" w:before="20"/>
              <w:jc w:val="both"/>
            </w:pPr>
            <w:r>
              <w:rPr>
                <w:rFonts w:ascii="Barlow Semi Condensed" w:cs="Barlow Semi Condensed" w:eastAsia="Barlow Semi Condensed" w:hAnsi="Barlow Semi Condensed"/>
                <w:b/>
                <w:bCs/>
                <w:sz w:val="20"/>
                <w:szCs w:val="20"/>
              </w:rPr>
              <w:t xml:space="preserve">M</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w:t>
            </w:r>
          </w:p>
        </w:tc>
      </w:tr>
      <w:tr>
        <w:tc>
          <w:tcPr>
            <w:tcW w:type="dxa" w:w="2340"/>
          </w:tcPr>
          <w:p>
            <w:pPr>
              <w:spacing w:after="20" w:before="20"/>
              <w:jc w:val="both"/>
            </w:pPr>
            <w:r>
              <w:rPr>
                <w:rFonts w:ascii="Barlow Semi Condensed" w:cs="Barlow Semi Condensed" w:eastAsia="Barlow Semi Condensed" w:hAnsi="Barlow Semi Condensed"/>
                <w:sz w:val="20"/>
                <w:szCs w:val="20"/>
              </w:rPr>
              <w:t xml:space="preserve">5</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Nascita a Maglie (23/9/1916), famiglia, formazione cattolica</w:t>
            </w:r>
          </w:p>
        </w:tc>
        <w:tc>
          <w:tcPr>
            <w:tcW w:type="dxa" w:w="2340"/>
          </w:tcPr>
          <w:p>
            <w:pPr>
              <w:spacing w:after="20" w:before="20"/>
              <w:jc w:val="both"/>
            </w:pPr>
            <w:r>
              <w:rPr>
                <w:rFonts w:ascii="Barlow Semi Condensed" w:cs="Barlow Semi Condensed" w:eastAsia="Barlow Semi Condensed" w:hAnsi="Barlow Semi Condensed"/>
                <w:b/>
                <w:bCs/>
                <w:sz w:val="20"/>
                <w:szCs w:val="20"/>
              </w:rPr>
              <w:t xml:space="preserve">A</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Anagrafe e biografia documentata di segno contrario (non esistente)</w:t>
            </w:r>
          </w:p>
        </w:tc>
      </w:tr>
      <w:tr>
        <w:tc>
          <w:tcPr>
            <w:tcW w:type="dxa" w:w="2340"/>
          </w:tcPr>
          <w:p>
            <w:pPr>
              <w:spacing w:after="20" w:before="20"/>
              <w:jc w:val="both"/>
            </w:pPr>
            <w:r>
              <w:rPr>
                <w:rFonts w:ascii="Barlow Semi Condensed" w:cs="Barlow Semi Condensed" w:eastAsia="Barlow Semi Condensed" w:hAnsi="Barlow Semi Condensed"/>
                <w:sz w:val="20"/>
                <w:szCs w:val="20"/>
              </w:rPr>
              <w:t xml:space="preserve">6</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Presidenza FUCI (1939); la generazione dei costruttori</w:t>
            </w:r>
          </w:p>
        </w:tc>
        <w:tc>
          <w:tcPr>
            <w:tcW w:type="dxa" w:w="2340"/>
          </w:tcPr>
          <w:p>
            <w:pPr>
              <w:spacing w:after="20" w:before="20"/>
              <w:jc w:val="both"/>
            </w:pPr>
            <w:r>
              <w:rPr>
                <w:rFonts w:ascii="Barlow Semi Condensed" w:cs="Barlow Semi Condensed" w:eastAsia="Barlow Semi Condensed" w:hAnsi="Barlow Semi Condensed"/>
                <w:b/>
                <w:bCs/>
                <w:sz w:val="20"/>
                <w:szCs w:val="20"/>
              </w:rPr>
              <w:t xml:space="preserve">A</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Atti associativi di segno contrario</w:t>
            </w:r>
          </w:p>
        </w:tc>
      </w:tr>
      <w:tr>
        <w:tc>
          <w:tcPr>
            <w:tcW w:type="dxa" w:w="2340"/>
          </w:tcPr>
          <w:p>
            <w:pPr>
              <w:spacing w:after="20" w:before="20"/>
              <w:jc w:val="both"/>
            </w:pPr>
            <w:r>
              <w:rPr>
                <w:rFonts w:ascii="Barlow Semi Condensed" w:cs="Barlow Semi Condensed" w:eastAsia="Barlow Semi Condensed" w:hAnsi="Barlow Semi Condensed"/>
                <w:sz w:val="20"/>
                <w:szCs w:val="20"/>
              </w:rPr>
              <w:t xml:space="preserve">7</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Il costituente nella prima Sottocommissione dei 75; il ministro</w:t>
            </w:r>
          </w:p>
        </w:tc>
        <w:tc>
          <w:tcPr>
            <w:tcW w:type="dxa" w:w="2340"/>
          </w:tcPr>
          <w:p>
            <w:pPr>
              <w:spacing w:after="20" w:before="20"/>
              <w:jc w:val="both"/>
            </w:pPr>
            <w:r>
              <w:rPr>
                <w:rFonts w:ascii="Barlow Semi Condensed" w:cs="Barlow Semi Condensed" w:eastAsia="Barlow Semi Condensed" w:hAnsi="Barlow Semi Condensed"/>
                <w:b/>
                <w:bCs/>
                <w:sz w:val="20"/>
                <w:szCs w:val="20"/>
              </w:rPr>
              <w:t xml:space="preserve">A</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Atti dell'Assemblea Costituente</w:t>
            </w:r>
          </w:p>
        </w:tc>
      </w:tr>
      <w:tr>
        <w:tc>
          <w:tcPr>
            <w:tcW w:type="dxa" w:w="2340"/>
          </w:tcPr>
          <w:p>
            <w:pPr>
              <w:spacing w:after="20" w:before="20"/>
              <w:jc w:val="both"/>
            </w:pPr>
            <w:r>
              <w:rPr>
                <w:rFonts w:ascii="Barlow Semi Condensed" w:cs="Barlow Semi Condensed" w:eastAsia="Barlow Semi Condensed" w:hAnsi="Barlow Semi Condensed"/>
                <w:sz w:val="20"/>
                <w:szCs w:val="20"/>
              </w:rPr>
              <w:t xml:space="preserve">8</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Segretario DC dal 1959; l'apertura a sinistra</w:t>
            </w:r>
          </w:p>
        </w:tc>
        <w:tc>
          <w:tcPr>
            <w:tcW w:type="dxa" w:w="2340"/>
          </w:tcPr>
          <w:p>
            <w:pPr>
              <w:spacing w:after="20" w:before="20"/>
              <w:jc w:val="both"/>
            </w:pPr>
            <w:r>
              <w:rPr>
                <w:rFonts w:ascii="Barlow Semi Condensed" w:cs="Barlow Semi Condensed" w:eastAsia="Barlow Semi Condensed" w:hAnsi="Barlow Semi Condensed"/>
                <w:b/>
                <w:bCs/>
                <w:sz w:val="20"/>
                <w:szCs w:val="20"/>
              </w:rPr>
              <w:t xml:space="preserve">A</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Atti del Consiglio nazionale DC</w:t>
            </w:r>
          </w:p>
        </w:tc>
      </w:tr>
      <w:tr>
        <w:tc>
          <w:tcPr>
            <w:tcW w:type="dxa" w:w="2340"/>
          </w:tcPr>
          <w:p>
            <w:pPr>
              <w:spacing w:after="20" w:before="20"/>
              <w:jc w:val="both"/>
            </w:pPr>
            <w:r>
              <w:rPr>
                <w:rFonts w:ascii="Barlow Semi Condensed" w:cs="Barlow Semi Condensed" w:eastAsia="Barlow Semi Condensed" w:hAnsi="Barlow Semi Condensed"/>
                <w:sz w:val="20"/>
                <w:szCs w:val="20"/>
              </w:rPr>
              <w:t xml:space="preserve">9</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La matrice giuridica del pensiero politico moroteo</w:t>
            </w:r>
          </w:p>
        </w:tc>
        <w:tc>
          <w:tcPr>
            <w:tcW w:type="dxa" w:w="2340"/>
          </w:tcPr>
          <w:p>
            <w:pPr>
              <w:spacing w:after="20" w:before="20"/>
              <w:jc w:val="both"/>
            </w:pPr>
            <w:r>
              <w:rPr>
                <w:rFonts w:ascii="Barlow Semi Condensed" w:cs="Barlow Semi Condensed" w:eastAsia="Barlow Semi Condensed" w:hAnsi="Barlow Semi Condensed"/>
                <w:b/>
                <w:bCs/>
                <w:sz w:val="20"/>
                <w:szCs w:val="20"/>
              </w:rPr>
              <w:t xml:space="preserve">A</w:t>
            </w:r>
            <w:r>
              <w:rPr>
                <w:rFonts w:ascii="Barlow Semi Condensed" w:cs="Barlow Semi Condensed" w:eastAsia="Barlow Semi Condensed" w:hAnsi="Barlow Semi Condensed"/>
                <w:sz w:val="20"/>
                <w:szCs w:val="20"/>
              </w:rPr>
              <w:t xml:space="preserve"> (biografia) / interpretazione dichiarata</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Contraddizione documentale nel corpus degli scritti</w:t>
            </w:r>
          </w:p>
        </w:tc>
      </w:tr>
      <w:tr>
        <w:tc>
          <w:tcPr>
            <w:tcW w:type="dxa" w:w="2340"/>
          </w:tcPr>
          <w:p>
            <w:pPr>
              <w:spacing w:after="20" w:before="20"/>
              <w:jc w:val="both"/>
            </w:pPr>
            <w:r>
              <w:rPr>
                <w:rFonts w:ascii="Barlow Semi Condensed" w:cs="Barlow Semi Condensed" w:eastAsia="Barlow Semi Condensed" w:hAnsi="Barlow Semi Condensed"/>
                <w:sz w:val="20"/>
                <w:szCs w:val="20"/>
              </w:rPr>
              <w:t xml:space="preserve">10</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Lo stile e la lingua come forma del pensiero</w:t>
            </w:r>
          </w:p>
        </w:tc>
        <w:tc>
          <w:tcPr>
            <w:tcW w:type="dxa" w:w="2340"/>
          </w:tcPr>
          <w:p>
            <w:pPr>
              <w:spacing w:after="20" w:before="20"/>
              <w:jc w:val="both"/>
            </w:pPr>
            <w:r>
              <w:rPr>
                <w:rFonts w:ascii="Barlow Semi Condensed" w:cs="Barlow Semi Condensed" w:eastAsia="Barlow Semi Condensed" w:hAnsi="Barlow Semi Condensed"/>
                <w:b/>
                <w:bCs/>
                <w:sz w:val="20"/>
                <w:szCs w:val="20"/>
              </w:rPr>
              <w:t xml:space="preserve">A</w:t>
            </w:r>
            <w:r>
              <w:rPr>
                <w:rFonts w:ascii="Barlow Semi Condensed" w:cs="Barlow Semi Condensed" w:eastAsia="Barlow Semi Condensed" w:hAnsi="Barlow Semi Condensed"/>
                <w:sz w:val="20"/>
                <w:szCs w:val="20"/>
              </w:rPr>
              <w:t xml:space="preserve"> su fatti / lettura d'autore</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 (lettura dichiarata)</w:t>
            </w:r>
          </w:p>
        </w:tc>
      </w:tr>
    </w:tbl>
    <w:p>
      <w:pPr>
        <w:spacing w:after="80"/>
      </w:pPr>
    </w:p>
    <w:p>
      <w:pPr>
        <w:pStyle w:val="Heading2"/>
        <w:spacing w:after="100" w:before="200"/>
      </w:pPr>
      <w:r>
        <w:rPr>
          <w:rFonts w:ascii="Barlow Semi Condensed" w:cs="Barlow Semi Condensed" w:eastAsia="Barlow Semi Condensed" w:hAnsi="Barlow Semi Condensed"/>
          <w:sz w:val="24"/>
          <w:szCs w:val="24"/>
        </w:rPr>
        <w:t xml:space="preserve">Fase seconda — Il perché</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40"/>
        <w:gridCol w:w="2340"/>
        <w:gridCol w:w="2340"/>
        <w:gridCol w:w="2340"/>
      </w:tblGrid>
      <w:tr>
        <w:tc>
          <w:tcPr>
            <w:tcW w:type="dxa" w:w="234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Cap.</w:t>
            </w:r>
          </w:p>
        </w:tc>
        <w:tc>
          <w:tcPr>
            <w:tcW w:type="dxa" w:w="234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Asserzione portante</w:t>
            </w:r>
          </w:p>
        </w:tc>
        <w:tc>
          <w:tcPr>
            <w:tcW w:type="dxa" w:w="234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Grado</w:t>
            </w:r>
          </w:p>
        </w:tc>
        <w:tc>
          <w:tcPr>
            <w:tcW w:type="dxa" w:w="234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Che cosa lo smentirebbe</w:t>
            </w:r>
          </w:p>
        </w:tc>
      </w:tr>
      <w:tr>
        <w:tc>
          <w:tcPr>
            <w:tcW w:type="dxa" w:w="2340"/>
          </w:tcPr>
          <w:p>
            <w:pPr>
              <w:spacing w:after="20" w:before="20"/>
              <w:jc w:val="both"/>
            </w:pPr>
            <w:r>
              <w:rPr>
                <w:rFonts w:ascii="Barlow Semi Condensed" w:cs="Barlow Semi Condensed" w:eastAsia="Barlow Semi Condensed" w:hAnsi="Barlow Semi Condensed"/>
                <w:sz w:val="20"/>
                <w:szCs w:val="20"/>
              </w:rPr>
              <w:t xml:space="preserve">11</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Quadro internazionale: l'esposizione di Moro nell'Italia della Guerra Fredda (PCI più forte d'Occidente)</w:t>
            </w:r>
          </w:p>
        </w:tc>
        <w:tc>
          <w:tcPr>
            <w:tcW w:type="dxa" w:w="2340"/>
          </w:tcPr>
          <w:p>
            <w:pPr>
              <w:spacing w:after="20" w:before="20"/>
              <w:jc w:val="both"/>
            </w:pPr>
            <w:r>
              <w:rPr>
                <w:rFonts w:ascii="Barlow Semi Condensed" w:cs="Barlow Semi Condensed" w:eastAsia="Barlow Semi Condensed" w:hAnsi="Barlow Semi Condensed"/>
                <w:b/>
                <w:bCs/>
                <w:sz w:val="20"/>
                <w:szCs w:val="20"/>
              </w:rPr>
              <w:t xml:space="preserve">A</w:t>
            </w:r>
            <w:r>
              <w:rPr>
                <w:rFonts w:ascii="Barlow Semi Condensed" w:cs="Barlow Semi Condensed" w:eastAsia="Barlow Semi Condensed" w:hAnsi="Barlow Semi Condensed"/>
                <w:sz w:val="20"/>
                <w:szCs w:val="20"/>
              </w:rPr>
              <w:t xml:space="preserve"> come contesto</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Documenti che escludano l'ostilità internazionale (non trovati)</w:t>
            </w:r>
          </w:p>
        </w:tc>
      </w:tr>
      <w:tr>
        <w:tc>
          <w:tcPr>
            <w:tcW w:type="dxa" w:w="2340"/>
          </w:tcPr>
          <w:p>
            <w:pPr>
              <w:spacing w:after="20" w:before="20"/>
              <w:jc w:val="both"/>
            </w:pPr>
            <w:r>
              <w:rPr>
                <w:rFonts w:ascii="Barlow Semi Condensed" w:cs="Barlow Semi Condensed" w:eastAsia="Barlow Semi Condensed" w:hAnsi="Barlow Semi Condensed"/>
                <w:sz w:val="20"/>
                <w:szCs w:val="20"/>
              </w:rPr>
              <w:t xml:space="preserve">12</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L'anomalia italiana e l'eurocomunismo</w:t>
            </w:r>
          </w:p>
        </w:tc>
        <w:tc>
          <w:tcPr>
            <w:tcW w:type="dxa" w:w="2340"/>
          </w:tcPr>
          <w:p>
            <w:pPr>
              <w:spacing w:after="20" w:before="20"/>
              <w:jc w:val="both"/>
            </w:pPr>
            <w:r>
              <w:rPr>
                <w:rFonts w:ascii="Barlow Semi Condensed" w:cs="Barlow Semi Condensed" w:eastAsia="Barlow Semi Condensed" w:hAnsi="Barlow Semi Condensed"/>
                <w:b/>
                <w:bCs/>
                <w:sz w:val="20"/>
                <w:szCs w:val="20"/>
              </w:rPr>
              <w:t xml:space="preserve">A</w:t>
            </w:r>
            <w:r>
              <w:rPr>
                <w:rFonts w:ascii="Barlow Semi Condensed" w:cs="Barlow Semi Condensed" w:eastAsia="Barlow Semi Condensed" w:hAnsi="Barlow Semi Condensed"/>
                <w:sz w:val="20"/>
                <w:szCs w:val="20"/>
              </w:rPr>
              <w:t xml:space="preserve"> contesto</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w:t>
            </w:r>
          </w:p>
        </w:tc>
      </w:tr>
      <w:tr>
        <w:tc>
          <w:tcPr>
            <w:tcW w:type="dxa" w:w="2340"/>
          </w:tcPr>
          <w:p>
            <w:pPr>
              <w:spacing w:after="20" w:before="20"/>
              <w:jc w:val="both"/>
            </w:pPr>
            <w:r>
              <w:rPr>
                <w:rFonts w:ascii="Barlow Semi Condensed" w:cs="Barlow Semi Condensed" w:eastAsia="Barlow Semi Condensed" w:hAnsi="Barlow Semi Condensed"/>
                <w:sz w:val="20"/>
                <w:szCs w:val="20"/>
              </w:rPr>
              <w:t xml:space="preserve">13</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I nemici del primo tempo dell'inclusione (l'apertura ai socialisti)</w:t>
            </w:r>
          </w:p>
        </w:tc>
        <w:tc>
          <w:tcPr>
            <w:tcW w:type="dxa" w:w="2340"/>
          </w:tcPr>
          <w:p>
            <w:pPr>
              <w:spacing w:after="20" w:before="20"/>
              <w:jc w:val="both"/>
            </w:pPr>
            <w:r>
              <w:rPr>
                <w:rFonts w:ascii="Barlow Semi Condensed" w:cs="Barlow Semi Condensed" w:eastAsia="Barlow Semi Condensed" w:hAnsi="Barlow Semi Condensed"/>
                <w:b/>
                <w:bCs/>
                <w:sz w:val="20"/>
                <w:szCs w:val="20"/>
              </w:rPr>
              <w:t xml:space="preserve">A</w:t>
            </w:r>
            <w:r>
              <w:rPr>
                <w:rFonts w:ascii="Barlow Semi Condensed" w:cs="Barlow Semi Condensed" w:eastAsia="Barlow Semi Condensed" w:hAnsi="Barlow Semi Condensed"/>
                <w:sz w:val="20"/>
                <w:szCs w:val="20"/>
              </w:rPr>
              <w:t xml:space="preserve"> contesto</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w:t>
            </w:r>
          </w:p>
        </w:tc>
      </w:tr>
      <w:tr>
        <w:tc>
          <w:tcPr>
            <w:tcW w:type="dxa" w:w="2340"/>
          </w:tcPr>
          <w:p>
            <w:pPr>
              <w:spacing w:after="20" w:before="20"/>
              <w:jc w:val="both"/>
            </w:pPr>
            <w:r>
              <w:rPr>
                <w:rFonts w:ascii="Barlow Semi Condensed" w:cs="Barlow Semi Condensed" w:eastAsia="Barlow Semi Condensed" w:hAnsi="Barlow Semi Condensed"/>
                <w:sz w:val="20"/>
                <w:szCs w:val="20"/>
              </w:rPr>
              <w:t xml:space="preserve">14</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La solidarietà nazionale come capolavoro tattico e rischio strategico</w:t>
            </w:r>
          </w:p>
        </w:tc>
        <w:tc>
          <w:tcPr>
            <w:tcW w:type="dxa" w:w="2340"/>
          </w:tcPr>
          <w:p>
            <w:pPr>
              <w:spacing w:after="20" w:before="20"/>
              <w:jc w:val="both"/>
            </w:pPr>
            <w:r>
              <w:rPr>
                <w:rFonts w:ascii="Barlow Semi Condensed" w:cs="Barlow Semi Condensed" w:eastAsia="Barlow Semi Condensed" w:hAnsi="Barlow Semi Condensed"/>
                <w:b/>
                <w:bCs/>
                <w:sz w:val="20"/>
                <w:szCs w:val="20"/>
              </w:rPr>
              <w:t xml:space="preserve">A</w:t>
            </w:r>
            <w:r>
              <w:rPr>
                <w:rFonts w:ascii="Barlow Semi Condensed" w:cs="Barlow Semi Condensed" w:eastAsia="Barlow Semi Condensed" w:hAnsi="Barlow Semi Condensed"/>
                <w:sz w:val="20"/>
                <w:szCs w:val="20"/>
              </w:rPr>
              <w:t xml:space="preserve"> su fatti / valutazione</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w:t>
            </w:r>
          </w:p>
        </w:tc>
      </w:tr>
      <w:tr>
        <w:tc>
          <w:tcPr>
            <w:tcW w:type="dxa" w:w="2340"/>
          </w:tcPr>
          <w:p>
            <w:pPr>
              <w:spacing w:after="20" w:before="20"/>
              <w:jc w:val="both"/>
            </w:pPr>
            <w:r>
              <w:rPr>
                <w:rFonts w:ascii="Barlow Semi Condensed" w:cs="Barlow Semi Condensed" w:eastAsia="Barlow Semi Condensed" w:hAnsi="Barlow Semi Condensed"/>
                <w:sz w:val="20"/>
                <w:szCs w:val="20"/>
              </w:rPr>
              <w:t xml:space="preserve">15</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Gli avvertimenti attorno al «tessitore»</w:t>
            </w:r>
          </w:p>
        </w:tc>
        <w:tc>
          <w:tcPr>
            <w:tcW w:type="dxa" w:w="2340"/>
          </w:tcPr>
          <w:p>
            <w:pPr>
              <w:spacing w:after="20" w:before="20"/>
              <w:jc w:val="both"/>
            </w:pPr>
            <w:r>
              <w:rPr>
                <w:rFonts w:ascii="Barlow Semi Condensed" w:cs="Barlow Semi Condensed" w:eastAsia="Barlow Semi Condensed" w:hAnsi="Barlow Semi Condensed"/>
                <w:b/>
                <w:bCs/>
                <w:sz w:val="20"/>
                <w:szCs w:val="20"/>
              </w:rPr>
              <w:t xml:space="preserve">A</w:t>
            </w:r>
            <w:r>
              <w:rPr>
                <w:rFonts w:ascii="Barlow Semi Condensed" w:cs="Barlow Semi Condensed" w:eastAsia="Barlow Semi Condensed" w:hAnsi="Barlow Semi Condensed"/>
                <w:sz w:val="20"/>
                <w:szCs w:val="20"/>
              </w:rPr>
              <w:t xml:space="preserve"> l'esistenza di contrarietà; </w:t>
            </w:r>
            <w:r>
              <w:rPr>
                <w:rFonts w:ascii="Barlow Semi Condensed" w:cs="Barlow Semi Condensed" w:eastAsia="Barlow Semi Condensed" w:hAnsi="Barlow Semi Condensed"/>
                <w:b/>
                <w:bCs/>
                <w:sz w:val="20"/>
                <w:szCs w:val="20"/>
              </w:rPr>
              <w:t xml:space="preserve">C</w:t>
            </w:r>
            <w:r>
              <w:rPr>
                <w:rFonts w:ascii="Barlow Semi Condensed" w:cs="Barlow Semi Condensed" w:eastAsia="Barlow Semi Condensed" w:hAnsi="Barlow Semi Condensed"/>
                <w:sz w:val="20"/>
                <w:szCs w:val="20"/>
              </w:rPr>
              <w:t xml:space="preserve"> un mandato che ne discenda</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Un documento che leghi un avvertimento a una direttiva esecutiva</w:t>
            </w:r>
          </w:p>
        </w:tc>
      </w:tr>
      <w:tr>
        <w:tc>
          <w:tcPr>
            <w:tcW w:type="dxa" w:w="2340"/>
          </w:tcPr>
          <w:p>
            <w:pPr>
              <w:spacing w:after="20" w:before="20"/>
              <w:jc w:val="both"/>
            </w:pPr>
            <w:r>
              <w:rPr>
                <w:rFonts w:ascii="Barlow Semi Condensed" w:cs="Barlow Semi Condensed" w:eastAsia="Barlow Semi Condensed" w:hAnsi="Barlow Semi Condensed"/>
                <w:sz w:val="20"/>
                <w:szCs w:val="20"/>
              </w:rPr>
              <w:t xml:space="preserve">16</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Politica mediterranea e «lodo Moro»: il nodo multistrato</w:t>
            </w:r>
          </w:p>
        </w:tc>
        <w:tc>
          <w:tcPr>
            <w:tcW w:type="dxa" w:w="2340"/>
          </w:tcPr>
          <w:p>
            <w:pPr>
              <w:spacing w:after="20" w:before="20"/>
              <w:jc w:val="both"/>
            </w:pPr>
            <w:r>
              <w:rPr>
                <w:rFonts w:ascii="Barlow Semi Condensed" w:cs="Barlow Semi Condensed" w:eastAsia="Barlow Semi Condensed" w:hAnsi="Barlow Semi Condensed"/>
                <w:b/>
                <w:bCs/>
                <w:sz w:val="20"/>
                <w:szCs w:val="20"/>
              </w:rPr>
              <w:t xml:space="preserve">A</w:t>
            </w:r>
            <w:r>
              <w:rPr>
                <w:rFonts w:ascii="Barlow Semi Condensed" w:cs="Barlow Semi Condensed" w:eastAsia="Barlow Semi Condensed" w:hAnsi="Barlow Semi Condensed"/>
                <w:sz w:val="20"/>
                <w:szCs w:val="20"/>
              </w:rPr>
              <w:t xml:space="preserve"> la politica; </w:t>
            </w:r>
            <w:r>
              <w:rPr>
                <w:rFonts w:ascii="Barlow Semi Condensed" w:cs="Barlow Semi Condensed" w:eastAsia="Barlow Semi Condensed" w:hAnsi="Barlow Semi Condensed"/>
                <w:b/>
                <w:bCs/>
                <w:sz w:val="20"/>
                <w:szCs w:val="20"/>
              </w:rPr>
              <w:t xml:space="preserve">B/C</w:t>
            </w:r>
            <w:r>
              <w:rPr>
                <w:rFonts w:ascii="Barlow Semi Condensed" w:cs="Barlow Semi Condensed" w:eastAsia="Barlow Semi Condensed" w:hAnsi="Barlow Semi Condensed"/>
                <w:sz w:val="20"/>
                <w:szCs w:val="20"/>
              </w:rPr>
              <w:t xml:space="preserve"> le ipotesi che vi si radicano</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Atti riservati sui canali mediorientali</w:t>
            </w:r>
          </w:p>
        </w:tc>
      </w:tr>
      <w:tr>
        <w:tc>
          <w:tcPr>
            <w:tcW w:type="dxa" w:w="2340"/>
          </w:tcPr>
          <w:p>
            <w:pPr>
              <w:spacing w:after="20" w:before="20"/>
              <w:jc w:val="both"/>
            </w:pPr>
            <w:r>
              <w:rPr>
                <w:rFonts w:ascii="Barlow Semi Condensed" w:cs="Barlow Semi Condensed" w:eastAsia="Barlow Semi Condensed" w:hAnsi="Barlow Semi Condensed"/>
                <w:sz w:val="20"/>
                <w:szCs w:val="20"/>
              </w:rPr>
              <w:t xml:space="preserve">17</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I dieci domini che si intrecciano nel caso</w:t>
            </w:r>
          </w:p>
        </w:tc>
        <w:tc>
          <w:tcPr>
            <w:tcW w:type="dxa" w:w="2340"/>
          </w:tcPr>
          <w:p>
            <w:pPr>
              <w:spacing w:after="20" w:before="20"/>
              <w:jc w:val="both"/>
            </w:pPr>
            <w:r>
              <w:rPr>
                <w:rFonts w:ascii="Barlow Semi Condensed" w:cs="Barlow Semi Condensed" w:eastAsia="Barlow Semi Condensed" w:hAnsi="Barlow Semi Condensed"/>
                <w:b/>
                <w:bCs/>
                <w:sz w:val="20"/>
                <w:szCs w:val="20"/>
              </w:rPr>
              <w:t xml:space="preserve">M</w:t>
            </w:r>
            <w:r>
              <w:rPr>
                <w:rFonts w:ascii="Barlow Semi Condensed" w:cs="Barlow Semi Condensed" w:eastAsia="Barlow Semi Condensed" w:hAnsi="Barlow Semi Condensed"/>
                <w:sz w:val="20"/>
                <w:szCs w:val="20"/>
              </w:rPr>
              <w:t xml:space="preserve"> (mappa)</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w:t>
            </w:r>
          </w:p>
        </w:tc>
      </w:tr>
      <w:tr>
        <w:tc>
          <w:tcPr>
            <w:tcW w:type="dxa" w:w="2340"/>
          </w:tcPr>
          <w:p>
            <w:pPr>
              <w:spacing w:after="20" w:before="20"/>
              <w:jc w:val="both"/>
            </w:pPr>
            <w:r>
              <w:rPr>
                <w:rFonts w:ascii="Barlow Semi Condensed" w:cs="Barlow Semi Condensed" w:eastAsia="Barlow Semi Condensed" w:hAnsi="Barlow Semi Condensed"/>
                <w:sz w:val="20"/>
                <w:szCs w:val="20"/>
              </w:rPr>
              <w:t xml:space="preserve">18</w:t>
            </w:r>
          </w:p>
        </w:tc>
        <w:tc>
          <w:tcPr>
            <w:tcW w:type="dxa" w:w="2340"/>
          </w:tcPr>
          <w:p>
            <w:pPr>
              <w:spacing w:after="20" w:before="20"/>
              <w:jc w:val="both"/>
            </w:pPr>
            <w:r>
              <w:rPr>
                <w:rFonts w:ascii="Barlow Semi Condensed" w:cs="Barlow Semi Condensed" w:eastAsia="Barlow Semi Condensed" w:hAnsi="Barlow Semi Condensed"/>
                <w:b/>
                <w:bCs/>
                <w:sz w:val="20"/>
                <w:szCs w:val="20"/>
              </w:rPr>
              <w:t xml:space="preserve">Autonomia accertata delle Brigate Rosse</w:t>
            </w:r>
            <w:r>
              <w:rPr>
                <w:rFonts w:ascii="Barlow Semi Condensed" w:cs="Barlow Semi Condensed" w:eastAsia="Barlow Semi Condensed" w:hAnsi="Barlow Semi Condensed"/>
                <w:sz w:val="20"/>
                <w:szCs w:val="20"/>
              </w:rPr>
              <w:t xml:space="preserve"> come organizzazione armata</w:t>
            </w:r>
          </w:p>
        </w:tc>
        <w:tc>
          <w:tcPr>
            <w:tcW w:type="dxa" w:w="2340"/>
          </w:tcPr>
          <w:p>
            <w:pPr>
              <w:spacing w:after="20" w:before="20"/>
              <w:jc w:val="both"/>
            </w:pPr>
            <w:r>
              <w:rPr>
                <w:rFonts w:ascii="Barlow Semi Condensed" w:cs="Barlow Semi Condensed" w:eastAsia="Barlow Semi Condensed" w:hAnsi="Barlow Semi Condensed"/>
                <w:b/>
                <w:bCs/>
                <w:sz w:val="20"/>
                <w:szCs w:val="20"/>
              </w:rPr>
              <w:t xml:space="preserve">A</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Un documento coevo, esterno, autenticato, che provi l'eterodirezione (cercato, non trovato)</w:t>
            </w:r>
          </w:p>
        </w:tc>
      </w:tr>
      <w:tr>
        <w:tc>
          <w:tcPr>
            <w:tcW w:type="dxa" w:w="2340"/>
          </w:tcPr>
          <w:p>
            <w:pPr>
              <w:spacing w:after="20" w:before="20"/>
              <w:jc w:val="both"/>
            </w:pPr>
            <w:r>
              <w:rPr>
                <w:rFonts w:ascii="Barlow Semi Condensed" w:cs="Barlow Semi Condensed" w:eastAsia="Barlow Semi Condensed" w:hAnsi="Barlow Semi Condensed"/>
                <w:sz w:val="20"/>
                <w:szCs w:val="20"/>
              </w:rPr>
              <w:t xml:space="preserve">19</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La vigilia: il 1977-78, tutti i fili si tendono</w:t>
            </w:r>
          </w:p>
        </w:tc>
        <w:tc>
          <w:tcPr>
            <w:tcW w:type="dxa" w:w="2340"/>
          </w:tcPr>
          <w:p>
            <w:pPr>
              <w:spacing w:after="20" w:before="20"/>
              <w:jc w:val="both"/>
            </w:pPr>
            <w:r>
              <w:rPr>
                <w:rFonts w:ascii="Barlow Semi Condensed" w:cs="Barlow Semi Condensed" w:eastAsia="Barlow Semi Condensed" w:hAnsi="Barlow Semi Condensed"/>
                <w:b/>
                <w:bCs/>
                <w:sz w:val="20"/>
                <w:szCs w:val="20"/>
              </w:rPr>
              <w:t xml:space="preserve">A</w:t>
            </w:r>
            <w:r>
              <w:rPr>
                <w:rFonts w:ascii="Barlow Semi Condensed" w:cs="Barlow Semi Condensed" w:eastAsia="Barlow Semi Condensed" w:hAnsi="Barlow Semi Condensed"/>
                <w:sz w:val="20"/>
                <w:szCs w:val="20"/>
              </w:rPr>
              <w:t xml:space="preserve"> contesto</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w:t>
            </w:r>
          </w:p>
        </w:tc>
      </w:tr>
      <w:tr>
        <w:tc>
          <w:tcPr>
            <w:tcW w:type="dxa" w:w="2340"/>
          </w:tcPr>
          <w:p>
            <w:pPr>
              <w:spacing w:after="20" w:before="20"/>
              <w:jc w:val="both"/>
            </w:pPr>
            <w:r>
              <w:rPr>
                <w:rFonts w:ascii="Barlow Semi Condensed" w:cs="Barlow Semi Condensed" w:eastAsia="Barlow Semi Condensed" w:hAnsi="Barlow Semi Condensed"/>
                <w:sz w:val="20"/>
                <w:szCs w:val="20"/>
              </w:rPr>
              <w:t xml:space="preserve">20</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«Perché Moro»: la scelta del bersaglio nella logica dichiarata delle BR</w:t>
            </w:r>
          </w:p>
        </w:tc>
        <w:tc>
          <w:tcPr>
            <w:tcW w:type="dxa" w:w="2340"/>
          </w:tcPr>
          <w:p>
            <w:pPr>
              <w:spacing w:after="20" w:before="20"/>
              <w:jc w:val="both"/>
            </w:pPr>
            <w:r>
              <w:rPr>
                <w:rFonts w:ascii="Barlow Semi Condensed" w:cs="Barlow Semi Condensed" w:eastAsia="Barlow Semi Condensed" w:hAnsi="Barlow Semi Condensed"/>
                <w:b/>
                <w:bCs/>
                <w:sz w:val="20"/>
                <w:szCs w:val="20"/>
              </w:rPr>
              <w:t xml:space="preserve">A</w:t>
            </w:r>
            <w:r>
              <w:rPr>
                <w:rFonts w:ascii="Barlow Semi Condensed" w:cs="Barlow Semi Condensed" w:eastAsia="Barlow Semi Condensed" w:hAnsi="Barlow Semi Condensed"/>
                <w:sz w:val="20"/>
                <w:szCs w:val="20"/>
              </w:rPr>
              <w:t xml:space="preserve"> (logica rivendicata)</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Documento che attribuisca la scelta ad altra volontà</w:t>
            </w:r>
          </w:p>
        </w:tc>
      </w:tr>
    </w:tbl>
    <w:p>
      <w:pPr>
        <w:spacing w:after="80"/>
      </w:pPr>
    </w:p>
    <w:p>
      <w:pPr>
        <w:pStyle w:val="Heading2"/>
        <w:spacing w:after="100" w:before="200"/>
      </w:pPr>
      <w:r>
        <w:rPr>
          <w:rFonts w:ascii="Barlow Semi Condensed" w:cs="Barlow Semi Condensed" w:eastAsia="Barlow Semi Condensed" w:hAnsi="Barlow Semi Condensed"/>
          <w:sz w:val="24"/>
          <w:szCs w:val="24"/>
        </w:rPr>
        <w:t xml:space="preserve">Fase terza — Il caso</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40"/>
        <w:gridCol w:w="2340"/>
        <w:gridCol w:w="2340"/>
        <w:gridCol w:w="2340"/>
      </w:tblGrid>
      <w:tr>
        <w:tc>
          <w:tcPr>
            <w:tcW w:type="dxa" w:w="234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Cap.</w:t>
            </w:r>
          </w:p>
        </w:tc>
        <w:tc>
          <w:tcPr>
            <w:tcW w:type="dxa" w:w="234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Asserzione portante</w:t>
            </w:r>
          </w:p>
        </w:tc>
        <w:tc>
          <w:tcPr>
            <w:tcW w:type="dxa" w:w="234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Grado</w:t>
            </w:r>
          </w:p>
        </w:tc>
        <w:tc>
          <w:tcPr>
            <w:tcW w:type="dxa" w:w="234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Che cosa lo smentirebbe</w:t>
            </w:r>
          </w:p>
        </w:tc>
      </w:tr>
      <w:tr>
        <w:tc>
          <w:tcPr>
            <w:tcW w:type="dxa" w:w="2340"/>
          </w:tcPr>
          <w:p>
            <w:pPr>
              <w:spacing w:after="20" w:before="20"/>
              <w:jc w:val="both"/>
            </w:pPr>
            <w:r>
              <w:rPr>
                <w:rFonts w:ascii="Barlow Semi Condensed" w:cs="Barlow Semi Condensed" w:eastAsia="Barlow Semi Condensed" w:hAnsi="Barlow Semi Condensed"/>
                <w:sz w:val="20"/>
                <w:szCs w:val="20"/>
              </w:rPr>
              <w:t xml:space="preserve">21</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La mattina del 16 marzo 1978</w:t>
            </w:r>
          </w:p>
        </w:tc>
        <w:tc>
          <w:tcPr>
            <w:tcW w:type="dxa" w:w="2340"/>
          </w:tcPr>
          <w:p>
            <w:pPr>
              <w:spacing w:after="20" w:before="20"/>
              <w:jc w:val="both"/>
            </w:pPr>
            <w:r>
              <w:rPr>
                <w:rFonts w:ascii="Barlow Semi Condensed" w:cs="Barlow Semi Condensed" w:eastAsia="Barlow Semi Condensed" w:hAnsi="Barlow Semi Condensed"/>
                <w:b/>
                <w:bCs/>
                <w:sz w:val="20"/>
                <w:szCs w:val="20"/>
              </w:rPr>
              <w:t xml:space="preserve">A</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Cronologia documentale di segno contrario</w:t>
            </w:r>
          </w:p>
        </w:tc>
      </w:tr>
      <w:tr>
        <w:tc>
          <w:tcPr>
            <w:tcW w:type="dxa" w:w="2340"/>
          </w:tcPr>
          <w:p>
            <w:pPr>
              <w:spacing w:after="20" w:before="20"/>
              <w:jc w:val="both"/>
            </w:pPr>
            <w:r>
              <w:rPr>
                <w:rFonts w:ascii="Barlow Semi Condensed" w:cs="Barlow Semi Condensed" w:eastAsia="Barlow Semi Condensed" w:hAnsi="Barlow Semi Condensed"/>
                <w:sz w:val="20"/>
                <w:szCs w:val="20"/>
              </w:rPr>
              <w:t xml:space="preserve">22</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La meccanica dell'agguato di via Fani; la scelta del giorno (fiducia al governo con appoggio PCI)</w:t>
            </w:r>
          </w:p>
        </w:tc>
        <w:tc>
          <w:tcPr>
            <w:tcW w:type="dxa" w:w="2340"/>
          </w:tcPr>
          <w:p>
            <w:pPr>
              <w:spacing w:after="20" w:before="20"/>
              <w:jc w:val="both"/>
            </w:pPr>
            <w:r>
              <w:rPr>
                <w:rFonts w:ascii="Barlow Semi Condensed" w:cs="Barlow Semi Condensed" w:eastAsia="Barlow Semi Condensed" w:hAnsi="Barlow Semi Condensed"/>
                <w:b/>
                <w:bCs/>
                <w:sz w:val="20"/>
                <w:szCs w:val="20"/>
              </w:rPr>
              <w:t xml:space="preserve">A</w:t>
            </w:r>
            <w:r>
              <w:rPr>
                <w:rFonts w:ascii="Barlow Semi Condensed" w:cs="Barlow Semi Condensed" w:eastAsia="Barlow Semi Condensed" w:hAnsi="Barlow Semi Condensed"/>
                <w:sz w:val="20"/>
                <w:szCs w:val="20"/>
              </w:rPr>
              <w:t xml:space="preserve"> l'agguato e la data; </w:t>
            </w:r>
            <w:r>
              <w:rPr>
                <w:rFonts w:ascii="Barlow Semi Condensed" w:cs="Barlow Semi Condensed" w:eastAsia="Barlow Semi Condensed" w:hAnsi="Barlow Semi Condensed"/>
                <w:b/>
                <w:bCs/>
                <w:sz w:val="20"/>
                <w:szCs w:val="20"/>
              </w:rPr>
              <w:t xml:space="preserve">B/C</w:t>
            </w:r>
            <w:r>
              <w:rPr>
                <w:rFonts w:ascii="Barlow Semi Condensed" w:cs="Barlow Semi Condensed" w:eastAsia="Barlow Semi Condensed" w:hAnsi="Barlow Semi Condensed"/>
                <w:sz w:val="20"/>
                <w:szCs w:val="20"/>
              </w:rPr>
              <w:t xml:space="preserve"> la ricostruzione minuta</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w:t>
            </w:r>
          </w:p>
        </w:tc>
      </w:tr>
      <w:tr>
        <w:tc>
          <w:tcPr>
            <w:tcW w:type="dxa" w:w="2340"/>
          </w:tcPr>
          <w:p>
            <w:pPr>
              <w:spacing w:after="20" w:before="20"/>
              <w:jc w:val="both"/>
            </w:pPr>
            <w:r>
              <w:rPr>
                <w:rFonts w:ascii="Barlow Semi Condensed" w:cs="Barlow Semi Condensed" w:eastAsia="Barlow Semi Condensed" w:hAnsi="Barlow Semi Condensed"/>
                <w:sz w:val="20"/>
                <w:szCs w:val="20"/>
              </w:rPr>
              <w:t xml:space="preserve">23</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I cinque della scorta: Leonardi, Ricci, Rivera, Zizzi, Iozzino</w:t>
            </w:r>
          </w:p>
        </w:tc>
        <w:tc>
          <w:tcPr>
            <w:tcW w:type="dxa" w:w="2340"/>
          </w:tcPr>
          <w:p>
            <w:pPr>
              <w:spacing w:after="20" w:before="20"/>
              <w:jc w:val="both"/>
            </w:pPr>
            <w:r>
              <w:rPr>
                <w:rFonts w:ascii="Barlow Semi Condensed" w:cs="Barlow Semi Condensed" w:eastAsia="Barlow Semi Condensed" w:hAnsi="Barlow Semi Condensed"/>
                <w:b/>
                <w:bCs/>
                <w:sz w:val="20"/>
                <w:szCs w:val="20"/>
              </w:rPr>
              <w:t xml:space="preserve">A</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w:t>
            </w:r>
          </w:p>
        </w:tc>
      </w:tr>
      <w:tr>
        <w:tc>
          <w:tcPr>
            <w:tcW w:type="dxa" w:w="2340"/>
          </w:tcPr>
          <w:p>
            <w:pPr>
              <w:spacing w:after="20" w:before="20"/>
              <w:jc w:val="both"/>
            </w:pPr>
            <w:r>
              <w:rPr>
                <w:rFonts w:ascii="Barlow Semi Condensed" w:cs="Barlow Semi Condensed" w:eastAsia="Barlow Semi Condensed" w:hAnsi="Barlow Semi Condensed"/>
                <w:sz w:val="20"/>
                <w:szCs w:val="20"/>
              </w:rPr>
              <w:t xml:space="preserve">24</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Le questioni aperte di via Fani (numero sparatori, moto Honda, anomalie balistiche)</w:t>
            </w:r>
          </w:p>
        </w:tc>
        <w:tc>
          <w:tcPr>
            <w:tcW w:type="dxa" w:w="2340"/>
          </w:tcPr>
          <w:p>
            <w:pPr>
              <w:spacing w:after="20" w:before="20"/>
              <w:jc w:val="both"/>
            </w:pPr>
            <w:r>
              <w:rPr>
                <w:rFonts w:ascii="Barlow Semi Condensed" w:cs="Barlow Semi Condensed" w:eastAsia="Barlow Semi Condensed" w:hAnsi="Barlow Semi Condensed"/>
                <w:b/>
                <w:bCs/>
                <w:sz w:val="20"/>
                <w:szCs w:val="20"/>
              </w:rPr>
              <w:t xml:space="preserve">B/C</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Prova positiva di un tiratore non riconducibile alle BR</w:t>
            </w:r>
          </w:p>
        </w:tc>
      </w:tr>
      <w:tr>
        <w:tc>
          <w:tcPr>
            <w:tcW w:type="dxa" w:w="2340"/>
          </w:tcPr>
          <w:p>
            <w:pPr>
              <w:spacing w:after="20" w:before="20"/>
              <w:jc w:val="both"/>
            </w:pPr>
            <w:r>
              <w:rPr>
                <w:rFonts w:ascii="Barlow Semi Condensed" w:cs="Barlow Semi Condensed" w:eastAsia="Barlow Semi Condensed" w:hAnsi="Barlow Semi Condensed"/>
                <w:sz w:val="20"/>
                <w:szCs w:val="20"/>
              </w:rPr>
              <w:t xml:space="preserve">25</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La prigionia; l'individuazione della prigione di via Montalcini</w:t>
            </w:r>
          </w:p>
        </w:tc>
        <w:tc>
          <w:tcPr>
            <w:tcW w:type="dxa" w:w="2340"/>
          </w:tcPr>
          <w:p>
            <w:pPr>
              <w:spacing w:after="20" w:before="20"/>
              <w:jc w:val="both"/>
            </w:pPr>
            <w:r>
              <w:rPr>
                <w:rFonts w:ascii="Barlow Semi Condensed" w:cs="Barlow Semi Condensed" w:eastAsia="Barlow Semi Condensed" w:hAnsi="Barlow Semi Condensed"/>
                <w:b/>
                <w:bCs/>
                <w:sz w:val="20"/>
                <w:szCs w:val="20"/>
              </w:rPr>
              <w:t xml:space="preserve">A</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Prova documentale di prigione diversa (non trovata)</w:t>
            </w:r>
          </w:p>
        </w:tc>
      </w:tr>
      <w:tr>
        <w:tc>
          <w:tcPr>
            <w:tcW w:type="dxa" w:w="2340"/>
          </w:tcPr>
          <w:p>
            <w:pPr>
              <w:spacing w:after="20" w:before="20"/>
              <w:jc w:val="both"/>
            </w:pPr>
            <w:r>
              <w:rPr>
                <w:rFonts w:ascii="Barlow Semi Condensed" w:cs="Barlow Semi Condensed" w:eastAsia="Barlow Semi Condensed" w:hAnsi="Barlow Semi Condensed"/>
                <w:sz w:val="20"/>
                <w:szCs w:val="20"/>
              </w:rPr>
              <w:t xml:space="preserve">26</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Le lettere dalla prigionia: registro politico</w:t>
            </w:r>
          </w:p>
        </w:tc>
        <w:tc>
          <w:tcPr>
            <w:tcW w:type="dxa" w:w="2340"/>
          </w:tcPr>
          <w:p>
            <w:pPr>
              <w:spacing w:after="20" w:before="20"/>
              <w:jc w:val="both"/>
            </w:pPr>
            <w:r>
              <w:rPr>
                <w:rFonts w:ascii="Barlow Semi Condensed" w:cs="Barlow Semi Condensed" w:eastAsia="Barlow Semi Condensed" w:hAnsi="Barlow Semi Condensed"/>
                <w:b/>
                <w:bCs/>
                <w:sz w:val="20"/>
                <w:szCs w:val="20"/>
              </w:rPr>
              <w:t xml:space="preserve">A</w:t>
            </w:r>
            <w:r>
              <w:rPr>
                <w:rFonts w:ascii="Barlow Semi Condensed" w:cs="Barlow Semi Condensed" w:eastAsia="Barlow Semi Condensed" w:hAnsi="Barlow Semi Condensed"/>
                <w:sz w:val="20"/>
                <w:szCs w:val="20"/>
              </w:rPr>
              <w:t xml:space="preserve"> (esistenza e testo) / lettura</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w:t>
            </w:r>
          </w:p>
        </w:tc>
      </w:tr>
      <w:tr>
        <w:tc>
          <w:tcPr>
            <w:tcW w:type="dxa" w:w="2340"/>
          </w:tcPr>
          <w:p>
            <w:pPr>
              <w:spacing w:after="20" w:before="20"/>
              <w:jc w:val="both"/>
            </w:pPr>
            <w:r>
              <w:rPr>
                <w:rFonts w:ascii="Barlow Semi Condensed" w:cs="Barlow Semi Condensed" w:eastAsia="Barlow Semi Condensed" w:hAnsi="Barlow Semi Condensed"/>
                <w:sz w:val="20"/>
                <w:szCs w:val="20"/>
              </w:rPr>
              <w:t xml:space="preserve">27</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Le lettere: registro umano</w:t>
            </w:r>
          </w:p>
        </w:tc>
        <w:tc>
          <w:tcPr>
            <w:tcW w:type="dxa" w:w="2340"/>
          </w:tcPr>
          <w:p>
            <w:pPr>
              <w:spacing w:after="20" w:before="20"/>
              <w:jc w:val="both"/>
            </w:pPr>
            <w:r>
              <w:rPr>
                <w:rFonts w:ascii="Barlow Semi Condensed" w:cs="Barlow Semi Condensed" w:eastAsia="Barlow Semi Condensed" w:hAnsi="Barlow Semi Condensed"/>
                <w:b/>
                <w:bCs/>
                <w:sz w:val="20"/>
                <w:szCs w:val="20"/>
              </w:rPr>
              <w:t xml:space="preserve">A</w:t>
            </w:r>
            <w:r>
              <w:rPr>
                <w:rFonts w:ascii="Barlow Semi Condensed" w:cs="Barlow Semi Condensed" w:eastAsia="Barlow Semi Condensed" w:hAnsi="Barlow Semi Condensed"/>
                <w:sz w:val="20"/>
                <w:szCs w:val="20"/>
              </w:rPr>
              <w:t xml:space="preserve"> (esistenza e testo) / lettura</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w:t>
            </w:r>
          </w:p>
        </w:tc>
      </w:tr>
      <w:tr>
        <w:tc>
          <w:tcPr>
            <w:tcW w:type="dxa" w:w="2340"/>
          </w:tcPr>
          <w:p>
            <w:pPr>
              <w:spacing w:after="20" w:before="20"/>
              <w:jc w:val="both"/>
            </w:pPr>
            <w:r>
              <w:rPr>
                <w:rFonts w:ascii="Barlow Semi Condensed" w:cs="Barlow Semi Condensed" w:eastAsia="Barlow Semi Condensed" w:hAnsi="Barlow Semi Condensed"/>
                <w:sz w:val="20"/>
                <w:szCs w:val="20"/>
              </w:rPr>
              <w:t xml:space="preserve">28</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Il memoriale e la sua sorte</w:t>
            </w:r>
          </w:p>
        </w:tc>
        <w:tc>
          <w:tcPr>
            <w:tcW w:type="dxa" w:w="2340"/>
          </w:tcPr>
          <w:p>
            <w:pPr>
              <w:spacing w:after="20" w:before="20"/>
              <w:jc w:val="both"/>
            </w:pPr>
            <w:r>
              <w:rPr>
                <w:rFonts w:ascii="Barlow Semi Condensed" w:cs="Barlow Semi Condensed" w:eastAsia="Barlow Semi Condensed" w:hAnsi="Barlow Semi Condensed"/>
                <w:b/>
                <w:bCs/>
                <w:sz w:val="20"/>
                <w:szCs w:val="20"/>
              </w:rPr>
              <w:t xml:space="preserve">A</w:t>
            </w:r>
            <w:r>
              <w:rPr>
                <w:rFonts w:ascii="Barlow Semi Condensed" w:cs="Barlow Semi Condensed" w:eastAsia="Barlow Semi Condensed" w:hAnsi="Barlow Semi Condensed"/>
                <w:sz w:val="20"/>
                <w:szCs w:val="20"/>
              </w:rPr>
              <w:t xml:space="preserve"> i fatti; </w:t>
            </w:r>
            <w:r>
              <w:rPr>
                <w:rFonts w:ascii="Barlow Semi Condensed" w:cs="Barlow Semi Condensed" w:eastAsia="Barlow Semi Condensed" w:hAnsi="Barlow Semi Condensed"/>
                <w:b/>
                <w:bCs/>
                <w:sz w:val="20"/>
                <w:szCs w:val="20"/>
              </w:rPr>
              <w:t xml:space="preserve">B</w:t>
            </w:r>
            <w:r>
              <w:rPr>
                <w:rFonts w:ascii="Barlow Semi Condensed" w:cs="Barlow Semi Condensed" w:eastAsia="Barlow Semi Condensed" w:hAnsi="Barlow Semi Condensed"/>
                <w:sz w:val="20"/>
                <w:szCs w:val="20"/>
              </w:rPr>
              <w:t xml:space="preserve"> la manipolazione/incompletezza deliberata</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Catena di custodia integrale delle carte di via Monte Nevoso</w:t>
            </w:r>
          </w:p>
        </w:tc>
      </w:tr>
      <w:tr>
        <w:tc>
          <w:tcPr>
            <w:tcW w:type="dxa" w:w="2340"/>
          </w:tcPr>
          <w:p>
            <w:pPr>
              <w:spacing w:after="20" w:before="20"/>
              <w:jc w:val="both"/>
            </w:pPr>
            <w:r>
              <w:rPr>
                <w:rFonts w:ascii="Barlow Semi Condensed" w:cs="Barlow Semi Condensed" w:eastAsia="Barlow Semi Condensed" w:hAnsi="Barlow Semi Condensed"/>
                <w:sz w:val="20"/>
                <w:szCs w:val="20"/>
              </w:rPr>
              <w:t xml:space="preserve">29</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Fermezza contro trattativa</w:t>
            </w:r>
          </w:p>
        </w:tc>
        <w:tc>
          <w:tcPr>
            <w:tcW w:type="dxa" w:w="2340"/>
          </w:tcPr>
          <w:p>
            <w:pPr>
              <w:spacing w:after="20" w:before="20"/>
              <w:jc w:val="both"/>
            </w:pPr>
            <w:r>
              <w:rPr>
                <w:rFonts w:ascii="Barlow Semi Condensed" w:cs="Barlow Semi Condensed" w:eastAsia="Barlow Semi Condensed" w:hAnsi="Barlow Semi Condensed"/>
                <w:b/>
                <w:bCs/>
                <w:sz w:val="20"/>
                <w:szCs w:val="20"/>
              </w:rPr>
              <w:t xml:space="preserve">A</w:t>
            </w:r>
            <w:r>
              <w:rPr>
                <w:rFonts w:ascii="Barlow Semi Condensed" w:cs="Barlow Semi Condensed" w:eastAsia="Barlow Semi Condensed" w:hAnsi="Barlow Semi Condensed"/>
                <w:sz w:val="20"/>
                <w:szCs w:val="20"/>
              </w:rPr>
              <w:t xml:space="preserve"> lo schieramento e la scelta; </w:t>
            </w:r>
            <w:r>
              <w:rPr>
                <w:rFonts w:ascii="Barlow Semi Condensed" w:cs="Barlow Semi Condensed" w:eastAsia="Barlow Semi Condensed" w:hAnsi="Barlow Semi Condensed"/>
                <w:b/>
                <w:bCs/>
                <w:sz w:val="20"/>
                <w:szCs w:val="20"/>
              </w:rPr>
              <w:t xml:space="preserve">C</w:t>
            </w:r>
            <w:r>
              <w:rPr>
                <w:rFonts w:ascii="Barlow Semi Condensed" w:cs="Barlow Semi Condensed" w:eastAsia="Barlow Semi Condensed" w:hAnsi="Barlow Semi Condensed"/>
                <w:sz w:val="20"/>
                <w:szCs w:val="20"/>
              </w:rPr>
              <w:t xml:space="preserve"> l'esito contro-fattuale</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 (i contro-fattuali non sono falsificabili)</w:t>
            </w:r>
          </w:p>
        </w:tc>
      </w:tr>
      <w:tr>
        <w:tc>
          <w:tcPr>
            <w:tcW w:type="dxa" w:w="2340"/>
          </w:tcPr>
          <w:p>
            <w:pPr>
              <w:spacing w:after="20" w:before="20"/>
              <w:jc w:val="both"/>
            </w:pPr>
            <w:r>
              <w:rPr>
                <w:rFonts w:ascii="Barlow Semi Condensed" w:cs="Barlow Semi Condensed" w:eastAsia="Barlow Semi Condensed" w:hAnsi="Barlow Semi Condensed"/>
                <w:sz w:val="20"/>
                <w:szCs w:val="20"/>
              </w:rPr>
              <w:t xml:space="preserve">30</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Il 9 maggio, via Caetani</w:t>
            </w:r>
          </w:p>
        </w:tc>
        <w:tc>
          <w:tcPr>
            <w:tcW w:type="dxa" w:w="2340"/>
          </w:tcPr>
          <w:p>
            <w:pPr>
              <w:spacing w:after="20" w:before="20"/>
              <w:jc w:val="both"/>
            </w:pPr>
            <w:r>
              <w:rPr>
                <w:rFonts w:ascii="Barlow Semi Condensed" w:cs="Barlow Semi Condensed" w:eastAsia="Barlow Semi Condensed" w:hAnsi="Barlow Semi Condensed"/>
                <w:b/>
                <w:bCs/>
                <w:sz w:val="20"/>
                <w:szCs w:val="20"/>
              </w:rPr>
              <w:t xml:space="preserve">A</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w:t>
            </w:r>
          </w:p>
        </w:tc>
      </w:tr>
    </w:tbl>
    <w:p>
      <w:pPr>
        <w:spacing w:after="80"/>
      </w:pPr>
    </w:p>
    <w:p>
      <w:pPr>
        <w:pStyle w:val="Heading2"/>
        <w:spacing w:after="100" w:before="200"/>
      </w:pPr>
      <w:r>
        <w:rPr>
          <w:rFonts w:ascii="Barlow Semi Condensed" w:cs="Barlow Semi Condensed" w:eastAsia="Barlow Semi Condensed" w:hAnsi="Barlow Semi Condensed"/>
          <w:sz w:val="24"/>
          <w:szCs w:val="24"/>
        </w:rPr>
        <w:t xml:space="preserve">Fase quarta — Omissioni, collusioni, insabbiamenti</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40"/>
        <w:gridCol w:w="2340"/>
        <w:gridCol w:w="2340"/>
        <w:gridCol w:w="2340"/>
      </w:tblGrid>
      <w:tr>
        <w:tc>
          <w:tcPr>
            <w:tcW w:type="dxa" w:w="234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Cap.</w:t>
            </w:r>
          </w:p>
        </w:tc>
        <w:tc>
          <w:tcPr>
            <w:tcW w:type="dxa" w:w="234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Asserzione portante</w:t>
            </w:r>
          </w:p>
        </w:tc>
        <w:tc>
          <w:tcPr>
            <w:tcW w:type="dxa" w:w="234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Grado</w:t>
            </w:r>
          </w:p>
        </w:tc>
        <w:tc>
          <w:tcPr>
            <w:tcW w:type="dxa" w:w="234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Che cosa lo smentirebbe</w:t>
            </w:r>
          </w:p>
        </w:tc>
      </w:tr>
      <w:tr>
        <w:tc>
          <w:tcPr>
            <w:tcW w:type="dxa" w:w="2340"/>
          </w:tcPr>
          <w:p>
            <w:pPr>
              <w:spacing w:after="20" w:before="20"/>
              <w:jc w:val="both"/>
            </w:pPr>
            <w:r>
              <w:rPr>
                <w:rFonts w:ascii="Barlow Semi Condensed" w:cs="Barlow Semi Condensed" w:eastAsia="Barlow Semi Condensed" w:hAnsi="Barlow Semi Condensed"/>
                <w:sz w:val="20"/>
                <w:szCs w:val="20"/>
              </w:rPr>
              <w:t xml:space="preserve">31</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La macchina delle ricerche e il suo fallimento</w:t>
            </w:r>
          </w:p>
        </w:tc>
        <w:tc>
          <w:tcPr>
            <w:tcW w:type="dxa" w:w="2340"/>
          </w:tcPr>
          <w:p>
            <w:pPr>
              <w:spacing w:after="20" w:before="20"/>
              <w:jc w:val="both"/>
            </w:pPr>
            <w:r>
              <w:rPr>
                <w:rFonts w:ascii="Barlow Semi Condensed" w:cs="Barlow Semi Condensed" w:eastAsia="Barlow Semi Condensed" w:hAnsi="Barlow Semi Condensed"/>
                <w:b/>
                <w:bCs/>
                <w:sz w:val="20"/>
                <w:szCs w:val="20"/>
              </w:rPr>
              <w:t xml:space="preserve">A</w:t>
            </w:r>
            <w:r>
              <w:rPr>
                <w:rFonts w:ascii="Barlow Semi Condensed" w:cs="Barlow Semi Condensed" w:eastAsia="Barlow Semi Condensed" w:hAnsi="Barlow Semi Condensed"/>
                <w:sz w:val="20"/>
                <w:szCs w:val="20"/>
              </w:rPr>
              <w:t xml:space="preserve"> i fatti; il </w:t>
            </w:r>
            <w:r>
              <w:rPr>
                <w:rFonts w:ascii="Barlow Semi Condensed" w:cs="Barlow Semi Condensed" w:eastAsia="Barlow Semi Condensed" w:hAnsi="Barlow Semi Condensed"/>
                <w:i/>
                <w:iCs/>
                <w:sz w:val="20"/>
                <w:szCs w:val="20"/>
              </w:rPr>
              <w:t xml:space="preserve">dolo</w:t>
            </w:r>
            <w:r>
              <w:rPr>
                <w:rFonts w:ascii="Barlow Semi Condensed" w:cs="Barlow Semi Condensed" w:eastAsia="Barlow Semi Condensed" w:hAnsi="Barlow Semi Condensed"/>
                <w:sz w:val="20"/>
                <w:szCs w:val="20"/>
              </w:rPr>
              <w:t xml:space="preserve"> delle singole falle resta </w:t>
            </w:r>
            <w:r>
              <w:rPr>
                <w:rFonts w:ascii="Barlow Semi Condensed" w:cs="Barlow Semi Condensed" w:eastAsia="Barlow Semi Condensed" w:hAnsi="Barlow Semi Condensed"/>
                <w:b/>
                <w:bCs/>
                <w:sz w:val="20"/>
                <w:szCs w:val="20"/>
              </w:rPr>
              <w:t xml:space="preserve">B/C</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Documento che leghi una falla a una direttiva</w:t>
            </w:r>
          </w:p>
        </w:tc>
      </w:tr>
      <w:tr>
        <w:tc>
          <w:tcPr>
            <w:tcW w:type="dxa" w:w="2340"/>
          </w:tcPr>
          <w:p>
            <w:pPr>
              <w:spacing w:after="20" w:before="20"/>
              <w:jc w:val="both"/>
            </w:pPr>
            <w:r>
              <w:rPr>
                <w:rFonts w:ascii="Barlow Semi Condensed" w:cs="Barlow Semi Condensed" w:eastAsia="Barlow Semi Condensed" w:hAnsi="Barlow Semi Condensed"/>
                <w:sz w:val="20"/>
                <w:szCs w:val="20"/>
              </w:rPr>
              <w:t xml:space="preserve">32</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Via Gradoli: fatti accertati; la «coincidenza» della seduta spiritica</w:t>
            </w:r>
          </w:p>
        </w:tc>
        <w:tc>
          <w:tcPr>
            <w:tcW w:type="dxa" w:w="2340"/>
          </w:tcPr>
          <w:p>
            <w:pPr>
              <w:spacing w:after="20" w:before="20"/>
              <w:jc w:val="both"/>
            </w:pPr>
            <w:r>
              <w:rPr>
                <w:rFonts w:ascii="Barlow Semi Condensed" w:cs="Barlow Semi Condensed" w:eastAsia="Barlow Semi Condensed" w:hAnsi="Barlow Semi Condensed"/>
                <w:b/>
                <w:bCs/>
                <w:sz w:val="20"/>
                <w:szCs w:val="20"/>
              </w:rPr>
              <w:t xml:space="preserve">A</w:t>
            </w:r>
            <w:r>
              <w:rPr>
                <w:rFonts w:ascii="Barlow Semi Condensed" w:cs="Barlow Semi Condensed" w:eastAsia="Barlow Semi Condensed" w:hAnsi="Barlow Semi Condensed"/>
                <w:sz w:val="20"/>
                <w:szCs w:val="20"/>
              </w:rPr>
              <w:t xml:space="preserve"> i fatti; </w:t>
            </w:r>
            <w:r>
              <w:rPr>
                <w:rFonts w:ascii="Barlow Semi Condensed" w:cs="Barlow Semi Condensed" w:eastAsia="Barlow Semi Condensed" w:hAnsi="Barlow Semi Condensed"/>
                <w:b/>
                <w:bCs/>
                <w:sz w:val="20"/>
                <w:szCs w:val="20"/>
              </w:rPr>
              <w:t xml:space="preserve">C</w:t>
            </w:r>
            <w:r>
              <w:rPr>
                <w:rFonts w:ascii="Barlow Semi Condensed" w:cs="Barlow Semi Condensed" w:eastAsia="Barlow Semi Condensed" w:hAnsi="Barlow Semi Condensed"/>
                <w:sz w:val="20"/>
                <w:szCs w:val="20"/>
              </w:rPr>
              <w:t xml:space="preserve"> la lettura non innocente</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Documento che provi una fonte informata dietro il nome</w:t>
            </w:r>
          </w:p>
        </w:tc>
      </w:tr>
      <w:tr>
        <w:tc>
          <w:tcPr>
            <w:tcW w:type="dxa" w:w="2340"/>
          </w:tcPr>
          <w:p>
            <w:pPr>
              <w:spacing w:after="20" w:before="20"/>
              <w:jc w:val="both"/>
            </w:pPr>
            <w:r>
              <w:rPr>
                <w:rFonts w:ascii="Barlow Semi Condensed" w:cs="Barlow Semi Condensed" w:eastAsia="Barlow Semi Condensed" w:hAnsi="Barlow Semi Condensed"/>
                <w:sz w:val="20"/>
                <w:szCs w:val="20"/>
              </w:rPr>
              <w:t xml:space="preserve">33</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Il falso comunicato n. 7 del lago della Duchessa</w:t>
            </w:r>
          </w:p>
        </w:tc>
        <w:tc>
          <w:tcPr>
            <w:tcW w:type="dxa" w:w="2340"/>
          </w:tcPr>
          <w:p>
            <w:pPr>
              <w:spacing w:after="20" w:before="20"/>
              <w:jc w:val="both"/>
            </w:pPr>
            <w:r>
              <w:rPr>
                <w:rFonts w:ascii="Barlow Semi Condensed" w:cs="Barlow Semi Condensed" w:eastAsia="Barlow Semi Condensed" w:hAnsi="Barlow Semi Condensed"/>
                <w:b/>
                <w:bCs/>
                <w:sz w:val="20"/>
                <w:szCs w:val="20"/>
              </w:rPr>
              <w:t xml:space="preserve">A</w:t>
            </w:r>
            <w:r>
              <w:rPr>
                <w:rFonts w:ascii="Barlow Semi Condensed" w:cs="Barlow Semi Condensed" w:eastAsia="Barlow Semi Condensed" w:hAnsi="Barlow Semi Condensed"/>
                <w:sz w:val="20"/>
                <w:szCs w:val="20"/>
              </w:rPr>
              <w:t xml:space="preserve"> l'esistenza e la falsità del comunicato; </w:t>
            </w:r>
            <w:r>
              <w:rPr>
                <w:rFonts w:ascii="Barlow Semi Condensed" w:cs="Barlow Semi Condensed" w:eastAsia="Barlow Semi Condensed" w:hAnsi="Barlow Semi Condensed"/>
                <w:b/>
                <w:bCs/>
                <w:sz w:val="20"/>
                <w:szCs w:val="20"/>
              </w:rPr>
              <w:t xml:space="preserve">B/C</w:t>
            </w:r>
            <w:r>
              <w:rPr>
                <w:rFonts w:ascii="Barlow Semi Condensed" w:cs="Barlow Semi Condensed" w:eastAsia="Barlow Semi Condensed" w:hAnsi="Barlow Semi Condensed"/>
                <w:sz w:val="20"/>
                <w:szCs w:val="20"/>
              </w:rPr>
              <w:t xml:space="preserve"> la regia</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Atti che identifichino con prova gli autori del falso</w:t>
            </w:r>
          </w:p>
        </w:tc>
      </w:tr>
      <w:tr>
        <w:tc>
          <w:tcPr>
            <w:tcW w:type="dxa" w:w="2340"/>
          </w:tcPr>
          <w:p>
            <w:pPr>
              <w:spacing w:after="20" w:before="20"/>
              <w:jc w:val="both"/>
            </w:pPr>
            <w:r>
              <w:rPr>
                <w:rFonts w:ascii="Barlow Semi Condensed" w:cs="Barlow Semi Condensed" w:eastAsia="Barlow Semi Condensed" w:hAnsi="Barlow Semi Condensed"/>
                <w:sz w:val="20"/>
                <w:szCs w:val="20"/>
              </w:rPr>
              <w:t xml:space="preserve">34</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I comitati di crisi e le appartenenze occulte (P2) dei partecipanti</w:t>
            </w:r>
          </w:p>
        </w:tc>
        <w:tc>
          <w:tcPr>
            <w:tcW w:type="dxa" w:w="2340"/>
          </w:tcPr>
          <w:p>
            <w:pPr>
              <w:spacing w:after="20" w:before="20"/>
              <w:jc w:val="both"/>
            </w:pPr>
            <w:r>
              <w:rPr>
                <w:rFonts w:ascii="Barlow Semi Condensed" w:cs="Barlow Semi Condensed" w:eastAsia="Barlow Semi Condensed" w:hAnsi="Barlow Semi Condensed"/>
                <w:b/>
                <w:bCs/>
                <w:sz w:val="20"/>
                <w:szCs w:val="20"/>
              </w:rPr>
              <w:t xml:space="preserve">A</w:t>
            </w:r>
            <w:r>
              <w:rPr>
                <w:rFonts w:ascii="Barlow Semi Condensed" w:cs="Barlow Semi Condensed" w:eastAsia="Barlow Semi Condensed" w:hAnsi="Barlow Semi Condensed"/>
                <w:sz w:val="20"/>
                <w:szCs w:val="20"/>
              </w:rPr>
              <w:t xml:space="preserve"> le appartenenze documentate; </w:t>
            </w:r>
            <w:r>
              <w:rPr>
                <w:rFonts w:ascii="Barlow Semi Condensed" w:cs="Barlow Semi Condensed" w:eastAsia="Barlow Semi Condensed" w:hAnsi="Barlow Semi Condensed"/>
                <w:b/>
                <w:bCs/>
                <w:sz w:val="20"/>
                <w:szCs w:val="20"/>
              </w:rPr>
              <w:t xml:space="preserve">B/C</w:t>
            </w:r>
            <w:r>
              <w:rPr>
                <w:rFonts w:ascii="Barlow Semi Condensed" w:cs="Barlow Semi Condensed" w:eastAsia="Barlow Semi Condensed" w:hAnsi="Barlow Semi Condensed"/>
                <w:sz w:val="20"/>
                <w:szCs w:val="20"/>
              </w:rPr>
              <w:t xml:space="preserve"> la loro incidenza sull'esito</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Prova che una decisione sia stata piegata da un'appartenenza</w:t>
            </w:r>
          </w:p>
        </w:tc>
      </w:tr>
      <w:tr>
        <w:tc>
          <w:tcPr>
            <w:tcW w:type="dxa" w:w="2340"/>
          </w:tcPr>
          <w:p>
            <w:pPr>
              <w:spacing w:after="20" w:before="20"/>
              <w:jc w:val="both"/>
            </w:pPr>
            <w:r>
              <w:rPr>
                <w:rFonts w:ascii="Barlow Semi Condensed" w:cs="Barlow Semi Condensed" w:eastAsia="Barlow Semi Condensed" w:hAnsi="Barlow Semi Condensed"/>
                <w:sz w:val="20"/>
                <w:szCs w:val="20"/>
              </w:rPr>
              <w:t xml:space="preserve">35</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Le omissioni: l'accertato distinto dall'ipotizzato</w:t>
            </w:r>
          </w:p>
        </w:tc>
        <w:tc>
          <w:tcPr>
            <w:tcW w:type="dxa" w:w="2340"/>
          </w:tcPr>
          <w:p>
            <w:pPr>
              <w:spacing w:after="20" w:before="20"/>
              <w:jc w:val="both"/>
            </w:pPr>
            <w:r>
              <w:rPr>
                <w:rFonts w:ascii="Barlow Semi Condensed" w:cs="Barlow Semi Condensed" w:eastAsia="Barlow Semi Condensed" w:hAnsi="Barlow Semi Condensed"/>
                <w:b/>
                <w:bCs/>
                <w:sz w:val="20"/>
                <w:szCs w:val="20"/>
              </w:rPr>
              <w:t xml:space="preserve">A</w:t>
            </w:r>
            <w:r>
              <w:rPr>
                <w:rFonts w:ascii="Barlow Semi Condensed" w:cs="Barlow Semi Condensed" w:eastAsia="Barlow Semi Condensed" w:hAnsi="Barlow Semi Condensed"/>
                <w:sz w:val="20"/>
                <w:szCs w:val="20"/>
              </w:rPr>
              <w:t xml:space="preserve"> le omissioni accertate; </w:t>
            </w:r>
            <w:r>
              <w:rPr>
                <w:rFonts w:ascii="Barlow Semi Condensed" w:cs="Barlow Semi Condensed" w:eastAsia="Barlow Semi Condensed" w:hAnsi="Barlow Semi Condensed"/>
                <w:b/>
                <w:bCs/>
                <w:sz w:val="20"/>
                <w:szCs w:val="20"/>
              </w:rPr>
              <w:t xml:space="preserve">B</w:t>
            </w:r>
            <w:r>
              <w:rPr>
                <w:rFonts w:ascii="Barlow Semi Condensed" w:cs="Barlow Semi Condensed" w:eastAsia="Barlow Semi Condensed" w:hAnsi="Barlow Semi Condensed"/>
                <w:sz w:val="20"/>
                <w:szCs w:val="20"/>
              </w:rPr>
              <w:t xml:space="preserve"> le ipotizzate</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w:t>
            </w:r>
          </w:p>
        </w:tc>
      </w:tr>
      <w:tr>
        <w:tc>
          <w:tcPr>
            <w:tcW w:type="dxa" w:w="2340"/>
          </w:tcPr>
          <w:p>
            <w:pPr>
              <w:spacing w:after="20" w:before="20"/>
              <w:jc w:val="both"/>
            </w:pPr>
            <w:r>
              <w:rPr>
                <w:rFonts w:ascii="Barlow Semi Condensed" w:cs="Barlow Semi Condensed" w:eastAsia="Barlow Semi Condensed" w:hAnsi="Barlow Semi Condensed"/>
                <w:sz w:val="20"/>
                <w:szCs w:val="20"/>
              </w:rPr>
              <w:t xml:space="preserve">36</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Collusioni e insabbiamenti: la lunga coda della verità</w:t>
            </w:r>
          </w:p>
        </w:tc>
        <w:tc>
          <w:tcPr>
            <w:tcW w:type="dxa" w:w="2340"/>
          </w:tcPr>
          <w:p>
            <w:pPr>
              <w:spacing w:after="20" w:before="20"/>
              <w:jc w:val="both"/>
            </w:pPr>
            <w:r>
              <w:rPr>
                <w:rFonts w:ascii="Barlow Semi Condensed" w:cs="Barlow Semi Condensed" w:eastAsia="Barlow Semi Condensed" w:hAnsi="Barlow Semi Condensed"/>
                <w:b/>
                <w:bCs/>
                <w:sz w:val="20"/>
                <w:szCs w:val="20"/>
              </w:rPr>
              <w:t xml:space="preserve">A</w:t>
            </w:r>
            <w:r>
              <w:rPr>
                <w:rFonts w:ascii="Barlow Semi Condensed" w:cs="Barlow Semi Condensed" w:eastAsia="Barlow Semi Condensed" w:hAnsi="Barlow Semi Condensed"/>
                <w:sz w:val="20"/>
                <w:szCs w:val="20"/>
              </w:rPr>
              <w:t xml:space="preserve"> la sequenza di depistaggi accertati</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w:t>
            </w:r>
          </w:p>
        </w:tc>
      </w:tr>
      <w:tr>
        <w:tc>
          <w:tcPr>
            <w:tcW w:type="dxa" w:w="2340"/>
          </w:tcPr>
          <w:p>
            <w:pPr>
              <w:spacing w:after="20" w:before="20"/>
              <w:jc w:val="both"/>
            </w:pPr>
            <w:r>
              <w:rPr>
                <w:rFonts w:ascii="Barlow Semi Condensed" w:cs="Barlow Semi Condensed" w:eastAsia="Barlow Semi Condensed" w:hAnsi="Barlow Semi Condensed"/>
                <w:sz w:val="20"/>
                <w:szCs w:val="20"/>
              </w:rPr>
              <w:t xml:space="preserve">37</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Le Commissioni d'inchiesta e la non unanimità</w:t>
            </w:r>
          </w:p>
        </w:tc>
        <w:tc>
          <w:tcPr>
            <w:tcW w:type="dxa" w:w="2340"/>
          </w:tcPr>
          <w:p>
            <w:pPr>
              <w:spacing w:after="20" w:before="20"/>
              <w:jc w:val="both"/>
            </w:pPr>
            <w:r>
              <w:rPr>
                <w:rFonts w:ascii="Barlow Semi Condensed" w:cs="Barlow Semi Condensed" w:eastAsia="Barlow Semi Condensed" w:hAnsi="Barlow Semi Condensed"/>
                <w:b/>
                <w:bCs/>
                <w:sz w:val="20"/>
                <w:szCs w:val="20"/>
              </w:rPr>
              <w:t xml:space="preserve">A</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Atti parlamentari di segno contrario</w:t>
            </w:r>
          </w:p>
        </w:tc>
      </w:tr>
      <w:tr>
        <w:tc>
          <w:tcPr>
            <w:tcW w:type="dxa" w:w="2340"/>
          </w:tcPr>
          <w:p>
            <w:pPr>
              <w:spacing w:after="20" w:before="20"/>
              <w:jc w:val="both"/>
            </w:pPr>
            <w:r>
              <w:rPr>
                <w:rFonts w:ascii="Barlow Semi Condensed" w:cs="Barlow Semi Condensed" w:eastAsia="Barlow Semi Condensed" w:hAnsi="Barlow Semi Condensed"/>
                <w:sz w:val="20"/>
                <w:szCs w:val="20"/>
              </w:rPr>
              <w:t xml:space="preserve">38</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Tipologia dei depistaggi e l'impunità delle ostruzioni</w:t>
            </w:r>
          </w:p>
        </w:tc>
        <w:tc>
          <w:tcPr>
            <w:tcW w:type="dxa" w:w="2340"/>
          </w:tcPr>
          <w:p>
            <w:pPr>
              <w:spacing w:after="20" w:before="20"/>
              <w:jc w:val="both"/>
            </w:pPr>
            <w:r>
              <w:rPr>
                <w:rFonts w:ascii="Barlow Semi Condensed" w:cs="Barlow Semi Condensed" w:eastAsia="Barlow Semi Condensed" w:hAnsi="Barlow Semi Condensed"/>
                <w:b/>
                <w:bCs/>
                <w:sz w:val="20"/>
                <w:szCs w:val="20"/>
              </w:rPr>
              <w:t xml:space="preserve">A</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w:t>
            </w:r>
          </w:p>
        </w:tc>
      </w:tr>
      <w:tr>
        <w:tc>
          <w:tcPr>
            <w:tcW w:type="dxa" w:w="2340"/>
          </w:tcPr>
          <w:p>
            <w:pPr>
              <w:spacing w:after="20" w:before="20"/>
              <w:jc w:val="both"/>
            </w:pPr>
            <w:r>
              <w:rPr>
                <w:rFonts w:ascii="Barlow Semi Condensed" w:cs="Barlow Semi Condensed" w:eastAsia="Barlow Semi Condensed" w:hAnsi="Barlow Semi Condensed"/>
                <w:sz w:val="20"/>
                <w:szCs w:val="20"/>
              </w:rPr>
              <w:t xml:space="preserve">39</w:t>
            </w:r>
          </w:p>
        </w:tc>
        <w:tc>
          <w:tcPr>
            <w:tcW w:type="dxa" w:w="2340"/>
          </w:tcPr>
          <w:p>
            <w:pPr>
              <w:spacing w:after="20" w:before="20"/>
              <w:jc w:val="both"/>
            </w:pPr>
            <w:r>
              <w:rPr>
                <w:rFonts w:ascii="Barlow Semi Condensed" w:cs="Barlow Semi Condensed" w:eastAsia="Barlow Semi Condensed" w:hAnsi="Barlow Semi Condensed"/>
                <w:b/>
                <w:bCs/>
                <w:sz w:val="20"/>
                <w:szCs w:val="20"/>
              </w:rPr>
              <w:t xml:space="preserve">Gli Stati Zero del caso: il perimetro negativo</w:t>
            </w:r>
          </w:p>
        </w:tc>
        <w:tc>
          <w:tcPr>
            <w:tcW w:type="dxa" w:w="2340"/>
          </w:tcPr>
          <w:p>
            <w:pPr>
              <w:spacing w:after="20" w:before="20"/>
              <w:jc w:val="both"/>
            </w:pPr>
            <w:r>
              <w:rPr>
                <w:rFonts w:ascii="Barlow Semi Condensed" w:cs="Barlow Semi Condensed" w:eastAsia="Barlow Semi Condensed" w:hAnsi="Barlow Semi Condensed"/>
                <w:b/>
                <w:bCs/>
                <w:sz w:val="20"/>
                <w:szCs w:val="20"/>
              </w:rPr>
              <w:t xml:space="preserve">Ø</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La comparsa del documento oggi assente prometterebbe uno Stato Zero verso B/A</w:t>
            </w:r>
          </w:p>
        </w:tc>
      </w:tr>
      <w:tr>
        <w:tc>
          <w:tcPr>
            <w:tcW w:type="dxa" w:w="2340"/>
          </w:tcPr>
          <w:p>
            <w:pPr>
              <w:spacing w:after="20" w:before="20"/>
              <w:jc w:val="both"/>
            </w:pPr>
            <w:r>
              <w:rPr>
                <w:rFonts w:ascii="Barlow Semi Condensed" w:cs="Barlow Semi Condensed" w:eastAsia="Barlow Semi Condensed" w:hAnsi="Barlow Semi Condensed"/>
                <w:sz w:val="20"/>
                <w:szCs w:val="20"/>
              </w:rPr>
              <w:t xml:space="preserve">40</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Il confine del metodo: dove il Pollo di Popper si arresta</w:t>
            </w:r>
          </w:p>
        </w:tc>
        <w:tc>
          <w:tcPr>
            <w:tcW w:type="dxa" w:w="2340"/>
          </w:tcPr>
          <w:p>
            <w:pPr>
              <w:spacing w:after="20" w:before="20"/>
              <w:jc w:val="both"/>
            </w:pPr>
            <w:r>
              <w:rPr>
                <w:rFonts w:ascii="Barlow Semi Condensed" w:cs="Barlow Semi Condensed" w:eastAsia="Barlow Semi Condensed" w:hAnsi="Barlow Semi Condensed"/>
                <w:b/>
                <w:bCs/>
                <w:sz w:val="20"/>
                <w:szCs w:val="20"/>
              </w:rPr>
              <w:t xml:space="preserve">M</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w:t>
            </w:r>
          </w:p>
        </w:tc>
      </w:tr>
    </w:tbl>
    <w:p>
      <w:pPr>
        <w:spacing w:after="80"/>
      </w:pPr>
    </w:p>
    <w:p>
      <w:pPr>
        <w:pStyle w:val="Heading2"/>
        <w:spacing w:after="100" w:before="200"/>
      </w:pPr>
      <w:r>
        <w:rPr>
          <w:rFonts w:ascii="Barlow Semi Condensed" w:cs="Barlow Semi Condensed" w:eastAsia="Barlow Semi Condensed" w:hAnsi="Barlow Semi Condensed"/>
          <w:sz w:val="24"/>
          <w:szCs w:val="24"/>
        </w:rPr>
        <w:t xml:space="preserve">Fase quinta — Architetti, mandanti, esecutori</w:t>
      </w:r>
    </w:p>
    <w:p>
      <w:pPr>
        <w:pBdr>
          <w:left w:val="single" w:color="1F3864" w:sz="18" w:space="8"/>
        </w:pBdr>
        <w:spacing w:after="80" w:before="80"/>
        <w:ind w:left="360" w:right="360"/>
        <w:jc w:val="both"/>
      </w:pPr>
      <w:r>
        <w:rPr>
          <w:rFonts w:ascii="Barlow Semi Condensed" w:cs="Barlow Semi Condensed" w:eastAsia="Barlow Semi Condensed" w:hAnsi="Barlow Semi Condensed"/>
          <w:b/>
          <w:bCs/>
          <w:i w:val="false"/>
          <w:iCs w:val="false"/>
          <w:sz w:val="24"/>
          <w:szCs w:val="24"/>
        </w:rPr>
        <w:t xml:space="preserve">Nota dell'apparato, prevalente su ogni riga che segue.</w:t>
      </w:r>
      <w:r>
        <w:rPr>
          <w:rFonts w:ascii="Barlow Semi Condensed" w:cs="Barlow Semi Condensed" w:eastAsia="Barlow Semi Condensed" w:hAnsi="Barlow Semi Condensed"/>
          <w:i w:val="false"/>
          <w:iCs w:val="false"/>
          <w:sz w:val="24"/>
          <w:szCs w:val="24"/>
        </w:rPr>
        <w:t xml:space="preserve"> Dalla dichiarazione del capitolo quarantunesimo, questa fase </w:t>
      </w:r>
      <w:r>
        <w:rPr>
          <w:rFonts w:ascii="Barlow Semi Condensed" w:cs="Barlow Semi Condensed" w:eastAsia="Barlow Semi Condensed" w:hAnsi="Barlow Semi Condensed"/>
          <w:b/>
          <w:bCs/>
          <w:i w:val="false"/>
          <w:iCs w:val="false"/>
          <w:sz w:val="24"/>
          <w:szCs w:val="24"/>
        </w:rPr>
        <w:t xml:space="preserve">congeda la disciplina falsificazionista</w:t>
      </w:r>
      <w:r>
        <w:rPr>
          <w:rFonts w:ascii="Barlow Semi Condensed" w:cs="Barlow Semi Condensed" w:eastAsia="Barlow Semi Condensed" w:hAnsi="Barlow Semi Condensed"/>
          <w:i w:val="false"/>
          <w:iCs w:val="false"/>
          <w:sz w:val="24"/>
          <w:szCs w:val="24"/>
        </w:rPr>
        <w:t xml:space="preserve"> e passa alla probabilità ipotetica. L'apparato la registra perciò, nella sua parte propria (l'ordinamento per probabilità), al </w:t>
      </w:r>
      <w:r>
        <w:rPr>
          <w:rFonts w:ascii="Barlow Semi Condensed" w:cs="Barlow Semi Condensed" w:eastAsia="Barlow Semi Condensed" w:hAnsi="Barlow Semi Condensed"/>
          <w:b/>
          <w:bCs/>
          <w:i w:val="false"/>
          <w:iCs w:val="false"/>
          <w:sz w:val="24"/>
          <w:szCs w:val="24"/>
        </w:rPr>
        <w:t xml:space="preserve">Livello C</w:t>
      </w:r>
      <w:r>
        <w:rPr>
          <w:rFonts w:ascii="Barlow Semi Condensed" w:cs="Barlow Semi Condensed" w:eastAsia="Barlow Semi Condensed" w:hAnsi="Barlow Semi Condensed"/>
          <w:i w:val="false"/>
          <w:iCs w:val="false"/>
          <w:sz w:val="24"/>
          <w:szCs w:val="24"/>
        </w:rPr>
        <w:t xml:space="preserve">: è congettura ordinata, non accertamento. Fanno eccezione, e restano al </w:t>
      </w:r>
      <w:r>
        <w:rPr>
          <w:rFonts w:ascii="Barlow Semi Condensed" w:cs="Barlow Semi Condensed" w:eastAsia="Barlow Semi Condensed" w:hAnsi="Barlow Semi Condensed"/>
          <w:b/>
          <w:bCs/>
          <w:i w:val="false"/>
          <w:iCs w:val="false"/>
          <w:sz w:val="24"/>
          <w:szCs w:val="24"/>
        </w:rPr>
        <w:t xml:space="preserve">Livello A</w:t>
      </w:r>
      <w:r>
        <w:rPr>
          <w:rFonts w:ascii="Barlow Semi Condensed" w:cs="Barlow Semi Condensed" w:eastAsia="Barlow Semi Condensed" w:hAnsi="Barlow Semi Condensed"/>
          <w:i w:val="false"/>
          <w:iCs w:val="false"/>
          <w:sz w:val="24"/>
          <w:szCs w:val="24"/>
        </w:rPr>
        <w:t xml:space="preserve">, i soli elementi che poggiano su </w:t>
      </w:r>
      <w:r>
        <w:rPr>
          <w:rFonts w:ascii="Barlow Semi Condensed" w:cs="Barlow Semi Condensed" w:eastAsia="Barlow Semi Condensed" w:hAnsi="Barlow Semi Condensed"/>
          <w:b/>
          <w:bCs/>
          <w:i w:val="false"/>
          <w:iCs w:val="false"/>
          <w:sz w:val="24"/>
          <w:szCs w:val="24"/>
        </w:rPr>
        <w:t xml:space="preserve">sentenze definitive</w:t>
      </w:r>
      <w:r>
        <w:rPr>
          <w:rFonts w:ascii="Barlow Semi Condensed" w:cs="Barlow Semi Condensed" w:eastAsia="Barlow Semi Condensed" w:hAnsi="Barlow Semi Condensed"/>
          <w:i w:val="false"/>
          <w:iCs w:val="false"/>
          <w:sz w:val="24"/>
          <w:szCs w:val="24"/>
        </w:rPr>
        <w:t xml:space="preserve"> — l'identità degli esecutori e del vertice brigatista già giudicati. L'apparato </w:t>
      </w:r>
      <w:r>
        <w:rPr>
          <w:rFonts w:ascii="Barlow Semi Condensed" w:cs="Barlow Semi Condensed" w:eastAsia="Barlow Semi Condensed" w:hAnsi="Barlow Semi Condensed"/>
          <w:b/>
          <w:bCs/>
          <w:i w:val="false"/>
          <w:iCs w:val="false"/>
          <w:sz w:val="24"/>
          <w:szCs w:val="24"/>
        </w:rPr>
        <w:t xml:space="preserve">non riproduce la graduatoria e non ordina nomi</w:t>
      </w:r>
      <w:r>
        <w:rPr>
          <w:rFonts w:ascii="Barlow Semi Condensed" w:cs="Barlow Semi Condensed" w:eastAsia="Barlow Semi Condensed" w:hAnsi="Barlow Semi Condensed"/>
          <w:i w:val="false"/>
          <w:iCs w:val="false"/>
          <w:sz w:val="24"/>
          <w:szCs w:val="24"/>
        </w:rPr>
        <w:t xml:space="preserve">: registra i gradi, non i sospetti.</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40"/>
        <w:gridCol w:w="2340"/>
        <w:gridCol w:w="2340"/>
        <w:gridCol w:w="2340"/>
      </w:tblGrid>
      <w:tr>
        <w:tc>
          <w:tcPr>
            <w:tcW w:type="dxa" w:w="234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Cap.</w:t>
            </w:r>
          </w:p>
        </w:tc>
        <w:tc>
          <w:tcPr>
            <w:tcW w:type="dxa" w:w="234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Asserzione portante</w:t>
            </w:r>
          </w:p>
        </w:tc>
        <w:tc>
          <w:tcPr>
            <w:tcW w:type="dxa" w:w="234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Grado</w:t>
            </w:r>
          </w:p>
        </w:tc>
        <w:tc>
          <w:tcPr>
            <w:tcW w:type="dxa" w:w="234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Che cosa lo smentirebbe</w:t>
            </w:r>
          </w:p>
        </w:tc>
      </w:tr>
      <w:tr>
        <w:tc>
          <w:tcPr>
            <w:tcW w:type="dxa" w:w="2340"/>
          </w:tcPr>
          <w:p>
            <w:pPr>
              <w:spacing w:after="20" w:before="20"/>
              <w:jc w:val="both"/>
            </w:pPr>
            <w:r>
              <w:rPr>
                <w:rFonts w:ascii="Barlow Semi Condensed" w:cs="Barlow Semi Condensed" w:eastAsia="Barlow Semi Condensed" w:hAnsi="Barlow Semi Condensed"/>
                <w:sz w:val="20"/>
                <w:szCs w:val="20"/>
              </w:rPr>
              <w:t xml:space="preserve">41</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Il mutamento di metodo: dalla sospensione alla probabilità</w:t>
            </w:r>
          </w:p>
        </w:tc>
        <w:tc>
          <w:tcPr>
            <w:tcW w:type="dxa" w:w="2340"/>
          </w:tcPr>
          <w:p>
            <w:pPr>
              <w:spacing w:after="20" w:before="20"/>
              <w:jc w:val="both"/>
            </w:pPr>
            <w:r>
              <w:rPr>
                <w:rFonts w:ascii="Barlow Semi Condensed" w:cs="Barlow Semi Condensed" w:eastAsia="Barlow Semi Condensed" w:hAnsi="Barlow Semi Condensed"/>
                <w:b/>
                <w:bCs/>
                <w:sz w:val="20"/>
                <w:szCs w:val="20"/>
              </w:rPr>
              <w:t xml:space="preserve">M</w:t>
            </w:r>
            <w:r>
              <w:rPr>
                <w:rFonts w:ascii="Barlow Semi Condensed" w:cs="Barlow Semi Condensed" w:eastAsia="Barlow Semi Condensed" w:hAnsi="Barlow Semi Condensed"/>
                <w:sz w:val="20"/>
                <w:szCs w:val="20"/>
              </w:rPr>
              <w:t xml:space="preserve"> (dichiarazione)</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w:t>
            </w:r>
          </w:p>
        </w:tc>
      </w:tr>
      <w:tr>
        <w:tc>
          <w:tcPr>
            <w:tcW w:type="dxa" w:w="2340"/>
          </w:tcPr>
          <w:p>
            <w:pPr>
              <w:spacing w:after="20" w:before="20"/>
              <w:jc w:val="both"/>
            </w:pPr>
            <w:r>
              <w:rPr>
                <w:rFonts w:ascii="Barlow Semi Condensed" w:cs="Barlow Semi Condensed" w:eastAsia="Barlow Semi Condensed" w:hAnsi="Barlow Semi Condensed"/>
                <w:sz w:val="20"/>
                <w:szCs w:val="20"/>
              </w:rPr>
              <w:t xml:space="preserve">42</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I dieci strumenti di calcolo e il loro concorso</w:t>
            </w:r>
          </w:p>
        </w:tc>
        <w:tc>
          <w:tcPr>
            <w:tcW w:type="dxa" w:w="2340"/>
          </w:tcPr>
          <w:p>
            <w:pPr>
              <w:spacing w:after="20" w:before="20"/>
              <w:jc w:val="both"/>
            </w:pPr>
            <w:r>
              <w:rPr>
                <w:rFonts w:ascii="Barlow Semi Condensed" w:cs="Barlow Semi Condensed" w:eastAsia="Barlow Semi Condensed" w:hAnsi="Barlow Semi Condensed"/>
                <w:b/>
                <w:bCs/>
                <w:sz w:val="20"/>
                <w:szCs w:val="20"/>
              </w:rPr>
              <w:t xml:space="preserve">M</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w:t>
            </w:r>
          </w:p>
        </w:tc>
      </w:tr>
      <w:tr>
        <w:tc>
          <w:tcPr>
            <w:tcW w:type="dxa" w:w="2340"/>
          </w:tcPr>
          <w:p>
            <w:pPr>
              <w:spacing w:after="20" w:before="20"/>
              <w:jc w:val="both"/>
            </w:pPr>
            <w:r>
              <w:rPr>
                <w:rFonts w:ascii="Barlow Semi Condensed" w:cs="Barlow Semi Condensed" w:eastAsia="Barlow Semi Condensed" w:hAnsi="Barlow Semi Condensed"/>
                <w:sz w:val="20"/>
                <w:szCs w:val="20"/>
              </w:rPr>
              <w:t xml:space="preserve">43</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Avvertimento sul tono; il debito col registro dell'enigma</w:t>
            </w:r>
          </w:p>
        </w:tc>
        <w:tc>
          <w:tcPr>
            <w:tcW w:type="dxa" w:w="2340"/>
          </w:tcPr>
          <w:p>
            <w:pPr>
              <w:spacing w:after="20" w:before="20"/>
              <w:jc w:val="both"/>
            </w:pPr>
            <w:r>
              <w:rPr>
                <w:rFonts w:ascii="Barlow Semi Condensed" w:cs="Barlow Semi Condensed" w:eastAsia="Barlow Semi Condensed" w:hAnsi="Barlow Semi Condensed"/>
                <w:b/>
                <w:bCs/>
                <w:sz w:val="20"/>
                <w:szCs w:val="20"/>
              </w:rPr>
              <w:t xml:space="preserve">M</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w:t>
            </w:r>
          </w:p>
        </w:tc>
      </w:tr>
      <w:tr>
        <w:tc>
          <w:tcPr>
            <w:tcW w:type="dxa" w:w="2340"/>
          </w:tcPr>
          <w:p>
            <w:pPr>
              <w:spacing w:after="20" w:before="20"/>
              <w:jc w:val="both"/>
            </w:pPr>
            <w:r>
              <w:rPr>
                <w:rFonts w:ascii="Barlow Semi Condensed" w:cs="Barlow Semi Condensed" w:eastAsia="Barlow Semi Condensed" w:hAnsi="Barlow Semi Condensed"/>
                <w:sz w:val="20"/>
                <w:szCs w:val="20"/>
              </w:rPr>
              <w:t xml:space="preserve">44</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Gli esecutori materiali</w:t>
            </w:r>
          </w:p>
        </w:tc>
        <w:tc>
          <w:tcPr>
            <w:tcW w:type="dxa" w:w="2340"/>
          </w:tcPr>
          <w:p>
            <w:pPr>
              <w:spacing w:after="20" w:before="20"/>
              <w:jc w:val="both"/>
            </w:pPr>
            <w:r>
              <w:rPr>
                <w:rFonts w:ascii="Barlow Semi Condensed" w:cs="Barlow Semi Condensed" w:eastAsia="Barlow Semi Condensed" w:hAnsi="Barlow Semi Condensed"/>
                <w:b/>
                <w:bCs/>
                <w:sz w:val="20"/>
                <w:szCs w:val="20"/>
              </w:rPr>
              <w:t xml:space="preserve">A</w:t>
            </w:r>
            <w:r>
              <w:rPr>
                <w:rFonts w:ascii="Barlow Semi Condensed" w:cs="Barlow Semi Condensed" w:eastAsia="Barlow Semi Condensed" w:hAnsi="Barlow Semi Condensed"/>
                <w:sz w:val="20"/>
                <w:szCs w:val="20"/>
              </w:rPr>
              <w:t xml:space="preserve"> </w:t>
            </w:r>
            <w:r>
              <w:rPr>
                <w:rFonts w:ascii="Barlow Semi Condensed" w:cs="Barlow Semi Condensed" w:eastAsia="Barlow Semi Condensed" w:hAnsi="Barlow Semi Condensed"/>
                <w:i/>
                <w:iCs/>
                <w:sz w:val="20"/>
                <w:szCs w:val="20"/>
              </w:rPr>
              <w:t xml:space="preserve">limitatamente ai giudicati in via definitiva</w:t>
            </w:r>
            <w:r>
              <w:rPr>
                <w:rFonts w:ascii="Barlow Semi Condensed" w:cs="Barlow Semi Condensed" w:eastAsia="Barlow Semi Condensed" w:hAnsi="Barlow Semi Condensed"/>
                <w:sz w:val="20"/>
                <w:szCs w:val="20"/>
              </w:rPr>
              <w:t xml:space="preserve">; ogni estensione oltre il giudicato è </w:t>
            </w:r>
            <w:r>
              <w:rPr>
                <w:rFonts w:ascii="Barlow Semi Condensed" w:cs="Barlow Semi Condensed" w:eastAsia="Barlow Semi Condensed" w:hAnsi="Barlow Semi Condensed"/>
                <w:b/>
                <w:bCs/>
                <w:sz w:val="20"/>
                <w:szCs w:val="20"/>
              </w:rPr>
              <w:t xml:space="preserve">C</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Revisione giudiziaria; per le estensioni, un documento oggi assente</w:t>
            </w:r>
          </w:p>
        </w:tc>
      </w:tr>
      <w:tr>
        <w:tc>
          <w:tcPr>
            <w:tcW w:type="dxa" w:w="2340"/>
          </w:tcPr>
          <w:p>
            <w:pPr>
              <w:spacing w:after="20" w:before="20"/>
              <w:jc w:val="both"/>
            </w:pPr>
            <w:r>
              <w:rPr>
                <w:rFonts w:ascii="Barlow Semi Condensed" w:cs="Barlow Semi Condensed" w:eastAsia="Barlow Semi Condensed" w:hAnsi="Barlow Semi Condensed"/>
                <w:sz w:val="20"/>
                <w:szCs w:val="20"/>
              </w:rPr>
              <w:t xml:space="preserve">45</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I mandanti materiali (il vertice brigatista)</w:t>
            </w:r>
          </w:p>
        </w:tc>
        <w:tc>
          <w:tcPr>
            <w:tcW w:type="dxa" w:w="2340"/>
          </w:tcPr>
          <w:p>
            <w:pPr>
              <w:spacing w:after="20" w:before="20"/>
              <w:jc w:val="both"/>
            </w:pPr>
            <w:r>
              <w:rPr>
                <w:rFonts w:ascii="Barlow Semi Condensed" w:cs="Barlow Semi Condensed" w:eastAsia="Barlow Semi Condensed" w:hAnsi="Barlow Semi Condensed"/>
                <w:b/>
                <w:bCs/>
                <w:sz w:val="20"/>
                <w:szCs w:val="20"/>
              </w:rPr>
              <w:t xml:space="preserve">A</w:t>
            </w:r>
            <w:r>
              <w:rPr>
                <w:rFonts w:ascii="Barlow Semi Condensed" w:cs="Barlow Semi Condensed" w:eastAsia="Barlow Semi Condensed" w:hAnsi="Barlow Semi Condensed"/>
                <w:sz w:val="20"/>
                <w:szCs w:val="20"/>
              </w:rPr>
              <w:t xml:space="preserve"> </w:t>
            </w:r>
            <w:r>
              <w:rPr>
                <w:rFonts w:ascii="Barlow Semi Condensed" w:cs="Barlow Semi Condensed" w:eastAsia="Barlow Semi Condensed" w:hAnsi="Barlow Semi Condensed"/>
                <w:i/>
                <w:iCs/>
                <w:sz w:val="20"/>
                <w:szCs w:val="20"/>
              </w:rPr>
              <w:t xml:space="preserve">per il comitato esecutivo BR giudicato</w:t>
            </w:r>
            <w:r>
              <w:rPr>
                <w:rFonts w:ascii="Barlow Semi Condensed" w:cs="Barlow Semi Condensed" w:eastAsia="Barlow Semi Condensed" w:hAnsi="Barlow Semi Condensed"/>
                <w:sz w:val="20"/>
                <w:szCs w:val="20"/>
              </w:rPr>
              <w:t xml:space="preserve">; oltre, </w:t>
            </w:r>
            <w:r>
              <w:rPr>
                <w:rFonts w:ascii="Barlow Semi Condensed" w:cs="Barlow Semi Condensed" w:eastAsia="Barlow Semi Condensed" w:hAnsi="Barlow Semi Condensed"/>
                <w:b/>
                <w:bCs/>
                <w:sz w:val="20"/>
                <w:szCs w:val="20"/>
              </w:rPr>
              <w:t xml:space="preserve">C</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Idem</w:t>
            </w:r>
          </w:p>
        </w:tc>
      </w:tr>
      <w:tr>
        <w:tc>
          <w:tcPr>
            <w:tcW w:type="dxa" w:w="2340"/>
          </w:tcPr>
          <w:p>
            <w:pPr>
              <w:spacing w:after="20" w:before="20"/>
              <w:jc w:val="both"/>
            </w:pPr>
            <w:r>
              <w:rPr>
                <w:rFonts w:ascii="Barlow Semi Condensed" w:cs="Barlow Semi Condensed" w:eastAsia="Barlow Semi Condensed" w:hAnsi="Barlow Semi Condensed"/>
                <w:sz w:val="20"/>
                <w:szCs w:val="20"/>
              </w:rPr>
              <w:t xml:space="preserve">46</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Gli architetti del disegno; la capacità progettuale autonoma delle BR</w:t>
            </w:r>
          </w:p>
        </w:tc>
        <w:tc>
          <w:tcPr>
            <w:tcW w:type="dxa" w:w="2340"/>
          </w:tcPr>
          <w:p>
            <w:pPr>
              <w:spacing w:after="20" w:before="20"/>
              <w:jc w:val="both"/>
            </w:pPr>
            <w:r>
              <w:rPr>
                <w:rFonts w:ascii="Barlow Semi Condensed" w:cs="Barlow Semi Condensed" w:eastAsia="Barlow Semi Condensed" w:hAnsi="Barlow Semi Condensed"/>
                <w:b/>
                <w:bCs/>
                <w:sz w:val="20"/>
                <w:szCs w:val="20"/>
              </w:rPr>
              <w:t xml:space="preserve">A</w:t>
            </w:r>
            <w:r>
              <w:rPr>
                <w:rFonts w:ascii="Barlow Semi Condensed" w:cs="Barlow Semi Condensed" w:eastAsia="Barlow Semi Condensed" w:hAnsi="Barlow Semi Condensed"/>
                <w:sz w:val="20"/>
                <w:szCs w:val="20"/>
              </w:rPr>
              <w:t xml:space="preserve"> l'autonomia progettuale; </w:t>
            </w:r>
            <w:r>
              <w:rPr>
                <w:rFonts w:ascii="Barlow Semi Condensed" w:cs="Barlow Semi Condensed" w:eastAsia="Barlow Semi Condensed" w:hAnsi="Barlow Semi Condensed"/>
                <w:b/>
                <w:bCs/>
                <w:sz w:val="20"/>
                <w:szCs w:val="20"/>
              </w:rPr>
              <w:t xml:space="preserve">C</w:t>
            </w:r>
            <w:r>
              <w:rPr>
                <w:rFonts w:ascii="Barlow Semi Condensed" w:cs="Barlow Semi Condensed" w:eastAsia="Barlow Semi Condensed" w:hAnsi="Barlow Semi Condensed"/>
                <w:sz w:val="20"/>
                <w:szCs w:val="20"/>
              </w:rPr>
              <w:t xml:space="preserve"> ogni «architetto» esterno</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Documento di eterodirezione (Stato Zero, cfr. cap. 39)</w:t>
            </w:r>
          </w:p>
        </w:tc>
      </w:tr>
      <w:tr>
        <w:tc>
          <w:tcPr>
            <w:tcW w:type="dxa" w:w="2340"/>
          </w:tcPr>
          <w:p>
            <w:pPr>
              <w:spacing w:after="20" w:before="20"/>
              <w:jc w:val="both"/>
            </w:pPr>
            <w:r>
              <w:rPr>
                <w:rFonts w:ascii="Barlow Semi Condensed" w:cs="Barlow Semi Condensed" w:eastAsia="Barlow Semi Condensed" w:hAnsi="Barlow Semi Condensed"/>
                <w:sz w:val="20"/>
                <w:szCs w:val="20"/>
              </w:rPr>
              <w:t xml:space="preserve">47</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La sintesi probabilistica dei tre piani</w:t>
            </w:r>
          </w:p>
        </w:tc>
        <w:tc>
          <w:tcPr>
            <w:tcW w:type="dxa" w:w="2340"/>
          </w:tcPr>
          <w:p>
            <w:pPr>
              <w:spacing w:after="20" w:before="20"/>
              <w:jc w:val="both"/>
            </w:pPr>
            <w:r>
              <w:rPr>
                <w:rFonts w:ascii="Barlow Semi Condensed" w:cs="Barlow Semi Condensed" w:eastAsia="Barlow Semi Condensed" w:hAnsi="Barlow Semi Condensed"/>
                <w:b/>
                <w:bCs/>
                <w:sz w:val="20"/>
                <w:szCs w:val="20"/>
              </w:rPr>
              <w:t xml:space="preserve">A</w:t>
            </w:r>
            <w:r>
              <w:rPr>
                <w:rFonts w:ascii="Barlow Semi Condensed" w:cs="Barlow Semi Condensed" w:eastAsia="Barlow Semi Condensed" w:hAnsi="Barlow Semi Condensed"/>
                <w:sz w:val="20"/>
                <w:szCs w:val="20"/>
              </w:rPr>
              <w:t xml:space="preserve"> il nucleo (BR idearono, ordinarono, eseguirono); </w:t>
            </w:r>
            <w:r>
              <w:rPr>
                <w:rFonts w:ascii="Barlow Semi Condensed" w:cs="Barlow Semi Condensed" w:eastAsia="Barlow Semi Condensed" w:hAnsi="Barlow Semi Condensed"/>
                <w:b/>
                <w:bCs/>
                <w:sz w:val="20"/>
                <w:szCs w:val="20"/>
              </w:rPr>
              <w:t xml:space="preserve">C</w:t>
            </w:r>
            <w:r>
              <w:rPr>
                <w:rFonts w:ascii="Barlow Semi Condensed" w:cs="Barlow Semi Condensed" w:eastAsia="Barlow Semi Condensed" w:hAnsi="Barlow Semi Condensed"/>
                <w:sz w:val="20"/>
                <w:szCs w:val="20"/>
              </w:rPr>
              <w:t xml:space="preserve"> l'ordinamento probabilistico ulteriore</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w:t>
            </w:r>
          </w:p>
        </w:tc>
      </w:tr>
      <w:tr>
        <w:tc>
          <w:tcPr>
            <w:tcW w:type="dxa" w:w="2340"/>
          </w:tcPr>
          <w:p>
            <w:pPr>
              <w:spacing w:after="20" w:before="20"/>
              <w:jc w:val="both"/>
            </w:pPr>
            <w:r>
              <w:rPr>
                <w:rFonts w:ascii="Barlow Semi Condensed" w:cs="Barlow Semi Condensed" w:eastAsia="Barlow Semi Condensed" w:hAnsi="Barlow Semi Condensed"/>
                <w:sz w:val="20"/>
                <w:szCs w:val="20"/>
              </w:rPr>
              <w:t xml:space="preserve">48</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La graduatoria secondo i dieci metodi, con premessa garantista</w:t>
            </w:r>
          </w:p>
        </w:tc>
        <w:tc>
          <w:tcPr>
            <w:tcW w:type="dxa" w:w="2340"/>
          </w:tcPr>
          <w:p>
            <w:pPr>
              <w:spacing w:after="20" w:before="20"/>
              <w:jc w:val="both"/>
            </w:pPr>
            <w:r>
              <w:rPr>
                <w:rFonts w:ascii="Barlow Semi Condensed" w:cs="Barlow Semi Condensed" w:eastAsia="Barlow Semi Condensed" w:hAnsi="Barlow Semi Condensed"/>
                <w:b/>
                <w:bCs/>
                <w:sz w:val="20"/>
                <w:szCs w:val="20"/>
              </w:rPr>
              <w:t xml:space="preserve">C</w:t>
            </w:r>
            <w:r>
              <w:rPr>
                <w:rFonts w:ascii="Barlow Semi Condensed" w:cs="Barlow Semi Condensed" w:eastAsia="Barlow Semi Condensed" w:hAnsi="Barlow Semi Condensed"/>
                <w:sz w:val="20"/>
                <w:szCs w:val="20"/>
              </w:rPr>
              <w:t xml:space="preserve"> (per intero)</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Non falsificabile come classifica; solo i singoli fatti sottostanti hanno grado proprio</w:t>
            </w:r>
          </w:p>
        </w:tc>
      </w:tr>
      <w:tr>
        <w:tc>
          <w:tcPr>
            <w:tcW w:type="dxa" w:w="2340"/>
          </w:tcPr>
          <w:p>
            <w:pPr>
              <w:spacing w:after="20" w:before="20"/>
              <w:jc w:val="both"/>
            </w:pPr>
            <w:r>
              <w:rPr>
                <w:rFonts w:ascii="Barlow Semi Condensed" w:cs="Barlow Semi Condensed" w:eastAsia="Barlow Semi Condensed" w:hAnsi="Barlow Semi Condensed"/>
                <w:sz w:val="20"/>
                <w:szCs w:val="20"/>
              </w:rPr>
              <w:t xml:space="preserve">49</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Il peso dei metodi e l'emersione dei tre piani</w:t>
            </w:r>
          </w:p>
        </w:tc>
        <w:tc>
          <w:tcPr>
            <w:tcW w:type="dxa" w:w="2340"/>
          </w:tcPr>
          <w:p>
            <w:pPr>
              <w:spacing w:after="20" w:before="20"/>
              <w:jc w:val="both"/>
            </w:pPr>
            <w:r>
              <w:rPr>
                <w:rFonts w:ascii="Barlow Semi Condensed" w:cs="Barlow Semi Condensed" w:eastAsia="Barlow Semi Condensed" w:hAnsi="Barlow Semi Condensed"/>
                <w:b/>
                <w:bCs/>
                <w:sz w:val="20"/>
                <w:szCs w:val="20"/>
              </w:rPr>
              <w:t xml:space="preserve">C</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w:t>
            </w:r>
          </w:p>
        </w:tc>
      </w:tr>
      <w:tr>
        <w:tc>
          <w:tcPr>
            <w:tcW w:type="dxa" w:w="2340"/>
          </w:tcPr>
          <w:p>
            <w:pPr>
              <w:spacing w:after="20" w:before="20"/>
              <w:jc w:val="both"/>
            </w:pPr>
            <w:r>
              <w:rPr>
                <w:rFonts w:ascii="Barlow Semi Condensed" w:cs="Barlow Semi Condensed" w:eastAsia="Barlow Semi Condensed" w:hAnsi="Barlow Semi Condensed"/>
                <w:sz w:val="20"/>
                <w:szCs w:val="20"/>
              </w:rPr>
              <w:t xml:space="preserve">50</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Congedo</w:t>
            </w:r>
          </w:p>
        </w:tc>
        <w:tc>
          <w:tcPr>
            <w:tcW w:type="dxa" w:w="2340"/>
          </w:tcPr>
          <w:p>
            <w:pPr>
              <w:spacing w:after="20" w:before="20"/>
              <w:jc w:val="both"/>
            </w:pPr>
            <w:r>
              <w:rPr>
                <w:rFonts w:ascii="Barlow Semi Condensed" w:cs="Barlow Semi Condensed" w:eastAsia="Barlow Semi Condensed" w:hAnsi="Barlow Semi Condensed"/>
                <w:b/>
                <w:bCs/>
                <w:sz w:val="20"/>
                <w:szCs w:val="20"/>
              </w:rPr>
              <w:t xml:space="preserve">M</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w:t>
            </w:r>
          </w:p>
        </w:tc>
      </w:tr>
    </w:tbl>
    <w:p>
      <w:pPr>
        <w:spacing w:after="80"/>
      </w:pP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Lettura d'insieme dell'apparato</w:t>
      </w:r>
    </w:p>
    <w:p>
      <w:pPr>
        <w:spacing w:after="120" w:line="276"/>
        <w:jc w:val="both"/>
      </w:pPr>
      <w:r>
        <w:rPr>
          <w:rFonts w:ascii="Barlow Semi Condensed" w:cs="Barlow Semi Condensed" w:eastAsia="Barlow Semi Condensed" w:hAnsi="Barlow Semi Condensed"/>
          <w:sz w:val="24"/>
          <w:szCs w:val="24"/>
        </w:rPr>
        <w:t xml:space="preserve">Disposti i cinquanta capitoli sulla scala dei gradi, la fisionomia dell'opera emerge con nettezza, e conferma il patto che essa dichiara:</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La stragrande maggioranza del corpo dell'opera — le Fasi prima, seconda, terza e quarta — poggia sul Livello A</w:t>
      </w:r>
      <w:r>
        <w:rPr>
          <w:rFonts w:ascii="Barlow Semi Condensed" w:cs="Barlow Semi Condensed" w:eastAsia="Barlow Semi Condensed" w:hAnsi="Barlow Semi Condensed"/>
          <w:sz w:val="24"/>
          <w:szCs w:val="24"/>
        </w:rPr>
        <w:t xml:space="preserve">: la biografia, il contesto, la meccanica del caso, i cinque della scorta, la prigionia, le lettere, il 9 maggio, le omissioni e i depistaggi accertati. Su tutto questo l'opera </w:t>
      </w:r>
      <w:r>
        <w:rPr>
          <w:rFonts w:ascii="Barlow Semi Condensed" w:cs="Barlow Semi Condensed" w:eastAsia="Barlow Semi Condensed" w:hAnsi="Barlow Semi Condensed"/>
          <w:i/>
          <w:iCs/>
          <w:sz w:val="24"/>
          <w:szCs w:val="24"/>
        </w:rPr>
        <w:t xml:space="preserve">certifica</w:t>
      </w:r>
      <w:r>
        <w:rPr>
          <w:rFonts w:ascii="Barlow Semi Condensed" w:cs="Barlow Semi Condensed" w:eastAsia="Barlow Semi Condensed" w:hAnsi="Barlow Semi Condensed"/>
          <w:sz w:val="24"/>
          <w:szCs w:val="24"/>
        </w:rPr>
        <w:t xml:space="preserve">, e l'apparato lo conferma.</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Il nucleo accertato è uno e non si sposta</w:t>
      </w:r>
      <w:r>
        <w:rPr>
          <w:rFonts w:ascii="Barlow Semi Condensed" w:cs="Barlow Semi Condensed" w:eastAsia="Barlow Semi Condensed" w:hAnsi="Barlow Semi Condensed"/>
          <w:sz w:val="24"/>
          <w:szCs w:val="24"/>
        </w:rPr>
        <w:t xml:space="preserve">: il sequestro e l'omicidio di Aldo Moro furono ideati, ordinati ed eseguiti dalle Brigate Rosse (Livello A, cinque processi). Ogni capitolo, anche quello che naviga il possibile, torna a questo scoglio.</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Le zone del dubbio e del possibile sono nominate, non nascoste</w:t>
      </w:r>
      <w:r>
        <w:rPr>
          <w:rFonts w:ascii="Barlow Semi Condensed" w:cs="Barlow Semi Condensed" w:eastAsia="Barlow Semi Condensed" w:hAnsi="Barlow Semi Condensed"/>
          <w:sz w:val="24"/>
          <w:szCs w:val="24"/>
        </w:rPr>
        <w:t xml:space="preserve"> (capp. 24, 28, 32, 33, 34): l'opera le grada, non le risolve per suggestione. È la disciplina delle assenze all'opera.</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Gli Stati Zero sono dichiarati con pari dignità</w:t>
      </w:r>
      <w:r>
        <w:rPr>
          <w:rFonts w:ascii="Barlow Semi Condensed" w:cs="Barlow Semi Condensed" w:eastAsia="Barlow Semi Condensed" w:hAnsi="Barlow Semi Condensed"/>
          <w:sz w:val="24"/>
          <w:szCs w:val="24"/>
        </w:rPr>
        <w:t xml:space="preserve"> (cap. 39): ciò che è stato cercato e non trovato — su tutto, l'eterodirezione del sequestro — è conoscenza, non silenzio.</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La Fase quinta sta interamente al Livello C</w:t>
      </w:r>
      <w:r>
        <w:rPr>
          <w:rFonts w:ascii="Barlow Semi Condensed" w:cs="Barlow Semi Condensed" w:eastAsia="Barlow Semi Condensed" w:hAnsi="Barlow Semi Condensed"/>
          <w:sz w:val="24"/>
          <w:szCs w:val="24"/>
        </w:rPr>
        <w:t xml:space="preserve">, salvo la sua base giudiziaria: è, per costruzione e per dichiarazione, congettura ordinata. L'apparato la tiene a quel livello e non promuove di un solo grado i nomi che essa ordina.</w:t>
      </w:r>
    </w:p>
    <w:p>
      <w:pPr>
        <w:spacing w:after="120" w:line="276"/>
        <w:jc w:val="both"/>
      </w:pPr>
      <w:r>
        <w:rPr>
          <w:rFonts w:ascii="Barlow Semi Condensed" w:cs="Barlow Semi Condensed" w:eastAsia="Barlow Semi Condensed" w:hAnsi="Barlow Semi Condensed"/>
          <w:sz w:val="24"/>
          <w:szCs w:val="24"/>
        </w:rPr>
        <w:t xml:space="preserve">Questa è la mappa che la quarta disciplina prometteva. Non chiude il caso: dice, in ogni suo punto, su che cosa il lettore poggia i piedi. E dice, con la forza di un dato, la cosa che l'intera opera — nella sua parte migliore — vuole dire: che ciò che è provato sul caso Moro è grave e basta a sé, e che ciò che non è provato va tenuto aperto, non chiuso con un nome.</w:t>
      </w:r>
    </w:p>
    <w:p>
      <w:pPr>
        <w:pBdr>
          <w:bottom w:val="single" w:color="999999" w:sz="6" w:space="1"/>
        </w:pBdr>
        <w:spacing w:after="80"/>
      </w:pPr>
    </w:p>
    <w:p>
      <w:pPr>
        <w:spacing w:after="120" w:line="276"/>
        <w:jc w:val="both"/>
      </w:pPr>
      <w:r>
        <w:rPr>
          <w:rFonts w:ascii="Barlow Semi Condensed" w:cs="Barlow Semi Condensed" w:eastAsia="Barlow Semi Condensed" w:hAnsi="Barlow Semi Condensed"/>
          <w:i/>
          <w:iCs/>
          <w:sz w:val="24"/>
          <w:szCs w:val="24"/>
        </w:rPr>
        <w:t xml:space="preserve">Apparato dei gradi dell'opera «Aldo Moro — Una guerra senza fine», edizione in cinquanta capitoli. Continuazione originale; non riproduce il testo dell'opera. Non nomina alcuna persona come responsabile di reato oltre il giudicato definitivo, e non riproduce la graduatoria della Fase quinta. I riscontri fattuali sono ancorati agli atti parlamentari, alle sentenze e alla documentazione pubblica. Per gli aspetti che toccano persone viventi vale la disciplina di riservatezza dell'apparato Italia Nera.</w:t>
      </w:r>
    </w:p>
    <w:p>
      <w:pPr>
        <w:pStyle w:val="Heading3"/>
        <w:spacing w:after="80" w:before="240"/>
      </w:pPr>
      <w:r>
        <w:rPr>
          <w:rFonts w:ascii="Barlow Semi Condensed" w:cs="Barlow Semi Condensed" w:eastAsia="Barlow Semi Condensed" w:hAnsi="Barlow Semi Condensed"/>
          <w:sz w:val="24"/>
          <w:szCs w:val="24"/>
        </w:rPr>
        <w:t xml:space="preserve">Apparato grafico — Appendici · L'apparato dei gradi (indice analitico)</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1"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Appendice I: 1.822 parole in 7 sezioni; la più ampia è §7 Lettura d'insieme dell'apparato, con 366.</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2"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Appendice I: 15 paragrafi in 7 sezioni, 2 in media per sezione.</w:t>
      </w:r>
    </w:p>
    <w:p>
      <w:pPr>
        <w:spacing w:after="120"/>
        <w:jc w:val="center"/>
      </w:pPr>
      <w:r>
        <w:rPr>
          <w:rFonts w:ascii="Barlow Semi Condensed" w:cs="Barlow Semi Condensed" w:eastAsia="Barlow Semi Condensed" w:hAnsi="Barlow Semi Condensed"/>
          <w:color w:val="777777"/>
          <w:sz w:val="16"/>
          <w:szCs w:val="16"/>
        </w:rPr>
        <w:t xml:space="preserve">Le metriche dell'apparato contano parole, documenti e atti — mai colpe.</w:t>
      </w:r>
    </w:p>
    <w:p>
      <w:r>
        <w:br w:type="page"/>
      </w:r>
    </w:p>
    <w:p>
      <w:pPr>
        <w:pStyle w:val="Heading1"/>
        <w:spacing w:after="120" w:before="240"/>
      </w:pPr>
      <w:r>
        <w:rPr>
          <w:rFonts w:ascii="Barlow Semi Condensed" w:cs="Barlow Semi Condensed" w:eastAsia="Barlow Semi Condensed" w:hAnsi="Barlow Semi Condensed"/>
          <w:sz w:val="24"/>
          <w:szCs w:val="24"/>
        </w:rPr>
        <w:t xml:space="preserve">Appendici — II. Relazione sui lavori in stile moroteo (pastiche dichiarato)</w:t>
      </w:r>
    </w:p>
    <w:p>
      <w:pPr>
        <w:pStyle w:val="Heading1"/>
        <w:spacing w:after="120" w:before="240"/>
      </w:pPr>
      <w:r>
        <w:rPr>
          <w:rFonts w:ascii="Barlow Semi Condensed" w:cs="Barlow Semi Condensed" w:eastAsia="Barlow Semi Condensed" w:hAnsi="Barlow Semi Condensed"/>
          <w:sz w:val="24"/>
          <w:szCs w:val="24"/>
        </w:rPr>
        <w:t xml:space="preserve">Relazione sullo stato dei lavori</w:t>
      </w:r>
    </w:p>
    <w:p>
      <w:pPr>
        <w:pBdr>
          <w:left w:val="single" w:color="1F3864" w:sz="18" w:space="8"/>
        </w:pBdr>
        <w:spacing w:after="80" w:before="80"/>
        <w:ind w:left="360" w:right="360"/>
        <w:jc w:val="both"/>
      </w:pPr>
      <w:r>
        <w:rPr>
          <w:rFonts w:ascii="Barlow Semi Condensed" w:cs="Barlow Semi Condensed" w:eastAsia="Barlow Semi Condensed" w:hAnsi="Barlow Semi Condensed"/>
          <w:b/>
          <w:bCs/>
          <w:i w:val="false"/>
          <w:iCs w:val="false"/>
          <w:sz w:val="24"/>
          <w:szCs w:val="24"/>
        </w:rPr>
        <w:t xml:space="preserve">Avvertenza.</w:t>
      </w:r>
      <w:r>
        <w:rPr>
          <w:rFonts w:ascii="Barlow Semi Condensed" w:cs="Barlow Semi Condensed" w:eastAsia="Barlow Semi Condensed" w:hAnsi="Barlow Semi Condensed"/>
          <w:i w:val="false"/>
          <w:iCs w:val="false"/>
          <w:sz w:val="24"/>
          <w:szCs w:val="24"/>
        </w:rPr>
        <w:t xml:space="preserve"> Il presente scritto è un esercizio di stile, redatto a imitazione della prosa parlata e scritta di Aldo Moro. Non è, né intende in alcun modo apparire, un testo di Aldo Moro: nulla di quanto segue gli è attribuibile, né come parola né come pensiero. L'imitazione riguarda la sola forma; la materia è il lavoro documentario svolto in questa sede.</w:t>
      </w:r>
    </w:p>
    <w:p>
      <w:pPr>
        <w:pBdr>
          <w:bottom w:val="single" w:color="999999" w:sz="6" w:space="1"/>
        </w:pBdr>
        <w:spacing w:after="80"/>
      </w:pPr>
    </w:p>
    <w:p>
      <w:pPr>
        <w:spacing w:after="120" w:line="276"/>
        <w:jc w:val="both"/>
      </w:pPr>
      <w:r>
        <w:rPr>
          <w:rFonts w:ascii="Barlow Semi Condensed" w:cs="Barlow Semi Condensed" w:eastAsia="Barlow Semi Condensed" w:hAnsi="Barlow Semi Condensed"/>
          <w:sz w:val="24"/>
          <w:szCs w:val="24"/>
        </w:rPr>
        <w:t xml:space="preserve">Onorevoli amici,</w:t>
      </w:r>
    </w:p>
    <w:p>
      <w:pPr>
        <w:spacing w:after="120" w:line="276"/>
        <w:jc w:val="both"/>
      </w:pPr>
      <w:r>
        <w:rPr>
          <w:rFonts w:ascii="Barlow Semi Condensed" w:cs="Barlow Semi Condensed" w:eastAsia="Barlow Semi Condensed" w:hAnsi="Barlow Semi Condensed"/>
          <w:sz w:val="24"/>
          <w:szCs w:val="24"/>
        </w:rPr>
        <w:t xml:space="preserve">non è senza qualche esitazione che mi accingo a riferire dello stato dei nostri lavori, e ciò non perché essi non abbiano segnato — come io credo — un progresso apprezzabile, ma perché il progresso di cui si tratta è di quelli che si misurano, più che nell'accrescimento del materiale raccolto, in una più avvertita coscienza dei suoi limiti. E questa, converrete, è materia che mal si presta alle formulazioni recise.</w:t>
      </w:r>
    </w:p>
    <w:p>
      <w:pPr>
        <w:spacing w:after="120" w:line="276"/>
        <w:jc w:val="both"/>
      </w:pPr>
      <w:r>
        <w:rPr>
          <w:rFonts w:ascii="Barlow Semi Condensed" w:cs="Barlow Semi Condensed" w:eastAsia="Barlow Semi Condensed" w:hAnsi="Barlow Semi Condensed"/>
          <w:sz w:val="24"/>
          <w:szCs w:val="24"/>
        </w:rPr>
        <w:t xml:space="preserve">Vorrei muovere da ciò che è stato fatto, non senza avere premesso che il farlo non esaurisce, e per certi versi anzi apre, il discorso che ci sta davanti.</w:t>
      </w:r>
    </w:p>
    <w:p>
      <w:pPr>
        <w:pStyle w:val="Heading2"/>
        <w:spacing w:after="100" w:before="200"/>
      </w:pPr>
      <w:r>
        <w:rPr>
          <w:rFonts w:ascii="Barlow Semi Condensed" w:cs="Barlow Semi Condensed" w:eastAsia="Barlow Semi Condensed" w:hAnsi="Barlow Semi Condensed"/>
          <w:sz w:val="24"/>
          <w:szCs w:val="24"/>
        </w:rPr>
        <w:t xml:space="preserve">I. Del registro degli amnistiati</w:t>
      </w:r>
    </w:p>
    <w:p>
      <w:pPr>
        <w:spacing w:after="120" w:line="276"/>
        <w:jc w:val="both"/>
      </w:pPr>
      <w:r>
        <w:rPr>
          <w:rFonts w:ascii="Barlow Semi Condensed" w:cs="Barlow Semi Condensed" w:eastAsia="Barlow Semi Condensed" w:hAnsi="Barlow Semi Condensed"/>
          <w:sz w:val="24"/>
          <w:szCs w:val="24"/>
        </w:rPr>
        <w:t xml:space="preserve">Si era chiesto un elenco di quanti, condannati o comunque attinti dal Tribunale Speciale per la difesa dello Stato, ebbero poi a giovarsi dei provvedimenti di clemenza. L'elenco è stato compilato, e reca oggi una cinquantina di nomi, ciascuno accompagnato dal rinvio alla scheda d'origine.</w:t>
      </w:r>
    </w:p>
    <w:p>
      <w:pPr>
        <w:spacing w:after="120" w:line="276"/>
        <w:jc w:val="both"/>
      </w:pPr>
      <w:r>
        <w:rPr>
          <w:rFonts w:ascii="Barlow Semi Condensed" w:cs="Barlow Semi Condensed" w:eastAsia="Barlow Semi Condensed" w:hAnsi="Barlow Semi Condensed"/>
          <w:sz w:val="24"/>
          <w:szCs w:val="24"/>
        </w:rPr>
        <w:t xml:space="preserve">Sarebbe però un cattivo servizio alla verità il presentare tale elenco come cosa compiuta. La fonte cui si doveva attingere non è risultata raggiungibile per la via diretta, essendovisi frapposto un impedimento della rete che non era in nostro potere rimuovere; e si è dovuto perciò procedere per una via obliqua, interrogando i motori di ricerca sulle singole schede. Il risultato — e qui è necessaria una parola di chiarezza — è rappresentativo ma non esaustivo: ove si consideri che la sola amnistia del decennale restituì la libertà a seicentotrentanove dei millecinquantasei condannati dal Tribunale, si comprenderà come quanto abbiamo in mano sia un campione, e non un censimento. Ho ritenuto di doverlo dire, piuttosto che lasciare che il documento parlasse di sé più di quanto gli competa.</w:t>
      </w:r>
    </w:p>
    <w:p>
      <w:pPr>
        <w:pStyle w:val="Heading2"/>
        <w:spacing w:after="100" w:before="200"/>
      </w:pPr>
      <w:r>
        <w:rPr>
          <w:rFonts w:ascii="Barlow Semi Condensed" w:cs="Barlow Semi Condensed" w:eastAsia="Barlow Semi Condensed" w:hAnsi="Barlow Semi Condensed"/>
          <w:sz w:val="24"/>
          <w:szCs w:val="24"/>
        </w:rPr>
        <w:t xml:space="preserve">II. Del corpus guevariano e della sua verifica</w:t>
      </w:r>
    </w:p>
    <w:p>
      <w:pPr>
        <w:spacing w:after="120" w:line="276"/>
        <w:jc w:val="both"/>
      </w:pPr>
      <w:r>
        <w:rPr>
          <w:rFonts w:ascii="Barlow Semi Condensed" w:cs="Barlow Semi Condensed" w:eastAsia="Barlow Semi Condensed" w:hAnsi="Barlow Semi Condensed"/>
          <w:sz w:val="24"/>
          <w:szCs w:val="24"/>
        </w:rPr>
        <w:t xml:space="preserve">Ben più delicato è il capitolo che concerne i testi su Ernesto Guevara.</w:t>
      </w:r>
    </w:p>
    <w:p>
      <w:pPr>
        <w:spacing w:after="120" w:line="276"/>
        <w:jc w:val="both"/>
      </w:pPr>
      <w:r>
        <w:rPr>
          <w:rFonts w:ascii="Barlow Semi Condensed" w:cs="Barlow Semi Condensed" w:eastAsia="Barlow Semi Condensed" w:hAnsi="Barlow Semi Condensed"/>
          <w:sz w:val="24"/>
          <w:szCs w:val="24"/>
        </w:rPr>
        <w:t xml:space="preserve">Non pare dubbio che quei testi rechino, nel loro impianto, una sostanziale tenuta: la cronologia regge, gli snodi maggiori trovano riscontro, l'architettura è quella di chi conosce la materia. Ma appunto perché l'impianto regge, non era possibile tacere che alcune proposizioni si sono rivelate, ad un più attento riscontro, non pienamente sorrette dalle fonti.</w:t>
      </w:r>
    </w:p>
    <w:p>
      <w:pPr>
        <w:spacing w:after="120" w:line="276"/>
        <w:jc w:val="both"/>
      </w:pPr>
      <w:r>
        <w:rPr>
          <w:rFonts w:ascii="Barlow Semi Condensed" w:cs="Barlow Semi Condensed" w:eastAsia="Barlow Semi Condensed" w:hAnsi="Barlow Semi Condensed"/>
          <w:sz w:val="24"/>
          <w:szCs w:val="24"/>
        </w:rPr>
        <w:t xml:space="preserve">Dirò dei quattro punti che hanno richiesto emenda, e lo dirò senza reticenze, poiché la reticenza in queste cose non è prudenza ma danno. L'incontro riservato con Malcolm X non ebbe luogo: vi fu invito, vi fu rinuncia per ragioni di sicurezza, vi fu un messaggio letto in sala, il che è cosa diversa e, se posso permettermi, non meno significativa. L'impiego notturno presso il Fondo de Cultura Económica non ha trovato conferma alcuna, ed anzi vi si accompagna una probabile confusione di persona fra due Orfila che nulla ebbero in comune se non il cognome. L'età attribuita a Fidel Castro nell'incontro del luglio Cinquantacinque era quella di Guevara, e non la sua. La contemporanea titolarità del dicastero dell'industria e della presidenza della Banca Nazionale non poteva darsi nel Sessantaquattro, essendo la seconda cessata tre anni innanzi.</w:t>
      </w:r>
    </w:p>
    <w:p>
      <w:pPr>
        <w:spacing w:after="120" w:line="276"/>
        <w:jc w:val="both"/>
      </w:pPr>
      <w:r>
        <w:rPr>
          <w:rFonts w:ascii="Barlow Semi Condensed" w:cs="Barlow Semi Condensed" w:eastAsia="Barlow Semi Condensed" w:hAnsi="Barlow Semi Condensed"/>
          <w:sz w:val="24"/>
          <w:szCs w:val="24"/>
        </w:rPr>
        <w:t xml:space="preserve">A queste si sono aggiunte nove imprecisioni minori, per le quali si è preferito, ove il riscontro mancasse, non già l'espunzione ma l'attribuzione esplicita alla fonte che le reca: ché altro è tacere una notizia incerta, altro è dichiararne l'incertezza, e questa seconda via mi è parsa più rispettosa tanto del lettore quanto dell'autore.</w:t>
      </w:r>
    </w:p>
    <w:p>
      <w:pPr>
        <w:spacing w:after="120" w:line="276"/>
        <w:jc w:val="both"/>
      </w:pPr>
      <w:r>
        <w:rPr>
          <w:rFonts w:ascii="Barlow Semi Condensed" w:cs="Barlow Semi Condensed" w:eastAsia="Barlow Semi Condensed" w:hAnsi="Barlow Semi Condensed"/>
          <w:sz w:val="24"/>
          <w:szCs w:val="24"/>
        </w:rPr>
        <w:t xml:space="preserve">Ogni emenda è stata accompagnata da una nota che dichiara la lezione originaria, quella corretta e la ragione dell'intervento. Non si è voluto, in altri termini, che la correzione cancellasse la propria traccia.</w:t>
      </w:r>
    </w:p>
    <w:p>
      <w:pPr>
        <w:pStyle w:val="Heading2"/>
        <w:spacing w:after="100" w:before="200"/>
      </w:pPr>
      <w:r>
        <w:rPr>
          <w:rFonts w:ascii="Barlow Semi Condensed" w:cs="Barlow Semi Condensed" w:eastAsia="Barlow Semi Condensed" w:hAnsi="Barlow Semi Condensed"/>
          <w:sz w:val="24"/>
          <w:szCs w:val="24"/>
        </w:rPr>
        <w:t xml:space="preserve">III. Di un deposito e della prudenza che lo ha governato</w:t>
      </w:r>
    </w:p>
    <w:p>
      <w:pPr>
        <w:spacing w:after="120" w:line="276"/>
        <w:jc w:val="both"/>
      </w:pPr>
      <w:r>
        <w:rPr>
          <w:rFonts w:ascii="Barlow Semi Condensed" w:cs="Barlow Semi Condensed" w:eastAsia="Barlow Semi Condensed" w:hAnsi="Barlow Semi Condensed"/>
          <w:sz w:val="24"/>
          <w:szCs w:val="24"/>
        </w:rPr>
        <w:t xml:space="preserve">Devo infine riferire di un lotto documentario di ben altra natura e di ben altra delicatezza, pervenuto in questa sede e qui collazionato.</w:t>
      </w:r>
    </w:p>
    <w:p>
      <w:pPr>
        <w:spacing w:after="120" w:line="276"/>
        <w:jc w:val="both"/>
      </w:pPr>
      <w:r>
        <w:rPr>
          <w:rFonts w:ascii="Barlow Semi Condensed" w:cs="Barlow Semi Condensed" w:eastAsia="Barlow Semi Condensed" w:hAnsi="Barlow Semi Condensed"/>
          <w:sz w:val="24"/>
          <w:szCs w:val="24"/>
        </w:rPr>
        <w:t xml:space="preserve">Il lotto recava, per volontà del suo autore, l'avvertenza che nulla di quanto vi è contenuto sia pubblicabile o divulgabile prima della verifica su fonti primarie, trattandosi di attribuzioni allo stato non riscontrate e concernenti anche persone viventi. Ora, la sede in cui i nostri lavori si erano fin qui svolti è sede aperta, accessibile a chiunque; e il depositarvi quel materiale avrebbe significato compiere precisamente l'atto che l'avvertenza escludeva.</w:t>
      </w:r>
    </w:p>
    <w:p>
      <w:pPr>
        <w:spacing w:after="120" w:line="276"/>
        <w:jc w:val="both"/>
      </w:pPr>
      <w:r>
        <w:rPr>
          <w:rFonts w:ascii="Barlow Semi Condensed" w:cs="Barlow Semi Condensed" w:eastAsia="Barlow Semi Condensed" w:hAnsi="Barlow Semi Condensed"/>
          <w:sz w:val="24"/>
          <w:szCs w:val="24"/>
        </w:rPr>
        <w:t xml:space="preserve">Mi sono perciò fermato, e ho chiesto. Non era, credo, eccesso di scrupolo: vi sono atti che, una volta compiuti, non si lasciano più disfare, e la diffusione in rete di un'attribuzione non verificata riferita a persona vivente è tra questi. Il deposito è quindi avvenuto in sede riservata, secondo l'indicazione ricevuta, ed è coerente del resto con la disciplina che l'autore medesimo già osserva all'interno dell'opera, ove risultano esclusi dal corpo, per riguardo alle persone viventi, taluni materiali che pure erano in suo possesso.</w:t>
      </w:r>
    </w:p>
    <w:p>
      <w:pPr>
        <w:spacing w:after="120" w:line="276"/>
        <w:jc w:val="both"/>
      </w:pPr>
      <w:r>
        <w:rPr>
          <w:rFonts w:ascii="Barlow Semi Condensed" w:cs="Barlow Semi Condensed" w:eastAsia="Barlow Semi Condensed" w:hAnsi="Barlow Semi Condensed"/>
          <w:sz w:val="24"/>
          <w:szCs w:val="24"/>
        </w:rPr>
        <w:t xml:space="preserve">Quanto al lavoro tecnico, esso ha dato questi frutti: undici documenti ricondotti a cinque, essendo il resto duplicazione; la catena di custodia dichiarata dall'opera verificata nell'unico punto in cui la verifica era possibile, e trovata esatta; una struttura di titoli restituita a centosessantatremila parole che ne erano prive e che perciò non comparivano nell'indice, senza che una sola parola del testo fosse toccata.</w:t>
      </w:r>
    </w:p>
    <w:p>
      <w:pPr>
        <w:pStyle w:val="Heading2"/>
        <w:spacing w:after="100" w:before="200"/>
      </w:pPr>
      <w:r>
        <w:rPr>
          <w:rFonts w:ascii="Barlow Semi Condensed" w:cs="Barlow Semi Condensed" w:eastAsia="Barlow Semi Condensed" w:hAnsi="Barlow Semi Condensed"/>
          <w:sz w:val="24"/>
          <w:szCs w:val="24"/>
        </w:rPr>
        <w:t xml:space="preserve">IV. Di ciò che resta</w:t>
      </w:r>
    </w:p>
    <w:p>
      <w:pPr>
        <w:spacing w:after="120" w:line="276"/>
        <w:jc w:val="both"/>
      </w:pPr>
      <w:r>
        <w:rPr>
          <w:rFonts w:ascii="Barlow Semi Condensed" w:cs="Barlow Semi Condensed" w:eastAsia="Barlow Semi Condensed" w:hAnsi="Barlow Semi Condensed"/>
          <w:sz w:val="24"/>
          <w:szCs w:val="24"/>
        </w:rPr>
        <w:t xml:space="preserve">Resta aperto — e non vorrei che ciò suonasse come una diminuzione di quanto si è fatto — un triplice ordine di questioni: il completamento delle parti che nei testi guevariani si interrompono a mezzo; la sostituzione di taluni rinvii che, per la loro provenienza, non reggerebbero ad un uso accademico; e, nel lotto riservato, la ricomposizione di quei titoli che l'estrazione meccanica ha spezzato, operazione che tocca il testo e che perciò non ho ritenuto di intraprendere di mia iniziativa.</w:t>
      </w:r>
    </w:p>
    <w:p>
      <w:pPr>
        <w:spacing w:after="120" w:line="276"/>
        <w:jc w:val="both"/>
      </w:pPr>
      <w:r>
        <w:rPr>
          <w:rFonts w:ascii="Barlow Semi Condensed" w:cs="Barlow Semi Condensed" w:eastAsia="Barlow Semi Condensed" w:hAnsi="Barlow Semi Condensed"/>
          <w:sz w:val="24"/>
          <w:szCs w:val="24"/>
        </w:rPr>
        <w:t xml:space="preserve">Sono, come vedete, questioni di misura diversa. Le accomuna tuttavia un carattere: che nessuna di esse si risolve nell'accumulo, e tutte richiedono invece quella pazienza del riscontro che è, in definitiva, l'unica cosa che distingua un repertorio da un elenco.</w:t>
      </w:r>
    </w:p>
    <w:p>
      <w:pPr>
        <w:spacing w:after="120" w:line="276"/>
        <w:jc w:val="both"/>
      </w:pPr>
      <w:r>
        <w:rPr>
          <w:rFonts w:ascii="Barlow Semi Condensed" w:cs="Barlow Semi Condensed" w:eastAsia="Barlow Semi Condensed" w:hAnsi="Barlow Semi Condensed"/>
          <w:sz w:val="24"/>
          <w:szCs w:val="24"/>
        </w:rPr>
        <w:t xml:space="preserve">Vi ringrazio dell'attenzione.</w:t>
      </w:r>
    </w:p>
    <w:p>
      <w:pPr>
        <w:pStyle w:val="Heading3"/>
        <w:spacing w:after="80" w:before="240"/>
      </w:pPr>
      <w:r>
        <w:rPr>
          <w:rFonts w:ascii="Barlow Semi Condensed" w:cs="Barlow Semi Condensed" w:eastAsia="Barlow Semi Condensed" w:hAnsi="Barlow Semi Condensed"/>
          <w:sz w:val="24"/>
          <w:szCs w:val="24"/>
        </w:rPr>
        <w:t xml:space="preserve">Apparato grafico — Appendici · Relazione sui lavori in stile moroteo (pastiche dichiarato</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3"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Appendice II: 829 parole in 4 sezioni; la più ampia è §2 II. Del corpus guevariano e della sua verifica, con 291.</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4"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Appendice II: 14 paragrafi in 4 sezioni, 4 in media per sezione.</w:t>
      </w:r>
    </w:p>
    <w:p>
      <w:pPr>
        <w:spacing w:after="120"/>
        <w:jc w:val="center"/>
      </w:pPr>
      <w:r>
        <w:rPr>
          <w:rFonts w:ascii="Barlow Semi Condensed" w:cs="Barlow Semi Condensed" w:eastAsia="Barlow Semi Condensed" w:hAnsi="Barlow Semi Condensed"/>
          <w:color w:val="777777"/>
          <w:sz w:val="16"/>
          <w:szCs w:val="16"/>
        </w:rPr>
        <w:t xml:space="preserve">Le metriche dell'apparato contano parole, documenti e atti — mai colpe.</w:t>
      </w:r>
    </w:p>
    <w:p>
      <w:r>
        <w:br w:type="page"/>
      </w:r>
    </w:p>
    <w:p>
      <w:pPr>
        <w:pStyle w:val="Heading1"/>
        <w:spacing w:after="120" w:before="240"/>
      </w:pPr>
      <w:r>
        <w:rPr>
          <w:rFonts w:ascii="Barlow Semi Condensed" w:cs="Barlow Semi Condensed" w:eastAsia="Barlow Semi Condensed" w:hAnsi="Barlow Semi Condensed"/>
          <w:sz w:val="24"/>
          <w:szCs w:val="24"/>
        </w:rPr>
        <w:t xml:space="preserve">Appendici — III. Verifica di un elenco esterno (i trentatré nomi)</w:t>
      </w:r>
    </w:p>
    <w:p>
      <w:pPr>
        <w:pStyle w:val="Heading1"/>
        <w:spacing w:after="120" w:before="240"/>
      </w:pPr>
      <w:r>
        <w:rPr>
          <w:rFonts w:ascii="Barlow Semi Condensed" w:cs="Barlow Semi Condensed" w:eastAsia="Barlow Semi Condensed" w:hAnsi="Barlow Semi Condensed"/>
          <w:sz w:val="24"/>
          <w:szCs w:val="24"/>
        </w:rPr>
        <w:t xml:space="preserve">Verifica dell'elenco dei trentatré nomi e dei numeri di tessera</w:t>
      </w:r>
    </w:p>
    <w:p>
      <w:pPr>
        <w:spacing w:after="120" w:line="276"/>
        <w:jc w:val="both"/>
      </w:pPr>
      <w:r>
        <w:rPr>
          <w:rFonts w:ascii="Barlow Semi Condensed" w:cs="Barlow Semi Condensed" w:eastAsia="Barlow Semi Condensed" w:hAnsi="Barlow Semi Condensed"/>
          <w:sz w:val="24"/>
          <w:szCs w:val="24"/>
        </w:rPr>
        <w:t xml:space="preserve">*Documento prodotto con sistemi di intelligenza artificiale sotto direzione e</w:t>
      </w:r>
    </w:p>
    <w:p>
      <w:pPr>
        <w:spacing w:after="120" w:line="276"/>
        <w:jc w:val="both"/>
      </w:pPr>
      <w:r>
        <w:rPr>
          <w:rFonts w:ascii="Barlow Semi Condensed" w:cs="Barlow Semi Condensed" w:eastAsia="Barlow Semi Condensed" w:hAnsi="Barlow Semi Condensed"/>
          <w:sz w:val="24"/>
          <w:szCs w:val="24"/>
        </w:rPr>
        <w:t xml:space="preserve">responsabilità umana. La dichiarazione sta in apertura perché è parte</w:t>
      </w:r>
    </w:p>
    <w:p>
      <w:pPr>
        <w:spacing w:after="120" w:line="276"/>
        <w:jc w:val="both"/>
      </w:pPr>
      <w:r>
        <w:rPr>
          <w:rFonts w:ascii="Barlow Semi Condensed" w:cs="Barlow Semi Condensed" w:eastAsia="Barlow Semi Condensed" w:hAnsi="Barlow Semi Condensed"/>
          <w:sz w:val="24"/>
          <w:szCs w:val="24"/>
        </w:rPr>
        <w:t xml:space="preserve">dell'oggetto, non una circostanza accessoria della produzione.*</w:t>
      </w:r>
    </w:p>
    <w:p>
      <w:pPr>
        <w:spacing w:after="120" w:line="276"/>
        <w:jc w:val="both"/>
      </w:pPr>
      <w:r>
        <w:rPr>
          <w:rFonts w:ascii="Barlow Semi Condensed" w:cs="Barlow Semi Condensed" w:eastAsia="Barlow Semi Condensed" w:hAnsi="Barlow Semi Condensed"/>
          <w:b/>
          <w:bCs/>
          <w:sz w:val="24"/>
          <w:szCs w:val="24"/>
        </w:rPr>
        <w:t xml:space="preserve">Lotto:</w:t>
      </w:r>
      <w:r>
        <w:rPr>
          <w:rFonts w:ascii="Barlow Semi Condensed" w:cs="Barlow Semi Condensed" w:eastAsia="Barlow Semi Condensed" w:hAnsi="Barlow Semi Condensed"/>
          <w:sz w:val="24"/>
          <w:szCs w:val="24"/>
        </w:rPr>
        <w:t xml:space="preserve"> verifica di un testo esterno sottoposto al corpus il 26 agosto 2026.</w:t>
      </w:r>
    </w:p>
    <w:p>
      <w:pPr>
        <w:spacing w:after="120" w:line="276"/>
        <w:jc w:val="both"/>
      </w:pPr>
      <w:r>
        <w:rPr>
          <w:rFonts w:ascii="Barlow Semi Condensed" w:cs="Barlow Semi Condensed" w:eastAsia="Barlow Semi Condensed" w:hAnsi="Barlow Semi Condensed"/>
          <w:b/>
          <w:bCs/>
          <w:sz w:val="24"/>
          <w:szCs w:val="24"/>
        </w:rPr>
        <w:t xml:space="preserve">Oggetto:</w:t>
      </w:r>
      <w:r>
        <w:rPr>
          <w:rFonts w:ascii="Barlow Semi Condensed" w:cs="Barlow Semi Condensed" w:eastAsia="Barlow Semi Condensed" w:hAnsi="Barlow Semi Condensed"/>
          <w:sz w:val="24"/>
          <w:szCs w:val="24"/>
        </w:rPr>
        <w:t xml:space="preserve"> una tabella di trentatré nominativi con ruolo attribuito nella</w:t>
      </w:r>
    </w:p>
    <w:p>
      <w:pPr>
        <w:spacing w:after="120" w:line="276"/>
        <w:jc w:val="both"/>
      </w:pPr>
      <w:r>
        <w:rPr>
          <w:rFonts w:ascii="Barlow Semi Condensed" w:cs="Barlow Semi Condensed" w:eastAsia="Barlow Semi Condensed" w:hAnsi="Barlow Semi Condensed"/>
          <w:sz w:val="24"/>
          <w:szCs w:val="24"/>
        </w:rPr>
        <w:t xml:space="preserve">primavera del 1978 e presunto numero di tessera della loggia Propaganda Due.</w:t>
      </w:r>
    </w:p>
    <w:p>
      <w:pPr>
        <w:spacing w:after="120" w:line="276"/>
        <w:jc w:val="both"/>
      </w:pPr>
      <w:r>
        <w:rPr>
          <w:rFonts w:ascii="Barlow Semi Condensed" w:cs="Barlow Semi Condensed" w:eastAsia="Barlow Semi Condensed" w:hAnsi="Barlow Semi Condensed"/>
          <w:b/>
          <w:bCs/>
          <w:sz w:val="24"/>
          <w:szCs w:val="24"/>
        </w:rPr>
        <w:t xml:space="preserve">Esito in una riga:</w:t>
      </w:r>
      <w:r>
        <w:rPr>
          <w:rFonts w:ascii="Barlow Semi Condensed" w:cs="Barlow Semi Condensed" w:eastAsia="Barlow Semi Condensed" w:hAnsi="Barlow Semi Condensed"/>
          <w:sz w:val="24"/>
          <w:szCs w:val="24"/>
        </w:rPr>
        <w:t xml:space="preserve"> i nomi in larga parte reggono, i numeri no.</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1. Metodo</w:t>
      </w:r>
    </w:p>
    <w:p>
      <w:pPr>
        <w:spacing w:after="120" w:line="276"/>
        <w:jc w:val="both"/>
      </w:pPr>
      <w:r>
        <w:rPr>
          <w:rFonts w:ascii="Barlow Semi Condensed" w:cs="Barlow Semi Condensed" w:eastAsia="Barlow Semi Condensed" w:hAnsi="Barlow Semi Condensed"/>
          <w:sz w:val="24"/>
          <w:szCs w:val="24"/>
        </w:rPr>
        <w:t xml:space="preserve">Un elenco si verifica </w:t>
      </w:r>
      <w:r>
        <w:rPr>
          <w:rFonts w:ascii="Barlow Semi Condensed" w:cs="Barlow Semi Condensed" w:eastAsia="Barlow Semi Condensed" w:hAnsi="Barlow Semi Condensed"/>
          <w:b/>
          <w:bCs/>
          <w:sz w:val="24"/>
          <w:szCs w:val="24"/>
        </w:rPr>
        <w:t xml:space="preserve">per campi separati, non in blocco</w:t>
      </w:r>
      <w:r>
        <w:rPr>
          <w:rFonts w:ascii="Barlow Semi Condensed" w:cs="Barlow Semi Condensed" w:eastAsia="Barlow Semi Condensed" w:hAnsi="Barlow Semi Condensed"/>
          <w:sz w:val="24"/>
          <w:szCs w:val="24"/>
        </w:rPr>
        <w:t xml:space="preserve">. La tabella esaminata</w:t>
      </w:r>
    </w:p>
    <w:p>
      <w:pPr>
        <w:spacing w:after="120" w:line="276"/>
        <w:jc w:val="both"/>
      </w:pPr>
      <w:r>
        <w:rPr>
          <w:rFonts w:ascii="Barlow Semi Condensed" w:cs="Barlow Semi Condensed" w:eastAsia="Barlow Semi Condensed" w:hAnsi="Barlow Semi Condensed"/>
          <w:sz w:val="24"/>
          <w:szCs w:val="24"/>
        </w:rPr>
        <w:t xml:space="preserve">presenta quattro campi in una riga sola e chiede di crederli insieme:</w:t>
      </w:r>
    </w:p>
    <w:p>
      <w:pPr>
        <w:spacing w:after="40"/>
        <w:ind w:left="360"/>
        <w:jc w:val="both"/>
      </w:pPr>
      <w:r>
        <w:rPr>
          <w:rFonts w:ascii="Barlow Semi Condensed" w:cs="Barlow Semi Condensed" w:eastAsia="Barlow Semi Condensed" w:hAnsi="Barlow Semi Condensed"/>
          <w:sz w:val="24"/>
          <w:szCs w:val="24"/>
        </w:rPr>
        <w:t xml:space="preserve">1. il nome della persona;</w:t>
      </w:r>
    </w:p>
    <w:p>
      <w:pPr>
        <w:spacing w:after="40"/>
        <w:ind w:left="360"/>
        <w:jc w:val="both"/>
      </w:pPr>
      <w:r>
        <w:rPr>
          <w:rFonts w:ascii="Barlow Semi Condensed" w:cs="Barlow Semi Condensed" w:eastAsia="Barlow Semi Condensed" w:hAnsi="Barlow Semi Condensed"/>
          <w:sz w:val="24"/>
          <w:szCs w:val="24"/>
        </w:rPr>
        <w:t xml:space="preserve">2. il ruolo istituzionale ricoperto nella primavera del 1978;</w:t>
      </w:r>
    </w:p>
    <w:p>
      <w:pPr>
        <w:spacing w:after="40"/>
        <w:ind w:left="360"/>
        <w:jc w:val="both"/>
      </w:pPr>
      <w:r>
        <w:rPr>
          <w:rFonts w:ascii="Barlow Semi Condensed" w:cs="Barlow Semi Condensed" w:eastAsia="Barlow Semi Condensed" w:hAnsi="Barlow Semi Condensed"/>
          <w:sz w:val="24"/>
          <w:szCs w:val="24"/>
        </w:rPr>
        <w:t xml:space="preserve">3. l'appartenenza agli elenchi sequestrati a Castiglion Fibocchi il 17 marzo 1981;</w:t>
      </w:r>
    </w:p>
    <w:p>
      <w:pPr>
        <w:spacing w:after="40"/>
        <w:ind w:left="360"/>
        <w:jc w:val="both"/>
      </w:pPr>
      <w:r>
        <w:rPr>
          <w:rFonts w:ascii="Barlow Semi Condensed" w:cs="Barlow Semi Condensed" w:eastAsia="Barlow Semi Condensed" w:hAnsi="Barlow Semi Condensed"/>
          <w:sz w:val="24"/>
          <w:szCs w:val="24"/>
        </w:rPr>
        <w:t xml:space="preserve">4. il numero di tessera.</w:t>
      </w:r>
    </w:p>
    <w:p>
      <w:pPr>
        <w:spacing w:after="120" w:line="276"/>
        <w:jc w:val="both"/>
      </w:pPr>
      <w:r>
        <w:rPr>
          <w:rFonts w:ascii="Barlow Semi Condensed" w:cs="Barlow Semi Condensed" w:eastAsia="Barlow Semi Condensed" w:hAnsi="Barlow Semi Condensed"/>
          <w:sz w:val="24"/>
          <w:szCs w:val="24"/>
        </w:rPr>
        <w:t xml:space="preserve">Presi uno alla volta si comportano in modo molto diverso. Il quarto campo — quello</w:t>
      </w:r>
    </w:p>
    <w:p>
      <w:pPr>
        <w:spacing w:after="120" w:line="276"/>
        <w:jc w:val="both"/>
      </w:pPr>
      <w:r>
        <w:rPr>
          <w:rFonts w:ascii="Barlow Semi Condensed" w:cs="Barlow Semi Condensed" w:eastAsia="Barlow Semi Condensed" w:hAnsi="Barlow Semi Condensed"/>
          <w:sz w:val="24"/>
          <w:szCs w:val="24"/>
        </w:rPr>
        <w:t xml:space="preserve">su cui il testo chiede di costruire un calcolo di percentuali sui 962 — è l'unico</w:t>
      </w:r>
    </w:p>
    <w:p>
      <w:pPr>
        <w:spacing w:after="120" w:line="276"/>
        <w:jc w:val="both"/>
      </w:pPr>
      <w:r>
        <w:rPr>
          <w:rFonts w:ascii="Barlow Semi Condensed" w:cs="Barlow Semi Condensed" w:eastAsia="Barlow Semi Condensed" w:hAnsi="Barlow Semi Condensed"/>
          <w:sz w:val="24"/>
          <w:szCs w:val="24"/>
        </w:rPr>
        <w:t xml:space="preserve">per cui non esiste alcun riscontro indipendente.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c>
          <w:tcPr>
            <w:tcW w:type="dxa" w:w="468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campo</w:t>
            </w:r>
          </w:p>
        </w:tc>
        <w:tc>
          <w:tcPr>
            <w:tcW w:type="dxa" w:w="468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nomi che reggono</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nomi elencati nella tabella</w:t>
            </w:r>
          </w:p>
        </w:tc>
        <w:tc>
          <w:tcPr>
            <w:tcW w:type="dxa" w:w="4680"/>
          </w:tcPr>
          <w:p>
            <w:pPr>
              <w:spacing w:after="20" w:before="20"/>
              <w:jc w:val="both"/>
            </w:pPr>
            <w:r>
              <w:rPr>
                <w:rFonts w:ascii="Barlow Semi Condensed" w:cs="Barlow Semi Condensed" w:eastAsia="Barlow Semi Condensed" w:hAnsi="Barlow Semi Condensed"/>
                <w:sz w:val="20"/>
                <w:szCs w:val="20"/>
              </w:rPr>
              <w:t xml:space="preserve">33</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persone reali con ruolo del 1978 verificabile</w:t>
            </w:r>
          </w:p>
        </w:tc>
        <w:tc>
          <w:tcPr>
            <w:tcW w:type="dxa" w:w="4680"/>
          </w:tcPr>
          <w:p>
            <w:pPr>
              <w:spacing w:after="20" w:before="20"/>
              <w:jc w:val="both"/>
            </w:pPr>
            <w:r>
              <w:rPr>
                <w:rFonts w:ascii="Barlow Semi Condensed" w:cs="Barlow Semi Condensed" w:eastAsia="Barlow Semi Condensed" w:hAnsi="Barlow Semi Condensed"/>
                <w:sz w:val="20"/>
                <w:szCs w:val="20"/>
              </w:rPr>
              <w:t xml:space="preserve">33</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appartenenza corroborata fuori dal testo</w:t>
            </w:r>
          </w:p>
        </w:tc>
        <w:tc>
          <w:tcPr>
            <w:tcW w:type="dxa" w:w="4680"/>
          </w:tcPr>
          <w:p>
            <w:pPr>
              <w:spacing w:after="20" w:before="20"/>
              <w:jc w:val="both"/>
            </w:pPr>
            <w:r>
              <w:rPr>
                <w:rFonts w:ascii="Barlow Semi Condensed" w:cs="Barlow Semi Condensed" w:eastAsia="Barlow Semi Condensed" w:hAnsi="Barlow Semi Condensed"/>
                <w:sz w:val="20"/>
                <w:szCs w:val="20"/>
              </w:rPr>
              <w:t xml:space="preserve">20</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posizione definita in sede giudiziaria</w:t>
            </w:r>
          </w:p>
        </w:tc>
        <w:tc>
          <w:tcPr>
            <w:tcW w:type="dxa" w:w="4680"/>
          </w:tcPr>
          <w:p>
            <w:pPr>
              <w:spacing w:after="20" w:before="20"/>
              <w:jc w:val="both"/>
            </w:pPr>
            <w:r>
              <w:rPr>
                <w:rFonts w:ascii="Barlow Semi Condensed" w:cs="Barlow Semi Condensed" w:eastAsia="Barlow Semi Condensed" w:hAnsi="Barlow Semi Condensed"/>
                <w:sz w:val="20"/>
                <w:szCs w:val="20"/>
              </w:rPr>
              <w:t xml:space="preserve">1</w:t>
            </w:r>
          </w:p>
        </w:tc>
      </w:tr>
      <w:tr>
        <w:tc>
          <w:tcPr>
            <w:tcW w:type="dxa" w:w="4680"/>
          </w:tcPr>
          <w:p>
            <w:pPr>
              <w:spacing w:after="20" w:before="20"/>
              <w:jc w:val="both"/>
            </w:pPr>
            <w:r>
              <w:rPr>
                <w:rFonts w:ascii="Barlow Semi Condensed" w:cs="Barlow Semi Condensed" w:eastAsia="Barlow Semi Condensed" w:hAnsi="Barlow Semi Condensed"/>
                <w:b/>
                <w:bCs/>
                <w:sz w:val="20"/>
                <w:szCs w:val="20"/>
              </w:rPr>
              <w:t xml:space="preserve">numero di tessera corroborato fuori dal testo</w:t>
            </w:r>
          </w:p>
        </w:tc>
        <w:tc>
          <w:tcPr>
            <w:tcW w:type="dxa" w:w="4680"/>
          </w:tcPr>
          <w:p>
            <w:pPr>
              <w:spacing w:after="20" w:before="20"/>
              <w:jc w:val="both"/>
            </w:pPr>
            <w:r>
              <w:rPr>
                <w:rFonts w:ascii="Barlow Semi Condensed" w:cs="Barlow Semi Condensed" w:eastAsia="Barlow Semi Condensed" w:hAnsi="Barlow Semi Condensed"/>
                <w:b/>
                <w:bCs/>
                <w:sz w:val="20"/>
                <w:szCs w:val="20"/>
              </w:rPr>
              <w:t xml:space="preserve">0</w:t>
            </w:r>
          </w:p>
        </w:tc>
      </w:tr>
    </w:tbl>
    <w:p>
      <w:pPr>
        <w:spacing w:after="80"/>
      </w:pP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2. Il rilievo dirimente: la soglia del 1.600</w:t>
      </w:r>
    </w:p>
    <w:p>
      <w:pPr>
        <w:spacing w:after="120" w:line="276"/>
        <w:jc w:val="both"/>
      </w:pPr>
      <w:r>
        <w:rPr>
          <w:rFonts w:ascii="Barlow Semi Condensed" w:cs="Barlow Semi Condensed" w:eastAsia="Barlow Semi Condensed" w:hAnsi="Barlow Semi Condensed"/>
          <w:sz w:val="24"/>
          <w:szCs w:val="24"/>
        </w:rPr>
        <w:t xml:space="preserve">Nelle audizioni della Commissione parlamentare d'inchiesta è verbalizzato che la</w:t>
      </w:r>
    </w:p>
    <w:p>
      <w:pPr>
        <w:spacing w:after="120" w:line="276"/>
        <w:jc w:val="both"/>
      </w:pPr>
      <w:r>
        <w:rPr>
          <w:rFonts w:ascii="Barlow Semi Condensed" w:cs="Barlow Semi Condensed" w:eastAsia="Barlow Semi Condensed" w:hAnsi="Barlow Semi Condensed"/>
          <w:sz w:val="24"/>
          <w:szCs w:val="24"/>
        </w:rPr>
        <w:t xml:space="preserve">numerazione delle tessere sequestrate presenta ampi vuoti e che **nessuna tessera</w:t>
      </w:r>
    </w:p>
    <w:p>
      <w:pPr>
        <w:spacing w:after="120" w:line="276"/>
        <w:jc w:val="both"/>
      </w:pPr>
      <w:r>
        <w:rPr>
          <w:rFonts w:ascii="Barlow Semi Condensed" w:cs="Barlow Semi Condensed" w:eastAsia="Barlow Semi Condensed" w:hAnsi="Barlow Semi Condensed"/>
          <w:sz w:val="24"/>
          <w:szCs w:val="24"/>
        </w:rPr>
        <w:t xml:space="preserve">aveva numero inferiore al 1.600**. È il dato da cui la Commissione ricavò</w:t>
      </w:r>
    </w:p>
    <w:p>
      <w:pPr>
        <w:spacing w:after="120" w:line="276"/>
        <w:jc w:val="both"/>
      </w:pPr>
      <w:r>
        <w:rPr>
          <w:rFonts w:ascii="Barlow Semi Condensed" w:cs="Barlow Semi Condensed" w:eastAsia="Barlow Semi Condensed" w:hAnsi="Barlow Semi Condensed"/>
          <w:sz w:val="24"/>
          <w:szCs w:val="24"/>
        </w:rPr>
        <w:t xml:space="preserve">l'ipotesi che l'archivio della Giole fosse una «piramide inferiore».</w:t>
      </w:r>
    </w:p>
    <w:p>
      <w:pPr>
        <w:spacing w:after="120" w:line="276"/>
        <w:jc w:val="both"/>
      </w:pPr>
      <w:r>
        <w:rPr>
          <w:rFonts w:ascii="Barlow Semi Condensed" w:cs="Barlow Semi Condensed" w:eastAsia="Barlow Semi Condensed" w:hAnsi="Barlow Semi Condensed"/>
          <w:sz w:val="24"/>
          <w:szCs w:val="24"/>
        </w:rPr>
        <w:t xml:space="preserve">Quattro dei trentatré valori dichiarati come numero di tessera cadono sotto quella</w:t>
      </w:r>
    </w:p>
    <w:p>
      <w:pPr>
        <w:spacing w:after="120" w:line="276"/>
        <w:jc w:val="both"/>
      </w:pPr>
      <w:r>
        <w:rPr>
          <w:rFonts w:ascii="Barlow Semi Condensed" w:cs="Barlow Semi Condensed" w:eastAsia="Barlow Semi Condensed" w:hAnsi="Barlow Semi Condensed"/>
          <w:sz w:val="24"/>
          <w:szCs w:val="24"/>
        </w:rPr>
        <w:t xml:space="preserve">soglia; un quinto vi si posa esattamente sopra.</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c>
          <w:tcPr>
            <w:tcW w:type="dxa" w:w="312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nome</w:t>
            </w:r>
          </w:p>
        </w:tc>
        <w:tc>
          <w:tcPr>
            <w:tcW w:type="dxa" w:w="312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valore dichiarato</w:t>
            </w:r>
          </w:p>
        </w:tc>
        <w:tc>
          <w:tcPr>
            <w:tcW w:type="dxa" w:w="312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rilievo</w:t>
            </w:r>
          </w:p>
        </w:tc>
      </w:tr>
      <w:tr>
        <w:tc>
          <w:tcPr>
            <w:tcW w:type="dxa" w:w="3120"/>
          </w:tcPr>
          <w:p>
            <w:pPr>
              <w:spacing w:after="20" w:before="20"/>
              <w:jc w:val="both"/>
            </w:pPr>
            <w:r>
              <w:rPr>
                <w:rFonts w:ascii="Barlow Semi Condensed" w:cs="Barlow Semi Condensed" w:eastAsia="Barlow Semi Condensed" w:hAnsi="Barlow Semi Condensed"/>
                <w:sz w:val="20"/>
                <w:szCs w:val="20"/>
              </w:rPr>
              <w:t xml:space="preserve">Sergio Di Donato</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158</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sotto la soglia</w:t>
            </w:r>
          </w:p>
        </w:tc>
      </w:tr>
      <w:tr>
        <w:tc>
          <w:tcPr>
            <w:tcW w:type="dxa" w:w="3120"/>
          </w:tcPr>
          <w:p>
            <w:pPr>
              <w:spacing w:after="20" w:before="20"/>
              <w:jc w:val="both"/>
            </w:pPr>
            <w:r>
              <w:rPr>
                <w:rFonts w:ascii="Barlow Semi Condensed" w:cs="Barlow Semi Condensed" w:eastAsia="Barlow Semi Condensed" w:hAnsi="Barlow Semi Condensed"/>
                <w:sz w:val="20"/>
                <w:szCs w:val="20"/>
              </w:rPr>
              <w:t xml:space="preserve">Giuseppe Santovito</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163</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sotto la soglia</w:t>
            </w:r>
          </w:p>
        </w:tc>
      </w:tr>
      <w:tr>
        <w:tc>
          <w:tcPr>
            <w:tcW w:type="dxa" w:w="3120"/>
          </w:tcPr>
          <w:p>
            <w:pPr>
              <w:spacing w:after="20" w:before="20"/>
              <w:jc w:val="both"/>
            </w:pPr>
            <w:r>
              <w:rPr>
                <w:rFonts w:ascii="Barlow Semi Condensed" w:cs="Barlow Semi Condensed" w:eastAsia="Barlow Semi Condensed" w:hAnsi="Barlow Semi Condensed"/>
                <w:sz w:val="20"/>
                <w:szCs w:val="20"/>
              </w:rPr>
              <w:t xml:space="preserve">Vincenzo Rizzuti</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811</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sotto la soglia</w:t>
            </w:r>
          </w:p>
        </w:tc>
      </w:tr>
      <w:tr>
        <w:tc>
          <w:tcPr>
            <w:tcW w:type="dxa" w:w="3120"/>
          </w:tcPr>
          <w:p>
            <w:pPr>
              <w:spacing w:after="20" w:before="20"/>
              <w:jc w:val="both"/>
            </w:pPr>
            <w:r>
              <w:rPr>
                <w:rFonts w:ascii="Barlow Semi Condensed" w:cs="Barlow Semi Condensed" w:eastAsia="Barlow Semi Condensed" w:hAnsi="Barlow Semi Condensed"/>
                <w:sz w:val="20"/>
                <w:szCs w:val="20"/>
              </w:rPr>
              <w:t xml:space="preserve">Raffaele Giudice</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1.592</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sotto la soglia</w:t>
            </w:r>
          </w:p>
        </w:tc>
      </w:tr>
      <w:tr>
        <w:tc>
          <w:tcPr>
            <w:tcW w:type="dxa" w:w="3120"/>
          </w:tcPr>
          <w:p>
            <w:pPr>
              <w:spacing w:after="20" w:before="20"/>
              <w:jc w:val="both"/>
            </w:pPr>
            <w:r>
              <w:rPr>
                <w:rFonts w:ascii="Barlow Semi Condensed" w:cs="Barlow Semi Condensed" w:eastAsia="Barlow Semi Condensed" w:hAnsi="Barlow Semi Condensed"/>
                <w:sz w:val="20"/>
                <w:szCs w:val="20"/>
              </w:rPr>
              <w:t xml:space="preserve">Donato Lo Prete</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1.600</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esattamente sulla soglia</w:t>
            </w:r>
          </w:p>
        </w:tc>
      </w:tr>
    </w:tbl>
    <w:p>
      <w:pPr>
        <w:spacing w:after="80"/>
      </w:pPr>
    </w:p>
    <w:p>
      <w:pPr>
        <w:spacing w:after="120" w:line="276"/>
        <w:jc w:val="both"/>
      </w:pPr>
      <w:r>
        <w:rPr>
          <w:rFonts w:ascii="Barlow Semi Condensed" w:cs="Barlow Semi Condensed" w:eastAsia="Barlow Semi Condensed" w:hAnsi="Barlow Semi Condensed"/>
          <w:sz w:val="24"/>
          <w:szCs w:val="24"/>
        </w:rPr>
        <w:t xml:space="preserve">Gli altri ventotto stanno fra 1.602 e 1.887, dentro l'intervallo plausibile.</w:t>
      </w:r>
    </w:p>
    <w:p>
      <w:pPr>
        <w:spacing w:after="120" w:line="276"/>
        <w:jc w:val="both"/>
      </w:pPr>
      <w:r>
        <w:rPr>
          <w:rFonts w:ascii="Barlow Semi Condensed" w:cs="Barlow Semi Condensed" w:eastAsia="Barlow Semi Condensed" w:hAnsi="Barlow Semi Condensed"/>
          <w:sz w:val="24"/>
          <w:szCs w:val="24"/>
        </w:rPr>
        <w:t xml:space="preserve">Il testo </w:t>
      </w:r>
      <w:r>
        <w:rPr>
          <w:rFonts w:ascii="Barlow Semi Condensed" w:cs="Barlow Semi Condensed" w:eastAsia="Barlow Semi Condensed" w:hAnsi="Barlow Semi Condensed"/>
          <w:b/>
          <w:bCs/>
          <w:sz w:val="24"/>
          <w:szCs w:val="24"/>
        </w:rPr>
        <w:t xml:space="preserve">conosce</w:t>
      </w:r>
      <w:r>
        <w:rPr>
          <w:rFonts w:ascii="Barlow Semi Condensed" w:cs="Barlow Semi Condensed" w:eastAsia="Barlow Semi Condensed" w:hAnsi="Barlow Semi Condensed"/>
          <w:sz w:val="24"/>
          <w:szCs w:val="24"/>
        </w:rPr>
        <w:t xml:space="preserve"> quella soglia: la enuncia in un proprio passaggio e cita la</w:t>
      </w:r>
    </w:p>
    <w:p>
      <w:pPr>
        <w:spacing w:after="120" w:line="276"/>
        <w:jc w:val="both"/>
      </w:pPr>
      <w:r>
        <w:rPr>
          <w:rFonts w:ascii="Barlow Semi Condensed" w:cs="Barlow Semi Condensed" w:eastAsia="Barlow Semi Condensed" w:hAnsi="Barlow Semi Condensed"/>
          <w:sz w:val="24"/>
          <w:szCs w:val="24"/>
        </w:rPr>
        <w:t xml:space="preserve">tessera 1711 di Gelli. Corregge inoltre un nome — «Santovito non è 163, è</w:t>
      </w:r>
    </w:p>
    <w:p>
      <w:pPr>
        <w:spacing w:after="120" w:line="276"/>
        <w:jc w:val="both"/>
      </w:pPr>
      <w:r>
        <w:rPr>
          <w:rFonts w:ascii="Barlow Semi Condensed" w:cs="Barlow Semi Condensed" w:eastAsia="Barlow Semi Condensed" w:hAnsi="Barlow Semi Condensed"/>
          <w:sz w:val="24"/>
          <w:szCs w:val="24"/>
        </w:rPr>
        <w:t xml:space="preserve">Salacone» — senza avvedersi che la correzione lascia il 163 dov'era.</w:t>
      </w:r>
    </w:p>
    <w:p>
      <w:pPr>
        <w:spacing w:after="120" w:line="276"/>
        <w:jc w:val="both"/>
      </w:pPr>
      <w:r>
        <w:rPr>
          <w:rFonts w:ascii="Barlow Semi Condensed" w:cs="Barlow Semi Condensed" w:eastAsia="Barlow Semi Condensed" w:hAnsi="Barlow Semi Condensed"/>
          <w:sz w:val="24"/>
          <w:szCs w:val="24"/>
        </w:rPr>
        <w:t xml:space="preserve">Non sono cifre sbagliate di poco: sono cifre che quel campo non poteva contenere.</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3. Le collisioni interne</w:t>
      </w:r>
    </w:p>
    <w:p>
      <w:pPr>
        <w:spacing w:after="120" w:line="276"/>
        <w:jc w:val="both"/>
      </w:pPr>
      <w:r>
        <w:rPr>
          <w:rFonts w:ascii="Barlow Semi Condensed" w:cs="Barlow Semi Condensed" w:eastAsia="Barlow Semi Condensed" w:hAnsi="Barlow Semi Condensed"/>
          <w:sz w:val="24"/>
          <w:szCs w:val="24"/>
        </w:rPr>
        <w:t xml:space="preserve">Cinque valori compaiono in due posizioni incompatibili. Non serve un archivio per</w:t>
      </w:r>
    </w:p>
    <w:p>
      <w:pPr>
        <w:spacing w:after="120" w:line="276"/>
        <w:jc w:val="both"/>
      </w:pPr>
      <w:r>
        <w:rPr>
          <w:rFonts w:ascii="Barlow Semi Condensed" w:cs="Barlow Semi Condensed" w:eastAsia="Barlow Semi Condensed" w:hAnsi="Barlow Semi Condensed"/>
          <w:sz w:val="24"/>
          <w:szCs w:val="24"/>
        </w:rPr>
        <w:t xml:space="preserve">rilevarlo: basta leggere il testo contro sé stesso.</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c>
          <w:tcPr>
            <w:tcW w:type="dxa" w:w="312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numero</w:t>
            </w:r>
          </w:p>
        </w:tc>
        <w:tc>
          <w:tcPr>
            <w:tcW w:type="dxa" w:w="312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assegnato a</w:t>
            </w:r>
          </w:p>
        </w:tc>
        <w:tc>
          <w:tcPr>
            <w:tcW w:type="dxa" w:w="312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e anche a</w:t>
            </w:r>
          </w:p>
        </w:tc>
      </w:tr>
      <w:tr>
        <w:tc>
          <w:tcPr>
            <w:tcW w:type="dxa" w:w="3120"/>
          </w:tcPr>
          <w:p>
            <w:pPr>
              <w:spacing w:after="20" w:before="20"/>
              <w:jc w:val="both"/>
            </w:pPr>
            <w:r>
              <w:rPr>
                <w:rFonts w:ascii="Barlow Semi Condensed" w:cs="Barlow Semi Condensed" w:eastAsia="Barlow Semi Condensed" w:hAnsi="Barlow Semi Condensed"/>
                <w:sz w:val="20"/>
                <w:szCs w:val="20"/>
              </w:rPr>
              <w:t xml:space="preserve">1.612</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Michele Sindona, come tessera</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Licio Gelli, come «1612 (Fascicolo)»</w:t>
            </w:r>
          </w:p>
        </w:tc>
      </w:tr>
      <w:tr>
        <w:tc>
          <w:tcPr>
            <w:tcW w:type="dxa" w:w="3120"/>
          </w:tcPr>
          <w:p>
            <w:pPr>
              <w:spacing w:after="20" w:before="20"/>
              <w:jc w:val="both"/>
            </w:pPr>
            <w:r>
              <w:rPr>
                <w:rFonts w:ascii="Barlow Semi Condensed" w:cs="Barlow Semi Condensed" w:eastAsia="Barlow Semi Condensed" w:hAnsi="Barlow Semi Condensed"/>
                <w:sz w:val="20"/>
                <w:szCs w:val="20"/>
              </w:rPr>
              <w:t xml:space="preserve">519</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Roberto Calvi, come fascicolo</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Walter Pelosi, come «Fascicolo 519/1607»</w:t>
            </w:r>
          </w:p>
        </w:tc>
      </w:tr>
      <w:tr>
        <w:tc>
          <w:tcPr>
            <w:tcW w:type="dxa" w:w="3120"/>
          </w:tcPr>
          <w:p>
            <w:pPr>
              <w:spacing w:after="20" w:before="20"/>
              <w:jc w:val="both"/>
            </w:pPr>
            <w:r>
              <w:rPr>
                <w:rFonts w:ascii="Barlow Semi Condensed" w:cs="Barlow Semi Condensed" w:eastAsia="Barlow Semi Condensed" w:hAnsi="Barlow Semi Condensed"/>
                <w:sz w:val="20"/>
                <w:szCs w:val="20"/>
              </w:rPr>
              <w:t xml:space="preserve">527</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Giuseppe Santovito, come fascicolo</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Giuseppe Santovito, come «Tessera 527»</w:t>
            </w:r>
          </w:p>
        </w:tc>
      </w:tr>
      <w:tr>
        <w:tc>
          <w:tcPr>
            <w:tcW w:type="dxa" w:w="3120"/>
          </w:tcPr>
          <w:p>
            <w:pPr>
              <w:spacing w:after="20" w:before="20"/>
              <w:jc w:val="both"/>
            </w:pPr>
            <w:r>
              <w:rPr>
                <w:rFonts w:ascii="Barlow Semi Condensed" w:cs="Barlow Semi Condensed" w:eastAsia="Barlow Semi Condensed" w:hAnsi="Barlow Semi Condensed"/>
                <w:sz w:val="20"/>
                <w:szCs w:val="20"/>
              </w:rPr>
              <w:t xml:space="preserve">530 / 519</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Roberto Calvi, fascicolo 530</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Roberto Calvi, fascicolo 519</w:t>
            </w:r>
          </w:p>
        </w:tc>
      </w:tr>
      <w:tr>
        <w:tc>
          <w:tcPr>
            <w:tcW w:type="dxa" w:w="3120"/>
          </w:tcPr>
          <w:p>
            <w:pPr>
              <w:spacing w:after="20" w:before="20"/>
              <w:jc w:val="both"/>
            </w:pPr>
            <w:r>
              <w:rPr>
                <w:rFonts w:ascii="Barlow Semi Condensed" w:cs="Barlow Semi Condensed" w:eastAsia="Barlow Semi Condensed" w:hAnsi="Barlow Semi Condensed"/>
                <w:sz w:val="20"/>
                <w:szCs w:val="20"/>
              </w:rPr>
              <w:t xml:space="preserve">1.612 / 1.711</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Licio Gelli, fascicolo 1612</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Licio Gelli, tessera 1711</w:t>
            </w:r>
          </w:p>
        </w:tc>
      </w:tr>
    </w:tbl>
    <w:p>
      <w:pPr>
        <w:spacing w:after="80"/>
      </w:pPr>
    </w:p>
    <w:p>
      <w:pPr>
        <w:spacing w:after="120" w:line="276"/>
        <w:jc w:val="both"/>
      </w:pPr>
      <w:r>
        <w:rPr>
          <w:rFonts w:ascii="Barlow Semi Condensed" w:cs="Barlow Semi Condensed" w:eastAsia="Barlow Semi Condensed" w:hAnsi="Barlow Semi Condensed"/>
          <w:sz w:val="24"/>
          <w:szCs w:val="24"/>
        </w:rPr>
        <w:t xml:space="preserve">Un numero di fascicolo identifica una posizione e una sola; un numero di tessera</w:t>
      </w:r>
    </w:p>
    <w:p>
      <w:pPr>
        <w:spacing w:after="120" w:line="276"/>
        <w:jc w:val="both"/>
      </w:pPr>
      <w:r>
        <w:rPr>
          <w:rFonts w:ascii="Barlow Semi Condensed" w:cs="Barlow Semi Condensed" w:eastAsia="Barlow Semi Condensed" w:hAnsi="Barlow Semi Condensed"/>
          <w:sz w:val="24"/>
          <w:szCs w:val="24"/>
        </w:rPr>
        <w:t xml:space="preserve">identifica un iscritto e uno solo. Cinque collisioni in un documento che si</w:t>
      </w:r>
    </w:p>
    <w:p>
      <w:pPr>
        <w:spacing w:after="120" w:line="276"/>
        <w:jc w:val="both"/>
      </w:pPr>
      <w:r>
        <w:rPr>
          <w:rFonts w:ascii="Barlow Semi Condensed" w:cs="Barlow Semi Condensed" w:eastAsia="Barlow Semi Condensed" w:hAnsi="Barlow Semi Condensed"/>
          <w:sz w:val="24"/>
          <w:szCs w:val="24"/>
        </w:rPr>
        <w:t xml:space="preserve">presenta come collazione d'archivio sono il segno che i numeri non provengono da</w:t>
      </w:r>
    </w:p>
    <w:p>
      <w:pPr>
        <w:spacing w:after="120" w:line="276"/>
        <w:jc w:val="both"/>
      </w:pPr>
      <w:r>
        <w:rPr>
          <w:rFonts w:ascii="Barlow Semi Condensed" w:cs="Barlow Semi Condensed" w:eastAsia="Barlow Semi Condensed" w:hAnsi="Barlow Semi Condensed"/>
          <w:sz w:val="24"/>
          <w:szCs w:val="24"/>
        </w:rPr>
        <w:t xml:space="preserve">un archivio.</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4. I trentatré, per grado</w:t>
      </w:r>
    </w:p>
    <w:p>
      <w:pPr>
        <w:spacing w:after="120" w:line="276"/>
        <w:jc w:val="both"/>
      </w:pPr>
      <w:r>
        <w:rPr>
          <w:rFonts w:ascii="Barlow Semi Condensed" w:cs="Barlow Semi Condensed" w:eastAsia="Barlow Semi Condensed" w:hAnsi="Barlow Semi Condensed"/>
          <w:sz w:val="24"/>
          <w:szCs w:val="24"/>
        </w:rPr>
        <w:t xml:space="preserve">Il confine fra il grado F e il grado C è **il confine della conoscenza impiegata</w:t>
      </w:r>
    </w:p>
    <w:p>
      <w:pPr>
        <w:spacing w:after="120" w:line="276"/>
        <w:jc w:val="both"/>
      </w:pPr>
      <w:r>
        <w:rPr>
          <w:rFonts w:ascii="Barlow Semi Condensed" w:cs="Barlow Semi Condensed" w:eastAsia="Barlow Semi Condensed" w:hAnsi="Barlow Semi Condensed"/>
          <w:sz w:val="24"/>
          <w:szCs w:val="24"/>
        </w:rPr>
        <w:t xml:space="preserve">in questa verifica, non quello dell'archivio**. Solo l'allegato Anselmi può</w:t>
      </w:r>
    </w:p>
    <w:p>
      <w:pPr>
        <w:spacing w:after="120" w:line="276"/>
        <w:jc w:val="both"/>
      </w:pPr>
      <w:r>
        <w:rPr>
          <w:rFonts w:ascii="Barlow Semi Condensed" w:cs="Barlow Semi Condensed" w:eastAsia="Barlow Semi Condensed" w:hAnsi="Barlow Semi Condensed"/>
          <w:sz w:val="24"/>
          <w:szCs w:val="24"/>
        </w:rPr>
        <w:t xml:space="preserve">spostarlo, in un senso o nell'altro.</w:t>
      </w:r>
    </w:p>
    <w:p>
      <w:pPr>
        <w:pStyle w:val="Heading3"/>
        <w:spacing w:after="80" w:before="160"/>
      </w:pPr>
      <w:r>
        <w:rPr>
          <w:rFonts w:ascii="Barlow Semi Condensed" w:cs="Barlow Semi Condensed" w:eastAsia="Barlow Semi Condensed" w:hAnsi="Barlow Semi Condensed"/>
          <w:sz w:val="24"/>
          <w:szCs w:val="24"/>
        </w:rPr>
        <w:t xml:space="preserve">Grado F — venti nomi</w:t>
      </w:r>
    </w:p>
    <w:p>
      <w:pPr>
        <w:spacing w:after="120" w:line="276"/>
        <w:jc w:val="both"/>
      </w:pPr>
      <w:r>
        <w:rPr>
          <w:rFonts w:ascii="Barlow Semi Condensed" w:cs="Barlow Semi Condensed" w:eastAsia="Barlow Semi Condensed" w:hAnsi="Barlow Semi Condensed"/>
          <w:sz w:val="24"/>
          <w:szCs w:val="24"/>
        </w:rPr>
        <w:t xml:space="preserve">Appartenenza agli elenchi corroborata da fonti indipendenti dal testo verificato.</w:t>
      </w:r>
    </w:p>
    <w:p>
      <w:pPr>
        <w:spacing w:after="120" w:line="276"/>
        <w:jc w:val="both"/>
      </w:pPr>
      <w:r>
        <w:rPr>
          <w:rFonts w:ascii="Barlow Semi Condensed" w:cs="Barlow Semi Condensed" w:eastAsia="Barlow Semi Condensed" w:hAnsi="Barlow Semi Condensed"/>
          <w:sz w:val="24"/>
          <w:szCs w:val="24"/>
        </w:rPr>
        <w:t xml:space="preserve">Il numero resta non corroborato anche qui.</w:t>
      </w:r>
    </w:p>
    <w:p>
      <w:pPr>
        <w:spacing w:after="120" w:line="276"/>
        <w:jc w:val="both"/>
      </w:pPr>
      <w:r>
        <w:rPr>
          <w:rFonts w:ascii="Barlow Semi Condensed" w:cs="Barlow Semi Condensed" w:eastAsia="Barlow Semi Condensed" w:hAnsi="Barlow Semi Condensed"/>
          <w:sz w:val="24"/>
          <w:szCs w:val="24"/>
        </w:rPr>
        <w:t xml:space="preserve">Giuseppe Santovito · Raffaele Giudice · Donato Lo Prete · Vito Miceli ·</w:t>
      </w:r>
    </w:p>
    <w:p>
      <w:pPr>
        <w:spacing w:after="120" w:line="276"/>
        <w:jc w:val="both"/>
      </w:pPr>
      <w:r>
        <w:rPr>
          <w:rFonts w:ascii="Barlow Semi Condensed" w:cs="Barlow Semi Condensed" w:eastAsia="Barlow Semi Condensed" w:hAnsi="Barlow Semi Condensed"/>
          <w:sz w:val="24"/>
          <w:szCs w:val="24"/>
        </w:rPr>
        <w:t xml:space="preserve">Walter Pelosi · Umberto Ortolani · Michele Sindona · Pietro Musumeci ·</w:t>
      </w:r>
    </w:p>
    <w:p>
      <w:pPr>
        <w:spacing w:after="120" w:line="276"/>
        <w:jc w:val="both"/>
      </w:pPr>
      <w:r>
        <w:rPr>
          <w:rFonts w:ascii="Barlow Semi Condensed" w:cs="Barlow Semi Condensed" w:eastAsia="Barlow Semi Condensed" w:hAnsi="Barlow Semi Condensed"/>
          <w:sz w:val="24"/>
          <w:szCs w:val="24"/>
        </w:rPr>
        <w:t xml:space="preserve">Giovanni Torrisi · Roberto Calvi · Elio Cioppa · Giulio Grassini ·</w:t>
      </w:r>
    </w:p>
    <w:p>
      <w:pPr>
        <w:spacing w:after="120" w:line="276"/>
        <w:jc w:val="both"/>
      </w:pPr>
      <w:r>
        <w:rPr>
          <w:rFonts w:ascii="Barlow Semi Condensed" w:cs="Barlow Semi Condensed" w:eastAsia="Barlow Semi Condensed" w:hAnsi="Barlow Semi Condensed"/>
          <w:sz w:val="24"/>
          <w:szCs w:val="24"/>
        </w:rPr>
        <w:t xml:space="preserve">Antonio Cornacchia · Carmelo Spagnuolo · Antonio Varisco · Antonio Viezzer ·</w:t>
      </w:r>
    </w:p>
    <w:p>
      <w:pPr>
        <w:spacing w:after="120" w:line="276"/>
        <w:jc w:val="both"/>
      </w:pPr>
      <w:r>
        <w:rPr>
          <w:rFonts w:ascii="Barlow Semi Condensed" w:cs="Barlow Semi Condensed" w:eastAsia="Barlow Semi Condensed" w:hAnsi="Barlow Semi Condensed"/>
          <w:sz w:val="24"/>
          <w:szCs w:val="24"/>
        </w:rPr>
        <w:t xml:space="preserve">Federico Umberto D'Amato · Mino Pecorelli · Maurizio Costanzo · Franco Di Bella</w:t>
      </w:r>
    </w:p>
    <w:p>
      <w:pPr>
        <w:pStyle w:val="Heading3"/>
        <w:spacing w:after="80" w:before="160"/>
      </w:pPr>
      <w:r>
        <w:rPr>
          <w:rFonts w:ascii="Barlow Semi Condensed" w:cs="Barlow Semi Condensed" w:eastAsia="Barlow Semi Condensed" w:hAnsi="Barlow Semi Condensed"/>
          <w:sz w:val="24"/>
          <w:szCs w:val="24"/>
        </w:rPr>
        <w:t xml:space="preserve">Grado C — dodici nomi</w:t>
      </w:r>
    </w:p>
    <w:p>
      <w:pPr>
        <w:spacing w:after="120" w:line="276"/>
        <w:jc w:val="both"/>
      </w:pPr>
      <w:r>
        <w:rPr>
          <w:rFonts w:ascii="Barlow Semi Condensed" w:cs="Barlow Semi Condensed" w:eastAsia="Barlow Semi Condensed" w:hAnsi="Barlow Semi Condensed"/>
          <w:sz w:val="24"/>
          <w:szCs w:val="24"/>
        </w:rPr>
        <w:t xml:space="preserve">Persona reale e ruolo del 1978 verificabili; appartenenza non corroborata fuori</w:t>
      </w:r>
    </w:p>
    <w:p>
      <w:pPr>
        <w:spacing w:after="120" w:line="276"/>
        <w:jc w:val="both"/>
      </w:pPr>
      <w:r>
        <w:rPr>
          <w:rFonts w:ascii="Barlow Semi Condensed" w:cs="Barlow Semi Condensed" w:eastAsia="Barlow Semi Condensed" w:hAnsi="Barlow Semi Condensed"/>
          <w:sz w:val="24"/>
          <w:szCs w:val="24"/>
        </w:rPr>
        <w:t xml:space="preserve">dal testo. Sono due affermazioni di rango diverso, che il testo presenta appaiate.</w:t>
      </w:r>
    </w:p>
    <w:p>
      <w:pPr>
        <w:spacing w:after="120" w:line="276"/>
        <w:jc w:val="both"/>
      </w:pPr>
      <w:r>
        <w:rPr>
          <w:rFonts w:ascii="Barlow Semi Condensed" w:cs="Barlow Semi Condensed" w:eastAsia="Barlow Semi Condensed" w:hAnsi="Barlow Semi Condensed"/>
          <w:sz w:val="24"/>
          <w:szCs w:val="24"/>
        </w:rPr>
        <w:t xml:space="preserve">Sergio Di Donato · Vincenzo Rizzuti · Camillo Guglielmi · Giuseppe Siracusano ·</w:t>
      </w:r>
    </w:p>
    <w:p>
      <w:pPr>
        <w:spacing w:after="120" w:line="276"/>
        <w:jc w:val="both"/>
      </w:pPr>
      <w:r>
        <w:rPr>
          <w:rFonts w:ascii="Barlow Semi Condensed" w:cs="Barlow Semi Condensed" w:eastAsia="Barlow Semi Condensed" w:hAnsi="Barlow Semi Condensed"/>
          <w:sz w:val="24"/>
          <w:szCs w:val="24"/>
        </w:rPr>
        <w:t xml:space="preserve">Stefano Giovannone · Antonino Geraci · Mario Salacone · Achille Gallucci ·</w:t>
      </w:r>
    </w:p>
    <w:p>
      <w:pPr>
        <w:spacing w:after="120" w:line="276"/>
        <w:jc w:val="both"/>
      </w:pPr>
      <w:r>
        <w:rPr>
          <w:rFonts w:ascii="Barlow Semi Condensed" w:cs="Barlow Semi Condensed" w:eastAsia="Barlow Semi Condensed" w:hAnsi="Barlow Semi Condensed"/>
          <w:sz w:val="24"/>
          <w:szCs w:val="24"/>
        </w:rPr>
        <w:t xml:space="preserve">Francesco Malfatti di Montetretto · Mario Semprini · Antonio Esposito ·</w:t>
      </w:r>
    </w:p>
    <w:p>
      <w:pPr>
        <w:spacing w:after="120" w:line="276"/>
        <w:jc w:val="both"/>
      </w:pPr>
      <w:r>
        <w:rPr>
          <w:rFonts w:ascii="Barlow Semi Condensed" w:cs="Barlow Semi Condensed" w:eastAsia="Barlow Semi Condensed" w:hAnsi="Barlow Semi Condensed"/>
          <w:sz w:val="24"/>
          <w:szCs w:val="24"/>
        </w:rPr>
        <w:t xml:space="preserve">Franco Ferracuti</w:t>
      </w:r>
    </w:p>
    <w:p>
      <w:pPr>
        <w:spacing w:after="120" w:line="276"/>
        <w:jc w:val="both"/>
      </w:pPr>
      <w:r>
        <w:rPr>
          <w:rFonts w:ascii="Barlow Semi Condensed" w:cs="Barlow Semi Condensed" w:eastAsia="Barlow Semi Condensed" w:hAnsi="Barlow Semi Condensed"/>
          <w:sz w:val="24"/>
          <w:szCs w:val="24"/>
        </w:rPr>
        <w:t xml:space="preserve">Il caso di </w:t>
      </w:r>
      <w:r>
        <w:rPr>
          <w:rFonts w:ascii="Barlow Semi Condensed" w:cs="Barlow Semi Condensed" w:eastAsia="Barlow Semi Condensed" w:hAnsi="Barlow Semi Condensed"/>
          <w:b/>
          <w:bCs/>
          <w:sz w:val="24"/>
          <w:szCs w:val="24"/>
        </w:rPr>
        <w:t xml:space="preserve">Camillo Guglielmi</w:t>
      </w:r>
      <w:r>
        <w:rPr>
          <w:rFonts w:ascii="Barlow Semi Condensed" w:cs="Barlow Semi Condensed" w:eastAsia="Barlow Semi Condensed" w:hAnsi="Barlow Semi Condensed"/>
          <w:sz w:val="24"/>
          <w:szCs w:val="24"/>
        </w:rPr>
        <w:t xml:space="preserve"> merita di essere isolato: la presenza in via Fani</w:t>
      </w:r>
    </w:p>
    <w:p>
      <w:pPr>
        <w:spacing w:after="120" w:line="276"/>
        <w:jc w:val="both"/>
      </w:pPr>
      <w:r>
        <w:rPr>
          <w:rFonts w:ascii="Barlow Semi Condensed" w:cs="Barlow Semi Condensed" w:eastAsia="Barlow Semi Condensed" w:hAnsi="Barlow Semi Condensed"/>
          <w:sz w:val="24"/>
          <w:szCs w:val="24"/>
        </w:rPr>
        <w:t xml:space="preserve">la mattina del 16 marzo 1978 è oggetto di accertamento documentato; l'appartenenza</w:t>
      </w:r>
    </w:p>
    <w:p>
      <w:pPr>
        <w:spacing w:after="120" w:line="276"/>
        <w:jc w:val="both"/>
      </w:pPr>
      <w:r>
        <w:rPr>
          <w:rFonts w:ascii="Barlow Semi Condensed" w:cs="Barlow Semi Condensed" w:eastAsia="Barlow Semi Condensed" w:hAnsi="Barlow Semi Condensed"/>
          <w:sz w:val="24"/>
          <w:szCs w:val="24"/>
        </w:rPr>
        <w:t xml:space="preserve">alla loggia non lo è. Le due cose vanno tenute separate.</w:t>
      </w:r>
    </w:p>
    <w:p>
      <w:pPr>
        <w:pStyle w:val="Heading3"/>
        <w:spacing w:after="80" w:before="160"/>
      </w:pPr>
      <w:r>
        <w:rPr>
          <w:rFonts w:ascii="Barlow Semi Condensed" w:cs="Barlow Semi Condensed" w:eastAsia="Barlow Semi Condensed" w:hAnsi="Barlow Semi Condensed"/>
          <w:sz w:val="24"/>
          <w:szCs w:val="24"/>
        </w:rPr>
        <w:t xml:space="preserve">Grado G — un nome</w:t>
      </w:r>
    </w:p>
    <w:p>
      <w:pPr>
        <w:spacing w:after="120" w:line="276"/>
        <w:jc w:val="both"/>
      </w:pPr>
      <w:r>
        <w:rPr>
          <w:rFonts w:ascii="Barlow Semi Condensed" w:cs="Barlow Semi Condensed" w:eastAsia="Barlow Semi Condensed" w:hAnsi="Barlow Semi Condensed"/>
          <w:sz w:val="24"/>
          <w:szCs w:val="24"/>
        </w:rPr>
        <w:t xml:space="preserve">Posizione definita in sede giudiziaria: </w:t>
      </w:r>
      <w:r>
        <w:rPr>
          <w:rFonts w:ascii="Barlow Semi Condensed" w:cs="Barlow Semi Condensed" w:eastAsia="Barlow Semi Condensed" w:hAnsi="Barlow Semi Condensed"/>
          <w:b/>
          <w:bCs/>
          <w:sz w:val="24"/>
          <w:szCs w:val="24"/>
        </w:rPr>
        <w:t xml:space="preserve">Gustavo Selva</w:t>
      </w:r>
      <w:r>
        <w:rPr>
          <w:rFonts w:ascii="Barlow Semi Condensed" w:cs="Barlow Semi Condensed" w:eastAsia="Barlow Semi Condensed" w:hAnsi="Barlow Semi Condensed"/>
          <w:sz w:val="24"/>
          <w:szCs w:val="24"/>
        </w:rPr>
        <w:t xml:space="preserve">. Il precedente esiste —</w:t>
      </w:r>
    </w:p>
    <w:p>
      <w:pPr>
        <w:spacing w:after="120" w:line="276"/>
        <w:jc w:val="both"/>
      </w:pPr>
      <w:r>
        <w:rPr>
          <w:rFonts w:ascii="Barlow Semi Condensed" w:cs="Barlow Semi Condensed" w:eastAsia="Barlow Semi Condensed" w:hAnsi="Barlow Semi Condensed"/>
          <w:sz w:val="24"/>
          <w:szCs w:val="24"/>
        </w:rPr>
        <w:t xml:space="preserve">l'appartenenza di Publio Fiori fu esclusa da una sentenza del Tribunale di Roma</w:t>
      </w:r>
    </w:p>
    <w:p>
      <w:pPr>
        <w:spacing w:after="120" w:line="276"/>
        <w:jc w:val="both"/>
      </w:pPr>
      <w:r>
        <w:rPr>
          <w:rFonts w:ascii="Barlow Semi Condensed" w:cs="Barlow Semi Condensed" w:eastAsia="Barlow Semi Condensed" w:hAnsi="Barlow Semi Condensed"/>
          <w:sz w:val="24"/>
          <w:szCs w:val="24"/>
        </w:rPr>
        <w:t xml:space="preserve">nel 2001.</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5. Il vincolo cronologico</w:t>
      </w:r>
    </w:p>
    <w:p>
      <w:pPr>
        <w:spacing w:after="120" w:line="276"/>
        <w:jc w:val="both"/>
      </w:pPr>
      <w:r>
        <w:rPr>
          <w:rFonts w:ascii="Barlow Semi Condensed" w:cs="Barlow Semi Condensed" w:eastAsia="Barlow Semi Condensed" w:hAnsi="Barlow Semi Condensed"/>
          <w:sz w:val="24"/>
          <w:szCs w:val="24"/>
        </w:rPr>
        <w:t xml:space="preserve">Vale anche nell'ipotesi in cui tutti e trentatré i numeri risultassero esatti.</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c>
          <w:tcPr>
            <w:tcW w:type="dxa" w:w="468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intervallo</w:t>
            </w:r>
          </w:p>
        </w:tc>
        <w:tc>
          <w:tcPr>
            <w:tcW w:type="dxa" w:w="468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giorni</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finestra richiesta (16 set 1977 – 9 nov 1978)</w:t>
            </w:r>
          </w:p>
        </w:tc>
        <w:tc>
          <w:tcPr>
            <w:tcW w:type="dxa" w:w="4680"/>
          </w:tcPr>
          <w:p>
            <w:pPr>
              <w:spacing w:after="20" w:before="20"/>
              <w:jc w:val="both"/>
            </w:pPr>
            <w:r>
              <w:rPr>
                <w:rFonts w:ascii="Barlow Semi Condensed" w:cs="Barlow Semi Condensed" w:eastAsia="Barlow Semi Condensed" w:hAnsi="Barlow Semi Condensed"/>
                <w:sz w:val="20"/>
                <w:szCs w:val="20"/>
              </w:rPr>
              <w:t xml:space="preserve">419</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da via Fani al sequestro degli elenchi (17 mar 1981)</w:t>
            </w:r>
          </w:p>
        </w:tc>
        <w:tc>
          <w:tcPr>
            <w:tcW w:type="dxa" w:w="4680"/>
          </w:tcPr>
          <w:p>
            <w:pPr>
              <w:spacing w:after="20" w:before="20"/>
              <w:jc w:val="both"/>
            </w:pPr>
            <w:r>
              <w:rPr>
                <w:rFonts w:ascii="Barlow Semi Condensed" w:cs="Barlow Semi Condensed" w:eastAsia="Barlow Semi Condensed" w:hAnsi="Barlow Semi Condensed"/>
                <w:sz w:val="20"/>
                <w:szCs w:val="20"/>
              </w:rPr>
              <w:t xml:space="preserve">1.097</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da via Fani al deposito della relazione (12 lug 1984)</w:t>
            </w:r>
          </w:p>
        </w:tc>
        <w:tc>
          <w:tcPr>
            <w:tcW w:type="dxa" w:w="4680"/>
          </w:tcPr>
          <w:p>
            <w:pPr>
              <w:spacing w:after="20" w:before="20"/>
              <w:jc w:val="both"/>
            </w:pPr>
            <w:r>
              <w:rPr>
                <w:rFonts w:ascii="Barlow Semi Condensed" w:cs="Barlow Semi Condensed" w:eastAsia="Barlow Semi Condensed" w:hAnsi="Barlow Semi Condensed"/>
                <w:sz w:val="20"/>
                <w:szCs w:val="20"/>
              </w:rPr>
              <w:t xml:space="preserve">2.310</w:t>
            </w:r>
          </w:p>
        </w:tc>
      </w:tr>
    </w:tbl>
    <w:p>
      <w:pPr>
        <w:spacing w:after="80"/>
      </w:pPr>
    </w:p>
    <w:p>
      <w:pPr>
        <w:spacing w:after="120" w:line="276"/>
        <w:jc w:val="both"/>
      </w:pPr>
      <w:r>
        <w:rPr>
          <w:rFonts w:ascii="Barlow Semi Condensed" w:cs="Barlow Semi Condensed" w:eastAsia="Barlow Semi Condensed" w:hAnsi="Barlow Semi Condensed"/>
          <w:sz w:val="24"/>
          <w:szCs w:val="24"/>
        </w:rPr>
        <w:t xml:space="preserve">Nel 1978 la composizione della loggia non era un oggetto conoscibile: fu rivelata</w:t>
      </w:r>
    </w:p>
    <w:p>
      <w:pPr>
        <w:spacing w:after="120" w:line="276"/>
        <w:jc w:val="both"/>
      </w:pPr>
      <w:r>
        <w:rPr>
          <w:rFonts w:ascii="Barlow Semi Condensed" w:cs="Barlow Semi Condensed" w:eastAsia="Barlow Semi Condensed" w:hAnsi="Barlow Semi Condensed"/>
          <w:sz w:val="24"/>
          <w:szCs w:val="24"/>
        </w:rPr>
        <w:t xml:space="preserve">tre anni dopo e ordinata sei anni dopo. Una lista del 1981 documenta chi vi</w:t>
      </w:r>
    </w:p>
    <w:p>
      <w:pPr>
        <w:spacing w:after="120" w:line="276"/>
        <w:jc w:val="both"/>
      </w:pPr>
      <w:r>
        <w:rPr>
          <w:rFonts w:ascii="Barlow Semi Condensed" w:cs="Barlow Semi Condensed" w:eastAsia="Barlow Semi Condensed" w:hAnsi="Barlow Semi Condensed"/>
          <w:sz w:val="24"/>
          <w:szCs w:val="24"/>
        </w:rPr>
        <w:t xml:space="preserve">risultava nel 1981. Che ciò coincida con «chi vi era iscritto nella primavera del</w:t>
      </w:r>
    </w:p>
    <w:p>
      <w:pPr>
        <w:spacing w:after="120" w:line="276"/>
        <w:jc w:val="both"/>
      </w:pPr>
      <w:r>
        <w:rPr>
          <w:rFonts w:ascii="Barlow Semi Condensed" w:cs="Barlow Semi Condensed" w:eastAsia="Barlow Semi Condensed" w:hAnsi="Barlow Semi Condensed"/>
          <w:sz w:val="24"/>
          <w:szCs w:val="24"/>
        </w:rPr>
        <w:t xml:space="preserve">1978» è ipotesi ragionevole, non fatto accertato — e il testo stesso registra i 49</w:t>
      </w:r>
    </w:p>
    <w:p>
      <w:pPr>
        <w:spacing w:after="120" w:line="276"/>
        <w:jc w:val="both"/>
      </w:pPr>
      <w:r>
        <w:rPr>
          <w:rFonts w:ascii="Barlow Semi Condensed" w:cs="Barlow Semi Condensed" w:eastAsia="Barlow Semi Condensed" w:hAnsi="Barlow Semi Condensed"/>
          <w:sz w:val="24"/>
          <w:szCs w:val="24"/>
        </w:rPr>
        <w:t xml:space="preserve">affiliati posti in sonno e i 22 transitati ad altre logge, che sono esattamente i</w:t>
      </w:r>
    </w:p>
    <w:p>
      <w:pPr>
        <w:spacing w:after="120" w:line="276"/>
        <w:jc w:val="both"/>
      </w:pPr>
      <w:r>
        <w:rPr>
          <w:rFonts w:ascii="Barlow Semi Condensed" w:cs="Barlow Semi Condensed" w:eastAsia="Barlow Semi Condensed" w:hAnsi="Barlow Semi Condensed"/>
          <w:sz w:val="24"/>
          <w:szCs w:val="24"/>
        </w:rPr>
        <w:t xml:space="preserve">casi in cui le due cose divergono.</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6. Annotazione su un dato del corpus</w:t>
      </w:r>
    </w:p>
    <w:p>
      <w:pPr>
        <w:spacing w:after="120" w:line="276"/>
        <w:jc w:val="both"/>
      </w:pPr>
      <w:r>
        <w:rPr>
          <w:rFonts w:ascii="Barlow Semi Condensed" w:cs="Barlow Semi Condensed" w:eastAsia="Barlow Semi Condensed" w:hAnsi="Barlow Semi Condensed"/>
          <w:b/>
          <w:bCs/>
          <w:sz w:val="24"/>
          <w:szCs w:val="24"/>
        </w:rPr>
        <w:t xml:space="preserve">Il grafico del Libro quarto registra 44 parlamentari negli elenchi.</w:t>
      </w:r>
      <w:r>
        <w:rPr>
          <w:rFonts w:ascii="Barlow Semi Condensed" w:cs="Barlow Semi Condensed" w:eastAsia="Barlow Semi Condensed" w:hAnsi="Barlow Semi Condensed"/>
          <w:sz w:val="24"/>
          <w:szCs w:val="24"/>
        </w:rPr>
        <w:t xml:space="preserve"> Le fonti</w:t>
      </w:r>
    </w:p>
    <w:p>
      <w:pPr>
        <w:spacing w:after="120" w:line="276"/>
        <w:jc w:val="both"/>
      </w:pPr>
      <w:r>
        <w:rPr>
          <w:rFonts w:ascii="Barlow Semi Condensed" w:cs="Barlow Semi Condensed" w:eastAsia="Barlow Semi Condensed" w:hAnsi="Barlow Semi Condensed"/>
          <w:sz w:val="24"/>
          <w:szCs w:val="24"/>
        </w:rPr>
        <w:t xml:space="preserve">sui lavori della Commissione riportano </w:t>
      </w:r>
      <w:r>
        <w:rPr>
          <w:rFonts w:ascii="Barlow Semi Condensed" w:cs="Barlow Semi Condensed" w:eastAsia="Barlow Semi Condensed" w:hAnsi="Barlow Semi Condensed"/>
          <w:b/>
          <w:bCs/>
          <w:sz w:val="24"/>
          <w:szCs w:val="24"/>
        </w:rPr>
        <w:t xml:space="preserve">59</w:t>
      </w:r>
      <w:r>
        <w:rPr>
          <w:rFonts w:ascii="Barlow Semi Condensed" w:cs="Barlow Semi Condensed" w:eastAsia="Barlow Semi Condensed" w:hAnsi="Barlow Semi Condensed"/>
          <w:sz w:val="24"/>
          <w:szCs w:val="24"/>
        </w:rPr>
        <w:t xml:space="preserve">. La composizione documentata è: 128</w:t>
      </w:r>
    </w:p>
    <w:p>
      <w:pPr>
        <w:spacing w:after="120" w:line="276"/>
        <w:jc w:val="both"/>
      </w:pPr>
      <w:r>
        <w:rPr>
          <w:rFonts w:ascii="Barlow Semi Condensed" w:cs="Barlow Semi Condensed" w:eastAsia="Barlow Semi Condensed" w:hAnsi="Barlow Semi Condensed"/>
          <w:sz w:val="24"/>
          <w:szCs w:val="24"/>
        </w:rPr>
        <w:t xml:space="preserve">dirigenti di enti pubblici, 119 ufficiali delle forze armate (50 Esercito, 37</w:t>
      </w:r>
    </w:p>
    <w:p>
      <w:pPr>
        <w:spacing w:after="120" w:line="276"/>
        <w:jc w:val="both"/>
      </w:pPr>
      <w:r>
        <w:rPr>
          <w:rFonts w:ascii="Barlow Semi Condensed" w:cs="Barlow Semi Condensed" w:eastAsia="Barlow Semi Condensed" w:hAnsi="Barlow Semi Condensed"/>
          <w:sz w:val="24"/>
          <w:szCs w:val="24"/>
        </w:rPr>
        <w:t xml:space="preserve">Guardia di Finanza, 32 Carabinieri), 59 parlamentari, 22 dirigenti di polizia, 22</w:t>
      </w:r>
    </w:p>
    <w:p>
      <w:pPr>
        <w:spacing w:after="120" w:line="276"/>
        <w:jc w:val="both"/>
      </w:pPr>
      <w:r>
        <w:rPr>
          <w:rFonts w:ascii="Barlow Semi Condensed" w:cs="Barlow Semi Condensed" w:eastAsia="Barlow Semi Condensed" w:hAnsi="Barlow Semi Condensed"/>
          <w:sz w:val="24"/>
          <w:szCs w:val="24"/>
        </w:rPr>
        <w:t xml:space="preserve">giornalisti, 8 direttori di giornale, 4 editori, 1 giudice costituzionale.</w:t>
      </w:r>
    </w:p>
    <w:p>
      <w:pPr>
        <w:spacing w:after="120" w:line="276"/>
        <w:jc w:val="both"/>
      </w:pPr>
      <w:r>
        <w:rPr>
          <w:rFonts w:ascii="Barlow Semi Condensed" w:cs="Barlow Semi Condensed" w:eastAsia="Barlow Semi Condensed" w:hAnsi="Barlow Semi Condensed"/>
          <w:sz w:val="24"/>
          <w:szCs w:val="24"/>
        </w:rPr>
        <w:t xml:space="preserve">Come vuole la disciplina dell'opera, </w:t>
      </w:r>
      <w:r>
        <w:rPr>
          <w:rFonts w:ascii="Barlow Semi Condensed" w:cs="Barlow Semi Condensed" w:eastAsia="Barlow Semi Condensed" w:hAnsi="Barlow Semi Condensed"/>
          <w:b/>
          <w:bCs/>
          <w:sz w:val="24"/>
          <w:szCs w:val="24"/>
        </w:rPr>
        <w:t xml:space="preserve">la cifra del corpus non viene cancellata</w:t>
      </w:r>
      <w:r>
        <w:rPr>
          <w:rFonts w:ascii="Barlow Semi Condensed" w:cs="Barlow Semi Condensed" w:eastAsia="Barlow Semi Condensed" w:hAnsi="Barlow Semi Condensed"/>
          <w:sz w:val="24"/>
          <w:szCs w:val="24"/>
        </w:rPr>
        <w:t xml:space="preserve">:</w:t>
      </w:r>
    </w:p>
    <w:p>
      <w:pPr>
        <w:spacing w:after="120" w:line="276"/>
        <w:jc w:val="both"/>
      </w:pPr>
      <w:r>
        <w:rPr>
          <w:rFonts w:ascii="Barlow Semi Condensed" w:cs="Barlow Semi Condensed" w:eastAsia="Barlow Semi Condensed" w:hAnsi="Barlow Semi Condensed"/>
          <w:sz w:val="24"/>
          <w:szCs w:val="24"/>
        </w:rPr>
        <w:t xml:space="preserve">resta dov'è, e questa annotazione le sta accanto. Quale delle due regga si dirime</w:t>
      </w:r>
    </w:p>
    <w:p>
      <w:pPr>
        <w:spacing w:after="120" w:line="276"/>
        <w:jc w:val="both"/>
      </w:pPr>
      <w:r>
        <w:rPr>
          <w:rFonts w:ascii="Barlow Semi Condensed" w:cs="Barlow Semi Condensed" w:eastAsia="Barlow Semi Condensed" w:hAnsi="Barlow Semi Condensed"/>
          <w:sz w:val="24"/>
          <w:szCs w:val="24"/>
        </w:rPr>
        <w:t xml:space="preserve">sull'allegato, non qui.</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6-bis. La percentuale per finestra temporale: Stato Zero</w:t>
      </w:r>
    </w:p>
    <w:p>
      <w:pPr>
        <w:spacing w:after="120" w:line="276"/>
        <w:jc w:val="both"/>
      </w:pPr>
      <w:r>
        <w:rPr>
          <w:rFonts w:ascii="Barlow Semi Condensed" w:cs="Barlow Semi Condensed" w:eastAsia="Barlow Semi Condensed" w:hAnsi="Barlow Semi Condensed"/>
          <w:b/>
          <w:bCs/>
          <w:sz w:val="24"/>
          <w:szCs w:val="24"/>
        </w:rPr>
        <w:t xml:space="preserve">Richiesta:</w:t>
      </w:r>
      <w:r>
        <w:rPr>
          <w:rFonts w:ascii="Barlow Semi Condensed" w:cs="Barlow Semi Condensed" w:eastAsia="Barlow Semi Condensed" w:hAnsi="Barlow Semi Condensed"/>
          <w:sz w:val="24"/>
          <w:szCs w:val="24"/>
        </w:rPr>
        <w:t xml:space="preserve"> la quota di affiliati alla loggia nella finestra che va da sei mesi</w:t>
      </w:r>
    </w:p>
    <w:p>
      <w:pPr>
        <w:spacing w:after="120" w:line="276"/>
        <w:jc w:val="both"/>
      </w:pPr>
      <w:r>
        <w:rPr>
          <w:rFonts w:ascii="Barlow Semi Condensed" w:cs="Barlow Semi Condensed" w:eastAsia="Barlow Semi Condensed" w:hAnsi="Barlow Semi Condensed"/>
          <w:sz w:val="24"/>
          <w:szCs w:val="24"/>
        </w:rPr>
        <w:t xml:space="preserve">prima del sequestro a sei mesi dopo la morte, sul totale di Castiglion Fibocchi.</w:t>
      </w:r>
    </w:p>
    <w:p>
      <w:pPr>
        <w:spacing w:after="120" w:line="276"/>
        <w:jc w:val="both"/>
      </w:pPr>
      <w:r>
        <w:rPr>
          <w:rFonts w:ascii="Barlow Semi Condensed" w:cs="Barlow Semi Condensed" w:eastAsia="Barlow Semi Condensed" w:hAnsi="Barlow Semi Condensed"/>
          <w:b/>
          <w:bCs/>
          <w:sz w:val="24"/>
          <w:szCs w:val="24"/>
        </w:rPr>
        <w:t xml:space="preserve">Esito: non calcolabile sui dati disponibili.</w:t>
      </w:r>
      <w:r>
        <w:rPr>
          <w:rFonts w:ascii="Barlow Semi Condensed" w:cs="Barlow Semi Condensed" w:eastAsia="Barlow Semi Condensed" w:hAnsi="Barlow Semi Condensed"/>
          <w:sz w:val="24"/>
          <w:szCs w:val="24"/>
        </w:rPr>
        <w:t xml:space="preserve"> Il denominatore è documentato</w:t>
      </w:r>
    </w:p>
    <w:p>
      <w:pPr>
        <w:spacing w:after="120" w:line="276"/>
        <w:jc w:val="both"/>
      </w:pPr>
      <w:r>
        <w:rPr>
          <w:rFonts w:ascii="Barlow Semi Condensed" w:cs="Barlow Semi Condensed" w:eastAsia="Barlow Semi Condensed" w:hAnsi="Barlow Semi Condensed"/>
          <w:sz w:val="24"/>
          <w:szCs w:val="24"/>
        </w:rPr>
        <w:t xml:space="preserve">(962). Il numeratore richiede, per ciascun nominativo, </w:t>
      </w:r>
      <w:r>
        <w:rPr>
          <w:rFonts w:ascii="Barlow Semi Condensed" w:cs="Barlow Semi Condensed" w:eastAsia="Barlow Semi Condensed" w:hAnsi="Barlow Semi Condensed"/>
          <w:b/>
          <w:bCs/>
          <w:sz w:val="24"/>
          <w:szCs w:val="24"/>
        </w:rPr>
        <w:t xml:space="preserve">la data di affiliazione</w:t>
      </w:r>
      <w:r>
        <w:rPr>
          <w:rFonts w:ascii="Barlow Semi Condensed" w:cs="Barlow Semi Condensed" w:eastAsia="Barlow Semi Condensed" w:hAnsi="Barlow Semi Condensed"/>
          <w:sz w:val="24"/>
          <w:szCs w:val="24"/>
        </w:rPr>
        <w:t xml:space="preserv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c>
          <w:tcPr>
            <w:tcW w:type="dxa" w:w="468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campo</w:t>
            </w:r>
          </w:p>
        </w:tc>
        <w:tc>
          <w:tcPr>
            <w:tcW w:type="dxa" w:w="468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righe</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righe della tabella</w:t>
            </w:r>
          </w:p>
        </w:tc>
        <w:tc>
          <w:tcPr>
            <w:tcW w:type="dxa" w:w="4680"/>
          </w:tcPr>
          <w:p>
            <w:pPr>
              <w:spacing w:after="20" w:before="20"/>
              <w:jc w:val="both"/>
            </w:pPr>
            <w:r>
              <w:rPr>
                <w:rFonts w:ascii="Barlow Semi Condensed" w:cs="Barlow Semi Condensed" w:eastAsia="Barlow Semi Condensed" w:hAnsi="Barlow Semi Condensed"/>
                <w:sz w:val="20"/>
                <w:szCs w:val="20"/>
              </w:rPr>
              <w:t xml:space="preserve">33</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con una data di affiliazione</w:t>
            </w:r>
          </w:p>
        </w:tc>
        <w:tc>
          <w:tcPr>
            <w:tcW w:type="dxa" w:w="4680"/>
          </w:tcPr>
          <w:p>
            <w:pPr>
              <w:spacing w:after="20" w:before="20"/>
              <w:jc w:val="both"/>
            </w:pPr>
            <w:r>
              <w:rPr>
                <w:rFonts w:ascii="Barlow Semi Condensed" w:cs="Barlow Semi Condensed" w:eastAsia="Barlow Semi Condensed" w:hAnsi="Barlow Semi Condensed"/>
                <w:sz w:val="20"/>
                <w:szCs w:val="20"/>
              </w:rPr>
              <w:t xml:space="preserve">2</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collocabili in un mese preciso</w:t>
            </w:r>
          </w:p>
        </w:tc>
        <w:tc>
          <w:tcPr>
            <w:tcW w:type="dxa" w:w="4680"/>
          </w:tcPr>
          <w:p>
            <w:pPr>
              <w:spacing w:after="20" w:before="20"/>
              <w:jc w:val="both"/>
            </w:pPr>
            <w:r>
              <w:rPr>
                <w:rFonts w:ascii="Barlow Semi Condensed" w:cs="Barlow Semi Condensed" w:eastAsia="Barlow Semi Condensed" w:hAnsi="Barlow Semi Condensed"/>
                <w:sz w:val="20"/>
                <w:szCs w:val="20"/>
              </w:rPr>
              <w:t xml:space="preserve">1</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collocabili dentro la finestra</w:t>
            </w:r>
          </w:p>
        </w:tc>
        <w:tc>
          <w:tcPr>
            <w:tcW w:type="dxa" w:w="4680"/>
          </w:tcPr>
          <w:p>
            <w:pPr>
              <w:spacing w:after="20" w:before="20"/>
              <w:jc w:val="both"/>
            </w:pPr>
            <w:r>
              <w:rPr>
                <w:rFonts w:ascii="Barlow Semi Condensed" w:cs="Barlow Semi Condensed" w:eastAsia="Barlow Semi Condensed" w:hAnsi="Barlow Semi Condensed"/>
                <w:sz w:val="20"/>
                <w:szCs w:val="20"/>
              </w:rPr>
              <w:t xml:space="preserve">1</w:t>
            </w:r>
          </w:p>
        </w:tc>
      </w:tr>
    </w:tbl>
    <w:p>
      <w:pPr>
        <w:spacing w:after="80"/>
      </w:pPr>
    </w:p>
    <w:p>
      <w:pPr>
        <w:spacing w:after="120" w:line="276"/>
        <w:jc w:val="both"/>
      </w:pPr>
      <w:r>
        <w:rPr>
          <w:rFonts w:ascii="Barlow Semi Condensed" w:cs="Barlow Semi Condensed" w:eastAsia="Barlow Semi Condensed" w:hAnsi="Barlow Semi Condensed"/>
          <w:sz w:val="24"/>
          <w:szCs w:val="24"/>
        </w:rPr>
        <w:t xml:space="preserve">Le due righe datate sono </w:t>
      </w:r>
      <w:r>
        <w:rPr>
          <w:rFonts w:ascii="Barlow Semi Condensed" w:cs="Barlow Semi Condensed" w:eastAsia="Barlow Semi Condensed" w:hAnsi="Barlow Semi Condensed"/>
          <w:b/>
          <w:bCs/>
          <w:sz w:val="24"/>
          <w:szCs w:val="24"/>
        </w:rPr>
        <w:t xml:space="preserve">Torrisi</w:t>
      </w:r>
      <w:r>
        <w:rPr>
          <w:rFonts w:ascii="Barlow Semi Condensed" w:cs="Barlow Semi Condensed" w:eastAsia="Barlow Semi Condensed" w:hAnsi="Barlow Semi Condensed"/>
          <w:sz w:val="24"/>
          <w:szCs w:val="24"/>
        </w:rPr>
        <w:t xml:space="preserve"> («affiliato dal gennaio 1978») e </w:t>
      </w:r>
      <w:r>
        <w:rPr>
          <w:rFonts w:ascii="Barlow Semi Condensed" w:cs="Barlow Semi Condensed" w:eastAsia="Barlow Semi Condensed" w:hAnsi="Barlow Semi Condensed"/>
          <w:b/>
          <w:bCs/>
          <w:sz w:val="24"/>
          <w:szCs w:val="24"/>
        </w:rPr>
        <w:t xml:space="preserve">Grassini</w:t>
      </w:r>
    </w:p>
    <w:p>
      <w:pPr>
        <w:spacing w:after="120" w:line="276"/>
        <w:jc w:val="both"/>
      </w:pPr>
      <w:r>
        <w:rPr>
          <w:rFonts w:ascii="Barlow Semi Condensed" w:cs="Barlow Semi Condensed" w:eastAsia="Barlow Semi Condensed" w:hAnsi="Barlow Semi Condensed"/>
          <w:sz w:val="24"/>
          <w:szCs w:val="24"/>
        </w:rPr>
        <w:t xml:space="preserve">(«affiliato retrodatato al 1977»). Le altre trentuno recano date di incarico o di</w:t>
      </w:r>
    </w:p>
    <w:p>
      <w:pPr>
        <w:spacing w:after="120" w:line="276"/>
        <w:jc w:val="both"/>
      </w:pPr>
      <w:r>
        <w:rPr>
          <w:rFonts w:ascii="Barlow Semi Condensed" w:cs="Barlow Semi Condensed" w:eastAsia="Barlow Semi Condensed" w:hAnsi="Barlow Semi Condensed"/>
          <w:sz w:val="24"/>
          <w:szCs w:val="24"/>
        </w:rPr>
        <w:t xml:space="preserve">morte, che sono un'altra cosa. Delle due, solo la prima è collocabile in un mese:</w:t>
      </w:r>
    </w:p>
    <w:p>
      <w:pPr>
        <w:spacing w:after="120" w:line="276"/>
        <w:jc w:val="both"/>
      </w:pPr>
      <w:r>
        <w:rPr>
          <w:rFonts w:ascii="Barlow Semi Condensed" w:cs="Barlow Semi Condensed" w:eastAsia="Barlow Semi Condensed" w:hAnsi="Barlow Semi Condensed"/>
          <w:sz w:val="24"/>
          <w:szCs w:val="24"/>
        </w:rPr>
        <w:t xml:space="preserve">«1977» senza mese non si posa in alcun punto della finestra, e «retrodatato» è per</w:t>
      </w:r>
    </w:p>
    <w:p>
      <w:pPr>
        <w:spacing w:after="120" w:line="276"/>
        <w:jc w:val="both"/>
      </w:pPr>
      <w:r>
        <w:rPr>
          <w:rFonts w:ascii="Barlow Semi Condensed" w:cs="Barlow Semi Condensed" w:eastAsia="Barlow Semi Condensed" w:hAnsi="Barlow Semi Condensed"/>
          <w:sz w:val="24"/>
          <w:szCs w:val="24"/>
        </w:rPr>
        <w:t xml:space="preserve">giunta un'affermazione su un registro alterato, non una data.</w:t>
      </w:r>
    </w:p>
    <w:p>
      <w:pPr>
        <w:spacing w:after="120" w:line="276"/>
        <w:jc w:val="both"/>
      </w:pPr>
      <w:r>
        <w:rPr>
          <w:rFonts w:ascii="Barlow Semi Condensed" w:cs="Barlow Semi Condensed" w:eastAsia="Barlow Semi Condensed" w:hAnsi="Barlow Semi Condensed"/>
          <w:sz w:val="24"/>
          <w:szCs w:val="24"/>
        </w:rPr>
        <w:t xml:space="preserve">Su una riga su trentatré non si costruisce una distribuzione temporale. Un grafico</w:t>
      </w:r>
    </w:p>
    <w:p>
      <w:pPr>
        <w:spacing w:after="120" w:line="276"/>
        <w:jc w:val="both"/>
      </w:pPr>
      <w:r>
        <w:rPr>
          <w:rFonts w:ascii="Barlow Semi Condensed" w:cs="Barlow Semi Condensed" w:eastAsia="Barlow Semi Condensed" w:hAnsi="Barlow Semi Condensed"/>
          <w:sz w:val="24"/>
          <w:szCs w:val="24"/>
        </w:rPr>
        <w:t xml:space="preserve">che ripartisse i 962 fra «prima», «durante» e «dopo» misurerebbe un'ipotesi</w:t>
      </w:r>
    </w:p>
    <w:p>
      <w:pPr>
        <w:spacing w:after="120" w:line="276"/>
        <w:jc w:val="both"/>
      </w:pPr>
      <w:r>
        <w:rPr>
          <w:rFonts w:ascii="Barlow Semi Condensed" w:cs="Barlow Semi Condensed" w:eastAsia="Barlow Semi Condensed" w:hAnsi="Barlow Semi Condensed"/>
          <w:sz w:val="24"/>
          <w:szCs w:val="24"/>
        </w:rPr>
        <w:t xml:space="preserve">travestita da conteggio.</w:t>
      </w:r>
    </w:p>
    <w:p>
      <w:pPr>
        <w:spacing w:after="120" w:line="276"/>
        <w:jc w:val="both"/>
      </w:pPr>
      <w:r>
        <w:rPr>
          <w:rFonts w:ascii="Barlow Semi Condensed" w:cs="Barlow Semi Condensed" w:eastAsia="Barlow Semi Condensed" w:hAnsi="Barlow Semi Condensed"/>
          <w:b/>
          <w:bCs/>
          <w:sz w:val="24"/>
          <w:szCs w:val="24"/>
        </w:rPr>
        <w:t xml:space="preserve">Stato Zero dichiarato</w:t>
      </w:r>
      <w:r>
        <w:rPr>
          <w:rFonts w:ascii="Barlow Semi Condensed" w:cs="Barlow Semi Condensed" w:eastAsia="Barlow Semi Condensed" w:hAnsi="Barlow Semi Condensed"/>
          <w:sz w:val="24"/>
          <w:szCs w:val="24"/>
        </w:rPr>
        <w:t xml:space="preserve"> — sede cercata: la tabella dei trentatré nomi del testo</w:t>
      </w:r>
    </w:p>
    <w:p>
      <w:pPr>
        <w:spacing w:after="120" w:line="276"/>
        <w:jc w:val="both"/>
      </w:pPr>
      <w:r>
        <w:rPr>
          <w:rFonts w:ascii="Barlow Semi Condensed" w:cs="Barlow Semi Condensed" w:eastAsia="Barlow Semi Condensed" w:hAnsi="Barlow Semi Condensed"/>
          <w:sz w:val="24"/>
          <w:szCs w:val="24"/>
        </w:rPr>
        <w:t xml:space="preserve">esaminato. Campo cercato: l'affiliazione datata. Esito della ricerca: negativo.</w:t>
      </w:r>
    </w:p>
    <w:p>
      <w:pPr>
        <w:pStyle w:val="Heading3"/>
        <w:spacing w:after="80" w:before="160"/>
      </w:pPr>
      <w:r>
        <w:rPr>
          <w:rFonts w:ascii="Barlow Semi Condensed" w:cs="Barlow Semi Condensed" w:eastAsia="Barlow Semi Condensed" w:hAnsi="Barlow Semi Condensed"/>
          <w:sz w:val="24"/>
          <w:szCs w:val="24"/>
        </w:rPr>
        <w:t xml:space="preserve">La sola percentuale che i dati reggono</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c>
          <w:tcPr>
            <w:tcW w:type="dxa" w:w="312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grandezza</w:t>
            </w:r>
          </w:p>
        </w:tc>
        <w:tc>
          <w:tcPr>
            <w:tcW w:type="dxa" w:w="312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assoluto</w:t>
            </w:r>
          </w:p>
        </w:tc>
        <w:tc>
          <w:tcPr>
            <w:tcW w:type="dxa" w:w="312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quota dei 962</w:t>
            </w:r>
          </w:p>
        </w:tc>
      </w:tr>
      <w:tr>
        <w:tc>
          <w:tcPr>
            <w:tcW w:type="dxa" w:w="3120"/>
          </w:tcPr>
          <w:p>
            <w:pPr>
              <w:spacing w:after="20" w:before="20"/>
              <w:jc w:val="both"/>
            </w:pPr>
            <w:r>
              <w:rPr>
                <w:rFonts w:ascii="Barlow Semi Condensed" w:cs="Barlow Semi Condensed" w:eastAsia="Barlow Semi Condensed" w:hAnsi="Barlow Semi Condensed"/>
                <w:sz w:val="20"/>
                <w:szCs w:val="20"/>
              </w:rPr>
              <w:t xml:space="preserve">nomi asseriti dal testo</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33</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3,43 %</w:t>
            </w:r>
          </w:p>
        </w:tc>
      </w:tr>
      <w:tr>
        <w:tc>
          <w:tcPr>
            <w:tcW w:type="dxa" w:w="3120"/>
          </w:tcPr>
          <w:p>
            <w:pPr>
              <w:spacing w:after="20" w:before="20"/>
              <w:jc w:val="both"/>
            </w:pPr>
            <w:r>
              <w:rPr>
                <w:rFonts w:ascii="Barlow Semi Condensed" w:cs="Barlow Semi Condensed" w:eastAsia="Barlow Semi Condensed" w:hAnsi="Barlow Semi Condensed"/>
                <w:sz w:val="20"/>
                <w:szCs w:val="20"/>
              </w:rPr>
              <w:t xml:space="preserve">appartenenza corroborata fuori dal testo</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20</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2,08 %</w:t>
            </w:r>
          </w:p>
        </w:tc>
      </w:tr>
      <w:tr>
        <w:tc>
          <w:tcPr>
            <w:tcW w:type="dxa" w:w="3120"/>
          </w:tcPr>
          <w:p>
            <w:pPr>
              <w:spacing w:after="20" w:before="20"/>
              <w:jc w:val="both"/>
            </w:pPr>
            <w:r>
              <w:rPr>
                <w:rFonts w:ascii="Barlow Semi Condensed" w:cs="Barlow Semi Condensed" w:eastAsia="Barlow Semi Condensed" w:hAnsi="Barlow Semi Condensed"/>
                <w:sz w:val="20"/>
                <w:szCs w:val="20"/>
              </w:rPr>
              <w:t xml:space="preserve">posizione definita in sede giudiziaria</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1</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0,10 %</w:t>
            </w:r>
          </w:p>
        </w:tc>
      </w:tr>
      <w:tr>
        <w:tc>
          <w:tcPr>
            <w:tcW w:type="dxa" w:w="3120"/>
          </w:tcPr>
          <w:p>
            <w:pPr>
              <w:spacing w:after="20" w:before="20"/>
              <w:jc w:val="both"/>
            </w:pPr>
            <w:r>
              <w:rPr>
                <w:rFonts w:ascii="Barlow Semi Condensed" w:cs="Barlow Semi Condensed" w:eastAsia="Barlow Semi Condensed" w:hAnsi="Barlow Semi Condensed"/>
                <w:sz w:val="20"/>
                <w:szCs w:val="20"/>
              </w:rPr>
              <w:t xml:space="preserve">numero di tessera verificato</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0</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0,00 %</w:t>
            </w:r>
          </w:p>
        </w:tc>
      </w:tr>
    </w:tbl>
    <w:p>
      <w:pPr>
        <w:spacing w:after="80"/>
      </w:pPr>
    </w:p>
    <w:p>
      <w:pPr>
        <w:spacing w:after="120" w:line="276"/>
        <w:jc w:val="both"/>
      </w:pPr>
      <w:r>
        <w:rPr>
          <w:rFonts w:ascii="Barlow Semi Condensed" w:cs="Barlow Semi Condensed" w:eastAsia="Barlow Semi Condensed" w:hAnsi="Barlow Semi Condensed"/>
          <w:sz w:val="24"/>
          <w:szCs w:val="24"/>
        </w:rPr>
        <w:t xml:space="preserve">È una percentuale </w:t>
      </w:r>
      <w:r>
        <w:rPr>
          <w:rFonts w:ascii="Barlow Semi Condensed" w:cs="Barlow Semi Condensed" w:eastAsia="Barlow Semi Condensed" w:hAnsi="Barlow Semi Condensed"/>
          <w:b/>
          <w:bCs/>
          <w:sz w:val="24"/>
          <w:szCs w:val="24"/>
        </w:rPr>
        <w:t xml:space="preserve">sulla lista, non sulla finestra</w:t>
      </w:r>
      <w:r>
        <w:rPr>
          <w:rFonts w:ascii="Barlow Semi Condensed" w:cs="Barlow Semi Condensed" w:eastAsia="Barlow Semi Condensed" w:hAnsi="Barlow Semi Condensed"/>
          <w:sz w:val="24"/>
          <w:szCs w:val="24"/>
        </w:rPr>
        <w:t xml:space="preserve">: dice quanta parte</w:t>
      </w:r>
    </w:p>
    <w:p>
      <w:pPr>
        <w:spacing w:after="120" w:line="276"/>
        <w:jc w:val="both"/>
      </w:pPr>
      <w:r>
        <w:rPr>
          <w:rFonts w:ascii="Barlow Semi Condensed" w:cs="Barlow Semi Condensed" w:eastAsia="Barlow Semi Condensed" w:hAnsi="Barlow Semi Condensed"/>
          <w:sz w:val="24"/>
          <w:szCs w:val="24"/>
        </w:rPr>
        <w:t xml:space="preserve">dell'elenco il testo tocca, non quanti fossero iscritti nel 1978.</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7. Che cosa serve</w:t>
      </w:r>
    </w:p>
    <w:p>
      <w:pPr>
        <w:spacing w:after="120" w:line="276"/>
        <w:jc w:val="both"/>
      </w:pPr>
      <w:r>
        <w:rPr>
          <w:rFonts w:ascii="Barlow Semi Condensed" w:cs="Barlow Semi Condensed" w:eastAsia="Barlow Semi Condensed" w:hAnsi="Barlow Semi Condensed"/>
          <w:sz w:val="24"/>
          <w:szCs w:val="24"/>
        </w:rPr>
        <w:t xml:space="preserve">**L'allegato alla Doc. XXIII n. 2 — Relazione della Commissione parlamentare</w:t>
      </w:r>
    </w:p>
    <w:p>
      <w:pPr>
        <w:spacing w:after="120" w:line="276"/>
        <w:jc w:val="both"/>
      </w:pPr>
      <w:r>
        <w:rPr>
          <w:rFonts w:ascii="Barlow Semi Condensed" w:cs="Barlow Semi Condensed" w:eastAsia="Barlow Semi Condensed" w:hAnsi="Barlow Semi Condensed"/>
          <w:sz w:val="24"/>
          <w:szCs w:val="24"/>
        </w:rPr>
        <w:t xml:space="preserve">d'inchiesta sulla Loggia P2, 12 luglio 1984**, dove i numeri stanno scritti</w:t>
      </w:r>
    </w:p>
    <w:p>
      <w:pPr>
        <w:spacing w:after="120" w:line="276"/>
        <w:jc w:val="both"/>
      </w:pPr>
      <w:r>
        <w:rPr>
          <w:rFonts w:ascii="Barlow Semi Condensed" w:cs="Barlow Semi Condensed" w:eastAsia="Barlow Semi Condensed" w:hAnsi="Barlow Semi Condensed"/>
          <w:sz w:val="24"/>
          <w:szCs w:val="24"/>
        </w:rPr>
        <w:t xml:space="preserve">accanto ai nomi — e, per una parte degli iscritti, la data di adesione, che è il</w:t>
      </w:r>
    </w:p>
    <w:p>
      <w:pPr>
        <w:spacing w:after="120" w:line="276"/>
        <w:jc w:val="both"/>
      </w:pPr>
      <w:r>
        <w:rPr>
          <w:rFonts w:ascii="Barlow Semi Condensed" w:cs="Barlow Semi Condensed" w:eastAsia="Barlow Semi Condensed" w:hAnsi="Barlow Semi Condensed"/>
          <w:sz w:val="24"/>
          <w:szCs w:val="24"/>
        </w:rPr>
        <w:t xml:space="preserve">campo mancante del calcolo per finestra temporale. La relazione è pubblica; l'allegato nominativo va richiesto</w:t>
      </w:r>
    </w:p>
    <w:p>
      <w:pPr>
        <w:spacing w:after="120" w:line="276"/>
        <w:jc w:val="both"/>
      </w:pPr>
      <w:r>
        <w:rPr>
          <w:rFonts w:ascii="Barlow Semi Condensed" w:cs="Barlow Semi Condensed" w:eastAsia="Barlow Semi Condensed" w:hAnsi="Barlow Semi Condensed"/>
          <w:sz w:val="24"/>
          <w:szCs w:val="24"/>
        </w:rPr>
        <w:t xml:space="preserve">all'Archivio storico della Camera dei deputati.</w:t>
      </w:r>
    </w:p>
    <w:p>
      <w:pPr>
        <w:spacing w:after="120" w:line="276"/>
        <w:jc w:val="both"/>
      </w:pPr>
      <w:r>
        <w:rPr>
          <w:rFonts w:ascii="Barlow Semi Condensed" w:cs="Barlow Semi Condensed" w:eastAsia="Barlow Semi Condensed" w:hAnsi="Barlow Semi Condensed"/>
          <w:sz w:val="24"/>
          <w:szCs w:val="24"/>
        </w:rPr>
        <w:t xml:space="preserve">Finché non è sul tavolo, **nessun numero di questo elenco va pubblicato come</w:t>
      </w:r>
    </w:p>
    <w:p>
      <w:pPr>
        <w:spacing w:after="120" w:line="276"/>
        <w:jc w:val="both"/>
      </w:pPr>
      <w:r>
        <w:rPr>
          <w:rFonts w:ascii="Barlow Semi Condensed" w:cs="Barlow Semi Condensed" w:eastAsia="Barlow Semi Condensed" w:hAnsi="Barlow Semi Condensed"/>
          <w:sz w:val="24"/>
          <w:szCs w:val="24"/>
        </w:rPr>
        <w:t xml:space="preserve">certificato**, e nessuna percentuale va calcolata su di esso.</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8. La regola che sopravvive a ogni esito</w:t>
      </w:r>
    </w:p>
    <w:p>
      <w:pPr>
        <w:pBdr>
          <w:left w:val="single" w:color="1F3864" w:sz="18" w:space="8"/>
        </w:pBdr>
        <w:spacing w:after="80" w:before="80"/>
        <w:ind w:left="360" w:right="360"/>
        <w:jc w:val="both"/>
      </w:pPr>
      <w:r>
        <w:rPr>
          <w:rFonts w:ascii="Barlow Semi Condensed" w:cs="Barlow Semi Condensed" w:eastAsia="Barlow Semi Condensed" w:hAnsi="Barlow Semi Condensed"/>
          <w:b/>
          <w:bCs/>
          <w:i w:val="false"/>
          <w:iCs w:val="false"/>
          <w:sz w:val="24"/>
          <w:szCs w:val="24"/>
        </w:rPr>
        <w:t xml:space="preserve">L'appartenenza a un'organizzazione non è prova di condotta.</w:t>
      </w:r>
    </w:p>
    <w:p>
      <w:pPr>
        <w:spacing w:after="120" w:line="276"/>
        <w:jc w:val="both"/>
      </w:pPr>
      <w:r>
        <w:rPr>
          <w:rFonts w:ascii="Barlow Semi Condensed" w:cs="Barlow Semi Condensed" w:eastAsia="Barlow Semi Condensed" w:hAnsi="Barlow Semi Condensed"/>
          <w:sz w:val="24"/>
          <w:szCs w:val="24"/>
        </w:rPr>
        <w:t xml:space="preserve">Se l'allegato confermasse tutti e trentatré i numeri, si sarebbe accertata</w:t>
      </w:r>
    </w:p>
    <w:p>
      <w:pPr>
        <w:spacing w:after="120" w:line="276"/>
        <w:jc w:val="both"/>
      </w:pPr>
      <w:r>
        <w:rPr>
          <w:rFonts w:ascii="Barlow Semi Condensed" w:cs="Barlow Semi Condensed" w:eastAsia="Barlow Semi Condensed" w:hAnsi="Barlow Semi Condensed"/>
          <w:sz w:val="24"/>
          <w:szCs w:val="24"/>
        </w:rPr>
        <w:t xml:space="preserve">l'appartenenza di trentatré persone a una loggia, e nient'altro: nessuna condotta,</w:t>
      </w:r>
    </w:p>
    <w:p>
      <w:pPr>
        <w:spacing w:after="120" w:line="276"/>
        <w:jc w:val="both"/>
      </w:pPr>
      <w:r>
        <w:rPr>
          <w:rFonts w:ascii="Barlow Semi Condensed" w:cs="Barlow Semi Condensed" w:eastAsia="Barlow Semi Condensed" w:hAnsi="Barlow Semi Condensed"/>
          <w:sz w:val="24"/>
          <w:szCs w:val="24"/>
        </w:rPr>
        <w:t xml:space="preserve">nessuna responsabilità, nessun concorso. La distanza fra le due cose è l'intera</w:t>
      </w:r>
    </w:p>
    <w:p>
      <w:pPr>
        <w:spacing w:after="120" w:line="276"/>
        <w:jc w:val="both"/>
      </w:pPr>
      <w:r>
        <w:rPr>
          <w:rFonts w:ascii="Barlow Semi Condensed" w:cs="Barlow Semi Condensed" w:eastAsia="Barlow Semi Condensed" w:hAnsi="Barlow Semi Condensed"/>
          <w:sz w:val="24"/>
          <w:szCs w:val="24"/>
        </w:rPr>
        <w:t xml:space="preserve">ragione per cui questa verifica esiste.</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Apparato</w:t>
      </w:r>
    </w:p>
    <w:p>
      <w:pPr>
        <w:spacing w:after="120" w:line="276"/>
        <w:jc w:val="both"/>
      </w:pPr>
      <w:r>
        <w:rPr>
          <w:rFonts w:ascii="Barlow Semi Condensed" w:cs="Barlow Semi Condensed" w:eastAsia="Barlow Semi Condensed" w:hAnsi="Barlow Semi Condensed"/>
          <w:b/>
          <w:bCs/>
          <w:sz w:val="24"/>
          <w:szCs w:val="24"/>
        </w:rPr>
        <w:t xml:space="preserve">Grafici del lotto</w:t>
      </w:r>
      <w:r>
        <w:rPr>
          <w:rFonts w:ascii="Barlow Semi Condensed" w:cs="Barlow Semi Condensed" w:eastAsia="Barlow Semi Condensed" w:hAnsi="Barlow Semi Condensed"/>
          <w:sz w:val="24"/>
          <w:szCs w:val="24"/>
        </w:rPr>
        <w:t xml:space="preserve"> — nove, generati da </w:t>
      </w:r>
      <w:r>
        <w:rPr>
          <w:rFonts w:ascii="Barlow Semi Condensed" w:cs="Barlow Semi Condensed" w:eastAsia="Barlow Semi Condensed" w:hAnsi="Barlow Semi Condensed"/>
          <w:i/>
          <w:iCs/>
          <w:sz w:val="24"/>
          <w:szCs w:val="24"/>
        </w:rPr>
        <w:t xml:space="preserve">_verifiche/generatori/gen_verifica_p2.py</w:t>
      </w:r>
      <w:r>
        <w:rPr>
          <w:rFonts w:ascii="Barlow Semi Condensed" w:cs="Barlow Semi Condensed" w:eastAsia="Barlow Semi Condensed" w:hAnsi="Barlow Semi Condensed"/>
          <w:sz w:val="24"/>
          <w:szCs w:val="24"/>
        </w:rPr>
        <w:t xml:space="preserve">,</w:t>
      </w:r>
    </w:p>
    <w:p>
      <w:pPr>
        <w:spacing w:after="120" w:line="276"/>
        <w:jc w:val="both"/>
      </w:pPr>
      <w:r>
        <w:rPr>
          <w:rFonts w:ascii="Barlow Semi Condensed" w:cs="Barlow Semi Condensed" w:eastAsia="Barlow Semi Condensed" w:hAnsi="Barlow Semi Condensed"/>
          <w:sz w:val="24"/>
          <w:szCs w:val="24"/>
        </w:rPr>
        <w:t xml:space="preserve">nello stile della casa (fondo a gradiente crema, inchiostro blu navy). Ogni</w:t>
      </w:r>
    </w:p>
    <w:p>
      <w:pPr>
        <w:spacing w:after="120" w:line="276"/>
        <w:jc w:val="both"/>
      </w:pPr>
      <w:r>
        <w:rPr>
          <w:rFonts w:ascii="Barlow Semi Condensed" w:cs="Barlow Semi Condensed" w:eastAsia="Barlow Semi Condensed" w:hAnsi="Barlow Semi Condensed"/>
          <w:sz w:val="24"/>
          <w:szCs w:val="24"/>
        </w:rPr>
        <w:t xml:space="preserve">immagine porta in calce la propria nota di metodo, che è parte del grafico.</w:t>
      </w:r>
    </w:p>
    <w:p>
      <w:pPr>
        <w:spacing w:after="120" w:line="276"/>
        <w:jc w:val="both"/>
      </w:pPr>
      <w:r>
        <w:rPr>
          <w:rFonts w:ascii="Barlow Semi Condensed" w:cs="Barlow Semi Condensed" w:eastAsia="Barlow Semi Condensed" w:hAnsi="Barlow Semi Condensed"/>
          <w:b/>
          <w:bCs/>
          <w:sz w:val="24"/>
          <w:szCs w:val="24"/>
        </w:rPr>
        <w:t xml:space="preserve">Fonti documentali</w:t>
      </w:r>
    </w:p>
    <w:p>
      <w:pPr>
        <w:pStyle w:val="ListParagraph"/>
        <w:numPr>
          <w:ilvl w:val="0"/>
          <w:numId w:val="1"/>
        </w:numPr>
        <w:spacing w:after="40"/>
        <w:jc w:val="both"/>
      </w:pPr>
      <w:r>
        <w:rPr>
          <w:rFonts w:ascii="Barlow Semi Condensed" w:cs="Barlow Semi Condensed" w:eastAsia="Barlow Semi Condensed" w:hAnsi="Barlow Semi Condensed"/>
          <w:sz w:val="24"/>
          <w:szCs w:val="24"/>
        </w:rPr>
        <w:t xml:space="preserve">Relazione della Commissione parlamentare d'inchiesta sulla Loggia P2, Cap. II —</w:t>
      </w:r>
    </w:p>
    <w:p>
      <w:pPr>
        <w:spacing w:after="120" w:line="276"/>
        <w:jc w:val="both"/>
      </w:pP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Autenticità e attendibilità delle liste</w:t>
      </w:r>
      <w:r>
        <w:rPr>
          <w:rFonts w:ascii="Barlow Semi Condensed" w:cs="Barlow Semi Condensed" w:eastAsia="Barlow Semi Condensed" w:hAnsi="Barlow Semi Condensed"/>
          <w:sz w:val="24"/>
          <w:szCs w:val="24"/>
        </w:rPr>
        <w:t xml:space="preserve">, it.wikisource.org</w:t>
      </w:r>
    </w:p>
    <w:p>
      <w:pPr>
        <w:pStyle w:val="ListParagraph"/>
        <w:numPr>
          <w:ilvl w:val="0"/>
          <w:numId w:val="1"/>
        </w:numPr>
        <w:spacing w:after="40"/>
        <w:jc w:val="both"/>
      </w:pPr>
      <w:r>
        <w:rPr>
          <w:rFonts w:ascii="Barlow Semi Condensed" w:cs="Barlow Semi Condensed" w:eastAsia="Barlow Semi Condensed" w:hAnsi="Barlow Semi Condensed"/>
          <w:sz w:val="24"/>
          <w:szCs w:val="24"/>
        </w:rPr>
        <w:t xml:space="preserve">Relazione Anselmi, testo integrale — archivioantimafia.org</w:t>
      </w:r>
    </w:p>
    <w:p>
      <w:pPr>
        <w:pStyle w:val="ListParagraph"/>
        <w:numPr>
          <w:ilvl w:val="0"/>
          <w:numId w:val="1"/>
        </w:numPr>
        <w:spacing w:after="40"/>
        <w:jc w:val="both"/>
      </w:pPr>
      <w:r>
        <w:rPr>
          <w:rFonts w:ascii="Barlow Semi Condensed" w:cs="Barlow Semi Condensed" w:eastAsia="Barlow Semi Condensed" w:hAnsi="Barlow Semi Condensed"/>
          <w:i/>
          <w:iCs/>
          <w:sz w:val="24"/>
          <w:szCs w:val="24"/>
        </w:rPr>
        <w:t xml:space="preserve">Appartenenti alla P2</w:t>
      </w:r>
      <w:r>
        <w:rPr>
          <w:rFonts w:ascii="Barlow Semi Condensed" w:cs="Barlow Semi Condensed" w:eastAsia="Barlow Semi Condensed" w:hAnsi="Barlow Semi Condensed"/>
          <w:sz w:val="24"/>
          <w:szCs w:val="24"/>
        </w:rPr>
        <w:t xml:space="preserve"> — it.wikipedia.org</w:t>
      </w:r>
    </w:p>
    <w:p>
      <w:pPr>
        <w:pStyle w:val="ListParagraph"/>
        <w:numPr>
          <w:ilvl w:val="0"/>
          <w:numId w:val="1"/>
        </w:numPr>
        <w:spacing w:after="40"/>
        <w:jc w:val="both"/>
      </w:pPr>
      <w:r>
        <w:rPr>
          <w:rFonts w:ascii="Barlow Semi Condensed" w:cs="Barlow Semi Condensed" w:eastAsia="Barlow Semi Condensed" w:hAnsi="Barlow Semi Condensed"/>
          <w:i/>
          <w:iCs/>
          <w:sz w:val="24"/>
          <w:szCs w:val="24"/>
        </w:rPr>
        <w:t xml:space="preserve">Il Fatto Quotidiano</w:t>
      </w:r>
      <w:r>
        <w:rPr>
          <w:rFonts w:ascii="Barlow Semi Condensed" w:cs="Barlow Semi Condensed" w:eastAsia="Barlow Semi Condensed" w:hAnsi="Barlow Semi Condensed"/>
          <w:sz w:val="24"/>
          <w:szCs w:val="24"/>
        </w:rPr>
        <w:t xml:space="preserve">, 17 marzo 2021, sull'incompletezza degli elenchi</w:t>
      </w:r>
    </w:p>
    <w:p>
      <w:pPr>
        <w:pStyle w:val="ListParagraph"/>
        <w:numPr>
          <w:ilvl w:val="0"/>
          <w:numId w:val="1"/>
        </w:numPr>
        <w:spacing w:after="40"/>
        <w:jc w:val="both"/>
      </w:pPr>
      <w:r>
        <w:rPr>
          <w:rFonts w:ascii="Barlow Semi Condensed" w:cs="Barlow Semi Condensed" w:eastAsia="Barlow Semi Condensed" w:hAnsi="Barlow Semi Condensed"/>
          <w:i/>
          <w:iCs/>
          <w:sz w:val="24"/>
          <w:szCs w:val="24"/>
        </w:rPr>
        <w:t xml:space="preserve">Comitato esecutivo per i servizi di informazione e sicurezza</w:t>
      </w:r>
      <w:r>
        <w:rPr>
          <w:rFonts w:ascii="Barlow Semi Condensed" w:cs="Barlow Semi Condensed" w:eastAsia="Barlow Semi Condensed" w:hAnsi="Barlow Semi Condensed"/>
          <w:sz w:val="24"/>
          <w:szCs w:val="24"/>
        </w:rPr>
        <w:t xml:space="preserve"> — it.wikipedia.org</w:t>
      </w:r>
    </w:p>
    <w:p>
      <w:pPr>
        <w:spacing w:after="120" w:line="276"/>
        <w:jc w:val="both"/>
      </w:pPr>
      <w:r>
        <w:rPr>
          <w:rFonts w:ascii="Barlow Semi Condensed" w:cs="Barlow Semi Condensed" w:eastAsia="Barlow Semi Condensed" w:hAnsi="Barlow Semi Condensed"/>
          <w:b/>
          <w:bCs/>
          <w:sz w:val="24"/>
          <w:szCs w:val="24"/>
        </w:rPr>
        <w:t xml:space="preserve">Correzioni interne a questa verifica</w:t>
      </w:r>
      <w:r>
        <w:rPr>
          <w:rFonts w:ascii="Barlow Semi Condensed" w:cs="Barlow Semi Condensed" w:eastAsia="Barlow Semi Condensed" w:hAnsi="Barlow Semi Condensed"/>
          <w:sz w:val="24"/>
          <w:szCs w:val="24"/>
        </w:rPr>
        <w:t xml:space="preserve">, annotate e non sostituite: in una prima</w:t>
      </w:r>
    </w:p>
    <w:p>
      <w:pPr>
        <w:spacing w:after="120" w:line="276"/>
        <w:jc w:val="both"/>
      </w:pPr>
      <w:r>
        <w:rPr>
          <w:rFonts w:ascii="Barlow Semi Condensed" w:cs="Barlow Semi Condensed" w:eastAsia="Barlow Semi Condensed" w:hAnsi="Barlow Semi Condensed"/>
          <w:sz w:val="24"/>
          <w:szCs w:val="24"/>
        </w:rPr>
        <w:t xml:space="preserve">stesura la tessera 811 era stata attribuita a Ortolani (è di Rizzuti; Ortolani è</w:t>
      </w:r>
    </w:p>
    <w:p>
      <w:pPr>
        <w:spacing w:after="120" w:line="276"/>
        <w:jc w:val="both"/>
      </w:pPr>
      <w:r>
        <w:rPr>
          <w:rFonts w:ascii="Barlow Semi Condensed" w:cs="Barlow Semi Condensed" w:eastAsia="Barlow Semi Condensed" w:hAnsi="Barlow Semi Condensed"/>
          <w:sz w:val="24"/>
          <w:szCs w:val="24"/>
        </w:rPr>
        <w:t xml:space="preserve">1609), e i nomi di Chichiarelli, Vitalone, Terranova e Napoletano erano stati</w:t>
      </w:r>
    </w:p>
    <w:p>
      <w:pPr>
        <w:spacing w:after="120" w:line="276"/>
        <w:jc w:val="both"/>
      </w:pPr>
      <w:r>
        <w:rPr>
          <w:rFonts w:ascii="Barlow Semi Condensed" w:cs="Barlow Semi Condensed" w:eastAsia="Barlow Semi Condensed" w:hAnsi="Barlow Semi Condensed"/>
          <w:sz w:val="24"/>
          <w:szCs w:val="24"/>
        </w:rPr>
        <w:t xml:space="preserve">trattati come righe della tabella dei trentatré, mentre appartengono ad altre</w:t>
      </w:r>
    </w:p>
    <w:p>
      <w:pPr>
        <w:spacing w:after="120" w:line="276"/>
        <w:jc w:val="both"/>
      </w:pPr>
      <w:r>
        <w:rPr>
          <w:rFonts w:ascii="Barlow Semi Condensed" w:cs="Barlow Semi Condensed" w:eastAsia="Barlow Semi Condensed" w:hAnsi="Barlow Semi Condensed"/>
          <w:sz w:val="24"/>
          <w:szCs w:val="24"/>
        </w:rPr>
        <w:t xml:space="preserve">sezioni del testo esaminato. La tabella ha trentatré righe esatte, contate una per</w:t>
      </w:r>
    </w:p>
    <w:p>
      <w:pPr>
        <w:spacing w:after="120" w:line="276"/>
        <w:jc w:val="both"/>
      </w:pPr>
      <w:r>
        <w:rPr>
          <w:rFonts w:ascii="Barlow Semi Condensed" w:cs="Barlow Semi Condensed" w:eastAsia="Barlow Semi Condensed" w:hAnsi="Barlow Semi Condensed"/>
          <w:sz w:val="24"/>
          <w:szCs w:val="24"/>
        </w:rPr>
        <w:t xml:space="preserve">una sul testo originale.</w:t>
      </w:r>
    </w:p>
    <w:p>
      <w:pPr>
        <w:pStyle w:val="Heading3"/>
        <w:spacing w:after="80" w:before="240"/>
      </w:pPr>
      <w:r>
        <w:rPr>
          <w:rFonts w:ascii="Barlow Semi Condensed" w:cs="Barlow Semi Condensed" w:eastAsia="Barlow Semi Condensed" w:hAnsi="Barlow Semi Condensed"/>
          <w:sz w:val="24"/>
          <w:szCs w:val="24"/>
        </w:rPr>
        <w:t xml:space="preserve">Apparato grafico — Appendici · Verifica di un elenco esterno (i trentatré nomi)</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5"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Appendice III: 1.543 parole in 9 sezioni; la più ampia è §7 6, con 287.</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6"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Appendice III: 51 paragrafi in 9 sezioni, 6 in media per sezione.</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7"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I quattro campi della tabella verificata e quanti nomi reggono in ciascuno: trentatré nomi, trentatré ruoli verificabili, venti appartenenze corroborate, nessun numero di tessera.</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8"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Quattro dei trentatré valori dichiarati come numero di tessera cadono sotto il 1.600, soglia verbalizzata negli atti della Commissione; un quinto vi si posa esatto.</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9"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Ripartizione delle trentatré righe per sede istituzionale attribuita nel 1978: quindici nei servizi informativi, ventidue in apparati che rispondono all'esecutivo.</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0"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La composizione degli elenchi secondo le fonti sui lavori della Commissione Anselmi, con l'annotazione sulla cifra dei parlamentari registrata nel Libro quarto.</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1"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Quattrocentodiciannove giorni la finestra richiesta, 1.097 dai fatti al sequestro degli elenchi, 2.310 dai fatti al deposito della relazione di maggioranza.</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2"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La finestra dei sei mesi misurata sul corpus: la documentazione si addensa sui tre mesi del sequestro e si dirada ai due estremi.</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3"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Le sole percentuali sui 962 che i dati consentano di calcolare: 3,43 per cento i nomi asseriti, 2,08 quelli con appartenenza corroborata, zero quelli con un numero verificato.</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4"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Il campo che il calcolo per finestra temporale richiederebbe: due righe su trentatré portano una data di affiliazione, una sola è collocabile in un mese preciso.</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5"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I quattrocentodiciannove giorni della finestra, con i cinquantacinque della prigionia in evidenza, e i due soli dati datati della tabella verificata.</w:t>
      </w:r>
    </w:p>
    <w:p>
      <w:pPr>
        <w:spacing w:after="120"/>
        <w:jc w:val="center"/>
      </w:pPr>
      <w:r>
        <w:rPr>
          <w:rFonts w:ascii="Barlow Semi Condensed" w:cs="Barlow Semi Condensed" w:eastAsia="Barlow Semi Condensed" w:hAnsi="Barlow Semi Condensed"/>
          <w:color w:val="777777"/>
          <w:sz w:val="16"/>
          <w:szCs w:val="16"/>
        </w:rPr>
        <w:t xml:space="preserve">Le metriche dell'apparato contano parole, documenti e atti — mai colpe.</w:t>
      </w:r>
    </w:p>
    <w:p>
      <w:r>
        <w:br w:type="page"/>
      </w:r>
    </w:p>
    <w:p>
      <w:pPr>
        <w:pStyle w:val="Heading1"/>
        <w:spacing w:after="120" w:before="240"/>
      </w:pPr>
      <w:r>
        <w:rPr>
          <w:rFonts w:ascii="Barlow Semi Condensed" w:cs="Barlow Semi Condensed" w:eastAsia="Barlow Semi Condensed" w:hAnsi="Barlow Semi Condensed"/>
          <w:sz w:val="24"/>
          <w:szCs w:val="24"/>
        </w:rPr>
        <w:t xml:space="preserve">Apparato conclusivo — Le note bibliografiche (dalla prima all'ultima)</w:t>
      </w:r>
    </w:p>
    <w:p>
      <w:pPr>
        <w:pStyle w:val="Heading1"/>
        <w:spacing w:after="120" w:before="240"/>
      </w:pPr>
      <w:r>
        <w:rPr>
          <w:rFonts w:ascii="Barlow Semi Condensed" w:cs="Barlow Semi Condensed" w:eastAsia="Barlow Semi Condensed" w:hAnsi="Barlow Semi Condensed"/>
          <w:sz w:val="24"/>
          <w:szCs w:val="24"/>
        </w:rPr>
        <w:t xml:space="preserve">Le note bibliografiche</w:t>
      </w:r>
    </w:p>
    <w:p>
      <w:pPr>
        <w:pStyle w:val="Heading2"/>
        <w:spacing w:after="100" w:before="200"/>
      </w:pPr>
      <w:r>
        <w:rPr>
          <w:rFonts w:ascii="Barlow Semi Condensed" w:cs="Barlow Semi Condensed" w:eastAsia="Barlow Semi Condensed" w:hAnsi="Barlow Semi Condensed"/>
          <w:sz w:val="24"/>
          <w:szCs w:val="24"/>
        </w:rPr>
        <w:t xml:space="preserve">Dalla prima all'ultima: gli indirizzi citati nell'opera, in ordine di apparizione</w:t>
      </w:r>
    </w:p>
    <w:p>
      <w:pPr>
        <w:pBdr>
          <w:left w:val="single" w:color="1F3864" w:sz="18" w:space="8"/>
        </w:pBdr>
        <w:spacing w:after="80" w:before="80"/>
        <w:ind w:left="360" w:right="360"/>
        <w:jc w:val="both"/>
      </w:pPr>
      <w:r>
        <w:rPr>
          <w:rFonts w:ascii="Barlow Semi Condensed" w:cs="Barlow Semi Condensed" w:eastAsia="Barlow Semi Condensed" w:hAnsi="Barlow Semi Condensed"/>
          <w:b/>
          <w:bCs/>
          <w:i w:val="false"/>
          <w:iCs w:val="false"/>
          <w:sz w:val="24"/>
          <w:szCs w:val="24"/>
        </w:rPr>
        <w:t xml:space="preserve">Statuto dell'apparato.</w:t>
      </w:r>
      <w:r>
        <w:rPr>
          <w:rFonts w:ascii="Barlow Semi Condensed" w:cs="Barlow Semi Condensed" w:eastAsia="Barlow Semi Condensed" w:hAnsi="Barlow Semi Condensed"/>
          <w:i w:val="false"/>
          <w:iCs w:val="false"/>
          <w:sz w:val="24"/>
          <w:szCs w:val="24"/>
        </w:rPr>
        <w:t xml:space="preserve"> Questo apparato conclusivo raccoglie </w:t>
      </w:r>
      <w:r>
        <w:rPr>
          <w:rFonts w:ascii="Barlow Semi Condensed" w:cs="Barlow Semi Condensed" w:eastAsia="Barlow Semi Condensed" w:hAnsi="Barlow Semi Condensed"/>
          <w:b/>
          <w:bCs/>
          <w:i w:val="false"/>
          <w:iCs w:val="false"/>
          <w:sz w:val="24"/>
          <w:szCs w:val="24"/>
        </w:rPr>
        <w:t xml:space="preserve">tutte le note bibliografiche con indirizzo</w:t>
      </w:r>
      <w:r>
        <w:rPr>
          <w:rFonts w:ascii="Barlow Semi Condensed" w:cs="Barlow Semi Condensed" w:eastAsia="Barlow Semi Condensed" w:hAnsi="Barlow Semi Condensed"/>
          <w:i w:val="false"/>
          <w:iCs w:val="false"/>
          <w:sz w:val="24"/>
          <w:szCs w:val="24"/>
        </w:rPr>
        <w:t xml:space="preserve"> dell'opera integrale — 685 indirizzi distinti per 1029 citazioni complessive — numerate </w:t>
      </w:r>
      <w:r>
        <w:rPr>
          <w:rFonts w:ascii="Barlow Semi Condensed" w:cs="Barlow Semi Condensed" w:eastAsia="Barlow Semi Condensed" w:hAnsi="Barlow Semi Condensed"/>
          <w:b/>
          <w:bCs/>
          <w:i w:val="false"/>
          <w:iCs w:val="false"/>
          <w:sz w:val="24"/>
          <w:szCs w:val="24"/>
        </w:rPr>
        <w:t xml:space="preserve">dalla prima all'ultima nell'ordine di apparizione</w:t>
      </w:r>
      <w:r>
        <w:rPr>
          <w:rFonts w:ascii="Barlow Semi Condensed" w:cs="Barlow Semi Condensed" w:eastAsia="Barlow Semi Condensed" w:hAnsi="Barlow Semi Condensed"/>
          <w:i w:val="false"/>
          <w:iCs w:val="false"/>
          <w:sz w:val="24"/>
          <w:szCs w:val="24"/>
        </w:rPr>
        <w:t xml:space="preserve"> lungo i trentacinque capitoli, ciascuna registrata sotto il capitolo della sua prima citazione (le citazioni ripetute sono contate, non duplicate). Vi compaiono sia gli indirizzi in collegamento pieno sia quelli citati in forma d'indirizzo semplice, come l'opera li riporta «per la tracciabilità». L'apparato è generato meccanicamente dai testi e si rigenera con essi: non è una bibliografia selettiva ma il censimento integrale degli indirizzi dell'opera — la sua impronta documentale.</w:t>
      </w:r>
    </w:p>
    <w:p>
      <w:pPr>
        <w:pStyle w:val="Heading3"/>
        <w:spacing w:after="80" w:before="160"/>
      </w:pPr>
      <w:r>
        <w:rPr>
          <w:rFonts w:ascii="Barlow Semi Condensed" w:cs="Barlow Semi Condensed" w:eastAsia="Barlow Semi Condensed" w:hAnsi="Barlow Semi Condensed"/>
          <w:sz w:val="24"/>
          <w:szCs w:val="24"/>
        </w:rPr>
        <w:t xml:space="preserve">Portale — L'edizione strutturata</w:t>
      </w:r>
    </w:p>
    <w:p>
      <w:pPr>
        <w:spacing w:after="120" w:line="276"/>
        <w:jc w:val="both"/>
      </w:pPr>
      <w:r>
        <w:rPr>
          <w:rFonts w:ascii="Barlow Semi Condensed" w:cs="Barlow Semi Condensed" w:eastAsia="Barlow Semi Condensed" w:hAnsi="Barlow Semi Condensed"/>
          <w:b/>
          <w:bCs/>
          <w:sz w:val="24"/>
          <w:szCs w:val="24"/>
        </w:rPr>
        <w:t xml:space="preserve">1.</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aldomorodigitale.unibo.it</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(citato in forma d'indirizzo, 18 volte)</w:t>
      </w:r>
    </w:p>
    <w:p>
      <w:pPr>
        <w:spacing w:after="120" w:line="276"/>
        <w:jc w:val="both"/>
      </w:pPr>
      <w:r>
        <w:rPr>
          <w:rFonts w:ascii="Barlow Semi Condensed" w:cs="Barlow Semi Condensed" w:eastAsia="Barlow Semi Condensed" w:hAnsi="Barlow Semi Condensed"/>
          <w:b/>
          <w:bCs/>
          <w:sz w:val="24"/>
          <w:szCs w:val="24"/>
        </w:rPr>
        <w:t xml:space="preserve">2.</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history.state.gov</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(citato in forma d'indirizzo, 4 volte)</w:t>
      </w:r>
    </w:p>
    <w:p>
      <w:pPr>
        <w:spacing w:after="120" w:line="276"/>
        <w:jc w:val="both"/>
      </w:pPr>
      <w:r>
        <w:rPr>
          <w:rFonts w:ascii="Barlow Semi Condensed" w:cs="Barlow Semi Condensed" w:eastAsia="Barlow Semi Condensed" w:hAnsi="Barlow Semi Condensed"/>
          <w:b/>
          <w:bCs/>
          <w:sz w:val="24"/>
          <w:szCs w:val="24"/>
        </w:rPr>
        <w:t xml:space="preserve">3.</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esteri.it</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(citato in forma d'indirizzo, 6 volte)</w:t>
      </w:r>
    </w:p>
    <w:p>
      <w:pPr>
        <w:pStyle w:val="Heading3"/>
        <w:spacing w:after="80" w:before="160"/>
      </w:pPr>
      <w:r>
        <w:rPr>
          <w:rFonts w:ascii="Barlow Semi Condensed" w:cs="Barlow Semi Condensed" w:eastAsia="Barlow Semi Condensed" w:hAnsi="Barlow Semi Condensed"/>
          <w:sz w:val="24"/>
          <w:szCs w:val="24"/>
        </w:rPr>
        <w:t xml:space="preserve">Libro primo — Il ritratto</w:t>
      </w:r>
    </w:p>
    <w:p>
      <w:pPr>
        <w:spacing w:after="120" w:line="276"/>
        <w:jc w:val="both"/>
      </w:pPr>
      <w:r>
        <w:rPr>
          <w:rFonts w:ascii="Barlow Semi Condensed" w:cs="Barlow Semi Condensed" w:eastAsia="Barlow Semi Condensed" w:hAnsi="Barlow Semi Condensed"/>
          <w:b/>
          <w:bCs/>
          <w:sz w:val="24"/>
          <w:szCs w:val="24"/>
        </w:rPr>
        <w:t xml:space="preserve">4.</w:t>
      </w:r>
      <w:r>
        <w:rPr>
          <w:rFonts w:ascii="Barlow Semi Condensed" w:cs="Barlow Semi Condensed" w:eastAsia="Barlow Semi Condensed" w:hAnsi="Barlow Semi Condensed"/>
          <w:sz w:val="24"/>
          <w:szCs w:val="24"/>
        </w:rPr>
        <w:t xml:space="preserve"> Treccani, «Aldo Moro» — https://www.treccani.it/enciclopedia/aldo-moro/ (https://www.treccani.it/enciclopedia/aldo-moro/) </w:t>
      </w:r>
      <w:r>
        <w:rPr>
          <w:rFonts w:ascii="Barlow Semi Condensed" w:cs="Barlow Semi Condensed" w:eastAsia="Barlow Semi Condensed" w:hAnsi="Barlow Semi Condensed"/>
          <w:i/>
          <w:iCs/>
          <w:sz w:val="24"/>
          <w:szCs w:val="24"/>
        </w:rPr>
        <w:t xml:space="preserve">(citato 2 volte)</w:t>
      </w:r>
    </w:p>
    <w:p>
      <w:pPr>
        <w:spacing w:after="120" w:line="276"/>
        <w:jc w:val="both"/>
      </w:pPr>
      <w:r>
        <w:rPr>
          <w:rFonts w:ascii="Barlow Semi Condensed" w:cs="Barlow Semi Condensed" w:eastAsia="Barlow Semi Condensed" w:hAnsi="Barlow Semi Condensed"/>
          <w:b/>
          <w:bCs/>
          <w:sz w:val="24"/>
          <w:szCs w:val="24"/>
        </w:rPr>
        <w:t xml:space="preserve">5.</w:t>
      </w:r>
      <w:r>
        <w:rPr>
          <w:rFonts w:ascii="Barlow Semi Condensed" w:cs="Barlow Semi Condensed" w:eastAsia="Barlow Semi Condensed" w:hAnsi="Barlow Semi Condensed"/>
          <w:sz w:val="24"/>
          <w:szCs w:val="24"/>
        </w:rPr>
        <w:t xml:space="preserve"> Il progetto politico di Aldo Moro dalla Costituente alla Terza Fase, Piretti — http://www.accademiaaldomoro.org/attivita/trentennale/ConvegnoVarie/Relazioni/Piretti.pdf (http://www.accademiaaldomoro.org/attivita/trentennale/ConvegnoVarie/Relazioni/Piretti.pdf) </w:t>
      </w:r>
      <w:r>
        <w:rPr>
          <w:rFonts w:ascii="Barlow Semi Condensed" w:cs="Barlow Semi Condensed" w:eastAsia="Barlow Semi Condensed" w:hAnsi="Barlow Semi Condensed"/>
          <w:i/>
          <w:iCs/>
          <w:sz w:val="24"/>
          <w:szCs w:val="24"/>
        </w:rPr>
        <w:t xml:space="preserve">(citato 2 volte)</w:t>
      </w:r>
    </w:p>
    <w:p>
      <w:pPr>
        <w:pStyle w:val="Heading3"/>
        <w:spacing w:after="80" w:before="160"/>
      </w:pPr>
      <w:r>
        <w:rPr>
          <w:rFonts w:ascii="Barlow Semi Condensed" w:cs="Barlow Semi Condensed" w:eastAsia="Barlow Semi Condensed" w:hAnsi="Barlow Semi Condensed"/>
          <w:sz w:val="24"/>
          <w:szCs w:val="24"/>
        </w:rPr>
        <w:t xml:space="preserve">Libro secondo — Dal Che a Moro</w:t>
      </w:r>
    </w:p>
    <w:p>
      <w:pPr>
        <w:spacing w:after="120" w:line="276"/>
        <w:jc w:val="both"/>
      </w:pPr>
      <w:r>
        <w:rPr>
          <w:rFonts w:ascii="Barlow Semi Condensed" w:cs="Barlow Semi Condensed" w:eastAsia="Barlow Semi Condensed" w:hAnsi="Barlow Semi Condensed"/>
          <w:i/>
          <w:iCs/>
          <w:sz w:val="24"/>
          <w:szCs w:val="24"/>
        </w:rPr>
        <w:t xml:space="preserve">Capitolo senza citazioni in forma d'indirizzo: le sue fonti sono richiamate per titolo e rango nei documenti del corpus (si vedano la bibliografia critica e l'apparato dei gradi).</w:t>
      </w:r>
    </w:p>
    <w:p>
      <w:pPr>
        <w:pStyle w:val="Heading3"/>
        <w:spacing w:after="80" w:before="160"/>
      </w:pPr>
      <w:r>
        <w:rPr>
          <w:rFonts w:ascii="Barlow Semi Condensed" w:cs="Barlow Semi Condensed" w:eastAsia="Barlow Semi Condensed" w:hAnsi="Barlow Semi Condensed"/>
          <w:sz w:val="24"/>
          <w:szCs w:val="24"/>
        </w:rPr>
        <w:t xml:space="preserve">Libro terzo · I — Origini ed esilio</w:t>
      </w:r>
    </w:p>
    <w:p>
      <w:pPr>
        <w:spacing w:after="120" w:line="276"/>
        <w:jc w:val="both"/>
      </w:pPr>
      <w:r>
        <w:rPr>
          <w:rFonts w:ascii="Barlow Semi Condensed" w:cs="Barlow Semi Condensed" w:eastAsia="Barlow Semi Condensed" w:hAnsi="Barlow Semi Condensed"/>
          <w:i/>
          <w:iCs/>
          <w:sz w:val="24"/>
          <w:szCs w:val="24"/>
        </w:rPr>
        <w:t xml:space="preserve">Capitolo senza citazioni in forma d'indirizzo: le sue fonti sono richiamate per titolo e rango nei documenti del corpus (si vedano la bibliografia critica e l'apparato dei gradi).</w:t>
      </w:r>
    </w:p>
    <w:p>
      <w:pPr>
        <w:pStyle w:val="Heading3"/>
        <w:spacing w:after="80" w:before="160"/>
      </w:pPr>
      <w:r>
        <w:rPr>
          <w:rFonts w:ascii="Barlow Semi Condensed" w:cs="Barlow Semi Condensed" w:eastAsia="Barlow Semi Condensed" w:hAnsi="Barlow Semi Condensed"/>
          <w:sz w:val="24"/>
          <w:szCs w:val="24"/>
        </w:rPr>
        <w:t xml:space="preserve">Libro terzo · II — Dal Messico all'Avana</w:t>
      </w:r>
    </w:p>
    <w:p>
      <w:pPr>
        <w:spacing w:after="120" w:line="276"/>
        <w:jc w:val="both"/>
      </w:pPr>
      <w:r>
        <w:rPr>
          <w:rFonts w:ascii="Barlow Semi Condensed" w:cs="Barlow Semi Condensed" w:eastAsia="Barlow Semi Condensed" w:hAnsi="Barlow Semi Condensed"/>
          <w:i/>
          <w:iCs/>
          <w:sz w:val="24"/>
          <w:szCs w:val="24"/>
        </w:rPr>
        <w:t xml:space="preserve">Capitolo senza citazioni in forma d'indirizzo: le sue fonti sono richiamate per titolo e rango nei documenti del corpus (si vedano la bibliografia critica e l'apparato dei gradi).</w:t>
      </w:r>
    </w:p>
    <w:p>
      <w:pPr>
        <w:pStyle w:val="Heading3"/>
        <w:spacing w:after="80" w:before="160"/>
      </w:pPr>
      <w:r>
        <w:rPr>
          <w:rFonts w:ascii="Barlow Semi Condensed" w:cs="Barlow Semi Condensed" w:eastAsia="Barlow Semi Condensed" w:hAnsi="Barlow Semi Condensed"/>
          <w:sz w:val="24"/>
          <w:szCs w:val="24"/>
        </w:rPr>
        <w:t xml:space="preserve">Libro terzo · III — Da Mosca alla Bolivia</w:t>
      </w:r>
    </w:p>
    <w:p>
      <w:pPr>
        <w:spacing w:after="120" w:line="276"/>
        <w:jc w:val="both"/>
      </w:pPr>
      <w:r>
        <w:rPr>
          <w:rFonts w:ascii="Barlow Semi Condensed" w:cs="Barlow Semi Condensed" w:eastAsia="Barlow Semi Condensed" w:hAnsi="Barlow Semi Condensed"/>
          <w:b/>
          <w:bCs/>
          <w:sz w:val="24"/>
          <w:szCs w:val="24"/>
        </w:rPr>
        <w:t xml:space="preserve">6.</w:t>
      </w:r>
      <w:r>
        <w:rPr>
          <w:rFonts w:ascii="Barlow Semi Condensed" w:cs="Barlow Semi Condensed" w:eastAsia="Barlow Semi Condensed" w:hAnsi="Barlow Semi Condensed"/>
          <w:sz w:val="24"/>
          <w:szCs w:val="24"/>
        </w:rPr>
        <w:t xml:space="preserve"> en.wikipedia.org/wiki/che_guevara (https://en.wikipedia.org/wiki/Che_Guevara)</w:t>
      </w:r>
    </w:p>
    <w:p>
      <w:pPr>
        <w:spacing w:after="120" w:line="276"/>
        <w:jc w:val="both"/>
      </w:pPr>
      <w:r>
        <w:rPr>
          <w:rFonts w:ascii="Barlow Semi Condensed" w:cs="Barlow Semi Condensed" w:eastAsia="Barlow Semi Condensed" w:hAnsi="Barlow Semi Condensed"/>
          <w:b/>
          <w:bCs/>
          <w:sz w:val="24"/>
          <w:szCs w:val="24"/>
        </w:rPr>
        <w:t xml:space="preserve">7.</w:t>
      </w:r>
      <w:r>
        <w:rPr>
          <w:rFonts w:ascii="Barlow Semi Condensed" w:cs="Barlow Semi Condensed" w:eastAsia="Barlow Semi Condensed" w:hAnsi="Barlow Semi Condensed"/>
          <w:sz w:val="24"/>
          <w:szCs w:val="24"/>
        </w:rPr>
        <w:t xml:space="preserve"> Marxists Internet Archive — https://www.marxists.org/archive/guevara/1964/12/11-alt.htm (https://www.marxists.org/archive/guevara/1964/12/11-alt.htm) </w:t>
      </w:r>
      <w:r>
        <w:rPr>
          <w:rFonts w:ascii="Barlow Semi Condensed" w:cs="Barlow Semi Condensed" w:eastAsia="Barlow Semi Condensed" w:hAnsi="Barlow Semi Condensed"/>
          <w:i/>
          <w:iCs/>
          <w:sz w:val="24"/>
          <w:szCs w:val="24"/>
        </w:rPr>
        <w:t xml:space="preserve">(citato 2 volte)</w:t>
      </w:r>
    </w:p>
    <w:p>
      <w:pPr>
        <w:spacing w:after="120" w:line="276"/>
        <w:jc w:val="both"/>
      </w:pPr>
      <w:r>
        <w:rPr>
          <w:rFonts w:ascii="Barlow Semi Condensed" w:cs="Barlow Semi Condensed" w:eastAsia="Barlow Semi Condensed" w:hAnsi="Barlow Semi Condensed"/>
          <w:b/>
          <w:bCs/>
          <w:sz w:val="24"/>
          <w:szCs w:val="24"/>
        </w:rPr>
        <w:t xml:space="preserve">8.</w:t>
      </w:r>
      <w:r>
        <w:rPr>
          <w:rFonts w:ascii="Barlow Semi Condensed" w:cs="Barlow Semi Condensed" w:eastAsia="Barlow Semi Condensed" w:hAnsi="Barlow Semi Condensed"/>
          <w:sz w:val="24"/>
          <w:szCs w:val="24"/>
        </w:rPr>
        <w:t xml:space="preserve"> Smithsonian Folkways — https://folkways.si.edu/che-guevara/speech-at-the-united-nations-general-assembly-december-11-1964-19th-assembly/caribbean-oral-history-biography-world-history/track/smithsonian (https://folkways.si.edu/che-guevara/speech-at-the-united-nations-general-assembly-december-11-1964-19th-assembly/caribbean-oral-history-biography-world-history/track/smithsonian) </w:t>
      </w:r>
      <w:r>
        <w:rPr>
          <w:rFonts w:ascii="Barlow Semi Condensed" w:cs="Barlow Semi Condensed" w:eastAsia="Barlow Semi Condensed" w:hAnsi="Barlow Semi Condensed"/>
          <w:i/>
          <w:iCs/>
          <w:sz w:val="24"/>
          <w:szCs w:val="24"/>
        </w:rPr>
        <w:t xml:space="preserve">(citato 2 volte)</w:t>
      </w:r>
    </w:p>
    <w:p>
      <w:pPr>
        <w:spacing w:after="120" w:line="276"/>
        <w:jc w:val="both"/>
      </w:pPr>
      <w:r>
        <w:rPr>
          <w:rFonts w:ascii="Barlow Semi Condensed" w:cs="Barlow Semi Condensed" w:eastAsia="Barlow Semi Condensed" w:hAnsi="Barlow Semi Condensed"/>
          <w:b/>
          <w:bCs/>
          <w:sz w:val="24"/>
          <w:szCs w:val="24"/>
        </w:rPr>
        <w:t xml:space="preserve">9.</w:t>
      </w:r>
      <w:r>
        <w:rPr>
          <w:rFonts w:ascii="Barlow Semi Condensed" w:cs="Barlow Semi Condensed" w:eastAsia="Barlow Semi Condensed" w:hAnsi="Barlow Semi Condensed"/>
          <w:sz w:val="24"/>
          <w:szCs w:val="24"/>
        </w:rPr>
        <w:t xml:space="preserve"> CBS News, «60 anni di Face the Nation» — https://www.cbsnews.com/pictures/60-years-of-face-the-nation/ (https://www.cbsnews.com/pictures/60-years-of-face-the-nation/) </w:t>
      </w:r>
      <w:r>
        <w:rPr>
          <w:rFonts w:ascii="Barlow Semi Condensed" w:cs="Barlow Semi Condensed" w:eastAsia="Barlow Semi Condensed" w:hAnsi="Barlow Semi Condensed"/>
          <w:i/>
          <w:iCs/>
          <w:sz w:val="24"/>
          <w:szCs w:val="24"/>
        </w:rPr>
        <w:t xml:space="preserve">(citato 2 volte)</w:t>
      </w:r>
    </w:p>
    <w:p>
      <w:pPr>
        <w:spacing w:after="120" w:line="276"/>
        <w:jc w:val="both"/>
      </w:pPr>
      <w:r>
        <w:rPr>
          <w:rFonts w:ascii="Barlow Semi Condensed" w:cs="Barlow Semi Condensed" w:eastAsia="Barlow Semi Condensed" w:hAnsi="Barlow Semi Condensed"/>
          <w:b/>
          <w:bCs/>
          <w:sz w:val="24"/>
          <w:szCs w:val="24"/>
        </w:rPr>
        <w:t xml:space="preserve">10.</w:t>
      </w:r>
      <w:r>
        <w:rPr>
          <w:rFonts w:ascii="Barlow Semi Condensed" w:cs="Barlow Semi Condensed" w:eastAsia="Barlow Semi Condensed" w:hAnsi="Barlow Semi Condensed"/>
          <w:sz w:val="24"/>
          <w:szCs w:val="24"/>
        </w:rPr>
        <w:t xml:space="preserve"> themilitant.com/2010/7407/740750.html (https://www.themilitant.com/2010/7407/740750.html) </w:t>
      </w:r>
      <w:r>
        <w:rPr>
          <w:rFonts w:ascii="Barlow Semi Condensed" w:cs="Barlow Semi Condensed" w:eastAsia="Barlow Semi Condensed" w:hAnsi="Barlow Semi Condensed"/>
          <w:i/>
          <w:iCs/>
          <w:sz w:val="24"/>
          <w:szCs w:val="24"/>
        </w:rPr>
        <w:t xml:space="preserve">(citato 3 volte)</w:t>
      </w:r>
    </w:p>
    <w:p>
      <w:pPr>
        <w:spacing w:after="120" w:line="276"/>
        <w:jc w:val="both"/>
      </w:pPr>
      <w:r>
        <w:rPr>
          <w:rFonts w:ascii="Barlow Semi Condensed" w:cs="Barlow Semi Condensed" w:eastAsia="Barlow Semi Condensed" w:hAnsi="Barlow Semi Condensed"/>
          <w:b/>
          <w:bCs/>
          <w:sz w:val="24"/>
          <w:szCs w:val="24"/>
        </w:rPr>
        <w:t xml:space="preserve">11.</w:t>
      </w:r>
      <w:r>
        <w:rPr>
          <w:rFonts w:ascii="Barlow Semi Condensed" w:cs="Barlow Semi Condensed" w:eastAsia="Barlow Semi Condensed" w:hAnsi="Barlow Semi Condensed"/>
          <w:sz w:val="24"/>
          <w:szCs w:val="24"/>
        </w:rPr>
        <w:t xml:space="preserve"> thecitizen.in/index.php/en/newsdetail/index/1/1826/the-first-terrorist-… (https://www.thecitizen.in/index.php/en/NewsDetail/index/1/1826/The-First-Terrorist-Attack-on-the-UN-was-Against-Che-Guevera) </w:t>
      </w:r>
      <w:r>
        <w:rPr>
          <w:rFonts w:ascii="Barlow Semi Condensed" w:cs="Barlow Semi Condensed" w:eastAsia="Barlow Semi Condensed" w:hAnsi="Barlow Semi Condensed"/>
          <w:i/>
          <w:iCs/>
          <w:sz w:val="24"/>
          <w:szCs w:val="24"/>
        </w:rPr>
        <w:t xml:space="preserve">(citato 4 volte)</w:t>
      </w:r>
    </w:p>
    <w:p>
      <w:pPr>
        <w:spacing w:after="120" w:line="276"/>
        <w:jc w:val="both"/>
      </w:pPr>
      <w:r>
        <w:rPr>
          <w:rFonts w:ascii="Barlow Semi Condensed" w:cs="Barlow Semi Condensed" w:eastAsia="Barlow Semi Condensed" w:hAnsi="Barlow Semi Condensed"/>
          <w:b/>
          <w:bCs/>
          <w:sz w:val="24"/>
          <w:szCs w:val="24"/>
        </w:rPr>
        <w:t xml:space="preserve">12.</w:t>
      </w:r>
      <w:r>
        <w:rPr>
          <w:rFonts w:ascii="Barlow Semi Condensed" w:cs="Barlow Semi Condensed" w:eastAsia="Barlow Semi Condensed" w:hAnsi="Barlow Semi Condensed"/>
          <w:sz w:val="24"/>
          <w:szCs w:val="24"/>
        </w:rPr>
        <w:t xml:space="preserve"> Wikipedia — https://it.wikipedia.org/wiki/Che_Guevara (https://it.wikipedia.org/wiki/Che_Guevara) </w:t>
      </w:r>
      <w:r>
        <w:rPr>
          <w:rFonts w:ascii="Barlow Semi Condensed" w:cs="Barlow Semi Condensed" w:eastAsia="Barlow Semi Condensed" w:hAnsi="Barlow Semi Condensed"/>
          <w:i/>
          <w:iCs/>
          <w:sz w:val="24"/>
          <w:szCs w:val="24"/>
        </w:rPr>
        <w:t xml:space="preserve">(citato 4 volte)</w:t>
      </w:r>
    </w:p>
    <w:p>
      <w:pPr>
        <w:spacing w:after="120" w:line="276"/>
        <w:jc w:val="both"/>
      </w:pPr>
      <w:r>
        <w:rPr>
          <w:rFonts w:ascii="Barlow Semi Condensed" w:cs="Barlow Semi Condensed" w:eastAsia="Barlow Semi Condensed" w:hAnsi="Barlow Semi Condensed"/>
          <w:b/>
          <w:bCs/>
          <w:sz w:val="24"/>
          <w:szCs w:val="24"/>
        </w:rPr>
        <w:t xml:space="preserve">13.</w:t>
      </w:r>
      <w:r>
        <w:rPr>
          <w:rFonts w:ascii="Barlow Semi Condensed" w:cs="Barlow Semi Condensed" w:eastAsia="Barlow Semi Condensed" w:hAnsi="Barlow Semi Condensed"/>
          <w:sz w:val="24"/>
          <w:szCs w:val="24"/>
        </w:rPr>
        <w:t xml:space="preserve"> tandfonline.com/doi/full/10.1080/14747731.2022.2066055 (https://www.tandfonline.com/doi/full/10.1080/14747731.2022.2066055) </w:t>
      </w:r>
      <w:r>
        <w:rPr>
          <w:rFonts w:ascii="Barlow Semi Condensed" w:cs="Barlow Semi Condensed" w:eastAsia="Barlow Semi Condensed" w:hAnsi="Barlow Semi Condensed"/>
          <w:i/>
          <w:iCs/>
          <w:sz w:val="24"/>
          <w:szCs w:val="24"/>
        </w:rPr>
        <w:t xml:space="preserve">(citato 2 volte)</w:t>
      </w:r>
    </w:p>
    <w:p>
      <w:pPr>
        <w:spacing w:after="120" w:line="276"/>
        <w:jc w:val="both"/>
      </w:pPr>
      <w:r>
        <w:rPr>
          <w:rFonts w:ascii="Barlow Semi Condensed" w:cs="Barlow Semi Condensed" w:eastAsia="Barlow Semi Condensed" w:hAnsi="Barlow Semi Condensed"/>
          <w:b/>
          <w:bCs/>
          <w:sz w:val="24"/>
          <w:szCs w:val="24"/>
        </w:rPr>
        <w:t xml:space="preserve">14.</w:t>
      </w:r>
      <w:r>
        <w:rPr>
          <w:rFonts w:ascii="Barlow Semi Condensed" w:cs="Barlow Semi Condensed" w:eastAsia="Barlow Semi Condensed" w:hAnsi="Barlow Semi Condensed"/>
          <w:sz w:val="24"/>
          <w:szCs w:val="24"/>
        </w:rPr>
        <w:t xml:space="preserve"> Jacobin, «Che Guevara in the Congo» — https://jacobin.com/2017/04/che-guevara-cuba-castro-congo-patrice-lumumba-colonialism (https://jacobin.com/2017/04/che-guevara-cuba-castro-congo-patrice-lumumba-colonialism) </w:t>
      </w:r>
      <w:r>
        <w:rPr>
          <w:rFonts w:ascii="Barlow Semi Condensed" w:cs="Barlow Semi Condensed" w:eastAsia="Barlow Semi Condensed" w:hAnsi="Barlow Semi Condensed"/>
          <w:i/>
          <w:iCs/>
          <w:sz w:val="24"/>
          <w:szCs w:val="24"/>
        </w:rPr>
        <w:t xml:space="preserve">(citato 5 volte)</w:t>
      </w:r>
    </w:p>
    <w:p>
      <w:pPr>
        <w:spacing w:after="120" w:line="276"/>
        <w:jc w:val="both"/>
      </w:pPr>
      <w:r>
        <w:rPr>
          <w:rFonts w:ascii="Barlow Semi Condensed" w:cs="Barlow Semi Condensed" w:eastAsia="Barlow Semi Condensed" w:hAnsi="Barlow Semi Condensed"/>
          <w:b/>
          <w:bCs/>
          <w:sz w:val="24"/>
          <w:szCs w:val="24"/>
        </w:rPr>
        <w:t xml:space="preserve">15.</w:t>
      </w:r>
      <w:r>
        <w:rPr>
          <w:rFonts w:ascii="Barlow Semi Condensed" w:cs="Barlow Semi Condensed" w:eastAsia="Barlow Semi Condensed" w:hAnsi="Barlow Semi Condensed"/>
          <w:sz w:val="24"/>
          <w:szCs w:val="24"/>
        </w:rPr>
        <w:t xml:space="preserve"> ROAPE — https://roape.net/2017/04/05/che-guevara-congo/ (https://roape.net/2017/04/05/che-guevara-congo/) </w:t>
      </w:r>
      <w:r>
        <w:rPr>
          <w:rFonts w:ascii="Barlow Semi Condensed" w:cs="Barlow Semi Condensed" w:eastAsia="Barlow Semi Condensed" w:hAnsi="Barlow Semi Condensed"/>
          <w:i/>
          <w:iCs/>
          <w:sz w:val="24"/>
          <w:szCs w:val="24"/>
        </w:rPr>
        <w:t xml:space="preserve">(citato 4 volte)</w:t>
      </w:r>
    </w:p>
    <w:p>
      <w:pPr>
        <w:spacing w:after="120" w:line="276"/>
        <w:jc w:val="both"/>
      </w:pPr>
      <w:r>
        <w:rPr>
          <w:rFonts w:ascii="Barlow Semi Condensed" w:cs="Barlow Semi Condensed" w:eastAsia="Barlow Semi Condensed" w:hAnsi="Barlow Semi Condensed"/>
          <w:b/>
          <w:bCs/>
          <w:sz w:val="24"/>
          <w:szCs w:val="24"/>
        </w:rPr>
        <w:t xml:space="preserve">16.</w:t>
      </w:r>
      <w:r>
        <w:rPr>
          <w:rFonts w:ascii="Barlow Semi Condensed" w:cs="Barlow Semi Condensed" w:eastAsia="Barlow Semi Condensed" w:hAnsi="Barlow Semi Condensed"/>
          <w:sz w:val="24"/>
          <w:szCs w:val="24"/>
        </w:rPr>
        <w:t xml:space="preserve"> revista.drclas.harvard.edu/latin-american-revolutionaries-and-the-arab-… (https://revista.drclas.harvard.edu/latin-american-revolutionaries-and-the-arab-world/) </w:t>
      </w:r>
      <w:r>
        <w:rPr>
          <w:rFonts w:ascii="Barlow Semi Condensed" w:cs="Barlow Semi Condensed" w:eastAsia="Barlow Semi Condensed" w:hAnsi="Barlow Semi Condensed"/>
          <w:i/>
          <w:iCs/>
          <w:sz w:val="24"/>
          <w:szCs w:val="24"/>
        </w:rPr>
        <w:t xml:space="preserve">(citato 3 volte)</w:t>
      </w:r>
    </w:p>
    <w:p>
      <w:pPr>
        <w:spacing w:after="120" w:line="276"/>
        <w:jc w:val="both"/>
      </w:pPr>
      <w:r>
        <w:rPr>
          <w:rFonts w:ascii="Barlow Semi Condensed" w:cs="Barlow Semi Condensed" w:eastAsia="Barlow Semi Condensed" w:hAnsi="Barlow Semi Condensed"/>
          <w:b/>
          <w:bCs/>
          <w:sz w:val="24"/>
          <w:szCs w:val="24"/>
        </w:rPr>
        <w:t xml:space="preserve">17.</w:t>
      </w:r>
      <w:r>
        <w:rPr>
          <w:rFonts w:ascii="Barlow Semi Condensed" w:cs="Barlow Semi Condensed" w:eastAsia="Barlow Semi Condensed" w:hAnsi="Barlow Semi Condensed"/>
          <w:sz w:val="24"/>
          <w:szCs w:val="24"/>
        </w:rPr>
        <w:t xml:space="preserve"> Marxists Internet Archive — https://www.marxists.org/archive/guevara/1965/02/24.htm (https://www.marxists.org/archive/guevara/1965/02/24.htm) </w:t>
      </w:r>
      <w:r>
        <w:rPr>
          <w:rFonts w:ascii="Barlow Semi Condensed" w:cs="Barlow Semi Condensed" w:eastAsia="Barlow Semi Condensed" w:hAnsi="Barlow Semi Condensed"/>
          <w:i/>
          <w:iCs/>
          <w:sz w:val="24"/>
          <w:szCs w:val="24"/>
        </w:rPr>
        <w:t xml:space="preserve">(citato 4 volte)</w:t>
      </w:r>
    </w:p>
    <w:p>
      <w:pPr>
        <w:spacing w:after="120" w:line="276"/>
        <w:jc w:val="both"/>
      </w:pPr>
      <w:r>
        <w:rPr>
          <w:rFonts w:ascii="Barlow Semi Condensed" w:cs="Barlow Semi Condensed" w:eastAsia="Barlow Semi Condensed" w:hAnsi="Barlow Semi Condensed"/>
          <w:b/>
          <w:bCs/>
          <w:sz w:val="24"/>
          <w:szCs w:val="24"/>
        </w:rPr>
        <w:t xml:space="preserve">18.</w:t>
      </w:r>
      <w:r>
        <w:rPr>
          <w:rFonts w:ascii="Barlow Semi Condensed" w:cs="Barlow Semi Condensed" w:eastAsia="Barlow Semi Condensed" w:hAnsi="Barlow Semi Condensed"/>
          <w:sz w:val="24"/>
          <w:szCs w:val="24"/>
        </w:rPr>
        <w:t xml:space="preserve"> Marxists Internet Archive — https://www.marxists.org/archive/guevara/1965/04/01.htm (https://www.marxists.org/archive/guevara/1965/04/01.htm) </w:t>
      </w:r>
      <w:r>
        <w:rPr>
          <w:rFonts w:ascii="Barlow Semi Condensed" w:cs="Barlow Semi Condensed" w:eastAsia="Barlow Semi Condensed" w:hAnsi="Barlow Semi Condensed"/>
          <w:i/>
          <w:iCs/>
          <w:sz w:val="24"/>
          <w:szCs w:val="24"/>
        </w:rPr>
        <w:t xml:space="preserve">(citato 2 volte)</w:t>
      </w:r>
    </w:p>
    <w:p>
      <w:pPr>
        <w:spacing w:after="120" w:line="276"/>
        <w:jc w:val="both"/>
      </w:pPr>
      <w:r>
        <w:rPr>
          <w:rFonts w:ascii="Barlow Semi Condensed" w:cs="Barlow Semi Condensed" w:eastAsia="Barlow Semi Condensed" w:hAnsi="Barlow Semi Condensed"/>
          <w:b/>
          <w:bCs/>
          <w:sz w:val="24"/>
          <w:szCs w:val="24"/>
        </w:rPr>
        <w:t xml:space="preserve">19.</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academia.edu</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(citato in forma d'indirizzo)</w:t>
      </w:r>
    </w:p>
    <w:p>
      <w:pPr>
        <w:spacing w:after="120" w:line="276"/>
        <w:jc w:val="both"/>
      </w:pPr>
      <w:r>
        <w:rPr>
          <w:rFonts w:ascii="Barlow Semi Condensed" w:cs="Barlow Semi Condensed" w:eastAsia="Barlow Semi Condensed" w:hAnsi="Barlow Semi Condensed"/>
          <w:b/>
          <w:bCs/>
          <w:sz w:val="24"/>
          <w:szCs w:val="24"/>
        </w:rPr>
        <w:t xml:space="preserve">20.</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rebelion.org</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(citato in forma d'indirizzo, 3 volte)</w:t>
      </w:r>
    </w:p>
    <w:p>
      <w:pPr>
        <w:pStyle w:val="Heading3"/>
        <w:spacing w:after="80" w:before="160"/>
      </w:pPr>
      <w:r>
        <w:rPr>
          <w:rFonts w:ascii="Barlow Semi Condensed" w:cs="Barlow Semi Condensed" w:eastAsia="Barlow Semi Condensed" w:hAnsi="Barlow Semi Condensed"/>
          <w:sz w:val="24"/>
          <w:szCs w:val="24"/>
        </w:rPr>
        <w:t xml:space="preserve">Libro terzo · IV — La campagna boliviana</w:t>
      </w:r>
    </w:p>
    <w:p>
      <w:pPr>
        <w:spacing w:after="120" w:line="276"/>
        <w:jc w:val="both"/>
      </w:pPr>
      <w:r>
        <w:rPr>
          <w:rFonts w:ascii="Barlow Semi Condensed" w:cs="Barlow Semi Condensed" w:eastAsia="Barlow Semi Condensed" w:hAnsi="Barlow Semi Condensed"/>
          <w:i/>
          <w:iCs/>
          <w:sz w:val="24"/>
          <w:szCs w:val="24"/>
        </w:rPr>
        <w:t xml:space="preserve">Capitolo senza citazioni in forma d'indirizzo: le sue fonti sono richiamate per titolo e rango nei documenti del corpus (si vedano la bibliografia critica e l'apparato dei gradi).</w:t>
      </w:r>
    </w:p>
    <w:p>
      <w:pPr>
        <w:pStyle w:val="Heading3"/>
        <w:spacing w:after="80" w:before="160"/>
      </w:pPr>
      <w:r>
        <w:rPr>
          <w:rFonts w:ascii="Barlow Semi Condensed" w:cs="Barlow Semi Condensed" w:eastAsia="Barlow Semi Condensed" w:hAnsi="Barlow Semi Condensed"/>
          <w:sz w:val="24"/>
          <w:szCs w:val="24"/>
        </w:rPr>
        <w:t xml:space="preserve">Libro terzo · V — Bibliografia critica</w:t>
      </w:r>
    </w:p>
    <w:p>
      <w:pPr>
        <w:spacing w:after="120" w:line="276"/>
        <w:jc w:val="both"/>
      </w:pPr>
      <w:r>
        <w:rPr>
          <w:rFonts w:ascii="Barlow Semi Condensed" w:cs="Barlow Semi Condensed" w:eastAsia="Barlow Semi Condensed" w:hAnsi="Barlow Semi Condensed"/>
          <w:b/>
          <w:bCs/>
          <w:sz w:val="24"/>
          <w:szCs w:val="24"/>
        </w:rPr>
        <w:t xml:space="preserve">21.</w:t>
      </w:r>
      <w:r>
        <w:rPr>
          <w:rFonts w:ascii="Barlow Semi Condensed" w:cs="Barlow Semi Condensed" w:eastAsia="Barlow Semi Condensed" w:hAnsi="Barlow Semi Condensed"/>
          <w:sz w:val="24"/>
          <w:szCs w:val="24"/>
        </w:rPr>
        <w:t xml:space="preserve"> Marxists Internet Archive — https://www.marxists.org/archive/guevara/1965/03/man-socialism.htm (https://www.marxists.org/archive/guevara/1965/03/man-socialism.htm)</w:t>
      </w:r>
    </w:p>
    <w:p>
      <w:pPr>
        <w:spacing w:after="120" w:line="276"/>
        <w:jc w:val="both"/>
      </w:pPr>
      <w:r>
        <w:rPr>
          <w:rFonts w:ascii="Barlow Semi Condensed" w:cs="Barlow Semi Condensed" w:eastAsia="Barlow Semi Condensed" w:hAnsi="Barlow Semi Condensed"/>
          <w:b/>
          <w:bCs/>
          <w:sz w:val="24"/>
          <w:szCs w:val="24"/>
        </w:rPr>
        <w:t xml:space="preserve">22.</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uploads.strikinglycdn.com/…golewojobonudo.pdf</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(citato in forma d'indirizzo)</w:t>
      </w:r>
    </w:p>
    <w:p>
      <w:pPr>
        <w:spacing w:after="120" w:line="276"/>
        <w:jc w:val="both"/>
      </w:pPr>
      <w:r>
        <w:rPr>
          <w:rFonts w:ascii="Barlow Semi Condensed" w:cs="Barlow Semi Condensed" w:eastAsia="Barlow Semi Condensed" w:hAnsi="Barlow Semi Condensed"/>
          <w:b/>
          <w:bCs/>
          <w:sz w:val="24"/>
          <w:szCs w:val="24"/>
        </w:rPr>
        <w:t xml:space="preserve">23.</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es.scribd.com/…Lavretski</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(citato in forma d'indirizzo)</w:t>
      </w:r>
    </w:p>
    <w:p>
      <w:pPr>
        <w:spacing w:after="120" w:line="276"/>
        <w:jc w:val="both"/>
      </w:pPr>
      <w:r>
        <w:rPr>
          <w:rFonts w:ascii="Barlow Semi Condensed" w:cs="Barlow Semi Condensed" w:eastAsia="Barlow Semi Condensed" w:hAnsi="Barlow Semi Condensed"/>
          <w:b/>
          <w:bCs/>
          <w:sz w:val="24"/>
          <w:szCs w:val="24"/>
        </w:rPr>
        <w:t xml:space="preserve">24.</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academia.edu/…NICOLÁS_MÁRQUEZ_EL_CANALLA</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(citato in forma d'indirizzo)</w:t>
      </w:r>
    </w:p>
    <w:p>
      <w:pPr>
        <w:spacing w:after="120" w:line="276"/>
        <w:jc w:val="both"/>
      </w:pPr>
      <w:r>
        <w:rPr>
          <w:rFonts w:ascii="Barlow Semi Condensed" w:cs="Barlow Semi Condensed" w:eastAsia="Barlow Semi Condensed" w:hAnsi="Barlow Semi Condensed"/>
          <w:b/>
          <w:bCs/>
          <w:sz w:val="24"/>
          <w:szCs w:val="24"/>
        </w:rPr>
        <w:t xml:space="preserve">25.</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military-history.fandom.com</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(citato in forma d'indirizzo)</w:t>
      </w:r>
    </w:p>
    <w:p>
      <w:pPr>
        <w:spacing w:after="120" w:line="276"/>
        <w:jc w:val="both"/>
      </w:pPr>
      <w:r>
        <w:rPr>
          <w:rFonts w:ascii="Barlow Semi Condensed" w:cs="Barlow Semi Condensed" w:eastAsia="Barlow Semi Condensed" w:hAnsi="Barlow Semi Condensed"/>
          <w:b/>
          <w:bCs/>
          <w:sz w:val="24"/>
          <w:szCs w:val="24"/>
        </w:rPr>
        <w:t xml:space="preserve">26.</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tempofertile.blogspot.com</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(citato in forma d'indirizzo)</w:t>
      </w:r>
    </w:p>
    <w:p>
      <w:pPr>
        <w:spacing w:after="120" w:line="276"/>
        <w:jc w:val="both"/>
      </w:pPr>
      <w:r>
        <w:rPr>
          <w:rFonts w:ascii="Barlow Semi Condensed" w:cs="Barlow Semi Condensed" w:eastAsia="Barlow Semi Condensed" w:hAnsi="Barlow Semi Condensed"/>
          <w:b/>
          <w:bCs/>
          <w:sz w:val="24"/>
          <w:szCs w:val="24"/>
        </w:rPr>
        <w:t xml:space="preserve">27.</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mps-ti.ch</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(citato in forma d'indirizzo)</w:t>
      </w:r>
    </w:p>
    <w:p>
      <w:pPr>
        <w:spacing w:after="120" w:line="276"/>
        <w:jc w:val="both"/>
      </w:pPr>
      <w:r>
        <w:rPr>
          <w:rFonts w:ascii="Barlow Semi Condensed" w:cs="Barlow Semi Condensed" w:eastAsia="Barlow Semi Condensed" w:hAnsi="Barlow Semi Condensed"/>
          <w:b/>
          <w:bCs/>
          <w:sz w:val="24"/>
          <w:szCs w:val="24"/>
        </w:rPr>
        <w:t xml:space="preserve">28.</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rifondazione.it</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(citato in forma d'indirizzo)</w:t>
      </w:r>
    </w:p>
    <w:p>
      <w:pPr>
        <w:spacing w:after="120" w:line="276"/>
        <w:jc w:val="both"/>
      </w:pPr>
      <w:r>
        <w:rPr>
          <w:rFonts w:ascii="Barlow Semi Condensed" w:cs="Barlow Semi Condensed" w:eastAsia="Barlow Semi Condensed" w:hAnsi="Barlow Semi Condensed"/>
          <w:b/>
          <w:bCs/>
          <w:sz w:val="24"/>
          <w:szCs w:val="24"/>
        </w:rPr>
        <w:t xml:space="preserve">29.</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spainshobo.net</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(citato in forma d'indirizzo)</w:t>
      </w:r>
    </w:p>
    <w:p>
      <w:pPr>
        <w:spacing w:after="120" w:line="276"/>
        <w:jc w:val="both"/>
      </w:pPr>
      <w:r>
        <w:rPr>
          <w:rFonts w:ascii="Barlow Semi Condensed" w:cs="Barlow Semi Condensed" w:eastAsia="Barlow Semi Condensed" w:hAnsi="Barlow Semi Condensed"/>
          <w:b/>
          <w:bCs/>
          <w:sz w:val="24"/>
          <w:szCs w:val="24"/>
        </w:rPr>
        <w:t xml:space="preserve">30.</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iacopi.org</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(citato in forma d'indirizzo)</w:t>
      </w:r>
    </w:p>
    <w:p>
      <w:pPr>
        <w:spacing w:after="120" w:line="276"/>
        <w:jc w:val="both"/>
      </w:pPr>
      <w:r>
        <w:rPr>
          <w:rFonts w:ascii="Barlow Semi Condensed" w:cs="Barlow Semi Condensed" w:eastAsia="Barlow Semi Condensed" w:hAnsi="Barlow Semi Condensed"/>
          <w:b/>
          <w:bCs/>
          <w:sz w:val="24"/>
          <w:szCs w:val="24"/>
        </w:rPr>
        <w:t xml:space="preserve">31.</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storiain.net</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(citato in forma d'indirizzo)</w:t>
      </w:r>
    </w:p>
    <w:p>
      <w:pPr>
        <w:spacing w:after="120" w:line="276"/>
        <w:jc w:val="both"/>
      </w:pPr>
      <w:r>
        <w:rPr>
          <w:rFonts w:ascii="Barlow Semi Condensed" w:cs="Barlow Semi Condensed" w:eastAsia="Barlow Semi Condensed" w:hAnsi="Barlow Semi Condensed"/>
          <w:b/>
          <w:bCs/>
          <w:sz w:val="24"/>
          <w:szCs w:val="24"/>
        </w:rPr>
        <w:t xml:space="preserve">32.</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avantionline.it</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(citato in forma d'indirizzo)</w:t>
      </w:r>
    </w:p>
    <w:p>
      <w:pPr>
        <w:spacing w:after="120" w:line="276"/>
        <w:jc w:val="both"/>
      </w:pPr>
      <w:r>
        <w:rPr>
          <w:rFonts w:ascii="Barlow Semi Condensed" w:cs="Barlow Semi Condensed" w:eastAsia="Barlow Semi Condensed" w:hAnsi="Barlow Semi Condensed"/>
          <w:b/>
          <w:bCs/>
          <w:sz w:val="24"/>
          <w:szCs w:val="24"/>
        </w:rPr>
        <w:t xml:space="preserve">33.</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liberatedtexts.com</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(citato in forma d'indirizzo)</w:t>
      </w:r>
    </w:p>
    <w:p>
      <w:pPr>
        <w:spacing w:after="120" w:line="276"/>
        <w:jc w:val="both"/>
      </w:pPr>
      <w:r>
        <w:rPr>
          <w:rFonts w:ascii="Barlow Semi Condensed" w:cs="Barlow Semi Condensed" w:eastAsia="Barlow Semi Condensed" w:hAnsi="Barlow Semi Condensed"/>
          <w:b/>
          <w:bCs/>
          <w:sz w:val="24"/>
          <w:szCs w:val="24"/>
        </w:rPr>
        <w:t xml:space="preserve">34.</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translatingcuba.com</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(citato in forma d'indirizzo, 2 volte)</w:t>
      </w:r>
    </w:p>
    <w:p>
      <w:pPr>
        <w:spacing w:after="120" w:line="276"/>
        <w:jc w:val="both"/>
      </w:pPr>
      <w:r>
        <w:rPr>
          <w:rFonts w:ascii="Barlow Semi Condensed" w:cs="Barlow Semi Condensed" w:eastAsia="Barlow Semi Condensed" w:hAnsi="Barlow Semi Condensed"/>
          <w:b/>
          <w:bCs/>
          <w:sz w:val="24"/>
          <w:szCs w:val="24"/>
        </w:rPr>
        <w:t xml:space="preserve">35.</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milenio.com</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(citato in forma d'indirizzo)</w:t>
      </w:r>
    </w:p>
    <w:p>
      <w:pPr>
        <w:pStyle w:val="Heading3"/>
        <w:spacing w:after="80" w:before="160"/>
      </w:pPr>
      <w:r>
        <w:rPr>
          <w:rFonts w:ascii="Barlow Semi Condensed" w:cs="Barlow Semi Condensed" w:eastAsia="Barlow Semi Condensed" w:hAnsi="Barlow Semi Condensed"/>
          <w:sz w:val="24"/>
          <w:szCs w:val="24"/>
        </w:rPr>
        <w:t xml:space="preserve">Libro terzo · VI — Le triangolazioni Guevara-Moro</w:t>
      </w:r>
    </w:p>
    <w:p>
      <w:pPr>
        <w:spacing w:after="120" w:line="276"/>
        <w:jc w:val="both"/>
      </w:pPr>
      <w:r>
        <w:rPr>
          <w:rFonts w:ascii="Barlow Semi Condensed" w:cs="Barlow Semi Condensed" w:eastAsia="Barlow Semi Condensed" w:hAnsi="Barlow Semi Condensed"/>
          <w:b/>
          <w:bCs/>
          <w:sz w:val="24"/>
          <w:szCs w:val="24"/>
        </w:rPr>
        <w:t xml:space="preserve">36.</w:t>
      </w:r>
      <w:r>
        <w:rPr>
          <w:rFonts w:ascii="Barlow Semi Condensed" w:cs="Barlow Semi Condensed" w:eastAsia="Barlow Semi Condensed" w:hAnsi="Barlow Semi Condensed"/>
          <w:sz w:val="24"/>
          <w:szCs w:val="24"/>
        </w:rPr>
        <w:t xml:space="preserve"> NYRB/Womack — https://www.nybooks.com/articles/1971/01/28/el-che-guevara/ (https://www.nybooks.com/articles/1971/01/28/el-che-guevara/)</w:t>
      </w:r>
    </w:p>
    <w:p>
      <w:pPr>
        <w:spacing w:after="120" w:line="276"/>
        <w:jc w:val="both"/>
      </w:pPr>
      <w:r>
        <w:rPr>
          <w:rFonts w:ascii="Barlow Semi Condensed" w:cs="Barlow Semi Condensed" w:eastAsia="Barlow Semi Condensed" w:hAnsi="Barlow Semi Condensed"/>
          <w:b/>
          <w:bCs/>
          <w:sz w:val="24"/>
          <w:szCs w:val="24"/>
        </w:rPr>
        <w:t xml:space="preserve">37.</w:t>
      </w:r>
      <w:r>
        <w:rPr>
          <w:rFonts w:ascii="Barlow Semi Condensed" w:cs="Barlow Semi Condensed" w:eastAsia="Barlow Semi Condensed" w:hAnsi="Barlow Semi Condensed"/>
          <w:sz w:val="24"/>
          <w:szCs w:val="24"/>
        </w:rPr>
        <w:t xml:space="preserve"> El Universal — https://www.eluniversal.com.mx/opinion/mochilazo-en-el-tiempo/los-lugares-que-visito-el-che-en-mexico/ (https://www.eluniversal.com.mx/opinion/mochilazo-en-el-tiempo/los-lugares-que-visito-el-che-en-mexico/)</w:t>
      </w:r>
    </w:p>
    <w:p>
      <w:pPr>
        <w:spacing w:after="120" w:line="276"/>
        <w:jc w:val="both"/>
      </w:pPr>
      <w:r>
        <w:rPr>
          <w:rFonts w:ascii="Barlow Semi Condensed" w:cs="Barlow Semi Condensed" w:eastAsia="Barlow Semi Condensed" w:hAnsi="Barlow Semi Condensed"/>
          <w:b/>
          <w:bCs/>
          <w:sz w:val="24"/>
          <w:szCs w:val="24"/>
        </w:rPr>
        <w:t xml:space="preserve">38.</w:t>
      </w:r>
      <w:r>
        <w:rPr>
          <w:rFonts w:ascii="Barlow Semi Condensed" w:cs="Barlow Semi Condensed" w:eastAsia="Barlow Semi Condensed" w:hAnsi="Barlow Semi Condensed"/>
          <w:sz w:val="24"/>
          <w:szCs w:val="24"/>
        </w:rPr>
        <w:t xml:space="preserve"> nuevarevolucion.es — https://nuevarevolucion.es/alberto-bayo-el-coronel-que-enseno-la-guerra-de-guerrillas-a-fidel-castro-y-al-che-guevara/ (https://nuevarevolucion.es/alberto-bayo-el-coronel-que-enseno-la-guerra-de-guerrillas-a-fidel-castro-y-al-che-guevara/)</w:t>
      </w:r>
    </w:p>
    <w:p>
      <w:pPr>
        <w:spacing w:after="120" w:line="276"/>
        <w:jc w:val="both"/>
      </w:pPr>
      <w:r>
        <w:rPr>
          <w:rFonts w:ascii="Barlow Semi Condensed" w:cs="Barlow Semi Condensed" w:eastAsia="Barlow Semi Condensed" w:hAnsi="Barlow Semi Condensed"/>
          <w:b/>
          <w:bCs/>
          <w:sz w:val="24"/>
          <w:szCs w:val="24"/>
        </w:rPr>
        <w:t xml:space="preserve">39.</w:t>
      </w:r>
      <w:r>
        <w:rPr>
          <w:rFonts w:ascii="Barlow Semi Condensed" w:cs="Barlow Semi Condensed" w:eastAsia="Barlow Semi Condensed" w:hAnsi="Barlow Semi Condensed"/>
          <w:sz w:val="24"/>
          <w:szCs w:val="24"/>
        </w:rPr>
        <w:t xml:space="preserve"> Quadratín — https://guerrero.quadratin.com.mx/chalco-lugar-donde-entreno-la-guerrilla-fidel-alejandro-castro/ (https://guerrero.quadratin.com.mx/chalco-lugar-donde-entreno-la-guerrilla-fidel-alejandro-castro/)</w:t>
      </w:r>
    </w:p>
    <w:p>
      <w:pPr>
        <w:spacing w:after="120" w:line="276"/>
        <w:jc w:val="both"/>
      </w:pPr>
      <w:r>
        <w:rPr>
          <w:rFonts w:ascii="Barlow Semi Condensed" w:cs="Barlow Semi Condensed" w:eastAsia="Barlow Semi Condensed" w:hAnsi="Barlow Semi Condensed"/>
          <w:b/>
          <w:bCs/>
          <w:sz w:val="24"/>
          <w:szCs w:val="24"/>
        </w:rPr>
        <w:t xml:space="preserve">40.</w:t>
      </w:r>
      <w:r>
        <w:rPr>
          <w:rFonts w:ascii="Barlow Semi Condensed" w:cs="Barlow Semi Condensed" w:eastAsia="Barlow Semi Condensed" w:hAnsi="Barlow Semi Condensed"/>
          <w:sz w:val="24"/>
          <w:szCs w:val="24"/>
        </w:rPr>
        <w:t xml:space="preserve"> Hawkins Bay/archivi stampa 1964 — https://hawkinsbay.wordpress.com/2019/04/05/1964-bazooka-fired-at-che-guevara-while-addressing-the-un/ (https://hawkinsbay.wordpress.com/2019/04/05/1964-bazooka-fired-at-che-guevara-while-addressing-the-un/)</w:t>
      </w:r>
    </w:p>
    <w:p>
      <w:pPr>
        <w:spacing w:after="120" w:line="276"/>
        <w:jc w:val="both"/>
      </w:pPr>
      <w:r>
        <w:rPr>
          <w:rFonts w:ascii="Barlow Semi Condensed" w:cs="Barlow Semi Condensed" w:eastAsia="Barlow Semi Condensed" w:hAnsi="Barlow Semi Condensed"/>
          <w:b/>
          <w:bCs/>
          <w:sz w:val="24"/>
          <w:szCs w:val="24"/>
        </w:rPr>
        <w:t xml:space="preserve">41.</w:t>
      </w:r>
      <w:r>
        <w:rPr>
          <w:rFonts w:ascii="Barlow Semi Condensed" w:cs="Barlow Semi Condensed" w:eastAsia="Barlow Semi Condensed" w:hAnsi="Barlow Semi Condensed"/>
          <w:sz w:val="24"/>
          <w:szCs w:val="24"/>
        </w:rPr>
        <w:t xml:space="preserve"> Cubadiplomatica — https://misiones.cubaminrex.cu/en/articulo/day-anti-castro-forces-tried-bomb-un-building (https://misiones.cubaminrex.cu/en/articulo/day-anti-castro-forces-tried-bomb-un-building)</w:t>
      </w:r>
    </w:p>
    <w:p>
      <w:pPr>
        <w:spacing w:after="120" w:line="276"/>
        <w:jc w:val="both"/>
      </w:pPr>
      <w:r>
        <w:rPr>
          <w:rFonts w:ascii="Barlow Semi Condensed" w:cs="Barlow Semi Condensed" w:eastAsia="Barlow Semi Condensed" w:hAnsi="Barlow Semi Condensed"/>
          <w:b/>
          <w:bCs/>
          <w:sz w:val="24"/>
          <w:szCs w:val="24"/>
        </w:rPr>
        <w:t xml:space="preserve">42.</w:t>
      </w:r>
      <w:r>
        <w:rPr>
          <w:rFonts w:ascii="Barlow Semi Condensed" w:cs="Barlow Semi Condensed" w:eastAsia="Barlow Semi Condensed" w:hAnsi="Barlow Semi Condensed"/>
          <w:sz w:val="24"/>
          <w:szCs w:val="24"/>
        </w:rPr>
        <w:t xml:space="preserve"> malcolmxfiles — https://malcolmxfiles.blogspot.com/2013/07/at-audubon-ballroom-dec-13-1964.html (https://malcolmxfiles.blogspot.com/2013/07/at-audubon-ballroom-dec-13-1964.html)</w:t>
      </w:r>
    </w:p>
    <w:p>
      <w:pPr>
        <w:spacing w:after="120" w:line="276"/>
        <w:jc w:val="both"/>
      </w:pPr>
      <w:r>
        <w:rPr>
          <w:rFonts w:ascii="Barlow Semi Condensed" w:cs="Barlow Semi Condensed" w:eastAsia="Barlow Semi Condensed" w:hAnsi="Barlow Semi Condensed"/>
          <w:b/>
          <w:bCs/>
          <w:sz w:val="24"/>
          <w:szCs w:val="24"/>
        </w:rPr>
        <w:t xml:space="preserve">43.</w:t>
      </w:r>
      <w:r>
        <w:rPr>
          <w:rFonts w:ascii="Barlow Semi Condensed" w:cs="Barlow Semi Condensed" w:eastAsia="Barlow Semi Condensed" w:hAnsi="Barlow Semi Condensed"/>
          <w:sz w:val="24"/>
          <w:szCs w:val="24"/>
        </w:rPr>
        <w:t xml:space="preserve"> Feltrinelli Editore — https://www.feltrinellieditore.it/opera/diario-in-bolivia/ (https://www.feltrinellieditore.it/opera/diario-in-bolivia/)</w:t>
      </w:r>
    </w:p>
    <w:p>
      <w:pPr>
        <w:spacing w:after="120" w:line="276"/>
        <w:jc w:val="both"/>
      </w:pPr>
      <w:r>
        <w:rPr>
          <w:rFonts w:ascii="Barlow Semi Condensed" w:cs="Barlow Semi Condensed" w:eastAsia="Barlow Semi Condensed" w:hAnsi="Barlow Semi Condensed"/>
          <w:b/>
          <w:bCs/>
          <w:sz w:val="24"/>
          <w:szCs w:val="24"/>
        </w:rPr>
        <w:t xml:space="preserve">44.</w:t>
      </w:r>
      <w:r>
        <w:rPr>
          <w:rFonts w:ascii="Barlow Semi Condensed" w:cs="Barlow Semi Condensed" w:eastAsia="Barlow Semi Condensed" w:hAnsi="Barlow Semi Condensed"/>
          <w:sz w:val="24"/>
          <w:szCs w:val="24"/>
        </w:rPr>
        <w:t xml:space="preserve"> Librinlinea — https://www.librinlinea.it/titolo/diario-del-che-in-bolivia-castro-fidel/RAV0262028 (https://www.librinlinea.it/titolo/diario-del-che-in-bolivia-castro-fidel/RAV0262028)</w:t>
      </w:r>
    </w:p>
    <w:p>
      <w:pPr>
        <w:spacing w:after="120" w:line="276"/>
        <w:jc w:val="both"/>
      </w:pPr>
      <w:r>
        <w:rPr>
          <w:rFonts w:ascii="Barlow Semi Condensed" w:cs="Barlow Semi Condensed" w:eastAsia="Barlow Semi Condensed" w:hAnsi="Barlow Semi Condensed"/>
          <w:b/>
          <w:bCs/>
          <w:sz w:val="24"/>
          <w:szCs w:val="24"/>
        </w:rPr>
        <w:t xml:space="preserve">45.</w:t>
      </w:r>
      <w:r>
        <w:rPr>
          <w:rFonts w:ascii="Barlow Semi Condensed" w:cs="Barlow Semi Condensed" w:eastAsia="Barlow Semi Condensed" w:hAnsi="Barlow Semi Condensed"/>
          <w:sz w:val="24"/>
          <w:szCs w:val="24"/>
        </w:rPr>
        <w:t xml:space="preserve"> Uozzart su Korda — https://uozzart.com/2020/11/05/ernesto-che-guevara-alberto-korda-fotografia/ (https://uozzart.com/2020/11/05/ernesto-che-guevara-alberto-korda-fotografia/)</w:t>
      </w:r>
    </w:p>
    <w:p>
      <w:pPr>
        <w:spacing w:after="120" w:line="276"/>
        <w:jc w:val="both"/>
      </w:pPr>
      <w:r>
        <w:rPr>
          <w:rFonts w:ascii="Barlow Semi Condensed" w:cs="Barlow Semi Condensed" w:eastAsia="Barlow Semi Condensed" w:hAnsi="Barlow Semi Condensed"/>
          <w:b/>
          <w:bCs/>
          <w:sz w:val="24"/>
          <w:szCs w:val="24"/>
        </w:rPr>
        <w:t xml:space="preserve">46.</w:t>
      </w:r>
      <w:r>
        <w:rPr>
          <w:rFonts w:ascii="Barlow Semi Condensed" w:cs="Barlow Semi Condensed" w:eastAsia="Barlow Semi Condensed" w:hAnsi="Barlow Semi Condensed"/>
          <w:sz w:val="24"/>
          <w:szCs w:val="24"/>
        </w:rPr>
        <w:t xml:space="preserve"> Tassinari su Curcio-Feltrinelli — https://www.ugomariatassinari.it/feltrinelli-curcio/ (https://www.ugomariatassinari.it/feltrinelli-curcio/) </w:t>
      </w:r>
      <w:r>
        <w:rPr>
          <w:rFonts w:ascii="Barlow Semi Condensed" w:cs="Barlow Semi Condensed" w:eastAsia="Barlow Semi Condensed" w:hAnsi="Barlow Semi Condensed"/>
          <w:i/>
          <w:iCs/>
          <w:sz w:val="24"/>
          <w:szCs w:val="24"/>
        </w:rPr>
        <w:t xml:space="preserve">(citato 3 volte)</w:t>
      </w:r>
    </w:p>
    <w:p>
      <w:pPr>
        <w:spacing w:after="120" w:line="276"/>
        <w:jc w:val="both"/>
      </w:pPr>
      <w:r>
        <w:rPr>
          <w:rFonts w:ascii="Barlow Semi Condensed" w:cs="Barlow Semi Condensed" w:eastAsia="Barlow Semi Condensed" w:hAnsi="Barlow Semi Condensed"/>
          <w:b/>
          <w:bCs/>
          <w:sz w:val="24"/>
          <w:szCs w:val="24"/>
        </w:rPr>
        <w:t xml:space="preserve">47.</w:t>
      </w:r>
      <w:r>
        <w:rPr>
          <w:rFonts w:ascii="Barlow Semi Condensed" w:cs="Barlow Semi Condensed" w:eastAsia="Barlow Semi Condensed" w:hAnsi="Barlow Semi Condensed"/>
          <w:sz w:val="24"/>
          <w:szCs w:val="24"/>
        </w:rPr>
        <w:t xml:space="preserve"> Wikipedia BR — https://it.wikipedia.org/wiki/Brigate_Rosse (https://it.wikipedia.org/wiki/Brigate_Rosse) </w:t>
      </w:r>
      <w:r>
        <w:rPr>
          <w:rFonts w:ascii="Barlow Semi Condensed" w:cs="Barlow Semi Condensed" w:eastAsia="Barlow Semi Condensed" w:hAnsi="Barlow Semi Condensed"/>
          <w:i/>
          <w:iCs/>
          <w:sz w:val="24"/>
          <w:szCs w:val="24"/>
        </w:rPr>
        <w:t xml:space="preserve">(citato 2 volte)</w:t>
      </w:r>
    </w:p>
    <w:p>
      <w:pPr>
        <w:spacing w:after="120" w:line="276"/>
        <w:jc w:val="both"/>
      </w:pPr>
      <w:r>
        <w:rPr>
          <w:rFonts w:ascii="Barlow Semi Condensed" w:cs="Barlow Semi Condensed" w:eastAsia="Barlow Semi Condensed" w:hAnsi="Barlow Semi Condensed"/>
          <w:b/>
          <w:bCs/>
          <w:sz w:val="24"/>
          <w:szCs w:val="24"/>
        </w:rPr>
        <w:t xml:space="preserve">48.</w:t>
      </w:r>
      <w:r>
        <w:rPr>
          <w:rFonts w:ascii="Barlow Semi Condensed" w:cs="Barlow Semi Condensed" w:eastAsia="Barlow Semi Condensed" w:hAnsi="Barlow Semi Condensed"/>
          <w:sz w:val="24"/>
          <w:szCs w:val="24"/>
        </w:rPr>
        <w:t xml:space="preserve"> Panorama — https://panorama.it/cultura/agosto-1970-lalba-delle-brigate-rosse (https://panorama.it/cultura/agosto-1970-lalba-delle-brigate-rosse)</w:t>
      </w:r>
    </w:p>
    <w:p>
      <w:pPr>
        <w:spacing w:after="120" w:line="276"/>
        <w:jc w:val="both"/>
      </w:pPr>
      <w:r>
        <w:rPr>
          <w:rFonts w:ascii="Barlow Semi Condensed" w:cs="Barlow Semi Condensed" w:eastAsia="Barlow Semi Condensed" w:hAnsi="Barlow Semi Condensed"/>
          <w:b/>
          <w:bCs/>
          <w:sz w:val="24"/>
          <w:szCs w:val="24"/>
        </w:rPr>
        <w:t xml:space="preserve">49.</w:t>
      </w:r>
      <w:r>
        <w:rPr>
          <w:rFonts w:ascii="Barlow Semi Condensed" w:cs="Barlow Semi Condensed" w:eastAsia="Barlow Semi Condensed" w:hAnsi="Barlow Semi Condensed"/>
          <w:sz w:val="24"/>
          <w:szCs w:val="24"/>
        </w:rPr>
        <w:t xml:space="preserve"> Il Bo Live/Unipd — https://ilbolive.unipd.it/it/news/societa/50-anni-dalla-nascita-brigate-rosse (https://ilbolive.unipd.it/it/news/societa/50-anni-dalla-nascita-brigate-rosse)</w:t>
      </w:r>
    </w:p>
    <w:p>
      <w:pPr>
        <w:spacing w:after="120" w:line="276"/>
        <w:jc w:val="both"/>
      </w:pPr>
      <w:r>
        <w:rPr>
          <w:rFonts w:ascii="Barlow Semi Condensed" w:cs="Barlow Semi Condensed" w:eastAsia="Barlow Semi Condensed" w:hAnsi="Barlow Semi Condensed"/>
          <w:b/>
          <w:bCs/>
          <w:sz w:val="24"/>
          <w:szCs w:val="24"/>
        </w:rPr>
        <w:t xml:space="preserve">50.</w:t>
      </w:r>
      <w:r>
        <w:rPr>
          <w:rFonts w:ascii="Barlow Semi Condensed" w:cs="Barlow Semi Condensed" w:eastAsia="Barlow Semi Condensed" w:hAnsi="Barlow Semi Condensed"/>
          <w:sz w:val="24"/>
          <w:szCs w:val="24"/>
        </w:rPr>
        <w:t xml:space="preserve"> nuovAtlantide (testimonianze Moro/Guerzoni) — https://www.nuovatlantide.org/le-testimonianze-di-eleonora-moro-e-di-corrado-guerzoni-su-kissinger-e-loscuro-avvertimento-a-moro/ (https://www.nuovatlantide.org/le-testimonianze-di-eleonora-moro-e-di-corrado-guerzoni-su-kissinger-e-loscuro-avvertimento-a-moro/)</w:t>
      </w:r>
    </w:p>
    <w:p>
      <w:pPr>
        <w:spacing w:after="120" w:line="276"/>
        <w:jc w:val="both"/>
      </w:pPr>
      <w:r>
        <w:rPr>
          <w:rFonts w:ascii="Barlow Semi Condensed" w:cs="Barlow Semi Condensed" w:eastAsia="Barlow Semi Condensed" w:hAnsi="Barlow Semi Condensed"/>
          <w:b/>
          <w:bCs/>
          <w:sz w:val="24"/>
          <w:szCs w:val="24"/>
        </w:rPr>
        <w:t xml:space="preserve">51.</w:t>
      </w:r>
      <w:r>
        <w:rPr>
          <w:rFonts w:ascii="Barlow Semi Condensed" w:cs="Barlow Semi Condensed" w:eastAsia="Barlow Semi Condensed" w:hAnsi="Barlow Semi Condensed"/>
          <w:sz w:val="24"/>
          <w:szCs w:val="24"/>
        </w:rPr>
        <w:t xml:space="preserve"> La Notizia su Report/Kissinger — https://www.lanotiziagiornale.it/caso-moro-report-indaga-sul-ruolo-di-kissinger-nellostacolare-lapertura-al-pci/ (https://www.lanotiziagiornale.it/caso-moro-report-indaga-sul-ruolo-di-kissinger-nellostacolare-lapertura-al-pci/)</w:t>
      </w:r>
    </w:p>
    <w:p>
      <w:pPr>
        <w:spacing w:after="120" w:line="276"/>
        <w:jc w:val="both"/>
      </w:pPr>
      <w:r>
        <w:rPr>
          <w:rFonts w:ascii="Barlow Semi Condensed" w:cs="Barlow Semi Condensed" w:eastAsia="Barlow Semi Condensed" w:hAnsi="Barlow Semi Condensed"/>
          <w:b/>
          <w:bCs/>
          <w:sz w:val="24"/>
          <w:szCs w:val="24"/>
        </w:rPr>
        <w:t xml:space="preserve">52.</w:t>
      </w:r>
      <w:r>
        <w:rPr>
          <w:rFonts w:ascii="Barlow Semi Condensed" w:cs="Barlow Semi Condensed" w:eastAsia="Barlow Semi Condensed" w:hAnsi="Barlow Semi Condensed"/>
          <w:sz w:val="24"/>
          <w:szCs w:val="24"/>
        </w:rPr>
        <w:t xml:space="preserve"> Wikipedia EN – Kidnapping and murder of Aldo Moro — https://en.wikipedia.org/wiki/Kidnapping_and_murder_of_Aldo_Moro (https://en.wikipedia.org/wiki/Kidnapping_and_murder_of_Aldo_Moro)</w:t>
      </w:r>
    </w:p>
    <w:p>
      <w:pPr>
        <w:pStyle w:val="Heading3"/>
        <w:spacing w:after="80" w:before="160"/>
      </w:pPr>
      <w:r>
        <w:rPr>
          <w:rFonts w:ascii="Barlow Semi Condensed" w:cs="Barlow Semi Condensed" w:eastAsia="Barlow Semi Condensed" w:hAnsi="Barlow Semi Condensed"/>
          <w:sz w:val="24"/>
          <w:szCs w:val="24"/>
        </w:rPr>
        <w:t xml:space="preserve">Libro quarto — Il Dossier maggiore</w:t>
      </w:r>
    </w:p>
    <w:p>
      <w:pPr>
        <w:spacing w:after="120" w:line="276"/>
        <w:jc w:val="both"/>
      </w:pPr>
      <w:r>
        <w:rPr>
          <w:rFonts w:ascii="Barlow Semi Condensed" w:cs="Barlow Semi Condensed" w:eastAsia="Barlow Semi Condensed" w:hAnsi="Barlow Semi Condensed"/>
          <w:b/>
          <w:bCs/>
          <w:sz w:val="24"/>
          <w:szCs w:val="24"/>
        </w:rPr>
        <w:t xml:space="preserve">53.</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repubblica.it</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(citato in forma d'indirizzo)</w:t>
      </w:r>
    </w:p>
    <w:p>
      <w:pPr>
        <w:spacing w:after="120" w:line="276"/>
        <w:jc w:val="both"/>
      </w:pPr>
      <w:r>
        <w:rPr>
          <w:rFonts w:ascii="Barlow Semi Condensed" w:cs="Barlow Semi Condensed" w:eastAsia="Barlow Semi Condensed" w:hAnsi="Barlow Semi Condensed"/>
          <w:b/>
          <w:bCs/>
          <w:sz w:val="24"/>
          <w:szCs w:val="24"/>
        </w:rPr>
        <w:t xml:space="preserve">54.</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giornalettismo.com</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(citato in forma d'indirizzo)</w:t>
      </w:r>
    </w:p>
    <w:p>
      <w:pPr>
        <w:spacing w:after="120" w:line="276"/>
        <w:jc w:val="both"/>
      </w:pPr>
      <w:r>
        <w:rPr>
          <w:rFonts w:ascii="Barlow Semi Condensed" w:cs="Barlow Semi Condensed" w:eastAsia="Barlow Semi Condensed" w:hAnsi="Barlow Semi Condensed"/>
          <w:b/>
          <w:bCs/>
          <w:sz w:val="24"/>
          <w:szCs w:val="24"/>
        </w:rPr>
        <w:t xml:space="preserve">55.</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altreconomia.it</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(citato in forma d'indirizzo)</w:t>
      </w:r>
    </w:p>
    <w:p>
      <w:pPr>
        <w:spacing w:after="120" w:line="276"/>
        <w:jc w:val="both"/>
      </w:pPr>
      <w:r>
        <w:rPr>
          <w:rFonts w:ascii="Barlow Semi Condensed" w:cs="Barlow Semi Condensed" w:eastAsia="Barlow Semi Condensed" w:hAnsi="Barlow Semi Condensed"/>
          <w:b/>
          <w:bCs/>
          <w:sz w:val="24"/>
          <w:szCs w:val="24"/>
        </w:rPr>
        <w:t xml:space="preserve">56.</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corriere.it</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(citato in forma d'indirizzo)</w:t>
      </w:r>
    </w:p>
    <w:p>
      <w:pPr>
        <w:spacing w:after="120" w:line="276"/>
        <w:jc w:val="both"/>
      </w:pPr>
      <w:r>
        <w:rPr>
          <w:rFonts w:ascii="Barlow Semi Condensed" w:cs="Barlow Semi Condensed" w:eastAsia="Barlow Semi Condensed" w:hAnsi="Barlow Semi Condensed"/>
          <w:b/>
          <w:bCs/>
          <w:sz w:val="24"/>
          <w:szCs w:val="24"/>
        </w:rPr>
        <w:t xml:space="preserve">57.</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rai.it</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(citato in forma d'indirizzo)</w:t>
      </w:r>
    </w:p>
    <w:p>
      <w:pPr>
        <w:spacing w:after="120" w:line="276"/>
        <w:jc w:val="both"/>
      </w:pPr>
      <w:r>
        <w:rPr>
          <w:rFonts w:ascii="Barlow Semi Condensed" w:cs="Barlow Semi Condensed" w:eastAsia="Barlow Semi Condensed" w:hAnsi="Barlow Semi Condensed"/>
          <w:b/>
          <w:bCs/>
          <w:sz w:val="24"/>
          <w:szCs w:val="24"/>
        </w:rPr>
        <w:t xml:space="preserve">58.</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fascinazione.info</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(citato in forma d'indirizzo)</w:t>
      </w:r>
    </w:p>
    <w:p>
      <w:pPr>
        <w:spacing w:after="120" w:line="276"/>
        <w:jc w:val="both"/>
      </w:pPr>
      <w:r>
        <w:rPr>
          <w:rFonts w:ascii="Barlow Semi Condensed" w:cs="Barlow Semi Condensed" w:eastAsia="Barlow Semi Condensed" w:hAnsi="Barlow Semi Condensed"/>
          <w:b/>
          <w:bCs/>
          <w:sz w:val="24"/>
          <w:szCs w:val="24"/>
        </w:rPr>
        <w:t xml:space="preserve">59.</w:t>
      </w:r>
      <w:r>
        <w:rPr>
          <w:rFonts w:ascii="Barlow Semi Condensed" w:cs="Barlow Semi Condensed" w:eastAsia="Barlow Semi Condensed" w:hAnsi="Barlow Semi Condensed"/>
          <w:sz w:val="24"/>
          <w:szCs w:val="24"/>
        </w:rPr>
        <w:t xml:space="preserve"> acs.cultura.gov.it/modalita-di-accesso-e-regolamento/sala-delle-raccolt… (https://acs.cultura.gov.it/modalita-di-accesso-e-regolamento/sala-delle-raccolte-speciali-documentazione-desecretata/direttiva-renzi-2014/)</w:t>
      </w:r>
    </w:p>
    <w:p>
      <w:pPr>
        <w:spacing w:after="120" w:line="276"/>
        <w:jc w:val="both"/>
      </w:pPr>
      <w:r>
        <w:rPr>
          <w:rFonts w:ascii="Barlow Semi Condensed" w:cs="Barlow Semi Condensed" w:eastAsia="Barlow Semi Condensed" w:hAnsi="Barlow Semi Condensed"/>
          <w:b/>
          <w:bCs/>
          <w:sz w:val="24"/>
          <w:szCs w:val="24"/>
        </w:rPr>
        <w:t xml:space="preserve">60.</w:t>
      </w:r>
      <w:r>
        <w:rPr>
          <w:rFonts w:ascii="Barlow Semi Condensed" w:cs="Barlow Semi Condensed" w:eastAsia="Barlow Semi Condensed" w:hAnsi="Barlow Semi Condensed"/>
          <w:sz w:val="24"/>
          <w:szCs w:val="24"/>
        </w:rPr>
        <w:t xml:space="preserve"> acs.cultura.gov.it/modalita-di-accesso-e-regolamento/sala-delle-raccolt… (https://acs.cultura.gov.it/modalita-di-accesso-e-regolamento/sala-delle-raccolte-speciali-documentazione-desecretata/direttiva-draghi-2021/)</w:t>
      </w:r>
    </w:p>
    <w:p>
      <w:pPr>
        <w:spacing w:after="120" w:line="276"/>
        <w:jc w:val="both"/>
      </w:pPr>
      <w:r>
        <w:rPr>
          <w:rFonts w:ascii="Barlow Semi Condensed" w:cs="Barlow Semi Condensed" w:eastAsia="Barlow Semi Condensed" w:hAnsi="Barlow Semi Condensed"/>
          <w:b/>
          <w:bCs/>
          <w:sz w:val="24"/>
          <w:szCs w:val="24"/>
        </w:rPr>
        <w:t xml:space="preserve">61.</w:t>
      </w:r>
      <w:r>
        <w:rPr>
          <w:rFonts w:ascii="Barlow Semi Condensed" w:cs="Barlow Semi Condensed" w:eastAsia="Barlow Semi Condensed" w:hAnsi="Barlow Semi Condensed"/>
          <w:sz w:val="24"/>
          <w:szCs w:val="24"/>
        </w:rPr>
        <w:t xml:space="preserve"> a4view.archivioflamigni.org (https://a4view.archivioflamigni.org/)</w:t>
      </w:r>
    </w:p>
    <w:p>
      <w:pPr>
        <w:spacing w:after="120" w:line="276"/>
        <w:jc w:val="both"/>
      </w:pPr>
      <w:r>
        <w:rPr>
          <w:rFonts w:ascii="Barlow Semi Condensed" w:cs="Barlow Semi Condensed" w:eastAsia="Barlow Semi Condensed" w:hAnsi="Barlow Semi Condensed"/>
          <w:b/>
          <w:bCs/>
          <w:sz w:val="24"/>
          <w:szCs w:val="24"/>
        </w:rPr>
        <w:t xml:space="preserve">62.</w:t>
      </w:r>
      <w:r>
        <w:rPr>
          <w:rFonts w:ascii="Barlow Semi Condensed" w:cs="Barlow Semi Condensed" w:eastAsia="Barlow Semi Condensed" w:hAnsi="Barlow Semi Condensed"/>
          <w:sz w:val="24"/>
          <w:szCs w:val="24"/>
        </w:rPr>
        <w:t xml:space="preserve"> camera.it (https://www.camera.it/) </w:t>
      </w:r>
      <w:r>
        <w:rPr>
          <w:rFonts w:ascii="Barlow Semi Condensed" w:cs="Barlow Semi Condensed" w:eastAsia="Barlow Semi Condensed" w:hAnsi="Barlow Semi Condensed"/>
          <w:i/>
          <w:iCs/>
          <w:sz w:val="24"/>
          <w:szCs w:val="24"/>
        </w:rPr>
        <w:t xml:space="preserve">(citato 2 volte)</w:t>
      </w:r>
    </w:p>
    <w:p>
      <w:pPr>
        <w:spacing w:after="120" w:line="276"/>
        <w:jc w:val="both"/>
      </w:pPr>
      <w:r>
        <w:rPr>
          <w:rFonts w:ascii="Barlow Semi Condensed" w:cs="Barlow Semi Condensed" w:eastAsia="Barlow Semi Condensed" w:hAnsi="Barlow Semi Condensed"/>
          <w:b/>
          <w:bCs/>
          <w:sz w:val="24"/>
          <w:szCs w:val="24"/>
        </w:rPr>
        <w:t xml:space="preserve">63.</w:t>
      </w:r>
      <w:r>
        <w:rPr>
          <w:rFonts w:ascii="Barlow Semi Condensed" w:cs="Barlow Semi Condensed" w:eastAsia="Barlow Semi Condensed" w:hAnsi="Barlow Semi Condensed"/>
          <w:sz w:val="24"/>
          <w:szCs w:val="24"/>
        </w:rPr>
        <w:t xml:space="preserve"> documenti.camera.it (https://documenti.camera.it/) </w:t>
      </w:r>
      <w:r>
        <w:rPr>
          <w:rFonts w:ascii="Barlow Semi Condensed" w:cs="Barlow Semi Condensed" w:eastAsia="Barlow Semi Condensed" w:hAnsi="Barlow Semi Condensed"/>
          <w:i/>
          <w:iCs/>
          <w:sz w:val="24"/>
          <w:szCs w:val="24"/>
        </w:rPr>
        <w:t xml:space="preserve">(citato 3 volte)</w:t>
      </w:r>
    </w:p>
    <w:p>
      <w:pPr>
        <w:spacing w:after="120" w:line="276"/>
        <w:jc w:val="both"/>
      </w:pPr>
      <w:r>
        <w:rPr>
          <w:rFonts w:ascii="Barlow Semi Condensed" w:cs="Barlow Semi Condensed" w:eastAsia="Barlow Semi Condensed" w:hAnsi="Barlow Semi Condensed"/>
          <w:b/>
          <w:bCs/>
          <w:sz w:val="24"/>
          <w:szCs w:val="24"/>
        </w:rPr>
        <w:t xml:space="preserve">64.</w:t>
      </w:r>
      <w:r>
        <w:rPr>
          <w:rFonts w:ascii="Barlow Semi Condensed" w:cs="Barlow Semi Condensed" w:eastAsia="Barlow Semi Condensed" w:hAnsi="Barlow Semi Condensed"/>
          <w:sz w:val="24"/>
          <w:szCs w:val="24"/>
        </w:rPr>
        <w:t xml:space="preserve"> memoria.cultura.gov.it (https://memoria.cultura.gov.it/) </w:t>
      </w:r>
      <w:r>
        <w:rPr>
          <w:rFonts w:ascii="Barlow Semi Condensed" w:cs="Barlow Semi Condensed" w:eastAsia="Barlow Semi Condensed" w:hAnsi="Barlow Semi Condensed"/>
          <w:i/>
          <w:iCs/>
          <w:sz w:val="24"/>
          <w:szCs w:val="24"/>
        </w:rPr>
        <w:t xml:space="preserve">(citato 8 volte)</w:t>
      </w:r>
    </w:p>
    <w:p>
      <w:pPr>
        <w:spacing w:after="120" w:line="276"/>
        <w:jc w:val="both"/>
      </w:pPr>
      <w:r>
        <w:rPr>
          <w:rFonts w:ascii="Barlow Semi Condensed" w:cs="Barlow Semi Condensed" w:eastAsia="Barlow Semi Condensed" w:hAnsi="Barlow Semi Condensed"/>
          <w:b/>
          <w:bCs/>
          <w:sz w:val="24"/>
          <w:szCs w:val="24"/>
        </w:rPr>
        <w:t xml:space="preserve">65.</w:t>
      </w:r>
      <w:r>
        <w:rPr>
          <w:rFonts w:ascii="Barlow Semi Condensed" w:cs="Barlow Semi Condensed" w:eastAsia="Barlow Semi Condensed" w:hAnsi="Barlow Semi Condensed"/>
          <w:sz w:val="24"/>
          <w:szCs w:val="24"/>
        </w:rPr>
        <w:t xml:space="preserve"> parlamento.it (https://www.parlamento.it/) </w:t>
      </w:r>
      <w:r>
        <w:rPr>
          <w:rFonts w:ascii="Barlow Semi Condensed" w:cs="Barlow Semi Condensed" w:eastAsia="Barlow Semi Condensed" w:hAnsi="Barlow Semi Condensed"/>
          <w:i/>
          <w:iCs/>
          <w:sz w:val="24"/>
          <w:szCs w:val="24"/>
        </w:rPr>
        <w:t xml:space="preserve">(citato 5 volte)</w:t>
      </w:r>
    </w:p>
    <w:p>
      <w:pPr>
        <w:spacing w:after="120" w:line="276"/>
        <w:jc w:val="both"/>
      </w:pPr>
      <w:r>
        <w:rPr>
          <w:rFonts w:ascii="Barlow Semi Condensed" w:cs="Barlow Semi Condensed" w:eastAsia="Barlow Semi Condensed" w:hAnsi="Barlow Semi Condensed"/>
          <w:b/>
          <w:bCs/>
          <w:sz w:val="24"/>
          <w:szCs w:val="24"/>
        </w:rPr>
        <w:t xml:space="preserve">66.</w:t>
      </w:r>
      <w:r>
        <w:rPr>
          <w:rFonts w:ascii="Barlow Semi Condensed" w:cs="Barlow Semi Condensed" w:eastAsia="Barlow Semi Condensed" w:hAnsi="Barlow Semi Condensed"/>
          <w:sz w:val="24"/>
          <w:szCs w:val="24"/>
        </w:rPr>
        <w:t xml:space="preserve"> senato.it (https://www.senato.it/) </w:t>
      </w:r>
      <w:r>
        <w:rPr>
          <w:rFonts w:ascii="Barlow Semi Condensed" w:cs="Barlow Semi Condensed" w:eastAsia="Barlow Semi Condensed" w:hAnsi="Barlow Semi Condensed"/>
          <w:i/>
          <w:iCs/>
          <w:sz w:val="24"/>
          <w:szCs w:val="24"/>
        </w:rPr>
        <w:t xml:space="preserve">(citato 3 volte)</w:t>
      </w:r>
    </w:p>
    <w:p>
      <w:pPr>
        <w:spacing w:after="120" w:line="276"/>
        <w:jc w:val="both"/>
      </w:pPr>
      <w:r>
        <w:rPr>
          <w:rFonts w:ascii="Barlow Semi Condensed" w:cs="Barlow Semi Condensed" w:eastAsia="Barlow Semi Condensed" w:hAnsi="Barlow Semi Condensed"/>
          <w:b/>
          <w:bCs/>
          <w:sz w:val="24"/>
          <w:szCs w:val="24"/>
        </w:rPr>
        <w:t xml:space="preserve">67.</w:t>
      </w:r>
      <w:r>
        <w:rPr>
          <w:rFonts w:ascii="Barlow Semi Condensed" w:cs="Barlow Semi Condensed" w:eastAsia="Barlow Semi Condensed" w:hAnsi="Barlow Semi Condensed"/>
          <w:sz w:val="24"/>
          <w:szCs w:val="24"/>
        </w:rPr>
        <w:t xml:space="preserve"> parlamento.it/parlam/bicam/terror/stenografici/steno9.htm (https://www.parlamento.it/parlam/bicam/terror/stenografici/steno9.htm)</w:t>
      </w:r>
    </w:p>
    <w:p>
      <w:pPr>
        <w:spacing w:after="120" w:line="276"/>
        <w:jc w:val="both"/>
      </w:pPr>
      <w:r>
        <w:rPr>
          <w:rFonts w:ascii="Barlow Semi Condensed" w:cs="Barlow Semi Condensed" w:eastAsia="Barlow Semi Condensed" w:hAnsi="Barlow Semi Condensed"/>
          <w:b/>
          <w:bCs/>
          <w:sz w:val="24"/>
          <w:szCs w:val="24"/>
        </w:rPr>
        <w:t xml:space="preserve">68.</w:t>
      </w:r>
      <w:r>
        <w:rPr>
          <w:rFonts w:ascii="Barlow Semi Condensed" w:cs="Barlow Semi Condensed" w:eastAsia="Barlow Semi Condensed" w:hAnsi="Barlow Semi Condensed"/>
          <w:sz w:val="24"/>
          <w:szCs w:val="24"/>
        </w:rPr>
        <w:t xml:space="preserve"> parlamento.it/parlam/bicam/terror/stenografici/steno25.htm (https://www.parlamento.it/parlam/bicam/terror/stenografici/steno25.htm)</w:t>
      </w:r>
    </w:p>
    <w:p>
      <w:pPr>
        <w:spacing w:after="120" w:line="276"/>
        <w:jc w:val="both"/>
      </w:pPr>
      <w:r>
        <w:rPr>
          <w:rFonts w:ascii="Barlow Semi Condensed" w:cs="Barlow Semi Condensed" w:eastAsia="Barlow Semi Condensed" w:hAnsi="Barlow Semi Condensed"/>
          <w:b/>
          <w:bCs/>
          <w:sz w:val="24"/>
          <w:szCs w:val="24"/>
        </w:rPr>
        <w:t xml:space="preserve">69.</w:t>
      </w:r>
      <w:r>
        <w:rPr>
          <w:rFonts w:ascii="Barlow Semi Condensed" w:cs="Barlow Semi Condensed" w:eastAsia="Barlow Semi Condensed" w:hAnsi="Barlow Semi Condensed"/>
          <w:sz w:val="24"/>
          <w:szCs w:val="24"/>
        </w:rPr>
        <w:t xml:space="preserve"> parlamento.it/parlam/bicam/terror/stenografici/steno58.htm (https://www.parlamento.it/parlam/bicam/terror/stenografici/steno58.htm)</w:t>
      </w:r>
    </w:p>
    <w:p>
      <w:pPr>
        <w:spacing w:after="120" w:line="276"/>
        <w:jc w:val="both"/>
      </w:pPr>
      <w:r>
        <w:rPr>
          <w:rFonts w:ascii="Barlow Semi Condensed" w:cs="Barlow Semi Condensed" w:eastAsia="Barlow Semi Condensed" w:hAnsi="Barlow Semi Condensed"/>
          <w:b/>
          <w:bCs/>
          <w:sz w:val="24"/>
          <w:szCs w:val="24"/>
        </w:rPr>
        <w:t xml:space="preserve">70.</w:t>
      </w:r>
      <w:r>
        <w:rPr>
          <w:rFonts w:ascii="Barlow Semi Condensed" w:cs="Barlow Semi Condensed" w:eastAsia="Barlow Semi Condensed" w:hAnsi="Barlow Semi Condensed"/>
          <w:sz w:val="24"/>
          <w:szCs w:val="24"/>
        </w:rPr>
        <w:t xml:space="preserve"> gnosis.aisi.gov.it (https://gnosis.aisi.gov.it/)</w:t>
      </w:r>
    </w:p>
    <w:p>
      <w:pPr>
        <w:spacing w:after="120" w:line="276"/>
        <w:jc w:val="both"/>
      </w:pPr>
      <w:r>
        <w:rPr>
          <w:rFonts w:ascii="Barlow Semi Condensed" w:cs="Barlow Semi Condensed" w:eastAsia="Barlow Semi Condensed" w:hAnsi="Barlow Semi Condensed"/>
          <w:b/>
          <w:bCs/>
          <w:sz w:val="24"/>
          <w:szCs w:val="24"/>
        </w:rPr>
        <w:t xml:space="preserve">71.</w:t>
      </w:r>
      <w:r>
        <w:rPr>
          <w:rFonts w:ascii="Barlow Semi Condensed" w:cs="Barlow Semi Condensed" w:eastAsia="Barlow Semi Condensed" w:hAnsi="Barlow Semi Condensed"/>
          <w:sz w:val="24"/>
          <w:szCs w:val="24"/>
        </w:rPr>
        <w:t xml:space="preserve"> fondazionemicheletti.eu (https://www.fondazionemicheletti.eu/)</w:t>
      </w:r>
    </w:p>
    <w:p>
      <w:pPr>
        <w:spacing w:after="120" w:line="276"/>
        <w:jc w:val="both"/>
      </w:pPr>
      <w:r>
        <w:rPr>
          <w:rFonts w:ascii="Barlow Semi Condensed" w:cs="Barlow Semi Condensed" w:eastAsia="Barlow Semi Condensed" w:hAnsi="Barlow Semi Condensed"/>
          <w:b/>
          <w:bCs/>
          <w:sz w:val="24"/>
          <w:szCs w:val="24"/>
        </w:rPr>
        <w:t xml:space="preserve">72.</w:t>
      </w:r>
      <w:r>
        <w:rPr>
          <w:rFonts w:ascii="Barlow Semi Condensed" w:cs="Barlow Semi Condensed" w:eastAsia="Barlow Semi Condensed" w:hAnsi="Barlow Semi Condensed"/>
          <w:sz w:val="24"/>
          <w:szCs w:val="24"/>
        </w:rPr>
        <w:t xml:space="preserve"> memoria.cultura.gov.it/it/w/il-tentato-golpe-borghese (https://memoria.cultura.gov.it/it/w/il-tentato-golpe-borghese)</w:t>
      </w:r>
    </w:p>
    <w:p>
      <w:pPr>
        <w:pStyle w:val="Heading3"/>
        <w:spacing w:after="80" w:before="160"/>
      </w:pPr>
      <w:r>
        <w:rPr>
          <w:rFonts w:ascii="Barlow Semi Condensed" w:cs="Barlow Semi Condensed" w:eastAsia="Barlow Semi Condensed" w:hAnsi="Barlow Semi Condensed"/>
          <w:sz w:val="24"/>
          <w:szCs w:val="24"/>
        </w:rPr>
        <w:t xml:space="preserve">Libro quinto · I — Feltrinelli, il vettore</w:t>
      </w:r>
    </w:p>
    <w:p>
      <w:pPr>
        <w:spacing w:after="120" w:line="276"/>
        <w:jc w:val="both"/>
      </w:pPr>
      <w:r>
        <w:rPr>
          <w:rFonts w:ascii="Barlow Semi Condensed" w:cs="Barlow Semi Condensed" w:eastAsia="Barlow Semi Condensed" w:hAnsi="Barlow Semi Condensed"/>
          <w:b/>
          <w:bCs/>
          <w:sz w:val="24"/>
          <w:szCs w:val="24"/>
        </w:rPr>
        <w:t xml:space="preserve">73.</w:t>
      </w:r>
      <w:r>
        <w:rPr>
          <w:rFonts w:ascii="Barlow Semi Condensed" w:cs="Barlow Semi Condensed" w:eastAsia="Barlow Semi Condensed" w:hAnsi="Barlow Semi Condensed"/>
          <w:sz w:val="24"/>
          <w:szCs w:val="24"/>
        </w:rPr>
        <w:t xml:space="preserve"> LRB, John Foot — https://www.lrb.co.uk/the-paper/v24/n03/john-foot/no.-1-scapegoat (https://www.lrb.co.uk/the-paper/v24/n03/john-foot/no.-1-scapegoat) </w:t>
      </w:r>
      <w:r>
        <w:rPr>
          <w:rFonts w:ascii="Barlow Semi Condensed" w:cs="Barlow Semi Condensed" w:eastAsia="Barlow Semi Condensed" w:hAnsi="Barlow Semi Condensed"/>
          <w:i/>
          <w:iCs/>
          <w:sz w:val="24"/>
          <w:szCs w:val="24"/>
        </w:rPr>
        <w:t xml:space="preserve">(citato 3 volte)</w:t>
      </w:r>
    </w:p>
    <w:p>
      <w:pPr>
        <w:spacing w:after="120" w:line="276"/>
        <w:jc w:val="both"/>
      </w:pPr>
      <w:r>
        <w:rPr>
          <w:rFonts w:ascii="Barlow Semi Condensed" w:cs="Barlow Semi Condensed" w:eastAsia="Barlow Semi Condensed" w:hAnsi="Barlow Semi Condensed"/>
          <w:b/>
          <w:bCs/>
          <w:sz w:val="24"/>
          <w:szCs w:val="24"/>
        </w:rPr>
        <w:t xml:space="preserve">74.</w:t>
      </w:r>
      <w:r>
        <w:rPr>
          <w:rFonts w:ascii="Barlow Semi Condensed" w:cs="Barlow Semi Condensed" w:eastAsia="Barlow Semi Condensed" w:hAnsi="Barlow Semi Condensed"/>
          <w:sz w:val="24"/>
          <w:szCs w:val="24"/>
        </w:rPr>
        <w:t xml:space="preserve"> Wikipedia EN — https://en.wikipedia.org/wiki/Giangiacomo_Feltrinelli (https://en.wikipedia.org/wiki/Giangiacomo_Feltrinelli) </w:t>
      </w:r>
      <w:r>
        <w:rPr>
          <w:rFonts w:ascii="Barlow Semi Condensed" w:cs="Barlow Semi Condensed" w:eastAsia="Barlow Semi Condensed" w:hAnsi="Barlow Semi Condensed"/>
          <w:i/>
          <w:iCs/>
          <w:sz w:val="24"/>
          <w:szCs w:val="24"/>
        </w:rPr>
        <w:t xml:space="preserve">(citato 5 volte)</w:t>
      </w:r>
    </w:p>
    <w:p>
      <w:pPr>
        <w:spacing w:after="120" w:line="276"/>
        <w:jc w:val="both"/>
      </w:pPr>
      <w:r>
        <w:rPr>
          <w:rFonts w:ascii="Barlow Semi Condensed" w:cs="Barlow Semi Condensed" w:eastAsia="Barlow Semi Condensed" w:hAnsi="Barlow Semi Condensed"/>
          <w:b/>
          <w:bCs/>
          <w:sz w:val="24"/>
          <w:szCs w:val="24"/>
        </w:rPr>
        <w:t xml:space="preserve">75.</w:t>
      </w:r>
      <w:r>
        <w:rPr>
          <w:rFonts w:ascii="Barlow Semi Condensed" w:cs="Barlow Semi Condensed" w:eastAsia="Barlow Semi Condensed" w:hAnsi="Barlow Semi Condensed"/>
          <w:sz w:val="24"/>
          <w:szCs w:val="24"/>
        </w:rPr>
        <w:t xml:space="preserve"> Fondazione Feltrinelli, About — https://fondazionefeltrinelli.it/en/about-us-4/ (https://fondazionefeltrinelli.it/en/about-us-4/) </w:t>
      </w:r>
      <w:r>
        <w:rPr>
          <w:rFonts w:ascii="Barlow Semi Condensed" w:cs="Barlow Semi Condensed" w:eastAsia="Barlow Semi Condensed" w:hAnsi="Barlow Semi Condensed"/>
          <w:i/>
          <w:iCs/>
          <w:sz w:val="24"/>
          <w:szCs w:val="24"/>
        </w:rPr>
        <w:t xml:space="preserve">(citato 3 volte)</w:t>
      </w:r>
    </w:p>
    <w:p>
      <w:pPr>
        <w:spacing w:after="120" w:line="276"/>
        <w:jc w:val="both"/>
      </w:pPr>
      <w:r>
        <w:rPr>
          <w:rFonts w:ascii="Barlow Semi Condensed" w:cs="Barlow Semi Condensed" w:eastAsia="Barlow Semi Condensed" w:hAnsi="Barlow Semi Condensed"/>
          <w:b/>
          <w:bCs/>
          <w:sz w:val="24"/>
          <w:szCs w:val="24"/>
        </w:rPr>
        <w:t xml:space="preserve">76.</w:t>
      </w:r>
      <w:r>
        <w:rPr>
          <w:rFonts w:ascii="Barlow Semi Condensed" w:cs="Barlow Semi Condensed" w:eastAsia="Barlow Semi Condensed" w:hAnsi="Barlow Semi Condensed"/>
          <w:sz w:val="24"/>
          <w:szCs w:val="24"/>
        </w:rPr>
        <w:t xml:space="preserve"> Fondazione Feltrinelli, Library — https://fondazionefeltrinelli.it/en/library/ (https://fondazionefeltrinelli.it/en/library/)</w:t>
      </w:r>
    </w:p>
    <w:p>
      <w:pPr>
        <w:spacing w:after="120" w:line="276"/>
        <w:jc w:val="both"/>
      </w:pPr>
      <w:r>
        <w:rPr>
          <w:rFonts w:ascii="Barlow Semi Condensed" w:cs="Barlow Semi Condensed" w:eastAsia="Barlow Semi Condensed" w:hAnsi="Barlow Semi Condensed"/>
          <w:b/>
          <w:bCs/>
          <w:sz w:val="24"/>
          <w:szCs w:val="24"/>
        </w:rPr>
        <w:t xml:space="preserve">77.</w:t>
      </w:r>
      <w:r>
        <w:rPr>
          <w:rFonts w:ascii="Barlow Semi Condensed" w:cs="Barlow Semi Condensed" w:eastAsia="Barlow Semi Condensed" w:hAnsi="Barlow Semi Condensed"/>
          <w:sz w:val="24"/>
          <w:szCs w:val="24"/>
        </w:rPr>
        <w:t xml:space="preserve"> Wikipedia, Doctor Zhivago — https://en.wikipedia.org/wiki/Doctor_Zhivago_(novel (https://en.wikipedia.org/wiki/Doctor_Zhivago_(novel) </w:t>
      </w:r>
      <w:r>
        <w:rPr>
          <w:rFonts w:ascii="Barlow Semi Condensed" w:cs="Barlow Semi Condensed" w:eastAsia="Barlow Semi Condensed" w:hAnsi="Barlow Semi Condensed"/>
          <w:i/>
          <w:iCs/>
          <w:sz w:val="24"/>
          <w:szCs w:val="24"/>
        </w:rPr>
        <w:t xml:space="preserve">(citato 3 volte)</w:t>
      </w:r>
    </w:p>
    <w:p>
      <w:pPr>
        <w:spacing w:after="120" w:line="276"/>
        <w:jc w:val="both"/>
      </w:pPr>
      <w:r>
        <w:rPr>
          <w:rFonts w:ascii="Barlow Semi Condensed" w:cs="Barlow Semi Condensed" w:eastAsia="Barlow Semi Condensed" w:hAnsi="Barlow Semi Condensed"/>
          <w:b/>
          <w:bCs/>
          <w:sz w:val="24"/>
          <w:szCs w:val="24"/>
        </w:rPr>
        <w:t xml:space="preserve">78.</w:t>
      </w:r>
      <w:r>
        <w:rPr>
          <w:rFonts w:ascii="Barlow Semi Condensed" w:cs="Barlow Semi Condensed" w:eastAsia="Barlow Semi Condensed" w:hAnsi="Barlow Semi Condensed"/>
          <w:sz w:val="24"/>
          <w:szCs w:val="24"/>
        </w:rPr>
        <w:t xml:space="preserve"> Dizionario Biografico Treccani — https://www.treccani.it/enciclopedia/giangiacomo-feltrinelli_(Dizionario-Biografico (https://www.treccani.it/enciclopedia/giangiacomo-feltrinelli_(Dizionario-Biografico) </w:t>
      </w:r>
      <w:r>
        <w:rPr>
          <w:rFonts w:ascii="Barlow Semi Condensed" w:cs="Barlow Semi Condensed" w:eastAsia="Barlow Semi Condensed" w:hAnsi="Barlow Semi Condensed"/>
          <w:i/>
          <w:iCs/>
          <w:sz w:val="24"/>
          <w:szCs w:val="24"/>
        </w:rPr>
        <w:t xml:space="preserve">(citato 7 volte)</w:t>
      </w:r>
    </w:p>
    <w:p>
      <w:pPr>
        <w:spacing w:after="120" w:line="276"/>
        <w:jc w:val="both"/>
      </w:pPr>
      <w:r>
        <w:rPr>
          <w:rFonts w:ascii="Barlow Semi Condensed" w:cs="Barlow Semi Condensed" w:eastAsia="Barlow Semi Condensed" w:hAnsi="Barlow Semi Condensed"/>
          <w:b/>
          <w:bCs/>
          <w:sz w:val="24"/>
          <w:szCs w:val="24"/>
        </w:rPr>
        <w:t xml:space="preserve">79.</w:t>
      </w:r>
      <w:r>
        <w:rPr>
          <w:rFonts w:ascii="Barlow Semi Condensed" w:cs="Barlow Semi Condensed" w:eastAsia="Barlow Semi Condensed" w:hAnsi="Barlow Semi Condensed"/>
          <w:sz w:val="24"/>
          <w:szCs w:val="24"/>
        </w:rPr>
        <w:t xml:space="preserve"> Wikipedia, The Leopard — https://en.wikipedia.org/wiki/The_Leopard (https://en.wikipedia.org/wiki/The_Leopard) </w:t>
      </w:r>
      <w:r>
        <w:rPr>
          <w:rFonts w:ascii="Barlow Semi Condensed" w:cs="Barlow Semi Condensed" w:eastAsia="Barlow Semi Condensed" w:hAnsi="Barlow Semi Condensed"/>
          <w:i/>
          <w:iCs/>
          <w:sz w:val="24"/>
          <w:szCs w:val="24"/>
        </w:rPr>
        <w:t xml:space="preserve">(citato 3 volte)</w:t>
      </w:r>
    </w:p>
    <w:p>
      <w:pPr>
        <w:spacing w:after="120" w:line="276"/>
        <w:jc w:val="both"/>
      </w:pPr>
      <w:r>
        <w:rPr>
          <w:rFonts w:ascii="Barlow Semi Condensed" w:cs="Barlow Semi Condensed" w:eastAsia="Barlow Semi Condensed" w:hAnsi="Barlow Semi Condensed"/>
          <w:b/>
          <w:bCs/>
          <w:sz w:val="24"/>
          <w:szCs w:val="24"/>
        </w:rPr>
        <w:t xml:space="preserve">80.</w:t>
      </w:r>
      <w:r>
        <w:rPr>
          <w:rFonts w:ascii="Barlow Semi Condensed" w:cs="Barlow Semi Condensed" w:eastAsia="Barlow Semi Condensed" w:hAnsi="Barlow Semi Condensed"/>
          <w:sz w:val="24"/>
          <w:szCs w:val="24"/>
        </w:rPr>
        <w:t xml:space="preserve"> History Ireland — https://historyireland.com/che-guevara-jim-fitzpatrick-and-the-making-of-an-icon/ (https://historyireland.com/che-guevara-jim-fitzpatrick-and-the-making-of-an-icon/) </w:t>
      </w:r>
      <w:r>
        <w:rPr>
          <w:rFonts w:ascii="Barlow Semi Condensed" w:cs="Barlow Semi Condensed" w:eastAsia="Barlow Semi Condensed" w:hAnsi="Barlow Semi Condensed"/>
          <w:i/>
          <w:iCs/>
          <w:sz w:val="24"/>
          <w:szCs w:val="24"/>
        </w:rPr>
        <w:t xml:space="preserve">(citato 4 volte)</w:t>
      </w:r>
    </w:p>
    <w:p>
      <w:pPr>
        <w:spacing w:after="120" w:line="276"/>
        <w:jc w:val="both"/>
      </w:pPr>
      <w:r>
        <w:rPr>
          <w:rFonts w:ascii="Barlow Semi Condensed" w:cs="Barlow Semi Condensed" w:eastAsia="Barlow Semi Condensed" w:hAnsi="Barlow Semi Condensed"/>
          <w:b/>
          <w:bCs/>
          <w:sz w:val="24"/>
          <w:szCs w:val="24"/>
        </w:rPr>
        <w:t xml:space="preserve">81.</w:t>
      </w:r>
      <w:r>
        <w:rPr>
          <w:rFonts w:ascii="Barlow Semi Condensed" w:cs="Barlow Semi Condensed" w:eastAsia="Barlow Semi Condensed" w:hAnsi="Barlow Semi Condensed"/>
          <w:sz w:val="24"/>
          <w:szCs w:val="24"/>
        </w:rPr>
        <w:t xml:space="preserve"> Wikipedia, Guerrillero Heroico — https://en.wikipedia.org/wiki/Guerrillero_Heroico (https://en.wikipedia.org/wiki/Guerrillero_Heroico) </w:t>
      </w:r>
      <w:r>
        <w:rPr>
          <w:rFonts w:ascii="Barlow Semi Condensed" w:cs="Barlow Semi Condensed" w:eastAsia="Barlow Semi Condensed" w:hAnsi="Barlow Semi Condensed"/>
          <w:i/>
          <w:iCs/>
          <w:sz w:val="24"/>
          <w:szCs w:val="24"/>
        </w:rPr>
        <w:t xml:space="preserve">(citato 3 volte)</w:t>
      </w:r>
    </w:p>
    <w:p>
      <w:pPr>
        <w:spacing w:after="120" w:line="276"/>
        <w:jc w:val="both"/>
      </w:pPr>
      <w:r>
        <w:rPr>
          <w:rFonts w:ascii="Barlow Semi Condensed" w:cs="Barlow Semi Condensed" w:eastAsia="Barlow Semi Condensed" w:hAnsi="Barlow Semi Condensed"/>
          <w:b/>
          <w:bCs/>
          <w:sz w:val="24"/>
          <w:szCs w:val="24"/>
        </w:rPr>
        <w:t xml:space="preserve">82.</w:t>
      </w:r>
      <w:r>
        <w:rPr>
          <w:rFonts w:ascii="Barlow Semi Condensed" w:cs="Barlow Semi Condensed" w:eastAsia="Barlow Semi Condensed" w:hAnsi="Barlow Semi Condensed"/>
          <w:sz w:val="24"/>
          <w:szCs w:val="24"/>
        </w:rPr>
        <w:t xml:space="preserve"> A ca' l'Alveare — https://www.acalveare.it/2025/11/15/giangiacomo-feltrinelli-leditore-rivoluzionario/ (https://www.acalveare.it/2025/11/15/giangiacomo-feltrinelli-leditore-rivoluzionario/) </w:t>
      </w:r>
      <w:r>
        <w:rPr>
          <w:rFonts w:ascii="Barlow Semi Condensed" w:cs="Barlow Semi Condensed" w:eastAsia="Barlow Semi Condensed" w:hAnsi="Barlow Semi Condensed"/>
          <w:i/>
          <w:iCs/>
          <w:sz w:val="24"/>
          <w:szCs w:val="24"/>
        </w:rPr>
        <w:t xml:space="preserve">(citato 2 volte)</w:t>
      </w:r>
    </w:p>
    <w:p>
      <w:pPr>
        <w:spacing w:after="120" w:line="276"/>
        <w:jc w:val="both"/>
      </w:pPr>
      <w:r>
        <w:rPr>
          <w:rFonts w:ascii="Barlow Semi Condensed" w:cs="Barlow Semi Condensed" w:eastAsia="Barlow Semi Condensed" w:hAnsi="Barlow Semi Condensed"/>
          <w:b/>
          <w:bCs/>
          <w:sz w:val="24"/>
          <w:szCs w:val="24"/>
        </w:rPr>
        <w:t xml:space="preserve">83.</w:t>
      </w:r>
      <w:r>
        <w:rPr>
          <w:rFonts w:ascii="Barlow Semi Condensed" w:cs="Barlow Semi Condensed" w:eastAsia="Barlow Semi Condensed" w:hAnsi="Barlow Semi Condensed"/>
          <w:sz w:val="24"/>
          <w:szCs w:val="24"/>
        </w:rPr>
        <w:t xml:space="preserve"> Salto.bz — https://salto.bz/it/article/08042026/bolivia-sulle-tracce-del-che (https://salto.bz/it/article/08042026/bolivia-sulle-tracce-del-che) </w:t>
      </w:r>
      <w:r>
        <w:rPr>
          <w:rFonts w:ascii="Barlow Semi Condensed" w:cs="Barlow Semi Condensed" w:eastAsia="Barlow Semi Condensed" w:hAnsi="Barlow Semi Condensed"/>
          <w:i/>
          <w:iCs/>
          <w:sz w:val="24"/>
          <w:szCs w:val="24"/>
        </w:rPr>
        <w:t xml:space="preserve">(citato 2 volte)</w:t>
      </w:r>
    </w:p>
    <w:p>
      <w:pPr>
        <w:spacing w:after="120" w:line="276"/>
        <w:jc w:val="both"/>
      </w:pPr>
      <w:r>
        <w:rPr>
          <w:rFonts w:ascii="Barlow Semi Condensed" w:cs="Barlow Semi Condensed" w:eastAsia="Barlow Semi Condensed" w:hAnsi="Barlow Semi Condensed"/>
          <w:b/>
          <w:bCs/>
          <w:sz w:val="24"/>
          <w:szCs w:val="24"/>
        </w:rPr>
        <w:t xml:space="preserve">84.</w:t>
      </w:r>
      <w:r>
        <w:rPr>
          <w:rFonts w:ascii="Barlow Semi Condensed" w:cs="Barlow Semi Condensed" w:eastAsia="Barlow Semi Condensed" w:hAnsi="Barlow Semi Condensed"/>
          <w:sz w:val="24"/>
          <w:szCs w:val="24"/>
        </w:rPr>
        <w:t xml:space="preserve"> Wikipedia IT, Gruppi d'Azione Partigiana — https://it.wikipedia.org/wiki/Gruppi_d%27Azione_Partigiana (https://it.wikipedia.org/wiki/Gruppi_d%27Azione_Partigiana) </w:t>
      </w:r>
      <w:r>
        <w:rPr>
          <w:rFonts w:ascii="Barlow Semi Condensed" w:cs="Barlow Semi Condensed" w:eastAsia="Barlow Semi Condensed" w:hAnsi="Barlow Semi Condensed"/>
          <w:i/>
          <w:iCs/>
          <w:sz w:val="24"/>
          <w:szCs w:val="24"/>
        </w:rPr>
        <w:t xml:space="preserve">(citato 3 volte)</w:t>
      </w:r>
    </w:p>
    <w:p>
      <w:pPr>
        <w:spacing w:after="120" w:line="276"/>
        <w:jc w:val="both"/>
      </w:pPr>
      <w:r>
        <w:rPr>
          <w:rFonts w:ascii="Barlow Semi Condensed" w:cs="Barlow Semi Condensed" w:eastAsia="Barlow Semi Condensed" w:hAnsi="Barlow Semi Condensed"/>
          <w:b/>
          <w:bCs/>
          <w:sz w:val="24"/>
          <w:szCs w:val="24"/>
        </w:rPr>
        <w:t xml:space="preserve">85.</w:t>
      </w:r>
      <w:r>
        <w:rPr>
          <w:rFonts w:ascii="Barlow Semi Condensed" w:cs="Barlow Semi Condensed" w:eastAsia="Barlow Semi Condensed" w:hAnsi="Barlow Semi Condensed"/>
          <w:sz w:val="24"/>
          <w:szCs w:val="24"/>
        </w:rPr>
        <w:t xml:space="preserve"> Il Post — https://www.ilpost.it/2022/03/14/giangiacomo-feltrinelli/ (https://www.ilpost.it/2022/03/14/giangiacomo-feltrinelli/) </w:t>
      </w:r>
      <w:r>
        <w:rPr>
          <w:rFonts w:ascii="Barlow Semi Condensed" w:cs="Barlow Semi Condensed" w:eastAsia="Barlow Semi Condensed" w:hAnsi="Barlow Semi Condensed"/>
          <w:i/>
          <w:iCs/>
          <w:sz w:val="24"/>
          <w:szCs w:val="24"/>
        </w:rPr>
        <w:t xml:space="preserve">(citato 5 volte)</w:t>
      </w:r>
    </w:p>
    <w:p>
      <w:pPr>
        <w:spacing w:after="120" w:line="276"/>
        <w:jc w:val="both"/>
      </w:pPr>
      <w:r>
        <w:rPr>
          <w:rFonts w:ascii="Barlow Semi Condensed" w:cs="Barlow Semi Condensed" w:eastAsia="Barlow Semi Condensed" w:hAnsi="Barlow Semi Condensed"/>
          <w:b/>
          <w:bCs/>
          <w:sz w:val="24"/>
          <w:szCs w:val="24"/>
        </w:rPr>
        <w:t xml:space="preserve">86.</w:t>
      </w:r>
      <w:r>
        <w:rPr>
          <w:rFonts w:ascii="Barlow Semi Condensed" w:cs="Barlow Semi Condensed" w:eastAsia="Barlow Semi Condensed" w:hAnsi="Barlow Semi Condensed"/>
          <w:sz w:val="24"/>
          <w:szCs w:val="24"/>
        </w:rPr>
        <w:t xml:space="preserve"> Fatti per la Storia — https://www.fattiperlastoria.it/morte-feltrinelli/ (https://www.fattiperlastoria.it/morte-feltrinelli/) </w:t>
      </w:r>
      <w:r>
        <w:rPr>
          <w:rFonts w:ascii="Barlow Semi Condensed" w:cs="Barlow Semi Condensed" w:eastAsia="Barlow Semi Condensed" w:hAnsi="Barlow Semi Condensed"/>
          <w:i/>
          <w:iCs/>
          <w:sz w:val="24"/>
          <w:szCs w:val="24"/>
        </w:rPr>
        <w:t xml:space="preserve">(citato 2 volte)</w:t>
      </w:r>
    </w:p>
    <w:p>
      <w:pPr>
        <w:spacing w:after="120" w:line="276"/>
        <w:jc w:val="both"/>
      </w:pPr>
      <w:r>
        <w:rPr>
          <w:rFonts w:ascii="Barlow Semi Condensed" w:cs="Barlow Semi Condensed" w:eastAsia="Barlow Semi Condensed" w:hAnsi="Barlow Semi Condensed"/>
          <w:b/>
          <w:bCs/>
          <w:sz w:val="24"/>
          <w:szCs w:val="24"/>
        </w:rPr>
        <w:t xml:space="preserve">87.</w:t>
      </w:r>
      <w:r>
        <w:rPr>
          <w:rFonts w:ascii="Barlow Semi Condensed" w:cs="Barlow Semi Condensed" w:eastAsia="Barlow Semi Condensed" w:hAnsi="Barlow Semi Condensed"/>
          <w:sz w:val="24"/>
          <w:szCs w:val="24"/>
        </w:rPr>
        <w:t xml:space="preserve"> Italy On This Day — https://www.italyonthisday.com/2018/03/giangiacomo-feltrinelli-Italian-publisher-death-bomb-Milan.html (https://www.italyonthisday.com/2018/03/giangiacomo-feltrinelli-Italian-publisher-death-bomb-Milan.html) </w:t>
      </w:r>
      <w:r>
        <w:rPr>
          <w:rFonts w:ascii="Barlow Semi Condensed" w:cs="Barlow Semi Condensed" w:eastAsia="Barlow Semi Condensed" w:hAnsi="Barlow Semi Condensed"/>
          <w:i/>
          <w:iCs/>
          <w:sz w:val="24"/>
          <w:szCs w:val="24"/>
        </w:rPr>
        <w:t xml:space="preserve">(citato 2 volte)</w:t>
      </w:r>
    </w:p>
    <w:p>
      <w:pPr>
        <w:spacing w:after="120" w:line="276"/>
        <w:jc w:val="both"/>
      </w:pPr>
      <w:r>
        <w:rPr>
          <w:rFonts w:ascii="Barlow Semi Condensed" w:cs="Barlow Semi Condensed" w:eastAsia="Barlow Semi Condensed" w:hAnsi="Barlow Semi Condensed"/>
          <w:b/>
          <w:bCs/>
          <w:sz w:val="24"/>
          <w:szCs w:val="24"/>
        </w:rPr>
        <w:t xml:space="preserve">88.</w:t>
      </w:r>
      <w:r>
        <w:rPr>
          <w:rFonts w:ascii="Barlow Semi Condensed" w:cs="Barlow Semi Condensed" w:eastAsia="Barlow Semi Condensed" w:hAnsi="Barlow Semi Condensed"/>
          <w:sz w:val="24"/>
          <w:szCs w:val="24"/>
        </w:rPr>
        <w:t xml:space="preserve"> Granta — https://granta.com/products/senior-service/ (https://granta.com/products/senior-service/)</w:t>
      </w:r>
    </w:p>
    <w:p>
      <w:pPr>
        <w:spacing w:after="120" w:line="276"/>
        <w:jc w:val="both"/>
      </w:pPr>
      <w:r>
        <w:rPr>
          <w:rFonts w:ascii="Barlow Semi Condensed" w:cs="Barlow Semi Condensed" w:eastAsia="Barlow Semi Condensed" w:hAnsi="Barlow Semi Condensed"/>
          <w:b/>
          <w:bCs/>
          <w:sz w:val="24"/>
          <w:szCs w:val="24"/>
        </w:rPr>
        <w:t xml:space="preserve">89.</w:t>
      </w:r>
      <w:r>
        <w:rPr>
          <w:rFonts w:ascii="Barlow Semi Condensed" w:cs="Barlow Semi Condensed" w:eastAsia="Barlow Semi Condensed" w:hAnsi="Barlow Semi Condensed"/>
          <w:sz w:val="24"/>
          <w:szCs w:val="24"/>
        </w:rPr>
        <w:t xml:space="preserve"> Internet Archive — https://archive.org/details/seniorservice0000felt (https://archive.org/details/seniorservice0000felt)</w:t>
      </w:r>
    </w:p>
    <w:p>
      <w:pPr>
        <w:pStyle w:val="Heading3"/>
        <w:spacing w:after="80" w:before="160"/>
      </w:pPr>
      <w:r>
        <w:rPr>
          <w:rFonts w:ascii="Barlow Semi Condensed" w:cs="Barlow Semi Condensed" w:eastAsia="Barlow Semi Condensed" w:hAnsi="Barlow Semi Condensed"/>
          <w:sz w:val="24"/>
          <w:szCs w:val="24"/>
        </w:rPr>
        <w:t xml:space="preserve">Libro quinto · II — La triangolazione di Feltrinelli</w:t>
      </w:r>
    </w:p>
    <w:p>
      <w:pPr>
        <w:spacing w:after="120" w:line="276"/>
        <w:jc w:val="both"/>
      </w:pPr>
      <w:r>
        <w:rPr>
          <w:rFonts w:ascii="Barlow Semi Condensed" w:cs="Barlow Semi Condensed" w:eastAsia="Barlow Semi Condensed" w:hAnsi="Barlow Semi Condensed"/>
          <w:b/>
          <w:bCs/>
          <w:sz w:val="24"/>
          <w:szCs w:val="24"/>
        </w:rPr>
        <w:t xml:space="preserve">90.</w:t>
      </w:r>
      <w:r>
        <w:rPr>
          <w:rFonts w:ascii="Barlow Semi Condensed" w:cs="Barlow Semi Condensed" w:eastAsia="Barlow Semi Condensed" w:hAnsi="Barlow Semi Condensed"/>
          <w:sz w:val="24"/>
          <w:szCs w:val="24"/>
        </w:rPr>
        <w:t xml:space="preserve"> AbeBooks IT — https://www.abebooks.it/libri/giangiacomo-feltrinelli-dottor-zivago.shtml (https://www.abebooks.it/libri/giangiacomo-feltrinelli-dottor-zivago.shtml)</w:t>
      </w:r>
    </w:p>
    <w:p>
      <w:pPr>
        <w:pStyle w:val="Heading3"/>
        <w:spacing w:after="80" w:before="160"/>
      </w:pPr>
      <w:r>
        <w:rPr>
          <w:rFonts w:ascii="Barlow Semi Condensed" w:cs="Barlow Semi Condensed" w:eastAsia="Barlow Semi Condensed" w:hAnsi="Barlow Semi Condensed"/>
          <w:sz w:val="24"/>
          <w:szCs w:val="24"/>
        </w:rPr>
        <w:t xml:space="preserve">Libro quinto · III — Il nodo Hyperion</w:t>
      </w:r>
    </w:p>
    <w:p>
      <w:pPr>
        <w:spacing w:after="120" w:line="276"/>
        <w:jc w:val="both"/>
      </w:pPr>
      <w:r>
        <w:rPr>
          <w:rFonts w:ascii="Barlow Semi Condensed" w:cs="Barlow Semi Condensed" w:eastAsia="Barlow Semi Condensed" w:hAnsi="Barlow Semi Condensed"/>
          <w:b/>
          <w:bCs/>
          <w:sz w:val="24"/>
          <w:szCs w:val="24"/>
        </w:rPr>
        <w:t xml:space="preserve">91.</w:t>
      </w:r>
      <w:r>
        <w:rPr>
          <w:rFonts w:ascii="Barlow Semi Condensed" w:cs="Barlow Semi Condensed" w:eastAsia="Barlow Semi Condensed" w:hAnsi="Barlow Semi Condensed"/>
          <w:sz w:val="24"/>
          <w:szCs w:val="24"/>
        </w:rPr>
        <w:t xml:space="preserve"> Wikipedia IT, Hyperion (Parigi) — https://it.wikipedia.org/wiki/Hyperion_(Parigi (https://it.wikipedia.org/wiki/Hyperion_(Parigi) </w:t>
      </w:r>
      <w:r>
        <w:rPr>
          <w:rFonts w:ascii="Barlow Semi Condensed" w:cs="Barlow Semi Condensed" w:eastAsia="Barlow Semi Condensed" w:hAnsi="Barlow Semi Condensed"/>
          <w:i/>
          <w:iCs/>
          <w:sz w:val="24"/>
          <w:szCs w:val="24"/>
        </w:rPr>
        <w:t xml:space="preserve">(citato 5 volte)</w:t>
      </w:r>
    </w:p>
    <w:p>
      <w:pPr>
        <w:spacing w:after="120" w:line="276"/>
        <w:jc w:val="both"/>
      </w:pPr>
      <w:r>
        <w:rPr>
          <w:rFonts w:ascii="Barlow Semi Condensed" w:cs="Barlow Semi Condensed" w:eastAsia="Barlow Semi Condensed" w:hAnsi="Barlow Semi Condensed"/>
          <w:b/>
          <w:bCs/>
          <w:sz w:val="24"/>
          <w:szCs w:val="24"/>
        </w:rPr>
        <w:t xml:space="preserve">92.</w:t>
      </w:r>
      <w:r>
        <w:rPr>
          <w:rFonts w:ascii="Barlow Semi Condensed" w:cs="Barlow Semi Condensed" w:eastAsia="Barlow Semi Condensed" w:hAnsi="Barlow Semi Condensed"/>
          <w:sz w:val="24"/>
          <w:szCs w:val="24"/>
        </w:rPr>
        <w:t xml:space="preserve"> Lettera43 — https://www.lettera43.it/scuola-hyperion-gli-intrecci-con-il-caso-moro/ (https://www.lettera43.it/scuola-hyperion-gli-intrecci-con-il-caso-moro/) </w:t>
      </w:r>
      <w:r>
        <w:rPr>
          <w:rFonts w:ascii="Barlow Semi Condensed" w:cs="Barlow Semi Condensed" w:eastAsia="Barlow Semi Condensed" w:hAnsi="Barlow Semi Condensed"/>
          <w:i/>
          <w:iCs/>
          <w:sz w:val="24"/>
          <w:szCs w:val="24"/>
        </w:rPr>
        <w:t xml:space="preserve">(citato 2 volte)</w:t>
      </w:r>
    </w:p>
    <w:p>
      <w:pPr>
        <w:spacing w:after="120" w:line="276"/>
        <w:jc w:val="both"/>
      </w:pPr>
      <w:r>
        <w:rPr>
          <w:rFonts w:ascii="Barlow Semi Condensed" w:cs="Barlow Semi Condensed" w:eastAsia="Barlow Semi Condensed" w:hAnsi="Barlow Semi Condensed"/>
          <w:b/>
          <w:bCs/>
          <w:sz w:val="24"/>
          <w:szCs w:val="24"/>
        </w:rPr>
        <w:t xml:space="preserve">93.</w:t>
      </w:r>
      <w:r>
        <w:rPr>
          <w:rFonts w:ascii="Barlow Semi Condensed" w:cs="Barlow Semi Condensed" w:eastAsia="Barlow Semi Condensed" w:hAnsi="Barlow Semi Condensed"/>
          <w:sz w:val="24"/>
          <w:szCs w:val="24"/>
        </w:rPr>
        <w:t xml:space="preserve"> Lucarelli, Hyperion e Superclan — http://www.valeriolucarelli.it/Hyperion.htm (http://www.valeriolucarelli.it/Hyperion.htm) </w:t>
      </w:r>
      <w:r>
        <w:rPr>
          <w:rFonts w:ascii="Barlow Semi Condensed" w:cs="Barlow Semi Condensed" w:eastAsia="Barlow Semi Condensed" w:hAnsi="Barlow Semi Condensed"/>
          <w:i/>
          <w:iCs/>
          <w:sz w:val="24"/>
          <w:szCs w:val="24"/>
        </w:rPr>
        <w:t xml:space="preserve">(citato 2 volte)</w:t>
      </w:r>
    </w:p>
    <w:p>
      <w:pPr>
        <w:spacing w:after="120" w:line="276"/>
        <w:jc w:val="both"/>
      </w:pPr>
      <w:r>
        <w:rPr>
          <w:rFonts w:ascii="Barlow Semi Condensed" w:cs="Barlow Semi Condensed" w:eastAsia="Barlow Semi Condensed" w:hAnsi="Barlow Semi Condensed"/>
          <w:b/>
          <w:bCs/>
          <w:sz w:val="24"/>
          <w:szCs w:val="24"/>
        </w:rPr>
        <w:t xml:space="preserve">94.</w:t>
      </w:r>
      <w:r>
        <w:rPr>
          <w:rFonts w:ascii="Barlow Semi Condensed" w:cs="Barlow Semi Condensed" w:eastAsia="Barlow Semi Condensed" w:hAnsi="Barlow Semi Condensed"/>
          <w:sz w:val="24"/>
          <w:szCs w:val="24"/>
        </w:rPr>
        <w:t xml:space="preserve"> Tassinari — https://www.ugomariatassinari.it/hyperion-mandati-di-cattura/ (https://www.ugomariatassinari.it/hyperion-mandati-di-cattura/) </w:t>
      </w:r>
      <w:r>
        <w:rPr>
          <w:rFonts w:ascii="Barlow Semi Condensed" w:cs="Barlow Semi Condensed" w:eastAsia="Barlow Semi Condensed" w:hAnsi="Barlow Semi Condensed"/>
          <w:i/>
          <w:iCs/>
          <w:sz w:val="24"/>
          <w:szCs w:val="24"/>
        </w:rPr>
        <w:t xml:space="preserve">(citato 4 volte)</w:t>
      </w:r>
    </w:p>
    <w:p>
      <w:pPr>
        <w:spacing w:after="120" w:line="276"/>
        <w:jc w:val="both"/>
      </w:pPr>
      <w:r>
        <w:rPr>
          <w:rFonts w:ascii="Barlow Semi Condensed" w:cs="Barlow Semi Condensed" w:eastAsia="Barlow Semi Condensed" w:hAnsi="Barlow Semi Condensed"/>
          <w:b/>
          <w:bCs/>
          <w:sz w:val="24"/>
          <w:szCs w:val="24"/>
        </w:rPr>
        <w:t xml:space="preserve">95.</w:t>
      </w:r>
      <w:r>
        <w:rPr>
          <w:rFonts w:ascii="Barlow Semi Condensed" w:cs="Barlow Semi Condensed" w:eastAsia="Barlow Semi Condensed" w:hAnsi="Barlow Semi Condensed"/>
          <w:sz w:val="24"/>
          <w:szCs w:val="24"/>
        </w:rPr>
        <w:t xml:space="preserve"> 2duerighe — https://www.2duerighe.com/rubriche/storie/176537-luci-e-ombre-della-scuola-di-lingue-hyperion.html (https://www.2duerighe.com/rubriche/storie/176537-luci-e-ombre-della-scuola-di-lingue-hyperion.html)</w:t>
      </w:r>
    </w:p>
    <w:p>
      <w:pPr>
        <w:spacing w:after="120" w:line="276"/>
        <w:jc w:val="both"/>
      </w:pPr>
      <w:r>
        <w:rPr>
          <w:rFonts w:ascii="Barlow Semi Condensed" w:cs="Barlow Semi Condensed" w:eastAsia="Barlow Semi Condensed" w:hAnsi="Barlow Semi Condensed"/>
          <w:b/>
          <w:bCs/>
          <w:sz w:val="24"/>
          <w:szCs w:val="24"/>
        </w:rPr>
        <w:t xml:space="preserve">96.</w:t>
      </w:r>
      <w:r>
        <w:rPr>
          <w:rFonts w:ascii="Barlow Semi Condensed" w:cs="Barlow Semi Condensed" w:eastAsia="Barlow Semi Condensed" w:hAnsi="Barlow Semi Condensed"/>
          <w:sz w:val="24"/>
          <w:szCs w:val="24"/>
        </w:rPr>
        <w:t xml:space="preserve"> Colarieti — https://www.colarieti.it/scuola-hyperion-gli-intrecci-con-il-caso-moro/ (https://www.colarieti.it/scuola-hyperion-gli-intrecci-con-il-caso-moro/)</w:t>
      </w:r>
    </w:p>
    <w:p>
      <w:pPr>
        <w:spacing w:after="120" w:line="276"/>
        <w:jc w:val="both"/>
      </w:pPr>
      <w:r>
        <w:rPr>
          <w:rFonts w:ascii="Barlow Semi Condensed" w:cs="Barlow Semi Condensed" w:eastAsia="Barlow Semi Condensed" w:hAnsi="Barlow Semi Condensed"/>
          <w:b/>
          <w:bCs/>
          <w:sz w:val="24"/>
          <w:szCs w:val="24"/>
        </w:rPr>
        <w:t xml:space="preserve">97.</w:t>
      </w:r>
      <w:r>
        <w:rPr>
          <w:rFonts w:ascii="Barlow Semi Condensed" w:cs="Barlow Semi Condensed" w:eastAsia="Barlow Semi Condensed" w:hAnsi="Barlow Semi Condensed"/>
          <w:sz w:val="24"/>
          <w:szCs w:val="24"/>
        </w:rPr>
        <w:t xml:space="preserve"> Comune di Bologna, cronologia — http://www.comune.bologna.it/iperbole/asnsmp/Friuli_Vanni_Mulinaris.html (http://www.comune.bologna.it/iperbole/asnsmp/Friuli_Vanni_Mulinaris.html) </w:t>
      </w:r>
      <w:r>
        <w:rPr>
          <w:rFonts w:ascii="Barlow Semi Condensed" w:cs="Barlow Semi Condensed" w:eastAsia="Barlow Semi Condensed" w:hAnsi="Barlow Semi Condensed"/>
          <w:i/>
          <w:iCs/>
          <w:sz w:val="24"/>
          <w:szCs w:val="24"/>
        </w:rPr>
        <w:t xml:space="preserve">(citato 3 volte)</w:t>
      </w:r>
    </w:p>
    <w:p>
      <w:pPr>
        <w:spacing w:after="120" w:line="276"/>
        <w:jc w:val="both"/>
      </w:pPr>
      <w:r>
        <w:rPr>
          <w:rFonts w:ascii="Barlow Semi Condensed" w:cs="Barlow Semi Condensed" w:eastAsia="Barlow Semi Condensed" w:hAnsi="Barlow Semi Condensed"/>
          <w:b/>
          <w:bCs/>
          <w:sz w:val="24"/>
          <w:szCs w:val="24"/>
        </w:rPr>
        <w:t xml:space="preserve">98.</w:t>
      </w:r>
      <w:r>
        <w:rPr>
          <w:rFonts w:ascii="Barlow Semi Condensed" w:cs="Barlow Semi Condensed" w:eastAsia="Barlow Semi Condensed" w:hAnsi="Barlow Semi Condensed"/>
          <w:sz w:val="24"/>
          <w:szCs w:val="24"/>
        </w:rPr>
        <w:t xml:space="preserve"> Archivio storico del Senato, carteggio Mulinaris — https://patrimonio.archivio.senato.it/inventario/scheda/giacomo-mancini/IT-AFS-043-001944/carteggio-vanni-mulinaris (https://patrimonio.archivio.senato.it/inventario/scheda/giacomo-mancini/IT-AFS-043-001944/carteggio-vanni-mulinaris)</w:t>
      </w:r>
    </w:p>
    <w:p>
      <w:pPr>
        <w:spacing w:after="120" w:line="276"/>
        <w:jc w:val="both"/>
      </w:pPr>
      <w:r>
        <w:rPr>
          <w:rFonts w:ascii="Barlow Semi Condensed" w:cs="Barlow Semi Condensed" w:eastAsia="Barlow Semi Condensed" w:hAnsi="Barlow Semi Condensed"/>
          <w:b/>
          <w:bCs/>
          <w:sz w:val="24"/>
          <w:szCs w:val="24"/>
        </w:rPr>
        <w:t xml:space="preserve">99.</w:t>
      </w:r>
      <w:r>
        <w:rPr>
          <w:rFonts w:ascii="Barlow Semi Condensed" w:cs="Barlow Semi Condensed" w:eastAsia="Barlow Semi Condensed" w:hAnsi="Barlow Semi Condensed"/>
          <w:sz w:val="24"/>
          <w:szCs w:val="24"/>
        </w:rPr>
        <w:t xml:space="preserve"> Camera, stenografico 28/10/2015 — https://documenti.camera.it/leg17/resoconti/commissioni/stenografici/html/68/audiz2/audizione/2015/10/28/stenografico.0056.html (https://documenti.camera.it/leg17/resoconti/commissioni/stenografici/html/68/audiz2/audizione/2015/10/28/stenografico.0056.html)</w:t>
      </w:r>
    </w:p>
    <w:p>
      <w:pPr>
        <w:spacing w:after="120" w:line="276"/>
        <w:jc w:val="both"/>
      </w:pPr>
      <w:r>
        <w:rPr>
          <w:rFonts w:ascii="Barlow Semi Condensed" w:cs="Barlow Semi Condensed" w:eastAsia="Barlow Semi Condensed" w:hAnsi="Barlow Semi Condensed"/>
          <w:b/>
          <w:bCs/>
          <w:sz w:val="24"/>
          <w:szCs w:val="24"/>
        </w:rPr>
        <w:t xml:space="preserve">100.</w:t>
      </w:r>
      <w:r>
        <w:rPr>
          <w:rFonts w:ascii="Barlow Semi Condensed" w:cs="Barlow Semi Condensed" w:eastAsia="Barlow Semi Condensed" w:hAnsi="Barlow Semi Condensed"/>
          <w:sz w:val="24"/>
          <w:szCs w:val="24"/>
        </w:rPr>
        <w:t xml:space="preserve"> Il Fatto Quotidiano — https://www.ilfattoquotidiano.it/2015/10/28/caso-moro-luomo-di-hyperion-alla-commissione-non-centriamo-nulla-eravamo-solo-un-gruppo-di-amici/2169499/ (https://www.ilfattoquotidiano.it/2015/10/28/caso-moro-luomo-di-hyperion-alla-commissione-non-centriamo-nulla-eravamo-solo-un-gruppo-di-amici/2169499/) </w:t>
      </w:r>
      <w:r>
        <w:rPr>
          <w:rFonts w:ascii="Barlow Semi Condensed" w:cs="Barlow Semi Condensed" w:eastAsia="Barlow Semi Condensed" w:hAnsi="Barlow Semi Condensed"/>
          <w:i/>
          <w:iCs/>
          <w:sz w:val="24"/>
          <w:szCs w:val="24"/>
        </w:rPr>
        <w:t xml:space="preserve">(citato 2 volte)</w:t>
      </w:r>
    </w:p>
    <w:p>
      <w:pPr>
        <w:spacing w:after="120" w:line="276"/>
        <w:jc w:val="both"/>
      </w:pPr>
      <w:r>
        <w:rPr>
          <w:rFonts w:ascii="Barlow Semi Condensed" w:cs="Barlow Semi Condensed" w:eastAsia="Barlow Semi Condensed" w:hAnsi="Barlow Semi Condensed"/>
          <w:b/>
          <w:bCs/>
          <w:sz w:val="24"/>
          <w:szCs w:val="24"/>
        </w:rPr>
        <w:t xml:space="preserve">101.</w:t>
      </w:r>
      <w:r>
        <w:rPr>
          <w:rFonts w:ascii="Barlow Semi Condensed" w:cs="Barlow Semi Condensed" w:eastAsia="Barlow Semi Condensed" w:hAnsi="Barlow Semi Condensed"/>
          <w:sz w:val="24"/>
          <w:szCs w:val="24"/>
        </w:rPr>
        <w:t xml:space="preserve"> Scheda editoriale — https://www.unilibro.it/libro/de-prospo-silvano-priore-rosario/chi-manovrava-brigate-rosse-storia-misteri-dell-hyperion-parigi-scuola-lingue-centrale-terrorismo-internazionale/9788862201742 (https://www.unilibro.it/libro/de-prospo-silvano-priore-rosario/chi-manovrava-brigate-rosse-storia-misteri-dell-hyperion-parigi-scuola-lingue-centrale-terrorismo-internazionale/9788862201742)</w:t>
      </w:r>
    </w:p>
    <w:p>
      <w:pPr>
        <w:spacing w:after="120" w:line="276"/>
        <w:jc w:val="both"/>
      </w:pPr>
      <w:r>
        <w:rPr>
          <w:rFonts w:ascii="Barlow Semi Condensed" w:cs="Barlow Semi Condensed" w:eastAsia="Barlow Semi Condensed" w:hAnsi="Barlow Semi Condensed"/>
          <w:b/>
          <w:bCs/>
          <w:sz w:val="24"/>
          <w:szCs w:val="24"/>
        </w:rPr>
        <w:t xml:space="preserve">102.</w:t>
      </w:r>
      <w:r>
        <w:rPr>
          <w:rFonts w:ascii="Barlow Semi Condensed" w:cs="Barlow Semi Condensed" w:eastAsia="Barlow Semi Condensed" w:hAnsi="Barlow Semi Condensed"/>
          <w:sz w:val="24"/>
          <w:szCs w:val="24"/>
        </w:rPr>
        <w:t xml:space="preserve"> Il Sussidiario, intervista — https://www.ilsussidiario.net/news/scuola-di-lingue-hyperion-copriva-terroristi-a-parigi-i-francesi-sapevano-tutto/2164445/ (https://www.ilsussidiario.net/news/scuola-di-lingue-hyperion-copriva-terroristi-a-parigi-i-francesi-sapevano-tutto/2164445/)</w:t>
      </w:r>
    </w:p>
    <w:p>
      <w:pPr>
        <w:pStyle w:val="Heading3"/>
        <w:spacing w:after="80" w:before="160"/>
      </w:pPr>
      <w:r>
        <w:rPr>
          <w:rFonts w:ascii="Barlow Semi Condensed" w:cs="Barlow Semi Condensed" w:eastAsia="Barlow Semi Condensed" w:hAnsi="Barlow Semi Condensed"/>
          <w:sz w:val="24"/>
          <w:szCs w:val="24"/>
        </w:rPr>
        <w:t xml:space="preserve">Libro quinto · IV — L'incrocio Feltrinelli-Hyperion</w:t>
      </w:r>
    </w:p>
    <w:p>
      <w:pPr>
        <w:spacing w:after="120" w:line="276"/>
        <w:jc w:val="both"/>
      </w:pPr>
      <w:r>
        <w:rPr>
          <w:rFonts w:ascii="Barlow Semi Condensed" w:cs="Barlow Semi Condensed" w:eastAsia="Barlow Semi Condensed" w:hAnsi="Barlow Semi Condensed"/>
          <w:b/>
          <w:bCs/>
          <w:sz w:val="24"/>
          <w:szCs w:val="24"/>
        </w:rPr>
        <w:t xml:space="preserve">103.</w:t>
      </w:r>
      <w:r>
        <w:rPr>
          <w:rFonts w:ascii="Barlow Semi Condensed" w:cs="Barlow Semi Condensed" w:eastAsia="Barlow Semi Condensed" w:hAnsi="Barlow Semi Condensed"/>
          <w:sz w:val="24"/>
          <w:szCs w:val="24"/>
        </w:rPr>
        <w:t xml:space="preserve"> Insorgenze/Contropiano — https://insorgenze.net/2026/05/05/dalla-dottrina-mitterrand-alla-perfida-albione-le-mirabili-acrobazie-complottiste-del-giullare-fasanella/ (https://insorgenze.net/2026/05/05/dalla-dottrina-mitterrand-alla-perfida-albione-le-mirabili-acrobazie-complottiste-del-giullare-fasanella/)</w:t>
      </w:r>
    </w:p>
    <w:p>
      <w:pPr>
        <w:spacing w:after="120" w:line="276"/>
        <w:jc w:val="both"/>
      </w:pPr>
      <w:r>
        <w:rPr>
          <w:rFonts w:ascii="Barlow Semi Condensed" w:cs="Barlow Semi Condensed" w:eastAsia="Barlow Semi Condensed" w:hAnsi="Barlow Semi Condensed"/>
          <w:b/>
          <w:bCs/>
          <w:sz w:val="24"/>
          <w:szCs w:val="24"/>
        </w:rPr>
        <w:t xml:space="preserve">104.</w:t>
      </w:r>
      <w:r>
        <w:rPr>
          <w:rFonts w:ascii="Barlow Semi Condensed" w:cs="Barlow Semi Condensed" w:eastAsia="Barlow Semi Condensed" w:hAnsi="Barlow Semi Condensed"/>
          <w:sz w:val="24"/>
          <w:szCs w:val="24"/>
        </w:rPr>
        <w:t xml:space="preserve"> memoria.cultura.gov.it — https://memoria.cultura.gov.it/w/processo-alle-brigate-rosse-e-ai-gap-di-feltrinelli (https://memoria.cultura.gov.it/w/processo-alle-brigate-rosse-e-ai-gap-di-feltrinelli)</w:t>
      </w:r>
    </w:p>
    <w:p>
      <w:pPr>
        <w:spacing w:after="120" w:line="276"/>
        <w:jc w:val="both"/>
      </w:pPr>
      <w:r>
        <w:rPr>
          <w:rFonts w:ascii="Barlow Semi Condensed" w:cs="Barlow Semi Condensed" w:eastAsia="Barlow Semi Condensed" w:hAnsi="Barlow Semi Condensed"/>
          <w:b/>
          <w:bCs/>
          <w:sz w:val="24"/>
          <w:szCs w:val="24"/>
        </w:rPr>
        <w:t xml:space="preserve">105.</w:t>
      </w:r>
      <w:r>
        <w:rPr>
          <w:rFonts w:ascii="Barlow Semi Condensed" w:cs="Barlow Semi Condensed" w:eastAsia="Barlow Semi Condensed" w:hAnsi="Barlow Semi Condensed"/>
          <w:sz w:val="24"/>
          <w:szCs w:val="24"/>
        </w:rPr>
        <w:t xml:space="preserve"> scheda — https://deriveapprodi.com/libro/gappisti/ (https://deriveapprodi.com/libro/gappisti/)</w:t>
      </w:r>
    </w:p>
    <w:p>
      <w:pPr>
        <w:spacing w:after="120" w:line="276"/>
        <w:jc w:val="both"/>
      </w:pPr>
      <w:r>
        <w:rPr>
          <w:rFonts w:ascii="Barlow Semi Condensed" w:cs="Barlow Semi Condensed" w:eastAsia="Barlow Semi Condensed" w:hAnsi="Barlow Semi Condensed"/>
          <w:b/>
          <w:bCs/>
          <w:sz w:val="24"/>
          <w:szCs w:val="24"/>
        </w:rPr>
        <w:t xml:space="preserve">106.</w:t>
      </w:r>
      <w:r>
        <w:rPr>
          <w:rFonts w:ascii="Barlow Semi Condensed" w:cs="Barlow Semi Condensed" w:eastAsia="Barlow Semi Condensed" w:hAnsi="Barlow Semi Condensed"/>
          <w:sz w:val="24"/>
          <w:szCs w:val="24"/>
        </w:rPr>
        <w:t xml:space="preserve"> Insorgenze/Contropiano — https://contropiano.org/news/cultura-news/2026/05/09/dalla-dottrina-mitterrand-alla-perfida-albione-le-acrobazie-complottiste-di-fasanella-0194867 (https://contropiano.org/news/cultura-news/2026/05/09/dalla-dottrina-mitterrand-alla-perfida-albione-le-acrobazie-complottiste-di-fasanella-0194867)</w:t>
      </w:r>
    </w:p>
    <w:p>
      <w:pPr>
        <w:pStyle w:val="Heading3"/>
        <w:spacing w:after="80" w:before="160"/>
      </w:pPr>
      <w:r>
        <w:rPr>
          <w:rFonts w:ascii="Barlow Semi Condensed" w:cs="Barlow Semi Condensed" w:eastAsia="Barlow Semi Condensed" w:hAnsi="Barlow Semi Condensed"/>
          <w:sz w:val="24"/>
          <w:szCs w:val="24"/>
        </w:rPr>
        <w:t xml:space="preserve">Libro quinto · V — Il ceppo Simioni</w:t>
      </w:r>
    </w:p>
    <w:p>
      <w:pPr>
        <w:spacing w:after="120" w:line="276"/>
        <w:jc w:val="both"/>
      </w:pPr>
      <w:r>
        <w:rPr>
          <w:rFonts w:ascii="Barlow Semi Condensed" w:cs="Barlow Semi Condensed" w:eastAsia="Barlow Semi Condensed" w:hAnsi="Barlow Semi Condensed"/>
          <w:b/>
          <w:bCs/>
          <w:sz w:val="24"/>
          <w:szCs w:val="24"/>
        </w:rPr>
        <w:t xml:space="preserve">107.</w:t>
      </w:r>
      <w:r>
        <w:rPr>
          <w:rFonts w:ascii="Barlow Semi Condensed" w:cs="Barlow Semi Condensed" w:eastAsia="Barlow Semi Condensed" w:hAnsi="Barlow Semi Condensed"/>
          <w:sz w:val="24"/>
          <w:szCs w:val="24"/>
        </w:rPr>
        <w:t xml:space="preserve"> Wikipedia, Corrado Simioni — https://it.wikipedia.org/wiki/Corrado_Simioni (https://it.wikipedia.org/wiki/Corrado_Simioni) </w:t>
      </w:r>
      <w:r>
        <w:rPr>
          <w:rFonts w:ascii="Barlow Semi Condensed" w:cs="Barlow Semi Condensed" w:eastAsia="Barlow Semi Condensed" w:hAnsi="Barlow Semi Condensed"/>
          <w:i/>
          <w:iCs/>
          <w:sz w:val="24"/>
          <w:szCs w:val="24"/>
        </w:rPr>
        <w:t xml:space="preserve">(citato 2 volte)</w:t>
      </w:r>
    </w:p>
    <w:p>
      <w:pPr>
        <w:spacing w:after="120" w:line="276"/>
        <w:jc w:val="both"/>
      </w:pPr>
      <w:r>
        <w:rPr>
          <w:rFonts w:ascii="Barlow Semi Condensed" w:cs="Barlow Semi Condensed" w:eastAsia="Barlow Semi Condensed" w:hAnsi="Barlow Semi Condensed"/>
          <w:b/>
          <w:bCs/>
          <w:sz w:val="24"/>
          <w:szCs w:val="24"/>
        </w:rPr>
        <w:t xml:space="preserve">108.</w:t>
      </w:r>
      <w:r>
        <w:rPr>
          <w:rFonts w:ascii="Barlow Semi Condensed" w:cs="Barlow Semi Condensed" w:eastAsia="Barlow Semi Condensed" w:hAnsi="Barlow Semi Condensed"/>
          <w:sz w:val="24"/>
          <w:szCs w:val="24"/>
        </w:rPr>
        <w:t xml:space="preserve"> Spazio70 — https://nazionalpopolare70.wordpress.com/tag/collettivo-politico-metropolitano/ (https://nazionalpopolare70.wordpress.com/tag/collettivo-politico-metropolitano/) </w:t>
      </w:r>
      <w:r>
        <w:rPr>
          <w:rFonts w:ascii="Barlow Semi Condensed" w:cs="Barlow Semi Condensed" w:eastAsia="Barlow Semi Condensed" w:hAnsi="Barlow Semi Condensed"/>
          <w:i/>
          <w:iCs/>
          <w:sz w:val="24"/>
          <w:szCs w:val="24"/>
        </w:rPr>
        <w:t xml:space="preserve">(citato 2 volte)</w:t>
      </w:r>
    </w:p>
    <w:p>
      <w:pPr>
        <w:spacing w:after="120" w:line="276"/>
        <w:jc w:val="both"/>
      </w:pPr>
      <w:r>
        <w:rPr>
          <w:rFonts w:ascii="Barlow Semi Condensed" w:cs="Barlow Semi Condensed" w:eastAsia="Barlow Semi Condensed" w:hAnsi="Barlow Semi Condensed"/>
          <w:b/>
          <w:bCs/>
          <w:sz w:val="24"/>
          <w:szCs w:val="24"/>
        </w:rPr>
        <w:t xml:space="preserve">109.</w:t>
      </w:r>
      <w:r>
        <w:rPr>
          <w:rFonts w:ascii="Barlow Semi Condensed" w:cs="Barlow Semi Condensed" w:eastAsia="Barlow Semi Condensed" w:hAnsi="Barlow Semi Condensed"/>
          <w:sz w:val="24"/>
          <w:szCs w:val="24"/>
        </w:rPr>
        <w:t xml:space="preserve"> Wikipedia, Superclan — https://it.wikipedia.org/wiki/Superclan (https://it.wikipedia.org/wiki/Superclan)</w:t>
      </w:r>
    </w:p>
    <w:p>
      <w:pPr>
        <w:spacing w:after="120" w:line="276"/>
        <w:jc w:val="both"/>
      </w:pPr>
      <w:r>
        <w:rPr>
          <w:rFonts w:ascii="Barlow Semi Condensed" w:cs="Barlow Semi Condensed" w:eastAsia="Barlow Semi Condensed" w:hAnsi="Barlow Semi Condensed"/>
          <w:b/>
          <w:bCs/>
          <w:sz w:val="24"/>
          <w:szCs w:val="24"/>
        </w:rPr>
        <w:t xml:space="preserve">110.</w:t>
      </w:r>
      <w:r>
        <w:rPr>
          <w:rFonts w:ascii="Barlow Semi Condensed" w:cs="Barlow Semi Condensed" w:eastAsia="Barlow Semi Condensed" w:hAnsi="Barlow Semi Condensed"/>
          <w:sz w:val="24"/>
          <w:szCs w:val="24"/>
        </w:rPr>
        <w:t xml:space="preserve"> Une intrigue franco-italienne: l'affaire Mulinaris, 1982-1986 — https://shs.cairn.info/journal-materiaux-pour-l-histoire-de-notre-temps-2015-1-page-72?lang=en (https://shs.cairn.info/journal-materiaux-pour-l-histoire-de-notre-temps-2015-1-page-72?lang=en) </w:t>
      </w:r>
      <w:r>
        <w:rPr>
          <w:rFonts w:ascii="Barlow Semi Condensed" w:cs="Barlow Semi Condensed" w:eastAsia="Barlow Semi Condensed" w:hAnsi="Barlow Semi Condensed"/>
          <w:i/>
          <w:iCs/>
          <w:sz w:val="24"/>
          <w:szCs w:val="24"/>
        </w:rPr>
        <w:t xml:space="preserve">(citato 2 volte)</w:t>
      </w:r>
    </w:p>
    <w:p>
      <w:pPr>
        <w:pStyle w:val="Heading3"/>
        <w:spacing w:after="80" w:before="160"/>
      </w:pPr>
      <w:r>
        <w:rPr>
          <w:rFonts w:ascii="Barlow Semi Condensed" w:cs="Barlow Semi Condensed" w:eastAsia="Barlow Semi Condensed" w:hAnsi="Barlow Semi Condensed"/>
          <w:sz w:val="24"/>
          <w:szCs w:val="24"/>
        </w:rPr>
        <w:t xml:space="preserve">Libro sesto · I — Il Tribunale Speciale</w:t>
      </w:r>
    </w:p>
    <w:p>
      <w:pPr>
        <w:spacing w:after="120" w:line="276"/>
        <w:jc w:val="both"/>
      </w:pPr>
      <w:r>
        <w:rPr>
          <w:rFonts w:ascii="Barlow Semi Condensed" w:cs="Barlow Semi Condensed" w:eastAsia="Barlow Semi Condensed" w:hAnsi="Barlow Semi Condensed"/>
          <w:b/>
          <w:bCs/>
          <w:sz w:val="24"/>
          <w:szCs w:val="24"/>
        </w:rPr>
        <w:t xml:space="preserve">111.</w:t>
      </w:r>
      <w:r>
        <w:rPr>
          <w:rFonts w:ascii="Barlow Semi Condensed" w:cs="Barlow Semi Condensed" w:eastAsia="Barlow Semi Condensed" w:hAnsi="Barlow Semi Condensed"/>
          <w:sz w:val="24"/>
          <w:szCs w:val="24"/>
        </w:rPr>
        <w:t xml:space="preserve"> Archivio Centrale dello Stato — https://search.acs.beniculturali.it/OpacACS/authority/IT-ACS-SP00001-00000424 (https://search.acs.beniculturali.it/OpacACS/authority/IT-ACS-SP00001-00000424) </w:t>
      </w:r>
      <w:r>
        <w:rPr>
          <w:rFonts w:ascii="Barlow Semi Condensed" w:cs="Barlow Semi Condensed" w:eastAsia="Barlow Semi Condensed" w:hAnsi="Barlow Semi Condensed"/>
          <w:i/>
          <w:iCs/>
          <w:sz w:val="24"/>
          <w:szCs w:val="24"/>
        </w:rPr>
        <w:t xml:space="preserve">(citato 2 volte)</w:t>
      </w:r>
    </w:p>
    <w:p>
      <w:pPr>
        <w:spacing w:after="120" w:line="276"/>
        <w:jc w:val="both"/>
      </w:pPr>
      <w:r>
        <w:rPr>
          <w:rFonts w:ascii="Barlow Semi Condensed" w:cs="Barlow Semi Condensed" w:eastAsia="Barlow Semi Condensed" w:hAnsi="Barlow Semi Condensed"/>
          <w:b/>
          <w:bCs/>
          <w:sz w:val="24"/>
          <w:szCs w:val="24"/>
        </w:rPr>
        <w:t xml:space="preserve">112.</w:t>
      </w:r>
      <w:r>
        <w:rPr>
          <w:rFonts w:ascii="Barlow Semi Condensed" w:cs="Barlow Semi Condensed" w:eastAsia="Barlow Semi Condensed" w:hAnsi="Barlow Semi Condensed"/>
          <w:sz w:val="24"/>
          <w:szCs w:val="24"/>
        </w:rPr>
        <w:t xml:space="preserve"> Wikipedia IT — https://it.wikipedia.org/wiki/Tribunale_speciale_per_la_difesa_dello_Stato_(1926-1943 (https://it.wikipedia.org/wiki/Tribunale_speciale_per_la_difesa_dello_Stato_(1926-1943) </w:t>
      </w:r>
      <w:r>
        <w:rPr>
          <w:rFonts w:ascii="Barlow Semi Condensed" w:cs="Barlow Semi Condensed" w:eastAsia="Barlow Semi Condensed" w:hAnsi="Barlow Semi Condensed"/>
          <w:i/>
          <w:iCs/>
          <w:sz w:val="24"/>
          <w:szCs w:val="24"/>
        </w:rPr>
        <w:t xml:space="preserve">(citato 4 volte)</w:t>
      </w:r>
    </w:p>
    <w:p>
      <w:pPr>
        <w:spacing w:after="120" w:line="276"/>
        <w:jc w:val="both"/>
      </w:pPr>
      <w:r>
        <w:rPr>
          <w:rFonts w:ascii="Barlow Semi Condensed" w:cs="Barlow Semi Condensed" w:eastAsia="Barlow Semi Condensed" w:hAnsi="Barlow Semi Condensed"/>
          <w:b/>
          <w:bCs/>
          <w:sz w:val="24"/>
          <w:szCs w:val="24"/>
        </w:rPr>
        <w:t xml:space="preserve">113.</w:t>
      </w:r>
      <w:r>
        <w:rPr>
          <w:rFonts w:ascii="Barlow Semi Condensed" w:cs="Barlow Semi Condensed" w:eastAsia="Barlow Semi Condensed" w:hAnsi="Barlow Semi Condensed"/>
          <w:sz w:val="24"/>
          <w:szCs w:val="24"/>
        </w:rPr>
        <w:t xml:space="preserve"> ANPPIA — https://anppia.it/il-tribunale-speciale/ (https://anppia.it/il-tribunale-speciale/) </w:t>
      </w:r>
      <w:r>
        <w:rPr>
          <w:rFonts w:ascii="Barlow Semi Condensed" w:cs="Barlow Semi Condensed" w:eastAsia="Barlow Semi Condensed" w:hAnsi="Barlow Semi Condensed"/>
          <w:i/>
          <w:iCs/>
          <w:sz w:val="24"/>
          <w:szCs w:val="24"/>
        </w:rPr>
        <w:t xml:space="preserve">(citato 3 volte)</w:t>
      </w:r>
    </w:p>
    <w:p>
      <w:pPr>
        <w:spacing w:after="120" w:line="276"/>
        <w:jc w:val="both"/>
      </w:pPr>
      <w:r>
        <w:rPr>
          <w:rFonts w:ascii="Barlow Semi Condensed" w:cs="Barlow Semi Condensed" w:eastAsia="Barlow Semi Condensed" w:hAnsi="Barlow Semi Condensed"/>
          <w:b/>
          <w:bCs/>
          <w:sz w:val="24"/>
          <w:szCs w:val="24"/>
        </w:rPr>
        <w:t xml:space="preserve">114.</w:t>
      </w:r>
      <w:r>
        <w:rPr>
          <w:rFonts w:ascii="Barlow Semi Condensed" w:cs="Barlow Semi Condensed" w:eastAsia="Barlow Semi Condensed" w:hAnsi="Barlow Semi Condensed"/>
          <w:sz w:val="24"/>
          <w:szCs w:val="24"/>
        </w:rPr>
        <w:t xml:space="preserve"> ANPI, Promemoria — https://promemoria.anpi.it/2656-2/ (https://promemoria.anpi.it/2656-2/) </w:t>
      </w:r>
      <w:r>
        <w:rPr>
          <w:rFonts w:ascii="Barlow Semi Condensed" w:cs="Barlow Semi Condensed" w:eastAsia="Barlow Semi Condensed" w:hAnsi="Barlow Semi Condensed"/>
          <w:i/>
          <w:iCs/>
          <w:sz w:val="24"/>
          <w:szCs w:val="24"/>
        </w:rPr>
        <w:t xml:space="preserve">(citato 2 volte)</w:t>
      </w:r>
    </w:p>
    <w:p>
      <w:pPr>
        <w:spacing w:after="120" w:line="276"/>
        <w:jc w:val="both"/>
      </w:pPr>
      <w:r>
        <w:rPr>
          <w:rFonts w:ascii="Barlow Semi Condensed" w:cs="Barlow Semi Condensed" w:eastAsia="Barlow Semi Condensed" w:hAnsi="Barlow Semi Condensed"/>
          <w:b/>
          <w:bCs/>
          <w:sz w:val="24"/>
          <w:szCs w:val="24"/>
        </w:rPr>
        <w:t xml:space="preserve">115.</w:t>
      </w:r>
      <w:r>
        <w:rPr>
          <w:rFonts w:ascii="Barlow Semi Condensed" w:cs="Barlow Semi Condensed" w:eastAsia="Barlow Semi Condensed" w:hAnsi="Barlow Semi Condensed"/>
          <w:sz w:val="24"/>
          <w:szCs w:val="24"/>
        </w:rPr>
        <w:t xml:space="preserve"> ANPI — https://www.anpi.it/libri/il-tribunale-speciale-la-difesa-dello-stato (https://www.anpi.it/libri/il-tribunale-speciale-la-difesa-dello-stato) </w:t>
      </w:r>
      <w:r>
        <w:rPr>
          <w:rFonts w:ascii="Barlow Semi Condensed" w:cs="Barlow Semi Condensed" w:eastAsia="Barlow Semi Condensed" w:hAnsi="Barlow Semi Condensed"/>
          <w:i/>
          <w:iCs/>
          <w:sz w:val="24"/>
          <w:szCs w:val="24"/>
        </w:rPr>
        <w:t xml:space="preserve">(citato 2 volte)</w:t>
      </w:r>
    </w:p>
    <w:p>
      <w:pPr>
        <w:spacing w:after="120" w:line="276"/>
        <w:jc w:val="both"/>
      </w:pPr>
      <w:r>
        <w:rPr>
          <w:rFonts w:ascii="Barlow Semi Condensed" w:cs="Barlow Semi Condensed" w:eastAsia="Barlow Semi Condensed" w:hAnsi="Barlow Semi Condensed"/>
          <w:b/>
          <w:bCs/>
          <w:sz w:val="24"/>
          <w:szCs w:val="24"/>
        </w:rPr>
        <w:t xml:space="preserve">116.</w:t>
      </w:r>
      <w:r>
        <w:rPr>
          <w:rFonts w:ascii="Barlow Semi Condensed" w:cs="Barlow Semi Condensed" w:eastAsia="Barlow Semi Condensed" w:hAnsi="Barlow Semi Condensed"/>
          <w:sz w:val="24"/>
          <w:szCs w:val="24"/>
        </w:rPr>
        <w:t xml:space="preserve"> ANPPIA, scheda Della Maggiora — https://anppia.it/antifascisti/della-maggiora-michele/ (https://anppia.it/antifascisti/della-maggiora-michele/) </w:t>
      </w:r>
      <w:r>
        <w:rPr>
          <w:rFonts w:ascii="Barlow Semi Condensed" w:cs="Barlow Semi Condensed" w:eastAsia="Barlow Semi Condensed" w:hAnsi="Barlow Semi Condensed"/>
          <w:i/>
          <w:iCs/>
          <w:sz w:val="24"/>
          <w:szCs w:val="24"/>
        </w:rPr>
        <w:t xml:space="preserve">(citato 2 volte)</w:t>
      </w:r>
    </w:p>
    <w:p>
      <w:pPr>
        <w:spacing w:after="120" w:line="276"/>
        <w:jc w:val="both"/>
      </w:pPr>
      <w:r>
        <w:rPr>
          <w:rFonts w:ascii="Barlow Semi Condensed" w:cs="Barlow Semi Condensed" w:eastAsia="Barlow Semi Condensed" w:hAnsi="Barlow Semi Condensed"/>
          <w:b/>
          <w:bCs/>
          <w:sz w:val="24"/>
          <w:szCs w:val="24"/>
        </w:rPr>
        <w:t xml:space="preserve">117.</w:t>
      </w:r>
      <w:r>
        <w:rPr>
          <w:rFonts w:ascii="Barlow Semi Condensed" w:cs="Barlow Semi Condensed" w:eastAsia="Barlow Semi Condensed" w:hAnsi="Barlow Semi Condensed"/>
          <w:sz w:val="24"/>
          <w:szCs w:val="24"/>
        </w:rPr>
        <w:t xml:space="preserve"> Wikipedia IT — https://it.wikipedia.org/wiki/Michele_Della_Maggiora (https://it.wikipedia.org/wiki/Michele_Della_Maggiora) </w:t>
      </w:r>
      <w:r>
        <w:rPr>
          <w:rFonts w:ascii="Barlow Semi Condensed" w:cs="Barlow Semi Condensed" w:eastAsia="Barlow Semi Condensed" w:hAnsi="Barlow Semi Condensed"/>
          <w:i/>
          <w:iCs/>
          <w:sz w:val="24"/>
          <w:szCs w:val="24"/>
        </w:rPr>
        <w:t xml:space="preserve">(citato 2 volte)</w:t>
      </w:r>
    </w:p>
    <w:p>
      <w:pPr>
        <w:spacing w:after="120" w:line="276"/>
        <w:jc w:val="both"/>
      </w:pPr>
      <w:r>
        <w:rPr>
          <w:rFonts w:ascii="Barlow Semi Condensed" w:cs="Barlow Semi Condensed" w:eastAsia="Barlow Semi Condensed" w:hAnsi="Barlow Semi Condensed"/>
          <w:b/>
          <w:bCs/>
          <w:sz w:val="24"/>
          <w:szCs w:val="24"/>
        </w:rPr>
        <w:t xml:space="preserve">118.</w:t>
      </w:r>
      <w:r>
        <w:rPr>
          <w:rFonts w:ascii="Barlow Semi Condensed" w:cs="Barlow Semi Condensed" w:eastAsia="Barlow Semi Condensed" w:hAnsi="Barlow Semi Condensed"/>
          <w:sz w:val="24"/>
          <w:szCs w:val="24"/>
        </w:rPr>
        <w:t xml:space="preserve"> Grosseto Contemporanea — http://www.grossetocontemporanea.it/fucilati-di-basovizza/ (http://www.grossetocontemporanea.it/fucilati-di-basovizza/) </w:t>
      </w:r>
      <w:r>
        <w:rPr>
          <w:rFonts w:ascii="Barlow Semi Condensed" w:cs="Barlow Semi Condensed" w:eastAsia="Barlow Semi Condensed" w:hAnsi="Barlow Semi Condensed"/>
          <w:i/>
          <w:iCs/>
          <w:sz w:val="24"/>
          <w:szCs w:val="24"/>
        </w:rPr>
        <w:t xml:space="preserve">(citato 3 volte)</w:t>
      </w:r>
    </w:p>
    <w:p>
      <w:pPr>
        <w:spacing w:after="120" w:line="276"/>
        <w:jc w:val="both"/>
      </w:pPr>
      <w:r>
        <w:rPr>
          <w:rFonts w:ascii="Barlow Semi Condensed" w:cs="Barlow Semi Condensed" w:eastAsia="Barlow Semi Condensed" w:hAnsi="Barlow Semi Condensed"/>
          <w:b/>
          <w:bCs/>
          <w:sz w:val="24"/>
          <w:szCs w:val="24"/>
        </w:rPr>
        <w:t xml:space="preserve">119.</w:t>
      </w:r>
      <w:r>
        <w:rPr>
          <w:rFonts w:ascii="Barlow Semi Condensed" w:cs="Barlow Semi Condensed" w:eastAsia="Barlow Semi Condensed" w:hAnsi="Barlow Semi Condensed"/>
          <w:sz w:val="24"/>
          <w:szCs w:val="24"/>
        </w:rPr>
        <w:t xml:space="preserve"> PCI Genova, «Il processone» — http://www.pci-genova.it/il-processone-contro-i-comunisti/ (http://www.pci-genova.it/il-processone-contro-i-comunisti/) </w:t>
      </w:r>
      <w:r>
        <w:rPr>
          <w:rFonts w:ascii="Barlow Semi Condensed" w:cs="Barlow Semi Condensed" w:eastAsia="Barlow Semi Condensed" w:hAnsi="Barlow Semi Condensed"/>
          <w:i/>
          <w:iCs/>
          <w:sz w:val="24"/>
          <w:szCs w:val="24"/>
        </w:rPr>
        <w:t xml:space="preserve">(citato 2 volte)</w:t>
      </w:r>
    </w:p>
    <w:p>
      <w:pPr>
        <w:spacing w:after="120" w:line="276"/>
        <w:jc w:val="both"/>
      </w:pPr>
      <w:r>
        <w:rPr>
          <w:rFonts w:ascii="Barlow Semi Condensed" w:cs="Barlow Semi Condensed" w:eastAsia="Barlow Semi Condensed" w:hAnsi="Barlow Semi Condensed"/>
          <w:b/>
          <w:bCs/>
          <w:sz w:val="24"/>
          <w:szCs w:val="24"/>
        </w:rPr>
        <w:t xml:space="preserve">120.</w:t>
      </w:r>
      <w:r>
        <w:rPr>
          <w:rFonts w:ascii="Barlow Semi Condensed" w:cs="Barlow Semi Condensed" w:eastAsia="Barlow Semi Condensed" w:hAnsi="Barlow Semi Condensed"/>
          <w:sz w:val="24"/>
          <w:szCs w:val="24"/>
        </w:rPr>
        <w:t xml:space="preserve"> IGS Italia — https://www.igsitalia.org/attivita-igs/cronache-degli-eventi-gramsciani/140-il-processo-non-ha-fine (https://www.igsitalia.org/attivita-igs/cronache-degli-eventi-gramsciani/140-il-processo-non-ha-fine) </w:t>
      </w:r>
      <w:r>
        <w:rPr>
          <w:rFonts w:ascii="Barlow Semi Condensed" w:cs="Barlow Semi Condensed" w:eastAsia="Barlow Semi Condensed" w:hAnsi="Barlow Semi Condensed"/>
          <w:i/>
          <w:iCs/>
          <w:sz w:val="24"/>
          <w:szCs w:val="24"/>
        </w:rPr>
        <w:t xml:space="preserve">(citato 2 volte)</w:t>
      </w:r>
    </w:p>
    <w:p>
      <w:pPr>
        <w:spacing w:after="120" w:line="276"/>
        <w:jc w:val="both"/>
      </w:pPr>
      <w:r>
        <w:rPr>
          <w:rFonts w:ascii="Barlow Semi Condensed" w:cs="Barlow Semi Condensed" w:eastAsia="Barlow Semi Condensed" w:hAnsi="Barlow Semi Condensed"/>
          <w:b/>
          <w:bCs/>
          <w:sz w:val="24"/>
          <w:szCs w:val="24"/>
        </w:rPr>
        <w:t xml:space="preserve">121.</w:t>
      </w:r>
      <w:r>
        <w:rPr>
          <w:rFonts w:ascii="Barlow Semi Condensed" w:cs="Barlow Semi Condensed" w:eastAsia="Barlow Semi Condensed" w:hAnsi="Barlow Semi Condensed"/>
          <w:sz w:val="24"/>
          <w:szCs w:val="24"/>
        </w:rPr>
        <w:t xml:space="preserve"> vLex, R.D.L. 668/1943 — https://it.vlex.com/vid/regio-decreto-legge-29-862142053 (https://it.vlex.com/vid/regio-decreto-legge-29-862142053) </w:t>
      </w:r>
      <w:r>
        <w:rPr>
          <w:rFonts w:ascii="Barlow Semi Condensed" w:cs="Barlow Semi Condensed" w:eastAsia="Barlow Semi Condensed" w:hAnsi="Barlow Semi Condensed"/>
          <w:i/>
          <w:iCs/>
          <w:sz w:val="24"/>
          <w:szCs w:val="24"/>
        </w:rPr>
        <w:t xml:space="preserve">(citato 2 volte)</w:t>
      </w:r>
    </w:p>
    <w:p>
      <w:pPr>
        <w:spacing w:after="120" w:line="276"/>
        <w:jc w:val="both"/>
      </w:pPr>
      <w:r>
        <w:rPr>
          <w:rFonts w:ascii="Barlow Semi Condensed" w:cs="Barlow Semi Condensed" w:eastAsia="Barlow Semi Condensed" w:hAnsi="Barlow Semi Condensed"/>
          <w:b/>
          <w:bCs/>
          <w:sz w:val="24"/>
          <w:szCs w:val="24"/>
        </w:rPr>
        <w:t xml:space="preserve">122.</w:t>
      </w:r>
      <w:r>
        <w:rPr>
          <w:rFonts w:ascii="Barlow Semi Condensed" w:cs="Barlow Semi Condensed" w:eastAsia="Barlow Semi Condensed" w:hAnsi="Barlow Semi Condensed"/>
          <w:sz w:val="24"/>
          <w:szCs w:val="24"/>
        </w:rPr>
        <w:t xml:space="preserve"> Letture.org — https://www.letture.org/resistenza-e-repressione-il-tribunale-speciale-per-la-difesa-dello-stato-nella-rsi-antonio-grilli (https://www.letture.org/resistenza-e-repressione-il-tribunale-speciale-per-la-difesa-dello-stato-nella-rsi-antonio-grilli) </w:t>
      </w:r>
      <w:r>
        <w:rPr>
          <w:rFonts w:ascii="Barlow Semi Condensed" w:cs="Barlow Semi Condensed" w:eastAsia="Barlow Semi Condensed" w:hAnsi="Barlow Semi Condensed"/>
          <w:i/>
          <w:iCs/>
          <w:sz w:val="24"/>
          <w:szCs w:val="24"/>
        </w:rPr>
        <w:t xml:space="preserve">(citato 2 volte)</w:t>
      </w:r>
    </w:p>
    <w:p>
      <w:pPr>
        <w:spacing w:after="120" w:line="276"/>
        <w:jc w:val="both"/>
      </w:pPr>
      <w:r>
        <w:rPr>
          <w:rFonts w:ascii="Barlow Semi Condensed" w:cs="Barlow Semi Condensed" w:eastAsia="Barlow Semi Condensed" w:hAnsi="Barlow Semi Condensed"/>
          <w:b/>
          <w:bCs/>
          <w:sz w:val="24"/>
          <w:szCs w:val="24"/>
        </w:rPr>
        <w:t xml:space="preserve">123.</w:t>
      </w:r>
      <w:r>
        <w:rPr>
          <w:rFonts w:ascii="Barlow Semi Condensed" w:cs="Barlow Semi Condensed" w:eastAsia="Barlow Semi Condensed" w:hAnsi="Barlow Semi Condensed"/>
          <w:sz w:val="24"/>
          <w:szCs w:val="24"/>
        </w:rPr>
        <w:t xml:space="preserve"> Magistratura Democratica — https://www.magistraturademocratica.it/articolo/25-aprile-costituzione-giurisdizione-20874/ (https://www.magistraturademocratica.it/articolo/25-aprile-costituzione-giurisdizione-20874/) </w:t>
      </w:r>
      <w:r>
        <w:rPr>
          <w:rFonts w:ascii="Barlow Semi Condensed" w:cs="Barlow Semi Condensed" w:eastAsia="Barlow Semi Condensed" w:hAnsi="Barlow Semi Condensed"/>
          <w:i/>
          <w:iCs/>
          <w:sz w:val="24"/>
          <w:szCs w:val="24"/>
        </w:rPr>
        <w:t xml:space="preserve">(citato 2 volte)</w:t>
      </w:r>
    </w:p>
    <w:p>
      <w:pPr>
        <w:spacing w:after="120" w:line="276"/>
        <w:jc w:val="both"/>
      </w:pPr>
      <w:r>
        <w:rPr>
          <w:rFonts w:ascii="Barlow Semi Condensed" w:cs="Barlow Semi Condensed" w:eastAsia="Barlow Semi Condensed" w:hAnsi="Barlow Semi Condensed"/>
          <w:b/>
          <w:bCs/>
          <w:sz w:val="24"/>
          <w:szCs w:val="24"/>
        </w:rPr>
        <w:t xml:space="preserve">124.</w:t>
      </w:r>
      <w:r>
        <w:rPr>
          <w:rFonts w:ascii="Barlow Semi Condensed" w:cs="Barlow Semi Condensed" w:eastAsia="Barlow Semi Condensed" w:hAnsi="Barlow Semi Condensed"/>
          <w:sz w:val="24"/>
          <w:szCs w:val="24"/>
        </w:rPr>
        <w:t xml:space="preserve"> Condannati a morte dal Tribunale speciale — https://it.wikipedia.org/wiki/Condannati_a_morte_dal_Tribunale_speciale_per_la_difesa_dello_Stato (https://it.wikipedia.org/wiki/Condannati_a_morte_dal_Tribunale_speciale_per_la_difesa_dello_Stato)</w:t>
      </w:r>
    </w:p>
    <w:p>
      <w:pPr>
        <w:spacing w:after="120" w:line="276"/>
        <w:jc w:val="both"/>
      </w:pPr>
      <w:r>
        <w:rPr>
          <w:rFonts w:ascii="Barlow Semi Condensed" w:cs="Barlow Semi Condensed" w:eastAsia="Barlow Semi Condensed" w:hAnsi="Barlow Semi Condensed"/>
          <w:b/>
          <w:bCs/>
          <w:sz w:val="24"/>
          <w:szCs w:val="24"/>
        </w:rPr>
        <w:t xml:space="preserve">125.</w:t>
      </w:r>
      <w:r>
        <w:rPr>
          <w:rFonts w:ascii="Barlow Semi Condensed" w:cs="Barlow Semi Condensed" w:eastAsia="Barlow Semi Condensed" w:hAnsi="Barlow Semi Condensed"/>
          <w:sz w:val="24"/>
          <w:szCs w:val="24"/>
        </w:rPr>
        <w:t xml:space="preserve"> diecifebbraio.info — https://www.diecifebbraio.info/2012/09/martiri-di-basovizza-6-settembre-1930/ (https://www.diecifebbraio.info/2012/09/martiri-di-basovizza-6-settembre-1930/)</w:t>
      </w:r>
    </w:p>
    <w:p>
      <w:pPr>
        <w:pStyle w:val="Heading3"/>
        <w:spacing w:after="80" w:before="160"/>
      </w:pPr>
      <w:r>
        <w:rPr>
          <w:rFonts w:ascii="Barlow Semi Condensed" w:cs="Barlow Semi Condensed" w:eastAsia="Barlow Semi Condensed" w:hAnsi="Barlow Semi Condensed"/>
          <w:sz w:val="24"/>
          <w:szCs w:val="24"/>
        </w:rPr>
        <w:t xml:space="preserve">Libro sesto · II — Gli otto sottonodi</w:t>
      </w:r>
    </w:p>
    <w:p>
      <w:pPr>
        <w:spacing w:after="120" w:line="276"/>
        <w:jc w:val="both"/>
      </w:pPr>
      <w:r>
        <w:rPr>
          <w:rFonts w:ascii="Barlow Semi Condensed" w:cs="Barlow Semi Condensed" w:eastAsia="Barlow Semi Condensed" w:hAnsi="Barlow Semi Condensed"/>
          <w:b/>
          <w:bCs/>
          <w:sz w:val="24"/>
          <w:szCs w:val="24"/>
        </w:rPr>
        <w:t xml:space="preserve">126.</w:t>
      </w:r>
      <w:r>
        <w:rPr>
          <w:rFonts w:ascii="Barlow Semi Condensed" w:cs="Barlow Semi Condensed" w:eastAsia="Barlow Semi Condensed" w:hAnsi="Barlow Semi Condensed"/>
          <w:sz w:val="24"/>
          <w:szCs w:val="24"/>
        </w:rPr>
        <w:t xml:space="preserve"> Guido Cristini — https://it.wikipedia.org/wiki/Guido_Cristini (https://it.wikipedia.org/wiki/Guido_Cristini)</w:t>
      </w:r>
    </w:p>
    <w:p>
      <w:pPr>
        <w:spacing w:after="120" w:line="276"/>
        <w:jc w:val="both"/>
      </w:pPr>
      <w:r>
        <w:rPr>
          <w:rFonts w:ascii="Barlow Semi Condensed" w:cs="Barlow Semi Condensed" w:eastAsia="Barlow Semi Condensed" w:hAnsi="Barlow Semi Condensed"/>
          <w:b/>
          <w:bCs/>
          <w:sz w:val="24"/>
          <w:szCs w:val="24"/>
        </w:rPr>
        <w:t xml:space="preserve">127.</w:t>
      </w:r>
      <w:r>
        <w:rPr>
          <w:rFonts w:ascii="Barlow Semi Condensed" w:cs="Barlow Semi Condensed" w:eastAsia="Barlow Semi Condensed" w:hAnsi="Barlow Semi Condensed"/>
          <w:sz w:val="24"/>
          <w:szCs w:val="24"/>
        </w:rPr>
        <w:t xml:space="preserve"> Antonino Tringali Casanuova — https://en.wikipedia.org/wiki/Antonino_Tringali_Casanuova (https://en.wikipedia.org/wiki/Antonino_Tringali_Casanuova)</w:t>
      </w:r>
    </w:p>
    <w:p>
      <w:pPr>
        <w:spacing w:after="120" w:line="276"/>
        <w:jc w:val="both"/>
      </w:pPr>
      <w:r>
        <w:rPr>
          <w:rFonts w:ascii="Barlow Semi Condensed" w:cs="Barlow Semi Condensed" w:eastAsia="Barlow Semi Condensed" w:hAnsi="Barlow Semi Condensed"/>
          <w:b/>
          <w:bCs/>
          <w:sz w:val="24"/>
          <w:szCs w:val="24"/>
        </w:rPr>
        <w:t xml:space="preserve">128.</w:t>
      </w:r>
      <w:r>
        <w:rPr>
          <w:rFonts w:ascii="Barlow Semi Condensed" w:cs="Barlow Semi Condensed" w:eastAsia="Barlow Semi Condensed" w:hAnsi="Barlow Semi Condensed"/>
          <w:sz w:val="24"/>
          <w:szCs w:val="24"/>
        </w:rPr>
        <w:t xml:space="preserve"> Polizia di Stato, scheda Bocchini — https://www.poliziadistato.it/articolo/arturo-bocchini (https://www.poliziadistato.it/articolo/arturo-bocchini)</w:t>
      </w:r>
    </w:p>
    <w:p>
      <w:pPr>
        <w:spacing w:after="120" w:line="276"/>
        <w:jc w:val="both"/>
      </w:pPr>
      <w:r>
        <w:rPr>
          <w:rFonts w:ascii="Barlow Semi Condensed" w:cs="Barlow Semi Condensed" w:eastAsia="Barlow Semi Condensed" w:hAnsi="Barlow Semi Condensed"/>
          <w:b/>
          <w:bCs/>
          <w:sz w:val="24"/>
          <w:szCs w:val="24"/>
        </w:rPr>
        <w:t xml:space="preserve">129.</w:t>
      </w:r>
      <w:r>
        <w:rPr>
          <w:rFonts w:ascii="Barlow Semi Condensed" w:cs="Barlow Semi Condensed" w:eastAsia="Barlow Semi Condensed" w:hAnsi="Barlow Semi Condensed"/>
          <w:sz w:val="24"/>
          <w:szCs w:val="24"/>
        </w:rPr>
        <w:t xml:space="preserve"> Treccani — https://www.treccani.it/enciclopedia/arturo-bocchini_(Dizionario-Biografico (https://www.treccani.it/enciclopedia/arturo-bocchini_(Dizionario-Biografico)</w:t>
      </w:r>
    </w:p>
    <w:p>
      <w:pPr>
        <w:spacing w:after="120" w:line="276"/>
        <w:jc w:val="both"/>
      </w:pPr>
      <w:r>
        <w:rPr>
          <w:rFonts w:ascii="Barlow Semi Condensed" w:cs="Barlow Semi Condensed" w:eastAsia="Barlow Semi Condensed" w:hAnsi="Barlow Semi Condensed"/>
          <w:b/>
          <w:bCs/>
          <w:sz w:val="24"/>
          <w:szCs w:val="24"/>
        </w:rPr>
        <w:t xml:space="preserve">130.</w:t>
      </w:r>
      <w:r>
        <w:rPr>
          <w:rFonts w:ascii="Barlow Semi Condensed" w:cs="Barlow Semi Condensed" w:eastAsia="Barlow Semi Condensed" w:hAnsi="Barlow Semi Condensed"/>
          <w:sz w:val="24"/>
          <w:szCs w:val="24"/>
        </w:rPr>
        <w:t xml:space="preserve"> Wikipedia EN, OVRA — https://en.wikipedia.org/wiki/OVRA (https://en.wikipedia.org/wiki/OVRA)</w:t>
      </w:r>
    </w:p>
    <w:p>
      <w:pPr>
        <w:spacing w:after="120" w:line="276"/>
        <w:jc w:val="both"/>
      </w:pPr>
      <w:r>
        <w:rPr>
          <w:rFonts w:ascii="Barlow Semi Condensed" w:cs="Barlow Semi Condensed" w:eastAsia="Barlow Semi Condensed" w:hAnsi="Barlow Semi Condensed"/>
          <w:b/>
          <w:bCs/>
          <w:sz w:val="24"/>
          <w:szCs w:val="24"/>
        </w:rPr>
        <w:t xml:space="preserve">131.</w:t>
      </w:r>
      <w:r>
        <w:rPr>
          <w:rFonts w:ascii="Barlow Semi Condensed" w:cs="Barlow Semi Condensed" w:eastAsia="Barlow Semi Condensed" w:hAnsi="Barlow Semi Condensed"/>
          <w:sz w:val="24"/>
          <w:szCs w:val="24"/>
        </w:rPr>
        <w:t xml:space="preserve"> La Bottega del Barbieri — https://www.labottegadelbarbieri.org/trieste-1941-processi-fascisti-e-lotta-di-liberazione/ (https://www.labottegadelbarbieri.org/trieste-1941-processi-fascisti-e-lotta-di-liberazione/)</w:t>
      </w:r>
    </w:p>
    <w:p>
      <w:pPr>
        <w:spacing w:after="120" w:line="276"/>
        <w:jc w:val="both"/>
      </w:pPr>
      <w:r>
        <w:rPr>
          <w:rFonts w:ascii="Barlow Semi Condensed" w:cs="Barlow Semi Condensed" w:eastAsia="Barlow Semi Condensed" w:hAnsi="Barlow Semi Condensed"/>
          <w:b/>
          <w:bCs/>
          <w:sz w:val="24"/>
          <w:szCs w:val="24"/>
        </w:rPr>
        <w:t xml:space="preserve">132.</w:t>
      </w:r>
      <w:r>
        <w:rPr>
          <w:rFonts w:ascii="Barlow Semi Condensed" w:cs="Barlow Semi Condensed" w:eastAsia="Barlow Semi Condensed" w:hAnsi="Barlow Semi Condensed"/>
          <w:sz w:val="24"/>
          <w:szCs w:val="24"/>
        </w:rPr>
        <w:t xml:space="preserve"> Wikipedia IT, Pinko Tomažič — https://it.wikipedia.org/wiki/Pinko_Toma%C5%BEi%C4%8D (https://it.wikipedia.org/wiki/Pinko_Toma%C5%BEi%C4%8D)</w:t>
      </w:r>
    </w:p>
    <w:p>
      <w:pPr>
        <w:spacing w:after="120" w:line="276"/>
        <w:jc w:val="both"/>
      </w:pPr>
      <w:r>
        <w:rPr>
          <w:rFonts w:ascii="Barlow Semi Condensed" w:cs="Barlow Semi Condensed" w:eastAsia="Barlow Semi Condensed" w:hAnsi="Barlow Semi Condensed"/>
          <w:b/>
          <w:bCs/>
          <w:sz w:val="24"/>
          <w:szCs w:val="24"/>
        </w:rPr>
        <w:t xml:space="preserve">133.</w:t>
      </w:r>
      <w:r>
        <w:rPr>
          <w:rFonts w:ascii="Barlow Semi Condensed" w:cs="Barlow Semi Condensed" w:eastAsia="Barlow Semi Condensed" w:hAnsi="Barlow Semi Condensed"/>
          <w:sz w:val="24"/>
          <w:szCs w:val="24"/>
        </w:rPr>
        <w:t xml:space="preserve"> ANPI Trieste — https://www.anpits.it/ (https://www.anpits.it/)</w:t>
      </w:r>
    </w:p>
    <w:p>
      <w:pPr>
        <w:spacing w:after="120" w:line="276"/>
        <w:jc w:val="both"/>
      </w:pPr>
      <w:r>
        <w:rPr>
          <w:rFonts w:ascii="Barlow Semi Condensed" w:cs="Barlow Semi Condensed" w:eastAsia="Barlow Semi Condensed" w:hAnsi="Barlow Semi Condensed"/>
          <w:b/>
          <w:bCs/>
          <w:sz w:val="24"/>
          <w:szCs w:val="24"/>
        </w:rPr>
        <w:t xml:space="preserve">134.</w:t>
      </w:r>
      <w:r>
        <w:rPr>
          <w:rFonts w:ascii="Barlow Semi Condensed" w:cs="Barlow Semi Condensed" w:eastAsia="Barlow Semi Condensed" w:hAnsi="Barlow Semi Condensed"/>
          <w:sz w:val="24"/>
          <w:szCs w:val="24"/>
        </w:rPr>
        <w:t xml:space="preserve"> Quirinale, biografia — https://presidenti.quirinale.it/page/7/per-biografia.html (https://presidenti.quirinale.it/page/7/per-biografia.html)</w:t>
      </w:r>
    </w:p>
    <w:p>
      <w:pPr>
        <w:spacing w:after="120" w:line="276"/>
        <w:jc w:val="both"/>
      </w:pPr>
      <w:r>
        <w:rPr>
          <w:rFonts w:ascii="Barlow Semi Condensed" w:cs="Barlow Semi Condensed" w:eastAsia="Barlow Semi Condensed" w:hAnsi="Barlow Semi Condensed"/>
          <w:b/>
          <w:bCs/>
          <w:sz w:val="24"/>
          <w:szCs w:val="24"/>
        </w:rPr>
        <w:t xml:space="preserve">135.</w:t>
      </w:r>
      <w:r>
        <w:rPr>
          <w:rFonts w:ascii="Barlow Semi Condensed" w:cs="Barlow Semi Condensed" w:eastAsia="Barlow Semi Condensed" w:hAnsi="Barlow Semi Condensed"/>
          <w:sz w:val="24"/>
          <w:szCs w:val="24"/>
        </w:rPr>
        <w:t xml:space="preserve"> Treccani — https://www.treccani.it/enciclopedia/alessandro-pertini_(Dizionario-Biografico (https://www.treccani.it/enciclopedia/alessandro-pertini_(Dizionario-Biografico)</w:t>
      </w:r>
    </w:p>
    <w:p>
      <w:pPr>
        <w:spacing w:after="120" w:line="276"/>
        <w:jc w:val="both"/>
      </w:pPr>
      <w:r>
        <w:rPr>
          <w:rFonts w:ascii="Barlow Semi Condensed" w:cs="Barlow Semi Condensed" w:eastAsia="Barlow Semi Condensed" w:hAnsi="Barlow Semi Condensed"/>
          <w:b/>
          <w:bCs/>
          <w:sz w:val="24"/>
          <w:szCs w:val="24"/>
        </w:rPr>
        <w:t xml:space="preserve">136.</w:t>
      </w:r>
      <w:r>
        <w:rPr>
          <w:rFonts w:ascii="Barlow Semi Condensed" w:cs="Barlow Semi Condensed" w:eastAsia="Barlow Semi Condensed" w:hAnsi="Barlow Semi Condensed"/>
          <w:sz w:val="24"/>
          <w:szCs w:val="24"/>
        </w:rPr>
        <w:t xml:space="preserve"> Treccani — https://www.treccani.it/enciclopedia/camilla-ravera_(Dizionario-Biografico (https://www.treccani.it/enciclopedia/camilla-ravera_(Dizionario-Biografico)</w:t>
      </w:r>
    </w:p>
    <w:p>
      <w:pPr>
        <w:spacing w:after="120" w:line="276"/>
        <w:jc w:val="both"/>
      </w:pPr>
      <w:r>
        <w:rPr>
          <w:rFonts w:ascii="Barlow Semi Condensed" w:cs="Barlow Semi Condensed" w:eastAsia="Barlow Semi Condensed" w:hAnsi="Barlow Semi Condensed"/>
          <w:b/>
          <w:bCs/>
          <w:sz w:val="24"/>
          <w:szCs w:val="24"/>
        </w:rPr>
        <w:t xml:space="preserve">137.</w:t>
      </w:r>
      <w:r>
        <w:rPr>
          <w:rFonts w:ascii="Barlow Semi Condensed" w:cs="Barlow Semi Condensed" w:eastAsia="Barlow Semi Condensed" w:hAnsi="Barlow Semi Condensed"/>
          <w:sz w:val="24"/>
          <w:szCs w:val="24"/>
        </w:rPr>
        <w:t xml:space="preserve"> ANPPIA — https://anppia.it/antifascisti/ravera-camilla/ (https://anppia.it/antifascisti/ravera-camilla/)</w:t>
      </w:r>
    </w:p>
    <w:p>
      <w:pPr>
        <w:spacing w:after="120" w:line="276"/>
        <w:jc w:val="both"/>
      </w:pPr>
      <w:r>
        <w:rPr>
          <w:rFonts w:ascii="Barlow Semi Condensed" w:cs="Barlow Semi Condensed" w:eastAsia="Barlow Semi Condensed" w:hAnsi="Barlow Semi Condensed"/>
          <w:b/>
          <w:bCs/>
          <w:sz w:val="24"/>
          <w:szCs w:val="24"/>
        </w:rPr>
        <w:t xml:space="preserve">138.</w:t>
      </w:r>
      <w:r>
        <w:rPr>
          <w:rFonts w:ascii="Barlow Semi Condensed" w:cs="Barlow Semi Condensed" w:eastAsia="Barlow Semi Condensed" w:hAnsi="Barlow Semi Condensed"/>
          <w:sz w:val="24"/>
          <w:szCs w:val="24"/>
        </w:rPr>
        <w:t xml:space="preserve"> scheda — https://www.anpi.it/libri/donne-davanti-al-tribunale-speciale (https://www.anpi.it/libri/donne-davanti-al-tribunale-speciale)</w:t>
      </w:r>
    </w:p>
    <w:p>
      <w:pPr>
        <w:spacing w:after="120" w:line="276"/>
        <w:jc w:val="both"/>
      </w:pPr>
      <w:r>
        <w:rPr>
          <w:rFonts w:ascii="Barlow Semi Condensed" w:cs="Barlow Semi Condensed" w:eastAsia="Barlow Semi Condensed" w:hAnsi="Barlow Semi Condensed"/>
          <w:b/>
          <w:bCs/>
          <w:sz w:val="24"/>
          <w:szCs w:val="24"/>
        </w:rPr>
        <w:t xml:space="preserve">139.</w:t>
      </w:r>
      <w:r>
        <w:rPr>
          <w:rFonts w:ascii="Barlow Semi Condensed" w:cs="Barlow Semi Condensed" w:eastAsia="Barlow Semi Condensed" w:hAnsi="Barlow Semi Condensed"/>
          <w:sz w:val="24"/>
          <w:szCs w:val="24"/>
        </w:rPr>
        <w:t xml:space="preserve"> Wikipedia EN — https://en.wikipedia.org/wiki/Tribunale_speciale_per_la_difesa_dello_Stato_(1926%E2%80%931943 (https://en.wikipedia.org/wiki/Tribunale_speciale_per_la_difesa_dello_Stato_(1926%E2%80%931943)</w:t>
      </w:r>
    </w:p>
    <w:p>
      <w:pPr>
        <w:spacing w:after="120" w:line="276"/>
        <w:jc w:val="both"/>
      </w:pPr>
      <w:r>
        <w:rPr>
          <w:rFonts w:ascii="Barlow Semi Condensed" w:cs="Barlow Semi Condensed" w:eastAsia="Barlow Semi Condensed" w:hAnsi="Barlow Semi Condensed"/>
          <w:b/>
          <w:bCs/>
          <w:sz w:val="24"/>
          <w:szCs w:val="24"/>
        </w:rPr>
        <w:t xml:space="preserve">140.</w:t>
      </w:r>
      <w:r>
        <w:rPr>
          <w:rFonts w:ascii="Barlow Semi Condensed" w:cs="Barlow Semi Condensed" w:eastAsia="Barlow Semi Condensed" w:hAnsi="Barlow Semi Condensed"/>
          <w:sz w:val="24"/>
          <w:szCs w:val="24"/>
        </w:rPr>
        <w:t xml:space="preserve"> «Alla fiera dell'impunità. Il Tribunale speciale di Mussolini» — https://www.micciacorta.it/2017/01/22926/ (https://www.micciacorta.it/2017/01/22926/)</w:t>
      </w:r>
    </w:p>
    <w:p>
      <w:pPr>
        <w:pStyle w:val="Heading3"/>
        <w:spacing w:after="80" w:before="160"/>
      </w:pPr>
      <w:r>
        <w:rPr>
          <w:rFonts w:ascii="Barlow Semi Condensed" w:cs="Barlow Semi Condensed" w:eastAsia="Barlow Semi Condensed" w:hAnsi="Barlow Semi Condensed"/>
          <w:sz w:val="24"/>
          <w:szCs w:val="24"/>
        </w:rPr>
        <w:t xml:space="preserve">Libro sesto · III — Gli amnistiati</w:t>
      </w:r>
    </w:p>
    <w:p>
      <w:pPr>
        <w:spacing w:after="120" w:line="276"/>
        <w:jc w:val="both"/>
      </w:pPr>
      <w:r>
        <w:rPr>
          <w:rFonts w:ascii="Barlow Semi Condensed" w:cs="Barlow Semi Condensed" w:eastAsia="Barlow Semi Condensed" w:hAnsi="Barlow Semi Condensed"/>
          <w:b/>
          <w:bCs/>
          <w:sz w:val="24"/>
          <w:szCs w:val="24"/>
        </w:rPr>
        <w:t xml:space="preserve">141.</w:t>
      </w:r>
      <w:r>
        <w:rPr>
          <w:rFonts w:ascii="Barlow Semi Condensed" w:cs="Barlow Semi Condensed" w:eastAsia="Barlow Semi Condensed" w:hAnsi="Barlow Semi Condensed"/>
          <w:sz w:val="24"/>
          <w:szCs w:val="24"/>
        </w:rPr>
        <w:t xml:space="preserve"> Storia e Memoria di Bologna — https://www.storiaememoriadibologna.it/archivio/organizzazioni/tribunale-speciale-la-difesa-dello-stato (https://www.storiaememoriadibologna.it/archivio/organizzazioni/tribunale-speciale-la-difesa-dello-stato) </w:t>
      </w:r>
      <w:r>
        <w:rPr>
          <w:rFonts w:ascii="Barlow Semi Condensed" w:cs="Barlow Semi Condensed" w:eastAsia="Barlow Semi Condensed" w:hAnsi="Barlow Semi Condensed"/>
          <w:i/>
          <w:iCs/>
          <w:sz w:val="24"/>
          <w:szCs w:val="24"/>
        </w:rPr>
        <w:t xml:space="preserve">(citato 2 volte)</w:t>
      </w:r>
    </w:p>
    <w:p>
      <w:pPr>
        <w:spacing w:after="120" w:line="276"/>
        <w:jc w:val="both"/>
      </w:pPr>
      <w:r>
        <w:rPr>
          <w:rFonts w:ascii="Barlow Semi Condensed" w:cs="Barlow Semi Condensed" w:eastAsia="Barlow Semi Condensed" w:hAnsi="Barlow Semi Condensed"/>
          <w:b/>
          <w:bCs/>
          <w:sz w:val="24"/>
          <w:szCs w:val="24"/>
        </w:rPr>
        <w:t xml:space="preserve">142.</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storiaememoriadibologna.it</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(citato in forma d'indirizzo, 2 volte)</w:t>
      </w:r>
    </w:p>
    <w:p>
      <w:pPr>
        <w:spacing w:after="120" w:line="276"/>
        <w:jc w:val="both"/>
      </w:pPr>
      <w:r>
        <w:rPr>
          <w:rFonts w:ascii="Barlow Semi Condensed" w:cs="Barlow Semi Condensed" w:eastAsia="Barlow Semi Condensed" w:hAnsi="Barlow Semi Condensed"/>
          <w:b/>
          <w:bCs/>
          <w:sz w:val="24"/>
          <w:szCs w:val="24"/>
        </w:rPr>
        <w:t xml:space="preserve">143.</w:t>
      </w:r>
      <w:r>
        <w:rPr>
          <w:rFonts w:ascii="Barlow Semi Condensed" w:cs="Barlow Semi Condensed" w:eastAsia="Barlow Semi Condensed" w:hAnsi="Barlow Semi Condensed"/>
          <w:sz w:val="24"/>
          <w:szCs w:val="24"/>
        </w:rPr>
        <w:t xml:space="preserve"> "Amnistie durante il Fascismo" — https://www.storiaememoriadibologna.it/archivio/eventi/amnistie-durante-il-fascismo (https://www.storiaememoriadibologna.it/archivio/eventi/amnistie-durante-il-fascismo) </w:t>
      </w:r>
      <w:r>
        <w:rPr>
          <w:rFonts w:ascii="Barlow Semi Condensed" w:cs="Barlow Semi Condensed" w:eastAsia="Barlow Semi Condensed" w:hAnsi="Barlow Semi Condensed"/>
          <w:i/>
          <w:iCs/>
          <w:sz w:val="24"/>
          <w:szCs w:val="24"/>
        </w:rPr>
        <w:t xml:space="preserve">(citato 2 volte)</w:t>
      </w:r>
    </w:p>
    <w:p>
      <w:pPr>
        <w:spacing w:after="120" w:line="276"/>
        <w:jc w:val="both"/>
      </w:pPr>
      <w:r>
        <w:rPr>
          <w:rFonts w:ascii="Barlow Semi Condensed" w:cs="Barlow Semi Condensed" w:eastAsia="Barlow Semi Condensed" w:hAnsi="Barlow Semi Condensed"/>
          <w:b/>
          <w:bCs/>
          <w:sz w:val="24"/>
          <w:szCs w:val="24"/>
        </w:rPr>
        <w:t xml:space="preserve">144.</w:t>
      </w:r>
      <w:r>
        <w:rPr>
          <w:rFonts w:ascii="Barlow Semi Condensed" w:cs="Barlow Semi Condensed" w:eastAsia="Barlow Semi Condensed" w:hAnsi="Barlow Semi Condensed"/>
          <w:sz w:val="24"/>
          <w:szCs w:val="24"/>
        </w:rPr>
        <w:t xml:space="preserve"> Alberoni Alfonso — https://www.storiaememoriadibologna.it/archivio/persone/alberoni-alfonso (https://www.storiaememoriadibologna.it/archivio/persone/alberoni-alfonso)</w:t>
      </w:r>
    </w:p>
    <w:p>
      <w:pPr>
        <w:spacing w:after="120" w:line="276"/>
        <w:jc w:val="both"/>
      </w:pPr>
      <w:r>
        <w:rPr>
          <w:rFonts w:ascii="Barlow Semi Condensed" w:cs="Barlow Semi Condensed" w:eastAsia="Barlow Semi Condensed" w:hAnsi="Barlow Semi Condensed"/>
          <w:b/>
          <w:bCs/>
          <w:sz w:val="24"/>
          <w:szCs w:val="24"/>
        </w:rPr>
        <w:t xml:space="preserve">145.</w:t>
      </w:r>
      <w:r>
        <w:rPr>
          <w:rFonts w:ascii="Barlow Semi Condensed" w:cs="Barlow Semi Condensed" w:eastAsia="Barlow Semi Condensed" w:hAnsi="Barlow Semi Condensed"/>
          <w:sz w:val="24"/>
          <w:szCs w:val="24"/>
        </w:rPr>
        <w:t xml:space="preserve"> Alessandri Guido — https://www.storiaememoriadibologna.it/archivio/persone/alessandri-guido (https://www.storiaememoriadibologna.it/archivio/persone/alessandri-guido)</w:t>
      </w:r>
    </w:p>
    <w:p>
      <w:pPr>
        <w:spacing w:after="120" w:line="276"/>
        <w:jc w:val="both"/>
      </w:pPr>
      <w:r>
        <w:rPr>
          <w:rFonts w:ascii="Barlow Semi Condensed" w:cs="Barlow Semi Condensed" w:eastAsia="Barlow Semi Condensed" w:hAnsi="Barlow Semi Condensed"/>
          <w:b/>
          <w:bCs/>
          <w:sz w:val="24"/>
          <w:szCs w:val="24"/>
        </w:rPr>
        <w:t xml:space="preserve">146.</w:t>
      </w:r>
      <w:r>
        <w:rPr>
          <w:rFonts w:ascii="Barlow Semi Condensed" w:cs="Barlow Semi Condensed" w:eastAsia="Barlow Semi Condensed" w:hAnsi="Barlow Semi Condensed"/>
          <w:sz w:val="24"/>
          <w:szCs w:val="24"/>
        </w:rPr>
        <w:t xml:space="preserve"> Bassi Ugo — https://www.storiaememoriadibologna.it/archivio/persone/bassi-ugo-1 (https://www.storiaememoriadibologna.it/archivio/persone/bassi-ugo-1)</w:t>
      </w:r>
    </w:p>
    <w:p>
      <w:pPr>
        <w:spacing w:after="120" w:line="276"/>
        <w:jc w:val="both"/>
      </w:pPr>
      <w:r>
        <w:rPr>
          <w:rFonts w:ascii="Barlow Semi Condensed" w:cs="Barlow Semi Condensed" w:eastAsia="Barlow Semi Condensed" w:hAnsi="Barlow Semi Condensed"/>
          <w:b/>
          <w:bCs/>
          <w:sz w:val="24"/>
          <w:szCs w:val="24"/>
        </w:rPr>
        <w:t xml:space="preserve">147.</w:t>
      </w:r>
      <w:r>
        <w:rPr>
          <w:rFonts w:ascii="Barlow Semi Condensed" w:cs="Barlow Semi Condensed" w:eastAsia="Barlow Semi Condensed" w:hAnsi="Barlow Semi Condensed"/>
          <w:sz w:val="24"/>
          <w:szCs w:val="24"/>
        </w:rPr>
        <w:t xml:space="preserve"> Benfenati Modesto detto Boretti — https://www.storiaememoriadibologna.it/archivio/persone/benfenati-modesto-dettoa-boretti (https://www.storiaememoriadibologna.it/archivio/persone/benfenati-modesto-dettoa-boretti)</w:t>
      </w:r>
    </w:p>
    <w:p>
      <w:pPr>
        <w:spacing w:after="120" w:line="276"/>
        <w:jc w:val="both"/>
      </w:pPr>
      <w:r>
        <w:rPr>
          <w:rFonts w:ascii="Barlow Semi Condensed" w:cs="Barlow Semi Condensed" w:eastAsia="Barlow Semi Condensed" w:hAnsi="Barlow Semi Condensed"/>
          <w:b/>
          <w:bCs/>
          <w:sz w:val="24"/>
          <w:szCs w:val="24"/>
        </w:rPr>
        <w:t xml:space="preserve">148.</w:t>
      </w:r>
      <w:r>
        <w:rPr>
          <w:rFonts w:ascii="Barlow Semi Condensed" w:cs="Barlow Semi Condensed" w:eastAsia="Barlow Semi Condensed" w:hAnsi="Barlow Semi Condensed"/>
          <w:sz w:val="24"/>
          <w:szCs w:val="24"/>
        </w:rPr>
        <w:t xml:space="preserve"> Bernagozzi Lino — https://www.storiaememoriadibologna.it/archivio/persone/bernagozzi-lino (https://www.storiaememoriadibologna.it/archivio/persone/bernagozzi-lino)</w:t>
      </w:r>
    </w:p>
    <w:p>
      <w:pPr>
        <w:spacing w:after="120" w:line="276"/>
        <w:jc w:val="both"/>
      </w:pPr>
      <w:r>
        <w:rPr>
          <w:rFonts w:ascii="Barlow Semi Condensed" w:cs="Barlow Semi Condensed" w:eastAsia="Barlow Semi Condensed" w:hAnsi="Barlow Semi Condensed"/>
          <w:b/>
          <w:bCs/>
          <w:sz w:val="24"/>
          <w:szCs w:val="24"/>
        </w:rPr>
        <w:t xml:space="preserve">149.</w:t>
      </w:r>
      <w:r>
        <w:rPr>
          <w:rFonts w:ascii="Barlow Semi Condensed" w:cs="Barlow Semi Condensed" w:eastAsia="Barlow Semi Condensed" w:hAnsi="Barlow Semi Condensed"/>
          <w:sz w:val="24"/>
          <w:szCs w:val="24"/>
        </w:rPr>
        <w:t xml:space="preserve"> Bignami Torquato — https://www.storiaememoriadibologna.it/archivio/persone/bignami-torquato (https://www.storiaememoriadibologna.it/archivio/persone/bignami-torquato)</w:t>
      </w:r>
    </w:p>
    <w:p>
      <w:pPr>
        <w:spacing w:after="120" w:line="276"/>
        <w:jc w:val="both"/>
      </w:pPr>
      <w:r>
        <w:rPr>
          <w:rFonts w:ascii="Barlow Semi Condensed" w:cs="Barlow Semi Condensed" w:eastAsia="Barlow Semi Condensed" w:hAnsi="Barlow Semi Condensed"/>
          <w:b/>
          <w:bCs/>
          <w:sz w:val="24"/>
          <w:szCs w:val="24"/>
        </w:rPr>
        <w:t xml:space="preserve">150.</w:t>
      </w:r>
      <w:r>
        <w:rPr>
          <w:rFonts w:ascii="Barlow Semi Condensed" w:cs="Barlow Semi Condensed" w:eastAsia="Barlow Semi Condensed" w:hAnsi="Barlow Semi Condensed"/>
          <w:sz w:val="24"/>
          <w:szCs w:val="24"/>
        </w:rPr>
        <w:t xml:space="preserve"> Brini Ubaldo — https://www.storiaememoriadibologna.it/brini-ubaldo-509655-persona (https://www.storiaememoriadibologna.it/brini-ubaldo-509655-persona)</w:t>
      </w:r>
    </w:p>
    <w:p>
      <w:pPr>
        <w:spacing w:after="120" w:line="276"/>
        <w:jc w:val="both"/>
      </w:pPr>
      <w:r>
        <w:rPr>
          <w:rFonts w:ascii="Barlow Semi Condensed" w:cs="Barlow Semi Condensed" w:eastAsia="Barlow Semi Condensed" w:hAnsi="Barlow Semi Condensed"/>
          <w:b/>
          <w:bCs/>
          <w:sz w:val="24"/>
          <w:szCs w:val="24"/>
        </w:rPr>
        <w:t xml:space="preserve">151.</w:t>
      </w:r>
      <w:r>
        <w:rPr>
          <w:rFonts w:ascii="Barlow Semi Condensed" w:cs="Barlow Semi Condensed" w:eastAsia="Barlow Semi Condensed" w:hAnsi="Barlow Semi Condensed"/>
          <w:sz w:val="24"/>
          <w:szCs w:val="24"/>
        </w:rPr>
        <w:t xml:space="preserve"> Capelli Antonino detto Spartaco — https://www.storiaememoriadibologna.it/archivio/persone/capelli-antonino-dettoa-spartaco (https://www.storiaememoriadibologna.it/archivio/persone/capelli-antonino-dettoa-spartaco)</w:t>
      </w:r>
    </w:p>
    <w:p>
      <w:pPr>
        <w:spacing w:after="120" w:line="276"/>
        <w:jc w:val="both"/>
      </w:pPr>
      <w:r>
        <w:rPr>
          <w:rFonts w:ascii="Barlow Semi Condensed" w:cs="Barlow Semi Condensed" w:eastAsia="Barlow Semi Condensed" w:hAnsi="Barlow Semi Condensed"/>
          <w:b/>
          <w:bCs/>
          <w:sz w:val="24"/>
          <w:szCs w:val="24"/>
        </w:rPr>
        <w:t xml:space="preserve">152.</w:t>
      </w:r>
      <w:r>
        <w:rPr>
          <w:rFonts w:ascii="Barlow Semi Condensed" w:cs="Barlow Semi Condensed" w:eastAsia="Barlow Semi Condensed" w:hAnsi="Barlow Semi Condensed"/>
          <w:sz w:val="24"/>
          <w:szCs w:val="24"/>
        </w:rPr>
        <w:t xml:space="preserve"> Casadei Dino detto Bestione — https://www.storiaememoriadibologna.it/archivio/persone/casadei-dino-dettoa-bestione (https://www.storiaememoriadibologna.it/archivio/persone/casadei-dino-dettoa-bestione)</w:t>
      </w:r>
    </w:p>
    <w:p>
      <w:pPr>
        <w:spacing w:after="120" w:line="276"/>
        <w:jc w:val="both"/>
      </w:pPr>
      <w:r>
        <w:rPr>
          <w:rFonts w:ascii="Barlow Semi Condensed" w:cs="Barlow Semi Condensed" w:eastAsia="Barlow Semi Condensed" w:hAnsi="Barlow Semi Condensed"/>
          <w:b/>
          <w:bCs/>
          <w:sz w:val="24"/>
          <w:szCs w:val="24"/>
        </w:rPr>
        <w:t xml:space="preserve">153.</w:t>
      </w:r>
      <w:r>
        <w:rPr>
          <w:rFonts w:ascii="Barlow Semi Condensed" w:cs="Barlow Semi Condensed" w:eastAsia="Barlow Semi Condensed" w:hAnsi="Barlow Semi Condensed"/>
          <w:sz w:val="24"/>
          <w:szCs w:val="24"/>
        </w:rPr>
        <w:t xml:space="preserve"> Fabbri Alberto detto Cri Cri — https://www.storiaememoriadibologna.it/archivio/persone/fabbri-alberto-dettoa-cri-cri (https://www.storiaememoriadibologna.it/archivio/persone/fabbri-alberto-dettoa-cri-cri)</w:t>
      </w:r>
    </w:p>
    <w:p>
      <w:pPr>
        <w:spacing w:after="120" w:line="276"/>
        <w:jc w:val="both"/>
      </w:pPr>
      <w:r>
        <w:rPr>
          <w:rFonts w:ascii="Barlow Semi Condensed" w:cs="Barlow Semi Condensed" w:eastAsia="Barlow Semi Condensed" w:hAnsi="Barlow Semi Condensed"/>
          <w:b/>
          <w:bCs/>
          <w:sz w:val="24"/>
          <w:szCs w:val="24"/>
        </w:rPr>
        <w:t xml:space="preserve">154.</w:t>
      </w:r>
      <w:r>
        <w:rPr>
          <w:rFonts w:ascii="Barlow Semi Condensed" w:cs="Barlow Semi Condensed" w:eastAsia="Barlow Semi Condensed" w:hAnsi="Barlow Semi Condensed"/>
          <w:sz w:val="24"/>
          <w:szCs w:val="24"/>
        </w:rPr>
        <w:t xml:space="preserve"> Fabbri Andrea — https://www.storiaememoriadibologna.it/archivio/persone/fabbri-andrea (https://www.storiaememoriadibologna.it/archivio/persone/fabbri-andrea)</w:t>
      </w:r>
    </w:p>
    <w:p>
      <w:pPr>
        <w:spacing w:after="120" w:line="276"/>
        <w:jc w:val="both"/>
      </w:pPr>
      <w:r>
        <w:rPr>
          <w:rFonts w:ascii="Barlow Semi Condensed" w:cs="Barlow Semi Condensed" w:eastAsia="Barlow Semi Condensed" w:hAnsi="Barlow Semi Condensed"/>
          <w:b/>
          <w:bCs/>
          <w:sz w:val="24"/>
          <w:szCs w:val="24"/>
        </w:rPr>
        <w:t xml:space="preserve">155.</w:t>
      </w:r>
      <w:r>
        <w:rPr>
          <w:rFonts w:ascii="Barlow Semi Condensed" w:cs="Barlow Semi Condensed" w:eastAsia="Barlow Semi Condensed" w:hAnsi="Barlow Semi Condensed"/>
          <w:sz w:val="24"/>
          <w:szCs w:val="24"/>
        </w:rPr>
        <w:t xml:space="preserve"> Fiorini Mario — https://storiaememoriadibologna.it/archivio/persone/fiorini-mario-1 (https://storiaememoriadibologna.it/archivio/persone/fiorini-mario-1)</w:t>
      </w:r>
    </w:p>
    <w:p>
      <w:pPr>
        <w:spacing w:after="120" w:line="276"/>
        <w:jc w:val="both"/>
      </w:pPr>
      <w:r>
        <w:rPr>
          <w:rFonts w:ascii="Barlow Semi Condensed" w:cs="Barlow Semi Condensed" w:eastAsia="Barlow Semi Condensed" w:hAnsi="Barlow Semi Condensed"/>
          <w:b/>
          <w:bCs/>
          <w:sz w:val="24"/>
          <w:szCs w:val="24"/>
        </w:rPr>
        <w:t xml:space="preserve">156.</w:t>
      </w:r>
      <w:r>
        <w:rPr>
          <w:rFonts w:ascii="Barlow Semi Condensed" w:cs="Barlow Semi Condensed" w:eastAsia="Barlow Semi Condensed" w:hAnsi="Barlow Semi Condensed"/>
          <w:sz w:val="24"/>
          <w:szCs w:val="24"/>
        </w:rPr>
        <w:t xml:space="preserve"> Gaiani Renato — https://www.storiaememoriadibologna.it/archivio/persone/gaiani-renato (https://www.storiaememoriadibologna.it/archivio/persone/gaiani-renato)</w:t>
      </w:r>
    </w:p>
    <w:p>
      <w:pPr>
        <w:spacing w:after="120" w:line="276"/>
        <w:jc w:val="both"/>
      </w:pPr>
      <w:r>
        <w:rPr>
          <w:rFonts w:ascii="Barlow Semi Condensed" w:cs="Barlow Semi Condensed" w:eastAsia="Barlow Semi Condensed" w:hAnsi="Barlow Semi Condensed"/>
          <w:b/>
          <w:bCs/>
          <w:sz w:val="24"/>
          <w:szCs w:val="24"/>
        </w:rPr>
        <w:t xml:space="preserve">157.</w:t>
      </w:r>
      <w:r>
        <w:rPr>
          <w:rFonts w:ascii="Barlow Semi Condensed" w:cs="Barlow Semi Condensed" w:eastAsia="Barlow Semi Condensed" w:hAnsi="Barlow Semi Condensed"/>
          <w:sz w:val="24"/>
          <w:szCs w:val="24"/>
        </w:rPr>
        <w:t xml:space="preserve"> Ghini Cairo — https://www.storiaememoriadibologna.it/ghini-cairo-498297-persona (https://www.storiaememoriadibologna.it/ghini-cairo-498297-persona)</w:t>
      </w:r>
    </w:p>
    <w:p>
      <w:pPr>
        <w:spacing w:after="120" w:line="276"/>
        <w:jc w:val="both"/>
      </w:pPr>
      <w:r>
        <w:rPr>
          <w:rFonts w:ascii="Barlow Semi Condensed" w:cs="Barlow Semi Condensed" w:eastAsia="Barlow Semi Condensed" w:hAnsi="Barlow Semi Condensed"/>
          <w:b/>
          <w:bCs/>
          <w:sz w:val="24"/>
          <w:szCs w:val="24"/>
        </w:rPr>
        <w:t xml:space="preserve">158.</w:t>
      </w:r>
      <w:r>
        <w:rPr>
          <w:rFonts w:ascii="Barlow Semi Condensed" w:cs="Barlow Semi Condensed" w:eastAsia="Barlow Semi Condensed" w:hAnsi="Barlow Semi Condensed"/>
          <w:sz w:val="24"/>
          <w:szCs w:val="24"/>
        </w:rPr>
        <w:t xml:space="preserve"> Lelli Giovanni detto Airone — https://storiaememoriadibologna.it/lelli-giovanni-513442-persona (https://storiaememoriadibologna.it/lelli-giovanni-513442-persona)</w:t>
      </w:r>
    </w:p>
    <w:p>
      <w:pPr>
        <w:spacing w:after="120" w:line="276"/>
        <w:jc w:val="both"/>
      </w:pPr>
      <w:r>
        <w:rPr>
          <w:rFonts w:ascii="Barlow Semi Condensed" w:cs="Barlow Semi Condensed" w:eastAsia="Barlow Semi Condensed" w:hAnsi="Barlow Semi Condensed"/>
          <w:b/>
          <w:bCs/>
          <w:sz w:val="24"/>
          <w:szCs w:val="24"/>
        </w:rPr>
        <w:t xml:space="preserve">159.</w:t>
      </w:r>
      <w:r>
        <w:rPr>
          <w:rFonts w:ascii="Barlow Semi Condensed" w:cs="Barlow Semi Condensed" w:eastAsia="Barlow Semi Condensed" w:hAnsi="Barlow Semi Condensed"/>
          <w:sz w:val="24"/>
          <w:szCs w:val="24"/>
        </w:rPr>
        <w:t xml:space="preserve"> Mainetti Cleto — https://storiaememoriadibologna.it/archivio/persone/mainetti-cleto (https://storiaememoriadibologna.it/archivio/persone/mainetti-cleto)</w:t>
      </w:r>
    </w:p>
    <w:p>
      <w:pPr>
        <w:spacing w:after="120" w:line="276"/>
        <w:jc w:val="both"/>
      </w:pPr>
      <w:r>
        <w:rPr>
          <w:rFonts w:ascii="Barlow Semi Condensed" w:cs="Barlow Semi Condensed" w:eastAsia="Barlow Semi Condensed" w:hAnsi="Barlow Semi Condensed"/>
          <w:b/>
          <w:bCs/>
          <w:sz w:val="24"/>
          <w:szCs w:val="24"/>
        </w:rPr>
        <w:t xml:space="preserve">160.</w:t>
      </w:r>
      <w:r>
        <w:rPr>
          <w:rFonts w:ascii="Barlow Semi Condensed" w:cs="Barlow Semi Condensed" w:eastAsia="Barlow Semi Condensed" w:hAnsi="Barlow Semi Condensed"/>
          <w:sz w:val="24"/>
          <w:szCs w:val="24"/>
        </w:rPr>
        <w:t xml:space="preserve"> Manzoni Aldo — https://www.storiaememoriadibologna.it/archivio/persone/manzoni-aldo (https://www.storiaememoriadibologna.it/archivio/persone/manzoni-aldo)</w:t>
      </w:r>
    </w:p>
    <w:p>
      <w:pPr>
        <w:spacing w:after="120" w:line="276"/>
        <w:jc w:val="both"/>
      </w:pPr>
      <w:r>
        <w:rPr>
          <w:rFonts w:ascii="Barlow Semi Condensed" w:cs="Barlow Semi Condensed" w:eastAsia="Barlow Semi Condensed" w:hAnsi="Barlow Semi Condensed"/>
          <w:b/>
          <w:bCs/>
          <w:sz w:val="24"/>
          <w:szCs w:val="24"/>
        </w:rPr>
        <w:t xml:space="preserve">161.</w:t>
      </w:r>
      <w:r>
        <w:rPr>
          <w:rFonts w:ascii="Barlow Semi Condensed" w:cs="Barlow Semi Condensed" w:eastAsia="Barlow Semi Condensed" w:hAnsi="Barlow Semi Condensed"/>
          <w:sz w:val="24"/>
          <w:szCs w:val="24"/>
        </w:rPr>
        <w:t xml:space="preserve"> Melotti Mario — https://www.storiaememoriadibologna.it/melotti-mario-516298-persona (https://www.storiaememoriadibologna.it/melotti-mario-516298-persona)</w:t>
      </w:r>
    </w:p>
    <w:p>
      <w:pPr>
        <w:spacing w:after="120" w:line="276"/>
        <w:jc w:val="both"/>
      </w:pPr>
      <w:r>
        <w:rPr>
          <w:rFonts w:ascii="Barlow Semi Condensed" w:cs="Barlow Semi Condensed" w:eastAsia="Barlow Semi Condensed" w:hAnsi="Barlow Semi Condensed"/>
          <w:b/>
          <w:bCs/>
          <w:sz w:val="24"/>
          <w:szCs w:val="24"/>
        </w:rPr>
        <w:t xml:space="preserve">162.</w:t>
      </w:r>
      <w:r>
        <w:rPr>
          <w:rFonts w:ascii="Barlow Semi Condensed" w:cs="Barlow Semi Condensed" w:eastAsia="Barlow Semi Condensed" w:hAnsi="Barlow Semi Condensed"/>
          <w:sz w:val="24"/>
          <w:szCs w:val="24"/>
        </w:rPr>
        <w:t xml:space="preserve"> Montanari Walter — https://www.storiaememoriadibologna.it/montanari-walter-498620-persona (https://www.storiaememoriadibologna.it/montanari-walter-498620-persona)</w:t>
      </w:r>
    </w:p>
    <w:p>
      <w:pPr>
        <w:spacing w:after="120" w:line="276"/>
        <w:jc w:val="both"/>
      </w:pPr>
      <w:r>
        <w:rPr>
          <w:rFonts w:ascii="Barlow Semi Condensed" w:cs="Barlow Semi Condensed" w:eastAsia="Barlow Semi Condensed" w:hAnsi="Barlow Semi Condensed"/>
          <w:b/>
          <w:bCs/>
          <w:sz w:val="24"/>
          <w:szCs w:val="24"/>
        </w:rPr>
        <w:t xml:space="preserve">163.</w:t>
      </w:r>
      <w:r>
        <w:rPr>
          <w:rFonts w:ascii="Barlow Semi Condensed" w:cs="Barlow Semi Condensed" w:eastAsia="Barlow Semi Condensed" w:hAnsi="Barlow Semi Condensed"/>
          <w:sz w:val="24"/>
          <w:szCs w:val="24"/>
        </w:rPr>
        <w:t xml:space="preserve"> Monterumici Bruno detto Roberti — https://www.storiaememoriadibologna.it/archivio/persone/monterumici-bruno-dettoa-roberti (https://www.storiaememoriadibologna.it/archivio/persone/monterumici-bruno-dettoa-roberti)</w:t>
      </w:r>
    </w:p>
    <w:p>
      <w:pPr>
        <w:spacing w:after="120" w:line="276"/>
        <w:jc w:val="both"/>
      </w:pPr>
      <w:r>
        <w:rPr>
          <w:rFonts w:ascii="Barlow Semi Condensed" w:cs="Barlow Semi Condensed" w:eastAsia="Barlow Semi Condensed" w:hAnsi="Barlow Semi Condensed"/>
          <w:b/>
          <w:bCs/>
          <w:sz w:val="24"/>
          <w:szCs w:val="24"/>
        </w:rPr>
        <w:t xml:space="preserve">164.</w:t>
      </w:r>
      <w:r>
        <w:rPr>
          <w:rFonts w:ascii="Barlow Semi Condensed" w:cs="Barlow Semi Condensed" w:eastAsia="Barlow Semi Condensed" w:hAnsi="Barlow Semi Condensed"/>
          <w:sz w:val="24"/>
          <w:szCs w:val="24"/>
        </w:rPr>
        <w:t xml:space="preserve"> Monti Diego — https://www.storiaememoriadibologna.it/archivio/persone/monti-diego (https://www.storiaememoriadibologna.it/archivio/persone/monti-diego)</w:t>
      </w:r>
    </w:p>
    <w:p>
      <w:pPr>
        <w:spacing w:after="120" w:line="276"/>
        <w:jc w:val="both"/>
      </w:pPr>
      <w:r>
        <w:rPr>
          <w:rFonts w:ascii="Barlow Semi Condensed" w:cs="Barlow Semi Condensed" w:eastAsia="Barlow Semi Condensed" w:hAnsi="Barlow Semi Condensed"/>
          <w:b/>
          <w:bCs/>
          <w:sz w:val="24"/>
          <w:szCs w:val="24"/>
        </w:rPr>
        <w:t xml:space="preserve">165.</w:t>
      </w:r>
      <w:r>
        <w:rPr>
          <w:rFonts w:ascii="Barlow Semi Condensed" w:cs="Barlow Semi Condensed" w:eastAsia="Barlow Semi Condensed" w:hAnsi="Barlow Semi Condensed"/>
          <w:sz w:val="24"/>
          <w:szCs w:val="24"/>
        </w:rPr>
        <w:t xml:space="preserve"> Negrini Antonio — https://www.storiaememoriadibologna.it/archivio/persone/negrini-antonio (https://www.storiaememoriadibologna.it/archivio/persone/negrini-antonio)</w:t>
      </w:r>
    </w:p>
    <w:p>
      <w:pPr>
        <w:spacing w:after="120" w:line="276"/>
        <w:jc w:val="both"/>
      </w:pPr>
      <w:r>
        <w:rPr>
          <w:rFonts w:ascii="Barlow Semi Condensed" w:cs="Barlow Semi Condensed" w:eastAsia="Barlow Semi Condensed" w:hAnsi="Barlow Semi Condensed"/>
          <w:b/>
          <w:bCs/>
          <w:sz w:val="24"/>
          <w:szCs w:val="24"/>
        </w:rPr>
        <w:t xml:space="preserve">166.</w:t>
      </w:r>
      <w:r>
        <w:rPr>
          <w:rFonts w:ascii="Barlow Semi Condensed" w:cs="Barlow Semi Condensed" w:eastAsia="Barlow Semi Condensed" w:hAnsi="Barlow Semi Condensed"/>
          <w:sz w:val="24"/>
          <w:szCs w:val="24"/>
        </w:rPr>
        <w:t xml:space="preserve"> Olivieri Antonino, detto Antonio — https://www.storiaememoriadibologna.it/archivio/persone/olivieri-antonino-detto-antonio (https://www.storiaememoriadibologna.it/archivio/persone/olivieri-antonino-detto-antonio)</w:t>
      </w:r>
    </w:p>
    <w:p>
      <w:pPr>
        <w:spacing w:after="120" w:line="276"/>
        <w:jc w:val="both"/>
      </w:pPr>
      <w:r>
        <w:rPr>
          <w:rFonts w:ascii="Barlow Semi Condensed" w:cs="Barlow Semi Condensed" w:eastAsia="Barlow Semi Condensed" w:hAnsi="Barlow Semi Condensed"/>
          <w:b/>
          <w:bCs/>
          <w:sz w:val="24"/>
          <w:szCs w:val="24"/>
        </w:rPr>
        <w:t xml:space="preserve">167.</w:t>
      </w:r>
      <w:r>
        <w:rPr>
          <w:rFonts w:ascii="Barlow Semi Condensed" w:cs="Barlow Semi Condensed" w:eastAsia="Barlow Semi Condensed" w:hAnsi="Barlow Semi Condensed"/>
          <w:sz w:val="24"/>
          <w:szCs w:val="24"/>
        </w:rPr>
        <w:t xml:space="preserve"> Orsini Dante — https://www.storiaememoriadibologna.it/archivio/persone/orsini-dante (https://www.storiaememoriadibologna.it/archivio/persone/orsini-dante)</w:t>
      </w:r>
    </w:p>
    <w:p>
      <w:pPr>
        <w:spacing w:after="120" w:line="276"/>
        <w:jc w:val="both"/>
      </w:pPr>
      <w:r>
        <w:rPr>
          <w:rFonts w:ascii="Barlow Semi Condensed" w:cs="Barlow Semi Condensed" w:eastAsia="Barlow Semi Condensed" w:hAnsi="Barlow Semi Condensed"/>
          <w:b/>
          <w:bCs/>
          <w:sz w:val="24"/>
          <w:szCs w:val="24"/>
        </w:rPr>
        <w:t xml:space="preserve">168.</w:t>
      </w:r>
      <w:r>
        <w:rPr>
          <w:rFonts w:ascii="Barlow Semi Condensed" w:cs="Barlow Semi Condensed" w:eastAsia="Barlow Semi Condensed" w:hAnsi="Barlow Semi Condensed"/>
          <w:sz w:val="24"/>
          <w:szCs w:val="24"/>
        </w:rPr>
        <w:t xml:space="preserve"> Ottani Agostino detto Sergio — https://www.storiaememoriadibologna.it/archivio/persone/ottani-agostino-dettoa-sergio (https://www.storiaememoriadibologna.it/archivio/persone/ottani-agostino-dettoa-sergio)</w:t>
      </w:r>
    </w:p>
    <w:p>
      <w:pPr>
        <w:spacing w:after="120" w:line="276"/>
        <w:jc w:val="both"/>
      </w:pPr>
      <w:r>
        <w:rPr>
          <w:rFonts w:ascii="Barlow Semi Condensed" w:cs="Barlow Semi Condensed" w:eastAsia="Barlow Semi Condensed" w:hAnsi="Barlow Semi Condensed"/>
          <w:b/>
          <w:bCs/>
          <w:sz w:val="24"/>
          <w:szCs w:val="24"/>
        </w:rPr>
        <w:t xml:space="preserve">169.</w:t>
      </w:r>
      <w:r>
        <w:rPr>
          <w:rFonts w:ascii="Barlow Semi Condensed" w:cs="Barlow Semi Condensed" w:eastAsia="Barlow Semi Condensed" w:hAnsi="Barlow Semi Condensed"/>
          <w:sz w:val="24"/>
          <w:szCs w:val="24"/>
        </w:rPr>
        <w:t xml:space="preserve"> Piana Adelmo detto Calzolaio — https://www.storiaememoriadibologna.it/archivio/persone/piana-adelmo-dettoa-calzolaio (https://www.storiaememoriadibologna.it/archivio/persone/piana-adelmo-dettoa-calzolaio)</w:t>
      </w:r>
    </w:p>
    <w:p>
      <w:pPr>
        <w:spacing w:after="120" w:line="276"/>
        <w:jc w:val="both"/>
      </w:pPr>
      <w:r>
        <w:rPr>
          <w:rFonts w:ascii="Barlow Semi Condensed" w:cs="Barlow Semi Condensed" w:eastAsia="Barlow Semi Condensed" w:hAnsi="Barlow Semi Condensed"/>
          <w:b/>
          <w:bCs/>
          <w:sz w:val="24"/>
          <w:szCs w:val="24"/>
        </w:rPr>
        <w:t xml:space="preserve">170.</w:t>
      </w:r>
      <w:r>
        <w:rPr>
          <w:rFonts w:ascii="Barlow Semi Condensed" w:cs="Barlow Semi Condensed" w:eastAsia="Barlow Semi Condensed" w:hAnsi="Barlow Semi Condensed"/>
          <w:sz w:val="24"/>
          <w:szCs w:val="24"/>
        </w:rPr>
        <w:t xml:space="preserve"> Poletti Enrico — https://www.storiaememoriadibologna.it/archivio/persone/poletti-enrico (https://www.storiaememoriadibologna.it/archivio/persone/poletti-enrico)</w:t>
      </w:r>
    </w:p>
    <w:p>
      <w:pPr>
        <w:spacing w:after="120" w:line="276"/>
        <w:jc w:val="both"/>
      </w:pPr>
      <w:r>
        <w:rPr>
          <w:rFonts w:ascii="Barlow Semi Condensed" w:cs="Barlow Semi Condensed" w:eastAsia="Barlow Semi Condensed" w:hAnsi="Barlow Semi Condensed"/>
          <w:b/>
          <w:bCs/>
          <w:sz w:val="24"/>
          <w:szCs w:val="24"/>
        </w:rPr>
        <w:t xml:space="preserve">171.</w:t>
      </w:r>
      <w:r>
        <w:rPr>
          <w:rFonts w:ascii="Barlow Semi Condensed" w:cs="Barlow Semi Condensed" w:eastAsia="Barlow Semi Condensed" w:hAnsi="Barlow Semi Condensed"/>
          <w:sz w:val="24"/>
          <w:szCs w:val="24"/>
        </w:rPr>
        <w:t xml:space="preserve"> Poletti Guerrino — https://www.storiaememoriadibologna.it/archivio/persone/poletti-guerrino (https://www.storiaememoriadibologna.it/archivio/persone/poletti-guerrino)</w:t>
      </w:r>
    </w:p>
    <w:p>
      <w:pPr>
        <w:spacing w:after="120" w:line="276"/>
        <w:jc w:val="both"/>
      </w:pPr>
      <w:r>
        <w:rPr>
          <w:rFonts w:ascii="Barlow Semi Condensed" w:cs="Barlow Semi Condensed" w:eastAsia="Barlow Semi Condensed" w:hAnsi="Barlow Semi Condensed"/>
          <w:b/>
          <w:bCs/>
          <w:sz w:val="24"/>
          <w:szCs w:val="24"/>
        </w:rPr>
        <w:t xml:space="preserve">172.</w:t>
      </w:r>
      <w:r>
        <w:rPr>
          <w:rFonts w:ascii="Barlow Semi Condensed" w:cs="Barlow Semi Condensed" w:eastAsia="Barlow Semi Condensed" w:hAnsi="Barlow Semi Condensed"/>
          <w:sz w:val="24"/>
          <w:szCs w:val="24"/>
        </w:rPr>
        <w:t xml:space="preserve"> Poletti Livio — https://www.storiaememoriadibologna.it/archivio/persone/poletti-livio (https://www.storiaememoriadibologna.it/archivio/persone/poletti-livio)</w:t>
      </w:r>
    </w:p>
    <w:p>
      <w:pPr>
        <w:spacing w:after="120" w:line="276"/>
        <w:jc w:val="both"/>
      </w:pPr>
      <w:r>
        <w:rPr>
          <w:rFonts w:ascii="Barlow Semi Condensed" w:cs="Barlow Semi Condensed" w:eastAsia="Barlow Semi Condensed" w:hAnsi="Barlow Semi Condensed"/>
          <w:b/>
          <w:bCs/>
          <w:sz w:val="24"/>
          <w:szCs w:val="24"/>
        </w:rPr>
        <w:t xml:space="preserve">173.</w:t>
      </w:r>
      <w:r>
        <w:rPr>
          <w:rFonts w:ascii="Barlow Semi Condensed" w:cs="Barlow Semi Condensed" w:eastAsia="Barlow Semi Condensed" w:hAnsi="Barlow Semi Condensed"/>
          <w:sz w:val="24"/>
          <w:szCs w:val="24"/>
        </w:rPr>
        <w:t xml:space="preserve"> Puca Luigi — https://www.storiaememoriadibologna.it/archivio/persone/puca-luigi (https://www.storiaememoriadibologna.it/archivio/persone/puca-luigi)</w:t>
      </w:r>
    </w:p>
    <w:p>
      <w:pPr>
        <w:spacing w:after="120" w:line="276"/>
        <w:jc w:val="both"/>
      </w:pPr>
      <w:r>
        <w:rPr>
          <w:rFonts w:ascii="Barlow Semi Condensed" w:cs="Barlow Semi Condensed" w:eastAsia="Barlow Semi Condensed" w:hAnsi="Barlow Semi Condensed"/>
          <w:b/>
          <w:bCs/>
          <w:sz w:val="24"/>
          <w:szCs w:val="24"/>
        </w:rPr>
        <w:t xml:space="preserve">174.</w:t>
      </w:r>
      <w:r>
        <w:rPr>
          <w:rFonts w:ascii="Barlow Semi Condensed" w:cs="Barlow Semi Condensed" w:eastAsia="Barlow Semi Condensed" w:hAnsi="Barlow Semi Condensed"/>
          <w:sz w:val="24"/>
          <w:szCs w:val="24"/>
        </w:rPr>
        <w:t xml:space="preserve"> Randi Augusto — https://www.storiaememoriadibologna.it/archivio/persone/randi-augusto (https://www.storiaememoriadibologna.it/archivio/persone/randi-augusto)</w:t>
      </w:r>
    </w:p>
    <w:p>
      <w:pPr>
        <w:spacing w:after="120" w:line="276"/>
        <w:jc w:val="both"/>
      </w:pPr>
      <w:r>
        <w:rPr>
          <w:rFonts w:ascii="Barlow Semi Condensed" w:cs="Barlow Semi Condensed" w:eastAsia="Barlow Semi Condensed" w:hAnsi="Barlow Semi Condensed"/>
          <w:b/>
          <w:bCs/>
          <w:sz w:val="24"/>
          <w:szCs w:val="24"/>
        </w:rPr>
        <w:t xml:space="preserve">175.</w:t>
      </w:r>
      <w:r>
        <w:rPr>
          <w:rFonts w:ascii="Barlow Semi Condensed" w:cs="Barlow Semi Condensed" w:eastAsia="Barlow Semi Condensed" w:hAnsi="Barlow Semi Condensed"/>
          <w:sz w:val="24"/>
          <w:szCs w:val="24"/>
        </w:rPr>
        <w:t xml:space="preserve"> Rebeggiani Carlo — https://www.storiaememoriadibologna.it/archivio/persone/rebeggiani-carlo (https://www.storiaememoriadibologna.it/archivio/persone/rebeggiani-carlo)</w:t>
      </w:r>
    </w:p>
    <w:p>
      <w:pPr>
        <w:spacing w:after="120" w:line="276"/>
        <w:jc w:val="both"/>
      </w:pPr>
      <w:r>
        <w:rPr>
          <w:rFonts w:ascii="Barlow Semi Condensed" w:cs="Barlow Semi Condensed" w:eastAsia="Barlow Semi Condensed" w:hAnsi="Barlow Semi Condensed"/>
          <w:b/>
          <w:bCs/>
          <w:sz w:val="24"/>
          <w:szCs w:val="24"/>
        </w:rPr>
        <w:t xml:space="preserve">176.</w:t>
      </w:r>
      <w:r>
        <w:rPr>
          <w:rFonts w:ascii="Barlow Semi Condensed" w:cs="Barlow Semi Condensed" w:eastAsia="Barlow Semi Condensed" w:hAnsi="Barlow Semi Condensed"/>
          <w:sz w:val="24"/>
          <w:szCs w:val="24"/>
        </w:rPr>
        <w:t xml:space="preserve"> Rinaldi Renato — https://www.storiaememoriadibologna.it/archivio/persone/rinaldi-renato (https://www.storiaememoriadibologna.it/archivio/persone/rinaldi-renato)</w:t>
      </w:r>
    </w:p>
    <w:p>
      <w:pPr>
        <w:spacing w:after="120" w:line="276"/>
        <w:jc w:val="both"/>
      </w:pPr>
      <w:r>
        <w:rPr>
          <w:rFonts w:ascii="Barlow Semi Condensed" w:cs="Barlow Semi Condensed" w:eastAsia="Barlow Semi Condensed" w:hAnsi="Barlow Semi Condensed"/>
          <w:b/>
          <w:bCs/>
          <w:sz w:val="24"/>
          <w:szCs w:val="24"/>
        </w:rPr>
        <w:t xml:space="preserve">177.</w:t>
      </w:r>
      <w:r>
        <w:rPr>
          <w:rFonts w:ascii="Barlow Semi Condensed" w:cs="Barlow Semi Condensed" w:eastAsia="Barlow Semi Condensed" w:hAnsi="Barlow Semi Condensed"/>
          <w:sz w:val="24"/>
          <w:szCs w:val="24"/>
        </w:rPr>
        <w:t xml:space="preserve"> Scarabelli Giorgio detto Vincenzo — https://www.storiaememoriadibologna.it/archivio/persone/scarabelli-giorgio-dettoa-vincenzo (https://www.storiaememoriadibologna.it/archivio/persone/scarabelli-giorgio-dettoa-vincenzo)</w:t>
      </w:r>
    </w:p>
    <w:p>
      <w:pPr>
        <w:spacing w:after="120" w:line="276"/>
        <w:jc w:val="both"/>
      </w:pPr>
      <w:r>
        <w:rPr>
          <w:rFonts w:ascii="Barlow Semi Condensed" w:cs="Barlow Semi Condensed" w:eastAsia="Barlow Semi Condensed" w:hAnsi="Barlow Semi Condensed"/>
          <w:b/>
          <w:bCs/>
          <w:sz w:val="24"/>
          <w:szCs w:val="24"/>
        </w:rPr>
        <w:t xml:space="preserve">178.</w:t>
      </w:r>
      <w:r>
        <w:rPr>
          <w:rFonts w:ascii="Barlow Semi Condensed" w:cs="Barlow Semi Condensed" w:eastAsia="Barlow Semi Condensed" w:hAnsi="Barlow Semi Condensed"/>
          <w:sz w:val="24"/>
          <w:szCs w:val="24"/>
        </w:rPr>
        <w:t xml:space="preserve"> Scardovi Aldo — https://www.storiaememoriadibologna.it/archivio/persone/scardovi-aldo (https://www.storiaememoriadibologna.it/archivio/persone/scardovi-aldo)</w:t>
      </w:r>
    </w:p>
    <w:p>
      <w:pPr>
        <w:spacing w:after="120" w:line="276"/>
        <w:jc w:val="both"/>
      </w:pPr>
      <w:r>
        <w:rPr>
          <w:rFonts w:ascii="Barlow Semi Condensed" w:cs="Barlow Semi Condensed" w:eastAsia="Barlow Semi Condensed" w:hAnsi="Barlow Semi Condensed"/>
          <w:b/>
          <w:bCs/>
          <w:sz w:val="24"/>
          <w:szCs w:val="24"/>
        </w:rPr>
        <w:t xml:space="preserve">179.</w:t>
      </w:r>
      <w:r>
        <w:rPr>
          <w:rFonts w:ascii="Barlow Semi Condensed" w:cs="Barlow Semi Condensed" w:eastAsia="Barlow Semi Condensed" w:hAnsi="Barlow Semi Condensed"/>
          <w:sz w:val="24"/>
          <w:szCs w:val="24"/>
        </w:rPr>
        <w:t xml:space="preserve"> Serantoni Ezio detto Mezzanotte — https://www.storiaememoriadibologna.it/archivio/persone/serantoni-ezio-dettoa-mezzanotte-12 (https://www.storiaememoriadibologna.it/archivio/persone/serantoni-ezio-dettoa-mezzanotte-12)</w:t>
      </w:r>
    </w:p>
    <w:p>
      <w:pPr>
        <w:spacing w:after="120" w:line="276"/>
        <w:jc w:val="both"/>
      </w:pPr>
      <w:r>
        <w:rPr>
          <w:rFonts w:ascii="Barlow Semi Condensed" w:cs="Barlow Semi Condensed" w:eastAsia="Barlow Semi Condensed" w:hAnsi="Barlow Semi Condensed"/>
          <w:b/>
          <w:bCs/>
          <w:sz w:val="24"/>
          <w:szCs w:val="24"/>
        </w:rPr>
        <w:t xml:space="preserve">180.</w:t>
      </w:r>
      <w:r>
        <w:rPr>
          <w:rFonts w:ascii="Barlow Semi Condensed" w:cs="Barlow Semi Condensed" w:eastAsia="Barlow Semi Condensed" w:hAnsi="Barlow Semi Condensed"/>
          <w:sz w:val="24"/>
          <w:szCs w:val="24"/>
        </w:rPr>
        <w:t xml:space="preserve"> Serravalli Domenico — https://www.storiaememoriadibologna.it/archivio/persone/serravalli-domenico (https://www.storiaememoriadibologna.it/archivio/persone/serravalli-domenico)</w:t>
      </w:r>
    </w:p>
    <w:p>
      <w:pPr>
        <w:spacing w:after="120" w:line="276"/>
        <w:jc w:val="both"/>
      </w:pPr>
      <w:r>
        <w:rPr>
          <w:rFonts w:ascii="Barlow Semi Condensed" w:cs="Barlow Semi Condensed" w:eastAsia="Barlow Semi Condensed" w:hAnsi="Barlow Semi Condensed"/>
          <w:b/>
          <w:bCs/>
          <w:sz w:val="24"/>
          <w:szCs w:val="24"/>
        </w:rPr>
        <w:t xml:space="preserve">181.</w:t>
      </w:r>
      <w:r>
        <w:rPr>
          <w:rFonts w:ascii="Barlow Semi Condensed" w:cs="Barlow Semi Condensed" w:eastAsia="Barlow Semi Condensed" w:hAnsi="Barlow Semi Condensed"/>
          <w:sz w:val="24"/>
          <w:szCs w:val="24"/>
        </w:rPr>
        <w:t xml:space="preserve"> Tampieri Pio — https://www.storiaememoriadibologna.it/archivio/persone/tampieri-pio (https://www.storiaememoriadibologna.it/archivio/persone/tampieri-pio)</w:t>
      </w:r>
    </w:p>
    <w:p>
      <w:pPr>
        <w:spacing w:after="120" w:line="276"/>
        <w:jc w:val="both"/>
      </w:pPr>
      <w:r>
        <w:rPr>
          <w:rFonts w:ascii="Barlow Semi Condensed" w:cs="Barlow Semi Condensed" w:eastAsia="Barlow Semi Condensed" w:hAnsi="Barlow Semi Condensed"/>
          <w:b/>
          <w:bCs/>
          <w:sz w:val="24"/>
          <w:szCs w:val="24"/>
        </w:rPr>
        <w:t xml:space="preserve">182.</w:t>
      </w:r>
      <w:r>
        <w:rPr>
          <w:rFonts w:ascii="Barlow Semi Condensed" w:cs="Barlow Semi Condensed" w:eastAsia="Barlow Semi Condensed" w:hAnsi="Barlow Semi Condensed"/>
          <w:sz w:val="24"/>
          <w:szCs w:val="24"/>
        </w:rPr>
        <w:t xml:space="preserve"> Tarozzi Leonildo detto Leo Nardini — https://www.storiaememoriadibologna.it/archivio/persone/tarozzi-leonildo-dettoa-leo-nardini (https://www.storiaememoriadibologna.it/archivio/persone/tarozzi-leonildo-dettoa-leo-nardini)</w:t>
      </w:r>
    </w:p>
    <w:p>
      <w:pPr>
        <w:spacing w:after="120" w:line="276"/>
        <w:jc w:val="both"/>
      </w:pPr>
      <w:r>
        <w:rPr>
          <w:rFonts w:ascii="Barlow Semi Condensed" w:cs="Barlow Semi Condensed" w:eastAsia="Barlow Semi Condensed" w:hAnsi="Barlow Semi Condensed"/>
          <w:b/>
          <w:bCs/>
          <w:sz w:val="24"/>
          <w:szCs w:val="24"/>
        </w:rPr>
        <w:t xml:space="preserve">183.</w:t>
      </w:r>
      <w:r>
        <w:rPr>
          <w:rFonts w:ascii="Barlow Semi Condensed" w:cs="Barlow Semi Condensed" w:eastAsia="Barlow Semi Condensed" w:hAnsi="Barlow Semi Condensed"/>
          <w:sz w:val="24"/>
          <w:szCs w:val="24"/>
        </w:rPr>
        <w:t xml:space="preserve"> Testoni Francesco — https://www.storiaememoriadibologna.it/archivio/persone/testoni-francesco (https://www.storiaememoriadibologna.it/archivio/persone/testoni-francesco)</w:t>
      </w:r>
    </w:p>
    <w:p>
      <w:pPr>
        <w:spacing w:after="120" w:line="276"/>
        <w:jc w:val="both"/>
      </w:pPr>
      <w:r>
        <w:rPr>
          <w:rFonts w:ascii="Barlow Semi Condensed" w:cs="Barlow Semi Condensed" w:eastAsia="Barlow Semi Condensed" w:hAnsi="Barlow Semi Condensed"/>
          <w:b/>
          <w:bCs/>
          <w:sz w:val="24"/>
          <w:szCs w:val="24"/>
        </w:rPr>
        <w:t xml:space="preserve">184.</w:t>
      </w:r>
      <w:r>
        <w:rPr>
          <w:rFonts w:ascii="Barlow Semi Condensed" w:cs="Barlow Semi Condensed" w:eastAsia="Barlow Semi Condensed" w:hAnsi="Barlow Semi Condensed"/>
          <w:sz w:val="24"/>
          <w:szCs w:val="24"/>
        </w:rPr>
        <w:t xml:space="preserve"> Tirapani Mario — https://www.storiaememoriadibologna.it/archivio/persone/tirapani-mario (https://www.storiaememoriadibologna.it/archivio/persone/tirapani-mario)</w:t>
      </w:r>
    </w:p>
    <w:p>
      <w:pPr>
        <w:spacing w:after="120" w:line="276"/>
        <w:jc w:val="both"/>
      </w:pPr>
      <w:r>
        <w:rPr>
          <w:rFonts w:ascii="Barlow Semi Condensed" w:cs="Barlow Semi Condensed" w:eastAsia="Barlow Semi Condensed" w:hAnsi="Barlow Semi Condensed"/>
          <w:b/>
          <w:bCs/>
          <w:sz w:val="24"/>
          <w:szCs w:val="24"/>
        </w:rPr>
        <w:t xml:space="preserve">185.</w:t>
      </w:r>
      <w:r>
        <w:rPr>
          <w:rFonts w:ascii="Barlow Semi Condensed" w:cs="Barlow Semi Condensed" w:eastAsia="Barlow Semi Condensed" w:hAnsi="Barlow Semi Condensed"/>
          <w:sz w:val="24"/>
          <w:szCs w:val="24"/>
        </w:rPr>
        <w:t xml:space="preserve"> Nannetti Nerio detto Sergio — https://www.storiaememoriadibologna.it/archivio/persone/nannetti-nerio-dettoa-sergio (https://www.storiaememoriadibologna.it/archivio/persone/nannetti-nerio-dettoa-sergio)</w:t>
      </w:r>
    </w:p>
    <w:p>
      <w:pPr>
        <w:spacing w:after="120" w:line="276"/>
        <w:jc w:val="both"/>
      </w:pPr>
      <w:r>
        <w:rPr>
          <w:rFonts w:ascii="Barlow Semi Condensed" w:cs="Barlow Semi Condensed" w:eastAsia="Barlow Semi Condensed" w:hAnsi="Barlow Semi Condensed"/>
          <w:b/>
          <w:bCs/>
          <w:sz w:val="24"/>
          <w:szCs w:val="24"/>
        </w:rPr>
        <w:t xml:space="preserve">186.</w:t>
      </w:r>
      <w:r>
        <w:rPr>
          <w:rFonts w:ascii="Barlow Semi Condensed" w:cs="Barlow Semi Condensed" w:eastAsia="Barlow Semi Condensed" w:hAnsi="Barlow Semi Condensed"/>
          <w:sz w:val="24"/>
          <w:szCs w:val="24"/>
        </w:rPr>
        <w:t xml:space="preserve"> Martelli Dino — https://www.storiaememoriadibologna.it/archivio/persone/martelli-dino (https://www.storiaememoriadibologna.it/archivio/persone/martelli-dino)</w:t>
      </w:r>
    </w:p>
    <w:p>
      <w:pPr>
        <w:spacing w:after="120" w:line="276"/>
        <w:jc w:val="both"/>
      </w:pPr>
      <w:r>
        <w:rPr>
          <w:rFonts w:ascii="Barlow Semi Condensed" w:cs="Barlow Semi Condensed" w:eastAsia="Barlow Semi Condensed" w:hAnsi="Barlow Semi Condensed"/>
          <w:b/>
          <w:bCs/>
          <w:sz w:val="24"/>
          <w:szCs w:val="24"/>
        </w:rPr>
        <w:t xml:space="preserve">187.</w:t>
      </w:r>
      <w:r>
        <w:rPr>
          <w:rFonts w:ascii="Barlow Semi Condensed" w:cs="Barlow Semi Condensed" w:eastAsia="Barlow Semi Condensed" w:hAnsi="Barlow Semi Condensed"/>
          <w:sz w:val="24"/>
          <w:szCs w:val="24"/>
        </w:rPr>
        <w:t xml:space="preserve"> Minghetti Erminio — https://storiaememoriadibologna.it/archivio/persone/minghetti-erminio (https://storiaememoriadibologna.it/archivio/persone/minghetti-erminio)</w:t>
      </w:r>
    </w:p>
    <w:p>
      <w:pPr>
        <w:spacing w:after="120" w:line="276"/>
        <w:jc w:val="both"/>
      </w:pPr>
      <w:r>
        <w:rPr>
          <w:rFonts w:ascii="Barlow Semi Condensed" w:cs="Barlow Semi Condensed" w:eastAsia="Barlow Semi Condensed" w:hAnsi="Barlow Semi Condensed"/>
          <w:b/>
          <w:bCs/>
          <w:sz w:val="24"/>
          <w:szCs w:val="24"/>
        </w:rPr>
        <w:t xml:space="preserve">188.</w:t>
      </w:r>
      <w:r>
        <w:rPr>
          <w:rFonts w:ascii="Barlow Semi Condensed" w:cs="Barlow Semi Condensed" w:eastAsia="Barlow Semi Condensed" w:hAnsi="Barlow Semi Condensed"/>
          <w:sz w:val="24"/>
          <w:szCs w:val="24"/>
        </w:rPr>
        <w:t xml:space="preserve"> Mondini Torquato detto Mario — https://www.storiaememoriadibologna.it/archivio/persone/mondini-torquato-detto-mario (https://www.storiaememoriadibologna.it/archivio/persone/mondini-torquato-detto-mario)</w:t>
      </w:r>
    </w:p>
    <w:p>
      <w:pPr>
        <w:spacing w:after="120" w:line="276"/>
        <w:jc w:val="both"/>
      </w:pPr>
      <w:r>
        <w:rPr>
          <w:rFonts w:ascii="Barlow Semi Condensed" w:cs="Barlow Semi Condensed" w:eastAsia="Barlow Semi Condensed" w:hAnsi="Barlow Semi Condensed"/>
          <w:b/>
          <w:bCs/>
          <w:sz w:val="24"/>
          <w:szCs w:val="24"/>
        </w:rPr>
        <w:t xml:space="preserve">189.</w:t>
      </w:r>
      <w:r>
        <w:rPr>
          <w:rFonts w:ascii="Barlow Semi Condensed" w:cs="Barlow Semi Condensed" w:eastAsia="Barlow Semi Condensed" w:hAnsi="Barlow Semi Condensed"/>
          <w:sz w:val="24"/>
          <w:szCs w:val="24"/>
        </w:rPr>
        <w:t xml:space="preserve"> Pancaldi Alfredo — https://www.storiaememoriadibologna.it/archivio/persone/pancaldi-alfredo (https://www.storiaememoriadibologna.it/archivio/persone/pancaldi-alfredo)</w:t>
      </w:r>
    </w:p>
    <w:p>
      <w:pPr>
        <w:spacing w:after="120" w:line="276"/>
        <w:jc w:val="both"/>
      </w:pPr>
      <w:r>
        <w:rPr>
          <w:rFonts w:ascii="Barlow Semi Condensed" w:cs="Barlow Semi Condensed" w:eastAsia="Barlow Semi Condensed" w:hAnsi="Barlow Semi Condensed"/>
          <w:b/>
          <w:bCs/>
          <w:sz w:val="24"/>
          <w:szCs w:val="24"/>
        </w:rPr>
        <w:t xml:space="preserve">190.</w:t>
      </w:r>
      <w:r>
        <w:rPr>
          <w:rFonts w:ascii="Barlow Semi Condensed" w:cs="Barlow Semi Condensed" w:eastAsia="Barlow Semi Condensed" w:hAnsi="Barlow Semi Condensed"/>
          <w:sz w:val="24"/>
          <w:szCs w:val="24"/>
        </w:rPr>
        <w:t xml:space="preserve"> Zanotti Gilberto detto Gil — https://www.storiaememoriadibologna.it/archivio/persone/zanotti-gilberto-dettoa-gil (https://www.storiaememoriadibologna.it/archivio/persone/zanotti-gilberto-dettoa-gil)</w:t>
      </w:r>
    </w:p>
    <w:p>
      <w:pPr>
        <w:spacing w:after="120" w:line="276"/>
        <w:jc w:val="both"/>
      </w:pPr>
      <w:r>
        <w:rPr>
          <w:rFonts w:ascii="Barlow Semi Condensed" w:cs="Barlow Semi Condensed" w:eastAsia="Barlow Semi Condensed" w:hAnsi="Barlow Semi Condensed"/>
          <w:b/>
          <w:bCs/>
          <w:sz w:val="24"/>
          <w:szCs w:val="24"/>
        </w:rPr>
        <w:t xml:space="preserve">191.</w:t>
      </w:r>
      <w:r>
        <w:rPr>
          <w:rFonts w:ascii="Barlow Semi Condensed" w:cs="Barlow Semi Condensed" w:eastAsia="Barlow Semi Condensed" w:hAnsi="Barlow Semi Condensed"/>
          <w:sz w:val="24"/>
          <w:szCs w:val="24"/>
        </w:rPr>
        <w:t xml:space="preserve"> Bastia Noè — https://www.storiaememoriadibologna.it/archivio/luoghi/granarolo-dellemilia-bo-1 (https://www.storiaememoriadibologna.it/archivio/luoghi/granarolo-dellemilia-bo-1)</w:t>
      </w:r>
    </w:p>
    <w:p>
      <w:pPr>
        <w:spacing w:after="120" w:line="276"/>
        <w:jc w:val="both"/>
      </w:pPr>
      <w:r>
        <w:rPr>
          <w:rFonts w:ascii="Barlow Semi Condensed" w:cs="Barlow Semi Condensed" w:eastAsia="Barlow Semi Condensed" w:hAnsi="Barlow Semi Condensed"/>
          <w:b/>
          <w:bCs/>
          <w:sz w:val="24"/>
          <w:szCs w:val="24"/>
        </w:rPr>
        <w:t xml:space="preserve">192.</w:t>
      </w:r>
      <w:r>
        <w:rPr>
          <w:rFonts w:ascii="Barlow Semi Condensed" w:cs="Barlow Semi Condensed" w:eastAsia="Barlow Semi Condensed" w:hAnsi="Barlow Semi Condensed"/>
          <w:sz w:val="24"/>
          <w:szCs w:val="24"/>
        </w:rPr>
        <w:t xml:space="preserve"> Betti Paolo — https://www.storiaememoriadibologna.it/archivio/persone/betti-paolo (https://www.storiaememoriadibologna.it/archivio/persone/betti-paolo)</w:t>
      </w:r>
    </w:p>
    <w:p>
      <w:pPr>
        <w:spacing w:after="120" w:line="276"/>
        <w:jc w:val="both"/>
      </w:pPr>
      <w:r>
        <w:rPr>
          <w:rFonts w:ascii="Barlow Semi Condensed" w:cs="Barlow Semi Condensed" w:eastAsia="Barlow Semi Condensed" w:hAnsi="Barlow Semi Condensed"/>
          <w:b/>
          <w:bCs/>
          <w:sz w:val="24"/>
          <w:szCs w:val="24"/>
        </w:rPr>
        <w:t xml:space="preserve">193.</w:t>
      </w:r>
      <w:r>
        <w:rPr>
          <w:rFonts w:ascii="Barlow Semi Condensed" w:cs="Barlow Semi Condensed" w:eastAsia="Barlow Semi Condensed" w:hAnsi="Barlow Semi Condensed"/>
          <w:sz w:val="24"/>
          <w:szCs w:val="24"/>
        </w:rPr>
        <w:t xml:space="preserve"> Ferroni Alberto — https://www.storiaememoriadibologna.it/archivio/persone/ferroni-alberto (https://www.storiaememoriadibologna.it/archivio/persone/ferroni-alberto)</w:t>
      </w:r>
    </w:p>
    <w:p>
      <w:pPr>
        <w:spacing w:after="120" w:line="276"/>
        <w:jc w:val="both"/>
      </w:pPr>
      <w:r>
        <w:rPr>
          <w:rFonts w:ascii="Barlow Semi Condensed" w:cs="Barlow Semi Condensed" w:eastAsia="Barlow Semi Condensed" w:hAnsi="Barlow Semi Condensed"/>
          <w:b/>
          <w:bCs/>
          <w:sz w:val="24"/>
          <w:szCs w:val="24"/>
        </w:rPr>
        <w:t xml:space="preserve">194.</w:t>
      </w:r>
      <w:r>
        <w:rPr>
          <w:rFonts w:ascii="Barlow Semi Condensed" w:cs="Barlow Semi Condensed" w:eastAsia="Barlow Semi Condensed" w:hAnsi="Barlow Semi Condensed"/>
          <w:sz w:val="24"/>
          <w:szCs w:val="24"/>
        </w:rPr>
        <w:t xml:space="preserve"> Guerra Ivo — https://www.storiaememoriadibologna.it/archivio/persone/guerra-ivo (https://www.storiaememoriadibologna.it/archivio/persone/guerra-ivo)</w:t>
      </w:r>
    </w:p>
    <w:p>
      <w:pPr>
        <w:spacing w:after="120" w:line="276"/>
        <w:jc w:val="both"/>
      </w:pPr>
      <w:r>
        <w:rPr>
          <w:rFonts w:ascii="Barlow Semi Condensed" w:cs="Barlow Semi Condensed" w:eastAsia="Barlow Semi Condensed" w:hAnsi="Barlow Semi Condensed"/>
          <w:b/>
          <w:bCs/>
          <w:sz w:val="24"/>
          <w:szCs w:val="24"/>
        </w:rPr>
        <w:t xml:space="preserve">195.</w:t>
      </w:r>
      <w:r>
        <w:rPr>
          <w:rFonts w:ascii="Barlow Semi Condensed" w:cs="Barlow Semi Condensed" w:eastAsia="Barlow Semi Condensed" w:hAnsi="Barlow Semi Condensed"/>
          <w:sz w:val="24"/>
          <w:szCs w:val="24"/>
        </w:rPr>
        <w:t xml:space="preserve"> Lelli Giuseppe — https://www.storiaememoriadibologna.it/archivio/persone/lelli-giuseppe-4 (https://www.storiaememoriadibologna.it/archivio/persone/lelli-giuseppe-4)</w:t>
      </w:r>
    </w:p>
    <w:p>
      <w:pPr>
        <w:spacing w:after="120" w:line="276"/>
        <w:jc w:val="both"/>
      </w:pPr>
      <w:r>
        <w:rPr>
          <w:rFonts w:ascii="Barlow Semi Condensed" w:cs="Barlow Semi Condensed" w:eastAsia="Barlow Semi Condensed" w:hAnsi="Barlow Semi Condensed"/>
          <w:b/>
          <w:bCs/>
          <w:sz w:val="24"/>
          <w:szCs w:val="24"/>
        </w:rPr>
        <w:t xml:space="preserve">196.</w:t>
      </w:r>
      <w:r>
        <w:rPr>
          <w:rFonts w:ascii="Barlow Semi Condensed" w:cs="Barlow Semi Condensed" w:eastAsia="Barlow Semi Condensed" w:hAnsi="Barlow Semi Condensed"/>
          <w:sz w:val="24"/>
          <w:szCs w:val="24"/>
        </w:rPr>
        <w:t xml:space="preserve"> Serenari Marino — https://www.storiaememoriadibologna.it/archivio/persone/serenari-marino-0 (https://www.storiaememoriadibologna.it/archivio/persone/serenari-marino-0)</w:t>
      </w:r>
    </w:p>
    <w:p>
      <w:pPr>
        <w:spacing w:after="120" w:line="276"/>
        <w:jc w:val="both"/>
      </w:pPr>
      <w:r>
        <w:rPr>
          <w:rFonts w:ascii="Barlow Semi Condensed" w:cs="Barlow Semi Condensed" w:eastAsia="Barlow Semi Condensed" w:hAnsi="Barlow Semi Condensed"/>
          <w:b/>
          <w:bCs/>
          <w:sz w:val="24"/>
          <w:szCs w:val="24"/>
        </w:rPr>
        <w:t xml:space="preserve">197.</w:t>
      </w:r>
      <w:r>
        <w:rPr>
          <w:rFonts w:ascii="Barlow Semi Condensed" w:cs="Barlow Semi Condensed" w:eastAsia="Barlow Semi Condensed" w:hAnsi="Barlow Semi Condensed"/>
          <w:sz w:val="24"/>
          <w:szCs w:val="24"/>
        </w:rPr>
        <w:t xml:space="preserve"> Trombetti Bruno detto Sergio — https://www.storiaememoriadibologna.it/archivio/persone/trombetti-bruno-dettoa-sergio (https://www.storiaememoriadibologna.it/archivio/persone/trombetti-bruno-dettoa-sergio)</w:t>
      </w:r>
    </w:p>
    <w:p>
      <w:pPr>
        <w:spacing w:after="120" w:line="276"/>
        <w:jc w:val="both"/>
      </w:pPr>
      <w:r>
        <w:rPr>
          <w:rFonts w:ascii="Barlow Semi Condensed" w:cs="Barlow Semi Condensed" w:eastAsia="Barlow Semi Condensed" w:hAnsi="Barlow Semi Condensed"/>
          <w:b/>
          <w:bCs/>
          <w:sz w:val="24"/>
          <w:szCs w:val="24"/>
        </w:rPr>
        <w:t xml:space="preserve">198.</w:t>
      </w:r>
      <w:r>
        <w:rPr>
          <w:rFonts w:ascii="Barlow Semi Condensed" w:cs="Barlow Semi Condensed" w:eastAsia="Barlow Semi Condensed" w:hAnsi="Barlow Semi Condensed"/>
          <w:sz w:val="24"/>
          <w:szCs w:val="24"/>
        </w:rPr>
        <w:t xml:space="preserve"> Trombetti Gustavo detto Sergio, Mattia — https://www.storiaememoriadibologna.it/archivio/persone/trombetti-gustavo-dettoa-sergio-mattia (https://www.storiaememoriadibologna.it/archivio/persone/trombetti-gustavo-dettoa-sergio-mattia)</w:t>
      </w:r>
    </w:p>
    <w:p>
      <w:pPr>
        <w:spacing w:after="120" w:line="276"/>
        <w:jc w:val="both"/>
      </w:pPr>
      <w:r>
        <w:rPr>
          <w:rFonts w:ascii="Barlow Semi Condensed" w:cs="Barlow Semi Condensed" w:eastAsia="Barlow Semi Condensed" w:hAnsi="Barlow Semi Condensed"/>
          <w:b/>
          <w:bCs/>
          <w:sz w:val="24"/>
          <w:szCs w:val="24"/>
        </w:rPr>
        <w:t xml:space="preserve">199.</w:t>
      </w:r>
      <w:r>
        <w:rPr>
          <w:rFonts w:ascii="Barlow Semi Condensed" w:cs="Barlow Semi Condensed" w:eastAsia="Barlow Semi Condensed" w:hAnsi="Barlow Semi Condensed"/>
          <w:sz w:val="24"/>
          <w:szCs w:val="24"/>
        </w:rPr>
        <w:t xml:space="preserve"> Golinelli Lidia detto Vienna — https://storiaememoriadibologna.it/golinelli-lidia-520035-persona (https://storiaememoriadibologna.it/golinelli-lidia-520035-persona)</w:t>
      </w:r>
    </w:p>
    <w:p>
      <w:pPr>
        <w:spacing w:after="120" w:line="276"/>
        <w:jc w:val="both"/>
      </w:pPr>
      <w:r>
        <w:rPr>
          <w:rFonts w:ascii="Barlow Semi Condensed" w:cs="Barlow Semi Condensed" w:eastAsia="Barlow Semi Condensed" w:hAnsi="Barlow Semi Condensed"/>
          <w:b/>
          <w:bCs/>
          <w:sz w:val="24"/>
          <w:szCs w:val="24"/>
        </w:rPr>
        <w:t xml:space="preserve">200.</w:t>
      </w:r>
      <w:r>
        <w:rPr>
          <w:rFonts w:ascii="Barlow Semi Condensed" w:cs="Barlow Semi Condensed" w:eastAsia="Barlow Semi Condensed" w:hAnsi="Barlow Semi Condensed"/>
          <w:sz w:val="24"/>
          <w:szCs w:val="24"/>
        </w:rPr>
        <w:t xml:space="preserve"> Tossani Michele — https://www.storiaememoriadibologna.it/archivio/persone/tossani-michele (https://www.storiaememoriadibologna.it/archivio/persone/tossani-michele)</w:t>
      </w:r>
    </w:p>
    <w:p>
      <w:pPr>
        <w:spacing w:after="120" w:line="276"/>
        <w:jc w:val="both"/>
      </w:pPr>
      <w:r>
        <w:rPr>
          <w:rFonts w:ascii="Barlow Semi Condensed" w:cs="Barlow Semi Condensed" w:eastAsia="Barlow Semi Condensed" w:hAnsi="Barlow Semi Condensed"/>
          <w:b/>
          <w:bCs/>
          <w:sz w:val="24"/>
          <w:szCs w:val="24"/>
        </w:rPr>
        <w:t xml:space="preserve">201.</w:t>
      </w:r>
      <w:r>
        <w:rPr>
          <w:rFonts w:ascii="Barlow Semi Condensed" w:cs="Barlow Semi Condensed" w:eastAsia="Barlow Semi Condensed" w:hAnsi="Barlow Semi Condensed"/>
          <w:sz w:val="24"/>
          <w:szCs w:val="24"/>
        </w:rPr>
        <w:t xml:space="preserve"> Amnistia (scheda) – Storia e Memoria di Bologna — https://www.storiaememoriadibologna.it/amnistia-25-persecuzione (https://www.storiaememoriadibologna.it/amnistia-25-persecuzione)</w:t>
      </w:r>
    </w:p>
    <w:p>
      <w:pPr>
        <w:spacing w:after="120" w:line="276"/>
        <w:jc w:val="both"/>
      </w:pPr>
      <w:r>
        <w:rPr>
          <w:rFonts w:ascii="Barlow Semi Condensed" w:cs="Barlow Semi Condensed" w:eastAsia="Barlow Semi Condensed" w:hAnsi="Barlow Semi Condensed"/>
          <w:b/>
          <w:bCs/>
          <w:sz w:val="24"/>
          <w:szCs w:val="24"/>
        </w:rPr>
        <w:t xml:space="preserve">202.</w:t>
      </w:r>
      <w:r>
        <w:rPr>
          <w:rFonts w:ascii="Barlow Semi Condensed" w:cs="Barlow Semi Condensed" w:eastAsia="Barlow Semi Condensed" w:hAnsi="Barlow Semi Condensed"/>
          <w:sz w:val="24"/>
          <w:szCs w:val="24"/>
        </w:rPr>
        <w:t xml:space="preserve"> Decennale fascista – Storia e Memoria di Bologna — https://www.storiaememoriadibologna.it/archivio/eventi/decennale-fascista (https://www.storiaememoriadibologna.it/archivio/eventi/decennale-fascista)</w:t>
      </w:r>
    </w:p>
    <w:p>
      <w:pPr>
        <w:pStyle w:val="Heading3"/>
        <w:spacing w:after="80" w:before="160"/>
      </w:pPr>
      <w:r>
        <w:rPr>
          <w:rFonts w:ascii="Barlow Semi Condensed" w:cs="Barlow Semi Condensed" w:eastAsia="Barlow Semi Condensed" w:hAnsi="Barlow Semi Condensed"/>
          <w:sz w:val="24"/>
          <w:szCs w:val="24"/>
        </w:rPr>
        <w:t xml:space="preserve">Libro settimo — Le questioni aperte</w:t>
      </w:r>
    </w:p>
    <w:p>
      <w:pPr>
        <w:spacing w:after="120" w:line="276"/>
        <w:jc w:val="both"/>
      </w:pPr>
      <w:r>
        <w:rPr>
          <w:rFonts w:ascii="Barlow Semi Condensed" w:cs="Barlow Semi Condensed" w:eastAsia="Barlow Semi Condensed" w:hAnsi="Barlow Semi Condensed"/>
          <w:i/>
          <w:iCs/>
          <w:sz w:val="24"/>
          <w:szCs w:val="24"/>
        </w:rPr>
        <w:t xml:space="preserve">Capitolo senza citazioni in forma d'indirizzo: le sue fonti sono richiamate per titolo e rango nei documenti del corpus (si vedano la bibliografia critica e l'apparato dei gradi).</w:t>
      </w:r>
    </w:p>
    <w:p>
      <w:pPr>
        <w:pStyle w:val="Heading3"/>
        <w:spacing w:after="80" w:before="160"/>
      </w:pPr>
      <w:r>
        <w:rPr>
          <w:rFonts w:ascii="Barlow Semi Condensed" w:cs="Barlow Semi Condensed" w:eastAsia="Barlow Semi Condensed" w:hAnsi="Barlow Semi Condensed"/>
          <w:sz w:val="24"/>
          <w:szCs w:val="24"/>
        </w:rPr>
        <w:t xml:space="preserve">Libro ottavo · I — Il presidio del garante</w:t>
      </w:r>
    </w:p>
    <w:p>
      <w:pPr>
        <w:spacing w:after="120" w:line="276"/>
        <w:jc w:val="both"/>
      </w:pPr>
      <w:r>
        <w:rPr>
          <w:rFonts w:ascii="Barlow Semi Condensed" w:cs="Barlow Semi Condensed" w:eastAsia="Barlow Semi Condensed" w:hAnsi="Barlow Semi Condensed"/>
          <w:i/>
          <w:iCs/>
          <w:sz w:val="24"/>
          <w:szCs w:val="24"/>
        </w:rPr>
        <w:t xml:space="preserve">Capitolo senza citazioni in forma d'indirizzo: le sue fonti sono richiamate per titolo e rango nei documenti del corpus (si vedano la bibliografia critica e l'apparato dei gradi).</w:t>
      </w:r>
    </w:p>
    <w:p>
      <w:pPr>
        <w:pStyle w:val="Heading3"/>
        <w:spacing w:after="80" w:before="160"/>
      </w:pPr>
      <w:r>
        <w:rPr>
          <w:rFonts w:ascii="Barlow Semi Condensed" w:cs="Barlow Semi Condensed" w:eastAsia="Barlow Semi Condensed" w:hAnsi="Barlow Semi Condensed"/>
          <w:sz w:val="24"/>
          <w:szCs w:val="24"/>
        </w:rPr>
        <w:t xml:space="preserve">Libro ottavo · II — Le metodologie calcolate</w:t>
      </w:r>
    </w:p>
    <w:p>
      <w:pPr>
        <w:spacing w:after="120" w:line="276"/>
        <w:jc w:val="both"/>
      </w:pPr>
      <w:r>
        <w:rPr>
          <w:rFonts w:ascii="Barlow Semi Condensed" w:cs="Barlow Semi Condensed" w:eastAsia="Barlow Semi Condensed" w:hAnsi="Barlow Semi Condensed"/>
          <w:i/>
          <w:iCs/>
          <w:sz w:val="24"/>
          <w:szCs w:val="24"/>
        </w:rPr>
        <w:t xml:space="preserve">Capitolo senza citazioni in forma d'indirizzo: le sue fonti sono richiamate per titolo e rango nei documenti del corpus (si vedano la bibliografia critica e l'apparato dei gradi).</w:t>
      </w:r>
    </w:p>
    <w:p>
      <w:pPr>
        <w:pStyle w:val="Heading3"/>
        <w:spacing w:after="80" w:before="160"/>
      </w:pPr>
      <w:r>
        <w:rPr>
          <w:rFonts w:ascii="Barlow Semi Condensed" w:cs="Barlow Semi Condensed" w:eastAsia="Barlow Semi Condensed" w:hAnsi="Barlow Semi Condensed"/>
          <w:sz w:val="24"/>
          <w:szCs w:val="24"/>
        </w:rPr>
        <w:t xml:space="preserve">Libro nono — Il registro giudiziario</w:t>
      </w:r>
    </w:p>
    <w:p>
      <w:pPr>
        <w:spacing w:after="120" w:line="276"/>
        <w:jc w:val="both"/>
      </w:pPr>
      <w:r>
        <w:rPr>
          <w:rFonts w:ascii="Barlow Semi Condensed" w:cs="Barlow Semi Condensed" w:eastAsia="Barlow Semi Condensed" w:hAnsi="Barlow Semi Condensed"/>
          <w:b/>
          <w:bCs/>
          <w:sz w:val="24"/>
          <w:szCs w:val="24"/>
        </w:rPr>
        <w:t xml:space="preserve">203.</w:t>
      </w:r>
      <w:r>
        <w:rPr>
          <w:rFonts w:ascii="Barlow Semi Condensed" w:cs="Barlow Semi Condensed" w:eastAsia="Barlow Semi Condensed" w:hAnsi="Barlow Semi Condensed"/>
          <w:sz w:val="24"/>
          <w:szCs w:val="24"/>
        </w:rPr>
        <w:t xml:space="preserve"> Questione Giustizia, «Il caso Moro. Per un'analisi delle sentenze» — https://www.questionegiustizia.it/articolo/il-caso-moro-per-un-analisi-delle-sentenze-parte-prima (https://www.questionegiustizia.it/articolo/il-caso-moro-per-un-analisi-delle-sentenze-parte-prima) </w:t>
      </w:r>
      <w:r>
        <w:rPr>
          <w:rFonts w:ascii="Barlow Semi Condensed" w:cs="Barlow Semi Condensed" w:eastAsia="Barlow Semi Condensed" w:hAnsi="Barlow Semi Condensed"/>
          <w:i/>
          <w:iCs/>
          <w:sz w:val="24"/>
          <w:szCs w:val="24"/>
        </w:rPr>
        <w:t xml:space="preserve">(citato 2 volte)</w:t>
      </w:r>
    </w:p>
    <w:p>
      <w:pPr>
        <w:spacing w:after="120" w:line="276"/>
        <w:jc w:val="both"/>
      </w:pPr>
      <w:r>
        <w:rPr>
          <w:rFonts w:ascii="Barlow Semi Condensed" w:cs="Barlow Semi Condensed" w:eastAsia="Barlow Semi Condensed" w:hAnsi="Barlow Semi Condensed"/>
          <w:b/>
          <w:bCs/>
          <w:sz w:val="24"/>
          <w:szCs w:val="24"/>
        </w:rPr>
        <w:t xml:space="preserve">204.</w:t>
      </w:r>
      <w:r>
        <w:rPr>
          <w:rFonts w:ascii="Barlow Semi Condensed" w:cs="Barlow Semi Condensed" w:eastAsia="Barlow Semi Condensed" w:hAnsi="Barlow Semi Condensed"/>
          <w:sz w:val="24"/>
          <w:szCs w:val="24"/>
        </w:rPr>
        <w:t xml:space="preserve"> Wikipedia, Caso Moro — https://it.wikipedia.org/wiki/Caso_Moro (https://it.wikipedia.org/wiki/Caso_Moro) </w:t>
      </w:r>
      <w:r>
        <w:rPr>
          <w:rFonts w:ascii="Barlow Semi Condensed" w:cs="Barlow Semi Condensed" w:eastAsia="Barlow Semi Condensed" w:hAnsi="Barlow Semi Condensed"/>
          <w:i/>
          <w:iCs/>
          <w:sz w:val="24"/>
          <w:szCs w:val="24"/>
        </w:rPr>
        <w:t xml:space="preserve">(citato 2 volte)</w:t>
      </w:r>
    </w:p>
    <w:p>
      <w:pPr>
        <w:spacing w:after="120" w:line="276"/>
        <w:jc w:val="both"/>
      </w:pPr>
      <w:r>
        <w:rPr>
          <w:rFonts w:ascii="Barlow Semi Condensed" w:cs="Barlow Semi Condensed" w:eastAsia="Barlow Semi Condensed" w:hAnsi="Barlow Semi Condensed"/>
          <w:b/>
          <w:bCs/>
          <w:sz w:val="24"/>
          <w:szCs w:val="24"/>
        </w:rPr>
        <w:t xml:space="preserve">205.</w:t>
      </w:r>
      <w:r>
        <w:rPr>
          <w:rFonts w:ascii="Barlow Semi Condensed" w:cs="Barlow Semi Condensed" w:eastAsia="Barlow Semi Condensed" w:hAnsi="Barlow Semi Condensed"/>
          <w:sz w:val="24"/>
          <w:szCs w:val="24"/>
        </w:rPr>
        <w:t xml:space="preserve"> Archivio storico della Camera — https://archivio.camera.it/patrimonio/main-page/commissione-parlamentare-inchiesta-sul-rapimento-e-sulla-morte-aldo-moro-2014-2018 (https://archivio.camera.it/patrimonio/main-page/commissione-parlamentare-inchiesta-sul-rapimento-e-sulla-morte-aldo-moro-2014-2018)</w:t>
      </w:r>
    </w:p>
    <w:p>
      <w:pPr>
        <w:spacing w:after="120" w:line="276"/>
        <w:jc w:val="both"/>
      </w:pPr>
      <w:r>
        <w:rPr>
          <w:rFonts w:ascii="Barlow Semi Condensed" w:cs="Barlow Semi Condensed" w:eastAsia="Barlow Semi Condensed" w:hAnsi="Barlow Semi Condensed"/>
          <w:b/>
          <w:bCs/>
          <w:sz w:val="24"/>
          <w:szCs w:val="24"/>
        </w:rPr>
        <w:t xml:space="preserve">206.</w:t>
      </w:r>
      <w:r>
        <w:rPr>
          <w:rFonts w:ascii="Barlow Semi Condensed" w:cs="Barlow Semi Condensed" w:eastAsia="Barlow Semi Condensed" w:hAnsi="Barlow Semi Condensed"/>
          <w:sz w:val="24"/>
          <w:szCs w:val="24"/>
        </w:rPr>
        <w:t xml:space="preserve"> inchieste.camera.it/moro — https://inchieste.camera.it/moro/home.html?leg=17&amp;legLabel=XVII+legislatura (https://inchieste.camera.it/moro/home.html?leg=17&amp;legLabel=XVII+legislatura)</w:t>
      </w:r>
    </w:p>
    <w:p>
      <w:pPr>
        <w:spacing w:after="120" w:line="276"/>
        <w:jc w:val="both"/>
      </w:pPr>
      <w:r>
        <w:rPr>
          <w:rFonts w:ascii="Barlow Semi Condensed" w:cs="Barlow Semi Condensed" w:eastAsia="Barlow Semi Condensed" w:hAnsi="Barlow Semi Condensed"/>
          <w:b/>
          <w:bCs/>
          <w:sz w:val="24"/>
          <w:szCs w:val="24"/>
        </w:rPr>
        <w:t xml:space="preserve">207.</w:t>
      </w:r>
      <w:r>
        <w:rPr>
          <w:rFonts w:ascii="Barlow Semi Condensed" w:cs="Barlow Semi Condensed" w:eastAsia="Barlow Semi Condensed" w:hAnsi="Barlow Semi Condensed"/>
          <w:sz w:val="24"/>
          <w:szCs w:val="24"/>
        </w:rPr>
        <w:t xml:space="preserve"> Il Messaggero, «In via Fani due moto» — https://www.ilmessaggero.it/primo_piano/cronaca/caso_moro_commissione_via_fani_moto_indagini_sui_4_centauri-1401478.html (https://www.ilmessaggero.it/primo_piano/cronaca/caso_moro_commissione_via_fani_moto_indagini_sui_4_centauri-1401478.html)</w:t>
      </w:r>
    </w:p>
    <w:p>
      <w:pPr>
        <w:spacing w:after="120" w:line="276"/>
        <w:jc w:val="both"/>
      </w:pPr>
      <w:r>
        <w:rPr>
          <w:rFonts w:ascii="Barlow Semi Condensed" w:cs="Barlow Semi Condensed" w:eastAsia="Barlow Semi Condensed" w:hAnsi="Barlow Semi Condensed"/>
          <w:b/>
          <w:bCs/>
          <w:sz w:val="24"/>
          <w:szCs w:val="24"/>
        </w:rPr>
        <w:t xml:space="preserve">208.</w:t>
      </w:r>
      <w:r>
        <w:rPr>
          <w:rFonts w:ascii="Barlow Semi Condensed" w:cs="Barlow Semi Condensed" w:eastAsia="Barlow Semi Condensed" w:hAnsi="Barlow Semi Condensed"/>
          <w:sz w:val="24"/>
          <w:szCs w:val="24"/>
        </w:rPr>
        <w:t xml:space="preserve"> relazione Moro 2, sintesi stampa — https://www.ilfattoquotidiano.it/2017/12/12/commissione-moro-cio-che-abbiamo-saputo-finora-e-una-verita-dicibile-servi-chiudere-la-stagione-del-terrorismo/4033574/ (https://www.ilfattoquotidiano.it/2017/12/12/commissione-moro-cio-che-abbiamo-saputo-finora-e-una-verita-dicibile-servi-chiudere-la-stagione-del-terrorismo/4033574/) </w:t>
      </w:r>
      <w:r>
        <w:rPr>
          <w:rFonts w:ascii="Barlow Semi Condensed" w:cs="Barlow Semi Condensed" w:eastAsia="Barlow Semi Condensed" w:hAnsi="Barlow Semi Condensed"/>
          <w:i/>
          <w:iCs/>
          <w:sz w:val="24"/>
          <w:szCs w:val="24"/>
        </w:rPr>
        <w:t xml:space="preserve">(citato 3 volte)</w:t>
      </w:r>
    </w:p>
    <w:p>
      <w:pPr>
        <w:spacing w:after="120" w:line="276"/>
        <w:jc w:val="both"/>
      </w:pPr>
      <w:r>
        <w:rPr>
          <w:rFonts w:ascii="Barlow Semi Condensed" w:cs="Barlow Semi Condensed" w:eastAsia="Barlow Semi Condensed" w:hAnsi="Barlow Semi Condensed"/>
          <w:b/>
          <w:bCs/>
          <w:sz w:val="24"/>
          <w:szCs w:val="24"/>
        </w:rPr>
        <w:t xml:space="preserve">209.</w:t>
      </w:r>
      <w:r>
        <w:rPr>
          <w:rFonts w:ascii="Barlow Semi Condensed" w:cs="Barlow Semi Condensed" w:eastAsia="Barlow Semi Condensed" w:hAnsi="Barlow Semi Condensed"/>
          <w:sz w:val="24"/>
          <w:szCs w:val="24"/>
        </w:rPr>
        <w:t xml:space="preserve"> sintesi critica sulla relazione — https://ristretti.org/index.php?option=com_content&amp;view=article&amp;id=84929 (https://ristretti.org/index.php?option=com_content&amp;view=article&amp;id=84929)</w:t>
      </w:r>
    </w:p>
    <w:p>
      <w:pPr>
        <w:pStyle w:val="Heading3"/>
        <w:spacing w:after="80" w:before="160"/>
      </w:pPr>
      <w:r>
        <w:rPr>
          <w:rFonts w:ascii="Barlow Semi Condensed" w:cs="Barlow Semi Condensed" w:eastAsia="Barlow Semi Condensed" w:hAnsi="Barlow Semi Condensed"/>
          <w:sz w:val="24"/>
          <w:szCs w:val="24"/>
        </w:rPr>
        <w:t xml:space="preserve">Libro decimo — Il repertorio del caso</w:t>
      </w:r>
    </w:p>
    <w:p>
      <w:pPr>
        <w:spacing w:after="120" w:line="276"/>
        <w:jc w:val="both"/>
      </w:pPr>
      <w:r>
        <w:rPr>
          <w:rFonts w:ascii="Barlow Semi Condensed" w:cs="Barlow Semi Condensed" w:eastAsia="Barlow Semi Condensed" w:hAnsi="Barlow Semi Condensed"/>
          <w:b/>
          <w:bCs/>
          <w:sz w:val="24"/>
          <w:szCs w:val="24"/>
        </w:rPr>
        <w:t xml:space="preserve">210.</w:t>
      </w:r>
      <w:r>
        <w:rPr>
          <w:rFonts w:ascii="Barlow Semi Condensed" w:cs="Barlow Semi Condensed" w:eastAsia="Barlow Semi Condensed" w:hAnsi="Barlow Semi Condensed"/>
          <w:sz w:val="24"/>
          <w:szCs w:val="24"/>
        </w:rPr>
        <w:t xml:space="preserve"> Ministero dell'Interno — https://www.interno.gov.it/it/notizie/16-marzo-1978-rapimento-aldo-moro-e-lassassinio-dei-cinque-uomini-sua-scorta (https://www.interno.gov.it/it/notizie/16-marzo-1978-rapimento-aldo-moro-e-lassassinio-dei-cinque-uomini-sua-scorta)</w:t>
      </w:r>
    </w:p>
    <w:p>
      <w:pPr>
        <w:pStyle w:val="Heading3"/>
        <w:spacing w:after="80" w:before="160"/>
      </w:pPr>
      <w:r>
        <w:rPr>
          <w:rFonts w:ascii="Barlow Semi Condensed" w:cs="Barlow Semi Condensed" w:eastAsia="Barlow Semi Condensed" w:hAnsi="Barlow Semi Condensed"/>
          <w:sz w:val="24"/>
          <w:szCs w:val="24"/>
        </w:rPr>
        <w:t xml:space="preserve">Libro undicesimo · I — Il principio personalistico</w:t>
      </w:r>
    </w:p>
    <w:p>
      <w:pPr>
        <w:spacing w:after="120" w:line="276"/>
        <w:jc w:val="both"/>
      </w:pPr>
      <w:r>
        <w:rPr>
          <w:rFonts w:ascii="Barlow Semi Condensed" w:cs="Barlow Semi Condensed" w:eastAsia="Barlow Semi Condensed" w:hAnsi="Barlow Semi Condensed"/>
          <w:b/>
          <w:bCs/>
          <w:sz w:val="24"/>
          <w:szCs w:val="24"/>
        </w:rPr>
        <w:t xml:space="preserve">211.</w:t>
      </w:r>
      <w:r>
        <w:rPr>
          <w:rFonts w:ascii="Barlow Semi Condensed" w:cs="Barlow Semi Condensed" w:eastAsia="Barlow Semi Condensed" w:hAnsi="Barlow Semi Condensed"/>
          <w:sz w:val="24"/>
          <w:szCs w:val="24"/>
        </w:rPr>
        <w:t xml:space="preserve"> Tesionline, cronologia della sentenza — https://www.tesionline.it/news/cronologia.jsp?evid=2878 (https://www.tesionline.it/news/cronologia.jsp?evid=2878)</w:t>
      </w:r>
    </w:p>
    <w:p>
      <w:pPr>
        <w:spacing w:after="120" w:line="276"/>
        <w:jc w:val="both"/>
      </w:pPr>
      <w:r>
        <w:rPr>
          <w:rFonts w:ascii="Barlow Semi Condensed" w:cs="Barlow Semi Condensed" w:eastAsia="Barlow Semi Condensed" w:hAnsi="Barlow Semi Condensed"/>
          <w:b/>
          <w:bCs/>
          <w:sz w:val="24"/>
          <w:szCs w:val="24"/>
        </w:rPr>
        <w:t xml:space="preserve">212.</w:t>
      </w:r>
      <w:r>
        <w:rPr>
          <w:rFonts w:ascii="Barlow Semi Condensed" w:cs="Barlow Semi Condensed" w:eastAsia="Barlow Semi Condensed" w:hAnsi="Barlow Semi Condensed"/>
          <w:sz w:val="24"/>
          <w:szCs w:val="24"/>
        </w:rPr>
        <w:t xml:space="preserve"> Il Sole 24 Ore, «Quattro processi per la verità giudiziaria» — https://st.ilsole24ore.com/art/SoleOnLine4/Italia/2008/03/Caso-Moro-quattro-processi_PRN.shtml (https://st.ilsole24ore.com/art/SoleOnLine4/Italia/2008/03/Caso-Moro-quattro-processi_PRN.shtml)</w:t>
      </w:r>
    </w:p>
    <w:p>
      <w:pPr>
        <w:spacing w:after="120" w:line="276"/>
        <w:jc w:val="both"/>
      </w:pPr>
      <w:r>
        <w:rPr>
          <w:rFonts w:ascii="Barlow Semi Condensed" w:cs="Barlow Semi Condensed" w:eastAsia="Barlow Semi Condensed" w:hAnsi="Barlow Semi Condensed"/>
          <w:b/>
          <w:bCs/>
          <w:sz w:val="24"/>
          <w:szCs w:val="24"/>
        </w:rPr>
        <w:t xml:space="preserve">213.</w:t>
      </w:r>
      <w:r>
        <w:rPr>
          <w:rFonts w:ascii="Barlow Semi Condensed" w:cs="Barlow Semi Condensed" w:eastAsia="Barlow Semi Condensed" w:hAnsi="Barlow Semi Condensed"/>
          <w:sz w:val="24"/>
          <w:szCs w:val="24"/>
        </w:rPr>
        <w:t xml:space="preserve"> Avvenire — https://www.avvenire.it/politica/la-morte-di-anna-laura-braghetti-carceriera-di-moro-e-assassina-di-bachelet (https://www.avvenire.it/politica/la-morte-di-anna-laura-braghetti-carceriera-di-moro-e-assassina-di-bachelet) </w:t>
      </w:r>
      <w:r>
        <w:rPr>
          <w:rFonts w:ascii="Barlow Semi Condensed" w:cs="Barlow Semi Condensed" w:eastAsia="Barlow Semi Condensed" w:hAnsi="Barlow Semi Condensed"/>
          <w:i/>
          <w:iCs/>
          <w:sz w:val="24"/>
          <w:szCs w:val="24"/>
        </w:rPr>
        <w:t xml:space="preserve">(citato 2 volte)</w:t>
      </w:r>
    </w:p>
    <w:p>
      <w:pPr>
        <w:spacing w:after="120" w:line="276"/>
        <w:jc w:val="both"/>
      </w:pPr>
      <w:r>
        <w:rPr>
          <w:rFonts w:ascii="Barlow Semi Condensed" w:cs="Barlow Semi Condensed" w:eastAsia="Barlow Semi Condensed" w:hAnsi="Barlow Semi Condensed"/>
          <w:b/>
          <w:bCs/>
          <w:sz w:val="24"/>
          <w:szCs w:val="24"/>
        </w:rPr>
        <w:t xml:space="preserve">214.</w:t>
      </w:r>
      <w:r>
        <w:rPr>
          <w:rFonts w:ascii="Barlow Semi Condensed" w:cs="Barlow Semi Condensed" w:eastAsia="Barlow Semi Condensed" w:hAnsi="Barlow Semi Condensed"/>
          <w:sz w:val="24"/>
          <w:szCs w:val="24"/>
        </w:rPr>
        <w:t xml:space="preserve"> Il Post — https://www.ilpost.it/2025/11/06/morta-anna-laura-braghetti-brigate-rosse/ (https://www.ilpost.it/2025/11/06/morta-anna-laura-braghetti-brigate-rosse/)</w:t>
      </w:r>
    </w:p>
    <w:p>
      <w:pPr>
        <w:spacing w:after="120" w:line="276"/>
        <w:jc w:val="both"/>
      </w:pPr>
      <w:r>
        <w:rPr>
          <w:rFonts w:ascii="Barlow Semi Condensed" w:cs="Barlow Semi Condensed" w:eastAsia="Barlow Semi Condensed" w:hAnsi="Barlow Semi Condensed"/>
          <w:b/>
          <w:bCs/>
          <w:sz w:val="24"/>
          <w:szCs w:val="24"/>
        </w:rPr>
        <w:t xml:space="preserve">215.</w:t>
      </w:r>
      <w:r>
        <w:rPr>
          <w:rFonts w:ascii="Barlow Semi Condensed" w:cs="Barlow Semi Condensed" w:eastAsia="Barlow Semi Condensed" w:hAnsi="Barlow Semi Condensed"/>
          <w:sz w:val="24"/>
          <w:szCs w:val="24"/>
        </w:rPr>
        <w:t xml:space="preserve"> Wikipedia — https://it.wikipedia.org/wiki/Alessio_Casimirri (https://it.wikipedia.org/wiki/Alessio_Casimirri)</w:t>
      </w:r>
    </w:p>
    <w:p>
      <w:pPr>
        <w:spacing w:after="120" w:line="276"/>
        <w:jc w:val="both"/>
      </w:pPr>
      <w:r>
        <w:rPr>
          <w:rFonts w:ascii="Barlow Semi Condensed" w:cs="Barlow Semi Condensed" w:eastAsia="Barlow Semi Condensed" w:hAnsi="Barlow Semi Condensed"/>
          <w:b/>
          <w:bCs/>
          <w:sz w:val="24"/>
          <w:szCs w:val="24"/>
        </w:rPr>
        <w:t xml:space="preserve">216.</w:t>
      </w:r>
      <w:r>
        <w:rPr>
          <w:rFonts w:ascii="Barlow Semi Condensed" w:cs="Barlow Semi Condensed" w:eastAsia="Barlow Semi Condensed" w:hAnsi="Barlow Semi Condensed"/>
          <w:sz w:val="24"/>
          <w:szCs w:val="24"/>
        </w:rPr>
        <w:t xml:space="preserve"> Questione Giustizia, parte seconda — https://www.questionegiustizia.it/articolo/il-caso-moro-per-un-analisi-delle-sentenze-parte-seconda (https://www.questionegiustizia.it/articolo/il-caso-moro-per-un-analisi-delle-sentenze-parte-seconda)</w:t>
      </w:r>
    </w:p>
    <w:p>
      <w:pPr>
        <w:spacing w:after="120" w:line="276"/>
        <w:jc w:val="both"/>
      </w:pPr>
      <w:r>
        <w:rPr>
          <w:rFonts w:ascii="Barlow Semi Condensed" w:cs="Barlow Semi Condensed" w:eastAsia="Barlow Semi Condensed" w:hAnsi="Barlow Semi Condensed"/>
          <w:b/>
          <w:bCs/>
          <w:sz w:val="24"/>
          <w:szCs w:val="24"/>
        </w:rPr>
        <w:t xml:space="preserve">217.</w:t>
      </w:r>
      <w:r>
        <w:rPr>
          <w:rFonts w:ascii="Barlow Semi Condensed" w:cs="Barlow Semi Condensed" w:eastAsia="Barlow Semi Condensed" w:hAnsi="Barlow Semi Condensed"/>
          <w:sz w:val="24"/>
          <w:szCs w:val="24"/>
        </w:rPr>
        <w:t xml:space="preserve"> Wikipedia — https://it.wikipedia.org/wiki/Rita_Algranati (https://it.wikipedia.org/wiki/Rita_Algranati)</w:t>
      </w:r>
    </w:p>
    <w:p>
      <w:pPr>
        <w:pStyle w:val="Heading3"/>
        <w:spacing w:after="80" w:before="160"/>
      </w:pPr>
      <w:r>
        <w:rPr>
          <w:rFonts w:ascii="Barlow Semi Condensed" w:cs="Barlow Semi Condensed" w:eastAsia="Barlow Semi Condensed" w:hAnsi="Barlow Semi Condensed"/>
          <w:sz w:val="24"/>
          <w:szCs w:val="24"/>
        </w:rPr>
        <w:t xml:space="preserve">Libro undicesimo · II — La prosopografia dei tredici</w:t>
      </w:r>
    </w:p>
    <w:p>
      <w:pPr>
        <w:spacing w:after="120" w:line="276"/>
        <w:jc w:val="both"/>
      </w:pPr>
      <w:r>
        <w:rPr>
          <w:rFonts w:ascii="Barlow Semi Condensed" w:cs="Barlow Semi Condensed" w:eastAsia="Barlow Semi Condensed" w:hAnsi="Barlow Semi Condensed"/>
          <w:b/>
          <w:bCs/>
          <w:sz w:val="24"/>
          <w:szCs w:val="24"/>
        </w:rPr>
        <w:t xml:space="preserve">218.</w:t>
      </w:r>
      <w:r>
        <w:rPr>
          <w:rFonts w:ascii="Barlow Semi Condensed" w:cs="Barlow Semi Condensed" w:eastAsia="Barlow Semi Condensed" w:hAnsi="Barlow Semi Condensed"/>
          <w:sz w:val="24"/>
          <w:szCs w:val="24"/>
        </w:rPr>
        <w:t xml:space="preserve"> Cinquantamila.it, biografia di Moretti — https://www.cinquantamila.it/storyTellerArticolo.php?storyId=5b8fafffca5e4 (https://www.cinquantamila.it/storyTellerArticolo.php?storyId=5b8fafffca5e4)</w:t>
      </w:r>
    </w:p>
    <w:p>
      <w:pPr>
        <w:spacing w:after="120" w:line="276"/>
        <w:jc w:val="both"/>
      </w:pPr>
      <w:r>
        <w:rPr>
          <w:rFonts w:ascii="Barlow Semi Condensed" w:cs="Barlow Semi Condensed" w:eastAsia="Barlow Semi Condensed" w:hAnsi="Barlow Semi Condensed"/>
          <w:b/>
          <w:bCs/>
          <w:sz w:val="24"/>
          <w:szCs w:val="24"/>
        </w:rPr>
        <w:t xml:space="preserve">219.</w:t>
      </w:r>
      <w:r>
        <w:rPr>
          <w:rFonts w:ascii="Barlow Semi Condensed" w:cs="Barlow Semi Condensed" w:eastAsia="Barlow Semi Condensed" w:hAnsi="Barlow Semi Condensed"/>
          <w:sz w:val="24"/>
          <w:szCs w:val="24"/>
        </w:rPr>
        <w:t xml:space="preserve"> Wikipedia, Valerio Morucci — https://en.wikipedia.org/wiki/Valerio_Morucci (https://en.wikipedia.org/wiki/Valerio_Morucci)</w:t>
      </w:r>
    </w:p>
    <w:p>
      <w:pPr>
        <w:spacing w:after="120" w:line="276"/>
        <w:jc w:val="both"/>
      </w:pPr>
      <w:r>
        <w:rPr>
          <w:rFonts w:ascii="Barlow Semi Condensed" w:cs="Barlow Semi Condensed" w:eastAsia="Barlow Semi Condensed" w:hAnsi="Barlow Semi Condensed"/>
          <w:b/>
          <w:bCs/>
          <w:sz w:val="24"/>
          <w:szCs w:val="24"/>
        </w:rPr>
        <w:t xml:space="preserve">220.</w:t>
      </w:r>
      <w:r>
        <w:rPr>
          <w:rFonts w:ascii="Barlow Semi Condensed" w:cs="Barlow Semi Condensed" w:eastAsia="Barlow Semi Condensed" w:hAnsi="Barlow Semi Condensed"/>
          <w:sz w:val="24"/>
          <w:szCs w:val="24"/>
        </w:rPr>
        <w:t xml:space="preserve"> Wikipedia, Potere Operaio — https://en.wikipedia.org/wiki/Potere_Operaio (https://en.wikipedia.org/wiki/Potere_Operaio)</w:t>
      </w:r>
    </w:p>
    <w:p>
      <w:pPr>
        <w:spacing w:after="120" w:line="276"/>
        <w:jc w:val="both"/>
      </w:pPr>
      <w:r>
        <w:rPr>
          <w:rFonts w:ascii="Barlow Semi Condensed" w:cs="Barlow Semi Condensed" w:eastAsia="Barlow Semi Condensed" w:hAnsi="Barlow Semi Condensed"/>
          <w:b/>
          <w:bCs/>
          <w:sz w:val="24"/>
          <w:szCs w:val="24"/>
        </w:rPr>
        <w:t xml:space="preserve">221.</w:t>
      </w:r>
      <w:r>
        <w:rPr>
          <w:rFonts w:ascii="Barlow Semi Condensed" w:cs="Barlow Semi Condensed" w:eastAsia="Barlow Semi Condensed" w:hAnsi="Barlow Semi Condensed"/>
          <w:sz w:val="24"/>
          <w:szCs w:val="24"/>
        </w:rPr>
        <w:t xml:space="preserve"> Il Sussidiario, ricostruzione del canale — https://www.ilsussidiario.net/news/caso-moro-faranda-morucci-la-trattativa-e-la-crisi-del-partito-armato/2288455/ (https://www.ilsussidiario.net/news/caso-moro-faranda-morucci-la-trattativa-e-la-crisi-del-partito-armato/2288455/)</w:t>
      </w:r>
    </w:p>
    <w:p>
      <w:pPr>
        <w:spacing w:after="120" w:line="276"/>
        <w:jc w:val="both"/>
      </w:pPr>
      <w:r>
        <w:rPr>
          <w:rFonts w:ascii="Barlow Semi Condensed" w:cs="Barlow Semi Condensed" w:eastAsia="Barlow Semi Condensed" w:hAnsi="Barlow Semi Condensed"/>
          <w:b/>
          <w:bCs/>
          <w:sz w:val="24"/>
          <w:szCs w:val="24"/>
        </w:rPr>
        <w:t xml:space="preserve">222.</w:t>
      </w:r>
      <w:r>
        <w:rPr>
          <w:rFonts w:ascii="Barlow Semi Condensed" w:cs="Barlow Semi Condensed" w:eastAsia="Barlow Semi Condensed" w:hAnsi="Barlow Semi Condensed"/>
          <w:sz w:val="24"/>
          <w:szCs w:val="24"/>
        </w:rPr>
        <w:t xml:space="preserve"> Commissione Moro 2 — https://documenti.camera.it/leg17/resoconti/commissioni/stenografici/html/68/audiz2/audizione/2017/01/17/stenografico.0118.html (https://documenti.camera.it/leg17/resoconti/commissioni/stenografici/html/68/audiz2/audizione/2017/01/17/stenografico.0118.html)</w:t>
      </w:r>
    </w:p>
    <w:p>
      <w:pPr>
        <w:spacing w:after="120" w:line="276"/>
        <w:jc w:val="both"/>
      </w:pPr>
      <w:r>
        <w:rPr>
          <w:rFonts w:ascii="Barlow Semi Condensed" w:cs="Barlow Semi Condensed" w:eastAsia="Barlow Semi Condensed" w:hAnsi="Barlow Semi Condensed"/>
          <w:b/>
          <w:bCs/>
          <w:sz w:val="24"/>
          <w:szCs w:val="24"/>
        </w:rPr>
        <w:t xml:space="preserve">223.</w:t>
      </w:r>
      <w:r>
        <w:rPr>
          <w:rFonts w:ascii="Barlow Semi Condensed" w:cs="Barlow Semi Condensed" w:eastAsia="Barlow Semi Condensed" w:hAnsi="Barlow Semi Condensed"/>
          <w:sz w:val="24"/>
          <w:szCs w:val="24"/>
        </w:rPr>
        <w:t xml:space="preserve"> Riccardo Lestini, ricostruzione di via Monte Nevoso — http://www.riccardolestini.it/2018/05/55-giorni-40-anni-aldo-moro-una-morte-annunciata-13-via-monte-nevoso-prima-parte/ (http://www.riccardolestini.it/2018/05/55-giorni-40-anni-aldo-moro-una-morte-annunciata-13-via-monte-nevoso-prima-parte/)</w:t>
      </w:r>
    </w:p>
    <w:p>
      <w:pPr>
        <w:spacing w:after="120" w:line="276"/>
        <w:jc w:val="both"/>
      </w:pPr>
      <w:r>
        <w:rPr>
          <w:rFonts w:ascii="Barlow Semi Condensed" w:cs="Barlow Semi Condensed" w:eastAsia="Barlow Semi Condensed" w:hAnsi="Barlow Semi Condensed"/>
          <w:b/>
          <w:bCs/>
          <w:sz w:val="24"/>
          <w:szCs w:val="24"/>
        </w:rPr>
        <w:t xml:space="preserve">224.</w:t>
      </w:r>
      <w:r>
        <w:rPr>
          <w:rFonts w:ascii="Barlow Semi Condensed" w:cs="Barlow Semi Condensed" w:eastAsia="Barlow Semi Condensed" w:hAnsi="Barlow Semi Condensed"/>
          <w:sz w:val="24"/>
          <w:szCs w:val="24"/>
        </w:rPr>
        <w:t xml:space="preserve"> Gianni Barbacetto — https://www.giannibarbacetto.it/2018/03/27/br-in-via-fani-storia-breve-dei-delitti-e-delle-pene/ (https://www.giannibarbacetto.it/2018/03/27/br-in-via-fani-storia-breve-dei-delitti-e-delle-pene/)</w:t>
      </w:r>
    </w:p>
    <w:p>
      <w:pPr>
        <w:spacing w:after="120" w:line="276"/>
        <w:jc w:val="both"/>
      </w:pPr>
      <w:r>
        <w:rPr>
          <w:rFonts w:ascii="Barlow Semi Condensed" w:cs="Barlow Semi Condensed" w:eastAsia="Barlow Semi Condensed" w:hAnsi="Barlow Semi Condensed"/>
          <w:b/>
          <w:bCs/>
          <w:sz w:val="24"/>
          <w:szCs w:val="24"/>
        </w:rPr>
        <w:t xml:space="preserve">225.</w:t>
      </w:r>
      <w:r>
        <w:rPr>
          <w:rFonts w:ascii="Barlow Semi Condensed" w:cs="Barlow Semi Condensed" w:eastAsia="Barlow Semi Condensed" w:hAnsi="Barlow Semi Condensed"/>
          <w:sz w:val="24"/>
          <w:szCs w:val="24"/>
        </w:rPr>
        <w:t xml:space="preserve"> Roberto Bartali, Il nucleo storico delle BR — http://www.robertobartali.it/cap04.htm (http://www.robertobartali.it/cap04.htm)</w:t>
      </w:r>
    </w:p>
    <w:p>
      <w:pPr>
        <w:spacing w:after="120" w:line="276"/>
        <w:jc w:val="both"/>
      </w:pPr>
      <w:r>
        <w:rPr>
          <w:rFonts w:ascii="Barlow Semi Condensed" w:cs="Barlow Semi Condensed" w:eastAsia="Barlow Semi Condensed" w:hAnsi="Barlow Semi Condensed"/>
          <w:b/>
          <w:bCs/>
          <w:sz w:val="24"/>
          <w:szCs w:val="24"/>
        </w:rPr>
        <w:t xml:space="preserve">226.</w:t>
      </w:r>
      <w:r>
        <w:rPr>
          <w:rFonts w:ascii="Barlow Semi Condensed" w:cs="Barlow Semi Condensed" w:eastAsia="Barlow Semi Condensed" w:hAnsi="Barlow Semi Condensed"/>
          <w:sz w:val="24"/>
          <w:szCs w:val="24"/>
        </w:rPr>
        <w:t xml:space="preserve"> Il Crivello, Brigate Rosse a Reggio Emilia — http://www.ilcrivello.altervista.org/brigate_rosse_reggio_2010.htm (http://www.ilcrivello.altervista.org/brigate_rosse_reggio_2010.htm)</w:t>
      </w:r>
    </w:p>
    <w:p>
      <w:pPr>
        <w:spacing w:after="120" w:line="276"/>
        <w:jc w:val="both"/>
      </w:pPr>
      <w:r>
        <w:rPr>
          <w:rFonts w:ascii="Barlow Semi Condensed" w:cs="Barlow Semi Condensed" w:eastAsia="Barlow Semi Condensed" w:hAnsi="Barlow Semi Condensed"/>
          <w:b/>
          <w:bCs/>
          <w:sz w:val="24"/>
          <w:szCs w:val="24"/>
        </w:rPr>
        <w:t xml:space="preserve">227.</w:t>
      </w:r>
      <w:r>
        <w:rPr>
          <w:rFonts w:ascii="Barlow Semi Condensed" w:cs="Barlow Semi Condensed" w:eastAsia="Barlow Semi Condensed" w:hAnsi="Barlow Semi Condensed"/>
          <w:sz w:val="24"/>
          <w:szCs w:val="24"/>
        </w:rPr>
        <w:t xml:space="preserve"> Spazio70, «il brigatista "vaticano"» — https://spazio70.com/estero/esfiltrati-italiani/alessio-casimirri-il-brigatista-vaticano/ (https://spazio70.com/estero/esfiltrati-italiani/alessio-casimirri-il-brigatista-vaticano/)</w:t>
      </w:r>
    </w:p>
    <w:p>
      <w:pPr>
        <w:spacing w:after="120" w:line="276"/>
        <w:jc w:val="both"/>
      </w:pPr>
      <w:r>
        <w:rPr>
          <w:rFonts w:ascii="Barlow Semi Condensed" w:cs="Barlow Semi Condensed" w:eastAsia="Barlow Semi Condensed" w:hAnsi="Barlow Semi Condensed"/>
          <w:b/>
          <w:bCs/>
          <w:sz w:val="24"/>
          <w:szCs w:val="24"/>
        </w:rPr>
        <w:t xml:space="preserve">228.</w:t>
      </w:r>
      <w:r>
        <w:rPr>
          <w:rFonts w:ascii="Barlow Semi Condensed" w:cs="Barlow Semi Condensed" w:eastAsia="Barlow Semi Condensed" w:hAnsi="Barlow Semi Condensed"/>
          <w:sz w:val="24"/>
          <w:szCs w:val="24"/>
        </w:rPr>
        <w:t xml:space="preserve"> Wikipedia — https://en.wikipedia.org/wiki/Alessio_Casimirri (https://en.wikipedia.org/wiki/Alessio_Casimirri)</w:t>
      </w:r>
    </w:p>
    <w:p>
      <w:pPr>
        <w:spacing w:after="120" w:line="276"/>
        <w:jc w:val="both"/>
      </w:pPr>
      <w:r>
        <w:rPr>
          <w:rFonts w:ascii="Barlow Semi Condensed" w:cs="Barlow Semi Condensed" w:eastAsia="Barlow Semi Condensed" w:hAnsi="Barlow Semi Condensed"/>
          <w:b/>
          <w:bCs/>
          <w:sz w:val="24"/>
          <w:szCs w:val="24"/>
        </w:rPr>
        <w:t xml:space="preserve">229.</w:t>
      </w:r>
      <w:r>
        <w:rPr>
          <w:rFonts w:ascii="Barlow Semi Condensed" w:cs="Barlow Semi Condensed" w:eastAsia="Barlow Semi Condensed" w:hAnsi="Barlow Semi Condensed"/>
          <w:sz w:val="24"/>
          <w:szCs w:val="24"/>
        </w:rPr>
        <w:t xml:space="preserve"> Adnkronos — https://www.adnkronos.com/internazionale/esteri/terrorismo-ex-br-casimirri-nicaragua-ultime-notizie_11Y0xEZLGGnZ6txE6jRL7s (https://www.adnkronos.com/internazionale/esteri/terrorismo-ex-br-casimirri-nicaragua-ultime-notizie_11Y0xEZLGGnZ6txE6jRL7s)</w:t>
      </w:r>
    </w:p>
    <w:p>
      <w:pPr>
        <w:spacing w:after="120" w:line="276"/>
        <w:jc w:val="both"/>
      </w:pPr>
      <w:r>
        <w:rPr>
          <w:rFonts w:ascii="Barlow Semi Condensed" w:cs="Barlow Semi Condensed" w:eastAsia="Barlow Semi Condensed" w:hAnsi="Barlow Semi Condensed"/>
          <w:b/>
          <w:bCs/>
          <w:sz w:val="24"/>
          <w:szCs w:val="24"/>
        </w:rPr>
        <w:t xml:space="preserve">230.</w:t>
      </w:r>
      <w:r>
        <w:rPr>
          <w:rFonts w:ascii="Barlow Semi Condensed" w:cs="Barlow Semi Condensed" w:eastAsia="Barlow Semi Condensed" w:hAnsi="Barlow Semi Condensed"/>
          <w:sz w:val="24"/>
          <w:szCs w:val="24"/>
        </w:rPr>
        <w:t xml:space="preserve"> tvsvizzera.it — https://www.tvsvizzera.it/tvs/qui-svizzera/terrorismo_alvaro-lojacono-nessuna-estradizione-possibile/44698030 (https://www.tvsvizzera.it/tvs/qui-svizzera/terrorismo_alvaro-lojacono-nessuna-estradizione-possibile/44698030)</w:t>
      </w:r>
    </w:p>
    <w:p>
      <w:pPr>
        <w:spacing w:after="120" w:line="276"/>
        <w:jc w:val="both"/>
      </w:pPr>
      <w:r>
        <w:rPr>
          <w:rFonts w:ascii="Barlow Semi Condensed" w:cs="Barlow Semi Condensed" w:eastAsia="Barlow Semi Condensed" w:hAnsi="Barlow Semi Condensed"/>
          <w:b/>
          <w:bCs/>
          <w:sz w:val="24"/>
          <w:szCs w:val="24"/>
        </w:rPr>
        <w:t xml:space="preserve">231.</w:t>
      </w:r>
      <w:r>
        <w:rPr>
          <w:rFonts w:ascii="Barlow Semi Condensed" w:cs="Barlow Semi Condensed" w:eastAsia="Barlow Semi Condensed" w:hAnsi="Barlow Semi Condensed"/>
          <w:sz w:val="24"/>
          <w:szCs w:val="24"/>
        </w:rPr>
        <w:t xml:space="preserve"> Wikipedia — https://en.wikipedia.org/wiki/Alvaro_Lojacono (https://en.wikipedia.org/wiki/Alvaro_Lojacono)</w:t>
      </w:r>
    </w:p>
    <w:p>
      <w:pPr>
        <w:spacing w:after="120" w:line="276"/>
        <w:jc w:val="both"/>
      </w:pPr>
      <w:r>
        <w:rPr>
          <w:rFonts w:ascii="Barlow Semi Condensed" w:cs="Barlow Semi Condensed" w:eastAsia="Barlow Semi Condensed" w:hAnsi="Barlow Semi Condensed"/>
          <w:b/>
          <w:bCs/>
          <w:sz w:val="24"/>
          <w:szCs w:val="24"/>
        </w:rPr>
        <w:t xml:space="preserve">232.</w:t>
      </w:r>
      <w:r>
        <w:rPr>
          <w:rFonts w:ascii="Barlow Semi Condensed" w:cs="Barlow Semi Condensed" w:eastAsia="Barlow Semi Condensed" w:hAnsi="Barlow Semi Condensed"/>
          <w:sz w:val="24"/>
          <w:szCs w:val="24"/>
        </w:rPr>
        <w:t xml:space="preserve"> Feltrinelli Editore, scheda del libro — https://www.feltrinellieditore.it/opera/il-prigioniero/ (https://www.feltrinellieditore.it/opera/il-prigioniero/)</w:t>
      </w:r>
    </w:p>
    <w:p>
      <w:pPr>
        <w:spacing w:after="120" w:line="276"/>
        <w:jc w:val="both"/>
      </w:pPr>
      <w:r>
        <w:rPr>
          <w:rFonts w:ascii="Barlow Semi Condensed" w:cs="Barlow Semi Condensed" w:eastAsia="Barlow Semi Condensed" w:hAnsi="Barlow Semi Condensed"/>
          <w:b/>
          <w:bCs/>
          <w:sz w:val="24"/>
          <w:szCs w:val="24"/>
        </w:rPr>
        <w:t xml:space="preserve">233.</w:t>
      </w:r>
      <w:r>
        <w:rPr>
          <w:rFonts w:ascii="Barlow Semi Condensed" w:cs="Barlow Semi Condensed" w:eastAsia="Barlow Semi Condensed" w:hAnsi="Barlow Semi Condensed"/>
          <w:sz w:val="24"/>
          <w:szCs w:val="24"/>
        </w:rPr>
        <w:t xml:space="preserve"> Wikipedia, Buongiorno, notte — https://it.wikipedia.org/wiki/Buongiorno,_notte (https://it.wikipedia.org/wiki/Buongiorno,_notte)</w:t>
      </w:r>
    </w:p>
    <w:p>
      <w:pPr>
        <w:pStyle w:val="Heading3"/>
        <w:spacing w:after="80" w:before="160"/>
      </w:pPr>
      <w:r>
        <w:rPr>
          <w:rFonts w:ascii="Barlow Semi Condensed" w:cs="Barlow Semi Condensed" w:eastAsia="Barlow Semi Condensed" w:hAnsi="Barlow Semi Condensed"/>
          <w:sz w:val="24"/>
          <w:szCs w:val="24"/>
        </w:rPr>
        <w:t xml:space="preserve">Libro dodicesimo · I — Moro alla Farnesina</w:t>
      </w:r>
    </w:p>
    <w:p>
      <w:pPr>
        <w:spacing w:after="120" w:line="276"/>
        <w:jc w:val="both"/>
      </w:pPr>
      <w:r>
        <w:rPr>
          <w:rFonts w:ascii="Barlow Semi Condensed" w:cs="Barlow Semi Condensed" w:eastAsia="Barlow Semi Condensed" w:hAnsi="Barlow Semi Condensed"/>
          <w:i/>
          <w:iCs/>
          <w:sz w:val="24"/>
          <w:szCs w:val="24"/>
        </w:rPr>
        <w:t xml:space="preserve">Capitolo senza citazioni in forma d'indirizzo: le sue fonti sono richiamate per titolo e rango nei documenti del corpus (si vedano la bibliografia critica e l'apparato dei gradi).</w:t>
      </w:r>
    </w:p>
    <w:p>
      <w:pPr>
        <w:pStyle w:val="Heading3"/>
        <w:spacing w:after="80" w:before="160"/>
      </w:pPr>
      <w:r>
        <w:rPr>
          <w:rFonts w:ascii="Barlow Semi Condensed" w:cs="Barlow Semi Condensed" w:eastAsia="Barlow Semi Condensed" w:hAnsi="Barlow Semi Condensed"/>
          <w:sz w:val="24"/>
          <w:szCs w:val="24"/>
        </w:rPr>
        <w:t xml:space="preserve">Libro dodicesimo · II — La ricognizione-madre: Moro ministro degli Esteri 1969-1974</w:t>
      </w:r>
    </w:p>
    <w:p>
      <w:pPr>
        <w:spacing w:after="120" w:line="276"/>
        <w:jc w:val="both"/>
      </w:pPr>
      <w:r>
        <w:rPr>
          <w:rFonts w:ascii="Barlow Semi Condensed" w:cs="Barlow Semi Condensed" w:eastAsia="Barlow Semi Condensed" w:hAnsi="Barlow Semi Condensed"/>
          <w:b/>
          <w:bCs/>
          <w:sz w:val="24"/>
          <w:szCs w:val="24"/>
        </w:rPr>
        <w:t xml:space="preserve">234.</w:t>
      </w:r>
      <w:r>
        <w:rPr>
          <w:rFonts w:ascii="Barlow Semi Condensed" w:cs="Barlow Semi Condensed" w:eastAsia="Barlow Semi Condensed" w:hAnsi="Barlow Semi Condensed"/>
          <w:sz w:val="24"/>
          <w:szCs w:val="24"/>
        </w:rPr>
        <w:t xml:space="preserve"> Camera dei Deputati — https://storia.camera.it/governi/ii-governo-rumor (https://storia.camera.it/governi/ii-governo-rumor)</w:t>
      </w:r>
    </w:p>
    <w:p>
      <w:pPr>
        <w:spacing w:after="120" w:line="276"/>
        <w:jc w:val="both"/>
      </w:pPr>
      <w:r>
        <w:rPr>
          <w:rFonts w:ascii="Barlow Semi Condensed" w:cs="Barlow Semi Condensed" w:eastAsia="Barlow Semi Condensed" w:hAnsi="Barlow Semi Condensed"/>
          <w:b/>
          <w:bCs/>
          <w:sz w:val="24"/>
          <w:szCs w:val="24"/>
        </w:rPr>
        <w:t xml:space="preserve">235.</w:t>
      </w:r>
      <w:r>
        <w:rPr>
          <w:rFonts w:ascii="Barlow Semi Condensed" w:cs="Barlow Semi Condensed" w:eastAsia="Barlow Semi Condensed" w:hAnsi="Barlow Semi Condensed"/>
          <w:sz w:val="24"/>
          <w:szCs w:val="24"/>
        </w:rPr>
        <w:t xml:space="preserve"> Camera dei Deputati — https://storia.camera.it/governi/iii-governo-rumor/storia/dal:19700327,al:19700401 (https://storia.camera.it/governi/iii-governo-rumor/storia/dal:19700327,al:19700401)</w:t>
      </w:r>
    </w:p>
    <w:p>
      <w:pPr>
        <w:spacing w:after="120" w:line="276"/>
        <w:jc w:val="both"/>
      </w:pPr>
      <w:r>
        <w:rPr>
          <w:rFonts w:ascii="Barlow Semi Condensed" w:cs="Barlow Semi Condensed" w:eastAsia="Barlow Semi Condensed" w:hAnsi="Barlow Semi Condensed"/>
          <w:b/>
          <w:bCs/>
          <w:sz w:val="24"/>
          <w:szCs w:val="24"/>
        </w:rPr>
        <w:t xml:space="preserve">236.</w:t>
      </w:r>
      <w:r>
        <w:rPr>
          <w:rFonts w:ascii="Barlow Semi Condensed" w:cs="Barlow Semi Condensed" w:eastAsia="Barlow Semi Condensed" w:hAnsi="Barlow Semi Condensed"/>
          <w:sz w:val="24"/>
          <w:szCs w:val="24"/>
        </w:rPr>
        <w:t xml:space="preserve"> Esteri — https://www.esteri.it/it/ministero/storia/ministri_esteri/aldo_moro/ (https://www.esteri.it/it/ministero/storia/ministri_esteri/aldo_moro/) </w:t>
      </w:r>
      <w:r>
        <w:rPr>
          <w:rFonts w:ascii="Barlow Semi Condensed" w:cs="Barlow Semi Condensed" w:eastAsia="Barlow Semi Condensed" w:hAnsi="Barlow Semi Condensed"/>
          <w:i/>
          <w:iCs/>
          <w:sz w:val="24"/>
          <w:szCs w:val="24"/>
        </w:rPr>
        <w:t xml:space="preserve">(citato 3 volte)</w:t>
      </w:r>
    </w:p>
    <w:p>
      <w:pPr>
        <w:spacing w:after="120" w:line="276"/>
        <w:jc w:val="both"/>
      </w:pPr>
      <w:r>
        <w:rPr>
          <w:rFonts w:ascii="Barlow Semi Condensed" w:cs="Barlow Semi Condensed" w:eastAsia="Barlow Semi Condensed" w:hAnsi="Barlow Semi Condensed"/>
          <w:b/>
          <w:bCs/>
          <w:sz w:val="24"/>
          <w:szCs w:val="24"/>
        </w:rPr>
        <w:t xml:space="preserve">237.</w:t>
      </w:r>
      <w:r>
        <w:rPr>
          <w:rFonts w:ascii="Barlow Semi Condensed" w:cs="Barlow Semi Condensed" w:eastAsia="Barlow Semi Condensed" w:hAnsi="Barlow Semi Condensed"/>
          <w:sz w:val="24"/>
          <w:szCs w:val="24"/>
        </w:rPr>
        <w:t xml:space="preserve"> Treccani — https://www.treccani.it/enciclopedia/aldo-moro_(Dizionario-Biografico (https://www.treccani.it/enciclopedia/aldo-moro_(Dizionario-Biografico)</w:t>
      </w:r>
    </w:p>
    <w:p>
      <w:pPr>
        <w:spacing w:after="120" w:line="276"/>
        <w:jc w:val="both"/>
      </w:pPr>
      <w:r>
        <w:rPr>
          <w:rFonts w:ascii="Barlow Semi Condensed" w:cs="Barlow Semi Condensed" w:eastAsia="Barlow Semi Condensed" w:hAnsi="Barlow Semi Condensed"/>
          <w:b/>
          <w:bCs/>
          <w:sz w:val="24"/>
          <w:szCs w:val="24"/>
        </w:rPr>
        <w:t xml:space="preserve">238.</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storia.camera.it</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(citato in forma d'indirizzo, 3 volte)</w:t>
      </w:r>
    </w:p>
    <w:p>
      <w:pPr>
        <w:spacing w:after="120" w:line="276"/>
        <w:jc w:val="both"/>
      </w:pPr>
      <w:r>
        <w:rPr>
          <w:rFonts w:ascii="Barlow Semi Condensed" w:cs="Barlow Semi Condensed" w:eastAsia="Barlow Semi Condensed" w:hAnsi="Barlow Semi Condensed"/>
          <w:b/>
          <w:bCs/>
          <w:sz w:val="24"/>
          <w:szCs w:val="24"/>
        </w:rPr>
        <w:t xml:space="preserve">239.</w:t>
      </w:r>
      <w:r>
        <w:rPr>
          <w:rFonts w:ascii="Barlow Semi Condensed" w:cs="Barlow Semi Condensed" w:eastAsia="Barlow Semi Condensed" w:hAnsi="Barlow Semi Condensed"/>
          <w:sz w:val="24"/>
          <w:szCs w:val="24"/>
        </w:rPr>
        <w:t xml:space="preserve"> Camera dei Deputati — https://storia.camera.it/deputato/aldo-moro-19160923/componentiorgani (https://storia.camera.it/deputato/aldo-moro-19160923/componentiorgani)</w:t>
      </w:r>
    </w:p>
    <w:p>
      <w:pPr>
        <w:spacing w:after="120" w:line="276"/>
        <w:jc w:val="both"/>
      </w:pPr>
      <w:r>
        <w:rPr>
          <w:rFonts w:ascii="Barlow Semi Condensed" w:cs="Barlow Semi Condensed" w:eastAsia="Barlow Semi Condensed" w:hAnsi="Barlow Semi Condensed"/>
          <w:b/>
          <w:bCs/>
          <w:sz w:val="24"/>
          <w:szCs w:val="24"/>
        </w:rPr>
        <w:t xml:space="preserve">240.</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asd.esteri.it</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(citato in forma d'indirizzo, 4 volte)</w:t>
      </w:r>
    </w:p>
    <w:p>
      <w:pPr>
        <w:spacing w:after="120" w:line="276"/>
        <w:jc w:val="both"/>
      </w:pPr>
      <w:r>
        <w:rPr>
          <w:rFonts w:ascii="Barlow Semi Condensed" w:cs="Barlow Semi Condensed" w:eastAsia="Barlow Semi Condensed" w:hAnsi="Barlow Semi Condensed"/>
          <w:b/>
          <w:bCs/>
          <w:sz w:val="24"/>
          <w:szCs w:val="24"/>
        </w:rPr>
        <w:t xml:space="preserve">241.</w:t>
      </w:r>
      <w:r>
        <w:rPr>
          <w:rFonts w:ascii="Barlow Semi Condensed" w:cs="Barlow Semi Condensed" w:eastAsia="Barlow Semi Condensed" w:hAnsi="Barlow Semi Condensed"/>
          <w:sz w:val="24"/>
          <w:szCs w:val="24"/>
        </w:rPr>
        <w:t xml:space="preserve"> Esteri — https://www.esteri.it/it/temi/uap/archivio-storico-e-biblioteca/archivio-storico-diplomatico/servizi-allutenza/ (https://www.esteri.it/it/temi/uap/archivio-storico-e-biblioteca/archivio-storico-diplomatico/servizi-allutenza/)</w:t>
      </w:r>
    </w:p>
    <w:p>
      <w:pPr>
        <w:spacing w:after="120" w:line="276"/>
        <w:jc w:val="both"/>
      </w:pPr>
      <w:r>
        <w:rPr>
          <w:rFonts w:ascii="Barlow Semi Condensed" w:cs="Barlow Semi Condensed" w:eastAsia="Barlow Semi Condensed" w:hAnsi="Barlow Semi Condensed"/>
          <w:b/>
          <w:bCs/>
          <w:sz w:val="24"/>
          <w:szCs w:val="24"/>
        </w:rPr>
        <w:t xml:space="preserve">242.</w:t>
      </w:r>
      <w:r>
        <w:rPr>
          <w:rFonts w:ascii="Barlow Semi Condensed" w:cs="Barlow Semi Condensed" w:eastAsia="Barlow Semi Condensed" w:hAnsi="Barlow Semi Condensed"/>
          <w:sz w:val="24"/>
          <w:szCs w:val="24"/>
        </w:rPr>
        <w:t xml:space="preserve"> Ministerio de Cultura — https://www.cultura.gob.es/cultura/areas/archivos/mc/archivos/aga/fondos-documentales/introduccion.html (https://www.cultura.gob.es/cultura/areas/archivos/mc/archivos/aga/fondos-documentales/introduccion.html) </w:t>
      </w:r>
      <w:r>
        <w:rPr>
          <w:rFonts w:ascii="Barlow Semi Condensed" w:cs="Barlow Semi Condensed" w:eastAsia="Barlow Semi Condensed" w:hAnsi="Barlow Semi Condensed"/>
          <w:i/>
          <w:iCs/>
          <w:sz w:val="24"/>
          <w:szCs w:val="24"/>
        </w:rPr>
        <w:t xml:space="preserve">(citato 2 volte)</w:t>
      </w:r>
    </w:p>
    <w:p>
      <w:pPr>
        <w:spacing w:after="120" w:line="276"/>
        <w:jc w:val="both"/>
      </w:pPr>
      <w:r>
        <w:rPr>
          <w:rFonts w:ascii="Barlow Semi Condensed" w:cs="Barlow Semi Condensed" w:eastAsia="Barlow Semi Condensed" w:hAnsi="Barlow Semi Condensed"/>
          <w:b/>
          <w:bCs/>
          <w:sz w:val="24"/>
          <w:szCs w:val="24"/>
        </w:rPr>
        <w:t xml:space="preserve">243.</w:t>
      </w:r>
      <w:r>
        <w:rPr>
          <w:rFonts w:ascii="Barlow Semi Condensed" w:cs="Barlow Semi Condensed" w:eastAsia="Barlow Semi Condensed" w:hAnsi="Barlow Semi Condensed"/>
          <w:sz w:val="24"/>
          <w:szCs w:val="24"/>
        </w:rPr>
        <w:t xml:space="preserve"> PARES — https://pares.mcu.es/ParesBusquedas20/catalogo/description/167744 (https://pares.mcu.es/ParesBusquedas20/catalogo/description/167744)</w:t>
      </w:r>
    </w:p>
    <w:p>
      <w:pPr>
        <w:spacing w:after="120" w:line="276"/>
        <w:jc w:val="both"/>
      </w:pPr>
      <w:r>
        <w:rPr>
          <w:rFonts w:ascii="Barlow Semi Condensed" w:cs="Barlow Semi Condensed" w:eastAsia="Barlow Semi Condensed" w:hAnsi="Barlow Semi Condensed"/>
          <w:b/>
          <w:bCs/>
          <w:sz w:val="24"/>
          <w:szCs w:val="24"/>
        </w:rPr>
        <w:t xml:space="preserve">244.</w:t>
      </w:r>
      <w:r>
        <w:rPr>
          <w:rFonts w:ascii="Barlow Semi Condensed" w:cs="Barlow Semi Condensed" w:eastAsia="Barlow Semi Condensed" w:hAnsi="Barlow Semi Condensed"/>
          <w:sz w:val="24"/>
          <w:szCs w:val="24"/>
        </w:rPr>
        <w:t xml:space="preserve"> MPR — https://www.mpr.gob.es/memoriademocratica/archivos-estatales/Paginas/Guias/Gu%C3%ADa%20de%20fuentes%20documentales/Ministerios/Asuntos%20Exteriores/archivo-general-del-ministerio-de-asuntos-exterior.aspx (https://www.mpr.gob.es/memoriademocratica/archivos-estatales/Paginas/Guias/Gu%C3%ADa%20de%20fuentes%20documentales/Ministerios/Asuntos%20Exteriores/archivo-general-del-ministerio-de-asuntos-exterior.aspx)</w:t>
      </w:r>
    </w:p>
    <w:p>
      <w:pPr>
        <w:spacing w:after="120" w:line="276"/>
        <w:jc w:val="both"/>
      </w:pPr>
      <w:r>
        <w:rPr>
          <w:rFonts w:ascii="Barlow Semi Condensed" w:cs="Barlow Semi Condensed" w:eastAsia="Barlow Semi Condensed" w:hAnsi="Barlow Semi Condensed"/>
          <w:b/>
          <w:bCs/>
          <w:sz w:val="24"/>
          <w:szCs w:val="24"/>
        </w:rPr>
        <w:t xml:space="preserve">245.</w:t>
      </w:r>
      <w:r>
        <w:rPr>
          <w:rFonts w:ascii="Barlow Semi Condensed" w:cs="Barlow Semi Condensed" w:eastAsia="Barlow Semi Condensed" w:hAnsi="Barlow Semi Condensed"/>
          <w:sz w:val="24"/>
          <w:szCs w:val="24"/>
        </w:rPr>
        <w:t xml:space="preserve"> Cultura — https://censoarchivos.cultura.gob.es/CensoGuia/fondoDetail.htm?id=1096317 (https://censoarchivos.cultura.gob.es/CensoGuia/fondoDetail.htm?id=1096317)</w:t>
      </w:r>
    </w:p>
    <w:p>
      <w:pPr>
        <w:spacing w:after="120" w:line="276"/>
        <w:jc w:val="both"/>
      </w:pPr>
      <w:r>
        <w:rPr>
          <w:rFonts w:ascii="Barlow Semi Condensed" w:cs="Barlow Semi Condensed" w:eastAsia="Barlow Semi Condensed" w:hAnsi="Barlow Semi Condensed"/>
          <w:b/>
          <w:bCs/>
          <w:sz w:val="24"/>
          <w:szCs w:val="24"/>
        </w:rPr>
        <w:t xml:space="preserve">246.</w:t>
      </w:r>
      <w:r>
        <w:rPr>
          <w:rFonts w:ascii="Barlow Semi Condensed" w:cs="Barlow Semi Condensed" w:eastAsia="Barlow Semi Condensed" w:hAnsi="Barlow Semi Condensed"/>
          <w:sz w:val="24"/>
          <w:szCs w:val="24"/>
        </w:rPr>
        <w:t xml:space="preserve"> Ministerio de Asuntos Exteriores de España — https://www.exteriores.gob.es/es/ServiciosAlCiudadano/Paginas/Archivo-General-y-Biblioteca-Central.aspx (https://www.exteriores.gob.es/es/ServiciosAlCiudadano/Paginas/Archivo-General-y-Biblioteca-Central.aspx)</w:t>
      </w:r>
    </w:p>
    <w:p>
      <w:pPr>
        <w:spacing w:after="120" w:line="276"/>
        <w:jc w:val="both"/>
      </w:pPr>
      <w:r>
        <w:rPr>
          <w:rFonts w:ascii="Barlow Semi Condensed" w:cs="Barlow Semi Condensed" w:eastAsia="Barlow Semi Condensed" w:hAnsi="Barlow Semi Condensed"/>
          <w:b/>
          <w:bCs/>
          <w:sz w:val="24"/>
          <w:szCs w:val="24"/>
        </w:rPr>
        <w:t xml:space="preserve">247.</w:t>
      </w:r>
      <w:r>
        <w:rPr>
          <w:rFonts w:ascii="Barlow Semi Condensed" w:cs="Barlow Semi Condensed" w:eastAsia="Barlow Semi Condensed" w:hAnsi="Barlow Semi Condensed"/>
          <w:sz w:val="24"/>
          <w:szCs w:val="24"/>
        </w:rPr>
        <w:t xml:space="preserve"> Wikipedia — https://es.wikipedia.org/wiki/Caso_A%C3%B1overos (https://es.wikipedia.org/wiki/Caso_A%C3%B1overos) </w:t>
      </w:r>
      <w:r>
        <w:rPr>
          <w:rFonts w:ascii="Barlow Semi Condensed" w:cs="Barlow Semi Condensed" w:eastAsia="Barlow Semi Condensed" w:hAnsi="Barlow Semi Condensed"/>
          <w:i/>
          <w:iCs/>
          <w:sz w:val="24"/>
          <w:szCs w:val="24"/>
        </w:rPr>
        <w:t xml:space="preserve">(citato 3 volte)</w:t>
      </w:r>
    </w:p>
    <w:p>
      <w:pPr>
        <w:spacing w:after="120" w:line="276"/>
        <w:jc w:val="both"/>
      </w:pPr>
      <w:r>
        <w:rPr>
          <w:rFonts w:ascii="Barlow Semi Condensed" w:cs="Barlow Semi Condensed" w:eastAsia="Barlow Semi Condensed" w:hAnsi="Barlow Semi Condensed"/>
          <w:b/>
          <w:bCs/>
          <w:sz w:val="24"/>
          <w:szCs w:val="24"/>
        </w:rPr>
        <w:t xml:space="preserve">248.</w:t>
      </w:r>
      <w:r>
        <w:rPr>
          <w:rFonts w:ascii="Barlow Semi Condensed" w:cs="Barlow Semi Condensed" w:eastAsia="Barlow Semi Condensed" w:hAnsi="Barlow Semi Condensed"/>
          <w:sz w:val="24"/>
          <w:szCs w:val="24"/>
        </w:rPr>
        <w:t xml:space="preserve"> Internet Archive — https://archive.org/stream/KissingerAldoMoro1552802/Kissinger%20Aldo%20Moro%201552802_djvu.txt (https://archive.org/stream/KissingerAldoMoro1552802/Kissinger%20Aldo%20Moro%201552802_djvu.txt)</w:t>
      </w:r>
    </w:p>
    <w:p>
      <w:pPr>
        <w:spacing w:after="120" w:line="276"/>
        <w:jc w:val="both"/>
      </w:pPr>
      <w:r>
        <w:rPr>
          <w:rFonts w:ascii="Barlow Semi Condensed" w:cs="Barlow Semi Condensed" w:eastAsia="Barlow Semi Condensed" w:hAnsi="Barlow Semi Condensed"/>
          <w:b/>
          <w:bCs/>
          <w:sz w:val="24"/>
          <w:szCs w:val="24"/>
        </w:rPr>
        <w:t xml:space="preserve">249.</w:t>
      </w:r>
      <w:r>
        <w:rPr>
          <w:rFonts w:ascii="Barlow Semi Condensed" w:cs="Barlow Semi Condensed" w:eastAsia="Barlow Semi Condensed" w:hAnsi="Barlow Semi Condensed"/>
          <w:sz w:val="24"/>
          <w:szCs w:val="24"/>
        </w:rPr>
        <w:t xml:space="preserve"> U.S. Department of State — https://history.state.gov/historicaldocuments/frus1969-76ve15p2Ed2/d350 (https://history.state.gov/historicaldocuments/frus1969-76ve15p2Ed2/d350)</w:t>
      </w:r>
    </w:p>
    <w:p>
      <w:pPr>
        <w:spacing w:after="120" w:line="276"/>
        <w:jc w:val="both"/>
      </w:pPr>
      <w:r>
        <w:rPr>
          <w:rFonts w:ascii="Barlow Semi Condensed" w:cs="Barlow Semi Condensed" w:eastAsia="Barlow Semi Condensed" w:hAnsi="Barlow Semi Condensed"/>
          <w:b/>
          <w:bCs/>
          <w:sz w:val="24"/>
          <w:szCs w:val="24"/>
        </w:rPr>
        <w:t xml:space="preserve">250.</w:t>
      </w:r>
      <w:r>
        <w:rPr>
          <w:rFonts w:ascii="Barlow Semi Condensed" w:cs="Barlow Semi Condensed" w:eastAsia="Barlow Semi Condensed" w:hAnsi="Barlow Semi Condensed"/>
          <w:sz w:val="24"/>
          <w:szCs w:val="24"/>
        </w:rPr>
        <w:t xml:space="preserve"> state — https://history.state.gov/historicaldocuments/frus1969-76v41/d180 (https://history.state.gov/historicaldocuments/frus1969-76v41/d180)</w:t>
      </w:r>
    </w:p>
    <w:p>
      <w:pPr>
        <w:spacing w:after="120" w:line="276"/>
        <w:jc w:val="both"/>
      </w:pPr>
      <w:r>
        <w:rPr>
          <w:rFonts w:ascii="Barlow Semi Condensed" w:cs="Barlow Semi Condensed" w:eastAsia="Barlow Semi Condensed" w:hAnsi="Barlow Semi Condensed"/>
          <w:b/>
          <w:bCs/>
          <w:sz w:val="24"/>
          <w:szCs w:val="24"/>
        </w:rPr>
        <w:t xml:space="preserve">251.</w:t>
      </w:r>
      <w:r>
        <w:rPr>
          <w:rFonts w:ascii="Barlow Semi Condensed" w:cs="Barlow Semi Condensed" w:eastAsia="Barlow Semi Condensed" w:hAnsi="Barlow Semi Condensed"/>
          <w:sz w:val="24"/>
          <w:szCs w:val="24"/>
        </w:rPr>
        <w:t xml:space="preserve"> U.S. Department of State — https://history.state.gov/historicaldocuments/frus1969-76v41/d188 (https://history.state.gov/historicaldocuments/frus1969-76v41/d188)</w:t>
      </w:r>
    </w:p>
    <w:p>
      <w:pPr>
        <w:spacing w:after="120" w:line="276"/>
        <w:jc w:val="both"/>
      </w:pPr>
      <w:r>
        <w:rPr>
          <w:rFonts w:ascii="Barlow Semi Condensed" w:cs="Barlow Semi Condensed" w:eastAsia="Barlow Semi Condensed" w:hAnsi="Barlow Semi Condensed"/>
          <w:b/>
          <w:bCs/>
          <w:sz w:val="24"/>
          <w:szCs w:val="24"/>
        </w:rPr>
        <w:t xml:space="preserve">252.</w:t>
      </w:r>
      <w:r>
        <w:rPr>
          <w:rFonts w:ascii="Barlow Semi Condensed" w:cs="Barlow Semi Condensed" w:eastAsia="Barlow Semi Condensed" w:hAnsi="Barlow Semi Condensed"/>
          <w:sz w:val="24"/>
          <w:szCs w:val="24"/>
        </w:rPr>
        <w:t xml:space="preserve"> Taylor &amp; Francis Online — https://www.tandfonline.com/doi/full/10.1080/09592296.2024.2303859 (https://www.tandfonline.com/doi/full/10.1080/09592296.2024.2303859)</w:t>
      </w:r>
    </w:p>
    <w:p>
      <w:pPr>
        <w:spacing w:after="120" w:line="276"/>
        <w:jc w:val="both"/>
      </w:pPr>
      <w:r>
        <w:rPr>
          <w:rFonts w:ascii="Barlow Semi Condensed" w:cs="Barlow Semi Condensed" w:eastAsia="Barlow Semi Condensed" w:hAnsi="Barlow Semi Condensed"/>
          <w:b/>
          <w:bCs/>
          <w:sz w:val="24"/>
          <w:szCs w:val="24"/>
        </w:rPr>
        <w:t xml:space="preserve">253.</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patrimonio.archivio.senato.it</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(citato in forma d'indirizzo, 10 volte)</w:t>
      </w:r>
    </w:p>
    <w:p>
      <w:pPr>
        <w:spacing w:after="120" w:line="276"/>
        <w:jc w:val="both"/>
      </w:pPr>
      <w:r>
        <w:rPr>
          <w:rFonts w:ascii="Barlow Semi Condensed" w:cs="Barlow Semi Condensed" w:eastAsia="Barlow Semi Condensed" w:hAnsi="Barlow Semi Condensed"/>
          <w:b/>
          <w:bCs/>
          <w:sz w:val="24"/>
          <w:szCs w:val="24"/>
        </w:rPr>
        <w:t xml:space="preserve">254.</w:t>
      </w:r>
      <w:r>
        <w:rPr>
          <w:rFonts w:ascii="Barlow Semi Condensed" w:cs="Barlow Semi Condensed" w:eastAsia="Barlow Semi Condensed" w:hAnsi="Barlow Semi Condensed"/>
          <w:sz w:val="24"/>
          <w:szCs w:val="24"/>
        </w:rPr>
        <w:t xml:space="preserve"> Senato della Repubblica — https://patrimonio.archivio.senato.it/inventario/scheda/aldo-moro/IT-AFS-048-000517/intervento-alla-commissione-affari-esteri-del-senato-sulla-situazione-libia (https://patrimonio.archivio.senato.it/inventario/scheda/aldo-moro/IT-AFS-048-000517/intervento-alla-commissione-affari-esteri-del-senato-sulla-situazione-libia)</w:t>
      </w:r>
    </w:p>
    <w:p>
      <w:pPr>
        <w:spacing w:after="120" w:line="276"/>
        <w:jc w:val="both"/>
      </w:pPr>
      <w:r>
        <w:rPr>
          <w:rFonts w:ascii="Barlow Semi Condensed" w:cs="Barlow Semi Condensed" w:eastAsia="Barlow Semi Condensed" w:hAnsi="Barlow Semi Condensed"/>
          <w:b/>
          <w:bCs/>
          <w:sz w:val="24"/>
          <w:szCs w:val="24"/>
        </w:rPr>
        <w:t xml:space="preserve">255.</w:t>
      </w:r>
      <w:r>
        <w:rPr>
          <w:rFonts w:ascii="Barlow Semi Condensed" w:cs="Barlow Semi Condensed" w:eastAsia="Barlow Semi Condensed" w:hAnsi="Barlow Semi Condensed"/>
          <w:sz w:val="24"/>
          <w:szCs w:val="24"/>
        </w:rPr>
        <w:t xml:space="preserve"> Senato della Repubblica — https://patrimonio.archivio.senato.it/inventario/scheda/aldo-moro/IT-AFS-048-000644/intervento-alla-commissione-%20esteri-della-camera-deputati (https://patrimonio.archivio.senato.it/inventario/scheda/aldo-moro/IT-AFS-048-000644/intervento-alla-commissione-%20esteri-della-camera-deputati) </w:t>
      </w:r>
      <w:r>
        <w:rPr>
          <w:rFonts w:ascii="Barlow Semi Condensed" w:cs="Barlow Semi Condensed" w:eastAsia="Barlow Semi Condensed" w:hAnsi="Barlow Semi Condensed"/>
          <w:i/>
          <w:iCs/>
          <w:sz w:val="24"/>
          <w:szCs w:val="24"/>
        </w:rPr>
        <w:t xml:space="preserve">(citato 2 volte)</w:t>
      </w:r>
    </w:p>
    <w:p>
      <w:pPr>
        <w:spacing w:after="120" w:line="276"/>
        <w:jc w:val="both"/>
      </w:pPr>
      <w:r>
        <w:rPr>
          <w:rFonts w:ascii="Barlow Semi Condensed" w:cs="Barlow Semi Condensed" w:eastAsia="Barlow Semi Condensed" w:hAnsi="Barlow Semi Condensed"/>
          <w:b/>
          <w:bCs/>
          <w:sz w:val="24"/>
          <w:szCs w:val="24"/>
        </w:rPr>
        <w:t xml:space="preserve">256.</w:t>
      </w:r>
      <w:r>
        <w:rPr>
          <w:rFonts w:ascii="Barlow Semi Condensed" w:cs="Barlow Semi Condensed" w:eastAsia="Barlow Semi Condensed" w:hAnsi="Barlow Semi Condensed"/>
          <w:sz w:val="24"/>
          <w:szCs w:val="24"/>
        </w:rPr>
        <w:t xml:space="preserve"> Progetto Radici — https://www.progetto-radici.it/2022/05/09/aldo-moro-il-dominus-della-politica-estera-italiana/ (https://www.progetto-radici.it/2022/05/09/aldo-moro-il-dominus-della-politica-estera-italiana/)</w:t>
      </w:r>
    </w:p>
    <w:p>
      <w:pPr>
        <w:spacing w:after="120" w:line="276"/>
        <w:jc w:val="both"/>
      </w:pPr>
      <w:r>
        <w:rPr>
          <w:rFonts w:ascii="Barlow Semi Condensed" w:cs="Barlow Semi Condensed" w:eastAsia="Barlow Semi Condensed" w:hAnsi="Barlow Semi Condensed"/>
          <w:b/>
          <w:bCs/>
          <w:sz w:val="24"/>
          <w:szCs w:val="24"/>
        </w:rPr>
        <w:t xml:space="preserve">257.</w:t>
      </w:r>
      <w:r>
        <w:rPr>
          <w:rFonts w:ascii="Barlow Semi Condensed" w:cs="Barlow Semi Condensed" w:eastAsia="Barlow Semi Condensed" w:hAnsi="Barlow Semi Condensed"/>
          <w:sz w:val="24"/>
          <w:szCs w:val="24"/>
        </w:rPr>
        <w:t xml:space="preserve"> Wikipedia — https://it.wikipedia.org/wiki/Relazioni_bilaterali_tra_Italia_e_Repubblica_Popolare_Cinese (https://it.wikipedia.org/wiki/Relazioni_bilaterali_tra_Italia_e_Repubblica_Popolare_Cinese)</w:t>
      </w:r>
    </w:p>
    <w:p>
      <w:pPr>
        <w:spacing w:after="120" w:line="276"/>
        <w:jc w:val="both"/>
      </w:pPr>
      <w:r>
        <w:rPr>
          <w:rFonts w:ascii="Barlow Semi Condensed" w:cs="Barlow Semi Condensed" w:eastAsia="Barlow Semi Condensed" w:hAnsi="Barlow Semi Condensed"/>
          <w:b/>
          <w:bCs/>
          <w:sz w:val="24"/>
          <w:szCs w:val="24"/>
        </w:rPr>
        <w:t xml:space="preserve">258.</w:t>
      </w:r>
      <w:r>
        <w:rPr>
          <w:rFonts w:ascii="Barlow Semi Condensed" w:cs="Barlow Semi Condensed" w:eastAsia="Barlow Semi Condensed" w:hAnsi="Barlow Semi Condensed"/>
          <w:sz w:val="24"/>
          <w:szCs w:val="24"/>
        </w:rPr>
        <w:t xml:space="preserve"> Dizie — https://www.dizie.eu/dizionario/spagna/ (https://www.dizie.eu/dizionario/spagna/)</w:t>
      </w:r>
    </w:p>
    <w:p>
      <w:pPr>
        <w:spacing w:after="120" w:line="276"/>
        <w:jc w:val="both"/>
      </w:pPr>
      <w:r>
        <w:rPr>
          <w:rFonts w:ascii="Barlow Semi Condensed" w:cs="Barlow Semi Condensed" w:eastAsia="Barlow Semi Condensed" w:hAnsi="Barlow Semi Condensed"/>
          <w:b/>
          <w:bCs/>
          <w:sz w:val="24"/>
          <w:szCs w:val="24"/>
        </w:rPr>
        <w:t xml:space="preserve">259.</w:t>
      </w:r>
      <w:r>
        <w:rPr>
          <w:rFonts w:ascii="Barlow Semi Condensed" w:cs="Barlow Semi Condensed" w:eastAsia="Barlow Semi Condensed" w:hAnsi="Barlow Semi Condensed"/>
          <w:sz w:val="24"/>
          <w:szCs w:val="24"/>
        </w:rPr>
        <w:t xml:space="preserve"> L'Incontro — https://www.lincontro.news/il-lodo-moro-non-era-una-fake-news-laccordo-fra-lo-stato-italiano-e-le-organizzazioni-palestinesi-ci-fu-e-produsse-degli-effetti/ (https://www.lincontro.news/il-lodo-moro-non-era-una-fake-news-laccordo-fra-lo-stato-italiano-e-le-organizzazioni-palestinesi-ci-fu-e-produsse-degli-effetti/) </w:t>
      </w:r>
      <w:r>
        <w:rPr>
          <w:rFonts w:ascii="Barlow Semi Condensed" w:cs="Barlow Semi Condensed" w:eastAsia="Barlow Semi Condensed" w:hAnsi="Barlow Semi Condensed"/>
          <w:i/>
          <w:iCs/>
          <w:sz w:val="24"/>
          <w:szCs w:val="24"/>
        </w:rPr>
        <w:t xml:space="preserve">(citato 3 volte)</w:t>
      </w:r>
    </w:p>
    <w:p>
      <w:pPr>
        <w:spacing w:after="120" w:line="276"/>
        <w:jc w:val="both"/>
      </w:pPr>
      <w:r>
        <w:rPr>
          <w:rFonts w:ascii="Barlow Semi Condensed" w:cs="Barlow Semi Condensed" w:eastAsia="Barlow Semi Condensed" w:hAnsi="Barlow Semi Condensed"/>
          <w:b/>
          <w:bCs/>
          <w:sz w:val="24"/>
          <w:szCs w:val="24"/>
        </w:rPr>
        <w:t xml:space="preserve">260.</w:t>
      </w:r>
      <w:r>
        <w:rPr>
          <w:rFonts w:ascii="Barlow Semi Condensed" w:cs="Barlow Semi Condensed" w:eastAsia="Barlow Semi Condensed" w:hAnsi="Barlow Semi Condensed"/>
          <w:sz w:val="24"/>
          <w:szCs w:val="24"/>
        </w:rPr>
        <w:t xml:space="preserve"> Il Giornale — https://www.ilgiornale.it/news/cultura/lodo-moro-leggenda-e-verit-storica-nel-libro-valentine-2003644.html (https://www.ilgiornale.it/news/cultura/lodo-moro-leggenda-e-verit-storica-nel-libro-valentine-2003644.html)</w:t>
      </w:r>
    </w:p>
    <w:p>
      <w:pPr>
        <w:spacing w:after="120" w:line="276"/>
        <w:jc w:val="both"/>
      </w:pPr>
      <w:r>
        <w:rPr>
          <w:rFonts w:ascii="Barlow Semi Condensed" w:cs="Barlow Semi Condensed" w:eastAsia="Barlow Semi Condensed" w:hAnsi="Barlow Semi Condensed"/>
          <w:b/>
          <w:bCs/>
          <w:sz w:val="24"/>
          <w:szCs w:val="24"/>
        </w:rPr>
        <w:t xml:space="preserve">261.</w:t>
      </w:r>
      <w:r>
        <w:rPr>
          <w:rFonts w:ascii="Barlow Semi Condensed" w:cs="Barlow Semi Condensed" w:eastAsia="Barlow Semi Condensed" w:hAnsi="Barlow Semi Condensed"/>
          <w:sz w:val="24"/>
          <w:szCs w:val="24"/>
        </w:rPr>
        <w:t xml:space="preserve"> Wikipedia — https://it.wikipedia.org/wiki/Lodo_Moro (https://it.wikipedia.org/wiki/Lodo_Moro)</w:t>
      </w:r>
    </w:p>
    <w:p>
      <w:pPr>
        <w:spacing w:after="120" w:line="276"/>
        <w:jc w:val="both"/>
      </w:pPr>
      <w:r>
        <w:rPr>
          <w:rFonts w:ascii="Barlow Semi Condensed" w:cs="Barlow Semi Condensed" w:eastAsia="Barlow Semi Condensed" w:hAnsi="Barlow Semi Condensed"/>
          <w:b/>
          <w:bCs/>
          <w:sz w:val="24"/>
          <w:szCs w:val="24"/>
        </w:rPr>
        <w:t xml:space="preserve">262.</w:t>
      </w:r>
      <w:r>
        <w:rPr>
          <w:rFonts w:ascii="Barlow Semi Condensed" w:cs="Barlow Semi Condensed" w:eastAsia="Barlow Semi Condensed" w:hAnsi="Barlow Semi Condensed"/>
          <w:sz w:val="24"/>
          <w:szCs w:val="24"/>
        </w:rPr>
        <w:t xml:space="preserve"> Ilmemoriale — https://www.ilmemoriale.it/politica/2017/09/04/espulsione-degli-italiani-da-tripoli.html (https://www.ilmemoriale.it/politica/2017/09/04/espulsione-degli-italiani-da-tripoli.html)</w:t>
      </w:r>
    </w:p>
    <w:p>
      <w:pPr>
        <w:spacing w:after="120" w:line="276"/>
        <w:jc w:val="both"/>
      </w:pPr>
      <w:r>
        <w:rPr>
          <w:rFonts w:ascii="Barlow Semi Condensed" w:cs="Barlow Semi Condensed" w:eastAsia="Barlow Semi Condensed" w:hAnsi="Barlow Semi Condensed"/>
          <w:b/>
          <w:bCs/>
          <w:sz w:val="24"/>
          <w:szCs w:val="24"/>
        </w:rPr>
        <w:t xml:space="preserve">263.</w:t>
      </w:r>
      <w:r>
        <w:rPr>
          <w:rFonts w:ascii="Barlow Semi Condensed" w:cs="Barlow Semi Condensed" w:eastAsia="Barlow Semi Condensed" w:hAnsi="Barlow Semi Condensed"/>
          <w:sz w:val="24"/>
          <w:szCs w:val="24"/>
        </w:rPr>
        <w:t xml:space="preserve"> Ponza Racconta — https://www.ponzaracconta.it/2021/03/30/aldo-moro-gheddafi-e-arafat/ (https://www.ponzaracconta.it/2021/03/30/aldo-moro-gheddafi-e-arafat/)</w:t>
      </w:r>
    </w:p>
    <w:p>
      <w:pPr>
        <w:spacing w:after="120" w:line="276"/>
        <w:jc w:val="both"/>
      </w:pPr>
      <w:r>
        <w:rPr>
          <w:rFonts w:ascii="Barlow Semi Condensed" w:cs="Barlow Semi Condensed" w:eastAsia="Barlow Semi Condensed" w:hAnsi="Barlow Semi Condensed"/>
          <w:b/>
          <w:bCs/>
          <w:sz w:val="24"/>
          <w:szCs w:val="24"/>
        </w:rPr>
        <w:t xml:space="preserve">264.</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lavalledeitempli.net</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(citato in forma d'indirizzo)</w:t>
      </w:r>
    </w:p>
    <w:p>
      <w:pPr>
        <w:spacing w:after="120" w:line="276"/>
        <w:jc w:val="both"/>
      </w:pPr>
      <w:r>
        <w:rPr>
          <w:rFonts w:ascii="Barlow Semi Condensed" w:cs="Barlow Semi Condensed" w:eastAsia="Barlow Semi Condensed" w:hAnsi="Barlow Semi Condensed"/>
          <w:b/>
          <w:bCs/>
          <w:sz w:val="24"/>
          <w:szCs w:val="24"/>
        </w:rPr>
        <w:t xml:space="preserve">265.</w:t>
      </w:r>
      <w:r>
        <w:rPr>
          <w:rFonts w:ascii="Barlow Semi Condensed" w:cs="Barlow Semi Condensed" w:eastAsia="Barlow Semi Condensed" w:hAnsi="Barlow Semi Condensed"/>
          <w:sz w:val="24"/>
          <w:szCs w:val="24"/>
        </w:rPr>
        <w:t xml:space="preserve"> Lavalledeitempli — http://lavalledeitempli.net/2019/04/23/aldo-moro-vero-artefice-della-cooperazione-la-libia-gheddafi/ (http://lavalledeitempli.net/2019/04/23/aldo-moro-vero-artefice-della-cooperazione-la-libia-gheddafi/) </w:t>
      </w:r>
      <w:r>
        <w:rPr>
          <w:rFonts w:ascii="Barlow Semi Condensed" w:cs="Barlow Semi Condensed" w:eastAsia="Barlow Semi Condensed" w:hAnsi="Barlow Semi Condensed"/>
          <w:i/>
          <w:iCs/>
          <w:sz w:val="24"/>
          <w:szCs w:val="24"/>
        </w:rPr>
        <w:t xml:space="preserve">(citato 2 volte)</w:t>
      </w:r>
    </w:p>
    <w:p>
      <w:pPr>
        <w:spacing w:after="120" w:line="276"/>
        <w:jc w:val="both"/>
      </w:pPr>
      <w:r>
        <w:rPr>
          <w:rFonts w:ascii="Barlow Semi Condensed" w:cs="Barlow Semi Condensed" w:eastAsia="Barlow Semi Condensed" w:hAnsi="Barlow Semi Condensed"/>
          <w:b/>
          <w:bCs/>
          <w:sz w:val="24"/>
          <w:szCs w:val="24"/>
        </w:rPr>
        <w:t xml:space="preserve">266.</w:t>
      </w:r>
      <w:r>
        <w:rPr>
          <w:rFonts w:ascii="Barlow Semi Condensed" w:cs="Barlow Semi Condensed" w:eastAsia="Barlow Semi Condensed" w:hAnsi="Barlow Semi Condensed"/>
          <w:sz w:val="24"/>
          <w:szCs w:val="24"/>
        </w:rPr>
        <w:t xml:space="preserve"> CIE — https://israeled.org/wp-content/uploads/2012/05/FRUS-1969-1976-1973-war.pdf (https://israeled.org/wp-content/uploads/2012/05/FRUS-1969-1976-1973-war.pdf)</w:t>
      </w:r>
    </w:p>
    <w:p>
      <w:pPr>
        <w:spacing w:after="120" w:line="276"/>
        <w:jc w:val="both"/>
      </w:pPr>
      <w:r>
        <w:rPr>
          <w:rFonts w:ascii="Barlow Semi Condensed" w:cs="Barlow Semi Condensed" w:eastAsia="Barlow Semi Condensed" w:hAnsi="Barlow Semi Condensed"/>
          <w:b/>
          <w:bCs/>
          <w:sz w:val="24"/>
          <w:szCs w:val="24"/>
        </w:rPr>
        <w:t xml:space="preserve">267.</w:t>
      </w:r>
      <w:r>
        <w:rPr>
          <w:rFonts w:ascii="Barlow Semi Condensed" w:cs="Barlow Semi Condensed" w:eastAsia="Barlow Semi Condensed" w:hAnsi="Barlow Semi Condensed"/>
          <w:sz w:val="24"/>
          <w:szCs w:val="24"/>
        </w:rPr>
        <w:t xml:space="preserve"> Treccani — https://www.treccani.it/enciclopedia/non-proliferazione-atomica_(Enciclopedia-Italiana (https://www.treccani.it/enciclopedia/non-proliferazione-atomica_(Enciclopedia-Italiana)</w:t>
      </w:r>
    </w:p>
    <w:p>
      <w:pPr>
        <w:spacing w:after="120" w:line="276"/>
        <w:jc w:val="both"/>
      </w:pPr>
      <w:r>
        <w:rPr>
          <w:rFonts w:ascii="Barlow Semi Condensed" w:cs="Barlow Semi Condensed" w:eastAsia="Barlow Semi Condensed" w:hAnsi="Barlow Semi Condensed"/>
          <w:b/>
          <w:bCs/>
          <w:sz w:val="24"/>
          <w:szCs w:val="24"/>
        </w:rPr>
        <w:t xml:space="preserve">268.</w:t>
      </w:r>
      <w:r>
        <w:rPr>
          <w:rFonts w:ascii="Barlow Semi Condensed" w:cs="Barlow Semi Condensed" w:eastAsia="Barlow Semi Condensed" w:hAnsi="Barlow Semi Condensed"/>
          <w:sz w:val="24"/>
          <w:szCs w:val="24"/>
        </w:rPr>
        <w:t xml:space="preserve"> Unica — https://convegni.unica.it/sisi19/i-panel-dellottavo-convegno-sisi-cagliari-2019/panel-3/ (https://convegni.unica.it/sisi19/i-panel-dellottavo-convegno-sisi-cagliari-2019/panel-3/)</w:t>
      </w:r>
    </w:p>
    <w:p>
      <w:pPr>
        <w:spacing w:after="120" w:line="276"/>
        <w:jc w:val="both"/>
      </w:pPr>
      <w:r>
        <w:rPr>
          <w:rFonts w:ascii="Barlow Semi Condensed" w:cs="Barlow Semi Condensed" w:eastAsia="Barlow Semi Condensed" w:hAnsi="Barlow Semi Condensed"/>
          <w:b/>
          <w:bCs/>
          <w:sz w:val="24"/>
          <w:szCs w:val="24"/>
        </w:rPr>
        <w:t xml:space="preserve">269.</w:t>
      </w:r>
      <w:r>
        <w:rPr>
          <w:rFonts w:ascii="Barlow Semi Condensed" w:cs="Barlow Semi Condensed" w:eastAsia="Barlow Semi Condensed" w:hAnsi="Barlow Semi Condensed"/>
          <w:sz w:val="24"/>
          <w:szCs w:val="24"/>
        </w:rPr>
        <w:t xml:space="preserve"> SettimanaNews — https://www.settimananews.it/chiesa/silvestrini-ostpolitik/ (https://www.settimananews.it/chiesa/silvestrini-ostpolitik/)</w:t>
      </w:r>
    </w:p>
    <w:p>
      <w:pPr>
        <w:spacing w:after="120" w:line="276"/>
        <w:jc w:val="both"/>
      </w:pPr>
      <w:r>
        <w:rPr>
          <w:rFonts w:ascii="Barlow Semi Condensed" w:cs="Barlow Semi Condensed" w:eastAsia="Barlow Semi Condensed" w:hAnsi="Barlow Semi Condensed"/>
          <w:b/>
          <w:bCs/>
          <w:sz w:val="24"/>
          <w:szCs w:val="24"/>
        </w:rPr>
        <w:t xml:space="preserve">270.</w:t>
      </w:r>
      <w:r>
        <w:rPr>
          <w:rFonts w:ascii="Barlow Semi Condensed" w:cs="Barlow Semi Condensed" w:eastAsia="Barlow Semi Condensed" w:hAnsi="Barlow Semi Condensed"/>
          <w:sz w:val="24"/>
          <w:szCs w:val="24"/>
        </w:rPr>
        <w:t xml:space="preserve"> Vatican News — https://www.vaticannews.va/it/mondo/news/2022-04/conferenza-helsinki-1975-europa-guerra-fredda-eredita-pace.html (https://www.vaticannews.va/it/mondo/news/2022-04/conferenza-helsinki-1975-europa-guerra-fredda-eredita-pace.html) </w:t>
      </w:r>
      <w:r>
        <w:rPr>
          <w:rFonts w:ascii="Barlow Semi Condensed" w:cs="Barlow Semi Condensed" w:eastAsia="Barlow Semi Condensed" w:hAnsi="Barlow Semi Condensed"/>
          <w:i/>
          <w:iCs/>
          <w:sz w:val="24"/>
          <w:szCs w:val="24"/>
        </w:rPr>
        <w:t xml:space="preserve">(citato 3 volte)</w:t>
      </w:r>
    </w:p>
    <w:p>
      <w:pPr>
        <w:spacing w:after="120" w:line="276"/>
        <w:jc w:val="both"/>
      </w:pPr>
      <w:r>
        <w:rPr>
          <w:rFonts w:ascii="Barlow Semi Condensed" w:cs="Barlow Semi Condensed" w:eastAsia="Barlow Semi Condensed" w:hAnsi="Barlow Semi Condensed"/>
          <w:b/>
          <w:bCs/>
          <w:sz w:val="24"/>
          <w:szCs w:val="24"/>
        </w:rPr>
        <w:t xml:space="preserve">271.</w:t>
      </w:r>
      <w:r>
        <w:rPr>
          <w:rFonts w:ascii="Barlow Semi Condensed" w:cs="Barlow Semi Condensed" w:eastAsia="Barlow Semi Condensed" w:hAnsi="Barlow Semi Condensed"/>
          <w:sz w:val="24"/>
          <w:szCs w:val="24"/>
        </w:rPr>
        <w:t xml:space="preserve"> University of Padua — https://www.research.unipd.it/handle/11577/3421701 (https://www.research.unipd.it/handle/11577/3421701)</w:t>
      </w:r>
    </w:p>
    <w:p>
      <w:pPr>
        <w:spacing w:after="120" w:line="276"/>
        <w:jc w:val="both"/>
      </w:pPr>
      <w:r>
        <w:rPr>
          <w:rFonts w:ascii="Barlow Semi Condensed" w:cs="Barlow Semi Condensed" w:eastAsia="Barlow Semi Condensed" w:hAnsi="Barlow Semi Condensed"/>
          <w:b/>
          <w:bCs/>
          <w:sz w:val="24"/>
          <w:szCs w:val="24"/>
        </w:rPr>
        <w:t xml:space="preserve">272.</w:t>
      </w:r>
      <w:r>
        <w:rPr>
          <w:rFonts w:ascii="Barlow Semi Condensed" w:cs="Barlow Semi Condensed" w:eastAsia="Barlow Semi Condensed" w:hAnsi="Barlow Semi Condensed"/>
          <w:sz w:val="24"/>
          <w:szCs w:val="24"/>
        </w:rPr>
        <w:t xml:space="preserve"> Chiesacattolica.it — https://www.chiesacattolica.it/documenti-segreteria/accordo-di-revisione-del-concordato-lateranense-tra-la-santa-sede-e-la-repubblica-italiana/ (https://www.chiesacattolica.it/documenti-segreteria/accordo-di-revisione-del-concordato-lateranense-tra-la-santa-sede-e-la-repubblica-italiana/)</w:t>
      </w:r>
    </w:p>
    <w:p>
      <w:pPr>
        <w:spacing w:after="120" w:line="276"/>
        <w:jc w:val="both"/>
      </w:pPr>
      <w:r>
        <w:rPr>
          <w:rFonts w:ascii="Barlow Semi Condensed" w:cs="Barlow Semi Condensed" w:eastAsia="Barlow Semi Condensed" w:hAnsi="Barlow Semi Condensed"/>
          <w:b/>
          <w:bCs/>
          <w:sz w:val="24"/>
          <w:szCs w:val="24"/>
        </w:rPr>
        <w:t xml:space="preserve">273.</w:t>
      </w:r>
      <w:r>
        <w:rPr>
          <w:rFonts w:ascii="Barlow Semi Condensed" w:cs="Barlow Semi Condensed" w:eastAsia="Barlow Semi Condensed" w:hAnsi="Barlow Semi Condensed"/>
          <w:sz w:val="24"/>
          <w:szCs w:val="24"/>
        </w:rPr>
        <w:t xml:space="preserve"> Delibris — https://www.delibris.org/es/lopez-bravo (https://www.delibris.org/es/lopez-bravo)</w:t>
      </w:r>
    </w:p>
    <w:p>
      <w:pPr>
        <w:spacing w:after="120" w:line="276"/>
        <w:jc w:val="both"/>
      </w:pPr>
      <w:r>
        <w:rPr>
          <w:rFonts w:ascii="Barlow Semi Condensed" w:cs="Barlow Semi Condensed" w:eastAsia="Barlow Semi Condensed" w:hAnsi="Barlow Semi Condensed"/>
          <w:b/>
          <w:bCs/>
          <w:sz w:val="24"/>
          <w:szCs w:val="24"/>
        </w:rPr>
        <w:t xml:space="preserve">274.</w:t>
      </w:r>
      <w:r>
        <w:rPr>
          <w:rFonts w:ascii="Barlow Semi Condensed" w:cs="Barlow Semi Condensed" w:eastAsia="Barlow Semi Condensed" w:hAnsi="Barlow Semi Condensed"/>
          <w:sz w:val="24"/>
          <w:szCs w:val="24"/>
        </w:rPr>
        <w:t xml:space="preserve"> El Confidencial Digital — https://www.elconfidencialdigital.com/religion/articulo/de-libros/gregorio-lopez-bravo-miembro-opus-dei-servicio-progreso-espana/20241007004039050434.html (https://www.elconfidencialdigital.com/religion/articulo/de-libros/gregorio-lopez-bravo-miembro-opus-dei-servicio-progreso-espana/20241007004039050434.html) </w:t>
      </w:r>
      <w:r>
        <w:rPr>
          <w:rFonts w:ascii="Barlow Semi Condensed" w:cs="Barlow Semi Condensed" w:eastAsia="Barlow Semi Condensed" w:hAnsi="Barlow Semi Condensed"/>
          <w:i/>
          <w:iCs/>
          <w:sz w:val="24"/>
          <w:szCs w:val="24"/>
        </w:rPr>
        <w:t xml:space="preserve">(citato 6 volte)</w:t>
      </w:r>
    </w:p>
    <w:p>
      <w:pPr>
        <w:spacing w:after="120" w:line="276"/>
        <w:jc w:val="both"/>
      </w:pPr>
      <w:r>
        <w:rPr>
          <w:rFonts w:ascii="Barlow Semi Condensed" w:cs="Barlow Semi Condensed" w:eastAsia="Barlow Semi Condensed" w:hAnsi="Barlow Semi Condensed"/>
          <w:b/>
          <w:bCs/>
          <w:sz w:val="24"/>
          <w:szCs w:val="24"/>
        </w:rPr>
        <w:t xml:space="preserve">275.</w:t>
      </w:r>
      <w:r>
        <w:rPr>
          <w:rFonts w:ascii="Barlow Semi Condensed" w:cs="Barlow Semi Condensed" w:eastAsia="Barlow Semi Condensed" w:hAnsi="Barlow Semi Condensed"/>
          <w:sz w:val="24"/>
          <w:szCs w:val="24"/>
        </w:rPr>
        <w:t xml:space="preserve"> Omnes — https://www.omnesmag.com/en/news/gabriel-perez-lopez-lopez-bravo-acted-freely/ (https://www.omnesmag.com/en/news/gabriel-perez-lopez-lopez-bravo-acted-freely/) </w:t>
      </w:r>
      <w:r>
        <w:rPr>
          <w:rFonts w:ascii="Barlow Semi Condensed" w:cs="Barlow Semi Condensed" w:eastAsia="Barlow Semi Condensed" w:hAnsi="Barlow Semi Condensed"/>
          <w:i/>
          <w:iCs/>
          <w:sz w:val="24"/>
          <w:szCs w:val="24"/>
        </w:rPr>
        <w:t xml:space="preserve">(citato 2 volte)</w:t>
      </w:r>
    </w:p>
    <w:p>
      <w:pPr>
        <w:spacing w:after="120" w:line="276"/>
        <w:jc w:val="both"/>
      </w:pPr>
      <w:r>
        <w:rPr>
          <w:rFonts w:ascii="Barlow Semi Condensed" w:cs="Barlow Semi Condensed" w:eastAsia="Barlow Semi Condensed" w:hAnsi="Barlow Semi Condensed"/>
          <w:b/>
          <w:bCs/>
          <w:sz w:val="24"/>
          <w:szCs w:val="24"/>
        </w:rPr>
        <w:t xml:space="preserve">276.</w:t>
      </w:r>
      <w:r>
        <w:rPr>
          <w:rFonts w:ascii="Barlow Semi Condensed" w:cs="Barlow Semi Condensed" w:eastAsia="Barlow Semi Condensed" w:hAnsi="Barlow Semi Condensed"/>
          <w:sz w:val="24"/>
          <w:szCs w:val="24"/>
        </w:rPr>
        <w:t xml:space="preserve"> Treccani — https://www.treccani.it/enciclopedia/9-maggio-1978-lo-schiaffo-a-paolo-vi-storia-e-fallimento-della-mediazione-vaticana-per-la-liberazione-di-aldo-moro_(Cristiani-d'Italia (https://www.treccani.it/enciclopedia/9-maggio-1978-lo-schiaffo-a-paolo-vi-storia-e-fallimento-della-mediazione-vaticana-per-la-liberazione-di-aldo-moro_(Cristiani-d'Italia) </w:t>
      </w:r>
      <w:r>
        <w:rPr>
          <w:rFonts w:ascii="Barlow Semi Condensed" w:cs="Barlow Semi Condensed" w:eastAsia="Barlow Semi Condensed" w:hAnsi="Barlow Semi Condensed"/>
          <w:i/>
          <w:iCs/>
          <w:sz w:val="24"/>
          <w:szCs w:val="24"/>
        </w:rPr>
        <w:t xml:space="preserve">(citato 4 volte)</w:t>
      </w:r>
    </w:p>
    <w:p>
      <w:pPr>
        <w:pStyle w:val="Heading3"/>
        <w:spacing w:after="80" w:before="160"/>
      </w:pPr>
      <w:r>
        <w:rPr>
          <w:rFonts w:ascii="Barlow Semi Condensed" w:cs="Barlow Semi Condensed" w:eastAsia="Barlow Semi Condensed" w:hAnsi="Barlow Semi Condensed"/>
          <w:sz w:val="24"/>
          <w:szCs w:val="24"/>
        </w:rPr>
        <w:t xml:space="preserve">Libro dodicesimo · III — Germania e Opus Dei 1952-1985</w:t>
      </w:r>
    </w:p>
    <w:p>
      <w:pPr>
        <w:spacing w:after="120" w:line="276"/>
        <w:jc w:val="both"/>
      </w:pPr>
      <w:r>
        <w:rPr>
          <w:rFonts w:ascii="Barlow Semi Condensed" w:cs="Barlow Semi Condensed" w:eastAsia="Barlow Semi Condensed" w:hAnsi="Barlow Semi Condensed"/>
          <w:b/>
          <w:bCs/>
          <w:sz w:val="24"/>
          <w:szCs w:val="24"/>
        </w:rPr>
        <w:t xml:space="preserve">277.</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bistum-essen.de</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(citato in forma d'indirizzo)</w:t>
      </w:r>
    </w:p>
    <w:p>
      <w:pPr>
        <w:spacing w:after="120" w:line="276"/>
        <w:jc w:val="both"/>
      </w:pPr>
      <w:r>
        <w:rPr>
          <w:rFonts w:ascii="Barlow Semi Condensed" w:cs="Barlow Semi Condensed" w:eastAsia="Barlow Semi Condensed" w:hAnsi="Barlow Semi Condensed"/>
          <w:b/>
          <w:bCs/>
          <w:sz w:val="24"/>
          <w:szCs w:val="24"/>
        </w:rPr>
        <w:t xml:space="preserve">278.</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katholisch.de</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(citato in forma d'indirizzo, 2 volte)</w:t>
      </w:r>
    </w:p>
    <w:p>
      <w:pPr>
        <w:spacing w:after="120" w:line="276"/>
        <w:jc w:val="both"/>
      </w:pPr>
      <w:r>
        <w:rPr>
          <w:rFonts w:ascii="Barlow Semi Condensed" w:cs="Barlow Semi Condensed" w:eastAsia="Barlow Semi Condensed" w:hAnsi="Barlow Semi Condensed"/>
          <w:b/>
          <w:bCs/>
          <w:sz w:val="24"/>
          <w:szCs w:val="24"/>
        </w:rPr>
        <w:t xml:space="preserve">279.</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opusdei.org</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(citato in forma d'indirizzo, 8 volte)</w:t>
      </w:r>
    </w:p>
    <w:p>
      <w:pPr>
        <w:spacing w:after="120" w:line="276"/>
        <w:jc w:val="both"/>
      </w:pPr>
      <w:r>
        <w:rPr>
          <w:rFonts w:ascii="Barlow Semi Condensed" w:cs="Barlow Semi Condensed" w:eastAsia="Barlow Semi Condensed" w:hAnsi="Barlow Semi Condensed"/>
          <w:b/>
          <w:bCs/>
          <w:sz w:val="24"/>
          <w:szCs w:val="24"/>
        </w:rPr>
        <w:t xml:space="preserve">280.</w:t>
      </w:r>
      <w:r>
        <w:rPr>
          <w:rFonts w:ascii="Barlow Semi Condensed" w:cs="Barlow Semi Condensed" w:eastAsia="Barlow Semi Condensed" w:hAnsi="Barlow Semi Condensed"/>
          <w:sz w:val="24"/>
          <w:szCs w:val="24"/>
        </w:rPr>
        <w:t xml:space="preserve"> opusdei — https://opusdei.org/de-de/article/kurzdarstellung-der-anfange-des-opus-dei-in-deutschland/ (https://opusdei.org/de-de/article/kurzdarstellung-der-anfange-des-opus-dei-in-deutschland/) </w:t>
      </w:r>
      <w:r>
        <w:rPr>
          <w:rFonts w:ascii="Barlow Semi Condensed" w:cs="Barlow Semi Condensed" w:eastAsia="Barlow Semi Condensed" w:hAnsi="Barlow Semi Condensed"/>
          <w:i/>
          <w:iCs/>
          <w:sz w:val="24"/>
          <w:szCs w:val="24"/>
        </w:rPr>
        <w:t xml:space="preserve">(citato 2 volte)</w:t>
      </w:r>
    </w:p>
    <w:p>
      <w:pPr>
        <w:spacing w:after="120" w:line="276"/>
        <w:jc w:val="both"/>
      </w:pPr>
      <w:r>
        <w:rPr>
          <w:rFonts w:ascii="Barlow Semi Condensed" w:cs="Barlow Semi Condensed" w:eastAsia="Barlow Semi Condensed" w:hAnsi="Barlow Semi Condensed"/>
          <w:b/>
          <w:bCs/>
          <w:sz w:val="24"/>
          <w:szCs w:val="24"/>
        </w:rPr>
        <w:t xml:space="preserve">281.</w:t>
      </w:r>
      <w:r>
        <w:rPr>
          <w:rFonts w:ascii="Barlow Semi Condensed" w:cs="Barlow Semi Condensed" w:eastAsia="Barlow Semi Condensed" w:hAnsi="Barlow Semi Condensed"/>
          <w:sz w:val="24"/>
          <w:szCs w:val="24"/>
        </w:rPr>
        <w:t xml:space="preserve"> Opus Dei — https://opusdei.org/en-us/article/commemorative-book-in-germany/ (https://opusdei.org/en-us/article/commemorative-book-in-germany/)</w:t>
      </w:r>
    </w:p>
    <w:p>
      <w:pPr>
        <w:spacing w:after="120" w:line="276"/>
        <w:jc w:val="both"/>
      </w:pPr>
      <w:r>
        <w:rPr>
          <w:rFonts w:ascii="Barlow Semi Condensed" w:cs="Barlow Semi Condensed" w:eastAsia="Barlow Semi Condensed" w:hAnsi="Barlow Semi Condensed"/>
          <w:b/>
          <w:bCs/>
          <w:sz w:val="24"/>
          <w:szCs w:val="24"/>
        </w:rPr>
        <w:t xml:space="preserve">282.</w:t>
      </w:r>
      <w:r>
        <w:rPr>
          <w:rFonts w:ascii="Barlow Semi Condensed" w:cs="Barlow Semi Condensed" w:eastAsia="Barlow Semi Condensed" w:hAnsi="Barlow Semi Condensed"/>
          <w:sz w:val="24"/>
          <w:szCs w:val="24"/>
        </w:rPr>
        <w:t xml:space="preserve"> Kath — https://kath.net/print/15147 (https://kath.net/print/15147)</w:t>
      </w:r>
    </w:p>
    <w:p>
      <w:pPr>
        <w:spacing w:after="120" w:line="276"/>
        <w:jc w:val="both"/>
      </w:pPr>
      <w:r>
        <w:rPr>
          <w:rFonts w:ascii="Barlow Semi Condensed" w:cs="Barlow Semi Condensed" w:eastAsia="Barlow Semi Condensed" w:hAnsi="Barlow Semi Condensed"/>
          <w:b/>
          <w:bCs/>
          <w:sz w:val="24"/>
          <w:szCs w:val="24"/>
        </w:rPr>
        <w:t xml:space="preserve">283.</w:t>
      </w:r>
      <w:r>
        <w:rPr>
          <w:rFonts w:ascii="Barlow Semi Condensed" w:cs="Barlow Semi Condensed" w:eastAsia="Barlow Semi Condensed" w:hAnsi="Barlow Semi Condensed"/>
          <w:sz w:val="24"/>
          <w:szCs w:val="24"/>
        </w:rPr>
        <w:t xml:space="preserve"> Blogger — http://hugendubelverdi.blogspot.com/2012/01/gottes-werk-und-des-kardinals-beitrag.html (http://hugendubelverdi.blogspot.com/2012/01/gottes-werk-und-des-kardinals-beitrag.html)</w:t>
      </w:r>
    </w:p>
    <w:p>
      <w:pPr>
        <w:spacing w:after="120" w:line="276"/>
        <w:jc w:val="both"/>
      </w:pPr>
      <w:r>
        <w:rPr>
          <w:rFonts w:ascii="Barlow Semi Condensed" w:cs="Barlow Semi Condensed" w:eastAsia="Barlow Semi Condensed" w:hAnsi="Barlow Semi Condensed"/>
          <w:b/>
          <w:bCs/>
          <w:sz w:val="24"/>
          <w:szCs w:val="24"/>
        </w:rPr>
        <w:t xml:space="preserve">284.</w:t>
      </w:r>
      <w:r>
        <w:rPr>
          <w:rFonts w:ascii="Barlow Semi Condensed" w:cs="Barlow Semi Condensed" w:eastAsia="Barlow Semi Condensed" w:hAnsi="Barlow Semi Condensed"/>
          <w:sz w:val="24"/>
          <w:szCs w:val="24"/>
        </w:rPr>
        <w:t xml:space="preserve"> taz.de — https://taz.de/Der-Mann-der-das-fringsen-erfand-und-alten-Nazis-half/%21664899/ (https://taz.de/Der-Mann-der-das-fringsen-erfand-und-alten-Nazis-half/%21664899/)</w:t>
      </w:r>
    </w:p>
    <w:p>
      <w:pPr>
        <w:spacing w:after="120" w:line="276"/>
        <w:jc w:val="both"/>
      </w:pPr>
      <w:r>
        <w:rPr>
          <w:rFonts w:ascii="Barlow Semi Condensed" w:cs="Barlow Semi Condensed" w:eastAsia="Barlow Semi Condensed" w:hAnsi="Barlow Semi Condensed"/>
          <w:b/>
          <w:bCs/>
          <w:sz w:val="24"/>
          <w:szCs w:val="24"/>
        </w:rPr>
        <w:t xml:space="preserve">285.</w:t>
      </w:r>
      <w:r>
        <w:rPr>
          <w:rFonts w:ascii="Barlow Semi Condensed" w:cs="Barlow Semi Condensed" w:eastAsia="Barlow Semi Condensed" w:hAnsi="Barlow Semi Condensed"/>
          <w:sz w:val="24"/>
          <w:szCs w:val="24"/>
        </w:rPr>
        <w:t xml:space="preserve"> fowid — https://fowid.de/sites/default/files/download/religionszugehoerigkeit_bevoelkerung_1950-2005.pdf (https://fowid.de/sites/default/files/download/religionszugehoerigkeit_bevoelkerung_1950-2005.pdf)</w:t>
      </w:r>
    </w:p>
    <w:p>
      <w:pPr>
        <w:spacing w:after="120" w:line="276"/>
        <w:jc w:val="both"/>
      </w:pPr>
      <w:r>
        <w:rPr>
          <w:rFonts w:ascii="Barlow Semi Condensed" w:cs="Barlow Semi Condensed" w:eastAsia="Barlow Semi Condensed" w:hAnsi="Barlow Semi Condensed"/>
          <w:b/>
          <w:bCs/>
          <w:sz w:val="24"/>
          <w:szCs w:val="24"/>
        </w:rPr>
        <w:t xml:space="preserve">286.</w:t>
      </w:r>
      <w:r>
        <w:rPr>
          <w:rFonts w:ascii="Barlow Semi Condensed" w:cs="Barlow Semi Condensed" w:eastAsia="Barlow Semi Condensed" w:hAnsi="Barlow Semi Condensed"/>
          <w:sz w:val="24"/>
          <w:szCs w:val="24"/>
        </w:rPr>
        <w:t xml:space="preserve"> Clio Online — https://www.europa.clio-online.de/essay/id/fdae-1690 (https://www.europa.clio-online.de/essay/id/fdae-1690) </w:t>
      </w:r>
      <w:r>
        <w:rPr>
          <w:rFonts w:ascii="Barlow Semi Condensed" w:cs="Barlow Semi Condensed" w:eastAsia="Barlow Semi Condensed" w:hAnsi="Barlow Semi Condensed"/>
          <w:i/>
          <w:iCs/>
          <w:sz w:val="24"/>
          <w:szCs w:val="24"/>
        </w:rPr>
        <w:t xml:space="preserve">(citato 2 volte)</w:t>
      </w:r>
    </w:p>
    <w:p>
      <w:pPr>
        <w:spacing w:after="120" w:line="276"/>
        <w:jc w:val="both"/>
      </w:pPr>
      <w:r>
        <w:rPr>
          <w:rFonts w:ascii="Barlow Semi Condensed" w:cs="Barlow Semi Condensed" w:eastAsia="Barlow Semi Condensed" w:hAnsi="Barlow Semi Condensed"/>
          <w:b/>
          <w:bCs/>
          <w:sz w:val="24"/>
          <w:szCs w:val="24"/>
        </w:rPr>
        <w:t xml:space="preserve">287.</w:t>
      </w:r>
      <w:r>
        <w:rPr>
          <w:rFonts w:ascii="Barlow Semi Condensed" w:cs="Barlow Semi Condensed" w:eastAsia="Barlow Semi Condensed" w:hAnsi="Barlow Semi Condensed"/>
          <w:sz w:val="24"/>
          <w:szCs w:val="24"/>
        </w:rPr>
        <w:t xml:space="preserve"> fowid — https://fowid.de/meldung/religionszugehoerigkeiten-deutschland-2015 (https://fowid.de/meldung/religionszugehoerigkeiten-deutschland-2015)</w:t>
      </w:r>
    </w:p>
    <w:p>
      <w:pPr>
        <w:spacing w:after="120" w:line="276"/>
        <w:jc w:val="both"/>
      </w:pPr>
      <w:r>
        <w:rPr>
          <w:rFonts w:ascii="Barlow Semi Condensed" w:cs="Barlow Semi Condensed" w:eastAsia="Barlow Semi Condensed" w:hAnsi="Barlow Semi Condensed"/>
          <w:b/>
          <w:bCs/>
          <w:sz w:val="24"/>
          <w:szCs w:val="24"/>
        </w:rPr>
        <w:t xml:space="preserve">288.</w:t>
      </w:r>
      <w:r>
        <w:rPr>
          <w:rFonts w:ascii="Barlow Semi Condensed" w:cs="Barlow Semi Condensed" w:eastAsia="Barlow Semi Condensed" w:hAnsi="Barlow Semi Condensed"/>
          <w:sz w:val="24"/>
          <w:szCs w:val="24"/>
        </w:rPr>
        <w:t xml:space="preserve"> fowid — https://fowid.de/meldung/deutschland-konfessionen (https://fowid.de/meldung/deutschland-konfessionen) </w:t>
      </w:r>
      <w:r>
        <w:rPr>
          <w:rFonts w:ascii="Barlow Semi Condensed" w:cs="Barlow Semi Condensed" w:eastAsia="Barlow Semi Condensed" w:hAnsi="Barlow Semi Condensed"/>
          <w:i/>
          <w:iCs/>
          <w:sz w:val="24"/>
          <w:szCs w:val="24"/>
        </w:rPr>
        <w:t xml:space="preserve">(citato 2 volte)</w:t>
      </w:r>
    </w:p>
    <w:p>
      <w:pPr>
        <w:spacing w:after="120" w:line="276"/>
        <w:jc w:val="both"/>
      </w:pPr>
      <w:r>
        <w:rPr>
          <w:rFonts w:ascii="Barlow Semi Condensed" w:cs="Barlow Semi Condensed" w:eastAsia="Barlow Semi Condensed" w:hAnsi="Barlow Semi Condensed"/>
          <w:b/>
          <w:bCs/>
          <w:sz w:val="24"/>
          <w:szCs w:val="24"/>
        </w:rPr>
        <w:t xml:space="preserve">289.</w:t>
      </w:r>
      <w:r>
        <w:rPr>
          <w:rFonts w:ascii="Barlow Semi Condensed" w:cs="Barlow Semi Condensed" w:eastAsia="Barlow Semi Condensed" w:hAnsi="Barlow Semi Condensed"/>
          <w:sz w:val="24"/>
          <w:szCs w:val="24"/>
        </w:rPr>
        <w:t xml:space="preserve"> fowid — https://fowid.de/meldung/deutschland-3-katholische-sueden-und-westen (https://fowid.de/meldung/deutschland-3-katholische-sueden-und-westen) </w:t>
      </w:r>
      <w:r>
        <w:rPr>
          <w:rFonts w:ascii="Barlow Semi Condensed" w:cs="Barlow Semi Condensed" w:eastAsia="Barlow Semi Condensed" w:hAnsi="Barlow Semi Condensed"/>
          <w:i/>
          <w:iCs/>
          <w:sz w:val="24"/>
          <w:szCs w:val="24"/>
        </w:rPr>
        <w:t xml:space="preserve">(citato 2 volte)</w:t>
      </w:r>
    </w:p>
    <w:p>
      <w:pPr>
        <w:spacing w:after="120" w:line="276"/>
        <w:jc w:val="both"/>
      </w:pPr>
      <w:r>
        <w:rPr>
          <w:rFonts w:ascii="Barlow Semi Condensed" w:cs="Barlow Semi Condensed" w:eastAsia="Barlow Semi Condensed" w:hAnsi="Barlow Semi Condensed"/>
          <w:b/>
          <w:bCs/>
          <w:sz w:val="24"/>
          <w:szCs w:val="24"/>
        </w:rPr>
        <w:t xml:space="preserve">290.</w:t>
      </w:r>
      <w:r>
        <w:rPr>
          <w:rFonts w:ascii="Barlow Semi Condensed" w:cs="Barlow Semi Condensed" w:eastAsia="Barlow Semi Condensed" w:hAnsi="Barlow Semi Condensed"/>
          <w:sz w:val="24"/>
          <w:szCs w:val="24"/>
        </w:rPr>
        <w:t xml:space="preserve"> Perlentaucher — https://www.perlentaucher.de/buch/michael-hirschfeld/katholisches-milieu-und-vertriebene.html?r=print (https://www.perlentaucher.de/buch/michael-hirschfeld/katholisches-milieu-und-vertriebene.html?r=print)</w:t>
      </w:r>
    </w:p>
    <w:p>
      <w:pPr>
        <w:spacing w:after="120" w:line="276"/>
        <w:jc w:val="both"/>
      </w:pPr>
      <w:r>
        <w:rPr>
          <w:rFonts w:ascii="Barlow Semi Condensed" w:cs="Barlow Semi Condensed" w:eastAsia="Barlow Semi Condensed" w:hAnsi="Barlow Semi Condensed"/>
          <w:b/>
          <w:bCs/>
          <w:sz w:val="24"/>
          <w:szCs w:val="24"/>
        </w:rPr>
        <w:t xml:space="preserve">291.</w:t>
      </w:r>
      <w:r>
        <w:rPr>
          <w:rFonts w:ascii="Barlow Semi Condensed" w:cs="Barlow Semi Condensed" w:eastAsia="Barlow Semi Condensed" w:hAnsi="Barlow Semi Condensed"/>
          <w:sz w:val="24"/>
          <w:szCs w:val="24"/>
        </w:rPr>
        <w:t xml:space="preserve"> Wikipedia — https://en.wikipedia.org/wiki/Josef_Frings (https://en.wikipedia.org/wiki/Josef_Frings)</w:t>
      </w:r>
    </w:p>
    <w:p>
      <w:pPr>
        <w:spacing w:after="120" w:line="276"/>
        <w:jc w:val="both"/>
      </w:pPr>
      <w:r>
        <w:rPr>
          <w:rFonts w:ascii="Barlow Semi Condensed" w:cs="Barlow Semi Condensed" w:eastAsia="Barlow Semi Condensed" w:hAnsi="Barlow Semi Condensed"/>
          <w:b/>
          <w:bCs/>
          <w:sz w:val="24"/>
          <w:szCs w:val="24"/>
        </w:rPr>
        <w:t xml:space="preserve">292.</w:t>
      </w:r>
      <w:r>
        <w:rPr>
          <w:rFonts w:ascii="Barlow Semi Condensed" w:cs="Barlow Semi Condensed" w:eastAsia="Barlow Semi Condensed" w:hAnsi="Barlow Semi Condensed"/>
          <w:sz w:val="24"/>
          <w:szCs w:val="24"/>
        </w:rPr>
        <w:t xml:space="preserve"> Springer — https://link.springer.com/chapter/10.1007/978-3-322-88718-4_27 (https://link.springer.com/chapter/10.1007/978-3-322-88718-4_27)</w:t>
      </w:r>
    </w:p>
    <w:p>
      <w:pPr>
        <w:spacing w:after="120" w:line="276"/>
        <w:jc w:val="both"/>
      </w:pPr>
      <w:r>
        <w:rPr>
          <w:rFonts w:ascii="Barlow Semi Condensed" w:cs="Barlow Semi Condensed" w:eastAsia="Barlow Semi Condensed" w:hAnsi="Barlow Semi Condensed"/>
          <w:b/>
          <w:bCs/>
          <w:sz w:val="24"/>
          <w:szCs w:val="24"/>
        </w:rPr>
        <w:t xml:space="preserve">293.</w:t>
      </w:r>
      <w:r>
        <w:rPr>
          <w:rFonts w:ascii="Barlow Semi Condensed" w:cs="Barlow Semi Condensed" w:eastAsia="Barlow Semi Condensed" w:hAnsi="Barlow Semi Condensed"/>
          <w:sz w:val="24"/>
          <w:szCs w:val="24"/>
        </w:rPr>
        <w:t xml:space="preserve"> Opus Dei — https://opusdei.org/en/article/fragments-of-history-campus-muengersdorf/ (https://opusdei.org/en/article/fragments-of-history-campus-muengersdorf/)</w:t>
      </w:r>
    </w:p>
    <w:p>
      <w:pPr>
        <w:spacing w:after="120" w:line="276"/>
        <w:jc w:val="both"/>
      </w:pPr>
      <w:r>
        <w:rPr>
          <w:rFonts w:ascii="Barlow Semi Condensed" w:cs="Barlow Semi Condensed" w:eastAsia="Barlow Semi Condensed" w:hAnsi="Barlow Semi Condensed"/>
          <w:b/>
          <w:bCs/>
          <w:sz w:val="24"/>
          <w:szCs w:val="24"/>
        </w:rPr>
        <w:t xml:space="preserve">294.</w:t>
      </w:r>
      <w:r>
        <w:rPr>
          <w:rFonts w:ascii="Barlow Semi Condensed" w:cs="Barlow Semi Condensed" w:eastAsia="Barlow Semi Condensed" w:hAnsi="Barlow Semi Condensed"/>
          <w:sz w:val="24"/>
          <w:szCs w:val="24"/>
        </w:rPr>
        <w:t xml:space="preserve"> DeWiki — https://dewiki.de/Lexikon/Opus_Dei (https://dewiki.de/Lexikon/Opus_Dei)</w:t>
      </w:r>
    </w:p>
    <w:p>
      <w:pPr>
        <w:spacing w:after="120" w:line="276"/>
        <w:jc w:val="both"/>
      </w:pPr>
      <w:r>
        <w:rPr>
          <w:rFonts w:ascii="Barlow Semi Condensed" w:cs="Barlow Semi Condensed" w:eastAsia="Barlow Semi Condensed" w:hAnsi="Barlow Semi Condensed"/>
          <w:b/>
          <w:bCs/>
          <w:sz w:val="24"/>
          <w:szCs w:val="24"/>
        </w:rPr>
        <w:t xml:space="preserve">295.</w:t>
      </w:r>
      <w:r>
        <w:rPr>
          <w:rFonts w:ascii="Barlow Semi Condensed" w:cs="Barlow Semi Condensed" w:eastAsia="Barlow Semi Condensed" w:hAnsi="Barlow Semi Condensed"/>
          <w:sz w:val="24"/>
          <w:szCs w:val="24"/>
        </w:rPr>
        <w:t xml:space="preserve"> ISJE — https://www.isje.org/en/history-of-opus-dei/ (https://www.isje.org/en/history-of-opus-dei/)</w:t>
      </w:r>
    </w:p>
    <w:p>
      <w:pPr>
        <w:spacing w:after="120" w:line="276"/>
        <w:jc w:val="both"/>
      </w:pPr>
      <w:r>
        <w:rPr>
          <w:rFonts w:ascii="Barlow Semi Condensed" w:cs="Barlow Semi Condensed" w:eastAsia="Barlow Semi Condensed" w:hAnsi="Barlow Semi Condensed"/>
          <w:b/>
          <w:bCs/>
          <w:sz w:val="24"/>
          <w:szCs w:val="24"/>
        </w:rPr>
        <w:t xml:space="preserve">296.</w:t>
      </w:r>
      <w:r>
        <w:rPr>
          <w:rFonts w:ascii="Barlow Semi Condensed" w:cs="Barlow Semi Condensed" w:eastAsia="Barlow Semi Condensed" w:hAnsi="Barlow Semi Condensed"/>
          <w:sz w:val="24"/>
          <w:szCs w:val="24"/>
        </w:rPr>
        <w:t xml:space="preserve"> Opus Dei — https://opusdei.org/de-de/article/pressemitteilung-die-praelatur-opus-dei-in-mitteleuropa-stellt-sich-neu-auf-de/ (https://opusdei.org/de-de/article/pressemitteilung-die-praelatur-opus-dei-in-mitteleuropa-stellt-sich-neu-auf-de/)</w:t>
      </w:r>
    </w:p>
    <w:p>
      <w:pPr>
        <w:spacing w:after="120" w:line="276"/>
        <w:jc w:val="both"/>
      </w:pPr>
      <w:r>
        <w:rPr>
          <w:rFonts w:ascii="Barlow Semi Condensed" w:cs="Barlow Semi Condensed" w:eastAsia="Barlow Semi Condensed" w:hAnsi="Barlow Semi Condensed"/>
          <w:b/>
          <w:bCs/>
          <w:sz w:val="24"/>
          <w:szCs w:val="24"/>
        </w:rPr>
        <w:t xml:space="preserve">297.</w:t>
      </w:r>
      <w:r>
        <w:rPr>
          <w:rFonts w:ascii="Barlow Semi Condensed" w:cs="Barlow Semi Condensed" w:eastAsia="Barlow Semi Condensed" w:hAnsi="Barlow Semi Condensed"/>
          <w:sz w:val="24"/>
          <w:szCs w:val="24"/>
        </w:rPr>
        <w:t xml:space="preserve"> University of Navarra — https://en.unav.edu/web/josemaria-escriva-study-centre/opus-dei-y-prelados (https://en.unav.edu/web/josemaria-escriva-study-centre/opus-dei-y-prelados) </w:t>
      </w:r>
      <w:r>
        <w:rPr>
          <w:rFonts w:ascii="Barlow Semi Condensed" w:cs="Barlow Semi Condensed" w:eastAsia="Barlow Semi Condensed" w:hAnsi="Barlow Semi Condensed"/>
          <w:i/>
          <w:iCs/>
          <w:sz w:val="24"/>
          <w:szCs w:val="24"/>
        </w:rPr>
        <w:t xml:space="preserve">(citato 2 volte)</w:t>
      </w:r>
    </w:p>
    <w:p>
      <w:pPr>
        <w:spacing w:after="120" w:line="276"/>
        <w:jc w:val="both"/>
      </w:pPr>
      <w:r>
        <w:rPr>
          <w:rFonts w:ascii="Barlow Semi Condensed" w:cs="Barlow Semi Condensed" w:eastAsia="Barlow Semi Condensed" w:hAnsi="Barlow Semi Condensed"/>
          <w:b/>
          <w:bCs/>
          <w:sz w:val="24"/>
          <w:szCs w:val="24"/>
        </w:rPr>
        <w:t xml:space="preserve">298.</w:t>
      </w:r>
      <w:r>
        <w:rPr>
          <w:rFonts w:ascii="Barlow Semi Condensed" w:cs="Barlow Semi Condensed" w:eastAsia="Barlow Semi Condensed" w:hAnsi="Barlow Semi Condensed"/>
          <w:sz w:val="24"/>
          <w:szCs w:val="24"/>
        </w:rPr>
        <w:t xml:space="preserve"> Opus Dei — https://opusdei.org/en-uk/article/history-of-opus-dei-in-britain/ (https://opusdei.org/en-uk/article/history-of-opus-dei-in-britain/) </w:t>
      </w:r>
      <w:r>
        <w:rPr>
          <w:rFonts w:ascii="Barlow Semi Condensed" w:cs="Barlow Semi Condensed" w:eastAsia="Barlow Semi Condensed" w:hAnsi="Barlow Semi Condensed"/>
          <w:i/>
          <w:iCs/>
          <w:sz w:val="24"/>
          <w:szCs w:val="24"/>
        </w:rPr>
        <w:t xml:space="preserve">(citato 3 volte)</w:t>
      </w:r>
    </w:p>
    <w:p>
      <w:pPr>
        <w:spacing w:after="120" w:line="276"/>
        <w:jc w:val="both"/>
      </w:pPr>
      <w:r>
        <w:rPr>
          <w:rFonts w:ascii="Barlow Semi Condensed" w:cs="Barlow Semi Condensed" w:eastAsia="Barlow Semi Condensed" w:hAnsi="Barlow Semi Condensed"/>
          <w:b/>
          <w:bCs/>
          <w:sz w:val="24"/>
          <w:szCs w:val="24"/>
        </w:rPr>
        <w:t xml:space="preserve">299.</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opus-info.org</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(citato in forma d'indirizzo)</w:t>
      </w:r>
    </w:p>
    <w:p>
      <w:pPr>
        <w:spacing w:after="120" w:line="276"/>
        <w:jc w:val="both"/>
      </w:pPr>
      <w:r>
        <w:rPr>
          <w:rFonts w:ascii="Barlow Semi Condensed" w:cs="Barlow Semi Condensed" w:eastAsia="Barlow Semi Condensed" w:hAnsi="Barlow Semi Condensed"/>
          <w:b/>
          <w:bCs/>
          <w:sz w:val="24"/>
          <w:szCs w:val="24"/>
        </w:rPr>
        <w:t xml:space="preserve">300.</w:t>
      </w:r>
      <w:r>
        <w:rPr>
          <w:rFonts w:ascii="Barlow Semi Condensed" w:cs="Barlow Semi Condensed" w:eastAsia="Barlow Semi Condensed" w:hAnsi="Barlow Semi Condensed"/>
          <w:sz w:val="24"/>
          <w:szCs w:val="24"/>
        </w:rPr>
        <w:t xml:space="preserve"> Opus-Info — https://www.opus-info.org/index.php/Statistik_der_Mitglieder_des_Opus_Dei (https://www.opus-info.org/index.php/Statistik_der_Mitglieder_des_Opus_Dei)</w:t>
      </w:r>
    </w:p>
    <w:p>
      <w:pPr>
        <w:spacing w:after="120" w:line="276"/>
        <w:jc w:val="both"/>
      </w:pPr>
      <w:r>
        <w:rPr>
          <w:rFonts w:ascii="Barlow Semi Condensed" w:cs="Barlow Semi Condensed" w:eastAsia="Barlow Semi Condensed" w:hAnsi="Barlow Semi Condensed"/>
          <w:b/>
          <w:bCs/>
          <w:sz w:val="24"/>
          <w:szCs w:val="24"/>
        </w:rPr>
        <w:t xml:space="preserve">301.</w:t>
      </w:r>
      <w:r>
        <w:rPr>
          <w:rFonts w:ascii="Barlow Semi Condensed" w:cs="Barlow Semi Condensed" w:eastAsia="Barlow Semi Condensed" w:hAnsi="Barlow Semi Condensed"/>
          <w:sz w:val="24"/>
          <w:szCs w:val="24"/>
        </w:rPr>
        <w:t xml:space="preserve"> Novaradio — https://novaradio.ch/deutsch/opus-dei/ (https://novaradio.ch/deutsch/opus-dei/)</w:t>
      </w:r>
    </w:p>
    <w:p>
      <w:pPr>
        <w:spacing w:after="120" w:line="276"/>
        <w:jc w:val="both"/>
      </w:pPr>
      <w:r>
        <w:rPr>
          <w:rFonts w:ascii="Barlow Semi Condensed" w:cs="Barlow Semi Condensed" w:eastAsia="Barlow Semi Condensed" w:hAnsi="Barlow Semi Condensed"/>
          <w:b/>
          <w:bCs/>
          <w:sz w:val="24"/>
          <w:szCs w:val="24"/>
        </w:rPr>
        <w:t xml:space="preserve">302.</w:t>
      </w:r>
      <w:r>
        <w:rPr>
          <w:rFonts w:ascii="Barlow Semi Condensed" w:cs="Barlow Semi Condensed" w:eastAsia="Barlow Semi Condensed" w:hAnsi="Barlow Semi Condensed"/>
          <w:sz w:val="24"/>
          <w:szCs w:val="24"/>
        </w:rPr>
        <w:t xml:space="preserve"> Antifaschistisches Infoblatt — https://antifainfoblatt.de/aib85/opus-dei-kampftruppe-gottes (https://antifainfoblatt.de/aib85/opus-dei-kampftruppe-gottes)</w:t>
      </w:r>
    </w:p>
    <w:p>
      <w:pPr>
        <w:spacing w:after="120" w:line="276"/>
        <w:jc w:val="both"/>
      </w:pPr>
      <w:r>
        <w:rPr>
          <w:rFonts w:ascii="Barlow Semi Condensed" w:cs="Barlow Semi Condensed" w:eastAsia="Barlow Semi Condensed" w:hAnsi="Barlow Semi Condensed"/>
          <w:b/>
          <w:bCs/>
          <w:sz w:val="24"/>
          <w:szCs w:val="24"/>
        </w:rPr>
        <w:t xml:space="preserve">303.</w:t>
      </w:r>
      <w:r>
        <w:rPr>
          <w:rFonts w:ascii="Barlow Semi Condensed" w:cs="Barlow Semi Condensed" w:eastAsia="Barlow Semi Condensed" w:hAnsi="Barlow Semi Condensed"/>
          <w:sz w:val="24"/>
          <w:szCs w:val="24"/>
        </w:rPr>
        <w:t xml:space="preserve"> Opus Dei — https://opusdei.org/de-de/article/dauerbrenner-opus-dei-verdachtigung/ (https://opusdei.org/de-de/article/dauerbrenner-opus-dei-verdachtigung/)</w:t>
      </w:r>
    </w:p>
    <w:p>
      <w:pPr>
        <w:spacing w:after="120" w:line="276"/>
        <w:jc w:val="both"/>
      </w:pPr>
      <w:r>
        <w:rPr>
          <w:rFonts w:ascii="Barlow Semi Condensed" w:cs="Barlow Semi Condensed" w:eastAsia="Barlow Semi Condensed" w:hAnsi="Barlow Semi Condensed"/>
          <w:b/>
          <w:bCs/>
          <w:sz w:val="24"/>
          <w:szCs w:val="24"/>
        </w:rPr>
        <w:t xml:space="preserve">304.</w:t>
      </w:r>
      <w:r>
        <w:rPr>
          <w:rFonts w:ascii="Barlow Semi Condensed" w:cs="Barlow Semi Condensed" w:eastAsia="Barlow Semi Condensed" w:hAnsi="Barlow Semi Condensed"/>
          <w:sz w:val="24"/>
          <w:szCs w:val="24"/>
        </w:rPr>
        <w:t xml:space="preserve"> Springer — https://link.springer.com/chapter/10.1007/978-3-322-95152-6_2 (https://link.springer.com/chapter/10.1007/978-3-322-95152-6_2)</w:t>
      </w:r>
    </w:p>
    <w:p>
      <w:pPr>
        <w:spacing w:after="120" w:line="276"/>
        <w:jc w:val="both"/>
      </w:pPr>
      <w:r>
        <w:rPr>
          <w:rFonts w:ascii="Barlow Semi Condensed" w:cs="Barlow Semi Condensed" w:eastAsia="Barlow Semi Condensed" w:hAnsi="Barlow Semi Condensed"/>
          <w:b/>
          <w:bCs/>
          <w:sz w:val="24"/>
          <w:szCs w:val="24"/>
        </w:rPr>
        <w:t xml:space="preserve">305.</w:t>
      </w:r>
      <w:r>
        <w:rPr>
          <w:rFonts w:ascii="Barlow Semi Condensed" w:cs="Barlow Semi Condensed" w:eastAsia="Barlow Semi Condensed" w:hAnsi="Barlow Semi Condensed"/>
          <w:sz w:val="24"/>
          <w:szCs w:val="24"/>
        </w:rPr>
        <w:t xml:space="preserve"> IBKA — https://www.ibka.org/artikel/miz86/opusdei.html (https://www.ibka.org/artikel/miz86/opusdei.html)</w:t>
      </w:r>
    </w:p>
    <w:p>
      <w:pPr>
        <w:spacing w:after="120" w:line="276"/>
        <w:jc w:val="both"/>
      </w:pPr>
      <w:r>
        <w:rPr>
          <w:rFonts w:ascii="Barlow Semi Condensed" w:cs="Barlow Semi Condensed" w:eastAsia="Barlow Semi Condensed" w:hAnsi="Barlow Semi Condensed"/>
          <w:b/>
          <w:bCs/>
          <w:sz w:val="24"/>
          <w:szCs w:val="24"/>
        </w:rPr>
        <w:t xml:space="preserve">306.</w:t>
      </w:r>
      <w:r>
        <w:rPr>
          <w:rFonts w:ascii="Barlow Semi Condensed" w:cs="Barlow Semi Condensed" w:eastAsia="Barlow Semi Condensed" w:hAnsi="Barlow Semi Condensed"/>
          <w:sz w:val="24"/>
          <w:szCs w:val="24"/>
        </w:rPr>
        <w:t xml:space="preserve"> Christian Science Monitor — https://www.csmonitor.com/1984/1231/123131.html (https://www.csmonitor.com/1984/1231/123131.html)</w:t>
      </w:r>
    </w:p>
    <w:p>
      <w:pPr>
        <w:spacing w:after="120" w:line="276"/>
        <w:jc w:val="both"/>
      </w:pPr>
      <w:r>
        <w:rPr>
          <w:rFonts w:ascii="Barlow Semi Condensed" w:cs="Barlow Semi Condensed" w:eastAsia="Barlow Semi Condensed" w:hAnsi="Barlow Semi Condensed"/>
          <w:b/>
          <w:bCs/>
          <w:sz w:val="24"/>
          <w:szCs w:val="24"/>
        </w:rPr>
        <w:t xml:space="preserve">307.</w:t>
      </w:r>
      <w:r>
        <w:rPr>
          <w:rFonts w:ascii="Barlow Semi Condensed" w:cs="Barlow Semi Condensed" w:eastAsia="Barlow Semi Condensed" w:hAnsi="Barlow Semi Condensed"/>
          <w:sz w:val="24"/>
          <w:szCs w:val="24"/>
        </w:rPr>
        <w:t xml:space="preserve"> Opus Dei — https://opusdei.org/de/article/die-personalpraelatur-opus-dei-wie-sie-organisiert-ist-und-wie-sie-arbeitet/ (https://opusdei.org/de/article/die-personalpraelatur-opus-dei-wie-sie-organisiert-ist-und-wie-sie-arbeitet/)</w:t>
      </w:r>
    </w:p>
    <w:p>
      <w:pPr>
        <w:spacing w:after="120" w:line="276"/>
        <w:jc w:val="both"/>
      </w:pPr>
      <w:r>
        <w:rPr>
          <w:rFonts w:ascii="Barlow Semi Condensed" w:cs="Barlow Semi Condensed" w:eastAsia="Barlow Semi Condensed" w:hAnsi="Barlow Semi Condensed"/>
          <w:b/>
          <w:bCs/>
          <w:sz w:val="24"/>
          <w:szCs w:val="24"/>
        </w:rPr>
        <w:t xml:space="preserve">308.</w:t>
      </w:r>
      <w:r>
        <w:rPr>
          <w:rFonts w:ascii="Barlow Semi Condensed" w:cs="Barlow Semi Condensed" w:eastAsia="Barlow Semi Condensed" w:hAnsi="Barlow Semi Condensed"/>
          <w:sz w:val="24"/>
          <w:szCs w:val="24"/>
        </w:rPr>
        <w:t xml:space="preserve"> Opus Dei — https://opusdei.org/it-it/article/prelatura-personale/ (https://opusdei.org/it-it/article/prelatura-personale/)</w:t>
      </w:r>
    </w:p>
    <w:p>
      <w:pPr>
        <w:spacing w:after="120" w:line="276"/>
        <w:jc w:val="both"/>
      </w:pPr>
      <w:r>
        <w:rPr>
          <w:rFonts w:ascii="Barlow Semi Condensed" w:cs="Barlow Semi Condensed" w:eastAsia="Barlow Semi Condensed" w:hAnsi="Barlow Semi Condensed"/>
          <w:b/>
          <w:bCs/>
          <w:sz w:val="24"/>
          <w:szCs w:val="24"/>
        </w:rPr>
        <w:t xml:space="preserve">309.</w:t>
      </w:r>
      <w:r>
        <w:rPr>
          <w:rFonts w:ascii="Barlow Semi Condensed" w:cs="Barlow Semi Condensed" w:eastAsia="Barlow Semi Condensed" w:hAnsi="Barlow Semi Condensed"/>
          <w:sz w:val="24"/>
          <w:szCs w:val="24"/>
        </w:rPr>
        <w:t xml:space="preserve"> Opus Dei — https://multimedia.opusdei.org/pdf/de/vorwuerfe.pdf (https://multimedia.opusdei.org/pdf/de/vorwuerfe.pdf)</w:t>
      </w:r>
    </w:p>
    <w:p>
      <w:pPr>
        <w:spacing w:after="120" w:line="276"/>
        <w:jc w:val="both"/>
      </w:pPr>
      <w:r>
        <w:rPr>
          <w:rFonts w:ascii="Barlow Semi Condensed" w:cs="Barlow Semi Condensed" w:eastAsia="Barlow Semi Condensed" w:hAnsi="Barlow Semi Condensed"/>
          <w:b/>
          <w:bCs/>
          <w:sz w:val="24"/>
          <w:szCs w:val="24"/>
        </w:rPr>
        <w:t xml:space="preserve">310.</w:t>
      </w:r>
      <w:r>
        <w:rPr>
          <w:rFonts w:ascii="Barlow Semi Condensed" w:cs="Barlow Semi Condensed" w:eastAsia="Barlow Semi Condensed" w:hAnsi="Barlow Semi Condensed"/>
          <w:sz w:val="24"/>
          <w:szCs w:val="24"/>
        </w:rPr>
        <w:t xml:space="preserve"> Esteri — https://www.esteri.it/it/ministero/storia/ministri_esteri/ (https://www.esteri.it/it/ministero/storia/ministri_esteri/)</w:t>
      </w:r>
    </w:p>
    <w:p>
      <w:pPr>
        <w:spacing w:after="120" w:line="276"/>
        <w:jc w:val="both"/>
      </w:pPr>
      <w:r>
        <w:rPr>
          <w:rFonts w:ascii="Barlow Semi Condensed" w:cs="Barlow Semi Condensed" w:eastAsia="Barlow Semi Condensed" w:hAnsi="Barlow Semi Condensed"/>
          <w:b/>
          <w:bCs/>
          <w:sz w:val="24"/>
          <w:szCs w:val="24"/>
        </w:rPr>
        <w:t xml:space="preserve">311.</w:t>
      </w:r>
      <w:r>
        <w:rPr>
          <w:rFonts w:ascii="Barlow Semi Condensed" w:cs="Barlow Semi Condensed" w:eastAsia="Barlow Semi Condensed" w:hAnsi="Barlow Semi Condensed"/>
          <w:sz w:val="24"/>
          <w:szCs w:val="24"/>
        </w:rPr>
        <w:t xml:space="preserve"> willy-brandt-biography +2 — https://www.willy-brandt-biography.com/travels/1967-1974/ (https://www.willy-brandt-biography.com/travels/1967-1974/) </w:t>
      </w:r>
      <w:r>
        <w:rPr>
          <w:rFonts w:ascii="Barlow Semi Condensed" w:cs="Barlow Semi Condensed" w:eastAsia="Barlow Semi Condensed" w:hAnsi="Barlow Semi Condensed"/>
          <w:i/>
          <w:iCs/>
          <w:sz w:val="24"/>
          <w:szCs w:val="24"/>
        </w:rPr>
        <w:t xml:space="preserve">(citato 5 volte)</w:t>
      </w:r>
    </w:p>
    <w:p>
      <w:pPr>
        <w:spacing w:after="120" w:line="276"/>
        <w:jc w:val="both"/>
      </w:pPr>
      <w:r>
        <w:rPr>
          <w:rFonts w:ascii="Barlow Semi Condensed" w:cs="Barlow Semi Condensed" w:eastAsia="Barlow Semi Condensed" w:hAnsi="Barlow Semi Condensed"/>
          <w:b/>
          <w:bCs/>
          <w:sz w:val="24"/>
          <w:szCs w:val="24"/>
        </w:rPr>
        <w:t xml:space="preserve">312.</w:t>
      </w:r>
      <w:r>
        <w:rPr>
          <w:rFonts w:ascii="Barlow Semi Condensed" w:cs="Barlow Semi Condensed" w:eastAsia="Barlow Semi Condensed" w:hAnsi="Barlow Semi Condensed"/>
          <w:sz w:val="24"/>
          <w:szCs w:val="24"/>
        </w:rPr>
        <w:t xml:space="preserve"> Wikipedia — https://en.wikipedia.org/wiki/Kniefall_von_Warschau (https://en.wikipedia.org/wiki/Kniefall_von_Warschau)</w:t>
      </w:r>
    </w:p>
    <w:p>
      <w:pPr>
        <w:spacing w:after="120" w:line="276"/>
        <w:jc w:val="both"/>
      </w:pPr>
      <w:r>
        <w:rPr>
          <w:rFonts w:ascii="Barlow Semi Condensed" w:cs="Barlow Semi Condensed" w:eastAsia="Barlow Semi Condensed" w:hAnsi="Barlow Semi Condensed"/>
          <w:b/>
          <w:bCs/>
          <w:sz w:val="24"/>
          <w:szCs w:val="24"/>
        </w:rPr>
        <w:t xml:space="preserve">313.</w:t>
      </w:r>
      <w:r>
        <w:rPr>
          <w:rFonts w:ascii="Barlow Semi Condensed" w:cs="Barlow Semi Condensed" w:eastAsia="Barlow Semi Condensed" w:hAnsi="Barlow Semi Condensed"/>
          <w:sz w:val="24"/>
          <w:szCs w:val="24"/>
        </w:rPr>
        <w:t xml:space="preserve"> Dizie — https://www.dizie.eu/dizionario/ostpolitik/?print=pdf (https://www.dizie.eu/dizionario/ostpolitik/?print=pdf) </w:t>
      </w:r>
      <w:r>
        <w:rPr>
          <w:rFonts w:ascii="Barlow Semi Condensed" w:cs="Barlow Semi Condensed" w:eastAsia="Barlow Semi Condensed" w:hAnsi="Barlow Semi Condensed"/>
          <w:i/>
          <w:iCs/>
          <w:sz w:val="24"/>
          <w:szCs w:val="24"/>
        </w:rPr>
        <w:t xml:space="preserve">(citato 2 volte)</w:t>
      </w:r>
    </w:p>
    <w:p>
      <w:pPr>
        <w:spacing w:after="120" w:line="276"/>
        <w:jc w:val="both"/>
      </w:pPr>
      <w:r>
        <w:rPr>
          <w:rFonts w:ascii="Barlow Semi Condensed" w:cs="Barlow Semi Condensed" w:eastAsia="Barlow Semi Condensed" w:hAnsi="Barlow Semi Condensed"/>
          <w:b/>
          <w:bCs/>
          <w:sz w:val="24"/>
          <w:szCs w:val="24"/>
        </w:rPr>
        <w:t xml:space="preserve">314.</w:t>
      </w:r>
      <w:r>
        <w:rPr>
          <w:rFonts w:ascii="Barlow Semi Condensed" w:cs="Barlow Semi Condensed" w:eastAsia="Barlow Semi Condensed" w:hAnsi="Barlow Semi Condensed"/>
          <w:sz w:val="24"/>
          <w:szCs w:val="24"/>
        </w:rPr>
        <w:t xml:space="preserve"> LuissThesis — https://tesi.luiss.it/34225/1/090762_DI%20NARDO_FRANCESCO.pdf (https://tesi.luiss.it/34225/1/090762_DI%20NARDO_FRANCESCO.pdf)</w:t>
      </w:r>
    </w:p>
    <w:p>
      <w:pPr>
        <w:spacing w:after="120" w:line="276"/>
        <w:jc w:val="both"/>
      </w:pPr>
      <w:r>
        <w:rPr>
          <w:rFonts w:ascii="Barlow Semi Condensed" w:cs="Barlow Semi Condensed" w:eastAsia="Barlow Semi Condensed" w:hAnsi="Barlow Semi Condensed"/>
          <w:b/>
          <w:bCs/>
          <w:sz w:val="24"/>
          <w:szCs w:val="24"/>
        </w:rPr>
        <w:t xml:space="preserve">315.</w:t>
      </w:r>
      <w:r>
        <w:rPr>
          <w:rFonts w:ascii="Barlow Semi Condensed" w:cs="Barlow Semi Condensed" w:eastAsia="Barlow Semi Condensed" w:hAnsi="Barlow Semi Condensed"/>
          <w:sz w:val="24"/>
          <w:szCs w:val="24"/>
        </w:rPr>
        <w:t xml:space="preserve"> Berchet — https://liceoberchet.edu.it/ricerche/geo5d_06/csi/ostpolitik.htm (https://liceoberchet.edu.it/ricerche/geo5d_06/csi/ostpolitik.htm) </w:t>
      </w:r>
      <w:r>
        <w:rPr>
          <w:rFonts w:ascii="Barlow Semi Condensed" w:cs="Barlow Semi Condensed" w:eastAsia="Barlow Semi Condensed" w:hAnsi="Barlow Semi Condensed"/>
          <w:i/>
          <w:iCs/>
          <w:sz w:val="24"/>
          <w:szCs w:val="24"/>
        </w:rPr>
        <w:t xml:space="preserve">(citato 3 volte)</w:t>
      </w:r>
    </w:p>
    <w:p>
      <w:pPr>
        <w:spacing w:after="120" w:line="276"/>
        <w:jc w:val="both"/>
      </w:pPr>
      <w:r>
        <w:rPr>
          <w:rFonts w:ascii="Barlow Semi Condensed" w:cs="Barlow Semi Condensed" w:eastAsia="Barlow Semi Condensed" w:hAnsi="Barlow Semi Condensed"/>
          <w:b/>
          <w:bCs/>
          <w:sz w:val="24"/>
          <w:szCs w:val="24"/>
        </w:rPr>
        <w:t xml:space="preserve">316.</w:t>
      </w:r>
      <w:r>
        <w:rPr>
          <w:rFonts w:ascii="Barlow Semi Condensed" w:cs="Barlow Semi Condensed" w:eastAsia="Barlow Semi Condensed" w:hAnsi="Barlow Semi Condensed"/>
          <w:sz w:val="24"/>
          <w:szCs w:val="24"/>
        </w:rPr>
        <w:t xml:space="preserve"> SISSCO — https://www.sissco.it/recensione-annale/la-ddr-e-litalia-politica-commercio-e-ideologia-nelleuropa-del-cambiamento-1973-1985/ (https://www.sissco.it/recensione-annale/la-ddr-e-litalia-politica-commercio-e-ideologia-nelleuropa-del-cambiamento-1973-1985/) </w:t>
      </w:r>
      <w:r>
        <w:rPr>
          <w:rFonts w:ascii="Barlow Semi Condensed" w:cs="Barlow Semi Condensed" w:eastAsia="Barlow Semi Condensed" w:hAnsi="Barlow Semi Condensed"/>
          <w:i/>
          <w:iCs/>
          <w:sz w:val="24"/>
          <w:szCs w:val="24"/>
        </w:rPr>
        <w:t xml:space="preserve">(citato 2 volte)</w:t>
      </w:r>
    </w:p>
    <w:p>
      <w:pPr>
        <w:spacing w:after="120" w:line="276"/>
        <w:jc w:val="both"/>
      </w:pPr>
      <w:r>
        <w:rPr>
          <w:rFonts w:ascii="Barlow Semi Condensed" w:cs="Barlow Semi Condensed" w:eastAsia="Barlow Semi Condensed" w:hAnsi="Barlow Semi Condensed"/>
          <w:b/>
          <w:bCs/>
          <w:sz w:val="24"/>
          <w:szCs w:val="24"/>
        </w:rPr>
        <w:t xml:space="preserve">317.</w:t>
      </w:r>
      <w:r>
        <w:rPr>
          <w:rFonts w:ascii="Barlow Semi Condensed" w:cs="Barlow Semi Condensed" w:eastAsia="Barlow Semi Condensed" w:hAnsi="Barlow Semi Condensed"/>
          <w:sz w:val="24"/>
          <w:szCs w:val="24"/>
        </w:rPr>
        <w:t xml:space="preserve"> Fbk — https://aro-isig.fbk.eu/issues/2018/1/la-ddr-e-litalia-teresa-malice/pdf/ (https://aro-isig.fbk.eu/issues/2018/1/la-ddr-e-litalia-teresa-malice/pdf/)</w:t>
      </w:r>
    </w:p>
    <w:p>
      <w:pPr>
        <w:spacing w:after="120" w:line="276"/>
        <w:jc w:val="both"/>
      </w:pPr>
      <w:r>
        <w:rPr>
          <w:rFonts w:ascii="Barlow Semi Condensed" w:cs="Barlow Semi Condensed" w:eastAsia="Barlow Semi Condensed" w:hAnsi="Barlow Semi Condensed"/>
          <w:b/>
          <w:bCs/>
          <w:sz w:val="24"/>
          <w:szCs w:val="24"/>
        </w:rPr>
        <w:t xml:space="preserve">318.</w:t>
      </w:r>
      <w:r>
        <w:rPr>
          <w:rFonts w:ascii="Barlow Semi Condensed" w:cs="Barlow Semi Condensed" w:eastAsia="Barlow Semi Condensed" w:hAnsi="Barlow Semi Condensed"/>
          <w:sz w:val="24"/>
          <w:szCs w:val="24"/>
        </w:rPr>
        <w:t xml:space="preserve"> SEHEPUNKTE — https://www.sehepunkte.de/2018/04/31274.html (https://www.sehepunkte.de/2018/04/31274.html)</w:t>
      </w:r>
    </w:p>
    <w:p>
      <w:pPr>
        <w:spacing w:after="120" w:line="276"/>
        <w:jc w:val="both"/>
      </w:pPr>
      <w:r>
        <w:rPr>
          <w:rFonts w:ascii="Barlow Semi Condensed" w:cs="Barlow Semi Condensed" w:eastAsia="Barlow Semi Condensed" w:hAnsi="Barlow Semi Condensed"/>
          <w:b/>
          <w:bCs/>
          <w:sz w:val="24"/>
          <w:szCs w:val="24"/>
        </w:rPr>
        <w:t xml:space="preserve">319.</w:t>
      </w:r>
      <w:r>
        <w:rPr>
          <w:rFonts w:ascii="Barlow Semi Condensed" w:cs="Barlow Semi Condensed" w:eastAsia="Barlow Semi Condensed" w:hAnsi="Barlow Semi Condensed"/>
          <w:sz w:val="24"/>
          <w:szCs w:val="24"/>
        </w:rPr>
        <w:t xml:space="preserve"> Wordpress — https://diplosor.wordpress.com/documentario-con-i-filmati-dellamb-mario-luciolli-1964-1984/ (https://diplosor.wordpress.com/documentario-con-i-filmati-dellamb-mario-luciolli-1964-1984/) </w:t>
      </w:r>
      <w:r>
        <w:rPr>
          <w:rFonts w:ascii="Barlow Semi Condensed" w:cs="Barlow Semi Condensed" w:eastAsia="Barlow Semi Condensed" w:hAnsi="Barlow Semi Condensed"/>
          <w:i/>
          <w:iCs/>
          <w:sz w:val="24"/>
          <w:szCs w:val="24"/>
        </w:rPr>
        <w:t xml:space="preserve">(citato 3 volte)</w:t>
      </w:r>
    </w:p>
    <w:p>
      <w:pPr>
        <w:spacing w:after="120" w:line="276"/>
        <w:jc w:val="both"/>
      </w:pPr>
      <w:r>
        <w:rPr>
          <w:rFonts w:ascii="Barlow Semi Condensed" w:cs="Barlow Semi Condensed" w:eastAsia="Barlow Semi Condensed" w:hAnsi="Barlow Semi Condensed"/>
          <w:b/>
          <w:bCs/>
          <w:sz w:val="24"/>
          <w:szCs w:val="24"/>
        </w:rPr>
        <w:t xml:space="preserve">320.</w:t>
      </w:r>
      <w:r>
        <w:rPr>
          <w:rFonts w:ascii="Barlow Semi Condensed" w:cs="Barlow Semi Condensed" w:eastAsia="Barlow Semi Condensed" w:hAnsi="Barlow Semi Condensed"/>
          <w:sz w:val="24"/>
          <w:szCs w:val="24"/>
        </w:rPr>
        <w:t xml:space="preserve"> Archive of European Integration — https://aei.pitt.edu/1451/1/hague_1969.pdf (https://aei.pitt.edu/1451/1/hague_1969.pdf)</w:t>
      </w:r>
    </w:p>
    <w:p>
      <w:pPr>
        <w:spacing w:after="120" w:line="276"/>
        <w:jc w:val="both"/>
      </w:pPr>
      <w:r>
        <w:rPr>
          <w:rFonts w:ascii="Barlow Semi Condensed" w:cs="Barlow Semi Condensed" w:eastAsia="Barlow Semi Condensed" w:hAnsi="Barlow Semi Condensed"/>
          <w:b/>
          <w:bCs/>
          <w:sz w:val="24"/>
          <w:szCs w:val="24"/>
        </w:rPr>
        <w:t xml:space="preserve">321.</w:t>
      </w:r>
      <w:r>
        <w:rPr>
          <w:rFonts w:ascii="Barlow Semi Condensed" w:cs="Barlow Semi Condensed" w:eastAsia="Barlow Semi Condensed" w:hAnsi="Barlow Semi Condensed"/>
          <w:sz w:val="24"/>
          <w:szCs w:val="24"/>
        </w:rPr>
        <w:t xml:space="preserve"> bpb — https://www.bpb.de/kurz-knapp/hintergrund-aktuell/324552/erstes-anwerbeabkommen-vor-65-jahren/ (https://www.bpb.de/kurz-knapp/hintergrund-aktuell/324552/erstes-anwerbeabkommen-vor-65-jahren/) </w:t>
      </w:r>
      <w:r>
        <w:rPr>
          <w:rFonts w:ascii="Barlow Semi Condensed" w:cs="Barlow Semi Condensed" w:eastAsia="Barlow Semi Condensed" w:hAnsi="Barlow Semi Condensed"/>
          <w:i/>
          <w:iCs/>
          <w:sz w:val="24"/>
          <w:szCs w:val="24"/>
        </w:rPr>
        <w:t xml:space="preserve">(citato 2 volte)</w:t>
      </w:r>
    </w:p>
    <w:p>
      <w:pPr>
        <w:spacing w:after="120" w:line="276"/>
        <w:jc w:val="both"/>
      </w:pPr>
      <w:r>
        <w:rPr>
          <w:rFonts w:ascii="Barlow Semi Condensed" w:cs="Barlow Semi Condensed" w:eastAsia="Barlow Semi Condensed" w:hAnsi="Barlow Semi Condensed"/>
          <w:b/>
          <w:bCs/>
          <w:sz w:val="24"/>
          <w:szCs w:val="24"/>
        </w:rPr>
        <w:t xml:space="preserve">322.</w:t>
      </w:r>
      <w:r>
        <w:rPr>
          <w:rFonts w:ascii="Barlow Semi Condensed" w:cs="Barlow Semi Condensed" w:eastAsia="Barlow Semi Condensed" w:hAnsi="Barlow Semi Condensed"/>
          <w:sz w:val="24"/>
          <w:szCs w:val="24"/>
        </w:rPr>
        <w:t xml:space="preserve"> Fondazione Migrantes — https://www.migrantes.it/1955-2015-gastarbeiter-un-viaggio-lungo-60-anni/ (https://www.migrantes.it/1955-2015-gastarbeiter-un-viaggio-lungo-60-anni/) </w:t>
      </w:r>
      <w:r>
        <w:rPr>
          <w:rFonts w:ascii="Barlow Semi Condensed" w:cs="Barlow Semi Condensed" w:eastAsia="Barlow Semi Condensed" w:hAnsi="Barlow Semi Condensed"/>
          <w:i/>
          <w:iCs/>
          <w:sz w:val="24"/>
          <w:szCs w:val="24"/>
        </w:rPr>
        <w:t xml:space="preserve">(citato 2 volte)</w:t>
      </w:r>
    </w:p>
    <w:p>
      <w:pPr>
        <w:spacing w:after="120" w:line="276"/>
        <w:jc w:val="both"/>
      </w:pPr>
      <w:r>
        <w:rPr>
          <w:rFonts w:ascii="Barlow Semi Condensed" w:cs="Barlow Semi Condensed" w:eastAsia="Barlow Semi Condensed" w:hAnsi="Barlow Semi Condensed"/>
          <w:b/>
          <w:bCs/>
          <w:sz w:val="24"/>
          <w:szCs w:val="24"/>
        </w:rPr>
        <w:t xml:space="preserve">323.</w:t>
      </w:r>
      <w:r>
        <w:rPr>
          <w:rFonts w:ascii="Barlow Semi Condensed" w:cs="Barlow Semi Condensed" w:eastAsia="Barlow Semi Condensed" w:hAnsi="Barlow Semi Condensed"/>
          <w:sz w:val="24"/>
          <w:szCs w:val="24"/>
        </w:rPr>
        <w:t xml:space="preserve"> Stampa Parlamento — https://www.stampaparlamento.it/2022/03/04/laccordo-italo-tedesco-del-20-dicembre-1955/ (https://www.stampaparlamento.it/2022/03/04/laccordo-italo-tedesco-del-20-dicembre-1955/)</w:t>
      </w:r>
    </w:p>
    <w:p>
      <w:pPr>
        <w:spacing w:after="120" w:line="276"/>
        <w:jc w:val="both"/>
      </w:pPr>
      <w:r>
        <w:rPr>
          <w:rFonts w:ascii="Barlow Semi Condensed" w:cs="Barlow Semi Condensed" w:eastAsia="Barlow Semi Condensed" w:hAnsi="Barlow Semi Condensed"/>
          <w:b/>
          <w:bCs/>
          <w:sz w:val="24"/>
          <w:szCs w:val="24"/>
        </w:rPr>
        <w:t xml:space="preserve">324.</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bpb.de</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(citato in forma d'indirizzo)</w:t>
      </w:r>
    </w:p>
    <w:p>
      <w:pPr>
        <w:spacing w:after="120" w:line="276"/>
        <w:jc w:val="both"/>
      </w:pPr>
      <w:r>
        <w:rPr>
          <w:rFonts w:ascii="Barlow Semi Condensed" w:cs="Barlow Semi Condensed" w:eastAsia="Barlow Semi Condensed" w:hAnsi="Barlow Semi Condensed"/>
          <w:b/>
          <w:bCs/>
          <w:sz w:val="24"/>
          <w:szCs w:val="24"/>
        </w:rPr>
        <w:t xml:space="preserve">325.</w:t>
      </w:r>
      <w:r>
        <w:rPr>
          <w:rFonts w:ascii="Barlow Semi Condensed" w:cs="Barlow Semi Condensed" w:eastAsia="Barlow Semi Condensed" w:hAnsi="Barlow Semi Condensed"/>
          <w:sz w:val="24"/>
          <w:szCs w:val="24"/>
        </w:rPr>
        <w:t xml:space="preserve"> Wikipedia — https://de.wikipedia.org/wiki/Anwerbeabkommen_zwischen_der_Bundesrepublik_Deutschland_und_Italien (https://de.wikipedia.org/wiki/Anwerbeabkommen_zwischen_der_Bundesrepublik_Deutschland_und_Italien)</w:t>
      </w:r>
    </w:p>
    <w:p>
      <w:pPr>
        <w:spacing w:after="120" w:line="276"/>
        <w:jc w:val="both"/>
      </w:pPr>
      <w:r>
        <w:rPr>
          <w:rFonts w:ascii="Barlow Semi Condensed" w:cs="Barlow Semi Condensed" w:eastAsia="Barlow Semi Condensed" w:hAnsi="Barlow Semi Condensed"/>
          <w:b/>
          <w:bCs/>
          <w:sz w:val="24"/>
          <w:szCs w:val="24"/>
        </w:rPr>
        <w:t xml:space="preserve">326.</w:t>
      </w:r>
      <w:r>
        <w:rPr>
          <w:rFonts w:ascii="Barlow Semi Condensed" w:cs="Barlow Semi Condensed" w:eastAsia="Barlow Semi Condensed" w:hAnsi="Barlow Semi Condensed"/>
          <w:sz w:val="24"/>
          <w:szCs w:val="24"/>
        </w:rPr>
        <w:t xml:space="preserve"> Storicamente — https://storicamente.org/migrazioni-prontera (https://storicamente.org/migrazioni-prontera)</w:t>
      </w:r>
    </w:p>
    <w:p>
      <w:pPr>
        <w:spacing w:after="120" w:line="276"/>
        <w:jc w:val="both"/>
      </w:pPr>
      <w:r>
        <w:rPr>
          <w:rFonts w:ascii="Barlow Semi Condensed" w:cs="Barlow Semi Condensed" w:eastAsia="Barlow Semi Condensed" w:hAnsi="Barlow Semi Condensed"/>
          <w:b/>
          <w:bCs/>
          <w:sz w:val="24"/>
          <w:szCs w:val="24"/>
        </w:rPr>
        <w:t xml:space="preserve">327.</w:t>
      </w:r>
      <w:r>
        <w:rPr>
          <w:rFonts w:ascii="Barlow Semi Condensed" w:cs="Barlow Semi Condensed" w:eastAsia="Barlow Semi Condensed" w:hAnsi="Barlow Semi Condensed"/>
          <w:sz w:val="24"/>
          <w:szCs w:val="24"/>
        </w:rPr>
        <w:t xml:space="preserve"> CVCE — https://www.cvce.eu/en/recherche/unit-content/-/unit/02bb76df-d066-4c08-a58a-d4686a3e68ff/a4b76b9e-9b8b-4752-9657-05e26c5a1f5d (https://www.cvce.eu/en/recherche/unit-content/-/unit/02bb76df-d066-4c08-a58a-d4686a3e68ff/a4b76b9e-9b8b-4752-9657-05e26c5a1f5d)</w:t>
      </w:r>
    </w:p>
    <w:p>
      <w:pPr>
        <w:spacing w:after="120" w:line="276"/>
        <w:jc w:val="both"/>
      </w:pPr>
      <w:r>
        <w:rPr>
          <w:rFonts w:ascii="Barlow Semi Condensed" w:cs="Barlow Semi Condensed" w:eastAsia="Barlow Semi Condensed" w:hAnsi="Barlow Semi Condensed"/>
          <w:b/>
          <w:bCs/>
          <w:sz w:val="24"/>
          <w:szCs w:val="24"/>
        </w:rPr>
        <w:t xml:space="preserve">328.</w:t>
      </w:r>
      <w:r>
        <w:rPr>
          <w:rFonts w:ascii="Barlow Semi Condensed" w:cs="Barlow Semi Condensed" w:eastAsia="Barlow Semi Condensed" w:hAnsi="Barlow Semi Condensed"/>
          <w:sz w:val="24"/>
          <w:szCs w:val="24"/>
        </w:rPr>
        <w:t xml:space="preserve"> Officinadellastoria — https://www.officinadellastoria.eu/it/2018/07/19/leuropa-tra-crisi-e-rilancio-il-vertice-dellaja-del-1969/ (https://www.officinadellastoria.eu/it/2018/07/19/leuropa-tra-crisi-e-rilancio-il-vertice-dellaja-del-1969/) </w:t>
      </w:r>
      <w:r>
        <w:rPr>
          <w:rFonts w:ascii="Barlow Semi Condensed" w:cs="Barlow Semi Condensed" w:eastAsia="Barlow Semi Condensed" w:hAnsi="Barlow Semi Condensed"/>
          <w:i/>
          <w:iCs/>
          <w:sz w:val="24"/>
          <w:szCs w:val="24"/>
        </w:rPr>
        <w:t xml:space="preserve">(citato 6 volte)</w:t>
      </w:r>
    </w:p>
    <w:p>
      <w:pPr>
        <w:spacing w:after="120" w:line="276"/>
        <w:jc w:val="both"/>
      </w:pPr>
      <w:r>
        <w:rPr>
          <w:rFonts w:ascii="Barlow Semi Condensed" w:cs="Barlow Semi Condensed" w:eastAsia="Barlow Semi Condensed" w:hAnsi="Barlow Semi Condensed"/>
          <w:b/>
          <w:bCs/>
          <w:sz w:val="24"/>
          <w:szCs w:val="24"/>
        </w:rPr>
        <w:t xml:space="preserve">329.</w:t>
      </w:r>
      <w:r>
        <w:rPr>
          <w:rFonts w:ascii="Barlow Semi Condensed" w:cs="Barlow Semi Condensed" w:eastAsia="Barlow Semi Condensed" w:hAnsi="Barlow Semi Condensed"/>
          <w:sz w:val="24"/>
          <w:szCs w:val="24"/>
        </w:rPr>
        <w:t xml:space="preserve"> vLex — https://eu.vlex.com/vid/werner-istituzioni-governo-monetario-264867494 (https://eu.vlex.com/vid/werner-istituzioni-governo-monetario-264867494)</w:t>
      </w:r>
    </w:p>
    <w:p>
      <w:pPr>
        <w:spacing w:after="120" w:line="276"/>
        <w:jc w:val="both"/>
      </w:pPr>
      <w:r>
        <w:rPr>
          <w:rFonts w:ascii="Barlow Semi Condensed" w:cs="Barlow Semi Condensed" w:eastAsia="Barlow Semi Condensed" w:hAnsi="Barlow Semi Condensed"/>
          <w:b/>
          <w:bCs/>
          <w:sz w:val="24"/>
          <w:szCs w:val="24"/>
        </w:rPr>
        <w:t xml:space="preserve">330.</w:t>
      </w:r>
      <w:r>
        <w:rPr>
          <w:rFonts w:ascii="Barlow Semi Condensed" w:cs="Barlow Semi Condensed" w:eastAsia="Barlow Semi Condensed" w:hAnsi="Barlow Semi Condensed"/>
          <w:sz w:val="24"/>
          <w:szCs w:val="24"/>
        </w:rPr>
        <w:t xml:space="preserve"> Unibo — https://aldomorodigitale.unibo.it/additional_resources/?id=141&amp;type=essay (https://aldomorodigitale.unibo.it/additional_resources/?id=141&amp;type=essay)</w:t>
      </w:r>
    </w:p>
    <w:p>
      <w:pPr>
        <w:spacing w:after="120" w:line="276"/>
        <w:jc w:val="both"/>
      </w:pPr>
      <w:r>
        <w:rPr>
          <w:rFonts w:ascii="Barlow Semi Condensed" w:cs="Barlow Semi Condensed" w:eastAsia="Barlow Semi Condensed" w:hAnsi="Barlow Semi Condensed"/>
          <w:b/>
          <w:bCs/>
          <w:sz w:val="24"/>
          <w:szCs w:val="24"/>
        </w:rPr>
        <w:t xml:space="preserve">331.</w:t>
      </w:r>
      <w:r>
        <w:rPr>
          <w:rFonts w:ascii="Barlow Semi Condensed" w:cs="Barlow Semi Condensed" w:eastAsia="Barlow Semi Condensed" w:hAnsi="Barlow Semi Condensed"/>
          <w:sz w:val="24"/>
          <w:szCs w:val="24"/>
        </w:rPr>
        <w:t xml:space="preserve"> Unipd — https://thesis.unipd.it/retrieve/a718646f-1fb5-445a-9b20-aeb407baaafb/Petrila_Andreea_Roxana.pdf (https://thesis.unipd.it/retrieve/a718646f-1fb5-445a-9b20-aeb407baaafb/Petrila_Andreea_Roxana.pdf)</w:t>
      </w:r>
    </w:p>
    <w:p>
      <w:pPr>
        <w:spacing w:after="120" w:line="276"/>
        <w:jc w:val="both"/>
      </w:pPr>
      <w:r>
        <w:rPr>
          <w:rFonts w:ascii="Barlow Semi Condensed" w:cs="Barlow Semi Condensed" w:eastAsia="Barlow Semi Condensed" w:hAnsi="Barlow Semi Condensed"/>
          <w:b/>
          <w:bCs/>
          <w:sz w:val="24"/>
          <w:szCs w:val="24"/>
        </w:rPr>
        <w:t xml:space="preserve">332.</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foia.cia.gov/readingroom</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(citato in forma d'indirizzo)</w:t>
      </w:r>
    </w:p>
    <w:p>
      <w:pPr>
        <w:spacing w:after="120" w:line="276"/>
        <w:jc w:val="both"/>
      </w:pPr>
      <w:r>
        <w:rPr>
          <w:rFonts w:ascii="Barlow Semi Condensed" w:cs="Barlow Semi Condensed" w:eastAsia="Barlow Semi Condensed" w:hAnsi="Barlow Semi Condensed"/>
          <w:b/>
          <w:bCs/>
          <w:sz w:val="24"/>
          <w:szCs w:val="24"/>
        </w:rPr>
        <w:t xml:space="preserve">333.</w:t>
      </w:r>
      <w:r>
        <w:rPr>
          <w:rFonts w:ascii="Barlow Semi Condensed" w:cs="Barlow Semi Condensed" w:eastAsia="Barlow Semi Condensed" w:hAnsi="Barlow Semi Condensed"/>
          <w:sz w:val="24"/>
          <w:szCs w:val="24"/>
        </w:rPr>
        <w:t xml:space="preserve"> Freie Universität Berlin — https://www.geisteswissenschaften.fu-berlin.de/it/italienzentrum/forschung-lehre/Gastdozent_innen/Ex-docenti/Filippo-Triola/index.html (https://www.geisteswissenschaften.fu-berlin.de/it/italienzentrum/forschung-lehre/Gastdozent_innen/Ex-docenti/Filippo-Triola/index.html)</w:t>
      </w:r>
    </w:p>
    <w:p>
      <w:pPr>
        <w:spacing w:after="120" w:line="276"/>
        <w:jc w:val="both"/>
      </w:pPr>
      <w:r>
        <w:rPr>
          <w:rFonts w:ascii="Barlow Semi Condensed" w:cs="Barlow Semi Condensed" w:eastAsia="Barlow Semi Condensed" w:hAnsi="Barlow Semi Condensed"/>
          <w:b/>
          <w:bCs/>
          <w:sz w:val="24"/>
          <w:szCs w:val="24"/>
        </w:rPr>
        <w:t xml:space="preserve">334.</w:t>
      </w:r>
      <w:r>
        <w:rPr>
          <w:rFonts w:ascii="Barlow Semi Condensed" w:cs="Barlow Semi Condensed" w:eastAsia="Barlow Semi Condensed" w:hAnsi="Barlow Semi Condensed"/>
          <w:sz w:val="24"/>
          <w:szCs w:val="24"/>
        </w:rPr>
        <w:t xml:space="preserve"> Unibo — https://amsdottorato.unibo.it/id/eprint/5721/1/Triola_Flippo_Tesi.pdf (https://amsdottorato.unibo.it/id/eprint/5721/1/Triola_Flippo_Tesi.pdf)</w:t>
      </w:r>
    </w:p>
    <w:p>
      <w:pPr>
        <w:pStyle w:val="Heading3"/>
        <w:spacing w:after="80" w:before="160"/>
      </w:pPr>
      <w:r>
        <w:rPr>
          <w:rFonts w:ascii="Barlow Semi Condensed" w:cs="Barlow Semi Condensed" w:eastAsia="Barlow Semi Condensed" w:hAnsi="Barlow Semi Condensed"/>
          <w:sz w:val="24"/>
          <w:szCs w:val="24"/>
        </w:rPr>
        <w:t xml:space="preserve">Libro dodicesimo · IV — La Santa Sede e le due Germanie: la sequenza Oder-Neisse</w:t>
      </w:r>
    </w:p>
    <w:p>
      <w:pPr>
        <w:spacing w:after="120" w:line="276"/>
        <w:jc w:val="both"/>
      </w:pPr>
      <w:r>
        <w:rPr>
          <w:rFonts w:ascii="Barlow Semi Condensed" w:cs="Barlow Semi Condensed" w:eastAsia="Barlow Semi Condensed" w:hAnsi="Barlow Semi Condensed"/>
          <w:b/>
          <w:bCs/>
          <w:sz w:val="24"/>
          <w:szCs w:val="24"/>
        </w:rPr>
        <w:t xml:space="preserve">335.</w:t>
      </w:r>
      <w:r>
        <w:rPr>
          <w:rFonts w:ascii="Barlow Semi Condensed" w:cs="Barlow Semi Condensed" w:eastAsia="Barlow Semi Condensed" w:hAnsi="Barlow Semi Condensed"/>
          <w:sz w:val="24"/>
          <w:szCs w:val="24"/>
        </w:rPr>
        <w:t xml:space="preserve"> Vatican — https://www.vatican.va/content/paul-vi/la/apost_constitutions/documents/hf_p-vi_apc_19720628_vratislaviensis.html (https://www.vatican.va/content/paul-vi/la/apost_constitutions/documents/hf_p-vi_apc_19720628_vratislaviensis.html) </w:t>
      </w:r>
      <w:r>
        <w:rPr>
          <w:rFonts w:ascii="Barlow Semi Condensed" w:cs="Barlow Semi Condensed" w:eastAsia="Barlow Semi Condensed" w:hAnsi="Barlow Semi Condensed"/>
          <w:i/>
          <w:iCs/>
          <w:sz w:val="24"/>
          <w:szCs w:val="24"/>
        </w:rPr>
        <w:t xml:space="preserve">(citato 4 volte)</w:t>
      </w:r>
    </w:p>
    <w:p>
      <w:pPr>
        <w:spacing w:after="120" w:line="276"/>
        <w:jc w:val="both"/>
      </w:pPr>
      <w:r>
        <w:rPr>
          <w:rFonts w:ascii="Barlow Semi Condensed" w:cs="Barlow Semi Condensed" w:eastAsia="Barlow Semi Condensed" w:hAnsi="Barlow Semi Condensed"/>
          <w:b/>
          <w:bCs/>
          <w:sz w:val="24"/>
          <w:szCs w:val="24"/>
        </w:rPr>
        <w:t xml:space="preserve">336.</w:t>
      </w:r>
      <w:r>
        <w:rPr>
          <w:rFonts w:ascii="Barlow Semi Condensed" w:cs="Barlow Semi Condensed" w:eastAsia="Barlow Semi Condensed" w:hAnsi="Barlow Semi Condensed"/>
          <w:sz w:val="24"/>
          <w:szCs w:val="24"/>
        </w:rPr>
        <w:t xml:space="preserve"> zapiskihistoryczne — https://www.zapiskihistoryczne.pl/files/issues/3eec121a6dde7c3b4e34b1c06bd7524a_ZH_2017_3_07_ENG_Bialkowski_N.pdf (https://www.zapiskihistoryczne.pl/files/issues/3eec121a6dde7c3b4e34b1c06bd7524a_ZH_2017_3_07_ENG_Bialkowski_N.pdf) </w:t>
      </w:r>
      <w:r>
        <w:rPr>
          <w:rFonts w:ascii="Barlow Semi Condensed" w:cs="Barlow Semi Condensed" w:eastAsia="Barlow Semi Condensed" w:hAnsi="Barlow Semi Condensed"/>
          <w:i/>
          <w:iCs/>
          <w:sz w:val="24"/>
          <w:szCs w:val="24"/>
        </w:rPr>
        <w:t xml:space="preserve">(citato 3 volte)</w:t>
      </w:r>
    </w:p>
    <w:p>
      <w:pPr>
        <w:spacing w:after="120" w:line="276"/>
        <w:jc w:val="both"/>
      </w:pPr>
      <w:r>
        <w:rPr>
          <w:rFonts w:ascii="Barlow Semi Condensed" w:cs="Barlow Semi Condensed" w:eastAsia="Barlow Semi Condensed" w:hAnsi="Barlow Semi Condensed"/>
          <w:b/>
          <w:bCs/>
          <w:sz w:val="24"/>
          <w:szCs w:val="24"/>
        </w:rPr>
        <w:t xml:space="preserve">337.</w:t>
      </w:r>
      <w:r>
        <w:rPr>
          <w:rFonts w:ascii="Barlow Semi Condensed" w:cs="Barlow Semi Condensed" w:eastAsia="Barlow Semi Condensed" w:hAnsi="Barlow Semi Condensed"/>
          <w:sz w:val="24"/>
          <w:szCs w:val="24"/>
        </w:rPr>
        <w:t xml:space="preserve"> uni-oldenburg — https://ome-lexikon.uni-oldenburg.de/begriffe/briefwechsel-der-polnischen-und-deutschen-bischoefe (https://ome-lexikon.uni-oldenburg.de/begriffe/briefwechsel-der-polnischen-und-deutschen-bischoefe)</w:t>
      </w:r>
    </w:p>
    <w:p>
      <w:pPr>
        <w:spacing w:after="120" w:line="276"/>
        <w:jc w:val="both"/>
      </w:pPr>
      <w:r>
        <w:rPr>
          <w:rFonts w:ascii="Barlow Semi Condensed" w:cs="Barlow Semi Condensed" w:eastAsia="Barlow Semi Condensed" w:hAnsi="Barlow Semi Condensed"/>
          <w:b/>
          <w:bCs/>
          <w:sz w:val="24"/>
          <w:szCs w:val="24"/>
        </w:rPr>
        <w:t xml:space="preserve">338.</w:t>
      </w:r>
      <w:r>
        <w:rPr>
          <w:rFonts w:ascii="Barlow Semi Condensed" w:cs="Barlow Semi Condensed" w:eastAsia="Barlow Semi Condensed" w:hAnsi="Barlow Semi Condensed"/>
          <w:sz w:val="24"/>
          <w:szCs w:val="24"/>
        </w:rPr>
        <w:t xml:space="preserve"> SettimanaNews — https://www.settimananews.it/vescovi/guerra-fragile-memoria/ (https://www.settimananews.it/vescovi/guerra-fragile-memoria/)</w:t>
      </w:r>
    </w:p>
    <w:p>
      <w:pPr>
        <w:spacing w:after="120" w:line="276"/>
        <w:jc w:val="both"/>
      </w:pPr>
      <w:r>
        <w:rPr>
          <w:rFonts w:ascii="Barlow Semi Condensed" w:cs="Barlow Semi Condensed" w:eastAsia="Barlow Semi Condensed" w:hAnsi="Barlow Semi Condensed"/>
          <w:b/>
          <w:bCs/>
          <w:sz w:val="24"/>
          <w:szCs w:val="24"/>
        </w:rPr>
        <w:t xml:space="preserve">339.</w:t>
      </w:r>
      <w:r>
        <w:rPr>
          <w:rFonts w:ascii="Barlow Semi Condensed" w:cs="Barlow Semi Condensed" w:eastAsia="Barlow Semi Condensed" w:hAnsi="Barlow Semi Condensed"/>
          <w:sz w:val="24"/>
          <w:szCs w:val="24"/>
        </w:rPr>
        <w:t xml:space="preserve"> SettimanaNews — https://www.settimananews.it/chiesa/polonia-il-primate-del-millennio/ (https://www.settimananews.it/chiesa/polonia-il-primate-del-millennio/) </w:t>
      </w:r>
      <w:r>
        <w:rPr>
          <w:rFonts w:ascii="Barlow Semi Condensed" w:cs="Barlow Semi Condensed" w:eastAsia="Barlow Semi Condensed" w:hAnsi="Barlow Semi Condensed"/>
          <w:i/>
          <w:iCs/>
          <w:sz w:val="24"/>
          <w:szCs w:val="24"/>
        </w:rPr>
        <w:t xml:space="preserve">(citato 2 volte)</w:t>
      </w:r>
    </w:p>
    <w:p>
      <w:pPr>
        <w:spacing w:after="120" w:line="276"/>
        <w:jc w:val="both"/>
      </w:pPr>
      <w:r>
        <w:rPr>
          <w:rFonts w:ascii="Barlow Semi Condensed" w:cs="Barlow Semi Condensed" w:eastAsia="Barlow Semi Condensed" w:hAnsi="Barlow Semi Condensed"/>
          <w:b/>
          <w:bCs/>
          <w:sz w:val="24"/>
          <w:szCs w:val="24"/>
        </w:rPr>
        <w:t xml:space="preserve">340.</w:t>
      </w:r>
      <w:r>
        <w:rPr>
          <w:rFonts w:ascii="Barlow Semi Condensed" w:cs="Barlow Semi Condensed" w:eastAsia="Barlow Semi Condensed" w:hAnsi="Barlow Semi Condensed"/>
          <w:sz w:val="24"/>
          <w:szCs w:val="24"/>
        </w:rPr>
        <w:t xml:space="preserve"> Zenit — https://it.zenit.org/2015/10/26/un-messaggio-che-fu-un-atto-di-coraggio-dell-episcopato-polacco/ (https://it.zenit.org/2015/10/26/un-messaggio-che-fu-un-atto-di-coraggio-dell-episcopato-polacco/)</w:t>
      </w:r>
    </w:p>
    <w:p>
      <w:pPr>
        <w:spacing w:after="120" w:line="276"/>
        <w:jc w:val="both"/>
      </w:pPr>
      <w:r>
        <w:rPr>
          <w:rFonts w:ascii="Barlow Semi Condensed" w:cs="Barlow Semi Condensed" w:eastAsia="Barlow Semi Condensed" w:hAnsi="Barlow Semi Condensed"/>
          <w:b/>
          <w:bCs/>
          <w:sz w:val="24"/>
          <w:szCs w:val="24"/>
        </w:rPr>
        <w:t xml:space="preserve">341.</w:t>
      </w:r>
      <w:r>
        <w:rPr>
          <w:rFonts w:ascii="Barlow Semi Condensed" w:cs="Barlow Semi Condensed" w:eastAsia="Barlow Semi Condensed" w:hAnsi="Barlow Semi Condensed"/>
          <w:sz w:val="24"/>
          <w:szCs w:val="24"/>
        </w:rPr>
        <w:t xml:space="preserve"> Konrad-Adenauer-Stiftung — https://www.kas.de/en/web/geschichte-der-cdu/calendar-detail/-/content/der-bundestag-ratifiziert-den-moskauer-und-den-warschauer-vertrag-und-stimmt-der-gemeinsamen-entschl (https://www.kas.de/en/web/geschichte-der-cdu/calendar-detail/-/content/der-bundestag-ratifiziert-den-moskauer-und-den-warschauer-vertrag-und-stimmt-der-gemeinsamen-entschl) </w:t>
      </w:r>
      <w:r>
        <w:rPr>
          <w:rFonts w:ascii="Barlow Semi Condensed" w:cs="Barlow Semi Condensed" w:eastAsia="Barlow Semi Condensed" w:hAnsi="Barlow Semi Condensed"/>
          <w:i/>
          <w:iCs/>
          <w:sz w:val="24"/>
          <w:szCs w:val="24"/>
        </w:rPr>
        <w:t xml:space="preserve">(citato 2 volte)</w:t>
      </w:r>
    </w:p>
    <w:p>
      <w:pPr>
        <w:spacing w:after="120" w:line="276"/>
        <w:jc w:val="both"/>
      </w:pPr>
      <w:r>
        <w:rPr>
          <w:rFonts w:ascii="Barlow Semi Condensed" w:cs="Barlow Semi Condensed" w:eastAsia="Barlow Semi Condensed" w:hAnsi="Barlow Semi Condensed"/>
          <w:b/>
          <w:bCs/>
          <w:sz w:val="24"/>
          <w:szCs w:val="24"/>
        </w:rPr>
        <w:t xml:space="preserve">342.</w:t>
      </w:r>
      <w:r>
        <w:rPr>
          <w:rFonts w:ascii="Barlow Semi Condensed" w:cs="Barlow Semi Condensed" w:eastAsia="Barlow Semi Condensed" w:hAnsi="Barlow Semi Condensed"/>
          <w:sz w:val="24"/>
          <w:szCs w:val="24"/>
        </w:rPr>
        <w:t xml:space="preserve"> dpa Picture-Alliance — https://www.picture-alliance.com/en/webseries/2022-05-17-50-years-ago-eastern-treaties-with-the-soviet-union-and-poland-passed-in-the-bundestag-w287155 (https://www.picture-alliance.com/en/webseries/2022-05-17-50-years-ago-eastern-treaties-with-the-soviet-union-and-poland-passed-in-the-bundestag-w287155)</w:t>
      </w:r>
    </w:p>
    <w:p>
      <w:pPr>
        <w:spacing w:after="120" w:line="276"/>
        <w:jc w:val="both"/>
      </w:pPr>
      <w:r>
        <w:rPr>
          <w:rFonts w:ascii="Barlow Semi Condensed" w:cs="Barlow Semi Condensed" w:eastAsia="Barlow Semi Condensed" w:hAnsi="Barlow Semi Condensed"/>
          <w:b/>
          <w:bCs/>
          <w:sz w:val="24"/>
          <w:szCs w:val="24"/>
        </w:rPr>
        <w:t xml:space="preserve">343.</w:t>
      </w:r>
      <w:r>
        <w:rPr>
          <w:rFonts w:ascii="Barlow Semi Condensed" w:cs="Barlow Semi Condensed" w:eastAsia="Barlow Semi Condensed" w:hAnsi="Barlow Semi Condensed"/>
          <w:sz w:val="24"/>
          <w:szCs w:val="24"/>
        </w:rPr>
        <w:t xml:space="preserve"> Wikipedia — https://pl.wikipedia.org/wiki/Episcoporum_Poloniae_coetus (https://pl.wikipedia.org/wiki/Episcoporum_Poloniae_coetus) </w:t>
      </w:r>
      <w:r>
        <w:rPr>
          <w:rFonts w:ascii="Barlow Semi Condensed" w:cs="Barlow Semi Condensed" w:eastAsia="Barlow Semi Condensed" w:hAnsi="Barlow Semi Condensed"/>
          <w:i/>
          <w:iCs/>
          <w:sz w:val="24"/>
          <w:szCs w:val="24"/>
        </w:rPr>
        <w:t xml:space="preserve">(citato 2 volte)</w:t>
      </w:r>
    </w:p>
    <w:p>
      <w:pPr>
        <w:spacing w:after="120" w:line="276"/>
        <w:jc w:val="both"/>
      </w:pPr>
      <w:r>
        <w:rPr>
          <w:rFonts w:ascii="Barlow Semi Condensed" w:cs="Barlow Semi Condensed" w:eastAsia="Barlow Semi Condensed" w:hAnsi="Barlow Semi Condensed"/>
          <w:b/>
          <w:bCs/>
          <w:sz w:val="24"/>
          <w:szCs w:val="24"/>
        </w:rPr>
        <w:t xml:space="preserve">344.</w:t>
      </w:r>
      <w:r>
        <w:rPr>
          <w:rFonts w:ascii="Barlow Semi Condensed" w:cs="Barlow Semi Condensed" w:eastAsia="Barlow Semi Condensed" w:hAnsi="Barlow Semi Condensed"/>
          <w:sz w:val="24"/>
          <w:szCs w:val="24"/>
        </w:rPr>
        <w:t xml:space="preserve"> En Academic — https://en-academic.com/dic.nsf/enwiki/3499690 (https://en-academic.com/dic.nsf/enwiki/3499690) </w:t>
      </w:r>
      <w:r>
        <w:rPr>
          <w:rFonts w:ascii="Barlow Semi Condensed" w:cs="Barlow Semi Condensed" w:eastAsia="Barlow Semi Condensed" w:hAnsi="Barlow Semi Condensed"/>
          <w:i/>
          <w:iCs/>
          <w:sz w:val="24"/>
          <w:szCs w:val="24"/>
        </w:rPr>
        <w:t xml:space="preserve">(citato 2 volte)</w:t>
      </w:r>
    </w:p>
    <w:p>
      <w:pPr>
        <w:spacing w:after="120" w:line="276"/>
        <w:jc w:val="both"/>
      </w:pPr>
      <w:r>
        <w:rPr>
          <w:rFonts w:ascii="Barlow Semi Condensed" w:cs="Barlow Semi Condensed" w:eastAsia="Barlow Semi Condensed" w:hAnsi="Barlow Semi Condensed"/>
          <w:b/>
          <w:bCs/>
          <w:sz w:val="24"/>
          <w:szCs w:val="24"/>
        </w:rPr>
        <w:t xml:space="preserve">345.</w:t>
      </w:r>
      <w:r>
        <w:rPr>
          <w:rFonts w:ascii="Barlow Semi Condensed" w:cs="Barlow Semi Condensed" w:eastAsia="Barlow Semi Condensed" w:hAnsi="Barlow Semi Condensed"/>
          <w:sz w:val="24"/>
          <w:szCs w:val="24"/>
        </w:rPr>
        <w:t xml:space="preserve"> diecezjakoszalin — https://www.diecezjakoszalin.pl/bulla-episcoporum-poloniae-coetus (https://www.diecezjakoszalin.pl/bulla-episcoporum-poloniae-coetus) </w:t>
      </w:r>
      <w:r>
        <w:rPr>
          <w:rFonts w:ascii="Barlow Semi Condensed" w:cs="Barlow Semi Condensed" w:eastAsia="Barlow Semi Condensed" w:hAnsi="Barlow Semi Condensed"/>
          <w:i/>
          <w:iCs/>
          <w:sz w:val="24"/>
          <w:szCs w:val="24"/>
        </w:rPr>
        <w:t xml:space="preserve">(citato 4 volte)</w:t>
      </w:r>
    </w:p>
    <w:p>
      <w:pPr>
        <w:spacing w:after="120" w:line="276"/>
        <w:jc w:val="both"/>
      </w:pPr>
      <w:r>
        <w:rPr>
          <w:rFonts w:ascii="Barlow Semi Condensed" w:cs="Barlow Semi Condensed" w:eastAsia="Barlow Semi Condensed" w:hAnsi="Barlow Semi Condensed"/>
          <w:b/>
          <w:bCs/>
          <w:sz w:val="24"/>
          <w:szCs w:val="24"/>
        </w:rPr>
        <w:t xml:space="preserve">346.</w:t>
      </w:r>
      <w:r>
        <w:rPr>
          <w:rFonts w:ascii="Barlow Semi Condensed" w:cs="Barlow Semi Condensed" w:eastAsia="Barlow Semi Condensed" w:hAnsi="Barlow Semi Condensed"/>
          <w:sz w:val="24"/>
          <w:szCs w:val="24"/>
        </w:rPr>
        <w:t xml:space="preserve"> Diecezji Zielonogórsko-Gorzowskiej — https://diecezjazg.pl/45-lat-episcoporum-poloniae-coetus/ (https://diecezjazg.pl/45-lat-episcoporum-poloniae-coetus/)</w:t>
      </w:r>
    </w:p>
    <w:p>
      <w:pPr>
        <w:spacing w:after="120" w:line="276"/>
        <w:jc w:val="both"/>
      </w:pPr>
      <w:r>
        <w:rPr>
          <w:rFonts w:ascii="Barlow Semi Condensed" w:cs="Barlow Semi Condensed" w:eastAsia="Barlow Semi Condensed" w:hAnsi="Barlow Semi Condensed"/>
          <w:b/>
          <w:bCs/>
          <w:sz w:val="24"/>
          <w:szCs w:val="24"/>
        </w:rPr>
        <w:t xml:space="preserve">347.</w:t>
      </w:r>
      <w:r>
        <w:rPr>
          <w:rFonts w:ascii="Barlow Semi Condensed" w:cs="Barlow Semi Condensed" w:eastAsia="Barlow Semi Condensed" w:hAnsi="Barlow Semi Condensed"/>
          <w:sz w:val="24"/>
          <w:szCs w:val="24"/>
        </w:rPr>
        <w:t xml:space="preserve"> Cambridge Core — https://www.cambridge.org/core/journals/church-history/article/diplomatic-relations-between-poland-and-the-holy-see-and-the-vaticans-ostpolitik-from-the-perspective-of-cardinal-stefan-wyszynski-primate-of-poland-19481981/FFE51F5CC9F89D956808883C94F59F37 (https://www.cambridge.org/core/journals/church-history/article/diplomatic-relations-between-poland-and-the-holy-see-and-the-vaticans-ostpolitik-from-the-perspective-of-cardinal-stefan-wyszynski-primate-of-poland-19481981/FFE51F5CC9F89D956808883C94F59F37)</w:t>
      </w:r>
    </w:p>
    <w:p>
      <w:pPr>
        <w:spacing w:after="120" w:line="276"/>
        <w:jc w:val="both"/>
      </w:pPr>
      <w:r>
        <w:rPr>
          <w:rFonts w:ascii="Barlow Semi Condensed" w:cs="Barlow Semi Condensed" w:eastAsia="Barlow Semi Condensed" w:hAnsi="Barlow Semi Condensed"/>
          <w:b/>
          <w:bCs/>
          <w:sz w:val="24"/>
          <w:szCs w:val="24"/>
        </w:rPr>
        <w:t xml:space="preserve">348.</w:t>
      </w:r>
      <w:r>
        <w:rPr>
          <w:rFonts w:ascii="Barlow Semi Condensed" w:cs="Barlow Semi Condensed" w:eastAsia="Barlow Semi Condensed" w:hAnsi="Barlow Semi Condensed"/>
          <w:sz w:val="24"/>
          <w:szCs w:val="24"/>
        </w:rPr>
        <w:t xml:space="preserve"> owep — https://www.owep.de/artikel/472-getrennte-vergangenheit-gemeinsame-zukunft-polnische-und-deutsche-katholiken-1945-1978 (https://www.owep.de/artikel/472-getrennte-vergangenheit-gemeinsame-zukunft-polnische-und-deutsche-katholiken-1945-1978) </w:t>
      </w:r>
      <w:r>
        <w:rPr>
          <w:rFonts w:ascii="Barlow Semi Condensed" w:cs="Barlow Semi Condensed" w:eastAsia="Barlow Semi Condensed" w:hAnsi="Barlow Semi Condensed"/>
          <w:i/>
          <w:iCs/>
          <w:sz w:val="24"/>
          <w:szCs w:val="24"/>
        </w:rPr>
        <w:t xml:space="preserve">(citato 2 volte)</w:t>
      </w:r>
    </w:p>
    <w:p>
      <w:pPr>
        <w:spacing w:after="120" w:line="276"/>
        <w:jc w:val="both"/>
      </w:pPr>
      <w:r>
        <w:rPr>
          <w:rFonts w:ascii="Barlow Semi Condensed" w:cs="Barlow Semi Condensed" w:eastAsia="Barlow Semi Condensed" w:hAnsi="Barlow Semi Condensed"/>
          <w:b/>
          <w:bCs/>
          <w:sz w:val="24"/>
          <w:szCs w:val="24"/>
        </w:rPr>
        <w:t xml:space="preserve">349.</w:t>
      </w:r>
      <w:r>
        <w:rPr>
          <w:rFonts w:ascii="Barlow Semi Condensed" w:cs="Barlow Semi Condensed" w:eastAsia="Barlow Semi Condensed" w:hAnsi="Barlow Semi Condensed"/>
          <w:sz w:val="24"/>
          <w:szCs w:val="24"/>
        </w:rPr>
        <w:t xml:space="preserve"> DOMRADIO.DE — https://www.domradio.de/artikel/bischoefe-lassen-besondere-vertriebenenseelsorge-auslaufen (https://www.domradio.de/artikel/bischoefe-lassen-besondere-vertriebenenseelsorge-auslaufen)</w:t>
      </w:r>
    </w:p>
    <w:p>
      <w:pPr>
        <w:spacing w:after="120" w:line="276"/>
        <w:jc w:val="both"/>
      </w:pPr>
      <w:r>
        <w:rPr>
          <w:rFonts w:ascii="Barlow Semi Condensed" w:cs="Barlow Semi Condensed" w:eastAsia="Barlow Semi Condensed" w:hAnsi="Barlow Semi Condensed"/>
          <w:b/>
          <w:bCs/>
          <w:sz w:val="24"/>
          <w:szCs w:val="24"/>
        </w:rPr>
        <w:t xml:space="preserve">350.</w:t>
      </w:r>
      <w:r>
        <w:rPr>
          <w:rFonts w:ascii="Barlow Semi Condensed" w:cs="Barlow Semi Condensed" w:eastAsia="Barlow Semi Condensed" w:hAnsi="Barlow Semi Condensed"/>
          <w:sz w:val="24"/>
          <w:szCs w:val="24"/>
        </w:rPr>
        <w:t xml:space="preserve"> Ikamien — https://ikamien.pl/artykuly/14945/ (https://ikamien.pl/artykuly/14945/)</w:t>
      </w:r>
    </w:p>
    <w:p>
      <w:pPr>
        <w:spacing w:after="120" w:line="276"/>
        <w:jc w:val="both"/>
      </w:pPr>
      <w:r>
        <w:rPr>
          <w:rFonts w:ascii="Barlow Semi Condensed" w:cs="Barlow Semi Condensed" w:eastAsia="Barlow Semi Condensed" w:hAnsi="Barlow Semi Condensed"/>
          <w:b/>
          <w:bCs/>
          <w:sz w:val="24"/>
          <w:szCs w:val="24"/>
        </w:rPr>
        <w:t xml:space="preserve">351.</w:t>
      </w:r>
      <w:r>
        <w:rPr>
          <w:rFonts w:ascii="Barlow Semi Condensed" w:cs="Barlow Semi Condensed" w:eastAsia="Barlow Semi Condensed" w:hAnsi="Barlow Semi Condensed"/>
          <w:sz w:val="24"/>
          <w:szCs w:val="24"/>
        </w:rPr>
        <w:t xml:space="preserve"> Cambridge Core — https://www.cambridge.org/core/journals/review-of-politics/article/abs/vaticans-ostpolitik/AC442D87BDF81829CD57653F878EB16A (https://www.cambridge.org/core/journals/review-of-politics/article/abs/vaticans-ostpolitik/AC442D87BDF81829CD57653F878EB16A)</w:t>
      </w:r>
    </w:p>
    <w:p>
      <w:pPr>
        <w:spacing w:after="120" w:line="276"/>
        <w:jc w:val="both"/>
      </w:pPr>
      <w:r>
        <w:rPr>
          <w:rFonts w:ascii="Barlow Semi Condensed" w:cs="Barlow Semi Condensed" w:eastAsia="Barlow Semi Condensed" w:hAnsi="Barlow Semi Condensed"/>
          <w:b/>
          <w:bCs/>
          <w:sz w:val="24"/>
          <w:szCs w:val="24"/>
        </w:rPr>
        <w:t xml:space="preserve">352.</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ddr-im-blick.de</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(citato in forma d'indirizzo)</w:t>
      </w:r>
    </w:p>
    <w:p>
      <w:pPr>
        <w:spacing w:after="120" w:line="276"/>
        <w:jc w:val="both"/>
      </w:pPr>
      <w:r>
        <w:rPr>
          <w:rFonts w:ascii="Barlow Semi Condensed" w:cs="Barlow Semi Condensed" w:eastAsia="Barlow Semi Condensed" w:hAnsi="Barlow Semi Condensed"/>
          <w:b/>
          <w:bCs/>
          <w:sz w:val="24"/>
          <w:szCs w:val="24"/>
        </w:rPr>
        <w:t xml:space="preserve">353.</w:t>
      </w:r>
      <w:r>
        <w:rPr>
          <w:rFonts w:ascii="Barlow Semi Condensed" w:cs="Barlow Semi Condensed" w:eastAsia="Barlow Semi Condensed" w:hAnsi="Barlow Semi Condensed"/>
          <w:sz w:val="24"/>
          <w:szCs w:val="24"/>
        </w:rPr>
        <w:t xml:space="preserve"> Wikipedia — https://en.wikipedia.org/wiki/Archdiocese_of_Wroc%C5%82aw (https://en.wikipedia.org/wiki/Archdiocese_of_Wroc%C5%82aw)</w:t>
      </w:r>
    </w:p>
    <w:p>
      <w:pPr>
        <w:spacing w:after="120" w:line="276"/>
        <w:jc w:val="both"/>
      </w:pPr>
      <w:r>
        <w:rPr>
          <w:rFonts w:ascii="Barlow Semi Condensed" w:cs="Barlow Semi Condensed" w:eastAsia="Barlow Semi Condensed" w:hAnsi="Barlow Semi Condensed"/>
          <w:b/>
          <w:bCs/>
          <w:sz w:val="24"/>
          <w:szCs w:val="24"/>
        </w:rPr>
        <w:t xml:space="preserve">354.</w:t>
      </w:r>
      <w:r>
        <w:rPr>
          <w:rFonts w:ascii="Barlow Semi Condensed" w:cs="Barlow Semi Condensed" w:eastAsia="Barlow Semi Condensed" w:hAnsi="Barlow Semi Condensed"/>
          <w:sz w:val="24"/>
          <w:szCs w:val="24"/>
        </w:rPr>
        <w:t xml:space="preserve"> Wikipedia — https://en.wikipedia.org/wiki/Aldo_Moro (https://en.wikipedia.org/wiki/Aldo_Moro) </w:t>
      </w:r>
      <w:r>
        <w:rPr>
          <w:rFonts w:ascii="Barlow Semi Condensed" w:cs="Barlow Semi Condensed" w:eastAsia="Barlow Semi Condensed" w:hAnsi="Barlow Semi Condensed"/>
          <w:i/>
          <w:iCs/>
          <w:sz w:val="24"/>
          <w:szCs w:val="24"/>
        </w:rPr>
        <w:t xml:space="preserve">(citato 3 volte)</w:t>
      </w:r>
    </w:p>
    <w:p>
      <w:pPr>
        <w:spacing w:after="120" w:line="276"/>
        <w:jc w:val="both"/>
      </w:pPr>
      <w:r>
        <w:rPr>
          <w:rFonts w:ascii="Barlow Semi Condensed" w:cs="Barlow Semi Condensed" w:eastAsia="Barlow Semi Condensed" w:hAnsi="Barlow Semi Condensed"/>
          <w:b/>
          <w:bCs/>
          <w:sz w:val="24"/>
          <w:szCs w:val="24"/>
        </w:rPr>
        <w:t xml:space="preserve">355.</w:t>
      </w:r>
      <w:r>
        <w:rPr>
          <w:rFonts w:ascii="Barlow Semi Condensed" w:cs="Barlow Semi Condensed" w:eastAsia="Barlow Semi Condensed" w:hAnsi="Barlow Semi Condensed"/>
          <w:sz w:val="24"/>
          <w:szCs w:val="24"/>
        </w:rPr>
        <w:t xml:space="preserve"> katholisch.de — https://katholisch.de/artikel/54136-das-reichskonkordat-kontroversen-um-einen-teufelspakt (https://katholisch.de/artikel/54136-das-reichskonkordat-kontroversen-um-einen-teufelspakt)</w:t>
      </w:r>
    </w:p>
    <w:p>
      <w:pPr>
        <w:pStyle w:val="Heading3"/>
        <w:spacing w:after="80" w:before="160"/>
      </w:pPr>
      <w:r>
        <w:rPr>
          <w:rFonts w:ascii="Barlow Semi Condensed" w:cs="Barlow Semi Condensed" w:eastAsia="Barlow Semi Condensed" w:hAnsi="Barlow Semi Condensed"/>
          <w:sz w:val="24"/>
          <w:szCs w:val="24"/>
        </w:rPr>
        <w:t xml:space="preserve">Libro dodicesimo · V — Portogallo e Opus Dei</w:t>
      </w:r>
    </w:p>
    <w:p>
      <w:pPr>
        <w:spacing w:after="120" w:line="276"/>
        <w:jc w:val="both"/>
      </w:pPr>
      <w:r>
        <w:rPr>
          <w:rFonts w:ascii="Barlow Semi Condensed" w:cs="Barlow Semi Condensed" w:eastAsia="Barlow Semi Condensed" w:hAnsi="Barlow Semi Condensed"/>
          <w:b/>
          <w:bCs/>
          <w:sz w:val="24"/>
          <w:szCs w:val="24"/>
        </w:rPr>
        <w:t xml:space="preserve">356.</w:t>
      </w:r>
      <w:r>
        <w:rPr>
          <w:rFonts w:ascii="Barlow Semi Condensed" w:cs="Barlow Semi Condensed" w:eastAsia="Barlow Semi Condensed" w:hAnsi="Barlow Semi Condensed"/>
          <w:sz w:val="24"/>
          <w:szCs w:val="24"/>
        </w:rPr>
        <w:t xml:space="preserve"> CNN Portugal — https://cnnportugal.iol.pt/religiao/igreja-catolica/o-papa-francisco-usou-cilicio-entrevista-rara-do-lider-do-opus-dei-que-assume-acolhimento-de-homossexuais/20220205/61fd3b150cf2cc58e7e10649 (https://cnnportugal.iol.pt/religiao/igreja-catolica/o-papa-francisco-usou-cilicio-entrevista-rara-do-lider-do-opus-dei-que-assume-acolhimento-de-homossexuais/20220205/61fd3b150cf2cc58e7e10649) </w:t>
      </w:r>
      <w:r>
        <w:rPr>
          <w:rFonts w:ascii="Barlow Semi Condensed" w:cs="Barlow Semi Condensed" w:eastAsia="Barlow Semi Condensed" w:hAnsi="Barlow Semi Condensed"/>
          <w:i/>
          <w:iCs/>
          <w:sz w:val="24"/>
          <w:szCs w:val="24"/>
        </w:rPr>
        <w:t xml:space="preserve">(citato 2 volte)</w:t>
      </w:r>
    </w:p>
    <w:p>
      <w:pPr>
        <w:spacing w:after="120" w:line="276"/>
        <w:jc w:val="both"/>
      </w:pPr>
      <w:r>
        <w:rPr>
          <w:rFonts w:ascii="Barlow Semi Condensed" w:cs="Barlow Semi Condensed" w:eastAsia="Barlow Semi Condensed" w:hAnsi="Barlow Semi Condensed"/>
          <w:b/>
          <w:bCs/>
          <w:sz w:val="24"/>
          <w:szCs w:val="24"/>
        </w:rPr>
        <w:t xml:space="preserve">357.</w:t>
      </w:r>
      <w:r>
        <w:rPr>
          <w:rFonts w:ascii="Barlow Semi Condensed" w:cs="Barlow Semi Condensed" w:eastAsia="Barlow Semi Condensed" w:hAnsi="Barlow Semi Condensed"/>
          <w:sz w:val="24"/>
          <w:szCs w:val="24"/>
        </w:rPr>
        <w:t xml:space="preserve"> WOOK — https://www.wook.pt/livro/salazar-e-a-conspiracao-do-opus-dei-antonio-jose-vilela/10952303 (https://www.wook.pt/livro/salazar-e-a-conspiracao-do-opus-dei-antonio-jose-vilela/10952303)</w:t>
      </w:r>
    </w:p>
    <w:p>
      <w:pPr>
        <w:spacing w:after="120" w:line="276"/>
        <w:jc w:val="both"/>
      </w:pPr>
      <w:r>
        <w:rPr>
          <w:rFonts w:ascii="Barlow Semi Condensed" w:cs="Barlow Semi Condensed" w:eastAsia="Barlow Semi Condensed" w:hAnsi="Barlow Semi Condensed"/>
          <w:b/>
          <w:bCs/>
          <w:sz w:val="24"/>
          <w:szCs w:val="24"/>
        </w:rPr>
        <w:t xml:space="preserve">358.</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aldomoro.eu</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(citato in forma d'indirizzo, 7 volte)</w:t>
      </w:r>
    </w:p>
    <w:p>
      <w:pPr>
        <w:spacing w:after="120" w:line="276"/>
        <w:jc w:val="both"/>
      </w:pPr>
      <w:r>
        <w:rPr>
          <w:rFonts w:ascii="Barlow Semi Condensed" w:cs="Barlow Semi Condensed" w:eastAsia="Barlow Semi Condensed" w:hAnsi="Barlow Semi Condensed"/>
          <w:b/>
          <w:bCs/>
          <w:sz w:val="24"/>
          <w:szCs w:val="24"/>
        </w:rPr>
        <w:t xml:space="preserve">359.</w:t>
      </w:r>
      <w:r>
        <w:rPr>
          <w:rFonts w:ascii="Barlow Semi Condensed" w:cs="Barlow Semi Condensed" w:eastAsia="Barlow Semi Condensed" w:hAnsi="Barlow Semi Condensed"/>
          <w:sz w:val="24"/>
          <w:szCs w:val="24"/>
        </w:rPr>
        <w:t xml:space="preserve"> DN — https://www.dn.pt/sociedade/opus-dei-em-portugal-com-um-empurrao-da-irma-lucia--14256887.html (https://www.dn.pt/sociedade/opus-dei-em-portugal-com-um-empurrao-da-irma-lucia--14256887.html)</w:t>
      </w:r>
    </w:p>
    <w:p>
      <w:pPr>
        <w:spacing w:after="120" w:line="276"/>
        <w:jc w:val="both"/>
      </w:pPr>
      <w:r>
        <w:rPr>
          <w:rFonts w:ascii="Barlow Semi Condensed" w:cs="Barlow Semi Condensed" w:eastAsia="Barlow Semi Condensed" w:hAnsi="Barlow Semi Condensed"/>
          <w:b/>
          <w:bCs/>
          <w:sz w:val="24"/>
          <w:szCs w:val="24"/>
        </w:rPr>
        <w:t xml:space="preserve">360.</w:t>
      </w:r>
      <w:r>
        <w:rPr>
          <w:rFonts w:ascii="Barlow Semi Condensed" w:cs="Barlow Semi Condensed" w:eastAsia="Barlow Semi Condensed" w:hAnsi="Barlow Semi Condensed"/>
          <w:sz w:val="24"/>
          <w:szCs w:val="24"/>
        </w:rPr>
        <w:t xml:space="preserve"> Opus Dei — https://opusdei.org/pt-pt/article/historia-opus-dei-portugal/ (https://opusdei.org/pt-pt/article/historia-opus-dei-portugal/) </w:t>
      </w:r>
      <w:r>
        <w:rPr>
          <w:rFonts w:ascii="Barlow Semi Condensed" w:cs="Barlow Semi Condensed" w:eastAsia="Barlow Semi Condensed" w:hAnsi="Barlow Semi Condensed"/>
          <w:i/>
          <w:iCs/>
          <w:sz w:val="24"/>
          <w:szCs w:val="24"/>
        </w:rPr>
        <w:t xml:space="preserve">(citato 2 volte)</w:t>
      </w:r>
    </w:p>
    <w:p>
      <w:pPr>
        <w:spacing w:after="120" w:line="276"/>
        <w:jc w:val="both"/>
      </w:pPr>
      <w:r>
        <w:rPr>
          <w:rFonts w:ascii="Barlow Semi Condensed" w:cs="Barlow Semi Condensed" w:eastAsia="Barlow Semi Condensed" w:hAnsi="Barlow Semi Condensed"/>
          <w:b/>
          <w:bCs/>
          <w:sz w:val="24"/>
          <w:szCs w:val="24"/>
        </w:rPr>
        <w:t xml:space="preserve">361.</w:t>
      </w:r>
      <w:r>
        <w:rPr>
          <w:rFonts w:ascii="Barlow Semi Condensed" w:cs="Barlow Semi Condensed" w:eastAsia="Barlow Semi Condensed" w:hAnsi="Barlow Semi Condensed"/>
          <w:sz w:val="24"/>
          <w:szCs w:val="24"/>
        </w:rPr>
        <w:t xml:space="preserve"> ucp — https://journals.ucp.pt/index.php/lusitaniasacra/article/download/11811/11315 (https://journals.ucp.pt/index.php/lusitaniasacra/article/download/11811/11315) </w:t>
      </w:r>
      <w:r>
        <w:rPr>
          <w:rFonts w:ascii="Barlow Semi Condensed" w:cs="Barlow Semi Condensed" w:eastAsia="Barlow Semi Condensed" w:hAnsi="Barlow Semi Condensed"/>
          <w:i/>
          <w:iCs/>
          <w:sz w:val="24"/>
          <w:szCs w:val="24"/>
        </w:rPr>
        <w:t xml:space="preserve">(citato 4 volte)</w:t>
      </w:r>
    </w:p>
    <w:p>
      <w:pPr>
        <w:spacing w:after="120" w:line="276"/>
        <w:jc w:val="both"/>
      </w:pPr>
      <w:r>
        <w:rPr>
          <w:rFonts w:ascii="Barlow Semi Condensed" w:cs="Barlow Semi Condensed" w:eastAsia="Barlow Semi Condensed" w:hAnsi="Barlow Semi Condensed"/>
          <w:b/>
          <w:bCs/>
          <w:sz w:val="24"/>
          <w:szCs w:val="24"/>
        </w:rPr>
        <w:t xml:space="preserve">362.</w:t>
      </w:r>
      <w:r>
        <w:rPr>
          <w:rFonts w:ascii="Barlow Semi Condensed" w:cs="Barlow Semi Condensed" w:eastAsia="Barlow Semi Condensed" w:hAnsi="Barlow Semi Condensed"/>
          <w:sz w:val="24"/>
          <w:szCs w:val="24"/>
        </w:rPr>
        <w:t xml:space="preserve"> Sul 21 — https://sul21.com.br/opiniao/2011/07/infiltrados-no-estado-novo/ (https://sul21.com.br/opiniao/2011/07/infiltrados-no-estado-novo/) </w:t>
      </w:r>
      <w:r>
        <w:rPr>
          <w:rFonts w:ascii="Barlow Semi Condensed" w:cs="Barlow Semi Condensed" w:eastAsia="Barlow Semi Condensed" w:hAnsi="Barlow Semi Condensed"/>
          <w:i/>
          <w:iCs/>
          <w:sz w:val="24"/>
          <w:szCs w:val="24"/>
        </w:rPr>
        <w:t xml:space="preserve">(citato 2 volte)</w:t>
      </w:r>
    </w:p>
    <w:p>
      <w:pPr>
        <w:spacing w:after="120" w:line="276"/>
        <w:jc w:val="both"/>
      </w:pPr>
      <w:r>
        <w:rPr>
          <w:rFonts w:ascii="Barlow Semi Condensed" w:cs="Barlow Semi Condensed" w:eastAsia="Barlow Semi Condensed" w:hAnsi="Barlow Semi Condensed"/>
          <w:b/>
          <w:bCs/>
          <w:sz w:val="24"/>
          <w:szCs w:val="24"/>
        </w:rPr>
        <w:t xml:space="preserve">363.</w:t>
      </w:r>
      <w:r>
        <w:rPr>
          <w:rFonts w:ascii="Barlow Semi Condensed" w:cs="Barlow Semi Condensed" w:eastAsia="Barlow Semi Condensed" w:hAnsi="Barlow Semi Condensed"/>
          <w:sz w:val="24"/>
          <w:szCs w:val="24"/>
        </w:rPr>
        <w:t xml:space="preserve"> RTP — https://www.rtp.pt/noticias/pais/opus-dei-com-75-anos-em-portugal-e-uma-influencia-maior-do-que-os-1625-membros_n1358555 (https://www.rtp.pt/noticias/pais/opus-dei-com-75-anos-em-portugal-e-uma-influencia-maior-do-que-os-1625-membros_n1358555)</w:t>
      </w:r>
    </w:p>
    <w:p>
      <w:pPr>
        <w:spacing w:after="120" w:line="276"/>
        <w:jc w:val="both"/>
      </w:pPr>
      <w:r>
        <w:rPr>
          <w:rFonts w:ascii="Barlow Semi Condensed" w:cs="Barlow Semi Condensed" w:eastAsia="Barlow Semi Condensed" w:hAnsi="Barlow Semi Condensed"/>
          <w:b/>
          <w:bCs/>
          <w:sz w:val="24"/>
          <w:szCs w:val="24"/>
        </w:rPr>
        <w:t xml:space="preserve">364.</w:t>
      </w:r>
      <w:r>
        <w:rPr>
          <w:rFonts w:ascii="Barlow Semi Condensed" w:cs="Barlow Semi Condensed" w:eastAsia="Barlow Semi Condensed" w:hAnsi="Barlow Semi Condensed"/>
          <w:sz w:val="24"/>
          <w:szCs w:val="24"/>
        </w:rPr>
        <w:t xml:space="preserve"> Fnac — https://www.fnac.pt/Salazar-e-a-Conspiracao-do-Opus-Dei-Pedro-Ramos-Brandao/a361319 (https://www.fnac.pt/Salazar-e-a-Conspiracao-do-Opus-Dei-Pedro-Ramos-Brandao/a361319)</w:t>
      </w:r>
    </w:p>
    <w:p>
      <w:pPr>
        <w:spacing w:after="120" w:line="276"/>
        <w:jc w:val="both"/>
      </w:pPr>
      <w:r>
        <w:rPr>
          <w:rFonts w:ascii="Barlow Semi Condensed" w:cs="Barlow Semi Condensed" w:eastAsia="Barlow Semi Condensed" w:hAnsi="Barlow Semi Condensed"/>
          <w:b/>
          <w:bCs/>
          <w:sz w:val="24"/>
          <w:szCs w:val="24"/>
        </w:rPr>
        <w:t xml:space="preserve">365.</w:t>
      </w:r>
      <w:r>
        <w:rPr>
          <w:rFonts w:ascii="Barlow Semi Condensed" w:cs="Barlow Semi Condensed" w:eastAsia="Barlow Semi Condensed" w:hAnsi="Barlow Semi Condensed"/>
          <w:sz w:val="24"/>
          <w:szCs w:val="24"/>
        </w:rPr>
        <w:t xml:space="preserve"> Livraria Almedina — https://www.almedina.net/salazar-e-a-conspira-o-do-opus-dei-1563875565.html (https://www.almedina.net/salazar-e-a-conspira-o-do-opus-dei-1563875565.html) </w:t>
      </w:r>
      <w:r>
        <w:rPr>
          <w:rFonts w:ascii="Barlow Semi Condensed" w:cs="Barlow Semi Condensed" w:eastAsia="Barlow Semi Condensed" w:hAnsi="Barlow Semi Condensed"/>
          <w:i/>
          <w:iCs/>
          <w:sz w:val="24"/>
          <w:szCs w:val="24"/>
        </w:rPr>
        <w:t xml:space="preserve">(citato 2 volte)</w:t>
      </w:r>
    </w:p>
    <w:p>
      <w:pPr>
        <w:spacing w:after="120" w:line="276"/>
        <w:jc w:val="both"/>
      </w:pPr>
      <w:r>
        <w:rPr>
          <w:rFonts w:ascii="Barlow Semi Condensed" w:cs="Barlow Semi Condensed" w:eastAsia="Barlow Semi Condensed" w:hAnsi="Barlow Semi Condensed"/>
          <w:b/>
          <w:bCs/>
          <w:sz w:val="24"/>
          <w:szCs w:val="24"/>
        </w:rPr>
        <w:t xml:space="preserve">366.</w:t>
      </w:r>
      <w:r>
        <w:rPr>
          <w:rFonts w:ascii="Barlow Semi Condensed" w:cs="Barlow Semi Condensed" w:eastAsia="Barlow Semi Condensed" w:hAnsi="Barlow Semi Condensed"/>
          <w:sz w:val="24"/>
          <w:szCs w:val="24"/>
        </w:rPr>
        <w:t xml:space="preserve"> SÁBADO — https://www.sabado.pt/vida/detalhe/a-vigilancia-secreta-de-salazar-ao-opus-dei (https://www.sabado.pt/vida/detalhe/a-vigilancia-secreta-de-salazar-ao-opus-dei)</w:t>
      </w:r>
    </w:p>
    <w:p>
      <w:pPr>
        <w:spacing w:after="120" w:line="276"/>
        <w:jc w:val="both"/>
      </w:pPr>
      <w:r>
        <w:rPr>
          <w:rFonts w:ascii="Barlow Semi Condensed" w:cs="Barlow Semi Condensed" w:eastAsia="Barlow Semi Condensed" w:hAnsi="Barlow Semi Condensed"/>
          <w:b/>
          <w:bCs/>
          <w:sz w:val="24"/>
          <w:szCs w:val="24"/>
        </w:rPr>
        <w:t xml:space="preserve">367.</w:t>
      </w:r>
      <w:r>
        <w:rPr>
          <w:rFonts w:ascii="Barlow Semi Condensed" w:cs="Barlow Semi Condensed" w:eastAsia="Barlow Semi Condensed" w:hAnsi="Barlow Semi Condensed"/>
          <w:sz w:val="24"/>
          <w:szCs w:val="24"/>
        </w:rPr>
        <w:t xml:space="preserve"> Pro Roma Mariana — https://promariana.wordpress.com/2015/12/10/o-opus-dei-na-historia-de-fatima/ (https://promariana.wordpress.com/2015/12/10/o-opus-dei-na-historia-de-fatima/)</w:t>
      </w:r>
    </w:p>
    <w:p>
      <w:pPr>
        <w:spacing w:after="120" w:line="276"/>
        <w:jc w:val="both"/>
      </w:pPr>
      <w:r>
        <w:rPr>
          <w:rFonts w:ascii="Barlow Semi Condensed" w:cs="Barlow Semi Condensed" w:eastAsia="Barlow Semi Condensed" w:hAnsi="Barlow Semi Condensed"/>
          <w:b/>
          <w:bCs/>
          <w:sz w:val="24"/>
          <w:szCs w:val="24"/>
        </w:rPr>
        <w:t xml:space="preserve">368.</w:t>
      </w:r>
      <w:r>
        <w:rPr>
          <w:rFonts w:ascii="Barlow Semi Condensed" w:cs="Barlow Semi Condensed" w:eastAsia="Barlow Semi Condensed" w:hAnsi="Barlow Semi Condensed"/>
          <w:sz w:val="24"/>
          <w:szCs w:val="24"/>
        </w:rPr>
        <w:t xml:space="preserve"> Palrador D'el Rei — https://denunciation.wordpress.com/2011/06/22/%C2%ABsalazar-e-a-conspiracao-do-opus-dei%C2%BB-de-antonio-jose-vilela-e-pedro-ramos-brandao/ (https://denunciation.wordpress.com/2011/06/22/%C2%ABsalazar-e-a-conspiracao-do-opus-dei%C2%BB-de-antonio-jose-vilela-e-pedro-ramos-brandao/)</w:t>
      </w:r>
    </w:p>
    <w:p>
      <w:pPr>
        <w:spacing w:after="120" w:line="276"/>
        <w:jc w:val="both"/>
      </w:pPr>
      <w:r>
        <w:rPr>
          <w:rFonts w:ascii="Barlow Semi Condensed" w:cs="Barlow Semi Condensed" w:eastAsia="Barlow Semi Condensed" w:hAnsi="Barlow Semi Condensed"/>
          <w:b/>
          <w:bCs/>
          <w:sz w:val="24"/>
          <w:szCs w:val="24"/>
        </w:rPr>
        <w:t xml:space="preserve">369.</w:t>
      </w:r>
      <w:r>
        <w:rPr>
          <w:rFonts w:ascii="Barlow Semi Condensed" w:cs="Barlow Semi Condensed" w:eastAsia="Barlow Semi Condensed" w:hAnsi="Barlow Semi Condensed"/>
          <w:sz w:val="24"/>
          <w:szCs w:val="24"/>
        </w:rPr>
        <w:t xml:space="preserve"> Bertrand — https://www.bertrand.pt/livro/salazar-e-a-conspiracao-do-opus-dei-antonio-jose-vilela/10952303 (https://www.bertrand.pt/livro/salazar-e-a-conspiracao-do-opus-dei-antonio-jose-vilela/10952303)</w:t>
      </w:r>
    </w:p>
    <w:p>
      <w:pPr>
        <w:spacing w:after="120" w:line="276"/>
        <w:jc w:val="both"/>
      </w:pPr>
      <w:r>
        <w:rPr>
          <w:rFonts w:ascii="Barlow Semi Condensed" w:cs="Barlow Semi Condensed" w:eastAsia="Barlow Semi Condensed" w:hAnsi="Barlow Semi Condensed"/>
          <w:b/>
          <w:bCs/>
          <w:sz w:val="24"/>
          <w:szCs w:val="24"/>
        </w:rPr>
        <w:t xml:space="preserve">370.</w:t>
      </w:r>
      <w:r>
        <w:rPr>
          <w:rFonts w:ascii="Barlow Semi Condensed" w:cs="Barlow Semi Condensed" w:eastAsia="Barlow Semi Condensed" w:hAnsi="Barlow Semi Condensed"/>
          <w:sz w:val="24"/>
          <w:szCs w:val="24"/>
        </w:rPr>
        <w:t xml:space="preserve"> Recursosacademicos — https://www.recursosacademicos.net/tecnocratas-del-opus-dei/ (https://www.recursosacademicos.net/tecnocratas-del-opus-dei/)</w:t>
      </w:r>
    </w:p>
    <w:p>
      <w:pPr>
        <w:spacing w:after="120" w:line="276"/>
        <w:jc w:val="both"/>
      </w:pPr>
      <w:r>
        <w:rPr>
          <w:rFonts w:ascii="Barlow Semi Condensed" w:cs="Barlow Semi Condensed" w:eastAsia="Barlow Semi Condensed" w:hAnsi="Barlow Semi Condensed"/>
          <w:b/>
          <w:bCs/>
          <w:sz w:val="24"/>
          <w:szCs w:val="24"/>
        </w:rPr>
        <w:t xml:space="preserve">371.</w:t>
      </w:r>
      <w:r>
        <w:rPr>
          <w:rFonts w:ascii="Barlow Semi Condensed" w:cs="Barlow Semi Condensed" w:eastAsia="Barlow Semi Condensed" w:hAnsi="Barlow Semi Condensed"/>
          <w:sz w:val="24"/>
          <w:szCs w:val="24"/>
        </w:rPr>
        <w:t xml:space="preserve"> U.S. Department of State — https://history.state.gov/historicaldocuments/frus1969-76v41/d303 (https://history.state.gov/historicaldocuments/frus1969-76v41/d303) </w:t>
      </w:r>
      <w:r>
        <w:rPr>
          <w:rFonts w:ascii="Barlow Semi Condensed" w:cs="Barlow Semi Condensed" w:eastAsia="Barlow Semi Condensed" w:hAnsi="Barlow Semi Condensed"/>
          <w:i/>
          <w:iCs/>
          <w:sz w:val="24"/>
          <w:szCs w:val="24"/>
        </w:rPr>
        <w:t xml:space="preserve">(citato 2 volte)</w:t>
      </w:r>
    </w:p>
    <w:p>
      <w:pPr>
        <w:spacing w:after="120" w:line="276"/>
        <w:jc w:val="both"/>
      </w:pPr>
      <w:r>
        <w:rPr>
          <w:rFonts w:ascii="Barlow Semi Condensed" w:cs="Barlow Semi Condensed" w:eastAsia="Barlow Semi Condensed" w:hAnsi="Barlow Semi Condensed"/>
          <w:b/>
          <w:bCs/>
          <w:sz w:val="24"/>
          <w:szCs w:val="24"/>
        </w:rPr>
        <w:t xml:space="preserve">372.</w:t>
      </w:r>
      <w:r>
        <w:rPr>
          <w:rFonts w:ascii="Barlow Semi Condensed" w:cs="Barlow Semi Condensed" w:eastAsia="Barlow Semi Condensed" w:hAnsi="Barlow Semi Condensed"/>
          <w:sz w:val="24"/>
          <w:szCs w:val="24"/>
        </w:rPr>
        <w:t xml:space="preserve"> Contrainformacion — https://contrainformacion.es/opus-dei-y-los-ministros-miembros/ (https://contrainformacion.es/opus-dei-y-los-ministros-miembros/)</w:t>
      </w:r>
    </w:p>
    <w:p>
      <w:pPr>
        <w:spacing w:after="120" w:line="276"/>
        <w:jc w:val="both"/>
      </w:pPr>
      <w:r>
        <w:rPr>
          <w:rFonts w:ascii="Barlow Semi Condensed" w:cs="Barlow Semi Condensed" w:eastAsia="Barlow Semi Condensed" w:hAnsi="Barlow Semi Condensed"/>
          <w:b/>
          <w:bCs/>
          <w:sz w:val="24"/>
          <w:szCs w:val="24"/>
        </w:rPr>
        <w:t xml:space="preserve">373.</w:t>
      </w:r>
      <w:r>
        <w:rPr>
          <w:rFonts w:ascii="Barlow Semi Condensed" w:cs="Barlow Semi Condensed" w:eastAsia="Barlow Semi Condensed" w:hAnsi="Barlow Semi Condensed"/>
          <w:sz w:val="24"/>
          <w:szCs w:val="24"/>
        </w:rPr>
        <w:t xml:space="preserve"> Religión en Libertad — https://www.religionenlibertad.com/cultura/150215/ni-todos-los-tecnocratas-fueron-del-opus-dei-ni-todos-los_32125.html (https://www.religionenlibertad.com/cultura/150215/ni-todos-los-tecnocratas-fueron-del-opus-dei-ni-todos-los_32125.html)</w:t>
      </w:r>
    </w:p>
    <w:p>
      <w:pPr>
        <w:spacing w:after="120" w:line="276"/>
        <w:jc w:val="both"/>
      </w:pPr>
      <w:r>
        <w:rPr>
          <w:rFonts w:ascii="Barlow Semi Condensed" w:cs="Barlow Semi Condensed" w:eastAsia="Barlow Semi Condensed" w:hAnsi="Barlow Semi Condensed"/>
          <w:b/>
          <w:bCs/>
          <w:sz w:val="24"/>
          <w:szCs w:val="24"/>
        </w:rPr>
        <w:t xml:space="preserve">374.</w:t>
      </w:r>
      <w:r>
        <w:rPr>
          <w:rFonts w:ascii="Barlow Semi Condensed" w:cs="Barlow Semi Condensed" w:eastAsia="Barlow Semi Condensed" w:hAnsi="Barlow Semi Condensed"/>
          <w:sz w:val="24"/>
          <w:szCs w:val="24"/>
        </w:rPr>
        <w:t xml:space="preserve"> ECCLESIA — https://agencia.ecclesia.pt/portal/vaticano-ii-portugal-o-mundo-e-a-convocacao-do-concilio/ (https://agencia.ecclesia.pt/portal/vaticano-ii-portugal-o-mundo-e-a-convocacao-do-concilio/)</w:t>
      </w:r>
    </w:p>
    <w:p>
      <w:pPr>
        <w:spacing w:after="120" w:line="276"/>
        <w:jc w:val="both"/>
      </w:pPr>
      <w:r>
        <w:rPr>
          <w:rFonts w:ascii="Barlow Semi Condensed" w:cs="Barlow Semi Condensed" w:eastAsia="Barlow Semi Condensed" w:hAnsi="Barlow Semi Condensed"/>
          <w:b/>
          <w:bCs/>
          <w:sz w:val="24"/>
          <w:szCs w:val="24"/>
        </w:rPr>
        <w:t xml:space="preserve">375.</w:t>
      </w:r>
      <w:r>
        <w:rPr>
          <w:rFonts w:ascii="Barlow Semi Condensed" w:cs="Barlow Semi Condensed" w:eastAsia="Barlow Semi Condensed" w:hAnsi="Barlow Semi Condensed"/>
          <w:sz w:val="24"/>
          <w:szCs w:val="24"/>
        </w:rPr>
        <w:t xml:space="preserve"> RUN — https://run.unl.pt/entities/publication/4bd29800-b1ac-4187-bcc6-897130f67b44 (https://run.unl.pt/entities/publication/4bd29800-b1ac-4187-bcc6-897130f67b44)</w:t>
      </w:r>
    </w:p>
    <w:p>
      <w:pPr>
        <w:spacing w:after="120" w:line="276"/>
        <w:jc w:val="both"/>
      </w:pPr>
      <w:r>
        <w:rPr>
          <w:rFonts w:ascii="Barlow Semi Condensed" w:cs="Barlow Semi Condensed" w:eastAsia="Barlow Semi Condensed" w:hAnsi="Barlow Semi Condensed"/>
          <w:b/>
          <w:bCs/>
          <w:sz w:val="24"/>
          <w:szCs w:val="24"/>
        </w:rPr>
        <w:t xml:space="preserve">376.</w:t>
      </w:r>
      <w:r>
        <w:rPr>
          <w:rFonts w:ascii="Barlow Semi Condensed" w:cs="Barlow Semi Condensed" w:eastAsia="Barlow Semi Condensed" w:hAnsi="Barlow Semi Condensed"/>
          <w:sz w:val="24"/>
          <w:szCs w:val="24"/>
        </w:rPr>
        <w:t xml:space="preserve"> Revistas Científicas da UCP — https://revistas.ucp.pt/index.php/lusitaniasacra/article/view/16035 (https://revistas.ucp.pt/index.php/lusitaniasacra/article/view/16035)</w:t>
      </w:r>
    </w:p>
    <w:p>
      <w:pPr>
        <w:spacing w:after="120" w:line="276"/>
        <w:jc w:val="both"/>
      </w:pPr>
      <w:r>
        <w:rPr>
          <w:rFonts w:ascii="Barlow Semi Condensed" w:cs="Barlow Semi Condensed" w:eastAsia="Barlow Semi Condensed" w:hAnsi="Barlow Semi Condensed"/>
          <w:b/>
          <w:bCs/>
          <w:sz w:val="24"/>
          <w:szCs w:val="24"/>
        </w:rPr>
        <w:t xml:space="preserve">377.</w:t>
      </w:r>
      <w:r>
        <w:rPr>
          <w:rFonts w:ascii="Barlow Semi Condensed" w:cs="Barlow Semi Condensed" w:eastAsia="Barlow Semi Condensed" w:hAnsi="Barlow Semi Condensed"/>
          <w:sz w:val="24"/>
          <w:szCs w:val="24"/>
        </w:rPr>
        <w:t xml:space="preserve"> Guerracolonial — https://guerracolonial.pt/1970-a-ilusao-das-grandes-operacoes/a-igreja-catolica-e-a-guerra-colonial/ (https://guerracolonial.pt/1970-a-ilusao-das-grandes-operacoes/a-igreja-catolica-e-a-guerra-colonial/)</w:t>
      </w:r>
    </w:p>
    <w:p>
      <w:pPr>
        <w:spacing w:after="120" w:line="276"/>
        <w:jc w:val="both"/>
      </w:pPr>
      <w:r>
        <w:rPr>
          <w:rFonts w:ascii="Barlow Semi Condensed" w:cs="Barlow Semi Condensed" w:eastAsia="Barlow Semi Condensed" w:hAnsi="Barlow Semi Condensed"/>
          <w:b/>
          <w:bCs/>
          <w:sz w:val="24"/>
          <w:szCs w:val="24"/>
        </w:rPr>
        <w:t xml:space="preserve">378.</w:t>
      </w:r>
      <w:r>
        <w:rPr>
          <w:rFonts w:ascii="Barlow Semi Condensed" w:cs="Barlow Semi Condensed" w:eastAsia="Barlow Semi Condensed" w:hAnsi="Barlow Semi Condensed"/>
          <w:sz w:val="24"/>
          <w:szCs w:val="24"/>
        </w:rPr>
        <w:t xml:space="preserve"> Parlamento — https://www.parlamento.pt/VisitaParlamento/Paginas/BiogAdelinoAmarodaCosta.aspx (https://www.parlamento.pt/VisitaParlamento/Paginas/BiogAdelinoAmarodaCosta.aspx)</w:t>
      </w:r>
    </w:p>
    <w:p>
      <w:pPr>
        <w:spacing w:after="120" w:line="276"/>
        <w:jc w:val="both"/>
      </w:pPr>
      <w:r>
        <w:rPr>
          <w:rFonts w:ascii="Barlow Semi Condensed" w:cs="Barlow Semi Condensed" w:eastAsia="Barlow Semi Condensed" w:hAnsi="Barlow Semi Condensed"/>
          <w:b/>
          <w:bCs/>
          <w:sz w:val="24"/>
          <w:szCs w:val="24"/>
        </w:rPr>
        <w:t xml:space="preserve">379.</w:t>
      </w:r>
      <w:r>
        <w:rPr>
          <w:rFonts w:ascii="Barlow Semi Condensed" w:cs="Barlow Semi Condensed" w:eastAsia="Barlow Semi Condensed" w:hAnsi="Barlow Semi Condensed"/>
          <w:sz w:val="24"/>
          <w:szCs w:val="24"/>
        </w:rPr>
        <w:t xml:space="preserve"> Infopedia — https://www.infopedia.pt/artigos/%24adelino-amaro-da-costa (https://www.infopedia.pt/artigos/%24adelino-amaro-da-costa) </w:t>
      </w:r>
      <w:r>
        <w:rPr>
          <w:rFonts w:ascii="Barlow Semi Condensed" w:cs="Barlow Semi Condensed" w:eastAsia="Barlow Semi Condensed" w:hAnsi="Barlow Semi Condensed"/>
          <w:i/>
          <w:iCs/>
          <w:sz w:val="24"/>
          <w:szCs w:val="24"/>
        </w:rPr>
        <w:t xml:space="preserve">(citato 2 volte)</w:t>
      </w:r>
    </w:p>
    <w:p>
      <w:pPr>
        <w:spacing w:after="120" w:line="276"/>
        <w:jc w:val="both"/>
      </w:pPr>
      <w:r>
        <w:rPr>
          <w:rFonts w:ascii="Barlow Semi Condensed" w:cs="Barlow Semi Condensed" w:eastAsia="Barlow Semi Condensed" w:hAnsi="Barlow Semi Condensed"/>
          <w:b/>
          <w:bCs/>
          <w:sz w:val="24"/>
          <w:szCs w:val="24"/>
        </w:rPr>
        <w:t xml:space="preserve">380.</w:t>
      </w:r>
      <w:r>
        <w:rPr>
          <w:rFonts w:ascii="Barlow Semi Condensed" w:cs="Barlow Semi Condensed" w:eastAsia="Barlow Semi Condensed" w:hAnsi="Barlow Semi Condensed"/>
          <w:sz w:val="24"/>
          <w:szCs w:val="24"/>
        </w:rPr>
        <w:t xml:space="preserve"> ucp — https://revistas.ucp.pt/index.php/povoseculturas/article/download/8975/8843 (https://revistas.ucp.pt/index.php/povoseculturas/article/download/8975/8843) </w:t>
      </w:r>
      <w:r>
        <w:rPr>
          <w:rFonts w:ascii="Barlow Semi Condensed" w:cs="Barlow Semi Condensed" w:eastAsia="Barlow Semi Condensed" w:hAnsi="Barlow Semi Condensed"/>
          <w:i/>
          <w:iCs/>
          <w:sz w:val="24"/>
          <w:szCs w:val="24"/>
        </w:rPr>
        <w:t xml:space="preserve">(citato 2 volte)</w:t>
      </w:r>
    </w:p>
    <w:p>
      <w:pPr>
        <w:spacing w:after="120" w:line="276"/>
        <w:jc w:val="both"/>
      </w:pPr>
      <w:r>
        <w:rPr>
          <w:rFonts w:ascii="Barlow Semi Condensed" w:cs="Barlow Semi Condensed" w:eastAsia="Barlow Semi Condensed" w:hAnsi="Barlow Semi Condensed"/>
          <w:b/>
          <w:bCs/>
          <w:sz w:val="24"/>
          <w:szCs w:val="24"/>
        </w:rPr>
        <w:t xml:space="preserve">381.</w:t>
      </w:r>
      <w:r>
        <w:rPr>
          <w:rFonts w:ascii="Barlow Semi Condensed" w:cs="Barlow Semi Condensed" w:eastAsia="Barlow Semi Condensed" w:hAnsi="Barlow Semi Condensed"/>
          <w:sz w:val="24"/>
          <w:szCs w:val="24"/>
        </w:rPr>
        <w:t xml:space="preserve"> Livraria Almedina +2 — https://www.almedina.net/adelino-amaro-da-costa-hist-rias-de-uma-vida-interrompida-1563875470.html (https://www.almedina.net/adelino-amaro-da-costa-hist-rias-de-uma-vida-interrompida-1563875470.html)</w:t>
      </w:r>
    </w:p>
    <w:p>
      <w:pPr>
        <w:spacing w:after="120" w:line="276"/>
        <w:jc w:val="both"/>
      </w:pPr>
      <w:r>
        <w:rPr>
          <w:rFonts w:ascii="Barlow Semi Condensed" w:cs="Barlow Semi Condensed" w:eastAsia="Barlow Semi Condensed" w:hAnsi="Barlow Semi Condensed"/>
          <w:b/>
          <w:bCs/>
          <w:sz w:val="24"/>
          <w:szCs w:val="24"/>
        </w:rPr>
        <w:t xml:space="preserve">382.</w:t>
      </w:r>
      <w:r>
        <w:rPr>
          <w:rFonts w:ascii="Barlow Semi Condensed" w:cs="Barlow Semi Condensed" w:eastAsia="Barlow Semi Condensed" w:hAnsi="Barlow Semi Condensed"/>
          <w:sz w:val="24"/>
          <w:szCs w:val="24"/>
        </w:rPr>
        <w:t xml:space="preserve"> Nuovarivistastorica — https://nuovarivistastorica.it/?p=7636 (https://nuovarivistastorica.it/?p=7636)</w:t>
      </w:r>
    </w:p>
    <w:p>
      <w:pPr>
        <w:spacing w:after="120" w:line="276"/>
        <w:jc w:val="both"/>
      </w:pPr>
      <w:r>
        <w:rPr>
          <w:rFonts w:ascii="Barlow Semi Condensed" w:cs="Barlow Semi Condensed" w:eastAsia="Barlow Semi Condensed" w:hAnsi="Barlow Semi Condensed"/>
          <w:b/>
          <w:bCs/>
          <w:sz w:val="24"/>
          <w:szCs w:val="24"/>
        </w:rPr>
        <w:t xml:space="preserve">383.</w:t>
      </w:r>
      <w:r>
        <w:rPr>
          <w:rFonts w:ascii="Barlow Semi Condensed" w:cs="Barlow Semi Condensed" w:eastAsia="Barlow Semi Condensed" w:hAnsi="Barlow Semi Condensed"/>
          <w:sz w:val="24"/>
          <w:szCs w:val="24"/>
        </w:rPr>
        <w:t xml:space="preserve"> state — https://history.state.gov/historicaldocuments/frus1969-76ve15p2/d153 (https://history.state.gov/historicaldocuments/frus1969-76ve15p2/d153)</w:t>
      </w:r>
    </w:p>
    <w:p>
      <w:pPr>
        <w:spacing w:after="120" w:line="276"/>
        <w:jc w:val="both"/>
      </w:pPr>
      <w:r>
        <w:rPr>
          <w:rFonts w:ascii="Barlow Semi Condensed" w:cs="Barlow Semi Condensed" w:eastAsia="Barlow Semi Condensed" w:hAnsi="Barlow Semi Condensed"/>
          <w:b/>
          <w:bCs/>
          <w:sz w:val="24"/>
          <w:szCs w:val="24"/>
        </w:rPr>
        <w:t xml:space="preserve">384.</w:t>
      </w:r>
      <w:r>
        <w:rPr>
          <w:rFonts w:ascii="Barlow Semi Condensed" w:cs="Barlow Semi Condensed" w:eastAsia="Barlow Semi Condensed" w:hAnsi="Barlow Semi Condensed"/>
          <w:sz w:val="24"/>
          <w:szCs w:val="24"/>
        </w:rPr>
        <w:t xml:space="preserve"> Quotidiano Nazionale — https://www.quotidiano.net/cronaca/aldo-moro-libro-iannuzzi-losacco-vk0b33xf (https://www.quotidiano.net/cronaca/aldo-moro-libro-iannuzzi-losacco-vk0b33xf)</w:t>
      </w:r>
    </w:p>
    <w:p>
      <w:pPr>
        <w:spacing w:after="120" w:line="276"/>
        <w:jc w:val="both"/>
      </w:pPr>
      <w:r>
        <w:rPr>
          <w:rFonts w:ascii="Barlow Semi Condensed" w:cs="Barlow Semi Condensed" w:eastAsia="Barlow Semi Condensed" w:hAnsi="Barlow Semi Condensed"/>
          <w:b/>
          <w:bCs/>
          <w:sz w:val="24"/>
          <w:szCs w:val="24"/>
        </w:rPr>
        <w:t xml:space="preserve">385.</w:t>
      </w:r>
      <w:r>
        <w:rPr>
          <w:rFonts w:ascii="Barlow Semi Condensed" w:cs="Barlow Semi Condensed" w:eastAsia="Barlow Semi Condensed" w:hAnsi="Barlow Semi Condensed"/>
          <w:sz w:val="24"/>
          <w:szCs w:val="24"/>
        </w:rPr>
        <w:t xml:space="preserve"> Fox News — https://www.foxnews.com/politics/consumer-group-helps-student-suing-cia-over-opus-dei-records.amp (https://www.foxnews.com/politics/consumer-group-helps-student-suing-cia-over-opus-dei-records.amp)</w:t>
      </w:r>
    </w:p>
    <w:p>
      <w:pPr>
        <w:spacing w:after="120" w:line="276"/>
        <w:jc w:val="both"/>
      </w:pPr>
      <w:r>
        <w:rPr>
          <w:rFonts w:ascii="Barlow Semi Condensed" w:cs="Barlow Semi Condensed" w:eastAsia="Barlow Semi Condensed" w:hAnsi="Barlow Semi Condensed"/>
          <w:b/>
          <w:bCs/>
          <w:sz w:val="24"/>
          <w:szCs w:val="24"/>
        </w:rPr>
        <w:t xml:space="preserve">386.</w:t>
      </w:r>
      <w:r>
        <w:rPr>
          <w:rFonts w:ascii="Barlow Semi Condensed" w:cs="Barlow Semi Condensed" w:eastAsia="Barlow Semi Condensed" w:hAnsi="Barlow Semi Condensed"/>
          <w:sz w:val="24"/>
          <w:szCs w:val="24"/>
        </w:rPr>
        <w:t xml:space="preserve"> cia — https://cia.gov/readingroom/docs/MARCELO%20CAETANO%20%28PORTUGAL%5B15678188%5D.pdf (https://cia.gov/readingroom/docs/MARCELO%20CAETANO%20%28PORTUGAL%5B15678188%5D.pdf)</w:t>
      </w:r>
    </w:p>
    <w:p>
      <w:pPr>
        <w:spacing w:after="120" w:line="276"/>
        <w:jc w:val="both"/>
      </w:pPr>
      <w:r>
        <w:rPr>
          <w:rFonts w:ascii="Barlow Semi Condensed" w:cs="Barlow Semi Condensed" w:eastAsia="Barlow Semi Condensed" w:hAnsi="Barlow Semi Condensed"/>
          <w:b/>
          <w:bCs/>
          <w:sz w:val="24"/>
          <w:szCs w:val="24"/>
        </w:rPr>
        <w:t xml:space="preserve">387.</w:t>
      </w:r>
      <w:r>
        <w:rPr>
          <w:rFonts w:ascii="Barlow Semi Condensed" w:cs="Barlow Semi Condensed" w:eastAsia="Barlow Semi Condensed" w:hAnsi="Barlow Semi Condensed"/>
          <w:sz w:val="24"/>
          <w:szCs w:val="24"/>
        </w:rPr>
        <w:t xml:space="preserve"> cia — https://www.cia.gov/readingroom/docs/MARCELO%20CAETANO%20%28PORTUGAL%5B15678189%5D.pdf (https://www.cia.gov/readingroom/docs/MARCELO%20CAETANO%20%28PORTUGAL%5B15678189%5D.pdf)</w:t>
      </w:r>
    </w:p>
    <w:p>
      <w:pPr>
        <w:spacing w:after="120" w:line="276"/>
        <w:jc w:val="both"/>
      </w:pPr>
      <w:r>
        <w:rPr>
          <w:rFonts w:ascii="Barlow Semi Condensed" w:cs="Barlow Semi Condensed" w:eastAsia="Barlow Semi Condensed" w:hAnsi="Barlow Semi Condensed"/>
          <w:b/>
          <w:bCs/>
          <w:sz w:val="24"/>
          <w:szCs w:val="24"/>
        </w:rPr>
        <w:t xml:space="preserve">388.</w:t>
      </w:r>
      <w:r>
        <w:rPr>
          <w:rFonts w:ascii="Barlow Semi Condensed" w:cs="Barlow Semi Condensed" w:eastAsia="Barlow Semi Condensed" w:hAnsi="Barlow Semi Condensed"/>
          <w:sz w:val="24"/>
          <w:szCs w:val="24"/>
        </w:rPr>
        <w:t xml:space="preserve"> state — https://history.state.gov/historicaldocuments/frus1969-76ve15p2Ed2 (https://history.state.gov/historicaldocuments/frus1969-76ve15p2Ed2)</w:t>
      </w:r>
    </w:p>
    <w:p>
      <w:pPr>
        <w:spacing w:after="120" w:line="276"/>
        <w:jc w:val="both"/>
      </w:pPr>
      <w:r>
        <w:rPr>
          <w:rFonts w:ascii="Barlow Semi Condensed" w:cs="Barlow Semi Condensed" w:eastAsia="Barlow Semi Condensed" w:hAnsi="Barlow Semi Condensed"/>
          <w:b/>
          <w:bCs/>
          <w:sz w:val="24"/>
          <w:szCs w:val="24"/>
        </w:rPr>
        <w:t xml:space="preserve">389.</w:t>
      </w:r>
      <w:r>
        <w:rPr>
          <w:rFonts w:ascii="Barlow Semi Condensed" w:cs="Barlow Semi Condensed" w:eastAsia="Barlow Semi Condensed" w:hAnsi="Barlow Semi Condensed"/>
          <w:sz w:val="24"/>
          <w:szCs w:val="24"/>
        </w:rPr>
        <w:t xml:space="preserve"> Dglab — https://antt.dglab.gov.pt/servicos/leitura-e-referencia/ (https://antt.dglab.gov.pt/servicos/leitura-e-referencia/) </w:t>
      </w:r>
      <w:r>
        <w:rPr>
          <w:rFonts w:ascii="Barlow Semi Condensed" w:cs="Barlow Semi Condensed" w:eastAsia="Barlow Semi Condensed" w:hAnsi="Barlow Semi Condensed"/>
          <w:i/>
          <w:iCs/>
          <w:sz w:val="24"/>
          <w:szCs w:val="24"/>
        </w:rPr>
        <w:t xml:space="preserve">(citato 3 volte)</w:t>
      </w:r>
    </w:p>
    <w:p>
      <w:pPr>
        <w:spacing w:after="120" w:line="276"/>
        <w:jc w:val="both"/>
      </w:pPr>
      <w:r>
        <w:rPr>
          <w:rFonts w:ascii="Barlow Semi Condensed" w:cs="Barlow Semi Condensed" w:eastAsia="Barlow Semi Condensed" w:hAnsi="Barlow Semi Condensed"/>
          <w:b/>
          <w:bCs/>
          <w:sz w:val="24"/>
          <w:szCs w:val="24"/>
        </w:rPr>
        <w:t xml:space="preserve">390.</w:t>
      </w:r>
      <w:r>
        <w:rPr>
          <w:rFonts w:ascii="Barlow Semi Condensed" w:cs="Barlow Semi Condensed" w:eastAsia="Barlow Semi Condensed" w:hAnsi="Barlow Semi Condensed"/>
          <w:sz w:val="24"/>
          <w:szCs w:val="24"/>
        </w:rPr>
        <w:t xml:space="preserve"> TSF Rádio Notícias — https://www.tsf.pt/sociedade/artigo/metade-do-arquivo-da-pide-nunca-foi-consultado-e-um-mundo-por-descobrir/10825928 (https://www.tsf.pt/sociedade/artigo/metade-do-arquivo-da-pide-nunca-foi-consultado-e-um-mundo-por-descobrir/10825928)</w:t>
      </w:r>
    </w:p>
    <w:p>
      <w:pPr>
        <w:spacing w:after="120" w:line="276"/>
        <w:jc w:val="both"/>
      </w:pPr>
      <w:r>
        <w:rPr>
          <w:rFonts w:ascii="Barlow Semi Condensed" w:cs="Barlow Semi Condensed" w:eastAsia="Barlow Semi Condensed" w:hAnsi="Barlow Semi Condensed"/>
          <w:b/>
          <w:bCs/>
          <w:sz w:val="24"/>
          <w:szCs w:val="24"/>
        </w:rPr>
        <w:t xml:space="preserve">391.</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idi.mne.gov</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(citato in forma d'indirizzo)</w:t>
      </w:r>
    </w:p>
    <w:p>
      <w:pPr>
        <w:pStyle w:val="Heading3"/>
        <w:spacing w:after="80" w:before="160"/>
      </w:pPr>
      <w:r>
        <w:rPr>
          <w:rFonts w:ascii="Barlow Semi Condensed" w:cs="Barlow Semi Condensed" w:eastAsia="Barlow Semi Condensed" w:hAnsi="Barlow Semi Condensed"/>
          <w:sz w:val="24"/>
          <w:szCs w:val="24"/>
        </w:rPr>
        <w:t xml:space="preserve">Libro dodicesimo · VI — Portogallo e Santa Sede 1969-1974</w:t>
      </w:r>
    </w:p>
    <w:p>
      <w:pPr>
        <w:spacing w:after="120" w:line="276"/>
        <w:jc w:val="both"/>
      </w:pPr>
      <w:r>
        <w:rPr>
          <w:rFonts w:ascii="Barlow Semi Condensed" w:cs="Barlow Semi Condensed" w:eastAsia="Barlow Semi Condensed" w:hAnsi="Barlow Semi Condensed"/>
          <w:b/>
          <w:bCs/>
          <w:sz w:val="24"/>
          <w:szCs w:val="24"/>
        </w:rPr>
        <w:t xml:space="preserve">392.</w:t>
      </w:r>
      <w:r>
        <w:rPr>
          <w:rFonts w:ascii="Barlow Semi Condensed" w:cs="Barlow Semi Condensed" w:eastAsia="Barlow Semi Condensed" w:hAnsi="Barlow Semi Condensed"/>
          <w:sz w:val="24"/>
          <w:szCs w:val="24"/>
        </w:rPr>
        <w:t xml:space="preserve"> Unibo — https://aldomorodigitale.unibo.it/additionalResources/142/essay/Zampieri_vol4_notastorica.pdf (https://aldomorodigitale.unibo.it/additionalResources/142/essay/Zampieri_vol4_notastorica.pdf)</w:t>
      </w:r>
    </w:p>
    <w:p>
      <w:pPr>
        <w:spacing w:after="120" w:line="276"/>
        <w:jc w:val="both"/>
      </w:pPr>
      <w:r>
        <w:rPr>
          <w:rFonts w:ascii="Barlow Semi Condensed" w:cs="Barlow Semi Condensed" w:eastAsia="Barlow Semi Condensed" w:hAnsi="Barlow Semi Condensed"/>
          <w:b/>
          <w:bCs/>
          <w:sz w:val="24"/>
          <w:szCs w:val="24"/>
        </w:rPr>
        <w:t xml:space="preserve">393.</w:t>
      </w:r>
      <w:r>
        <w:rPr>
          <w:rFonts w:ascii="Barlow Semi Condensed" w:cs="Barlow Semi Condensed" w:eastAsia="Barlow Semi Condensed" w:hAnsi="Barlow Semi Condensed"/>
          <w:sz w:val="24"/>
          <w:szCs w:val="24"/>
        </w:rPr>
        <w:t xml:space="preserve"> Wikipedia — https://pt.wikipedia.org/wiki/Rela%C3%A7%C3%B5es_entre_It%C3%A1lia_e_Santa_S%C3%A9 (https://pt.wikipedia.org/wiki/Rela%C3%A7%C3%B5es_entre_It%C3%A1lia_e_Santa_S%C3%A9)</w:t>
      </w:r>
    </w:p>
    <w:p>
      <w:pPr>
        <w:spacing w:after="120" w:line="276"/>
        <w:jc w:val="both"/>
      </w:pPr>
      <w:r>
        <w:rPr>
          <w:rFonts w:ascii="Barlow Semi Condensed" w:cs="Barlow Semi Condensed" w:eastAsia="Barlow Semi Condensed" w:hAnsi="Barlow Semi Condensed"/>
          <w:b/>
          <w:bCs/>
          <w:sz w:val="24"/>
          <w:szCs w:val="24"/>
        </w:rPr>
        <w:t xml:space="preserve">394.</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air.unimi.it</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(citato in forma d'indirizzo)</w:t>
      </w:r>
    </w:p>
    <w:p>
      <w:pPr>
        <w:spacing w:after="120" w:line="276"/>
        <w:jc w:val="both"/>
      </w:pPr>
      <w:r>
        <w:rPr>
          <w:rFonts w:ascii="Barlow Semi Condensed" w:cs="Barlow Semi Condensed" w:eastAsia="Barlow Semi Condensed" w:hAnsi="Barlow Semi Condensed"/>
          <w:b/>
          <w:bCs/>
          <w:sz w:val="24"/>
          <w:szCs w:val="24"/>
        </w:rPr>
        <w:t xml:space="preserve">395.</w:t>
      </w:r>
      <w:r>
        <w:rPr>
          <w:rFonts w:ascii="Barlow Semi Condensed" w:cs="Barlow Semi Condensed" w:eastAsia="Barlow Semi Condensed" w:hAnsi="Barlow Semi Condensed"/>
          <w:sz w:val="24"/>
          <w:szCs w:val="24"/>
        </w:rPr>
        <w:t xml:space="preserve"> Università di Milano — https://air.unimi.it/retrieve/dfa8b9a2-2341-748b-e053-3a05fe0a3a96/Russo_ResistenzaContinua%20ST.pdf (https://air.unimi.it/retrieve/dfa8b9a2-2341-748b-e053-3a05fe0a3a96/Russo_ResistenzaContinua%20ST.pdf) </w:t>
      </w:r>
      <w:r>
        <w:rPr>
          <w:rFonts w:ascii="Barlow Semi Condensed" w:cs="Barlow Semi Condensed" w:eastAsia="Barlow Semi Condensed" w:hAnsi="Barlow Semi Condensed"/>
          <w:i/>
          <w:iCs/>
          <w:sz w:val="24"/>
          <w:szCs w:val="24"/>
        </w:rPr>
        <w:t xml:space="preserve">(citato 2 volte)</w:t>
      </w:r>
    </w:p>
    <w:p>
      <w:pPr>
        <w:spacing w:after="120" w:line="276"/>
        <w:jc w:val="both"/>
      </w:pPr>
      <w:r>
        <w:rPr>
          <w:rFonts w:ascii="Barlow Semi Condensed" w:cs="Barlow Semi Condensed" w:eastAsia="Barlow Semi Condensed" w:hAnsi="Barlow Semi Condensed"/>
          <w:b/>
          <w:bCs/>
          <w:sz w:val="24"/>
          <w:szCs w:val="24"/>
        </w:rPr>
        <w:t xml:space="preserve">396.</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patrimonio.aamod.it</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(citato in forma d'indirizzo)</w:t>
      </w:r>
    </w:p>
    <w:p>
      <w:pPr>
        <w:spacing w:after="120" w:line="276"/>
        <w:jc w:val="both"/>
      </w:pPr>
      <w:r>
        <w:rPr>
          <w:rFonts w:ascii="Barlow Semi Condensed" w:cs="Barlow Semi Condensed" w:eastAsia="Barlow Semi Condensed" w:hAnsi="Barlow Semi Condensed"/>
          <w:b/>
          <w:bCs/>
          <w:sz w:val="24"/>
          <w:szCs w:val="24"/>
        </w:rPr>
        <w:t xml:space="preserve">397.</w:t>
      </w:r>
      <w:r>
        <w:rPr>
          <w:rFonts w:ascii="Barlow Semi Condensed" w:cs="Barlow Semi Condensed" w:eastAsia="Barlow Semi Condensed" w:hAnsi="Barlow Semi Condensed"/>
          <w:sz w:val="24"/>
          <w:szCs w:val="24"/>
        </w:rPr>
        <w:t xml:space="preserve"> Confronti — https://confronti.net/2020/06/i-movimenti-di-liberazione-portoghesi-e-lincontro-con-paolo-vi/ (https://confronti.net/2020/06/i-movimenti-di-liberazione-portoghesi-e-lincontro-con-paolo-vi/) </w:t>
      </w:r>
      <w:r>
        <w:rPr>
          <w:rFonts w:ascii="Barlow Semi Condensed" w:cs="Barlow Semi Condensed" w:eastAsia="Barlow Semi Condensed" w:hAnsi="Barlow Semi Condensed"/>
          <w:i/>
          <w:iCs/>
          <w:sz w:val="24"/>
          <w:szCs w:val="24"/>
        </w:rPr>
        <w:t xml:space="preserve">(citato 3 volte)</w:t>
      </w:r>
    </w:p>
    <w:p>
      <w:pPr>
        <w:spacing w:after="120" w:line="276"/>
        <w:jc w:val="both"/>
      </w:pPr>
      <w:r>
        <w:rPr>
          <w:rFonts w:ascii="Barlow Semi Condensed" w:cs="Barlow Semi Condensed" w:eastAsia="Barlow Semi Condensed" w:hAnsi="Barlow Semi Condensed"/>
          <w:b/>
          <w:bCs/>
          <w:sz w:val="24"/>
          <w:szCs w:val="24"/>
        </w:rPr>
        <w:t xml:space="preserve">398.</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archivi.ibc.regione.emilia-romagna.it</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(citato in forma d'indirizzo)</w:t>
      </w:r>
    </w:p>
    <w:p>
      <w:pPr>
        <w:spacing w:after="120" w:line="276"/>
        <w:jc w:val="both"/>
      </w:pPr>
      <w:r>
        <w:rPr>
          <w:rFonts w:ascii="Barlow Semi Condensed" w:cs="Barlow Semi Condensed" w:eastAsia="Barlow Semi Condensed" w:hAnsi="Barlow Semi Condensed"/>
          <w:b/>
          <w:bCs/>
          <w:sz w:val="24"/>
          <w:szCs w:val="24"/>
        </w:rPr>
        <w:t xml:space="preserve">399.</w:t>
      </w:r>
      <w:r>
        <w:rPr>
          <w:rFonts w:ascii="Barlow Semi Condensed" w:cs="Barlow Semi Condensed" w:eastAsia="Barlow Semi Condensed" w:hAnsi="Barlow Semi Condensed"/>
          <w:sz w:val="24"/>
          <w:szCs w:val="24"/>
        </w:rPr>
        <w:t xml:space="preserve"> Regione — https://archivi.ibc.regione.emilia-romagna.it/ibc-cms/cms.find?flagfind=customXdamsTree&amp;id=IBCAS00590&amp;munu_str=0_1_1&amp;numDoc=7&amp;docStart=1&amp;backward=&amp;hierStatus=16%2C1%2C2%2C2%2C3%2Cfc1%2C0%2C1%2Cfc1%2C3%2C6de%2C6de%2C0%2C3ee%2C0%2C3%2C3ee%2C121%2C123%2C3%2C121%2C123%2C0&amp;docCount=25&amp;physDoc=289&amp;comune=Reggio+nell%EF%BF%BDEmilia (https://archivi.ibc.regione.emilia-romagna.it/ibc-cms/cms.find?flagfind=customXdamsTree&amp;id=IBCAS00590&amp;munu_str=0_1_1&amp;numDoc=7&amp;docStart=1&amp;backward=&amp;hierStatus=16%2C1%2C2%2C2%2C3%2Cfc1%2C0%2C1%2Cfc1%2C3%2C6de%2C6de%2C0%2C3ee%2C0%2C3%2C3ee%2C121%2C123%2C3%2C121%2C123%2C0&amp;docCount=25&amp;physDoc=289&amp;comune=Reggio+nell%EF%BF%BDEmilia)</w:t>
      </w:r>
    </w:p>
    <w:p>
      <w:pPr>
        <w:spacing w:after="120" w:line="276"/>
        <w:jc w:val="both"/>
      </w:pPr>
      <w:r>
        <w:rPr>
          <w:rFonts w:ascii="Barlow Semi Condensed" w:cs="Barlow Semi Condensed" w:eastAsia="Barlow Semi Condensed" w:hAnsi="Barlow Semi Condensed"/>
          <w:b/>
          <w:bCs/>
          <w:sz w:val="24"/>
          <w:szCs w:val="24"/>
        </w:rPr>
        <w:t xml:space="preserve">400.</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aics.gov.it</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(citato in forma d'indirizzo)</w:t>
      </w:r>
    </w:p>
    <w:p>
      <w:pPr>
        <w:spacing w:after="120" w:line="276"/>
        <w:jc w:val="both"/>
      </w:pPr>
      <w:r>
        <w:rPr>
          <w:rFonts w:ascii="Barlow Semi Condensed" w:cs="Barlow Semi Condensed" w:eastAsia="Barlow Semi Condensed" w:hAnsi="Barlow Semi Condensed"/>
          <w:b/>
          <w:bCs/>
          <w:sz w:val="24"/>
          <w:szCs w:val="24"/>
        </w:rPr>
        <w:t xml:space="preserve">401.</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livello9.it</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(citato in forma d'indirizzo)</w:t>
      </w:r>
    </w:p>
    <w:p>
      <w:pPr>
        <w:spacing w:after="120" w:line="276"/>
        <w:jc w:val="both"/>
      </w:pPr>
      <w:r>
        <w:rPr>
          <w:rFonts w:ascii="Barlow Semi Condensed" w:cs="Barlow Semi Condensed" w:eastAsia="Barlow Semi Condensed" w:hAnsi="Barlow Semi Condensed"/>
          <w:b/>
          <w:bCs/>
          <w:sz w:val="24"/>
          <w:szCs w:val="24"/>
        </w:rPr>
        <w:t xml:space="preserve">402.</w:t>
      </w:r>
      <w:r>
        <w:rPr>
          <w:rFonts w:ascii="Barlow Semi Condensed" w:cs="Barlow Semi Condensed" w:eastAsia="Barlow Semi Condensed" w:hAnsi="Barlow Semi Condensed"/>
          <w:sz w:val="24"/>
          <w:szCs w:val="24"/>
        </w:rPr>
        <w:t xml:space="preserve"> Livello9 — https://www.livello9.it/amicizia-reggio-africa/arcispedale-santa-maria-nuova (https://www.livello9.it/amicizia-reggio-africa/arcispedale-santa-maria-nuova)</w:t>
      </w:r>
    </w:p>
    <w:p>
      <w:pPr>
        <w:spacing w:after="120" w:line="276"/>
        <w:jc w:val="both"/>
      </w:pPr>
      <w:r>
        <w:rPr>
          <w:rFonts w:ascii="Barlow Semi Condensed" w:cs="Barlow Semi Condensed" w:eastAsia="Barlow Semi Condensed" w:hAnsi="Barlow Semi Condensed"/>
          <w:b/>
          <w:bCs/>
          <w:sz w:val="24"/>
          <w:szCs w:val="24"/>
        </w:rPr>
        <w:t xml:space="preserve">403.</w:t>
      </w:r>
      <w:r>
        <w:rPr>
          <w:rFonts w:ascii="Barlow Semi Condensed" w:cs="Barlow Semi Condensed" w:eastAsia="Barlow Semi Condensed" w:hAnsi="Barlow Semi Condensed"/>
          <w:sz w:val="24"/>
          <w:szCs w:val="24"/>
        </w:rPr>
        <w:t xml:space="preserve"> Oltremare — https://www.aics.gov.it/oltremare/articoli/partnership/samito-a-reggio-emilia-50-anni-dopo-viva-mocambique/ (https://www.aics.gov.it/oltremare/articoli/partnership/samito-a-reggio-emilia-50-anni-dopo-viva-mocambique/)</w:t>
      </w:r>
    </w:p>
    <w:p>
      <w:pPr>
        <w:spacing w:after="120" w:line="276"/>
        <w:jc w:val="both"/>
      </w:pPr>
      <w:r>
        <w:rPr>
          <w:rFonts w:ascii="Barlow Semi Condensed" w:cs="Barlow Semi Condensed" w:eastAsia="Barlow Semi Condensed" w:hAnsi="Barlow Semi Condensed"/>
          <w:b/>
          <w:bCs/>
          <w:sz w:val="24"/>
          <w:szCs w:val="24"/>
        </w:rPr>
        <w:t xml:space="preserve">404.</w:t>
      </w:r>
      <w:r>
        <w:rPr>
          <w:rFonts w:ascii="Barlow Semi Condensed" w:cs="Barlow Semi Condensed" w:eastAsia="Barlow Semi Condensed" w:hAnsi="Barlow Semi Condensed"/>
          <w:sz w:val="24"/>
          <w:szCs w:val="24"/>
        </w:rPr>
        <w:t xml:space="preserve"> Guerracolonial — https://guerracolonial.pt/1972-negar-uma-solucao-politica-para-a-guerra/wiriyamu-de-mocambique-para-o-mundo/ (https://guerracolonial.pt/1972-negar-uma-solucao-politica-para-a-guerra/wiriyamu-de-mocambique-para-o-mundo/)</w:t>
      </w:r>
    </w:p>
    <w:p>
      <w:pPr>
        <w:spacing w:after="120" w:line="276"/>
        <w:jc w:val="both"/>
      </w:pPr>
      <w:r>
        <w:rPr>
          <w:rFonts w:ascii="Barlow Semi Condensed" w:cs="Barlow Semi Condensed" w:eastAsia="Barlow Semi Condensed" w:hAnsi="Barlow Semi Condensed"/>
          <w:b/>
          <w:bCs/>
          <w:sz w:val="24"/>
          <w:szCs w:val="24"/>
        </w:rPr>
        <w:t xml:space="preserve">405.</w:t>
      </w:r>
      <w:r>
        <w:rPr>
          <w:rFonts w:ascii="Barlow Semi Condensed" w:cs="Barlow Semi Condensed" w:eastAsia="Barlow Semi Condensed" w:hAnsi="Barlow Semi Condensed"/>
          <w:sz w:val="24"/>
          <w:szCs w:val="24"/>
        </w:rPr>
        <w:t xml:space="preserve"> Wikipedia — https://it.wikipedia.org/wiki/Guerra_d'indipendenza_del_Mozambico (https://it.wikipedia.org/wiki/Guerra_d'indipendenza_del_Mozambico)</w:t>
      </w:r>
    </w:p>
    <w:p>
      <w:pPr>
        <w:spacing w:after="120" w:line="276"/>
        <w:jc w:val="both"/>
      </w:pPr>
      <w:r>
        <w:rPr>
          <w:rFonts w:ascii="Barlow Semi Condensed" w:cs="Barlow Semi Condensed" w:eastAsia="Barlow Semi Condensed" w:hAnsi="Barlow Semi Condensed"/>
          <w:b/>
          <w:bCs/>
          <w:sz w:val="24"/>
          <w:szCs w:val="24"/>
        </w:rPr>
        <w:t xml:space="preserve">406.</w:t>
      </w:r>
      <w:r>
        <w:rPr>
          <w:rFonts w:ascii="Barlow Semi Condensed" w:cs="Barlow Semi Condensed" w:eastAsia="Barlow Semi Condensed" w:hAnsi="Barlow Semi Condensed"/>
          <w:sz w:val="24"/>
          <w:szCs w:val="24"/>
        </w:rPr>
        <w:t xml:space="preserve"> Wikipedia — https://en.wikipedia.org/wiki/Wiriyamu_Massacre (https://en.wikipedia.org/wiki/Wiriyamu_Massacre) </w:t>
      </w:r>
      <w:r>
        <w:rPr>
          <w:rFonts w:ascii="Barlow Semi Condensed" w:cs="Barlow Semi Condensed" w:eastAsia="Barlow Semi Condensed" w:hAnsi="Barlow Semi Condensed"/>
          <w:i/>
          <w:iCs/>
          <w:sz w:val="24"/>
          <w:szCs w:val="24"/>
        </w:rPr>
        <w:t xml:space="preserve">(citato 2 volte)</w:t>
      </w:r>
    </w:p>
    <w:p>
      <w:pPr>
        <w:spacing w:after="120" w:line="276"/>
        <w:jc w:val="both"/>
      </w:pPr>
      <w:r>
        <w:rPr>
          <w:rFonts w:ascii="Barlow Semi Condensed" w:cs="Barlow Semi Condensed" w:eastAsia="Barlow Semi Condensed" w:hAnsi="Barlow Semi Condensed"/>
          <w:b/>
          <w:bCs/>
          <w:sz w:val="24"/>
          <w:szCs w:val="24"/>
        </w:rPr>
        <w:t xml:space="preserve">407.</w:t>
      </w:r>
      <w:r>
        <w:rPr>
          <w:rFonts w:ascii="Barlow Semi Condensed" w:cs="Barlow Semi Condensed" w:eastAsia="Barlow Semi Condensed" w:hAnsi="Barlow Semi Condensed"/>
          <w:sz w:val="24"/>
          <w:szCs w:val="24"/>
        </w:rPr>
        <w:t xml:space="preserve"> Wikipedia — https://pt.wikipedia.org/wiki/Massacre_de_Wiriyamu (https://pt.wikipedia.org/wiki/Massacre_de_Wiriyamu)</w:t>
      </w:r>
    </w:p>
    <w:p>
      <w:pPr>
        <w:spacing w:after="120" w:line="276"/>
        <w:jc w:val="both"/>
      </w:pPr>
      <w:r>
        <w:rPr>
          <w:rFonts w:ascii="Barlow Semi Condensed" w:cs="Barlow Semi Condensed" w:eastAsia="Barlow Semi Condensed" w:hAnsi="Barlow Semi Condensed"/>
          <w:b/>
          <w:bCs/>
          <w:sz w:val="24"/>
          <w:szCs w:val="24"/>
        </w:rPr>
        <w:t xml:space="preserve">408.</w:t>
      </w:r>
      <w:r>
        <w:rPr>
          <w:rFonts w:ascii="Barlow Semi Condensed" w:cs="Barlow Semi Condensed" w:eastAsia="Barlow Semi Condensed" w:hAnsi="Barlow Semi Condensed"/>
          <w:sz w:val="24"/>
          <w:szCs w:val="24"/>
        </w:rPr>
        <w:t xml:space="preserve"> Uc — https://www.cd25a.uc.pt/storage/media/pdf/Biblioteca%20digital/Artigos/APP_Cx23-13_The%20Wiriyamu%20Massacre%20In%20Mozambique%20The%20Search%20For%20Answers.pdf (https://www.cd25a.uc.pt/storage/media/pdf/Biblioteca%20digital/Artigos/APP_Cx23-13_The%20Wiriyamu%20Massacre%20In%20Mozambique%20The%20Search%20For%20Answers.pdf)</w:t>
      </w:r>
    </w:p>
    <w:p>
      <w:pPr>
        <w:spacing w:after="120" w:line="276"/>
        <w:jc w:val="both"/>
      </w:pPr>
      <w:r>
        <w:rPr>
          <w:rFonts w:ascii="Barlow Semi Condensed" w:cs="Barlow Semi Condensed" w:eastAsia="Barlow Semi Condensed" w:hAnsi="Barlow Semi Condensed"/>
          <w:b/>
          <w:bCs/>
          <w:sz w:val="24"/>
          <w:szCs w:val="24"/>
        </w:rPr>
        <w:t xml:space="preserve">409.</w:t>
      </w:r>
      <w:r>
        <w:rPr>
          <w:rFonts w:ascii="Barlow Semi Condensed" w:cs="Barlow Semi Condensed" w:eastAsia="Barlow Semi Condensed" w:hAnsi="Barlow Semi Condensed"/>
          <w:sz w:val="24"/>
          <w:szCs w:val="24"/>
        </w:rPr>
        <w:t xml:space="preserve"> Taylor \&amp; Francis Online — https://www.tandfonline.com/doi/abs/10.1080/13698249.2012.654690 (https://www.tandfonline.com/doi/abs/10.1080/13698249.2012.654690)</w:t>
      </w:r>
    </w:p>
    <w:p>
      <w:pPr>
        <w:spacing w:after="120" w:line="276"/>
        <w:jc w:val="both"/>
      </w:pPr>
      <w:r>
        <w:rPr>
          <w:rFonts w:ascii="Barlow Semi Condensed" w:cs="Barlow Semi Condensed" w:eastAsia="Barlow Semi Condensed" w:hAnsi="Barlow Semi Condensed"/>
          <w:b/>
          <w:bCs/>
          <w:sz w:val="24"/>
          <w:szCs w:val="24"/>
        </w:rPr>
        <w:t xml:space="preserve">410.</w:t>
      </w:r>
      <w:r>
        <w:rPr>
          <w:rFonts w:ascii="Barlow Semi Condensed" w:cs="Barlow Semi Condensed" w:eastAsia="Barlow Semi Condensed" w:hAnsi="Barlow Semi Condensed"/>
          <w:sz w:val="24"/>
          <w:szCs w:val="24"/>
        </w:rPr>
        <w:t xml:space="preserve"> Wikipedia — https://en.wikipedia.org/wiki/Adrian_Hastings (https://en.wikipedia.org/wiki/Adrian_Hastings)</w:t>
      </w:r>
    </w:p>
    <w:p>
      <w:pPr>
        <w:spacing w:after="120" w:line="276"/>
        <w:jc w:val="both"/>
      </w:pPr>
      <w:r>
        <w:rPr>
          <w:rFonts w:ascii="Barlow Semi Condensed" w:cs="Barlow Semi Condensed" w:eastAsia="Barlow Semi Condensed" w:hAnsi="Barlow Semi Condensed"/>
          <w:b/>
          <w:bCs/>
          <w:sz w:val="24"/>
          <w:szCs w:val="24"/>
        </w:rPr>
        <w:t xml:space="preserve">411.</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comboni.org</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(citato in forma d'indirizzo, 3 volte)</w:t>
      </w:r>
    </w:p>
    <w:p>
      <w:pPr>
        <w:spacing w:after="120" w:line="276"/>
        <w:jc w:val="both"/>
      </w:pPr>
      <w:r>
        <w:rPr>
          <w:rFonts w:ascii="Barlow Semi Condensed" w:cs="Barlow Semi Condensed" w:eastAsia="Barlow Semi Condensed" w:hAnsi="Barlow Semi Condensed"/>
          <w:b/>
          <w:bCs/>
          <w:sz w:val="24"/>
          <w:szCs w:val="24"/>
        </w:rPr>
        <w:t xml:space="preserve">412.</w:t>
      </w:r>
      <w:r>
        <w:rPr>
          <w:rFonts w:ascii="Barlow Semi Condensed" w:cs="Barlow Semi Condensed" w:eastAsia="Barlow Semi Condensed" w:hAnsi="Barlow Semi Condensed"/>
          <w:sz w:val="24"/>
          <w:szCs w:val="24"/>
        </w:rPr>
        <w:t xml:space="preserve"> Comboni — https://www.comboni.org/fratelli/106604 (https://www.comboni.org/fratelli/106604)</w:t>
      </w:r>
    </w:p>
    <w:p>
      <w:pPr>
        <w:spacing w:after="120" w:line="276"/>
        <w:jc w:val="both"/>
      </w:pPr>
      <w:r>
        <w:rPr>
          <w:rFonts w:ascii="Barlow Semi Condensed" w:cs="Barlow Semi Condensed" w:eastAsia="Barlow Semi Condensed" w:hAnsi="Barlow Semi Condensed"/>
          <w:b/>
          <w:bCs/>
          <w:sz w:val="24"/>
          <w:szCs w:val="24"/>
        </w:rPr>
        <w:t xml:space="preserve">413.</w:t>
      </w:r>
      <w:r>
        <w:rPr>
          <w:rFonts w:ascii="Barlow Semi Condensed" w:cs="Barlow Semi Condensed" w:eastAsia="Barlow Semi Condensed" w:hAnsi="Barlow Semi Condensed"/>
          <w:sz w:val="24"/>
          <w:szCs w:val="24"/>
        </w:rPr>
        <w:t xml:space="preserve"> Comboni — https://www.comboni.org/fratelli/106111 (https://www.comboni.org/fratelli/106111)</w:t>
      </w:r>
    </w:p>
    <w:p>
      <w:pPr>
        <w:spacing w:after="120" w:line="276"/>
        <w:jc w:val="both"/>
      </w:pPr>
      <w:r>
        <w:rPr>
          <w:rFonts w:ascii="Barlow Semi Condensed" w:cs="Barlow Semi Condensed" w:eastAsia="Barlow Semi Condensed" w:hAnsi="Barlow Semi Condensed"/>
          <w:b/>
          <w:bCs/>
          <w:sz w:val="24"/>
          <w:szCs w:val="24"/>
        </w:rPr>
        <w:t xml:space="preserve">414.</w:t>
      </w:r>
      <w:r>
        <w:rPr>
          <w:rFonts w:ascii="Barlow Semi Condensed" w:cs="Barlow Semi Condensed" w:eastAsia="Barlow Semi Condensed" w:hAnsi="Barlow Semi Condensed"/>
          <w:sz w:val="24"/>
          <w:szCs w:val="24"/>
        </w:rPr>
        <w:t xml:space="preserve"> Comboni — https://www.comboni.org/fratelli/105544 (https://www.comboni.org/fratelli/105544) </w:t>
      </w:r>
      <w:r>
        <w:rPr>
          <w:rFonts w:ascii="Barlow Semi Condensed" w:cs="Barlow Semi Condensed" w:eastAsia="Barlow Semi Condensed" w:hAnsi="Barlow Semi Condensed"/>
          <w:i/>
          <w:iCs/>
          <w:sz w:val="24"/>
          <w:szCs w:val="24"/>
        </w:rPr>
        <w:t xml:space="preserve">(citato 2 volte)</w:t>
      </w:r>
    </w:p>
    <w:p>
      <w:pPr>
        <w:spacing w:after="120" w:line="276"/>
        <w:jc w:val="both"/>
      </w:pPr>
      <w:r>
        <w:rPr>
          <w:rFonts w:ascii="Barlow Semi Condensed" w:cs="Barlow Semi Condensed" w:eastAsia="Barlow Semi Condensed" w:hAnsi="Barlow Semi Condensed"/>
          <w:b/>
          <w:bCs/>
          <w:sz w:val="24"/>
          <w:szCs w:val="24"/>
        </w:rPr>
        <w:t xml:space="preserve">415.</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setemargens.com</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(citato in forma d'indirizzo)</w:t>
      </w:r>
    </w:p>
    <w:p>
      <w:pPr>
        <w:spacing w:after="120" w:line="276"/>
        <w:jc w:val="both"/>
      </w:pPr>
      <w:r>
        <w:rPr>
          <w:rFonts w:ascii="Barlow Semi Condensed" w:cs="Barlow Semi Condensed" w:eastAsia="Barlow Semi Condensed" w:hAnsi="Barlow Semi Condensed"/>
          <w:b/>
          <w:bCs/>
          <w:sz w:val="24"/>
          <w:szCs w:val="24"/>
        </w:rPr>
        <w:t xml:space="preserve">416.</w:t>
      </w:r>
      <w:r>
        <w:rPr>
          <w:rFonts w:ascii="Barlow Semi Condensed" w:cs="Barlow Semi Condensed" w:eastAsia="Barlow Semi Condensed" w:hAnsi="Barlow Semi Condensed"/>
          <w:sz w:val="24"/>
          <w:szCs w:val="24"/>
        </w:rPr>
        <w:t xml:space="preserve"> Sete Margens — https://setemargens.com/testemunhos-sobre-manuel-vieira-pinto-um-bispo-que-deixou-marcas-profundas-em-portugal-e-mocambique/ (https://setemargens.com/testemunhos-sobre-manuel-vieira-pinto-um-bispo-que-deixou-marcas-profundas-em-portugal-e-mocambique/)</w:t>
      </w:r>
    </w:p>
    <w:p>
      <w:pPr>
        <w:spacing w:after="120" w:line="276"/>
        <w:jc w:val="both"/>
      </w:pPr>
      <w:r>
        <w:rPr>
          <w:rFonts w:ascii="Barlow Semi Condensed" w:cs="Barlow Semi Condensed" w:eastAsia="Barlow Semi Condensed" w:hAnsi="Barlow Semi Condensed"/>
          <w:b/>
          <w:bCs/>
          <w:sz w:val="24"/>
          <w:szCs w:val="24"/>
        </w:rPr>
        <w:t xml:space="preserve">417.</w:t>
      </w:r>
      <w:r>
        <w:rPr>
          <w:rFonts w:ascii="Barlow Semi Condensed" w:cs="Barlow Semi Condensed" w:eastAsia="Barlow Semi Condensed" w:hAnsi="Barlow Semi Condensed"/>
          <w:sz w:val="24"/>
          <w:szCs w:val="24"/>
        </w:rPr>
        <w:t xml:space="preserve"> Comboni — https://www.comboni.org/fratelli/105086 (https://www.comboni.org/fratelli/105086)</w:t>
      </w:r>
    </w:p>
    <w:p>
      <w:pPr>
        <w:spacing w:after="120" w:line="276"/>
        <w:jc w:val="both"/>
      </w:pPr>
      <w:r>
        <w:rPr>
          <w:rFonts w:ascii="Barlow Semi Condensed" w:cs="Barlow Semi Condensed" w:eastAsia="Barlow Semi Condensed" w:hAnsi="Barlow Semi Condensed"/>
          <w:b/>
          <w:bCs/>
          <w:sz w:val="24"/>
          <w:szCs w:val="24"/>
        </w:rPr>
        <w:t xml:space="preserve">418.</w:t>
      </w:r>
      <w:r>
        <w:rPr>
          <w:rFonts w:ascii="Barlow Semi Condensed" w:cs="Barlow Semi Condensed" w:eastAsia="Barlow Semi Condensed" w:hAnsi="Barlow Semi Condensed"/>
          <w:sz w:val="24"/>
          <w:szCs w:val="24"/>
        </w:rPr>
        <w:t xml:space="preserve"> Comboni — https://www.comboni.org/pt/contenuti/100237 (https://www.comboni.org/pt/contenuti/100237)</w:t>
      </w:r>
    </w:p>
    <w:p>
      <w:pPr>
        <w:spacing w:after="120" w:line="276"/>
        <w:jc w:val="both"/>
      </w:pPr>
      <w:r>
        <w:rPr>
          <w:rFonts w:ascii="Barlow Semi Condensed" w:cs="Barlow Semi Condensed" w:eastAsia="Barlow Semi Condensed" w:hAnsi="Barlow Semi Condensed"/>
          <w:b/>
          <w:bCs/>
          <w:sz w:val="24"/>
          <w:szCs w:val="24"/>
        </w:rPr>
        <w:t xml:space="preserve">419.</w:t>
      </w:r>
      <w:r>
        <w:rPr>
          <w:rFonts w:ascii="Barlow Semi Condensed" w:cs="Barlow Semi Condensed" w:eastAsia="Barlow Semi Condensed" w:hAnsi="Barlow Semi Condensed"/>
          <w:sz w:val="24"/>
          <w:szCs w:val="24"/>
        </w:rPr>
        <w:t xml:space="preserve"> Revistas Científicas da UCP — https://revistas.ucp.pt/index.php/lusitaniasacra/article/view/16897 (https://revistas.ucp.pt/index.php/lusitaniasacra/article/view/16897)</w:t>
      </w:r>
    </w:p>
    <w:p>
      <w:pPr>
        <w:spacing w:after="120" w:line="276"/>
        <w:jc w:val="both"/>
      </w:pPr>
      <w:r>
        <w:rPr>
          <w:rFonts w:ascii="Barlow Semi Condensed" w:cs="Barlow Semi Condensed" w:eastAsia="Barlow Semi Condensed" w:hAnsi="Barlow Semi Condensed"/>
          <w:b/>
          <w:bCs/>
          <w:sz w:val="24"/>
          <w:szCs w:val="24"/>
        </w:rPr>
        <w:t xml:space="preserve">420.</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legislature.camera.it</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(citato in forma d'indirizzo)</w:t>
      </w:r>
    </w:p>
    <w:p>
      <w:pPr>
        <w:spacing w:after="120" w:line="276"/>
        <w:jc w:val="both"/>
      </w:pPr>
      <w:r>
        <w:rPr>
          <w:rFonts w:ascii="Barlow Semi Condensed" w:cs="Barlow Semi Condensed" w:eastAsia="Barlow Semi Condensed" w:hAnsi="Barlow Semi Condensed"/>
          <w:b/>
          <w:bCs/>
          <w:sz w:val="24"/>
          <w:szCs w:val="24"/>
        </w:rPr>
        <w:t xml:space="preserve">421.</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diplomaciaerevolucao.mne.gov</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(citato in forma d'indirizzo)</w:t>
      </w:r>
    </w:p>
    <w:p>
      <w:pPr>
        <w:spacing w:after="120" w:line="276"/>
        <w:jc w:val="both"/>
      </w:pPr>
      <w:r>
        <w:rPr>
          <w:rFonts w:ascii="Barlow Semi Condensed" w:cs="Barlow Semi Condensed" w:eastAsia="Barlow Semi Condensed" w:hAnsi="Barlow Semi Condensed"/>
          <w:b/>
          <w:bCs/>
          <w:sz w:val="24"/>
          <w:szCs w:val="24"/>
        </w:rPr>
        <w:t xml:space="preserve">422.</w:t>
      </w:r>
      <w:r>
        <w:rPr>
          <w:rFonts w:ascii="Barlow Semi Condensed" w:cs="Barlow Semi Condensed" w:eastAsia="Barlow Semi Condensed" w:hAnsi="Barlow Semi Condensed"/>
          <w:sz w:val="24"/>
          <w:szCs w:val="24"/>
        </w:rPr>
        <w:t xml:space="preserve"> Mne — https://diplomaciaerevolucao.mne.gov.pt/pt/visto-de-fora (https://diplomaciaerevolucao.mne.gov.pt/pt/visto-de-fora)</w:t>
      </w:r>
    </w:p>
    <w:p>
      <w:pPr>
        <w:spacing w:after="120" w:line="276"/>
        <w:jc w:val="both"/>
      </w:pPr>
      <w:r>
        <w:rPr>
          <w:rFonts w:ascii="Barlow Semi Condensed" w:cs="Barlow Semi Condensed" w:eastAsia="Barlow Semi Condensed" w:hAnsi="Barlow Semi Condensed"/>
          <w:b/>
          <w:bCs/>
          <w:sz w:val="24"/>
          <w:szCs w:val="24"/>
        </w:rPr>
        <w:t xml:space="preserve">423.</w:t>
      </w:r>
      <w:r>
        <w:rPr>
          <w:rFonts w:ascii="Barlow Semi Condensed" w:cs="Barlow Semi Condensed" w:eastAsia="Barlow Semi Condensed" w:hAnsi="Barlow Semi Condensed"/>
          <w:sz w:val="24"/>
          <w:szCs w:val="24"/>
        </w:rPr>
        <w:t xml:space="preserve"> state — https://history.state.gov/historicaldocuments/frus1969-76ve15p2Ed2/d133 (https://history.state.gov/historicaldocuments/frus1969-76ve15p2Ed2/d133)</w:t>
      </w:r>
    </w:p>
    <w:p>
      <w:pPr>
        <w:spacing w:after="120" w:line="276"/>
        <w:jc w:val="both"/>
      </w:pPr>
      <w:r>
        <w:rPr>
          <w:rFonts w:ascii="Barlow Semi Condensed" w:cs="Barlow Semi Condensed" w:eastAsia="Barlow Semi Condensed" w:hAnsi="Barlow Semi Condensed"/>
          <w:b/>
          <w:bCs/>
          <w:sz w:val="24"/>
          <w:szCs w:val="24"/>
        </w:rPr>
        <w:t xml:space="preserve">424.</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portaldiplomatico.mne.gov</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(citato in forma d'indirizzo)</w:t>
      </w:r>
    </w:p>
    <w:p>
      <w:pPr>
        <w:spacing w:after="120" w:line="276"/>
        <w:jc w:val="both"/>
      </w:pPr>
      <w:r>
        <w:rPr>
          <w:rFonts w:ascii="Barlow Semi Condensed" w:cs="Barlow Semi Condensed" w:eastAsia="Barlow Semi Condensed" w:hAnsi="Barlow Semi Condensed"/>
          <w:b/>
          <w:bCs/>
          <w:sz w:val="24"/>
          <w:szCs w:val="24"/>
        </w:rPr>
        <w:t xml:space="preserve">425.</w:t>
      </w:r>
      <w:r>
        <w:rPr>
          <w:rFonts w:ascii="Barlow Semi Condensed" w:cs="Barlow Semi Condensed" w:eastAsia="Barlow Semi Condensed" w:hAnsi="Barlow Semi Condensed"/>
          <w:sz w:val="24"/>
          <w:szCs w:val="24"/>
        </w:rPr>
        <w:t xml:space="preserve"> Portal Diplomático — https://portaldiplomatico.mne.gov.pt/relacoesbilaterais/historia-diplomatica?view=article&amp;id=366%3Asanta-se&amp;catid=119%3Arelacoes-diplomaticas (https://portaldiplomatico.mne.gov.pt/relacoesbilaterais/historia-diplomatica?view=article&amp;id=366%3Asanta-se&amp;catid=119%3Arelacoes-diplomaticas)</w:t>
      </w:r>
    </w:p>
    <w:p>
      <w:pPr>
        <w:spacing w:after="120" w:line="276"/>
        <w:jc w:val="both"/>
      </w:pPr>
      <w:r>
        <w:rPr>
          <w:rFonts w:ascii="Barlow Semi Condensed" w:cs="Barlow Semi Condensed" w:eastAsia="Barlow Semi Condensed" w:hAnsi="Barlow Semi Condensed"/>
          <w:b/>
          <w:bCs/>
          <w:sz w:val="24"/>
          <w:szCs w:val="24"/>
        </w:rPr>
        <w:t xml:space="preserve">426.</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vatican.va</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(citato in forma d'indirizzo, 9 volte)</w:t>
      </w:r>
    </w:p>
    <w:p>
      <w:pPr>
        <w:spacing w:after="120" w:line="276"/>
        <w:jc w:val="both"/>
      </w:pPr>
      <w:r>
        <w:rPr>
          <w:rFonts w:ascii="Barlow Semi Condensed" w:cs="Barlow Semi Condensed" w:eastAsia="Barlow Semi Condensed" w:hAnsi="Barlow Semi Condensed"/>
          <w:b/>
          <w:bCs/>
          <w:sz w:val="24"/>
          <w:szCs w:val="24"/>
        </w:rPr>
        <w:t xml:space="preserve">427.</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peresblancs.org</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(citato in forma d'indirizzo)</w:t>
      </w:r>
    </w:p>
    <w:p>
      <w:pPr>
        <w:spacing w:after="120" w:line="276"/>
        <w:jc w:val="both"/>
      </w:pPr>
      <w:r>
        <w:rPr>
          <w:rFonts w:ascii="Barlow Semi Condensed" w:cs="Barlow Semi Condensed" w:eastAsia="Barlow Semi Condensed" w:hAnsi="Barlow Semi Condensed"/>
          <w:b/>
          <w:bCs/>
          <w:sz w:val="24"/>
          <w:szCs w:val="24"/>
        </w:rPr>
        <w:t xml:space="preserve">428.</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mafrome.org</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(citato in forma d'indirizzo)</w:t>
      </w:r>
    </w:p>
    <w:p>
      <w:pPr>
        <w:spacing w:after="120" w:line="276"/>
        <w:jc w:val="both"/>
      </w:pPr>
      <w:r>
        <w:rPr>
          <w:rFonts w:ascii="Barlow Semi Condensed" w:cs="Barlow Semi Condensed" w:eastAsia="Barlow Semi Condensed" w:hAnsi="Barlow Semi Condensed"/>
          <w:b/>
          <w:bCs/>
          <w:sz w:val="24"/>
          <w:szCs w:val="24"/>
        </w:rPr>
        <w:t xml:space="preserve">429.</w:t>
      </w:r>
      <w:r>
        <w:rPr>
          <w:rFonts w:ascii="Barlow Semi Condensed" w:cs="Barlow Semi Condensed" w:eastAsia="Barlow Semi Condensed" w:hAnsi="Barlow Semi Condensed"/>
          <w:sz w:val="24"/>
          <w:szCs w:val="24"/>
        </w:rPr>
        <w:t xml:space="preserve"> Wikipedia — https://en.wikipedia.org/wiki/Lusaka_Accord (https://en.wikipedia.org/wiki/Lusaka_Accord)</w:t>
      </w:r>
    </w:p>
    <w:p>
      <w:pPr>
        <w:spacing w:after="120" w:line="276"/>
        <w:jc w:val="both"/>
      </w:pPr>
      <w:r>
        <w:rPr>
          <w:rFonts w:ascii="Barlow Semi Condensed" w:cs="Barlow Semi Condensed" w:eastAsia="Barlow Semi Condensed" w:hAnsi="Barlow Semi Condensed"/>
          <w:b/>
          <w:bCs/>
          <w:sz w:val="24"/>
          <w:szCs w:val="24"/>
        </w:rPr>
        <w:t xml:space="preserve">430.</w:t>
      </w:r>
      <w:r>
        <w:rPr>
          <w:rFonts w:ascii="Barlow Semi Condensed" w:cs="Barlow Semi Condensed" w:eastAsia="Barlow Semi Condensed" w:hAnsi="Barlow Semi Condensed"/>
          <w:sz w:val="24"/>
          <w:szCs w:val="24"/>
        </w:rPr>
        <w:t xml:space="preserve"> Wikipedia — https://en.wikipedia.org/wiki/Alvor_Agreement (https://en.wikipedia.org/wiki/Alvor_Agreement)</w:t>
      </w:r>
    </w:p>
    <w:p>
      <w:pPr>
        <w:spacing w:after="120" w:line="276"/>
        <w:jc w:val="both"/>
      </w:pPr>
      <w:r>
        <w:rPr>
          <w:rFonts w:ascii="Barlow Semi Condensed" w:cs="Barlow Semi Condensed" w:eastAsia="Barlow Semi Condensed" w:hAnsi="Barlow Semi Condensed"/>
          <w:b/>
          <w:bCs/>
          <w:sz w:val="24"/>
          <w:szCs w:val="24"/>
        </w:rPr>
        <w:t xml:space="preserve">431.</w:t>
      </w:r>
      <w:r>
        <w:rPr>
          <w:rFonts w:ascii="Barlow Semi Condensed" w:cs="Barlow Semi Condensed" w:eastAsia="Barlow Semi Condensed" w:hAnsi="Barlow Semi Condensed"/>
          <w:sz w:val="24"/>
          <w:szCs w:val="24"/>
        </w:rPr>
        <w:t xml:space="preserve"> Storicamente — https://storicamente.org/pimenta-indipendenza-mozambico-decolonizzazione (https://storicamente.org/pimenta-indipendenza-mozambico-decolonizzazione)</w:t>
      </w:r>
    </w:p>
    <w:p>
      <w:pPr>
        <w:spacing w:after="120" w:line="276"/>
        <w:jc w:val="both"/>
      </w:pPr>
      <w:r>
        <w:rPr>
          <w:rFonts w:ascii="Barlow Semi Condensed" w:cs="Barlow Semi Condensed" w:eastAsia="Barlow Semi Condensed" w:hAnsi="Barlow Semi Condensed"/>
          <w:b/>
          <w:bCs/>
          <w:sz w:val="24"/>
          <w:szCs w:val="24"/>
        </w:rPr>
        <w:t xml:space="preserve">432.</w:t>
      </w:r>
      <w:r>
        <w:rPr>
          <w:rFonts w:ascii="Barlow Semi Condensed" w:cs="Barlow Semi Condensed" w:eastAsia="Barlow Semi Condensed" w:hAnsi="Barlow Semi Condensed"/>
          <w:sz w:val="24"/>
          <w:szCs w:val="24"/>
        </w:rPr>
        <w:t xml:space="preserve"> Wikipedia — https://it.wikipedia.org/wiki/Rivoluzione_dei_garofani (https://it.wikipedia.org/wiki/Rivoluzione_dei_garofani)</w:t>
      </w:r>
    </w:p>
    <w:p>
      <w:pPr>
        <w:spacing w:after="120" w:line="276"/>
        <w:jc w:val="both"/>
      </w:pPr>
      <w:r>
        <w:rPr>
          <w:rFonts w:ascii="Barlow Semi Condensed" w:cs="Barlow Semi Condensed" w:eastAsia="Barlow Semi Condensed" w:hAnsi="Barlow Semi Condensed"/>
          <w:b/>
          <w:bCs/>
          <w:sz w:val="24"/>
          <w:szCs w:val="24"/>
        </w:rPr>
        <w:t xml:space="preserve">433.</w:t>
      </w:r>
      <w:r>
        <w:rPr>
          <w:rFonts w:ascii="Barlow Semi Condensed" w:cs="Barlow Semi Condensed" w:eastAsia="Barlow Semi Condensed" w:hAnsi="Barlow Semi Condensed"/>
          <w:sz w:val="24"/>
          <w:szCs w:val="24"/>
        </w:rPr>
        <w:t xml:space="preserve"> BeeMagazine — https://beemagazine.it/moro-1975-quando-litalia-era-davvero-battistrada-delleuropa/ (https://beemagazine.it/moro-1975-quando-litalia-era-davvero-battistrada-delleuropa/)</w:t>
      </w:r>
    </w:p>
    <w:p>
      <w:pPr>
        <w:spacing w:after="120" w:line="276"/>
        <w:jc w:val="both"/>
      </w:pPr>
      <w:r>
        <w:rPr>
          <w:rFonts w:ascii="Barlow Semi Condensed" w:cs="Barlow Semi Condensed" w:eastAsia="Barlow Semi Condensed" w:hAnsi="Barlow Semi Condensed"/>
          <w:b/>
          <w:bCs/>
          <w:sz w:val="24"/>
          <w:szCs w:val="24"/>
        </w:rPr>
        <w:t xml:space="preserve">434.</w:t>
      </w:r>
      <w:r>
        <w:rPr>
          <w:rFonts w:ascii="Barlow Semi Condensed" w:cs="Barlow Semi Condensed" w:eastAsia="Barlow Semi Condensed" w:hAnsi="Barlow Semi Condensed"/>
          <w:sz w:val="24"/>
          <w:szCs w:val="24"/>
        </w:rPr>
        <w:t xml:space="preserve"> Avvenire — https://www.avvenire.it/agora/cultura/ripartire-dallo-spirito-di-helsinki-per-costruire-la-pace_93849 (https://www.avvenire.it/agora/cultura/ripartire-dallo-spirito-di-helsinki-per-costruire-la-pace_93849)</w:t>
      </w:r>
    </w:p>
    <w:p>
      <w:pPr>
        <w:spacing w:after="120" w:line="276"/>
        <w:jc w:val="both"/>
      </w:pPr>
      <w:r>
        <w:rPr>
          <w:rFonts w:ascii="Barlow Semi Condensed" w:cs="Barlow Semi Condensed" w:eastAsia="Barlow Semi Condensed" w:hAnsi="Barlow Semi Condensed"/>
          <w:b/>
          <w:bCs/>
          <w:sz w:val="24"/>
          <w:szCs w:val="24"/>
        </w:rPr>
        <w:t xml:space="preserve">435.</w:t>
      </w:r>
      <w:r>
        <w:rPr>
          <w:rFonts w:ascii="Barlow Semi Condensed" w:cs="Barlow Semi Condensed" w:eastAsia="Barlow Semi Condensed" w:hAnsi="Barlow Semi Condensed"/>
          <w:sz w:val="24"/>
          <w:szCs w:val="24"/>
        </w:rPr>
        <w:t xml:space="preserve"> Nuovarivistastorica — https://www.nuovarivistastorica.it/litalia-nellorganizzazione-per-la-sicurezza-e-la-cooperazione-in-europa/ (https://www.nuovarivistastorica.it/litalia-nellorganizzazione-per-la-sicurezza-e-la-cooperazione-in-europa/) </w:t>
      </w:r>
      <w:r>
        <w:rPr>
          <w:rFonts w:ascii="Barlow Semi Condensed" w:cs="Barlow Semi Condensed" w:eastAsia="Barlow Semi Condensed" w:hAnsi="Barlow Semi Condensed"/>
          <w:i/>
          <w:iCs/>
          <w:sz w:val="24"/>
          <w:szCs w:val="24"/>
        </w:rPr>
        <w:t xml:space="preserve">(citato 4 volte)</w:t>
      </w:r>
    </w:p>
    <w:p>
      <w:pPr>
        <w:spacing w:after="120" w:line="276"/>
        <w:jc w:val="both"/>
      </w:pPr>
      <w:r>
        <w:rPr>
          <w:rFonts w:ascii="Barlow Semi Condensed" w:cs="Barlow Semi Condensed" w:eastAsia="Barlow Semi Condensed" w:hAnsi="Barlow Semi Condensed"/>
          <w:b/>
          <w:bCs/>
          <w:sz w:val="24"/>
          <w:szCs w:val="24"/>
        </w:rPr>
        <w:t xml:space="preserve">436.</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antt.dglab.gov</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(citato in forma d'indirizzo)</w:t>
      </w:r>
    </w:p>
    <w:p>
      <w:pPr>
        <w:spacing w:after="120" w:line="276"/>
        <w:jc w:val="both"/>
      </w:pPr>
      <w:r>
        <w:rPr>
          <w:rFonts w:ascii="Barlow Semi Condensed" w:cs="Barlow Semi Condensed" w:eastAsia="Barlow Semi Condensed" w:hAnsi="Barlow Semi Condensed"/>
          <w:b/>
          <w:bCs/>
          <w:sz w:val="24"/>
          <w:szCs w:val="24"/>
        </w:rPr>
        <w:t xml:space="preserve">437.</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portal.ehri-project.eu</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(citato in forma d'indirizzo)</w:t>
      </w:r>
    </w:p>
    <w:p>
      <w:pPr>
        <w:pStyle w:val="Heading3"/>
        <w:spacing w:after="80" w:before="160"/>
      </w:pPr>
      <w:r>
        <w:rPr>
          <w:rFonts w:ascii="Barlow Semi Condensed" w:cs="Barlow Semi Condensed" w:eastAsia="Barlow Semi Condensed" w:hAnsi="Barlow Semi Condensed"/>
          <w:sz w:val="24"/>
          <w:szCs w:val="24"/>
        </w:rPr>
        <w:t xml:space="preserve">Libro dodicesimo · VII — Grecia e Opus Dei 1969-1985</w:t>
      </w:r>
    </w:p>
    <w:p>
      <w:pPr>
        <w:spacing w:after="120" w:line="276"/>
        <w:jc w:val="both"/>
      </w:pPr>
      <w:r>
        <w:rPr>
          <w:rFonts w:ascii="Barlow Semi Condensed" w:cs="Barlow Semi Condensed" w:eastAsia="Barlow Semi Condensed" w:hAnsi="Barlow Semi Condensed"/>
          <w:b/>
          <w:bCs/>
          <w:sz w:val="24"/>
          <w:szCs w:val="24"/>
        </w:rPr>
        <w:t xml:space="preserve">438.</w:t>
      </w:r>
      <w:r>
        <w:rPr>
          <w:rFonts w:ascii="Barlow Semi Condensed" w:cs="Barlow Semi Condensed" w:eastAsia="Barlow Semi Condensed" w:hAnsi="Barlow Semi Condensed"/>
          <w:sz w:val="24"/>
          <w:szCs w:val="24"/>
        </w:rPr>
        <w:t xml:space="preserve"> Camera — https://dati.camera.it/ocd/aic.rdf/aic4_03754_16 (https://dati.camera.it/ocd/aic.rdf/aic4_03754_16)</w:t>
      </w:r>
    </w:p>
    <w:p>
      <w:pPr>
        <w:spacing w:after="120" w:line="276"/>
        <w:jc w:val="both"/>
      </w:pPr>
      <w:r>
        <w:rPr>
          <w:rFonts w:ascii="Barlow Semi Condensed" w:cs="Barlow Semi Condensed" w:eastAsia="Barlow Semi Condensed" w:hAnsi="Barlow Semi Condensed"/>
          <w:b/>
          <w:bCs/>
          <w:sz w:val="24"/>
          <w:szCs w:val="24"/>
        </w:rPr>
        <w:t xml:space="preserve">439.</w:t>
      </w:r>
      <w:r>
        <w:rPr>
          <w:rFonts w:ascii="Barlow Semi Condensed" w:cs="Barlow Semi Condensed" w:eastAsia="Barlow Semi Condensed" w:hAnsi="Barlow Semi Condensed"/>
          <w:sz w:val="24"/>
          <w:szCs w:val="24"/>
        </w:rPr>
        <w:t xml:space="preserve"> Wikipedia — https://it.wikipedia.org/wiki/Questione_di_Cipro (https://it.wikipedia.org/wiki/Questione_di_Cipro) </w:t>
      </w:r>
      <w:r>
        <w:rPr>
          <w:rFonts w:ascii="Barlow Semi Condensed" w:cs="Barlow Semi Condensed" w:eastAsia="Barlow Semi Condensed" w:hAnsi="Barlow Semi Condensed"/>
          <w:i/>
          <w:iCs/>
          <w:sz w:val="24"/>
          <w:szCs w:val="24"/>
        </w:rPr>
        <w:t xml:space="preserve">(citato 3 volte)</w:t>
      </w:r>
    </w:p>
    <w:p>
      <w:pPr>
        <w:spacing w:after="120" w:line="276"/>
        <w:jc w:val="both"/>
      </w:pPr>
      <w:r>
        <w:rPr>
          <w:rFonts w:ascii="Barlow Semi Condensed" w:cs="Barlow Semi Condensed" w:eastAsia="Barlow Semi Condensed" w:hAnsi="Barlow Semi Condensed"/>
          <w:b/>
          <w:bCs/>
          <w:sz w:val="24"/>
          <w:szCs w:val="24"/>
        </w:rPr>
        <w:t xml:space="preserve">440.</w:t>
      </w:r>
      <w:r>
        <w:rPr>
          <w:rFonts w:ascii="Barlow Semi Condensed" w:cs="Barlow Semi Condensed" w:eastAsia="Barlow Semi Condensed" w:hAnsi="Barlow Semi Condensed"/>
          <w:sz w:val="24"/>
          <w:szCs w:val="24"/>
        </w:rPr>
        <w:t xml:space="preserve"> U.S. Department of State — https://history.state.gov/historicaldocuments/frus1969-76v30/d194 (https://history.state.gov/historicaldocuments/frus1969-76v30/d194) </w:t>
      </w:r>
      <w:r>
        <w:rPr>
          <w:rFonts w:ascii="Barlow Semi Condensed" w:cs="Barlow Semi Condensed" w:eastAsia="Barlow Semi Condensed" w:hAnsi="Barlow Semi Condensed"/>
          <w:i/>
          <w:iCs/>
          <w:sz w:val="24"/>
          <w:szCs w:val="24"/>
        </w:rPr>
        <w:t xml:space="preserve">(citato 2 volte)</w:t>
      </w:r>
    </w:p>
    <w:p>
      <w:pPr>
        <w:spacing w:after="120" w:line="276"/>
        <w:jc w:val="both"/>
      </w:pPr>
      <w:r>
        <w:rPr>
          <w:rFonts w:ascii="Barlow Semi Condensed" w:cs="Barlow Semi Condensed" w:eastAsia="Barlow Semi Condensed" w:hAnsi="Barlow Semi Condensed"/>
          <w:b/>
          <w:bCs/>
          <w:sz w:val="24"/>
          <w:szCs w:val="24"/>
        </w:rPr>
        <w:t xml:space="preserve">441.</w:t>
      </w:r>
      <w:r>
        <w:rPr>
          <w:rFonts w:ascii="Barlow Semi Condensed" w:cs="Barlow Semi Condensed" w:eastAsia="Barlow Semi Condensed" w:hAnsi="Barlow Semi Condensed"/>
          <w:sz w:val="24"/>
          <w:szCs w:val="24"/>
        </w:rPr>
        <w:t xml:space="preserve"> Paese Italia Press — https://www.paeseitaliapress.it/esteri/2025/08/27/scudo-inter-etnico-o-limite-alla-guerra-il-ruolo-delle-forze-di-pace-onu-a-cipro/ (https://www.paeseitaliapress.it/esteri/2025/08/27/scudo-inter-etnico-o-limite-alla-guerra-il-ruolo-delle-forze-di-pace-onu-a-cipro/)</w:t>
      </w:r>
    </w:p>
    <w:p>
      <w:pPr>
        <w:spacing w:after="120" w:line="276"/>
        <w:jc w:val="both"/>
      </w:pPr>
      <w:r>
        <w:rPr>
          <w:rFonts w:ascii="Barlow Semi Condensed" w:cs="Barlow Semi Condensed" w:eastAsia="Barlow Semi Condensed" w:hAnsi="Barlow Semi Condensed"/>
          <w:b/>
          <w:bCs/>
          <w:sz w:val="24"/>
          <w:szCs w:val="24"/>
        </w:rPr>
        <w:t xml:space="preserve">442.</w:t>
      </w:r>
      <w:r>
        <w:rPr>
          <w:rFonts w:ascii="Barlow Semi Condensed" w:cs="Barlow Semi Condensed" w:eastAsia="Barlow Semi Condensed" w:hAnsi="Barlow Semi Condensed"/>
          <w:sz w:val="24"/>
          <w:szCs w:val="24"/>
        </w:rPr>
        <w:t xml:space="preserve"> Esteri — https://ambatene.esteri.it/ambasciata_atene/it/i_rapporti_bilaterali/ (https://ambatene.esteri.it/ambasciata_atene/it/i_rapporti_bilaterali/)</w:t>
      </w:r>
    </w:p>
    <w:p>
      <w:pPr>
        <w:spacing w:after="120" w:line="276"/>
        <w:jc w:val="both"/>
      </w:pPr>
      <w:r>
        <w:rPr>
          <w:rFonts w:ascii="Barlow Semi Condensed" w:cs="Barlow Semi Condensed" w:eastAsia="Barlow Semi Condensed" w:hAnsi="Barlow Semi Condensed"/>
          <w:b/>
          <w:bCs/>
          <w:sz w:val="24"/>
          <w:szCs w:val="24"/>
        </w:rPr>
        <w:t xml:space="preserve">443.</w:t>
      </w:r>
      <w:r>
        <w:rPr>
          <w:rFonts w:ascii="Barlow Semi Condensed" w:cs="Barlow Semi Condensed" w:eastAsia="Barlow Semi Condensed" w:hAnsi="Barlow Semi Condensed"/>
          <w:sz w:val="24"/>
          <w:szCs w:val="24"/>
        </w:rPr>
        <w:t xml:space="preserve"> East Journal — https://www.eastjournal.net/archives/9505 (https://www.eastjournal.net/archives/9505)</w:t>
      </w:r>
    </w:p>
    <w:p>
      <w:pPr>
        <w:spacing w:after="120" w:line="276"/>
        <w:jc w:val="both"/>
      </w:pPr>
      <w:r>
        <w:rPr>
          <w:rFonts w:ascii="Barlow Semi Condensed" w:cs="Barlow Semi Condensed" w:eastAsia="Barlow Semi Condensed" w:hAnsi="Barlow Semi Condensed"/>
          <w:b/>
          <w:bCs/>
          <w:sz w:val="24"/>
          <w:szCs w:val="24"/>
        </w:rPr>
        <w:t xml:space="preserve">444.</w:t>
      </w:r>
      <w:r>
        <w:rPr>
          <w:rFonts w:ascii="Barlow Semi Condensed" w:cs="Barlow Semi Condensed" w:eastAsia="Barlow Semi Condensed" w:hAnsi="Barlow Semi Condensed"/>
          <w:sz w:val="24"/>
          <w:szCs w:val="24"/>
        </w:rPr>
        <w:t xml:space="preserve"> La Voce e il Tempo — https://vocetempo.it/sessantanni-fa-la-fine-delle-scomuniche-fra-cattolici-e-ortodossi/ (https://vocetempo.it/sessantanni-fa-la-fine-delle-scomuniche-fra-cattolici-e-ortodossi/)</w:t>
      </w:r>
    </w:p>
    <w:p>
      <w:pPr>
        <w:spacing w:after="120" w:line="276"/>
        <w:jc w:val="both"/>
      </w:pPr>
      <w:r>
        <w:rPr>
          <w:rFonts w:ascii="Barlow Semi Condensed" w:cs="Barlow Semi Condensed" w:eastAsia="Barlow Semi Condensed" w:hAnsi="Barlow Semi Condensed"/>
          <w:b/>
          <w:bCs/>
          <w:sz w:val="24"/>
          <w:szCs w:val="24"/>
        </w:rPr>
        <w:t xml:space="preserve">445.</w:t>
      </w:r>
      <w:r>
        <w:rPr>
          <w:rFonts w:ascii="Barlow Semi Condensed" w:cs="Barlow Semi Condensed" w:eastAsia="Barlow Semi Condensed" w:hAnsi="Barlow Semi Condensed"/>
          <w:sz w:val="24"/>
          <w:szCs w:val="24"/>
        </w:rPr>
        <w:t xml:space="preserve"> Wikipedia — https://it.wikipedia.org/wiki/Dichiarazione_comune_cattolico-ortodossa_del_1965 (https://it.wikipedia.org/wiki/Dichiarazione_comune_cattolico-ortodossa_del_1965)</w:t>
      </w:r>
    </w:p>
    <w:p>
      <w:pPr>
        <w:spacing w:after="120" w:line="276"/>
        <w:jc w:val="both"/>
      </w:pPr>
      <w:r>
        <w:rPr>
          <w:rFonts w:ascii="Barlow Semi Condensed" w:cs="Barlow Semi Condensed" w:eastAsia="Barlow Semi Condensed" w:hAnsi="Barlow Semi Condensed"/>
          <w:b/>
          <w:bCs/>
          <w:sz w:val="24"/>
          <w:szCs w:val="24"/>
        </w:rPr>
        <w:t xml:space="preserve">446.</w:t>
      </w:r>
      <w:r>
        <w:rPr>
          <w:rFonts w:ascii="Barlow Semi Condensed" w:cs="Barlow Semi Condensed" w:eastAsia="Barlow Semi Condensed" w:hAnsi="Barlow Semi Condensed"/>
          <w:sz w:val="24"/>
          <w:szCs w:val="24"/>
        </w:rPr>
        <w:t xml:space="preserve"> opusdei — https://opusdei.org/it-it/article/storia/ (https://opusdei.org/it-it/article/storia/) </w:t>
      </w:r>
      <w:r>
        <w:rPr>
          <w:rFonts w:ascii="Barlow Semi Condensed" w:cs="Barlow Semi Condensed" w:eastAsia="Barlow Semi Condensed" w:hAnsi="Barlow Semi Condensed"/>
          <w:i/>
          <w:iCs/>
          <w:sz w:val="24"/>
          <w:szCs w:val="24"/>
        </w:rPr>
        <w:t xml:space="preserve">(citato 3 volte)</w:t>
      </w:r>
    </w:p>
    <w:p>
      <w:pPr>
        <w:spacing w:after="120" w:line="276"/>
        <w:jc w:val="both"/>
      </w:pPr>
      <w:r>
        <w:rPr>
          <w:rFonts w:ascii="Barlow Semi Condensed" w:cs="Barlow Semi Condensed" w:eastAsia="Barlow Semi Condensed" w:hAnsi="Barlow Semi Condensed"/>
          <w:b/>
          <w:bCs/>
          <w:sz w:val="24"/>
          <w:szCs w:val="24"/>
        </w:rPr>
        <w:t xml:space="preserve">447.</w:t>
      </w:r>
      <w:r>
        <w:rPr>
          <w:rFonts w:ascii="Barlow Semi Condensed" w:cs="Barlow Semi Condensed" w:eastAsia="Barlow Semi Condensed" w:hAnsi="Barlow Semi Condensed"/>
          <w:sz w:val="24"/>
          <w:szCs w:val="24"/>
        </w:rPr>
        <w:t xml:space="preserve"> opusdei — https://opusdei.org/en-us/article/regional-circumscriptions-opus-dei/ (https://opusdei.org/en-us/article/regional-circumscriptions-opus-dei/)</w:t>
      </w:r>
    </w:p>
    <w:p>
      <w:pPr>
        <w:spacing w:after="120" w:line="276"/>
        <w:jc w:val="both"/>
      </w:pPr>
      <w:r>
        <w:rPr>
          <w:rFonts w:ascii="Barlow Semi Condensed" w:cs="Barlow Semi Condensed" w:eastAsia="Barlow Semi Condensed" w:hAnsi="Barlow Semi Condensed"/>
          <w:b/>
          <w:bCs/>
          <w:sz w:val="24"/>
          <w:szCs w:val="24"/>
        </w:rPr>
        <w:t xml:space="preserve">448.</w:t>
      </w:r>
      <w:r>
        <w:rPr>
          <w:rFonts w:ascii="Barlow Semi Condensed" w:cs="Barlow Semi Condensed" w:eastAsia="Barlow Semi Condensed" w:hAnsi="Barlow Semi Condensed"/>
          <w:sz w:val="24"/>
          <w:szCs w:val="24"/>
        </w:rPr>
        <w:t xml:space="preserve"> Wikipedia — https://en.wikipedia.org/wiki/Josemar%C3%ADa_Escriv%C3%A1 (https://en.wikipedia.org/wiki/Josemar%C3%ADa_Escriv%C3%A1)</w:t>
      </w:r>
    </w:p>
    <w:p>
      <w:pPr>
        <w:spacing w:after="120" w:line="276"/>
        <w:jc w:val="both"/>
      </w:pPr>
      <w:r>
        <w:rPr>
          <w:rFonts w:ascii="Barlow Semi Condensed" w:cs="Barlow Semi Condensed" w:eastAsia="Barlow Semi Condensed" w:hAnsi="Barlow Semi Condensed"/>
          <w:b/>
          <w:bCs/>
          <w:sz w:val="24"/>
          <w:szCs w:val="24"/>
        </w:rPr>
        <w:t xml:space="preserve">449.</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catholicmedia.org</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(citato in forma d'indirizzo)</w:t>
      </w:r>
    </w:p>
    <w:p>
      <w:pPr>
        <w:spacing w:after="120" w:line="276"/>
        <w:jc w:val="both"/>
      </w:pPr>
      <w:r>
        <w:rPr>
          <w:rFonts w:ascii="Barlow Semi Condensed" w:cs="Barlow Semi Condensed" w:eastAsia="Barlow Semi Condensed" w:hAnsi="Barlow Semi Condensed"/>
          <w:b/>
          <w:bCs/>
          <w:sz w:val="24"/>
          <w:szCs w:val="24"/>
        </w:rPr>
        <w:t xml:space="preserve">450.</w:t>
      </w:r>
      <w:r>
        <w:rPr>
          <w:rFonts w:ascii="Barlow Semi Condensed" w:cs="Barlow Semi Condensed" w:eastAsia="Barlow Semi Condensed" w:hAnsi="Barlow Semi Condensed"/>
          <w:sz w:val="24"/>
          <w:szCs w:val="24"/>
        </w:rPr>
        <w:t xml:space="preserve"> ACI Stampa — https://www.acistampa.com/story/18666/i-greco-cattolici-in-grecia-pietra-di-inciampo-che-vuole-costruire-ponti-18666 (https://www.acistampa.com/story/18666/i-greco-cattolici-in-grecia-pietra-di-inciampo-che-vuole-costruire-ponti-18666)</w:t>
      </w:r>
    </w:p>
    <w:p>
      <w:pPr>
        <w:spacing w:after="120" w:line="276"/>
        <w:jc w:val="both"/>
      </w:pPr>
      <w:r>
        <w:rPr>
          <w:rFonts w:ascii="Barlow Semi Condensed" w:cs="Barlow Semi Condensed" w:eastAsia="Barlow Semi Condensed" w:hAnsi="Barlow Semi Condensed"/>
          <w:b/>
          <w:bCs/>
          <w:sz w:val="24"/>
          <w:szCs w:val="24"/>
        </w:rPr>
        <w:t xml:space="preserve">451.</w:t>
      </w:r>
      <w:r>
        <w:rPr>
          <w:rFonts w:ascii="Barlow Semi Condensed" w:cs="Barlow Semi Condensed" w:eastAsia="Barlow Semi Condensed" w:hAnsi="Barlow Semi Condensed"/>
          <w:sz w:val="24"/>
          <w:szCs w:val="24"/>
        </w:rPr>
        <w:t xml:space="preserve"> La Nuova Bussola Quotidiana — https://lanuovabq.it/it/cristiani-divisi-in-grecia (https://lanuovabq.it/it/cristiani-divisi-in-grecia)</w:t>
      </w:r>
    </w:p>
    <w:p>
      <w:pPr>
        <w:spacing w:after="120" w:line="276"/>
        <w:jc w:val="both"/>
      </w:pPr>
      <w:r>
        <w:rPr>
          <w:rFonts w:ascii="Barlow Semi Condensed" w:cs="Barlow Semi Condensed" w:eastAsia="Barlow Semi Condensed" w:hAnsi="Barlow Semi Condensed"/>
          <w:b/>
          <w:bCs/>
          <w:sz w:val="24"/>
          <w:szCs w:val="24"/>
        </w:rPr>
        <w:t xml:space="preserve">452.</w:t>
      </w:r>
      <w:r>
        <w:rPr>
          <w:rFonts w:ascii="Barlow Semi Condensed" w:cs="Barlow Semi Condensed" w:eastAsia="Barlow Semi Condensed" w:hAnsi="Barlow Semi Condensed"/>
          <w:sz w:val="24"/>
          <w:szCs w:val="24"/>
        </w:rPr>
        <w:t xml:space="preserve"> state — https://history.state.gov/historicaldocuments/frus1969-76v30 (https://history.state.gov/historicaldocuments/frus1969-76v30)</w:t>
      </w:r>
    </w:p>
    <w:p>
      <w:pPr>
        <w:spacing w:after="120" w:line="276"/>
        <w:jc w:val="both"/>
      </w:pPr>
      <w:r>
        <w:rPr>
          <w:rFonts w:ascii="Barlow Semi Condensed" w:cs="Barlow Semi Condensed" w:eastAsia="Barlow Semi Condensed" w:hAnsi="Barlow Semi Condensed"/>
          <w:b/>
          <w:bCs/>
          <w:sz w:val="24"/>
          <w:szCs w:val="24"/>
        </w:rPr>
        <w:t xml:space="preserve">453.</w:t>
      </w:r>
      <w:r>
        <w:rPr>
          <w:rFonts w:ascii="Barlow Semi Condensed" w:cs="Barlow Semi Condensed" w:eastAsia="Barlow Semi Condensed" w:hAnsi="Barlow Semi Condensed"/>
          <w:sz w:val="24"/>
          <w:szCs w:val="24"/>
        </w:rPr>
        <w:t xml:space="preserve"> Esteri — https://www.esteri.it/it/temi/uap/archivio-storico-e-biblioteca/archivio-storico-diplomatico/ (https://www.esteri.it/it/temi/uap/archivio-storico-e-biblioteca/archivio-storico-diplomatico/) </w:t>
      </w:r>
      <w:r>
        <w:rPr>
          <w:rFonts w:ascii="Barlow Semi Condensed" w:cs="Barlow Semi Condensed" w:eastAsia="Barlow Semi Condensed" w:hAnsi="Barlow Semi Condensed"/>
          <w:i/>
          <w:iCs/>
          <w:sz w:val="24"/>
          <w:szCs w:val="24"/>
        </w:rPr>
        <w:t xml:space="preserve">(citato 2 volte)</w:t>
      </w:r>
    </w:p>
    <w:p>
      <w:pPr>
        <w:spacing w:after="120" w:line="276"/>
        <w:jc w:val="both"/>
      </w:pPr>
      <w:r>
        <w:rPr>
          <w:rFonts w:ascii="Barlow Semi Condensed" w:cs="Barlow Semi Condensed" w:eastAsia="Barlow Semi Condensed" w:hAnsi="Barlow Semi Condensed"/>
          <w:b/>
          <w:bCs/>
          <w:sz w:val="24"/>
          <w:szCs w:val="24"/>
        </w:rPr>
        <w:t xml:space="preserve">454.</w:t>
      </w:r>
      <w:r>
        <w:rPr>
          <w:rFonts w:ascii="Barlow Semi Condensed" w:cs="Barlow Semi Condensed" w:eastAsia="Barlow Semi Condensed" w:hAnsi="Barlow Semi Condensed"/>
          <w:sz w:val="24"/>
          <w:szCs w:val="24"/>
        </w:rPr>
        <w:t xml:space="preserve"> Esteri — https://www.esteri.it/it/temi/uap/archivio-storico-e-biblioteca/archivio-storico-diplomatico/storia-e-fondi/ (https://www.esteri.it/it/temi/uap/archivio-storico-e-biblioteca/archivio-storico-diplomatico/storia-e-fondi/) </w:t>
      </w:r>
      <w:r>
        <w:rPr>
          <w:rFonts w:ascii="Barlow Semi Condensed" w:cs="Barlow Semi Condensed" w:eastAsia="Barlow Semi Condensed" w:hAnsi="Barlow Semi Condensed"/>
          <w:i/>
          <w:iCs/>
          <w:sz w:val="24"/>
          <w:szCs w:val="24"/>
        </w:rPr>
        <w:t xml:space="preserve">(citato 2 volte)</w:t>
      </w:r>
    </w:p>
    <w:p>
      <w:pPr>
        <w:spacing w:after="120" w:line="276"/>
        <w:jc w:val="both"/>
      </w:pPr>
      <w:r>
        <w:rPr>
          <w:rFonts w:ascii="Barlow Semi Condensed" w:cs="Barlow Semi Condensed" w:eastAsia="Barlow Semi Condensed" w:hAnsi="Barlow Semi Condensed"/>
          <w:b/>
          <w:bCs/>
          <w:sz w:val="24"/>
          <w:szCs w:val="24"/>
        </w:rPr>
        <w:t xml:space="preserve">455.</w:t>
      </w:r>
      <w:r>
        <w:rPr>
          <w:rFonts w:ascii="Barlow Semi Condensed" w:cs="Barlow Semi Condensed" w:eastAsia="Barlow Semi Condensed" w:hAnsi="Barlow Semi Condensed"/>
          <w:sz w:val="24"/>
          <w:szCs w:val="24"/>
        </w:rPr>
        <w:t xml:space="preserve"> Senato della Repubblica — https://www.senato.it/leg16/3182?newsletter_item=1296&amp;newsletter_numero=122 (https://www.senato.it/leg16/3182?newsletter_item=1296&amp;newsletter_numero=122)</w:t>
      </w:r>
    </w:p>
    <w:p>
      <w:pPr>
        <w:spacing w:after="120" w:line="276"/>
        <w:jc w:val="both"/>
      </w:pPr>
      <w:r>
        <w:rPr>
          <w:rFonts w:ascii="Barlow Semi Condensed" w:cs="Barlow Semi Condensed" w:eastAsia="Barlow Semi Condensed" w:hAnsi="Barlow Semi Condensed"/>
          <w:b/>
          <w:bCs/>
          <w:sz w:val="24"/>
          <w:szCs w:val="24"/>
        </w:rPr>
        <w:t xml:space="preserve">456.</w:t>
      </w:r>
      <w:r>
        <w:rPr>
          <w:rFonts w:ascii="Barlow Semi Condensed" w:cs="Barlow Semi Condensed" w:eastAsia="Barlow Semi Condensed" w:hAnsi="Barlow Semi Condensed"/>
          <w:sz w:val="24"/>
          <w:szCs w:val="24"/>
        </w:rPr>
        <w:t xml:space="preserve"> Esteri — https://www.esteri.it/it/uapsds/archivio-storico-e-biblioteca/archivio-storico-diplomatico/servizi-allutenza/ (https://www.esteri.it/it/uapsds/archivio-storico-e-biblioteca/archivio-storico-diplomatico/servizi-allutenza/) </w:t>
      </w:r>
      <w:r>
        <w:rPr>
          <w:rFonts w:ascii="Barlow Semi Condensed" w:cs="Barlow Semi Condensed" w:eastAsia="Barlow Semi Condensed" w:hAnsi="Barlow Semi Condensed"/>
          <w:i/>
          <w:iCs/>
          <w:sz w:val="24"/>
          <w:szCs w:val="24"/>
        </w:rPr>
        <w:t xml:space="preserve">(citato 3 volte)</w:t>
      </w:r>
    </w:p>
    <w:p>
      <w:pPr>
        <w:spacing w:after="120" w:line="276"/>
        <w:jc w:val="both"/>
      </w:pPr>
      <w:r>
        <w:rPr>
          <w:rFonts w:ascii="Barlow Semi Condensed" w:cs="Barlow Semi Condensed" w:eastAsia="Barlow Semi Condensed" w:hAnsi="Barlow Semi Condensed"/>
          <w:b/>
          <w:bCs/>
          <w:sz w:val="24"/>
          <w:szCs w:val="24"/>
        </w:rPr>
        <w:t xml:space="preserve">457.</w:t>
      </w:r>
      <w:r>
        <w:rPr>
          <w:rFonts w:ascii="Barlow Semi Condensed" w:cs="Barlow Semi Condensed" w:eastAsia="Barlow Semi Condensed" w:hAnsi="Barlow Semi Condensed"/>
          <w:sz w:val="24"/>
          <w:szCs w:val="24"/>
        </w:rPr>
        <w:t xml:space="preserve"> EHRI — https://portal.ehri-project.eu/institutions/it-002863 (https://portal.ehri-project.eu/institutions/it-002863)</w:t>
      </w:r>
    </w:p>
    <w:p>
      <w:pPr>
        <w:pStyle w:val="Heading3"/>
        <w:spacing w:after="80" w:before="160"/>
      </w:pPr>
      <w:r>
        <w:rPr>
          <w:rFonts w:ascii="Barlow Semi Condensed" w:cs="Barlow Semi Condensed" w:eastAsia="Barlow Semi Condensed" w:hAnsi="Barlow Semi Condensed"/>
          <w:sz w:val="24"/>
          <w:szCs w:val="24"/>
        </w:rPr>
        <w:t xml:space="preserve">Libro dodicesimo · VIII — Turchia e Opus Dei 1969-1975</w:t>
      </w:r>
    </w:p>
    <w:p>
      <w:pPr>
        <w:spacing w:after="120" w:line="276"/>
        <w:jc w:val="both"/>
      </w:pPr>
      <w:r>
        <w:rPr>
          <w:rFonts w:ascii="Barlow Semi Condensed" w:cs="Barlow Semi Condensed" w:eastAsia="Barlow Semi Condensed" w:hAnsi="Barlow Semi Condensed"/>
          <w:b/>
          <w:bCs/>
          <w:sz w:val="24"/>
          <w:szCs w:val="24"/>
        </w:rPr>
        <w:t xml:space="preserve">458.</w:t>
      </w:r>
      <w:r>
        <w:rPr>
          <w:rFonts w:ascii="Barlow Semi Condensed" w:cs="Barlow Semi Condensed" w:eastAsia="Barlow Semi Condensed" w:hAnsi="Barlow Semi Condensed"/>
          <w:sz w:val="24"/>
          <w:szCs w:val="24"/>
        </w:rPr>
        <w:t xml:space="preserve"> Wikipedia — https://it.wikipedia.org/wiki/Accordo_di_Ankara_(1963 (https://it.wikipedia.org/wiki/Accordo_di_Ankara_(1963) </w:t>
      </w:r>
      <w:r>
        <w:rPr>
          <w:rFonts w:ascii="Barlow Semi Condensed" w:cs="Barlow Semi Condensed" w:eastAsia="Barlow Semi Condensed" w:hAnsi="Barlow Semi Condensed"/>
          <w:i/>
          <w:iCs/>
          <w:sz w:val="24"/>
          <w:szCs w:val="24"/>
        </w:rPr>
        <w:t xml:space="preserve">(citato 2 volte)</w:t>
      </w:r>
    </w:p>
    <w:p>
      <w:pPr>
        <w:spacing w:after="120" w:line="276"/>
        <w:jc w:val="both"/>
      </w:pPr>
      <w:r>
        <w:rPr>
          <w:rFonts w:ascii="Barlow Semi Condensed" w:cs="Barlow Semi Condensed" w:eastAsia="Barlow Semi Condensed" w:hAnsi="Barlow Semi Condensed"/>
          <w:b/>
          <w:bCs/>
          <w:sz w:val="24"/>
          <w:szCs w:val="24"/>
        </w:rPr>
        <w:t xml:space="preserve">459.</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ab.gov</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(citato in forma d'indirizzo, 2 volte)</w:t>
      </w:r>
    </w:p>
    <w:p>
      <w:pPr>
        <w:spacing w:after="120" w:line="276"/>
        <w:jc w:val="both"/>
      </w:pPr>
      <w:r>
        <w:rPr>
          <w:rFonts w:ascii="Barlow Semi Condensed" w:cs="Barlow Semi Condensed" w:eastAsia="Barlow Semi Condensed" w:hAnsi="Barlow Semi Condensed"/>
          <w:b/>
          <w:bCs/>
          <w:sz w:val="24"/>
          <w:szCs w:val="24"/>
        </w:rPr>
        <w:t xml:space="preserve">460.</w:t>
      </w:r>
      <w:r>
        <w:rPr>
          <w:rFonts w:ascii="Barlow Semi Condensed" w:cs="Barlow Semi Condensed" w:eastAsia="Barlow Semi Condensed" w:hAnsi="Barlow Semi Condensed"/>
          <w:sz w:val="24"/>
          <w:szCs w:val="24"/>
        </w:rPr>
        <w:t xml:space="preserve"> AB Bașkanlığı — https://www.ab.gov.tr/111_en.html (https://www.ab.gov.tr/111_en.html) </w:t>
      </w:r>
      <w:r>
        <w:rPr>
          <w:rFonts w:ascii="Barlow Semi Condensed" w:cs="Barlow Semi Condensed" w:eastAsia="Barlow Semi Condensed" w:hAnsi="Barlow Semi Condensed"/>
          <w:i/>
          <w:iCs/>
          <w:sz w:val="24"/>
          <w:szCs w:val="24"/>
        </w:rPr>
        <w:t xml:space="preserve">(citato 3 volte)</w:t>
      </w:r>
    </w:p>
    <w:p>
      <w:pPr>
        <w:spacing w:after="120" w:line="276"/>
        <w:jc w:val="both"/>
      </w:pPr>
      <w:r>
        <w:rPr>
          <w:rFonts w:ascii="Barlow Semi Condensed" w:cs="Barlow Semi Condensed" w:eastAsia="Barlow Semi Condensed" w:hAnsi="Barlow Semi Condensed"/>
          <w:b/>
          <w:bCs/>
          <w:sz w:val="24"/>
          <w:szCs w:val="24"/>
        </w:rPr>
        <w:t xml:space="preserve">461.</w:t>
      </w:r>
      <w:r>
        <w:rPr>
          <w:rFonts w:ascii="Barlow Semi Condensed" w:cs="Barlow Semi Condensed" w:eastAsia="Barlow Semi Condensed" w:hAnsi="Barlow Semi Condensed"/>
          <w:sz w:val="24"/>
          <w:szCs w:val="24"/>
        </w:rPr>
        <w:t xml:space="preserve"> European Parliament — https://www.europarl.europa.eu/delegations/en/d-tr/documents/eu-texts (https://www.europarl.europa.eu/delegations/en/d-tr/documents/eu-texts)</w:t>
      </w:r>
    </w:p>
    <w:p>
      <w:pPr>
        <w:spacing w:after="120" w:line="276"/>
        <w:jc w:val="both"/>
      </w:pPr>
      <w:r>
        <w:rPr>
          <w:rFonts w:ascii="Barlow Semi Condensed" w:cs="Barlow Semi Condensed" w:eastAsia="Barlow Semi Condensed" w:hAnsi="Barlow Semi Condensed"/>
          <w:b/>
          <w:bCs/>
          <w:sz w:val="24"/>
          <w:szCs w:val="24"/>
        </w:rPr>
        <w:t xml:space="preserve">462.</w:t>
      </w:r>
      <w:r>
        <w:rPr>
          <w:rFonts w:ascii="Barlow Semi Condensed" w:cs="Barlow Semi Condensed" w:eastAsia="Barlow Semi Condensed" w:hAnsi="Barlow Semi Condensed"/>
          <w:sz w:val="24"/>
          <w:szCs w:val="24"/>
        </w:rPr>
        <w:t xml:space="preserve"> EUR-Lex — https://eur-lex.europa.eu/LexUriServ/LexUriServ.do?uri=CELEX%3A31971R1842%3AIT%3AHTML (https://eur-lex.europa.eu/LexUriServ/LexUriServ.do?uri=CELEX%3A31971R1842%3AIT%3AHTML) </w:t>
      </w:r>
      <w:r>
        <w:rPr>
          <w:rFonts w:ascii="Barlow Semi Condensed" w:cs="Barlow Semi Condensed" w:eastAsia="Barlow Semi Condensed" w:hAnsi="Barlow Semi Condensed"/>
          <w:i/>
          <w:iCs/>
          <w:sz w:val="24"/>
          <w:szCs w:val="24"/>
        </w:rPr>
        <w:t xml:space="preserve">(citato 3 volte)</w:t>
      </w:r>
    </w:p>
    <w:p>
      <w:pPr>
        <w:spacing w:after="120" w:line="276"/>
        <w:jc w:val="both"/>
      </w:pPr>
      <w:r>
        <w:rPr>
          <w:rFonts w:ascii="Barlow Semi Condensed" w:cs="Barlow Semi Condensed" w:eastAsia="Barlow Semi Condensed" w:hAnsi="Barlow Semi Condensed"/>
          <w:b/>
          <w:bCs/>
          <w:sz w:val="24"/>
          <w:szCs w:val="24"/>
        </w:rPr>
        <w:t xml:space="preserve">463.</w:t>
      </w:r>
      <w:r>
        <w:rPr>
          <w:rFonts w:ascii="Barlow Semi Condensed" w:cs="Barlow Semi Condensed" w:eastAsia="Barlow Semi Condensed" w:hAnsi="Barlow Semi Condensed"/>
          <w:sz w:val="24"/>
          <w:szCs w:val="24"/>
        </w:rPr>
        <w:t xml:space="preserve"> EUR-Lex — https://eur-lex.europa.eu/legal-content/IT/TXT/?uri=CELEX%3A31973R0428 (https://eur-lex.europa.eu/legal-content/IT/TXT/?uri=CELEX%3A31973R0428)</w:t>
      </w:r>
    </w:p>
    <w:p>
      <w:pPr>
        <w:spacing w:after="120" w:line="276"/>
        <w:jc w:val="both"/>
      </w:pPr>
      <w:r>
        <w:rPr>
          <w:rFonts w:ascii="Barlow Semi Condensed" w:cs="Barlow Semi Condensed" w:eastAsia="Barlow Semi Condensed" w:hAnsi="Barlow Semi Condensed"/>
          <w:b/>
          <w:bCs/>
          <w:sz w:val="24"/>
          <w:szCs w:val="24"/>
        </w:rPr>
        <w:t xml:space="preserve">464.</w:t>
      </w:r>
      <w:r>
        <w:rPr>
          <w:rFonts w:ascii="Barlow Semi Condensed" w:cs="Barlow Semi Condensed" w:eastAsia="Barlow Semi Condensed" w:hAnsi="Barlow Semi Condensed"/>
          <w:sz w:val="24"/>
          <w:szCs w:val="24"/>
        </w:rPr>
        <w:t xml:space="preserve"> Cambridge Core — https://www.cambridge.org/core/journals/international-and-comparative-law-quarterly/article/abs/ii-the-ankara-agreement-turkey-and-the-eu/F0EB341D436F195721DC25D49CE61DC0 (https://www.cambridge.org/core/journals/international-and-comparative-law-quarterly/article/abs/ii-the-ankara-agreement-turkey-and-the-eu/F0EB341D436F195721DC25D49CE61DC0)</w:t>
      </w:r>
    </w:p>
    <w:p>
      <w:pPr>
        <w:spacing w:after="120" w:line="276"/>
        <w:jc w:val="both"/>
      </w:pPr>
      <w:r>
        <w:rPr>
          <w:rFonts w:ascii="Barlow Semi Condensed" w:cs="Barlow Semi Condensed" w:eastAsia="Barlow Semi Condensed" w:hAnsi="Barlow Semi Condensed"/>
          <w:b/>
          <w:bCs/>
          <w:sz w:val="24"/>
          <w:szCs w:val="24"/>
        </w:rPr>
        <w:t xml:space="preserve">465.</w:t>
      </w:r>
      <w:r>
        <w:rPr>
          <w:rFonts w:ascii="Barlow Semi Condensed" w:cs="Barlow Semi Condensed" w:eastAsia="Barlow Semi Condensed" w:hAnsi="Barlow Semi Condensed"/>
          <w:sz w:val="24"/>
          <w:szCs w:val="24"/>
        </w:rPr>
        <w:t xml:space="preserve"> EUR-Lex — https://eur-lex.europa.eu/legal-content/IT/TXT/PDF/?uri=CELEX:01964A1229(01 (https://eur-lex.europa.eu/legal-content/IT/TXT/PDF/?uri=CELEX:01964A1229(01)</w:t>
      </w:r>
    </w:p>
    <w:p>
      <w:pPr>
        <w:spacing w:after="120" w:line="276"/>
        <w:jc w:val="both"/>
      </w:pPr>
      <w:r>
        <w:rPr>
          <w:rFonts w:ascii="Barlow Semi Condensed" w:cs="Barlow Semi Condensed" w:eastAsia="Barlow Semi Condensed" w:hAnsi="Barlow Semi Condensed"/>
          <w:b/>
          <w:bCs/>
          <w:sz w:val="24"/>
          <w:szCs w:val="24"/>
        </w:rPr>
        <w:t xml:space="preserve">466.</w:t>
      </w:r>
      <w:r>
        <w:rPr>
          <w:rFonts w:ascii="Barlow Semi Condensed" w:cs="Barlow Semi Condensed" w:eastAsia="Barlow Semi Condensed" w:hAnsi="Barlow Semi Condensed"/>
          <w:sz w:val="24"/>
          <w:szCs w:val="24"/>
        </w:rPr>
        <w:t xml:space="preserve"> EUR-Lex — https://eur-lex.europa.eu/LexUriServ/LexUriServ.do?uri=CELEX:21970A1123(01 (https://eur-lex.europa.eu/LexUriServ/LexUriServ.do?uri=CELEX:21970A1123(01)</w:t>
      </w:r>
    </w:p>
    <w:p>
      <w:pPr>
        <w:spacing w:after="120" w:line="276"/>
        <w:jc w:val="both"/>
      </w:pPr>
      <w:r>
        <w:rPr>
          <w:rFonts w:ascii="Barlow Semi Condensed" w:cs="Barlow Semi Condensed" w:eastAsia="Barlow Semi Condensed" w:hAnsi="Barlow Semi Condensed"/>
          <w:b/>
          <w:bCs/>
          <w:sz w:val="24"/>
          <w:szCs w:val="24"/>
        </w:rPr>
        <w:t xml:space="preserve">467.</w:t>
      </w:r>
      <w:r>
        <w:rPr>
          <w:rFonts w:ascii="Barlow Semi Condensed" w:cs="Barlow Semi Condensed" w:eastAsia="Barlow Semi Condensed" w:hAnsi="Barlow Semi Condensed"/>
          <w:sz w:val="24"/>
          <w:szCs w:val="24"/>
        </w:rPr>
        <w:t xml:space="preserve"> EUR-Lex — https://eur-lex.europa.eu/legal-content/IT/TXT/HTML/?uri=CELEX:62013CC0138&amp;from=IT (https://eur-lex.europa.eu/legal-content/IT/TXT/HTML/?uri=CELEX:62013CC0138&amp;from=IT)</w:t>
      </w:r>
    </w:p>
    <w:p>
      <w:pPr>
        <w:spacing w:after="120" w:line="276"/>
        <w:jc w:val="both"/>
      </w:pPr>
      <w:r>
        <w:rPr>
          <w:rFonts w:ascii="Barlow Semi Condensed" w:cs="Barlow Semi Condensed" w:eastAsia="Barlow Semi Condensed" w:hAnsi="Barlow Semi Condensed"/>
          <w:b/>
          <w:bCs/>
          <w:sz w:val="24"/>
          <w:szCs w:val="24"/>
        </w:rPr>
        <w:t xml:space="preserve">468.</w:t>
      </w:r>
      <w:r>
        <w:rPr>
          <w:rFonts w:ascii="Barlow Semi Condensed" w:cs="Barlow Semi Condensed" w:eastAsia="Barlow Semi Condensed" w:hAnsi="Barlow Semi Condensed"/>
          <w:sz w:val="24"/>
          <w:szCs w:val="24"/>
        </w:rPr>
        <w:t xml:space="preserve"> EUR-Lex — https://eur-lex.europa.eu/legal-content/IT/TXT/HTML/?amp=&amp;from=IT&amp;uri=CELEX%3A22014A0507%2801%29 (https://eur-lex.europa.eu/legal-content/IT/TXT/HTML/?amp=&amp;from=IT&amp;uri=CELEX%3A22014A0507%2801%29)</w:t>
      </w:r>
    </w:p>
    <w:p>
      <w:pPr>
        <w:spacing w:after="120" w:line="276"/>
        <w:jc w:val="both"/>
      </w:pPr>
      <w:r>
        <w:rPr>
          <w:rFonts w:ascii="Barlow Semi Condensed" w:cs="Barlow Semi Condensed" w:eastAsia="Barlow Semi Condensed" w:hAnsi="Barlow Semi Condensed"/>
          <w:b/>
          <w:bCs/>
          <w:sz w:val="24"/>
          <w:szCs w:val="24"/>
        </w:rPr>
        <w:t xml:space="preserve">469.</w:t>
      </w:r>
      <w:r>
        <w:rPr>
          <w:rFonts w:ascii="Barlow Semi Condensed" w:cs="Barlow Semi Condensed" w:eastAsia="Barlow Semi Condensed" w:hAnsi="Barlow Semi Condensed"/>
          <w:sz w:val="24"/>
          <w:szCs w:val="24"/>
        </w:rPr>
        <w:t xml:space="preserve"> EUR-Lex — https://eur-lex.europa.eu/legal-content/EN/ALL/?uri=CELEX%3A21970A1123%2801%29 (https://eur-lex.europa.eu/legal-content/EN/ALL/?uri=CELEX%3A21970A1123%2801%29)</w:t>
      </w:r>
    </w:p>
    <w:p>
      <w:pPr>
        <w:spacing w:after="120" w:line="276"/>
        <w:jc w:val="both"/>
      </w:pPr>
      <w:r>
        <w:rPr>
          <w:rFonts w:ascii="Barlow Semi Condensed" w:cs="Barlow Semi Condensed" w:eastAsia="Barlow Semi Condensed" w:hAnsi="Barlow Semi Condensed"/>
          <w:b/>
          <w:bCs/>
          <w:sz w:val="24"/>
          <w:szCs w:val="24"/>
        </w:rPr>
        <w:t xml:space="preserve">470.</w:t>
      </w:r>
      <w:r>
        <w:rPr>
          <w:rFonts w:ascii="Barlow Semi Condensed" w:cs="Barlow Semi Condensed" w:eastAsia="Barlow Semi Condensed" w:hAnsi="Barlow Semi Condensed"/>
          <w:sz w:val="24"/>
          <w:szCs w:val="24"/>
        </w:rPr>
        <w:t xml:space="preserve"> EUR-Lex — https://eur-lex.europa.eu/legal-content/IT/ALL/?uri=CELEX%3A21964A1229%2801%29 (https://eur-lex.europa.eu/legal-content/IT/ALL/?uri=CELEX%3A21964A1229%2801%29)</w:t>
      </w:r>
    </w:p>
    <w:p>
      <w:pPr>
        <w:spacing w:after="120" w:line="276"/>
        <w:jc w:val="both"/>
      </w:pPr>
      <w:r>
        <w:rPr>
          <w:rFonts w:ascii="Barlow Semi Condensed" w:cs="Barlow Semi Condensed" w:eastAsia="Barlow Semi Condensed" w:hAnsi="Barlow Semi Condensed"/>
          <w:b/>
          <w:bCs/>
          <w:sz w:val="24"/>
          <w:szCs w:val="24"/>
        </w:rPr>
        <w:t xml:space="preserve">471.</w:t>
      </w:r>
      <w:r>
        <w:rPr>
          <w:rFonts w:ascii="Barlow Semi Condensed" w:cs="Barlow Semi Condensed" w:eastAsia="Barlow Semi Condensed" w:hAnsi="Barlow Semi Condensed"/>
          <w:sz w:val="24"/>
          <w:szCs w:val="24"/>
        </w:rPr>
        <w:t xml:space="preserve"> EUR-Lex — https://eur-lex.europa.eu/LexUriServ/LexUriServ.do?uri=CELEX%3A21973A1003%2801%29%3AIT%3AHTML (https://eur-lex.europa.eu/LexUriServ/LexUriServ.do?uri=CELEX%3A21973A1003%2801%29%3AIT%3AHTML)</w:t>
      </w:r>
    </w:p>
    <w:p>
      <w:pPr>
        <w:spacing w:after="120" w:line="276"/>
        <w:jc w:val="both"/>
      </w:pPr>
      <w:r>
        <w:rPr>
          <w:rFonts w:ascii="Barlow Semi Condensed" w:cs="Barlow Semi Condensed" w:eastAsia="Barlow Semi Condensed" w:hAnsi="Barlow Semi Condensed"/>
          <w:b/>
          <w:bCs/>
          <w:sz w:val="24"/>
          <w:szCs w:val="24"/>
        </w:rPr>
        <w:t xml:space="preserve">472.</w:t>
      </w:r>
      <w:r>
        <w:rPr>
          <w:rFonts w:ascii="Barlow Semi Condensed" w:cs="Barlow Semi Condensed" w:eastAsia="Barlow Semi Condensed" w:hAnsi="Barlow Semi Condensed"/>
          <w:sz w:val="24"/>
          <w:szCs w:val="24"/>
        </w:rPr>
        <w:t xml:space="preserve"> Senato della Repubblica — https://www.senato.it/service/PDF/PDFServer/DF/311398.pdf (https://www.senato.it/service/PDF/PDFServer/DF/311398.pdf)</w:t>
      </w:r>
    </w:p>
    <w:p>
      <w:pPr>
        <w:spacing w:after="120" w:line="276"/>
        <w:jc w:val="both"/>
      </w:pPr>
      <w:r>
        <w:rPr>
          <w:rFonts w:ascii="Barlow Semi Condensed" w:cs="Barlow Semi Condensed" w:eastAsia="Barlow Semi Condensed" w:hAnsi="Barlow Semi Condensed"/>
          <w:b/>
          <w:bCs/>
          <w:sz w:val="24"/>
          <w:szCs w:val="24"/>
        </w:rPr>
        <w:t xml:space="preserve">473.</w:t>
      </w:r>
      <w:r>
        <w:rPr>
          <w:rFonts w:ascii="Barlow Semi Condensed" w:cs="Barlow Semi Condensed" w:eastAsia="Barlow Semi Condensed" w:hAnsi="Barlow Semi Condensed"/>
          <w:sz w:val="24"/>
          <w:szCs w:val="24"/>
        </w:rPr>
        <w:t xml:space="preserve"> Wikipedia — https://en.wikipedia.org/wiki/Turan_G%C3%BCne%C5%9F (https://en.wikipedia.org/wiki/Turan_G%C3%BCne%C5%9F)</w:t>
      </w:r>
    </w:p>
    <w:p>
      <w:pPr>
        <w:spacing w:after="120" w:line="276"/>
        <w:jc w:val="both"/>
      </w:pPr>
      <w:r>
        <w:rPr>
          <w:rFonts w:ascii="Barlow Semi Condensed" w:cs="Barlow Semi Condensed" w:eastAsia="Barlow Semi Condensed" w:hAnsi="Barlow Semi Condensed"/>
          <w:b/>
          <w:bCs/>
          <w:sz w:val="24"/>
          <w:szCs w:val="24"/>
        </w:rPr>
        <w:t xml:space="preserve">474.</w:t>
      </w:r>
      <w:r>
        <w:rPr>
          <w:rFonts w:ascii="Barlow Semi Condensed" w:cs="Barlow Semi Condensed" w:eastAsia="Barlow Semi Condensed" w:hAnsi="Barlow Semi Condensed"/>
          <w:sz w:val="24"/>
          <w:szCs w:val="24"/>
        </w:rPr>
        <w:t xml:space="preserve"> New World Encyclopedia — https://www.newworldencyclopedia.org/entry/Turkish_invasion_of_Cyprus (https://www.newworldencyclopedia.org/entry/Turkish_invasion_of_Cyprus) </w:t>
      </w:r>
      <w:r>
        <w:rPr>
          <w:rFonts w:ascii="Barlow Semi Condensed" w:cs="Barlow Semi Condensed" w:eastAsia="Barlow Semi Condensed" w:hAnsi="Barlow Semi Condensed"/>
          <w:i/>
          <w:iCs/>
          <w:sz w:val="24"/>
          <w:szCs w:val="24"/>
        </w:rPr>
        <w:t xml:space="preserve">(citato 2 volte)</w:t>
      </w:r>
    </w:p>
    <w:p>
      <w:pPr>
        <w:spacing w:after="120" w:line="276"/>
        <w:jc w:val="both"/>
      </w:pPr>
      <w:r>
        <w:rPr>
          <w:rFonts w:ascii="Barlow Semi Condensed" w:cs="Barlow Semi Condensed" w:eastAsia="Barlow Semi Condensed" w:hAnsi="Barlow Semi Condensed"/>
          <w:b/>
          <w:bCs/>
          <w:sz w:val="24"/>
          <w:szCs w:val="24"/>
        </w:rPr>
        <w:t xml:space="preserve">475.</w:t>
      </w:r>
      <w:r>
        <w:rPr>
          <w:rFonts w:ascii="Barlow Semi Condensed" w:cs="Barlow Semi Condensed" w:eastAsia="Barlow Semi Condensed" w:hAnsi="Barlow Semi Condensed"/>
          <w:sz w:val="24"/>
          <w:szCs w:val="24"/>
        </w:rPr>
        <w:t xml:space="preserve"> Government of Cyprus — https://www.gov.cy/mfa/en/documents/turkish-military-invasion-and-occupation/ (https://www.gov.cy/mfa/en/documents/turkish-military-invasion-and-occupation/)</w:t>
      </w:r>
    </w:p>
    <w:p>
      <w:pPr>
        <w:spacing w:after="120" w:line="276"/>
        <w:jc w:val="both"/>
      </w:pPr>
      <w:r>
        <w:rPr>
          <w:rFonts w:ascii="Barlow Semi Condensed" w:cs="Barlow Semi Condensed" w:eastAsia="Barlow Semi Condensed" w:hAnsi="Barlow Semi Condensed"/>
          <w:b/>
          <w:bCs/>
          <w:sz w:val="24"/>
          <w:szCs w:val="24"/>
        </w:rPr>
        <w:t xml:space="preserve">476.</w:t>
      </w:r>
      <w:r>
        <w:rPr>
          <w:rFonts w:ascii="Barlow Semi Condensed" w:cs="Barlow Semi Condensed" w:eastAsia="Barlow Semi Condensed" w:hAnsi="Barlow Semi Condensed"/>
          <w:sz w:val="24"/>
          <w:szCs w:val="24"/>
        </w:rPr>
        <w:t xml:space="preserve"> Cyprus Mail — https://cyprus-mail.com/2026/08/14/cyprus-commemorates-anniversary-of-second-phase-of-invasion (https://cyprus-mail.com/2026/08/14/cyprus-commemorates-anniversary-of-second-phase-of-invasion)</w:t>
      </w:r>
    </w:p>
    <w:p>
      <w:pPr>
        <w:spacing w:after="120" w:line="276"/>
        <w:jc w:val="both"/>
      </w:pPr>
      <w:r>
        <w:rPr>
          <w:rFonts w:ascii="Barlow Semi Condensed" w:cs="Barlow Semi Condensed" w:eastAsia="Barlow Semi Condensed" w:hAnsi="Barlow Semi Condensed"/>
          <w:b/>
          <w:bCs/>
          <w:sz w:val="24"/>
          <w:szCs w:val="24"/>
        </w:rPr>
        <w:t xml:space="preserve">477.</w:t>
      </w:r>
      <w:r>
        <w:rPr>
          <w:rFonts w:ascii="Barlow Semi Condensed" w:cs="Barlow Semi Condensed" w:eastAsia="Barlow Semi Condensed" w:hAnsi="Barlow Semi Condensed"/>
          <w:sz w:val="24"/>
          <w:szCs w:val="24"/>
        </w:rPr>
        <w:t xml:space="preserve"> state — https://history.state.gov/historicaldocuments/frus1977-80v21/d117 (https://history.state.gov/historicaldocuments/frus1977-80v21/d117)</w:t>
      </w:r>
    </w:p>
    <w:p>
      <w:pPr>
        <w:spacing w:after="120" w:line="276"/>
        <w:jc w:val="both"/>
      </w:pPr>
      <w:r>
        <w:rPr>
          <w:rFonts w:ascii="Barlow Semi Condensed" w:cs="Barlow Semi Condensed" w:eastAsia="Barlow Semi Condensed" w:hAnsi="Barlow Semi Condensed"/>
          <w:b/>
          <w:bCs/>
          <w:sz w:val="24"/>
          <w:szCs w:val="24"/>
        </w:rPr>
        <w:t xml:space="preserve">478.</w:t>
      </w:r>
      <w:r>
        <w:rPr>
          <w:rFonts w:ascii="Barlow Semi Condensed" w:cs="Barlow Semi Condensed" w:eastAsia="Barlow Semi Condensed" w:hAnsi="Barlow Semi Condensed"/>
          <w:sz w:val="24"/>
          <w:szCs w:val="24"/>
        </w:rPr>
        <w:t xml:space="preserve"> Parikiaki — https://www.parikiaki.com/2026/08/%CF%84oday-marks-second-phase-of-1974-barbaric-turkish-invasion-of-cyprus/ (https://www.parikiaki.com/2026/08/%CF%84oday-marks-second-phase-of-1974-barbaric-turkish-invasion-of-cyprus/)</w:t>
      </w:r>
    </w:p>
    <w:p>
      <w:pPr>
        <w:spacing w:after="120" w:line="276"/>
        <w:jc w:val="both"/>
      </w:pPr>
      <w:r>
        <w:rPr>
          <w:rFonts w:ascii="Barlow Semi Condensed" w:cs="Barlow Semi Condensed" w:eastAsia="Barlow Semi Condensed" w:hAnsi="Barlow Semi Condensed"/>
          <w:b/>
          <w:bCs/>
          <w:sz w:val="24"/>
          <w:szCs w:val="24"/>
        </w:rPr>
        <w:t xml:space="preserve">479.</w:t>
      </w:r>
      <w:r>
        <w:rPr>
          <w:rFonts w:ascii="Barlow Semi Condensed" w:cs="Barlow Semi Condensed" w:eastAsia="Barlow Semi Condensed" w:hAnsi="Barlow Semi Condensed"/>
          <w:sz w:val="24"/>
          <w:szCs w:val="24"/>
        </w:rPr>
        <w:t xml:space="preserve"> Unibo — https://aldomorodigitale.unibo.it/additional_resources/?id=141&amp;type=introduction (https://aldomorodigitale.unibo.it/additional_resources/?id=141&amp;type=introduction) </w:t>
      </w:r>
      <w:r>
        <w:rPr>
          <w:rFonts w:ascii="Barlow Semi Condensed" w:cs="Barlow Semi Condensed" w:eastAsia="Barlow Semi Condensed" w:hAnsi="Barlow Semi Condensed"/>
          <w:i/>
          <w:iCs/>
          <w:sz w:val="24"/>
          <w:szCs w:val="24"/>
        </w:rPr>
        <w:t xml:space="preserve">(citato 2 volte)</w:t>
      </w:r>
    </w:p>
    <w:p>
      <w:pPr>
        <w:spacing w:after="120" w:line="276"/>
        <w:jc w:val="both"/>
      </w:pPr>
      <w:r>
        <w:rPr>
          <w:rFonts w:ascii="Barlow Semi Condensed" w:cs="Barlow Semi Condensed" w:eastAsia="Barlow Semi Condensed" w:hAnsi="Barlow Semi Condensed"/>
          <w:b/>
          <w:bCs/>
          <w:sz w:val="24"/>
          <w:szCs w:val="24"/>
        </w:rPr>
        <w:t xml:space="preserve">480.</w:t>
      </w:r>
      <w:r>
        <w:rPr>
          <w:rFonts w:ascii="Barlow Semi Condensed" w:cs="Barlow Semi Condensed" w:eastAsia="Barlow Semi Condensed" w:hAnsi="Barlow Semi Condensed"/>
          <w:sz w:val="24"/>
          <w:szCs w:val="24"/>
        </w:rPr>
        <w:t xml:space="preserve"> Martinkramer — https://martinkramer.org/wp-content/uploads/2025/09/cyprus-1974.pdf (https://martinkramer.org/wp-content/uploads/2025/09/cyprus-1974.pdf)</w:t>
      </w:r>
    </w:p>
    <w:p>
      <w:pPr>
        <w:spacing w:after="120" w:line="276"/>
        <w:jc w:val="both"/>
      </w:pPr>
      <w:r>
        <w:rPr>
          <w:rFonts w:ascii="Barlow Semi Condensed" w:cs="Barlow Semi Condensed" w:eastAsia="Barlow Semi Condensed" w:hAnsi="Barlow Semi Condensed"/>
          <w:b/>
          <w:bCs/>
          <w:sz w:val="24"/>
          <w:szCs w:val="24"/>
        </w:rPr>
        <w:t xml:space="preserve">481.</w:t>
      </w:r>
      <w:r>
        <w:rPr>
          <w:rFonts w:ascii="Barlow Semi Condensed" w:cs="Barlow Semi Condensed" w:eastAsia="Barlow Semi Condensed" w:hAnsi="Barlow Semi Condensed"/>
          <w:sz w:val="24"/>
          <w:szCs w:val="24"/>
        </w:rPr>
        <w:t xml:space="preserve"> umich — https://digital.bentley.umich.edu/midaily/mdp.39015071754639/361/download_text (https://digital.bentley.umich.edu/midaily/mdp.39015071754639/361/download_text) </w:t>
      </w:r>
      <w:r>
        <w:rPr>
          <w:rFonts w:ascii="Barlow Semi Condensed" w:cs="Barlow Semi Condensed" w:eastAsia="Barlow Semi Condensed" w:hAnsi="Barlow Semi Condensed"/>
          <w:i/>
          <w:iCs/>
          <w:sz w:val="24"/>
          <w:szCs w:val="24"/>
        </w:rPr>
        <w:t xml:space="preserve">(citato 2 volte)</w:t>
      </w:r>
    </w:p>
    <w:p>
      <w:pPr>
        <w:spacing w:after="120" w:line="276"/>
        <w:jc w:val="both"/>
      </w:pPr>
      <w:r>
        <w:rPr>
          <w:rFonts w:ascii="Barlow Semi Condensed" w:cs="Barlow Semi Condensed" w:eastAsia="Barlow Semi Condensed" w:hAnsi="Barlow Semi Condensed"/>
          <w:b/>
          <w:bCs/>
          <w:sz w:val="24"/>
          <w:szCs w:val="24"/>
        </w:rPr>
        <w:t xml:space="preserve">482.</w:t>
      </w:r>
      <w:r>
        <w:rPr>
          <w:rFonts w:ascii="Barlow Semi Condensed" w:cs="Barlow Semi Condensed" w:eastAsia="Barlow Semi Condensed" w:hAnsi="Barlow Semi Condensed"/>
          <w:sz w:val="24"/>
          <w:szCs w:val="24"/>
        </w:rPr>
        <w:t xml:space="preserve"> msu — https://archive.lib.msu.edu/DMC/state_news/1975/state_news_19750725.pdf (https://archive.lib.msu.edu/DMC/state_news/1975/state_news_19750725.pdf)</w:t>
      </w:r>
    </w:p>
    <w:p>
      <w:pPr>
        <w:spacing w:after="120" w:line="276"/>
        <w:jc w:val="both"/>
      </w:pPr>
      <w:r>
        <w:rPr>
          <w:rFonts w:ascii="Barlow Semi Condensed" w:cs="Barlow Semi Condensed" w:eastAsia="Barlow Semi Condensed" w:hAnsi="Barlow Semi Condensed"/>
          <w:b/>
          <w:bCs/>
          <w:sz w:val="24"/>
          <w:szCs w:val="24"/>
        </w:rPr>
        <w:t xml:space="preserve">483.</w:t>
      </w:r>
      <w:r>
        <w:rPr>
          <w:rFonts w:ascii="Barlow Semi Condensed" w:cs="Barlow Semi Condensed" w:eastAsia="Barlow Semi Condensed" w:hAnsi="Barlow Semi Condensed"/>
          <w:sz w:val="24"/>
          <w:szCs w:val="24"/>
        </w:rPr>
        <w:t xml:space="preserve"> state — https://history.state.gov/historicaldocuments/frus1977-80v21/d121 (https://history.state.gov/historicaldocuments/frus1977-80v21/d121)</w:t>
      </w:r>
    </w:p>
    <w:p>
      <w:pPr>
        <w:spacing w:after="120" w:line="276"/>
        <w:jc w:val="both"/>
      </w:pPr>
      <w:r>
        <w:rPr>
          <w:rFonts w:ascii="Barlow Semi Condensed" w:cs="Barlow Semi Condensed" w:eastAsia="Barlow Semi Condensed" w:hAnsi="Barlow Semi Condensed"/>
          <w:b/>
          <w:bCs/>
          <w:sz w:val="24"/>
          <w:szCs w:val="24"/>
        </w:rPr>
        <w:t xml:space="preserve">484.</w:t>
      </w:r>
      <w:r>
        <w:rPr>
          <w:rFonts w:ascii="Barlow Semi Condensed" w:cs="Barlow Semi Condensed" w:eastAsia="Barlow Semi Condensed" w:hAnsi="Barlow Semi Condensed"/>
          <w:sz w:val="24"/>
          <w:szCs w:val="24"/>
        </w:rPr>
        <w:t xml:space="preserve"> DEU University — https://web.deu.edu.tr/kibris/articles/aftermath.html (https://web.deu.edu.tr/kibris/articles/aftermath.html)</w:t>
      </w:r>
    </w:p>
    <w:p>
      <w:pPr>
        <w:spacing w:after="120" w:line="276"/>
        <w:jc w:val="both"/>
      </w:pPr>
      <w:r>
        <w:rPr>
          <w:rFonts w:ascii="Barlow Semi Condensed" w:cs="Barlow Semi Condensed" w:eastAsia="Barlow Semi Condensed" w:hAnsi="Barlow Semi Condensed"/>
          <w:b/>
          <w:bCs/>
          <w:sz w:val="24"/>
          <w:szCs w:val="24"/>
        </w:rPr>
        <w:t xml:space="preserve">485.</w:t>
      </w:r>
      <w:r>
        <w:rPr>
          <w:rFonts w:ascii="Barlow Semi Condensed" w:cs="Barlow Semi Condensed" w:eastAsia="Barlow Semi Condensed" w:hAnsi="Barlow Semi Condensed"/>
          <w:sz w:val="24"/>
          <w:szCs w:val="24"/>
        </w:rPr>
        <w:t xml:space="preserve"> Eliamep — https://www.eliamep.gr/en/oi-ellinotourkikes-diafores-sto-thalassio-choro-apo-tin-optiki-tou-diethnous-dikaiou/ (https://www.eliamep.gr/en/oi-ellinotourkikes-diafores-sto-thalassio-choro-apo-tin-optiki-tou-diethnous-dikaiou/)</w:t>
      </w:r>
    </w:p>
    <w:p>
      <w:pPr>
        <w:spacing w:after="120" w:line="276"/>
        <w:jc w:val="both"/>
      </w:pPr>
      <w:r>
        <w:rPr>
          <w:rFonts w:ascii="Barlow Semi Condensed" w:cs="Barlow Semi Condensed" w:eastAsia="Barlow Semi Condensed" w:hAnsi="Barlow Semi Condensed"/>
          <w:b/>
          <w:bCs/>
          <w:sz w:val="24"/>
          <w:szCs w:val="24"/>
        </w:rPr>
        <w:t xml:space="preserve">486.</w:t>
      </w:r>
      <w:r>
        <w:rPr>
          <w:rFonts w:ascii="Barlow Semi Condensed" w:cs="Barlow Semi Condensed" w:eastAsia="Barlow Semi Condensed" w:hAnsi="Barlow Semi Condensed"/>
          <w:sz w:val="24"/>
          <w:szCs w:val="24"/>
        </w:rPr>
        <w:t xml:space="preserve"> International Court of Justice — https://www.icj-cij.org/node/103115 (https://www.icj-cij.org/node/103115) </w:t>
      </w:r>
      <w:r>
        <w:rPr>
          <w:rFonts w:ascii="Barlow Semi Condensed" w:cs="Barlow Semi Condensed" w:eastAsia="Barlow Semi Condensed" w:hAnsi="Barlow Semi Condensed"/>
          <w:i/>
          <w:iCs/>
          <w:sz w:val="24"/>
          <w:szCs w:val="24"/>
        </w:rPr>
        <w:t xml:space="preserve">(citato 3 volte)</w:t>
      </w:r>
    </w:p>
    <w:p>
      <w:pPr>
        <w:spacing w:after="120" w:line="276"/>
        <w:jc w:val="both"/>
      </w:pPr>
      <w:r>
        <w:rPr>
          <w:rFonts w:ascii="Barlow Semi Condensed" w:cs="Barlow Semi Condensed" w:eastAsia="Barlow Semi Condensed" w:hAnsi="Barlow Semi Condensed"/>
          <w:b/>
          <w:bCs/>
          <w:sz w:val="24"/>
          <w:szCs w:val="24"/>
        </w:rPr>
        <w:t xml:space="preserve">487.</w:t>
      </w:r>
      <w:r>
        <w:rPr>
          <w:rFonts w:ascii="Barlow Semi Condensed" w:cs="Barlow Semi Condensed" w:eastAsia="Barlow Semi Condensed" w:hAnsi="Barlow Semi Condensed"/>
          <w:sz w:val="24"/>
          <w:szCs w:val="24"/>
        </w:rPr>
        <w:t xml:space="preserve"> ResearchGate — https://www.researchgate.net/publication/340592573_Aegean_Sea_Continental_Shelf_Greece_v_Turkey (https://www.researchgate.net/publication/340592573_Aegean_Sea_Continental_Shelf_Greece_v_Turkey)</w:t>
      </w:r>
    </w:p>
    <w:p>
      <w:pPr>
        <w:spacing w:after="120" w:line="276"/>
        <w:jc w:val="both"/>
      </w:pPr>
      <w:r>
        <w:rPr>
          <w:rFonts w:ascii="Barlow Semi Condensed" w:cs="Barlow Semi Condensed" w:eastAsia="Barlow Semi Condensed" w:hAnsi="Barlow Semi Condensed"/>
          <w:b/>
          <w:bCs/>
          <w:sz w:val="24"/>
          <w:szCs w:val="24"/>
        </w:rPr>
        <w:t xml:space="preserve">488.</w:t>
      </w:r>
      <w:r>
        <w:rPr>
          <w:rFonts w:ascii="Barlow Semi Condensed" w:cs="Barlow Semi Condensed" w:eastAsia="Barlow Semi Condensed" w:hAnsi="Barlow Semi Condensed"/>
          <w:sz w:val="24"/>
          <w:szCs w:val="24"/>
        </w:rPr>
        <w:t xml:space="preserve"> Taylor &amp; Francis Online — https://www.tandfonline.com/doi/abs/10.1080/00908320590909088 (https://www.tandfonline.com/doi/abs/10.1080/00908320590909088) </w:t>
      </w:r>
      <w:r>
        <w:rPr>
          <w:rFonts w:ascii="Barlow Semi Condensed" w:cs="Barlow Semi Condensed" w:eastAsia="Barlow Semi Condensed" w:hAnsi="Barlow Semi Condensed"/>
          <w:i/>
          <w:iCs/>
          <w:sz w:val="24"/>
          <w:szCs w:val="24"/>
        </w:rPr>
        <w:t xml:space="preserve">(citato 2 volte)</w:t>
      </w:r>
    </w:p>
    <w:p>
      <w:pPr>
        <w:spacing w:after="120" w:line="276"/>
        <w:jc w:val="both"/>
      </w:pPr>
      <w:r>
        <w:rPr>
          <w:rFonts w:ascii="Barlow Semi Condensed" w:cs="Barlow Semi Condensed" w:eastAsia="Barlow Semi Condensed" w:hAnsi="Barlow Semi Condensed"/>
          <w:b/>
          <w:bCs/>
          <w:sz w:val="24"/>
          <w:szCs w:val="24"/>
        </w:rPr>
        <w:t xml:space="preserve">489.</w:t>
      </w:r>
      <w:r>
        <w:rPr>
          <w:rFonts w:ascii="Barlow Semi Condensed" w:cs="Barlow Semi Condensed" w:eastAsia="Barlow Semi Condensed" w:hAnsi="Barlow Semi Condensed"/>
          <w:sz w:val="24"/>
          <w:szCs w:val="24"/>
        </w:rPr>
        <w:t xml:space="preserve"> Agenzia Nova — https://www.agenzianova.com/news/ucraina-russia-erdogan-applicheremo-convenzione-montreux-per-limitare-conflitto/ (https://www.agenzianova.com/news/ucraina-russia-erdogan-applicheremo-convenzione-montreux-per-limitare-conflitto/)</w:t>
      </w:r>
    </w:p>
    <w:p>
      <w:pPr>
        <w:spacing w:after="120" w:line="276"/>
        <w:jc w:val="both"/>
      </w:pPr>
      <w:r>
        <w:rPr>
          <w:rFonts w:ascii="Barlow Semi Condensed" w:cs="Barlow Semi Condensed" w:eastAsia="Barlow Semi Condensed" w:hAnsi="Barlow Semi Condensed"/>
          <w:b/>
          <w:bCs/>
          <w:sz w:val="24"/>
          <w:szCs w:val="24"/>
        </w:rPr>
        <w:t xml:space="preserve">490.</w:t>
      </w:r>
      <w:r>
        <w:rPr>
          <w:rFonts w:ascii="Barlow Semi Condensed" w:cs="Barlow Semi Condensed" w:eastAsia="Barlow Semi Condensed" w:hAnsi="Barlow Semi Condensed"/>
          <w:sz w:val="24"/>
          <w:szCs w:val="24"/>
        </w:rPr>
        <w:t xml:space="preserve"> it.google-info.cn — https://amp.it.google-info.cn/2723395/1/convenzione-di-montreux.html (https://amp.it.google-info.cn/2723395/1/convenzione-di-montreux.html) </w:t>
      </w:r>
      <w:r>
        <w:rPr>
          <w:rFonts w:ascii="Barlow Semi Condensed" w:cs="Barlow Semi Condensed" w:eastAsia="Barlow Semi Condensed" w:hAnsi="Barlow Semi Condensed"/>
          <w:i/>
          <w:iCs/>
          <w:sz w:val="24"/>
          <w:szCs w:val="24"/>
        </w:rPr>
        <w:t xml:space="preserve">(citato 2 volte)</w:t>
      </w:r>
    </w:p>
    <w:p>
      <w:pPr>
        <w:spacing w:after="120" w:line="276"/>
        <w:jc w:val="both"/>
      </w:pPr>
      <w:r>
        <w:rPr>
          <w:rFonts w:ascii="Barlow Semi Condensed" w:cs="Barlow Semi Condensed" w:eastAsia="Barlow Semi Condensed" w:hAnsi="Barlow Semi Condensed"/>
          <w:b/>
          <w:bCs/>
          <w:sz w:val="24"/>
          <w:szCs w:val="24"/>
        </w:rPr>
        <w:t xml:space="preserve">491.</w:t>
      </w:r>
      <w:r>
        <w:rPr>
          <w:rFonts w:ascii="Barlow Semi Condensed" w:cs="Barlow Semi Condensed" w:eastAsia="Barlow Semi Condensed" w:hAnsi="Barlow Semi Condensed"/>
          <w:sz w:val="24"/>
          <w:szCs w:val="24"/>
        </w:rPr>
        <w:t xml:space="preserve"> Wikipedia — https://it.wikipedia.org/wiki/Convenzione_di_Montreux (https://it.wikipedia.org/wiki/Convenzione_di_Montreux) </w:t>
      </w:r>
      <w:r>
        <w:rPr>
          <w:rFonts w:ascii="Barlow Semi Condensed" w:cs="Barlow Semi Condensed" w:eastAsia="Barlow Semi Condensed" w:hAnsi="Barlow Semi Condensed"/>
          <w:i/>
          <w:iCs/>
          <w:sz w:val="24"/>
          <w:szCs w:val="24"/>
        </w:rPr>
        <w:t xml:space="preserve">(citato 2 volte)</w:t>
      </w:r>
    </w:p>
    <w:p>
      <w:pPr>
        <w:spacing w:after="120" w:line="276"/>
        <w:jc w:val="both"/>
      </w:pPr>
      <w:r>
        <w:rPr>
          <w:rFonts w:ascii="Barlow Semi Condensed" w:cs="Barlow Semi Condensed" w:eastAsia="Barlow Semi Condensed" w:hAnsi="Barlow Semi Condensed"/>
          <w:b/>
          <w:bCs/>
          <w:sz w:val="24"/>
          <w:szCs w:val="24"/>
        </w:rPr>
        <w:t xml:space="preserve">492.</w:t>
      </w:r>
      <w:r>
        <w:rPr>
          <w:rFonts w:ascii="Barlow Semi Condensed" w:cs="Barlow Semi Condensed" w:eastAsia="Barlow Semi Condensed" w:hAnsi="Barlow Semi Condensed"/>
          <w:sz w:val="24"/>
          <w:szCs w:val="24"/>
        </w:rPr>
        <w:t xml:space="preserve"> Esteri — https://ambankara.esteri.it/it/italia-e-turchia/ (https://ambankara.esteri.it/it/italia-e-turchia/)</w:t>
      </w:r>
    </w:p>
    <w:p>
      <w:pPr>
        <w:spacing w:after="120" w:line="276"/>
        <w:jc w:val="both"/>
      </w:pPr>
      <w:r>
        <w:rPr>
          <w:rFonts w:ascii="Barlow Semi Condensed" w:cs="Barlow Semi Condensed" w:eastAsia="Barlow Semi Condensed" w:hAnsi="Barlow Semi Condensed"/>
          <w:b/>
          <w:bCs/>
          <w:sz w:val="24"/>
          <w:szCs w:val="24"/>
        </w:rPr>
        <w:t xml:space="preserve">493.</w:t>
      </w:r>
      <w:r>
        <w:rPr>
          <w:rFonts w:ascii="Barlow Semi Condensed" w:cs="Barlow Semi Condensed" w:eastAsia="Barlow Semi Condensed" w:hAnsi="Barlow Semi Condensed"/>
          <w:sz w:val="24"/>
          <w:szCs w:val="24"/>
        </w:rPr>
        <w:t xml:space="preserve"> Cespi — https://www.cespi.it/sites/default/files/osservatori/allegati/apr._2_marsili_italia-turchia.pdf (https://www.cespi.it/sites/default/files/osservatori/allegati/apr._2_marsili_italia-turchia.pdf) </w:t>
      </w:r>
      <w:r>
        <w:rPr>
          <w:rFonts w:ascii="Barlow Semi Condensed" w:cs="Barlow Semi Condensed" w:eastAsia="Barlow Semi Condensed" w:hAnsi="Barlow Semi Condensed"/>
          <w:i/>
          <w:iCs/>
          <w:sz w:val="24"/>
          <w:szCs w:val="24"/>
        </w:rPr>
        <w:t xml:space="preserve">(citato 3 volte)</w:t>
      </w:r>
    </w:p>
    <w:p>
      <w:pPr>
        <w:spacing w:after="120" w:line="276"/>
        <w:jc w:val="both"/>
      </w:pPr>
      <w:r>
        <w:rPr>
          <w:rFonts w:ascii="Barlow Semi Condensed" w:cs="Barlow Semi Condensed" w:eastAsia="Barlow Semi Condensed" w:hAnsi="Barlow Semi Condensed"/>
          <w:b/>
          <w:bCs/>
          <w:sz w:val="24"/>
          <w:szCs w:val="24"/>
        </w:rPr>
        <w:t xml:space="preserve">494.</w:t>
      </w:r>
      <w:r>
        <w:rPr>
          <w:rFonts w:ascii="Barlow Semi Condensed" w:cs="Barlow Semi Condensed" w:eastAsia="Barlow Semi Condensed" w:hAnsi="Barlow Semi Condensed"/>
          <w:sz w:val="24"/>
          <w:szCs w:val="24"/>
        </w:rPr>
        <w:t xml:space="preserve"> Wikipedia — https://it.wikipedia.org/wiki/Relazioni_bilaterali_tra_Italia_e_Turchia (https://it.wikipedia.org/wiki/Relazioni_bilaterali_tra_Italia_e_Turchia)</w:t>
      </w:r>
    </w:p>
    <w:p>
      <w:pPr>
        <w:spacing w:after="120" w:line="276"/>
        <w:jc w:val="both"/>
      </w:pPr>
      <w:r>
        <w:rPr>
          <w:rFonts w:ascii="Barlow Semi Condensed" w:cs="Barlow Semi Condensed" w:eastAsia="Barlow Semi Condensed" w:hAnsi="Barlow Semi Condensed"/>
          <w:b/>
          <w:bCs/>
          <w:sz w:val="24"/>
          <w:szCs w:val="24"/>
        </w:rPr>
        <w:t xml:space="preserve">495.</w:t>
      </w:r>
      <w:r>
        <w:rPr>
          <w:rFonts w:ascii="Barlow Semi Condensed" w:cs="Barlow Semi Condensed" w:eastAsia="Barlow Semi Condensed" w:hAnsi="Barlow Semi Condensed"/>
          <w:sz w:val="24"/>
          <w:szCs w:val="24"/>
        </w:rPr>
        <w:t xml:space="preserve"> Gazzetta Ufficiale — https://www.gazzettaufficiale.it/atto/vediMenuHTML?atto.dataPubblicazioneGazzetta=1993-10-15&amp;atto.codiceRedazionale=093A5659&amp;tipoSerie=serie_generale&amp;tipoVigenza=originario (https://www.gazzettaufficiale.it/atto/vediMenuHTML?atto.dataPubblicazioneGazzetta=1993-10-15&amp;atto.codiceRedazionale=093A5659&amp;tipoSerie=serie_generale&amp;tipoVigenza=originario) </w:t>
      </w:r>
      <w:r>
        <w:rPr>
          <w:rFonts w:ascii="Barlow Semi Condensed" w:cs="Barlow Semi Condensed" w:eastAsia="Barlow Semi Condensed" w:hAnsi="Barlow Semi Condensed"/>
          <w:i/>
          <w:iCs/>
          <w:sz w:val="24"/>
          <w:szCs w:val="24"/>
        </w:rPr>
        <w:t xml:space="preserve">(citato 2 volte)</w:t>
      </w:r>
    </w:p>
    <w:p>
      <w:pPr>
        <w:spacing w:after="120" w:line="276"/>
        <w:jc w:val="both"/>
      </w:pPr>
      <w:r>
        <w:rPr>
          <w:rFonts w:ascii="Barlow Semi Condensed" w:cs="Barlow Semi Condensed" w:eastAsia="Barlow Semi Condensed" w:hAnsi="Barlow Semi Condensed"/>
          <w:b/>
          <w:bCs/>
          <w:sz w:val="24"/>
          <w:szCs w:val="24"/>
        </w:rPr>
        <w:t xml:space="preserve">496.</w:t>
      </w:r>
      <w:r>
        <w:rPr>
          <w:rFonts w:ascii="Barlow Semi Condensed" w:cs="Barlow Semi Condensed" w:eastAsia="Barlow Semi Condensed" w:hAnsi="Barlow Semi Condensed"/>
          <w:sz w:val="24"/>
          <w:szCs w:val="24"/>
        </w:rPr>
        <w:t xml:space="preserve"> state — https://history.state.gov/historicaldocuments/frus1969-76v30/d208 (https://history.state.gov/historicaldocuments/frus1969-76v30/d208) </w:t>
      </w:r>
      <w:r>
        <w:rPr>
          <w:rFonts w:ascii="Barlow Semi Condensed" w:cs="Barlow Semi Condensed" w:eastAsia="Barlow Semi Condensed" w:hAnsi="Barlow Semi Condensed"/>
          <w:i/>
          <w:iCs/>
          <w:sz w:val="24"/>
          <w:szCs w:val="24"/>
        </w:rPr>
        <w:t xml:space="preserve">(citato 2 volte)</w:t>
      </w:r>
    </w:p>
    <w:p>
      <w:pPr>
        <w:spacing w:after="120" w:line="276"/>
        <w:jc w:val="both"/>
      </w:pPr>
      <w:r>
        <w:rPr>
          <w:rFonts w:ascii="Barlow Semi Condensed" w:cs="Barlow Semi Condensed" w:eastAsia="Barlow Semi Condensed" w:hAnsi="Barlow Semi Condensed"/>
          <w:b/>
          <w:bCs/>
          <w:sz w:val="24"/>
          <w:szCs w:val="24"/>
        </w:rPr>
        <w:t xml:space="preserve">497.</w:t>
      </w:r>
      <w:r>
        <w:rPr>
          <w:rFonts w:ascii="Barlow Semi Condensed" w:cs="Barlow Semi Condensed" w:eastAsia="Barlow Semi Condensed" w:hAnsi="Barlow Semi Condensed"/>
          <w:sz w:val="24"/>
          <w:szCs w:val="24"/>
        </w:rPr>
        <w:t xml:space="preserve"> ResearchGate — https://www.researchgate.net/publication/262013273_A_Very_Gradual_Suppression_A_History_of_Turkish_Opium_Controls_1933-1974 (https://www.researchgate.net/publication/262013273_A_Very_Gradual_Suppression_A_History_of_Turkish_Opium_Controls_1933-1974)</w:t>
      </w:r>
    </w:p>
    <w:p>
      <w:pPr>
        <w:spacing w:after="120" w:line="276"/>
        <w:jc w:val="both"/>
      </w:pPr>
      <w:r>
        <w:rPr>
          <w:rFonts w:ascii="Barlow Semi Condensed" w:cs="Barlow Semi Condensed" w:eastAsia="Barlow Semi Condensed" w:hAnsi="Barlow Semi Condensed"/>
          <w:b/>
          <w:bCs/>
          <w:sz w:val="24"/>
          <w:szCs w:val="24"/>
        </w:rPr>
        <w:t xml:space="preserve">498.</w:t>
      </w:r>
      <w:r>
        <w:rPr>
          <w:rFonts w:ascii="Barlow Semi Condensed" w:cs="Barlow Semi Condensed" w:eastAsia="Barlow Semi Condensed" w:hAnsi="Barlow Semi Condensed"/>
          <w:sz w:val="24"/>
          <w:szCs w:val="24"/>
        </w:rPr>
        <w:t xml:space="preserve"> state — https://history.state.gov/historicaldocuments/frus1969-76v30/d204 (https://history.state.gov/historicaldocuments/frus1969-76v30/d204)</w:t>
      </w:r>
    </w:p>
    <w:p>
      <w:pPr>
        <w:spacing w:after="120" w:line="276"/>
        <w:jc w:val="both"/>
      </w:pPr>
      <w:r>
        <w:rPr>
          <w:rFonts w:ascii="Barlow Semi Condensed" w:cs="Barlow Semi Condensed" w:eastAsia="Barlow Semi Condensed" w:hAnsi="Barlow Semi Condensed"/>
          <w:b/>
          <w:bCs/>
          <w:sz w:val="24"/>
          <w:szCs w:val="24"/>
        </w:rPr>
        <w:t xml:space="preserve">499.</w:t>
      </w:r>
      <w:r>
        <w:rPr>
          <w:rFonts w:ascii="Barlow Semi Condensed" w:cs="Barlow Semi Condensed" w:eastAsia="Barlow Semi Condensed" w:hAnsi="Barlow Semi Condensed"/>
          <w:sz w:val="24"/>
          <w:szCs w:val="24"/>
        </w:rPr>
        <w:t xml:space="preserve"> state — https://history.state.gov/historicaldocuments/frus1969-76ve03/d154 (https://history.state.gov/historicaldocuments/frus1969-76ve03/d154)</w:t>
      </w:r>
    </w:p>
    <w:p>
      <w:pPr>
        <w:spacing w:after="120" w:line="276"/>
        <w:jc w:val="both"/>
      </w:pPr>
      <w:r>
        <w:rPr>
          <w:rFonts w:ascii="Barlow Semi Condensed" w:cs="Barlow Semi Condensed" w:eastAsia="Barlow Semi Condensed" w:hAnsi="Barlow Semi Condensed"/>
          <w:b/>
          <w:bCs/>
          <w:sz w:val="24"/>
          <w:szCs w:val="24"/>
        </w:rPr>
        <w:t xml:space="preserve">500.</w:t>
      </w:r>
      <w:r>
        <w:rPr>
          <w:rFonts w:ascii="Barlow Semi Condensed" w:cs="Barlow Semi Condensed" w:eastAsia="Barlow Semi Condensed" w:hAnsi="Barlow Semi Condensed"/>
          <w:sz w:val="24"/>
          <w:szCs w:val="24"/>
        </w:rPr>
        <w:t xml:space="preserve"> state — https://history.state.gov/historicaldocuments/frus1969-76v30/d209 (https://history.state.gov/historicaldocuments/frus1969-76v30/d209)</w:t>
      </w:r>
    </w:p>
    <w:p>
      <w:pPr>
        <w:spacing w:after="120" w:line="276"/>
        <w:jc w:val="both"/>
      </w:pPr>
      <w:r>
        <w:rPr>
          <w:rFonts w:ascii="Barlow Semi Condensed" w:cs="Barlow Semi Condensed" w:eastAsia="Barlow Semi Condensed" w:hAnsi="Barlow Semi Condensed"/>
          <w:b/>
          <w:bCs/>
          <w:sz w:val="24"/>
          <w:szCs w:val="24"/>
        </w:rPr>
        <w:t xml:space="preserve">501.</w:t>
      </w:r>
      <w:r>
        <w:rPr>
          <w:rFonts w:ascii="Barlow Semi Condensed" w:cs="Barlow Semi Condensed" w:eastAsia="Barlow Semi Condensed" w:hAnsi="Barlow Semi Condensed"/>
          <w:sz w:val="24"/>
          <w:szCs w:val="24"/>
        </w:rPr>
        <w:t xml:space="preserve"> state — https://history.state.gov/historicaldocuments/frus1969-76ve03/d164 (https://history.state.gov/historicaldocuments/frus1969-76ve03/d164)</w:t>
      </w:r>
    </w:p>
    <w:p>
      <w:pPr>
        <w:spacing w:after="120" w:line="276"/>
        <w:jc w:val="both"/>
      </w:pPr>
      <w:r>
        <w:rPr>
          <w:rFonts w:ascii="Barlow Semi Condensed" w:cs="Barlow Semi Condensed" w:eastAsia="Barlow Semi Condensed" w:hAnsi="Barlow Semi Condensed"/>
          <w:b/>
          <w:bCs/>
          <w:sz w:val="24"/>
          <w:szCs w:val="24"/>
        </w:rPr>
        <w:t xml:space="preserve">502.</w:t>
      </w:r>
      <w:r>
        <w:rPr>
          <w:rFonts w:ascii="Barlow Semi Condensed" w:cs="Barlow Semi Condensed" w:eastAsia="Barlow Semi Condensed" w:hAnsi="Barlow Semi Condensed"/>
          <w:sz w:val="24"/>
          <w:szCs w:val="24"/>
        </w:rPr>
        <w:t xml:space="preserve"> Grokipedia — https://grokipedia.com/page/Turkish_mafia (https://grokipedia.com/page/Turkish_mafia)</w:t>
      </w:r>
    </w:p>
    <w:p>
      <w:pPr>
        <w:spacing w:after="120" w:line="276"/>
        <w:jc w:val="both"/>
      </w:pPr>
      <w:r>
        <w:rPr>
          <w:rFonts w:ascii="Barlow Semi Condensed" w:cs="Barlow Semi Condensed" w:eastAsia="Barlow Semi Condensed" w:hAnsi="Barlow Semi Condensed"/>
          <w:b/>
          <w:bCs/>
          <w:sz w:val="24"/>
          <w:szCs w:val="24"/>
        </w:rPr>
        <w:t xml:space="preserve">503.</w:t>
      </w:r>
      <w:r>
        <w:rPr>
          <w:rFonts w:ascii="Barlow Semi Condensed" w:cs="Barlow Semi Condensed" w:eastAsia="Barlow Semi Condensed" w:hAnsi="Barlow Semi Condensed"/>
          <w:sz w:val="24"/>
          <w:szCs w:val="24"/>
        </w:rPr>
        <w:t xml:space="preserve"> Discover Walks — https://www.discoverwalks.com/blog/paris/all-about-the-french-connection/ (https://www.discoverwalks.com/blog/paris/all-about-the-french-connection/)</w:t>
      </w:r>
    </w:p>
    <w:p>
      <w:pPr>
        <w:spacing w:after="120" w:line="276"/>
        <w:jc w:val="both"/>
      </w:pPr>
      <w:r>
        <w:rPr>
          <w:rFonts w:ascii="Barlow Semi Condensed" w:cs="Barlow Semi Condensed" w:eastAsia="Barlow Semi Condensed" w:hAnsi="Barlow Semi Condensed"/>
          <w:b/>
          <w:bCs/>
          <w:sz w:val="24"/>
          <w:szCs w:val="24"/>
        </w:rPr>
        <w:t xml:space="preserve">504.</w:t>
      </w:r>
      <w:r>
        <w:rPr>
          <w:rFonts w:ascii="Barlow Semi Condensed" w:cs="Barlow Semi Condensed" w:eastAsia="Barlow Semi Condensed" w:hAnsi="Barlow Semi Condensed"/>
          <w:sz w:val="24"/>
          <w:szCs w:val="24"/>
        </w:rPr>
        <w:t xml:space="preserve"> Wikipedia — https://en.wikipedia.org/wiki/Balkan_Route (https://en.wikipedia.org/wiki/Balkan_Route)</w:t>
      </w:r>
    </w:p>
    <w:p>
      <w:pPr>
        <w:spacing w:after="120" w:line="276"/>
        <w:jc w:val="both"/>
      </w:pPr>
      <w:r>
        <w:rPr>
          <w:rFonts w:ascii="Barlow Semi Condensed" w:cs="Barlow Semi Condensed" w:eastAsia="Barlow Semi Condensed" w:hAnsi="Barlow Semi Condensed"/>
          <w:b/>
          <w:bCs/>
          <w:sz w:val="24"/>
          <w:szCs w:val="24"/>
        </w:rPr>
        <w:t xml:space="preserve">505.</w:t>
      </w:r>
      <w:r>
        <w:rPr>
          <w:rFonts w:ascii="Barlow Semi Condensed" w:cs="Barlow Semi Condensed" w:eastAsia="Barlow Semi Condensed" w:hAnsi="Barlow Semi Condensed"/>
          <w:sz w:val="24"/>
          <w:szCs w:val="24"/>
        </w:rPr>
        <w:t xml:space="preserve"> Wikipedia — https://en.wikipedia.org/wiki/Halki_seminary (https://en.wikipedia.org/wiki/Halki_seminary)</w:t>
      </w:r>
    </w:p>
    <w:p>
      <w:pPr>
        <w:spacing w:after="120" w:line="276"/>
        <w:jc w:val="both"/>
      </w:pPr>
      <w:r>
        <w:rPr>
          <w:rFonts w:ascii="Barlow Semi Condensed" w:cs="Barlow Semi Condensed" w:eastAsia="Barlow Semi Condensed" w:hAnsi="Barlow Semi Condensed"/>
          <w:b/>
          <w:bCs/>
          <w:sz w:val="24"/>
          <w:szCs w:val="24"/>
        </w:rPr>
        <w:t xml:space="preserve">506.</w:t>
      </w:r>
      <w:r>
        <w:rPr>
          <w:rFonts w:ascii="Barlow Semi Condensed" w:cs="Barlow Semi Condensed" w:eastAsia="Barlow Semi Condensed" w:hAnsi="Barlow Semi Condensed"/>
          <w:sz w:val="24"/>
          <w:szCs w:val="24"/>
        </w:rPr>
        <w:t xml:space="preserve"> Asia News — https://www.asianews.it/notizie-it/Halki-e-la-chiesa-biblioteca-di-Adana:-il-futuro-(incerto (https://www.asianews.it/notizie-it/Halki-e-la-chiesa-biblioteca-di-Adana:-il-futuro-(incerto) </w:t>
      </w:r>
      <w:r>
        <w:rPr>
          <w:rFonts w:ascii="Barlow Semi Condensed" w:cs="Barlow Semi Condensed" w:eastAsia="Barlow Semi Condensed" w:hAnsi="Barlow Semi Condensed"/>
          <w:i/>
          <w:iCs/>
          <w:sz w:val="24"/>
          <w:szCs w:val="24"/>
        </w:rPr>
        <w:t xml:space="preserve">(citato 2 volte)</w:t>
      </w:r>
    </w:p>
    <w:p>
      <w:pPr>
        <w:spacing w:after="120" w:line="276"/>
        <w:jc w:val="both"/>
      </w:pPr>
      <w:r>
        <w:rPr>
          <w:rFonts w:ascii="Barlow Semi Condensed" w:cs="Barlow Semi Condensed" w:eastAsia="Barlow Semi Condensed" w:hAnsi="Barlow Semi Condensed"/>
          <w:b/>
          <w:bCs/>
          <w:sz w:val="24"/>
          <w:szCs w:val="24"/>
        </w:rPr>
        <w:t xml:space="preserve">507.</w:t>
      </w:r>
      <w:r>
        <w:rPr>
          <w:rFonts w:ascii="Barlow Semi Condensed" w:cs="Barlow Semi Condensed" w:eastAsia="Barlow Semi Condensed" w:hAnsi="Barlow Semi Condensed"/>
          <w:sz w:val="24"/>
          <w:szCs w:val="24"/>
        </w:rPr>
        <w:t xml:space="preserve"> Türkiye Today — https://www.turkiyetoday.com/nation/turkiye-plans-to-reopen-halki-seminary-as-university-after-more-than-50-years-3222222 (https://www.turkiyetoday.com/nation/turkiye-plans-to-reopen-halki-seminary-as-university-after-more-than-50-years-3222222)</w:t>
      </w:r>
    </w:p>
    <w:p>
      <w:pPr>
        <w:spacing w:after="120" w:line="276"/>
        <w:jc w:val="both"/>
      </w:pPr>
      <w:r>
        <w:rPr>
          <w:rFonts w:ascii="Barlow Semi Condensed" w:cs="Barlow Semi Condensed" w:eastAsia="Barlow Semi Condensed" w:hAnsi="Barlow Semi Condensed"/>
          <w:b/>
          <w:bCs/>
          <w:sz w:val="24"/>
          <w:szCs w:val="24"/>
        </w:rPr>
        <w:t xml:space="preserve">508.</w:t>
      </w:r>
      <w:r>
        <w:rPr>
          <w:rFonts w:ascii="Barlow Semi Condensed" w:cs="Barlow Semi Condensed" w:eastAsia="Barlow Semi Condensed" w:hAnsi="Barlow Semi Condensed"/>
          <w:sz w:val="24"/>
          <w:szCs w:val="24"/>
        </w:rPr>
        <w:t xml:space="preserve"> Greek Orthodox Archdiocese of America — https://www.goarch.org/-/he-halki (https://www.goarch.org/-/he-halki)</w:t>
      </w:r>
    </w:p>
    <w:p>
      <w:pPr>
        <w:spacing w:after="120" w:line="276"/>
        <w:jc w:val="both"/>
      </w:pPr>
      <w:r>
        <w:rPr>
          <w:rFonts w:ascii="Barlow Semi Condensed" w:cs="Barlow Semi Condensed" w:eastAsia="Barlow Semi Condensed" w:hAnsi="Barlow Semi Condensed"/>
          <w:b/>
          <w:bCs/>
          <w:sz w:val="24"/>
          <w:szCs w:val="24"/>
        </w:rPr>
        <w:t xml:space="preserve">509.</w:t>
      </w:r>
      <w:r>
        <w:rPr>
          <w:rFonts w:ascii="Barlow Semi Condensed" w:cs="Barlow Semi Condensed" w:eastAsia="Barlow Semi Condensed" w:hAnsi="Barlow Semi Condensed"/>
          <w:sz w:val="24"/>
          <w:szCs w:val="24"/>
        </w:rPr>
        <w:t xml:space="preserve"> La Fiaccola — https://www.lafiaccola.it/wp/alla-conferenza-dellosce-il-patriarcato-ecumenico-e-la-minoranza-greca-in-turchia/ (https://www.lafiaccola.it/wp/alla-conferenza-dellosce-il-patriarcato-ecumenico-e-la-minoranza-greca-in-turchia/) </w:t>
      </w:r>
      <w:r>
        <w:rPr>
          <w:rFonts w:ascii="Barlow Semi Condensed" w:cs="Barlow Semi Condensed" w:eastAsia="Barlow Semi Condensed" w:hAnsi="Barlow Semi Condensed"/>
          <w:i/>
          <w:iCs/>
          <w:sz w:val="24"/>
          <w:szCs w:val="24"/>
        </w:rPr>
        <w:t xml:space="preserve">(citato 2 volte)</w:t>
      </w:r>
    </w:p>
    <w:p>
      <w:pPr>
        <w:spacing w:after="120" w:line="276"/>
        <w:jc w:val="both"/>
      </w:pPr>
      <w:r>
        <w:rPr>
          <w:rFonts w:ascii="Barlow Semi Condensed" w:cs="Barlow Semi Condensed" w:eastAsia="Barlow Semi Condensed" w:hAnsi="Barlow Semi Condensed"/>
          <w:b/>
          <w:bCs/>
          <w:sz w:val="24"/>
          <w:szCs w:val="24"/>
        </w:rPr>
        <w:t xml:space="preserve">510.</w:t>
      </w:r>
      <w:r>
        <w:rPr>
          <w:rFonts w:ascii="Barlow Semi Condensed" w:cs="Barlow Semi Condensed" w:eastAsia="Barlow Semi Condensed" w:hAnsi="Barlow Semi Condensed"/>
          <w:sz w:val="24"/>
          <w:szCs w:val="24"/>
        </w:rPr>
        <w:t xml:space="preserve"> Internazionale — https://www.internazionale.it/ultime-notizie-reuters/2026/06/21/erdogan-orders-talks-to-reopen-orthodox-christian-seminary-in-turkey-a-focus-for-trump (https://www.internazionale.it/ultime-notizie-reuters/2026/06/21/erdogan-orders-talks-to-reopen-orthodox-christian-seminary-in-turkey-a-focus-for-trump) </w:t>
      </w:r>
      <w:r>
        <w:rPr>
          <w:rFonts w:ascii="Barlow Semi Condensed" w:cs="Barlow Semi Condensed" w:eastAsia="Barlow Semi Condensed" w:hAnsi="Barlow Semi Condensed"/>
          <w:i/>
          <w:iCs/>
          <w:sz w:val="24"/>
          <w:szCs w:val="24"/>
        </w:rPr>
        <w:t xml:space="preserve">(citato 2 volte)</w:t>
      </w:r>
    </w:p>
    <w:p>
      <w:pPr>
        <w:spacing w:after="120" w:line="276"/>
        <w:jc w:val="both"/>
      </w:pPr>
      <w:r>
        <w:rPr>
          <w:rFonts w:ascii="Barlow Semi Condensed" w:cs="Barlow Semi Condensed" w:eastAsia="Barlow Semi Condensed" w:hAnsi="Barlow Semi Condensed"/>
          <w:b/>
          <w:bCs/>
          <w:sz w:val="24"/>
          <w:szCs w:val="24"/>
        </w:rPr>
        <w:t xml:space="preserve">511.</w:t>
      </w:r>
      <w:r>
        <w:rPr>
          <w:rFonts w:ascii="Barlow Semi Condensed" w:cs="Barlow Semi Condensed" w:eastAsia="Barlow Semi Condensed" w:hAnsi="Barlow Semi Condensed"/>
          <w:sz w:val="24"/>
          <w:szCs w:val="24"/>
        </w:rPr>
        <w:t xml:space="preserve"> SettimanaNews — https://www.settimananews.it/chiesa/turchia-bartolomeo-fiducioso-sulla-riapertura-di-halki/ (https://www.settimananews.it/chiesa/turchia-bartolomeo-fiducioso-sulla-riapertura-di-halki/)</w:t>
      </w:r>
    </w:p>
    <w:p>
      <w:pPr>
        <w:spacing w:after="120" w:line="276"/>
        <w:jc w:val="both"/>
      </w:pPr>
      <w:r>
        <w:rPr>
          <w:rFonts w:ascii="Barlow Semi Condensed" w:cs="Barlow Semi Condensed" w:eastAsia="Barlow Semi Condensed" w:hAnsi="Barlow Semi Condensed"/>
          <w:b/>
          <w:bCs/>
          <w:sz w:val="24"/>
          <w:szCs w:val="24"/>
        </w:rPr>
        <w:t xml:space="preserve">512.</w:t>
      </w:r>
      <w:r>
        <w:rPr>
          <w:rFonts w:ascii="Barlow Semi Condensed" w:cs="Barlow Semi Condensed" w:eastAsia="Barlow Semi Condensed" w:hAnsi="Barlow Semi Condensed"/>
          <w:sz w:val="24"/>
          <w:szCs w:val="24"/>
        </w:rPr>
        <w:t xml:space="preserve"> Il Sole 24 ORE — https://www.ilsole24ore.com/art/notizie/2012-07-11/turchi-vogliono-chiudere-monastero-192229.shtml?uuid=AbqTFS6F (https://www.ilsole24ore.com/art/notizie/2012-07-11/turchi-vogliono-chiudere-monastero-192229.shtml?uuid=AbqTFS6F)</w:t>
      </w:r>
    </w:p>
    <w:p>
      <w:pPr>
        <w:spacing w:after="120" w:line="276"/>
        <w:jc w:val="both"/>
      </w:pPr>
      <w:r>
        <w:rPr>
          <w:rFonts w:ascii="Barlow Semi Condensed" w:cs="Barlow Semi Condensed" w:eastAsia="Barlow Semi Condensed" w:hAnsi="Barlow Semi Condensed"/>
          <w:b/>
          <w:bCs/>
          <w:sz w:val="24"/>
          <w:szCs w:val="24"/>
        </w:rPr>
        <w:t xml:space="preserve">513.</w:t>
      </w:r>
      <w:r>
        <w:rPr>
          <w:rFonts w:ascii="Barlow Semi Condensed" w:cs="Barlow Semi Condensed" w:eastAsia="Barlow Semi Condensed" w:hAnsi="Barlow Semi Condensed"/>
          <w:sz w:val="24"/>
          <w:szCs w:val="24"/>
        </w:rPr>
        <w:t xml:space="preserve"> Wikipedia — https://en.wikipedia.org/wiki/Athenagoras_I_of_Constantinople (https://en.wikipedia.org/wiki/Athenagoras_I_of_Constantinople) </w:t>
      </w:r>
      <w:r>
        <w:rPr>
          <w:rFonts w:ascii="Barlow Semi Condensed" w:cs="Barlow Semi Condensed" w:eastAsia="Barlow Semi Condensed" w:hAnsi="Barlow Semi Condensed"/>
          <w:i/>
          <w:iCs/>
          <w:sz w:val="24"/>
          <w:szCs w:val="24"/>
        </w:rPr>
        <w:t xml:space="preserve">(citato 3 volte)</w:t>
      </w:r>
    </w:p>
    <w:p>
      <w:pPr>
        <w:spacing w:after="120" w:line="276"/>
        <w:jc w:val="both"/>
      </w:pPr>
      <w:r>
        <w:rPr>
          <w:rFonts w:ascii="Barlow Semi Condensed" w:cs="Barlow Semi Condensed" w:eastAsia="Barlow Semi Condensed" w:hAnsi="Barlow Semi Condensed"/>
          <w:b/>
          <w:bCs/>
          <w:sz w:val="24"/>
          <w:szCs w:val="24"/>
        </w:rPr>
        <w:t xml:space="preserve">514.</w:t>
      </w:r>
      <w:r>
        <w:rPr>
          <w:rFonts w:ascii="Barlow Semi Condensed" w:cs="Barlow Semi Condensed" w:eastAsia="Barlow Semi Condensed" w:hAnsi="Barlow Semi Condensed"/>
          <w:sz w:val="24"/>
          <w:szCs w:val="24"/>
        </w:rPr>
        <w:t xml:space="preserve"> UPSA — https://summa.upsa.es/high.raw?id=0000001470&amp;name=00000001.original.pdf (https://summa.upsa.es/high.raw?id=0000001470&amp;name=00000001.original.pdf)</w:t>
      </w:r>
    </w:p>
    <w:p>
      <w:pPr>
        <w:spacing w:after="120" w:line="276"/>
        <w:jc w:val="both"/>
      </w:pPr>
      <w:r>
        <w:rPr>
          <w:rFonts w:ascii="Barlow Semi Condensed" w:cs="Barlow Semi Condensed" w:eastAsia="Barlow Semi Condensed" w:hAnsi="Barlow Semi Condensed"/>
          <w:b/>
          <w:bCs/>
          <w:sz w:val="24"/>
          <w:szCs w:val="24"/>
        </w:rPr>
        <w:t xml:space="preserve">515.</w:t>
      </w:r>
      <w:r>
        <w:rPr>
          <w:rFonts w:ascii="Barlow Semi Condensed" w:cs="Barlow Semi Condensed" w:eastAsia="Barlow Semi Condensed" w:hAnsi="Barlow Semi Condensed"/>
          <w:sz w:val="24"/>
          <w:szCs w:val="24"/>
        </w:rPr>
        <w:t xml:space="preserve"> Arche — https://fraternita.arche.it/testimoni/atenagora-i/ (https://fraternita.arche.it/testimoni/atenagora-i/)</w:t>
      </w:r>
    </w:p>
    <w:p>
      <w:pPr>
        <w:spacing w:after="120" w:line="276"/>
        <w:jc w:val="both"/>
      </w:pPr>
      <w:r>
        <w:rPr>
          <w:rFonts w:ascii="Barlow Semi Condensed" w:cs="Barlow Semi Condensed" w:eastAsia="Barlow Semi Condensed" w:hAnsi="Barlow Semi Condensed"/>
          <w:b/>
          <w:bCs/>
          <w:sz w:val="24"/>
          <w:szCs w:val="24"/>
        </w:rPr>
        <w:t xml:space="preserve">516.</w:t>
      </w:r>
      <w:r>
        <w:rPr>
          <w:rFonts w:ascii="Barlow Semi Condensed" w:cs="Barlow Semi Condensed" w:eastAsia="Barlow Semi Condensed" w:hAnsi="Barlow Semi Condensed"/>
          <w:sz w:val="24"/>
          <w:szCs w:val="24"/>
        </w:rPr>
        <w:t xml:space="preserve"> Thearda — https://www.thearda.com/us-religion/history/timelines/entry?etype=5&amp;eid=141 (https://www.thearda.com/us-religion/history/timelines/entry?etype=5&amp;eid=141)</w:t>
      </w:r>
    </w:p>
    <w:p>
      <w:pPr>
        <w:spacing w:after="120" w:line="276"/>
        <w:jc w:val="both"/>
      </w:pPr>
      <w:r>
        <w:rPr>
          <w:rFonts w:ascii="Barlow Semi Condensed" w:cs="Barlow Semi Condensed" w:eastAsia="Barlow Semi Condensed" w:hAnsi="Barlow Semi Condensed"/>
          <w:b/>
          <w:bCs/>
          <w:sz w:val="24"/>
          <w:szCs w:val="24"/>
        </w:rPr>
        <w:t xml:space="preserve">517.</w:t>
      </w:r>
      <w:r>
        <w:rPr>
          <w:rFonts w:ascii="Barlow Semi Condensed" w:cs="Barlow Semi Condensed" w:eastAsia="Barlow Semi Condensed" w:hAnsi="Barlow Semi Condensed"/>
          <w:sz w:val="24"/>
          <w:szCs w:val="24"/>
        </w:rPr>
        <w:t xml:space="preserve"> SettimanaNews — https://www.settimananews.it/ecumenismo-dialogo/chiesa-latina-turchia-dal-dentro/ (https://www.settimananews.it/ecumenismo-dialogo/chiesa-latina-turchia-dal-dentro/) </w:t>
      </w:r>
      <w:r>
        <w:rPr>
          <w:rFonts w:ascii="Barlow Semi Condensed" w:cs="Barlow Semi Condensed" w:eastAsia="Barlow Semi Condensed" w:hAnsi="Barlow Semi Condensed"/>
          <w:i/>
          <w:iCs/>
          <w:sz w:val="24"/>
          <w:szCs w:val="24"/>
        </w:rPr>
        <w:t xml:space="preserve">(citato 2 volte)</w:t>
      </w:r>
    </w:p>
    <w:p>
      <w:pPr>
        <w:spacing w:after="120" w:line="276"/>
        <w:jc w:val="both"/>
      </w:pPr>
      <w:r>
        <w:rPr>
          <w:rFonts w:ascii="Barlow Semi Condensed" w:cs="Barlow Semi Condensed" w:eastAsia="Barlow Semi Condensed" w:hAnsi="Barlow Semi Condensed"/>
          <w:b/>
          <w:bCs/>
          <w:sz w:val="24"/>
          <w:szCs w:val="24"/>
        </w:rPr>
        <w:t xml:space="preserve">518.</w:t>
      </w:r>
      <w:r>
        <w:rPr>
          <w:rFonts w:ascii="Barlow Semi Condensed" w:cs="Barlow Semi Condensed" w:eastAsia="Barlow Semi Condensed" w:hAnsi="Barlow Semi Condensed"/>
          <w:sz w:val="24"/>
          <w:szCs w:val="24"/>
        </w:rPr>
        <w:t xml:space="preserve"> Wikipedia — https://it.wikipedia.org/wiki/Vicariato_apostolico_di_Istanbul (https://it.wikipedia.org/wiki/Vicariato_apostolico_di_Istanbul)</w:t>
      </w:r>
    </w:p>
    <w:p>
      <w:pPr>
        <w:spacing w:after="120" w:line="276"/>
        <w:jc w:val="both"/>
      </w:pPr>
      <w:r>
        <w:rPr>
          <w:rFonts w:ascii="Barlow Semi Condensed" w:cs="Barlow Semi Condensed" w:eastAsia="Barlow Semi Condensed" w:hAnsi="Barlow Semi Condensed"/>
          <w:b/>
          <w:bCs/>
          <w:sz w:val="24"/>
          <w:szCs w:val="24"/>
        </w:rPr>
        <w:t xml:space="preserve">519.</w:t>
      </w:r>
      <w:r>
        <w:rPr>
          <w:rFonts w:ascii="Barlow Semi Condensed" w:cs="Barlow Semi Condensed" w:eastAsia="Barlow Semi Condensed" w:hAnsi="Barlow Semi Condensed"/>
          <w:sz w:val="24"/>
          <w:szCs w:val="24"/>
        </w:rPr>
        <w:t xml:space="preserve"> SettimanaNews — https://www.settimananews.it/chiesa/cattolici-in-turchia/ (https://www.settimananews.it/chiesa/cattolici-in-turchia/)</w:t>
      </w:r>
    </w:p>
    <w:p>
      <w:pPr>
        <w:spacing w:after="120" w:line="276"/>
        <w:jc w:val="both"/>
      </w:pPr>
      <w:r>
        <w:rPr>
          <w:rFonts w:ascii="Barlow Semi Condensed" w:cs="Barlow Semi Condensed" w:eastAsia="Barlow Semi Condensed" w:hAnsi="Barlow Semi Condensed"/>
          <w:b/>
          <w:bCs/>
          <w:sz w:val="24"/>
          <w:szCs w:val="24"/>
        </w:rPr>
        <w:t xml:space="preserve">520.</w:t>
      </w:r>
      <w:r>
        <w:rPr>
          <w:rFonts w:ascii="Barlow Semi Condensed" w:cs="Barlow Semi Condensed" w:eastAsia="Barlow Semi Condensed" w:hAnsi="Barlow Semi Condensed"/>
          <w:sz w:val="24"/>
          <w:szCs w:val="24"/>
        </w:rPr>
        <w:t xml:space="preserve"> SIR — https://www.agensir.it/chiesa/2025/11/27/le-comunita-cristiane-in-turchia-tra-storia-e-attualita/ (https://www.agensir.it/chiesa/2025/11/27/le-comunita-cristiane-in-turchia-tra-storia-e-attualita/)</w:t>
      </w:r>
    </w:p>
    <w:p>
      <w:pPr>
        <w:spacing w:after="120" w:line="276"/>
        <w:jc w:val="both"/>
      </w:pPr>
      <w:r>
        <w:rPr>
          <w:rFonts w:ascii="Barlow Semi Condensed" w:cs="Barlow Semi Condensed" w:eastAsia="Barlow Semi Condensed" w:hAnsi="Barlow Semi Condensed"/>
          <w:b/>
          <w:bCs/>
          <w:sz w:val="24"/>
          <w:szCs w:val="24"/>
        </w:rPr>
        <w:t xml:space="preserve">521.</w:t>
      </w:r>
      <w:r>
        <w:rPr>
          <w:rFonts w:ascii="Barlow Semi Condensed" w:cs="Barlow Semi Condensed" w:eastAsia="Barlow Semi Condensed" w:hAnsi="Barlow Semi Condensed"/>
          <w:sz w:val="24"/>
          <w:szCs w:val="24"/>
        </w:rPr>
        <w:t xml:space="preserve"> SIR — https://www.agensir.it/quotidiano/2026/4/9/turchia-rapporto-cespi-chiese-scuole-e-proprieta-sono-le-sfide-quotidiane-dei-cattolici-e-dei-cristiani-nel-paese/ (https://www.agensir.it/quotidiano/2026/4/9/turchia-rapporto-cespi-chiese-scuole-e-proprieta-sono-le-sfide-quotidiane-dei-cattolici-e-dei-cristiani-nel-paese/)</w:t>
      </w:r>
    </w:p>
    <w:p>
      <w:pPr>
        <w:spacing w:after="120" w:line="276"/>
        <w:jc w:val="both"/>
      </w:pPr>
      <w:r>
        <w:rPr>
          <w:rFonts w:ascii="Barlow Semi Condensed" w:cs="Barlow Semi Condensed" w:eastAsia="Barlow Semi Condensed" w:hAnsi="Barlow Semi Condensed"/>
          <w:b/>
          <w:bCs/>
          <w:sz w:val="24"/>
          <w:szCs w:val="24"/>
        </w:rPr>
        <w:t xml:space="preserve">522.</w:t>
      </w:r>
      <w:r>
        <w:rPr>
          <w:rFonts w:ascii="Barlow Semi Condensed" w:cs="Barlow Semi Condensed" w:eastAsia="Barlow Semi Condensed" w:hAnsi="Barlow Semi Condensed"/>
          <w:sz w:val="24"/>
          <w:szCs w:val="24"/>
        </w:rPr>
        <w:t xml:space="preserve"> Fratesole — https://turchia.fratesole.com/approfondimenti/i-cristiani-nellimpero-ottomano-e-nella-turchia-moderna/ (https://turchia.fratesole.com/approfondimenti/i-cristiani-nellimpero-ottomano-e-nella-turchia-moderna/) </w:t>
      </w:r>
      <w:r>
        <w:rPr>
          <w:rFonts w:ascii="Barlow Semi Condensed" w:cs="Barlow Semi Condensed" w:eastAsia="Barlow Semi Condensed" w:hAnsi="Barlow Semi Condensed"/>
          <w:i/>
          <w:iCs/>
          <w:sz w:val="24"/>
          <w:szCs w:val="24"/>
        </w:rPr>
        <w:t xml:space="preserve">(citato 3 volte)</w:t>
      </w:r>
    </w:p>
    <w:p>
      <w:pPr>
        <w:spacing w:after="120" w:line="276"/>
        <w:jc w:val="both"/>
      </w:pPr>
      <w:r>
        <w:rPr>
          <w:rFonts w:ascii="Barlow Semi Condensed" w:cs="Barlow Semi Condensed" w:eastAsia="Barlow Semi Condensed" w:hAnsi="Barlow Semi Condensed"/>
          <w:b/>
          <w:bCs/>
          <w:sz w:val="24"/>
          <w:szCs w:val="24"/>
        </w:rPr>
        <w:t xml:space="preserve">523.</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turchia.fratesole.com</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(citato in forma d'indirizzo)</w:t>
      </w:r>
    </w:p>
    <w:p>
      <w:pPr>
        <w:spacing w:after="120" w:line="276"/>
        <w:jc w:val="both"/>
      </w:pPr>
      <w:r>
        <w:rPr>
          <w:rFonts w:ascii="Barlow Semi Condensed" w:cs="Barlow Semi Condensed" w:eastAsia="Barlow Semi Condensed" w:hAnsi="Barlow Semi Condensed"/>
          <w:b/>
          <w:bCs/>
          <w:sz w:val="24"/>
          <w:szCs w:val="24"/>
        </w:rPr>
        <w:t xml:space="preserve">524.</w:t>
      </w:r>
      <w:r>
        <w:rPr>
          <w:rFonts w:ascii="Barlow Semi Condensed" w:cs="Barlow Semi Condensed" w:eastAsia="Barlow Semi Condensed" w:hAnsi="Barlow Semi Condensed"/>
          <w:sz w:val="24"/>
          <w:szCs w:val="24"/>
        </w:rPr>
        <w:t xml:space="preserve"> Vatican News — https://www.vaticannews.va/it/chiesa/news/2025-11/turchia-un-paese-che-e-ponte-mosaico-diamante.html (https://www.vaticannews.va/it/chiesa/news/2025-11/turchia-un-paese-che-e-ponte-mosaico-diamante.html)</w:t>
      </w:r>
    </w:p>
    <w:p>
      <w:pPr>
        <w:spacing w:after="120" w:line="276"/>
        <w:jc w:val="both"/>
      </w:pPr>
      <w:r>
        <w:rPr>
          <w:rFonts w:ascii="Barlow Semi Condensed" w:cs="Barlow Semi Condensed" w:eastAsia="Barlow Semi Condensed" w:hAnsi="Barlow Semi Condensed"/>
          <w:b/>
          <w:bCs/>
          <w:sz w:val="24"/>
          <w:szCs w:val="24"/>
        </w:rPr>
        <w:t xml:space="preserve">525.</w:t>
      </w:r>
      <w:r>
        <w:rPr>
          <w:rFonts w:ascii="Barlow Semi Condensed" w:cs="Barlow Semi Condensed" w:eastAsia="Barlow Semi Condensed" w:hAnsi="Barlow Semi Condensed"/>
          <w:sz w:val="24"/>
          <w:szCs w:val="24"/>
        </w:rPr>
        <w:t xml:space="preserve"> Cathopedia — https://it.cathopedia.org/wiki/Delegato_apostolico_in_Turchia (https://it.cathopedia.org/wiki/Delegato_apostolico_in_Turchia) </w:t>
      </w:r>
      <w:r>
        <w:rPr>
          <w:rFonts w:ascii="Barlow Semi Condensed" w:cs="Barlow Semi Condensed" w:eastAsia="Barlow Semi Condensed" w:hAnsi="Barlow Semi Condensed"/>
          <w:i/>
          <w:iCs/>
          <w:sz w:val="24"/>
          <w:szCs w:val="24"/>
        </w:rPr>
        <w:t xml:space="preserve">(citato 3 volte)</w:t>
      </w:r>
    </w:p>
    <w:p>
      <w:pPr>
        <w:spacing w:after="120" w:line="276"/>
        <w:jc w:val="both"/>
      </w:pPr>
      <w:r>
        <w:rPr>
          <w:rFonts w:ascii="Barlow Semi Condensed" w:cs="Barlow Semi Condensed" w:eastAsia="Barlow Semi Condensed" w:hAnsi="Barlow Semi Condensed"/>
          <w:b/>
          <w:bCs/>
          <w:sz w:val="24"/>
          <w:szCs w:val="24"/>
        </w:rPr>
        <w:t xml:space="preserve">526.</w:t>
      </w:r>
      <w:r>
        <w:rPr>
          <w:rFonts w:ascii="Barlow Semi Condensed" w:cs="Barlow Semi Condensed" w:eastAsia="Barlow Semi Condensed" w:hAnsi="Barlow Semi Condensed"/>
          <w:sz w:val="24"/>
          <w:szCs w:val="24"/>
        </w:rPr>
        <w:t xml:space="preserve"> East Journal — https://www.eastjournal.net/archives/145757 (https://www.eastjournal.net/archives/145757)</w:t>
      </w:r>
    </w:p>
    <w:p>
      <w:pPr>
        <w:spacing w:after="120" w:line="276"/>
        <w:jc w:val="both"/>
      </w:pPr>
      <w:r>
        <w:rPr>
          <w:rFonts w:ascii="Barlow Semi Condensed" w:cs="Barlow Semi Condensed" w:eastAsia="Barlow Semi Condensed" w:hAnsi="Barlow Semi Condensed"/>
          <w:b/>
          <w:bCs/>
          <w:sz w:val="24"/>
          <w:szCs w:val="24"/>
        </w:rPr>
        <w:t xml:space="preserve">527.</w:t>
      </w:r>
      <w:r>
        <w:rPr>
          <w:rFonts w:ascii="Barlow Semi Condensed" w:cs="Barlow Semi Condensed" w:eastAsia="Barlow Semi Condensed" w:hAnsi="Barlow Semi Condensed"/>
          <w:sz w:val="24"/>
          <w:szCs w:val="24"/>
        </w:rPr>
        <w:t xml:space="preserve"> Terrasanta — https://www.terrasanta.net/2014/03/il-decennio-turco-di-monsignor-roncalli/ (https://www.terrasanta.net/2014/03/il-decennio-turco-di-monsignor-roncalli/) </w:t>
      </w:r>
      <w:r>
        <w:rPr>
          <w:rFonts w:ascii="Barlow Semi Condensed" w:cs="Barlow Semi Condensed" w:eastAsia="Barlow Semi Condensed" w:hAnsi="Barlow Semi Condensed"/>
          <w:i/>
          <w:iCs/>
          <w:sz w:val="24"/>
          <w:szCs w:val="24"/>
        </w:rPr>
        <w:t xml:space="preserve">(citato 2 volte)</w:t>
      </w:r>
    </w:p>
    <w:p>
      <w:pPr>
        <w:spacing w:after="120" w:line="276"/>
        <w:jc w:val="both"/>
      </w:pPr>
      <w:r>
        <w:rPr>
          <w:rFonts w:ascii="Barlow Semi Condensed" w:cs="Barlow Semi Condensed" w:eastAsia="Barlow Semi Condensed" w:hAnsi="Barlow Semi Condensed"/>
          <w:b/>
          <w:bCs/>
          <w:sz w:val="24"/>
          <w:szCs w:val="24"/>
        </w:rPr>
        <w:t xml:space="preserve">528.</w:t>
      </w:r>
      <w:r>
        <w:rPr>
          <w:rFonts w:ascii="Barlow Semi Condensed" w:cs="Barlow Semi Condensed" w:eastAsia="Barlow Semi Condensed" w:hAnsi="Barlow Semi Condensed"/>
          <w:sz w:val="24"/>
          <w:szCs w:val="24"/>
        </w:rPr>
        <w:t xml:space="preserve"> Istanbulofm — https://www.istanbulofm.org/2021/11/le-relazioni-diplomatiche-turchia-santa.html (https://www.istanbulofm.org/2021/11/le-relazioni-diplomatiche-turchia-santa.html)</w:t>
      </w:r>
    </w:p>
    <w:p>
      <w:pPr>
        <w:spacing w:after="120" w:line="276"/>
        <w:jc w:val="both"/>
      </w:pPr>
      <w:r>
        <w:rPr>
          <w:rFonts w:ascii="Barlow Semi Condensed" w:cs="Barlow Semi Condensed" w:eastAsia="Barlow Semi Condensed" w:hAnsi="Barlow Semi Condensed"/>
          <w:b/>
          <w:bCs/>
          <w:sz w:val="24"/>
          <w:szCs w:val="24"/>
        </w:rPr>
        <w:t xml:space="preserve">529.</w:t>
      </w:r>
      <w:r>
        <w:rPr>
          <w:rFonts w:ascii="Barlow Semi Condensed" w:cs="Barlow Semi Condensed" w:eastAsia="Barlow Semi Condensed" w:hAnsi="Barlow Semi Condensed"/>
          <w:sz w:val="24"/>
          <w:szCs w:val="24"/>
        </w:rPr>
        <w:t xml:space="preserve"> Opus Dei — https://opusdei.org/it-it/page/lopus-dei/ (https://opusdei.org/it-it/page/lopus-dei/)</w:t>
      </w:r>
    </w:p>
    <w:p>
      <w:pPr>
        <w:spacing w:after="120" w:line="276"/>
        <w:jc w:val="both"/>
      </w:pPr>
      <w:r>
        <w:rPr>
          <w:rFonts w:ascii="Barlow Semi Condensed" w:cs="Barlow Semi Condensed" w:eastAsia="Barlow Semi Condensed" w:hAnsi="Barlow Semi Condensed"/>
          <w:b/>
          <w:bCs/>
          <w:sz w:val="24"/>
          <w:szCs w:val="24"/>
        </w:rPr>
        <w:t xml:space="preserve">530.</w:t>
      </w:r>
      <w:r>
        <w:rPr>
          <w:rFonts w:ascii="Barlow Semi Condensed" w:cs="Barlow Semi Condensed" w:eastAsia="Barlow Semi Condensed" w:hAnsi="Barlow Semi Condensed"/>
          <w:sz w:val="24"/>
          <w:szCs w:val="24"/>
        </w:rPr>
        <w:t xml:space="preserve"> Wikipedia — https://en.wikipedia.org/wiki/Opus_Dei (https://en.wikipedia.org/wiki/Opus_Dei)</w:t>
      </w:r>
    </w:p>
    <w:p>
      <w:pPr>
        <w:spacing w:after="120" w:line="276"/>
        <w:jc w:val="both"/>
      </w:pPr>
      <w:r>
        <w:rPr>
          <w:rFonts w:ascii="Barlow Semi Condensed" w:cs="Barlow Semi Condensed" w:eastAsia="Barlow Semi Condensed" w:hAnsi="Barlow Semi Condensed"/>
          <w:b/>
          <w:bCs/>
          <w:sz w:val="24"/>
          <w:szCs w:val="24"/>
        </w:rPr>
        <w:t xml:space="preserve">531.</w:t>
      </w:r>
      <w:r>
        <w:rPr>
          <w:rFonts w:ascii="Barlow Semi Condensed" w:cs="Barlow Semi Condensed" w:eastAsia="Barlow Semi Condensed" w:hAnsi="Barlow Semi Condensed"/>
          <w:sz w:val="24"/>
          <w:szCs w:val="24"/>
        </w:rPr>
        <w:t xml:space="preserve"> Opus Dei — https://opusdei.org/en/article/two-muslims-and-a-turkish-orthodox-life-in-nideck-residence/ (https://opusdei.org/en/article/two-muslims-and-a-turkish-orthodox-life-in-nideck-residence/)</w:t>
      </w:r>
    </w:p>
    <w:p>
      <w:pPr>
        <w:spacing w:after="120" w:line="276"/>
        <w:jc w:val="both"/>
      </w:pPr>
      <w:r>
        <w:rPr>
          <w:rFonts w:ascii="Barlow Semi Condensed" w:cs="Barlow Semi Condensed" w:eastAsia="Barlow Semi Condensed" w:hAnsi="Barlow Semi Condensed"/>
          <w:b/>
          <w:bCs/>
          <w:sz w:val="24"/>
          <w:szCs w:val="24"/>
        </w:rPr>
        <w:t xml:space="preserve">532.</w:t>
      </w:r>
      <w:r>
        <w:rPr>
          <w:rFonts w:ascii="Barlow Semi Condensed" w:cs="Barlow Semi Condensed" w:eastAsia="Barlow Semi Condensed" w:hAnsi="Barlow Semi Condensed"/>
          <w:sz w:val="24"/>
          <w:szCs w:val="24"/>
        </w:rPr>
        <w:t xml:space="preserve"> Daily Sabah — https://www.dailysabah.com/politics/2015/01/22/gulen-movement-displays-resemblance-to-opus-dei (https://www.dailysabah.com/politics/2015/01/22/gulen-movement-displays-resemblance-to-opus-dei)</w:t>
      </w:r>
    </w:p>
    <w:p>
      <w:pPr>
        <w:spacing w:after="120" w:line="276"/>
        <w:jc w:val="both"/>
      </w:pPr>
      <w:r>
        <w:rPr>
          <w:rFonts w:ascii="Barlow Semi Condensed" w:cs="Barlow Semi Condensed" w:eastAsia="Barlow Semi Condensed" w:hAnsi="Barlow Semi Condensed"/>
          <w:b/>
          <w:bCs/>
          <w:sz w:val="24"/>
          <w:szCs w:val="24"/>
        </w:rPr>
        <w:t xml:space="preserve">533.</w:t>
      </w:r>
      <w:r>
        <w:rPr>
          <w:rFonts w:ascii="Barlow Semi Condensed" w:cs="Barlow Semi Condensed" w:eastAsia="Barlow Semi Condensed" w:hAnsi="Barlow Semi Condensed"/>
          <w:sz w:val="24"/>
          <w:szCs w:val="24"/>
        </w:rPr>
        <w:t xml:space="preserve"> Opus Dei — https://opusdei.org/en-us/article/journey-pope-leo-xiv-turkey-lebanon-2025 (https://opusdei.org/en-us/article/journey-pope-leo-xiv-turkey-lebanon-2025)</w:t>
      </w:r>
    </w:p>
    <w:p>
      <w:pPr>
        <w:spacing w:after="120" w:line="276"/>
        <w:jc w:val="both"/>
      </w:pPr>
      <w:r>
        <w:rPr>
          <w:rFonts w:ascii="Barlow Semi Condensed" w:cs="Barlow Semi Condensed" w:eastAsia="Barlow Semi Condensed" w:hAnsi="Barlow Semi Condensed"/>
          <w:b/>
          <w:bCs/>
          <w:sz w:val="24"/>
          <w:szCs w:val="24"/>
        </w:rPr>
        <w:t xml:space="preserve">534.</w:t>
      </w:r>
      <w:r>
        <w:rPr>
          <w:rFonts w:ascii="Barlow Semi Condensed" w:cs="Barlow Semi Condensed" w:eastAsia="Barlow Semi Condensed" w:hAnsi="Barlow Semi Condensed"/>
          <w:sz w:val="24"/>
          <w:szCs w:val="24"/>
        </w:rPr>
        <w:t xml:space="preserve"> La Nuova Bussola Quotidiana — https://lanuovabq.it/it/istanbul-ha-un-nuovo-vicario-apostolico (https://lanuovabq.it/it/istanbul-ha-un-nuovo-vicario-apostolico)</w:t>
      </w:r>
    </w:p>
    <w:p>
      <w:pPr>
        <w:spacing w:after="120" w:line="276"/>
        <w:jc w:val="both"/>
      </w:pPr>
      <w:r>
        <w:rPr>
          <w:rFonts w:ascii="Barlow Semi Condensed" w:cs="Barlow Semi Condensed" w:eastAsia="Barlow Semi Condensed" w:hAnsi="Barlow Semi Condensed"/>
          <w:b/>
          <w:bCs/>
          <w:sz w:val="24"/>
          <w:szCs w:val="24"/>
        </w:rPr>
        <w:t xml:space="preserve">535.</w:t>
      </w:r>
      <w:r>
        <w:rPr>
          <w:rFonts w:ascii="Barlow Semi Condensed" w:cs="Barlow Semi Condensed" w:eastAsia="Barlow Semi Condensed" w:hAnsi="Barlow Semi Condensed"/>
          <w:sz w:val="24"/>
          <w:szCs w:val="24"/>
        </w:rPr>
        <w:t xml:space="preserve"> state — https://history.state.gov/historicaldocuments/frus1969-76v30/d200 (https://history.state.gov/historicaldocuments/frus1969-76v30/d200)</w:t>
      </w:r>
    </w:p>
    <w:p>
      <w:pPr>
        <w:spacing w:after="120" w:line="276"/>
        <w:jc w:val="both"/>
      </w:pPr>
      <w:r>
        <w:rPr>
          <w:rFonts w:ascii="Barlow Semi Condensed" w:cs="Barlow Semi Condensed" w:eastAsia="Barlow Semi Condensed" w:hAnsi="Barlow Semi Condensed"/>
          <w:b/>
          <w:bCs/>
          <w:sz w:val="24"/>
          <w:szCs w:val="24"/>
        </w:rPr>
        <w:t xml:space="preserve">536.</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storiadelopusdei.org</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(citato in forma d'indirizzo)</w:t>
      </w:r>
    </w:p>
    <w:p>
      <w:pPr>
        <w:pStyle w:val="Heading3"/>
        <w:spacing w:after="80" w:before="160"/>
      </w:pPr>
      <w:r>
        <w:rPr>
          <w:rFonts w:ascii="Barlow Semi Condensed" w:cs="Barlow Semi Condensed" w:eastAsia="Barlow Semi Condensed" w:hAnsi="Barlow Semi Condensed"/>
          <w:sz w:val="24"/>
          <w:szCs w:val="24"/>
        </w:rPr>
        <w:t xml:space="preserve">Libro dodicesimo · IX — La Santa Sede, la Turchia e l’attentato del 1981</w:t>
      </w:r>
    </w:p>
    <w:p>
      <w:pPr>
        <w:spacing w:after="120" w:line="276"/>
        <w:jc w:val="both"/>
      </w:pPr>
      <w:r>
        <w:rPr>
          <w:rFonts w:ascii="Barlow Semi Condensed" w:cs="Barlow Semi Condensed" w:eastAsia="Barlow Semi Condensed" w:hAnsi="Barlow Semi Condensed"/>
          <w:b/>
          <w:bCs/>
          <w:sz w:val="24"/>
          <w:szCs w:val="24"/>
        </w:rPr>
        <w:t xml:space="preserve">537.</w:t>
      </w:r>
      <w:r>
        <w:rPr>
          <w:rFonts w:ascii="Barlow Semi Condensed" w:cs="Barlow Semi Condensed" w:eastAsia="Barlow Semi Condensed" w:hAnsi="Barlow Semi Condensed"/>
          <w:sz w:val="24"/>
          <w:szCs w:val="24"/>
        </w:rPr>
        <w:t xml:space="preserve"> Spazio70 — https://spazio70.com/post-anni-70/il-gioco-dei-potenti/mistero-della-fede-lattentato-al-papa-e-le-sue-ombre-la-falsa-pista-bulgara/ (https://spazio70.com/post-anni-70/il-gioco-dei-potenti/mistero-della-fede-lattentato-al-papa-e-le-sue-ombre-la-falsa-pista-bulgara/)</w:t>
      </w:r>
    </w:p>
    <w:p>
      <w:pPr>
        <w:spacing w:after="120" w:line="276"/>
        <w:jc w:val="both"/>
      </w:pPr>
      <w:r>
        <w:rPr>
          <w:rFonts w:ascii="Barlow Semi Condensed" w:cs="Barlow Semi Condensed" w:eastAsia="Barlow Semi Condensed" w:hAnsi="Barlow Semi Condensed"/>
          <w:b/>
          <w:bCs/>
          <w:sz w:val="24"/>
          <w:szCs w:val="24"/>
        </w:rPr>
        <w:t xml:space="preserve">538.</w:t>
      </w:r>
      <w:r>
        <w:rPr>
          <w:rFonts w:ascii="Barlow Semi Condensed" w:cs="Barlow Semi Condensed" w:eastAsia="Barlow Semi Condensed" w:hAnsi="Barlow Semi Condensed"/>
          <w:sz w:val="24"/>
          <w:szCs w:val="24"/>
        </w:rPr>
        <w:t xml:space="preserve"> Wikipedia — https://it.m.wikipedia.org/wiki/Chiesa_cattolica_in_Turchia (https://it.m.wikipedia.org/wiki/Chiesa_cattolica_in_Turchia)</w:t>
      </w:r>
    </w:p>
    <w:p>
      <w:pPr>
        <w:spacing w:after="120" w:line="276"/>
        <w:jc w:val="both"/>
      </w:pPr>
      <w:r>
        <w:rPr>
          <w:rFonts w:ascii="Barlow Semi Condensed" w:cs="Barlow Semi Condensed" w:eastAsia="Barlow Semi Condensed" w:hAnsi="Barlow Semi Condensed"/>
          <w:b/>
          <w:bCs/>
          <w:sz w:val="24"/>
          <w:szCs w:val="24"/>
        </w:rPr>
        <w:t xml:space="preserve">539.</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christianunity.va</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(citato in forma d'indirizzo)</w:t>
      </w:r>
    </w:p>
    <w:p>
      <w:pPr>
        <w:spacing w:after="120" w:line="276"/>
        <w:jc w:val="both"/>
      </w:pPr>
      <w:r>
        <w:rPr>
          <w:rFonts w:ascii="Barlow Semi Condensed" w:cs="Barlow Semi Condensed" w:eastAsia="Barlow Semi Condensed" w:hAnsi="Barlow Semi Condensed"/>
          <w:b/>
          <w:bCs/>
          <w:sz w:val="24"/>
          <w:szCs w:val="24"/>
        </w:rPr>
        <w:t xml:space="preserve">540.</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dizie.eu</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(citato in forma d'indirizzo)</w:t>
      </w:r>
    </w:p>
    <w:p>
      <w:pPr>
        <w:spacing w:after="120" w:line="276"/>
        <w:jc w:val="both"/>
      </w:pPr>
      <w:r>
        <w:rPr>
          <w:rFonts w:ascii="Barlow Semi Condensed" w:cs="Barlow Semi Condensed" w:eastAsia="Barlow Semi Condensed" w:hAnsi="Barlow Semi Condensed"/>
          <w:b/>
          <w:bCs/>
          <w:sz w:val="24"/>
          <w:szCs w:val="24"/>
        </w:rPr>
        <w:t xml:space="preserve">541.</w:t>
      </w:r>
      <w:r>
        <w:rPr>
          <w:rFonts w:ascii="Barlow Semi Condensed" w:cs="Barlow Semi Condensed" w:eastAsia="Barlow Semi Condensed" w:hAnsi="Barlow Semi Condensed"/>
          <w:sz w:val="24"/>
          <w:szCs w:val="24"/>
        </w:rPr>
        <w:t xml:space="preserve"> Wikipedia — https://en.wikipedia.org/wiki/Mehmet_Ali_A%C4%9Fca (https://en.wikipedia.org/wiki/Mehmet_Ali_A%C4%9Fca)</w:t>
      </w:r>
    </w:p>
    <w:p>
      <w:pPr>
        <w:spacing w:after="120" w:line="276"/>
        <w:jc w:val="both"/>
      </w:pPr>
      <w:r>
        <w:rPr>
          <w:rFonts w:ascii="Barlow Semi Condensed" w:cs="Barlow Semi Condensed" w:eastAsia="Barlow Semi Condensed" w:hAnsi="Barlow Semi Condensed"/>
          <w:b/>
          <w:bCs/>
          <w:sz w:val="24"/>
          <w:szCs w:val="24"/>
        </w:rPr>
        <w:t xml:space="preserve">542.</w:t>
      </w:r>
      <w:r>
        <w:rPr>
          <w:rFonts w:ascii="Barlow Semi Condensed" w:cs="Barlow Semi Condensed" w:eastAsia="Barlow Semi Condensed" w:hAnsi="Barlow Semi Condensed"/>
          <w:sz w:val="24"/>
          <w:szCs w:val="24"/>
        </w:rPr>
        <w:t xml:space="preserve"> Wikipedia — https://en.wikipedia.org/wiki/Milliyet (https://en.wikipedia.org/wiki/Milliyet)</w:t>
      </w:r>
    </w:p>
    <w:p>
      <w:pPr>
        <w:spacing w:after="120" w:line="276"/>
        <w:jc w:val="both"/>
      </w:pPr>
      <w:r>
        <w:rPr>
          <w:rFonts w:ascii="Barlow Semi Condensed" w:cs="Barlow Semi Condensed" w:eastAsia="Barlow Semi Condensed" w:hAnsi="Barlow Semi Condensed"/>
          <w:b/>
          <w:bCs/>
          <w:sz w:val="24"/>
          <w:szCs w:val="24"/>
        </w:rPr>
        <w:t xml:space="preserve">543.</w:t>
      </w:r>
      <w:r>
        <w:rPr>
          <w:rFonts w:ascii="Barlow Semi Condensed" w:cs="Barlow Semi Condensed" w:eastAsia="Barlow Semi Condensed" w:hAnsi="Barlow Semi Condensed"/>
          <w:sz w:val="24"/>
          <w:szCs w:val="24"/>
        </w:rPr>
        <w:t xml:space="preserve"> goodreads — https://www.goodreads.com/notes/41736831-operation-gladio/28440635-jos-mar-a-blancowhite/c0835082-842c-42f7-8825-b4fc114719a8 (https://www.goodreads.com/notes/41736831-operation-gladio/28440635-jos-mar-a-blancowhite/c0835082-842c-42f7-8825-b4fc114719a8)</w:t>
      </w:r>
    </w:p>
    <w:p>
      <w:pPr>
        <w:spacing w:after="120" w:line="276"/>
        <w:jc w:val="both"/>
      </w:pPr>
      <w:r>
        <w:rPr>
          <w:rFonts w:ascii="Barlow Semi Condensed" w:cs="Barlow Semi Condensed" w:eastAsia="Barlow Semi Condensed" w:hAnsi="Barlow Semi Condensed"/>
          <w:b/>
          <w:bCs/>
          <w:sz w:val="24"/>
          <w:szCs w:val="24"/>
        </w:rPr>
        <w:t xml:space="preserve">544.</w:t>
      </w:r>
      <w:r>
        <w:rPr>
          <w:rFonts w:ascii="Barlow Semi Condensed" w:cs="Barlow Semi Condensed" w:eastAsia="Barlow Semi Condensed" w:hAnsi="Barlow Semi Condensed"/>
          <w:sz w:val="24"/>
          <w:szCs w:val="24"/>
        </w:rPr>
        <w:t xml:space="preserve"> NPR — https://www.npr.org/2006/01/20/5164596/turkey-recoils-at-release-of-man-who-shot-pope (https://www.npr.org/2006/01/20/5164596/turkey-recoils-at-release-of-man-who-shot-pope)</w:t>
      </w:r>
    </w:p>
    <w:p>
      <w:pPr>
        <w:spacing w:after="120" w:line="276"/>
        <w:jc w:val="both"/>
      </w:pPr>
      <w:r>
        <w:rPr>
          <w:rFonts w:ascii="Barlow Semi Condensed" w:cs="Barlow Semi Condensed" w:eastAsia="Barlow Semi Condensed" w:hAnsi="Barlow Semi Condensed"/>
          <w:b/>
          <w:bCs/>
          <w:sz w:val="24"/>
          <w:szCs w:val="24"/>
        </w:rPr>
        <w:t xml:space="preserve">545.</w:t>
      </w:r>
      <w:r>
        <w:rPr>
          <w:rFonts w:ascii="Barlow Semi Condensed" w:cs="Barlow Semi Condensed" w:eastAsia="Barlow Semi Condensed" w:hAnsi="Barlow Semi Condensed"/>
          <w:sz w:val="24"/>
          <w:szCs w:val="24"/>
        </w:rPr>
        <w:t xml:space="preserve"> Il Giardino dei Libri — https://www.ilgiardinodeilibri.it/libri/__attentato-al-papa-elena-hilal-agca-libro.php (https://www.ilgiardinodeilibri.it/libri/__attentato-al-papa-elena-hilal-agca-libro.php) </w:t>
      </w:r>
      <w:r>
        <w:rPr>
          <w:rFonts w:ascii="Barlow Semi Condensed" w:cs="Barlow Semi Condensed" w:eastAsia="Barlow Semi Condensed" w:hAnsi="Barlow Semi Condensed"/>
          <w:i/>
          <w:iCs/>
          <w:sz w:val="24"/>
          <w:szCs w:val="24"/>
        </w:rPr>
        <w:t xml:space="preserve">(citato 2 volte)</w:t>
      </w:r>
    </w:p>
    <w:p>
      <w:pPr>
        <w:spacing w:after="120" w:line="276"/>
        <w:jc w:val="both"/>
      </w:pPr>
      <w:r>
        <w:rPr>
          <w:rFonts w:ascii="Barlow Semi Condensed" w:cs="Barlow Semi Condensed" w:eastAsia="Barlow Semi Condensed" w:hAnsi="Barlow Semi Condensed"/>
          <w:b/>
          <w:bCs/>
          <w:sz w:val="24"/>
          <w:szCs w:val="24"/>
        </w:rPr>
        <w:t xml:space="preserve">546.</w:t>
      </w:r>
      <w:r>
        <w:rPr>
          <w:rFonts w:ascii="Barlow Semi Condensed" w:cs="Barlow Semi Condensed" w:eastAsia="Barlow Semi Condensed" w:hAnsi="Barlow Semi Condensed"/>
          <w:sz w:val="24"/>
          <w:szCs w:val="24"/>
        </w:rPr>
        <w:t xml:space="preserve"> CultWeb — https://cultweb.it/cultura/storia/che-fine-ha-fatto-ali-agca-lattentatore-di-giovanni-paolo-ii/ (https://cultweb.it/cultura/storia/che-fine-ha-fatto-ali-agca-lattentatore-di-giovanni-paolo-ii/)</w:t>
      </w:r>
    </w:p>
    <w:p>
      <w:pPr>
        <w:spacing w:after="120" w:line="276"/>
        <w:jc w:val="both"/>
      </w:pPr>
      <w:r>
        <w:rPr>
          <w:rFonts w:ascii="Barlow Semi Condensed" w:cs="Barlow Semi Condensed" w:eastAsia="Barlow Semi Condensed" w:hAnsi="Barlow Semi Condensed"/>
          <w:b/>
          <w:bCs/>
          <w:sz w:val="24"/>
          <w:szCs w:val="24"/>
        </w:rPr>
        <w:t xml:space="preserve">547.</w:t>
      </w:r>
      <w:r>
        <w:rPr>
          <w:rFonts w:ascii="Barlow Semi Condensed" w:cs="Barlow Semi Condensed" w:eastAsia="Barlow Semi Condensed" w:hAnsi="Barlow Semi Condensed"/>
          <w:sz w:val="24"/>
          <w:szCs w:val="24"/>
        </w:rPr>
        <w:t xml:space="preserve"> state — https://history.state.gov/historicaldocuments/frus1981-88v10/d370 (https://history.state.gov/historicaldocuments/frus1981-88v10/d370) </w:t>
      </w:r>
      <w:r>
        <w:rPr>
          <w:rFonts w:ascii="Barlow Semi Condensed" w:cs="Barlow Semi Condensed" w:eastAsia="Barlow Semi Condensed" w:hAnsi="Barlow Semi Condensed"/>
          <w:i/>
          <w:iCs/>
          <w:sz w:val="24"/>
          <w:szCs w:val="24"/>
        </w:rPr>
        <w:t xml:space="preserve">(citato 2 volte)</w:t>
      </w:r>
    </w:p>
    <w:p>
      <w:pPr>
        <w:spacing w:after="120" w:line="276"/>
        <w:jc w:val="both"/>
      </w:pPr>
      <w:r>
        <w:rPr>
          <w:rFonts w:ascii="Barlow Semi Condensed" w:cs="Barlow Semi Condensed" w:eastAsia="Barlow Semi Condensed" w:hAnsi="Barlow Semi Condensed"/>
          <w:b/>
          <w:bCs/>
          <w:sz w:val="24"/>
          <w:szCs w:val="24"/>
        </w:rPr>
        <w:t xml:space="preserve">548.</w:t>
      </w:r>
      <w:r>
        <w:rPr>
          <w:rFonts w:ascii="Barlow Semi Condensed" w:cs="Barlow Semi Condensed" w:eastAsia="Barlow Semi Condensed" w:hAnsi="Barlow Semi Condensed"/>
          <w:sz w:val="24"/>
          <w:szCs w:val="24"/>
        </w:rPr>
        <w:t xml:space="preserve"> state — https://history.state.gov/historicaldocuments/frus1981-88v10/d376 (https://history.state.gov/historicaldocuments/frus1981-88v10/d376) </w:t>
      </w:r>
      <w:r>
        <w:rPr>
          <w:rFonts w:ascii="Barlow Semi Condensed" w:cs="Barlow Semi Condensed" w:eastAsia="Barlow Semi Condensed" w:hAnsi="Barlow Semi Condensed"/>
          <w:i/>
          <w:iCs/>
          <w:sz w:val="24"/>
          <w:szCs w:val="24"/>
        </w:rPr>
        <w:t xml:space="preserve">(citato 2 volte)</w:t>
      </w:r>
    </w:p>
    <w:p>
      <w:pPr>
        <w:spacing w:after="120" w:line="276"/>
        <w:jc w:val="both"/>
      </w:pPr>
      <w:r>
        <w:rPr>
          <w:rFonts w:ascii="Barlow Semi Condensed" w:cs="Barlow Semi Condensed" w:eastAsia="Barlow Semi Condensed" w:hAnsi="Barlow Semi Condensed"/>
          <w:b/>
          <w:bCs/>
          <w:sz w:val="24"/>
          <w:szCs w:val="24"/>
        </w:rPr>
        <w:t xml:space="preserve">549.</w:t>
      </w:r>
      <w:r>
        <w:rPr>
          <w:rFonts w:ascii="Barlow Semi Condensed" w:cs="Barlow Semi Condensed" w:eastAsia="Barlow Semi Condensed" w:hAnsi="Barlow Semi Condensed"/>
          <w:sz w:val="24"/>
          <w:szCs w:val="24"/>
        </w:rPr>
        <w:t xml:space="preserve"> state — https://history.state.gov/historicaldocuments/frus1981-88v10/d377 (https://history.state.gov/historicaldocuments/frus1981-88v10/d377)</w:t>
      </w:r>
    </w:p>
    <w:p>
      <w:pPr>
        <w:spacing w:after="120" w:line="276"/>
        <w:jc w:val="both"/>
      </w:pPr>
      <w:r>
        <w:rPr>
          <w:rFonts w:ascii="Barlow Semi Condensed" w:cs="Barlow Semi Condensed" w:eastAsia="Barlow Semi Condensed" w:hAnsi="Barlow Semi Condensed"/>
          <w:b/>
          <w:bCs/>
          <w:sz w:val="24"/>
          <w:szCs w:val="24"/>
        </w:rPr>
        <w:t xml:space="preserve">550.</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storiologia.it</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(citato in forma d'indirizzo, 3 volte)</w:t>
      </w:r>
    </w:p>
    <w:p>
      <w:pPr>
        <w:spacing w:after="120" w:line="276"/>
        <w:jc w:val="both"/>
      </w:pPr>
      <w:r>
        <w:rPr>
          <w:rFonts w:ascii="Barlow Semi Condensed" w:cs="Barlow Semi Condensed" w:eastAsia="Barlow Semi Condensed" w:hAnsi="Barlow Semi Condensed"/>
          <w:b/>
          <w:bCs/>
          <w:sz w:val="24"/>
          <w:szCs w:val="24"/>
        </w:rPr>
        <w:t xml:space="preserve">551.</w:t>
      </w:r>
      <w:r>
        <w:rPr>
          <w:rFonts w:ascii="Barlow Semi Condensed" w:cs="Barlow Semi Condensed" w:eastAsia="Barlow Semi Condensed" w:hAnsi="Barlow Semi Condensed"/>
          <w:sz w:val="24"/>
          <w:szCs w:val="24"/>
        </w:rPr>
        <w:t xml:space="preserve"> Storiologia — https://www.storiologia.it/biografie/roncalli.htm (https://www.storiologia.it/biografie/roncalli.htm) </w:t>
      </w:r>
      <w:r>
        <w:rPr>
          <w:rFonts w:ascii="Barlow Semi Condensed" w:cs="Barlow Semi Condensed" w:eastAsia="Barlow Semi Condensed" w:hAnsi="Barlow Semi Condensed"/>
          <w:i/>
          <w:iCs/>
          <w:sz w:val="24"/>
          <w:szCs w:val="24"/>
        </w:rPr>
        <w:t xml:space="preserve">(citato 2 volte)</w:t>
      </w:r>
    </w:p>
    <w:p>
      <w:pPr>
        <w:spacing w:after="120" w:line="276"/>
        <w:jc w:val="both"/>
      </w:pPr>
      <w:r>
        <w:rPr>
          <w:rFonts w:ascii="Barlow Semi Condensed" w:cs="Barlow Semi Condensed" w:eastAsia="Barlow Semi Condensed" w:hAnsi="Barlow Semi Condensed"/>
          <w:b/>
          <w:bCs/>
          <w:sz w:val="24"/>
          <w:szCs w:val="24"/>
        </w:rPr>
        <w:t xml:space="preserve">552.</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padovanet.it</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(citato in forma d'indirizzo)</w:t>
      </w:r>
    </w:p>
    <w:p>
      <w:pPr>
        <w:spacing w:after="120" w:line="276"/>
        <w:jc w:val="both"/>
      </w:pPr>
      <w:r>
        <w:rPr>
          <w:rFonts w:ascii="Barlow Semi Condensed" w:cs="Barlow Semi Condensed" w:eastAsia="Barlow Semi Condensed" w:hAnsi="Barlow Semi Condensed"/>
          <w:b/>
          <w:bCs/>
          <w:sz w:val="24"/>
          <w:szCs w:val="24"/>
        </w:rPr>
        <w:t xml:space="preserve">553.</w:t>
      </w:r>
      <w:r>
        <w:rPr>
          <w:rFonts w:ascii="Barlow Semi Condensed" w:cs="Barlow Semi Condensed" w:eastAsia="Barlow Semi Condensed" w:hAnsi="Barlow Semi Condensed"/>
          <w:sz w:val="24"/>
          <w:szCs w:val="24"/>
        </w:rPr>
        <w:t xml:space="preserve"> Gariwo — https://it.gariwo.net/dl/202005180612_A.pdf (https://it.gariwo.net/dl/202005180612_A.pdf)</w:t>
      </w:r>
    </w:p>
    <w:p>
      <w:pPr>
        <w:spacing w:after="120" w:line="276"/>
        <w:jc w:val="both"/>
      </w:pPr>
      <w:r>
        <w:rPr>
          <w:rFonts w:ascii="Barlow Semi Condensed" w:cs="Barlow Semi Condensed" w:eastAsia="Barlow Semi Condensed" w:hAnsi="Barlow Semi Condensed"/>
          <w:b/>
          <w:bCs/>
          <w:sz w:val="24"/>
          <w:szCs w:val="24"/>
        </w:rPr>
        <w:t xml:space="preserve">554.</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ladiscussione.com</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(citato in forma d'indirizzo, 2 volte)</w:t>
      </w:r>
    </w:p>
    <w:p>
      <w:pPr>
        <w:spacing w:after="120" w:line="276"/>
        <w:jc w:val="both"/>
      </w:pPr>
      <w:r>
        <w:rPr>
          <w:rFonts w:ascii="Barlow Semi Condensed" w:cs="Barlow Semi Condensed" w:eastAsia="Barlow Semi Condensed" w:hAnsi="Barlow Semi Condensed"/>
          <w:b/>
          <w:bCs/>
          <w:sz w:val="24"/>
          <w:szCs w:val="24"/>
        </w:rPr>
        <w:t xml:space="preserve">555.</w:t>
      </w:r>
      <w:r>
        <w:rPr>
          <w:rFonts w:ascii="Barlow Semi Condensed" w:cs="Barlow Semi Condensed" w:eastAsia="Barlow Semi Condensed" w:hAnsi="Barlow Semi Condensed"/>
          <w:sz w:val="24"/>
          <w:szCs w:val="24"/>
        </w:rPr>
        <w:t xml:space="preserve"> La Discussione — https://ladiscussione.com/130659/cultura/roncalli-a-istanbul/ (https://ladiscussione.com/130659/cultura/roncalli-a-istanbul/) </w:t>
      </w:r>
      <w:r>
        <w:rPr>
          <w:rFonts w:ascii="Barlow Semi Condensed" w:cs="Barlow Semi Condensed" w:eastAsia="Barlow Semi Condensed" w:hAnsi="Barlow Semi Condensed"/>
          <w:i/>
          <w:iCs/>
          <w:sz w:val="24"/>
          <w:szCs w:val="24"/>
        </w:rPr>
        <w:t xml:space="preserve">(citato 3 volte)</w:t>
      </w:r>
    </w:p>
    <w:p>
      <w:pPr>
        <w:spacing w:after="120" w:line="276"/>
        <w:jc w:val="both"/>
      </w:pPr>
      <w:r>
        <w:rPr>
          <w:rFonts w:ascii="Barlow Semi Condensed" w:cs="Barlow Semi Condensed" w:eastAsia="Barlow Semi Condensed" w:hAnsi="Barlow Semi Condensed"/>
          <w:b/>
          <w:bCs/>
          <w:sz w:val="24"/>
          <w:szCs w:val="24"/>
        </w:rPr>
        <w:t xml:space="preserve">556.</w:t>
      </w:r>
      <w:r>
        <w:rPr>
          <w:rFonts w:ascii="Barlow Semi Condensed" w:cs="Barlow Semi Condensed" w:eastAsia="Barlow Semi Condensed" w:hAnsi="Barlow Semi Condensed"/>
          <w:sz w:val="24"/>
          <w:szCs w:val="24"/>
        </w:rPr>
        <w:t xml:space="preserve"> Zenit — https://it.zenit.org/2010/12/01/il-metodo-roncalli-nell-incontro-tra-oriente-e-occidente/ (https://it.zenit.org/2010/12/01/il-metodo-roncalli-nell-incontro-tra-oriente-e-occidente/) </w:t>
      </w:r>
      <w:r>
        <w:rPr>
          <w:rFonts w:ascii="Barlow Semi Condensed" w:cs="Barlow Semi Condensed" w:eastAsia="Barlow Semi Condensed" w:hAnsi="Barlow Semi Condensed"/>
          <w:i/>
          <w:iCs/>
          <w:sz w:val="24"/>
          <w:szCs w:val="24"/>
        </w:rPr>
        <w:t xml:space="preserve">(citato 2 volte)</w:t>
      </w:r>
    </w:p>
    <w:p>
      <w:pPr>
        <w:spacing w:after="120" w:line="276"/>
        <w:jc w:val="both"/>
      </w:pPr>
      <w:r>
        <w:rPr>
          <w:rFonts w:ascii="Barlow Semi Condensed" w:cs="Barlow Semi Condensed" w:eastAsia="Barlow Semi Condensed" w:hAnsi="Barlow Semi Condensed"/>
          <w:b/>
          <w:bCs/>
          <w:sz w:val="24"/>
          <w:szCs w:val="24"/>
        </w:rPr>
        <w:t xml:space="preserve">557.</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terrasanta.net</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(citato in forma d'indirizzo)</w:t>
      </w:r>
    </w:p>
    <w:p>
      <w:pPr>
        <w:spacing w:after="120" w:line="276"/>
        <w:jc w:val="both"/>
      </w:pPr>
      <w:r>
        <w:rPr>
          <w:rFonts w:ascii="Barlow Semi Condensed" w:cs="Barlow Semi Condensed" w:eastAsia="Barlow Semi Condensed" w:hAnsi="Barlow Semi Condensed"/>
          <w:b/>
          <w:bCs/>
          <w:sz w:val="24"/>
          <w:szCs w:val="24"/>
        </w:rPr>
        <w:t xml:space="preserve">558.</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zenit.org</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(citato in forma d'indirizzo)</w:t>
      </w:r>
    </w:p>
    <w:p>
      <w:pPr>
        <w:spacing w:after="120" w:line="276"/>
        <w:jc w:val="both"/>
      </w:pPr>
      <w:r>
        <w:rPr>
          <w:rFonts w:ascii="Barlow Semi Condensed" w:cs="Barlow Semi Condensed" w:eastAsia="Barlow Semi Condensed" w:hAnsi="Barlow Semi Condensed"/>
          <w:b/>
          <w:bCs/>
          <w:sz w:val="24"/>
          <w:szCs w:val="24"/>
        </w:rPr>
        <w:t xml:space="preserve">559.</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avvenire.it</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(citato in forma d'indirizzo)</w:t>
      </w:r>
    </w:p>
    <w:p>
      <w:pPr>
        <w:spacing w:after="120" w:line="276"/>
        <w:jc w:val="both"/>
      </w:pPr>
      <w:r>
        <w:rPr>
          <w:rFonts w:ascii="Barlow Semi Condensed" w:cs="Barlow Semi Condensed" w:eastAsia="Barlow Semi Condensed" w:hAnsi="Barlow Semi Condensed"/>
          <w:b/>
          <w:bCs/>
          <w:sz w:val="24"/>
          <w:szCs w:val="24"/>
        </w:rPr>
        <w:t xml:space="preserve">560.</w:t>
      </w:r>
      <w:r>
        <w:rPr>
          <w:rFonts w:ascii="Barlow Semi Condensed" w:cs="Barlow Semi Condensed" w:eastAsia="Barlow Semi Condensed" w:hAnsi="Barlow Semi Condensed"/>
          <w:sz w:val="24"/>
          <w:szCs w:val="24"/>
        </w:rPr>
        <w:t xml:space="preserve"> Vatican News — https://www.vaticannews.va/it/papa/news/2025-11/viaggi-apostolici-papi-turchia.html (https://www.vaticannews.va/it/papa/news/2025-11/viaggi-apostolici-papi-turchia.html)</w:t>
      </w:r>
    </w:p>
    <w:p>
      <w:pPr>
        <w:spacing w:after="120" w:line="276"/>
        <w:jc w:val="both"/>
      </w:pPr>
      <w:r>
        <w:rPr>
          <w:rFonts w:ascii="Barlow Semi Condensed" w:cs="Barlow Semi Condensed" w:eastAsia="Barlow Semi Condensed" w:hAnsi="Barlow Semi Condensed"/>
          <w:b/>
          <w:bCs/>
          <w:sz w:val="24"/>
          <w:szCs w:val="24"/>
        </w:rPr>
        <w:t xml:space="preserve">561.</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orientecristiano.it</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(citato in forma d'indirizzo)</w:t>
      </w:r>
    </w:p>
    <w:p>
      <w:pPr>
        <w:spacing w:after="120" w:line="276"/>
        <w:jc w:val="both"/>
      </w:pPr>
      <w:r>
        <w:rPr>
          <w:rFonts w:ascii="Barlow Semi Condensed" w:cs="Barlow Semi Condensed" w:eastAsia="Barlow Semi Condensed" w:hAnsi="Barlow Semi Condensed"/>
          <w:b/>
          <w:bCs/>
          <w:sz w:val="24"/>
          <w:szCs w:val="24"/>
        </w:rPr>
        <w:t xml:space="preserve">562.</w:t>
      </w:r>
      <w:r>
        <w:rPr>
          <w:rFonts w:ascii="Barlow Semi Condensed" w:cs="Barlow Semi Condensed" w:eastAsia="Barlow Semi Condensed" w:hAnsi="Barlow Semi Condensed"/>
          <w:sz w:val="24"/>
          <w:szCs w:val="24"/>
        </w:rPr>
        <w:t xml:space="preserve"> Diocesichieti — https://www.diocesichieti.it/sessione-plenaria-per-il-dialogo-teologico-tra-la-chiesa-cattolica-e-le-chiese-ortodosse/ (https://www.diocesichieti.it/sessione-plenaria-per-il-dialogo-teologico-tra-la-chiesa-cattolica-e-le-chiese-ortodosse/)</w:t>
      </w:r>
    </w:p>
    <w:p>
      <w:pPr>
        <w:spacing w:after="120" w:line="276"/>
        <w:jc w:val="both"/>
      </w:pPr>
      <w:r>
        <w:rPr>
          <w:rFonts w:ascii="Barlow Semi Condensed" w:cs="Barlow Semi Condensed" w:eastAsia="Barlow Semi Condensed" w:hAnsi="Barlow Semi Condensed"/>
          <w:b/>
          <w:bCs/>
          <w:sz w:val="24"/>
          <w:szCs w:val="24"/>
        </w:rPr>
        <w:t xml:space="preserve">563.</w:t>
      </w:r>
      <w:r>
        <w:rPr>
          <w:rFonts w:ascii="Barlow Semi Condensed" w:cs="Barlow Semi Condensed" w:eastAsia="Barlow Semi Condensed" w:hAnsi="Barlow Semi Condensed"/>
          <w:sz w:val="24"/>
          <w:szCs w:val="24"/>
        </w:rPr>
        <w:t xml:space="preserve"> L'Osservatore Romano — https://www.osservatoreromano.va/it/news/2020-11/quo-273/dialogo-sulla-chiesa.html (https://www.osservatoreromano.va/it/news/2020-11/quo-273/dialogo-sulla-chiesa.html)</w:t>
      </w:r>
    </w:p>
    <w:p>
      <w:pPr>
        <w:spacing w:after="120" w:line="276"/>
        <w:jc w:val="both"/>
      </w:pPr>
      <w:r>
        <w:rPr>
          <w:rFonts w:ascii="Barlow Semi Condensed" w:cs="Barlow Semi Condensed" w:eastAsia="Barlow Semi Condensed" w:hAnsi="Barlow Semi Condensed"/>
          <w:b/>
          <w:bCs/>
          <w:sz w:val="24"/>
          <w:szCs w:val="24"/>
        </w:rPr>
        <w:t xml:space="preserve">564.</w:t>
      </w:r>
      <w:r>
        <w:rPr>
          <w:rFonts w:ascii="Barlow Semi Condensed" w:cs="Barlow Semi Condensed" w:eastAsia="Barlow Semi Condensed" w:hAnsi="Barlow Semi Condensed"/>
          <w:sz w:val="24"/>
          <w:szCs w:val="24"/>
        </w:rPr>
        <w:t xml:space="preserve"> Ccee — https://www.ccee.eu/wp-content/uploads/sites/2/2019/09/Intervento-Rev.-Bouwen.pdf (https://www.ccee.eu/wp-content/uploads/sites/2/2019/09/Intervento-Rev.-Bouwen.pdf)</w:t>
      </w:r>
    </w:p>
    <w:p>
      <w:pPr>
        <w:spacing w:after="120" w:line="276"/>
        <w:jc w:val="both"/>
      </w:pPr>
      <w:r>
        <w:rPr>
          <w:rFonts w:ascii="Barlow Semi Condensed" w:cs="Barlow Semi Condensed" w:eastAsia="Barlow Semi Condensed" w:hAnsi="Barlow Semi Condensed"/>
          <w:b/>
          <w:bCs/>
          <w:sz w:val="24"/>
          <w:szCs w:val="24"/>
        </w:rPr>
        <w:t xml:space="preserve">565.</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lafiaccola.it</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(citato in forma d'indirizzo)</w:t>
      </w:r>
    </w:p>
    <w:p>
      <w:pPr>
        <w:spacing w:after="120" w:line="276"/>
        <w:jc w:val="both"/>
      </w:pPr>
      <w:r>
        <w:rPr>
          <w:rFonts w:ascii="Barlow Semi Condensed" w:cs="Barlow Semi Condensed" w:eastAsia="Barlow Semi Condensed" w:hAnsi="Barlow Semi Condensed"/>
          <w:b/>
          <w:bCs/>
          <w:sz w:val="24"/>
          <w:szCs w:val="24"/>
        </w:rPr>
        <w:t xml:space="preserve">566.</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funerali.org</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(citato in forma d'indirizzo)</w:t>
      </w:r>
    </w:p>
    <w:p>
      <w:pPr>
        <w:spacing w:after="120" w:line="276"/>
        <w:jc w:val="both"/>
      </w:pPr>
      <w:r>
        <w:rPr>
          <w:rFonts w:ascii="Barlow Semi Condensed" w:cs="Barlow Semi Condensed" w:eastAsia="Barlow Semi Condensed" w:hAnsi="Barlow Semi Condensed"/>
          <w:b/>
          <w:bCs/>
          <w:sz w:val="24"/>
          <w:szCs w:val="24"/>
        </w:rPr>
        <w:t xml:space="preserve">567.</w:t>
      </w:r>
      <w:r>
        <w:rPr>
          <w:rFonts w:ascii="Barlow Semi Condensed" w:cs="Barlow Semi Condensed" w:eastAsia="Barlow Semi Condensed" w:hAnsi="Barlow Semi Condensed"/>
          <w:sz w:val="24"/>
          <w:szCs w:val="24"/>
        </w:rPr>
        <w:t xml:space="preserve"> Funerali — https://www.funerali.org/cimiteri/in-turchia-restituiti-tra-laltro-alle-minoranze-religiose-la-gestione-di-loro-cimiteri-2-42724.html (https://www.funerali.org/cimiteri/in-turchia-restituiti-tra-laltro-alle-minoranze-religiose-la-gestione-di-loro-cimiteri-2-42724.html)</w:t>
      </w:r>
    </w:p>
    <w:p>
      <w:pPr>
        <w:spacing w:after="120" w:line="276"/>
        <w:jc w:val="both"/>
      </w:pPr>
      <w:r>
        <w:rPr>
          <w:rFonts w:ascii="Barlow Semi Condensed" w:cs="Barlow Semi Condensed" w:eastAsia="Barlow Semi Condensed" w:hAnsi="Barlow Semi Condensed"/>
          <w:b/>
          <w:bCs/>
          <w:sz w:val="24"/>
          <w:szCs w:val="24"/>
        </w:rPr>
        <w:t xml:space="preserve">568.</w:t>
      </w:r>
      <w:r>
        <w:rPr>
          <w:rFonts w:ascii="Barlow Semi Condensed" w:cs="Barlow Semi Condensed" w:eastAsia="Barlow Semi Condensed" w:hAnsi="Barlow Semi Condensed"/>
          <w:sz w:val="24"/>
          <w:szCs w:val="24"/>
        </w:rPr>
        <w:t xml:space="preserve"> Alegsaonline — https://it.alegsaonline.com/art/65294 (https://it.alegsaonline.com/art/65294)</w:t>
      </w:r>
    </w:p>
    <w:p>
      <w:pPr>
        <w:spacing w:after="120" w:line="276"/>
        <w:jc w:val="both"/>
      </w:pPr>
      <w:r>
        <w:rPr>
          <w:rFonts w:ascii="Barlow Semi Condensed" w:cs="Barlow Semi Condensed" w:eastAsia="Barlow Semi Condensed" w:hAnsi="Barlow Semi Condensed"/>
          <w:b/>
          <w:bCs/>
          <w:sz w:val="24"/>
          <w:szCs w:val="24"/>
        </w:rPr>
        <w:t xml:space="preserve">569.</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settimananews.it</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(citato in forma d'indirizzo)</w:t>
      </w:r>
    </w:p>
    <w:p>
      <w:pPr>
        <w:spacing w:after="120" w:line="276"/>
        <w:jc w:val="both"/>
      </w:pPr>
      <w:r>
        <w:rPr>
          <w:rFonts w:ascii="Barlow Semi Condensed" w:cs="Barlow Semi Condensed" w:eastAsia="Barlow Semi Condensed" w:hAnsi="Barlow Semi Condensed"/>
          <w:b/>
          <w:bCs/>
          <w:sz w:val="24"/>
          <w:szCs w:val="24"/>
        </w:rPr>
        <w:t xml:space="preserve">570.</w:t>
      </w:r>
      <w:r>
        <w:rPr>
          <w:rFonts w:ascii="Barlow Semi Condensed" w:cs="Barlow Semi Condensed" w:eastAsia="Barlow Semi Condensed" w:hAnsi="Barlow Semi Condensed"/>
          <w:sz w:val="24"/>
          <w:szCs w:val="24"/>
        </w:rPr>
        <w:t xml:space="preserve"> Treccani — https://www.treccani.it/enciclopedia/agostino-casaroli_(Dizionario-Biografico (https://www.treccani.it/enciclopedia/agostino-casaroli_(Dizionario-Biografico)</w:t>
      </w:r>
    </w:p>
    <w:p>
      <w:pPr>
        <w:spacing w:after="120" w:line="276"/>
        <w:jc w:val="both"/>
      </w:pPr>
      <w:r>
        <w:rPr>
          <w:rFonts w:ascii="Barlow Semi Condensed" w:cs="Barlow Semi Condensed" w:eastAsia="Barlow Semi Condensed" w:hAnsi="Barlow Semi Condensed"/>
          <w:b/>
          <w:bCs/>
          <w:sz w:val="24"/>
          <w:szCs w:val="24"/>
        </w:rPr>
        <w:t xml:space="preserve">571.</w:t>
      </w:r>
      <w:r>
        <w:rPr>
          <w:rFonts w:ascii="Barlow Semi Condensed" w:cs="Barlow Semi Condensed" w:eastAsia="Barlow Semi Condensed" w:hAnsi="Barlow Semi Condensed"/>
          <w:sz w:val="24"/>
          <w:szCs w:val="24"/>
        </w:rPr>
        <w:t xml:space="preserve"> Cespi — https://www.cespi.it/sites/default/files/osservatori/allegati/brief_62_comunita_levantina_di_istanbul_imparato.pdf (https://www.cespi.it/sites/default/files/osservatori/allegati/brief_62_comunita_levantina_di_istanbul_imparato.pdf)</w:t>
      </w:r>
    </w:p>
    <w:p>
      <w:pPr>
        <w:spacing w:after="120" w:line="276"/>
        <w:jc w:val="both"/>
      </w:pPr>
      <w:r>
        <w:rPr>
          <w:rFonts w:ascii="Barlow Semi Condensed" w:cs="Barlow Semi Condensed" w:eastAsia="Barlow Semi Condensed" w:hAnsi="Barlow Semi Condensed"/>
          <w:b/>
          <w:bCs/>
          <w:sz w:val="24"/>
          <w:szCs w:val="24"/>
        </w:rPr>
        <w:t xml:space="preserve">572.</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vaticannews.va</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(citato in forma d'indirizzo)</w:t>
      </w:r>
    </w:p>
    <w:p>
      <w:pPr>
        <w:spacing w:after="120" w:line="276"/>
        <w:jc w:val="both"/>
      </w:pPr>
      <w:r>
        <w:rPr>
          <w:rFonts w:ascii="Barlow Semi Condensed" w:cs="Barlow Semi Condensed" w:eastAsia="Barlow Semi Condensed" w:hAnsi="Barlow Semi Condensed"/>
          <w:b/>
          <w:bCs/>
          <w:sz w:val="24"/>
          <w:szCs w:val="24"/>
        </w:rPr>
        <w:t xml:space="preserve">573.</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archivioapostolicovaticano.va</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(citato in forma d'indirizzo)</w:t>
      </w:r>
    </w:p>
    <w:p>
      <w:pPr>
        <w:spacing w:after="120" w:line="276"/>
        <w:jc w:val="both"/>
      </w:pPr>
      <w:r>
        <w:rPr>
          <w:rFonts w:ascii="Barlow Semi Condensed" w:cs="Barlow Semi Condensed" w:eastAsia="Barlow Semi Condensed" w:hAnsi="Barlow Semi Condensed"/>
          <w:b/>
          <w:bCs/>
          <w:sz w:val="24"/>
          <w:szCs w:val="24"/>
        </w:rPr>
        <w:t xml:space="preserve">574.</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acistampa.com</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(citato in forma d'indirizzo)</w:t>
      </w:r>
    </w:p>
    <w:p>
      <w:pPr>
        <w:spacing w:after="120" w:line="276"/>
        <w:jc w:val="both"/>
      </w:pPr>
      <w:r>
        <w:rPr>
          <w:rFonts w:ascii="Barlow Semi Condensed" w:cs="Barlow Semi Condensed" w:eastAsia="Barlow Semi Condensed" w:hAnsi="Barlow Semi Condensed"/>
          <w:b/>
          <w:bCs/>
          <w:sz w:val="24"/>
          <w:szCs w:val="24"/>
        </w:rPr>
        <w:t xml:space="preserve">575.</w:t>
      </w:r>
      <w:r>
        <w:rPr>
          <w:rFonts w:ascii="Barlow Semi Condensed" w:cs="Barlow Semi Condensed" w:eastAsia="Barlow Semi Condensed" w:hAnsi="Barlow Semi Condensed"/>
          <w:sz w:val="24"/>
          <w:szCs w:val="24"/>
        </w:rPr>
        <w:t xml:space="preserve"> Esteri — https://italiana.esteri.it/italiana/en/culture/la-farnesina-apre-al-pubblico-la-biblioteca-e-larchivio-storico-diplomatico/ (https://italiana.esteri.it/italiana/en/culture/la-farnesina-apre-al-pubblico-la-biblioteca-e-larchivio-storico-diplomatico/)</w:t>
      </w:r>
    </w:p>
    <w:p>
      <w:pPr>
        <w:spacing w:after="120" w:line="276"/>
        <w:jc w:val="both"/>
      </w:pPr>
      <w:r>
        <w:rPr>
          <w:rFonts w:ascii="Barlow Semi Condensed" w:cs="Barlow Semi Condensed" w:eastAsia="Barlow Semi Condensed" w:hAnsi="Barlow Semi Condensed"/>
          <w:b/>
          <w:bCs/>
          <w:sz w:val="24"/>
          <w:szCs w:val="24"/>
        </w:rPr>
        <w:t xml:space="preserve">576.</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italiana.esteri.it</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(citato in forma d'indirizzo)</w:t>
      </w:r>
    </w:p>
    <w:p>
      <w:pPr>
        <w:spacing w:after="120" w:line="276"/>
        <w:jc w:val="both"/>
      </w:pPr>
      <w:r>
        <w:rPr>
          <w:rFonts w:ascii="Barlow Semi Condensed" w:cs="Barlow Semi Condensed" w:eastAsia="Barlow Semi Condensed" w:hAnsi="Barlow Semi Condensed"/>
          <w:b/>
          <w:bCs/>
          <w:sz w:val="24"/>
          <w:szCs w:val="24"/>
        </w:rPr>
        <w:t xml:space="preserve">577.</w:t>
      </w:r>
      <w:r>
        <w:rPr>
          <w:rFonts w:ascii="Barlow Semi Condensed" w:cs="Barlow Semi Condensed" w:eastAsia="Barlow Semi Condensed" w:hAnsi="Barlow Semi Condensed"/>
          <w:sz w:val="24"/>
          <w:szCs w:val="24"/>
        </w:rPr>
        <w:t xml:space="preserve"> Parlamento Italiano — https://www.parlamento.it/application/xmanager/projects/parlamento/file/commissione_mitrokhin_14leg/mitrokhindoc.377.pdf (https://www.parlamento.it/application/xmanager/projects/parlamento/file/commissione_mitrokhin_14leg/mitrokhindoc.377.pdf) </w:t>
      </w:r>
      <w:r>
        <w:rPr>
          <w:rFonts w:ascii="Barlow Semi Condensed" w:cs="Barlow Semi Condensed" w:eastAsia="Barlow Semi Condensed" w:hAnsi="Barlow Semi Condensed"/>
          <w:i/>
          <w:iCs/>
          <w:sz w:val="24"/>
          <w:szCs w:val="24"/>
        </w:rPr>
        <w:t xml:space="preserve">(citato 2 volte)</w:t>
      </w:r>
    </w:p>
    <w:p>
      <w:pPr>
        <w:pStyle w:val="Heading3"/>
        <w:spacing w:after="80" w:before="160"/>
      </w:pPr>
      <w:r>
        <w:rPr>
          <w:rFonts w:ascii="Barlow Semi Condensed" w:cs="Barlow Semi Condensed" w:eastAsia="Barlow Semi Condensed" w:hAnsi="Barlow Semi Condensed"/>
          <w:sz w:val="24"/>
          <w:szCs w:val="24"/>
        </w:rPr>
        <w:t xml:space="preserve">Libro dodicesimo · X — Documenti italiani e spagnoli, e l’Opus Dei</w:t>
      </w:r>
    </w:p>
    <w:p>
      <w:pPr>
        <w:spacing w:after="120" w:line="276"/>
        <w:jc w:val="both"/>
      </w:pPr>
      <w:r>
        <w:rPr>
          <w:rFonts w:ascii="Barlow Semi Condensed" w:cs="Barlow Semi Condensed" w:eastAsia="Barlow Semi Condensed" w:hAnsi="Barlow Semi Condensed"/>
          <w:b/>
          <w:bCs/>
          <w:sz w:val="24"/>
          <w:szCs w:val="24"/>
        </w:rPr>
        <w:t xml:space="preserve">578.</w:t>
      </w:r>
      <w:r>
        <w:rPr>
          <w:rFonts w:ascii="Barlow Semi Condensed" w:cs="Barlow Semi Condensed" w:eastAsia="Barlow Semi Condensed" w:hAnsi="Barlow Semi Condensed"/>
          <w:sz w:val="24"/>
          <w:szCs w:val="24"/>
        </w:rPr>
        <w:t xml:space="preserve"> Wikipedia — https://it.wikipedia.org/wiki/Trattato_di_Osimo (https://it.wikipedia.org/wiki/Trattato_di_Osimo) </w:t>
      </w:r>
      <w:r>
        <w:rPr>
          <w:rFonts w:ascii="Barlow Semi Condensed" w:cs="Barlow Semi Condensed" w:eastAsia="Barlow Semi Condensed" w:hAnsi="Barlow Semi Condensed"/>
          <w:i/>
          <w:iCs/>
          <w:sz w:val="24"/>
          <w:szCs w:val="24"/>
        </w:rPr>
        <w:t xml:space="preserve">(citato 3 volte)</w:t>
      </w:r>
    </w:p>
    <w:p>
      <w:pPr>
        <w:spacing w:after="120" w:line="276"/>
        <w:jc w:val="both"/>
      </w:pPr>
      <w:r>
        <w:rPr>
          <w:rFonts w:ascii="Barlow Semi Condensed" w:cs="Barlow Semi Condensed" w:eastAsia="Barlow Semi Condensed" w:hAnsi="Barlow Semi Condensed"/>
          <w:b/>
          <w:bCs/>
          <w:sz w:val="24"/>
          <w:szCs w:val="24"/>
        </w:rPr>
        <w:t xml:space="preserve">579.</w:t>
      </w:r>
      <w:r>
        <w:rPr>
          <w:rFonts w:ascii="Barlow Semi Condensed" w:cs="Barlow Semi Condensed" w:eastAsia="Barlow Semi Condensed" w:hAnsi="Barlow Semi Condensed"/>
          <w:sz w:val="24"/>
          <w:szCs w:val="24"/>
        </w:rPr>
        <w:t xml:space="preserve"> Circolo della Storia — https://circolodellastoria.it/gli-accordi-di-osimo-cinquantanni-fa-il-trattato-che-chiuse-unepoca/ (https://circolodellastoria.it/gli-accordi-di-osimo-cinquantanni-fa-il-trattato-che-chiuse-unepoca/)</w:t>
      </w:r>
    </w:p>
    <w:p>
      <w:pPr>
        <w:spacing w:after="120" w:line="276"/>
        <w:jc w:val="both"/>
      </w:pPr>
      <w:r>
        <w:rPr>
          <w:rFonts w:ascii="Barlow Semi Condensed" w:cs="Barlow Semi Condensed" w:eastAsia="Barlow Semi Condensed" w:hAnsi="Barlow Semi Condensed"/>
          <w:b/>
          <w:bCs/>
          <w:sz w:val="24"/>
          <w:szCs w:val="24"/>
        </w:rPr>
        <w:t xml:space="preserve">580.</w:t>
      </w:r>
      <w:r>
        <w:rPr>
          <w:rFonts w:ascii="Barlow Semi Condensed" w:cs="Barlow Semi Condensed" w:eastAsia="Barlow Semi Condensed" w:hAnsi="Barlow Semi Condensed"/>
          <w:sz w:val="24"/>
          <w:szCs w:val="24"/>
        </w:rPr>
        <w:t xml:space="preserve"> Il Bo Live UniPD — https://ilbolive.unipd.it/it/news/societa/spirito-osimo-diplomazia-memoria (https://ilbolive.unipd.it/it/news/societa/spirito-osimo-diplomazia-memoria) </w:t>
      </w:r>
      <w:r>
        <w:rPr>
          <w:rFonts w:ascii="Barlow Semi Condensed" w:cs="Barlow Semi Condensed" w:eastAsia="Barlow Semi Condensed" w:hAnsi="Barlow Semi Condensed"/>
          <w:i/>
          <w:iCs/>
          <w:sz w:val="24"/>
          <w:szCs w:val="24"/>
        </w:rPr>
        <w:t xml:space="preserve">(citato 2 volte)</w:t>
      </w:r>
    </w:p>
    <w:p>
      <w:pPr>
        <w:spacing w:after="120" w:line="276"/>
        <w:jc w:val="both"/>
      </w:pPr>
      <w:r>
        <w:rPr>
          <w:rFonts w:ascii="Barlow Semi Condensed" w:cs="Barlow Semi Condensed" w:eastAsia="Barlow Semi Condensed" w:hAnsi="Barlow Semi Condensed"/>
          <w:b/>
          <w:bCs/>
          <w:sz w:val="24"/>
          <w:szCs w:val="24"/>
        </w:rPr>
        <w:t xml:space="preserve">581.</w:t>
      </w:r>
      <w:r>
        <w:rPr>
          <w:rFonts w:ascii="Barlow Semi Condensed" w:cs="Barlow Semi Condensed" w:eastAsia="Barlow Semi Condensed" w:hAnsi="Barlow Semi Condensed"/>
          <w:sz w:val="24"/>
          <w:szCs w:val="24"/>
        </w:rPr>
        <w:t xml:space="preserve"> La Nazione — https://www.lanazione.it/cronaca/almanacco-trattato-osimo-italia-jugoslavia-d52b0197 (https://www.lanazione.it/cronaca/almanacco-trattato-osimo-italia-jugoslavia-d52b0197)</w:t>
      </w:r>
    </w:p>
    <w:p>
      <w:pPr>
        <w:spacing w:after="120" w:line="276"/>
        <w:jc w:val="both"/>
      </w:pPr>
      <w:r>
        <w:rPr>
          <w:rFonts w:ascii="Barlow Semi Condensed" w:cs="Barlow Semi Condensed" w:eastAsia="Barlow Semi Condensed" w:hAnsi="Barlow Semi Condensed"/>
          <w:b/>
          <w:bCs/>
          <w:sz w:val="24"/>
          <w:szCs w:val="24"/>
        </w:rPr>
        <w:t xml:space="preserve">582.</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storico.org</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(citato in forma d'indirizzo)</w:t>
      </w:r>
    </w:p>
    <w:p>
      <w:pPr>
        <w:spacing w:after="120" w:line="276"/>
        <w:jc w:val="both"/>
      </w:pPr>
      <w:r>
        <w:rPr>
          <w:rFonts w:ascii="Barlow Semi Condensed" w:cs="Barlow Semi Condensed" w:eastAsia="Barlow Semi Condensed" w:hAnsi="Barlow Semi Condensed"/>
          <w:b/>
          <w:bCs/>
          <w:sz w:val="24"/>
          <w:szCs w:val="24"/>
        </w:rPr>
        <w:t xml:space="preserve">583.</w:t>
      </w:r>
      <w:r>
        <w:rPr>
          <w:rFonts w:ascii="Barlow Semi Condensed" w:cs="Barlow Semi Condensed" w:eastAsia="Barlow Semi Condensed" w:hAnsi="Barlow Semi Condensed"/>
          <w:sz w:val="24"/>
          <w:szCs w:val="24"/>
        </w:rPr>
        <w:t xml:space="preserve"> Storico — https://storico.org/italia_boom_economico/trattato_osimo.html (https://storico.org/italia_boom_economico/trattato_osimo.html)</w:t>
      </w:r>
    </w:p>
    <w:p>
      <w:pPr>
        <w:spacing w:after="120" w:line="276"/>
        <w:jc w:val="both"/>
      </w:pPr>
      <w:r>
        <w:rPr>
          <w:rFonts w:ascii="Barlow Semi Condensed" w:cs="Barlow Semi Condensed" w:eastAsia="Barlow Semi Condensed" w:hAnsi="Barlow Semi Condensed"/>
          <w:b/>
          <w:bCs/>
          <w:sz w:val="24"/>
          <w:szCs w:val="24"/>
        </w:rPr>
        <w:t xml:space="preserve">584.</w:t>
      </w:r>
      <w:r>
        <w:rPr>
          <w:rFonts w:ascii="Barlow Semi Condensed" w:cs="Barlow Semi Condensed" w:eastAsia="Barlow Semi Condensed" w:hAnsi="Barlow Semi Condensed"/>
          <w:sz w:val="24"/>
          <w:szCs w:val="24"/>
        </w:rPr>
        <w:t xml:space="preserve"> Google Books — https://books.google.com/books/about/Aldo_Moro_l_Italia_repubblicana_e_i_Balc.html?id=ftcEywAACAAJ (https://books.google.com/books/about/Aldo_Moro_l_Italia_repubblicana_e_i_Balc.html?id=ftcEywAACAAJ)</w:t>
      </w:r>
    </w:p>
    <w:p>
      <w:pPr>
        <w:spacing w:after="120" w:line="276"/>
        <w:jc w:val="both"/>
      </w:pPr>
      <w:r>
        <w:rPr>
          <w:rFonts w:ascii="Barlow Semi Condensed" w:cs="Barlow Semi Condensed" w:eastAsia="Barlow Semi Condensed" w:hAnsi="Barlow Semi Condensed"/>
          <w:b/>
          <w:bCs/>
          <w:sz w:val="24"/>
          <w:szCs w:val="24"/>
        </w:rPr>
        <w:t xml:space="preserve">585.</w:t>
      </w:r>
      <w:r>
        <w:rPr>
          <w:rFonts w:ascii="Barlow Semi Condensed" w:cs="Barlow Semi Condensed" w:eastAsia="Barlow Semi Condensed" w:hAnsi="Barlow Semi Condensed"/>
          <w:sz w:val="24"/>
          <w:szCs w:val="24"/>
        </w:rPr>
        <w:t xml:space="preserve"> Archivioflamigni — https://www.archivioflamigni.org/doc/bibliografia-aldo-moro.pdf (https://www.archivioflamigni.org/doc/bibliografia-aldo-moro.pdf)</w:t>
      </w:r>
    </w:p>
    <w:p>
      <w:pPr>
        <w:spacing w:after="120" w:line="276"/>
        <w:jc w:val="both"/>
      </w:pPr>
      <w:r>
        <w:rPr>
          <w:rFonts w:ascii="Barlow Semi Condensed" w:cs="Barlow Semi Condensed" w:eastAsia="Barlow Semi Condensed" w:hAnsi="Barlow Semi Condensed"/>
          <w:b/>
          <w:bCs/>
          <w:sz w:val="24"/>
          <w:szCs w:val="24"/>
        </w:rPr>
        <w:t xml:space="preserve">586.</w:t>
      </w:r>
      <w:r>
        <w:rPr>
          <w:rFonts w:ascii="Barlow Semi Condensed" w:cs="Barlow Semi Condensed" w:eastAsia="Barlow Semi Condensed" w:hAnsi="Barlow Semi Condensed"/>
          <w:sz w:val="24"/>
          <w:szCs w:val="24"/>
        </w:rPr>
        <w:t xml:space="preserve"> Uniba — https://ricerca.uniba.it/handle/11586/419934 (https://ricerca.uniba.it/handle/11586/419934)</w:t>
      </w:r>
    </w:p>
    <w:p>
      <w:pPr>
        <w:spacing w:after="120" w:line="276"/>
        <w:jc w:val="both"/>
      </w:pPr>
      <w:r>
        <w:rPr>
          <w:rFonts w:ascii="Barlow Semi Condensed" w:cs="Barlow Semi Condensed" w:eastAsia="Barlow Semi Condensed" w:hAnsi="Barlow Semi Condensed"/>
          <w:b/>
          <w:bCs/>
          <w:sz w:val="24"/>
          <w:szCs w:val="24"/>
        </w:rPr>
        <w:t xml:space="preserve">587.</w:t>
      </w:r>
      <w:r>
        <w:rPr>
          <w:rFonts w:ascii="Barlow Semi Condensed" w:cs="Barlow Semi Condensed" w:eastAsia="Barlow Semi Condensed" w:hAnsi="Barlow Semi Condensed"/>
          <w:sz w:val="24"/>
          <w:szCs w:val="24"/>
        </w:rPr>
        <w:t xml:space="preserve"> Dialnet — https://dialnet.unirioja.es/descarga/articulo/9578489.pdf (https://dialnet.unirioja.es/descarga/articulo/9578489.pdf)</w:t>
      </w:r>
    </w:p>
    <w:p>
      <w:pPr>
        <w:spacing w:after="120" w:line="276"/>
        <w:jc w:val="both"/>
      </w:pPr>
      <w:r>
        <w:rPr>
          <w:rFonts w:ascii="Barlow Semi Condensed" w:cs="Barlow Semi Condensed" w:eastAsia="Barlow Semi Condensed" w:hAnsi="Barlow Semi Condensed"/>
          <w:b/>
          <w:bCs/>
          <w:sz w:val="24"/>
          <w:szCs w:val="24"/>
        </w:rPr>
        <w:t xml:space="preserve">588.</w:t>
      </w:r>
      <w:r>
        <w:rPr>
          <w:rFonts w:ascii="Barlow Semi Condensed" w:cs="Barlow Semi Condensed" w:eastAsia="Barlow Semi Condensed" w:hAnsi="Barlow Semi Condensed"/>
          <w:sz w:val="24"/>
          <w:szCs w:val="24"/>
        </w:rPr>
        <w:t xml:space="preserve"> Camera — https://documenti.camera.it/leg17/resoconti/commissioni/stenografici/html/68/audiz2/audizione/2014/12/02/indice_stenografico.0013.html (https://documenti.camera.it/leg17/resoconti/commissioni/stenografici/html/68/audiz2/audizione/2014/12/02/indice_stenografico.0013.html)</w:t>
      </w:r>
    </w:p>
    <w:p>
      <w:pPr>
        <w:spacing w:after="120" w:line="276"/>
        <w:jc w:val="both"/>
      </w:pPr>
      <w:r>
        <w:rPr>
          <w:rFonts w:ascii="Barlow Semi Condensed" w:cs="Barlow Semi Condensed" w:eastAsia="Barlow Semi Condensed" w:hAnsi="Barlow Semi Condensed"/>
          <w:b/>
          <w:bCs/>
          <w:sz w:val="24"/>
          <w:szCs w:val="24"/>
        </w:rPr>
        <w:t xml:space="preserve">589.</w:t>
      </w:r>
      <w:r>
        <w:rPr>
          <w:rFonts w:ascii="Barlow Semi Condensed" w:cs="Barlow Semi Condensed" w:eastAsia="Barlow Semi Condensed" w:hAnsi="Barlow Semi Condensed"/>
          <w:sz w:val="24"/>
          <w:szCs w:val="24"/>
        </w:rPr>
        <w:t xml:space="preserve"> Academia.edu — https://www.academia.edu/29372305/Aldo_Moro_l_Italia_e_la_questione_palestinese (https://www.academia.edu/29372305/Aldo_Moro_l_Italia_e_la_questione_palestinese)</w:t>
      </w:r>
    </w:p>
    <w:p>
      <w:pPr>
        <w:spacing w:after="120" w:line="276"/>
        <w:jc w:val="both"/>
      </w:pPr>
      <w:r>
        <w:rPr>
          <w:rFonts w:ascii="Barlow Semi Condensed" w:cs="Barlow Semi Condensed" w:eastAsia="Barlow Semi Condensed" w:hAnsi="Barlow Semi Condensed"/>
          <w:b/>
          <w:bCs/>
          <w:sz w:val="24"/>
          <w:szCs w:val="24"/>
        </w:rPr>
        <w:t xml:space="preserve">590.</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diplomacy.edu</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(citato in forma d'indirizzo)</w:t>
      </w:r>
    </w:p>
    <w:p>
      <w:pPr>
        <w:spacing w:after="120" w:line="276"/>
        <w:jc w:val="both"/>
      </w:pPr>
      <w:r>
        <w:rPr>
          <w:rFonts w:ascii="Barlow Semi Condensed" w:cs="Barlow Semi Condensed" w:eastAsia="Barlow Semi Condensed" w:hAnsi="Barlow Semi Condensed"/>
          <w:b/>
          <w:bCs/>
          <w:sz w:val="24"/>
          <w:szCs w:val="24"/>
        </w:rPr>
        <w:t xml:space="preserve">591.</w:t>
      </w:r>
      <w:r>
        <w:rPr>
          <w:rFonts w:ascii="Barlow Semi Condensed" w:cs="Barlow Semi Condensed" w:eastAsia="Barlow Semi Condensed" w:hAnsi="Barlow Semi Condensed"/>
          <w:sz w:val="24"/>
          <w:szCs w:val="24"/>
        </w:rPr>
        <w:t xml:space="preserve"> Diplomacy — https://baldi.diplomacy.edu/italy/Baldi_Monzali_Italia_Helsinki_50.pdf (https://baldi.diplomacy.edu/italy/Baldi_Monzali_Italia_Helsinki_50.pdf)</w:t>
      </w:r>
    </w:p>
    <w:p>
      <w:pPr>
        <w:spacing w:after="120" w:line="276"/>
        <w:jc w:val="both"/>
      </w:pPr>
      <w:r>
        <w:rPr>
          <w:rFonts w:ascii="Barlow Semi Condensed" w:cs="Barlow Semi Condensed" w:eastAsia="Barlow Semi Condensed" w:hAnsi="Barlow Semi Condensed"/>
          <w:b/>
          <w:bCs/>
          <w:sz w:val="24"/>
          <w:szCs w:val="24"/>
        </w:rPr>
        <w:t xml:space="preserve">592.</w:t>
      </w:r>
      <w:r>
        <w:rPr>
          <w:rFonts w:ascii="Barlow Semi Condensed" w:cs="Barlow Semi Condensed" w:eastAsia="Barlow Semi Condensed" w:hAnsi="Barlow Semi Condensed"/>
          <w:sz w:val="24"/>
          <w:szCs w:val="24"/>
        </w:rPr>
        <w:t xml:space="preserve"> L'Opinione — https://opinione.it/politica/2024/11/26/antonino-sala-aldo-moro-conferenza-di-helsinki-nuovo-ordine-mondiale/ (https://opinione.it/politica/2024/11/26/antonino-sala-aldo-moro-conferenza-di-helsinki-nuovo-ordine-mondiale/)</w:t>
      </w:r>
    </w:p>
    <w:p>
      <w:pPr>
        <w:spacing w:after="120" w:line="276"/>
        <w:jc w:val="both"/>
      </w:pPr>
      <w:r>
        <w:rPr>
          <w:rFonts w:ascii="Barlow Semi Condensed" w:cs="Barlow Semi Condensed" w:eastAsia="Barlow Semi Condensed" w:hAnsi="Barlow Semi Condensed"/>
          <w:b/>
          <w:bCs/>
          <w:sz w:val="24"/>
          <w:szCs w:val="24"/>
        </w:rPr>
        <w:t xml:space="preserve">593.</w:t>
      </w:r>
      <w:r>
        <w:rPr>
          <w:rFonts w:ascii="Barlow Semi Condensed" w:cs="Barlow Semi Condensed" w:eastAsia="Barlow Semi Condensed" w:hAnsi="Barlow Semi Condensed"/>
          <w:sz w:val="24"/>
          <w:szCs w:val="24"/>
        </w:rPr>
        <w:t xml:space="preserve"> Avvenire — https://www.avvenire.it/agora/pagine/ostpolitik- (https://www.avvenire.it/agora/pagine/ostpolitik-)</w:t>
      </w:r>
    </w:p>
    <w:p>
      <w:pPr>
        <w:spacing w:after="120" w:line="276"/>
        <w:jc w:val="both"/>
      </w:pPr>
      <w:r>
        <w:rPr>
          <w:rFonts w:ascii="Barlow Semi Condensed" w:cs="Barlow Semi Condensed" w:eastAsia="Barlow Semi Condensed" w:hAnsi="Barlow Semi Condensed"/>
          <w:b/>
          <w:bCs/>
          <w:sz w:val="24"/>
          <w:szCs w:val="24"/>
        </w:rPr>
        <w:t xml:space="preserve">594.</w:t>
      </w:r>
      <w:r>
        <w:rPr>
          <w:rFonts w:ascii="Barlow Semi Condensed" w:cs="Barlow Semi Condensed" w:eastAsia="Barlow Semi Condensed" w:hAnsi="Barlow Semi Condensed"/>
          <w:sz w:val="24"/>
          <w:szCs w:val="24"/>
        </w:rPr>
        <w:t xml:space="preserve"> Wikipedia — https://it.wikipedia.org/wiki/Invasione_turca_di_Cipro (https://it.wikipedia.org/wiki/Invasione_turca_di_Cipro)</w:t>
      </w:r>
    </w:p>
    <w:p>
      <w:pPr>
        <w:spacing w:after="120" w:line="276"/>
        <w:jc w:val="both"/>
      </w:pPr>
      <w:r>
        <w:rPr>
          <w:rFonts w:ascii="Barlow Semi Condensed" w:cs="Barlow Semi Condensed" w:eastAsia="Barlow Semi Condensed" w:hAnsi="Barlow Semi Condensed"/>
          <w:b/>
          <w:bCs/>
          <w:sz w:val="24"/>
          <w:szCs w:val="24"/>
        </w:rPr>
        <w:t xml:space="preserve">595.</w:t>
      </w:r>
      <w:r>
        <w:rPr>
          <w:rFonts w:ascii="Barlow Semi Condensed" w:cs="Barlow Semi Condensed" w:eastAsia="Barlow Semi Condensed" w:hAnsi="Barlow Semi Condensed"/>
          <w:sz w:val="24"/>
          <w:szCs w:val="24"/>
        </w:rPr>
        <w:t xml:space="preserve"> Unipd-centrodirittiumani — https://unipd-centrodirittiumani.it/it/archivi/strumenti-internazionali/trattato-di-non-proliferazione-nucleare-1968 (https://unipd-centrodirittiumani.it/it/archivi/strumenti-internazionali/trattato-di-non-proliferazione-nucleare-1968)</w:t>
      </w:r>
    </w:p>
    <w:p>
      <w:pPr>
        <w:spacing w:after="120" w:line="276"/>
        <w:jc w:val="both"/>
      </w:pPr>
      <w:r>
        <w:rPr>
          <w:rFonts w:ascii="Barlow Semi Condensed" w:cs="Barlow Semi Condensed" w:eastAsia="Barlow Semi Condensed" w:hAnsi="Barlow Semi Condensed"/>
          <w:b/>
          <w:bCs/>
          <w:sz w:val="24"/>
          <w:szCs w:val="24"/>
        </w:rPr>
        <w:t xml:space="preserve">596.</w:t>
      </w:r>
      <w:r>
        <w:rPr>
          <w:rFonts w:ascii="Barlow Semi Condensed" w:cs="Barlow Semi Condensed" w:eastAsia="Barlow Semi Condensed" w:hAnsi="Barlow Semi Condensed"/>
          <w:sz w:val="24"/>
          <w:szCs w:val="24"/>
        </w:rPr>
        <w:t xml:space="preserve"> Spazio70 — https://spazio70.com/pre-anni-70/il-pre-sessantotto/latomica-infranta-la-breve-parabola-del-nucleare-militare-italiano/ (https://spazio70.com/pre-anni-70/il-pre-sessantotto/latomica-infranta-la-breve-parabola-del-nucleare-militare-italiano/)</w:t>
      </w:r>
    </w:p>
    <w:p>
      <w:pPr>
        <w:spacing w:after="120" w:line="276"/>
        <w:jc w:val="both"/>
      </w:pPr>
      <w:r>
        <w:rPr>
          <w:rFonts w:ascii="Barlow Semi Condensed" w:cs="Barlow Semi Condensed" w:eastAsia="Barlow Semi Condensed" w:hAnsi="Barlow Semi Condensed"/>
          <w:b/>
          <w:bCs/>
          <w:sz w:val="24"/>
          <w:szCs w:val="24"/>
        </w:rPr>
        <w:t xml:space="preserve">597.</w:t>
      </w:r>
      <w:r>
        <w:rPr>
          <w:rFonts w:ascii="Barlow Semi Condensed" w:cs="Barlow Semi Condensed" w:eastAsia="Barlow Semi Condensed" w:hAnsi="Barlow Semi Condensed"/>
          <w:sz w:val="24"/>
          <w:szCs w:val="24"/>
        </w:rPr>
        <w:t xml:space="preserve"> Wikipedia — https://it.wikipedia.org/wiki/Programma_nucleare_militare_italiano (https://it.wikipedia.org/wiki/Programma_nucleare_militare_italiano)</w:t>
      </w:r>
    </w:p>
    <w:p>
      <w:pPr>
        <w:spacing w:after="120" w:line="276"/>
        <w:jc w:val="both"/>
      </w:pPr>
      <w:r>
        <w:rPr>
          <w:rFonts w:ascii="Barlow Semi Condensed" w:cs="Barlow Semi Condensed" w:eastAsia="Barlow Semi Condensed" w:hAnsi="Barlow Semi Condensed"/>
          <w:b/>
          <w:bCs/>
          <w:sz w:val="24"/>
          <w:szCs w:val="24"/>
        </w:rPr>
        <w:t xml:space="preserve">598.</w:t>
      </w:r>
      <w:r>
        <w:rPr>
          <w:rFonts w:ascii="Barlow Semi Condensed" w:cs="Barlow Semi Condensed" w:eastAsia="Barlow Semi Condensed" w:hAnsi="Barlow Semi Condensed"/>
          <w:sz w:val="24"/>
          <w:szCs w:val="24"/>
        </w:rPr>
        <w:t xml:space="preserve"> Radio Cina Internazionale — https://italian.cri.cn/mychina/notizie/3210/20201106/573336.html (https://italian.cri.cn/mychina/notizie/3210/20201106/573336.html)</w:t>
      </w:r>
    </w:p>
    <w:p>
      <w:pPr>
        <w:spacing w:after="120" w:line="276"/>
        <w:jc w:val="both"/>
      </w:pPr>
      <w:r>
        <w:rPr>
          <w:rFonts w:ascii="Barlow Semi Condensed" w:cs="Barlow Semi Condensed" w:eastAsia="Barlow Semi Condensed" w:hAnsi="Barlow Semi Condensed"/>
          <w:b/>
          <w:bCs/>
          <w:sz w:val="24"/>
          <w:szCs w:val="24"/>
        </w:rPr>
        <w:t xml:space="preserve">599.</w:t>
      </w:r>
      <w:r>
        <w:rPr>
          <w:rFonts w:ascii="Barlow Semi Condensed" w:cs="Barlow Semi Condensed" w:eastAsia="Barlow Semi Condensed" w:hAnsi="Barlow Semi Condensed"/>
          <w:sz w:val="24"/>
          <w:szCs w:val="24"/>
        </w:rPr>
        <w:t xml:space="preserve"> Rubbettino editore — https://www.store.rubbettinoeditore.it/catalogo/la-normalizzazione-delle-relazioni-diplomatiche-tra-la-repubblica-italiana-e-la-repubblica-popolare-cinese/ (https://www.store.rubbettinoeditore.it/catalogo/la-normalizzazione-delle-relazioni-diplomatiche-tra-la-repubblica-italiana-e-la-repubblica-popolare-cinese/) </w:t>
      </w:r>
      <w:r>
        <w:rPr>
          <w:rFonts w:ascii="Barlow Semi Condensed" w:cs="Barlow Semi Condensed" w:eastAsia="Barlow Semi Condensed" w:hAnsi="Barlow Semi Condensed"/>
          <w:i/>
          <w:iCs/>
          <w:sz w:val="24"/>
          <w:szCs w:val="24"/>
        </w:rPr>
        <w:t xml:space="preserve">(citato 4 volte)</w:t>
      </w:r>
    </w:p>
    <w:p>
      <w:pPr>
        <w:spacing w:after="120" w:line="276"/>
        <w:jc w:val="both"/>
      </w:pPr>
      <w:r>
        <w:rPr>
          <w:rFonts w:ascii="Barlow Semi Condensed" w:cs="Barlow Semi Condensed" w:eastAsia="Barlow Semi Condensed" w:hAnsi="Barlow Semi Condensed"/>
          <w:b/>
          <w:bCs/>
          <w:sz w:val="24"/>
          <w:szCs w:val="24"/>
        </w:rPr>
        <w:t xml:space="preserve">600.</w:t>
      </w:r>
      <w:r>
        <w:rPr>
          <w:rFonts w:ascii="Barlow Semi Condensed" w:cs="Barlow Semi Condensed" w:eastAsia="Barlow Semi Condensed" w:hAnsi="Barlow Semi Condensed"/>
          <w:sz w:val="24"/>
          <w:szCs w:val="24"/>
        </w:rPr>
        <w:t xml:space="preserve"> University of Milan — https://air.unimi.it/handle/2434/16750 (https://air.unimi.it/handle/2434/16750)</w:t>
      </w:r>
    </w:p>
    <w:p>
      <w:pPr>
        <w:spacing w:after="120" w:line="276"/>
        <w:jc w:val="both"/>
      </w:pPr>
      <w:r>
        <w:rPr>
          <w:rFonts w:ascii="Barlow Semi Condensed" w:cs="Barlow Semi Condensed" w:eastAsia="Barlow Semi Condensed" w:hAnsi="Barlow Semi Condensed"/>
          <w:b/>
          <w:bCs/>
          <w:sz w:val="24"/>
          <w:szCs w:val="24"/>
        </w:rPr>
        <w:t xml:space="preserve">601.</w:t>
      </w:r>
      <w:r>
        <w:rPr>
          <w:rFonts w:ascii="Barlow Semi Condensed" w:cs="Barlow Semi Condensed" w:eastAsia="Barlow Semi Condensed" w:hAnsi="Barlow Semi Condensed"/>
          <w:sz w:val="24"/>
          <w:szCs w:val="24"/>
        </w:rPr>
        <w:t xml:space="preserve"> Uniurb — https://ora.uniurb.it/handle/11576/1890940 (https://ora.uniurb.it/handle/11576/1890940)</w:t>
      </w:r>
    </w:p>
    <w:p>
      <w:pPr>
        <w:spacing w:after="120" w:line="276"/>
        <w:jc w:val="both"/>
      </w:pPr>
      <w:r>
        <w:rPr>
          <w:rFonts w:ascii="Barlow Semi Condensed" w:cs="Barlow Semi Condensed" w:eastAsia="Barlow Semi Condensed" w:hAnsi="Barlow Semi Condensed"/>
          <w:b/>
          <w:bCs/>
          <w:sz w:val="24"/>
          <w:szCs w:val="24"/>
        </w:rPr>
        <w:t xml:space="preserve">602.</w:t>
      </w:r>
      <w:r>
        <w:rPr>
          <w:rFonts w:ascii="Barlow Semi Condensed" w:cs="Barlow Semi Condensed" w:eastAsia="Barlow Semi Condensed" w:hAnsi="Barlow Semi Condensed"/>
          <w:sz w:val="24"/>
          <w:szCs w:val="24"/>
        </w:rPr>
        <w:t xml:space="preserve"> LuissThesis — https://tesi.luiss.it/40220/1/102822_DE%20MARTINO_TOMMASO.pdf (https://tesi.luiss.it/40220/1/102822_DE%20MARTINO_TOMMASO.pdf)</w:t>
      </w:r>
    </w:p>
    <w:p>
      <w:pPr>
        <w:spacing w:after="120" w:line="276"/>
        <w:jc w:val="both"/>
      </w:pPr>
      <w:r>
        <w:rPr>
          <w:rFonts w:ascii="Barlow Semi Condensed" w:cs="Barlow Semi Condensed" w:eastAsia="Barlow Semi Condensed" w:hAnsi="Barlow Semi Condensed"/>
          <w:b/>
          <w:bCs/>
          <w:sz w:val="24"/>
          <w:szCs w:val="24"/>
        </w:rPr>
        <w:t xml:space="preserve">603.</w:t>
      </w:r>
      <w:r>
        <w:rPr>
          <w:rFonts w:ascii="Barlow Semi Condensed" w:cs="Barlow Semi Condensed" w:eastAsia="Barlow Semi Condensed" w:hAnsi="Barlow Semi Condensed"/>
          <w:sz w:val="24"/>
          <w:szCs w:val="24"/>
        </w:rPr>
        <w:t xml:space="preserve"> Aldomoro — http://www.aldomoro.eu/scritti.php (http://www.aldomoro.eu/scritti.php)</w:t>
      </w:r>
    </w:p>
    <w:p>
      <w:pPr>
        <w:spacing w:after="120" w:line="276"/>
        <w:jc w:val="both"/>
      </w:pPr>
      <w:r>
        <w:rPr>
          <w:rFonts w:ascii="Barlow Semi Condensed" w:cs="Barlow Semi Condensed" w:eastAsia="Barlow Semi Condensed" w:hAnsi="Barlow Semi Condensed"/>
          <w:b/>
          <w:bCs/>
          <w:sz w:val="24"/>
          <w:szCs w:val="24"/>
        </w:rPr>
        <w:t xml:space="preserve">604.</w:t>
      </w:r>
      <w:r>
        <w:rPr>
          <w:rFonts w:ascii="Barlow Semi Condensed" w:cs="Barlow Semi Condensed" w:eastAsia="Barlow Semi Condensed" w:hAnsi="Barlow Semi Condensed"/>
          <w:sz w:val="24"/>
          <w:szCs w:val="24"/>
        </w:rPr>
        <w:t xml:space="preserve"> Radio Radicale — https://www.radioradicale.it/scheda/82006/dalla-costituente-allunita-nazionale-gli-scritti-parlamentari-di-aldo-moro (https://www.radioradicale.it/scheda/82006/dalla-costituente-allunita-nazionale-gli-scritti-parlamentari-di-aldo-moro)</w:t>
      </w:r>
    </w:p>
    <w:p>
      <w:pPr>
        <w:spacing w:after="120" w:line="276"/>
        <w:jc w:val="both"/>
      </w:pPr>
      <w:r>
        <w:rPr>
          <w:rFonts w:ascii="Barlow Semi Condensed" w:cs="Barlow Semi Condensed" w:eastAsia="Barlow Semi Condensed" w:hAnsi="Barlow Semi Condensed"/>
          <w:b/>
          <w:bCs/>
          <w:sz w:val="24"/>
          <w:szCs w:val="24"/>
        </w:rPr>
        <w:t xml:space="preserve">605.</w:t>
      </w:r>
      <w:r>
        <w:rPr>
          <w:rFonts w:ascii="Barlow Semi Condensed" w:cs="Barlow Semi Condensed" w:eastAsia="Barlow Semi Condensed" w:hAnsi="Barlow Semi Condensed"/>
          <w:sz w:val="24"/>
          <w:szCs w:val="24"/>
        </w:rPr>
        <w:t xml:space="preserve"> Uniba — https://ojs.cimedoc.uniba.it/index.php/law/article/download/1152/966 (https://ojs.cimedoc.uniba.it/index.php/law/article/download/1152/966)</w:t>
      </w:r>
    </w:p>
    <w:p>
      <w:pPr>
        <w:spacing w:after="120" w:line="276"/>
        <w:jc w:val="both"/>
      </w:pPr>
      <w:r>
        <w:rPr>
          <w:rFonts w:ascii="Barlow Semi Condensed" w:cs="Barlow Semi Condensed" w:eastAsia="Barlow Semi Condensed" w:hAnsi="Barlow Semi Condensed"/>
          <w:b/>
          <w:bCs/>
          <w:sz w:val="24"/>
          <w:szCs w:val="24"/>
        </w:rPr>
        <w:t xml:space="preserve">606.</w:t>
      </w:r>
      <w:r>
        <w:rPr>
          <w:rFonts w:ascii="Barlow Semi Condensed" w:cs="Barlow Semi Condensed" w:eastAsia="Barlow Semi Condensed" w:hAnsi="Barlow Semi Condensed"/>
          <w:sz w:val="24"/>
          <w:szCs w:val="24"/>
        </w:rPr>
        <w:t xml:space="preserve"> Academia.edu — https://www.academia.edu/40539138/Fra_diplomazia_e_petrolio_Aldo_Moro_e_la_politica_italiana_in_Medio_Oriente (https://www.academia.edu/40539138/Fra_diplomazia_e_petrolio_Aldo_Moro_e_la_politica_italiana_in_Medio_Oriente)</w:t>
      </w:r>
    </w:p>
    <w:p>
      <w:pPr>
        <w:spacing w:after="120" w:line="276"/>
        <w:jc w:val="both"/>
      </w:pPr>
      <w:r>
        <w:rPr>
          <w:rFonts w:ascii="Barlow Semi Condensed" w:cs="Barlow Semi Condensed" w:eastAsia="Barlow Semi Condensed" w:hAnsi="Barlow Semi Condensed"/>
          <w:b/>
          <w:bCs/>
          <w:sz w:val="24"/>
          <w:szCs w:val="24"/>
        </w:rPr>
        <w:t xml:space="preserve">607.</w:t>
      </w:r>
      <w:r>
        <w:rPr>
          <w:rFonts w:ascii="Barlow Semi Condensed" w:cs="Barlow Semi Condensed" w:eastAsia="Barlow Semi Condensed" w:hAnsi="Barlow Semi Condensed"/>
          <w:sz w:val="24"/>
          <w:szCs w:val="24"/>
        </w:rPr>
        <w:t xml:space="preserve"> cia — https://www.cia.gov/readingroom/print/1921790 (https://www.cia.gov/readingroom/print/1921790) </w:t>
      </w:r>
      <w:r>
        <w:rPr>
          <w:rFonts w:ascii="Barlow Semi Condensed" w:cs="Barlow Semi Condensed" w:eastAsia="Barlow Semi Condensed" w:hAnsi="Barlow Semi Condensed"/>
          <w:i/>
          <w:iCs/>
          <w:sz w:val="24"/>
          <w:szCs w:val="24"/>
        </w:rPr>
        <w:t xml:space="preserve">(citato 5 volte)</w:t>
      </w:r>
    </w:p>
    <w:p>
      <w:pPr>
        <w:spacing w:after="120" w:line="276"/>
        <w:jc w:val="both"/>
      </w:pPr>
      <w:r>
        <w:rPr>
          <w:rFonts w:ascii="Barlow Semi Condensed" w:cs="Barlow Semi Condensed" w:eastAsia="Barlow Semi Condensed" w:hAnsi="Barlow Semi Condensed"/>
          <w:b/>
          <w:bCs/>
          <w:sz w:val="24"/>
          <w:szCs w:val="24"/>
        </w:rPr>
        <w:t xml:space="preserve">608.</w:t>
      </w:r>
      <w:r>
        <w:rPr>
          <w:rFonts w:ascii="Barlow Semi Condensed" w:cs="Barlow Semi Condensed" w:eastAsia="Barlow Semi Condensed" w:hAnsi="Barlow Semi Condensed"/>
          <w:sz w:val="24"/>
          <w:szCs w:val="24"/>
        </w:rPr>
        <w:t xml:space="preserve"> Wikipedia — https://es.wikipedia.org/wiki/Segundo_franquismo (https://es.wikipedia.org/wiki/Segundo_franquismo)</w:t>
      </w:r>
    </w:p>
    <w:p>
      <w:pPr>
        <w:spacing w:after="120" w:line="276"/>
        <w:jc w:val="both"/>
      </w:pPr>
      <w:r>
        <w:rPr>
          <w:rFonts w:ascii="Barlow Semi Condensed" w:cs="Barlow Semi Condensed" w:eastAsia="Barlow Semi Condensed" w:hAnsi="Barlow Semi Condensed"/>
          <w:b/>
          <w:bCs/>
          <w:sz w:val="24"/>
          <w:szCs w:val="24"/>
        </w:rPr>
        <w:t xml:space="preserve">609.</w:t>
      </w:r>
      <w:r>
        <w:rPr>
          <w:rFonts w:ascii="Barlow Semi Condensed" w:cs="Barlow Semi Condensed" w:eastAsia="Barlow Semi Condensed" w:hAnsi="Barlow Semi Condensed"/>
          <w:sz w:val="24"/>
          <w:szCs w:val="24"/>
        </w:rPr>
        <w:t xml:space="preserve"> Opus Dei — https://opusdei.org/es-es/article/2-sobre-la-existencia-de-un-grupo-de-ministros-denominados-tecnocratas-y-su-identificacion-con-el-opus-dei/ (https://opusdei.org/es-es/article/2-sobre-la-existencia-de-un-grupo-de-ministros-denominados-tecnocratas-y-su-identificacion-con-el-opus-dei/)</w:t>
      </w:r>
    </w:p>
    <w:p>
      <w:pPr>
        <w:spacing w:after="120" w:line="276"/>
        <w:jc w:val="both"/>
      </w:pPr>
      <w:r>
        <w:rPr>
          <w:rFonts w:ascii="Barlow Semi Condensed" w:cs="Barlow Semi Condensed" w:eastAsia="Barlow Semi Condensed" w:hAnsi="Barlow Semi Condensed"/>
          <w:b/>
          <w:bCs/>
          <w:sz w:val="24"/>
          <w:szCs w:val="24"/>
        </w:rPr>
        <w:t xml:space="preserve">610.</w:t>
      </w:r>
      <w:r>
        <w:rPr>
          <w:rFonts w:ascii="Barlow Semi Condensed" w:cs="Barlow Semi Condensed" w:eastAsia="Barlow Semi Condensed" w:hAnsi="Barlow Semi Condensed"/>
          <w:sz w:val="24"/>
          <w:szCs w:val="24"/>
        </w:rPr>
        <w:t xml:space="preserve"> CEPC — https://www.cepc.gob.es/sites/default/files/2022-06/365127-carlos-barrera.pdf (https://www.cepc.gob.es/sites/default/files/2022-06/365127-carlos-barrera.pdf)</w:t>
      </w:r>
    </w:p>
    <w:p>
      <w:pPr>
        <w:spacing w:after="120" w:line="276"/>
        <w:jc w:val="both"/>
      </w:pPr>
      <w:r>
        <w:rPr>
          <w:rFonts w:ascii="Barlow Semi Condensed" w:cs="Barlow Semi Condensed" w:eastAsia="Barlow Semi Condensed" w:hAnsi="Barlow Semi Condensed"/>
          <w:b/>
          <w:bCs/>
          <w:sz w:val="24"/>
          <w:szCs w:val="24"/>
        </w:rPr>
        <w:t xml:space="preserve">611.</w:t>
      </w:r>
      <w:r>
        <w:rPr>
          <w:rFonts w:ascii="Barlow Semi Condensed" w:cs="Barlow Semi Condensed" w:eastAsia="Barlow Semi Condensed" w:hAnsi="Barlow Semi Condensed"/>
          <w:sz w:val="24"/>
          <w:szCs w:val="24"/>
        </w:rPr>
        <w:t xml:space="preserve"> cambridge — https://cambridge.org/core/journals/government-and-opposition/article/political-ideas-of-the-opus-dei-in-spain/DC7BF5C84A19EE970C79D3C0C4D98505 (https://cambridge.org/core/journals/government-and-opposition/article/political-ideas-of-the-opus-dei-in-spain/DC7BF5C84A19EE970C79D3C0C4D98505)</w:t>
      </w:r>
    </w:p>
    <w:p>
      <w:pPr>
        <w:spacing w:after="120" w:line="276"/>
        <w:jc w:val="both"/>
      </w:pPr>
      <w:r>
        <w:rPr>
          <w:rFonts w:ascii="Barlow Semi Condensed" w:cs="Barlow Semi Condensed" w:eastAsia="Barlow Semi Condensed" w:hAnsi="Barlow Semi Condensed"/>
          <w:b/>
          <w:bCs/>
          <w:sz w:val="24"/>
          <w:szCs w:val="24"/>
        </w:rPr>
        <w:t xml:space="preserve">612.</w:t>
      </w:r>
      <w:r>
        <w:rPr>
          <w:rFonts w:ascii="Barlow Semi Condensed" w:cs="Barlow Semi Condensed" w:eastAsia="Barlow Semi Condensed" w:hAnsi="Barlow Semi Condensed"/>
          <w:sz w:val="24"/>
          <w:szCs w:val="24"/>
        </w:rPr>
        <w:t xml:space="preserve"> Opus Dei — https://opusdei.org/it-it/article/opus-dei-trenta-anni-di-prelatura-personale/ (https://opusdei.org/it-it/article/opus-dei-trenta-anni-di-prelatura-personale/)</w:t>
      </w:r>
    </w:p>
    <w:p>
      <w:pPr>
        <w:spacing w:after="120" w:line="276"/>
        <w:jc w:val="both"/>
      </w:pPr>
      <w:r>
        <w:rPr>
          <w:rFonts w:ascii="Barlow Semi Condensed" w:cs="Barlow Semi Condensed" w:eastAsia="Barlow Semi Condensed" w:hAnsi="Barlow Semi Condensed"/>
          <w:b/>
          <w:bCs/>
          <w:sz w:val="24"/>
          <w:szCs w:val="24"/>
        </w:rPr>
        <w:t xml:space="preserve">613.</w:t>
      </w:r>
      <w:r>
        <w:rPr>
          <w:rFonts w:ascii="Barlow Semi Condensed" w:cs="Barlow Semi Condensed" w:eastAsia="Barlow Semi Condensed" w:hAnsi="Barlow Semi Condensed"/>
          <w:sz w:val="24"/>
          <w:szCs w:val="24"/>
        </w:rPr>
        <w:t xml:space="preserve"> Storiadellachiesa — https://www.storiadellachiesa.it/glossary/prelatura-personale-e-la-chiesa-in-italia/ (https://www.storiadellachiesa.it/glossary/prelatura-personale-e-la-chiesa-in-italia/) </w:t>
      </w:r>
      <w:r>
        <w:rPr>
          <w:rFonts w:ascii="Barlow Semi Condensed" w:cs="Barlow Semi Condensed" w:eastAsia="Barlow Semi Condensed" w:hAnsi="Barlow Semi Condensed"/>
          <w:i/>
          <w:iCs/>
          <w:sz w:val="24"/>
          <w:szCs w:val="24"/>
        </w:rPr>
        <w:t xml:space="preserve">(citato 2 volte)</w:t>
      </w:r>
    </w:p>
    <w:p>
      <w:pPr>
        <w:spacing w:after="120" w:line="276"/>
        <w:jc w:val="both"/>
      </w:pPr>
      <w:r>
        <w:rPr>
          <w:rFonts w:ascii="Barlow Semi Condensed" w:cs="Barlow Semi Condensed" w:eastAsia="Barlow Semi Condensed" w:hAnsi="Barlow Semi Condensed"/>
          <w:b/>
          <w:bCs/>
          <w:sz w:val="24"/>
          <w:szCs w:val="24"/>
        </w:rPr>
        <w:t xml:space="preserve">614.</w:t>
      </w:r>
      <w:r>
        <w:rPr>
          <w:rFonts w:ascii="Barlow Semi Condensed" w:cs="Barlow Semi Condensed" w:eastAsia="Barlow Semi Condensed" w:hAnsi="Barlow Semi Condensed"/>
          <w:sz w:val="24"/>
          <w:szCs w:val="24"/>
        </w:rPr>
        <w:t xml:space="preserve"> Wikipedia — https://en.wikipedia.org/wiki/Laureano_L%C3%B3pez_Rod%C3%B3 (https://en.wikipedia.org/wiki/Laureano_L%C3%B3pez_Rod%C3%B3)</w:t>
      </w:r>
    </w:p>
    <w:p>
      <w:pPr>
        <w:spacing w:after="120" w:line="276"/>
        <w:jc w:val="both"/>
      </w:pPr>
      <w:r>
        <w:rPr>
          <w:rFonts w:ascii="Barlow Semi Condensed" w:cs="Barlow Semi Condensed" w:eastAsia="Barlow Semi Condensed" w:hAnsi="Barlow Semi Condensed"/>
          <w:b/>
          <w:bCs/>
          <w:sz w:val="24"/>
          <w:szCs w:val="24"/>
        </w:rPr>
        <w:t xml:space="preserve">615.</w:t>
      </w:r>
      <w:r>
        <w:rPr>
          <w:rFonts w:ascii="Barlow Semi Condensed" w:cs="Barlow Semi Condensed" w:eastAsia="Barlow Semi Condensed" w:hAnsi="Barlow Semi Condensed"/>
          <w:sz w:val="24"/>
          <w:szCs w:val="24"/>
        </w:rPr>
        <w:t xml:space="preserve"> Wikipedia — https://es.wikipedia.org/wiki/Relaciones_OTAN-Espa%C3%B1a (https://es.wikipedia.org/wiki/Relaciones_OTAN-Espa%C3%B1a)</w:t>
      </w:r>
    </w:p>
    <w:p>
      <w:pPr>
        <w:spacing w:after="120" w:line="276"/>
        <w:jc w:val="both"/>
      </w:pPr>
      <w:r>
        <w:rPr>
          <w:rFonts w:ascii="Barlow Semi Condensed" w:cs="Barlow Semi Condensed" w:eastAsia="Barlow Semi Condensed" w:hAnsi="Barlow Semi Condensed"/>
          <w:b/>
          <w:bCs/>
          <w:sz w:val="24"/>
          <w:szCs w:val="24"/>
        </w:rPr>
        <w:t xml:space="preserve">616.</w:t>
      </w:r>
      <w:r>
        <w:rPr>
          <w:rFonts w:ascii="Barlow Semi Condensed" w:cs="Barlow Semi Condensed" w:eastAsia="Barlow Semi Condensed" w:hAnsi="Barlow Semi Condensed"/>
          <w:sz w:val="24"/>
          <w:szCs w:val="24"/>
        </w:rPr>
        <w:t xml:space="preserve"> L'Osservatore Romano — https://www.osservatoreromano.va/it/news/2023-02/quo-045/si-vis-pacem-para-pacem.html (https://www.osservatoreromano.va/it/news/2023-02/quo-045/si-vis-pacem-para-pacem.html)</w:t>
      </w:r>
    </w:p>
    <w:p>
      <w:pPr>
        <w:spacing w:after="120" w:line="276"/>
        <w:jc w:val="both"/>
      </w:pPr>
      <w:r>
        <w:rPr>
          <w:rFonts w:ascii="Barlow Semi Condensed" w:cs="Barlow Semi Condensed" w:eastAsia="Barlow Semi Condensed" w:hAnsi="Barlow Semi Condensed"/>
          <w:b/>
          <w:bCs/>
          <w:sz w:val="24"/>
          <w:szCs w:val="24"/>
        </w:rPr>
        <w:t xml:space="preserve">617.</w:t>
      </w:r>
      <w:r>
        <w:rPr>
          <w:rFonts w:ascii="Barlow Semi Condensed" w:cs="Barlow Semi Condensed" w:eastAsia="Barlow Semi Condensed" w:hAnsi="Barlow Semi Condensed"/>
          <w:sz w:val="24"/>
          <w:szCs w:val="24"/>
        </w:rPr>
        <w:t xml:space="preserve"> Treccani — https://www.treccani.it/enciclopedia/agostino-casaroli_%28Dizionario-Biografico%29/ (https://www.treccani.it/enciclopedia/agostino-casaroli_%28Dizionario-Biografico%29/)</w:t>
      </w:r>
    </w:p>
    <w:p>
      <w:pPr>
        <w:pStyle w:val="Heading3"/>
        <w:spacing w:after="80" w:before="160"/>
      </w:pPr>
      <w:r>
        <w:rPr>
          <w:rFonts w:ascii="Barlow Semi Condensed" w:cs="Barlow Semi Condensed" w:eastAsia="Barlow Semi Condensed" w:hAnsi="Barlow Semi Condensed"/>
          <w:sz w:val="24"/>
          <w:szCs w:val="24"/>
        </w:rPr>
        <w:t xml:space="preserve">Libro dodicesimo · XI — La triangolazione della seconda campagna</w:t>
      </w:r>
    </w:p>
    <w:p>
      <w:pPr>
        <w:spacing w:after="120" w:line="276"/>
        <w:jc w:val="both"/>
      </w:pPr>
      <w:r>
        <w:rPr>
          <w:rFonts w:ascii="Barlow Semi Condensed" w:cs="Barlow Semi Condensed" w:eastAsia="Barlow Semi Condensed" w:hAnsi="Barlow Semi Condensed"/>
          <w:i/>
          <w:iCs/>
          <w:sz w:val="24"/>
          <w:szCs w:val="24"/>
        </w:rPr>
        <w:t xml:space="preserve">Capitolo senza citazioni in forma d'indirizzo: le sue fonti sono richiamate per titolo e rango nei documenti del corpus (si vedano la bibliografia critica e l'apparato dei gradi).</w:t>
      </w:r>
    </w:p>
    <w:p>
      <w:pPr>
        <w:pStyle w:val="Heading3"/>
        <w:spacing w:after="80" w:before="160"/>
      </w:pPr>
      <w:r>
        <w:rPr>
          <w:rFonts w:ascii="Barlow Semi Condensed" w:cs="Barlow Semi Condensed" w:eastAsia="Barlow Semi Condensed" w:hAnsi="Barlow Semi Condensed"/>
          <w:sz w:val="24"/>
          <w:szCs w:val="24"/>
        </w:rPr>
        <w:t xml:space="preserve">Libro dodicesimo · II — I documenti del Dipartimento di Stato</w:t>
      </w:r>
    </w:p>
    <w:p>
      <w:pPr>
        <w:spacing w:after="120" w:line="276"/>
        <w:jc w:val="both"/>
      </w:pPr>
      <w:r>
        <w:rPr>
          <w:rFonts w:ascii="Barlow Semi Condensed" w:cs="Barlow Semi Condensed" w:eastAsia="Barlow Semi Condensed" w:hAnsi="Barlow Semi Condensed"/>
          <w:i/>
          <w:iCs/>
          <w:sz w:val="24"/>
          <w:szCs w:val="24"/>
        </w:rPr>
        <w:t xml:space="preserve">Capitolo senza citazioni in forma d'indirizzo: le sue fonti sono richiamate per titolo e rango nei documenti del corpus (si vedano la bibliografia critica e l'apparato dei gradi).</w:t>
      </w:r>
    </w:p>
    <w:p>
      <w:pPr>
        <w:pStyle w:val="Heading3"/>
        <w:spacing w:after="80" w:before="160"/>
      </w:pPr>
      <w:r>
        <w:rPr>
          <w:rFonts w:ascii="Barlow Semi Condensed" w:cs="Barlow Semi Condensed" w:eastAsia="Barlow Semi Condensed" w:hAnsi="Barlow Semi Condensed"/>
          <w:sz w:val="24"/>
          <w:szCs w:val="24"/>
        </w:rPr>
        <w:t xml:space="preserve">Libro dodicesimo · III — Le pene oltre confine</w:t>
      </w:r>
    </w:p>
    <w:p>
      <w:pPr>
        <w:spacing w:after="120" w:line="276"/>
        <w:jc w:val="both"/>
      </w:pPr>
      <w:r>
        <w:rPr>
          <w:rFonts w:ascii="Barlow Semi Condensed" w:cs="Barlow Semi Condensed" w:eastAsia="Barlow Semi Condensed" w:hAnsi="Barlow Semi Condensed"/>
          <w:b/>
          <w:bCs/>
          <w:sz w:val="24"/>
          <w:szCs w:val="24"/>
        </w:rPr>
        <w:t xml:space="preserve">618.</w:t>
      </w:r>
      <w:r>
        <w:rPr>
          <w:rFonts w:ascii="Barlow Semi Condensed" w:cs="Barlow Semi Condensed" w:eastAsia="Barlow Semi Condensed" w:hAnsi="Barlow Semi Condensed"/>
          <w:sz w:val="24"/>
          <w:szCs w:val="24"/>
        </w:rPr>
        <w:t xml:space="preserve"> Radio Radicale, registrazione del 22/6/1984 — https://www.radioradicale.it/scheda/63262/il-caso-di-vanni-mulinaris-detenuto-in-attesa-di-processo (https://www.radioradicale.it/scheda/63262/il-caso-di-vanni-mulinaris-detenuto-in-attesa-di-processo)</w:t>
      </w:r>
    </w:p>
    <w:p>
      <w:pPr>
        <w:spacing w:after="120" w:line="276"/>
        <w:jc w:val="both"/>
      </w:pPr>
      <w:r>
        <w:rPr>
          <w:rFonts w:ascii="Barlow Semi Condensed" w:cs="Barlow Semi Condensed" w:eastAsia="Barlow Semi Condensed" w:hAnsi="Barlow Semi Condensed"/>
          <w:b/>
          <w:bCs/>
          <w:sz w:val="24"/>
          <w:szCs w:val="24"/>
        </w:rPr>
        <w:t xml:space="preserve">619.</w:t>
      </w:r>
      <w:r>
        <w:rPr>
          <w:rFonts w:ascii="Barlow Semi Condensed" w:cs="Barlow Semi Condensed" w:eastAsia="Barlow Semi Condensed" w:hAnsi="Barlow Semi Condensed"/>
          <w:sz w:val="24"/>
          <w:szCs w:val="24"/>
        </w:rPr>
        <w:t xml:space="preserve"> Wikipedia, Mitterrand doctrine — https://en.wikipedia.org/wiki/Mitterrand_doctrine (https://en.wikipedia.org/wiki/Mitterrand_doctrine)</w:t>
      </w:r>
    </w:p>
    <w:p>
      <w:pPr>
        <w:spacing w:after="120" w:line="276"/>
        <w:jc w:val="both"/>
      </w:pPr>
      <w:r>
        <w:rPr>
          <w:rFonts w:ascii="Barlow Semi Condensed" w:cs="Barlow Semi Condensed" w:eastAsia="Barlow Semi Condensed" w:hAnsi="Barlow Semi Condensed"/>
          <w:b/>
          <w:bCs/>
          <w:sz w:val="24"/>
          <w:szCs w:val="24"/>
        </w:rPr>
        <w:t xml:space="preserve">620.</w:t>
      </w:r>
      <w:r>
        <w:rPr>
          <w:rFonts w:ascii="Barlow Semi Condensed" w:cs="Barlow Semi Condensed" w:eastAsia="Barlow Semi Condensed" w:hAnsi="Barlow Semi Condensed"/>
          <w:sz w:val="24"/>
          <w:szCs w:val="24"/>
        </w:rPr>
        <w:t xml:space="preserve"> Diritto Penale e Uomo, «La "dottrina Mitterrand" sull'estradizione e la svolta francese» — https://dirittopenaleuomo.org/en/contributi_dpu/the-mitterand-doctrine-overturned/ (https://dirittopenaleuomo.org/en/contributi_dpu/the-mitterand-doctrine-overturned/)</w:t>
      </w:r>
    </w:p>
    <w:p>
      <w:pPr>
        <w:spacing w:after="120" w:line="276"/>
        <w:jc w:val="both"/>
      </w:pPr>
      <w:r>
        <w:rPr>
          <w:rFonts w:ascii="Barlow Semi Condensed" w:cs="Barlow Semi Condensed" w:eastAsia="Barlow Semi Condensed" w:hAnsi="Barlow Semi Condensed"/>
          <w:b/>
          <w:bCs/>
          <w:sz w:val="24"/>
          <w:szCs w:val="24"/>
        </w:rPr>
        <w:t xml:space="preserve">621.</w:t>
      </w:r>
      <w:r>
        <w:rPr>
          <w:rFonts w:ascii="Barlow Semi Condensed" w:cs="Barlow Semi Condensed" w:eastAsia="Barlow Semi Condensed" w:hAnsi="Barlow Semi Condensed"/>
          <w:sz w:val="24"/>
          <w:szCs w:val="24"/>
        </w:rPr>
        <w:t xml:space="preserve"> AGI — https://www.agi.it/estero/news/2021-04-28/dottrina-mitterrand-francia-terrorismo-12352267/ (https://www.agi.it/estero/news/2021-04-28/dottrina-mitterrand-francia-terrorismo-12352267/)</w:t>
      </w:r>
    </w:p>
    <w:p>
      <w:pPr>
        <w:spacing w:after="120" w:line="276"/>
        <w:jc w:val="both"/>
      </w:pPr>
      <w:r>
        <w:rPr>
          <w:rFonts w:ascii="Barlow Semi Condensed" w:cs="Barlow Semi Condensed" w:eastAsia="Barlow Semi Condensed" w:hAnsi="Barlow Semi Condensed"/>
          <w:b/>
          <w:bCs/>
          <w:sz w:val="24"/>
          <w:szCs w:val="24"/>
        </w:rPr>
        <w:t xml:space="preserve">622.</w:t>
      </w:r>
      <w:r>
        <w:rPr>
          <w:rFonts w:ascii="Barlow Semi Condensed" w:cs="Barlow Semi Condensed" w:eastAsia="Barlow Semi Condensed" w:hAnsi="Barlow Semi Condensed"/>
          <w:sz w:val="24"/>
          <w:szCs w:val="24"/>
        </w:rPr>
        <w:t xml:space="preserve"> ANSA — https://www.ansa.it/sito/notizie/cronaca/2021/04/28/terrorismo-arrestati-a-parigi-i-7-brigatisti_710152e0-08a9-4192-8a3d-1f10a662cb7f.html (https://www.ansa.it/sito/notizie/cronaca/2021/04/28/terrorismo-arrestati-a-parigi-i-7-brigatisti_710152e0-08a9-4192-8a3d-1f10a662cb7f.html)</w:t>
      </w:r>
    </w:p>
    <w:p>
      <w:pPr>
        <w:spacing w:after="120" w:line="276"/>
        <w:jc w:val="both"/>
      </w:pPr>
      <w:r>
        <w:rPr>
          <w:rFonts w:ascii="Barlow Semi Condensed" w:cs="Barlow Semi Condensed" w:eastAsia="Barlow Semi Condensed" w:hAnsi="Barlow Semi Condensed"/>
          <w:b/>
          <w:bCs/>
          <w:sz w:val="24"/>
          <w:szCs w:val="24"/>
        </w:rPr>
        <w:t xml:space="preserve">623.</w:t>
      </w:r>
      <w:r>
        <w:rPr>
          <w:rFonts w:ascii="Barlow Semi Condensed" w:cs="Barlow Semi Condensed" w:eastAsia="Barlow Semi Condensed" w:hAnsi="Barlow Semi Condensed"/>
          <w:sz w:val="24"/>
          <w:szCs w:val="24"/>
        </w:rPr>
        <w:t xml:space="preserve"> Avvenire — https://www.avvenire.it/mondo/pagine/francia-terrorismo-arrestati-7-ex-brigatisti-su-richiesta-dell-italia (https://www.avvenire.it/mondo/pagine/francia-terrorismo-arrestati-7-ex-brigatisti-su-richiesta-dell-italia)</w:t>
      </w:r>
    </w:p>
    <w:p>
      <w:pPr>
        <w:spacing w:after="120" w:line="276"/>
        <w:jc w:val="both"/>
      </w:pPr>
      <w:r>
        <w:rPr>
          <w:rFonts w:ascii="Barlow Semi Condensed" w:cs="Barlow Semi Condensed" w:eastAsia="Barlow Semi Condensed" w:hAnsi="Barlow Semi Condensed"/>
          <w:b/>
          <w:bCs/>
          <w:sz w:val="24"/>
          <w:szCs w:val="24"/>
        </w:rPr>
        <w:t xml:space="preserve">624.</w:t>
      </w:r>
      <w:r>
        <w:rPr>
          <w:rFonts w:ascii="Barlow Semi Condensed" w:cs="Barlow Semi Condensed" w:eastAsia="Barlow Semi Condensed" w:hAnsi="Barlow Semi Condensed"/>
          <w:sz w:val="24"/>
          <w:szCs w:val="24"/>
        </w:rPr>
        <w:t xml:space="preserve"> Il Fatto Quotidiano, con la dichiarazione del presidente Draghi — https://www.ilfattoquotidiano.it/2021/04/28/arrestati-in-francia-7-ex-terroristi-rossi-degli-anni-di-piombo-draghi-soddisfazione-la-memoria-di-questi-atti-barbarici-e-ancora-viva/6180356/ (https://www.ilfattoquotidiano.it/2021/04/28/arrestati-in-francia-7-ex-terroristi-rossi-degli-anni-di-piombo-draghi-soddisfazione-la-memoria-di-questi-atti-barbarici-e-ancora-viva/6180356/)</w:t>
      </w:r>
    </w:p>
    <w:p>
      <w:pPr>
        <w:spacing w:after="120" w:line="276"/>
        <w:jc w:val="both"/>
      </w:pPr>
      <w:r>
        <w:rPr>
          <w:rFonts w:ascii="Barlow Semi Condensed" w:cs="Barlow Semi Condensed" w:eastAsia="Barlow Semi Condensed" w:hAnsi="Barlow Semi Condensed"/>
          <w:b/>
          <w:bCs/>
          <w:sz w:val="24"/>
          <w:szCs w:val="24"/>
        </w:rPr>
        <w:t xml:space="preserve">625.</w:t>
      </w:r>
      <w:r>
        <w:rPr>
          <w:rFonts w:ascii="Barlow Semi Condensed" w:cs="Barlow Semi Condensed" w:eastAsia="Barlow Semi Condensed" w:hAnsi="Barlow Semi Condensed"/>
          <w:sz w:val="24"/>
          <w:szCs w:val="24"/>
        </w:rPr>
        <w:t xml:space="preserve"> Today — https://amp.today.it/europa/francia-no-estradizione-ex-terroristi-italiani.html (https://amp.today.it/europa/francia-no-estradizione-ex-terroristi-italiani.html)</w:t>
      </w:r>
    </w:p>
    <w:p>
      <w:pPr>
        <w:pStyle w:val="Heading3"/>
        <w:spacing w:after="80" w:before="160"/>
      </w:pPr>
      <w:r>
        <w:rPr>
          <w:rFonts w:ascii="Barlow Semi Condensed" w:cs="Barlow Semi Condensed" w:eastAsia="Barlow Semi Condensed" w:hAnsi="Barlow Semi Condensed"/>
          <w:sz w:val="24"/>
          <w:szCs w:val="24"/>
        </w:rPr>
        <w:t xml:space="preserve">Libro tredicesimo · I — Il programma e le graduatorie</w:t>
      </w:r>
    </w:p>
    <w:p>
      <w:pPr>
        <w:spacing w:after="120" w:line="276"/>
        <w:jc w:val="both"/>
      </w:pPr>
      <w:r>
        <w:rPr>
          <w:rFonts w:ascii="Barlow Semi Condensed" w:cs="Barlow Semi Condensed" w:eastAsia="Barlow Semi Condensed" w:hAnsi="Barlow Semi Condensed"/>
          <w:b/>
          <w:bCs/>
          <w:sz w:val="24"/>
          <w:szCs w:val="24"/>
        </w:rPr>
        <w:t xml:space="preserve">626.</w:t>
      </w:r>
      <w:r>
        <w:rPr>
          <w:rFonts w:ascii="Barlow Semi Condensed" w:cs="Barlow Semi Condensed" w:eastAsia="Barlow Semi Condensed" w:hAnsi="Barlow Semi Condensed"/>
          <w:sz w:val="24"/>
          <w:szCs w:val="24"/>
        </w:rPr>
        <w:t xml:space="preserve"> Quotidiano Nazionale, «indagine riaperta» — https://www.quotidiano.net/cronaca/aldo-moro-indagine-riaperta-hvj5sqbx (https://www.quotidiano.net/cronaca/aldo-moro-indagine-riaperta-hvj5sqbx)</w:t>
      </w:r>
    </w:p>
    <w:p>
      <w:pPr>
        <w:spacing w:after="120" w:line="276"/>
        <w:jc w:val="both"/>
      </w:pPr>
      <w:r>
        <w:rPr>
          <w:rFonts w:ascii="Barlow Semi Condensed" w:cs="Barlow Semi Condensed" w:eastAsia="Barlow Semi Condensed" w:hAnsi="Barlow Semi Condensed"/>
          <w:b/>
          <w:bCs/>
          <w:sz w:val="24"/>
          <w:szCs w:val="24"/>
        </w:rPr>
        <w:t xml:space="preserve">627.</w:t>
      </w:r>
      <w:r>
        <w:rPr>
          <w:rFonts w:ascii="Barlow Semi Condensed" w:cs="Barlow Semi Condensed" w:eastAsia="Barlow Semi Condensed" w:hAnsi="Barlow Semi Condensed"/>
          <w:sz w:val="24"/>
          <w:szCs w:val="24"/>
        </w:rPr>
        <w:t xml:space="preserve"> QN, «caccia al quinto uomo» — https://www.quotidiano.net/cronaca/strage-di-via-fani-indagini-riaperte-lb05511u (https://www.quotidiano.net/cronaca/strage-di-via-fani-indagini-riaperte-lb05511u)</w:t>
      </w:r>
    </w:p>
    <w:p>
      <w:pPr>
        <w:spacing w:after="120" w:line="276"/>
        <w:jc w:val="both"/>
      </w:pPr>
      <w:r>
        <w:rPr>
          <w:rFonts w:ascii="Barlow Semi Condensed" w:cs="Barlow Semi Condensed" w:eastAsia="Barlow Semi Condensed" w:hAnsi="Barlow Semi Condensed"/>
          <w:b/>
          <w:bCs/>
          <w:sz w:val="24"/>
          <w:szCs w:val="24"/>
        </w:rPr>
        <w:t xml:space="preserve">628.</w:t>
      </w:r>
      <w:r>
        <w:rPr>
          <w:rFonts w:ascii="Barlow Semi Condensed" w:cs="Barlow Semi Condensed" w:eastAsia="Barlow Semi Condensed" w:hAnsi="Barlow Semi Condensed"/>
          <w:sz w:val="24"/>
          <w:szCs w:val="24"/>
        </w:rPr>
        <w:t xml:space="preserve"> Antimafia Duemila, la proroga del GIP — https://antimafiaduemila.com/home/mafie-news/topnews/caso-moro-il-gip-riapre-nuove-piste-sei-mesi-di-indagini-sulle-terze-presenze-in-via-fani (https://antimafiaduemila.com/home/mafie-news/topnews/caso-moro-il-gip-riapre-nuove-piste-sei-mesi-di-indagini-sulle-terze-presenze-in-via-fani)</w:t>
      </w:r>
    </w:p>
    <w:p>
      <w:pPr>
        <w:spacing w:after="120" w:line="276"/>
        <w:jc w:val="both"/>
      </w:pPr>
      <w:r>
        <w:rPr>
          <w:rFonts w:ascii="Barlow Semi Condensed" w:cs="Barlow Semi Condensed" w:eastAsia="Barlow Semi Condensed" w:hAnsi="Barlow Semi Condensed"/>
          <w:b/>
          <w:bCs/>
          <w:sz w:val="24"/>
          <w:szCs w:val="24"/>
        </w:rPr>
        <w:t xml:space="preserve">629.</w:t>
      </w:r>
      <w:r>
        <w:rPr>
          <w:rFonts w:ascii="Barlow Semi Condensed" w:cs="Barlow Semi Condensed" w:eastAsia="Barlow Semi Condensed" w:hAnsi="Barlow Semi Condensed"/>
          <w:sz w:val="24"/>
          <w:szCs w:val="24"/>
        </w:rPr>
        <w:t xml:space="preserve"> testo della direttiva — https://presidenza.governo.it/AmministrazioneTrasparente/Organizzazione/ArticolazioneUffici/CommissioniComitati/Comitato_desecretazione/Direttiva_20140422.pdf (https://presidenza.governo.it/AmministrazioneTrasparente/Organizzazione/ArticolazioneUffici/CommissioniComitati/Comitato_desecretazione/Direttiva_20140422.pdf)</w:t>
      </w:r>
    </w:p>
    <w:p>
      <w:pPr>
        <w:spacing w:after="120" w:line="276"/>
        <w:jc w:val="both"/>
      </w:pPr>
      <w:r>
        <w:rPr>
          <w:rFonts w:ascii="Barlow Semi Condensed" w:cs="Barlow Semi Condensed" w:eastAsia="Barlow Semi Condensed" w:hAnsi="Barlow Semi Condensed"/>
          <w:b/>
          <w:bCs/>
          <w:sz w:val="24"/>
          <w:szCs w:val="24"/>
        </w:rPr>
        <w:t xml:space="preserve">630.</w:t>
      </w:r>
      <w:r>
        <w:rPr>
          <w:rFonts w:ascii="Barlow Semi Condensed" w:cs="Barlow Semi Condensed" w:eastAsia="Barlow Semi Condensed" w:hAnsi="Barlow Semi Condensed"/>
          <w:sz w:val="24"/>
          <w:szCs w:val="24"/>
        </w:rPr>
        <w:t xml:space="preserve"> ACS, la collezione — https://acs.cultura.gov.it/la-direttiva-renzi-e-i-pubblici-segreti-documenti-declassificati-su-terrorismo-e-stragi/ (https://acs.cultura.gov.it/la-direttiva-renzi-e-i-pubblici-segreti-documenti-declassificati-su-terrorismo-e-stragi/)</w:t>
      </w:r>
    </w:p>
    <w:p>
      <w:pPr>
        <w:spacing w:after="120" w:line="276"/>
        <w:jc w:val="both"/>
      </w:pPr>
      <w:r>
        <w:rPr>
          <w:rFonts w:ascii="Barlow Semi Condensed" w:cs="Barlow Semi Condensed" w:eastAsia="Barlow Semi Condensed" w:hAnsi="Barlow Semi Condensed"/>
          <w:b/>
          <w:bCs/>
          <w:sz w:val="24"/>
          <w:szCs w:val="24"/>
        </w:rPr>
        <w:t xml:space="preserve">631.</w:t>
      </w:r>
      <w:r>
        <w:rPr>
          <w:rFonts w:ascii="Barlow Semi Condensed" w:cs="Barlow Semi Condensed" w:eastAsia="Barlow Semi Condensed" w:hAnsi="Barlow Semi Condensed"/>
          <w:sz w:val="24"/>
          <w:szCs w:val="24"/>
        </w:rPr>
        <w:t xml:space="preserve"> Direzione generale Archivi — https://archivi.cultura.gov.it/in-evidenza/le-carte-delle-stragi (https://archivi.cultura.gov.it/in-evidenza/le-carte-delle-stragi)</w:t>
      </w:r>
    </w:p>
    <w:p>
      <w:pPr>
        <w:spacing w:after="120" w:line="276"/>
        <w:jc w:val="both"/>
      </w:pPr>
      <w:r>
        <w:rPr>
          <w:rFonts w:ascii="Barlow Semi Condensed" w:cs="Barlow Semi Condensed" w:eastAsia="Barlow Semi Condensed" w:hAnsi="Barlow Semi Condensed"/>
          <w:b/>
          <w:bCs/>
          <w:sz w:val="24"/>
          <w:szCs w:val="24"/>
        </w:rPr>
        <w:t xml:space="preserve">632.</w:t>
      </w:r>
      <w:r>
        <w:rPr>
          <w:rFonts w:ascii="Barlow Semi Condensed" w:cs="Barlow Semi Condensed" w:eastAsia="Barlow Semi Condensed" w:hAnsi="Barlow Semi Condensed"/>
          <w:sz w:val="24"/>
          <w:szCs w:val="24"/>
        </w:rPr>
        <w:t xml:space="preserve"> studio su fondi ministeriali, memoria.cultura.gov.it — https://memoria.cultura.gov.it/documents/37629/88652/Il+senso+dello+Stato+nel+caso+Moro.pdf/2aa0ece5-3c0e-1d63-c4e8-8769062b5cf3 (https://memoria.cultura.gov.it/documents/37629/88652/Il+senso+dello+Stato+nel+caso+Moro.pdf/2aa0ece5-3c0e-1d63-c4e8-8769062b5cf3)</w:t>
      </w:r>
    </w:p>
    <w:p>
      <w:pPr>
        <w:spacing w:after="120" w:line="276"/>
        <w:jc w:val="both"/>
      </w:pPr>
      <w:r>
        <w:rPr>
          <w:rFonts w:ascii="Barlow Semi Condensed" w:cs="Barlow Semi Condensed" w:eastAsia="Barlow Semi Condensed" w:hAnsi="Barlow Semi Condensed"/>
          <w:b/>
          <w:bCs/>
          <w:sz w:val="24"/>
          <w:szCs w:val="24"/>
        </w:rPr>
        <w:t xml:space="preserve">633.</w:t>
      </w:r>
      <w:r>
        <w:rPr>
          <w:rFonts w:ascii="Barlow Semi Condensed" w:cs="Barlow Semi Condensed" w:eastAsia="Barlow Semi Condensed" w:hAnsi="Barlow Semi Condensed"/>
          <w:sz w:val="24"/>
          <w:szCs w:val="24"/>
        </w:rPr>
        <w:t xml:space="preserve"> ANSA — https://www.ansa.it/sito/notizie/speciali/2018/03/12/moro-le-carte-della-commissione-presto-ai-pm_cfadce04-ac8f-4c28-b7f5-2cd249804b76.html (https://www.ansa.it/sito/notizie/speciali/2018/03/12/moro-le-carte-della-commissione-presto-ai-pm_cfadce04-ac8f-4c28-b7f5-2cd249804b76.html)</w:t>
      </w:r>
    </w:p>
    <w:p>
      <w:pPr>
        <w:spacing w:after="120" w:line="276"/>
        <w:jc w:val="both"/>
      </w:pPr>
      <w:r>
        <w:rPr>
          <w:rFonts w:ascii="Barlow Semi Condensed" w:cs="Barlow Semi Condensed" w:eastAsia="Barlow Semi Condensed" w:hAnsi="Barlow Semi Condensed"/>
          <w:b/>
          <w:bCs/>
          <w:sz w:val="24"/>
          <w:szCs w:val="24"/>
        </w:rPr>
        <w:t xml:space="preserve">634.</w:t>
      </w:r>
      <w:r>
        <w:rPr>
          <w:rFonts w:ascii="Barlow Semi Condensed" w:cs="Barlow Semi Condensed" w:eastAsia="Barlow Semi Condensed" w:hAnsi="Barlow Semi Condensed"/>
          <w:sz w:val="24"/>
          <w:szCs w:val="24"/>
        </w:rPr>
        <w:t xml:space="preserve"> relazione Moro 2, «I covi e la morte di Moro» — https://documenti.camera.it/_dati/leg17/lavori/documentiparlamentari/indiceetesti/023/029/00000015.pdf (https://documenti.camera.it/_dati/leg17/lavori/documentiparlamentari/indiceetesti/023/029/00000015.pdf) </w:t>
      </w:r>
      <w:r>
        <w:rPr>
          <w:rFonts w:ascii="Barlow Semi Condensed" w:cs="Barlow Semi Condensed" w:eastAsia="Barlow Semi Condensed" w:hAnsi="Barlow Semi Condensed"/>
          <w:i/>
          <w:iCs/>
          <w:sz w:val="24"/>
          <w:szCs w:val="24"/>
        </w:rPr>
        <w:t xml:space="preserve">(citato 3 volte)</w:t>
      </w:r>
    </w:p>
    <w:p>
      <w:pPr>
        <w:spacing w:after="120" w:line="276"/>
        <w:jc w:val="both"/>
      </w:pPr>
      <w:r>
        <w:rPr>
          <w:rFonts w:ascii="Barlow Semi Condensed" w:cs="Barlow Semi Condensed" w:eastAsia="Barlow Semi Condensed" w:hAnsi="Barlow Semi Condensed"/>
          <w:b/>
          <w:bCs/>
          <w:sz w:val="24"/>
          <w:szCs w:val="24"/>
        </w:rPr>
        <w:t xml:space="preserve">635.</w:t>
      </w:r>
      <w:r>
        <w:rPr>
          <w:rFonts w:ascii="Barlow Semi Condensed" w:cs="Barlow Semi Condensed" w:eastAsia="Barlow Semi Condensed" w:hAnsi="Barlow Semi Condensed"/>
          <w:sz w:val="24"/>
          <w:szCs w:val="24"/>
        </w:rPr>
        <w:t xml:space="preserve"> Anni Affollati — https://www.anniaffollati.it/sezioni/sotto-un-dominio-caso-moro/via-gradoli/menu-via-gradoli.html (https://www.anniaffollati.it/sezioni/sotto-un-dominio-caso-moro/via-gradoli/menu-via-gradoli.html) </w:t>
      </w:r>
      <w:r>
        <w:rPr>
          <w:rFonts w:ascii="Barlow Semi Condensed" w:cs="Barlow Semi Condensed" w:eastAsia="Barlow Semi Condensed" w:hAnsi="Barlow Semi Condensed"/>
          <w:i/>
          <w:iCs/>
          <w:sz w:val="24"/>
          <w:szCs w:val="24"/>
        </w:rPr>
        <w:t xml:space="preserve">(citato 2 volte)</w:t>
      </w:r>
    </w:p>
    <w:p>
      <w:pPr>
        <w:spacing w:after="120" w:line="276"/>
        <w:jc w:val="both"/>
      </w:pPr>
      <w:r>
        <w:rPr>
          <w:rFonts w:ascii="Barlow Semi Condensed" w:cs="Barlow Semi Condensed" w:eastAsia="Barlow Semi Condensed" w:hAnsi="Barlow Semi Condensed"/>
          <w:b/>
          <w:bCs/>
          <w:sz w:val="24"/>
          <w:szCs w:val="24"/>
        </w:rPr>
        <w:t xml:space="preserve">636.</w:t>
      </w:r>
      <w:r>
        <w:rPr>
          <w:rFonts w:ascii="Barlow Semi Condensed" w:cs="Barlow Semi Condensed" w:eastAsia="Barlow Semi Condensed" w:hAnsi="Barlow Semi Condensed"/>
          <w:sz w:val="24"/>
          <w:szCs w:val="24"/>
        </w:rPr>
        <w:t xml:space="preserve"> archivio900, Il covo di Stato — https://www.archivio900.it/it/libri/lib.aspx?id=407 (https://www.archivio900.it/it/libri/lib.aspx?id=407)</w:t>
      </w:r>
    </w:p>
    <w:p>
      <w:pPr>
        <w:spacing w:after="120" w:line="276"/>
        <w:jc w:val="both"/>
      </w:pPr>
      <w:r>
        <w:rPr>
          <w:rFonts w:ascii="Barlow Semi Condensed" w:cs="Barlow Semi Condensed" w:eastAsia="Barlow Semi Condensed" w:hAnsi="Barlow Semi Condensed"/>
          <w:b/>
          <w:bCs/>
          <w:sz w:val="24"/>
          <w:szCs w:val="24"/>
        </w:rPr>
        <w:t xml:space="preserve">637.</w:t>
      </w:r>
      <w:r>
        <w:rPr>
          <w:rFonts w:ascii="Barlow Semi Condensed" w:cs="Barlow Semi Condensed" w:eastAsia="Barlow Semi Condensed" w:hAnsi="Barlow Semi Condensed"/>
          <w:sz w:val="24"/>
          <w:szCs w:val="24"/>
        </w:rPr>
        <w:t xml:space="preserve"> ANSA — https://www.ansa.it/sito/notizie/cronaca/2018/03/15/moromistero-vaticano-su-10-mld-riscatto_159ad438-a8df-474d-a762-cbd416e06064.html (https://www.ansa.it/sito/notizie/cronaca/2018/03/15/moromistero-vaticano-su-10-mld-riscatto_159ad438-a8df-474d-a762-cbd416e06064.html)</w:t>
      </w:r>
    </w:p>
    <w:p>
      <w:pPr>
        <w:pStyle w:val="Heading3"/>
        <w:spacing w:after="80" w:before="160"/>
      </w:pPr>
      <w:r>
        <w:rPr>
          <w:rFonts w:ascii="Barlow Semi Condensed" w:cs="Barlow Semi Condensed" w:eastAsia="Barlow Semi Condensed" w:hAnsi="Barlow Semi Condensed"/>
          <w:sz w:val="24"/>
          <w:szCs w:val="24"/>
        </w:rPr>
        <w:t xml:space="preserve">Libro tredicesimo · II — Le schede delle piste di testa</w:t>
      </w:r>
    </w:p>
    <w:p>
      <w:pPr>
        <w:spacing w:after="120" w:line="276"/>
        <w:jc w:val="both"/>
      </w:pPr>
      <w:r>
        <w:rPr>
          <w:rFonts w:ascii="Barlow Semi Condensed" w:cs="Barlow Semi Condensed" w:eastAsia="Barlow Semi Condensed" w:hAnsi="Barlow Semi Condensed"/>
          <w:b/>
          <w:bCs/>
          <w:sz w:val="24"/>
          <w:szCs w:val="24"/>
        </w:rPr>
        <w:t xml:space="preserve">638.</w:t>
      </w:r>
      <w:r>
        <w:rPr>
          <w:rFonts w:ascii="Barlow Semi Condensed" w:cs="Barlow Semi Condensed" w:eastAsia="Barlow Semi Condensed" w:hAnsi="Barlow Semi Condensed"/>
          <w:sz w:val="24"/>
          <w:szCs w:val="24"/>
        </w:rPr>
        <w:t xml:space="preserve"> Il Fatto Quotidiano, «l'Honda di via Fani resta un mistero» — https://www.ilfattoquotidiano.it/2014/03/23/caso-moro-36-anni-dopo-lhonda-di-via-fani-resta-ancora-un-mistero/923461/ (https://www.ilfattoquotidiano.it/2014/03/23/caso-moro-36-anni-dopo-lhonda-di-via-fani-resta-ancora-un-mistero/923461/)</w:t>
      </w:r>
    </w:p>
    <w:p>
      <w:pPr>
        <w:spacing w:after="120" w:line="276"/>
        <w:jc w:val="both"/>
      </w:pPr>
      <w:r>
        <w:rPr>
          <w:rFonts w:ascii="Barlow Semi Condensed" w:cs="Barlow Semi Condensed" w:eastAsia="Barlow Semi Condensed" w:hAnsi="Barlow Semi Condensed"/>
          <w:b/>
          <w:bCs/>
          <w:sz w:val="24"/>
          <w:szCs w:val="24"/>
        </w:rPr>
        <w:t xml:space="preserve">639.</w:t>
      </w:r>
      <w:r>
        <w:rPr>
          <w:rFonts w:ascii="Barlow Semi Condensed" w:cs="Barlow Semi Condensed" w:eastAsia="Barlow Semi Condensed" w:hAnsi="Barlow Semi Condensed"/>
          <w:sz w:val="24"/>
          <w:szCs w:val="24"/>
        </w:rPr>
        <w:t xml:space="preserve"> Anni Affollati, «La moto Honda e il motorino» — https://www.anniaffollati.it/sezioni/sotto-un-dominio-caso-moro/via-fani/9-honda-motorino.html (https://www.anniaffollati.it/sezioni/sotto-un-dominio-caso-moro/via-fani/9-honda-motorino.html)</w:t>
      </w:r>
    </w:p>
    <w:p>
      <w:pPr>
        <w:spacing w:after="120" w:line="276"/>
        <w:jc w:val="both"/>
      </w:pPr>
      <w:r>
        <w:rPr>
          <w:rFonts w:ascii="Barlow Semi Condensed" w:cs="Barlow Semi Condensed" w:eastAsia="Barlow Semi Condensed" w:hAnsi="Barlow Semi Condensed"/>
          <w:b/>
          <w:bCs/>
          <w:sz w:val="24"/>
          <w:szCs w:val="24"/>
        </w:rPr>
        <w:t xml:space="preserve">640.</w:t>
      </w:r>
      <w:r>
        <w:rPr>
          <w:rFonts w:ascii="Barlow Semi Condensed" w:cs="Barlow Semi Condensed" w:eastAsia="Barlow Semi Condensed" w:hAnsi="Barlow Semi Condensed"/>
          <w:sz w:val="24"/>
          <w:szCs w:val="24"/>
        </w:rPr>
        <w:t xml:space="preserve"> Insorgenze — https://insorgenze.net/2015/04/23/la-colonna-sonora-di-via-fani-dei-nuovi-documenti-smontano-la-storia-della-honda-e-le-fantasie-del-supertestimone-marini/ (https://insorgenze.net/2015/04/23/la-colonna-sonora-di-via-fani-dei-nuovi-documenti-smontano-la-storia-della-honda-e-le-fantasie-del-supertestimone-marini/)</w:t>
      </w:r>
    </w:p>
    <w:p>
      <w:pPr>
        <w:spacing w:after="120" w:line="276"/>
        <w:jc w:val="both"/>
      </w:pPr>
      <w:r>
        <w:rPr>
          <w:rFonts w:ascii="Barlow Semi Condensed" w:cs="Barlow Semi Condensed" w:eastAsia="Barlow Semi Condensed" w:hAnsi="Barlow Semi Condensed"/>
          <w:b/>
          <w:bCs/>
          <w:sz w:val="24"/>
          <w:szCs w:val="24"/>
        </w:rPr>
        <w:t xml:space="preserve">641.</w:t>
      </w:r>
      <w:r>
        <w:rPr>
          <w:rFonts w:ascii="Barlow Semi Condensed" w:cs="Barlow Semi Condensed" w:eastAsia="Barlow Semi Condensed" w:hAnsi="Barlow Semi Condensed"/>
          <w:sz w:val="24"/>
          <w:szCs w:val="24"/>
        </w:rPr>
        <w:t xml:space="preserve"> Wikipedia, Agguato di via Fani — https://it.wikipedia.org/wiki/Agguato_di_via_Fani (https://it.wikipedia.org/wiki/Agguato_di_via_Fani)</w:t>
      </w:r>
    </w:p>
    <w:p>
      <w:pPr>
        <w:spacing w:after="120" w:line="276"/>
        <w:jc w:val="both"/>
      </w:pPr>
      <w:r>
        <w:rPr>
          <w:rFonts w:ascii="Barlow Semi Condensed" w:cs="Barlow Semi Condensed" w:eastAsia="Barlow Semi Condensed" w:hAnsi="Barlow Semi Condensed"/>
          <w:b/>
          <w:bCs/>
          <w:sz w:val="24"/>
          <w:szCs w:val="24"/>
        </w:rPr>
        <w:t xml:space="preserve">642.</w:t>
      </w:r>
      <w:r>
        <w:rPr>
          <w:rFonts w:ascii="Barlow Semi Condensed" w:cs="Barlow Semi Condensed" w:eastAsia="Barlow Semi Condensed" w:hAnsi="Barlow Semi Condensed"/>
          <w:sz w:val="24"/>
          <w:szCs w:val="24"/>
        </w:rPr>
        <w:t xml:space="preserve"> Claudio Meloni, la prima perizia — https://meloniclaudio.wordpress.com/2015/07/06/via-fani-la-prima-perizia-balistica/ (https://meloniclaudio.wordpress.com/2015/07/06/via-fani-la-prima-perizia-balistica/)</w:t>
      </w:r>
    </w:p>
    <w:p>
      <w:pPr>
        <w:spacing w:after="120" w:line="276"/>
        <w:jc w:val="both"/>
      </w:pPr>
      <w:r>
        <w:rPr>
          <w:rFonts w:ascii="Barlow Semi Condensed" w:cs="Barlow Semi Condensed" w:eastAsia="Barlow Semi Condensed" w:hAnsi="Barlow Semi Condensed"/>
          <w:b/>
          <w:bCs/>
          <w:sz w:val="24"/>
          <w:szCs w:val="24"/>
        </w:rPr>
        <w:t xml:space="preserve">643.</w:t>
      </w:r>
      <w:r>
        <w:rPr>
          <w:rFonts w:ascii="Barlow Semi Condensed" w:cs="Barlow Semi Condensed" w:eastAsia="Barlow Semi Condensed" w:hAnsi="Barlow Semi Condensed"/>
          <w:sz w:val="24"/>
          <w:szCs w:val="24"/>
        </w:rPr>
        <w:t xml:space="preserve"> AgoraVox, «il superkiller e i 49 colpi» — https://www.agoravox.it/Caso-Moro-Il-superkiller-di-via.html (https://www.agoravox.it/Caso-Moro-Il-superkiller-di-via.html)</w:t>
      </w:r>
    </w:p>
    <w:p>
      <w:pPr>
        <w:spacing w:after="120" w:line="276"/>
        <w:jc w:val="both"/>
      </w:pPr>
      <w:r>
        <w:rPr>
          <w:rFonts w:ascii="Barlow Semi Condensed" w:cs="Barlow Semi Condensed" w:eastAsia="Barlow Semi Condensed" w:hAnsi="Barlow Semi Condensed"/>
          <w:b/>
          <w:bCs/>
          <w:sz w:val="24"/>
          <w:szCs w:val="24"/>
        </w:rPr>
        <w:t xml:space="preserve">644.</w:t>
      </w:r>
      <w:r>
        <w:rPr>
          <w:rFonts w:ascii="Barlow Semi Condensed" w:cs="Barlow Semi Condensed" w:eastAsia="Barlow Semi Condensed" w:hAnsi="Barlow Semi Condensed"/>
          <w:sz w:val="24"/>
          <w:szCs w:val="24"/>
        </w:rPr>
        <w:t xml:space="preserve"> Cicinelli — https://www.gianlucacicinelli.it/la-perizia-su-via-fani-e-un-depistaggio-di-stato/ (https://www.gianlucacicinelli.it/la-perizia-su-via-fani-e-un-depistaggio-di-stato/)</w:t>
      </w:r>
    </w:p>
    <w:p>
      <w:pPr>
        <w:spacing w:after="120" w:line="276"/>
        <w:jc w:val="both"/>
      </w:pPr>
      <w:r>
        <w:rPr>
          <w:rFonts w:ascii="Barlow Semi Condensed" w:cs="Barlow Semi Condensed" w:eastAsia="Barlow Semi Condensed" w:hAnsi="Barlow Semi Condensed"/>
          <w:b/>
          <w:bCs/>
          <w:sz w:val="24"/>
          <w:szCs w:val="24"/>
        </w:rPr>
        <w:t xml:space="preserve">645.</w:t>
      </w:r>
      <w:r>
        <w:rPr>
          <w:rFonts w:ascii="Barlow Semi Condensed" w:cs="Barlow Semi Condensed" w:eastAsia="Barlow Semi Condensed" w:hAnsi="Barlow Semi Condensed"/>
          <w:sz w:val="24"/>
          <w:szCs w:val="24"/>
        </w:rPr>
        <w:t xml:space="preserve"> Il Post, la ricostruzione — https://www.ilpost.it/2018/04/04/prodi-seduta-spiritica-moro/ (https://www.ilpost.it/2018/04/04/prodi-seduta-spiritica-moro/)</w:t>
      </w:r>
    </w:p>
    <w:p>
      <w:pPr>
        <w:spacing w:after="120" w:line="276"/>
        <w:jc w:val="both"/>
      </w:pPr>
      <w:r>
        <w:rPr>
          <w:rFonts w:ascii="Barlow Semi Condensed" w:cs="Barlow Semi Condensed" w:eastAsia="Barlow Semi Condensed" w:hAnsi="Barlow Semi Condensed"/>
          <w:b/>
          <w:bCs/>
          <w:sz w:val="24"/>
          <w:szCs w:val="24"/>
        </w:rPr>
        <w:t xml:space="preserve">646.</w:t>
      </w:r>
      <w:r>
        <w:rPr>
          <w:rFonts w:ascii="Barlow Semi Condensed" w:cs="Barlow Semi Condensed" w:eastAsia="Barlow Semi Condensed" w:hAnsi="Barlow Semi Condensed"/>
          <w:sz w:val="24"/>
          <w:szCs w:val="24"/>
        </w:rPr>
        <w:t xml:space="preserve"> Spazio70, la vicenda nei verbali della Commissione Stragi — https://spazio70.com/anni-70/brigate-rosse/via-gradoli-lassurda-vicenda-della-seduta-spiritica-nei-verbali-della-commissione-stragi/ (https://spazio70.com/anni-70/brigate-rosse/via-gradoli-lassurda-vicenda-della-seduta-spiritica-nei-verbali-della-commissione-stragi/)</w:t>
      </w:r>
    </w:p>
    <w:p>
      <w:pPr>
        <w:spacing w:after="120" w:line="276"/>
        <w:jc w:val="both"/>
      </w:pPr>
      <w:r>
        <w:rPr>
          <w:rFonts w:ascii="Barlow Semi Condensed" w:cs="Barlow Semi Condensed" w:eastAsia="Barlow Semi Condensed" w:hAnsi="Barlow Semi Condensed"/>
          <w:b/>
          <w:bCs/>
          <w:sz w:val="24"/>
          <w:szCs w:val="24"/>
        </w:rPr>
        <w:t xml:space="preserve">647.</w:t>
      </w:r>
      <w:r>
        <w:rPr>
          <w:rFonts w:ascii="Barlow Semi Condensed" w:cs="Barlow Semi Condensed" w:eastAsia="Barlow Semi Condensed" w:hAnsi="Barlow Semi Condensed"/>
          <w:sz w:val="24"/>
          <w:szCs w:val="24"/>
        </w:rPr>
        <w:t xml:space="preserve"> Passaggi Lenti — https://www.passaggilenti.com/seduta-spiritica-sul-caso-moro-via-gradoli/ (https://www.passaggilenti.com/seduta-spiritica-sul-caso-moro-via-gradoli/)</w:t>
      </w:r>
    </w:p>
    <w:p>
      <w:pPr>
        <w:pStyle w:val="Heading3"/>
        <w:spacing w:after="80" w:before="160"/>
      </w:pPr>
      <w:r>
        <w:rPr>
          <w:rFonts w:ascii="Barlow Semi Condensed" w:cs="Barlow Semi Condensed" w:eastAsia="Barlow Semi Condensed" w:hAnsi="Barlow Semi Condensed"/>
          <w:sz w:val="24"/>
          <w:szCs w:val="24"/>
        </w:rPr>
        <w:t xml:space="preserve">Libro tredicesimo · III — Le schede delle entità</w:t>
      </w:r>
    </w:p>
    <w:p>
      <w:pPr>
        <w:spacing w:after="120" w:line="276"/>
        <w:jc w:val="both"/>
      </w:pPr>
      <w:r>
        <w:rPr>
          <w:rFonts w:ascii="Barlow Semi Condensed" w:cs="Barlow Semi Condensed" w:eastAsia="Barlow Semi Condensed" w:hAnsi="Barlow Semi Condensed"/>
          <w:b/>
          <w:bCs/>
          <w:sz w:val="24"/>
          <w:szCs w:val="24"/>
        </w:rPr>
        <w:t xml:space="preserve">648.</w:t>
      </w:r>
      <w:r>
        <w:rPr>
          <w:rFonts w:ascii="Barlow Semi Condensed" w:cs="Barlow Semi Condensed" w:eastAsia="Barlow Semi Condensed" w:hAnsi="Barlow Semi Condensed"/>
          <w:sz w:val="24"/>
          <w:szCs w:val="24"/>
        </w:rPr>
        <w:t xml:space="preserve"> Il Sussidiario, scheda Ferracuti — https://www.ilsussidiario.net/news/chi-e-franco-ferracuti-criminologo-consulente-ministero-dellinterno-nel-caso-aldo-moro/2439964/ (https://www.ilsussidiario.net/news/chi-e-franco-ferracuti-criminologo-consulente-ministero-dellinterno-nel-caso-aldo-moro/2439964/)</w:t>
      </w:r>
    </w:p>
    <w:p>
      <w:pPr>
        <w:spacing w:after="120" w:line="276"/>
        <w:jc w:val="both"/>
      </w:pPr>
      <w:r>
        <w:rPr>
          <w:rFonts w:ascii="Barlow Semi Condensed" w:cs="Barlow Semi Condensed" w:eastAsia="Barlow Semi Condensed" w:hAnsi="Barlow Semi Condensed"/>
          <w:b/>
          <w:bCs/>
          <w:sz w:val="24"/>
          <w:szCs w:val="24"/>
        </w:rPr>
        <w:t xml:space="preserve">649.</w:t>
      </w:r>
      <w:r>
        <w:rPr>
          <w:rFonts w:ascii="Barlow Semi Condensed" w:cs="Barlow Semi Condensed" w:eastAsia="Barlow Semi Condensed" w:hAnsi="Barlow Semi Condensed"/>
          <w:sz w:val="24"/>
          <w:szCs w:val="24"/>
        </w:rPr>
        <w:t xml:space="preserve"> Commissione Stragi, steno 63 — https://www.parlamento.it/parlam/bicam/terror/stenografici/steno63.htm (https://www.parlamento.it/parlam/bicam/terror/stenografici/steno63.htm)</w:t>
      </w:r>
    </w:p>
    <w:p>
      <w:pPr>
        <w:spacing w:after="120" w:line="276"/>
        <w:jc w:val="both"/>
      </w:pPr>
      <w:r>
        <w:rPr>
          <w:rFonts w:ascii="Barlow Semi Condensed" w:cs="Barlow Semi Condensed" w:eastAsia="Barlow Semi Condensed" w:hAnsi="Barlow Semi Condensed"/>
          <w:b/>
          <w:bCs/>
          <w:sz w:val="24"/>
          <w:szCs w:val="24"/>
        </w:rPr>
        <w:t xml:space="preserve">650.</w:t>
      </w:r>
      <w:r>
        <w:rPr>
          <w:rFonts w:ascii="Barlow Semi Condensed" w:cs="Barlow Semi Condensed" w:eastAsia="Barlow Semi Condensed" w:hAnsi="Barlow Semi Condensed"/>
          <w:sz w:val="24"/>
          <w:szCs w:val="24"/>
        </w:rPr>
        <w:t xml:space="preserve"> Panorama, «il nodo del 18 aprile» — https://www.panorama.it/sequestro-moro-il-nodo-del-18-aprile-la-storia-e-le-foto (https://www.panorama.it/sequestro-moro-il-nodo-del-18-aprile-la-storia-e-le-foto)</w:t>
      </w:r>
    </w:p>
    <w:p>
      <w:pPr>
        <w:spacing w:after="120" w:line="276"/>
        <w:jc w:val="both"/>
      </w:pPr>
      <w:r>
        <w:rPr>
          <w:rFonts w:ascii="Barlow Semi Condensed" w:cs="Barlow Semi Condensed" w:eastAsia="Barlow Semi Condensed" w:hAnsi="Barlow Semi Condensed"/>
          <w:b/>
          <w:bCs/>
          <w:sz w:val="24"/>
          <w:szCs w:val="24"/>
        </w:rPr>
        <w:t xml:space="preserve">651.</w:t>
      </w:r>
      <w:r>
        <w:rPr>
          <w:rFonts w:ascii="Barlow Semi Condensed" w:cs="Barlow Semi Condensed" w:eastAsia="Barlow Semi Condensed" w:hAnsi="Barlow Semi Condensed"/>
          <w:sz w:val="24"/>
          <w:szCs w:val="24"/>
        </w:rPr>
        <w:t xml:space="preserve"> DIRE — https://www.dire.it/23-06-2021/647553-strage-di-bologna-ricostruiti-i-legami-tra-il-covo-di-via-gradoli-e-i-servizi/ (https://www.dire.it/23-06-2021/647553-strage-di-bologna-ricostruiti-i-legami-tra-il-covo-di-via-gradoli-e-i-servizi/)</w:t>
      </w:r>
    </w:p>
    <w:p>
      <w:pPr>
        <w:spacing w:after="120" w:line="276"/>
        <w:jc w:val="both"/>
      </w:pPr>
      <w:r>
        <w:rPr>
          <w:rFonts w:ascii="Barlow Semi Condensed" w:cs="Barlow Semi Condensed" w:eastAsia="Barlow Semi Condensed" w:hAnsi="Barlow Semi Condensed"/>
          <w:b/>
          <w:bCs/>
          <w:sz w:val="24"/>
          <w:szCs w:val="24"/>
        </w:rPr>
        <w:t xml:space="preserve">652.</w:t>
      </w:r>
      <w:r>
        <w:rPr>
          <w:rFonts w:ascii="Barlow Semi Condensed" w:cs="Barlow Semi Condensed" w:eastAsia="Barlow Semi Condensed" w:hAnsi="Barlow Semi Condensed"/>
          <w:sz w:val="24"/>
          <w:szCs w:val="24"/>
        </w:rPr>
        <w:t xml:space="preserve"> il Resto del Carlino — https://www.ilrestodelcarlino.it/bologna/cronaca/strage-il-covo-di-via-gradoli-e-i-legami-con-i-servizi-segreti-95be7858 (https://www.ilrestodelcarlino.it/bologna/cronaca/strage-il-covo-di-via-gradoli-e-i-legami-con-i-servizi-segreti-95be7858)</w:t>
      </w:r>
    </w:p>
    <w:p>
      <w:pPr>
        <w:spacing w:after="120" w:line="276"/>
        <w:jc w:val="both"/>
      </w:pPr>
      <w:r>
        <w:rPr>
          <w:rFonts w:ascii="Barlow Semi Condensed" w:cs="Barlow Semi Condensed" w:eastAsia="Barlow Semi Condensed" w:hAnsi="Barlow Semi Condensed"/>
          <w:b/>
          <w:bCs/>
          <w:sz w:val="24"/>
          <w:szCs w:val="24"/>
        </w:rPr>
        <w:t xml:space="preserve">653.</w:t>
      </w:r>
      <w:r>
        <w:rPr>
          <w:rFonts w:ascii="Barlow Semi Condensed" w:cs="Barlow Semi Condensed" w:eastAsia="Barlow Semi Condensed" w:hAnsi="Barlow Semi Condensed"/>
          <w:sz w:val="24"/>
          <w:szCs w:val="24"/>
        </w:rPr>
        <w:t xml:space="preserve"> Antimafia Duemila — https://www.antimafiaduemila.com/home/mafie-news/306-giustizia/84509-strage-bologna-in-aula-i-legami-tra-il-covo-di-via-gradoli-e-i-servizi.html (https://www.antimafiaduemila.com/home/mafie-news/306-giustizia/84509-strage-bologna-in-aula-i-legami-tra-il-covo-di-via-gradoli-e-i-servizi.html)</w:t>
      </w:r>
    </w:p>
    <w:p>
      <w:pPr>
        <w:spacing w:after="120" w:line="276"/>
        <w:jc w:val="both"/>
      </w:pPr>
      <w:r>
        <w:rPr>
          <w:rFonts w:ascii="Barlow Semi Condensed" w:cs="Barlow Semi Condensed" w:eastAsia="Barlow Semi Condensed" w:hAnsi="Barlow Semi Condensed"/>
          <w:b/>
          <w:bCs/>
          <w:sz w:val="24"/>
          <w:szCs w:val="24"/>
        </w:rPr>
        <w:t xml:space="preserve">654.</w:t>
      </w:r>
      <w:r>
        <w:rPr>
          <w:rFonts w:ascii="Barlow Semi Condensed" w:cs="Barlow Semi Condensed" w:eastAsia="Barlow Semi Condensed" w:hAnsi="Barlow Semi Condensed"/>
          <w:sz w:val="24"/>
          <w:szCs w:val="24"/>
        </w:rPr>
        <w:t xml:space="preserve"> Faranda, 2021 — https://incronaca.unibo.it/archivio/2021/07/07/adriana-faranda-covi-via-gradoli-del-sisde-non-sapevamo (https://incronaca.unibo.it/archivio/2021/07/07/adriana-faranda-covi-via-gradoli-del-sisde-non-sapevamo)</w:t>
      </w:r>
    </w:p>
    <w:p>
      <w:pPr>
        <w:spacing w:after="120" w:line="276"/>
        <w:jc w:val="both"/>
      </w:pPr>
      <w:r>
        <w:rPr>
          <w:rFonts w:ascii="Barlow Semi Condensed" w:cs="Barlow Semi Condensed" w:eastAsia="Barlow Semi Condensed" w:hAnsi="Barlow Semi Condensed"/>
          <w:b/>
          <w:bCs/>
          <w:sz w:val="24"/>
          <w:szCs w:val="24"/>
        </w:rPr>
        <w:t xml:space="preserve">655.</w:t>
      </w:r>
      <w:r>
        <w:rPr>
          <w:rFonts w:ascii="Barlow Semi Condensed" w:cs="Barlow Semi Condensed" w:eastAsia="Barlow Semi Condensed" w:hAnsi="Barlow Semi Condensed"/>
          <w:sz w:val="24"/>
          <w:szCs w:val="24"/>
        </w:rPr>
        <w:t xml:space="preserve"> Wikipedia, Cesare Curioni — https://it.wikipedia.org/wiki/Cesare_Curioni (https://it.wikipedia.org/wiki/Cesare_Curioni)</w:t>
      </w:r>
    </w:p>
    <w:p>
      <w:pPr>
        <w:spacing w:after="120" w:line="276"/>
        <w:jc w:val="both"/>
      </w:pPr>
      <w:r>
        <w:rPr>
          <w:rFonts w:ascii="Barlow Semi Condensed" w:cs="Barlow Semi Condensed" w:eastAsia="Barlow Semi Condensed" w:hAnsi="Barlow Semi Condensed"/>
          <w:b/>
          <w:bCs/>
          <w:sz w:val="24"/>
          <w:szCs w:val="24"/>
        </w:rPr>
        <w:t xml:space="preserve">656.</w:t>
      </w:r>
      <w:r>
        <w:rPr>
          <w:rFonts w:ascii="Barlow Semi Condensed" w:cs="Barlow Semi Condensed" w:eastAsia="Barlow Semi Condensed" w:hAnsi="Barlow Semi Condensed"/>
          <w:sz w:val="24"/>
          <w:szCs w:val="24"/>
        </w:rPr>
        <w:t xml:space="preserve"> Avvenire, «l'ultimo tentativo del Papa» — https://www.avvenire.it/attualita/luccisione-di-aldo-moro-lultimo-tentativo-del-papa-di-salvarlo_33517 (https://www.avvenire.it/attualita/luccisione-di-aldo-moro-lultimo-tentativo-del-papa-di-salvarlo_33517)</w:t>
      </w:r>
    </w:p>
    <w:p>
      <w:pPr>
        <w:spacing w:after="120" w:line="276"/>
        <w:jc w:val="both"/>
      </w:pPr>
      <w:r>
        <w:rPr>
          <w:rFonts w:ascii="Barlow Semi Condensed" w:cs="Barlow Semi Condensed" w:eastAsia="Barlow Semi Condensed" w:hAnsi="Barlow Semi Condensed"/>
          <w:b/>
          <w:bCs/>
          <w:sz w:val="24"/>
          <w:szCs w:val="24"/>
        </w:rPr>
        <w:t xml:space="preserve">657.</w:t>
      </w:r>
      <w:r>
        <w:rPr>
          <w:rFonts w:ascii="Barlow Semi Condensed" w:cs="Barlow Semi Condensed" w:eastAsia="Barlow Semi Condensed" w:hAnsi="Barlow Semi Condensed"/>
          <w:sz w:val="24"/>
          <w:szCs w:val="24"/>
        </w:rPr>
        <w:t xml:space="preserve"> Filodiritto — https://www.filodiritto.com/aldo-moro-e-il-riscatto-della-santa-sede (https://www.filodiritto.com/aldo-moro-e-il-riscatto-della-santa-sede)</w:t>
      </w:r>
    </w:p>
    <w:p>
      <w:pPr>
        <w:spacing w:after="120" w:line="276"/>
        <w:jc w:val="both"/>
      </w:pPr>
      <w:r>
        <w:rPr>
          <w:rFonts w:ascii="Barlow Semi Condensed" w:cs="Barlow Semi Condensed" w:eastAsia="Barlow Semi Condensed" w:hAnsi="Barlow Semi Condensed"/>
          <w:b/>
          <w:bCs/>
          <w:sz w:val="24"/>
          <w:szCs w:val="24"/>
        </w:rPr>
        <w:t xml:space="preserve">658.</w:t>
      </w:r>
      <w:r>
        <w:rPr>
          <w:rFonts w:ascii="Barlow Semi Condensed" w:cs="Barlow Semi Condensed" w:eastAsia="Barlow Semi Condensed" w:hAnsi="Barlow Semi Condensed"/>
          <w:sz w:val="24"/>
          <w:szCs w:val="24"/>
        </w:rPr>
        <w:t xml:space="preserve"> ANSA — https://www.ansa.it/sito/notizie/speciali/2018/03/15/aldo-moro-paolo-vi-e-il-mistero-dei-10-miliardi-di-lire-per-il-riscatto_159ad438-a8df-474d-a762-cbd416e06064.html (https://www.ansa.it/sito/notizie/speciali/2018/03/15/aldo-moro-paolo-vi-e-il-mistero-dei-10-miliardi-di-lire-per-il-riscatto_159ad438-a8df-474d-a762-cbd416e06064.html)</w:t>
      </w:r>
    </w:p>
    <w:p>
      <w:pPr>
        <w:spacing w:after="120" w:line="276"/>
        <w:jc w:val="both"/>
      </w:pPr>
      <w:r>
        <w:rPr>
          <w:rFonts w:ascii="Barlow Semi Condensed" w:cs="Barlow Semi Condensed" w:eastAsia="Barlow Semi Condensed" w:hAnsi="Barlow Semi Condensed"/>
          <w:b/>
          <w:bCs/>
          <w:sz w:val="24"/>
          <w:szCs w:val="24"/>
        </w:rPr>
        <w:t xml:space="preserve">659.</w:t>
      </w:r>
      <w:r>
        <w:rPr>
          <w:rFonts w:ascii="Barlow Semi Condensed" w:cs="Barlow Semi Condensed" w:eastAsia="Barlow Semi Condensed" w:hAnsi="Barlow Semi Condensed"/>
          <w:sz w:val="24"/>
          <w:szCs w:val="24"/>
        </w:rPr>
        <w:t xml:space="preserve"> testo ufficiale, vatican.va — https://www.vatican.va/content/paul-vi/it/letters/1978/documents/hf_p-vi_let_19780422_brigate-rosse.html (https://www.vatican.va/content/paul-vi/it/letters/1978/documents/hf_p-vi_let_19780422_brigate-rosse.html)</w:t>
      </w:r>
    </w:p>
    <w:p>
      <w:pPr>
        <w:spacing w:after="120" w:line="276"/>
        <w:jc w:val="both"/>
      </w:pPr>
      <w:r>
        <w:rPr>
          <w:rFonts w:ascii="Barlow Semi Condensed" w:cs="Barlow Semi Condensed" w:eastAsia="Barlow Semi Condensed" w:hAnsi="Barlow Semi Condensed"/>
          <w:b/>
          <w:bCs/>
          <w:sz w:val="24"/>
          <w:szCs w:val="24"/>
        </w:rPr>
        <w:t xml:space="preserve">660.</w:t>
      </w:r>
      <w:r>
        <w:rPr>
          <w:rFonts w:ascii="Barlow Semi Condensed" w:cs="Barlow Semi Condensed" w:eastAsia="Barlow Semi Condensed" w:hAnsi="Barlow Semi Condensed"/>
          <w:sz w:val="24"/>
          <w:szCs w:val="24"/>
        </w:rPr>
        <w:t xml:space="preserve"> Vatican News — https://www.vaticannews.va/it/papa/news/2018-03/paolo-vi-aldo-moro-.html (https://www.vaticannews.va/it/papa/news/2018-03/paolo-vi-aldo-moro-.html)</w:t>
      </w:r>
    </w:p>
    <w:p>
      <w:pPr>
        <w:spacing w:after="120" w:line="276"/>
        <w:jc w:val="both"/>
      </w:pPr>
      <w:r>
        <w:rPr>
          <w:rFonts w:ascii="Barlow Semi Condensed" w:cs="Barlow Semi Condensed" w:eastAsia="Barlow Semi Condensed" w:hAnsi="Barlow Semi Condensed"/>
          <w:b/>
          <w:bCs/>
          <w:sz w:val="24"/>
          <w:szCs w:val="24"/>
        </w:rPr>
        <w:t xml:space="preserve">661.</w:t>
      </w:r>
      <w:r>
        <w:rPr>
          <w:rFonts w:ascii="Barlow Semi Condensed" w:cs="Barlow Semi Condensed" w:eastAsia="Barlow Semi Condensed" w:hAnsi="Barlow Semi Condensed"/>
          <w:sz w:val="24"/>
          <w:szCs w:val="24"/>
        </w:rPr>
        <w:t xml:space="preserve"> ANSA, «la correzione» — https://www.ansa.it/sito/notizie/cronaca/2018/04/14/caso-moro-la-lettera-del-papa-alle-br-e-la-correzione-del-don-_01684126-bbff-40a7-84d6-ed37a900374d.html (https://www.ansa.it/sito/notizie/cronaca/2018/04/14/caso-moro-la-lettera-del-papa-alle-br-e-la-correzione-del-don-_01684126-bbff-40a7-84d6-ed37a900374d.html)</w:t>
      </w:r>
    </w:p>
    <w:p>
      <w:pPr>
        <w:spacing w:after="120" w:line="276"/>
        <w:jc w:val="both"/>
      </w:pPr>
      <w:r>
        <w:rPr>
          <w:rFonts w:ascii="Barlow Semi Condensed" w:cs="Barlow Semi Condensed" w:eastAsia="Barlow Semi Condensed" w:hAnsi="Barlow Semi Condensed"/>
          <w:b/>
          <w:bCs/>
          <w:sz w:val="24"/>
          <w:szCs w:val="24"/>
        </w:rPr>
        <w:t xml:space="preserve">662.</w:t>
      </w:r>
      <w:r>
        <w:rPr>
          <w:rFonts w:ascii="Barlow Semi Condensed" w:cs="Barlow Semi Condensed" w:eastAsia="Barlow Semi Condensed" w:hAnsi="Barlow Semi Condensed"/>
          <w:sz w:val="24"/>
          <w:szCs w:val="24"/>
        </w:rPr>
        <w:t xml:space="preserve"> ACI Stampa — https://www.acistampa.com/story/paolo-vi-aldo-moro-e-la-lettera-alle-brigate-rosse-9198 (https://www.acistampa.com/story/paolo-vi-aldo-moro-e-la-lettera-alle-brigate-rosse-9198)</w:t>
      </w:r>
    </w:p>
    <w:p>
      <w:pPr>
        <w:spacing w:after="120" w:line="276"/>
        <w:jc w:val="both"/>
      </w:pPr>
      <w:r>
        <w:rPr>
          <w:rFonts w:ascii="Barlow Semi Condensed" w:cs="Barlow Semi Condensed" w:eastAsia="Barlow Semi Condensed" w:hAnsi="Barlow Semi Condensed"/>
          <w:b/>
          <w:bCs/>
          <w:sz w:val="24"/>
          <w:szCs w:val="24"/>
        </w:rPr>
        <w:t xml:space="preserve">663.</w:t>
      </w:r>
      <w:r>
        <w:rPr>
          <w:rFonts w:ascii="Barlow Semi Condensed" w:cs="Barlow Semi Condensed" w:eastAsia="Barlow Semi Condensed" w:hAnsi="Barlow Semi Condensed"/>
          <w:sz w:val="24"/>
          <w:szCs w:val="24"/>
        </w:rPr>
        <w:t xml:space="preserve"> NARA, CFPF 1973-1979 — https://www.archives.gov/research/foreign-policy/state-dept/rg-59-central-files/1973-1979 (https://www.archives.gov/research/foreign-policy/state-dept/rg-59-central-files/1973-1979)</w:t>
      </w:r>
    </w:p>
    <w:p>
      <w:pPr>
        <w:spacing w:after="120" w:line="276"/>
        <w:jc w:val="both"/>
      </w:pPr>
      <w:r>
        <w:rPr>
          <w:rFonts w:ascii="Barlow Semi Condensed" w:cs="Barlow Semi Condensed" w:eastAsia="Barlow Semi Condensed" w:hAnsi="Barlow Semi Condensed"/>
          <w:b/>
          <w:bCs/>
          <w:sz w:val="24"/>
          <w:szCs w:val="24"/>
        </w:rPr>
        <w:t xml:space="preserve">664.</w:t>
      </w:r>
      <w:r>
        <w:rPr>
          <w:rFonts w:ascii="Barlow Semi Condensed" w:cs="Barlow Semi Condensed" w:eastAsia="Barlow Semi Condensed" w:hAnsi="Barlow Semi Condensed"/>
          <w:sz w:val="24"/>
          <w:szCs w:val="24"/>
        </w:rPr>
        <w:t xml:space="preserve"> serie AAD — https://aad.archives.gov/aad/series-description.jsp?s=4073 (https://aad.archives.gov/aad/series-description.jsp?s=4073)</w:t>
      </w:r>
    </w:p>
    <w:p>
      <w:pPr>
        <w:spacing w:after="120" w:line="276"/>
        <w:jc w:val="both"/>
      </w:pPr>
      <w:r>
        <w:rPr>
          <w:rFonts w:ascii="Barlow Semi Condensed" w:cs="Barlow Semi Condensed" w:eastAsia="Barlow Semi Condensed" w:hAnsi="Barlow Semi Condensed"/>
          <w:b/>
          <w:bCs/>
          <w:sz w:val="24"/>
          <w:szCs w:val="24"/>
        </w:rPr>
        <w:t xml:space="preserve">665.</w:t>
      </w:r>
      <w:r>
        <w:rPr>
          <w:rFonts w:ascii="Barlow Semi Condensed" w:cs="Barlow Semi Condensed" w:eastAsia="Barlow Semi Condensed" w:hAnsi="Barlow Semi Condensed"/>
          <w:sz w:val="24"/>
          <w:szCs w:val="24"/>
        </w:rPr>
        <w:t xml:space="preserve"> AAD, ricerca dedicata — https://aad.archives.gov/aad/fielded-search.jsp?dt=2695&amp;tf=X (https://aad.archives.gov/aad/fielded-search.jsp?dt=2695&amp;tf=X)</w:t>
      </w:r>
    </w:p>
    <w:p>
      <w:pPr>
        <w:spacing w:after="120" w:line="276"/>
        <w:jc w:val="both"/>
      </w:pPr>
      <w:r>
        <w:rPr>
          <w:rFonts w:ascii="Barlow Semi Condensed" w:cs="Barlow Semi Condensed" w:eastAsia="Barlow Semi Condensed" w:hAnsi="Barlow Semi Condensed"/>
          <w:b/>
          <w:bCs/>
          <w:sz w:val="24"/>
          <w:szCs w:val="24"/>
        </w:rPr>
        <w:t xml:space="preserve">666.</w:t>
      </w:r>
      <w:r>
        <w:rPr>
          <w:rFonts w:ascii="Barlow Semi Condensed" w:cs="Barlow Semi Condensed" w:eastAsia="Barlow Semi Condensed" w:hAnsi="Barlow Semi Condensed"/>
          <w:sz w:val="24"/>
          <w:szCs w:val="24"/>
        </w:rPr>
        <w:t xml:space="preserve"> foia.state.gov — https://foia.state.gov/FOIALIBRARY/FOIALIB2.aspx (https://foia.state.gov/FOIALIBRARY/FOIALIB2.aspx)</w:t>
      </w:r>
    </w:p>
    <w:p>
      <w:pPr>
        <w:spacing w:after="120" w:line="276"/>
        <w:jc w:val="both"/>
      </w:pPr>
      <w:r>
        <w:rPr>
          <w:rFonts w:ascii="Barlow Semi Condensed" w:cs="Barlow Semi Condensed" w:eastAsia="Barlow Semi Condensed" w:hAnsi="Barlow Semi Condensed"/>
          <w:b/>
          <w:bCs/>
          <w:sz w:val="24"/>
          <w:szCs w:val="24"/>
        </w:rPr>
        <w:t xml:space="preserve">667.</w:t>
      </w:r>
      <w:r>
        <w:rPr>
          <w:rFonts w:ascii="Barlow Semi Condensed" w:cs="Barlow Semi Condensed" w:eastAsia="Barlow Semi Condensed" w:hAnsi="Barlow Semi Condensed"/>
          <w:sz w:val="24"/>
          <w:szCs w:val="24"/>
        </w:rPr>
        <w:t xml:space="preserve"> attualita.it — https://www.attualita.it/notizie/politica/nuove-verita-sul-caso-moro-35911/ (https://www.attualita.it/notizie/politica/nuove-verita-sul-caso-moro-35911/)</w:t>
      </w:r>
    </w:p>
    <w:p>
      <w:pPr>
        <w:spacing w:after="120" w:line="276"/>
        <w:jc w:val="both"/>
      </w:pPr>
      <w:r>
        <w:rPr>
          <w:rFonts w:ascii="Barlow Semi Condensed" w:cs="Barlow Semi Condensed" w:eastAsia="Barlow Semi Condensed" w:hAnsi="Barlow Semi Condensed"/>
          <w:b/>
          <w:bCs/>
          <w:sz w:val="24"/>
          <w:szCs w:val="24"/>
        </w:rPr>
        <w:t xml:space="preserve">668.</w:t>
      </w:r>
      <w:r>
        <w:rPr>
          <w:rFonts w:ascii="Barlow Semi Condensed" w:cs="Barlow Semi Condensed" w:eastAsia="Barlow Semi Condensed" w:hAnsi="Barlow Semi Condensed"/>
          <w:sz w:val="24"/>
          <w:szCs w:val="24"/>
        </w:rPr>
        <w:t xml:space="preserve"> Wikipedia, Cronaca del sequestro Moro — https://it.wikipedia.org/wiki/Cronaca_del_sequestro_Moro (https://it.wikipedia.org/wiki/Cronaca_del_sequestro_Moro)</w:t>
      </w:r>
    </w:p>
    <w:p>
      <w:pPr>
        <w:spacing w:after="120" w:line="276"/>
        <w:jc w:val="both"/>
      </w:pPr>
      <w:r>
        <w:rPr>
          <w:rFonts w:ascii="Barlow Semi Condensed" w:cs="Barlow Semi Condensed" w:eastAsia="Barlow Semi Condensed" w:hAnsi="Barlow Semi Condensed"/>
          <w:b/>
          <w:bCs/>
          <w:sz w:val="24"/>
          <w:szCs w:val="24"/>
        </w:rPr>
        <w:t xml:space="preserve">669.</w:t>
      </w:r>
      <w:r>
        <w:rPr>
          <w:rFonts w:ascii="Barlow Semi Condensed" w:cs="Barlow Semi Condensed" w:eastAsia="Barlow Semi Condensed" w:hAnsi="Barlow Semi Condensed"/>
          <w:sz w:val="24"/>
          <w:szCs w:val="24"/>
        </w:rPr>
        <w:t xml:space="preserve"> Panorama — https://www.panorama.it/sequestro-moro-perche-le-prime-ricerche-fallirono (https://www.panorama.it/sequestro-moro-perche-le-prime-ricerche-fallirono)</w:t>
      </w:r>
    </w:p>
    <w:p>
      <w:pPr>
        <w:spacing w:after="120" w:line="276"/>
        <w:jc w:val="both"/>
      </w:pPr>
      <w:r>
        <w:rPr>
          <w:rFonts w:ascii="Barlow Semi Condensed" w:cs="Barlow Semi Condensed" w:eastAsia="Barlow Semi Condensed" w:hAnsi="Barlow Semi Condensed"/>
          <w:b/>
          <w:bCs/>
          <w:sz w:val="24"/>
          <w:szCs w:val="24"/>
        </w:rPr>
        <w:t xml:space="preserve">670.</w:t>
      </w:r>
      <w:r>
        <w:rPr>
          <w:rFonts w:ascii="Barlow Semi Condensed" w:cs="Barlow Semi Condensed" w:eastAsia="Barlow Semi Condensed" w:hAnsi="Barlow Semi Condensed"/>
          <w:sz w:val="24"/>
          <w:szCs w:val="24"/>
        </w:rPr>
        <w:t xml:space="preserve"> SEDICidiMARZO, «L'enigma di via Montalcini 8» — http://www.sedicidimarzo.org/2018/01/lenigma-di-via-montalcini-8.html (http://www.sedicidimarzo.org/2018/01/lenigma-di-via-montalcini-8.html)</w:t>
      </w:r>
    </w:p>
    <w:p>
      <w:pPr>
        <w:spacing w:after="120" w:line="276"/>
        <w:jc w:val="both"/>
      </w:pPr>
      <w:r>
        <w:rPr>
          <w:rFonts w:ascii="Barlow Semi Condensed" w:cs="Barlow Semi Condensed" w:eastAsia="Barlow Semi Condensed" w:hAnsi="Barlow Semi Condensed"/>
          <w:b/>
          <w:bCs/>
          <w:sz w:val="24"/>
          <w:szCs w:val="24"/>
        </w:rPr>
        <w:t xml:space="preserve">671.</w:t>
      </w:r>
      <w:r>
        <w:rPr>
          <w:rFonts w:ascii="Barlow Semi Condensed" w:cs="Barlow Semi Condensed" w:eastAsia="Barlow Semi Condensed" w:hAnsi="Barlow Semi Condensed"/>
          <w:sz w:val="24"/>
          <w:szCs w:val="24"/>
        </w:rPr>
        <w:t xml:space="preserve"> seconda parte — http://www.sedicidimarzo.org/2018/01/lenigma-di-via-montalcini-8-seconda.html (http://www.sedicidimarzo.org/2018/01/lenigma-di-via-montalcini-8-seconda.html)</w:t>
      </w:r>
    </w:p>
    <w:p>
      <w:pPr>
        <w:pStyle w:val="Heading3"/>
        <w:spacing w:after="80" w:before="160"/>
      </w:pPr>
      <w:r>
        <w:rPr>
          <w:rFonts w:ascii="Barlow Semi Condensed" w:cs="Barlow Semi Condensed" w:eastAsia="Barlow Semi Condensed" w:hAnsi="Barlow Semi Condensed"/>
          <w:sz w:val="24"/>
          <w:szCs w:val="24"/>
        </w:rPr>
        <w:t xml:space="preserve">Libro tredicesimo · IV — Il manuale (400 blocchi)</w:t>
      </w:r>
    </w:p>
    <w:p>
      <w:pPr>
        <w:spacing w:after="120" w:line="276"/>
        <w:jc w:val="both"/>
      </w:pPr>
      <w:r>
        <w:rPr>
          <w:rFonts w:ascii="Barlow Semi Condensed" w:cs="Barlow Semi Condensed" w:eastAsia="Barlow Semi Condensed" w:hAnsi="Barlow Semi Condensed"/>
          <w:i/>
          <w:iCs/>
          <w:sz w:val="24"/>
          <w:szCs w:val="24"/>
        </w:rPr>
        <w:t xml:space="preserve">Capitolo senza citazioni in forma d'indirizzo: le sue fonti sono richiamate per titolo e rango nei documenti del corpus (si vedano la bibliografia critica e l'apparato dei gradi).</w:t>
      </w:r>
    </w:p>
    <w:p>
      <w:pPr>
        <w:pStyle w:val="Heading3"/>
        <w:spacing w:after="80" w:before="160"/>
      </w:pPr>
      <w:r>
        <w:rPr>
          <w:rFonts w:ascii="Barlow Semi Condensed" w:cs="Barlow Semi Condensed" w:eastAsia="Barlow Semi Condensed" w:hAnsi="Barlow Semi Condensed"/>
          <w:sz w:val="24"/>
          <w:szCs w:val="24"/>
        </w:rPr>
        <w:t xml:space="preserve">Libro tredicesimo · V — L'agenda di ricerca (300 blocchi)</w:t>
      </w:r>
    </w:p>
    <w:p>
      <w:pPr>
        <w:spacing w:after="120" w:line="276"/>
        <w:jc w:val="both"/>
      </w:pPr>
      <w:r>
        <w:rPr>
          <w:rFonts w:ascii="Barlow Semi Condensed" w:cs="Barlow Semi Condensed" w:eastAsia="Barlow Semi Condensed" w:hAnsi="Barlow Semi Condensed"/>
          <w:b/>
          <w:bCs/>
          <w:sz w:val="24"/>
          <w:szCs w:val="24"/>
        </w:rPr>
        <w:t xml:space="preserve">672.</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acs.cultura.gov.it</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(citato in forma d'indirizzo, 2 volte)</w:t>
      </w:r>
    </w:p>
    <w:p>
      <w:pPr>
        <w:spacing w:after="120" w:line="276"/>
        <w:jc w:val="both"/>
      </w:pPr>
      <w:r>
        <w:rPr>
          <w:rFonts w:ascii="Barlow Semi Condensed" w:cs="Barlow Semi Condensed" w:eastAsia="Barlow Semi Condensed" w:hAnsi="Barlow Semi Condensed"/>
          <w:b/>
          <w:bCs/>
          <w:sz w:val="24"/>
          <w:szCs w:val="24"/>
        </w:rPr>
        <w:t xml:space="preserve">673.</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archivioflamigni.org</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(citato in forma d'indirizzo, 2 volte)</w:t>
      </w:r>
    </w:p>
    <w:p>
      <w:pPr>
        <w:spacing w:after="120" w:line="276"/>
        <w:jc w:val="both"/>
      </w:pPr>
      <w:r>
        <w:rPr>
          <w:rFonts w:ascii="Barlow Semi Condensed" w:cs="Barlow Semi Condensed" w:eastAsia="Barlow Semi Condensed" w:hAnsi="Barlow Semi Condensed"/>
          <w:b/>
          <w:bCs/>
          <w:sz w:val="24"/>
          <w:szCs w:val="24"/>
        </w:rPr>
        <w:t xml:space="preserve">674.</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archivio.camera.it</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(citato in forma d'indirizzo)</w:t>
      </w:r>
    </w:p>
    <w:p>
      <w:pPr>
        <w:spacing w:after="120" w:line="276"/>
        <w:jc w:val="both"/>
      </w:pPr>
      <w:r>
        <w:rPr>
          <w:rFonts w:ascii="Barlow Semi Condensed" w:cs="Barlow Semi Condensed" w:eastAsia="Barlow Semi Condensed" w:hAnsi="Barlow Semi Condensed"/>
          <w:b/>
          <w:bCs/>
          <w:sz w:val="24"/>
          <w:szCs w:val="24"/>
        </w:rPr>
        <w:t xml:space="preserve">675.</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inchieste.camera.it/moro</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(citato in forma d'indirizzo, 4 volte)</w:t>
      </w:r>
    </w:p>
    <w:p>
      <w:pPr>
        <w:spacing w:after="120" w:line="276"/>
        <w:jc w:val="both"/>
      </w:pPr>
      <w:r>
        <w:rPr>
          <w:rFonts w:ascii="Barlow Semi Condensed" w:cs="Barlow Semi Condensed" w:eastAsia="Barlow Semi Condensed" w:hAnsi="Barlow Semi Condensed"/>
          <w:b/>
          <w:bCs/>
          <w:sz w:val="24"/>
          <w:szCs w:val="24"/>
        </w:rPr>
        <w:t xml:space="preserve">676.</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archives.gov</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(citato in forma d'indirizzo)</w:t>
      </w:r>
    </w:p>
    <w:p>
      <w:pPr>
        <w:spacing w:after="120" w:line="276"/>
        <w:jc w:val="both"/>
      </w:pPr>
      <w:r>
        <w:rPr>
          <w:rFonts w:ascii="Barlow Semi Condensed" w:cs="Barlow Semi Condensed" w:eastAsia="Barlow Semi Condensed" w:hAnsi="Barlow Semi Condensed"/>
          <w:b/>
          <w:bCs/>
          <w:sz w:val="24"/>
          <w:szCs w:val="24"/>
        </w:rPr>
        <w:t xml:space="preserve">677.</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aad.archives.gov</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(citato in forma d'indirizzo, 3 volte)</w:t>
      </w:r>
    </w:p>
    <w:p>
      <w:pPr>
        <w:spacing w:after="120" w:line="276"/>
        <w:jc w:val="both"/>
      </w:pPr>
      <w:r>
        <w:rPr>
          <w:rFonts w:ascii="Barlow Semi Condensed" w:cs="Barlow Semi Condensed" w:eastAsia="Barlow Semi Condensed" w:hAnsi="Barlow Semi Condensed"/>
          <w:b/>
          <w:bCs/>
          <w:sz w:val="24"/>
          <w:szCs w:val="24"/>
        </w:rPr>
        <w:t xml:space="preserve">678.</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foia.state.gov</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(citato in forma d'indirizzo, 5 volte)</w:t>
      </w:r>
    </w:p>
    <w:p>
      <w:pPr>
        <w:spacing w:after="120" w:line="276"/>
        <w:jc w:val="both"/>
      </w:pPr>
      <w:r>
        <w:rPr>
          <w:rFonts w:ascii="Barlow Semi Condensed" w:cs="Barlow Semi Condensed" w:eastAsia="Barlow Semi Condensed" w:hAnsi="Barlow Semi Condensed"/>
          <w:b/>
          <w:bCs/>
          <w:sz w:val="24"/>
          <w:szCs w:val="24"/>
        </w:rPr>
        <w:t xml:space="preserve">679.</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cia.gov/readingroom</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(citato in forma d'indirizzo, 3 volte)</w:t>
      </w:r>
    </w:p>
    <w:p>
      <w:pPr>
        <w:spacing w:after="120" w:line="276"/>
        <w:jc w:val="both"/>
      </w:pPr>
      <w:r>
        <w:rPr>
          <w:rFonts w:ascii="Barlow Semi Condensed" w:cs="Barlow Semi Condensed" w:eastAsia="Barlow Semi Condensed" w:hAnsi="Barlow Semi Condensed"/>
          <w:b/>
          <w:bCs/>
          <w:sz w:val="24"/>
          <w:szCs w:val="24"/>
        </w:rPr>
        <w:t xml:space="preserve">680.</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jimmycarterlibrary.gov</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(citato in forma d'indirizzo, 3 volte)</w:t>
      </w:r>
    </w:p>
    <w:p>
      <w:pPr>
        <w:spacing w:after="120" w:line="276"/>
        <w:jc w:val="both"/>
      </w:pPr>
      <w:r>
        <w:rPr>
          <w:rFonts w:ascii="Barlow Semi Condensed" w:cs="Barlow Semi Condensed" w:eastAsia="Barlow Semi Condensed" w:hAnsi="Barlow Semi Condensed"/>
          <w:b/>
          <w:bCs/>
          <w:sz w:val="24"/>
          <w:szCs w:val="24"/>
        </w:rPr>
        <w:t xml:space="preserve">681.</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search.acs.beniculturali.it</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(citato in forma d'indirizzo)</w:t>
      </w:r>
    </w:p>
    <w:p>
      <w:pPr>
        <w:pStyle w:val="Heading3"/>
        <w:spacing w:after="80" w:before="160"/>
      </w:pPr>
      <w:r>
        <w:rPr>
          <w:rFonts w:ascii="Barlow Semi Condensed" w:cs="Barlow Semi Condensed" w:eastAsia="Barlow Semi Condensed" w:hAnsi="Barlow Semi Condensed"/>
          <w:sz w:val="24"/>
          <w:szCs w:val="24"/>
        </w:rPr>
        <w:t xml:space="preserve">Libro tredicesimo · VI — I nove cantieri (1.000 blocchi)</w:t>
      </w:r>
    </w:p>
    <w:p>
      <w:pPr>
        <w:spacing w:after="120" w:line="276"/>
        <w:jc w:val="both"/>
      </w:pPr>
      <w:r>
        <w:rPr>
          <w:rFonts w:ascii="Barlow Semi Condensed" w:cs="Barlow Semi Condensed" w:eastAsia="Barlow Semi Condensed" w:hAnsi="Barlow Semi Condensed"/>
          <w:b/>
          <w:bCs/>
          <w:sz w:val="24"/>
          <w:szCs w:val="24"/>
        </w:rPr>
        <w:t xml:space="preserve">682.</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inchieste.camera.it</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(citato in forma d'indirizzo, 2 volte)</w:t>
      </w:r>
    </w:p>
    <w:p>
      <w:pPr>
        <w:pStyle w:val="Heading3"/>
        <w:spacing w:after="80" w:before="160"/>
      </w:pPr>
      <w:r>
        <w:rPr>
          <w:rFonts w:ascii="Barlow Semi Condensed" w:cs="Barlow Semi Condensed" w:eastAsia="Barlow Semi Condensed" w:hAnsi="Barlow Semi Condensed"/>
          <w:sz w:val="24"/>
          <w:szCs w:val="24"/>
        </w:rPr>
        <w:t xml:space="preserve">Libro tredicesimo · VII — Il codice e la sua trasmissione (4.999 blocchi)</w:t>
      </w:r>
    </w:p>
    <w:p>
      <w:pPr>
        <w:spacing w:after="120" w:line="276"/>
        <w:jc w:val="both"/>
      </w:pPr>
      <w:r>
        <w:rPr>
          <w:rFonts w:ascii="Barlow Semi Condensed" w:cs="Barlow Semi Condensed" w:eastAsia="Barlow Semi Condensed" w:hAnsi="Barlow Semi Condensed"/>
          <w:i/>
          <w:iCs/>
          <w:sz w:val="24"/>
          <w:szCs w:val="24"/>
        </w:rPr>
        <w:t xml:space="preserve">Gli indirizzi citati in questo capitolo compaiono tutti in capitoli precedenti: nessuna nota nuova.</w:t>
      </w:r>
    </w:p>
    <w:p>
      <w:pPr>
        <w:pStyle w:val="Heading3"/>
        <w:spacing w:after="80" w:before="160"/>
      </w:pPr>
      <w:r>
        <w:rPr>
          <w:rFonts w:ascii="Barlow Semi Condensed" w:cs="Barlow Semi Condensed" w:eastAsia="Barlow Semi Condensed" w:hAnsi="Barlow Semi Condensed"/>
          <w:sz w:val="24"/>
          <w:szCs w:val="24"/>
        </w:rPr>
        <w:t xml:space="preserve">Libro quattordicesimo — Il meridiano e la valle (1.000 blocchi)</w:t>
      </w:r>
    </w:p>
    <w:p>
      <w:pPr>
        <w:spacing w:after="120" w:line="276"/>
        <w:jc w:val="both"/>
      </w:pPr>
      <w:r>
        <w:rPr>
          <w:rFonts w:ascii="Barlow Semi Condensed" w:cs="Barlow Semi Condensed" w:eastAsia="Barlow Semi Condensed" w:hAnsi="Barlow Semi Condensed"/>
          <w:i/>
          <w:iCs/>
          <w:sz w:val="24"/>
          <w:szCs w:val="24"/>
        </w:rPr>
        <w:t xml:space="preserve">Capitolo senza citazioni in forma d'indirizzo: le sue fonti sono richiamate per titolo e rango nei documenti del corpus (si vedano la bibliografia critica e l'apparato dei gradi).</w:t>
      </w:r>
    </w:p>
    <w:p>
      <w:pPr>
        <w:pStyle w:val="Heading3"/>
        <w:spacing w:after="80" w:before="160"/>
      </w:pPr>
      <w:r>
        <w:rPr>
          <w:rFonts w:ascii="Barlow Semi Condensed" w:cs="Barlow Semi Condensed" w:eastAsia="Barlow Semi Condensed" w:hAnsi="Barlow Semi Condensed"/>
          <w:sz w:val="24"/>
          <w:szCs w:val="24"/>
        </w:rPr>
        <w:t xml:space="preserve">Appendice I — L'apparato dei gradi</w:t>
      </w:r>
    </w:p>
    <w:p>
      <w:pPr>
        <w:spacing w:after="120" w:line="276"/>
        <w:jc w:val="both"/>
      </w:pPr>
      <w:r>
        <w:rPr>
          <w:rFonts w:ascii="Barlow Semi Condensed" w:cs="Barlow Semi Condensed" w:eastAsia="Barlow Semi Condensed" w:hAnsi="Barlow Semi Condensed"/>
          <w:i/>
          <w:iCs/>
          <w:sz w:val="24"/>
          <w:szCs w:val="24"/>
        </w:rPr>
        <w:t xml:space="preserve">Capitolo senza citazioni in forma d'indirizzo: le sue fonti sono richiamate per titolo e rango nei documenti del corpus (si vedano la bibliografia critica e l'apparato dei gradi).</w:t>
      </w:r>
    </w:p>
    <w:p>
      <w:pPr>
        <w:pStyle w:val="Heading3"/>
        <w:spacing w:after="80" w:before="160"/>
      </w:pPr>
      <w:r>
        <w:rPr>
          <w:rFonts w:ascii="Barlow Semi Condensed" w:cs="Barlow Semi Condensed" w:eastAsia="Barlow Semi Condensed" w:hAnsi="Barlow Semi Condensed"/>
          <w:sz w:val="24"/>
          <w:szCs w:val="24"/>
        </w:rPr>
        <w:t xml:space="preserve">Appendice II — Il pastiche dichiarato</w:t>
      </w:r>
    </w:p>
    <w:p>
      <w:pPr>
        <w:spacing w:after="120" w:line="276"/>
        <w:jc w:val="both"/>
      </w:pPr>
      <w:r>
        <w:rPr>
          <w:rFonts w:ascii="Barlow Semi Condensed" w:cs="Barlow Semi Condensed" w:eastAsia="Barlow Semi Condensed" w:hAnsi="Barlow Semi Condensed"/>
          <w:i/>
          <w:iCs/>
          <w:sz w:val="24"/>
          <w:szCs w:val="24"/>
        </w:rPr>
        <w:t xml:space="preserve">Capitolo senza citazioni in forma d'indirizzo: le sue fonti sono richiamate per titolo e rango nei documenti del corpus (si vedano la bibliografia critica e l'apparato dei gradi).</w:t>
      </w:r>
    </w:p>
    <w:p>
      <w:pPr>
        <w:pStyle w:val="Heading3"/>
        <w:spacing w:after="80" w:before="160"/>
      </w:pPr>
      <w:r>
        <w:rPr>
          <w:rFonts w:ascii="Barlow Semi Condensed" w:cs="Barlow Semi Condensed" w:eastAsia="Barlow Semi Condensed" w:hAnsi="Barlow Semi Condensed"/>
          <w:sz w:val="24"/>
          <w:szCs w:val="24"/>
        </w:rPr>
        <w:t xml:space="preserve">Appendice III — Verifica di un elenco esterno</w:t>
      </w:r>
    </w:p>
    <w:p>
      <w:pPr>
        <w:spacing w:after="120" w:line="276"/>
        <w:jc w:val="both"/>
      </w:pPr>
      <w:r>
        <w:rPr>
          <w:rFonts w:ascii="Barlow Semi Condensed" w:cs="Barlow Semi Condensed" w:eastAsia="Barlow Semi Condensed" w:hAnsi="Barlow Semi Condensed"/>
          <w:b/>
          <w:bCs/>
          <w:sz w:val="24"/>
          <w:szCs w:val="24"/>
        </w:rPr>
        <w:t xml:space="preserve">683.</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it.wikisource.org</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(citato in forma d'indirizzo)</w:t>
      </w:r>
    </w:p>
    <w:p>
      <w:pPr>
        <w:spacing w:after="120" w:line="276"/>
        <w:jc w:val="both"/>
      </w:pPr>
      <w:r>
        <w:rPr>
          <w:rFonts w:ascii="Barlow Semi Condensed" w:cs="Barlow Semi Condensed" w:eastAsia="Barlow Semi Condensed" w:hAnsi="Barlow Semi Condensed"/>
          <w:b/>
          <w:bCs/>
          <w:sz w:val="24"/>
          <w:szCs w:val="24"/>
        </w:rPr>
        <w:t xml:space="preserve">684.</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archivioantimafia.org</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(citato in forma d'indirizzo)</w:t>
      </w:r>
    </w:p>
    <w:p>
      <w:pPr>
        <w:spacing w:after="120" w:line="276"/>
        <w:jc w:val="both"/>
      </w:pPr>
      <w:r>
        <w:rPr>
          <w:rFonts w:ascii="Barlow Semi Condensed" w:cs="Barlow Semi Condensed" w:eastAsia="Barlow Semi Condensed" w:hAnsi="Barlow Semi Condensed"/>
          <w:b/>
          <w:bCs/>
          <w:sz w:val="24"/>
          <w:szCs w:val="24"/>
        </w:rPr>
        <w:t xml:space="preserve">685.</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it.wikipedia.org</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(citato in forma d'indirizzo, 2 volte)</w:t>
      </w:r>
    </w:p>
    <w:p>
      <w:pPr>
        <w:pBdr>
          <w:bottom w:val="single" w:color="999999" w:sz="6" w:space="1"/>
        </w:pBdr>
        <w:spacing w:after="80"/>
      </w:pPr>
    </w:p>
    <w:p>
      <w:pPr>
        <w:pStyle w:val="Heading3"/>
        <w:spacing w:after="80" w:before="160"/>
      </w:pPr>
      <w:r>
        <w:rPr>
          <w:rFonts w:ascii="Barlow Semi Condensed" w:cs="Barlow Semi Condensed" w:eastAsia="Barlow Semi Condensed" w:hAnsi="Barlow Semi Condensed"/>
          <w:sz w:val="24"/>
          <w:szCs w:val="24"/>
        </w:rPr>
        <w:t xml:space="preserve">Il riepilogo</w:t>
      </w:r>
    </w:p>
    <w:p>
      <w:pPr>
        <w:spacing w:after="120" w:line="276"/>
        <w:jc w:val="both"/>
      </w:pPr>
      <w:r>
        <w:rPr>
          <w:rFonts w:ascii="Barlow Semi Condensed" w:cs="Barlow Semi Condensed" w:eastAsia="Barlow Semi Condensed" w:hAnsi="Barlow Semi Condensed"/>
          <w:sz w:val="24"/>
          <w:szCs w:val="24"/>
        </w:rPr>
        <w:t xml:space="preserve">L'opera cita 1029 volte 685 indirizzi distinti su 355 domini. I domini più citati: </w:t>
      </w:r>
      <w:r>
        <w:rPr>
          <w:rFonts w:ascii="Barlow Semi Condensed" w:cs="Barlow Semi Condensed" w:eastAsia="Barlow Semi Condensed" w:hAnsi="Barlow Semi Condensed"/>
          <w:i/>
          <w:iCs/>
          <w:sz w:val="24"/>
          <w:szCs w:val="24"/>
        </w:rPr>
        <w:t xml:space="preserve">storiaememoriadibologna.it</w:t>
      </w:r>
      <w:r>
        <w:rPr>
          <w:rFonts w:ascii="Barlow Semi Condensed" w:cs="Barlow Semi Condensed" w:eastAsia="Barlow Semi Condensed" w:hAnsi="Barlow Semi Condensed"/>
          <w:sz w:val="24"/>
          <w:szCs w:val="24"/>
        </w:rPr>
        <w:t xml:space="preserve"> (62) · </w:t>
      </w:r>
      <w:r>
        <w:rPr>
          <w:rFonts w:ascii="Barlow Semi Condensed" w:cs="Barlow Semi Condensed" w:eastAsia="Barlow Semi Condensed" w:hAnsi="Barlow Semi Condensed"/>
          <w:i/>
          <w:iCs/>
          <w:sz w:val="24"/>
          <w:szCs w:val="24"/>
        </w:rPr>
        <w:t xml:space="preserve">it.wikipedia.org</w:t>
      </w:r>
      <w:r>
        <w:rPr>
          <w:rFonts w:ascii="Barlow Semi Condensed" w:cs="Barlow Semi Condensed" w:eastAsia="Barlow Semi Condensed" w:hAnsi="Barlow Semi Condensed"/>
          <w:sz w:val="24"/>
          <w:szCs w:val="24"/>
        </w:rPr>
        <w:t xml:space="preserve"> (32) · </w:t>
      </w:r>
      <w:r>
        <w:rPr>
          <w:rFonts w:ascii="Barlow Semi Condensed" w:cs="Barlow Semi Condensed" w:eastAsia="Barlow Semi Condensed" w:hAnsi="Barlow Semi Condensed"/>
          <w:i/>
          <w:iCs/>
          <w:sz w:val="24"/>
          <w:szCs w:val="24"/>
        </w:rPr>
        <w:t xml:space="preserve">en.wikipedia.org</w:t>
      </w:r>
      <w:r>
        <w:rPr>
          <w:rFonts w:ascii="Barlow Semi Condensed" w:cs="Barlow Semi Condensed" w:eastAsia="Barlow Semi Condensed" w:hAnsi="Barlow Semi Condensed"/>
          <w:sz w:val="24"/>
          <w:szCs w:val="24"/>
        </w:rPr>
        <w:t xml:space="preserve"> (31) · </w:t>
      </w:r>
      <w:r>
        <w:rPr>
          <w:rFonts w:ascii="Barlow Semi Condensed" w:cs="Barlow Semi Condensed" w:eastAsia="Barlow Semi Condensed" w:hAnsi="Barlow Semi Condensed"/>
          <w:i/>
          <w:iCs/>
          <w:sz w:val="24"/>
          <w:szCs w:val="24"/>
        </w:rPr>
        <w:t xml:space="preserve">history.state.gov</w:t>
      </w:r>
      <w:r>
        <w:rPr>
          <w:rFonts w:ascii="Barlow Semi Condensed" w:cs="Barlow Semi Condensed" w:eastAsia="Barlow Semi Condensed" w:hAnsi="Barlow Semi Condensed"/>
          <w:sz w:val="24"/>
          <w:szCs w:val="24"/>
        </w:rPr>
        <w:t xml:space="preserve"> (21) · </w:t>
      </w:r>
      <w:r>
        <w:rPr>
          <w:rFonts w:ascii="Barlow Semi Condensed" w:cs="Barlow Semi Condensed" w:eastAsia="Barlow Semi Condensed" w:hAnsi="Barlow Semi Condensed"/>
          <w:i/>
          <w:iCs/>
          <w:sz w:val="24"/>
          <w:szCs w:val="24"/>
        </w:rPr>
        <w:t xml:space="preserve">opusdei.org</w:t>
      </w:r>
      <w:r>
        <w:rPr>
          <w:rFonts w:ascii="Barlow Semi Condensed" w:cs="Barlow Semi Condensed" w:eastAsia="Barlow Semi Condensed" w:hAnsi="Barlow Semi Condensed"/>
          <w:sz w:val="24"/>
          <w:szCs w:val="24"/>
        </w:rPr>
        <w:t xml:space="preserve"> (17) · </w:t>
      </w:r>
      <w:r>
        <w:rPr>
          <w:rFonts w:ascii="Barlow Semi Condensed" w:cs="Barlow Semi Condensed" w:eastAsia="Barlow Semi Condensed" w:hAnsi="Barlow Semi Condensed"/>
          <w:i/>
          <w:iCs/>
          <w:sz w:val="24"/>
          <w:szCs w:val="24"/>
        </w:rPr>
        <w:t xml:space="preserve">treccani.it</w:t>
      </w:r>
      <w:r>
        <w:rPr>
          <w:rFonts w:ascii="Barlow Semi Condensed" w:cs="Barlow Semi Condensed" w:eastAsia="Barlow Semi Condensed" w:hAnsi="Barlow Semi Condensed"/>
          <w:sz w:val="24"/>
          <w:szCs w:val="24"/>
        </w:rPr>
        <w:t xml:space="preserve"> (10) · </w:t>
      </w:r>
      <w:r>
        <w:rPr>
          <w:rFonts w:ascii="Barlow Semi Condensed" w:cs="Barlow Semi Condensed" w:eastAsia="Barlow Semi Condensed" w:hAnsi="Barlow Semi Condensed"/>
          <w:i/>
          <w:iCs/>
          <w:sz w:val="24"/>
          <w:szCs w:val="24"/>
        </w:rPr>
        <w:t xml:space="preserve">eur-lex.europa.eu</w:t>
      </w:r>
      <w:r>
        <w:rPr>
          <w:rFonts w:ascii="Barlow Semi Condensed" w:cs="Barlow Semi Condensed" w:eastAsia="Barlow Semi Condensed" w:hAnsi="Barlow Semi Condensed"/>
          <w:sz w:val="24"/>
          <w:szCs w:val="24"/>
        </w:rPr>
        <w:t xml:space="preserve"> (9) · </w:t>
      </w:r>
      <w:r>
        <w:rPr>
          <w:rFonts w:ascii="Barlow Semi Condensed" w:cs="Barlow Semi Condensed" w:eastAsia="Barlow Semi Condensed" w:hAnsi="Barlow Semi Condensed"/>
          <w:i/>
          <w:iCs/>
          <w:sz w:val="24"/>
          <w:szCs w:val="24"/>
        </w:rPr>
        <w:t xml:space="preserve">esteri.it</w:t>
      </w:r>
      <w:r>
        <w:rPr>
          <w:rFonts w:ascii="Barlow Semi Condensed" w:cs="Barlow Semi Condensed" w:eastAsia="Barlow Semi Condensed" w:hAnsi="Barlow Semi Condensed"/>
          <w:sz w:val="24"/>
          <w:szCs w:val="24"/>
        </w:rPr>
        <w:t xml:space="preserve"> (7) · </w:t>
      </w:r>
      <w:r>
        <w:rPr>
          <w:rFonts w:ascii="Barlow Semi Condensed" w:cs="Barlow Semi Condensed" w:eastAsia="Barlow Semi Condensed" w:hAnsi="Barlow Semi Condensed"/>
          <w:i/>
          <w:iCs/>
          <w:sz w:val="24"/>
          <w:szCs w:val="24"/>
        </w:rPr>
        <w:t xml:space="preserve">settimananews.it</w:t>
      </w:r>
      <w:r>
        <w:rPr>
          <w:rFonts w:ascii="Barlow Semi Condensed" w:cs="Barlow Semi Condensed" w:eastAsia="Barlow Semi Condensed" w:hAnsi="Barlow Semi Condensed"/>
          <w:sz w:val="24"/>
          <w:szCs w:val="24"/>
        </w:rPr>
        <w:t xml:space="preserve"> (7) · </w:t>
      </w:r>
      <w:r>
        <w:rPr>
          <w:rFonts w:ascii="Barlow Semi Condensed" w:cs="Barlow Semi Condensed" w:eastAsia="Barlow Semi Condensed" w:hAnsi="Barlow Semi Condensed"/>
          <w:i/>
          <w:iCs/>
          <w:sz w:val="24"/>
          <w:szCs w:val="24"/>
        </w:rPr>
        <w:t xml:space="preserve">parlamento.it</w:t>
      </w:r>
      <w:r>
        <w:rPr>
          <w:rFonts w:ascii="Barlow Semi Condensed" w:cs="Barlow Semi Condensed" w:eastAsia="Barlow Semi Condensed" w:hAnsi="Barlow Semi Condensed"/>
          <w:sz w:val="24"/>
          <w:szCs w:val="24"/>
        </w:rPr>
        <w:t xml:space="preserve"> (6).</w:t>
      </w:r>
    </w:p>
    <w:p>
      <w:pPr>
        <w:spacing w:after="120" w:line="276"/>
        <w:jc w:val="both"/>
      </w:pPr>
      <w:r>
        <w:rPr>
          <w:rFonts w:ascii="Barlow Semi Condensed" w:cs="Barlow Semi Condensed" w:eastAsia="Barlow Semi Condensed" w:hAnsi="Barlow Semi Condensed"/>
          <w:i/>
          <w:iCs/>
          <w:sz w:val="24"/>
          <w:szCs w:val="24"/>
        </w:rPr>
        <w:t xml:space="preserve">L'apparato conta indirizzi, non gerarchie di verità: il grado di ogni affermazione resta dichiarato nel capitolo che la contiene. Un indirizzo citato è una porta aperta alla verifica — l'opera ne lascia 685.</w:t>
      </w:r>
    </w:p>
    <w:p>
      <w:pPr>
        <w:pStyle w:val="Heading3"/>
        <w:spacing w:after="80" w:before="240"/>
      </w:pPr>
      <w:r>
        <w:rPr>
          <w:rFonts w:ascii="Barlow Semi Condensed" w:cs="Barlow Semi Condensed" w:eastAsia="Barlow Semi Condensed" w:hAnsi="Barlow Semi Condensed"/>
          <w:sz w:val="24"/>
          <w:szCs w:val="24"/>
        </w:rPr>
        <w:t xml:space="preserve">Apparato grafico — Apparato conclusivo · Le note bibliografiche (dalla prima all'ultima)</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6"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La distribuzione delle 685 note bibliografiche lungo l'opera, per Libro di prima citazione.</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7"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I domini piu ricorrenti fra i 685 indirizzi citati (1029 citazioni complessive).</w:t>
      </w:r>
    </w:p>
    <w:p>
      <w:pPr>
        <w:spacing w:after="120"/>
        <w:jc w:val="center"/>
      </w:pPr>
      <w:r>
        <w:rPr>
          <w:rFonts w:ascii="Barlow Semi Condensed" w:cs="Barlow Semi Condensed" w:eastAsia="Barlow Semi Condensed" w:hAnsi="Barlow Semi Condensed"/>
          <w:color w:val="777777"/>
          <w:sz w:val="16"/>
          <w:szCs w:val="16"/>
        </w:rPr>
        <w:t xml:space="preserve">Le metriche dell'apparato contano parole, documenti e atti — mai colpe.</w:t>
      </w:r>
    </w:p>
    <w:sectPr>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autoHyphenation/>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Barlow Semi Condensed" w:cs="Barlow Semi Condensed" w:eastAsia="Barlow Semi Condensed" w:hAnsi="Barlow Semi Condensed"/>
        <w:sz w:val="24"/>
        <w:szCs w:val="24"/>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20" w:before="240"/>
    </w:pPr>
    <w:rPr>
      <w:rFonts w:ascii="Barlow Semi Condensed" w:cs="Barlow Semi Condensed" w:eastAsia="Barlow Semi Condensed" w:hAnsi="Barlow Semi Condensed"/>
      <w:b/>
      <w:bCs/>
      <w:color w:val="1F3864"/>
      <w:sz w:val="32"/>
      <w:szCs w:val="32"/>
    </w:rPr>
  </w:style>
  <w:style w:type="paragraph" w:styleId="Heading2">
    <w:name w:val="Heading 2"/>
    <w:basedOn w:val="Normal"/>
    <w:next w:val="Normal"/>
    <w:qFormat/>
    <w:pPr>
      <w:spacing w:after="100" w:before="200"/>
    </w:pPr>
    <w:rPr>
      <w:rFonts w:ascii="Barlow Semi Condensed" w:cs="Barlow Semi Condensed" w:eastAsia="Barlow Semi Condensed" w:hAnsi="Barlow Semi Condensed"/>
      <w:b/>
      <w:bCs/>
      <w:color w:val="1F3864"/>
      <w:sz w:val="28"/>
      <w:szCs w:val="28"/>
    </w:rPr>
  </w:style>
  <w:style w:type="paragraph" w:styleId="Heading3">
    <w:name w:val="Heading 3"/>
    <w:basedOn w:val="Normal"/>
    <w:next w:val="Normal"/>
    <w:qFormat/>
    <w:pPr>
      <w:spacing w:after="80" w:before="160"/>
    </w:pPr>
    <w:rPr>
      <w:rFonts w:ascii="Barlow Semi Condensed" w:cs="Barlow Semi Condensed" w:eastAsia="Barlow Semi Condensed" w:hAnsi="Barlow Semi Condensed"/>
      <w:b/>
      <w:bCs/>
      <w:i/>
      <w:iCs/>
      <w:color w:val="333333"/>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image" Target="media/99065c15243c25e408fec782810f7afee2b4d484.png"/><Relationship Id="rId8" Type="http://schemas.openxmlformats.org/officeDocument/2006/relationships/image" Target="media/5cd170e5bdce6a61c3957c4a05085a6ba8d83421.png"/><Relationship Id="rId9" Type="http://schemas.openxmlformats.org/officeDocument/2006/relationships/image" Target="media/e8e51ad94fcc1f04f184eab060a09a6fbec719f2.png"/><Relationship Id="rId10" Type="http://schemas.openxmlformats.org/officeDocument/2006/relationships/image" Target="media/94500b7b005c264d98a725de7f2ecf5cefddf1e0.png"/><Relationship Id="rId11" Type="http://schemas.openxmlformats.org/officeDocument/2006/relationships/image" Target="media/8f935fde8873b92d387573cb82a5bb81c5aac96f.png"/><Relationship Id="rId12" Type="http://schemas.openxmlformats.org/officeDocument/2006/relationships/image" Target="media/d9f9a78a9abcf4786d4aac3eedc5ceb9241c050e.png"/><Relationship Id="rId13" Type="http://schemas.openxmlformats.org/officeDocument/2006/relationships/image" Target="media/344327cce970333bc5bca54768255277a366a535.png"/><Relationship Id="rId14" Type="http://schemas.openxmlformats.org/officeDocument/2006/relationships/image" Target="media/a7ac85d357cc7fe87bf854c2f6e0f1741e2efd12.png"/><Relationship Id="rId15" Type="http://schemas.openxmlformats.org/officeDocument/2006/relationships/image" Target="media/f4c26112a389b3649ac78b22432aa6399dad737a.png"/><Relationship Id="rId16" Type="http://schemas.openxmlformats.org/officeDocument/2006/relationships/image" Target="media/f65cbd814b3958052f077fda7b5a182f44d9c08d.png"/><Relationship Id="rId17" Type="http://schemas.openxmlformats.org/officeDocument/2006/relationships/image" Target="media/8f1dc3ac3e08b1a4e578bde55232976f2d6471d6.png"/><Relationship Id="rId18" Type="http://schemas.openxmlformats.org/officeDocument/2006/relationships/image" Target="media/4d7c030a6fc4f834b312fc19de6d3fa231b33b2a.png"/><Relationship Id="rId19" Type="http://schemas.openxmlformats.org/officeDocument/2006/relationships/image" Target="media/4665b53711f4b96e4784de2787658bbaa3b6f34d.png"/><Relationship Id="rId20" Type="http://schemas.openxmlformats.org/officeDocument/2006/relationships/image" Target="media/d82a414f5a6b9d00c7664d4372fb6cec879c9c2b.png"/><Relationship Id="rId21" Type="http://schemas.openxmlformats.org/officeDocument/2006/relationships/image" Target="media/80f6b56c2d597d89d62ec780005eb5776c730ff5.png"/><Relationship Id="rId22" Type="http://schemas.openxmlformats.org/officeDocument/2006/relationships/image" Target="media/b3e38ff40ec753988f5a4032adc64687cfcaf792.png"/><Relationship Id="rId23" Type="http://schemas.openxmlformats.org/officeDocument/2006/relationships/image" Target="media/598d81f9fa196d905d25cd29567de8a4e58cfb5d.png"/><Relationship Id="rId24" Type="http://schemas.openxmlformats.org/officeDocument/2006/relationships/image" Target="media/7f5a473a92160aaaa002ed62d691cc25effba64b.png"/><Relationship Id="rId25" Type="http://schemas.openxmlformats.org/officeDocument/2006/relationships/image" Target="media/0b2e707410985898b29d913cb401145b29e8ee2e.png"/><Relationship Id="rId26" Type="http://schemas.openxmlformats.org/officeDocument/2006/relationships/image" Target="media/edde4a01bbcf7626b3166773818f2d15f2b7ea56.png"/><Relationship Id="rId27" Type="http://schemas.openxmlformats.org/officeDocument/2006/relationships/image" Target="media/3be6d51c2425752cbb9e1a5c09d17d2715999652.png"/><Relationship Id="rId28" Type="http://schemas.openxmlformats.org/officeDocument/2006/relationships/image" Target="media/6308a4cfc2263088d81809d16d6649dbd4d99fd0.png"/><Relationship Id="rId29" Type="http://schemas.openxmlformats.org/officeDocument/2006/relationships/image" Target="media/9f751797fbe60d2713d0a784c900866334cac048.png"/><Relationship Id="rId30" Type="http://schemas.openxmlformats.org/officeDocument/2006/relationships/image" Target="media/5ef613a599d947f36424cb5b0bdd8f5879afeba0.png"/><Relationship Id="rId31" Type="http://schemas.openxmlformats.org/officeDocument/2006/relationships/image" Target="media/906ae2de65630c9cd75c85f3fce4e8e99ce76727.png"/><Relationship Id="rId32" Type="http://schemas.openxmlformats.org/officeDocument/2006/relationships/image" Target="media/971de7faddb35f02a660554eb8c32d8e53381c09.png"/><Relationship Id="rId33" Type="http://schemas.openxmlformats.org/officeDocument/2006/relationships/image" Target="media/1ac2a47ed53f64f42d3529422900dcb089642e98.png"/><Relationship Id="rId34" Type="http://schemas.openxmlformats.org/officeDocument/2006/relationships/image" Target="media/5027f39bca9aa9b29466a95d35a35c482de261ce.png"/><Relationship Id="rId35" Type="http://schemas.openxmlformats.org/officeDocument/2006/relationships/image" Target="media/71a79635a398fd514004d6c99e7494a824a076d6.png"/><Relationship Id="rId36" Type="http://schemas.openxmlformats.org/officeDocument/2006/relationships/image" Target="media/0e8e14607e4ee14aa6c2fbeac3e0c2f598381ffa.png"/><Relationship Id="rId37" Type="http://schemas.openxmlformats.org/officeDocument/2006/relationships/image" Target="media/d176cd69cc014b47a074ff6833c090188f1b351a.png"/><Relationship Id="rId38" Type="http://schemas.openxmlformats.org/officeDocument/2006/relationships/image" Target="media/1bcca827024fa59ec9bed7caea3efc5ff19dfeca.png"/><Relationship Id="rId39" Type="http://schemas.openxmlformats.org/officeDocument/2006/relationships/image" Target="media/f07c650ea9b1c57f8e97a212ae85f07fbcdae133.png"/><Relationship Id="rId40" Type="http://schemas.openxmlformats.org/officeDocument/2006/relationships/image" Target="media/4cf409cb93593844faad070dcc9a7b7c2e3e2023.png"/><Relationship Id="rId41" Type="http://schemas.openxmlformats.org/officeDocument/2006/relationships/image" Target="media/5788b3d86b982c0ca1c79cdb71fcdd6bc5232dc5.png"/><Relationship Id="rId42" Type="http://schemas.openxmlformats.org/officeDocument/2006/relationships/image" Target="media/87104f6a066eb0a7ec194e04dbf51e7198957582.png"/><Relationship Id="rId43" Type="http://schemas.openxmlformats.org/officeDocument/2006/relationships/image" Target="media/55b7679a22c76a27436b739f85b977a8242b6298.png"/><Relationship Id="rId44" Type="http://schemas.openxmlformats.org/officeDocument/2006/relationships/image" Target="media/7ad7d962c62ed851e369e7d217bb6427f211cbf1.png"/><Relationship Id="rId45" Type="http://schemas.openxmlformats.org/officeDocument/2006/relationships/image" Target="media/624ba6ec73b2d7b0d744101a8ff4a3ece38f322a.png"/><Relationship Id="rId46" Type="http://schemas.openxmlformats.org/officeDocument/2006/relationships/image" Target="media/f455bfd3bdf698928f45fc1f9fcf3fd61649cd14.png"/><Relationship Id="rId47" Type="http://schemas.openxmlformats.org/officeDocument/2006/relationships/image" Target="media/30e907307e92e559d873f03efd2d5ad189c98e3a.png"/><Relationship Id="rId48" Type="http://schemas.openxmlformats.org/officeDocument/2006/relationships/image" Target="media/92888b83e854250ece5b885727f212b2074ea8a6.png"/><Relationship Id="rId49" Type="http://schemas.openxmlformats.org/officeDocument/2006/relationships/image" Target="media/8687f16f0885efcc4edc4cdf9ed0296067285b1a.png"/><Relationship Id="rId50" Type="http://schemas.openxmlformats.org/officeDocument/2006/relationships/image" Target="media/198ec49c42fa79425d28114691c083e8224c206c.png"/><Relationship Id="rId51" Type="http://schemas.openxmlformats.org/officeDocument/2006/relationships/image" Target="media/86f24b2a31a57e0f2a415c2ff7d6d9c7cb15944b.png"/><Relationship Id="rId52" Type="http://schemas.openxmlformats.org/officeDocument/2006/relationships/image" Target="media/d61224587c9a7760d4b807eb6c23485ad7a8e612.png"/><Relationship Id="rId53" Type="http://schemas.openxmlformats.org/officeDocument/2006/relationships/image" Target="media/b3a810efce56ae989113664eb6c894645cce9ea1.png"/><Relationship Id="rId54" Type="http://schemas.openxmlformats.org/officeDocument/2006/relationships/image" Target="media/33c2a9e0188d87e3e19b9f399f02d0c8800b7197.png"/><Relationship Id="rId55" Type="http://schemas.openxmlformats.org/officeDocument/2006/relationships/image" Target="media/cff59bb99691c9bbd8bc72414eeead036000ff29.png"/><Relationship Id="rId56" Type="http://schemas.openxmlformats.org/officeDocument/2006/relationships/image" Target="media/3533ce6f7eb35804b68e7452be615be87f93ee7b.png"/><Relationship Id="rId57" Type="http://schemas.openxmlformats.org/officeDocument/2006/relationships/image" Target="media/673d850d5ab83d48001b4c5b93f9204b833f61e6.png"/><Relationship Id="rId58" Type="http://schemas.openxmlformats.org/officeDocument/2006/relationships/image" Target="media/5c2451aef7af049e3c5e164f30941aa3febbbb12.png"/><Relationship Id="rId59" Type="http://schemas.openxmlformats.org/officeDocument/2006/relationships/image" Target="media/32ee8555d70a515e7aaabc6287c7589b6d917f7e.png"/><Relationship Id="rId60" Type="http://schemas.openxmlformats.org/officeDocument/2006/relationships/image" Target="media/db7d31cf770ba71e1f24042ddad18ff75d42d9ad.png"/><Relationship Id="rId61" Type="http://schemas.openxmlformats.org/officeDocument/2006/relationships/image" Target="media/1252dfa2f7c13db918467f03419e8f8d064a61e6.png"/><Relationship Id="rId62" Type="http://schemas.openxmlformats.org/officeDocument/2006/relationships/image" Target="media/175402fd38ff1fadbf95e7b36c601902ad87da61.png"/><Relationship Id="rId63" Type="http://schemas.openxmlformats.org/officeDocument/2006/relationships/image" Target="media/59ac39910edeb3b49c060dced5058843358f933f.png"/><Relationship Id="rId64" Type="http://schemas.openxmlformats.org/officeDocument/2006/relationships/image" Target="media/341c03a71f9f540d77632ae0230335e3502b2b4b.png"/><Relationship Id="rId65" Type="http://schemas.openxmlformats.org/officeDocument/2006/relationships/image" Target="media/07b8b6efed197ccfb9c3bef908f3666b7a234a23.png"/><Relationship Id="rId66" Type="http://schemas.openxmlformats.org/officeDocument/2006/relationships/image" Target="media/8ff3ec0586395ef1953f4fc062a1275dc6ba112e.png"/><Relationship Id="rId67" Type="http://schemas.openxmlformats.org/officeDocument/2006/relationships/image" Target="media/0bff2758213c757887157ebb26160062f2d42508.png"/><Relationship Id="rId68" Type="http://schemas.openxmlformats.org/officeDocument/2006/relationships/image" Target="media/5d415e27f8f437700adeaf748cad3908826c3b1d.png"/><Relationship Id="rId69" Type="http://schemas.openxmlformats.org/officeDocument/2006/relationships/image" Target="media/9ff1bde5fd282e43849ce724a2a51b6f250532e7.png"/><Relationship Id="rId70" Type="http://schemas.openxmlformats.org/officeDocument/2006/relationships/image" Target="media/1408297414e2c801a5ace04ab1700d3d4b41983f.png"/><Relationship Id="rId71" Type="http://schemas.openxmlformats.org/officeDocument/2006/relationships/image" Target="media/ae89eef86d33d911df2f0e808e72d57b5bacc798.png"/><Relationship Id="rId72" Type="http://schemas.openxmlformats.org/officeDocument/2006/relationships/image" Target="media/4161a658d8146f9fa4b7d7640a814472777adf00.png"/><Relationship Id="rId73" Type="http://schemas.openxmlformats.org/officeDocument/2006/relationships/image" Target="media/0095e9a460b744e33785451effbd4b3b0ba157fc.png"/><Relationship Id="rId74" Type="http://schemas.openxmlformats.org/officeDocument/2006/relationships/image" Target="media/8e33e4f7d88fe807d63d14bc2d8e048a5c021b83.png"/><Relationship Id="rId75" Type="http://schemas.openxmlformats.org/officeDocument/2006/relationships/image" Target="media/1ea69a5b484484ec4c2d158b32bb776a0c098da2.png"/><Relationship Id="rId76" Type="http://schemas.openxmlformats.org/officeDocument/2006/relationships/image" Target="media/cae607d9d136ade59dcfa20cac6c668a5662d9cd.png"/><Relationship Id="rId77" Type="http://schemas.openxmlformats.org/officeDocument/2006/relationships/image" Target="media/fe7cef990ef4b12411d05ba312d297cff9bd06ff.png"/><Relationship Id="rId78" Type="http://schemas.openxmlformats.org/officeDocument/2006/relationships/image" Target="media/c503844bb65f40de5ead44b59770d34182e8cf19.png"/><Relationship Id="rId79" Type="http://schemas.openxmlformats.org/officeDocument/2006/relationships/image" Target="media/77f105a33f10e9a84e9c800e906e37af697238a7.png"/><Relationship Id="rId80" Type="http://schemas.openxmlformats.org/officeDocument/2006/relationships/image" Target="media/bac3f94f451d39c73ceef6e91582063f331f254a.png"/><Relationship Id="rId81" Type="http://schemas.openxmlformats.org/officeDocument/2006/relationships/image" Target="media/e9fb11d528035a72040cbd2b0385ce85a58c84a6.png"/><Relationship Id="rId82" Type="http://schemas.openxmlformats.org/officeDocument/2006/relationships/image" Target="media/310e23b07cf7717e529c418a42dfdf2f79781df2.png"/><Relationship Id="rId83" Type="http://schemas.openxmlformats.org/officeDocument/2006/relationships/image" Target="media/7d1a813a0a376eb4fe006c29b59261d9f6514512.png"/><Relationship Id="rId84" Type="http://schemas.openxmlformats.org/officeDocument/2006/relationships/image" Target="media/14d0178ea35af990662d26aa203c9b0c0f787015.png"/><Relationship Id="rId85" Type="http://schemas.openxmlformats.org/officeDocument/2006/relationships/image" Target="media/3353c90f1d562cea63d15218cfe48cdc76b1cacf.png"/><Relationship Id="rId86" Type="http://schemas.openxmlformats.org/officeDocument/2006/relationships/image" Target="media/7b4a1b6a3693aa85e9c875944eeae149098f24da.png"/><Relationship Id="rId87" Type="http://schemas.openxmlformats.org/officeDocument/2006/relationships/image" Target="media/9ecff18fe888dfceefe9ce4ea03b8ea985352e03.png"/><Relationship Id="rId88" Type="http://schemas.openxmlformats.org/officeDocument/2006/relationships/image" Target="media/34ce7d43dc4cf276a25187bbe3b3bd667392147d.png"/><Relationship Id="rId89" Type="http://schemas.openxmlformats.org/officeDocument/2006/relationships/image" Target="media/48cf2f6d15b49c59c7ae832ada617cbdc4811b2e.png"/><Relationship Id="rId90" Type="http://schemas.openxmlformats.org/officeDocument/2006/relationships/image" Target="media/bec95813d797c868b122aca09a28bcf28b6e03ce.png"/><Relationship Id="rId91" Type="http://schemas.openxmlformats.org/officeDocument/2006/relationships/image" Target="media/50419b64c7f8faa1cd403db89af57c1a77ee5315.png"/><Relationship Id="rId92" Type="http://schemas.openxmlformats.org/officeDocument/2006/relationships/image" Target="media/3a3c4b0a1ddd6cec9d841a6729c7b668b8a4e365.png"/><Relationship Id="rId93" Type="http://schemas.openxmlformats.org/officeDocument/2006/relationships/image" Target="media/cc9f3883d360588b63c2bfe2b7352471d7cfc41e.png"/><Relationship Id="rId94" Type="http://schemas.openxmlformats.org/officeDocument/2006/relationships/image" Target="media/77676302c0f0a33df4836bcb08dbcf88c5d32bac.png"/><Relationship Id="rId95" Type="http://schemas.openxmlformats.org/officeDocument/2006/relationships/image" Target="media/0de1f656531f40cb2331bcb4dbc13daf5ee4ba46.png"/><Relationship Id="rId96" Type="http://schemas.openxmlformats.org/officeDocument/2006/relationships/image" Target="media/0d662386d4237f5da5c223bc82fe4083b4841413.png"/><Relationship Id="rId97" Type="http://schemas.openxmlformats.org/officeDocument/2006/relationships/image" Target="media/3864fce117d1d9f6371a8bd3e7ab816e74486e5a.png"/><Relationship Id="rId98" Type="http://schemas.openxmlformats.org/officeDocument/2006/relationships/image" Target="media/3c1f1116d327deb8de58009d56141b3eac693463.png"/><Relationship Id="rId99" Type="http://schemas.openxmlformats.org/officeDocument/2006/relationships/image" Target="media/5e5393b78af51b946e5b82142d6afafbe3ee99b5.png"/><Relationship Id="rId100" Type="http://schemas.openxmlformats.org/officeDocument/2006/relationships/image" Target="media/2873713ac71ce52cf6ef174f122369725b7de0dd.png"/><Relationship Id="rId101" Type="http://schemas.openxmlformats.org/officeDocument/2006/relationships/image" Target="media/1ce89faf5f3ae82267cb19a9d926cd506f1addb6.png"/><Relationship Id="rId102" Type="http://schemas.openxmlformats.org/officeDocument/2006/relationships/image" Target="media/7a19ee96822890c5a3b5516e82d7878d03431b51.png"/><Relationship Id="rId103" Type="http://schemas.openxmlformats.org/officeDocument/2006/relationships/image" Target="media/a5c77e3b4a3952226b126af72f5997d19710d340.png"/><Relationship Id="rId104" Type="http://schemas.openxmlformats.org/officeDocument/2006/relationships/image" Target="media/d254755df85f870b1994969cb89b4c5b00267f24.png"/><Relationship Id="rId105" Type="http://schemas.openxmlformats.org/officeDocument/2006/relationships/image" Target="media/3843eb0b5d56b81298f9aaed5280649b269a027c.png"/><Relationship Id="rId106" Type="http://schemas.openxmlformats.org/officeDocument/2006/relationships/image" Target="media/74437c9bed9f1900c53804e39ed746782e5a83ac.png"/><Relationship Id="rId107" Type="http://schemas.openxmlformats.org/officeDocument/2006/relationships/image" Target="media/990e3cbc57117a4eb049eb3794d37b0eba98c055.png"/><Relationship Id="rId108" Type="http://schemas.openxmlformats.org/officeDocument/2006/relationships/image" Target="media/c60522c61d9ab959044959310c4ff7b56afe921c.png"/><Relationship Id="rId109" Type="http://schemas.openxmlformats.org/officeDocument/2006/relationships/image" Target="media/af18ba269c4ab36608873747052adc60def94868.png"/><Relationship Id="rId110" Type="http://schemas.openxmlformats.org/officeDocument/2006/relationships/image" Target="media/1140ab365ff40e0ea5a3ebf37bab854f48d60060.png"/><Relationship Id="rId111" Type="http://schemas.openxmlformats.org/officeDocument/2006/relationships/image" Target="media/d3cefef20d6c71705de44762b4b74e38d9fd656d.png"/><Relationship Id="rId112" Type="http://schemas.openxmlformats.org/officeDocument/2006/relationships/image" Target="media/f109d0c8b7fd54065f8495d98501fc1bed2bd5b8.png"/><Relationship Id="rId113" Type="http://schemas.openxmlformats.org/officeDocument/2006/relationships/image" Target="media/917ab6c0d5bbbd594e7e362761a5e1b9eaa4b9c3.png"/><Relationship Id="rId114" Type="http://schemas.openxmlformats.org/officeDocument/2006/relationships/image" Target="media/f2f69eab0151ca119e660a6d02cf487cbe2ee10b.png"/><Relationship Id="rId115" Type="http://schemas.openxmlformats.org/officeDocument/2006/relationships/image" Target="media/e64675cc6be3a1df6077a174900ef9f6f86d28a5.png"/><Relationship Id="rId116" Type="http://schemas.openxmlformats.org/officeDocument/2006/relationships/image" Target="media/3383abd62fbb38ab68439988c5b6ad5cc9e45648.png"/><Relationship Id="rId117" Type="http://schemas.openxmlformats.org/officeDocument/2006/relationships/image" Target="media/aeb29da68b4e2c5f68b32c8646347decec3edc59.png"/><Relationship Id="rId118" Type="http://schemas.openxmlformats.org/officeDocument/2006/relationships/image" Target="media/f0ed806f9254801fb5519108239b6c436dfd19b3.png"/><Relationship Id="rId119" Type="http://schemas.openxmlformats.org/officeDocument/2006/relationships/image" Target="media/7d16ee7cf653a6c2b6233d23cb5a16bbeddcf92b.png"/><Relationship Id="rId120" Type="http://schemas.openxmlformats.org/officeDocument/2006/relationships/image" Target="media/47d12278b5adc82e957add673b0c287626e7b790.png"/><Relationship Id="rId121" Type="http://schemas.openxmlformats.org/officeDocument/2006/relationships/image" Target="media/9e6a6dd17c6c4b8142333dbc0339849aea449ce0.png"/><Relationship Id="rId122" Type="http://schemas.openxmlformats.org/officeDocument/2006/relationships/image" Target="media/4e14c970e4203c3978c5533e2bdb5049f0b18d3f.png"/><Relationship Id="rId123" Type="http://schemas.openxmlformats.org/officeDocument/2006/relationships/image" Target="media/6a01f47d4dbd1a87af66aa4a49c038b86c3e90b1.png"/><Relationship Id="rId124" Type="http://schemas.openxmlformats.org/officeDocument/2006/relationships/image" Target="media/f70b2a12d422ac5595cd601d6e310a2d1dc96754.png"/><Relationship Id="rId125" Type="http://schemas.openxmlformats.org/officeDocument/2006/relationships/image" Target="media/ff6da53552cf6d20d8d24dd27dd0c15281cd2e51.png"/><Relationship Id="rId126" Type="http://schemas.openxmlformats.org/officeDocument/2006/relationships/image" Target="media/d76a225bc1382431b525452c99d250c699197565.png"/><Relationship Id="rId127" Type="http://schemas.openxmlformats.org/officeDocument/2006/relationships/image" Target="media/5d1c391d52db1b700bf45782b0d43f039c690507.png"/><Relationship Id="rId128" Type="http://schemas.openxmlformats.org/officeDocument/2006/relationships/image" Target="media/76a9ca72cf3986a6e3118218a83965ffe670b049.png"/><Relationship Id="rId129" Type="http://schemas.openxmlformats.org/officeDocument/2006/relationships/image" Target="media/9c31af68a5f8fae9cf9b901c0d21e223c5a6de83.png"/><Relationship Id="rId130" Type="http://schemas.openxmlformats.org/officeDocument/2006/relationships/image" Target="media/5e3c84139d521dcad48879cde2a830adc4bf4348.png"/><Relationship Id="rId131" Type="http://schemas.openxmlformats.org/officeDocument/2006/relationships/image" Target="media/94668e464af67e213eb345fa5f7b8a6852094cb1.png"/><Relationship Id="rId132" Type="http://schemas.openxmlformats.org/officeDocument/2006/relationships/image" Target="media/3f4e5c865b1865bd8a5402ab2383895f31e2edbf.png"/><Relationship Id="rId133" Type="http://schemas.openxmlformats.org/officeDocument/2006/relationships/image" Target="media/b07dd75b7ec8c9556d327b0fcf32bd90387e2f38.png"/><Relationship Id="rId134" Type="http://schemas.openxmlformats.org/officeDocument/2006/relationships/image" Target="media/2543455efea53597c30234fb114e1464d4d7a1ae.png"/><Relationship Id="rId135" Type="http://schemas.openxmlformats.org/officeDocument/2006/relationships/image" Target="media/741db6cdc43b0e18a4ad5dcc337dfb960b6aceef.png"/><Relationship Id="rId136" Type="http://schemas.openxmlformats.org/officeDocument/2006/relationships/image" Target="media/2bba8cfb5779c50f4d8a7a8a067bb89a38bc43a2.png"/><Relationship Id="rId137" Type="http://schemas.openxmlformats.org/officeDocument/2006/relationships/image" Target="media/23739284020d1470235c27cc836017eb79cf9341.png"/><Relationship Id="rId13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2026-08-27T07:07:08.270Z</dcterms:created>
  <dcterms:modified xsi:type="dcterms:W3CDTF">2026-08-27T07:07:08.285Z</dcterms:modified>
</cp:coreProperties>
</file>

<file path=docProps/custom.xml><?xml version="1.0" encoding="utf-8"?>
<Properties xmlns="http://schemas.openxmlformats.org/officeDocument/2006/custom-properties" xmlns:vt="http://schemas.openxmlformats.org/officeDocument/2006/docPropsVTypes"/>
</file>